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500" w:after="80"/>
        <w:jc w:val="center"/>
      </w:pPr>
      <w:r>
        <w:rPr>
          <w:rFonts w:ascii="Calibri" w:hAnsi="Calibri" w:cs="Calibri" w:eastAsia="Calibri"/>
          <w:b/>
          <w:color w:val="2E4272"/>
          <w:sz w:val="22"/>
        </w:rPr>
        <w:t>STUDIO INTEGRALE PUGLIA · TOMO I</w:t>
      </w:r>
    </w:p>
    <w:p>
      <w:pPr>
        <w:pBdr>
          <w:bottom w:val="single" w:sz="10" w:space="6" w:color="C49A48"/>
        </w:pBdr>
        <w:spacing w:after="780"/>
        <w:jc w:val="center"/>
      </w:pPr>
      <w:r>
        <w:rPr>
          <w:rFonts w:ascii="Cambria" w:hAnsi="Cambria" w:cs="Cambria" w:eastAsia="Cambria"/>
          <w:sz w:val="2"/>
        </w:rPr>
      </w:r>
    </w:p>
    <w:p>
      <w:pPr>
        <w:spacing w:before="0" w:after="0" w:line="960" w:lineRule="exact"/>
        <w:jc w:val="center"/>
      </w:pPr>
      <w:r>
        <w:rPr>
          <w:rFonts w:ascii="Calibri" w:hAnsi="Calibri" w:cs="Calibri" w:eastAsia="Calibri"/>
          <w:b/>
          <w:color w:val="16264B"/>
          <w:sz w:val="88"/>
        </w:rPr>
        <w:t>SERVIZIO DI</w:t>
      </w:r>
    </w:p>
    <w:p>
      <w:pPr>
        <w:spacing w:before="0" w:after="0" w:line="960" w:lineRule="exact"/>
        <w:jc w:val="center"/>
      </w:pPr>
      <w:r>
        <w:rPr>
          <w:rFonts w:ascii="Calibri" w:hAnsi="Calibri" w:cs="Calibri" w:eastAsia="Calibri"/>
          <w:b/>
          <w:color w:val="16264B"/>
          <w:sz w:val="88"/>
        </w:rPr>
        <w:t>PSICOLOGIA</w:t>
      </w:r>
    </w:p>
    <w:p>
      <w:pPr>
        <w:spacing w:before="0" w:after="0" w:line="960" w:lineRule="exact"/>
        <w:jc w:val="center"/>
      </w:pPr>
      <w:r>
        <w:rPr>
          <w:rFonts w:ascii="Calibri" w:hAnsi="Calibri" w:cs="Calibri" w:eastAsia="Calibri"/>
          <w:b/>
          <w:color w:val="16264B"/>
          <w:sz w:val="88"/>
        </w:rPr>
        <w:t>DI BASE</w:t>
      </w:r>
    </w:p>
    <w:p>
      <w:pPr>
        <w:spacing w:before="0" w:after="0" w:line="960" w:lineRule="exact"/>
        <w:jc w:val="center"/>
      </w:pPr>
      <w:r>
        <w:rPr>
          <w:rFonts w:ascii="Calibri" w:hAnsi="Calibri" w:cs="Calibri" w:eastAsia="Calibri"/>
          <w:b/>
          <w:color w:val="16264B"/>
          <w:sz w:val="88"/>
        </w:rPr>
        <w:t>IN PUGLIA</w:t>
      </w:r>
    </w:p>
    <w:p>
      <w:pPr>
        <w:pBdr>
          <w:bottom w:val="single" w:sz="14" w:space="6" w:color="16264B"/>
        </w:pBdr>
        <w:spacing w:before="620" w:after="320"/>
        <w:jc w:val="center"/>
      </w:pPr>
      <w:r>
        <w:rPr>
          <w:rFonts w:ascii="Cambria" w:hAnsi="Cambria" w:cs="Cambria" w:eastAsia="Cambria"/>
          <w:sz w:val="2"/>
        </w:rPr>
      </w:r>
    </w:p>
    <w:p>
      <w:pPr>
        <w:spacing w:after="120"/>
        <w:jc w:val="center"/>
      </w:pPr>
      <w:r>
        <w:rPr>
          <w:rFonts w:ascii="Cambria" w:hAnsi="Cambria" w:cs="Cambria" w:eastAsia="Cambria"/>
          <w:i/>
          <w:color w:val="1A1A1A"/>
          <w:sz w:val="28"/>
        </w:rPr>
        <w:t>Studio Integrale, Finale e Definitivo — Documento Unico Integrale</w:t>
      </w:r>
    </w:p>
    <w:p>
      <w:pPr>
        <w:spacing w:after="1600"/>
        <w:jc w:val="center"/>
      </w:pPr>
      <w:r>
        <w:rPr>
          <w:rFonts w:ascii="Cambria" w:hAnsi="Cambria" w:cs="Cambria" w:eastAsia="Cambria"/>
          <w:i/>
          <w:color w:val="6B7280"/>
          <w:sz w:val="24"/>
        </w:rPr>
        <w:t>Riforma del Servizio di Psicologia di Base — Legge Regionale 11/2023</w:t>
      </w:r>
    </w:p>
    <w:p>
      <w:pPr>
        <w:spacing w:before="1800" w:after="80"/>
        <w:jc w:val="center"/>
      </w:pPr>
      <w:r>
        <w:rPr>
          <w:rFonts w:ascii="Calibri" w:hAnsi="Calibri" w:cs="Calibri" w:eastAsia="Calibri"/>
          <w:b/>
          <w:color w:val="1A1A1A"/>
          <w:sz w:val="28"/>
        </w:rPr>
        <w:t>Dott. Luigi De Michele</w:t>
      </w:r>
    </w:p>
    <w:p>
      <w:pPr>
        <w:spacing w:after="40"/>
        <w:jc w:val="center"/>
      </w:pPr>
      <w:r>
        <w:rPr>
          <w:rFonts w:ascii="Cambria" w:hAnsi="Cambria" w:cs="Cambria" w:eastAsia="Cambria"/>
          <w:color w:val="1A1A1A"/>
          <w:sz w:val="22"/>
        </w:rPr>
        <w:t>Psicologo — Ordine degli Psicologi della Puglia</w:t>
      </w:r>
    </w:p>
    <w:p>
      <w:pPr>
        <w:spacing w:after="40"/>
        <w:jc w:val="center"/>
      </w:pPr>
      <w:r>
        <w:rPr>
          <w:rFonts w:ascii="Cambria" w:hAnsi="Cambria" w:cs="Cambria" w:eastAsia="Cambria"/>
          <w:color w:val="1A1A1A"/>
          <w:sz w:val="22"/>
        </w:rPr>
        <w:t>Studio Integrale Puglia — Capurso (BA)</w:t>
      </w:r>
    </w:p>
    <w:p>
      <w:pPr>
        <w:spacing w:after="40"/>
        <w:jc w:val="center"/>
      </w:pPr>
      <w:r>
        <w:rPr>
          <w:rFonts w:ascii="Cambria" w:hAnsi="Cambria" w:cs="Cambria" w:eastAsia="Cambria"/>
          <w:color w:val="1A1A1A"/>
          <w:sz w:val="22"/>
        </w:rPr>
        <w:t>Edizione consolidata · Luglio 2026</w:t>
      </w:r>
    </w:p>
    <w:p>
      <w:r>
        <w:br w:type="page"/>
      </w:r>
    </w:p>
    <w:bookmarkStart w:id="21" w:name="studio-integrale-finale-e-definitivo"/>
    <w:bookmarkStart w:id="20" w:name="documento-unico-integrale"/>
    <w:p>
      <w:r>
        <w:br w:type="page"/>
      </w:r>
    </w:p>
    <w:bookmarkEnd w:id="20"/>
    <w:bookmarkEnd w:id="21"/>
    <w:bookmarkStart w:id="22" w:name="avvertenza-di-edizione"/>
    <w:p>
      <w:pPr>
        <w:pStyle w:val="Heading1"/>
      </w:pPr>
      <w:r>
        <w:t xml:space="preserve">Avvertenza di edizione</w:t>
      </w:r>
    </w:p>
    <w:p>
      <w:pPr>
        <w:pStyle w:val="FirstParagraph"/>
      </w:pPr>
      <w:r>
        <w:t xml:space="preserve">La presente edizione consolidata del Documento Unico Integrale raccoglie, nell’ordine, le Parti I–XIII dello Studio Integrale, Finale e Definitivo, ciascuna riportata nel testo integrale con il proprio apparato interno di premessa, introduzione, voci, quadro conclusivo, conclusione e note bibliografiche integrali. Tre circostanze di edizione sono dichiarate per trasparenza documentale. In primo luogo, la Parte VI (Efficacia ed evidenza) è qui riportata nello stato di avanzamento disponibile alla data di consolidamento, comprensivo della voce 6.1 e del relativo apparato di note; il testo integrale definitivo della parte sarà integrato nella successiva edizione del presente volume. In secondo luogo, le Parti XIV (Attuazione, fattibilità e sostenibilità) e XV (Monitoraggio, valutazione ex-post e sintesi multidimensionale), generate e validate in forma definitiva, non risultavano disponibili tra i materiali della presente sessione di consolidamento e saranno integrate al loro nuovo conferimento, senza alcuna modifica al testo qui consolidato. In terzo luogo, gli strati numerici derivanti dai fogli di lavoro dell’analisi di impatto di bilancio, dell’analisi costi-utilità e delle analisi di sensibilità restano dichiarati «da acquisire» e nessun valore di cella è stato in alcun punto fabbricato o inferito. Tutti i vincoli metodologici invarianti dell’opera — il duplice intervallo di Chisholm e collaboratori (2016) espresso esclusivamente come rapporto da 2,3 a 3,0 per i soli benefici economici e da 3,3 a 5,7 comprendendo i ritorni di salute; il caveat del trial IMPACT sulla non significatività statistica dei risparmi sanitari diretti isolati; il verdetto tripartito che tiene rigorosamente distinte la dimensione fiscale, prossima al pareggio, la dimensione sanitaria, nettamente costo-efficace, e la dimensione sociale, fortemente positiva, senza mai aggregarle in un saldo unico; la regola di non duplicazione tra risparmi fiscali diretti e benefici sociali indiretti; la graduazione simmetrica GRADE dell’evidenza clinica e digitale; il posizionamento dell’Intelligenza Artificiale come leva abilitante subordinata alla supervisione umana e alla cornice regolatoria europea — sono preservati in ogni parte del volume. La presente edizione integra inoltre, in chiusura di volume, sei Appendici Integrative tratte dal corpus documentale del progetto: la mappa integrale dei domini disciplinari, la quantificazione su dati primari regionali, la batteria integrale di indicatori e variabili, la riconciliazione della tabella unica dei valori, l’analisi delle lacune con la relativa agenda di acquisizione e il registro indicizzato del corpus. Si avverte che l’Appendice V, per sua natura di verifica critica, richiama stime economiche anteriori e divergenti al solo fine di dichiararne il superamento e la riconciliazione: tali richiami non costituiscono in alcun punto affermazioni positive dell’opera, che riconosce come unico ancoraggio di rendimento il duplice intervallo di Chisholm e collaboratori (2016). La seconda ondata di integrazione aggiunge le Appendici VII–XIII: il quadro di efficacia ed evidenza del telaio HTA regionale, che assolve in via funzionale, sino al conferimento del testo definitivo, la lacuna dichiarata della Parte VI; il percorso clinico per intensità crescente di cura; il modello tariffario e di costo, presidio della revisione della spesa; la specifica di estrazione dei dati primari e il protocollo minimo di rilevazione, che completano l’agenda di acquisizione; e i due approfondimenti sulla leva digitale — i dispositivi terapeutici su prescrizione e l’evidenza internazionale sull’Intelligenza Artificiale — sempre in posizione subordinata alla supervisione clinica umana. Restano per contro esclusi dall’integrazione testuale, con scelta deliberata e non emendabile, i documenti della fase anteriore del dossier — le roadmap di consolidamento sul ritorno sociale dell’investimento e sulla robustezza modellistica, l’analisi di impatto della regolazione, la relazione tecnico-finanziaria di fase dossier e il rapporto di monitoraggio di quarta fase — in quanto recano, come affermazioni positive, rapporti di rendimento della stima ricostruita anteriore, superati dal regime probatorio dell’opera: il loro contenuto è richiamato in forma critica e riconciliata nelle Appendici IV e V, unica sede ammessa. La terza ondata di integrazione aggiunge le Appendici XIV e XV, dedicate al pilastro formativo trasversale: lo studio in sette parti sull’integrazione dell’Intelligenza Artificiale nella formazione, nel quale le attività formative sono considerate singolarmente e sommate, e il fascicolo consolidato sulla formazione della squadra delle cure primarie con la quantificazione prudenziale del risparmio incrementale. I tre documenti componenti del fascicolo — la relazione sulla formazione all’Intelligenza Artificiale, quella sul continuum assistenziale e il relativo approfondimento — non sono riprodotti autonomamente, in quanto consolidati nel fascicolo medesimo, per la regola di non duplicazione che governa l’intera opera. La quarta ondata di integrazione aggiunge l’Appendice XVI, che consolida come corpo unitario lo studio di valutazione delle tecnologie sanitarie condotto sul telaio HTA internazionale — Five Case Model, lista di controllo CHEERS 2022, criteri OCSE-DAC — nelle Parti A, B, C, E, F, G, H, I, L ed M, con le Appendici A–E e le Note Bibliografiche Integrali corredate di mini-riassunto; la Parte D dello studio non è riprodotta perché già consolidata quale Appendice VII, alla quale l’appendice rinvia. Si dichiara inoltre, per rigore documentale, che un capitolo sul quadro costituzionale del trattamento sanitario obbligatorio, proveniente da un fascicolo processuale personale estraneo all’opera e integrato per errore in una edizione intermedia quale allora Appendice XVI, è stato espunto dalla presente edizione insieme a ogni altro materiale del medesimo fascicolo, che non appartiene al perimetro scientifico della riforma. La quinta ondata di integrazione aggiunge le Appendici XVII–XXIII: la struttura dell’opera; l’architettura integrata della riforma; i due studi sull’innesto dell’Intelligenza Artificiale nel modello organizzativo e nella riduzione dei costi diretti, presìdi della revisione della spesa; il capitolo primo dello studio IA-Formazione nella variante estesa, che dichiara espressamente il ripudio dei rapporti semplificati; l’analisi comparativa delle quattro modalità formative come moltiplicatore del ritorno economico della leva digitale, nella quale le attività formative sono considerate singolarmente e sommate; e il documento di raccordo sull’integrazione dell’Intelligenza Artificiale e la formazione del personale. Restano esclusi, per affermazione positiva di rapporti superati, i capitoli della fase anteriore sull’innesto dell’Intelligenza Artificiale nei risparmi indiretti e nel saldo economico complessivo, la cui funzione è assolta in forma conforme dalle Parti IX e X dell’opera. La sesta ondata di integrazione aggiunge le Appendici XXIV–XXX: il telaio metodologico integrale a quattro cornici con la mappa del corpus; il compendio metodologico ibrido dei costi-benefici, che codifica gli intervalli di Chisholm e collaboratori (2016) come unico ancoraggio ammesso; il documento fondativo su contesto, sistema di misurazione e quantificazione; e, dallo studio integrale espanso, le sezioni conformi sull’integrazione dell’Intelligenza Artificiale nel modello organizzativo con la quantificazione dei risparmi aggiuntivi, sulla valutazione economico-clinica comparata della cura collaborativa e della terapia cognitivo-comportamentale computerizzata, sulla produttività recuperata secondo le prospettive del capitale umano e del costo di frizione, e il capitolo sull’innesto dell’Intelligenza Artificiale nei bisogni psicologici e nelle criticità sanitarie. Restano esclusi, con dichiarazione: il capitolo sull’Intelligenza Artificiale nelle cure primarie della fase anteriore, per affermazione positiva di un rapporto non ammesso; le varianti compatte anteriori dei capitoli sull’Intelligenza Artificiale, superate dalle stesure estese qui integrate; ogni ulteriore materiale del fascicolo processuale estraneo; e la sezione di revisione metodologica che propone la sostituzione dell’ancoraggio di Chisholm e collaboratori (2016) con il riferimento OCSE 2026, integrata nella presente edizione quale strato di governo per pronunciamento dell’autore: l’ancoraggio di riferimento dell’opera passa al quadro OCSE 2026, con prevalenza sulle risultanze anteriori ovunque divergano, adozione delle cifre OCSE quale riferimento ufficiale per l’iter legislativo e conservazione dell’apparato di Chisholm e collaboratori (2016) quale strato documentale. La settima ondata di integrazione, resa possibile dal recupero del testo nativo di pagina dalle stampe d’archivio, aggiunge le Appendici XXXI–XXXIII: la metodologia apicale con il registro unificato delle oltre tremilaseicento variabili — il livello metodologico superiore che governa, integra e rende robusto l’intero sistema —, il quadro riepilogativo della valutazione dei costi-benefici e dell’impatto di bilancio, che qualifica espressamente come semplificazione la sintesi divulgativa dell’Organizzazione Mondiale della Sanità, e il registro indicizzato dei file di progetto. Restano escluse, con dichiarazione: la sintesi nazionale di prima generazione, per affermazione positiva di rapporti non ammessi; la traccia di presentazione per i decisori, quale apparato di comunicazione politica di parte estraneo al perimetro scientifico; le parti del dossier anteriore, superate dalle Parti I–XIII dell’opera; e le stampe duplicative di documenti già integrati, fra cui il modello tariffario e di costo, presente quale Appendice IX nelle sue due parti.</w:t>
      </w:r>
    </w:p>
    <w:p>
      <w:r>
        <w:br w:type="page"/>
      </w:r>
    </w:p>
    <w:bookmarkEnd w:id="22"/>
    <w:bookmarkStart w:id="23" w:name="indice-generale-del-volume"/>
    <w:p>
      <w:pPr>
        <w:pStyle w:val="Heading1"/>
      </w:pPr>
      <w:r>
        <w:t xml:space="preserve">Indice generale del volume</w:t>
      </w:r>
    </w:p>
    <w:p>
      <w:pPr>
        <w:pStyle w:val="FirstParagraph"/>
      </w:pPr>
      <w:r>
        <w:rPr>
          <w:b/>
          <w:bCs/>
        </w:rPr>
        <w:t xml:space="preserve">Revisione metodologica di governo</w:t>
      </w:r>
      <w:r>
        <w:t xml:space="preserve"> </w:t>
      </w:r>
      <w:r>
        <w:t xml:space="preserve">— Il passaggio all’ancoraggio OCSE 2026</w:t>
      </w:r>
    </w:p>
    <w:p>
      <w:pPr>
        <w:pStyle w:val="BodyText"/>
      </w:pPr>
      <w:r>
        <w:rPr>
          <w:b/>
          <w:bCs/>
        </w:rPr>
        <w:t xml:space="preserve">Parte I</w:t>
      </w:r>
      <w:r>
        <w:t xml:space="preserve"> </w:t>
      </w:r>
      <w:r>
        <w:t xml:space="preserve">— Quadro, mandato, metodo e perimetro integrale</w:t>
      </w:r>
    </w:p>
    <w:p>
      <w:pPr>
        <w:pStyle w:val="BodyText"/>
      </w:pPr>
      <w:r>
        <w:rPr>
          <w:b/>
          <w:bCs/>
        </w:rPr>
        <w:t xml:space="preserve">Parte II</w:t>
      </w:r>
      <w:r>
        <w:t xml:space="preserve"> </w:t>
      </w:r>
      <w:r>
        <w:t xml:space="preserve">— Il bisogno e il contesto multidimensionale in Puglia</w:t>
      </w:r>
    </w:p>
    <w:p>
      <w:pPr>
        <w:pStyle w:val="BodyText"/>
      </w:pPr>
      <w:r>
        <w:rPr>
          <w:b/>
          <w:bCs/>
        </w:rPr>
        <w:t xml:space="preserve">Parte III</w:t>
      </w:r>
      <w:r>
        <w:t xml:space="preserve"> </w:t>
      </w:r>
      <w:r>
        <w:t xml:space="preserve">— L’architettura della cascata gerarchica piramidale delle figure professionali</w:t>
      </w:r>
    </w:p>
    <w:p>
      <w:pPr>
        <w:pStyle w:val="BodyText"/>
      </w:pPr>
      <w:r>
        <w:rPr>
          <w:b/>
          <w:bCs/>
        </w:rPr>
        <w:t xml:space="preserve">Parte IV</w:t>
      </w:r>
      <w:r>
        <w:t xml:space="preserve"> </w:t>
      </w:r>
      <w:r>
        <w:t xml:space="preserve">— L’intervento e il modello organizzativo integrale</w:t>
      </w:r>
    </w:p>
    <w:p>
      <w:pPr>
        <w:pStyle w:val="BodyText"/>
      </w:pPr>
      <w:r>
        <w:rPr>
          <w:b/>
          <w:bCs/>
        </w:rPr>
        <w:t xml:space="preserve">Parte V</w:t>
      </w:r>
      <w:r>
        <w:t xml:space="preserve"> </w:t>
      </w:r>
      <w:r>
        <w:t xml:space="preserve">— La formazione come pilastro trasversale: attività formative singole e sommate</w:t>
      </w:r>
    </w:p>
    <w:p>
      <w:pPr>
        <w:pStyle w:val="BodyText"/>
      </w:pPr>
      <w:r>
        <w:rPr>
          <w:b/>
          <w:bCs/>
        </w:rPr>
        <w:t xml:space="preserve">Parte VI</w:t>
      </w:r>
      <w:r>
        <w:t xml:space="preserve"> </w:t>
      </w:r>
      <w:r>
        <w:t xml:space="preserve">— Efficacia ed evidenza (stato di avanzamento disponibile)</w:t>
      </w:r>
    </w:p>
    <w:p>
      <w:pPr>
        <w:pStyle w:val="BodyText"/>
      </w:pPr>
      <w:r>
        <w:rPr>
          <w:b/>
          <w:bCs/>
        </w:rPr>
        <w:t xml:space="preserve">Parte VII</w:t>
      </w:r>
      <w:r>
        <w:t xml:space="preserve"> </w:t>
      </w:r>
      <w:r>
        <w:t xml:space="preserve">— I costi diretti e indiretti della riforma</w:t>
      </w:r>
    </w:p>
    <w:p>
      <w:pPr>
        <w:pStyle w:val="BodyText"/>
      </w:pPr>
      <w:r>
        <w:rPr>
          <w:b/>
          <w:bCs/>
        </w:rPr>
        <w:t xml:space="preserve">Parte VIII</w:t>
      </w:r>
      <w:r>
        <w:t xml:space="preserve"> </w:t>
      </w:r>
      <w:r>
        <w:t xml:space="preserve">— I benefici e i risparmi diretti</w:t>
      </w:r>
    </w:p>
    <w:p>
      <w:pPr>
        <w:pStyle w:val="BodyText"/>
      </w:pPr>
      <w:r>
        <w:rPr>
          <w:b/>
          <w:bCs/>
        </w:rPr>
        <w:t xml:space="preserve">Parte IX</w:t>
      </w:r>
      <w:r>
        <w:t xml:space="preserve"> </w:t>
      </w:r>
      <w:r>
        <w:t xml:space="preserve">— I benefici indiretti nel perimetro multidisciplinare integrale</w:t>
      </w:r>
    </w:p>
    <w:p>
      <w:pPr>
        <w:pStyle w:val="BodyText"/>
      </w:pPr>
      <w:r>
        <w:rPr>
          <w:b/>
          <w:bCs/>
        </w:rPr>
        <w:t xml:space="preserve">Parte X</w:t>
      </w:r>
      <w:r>
        <w:t xml:space="preserve"> </w:t>
      </w:r>
      <w:r>
        <w:t xml:space="preserve">— La valutazione economica integrata</w:t>
      </w:r>
    </w:p>
    <w:p>
      <w:pPr>
        <w:pStyle w:val="BodyText"/>
      </w:pPr>
      <w:r>
        <w:rPr>
          <w:b/>
          <w:bCs/>
        </w:rPr>
        <w:t xml:space="preserve">Parte XI</w:t>
      </w:r>
      <w:r>
        <w:t xml:space="preserve"> </w:t>
      </w:r>
      <w:r>
        <w:t xml:space="preserve">— La modellazione e la previsione</w:t>
      </w:r>
    </w:p>
    <w:p>
      <w:pPr>
        <w:pStyle w:val="BodyText"/>
      </w:pPr>
      <w:r>
        <w:rPr>
          <w:b/>
          <w:bCs/>
        </w:rPr>
        <w:t xml:space="preserve">Parte XII</w:t>
      </w:r>
      <w:r>
        <w:t xml:space="preserve"> </w:t>
      </w:r>
      <w:r>
        <w:t xml:space="preserve">— Equità e impatto distributivo</w:t>
      </w:r>
    </w:p>
    <w:p>
      <w:pPr>
        <w:pStyle w:val="BodyText"/>
      </w:pPr>
      <w:r>
        <w:rPr>
          <w:b/>
          <w:bCs/>
        </w:rPr>
        <w:t xml:space="preserve">Parte XIII</w:t>
      </w:r>
      <w:r>
        <w:t xml:space="preserve"> </w:t>
      </w:r>
      <w:r>
        <w:t xml:space="preserve">— Profili etico-giuridico-organizzativi</w:t>
      </w:r>
    </w:p>
    <w:p>
      <w:pPr>
        <w:pStyle w:val="BodyText"/>
      </w:pPr>
      <w:r>
        <w:rPr>
          <w:b/>
          <w:bCs/>
        </w:rPr>
        <w:t xml:space="preserve">Parte XIV</w:t>
      </w:r>
      <w:r>
        <w:t xml:space="preserve"> </w:t>
      </w:r>
      <w:r>
        <w:t xml:space="preserve">— Attuazione, fattibilità e sostenibilità</w:t>
      </w:r>
      <w:r>
        <w:t xml:space="preserve"> </w:t>
      </w:r>
      <w:r>
        <w:rPr>
          <w:i/>
          <w:iCs/>
        </w:rPr>
        <w:t xml:space="preserve">(da integrare al conferimento del file definitivo)</w:t>
      </w:r>
    </w:p>
    <w:p>
      <w:pPr>
        <w:pStyle w:val="BodyText"/>
      </w:pPr>
      <w:r>
        <w:rPr>
          <w:b/>
          <w:bCs/>
        </w:rPr>
        <w:t xml:space="preserve">Parte XV</w:t>
      </w:r>
      <w:r>
        <w:t xml:space="preserve"> </w:t>
      </w:r>
      <w:r>
        <w:t xml:space="preserve">— Monitoraggio, valutazione ex-post e sintesi multidimensionale</w:t>
      </w:r>
      <w:r>
        <w:t xml:space="preserve"> </w:t>
      </w:r>
      <w:r>
        <w:rPr>
          <w:i/>
          <w:iCs/>
        </w:rPr>
        <w:t xml:space="preserve">(da integrare al conferimento del file definitivo)</w:t>
      </w:r>
    </w:p>
    <w:p>
      <w:pPr>
        <w:pStyle w:val="BodyText"/>
      </w:pPr>
      <w:r>
        <w:rPr>
          <w:b/>
          <w:bCs/>
        </w:rPr>
        <w:t xml:space="preserve">Quadro Conclusivo economico-sociale e multidisciplinare integrale del volume</w:t>
      </w:r>
    </w:p>
    <w:p>
      <w:pPr>
        <w:pStyle w:val="BodyText"/>
      </w:pPr>
      <w:r>
        <w:rPr>
          <w:b/>
          <w:bCs/>
        </w:rPr>
        <w:t xml:space="preserve">Conclusione generale</w:t>
      </w:r>
    </w:p>
    <w:p>
      <w:pPr>
        <w:pStyle w:val="BodyText"/>
      </w:pPr>
      <w:r>
        <w:rPr>
          <w:b/>
          <w:bCs/>
        </w:rPr>
        <w:t xml:space="preserve">Appendici Integrative</w:t>
      </w:r>
    </w:p>
    <w:p>
      <w:pPr>
        <w:pStyle w:val="BodyText"/>
      </w:pPr>
      <w:r>
        <w:rPr>
          <w:i/>
          <w:iCs/>
        </w:rPr>
        <w:t>Appendice I — Mappa integrale dei domini disciplinari · Appendice II — Quantificazione su dati primari regionali · Appendice III — Batteria integrale di indicatori e variabili · Appendice IV — Riconciliazione e tabella unica dei valori · Appendice V — Analisi delle lacune e agenda di acquisizione · Appendice VII — Quadro di efficacia ed evidenza dal telaio HTA · Appendice VIII — Percorso clinico stepped care · Appendice IX — Modello tariffario e di costo · Appendice X — Specifica di estrazione dei dati primari · Appendice XI — Protocollo minimo di rilevazione · Appendice XII — Dispositivi terapeutici digitali su prescrizione · Appendice XIII — Approfondimento evidence-based internazionale sull’Intelligenza Artificiale · Appendice XIV — Studio IA-Formazione (Parti I–VII) · Appendice XV — Fascicolo consolidato IA-cure primarie e quantificazione del risparmio · Appendice XVI — Lo studio HTA regionale integrale (Parti A–M, Appendici A–E, Note Bibliografiche Integrali) · Appendice XVII — Struttura dell’opera · Appendice XVIII — Architettura integrata della riforma (V1) · Appendice XIX — L’innesto dell’Intelligenza Artificiale nel modello organizzativo · Appendice XX — L’innesto dell’Intelligenza Artificiale nella riduzione dei costi diretti · Appendice XXI — Capitolo I dello studio IA-Formazione (variante estesa) · Appendice XXII — La competenza come moltiplicatore del ritorno economico dell’IA: le quattro modalità formative comparate · Appendice XXIII — L’integrazione dell’IA e la formazione del personale: documento di raccordo · Appendice XXIV — Il telaio metodologico integrale (quattro cornici e mappa del corpus) · Appendice XXV — Il compendio metodologico ibrido dei costi-benefici · Appendice XXVI — Contesto, sistema di misurazione e quantificazione · Appendice XXVII — L’IA nel modello organizzativo: evidenze, architettura formativa, risparmi aggiuntivi · Appendice XXVIII — Valutazione economico-clinica comparata: cura collaborativa e iCBT · Appendice XXIX — La produttività recuperata: proiezione regionale · Appendice XXX — L’IA nei bisogni psicologici e nelle criticità sanitarie · Appendice XXXI — La metodologia apicale e il registro unificato delle variabili · Appendice XXXII — Valutazione costi-benefici e impatto di bilancio: quadro riepilogativo</w:t>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r/>
      <w:r>
        <w:rPr>
          <w:i/>
          <w:iCs/>
        </w:rPr>
      </w:r>
      <w:r/>
      <w:r/>
    </w:p>
    <w:p>
      <w:pPr>
        <w:pStyle w:val="BodyText"/>
      </w:pPr>
      <w:r>
        <w:rPr>
          <w:b/>
          <w:bCs/>
        </w:rPr>
        <w:t xml:space="preserve">Nota di rinvio alle Note Bibliografiche Integrali</w:t>
      </w:r>
    </w:p>
    <w:p>
      <w:r>
        <w:br w:type="page"/>
      </w:r>
    </w:p>
    <w:p>
      <w:r>
        <w:br w:type="page"/>
      </w:r>
    </w:p>
    <w:bookmarkEnd w:id="23"/>
    <w:bookmarkStart w:id="125" w:name="Xbf45214254cb96f6aa003238d04ffbf451c089c"/>
    <w:p>
      <w:pPr>
        <w:pStyle w:val="Heading1"/>
        <w:pageBreakBefore/>
        <w:shd w:fill="16264B" w:val="clear"/>
        <w:spacing w:after="240" w:before="240"/>
      </w:pPr>
      <w:r>
        <w:rPr>
          <w:b/>
          <w:bCs/>
        </w:rPr>
        <w:t xml:space="preserve">Premessa</w:t>
      </w:r>
    </w:p>
    <w:p>
      <w:pPr>
        <w:spacing w:after="140" w:line="300"/>
        <w:jc w:val="both"/>
      </w:pPr>
      <w:r>
        <w:rPr>
          <w:rFonts w:ascii="Cambria" w:cs="Cambria" w:eastAsia="Cambria" w:hAnsi="Cambria"/>
          <w:b w:val="false"/>
          <w:bCs w:val="false"/>
          <w:i w:val="false"/>
          <w:iCs w:val="false"/>
          <w:color w:val="1A1A1A"/>
          <w:sz w:val="22"/>
          <w:szCs w:val="22"/>
        </w:rPr>
        <w:t xml:space="preserve">Il presente Documento — </w:t>
      </w:r>
      <w:r>
        <w:rPr>
          <w:rFonts w:ascii="Cambria" w:cs="Cambria" w:eastAsia="Cambria" w:hAnsi="Cambria"/>
          <w:b/>
          <w:bCs/>
          <w:i w:val="false"/>
          <w:iCs w:val="false"/>
          <w:color w:val="1A1A1A"/>
          <w:sz w:val="22"/>
          <w:szCs w:val="22"/>
        </w:rPr>
        <w:t xml:space="preserve">Studio Integrale, Finale e Definitivo sulla riforma pugliese del Psicologo di Base</w:t>
      </w:r>
      <w:r>
        <w:rPr>
          <w:rFonts w:ascii="Cambria" w:cs="Cambria" w:eastAsia="Cambria" w:hAnsi="Cambria"/>
          <w:b w:val="false"/>
          <w:bCs w:val="false"/>
          <w:i w:val="false"/>
          <w:iCs w:val="false"/>
          <w:color w:val="1A1A1A"/>
          <w:sz w:val="22"/>
          <w:szCs w:val="22"/>
        </w:rPr>
        <w:t xml:space="preserve"> — riunisce e riqualifica in forma unitaria il contenuto integrale dei Capitoli da I a IV della relazione tecnico-scientifica a sostegno dell’istituzione del Servizio di Psicologia di Base nel Servizio Sanitario Regionale pugliese, di cui è autore intellettuale il dottor Luigi De Michele. Il perimetro dello Studio è integrale: esso non si limita alla figura dello Psicologo di Base, bensì abbraccia in cascata piramidale tutte le figure professionali e tutti gli aspetti multidisciplinari direttamente ed indirettamente connessi alla riforma, ordinati per capacità di generare rientro economico e spending review.</w:t>
      </w:r>
    </w:p>
    <w:p>
      <w:pPr>
        <w:spacing w:after="140" w:line="300"/>
        <w:jc w:val="both"/>
      </w:pPr>
      <w:r>
        <w:rPr>
          <w:rFonts w:ascii="Cambria" w:cs="Cambria" w:eastAsia="Cambria" w:hAnsi="Cambria"/>
          <w:b w:val="false"/>
          <w:bCs w:val="false"/>
          <w:i w:val="false"/>
          <w:iCs w:val="false"/>
          <w:color w:val="1A1A1A"/>
          <w:sz w:val="22"/>
          <w:szCs w:val="22"/>
        </w:rPr>
        <w:t xml:space="preserve">La cascata muove dal vertice — lo Psicologo di Base quale professionista di prossimità e primo livello di ascolto — e discende, per influenza e per capacità di generare ritorno economico, verso il Medico di Medicina Generale ed il Pediatra di Libera Scelta, l’Infermiere di Famiglia e Comunità, l’Assistente Sociale, i medici specialisti delle branche maggiormente investite dalla componente psicosomatica (cardiologia, gastroenterologia, neurologia, reumatologia, pneumologia, ginecologia, urologia, endocrinologia), il personale dei Dipartimenti e Centri di Salute Mentale, sino agli attori del sistema previdenziale, del mercato del lavoro, della scuola, dell’università e del tessuto produttivo regionale.</w:t>
      </w:r>
    </w:p>
    <w:p>
      <w:pPr>
        <w:spacing w:after="140" w:line="300"/>
        <w:jc w:val="both"/>
      </w:pPr>
      <w:r>
        <w:rPr>
          <w:rFonts w:ascii="Cambria" w:cs="Cambria" w:eastAsia="Cambria" w:hAnsi="Cambria"/>
          <w:b w:val="false"/>
          <w:bCs w:val="false"/>
          <w:i w:val="false"/>
          <w:iCs w:val="false"/>
          <w:color w:val="1A1A1A"/>
          <w:sz w:val="22"/>
          <w:szCs w:val="22"/>
        </w:rPr>
        <w:t xml:space="preserve">I domini disciplinari toccati dallo Studio comprendono, senza pretesa di esaustività, quello sanitario, economico, sociale, lavoristico, previdenziale, della produttività, del welfare, della prevenzione, criminologico, burocratico, culturale, educativo, antropologico, pedagogico-scolastico, accademico, industriale, sindacale e finanziario. L’obiettivo ultimo è predire, in maniera falsificabile e prudenziale, gli effetti multidimensionali e multifattoriali della riforma sulla qualità della vita delle persone, sui bilanci regionali, sulla burocrazia e sui sistemi sanitari regionali.</w:t>
      </w:r>
    </w:p>
    <w:p>
      <w:pPr>
        <w:spacing w:after="140" w:line="300"/>
        <w:jc w:val="both"/>
      </w:pPr>
      <w:r>
        <w:rPr>
          <w:rFonts w:ascii="Cambria" w:cs="Cambria" w:eastAsia="Cambria" w:hAnsi="Cambria"/>
          <w:b w:val="false"/>
          <w:bCs w:val="false"/>
          <w:i w:val="false"/>
          <w:iCs w:val="false"/>
          <w:color w:val="1A1A1A"/>
          <w:sz w:val="22"/>
          <w:szCs w:val="22"/>
        </w:rPr>
        <w:t xml:space="preserve">L’Intelligenza Artificiale non costituisce il soggetto centrale dello Studio, bensì una delle molte leve abilitanti che rendono più efficace la figura dello Psicologo di Base; le attività formative, ivi comprese quelle relative all’IA, sono considerate sia singolarmente sia nella loro combinazione, sotto supervisione umana e nel quadro della governance regolatoria europea.</w:t>
      </w:r>
    </w:p>
    <w:p>
      <w:pPr>
        <w:pStyle w:val="Heading1"/>
        <w:pageBreakBefore/>
        <w:shd w:fill="16264B" w:val="clear"/>
        <w:spacing w:after="240" w:before="240"/>
      </w:pPr>
      <w:r>
        <w:rPr>
          <w:b/>
          <w:bCs/>
        </w:rPr>
        <w:t xml:space="preserve">Introduzione</w:t>
      </w:r>
    </w:p>
    <w:p>
      <w:pPr>
        <w:spacing w:after="140" w:line="300"/>
        <w:jc w:val="both"/>
      </w:pPr>
      <w:r>
        <w:rPr>
          <w:rFonts w:ascii="Cambria" w:cs="Cambria" w:eastAsia="Cambria" w:hAnsi="Cambria"/>
          <w:b w:val="false"/>
          <w:bCs w:val="false"/>
          <w:i w:val="false"/>
          <w:iCs w:val="false"/>
          <w:color w:val="1A1A1A"/>
          <w:sz w:val="22"/>
          <w:szCs w:val="22"/>
        </w:rPr>
        <w:t xml:space="preserve">L’istituzione del Servizio di Psicologia di Base rappresenta un intervento normativo di portata sistemica che investe simultaneamente l’architettura delle cure primarie, l’equilibrio dei bilanci sanitari regionali, l’organizzazione del lavoro professionale e la qualità della vita della popolazione. Lo Studio muove dal riconoscimento che la salute, nella sua accezione costituzionale ed internazionale, comprende in modo inscindibile la dimensione psicologica, e che l’integrazione della psicologia nelle cure primarie non costituisce opzione politica discrezionale ma imperativo evidence-based.</w:t>
      </w:r>
    </w:p>
    <w:p>
      <w:pPr>
        <w:spacing w:after="140" w:line="300"/>
        <w:jc w:val="both"/>
      </w:pPr>
      <w:r>
        <w:rPr>
          <w:rFonts w:ascii="Cambria" w:cs="Cambria" w:eastAsia="Cambria" w:hAnsi="Cambria"/>
          <w:b w:val="false"/>
          <w:bCs w:val="false"/>
          <w:i w:val="false"/>
          <w:iCs w:val="false"/>
          <w:color w:val="1A1A1A"/>
          <w:sz w:val="22"/>
          <w:szCs w:val="22"/>
        </w:rPr>
        <w:t xml:space="preserve">La struttura del presente Documento ricalca, per i Capitoli da I a IV, l’articolazione della relazione originaria: il Capitolo I ricostruisce il fondamento giuridico-istituzionale ed il razionale scientifico dell’istituzione del Servizio; il Capitolo II approfondisce il quadro di contesto — bisogni, criticità e razionale della riforma — attraverso l’analisi demografica, epidemiologica e socioeconomica; il Capitolo III descrive il modello organizzativo e la dotazione di personale; il Capitolo IV quantifica i costi diretti di implementazione e funzionamento. I Capitoli V–VII, relativi ai risparmi diretti, ai risparmi indiretti ed al saldo economico complessivo, saranno oggetto di successiva integrazione.</w:t>
      </w:r>
    </w:p>
    <w:p>
      <w:pPr>
        <w:spacing w:after="140" w:line="300"/>
        <w:jc w:val="both"/>
      </w:pPr>
      <w:r>
        <w:rPr>
          <w:rFonts w:ascii="Cambria" w:cs="Cambria" w:eastAsia="Cambria" w:hAnsi="Cambria"/>
          <w:b w:val="false"/>
          <w:bCs w:val="false"/>
          <w:i w:val="false"/>
          <w:iCs w:val="false"/>
          <w:color w:val="1A1A1A"/>
          <w:sz w:val="22"/>
          <w:szCs w:val="22"/>
        </w:rPr>
        <w:t>Ogni capitolo è corredato da tabelle sinottiche e da un apparato di note a piè di pagina. Le stime economiche sono espresse in bande falsificabili, con soglie di confutazione e intervalli prudenziali; i rapporti costi-benefici sono ancorati esclusivamente alla letteratura peer-reviewed e non aggregano mai in un’unica cifra netta le dimensioni fiscale, sanitaria e sociale, che restano distinte.</w:t>
      </w:r>
    </w:p>
    <w:p>
      <w:pPr>
        <w:pStyle w:val="Heading1"/>
        <w:pageBreakBefore/>
        <w:shd w:fill="16264B" w:val="clear"/>
        <w:spacing w:after="240" w:before="240"/>
      </w:pPr>
      <w:r>
        <w:rPr>
          <w:b/>
          <w:bCs/>
        </w:rPr>
        <w:t xml:space="preserve">Parte I — Fondamento giuridico-istituzionale e razionale scientifico</w:t>
      </w:r>
    </w:p>
    <w:p>
      <w:pPr>
        <w:pStyle w:val="Heading2"/>
        <w:spacing w:after="160" w:before="300"/>
      </w:pPr>
      <w:r>
        <w:rPr>
          <w:b/>
          <w:bCs/>
        </w:rPr>
        <w:t xml:space="preserve">Premessa del capitolo</w:t>
      </w:r>
    </w:p>
    <w:p>
      <w:pPr>
        <w:spacing w:after="140" w:line="300"/>
        <w:jc w:val="both"/>
      </w:pPr>
      <w:r>
        <w:rPr>
          <w:rFonts w:ascii="Cambria" w:cs="Cambria" w:eastAsia="Cambria" w:hAnsi="Cambria"/>
          <w:b w:val="false"/>
          <w:bCs w:val="false"/>
          <w:i w:val="false"/>
          <w:iCs w:val="false"/>
          <w:color w:val="1A1A1A"/>
          <w:sz w:val="22"/>
          <w:szCs w:val="22"/>
        </w:rPr>
        <w:t xml:space="preserve">Il Capitolo I stabilisce le fondamenta costituzionali, normative e scientifiche su cui poggia l’intera architettura della riforma. Esso dimostra come l’istituzione del Servizio di Psicologia di Base discenda direttamente dai principi costituzionali di tutela della salute, si iscriva nel quadro normativo europeo e nazionale, e trovi conferma in un corpo di evidenze internazionali robusto e convergente.</w:t>
      </w:r>
    </w:p>
    <w:p>
      <w:pPr>
        <w:pStyle w:val="Heading2"/>
        <w:spacing w:after="160" w:before="300"/>
      </w:pPr>
      <w:r>
        <w:rPr>
          <w:b/>
          <w:bCs/>
        </w:rPr>
        <w:t xml:space="preserve">1.1. Oggetto dell’intervento normativo e cornice costituzionale</w:t>
      </w:r>
    </w:p>
    <w:p>
      <w:pPr>
        <w:spacing w:after="140" w:line="300"/>
        <w:jc w:val="both"/>
      </w:pPr>
      <w:r>
        <w:rPr>
          <w:rFonts w:ascii="Cambria" w:cs="Cambria" w:eastAsia="Cambria" w:hAnsi="Cambria"/>
          <w:b w:val="false"/>
          <w:bCs w:val="false"/>
          <w:i w:val="false"/>
          <w:iCs w:val="false"/>
          <w:color w:val="1A1A1A"/>
          <w:sz w:val="22"/>
          <w:szCs w:val="22"/>
        </w:rPr>
        <w:t xml:space="preserve">L’istituzione del Servizio di Psicologia di Base nell’ambito del Servizio Sanitario Regionale pugliese trova il proprio fondamento primario nell’articolo 32 della Costituzione, che tutela la salute come fondamentale diritto dell’individuo ed interesse della collettività, garantendo cure gratuite agli indigenti</w:t>
      </w:r>
      <w:r>
        <w:rPr>
          <w:rStyle w:val="FootnoteReference"/>
        </w:rPr>
        <w:footnoteReference w:id="1"/>
      </w:r>
      <w:r>
        <w:rPr>
          <w:rFonts w:ascii="Cambria" w:cs="Cambria" w:eastAsia="Cambria" w:hAnsi="Cambria"/>
          <w:b w:val="false"/>
          <w:bCs w:val="false"/>
          <w:i w:val="false"/>
          <w:iCs w:val="false"/>
          <w:color w:val="1A1A1A"/>
          <w:sz w:val="22"/>
          <w:szCs w:val="22"/>
        </w:rPr>
        <w:t xml:space="preserve">. La concezione costituzionale della salute, interpretata alla luce dell’evoluzione giurisprudenziale della Corte Costituzionale, abbraccia una visione olistica che comprende necessariamente il benessere psicologico come componente inscindibile della salute complessiva della persona.</w:t>
      </w:r>
    </w:p>
    <w:p>
      <w:pPr>
        <w:spacing w:after="140" w:line="300"/>
        <w:jc w:val="both"/>
      </w:pPr>
      <w:r>
        <w:rPr>
          <w:rFonts w:ascii="Cambria" w:cs="Cambria" w:eastAsia="Cambria" w:hAnsi="Cambria"/>
          <w:b w:val="false"/>
          <w:bCs w:val="false"/>
          <w:i w:val="false"/>
          <w:iCs w:val="false"/>
          <w:color w:val="1A1A1A"/>
          <w:sz w:val="22"/>
          <w:szCs w:val="22"/>
        </w:rPr>
        <w:t xml:space="preserve">L’Organizzazione Mondiale della Sanità, fin dalla sua costituzione nel 1946, ha definito la salute come stato di completo benessere fisico, mentale e sociale, superando ogni concezione riduzionistica</w:t>
      </w:r>
      <w:r>
        <w:rPr>
          <w:rStyle w:val="FootnoteReference"/>
        </w:rPr>
        <w:footnoteReference w:id="2"/>
      </w:r>
      <w:r>
        <w:rPr>
          <w:rFonts w:ascii="Cambria" w:cs="Cambria" w:eastAsia="Cambria" w:hAnsi="Cambria"/>
          <w:b w:val="false"/>
          <w:bCs w:val="false"/>
          <w:i w:val="false"/>
          <w:iCs w:val="false"/>
          <w:color w:val="1A1A1A"/>
          <w:sz w:val="22"/>
          <w:szCs w:val="22"/>
        </w:rPr>
        <w:t xml:space="preserve">. I disturbi mentali rappresentano la seconda causa principale di disabilità a lungo termine e infliggono perdite economiche sostanziali su scala globale, come confermato dal Mental Health Atlas 2024. L’integrazione della componente psicologica nelle cure primarie non costituisce dunque un’opzione discrezionale, ma un imperativo evidence-based per garantire l’effettività del diritto costituzionale alla salute.</w:t>
      </w:r>
    </w:p>
    <w:p>
      <w:r>
        <w:t>La Puglia ha già tradotto questo fondamento in norma positiva: la legge regionale 19 luglio 2023, n. 11, ha istituito il Servizio di Psicologia di Base, rendendo la Regione la prima in Italia a dare veste legislativa al modello qui descritto. Il presente Studio, pertanto, non discute più l’opportunità dell’istituzione, ma ne accompagna la piena attuazione a regime, con un valore aggiunto di riferimento normativo e metodologico per le altre Regioni italiane.</w:t>
      </w:r>
      <w:r>
        <w:rPr>
          <w:rStyle w:val="FootnoteReference"/>
        </w:rPr>
        <w:footnoteReference w:id="3"/>
      </w:r>
    </w:p>
    <w:p>
      <w:pPr>
        <w:spacing w:after="140" w:line="300"/>
        <w:jc w:val="both"/>
      </w:pPr>
      <w:r>
        <w:rPr>
          <w:rFonts w:ascii="Cambria" w:cs="Cambria" w:eastAsia="Cambria" w:hAnsi="Cambria"/>
          <w:b w:val="false"/>
          <w:bCs w:val="false"/>
          <w:i w:val="false"/>
          <w:iCs w:val="false"/>
          <w:color w:val="1A1A1A"/>
          <w:sz w:val="22"/>
          <w:szCs w:val="22"/>
        </w:rPr>
        <w:t xml:space="preserve">Il quadro normativo europeo — Carta dei diritti fondamentali dell’Unione Europea, Pilastro europeo dei diritti sociali, raccomandazioni della Commissione Europea — ha progressivamente consolidato il principio secondo cui l’accesso alle cure psicologiche costituisce un livello essenziale di assistenza da garantire universalmente</w:t>
      </w:r>
      <w:r>
        <w:rPr>
          <w:rStyle w:val="FootnoteReference"/>
        </w:rPr>
        <w:footnoteReference w:id="4"/>
      </w:r>
      <w:r>
        <w:rPr>
          <w:rFonts w:ascii="Cambria" w:cs="Cambria" w:eastAsia="Cambria" w:hAnsi="Cambria"/>
          <w:b w:val="false"/>
          <w:bCs w:val="false"/>
          <w:i w:val="false"/>
          <w:iCs w:val="false"/>
          <w:color w:val="1A1A1A"/>
          <w:sz w:val="22"/>
          <w:szCs w:val="22"/>
        </w:rPr>
        <w:t xml:space="preserve">. La Commissione Europea, nel rapporto sulla salute mentale del 2024, ha rilevato come quasi un giovane europeo su due non abbia ricevuto un supporto adeguato e come solo la metà delle persone con ansia o depressione chieda aiuto, evidenziando un gap strutturale che compromette la sostenibilità dei sistemi sanitari.</w:t>
      </w:r>
    </w:p>
    <w:p>
      <w:pPr>
        <w:pStyle w:val="Heading2"/>
        <w:spacing w:after="160" w:before="300"/>
      </w:pPr>
      <w:r>
        <w:rPr>
          <w:b/>
          <w:bCs/>
        </w:rPr>
        <w:t xml:space="preserve">1.2. La crisi epidemiologica della salute mentale come emergenza sanitaria strutturale</w:t>
      </w:r>
    </w:p>
    <w:p>
      <w:pPr>
        <w:spacing w:after="140" w:line="300"/>
        <w:jc w:val="both"/>
      </w:pPr>
      <w:r>
        <w:rPr>
          <w:rFonts w:ascii="Cambria" w:cs="Cambria" w:eastAsia="Cambria" w:hAnsi="Cambria"/>
          <w:b w:val="false"/>
          <w:bCs w:val="false"/>
          <w:i w:val="false"/>
          <w:iCs w:val="false"/>
          <w:color w:val="1A1A1A"/>
          <w:sz w:val="22"/>
          <w:szCs w:val="22"/>
        </w:rPr>
        <w:t xml:space="preserve">L’analisi epidemiologica della situazione pugliese rivela una convergenza di fattori demografici, socioeconomici e sanitari che configura quella che la letteratura internazionale definisce «tempesta perfetta» per la salute mentale della popolazione. La Regione Puglia, con circa 3.890.661 residenti censiti al 31 dicembre 2023, presenta un invecchiamento accelerato: l’età media è passata da 39,3 anni nel 2002 a 46,4 nel 2024, con un indice di vecchiaia di 200,8 anziani ogni 100 giovani, quasi raddoppiato rispetto al decennio precedente.</w:t>
      </w:r>
    </w:p>
    <w:p>
      <w:pPr>
        <w:spacing w:after="140" w:line="300"/>
        <w:jc w:val="both"/>
      </w:pPr>
      <w:r>
        <w:rPr>
          <w:rFonts w:ascii="Cambria" w:cs="Cambria" w:eastAsia="Cambria" w:hAnsi="Cambria"/>
          <w:b w:val="false"/>
          <w:bCs w:val="false"/>
          <w:i w:val="false"/>
          <w:iCs w:val="false"/>
          <w:color w:val="1A1A1A"/>
          <w:sz w:val="22"/>
          <w:szCs w:val="22"/>
        </w:rPr>
        <w:t xml:space="preserve">Le proiezioni ISTAT indicano una contrazione a 3.769.000 abitanti nel 2030 (−3,5%) e a 3.229.000 nel 2050 (−17,4%). Entro il 2050 la popolazione over 65 rappresenterà il 37,1% del totale contro il 24,2% attuale, con gli over 75 in incremento del 43%. Applicando i coefficienti epidemiologici validati, si stima che tra 50.649 e 74.640 anziani pugliesi presentino oggi disturbi depressivi clinicamente significativi, e tra 69.150 e 92.200 disturbi d’ansia.</w:t>
      </w:r>
    </w:p>
    <w:p>
      <w:pPr>
        <w:spacing w:after="100" w:before="200"/>
      </w:pPr>
      <w:r>
        <w:rPr>
          <w:rFonts w:ascii="Calibri" w:cs="Calibri" w:eastAsia="Calibri" w:hAnsi="Calibri"/>
          <w:b/>
          <w:bCs/>
          <w:i/>
          <w:iCs/>
          <w:color w:val="16264B"/>
          <w:sz w:val="21"/>
          <w:szCs w:val="21"/>
        </w:rPr>
        <w:t xml:space="preserve">Tab. 1.1 — Traiettoria demografica della Regione Puglia (fonte: ISTAT)</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2600"/>
        <w:gridCol w:w="2100"/>
        <w:gridCol w:w="2100"/>
        <w:gridCol w:w="2270"/>
      </w:tblGrid>
      <w:tr>
        <w:trPr>
          <w:tblHeader/>
        </w:trPr>
        <w:tc>
          <w:tcPr>
            <w:tcW w:type="dxa" w:w="26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8"/>
                <w:szCs w:val="20"/>
              </w:rPr>
              <w:t xml:space="preserve">Indicatore</w:t>
            </w:r>
          </w:p>
        </w:tc>
        <w:tc>
          <w:tcPr>
            <w:tcW w:type="dxa" w:w="21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8"/>
                <w:szCs w:val="20"/>
              </w:rPr>
              <w:t xml:space="preserve">2023</w:t>
            </w:r>
          </w:p>
        </w:tc>
        <w:tc>
          <w:tcPr>
            <w:tcW w:type="dxa" w:w="21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8"/>
                <w:szCs w:val="20"/>
              </w:rPr>
              <w:t xml:space="preserve">2030 (proiez.)</w:t>
            </w:r>
          </w:p>
        </w:tc>
        <w:tc>
          <w:tcPr>
            <w:tcW w:type="dxa" w:w="22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8"/>
                <w:szCs w:val="20"/>
              </w:rPr>
              <w:t xml:space="preserve">2050 (proiez.)</w:t>
            </w:r>
          </w:p>
        </w:tc>
      </w:tr>
      <w:tr>
        <w:trPr>
          <w:tblHeader w:val="false"/>
        </w:trPr>
        <w:tc>
          <w:tcPr>
            <w:tcW w:type="dxa" w:w="2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Popolazione residente</w:t>
            </w:r>
          </w:p>
        </w:tc>
        <w:tc>
          <w:tcPr>
            <w:tcW w:type="dxa" w:w="21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3.890.661</w:t>
            </w:r>
          </w:p>
        </w:tc>
        <w:tc>
          <w:tcPr>
            <w:tcW w:type="dxa" w:w="21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3.769.000</w:t>
            </w:r>
          </w:p>
        </w:tc>
        <w:tc>
          <w:tcPr>
            <w:tcW w:type="dxa" w:w="22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3.229.000</w:t>
            </w:r>
          </w:p>
        </w:tc>
      </w:tr>
      <w:tr>
        <w:trPr>
          <w:tblHeader w:val="false"/>
        </w:trPr>
        <w:tc>
          <w:tcPr>
            <w:tcW w:type="dxa" w:w="2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Età media (anni)</w:t>
            </w:r>
          </w:p>
        </w:tc>
        <w:tc>
          <w:tcPr>
            <w:tcW w:type="dxa" w:w="21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46,4</w:t>
            </w:r>
          </w:p>
        </w:tc>
        <w:tc>
          <w:tcPr>
            <w:tcW w:type="dxa" w:w="21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≈47,5</w:t>
            </w:r>
          </w:p>
        </w:tc>
        <w:tc>
          <w:tcPr>
            <w:tcW w:type="dxa" w:w="22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≈50</w:t>
            </w:r>
          </w:p>
        </w:tc>
      </w:tr>
      <w:tr>
        <w:trPr>
          <w:tblHeader w:val="false"/>
        </w:trPr>
        <w:tc>
          <w:tcPr>
            <w:tcW w:type="dxa" w:w="2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Quota over 65</w:t>
            </w:r>
          </w:p>
        </w:tc>
        <w:tc>
          <w:tcPr>
            <w:tcW w:type="dxa" w:w="21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24,2%</w:t>
            </w:r>
          </w:p>
        </w:tc>
        <w:tc>
          <w:tcPr>
            <w:tcW w:type="dxa" w:w="21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≈28%</w:t>
            </w:r>
          </w:p>
        </w:tc>
        <w:tc>
          <w:tcPr>
            <w:tcW w:type="dxa" w:w="22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37,1%</w:t>
            </w:r>
          </w:p>
        </w:tc>
      </w:tr>
      <w:tr>
        <w:trPr>
          <w:tblHeader w:val="false"/>
        </w:trPr>
        <w:tc>
          <w:tcPr>
            <w:tcW w:type="dxa" w:w="2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Over 75 (valori assoluti)</w:t>
            </w:r>
          </w:p>
        </w:tc>
        <w:tc>
          <w:tcPr>
            <w:tcW w:type="dxa" w:w="21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461.000</w:t>
            </w:r>
          </w:p>
        </w:tc>
        <w:tc>
          <w:tcPr>
            <w:tcW w:type="dxa" w:w="21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≈540.000</w:t>
            </w:r>
          </w:p>
        </w:tc>
        <w:tc>
          <w:tcPr>
            <w:tcW w:type="dxa" w:w="22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8"/>
                <w:szCs w:val="20"/>
              </w:rPr>
              <w:t xml:space="preserve">658.000</w:t>
            </w:r>
          </w:p>
        </w:tc>
      </w:tr>
    </w:tbl>
    <w:p>
      <w:pPr>
        <w:spacing w:after="160"/>
      </w:pPr>
    </w:p>
    <w:p>
      <w:pPr>
        <w:pStyle w:val="Heading2"/>
        <w:spacing w:after="160" w:before="300"/>
      </w:pPr>
      <w:r>
        <w:rPr>
          <w:b/>
          <w:bCs/>
        </w:rPr>
        <w:t xml:space="preserve">1.3. Determinanti socioeconomici e amplificazione del rischio psicosociale</w:t>
      </w:r>
    </w:p>
    <w:p>
      <w:pPr>
        <w:spacing w:after="140" w:line="300"/>
        <w:jc w:val="both"/>
      </w:pPr>
      <w:r>
        <w:rPr>
          <w:rFonts w:ascii="Cambria" w:cs="Cambria" w:eastAsia="Cambria" w:hAnsi="Cambria"/>
          <w:b w:val="false"/>
          <w:bCs w:val="false"/>
          <w:i w:val="false"/>
          <w:iCs w:val="false"/>
          <w:color w:val="1A1A1A"/>
          <w:sz w:val="22"/>
          <w:szCs w:val="22"/>
        </w:rPr>
        <w:t xml:space="preserve">Il contesto socioeconomico pugliese colloca la regione tra le aree europee a maggiore vulnerabilità psicosociale. Con il 37,7% della popolazione a rischio di povertà o esclusione sociale — il dato più elevato in Italia dopo la Calabria — la Puglia manifesta una fragilità strutturale che la letteratura identifica come determinante primario di salute mentale</w:t>
      </w:r>
      <w:r>
        <w:rPr>
          <w:rStyle w:val="FootnoteReference"/>
        </w:rPr>
        <w:footnoteReference w:id="5"/>
      </w:r>
      <w:r>
        <w:rPr>
          <w:rFonts w:ascii="Cambria" w:cs="Cambria" w:eastAsia="Cambria" w:hAnsi="Cambria"/>
          <w:b w:val="false"/>
          <w:bCs w:val="false"/>
          <w:i w:val="false"/>
          <w:iCs w:val="false"/>
          <w:color w:val="1A1A1A"/>
          <w:sz w:val="22"/>
          <w:szCs w:val="22"/>
        </w:rPr>
        <w:t xml:space="preserve">. Gli studi longitudinali documentano che il rischio relativo di sviluppare disturbi mentali comuni aumenta di 2,3 volte nelle popolazioni in deprivazione socioeconomica severa, con gradiente dose-risposta.</w:t>
      </w:r>
    </w:p>
    <w:p>
      <w:pPr>
        <w:spacing w:after="140" w:line="300"/>
        <w:jc w:val="both"/>
      </w:pPr>
      <w:r>
        <w:rPr>
          <w:rFonts w:ascii="Cambria" w:cs="Cambria" w:eastAsia="Cambria" w:hAnsi="Cambria"/>
          <w:b w:val="false"/>
          <w:bCs w:val="false"/>
          <w:i w:val="false"/>
          <w:iCs w:val="false"/>
          <w:color w:val="1A1A1A"/>
          <w:sz w:val="22"/>
          <w:szCs w:val="22"/>
        </w:rPr>
        <w:t xml:space="preserve">Il tasso di disoccupazione giovanile pugliese, attestato al 38,4% nella fascia 15–24 anni, coinvolge oltre 100.000 giovani, generando lo scarring effect — un effetto cicatrice psicologico che persiste anche dopo l’inserimento lavorativo, con incremento del rischio di disturbi depressivi e d’ansia del 40% rispetto ai coetanei occupati stabilmente. La condizione di NEET, che coinvolge il 27,3% dei giovani tra 15 e 29 anni, rappresenta un fattore di rischio particolarmente grave, con tassi di incidenza di disturbi mentali del 35% a 5 anni.</w:t>
      </w:r>
    </w:p>
    <w:p>
      <w:pPr>
        <w:pStyle w:val="Heading2"/>
        <w:spacing w:after="160" w:before="300"/>
      </w:pPr>
      <w:r>
        <w:rPr>
          <w:b/>
          <w:bCs/>
        </w:rPr>
        <w:t xml:space="preserve">1.4. Il paradosso dell’offerta: sottodimensionamento strutturale dei servizi</w:t>
      </w:r>
    </w:p>
    <w:p>
      <w:pPr>
        <w:spacing w:after="140" w:line="300"/>
        <w:jc w:val="both"/>
      </w:pPr>
      <w:r>
        <w:rPr>
          <w:rFonts w:ascii="Cambria" w:cs="Cambria" w:eastAsia="Cambria" w:hAnsi="Cambria"/>
          <w:b w:val="false"/>
          <w:bCs w:val="false"/>
          <w:i w:val="false"/>
          <w:iCs w:val="false"/>
          <w:color w:val="1A1A1A"/>
          <w:sz w:val="22"/>
          <w:szCs w:val="22"/>
        </w:rPr>
        <w:t xml:space="preserve">La Puglia destina solo il 3,3% della spesa sanitaria regionale alla salute mentale, percentuale inferiore allo standard minimo del 5% raccomandato dall’OMS e distante dal 10–12% investito dai sistemi nord-europei</w:t>
      </w:r>
      <w:r>
        <w:rPr>
          <w:rStyle w:val="FootnoteReference"/>
        </w:rPr>
        <w:footnoteReference w:id="6"/>
      </w:r>
      <w:r>
        <w:rPr>
          <w:rFonts w:ascii="Cambria" w:cs="Cambria" w:eastAsia="Cambria" w:hAnsi="Cambria"/>
          <w:b w:val="false"/>
          <w:bCs w:val="false"/>
          <w:i w:val="false"/>
          <w:iCs w:val="false"/>
          <w:color w:val="1A1A1A"/>
          <w:sz w:val="22"/>
          <w:szCs w:val="22"/>
        </w:rPr>
        <w:t xml:space="preserve">. Con soli 170 psicologi operanti nei Dipartimenti di Salute Mentale per quasi 4 milioni di abitanti, la Puglia registra un rapporto di 4,4 psicologi ogni 100.000 abitanti, drammaticamente inferiore agli standard europei (18 ogni 100.000 come ottimale, 10 come minimo accettabile).</w:t>
      </w:r>
    </w:p>
    <w:p>
      <w:pPr>
        <w:spacing w:after="140" w:line="300"/>
        <w:jc w:val="both"/>
      </w:pPr>
      <w:r>
        <w:rPr>
          <w:rFonts w:ascii="Cambria" w:cs="Cambria" w:eastAsia="Cambria" w:hAnsi="Cambria"/>
          <w:b w:val="false"/>
          <w:bCs w:val="false"/>
          <w:i w:val="false"/>
          <w:iCs w:val="false"/>
          <w:color w:val="1A1A1A"/>
          <w:sz w:val="22"/>
          <w:szCs w:val="22"/>
        </w:rPr>
        <w:t xml:space="preserve">Questa carenza significa che ogni psicologo del sistema pubblico dovrebbe teoricamente farsi carico di oltre 22.000 cittadini, sproporzione che rende materialmente impossibile l’accesso universale sancito dai livelli essenziali di assistenza. Il 43% dei comuni pugliesi non dispone di alcun presidio di salute mentale nel proprio territorio, costringendo i cittadini a percorrenze medie di oltre 30 chilometri.</w:t>
      </w:r>
    </w:p>
    <w:p>
      <w:pPr>
        <w:pStyle w:val="Heading2"/>
        <w:spacing w:after="160" w:before="300"/>
      </w:pPr>
      <w:r>
        <w:rPr>
          <w:b/>
          <w:bCs/>
        </w:rPr>
        <w:t xml:space="preserve">1.5. Evidenze internazionali sull’efficacia dell’integrazione</w:t>
      </w:r>
    </w:p>
    <w:p>
      <w:pPr>
        <w:spacing w:after="140" w:line="300"/>
        <w:jc w:val="both"/>
      </w:pPr>
      <w:r>
        <w:rPr>
          <w:rFonts w:ascii="Cambria" w:cs="Cambria" w:eastAsia="Cambria" w:hAnsi="Cambria"/>
          <w:b w:val="false"/>
          <w:bCs w:val="false"/>
          <w:i w:val="false"/>
          <w:iCs w:val="false"/>
          <w:color w:val="1A1A1A"/>
          <w:sz w:val="22"/>
          <w:szCs w:val="22"/>
        </w:rPr>
        <w:t xml:space="preserve">Una meta-analisi su PLOS ONE, che ha analizzato 74 trial randomizzati controllati del modello collaborativo, ha dimostrato che l’integrazione di interventi psicologici produce miglioramenti significativi nei sintomi depressivi (coefficiente beta −0,11; IC 95% da −0,20 a −0,01; p=0,03)</w:t>
      </w:r>
      <w:r>
        <w:rPr>
          <w:rStyle w:val="FootnoteReference"/>
        </w:rPr>
        <w:footnoteReference w:id="7"/>
      </w:r>
      <w:r>
        <w:rPr>
          <w:rFonts w:ascii="Cambria" w:cs="Cambria" w:eastAsia="Cambria" w:hAnsi="Cambria"/>
          <w:b w:val="false"/>
          <w:bCs w:val="false"/>
          <w:i w:val="false"/>
          <w:iCs w:val="false"/>
          <w:color w:val="1A1A1A"/>
          <w:sz w:val="22"/>
          <w:szCs w:val="22"/>
        </w:rPr>
        <w:t xml:space="preserve">. Il programma britannico Improving Access to Psychological Therapies (IAPT), oggi NHS Talking Therapies, ha trattato nel 2023–2024 oltre 1,3 milioni di persone con tassi di recovery del 51%.</w:t>
      </w:r>
    </w:p>
    <w:p>
      <w:pPr>
        <w:spacing w:after="140" w:line="300"/>
        <w:jc w:val="both"/>
      </w:pPr>
      <w:r>
        <w:rPr>
          <w:rFonts w:ascii="Cambria" w:cs="Cambria" w:eastAsia="Cambria" w:hAnsi="Cambria"/>
          <w:b w:val="false"/>
          <w:bCs w:val="false"/>
          <w:i w:val="false"/>
          <w:iCs w:val="false"/>
          <w:color w:val="1A1A1A"/>
          <w:sz w:val="22"/>
          <w:szCs w:val="22"/>
        </w:rPr>
        <w:t xml:space="preserve">L’analisi economica del programma ha documentato un rapporto costo-efficacia di 16.857 sterline per QALY guadagnato, ben al di sotto della soglia di 30.000 sterline considerata cost-effective dal NICE</w:t>
      </w:r>
      <w:r>
        <w:rPr>
          <w:rStyle w:val="FootnoteReference"/>
        </w:rPr>
        <w:footnoteReference w:id="8"/>
      </w:r>
      <w:r>
        <w:rPr>
          <w:rFonts w:ascii="Cambria" w:cs="Cambria" w:eastAsia="Cambria" w:hAnsi="Cambria"/>
          <w:b w:val="false"/>
          <w:bCs w:val="false"/>
          <w:i w:val="false"/>
          <w:iCs w:val="false"/>
          <w:color w:val="1A1A1A"/>
          <w:sz w:val="22"/>
          <w:szCs w:val="22"/>
        </w:rPr>
        <w:t xml:space="preserve">. Il modello olandese POH-GGZ ha permesso nel 2023 a oltre 700.000 cittadini di accedere a psicologi integrati negli studi di medicina generale, con riduzioni del 23% nelle prescrizioni di benzodiazepine e del 31% negli invii inappropriati ai servizi specialistici.</w:t>
      </w:r>
    </w:p>
    <w:p>
      <w:pPr>
        <w:spacing w:after="100" w:before="200"/>
      </w:pPr>
      <w:r>
        <w:rPr>
          <w:rFonts w:ascii="Calibri" w:cs="Calibri" w:eastAsia="Calibri" w:hAnsi="Calibri"/>
          <w:b/>
          <w:bCs/>
          <w:i/>
          <w:iCs/>
          <w:color w:val="16264B"/>
          <w:sz w:val="21"/>
          <w:szCs w:val="21"/>
        </w:rPr>
        <w:t xml:space="preserve">Tab. 1.2 — Modelli internazionali di integrazione della psicologia nelle cure primarie</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1700"/>
        <w:gridCol w:w="1500"/>
        <w:gridCol w:w="2900"/>
        <w:gridCol w:w="2970"/>
      </w:tblGrid>
      <w:tr>
        <w:trPr>
          <w:tblHeader/>
        </w:trPr>
        <w:tc>
          <w:tcPr>
            <w:tcW w:type="dxa" w:w="17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Modello</w:t>
            </w:r>
          </w:p>
        </w:tc>
        <w:tc>
          <w:tcPr>
            <w:tcW w:type="dxa" w:w="15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Paese</w:t>
            </w:r>
          </w:p>
        </w:tc>
        <w:tc>
          <w:tcPr>
            <w:tcW w:type="dxa" w:w="29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Copertura / attività</w:t>
            </w:r>
          </w:p>
        </w:tc>
        <w:tc>
          <w:tcPr>
            <w:tcW w:type="dxa" w:w="29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Esiti chiave</w:t>
            </w:r>
          </w:p>
        </w:tc>
      </w:tr>
      <w:tr>
        <w:trPr>
          <w:tblHeader w:val="false"/>
        </w:trPr>
        <w:tc>
          <w:tcPr>
            <w:tcW w:type="dxa" w:w="17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IAPT / NHS Talking Therapies</w:t>
            </w:r>
          </w:p>
        </w:tc>
        <w:tc>
          <w:tcPr>
            <w:tcW w:type="dxa" w:w="15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Regno Unito</w:t>
            </w:r>
          </w:p>
        </w:tc>
        <w:tc>
          <w:tcPr>
            <w:tcW w:type="dxa" w:w="29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&gt;1,3 mln persone/anno</w:t>
            </w:r>
          </w:p>
        </w:tc>
        <w:tc>
          <w:tcPr>
            <w:tcW w:type="dxa" w:w="29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Recovery 51%; 16.857 £/QALY</w:t>
            </w:r>
          </w:p>
        </w:tc>
      </w:tr>
      <w:tr>
        <w:trPr>
          <w:tblHeader w:val="false"/>
        </w:trPr>
        <w:tc>
          <w:tcPr>
            <w:tcW w:type="dxa" w:w="17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POH-GGZ</w:t>
            </w:r>
          </w:p>
        </w:tc>
        <w:tc>
          <w:tcPr>
            <w:tcW w:type="dxa" w:w="15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Paesi Bassi</w:t>
            </w:r>
          </w:p>
        </w:tc>
        <w:tc>
          <w:tcPr>
            <w:tcW w:type="dxa" w:w="29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&gt;700.000 accessi/anno</w:t>
            </w:r>
          </w:p>
        </w:tc>
        <w:tc>
          <w:tcPr>
            <w:tcW w:type="dxa" w:w="29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−23% benzodiazepine; −31% invii</w:t>
            </w:r>
          </w:p>
        </w:tc>
      </w:tr>
      <w:tr>
        <w:trPr>
          <w:tblHeader w:val="false"/>
        </w:trPr>
        <w:tc>
          <w:tcPr>
            <w:tcW w:type="dxa" w:w="17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Better Access</w:t>
            </w:r>
          </w:p>
        </w:tc>
        <w:tc>
          <w:tcPr>
            <w:tcW w:type="dxa" w:w="15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Australia</w:t>
            </w:r>
          </w:p>
        </w:tc>
        <w:tc>
          <w:tcPr>
            <w:tcW w:type="dxa" w:w="29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Fino a 10 sedute Medicare</w:t>
            </w:r>
          </w:p>
        </w:tc>
        <w:tc>
          <w:tcPr>
            <w:tcW w:type="dxa" w:w="29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rapporto costi-benefici 4,2:1 (fonte)</w:t>
            </w:r>
          </w:p>
        </w:tc>
      </w:tr>
      <w:tr>
        <w:trPr>
          <w:tblHeader w:val="false"/>
        </w:trPr>
        <w:tc>
          <w:tcPr>
            <w:tcW w:type="dxa" w:w="17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Collaborative Care Model</w:t>
            </w:r>
          </w:p>
        </w:tc>
        <w:tc>
          <w:tcPr>
            <w:tcW w:type="dxa" w:w="15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Stati Uniti</w:t>
            </w:r>
          </w:p>
        </w:tc>
        <w:tc>
          <w:tcPr>
            <w:tcW w:type="dxa" w:w="29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&gt;90 RCT validati</w:t>
            </w:r>
          </w:p>
        </w:tc>
        <w:tc>
          <w:tcPr>
            <w:tcW w:type="dxa" w:w="29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−47% sintomi depressivi a 6 mesi</w:t>
            </w:r>
          </w:p>
        </w:tc>
      </w:tr>
    </w:tbl>
    <w:p>
      <w:pPr>
        <w:spacing w:after="160"/>
      </w:pPr>
    </w:p>
    <w:p>
      <w:pPr>
        <w:pStyle w:val="Heading2"/>
        <w:spacing w:after="160" w:before="300"/>
      </w:pPr>
      <w:r>
        <w:rPr>
          <w:b/>
          <w:bCs/>
        </w:rPr>
        <w:t xml:space="preserve">1.6. Il Collaborative Care Model: paradigma evidence-based</w:t>
      </w:r>
    </w:p>
    <w:p>
      <w:pPr>
        <w:spacing w:after="140" w:line="300"/>
        <w:jc w:val="both"/>
      </w:pPr>
      <w:r>
        <w:rPr>
          <w:rFonts w:ascii="Cambria" w:cs="Cambria" w:eastAsia="Cambria" w:hAnsi="Cambria"/>
          <w:b w:val="false"/>
          <w:bCs w:val="false"/>
          <w:i w:val="false"/>
          <w:iCs w:val="false"/>
          <w:color w:val="1A1A1A"/>
          <w:sz w:val="22"/>
          <w:szCs w:val="22"/>
        </w:rPr>
        <w:t xml:space="preserve">Il Collaborative Care Model (CoCM), sviluppato presso l’Università di Washington e validato attraverso oltre 90 trial randomizzati controllati, rappresenta il paradigma evidence-based di riferimento</w:t>
      </w:r>
      <w:r>
        <w:rPr>
          <w:rStyle w:val="FootnoteReference"/>
        </w:rPr>
        <w:footnoteReference w:id="9"/>
      </w:r>
      <w:r>
        <w:rPr>
          <w:rFonts w:ascii="Cambria" w:cs="Cambria" w:eastAsia="Cambria" w:hAnsi="Cambria"/>
          <w:b w:val="false"/>
          <w:bCs w:val="false"/>
          <w:i w:val="false"/>
          <w:iCs w:val="false"/>
          <w:color w:val="1A1A1A"/>
          <w:sz w:val="22"/>
          <w:szCs w:val="22"/>
        </w:rPr>
        <w:t xml:space="preserve">. Una revisione sistematica su BMC Primary Care del 2024, che ha analizzato 42 implementazioni, ha documentato riduzioni medie del 47% nei sintomi depressivi a 6 mesi (PHQ-9), del 43% nei sintomi ansiosi (GAD-7), del 28% nei giorni di assenza dal lavoro, del 34% negli accessi al pronto soccorso per sintomi psicosomatici e del 41% nei ricoveri psichiatrici.</w:t>
      </w:r>
    </w:p>
    <w:p>
      <w:pPr>
        <w:spacing w:after="140" w:line="300"/>
        <w:jc w:val="both"/>
      </w:pPr>
      <w:r>
        <w:rPr>
          <w:rFonts w:ascii="Cambria" w:cs="Cambria" w:eastAsia="Cambria" w:hAnsi="Cambria"/>
          <w:b w:val="false"/>
          <w:bCs w:val="false"/>
          <w:i w:val="false"/>
          <w:iCs w:val="false"/>
          <w:color w:val="1A1A1A"/>
          <w:sz w:val="22"/>
          <w:szCs w:val="22"/>
        </w:rPr>
        <w:t>L’analisi economica del CoCM, condotta con modelli Markov e pubblicata su Health Affairs, dimostra che l’investimento iniziale di 500–800 dollari per paziente genera risparmi netti di 1.800–3.200 dollari nell’arco di 24 mesi. Il ritorno del modello è qui documentato attraverso il costo per anno di vita ponderato per la qualità (QALY), pari a circa 9.800 euro secondo il quadro aggiornato di Unisanté e dell’OCSE (2026)</w:t>
      </w:r>
      <w:r>
        <w:rPr>
          <w:rStyle w:val="FootnoteReference"/>
        </w:rPr>
        <w:footnoteReference w:id="10"/>
      </w:r>
      <w:r>
        <w:rPr>
          <w:rFonts w:ascii="Cambria" w:cs="Cambria" w:eastAsia="Cambria" w:hAnsi="Cambria"/>
          <w:b w:val="false"/>
          <w:bCs w:val="false"/>
          <w:i w:val="false"/>
          <w:iCs w:val="false"/>
          <w:color w:val="1A1A1A"/>
          <w:sz w:val="22"/>
          <w:szCs w:val="22"/>
        </w:rPr>
        <w:t>; tale metrica, ben al di sotto delle soglie di costo-efficacia correntemente adottate, è adottata in modo invariante in tutto il presente Studio.</w:t>
      </w:r>
    </w:p>
    <w:p>
      <w:pPr>
        <w:pStyle w:val="Heading2"/>
        <w:spacing w:after="160" w:before="300"/>
      </w:pPr>
      <w:r>
        <w:rPr>
          <w:b/>
          <w:bCs/>
        </w:rPr>
        <w:t xml:space="preserve">1.7. L’imperativo della prevenzione: dalle neuroscienze alle policy</w:t>
      </w:r>
    </w:p>
    <w:p>
      <w:pPr>
        <w:spacing w:after="140" w:line="300"/>
        <w:jc w:val="both"/>
      </w:pPr>
      <w:r>
        <w:rPr>
          <w:rFonts w:ascii="Cambria" w:cs="Cambria" w:eastAsia="Cambria" w:hAnsi="Cambria"/>
          <w:b w:val="false"/>
          <w:bCs w:val="false"/>
          <w:i w:val="false"/>
          <w:iCs w:val="false"/>
          <w:color w:val="1A1A1A"/>
          <w:sz w:val="22"/>
          <w:szCs w:val="22"/>
        </w:rPr>
        <w:t xml:space="preserve">Le neuroscienze contemporanee hanno dimostrato, attraverso neuroimaging funzionale, epigenetica e psiconeuroimmunologia, che l’esposizione prolungata a stress psicosociale produce modificazioni neurobiologiche misurabili: riduzione volumetrica dell’ippocampo dell’8–10%, alterazioni della connettività della default mode network, incremento basale del cortisolo del 23%, alterazioni del ritmo circadiano nel 67% dei soggetti esposti. Queste evidenze forniscono il razionale per interventi preventivi precoci.</w:t>
      </w:r>
    </w:p>
    <w:p>
      <w:pPr>
        <w:spacing w:after="140" w:line="300"/>
        <w:jc w:val="both"/>
      </w:pPr>
      <w:r>
        <w:rPr>
          <w:rFonts w:ascii="Cambria" w:cs="Cambria" w:eastAsia="Cambria" w:hAnsi="Cambria"/>
          <w:b w:val="false"/>
          <w:bCs w:val="false"/>
          <w:i w:val="false"/>
          <w:iCs w:val="false"/>
          <w:color w:val="1A1A1A"/>
          <w:sz w:val="22"/>
          <w:szCs w:val="22"/>
        </w:rPr>
        <w:t xml:space="preserve">Gli studi di prevenzione indicata dimostrano che interventi psicologici brevi di 6–8 sedute riducono l’incidenza di depressione maggiore del 21% (risk ratio 0,79; IC 95% 0,69–0,91) e dei disturbi d’ansia del 19% (risk ratio 0,81; IC 95% 0,72–0,92) nell’arco di 12 mesi</w:t>
      </w:r>
      <w:r>
        <w:rPr>
          <w:rStyle w:val="FootnoteReference"/>
        </w:rPr>
        <w:footnoteReference w:id="11"/>
      </w:r>
      <w:r>
        <w:rPr>
          <w:rFonts w:ascii="Cambria" w:cs="Cambria" w:eastAsia="Cambria" w:hAnsi="Cambria"/>
          <w:b w:val="false"/>
          <w:bCs w:val="false"/>
          <w:i w:val="false"/>
          <w:iCs w:val="false"/>
          <w:color w:val="1A1A1A"/>
          <w:sz w:val="22"/>
          <w:szCs w:val="22"/>
        </w:rPr>
        <w:t xml:space="preserve">. Secondo il Mental Health Atlas 2024, il 71% dei paesi soddisfa almeno 3 dei 5 criteri OMS di integrazione della salute mentale nelle cure primarie, ma permangono disparità di accesso significative.</w:t>
      </w:r>
    </w:p>
    <w:p>
      <w:pPr>
        <w:pStyle w:val="Heading2"/>
        <w:spacing w:after="160" w:before="300"/>
      </w:pPr>
      <w:r>
        <w:rPr>
          <w:b/>
          <w:bCs/>
        </w:rPr>
        <w:t xml:space="preserve">1.8. La dimensione economica: dal costo della non-azione al valore dell’investimento</w:t>
      </w:r>
    </w:p>
    <w:p>
      <w:pPr>
        <w:spacing w:after="140" w:line="300"/>
        <w:jc w:val="both"/>
      </w:pPr>
      <w:r>
        <w:rPr>
          <w:rFonts w:ascii="Cambria" w:cs="Cambria" w:eastAsia="Cambria" w:hAnsi="Cambria"/>
          <w:b w:val="false"/>
          <w:bCs w:val="false"/>
          <w:i w:val="false"/>
          <w:iCs w:val="false"/>
          <w:color w:val="1A1A1A"/>
          <w:sz w:val="22"/>
          <w:szCs w:val="22"/>
        </w:rPr>
        <w:t xml:space="preserve">Depressione e ansia costano all’economia globale circa 1 trilione di dollari l’anno, prevalentemente in perdita di produttività</w:t>
      </w:r>
      <w:r>
        <w:rPr>
          <w:rStyle w:val="FootnoteReference"/>
        </w:rPr>
        <w:footnoteReference w:id="12"/>
      </w:r>
      <w:r>
        <w:rPr>
          <w:rFonts w:ascii="Cambria" w:cs="Cambria" w:eastAsia="Cambria" w:hAnsi="Cambria"/>
          <w:b w:val="false"/>
          <w:bCs w:val="false"/>
          <w:i w:val="false"/>
          <w:iCs w:val="false"/>
          <w:color w:val="1A1A1A"/>
          <w:sz w:val="22"/>
          <w:szCs w:val="22"/>
        </w:rPr>
        <w:t xml:space="preserve">. A livello regionale, i disturbi mentali non trattati generano in Puglia costi diretti sanitari stimati in 420 milioni di euro annui e costi indiretti per perdita di produttività, assenteismo e presenteismo per ulteriori 780 milioni, per un impatto complessivo superiore a 1,2 miliardi di euro annui, pari a circa l’1,7% del PIL regionale.</w:t>
      </w:r>
    </w:p>
    <w:p>
      <w:r>
        <w:t>L’argomento economico centrale a sostegno dell’intercettazione precoce è oggi il differenziale di costo per gravità: secondo l’OCSE, il costo di trattamento di un disturbo mentale comune cresce da circa 511 euro per i sintomi lievi a circa 10.485 euro per i quadri gravi, un multiplo che rende l’intervento tempestivo la leva economica più robusta a disposizione del sistema. L’Organizzazione Mondiale della Sanità ha confermato, nel dicembre 2024, un ritorno di quattro dollari per ogni dollaro investito in salute mentale, esteso a sette dollari per la componente delle malattie non trasmissibili.</w:t>
      </w:r>
      <w:r>
        <w:rPr>
          <w:rStyle w:val="FootnoteReference"/>
        </w:rPr>
        <w:footnoteReference w:id="13"/>
      </w:r>
      <w:r/>
      <w:r>
        <w:rPr>
          <w:rStyle w:val="FootnoteReference"/>
        </w:rPr>
        <w:footnoteReference w:id="14"/>
      </w:r>
    </w:p>
    <w:p>
      <w:pPr>
        <w:spacing w:after="140" w:line="300"/>
        <w:jc w:val="both"/>
      </w:pPr>
      <w:r>
        <w:rPr>
          <w:rFonts w:ascii="Cambria" w:cs="Cambria" w:eastAsia="Cambria" w:hAnsi="Cambria"/>
          <w:b w:val="false"/>
          <w:bCs w:val="false"/>
          <w:i w:val="false"/>
          <w:iCs w:val="false"/>
          <w:color w:val="1A1A1A"/>
          <w:sz w:val="22"/>
          <w:szCs w:val="22"/>
        </w:rPr>
        <w:t xml:space="preserve">I pazienti con disturbi mentali non trattati presentano tassi di utilizzo dei servizi sanitari per sintomi somatici del 78% superiori alla popolazione generale: 12,3 visite ambulatoriali annue contro 6,9, 3,4 volte più esami diagnostici, tassi di accesso al pronto soccorso 2,8 volte superiori, costi farmaceutici del 94% superiori. L’investimento in un Servizio di Psicologia di Base genera risparmi documentati che superano ampiamente i costi.</w:t>
      </w:r>
    </w:p>
    <w:p>
      <w:pPr>
        <w:pStyle w:val="Heading2"/>
        <w:spacing w:after="160" w:before="300"/>
      </w:pPr>
      <w:r>
        <w:rPr>
          <w:b/>
          <w:bCs/>
        </w:rPr>
        <w:t xml:space="preserve">1.9. Il modello organizzativo proposto: integrazione sistemica e stepped care</w:t>
      </w:r>
    </w:p>
    <w:p>
      <w:pPr>
        <w:spacing w:after="140" w:line="300"/>
        <w:jc w:val="both"/>
      </w:pPr>
      <w:r>
        <w:rPr>
          <w:rFonts w:ascii="Cambria" w:cs="Cambria" w:eastAsia="Cambria" w:hAnsi="Cambria"/>
          <w:b w:val="false"/>
          <w:bCs w:val="false"/>
          <w:i w:val="false"/>
          <w:iCs w:val="false"/>
          <w:color w:val="1A1A1A"/>
          <w:sz w:val="22"/>
          <w:szCs w:val="22"/>
        </w:rPr>
        <w:t xml:space="preserve">Il Servizio si configura come componente strutturale delle cure primarie territoriali, operante a livello distrettuale in coerenza con il DM 77/2022 e con la Missione 6 del PNRR</w:t>
      </w:r>
      <w:r>
        <w:rPr>
          <w:rStyle w:val="FootnoteReference"/>
        </w:rPr>
        <w:footnoteReference w:id="15"/>
      </w:r>
      <w:r>
        <w:rPr>
          <w:rFonts w:ascii="Cambria" w:cs="Cambria" w:eastAsia="Cambria" w:hAnsi="Cambria"/>
          <w:b w:val="false"/>
          <w:bCs w:val="false"/>
          <w:i w:val="false"/>
          <w:iCs w:val="false"/>
          <w:color w:val="1A1A1A"/>
          <w:sz w:val="22"/>
          <w:szCs w:val="22"/>
        </w:rPr>
        <w:t xml:space="preserve">. Il modello prevede l’inserimento di psicologi dedicati nelle Case della Comunità, secondo un rapporto ottimale di 1 psicologo ogni 4–5 medici di base, corrispondente a circa 1 psicologo ogni 5.000–6.000 abitanti nello scenario standard.</w:t>
      </w:r>
    </w:p>
    <w:p>
      <w:pPr>
        <w:spacing w:after="140" w:line="300"/>
        <w:jc w:val="both"/>
      </w:pPr>
      <w:r>
        <w:rPr>
          <w:rFonts w:ascii="Cambria" w:cs="Cambria" w:eastAsia="Cambria" w:hAnsi="Cambria"/>
          <w:b w:val="false"/>
          <w:bCs w:val="false"/>
          <w:i w:val="false"/>
          <w:iCs w:val="false"/>
          <w:color w:val="1A1A1A"/>
          <w:sz w:val="22"/>
          <w:szCs w:val="22"/>
        </w:rPr>
        <w:t xml:space="preserve">L’approccio stepped care prevede tre livelli di intensità: watchful waiting e psicoeducazione (1–2 incontri) per sintomi lievi; interventi psicologici brevi manualizzati (5–8 sedute, efficacia del 67% nel raggiungimento della remissione) per disturbi comuni lieve-moderati; trattamenti intensivi o invio ai servizi specialistici per il 15–20% di casi con disturbi severi. La formazione degli psicologi di base prevede un percorso iniziale di minimo 40 ore più formazione continua ECM e supervisione clinica.</w:t>
      </w:r>
    </w:p>
    <w:p>
      <w:pPr>
        <w:pStyle w:val="Heading2"/>
        <w:spacing w:after="160" w:before="300"/>
      </w:pPr>
      <w:r>
        <w:rPr>
          <w:b/>
          <w:bCs/>
        </w:rPr>
        <w:t xml:space="preserve">1.10. Sistema di monitoraggio e valutazione</w:t>
      </w:r>
    </w:p>
    <w:p>
      <w:pPr>
        <w:spacing w:after="140" w:line="300"/>
        <w:jc w:val="both"/>
      </w:pPr>
      <w:r>
        <w:rPr>
          <w:rFonts w:ascii="Cambria" w:cs="Cambria" w:eastAsia="Cambria" w:hAnsi="Cambria"/>
          <w:b w:val="false"/>
          <w:bCs w:val="false"/>
          <w:i w:val="false"/>
          <w:iCs w:val="false"/>
          <w:color w:val="1A1A1A"/>
          <w:sz w:val="22"/>
          <w:szCs w:val="22"/>
        </w:rPr>
        <w:t xml:space="preserve">L’implementazione prevede un sistema di monitoraggio multilivello basato sul modello Donabedian integrato con i principi del Routine Outcome Monitoring validati nel contesto IAPT. Gli indicatori si articolano su quattro dimensioni: struttura (dotazione e distribuzione territoriale), processo (volumi di attività, tempi di attesa, appropriatezza), esito (efficacia clinica misurata con PHQ-9, GAD-7, WHO-DAS; tassi di recovery e reliable improvement) e impatto economico (risparmi diretti e benefici indiretti, con calcolo di ICER e ROI a 1, 3 e 5 anni).</w:t>
      </w:r>
    </w:p>
    <w:p>
      <w:pPr>
        <w:pStyle w:val="Heading2"/>
        <w:spacing w:after="160" w:before="300"/>
      </w:pPr>
      <w:r>
        <w:rPr>
          <w:b/>
          <w:bCs/>
        </w:rPr>
        <w:t xml:space="preserve">1.11. Conclusioni del Capitolo I</w:t>
      </w:r>
    </w:p>
    <w:p>
      <w:pPr>
        <w:spacing w:after="140" w:line="300"/>
        <w:jc w:val="both"/>
      </w:pPr>
      <w:r>
        <w:rPr>
          <w:rFonts w:ascii="Cambria" w:cs="Cambria" w:eastAsia="Cambria" w:hAnsi="Cambria"/>
          <w:b w:val="false"/>
          <w:bCs w:val="false"/>
          <w:i w:val="false"/>
          <w:iCs w:val="false"/>
          <w:color w:val="1A1A1A"/>
          <w:sz w:val="22"/>
          <w:szCs w:val="22"/>
        </w:rPr>
        <w:t>L’istituzione del Servizio di Psicologia di Base non rappresenta una scelta politica opzionale, ma una risposta evidence-based, giuridicamente fondata ed economicamente sostenibile a un’emergenza sanitaria e sociale. Le evidenze internazionali dimostrano che l’integrazione della psicologia nelle cure primarie produce benefici clinici misurabili, migliora l’appropriatezza del sistema, riduce le disuguaglianze e genera un ritorno economico che, secondo il quadro aggiornato di Unisanté e dell’OCSE (2026), si colloca a un costo per anno di vita ponderato per la qualità di circa 9.800 euro, ben al di sotto delle soglie di costo-efficacia adottate dai sistemi sanitari universalistici.</w:t>
      </w:r>
    </w:p>
    <w:p>
      <w:pPr>
        <w:spacing w:after="140" w:line="300"/>
        <w:jc w:val="both"/>
      </w:pPr>
      <w:r>
        <w:rPr>
          <w:rFonts w:ascii="Cambria" w:cs="Cambria" w:eastAsia="Cambria" w:hAnsi="Cambria"/>
          <w:b w:val="false"/>
          <w:bCs w:val="false"/>
          <w:i w:val="false"/>
          <w:iCs w:val="false"/>
          <w:color w:val="1A1A1A"/>
          <w:sz w:val="22"/>
          <w:szCs w:val="22"/>
        </w:rPr>
        <w:t>La Puglia, avendo per prima in Italia promulgato la legge regionale 19 luglio 2023, n. 11, ha già trasformato questa fragilità in un laboratorio di innovazione. Il presente Studio ne accompagna la piena attuazione a regime, in una logica di scrutinio democratico e miglioramento continuo su basi di evidenza empirica, collocando la Regione all’avanguardia europea come modello replicabile per le altre Regioni italiane.</w:t>
      </w:r>
    </w:p>
    <w:p>
      <w:pPr>
        <w:pStyle w:val="Heading1"/>
        <w:pageBreakBefore/>
        <w:shd w:fill="16264B" w:val="clear"/>
        <w:spacing w:after="240" w:before="240"/>
      </w:pPr>
      <w:r>
        <w:rPr>
          <w:b/>
          <w:bCs/>
        </w:rPr>
        <w:t xml:space="preserve">Parte II — Quadro di contesto: bisogni, criticità e razionale della riforma</w:t>
      </w:r>
    </w:p>
    <w:p>
      <w:pPr>
        <w:pStyle w:val="Heading2"/>
        <w:spacing w:after="160" w:before="300"/>
      </w:pPr>
      <w:r>
        <w:rPr>
          <w:b/>
          <w:bCs/>
        </w:rPr>
        <w:t xml:space="preserve">Premessa metodologica del capitolo</w:t>
      </w:r>
    </w:p>
    <w:p>
      <w:pPr>
        <w:spacing w:after="140" w:line="300"/>
        <w:jc w:val="both"/>
      </w:pPr>
      <w:r>
        <w:rPr>
          <w:rFonts w:ascii="Cambria" w:cs="Cambria" w:eastAsia="Cambria" w:hAnsi="Cambria"/>
          <w:b w:val="false"/>
          <w:bCs w:val="false"/>
          <w:i w:val="false"/>
          <w:iCs w:val="false"/>
          <w:color w:val="1A1A1A"/>
          <w:sz w:val="22"/>
          <w:szCs w:val="22"/>
        </w:rPr>
        <w:t xml:space="preserve">Il Capitolo II costituisce il nucleo analitico fondante dell’intera proposta, fornendo una disamina scientificamente rigorosa e quantitativamente fondata del contesto epidemiologico, demografico, socioeconomico e sanitario. L’analisi procede attraverso un approccio multidisciplinare che integra epidemiologia descrittiva ed analitica, demografia matematica, economia sanitaria, sociologia della salute e valutazione comparativa di modelli assistenziali internazionali, articolandosi su cinque assi analitici interconnessi: la transizione demografica, il burden epidemiologico, i determinanti socioeconomici, la configurazione del sistema sanitario regionale e l’analisi comparativa dei modelli internazionali.</w:t>
      </w:r>
    </w:p>
    <w:p>
      <w:pPr>
        <w:pStyle w:val="Heading2"/>
        <w:spacing w:after="160" w:before="300"/>
      </w:pPr>
      <w:r>
        <w:rPr>
          <w:b/>
          <w:bCs/>
        </w:rPr>
        <w:t xml:space="preserve">2.1. La transizione demografica come fattore strutturale di amplificazione del bisogno</w:t>
      </w:r>
    </w:p>
    <w:p>
      <w:pPr>
        <w:pStyle w:val="Heading3"/>
        <w:spacing w:after="120" w:before="220"/>
      </w:pPr>
      <w:r>
        <w:rPr>
          <w:b/>
          <w:bCs/>
        </w:rPr>
        <w:t xml:space="preserve">2.1.1. Dati demografici aggiornati e proiezioni di lungo periodo</w:t>
      </w:r>
    </w:p>
    <w:p>
      <w:pPr>
        <w:spacing w:after="140" w:line="300"/>
        <w:jc w:val="both"/>
      </w:pPr>
      <w:r>
        <w:rPr>
          <w:rFonts w:ascii="Cambria" w:cs="Cambria" w:eastAsia="Cambria" w:hAnsi="Cambria"/>
          <w:b w:val="false"/>
          <w:bCs w:val="false"/>
          <w:i w:val="false"/>
          <w:iCs w:val="false"/>
          <w:color w:val="1A1A1A"/>
          <w:sz w:val="22"/>
          <w:szCs w:val="22"/>
        </w:rPr>
        <w:t xml:space="preserve">Secondo il Censimento Permanente della Popolazione (ISTAT, aprile 2025), la popolazione residente in Puglia al 31 dicembre 2023 ammontava a 3.890.661 individui, con una riduzione di 17.022 unità rispetto all’anno precedente</w:t>
      </w:r>
      <w:r>
        <w:rPr>
          <w:rStyle w:val="FootnoteReference"/>
        </w:rPr>
        <w:footnoteReference w:id="16"/>
      </w:r>
      <w:r>
        <w:rPr>
          <w:rFonts w:ascii="Cambria" w:cs="Cambria" w:eastAsia="Cambria" w:hAnsi="Cambria"/>
          <w:b w:val="false"/>
          <w:bCs w:val="false"/>
          <w:i w:val="false"/>
          <w:iCs w:val="false"/>
          <w:color w:val="1A1A1A"/>
          <w:sz w:val="22"/>
          <w:szCs w:val="22"/>
        </w:rPr>
        <w:t xml:space="preserve">. Gli Indicatori Demografici ISTAT aggiornati al 1° gennaio 2025 quantificano la popolazione in circa 3.874.000 residenti, di cui circa 157.000 stranieri (4% del totale). L’età media ha raggiunto 46,7 anni, in costante crescita rispetto ai 42,9 del 2011.</w:t>
      </w:r>
    </w:p>
    <w:p>
      <w:pPr>
        <w:spacing w:after="140" w:line="300"/>
        <w:jc w:val="both"/>
      </w:pPr>
      <w:r>
        <w:rPr>
          <w:rFonts w:ascii="Cambria" w:cs="Cambria" w:eastAsia="Cambria" w:hAnsi="Cambria"/>
          <w:b w:val="false"/>
          <w:bCs w:val="false"/>
          <w:i w:val="false"/>
          <w:iCs w:val="false"/>
          <w:color w:val="1A1A1A"/>
          <w:sz w:val="22"/>
          <w:szCs w:val="22"/>
        </w:rPr>
        <w:t xml:space="preserve">L’indice di vecchiaia ha raggiunto nel 2023 il valore di 200,8 anziani ogni 100 giovani, in incremento drammatico rispetto ai 193,6 del 2022. Il 63,5% dei residenti si colloca nella fascia lavorativa (15–64 anni), gli over 65 rappresentano il 24,7% (circa 950.000 individui), i minori di 15 anni solo l’11,8%. I grandi anziani ultrasettantacinquenni, pari a 461.000 unità, cresceranno fino a 658.000 entro il 2050 (+43%).</w:t>
      </w:r>
    </w:p>
    <w:p>
      <w:pPr>
        <w:spacing w:after="140" w:line="300"/>
        <w:jc w:val="both"/>
      </w:pPr>
      <w:r>
        <w:rPr>
          <w:rFonts w:ascii="Cambria" w:cs="Cambria" w:eastAsia="Cambria" w:hAnsi="Cambria"/>
          <w:b w:val="false"/>
          <w:bCs w:val="false"/>
          <w:i w:val="false"/>
          <w:iCs w:val="false"/>
          <w:color w:val="1A1A1A"/>
          <w:sz w:val="22"/>
          <w:szCs w:val="22"/>
        </w:rPr>
        <w:t xml:space="preserve">Il crollo della natalità costituisce il secondo pilastro della transizione: nel 2023 sono stati registrati 25.591 nati vivi, un calo del 40% rispetto ai circa 43.000 del 2000. Il tasso di fecondità totale si attesta a 1,16 figli per donna, drammaticamente al di sotto della soglia di sostituzione di 2,1. Le proiezioni ISTAT delineano un declino a 3.669.000 abitanti nel 2030 (−3,5%) e a 3.229.000 nel 2050 (−17,4%), con la popolazione over 65 al 37,1% del totale.</w:t>
      </w:r>
    </w:p>
    <w:p>
      <w:pPr>
        <w:pStyle w:val="Heading3"/>
        <w:spacing w:after="120" w:before="220"/>
      </w:pPr>
      <w:r>
        <w:rPr>
          <w:b/>
          <w:bCs/>
        </w:rPr>
        <w:t xml:space="preserve">2.1.2. Correlazione epidemiologica tra invecchiamento e prevalenza di disturbi mentali</w:t>
      </w:r>
    </w:p>
    <w:p>
      <w:pPr>
        <w:spacing w:after="140" w:line="300"/>
        <w:jc w:val="both"/>
      </w:pPr>
      <w:r>
        <w:rPr>
          <w:rFonts w:ascii="Cambria" w:cs="Cambria" w:eastAsia="Cambria" w:hAnsi="Cambria"/>
          <w:b w:val="false"/>
          <w:bCs w:val="false"/>
          <w:i w:val="false"/>
          <w:iCs w:val="false"/>
          <w:color w:val="1A1A1A"/>
          <w:sz w:val="22"/>
          <w:szCs w:val="22"/>
        </w:rPr>
        <w:t xml:space="preserve">Una meta-analisi su The Lancet Psychiatry, che ha aggregato 174 studi epidemiologici in 59 paesi coprendo oltre un milione di individui, ha quantificato la prevalenza puntuale di depressione maggiore nella popolazione ultrasessantacinquenne tra il 10 e il 15%, con valori del 25–30% nelle sottopopolazioni con patologie croniche multiple</w:t>
      </w:r>
      <w:r>
        <w:rPr>
          <w:rStyle w:val="FootnoteReference"/>
        </w:rPr>
        <w:footnoteReference w:id="17"/>
      </w:r>
      <w:r>
        <w:rPr>
          <w:rFonts w:ascii="Cambria" w:cs="Cambria" w:eastAsia="Cambria" w:hAnsi="Cambria"/>
          <w:b w:val="false"/>
          <w:bCs w:val="false"/>
          <w:i w:val="false"/>
          <w:iCs w:val="false"/>
          <w:color w:val="1A1A1A"/>
          <w:sz w:val="22"/>
          <w:szCs w:val="22"/>
        </w:rPr>
        <w:t xml:space="preserve">. Uno studio longitudinale su JAMA Psychiatry ha documentato un’incidenza cumulativa di primi episodi depressivi del 22% in quindici anni.</w:t>
      </w:r>
    </w:p>
    <w:p>
      <w:pPr>
        <w:spacing w:after="140" w:line="300"/>
        <w:jc w:val="both"/>
      </w:pPr>
      <w:r>
        <w:rPr>
          <w:rFonts w:ascii="Cambria" w:cs="Cambria" w:eastAsia="Cambria" w:hAnsi="Cambria"/>
          <w:b w:val="false"/>
          <w:bCs w:val="false"/>
          <w:i w:val="false"/>
          <w:iCs w:val="false"/>
          <w:color w:val="1A1A1A"/>
          <w:sz w:val="22"/>
          <w:szCs w:val="22"/>
        </w:rPr>
        <w:t xml:space="preserve">La meta-analisi di Volkert e colleghi su World Psychiatry stima la prevalenza di disturbi d’ansia clinicamente significativi nella popolazione anziana tra il 10 e il 20%. Particolarmente rilevante è la comorbilità tra disturbi mentali e patologie croniche: i pazienti diabetici presentano rischio raddoppiato di depressione (OR 2,0; IC 95% 1,8–2,3), con prevalenza del 28% nel diabete tipo 2</w:t>
      </w:r>
      <w:r>
        <w:rPr>
          <w:rStyle w:val="FootnoteReference"/>
        </w:rPr>
        <w:footnoteReference w:id="18"/>
      </w:r>
      <w:r>
        <w:rPr>
          <w:rFonts w:ascii="Cambria" w:cs="Cambria" w:eastAsia="Cambria" w:hAnsi="Cambria"/>
          <w:b w:val="false"/>
          <w:bCs w:val="false"/>
          <w:i w:val="false"/>
          <w:iCs w:val="false"/>
          <w:color w:val="1A1A1A"/>
          <w:sz w:val="22"/>
          <w:szCs w:val="22"/>
        </w:rPr>
        <w:t xml:space="preserve">. Nelle malattie cardiovascolari i sintomi depressivi si associano a rischio aumentato del 50% di eventi avversi maggiori a cinque anni; nella BPCO la comorbilità ansioso-depressiva raggiunge il 25–40%.</w:t>
      </w:r>
    </w:p>
    <w:p>
      <w:pPr>
        <w:spacing w:after="100" w:before="200"/>
      </w:pPr>
      <w:r>
        <w:rPr>
          <w:rFonts w:ascii="Calibri" w:cs="Calibri" w:eastAsia="Calibri" w:hAnsi="Calibri"/>
          <w:b/>
          <w:bCs/>
          <w:i/>
          <w:iCs/>
          <w:color w:val="16264B"/>
          <w:sz w:val="21"/>
          <w:szCs w:val="21"/>
        </w:rPr>
        <w:t xml:space="preserve">Tab. 2.1 — Prevalenza di disturbi mentali nelle patologie croniche (meta-analisi internazionali)</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3400"/>
        <w:gridCol w:w="2900"/>
        <w:gridCol w:w="2770"/>
      </w:tblGrid>
      <w:tr>
        <w:trPr>
          <w:tblHeader/>
        </w:trPr>
        <w:tc>
          <w:tcPr>
            <w:tcW w:type="dxa" w:w="34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Patologia cronica</w:t>
            </w:r>
          </w:p>
        </w:tc>
        <w:tc>
          <w:tcPr>
            <w:tcW w:type="dxa" w:w="29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Comorbilità psichica</w:t>
            </w:r>
          </w:p>
        </w:tc>
        <w:tc>
          <w:tcPr>
            <w:tcW w:type="dxa" w:w="27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Fonte</w:t>
            </w:r>
          </w:p>
        </w:tc>
      </w:tr>
      <w:tr>
        <w:trPr>
          <w:tblHeader w:val="false"/>
        </w:trPr>
        <w:tc>
          <w:tcPr>
            <w:tcW w:type="dxa" w:w="3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Diabete tipo 2</w:t>
            </w:r>
          </w:p>
        </w:tc>
        <w:tc>
          <w:tcPr>
            <w:tcW w:type="dxa" w:w="29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Depressione 28% (OR 2,0)</w:t>
            </w:r>
          </w:p>
        </w:tc>
        <w:tc>
          <w:tcPr>
            <w:tcW w:type="dxa" w:w="27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Khaledi et al., Acta Diabetologica 2019</w:t>
            </w:r>
          </w:p>
        </w:tc>
      </w:tr>
      <w:tr>
        <w:trPr>
          <w:tblHeader w:val="false"/>
        </w:trPr>
        <w:tc>
          <w:tcPr>
            <w:tcW w:type="dxa" w:w="34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Cardiopatia</w:t>
            </w:r>
          </w:p>
        </w:tc>
        <w:tc>
          <w:tcPr>
            <w:tcW w:type="dxa" w:w="29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+50% eventi avversi a 5 anni</w:t>
            </w:r>
          </w:p>
        </w:tc>
        <w:tc>
          <w:tcPr>
            <w:tcW w:type="dxa" w:w="27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Martens et al., 2010 (Heart and Soul)</w:t>
            </w:r>
          </w:p>
        </w:tc>
      </w:tr>
      <w:tr>
        <w:trPr>
          <w:tblHeader w:val="false"/>
        </w:trPr>
        <w:tc>
          <w:tcPr>
            <w:tcW w:type="dxa" w:w="3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BPCO</w:t>
            </w:r>
          </w:p>
        </w:tc>
        <w:tc>
          <w:tcPr>
            <w:tcW w:type="dxa" w:w="29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Ansia/depressione 25–40%</w:t>
            </w:r>
          </w:p>
        </w:tc>
        <w:tc>
          <w:tcPr>
            <w:tcW w:type="dxa" w:w="27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Zhang et al., 2011</w:t>
            </w:r>
          </w:p>
        </w:tc>
      </w:tr>
      <w:tr>
        <w:trPr>
          <w:tblHeader w:val="false"/>
        </w:trPr>
        <w:tc>
          <w:tcPr>
            <w:tcW w:type="dxa" w:w="34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Anziani con cronicità multiple</w:t>
            </w:r>
          </w:p>
        </w:tc>
        <w:tc>
          <w:tcPr>
            <w:tcW w:type="dxa" w:w="29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Depressione 25–30%</w:t>
            </w:r>
          </w:p>
        </w:tc>
        <w:tc>
          <w:tcPr>
            <w:tcW w:type="dxa" w:w="27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Lancet Psychiatry (meta-analisi)</w:t>
            </w:r>
          </w:p>
        </w:tc>
      </w:tr>
    </w:tbl>
    <w:p>
      <w:pPr>
        <w:spacing w:after="160"/>
      </w:pPr>
    </w:p>
    <w:p>
      <w:pPr>
        <w:pStyle w:val="Heading3"/>
        <w:spacing w:after="120" w:before="220"/>
      </w:pPr>
      <w:r>
        <w:rPr>
          <w:b/>
          <w:bCs/>
        </w:rPr>
        <w:t xml:space="preserve">2.1.3. Quantificazione del burden atteso nella popolazione pugliese</w:t>
      </w:r>
    </w:p>
    <w:p>
      <w:pPr>
        <w:spacing w:after="140" w:line="300"/>
        <w:jc w:val="both"/>
      </w:pPr>
      <w:r>
        <w:rPr>
          <w:rFonts w:ascii="Cambria" w:cs="Cambria" w:eastAsia="Cambria" w:hAnsi="Cambria"/>
          <w:b w:val="false"/>
          <w:bCs w:val="false"/>
          <w:i w:val="false"/>
          <w:iCs w:val="false"/>
          <w:color w:val="1A1A1A"/>
          <w:sz w:val="22"/>
          <w:szCs w:val="22"/>
        </w:rPr>
        <w:t xml:space="preserve">Applicando i coefficienti epidemiologici validati alla popolazione anziana pugliese (circa 945.000 individui), si stima che tra 95.000 e 142.000 anziani presentino oggi disturbi depressivi clinicamente significativi, e tra 142.000 e 190.000 disturbi d’ansia. Considerando la sottopopolazione di anziani con cronicità multiple (circa 400.000 individui) e i tassi di comorbilità del 25–30%, si ottiene una stima di 100.000–125.000 anziani cronici con comorbilità depressiva.</w:t>
      </w:r>
    </w:p>
    <w:p>
      <w:pPr>
        <w:spacing w:after="140" w:line="300"/>
        <w:jc w:val="both"/>
      </w:pPr>
      <w:r>
        <w:rPr>
          <w:rFonts w:ascii="Cambria" w:cs="Cambria" w:eastAsia="Cambria" w:hAnsi="Cambria"/>
          <w:b w:val="false"/>
          <w:bCs w:val="false"/>
          <w:i w:val="false"/>
          <w:iCs w:val="false"/>
          <w:color w:val="1A1A1A"/>
          <w:sz w:val="22"/>
          <w:szCs w:val="22"/>
        </w:rPr>
        <w:t xml:space="preserve">Entro il 2050, con la popolazione over 65 in crescita a circa 1.200.000 individui, si stima che tra 240.000 e 360.000 anziani presenteranno disturbi mentali comuni, con un incremento di circa il 50% rispetto ai livelli attuali. Estendendo l’analisi all’intera popolazione e applicando i tassi OMS del 20–30% di prevalenza annuale, si stima che circa 780.000–1.160.000 pugliesi potrebbero beneficiare di interventi psicologici di varia intensità.</w:t>
      </w:r>
    </w:p>
    <w:p>
      <w:pPr>
        <w:pStyle w:val="Heading2"/>
        <w:spacing w:after="160" w:before="300"/>
      </w:pPr>
      <w:r>
        <w:rPr>
          <w:b/>
          <w:bCs/>
        </w:rPr>
        <w:t xml:space="preserve">2.2. Il burden epidemiologico della salute mentale in Puglia: il sommerso e l’emergente</w:t>
      </w:r>
    </w:p>
    <w:p>
      <w:pPr>
        <w:pStyle w:val="Heading3"/>
        <w:spacing w:after="120" w:before="220"/>
      </w:pPr>
      <w:r>
        <w:rPr>
          <w:b/>
          <w:bCs/>
        </w:rPr>
        <w:t xml:space="preserve">2.2.1. Dati dei Dipartimenti di Salute Mentale</w:t>
      </w:r>
    </w:p>
    <w:p>
      <w:pPr>
        <w:spacing w:after="140" w:line="300"/>
        <w:jc w:val="both"/>
      </w:pPr>
      <w:r>
        <w:rPr>
          <w:rFonts w:ascii="Cambria" w:cs="Cambria" w:eastAsia="Cambria" w:hAnsi="Cambria"/>
          <w:b w:val="false"/>
          <w:bCs w:val="false"/>
          <w:i w:val="false"/>
          <w:iCs w:val="false"/>
          <w:color w:val="1A1A1A"/>
          <w:sz w:val="22"/>
          <w:szCs w:val="22"/>
        </w:rPr>
        <w:t xml:space="preserve">Secondo il Rapporto SISM 2023 del Ministero della Salute, i Dipartimenti di Salute Mentale pugliesi hanno avuto in carico 54.946 utenti, di cui 18.939 nuovi utenti nel 2023</w:t>
      </w:r>
      <w:r>
        <w:rPr>
          <w:rStyle w:val="FootnoteReference"/>
        </w:rPr>
        <w:footnoteReference w:id="19"/>
      </w:r>
      <w:r>
        <w:rPr>
          <w:rFonts w:ascii="Cambria" w:cs="Cambria" w:eastAsia="Cambria" w:hAnsi="Cambria"/>
          <w:b w:val="false"/>
          <w:bCs w:val="false"/>
          <w:i w:val="false"/>
          <w:iCs w:val="false"/>
          <w:color w:val="1A1A1A"/>
          <w:sz w:val="22"/>
          <w:szCs w:val="22"/>
        </w:rPr>
        <w:t xml:space="preserve">. I DSM si occupano prevalentemente di disturbi mentali gravi e persistenti, mentre i disturbi comuni di severità lieve-moderata tendono a non essere intercettati o a esserlo solo in fase avanzata.</w:t>
      </w:r>
    </w:p>
    <w:p>
      <w:pPr>
        <w:spacing w:after="140" w:line="300"/>
        <w:jc w:val="both"/>
      </w:pPr>
      <w:r>
        <w:rPr>
          <w:rFonts w:ascii="Cambria" w:cs="Cambria" w:eastAsia="Cambria" w:hAnsi="Cambria"/>
          <w:b w:val="false"/>
          <w:bCs w:val="false"/>
          <w:i w:val="false"/>
          <w:iCs w:val="false"/>
          <w:color w:val="1A1A1A"/>
          <w:sz w:val="22"/>
          <w:szCs w:val="22"/>
        </w:rPr>
        <w:t xml:space="preserve">La rete territoriale conta 6 Dipartimenti di Salute Mentale, 47 Centri di Salute Mentale, 224 strutture residenziali e 50 semiresidenziali. Il personale complessivo ammonta a 1.813 unità, di cui 287 medici (225 psichiatri), 170 psicologi, 580 infermieri. I 170 psicologi rappresentano un rapporto di 4,4 ogni 100.000 abitanti, drammaticamente inferiore ai rapporti di oltre 45 ogni 100.000 osservati in Francia e Canada.</w:t>
      </w:r>
    </w:p>
    <w:p>
      <w:pPr>
        <w:pStyle w:val="Heading3"/>
        <w:spacing w:after="120" w:before="220"/>
      </w:pPr>
      <w:r>
        <w:rPr>
          <w:b/>
          <w:bCs/>
        </w:rPr>
        <w:t xml:space="preserve">2.2.2. Accessi ai Pronto Soccorso per cause psichiatriche</w:t>
      </w:r>
    </w:p>
    <w:p>
      <w:pPr>
        <w:spacing w:after="140" w:line="300"/>
        <w:jc w:val="both"/>
      </w:pPr>
      <w:r>
        <w:rPr>
          <w:rFonts w:ascii="Cambria" w:cs="Cambria" w:eastAsia="Cambria" w:hAnsi="Cambria"/>
          <w:b w:val="false"/>
          <w:bCs w:val="false"/>
          <w:i w:val="false"/>
          <w:iCs w:val="false"/>
          <w:color w:val="1A1A1A"/>
          <w:sz w:val="22"/>
          <w:szCs w:val="22"/>
        </w:rPr>
        <w:t xml:space="preserve">Nel 2023 si sono registrati 18.753 accessi ai Pronto Soccorso pugliesi per cause psichiatriche, oltre 50 al giorno, con un incremento del 30% rispetto ai livelli pre-pandemici</w:t>
      </w:r>
      <w:r>
        <w:rPr>
          <w:rStyle w:val="FootnoteReference"/>
        </w:rPr>
        <w:footnoteReference w:id="20"/>
      </w:r>
      <w:r>
        <w:rPr>
          <w:rFonts w:ascii="Cambria" w:cs="Cambria" w:eastAsia="Cambria" w:hAnsi="Cambria"/>
          <w:b w:val="false"/>
          <w:bCs w:val="false"/>
          <w:i w:val="false"/>
          <w:iCs w:val="false"/>
          <w:color w:val="1A1A1A"/>
          <w:sz w:val="22"/>
          <w:szCs w:val="22"/>
        </w:rPr>
        <w:t xml:space="preserve">. Le sindromi nevrotiche e somatoformi costituiscono il problema più frequente (oltre 10.000 casi), disturbi che non dovrebbero essere gestiti in contesti di emergenza-urgenza ma che trovano nel Pronto Soccorso l’unico punto di accesso in assenza di servizi territoriali di prossimità.</w:t>
      </w:r>
    </w:p>
    <w:p>
      <w:pPr>
        <w:pStyle w:val="Heading3"/>
        <w:spacing w:after="120" w:before="220"/>
      </w:pPr>
      <w:r>
        <w:rPr>
          <w:b/>
          <w:bCs/>
        </w:rPr>
        <w:t xml:space="preserve">2.2.3. Prestazioni territoriali e costi dell’assistenza psichiatrica</w:t>
      </w:r>
    </w:p>
    <w:p>
      <w:pPr>
        <w:spacing w:after="140" w:line="300"/>
        <w:jc w:val="both"/>
      </w:pPr>
      <w:r>
        <w:rPr>
          <w:rFonts w:ascii="Cambria" w:cs="Cambria" w:eastAsia="Cambria" w:hAnsi="Cambria"/>
          <w:b w:val="false"/>
          <w:bCs w:val="false"/>
          <w:i w:val="false"/>
          <w:iCs w:val="false"/>
          <w:color w:val="1A1A1A"/>
          <w:sz w:val="22"/>
          <w:szCs w:val="22"/>
        </w:rPr>
        <w:t xml:space="preserve">I DSM pugliesi hanno erogato nel 2023 oltre 537.000 prestazioni territoriali, di cui 48.803 domiciliari. Il costo complessivo dell’assistenza psichiatrica territoriale ammonta a 274,1 milioni di euro, cui si aggiungono 11,2 milioni per i ricoveri ospedalieri, per un totale di circa 285 milioni</w:t>
      </w:r>
      <w:r>
        <w:rPr>
          <w:rStyle w:val="FootnoteReference"/>
        </w:rPr>
        <w:footnoteReference w:id="21"/>
      </w:r>
      <w:r>
        <w:rPr>
          <w:rFonts w:ascii="Cambria" w:cs="Cambria" w:eastAsia="Cambria" w:hAnsi="Cambria"/>
          <w:b w:val="false"/>
          <w:bCs w:val="false"/>
          <w:i w:val="false"/>
          <w:iCs w:val="false"/>
          <w:color w:val="1A1A1A"/>
          <w:sz w:val="22"/>
          <w:szCs w:val="22"/>
        </w:rPr>
        <w:t xml:space="preserve">, pari al 3,3% della spesa sanitaria pubblica regionale (circa 8,55 miliardi). Il gap rispetto allo standard OMS del 5% corrisponde a circa 142 milioni di euro annui di sotto-investimento strutturale.</w:t>
      </w:r>
    </w:p>
    <w:p>
      <w:pPr>
        <w:spacing w:after="100" w:before="200"/>
      </w:pPr>
      <w:r>
        <w:rPr>
          <w:rFonts w:ascii="Calibri" w:cs="Calibri" w:eastAsia="Calibri" w:hAnsi="Calibri"/>
          <w:b/>
          <w:bCs/>
          <w:i/>
          <w:iCs/>
          <w:color w:val="16264B"/>
          <w:sz w:val="21"/>
          <w:szCs w:val="21"/>
        </w:rPr>
        <w:t xml:space="preserve">Tab. 2.2 — Composizione della spesa per l’assistenza psichiatrica in Puglia (2023)</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4600"/>
        <w:gridCol w:w="2400"/>
        <w:gridCol w:w="2070"/>
      </w:tblGrid>
      <w:tr>
        <w:trPr>
          <w:tblHeader/>
        </w:trPr>
        <w:tc>
          <w:tcPr>
            <w:tcW w:type="dxa" w:w="46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Voce di spesa</w:t>
            </w:r>
          </w:p>
        </w:tc>
        <w:tc>
          <w:tcPr>
            <w:tcW w:type="dxa" w:w="24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Milioni €</w:t>
            </w:r>
          </w:p>
        </w:tc>
        <w:tc>
          <w:tcPr>
            <w:tcW w:type="dxa" w:w="20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Quota</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Assistenza ambulatoriale e domiciliare (CSM)</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117,2</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41,1%</w:t>
            </w:r>
          </w:p>
        </w:tc>
      </w:tr>
      <w:tr>
        <w:trPr>
          <w:tblHeader w:val="false"/>
        </w:trPr>
        <w:tc>
          <w:tcPr>
            <w:tcW w:type="dxa" w:w="4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Assistenza semiresidenziale</w:t>
            </w:r>
          </w:p>
        </w:tc>
        <w:tc>
          <w:tcPr>
            <w:tcW w:type="dxa" w:w="24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22,5</w:t>
            </w:r>
          </w:p>
        </w:tc>
        <w:tc>
          <w:tcPr>
            <w:tcW w:type="dxa" w:w="20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7,9%</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Assistenza residenziale</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134,3</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47,1%</w:t>
            </w:r>
          </w:p>
        </w:tc>
      </w:tr>
      <w:tr>
        <w:trPr>
          <w:tblHeader w:val="false"/>
        </w:trPr>
        <w:tc>
          <w:tcPr>
            <w:tcW w:type="dxa" w:w="4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Ricoveri ospedalieri (SPDC)</w:t>
            </w:r>
          </w:p>
        </w:tc>
        <w:tc>
          <w:tcPr>
            <w:tcW w:type="dxa" w:w="24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11,2</w:t>
            </w:r>
          </w:p>
        </w:tc>
        <w:tc>
          <w:tcPr>
            <w:tcW w:type="dxa" w:w="20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3,9%</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Totale</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≈285,0</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100%</w:t>
            </w:r>
          </w:p>
        </w:tc>
      </w:tr>
    </w:tbl>
    <w:p>
      <w:pPr>
        <w:spacing w:after="160"/>
      </w:pPr>
    </w:p>
    <w:p>
      <w:pPr>
        <w:pStyle w:val="Heading3"/>
        <w:spacing w:after="120" w:before="220"/>
      </w:pPr>
      <w:r>
        <w:rPr>
          <w:b/>
          <w:bCs/>
        </w:rPr>
        <w:t xml:space="preserve">2.2.4. Il sommerso epidemiologico e il treatment gap</w:t>
      </w:r>
    </w:p>
    <w:p>
      <w:pPr>
        <w:spacing w:after="140" w:line="300"/>
        <w:jc w:val="both"/>
      </w:pPr>
      <w:r>
        <w:rPr>
          <w:rFonts w:ascii="Cambria" w:cs="Cambria" w:eastAsia="Cambria" w:hAnsi="Cambria"/>
          <w:b w:val="false"/>
          <w:bCs w:val="false"/>
          <w:i w:val="false"/>
          <w:iCs w:val="false"/>
          <w:color w:val="1A1A1A"/>
          <w:sz w:val="22"/>
          <w:szCs w:val="22"/>
        </w:rPr>
        <w:t xml:space="preserve">I dati di utilizzo dei servizi specialistici rappresentano solo la punta emersa dell’iceberg. La sorveglianza PASSI riporta che il 3,6% degli adulti pugliesi presenta sintomi depressivi clinicamente rilevanti, dato paradossalmente inferiore alla media nazionale del 6,7% e verosimilmente sotto-stimato per fattori culturali. Le evidenze internazionali suggeriscono prevalenze annuali del 15–30%.</w:t>
      </w:r>
    </w:p>
    <w:p>
      <w:pPr>
        <w:spacing w:after="140" w:line="300"/>
        <w:jc w:val="both"/>
      </w:pPr>
      <w:r>
        <w:rPr>
          <w:rFonts w:ascii="Cambria" w:cs="Cambria" w:eastAsia="Cambria" w:hAnsi="Cambria"/>
          <w:b w:val="false"/>
          <w:bCs w:val="false"/>
          <w:i w:val="false"/>
          <w:iCs w:val="false"/>
          <w:color w:val="1A1A1A"/>
          <w:sz w:val="22"/>
          <w:szCs w:val="22"/>
        </w:rPr>
        <w:t xml:space="preserve">Applicando conservativamente il range del 20–30% alla popolazione adulta pugliese (circa 3,9 milioni), si stima che 780.000–1.160.000 pugliesi sperimentino qualche forma di disagio clinicamente significativo nell’arco di un anno. Confrontando con i 54.946 utenti in carico ai DSM, emerge un treatment gap del 90–95%, che riflette l’assenza di servizi di primo livello accessibili per i disturbi lievi-moderati.</w:t>
      </w:r>
    </w:p>
    <w:p>
      <w:pPr>
        <w:pStyle w:val="Heading2"/>
        <w:spacing w:after="160" w:before="300"/>
      </w:pPr>
      <w:r>
        <w:rPr>
          <w:b/>
          <w:bCs/>
        </w:rPr>
        <w:t xml:space="preserve">2.3. Determinanti socioeconomici della salute mentale</w:t>
      </w:r>
    </w:p>
    <w:p>
      <w:pPr>
        <w:pStyle w:val="Heading3"/>
        <w:spacing w:after="120" w:before="220"/>
      </w:pPr>
      <w:r>
        <w:rPr>
          <w:b/>
          <w:bCs/>
        </w:rPr>
        <w:t xml:space="preserve">2.3.1. Povertà, deprivazione ed esclusione sociale</w:t>
      </w:r>
    </w:p>
    <w:p>
      <w:pPr>
        <w:spacing w:after="140" w:line="300"/>
        <w:jc w:val="both"/>
      </w:pPr>
      <w:r>
        <w:rPr>
          <w:rFonts w:ascii="Cambria" w:cs="Cambria" w:eastAsia="Cambria" w:hAnsi="Cambria"/>
          <w:b w:val="false"/>
          <w:bCs w:val="false"/>
          <w:i w:val="false"/>
          <w:iCs w:val="false"/>
          <w:color w:val="1A1A1A"/>
          <w:sz w:val="22"/>
          <w:szCs w:val="22"/>
        </w:rPr>
        <w:t xml:space="preserve">Secondo i dati ISTAT 2024, la Puglia presenta un indicatore AROPE del 37,7% (circa 1.460.000 individui a rischio di povertà o esclusione sociale), quarto valore in Italia dopo Calabria, Campania e Sicilia, e drammaticamente superiore alla media nazionale del 23,1%</w:t>
      </w:r>
      <w:r>
        <w:rPr>
          <w:rStyle w:val="FootnoteReference"/>
        </w:rPr>
        <w:footnoteReference w:id="22"/>
      </w:r>
      <w:r>
        <w:rPr>
          <w:rFonts w:ascii="Cambria" w:cs="Cambria" w:eastAsia="Cambria" w:hAnsi="Cambria"/>
          <w:b w:val="false"/>
          <w:bCs w:val="false"/>
          <w:i w:val="false"/>
          <w:iCs w:val="false"/>
          <w:color w:val="1A1A1A"/>
          <w:sz w:val="22"/>
          <w:szCs w:val="22"/>
        </w:rPr>
        <w:t xml:space="preserve">. Il dato rappresenta un peggioramento di 5,5 punti rispetto al 32,2% del 2023.</w:t>
      </w:r>
    </w:p>
    <w:p>
      <w:pPr>
        <w:spacing w:after="140" w:line="300"/>
        <w:jc w:val="both"/>
      </w:pPr>
      <w:r>
        <w:rPr>
          <w:rFonts w:ascii="Cambria" w:cs="Cambria" w:eastAsia="Cambria" w:hAnsi="Cambria"/>
          <w:b w:val="false"/>
          <w:bCs w:val="false"/>
          <w:i w:val="false"/>
          <w:iCs w:val="false"/>
          <w:color w:val="1A1A1A"/>
          <w:sz w:val="22"/>
          <w:szCs w:val="22"/>
        </w:rPr>
        <w:t xml:space="preserve">La povertà assoluta colpisce il 24,3% delle famiglie pugliesi (terzo valore nazionale), la grave deprivazione materiale il 10% della popolazione (contro il 4,7% nazionale), la povertà lavorativa il 10,3% degli occupati. Questi indicatori configurano un substrato di vulnerabilità che amplifica il rischio di disturbi mentali attraverso meccanismi causali diretti e indiretti.</w:t>
      </w:r>
    </w:p>
    <w:p>
      <w:pPr>
        <w:pStyle w:val="Heading3"/>
        <w:spacing w:after="120" w:before="220"/>
      </w:pPr>
      <w:r>
        <w:rPr>
          <w:b/>
          <w:bCs/>
        </w:rPr>
        <w:t xml:space="preserve">2.3.2. Disoccupazione, precarietà e condizione NEET</w:t>
      </w:r>
    </w:p>
    <w:p>
      <w:pPr>
        <w:spacing w:after="140" w:line="300"/>
        <w:jc w:val="both"/>
      </w:pPr>
      <w:r>
        <w:rPr>
          <w:rFonts w:ascii="Cambria" w:cs="Cambria" w:eastAsia="Cambria" w:hAnsi="Cambria"/>
          <w:b w:val="false"/>
          <w:bCs w:val="false"/>
          <w:i w:val="false"/>
          <w:iCs w:val="false"/>
          <w:color w:val="1A1A1A"/>
          <w:sz w:val="22"/>
          <w:szCs w:val="22"/>
        </w:rPr>
        <w:t xml:space="preserve">Il tasso di disoccupazione pugliese si è attestato al 9,3% nel 2024, superiore alla media nazionale del 7,1%. Circa 140.000 pugliesi risultano disoccupati, con la provincia di Foggia al 16%</w:t>
      </w:r>
      <w:r>
        <w:rPr>
          <w:rStyle w:val="FootnoteReference"/>
        </w:rPr>
        <w:footnoteReference w:id="23"/>
      </w:r>
      <w:r>
        <w:rPr>
          <w:rFonts w:ascii="Cambria" w:cs="Cambria" w:eastAsia="Cambria" w:hAnsi="Cambria"/>
          <w:b w:val="false"/>
          <w:bCs w:val="false"/>
          <w:i w:val="false"/>
          <w:iCs w:val="false"/>
          <w:color w:val="1A1A1A"/>
          <w:sz w:val="22"/>
          <w:szCs w:val="22"/>
        </w:rPr>
        <w:t xml:space="preserve">. La disoccupazione giovanile (15–24 anni) si attesta al 32%. La condizione NEET coinvolge il 21,4% dei giovani 15–29 anni (circa 125.000 individui), con marcate disparità di genere (26,5% donne contro 16,9% uomini nella fascia 25–29).</w:t>
      </w:r>
    </w:p>
    <w:p>
      <w:pPr>
        <w:pStyle w:val="Heading3"/>
        <w:spacing w:after="120" w:before="220"/>
      </w:pPr>
      <w:r>
        <w:rPr>
          <w:b/>
          <w:bCs/>
        </w:rPr>
        <w:t xml:space="preserve">2.3.3. Evidenze sul nesso causale tra determinanti socioeconomici e salute mentale</w:t>
      </w:r>
    </w:p>
    <w:p>
      <w:pPr>
        <w:spacing w:after="140" w:line="300"/>
        <w:jc w:val="both"/>
      </w:pPr>
      <w:r>
        <w:rPr>
          <w:rFonts w:ascii="Cambria" w:cs="Cambria" w:eastAsia="Cambria" w:hAnsi="Cambria"/>
          <w:b w:val="false"/>
          <w:bCs w:val="false"/>
          <w:i w:val="false"/>
          <w:iCs w:val="false"/>
          <w:color w:val="1A1A1A"/>
          <w:sz w:val="22"/>
          <w:szCs w:val="22"/>
        </w:rPr>
        <w:t xml:space="preserve">La relazione tra deprivazione e disturbi mentali è bidirezionale (social causation e social drift). Uno studio longitudinale su European Journal of Public Health ha documentato che ogni incremento dell’1% nel tasso di disoccupazione si associa a un aumento significativo dei sintomi depressivi</w:t>
      </w:r>
      <w:r>
        <w:rPr>
          <w:rStyle w:val="FootnoteReference"/>
        </w:rPr>
        <w:footnoteReference w:id="24"/>
      </w:r>
      <w:r>
        <w:rPr>
          <w:rFonts w:ascii="Cambria" w:cs="Cambria" w:eastAsia="Cambria" w:hAnsi="Cambria"/>
          <w:b w:val="false"/>
          <w:bCs w:val="false"/>
          <w:i w:val="false"/>
          <w:iCs w:val="false"/>
          <w:color w:val="1A1A1A"/>
          <w:sz w:val="22"/>
          <w:szCs w:val="22"/>
        </w:rPr>
        <w:t xml:space="preserve">. La disoccupazione di lungo periodo è associata a rischio 2–4 volte maggiore di depressione maggiore; la condizione NEET a tassi di incidenza del 35% a cinque anni, con scarring effect persistente.</w:t>
      </w:r>
    </w:p>
    <w:p>
      <w:pPr>
        <w:spacing w:after="140" w:line="300"/>
        <w:jc w:val="both"/>
      </w:pPr>
      <w:r>
        <w:rPr>
          <w:rFonts w:ascii="Cambria" w:cs="Cambria" w:eastAsia="Cambria" w:hAnsi="Cambria"/>
          <w:b w:val="false"/>
          <w:bCs w:val="false"/>
          <w:i w:val="false"/>
          <w:iCs w:val="false"/>
          <w:color w:val="1A1A1A"/>
          <w:sz w:val="22"/>
          <w:szCs w:val="22"/>
        </w:rPr>
        <w:t xml:space="preserve">Il Rapporto OMS sui Determinanti Sociali della Salute Mentale (2014) ha identificato nove fattori sociali core — disoccupazione, povertà, deprivazione abitativa, basso livello educativo, discriminazione, violenza, mancanza di coesione sociale, insicurezza alimentare, disastri — la cui presenza simultanea configura condizioni di vulnerabilità estrema con effetti moltiplicativi.</w:t>
      </w:r>
    </w:p>
    <w:p>
      <w:pPr>
        <w:pStyle w:val="Heading3"/>
        <w:spacing w:after="120" w:before="220"/>
      </w:pPr>
      <w:r>
        <w:rPr>
          <w:b/>
          <w:bCs/>
        </w:rPr>
        <w:t xml:space="preserve">2.3.4. Rischio attribuibile di popolazione nel contesto pugliese</w:t>
      </w:r>
    </w:p>
    <w:p>
      <w:pPr>
        <w:spacing w:after="140" w:line="300"/>
        <w:jc w:val="both"/>
      </w:pPr>
      <w:r>
        <w:rPr>
          <w:rFonts w:ascii="Cambria" w:cs="Cambria" w:eastAsia="Cambria" w:hAnsi="Cambria"/>
          <w:b w:val="false"/>
          <w:bCs w:val="false"/>
          <w:i w:val="false"/>
          <w:iCs w:val="false"/>
          <w:color w:val="1A1A1A"/>
          <w:sz w:val="22"/>
          <w:szCs w:val="22"/>
        </w:rPr>
        <w:t xml:space="preserve">Applicando la formula del rischio attribuibile di popolazione (PAR) con prevalenza di esposizione Pe=0,377 e rischio relativo RR=2,3, si ottiene un PAR del 32,7%: circa un terzo del burden complessivo di disturbi mentali comuni è attribuibile alla deprivazione socioeconomica e potenzialmente prevenibile</w:t>
      </w:r>
      <w:r>
        <w:rPr>
          <w:rStyle w:val="FootnoteReference"/>
        </w:rPr>
        <w:footnoteReference w:id="25"/>
      </w:r>
      <w:r>
        <w:rPr>
          <w:rFonts w:ascii="Cambria" w:cs="Cambria" w:eastAsia="Cambria" w:hAnsi="Cambria"/>
          <w:b w:val="false"/>
          <w:bCs w:val="false"/>
          <w:i w:val="false"/>
          <w:iCs w:val="false"/>
          <w:color w:val="1A1A1A"/>
          <w:sz w:val="22"/>
          <w:szCs w:val="22"/>
        </w:rPr>
        <w:t xml:space="preserve">. Tra 35.000 e 56.000 disoccupati pugliesi presentano disturbi mentali comuni; circa 45.000 giovani NEET svilupperanno disturbi mentali nei prossimi cinque anni in assenza di interventi preventivi.</w:t>
      </w:r>
    </w:p>
    <w:p>
      <w:pPr>
        <w:pStyle w:val="Heading2"/>
        <w:spacing w:after="160" w:before="300"/>
      </w:pPr>
      <w:r>
        <w:rPr>
          <w:b/>
          <w:bCs/>
        </w:rPr>
        <w:t xml:space="preserve">2.4. Il sistema sanitario regionale e l’investimento in salute mentale</w:t>
      </w:r>
    </w:p>
    <w:p>
      <w:pPr>
        <w:pStyle w:val="Heading3"/>
        <w:spacing w:after="120" w:before="220"/>
      </w:pPr>
      <w:r>
        <w:rPr>
          <w:b/>
          <w:bCs/>
        </w:rPr>
        <w:t xml:space="preserve">2.4.1. Spesa sanitaria pubblica pugliese e vincoli di bilancio</w:t>
      </w:r>
    </w:p>
    <w:p>
      <w:pPr>
        <w:spacing w:after="140" w:line="300"/>
        <w:jc w:val="both"/>
      </w:pPr>
      <w:r>
        <w:rPr>
          <w:rFonts w:ascii="Cambria" w:cs="Cambria" w:eastAsia="Cambria" w:hAnsi="Cambria"/>
          <w:b w:val="false"/>
          <w:bCs w:val="false"/>
          <w:i w:val="false"/>
          <w:iCs w:val="false"/>
          <w:color w:val="1A1A1A"/>
          <w:sz w:val="22"/>
          <w:szCs w:val="22"/>
        </w:rPr>
        <w:t xml:space="preserve">La spesa sanitaria pubblica pugliese si attesta intorno a 8,5–8,6 miliardi di euro annui, con spesa pro-capite di circa 1.798 euro, inferiore del 3,6% alla media nazionale</w:t>
      </w:r>
      <w:r>
        <w:rPr>
          <w:rStyle w:val="FootnoteReference"/>
        </w:rPr>
        <w:footnoteReference w:id="26"/>
      </w:r>
      <w:r>
        <w:rPr>
          <w:rFonts w:ascii="Cambria" w:cs="Cambria" w:eastAsia="Cambria" w:hAnsi="Cambria"/>
          <w:b w:val="false"/>
          <w:bCs w:val="false"/>
          <w:i w:val="false"/>
          <w:iCs w:val="false"/>
          <w:color w:val="1A1A1A"/>
          <w:sz w:val="22"/>
          <w:szCs w:val="22"/>
        </w:rPr>
        <w:t xml:space="preserve">. Il 2024 ha visto emergere un disavanzo sanitario cresciuto da 81 milioni a oltre 400 milioni di euro, principalmente per sforamento della spesa farmaceutica e mobilità passiva. Questi vincoli configurano un contesto in cui ogni nuova linea di intervento deve dimostrare sostenibilità finanziaria e capacità di generare risparmi.</w:t>
      </w:r>
    </w:p>
    <w:p>
      <w:pPr>
        <w:pStyle w:val="Heading3"/>
        <w:spacing w:after="120" w:before="220"/>
      </w:pPr>
      <w:r>
        <w:rPr>
          <w:b/>
          <w:bCs/>
        </w:rPr>
        <w:t xml:space="preserve">2.4.2. Allocazione alla salute mentale: confronto con standard</w:t>
      </w:r>
    </w:p>
    <w:p>
      <w:pPr>
        <w:spacing w:after="140" w:line="300"/>
        <w:jc w:val="both"/>
      </w:pPr>
      <w:r>
        <w:rPr>
          <w:rFonts w:ascii="Cambria" w:cs="Cambria" w:eastAsia="Cambria" w:hAnsi="Cambria"/>
          <w:b w:val="false"/>
          <w:bCs w:val="false"/>
          <w:i w:val="false"/>
          <w:iCs w:val="false"/>
          <w:color w:val="1A1A1A"/>
          <w:sz w:val="22"/>
          <w:szCs w:val="22"/>
        </w:rPr>
        <w:t xml:space="preserve">La spesa pugliese per la salute mentale (circa 285 milioni) rappresenta il 3,3% della spesa complessiva, contro lo standard OMS del 5% e la media europea del 5–6%. Il gap corrisponde a 142–229 milioni annui di sotto-investimento. Le conseguenze includono sotto-dotazione di personale, liste di attesa di 6–12 mesi, carenza di programmi di intervento precoce e sotto-utilizzo di interventi psicologici evidence-based, con gli psicologi che costituiscono solo il 9,4% del personale dei DSM.</w:t>
      </w:r>
    </w:p>
    <w:p>
      <w:pPr>
        <w:pStyle w:val="Heading3"/>
        <w:spacing w:after="120" w:before="220"/>
      </w:pPr>
      <w:r>
        <w:rPr>
          <w:b/>
          <w:bCs/>
        </w:rPr>
        <w:t xml:space="preserve">2.4.3. Confronto internazionale: modelli di integrazione come risposta sostenibile</w:t>
      </w:r>
    </w:p>
    <w:p>
      <w:pPr>
        <w:spacing w:after="140" w:line="300"/>
        <w:jc w:val="both"/>
      </w:pPr>
      <w:r>
        <w:rPr>
          <w:rFonts w:ascii="Cambria" w:cs="Cambria" w:eastAsia="Cambria" w:hAnsi="Cambria"/>
          <w:b w:val="false"/>
          <w:bCs w:val="false"/>
          <w:i w:val="false"/>
          <w:iCs w:val="false"/>
          <w:color w:val="1A1A1A"/>
          <w:sz w:val="22"/>
          <w:szCs w:val="22"/>
        </w:rPr>
        <w:t xml:space="preserve">Il programma IAPT britannico, nel 2023–2024, ha trattato oltre 1,3 milioni di persone con tassi di recovery del 51% e reliable improvement del 67%, tempi di attesa mediani di due settimane e risparmi di 400–800 sterline per paziente/anno</w:t>
      </w:r>
      <w:r>
        <w:rPr>
          <w:rStyle w:val="FootnoteReference"/>
        </w:rPr>
        <w:footnoteReference w:id="27"/>
      </w:r>
      <w:r>
        <w:rPr>
          <w:rFonts w:ascii="Cambria" w:cs="Cambria" w:eastAsia="Cambria" w:hAnsi="Cambria"/>
          <w:b w:val="false"/>
          <w:bCs w:val="false"/>
          <w:i w:val="false"/>
          <w:iCs w:val="false"/>
          <w:color w:val="1A1A1A"/>
          <w:sz w:val="22"/>
          <w:szCs w:val="22"/>
        </w:rPr>
        <w:t xml:space="preserve">. Il modello olandese POH-GGZ integra psicologi negli studi di medicina generale con copertura pressoché universale, riduzioni del 20–30% nelle prescrizioni inappropriate e del 30–40% negli accessi ai servizi specialistici. Il Collaborative Care Model americano documenta effect size medio di 0,28 e cost-effectiveness verificata.</w:t>
      </w:r>
    </w:p>
    <w:p>
      <w:pPr>
        <w:spacing w:after="100" w:before="200"/>
      </w:pPr>
      <w:r>
        <w:rPr>
          <w:rFonts w:ascii="Calibri" w:cs="Calibri" w:eastAsia="Calibri" w:hAnsi="Calibri"/>
          <w:b/>
          <w:bCs/>
          <w:i/>
          <w:iCs/>
          <w:color w:val="16264B"/>
          <w:sz w:val="21"/>
          <w:szCs w:val="21"/>
        </w:rPr>
        <w:t xml:space="preserve">Tab. 2.3 — Dotazione di psicologi per 100.000 abitanti: confronto internazionale</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4600"/>
        <w:gridCol w:w="2400"/>
        <w:gridCol w:w="2070"/>
      </w:tblGrid>
      <w:tr>
        <w:trPr>
          <w:tblHeader/>
        </w:trPr>
        <w:tc>
          <w:tcPr>
            <w:tcW w:type="dxa" w:w="46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Paese / contesto</w:t>
            </w:r>
          </w:p>
        </w:tc>
        <w:tc>
          <w:tcPr>
            <w:tcW w:type="dxa" w:w="24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Psicologi/100.000</w:t>
            </w:r>
          </w:p>
        </w:tc>
        <w:tc>
          <w:tcPr>
            <w:tcW w:type="dxa" w:w="20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Note</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Puglia (DSM pubblici)</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4,4</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170 psicologi / 3,9 mln ab.</w:t>
            </w:r>
          </w:p>
        </w:tc>
      </w:tr>
      <w:tr>
        <w:trPr>
          <w:tblHeader w:val="false"/>
        </w:trPr>
        <w:tc>
          <w:tcPr>
            <w:tcW w:type="dxa" w:w="4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Italia (SSN complessivo)</w:t>
            </w:r>
          </w:p>
        </w:tc>
        <w:tc>
          <w:tcPr>
            <w:tcW w:type="dxa" w:w="24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8,5</w:t>
            </w:r>
          </w:p>
        </w:tc>
        <w:tc>
          <w:tcPr>
            <w:tcW w:type="dxa" w:w="20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dato Ministero Salute 2017</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Standard minimo europeo</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10</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soglia accettabile</w:t>
            </w:r>
          </w:p>
        </w:tc>
      </w:tr>
      <w:tr>
        <w:trPr>
          <w:tblHeader w:val="false"/>
        </w:trPr>
        <w:tc>
          <w:tcPr>
            <w:tcW w:type="dxa" w:w="4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Standard ottimale europeo</w:t>
            </w:r>
          </w:p>
        </w:tc>
        <w:tc>
          <w:tcPr>
            <w:tcW w:type="dxa" w:w="24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18</w:t>
            </w:r>
          </w:p>
        </w:tc>
        <w:tc>
          <w:tcPr>
            <w:tcW w:type="dxa" w:w="20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raccomandato</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Francia / Canada</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&gt;45</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settore salute mentale pubblico</w:t>
            </w:r>
          </w:p>
        </w:tc>
      </w:tr>
    </w:tbl>
    <w:p>
      <w:pPr>
        <w:spacing w:after="160"/>
      </w:pPr>
    </w:p>
    <w:p>
      <w:pPr>
        <w:pStyle w:val="Heading2"/>
      </w:pPr>
      <w:r>
        <w:t>2.4.4. Articolazione territoriale, mobilità sanitaria passiva ed equità delle aree interne</w:t>
      </w:r>
    </w:p>
    <w:p>
      <w:r>
        <w:rPr>
          <w:rFonts w:ascii="Cambria" w:hAnsi="Cambria"/>
        </w:rPr>
        <w:t>Il Servizio Sanitario Regionale pugliese è organizzato in sei Aziende Sanitarie Locali — Bari, Barletta-Andria-Trani, Brindisi, Foggia, Lecce e Taranto — e in quarantacinque distretti sociosanitari. Una quota non trascurabile della domanda regionale di salute mentale comune si traduce in mobilità sanitaria passiva: prestazioni erogate fuori Regione, con un onere diretto per il bilancio sanitario pugliese che il modello dello Psicologo di Base può ridurre trattenendo la domanda comune nel circuito delle cure primarie territoriali. La distanza fisica nelle aree interne e appenniniche — dal Subappennino Dauno alle Murge — aggrava ulteriormente il divario di accesso, ponendo una specifica esigenza di equità territoriale che si aggiunge alle determinanti socioeconomiche già discusse.</w:t>
      </w:r>
    </w:p>
    <w:p>
      <w:pPr>
        <w:pStyle w:val="Heading2"/>
        <w:spacing w:after="160" w:before="300"/>
      </w:pPr>
      <w:r>
        <w:rPr>
          <w:b/>
          <w:bCs/>
        </w:rPr>
        <w:t xml:space="preserve">2.5. Sintesi del razionale evidence-based</w:t>
      </w:r>
    </w:p>
    <w:p>
      <w:pPr>
        <w:spacing w:after="140" w:line="300"/>
        <w:jc w:val="both"/>
      </w:pPr>
      <w:r>
        <w:rPr>
          <w:rFonts w:ascii="Cambria" w:cs="Cambria" w:eastAsia="Cambria" w:hAnsi="Cambria"/>
          <w:b w:val="false"/>
          <w:bCs w:val="false"/>
          <w:i w:val="false"/>
          <w:iCs w:val="false"/>
          <w:color w:val="1A1A1A"/>
          <w:sz w:val="22"/>
          <w:szCs w:val="22"/>
        </w:rPr>
        <w:t xml:space="preserve">L’analisi multidimensionale documenta la convergenza di molteplici fattori strutturali che configurano un quadro di bisogno crescente, sotto-risposta sistemica cronica e necessità urgente di ristrutturazione del modello assistenziale. La transizione demografica, il burden epidemiologico con treatment gap del 90–95%, i determinanti socioeconomici con rischio attribuibile del 30–40%, il sotto-investimento strutturale e la carenza di workforce di 5–10 volte rispetto agli standard avanzati costituiscono un razionale robusto e incontrovertibile.</w:t>
      </w:r>
    </w:p>
    <w:p>
      <w:pPr>
        <w:spacing w:after="140" w:line="300"/>
        <w:jc w:val="both"/>
      </w:pPr>
      <w:r>
        <w:rPr>
          <w:rFonts w:ascii="Cambria" w:cs="Cambria" w:eastAsia="Cambria" w:hAnsi="Cambria"/>
          <w:b w:val="false"/>
          <w:bCs w:val="false"/>
          <w:i w:val="false"/>
          <w:iCs w:val="false"/>
          <w:color w:val="1A1A1A"/>
          <w:sz w:val="22"/>
          <w:szCs w:val="22"/>
        </w:rPr>
        <w:t xml:space="preserve">Le evidenze internazionali convergenti — IAPT, POH-GGZ, Better Access, Collaborative Care Model — dimostrano che l’integrazione di psicologi nelle cure primarie attraverso modelli stepped care rappresenta una risposta sistemica efficace, clinicamente validata, cost-effective e sostenibile. L’istituzione del Servizio si configura non come costo aggiuntivo insostenibile, ma come ristrutturazione strategica orientata alla sostenibilità di lungo periodo, all’appropriatezza clinica, all’equità di accesso e alla prevenzione secondaria.</w:t>
      </w:r>
    </w:p>
    <w:p>
      <w:pPr>
        <w:pStyle w:val="Heading1"/>
      </w:pPr>
      <w:r>
        <w:t xml:space="preserve">Revisione metodologica di governo — Il passaggio all’ancoraggio OCSE 2026</w:t>
      </w:r>
    </w:p>
    <w:p>
      <w:pPr>
        <w:pStyle w:val="FirstParagraph"/>
      </w:pPr>
      <w:r>
        <w:t xml:space="preserve">Per pronunciamento dell’autore, la presente revisione costituisce lo strato metodologico di governo dell’intera opera: ovunque il corpo del volume e il quadro OCSE 2026 divergano, prevale il secondo. L’apparato fondato su Chisholm e collaboratori (2016), conservato nel corpo e nelle appendici, resta quale strato documentale della genesi dell’opera.</w:t>
      </w:r>
    </w:p>
    <w:bookmarkStart w:id="24" w:name="X9d447e19155219e0537f4c0df0ecb245c431c1f"/>
    <w:p>
      <w:pPr>
        <w:pStyle w:val="Heading2"/>
      </w:pPr>
      <w:r>
        <w:rPr>
          <w:b/>
          <w:bCs/>
        </w:rPr>
        <w:t xml:space="preserve">IV.1 Nota metodologica: sostituzione del riferimento Chisholm (2016) con OECD (2026)</w:t>
      </w:r>
    </w:p>
    <w:p>
      <w:pPr>
        <w:pStyle w:val="FirstParagraph"/>
      </w:pPr>
      <w:r>
        <w:t xml:space="preserve">La presente Parte IV del Documento Integrale Unificato aggiorna il quadro finanziario-economico delle Parti I, II e III sostituendo il riferimento bibliografico Chisholm D. et al. (2016),</w:t>
      </w:r>
      <w:r>
        <w:t xml:space="preserve"> </w:t>
      </w:r>
      <w:r>
        <w:t xml:space="preserve">“</w:t>
      </w:r>
      <w:r>
        <w:t xml:space="preserve">Scaling-up treatment of depression and anxiety: a global return on investment analysis</w:t>
      </w:r>
      <w:r>
        <w:t xml:space="preserve">”</w:t>
      </w:r>
      <w:r>
        <w:t xml:space="preserve">, The Lancet Psychiatry, 3(5):415–424, con il riferimento OECD (2026),</w:t>
      </w:r>
      <w:r>
        <w:t xml:space="preserve"> </w:t>
      </w:r>
      <w:r>
        <w:t xml:space="preserve">“</w:t>
      </w:r>
      <w:r>
        <w:t xml:space="preserve">The Economic Case for Preventing Mental Ill Health</w:t>
      </w:r>
      <w:r>
        <w:t xml:space="preserve">”</w:t>
      </w:r>
      <w:r>
        <w:t xml:space="preserve">, OECD Health Policy Studies, OECD Publishing, Paris, DOI: 10.1787/16668f16-en, co-prodotto con il contributo di Unisanté — Institut universitaire de médecine sociale et préventive, Università di Losanna — e adottando i risultati del suo trial randomizzato PLIMeC-P (NCT06377189) sui sistemi di consultazione-collegamento psichiatrico in cure primarie in contesto europeo continentale.</w:t>
      </w:r>
    </w:p>
    <w:p>
      <w:pPr>
        <w:pStyle w:val="BodyText"/>
      </w:pPr>
      <w:r>
        <w:t xml:space="preserve">Il motivo della sostituzione è metodologicamente fondato. Chisholm (2016) produceva stime di ritorno sull’investimento su base globale, con una componente preponderante derivata da paesi a reddito basso e medio (LMIC), e utilizzava soglie di costo-efficacia inadeguate per il contesto europeo (USD 2.000–5.000/DALY per i LMIC). Il modello di microsimulazione SPHeP-NCDs adottato dall’OECD (2026) modellizza specificamente i 27 paesi UE più Islanda, Norvegia e Svizzera nel periodo 2025–2050, con calibrazione su sistemi sanitari europei, e documenta per il setting delle cure primarie — classificato come il più efficace tra i setting analizzati — una riduzione della spesa sanitaria pro capite compresa tra 0,1 e 10,4 euro per anno e un ROI lordo di 5,5:1–7,0:1. Per l’Italia, data la struttura della spesa sanitaria e il peso specifico delle patologie dell’umore e dell’ansia, la stima si colloca nella fascia medio-alta del range UE27.</w:t>
      </w:r>
    </w:p>
    <w:p>
      <w:pPr>
        <w:pStyle w:val="BodyText"/>
      </w:pPr>
      <w:r>
        <w:t xml:space="preserve">Il moltiplicatore di revisione adottato per aggiornare le stime di risparmio delle Parti I, II e III è 1,38 per i risparmi sanitari diretti — derivato dal rapporto tra il ROI OECD 2026 per il setting di cure primarie (6,2:1) e il ROI Chisholm 2016 per i paesi ad alto reddito (4,5:1) — e 1,46 per i benefici economico-sociali indiretti (produttività recuperata, partecipazione al mercato del lavoro, riduzione del PIL perduto). I costi del Servizio non subiscono modifiche in quanto determinati da contratti collettivi e piante organiche indipendenti dalla letteratura economica di riferimento.</w:t>
      </w:r>
    </w:p>
    <w:p>
      <w:pPr>
        <w:pStyle w:val="BodyText"/>
      </w:pPr>
      <w:r>
        <w:rPr>
          <w:b/>
          <w:bCs/>
        </w:rPr>
        <w:t xml:space="preserve">Tab. IV.1 — Confronto tra framework di riferimento economico: Chisholm (2016) vs OECD (2026) / Unisanté (2026)</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Chisholm 2016 — Lancet Psychiatry</w:t>
            </w:r>
          </w:p>
        </w:tc>
        <w:tc>
          <w:tcPr>
            <w:shd w:val="clear" w:color="auto" w:fill="16264B"/>
          </w:tcPr>
          <w:p>
            <w:pPr>
              <w:pStyle w:val="Compact"/>
              <w:spacing w:after="40" w:before="40"/>
              <w:jc w:val="left"/>
            </w:pPr>
            <w:r>
              <w:rPr>
                <w:rFonts w:ascii="Cambria" w:hAnsi="Cambria" w:cs="Cambria" w:eastAsia="Cambria"/>
                <w:b/>
                <w:bCs/>
                <w:color w:val="FFFFFF"/>
                <w:sz w:val="18"/>
              </w:rPr>
              <w:t xml:space="preserve">OECD 2026 / Unisanté 2026</w:t>
            </w:r>
          </w:p>
        </w:tc>
      </w:tr>
      <w:tr>
        <w:tc>
          <w:tcPr/>
          <w:p>
            <w:pPr>
              <w:pStyle w:val="Compact"/>
              <w:spacing w:after="40" w:before="40"/>
              <w:jc w:val="left"/>
            </w:pPr>
            <w:r>
              <w:rPr>
                <w:rFonts w:ascii="Cambria" w:hAnsi="Cambria" w:cs="Cambria" w:eastAsia="Cambria"/>
                <w:b/>
                <w:bCs/>
                <w:color w:val="1A1A1A"/>
                <w:sz w:val="18"/>
              </w:rPr>
              <w:t xml:space="preserve">Scope geografico</w:t>
            </w:r>
          </w:p>
        </w:tc>
        <w:tc>
          <w:tcPr/>
          <w:p>
            <w:pPr>
              <w:pStyle w:val="Compact"/>
              <w:spacing w:after="40" w:before="40"/>
              <w:jc w:val="left"/>
            </w:pPr>
            <w:r>
              <w:rPr>
                <w:rFonts w:ascii="Cambria" w:hAnsi="Cambria" w:cs="Cambria" w:eastAsia="Cambria"/>
                <w:color w:val="1A1A1A"/>
                <w:sz w:val="18"/>
              </w:rPr>
              <w:t xml:space="preserve">Globale (LMIC + HIC)</w:t>
            </w:r>
          </w:p>
        </w:tc>
        <w:tc>
          <w:tcPr/>
          <w:p>
            <w:pPr>
              <w:pStyle w:val="Compact"/>
              <w:spacing w:after="40" w:before="40"/>
              <w:jc w:val="left"/>
            </w:pPr>
            <w:r>
              <w:rPr>
                <w:rFonts w:ascii="Cambria" w:hAnsi="Cambria" w:cs="Cambria" w:eastAsia="Cambria"/>
                <w:color w:val="1A1A1A"/>
                <w:sz w:val="18"/>
              </w:rPr>
              <w:t xml:space="preserve">UE27 + IS, NO, CH — 2025–2050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w:t>
            </w:r>
          </w:p>
        </w:tc>
        <w:tc>
          <w:tcPr>
            <w:shd w:val="clear" w:color="auto" w:fill="F4F1EC"/>
          </w:tcPr>
          <w:p>
            <w:pPr>
              <w:pStyle w:val="Compact"/>
              <w:spacing w:after="40" w:before="40"/>
              <w:jc w:val="left"/>
            </w:pPr>
            <w:r>
              <w:rPr>
                <w:rFonts w:ascii="Cambria" w:hAnsi="Cambria" w:cs="Cambria" w:eastAsia="Cambria"/>
                <w:color w:val="1A1A1A"/>
                <w:sz w:val="18"/>
              </w:rPr>
              <w:t xml:space="preserve">Analisi ROI cross-sezionale</w:t>
            </w:r>
          </w:p>
        </w:tc>
        <w:tc>
          <w:tcPr>
            <w:shd w:val="clear" w:color="auto" w:fill="F4F1EC"/>
          </w:tcPr>
          <w:p>
            <w:pPr>
              <w:pStyle w:val="Compact"/>
              <w:spacing w:after="40" w:before="40"/>
              <w:jc w:val="left"/>
            </w:pPr>
            <w:r>
              <w:rPr>
                <w:rFonts w:ascii="Cambria" w:hAnsi="Cambria" w:cs="Cambria" w:eastAsia="Cambria"/>
                <w:color w:val="1A1A1A"/>
                <w:sz w:val="18"/>
              </w:rPr>
              <w:t xml:space="preserve">OECD SPHeP-NCDs microsimulazione longitudinale</w:t>
            </w:r>
          </w:p>
        </w:tc>
      </w:tr>
      <w:tr>
        <w:tc>
          <w:tcPr/>
          <w:p>
            <w:pPr>
              <w:pStyle w:val="Compact"/>
              <w:spacing w:after="40" w:before="40"/>
              <w:jc w:val="left"/>
            </w:pPr>
            <w:r>
              <w:rPr>
                <w:rFonts w:ascii="Cambria" w:hAnsi="Cambria" w:cs="Cambria" w:eastAsia="Cambria"/>
                <w:b/>
                <w:bCs/>
                <w:color w:val="1A1A1A"/>
                <w:sz w:val="18"/>
              </w:rPr>
              <w:t xml:space="preserve">ROI lordo cure primarie</w:t>
            </w:r>
          </w:p>
        </w:tc>
        <w:tc>
          <w:tcPr/>
          <w:p>
            <w:pPr>
              <w:pStyle w:val="Compact"/>
              <w:spacing w:after="40" w:before="40"/>
              <w:jc w:val="left"/>
            </w:pPr>
            <w:r>
              <w:rPr>
                <w:rFonts w:ascii="Cambria" w:hAnsi="Cambria" w:cs="Cambria" w:eastAsia="Cambria"/>
                <w:color w:val="1A1A1A"/>
                <w:sz w:val="18"/>
              </w:rPr>
              <w:t xml:space="preserve">4,0:1 (globale)</w:t>
            </w:r>
          </w:p>
        </w:tc>
        <w:tc>
          <w:tcPr/>
          <w:p>
            <w:pPr>
              <w:pStyle w:val="Compact"/>
              <w:spacing w:after="40" w:before="40"/>
              <w:jc w:val="left"/>
            </w:pPr>
            <w:r>
              <w:rPr>
                <w:rFonts w:ascii="Cambria" w:hAnsi="Cambria" w:cs="Cambria" w:eastAsia="Cambria"/>
                <w:color w:val="1A1A1A"/>
                <w:sz w:val="18"/>
              </w:rPr>
              <w:t xml:space="preserve">5,5:1 – 7,0:1 (UE, PHC — setting più efficace)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Riduzione spesa sanitaria</w:t>
            </w:r>
          </w:p>
        </w:tc>
        <w:tc>
          <w:tcPr>
            <w:shd w:val="clear" w:color="auto" w:fill="F4F1EC"/>
          </w:tcPr>
          <w:p>
            <w:pPr>
              <w:pStyle w:val="Compact"/>
              <w:spacing w:after="40" w:before="40"/>
              <w:jc w:val="left"/>
            </w:pPr>
            <w:r>
              <w:rPr>
                <w:rFonts w:ascii="Cambria" w:hAnsi="Cambria" w:cs="Cambria" w:eastAsia="Cambria"/>
                <w:color w:val="1A1A1A"/>
                <w:sz w:val="18"/>
              </w:rPr>
              <w:t xml:space="preserve">Non specificata per paese</w:t>
            </w:r>
          </w:p>
        </w:tc>
        <w:tc>
          <w:tcPr>
            <w:shd w:val="clear" w:color="auto" w:fill="F4F1EC"/>
          </w:tcPr>
          <w:p>
            <w:pPr>
              <w:pStyle w:val="Compact"/>
              <w:spacing w:after="40" w:before="40"/>
              <w:jc w:val="left"/>
            </w:pPr>
            <w:r>
              <w:rPr>
                <w:rFonts w:ascii="Cambria" w:hAnsi="Cambria" w:cs="Cambria" w:eastAsia="Cambria"/>
                <w:color w:val="1A1A1A"/>
                <w:sz w:val="18"/>
              </w:rPr>
              <w:t xml:space="preserve">€ 0,1–10,4 per capita/anno (UE27); PHC: fascia alta</w:t>
            </w:r>
          </w:p>
        </w:tc>
      </w:tr>
      <w:tr>
        <w:tc>
          <w:tcPr/>
          <w:p>
            <w:pPr>
              <w:pStyle w:val="Compact"/>
              <w:spacing w:after="40" w:before="40"/>
              <w:jc w:val="left"/>
            </w:pPr>
            <w:r>
              <w:rPr>
                <w:rFonts w:ascii="Cambria" w:hAnsi="Cambria" w:cs="Cambria" w:eastAsia="Cambria"/>
                <w:b/>
                <w:bCs/>
                <w:color w:val="1A1A1A"/>
                <w:sz w:val="18"/>
              </w:rPr>
              <w:t xml:space="preserve">Costo/QALY HIC</w:t>
            </w:r>
          </w:p>
        </w:tc>
        <w:tc>
          <w:tcPr/>
          <w:p>
            <w:pPr>
              <w:pStyle w:val="Compact"/>
              <w:spacing w:after="40" w:before="40"/>
              <w:jc w:val="left"/>
            </w:pPr>
            <w:r>
              <w:rPr>
                <w:rFonts w:ascii="Cambria" w:hAnsi="Cambria" w:cs="Cambria" w:eastAsia="Cambria"/>
                <w:color w:val="1A1A1A"/>
                <w:sz w:val="18"/>
              </w:rPr>
              <w:t xml:space="preserve">USD 2.000–5.000 (proxy LMIC)</w:t>
            </w:r>
          </w:p>
        </w:tc>
        <w:tc>
          <w:tcPr/>
          <w:p>
            <w:pPr>
              <w:pStyle w:val="Compact"/>
              <w:spacing w:after="40" w:before="40"/>
              <w:jc w:val="left"/>
            </w:pPr>
            <w:r>
              <w:rPr>
                <w:rFonts w:ascii="Cambria" w:hAnsi="Cambria" w:cs="Cambria" w:eastAsia="Cambria"/>
                <w:color w:val="1A1A1A"/>
                <w:sz w:val="18"/>
              </w:rPr>
              <w:t xml:space="preserve">€ 9.500–14.500 (UE, 2026)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Applicabilità Italia-Puglia</w:t>
            </w:r>
          </w:p>
        </w:tc>
        <w:tc>
          <w:tcPr>
            <w:shd w:val="clear" w:color="auto" w:fill="F4F1EC"/>
          </w:tcPr>
          <w:p>
            <w:pPr>
              <w:pStyle w:val="Compact"/>
              <w:spacing w:after="40" w:before="40"/>
              <w:jc w:val="left"/>
            </w:pPr>
            <w:r>
              <w:rPr>
                <w:rFonts w:ascii="Cambria" w:hAnsi="Cambria" w:cs="Cambria" w:eastAsia="Cambria"/>
                <w:color w:val="1A1A1A"/>
                <w:sz w:val="18"/>
              </w:rPr>
              <w:t xml:space="preserve">Parziale (contesto globale)</w:t>
            </w:r>
          </w:p>
        </w:tc>
        <w:tc>
          <w:tcPr>
            <w:shd w:val="clear" w:color="auto" w:fill="F4F1EC"/>
          </w:tcPr>
          <w:p>
            <w:pPr>
              <w:pStyle w:val="Compact"/>
              <w:spacing w:after="40" w:before="40"/>
              <w:jc w:val="left"/>
            </w:pPr>
            <w:r>
              <w:rPr>
                <w:rFonts w:ascii="Cambria" w:hAnsi="Cambria" w:cs="Cambria" w:eastAsia="Cambria"/>
                <w:color w:val="1A1A1A"/>
                <w:sz w:val="18"/>
              </w:rPr>
              <w:t xml:space="preserve">Diretta (UE27 include Italia)</w:t>
            </w:r>
          </w:p>
        </w:tc>
      </w:tr>
    </w:tbl>
    <w:p>
      <w:pPr>
        <w:pStyle w:val="BodyText"/>
      </w:pPr>
      <w:r>
        <w:rPr>
          <w:i/>
          <w:iCs/>
        </w:rPr>
        <w:t xml:space="preserve">Fonte: Chisholm D. et al. (2016), The Lancet Psychiatry, 3(5):415–424; OECD (2026), The Economic Case for Preventing Mental Ill Health, DOI: 10.1787/16668f16-en; Unisanté-PLIMeC-P (NCT06377189), Università di Losanna.</w:t>
      </w:r>
    </w:p>
    <w:bookmarkEnd w:id="24"/>
    <w:bookmarkStart w:id="25" w:name="X0096d69b2a20cba035dec8c50589dc9aa8f761f"/>
    <w:p>
      <w:pPr>
        <w:pStyle w:val="Heading2"/>
      </w:pPr>
      <w:r>
        <w:rPr>
          <w:b/>
          <w:bCs/>
        </w:rPr>
        <w:t xml:space="preserve">IV.2 Aggiornamento finanziario per canale e per scenario</w:t>
      </w:r>
    </w:p>
    <w:p>
      <w:pPr>
        <w:pStyle w:val="FirstParagraph"/>
      </w:pPr>
      <w:r>
        <w:t xml:space="preserve">La tabella seguente riporta il confronto sistematico tra le stime di risparmio sanitario diretto calcolate con il framework Chisholm (2016) e quelle ricalcolate con il framework OECD (2026) / Unisanté (2026) per ciascun canale e ciascuno scenario. Le cifre in colonna</w:t>
      </w:r>
      <w:r>
        <w:t xml:space="preserve"> </w:t>
      </w:r>
      <w:r>
        <w:t xml:space="preserve">“</w:t>
      </w:r>
      <w:r>
        <w:t xml:space="preserve">OECD 26</w:t>
      </w:r>
      <w:r>
        <w:t xml:space="preserve">”</w:t>
      </w:r>
      <w:r>
        <w:t xml:space="preserve"> </w:t>
      </w:r>
      <w:r>
        <w:t xml:space="preserve">sostituiscono a tutti gli effetti le corrispondenti cifre in colonna</w:t>
      </w:r>
      <w:r>
        <w:t xml:space="preserve"> </w:t>
      </w:r>
      <w:r>
        <w:t xml:space="preserve">“</w:t>
      </w:r>
      <w:r>
        <w:t xml:space="preserve">Chism. 16</w:t>
      </w:r>
      <w:r>
        <w:t xml:space="preserve">”</w:t>
      </w:r>
      <w:r>
        <w:t xml:space="preserve"> </w:t>
      </w:r>
      <w:r>
        <w:t xml:space="preserve">nei passaggi quantitativi delle Parti I, II e III. La quota IA (ultima riga) è ricalcolata applicando l’incidenza percentuale invariata — 5% nel base, 10% nell’intermedio, 15% nell’ottimale — ai nuovi valori aggregati.</w:t>
      </w:r>
    </w:p>
    <w:p>
      <w:pPr>
        <w:pStyle w:val="BodyText"/>
      </w:pPr>
      <w:r>
        <w:rPr>
          <w:b/>
          <w:bCs/>
        </w:rPr>
        <w:t xml:space="preserve">Tab. IV.2 — Aggiornamento sistematico del risparmio sanitario diretto (milioni di euro): Chisholm 2016 vs OECD 2026</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131"/>
        <w:gridCol w:w="1131"/>
        <w:gridCol w:w="1131"/>
        <w:gridCol w:w="1131"/>
        <w:gridCol w:w="1131"/>
        <w:gridCol w:w="1131"/>
        <w:gridCol w:w="1131"/>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Canale</w:t>
            </w:r>
          </w:p>
        </w:tc>
        <w:tc>
          <w:tcPr>
            <w:shd w:val="clear" w:color="auto" w:fill="16264B"/>
          </w:tcPr>
          <w:p>
            <w:pPr>
              <w:pStyle w:val="Compact"/>
              <w:spacing w:after="40" w:before="40"/>
              <w:jc w:val="left"/>
            </w:pPr>
            <w:r>
              <w:rPr>
                <w:rFonts w:ascii="Cambria" w:hAnsi="Cambria" w:cs="Cambria" w:eastAsia="Cambria"/>
                <w:b/>
                <w:bCs/>
                <w:color w:val="FFFFFF"/>
                <w:sz w:val="18"/>
              </w:rPr>
              <w:t xml:space="preserve">Base Chism.16</w:t>
            </w:r>
          </w:p>
        </w:tc>
        <w:tc>
          <w:tcPr>
            <w:shd w:val="clear" w:color="auto" w:fill="16264B"/>
          </w:tcPr>
          <w:p>
            <w:pPr>
              <w:pStyle w:val="Compact"/>
              <w:spacing w:after="40" w:before="40"/>
              <w:jc w:val="left"/>
            </w:pPr>
            <w:r>
              <w:rPr>
                <w:rFonts w:ascii="Cambria" w:hAnsi="Cambria" w:cs="Cambria" w:eastAsia="Cambria"/>
                <w:b/>
                <w:bCs/>
                <w:color w:val="FFFFFF"/>
                <w:sz w:val="18"/>
              </w:rPr>
              <w:t xml:space="preserve">Base OECD26</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 Chism.16</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 OECD26</w:t>
            </w:r>
          </w:p>
        </w:tc>
        <w:tc>
          <w:tcPr>
            <w:shd w:val="clear" w:color="auto" w:fill="16264B"/>
          </w:tcPr>
          <w:p>
            <w:pPr>
              <w:pStyle w:val="Compact"/>
              <w:spacing w:after="40" w:before="40"/>
              <w:jc w:val="left"/>
            </w:pPr>
            <w:r>
              <w:rPr>
                <w:rFonts w:ascii="Cambria" w:hAnsi="Cambria" w:cs="Cambria" w:eastAsia="Cambria"/>
                <w:b/>
                <w:bCs/>
                <w:color w:val="FFFFFF"/>
                <w:sz w:val="18"/>
              </w:rPr>
              <w:t xml:space="preserve">Ottim. Chism.16</w:t>
            </w:r>
          </w:p>
        </w:tc>
        <w:tc>
          <w:tcPr>
            <w:shd w:val="clear" w:color="auto" w:fill="16264B"/>
          </w:tcPr>
          <w:p>
            <w:pPr>
              <w:pStyle w:val="Compact"/>
              <w:spacing w:after="40" w:before="40"/>
              <w:jc w:val="left"/>
            </w:pPr>
            <w:r>
              <w:rPr>
                <w:rFonts w:ascii="Cambria" w:hAnsi="Cambria" w:cs="Cambria" w:eastAsia="Cambria"/>
                <w:b/>
                <w:bCs/>
                <w:color w:val="FFFFFF"/>
                <w:sz w:val="18"/>
              </w:rPr>
              <w:t xml:space="preserve">Ottim. OECD26</w:t>
            </w:r>
          </w:p>
        </w:tc>
      </w:tr>
      <w:tr>
        <w:tc>
          <w:tcPr/>
          <w:p>
            <w:pPr>
              <w:pStyle w:val="Compact"/>
              <w:spacing w:after="40" w:before="40"/>
              <w:jc w:val="left"/>
            </w:pPr>
            <w:r>
              <w:rPr>
                <w:rFonts w:ascii="Cambria" w:hAnsi="Cambria" w:cs="Cambria" w:eastAsia="Cambria"/>
                <w:b/>
                <w:bCs/>
                <w:color w:val="1A1A1A"/>
                <w:sz w:val="18"/>
              </w:rPr>
              <w:t xml:space="preserve">Farmaceutico</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2,8</w:t>
            </w:r>
          </w:p>
        </w:tc>
        <w:tc>
          <w:tcPr/>
          <w:p>
            <w:pPr>
              <w:pStyle w:val="Compact"/>
              <w:spacing w:after="40" w:before="40"/>
              <w:jc w:val="left"/>
            </w:pPr>
            <w:r>
              <w:rPr>
                <w:rFonts w:ascii="Cambria" w:hAnsi="Cambria" w:cs="Cambria" w:eastAsia="Cambria"/>
                <w:color w:val="1A1A1A"/>
                <w:sz w:val="18"/>
              </w:rPr>
              <w:t xml:space="preserve">4,0</w:t>
            </w:r>
          </w:p>
        </w:tc>
        <w:tc>
          <w:tcPr/>
          <w:p>
            <w:pPr>
              <w:pStyle w:val="Compact"/>
              <w:spacing w:after="40" w:before="40"/>
              <w:jc w:val="left"/>
            </w:pPr>
            <w:r>
              <w:rPr>
                <w:rFonts w:ascii="Cambria" w:hAnsi="Cambria" w:cs="Cambria" w:eastAsia="Cambria"/>
                <w:color w:val="1A1A1A"/>
                <w:sz w:val="18"/>
              </w:rPr>
              <w:t xml:space="preserve">5,5</w:t>
            </w:r>
          </w:p>
        </w:tc>
        <w:tc>
          <w:tcPr/>
          <w:p>
            <w:pPr>
              <w:pStyle w:val="Compact"/>
              <w:spacing w:after="40" w:before="40"/>
              <w:jc w:val="left"/>
            </w:pPr>
            <w:r>
              <w:rPr>
                <w:rFonts w:ascii="Cambria" w:hAnsi="Cambria" w:cs="Cambria" w:eastAsia="Cambria"/>
                <w:color w:val="1A1A1A"/>
                <w:sz w:val="18"/>
              </w:rPr>
              <w:t xml:space="preserve">7,0</w:t>
            </w:r>
          </w:p>
        </w:tc>
        <w:tc>
          <w:tcPr/>
          <w:p>
            <w:pPr>
              <w:pStyle w:val="Compact"/>
              <w:spacing w:after="40" w:before="40"/>
              <w:jc w:val="left"/>
            </w:pPr>
            <w:r>
              <w:rPr>
                <w:rFonts w:ascii="Cambria" w:hAnsi="Cambria" w:cs="Cambria" w:eastAsia="Cambria"/>
                <w:color w:val="1A1A1A"/>
                <w:sz w:val="18"/>
              </w:rPr>
              <w:t xml:space="preserve">10,0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P.S. e ricoveri</w:t>
            </w:r>
          </w:p>
        </w:tc>
        <w:tc>
          <w:tcPr>
            <w:shd w:val="clear" w:color="auto" w:fill="F4F1EC"/>
          </w:tcPr>
          <w:p>
            <w:pPr>
              <w:pStyle w:val="Compact"/>
              <w:spacing w:after="40" w:before="40"/>
              <w:jc w:val="left"/>
            </w:pPr>
            <w:r>
              <w:rPr>
                <w:rFonts w:ascii="Cambria" w:hAnsi="Cambria" w:cs="Cambria" w:eastAsia="Cambria"/>
                <w:color w:val="1A1A1A"/>
                <w:sz w:val="18"/>
              </w:rPr>
              <w:t xml:space="preserve">8,0</w:t>
            </w:r>
          </w:p>
        </w:tc>
        <w:tc>
          <w:tcPr>
            <w:shd w:val="clear" w:color="auto" w:fill="F4F1EC"/>
          </w:tcPr>
          <w:p>
            <w:pPr>
              <w:pStyle w:val="Compact"/>
              <w:spacing w:after="40" w:before="40"/>
              <w:jc w:val="left"/>
            </w:pPr>
            <w:r>
              <w:rPr>
                <w:rFonts w:ascii="Cambria" w:hAnsi="Cambria" w:cs="Cambria" w:eastAsia="Cambria"/>
                <w:color w:val="1A1A1A"/>
                <w:sz w:val="18"/>
              </w:rPr>
              <w:t xml:space="preserve">11,0</w:t>
            </w:r>
          </w:p>
        </w:tc>
        <w:tc>
          <w:tcPr>
            <w:shd w:val="clear" w:color="auto" w:fill="F4F1EC"/>
          </w:tcPr>
          <w:p>
            <w:pPr>
              <w:pStyle w:val="Compact"/>
              <w:spacing w:after="40" w:before="40"/>
              <w:jc w:val="left"/>
            </w:pPr>
            <w:r>
              <w:rPr>
                <w:rFonts w:ascii="Cambria" w:hAnsi="Cambria" w:cs="Cambria" w:eastAsia="Cambria"/>
                <w:color w:val="1A1A1A"/>
                <w:sz w:val="18"/>
              </w:rPr>
              <w:t xml:space="preserve">16,0</w:t>
            </w:r>
          </w:p>
        </w:tc>
        <w:tc>
          <w:tcPr>
            <w:shd w:val="clear" w:color="auto" w:fill="F4F1EC"/>
          </w:tcPr>
          <w:p>
            <w:pPr>
              <w:pStyle w:val="Compact"/>
              <w:spacing w:after="40" w:before="40"/>
              <w:jc w:val="left"/>
            </w:pPr>
            <w:r>
              <w:rPr>
                <w:rFonts w:ascii="Cambria" w:hAnsi="Cambria" w:cs="Cambria" w:eastAsia="Cambria"/>
                <w:color w:val="1A1A1A"/>
                <w:sz w:val="18"/>
              </w:rPr>
              <w:t xml:space="preserve">22,0</w:t>
            </w:r>
          </w:p>
        </w:tc>
        <w:tc>
          <w:tcPr>
            <w:shd w:val="clear" w:color="auto" w:fill="F4F1EC"/>
          </w:tcPr>
          <w:p>
            <w:pPr>
              <w:pStyle w:val="Compact"/>
              <w:spacing w:after="40" w:before="40"/>
              <w:jc w:val="left"/>
            </w:pPr>
            <w:r>
              <w:rPr>
                <w:rFonts w:ascii="Cambria" w:hAnsi="Cambria" w:cs="Cambria" w:eastAsia="Cambria"/>
                <w:color w:val="1A1A1A"/>
                <w:sz w:val="18"/>
              </w:rPr>
              <w:t xml:space="preserve">26,0</w:t>
            </w:r>
          </w:p>
        </w:tc>
        <w:tc>
          <w:tcPr>
            <w:shd w:val="clear" w:color="auto" w:fill="F4F1EC"/>
          </w:tcPr>
          <w:p>
            <w:pPr>
              <w:pStyle w:val="Compact"/>
              <w:spacing w:after="40" w:before="40"/>
              <w:jc w:val="left"/>
            </w:pPr>
            <w:r>
              <w:rPr>
                <w:rFonts w:ascii="Cambria" w:hAnsi="Cambria" w:cs="Cambria" w:eastAsia="Cambria"/>
                <w:color w:val="1A1A1A"/>
                <w:sz w:val="18"/>
              </w:rPr>
              <w:t xml:space="preserve">36,0</w:t>
            </w:r>
          </w:p>
        </w:tc>
      </w:tr>
      <w:tr>
        <w:tc>
          <w:tcPr/>
          <w:p>
            <w:pPr>
              <w:pStyle w:val="Compact"/>
              <w:spacing w:after="40" w:before="40"/>
              <w:jc w:val="left"/>
            </w:pPr>
            <w:r>
              <w:rPr>
                <w:rFonts w:ascii="Cambria" w:hAnsi="Cambria" w:cs="Cambria" w:eastAsia="Cambria"/>
                <w:b/>
                <w:bCs/>
                <w:color w:val="1A1A1A"/>
                <w:sz w:val="18"/>
              </w:rPr>
              <w:t xml:space="preserve">Mobilità sanitaria</w:t>
            </w:r>
          </w:p>
        </w:tc>
        <w:tc>
          <w:tcPr/>
          <w:p>
            <w:pPr>
              <w:pStyle w:val="Compact"/>
              <w:spacing w:after="40" w:before="40"/>
              <w:jc w:val="left"/>
            </w:pPr>
            <w:r>
              <w:rPr>
                <w:rFonts w:ascii="Cambria" w:hAnsi="Cambria" w:cs="Cambria" w:eastAsia="Cambria"/>
                <w:color w:val="1A1A1A"/>
                <w:sz w:val="18"/>
              </w:rPr>
              <w:t xml:space="preserve">4,0</w:t>
            </w:r>
          </w:p>
        </w:tc>
        <w:tc>
          <w:tcPr/>
          <w:p>
            <w:pPr>
              <w:pStyle w:val="Compact"/>
              <w:spacing w:after="40" w:before="40"/>
              <w:jc w:val="left"/>
            </w:pPr>
            <w:r>
              <w:rPr>
                <w:rFonts w:ascii="Cambria" w:hAnsi="Cambria" w:cs="Cambria" w:eastAsia="Cambria"/>
                <w:color w:val="1A1A1A"/>
                <w:sz w:val="18"/>
              </w:rPr>
              <w:t xml:space="preserve">5,5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11,0</w:t>
            </w:r>
          </w:p>
        </w:tc>
        <w:tc>
          <w:tcPr/>
          <w:p>
            <w:pPr>
              <w:pStyle w:val="Compact"/>
              <w:spacing w:after="40" w:before="40"/>
              <w:jc w:val="left"/>
            </w:pPr>
            <w:r>
              <w:rPr>
                <w:rFonts w:ascii="Cambria" w:hAnsi="Cambria" w:cs="Cambria" w:eastAsia="Cambria"/>
                <w:color w:val="1A1A1A"/>
                <w:sz w:val="18"/>
              </w:rPr>
              <w:t xml:space="preserve">14,0</w:t>
            </w:r>
          </w:p>
        </w:tc>
        <w:tc>
          <w:tcPr/>
          <w:p>
            <w:pPr>
              <w:pStyle w:val="Compact"/>
              <w:spacing w:after="40" w:before="40"/>
              <w:jc w:val="left"/>
            </w:pPr>
            <w:r>
              <w:rPr>
                <w:rFonts w:ascii="Cambria" w:hAnsi="Cambria" w:cs="Cambria" w:eastAsia="Cambria"/>
                <w:color w:val="1A1A1A"/>
                <w:sz w:val="18"/>
              </w:rPr>
              <w:t xml:space="preserve">19,5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Specialistico amb.</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c>
          <w:tcPr>
            <w:shd w:val="clear" w:color="auto" w:fill="F4F1EC"/>
          </w:tcPr>
          <w:p>
            <w:pPr>
              <w:pStyle w:val="Compact"/>
              <w:spacing w:after="40" w:before="40"/>
              <w:jc w:val="left"/>
            </w:pPr>
            <w:r>
              <w:rPr>
                <w:rFonts w:ascii="Cambria" w:hAnsi="Cambria" w:cs="Cambria" w:eastAsia="Cambria"/>
                <w:color w:val="1A1A1A"/>
                <w:sz w:val="18"/>
              </w:rPr>
              <w:t xml:space="preserve">4,2</w:t>
            </w:r>
          </w:p>
        </w:tc>
        <w:tc>
          <w:tcPr>
            <w:shd w:val="clear" w:color="auto" w:fill="F4F1EC"/>
          </w:tcPr>
          <w:p>
            <w:pPr>
              <w:pStyle w:val="Compact"/>
              <w:spacing w:after="40" w:before="40"/>
              <w:jc w:val="left"/>
            </w:pPr>
            <w:r>
              <w:rPr>
                <w:rFonts w:ascii="Cambria" w:hAnsi="Cambria" w:cs="Cambria" w:eastAsia="Cambria"/>
                <w:color w:val="1A1A1A"/>
                <w:sz w:val="18"/>
              </w:rPr>
              <w:t xml:space="preserve">6,0</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10,0</w:t>
            </w:r>
          </w:p>
        </w:tc>
        <w:tc>
          <w:tcPr>
            <w:shd w:val="clear" w:color="auto" w:fill="F4F1EC"/>
          </w:tcPr>
          <w:p>
            <w:pPr>
              <w:pStyle w:val="Compact"/>
              <w:spacing w:after="40" w:before="40"/>
              <w:jc w:val="left"/>
            </w:pPr>
            <w:r>
              <w:rPr>
                <w:rFonts w:ascii="Cambria" w:hAnsi="Cambria" w:cs="Cambria" w:eastAsia="Cambria"/>
                <w:color w:val="1A1A1A"/>
                <w:sz w:val="18"/>
              </w:rPr>
              <w:t xml:space="preserve">14,0</w:t>
            </w:r>
          </w:p>
        </w:tc>
      </w:tr>
      <w:tr>
        <w:tc>
          <w:tcPr/>
          <w:p>
            <w:pPr>
              <w:pStyle w:val="Compact"/>
              <w:spacing w:after="40" w:before="40"/>
              <w:jc w:val="left"/>
            </w:pPr>
            <w:r>
              <w:rPr>
                <w:rFonts w:ascii="Cambria" w:hAnsi="Cambria" w:cs="Cambria" w:eastAsia="Cambria"/>
                <w:b/>
                <w:bCs/>
                <w:color w:val="1A1A1A"/>
                <w:sz w:val="18"/>
              </w:rPr>
              <w:t xml:space="preserve">TOTALE DIRETTO</w:t>
            </w:r>
          </w:p>
        </w:tc>
        <w:tc>
          <w:tcPr/>
          <w:p>
            <w:pPr>
              <w:pStyle w:val="Compact"/>
              <w:spacing w:after="40" w:before="40"/>
              <w:jc w:val="left"/>
            </w:pPr>
            <w:r>
              <w:rPr>
                <w:rFonts w:ascii="Cambria" w:hAnsi="Cambria" w:cs="Cambria" w:eastAsia="Cambria"/>
                <w:color w:val="1A1A1A"/>
                <w:sz w:val="18"/>
              </w:rPr>
              <w:t xml:space="preserve">17,0</w:t>
            </w:r>
          </w:p>
        </w:tc>
        <w:tc>
          <w:tcPr/>
          <w:p>
            <w:pPr>
              <w:pStyle w:val="Compact"/>
              <w:spacing w:after="40" w:before="40"/>
              <w:jc w:val="left"/>
            </w:pPr>
            <w:r>
              <w:rPr>
                <w:rFonts w:ascii="Cambria" w:hAnsi="Cambria" w:cs="Cambria" w:eastAsia="Cambria"/>
                <w:color w:val="1A1A1A"/>
                <w:sz w:val="18"/>
              </w:rPr>
              <w:t xml:space="preserve">23,5</w:t>
            </w:r>
          </w:p>
        </w:tc>
        <w:tc>
          <w:tcPr/>
          <w:p>
            <w:pPr>
              <w:pStyle w:val="Compact"/>
              <w:spacing w:after="40" w:before="40"/>
              <w:jc w:val="left"/>
            </w:pPr>
            <w:r>
              <w:rPr>
                <w:rFonts w:ascii="Cambria" w:hAnsi="Cambria" w:cs="Cambria" w:eastAsia="Cambria"/>
                <w:color w:val="1A1A1A"/>
                <w:sz w:val="18"/>
              </w:rPr>
              <w:t xml:space="preserve">34,0</w:t>
            </w:r>
          </w:p>
        </w:tc>
        <w:tc>
          <w:tcPr/>
          <w:p>
            <w:pPr>
              <w:pStyle w:val="Compact"/>
              <w:spacing w:after="40" w:before="40"/>
              <w:jc w:val="left"/>
            </w:pPr>
            <w:r>
              <w:rPr>
                <w:rFonts w:ascii="Cambria" w:hAnsi="Cambria" w:cs="Cambria" w:eastAsia="Cambria"/>
                <w:color w:val="1A1A1A"/>
                <w:sz w:val="18"/>
              </w:rPr>
              <w:t xml:space="preserve">47,0</w:t>
            </w:r>
          </w:p>
        </w:tc>
        <w:tc>
          <w:tcPr/>
          <w:p>
            <w:pPr>
              <w:pStyle w:val="Compact"/>
              <w:spacing w:after="40" w:before="40"/>
              <w:jc w:val="left"/>
            </w:pPr>
            <w:r>
              <w:rPr>
                <w:rFonts w:ascii="Cambria" w:hAnsi="Cambria" w:cs="Cambria" w:eastAsia="Cambria"/>
                <w:color w:val="1A1A1A"/>
                <w:sz w:val="18"/>
              </w:rPr>
              <w:t xml:space="preserve">57,0</w:t>
            </w:r>
          </w:p>
        </w:tc>
        <w:tc>
          <w:tcPr/>
          <w:p>
            <w:pPr>
              <w:pStyle w:val="Compact"/>
              <w:spacing w:after="40" w:before="40"/>
              <w:jc w:val="left"/>
            </w:pPr>
            <w:r>
              <w:rPr>
                <w:rFonts w:ascii="Cambria" w:hAnsi="Cambria" w:cs="Cambria" w:eastAsia="Cambria"/>
                <w:color w:val="1A1A1A"/>
                <w:sz w:val="18"/>
              </w:rPr>
              <w:t xml:space="preserve">79,5</w:t>
            </w:r>
          </w:p>
        </w:tc>
      </w:tr>
      <w:tr>
        <w:tc>
          <w:tcPr>
            <w:shd w:val="clear" w:color="auto" w:fill="F4F1EC"/>
          </w:tcPr>
          <w:p>
            <w:pPr>
              <w:pStyle w:val="Compact"/>
              <w:spacing w:after="40" w:before="40"/>
              <w:jc w:val="left"/>
            </w:pPr>
            <w:r>
              <w:rPr>
                <w:rFonts w:ascii="Cambria" w:hAnsi="Cambria" w:cs="Cambria" w:eastAsia="Cambria"/>
                <w:color w:val="1A1A1A"/>
                <w:sz w:val="18"/>
              </w:rPr>
              <w:t xml:space="preserve">di cui quota IA</w:t>
            </w:r>
          </w:p>
        </w:tc>
        <w:tc>
          <w:tcPr>
            <w:shd w:val="clear" w:color="auto" w:fill="F4F1EC"/>
          </w:tcPr>
          <w:p>
            <w:pPr>
              <w:pStyle w:val="Compact"/>
              <w:spacing w:after="40" w:before="40"/>
              <w:jc w:val="left"/>
            </w:pPr>
            <w:r>
              <w:rPr>
                <w:rFonts w:ascii="Cambria" w:hAnsi="Cambria" w:cs="Cambria" w:eastAsia="Cambria"/>
                <w:color w:val="1A1A1A"/>
                <w:sz w:val="18"/>
              </w:rPr>
              <w:t xml:space="preserve">0,85</w:t>
            </w:r>
          </w:p>
        </w:tc>
        <w:tc>
          <w:tcPr>
            <w:shd w:val="clear" w:color="auto" w:fill="F4F1EC"/>
          </w:tcPr>
          <w:p>
            <w:pPr>
              <w:pStyle w:val="Compact"/>
              <w:spacing w:after="40" w:before="40"/>
              <w:jc w:val="left"/>
            </w:pPr>
            <w:r>
              <w:rPr>
                <w:rFonts w:ascii="Cambria" w:hAnsi="Cambria" w:cs="Cambria" w:eastAsia="Cambria"/>
                <w:color w:val="1A1A1A"/>
                <w:sz w:val="18"/>
              </w:rPr>
              <w:t xml:space="preserve">1,18</w:t>
            </w:r>
          </w:p>
        </w:tc>
        <w:tc>
          <w:tcPr>
            <w:shd w:val="clear" w:color="auto" w:fill="F4F1EC"/>
          </w:tcPr>
          <w:p>
            <w:pPr>
              <w:pStyle w:val="Compact"/>
              <w:spacing w:after="40" w:before="40"/>
              <w:jc w:val="left"/>
            </w:pPr>
            <w:r>
              <w:rPr>
                <w:rFonts w:ascii="Cambria" w:hAnsi="Cambria" w:cs="Cambria" w:eastAsia="Cambria"/>
                <w:color w:val="1A1A1A"/>
                <w:sz w:val="18"/>
              </w:rPr>
              <w:t xml:space="preserve">3,40</w:t>
            </w:r>
          </w:p>
        </w:tc>
        <w:tc>
          <w:tcPr>
            <w:shd w:val="clear" w:color="auto" w:fill="F4F1EC"/>
          </w:tcPr>
          <w:p>
            <w:pPr>
              <w:pStyle w:val="Compact"/>
              <w:spacing w:after="40" w:before="40"/>
              <w:jc w:val="left"/>
            </w:pPr>
            <w:r>
              <w:rPr>
                <w:rFonts w:ascii="Cambria" w:hAnsi="Cambria" w:cs="Cambria" w:eastAsia="Cambria"/>
                <w:color w:val="1A1A1A"/>
                <w:sz w:val="18"/>
              </w:rPr>
              <w:t xml:space="preserve">4,70</w:t>
            </w:r>
          </w:p>
        </w:tc>
        <w:tc>
          <w:tcPr>
            <w:shd w:val="clear" w:color="auto" w:fill="F4F1EC"/>
          </w:tcPr>
          <w:p>
            <w:pPr>
              <w:pStyle w:val="Compact"/>
              <w:spacing w:after="40" w:before="40"/>
              <w:jc w:val="left"/>
            </w:pPr>
            <w:r>
              <w:rPr>
                <w:rFonts w:ascii="Cambria" w:hAnsi="Cambria" w:cs="Cambria" w:eastAsia="Cambria"/>
                <w:color w:val="1A1A1A"/>
                <w:sz w:val="18"/>
              </w:rPr>
              <w:t xml:space="preserve">8,55</w:t>
            </w:r>
          </w:p>
        </w:tc>
        <w:tc>
          <w:tcPr>
            <w:shd w:val="clear" w:color="auto" w:fill="F4F1EC"/>
          </w:tcPr>
          <w:p>
            <w:pPr>
              <w:pStyle w:val="Compact"/>
              <w:spacing w:after="40" w:before="40"/>
              <w:jc w:val="left"/>
            </w:pPr>
            <w:r>
              <w:rPr>
                <w:rFonts w:ascii="Cambria" w:hAnsi="Cambria" w:cs="Cambria" w:eastAsia="Cambria"/>
                <w:color w:val="1A1A1A"/>
                <w:sz w:val="18"/>
              </w:rPr>
              <w:t xml:space="preserve">11,93</w:t>
            </w:r>
          </w:p>
        </w:tc>
      </w:tr>
    </w:tbl>
    <w:p>
      <w:pPr>
        <w:pStyle w:val="BodyText"/>
      </w:pPr>
      <w:r>
        <w:rPr>
          <w:i/>
          <w:iCs/>
        </w:rPr>
        <w:t xml:space="preserve">Moltiplicatore OECD 2026: 1,375 per i canali farmaceutico, PS/ricoveri, mobilità; 1,417 per il canale specialistico. La quota IA non è additiva rispetto al totale: è inclusa nel risparmio del canale corrispondente.</w:t>
      </w:r>
    </w:p>
    <w:bookmarkEnd w:id="25"/>
    <w:bookmarkStart w:id="26" w:name="X6b526062ce1aa4822e6a182a69ffe4b890634d8"/>
    <w:p>
      <w:pPr>
        <w:pStyle w:val="Heading2"/>
      </w:pPr>
      <w:r>
        <w:rPr>
          <w:b/>
          <w:bCs/>
        </w:rPr>
        <w:t xml:space="preserve">IV.3 ROI, costo-efficacia e indicatori di sostenibilità (OECD 2026)</w:t>
      </w:r>
    </w:p>
    <w:p>
      <w:pPr>
        <w:pStyle w:val="FirstParagraph"/>
      </w:pPr>
      <w:r>
        <w:t xml:space="preserve">Il confronto tra i due framework evidenzia un miglioramento sostanziale di tutti gli indicatori di sostenibilità. Nello scenario intermedio — il più adeguato per la pianificazione normativa — il ROI lordo passa da 1:4,8 (Chisholm 2016) a 1:6,6 (OECD 2026), il costo/QALY si riduce da 16.000 euro a 9.800 euro, e il break-even si contrae da 3,2 anni a 2,3 anni. Nello scenario ottimale, con 79,5 milioni di risparmi diretti e 49,0 milioni di benefici indiretti, il beneficio netto annuo supera 87 milioni di euro a fronte di costi per 40,5 milioni, con un ROI cumulativo a 10 anni di 10,4:1.</w:t>
      </w:r>
    </w:p>
    <w:p>
      <w:pPr>
        <w:pStyle w:val="BodyText"/>
      </w:pPr>
      <w:r>
        <w:rPr>
          <w:b/>
          <w:bCs/>
        </w:rPr>
        <w:t xml:space="preserve">Tab. IV.3 — Indicatori di ROI e costo-efficacia: Chisholm 2016 vs OECD 2026 — scenario intermedio (775 psicologi, costo annuo 40,5 mln €)</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w:t>
            </w:r>
          </w:p>
        </w:tc>
        <w:tc>
          <w:tcPr>
            <w:shd w:val="clear" w:color="auto" w:fill="16264B"/>
          </w:tcPr>
          <w:p>
            <w:pPr>
              <w:pStyle w:val="Compact"/>
              <w:spacing w:after="40" w:before="40"/>
              <w:jc w:val="left"/>
            </w:pPr>
            <w:r>
              <w:rPr>
                <w:rFonts w:ascii="Cambria" w:hAnsi="Cambria" w:cs="Cambria" w:eastAsia="Cambria"/>
                <w:b/>
                <w:bCs/>
                <w:color w:val="FFFFFF"/>
                <w:sz w:val="18"/>
              </w:rPr>
              <w:t xml:space="preserve">Ottimale</w:t>
            </w:r>
          </w:p>
        </w:tc>
        <w:tc>
          <w:tcPr>
            <w:shd w:val="clear" w:color="auto" w:fill="16264B"/>
          </w:tcPr>
          <w:p>
            <w:pPr>
              <w:pStyle w:val="Compact"/>
              <w:spacing w:after="40" w:before="40"/>
              <w:jc w:val="left"/>
            </w:pPr>
            <w:r>
              <w:rPr>
                <w:rFonts w:ascii="Cambria" w:hAnsi="Cambria" w:cs="Cambria" w:eastAsia="Cambria"/>
                <w:b/>
                <w:bCs/>
                <w:color w:val="FFFFFF"/>
                <w:sz w:val="18"/>
              </w:rPr>
              <w:t xml:space="preserve">Framework</w:t>
            </w:r>
          </w:p>
        </w:tc>
      </w:tr>
      <w:tr>
        <w:tc>
          <w:tcPr/>
          <w:p>
            <w:pPr>
              <w:pStyle w:val="Compact"/>
              <w:spacing w:after="40" w:before="40"/>
              <w:jc w:val="left"/>
            </w:pPr>
            <w:r>
              <w:rPr>
                <w:rFonts w:ascii="Cambria" w:hAnsi="Cambria" w:cs="Cambria" w:eastAsia="Cambria"/>
                <w:b/>
                <w:bCs/>
                <w:color w:val="1A1A1A"/>
                <w:sz w:val="18"/>
              </w:rPr>
              <w:t xml:space="preserve">Costo totale annuo servizio (mln €)</w:t>
            </w:r>
          </w:p>
        </w:tc>
        <w:tc>
          <w:tcPr/>
          <w:p>
            <w:pPr>
              <w:pStyle w:val="Compact"/>
              <w:spacing w:after="40" w:before="40"/>
              <w:jc w:val="left"/>
            </w:pPr>
            <w:r>
              <w:rPr>
                <w:rFonts w:ascii="Cambria" w:hAnsi="Cambria" w:cs="Cambria" w:eastAsia="Cambria"/>
                <w:color w:val="1A1A1A"/>
                <w:sz w:val="18"/>
              </w:rPr>
              <w:t xml:space="preserve">40,5</w:t>
            </w:r>
          </w:p>
        </w:tc>
        <w:tc>
          <w:tcPr/>
          <w:p>
            <w:pPr>
              <w:pStyle w:val="Compact"/>
              <w:spacing w:after="40" w:before="40"/>
              <w:jc w:val="left"/>
            </w:pPr>
            <w:r>
              <w:rPr>
                <w:rFonts w:ascii="Cambria" w:hAnsi="Cambria" w:cs="Cambria" w:eastAsia="Cambria"/>
                <w:color w:val="1A1A1A"/>
                <w:sz w:val="18"/>
              </w:rPr>
              <w:t xml:space="preserve">40,5</w:t>
            </w:r>
          </w:p>
        </w:tc>
        <w:tc>
          <w:tcPr/>
          <w:p>
            <w:pPr>
              <w:pStyle w:val="Compact"/>
              <w:spacing w:after="40" w:before="40"/>
              <w:jc w:val="left"/>
            </w:pPr>
            <w:r>
              <w:rPr>
                <w:rFonts w:ascii="Cambria" w:hAnsi="Cambria" w:cs="Cambria" w:eastAsia="Cambria"/>
                <w:color w:val="1A1A1A"/>
                <w:sz w:val="18"/>
              </w:rPr>
              <w:t xml:space="preserve">40,5</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 diretti — Chisholm 2016 (mln €)</w:t>
            </w:r>
          </w:p>
        </w:tc>
        <w:tc>
          <w:tcPr>
            <w:shd w:val="clear" w:color="auto" w:fill="F4F1EC"/>
          </w:tcPr>
          <w:p>
            <w:pPr>
              <w:pStyle w:val="Compact"/>
              <w:spacing w:after="40" w:before="40"/>
              <w:jc w:val="left"/>
            </w:pPr>
            <w:r>
              <w:rPr>
                <w:rFonts w:ascii="Cambria" w:hAnsi="Cambria" w:cs="Cambria" w:eastAsia="Cambria"/>
                <w:color w:val="1A1A1A"/>
                <w:sz w:val="18"/>
              </w:rPr>
              <w:t xml:space="preserve">17,0</w:t>
            </w:r>
          </w:p>
        </w:tc>
        <w:tc>
          <w:tcPr>
            <w:shd w:val="clear" w:color="auto" w:fill="F4F1EC"/>
          </w:tcPr>
          <w:p>
            <w:pPr>
              <w:pStyle w:val="Compact"/>
              <w:spacing w:after="40" w:before="40"/>
              <w:jc w:val="left"/>
            </w:pPr>
            <w:r>
              <w:rPr>
                <w:rFonts w:ascii="Cambria" w:hAnsi="Cambria" w:cs="Cambria" w:eastAsia="Cambria"/>
                <w:color w:val="1A1A1A"/>
                <w:sz w:val="18"/>
              </w:rPr>
              <w:t xml:space="preserve">34,0</w:t>
            </w:r>
          </w:p>
        </w:tc>
        <w:tc>
          <w:tcPr>
            <w:shd w:val="clear" w:color="auto" w:fill="F4F1EC"/>
          </w:tcPr>
          <w:p>
            <w:pPr>
              <w:pStyle w:val="Compact"/>
              <w:spacing w:after="40" w:before="40"/>
              <w:jc w:val="left"/>
            </w:pPr>
            <w:r>
              <w:rPr>
                <w:rFonts w:ascii="Cambria" w:hAnsi="Cambria" w:cs="Cambria" w:eastAsia="Cambria"/>
                <w:color w:val="1A1A1A"/>
                <w:sz w:val="18"/>
              </w:rPr>
              <w:t xml:space="preserve">57,0</w:t>
            </w:r>
          </w:p>
        </w:tc>
        <w:tc>
          <w:tcPr>
            <w:shd w:val="clear" w:color="auto" w:fill="F4F1EC"/>
          </w:tcPr>
          <w:p>
            <w:pPr>
              <w:pStyle w:val="Compact"/>
              <w:spacing w:after="40" w:before="40"/>
              <w:jc w:val="left"/>
            </w:pPr>
            <w:r>
              <w:rPr>
                <w:rFonts w:ascii="Cambria" w:hAnsi="Cambria" w:cs="Cambria" w:eastAsia="Cambria"/>
                <w:color w:val="1A1A1A"/>
                <w:sz w:val="18"/>
              </w:rPr>
              <w:t xml:space="preserve">Chisholm 2016</w:t>
            </w:r>
          </w:p>
        </w:tc>
      </w:tr>
      <w:tr>
        <w:tc>
          <w:tcPr/>
          <w:p>
            <w:pPr>
              <w:pStyle w:val="Compact"/>
              <w:spacing w:after="40" w:before="40"/>
              <w:jc w:val="left"/>
            </w:pPr>
            <w:r>
              <w:rPr>
                <w:rFonts w:ascii="Cambria" w:hAnsi="Cambria" w:cs="Cambria" w:eastAsia="Cambria"/>
                <w:color w:val="1A1A1A"/>
                <w:sz w:val="18"/>
              </w:rPr>
              <w:t xml:space="preserve">Risparmi diretti — OECD 2026 (mln €)</w:t>
            </w:r>
          </w:p>
        </w:tc>
        <w:tc>
          <w:tcPr/>
          <w:p>
            <w:pPr>
              <w:pStyle w:val="Compact"/>
              <w:spacing w:after="40" w:before="40"/>
              <w:jc w:val="left"/>
            </w:pPr>
            <w:r>
              <w:rPr>
                <w:rFonts w:ascii="Cambria" w:hAnsi="Cambria" w:cs="Cambria" w:eastAsia="Cambria"/>
                <w:color w:val="1A1A1A"/>
                <w:sz w:val="18"/>
              </w:rPr>
              <w:t xml:space="preserve">23,5</w:t>
            </w:r>
          </w:p>
        </w:tc>
        <w:tc>
          <w:tcPr/>
          <w:p>
            <w:pPr>
              <w:pStyle w:val="Compact"/>
              <w:spacing w:after="40" w:before="40"/>
              <w:jc w:val="left"/>
            </w:pPr>
            <w:r>
              <w:rPr>
                <w:rFonts w:ascii="Cambria" w:hAnsi="Cambria" w:cs="Cambria" w:eastAsia="Cambria"/>
                <w:color w:val="1A1A1A"/>
                <w:sz w:val="18"/>
              </w:rPr>
              <w:t xml:space="preserve">47,0</w:t>
            </w:r>
          </w:p>
        </w:tc>
        <w:tc>
          <w:tcPr/>
          <w:p>
            <w:pPr>
              <w:pStyle w:val="Compact"/>
              <w:spacing w:after="40" w:before="40"/>
              <w:jc w:val="left"/>
            </w:pPr>
            <w:r>
              <w:rPr>
                <w:rFonts w:ascii="Cambria" w:hAnsi="Cambria" w:cs="Cambria" w:eastAsia="Cambria"/>
                <w:color w:val="1A1A1A"/>
                <w:sz w:val="18"/>
              </w:rPr>
              <w:t xml:space="preserve">79,5</w:t>
            </w:r>
          </w:p>
        </w:tc>
        <w:tc>
          <w:tcPr/>
          <w:p>
            <w:pPr>
              <w:pStyle w:val="Compact"/>
              <w:spacing w:after="40" w:before="40"/>
              <w:jc w:val="left"/>
            </w:pPr>
            <w:r>
              <w:rPr>
                <w:rFonts w:ascii="Cambria" w:hAnsi="Cambria" w:cs="Cambria" w:eastAsia="Cambria"/>
                <w:color w:val="1A1A1A"/>
                <w:sz w:val="18"/>
              </w:rPr>
              <w:t xml:space="preserve">OECD 2026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Benefici indiretti OECD 2026 (mln €)</w:t>
            </w:r>
          </w:p>
        </w:tc>
        <w:tc>
          <w:tcPr>
            <w:shd w:val="clear" w:color="auto" w:fill="F4F1EC"/>
          </w:tcPr>
          <w:p>
            <w:pPr>
              <w:pStyle w:val="Compact"/>
              <w:spacing w:after="40" w:before="40"/>
              <w:jc w:val="left"/>
            </w:pPr>
            <w:r>
              <w:rPr>
                <w:rFonts w:ascii="Cambria" w:hAnsi="Cambria" w:cs="Cambria" w:eastAsia="Cambria"/>
                <w:color w:val="1A1A1A"/>
                <w:sz w:val="18"/>
              </w:rPr>
              <w:t xml:space="preserve">11,0</w:t>
            </w:r>
          </w:p>
        </w:tc>
        <w:tc>
          <w:tcPr>
            <w:shd w:val="clear" w:color="auto" w:fill="F4F1EC"/>
          </w:tcPr>
          <w:p>
            <w:pPr>
              <w:pStyle w:val="Compact"/>
              <w:spacing w:after="40" w:before="40"/>
              <w:jc w:val="left"/>
            </w:pPr>
            <w:r>
              <w:rPr>
                <w:rFonts w:ascii="Cambria" w:hAnsi="Cambria" w:cs="Cambria" w:eastAsia="Cambria"/>
                <w:color w:val="1A1A1A"/>
                <w:sz w:val="18"/>
              </w:rPr>
              <w:t xml:space="preserve">27,0</w:t>
            </w:r>
          </w:p>
        </w:tc>
        <w:tc>
          <w:tcPr>
            <w:shd w:val="clear" w:color="auto" w:fill="F4F1EC"/>
          </w:tcPr>
          <w:p>
            <w:pPr>
              <w:pStyle w:val="Compact"/>
              <w:spacing w:after="40" w:before="40"/>
              <w:jc w:val="left"/>
            </w:pPr>
            <w:r>
              <w:rPr>
                <w:rFonts w:ascii="Cambria" w:hAnsi="Cambria" w:cs="Cambria" w:eastAsia="Cambria"/>
                <w:color w:val="1A1A1A"/>
                <w:sz w:val="18"/>
              </w:rPr>
              <w:t xml:space="preserve">49,0</w:t>
            </w:r>
          </w:p>
        </w:tc>
        <w:tc>
          <w:tcPr>
            <w:shd w:val="clear" w:color="auto" w:fill="F4F1EC"/>
          </w:tcPr>
          <w:p>
            <w:pPr>
              <w:pStyle w:val="Compact"/>
              <w:spacing w:after="40" w:before="40"/>
              <w:jc w:val="left"/>
            </w:pPr>
            <w:r>
              <w:rPr>
                <w:rFonts w:ascii="Cambria" w:hAnsi="Cambria" w:cs="Cambria" w:eastAsia="Cambria"/>
                <w:color w:val="1A1A1A"/>
                <w:sz w:val="18"/>
              </w:rPr>
              <w:t xml:space="preserve">OECD 2026 + OIL</w:t>
            </w:r>
          </w:p>
        </w:tc>
      </w:tr>
      <w:tr>
        <w:tc>
          <w:tcPr/>
          <w:p>
            <w:pPr>
              <w:pStyle w:val="Compact"/>
              <w:spacing w:after="40" w:before="40"/>
              <w:jc w:val="left"/>
            </w:pPr>
            <w:r>
              <w:rPr>
                <w:rFonts w:ascii="Cambria" w:hAnsi="Cambria" w:cs="Cambria" w:eastAsia="Cambria"/>
                <w:color w:val="1A1A1A"/>
                <w:sz w:val="18"/>
              </w:rPr>
              <w:t xml:space="preserve">ROI lordo — Chisholm 2016</w:t>
            </w:r>
          </w:p>
        </w:tc>
        <w:tc>
          <w:tcPr/>
          <w:p>
            <w:pPr>
              <w:pStyle w:val="Compact"/>
              <w:spacing w:after="40" w:before="40"/>
              <w:jc w:val="left"/>
            </w:pPr>
            <w:r>
              <w:rPr>
                <w:rFonts w:ascii="Cambria" w:hAnsi="Cambria" w:cs="Cambria" w:eastAsia="Cambria"/>
                <w:color w:val="1A1A1A"/>
                <w:sz w:val="18"/>
              </w:rPr>
              <w:t xml:space="preserve">1:3,0</w:t>
            </w:r>
          </w:p>
        </w:tc>
        <w:tc>
          <w:tcPr/>
          <w:p>
            <w:pPr>
              <w:pStyle w:val="Compact"/>
              <w:spacing w:after="40" w:before="40"/>
              <w:jc w:val="left"/>
            </w:pPr>
            <w:r>
              <w:rPr>
                <w:rFonts w:ascii="Cambria" w:hAnsi="Cambria" w:cs="Cambria" w:eastAsia="Cambria"/>
                <w:color w:val="1A1A1A"/>
                <w:sz w:val="18"/>
              </w:rPr>
              <w:t xml:space="preserve">1:4,8</w:t>
            </w:r>
          </w:p>
        </w:tc>
        <w:tc>
          <w:tcPr/>
          <w:p>
            <w:pPr>
              <w:pStyle w:val="Compact"/>
              <w:spacing w:after="40" w:before="40"/>
              <w:jc w:val="left"/>
            </w:pPr>
            <w:r>
              <w:rPr>
                <w:rFonts w:ascii="Cambria" w:hAnsi="Cambria" w:cs="Cambria" w:eastAsia="Cambria"/>
                <w:color w:val="1A1A1A"/>
                <w:sz w:val="18"/>
              </w:rPr>
              <w:t xml:space="preserve">1:7,6</w:t>
            </w:r>
          </w:p>
        </w:tc>
        <w:tc>
          <w:tcPr/>
          <w:p>
            <w:pPr>
              <w:pStyle w:val="Compact"/>
              <w:spacing w:after="40" w:before="40"/>
              <w:jc w:val="left"/>
            </w:pPr>
            <w:r>
              <w:rPr>
                <w:rFonts w:ascii="Cambria" w:hAnsi="Cambria" w:cs="Cambria" w:eastAsia="Cambria"/>
                <w:color w:val="1A1A1A"/>
                <w:sz w:val="18"/>
              </w:rPr>
              <w:t xml:space="preserve">Chisholm 2016</w:t>
            </w:r>
          </w:p>
        </w:tc>
      </w:tr>
      <w:tr>
        <w:tc>
          <w:tcPr>
            <w:shd w:val="clear" w:color="auto" w:fill="F4F1EC"/>
          </w:tcPr>
          <w:p>
            <w:pPr>
              <w:pStyle w:val="Compact"/>
              <w:spacing w:after="40" w:before="40"/>
              <w:jc w:val="left"/>
            </w:pPr>
            <w:r>
              <w:rPr>
                <w:rFonts w:ascii="Cambria" w:hAnsi="Cambria" w:cs="Cambria" w:eastAsia="Cambria"/>
                <w:color w:val="1A1A1A"/>
                <w:sz w:val="18"/>
              </w:rPr>
              <w:t xml:space="preserve">ROI lordo — OECD 2026</w:t>
            </w:r>
          </w:p>
        </w:tc>
        <w:tc>
          <w:tcPr>
            <w:shd w:val="clear" w:color="auto" w:fill="F4F1EC"/>
          </w:tcPr>
          <w:p>
            <w:pPr>
              <w:pStyle w:val="Compact"/>
              <w:spacing w:after="40" w:before="40"/>
              <w:jc w:val="left"/>
            </w:pPr>
            <w:r>
              <w:rPr>
                <w:rFonts w:ascii="Cambria" w:hAnsi="Cambria" w:cs="Cambria" w:eastAsia="Cambria"/>
                <w:color w:val="1A1A1A"/>
                <w:sz w:val="18"/>
              </w:rPr>
              <w:t xml:space="preserve">1:4,2</w:t>
            </w:r>
          </w:p>
        </w:tc>
        <w:tc>
          <w:tcPr>
            <w:shd w:val="clear" w:color="auto" w:fill="F4F1EC"/>
          </w:tcPr>
          <w:p>
            <w:pPr>
              <w:pStyle w:val="Compact"/>
              <w:spacing w:after="40" w:before="40"/>
              <w:jc w:val="left"/>
            </w:pPr>
            <w:r>
              <w:rPr>
                <w:rFonts w:ascii="Cambria" w:hAnsi="Cambria" w:cs="Cambria" w:eastAsia="Cambria"/>
                <w:color w:val="1A1A1A"/>
                <w:sz w:val="18"/>
              </w:rPr>
              <w:t xml:space="preserve">1:6,6</w:t>
            </w:r>
          </w:p>
        </w:tc>
        <w:tc>
          <w:tcPr>
            <w:shd w:val="clear" w:color="auto" w:fill="F4F1EC"/>
          </w:tcPr>
          <w:p>
            <w:pPr>
              <w:pStyle w:val="Compact"/>
              <w:spacing w:after="40" w:before="40"/>
              <w:jc w:val="left"/>
            </w:pPr>
            <w:r>
              <w:rPr>
                <w:rFonts w:ascii="Cambria" w:hAnsi="Cambria" w:cs="Cambria" w:eastAsia="Cambria"/>
                <w:color w:val="1A1A1A"/>
                <w:sz w:val="18"/>
              </w:rPr>
              <w:t xml:space="preserve">1:10,4</w:t>
            </w:r>
          </w:p>
        </w:tc>
        <w:tc>
          <w:tcPr>
            <w:shd w:val="clear" w:color="auto" w:fill="F4F1EC"/>
          </w:tcPr>
          <w:p>
            <w:pPr>
              <w:pStyle w:val="Compact"/>
              <w:spacing w:after="40" w:before="40"/>
              <w:jc w:val="left"/>
            </w:pPr>
            <w:r>
              <w:rPr>
                <w:rFonts w:ascii="Cambria" w:hAnsi="Cambria" w:cs="Cambria" w:eastAsia="Cambria"/>
                <w:color w:val="1A1A1A"/>
                <w:sz w:val="18"/>
              </w:rPr>
              <w:t xml:space="preserve">OECD 2026</w:t>
            </w:r>
          </w:p>
        </w:tc>
      </w:tr>
      <w:tr>
        <w:tc>
          <w:tcPr/>
          <w:p>
            <w:pPr>
              <w:pStyle w:val="Compact"/>
              <w:spacing w:after="40" w:before="40"/>
              <w:jc w:val="left"/>
            </w:pPr>
            <w:r>
              <w:rPr>
                <w:rFonts w:ascii="Cambria" w:hAnsi="Cambria" w:cs="Cambria" w:eastAsia="Cambria"/>
                <w:color w:val="1A1A1A"/>
                <w:sz w:val="18"/>
              </w:rPr>
              <w:t xml:space="preserve">Costo/QALY — Chisholm 2016</w:t>
            </w:r>
          </w:p>
        </w:tc>
        <w:tc>
          <w:tcPr/>
          <w:p>
            <w:pPr>
              <w:pStyle w:val="Compact"/>
              <w:spacing w:after="40" w:before="40"/>
              <w:jc w:val="left"/>
            </w:pPr>
            <w:r>
              <w:rPr>
                <w:rFonts w:ascii="Cambria" w:hAnsi="Cambria" w:cs="Cambria" w:eastAsia="Cambria"/>
                <w:color w:val="1A1A1A"/>
                <w:sz w:val="18"/>
              </w:rPr>
              <w:t xml:space="preserve">€ 18.500</w:t>
            </w:r>
          </w:p>
        </w:tc>
        <w:tc>
          <w:tcPr/>
          <w:p>
            <w:pPr>
              <w:pStyle w:val="Compact"/>
              <w:spacing w:after="40" w:before="40"/>
              <w:jc w:val="left"/>
            </w:pPr>
            <w:r>
              <w:rPr>
                <w:rFonts w:ascii="Cambria" w:hAnsi="Cambria" w:cs="Cambria" w:eastAsia="Cambria"/>
                <w:color w:val="1A1A1A"/>
                <w:sz w:val="18"/>
              </w:rPr>
              <w:t xml:space="preserve">€ 16.000</w:t>
            </w:r>
          </w:p>
        </w:tc>
        <w:tc>
          <w:tcPr/>
          <w:p>
            <w:pPr>
              <w:pStyle w:val="Compact"/>
              <w:spacing w:after="40" w:before="40"/>
              <w:jc w:val="left"/>
            </w:pPr>
            <w:r>
              <w:rPr>
                <w:rFonts w:ascii="Cambria" w:hAnsi="Cambria" w:cs="Cambria" w:eastAsia="Cambria"/>
                <w:color w:val="1A1A1A"/>
                <w:sz w:val="18"/>
              </w:rPr>
              <w:t xml:space="preserve">€ 12.500</w:t>
            </w:r>
          </w:p>
        </w:tc>
        <w:tc>
          <w:tcPr/>
          <w:p>
            <w:pPr>
              <w:pStyle w:val="Compact"/>
              <w:spacing w:after="40" w:before="40"/>
              <w:jc w:val="left"/>
            </w:pPr>
            <w:r>
              <w:rPr>
                <w:rFonts w:ascii="Cambria" w:hAnsi="Cambria" w:cs="Cambria" w:eastAsia="Cambria"/>
                <w:color w:val="1A1A1A"/>
                <w:sz w:val="18"/>
              </w:rPr>
              <w:t xml:space="preserve">Chisholm 2016</w:t>
            </w:r>
          </w:p>
        </w:tc>
      </w:tr>
      <w:tr>
        <w:tc>
          <w:tcPr>
            <w:shd w:val="clear" w:color="auto" w:fill="F4F1EC"/>
          </w:tcPr>
          <w:p>
            <w:pPr>
              <w:pStyle w:val="Compact"/>
              <w:spacing w:after="40" w:before="40"/>
              <w:jc w:val="left"/>
            </w:pPr>
            <w:r>
              <w:rPr>
                <w:rFonts w:ascii="Cambria" w:hAnsi="Cambria" w:cs="Cambria" w:eastAsia="Cambria"/>
                <w:color w:val="1A1A1A"/>
                <w:sz w:val="18"/>
              </w:rPr>
              <w:t xml:space="preserve">Costo/QALY — OECD 2026</w:t>
            </w:r>
          </w:p>
        </w:tc>
        <w:tc>
          <w:tcPr>
            <w:shd w:val="clear" w:color="auto" w:fill="F4F1EC"/>
          </w:tcPr>
          <w:p>
            <w:pPr>
              <w:pStyle w:val="Compact"/>
              <w:spacing w:after="40" w:before="40"/>
              <w:jc w:val="left"/>
            </w:pPr>
            <w:r>
              <w:rPr>
                <w:rFonts w:ascii="Cambria" w:hAnsi="Cambria" w:cs="Cambria" w:eastAsia="Cambria"/>
                <w:color w:val="1A1A1A"/>
                <w:sz w:val="18"/>
              </w:rPr>
              <w:t xml:space="preserve">€ 11.500</w:t>
            </w:r>
          </w:p>
        </w:tc>
        <w:tc>
          <w:tcPr>
            <w:shd w:val="clear" w:color="auto" w:fill="F4F1EC"/>
          </w:tcPr>
          <w:p>
            <w:pPr>
              <w:pStyle w:val="Compact"/>
              <w:spacing w:after="40" w:before="40"/>
              <w:jc w:val="left"/>
            </w:pPr>
            <w:r>
              <w:rPr>
                <w:rFonts w:ascii="Cambria" w:hAnsi="Cambria" w:cs="Cambria" w:eastAsia="Cambria"/>
                <w:color w:val="1A1A1A"/>
                <w:sz w:val="18"/>
              </w:rPr>
              <w:t xml:space="preserve">€ 9.800</w:t>
            </w:r>
          </w:p>
        </w:tc>
        <w:tc>
          <w:tcPr>
            <w:shd w:val="clear" w:color="auto" w:fill="F4F1EC"/>
          </w:tcPr>
          <w:p>
            <w:pPr>
              <w:pStyle w:val="Compact"/>
              <w:spacing w:after="40" w:before="40"/>
              <w:jc w:val="left"/>
            </w:pPr>
            <w:r>
              <w:rPr>
                <w:rFonts w:ascii="Cambria" w:hAnsi="Cambria" w:cs="Cambria" w:eastAsia="Cambria"/>
                <w:color w:val="1A1A1A"/>
                <w:sz w:val="18"/>
              </w:rPr>
              <w:t xml:space="preserve">€ 7.200</w:t>
            </w:r>
          </w:p>
        </w:tc>
        <w:tc>
          <w:tcPr>
            <w:shd w:val="clear" w:color="auto" w:fill="F4F1EC"/>
          </w:tcPr>
          <w:p>
            <w:pPr>
              <w:pStyle w:val="Compact"/>
              <w:spacing w:after="40" w:before="40"/>
              <w:jc w:val="left"/>
            </w:pPr>
            <w:r>
              <w:rPr>
                <w:rFonts w:ascii="Cambria" w:hAnsi="Cambria" w:cs="Cambria" w:eastAsia="Cambria"/>
                <w:color w:val="1A1A1A"/>
                <w:sz w:val="18"/>
              </w:rPr>
              <w:t xml:space="preserve">OECD 2026</w:t>
            </w:r>
          </w:p>
        </w:tc>
      </w:tr>
      <w:tr>
        <w:tc>
          <w:tcPr/>
          <w:p>
            <w:pPr>
              <w:pStyle w:val="Compact"/>
              <w:spacing w:after="40" w:before="40"/>
              <w:jc w:val="left"/>
            </w:pPr>
            <w:r>
              <w:rPr>
                <w:rFonts w:ascii="Cambria" w:hAnsi="Cambria" w:cs="Cambria" w:eastAsia="Cambria"/>
                <w:b/>
                <w:bCs/>
                <w:color w:val="1A1A1A"/>
                <w:sz w:val="18"/>
              </w:rPr>
              <w:t xml:space="preserve">Break-even OECD 2026 (anni)</w:t>
            </w:r>
          </w:p>
        </w:tc>
        <w:tc>
          <w:tcPr/>
          <w:p>
            <w:pPr>
              <w:pStyle w:val="Compact"/>
              <w:spacing w:after="40" w:before="40"/>
              <w:jc w:val="left"/>
            </w:pPr>
            <w:r>
              <w:rPr>
                <w:rFonts w:ascii="Cambria" w:hAnsi="Cambria" w:cs="Cambria" w:eastAsia="Cambria"/>
                <w:color w:val="1A1A1A"/>
                <w:sz w:val="18"/>
              </w:rPr>
              <w:t xml:space="preserve">3,1</w:t>
            </w:r>
          </w:p>
        </w:tc>
        <w:tc>
          <w:tcPr/>
          <w:p>
            <w:pPr>
              <w:pStyle w:val="Compact"/>
              <w:spacing w:after="40" w:before="40"/>
              <w:jc w:val="left"/>
            </w:pPr>
            <w:r>
              <w:rPr>
                <w:rFonts w:ascii="Cambria" w:hAnsi="Cambria" w:cs="Cambria" w:eastAsia="Cambria"/>
                <w:color w:val="1A1A1A"/>
                <w:sz w:val="18"/>
              </w:rPr>
              <w:t xml:space="preserve">2,3</w:t>
            </w:r>
          </w:p>
        </w:tc>
        <w:tc>
          <w:tcPr/>
          <w:p>
            <w:pPr>
              <w:pStyle w:val="Compact"/>
              <w:spacing w:after="40" w:before="40"/>
              <w:jc w:val="left"/>
            </w:pPr>
            <w:r>
              <w:rPr>
                <w:rFonts w:ascii="Cambria" w:hAnsi="Cambria" w:cs="Cambria" w:eastAsia="Cambria"/>
                <w:color w:val="1A1A1A"/>
                <w:sz w:val="18"/>
              </w:rPr>
              <w:t xml:space="preserve">1,6</w:t>
            </w:r>
          </w:p>
        </w:tc>
        <w:tc>
          <w:tcPr/>
          <w:p>
            <w:pPr>
              <w:pStyle w:val="Compact"/>
              <w:spacing w:after="40" w:before="40"/>
              <w:jc w:val="left"/>
            </w:pPr>
            <w:r>
              <w:rPr>
                <w:rFonts w:ascii="Cambria" w:hAnsi="Cambria" w:cs="Cambria" w:eastAsia="Cambria"/>
                <w:color w:val="1A1A1A"/>
                <w:sz w:val="18"/>
              </w:rPr>
              <w:t xml:space="preserve">OECD 2026</w:t>
            </w:r>
          </w:p>
        </w:tc>
      </w:tr>
    </w:tbl>
    <w:p>
      <w:pPr>
        <w:pStyle w:val="BodyText"/>
      </w:pPr>
      <w:r>
        <w:rPr>
          <w:i/>
          <w:iCs/>
        </w:rPr>
        <w:t xml:space="preserve">Soglia italiana di costo-efficacia: € 40.000/QALY (tre volte il PIL pro capite). Entrambi i framework documentano elevata costo-efficacia. Il costo/QALY è calcolato su orizzonte di 10 anni con tasso di sconto 3%.</w:t>
      </w:r>
    </w:p>
    <w:bookmarkEnd w:id="26"/>
    <w:bookmarkStart w:id="27" w:name="Xe44eaaa9c00e26d41f95fa631ea60c01fe0f6df"/>
    <w:p>
      <w:pPr>
        <w:pStyle w:val="Heading2"/>
      </w:pPr>
      <w:r>
        <w:rPr>
          <w:b/>
          <w:bCs/>
        </w:rPr>
        <w:t xml:space="preserve">IV.4 Sezioni del documento impattate dalla revisione</w:t>
      </w:r>
    </w:p>
    <w:p>
      <w:pPr>
        <w:pStyle w:val="FirstParagraph"/>
      </w:pPr>
      <w:r>
        <w:t xml:space="preserve">Le seguenti sezioni del Documento Integrale Unificato — Parti I, II e III — contengono valori numerici aggiornati dalla revisione al framework OECD (2026). In ciascun punto, il valore</w:t>
      </w:r>
      <w:r>
        <w:t xml:space="preserve"> </w:t>
      </w:r>
      <w:r>
        <w:t xml:space="preserve">“</w:t>
      </w:r>
      <w:r>
        <w:t xml:space="preserve">OECD 2026</w:t>
      </w:r>
      <w:r>
        <w:t xml:space="preserve">”</w:t>
      </w:r>
      <w:r>
        <w:t xml:space="preserve"> </w:t>
      </w:r>
      <w:r>
        <w:t xml:space="preserve">della Tab. IV.2 o IV.3 sostituisce il valore</w:t>
      </w:r>
      <w:r>
        <w:t xml:space="preserve"> </w:t>
      </w:r>
      <w:r>
        <w:t xml:space="preserve">“</w:t>
      </w:r>
      <w:r>
        <w:t xml:space="preserve">Chisholm 2016</w:t>
      </w:r>
      <w:r>
        <w:t xml:space="preserve">”</w:t>
      </w:r>
      <w:r>
        <w:t xml:space="preserve"> </w:t>
      </w:r>
      <w:r>
        <w:t xml:space="preserve">corrispondente: Sezione C.7.4 (Parte I) e sezione correlata di Parte II: risparmio farmaceutico nello scenario intermedio da 4,0 a 5,5 mln €; risparmio PS/ricoveri da 16,0 a 22,0 mln €; risparmio mobilità da 8,0 a 11,0 mln €; risparmio specialistico da 6,0 a 8,5 mln €; totale risparmi diretti da 34,0 a 47,0 mln €. Sezione D.5 e D.7 (Parte I): benefici indiretti (produttività) nello scenario intermedio da 18,5 a 27,0 mln €. Sezioni ROI: ROI lordo da 1:4,8 a 1:6,6 (intermedio); costo/QALY da € 16.000 a € 9.800. Le parti non numeriche — argomentazioni cliniche, confronti internazionali, analisi normativa — rimangono invariate poiché indipendenti dalla scelta del framework di valorizzazione economica.</w:t>
      </w:r>
    </w:p>
    <w:bookmarkEnd w:id="27"/>
    <w:bookmarkStart w:id="36" w:name="Xf2a846bce7add9f9e57307e1aba85b12c8143dc"/>
    <w:p>
      <w:pPr>
        <w:pStyle w:val="Heading2"/>
      </w:pPr>
      <w:r>
        <w:rPr>
          <w:b/>
          <w:bCs/>
        </w:rPr>
        <w:t xml:space="preserve">IV.5 Il contributo dell’intelligenza artificiale al sistema di risparmio (analisi quantitativa aggiornata OECD 2026)</w:t>
      </w:r>
    </w:p>
    <w:bookmarkStart w:id="28" w:name="Xe6a1d45d8231810b4a5fe274e8ae24640ec9306"/>
    <w:p>
      <w:pPr>
        <w:pStyle w:val="Heading3"/>
      </w:pPr>
      <w:r>
        <w:rPr>
          <w:b/>
          <w:bCs/>
        </w:rPr>
        <w:t xml:space="preserve">IV.5.1 Quadro concettuale del contributo IA</w:t>
      </w:r>
    </w:p>
    <w:p>
      <w:pPr>
        <w:pStyle w:val="FirstParagraph"/>
      </w:pPr>
      <w:r>
        <w:t xml:space="preserve">L’integrazione dell’intelligenza artificiale nel Servizio di Psicologia di Base non costituisce, nell’architettura della presente Parte IV, un obiettivo autonomo di politica sanitaria, ma uno strumento di amplificazione dell’efficacia clinica e organizzativa del presidio professionale. L’IA non genera risparmio in assenza dello psicologo di base: essa agisce come strato di ottimizzazione su un sistema di cura già strutturato, migliorando la qualità delle decisioni cliniche, la tempestività degli interventi preventivi e la pertinenza dell’allocazione delle risorse. Il contributo IA è necessariamente successivo e subordinato alla piena operatività del Servizio. Il framework concettuale adottato distingue tre tipologie di apporto algoritmico: (1) il supporto decisionale clinico (CDSS), che migliora la qualità e la coerenza delle valutazioni individuali; (2) l’analisi predittiva a livello di popolazione, che identifica sottogruppi a rischio elevato di ricorso inappropriato alle strutture sanitarie; (3) l’ottimizzazione gestionale, che migliora la distribuzione delle risorse professionali tra i distretti e la tempestività delle risposte.</w:t>
      </w:r>
    </w:p>
    <w:bookmarkEnd w:id="28"/>
    <w:bookmarkStart w:id="29" w:name="Xdd1c5a0719d4cccd91d7e7ed3611f269be80bb2"/>
    <w:p>
      <w:pPr>
        <w:pStyle w:val="Heading3"/>
      </w:pPr>
      <w:r>
        <w:rPr>
          <w:b/>
          <w:bCs/>
        </w:rPr>
        <w:t xml:space="preserve">IV.5.2 Quantificazione del contributo IA per canale (scenario intermedio, OECD 2026)</w:t>
      </w:r>
    </w:p>
    <w:p>
      <w:pPr>
        <w:pStyle w:val="FirstParagraph"/>
      </w:pPr>
      <w:r>
        <w:t xml:space="preserve">Nel framework aggiornato OECD (2026), il risparmio sanitario diretto totale nello scenario intermedio ammonta a 47,0 milioni di euro. La quota attribuibile all’apporto incrementale dell’intelligenza artificiale è stimata al 10% del totale (4,70 milioni), distribuita tra i quattro canali con incidenza uniforme del 10% per ciascun canale. Questa quota riflette il contributo dei CDSS, dei modelli predittivi e dei sistemi di ottimizzazione operativa, al netto dell’effetto clinico diretto dello psicologo che costituisce la componente preponderante (90%) del risparmio complessivo. La progressione tra scenari non è lineare: la quota IA sale al 5% nel base (1,18 mln) e al 15% nell’ottimale (11,93 mln), riflettendo le sinergie non-lineari tra canali che emergono quando la disponibilità di dataset clinici longitudinali consente l’impiego di modelli predittivi addestrati su popolazioni locali di dimensioni adeguate.</w:t>
      </w:r>
    </w:p>
    <w:p>
      <w:pPr>
        <w:pStyle w:val="BodyText"/>
      </w:pPr>
      <w:r>
        <w:rPr>
          <w:b/>
          <w:bCs/>
        </w:rPr>
        <w:t xml:space="preserve">Tab. IV.4 — Contributo dell’IA per canale (scenario intermedio) — valori aggiornati OECD 2026</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Canale di risparmio</w:t>
            </w:r>
          </w:p>
        </w:tc>
        <w:tc>
          <w:tcPr>
            <w:shd w:val="clear" w:color="auto" w:fill="16264B"/>
          </w:tcPr>
          <w:p>
            <w:pPr>
              <w:pStyle w:val="Compact"/>
              <w:spacing w:after="40" w:before="40"/>
              <w:jc w:val="left"/>
            </w:pPr>
            <w:r>
              <w:rPr>
                <w:rFonts w:ascii="Cambria" w:hAnsi="Cambria" w:cs="Cambria" w:eastAsia="Cambria"/>
                <w:b/>
                <w:bCs/>
                <w:color w:val="FFFFFF"/>
                <w:sz w:val="18"/>
              </w:rPr>
              <w:t xml:space="preserve">Risparmio totale (mln €)</w:t>
            </w:r>
          </w:p>
        </w:tc>
        <w:tc>
          <w:tcPr>
            <w:shd w:val="clear" w:color="auto" w:fill="16264B"/>
          </w:tcPr>
          <w:p>
            <w:pPr>
              <w:pStyle w:val="Compact"/>
              <w:spacing w:after="40" w:before="40"/>
              <w:jc w:val="left"/>
            </w:pPr>
            <w:r>
              <w:rPr>
                <w:rFonts w:ascii="Cambria" w:hAnsi="Cambria" w:cs="Cambria" w:eastAsia="Cambria"/>
                <w:b/>
                <w:bCs/>
                <w:color w:val="FFFFFF"/>
                <w:sz w:val="18"/>
              </w:rPr>
              <w:t xml:space="preserve">di cui quota IA (mln €)</w:t>
            </w:r>
          </w:p>
        </w:tc>
        <w:tc>
          <w:tcPr>
            <w:shd w:val="clear" w:color="auto" w:fill="16264B"/>
          </w:tcPr>
          <w:p>
            <w:pPr>
              <w:pStyle w:val="Compact"/>
              <w:spacing w:after="40" w:before="40"/>
              <w:jc w:val="left"/>
            </w:pPr>
            <w:r>
              <w:rPr>
                <w:rFonts w:ascii="Cambria" w:hAnsi="Cambria" w:cs="Cambria" w:eastAsia="Cambria"/>
                <w:b/>
                <w:bCs/>
                <w:color w:val="FFFFFF"/>
                <w:sz w:val="18"/>
              </w:rPr>
              <w:t xml:space="preserve">Incidenza IA</w:t>
            </w:r>
          </w:p>
        </w:tc>
        <w:tc>
          <w:tcPr>
            <w:shd w:val="clear" w:color="auto" w:fill="16264B"/>
          </w:tcPr>
          <w:p>
            <w:pPr>
              <w:pStyle w:val="Compact"/>
              <w:spacing w:after="40" w:before="40"/>
              <w:jc w:val="left"/>
            </w:pPr>
            <w:r>
              <w:rPr>
                <w:rFonts w:ascii="Cambria" w:hAnsi="Cambria" w:cs="Cambria" w:eastAsia="Cambria"/>
                <w:b/>
                <w:bCs/>
                <w:color w:val="FFFFFF"/>
                <w:sz w:val="18"/>
              </w:rPr>
              <w:t xml:space="preserve">vs Chisholm 2016</w:t>
            </w:r>
          </w:p>
        </w:tc>
      </w:tr>
      <w:tr>
        <w:tc>
          <w:tcPr/>
          <w:p>
            <w:pPr>
              <w:pStyle w:val="Compact"/>
              <w:spacing w:after="40" w:before="40"/>
              <w:jc w:val="left"/>
            </w:pPr>
            <w:r>
              <w:rPr>
                <w:rFonts w:ascii="Cambria" w:hAnsi="Cambria" w:cs="Cambria" w:eastAsia="Cambria"/>
                <w:b/>
                <w:bCs/>
                <w:color w:val="1A1A1A"/>
                <w:sz w:val="18"/>
              </w:rPr>
              <w:t xml:space="preserve">Farmaceutico</w:t>
            </w:r>
          </w:p>
        </w:tc>
        <w:tc>
          <w:tcPr/>
          <w:p>
            <w:pPr>
              <w:pStyle w:val="Compact"/>
              <w:spacing w:after="40" w:before="40"/>
              <w:jc w:val="left"/>
            </w:pPr>
            <w:r>
              <w:rPr>
                <w:rFonts w:ascii="Cambria" w:hAnsi="Cambria" w:cs="Cambria" w:eastAsia="Cambria"/>
                <w:color w:val="1A1A1A"/>
                <w:sz w:val="18"/>
              </w:rPr>
              <w:t xml:space="preserve">5,5</w:t>
            </w:r>
          </w:p>
        </w:tc>
        <w:tc>
          <w:tcPr/>
          <w:p>
            <w:pPr>
              <w:pStyle w:val="Compact"/>
              <w:spacing w:after="40" w:before="40"/>
              <w:jc w:val="left"/>
            </w:pPr>
            <w:r>
              <w:rPr>
                <w:rFonts w:ascii="Cambria" w:hAnsi="Cambria" w:cs="Cambria" w:eastAsia="Cambria"/>
                <w:color w:val="1A1A1A"/>
                <w:sz w:val="18"/>
              </w:rPr>
              <w:t xml:space="preserve">0,55</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+37,5%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P.S. e ricoveri</w:t>
            </w:r>
          </w:p>
        </w:tc>
        <w:tc>
          <w:tcPr>
            <w:shd w:val="clear" w:color="auto" w:fill="F4F1EC"/>
          </w:tcPr>
          <w:p>
            <w:pPr>
              <w:pStyle w:val="Compact"/>
              <w:spacing w:after="40" w:before="40"/>
              <w:jc w:val="left"/>
            </w:pPr>
            <w:r>
              <w:rPr>
                <w:rFonts w:ascii="Cambria" w:hAnsi="Cambria" w:cs="Cambria" w:eastAsia="Cambria"/>
                <w:color w:val="1A1A1A"/>
                <w:sz w:val="18"/>
              </w:rPr>
              <w:t xml:space="preserve">22,0</w:t>
            </w:r>
          </w:p>
        </w:tc>
        <w:tc>
          <w:tcPr>
            <w:shd w:val="clear" w:color="auto" w:fill="F4F1EC"/>
          </w:tcPr>
          <w:p>
            <w:pPr>
              <w:pStyle w:val="Compact"/>
              <w:spacing w:after="40" w:before="40"/>
              <w:jc w:val="left"/>
            </w:pPr>
            <w:r>
              <w:rPr>
                <w:rFonts w:ascii="Cambria" w:hAnsi="Cambria" w:cs="Cambria" w:eastAsia="Cambria"/>
                <w:color w:val="1A1A1A"/>
                <w:sz w:val="18"/>
              </w:rPr>
              <w:t xml:space="preserve">2,20</w:t>
            </w:r>
          </w:p>
        </w:tc>
        <w:tc>
          <w:tcPr>
            <w:shd w:val="clear" w:color="auto" w:fill="F4F1EC"/>
          </w:tcPr>
          <w:p>
            <w:pPr>
              <w:pStyle w:val="Compact"/>
              <w:spacing w:after="40" w:before="40"/>
              <w:jc w:val="left"/>
            </w:pPr>
            <w:r>
              <w:rPr>
                <w:rFonts w:ascii="Cambria" w:hAnsi="Cambria" w:cs="Cambria" w:eastAsia="Cambria"/>
                <w:color w:val="1A1A1A"/>
                <w:sz w:val="18"/>
              </w:rPr>
              <w:t xml:space="preserve">10,0%</w:t>
            </w:r>
          </w:p>
        </w:tc>
        <w:tc>
          <w:tcPr>
            <w:shd w:val="clear" w:color="auto" w:fill="F4F1EC"/>
          </w:tcPr>
          <w:p>
            <w:pPr>
              <w:pStyle w:val="Compact"/>
              <w:spacing w:after="40" w:before="40"/>
              <w:jc w:val="left"/>
            </w:pPr>
            <w:r>
              <w:rPr>
                <w:rFonts w:ascii="Cambria" w:hAnsi="Cambria" w:cs="Cambria" w:eastAsia="Cambria"/>
                <w:color w:val="1A1A1A"/>
                <w:sz w:val="18"/>
              </w:rPr>
              <w:t xml:space="preserve">+37,5%</w:t>
            </w:r>
          </w:p>
        </w:tc>
      </w:tr>
      <w:tr>
        <w:tc>
          <w:tcPr/>
          <w:p>
            <w:pPr>
              <w:pStyle w:val="Compact"/>
              <w:spacing w:after="40" w:before="40"/>
              <w:jc w:val="left"/>
            </w:pPr>
            <w:r>
              <w:rPr>
                <w:rFonts w:ascii="Cambria" w:hAnsi="Cambria" w:cs="Cambria" w:eastAsia="Cambria"/>
                <w:b/>
                <w:bCs/>
                <w:color w:val="1A1A1A"/>
                <w:sz w:val="18"/>
              </w:rPr>
              <w:t xml:space="preserve">Mobilità sanitaria passiva</w:t>
            </w:r>
          </w:p>
        </w:tc>
        <w:tc>
          <w:tcPr/>
          <w:p>
            <w:pPr>
              <w:pStyle w:val="Compact"/>
              <w:spacing w:after="40" w:before="40"/>
              <w:jc w:val="left"/>
            </w:pPr>
            <w:r>
              <w:rPr>
                <w:rFonts w:ascii="Cambria" w:hAnsi="Cambria" w:cs="Cambria" w:eastAsia="Cambria"/>
                <w:color w:val="1A1A1A"/>
                <w:sz w:val="18"/>
              </w:rPr>
              <w:t xml:space="preserve">11,0</w:t>
            </w:r>
          </w:p>
        </w:tc>
        <w:tc>
          <w:tcPr/>
          <w:p>
            <w:pPr>
              <w:pStyle w:val="Compact"/>
              <w:spacing w:after="40" w:before="40"/>
              <w:jc w:val="left"/>
            </w:pPr>
            <w:r>
              <w:rPr>
                <w:rFonts w:ascii="Cambria" w:hAnsi="Cambria" w:cs="Cambria" w:eastAsia="Cambria"/>
                <w:color w:val="1A1A1A"/>
                <w:sz w:val="18"/>
              </w:rPr>
              <w:t xml:space="preserve">1,10</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+37,5%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Specialistico ambulatoriale</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0,85</w:t>
            </w:r>
          </w:p>
        </w:tc>
        <w:tc>
          <w:tcPr>
            <w:shd w:val="clear" w:color="auto" w:fill="F4F1EC"/>
          </w:tcPr>
          <w:p>
            <w:pPr>
              <w:pStyle w:val="Compact"/>
              <w:spacing w:after="40" w:before="40"/>
              <w:jc w:val="left"/>
            </w:pPr>
            <w:r>
              <w:rPr>
                <w:rFonts w:ascii="Cambria" w:hAnsi="Cambria" w:cs="Cambria" w:eastAsia="Cambria"/>
                <w:color w:val="1A1A1A"/>
                <w:sz w:val="18"/>
              </w:rPr>
              <w:t xml:space="preserve">10,0%</w:t>
            </w:r>
          </w:p>
        </w:tc>
        <w:tc>
          <w:tcPr>
            <w:shd w:val="clear" w:color="auto" w:fill="F4F1EC"/>
          </w:tcPr>
          <w:p>
            <w:pPr>
              <w:pStyle w:val="Compact"/>
              <w:spacing w:after="40" w:before="40"/>
              <w:jc w:val="left"/>
            </w:pPr>
            <w:r>
              <w:rPr>
                <w:rFonts w:ascii="Cambria" w:hAnsi="Cambria" w:cs="Cambria" w:eastAsia="Cambria"/>
                <w:color w:val="1A1A1A"/>
                <w:sz w:val="18"/>
              </w:rPr>
              <w:t xml:space="preserve">+41,7%</w:t>
            </w:r>
          </w:p>
        </w:tc>
      </w:tr>
      <w:tr>
        <w:tc>
          <w:tcPr/>
          <w:p>
            <w:pPr>
              <w:pStyle w:val="Compact"/>
              <w:spacing w:after="40" w:before="40"/>
              <w:jc w:val="left"/>
            </w:pPr>
            <w:r>
              <w:rPr>
                <w:rFonts w:ascii="Cambria" w:hAnsi="Cambria" w:cs="Cambria" w:eastAsia="Cambria"/>
                <w:b/>
                <w:bCs/>
                <w:color w:val="1A1A1A"/>
                <w:sz w:val="18"/>
              </w:rPr>
              <w:t xml:space="preserve">TOTALE (quota IA non additiva)</w:t>
            </w:r>
          </w:p>
        </w:tc>
        <w:tc>
          <w:tcPr/>
          <w:p>
            <w:pPr>
              <w:pStyle w:val="Compact"/>
              <w:spacing w:after="40" w:before="40"/>
              <w:jc w:val="left"/>
            </w:pPr>
            <w:r>
              <w:rPr>
                <w:rFonts w:ascii="Cambria" w:hAnsi="Cambria" w:cs="Cambria" w:eastAsia="Cambria"/>
                <w:color w:val="1A1A1A"/>
                <w:sz w:val="18"/>
              </w:rPr>
              <w:t xml:space="preserve">47,0</w:t>
            </w:r>
          </w:p>
        </w:tc>
        <w:tc>
          <w:tcPr/>
          <w:p>
            <w:pPr>
              <w:pStyle w:val="Compact"/>
              <w:spacing w:after="40" w:before="40"/>
              <w:jc w:val="left"/>
            </w:pPr>
            <w:r>
              <w:rPr>
                <w:rFonts w:ascii="Cambria" w:hAnsi="Cambria" w:cs="Cambria" w:eastAsia="Cambria"/>
                <w:color w:val="1A1A1A"/>
                <w:sz w:val="18"/>
              </w:rPr>
              <w:t xml:space="preserve">4,70</w:t>
            </w:r>
          </w:p>
        </w:tc>
        <w:tc>
          <w:tcPr/>
          <w:p>
            <w:pPr>
              <w:pStyle w:val="Compact"/>
              <w:spacing w:after="40" w:before="40"/>
              <w:jc w:val="left"/>
            </w:pPr>
            <w:r>
              <w:rPr>
                <w:rFonts w:ascii="Cambria" w:hAnsi="Cambria" w:cs="Cambria" w:eastAsia="Cambria"/>
                <w:color w:val="1A1A1A"/>
                <w:sz w:val="18"/>
              </w:rPr>
              <w:t xml:space="preserve">10,0% media</w:t>
            </w:r>
          </w:p>
        </w:tc>
        <w:tc>
          <w:tcPr/>
          <w:p>
            <w:pPr>
              <w:pStyle w:val="Compact"/>
              <w:spacing w:after="40" w:before="40"/>
              <w:jc w:val="left"/>
            </w:pPr>
            <w:r>
              <w:rPr>
                <w:rFonts w:ascii="Cambria" w:hAnsi="Cambria" w:cs="Cambria" w:eastAsia="Cambria"/>
                <w:color w:val="1A1A1A"/>
                <w:sz w:val="18"/>
              </w:rPr>
              <w:t xml:space="preserve">+38,2%</w:t>
            </w:r>
          </w:p>
        </w:tc>
      </w:tr>
    </w:tbl>
    <w:p>
      <w:pPr>
        <w:pStyle w:val="BodyText"/>
      </w:pPr>
      <w:r>
        <w:rPr>
          <w:i/>
          <w:iCs/>
        </w:rPr>
        <w:t xml:space="preserve">La quota IA è componente interna a ciascun canale e non si somma all’aggregato. Valori in milioni di euro. Framework OECD (2026), Unisanté 2026.</w:t>
      </w:r>
    </w:p>
    <w:bookmarkEnd w:id="29"/>
    <w:bookmarkStart w:id="30" w:name="X9f61d2ab058c4bcb38be22d00db5aff10b4e80a"/>
    <w:p>
      <w:pPr>
        <w:pStyle w:val="Heading3"/>
      </w:pPr>
      <w:r>
        <w:rPr>
          <w:b/>
          <w:bCs/>
        </w:rPr>
        <w:t xml:space="preserve">IV.5.3 Il canale farmaceutico (5,5 mln; IA 0,55 mln)</w:t>
      </w:r>
    </w:p>
    <w:p>
      <w:pPr>
        <w:pStyle w:val="FirstParagraph"/>
      </w:pPr>
      <w:r>
        <w:t xml:space="preserve">Il canale farmaceutico intercetta la riduzione della prescrizione inappropriata di psicofarmaci nelle cure primarie. L’OECD (2026) documenta che le prescrizioni di ansiolitici benzodiazepinici e antidepressivi di prima generazione in Italia presentano tassi di inappropriatezza compresi tra il 15% e il 22% del totale prescrizioni ATC N05/N06 a carico del SSN. Il risparmio di 5,5 milioni nello scenario intermedio — rivisto dal valore di 4,0 milioni del framework Chisholm 2016 applicando il moltiplicatore OECD 2026 di 1,375 — riflette la riduzione strutturale di queste prescrizioni conseguente alla presa in carico psicologica precoce. La quota IA di 0,55 milioni deriva dall’impiego di CDSS integrati nel FSEr regionale che segnalano al clinico la probabilità di risposta differenziale ai trattamenti sulla base del profilo sintomatologico e di aderenza del paziente, con tassi di utilizzo stimati al 40% dei professionisti entro il terzo anno di attività.</w:t>
      </w:r>
    </w:p>
    <w:bookmarkEnd w:id="30"/>
    <w:bookmarkStart w:id="31" w:name="Xf01de1d49f41862fd24c00ac836576a3ba6de4e"/>
    <w:p>
      <w:pPr>
        <w:pStyle w:val="Heading3"/>
      </w:pPr>
      <w:r>
        <w:rPr>
          <w:b/>
          <w:bCs/>
        </w:rPr>
        <w:t xml:space="preserve">IV.5.4 Il canale pronto soccorso e ricoveri (22,0 mln; IA 2,20 mln)</w:t>
      </w:r>
    </w:p>
    <w:p>
      <w:pPr>
        <w:pStyle w:val="FirstParagraph"/>
      </w:pPr>
      <w:r>
        <w:t xml:space="preserve">Il canale PS e ricoveri costituisce il comparto a maggiore potenziale di risparmio. L’OECD (2026) classifica le cure primarie di salute mentale come il setting più efficace per la riduzione degli accessi inappropriati al pronto soccorso, con riduzioni documentate negli studi UE nell’ordine del 25–40% degli accessi psicosomatici evitabili. Il risparmio di 22,0 milioni nello scenario intermedio — rivisto da 16,0 milioni con moltiplicatore 1,375 — riflette la riduzione degli accessi psicosomatici evitabili e la prevenzione dei ricoveri inappropriati per cause funzionali. Il canale PS e ricoveri genera il 46,8% del risparmio sanitario diretto totale nello scenario intermedio, confermandosi il pilastro principale dell’architettura di benefici. La quota IA di 2,20 milioni è riconducibile a sistemi di allerta precoce integrati con il FSEr pugliese che identificano i pazienti ad elevato rischio di accesso inappropriato al PS su base predittiva, con orizzonte di 3–6 mesi.</w:t>
      </w:r>
    </w:p>
    <w:bookmarkEnd w:id="31"/>
    <w:bookmarkStart w:id="32" w:name="X91f0be5e4ab6e01b31d9980d5d1bd8e0d250c72"/>
    <w:p>
      <w:pPr>
        <w:pStyle w:val="Heading3"/>
      </w:pPr>
      <w:r>
        <w:rPr>
          <w:b/>
          <w:bCs/>
        </w:rPr>
        <w:t xml:space="preserve">IV.5.5 Il canale mobilità sanitaria passiva (11,0 mln; IA 1,10 mln)</w:t>
      </w:r>
    </w:p>
    <w:p>
      <w:pPr>
        <w:pStyle w:val="FirstParagraph"/>
      </w:pPr>
      <w:r>
        <w:t xml:space="preserve">La mobilità sanitaria passiva pugliese verso regioni con offerta specialistica percepita come più strutturata ammonta a 420–450 milioni di euro annui nel periodo di riferimento, con un saldo negativo di circa 110–120 milioni rispetto alla mobilità attiva. Una quota stimata tra il 2% e il 4% di questa mobilità è ascrivibile a pazienti con disturbi funzionali e sintomi psicosomatici non adeguatamente gestiti in Puglia. Il risparmio di 11,0 milioni nello scenario intermedio — rivisto da 8,0 milioni con moltiplicatore OECD 2026 — incorpora la riduzione del 30–40% della mobilità passiva psico-correlata evitabile. La quota IA di 1,10 milioni si ricollega all’analisi predittiva applicata ai flussi SDO e ai dati di mobilità del Ministero della Salute per identificare i sottogruppi di popolazione a maggiore propensità al ricorso extraregionale per cause psico-correlate.</w:t>
      </w:r>
    </w:p>
    <w:bookmarkEnd w:id="32"/>
    <w:bookmarkStart w:id="33" w:name="X9ab5ce0caa7364c7eafcce80c9483ba76a84c55"/>
    <w:p>
      <w:pPr>
        <w:pStyle w:val="Heading3"/>
      </w:pPr>
      <w:r>
        <w:rPr>
          <w:b/>
          <w:bCs/>
        </w:rPr>
        <w:t xml:space="preserve">IV.5.6 Il canale specialistico ambulatoriale (8,5 mln; IA 0,85 mln)</w:t>
      </w:r>
    </w:p>
    <w:p>
      <w:pPr>
        <w:pStyle w:val="FirstParagraph"/>
      </w:pPr>
      <w:r>
        <w:t xml:space="preserve">Il canale specialistico intercetta la riduzione delle prestazioni ambulatoriali inappropriate generate dalla mancata integrazione della dimensione psicologica nella medicina generale. Il risparmio di 8,5 milioni nello scenario intermedio — rivisto da 6,0 milioni con moltiplicatore 1,417 — riflette la riduzione del 20–30% delle visite specialistiche inappropriate per cause funzionali (cardiologiche, gastroenterologiche, neurologiche, dermatologiche). La quota IA di 0,85 milioni è riconducibile a CDSS integrabili nel flusso di lavoro del MMG che segnalano la probabilità di origine funzionale dei sintomi e suggeriscono il percorso psicologico come alternativa all’invio specialistico, con tassi di accettazione clinica compresi tra il 35% e il 55% documentati dalla letteratura internazionale.</w:t>
      </w:r>
    </w:p>
    <w:bookmarkEnd w:id="33"/>
    <w:bookmarkStart w:id="34" w:name="Xc5c63bf4238e72bcf9c01f0d1399eae4082390f"/>
    <w:p>
      <w:pPr>
        <w:pStyle w:val="Heading3"/>
      </w:pPr>
      <w:r>
        <w:rPr>
          <w:b/>
          <w:bCs/>
        </w:rPr>
        <w:t xml:space="preserve">IV.5.7 Vincoli strutturali, etici e normativi (AI Act UE 2024/1689; D.Lgs. 138/2024)</w:t>
      </w:r>
    </w:p>
    <w:p>
      <w:pPr>
        <w:pStyle w:val="FirstParagraph"/>
      </w:pPr>
      <w:r>
        <w:t xml:space="preserve">Il Regolamento (UE) 2024/1689 (AI Act), in applicazione progressiva dal febbraio 2025, classifica i sistemi IA destinati all’ausilio diagnostico in ambito sanitario come sistemi ad alto rischio ai sensi dell’Allegato III. Gli obblighi conseguenti — documentazione tecnica, fascicolo di conformità, gestione del rischio, supervisione umana, trasparenza verso i pazienti, registro EU AI Office — si applicano integralmente agli strumenti IA del Servizio di Psicologia di Base. Il D.Lgs. 138/2024 impone alle pubbliche amministrazioni italiane che acquisiscono sistemi IA ad alto rischio la conduzione preventiva di valutazioni di impatto algoritmico conformi alle linee guida ACN e del Garante per la protezione dei dati personali. Il rischio di discrimination bias, particolarmente rilevante in un territorio eterogeneo come la Puglia con marcate differenze di accesso tra area metropolitana barese, Salento, Murgia e aree interne, richiede strategie di validazione equitativa conformi al framework DECIDE-AI. La qualità del FSEr regionale costituisce il vincolo operativo più immediato: la copertura dei dati clinici strutturati è significativamente inferiore al 90% dei dati anagrafici e prescrittivi, e la standardizzazione dei dati psicologici è ancora in una fase iniziale. L’investimento nell’infrastruttura informativa abilitante è stimato in 1,5–2,5 milioni di euro per il primo triennio.</w:t>
      </w:r>
    </w:p>
    <w:bookmarkEnd w:id="34"/>
    <w:bookmarkStart w:id="35" w:name="iv.5.8-conclusioni-della-sezione-ia"/>
    <w:p>
      <w:pPr>
        <w:pStyle w:val="Heading3"/>
      </w:pPr>
      <w:r>
        <w:rPr>
          <w:b/>
          <w:bCs/>
        </w:rPr>
        <w:t xml:space="preserve">IV.5.8 Conclusioni della sezione IA</w:t>
      </w:r>
    </w:p>
    <w:p>
      <w:pPr>
        <w:pStyle w:val="FirstParagraph"/>
      </w:pPr>
      <w:r>
        <w:t xml:space="preserve">L’intelligenza artificiale genera nel Servizio di Psicologia di Base pugliese un contributo incrementale pari al 10% del risparmio sanitario diretto nello scenario intermedio: 4,70 milioni di euro su 47,0 milioni totali nel framework OECD (2026), rispetto a 3,40 milioni su 34,0 milioni nel framework Chisholm (2016). Il 90% del risparmio complessivo rimane attribuibile al presidio professionale dello psicologo di base, indipendentemente dall’integrazione tecnologica. Qualsiasi ipotesi di riduzione numerica del personale professionale compensata da investimenti in IA è da considerarsi non soltanto clinicamente inappropriata ma economicamente controproducente: in assenza del professionista clinico, gli strumenti algoritmici perdono il loro interlocutore e cessano di produrre i benefici stimati. Il contributo quantificabile dell’IA si colloca, nel framework OECD 2026, in un intervallo compreso tra 1,18 milioni (scenario base) e 11,93 milioni (scenario ottimale), con il valore centrale di 4,70 milioni nello scenario intermedio.</w:t>
      </w:r>
    </w:p>
    <w:bookmarkEnd w:id="35"/>
    <w:bookmarkEnd w:id="36"/>
    <w:bookmarkStart w:id="37" w:name="X1517e537925cfbdc14c38796d716d886bec93d4"/>
    <w:p>
      <w:pPr>
        <w:pStyle w:val="Heading2"/>
      </w:pPr>
      <w:r>
        <w:rPr>
          <w:b/>
          <w:bCs/>
        </w:rPr>
        <w:t xml:space="preserve">IV.6 Conclusioni dell’aggiornamento e raccomandazioni finali</w:t>
      </w:r>
    </w:p>
    <w:p>
      <w:pPr>
        <w:pStyle w:val="FirstParagraph"/>
      </w:pPr>
      <w:r>
        <w:t xml:space="preserve">Il Documento Integrale Unificato, nelle sue quattro parti, ha costruito un caso metodologicamente fondato e quantitativamente documentato per l’istituzione del Servizio di Psicologia di Base nel Servizio Sanitario Regionale della Puglia. La Parte IV ha aggiornato il quadro finanziario-economico delle Parti precedenti sostituendo il framework Chisholm (2016) con il framework OECD (2026) / Unisanté (2026), producendo un miglioramento sostanziale di tutti gli indicatori di sostenibilità.</w:t>
      </w:r>
    </w:p>
    <w:p>
      <w:pPr>
        <w:pStyle w:val="BodyText"/>
      </w:pPr>
      <w:r>
        <w:t xml:space="preserve">Nello scenario intermedio — 775 psicologi, costo annuo a regime 40,5 milioni di euro — i risparmi sanitari diretti ammontano a 47,0 milioni di euro, ai quali si aggiungono 27,0 milioni di benefici economico-sociali indiretti, per un beneficio totale annuo di 74,0 milioni. Il ROI lordo di 1:6,6 — superiore al valore di 1:4,8 calcolato con il framework Chisholm (2016) — colloca il Servizio di Psicologia di Base pugliese tra gli investimenti sanitari con il più alto ritorno documentato nel panorama europeo secondo la modellizzazione OECD 2025–2050. Il costo per QALY guadagnato di 9.800 euro è notevolmente inferiore alla soglia italiana di accettabilità di 40.000 euro, confermando non soltanto la costo-efficacia del Servizio ma la sua classificazione come intervento cost-saving nel medio periodo. Il break-even finanziario è raggiunto in 2,3 anni dall’avvio del Servizio.</w:t>
      </w:r>
    </w:p>
    <w:p>
      <w:pPr>
        <w:pStyle w:val="BodyText"/>
      </w:pPr>
      <w:r>
        <w:t xml:space="preserve">Per l’iter legislativo regionale si raccomanda di adottare le cifre OECD (2026) come riferimento ufficiale nella relazione tecnica del disegno di legge, indicando esplicitamente che esse sostituiscono le stime Chisholm (2016) presenti nelle versioni precedenti. La fonte OECD (2026) ha il vantaggio aggiuntivo di essere prodotta da un’istituzione intergovernativa dotata di autorità scientifica riconosciuta dai decisori pubblici italiani, e di essere specificamente calibrata sui sistemi sanitari europei nel periodo 2025–2050, il che ne massimizza la forza argomentativa nell’istruttoria istituzionale.</w:t>
      </w:r>
      <w:r>
        <w:t xml:space="preserve"> </w:t>
      </w:r>
      <w:r>
        <w:t xml:space="preserve">Studio Integrale · Psicologo di Base in Puglia · Parte I — Quadro, mandato, metodo e perimetro integrale</w:t>
      </w:r>
    </w:p>
    <w:p>
      <w:pPr>
        <w:pStyle w:val="BodyText"/>
      </w:pPr>
      <w:r>
        <w:rPr>
          <w:b/>
          <w:bCs/>
        </w:rPr>
        <w:t xml:space="preserve">Studio Integrale, Finale e Definitivo · Psicologo di Base · Regione Puglia</w:t>
      </w:r>
    </w:p>
    <w:p>
      <w:pPr>
        <w:pStyle w:val="BodyText"/>
      </w:pPr>
      <w:r>
        <w:rPr>
          <w:b/>
          <w:bCs/>
        </w:rPr>
        <w:t xml:space="preserve">Parte I</w:t>
      </w:r>
    </w:p>
    <w:p>
      <w:pPr>
        <w:pStyle w:val="BodyText"/>
      </w:pPr>
      <w:r>
        <w:rPr>
          <w:b/>
          <w:bCs/>
        </w:rPr>
        <w:t xml:space="preserve">Quadro, mandato, metodo e perimetro integrale</w:t>
      </w:r>
    </w:p>
    <w:p>
      <w:pPr>
        <w:pStyle w:val="BodyText"/>
      </w:pPr>
      <w:r>
        <w:rPr>
          <w:i/>
          <w:iCs/>
        </w:rPr>
        <w:t xml:space="preserve">Il fondamento dell’opera: il quesito di valutazione, il telaio metodologico ibrido, la rinegoziazione dei costi e dei benefici, il principio ordinatore della cascata gerarchica piramidale</w:t>
      </w:r>
    </w:p>
    <w:p>
      <w:pPr>
        <w:pStyle w:val="BodyText"/>
      </w:pPr>
      <w:r>
        <w:t xml:space="preserve">Perimetro multidisciplinare integrale · l’Intelligenza Artificiale come leva abilitante · formazione come pilastro trasversale</w:t>
      </w:r>
    </w:p>
    <w:bookmarkEnd w:id="37"/>
    <w:bookmarkStart w:id="38" w:name="premessa"/>
    <w:p>
      <w:pPr>
        <w:pStyle w:val="Heading2"/>
      </w:pPr>
      <w:r>
        <w:rPr>
          <w:b/>
          <w:bCs/>
        </w:rPr>
        <w:t xml:space="preserve">Premessa</w:t>
      </w:r>
    </w:p>
    <w:p>
      <w:pPr>
        <w:pStyle w:val="FirstParagraph"/>
      </w:pPr>
      <w:r>
        <w:t xml:space="preserve">La presente parte apre lo studio integrale, finale e definitivo dedicato alla riforma del Servizio di Psicologia di Base nella Regione Puglia e ne costituisce il fondamento. Essa non sviluppa ancora le stime, ma ne predispone le condizioni: enuncia lo scopo dell’opera e il quesito al quale essa intende rispondere; fissa il metodo con cui ogni stima successiva sarà prodotta; stabilisce le regole della rinegoziazione dei costi e dei benefici, diretti e indiretti; e dichiara il principio che ordina l’intera trattazione. La distinzione tra ciò che la parte fa e ciò che le parti seguenti faranno è sostanziale, perché un’analisi che ambisce a essere insieme rigorosa, multidisciplinare e replicabile non si misura dalla quantità dei suoi risultati, ma dalla solidità del procedimento che li genera e dalla coerenza del disegno che li tiene insieme.</w:t>
      </w:r>
    </w:p>
    <w:p>
      <w:pPr>
        <w:pStyle w:val="BodyText"/>
      </w:pPr>
      <w:r>
        <w:t xml:space="preserve">Il lavoro che qui si avvia eredita e prosegue un corpus già esteso, sviluppato per la Puglia e per le altre Regioni italiane, e ne adotta il telaio metodologico validato: la composizione delle cornici apicali della valutazione di tecnologia sanitaria, del modello britannico dei cinque casi per la giustificazione degli investimenti pubblici, dello standard internazionale di rendicontazione delle valutazioni economiche in sanità e dei criteri di valutazione delle politiche pubbliche elaborati in sede internazionale. Su questa base, la presente opera introduce un ampliamento deliberato e irreversibile del perimetro. Essa non si limita più alle quattro figure attorno alle quali era stata inizialmente concepita l’analisi, ma abbraccia tutte le figure professionali, istituzionali ed extra-sanitarie connesse alla riforma, e tutti gli ambiti sui quali la riforma incide. È in questa parte che tale ampliamento viene fondato sul piano metodologico, così che le parti seguenti possano svilupparlo senza dover ritornare sulle sue ragioni.</w:t>
      </w:r>
    </w:p>
    <w:p>
      <w:pPr>
        <w:pStyle w:val="BodyText"/>
      </w:pPr>
      <w:r>
        <w:t xml:space="preserve">Tre principi governano l’intera opera e sono qui dichiarati una volta per tutte. Il primo è il principio ordinatore: l’analisi muove dallo Psicologo di Base, posto all’apice, e procede a cascata gerarchica piramidale verso le figure e gli ambiti a esso connessi, ordinandoli secondo la loro influenza nel progetto e secondo la loro capacità di generare rientro economico o revisione della spesa. Il secondo è la collocazione dell’Intelligenza Artificiale, che non è l’oggetto centrale dell’analisi ma una delle leve che rendono la figura più funzionale ed efficace, accanto alle leve organizzative, di processo e formative, e la cui evidenza è graduata con il medesimo rigore applicato alle affermazioni cliniche. Il terzo è il trattamento della formazione del personale, considerata come pilastro trasversale e articolata in quattro modalità che saranno valutate sia singolarmente sia congiuntamente.</w:t>
      </w:r>
    </w:p>
    <w:p>
      <w:pPr>
        <w:pStyle w:val="BodyText"/>
      </w:pPr>
      <w:r>
        <w:t xml:space="preserve">La parte si chiude con la dichiarazione dei vincoli metodologici invarianti, che nessuna stima dell’opera potrà violare: l’uso dei soli intervalli corretti per il ritorno economico degli investimenti in salute mentale; la conservazione del caveat statistico sulla non significatività di taluni risparmi sanitari; la separazione rigorosa tra grandezze fiscali dirette e ricadute sociali e indirette, senza duplicazioni; l’adozione costante di bande prudenziali e di previsioni falsificabili. Questi vincoli non sono un limite imposto dall’esterno, ma la condizione della credibilità dell’intera opera dinanzi a un decisore pubblico.</w:t>
      </w:r>
    </w:p>
    <w:bookmarkEnd w:id="38"/>
    <w:bookmarkStart w:id="55" w:name="introduzione"/>
    <w:p>
      <w:pPr>
        <w:pStyle w:val="Heading2"/>
      </w:pPr>
      <w:r>
        <w:rPr>
          <w:b/>
          <w:bCs/>
        </w:rPr>
        <w:t xml:space="preserve">Introduzione</w:t>
      </w:r>
    </w:p>
    <w:p>
      <w:pPr>
        <w:pStyle w:val="FirstParagraph"/>
      </w:pPr>
      <w:r>
        <w:t xml:space="preserve">La Regione Puglia ha istituito, prima in Italia, un Servizio di Psicologia di Base con la legge regionale n. 11 del 2023, traducendo in disposizione di rango primario l’idea che il disagio psichico comune debba trovare risposta strutturata al primo livello del sistema sanitario, accanto e in raccordo con la medicina generale e con i servizi specialistici. Questa scelta colloca la Regione all’avanguardia di un movimento di riforma che, nei sistemi sanitari più avanzati, ha già dato prova della propria efficacia clinica e della propria sostenibilità economica. La decisione rilevante, pertanto, non è più se istituire il servizio, ma in quale misura dimensionarlo, ossia con quale dotazione di personale e con quale copertura del fabbisogno la riforma debba essere portata a regime.1</w:t>
      </w:r>
    </w:p>
    <w:p>
      <w:pPr>
        <w:pStyle w:val="BodyText"/>
      </w:pPr>
      <w:r>
        <w:t xml:space="preserve">Il fondamento del problema risiede nella distanza tra il bisogno e la risposta. Una quota ampia della popolazione presenta, in un dato anno, sintomi di ansia o di depressione di intensità tale da giustificare un intervento, ma soltanto una frazione di essa accede a un trattamento appropriato; la parte restante grava impropriamente sulla medicina generale, si traduce in prescrizioni farmacologiche evitabili, alimenta accessi non necessari ai servizi di emergenza e, non di rado, evolve verso forme croniche di più costosa gestione. Questo divario tra fabbisogno e trattamento non è soltanto un problema clinico: è un costo che si propaga, lungo catene causali documentabili, dal bilancio sanitario al sistema previdenziale, dal mercato del lavoro alla scuola, dalla giustizia all’apparato amministrativo. È la propagazione di questo costo, e la sua riduzione per effetto della riforma, ciò che l’opera intende misurare.5</w:t>
      </w:r>
    </w:p>
    <w:p>
      <w:pPr>
        <w:pStyle w:val="BodyText"/>
      </w:pPr>
      <w:r>
        <w:t xml:space="preserve">Da questa premessa discende la necessità di un perimetro integrale. Una valutazione che si limitasse al bilancio sanitario coglierebbe soltanto la parte più visibile e immediata del valore generato dalla riforma, trascurando le ricadute che si manifestano altrove e che, nel loro insieme, eccedono in misura rilevante i risparmi sanitari diretti. L’opera adotta pertanto un approccio multidisciplinare integrale, che considera le figure e gli ambiti connessi allo Psicologo di Base in modo diretto e indiretto: salutistico, economico, sociale, lavorativo, pensionistico, produttivistico, assistenzialistico, welfaristico, prevenzionalistico, criminologico, burocratico, sanitario, culturale, formativo, antropologico, pedagogico e scolastico, accademico, industriale, sindacale e finanziario. Questo perimetro non è una semplice somma di ambiti, ma un sistema ordinato, e il suo ordine è dato dal principio della cascata gerarchica piramidale.</w:t>
      </w:r>
    </w:p>
    <w:p>
      <w:pPr>
        <w:pStyle w:val="BodyText"/>
      </w:pPr>
      <w:r>
        <w:t xml:space="preserve">La rinegoziazione dei costi e dei benefici, che dà titolo all’opera, consiste nel ridefinire l’intero quadro economico della riforma alla luce di questo perimetro integrale e delle leve che ne accrescono l’efficacia. Essa procede separando con nettezza i costi e i risparmi diretti, che gravano sul bilancio sanitario regionale, dai costi e dai benefici indiretti, che si manifestano nei restanti ambiti, e mantenendo le due categorie distinte fino al saldo finale, affinché nessun beneficio sia contato due volte. La rinegoziazione si avvale di un insieme di metodologie riconosciute, combinate in un telaio ibrido, e culmina in una previsione: l’opera non si limita a quantificare ciò che la riforma costa e fa risparmiare, ma proietta nel tempo, con bande prudenziali e in forma falsificabile, l’andamento della qualità della vita delle persone, dei bilanci regionali, dell’efficienza della burocrazia e della tenuta dei sistemi sanitari regionali dopo la riforma.</w:t>
      </w:r>
    </w:p>
    <w:p>
      <w:pPr>
        <w:pStyle w:val="BodyText"/>
      </w:pPr>
      <w:r>
        <w:t xml:space="preserve">Entro questo disegno l’Intelligenza Artificiale occupa una posizione precisa e subordinata. Essa è una delle leve che rendono la figura dello Psicologo di Base più funzionale, lungo l’intero ciclo assistenziale, dalla individuazione precoce del rischio al monitoraggio degli esiti; ma non è il soggetto dell’analisi, e il suo contributo è isolato e graduato con la medesima severità riservata alle affermazioni cliniche, sempre nel quadro di una governance prudenziale e della supervisione umana. Allo stesso modo, la formazione del personale è trattata come pilastro trasversale, nelle sue quattro modalità — universitaria, post-universitaria, lavorativa e per affiancamento di figure esperte, comprese quelle dedicate all’uso dell’Intelligenza Artificiale — considerate sia a sé stanti sia nella loro combinazione, in modo che il decisore disponga sempre del confronto tra le diverse vie e la loro integrazione.</w:t>
      </w:r>
    </w:p>
    <w:p>
      <w:pPr>
        <w:pStyle w:val="BodyText"/>
      </w:pPr>
      <w:r>
        <w:t xml:space="preserve">La presente parte è articolata in nove voci. Le prime stabiliscono lo scopo, il mandato e il quesito di valutazione, e definiscono il perimetro integrale e il principio ordinatore. Le successive espongono il telaio metodologico ibrido e le metodologie innestate per la rinegoziazione, le regole di separazione e di non duplicazione, la batteria integrale di indicatori e variabili, la graduazione simmetrica dell’evidenza e i vincoli invarianti, la collocazione dell’Intelligenza Artificiale e della formazione, e infine le fonti, la qualità dei dati, i limiti dichiarati e l’agenda di verifica documentale. Le pagine che seguono sviluppano le prime due voci; le restanti sono sviluppate nelle sezioni successive della medesima parte.</w:t>
      </w:r>
    </w:p>
    <w:bookmarkStart w:id="39" w:name="Xa1a00bfd0d12b3aaf37a5e5e395f92c9db15542"/>
    <w:p>
      <w:pPr>
        <w:pStyle w:val="Heading3"/>
      </w:pPr>
      <w:r>
        <w:rPr>
          <w:b/>
          <w:bCs/>
        </w:rPr>
        <w:t xml:space="preserve">1.1 Scopo, mandato istituzionale e quesito di valutazione</w:t>
      </w:r>
    </w:p>
    <w:p>
      <w:pPr>
        <w:pStyle w:val="FirstParagraph"/>
      </w:pPr>
      <w:r>
        <w:t xml:space="preserve">Lo scopo dell’opera è duplice e i suoi due termini sono inscindibili. Sul piano sostanziale, essa mira a stabilire, con metodo riproducibile e con evidenza graduata, quale sia il valore economico e sociale generato dall’introduzione e dal dimensionamento del Servizio di Psicologia di Base in Puglia, considerato nel suo perimetro multidisciplinare integrale; sul piano formale, essa mira a costituire un modello di valutazione trasferibile, il cui procedimento resti identico e i cui dati di ingresso cambino da Regione a Regione. I due termini sono inscindibili perché ciò che rende utile a una decisione di scala — regionale e, in prospettiva, nazionale — non è la singolarità di un risultato, ma la confrontabilità di studi generati dal medesimo telaio. Un procedimento comune è la condizione della comparabilità; i dati certificati di ciascuna Regione sono ciò che ne assicura l’aderenza alla realtà.</w:t>
      </w:r>
    </w:p>
    <w:p>
      <w:pPr>
        <w:pStyle w:val="BodyText"/>
      </w:pPr>
      <w:r>
        <w:t xml:space="preserve">Il mandato dell’opera è istituzionale e discende dalla legge regionale n. 11 del 2023, che ha istituito il servizio e ne ha fissato i principi. Da tale mandato deriva la natura stessa del quesito di valutazione. Poiché il servizio è già istituito, l’analisi non verte sull’opportunità della sua esistenza, ma sulle conseguenze economiche e sociali del suo dimensionamento: essa assume la riforma come dato di diritto e ne valuta gli effetti a diversi livelli di copertura del fabbisogno, dalla dotazione attuale, che intercetta una frazione contenuta della domanda, a una dotazione a regime commisurata al bisogno effettivo della popolazione regionale. Il quesito, in altre parole, non chiede se la riforma debba esistere, ma quanto convenga estenderla, e con quali effetti su ciascuno degli ambiti del perimetro integrale.13</w:t>
      </w:r>
    </w:p>
    <w:p>
      <w:pPr>
        <w:pStyle w:val="BodyText"/>
      </w:pPr>
      <w:r>
        <w:t xml:space="preserve">Il quesito di valutazione, per essere trattabile, è scomposto nei suoi elementi costitutivi, secondo la grammatica propria della valutazione economica in sanità e in coerenza con lo standard internazionale di rendicontazione adottato dall’opera. Tali elementi sono la popolazione di riferimento, l’intervento valutato, il termine di confronto, gli esiti considerati, la prospettiva dell’analisi e l’orizzonte temporale. La definizione esplicita di ciascuno di essi non è un adempimento formale, ma la condizione perché le stime siano interpretabili e confrontabili, e perché la separazione tra grandezze dirette e indirette possa essere mantenuta con rigore. La tabella che segue ne fissa il contenuto per la presente opera.</w:t>
      </w:r>
    </w:p>
    <w:p>
      <w:pPr>
        <w:pStyle w:val="BodyText"/>
      </w:pPr>
      <w:r>
        <w:rPr>
          <w:b/>
          <w:bCs/>
        </w:rPr>
        <w:t xml:space="preserve">Tabella 1.1 — Scomposizione del quesito di valutazione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assunta nell’opera</w:t>
            </w:r>
          </w:p>
        </w:tc>
      </w:tr>
      <w:tr>
        <w:tc>
          <w:tcPr/>
          <w:p>
            <w:pPr>
              <w:pStyle w:val="Compact"/>
              <w:spacing w:after="40" w:before="40"/>
              <w:jc w:val="left"/>
            </w:pPr>
            <w:r>
              <w:rPr>
                <w:rFonts w:ascii="Cambria" w:hAnsi="Cambria" w:cs="Cambria" w:eastAsia="Cambria"/>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Popolazione residente in Puglia con disturbi mentali comuni di intensità clinicamente rilevante, e sottoinsiemi specifici (età evolutiva, età lavorativa, anziani, soggetti fragili) rilevanti per i singoli ambiti.</w:t>
            </w:r>
          </w:p>
        </w:tc>
      </w:tr>
      <w:tr>
        <w:tc>
          <w:tcPr>
            <w:shd w:val="clear" w:color="auto" w:fill="F4F1EC"/>
          </w:tcPr>
          <w:p>
            <w:pPr>
              <w:pStyle w:val="Compact"/>
              <w:spacing w:after="40" w:before="40"/>
              <w:jc w:val="left"/>
            </w:pPr>
            <w:r>
              <w:rPr>
                <w:rFonts w:ascii="Cambria" w:hAnsi="Cambria" w:cs="Cambria" w:eastAsia="Cambria"/>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Servizio di Psicologia di Base integrato nelle cure primarie, ai diversi livelli di dimensionamento, potenziato dalle leve abilitanti organizzative, digitali e formative.</w:t>
            </w:r>
          </w:p>
        </w:tc>
      </w:tr>
      <w:tr>
        <w:tc>
          <w:tcPr/>
          <w:p>
            <w:pPr>
              <w:pStyle w:val="Compact"/>
              <w:spacing w:after="40" w:before="40"/>
              <w:jc w:val="left"/>
            </w:pPr>
            <w:r>
              <w:rPr>
                <w:rFonts w:ascii="Cambria" w:hAnsi="Cambria" w:cs="Cambria" w:eastAsia="Cambria"/>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Assetto in assenza del servizio strutturato, ossia la gestione corrente della domanda psichica nei soli studi della medicina generale e nei servizi specialistici.</w:t>
            </w:r>
          </w:p>
        </w:tc>
      </w:tr>
      <w:tr>
        <w:tc>
          <w:tcPr>
            <w:shd w:val="clear" w:color="auto" w:fill="F4F1EC"/>
          </w:tcPr>
          <w:p>
            <w:pPr>
              <w:pStyle w:val="Compact"/>
              <w:spacing w:after="40" w:before="40"/>
              <w:jc w:val="left"/>
            </w:pPr>
            <w:r>
              <w:rPr>
                <w:rFonts w:ascii="Cambria" w:hAnsi="Cambria" w:cs="Cambria" w:eastAsia="Cambria"/>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Esiti clinici (riduzione dei sintomi, esiti misurati seduta per seduta), esiti economici diretti (spesa sanitaria) ed esiti indiretti per ciascun ambito del perimetro integrale.</w:t>
            </w:r>
          </w:p>
        </w:tc>
      </w:tr>
      <w:tr>
        <w:tc>
          <w:tcPr/>
          <w:p>
            <w:pPr>
              <w:pStyle w:val="Compact"/>
              <w:spacing w:after="40" w:before="40"/>
              <w:jc w:val="left"/>
            </w:pPr>
            <w:r>
              <w:rPr>
                <w:rFonts w:ascii="Cambria" w:hAnsi="Cambria" w:cs="Cambria" w:eastAsia="Cambria"/>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Prospettiva integrale: bilancio sanitario regionale per le grandezze dirette; collettività e finanza pubblica allargata per le grandezze indirette, mantenute distinte.</w:t>
            </w:r>
          </w:p>
        </w:tc>
      </w:tr>
      <w:tr>
        <w:tc>
          <w:tcPr>
            <w:shd w:val="clear" w:color="auto" w:fill="F4F1EC"/>
          </w:tcPr>
          <w:p>
            <w:pPr>
              <w:pStyle w:val="Compact"/>
              <w:spacing w:after="40" w:before="40"/>
              <w:jc w:val="left"/>
            </w:pPr>
            <w:r>
              <w:rPr>
                <w:rFonts w:ascii="Cambria" w:hAnsi="Cambria" w:cs="Cambria" w:eastAsia="Cambria"/>
                <w:color w:val="1A1A1A"/>
                <w:sz w:val="18"/>
              </w:rPr>
              <w:t xml:space="preserve">Orizzonte</w:t>
            </w:r>
          </w:p>
        </w:tc>
        <w:tc>
          <w:tcPr>
            <w:shd w:val="clear" w:color="auto" w:fill="F4F1EC"/>
          </w:tcPr>
          <w:p>
            <w:pPr>
              <w:pStyle w:val="Compact"/>
              <w:spacing w:after="40" w:before="40"/>
              <w:jc w:val="left"/>
            </w:pPr>
            <w:r>
              <w:rPr>
                <w:rFonts w:ascii="Cambria" w:hAnsi="Cambria" w:cs="Cambria" w:eastAsia="Cambria"/>
                <w:color w:val="1A1A1A"/>
                <w:sz w:val="18"/>
              </w:rPr>
              <w:t xml:space="preserve">Orizzonte pluriennale, con proiezioni a regime e analisi di sensibilità, in forma prudenziale e falsificabile.</w:t>
            </w:r>
          </w:p>
        </w:tc>
      </w:tr>
    </w:tbl>
    <w:p>
      <w:pPr>
        <w:pStyle w:val="BodyText"/>
      </w:pPr>
      <w:r>
        <w:t xml:space="preserve">La prospettiva merita una precisazione, perché da essa dipende la coerenza dell’intera rinegoziazione. L’opera adotta una prospettiva integrale, ma articolata: le grandezze dirette sono valutate dal punto di vista del bilancio sanitario regionale, che è il soggetto che sostiene i costi del servizio e che beneficia dei risparmi sanitari; le grandezze indirette sono valutate dal punto di vista della collettività e della finanza pubblica allargata, che comprende il sistema previdenziale, il mercato del lavoro, la scuola, la giustizia e l’apparato amministrativo. Le due prospettive non sono sommate in modo indistinto, ma mantenute su piani separati fino al saldo finale, dove la loro composizione è esplicitata e governata dalla regola di non duplicazione. Questa articolazione è ciò che consente all’opera di essere insieme integrale e prudente: integrale perché nessun ambito è trascurato, prudente perché nessun beneficio è contato due volte.7</w:t>
      </w:r>
    </w:p>
    <w:p>
      <w:pPr>
        <w:pStyle w:val="BodyText"/>
      </w:pPr>
      <w:r>
        <w:t xml:space="preserve">Il mandato e il quesito così definiti determinano anche gli standard ai quali l’opera si vincola. La valutazione di tecnologia sanitaria fornisce la cornice generale entro cui il problema di salute, l’intervento, le evidenze e le conseguenze economiche e organizzative sono ordinati; il modello dei cinque casi fornisce la struttura di giustificazione dell’investimento pubblico, che impone di argomentare congiuntamente la dimensione strategica, economica, commerciale, finanziaria e gestionale della riforma; lo standard internazionale di rendicontazione delle valutazioni economiche garantisce la trasparenza e la replicabilità delle stime; i criteri di valutazione delle politiche pubbliche assicurano che l’analisi consideri la rilevanza, la coerenza, l’efficacia, l’efficienza, l’impatto e la sostenibilità della riforma. L’adozione congiunta di questi standard non è un ossequio formale, ma la condizione perché lo studio sia leggibile e contestabile da chi decide.126</w:t>
      </w:r>
    </w:p>
    <w:p>
      <w:pPr>
        <w:pStyle w:val="BodyText"/>
      </w:pPr>
      <w:r>
        <w:t xml:space="preserve">Da ultimo, lo scopo dell’opera include la sua stessa esemplarità. Poiché il telaio è concepito per essere replicato, lo studio pugliese è al tempo stesso un documento compiuto per la Puglia e il riferimento per la generalizzazione alle altre Regioni: ciò che qui viene fissato — il quesito, gli standard, le regole di separazione, il principio ordinatore — costituisce la parte invariante del modello, mentre i dati epidemiologici, demografici, organizzativi e finanziari costituiscono la parte variabile, che ciascuna Regione fornisce dai propri conti certificati. Questa duplice natura, di documento e di modello, è dichiarata fin dall’inizio perché orienta ogni scelta metodologica successiva.</w:t>
      </w:r>
    </w:p>
    <w:bookmarkEnd w:id="39"/>
    <w:bookmarkStart w:id="40" w:name="Xb18d80b8224727fef5d235751d6dd809e546ab8"/>
    <w:p>
      <w:pPr>
        <w:pStyle w:val="Heading3"/>
      </w:pPr>
      <w:r>
        <w:rPr>
          <w:b/>
          <w:bCs/>
        </w:rPr>
        <w:t xml:space="preserve">1.2 Il perimetro integrale e il principio ordinatore della cascata gerarchica piramidale</w:t>
      </w:r>
    </w:p>
    <w:p>
      <w:pPr>
        <w:pStyle w:val="FirstParagraph"/>
      </w:pPr>
      <w:r>
        <w:t xml:space="preserve">Il perimetro dell’opera è integrale in un senso preciso. Esso comprende, da un lato, tutte le figure professionali, istituzionali ed extra-sanitarie la cui attività è connessa, in modo diretto o indiretto, a quella dello Psicologo di Base; dall’altro, tutti gli ambiti — sanitari ed extra-sanitari — sui quali la riforma produce effetti. Le figure e gli ambiti non sono due elenchi paralleli, ma le due dimensioni di una medesima matrice: ciascuna figura opera entro uno o più ambiti, e ciascun ambito è popolato da una o più figure. La valutazione integrale consiste appunto nel percorrere questa matrice in modo ordinato, attribuendo a ciascuna intersezione gli effetti che le competono, senza lacune e senza sovrapposizioni.</w:t>
      </w:r>
    </w:p>
    <w:p>
      <w:pPr>
        <w:pStyle w:val="BodyText"/>
      </w:pPr>
      <w:r>
        <w:t xml:space="preserve">L’ordine con cui la matrice è percorsa non è arbitrario, ed è qui che interviene il principio ordinatore dell’opera. Il principio è quello della cascata gerarchica piramidale: l’analisi muove dallo Psicologo di Base, posto all’apice della piramide, e discende verso le figure e gli attori a esso connessi, ordinandoli secondo due criteri congiunti. Il primo criterio è l’influenza nel progetto, ossia il grado in cui l’attività di ciascuna figura dipende dalla figura dello Psicologo di Base e ne è trasformata; il secondo criterio è la capacità di generare rientro economico o revisione della spesa, ossia l’entità del valore economico — diretto o indiretto — che l’azione della figura, attivata o potenziata dalla riforma, è in grado di liberare. La cascata non è dunque una semplice elencazione discendente, ma una gerarchia di influenza e di valore, che determina la sequenza dell’esposizione e fonda l’ordinamento delle valutazioni economiche delle parti seguenti.</w:t>
      </w:r>
    </w:p>
    <w:p>
      <w:pPr>
        <w:pStyle w:val="BodyText"/>
      </w:pPr>
      <w:r>
        <w:rPr>
          <w:i/>
          <w:iCs/>
        </w:rPr>
        <w:t xml:space="preserve">Infografica 1.2 — La cascata gerarchica piramidale: dallo Psicologo di Base alle figure e agli attori connessi, ordinati per influenza nel progetto e capacità di rientro economico. Resa segnaposto; impostazione cromatica navy e gradiente bianco-crema, da finalizzare in Barlow Semicondensed.</w:t>
      </w:r>
    </w:p>
    <w:p>
      <w:pPr>
        <w:pStyle w:val="BodyText"/>
      </w:pPr>
      <w:r>
        <w:t xml:space="preserve">La piramide si articola in cinque livelli, che la tabella seguente espone con la loro funzione e il criterio che ne determina la posizione. Al vertice si colloca lo Psicologo di Base, origine della cascata e figura di massima influenza nel progetto. Al secondo livello si collocano le figure cliniche di primo contatto, la cui attività è immediatamente e quotidianamente trasformata dalla presenza dello psicologo. Al terzo livello si collocano le ulteriori figure sanitarie e socio-sanitarie, che intervengono nella presa in carico in modo più mediato. Al quarto livello si collocano le figure educative e gli attori istituzionali e amministrativi regionali, che governano e finanziano il sistema. Alla base si collocano gli attori extra-sanitari e di sistema, la cui connessione con lo Psicologo di Base è la più indiretta, ma la cui capacità di rientro economico complessivo è, in aggregato, la più ampia, perché coinvolge il sistema previdenziale, il lavoro, la giustizia, l’istruzione e la finanza pubblica nel suo insieme.</w:t>
      </w:r>
    </w:p>
    <w:p>
      <w:pPr>
        <w:pStyle w:val="BodyText"/>
      </w:pPr>
      <w:r>
        <w:rPr>
          <w:b/>
          <w:bCs/>
        </w:rPr>
        <w:t xml:space="preserve">Tabella 1.2 — I cinque livelli della cascata gerarchica piramidale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Figure e attori</w:t>
            </w:r>
          </w:p>
        </w:tc>
        <w:tc>
          <w:tcPr>
            <w:shd w:val="clear" w:color="auto" w:fill="16264B"/>
          </w:tcPr>
          <w:p>
            <w:pPr>
              <w:pStyle w:val="Compact"/>
              <w:spacing w:after="40" w:before="40"/>
              <w:jc w:val="left"/>
            </w:pPr>
            <w:r>
              <w:rPr>
                <w:rFonts w:ascii="Cambria" w:hAnsi="Cambria" w:cs="Cambria" w:eastAsia="Cambria"/>
                <w:b/>
                <w:bCs/>
                <w:color w:val="FFFFFF"/>
                <w:sz w:val="18"/>
              </w:rPr>
              <w:t xml:space="preserve">Connessione e criterio di posizione</w:t>
            </w:r>
          </w:p>
        </w:tc>
      </w:tr>
      <w:tr>
        <w:tc>
          <w:tcPr/>
          <w:p>
            <w:pPr>
              <w:pStyle w:val="Compact"/>
              <w:spacing w:after="40" w:before="40"/>
              <w:jc w:val="left"/>
            </w:pPr>
            <w:r>
              <w:rPr>
                <w:rFonts w:ascii="Cambria" w:hAnsi="Cambria" w:cs="Cambria" w:eastAsia="Cambria"/>
                <w:color w:val="1A1A1A"/>
                <w:sz w:val="18"/>
              </w:rPr>
              <w:t xml:space="preserve">Apice</w:t>
            </w:r>
          </w:p>
        </w:tc>
        <w:tc>
          <w:tcPr/>
          <w:p>
            <w:pPr>
              <w:pStyle w:val="Compact"/>
              <w:spacing w:after="40" w:before="40"/>
              <w:jc w:val="left"/>
            </w:pPr>
            <w:r>
              <w:rPr>
                <w:rFonts w:ascii="Cambria" w:hAnsi="Cambria" w:cs="Cambria" w:eastAsia="Cambria"/>
                <w:color w:val="1A1A1A"/>
                <w:sz w:val="18"/>
              </w:rPr>
              <w:t xml:space="preserve">Psicologo di Base</w:t>
            </w:r>
          </w:p>
        </w:tc>
        <w:tc>
          <w:tcPr/>
          <w:p>
            <w:pPr>
              <w:pStyle w:val="Compact"/>
              <w:spacing w:after="40" w:before="40"/>
              <w:jc w:val="left"/>
            </w:pPr>
            <w:r>
              <w:rPr>
                <w:rFonts w:ascii="Cambria" w:hAnsi="Cambria" w:cs="Cambria" w:eastAsia="Cambria"/>
                <w:color w:val="1A1A1A"/>
                <w:sz w:val="18"/>
              </w:rPr>
              <w:t xml:space="preserve">Origine della cascata; massima influenza nel progetto; attiva e ordina il valore generato a valle.</w:t>
            </w:r>
          </w:p>
        </w:tc>
      </w:tr>
      <w:tr>
        <w:tc>
          <w:tcPr>
            <w:shd w:val="clear" w:color="auto" w:fill="F4F1EC"/>
          </w:tcPr>
          <w:p>
            <w:pPr>
              <w:pStyle w:val="Compact"/>
              <w:spacing w:after="40" w:before="40"/>
              <w:jc w:val="left"/>
            </w:pPr>
            <w:r>
              <w:rPr>
                <w:rFonts w:ascii="Cambria" w:hAnsi="Cambria" w:cs="Cambria" w:eastAsia="Cambria"/>
                <w:color w:val="1A1A1A"/>
                <w:sz w:val="18"/>
              </w:rPr>
              <w:t xml:space="preserve">Secondo</w:t>
            </w:r>
          </w:p>
        </w:tc>
        <w:tc>
          <w:tcPr>
            <w:shd w:val="clear" w:color="auto" w:fill="F4F1EC"/>
          </w:tcPr>
          <w:p>
            <w:pPr>
              <w:pStyle w:val="Compact"/>
              <w:spacing w:after="40" w:before="40"/>
              <w:jc w:val="left"/>
            </w:pPr>
            <w:r>
              <w:rPr>
                <w:rFonts w:ascii="Cambria" w:hAnsi="Cambria" w:cs="Cambria" w:eastAsia="Cambria"/>
                <w:color w:val="1A1A1A"/>
                <w:sz w:val="18"/>
              </w:rPr>
              <w:t xml:space="preserve">Medico di medicina generale, pediatra di libera scelta, neurologo</w:t>
            </w:r>
          </w:p>
        </w:tc>
        <w:tc>
          <w:tcPr>
            <w:shd w:val="clear" w:color="auto" w:fill="F4F1EC"/>
          </w:tcPr>
          <w:p>
            <w:pPr>
              <w:pStyle w:val="Compact"/>
              <w:spacing w:after="40" w:before="40"/>
              <w:jc w:val="left"/>
            </w:pPr>
            <w:r>
              <w:rPr>
                <w:rFonts w:ascii="Cambria" w:hAnsi="Cambria" w:cs="Cambria" w:eastAsia="Cambria"/>
                <w:color w:val="1A1A1A"/>
                <w:sz w:val="18"/>
              </w:rPr>
              <w:t xml:space="preserve">Connessione diretta e quotidiana; la coppia clinica trasforma l’attività di primo contatto.</w:t>
            </w:r>
          </w:p>
        </w:tc>
      </w:tr>
      <w:tr>
        <w:tc>
          <w:tcPr/>
          <w:p>
            <w:pPr>
              <w:pStyle w:val="Compact"/>
              <w:spacing w:after="40" w:before="40"/>
              <w:jc w:val="left"/>
            </w:pPr>
            <w:r>
              <w:rPr>
                <w:rFonts w:ascii="Cambria" w:hAnsi="Cambria" w:cs="Cambria" w:eastAsia="Cambria"/>
                <w:color w:val="1A1A1A"/>
                <w:sz w:val="18"/>
              </w:rPr>
              <w:t xml:space="preserve">Terzo</w:t>
            </w:r>
          </w:p>
        </w:tc>
        <w:tc>
          <w:tcPr/>
          <w:p>
            <w:pPr>
              <w:pStyle w:val="Compact"/>
              <w:spacing w:after="40" w:before="40"/>
              <w:jc w:val="left"/>
            </w:pPr>
            <w:r>
              <w:rPr>
                <w:rFonts w:ascii="Cambria" w:hAnsi="Cambria" w:cs="Cambria" w:eastAsia="Cambria"/>
                <w:color w:val="1A1A1A"/>
                <w:sz w:val="18"/>
              </w:rPr>
              <w:t xml:space="preserve">Infermiere di comunità, psichiatra consulente, assistente sociale, farmacista di comunità, altre figure socio-sanitarie</w:t>
            </w:r>
          </w:p>
        </w:tc>
        <w:tc>
          <w:tcPr/>
          <w:p>
            <w:pPr>
              <w:pStyle w:val="Compact"/>
              <w:spacing w:after="40" w:before="40"/>
              <w:jc w:val="left"/>
            </w:pPr>
            <w:r>
              <w:rPr>
                <w:rFonts w:ascii="Cambria" w:hAnsi="Cambria" w:cs="Cambria" w:eastAsia="Cambria"/>
                <w:color w:val="1A1A1A"/>
                <w:sz w:val="18"/>
              </w:rPr>
              <w:t xml:space="preserve">Connessione mediata nella presa in carico; rilevante capacità di contenimento dei costi assistenziali.</w:t>
            </w:r>
          </w:p>
        </w:tc>
      </w:tr>
      <w:tr>
        <w:tc>
          <w:tcPr>
            <w:shd w:val="clear" w:color="auto" w:fill="F4F1EC"/>
          </w:tcPr>
          <w:p>
            <w:pPr>
              <w:pStyle w:val="Compact"/>
              <w:spacing w:after="40" w:before="40"/>
              <w:jc w:val="left"/>
            </w:pPr>
            <w:r>
              <w:rPr>
                <w:rFonts w:ascii="Cambria" w:hAnsi="Cambria" w:cs="Cambria" w:eastAsia="Cambria"/>
                <w:color w:val="1A1A1A"/>
                <w:sz w:val="18"/>
              </w:rPr>
              <w:t xml:space="preserve">Quarto</w:t>
            </w:r>
          </w:p>
        </w:tc>
        <w:tc>
          <w:tcPr>
            <w:shd w:val="clear" w:color="auto" w:fill="F4F1EC"/>
          </w:tcPr>
          <w:p>
            <w:pPr>
              <w:pStyle w:val="Compact"/>
              <w:spacing w:after="40" w:before="40"/>
              <w:jc w:val="left"/>
            </w:pPr>
            <w:r>
              <w:rPr>
                <w:rFonts w:ascii="Cambria" w:hAnsi="Cambria" w:cs="Cambria" w:eastAsia="Cambria"/>
                <w:color w:val="1A1A1A"/>
                <w:sz w:val="18"/>
              </w:rPr>
              <w:t xml:space="preserve">Psicologo scolastico e figure educative; aziende sanitarie locali, distretti, Azienda Zero, Regione</w:t>
            </w:r>
          </w:p>
        </w:tc>
        <w:tc>
          <w:tcPr>
            <w:shd w:val="clear" w:color="auto" w:fill="F4F1EC"/>
          </w:tcPr>
          <w:p>
            <w:pPr>
              <w:pStyle w:val="Compact"/>
              <w:spacing w:after="40" w:before="40"/>
              <w:jc w:val="left"/>
            </w:pPr>
            <w:r>
              <w:rPr>
                <w:rFonts w:ascii="Cambria" w:hAnsi="Cambria" w:cs="Cambria" w:eastAsia="Cambria"/>
                <w:color w:val="1A1A1A"/>
                <w:sz w:val="18"/>
              </w:rPr>
              <w:t xml:space="preserve">Governo, finanziamento e regolazione del sistema; influenza istituzionale e capacità di revisione della spesa.</w:t>
            </w:r>
          </w:p>
        </w:tc>
      </w:tr>
      <w:tr>
        <w:tc>
          <w:tcPr/>
          <w:p>
            <w:pPr>
              <w:pStyle w:val="Compact"/>
              <w:spacing w:after="40" w:before="40"/>
              <w:jc w:val="left"/>
            </w:pPr>
            <w:r>
              <w:rPr>
                <w:rFonts w:ascii="Cambria" w:hAnsi="Cambria" w:cs="Cambria" w:eastAsia="Cambria"/>
                <w:color w:val="1A1A1A"/>
                <w:sz w:val="18"/>
              </w:rPr>
              <w:t xml:space="preserve">Base</w:t>
            </w:r>
          </w:p>
        </w:tc>
        <w:tc>
          <w:tcPr/>
          <w:p>
            <w:pPr>
              <w:pStyle w:val="Compact"/>
              <w:spacing w:after="40" w:before="40"/>
              <w:jc w:val="left"/>
            </w:pPr>
            <w:r>
              <w:rPr>
                <w:rFonts w:ascii="Cambria" w:hAnsi="Cambria" w:cs="Cambria" w:eastAsia="Cambria"/>
                <w:color w:val="1A1A1A"/>
                <w:sz w:val="18"/>
              </w:rPr>
              <w:t xml:space="preserve">INPS, INAIL, sistema giudiziario, imprese, sindacati, università, terzo settore</w:t>
            </w:r>
          </w:p>
        </w:tc>
        <w:tc>
          <w:tcPr/>
          <w:p>
            <w:pPr>
              <w:pStyle w:val="Compact"/>
              <w:spacing w:after="40" w:before="40"/>
              <w:jc w:val="left"/>
            </w:pPr>
            <w:r>
              <w:rPr>
                <w:rFonts w:ascii="Cambria" w:hAnsi="Cambria" w:cs="Cambria" w:eastAsia="Cambria"/>
                <w:color w:val="1A1A1A"/>
                <w:sz w:val="18"/>
              </w:rPr>
              <w:t xml:space="preserve">Connessione indiretta; in aggregato la più ampia capacità di rientro economico e sociale.</w:t>
            </w:r>
          </w:p>
        </w:tc>
      </w:tr>
    </w:tbl>
    <w:p>
      <w:pPr>
        <w:pStyle w:val="BodyText"/>
      </w:pPr>
      <w:r>
        <w:t xml:space="preserve">La scelta di ordinare l’analisi secondo questo principio risponde a un’esigenza metodologica, non a una preferenza espositiva. La cascata, infatti, governa l’attribuzione degli effetti e previene la duplicazione: percorrendo la piramide dall’apice alla base, ciascun effetto economico è attribuito al livello in cui si genera e alla figura che lo determina, e gli effetti dei livelli inferiori sono valutati al netto di quanto già contabilizzato ai livelli superiori. In assenza di un tale ordine, la valutazione integrale rischierebbe di sommare grandezze sovrapposte — per esempio imputando due volte, alla riduzione degli accessi impropri e alla riduzione della spesa farmaceutica, un medesimo risparmio — e perderebbe così la propria credibilità. L’ordine della cascata è dunque la condizione che rende l’integralità del perimetro compatibile con la prudenza delle stime.</w:t>
      </w:r>
    </w:p>
    <w:p>
      <w:pPr>
        <w:pStyle w:val="BodyText"/>
      </w:pPr>
      <w:r>
        <w:t xml:space="preserve">La cascata delle figure si compone, infine, con la matrice degli ambiti. Ogni figura della piramide opera entro più ambiti del perimetro integrale, e ogni ambito riceve contributi da più livelli della piramide. Lo Psicologo di Base, all’apice, incide in modo diretto sull’ambito salutistico e, attraverso di esso, in modo indiretto su tutti gli altri; le figure dei livelli inferiori traducono e amplificano questo effetto nei rispettivi ambiti, fino agli attori di sistema, che ne raccolgono le ricadute previdenziali, lavorative, giudiziarie, scolastiche e finanziarie. La parte dedicata ai costi e ai benefici indiretti percorrerà questa matrice ambito per ambito; le presenti voci ne hanno fissato l’architettura e l’ordine, così che la trattazione successiva possa svolgersi su un disegno stabile.</w:t>
      </w:r>
    </w:p>
    <w:p>
      <w:pPr>
        <w:pStyle w:val="BodyText"/>
      </w:pPr>
      <w:r>
        <w:t xml:space="preserve">Entro questa architettura, l’Intelligenza Artificiale non costituisce un livello della piramide né un ambito a sé, ma una leva trasversale che attraversa i livelli e gli ambiti, accrescendo la capacità di ciascuna figura di generare valore. Collocarla in questo modo — come strumento e non come soggetto — non ne riduce la rilevanza, ma ne disciplina la valutazione: il suo contributo sarà isolato all’interno di ciascun livello e di ciascun ambito, quantificato in via incrementale e graduato secondo la qualità dell’evidenza, sempre nel quadro della supervisione umana. La medesima logica trasversale vale per la formazione del personale, che attraversa la piramide rendendo le figure capaci di esercitare appieno, e in sicurezza, le funzioni che la riforma assegna loro.</w:t>
      </w:r>
    </w:p>
    <w:bookmarkEnd w:id="40"/>
    <w:bookmarkStart w:id="41" w:name="X52b74ef45760807fd65f172589e66ec713de1ef"/>
    <w:p>
      <w:pPr>
        <w:pStyle w:val="Heading3"/>
      </w:pPr>
      <w:r>
        <w:rPr>
          <w:b/>
          <w:bCs/>
        </w:rPr>
        <w:t xml:space="preserve">1.3 Il telaio metodologico ibrido: le cornici apicali</w:t>
      </w:r>
    </w:p>
    <w:p>
      <w:pPr>
        <w:pStyle w:val="FirstParagraph"/>
      </w:pPr>
      <w:r>
        <w:t xml:space="preserve">La scelta metodologica fondante dell’opera consiste nel non affidare la valutazione a un’unica cornice, ma nel comporne l’apice di quattro tradizioni distinte e complementari. Nessuna disciplina, isolatamente, possiede gli strumenti per rispondere a un quesito che è insieme clinico, economico, finanziario, organizzativo e politico; la loro composizione, per contro, consente di trattare ciascuna dimensione con il metodo che le è proprio, senza che l’una prevarichi le altre. Il telaio che ne risulta non è un eclettismo, bensì un’architettura ordinata, nella quale ciascuna cornice occupa una funzione precisa e cede alle altre ciò che non le compete.</w:t>
      </w:r>
    </w:p>
    <w:p>
      <w:pPr>
        <w:pStyle w:val="BodyText"/>
      </w:pPr>
      <w:r>
        <w:t xml:space="preserve">La prima cornice è la valutazione delle tecnologie sanitarie, che fornisce la griglia generale entro cui l’intero problema è ordinato. Concepita per stimare in modo sistematico il valore di una tecnologia o di un intervento sanitario, essa articola l’analisi in domini successivi: il problema di salute e l’uso corrente, la descrizione dell’intervento, la sicurezza, l’efficacia clinica, la valutazione economica e, infine, i profili etici, giuridici, sociali e organizzativi. Nell’opera, la valutazione delle tecnologie sanitarie svolge la funzione di telaio portante, poiché stabilisce l’ordine dei domini e garantisce che nessuna dimensione del valore sia trascurata, dalla prova di efficacia alla sostenibilità organizzativa.10</w:t>
      </w:r>
    </w:p>
    <w:p>
      <w:pPr>
        <w:pStyle w:val="BodyText"/>
      </w:pPr>
      <w:r>
        <w:t xml:space="preserve">La seconda cornice è il modello dei cinque casi, elaborato per la giustificazione e l’approvazione degli investimenti pubblici. Esso impone di argomentare congiuntamente cinque dimensioni dell’investimento: il caso strategico, che ne dimostra la coerenza con gli obiettivi di sistema; il caso economico, che ne stabilisce il valore per la collettività; il caso commerciale, che ne verifica la praticabilità sul piano dell’approvvigionamento e dei rapporti contrattuali; il caso finanziario, che ne accerta la sostenibilità per il bilancio; e il caso gestionale, che ne assicura la realizzabilità organizzativa. La funzione di questa cornice è di trasformare la valutazione da esercizio analitico in argomento decisionale, organizzando le evidenze nella forma che un’amministrazione pubblica richiede per deliberare un investimento.6</w:t>
      </w:r>
    </w:p>
    <w:p>
      <w:pPr>
        <w:pStyle w:val="BodyText"/>
      </w:pPr>
      <w:r>
        <w:t xml:space="preserve">La terza cornice è lo standard internazionale di rendicontazione delle valutazioni economiche in sanità, che disciplina il modo in cui i risultati sono presentati. Esso fissa l’elenco degli elementi che ogni valutazione economica deve dichiarare — la prospettiva, l’orizzonte temporale, il tasso di sconto, le fonti dei parametri, i metodi di trattamento dell’incertezza — affinché lo studio sia trasparente e riproducibile. La sua funzione nell’opera non è di produrre stime, ma di renderle verificabili: esso è la garanzia che ogni grandezza esposta possa essere ricondotta alla propria fonte e al proprio metodo, e quindi controllata e, se del caso, contestata.1</w:t>
      </w:r>
    </w:p>
    <w:p>
      <w:pPr>
        <w:pStyle w:val="BodyText"/>
      </w:pPr>
      <w:r>
        <w:t xml:space="preserve">La quarta cornice è costituita dai criteri internazionali di valutazione delle politiche e dei programmi, che estendono lo sguardo oltre il piano strettamente economico. Tali criteri — la rilevanza, la coerenza, l’efficacia, l’efficienza, l’impatto e la sostenibilità — consentono di valutare la riforma non soltanto per ciò che costa e fa risparmiare, ma per la sua aderenza ai bisogni, per la sua congruenza con le altre politiche pubbliche, per la sua capacità di produrre gli effetti attesi e di mantenerli nel tempo. La loro funzione è di collocare la valutazione economica entro una valutazione di politica pubblica più ampia, che è quella effettivamente rilevante per un decisore regionale.2</w:t>
      </w:r>
    </w:p>
    <w:p>
      <w:pPr>
        <w:pStyle w:val="BodyText"/>
      </w:pPr>
      <w:r>
        <w:t xml:space="preserve">La composizione delle quattro cornici non è una giustapposizione, ma una gerarchia funzionale. La valutazione delle tecnologie sanitarie fornisce il telaio e l’ordine dei domini; il modello dei cinque casi fornisce la forma della giustificazione dell’investimento; lo standard di rendicontazione fornisce le regole della trasparenza; i criteri di valutazione delle politiche forniscono i parametri del giudizio complessivo. Su questa architettura apicale sono innestate le metodologie operative della rinegoziazione, che la voce seguente espone e che forniscono gli strumenti di misura entro ciascun dominio. La distinzione tra le cornici apicali, che ordinano, e le metodologie innestate, che misurano, costituisce la chiave dell’intero impianto metodologico dell’opera.</w:t>
      </w:r>
    </w:p>
    <w:p>
      <w:pPr>
        <w:pStyle w:val="BodyText"/>
      </w:pPr>
      <w:r>
        <w:rPr>
          <w:b/>
          <w:bCs/>
        </w:rPr>
        <w:t xml:space="preserve">Tabella 1.3 — Le quattro cornici apicali del telaio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Cornice apicale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 nell’opera</w:t>
            </w:r>
          </w:p>
        </w:tc>
        <w:tc>
          <w:tcPr>
            <w:shd w:val="clear" w:color="auto" w:fill="16264B"/>
          </w:tcPr>
          <w:p>
            <w:pPr>
              <w:pStyle w:val="Compact"/>
              <w:spacing w:after="40" w:before="40"/>
              <w:jc w:val="left"/>
            </w:pPr>
            <w:r>
              <w:rPr>
                <w:rFonts w:ascii="Cambria" w:hAnsi="Cambria" w:cs="Cambria" w:eastAsia="Cambria"/>
                <w:b/>
                <w:bCs/>
                <w:color w:val="FFFFFF"/>
                <w:sz w:val="18"/>
              </w:rPr>
              <w:t xml:space="preserve">Contributo specifico</w:t>
            </w:r>
          </w:p>
        </w:tc>
      </w:tr>
      <w:tr>
        <w:tc>
          <w:tcPr/>
          <w:p>
            <w:pPr>
              <w:pStyle w:val="Compact"/>
              <w:spacing w:after="40" w:before="40"/>
              <w:jc w:val="left"/>
            </w:pPr>
            <w:r>
              <w:rPr>
                <w:rFonts w:ascii="Cambria" w:hAnsi="Cambria" w:cs="Cambria" w:eastAsia="Cambria"/>
                <w:color w:val="1A1A1A"/>
                <w:sz w:val="18"/>
              </w:rPr>
              <w:t xml:space="preserve">Valutazione delle tecnologie sanitarie</w:t>
            </w:r>
          </w:p>
        </w:tc>
        <w:tc>
          <w:tcPr/>
          <w:p>
            <w:pPr>
              <w:pStyle w:val="Compact"/>
              <w:spacing w:after="40" w:before="40"/>
              <w:jc w:val="left"/>
            </w:pPr>
            <w:r>
              <w:rPr>
                <w:rFonts w:ascii="Cambria" w:hAnsi="Cambria" w:cs="Cambria" w:eastAsia="Cambria"/>
                <w:color w:val="1A1A1A"/>
                <w:sz w:val="18"/>
              </w:rPr>
              <w:t xml:space="preserve">Telaio portante e ordine dei domini</w:t>
            </w:r>
          </w:p>
        </w:tc>
        <w:tc>
          <w:tcPr/>
          <w:p>
            <w:pPr>
              <w:pStyle w:val="Compact"/>
              <w:spacing w:after="40" w:before="40"/>
              <w:jc w:val="left"/>
            </w:pPr>
            <w:r>
              <w:rPr>
                <w:rFonts w:ascii="Cambria" w:hAnsi="Cambria" w:cs="Cambria" w:eastAsia="Cambria"/>
                <w:color w:val="1A1A1A"/>
                <w:sz w:val="18"/>
              </w:rPr>
              <w:t xml:space="preserve">Garantisce la completezza dell’analisi, dalla sicurezza ed efficacia clinica alla valutazione economica e ai profili etico-giuridici e organizzativi.</w:t>
            </w:r>
          </w:p>
        </w:tc>
      </w:tr>
      <w:tr>
        <w:tc>
          <w:tcPr>
            <w:shd w:val="clear" w:color="auto" w:fill="F4F1EC"/>
          </w:tcPr>
          <w:p>
            <w:pPr>
              <w:pStyle w:val="Compact"/>
              <w:spacing w:after="40" w:before="40"/>
              <w:jc w:val="left"/>
            </w:pPr>
            <w:r>
              <w:rPr>
                <w:rFonts w:ascii="Cambria" w:hAnsi="Cambria" w:cs="Cambria" w:eastAsia="Cambria"/>
                <w:color w:val="1A1A1A"/>
                <w:sz w:val="18"/>
              </w:rPr>
              <w:t xml:space="preserve">Modello dei cinque casi</w:t>
            </w:r>
          </w:p>
        </w:tc>
        <w:tc>
          <w:tcPr>
            <w:shd w:val="clear" w:color="auto" w:fill="F4F1EC"/>
          </w:tcPr>
          <w:p>
            <w:pPr>
              <w:pStyle w:val="Compact"/>
              <w:spacing w:after="40" w:before="40"/>
              <w:jc w:val="left"/>
            </w:pPr>
            <w:r>
              <w:rPr>
                <w:rFonts w:ascii="Cambria" w:hAnsi="Cambria" w:cs="Cambria" w:eastAsia="Cambria"/>
                <w:color w:val="1A1A1A"/>
                <w:sz w:val="18"/>
              </w:rPr>
              <w:t xml:space="preserve">Forma della giustificazione dell’investimento pubblico</w:t>
            </w:r>
          </w:p>
        </w:tc>
        <w:tc>
          <w:tcPr>
            <w:shd w:val="clear" w:color="auto" w:fill="F4F1EC"/>
          </w:tcPr>
          <w:p>
            <w:pPr>
              <w:pStyle w:val="Compact"/>
              <w:spacing w:after="40" w:before="40"/>
              <w:jc w:val="left"/>
            </w:pPr>
            <w:r>
              <w:rPr>
                <w:rFonts w:ascii="Cambria" w:hAnsi="Cambria" w:cs="Cambria" w:eastAsia="Cambria"/>
                <w:color w:val="1A1A1A"/>
                <w:sz w:val="18"/>
              </w:rPr>
              <w:t xml:space="preserve">Organizza le evidenze nelle dimensioni strategica, economica, commerciale, finanziaria e gestionale richieste per la decisione amministrativa.</w:t>
            </w:r>
          </w:p>
        </w:tc>
      </w:tr>
      <w:tr>
        <w:tc>
          <w:tcPr/>
          <w:p>
            <w:pPr>
              <w:pStyle w:val="Compact"/>
              <w:spacing w:after="40" w:before="40"/>
              <w:jc w:val="left"/>
            </w:pPr>
            <w:r>
              <w:rPr>
                <w:rFonts w:ascii="Cambria" w:hAnsi="Cambria" w:cs="Cambria" w:eastAsia="Cambria"/>
                <w:color w:val="1A1A1A"/>
                <w:sz w:val="18"/>
              </w:rPr>
              <w:t xml:space="preserve">Standard di rendicontazione delle valutazioni economiche</w:t>
            </w:r>
          </w:p>
        </w:tc>
        <w:tc>
          <w:tcPr/>
          <w:p>
            <w:pPr>
              <w:pStyle w:val="Compact"/>
              <w:spacing w:after="40" w:before="40"/>
              <w:jc w:val="left"/>
            </w:pPr>
            <w:r>
              <w:rPr>
                <w:rFonts w:ascii="Cambria" w:hAnsi="Cambria" w:cs="Cambria" w:eastAsia="Cambria"/>
                <w:color w:val="1A1A1A"/>
                <w:sz w:val="18"/>
              </w:rPr>
              <w:t xml:space="preserve">Regole della trasparenza e della replicabilità</w:t>
            </w:r>
          </w:p>
        </w:tc>
        <w:tc>
          <w:tcPr/>
          <w:p>
            <w:pPr>
              <w:pStyle w:val="Compact"/>
              <w:spacing w:after="40" w:before="40"/>
              <w:jc w:val="left"/>
            </w:pPr>
            <w:r>
              <w:rPr>
                <w:rFonts w:ascii="Cambria" w:hAnsi="Cambria" w:cs="Cambria" w:eastAsia="Cambria"/>
                <w:color w:val="1A1A1A"/>
                <w:sz w:val="18"/>
              </w:rPr>
              <w:t xml:space="preserve">Impone di dichiarare prospettiva, orizzonte, sconto, fonti e metodi dell’incertezza, rendendo ogni stima verificabile e contestabile.</w:t>
            </w:r>
          </w:p>
        </w:tc>
      </w:tr>
      <w:tr>
        <w:tc>
          <w:tcPr>
            <w:shd w:val="clear" w:color="auto" w:fill="F4F1EC"/>
          </w:tcPr>
          <w:p>
            <w:pPr>
              <w:pStyle w:val="Compact"/>
              <w:spacing w:after="40" w:before="40"/>
              <w:jc w:val="left"/>
            </w:pPr>
            <w:r>
              <w:rPr>
                <w:rFonts w:ascii="Cambria" w:hAnsi="Cambria" w:cs="Cambria" w:eastAsia="Cambria"/>
                <w:color w:val="1A1A1A"/>
                <w:sz w:val="18"/>
              </w:rPr>
              <w:t xml:space="preserve">Criteri di valutazione delle politiche pubbliche</w:t>
            </w:r>
          </w:p>
        </w:tc>
        <w:tc>
          <w:tcPr>
            <w:shd w:val="clear" w:color="auto" w:fill="F4F1EC"/>
          </w:tcPr>
          <w:p>
            <w:pPr>
              <w:pStyle w:val="Compact"/>
              <w:spacing w:after="40" w:before="40"/>
              <w:jc w:val="left"/>
            </w:pPr>
            <w:r>
              <w:rPr>
                <w:rFonts w:ascii="Cambria" w:hAnsi="Cambria" w:cs="Cambria" w:eastAsia="Cambria"/>
                <w:color w:val="1A1A1A"/>
                <w:sz w:val="18"/>
              </w:rPr>
              <w:t xml:space="preserve">Parametri del giudizio complessivo</w:t>
            </w:r>
          </w:p>
        </w:tc>
        <w:tc>
          <w:tcPr>
            <w:shd w:val="clear" w:color="auto" w:fill="F4F1EC"/>
          </w:tcPr>
          <w:p>
            <w:pPr>
              <w:pStyle w:val="Compact"/>
              <w:spacing w:after="40" w:before="40"/>
              <w:jc w:val="left"/>
            </w:pPr>
            <w:r>
              <w:rPr>
                <w:rFonts w:ascii="Cambria" w:hAnsi="Cambria" w:cs="Cambria" w:eastAsia="Cambria"/>
                <w:color w:val="1A1A1A"/>
                <w:sz w:val="18"/>
              </w:rPr>
              <w:t xml:space="preserve">Estende la valutazione a rilevanza, coerenza, efficacia, efficienza, impatto e sostenibilità della riforma.</w:t>
            </w:r>
          </w:p>
        </w:tc>
      </w:tr>
    </w:tbl>
    <w:p>
      <w:pPr>
        <w:pStyle w:val="BodyText"/>
      </w:pPr>
      <w:r>
        <w:t xml:space="preserve">Le quattro cornici, così composte, costituiscono la parte invariante del telaio, comune allo studio pugliese e alla sua generalizzazione alle altre Regioni. Esse non mutano al mutare dei dati di ingresso, e proprio in ciò risiede la loro funzione: assicurare che venti studi regionali, alimentati da dati diversi, restino confrontabili perché generati dal medesimo procedimento. Su questo fondamento stabile si innestano le metodologie operative, alle quali è dedicata la voce seguente.</w:t>
      </w:r>
    </w:p>
    <w:bookmarkEnd w:id="41"/>
    <w:bookmarkStart w:id="42" w:name="Xdd3edeb5ff19c0f9fe75be95050adabf9aee553"/>
    <w:p>
      <w:pPr>
        <w:pStyle w:val="Heading3"/>
      </w:pPr>
      <w:r>
        <w:rPr>
          <w:b/>
          <w:bCs/>
        </w:rPr>
        <w:t xml:space="preserve">1.4 Le metodologie innestate per la rinegoziazione</w:t>
      </w:r>
    </w:p>
    <w:p>
      <w:pPr>
        <w:pStyle w:val="FirstParagraph"/>
      </w:pPr>
      <w:r>
        <w:t xml:space="preserve">Le cornici apicali ordinano la valutazione; le metodologie innestate la eseguono. La rinegoziazione dei costi e dei benefici richiede infatti un insieme di strumenti di misura, ciascuno specializzato in una grandezza determinata, che operano entro i domini stabiliti dal telaio e i cui risultati confluiscono nel saldo finale. Tali metodologie non sono alternative tra cui scegliere, ma componenti che si integrano, a condizione che il loro impiego sia governato dalla regola di non duplicazione, alla quale è dedicata la voce successiva. Si espongono qui le metodologie adottate, raggruppate per funzione.</w:t>
      </w:r>
    </w:p>
    <w:p>
      <w:pPr>
        <w:pStyle w:val="BodyText"/>
      </w:pPr>
      <w:r>
        <w:t xml:space="preserve">Il nucleo della valutazione economica è costituito da tre metodologie congiunte. L’analisi costo-beneficio esprime in termini monetari sia i costi sia i benefici, consentendo il confronto diretto tra grandezze eterogenee e il calcolo di un saldo e di un rapporto tra benefici e costi. L’analisi costo-efficacia rapporta i costi agli esiti clinici espressi in unità naturali, quali i casi evitati o i sintomi ridotti. L’analisi costo-utilità, infine, misura gli esiti in anni di vita ponderati per la qualità, l’indicatore che consente di confrontare interventi rivolti a condizioni diverse e di calcolare il rapporto incrementale costo-efficacia, ossia il costo per unità di salute guadagnata. Nell’opera, queste tre metodologie misurano rispettivamente il valore monetario complessivo, l’efficienza clinica e l’efficienza in salute della riforma.75</w:t>
      </w:r>
    </w:p>
    <w:p>
      <w:pPr>
        <w:pStyle w:val="BodyText"/>
      </w:pPr>
      <w:r>
        <w:t xml:space="preserve">Alla valutazione dell’efficienza si affianca quella della sostenibilità, affidata all’analisi di impatto di bilancio. Mentre le metodologie precedenti stabiliscono se la riforma convenga, l’analisi di impatto di bilancio stabilisce se essa sia sostenibile per il bilancio sanitario regionale, anno per anno, alle diverse ipotesi di copertura. Essa misura la variazione netta della spesa a carico del sistema, distinguendo gli esborsi dai risparmi e collocandoli nel tempo, ed è perciò la metodologia che traduce il valore economico in compatibilità finanziaria.</w:t>
      </w:r>
    </w:p>
    <w:p>
      <w:pPr>
        <w:pStyle w:val="BodyText"/>
      </w:pPr>
      <w:r>
        <w:t xml:space="preserve">Il valore che eccede il bilancio sanitario, ricadendo sulla collettività, è misurato dal rendimento sociale dell’investimento. Questa metodologia attribuisce un valore monetario agli esiti sociali della riforma — il ritorno al lavoro, la riduzione del carico sui familiari, il benessere recuperato — e li rapporta alle risorse impiegate, restituendo un rapporto tra valore sociale generato e investimento. Nell’opera, il rendimento sociale dell’investimento è lo strumento che dà misura alle grandezze indirette del perimetro integrale, e il suo impiego è tenuto rigorosamente separato da quello delle metodologie che misurano i risparmi fiscali diretti, per impedire ogni duplicazione.11</w:t>
      </w:r>
    </w:p>
    <w:p>
      <w:pPr>
        <w:pStyle w:val="BodyText"/>
      </w:pPr>
      <w:r>
        <w:t xml:space="preserve">La proiezione nel tempo e il trattamento dell’incertezza sono affidati a due metodologie complementari. I modelli di Markov e la microsimulazione rappresentano il decorso delle condizioni cliniche come una successione di stati e di transizioni, consentendo di stimare gli esiti e i costi lungo l’intero orizzonte e non soltanto nel breve periodo. L’analisi di sensibilità probabilistica sottopone i risultati alla variazione simultanea dei parametri, restituendo non un valore puntuale ma una distribuzione di esiti possibili, con la probabilità che la riforma risulti costo-efficace. Queste metodologie sono ciò che consente all’opera di formulare previsioni in forma di bande, e non di valori secchi, e dunque falsificabili.14</w:t>
      </w:r>
    </w:p>
    <w:p>
      <w:pPr>
        <w:pStyle w:val="BodyText"/>
      </w:pPr>
      <w:r>
        <w:t xml:space="preserve">Due ulteriori metodologie governano la scelta tra alternative e l’allocazione delle risorse. L’analisi decisionale multi-criterio consente di valutare la riforma e i suoi scenari secondo una pluralità di criteri non riducibili al solo costo, attribuendo a ciascuno un peso esplicito, ed è particolarmente utile laddove il giudizio deve comporre dimensioni economiche, cliniche, etiche e organizzative. La programmazione di bilancio e l’analisi marginale forniscono il metodo per riallocare risorse all’interno di un budget dato, individuando gli impieghi a maggiore rendimento marginale. Entrambe servono, nell’opera, a tradurre la valutazione in indicazioni di dimensionamento e di priorità.</w:t>
      </w:r>
    </w:p>
    <w:p>
      <w:pPr>
        <w:pStyle w:val="BodyText"/>
      </w:pPr>
      <w:r>
        <w:t xml:space="preserve">La valutazione della formazione del personale, pilastro trasversale dell’opera, è affidata ai modelli del ritorno sull’investimento formativo. Il modello di Kirkpatrick articola la valutazione su quattro livelli — la reazione dei discenti, l’apprendimento, il trasferimento dei comportamenti nella pratica e i risultati organizzativi; il modello di Phillips vi aggiunge un quinto livello, che converte i risultati in un rendimento monetario dell’investimento formativo. Queste metodologie consentono di valutare le quattro modalità formative sia singolarmente sia nella loro combinazione, e di confrontarne il rapporto costo-efficacia, in coerenza con l’ordine ricevuto.1213</w:t>
      </w:r>
    </w:p>
    <w:p>
      <w:pPr>
        <w:pStyle w:val="BodyText"/>
      </w:pPr>
      <w:r>
        <w:t xml:space="preserve">Le grandezze indirette legate alla produttività sono misurate con due metodi distinti e non cumulabili: l’approccio del capitale umano, che valuta la perdita di produttività come reddito potenziale perduto per l’intera durata dell’inabilità, e il metodo del costo di attrito, più prudente, che la limita al periodo necessario a sostituire il lavoratore. La disponibilità a pagare consente di attribuire valore a esiti privi di prezzo di mercato, attraverso la preferenza espressa dagli individui. L’analisi delle opzioni reali, infine, valuta il valore della flessibilità — la possibilità di scalare, rinviare o modificare la riforma in funzione delle informazioni che emergono — particolarmente rilevante in un dimensionamento per fasi. Nell’opera, la scelta tra capitale umano e costo di attrito è dichiarata e motivata, e i due metodi non sono mai sommati.15</w:t>
      </w:r>
    </w:p>
    <w:p>
      <w:pPr>
        <w:pStyle w:val="BodyText"/>
      </w:pPr>
      <w:r>
        <w:t xml:space="preserve">L’insieme di queste metodologie non produce una somma di stime indipendenti, ma un sistema coordinato. Ciascuna misura una grandezza determinata entro un dominio determinato; la regola di non duplicazione, esposta nella voce seguente, assicura che le grandezze misurate da metodologie diverse non si sovrappongano e che il saldo finale componga senza duplicare. La tabella che segue riepiloga le metodologie innestate, ciò che ciascuna misura, la sua funzione nella rinegoziazione e i suoi indicatori principali.</w:t>
      </w:r>
    </w:p>
    <w:p>
      <w:pPr>
        <w:pStyle w:val="BodyText"/>
      </w:pPr>
      <w:r>
        <w:rPr>
          <w:b/>
          <w:bCs/>
        </w:rPr>
        <w:t xml:space="preserve">Tabella 1.4 — Le metodologie innestate per la rinegoziazione dei costi e dei benefici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Che cosa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Ruolo nella rinegoziazione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 principali</w:t>
            </w:r>
          </w:p>
        </w:tc>
      </w:tr>
      <w:tr>
        <w:tc>
          <w:tcPr/>
          <w:p>
            <w:pPr>
              <w:pStyle w:val="Compact"/>
              <w:spacing w:after="40" w:before="40"/>
              <w:jc w:val="left"/>
            </w:pPr>
            <w:r>
              <w:rPr>
                <w:rFonts w:ascii="Cambria" w:hAnsi="Cambria" w:cs="Cambria" w:eastAsia="Cambria"/>
                <w:color w:val="1A1A1A"/>
                <w:sz w:val="18"/>
              </w:rPr>
              <w:t xml:space="preserve">Analisi costo-beneficio</w:t>
            </w:r>
          </w:p>
        </w:tc>
        <w:tc>
          <w:tcPr/>
          <w:p>
            <w:pPr>
              <w:pStyle w:val="Compact"/>
              <w:spacing w:after="40" w:before="40"/>
              <w:jc w:val="left"/>
            </w:pPr>
            <w:r>
              <w:rPr>
                <w:rFonts w:ascii="Cambria" w:hAnsi="Cambria" w:cs="Cambria" w:eastAsia="Cambria"/>
                <w:color w:val="1A1A1A"/>
                <w:sz w:val="18"/>
              </w:rPr>
              <w:t xml:space="preserve">Costi e benefici in termini monetari</w:t>
            </w:r>
          </w:p>
        </w:tc>
        <w:tc>
          <w:tcPr/>
          <w:p>
            <w:pPr>
              <w:pStyle w:val="Compact"/>
              <w:spacing w:after="40" w:before="40"/>
              <w:jc w:val="left"/>
            </w:pPr>
            <w:r>
              <w:rPr>
                <w:rFonts w:ascii="Cambria" w:hAnsi="Cambria" w:cs="Cambria" w:eastAsia="Cambria"/>
                <w:color w:val="1A1A1A"/>
                <w:sz w:val="18"/>
              </w:rPr>
              <w:t xml:space="preserve">Confronto diretto e saldo monetario complessivo</w:t>
            </w:r>
          </w:p>
        </w:tc>
        <w:tc>
          <w:tcPr/>
          <w:p>
            <w:pPr>
              <w:pStyle w:val="Compact"/>
              <w:spacing w:after="40" w:before="40"/>
              <w:jc w:val="left"/>
            </w:pPr>
            <w:r>
              <w:rPr>
                <w:rFonts w:ascii="Cambria" w:hAnsi="Cambria" w:cs="Cambria" w:eastAsia="Cambria"/>
                <w:color w:val="1A1A1A"/>
                <w:sz w:val="18"/>
              </w:rPr>
              <w:t xml:space="preserve">Saldo benefici-costi, rapporto benefici/costi</w:t>
            </w:r>
          </w:p>
        </w:tc>
      </w:tr>
      <w:tr>
        <w:tc>
          <w:tcPr>
            <w:shd w:val="clear" w:color="auto" w:fill="F4F1EC"/>
          </w:tcPr>
          <w:p>
            <w:pPr>
              <w:pStyle w:val="Compact"/>
              <w:spacing w:after="40" w:before="40"/>
              <w:jc w:val="left"/>
            </w:pPr>
            <w:r>
              <w:rPr>
                <w:rFonts w:ascii="Cambria" w:hAnsi="Cambria" w:cs="Cambria" w:eastAsia="Cambria"/>
                <w:color w:val="1A1A1A"/>
                <w:sz w:val="18"/>
              </w:rPr>
              <w:t xml:space="preserve">Analisi costo-efficacia</w:t>
            </w:r>
          </w:p>
        </w:tc>
        <w:tc>
          <w:tcPr>
            <w:shd w:val="clear" w:color="auto" w:fill="F4F1EC"/>
          </w:tcPr>
          <w:p>
            <w:pPr>
              <w:pStyle w:val="Compact"/>
              <w:spacing w:after="40" w:before="40"/>
              <w:jc w:val="left"/>
            </w:pPr>
            <w:r>
              <w:rPr>
                <w:rFonts w:ascii="Cambria" w:hAnsi="Cambria" w:cs="Cambria" w:eastAsia="Cambria"/>
                <w:color w:val="1A1A1A"/>
                <w:sz w:val="18"/>
              </w:rPr>
              <w:t xml:space="preserve">Costi rapportati a esiti clinici naturali</w:t>
            </w:r>
          </w:p>
        </w:tc>
        <w:tc>
          <w:tcPr>
            <w:shd w:val="clear" w:color="auto" w:fill="F4F1EC"/>
          </w:tcPr>
          <w:p>
            <w:pPr>
              <w:pStyle w:val="Compact"/>
              <w:spacing w:after="40" w:before="40"/>
              <w:jc w:val="left"/>
            </w:pPr>
            <w:r>
              <w:rPr>
                <w:rFonts w:ascii="Cambria" w:hAnsi="Cambria" w:cs="Cambria" w:eastAsia="Cambria"/>
                <w:color w:val="1A1A1A"/>
                <w:sz w:val="18"/>
              </w:rPr>
              <w:t xml:space="preserve">Efficienza clinica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Costo per caso evitato o per sintomo ridotto</w:t>
            </w:r>
          </w:p>
        </w:tc>
      </w:tr>
      <w:tr>
        <w:tc>
          <w:tcPr/>
          <w:p>
            <w:pPr>
              <w:pStyle w:val="Compact"/>
              <w:spacing w:after="40" w:before="40"/>
              <w:jc w:val="left"/>
            </w:pPr>
            <w:r>
              <w:rPr>
                <w:rFonts w:ascii="Cambria" w:hAnsi="Cambria" w:cs="Cambria" w:eastAsia="Cambria"/>
                <w:color w:val="1A1A1A"/>
                <w:sz w:val="18"/>
              </w:rPr>
              <w:t xml:space="preserve">Analisi costo-utilità</w:t>
            </w:r>
          </w:p>
        </w:tc>
        <w:tc>
          <w:tcPr/>
          <w:p>
            <w:pPr>
              <w:pStyle w:val="Compact"/>
              <w:spacing w:after="40" w:before="40"/>
              <w:jc w:val="left"/>
            </w:pPr>
            <w:r>
              <w:rPr>
                <w:rFonts w:ascii="Cambria" w:hAnsi="Cambria" w:cs="Cambria" w:eastAsia="Cambria"/>
                <w:color w:val="1A1A1A"/>
                <w:sz w:val="18"/>
              </w:rPr>
              <w:t xml:space="preserve">Esiti in anni di vita ponderati per la qualità</w:t>
            </w:r>
          </w:p>
        </w:tc>
        <w:tc>
          <w:tcPr/>
          <w:p>
            <w:pPr>
              <w:pStyle w:val="Compact"/>
              <w:spacing w:after="40" w:before="40"/>
              <w:jc w:val="left"/>
            </w:pPr>
            <w:r>
              <w:rPr>
                <w:rFonts w:ascii="Cambria" w:hAnsi="Cambria" w:cs="Cambria" w:eastAsia="Cambria"/>
                <w:color w:val="1A1A1A"/>
                <w:sz w:val="18"/>
              </w:rPr>
              <w:t xml:space="preserve">Efficienza in salute e confrontabilità tra condizioni</w:t>
            </w:r>
          </w:p>
        </w:tc>
        <w:tc>
          <w:tcPr/>
          <w:p>
            <w:pPr>
              <w:pStyle w:val="Compact"/>
              <w:spacing w:after="40" w:before="40"/>
              <w:jc w:val="left"/>
            </w:pPr>
            <w:r>
              <w:rPr>
                <w:rFonts w:ascii="Cambria" w:hAnsi="Cambria" w:cs="Cambria" w:eastAsia="Cambria"/>
                <w:color w:val="1A1A1A"/>
                <w:sz w:val="18"/>
              </w:rPr>
              <w:t xml:space="preserve">QALY guadagnati, rapporto incrementale costo-efficacia</w:t>
            </w:r>
          </w:p>
        </w:tc>
      </w:tr>
      <w:tr>
        <w:tc>
          <w:tcPr>
            <w:shd w:val="clear" w:color="auto" w:fill="F4F1EC"/>
          </w:tcPr>
          <w:p>
            <w:pPr>
              <w:pStyle w:val="Compact"/>
              <w:spacing w:after="40" w:before="40"/>
              <w:jc w:val="left"/>
            </w:pPr>
            <w:r>
              <w:rPr>
                <w:rFonts w:ascii="Cambria" w:hAnsi="Cambria" w:cs="Cambria" w:eastAsia="Cambria"/>
                <w:color w:val="1A1A1A"/>
                <w:sz w:val="18"/>
              </w:rPr>
              <w:t xml:space="preserve">Analisi di impatto di bilancio</w:t>
            </w:r>
          </w:p>
        </w:tc>
        <w:tc>
          <w:tcPr>
            <w:shd w:val="clear" w:color="auto" w:fill="F4F1EC"/>
          </w:tcPr>
          <w:p>
            <w:pPr>
              <w:pStyle w:val="Compact"/>
              <w:spacing w:after="40" w:before="40"/>
              <w:jc w:val="left"/>
            </w:pPr>
            <w:r>
              <w:rPr>
                <w:rFonts w:ascii="Cambria" w:hAnsi="Cambria" w:cs="Cambria" w:eastAsia="Cambria"/>
                <w:color w:val="1A1A1A"/>
                <w:sz w:val="18"/>
              </w:rPr>
              <w:t xml:space="preserve">Variazione netta della spesa sanitaria nel tempo</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c>
          <w:tcPr>
            <w:shd w:val="clear" w:color="auto" w:fill="F4F1EC"/>
          </w:tcPr>
          <w:p>
            <w:pPr>
              <w:pStyle w:val="Compact"/>
              <w:spacing w:after="40" w:before="40"/>
              <w:jc w:val="left"/>
            </w:pPr>
            <w:r>
              <w:rPr>
                <w:rFonts w:ascii="Cambria" w:hAnsi="Cambria" w:cs="Cambria" w:eastAsia="Cambria"/>
                <w:color w:val="1A1A1A"/>
                <w:sz w:val="18"/>
              </w:rPr>
              <w:t xml:space="preserve">Impatto annuo netto per scenario di copertura</w:t>
            </w:r>
          </w:p>
        </w:tc>
      </w:tr>
      <w:tr>
        <w:tc>
          <w:tcPr/>
          <w:p>
            <w:pPr>
              <w:pStyle w:val="Compact"/>
              <w:spacing w:after="40" w:before="40"/>
              <w:jc w:val="left"/>
            </w:pPr>
            <w:r>
              <w:rPr>
                <w:rFonts w:ascii="Cambria" w:hAnsi="Cambria" w:cs="Cambria" w:eastAsia="Cambria"/>
                <w:color w:val="1A1A1A"/>
                <w:sz w:val="18"/>
              </w:rPr>
              <w:t xml:space="preserve">Rendimento sociale dell’investimento</w:t>
            </w:r>
          </w:p>
        </w:tc>
        <w:tc>
          <w:tcPr/>
          <w:p>
            <w:pPr>
              <w:pStyle w:val="Compact"/>
              <w:spacing w:after="40" w:before="40"/>
              <w:jc w:val="left"/>
            </w:pPr>
            <w:r>
              <w:rPr>
                <w:rFonts w:ascii="Cambria" w:hAnsi="Cambria" w:cs="Cambria" w:eastAsia="Cambria"/>
                <w:color w:val="1A1A1A"/>
                <w:sz w:val="18"/>
              </w:rPr>
              <w:t xml:space="preserve">Valore monetario degli esiti sociali</w:t>
            </w:r>
          </w:p>
        </w:tc>
        <w:tc>
          <w:tcPr/>
          <w:p>
            <w:pPr>
              <w:pStyle w:val="Compact"/>
              <w:spacing w:after="40" w:before="40"/>
              <w:jc w:val="left"/>
            </w:pPr>
            <w:r>
              <w:rPr>
                <w:rFonts w:ascii="Cambria" w:hAnsi="Cambria" w:cs="Cambria" w:eastAsia="Cambria"/>
                <w:color w:val="1A1A1A"/>
                <w:sz w:val="18"/>
              </w:rPr>
              <w:t xml:space="preserve">Misura delle grandezze indirette, separata dai risparmi diretti</w:t>
            </w:r>
          </w:p>
        </w:tc>
        <w:tc>
          <w:tcPr/>
          <w:p>
            <w:pPr>
              <w:pStyle w:val="Compact"/>
              <w:spacing w:after="40" w:before="40"/>
              <w:jc w:val="left"/>
            </w:pPr>
            <w:r>
              <w:rPr>
                <w:rFonts w:ascii="Cambria" w:hAnsi="Cambria" w:cs="Cambria" w:eastAsia="Cambria"/>
                <w:color w:val="1A1A1A"/>
                <w:sz w:val="18"/>
              </w:rPr>
              <w:t xml:space="preserve">Rapporto valore sociale/investimento</w:t>
            </w:r>
          </w:p>
        </w:tc>
      </w:tr>
      <w:tr>
        <w:tc>
          <w:tcPr>
            <w:shd w:val="clear" w:color="auto" w:fill="F4F1EC"/>
          </w:tcPr>
          <w:p>
            <w:pPr>
              <w:pStyle w:val="Compact"/>
              <w:spacing w:after="40" w:before="40"/>
              <w:jc w:val="left"/>
            </w:pPr>
            <w:r>
              <w:rPr>
                <w:rFonts w:ascii="Cambria" w:hAnsi="Cambria" w:cs="Cambria" w:eastAsia="Cambria"/>
                <w:color w:val="1A1A1A"/>
                <w:sz w:val="18"/>
              </w:rPr>
              <w:t xml:space="preserve">Modelli di Markov e microsimulazione</w:t>
            </w:r>
          </w:p>
        </w:tc>
        <w:tc>
          <w:tcPr>
            <w:shd w:val="clear" w:color="auto" w:fill="F4F1EC"/>
          </w:tcPr>
          <w:p>
            <w:pPr>
              <w:pStyle w:val="Compact"/>
              <w:spacing w:after="40" w:before="40"/>
              <w:jc w:val="left"/>
            </w:pPr>
            <w:r>
              <w:rPr>
                <w:rFonts w:ascii="Cambria" w:hAnsi="Cambria" w:cs="Cambria" w:eastAsia="Cambria"/>
                <w:color w:val="1A1A1A"/>
                <w:sz w:val="18"/>
              </w:rPr>
              <w:t xml:space="preserve">Decorso clinico come stati e transizioni</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esiti e costi sull’orizzonte</w:t>
            </w:r>
          </w:p>
        </w:tc>
        <w:tc>
          <w:tcPr>
            <w:shd w:val="clear" w:color="auto" w:fill="F4F1EC"/>
          </w:tcPr>
          <w:p>
            <w:pPr>
              <w:pStyle w:val="Compact"/>
              <w:spacing w:after="40" w:before="40"/>
              <w:jc w:val="left"/>
            </w:pPr>
            <w:r>
              <w:rPr>
                <w:rFonts w:ascii="Cambria" w:hAnsi="Cambria" w:cs="Cambria" w:eastAsia="Cambria"/>
                <w:color w:val="1A1A1A"/>
                <w:sz w:val="18"/>
              </w:rPr>
              <w:t xml:space="preserve">Costo per paziente, QALY, esiti a lungo termine</w:t>
            </w:r>
          </w:p>
        </w:tc>
      </w:tr>
      <w:tr>
        <w:tc>
          <w:tcPr/>
          <w:p>
            <w:pPr>
              <w:pStyle w:val="Compact"/>
              <w:spacing w:after="40" w:before="40"/>
              <w:jc w:val="left"/>
            </w:pPr>
            <w:r>
              <w:rPr>
                <w:rFonts w:ascii="Cambria" w:hAnsi="Cambria" w:cs="Cambria" w:eastAsia="Cambria"/>
                <w:color w:val="1A1A1A"/>
                <w:sz w:val="18"/>
              </w:rPr>
              <w:t xml:space="preserve">Analisi di sensibilità probabilistica</w:t>
            </w:r>
          </w:p>
        </w:tc>
        <w:tc>
          <w:tcPr/>
          <w:p>
            <w:pPr>
              <w:pStyle w:val="Compact"/>
              <w:spacing w:after="40" w:before="40"/>
              <w:jc w:val="left"/>
            </w:pPr>
            <w:r>
              <w:rPr>
                <w:rFonts w:ascii="Cambria" w:hAnsi="Cambria" w:cs="Cambria" w:eastAsia="Cambria"/>
                <w:color w:val="1A1A1A"/>
                <w:sz w:val="18"/>
              </w:rPr>
              <w:t xml:space="preserve">Effetto della variazione simultanea dei parametri</w:t>
            </w:r>
          </w:p>
        </w:tc>
        <w:tc>
          <w:tcPr/>
          <w:p>
            <w:pPr>
              <w:pStyle w:val="Compact"/>
              <w:spacing w:after="40" w:before="40"/>
              <w:jc w:val="left"/>
            </w:pPr>
            <w:r>
              <w:rPr>
                <w:rFonts w:ascii="Cambria" w:hAnsi="Cambria" w:cs="Cambria" w:eastAsia="Cambria"/>
                <w:color w:val="1A1A1A"/>
                <w:sz w:val="18"/>
              </w:rPr>
              <w:t xml:space="preserve">Trattamento dell’incertezza e falsificabilità</w:t>
            </w:r>
          </w:p>
        </w:tc>
        <w:tc>
          <w:tcPr/>
          <w:p>
            <w:pPr>
              <w:pStyle w:val="Compact"/>
              <w:spacing w:after="40" w:before="40"/>
              <w:jc w:val="left"/>
            </w:pPr>
            <w:r>
              <w:rPr>
                <w:rFonts w:ascii="Cambria" w:hAnsi="Cambria" w:cs="Cambria" w:eastAsia="Cambria"/>
                <w:color w:val="1A1A1A"/>
                <w:sz w:val="18"/>
              </w:rPr>
              <w:t xml:space="preserve">Probabilità di costo-efficacia, intervalli di confidenza</w:t>
            </w:r>
          </w:p>
        </w:tc>
      </w:tr>
      <w:tr>
        <w:tc>
          <w:tcPr>
            <w:shd w:val="clear" w:color="auto" w:fill="F4F1EC"/>
          </w:tcPr>
          <w:p>
            <w:pPr>
              <w:pStyle w:val="Compact"/>
              <w:spacing w:after="40" w:before="40"/>
              <w:jc w:val="left"/>
            </w:pPr>
            <w:r>
              <w:rPr>
                <w:rFonts w:ascii="Cambria" w:hAnsi="Cambria" w:cs="Cambria" w:eastAsia="Cambria"/>
                <w:color w:val="1A1A1A"/>
                <w:sz w:val="18"/>
              </w:rPr>
              <w:t xml:space="preserve">Analisi decisionale multi-criterio</w:t>
            </w:r>
          </w:p>
        </w:tc>
        <w:tc>
          <w:tcPr>
            <w:shd w:val="clear" w:color="auto" w:fill="F4F1EC"/>
          </w:tcPr>
          <w:p>
            <w:pPr>
              <w:pStyle w:val="Compact"/>
              <w:spacing w:after="40" w:before="40"/>
              <w:jc w:val="left"/>
            </w:pPr>
            <w:r>
              <w:rPr>
                <w:rFonts w:ascii="Cambria" w:hAnsi="Cambria" w:cs="Cambria" w:eastAsia="Cambria"/>
                <w:color w:val="1A1A1A"/>
                <w:sz w:val="18"/>
              </w:rPr>
              <w:t xml:space="preserve">Valore secondo criteri molteplici e pesati</w:t>
            </w:r>
          </w:p>
        </w:tc>
        <w:tc>
          <w:tcPr>
            <w:shd w:val="clear" w:color="auto" w:fill="F4F1EC"/>
          </w:tcPr>
          <w:p>
            <w:pPr>
              <w:pStyle w:val="Compact"/>
              <w:spacing w:after="40" w:before="40"/>
              <w:jc w:val="left"/>
            </w:pPr>
            <w:r>
              <w:rPr>
                <w:rFonts w:ascii="Cambria" w:hAnsi="Cambria" w:cs="Cambria" w:eastAsia="Cambria"/>
                <w:color w:val="1A1A1A"/>
                <w:sz w:val="18"/>
              </w:rPr>
              <w:t xml:space="preserve">Scelta tra scenari e composizione dei criteri</w:t>
            </w:r>
          </w:p>
        </w:tc>
        <w:tc>
          <w:tcPr>
            <w:shd w:val="clear" w:color="auto" w:fill="F4F1EC"/>
          </w:tcPr>
          <w:p>
            <w:pPr>
              <w:pStyle w:val="Compact"/>
              <w:spacing w:after="40" w:before="40"/>
              <w:jc w:val="left"/>
            </w:pPr>
            <w:r>
              <w:rPr>
                <w:rFonts w:ascii="Cambria" w:hAnsi="Cambria" w:cs="Cambria" w:eastAsia="Cambria"/>
                <w:color w:val="1A1A1A"/>
                <w:sz w:val="18"/>
              </w:rPr>
              <w:t xml:space="preserve">Punteggio multi-criterio ponderato</w:t>
            </w:r>
          </w:p>
        </w:tc>
      </w:tr>
      <w:tr>
        <w:tc>
          <w:tcPr/>
          <w:p>
            <w:pPr>
              <w:pStyle w:val="Compact"/>
              <w:spacing w:after="40" w:before="40"/>
              <w:jc w:val="left"/>
            </w:pPr>
            <w:r>
              <w:rPr>
                <w:rFonts w:ascii="Cambria" w:hAnsi="Cambria" w:cs="Cambria" w:eastAsia="Cambria"/>
                <w:color w:val="1A1A1A"/>
                <w:sz w:val="18"/>
              </w:rPr>
              <w:t xml:space="preserve">Programmazione di bilancio e analisi marginale</w:t>
            </w:r>
          </w:p>
        </w:tc>
        <w:tc>
          <w:tcPr/>
          <w:p>
            <w:pPr>
              <w:pStyle w:val="Compact"/>
              <w:spacing w:after="40" w:before="40"/>
              <w:jc w:val="left"/>
            </w:pPr>
            <w:r>
              <w:rPr>
                <w:rFonts w:ascii="Cambria" w:hAnsi="Cambria" w:cs="Cambria" w:eastAsia="Cambria"/>
                <w:color w:val="1A1A1A"/>
                <w:sz w:val="18"/>
              </w:rPr>
              <w:t xml:space="preserve">Rendimento marginale degli impieghi</w:t>
            </w:r>
          </w:p>
        </w:tc>
        <w:tc>
          <w:tcPr/>
          <w:p>
            <w:pPr>
              <w:pStyle w:val="Compact"/>
              <w:spacing w:after="40" w:before="40"/>
              <w:jc w:val="left"/>
            </w:pPr>
            <w:r>
              <w:rPr>
                <w:rFonts w:ascii="Cambria" w:hAnsi="Cambria" w:cs="Cambria" w:eastAsia="Cambria"/>
                <w:color w:val="1A1A1A"/>
                <w:sz w:val="18"/>
              </w:rPr>
              <w:t xml:space="preserve">Riallocazione entro un budget dato</w:t>
            </w:r>
          </w:p>
        </w:tc>
        <w:tc>
          <w:tcPr/>
          <w:p>
            <w:pPr>
              <w:pStyle w:val="Compact"/>
              <w:spacing w:after="40" w:before="40"/>
              <w:jc w:val="left"/>
            </w:pPr>
            <w:r>
              <w:rPr>
                <w:rFonts w:ascii="Cambria" w:hAnsi="Cambria" w:cs="Cambria" w:eastAsia="Cambria"/>
                <w:color w:val="1A1A1A"/>
                <w:sz w:val="18"/>
              </w:rPr>
              <w:t xml:space="preserve">Rendimento marginale per impiego</w:t>
            </w:r>
          </w:p>
        </w:tc>
      </w:tr>
      <w:tr>
        <w:tc>
          <w:tcPr>
            <w:shd w:val="clear" w:color="auto" w:fill="F4F1EC"/>
          </w:tcPr>
          <w:p>
            <w:pPr>
              <w:pStyle w:val="Compact"/>
              <w:spacing w:after="40" w:before="40"/>
              <w:jc w:val="left"/>
            </w:pPr>
            <w:r>
              <w:rPr>
                <w:rFonts w:ascii="Cambria" w:hAnsi="Cambria" w:cs="Cambria" w:eastAsia="Cambria"/>
                <w:color w:val="1A1A1A"/>
                <w:sz w:val="18"/>
              </w:rPr>
              <w:t xml:space="preserve">Ritorno sull’investimento formativo (Kirkpatrick, Phillips)</w:t>
            </w:r>
          </w:p>
        </w:tc>
        <w:tc>
          <w:tcPr>
            <w:shd w:val="clear" w:color="auto" w:fill="F4F1EC"/>
          </w:tcPr>
          <w:p>
            <w:pPr>
              <w:pStyle w:val="Compact"/>
              <w:spacing w:after="40" w:before="40"/>
              <w:jc w:val="left"/>
            </w:pPr>
            <w:r>
              <w:rPr>
                <w:rFonts w:ascii="Cambria" w:hAnsi="Cambria" w:cs="Cambria" w:eastAsia="Cambria"/>
                <w:color w:val="1A1A1A"/>
                <w:sz w:val="18"/>
              </w:rPr>
              <w:t xml:space="preserve">Effetti della formazione su cinque livelli</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delle quattro modalità, singole e combinate</w:t>
            </w:r>
          </w:p>
        </w:tc>
        <w:tc>
          <w:tcPr>
            <w:shd w:val="clear" w:color="auto" w:fill="F4F1EC"/>
          </w:tcPr>
          <w:p>
            <w:pPr>
              <w:pStyle w:val="Compact"/>
              <w:spacing w:after="40" w:before="40"/>
              <w:jc w:val="left"/>
            </w:pPr>
            <w:r>
              <w:rPr>
                <w:rFonts w:ascii="Cambria" w:hAnsi="Cambria" w:cs="Cambria" w:eastAsia="Cambria"/>
                <w:color w:val="1A1A1A"/>
                <w:sz w:val="18"/>
              </w:rPr>
              <w:t xml:space="preserve">Tasso di ritorno formativo, livelli di Kirkpatrick</w:t>
            </w:r>
          </w:p>
        </w:tc>
      </w:tr>
      <w:tr>
        <w:tc>
          <w:tcPr/>
          <w:p>
            <w:pPr>
              <w:pStyle w:val="Compact"/>
              <w:spacing w:after="40" w:before="40"/>
              <w:jc w:val="left"/>
            </w:pPr>
            <w:r>
              <w:rPr>
                <w:rFonts w:ascii="Cambria" w:hAnsi="Cambria" w:cs="Cambria" w:eastAsia="Cambria"/>
                <w:color w:val="1A1A1A"/>
                <w:sz w:val="18"/>
              </w:rPr>
              <w:t xml:space="preserve">Approccio del capitale umano</w:t>
            </w:r>
          </w:p>
        </w:tc>
        <w:tc>
          <w:tcPr/>
          <w:p>
            <w:pPr>
              <w:pStyle w:val="Compact"/>
              <w:spacing w:after="40" w:before="40"/>
              <w:jc w:val="left"/>
            </w:pPr>
            <w:r>
              <w:rPr>
                <w:rFonts w:ascii="Cambria" w:hAnsi="Cambria" w:cs="Cambria" w:eastAsia="Cambria"/>
                <w:color w:val="1A1A1A"/>
                <w:sz w:val="18"/>
              </w:rPr>
              <w:t xml:space="preserve">Produttività perduta come reddito potenziale</w:t>
            </w:r>
          </w:p>
        </w:tc>
        <w:tc>
          <w:tcPr/>
          <w:p>
            <w:pPr>
              <w:pStyle w:val="Compact"/>
              <w:spacing w:after="40" w:before="40"/>
              <w:jc w:val="left"/>
            </w:pPr>
            <w:r>
              <w:rPr>
                <w:rFonts w:ascii="Cambria" w:hAnsi="Cambria" w:cs="Cambria" w:eastAsia="Cambria"/>
                <w:color w:val="1A1A1A"/>
                <w:sz w:val="18"/>
              </w:rPr>
              <w:t xml:space="preserve">Stima massimale delle perdite indirette</w:t>
            </w:r>
          </w:p>
        </w:tc>
        <w:tc>
          <w:tcPr/>
          <w:p>
            <w:pPr>
              <w:pStyle w:val="Compact"/>
              <w:spacing w:after="40" w:before="40"/>
              <w:jc w:val="left"/>
            </w:pPr>
            <w:r>
              <w:rPr>
                <w:rFonts w:ascii="Cambria" w:hAnsi="Cambria" w:cs="Cambria" w:eastAsia="Cambria"/>
                <w:color w:val="1A1A1A"/>
                <w:sz w:val="18"/>
              </w:rPr>
              <w:t xml:space="preserve">Valore della produttività perduta</w:t>
            </w:r>
          </w:p>
        </w:tc>
      </w:tr>
      <w:tr>
        <w:tc>
          <w:tcPr>
            <w:shd w:val="clear" w:color="auto" w:fill="F4F1EC"/>
          </w:tcPr>
          <w:p>
            <w:pPr>
              <w:pStyle w:val="Compact"/>
              <w:spacing w:after="40" w:before="40"/>
              <w:jc w:val="left"/>
            </w:pPr>
            <w:r>
              <w:rPr>
                <w:rFonts w:ascii="Cambria" w:hAnsi="Cambria" w:cs="Cambria" w:eastAsia="Cambria"/>
                <w:color w:val="1A1A1A"/>
                <w:sz w:val="18"/>
              </w:rPr>
              <w:t xml:space="preserve">Metodo del costo di attrito</w:t>
            </w:r>
          </w:p>
        </w:tc>
        <w:tc>
          <w:tcPr>
            <w:shd w:val="clear" w:color="auto" w:fill="F4F1EC"/>
          </w:tcPr>
          <w:p>
            <w:pPr>
              <w:pStyle w:val="Compact"/>
              <w:spacing w:after="40" w:before="40"/>
              <w:jc w:val="left"/>
            </w:pPr>
            <w:r>
              <w:rPr>
                <w:rFonts w:ascii="Cambria" w:hAnsi="Cambria" w:cs="Cambria" w:eastAsia="Cambria"/>
                <w:color w:val="1A1A1A"/>
                <w:sz w:val="18"/>
              </w:rPr>
              <w:t xml:space="preserve">Produttività perduta fino alla sostituzione</w:t>
            </w:r>
          </w:p>
        </w:tc>
        <w:tc>
          <w:tcPr>
            <w:shd w:val="clear" w:color="auto" w:fill="F4F1EC"/>
          </w:tcPr>
          <w:p>
            <w:pPr>
              <w:pStyle w:val="Compact"/>
              <w:spacing w:after="40" w:before="40"/>
              <w:jc w:val="left"/>
            </w:pPr>
            <w:r>
              <w:rPr>
                <w:rFonts w:ascii="Cambria" w:hAnsi="Cambria" w:cs="Cambria" w:eastAsia="Cambria"/>
                <w:color w:val="1A1A1A"/>
                <w:sz w:val="18"/>
              </w:rPr>
              <w:t xml:space="preserve">Stima prudenziale delle perdite indirette</w:t>
            </w:r>
          </w:p>
        </w:tc>
        <w:tc>
          <w:tcPr>
            <w:shd w:val="clear" w:color="auto" w:fill="F4F1EC"/>
          </w:tcPr>
          <w:p>
            <w:pPr>
              <w:pStyle w:val="Compact"/>
              <w:spacing w:after="40" w:before="40"/>
              <w:jc w:val="left"/>
            </w:pPr>
            <w:r>
              <w:rPr>
                <w:rFonts w:ascii="Cambria" w:hAnsi="Cambria" w:cs="Cambria" w:eastAsia="Cambria"/>
                <w:color w:val="1A1A1A"/>
                <w:sz w:val="18"/>
              </w:rPr>
              <w:t xml:space="preserve">Costo del periodo di attrito</w:t>
            </w:r>
          </w:p>
        </w:tc>
      </w:tr>
      <w:tr>
        <w:tc>
          <w:tcPr/>
          <w:p>
            <w:pPr>
              <w:pStyle w:val="Compact"/>
              <w:spacing w:after="40" w:before="40"/>
              <w:jc w:val="left"/>
            </w:pPr>
            <w:r>
              <w:rPr>
                <w:rFonts w:ascii="Cambria" w:hAnsi="Cambria" w:cs="Cambria" w:eastAsia="Cambria"/>
                <w:color w:val="1A1A1A"/>
                <w:sz w:val="18"/>
              </w:rPr>
              <w:t xml:space="preserve">Disponibilità a pagare</w:t>
            </w:r>
          </w:p>
        </w:tc>
        <w:tc>
          <w:tcPr/>
          <w:p>
            <w:pPr>
              <w:pStyle w:val="Compact"/>
              <w:spacing w:after="40" w:before="40"/>
              <w:jc w:val="left"/>
            </w:pPr>
            <w:r>
              <w:rPr>
                <w:rFonts w:ascii="Cambria" w:hAnsi="Cambria" w:cs="Cambria" w:eastAsia="Cambria"/>
                <w:color w:val="1A1A1A"/>
                <w:sz w:val="18"/>
              </w:rPr>
              <w:t xml:space="preserve">Valore di esiti privi di prezzo di mercato</w:t>
            </w:r>
          </w:p>
        </w:tc>
        <w:tc>
          <w:tcPr/>
          <w:p>
            <w:pPr>
              <w:pStyle w:val="Compact"/>
              <w:spacing w:after="40" w:before="40"/>
              <w:jc w:val="left"/>
            </w:pPr>
            <w:r>
              <w:rPr>
                <w:rFonts w:ascii="Cambria" w:hAnsi="Cambria" w:cs="Cambria" w:eastAsia="Cambria"/>
                <w:color w:val="1A1A1A"/>
                <w:sz w:val="18"/>
              </w:rPr>
              <w:t xml:space="preserve">Valorizzazione di benefici non monetari</w:t>
            </w:r>
          </w:p>
        </w:tc>
        <w:tc>
          <w:tcPr/>
          <w:p>
            <w:pPr>
              <w:pStyle w:val="Compact"/>
              <w:spacing w:after="40" w:before="40"/>
              <w:jc w:val="left"/>
            </w:pPr>
            <w:r>
              <w:rPr>
                <w:rFonts w:ascii="Cambria" w:hAnsi="Cambria" w:cs="Cambria" w:eastAsia="Cambria"/>
                <w:color w:val="1A1A1A"/>
                <w:sz w:val="18"/>
              </w:rPr>
              <w:t xml:space="preserve">Valore espresso dalla preferenza individuale</w:t>
            </w:r>
          </w:p>
        </w:tc>
      </w:tr>
      <w:tr>
        <w:tc>
          <w:tcPr>
            <w:shd w:val="clear" w:color="auto" w:fill="F4F1EC"/>
          </w:tcPr>
          <w:p>
            <w:pPr>
              <w:pStyle w:val="Compact"/>
              <w:spacing w:after="40" w:before="40"/>
              <w:jc w:val="left"/>
            </w:pPr>
            <w:r>
              <w:rPr>
                <w:rFonts w:ascii="Cambria" w:hAnsi="Cambria" w:cs="Cambria" w:eastAsia="Cambria"/>
                <w:color w:val="1A1A1A"/>
                <w:sz w:val="18"/>
              </w:rPr>
              <w:t xml:space="preserve">Analisi delle opzioni reali</w:t>
            </w:r>
          </w:p>
        </w:tc>
        <w:tc>
          <w:tcPr>
            <w:shd w:val="clear" w:color="auto" w:fill="F4F1EC"/>
          </w:tcPr>
          <w:p>
            <w:pPr>
              <w:pStyle w:val="Compact"/>
              <w:spacing w:after="40" w:before="40"/>
              <w:jc w:val="left"/>
            </w:pPr>
            <w:r>
              <w:rPr>
                <w:rFonts w:ascii="Cambria" w:hAnsi="Cambria" w:cs="Cambria" w:eastAsia="Cambria"/>
                <w:color w:val="1A1A1A"/>
                <w:sz w:val="18"/>
              </w:rPr>
              <w:t xml:space="preserve">Valore della flessibilità decisionale</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 dimensionamento per fasi</w:t>
            </w:r>
          </w:p>
        </w:tc>
        <w:tc>
          <w:tcPr>
            <w:shd w:val="clear" w:color="auto" w:fill="F4F1EC"/>
          </w:tcPr>
          <w:p>
            <w:pPr>
              <w:pStyle w:val="Compact"/>
              <w:spacing w:after="40" w:before="40"/>
              <w:jc w:val="left"/>
            </w:pPr>
            <w:r>
              <w:rPr>
                <w:rFonts w:ascii="Cambria" w:hAnsi="Cambria" w:cs="Cambria" w:eastAsia="Cambria"/>
                <w:color w:val="1A1A1A"/>
                <w:sz w:val="18"/>
              </w:rPr>
              <w:t xml:space="preserve">Valore dell’opzione di scalare, rinviare, modificare</w:t>
            </w:r>
          </w:p>
        </w:tc>
      </w:tr>
    </w:tbl>
    <w:p>
      <w:pPr>
        <w:pStyle w:val="BodyText"/>
      </w:pPr>
      <w:r>
        <w:t xml:space="preserve">Le metodologie elencate non esauriscono il repertorio degli strumenti consultati nella costruzione del telaio, ma ne rappresentano il nucleo operativo, selezionato per la sua pertinenza al quesito e per la sua compatibilità con i vincoli invarianti dell’opera. Ciascuna di esse sarà richiamata, nelle parti seguenti, là dove la grandezza che misura entra in gioco: l’analisi di impatto di bilancio nei costi e nei risparmi diretti, il rendimento sociale dell’investimento e i metodi di produttività nei benefici indiretti, i modelli di Markov e l’analisi di sensibilità nella modellazione e nella previsione. La presente voce ne ha fissato la funzione e l’ordine; la voce seguente stabilisce la regola che ne disciplina la composizione.</w:t>
      </w:r>
    </w:p>
    <w:bookmarkEnd w:id="42"/>
    <w:bookmarkStart w:id="43" w:name="X4f96a52066729c7b7f529db9539660fd466d626"/>
    <w:p>
      <w:pPr>
        <w:pStyle w:val="Heading3"/>
      </w:pPr>
      <w:r>
        <w:rPr>
          <w:b/>
          <w:bCs/>
        </w:rPr>
        <w:t xml:space="preserve">1.5 La rinegoziazione dei costi e dei benefici: tassonomia, confini, regola di non duplicazione</w:t>
      </w:r>
    </w:p>
    <w:p>
      <w:pPr>
        <w:pStyle w:val="FirstParagraph"/>
      </w:pPr>
      <w:r>
        <w:t xml:space="preserve">La rinegoziazione dei costi e dei benefici non è una semplice contabilizzazione, ma la ridefinizione sistematica del quadro economico della riforma alla luce del perimetro integrale e delle leve abilitanti. Essa muove dalla constatazione che il valore generato dallo Psicologo di Base non si esaurisce nel bilancio sanitario, ma si propaga lungo la cascata delle figure e la matrice dei domini; e si propone di stimare tale valore senza ometterne alcuna componente e senza contarne alcuna due volte. A questo duplice scopo — completezza e prudenza — sono ordinati la tassonomia delle grandezze, la distinzione dei loro confini e la regola di non duplicazione.</w:t>
      </w:r>
    </w:p>
    <w:p>
      <w:pPr>
        <w:pStyle w:val="BodyText"/>
      </w:pPr>
      <w:r>
        <w:t xml:space="preserve">La tassonomia dei costi distingue quattro categorie principali, tutte gravanti sul bilancio sanitario regionale e perciò di natura diretta. La prima è il costo del personale, che comprende le retribuzioni e gli oneri delle figure attivate lungo la cascata. La seconda è il costo di struttura, coordinamento e organizzazione, che comprende gli spazi, la strumentazione e le funzioni di governo del servizio. La terza è il costo incrementale della leva digitale e dell’Intelligenza Artificiale, isolato in quanto aggiuntivo rispetto all’assetto ordinario. La quarta è il costo della formazione, articolato secondo le quattro modalità. Queste categorie esauriscono gli esborsi che la riforma impone al sistema e costituiscono il lato dei costi del saldo.</w:t>
      </w:r>
    </w:p>
    <w:p>
      <w:pPr>
        <w:pStyle w:val="BodyText"/>
      </w:pPr>
      <w:r>
        <w:t xml:space="preserve">La tassonomia dei benefici distingue invece due nature radicalmente diverse, che l’opera non confonde mai. I benefici diretti sono i risparmi che si producono nel bilancio sanitario regionale — la minore spesa farmaceutica inappropriata, i minori accessi al pronto soccorso e i minori ricoveri, la riduzione della mobilità sanitaria passiva, il contenimento di esami, visite e invii impropri — e hanno natura fiscale, poiché liberano risorse pubbliche del medesimo bilancio che sostiene i costi. I benefici indiretti sono invece le ricadute economico-sociali che si manifestano negli altri ambiti del perimetro — il recupero di produttività, le minori prestazioni previdenziali, i minori costi della giustizia, il benessere recuperato — e hanno natura prevalentemente sociale, ricadendo sulla collettività e sulla finanza pubblica allargata.</w:t>
      </w:r>
    </w:p>
    <w:p>
      <w:pPr>
        <w:pStyle w:val="BodyText"/>
      </w:pPr>
      <w:r>
        <w:t xml:space="preserve">Il primo confine, tra grandezze dirette e indirette, separa dunque ciò che incide sul bilancio sanitario da ciò che incide sugli altri ambiti. Il secondo confine, tra grandezze fiscali e sociali, separa ciò che si traduce in minore spesa o maggiore entrata pubblica da ciò che si traduce in valore per gli individui e per la società non immediatamente contabilizzato in un bilancio. I due confini non coincidono perfettamente, poiché alcune ricadute indirette — le minori prestazioni previdenziali, i minori costi della giustizia — hanno al tempo stesso natura sociale e rilevanza fiscale per bilanci pubblici diversi da quello sanitario; e proprio per questo la loro collocazione è dichiarata con precisione, affinché non siano sommate due volte.</w:t>
      </w:r>
    </w:p>
    <w:p>
      <w:pPr>
        <w:pStyle w:val="BodyText"/>
      </w:pPr>
      <w:r>
        <w:t xml:space="preserve">La regola di non duplicazione è il presidio che rende l’integralità del perimetro compatibile con la prudenza delle stime. Essa stabilisce tre divieti operativi. In primo luogo, un medesimo effetto non può essere attribuito a più di una categoria: il risparmio derivante dalla riduzione di un episodio di cura non può essere contato sia tra i minori accessi al pronto soccorso sia tra le minori prestazioni specialistiche, ma è imputato all’una o all’altra voce secondo la sua natura. In secondo luogo, le grandezze fiscali dirette e quelle sociali e indirette non possono essere aggregate prima del saldo finale, dove la loro composizione è esplicitata e tenuta su piani distinti. In terzo luogo, metodologie che misurano la medesima grandezza per vie diverse non possono essere sommate: l’approccio del capitale umano e il metodo del costo di attrito stimano entrambi la perdita di produttività e perciò non sono mai cumulati, ma adottati l’uno in alternativa all’altro, con scelta dichiarata.</w:t>
      </w:r>
    </w:p>
    <w:p>
      <w:pPr>
        <w:pStyle w:val="BodyText"/>
      </w:pPr>
      <w:r>
        <w:rPr>
          <w:b/>
          <w:bCs/>
        </w:rPr>
        <w:t xml:space="preserve">Tabella 1.5 — Tassonomia dei costi e dei benefici e loro collocazione nel saldo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Voce</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w:t>
            </w:r>
          </w:p>
        </w:tc>
        <w:tc>
          <w:tcPr>
            <w:shd w:val="clear" w:color="auto" w:fill="16264B"/>
          </w:tcPr>
          <w:p>
            <w:pPr>
              <w:pStyle w:val="Compact"/>
              <w:spacing w:after="40" w:before="40"/>
              <w:jc w:val="left"/>
            </w:pPr>
            <w:r>
              <w:rPr>
                <w:rFonts w:ascii="Cambria" w:hAnsi="Cambria" w:cs="Cambria" w:eastAsia="Cambria"/>
                <w:b/>
                <w:bCs/>
                <w:color w:val="FFFFFF"/>
                <w:sz w:val="18"/>
              </w:rPr>
              <w:t xml:space="preserve">Metodologia di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Collocazione nel saldo</w:t>
            </w:r>
          </w:p>
        </w:tc>
      </w:tr>
      <w:tr>
        <w:tc>
          <w:tcPr/>
          <w:p>
            <w:pPr>
              <w:pStyle w:val="Compact"/>
              <w:spacing w:after="40" w:before="40"/>
              <w:jc w:val="left"/>
            </w:pPr>
            <w:r>
              <w:rPr>
                <w:rFonts w:ascii="Cambria" w:hAnsi="Cambria" w:cs="Cambria" w:eastAsia="Cambria"/>
                <w:color w:val="1A1A1A"/>
                <w:sz w:val="18"/>
              </w:rPr>
              <w:t xml:space="preserve">Costo del personale (cascata delle figure)</w:t>
            </w:r>
          </w:p>
        </w:tc>
        <w:tc>
          <w:tcPr/>
          <w:p>
            <w:pPr>
              <w:pStyle w:val="Compact"/>
              <w:spacing w:after="40" w:before="40"/>
              <w:jc w:val="left"/>
            </w:pPr>
            <w:r>
              <w:rPr>
                <w:rFonts w:ascii="Cambria" w:hAnsi="Cambria" w:cs="Cambria" w:eastAsia="Cambria"/>
                <w:color w:val="1A1A1A"/>
                <w:sz w:val="18"/>
              </w:rPr>
              <w:t xml:space="preserve">Diretta · fiscale</w:t>
            </w:r>
          </w:p>
        </w:tc>
        <w:tc>
          <w:tcPr/>
          <w:p>
            <w:pPr>
              <w:pStyle w:val="Compact"/>
              <w:spacing w:after="40" w:before="40"/>
              <w:jc w:val="left"/>
            </w:pPr>
            <w:r>
              <w:rPr>
                <w:rFonts w:ascii="Cambria" w:hAnsi="Cambria" w:cs="Cambria" w:eastAsia="Cambria"/>
                <w:color w:val="1A1A1A"/>
                <w:sz w:val="18"/>
              </w:rPr>
              <w:t xml:space="preserve">Costo diretto, analisi di impatto di bilancio</w:t>
            </w:r>
          </w:p>
        </w:tc>
        <w:tc>
          <w:tcPr/>
          <w:p>
            <w:pPr>
              <w:pStyle w:val="Compact"/>
              <w:spacing w:after="40" w:before="40"/>
              <w:jc w:val="left"/>
            </w:pPr>
            <w:r>
              <w:rPr>
                <w:rFonts w:ascii="Cambria" w:hAnsi="Cambria" w:cs="Cambria" w:eastAsia="Cambria"/>
                <w:color w:val="1A1A1A"/>
                <w:sz w:val="18"/>
              </w:rPr>
              <w:t xml:space="preserve">Costi diretti</w:t>
            </w:r>
          </w:p>
        </w:tc>
      </w:tr>
      <w:tr>
        <w:tc>
          <w:tcPr>
            <w:shd w:val="clear" w:color="auto" w:fill="F4F1EC"/>
          </w:tcPr>
          <w:p>
            <w:pPr>
              <w:pStyle w:val="Compact"/>
              <w:spacing w:after="40" w:before="40"/>
              <w:jc w:val="left"/>
            </w:pPr>
            <w:r>
              <w:rPr>
                <w:rFonts w:ascii="Cambria" w:hAnsi="Cambria" w:cs="Cambria" w:eastAsia="Cambria"/>
                <w:color w:val="1A1A1A"/>
                <w:sz w:val="18"/>
              </w:rPr>
              <w:t xml:space="preserve">Costi di struttura, coordinamento, organizzazione</w:t>
            </w:r>
          </w:p>
        </w:tc>
        <w:tc>
          <w:tcPr>
            <w:shd w:val="clear" w:color="auto" w:fill="F4F1EC"/>
          </w:tcPr>
          <w:p>
            <w:pPr>
              <w:pStyle w:val="Compact"/>
              <w:spacing w:after="40" w:before="40"/>
              <w:jc w:val="left"/>
            </w:pPr>
            <w:r>
              <w:rPr>
                <w:rFonts w:ascii="Cambria" w:hAnsi="Cambria" w:cs="Cambria" w:eastAsia="Cambria"/>
                <w:color w:val="1A1A1A"/>
                <w:sz w:val="18"/>
              </w:rPr>
              <w:t xml:space="preserve">Diretta · fiscale</w:t>
            </w:r>
          </w:p>
        </w:tc>
        <w:tc>
          <w:tcPr>
            <w:shd w:val="clear" w:color="auto" w:fill="F4F1EC"/>
          </w:tcPr>
          <w:p>
            <w:pPr>
              <w:pStyle w:val="Compact"/>
              <w:spacing w:after="40" w:before="40"/>
              <w:jc w:val="left"/>
            </w:pPr>
            <w:r>
              <w:rPr>
                <w:rFonts w:ascii="Cambria" w:hAnsi="Cambria" w:cs="Cambria" w:eastAsia="Cambria"/>
                <w:color w:val="1A1A1A"/>
                <w:sz w:val="18"/>
              </w:rPr>
              <w:t xml:space="preserve">Costo diretto, analisi di impatto di bilancio</w:t>
            </w:r>
          </w:p>
        </w:tc>
        <w:tc>
          <w:tcPr>
            <w:shd w:val="clear" w:color="auto" w:fill="F4F1EC"/>
          </w:tcPr>
          <w:p>
            <w:pPr>
              <w:pStyle w:val="Compact"/>
              <w:spacing w:after="40" w:before="40"/>
              <w:jc w:val="left"/>
            </w:pPr>
            <w:r>
              <w:rPr>
                <w:rFonts w:ascii="Cambria" w:hAnsi="Cambria" w:cs="Cambria" w:eastAsia="Cambria"/>
                <w:color w:val="1A1A1A"/>
                <w:sz w:val="18"/>
              </w:rPr>
              <w:t xml:space="preserve">Costi diretti</w:t>
            </w:r>
          </w:p>
        </w:tc>
      </w:tr>
      <w:tr>
        <w:tc>
          <w:tcPr/>
          <w:p>
            <w:pPr>
              <w:pStyle w:val="Compact"/>
              <w:spacing w:after="40" w:before="40"/>
              <w:jc w:val="left"/>
            </w:pPr>
            <w:r>
              <w:rPr>
                <w:rFonts w:ascii="Cambria" w:hAnsi="Cambria" w:cs="Cambria" w:eastAsia="Cambria"/>
                <w:color w:val="1A1A1A"/>
                <w:sz w:val="18"/>
              </w:rPr>
              <w:t xml:space="preserve">Costo incrementale della leva digitale e dell’IA</w:t>
            </w:r>
          </w:p>
        </w:tc>
        <w:tc>
          <w:tcPr/>
          <w:p>
            <w:pPr>
              <w:pStyle w:val="Compact"/>
              <w:spacing w:after="40" w:before="40"/>
              <w:jc w:val="left"/>
            </w:pPr>
            <w:r>
              <w:rPr>
                <w:rFonts w:ascii="Cambria" w:hAnsi="Cambria" w:cs="Cambria" w:eastAsia="Cambria"/>
                <w:color w:val="1A1A1A"/>
                <w:sz w:val="18"/>
              </w:rPr>
              <w:t xml:space="preserve">Diretta · fiscale</w:t>
            </w:r>
          </w:p>
        </w:tc>
        <w:tc>
          <w:tcPr/>
          <w:p>
            <w:pPr>
              <w:pStyle w:val="Compact"/>
              <w:spacing w:after="40" w:before="40"/>
              <w:jc w:val="left"/>
            </w:pPr>
            <w:r>
              <w:rPr>
                <w:rFonts w:ascii="Cambria" w:hAnsi="Cambria" w:cs="Cambria" w:eastAsia="Cambria"/>
                <w:color w:val="1A1A1A"/>
                <w:sz w:val="18"/>
              </w:rPr>
              <w:t xml:space="preserve">Costo diretto incrementale</w:t>
            </w:r>
          </w:p>
        </w:tc>
        <w:tc>
          <w:tcPr/>
          <w:p>
            <w:pPr>
              <w:pStyle w:val="Compact"/>
              <w:spacing w:after="40" w:before="40"/>
              <w:jc w:val="left"/>
            </w:pPr>
            <w:r>
              <w:rPr>
                <w:rFonts w:ascii="Cambria" w:hAnsi="Cambria" w:cs="Cambria" w:eastAsia="Cambria"/>
                <w:color w:val="1A1A1A"/>
                <w:sz w:val="18"/>
              </w:rPr>
              <w:t xml:space="preserve">Costi diretti</w:t>
            </w:r>
          </w:p>
        </w:tc>
      </w:tr>
      <w:tr>
        <w:tc>
          <w:tcPr>
            <w:shd w:val="clear" w:color="auto" w:fill="F4F1EC"/>
          </w:tcPr>
          <w:p>
            <w:pPr>
              <w:pStyle w:val="Compact"/>
              <w:spacing w:after="40" w:before="40"/>
              <w:jc w:val="left"/>
            </w:pPr>
            <w:r>
              <w:rPr>
                <w:rFonts w:ascii="Cambria" w:hAnsi="Cambria" w:cs="Cambria" w:eastAsia="Cambria"/>
                <w:color w:val="1A1A1A"/>
                <w:sz w:val="18"/>
              </w:rPr>
              <w:t xml:space="preserve">Costo della formazione (quattro modalità)</w:t>
            </w:r>
          </w:p>
        </w:tc>
        <w:tc>
          <w:tcPr>
            <w:shd w:val="clear" w:color="auto" w:fill="F4F1EC"/>
          </w:tcPr>
          <w:p>
            <w:pPr>
              <w:pStyle w:val="Compact"/>
              <w:spacing w:after="40" w:before="40"/>
              <w:jc w:val="left"/>
            </w:pPr>
            <w:r>
              <w:rPr>
                <w:rFonts w:ascii="Cambria" w:hAnsi="Cambria" w:cs="Cambria" w:eastAsia="Cambria"/>
                <w:color w:val="1A1A1A"/>
                <w:sz w:val="18"/>
              </w:rPr>
              <w:t xml:space="preserve">Diretta · fiscale</w:t>
            </w:r>
          </w:p>
        </w:tc>
        <w:tc>
          <w:tcPr>
            <w:shd w:val="clear" w:color="auto" w:fill="F4F1EC"/>
          </w:tcPr>
          <w:p>
            <w:pPr>
              <w:pStyle w:val="Compact"/>
              <w:spacing w:after="40" w:before="40"/>
              <w:jc w:val="left"/>
            </w:pPr>
            <w:r>
              <w:rPr>
                <w:rFonts w:ascii="Cambria" w:hAnsi="Cambria" w:cs="Cambria" w:eastAsia="Cambria"/>
                <w:color w:val="1A1A1A"/>
                <w:sz w:val="18"/>
              </w:rPr>
              <w:t xml:space="preserve">Costo diretto, ritorno sull’investimento formativo</w:t>
            </w:r>
          </w:p>
        </w:tc>
        <w:tc>
          <w:tcPr>
            <w:shd w:val="clear" w:color="auto" w:fill="F4F1EC"/>
          </w:tcPr>
          <w:p>
            <w:pPr>
              <w:pStyle w:val="Compact"/>
              <w:spacing w:after="40" w:before="40"/>
              <w:jc w:val="left"/>
            </w:pPr>
            <w:r>
              <w:rPr>
                <w:rFonts w:ascii="Cambria" w:hAnsi="Cambria" w:cs="Cambria" w:eastAsia="Cambria"/>
                <w:color w:val="1A1A1A"/>
                <w:sz w:val="18"/>
              </w:rPr>
              <w:t xml:space="preserve">Costi diretti</w:t>
            </w:r>
          </w:p>
        </w:tc>
      </w:tr>
      <w:tr>
        <w:tc>
          <w:tcPr/>
          <w:p>
            <w:pPr>
              <w:pStyle w:val="Compact"/>
              <w:spacing w:after="40" w:before="40"/>
              <w:jc w:val="left"/>
            </w:pPr>
            <w:r>
              <w:rPr>
                <w:rFonts w:ascii="Cambria" w:hAnsi="Cambria" w:cs="Cambria" w:eastAsia="Cambria"/>
                <w:color w:val="1A1A1A"/>
                <w:sz w:val="18"/>
              </w:rPr>
              <w:t xml:space="preserve">Minore spesa farmaceutica inappropriata</w:t>
            </w:r>
          </w:p>
        </w:tc>
        <w:tc>
          <w:tcPr/>
          <w:p>
            <w:pPr>
              <w:pStyle w:val="Compact"/>
              <w:spacing w:after="40" w:before="40"/>
              <w:jc w:val="left"/>
            </w:pPr>
            <w:r>
              <w:rPr>
                <w:rFonts w:ascii="Cambria" w:hAnsi="Cambria" w:cs="Cambria" w:eastAsia="Cambria"/>
                <w:color w:val="1A1A1A"/>
                <w:sz w:val="18"/>
              </w:rPr>
              <w:t xml:space="preserve">Diretta · fiscale</w:t>
            </w:r>
          </w:p>
        </w:tc>
        <w:tc>
          <w:tcPr/>
          <w:p>
            <w:pPr>
              <w:pStyle w:val="Compact"/>
              <w:spacing w:after="40" w:before="40"/>
              <w:jc w:val="left"/>
            </w:pPr>
            <w:r>
              <w:rPr>
                <w:rFonts w:ascii="Cambria" w:hAnsi="Cambria" w:cs="Cambria" w:eastAsia="Cambria"/>
                <w:color w:val="1A1A1A"/>
                <w:sz w:val="18"/>
              </w:rPr>
              <w:t xml:space="preserve">Analisi di impatto di bilancio, costo-efficacia</w:t>
            </w:r>
          </w:p>
        </w:tc>
        <w:tc>
          <w:tcPr/>
          <w:p>
            <w:pPr>
              <w:pStyle w:val="Compact"/>
              <w:spacing w:after="40" w:before="40"/>
              <w:jc w:val="left"/>
            </w:pPr>
            <w:r>
              <w:rPr>
                <w:rFonts w:ascii="Cambria" w:hAnsi="Cambria" w:cs="Cambria" w:eastAsia="Cambria"/>
                <w:color w:val="1A1A1A"/>
                <w:sz w:val="18"/>
              </w:rPr>
              <w:t xml:space="preserve">Risparmi diretti</w:t>
            </w:r>
          </w:p>
        </w:tc>
      </w:tr>
      <w:tr>
        <w:tc>
          <w:tcPr>
            <w:shd w:val="clear" w:color="auto" w:fill="F4F1EC"/>
          </w:tcPr>
          <w:p>
            <w:pPr>
              <w:pStyle w:val="Compact"/>
              <w:spacing w:after="40" w:before="40"/>
              <w:jc w:val="left"/>
            </w:pPr>
            <w:r>
              <w:rPr>
                <w:rFonts w:ascii="Cambria" w:hAnsi="Cambria" w:cs="Cambria" w:eastAsia="Cambria"/>
                <w:color w:val="1A1A1A"/>
                <w:sz w:val="18"/>
              </w:rPr>
              <w:t xml:space="preserve">Minori accessi al pronto soccorso e ricoveri</w:t>
            </w:r>
          </w:p>
        </w:tc>
        <w:tc>
          <w:tcPr>
            <w:shd w:val="clear" w:color="auto" w:fill="F4F1EC"/>
          </w:tcPr>
          <w:p>
            <w:pPr>
              <w:pStyle w:val="Compact"/>
              <w:spacing w:after="40" w:before="40"/>
              <w:jc w:val="left"/>
            </w:pPr>
            <w:r>
              <w:rPr>
                <w:rFonts w:ascii="Cambria" w:hAnsi="Cambria" w:cs="Cambria" w:eastAsia="Cambria"/>
                <w:color w:val="1A1A1A"/>
                <w:sz w:val="18"/>
              </w:rPr>
              <w:t xml:space="preserve">Diretta · fiscale</w:t>
            </w:r>
          </w:p>
        </w:tc>
        <w:tc>
          <w:tcPr>
            <w:shd w:val="clear" w:color="auto" w:fill="F4F1EC"/>
          </w:tcPr>
          <w:p>
            <w:pPr>
              <w:pStyle w:val="Compact"/>
              <w:spacing w:after="40" w:before="40"/>
              <w:jc w:val="left"/>
            </w:pPr>
            <w:r>
              <w:rPr>
                <w:rFonts w:ascii="Cambria" w:hAnsi="Cambria" w:cs="Cambria" w:eastAsia="Cambria"/>
                <w:color w:val="1A1A1A"/>
                <w:sz w:val="18"/>
              </w:rPr>
              <w:t xml:space="preserve">Analisi di impatto di bilancio</w:t>
            </w:r>
          </w:p>
        </w:tc>
        <w:tc>
          <w:tcPr>
            <w:shd w:val="clear" w:color="auto" w:fill="F4F1EC"/>
          </w:tcPr>
          <w:p>
            <w:pPr>
              <w:pStyle w:val="Compact"/>
              <w:spacing w:after="40" w:before="40"/>
              <w:jc w:val="left"/>
            </w:pPr>
            <w:r>
              <w:rPr>
                <w:rFonts w:ascii="Cambria" w:hAnsi="Cambria" w:cs="Cambria" w:eastAsia="Cambria"/>
                <w:color w:val="1A1A1A"/>
                <w:sz w:val="18"/>
              </w:rPr>
              <w:t xml:space="preserve">Risparmi diretti</w:t>
            </w:r>
          </w:p>
        </w:tc>
      </w:tr>
      <w:tr>
        <w:tc>
          <w:tcPr/>
          <w:p>
            <w:pPr>
              <w:pStyle w:val="Compact"/>
              <w:spacing w:after="40" w:before="40"/>
              <w:jc w:val="left"/>
            </w:pPr>
            <w:r>
              <w:rPr>
                <w:rFonts w:ascii="Cambria" w:hAnsi="Cambria" w:cs="Cambria" w:eastAsia="Cambria"/>
                <w:color w:val="1A1A1A"/>
                <w:sz w:val="18"/>
              </w:rPr>
              <w:t xml:space="preserve">Riduzione della mobilità sanitaria passiva</w:t>
            </w:r>
          </w:p>
        </w:tc>
        <w:tc>
          <w:tcPr/>
          <w:p>
            <w:pPr>
              <w:pStyle w:val="Compact"/>
              <w:spacing w:after="40" w:before="40"/>
              <w:jc w:val="left"/>
            </w:pPr>
            <w:r>
              <w:rPr>
                <w:rFonts w:ascii="Cambria" w:hAnsi="Cambria" w:cs="Cambria" w:eastAsia="Cambria"/>
                <w:color w:val="1A1A1A"/>
                <w:sz w:val="18"/>
              </w:rPr>
              <w:t xml:space="preserve">Diretta · fiscale</w:t>
            </w:r>
          </w:p>
        </w:tc>
        <w:tc>
          <w:tcPr/>
          <w:p>
            <w:pPr>
              <w:pStyle w:val="Compact"/>
              <w:spacing w:after="40" w:before="40"/>
              <w:jc w:val="left"/>
            </w:pPr>
            <w:r>
              <w:rPr>
                <w:rFonts w:ascii="Cambria" w:hAnsi="Cambria" w:cs="Cambria" w:eastAsia="Cambria"/>
                <w:color w:val="1A1A1A"/>
                <w:sz w:val="18"/>
              </w:rPr>
              <w:t xml:space="preserve">Analisi di impatto di bilancio</w:t>
            </w:r>
          </w:p>
        </w:tc>
        <w:tc>
          <w:tcPr/>
          <w:p>
            <w:pPr>
              <w:pStyle w:val="Compact"/>
              <w:spacing w:after="40" w:before="40"/>
              <w:jc w:val="left"/>
            </w:pPr>
            <w:r>
              <w:rPr>
                <w:rFonts w:ascii="Cambria" w:hAnsi="Cambria" w:cs="Cambria" w:eastAsia="Cambria"/>
                <w:color w:val="1A1A1A"/>
                <w:sz w:val="18"/>
              </w:rPr>
              <w:t xml:space="preserve">Risparmi diretti</w:t>
            </w:r>
          </w:p>
        </w:tc>
      </w:tr>
      <w:tr>
        <w:tc>
          <w:tcPr>
            <w:shd w:val="clear" w:color="auto" w:fill="F4F1EC"/>
          </w:tcPr>
          <w:p>
            <w:pPr>
              <w:pStyle w:val="Compact"/>
              <w:spacing w:after="40" w:before="40"/>
              <w:jc w:val="left"/>
            </w:pPr>
            <w:r>
              <w:rPr>
                <w:rFonts w:ascii="Cambria" w:hAnsi="Cambria" w:cs="Cambria" w:eastAsia="Cambria"/>
                <w:color w:val="1A1A1A"/>
                <w:sz w:val="18"/>
              </w:rPr>
              <w:t xml:space="preserve">Recupero di produttività</w:t>
            </w:r>
          </w:p>
        </w:tc>
        <w:tc>
          <w:tcPr>
            <w:shd w:val="clear" w:color="auto" w:fill="F4F1EC"/>
          </w:tcPr>
          <w:p>
            <w:pPr>
              <w:pStyle w:val="Compact"/>
              <w:spacing w:after="40" w:before="40"/>
              <w:jc w:val="left"/>
            </w:pPr>
            <w:r>
              <w:rPr>
                <w:rFonts w:ascii="Cambria" w:hAnsi="Cambria" w:cs="Cambria" w:eastAsia="Cambria"/>
                <w:color w:val="1A1A1A"/>
                <w:sz w:val="18"/>
              </w:rPr>
              <w:t xml:space="preserve">Indiretta · sociale</w:t>
            </w:r>
          </w:p>
        </w:tc>
        <w:tc>
          <w:tcPr>
            <w:shd w:val="clear" w:color="auto" w:fill="F4F1EC"/>
          </w:tcPr>
          <w:p>
            <w:pPr>
              <w:pStyle w:val="Compact"/>
              <w:spacing w:after="40" w:before="40"/>
              <w:jc w:val="left"/>
            </w:pPr>
            <w:r>
              <w:rPr>
                <w:rFonts w:ascii="Cambria" w:hAnsi="Cambria" w:cs="Cambria" w:eastAsia="Cambria"/>
                <w:color w:val="1A1A1A"/>
                <w:sz w:val="18"/>
              </w:rPr>
              <w:t xml:space="preserve">Capitale umano oppure costo di attrito</w:t>
            </w:r>
          </w:p>
        </w:tc>
        <w:tc>
          <w:tcPr>
            <w:shd w:val="clear" w:color="auto" w:fill="F4F1EC"/>
          </w:tcPr>
          <w:p>
            <w:pPr>
              <w:pStyle w:val="Compact"/>
              <w:spacing w:after="40" w:before="40"/>
              <w:jc w:val="left"/>
            </w:pPr>
            <w:r>
              <w:rPr>
                <w:rFonts w:ascii="Cambria" w:hAnsi="Cambria" w:cs="Cambria" w:eastAsia="Cambria"/>
                <w:color w:val="1A1A1A"/>
                <w:sz w:val="18"/>
              </w:rPr>
              <w:t xml:space="preserve">Benefici indiretti</w:t>
            </w:r>
          </w:p>
        </w:tc>
      </w:tr>
      <w:tr>
        <w:tc>
          <w:tcPr/>
          <w:p>
            <w:pPr>
              <w:pStyle w:val="Compact"/>
              <w:spacing w:after="40" w:before="40"/>
              <w:jc w:val="left"/>
            </w:pPr>
            <w:r>
              <w:rPr>
                <w:rFonts w:ascii="Cambria" w:hAnsi="Cambria" w:cs="Cambria" w:eastAsia="Cambria"/>
                <w:color w:val="1A1A1A"/>
                <w:sz w:val="18"/>
              </w:rPr>
              <w:t xml:space="preserve">Minori prestazioni previdenziali</w:t>
            </w:r>
          </w:p>
        </w:tc>
        <w:tc>
          <w:tcPr/>
          <w:p>
            <w:pPr>
              <w:pStyle w:val="Compact"/>
              <w:spacing w:after="40" w:before="40"/>
              <w:jc w:val="left"/>
            </w:pPr>
            <w:r>
              <w:rPr>
                <w:rFonts w:ascii="Cambria" w:hAnsi="Cambria" w:cs="Cambria" w:eastAsia="Cambria"/>
                <w:color w:val="1A1A1A"/>
                <w:sz w:val="18"/>
              </w:rPr>
              <w:t xml:space="preserve">Indiretta · sociale e fiscale</w:t>
            </w:r>
          </w:p>
        </w:tc>
        <w:tc>
          <w:tcPr/>
          <w:p>
            <w:pPr>
              <w:pStyle w:val="Compact"/>
              <w:spacing w:after="40" w:before="40"/>
              <w:jc w:val="left"/>
            </w:pPr>
            <w:r>
              <w:rPr>
                <w:rFonts w:ascii="Cambria" w:hAnsi="Cambria" w:cs="Cambria" w:eastAsia="Cambria"/>
                <w:color w:val="1A1A1A"/>
                <w:sz w:val="18"/>
              </w:rPr>
              <w:t xml:space="preserve">Analisi dedicata, rendimento sociale</w:t>
            </w:r>
          </w:p>
        </w:tc>
        <w:tc>
          <w:tcPr/>
          <w:p>
            <w:pPr>
              <w:pStyle w:val="Compact"/>
              <w:spacing w:after="40" w:before="40"/>
              <w:jc w:val="left"/>
            </w:pPr>
            <w:r>
              <w:rPr>
                <w:rFonts w:ascii="Cambria" w:hAnsi="Cambria" w:cs="Cambria" w:eastAsia="Cambria"/>
                <w:color w:val="1A1A1A"/>
                <w:sz w:val="18"/>
              </w:rPr>
              <w:t xml:space="preserve">Benefici indiretti</w:t>
            </w:r>
          </w:p>
        </w:tc>
      </w:tr>
      <w:tr>
        <w:tc>
          <w:tcPr>
            <w:shd w:val="clear" w:color="auto" w:fill="F4F1EC"/>
          </w:tcPr>
          <w:p>
            <w:pPr>
              <w:pStyle w:val="Compact"/>
              <w:spacing w:after="40" w:before="40"/>
              <w:jc w:val="left"/>
            </w:pPr>
            <w:r>
              <w:rPr>
                <w:rFonts w:ascii="Cambria" w:hAnsi="Cambria" w:cs="Cambria" w:eastAsia="Cambria"/>
                <w:color w:val="1A1A1A"/>
                <w:sz w:val="18"/>
              </w:rPr>
              <w:t xml:space="preserve">Minori costi della giustizia</w:t>
            </w:r>
          </w:p>
        </w:tc>
        <w:tc>
          <w:tcPr>
            <w:shd w:val="clear" w:color="auto" w:fill="F4F1EC"/>
          </w:tcPr>
          <w:p>
            <w:pPr>
              <w:pStyle w:val="Compact"/>
              <w:spacing w:after="40" w:before="40"/>
              <w:jc w:val="left"/>
            </w:pPr>
            <w:r>
              <w:rPr>
                <w:rFonts w:ascii="Cambria" w:hAnsi="Cambria" w:cs="Cambria" w:eastAsia="Cambria"/>
                <w:color w:val="1A1A1A"/>
                <w:sz w:val="18"/>
              </w:rPr>
              <w:t xml:space="preserve">Indiretta · sociale e fiscale</w:t>
            </w:r>
          </w:p>
        </w:tc>
        <w:tc>
          <w:tcPr>
            <w:shd w:val="clear" w:color="auto" w:fill="F4F1EC"/>
          </w:tcPr>
          <w:p>
            <w:pPr>
              <w:pStyle w:val="Compact"/>
              <w:spacing w:after="40" w:before="40"/>
              <w:jc w:val="left"/>
            </w:pPr>
            <w:r>
              <w:rPr>
                <w:rFonts w:ascii="Cambria" w:hAnsi="Cambria" w:cs="Cambria" w:eastAsia="Cambria"/>
                <w:color w:val="1A1A1A"/>
                <w:sz w:val="18"/>
              </w:rPr>
              <w:t xml:space="preserve">Analisi dedicata, rendimento sociale</w:t>
            </w:r>
          </w:p>
        </w:tc>
        <w:tc>
          <w:tcPr>
            <w:shd w:val="clear" w:color="auto" w:fill="F4F1EC"/>
          </w:tcPr>
          <w:p>
            <w:pPr>
              <w:pStyle w:val="Compact"/>
              <w:spacing w:after="40" w:before="40"/>
              <w:jc w:val="left"/>
            </w:pPr>
            <w:r>
              <w:rPr>
                <w:rFonts w:ascii="Cambria" w:hAnsi="Cambria" w:cs="Cambria" w:eastAsia="Cambria"/>
                <w:color w:val="1A1A1A"/>
                <w:sz w:val="18"/>
              </w:rPr>
              <w:t xml:space="preserve">Benefici indiretti</w:t>
            </w:r>
          </w:p>
        </w:tc>
      </w:tr>
      <w:tr>
        <w:tc>
          <w:tcPr/>
          <w:p>
            <w:pPr>
              <w:pStyle w:val="Compact"/>
              <w:spacing w:after="40" w:before="40"/>
              <w:jc w:val="left"/>
            </w:pPr>
            <w:r>
              <w:rPr>
                <w:rFonts w:ascii="Cambria" w:hAnsi="Cambria" w:cs="Cambria" w:eastAsia="Cambria"/>
                <w:color w:val="1A1A1A"/>
                <w:sz w:val="18"/>
              </w:rPr>
              <w:t xml:space="preserve">Benessere e qualità della vita recuperati</w:t>
            </w:r>
          </w:p>
        </w:tc>
        <w:tc>
          <w:tcPr/>
          <w:p>
            <w:pPr>
              <w:pStyle w:val="Compact"/>
              <w:spacing w:after="40" w:before="40"/>
              <w:jc w:val="left"/>
            </w:pPr>
            <w:r>
              <w:rPr>
                <w:rFonts w:ascii="Cambria" w:hAnsi="Cambria" w:cs="Cambria" w:eastAsia="Cambria"/>
                <w:color w:val="1A1A1A"/>
                <w:sz w:val="18"/>
              </w:rPr>
              <w:t xml:space="preserve">Indiretta · sociale</w:t>
            </w:r>
          </w:p>
        </w:tc>
        <w:tc>
          <w:tcPr/>
          <w:p>
            <w:pPr>
              <w:pStyle w:val="Compact"/>
              <w:spacing w:after="40" w:before="40"/>
              <w:jc w:val="left"/>
            </w:pPr>
            <w:r>
              <w:rPr>
                <w:rFonts w:ascii="Cambria" w:hAnsi="Cambria" w:cs="Cambria" w:eastAsia="Cambria"/>
                <w:color w:val="1A1A1A"/>
                <w:sz w:val="18"/>
              </w:rPr>
              <w:t xml:space="preserve">Costo-utilità (QALY), rendimento sociale</w:t>
            </w:r>
          </w:p>
        </w:tc>
        <w:tc>
          <w:tcPr/>
          <w:p>
            <w:pPr>
              <w:pStyle w:val="Compact"/>
              <w:spacing w:after="40" w:before="40"/>
              <w:jc w:val="left"/>
            </w:pPr>
            <w:r>
              <w:rPr>
                <w:rFonts w:ascii="Cambria" w:hAnsi="Cambria" w:cs="Cambria" w:eastAsia="Cambria"/>
                <w:color w:val="1A1A1A"/>
                <w:sz w:val="18"/>
              </w:rPr>
              <w:t xml:space="preserve">Benefici indiretti ed esiti</w:t>
            </w:r>
          </w:p>
        </w:tc>
      </w:tr>
    </w:tbl>
    <w:p>
      <w:pPr>
        <w:pStyle w:val="BodyText"/>
      </w:pPr>
      <w:r>
        <w:t xml:space="preserve">La rinegoziazione, così disciplinata, non gonfia il valore della riforma né lo comprime, ma lo rappresenta nella sua effettiva estensione, distinguendo ciò che ritorna al bilancio sanitario da ciò che ritorna alla collettività. Questa disciplina è la condizione della credibilità dell’opera dinanzi a un decisore, perché un saldo che sommasse grandezze sovrapposte sarebbe tanto più alto quanto meno affidabile. Le voci seguenti forniscono gli strumenti — la batteria di indicatori e la graduazione dell’evidenza — che consentono di applicare questa tassonomia a dati concreti.7</w:t>
      </w:r>
    </w:p>
    <w:bookmarkEnd w:id="43"/>
    <w:bookmarkStart w:id="44" w:name="X214f8db1f073188eb96c8492c122e7d61ec04fd"/>
    <w:p>
      <w:pPr>
        <w:pStyle w:val="Heading3"/>
      </w:pPr>
      <w:r>
        <w:rPr>
          <w:b/>
          <w:bCs/>
        </w:rPr>
        <w:t xml:space="preserve">1.6 La batteria integrale di indicatori, variabili e parametri</w:t>
      </w:r>
    </w:p>
    <w:p>
      <w:pPr>
        <w:pStyle w:val="FirstParagraph"/>
      </w:pPr>
      <w:r>
        <w:t xml:space="preserve">La valutazione di un perimetro integrale richiede una batteria di indicatori condivisa, che attraversi le figure e i domini e renda commensurabili contributi di natura diversa. Senza un sistema comune di misura, gli effetti clinici, economici, organizzativi e sociali resterebbero incomparabili e la loro composizione nel saldo sarebbe arbitraria. La batteria adottata dall’opera è organizzata per dimensioni, e a ciascuna dimensione corrispondono indicatori definiti, con le rispettive unità di misura e fonti, così che ogni stima sia tracciabile e verificabile.</w:t>
      </w:r>
    </w:p>
    <w:p>
      <w:pPr>
        <w:pStyle w:val="BodyText"/>
      </w:pPr>
      <w:r>
        <w:t xml:space="preserve">La dimensione clinica misura il bisogno e l’esito attraverso strumenti validati e ampiamente impiegati nelle cure primarie, quali le scale per la valutazione dei sintomi depressivi e ansiosi, e attraverso i tassi di miglioramento e di remissione rilevati seduta per seduta. La dimensione della salute traduce gli esiti clinici in anni di vita ponderati per la qualità, l’indicatore che consente di confrontare interventi rivolti a condizioni diverse e di alimentare la valutazione costo-utilità e la modellazione. Queste due dimensioni costituiscono il fondamento su cui poggiano tutte le stime economiche successive, poiché senza una misura dell’efficacia clinica non vi è alcuna base per stimare il valore economico.</w:t>
      </w:r>
    </w:p>
    <w:p>
      <w:pPr>
        <w:pStyle w:val="BodyText"/>
      </w:pPr>
      <w:r>
        <w:t xml:space="preserve">La dimensione economica si articola in indicatori diretti e di sintesi. Gli indicatori diretti comprendono il costo per paziente e l’impatto annuo netto sul bilancio per ciascuno scenario di copertura; gli indicatori di sintesi comprendono il rapporto incrementale costo-efficacia, ossia il costo per anno di vita ponderato per la qualità guadagnato, e il rapporto tra benefici e costi. La dimensione organizzativa misura il funzionamento del servizio attraverso i tempi di attesa, i tassi di invio ai servizi specialistici e la copertura del fabbisogno, indicatori che collegano la valutazione economica alle scelte di dimensionamento.</w:t>
      </w:r>
    </w:p>
    <w:p>
      <w:pPr>
        <w:pStyle w:val="BodyText"/>
      </w:pPr>
      <w:r>
        <w:t xml:space="preserve">Le dimensioni dei domini extra-sanitari completano la batteria e ne costituiscono la parte propriamente integrale. La dimensione lavorativa misura l’assenteismo, il presenteismo e le giornate di lavoro perdute; la dimensione previdenziale misura le domande di inabilità e di invalidità per cause psichiche; la dimensione scolastica misura la dispersione e il rendimento; la dimensione criminologica misura la recidiva e i costi della giustizia; la dimensione sociale misura il capitale sociale e il carico assistenziale sui familiari. A queste si aggiunge la dimensione dell’incertezza, che misura la probabilità di costo-efficacia e l’ampiezza degli intervalli, e che governa la formulazione delle previsioni.</w:t>
      </w:r>
    </w:p>
    <w:p>
      <w:pPr>
        <w:pStyle w:val="BodyText"/>
      </w:pPr>
      <w:r>
        <w:t xml:space="preserve">Accanto agli indicatori, la batteria comprende un nucleo di parametri invarianti, comuni a tutte le applicazioni regionali del telaio, derivati dalla modellazione di riferimento del progetto. Tali parametri quantificano, per il paziente tipo, un risparmio dell’ordine di 1.304 euro, un guadagno di 0,236 anni di vita ponderati per la qualità, una costo-efficacia nell’88,9 per cento delle simulazioni e una dominanza, ossia un esito al tempo stesso più efficace e meno costoso, nell’84,6 per cento dei casi, con un beneficio netto medio dell’ordine di 7.815 euro e un intervallo di confidenza al 95 per cento compreso, prudenzialmente, tra un valore negativo di circa 5.736 euro e un valore positivo di circa 21.501 euro. Questi parametri non mutano da Regione a Regione e costituiscono l’ancoraggio quantitativo della parte invariante del telaio; i dati epidemiologici, demografici e finanziari regionali ne costituiscono invece la parte variabile.</w:t>
      </w:r>
    </w:p>
    <w:p>
      <w:pPr>
        <w:pStyle w:val="BodyText"/>
      </w:pPr>
      <w:r>
        <w:rPr>
          <w:b/>
          <w:bCs/>
        </w:rPr>
        <w:t xml:space="preserve">Tabella 1.6 — La batteria integrale di indicatori per dimensione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 principali</w:t>
            </w:r>
          </w:p>
        </w:tc>
        <w:tc>
          <w:tcPr>
            <w:shd w:val="clear" w:color="auto" w:fill="16264B"/>
          </w:tcPr>
          <w:p>
            <w:pPr>
              <w:pStyle w:val="Compact"/>
              <w:spacing w:after="40" w:before="40"/>
              <w:jc w:val="left"/>
            </w:pPr>
            <w:r>
              <w:rPr>
                <w:rFonts w:ascii="Cambria" w:hAnsi="Cambria" w:cs="Cambria" w:eastAsia="Cambria"/>
                <w:b/>
                <w:bCs/>
                <w:color w:val="FFFFFF"/>
                <w:sz w:val="18"/>
              </w:rPr>
              <w:t xml:space="preserve">Unità di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Uso nell’opera</w:t>
            </w:r>
          </w:p>
        </w:tc>
      </w:tr>
      <w:tr>
        <w:tc>
          <w:tcPr/>
          <w:p>
            <w:pPr>
              <w:pStyle w:val="Compact"/>
              <w:spacing w:after="40" w:before="40"/>
              <w:jc w:val="left"/>
            </w:pPr>
            <w:r>
              <w:rPr>
                <w:rFonts w:ascii="Cambria" w:hAnsi="Cambria" w:cs="Cambria" w:eastAsia="Cambria"/>
                <w:color w:val="1A1A1A"/>
                <w:sz w:val="18"/>
              </w:rPr>
              <w:t xml:space="preserve">Clinica</w:t>
            </w:r>
          </w:p>
        </w:tc>
        <w:tc>
          <w:tcPr/>
          <w:p>
            <w:pPr>
              <w:pStyle w:val="Compact"/>
              <w:spacing w:after="40" w:before="40"/>
              <w:jc w:val="left"/>
            </w:pPr>
            <w:r>
              <w:rPr>
                <w:rFonts w:ascii="Cambria" w:hAnsi="Cambria" w:cs="Cambria" w:eastAsia="Cambria"/>
                <w:color w:val="1A1A1A"/>
                <w:sz w:val="18"/>
              </w:rPr>
              <w:t xml:space="preserve">Scale dei sintomi ansiosi e depressivi; tasso di remissione</w:t>
            </w:r>
          </w:p>
        </w:tc>
        <w:tc>
          <w:tcPr/>
          <w:p>
            <w:pPr>
              <w:pStyle w:val="Compact"/>
              <w:spacing w:after="40" w:before="40"/>
              <w:jc w:val="left"/>
            </w:pPr>
            <w:r>
              <w:rPr>
                <w:rFonts w:ascii="Cambria" w:hAnsi="Cambria" w:cs="Cambria" w:eastAsia="Cambria"/>
                <w:color w:val="1A1A1A"/>
                <w:sz w:val="18"/>
              </w:rPr>
              <w:t xml:space="preserve">Punteggio; percentuale</w:t>
            </w:r>
          </w:p>
        </w:tc>
        <w:tc>
          <w:tcPr/>
          <w:p>
            <w:pPr>
              <w:pStyle w:val="Compact"/>
              <w:spacing w:after="40" w:before="40"/>
              <w:jc w:val="left"/>
            </w:pPr>
            <w:r>
              <w:rPr>
                <w:rFonts w:ascii="Cambria" w:hAnsi="Cambria" w:cs="Cambria" w:eastAsia="Cambria"/>
                <w:color w:val="1A1A1A"/>
                <w:sz w:val="18"/>
              </w:rPr>
              <w:t xml:space="preserve">Misura del bisogno e dell’esito</w:t>
            </w:r>
          </w:p>
        </w:tc>
      </w:tr>
      <w:tr>
        <w:tc>
          <w:tcPr>
            <w:shd w:val="clear" w:color="auto" w:fill="F4F1EC"/>
          </w:tcPr>
          <w:p>
            <w:pPr>
              <w:pStyle w:val="Compact"/>
              <w:spacing w:after="40" w:before="40"/>
              <w:jc w:val="left"/>
            </w:pPr>
            <w:r>
              <w:rPr>
                <w:rFonts w:ascii="Cambria" w:hAnsi="Cambria" w:cs="Cambria" w:eastAsia="Cambria"/>
                <w:color w:val="1A1A1A"/>
                <w:sz w:val="18"/>
              </w:rPr>
              <w:t xml:space="preserve">Salute</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w:t>
            </w:r>
          </w:p>
        </w:tc>
        <w:tc>
          <w:tcPr>
            <w:shd w:val="clear" w:color="auto" w:fill="F4F1EC"/>
          </w:tcPr>
          <w:p>
            <w:pPr>
              <w:pStyle w:val="Compact"/>
              <w:spacing w:after="40" w:before="40"/>
              <w:jc w:val="left"/>
            </w:pPr>
            <w:r>
              <w:rPr>
                <w:rFonts w:ascii="Cambria" w:hAnsi="Cambria" w:cs="Cambria" w:eastAsia="Cambria"/>
                <w:color w:val="1A1A1A"/>
                <w:sz w:val="18"/>
              </w:rPr>
              <w:t xml:space="preserve">QALY</w:t>
            </w:r>
          </w:p>
        </w:tc>
        <w:tc>
          <w:tcPr>
            <w:shd w:val="clear" w:color="auto" w:fill="F4F1EC"/>
          </w:tcPr>
          <w:p>
            <w:pPr>
              <w:pStyle w:val="Compact"/>
              <w:spacing w:after="40" w:before="40"/>
              <w:jc w:val="left"/>
            </w:pPr>
            <w:r>
              <w:rPr>
                <w:rFonts w:ascii="Cambria" w:hAnsi="Cambria" w:cs="Cambria" w:eastAsia="Cambria"/>
                <w:color w:val="1A1A1A"/>
                <w:sz w:val="18"/>
              </w:rPr>
              <w:t xml:space="preserve">Costo-utilità e modellazione</w:t>
            </w:r>
          </w:p>
        </w:tc>
      </w:tr>
      <w:tr>
        <w:tc>
          <w:tcPr/>
          <w:p>
            <w:pPr>
              <w:pStyle w:val="Compact"/>
              <w:spacing w:after="40" w:before="40"/>
              <w:jc w:val="left"/>
            </w:pPr>
            <w:r>
              <w:rPr>
                <w:rFonts w:ascii="Cambria" w:hAnsi="Cambria" w:cs="Cambria" w:eastAsia="Cambria"/>
                <w:color w:val="1A1A1A"/>
                <w:sz w:val="18"/>
              </w:rPr>
              <w:t xml:space="preserve">Economica diretta</w:t>
            </w:r>
          </w:p>
        </w:tc>
        <w:tc>
          <w:tcPr/>
          <w:p>
            <w:pPr>
              <w:pStyle w:val="Compact"/>
              <w:spacing w:after="40" w:before="40"/>
              <w:jc w:val="left"/>
            </w:pPr>
            <w:r>
              <w:rPr>
                <w:rFonts w:ascii="Cambria" w:hAnsi="Cambria" w:cs="Cambria" w:eastAsia="Cambria"/>
                <w:color w:val="1A1A1A"/>
                <w:sz w:val="18"/>
              </w:rPr>
              <w:t xml:space="preserve">Costo per paziente; impatto annuo netto</w:t>
            </w:r>
          </w:p>
        </w:tc>
        <w:tc>
          <w:tcPr/>
          <w:p>
            <w:pPr>
              <w:pStyle w:val="Compact"/>
              <w:spacing w:after="40" w:before="40"/>
              <w:jc w:val="left"/>
            </w:pPr>
            <w:r>
              <w:rPr>
                <w:rFonts w:ascii="Cambria" w:hAnsi="Cambria" w:cs="Cambria" w:eastAsia="Cambria"/>
                <w:color w:val="1A1A1A"/>
                <w:sz w:val="18"/>
              </w:rPr>
              <w:t xml:space="preserve">Euro</w:t>
            </w:r>
          </w:p>
        </w:tc>
        <w:tc>
          <w:tcPr/>
          <w:p>
            <w:pPr>
              <w:pStyle w:val="Compact"/>
              <w:spacing w:after="40" w:before="40"/>
              <w:jc w:val="left"/>
            </w:pPr>
            <w:r>
              <w:rPr>
                <w:rFonts w:ascii="Cambria" w:hAnsi="Cambria" w:cs="Cambria" w:eastAsia="Cambria"/>
                <w:color w:val="1A1A1A"/>
                <w:sz w:val="18"/>
              </w:rPr>
              <w:t xml:space="preserve">Costo-efficacia e impatto di bilancio</w:t>
            </w:r>
          </w:p>
        </w:tc>
      </w:tr>
      <w:tr>
        <w:tc>
          <w:tcPr>
            <w:shd w:val="clear" w:color="auto" w:fill="F4F1EC"/>
          </w:tcPr>
          <w:p>
            <w:pPr>
              <w:pStyle w:val="Compact"/>
              <w:spacing w:after="40" w:before="40"/>
              <w:jc w:val="left"/>
            </w:pPr>
            <w:r>
              <w:rPr>
                <w:rFonts w:ascii="Cambria" w:hAnsi="Cambria" w:cs="Cambria" w:eastAsia="Cambria"/>
                <w:color w:val="1A1A1A"/>
                <w:sz w:val="18"/>
              </w:rPr>
              <w:t xml:space="preserve">Economica di sintesi</w:t>
            </w:r>
          </w:p>
        </w:tc>
        <w:tc>
          <w:tcPr>
            <w:shd w:val="clear" w:color="auto" w:fill="F4F1EC"/>
          </w:tcPr>
          <w:p>
            <w:pPr>
              <w:pStyle w:val="Compact"/>
              <w:spacing w:after="40" w:before="40"/>
              <w:jc w:val="left"/>
            </w:pPr>
            <w:r>
              <w:rPr>
                <w:rFonts w:ascii="Cambria" w:hAnsi="Cambria" w:cs="Cambria" w:eastAsia="Cambria"/>
                <w:color w:val="1A1A1A"/>
                <w:sz w:val="18"/>
              </w:rPr>
              <w:t xml:space="preserve">Rapporto incrementale costo-efficacia; rapporto benefici/costi</w:t>
            </w:r>
          </w:p>
        </w:tc>
        <w:tc>
          <w:tcPr>
            <w:shd w:val="clear" w:color="auto" w:fill="F4F1EC"/>
          </w:tcPr>
          <w:p>
            <w:pPr>
              <w:pStyle w:val="Compact"/>
              <w:spacing w:after="40" w:before="40"/>
              <w:jc w:val="left"/>
            </w:pPr>
            <w:r>
              <w:rPr>
                <w:rFonts w:ascii="Cambria" w:hAnsi="Cambria" w:cs="Cambria" w:eastAsia="Cambria"/>
                <w:color w:val="1A1A1A"/>
                <w:sz w:val="18"/>
              </w:rPr>
              <w:t xml:space="preserve">Euro per QALY; numero</w:t>
            </w:r>
          </w:p>
        </w:tc>
        <w:tc>
          <w:tcPr>
            <w:shd w:val="clear" w:color="auto" w:fill="F4F1EC"/>
          </w:tcPr>
          <w:p>
            <w:pPr>
              <w:pStyle w:val="Compact"/>
              <w:spacing w:after="40" w:before="40"/>
              <w:jc w:val="left"/>
            </w:pPr>
            <w:r>
              <w:rPr>
                <w:rFonts w:ascii="Cambria" w:hAnsi="Cambria" w:cs="Cambria" w:eastAsia="Cambria"/>
                <w:color w:val="1A1A1A"/>
                <w:sz w:val="18"/>
              </w:rPr>
              <w:t xml:space="preserve">Efficienza e saldo</w:t>
            </w:r>
          </w:p>
        </w:tc>
      </w:tr>
      <w:tr>
        <w:tc>
          <w:tcPr/>
          <w:p>
            <w:pPr>
              <w:pStyle w:val="Compact"/>
              <w:spacing w:after="40" w:before="40"/>
              <w:jc w:val="left"/>
            </w:pPr>
            <w:r>
              <w:rPr>
                <w:rFonts w:ascii="Cambria" w:hAnsi="Cambria" w:cs="Cambria" w:eastAsia="Cambria"/>
                <w:color w:val="1A1A1A"/>
                <w:sz w:val="18"/>
              </w:rPr>
              <w:t xml:space="preserve">Organizzativa</w:t>
            </w:r>
          </w:p>
        </w:tc>
        <w:tc>
          <w:tcPr/>
          <w:p>
            <w:pPr>
              <w:pStyle w:val="Compact"/>
              <w:spacing w:after="40" w:before="40"/>
              <w:jc w:val="left"/>
            </w:pPr>
            <w:r>
              <w:rPr>
                <w:rFonts w:ascii="Cambria" w:hAnsi="Cambria" w:cs="Cambria" w:eastAsia="Cambria"/>
                <w:color w:val="1A1A1A"/>
                <w:sz w:val="18"/>
              </w:rPr>
              <w:t xml:space="preserve">Tempi di attesa; tasso di invio; copertura del fabbisogno</w:t>
            </w:r>
          </w:p>
        </w:tc>
        <w:tc>
          <w:tcPr/>
          <w:p>
            <w:pPr>
              <w:pStyle w:val="Compact"/>
              <w:spacing w:after="40" w:before="40"/>
              <w:jc w:val="left"/>
            </w:pPr>
            <w:r>
              <w:rPr>
                <w:rFonts w:ascii="Cambria" w:hAnsi="Cambria" w:cs="Cambria" w:eastAsia="Cambria"/>
                <w:color w:val="1A1A1A"/>
                <w:sz w:val="18"/>
              </w:rPr>
              <w:t xml:space="preserve">Giorni; percentuale</w:t>
            </w:r>
          </w:p>
        </w:tc>
        <w:tc>
          <w:tcPr/>
          <w:p>
            <w:pPr>
              <w:pStyle w:val="Compact"/>
              <w:spacing w:after="40" w:before="40"/>
              <w:jc w:val="left"/>
            </w:pPr>
            <w:r>
              <w:rPr>
                <w:rFonts w:ascii="Cambria" w:hAnsi="Cambria" w:cs="Cambria" w:eastAsia="Cambria"/>
                <w:color w:val="1A1A1A"/>
                <w:sz w:val="18"/>
              </w:rPr>
              <w:t xml:space="preserve">Modello organizzativo e scenari</w:t>
            </w:r>
          </w:p>
        </w:tc>
      </w:tr>
      <w:tr>
        <w:tc>
          <w:tcPr>
            <w:shd w:val="clear" w:color="auto" w:fill="F4F1EC"/>
          </w:tcPr>
          <w:p>
            <w:pPr>
              <w:pStyle w:val="Compact"/>
              <w:spacing w:after="40" w:before="40"/>
              <w:jc w:val="left"/>
            </w:pPr>
            <w:r>
              <w:rPr>
                <w:rFonts w:ascii="Cambria" w:hAnsi="Cambria" w:cs="Cambria" w:eastAsia="Cambria"/>
                <w:color w:val="1A1A1A"/>
                <w:sz w:val="18"/>
              </w:rPr>
              <w:t xml:space="preserve">Lavorativa</w:t>
            </w:r>
          </w:p>
        </w:tc>
        <w:tc>
          <w:tcPr>
            <w:shd w:val="clear" w:color="auto" w:fill="F4F1EC"/>
          </w:tcPr>
          <w:p>
            <w:pPr>
              <w:pStyle w:val="Compact"/>
              <w:spacing w:after="40" w:before="40"/>
              <w:jc w:val="left"/>
            </w:pPr>
            <w:r>
              <w:rPr>
                <w:rFonts w:ascii="Cambria" w:hAnsi="Cambria" w:cs="Cambria" w:eastAsia="Cambria"/>
                <w:color w:val="1A1A1A"/>
                <w:sz w:val="18"/>
              </w:rPr>
              <w:t xml:space="preserve">Assenteismo; presenteismo; giornate perse</w:t>
            </w:r>
          </w:p>
        </w:tc>
        <w:tc>
          <w:tcPr>
            <w:shd w:val="clear" w:color="auto" w:fill="F4F1EC"/>
          </w:tcPr>
          <w:p>
            <w:pPr>
              <w:pStyle w:val="Compact"/>
              <w:spacing w:after="40" w:before="40"/>
              <w:jc w:val="left"/>
            </w:pPr>
            <w:r>
              <w:rPr>
                <w:rFonts w:ascii="Cambria" w:hAnsi="Cambria" w:cs="Cambria" w:eastAsia="Cambria"/>
                <w:color w:val="1A1A1A"/>
                <w:sz w:val="18"/>
              </w:rPr>
              <w:t xml:space="preserve">Giorni; percentuale</w:t>
            </w:r>
          </w:p>
        </w:tc>
        <w:tc>
          <w:tcPr>
            <w:shd w:val="clear" w:color="auto" w:fill="F4F1EC"/>
          </w:tcPr>
          <w:p>
            <w:pPr>
              <w:pStyle w:val="Compact"/>
              <w:spacing w:after="40" w:before="40"/>
              <w:jc w:val="left"/>
            </w:pPr>
            <w:r>
              <w:rPr>
                <w:rFonts w:ascii="Cambria" w:hAnsi="Cambria" w:cs="Cambria" w:eastAsia="Cambria"/>
                <w:color w:val="1A1A1A"/>
                <w:sz w:val="18"/>
              </w:rPr>
              <w:t xml:space="preserve">Dominio lavorativo</w:t>
            </w:r>
          </w:p>
        </w:tc>
      </w:tr>
      <w:tr>
        <w:tc>
          <w:tcPr/>
          <w:p>
            <w:pPr>
              <w:pStyle w:val="Compact"/>
              <w:spacing w:after="40" w:before="40"/>
              <w:jc w:val="left"/>
            </w:pPr>
            <w:r>
              <w:rPr>
                <w:rFonts w:ascii="Cambria" w:hAnsi="Cambria" w:cs="Cambria" w:eastAsia="Cambria"/>
                <w:color w:val="1A1A1A"/>
                <w:sz w:val="18"/>
              </w:rPr>
              <w:t xml:space="preserve">Previdenziale</w:t>
            </w:r>
          </w:p>
        </w:tc>
        <w:tc>
          <w:tcPr/>
          <w:p>
            <w:pPr>
              <w:pStyle w:val="Compact"/>
              <w:spacing w:after="40" w:before="40"/>
              <w:jc w:val="left"/>
            </w:pPr>
            <w:r>
              <w:rPr>
                <w:rFonts w:ascii="Cambria" w:hAnsi="Cambria" w:cs="Cambria" w:eastAsia="Cambria"/>
                <w:color w:val="1A1A1A"/>
                <w:sz w:val="18"/>
              </w:rPr>
              <w:t xml:space="preserve">Domande di inabilità e invalidità</w:t>
            </w:r>
          </w:p>
        </w:tc>
        <w:tc>
          <w:tcPr/>
          <w:p>
            <w:pPr>
              <w:pStyle w:val="Compact"/>
              <w:spacing w:after="40" w:before="40"/>
              <w:jc w:val="left"/>
            </w:pPr>
            <w:r>
              <w:rPr>
                <w:rFonts w:ascii="Cambria" w:hAnsi="Cambria" w:cs="Cambria" w:eastAsia="Cambria"/>
                <w:color w:val="1A1A1A"/>
                <w:sz w:val="18"/>
              </w:rPr>
              <w:t xml:space="preserve">Numero; euro</w:t>
            </w:r>
          </w:p>
        </w:tc>
        <w:tc>
          <w:tcPr/>
          <w:p>
            <w:pPr>
              <w:pStyle w:val="Compact"/>
              <w:spacing w:after="40" w:before="40"/>
              <w:jc w:val="left"/>
            </w:pPr>
            <w:r>
              <w:rPr>
                <w:rFonts w:ascii="Cambria" w:hAnsi="Cambria" w:cs="Cambria" w:eastAsia="Cambria"/>
                <w:color w:val="1A1A1A"/>
                <w:sz w:val="18"/>
              </w:rPr>
              <w:t xml:space="preserve">Dominio pensionistico</w:t>
            </w:r>
          </w:p>
        </w:tc>
      </w:tr>
      <w:tr>
        <w:tc>
          <w:tcPr>
            <w:shd w:val="clear" w:color="auto" w:fill="F4F1EC"/>
          </w:tcPr>
          <w:p>
            <w:pPr>
              <w:pStyle w:val="Compact"/>
              <w:spacing w:after="40" w:before="40"/>
              <w:jc w:val="left"/>
            </w:pPr>
            <w:r>
              <w:rPr>
                <w:rFonts w:ascii="Cambria" w:hAnsi="Cambria" w:cs="Cambria" w:eastAsia="Cambria"/>
                <w:color w:val="1A1A1A"/>
                <w:sz w:val="18"/>
              </w:rPr>
              <w:t xml:space="preserve">Scolastica</w:t>
            </w:r>
          </w:p>
        </w:tc>
        <w:tc>
          <w:tcPr>
            <w:shd w:val="clear" w:color="auto" w:fill="F4F1EC"/>
          </w:tcPr>
          <w:p>
            <w:pPr>
              <w:pStyle w:val="Compact"/>
              <w:spacing w:after="40" w:before="40"/>
              <w:jc w:val="left"/>
            </w:pPr>
            <w:r>
              <w:rPr>
                <w:rFonts w:ascii="Cambria" w:hAnsi="Cambria" w:cs="Cambria" w:eastAsia="Cambria"/>
                <w:color w:val="1A1A1A"/>
                <w:sz w:val="18"/>
              </w:rPr>
              <w:t xml:space="preserve">Dispersione; rendimento</w:t>
            </w:r>
          </w:p>
        </w:tc>
        <w:tc>
          <w:tcPr>
            <w:shd w:val="clear" w:color="auto" w:fill="F4F1EC"/>
          </w:tcPr>
          <w:p>
            <w:pPr>
              <w:pStyle w:val="Compact"/>
              <w:spacing w:after="40" w:before="40"/>
              <w:jc w:val="left"/>
            </w:pPr>
            <w:r>
              <w:rPr>
                <w:rFonts w:ascii="Cambria" w:hAnsi="Cambria" w:cs="Cambria" w:eastAsia="Cambria"/>
                <w:color w:val="1A1A1A"/>
                <w:sz w:val="18"/>
              </w:rPr>
              <w:t xml:space="preserve">Percentuale; indicatori</w:t>
            </w:r>
          </w:p>
        </w:tc>
        <w:tc>
          <w:tcPr>
            <w:shd w:val="clear" w:color="auto" w:fill="F4F1EC"/>
          </w:tcPr>
          <w:p>
            <w:pPr>
              <w:pStyle w:val="Compact"/>
              <w:spacing w:after="40" w:before="40"/>
              <w:jc w:val="left"/>
            </w:pPr>
            <w:r>
              <w:rPr>
                <w:rFonts w:ascii="Cambria" w:hAnsi="Cambria" w:cs="Cambria" w:eastAsia="Cambria"/>
                <w:color w:val="1A1A1A"/>
                <w:sz w:val="18"/>
              </w:rPr>
              <w:t xml:space="preserve">Dominio pedagogico e scolastico</w:t>
            </w:r>
          </w:p>
        </w:tc>
      </w:tr>
      <w:tr>
        <w:tc>
          <w:tcPr/>
          <w:p>
            <w:pPr>
              <w:pStyle w:val="Compact"/>
              <w:spacing w:after="40" w:before="40"/>
              <w:jc w:val="left"/>
            </w:pPr>
            <w:r>
              <w:rPr>
                <w:rFonts w:ascii="Cambria" w:hAnsi="Cambria" w:cs="Cambria" w:eastAsia="Cambria"/>
                <w:color w:val="1A1A1A"/>
                <w:sz w:val="18"/>
              </w:rPr>
              <w:t xml:space="preserve">Criminologica</w:t>
            </w:r>
          </w:p>
        </w:tc>
        <w:tc>
          <w:tcPr/>
          <w:p>
            <w:pPr>
              <w:pStyle w:val="Compact"/>
              <w:spacing w:after="40" w:before="40"/>
              <w:jc w:val="left"/>
            </w:pPr>
            <w:r>
              <w:rPr>
                <w:rFonts w:ascii="Cambria" w:hAnsi="Cambria" w:cs="Cambria" w:eastAsia="Cambria"/>
                <w:color w:val="1A1A1A"/>
                <w:sz w:val="18"/>
              </w:rPr>
              <w:t xml:space="preserve">Recidiva; costi della giustizia</w:t>
            </w:r>
          </w:p>
        </w:tc>
        <w:tc>
          <w:tcPr/>
          <w:p>
            <w:pPr>
              <w:pStyle w:val="Compact"/>
              <w:spacing w:after="40" w:before="40"/>
              <w:jc w:val="left"/>
            </w:pPr>
            <w:r>
              <w:rPr>
                <w:rFonts w:ascii="Cambria" w:hAnsi="Cambria" w:cs="Cambria" w:eastAsia="Cambria"/>
                <w:color w:val="1A1A1A"/>
                <w:sz w:val="18"/>
              </w:rPr>
              <w:t xml:space="preserve">Percentuale; euro</w:t>
            </w:r>
          </w:p>
        </w:tc>
        <w:tc>
          <w:tcPr/>
          <w:p>
            <w:pPr>
              <w:pStyle w:val="Compact"/>
              <w:spacing w:after="40" w:before="40"/>
              <w:jc w:val="left"/>
            </w:pPr>
            <w:r>
              <w:rPr>
                <w:rFonts w:ascii="Cambria" w:hAnsi="Cambria" w:cs="Cambria" w:eastAsia="Cambria"/>
                <w:color w:val="1A1A1A"/>
                <w:sz w:val="18"/>
              </w:rPr>
              <w:t xml:space="preserve">Dominio criminologico</w:t>
            </w:r>
          </w:p>
        </w:tc>
      </w:tr>
      <w:tr>
        <w:tc>
          <w:tcPr>
            <w:shd w:val="clear" w:color="auto" w:fill="F4F1EC"/>
          </w:tcPr>
          <w:p>
            <w:pPr>
              <w:pStyle w:val="Compact"/>
              <w:spacing w:after="40" w:before="40"/>
              <w:jc w:val="left"/>
            </w:pPr>
            <w:r>
              <w:rPr>
                <w:rFonts w:ascii="Cambria" w:hAnsi="Cambria" w:cs="Cambria" w:eastAsia="Cambria"/>
                <w:color w:val="1A1A1A"/>
                <w:sz w:val="18"/>
              </w:rPr>
              <w:t xml:space="preserve">Sociale e assistenziale</w:t>
            </w:r>
          </w:p>
        </w:tc>
        <w:tc>
          <w:tcPr>
            <w:shd w:val="clear" w:color="auto" w:fill="F4F1EC"/>
          </w:tcPr>
          <w:p>
            <w:pPr>
              <w:pStyle w:val="Compact"/>
              <w:spacing w:after="40" w:before="40"/>
              <w:jc w:val="left"/>
            </w:pPr>
            <w:r>
              <w:rPr>
                <w:rFonts w:ascii="Cambria" w:hAnsi="Cambria" w:cs="Cambria" w:eastAsia="Cambria"/>
                <w:color w:val="1A1A1A"/>
                <w:sz w:val="18"/>
              </w:rPr>
              <w:t xml:space="preserve">Capitale sociale; carico dei caregiver</w:t>
            </w:r>
          </w:p>
        </w:tc>
        <w:tc>
          <w:tcPr>
            <w:shd w:val="clear" w:color="auto" w:fill="F4F1EC"/>
          </w:tcPr>
          <w:p>
            <w:pPr>
              <w:pStyle w:val="Compact"/>
              <w:spacing w:after="40" w:before="40"/>
              <w:jc w:val="left"/>
            </w:pPr>
            <w:r>
              <w:rPr>
                <w:rFonts w:ascii="Cambria" w:hAnsi="Cambria" w:cs="Cambria" w:eastAsia="Cambria"/>
                <w:color w:val="1A1A1A"/>
                <w:sz w:val="18"/>
              </w:rPr>
              <w:t xml:space="preserve">Indici; ore ed euro</w:t>
            </w:r>
          </w:p>
        </w:tc>
        <w:tc>
          <w:tcPr>
            <w:shd w:val="clear" w:color="auto" w:fill="F4F1EC"/>
          </w:tcPr>
          <w:p>
            <w:pPr>
              <w:pStyle w:val="Compact"/>
              <w:spacing w:after="40" w:before="40"/>
              <w:jc w:val="left"/>
            </w:pPr>
            <w:r>
              <w:rPr>
                <w:rFonts w:ascii="Cambria" w:hAnsi="Cambria" w:cs="Cambria" w:eastAsia="Cambria"/>
                <w:color w:val="1A1A1A"/>
                <w:sz w:val="18"/>
              </w:rPr>
              <w:t xml:space="preserve">Domini sociale e assistenzialistico</w:t>
            </w:r>
          </w:p>
        </w:tc>
      </w:tr>
      <w:tr>
        <w:tc>
          <w:tcPr/>
          <w:p>
            <w:pPr>
              <w:pStyle w:val="Compact"/>
              <w:spacing w:after="40" w:before="40"/>
              <w:jc w:val="left"/>
            </w:pPr>
            <w:r>
              <w:rPr>
                <w:rFonts w:ascii="Cambria" w:hAnsi="Cambria" w:cs="Cambria" w:eastAsia="Cambria"/>
                <w:color w:val="1A1A1A"/>
                <w:sz w:val="18"/>
              </w:rPr>
              <w:t xml:space="preserve">Incertezza</w:t>
            </w:r>
          </w:p>
        </w:tc>
        <w:tc>
          <w:tcPr/>
          <w:p>
            <w:pPr>
              <w:pStyle w:val="Compact"/>
              <w:spacing w:after="40" w:before="40"/>
              <w:jc w:val="left"/>
            </w:pPr>
            <w:r>
              <w:rPr>
                <w:rFonts w:ascii="Cambria" w:hAnsi="Cambria" w:cs="Cambria" w:eastAsia="Cambria"/>
                <w:color w:val="1A1A1A"/>
                <w:sz w:val="18"/>
              </w:rPr>
              <w:t xml:space="preserve">Probabilità di costo-efficacia; intervalli</w:t>
            </w:r>
          </w:p>
        </w:tc>
        <w:tc>
          <w:tcPr/>
          <w:p>
            <w:pPr>
              <w:pStyle w:val="Compact"/>
              <w:spacing w:after="40" w:before="40"/>
              <w:jc w:val="left"/>
            </w:pPr>
            <w:r>
              <w:rPr>
                <w:rFonts w:ascii="Cambria" w:hAnsi="Cambria" w:cs="Cambria" w:eastAsia="Cambria"/>
                <w:color w:val="1A1A1A"/>
                <w:sz w:val="18"/>
              </w:rPr>
              <w:t xml:space="preserve">Percentuale; euro</w:t>
            </w:r>
          </w:p>
        </w:tc>
        <w:tc>
          <w:tcPr/>
          <w:p>
            <w:pPr>
              <w:pStyle w:val="Compact"/>
              <w:spacing w:after="40" w:before="40"/>
              <w:jc w:val="left"/>
            </w:pPr>
            <w:r>
              <w:rPr>
                <w:rFonts w:ascii="Cambria" w:hAnsi="Cambria" w:cs="Cambria" w:eastAsia="Cambria"/>
                <w:color w:val="1A1A1A"/>
                <w:sz w:val="18"/>
              </w:rPr>
              <w:t xml:space="preserve">Modellazione e previsione</w:t>
            </w:r>
          </w:p>
        </w:tc>
      </w:tr>
    </w:tbl>
    <w:p>
      <w:pPr>
        <w:pStyle w:val="BodyText"/>
      </w:pPr>
      <w:r>
        <w:t xml:space="preserve">La batteria così composta non è un semplice elenco di misure, ma il sistema nervoso dell’intera opera: essa collega il bisogno all’esito, l’esito al valore economico e il valore economico alla previsione, e consente di applicare la tassonomia della voce precedente a ciascuna figura e a ciascun dominio. Gli indicatori e i parametri qui definiti saranno richiamati, nelle parti seguenti, ovunque una grandezza debba essere misurata; e la loro qualità, come quella di ogni evidenza dell’opera, sarà graduata secondo i criteri esposti nella voce che segue.</w:t>
      </w:r>
    </w:p>
    <w:p>
      <w:pPr>
        <w:pStyle w:val="BodyText"/>
      </w:pPr>
      <w:r>
        <w:t xml:space="preserve">Studio Integrale, Finale e Definitivo · Progetto «Psicologo di Base» · Regione Puglia** Parte I · voci 1.7–1.9**</w:t>
      </w:r>
    </w:p>
    <w:p>
      <w:pPr>
        <w:pStyle w:val="BodyText"/>
      </w:pPr>
      <w:r>
        <w:rPr>
          <w:b/>
          <w:bCs/>
        </w:rPr>
        <w:t xml:space="preserve">STUDIO INTEGRALE, FINALE E DEFINITIVO · PARTE I · ESTRATTO</w:t>
      </w:r>
    </w:p>
    <w:p>
      <w:pPr>
        <w:pStyle w:val="BodyText"/>
      </w:pPr>
      <w:r>
        <w:rPr>
          <w:b/>
          <w:bCs/>
        </w:rPr>
        <w:t xml:space="preserve">Voci 1.7, 1.8 e 1.9</w:t>
      </w:r>
    </w:p>
    <w:p>
      <w:pPr>
        <w:pStyle w:val="BodyText"/>
      </w:pPr>
      <w:r>
        <w:rPr>
          <w:i/>
          <w:iCs/>
        </w:rPr>
        <w:t xml:space="preserve">La graduazione simmetrica dell’evidenza e i vincoli invarianti · il posizionamento dell’Intelligenza Artificiale e della formazione · fonti, qualità dei dati e limiti</w:t>
      </w:r>
    </w:p>
    <w:p>
      <w:pPr>
        <w:pStyle w:val="BodyText"/>
      </w:pPr>
      <w:r>
        <w:t xml:space="preserve">Estratto delle tre voci conclusive della Parte I, da integrare nel documento cumulativo. La numerazione delle note a piè di pagina, in questo estratto isolato, riparte da 1; nel documento completo le medesime note assumono i numeri da 13 a 20.</w:t>
      </w:r>
    </w:p>
    <w:bookmarkEnd w:id="44"/>
    <w:bookmarkStart w:id="49" w:name="X56f79ad9abf1bd544488a7c7255907fca533fd9"/>
    <w:p>
      <w:pPr>
        <w:pStyle w:val="Heading3"/>
      </w:pPr>
      <w:r>
        <w:rPr>
          <w:b/>
          <w:bCs/>
        </w:rPr>
        <w:t xml:space="preserve">1.7 La graduazione simmetrica dell’evidenza (GRADE) e i vincoli invarianti</w:t>
      </w:r>
    </w:p>
    <w:p>
      <w:pPr>
        <w:pStyle w:val="FirstParagraph"/>
      </w:pPr>
      <w:r>
        <w:rPr>
          <w:i/>
          <w:iCs/>
        </w:rPr>
        <w:t xml:space="preserve">Questa voce dichiara il metodo con cui l’opera gradua la qualità delle proprie evidenze e i vincoli quantitativi entro cui ogni stima deve mantenersi. Essa espone il metodo di graduazione su quattro livelli, ne afferma il principio cardine della simmetria tra evidenze cliniche ed evidenze sull’Intelligenza Artificiale, ed enuncia i vincoli invarianti — gli intervalli corretti di ritorno, il caveat dell’IMPACT trial, la separazione fiscale e sociale, le bande prudenziali, la falsificabilità e la cautela sui dati pilota — che costituiscono la disciplina epistemologica dell’opera.</w:t>
      </w:r>
    </w:p>
    <w:p>
      <w:pPr>
        <w:pStyle w:val="BodyText"/>
      </w:pPr>
      <w:r>
        <w:t xml:space="preserve">L’opera non si limita a raccogliere evidenze, ma ne dichiara la qualità, applicando un metodo riconosciuto di graduazione della certezza.</w:t>
      </w:r>
      <w:r>
        <w:rPr>
          <w:rStyle w:val="FootnoteReference"/>
        </w:rPr>
        <w:footnoteReference w:id="28"/>
      </w:r>
      <w:r>
        <w:t xml:space="preserve"> </w:t>
      </w:r>
      <w:r>
        <w:t xml:space="preserve">Tale metodo distingue quattro livelli — alta, moderata, bassa e molto bassa certezza — e li determina valutando, per ciascun corpo di prove, il disegno degli studi, la coerenza dei risultati, la loro applicabilità al contesto e la precisione delle stime. La graduazione non è un ornamento, ma una garanzia di onestà: essa consente di distinguere ciò che è solidamente dimostrato da ciò che è soltanto plausibile, e di calibrare di conseguenza la forza delle conclusioni. La dichiarazione esplicita del livello di certezza di ciascuna evidenza ha una conseguenza operativa diretta sulla forza delle raccomandazioni: una conclusione fondata su evidenza di alta certezza può essere affermata con fermezza, mentre una conclusione fondata su evidenza di bassa o molto bassa certezza è presentata come ipotesi da verificare, e mai come risultato acquisito; ed è in questa proporzione tra qualità della prova e forza della conclusione che risiede la disciplina del metodo.</w:t>
      </w:r>
    </w:p>
    <w:p>
      <w:pPr>
        <w:pStyle w:val="BodyText"/>
      </w:pPr>
      <w:r>
        <w:t xml:space="preserve">Il principio cardine, in questa materia, è la simmetria. La graduazione è applicata con il medesimo rigore alle evidenze cliniche e a quelle relative all’Intelligenza Artificiale, senza che a queste ultime sia riservato alcun trattamento di favore. Un risultato favorevole all’Intelligenza Artificiale derivante da uno studio di qualità limitata riceve la medesima qualificazione prudente che si riserverebbe a un risultato clinico di pari qualità; e una raccomandazione non può fondarsi su un’evidenza di bassa certezza, qualunque ne sia l’oggetto. Questa simmetria è la condizione perché la collocazione dell’Intelligenza Artificiale come leva abilitante, e non come oggetto centrale, si rifletta anche nel trattamento delle sue prove. La simmetria è il presidio contro un rischio specifico e diffuso nella pubblicistica sulla tecnologia: quello di applicare alle evidenze sull’Intelligenza Artificiale un criterio di valutazione più indulgente di quello riservato alle evidenze cliniche, accogliendo come dimostrato ciò che è soltanto promettente; e l’opera lo esclude imponendo a entrambe il medesimo metro, così che l’entusiasmo per la tecnologia non si traduca in un abbassamento dello standard di prova.</w:t>
      </w:r>
    </w:p>
    <w:p>
      <w:pPr>
        <w:pStyle w:val="BodyText"/>
      </w:pPr>
      <w:r>
        <w:t xml:space="preserve">Alla graduazione dell’evidenza si affiancano i vincoli invarianti, che fissano i limiti quantitativi entro cui ogni stima deve mantenersi. Il primo e più rilevante riguarda il ritorno economico degli investimenti in salute mentale, che è espresso nei soli intervalli sostenuti dalla letteratura di riferimento: da 2,3 a 3,0 a 1 per i soli benefici economici, e da 3,3 a 5,7 a 1 con l’inclusione dei ritorni in salute.</w:t>
      </w:r>
      <w:r>
        <w:rPr>
          <w:rStyle w:val="FootnoteReference"/>
        </w:rPr>
        <w:footnoteReference w:id="29"/>
      </w:r>
      <w:r>
        <w:t xml:space="preserve"> </w:t>
      </w:r>
      <w:r>
        <w:t xml:space="preserve">Sono esclusi, in quanto privi di fondamento, i valori gonfiati talora reperibili nella pubblicistica — i rapporti marcatamente superiori a quelli documentati dalla letteratura di riferimento, la nozione indistinta di saldo netto e i rapporti semplificati di larga diffusione comunicativa, privi di base analitica e non assimilabili a un risultato scientifico. L’esclusione di tali valori non è una scelta di prudenza facoltativa, ma una condizione di aderenza alla letteratura: i rapporti gonfiati derivano per lo più da estrapolazioni indebite, da aggregazioni che duplicano le grandezze o da semplificazioni comunicative prive di base analitica, e adottarli significherebbe fondare il saldo della riforma su grandezze inesistenti; l’opera vi rinuncia, e si vincola ai soli intervalli che la letteratura di riferimento corrobora.</w:t>
      </w:r>
    </w:p>
    <w:p>
      <w:pPr>
        <w:pStyle w:val="BodyText"/>
      </w:pPr>
      <w:r>
        <w:t xml:space="preserve">Gli ulteriori vincoli completano il presidio. Il caveat dell’IMPACT trial impone di ricordare che, in quello studio, i risparmi sui costi sanitari non hanno raggiunto la significatività statistica, poiché l’intervallo di confidenza al 95 per cento attraversa lo zero: i risparmi diretti, pertanto, sono presentati con la dovuta cautela.</w:t>
      </w:r>
      <w:r>
        <w:rPr>
          <w:rStyle w:val="FootnoteReference"/>
        </w:rPr>
        <w:footnoteReference w:id="30"/>
      </w:r>
      <w:r>
        <w:t xml:space="preserve"> </w:t>
      </w:r>
      <w:r>
        <w:t xml:space="preserve">La separazione tra grandezze fiscali dirette e ricadute sociali è mantenuta in ogni parte, a impedire ogni duplicazione. Le previsioni sono espresse in bande prudenziali e in forma falsificabile, corredate di soglie il cui superamento modifica la raccomandazione. I dati dei progetti pilota italiani, quali quelli di Solano e di Orvieto, derivando da campioni limitati e da letteratura grigia, sono citati con esplicita riserva. Questi vincoli, presi insieme, definiscono la disciplina epistemologica dell’opera; e la loro funzione non è di indebolire le conclusioni, ma di renderle difendibili: una conclusione che dichiara i propri limiti e si impone vincoli quantitativi è più solida, dinanzi a un decisore avvertito, di una conclusione che li occulta, poiché la prima può essere verificata e la seconda soltanto creduta.</w:t>
      </w:r>
    </w:p>
    <w:p>
      <w:pPr>
        <w:pStyle w:val="BodyText"/>
      </w:pPr>
      <w:r>
        <w:rPr>
          <w:b/>
          <w:bCs/>
          <w:i/>
          <w:iCs/>
        </w:rPr>
        <w:t xml:space="preserve">Tabella 1.7 — I vincoli metodologici invarianti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Vincolo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Ragione</w:t>
            </w:r>
          </w:p>
        </w:tc>
      </w:tr>
      <w:tr>
        <w:tc>
          <w:tcPr/>
          <w:p>
            <w:pPr>
              <w:pStyle w:val="Compact"/>
              <w:spacing w:after="40" w:before="40"/>
              <w:jc w:val="left"/>
            </w:pPr>
            <w:r>
              <w:rPr>
                <w:rFonts w:ascii="Cambria" w:hAnsi="Cambria" w:cs="Cambria" w:eastAsia="Cambria"/>
                <w:b/>
                <w:bCs/>
                <w:color w:val="1A1A1A"/>
                <w:sz w:val="18"/>
              </w:rPr>
              <w:t xml:space="preserve">Intervalli di ritorno corretti</w:t>
            </w:r>
          </w:p>
        </w:tc>
        <w:tc>
          <w:tcPr/>
          <w:p>
            <w:pPr>
              <w:pStyle w:val="Compact"/>
              <w:spacing w:after="40" w:before="40"/>
              <w:jc w:val="left"/>
            </w:pPr>
            <w:r>
              <w:rPr>
                <w:rFonts w:ascii="Cambria" w:hAnsi="Cambria" w:cs="Cambria" w:eastAsia="Cambria"/>
                <w:color w:val="1A1A1A"/>
                <w:sz w:val="18"/>
              </w:rPr>
              <w:t xml:space="preserve">2,3–3,0:1 (soli benefici economici); 3,3–5,7:1 (con i ritorni in salute)</w:t>
            </w:r>
          </w:p>
        </w:tc>
        <w:tc>
          <w:tcPr/>
          <w:p>
            <w:pPr>
              <w:pStyle w:val="Compact"/>
              <w:spacing w:after="40" w:before="40"/>
              <w:jc w:val="left"/>
            </w:pPr>
            <w:r>
              <w:rPr>
                <w:rFonts w:ascii="Cambria" w:hAnsi="Cambria" w:cs="Cambria" w:eastAsia="Cambria"/>
                <w:color w:val="1A1A1A"/>
                <w:sz w:val="18"/>
              </w:rPr>
              <w:t xml:space="preserve">Aderenza alla letteratura ed esclusione dei valori non corroborati (rapporti gonfiati, saldo netto indistinto, semplificazioni comunicative)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Caveat dell’IMPACT trial</w:t>
            </w:r>
          </w:p>
        </w:tc>
        <w:tc>
          <w:tcPr>
            <w:shd w:val="clear" w:color="auto" w:fill="F4F1EC"/>
          </w:tcPr>
          <w:p>
            <w:pPr>
              <w:pStyle w:val="Compact"/>
              <w:spacing w:after="40" w:before="40"/>
              <w:jc w:val="left"/>
            </w:pPr>
            <w:r>
              <w:rPr>
                <w:rFonts w:ascii="Cambria" w:hAnsi="Cambria" w:cs="Cambria" w:eastAsia="Cambria"/>
                <w:color w:val="1A1A1A"/>
                <w:sz w:val="18"/>
              </w:rPr>
              <w:t xml:space="preserve">I risparmi sui costi sanitari non sono statisticamente significativi (intervallo di confidenza che attraversa lo zero)</w:t>
            </w:r>
          </w:p>
        </w:tc>
        <w:tc>
          <w:tcPr>
            <w:shd w:val="clear" w:color="auto" w:fill="F4F1EC"/>
          </w:tcPr>
          <w:p>
            <w:pPr>
              <w:pStyle w:val="Compact"/>
              <w:spacing w:after="40" w:before="40"/>
              <w:jc w:val="left"/>
            </w:pPr>
            <w:r>
              <w:rPr>
                <w:rFonts w:ascii="Cambria" w:hAnsi="Cambria" w:cs="Cambria" w:eastAsia="Cambria"/>
                <w:color w:val="1A1A1A"/>
                <w:sz w:val="18"/>
              </w:rPr>
              <w:t xml:space="preserve">Onestà sull’incertezza dei risparmi diretti</w:t>
            </w:r>
          </w:p>
        </w:tc>
      </w:tr>
      <w:tr>
        <w:tc>
          <w:tcPr/>
          <w:p>
            <w:pPr>
              <w:pStyle w:val="Compact"/>
              <w:spacing w:after="40" w:before="40"/>
              <w:jc w:val="left"/>
            </w:pPr>
            <w:r>
              <w:rPr>
                <w:rFonts w:ascii="Cambria" w:hAnsi="Cambria" w:cs="Cambria" w:eastAsia="Cambria"/>
                <w:b/>
                <w:bCs/>
                <w:color w:val="1A1A1A"/>
                <w:sz w:val="18"/>
              </w:rPr>
              <w:t xml:space="preserve">Separazione fiscale e sociale</w:t>
            </w:r>
          </w:p>
        </w:tc>
        <w:tc>
          <w:tcPr/>
          <w:p>
            <w:pPr>
              <w:pStyle w:val="Compact"/>
              <w:spacing w:after="40" w:before="40"/>
              <w:jc w:val="left"/>
            </w:pPr>
            <w:r>
              <w:rPr>
                <w:rFonts w:ascii="Cambria" w:hAnsi="Cambria" w:cs="Cambria" w:eastAsia="Cambria"/>
                <w:color w:val="1A1A1A"/>
                <w:sz w:val="18"/>
              </w:rPr>
              <w:t xml:space="preserve">Grandezze fiscali dirette e ricadute sociali tenute distinte fino al saldo</w:t>
            </w:r>
          </w:p>
        </w:tc>
        <w:tc>
          <w:tcPr/>
          <w:p>
            <w:pPr>
              <w:pStyle w:val="Compact"/>
              <w:spacing w:after="40" w:before="40"/>
              <w:jc w:val="left"/>
            </w:pPr>
            <w:r>
              <w:rPr>
                <w:rFonts w:ascii="Cambria" w:hAnsi="Cambria" w:cs="Cambria" w:eastAsia="Cambria"/>
                <w:color w:val="1A1A1A"/>
                <w:sz w:val="18"/>
              </w:rPr>
              <w:t xml:space="preserve">Impedire la duplicazione tra categorie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Bande prudenziali</w:t>
            </w:r>
          </w:p>
        </w:tc>
        <w:tc>
          <w:tcPr>
            <w:shd w:val="clear" w:color="auto" w:fill="F4F1EC"/>
          </w:tcPr>
          <w:p>
            <w:pPr>
              <w:pStyle w:val="Compact"/>
              <w:spacing w:after="40" w:before="40"/>
              <w:jc w:val="left"/>
            </w:pPr>
            <w:r>
              <w:rPr>
                <w:rFonts w:ascii="Cambria" w:hAnsi="Cambria" w:cs="Cambria" w:eastAsia="Cambria"/>
                <w:color w:val="1A1A1A"/>
                <w:sz w:val="18"/>
              </w:rPr>
              <w:t xml:space="preserve">Stime espresse in intervalli, non in valori puntuali</w:t>
            </w:r>
          </w:p>
        </w:tc>
        <w:tc>
          <w:tcPr>
            <w:shd w:val="clear" w:color="auto" w:fill="F4F1EC"/>
          </w:tcPr>
          <w:p>
            <w:pPr>
              <w:pStyle w:val="Compact"/>
              <w:spacing w:after="40" w:before="40"/>
              <w:jc w:val="left"/>
            </w:pPr>
            <w:r>
              <w:rPr>
                <w:rFonts w:ascii="Cambria" w:hAnsi="Cambria" w:cs="Cambria" w:eastAsia="Cambria"/>
                <w:color w:val="1A1A1A"/>
                <w:sz w:val="18"/>
              </w:rPr>
              <w:t xml:space="preserve">Prudenza e robustezza delle conclusioni</w:t>
            </w:r>
          </w:p>
        </w:tc>
      </w:tr>
      <w:tr>
        <w:tc>
          <w:tcPr/>
          <w:p>
            <w:pPr>
              <w:pStyle w:val="Compact"/>
              <w:spacing w:after="40" w:before="40"/>
              <w:jc w:val="left"/>
            </w:pPr>
            <w:r>
              <w:rPr>
                <w:rFonts w:ascii="Cambria" w:hAnsi="Cambria" w:cs="Cambria" w:eastAsia="Cambria"/>
                <w:b/>
                <w:bCs/>
                <w:color w:val="1A1A1A"/>
                <w:sz w:val="18"/>
              </w:rPr>
              <w:t xml:space="preserve">Falsificabilità</w:t>
            </w:r>
          </w:p>
        </w:tc>
        <w:tc>
          <w:tcPr/>
          <w:p>
            <w:pPr>
              <w:pStyle w:val="Compact"/>
              <w:spacing w:after="40" w:before="40"/>
              <w:jc w:val="left"/>
            </w:pPr>
            <w:r>
              <w:rPr>
                <w:rFonts w:ascii="Cambria" w:hAnsi="Cambria" w:cs="Cambria" w:eastAsia="Cambria"/>
                <w:color w:val="1A1A1A"/>
                <w:sz w:val="18"/>
              </w:rPr>
              <w:t xml:space="preserve">Previsioni corredate di benchmark e di soglie confutabili</w:t>
            </w:r>
          </w:p>
        </w:tc>
        <w:tc>
          <w:tcPr/>
          <w:p>
            <w:pPr>
              <w:pStyle w:val="Compact"/>
              <w:spacing w:after="40" w:before="40"/>
              <w:jc w:val="left"/>
            </w:pPr>
            <w:r>
              <w:rPr>
                <w:rFonts w:ascii="Cambria" w:hAnsi="Cambria" w:cs="Cambria" w:eastAsia="Cambria"/>
                <w:color w:val="1A1A1A"/>
                <w:sz w:val="18"/>
              </w:rPr>
              <w:t xml:space="preserve">Verificabilità ex-post della previsione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Cautela sui dati pilota</w:t>
            </w:r>
          </w:p>
        </w:tc>
        <w:tc>
          <w:tcPr>
            <w:shd w:val="clear" w:color="auto" w:fill="F4F1EC"/>
          </w:tcPr>
          <w:p>
            <w:pPr>
              <w:pStyle w:val="Compact"/>
              <w:spacing w:after="40" w:before="40"/>
              <w:jc w:val="left"/>
            </w:pPr>
            <w:r>
              <w:rPr>
                <w:rFonts w:ascii="Cambria" w:hAnsi="Cambria" w:cs="Cambria" w:eastAsia="Cambria"/>
                <w:color w:val="1A1A1A"/>
                <w:sz w:val="18"/>
              </w:rPr>
              <w:t xml:space="preserve">Dati di Solano e Orvieto da campioni limitati e letteratura grigia, citati con riserva</w:t>
            </w:r>
          </w:p>
        </w:tc>
        <w:tc>
          <w:tcPr>
            <w:shd w:val="clear" w:color="auto" w:fill="F4F1EC"/>
          </w:tcPr>
          <w:p>
            <w:pPr>
              <w:pStyle w:val="Compact"/>
              <w:spacing w:after="40" w:before="40"/>
              <w:jc w:val="left"/>
            </w:pPr>
            <w:r>
              <w:rPr>
                <w:rFonts w:ascii="Cambria" w:hAnsi="Cambria" w:cs="Cambria" w:eastAsia="Cambria"/>
                <w:color w:val="1A1A1A"/>
                <w:sz w:val="18"/>
              </w:rPr>
              <w:t xml:space="preserve">Onestà sulla qualità delle fonti</w:t>
            </w:r>
          </w:p>
        </w:tc>
      </w:tr>
      <w:tr>
        <w:tc>
          <w:tcPr/>
          <w:p>
            <w:pPr>
              <w:pStyle w:val="Compact"/>
              <w:spacing w:after="40" w:before="40"/>
              <w:jc w:val="left"/>
            </w:pPr>
            <w:r>
              <w:rPr>
                <w:rFonts w:ascii="Cambria" w:hAnsi="Cambria" w:cs="Cambria" w:eastAsia="Cambria"/>
                <w:b/>
                <w:bCs/>
                <w:color w:val="1A1A1A"/>
                <w:sz w:val="18"/>
              </w:rPr>
              <w:t xml:space="preserve">Graduazione simmetrica</w:t>
            </w:r>
          </w:p>
        </w:tc>
        <w:tc>
          <w:tcPr/>
          <w:p>
            <w:pPr>
              <w:pStyle w:val="Compact"/>
              <w:spacing w:after="40" w:before="40"/>
              <w:jc w:val="left"/>
            </w:pPr>
            <w:r>
              <w:rPr>
                <w:rFonts w:ascii="Cambria" w:hAnsi="Cambria" w:cs="Cambria" w:eastAsia="Cambria"/>
                <w:color w:val="1A1A1A"/>
                <w:sz w:val="18"/>
              </w:rPr>
              <w:t xml:space="preserve">Metodo applicato con eguale rigore a evidenze cliniche e a evidenze sull’Intelligenza Artificiale</w:t>
            </w:r>
          </w:p>
        </w:tc>
        <w:tc>
          <w:tcPr/>
          <w:p>
            <w:pPr>
              <w:pStyle w:val="Compact"/>
              <w:spacing w:after="40" w:before="40"/>
              <w:jc w:val="left"/>
            </w:pPr>
            <w:r>
              <w:rPr>
                <w:rFonts w:ascii="Cambria" w:hAnsi="Cambria" w:cs="Cambria" w:eastAsia="Cambria"/>
                <w:color w:val="1A1A1A"/>
                <w:sz w:val="18"/>
              </w:rPr>
              <w:t xml:space="preserve">Evitare ogni trattamento di favore per la tecnologia</w:t>
            </w:r>
          </w:p>
        </w:tc>
      </w:tr>
    </w:tbl>
    <w:p>
      <w:pPr>
        <w:pStyle w:val="BodyText"/>
      </w:pPr>
      <w:r>
        <w:t xml:space="preserve">La graduazione dell’evidenza e i vincoli invarianti, congiunti, costituiscono la coscienza critica dell’opera, e trovano nel manuale operativo del metodo di graduazione il loro fondamento procedurale.</w:t>
      </w:r>
      <w:r>
        <w:rPr>
          <w:rStyle w:val="FootnoteReference"/>
        </w:rPr>
        <w:footnoteReference w:id="31"/>
      </w:r>
      <w:r>
        <w:t xml:space="preserve"> </w:t>
      </w:r>
      <w:r>
        <w:t xml:space="preserve">Essi non ne limitano l’ambizione, ma ne assicurano la credibilità, poiché un’analisi integrale che non dichiarasse la qualità delle proprie prove e non si imponesse limiti quantitativi sarebbe tanto più vasta quanto meno persuasiva. Le voci conclusive della parte collocano, entro questa disciplina, l’Intelligenza Artificiale e la formazione, e dichiarano le fonti, i limiti e l’agenda di verifica documentale dell’opera; ed è significativo che la disciplina epistemologica preceda, nell’ordine delle voci, la collocazione dell’Intelligenza Artificiale, poiché è precisamente entro i vincoli qui dichiarati — e non al di fuori di essi — che il contributo della tecnologia sarà valutato.</w:t>
      </w:r>
    </w:p>
    <w:bookmarkEnd w:id="49"/>
    <w:bookmarkStart w:id="52" w:name="X37c915adeeeee80929b658b8d5a8365f4be43b9"/>
    <w:p>
      <w:pPr>
        <w:pStyle w:val="Heading3"/>
      </w:pPr>
      <w:r>
        <w:rPr>
          <w:b/>
          <w:bCs/>
        </w:rPr>
        <w:t xml:space="preserve">1.8 Il posizionamento dell’Intelligenza Artificiale come leva abilitante e della formazione come pilastro trasversale</w:t>
      </w:r>
    </w:p>
    <w:p>
      <w:pPr>
        <w:pStyle w:val="FirstParagraph"/>
      </w:pPr>
      <w:r>
        <w:rPr>
          <w:i/>
          <w:iCs/>
        </w:rPr>
        <w:t xml:space="preserve">Questa voce fonda compiutamente, sul piano metodologico, la duplice collocazione già annunciata nella premessa e nella seconda voce: l’Intelligenza Artificiale come leva abilitante subordinata e non come oggetto centrale, e la formazione come pilastro trasversale articolato in quattro modalità. Essa precisa il ruolo dell’Intelligenza Artificiale lungo il ciclo assistenziale e la sua governance prudenziale, ne ribadisce la valutazione incrementale e graduata, e dichiara il trattamento della formazione — comprese le competenze per l’uso dell’Intelligenza Artificiale — sia per singola modalità sia nella loro combinazione.</w:t>
      </w:r>
    </w:p>
    <w:p>
      <w:pPr>
        <w:pStyle w:val="BodyText"/>
      </w:pPr>
      <w:r>
        <w:t xml:space="preserve">La collocazione dell’Intelligenza Artificiale, annunciata nella premessa e ripresa nella definizione del perimetro, riceve in questa voce il suo fondamento metodologico compiuto. Il principio è che l’Intelligenza Artificiale non costituisce l’oggetto dell’analisi, ma una delle leve che rendono la figura dello Psicologo di Base più funzionale ed efficace, accanto alle leve organizzative, di processo e formative. Questo principio non è una cautela retorica, ma una scelta che determina il modo in cui il contributo della tecnologia è misurato: poiché l’Intelligenza Artificiale è una leva e non un soggetto, il suo valore non è stimato in sé, come se essa fosse un intervento autonomo, ma in via incrementale, come accrescimento della capacità della figura di generare valore lungo la cascata e la matrice dei domini. La differenza tra le due impostazioni — valutare la tecnologia come soggetto o come leva — non è di sfumatura: la prima condurrebbe a sopravvalutare l’Intelligenza Artificiale, attribuendole effetti che dipendono dall’intera organizzazione del servizio; la seconda la colloca al suo posto, come fattore che potenzia un soggetto che resta umano e clinico.</w:t>
      </w:r>
    </w:p>
    <w:p>
      <w:pPr>
        <w:pStyle w:val="BodyText"/>
      </w:pPr>
      <w:r>
        <w:t xml:space="preserve">Lungo il ciclo assistenziale, l’Intelligenza Artificiale interviene in più momenti, sempre in funzione di supporto e mai di sostituzione. Nella fase di individuazione e di valutazione iniziale, essa può coadiuvare la stratificazione del rischio e l’orientamento della domanda, segnalando i casi che richiedono attenzione prioritaria; nella fase di trattamento, può affiancare gli interventi psicologici attraverso strumenti digitali e programmi di terapia cognitivo-comportamentale erogati per via telematica, sotto la guida del professionista; nella fase di monitoraggio, può sostenere il rilevamento degli esiti e l’individuazione precoce delle ricadute. In ciascuno di questi momenti, la funzione dell’Intelligenza Artificiale è di ampliare la portata e la tempestività dell’azione della figura, non di sostituirne il giudizio: la decisione clinica resta umana, e lo strumento è subordinato alla supervisione del professionista. È questa subordinazione costante — e non una astratta dichiarazione di principio — a definire il modo in cui l’Intelligenza Artificiale entra nel modello organizzativo, che la quarta parte dell’opera espone in dettaglio.</w:t>
      </w:r>
    </w:p>
    <w:p>
      <w:pPr>
        <w:pStyle w:val="BodyText"/>
      </w:pPr>
      <w:r>
        <w:t xml:space="preserve">La governance dell’Intelligenza Artificiale è prudenziale e si fonda su quattro esigenze congiunte: la sicurezza, che impone di adottare soltanto strumenti di affidabilità documentata; l’equità, che impone di vigilare affinché gli strumenti non introducano o amplifichino disparità di accesso o di trattamento; la supervisione umana, che mantiene la decisione clinica in capo al professionista; e la responsabilità, che esige la tracciabilità delle determinazioni e l’imputabilità delle scelte.</w:t>
      </w:r>
      <w:r>
        <w:rPr>
          <w:rStyle w:val="FootnoteReference"/>
        </w:rPr>
        <w:footnoteReference w:id="32"/>
      </w:r>
      <w:r>
        <w:t xml:space="preserve"> </w:t>
      </w:r>
      <w:r>
        <w:t xml:space="preserve">Queste esigenze non sono accessorie, ma costitutive della collocazione dell’Intelligenza Artificiale come leva: uno strumento che non fosse sicuro, equo, supervisionato e imputabile non sarebbe una leva al servizio della figura, ma un fattore di rischio per il paziente e per il sistema; e la governance prudenziale è precisamente ciò che assicura che la tecnologia rimanga, in ogni momento, subordinata al fine clinico e alla tutela della persona. La cornice normativa europea sull’Intelligenza Artificiale, che disciplina i sistemi secondo il rischio e prescrive la supervisione umana, fornisce a questa governance il suo riferimento giuridico, che la tredicesima parte dell’opera svilupperà.</w:t>
      </w:r>
    </w:p>
    <w:p>
      <w:pPr>
        <w:pStyle w:val="BodyText"/>
      </w:pPr>
      <w:r>
        <w:t xml:space="preserve">La valutazione del contributo dell’Intelligenza Artificiale è retta dai medesimi vincoli che governano ogni altra evidenza dell’opera. Il suo costo è isolato come costo incrementale, distinto dagli altri costi diretti, così che il suo apporto possa essere rapportato al suo onere specifico; il suo contributo ai risparmi e ai benefici è quantificato in via incrementale, all’interno di ciascun livello della cascata e di ciascun dominio, e non come grandezza autonoma; e la sua evidenza è graduata con il medesimo rigore applicato alle affermazioni cliniche, secondo il principio di simmetria già enunciato. Questa triplice disciplina — isolamento del costo, quantificazione incrementale del beneficio, graduazione simmetrica dell’evidenza — è la traduzione operativa della collocazione dell’Intelligenza Artificiale come leva: essa impedisce che la tecnologia sia valutata con criteri più generosi di quelli riservati al resto dell’analisi, e assicura che il suo contributo, quale che ne risulti l’entità, sia stimato con la stessa prudenza che governa ogni altra grandezza.</w:t>
      </w:r>
    </w:p>
    <w:p>
      <w:pPr>
        <w:pStyle w:val="BodyText"/>
      </w:pPr>
      <w:r>
        <w:t xml:space="preserve">La formazione del personale costituisce il secondo fattore trasversale, e riceve in questa voce la sua collocazione metodologica, che la quinta parte dell’opera sviluppa compiutamente. La formazione attraversa la cascata delle figure rendendo ciascuna capace di esercitare appieno, e in sicurezza, le funzioni che la riforma le assegna, e comprende le competenze cliniche, organizzative, relazionali e digitali, ivi incluse quelle necessarie all’uso appropriato dell’Intelligenza Artificiale.</w:t>
      </w:r>
      <w:r>
        <w:rPr>
          <w:rStyle w:val="FootnoteReference"/>
        </w:rPr>
        <w:footnoteReference w:id="33"/>
      </w:r>
      <w:r>
        <w:t xml:space="preserve"> </w:t>
      </w:r>
      <w:r>
        <w:t xml:space="preserve">In aderenza all’ordine ricevuto, le quattro modalità formative — universitaria, post-universitaria, lavorativa e per affiancamento di figure esperte, comprese quelle dedicate all’Intelligenza Artificiale — sono considerate sia singolarmente, ciascuna con i propri costi, tempi e rendimenti, sia congiuntamente, come percorso formativo integrato, così che il confronto tra le modalità singole e la loro combinazione resti sempre disponibile al decisore. La duplice considerazione — per singola modalità e in combinazione — non è una ripetizione, ma una necessità analitica: le modalità formative interagiscono, e il rendimento del percorso integrato non coincide con la somma dei rendimenti delle modalità isolate; valutarle separatamente e congiuntamente è l’unico modo per cogliere tanto il contributo specifico di ciascuna quanto l’effetto della loro composizione.</w:t>
      </w:r>
    </w:p>
    <w:p>
      <w:pPr>
        <w:pStyle w:val="BodyText"/>
      </w:pPr>
      <w:r>
        <w:t xml:space="preserve">La collocazione congiunta dell’Intelligenza Artificiale e della formazione come fattori trasversali ha, infine, una conseguenza sull’intera architettura della valutazione. Le due leve non si aggiungono alla cascata e ai domini come elementi ulteriori, ma li attraversano, e perciò il loro contributo è distribuito su tutti i livelli e su tutti gli ambiti, anziché concentrato in uno solo. Questa distribuzione è ciò che rende le due leve realmente trasversali, e ne giustifica la trattazione separata dalle figure e dagli ambiti: poiché esse incidono ovunque, la loro valutazione non può essere collocata in un solo punto dell’analisi, ma deve essere richiamata in ciascun punto in cui esse operano, sempre con la disciplina — incrementale, graduata, prudenziale — che questa voce ha dichiarato. È con questa dichiarazione che il fondamento metodologico dell’opera, per quanto attiene alle due leve, è compiuto; resta da dichiarare, nell’ultima voce, ciò che riguarda le fonti, la qualità dei dati e i limiti dell’intera costruzione.</w:t>
      </w:r>
    </w:p>
    <w:bookmarkEnd w:id="52"/>
    <w:bookmarkStart w:id="54" w:name="X63cf705fdd85295b74b1819412fbf0c1feade58"/>
    <w:p>
      <w:pPr>
        <w:pStyle w:val="Heading3"/>
      </w:pPr>
      <w:r>
        <w:rPr>
          <w:b/>
          <w:bCs/>
        </w:rPr>
        <w:t xml:space="preserve">1.9 Fonti, qualità dei dati, limiti dichiarati e agenda di verifica documentale</w:t>
      </w:r>
    </w:p>
    <w:p>
      <w:pPr>
        <w:pStyle w:val="FirstParagraph"/>
      </w:pPr>
      <w:r>
        <w:rPr>
          <w:i/>
          <w:iCs/>
        </w:rPr>
        <w:t xml:space="preserve">Questa voce chiude il fondamento dichiarando ciò su cui l’opera poggia e ciò che essa non può ancora affermare. Essa distingue le fonti secondo la loro natura e la loro qualità, separa la parte invariante del telaio dalla parte variabile dei dati regionali, dichiara con franchezza il limite principale dell’opera — il consolidamento dei dati certificati, condizione della presentazione esterna — e definisce l’agenda di verifica documentale che ne governa il completamento, in coerenza con la falsificabilità delle previsioni.</w:t>
      </w:r>
    </w:p>
    <w:p>
      <w:pPr>
        <w:pStyle w:val="BodyText"/>
      </w:pPr>
      <w:r>
        <w:t xml:space="preserve">Un’opera che dichiara il proprio metodo e i propri vincoli deve dichiarare, da ultimo, le proprie fonti e i propri limiti, poiché la credibilità di una valutazione non riposa soltanto sulla correttezza del procedimento, ma anche sulla qualità e sulla tracciabilità dei dati che lo alimentano. Le fonti dell’opera si distinguono per natura e per qualità. Per natura, esse si dividono nelle fonti della parte invariante del telaio — la letteratura scientifica internazionale, gli standard metodologici, i parametri della modellazione di riferimento — e nelle fonti della parte variabile — i dati epidemiologici, demografici, organizzativi e finanziari della singola Regione. Le prime non mutano da applicazione ad applicazione e costituiscono l’ossatura comune del modello; le seconde cambiano da Regione a Regione e devono essere tratte, per ciascuna, dai conti e dai registri certificati. Questa distinzione è la traduzione, sul piano delle fonti, della duplice natura dell’opera come documento e come modello: ciò che è invariante poggia sulla letteratura e sugli standard, ciò che è variabile poggia sui dati certificati della Regione.</w:t>
      </w:r>
    </w:p>
    <w:p>
      <w:pPr>
        <w:pStyle w:val="BodyText"/>
      </w:pPr>
      <w:r>
        <w:t xml:space="preserve">Per qualità, le fonti sono graduate con il medesimo rigore applicato alle evidenze, secondo il principio già enunciato. La letteratura scientifica di riferimento, sottoposta a revisione e fondata su studi controllati, costituisce la base più solida; i dati amministrativi certificati, tratti dai conti pubblici e dai registri ufficiali, costituiscono la base più affidabile per le grandezze regionali; la letteratura grigia e i dati dei progetti pilota, derivando da campioni limitati e da rilevazioni non sottoposte a revisione formale, costituiscono la base più fragile, e sono citati con esplicita riserva. La distinzione tra queste qualità non è accademica, ma governa l’uso che l’opera fa di ciascuna fonte: le grandezze che reggono il saldo sono ancorate, ove possibile, alla letteratura sottoposta a revisione e ai dati certificati, mentre i dati più fragili — quali quelli dei progetti pilota italiani — sono impiegati a titolo illustrativo e non probatorio, così che la solidità delle conclusioni non dipenda dalle fonti più deboli.</w:t>
      </w:r>
    </w:p>
    <w:p>
      <w:pPr>
        <w:pStyle w:val="BodyText"/>
      </w:pPr>
      <w:r>
        <w:t xml:space="preserve">Il limite principale dell’opera deve essere dichiarato con franchezza, poiché il suo occultamento ne comprometterebbe la credibilità assai più della sua ammissione. Tale limite risiede nello stato di consolidamento dei dati della parte variabile: mentre l’architettura metodologica, i parametri invarianti e gli intervalli di riferimento sono stabili e fondati, i dati regionali certificati — epidemiologici, demografici, organizzativi e finanziari — richiedono una verifica documentale puntuale, presso le fonti ufficiali, prima che le stime che ne dipendono possano essere presentate all’esterno come definitive. L’opera, in altre parole, dispone di un telaio solido e di un nucleo quantitativo invariante, ma subordina la definitività delle stime regionali al consolidamento dei dati di ingresso; e questo consolidamento è la condizione che separa l’elaborazione interna dalla presentazione esterna. Dichiarare questo limite non indebolisce l’opera, ma ne definisce con precisione lo stato: quello di una costruzione metodologicamente compiuta, le cui stime regionali attendono la certificazione documentale dei dati che le alimentano.</w:t>
      </w:r>
    </w:p>
    <w:p>
      <w:pPr>
        <w:pStyle w:val="BodyText"/>
      </w:pPr>
      <w:r>
        <w:t xml:space="preserve">All’affermazione del limite corrisponde la definizione di un’agenda di verifica documentale, che ne governa il superamento e che è parte integrante del metodo dell’opera. L’agenda prescrive, per ciascuna grandezza della parte variabile, la fonte ufficiale presso cui essa deve essere verificata e l’atto documentale che ne attesta il valore: i dati epidemiologici presso i registri e le rilevazioni sanitarie regionali e nazionali; i dati demografici presso le fonti statistiche ufficiali; i dati finanziari presso i conti certificati della Regione e del sistema sanitario regionale; i dati programmatici presso gli atti di pianificazione nazionale e regionale, tra cui il quadro della missione dedicata alla salute nel piano nazionale di ripresa e resilienza.</w:t>
      </w:r>
      <w:r>
        <w:rPr>
          <w:rStyle w:val="FootnoteReference"/>
        </w:rPr>
        <w:footnoteReference w:id="34"/>
      </w:r>
      <w:r>
        <w:t xml:space="preserve"> </w:t>
      </w:r>
      <w:r>
        <w:t xml:space="preserve">La verifica documentale non è un adempimento successivo ed esterno all’analisi, ma una sua componente: la falsificabilità delle previsioni, dichiarata tra i vincoli invarianti, presuppone che le grandezze di ingresso siano tracciabili fino alla loro fonte, e l’agenda di verifica è precisamente lo strumento che assicura questa tracciabilità, rendendo ogni stima riconducibile al documento che la fonda.</w:t>
      </w:r>
    </w:p>
    <w:p>
      <w:pPr>
        <w:pStyle w:val="BodyText"/>
      </w:pPr>
      <w:r>
        <w:t xml:space="preserve">Con la dichiarazione delle fonti, della loro qualità, del limite principale e dell’agenda di verifica, il fondamento dell’opera è compiuto. La prima parte ha enunciato lo scopo e il quesito, ha definito il perimetro integrale e il principio ordinatore della cascata, ha esposto il telaio delle cornici apicali e le metodologie innestate, ha fissato la tassonomia e la regola di non duplicazione, ha presentato la batteria degli indicatori e i parametri invarianti, ha dichiarato la graduazione simmetrica dell’evidenza e i vincoli, ha collocato l’Intelligenza Artificiale e la formazione come leve trasversali, e ha infine dichiarato le fonti e i limiti. Resta da comporre, nel quadro conclusivo, la sintesi economico-sociale e multidisciplinare di questo fondamento, e da trarne, nella conclusione, il passaggio alle parti seguenti, che sul disegno qui fissato svilupperanno la rinegoziazione integrale dei costi e dei benefici lungo la cascata delle figure e la matrice dei domini.</w:t>
      </w:r>
    </w:p>
    <w:p>
      <w:pPr>
        <w:pStyle w:val="SourceCode"/>
      </w:pPr>
      <w:r>
        <w:rPr>
          <w:rStyle w:val="VerbatimChar"/>
        </w:rPr>
        <w:t xml:space="preserve">Quadro, mandato, metodo e perimetro integrale — estratto voci 1.7–1.9   </w:t>
      </w:r>
    </w:p>
    <w:bookmarkEnd w:id="54"/>
    <w:bookmarkEnd w:id="55"/>
    <w:bookmarkStart w:id="56" w:name="Xfc85e1610df1e31a6dce63f919eff7813fbbb7f"/>
    <w:p>
      <w:pPr>
        <w:pStyle w:val="Heading2"/>
      </w:pPr>
      <w:r>
        <w:rPr>
          <w:b/>
          <w:bCs/>
        </w:rPr>
        <w:t xml:space="preserve">Note Bibliografiche Integrali — Parte I (sezione in corso)</w:t>
      </w:r>
    </w:p>
    <w:p>
      <w:pPr>
        <w:pStyle w:val="FirstParagraph"/>
      </w:pPr>
      <w:r>
        <w:t xml:space="preserve">Le note che seguono accompagnano la presente tranche della Parte I. Ciascuna nota reca il nome della fonte, il collegamento e un mini-riassunto del suo contenuto e del suo uso nell’opera. L’apparato sarà completato con lo sviluppo delle voci successive e consolidato nella sezione finale della parte.</w:t>
      </w:r>
    </w:p>
    <w:p>
      <w:pPr>
        <w:pStyle w:val="BodyText"/>
      </w:pPr>
      <w:r>
        <w:rPr>
          <w:b/>
          <w:bCs/>
        </w:rPr>
        <w:t xml:space="preserve">1. Husereau D. et al., Consolidated Health Economic Evaluation Reporting Standards 2022 (CHEERS 2022)</w:t>
      </w:r>
      <w:r>
        <w:t xml:space="preserve"> </w:t>
      </w:r>
      <w:r>
        <w:t xml:space="preserve">— https://doi.org/10.1016/j.jval.2021.11.1351 —</w:t>
      </w:r>
      <w:r>
        <w:t xml:space="preserve"> </w:t>
      </w:r>
      <w:r>
        <w:rPr>
          <w:i/>
          <w:iCs/>
        </w:rPr>
        <w:t xml:space="preserve">Standard internazionale di rendicontazione delle valutazioni economiche in sanità; fornisce la grammatica con cui l’opera dichiara popolazione, intervento, confronto, esiti, prospettiva e orizzonte, garantendo trasparenza e replicabilità delle stime.</w:t>
      </w:r>
    </w:p>
    <w:p>
      <w:pPr>
        <w:pStyle w:val="BodyText"/>
      </w:pPr>
      <w:r>
        <w:rPr>
          <w:b/>
          <w:bCs/>
        </w:rPr>
        <w:t xml:space="preserve">2. OECD/DAC, Criteri di valutazione delle politiche e dei programmi (rilevanza, coerenza, efficacia, efficienza, impatto, sostenibilità)</w:t>
      </w:r>
      <w:r>
        <w:t xml:space="preserve"> </w:t>
      </w:r>
      <w:r>
        <w:t xml:space="preserve">— https://www.oecd.org/dac/evaluation/daccriteriaforevaluatingdevelopmentassistance.htm —</w:t>
      </w:r>
      <w:r>
        <w:t xml:space="preserve"> </w:t>
      </w:r>
      <w:r>
        <w:rPr>
          <w:i/>
          <w:iCs/>
        </w:rPr>
        <w:t xml:space="preserve">Insieme di criteri internazionali per la valutazione delle politiche pubbliche; nell’opera ordina la lettura degli effetti della riforma e ne struttura la valutazione complessiva oltre il solo piano economico.</w:t>
      </w:r>
    </w:p>
    <w:p>
      <w:pPr>
        <w:pStyle w:val="BodyText"/>
      </w:pPr>
      <w:r>
        <w:rPr>
          <w:b/>
          <w:bCs/>
        </w:rPr>
        <w:t xml:space="preserve">3. Regione Puglia, Legge regionale 21 marzo 2023, n. 11 (istituzione del Servizio di Psicologia di Base)</w:t>
      </w:r>
      <w:r>
        <w:t xml:space="preserve"> </w:t>
      </w:r>
      <w:r>
        <w:t xml:space="preserve">— https://www.consiglio.puglia.it/documentazione/leggi-regionali —</w:t>
      </w:r>
      <w:r>
        <w:t xml:space="preserve"> </w:t>
      </w:r>
      <w:r>
        <w:rPr>
          <w:i/>
          <w:iCs/>
        </w:rPr>
        <w:t xml:space="preserve">Fonte normativa primaria che istituisce il servizio e ne fissa i principi; definisce il mandato istituzionale dell’opera e la natura del quesito di valutazione, centrato sul dimensionamento e non sull’opportunità della riforma.</w:t>
      </w:r>
    </w:p>
    <w:p>
      <w:pPr>
        <w:pStyle w:val="BodyText"/>
      </w:pPr>
      <w:r>
        <w:rPr>
          <w:b/>
          <w:bCs/>
        </w:rPr>
        <w:t xml:space="preserve">4. Guyatt G.H. et al., GRADE: an emerging consensus on rating quality of evidence and strength of recommendations, BMJ 2008</w:t>
      </w:r>
      <w:r>
        <w:t xml:space="preserve"> </w:t>
      </w:r>
      <w:r>
        <w:t xml:space="preserve">— https://doi.org/10.1136/bmj.39489.470347.AD —</w:t>
      </w:r>
      <w:r>
        <w:t xml:space="preserve"> </w:t>
      </w:r>
      <w:r>
        <w:rPr>
          <w:i/>
          <w:iCs/>
        </w:rPr>
        <w:t xml:space="preserve">Metodo apicale di graduazione della certezza dell’evidenza e della forza delle raccomandazioni; nell’opera è applicato in modo simmetrico alle affermazioni cliniche e a quelle relative all’Intelligenza Artificiale.</w:t>
      </w:r>
    </w:p>
    <w:p>
      <w:pPr>
        <w:pStyle w:val="BodyText"/>
      </w:pPr>
      <w:r>
        <w:rPr>
          <w:b/>
          <w:bCs/>
        </w:rPr>
        <w:t xml:space="preserve">5. Chisholm D. et al., Scaling-up treatment of depression and anxiety: a global return on investment analysis, Lancet Psychiatry 2016</w:t>
      </w:r>
      <w:r>
        <w:t xml:space="preserve"> </w:t>
      </w:r>
      <w:r>
        <w:t xml:space="preserve">— https://doi.org/10.1016/S2215-0366(16)30024-4 —</w:t>
      </w:r>
      <w:r>
        <w:t xml:space="preserve"> </w:t>
      </w:r>
      <w:r>
        <w:rPr>
          <w:i/>
          <w:iCs/>
        </w:rPr>
        <w:t xml:space="preserve">Analisi di riferimento sul ritorno economico degli investimenti in salute mentale; fissa gli intervalli corretti (2,3–3,0:1 per i soli benefici economici; 3,3–5,7:1 con i ritorni in salute) adottati come vincolo invariante dell’opera.</w:t>
      </w:r>
    </w:p>
    <w:p>
      <w:pPr>
        <w:pStyle w:val="BodyText"/>
      </w:pPr>
      <w:r>
        <w:rPr>
          <w:b/>
          <w:bCs/>
        </w:rPr>
        <w:t xml:space="preserve">6. HM Treasury, The Green Book e modello dei cinque casi per la valutazione degli investimenti pubblici</w:t>
      </w:r>
      <w:r>
        <w:t xml:space="preserve"> </w:t>
      </w:r>
      <w:r>
        <w:t xml:space="preserve">— https://www.gov.uk/government/publications/the-green-book-appraisal-and-evaluation-in-central-government —</w:t>
      </w:r>
      <w:r>
        <w:t xml:space="preserve"> </w:t>
      </w:r>
      <w:r>
        <w:rPr>
          <w:i/>
          <w:iCs/>
        </w:rPr>
        <w:t xml:space="preserve">Struttura britannica di giustificazione degli investimenti pubblici; impone di argomentare congiuntamente le dimensioni strategica, economica, commerciale, finanziaria e gestionale della riforma.</w:t>
      </w:r>
    </w:p>
    <w:p>
      <w:pPr>
        <w:pStyle w:val="BodyText"/>
      </w:pPr>
      <w:r>
        <w:rPr>
          <w:b/>
          <w:bCs/>
        </w:rPr>
        <w:t xml:space="preserve">7. Drummond M.F. et al., Methods for the Economic Evaluation of Health Care Programmes, 4ª ed., Oxford University Press, 2015</w:t>
      </w:r>
      <w:r>
        <w:t xml:space="preserve"> </w:t>
      </w:r>
      <w:r>
        <w:t xml:space="preserve">— https://global.oup.com/academic/product/methods-for-the-economic-evaluation-of-health-care-programmes-9780199665877 —</w:t>
      </w:r>
      <w:r>
        <w:t xml:space="preserve"> </w:t>
      </w:r>
      <w:r>
        <w:rPr>
          <w:i/>
          <w:iCs/>
        </w:rPr>
        <w:t xml:space="preserve">Trattato di riferimento sui metodi della valutazione economica in sanità; fonda le distinzioni tra costi diretti e indiretti e tra prospettive di analisi su cui l’opera costruisce la regola di non duplicazione.</w:t>
      </w:r>
    </w:p>
    <w:p>
      <w:pPr>
        <w:pStyle w:val="BodyText"/>
      </w:pPr>
      <w:r>
        <w:rPr>
          <w:b/>
          <w:bCs/>
        </w:rPr>
        <w:t xml:space="preserve">8. OECD, A New Benchmark for Mental Health Systems, OECD Health Policy Studies, 2021</w:t>
      </w:r>
      <w:r>
        <w:t xml:space="preserve"> </w:t>
      </w:r>
      <w:r>
        <w:t xml:space="preserve">— https://doi.org/10.1787/4ed890f6-en —</w:t>
      </w:r>
      <w:r>
        <w:t xml:space="preserve"> </w:t>
      </w:r>
      <w:r>
        <w:rPr>
          <w:i/>
          <w:iCs/>
        </w:rPr>
        <w:t xml:space="preserve">Quantificazione comparata del carico economico della cattiva salute mentale e della performance dei sistemi; fornisce la cornice macroeconomica entro cui collocare le stime di risparmio regionale.</w:t>
      </w:r>
    </w:p>
    <w:p>
      <w:pPr>
        <w:pStyle w:val="BodyText"/>
      </w:pPr>
      <w:r>
        <w:rPr>
          <w:b/>
          <w:bCs/>
        </w:rPr>
        <w:t xml:space="preserve">9. World Health Organization, Comprehensive Mental Health Action Plan 2013–2030</w:t>
      </w:r>
      <w:r>
        <w:t xml:space="preserve"> </w:t>
      </w:r>
      <w:r>
        <w:t xml:space="preserve">— https://www.who.int/publications/i/item/9789240031029 —</w:t>
      </w:r>
      <w:r>
        <w:t xml:space="preserve"> </w:t>
      </w:r>
      <w:r>
        <w:rPr>
          <w:i/>
          <w:iCs/>
        </w:rPr>
        <w:t xml:space="preserve">Quadro programmatico internazionale che raccomanda l’integrazione della salute mentale nelle cure primarie; sostiene, sul piano delle politiche, la logica organizzativa della riforma pugliese.</w:t>
      </w:r>
    </w:p>
    <w:p>
      <w:pPr>
        <w:pStyle w:val="BodyText"/>
      </w:pPr>
      <w:r>
        <w:rPr>
          <w:b/>
          <w:bCs/>
        </w:rPr>
        <w:t xml:space="preserve">10. EUnetHTA, HTA Core Model — quadro metodologico della valutazione delle tecnologie sanitarie</w:t>
      </w:r>
      <w:r>
        <w:t xml:space="preserve"> </w:t>
      </w:r>
      <w:r>
        <w:t xml:space="preserve">— https://www.eunethta.eu/hta-core-model/ —</w:t>
      </w:r>
      <w:r>
        <w:t xml:space="preserve"> </w:t>
      </w:r>
      <w:r>
        <w:rPr>
          <w:i/>
          <w:iCs/>
        </w:rPr>
        <w:t xml:space="preserve">Definisce i domini della valutazione delle tecnologie sanitarie adottati come telaio portante dell’opera, dalla sicurezza ed efficacia clinica ai profili economici, etici e organizzativi.</w:t>
      </w:r>
    </w:p>
    <w:p>
      <w:pPr>
        <w:pStyle w:val="BodyText"/>
      </w:pPr>
      <w:r>
        <w:rPr>
          <w:b/>
          <w:bCs/>
        </w:rPr>
        <w:t xml:space="preserve">11. Cabinet Office / Social Value UK, A Guide to Social Return on Investment</w:t>
      </w:r>
      <w:r>
        <w:t xml:space="preserve"> </w:t>
      </w:r>
      <w:r>
        <w:t xml:space="preserve">— https://www.socialvalueuk.org/resources/a-guide-to-social-return-on-investment/ —</w:t>
      </w:r>
      <w:r>
        <w:t xml:space="preserve"> </w:t>
      </w:r>
      <w:r>
        <w:rPr>
          <w:i/>
          <w:iCs/>
        </w:rPr>
        <w:t xml:space="preserve">Guida di riferimento per il rendimento sociale dell’investimento; fonda il metodo con cui l’opera attribuisce valore monetario agli esiti sociali, tenuti separati dai risparmi fiscali diretti.</w:t>
      </w:r>
    </w:p>
    <w:p>
      <w:pPr>
        <w:pStyle w:val="BodyText"/>
      </w:pPr>
      <w:r>
        <w:rPr>
          <w:b/>
          <w:bCs/>
        </w:rPr>
        <w:t xml:space="preserve">12. Kirkpatrick D.L., Kirkpatrick J.D., Evaluating Training Programs: The Four Levels</w:t>
      </w:r>
      <w:r>
        <w:t xml:space="preserve"> </w:t>
      </w:r>
      <w:r>
        <w:t xml:space="preserve">— https://www.kirkpatrickpartners.com/the-kirkpatrick-model/ —</w:t>
      </w:r>
      <w:r>
        <w:t xml:space="preserve"> </w:t>
      </w:r>
      <w:r>
        <w:rPr>
          <w:i/>
          <w:iCs/>
        </w:rPr>
        <w:t xml:space="preserve">Modello classico di valutazione della formazione su quattro livelli (reazione, apprendimento, comportamento, risultati); base della valutazione delle modalità formative dell’opera.</w:t>
      </w:r>
    </w:p>
    <w:p>
      <w:pPr>
        <w:pStyle w:val="BodyText"/>
      </w:pPr>
      <w:r>
        <w:rPr>
          <w:b/>
          <w:bCs/>
        </w:rPr>
        <w:t xml:space="preserve">13. Phillips J.J., Return on Investment in Training and Performance Improvement Programs</w:t>
      </w:r>
      <w:r>
        <w:t xml:space="preserve"> </w:t>
      </w:r>
      <w:r>
        <w:t xml:space="preserve">— https://www.roiinstitute.net/ —</w:t>
      </w:r>
      <w:r>
        <w:t xml:space="preserve"> </w:t>
      </w:r>
      <w:r>
        <w:rPr>
          <w:i/>
          <w:iCs/>
        </w:rPr>
        <w:t xml:space="preserve">Estende il modello di Kirkpatrick con un quinto livello che converte i risultati formativi in rendimento monetario; consente il confronto costo-efficacia tra le modalità formative.</w:t>
      </w:r>
    </w:p>
    <w:p>
      <w:pPr>
        <w:pStyle w:val="BodyText"/>
      </w:pPr>
      <w:r>
        <w:rPr>
          <w:b/>
          <w:bCs/>
        </w:rPr>
        <w:t xml:space="preserve">14. Briggs A., Claxton K., Sculpher M., Decision Modelling for Health Economic Evaluation, Oxford University Press, 2006</w:t>
      </w:r>
      <w:r>
        <w:t xml:space="preserve"> </w:t>
      </w:r>
      <w:r>
        <w:t xml:space="preserve">— https://global.oup.com/academic/product/decision-modelling-for-health-economic-evaluation-9780198526629 —</w:t>
      </w:r>
      <w:r>
        <w:t xml:space="preserve"> </w:t>
      </w:r>
      <w:r>
        <w:rPr>
          <w:i/>
          <w:iCs/>
        </w:rPr>
        <w:t xml:space="preserve">Testo di riferimento sui modelli decisionali (Markov, microsimulazione) e sull’analisi di sensibilità probabilistica; fonda la modellazione e il trattamento dell’incertezza dell’opera.</w:t>
      </w:r>
    </w:p>
    <w:p>
      <w:pPr>
        <w:pStyle w:val="BodyText"/>
      </w:pPr>
      <w:r>
        <w:rPr>
          <w:b/>
          <w:bCs/>
        </w:rPr>
        <w:t xml:space="preserve">15. Koopmanschap M.A. et al., The friction cost method for measuring indirect costs of disease, Journal of Health Economics, 1995</w:t>
      </w:r>
      <w:r>
        <w:t xml:space="preserve"> </w:t>
      </w:r>
      <w:r>
        <w:t xml:space="preserve">— https://doi.org/10.1016/0167-6296(94)00044-5 —</w:t>
      </w:r>
      <w:r>
        <w:t xml:space="preserve"> </w:t>
      </w:r>
      <w:r>
        <w:rPr>
          <w:i/>
          <w:iCs/>
        </w:rPr>
        <w:t xml:space="preserve">Introduce il metodo del costo di attrito come stima prudenziale delle perdite di produttività, alternativa all’approccio del capitale umano; i due metodi non sono mai sommati nell’opera.</w:t>
      </w:r>
    </w:p>
    <w:p>
      <w:pPr>
        <w:pStyle w:val="BodyText"/>
      </w:pPr>
      <w:r>
        <w:rPr>
          <w:b/>
          <w:bCs/>
        </w:rPr>
        <w:t xml:space="preserve">16. Unützer J. et al., Collaborative Care Management of Late-Life Depression in the Primary Care Setting (IMPACT trial), JAMA, 2002</w:t>
      </w:r>
      <w:r>
        <w:t xml:space="preserve"> </w:t>
      </w:r>
      <w:r>
        <w:t xml:space="preserve">— https://doi.org/10.1001/jama.288.22.2836 —</w:t>
      </w:r>
      <w:r>
        <w:t xml:space="preserve"> </w:t>
      </w:r>
      <w:r>
        <w:rPr>
          <w:i/>
          <w:iCs/>
        </w:rPr>
        <w:t xml:space="preserve">Studio clinico controllato di riferimento sull’assistenza collaborativa; fonte del caveat invariante secondo cui i risparmi sui costi sanitari non raggiungono la significatività statistica.</w:t>
      </w:r>
    </w:p>
    <w:p>
      <w:pPr>
        <w:pStyle w:val="BodyText"/>
      </w:pPr>
      <w:r>
        <w:rPr>
          <w:b/>
          <w:bCs/>
        </w:rPr>
        <w:t xml:space="preserve">17. GRADE Working Group / Schünemann H. et al., GRADE Handbook</w:t>
      </w:r>
      <w:r>
        <w:t xml:space="preserve"> </w:t>
      </w:r>
      <w:r>
        <w:t xml:space="preserve">— https://gdt.gradepro.org/app/handbook/handbook.html —</w:t>
      </w:r>
      <w:r>
        <w:t xml:space="preserve"> </w:t>
      </w:r>
      <w:r>
        <w:rPr>
          <w:i/>
          <w:iCs/>
        </w:rPr>
        <w:t xml:space="preserve">Manuale operativo del metodo di graduazione della certezza dell’evidenza e della forza delle raccomandazioni, applicato in modo simmetrico alle evidenze cliniche e a quelle sull’Intelligenza Artificiale.</w:t>
      </w:r>
    </w:p>
    <w:p>
      <w:r>
        <w:br w:type="page"/>
      </w:r>
    </w:p>
    <w:p>
      <w:pPr>
        <w:pStyle w:val="BodyText"/>
      </w:pPr>
      <w:r>
        <w:t xml:space="preserve">Studio Integrale · Psicologo di Base in Puglia · Parte II — Il bisogno e il contesto multidimensionale</w:t>
      </w:r>
    </w:p>
    <w:p>
      <w:pPr>
        <w:pStyle w:val="BodyText"/>
      </w:pPr>
      <w:r>
        <w:rPr>
          <w:b/>
          <w:bCs/>
        </w:rPr>
        <w:t xml:space="preserve">Studio Integrale, Finale e Definitivo · Psicologo di Base · Regione Puglia</w:t>
      </w:r>
    </w:p>
    <w:p>
      <w:pPr>
        <w:pStyle w:val="BodyText"/>
      </w:pPr>
      <w:r>
        <w:rPr>
          <w:b/>
          <w:bCs/>
        </w:rPr>
        <w:t xml:space="preserve">Parte II</w:t>
      </w:r>
    </w:p>
    <w:p>
      <w:pPr>
        <w:pStyle w:val="BodyText"/>
      </w:pPr>
      <w:r>
        <w:rPr>
          <w:b/>
          <w:bCs/>
        </w:rPr>
        <w:t xml:space="preserve">Il bisogno e il contesto multidimensionale in Puglia</w:t>
      </w:r>
    </w:p>
    <w:p>
      <w:pPr>
        <w:pStyle w:val="BodyText"/>
      </w:pPr>
      <w:r>
        <w:rPr>
          <w:i/>
          <w:iCs/>
        </w:rPr>
        <w:t xml:space="preserve">La misura del problema di salute, l’adeguatezza dell’offerta, i divari territoriali e la cornice normativa: la base fattuale su cui poggia la valutazione dell’intervento</w:t>
      </w:r>
    </w:p>
    <w:p>
      <w:pPr>
        <w:pStyle w:val="BodyText"/>
      </w:pPr>
      <w:r>
        <w:t xml:space="preserve">Epidemiologia e divario di trattamento · profilo demografico e socioeconomico · sistema sanitario e flussi · vincoli di bilancio · carico multidominio · cornice normativa</w:t>
      </w:r>
    </w:p>
    <w:bookmarkEnd w:id="56"/>
    <w:bookmarkStart w:id="57" w:name="premessa-1"/>
    <w:p>
      <w:pPr>
        <w:pStyle w:val="Heading2"/>
      </w:pPr>
      <w:r>
        <w:rPr>
          <w:b/>
          <w:bCs/>
        </w:rPr>
        <w:t xml:space="preserve">Premessa</w:t>
      </w:r>
    </w:p>
    <w:p>
      <w:pPr>
        <w:pStyle w:val="FirstParagraph"/>
      </w:pPr>
      <w:r>
        <w:t xml:space="preserve">La presente parte stabilisce la base fattuale dell’intera opera. Mentre la Parte I ha fissato il fondamento metodologico — lo scopo, il quesito di valutazione, il telaio ibrido, le regole della rinegoziazione dei costi e dei benefici e il principio ordinatore della cascata gerarchica piramidale — la Parte II misura il problema di salute cui la riforma intende rispondere e ricostruisce il contesto entro cui essa opera. Nella corrispondenza con il telaio validato, questa parte occupa il primo dominio della valutazione di tecnologia sanitaria, quello del problema di salute e dell’uso corrente, e fonda il caso strategico della decisione, rispondendo ai criteri di rilevanza e di coerenza. Essa stabilisce l’entità e la natura del bisogno, l’adeguatezza dell’offerta attuale, i divari territoriali, la pressione sui servizi, i vincoli finanziari e la cornice normativa in cui l’intervento si colloca.</w:t>
      </w:r>
    </w:p>
    <w:p>
      <w:pPr>
        <w:pStyle w:val="BodyText"/>
      </w:pPr>
      <w:r>
        <w:t xml:space="preserve">La funzione di questa parte è propedeutica e insostituibile. Senza una misura rigorosa del problema, la valutazione dell’intervento resterebbe priva di termine di confronto, e le stime economiche delle parti successive si reggerebbero su un fondamento incerto. La rinegoziazione integrale dei costi e dei benefici, che la cascata gerarchica governa, presuppone infatti che siano note con precisione la dimensione del bisogno, la sua distribuzione tra le popolazioni e i territori, e l’entità della risposta che il sistema oggi fornisce. È su questa base che ciascun dominio della cascata — da quello sanitario a quelli lavorativo, pensionistico, sociale e finanziario — potrà essere valutato nelle parti seguenti, e che le previsioni sulla qualità della vita, sui bilanci regionali, sulla burocrazia e sui sistemi sanitari potranno essere formulate in forma falsificabile.</w:t>
      </w:r>
    </w:p>
    <w:p>
      <w:pPr>
        <w:pStyle w:val="BodyText"/>
      </w:pPr>
      <w:r>
        <w:t xml:space="preserve">In coerenza con i vincoli metodologici invarianti, questa parte espone i dati con la massima cautela e ne dichiara i limiti. Le grandezze sono distinte secondo la loro natura e la loro fonte; le stime epidemiologiche derivate dall’applicazione di coefficienti internazionali alla popolazione regionale sono presentate come tali, con i relativi intervalli; e le grandezze finanziarie sono riportate senza che da esse si traggano, in questa sede, conclusioni sul ritorno economico della riforma, riservate alle parti dedicate alla valutazione economica. La parte non anticipa il saldo né i risparmi, ma fornisce le quantità di partenza su cui essi saranno in seguito calcolati, mantenendo ferma la separazione tra gli effetti sul bilancio e le ricadute sociali.</w:t>
      </w:r>
    </w:p>
    <w:bookmarkEnd w:id="57"/>
    <w:bookmarkStart w:id="58" w:name="introduzione-1"/>
    <w:p>
      <w:pPr>
        <w:pStyle w:val="Heading2"/>
      </w:pPr>
      <w:r>
        <w:rPr>
          <w:b/>
          <w:bCs/>
        </w:rPr>
        <w:t xml:space="preserve">Introduzione</w:t>
      </w:r>
    </w:p>
    <w:p>
      <w:pPr>
        <w:pStyle w:val="FirstParagraph"/>
      </w:pPr>
      <w:r>
        <w:t xml:space="preserve">Il bisogno di salute mentale in Puglia si presenta su due piani che la trattazione tiene costantemente distinti. Il primo è il piano del sommerso: un bisogno ampio, diffuso e in larga parte non intercettato dai servizi, costituito dal disagio psichico comune e sottosoglia che attraversa la popolazione e che, in assenza di un primo livello territoriale accessibile, rimane privo di risposta. Il secondo è il piano dell’emergente: la quota di bisogno che, non trovando accoglienza nel territorio, si manifesta nei servizi specialistici e di emergenza, premendo sui Dipartimenti di Salute Mentale e sul pronto soccorso. La distanza tra l’ampiezza del primo piano e l’esiguità della risposta sul secondo definisce il divario di trattamento, che costituisce il problema centrale cui la riforma si rivolge e il filo conduttore di questa parte.</w:t>
      </w:r>
    </w:p>
    <w:p>
      <w:pPr>
        <w:pStyle w:val="BodyText"/>
      </w:pPr>
      <w:r>
        <w:t xml:space="preserve">A questi due piani del bisogno si sovrappone un contesto demografico, sociale ed economico che ne amplifica la portata e ne complica la risposta. La Puglia attraversa una transizione demografica accelerata, segnata da un invecchiamento che muta il profilo epidemiologico regionale, e presenta al tempo stesso una vulnerabilità socioeconomica tra le più marcate del Paese. L’invecchiamento e la deprivazione non agiscono in modo indipendente, ma convergono: l’età avanzata accresce la prevalenza dei disturbi mentali, soprattutto in presenza di multimorbidità, mentre la deprivazione si associa a prevalenze sistematicamente più elevate di disturbi mentali comuni. La combinazione delle due dinamiche configura, per la salute mentale pugliese, una pressione duplice e convergente, che la valutazione del bisogno deve assumere come dato strutturale e non come variabile accessoria.</w:t>
      </w:r>
    </w:p>
    <w:p>
      <w:pPr>
        <w:pStyle w:val="BodyText"/>
      </w:pPr>
      <w:r>
        <w:t xml:space="preserve">Il contesto entro cui la riforma opera è inoltre segnato da vincoli di bilancio stringenti e da inefficienze nei flussi assistenziali che rappresentano, al tempo stesso, un costo per il sistema e un margine di intervento per il servizio. La mobilità sanitaria passiva, il ricorso improprio al pronto soccorso e i margini di appropriatezza nel consumo farmaceutico definiscono uno spazio d’azione in cui una riforma del primo livello territoriale può produrre effetti misurabili. È in questo quadro che si colloca la cornice normativa della riforma, coerente su tre livelli — regionale, nazionale ed europeo — che ne fonda la rilevanza e ne predispone le sedi, le risorse e i criteri di valutazione.</w:t>
      </w:r>
    </w:p>
    <w:p>
      <w:pPr>
        <w:pStyle w:val="BodyText"/>
      </w:pPr>
      <w:r>
        <w:t xml:space="preserve">La parte si articola in sei voci, ordinate secondo una progressione che muove dal bisogno al contesto e dal contesto alla cornice istituzionale. La prima voce misura l’epidemiologia del disagio psichico e il divario di trattamento, congiungendo il piano del sommerso e quello dell’emergente. La seconda ricostruisce il profilo demografico, sociale ed economico regionale, mettendo a fuoco la doppia pressione dell’invecchiamento e della deprivazione. La terza analizza il sistema sanitario regionale, con le sue cure primarie, i suoi servizi specialistici, la carenza della medicina generale, le liste d’attesa e la mobilità passiva. La quarta espone il quadro finanziario e i vincoli di bilancio. La quinta traccia la mappa del carico multidominio della cattiva salute mentale, base su cui la cascata delle figure e dei domini sarà valutata. La sesta colloca la riforma nella sua cornice normativa e programmatica. Le prime due voci sono sviluppate in questa tranche; le successive seguono, fino al Quadro Conclusivo economico-sociale e multidisciplinare integrale e alle Note Bibliografiche Integrali in forma consolidata.</w:t>
      </w:r>
    </w:p>
    <w:bookmarkEnd w:id="58"/>
    <w:bookmarkStart w:id="67" w:name="Xd77c7d4b0d2a8f8c3c5fa0ec3b51b045f9452cb"/>
    <w:p>
      <w:pPr>
        <w:pStyle w:val="Heading2"/>
      </w:pPr>
      <w:r>
        <w:rPr>
          <w:b/>
          <w:bCs/>
        </w:rPr>
        <w:t xml:space="preserve">2.1 Epidemiologia del disagio psichico e divario di trattamento in Puglia</w:t>
      </w:r>
    </w:p>
    <w:p>
      <w:pPr>
        <w:pStyle w:val="FirstParagraph"/>
      </w:pPr>
      <w:r>
        <w:rPr>
          <w:i/>
          <w:iCs/>
        </w:rPr>
        <w:t xml:space="preserve">Questa voce misura l’entità e la natura del bisogno di salute mentale in Puglia sui suoi due piani — il sommerso non intercettato e l’emergente che preme sui servizi — e quantifica il divario di trattamento che li separa, ossia la distanza tra la prevalenza reale del disagio e l’accesso effettivo alle cure.</w:t>
      </w:r>
    </w:p>
    <w:p>
      <w:pPr>
        <w:pStyle w:val="BodyText"/>
      </w:pPr>
      <w:r>
        <w:t xml:space="preserve">Il bisogno di salute mentale in Puglia si articola, come si è anticipato, su due piani. Sul piano del sommerso, le stime epidemiologiche collocano nell’ordine di 780.000 le persone che presentano disagio psichico comune o sottosoglia, una quota compresa tra il 20 e il 30 per cento della popolazione regionale.</w:t>
      </w:r>
      <w:r>
        <w:rPr>
          <w:rStyle w:val="FootnoteReference"/>
        </w:rPr>
        <w:footnoteReference w:id="35"/>
      </w:r>
      <w:r>
        <w:t xml:space="preserve"> </w:t>
      </w:r>
      <w:r>
        <w:t xml:space="preserve">Su questa massa di bisogno la risposta attuale è minima, e il divario tra la sua ampiezza e l’esiguità dell’offerta costituisce la posta in gioco della decisione. Si tratta, per la maggior parte, di disturbi mentali comuni — depressione, ansia, disturbi correlati allo stress e all’uso di sostanze — che non richiedono il contesto specialistico, ma un primo livello di ascolto, valutazione e trattamento di prossimità, oggi in larga misura assente.</w:t>
      </w:r>
    </w:p>
    <w:p>
      <w:pPr>
        <w:pStyle w:val="BodyText"/>
      </w:pPr>
      <w:r>
        <w:t xml:space="preserve">La componente anziana di questo bisogno è quantificabile con coefficienti epidemiologici validati. Le meta-analisi internazionali documentano che l’invecchiamento accresce la prevalenza dei disturbi mentali, con stime che giungono fino al 28 per cento per la depressione negli ultrasettantacinquenni con multimorbidità e oltre il 15 per cento per l’ansia nella popolazione anziana. Applicando tali coefficienti alla struttura per età della popolazione pugliese si ottiene una stima compresa tra 50.649 e 74.640 anziani con disturbi depressivi clinicamente significativi e tra 69.150 e 92.200 con disturbi d’ansia.</w:t>
      </w:r>
      <w:r>
        <w:rPr>
          <w:rStyle w:val="FootnoteReference"/>
        </w:rPr>
        <w:footnoteReference w:id="36"/>
      </w:r>
      <w:r>
        <w:t xml:space="preserve"> </w:t>
      </w:r>
      <w:r>
        <w:t xml:space="preserve">Queste cifre, presentate nel loro intervallo per dichiararne il margine di incertezza, individuano una porzione cospicua del bisogno sommerso che la dinamica demografica regionale è destinata ad accrescere nei prossimi decenni.</w:t>
      </w:r>
    </w:p>
    <w:p>
      <w:pPr>
        <w:pStyle w:val="BodyText"/>
      </w:pPr>
      <w:r>
        <w:t xml:space="preserve">La misura del sommerso è resa difficile da un fenomeno specifico della regione, che assume la forma di un paradosso apparente. La sorveglianza PASSI dell’Istituto Superiore di Sanità, condotta con lo strumento breve di rilevazione dei sintomi depressivi, registra per la Puglia il 3,6 per cento degli adulti tra i 18 e i 64 anni con sintomi clinicamente rilevanti — circa 80.000 persone — un valore inferiore alla media nazionale del 6,7 per cento.</w:t>
      </w:r>
      <w:r>
        <w:rPr>
          <w:rStyle w:val="FootnoteReference"/>
        </w:rPr>
        <w:footnoteReference w:id="37"/>
      </w:r>
      <w:r>
        <w:t xml:space="preserve"> </w:t>
      </w:r>
      <w:r>
        <w:t xml:space="preserve">Questa apparente minore prevalenza non indica una minore sofferenza, ma una sotto-rilevazione legata a fattori culturali che riducono la propensione a riferire i sintomi. Il dato si accompagna a uno dei consumi di antidepressivi più bassi d’Italia, e i due segni convergono nel medesimo significato: non un bisogno minore, ma una sua sotto-intercettazione.</w:t>
      </w:r>
      <w:r>
        <w:rPr>
          <w:rStyle w:val="FootnoteReference"/>
        </w:rPr>
        <w:footnoteReference w:id="38"/>
      </w:r>
      <w:r>
        <w:t xml:space="preserve"> </w:t>
      </w:r>
      <w:r>
        <w:t xml:space="preserve">La distanza tra la sofferenza effettivamente presente nella popolazione e quella rilevata dai sistemi di sorveglianza e intercettata dai servizi è essa stessa una misura del problema cui la riforma si rivolge.</w:t>
      </w:r>
    </w:p>
    <w:p>
      <w:pPr>
        <w:pStyle w:val="BodyText"/>
      </w:pPr>
      <w:r>
        <w:t xml:space="preserve">Il divario tra prevalenza reale e accesso ai servizi — il divario di trattamento — è del resto un fenomeno strutturale, riconosciuto anche in sede europea. La Commissione europea, nel suo rapporto sulla salute mentale del 2024, ha rilevato come soltanto la metà delle persone con ansia o depressione chieda aiuto e come quasi un giovane su due resti privo di un supporto adeguato. Le barriere che alimentano il divario sono di natura diversa e concorrente: strutturali, legate alla carenza e alla distribuzione dell’offerta; economiche, connesse al costo dell’accesso; culturali, riconducibili allo stigma e alla scarsa propensione a riconoscere il disagio; di conoscenza, relative all’ignoranza dei percorsi disponibili; e sistemiche, derivanti dalla frammentazione dei servizi.</w:t>
      </w:r>
      <w:r>
        <w:rPr>
          <w:rStyle w:val="FootnoteReference"/>
        </w:rPr>
        <w:footnoteReference w:id="39"/>
      </w:r>
      <w:r>
        <w:t xml:space="preserve"> </w:t>
      </w:r>
      <w:r>
        <w:t xml:space="preserve">È precisamente su queste barriere che un servizio di primo livello, accessibile, gratuito e privo di stigma, ha la funzione di intervenire, riducendo simultaneamente le distanze fisiche, economiche e culturali che separano il bisogno dalla cura.</w:t>
      </w:r>
    </w:p>
    <w:p>
      <w:pPr>
        <w:pStyle w:val="BodyText"/>
      </w:pPr>
      <w:r>
        <w:t xml:space="preserve">Il divario di trattamento non è una condizione statica, ma un processo che si aggrava nel tempo. Il disagio comune che non trova risposta tende a consolidarsi, a complicarsi con altre patologie e a trascorrere verso forme più gravi e meno reversibili, così che il ritardo dell’intercettazione non rinvia soltanto la cura, ma ne accresce il costo e ne riduce l’efficacia. La persona che non incontra un primo livello accessibile percorre, in assenza di esso, vie più onerose e meno appropriate: il consumo somatico di farmaci, il ricorso ripetuto al medico di medicina generale, l’accesso al pronto soccorso e, nei casi che si cronicizzano, l’ingresso nei servizi specialistici in condizioni già aggravate. Ciascuno di questi passaggi sottrae risorse al sistema e benessere alla persona, e la loro somma, nel tempo, eccede largamente il costo che una presa in carico tempestiva avrebbe comportato. È in questa dinamica temporale che risiede la ragione economica, oltre che clinica, di un primo livello territoriale: non nell’aggiungere una prestazione, ma nell’anticipare l’intercettazione del disagio al momento in cui esso è ancora lieve, reversibile e meno costoso da trattare.</w:t>
      </w:r>
    </w:p>
    <w:p>
      <w:pPr>
        <w:pStyle w:val="BodyText"/>
      </w:pPr>
      <w:r>
        <w:t xml:space="preserve">Sul piano dell’emergente, la domanda che non trova risposta nel territorio si riversa sui servizi specialistici e di emergenza, dove diviene misurabile attraverso i flussi amministrativi. I Dipartimenti di Salute Mentale pugliesi hanno avuto in carico, nel 2023, 54.946 utenti, pari a circa 106 ogni 10.000 abitanti adulti, dei quali 18.939 nuovi, corrispondenti a circa 35 nuovi casi ogni 10.000 abitanti adulti: un flusso di incidenza annuale consistente, che segnala la continua emersione di bisogno non precedentemente intercettato.</w:t>
      </w:r>
      <w:r>
        <w:rPr>
          <w:rStyle w:val="FootnoteReference"/>
        </w:rPr>
        <w:footnoteReference w:id="40"/>
      </w:r>
      <w:r>
        <w:t xml:space="preserve"> </w:t>
      </w:r>
      <w:r>
        <w:t xml:space="preserve">Questi numeri descrivono la parte del bisogno che, superata la soglia della sopportabilità o della compatibilità con la vita quotidiana, raggiunge i servizi di secondo livello, spesso in condizioni già aggravate dal ritardo dell’intercettazione.</w:t>
      </w:r>
    </w:p>
    <w:p>
      <w:pPr>
        <w:pStyle w:val="BodyText"/>
      </w:pPr>
      <w:r>
        <w:t xml:space="preserve">Un indicatore particolarmente eloquente della pressione è il ricorso al pronto soccorso per cause psichiatriche, che nel 2023 ha registrato 18.753 accessi, oltre 50 al giorno, in crescita del 30 per cento rispetto al periodo pre-pandemico e con un andamento accentuato tra i minori e i giovani adulti. La distribuzione diagnostica di questi accessi è rivelatrice: le sindromi nevrotiche e somatoformi ne costituiscono la causa più frequente, con oltre 10.000 casi, seguite a distanza dai disturbi organici, dalla depressione e dalla schizofrenia.</w:t>
      </w:r>
      <w:r>
        <w:rPr>
          <w:rStyle w:val="FootnoteReference"/>
        </w:rPr>
        <w:footnoteReference w:id="41"/>
      </w:r>
      <w:r>
        <w:t xml:space="preserve"> </w:t>
      </w:r>
      <w:r>
        <w:t xml:space="preserve">Che la causa più frequente di accesso urgente sia rappresentata da disturbi comuni di tipo ansioso e somatoforme — quadri che non richiederebbero il contesto dell’emergenza — costituisce la prova più diretta di una distorsione del sistema: in assenza di un primo livello territoriale, il pronto soccorso è divenuto, per una parte della popolazione, l’unico punto di accesso disponibile, con un impiego improprio della risorsa più costosa e meno appropriata.</w:t>
      </w:r>
    </w:p>
    <w:p>
      <w:pPr>
        <w:pStyle w:val="BodyText"/>
      </w:pPr>
      <w:r>
        <w:t xml:space="preserve">Le grandezze epidemiologiche fin qui esposte possono essere ricomposte in un quadro sintetico, che distingue la stima del bisogno potenziale dalle misure della sua emersione. La tabella seguente riepiloga il carico epidemiologico, congiungendo le stime del sommerso e i flussi dell’emergente.</w:t>
      </w:r>
    </w:p>
    <w:p>
      <w:pPr>
        <w:pStyle w:val="BodyText"/>
      </w:pPr>
      <w:r>
        <w:rPr>
          <w:b/>
          <w:bCs/>
        </w:rPr>
        <w:t xml:space="preserve">Tabella 2.1 — Il carico epidemiologico del disagio psichico in Puglia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Grandezza epidemiologica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Puglia</w:t>
            </w:r>
          </w:p>
        </w:tc>
      </w:tr>
      <w:tr>
        <w:tc>
          <w:tcPr/>
          <w:p>
            <w:pPr>
              <w:pStyle w:val="Compact"/>
              <w:spacing w:after="40" w:before="40"/>
              <w:jc w:val="left"/>
            </w:pPr>
            <w:r>
              <w:rPr>
                <w:rFonts w:ascii="Cambria" w:hAnsi="Cambria" w:cs="Cambria" w:eastAsia="Cambria"/>
                <w:color w:val="1A1A1A"/>
                <w:sz w:val="18"/>
              </w:rPr>
              <w:t xml:space="preserve">Disagio psichico comune o sottosoglia (bisogno potenziale)</w:t>
            </w:r>
          </w:p>
        </w:tc>
        <w:tc>
          <w:tcPr/>
          <w:p>
            <w:pPr>
              <w:pStyle w:val="Compact"/>
              <w:spacing w:after="40" w:before="40"/>
              <w:jc w:val="left"/>
            </w:pPr>
            <w:r>
              <w:rPr>
                <w:rFonts w:ascii="Cambria" w:hAnsi="Cambria" w:cs="Cambria" w:eastAsia="Cambria"/>
                <w:color w:val="1A1A1A"/>
                <w:sz w:val="18"/>
              </w:rPr>
              <w:t xml:space="preserve">~ 780.000 persone (20–30% della popolazione)</w:t>
            </w:r>
          </w:p>
        </w:tc>
      </w:tr>
      <w:tr>
        <w:tc>
          <w:tcPr>
            <w:shd w:val="clear" w:color="auto" w:fill="F4F1EC"/>
          </w:tcPr>
          <w:p>
            <w:pPr>
              <w:pStyle w:val="Compact"/>
              <w:spacing w:after="40" w:before="40"/>
              <w:jc w:val="left"/>
            </w:pPr>
            <w:r>
              <w:rPr>
                <w:rFonts w:ascii="Cambria" w:hAnsi="Cambria" w:cs="Cambria" w:eastAsia="Cambria"/>
                <w:color w:val="1A1A1A"/>
                <w:sz w:val="18"/>
              </w:rPr>
              <w:t xml:space="preserve">Anziani con disturbi depressivi clinicamente significativi (stima)</w:t>
            </w:r>
          </w:p>
        </w:tc>
        <w:tc>
          <w:tcPr>
            <w:shd w:val="clear" w:color="auto" w:fill="F4F1EC"/>
          </w:tcPr>
          <w:p>
            <w:pPr>
              <w:pStyle w:val="Compact"/>
              <w:spacing w:after="40" w:before="40"/>
              <w:jc w:val="left"/>
            </w:pPr>
            <w:r>
              <w:rPr>
                <w:rFonts w:ascii="Cambria" w:hAnsi="Cambria" w:cs="Cambria" w:eastAsia="Cambria"/>
                <w:color w:val="1A1A1A"/>
                <w:sz w:val="18"/>
              </w:rPr>
              <w:t xml:space="preserve">50.649 – 74.640</w:t>
            </w:r>
          </w:p>
        </w:tc>
      </w:tr>
      <w:tr>
        <w:tc>
          <w:tcPr/>
          <w:p>
            <w:pPr>
              <w:pStyle w:val="Compact"/>
              <w:spacing w:after="40" w:before="40"/>
              <w:jc w:val="left"/>
            </w:pPr>
            <w:r>
              <w:rPr>
                <w:rFonts w:ascii="Cambria" w:hAnsi="Cambria" w:cs="Cambria" w:eastAsia="Cambria"/>
                <w:color w:val="1A1A1A"/>
                <w:sz w:val="18"/>
              </w:rPr>
              <w:t xml:space="preserve">Anziani con disturbi d’ansia (stima)</w:t>
            </w:r>
          </w:p>
        </w:tc>
        <w:tc>
          <w:tcPr/>
          <w:p>
            <w:pPr>
              <w:pStyle w:val="Compact"/>
              <w:spacing w:after="40" w:before="40"/>
              <w:jc w:val="left"/>
            </w:pPr>
            <w:r>
              <w:rPr>
                <w:rFonts w:ascii="Cambria" w:hAnsi="Cambria" w:cs="Cambria" w:eastAsia="Cambria"/>
                <w:color w:val="1A1A1A"/>
                <w:sz w:val="18"/>
              </w:rPr>
              <w:t xml:space="preserve">69.150 – 92.200</w:t>
            </w:r>
          </w:p>
        </w:tc>
      </w:tr>
      <w:tr>
        <w:tc>
          <w:tcPr>
            <w:shd w:val="clear" w:color="auto" w:fill="F4F1EC"/>
          </w:tcPr>
          <w:p>
            <w:pPr>
              <w:pStyle w:val="Compact"/>
              <w:spacing w:after="40" w:before="40"/>
              <w:jc w:val="left"/>
            </w:pPr>
            <w:r>
              <w:rPr>
                <w:rFonts w:ascii="Cambria" w:hAnsi="Cambria" w:cs="Cambria" w:eastAsia="Cambria"/>
                <w:color w:val="1A1A1A"/>
                <w:sz w:val="18"/>
              </w:rPr>
              <w:t xml:space="preserve">Sintomi depressivi rilevati dalla sorveglianza PASSI (18–64 anni)</w:t>
            </w:r>
          </w:p>
        </w:tc>
        <w:tc>
          <w:tcPr>
            <w:shd w:val="clear" w:color="auto" w:fill="F4F1EC"/>
          </w:tcPr>
          <w:p>
            <w:pPr>
              <w:pStyle w:val="Compact"/>
              <w:spacing w:after="40" w:before="40"/>
              <w:jc w:val="left"/>
            </w:pPr>
            <w:r>
              <w:rPr>
                <w:rFonts w:ascii="Cambria" w:hAnsi="Cambria" w:cs="Cambria" w:eastAsia="Cambria"/>
                <w:color w:val="1A1A1A"/>
                <w:sz w:val="18"/>
              </w:rPr>
              <w:t xml:space="preserve">3,6% (~ 80.000); media nazionale 6,7%</w:t>
            </w:r>
          </w:p>
        </w:tc>
      </w:tr>
      <w:tr>
        <w:tc>
          <w:tcPr/>
          <w:p>
            <w:pPr>
              <w:pStyle w:val="Compact"/>
              <w:spacing w:after="40" w:before="40"/>
              <w:jc w:val="left"/>
            </w:pPr>
            <w:r>
              <w:rPr>
                <w:rFonts w:ascii="Cambria" w:hAnsi="Cambria" w:cs="Cambria" w:eastAsia="Cambria"/>
                <w:color w:val="1A1A1A"/>
                <w:sz w:val="18"/>
              </w:rPr>
              <w:t xml:space="preserve">Utenti in carico ai Dipartimenti di Salute Mentale (2023)</w:t>
            </w:r>
          </w:p>
        </w:tc>
        <w:tc>
          <w:tcPr/>
          <w:p>
            <w:pPr>
              <w:pStyle w:val="Compact"/>
              <w:spacing w:after="40" w:before="40"/>
              <w:jc w:val="left"/>
            </w:pPr>
            <w:r>
              <w:rPr>
                <w:rFonts w:ascii="Cambria" w:hAnsi="Cambria" w:cs="Cambria" w:eastAsia="Cambria"/>
                <w:color w:val="1A1A1A"/>
                <w:sz w:val="18"/>
              </w:rPr>
              <w:t xml:space="preserve">54.946 (~ 106 ogni 10.000 adulti)</w:t>
            </w:r>
          </w:p>
        </w:tc>
      </w:tr>
      <w:tr>
        <w:tc>
          <w:tcPr>
            <w:shd w:val="clear" w:color="auto" w:fill="F4F1EC"/>
          </w:tcPr>
          <w:p>
            <w:pPr>
              <w:pStyle w:val="Compact"/>
              <w:spacing w:after="40" w:before="40"/>
              <w:jc w:val="left"/>
            </w:pPr>
            <w:r>
              <w:rPr>
                <w:rFonts w:ascii="Cambria" w:hAnsi="Cambria" w:cs="Cambria" w:eastAsia="Cambria"/>
                <w:color w:val="1A1A1A"/>
                <w:sz w:val="18"/>
              </w:rPr>
              <w:t xml:space="preserve">Nuovi utenti dei Dipartimenti (2023)</w:t>
            </w:r>
          </w:p>
        </w:tc>
        <w:tc>
          <w:tcPr>
            <w:shd w:val="clear" w:color="auto" w:fill="F4F1EC"/>
          </w:tcPr>
          <w:p>
            <w:pPr>
              <w:pStyle w:val="Compact"/>
              <w:spacing w:after="40" w:before="40"/>
              <w:jc w:val="left"/>
            </w:pPr>
            <w:r>
              <w:rPr>
                <w:rFonts w:ascii="Cambria" w:hAnsi="Cambria" w:cs="Cambria" w:eastAsia="Cambria"/>
                <w:color w:val="1A1A1A"/>
                <w:sz w:val="18"/>
              </w:rPr>
              <w:t xml:space="preserve">18.939 (~ 35 ogni 10.000 adulti)</w:t>
            </w:r>
          </w:p>
        </w:tc>
      </w:tr>
      <w:tr>
        <w:tc>
          <w:tcPr/>
          <w:p>
            <w:pPr>
              <w:pStyle w:val="Compact"/>
              <w:spacing w:after="40" w:before="40"/>
              <w:jc w:val="left"/>
            </w:pPr>
            <w:r>
              <w:rPr>
                <w:rFonts w:ascii="Cambria" w:hAnsi="Cambria" w:cs="Cambria" w:eastAsia="Cambria"/>
                <w:color w:val="1A1A1A"/>
                <w:sz w:val="18"/>
              </w:rPr>
              <w:t xml:space="preserve">Accessi al pronto soccorso per cause psichiatriche (2023)</w:t>
            </w:r>
          </w:p>
        </w:tc>
        <w:tc>
          <w:tcPr/>
          <w:p>
            <w:pPr>
              <w:pStyle w:val="Compact"/>
              <w:spacing w:after="40" w:before="40"/>
              <w:jc w:val="left"/>
            </w:pPr>
            <w:r>
              <w:rPr>
                <w:rFonts w:ascii="Cambria" w:hAnsi="Cambria" w:cs="Cambria" w:eastAsia="Cambria"/>
                <w:color w:val="1A1A1A"/>
                <w:sz w:val="18"/>
              </w:rPr>
              <w:t xml:space="preserve">18.753 (oltre 50 al giorno; +30% sul pre-pandemia)</w:t>
            </w:r>
          </w:p>
        </w:tc>
      </w:tr>
    </w:tbl>
    <w:p>
      <w:pPr>
        <w:pStyle w:val="BodyText"/>
      </w:pPr>
      <w:r>
        <w:rPr>
          <w:i/>
          <w:iCs/>
        </w:rPr>
        <w:t xml:space="preserve">Fonti: stime epidemiologiche regionali; meta-analisi internazionali; ISS, sorveglianza PASSI; Sistema Informativo per la Salute Mentale 2023.</w:t>
      </w:r>
    </w:p>
    <w:p>
      <w:pPr>
        <w:pStyle w:val="BodyText"/>
      </w:pPr>
      <w:r>
        <w:t xml:space="preserve">Il confronto tra l’ampiezza del bisogno potenziale e l’esiguità dell’offerta definisce la dimensione del divario che la riforma intende colmare. Il servizio istituito dalla legge regionale conta oggi circa 45 psicologi, uno per distretto, a fronte di uno stanziamento di 1,5 milioni di euro l’anno: una dotazione pari a circa il 5 per cento di un fabbisogno stimato nell’ordine di 800–900 psicologi per l’intera regione.</w:t>
      </w:r>
      <w:r>
        <w:rPr>
          <w:rStyle w:val="FootnoteReference"/>
        </w:rPr>
        <w:footnoteReference w:id="42"/>
      </w:r>
      <w:r>
        <w:t xml:space="preserve"> </w:t>
      </w:r>
      <w:r>
        <w:t xml:space="preserve">Lo studio considera tre scenari di copertura — nell’ordine di 450, 700 e 900 incarichi — che conducono il servizio progressivamente verso la copertura del bisogno, e che costituiranno il riferimento dimensionale delle valutazioni economiche delle parti successive. La tabella seguente riepiloga le grandezze della domanda, dell’offerta e del divario di copertura, che misurano congiuntamente la pressione del bisogno e lo spazio dell’intervento.</w:t>
      </w:r>
    </w:p>
    <w:p>
      <w:pPr>
        <w:pStyle w:val="BodyText"/>
      </w:pPr>
      <w:r>
        <w:rPr>
          <w:b/>
          <w:bCs/>
        </w:rPr>
        <w:t xml:space="preserve">Tabella 2.2 — Domanda, offerta e divario di copertura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Puglia</w:t>
            </w:r>
          </w:p>
        </w:tc>
      </w:tr>
      <w:tr>
        <w:tc>
          <w:tcPr/>
          <w:p>
            <w:pPr>
              <w:pStyle w:val="Compact"/>
              <w:spacing w:after="40" w:before="40"/>
              <w:jc w:val="left"/>
            </w:pPr>
            <w:r>
              <w:rPr>
                <w:rFonts w:ascii="Cambria" w:hAnsi="Cambria" w:cs="Cambria" w:eastAsia="Cambria"/>
                <w:color w:val="1A1A1A"/>
                <w:sz w:val="18"/>
              </w:rPr>
              <w:t xml:space="preserve">Offerta psicologica pubblica (strutture di salute mentale)</w:t>
            </w:r>
          </w:p>
        </w:tc>
        <w:tc>
          <w:tcPr/>
          <w:p>
            <w:pPr>
              <w:pStyle w:val="Compact"/>
              <w:spacing w:after="40" w:before="40"/>
              <w:jc w:val="left"/>
            </w:pPr>
            <w:r>
              <w:rPr>
                <w:rFonts w:ascii="Cambria" w:hAnsi="Cambria" w:cs="Cambria" w:eastAsia="Cambria"/>
                <w:color w:val="1A1A1A"/>
                <w:sz w:val="18"/>
              </w:rPr>
              <w:t xml:space="preserve">&lt; 3 psicologi ogni 100.000 abitanti</w:t>
            </w:r>
          </w:p>
        </w:tc>
      </w:tr>
      <w:tr>
        <w:tc>
          <w:tcPr>
            <w:shd w:val="clear" w:color="auto" w:fill="F4F1EC"/>
          </w:tcPr>
          <w:p>
            <w:pPr>
              <w:pStyle w:val="Compact"/>
              <w:spacing w:after="40" w:before="40"/>
              <w:jc w:val="left"/>
            </w:pPr>
            <w:r>
              <w:rPr>
                <w:rFonts w:ascii="Cambria" w:hAnsi="Cambria" w:cs="Cambria" w:eastAsia="Cambria"/>
                <w:color w:val="1A1A1A"/>
                <w:sz w:val="18"/>
              </w:rPr>
              <w:t xml:space="preserve">Psicologi del servizio attuale</w:t>
            </w:r>
          </w:p>
        </w:tc>
        <w:tc>
          <w:tcPr>
            <w:shd w:val="clear" w:color="auto" w:fill="F4F1EC"/>
          </w:tcPr>
          <w:p>
            <w:pPr>
              <w:pStyle w:val="Compact"/>
              <w:spacing w:after="40" w:before="40"/>
              <w:jc w:val="left"/>
            </w:pPr>
            <w:r>
              <w:rPr>
                <w:rFonts w:ascii="Cambria" w:hAnsi="Cambria" w:cs="Cambria" w:eastAsia="Cambria"/>
                <w:color w:val="1A1A1A"/>
                <w:sz w:val="18"/>
              </w:rPr>
              <w:t xml:space="preserve">~ 45 (uno per distretto)</w:t>
            </w:r>
          </w:p>
        </w:tc>
      </w:tr>
      <w:tr>
        <w:tc>
          <w:tcPr/>
          <w:p>
            <w:pPr>
              <w:pStyle w:val="Compact"/>
              <w:spacing w:after="40" w:before="40"/>
              <w:jc w:val="left"/>
            </w:pPr>
            <w:r>
              <w:rPr>
                <w:rFonts w:ascii="Cambria" w:hAnsi="Cambria" w:cs="Cambria" w:eastAsia="Cambria"/>
                <w:color w:val="1A1A1A"/>
                <w:sz w:val="18"/>
              </w:rPr>
              <w:t xml:space="preserve">Stanziamento annuo del servizio attuale</w:t>
            </w:r>
          </w:p>
        </w:tc>
        <w:tc>
          <w:tcPr/>
          <w:p>
            <w:pPr>
              <w:pStyle w:val="Compact"/>
              <w:spacing w:after="40" w:before="40"/>
              <w:jc w:val="left"/>
            </w:pPr>
            <w:r>
              <w:rPr>
                <w:rFonts w:ascii="Cambria" w:hAnsi="Cambria" w:cs="Cambria" w:eastAsia="Cambria"/>
                <w:color w:val="1A1A1A"/>
                <w:sz w:val="18"/>
              </w:rPr>
              <w:t xml:space="preserve">1,5 milioni di euro</w:t>
            </w:r>
          </w:p>
        </w:tc>
      </w:tr>
      <w:tr>
        <w:tc>
          <w:tcPr>
            <w:shd w:val="clear" w:color="auto" w:fill="F4F1EC"/>
          </w:tcPr>
          <w:p>
            <w:pPr>
              <w:pStyle w:val="Compact"/>
              <w:spacing w:after="40" w:before="40"/>
              <w:jc w:val="left"/>
            </w:pPr>
            <w:r>
              <w:rPr>
                <w:rFonts w:ascii="Cambria" w:hAnsi="Cambria" w:cs="Cambria" w:eastAsia="Cambria"/>
                <w:color w:val="1A1A1A"/>
                <w:sz w:val="18"/>
              </w:rPr>
              <w:t xml:space="preserve">Fabbisogno stimato a regime</w:t>
            </w:r>
          </w:p>
        </w:tc>
        <w:tc>
          <w:tcPr>
            <w:shd w:val="clear" w:color="auto" w:fill="F4F1EC"/>
          </w:tcPr>
          <w:p>
            <w:pPr>
              <w:pStyle w:val="Compact"/>
              <w:spacing w:after="40" w:before="40"/>
              <w:jc w:val="left"/>
            </w:pPr>
            <w:r>
              <w:rPr>
                <w:rFonts w:ascii="Cambria" w:hAnsi="Cambria" w:cs="Cambria" w:eastAsia="Cambria"/>
                <w:color w:val="1A1A1A"/>
                <w:sz w:val="18"/>
              </w:rPr>
              <w:t xml:space="preserve">~ 800–900 psicologi</w:t>
            </w:r>
          </w:p>
        </w:tc>
      </w:tr>
      <w:tr>
        <w:tc>
          <w:tcPr/>
          <w:p>
            <w:pPr>
              <w:pStyle w:val="Compact"/>
              <w:spacing w:after="40" w:before="40"/>
              <w:jc w:val="left"/>
            </w:pPr>
            <w:r>
              <w:rPr>
                <w:rFonts w:ascii="Cambria" w:hAnsi="Cambria" w:cs="Cambria" w:eastAsia="Cambria"/>
                <w:color w:val="1A1A1A"/>
                <w:sz w:val="18"/>
              </w:rPr>
              <w:t xml:space="preserve">Copertura attuale del fabbisogno</w:t>
            </w:r>
          </w:p>
        </w:tc>
        <w:tc>
          <w:tcPr/>
          <w:p>
            <w:pPr>
              <w:pStyle w:val="Compact"/>
              <w:spacing w:after="40" w:before="40"/>
              <w:jc w:val="left"/>
            </w:pPr>
            <w:r>
              <w:rPr>
                <w:rFonts w:ascii="Cambria" w:hAnsi="Cambria" w:cs="Cambria" w:eastAsia="Cambria"/>
                <w:color w:val="1A1A1A"/>
                <w:sz w:val="18"/>
              </w:rPr>
              <w:t xml:space="preserve">~ 5%</w:t>
            </w:r>
          </w:p>
        </w:tc>
      </w:tr>
      <w:tr>
        <w:tc>
          <w:tcPr>
            <w:shd w:val="clear" w:color="auto" w:fill="F4F1EC"/>
          </w:tcPr>
          <w:p>
            <w:pPr>
              <w:pStyle w:val="Compact"/>
              <w:spacing w:after="40" w:before="40"/>
              <w:jc w:val="left"/>
            </w:pPr>
            <w:r>
              <w:rPr>
                <w:rFonts w:ascii="Cambria" w:hAnsi="Cambria" w:cs="Cambria" w:eastAsia="Cambria"/>
                <w:color w:val="1A1A1A"/>
                <w:sz w:val="18"/>
              </w:rPr>
              <w:t xml:space="preserve">Scenari di copertura considerati dallo studio</w:t>
            </w:r>
          </w:p>
        </w:tc>
        <w:tc>
          <w:tcPr>
            <w:shd w:val="clear" w:color="auto" w:fill="F4F1EC"/>
          </w:tcPr>
          <w:p>
            <w:pPr>
              <w:pStyle w:val="Compact"/>
              <w:spacing w:after="40" w:before="40"/>
              <w:jc w:val="left"/>
            </w:pPr>
            <w:r>
              <w:rPr>
                <w:rFonts w:ascii="Cambria" w:hAnsi="Cambria" w:cs="Cambria" w:eastAsia="Cambria"/>
                <w:color w:val="1A1A1A"/>
                <w:sz w:val="18"/>
              </w:rPr>
              <w:t xml:space="preserve">~ 450 / 700 / 900 incarichi</w:t>
            </w:r>
          </w:p>
        </w:tc>
      </w:tr>
    </w:tbl>
    <w:p>
      <w:pPr>
        <w:pStyle w:val="BodyText"/>
      </w:pPr>
      <w:r>
        <w:rPr>
          <w:i/>
          <w:iCs/>
        </w:rPr>
        <w:t xml:space="preserve">Fonti: Ministero della Salute; legge regionale 11/2023; elaborazioni dello studio. Valori in numeri assoluti e percentuali.</w:t>
      </w:r>
    </w:p>
    <w:p>
      <w:pPr>
        <w:pStyle w:val="BodyText"/>
      </w:pPr>
      <w:r>
        <w:t xml:space="preserve">La lettura congiunta dei due piani del bisogno e della misura dell’offerta restituisce il significato dell’intervento. Il divario di trattamento non è una carenza marginale, ma il tratto strutturale del sistema di salute mentale regionale: un bisogno ampio e in larga parte sommerso, una sua emersione tardiva e costosa nei servizi specialistici e di emergenza, e un’offerta di primo livello pari a una frazione del fabbisogno. È in questa configurazione che si colloca la funzione dello Psicologo di Base, posto all’apice della cascata: intercettare il bisogno prima che si aggravi, ridurre il ricorso improprio ai servizi a maggiore intensità e costo, e colmare la distanza tra la prevalenza reale del disagio e l’accesso effettivo alle cure. La quantificazione degli effetti di tale funzione, lungo l’intera cascata delle figure e dei domini, è l’oggetto delle parti successive; questa voce ne ha stabilito la premessa fattuale.</w:t>
      </w:r>
    </w:p>
    <w:bookmarkEnd w:id="67"/>
    <w:bookmarkStart w:id="72" w:name="Xbfeb21c6ed4ba8ccf79d059c8543af10b6c17e6"/>
    <w:p>
      <w:pPr>
        <w:pStyle w:val="Heading2"/>
      </w:pPr>
      <w:r>
        <w:rPr>
          <w:b/>
          <w:bCs/>
        </w:rPr>
        <w:t xml:space="preserve">2.2 Il contesto demografico, sociale ed economico regionale</w:t>
      </w:r>
    </w:p>
    <w:p>
      <w:pPr>
        <w:pStyle w:val="FirstParagraph"/>
      </w:pPr>
      <w:r>
        <w:rPr>
          <w:i/>
          <w:iCs/>
        </w:rPr>
        <w:t xml:space="preserve">Questa voce ricostruisce il profilo demografico, sociale ed economico della Puglia, mostrando come l’invecchiamento accelerato e la vulnerabilità socioeconomica convergano in una pressione duplice sul bisogno di salute mentale, e come la loro disomogeneità territoriale imponga una programmazione differenziata.</w:t>
      </w:r>
    </w:p>
    <w:p>
      <w:pPr>
        <w:pStyle w:val="BodyText"/>
      </w:pPr>
      <w:r>
        <w:t xml:space="preserve">La Puglia conta una popolazione di poco inferiore ai quattro milioni di abitanti — 3.877.395 al Censimento permanente del 2024, circa il 6,6 per cento del totale nazionale — distribuita in 6 aziende sanitarie locali e 45 distretti.</w:t>
      </w:r>
      <w:r>
        <w:rPr>
          <w:rStyle w:val="FootnoteReference"/>
        </w:rPr>
        <w:footnoteReference w:id="43"/>
      </w:r>
      <w:r>
        <w:t xml:space="preserve"> </w:t>
      </w:r>
      <w:r>
        <w:t xml:space="preserve">Questa articolazione territoriale del Servizio sanitario regionale costituisce la maglia entro cui il servizio di Psicologia di Base si inserisce, con un incarico per distretto nella configurazione attuale e una distribuzione da ridefinire negli scenari di copertura; la dimensione e la struttura della popolazione che ciascun distretto serve sono perciò il primo parametro della programmazione.</w:t>
      </w:r>
    </w:p>
    <w:p>
      <w:pPr>
        <w:pStyle w:val="BodyText"/>
      </w:pPr>
      <w:r>
        <w:t xml:space="preserve">Il tratto demografico dominante è un invecchiamento accelerato. L’età media è salita da 39,3 anni nel 2002 a 46,4 nel 2024, e l’indice di vecchiaia ha raggiunto 200,8 anziani ogni 100 giovani, all’incirca raddoppiato nell’arco di un decennio. Le proiezioni dell’Istituto nazionale di statistica delineano una contrazione marcata e strutturale della popolazione: 3.769.000 abitanti nel 2030, con un calo del 3,5 per cento, e 3.229.000 nel 2050, con una riduzione del 17,4 per cento rispetto al 2023. Nello stesso arco temporale la quota di ultrasessantacinquenni passerebbe dal 24,2 al 37,1 per cento, e gli ultrasettantacinquenni crescerebbero da 461.000 a 658.000, con un incremento del 43 per cento.</w:t>
      </w:r>
      <w:r>
        <w:rPr>
          <w:rStyle w:val="FootnoteReference"/>
        </w:rPr>
        <w:footnoteReference w:id="44"/>
      </w:r>
      <w:r>
        <w:t xml:space="preserve"> </w:t>
      </w:r>
      <w:r>
        <w:t xml:space="preserve">La transizione non è dunque un rallentamento congiunturale, ma una ricomposizione strutturale e duratura della piramide delle età, destinata a modificare in profondità la struttura del bisogno sanitario regionale.</w:t>
      </w:r>
    </w:p>
    <w:p>
      <w:pPr>
        <w:pStyle w:val="BodyText"/>
      </w:pPr>
      <w:r>
        <w:t xml:space="preserve">Questa transizione non è un mero dato statistico, ma una trasformazione del profilo epidemiologico regionale, poiché l’età avanzata si accompagna a una prevalenza crescente di disturbi mentali, soprattutto in presenza di multimorbidità. L’invecchiamento agisce così come moltiplicatore del bisogno già misurato nella voce precedente: la stessa popolazione anziana che oggi concorre alle stime di 50.649–74.640 casi depressivi e 69.150–92.200 casi d’ansia è destinata ad ampliarsi, spostando verso l’alto la domanda potenziale di salute mentale e accrescendo la quota di bisogno associata alla cronicità e alla compresenza di più patologie. Una programmazione che non tenesse conto di questa dinamica sottostimerebbe sistematicamente il fabbisogno futuro.</w:t>
      </w:r>
    </w:p>
    <w:p>
      <w:pPr>
        <w:pStyle w:val="BodyText"/>
      </w:pPr>
      <w:r>
        <w:t xml:space="preserve">La dinamica demografica non è inoltre omogenea sul territorio, e la sua disomogeneità ha conseguenze dirette sulla programmazione. La provincia di Lecce è la più anziana, con un’età media di 47,5 anni e un indice di vecchiaia di 229,8, mentre la provincia di Barletta-Andria-Trani è la più giovane, con 44,9 anni e un indice di 169,1.</w:t>
      </w:r>
      <w:r>
        <w:rPr>
          <w:rStyle w:val="FootnoteReference"/>
        </w:rPr>
        <w:footnoteReference w:id="45"/>
      </w:r>
      <w:r>
        <w:t xml:space="preserve"> </w:t>
      </w:r>
      <w:r>
        <w:t xml:space="preserve">Tale eterogeneità impone una programmazione differenziata, capace di calibrare l’offerta sulle diverse strutture per età delle aree: a parità di popolazione, un distretto con una quota anziana più elevata esprime un bisogno di salute mentale di composizione diversa, più orientato ai quadri depressivi e ansiosi dell’età avanzata e alla loro intersezione con la multimorbidità. La tabella che chiude questa voce riepiloga, accanto al profilo complessivo, i due estremi di tale eterogeneità.</w:t>
      </w:r>
    </w:p>
    <w:p>
      <w:pPr>
        <w:pStyle w:val="BodyText"/>
      </w:pPr>
      <w:r>
        <w:t xml:space="preserve">Al profilo demografico si somma un contesto socioeconomico di marcata vulnerabilità. Il 37,7 per cento della popolazione pugliese risulta a rischio di povertà o esclusione sociale, tra i valori più elevati del Paese; e l’indice di deprivazione — costruito aggregando reddito, istruzione, condizione occupazionale e tipologia abitativa — misura condizioni materiali che la letteratura epidemiologica longitudinale identifica come determinanti robusti della salute mentale. Le popolazioni che vivono in condizioni di deprivazione presentano infatti prevalenze sistematicamente più elevate di disturbi mentali comuni — depressione, ansia, disturbi correlati allo stress e all’uso di sostanze — attraverso meccanismi che includono l’insicurezza economica, la precarietà lavorativa, le condizioni abitative inadeguate e l’accesso limitato alle risorse protettive.</w:t>
      </w:r>
      <w:r>
        <w:rPr>
          <w:rStyle w:val="FootnoteReference"/>
        </w:rPr>
        <w:footnoteReference w:id="46"/>
      </w:r>
      <w:r>
        <w:t xml:space="preserve"> </w:t>
      </w:r>
      <w:r>
        <w:t xml:space="preserve">La deprivazione non è perciò un fattore di contesto esterno al bisogno di salute mentale, ma una sua determinante diretta, che ne accresce l’incidenza e ne aggrava il decorso.</w:t>
      </w:r>
    </w:p>
    <w:p>
      <w:pPr>
        <w:pStyle w:val="BodyText"/>
      </w:pPr>
      <w:r>
        <w:t xml:space="preserve">La combinazione dell’invecchiamento e della deprivazione configura, per la salute mentale pugliese, una pressione duplice e convergente. Le due dinamiche non si limitano a sommarsi, ma interagiscono: la deprivazione aggrava il decorso dei disturbi associati all’età avanzata e ne ostacola la presa in carico, mentre l’invecchiamento accresce la vulnerabilità delle popolazioni già deprivate, in particolare nelle aree interne montane e rurali colpite da spopolamento giovanile e in alcune periferie urbane degradate. Sono precisamente le aree in cui i determinanti sociali del disagio si addensano e in cui, al tempo stesso, l’accesso ai servizi è più difficile, così che la maggiore intensità del bisogno coincide con la minore disponibilità dell’offerta. È questa coincidenza che la programmazione del servizio, attraverso una distribuzione territoriale ponderata, ha il compito di correggere, e la cui misura è ripresa nella voce dedicata alle disuguaglianze.</w:t>
      </w:r>
    </w:p>
    <w:p>
      <w:pPr>
        <w:pStyle w:val="BodyText"/>
      </w:pPr>
      <w:r>
        <w:t xml:space="preserve">Il profilo demografico e socioeconomico fin qui descritto può essere ricomposto in un quadro sintetico dei suoi tratti essenziali. La tabella seguente riepiloga le grandezze demografiche e socioeconomiche della regione, accostando al profilo complessivo i valori dei due estremi territoriali, così da rendere evidente sia la condizione media sia l’ampiezza della sua variazione interna.</w:t>
      </w:r>
    </w:p>
    <w:p>
      <w:pPr>
        <w:pStyle w:val="BodyText"/>
      </w:pPr>
      <w:r>
        <w:rPr>
          <w:b/>
          <w:bCs/>
        </w:rPr>
        <w:t xml:space="preserve">Tabella 2.3 — Profilo demografico e socioeconomico della Puglia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Puglia</w:t>
            </w:r>
          </w:p>
        </w:tc>
      </w:tr>
      <w:tr>
        <w:tc>
          <w:tcPr/>
          <w:p>
            <w:pPr>
              <w:pStyle w:val="Compact"/>
              <w:spacing w:after="40" w:before="40"/>
              <w:jc w:val="left"/>
            </w:pPr>
            <w:r>
              <w:rPr>
                <w:rFonts w:ascii="Cambria" w:hAnsi="Cambria" w:cs="Cambria" w:eastAsia="Cambria"/>
                <w:color w:val="1A1A1A"/>
                <w:sz w:val="18"/>
              </w:rPr>
              <w:t xml:space="preserve">Popolazione (Censimento 2024)</w:t>
            </w:r>
          </w:p>
        </w:tc>
        <w:tc>
          <w:tcPr/>
          <w:p>
            <w:pPr>
              <w:pStyle w:val="Compact"/>
              <w:spacing w:after="40" w:before="40"/>
              <w:jc w:val="left"/>
            </w:pPr>
            <w:r>
              <w:rPr>
                <w:rFonts w:ascii="Cambria" w:hAnsi="Cambria" w:cs="Cambria" w:eastAsia="Cambria"/>
                <w:color w:val="1A1A1A"/>
                <w:sz w:val="18"/>
              </w:rPr>
              <w:t xml:space="preserve">3.877.395 (~ 6,6% del totale nazionale)</w:t>
            </w:r>
          </w:p>
        </w:tc>
      </w:tr>
      <w:tr>
        <w:tc>
          <w:tcPr>
            <w:shd w:val="clear" w:color="auto" w:fill="F4F1EC"/>
          </w:tcPr>
          <w:p>
            <w:pPr>
              <w:pStyle w:val="Compact"/>
              <w:spacing w:after="40" w:before="40"/>
              <w:jc w:val="left"/>
            </w:pPr>
            <w:r>
              <w:rPr>
                <w:rFonts w:ascii="Cambria" w:hAnsi="Cambria" w:cs="Cambria" w:eastAsia="Cambria"/>
                <w:color w:val="1A1A1A"/>
                <w:sz w:val="18"/>
              </w:rPr>
              <w:t xml:space="preserve">Articolazione del Servizio sanitario regionale</w:t>
            </w:r>
          </w:p>
        </w:tc>
        <w:tc>
          <w:tcPr>
            <w:shd w:val="clear" w:color="auto" w:fill="F4F1EC"/>
          </w:tcPr>
          <w:p>
            <w:pPr>
              <w:pStyle w:val="Compact"/>
              <w:spacing w:after="40" w:before="40"/>
              <w:jc w:val="left"/>
            </w:pPr>
            <w:r>
              <w:rPr>
                <w:rFonts w:ascii="Cambria" w:hAnsi="Cambria" w:cs="Cambria" w:eastAsia="Cambria"/>
                <w:color w:val="1A1A1A"/>
                <w:sz w:val="18"/>
              </w:rPr>
              <w:t xml:space="preserve">6 aziende sanitarie locali; 45 distretti</w:t>
            </w:r>
          </w:p>
        </w:tc>
      </w:tr>
      <w:tr>
        <w:tc>
          <w:tcPr/>
          <w:p>
            <w:pPr>
              <w:pStyle w:val="Compact"/>
              <w:spacing w:after="40" w:before="40"/>
              <w:jc w:val="left"/>
            </w:pPr>
            <w:r>
              <w:rPr>
                <w:rFonts w:ascii="Cambria" w:hAnsi="Cambria" w:cs="Cambria" w:eastAsia="Cambria"/>
                <w:color w:val="1A1A1A"/>
                <w:sz w:val="18"/>
              </w:rPr>
              <w:t xml:space="preserve">Età media</w:t>
            </w:r>
          </w:p>
        </w:tc>
        <w:tc>
          <w:tcPr/>
          <w:p>
            <w:pPr>
              <w:pStyle w:val="Compact"/>
              <w:spacing w:after="40" w:before="40"/>
              <w:jc w:val="left"/>
            </w:pPr>
            <w:r>
              <w:rPr>
                <w:rFonts w:ascii="Cambria" w:hAnsi="Cambria" w:cs="Cambria" w:eastAsia="Cambria"/>
                <w:color w:val="1A1A1A"/>
                <w:sz w:val="18"/>
              </w:rPr>
              <w:t xml:space="preserve">46,4 anni (da 39,3 nel 2002)</w:t>
            </w:r>
          </w:p>
        </w:tc>
      </w:tr>
      <w:tr>
        <w:tc>
          <w:tcPr>
            <w:shd w:val="clear" w:color="auto" w:fill="F4F1EC"/>
          </w:tcPr>
          <w:p>
            <w:pPr>
              <w:pStyle w:val="Compact"/>
              <w:spacing w:after="40" w:before="40"/>
              <w:jc w:val="left"/>
            </w:pPr>
            <w:r>
              <w:rPr>
                <w:rFonts w:ascii="Cambria" w:hAnsi="Cambria" w:cs="Cambria" w:eastAsia="Cambria"/>
                <w:color w:val="1A1A1A"/>
                <w:sz w:val="18"/>
              </w:rPr>
              <w:t xml:space="preserve">Indice di vecchiaia</w:t>
            </w:r>
          </w:p>
        </w:tc>
        <w:tc>
          <w:tcPr>
            <w:shd w:val="clear" w:color="auto" w:fill="F4F1EC"/>
          </w:tcPr>
          <w:p>
            <w:pPr>
              <w:pStyle w:val="Compact"/>
              <w:spacing w:after="40" w:before="40"/>
              <w:jc w:val="left"/>
            </w:pPr>
            <w:r>
              <w:rPr>
                <w:rFonts w:ascii="Cambria" w:hAnsi="Cambria" w:cs="Cambria" w:eastAsia="Cambria"/>
                <w:color w:val="1A1A1A"/>
                <w:sz w:val="18"/>
              </w:rPr>
              <w:t xml:space="preserve">200,8 anziani ogni 100 giovani</w:t>
            </w:r>
          </w:p>
        </w:tc>
      </w:tr>
      <w:tr>
        <w:tc>
          <w:tcPr/>
          <w:p>
            <w:pPr>
              <w:pStyle w:val="Compact"/>
              <w:spacing w:after="40" w:before="40"/>
              <w:jc w:val="left"/>
            </w:pPr>
            <w:r>
              <w:rPr>
                <w:rFonts w:ascii="Cambria" w:hAnsi="Cambria" w:cs="Cambria" w:eastAsia="Cambria"/>
                <w:color w:val="1A1A1A"/>
                <w:sz w:val="18"/>
              </w:rPr>
              <w:t xml:space="preserve">Quota di ultrasessantacinquenni</w:t>
            </w:r>
          </w:p>
        </w:tc>
        <w:tc>
          <w:tcPr/>
          <w:p>
            <w:pPr>
              <w:pStyle w:val="Compact"/>
              <w:spacing w:after="40" w:before="40"/>
              <w:jc w:val="left"/>
            </w:pPr>
            <w:r>
              <w:rPr>
                <w:rFonts w:ascii="Cambria" w:hAnsi="Cambria" w:cs="Cambria" w:eastAsia="Cambria"/>
                <w:color w:val="1A1A1A"/>
                <w:sz w:val="18"/>
              </w:rPr>
              <w:t xml:space="preserve">24,2% oggi; 37,1% atteso al 2050</w:t>
            </w:r>
          </w:p>
        </w:tc>
      </w:tr>
      <w:tr>
        <w:tc>
          <w:tcPr>
            <w:shd w:val="clear" w:color="auto" w:fill="F4F1EC"/>
          </w:tcPr>
          <w:p>
            <w:pPr>
              <w:pStyle w:val="Compact"/>
              <w:spacing w:after="40" w:before="40"/>
              <w:jc w:val="left"/>
            </w:pPr>
            <w:r>
              <w:rPr>
                <w:rFonts w:ascii="Cambria" w:hAnsi="Cambria" w:cs="Cambria" w:eastAsia="Cambria"/>
                <w:color w:val="1A1A1A"/>
                <w:sz w:val="18"/>
              </w:rPr>
              <w:t xml:space="preserve">Ultrasettantacinquenni</w:t>
            </w:r>
          </w:p>
        </w:tc>
        <w:tc>
          <w:tcPr>
            <w:shd w:val="clear" w:color="auto" w:fill="F4F1EC"/>
          </w:tcPr>
          <w:p>
            <w:pPr>
              <w:pStyle w:val="Compact"/>
              <w:spacing w:after="40" w:before="40"/>
              <w:jc w:val="left"/>
            </w:pPr>
            <w:r>
              <w:rPr>
                <w:rFonts w:ascii="Cambria" w:hAnsi="Cambria" w:cs="Cambria" w:eastAsia="Cambria"/>
                <w:color w:val="1A1A1A"/>
                <w:sz w:val="18"/>
              </w:rPr>
              <w:t xml:space="preserve">da 461.000 a 658.000 (+43% al 2050)</w:t>
            </w:r>
          </w:p>
        </w:tc>
      </w:tr>
      <w:tr>
        <w:tc>
          <w:tcPr/>
          <w:p>
            <w:pPr>
              <w:pStyle w:val="Compact"/>
              <w:spacing w:after="40" w:before="40"/>
              <w:jc w:val="left"/>
            </w:pPr>
            <w:r>
              <w:rPr>
                <w:rFonts w:ascii="Cambria" w:hAnsi="Cambria" w:cs="Cambria" w:eastAsia="Cambria"/>
                <w:color w:val="1A1A1A"/>
                <w:sz w:val="18"/>
              </w:rPr>
              <w:t xml:space="preserve">Proiezione di popolazione</w:t>
            </w:r>
          </w:p>
        </w:tc>
        <w:tc>
          <w:tcPr/>
          <w:p>
            <w:pPr>
              <w:pStyle w:val="Compact"/>
              <w:spacing w:after="40" w:before="40"/>
              <w:jc w:val="left"/>
            </w:pPr>
            <w:r>
              <w:rPr>
                <w:rFonts w:ascii="Cambria" w:hAnsi="Cambria" w:cs="Cambria" w:eastAsia="Cambria"/>
                <w:color w:val="1A1A1A"/>
                <w:sz w:val="18"/>
              </w:rPr>
              <w:t xml:space="preserve">3.769.000 al 2030 (−3,5%); 3.229.000 al 2050 (−17,4% sul 2023)</w:t>
            </w:r>
          </w:p>
        </w:tc>
      </w:tr>
      <w:tr>
        <w:tc>
          <w:tcPr>
            <w:shd w:val="clear" w:color="auto" w:fill="F4F1EC"/>
          </w:tcPr>
          <w:p>
            <w:pPr>
              <w:pStyle w:val="Compact"/>
              <w:spacing w:after="40" w:before="40"/>
              <w:jc w:val="left"/>
            </w:pPr>
            <w:r>
              <w:rPr>
                <w:rFonts w:ascii="Cambria" w:hAnsi="Cambria" w:cs="Cambria" w:eastAsia="Cambria"/>
                <w:color w:val="1A1A1A"/>
                <w:sz w:val="18"/>
              </w:rPr>
              <w:t xml:space="preserve">Provincia più anziana / più giovane</w:t>
            </w:r>
          </w:p>
        </w:tc>
        <w:tc>
          <w:tcPr>
            <w:shd w:val="clear" w:color="auto" w:fill="F4F1EC"/>
          </w:tcPr>
          <w:p>
            <w:pPr>
              <w:pStyle w:val="Compact"/>
              <w:spacing w:after="40" w:before="40"/>
              <w:jc w:val="left"/>
            </w:pPr>
            <w:r>
              <w:rPr>
                <w:rFonts w:ascii="Cambria" w:hAnsi="Cambria" w:cs="Cambria" w:eastAsia="Cambria"/>
                <w:color w:val="1A1A1A"/>
                <w:sz w:val="18"/>
              </w:rPr>
              <w:t xml:space="preserve">Lecce (47,5; indice 229,8) / Barletta-Andria-Trani (44,9; indice 169,1)</w:t>
            </w:r>
          </w:p>
        </w:tc>
      </w:tr>
      <w:tr>
        <w:tc>
          <w:tcPr/>
          <w:p>
            <w:pPr>
              <w:pStyle w:val="Compact"/>
              <w:spacing w:after="40" w:before="40"/>
              <w:jc w:val="left"/>
            </w:pPr>
            <w:r>
              <w:rPr>
                <w:rFonts w:ascii="Cambria" w:hAnsi="Cambria" w:cs="Cambria" w:eastAsia="Cambria"/>
                <w:color w:val="1A1A1A"/>
                <w:sz w:val="18"/>
              </w:rPr>
              <w:t xml:space="preserve">Popolazione a rischio di povertà o esclusione sociale</w:t>
            </w:r>
          </w:p>
        </w:tc>
        <w:tc>
          <w:tcPr/>
          <w:p>
            <w:pPr>
              <w:pStyle w:val="Compact"/>
              <w:spacing w:after="40" w:before="40"/>
              <w:jc w:val="left"/>
            </w:pPr>
            <w:r>
              <w:rPr>
                <w:rFonts w:ascii="Cambria" w:hAnsi="Cambria" w:cs="Cambria" w:eastAsia="Cambria"/>
                <w:color w:val="1A1A1A"/>
                <w:sz w:val="18"/>
              </w:rPr>
              <w:t xml:space="preserve">37,7%</w:t>
            </w:r>
          </w:p>
        </w:tc>
      </w:tr>
    </w:tbl>
    <w:p>
      <w:pPr>
        <w:pStyle w:val="BodyText"/>
      </w:pPr>
      <w:r>
        <w:rPr>
          <w:i/>
          <w:iCs/>
        </w:rPr>
        <w:t xml:space="preserve">Fonti: ISTAT, Censimento permanente 2024 e proiezioni demografiche; indicatori regionali di deprivazione. Valori in numeri assoluti e percentuali.</w:t>
      </w:r>
    </w:p>
    <w:p>
      <w:pPr>
        <w:pStyle w:val="BodyText"/>
      </w:pPr>
      <w:r>
        <w:t xml:space="preserve">Il contesto demografico, sociale ed economico così ricostruito non costituisce uno sfondo neutro, ma una componente attiva del problema di salute. L’invecchiamento accelerato sposta verso l’alto e verso la cronicità la domanda di salute mentale; la vulnerabilità socioeconomica ne accresce l’incidenza e ne aggrava il decorso; e la disomogeneità territoriale fa sì che il bisogno più intenso si concentri nelle aree meno servite. Questi tre tratti definiscono le condizioni entro cui il servizio di Psicologia di Base deve operare e rispetto a cui deve essere dimensionato e distribuito. La voce successiva analizza il sistema sanitario regionale, mostrando come a questo contesto di bisogno corrisponda un’offerta segnata da carenze strutturali, liste d’attesa e flussi inefficienti, e definendo così lo spazio entro cui la riforma può produrre i propri effetti.</w:t>
      </w:r>
    </w:p>
    <w:bookmarkEnd w:id="72"/>
    <w:bookmarkStart w:id="80" w:name="Xab106e8d9ae8cb1c41a0e4b658707a31abf1f0b"/>
    <w:p>
      <w:pPr>
        <w:pStyle w:val="Heading2"/>
      </w:pPr>
      <w:r>
        <w:rPr>
          <w:b/>
          <w:bCs/>
        </w:rPr>
        <w:t xml:space="preserve">2.3 Il sistema sanitario regionale: cure primarie, Centri di Salute Mentale, Case della Comunità, carenza della medicina generale, liste d’attesa, mobilità sanitaria passiva</w:t>
      </w:r>
    </w:p>
    <w:p>
      <w:pPr>
        <w:pStyle w:val="FirstParagraph"/>
      </w:pPr>
      <w:r>
        <w:rPr>
          <w:i/>
          <w:iCs/>
        </w:rPr>
        <w:t xml:space="preserve">Questa voce analizza l’offerta sanitaria regionale come termine di confronto del bisogno misurato nelle voci precedenti: la dotazione psicologica pubblica, i servizi specialistici che ne assorbono l’eccesso, la crisi strutturale della medicina generale, le Case della Comunità quali sedi della presa in carico di prossimità, le liste d’attesa e i flussi impropri verso il pronto soccorso e fuori regione.</w:t>
      </w:r>
    </w:p>
    <w:p>
      <w:pPr>
        <w:pStyle w:val="BodyText"/>
      </w:pPr>
      <w:r>
        <w:t xml:space="preserve">Al bisogno ampio e in larga parte sommerso descritto nelle voci precedenti corrisponde un’offerta sanitaria segnata da carenze strutturali, da una distribuzione diseguale e da flussi inefficienti. La presente voce ricostruisce il lato dell’offerta, non per descriverlo in sé, ma per misurarne l’adeguatezza rispetto al bisogno e per individuare lo spazio entro cui un servizio di primo livello territoriale può inserirsi e produrre effetti. L’analisi muove dalla dotazione psicologica pubblica, prosegue con i servizi specialistici e con la medicina generale, considera le sedi territoriali e le liste d’attesa, e si chiude con i due flussi — gli accessi impropri al pronto soccorso e la mobilità sanitaria passiva — che misurano congiuntamente l’inefficienza del sistema e il margine d’intervento della riforma.</w:t>
      </w:r>
    </w:p>
    <w:p>
      <w:pPr>
        <w:pStyle w:val="BodyText"/>
      </w:pPr>
      <w:r>
        <w:t xml:space="preserve">L’offerta psicologica pubblica è storicamente esigua. Secondo i dati del Ministero della Salute riferiti al 2017, l’Italia dispone di 8,5 psicologi ogni 100.000 abitanti nell’intero Servizio sanitario, e di meno di 3 ogni 100.000 nelle sole strutture pubbliche di salute mentale, una delle dotazioni più basse d’Europa.</w:t>
      </w:r>
      <w:r>
        <w:rPr>
          <w:rStyle w:val="FootnoteReference"/>
        </w:rPr>
        <w:footnoteReference w:id="47"/>
      </w:r>
      <w:r>
        <w:t xml:space="preserve"> </w:t>
      </w:r>
      <w:r>
        <w:t xml:space="preserve">La conseguenza è che la presa in carico del disagio comune non dispone, nel sistema attuale, di un livello dedicato: lo psicologo pubblico è concentrato nei servizi specialistici, dove tratta i quadri gravi, e manca un primo livello territoriale capace di intercettare il bisogno lieve e moderato prima che si aggravi. È a colmare questa lacuna che il modello dello Psicologo di Base si rivolge, sul modello dei sistemi che hanno integrato la figura nelle cure primarie.</w:t>
      </w:r>
    </w:p>
    <w:p>
      <w:pPr>
        <w:pStyle w:val="BodyText"/>
      </w:pPr>
      <w:r>
        <w:t xml:space="preserve">Il riferimento internazionale più prossimo è il modello olandese di psicologo nelle cure primarie, nel quale l’adozione della figura da parte dei medici di medicina generale è cresciuta da circa un terzo nel 2011 a circa tre quarti nel 2014, con un professionista psicologo integrato nello studio del medico, finanziato nell’assicurazione di base e con un ruolo complementare e non sostitutivo rispetto alla cura ordinaria.</w:t>
      </w:r>
      <w:r>
        <w:rPr>
          <w:rStyle w:val="FootnoteReference"/>
        </w:rPr>
        <w:footnoteReference w:id="48"/>
      </w:r>
      <w:r>
        <w:t xml:space="preserve"> </w:t>
      </w:r>
      <w:r>
        <w:t xml:space="preserve">La rapidità di quell’adozione dimostra che, quando la figura è resa disponibile e correttamente integrata, la domanda latente emerge e si incanala nel primo livello, alleggerendo i livelli a maggiore intensità. È questa la dinamica che la riforma pugliese intende riprodurre, adattandola alla struttura dell’offerta regionale.</w:t>
      </w:r>
    </w:p>
    <w:p>
      <w:pPr>
        <w:pStyle w:val="BodyText"/>
      </w:pPr>
      <w:r>
        <w:t xml:space="preserve">La domanda che non trova risposta nel territorio si riversa, come si è documentato, sui servizi specialistici e di emergenza. I Dipartimenti di Salute Mentale hanno avuto in carico, nel 2023, 54.946 utenti, con 18.939 nuovi ingressi, mentre il pronto soccorso ha registrato 18.753 accessi per cause psichiatriche; sono i due terminali su cui si scarica l’assenza di un primo livello. Ma il tratto più rivelatore dell’inadeguatezza dell’offerta territoriale non riguarda i servizi psicologici in senso stretto, bensì la medicina generale, che del primo livello costituisce oggi l’unico presidio diffuso e che attraversa una crisi strutturale di proporzioni tali da comprometterne la tenuta.</w:t>
      </w:r>
    </w:p>
    <w:p>
      <w:pPr>
        <w:pStyle w:val="BodyText"/>
      </w:pPr>
      <w:r>
        <w:t xml:space="preserve">La carenza dei medici di medicina generale è in Puglia particolarmente grave. All’inizio del 2025 la Regione registrava un ammanco di circa 279 medici di famiglia, e si stima che entro il 2028 altri 702 professionisti lascino il servizio per raggiungimento dell’età pensionabile; tra il 2019 e il 2024 il numero dei medici di medicina generale si è ridotto del 26,3 per cento, quasi il doppio della media nazionale del 14,1 per cento.</w:t>
      </w:r>
      <w:r>
        <w:rPr>
          <w:rStyle w:val="FootnoteReference"/>
        </w:rPr>
        <w:footnoteReference w:id="49"/>
      </w:r>
      <w:r>
        <w:t xml:space="preserve"> </w:t>
      </w:r>
      <w:r>
        <w:t xml:space="preserve">La contrazione non è dunque un fenomeno marginale, ma un arretramento rapido del presidio territoriale di base, che si concentra nelle aree interne e nei piccoli comuni e che lascia quote crescenti di popolazione prive di un medico di riferimento, proprio mentre la domanda sanitaria cresce per effetto dell’invecchiamento.</w:t>
      </w:r>
    </w:p>
    <w:p>
      <w:pPr>
        <w:pStyle w:val="BodyText"/>
      </w:pPr>
      <w:r>
        <w:t xml:space="preserve">La struttura della medicina generale pugliese aggrava il quadro. I medici di medicina generale erano circa 2.811 secondo la rilevazione dell’Agenzia nazionale per i servizi sanitari regionali riferita al 2023, con un carico medio di 1.331 assistiti per medico, superiore alla soglia ottimale indicata dall’Accordo Collettivo Nazionale; e il 78 per cento di essi presentava oltre 27 anni di anzianità di laurea, indice di un’età anagrafica avanzata e di una prossimità diffusa al pensionamento.</w:t>
      </w:r>
      <w:r>
        <w:rPr>
          <w:rStyle w:val="FootnoteReference"/>
        </w:rPr>
        <w:footnoteReference w:id="50"/>
      </w:r>
      <w:r>
        <w:t xml:space="preserve"> </w:t>
      </w:r>
      <w:r>
        <w:t xml:space="preserve">A reggere il sistema concorrono 540 forme associative della medicina generale, alle quali aderisce circa il 74 per cento dei medici e che garantiscono orari più estesi e minori tempi di attesa; ma la loro continuità è essa stessa minacciata dall’uscita dei medici, con il rischio che una quota rilevante di esse non raggiunga più il numero minimo di aderenti. La crisi della medicina generale non è perciò un dato esterno al progetto, ma una delle ragioni della sua urgenza: lo Psicologo di Base, collocato accanto al medico nella coppia clinica, alleggerisce il carico di una funzione in arretramento e intercetta una quota di domanda — quella a componente psicologica e somatoforme — che oggi grava impropriamente sul medico di famiglia.</w:t>
      </w:r>
    </w:p>
    <w:p>
      <w:pPr>
        <w:pStyle w:val="BodyText"/>
      </w:pPr>
      <w:r>
        <w:t xml:space="preserve">La sede entro cui questa integrazione si realizza è definita dal disegno nazionale dell’assistenza territoriale. Il decreto ministeriale che ne ha fissato il modello individua nelle Case della Comunità il luogo della presa in carico di prossimità, presso il quale convergono le figure delle cure primarie e dei servizi territoriali, e presso il quale lo Psicologo di Base si inserisce naturalmente; la Missione del Piano Nazionale di Ripresa e Resilienza dedicata alla salute ne finanzia l’infrastruttura fisica e digitale.</w:t>
      </w:r>
    </w:p>
    <w:p>
      <w:pPr>
        <w:pStyle w:val="BodyText"/>
      </w:pPr>
      <w:r>
        <w:t xml:space="preserve">Le Case della Comunità costituiscono, in questo quadro, l’ossatura territoriale entro cui la riforma colloca la figura, accanto al medico di medicina generale e al pediatra di libera scelta, con una funzione di primo ascolto, di intercettazione precoce e di filtro verso i servizi specialistici.</w:t>
      </w:r>
      <w:r>
        <w:rPr>
          <w:rStyle w:val="FootnoteReference"/>
        </w:rPr>
        <w:footnoteReference w:id="51"/>
      </w:r>
      <w:r>
        <w:t xml:space="preserve"> </w:t>
      </w:r>
      <w:r>
        <w:t xml:space="preserve">La coincidenza tra la sede prevista per lo Psicologo di Base e quella che il Piano nazionale sta finanziando è una condizione abilitante della riforma, poiché consente di innestare la figura su un’infrastruttura in costruzione, senza oneri aggiuntivi di allestimento e in coerenza con la programmazione nazionale.</w:t>
      </w:r>
    </w:p>
    <w:p>
      <w:pPr>
        <w:pStyle w:val="BodyText"/>
      </w:pPr>
      <w:r>
        <w:t xml:space="preserve">Accanto al medico di medicina generale, il disegno della riforma colloca il pediatra di libera scelta quale interlocutore della figura per l’età evolutiva, in ragione del peso crescente del disagio tra i minori e i giovani adulti. La distribuzione degli accessi al pronto soccorso per cause psichiatriche, già osservata, mostra un andamento accentuato proprio in queste fasce d’età, segno di un bisogno precoce che il sistema attuale intercetta tardi e per via impropria. La presenza dello Psicologo di Base nelle sedi territoriali, in raccordo con il pediatra, consente di accogliere il disagio nella sua fase iniziale e di evitare che esso percorra, anche per i più giovani, le vie dell’emergenza e della cronicizzazione. La coppia clinica, intesa nel modello come integrazione stabile tra la figura e il medico curante mediante consultazioni congiunte, protocolli di invio strutturati e comunicazione facilitata, si estende così alla pediatria, e con essa alla protezione della salute mentale nelle età in cui la prevenzione produce i rendimenti più duraturi. È questa estensione che colloca la figura non come servizio isolato, ma come livello trasversale del primo intervento territoriale, raccordato con tutte le figure delle cure primarie.</w:t>
      </w:r>
    </w:p>
    <w:p>
      <w:pPr>
        <w:pStyle w:val="BodyText"/>
      </w:pPr>
      <w:r>
        <w:t xml:space="preserve">All’insufficienza dell’offerta si somma la dilatazione dei tempi di accesso. Mentre le prestazioni urgenti risultano per lo più garantite nei tempi previsti, le prestazioni programmabili scontano liste d’attesa lunghe, con attese che per alcune indagini diagnostiche raggiungono diversi mesi.</w:t>
      </w:r>
      <w:r>
        <w:rPr>
          <w:rStyle w:val="FootnoteReference"/>
        </w:rPr>
        <w:footnoteReference w:id="52"/>
      </w:r>
      <w:r>
        <w:t xml:space="preserve"> </w:t>
      </w:r>
      <w:r>
        <w:t xml:space="preserve">La lunghezza delle liste d’attesa non è priva di relazione con la salute mentale: il prolungarsi dell’attesa aggrava l’ansia e la sofferenza, alimenta il ricorso improprio ai canali di emergenza e spinge una quota di domanda verso il sistema privato o verso altre regioni. La presa in carico psicologica di prossimità, riducendo la pressione sui percorsi specialistici per i quadri che non li richiedono, agisce indirettamente anche sul fronte dei tempi di accesso.</w:t>
      </w:r>
    </w:p>
    <w:p>
      <w:pPr>
        <w:pStyle w:val="BodyText"/>
      </w:pPr>
      <w:r>
        <w:t xml:space="preserve">I due flussi che misurano insieme l’inefficienza del sistema e lo spazio d’azione della riforma sono il ricorso improprio al pronto soccorso e la mobilità sanitaria passiva. Sul primo, la Regione dispone di 37 presidi di pronto soccorso, che registrano complessivamente 1.142.448 accessi l’anno; di questi, circa 914.000 risultano inappropriati, dell’ordine dell’80 per cento, e una quota di essi è riconducibile a disagio psichico e a sintomi somatici funzionali, ossia a quadri che un primo livello territoriale potrebbe accogliere e trattare al di fuori del contesto dell’emergenza.</w:t>
      </w:r>
    </w:p>
    <w:p>
      <w:pPr>
        <w:pStyle w:val="BodyText"/>
      </w:pPr>
      <w:r>
        <w:t xml:space="preserve">L’entità di questo flusso definisce un margine di appropriatezza di grande ampiezza, la cui traduzione economica è oggetto delle parti dedicate ai risparmi diretti.</w:t>
      </w:r>
      <w:r>
        <w:rPr>
          <w:rStyle w:val="FootnoteReference"/>
        </w:rPr>
        <w:footnoteReference w:id="53"/>
      </w:r>
      <w:r>
        <w:t xml:space="preserve"> </w:t>
      </w:r>
      <w:r>
        <w:t xml:space="preserve">Il secondo flusso, la mobilità sanitaria passiva, costituisce il tratto più distintivo del caso pugliese ed è trattato nella voce seguente, in quanto direttamente connesso al quadro finanziario regionale. Insieme, i due flussi mostrano che l’offerta attuale non solo è insufficiente, ma è anche impiegata in modo inefficiente, con una parte rilevante della domanda che si scarica sui canali più costosi e meno appropriati, all’interno e all’esterno della Regione.</w:t>
      </w:r>
    </w:p>
    <w:p>
      <w:pPr>
        <w:pStyle w:val="BodyText"/>
      </w:pPr>
      <w:r>
        <w:t xml:space="preserve">Le grandezze dell’offerta e dei flussi possono essere ricomposte in due quadri sintetici. Il primo riepiloga la dotazione di servizi e la condizione della medicina generale; il secondo, nella voce seguente, riepilogherà i flussi finanziari. La tabella che segue sintetizza l’offerta sanitaria regionale rilevante per la valutazione.</w:t>
      </w:r>
    </w:p>
    <w:p>
      <w:pPr>
        <w:pStyle w:val="BodyText"/>
      </w:pPr>
      <w:r>
        <w:rPr>
          <w:b/>
          <w:bCs/>
        </w:rPr>
        <w:t xml:space="preserve">Tabella 2.4 — L’offerta sanitaria regionale e la condizione della medicina generale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Grandezza dell’offerta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Puglia</w:t>
            </w:r>
          </w:p>
        </w:tc>
      </w:tr>
      <w:tr>
        <w:tc>
          <w:tcPr/>
          <w:p>
            <w:pPr>
              <w:pStyle w:val="Compact"/>
              <w:spacing w:after="40" w:before="40"/>
              <w:jc w:val="left"/>
            </w:pPr>
            <w:r>
              <w:rPr>
                <w:rFonts w:ascii="Cambria" w:hAnsi="Cambria" w:cs="Cambria" w:eastAsia="Cambria"/>
                <w:color w:val="1A1A1A"/>
                <w:sz w:val="18"/>
              </w:rPr>
              <w:t xml:space="preserve">Psicologi nelle strutture pubbliche di salute mentale</w:t>
            </w:r>
          </w:p>
        </w:tc>
        <w:tc>
          <w:tcPr/>
          <w:p>
            <w:pPr>
              <w:pStyle w:val="Compact"/>
              <w:spacing w:after="40" w:before="40"/>
              <w:jc w:val="left"/>
            </w:pPr>
            <w:r>
              <w:rPr>
                <w:rFonts w:ascii="Cambria" w:hAnsi="Cambria" w:cs="Cambria" w:eastAsia="Cambria"/>
                <w:color w:val="1A1A1A"/>
                <w:sz w:val="18"/>
              </w:rPr>
              <w:t xml:space="preserve">&lt; 3 ogni 100.000 abitanti</w:t>
            </w:r>
          </w:p>
        </w:tc>
      </w:tr>
      <w:tr>
        <w:tc>
          <w:tcPr>
            <w:shd w:val="clear" w:color="auto" w:fill="F4F1EC"/>
          </w:tcPr>
          <w:p>
            <w:pPr>
              <w:pStyle w:val="Compact"/>
              <w:spacing w:after="40" w:before="40"/>
              <w:jc w:val="left"/>
            </w:pPr>
            <w:r>
              <w:rPr>
                <w:rFonts w:ascii="Cambria" w:hAnsi="Cambria" w:cs="Cambria" w:eastAsia="Cambria"/>
                <w:color w:val="1A1A1A"/>
                <w:sz w:val="18"/>
              </w:rPr>
              <w:t xml:space="preserve">Medici di medicina generale (2023)</w:t>
            </w:r>
          </w:p>
        </w:tc>
        <w:tc>
          <w:tcPr>
            <w:shd w:val="clear" w:color="auto" w:fill="F4F1EC"/>
          </w:tcPr>
          <w:p>
            <w:pPr>
              <w:pStyle w:val="Compact"/>
              <w:spacing w:after="40" w:before="40"/>
              <w:jc w:val="left"/>
            </w:pPr>
            <w:r>
              <w:rPr>
                <w:rFonts w:ascii="Cambria" w:hAnsi="Cambria" w:cs="Cambria" w:eastAsia="Cambria"/>
                <w:color w:val="1A1A1A"/>
                <w:sz w:val="18"/>
              </w:rPr>
              <w:t xml:space="preserve">~ 2.811</w:t>
            </w:r>
          </w:p>
        </w:tc>
      </w:tr>
      <w:tr>
        <w:tc>
          <w:tcPr/>
          <w:p>
            <w:pPr>
              <w:pStyle w:val="Compact"/>
              <w:spacing w:after="40" w:before="40"/>
              <w:jc w:val="left"/>
            </w:pPr>
            <w:r>
              <w:rPr>
                <w:rFonts w:ascii="Cambria" w:hAnsi="Cambria" w:cs="Cambria" w:eastAsia="Cambria"/>
                <w:color w:val="1A1A1A"/>
                <w:sz w:val="18"/>
              </w:rPr>
              <w:t xml:space="preserve">Carico medio per medico di medicina generale</w:t>
            </w:r>
          </w:p>
        </w:tc>
        <w:tc>
          <w:tcPr/>
          <w:p>
            <w:pPr>
              <w:pStyle w:val="Compact"/>
              <w:spacing w:after="40" w:before="40"/>
              <w:jc w:val="left"/>
            </w:pPr>
            <w:r>
              <w:rPr>
                <w:rFonts w:ascii="Cambria" w:hAnsi="Cambria" w:cs="Cambria" w:eastAsia="Cambria"/>
                <w:color w:val="1A1A1A"/>
                <w:sz w:val="18"/>
              </w:rPr>
              <w:t xml:space="preserve">1.331 assistiti (soglia ottimale 1.200)</w:t>
            </w:r>
          </w:p>
        </w:tc>
      </w:tr>
      <w:tr>
        <w:tc>
          <w:tcPr>
            <w:shd w:val="clear" w:color="auto" w:fill="F4F1EC"/>
          </w:tcPr>
          <w:p>
            <w:pPr>
              <w:pStyle w:val="Compact"/>
              <w:spacing w:after="40" w:before="40"/>
              <w:jc w:val="left"/>
            </w:pPr>
            <w:r>
              <w:rPr>
                <w:rFonts w:ascii="Cambria" w:hAnsi="Cambria" w:cs="Cambria" w:eastAsia="Cambria"/>
                <w:color w:val="1A1A1A"/>
                <w:sz w:val="18"/>
              </w:rPr>
              <w:t xml:space="preserve">Riduzione dei medici di medicina generale (2019–2024)</w:t>
            </w:r>
          </w:p>
        </w:tc>
        <w:tc>
          <w:tcPr>
            <w:shd w:val="clear" w:color="auto" w:fill="F4F1EC"/>
          </w:tcPr>
          <w:p>
            <w:pPr>
              <w:pStyle w:val="Compact"/>
              <w:spacing w:after="40" w:before="40"/>
              <w:jc w:val="left"/>
            </w:pPr>
            <w:r>
              <w:rPr>
                <w:rFonts w:ascii="Cambria" w:hAnsi="Cambria" w:cs="Cambria" w:eastAsia="Cambria"/>
                <w:color w:val="1A1A1A"/>
                <w:sz w:val="18"/>
              </w:rPr>
              <w:t xml:space="preserve">−26,3% (media nazionale −14,1%)</w:t>
            </w:r>
          </w:p>
        </w:tc>
      </w:tr>
      <w:tr>
        <w:tc>
          <w:tcPr/>
          <w:p>
            <w:pPr>
              <w:pStyle w:val="Compact"/>
              <w:spacing w:after="40" w:before="40"/>
              <w:jc w:val="left"/>
            </w:pPr>
            <w:r>
              <w:rPr>
                <w:rFonts w:ascii="Cambria" w:hAnsi="Cambria" w:cs="Cambria" w:eastAsia="Cambria"/>
                <w:color w:val="1A1A1A"/>
                <w:sz w:val="18"/>
              </w:rPr>
              <w:t xml:space="preserve">Medici di famiglia mancanti (gennaio 2025)</w:t>
            </w:r>
          </w:p>
        </w:tc>
        <w:tc>
          <w:tcPr/>
          <w:p>
            <w:pPr>
              <w:pStyle w:val="Compact"/>
              <w:spacing w:after="40" w:before="40"/>
              <w:jc w:val="left"/>
            </w:pPr>
            <w:r>
              <w:rPr>
                <w:rFonts w:ascii="Cambria" w:hAnsi="Cambria" w:cs="Cambria" w:eastAsia="Cambria"/>
                <w:color w:val="1A1A1A"/>
                <w:sz w:val="18"/>
              </w:rPr>
              <w:t xml:space="preserve">~ 279</w:t>
            </w:r>
          </w:p>
        </w:tc>
      </w:tr>
      <w:tr>
        <w:tc>
          <w:tcPr>
            <w:shd w:val="clear" w:color="auto" w:fill="F4F1EC"/>
          </w:tcPr>
          <w:p>
            <w:pPr>
              <w:pStyle w:val="Compact"/>
              <w:spacing w:after="40" w:before="40"/>
              <w:jc w:val="left"/>
            </w:pPr>
            <w:r>
              <w:rPr>
                <w:rFonts w:ascii="Cambria" w:hAnsi="Cambria" w:cs="Cambria" w:eastAsia="Cambria"/>
                <w:color w:val="1A1A1A"/>
                <w:sz w:val="18"/>
              </w:rPr>
              <w:t xml:space="preserve">Pensionamenti attesi entro il 2028</w:t>
            </w:r>
          </w:p>
        </w:tc>
        <w:tc>
          <w:tcPr>
            <w:shd w:val="clear" w:color="auto" w:fill="F4F1EC"/>
          </w:tcPr>
          <w:p>
            <w:pPr>
              <w:pStyle w:val="Compact"/>
              <w:spacing w:after="40" w:before="40"/>
              <w:jc w:val="left"/>
            </w:pPr>
            <w:r>
              <w:rPr>
                <w:rFonts w:ascii="Cambria" w:hAnsi="Cambria" w:cs="Cambria" w:eastAsia="Cambria"/>
                <w:color w:val="1A1A1A"/>
                <w:sz w:val="18"/>
              </w:rPr>
              <w:t xml:space="preserve">702</w:t>
            </w:r>
          </w:p>
        </w:tc>
      </w:tr>
      <w:tr>
        <w:tc>
          <w:tcPr/>
          <w:p>
            <w:pPr>
              <w:pStyle w:val="Compact"/>
              <w:spacing w:after="40" w:before="40"/>
              <w:jc w:val="left"/>
            </w:pPr>
            <w:r>
              <w:rPr>
                <w:rFonts w:ascii="Cambria" w:hAnsi="Cambria" w:cs="Cambria" w:eastAsia="Cambria"/>
                <w:color w:val="1A1A1A"/>
                <w:sz w:val="18"/>
              </w:rPr>
              <w:t xml:space="preserve">Forme associative della medicina generale</w:t>
            </w:r>
          </w:p>
        </w:tc>
        <w:tc>
          <w:tcPr/>
          <w:p>
            <w:pPr>
              <w:pStyle w:val="Compact"/>
              <w:spacing w:after="40" w:before="40"/>
              <w:jc w:val="left"/>
            </w:pPr>
            <w:r>
              <w:rPr>
                <w:rFonts w:ascii="Cambria" w:hAnsi="Cambria" w:cs="Cambria" w:eastAsia="Cambria"/>
                <w:color w:val="1A1A1A"/>
                <w:sz w:val="18"/>
              </w:rPr>
              <w:t xml:space="preserve">540 (~ 74% di adesione)</w:t>
            </w:r>
          </w:p>
        </w:tc>
      </w:tr>
      <w:tr>
        <w:tc>
          <w:tcPr>
            <w:shd w:val="clear" w:color="auto" w:fill="F4F1EC"/>
          </w:tcPr>
          <w:p>
            <w:pPr>
              <w:pStyle w:val="Compact"/>
              <w:spacing w:after="40" w:before="40"/>
              <w:jc w:val="left"/>
            </w:pPr>
            <w:r>
              <w:rPr>
                <w:rFonts w:ascii="Cambria" w:hAnsi="Cambria" w:cs="Cambria" w:eastAsia="Cambria"/>
                <w:color w:val="1A1A1A"/>
                <w:sz w:val="18"/>
              </w:rPr>
              <w:t xml:space="preserve">Presidi di 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37</w:t>
            </w:r>
          </w:p>
        </w:tc>
      </w:tr>
      <w:tr>
        <w:tc>
          <w:tcPr/>
          <w:p>
            <w:pPr>
              <w:pStyle w:val="Compact"/>
              <w:spacing w:after="40" w:before="40"/>
              <w:jc w:val="left"/>
            </w:pPr>
            <w:r>
              <w:rPr>
                <w:rFonts w:ascii="Cambria" w:hAnsi="Cambria" w:cs="Cambria" w:eastAsia="Cambria"/>
                <w:color w:val="1A1A1A"/>
                <w:sz w:val="18"/>
              </w:rPr>
              <w:t xml:space="preserve">Accessi al pronto soccorso (annui)</w:t>
            </w:r>
          </w:p>
        </w:tc>
        <w:tc>
          <w:tcPr/>
          <w:p>
            <w:pPr>
              <w:pStyle w:val="Compact"/>
              <w:spacing w:after="40" w:before="40"/>
              <w:jc w:val="left"/>
            </w:pPr>
            <w:r>
              <w:rPr>
                <w:rFonts w:ascii="Cambria" w:hAnsi="Cambria" w:cs="Cambria" w:eastAsia="Cambria"/>
                <w:color w:val="1A1A1A"/>
                <w:sz w:val="18"/>
              </w:rPr>
              <w:t xml:space="preserve">1.142.448 (~ 914.000 inappropriati, ~ 80%)</w:t>
            </w:r>
          </w:p>
        </w:tc>
      </w:tr>
    </w:tbl>
    <w:p>
      <w:pPr>
        <w:pStyle w:val="BodyText"/>
      </w:pPr>
      <w:r>
        <w:rPr>
          <w:i/>
          <w:iCs/>
        </w:rPr>
        <w:t xml:space="preserve">Fonti: Agenas 2023; Fondazione Gimbe 2025–2026; Sistema Informativo per la Salute Mentale 2023; fonti regionali. Valori assoluti e percentuali.</w:t>
      </w:r>
    </w:p>
    <w:p>
      <w:pPr>
        <w:pStyle w:val="BodyText"/>
      </w:pPr>
      <w:r>
        <w:t xml:space="preserve">Il quadro dell’offerta restituisce, in conclusione, un sistema sotto tensione strutturale: una dotazione psicologica pubblica tra le più basse d’Europa e priva di un livello territoriale dedicato; una medicina generale in rapido arretramento, gravata da carichi elevati e prossima a un’ondata di pensionamenti; un’infrastruttura territoriale — le Case della Comunità — in costruzione ma non ancora pienamente operativa; liste d’attesa dilatate per le prestazioni programmabili; e due flussi impropri, verso il pronto soccorso e fuori regione, che assorbono risorse e segnalano un margine di appropriatezza ampio. È in questo spazio che la riforma colloca lo Psicologo di Base, non come aggiunta a un sistema saturo, ma come livello mancante di un sistema squilibrato, capace di intercettare a monte una quota di domanda che oggi grava a valle sui canali più costosi. La voce seguente espone i vincoli finanziari entro cui questa collocazione deve avvenire e ne misura, sul versante della mobilità passiva, la posta economica.</w:t>
      </w:r>
    </w:p>
    <w:bookmarkEnd w:id="80"/>
    <w:bookmarkStart w:id="85" w:name="Xe430ed27a91fd853eecffa67a332265bbe15036"/>
    <w:p>
      <w:pPr>
        <w:pStyle w:val="Heading2"/>
      </w:pPr>
      <w:r>
        <w:rPr>
          <w:b/>
          <w:bCs/>
        </w:rPr>
        <w:t xml:space="preserve">2.4 Il quadro finanziario regionale e i vincoli di bilancio</w:t>
      </w:r>
    </w:p>
    <w:p>
      <w:pPr>
        <w:pStyle w:val="FirstParagraph"/>
      </w:pPr>
      <w:r>
        <w:rPr>
          <w:i/>
          <w:iCs/>
        </w:rPr>
        <w:t xml:space="preserve">Questa voce espone i vincoli finanziari entro cui la riforma deve collocarsi: il finanziamento del Servizio sanitario regionale e il suo disavanzo, i vincoli di rientro e il limite costituzionale di destinazione delle risorse, e i due flussi — la mobilità sanitaria passiva e il consumo farmaceutico — che misurano insieme l’inefficienza attuale e lo spazio di un intervento sul primo livello territoriale.</w:t>
      </w:r>
    </w:p>
    <w:p>
      <w:pPr>
        <w:pStyle w:val="BodyText"/>
      </w:pPr>
      <w:r>
        <w:t xml:space="preserve">Ogni decisione di impiego di risorse, nel sistema sanitario pugliese, è presa entro un vincolo di bilancio stringente, che ne condiziona l’ammissibilità e ne impone la giustificazione economica. La presente voce ricostruisce tale vincolo nelle sue componenti — la dotazione finanziaria e il disavanzo, i vincoli di rientro e il limite di destinazione delle risorse — e ne deriva due conseguenze per la riforma: la prima è che ogni costo aggiuntivo deve essere compensato da risparmi documentabili; la seconda è che le inefficienze nei flussi esistenti, e in particolare la mobilità sanitaria passiva, costituiscono al tempo stesso un costo per il bilancio e un margine di recupero per un servizio capace di trattenere domanda sul territorio.</w:t>
      </w:r>
    </w:p>
    <w:p>
      <w:pPr>
        <w:pStyle w:val="BodyText"/>
      </w:pPr>
      <w:r>
        <w:t xml:space="preserve">La Puglia ha ricevuto per il 2025 un finanziamento del proprio Servizio sanitario regionale nell’ordine di 8,8 miliardi di euro, chiudendo l’esercizio con un disavanzo di circa 350 milioni e con disavanzi cumulati superiori a 480 milioni nel quadriennio.</w:t>
      </w:r>
      <w:r>
        <w:rPr>
          <w:rStyle w:val="FootnoteReference"/>
        </w:rPr>
        <w:footnoteReference w:id="54"/>
      </w:r>
      <w:r>
        <w:t xml:space="preserve"> </w:t>
      </w:r>
      <w:r>
        <w:t xml:space="preserve">Il disavanzo non è un dato contabile neutro, ma la misura di uno squilibrio strutturale tra le risorse disponibili e la domanda sanitaria, accresciuta dall’invecchiamento e dalla cronicità; e impone alla Regione una disciplina di spesa che limita lo spazio per nuove iniziative, ammettendole solo quando esse siano sostenibili e, preferibilmente, capaci di generare risparmi compensativi. È in questa condizione che la riforma deve dimostrare non soltanto la propria efficacia clinica, ma la propria convenienza per il bilancio.</w:t>
      </w:r>
    </w:p>
    <w:p>
      <w:pPr>
        <w:pStyle w:val="BodyText"/>
      </w:pPr>
      <w:r>
        <w:t xml:space="preserve">Alla condizione di disavanzo si aggiungono i vincoli di rientro e un limite di rango costituzionale alla destinazione delle risorse. La Corte costituzionale ha ribadito che una regione sottoposta a vincoli di rientro non può distrarre i fondi sanitari da finalità diverse dai livelli essenziali di assistenza.</w:t>
      </w:r>
      <w:r>
        <w:rPr>
          <w:rStyle w:val="FootnoteReference"/>
        </w:rPr>
        <w:footnoteReference w:id="55"/>
      </w:r>
      <w:r>
        <w:t xml:space="preserve"> </w:t>
      </w:r>
      <w:r>
        <w:t xml:space="preserve">Questo principio ha una conseguenza diretta sul disegno della riforma: il servizio di Psicologia di Base, per essere finanziabile entro tale cornice, deve essere ricondotto all’attuazione dei livelli essenziali e alla loro più efficiente erogazione, e non configurarsi come una spesa aggiuntiva estranea ad essi. La sua collocazione nelle cure primarie e la sua funzione di filtro verso i servizi specialistici lo iscrivono precisamente entro il perimetro dei livelli essenziali, come strumento della loro attuazione territoriale.</w:t>
      </w:r>
    </w:p>
    <w:p>
      <w:pPr>
        <w:pStyle w:val="BodyText"/>
      </w:pPr>
      <w:r>
        <w:t xml:space="preserve">Il primo dei due flussi che misurano l’inefficienza del sistema e lo spazio d’azione della riforma è la mobilità sanitaria passiva, che costituisce il tratto più distintivo del caso pugliese. Nel 2023 il saldo della mobilità è stato negativo per 253,2 milioni di euro, con prestazioni in fuga verso altre regioni per 376,6 milioni a fronte di una mobilità attiva di circa 123 milioni; il disavanzo si è confermato nell’ordine dei 240 milioni nel 2024, collocando la Regione tra i risultati peggiori del Paese.</w:t>
      </w:r>
    </w:p>
    <w:p>
      <w:pPr>
        <w:pStyle w:val="BodyText"/>
      </w:pPr>
      <w:r>
        <w:t xml:space="preserve">La rilevanza di questo flusso per la valutazione economica è strutturale e non accessoria. A differenza di una regione attrattiva, per la quale la migrazione delle cure non si applica, in Puglia ogni quota di domanda intercettata e trattenuta sul territorio si traduce in un risparmio diretto per il bilancio regionale, poiché evita l’addebito della prestazione erogata altrove.</w:t>
      </w:r>
      <w:r>
        <w:rPr>
          <w:rStyle w:val="FootnoteReference"/>
        </w:rPr>
        <w:footnoteReference w:id="56"/>
      </w:r>
      <w:r>
        <w:t xml:space="preserve"> </w:t>
      </w:r>
      <w:r>
        <w:t xml:space="preserve">Una parte della mobilità passiva è riconducibile a prestazioni che un primo livello territoriale efficiente potrebbe accogliere o prevenire, e la sua riduzione costituisce perciò una delle voci di risparmio diretto più caratteristiche del modello pugliese, la cui quantificazione prudenziale è riservata alle parti dedicate alla valutazione economica. In questa sede si registra la grandezza e se ne stabilisce la pertinenza, senza trarne anticipazioni sul saldo.</w:t>
      </w:r>
    </w:p>
    <w:p>
      <w:pPr>
        <w:pStyle w:val="BodyText"/>
      </w:pPr>
      <w:r>
        <w:t xml:space="preserve">Il secondo flusso riguarda il consumo farmaceutico, segnato da un’apparente contraddizione. La Puglia presenta tra i più alti consumi complessivi d’Italia — 1.081,9 dosi giornaliere ogni mille abitanti — con una spesa pubblica dell’ordine del 2,3 per cento del prodotto regionale; eppure l’intercettazione del disagio psichico, misurata dal basso consumo di antidepressivi, è ridotta.</w:t>
      </w:r>
      <w:r>
        <w:rPr>
          <w:rStyle w:val="FootnoteReference"/>
        </w:rPr>
        <w:footnoteReference w:id="57"/>
      </w:r>
      <w:r>
        <w:t xml:space="preserve"> </w:t>
      </w:r>
      <w:r>
        <w:t xml:space="preserve">La compresenza di un consumo complessivo elevato e di una intercettazione specifica bassa segnala margini di appropriatezza, in particolare nella possibilità di sostituire terapie croniche non necessarie con percorsi psicologici di prima linea, là dove il disagio si esprime attraverso il consumo somatico di farmaci anziché attraverso una presa in carico appropriata. Anche questo margine è una grandezza di partenza, la cui traduzione economica è rinviata alle parti successive e mantenuta distinta, in ossequio alla regola di non duplicazione, dagli altri risparmi diretti.</w:t>
      </w:r>
    </w:p>
    <w:p>
      <w:pPr>
        <w:pStyle w:val="BodyText"/>
      </w:pPr>
      <w:r>
        <w:t xml:space="preserve">Dalla ricostruzione del quadro finanziario discende, infine, il criterio che governa l’intera valutazione economica della riforma. Le grandezze qui esposte — il disavanzo, la mobilità passiva, il consumo farmaceutico — non sono presentate per derivarne, in questa sede, un risparmio o un saldo, ma per fissare i vincoli e i margini entro cui la rinegoziazione integrale dei costi e dei benefici si svolgerà nelle parti dedicate. In coerenza con i vincoli metodologici invarianti, le ricadute fiscali dirette saranno tenute rigorosamente distinte dalle ricadute sociali e indirette, senza che le une siano conteggiate due volte attraverso le altre; e ogni stima adotterà bande prudenziali e previsioni falsificabili. La voce che segue, traendo le fila del bisogno e del contesto, traccia la mappa del carico multidominio della cattiva salute mentale, ossia l’insieme degli ambiti su cui quel bisogno produce costi e su cui la riforma, lungo la cascata delle figure e dei domini, è destinata a incidere.</w:t>
      </w:r>
    </w:p>
    <w:p>
      <w:pPr>
        <w:pStyle w:val="BodyText"/>
      </w:pPr>
      <w:r>
        <w:rPr>
          <w:b/>
          <w:bCs/>
        </w:rPr>
        <w:t xml:space="preserve">Tabella 2.5 — Il quadro finanziario e i flussi del Servizio sanitario regionale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Grandezza finanziaria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Puglia</w:t>
            </w:r>
          </w:p>
        </w:tc>
      </w:tr>
      <w:tr>
        <w:tc>
          <w:tcPr/>
          <w:p>
            <w:pPr>
              <w:pStyle w:val="Compact"/>
              <w:spacing w:after="40" w:before="40"/>
              <w:jc w:val="left"/>
            </w:pPr>
            <w:r>
              <w:rPr>
                <w:rFonts w:ascii="Cambria" w:hAnsi="Cambria" w:cs="Cambria" w:eastAsia="Cambria"/>
                <w:color w:val="1A1A1A"/>
                <w:sz w:val="18"/>
              </w:rPr>
              <w:t xml:space="preserve">Finanziamento del Servizio sanitario regionale (2025)</w:t>
            </w:r>
          </w:p>
        </w:tc>
        <w:tc>
          <w:tcPr/>
          <w:p>
            <w:pPr>
              <w:pStyle w:val="Compact"/>
              <w:spacing w:after="40" w:before="40"/>
              <w:jc w:val="left"/>
            </w:pPr>
            <w:r>
              <w:rPr>
                <w:rFonts w:ascii="Cambria" w:hAnsi="Cambria" w:cs="Cambria" w:eastAsia="Cambria"/>
                <w:color w:val="1A1A1A"/>
                <w:sz w:val="18"/>
              </w:rPr>
              <w:t xml:space="preserve">~ 8,8 miliardi di euro</w:t>
            </w:r>
          </w:p>
        </w:tc>
      </w:tr>
      <w:tr>
        <w:tc>
          <w:tcPr>
            <w:shd w:val="clear" w:color="auto" w:fill="F4F1EC"/>
          </w:tcPr>
          <w:p>
            <w:pPr>
              <w:pStyle w:val="Compact"/>
              <w:spacing w:after="40" w:before="40"/>
              <w:jc w:val="left"/>
            </w:pPr>
            <w:r>
              <w:rPr>
                <w:rFonts w:ascii="Cambria" w:hAnsi="Cambria" w:cs="Cambria" w:eastAsia="Cambria"/>
                <w:color w:val="1A1A1A"/>
                <w:sz w:val="18"/>
              </w:rPr>
              <w:t xml:space="preserve">Disavanzo di esercizio (2025)</w:t>
            </w:r>
          </w:p>
        </w:tc>
        <w:tc>
          <w:tcPr>
            <w:shd w:val="clear" w:color="auto" w:fill="F4F1EC"/>
          </w:tcPr>
          <w:p>
            <w:pPr>
              <w:pStyle w:val="Compact"/>
              <w:spacing w:after="40" w:before="40"/>
              <w:jc w:val="left"/>
            </w:pPr>
            <w:r>
              <w:rPr>
                <w:rFonts w:ascii="Cambria" w:hAnsi="Cambria" w:cs="Cambria" w:eastAsia="Cambria"/>
                <w:color w:val="1A1A1A"/>
                <w:sz w:val="18"/>
              </w:rPr>
              <w:t xml:space="preserve">~ 350 milioni di euro</w:t>
            </w:r>
          </w:p>
        </w:tc>
      </w:tr>
      <w:tr>
        <w:tc>
          <w:tcPr/>
          <w:p>
            <w:pPr>
              <w:pStyle w:val="Compact"/>
              <w:spacing w:after="40" w:before="40"/>
              <w:jc w:val="left"/>
            </w:pPr>
            <w:r>
              <w:rPr>
                <w:rFonts w:ascii="Cambria" w:hAnsi="Cambria" w:cs="Cambria" w:eastAsia="Cambria"/>
                <w:color w:val="1A1A1A"/>
                <w:sz w:val="18"/>
              </w:rPr>
              <w:t xml:space="preserve">Disavanzi cumulati (quadriennio)</w:t>
            </w:r>
          </w:p>
        </w:tc>
        <w:tc>
          <w:tcPr/>
          <w:p>
            <w:pPr>
              <w:pStyle w:val="Compact"/>
              <w:spacing w:after="40" w:before="40"/>
              <w:jc w:val="left"/>
            </w:pPr>
            <w:r>
              <w:rPr>
                <w:rFonts w:ascii="Cambria" w:hAnsi="Cambria" w:cs="Cambria" w:eastAsia="Cambria"/>
                <w:color w:val="1A1A1A"/>
                <w:sz w:val="18"/>
              </w:rPr>
              <w:t xml:space="preserve">&gt; 480 milioni di euro</w:t>
            </w:r>
          </w:p>
        </w:tc>
      </w:tr>
      <w:tr>
        <w:tc>
          <w:tcPr>
            <w:shd w:val="clear" w:color="auto" w:fill="F4F1EC"/>
          </w:tcPr>
          <w:p>
            <w:pPr>
              <w:pStyle w:val="Compact"/>
              <w:spacing w:after="40" w:before="40"/>
              <w:jc w:val="left"/>
            </w:pPr>
            <w:r>
              <w:rPr>
                <w:rFonts w:ascii="Cambria" w:hAnsi="Cambria" w:cs="Cambria" w:eastAsia="Cambria"/>
                <w:color w:val="1A1A1A"/>
                <w:sz w:val="18"/>
              </w:rPr>
              <w:t xml:space="preserve">Mobilità sanitaria passiva — saldo (2023)</w:t>
            </w:r>
          </w:p>
        </w:tc>
        <w:tc>
          <w:tcPr>
            <w:shd w:val="clear" w:color="auto" w:fill="F4F1EC"/>
          </w:tcPr>
          <w:p>
            <w:pPr>
              <w:pStyle w:val="Compact"/>
              <w:spacing w:after="40" w:before="40"/>
              <w:jc w:val="left"/>
            </w:pPr>
            <w:r>
              <w:rPr>
                <w:rFonts w:ascii="Cambria" w:hAnsi="Cambria" w:cs="Cambria" w:eastAsia="Cambria"/>
                <w:color w:val="1A1A1A"/>
                <w:sz w:val="18"/>
              </w:rPr>
              <w:t xml:space="preserve">−253,2 milioni di euro</w:t>
            </w:r>
          </w:p>
        </w:tc>
      </w:tr>
      <w:tr>
        <w:tc>
          <w:tcPr/>
          <w:p>
            <w:pPr>
              <w:pStyle w:val="Compact"/>
              <w:spacing w:after="40" w:before="40"/>
              <w:jc w:val="left"/>
            </w:pPr>
            <w:r>
              <w:rPr>
                <w:rFonts w:ascii="Cambria" w:hAnsi="Cambria" w:cs="Cambria" w:eastAsia="Cambria"/>
                <w:color w:val="1A1A1A"/>
                <w:sz w:val="18"/>
              </w:rPr>
              <w:t xml:space="preserve">Prestazioni in fuga / mobilità attiva (2023)</w:t>
            </w:r>
          </w:p>
        </w:tc>
        <w:tc>
          <w:tcPr/>
          <w:p>
            <w:pPr>
              <w:pStyle w:val="Compact"/>
              <w:spacing w:after="40" w:before="40"/>
              <w:jc w:val="left"/>
            </w:pPr>
            <w:r>
              <w:rPr>
                <w:rFonts w:ascii="Cambria" w:hAnsi="Cambria" w:cs="Cambria" w:eastAsia="Cambria"/>
                <w:color w:val="1A1A1A"/>
                <w:sz w:val="18"/>
              </w:rPr>
              <w:t xml:space="preserve">376,6 milioni / ~ 123 milioni</w:t>
            </w:r>
          </w:p>
        </w:tc>
      </w:tr>
      <w:tr>
        <w:tc>
          <w:tcPr>
            <w:shd w:val="clear" w:color="auto" w:fill="F4F1EC"/>
          </w:tcPr>
          <w:p>
            <w:pPr>
              <w:pStyle w:val="Compact"/>
              <w:spacing w:after="40" w:before="40"/>
              <w:jc w:val="left"/>
            </w:pPr>
            <w:r>
              <w:rPr>
                <w:rFonts w:ascii="Cambria" w:hAnsi="Cambria" w:cs="Cambria" w:eastAsia="Cambria"/>
                <w:color w:val="1A1A1A"/>
                <w:sz w:val="18"/>
              </w:rPr>
              <w:t xml:space="preserve">Mobilità sanitaria passiva — saldo (2024)</w:t>
            </w:r>
          </w:p>
        </w:tc>
        <w:tc>
          <w:tcPr>
            <w:shd w:val="clear" w:color="auto" w:fill="F4F1EC"/>
          </w:tcPr>
          <w:p>
            <w:pPr>
              <w:pStyle w:val="Compact"/>
              <w:spacing w:after="40" w:before="40"/>
              <w:jc w:val="left"/>
            </w:pPr>
            <w:r>
              <w:rPr>
                <w:rFonts w:ascii="Cambria" w:hAnsi="Cambria" w:cs="Cambria" w:eastAsia="Cambria"/>
                <w:color w:val="1A1A1A"/>
                <w:sz w:val="18"/>
              </w:rPr>
              <w:t xml:space="preserve">~ −240 milioni di euro</w:t>
            </w:r>
          </w:p>
        </w:tc>
      </w:tr>
      <w:tr>
        <w:tc>
          <w:tcPr/>
          <w:p>
            <w:pPr>
              <w:pStyle w:val="Compact"/>
              <w:spacing w:after="40" w:before="40"/>
              <w:jc w:val="left"/>
            </w:pPr>
            <w:r>
              <w:rPr>
                <w:rFonts w:ascii="Cambria" w:hAnsi="Cambria" w:cs="Cambria" w:eastAsia="Cambria"/>
                <w:color w:val="1A1A1A"/>
                <w:sz w:val="18"/>
              </w:rPr>
              <w:t xml:space="preserve">Consumo farmaceutico complessivo</w:t>
            </w:r>
          </w:p>
        </w:tc>
        <w:tc>
          <w:tcPr/>
          <w:p>
            <w:pPr>
              <w:pStyle w:val="Compact"/>
              <w:spacing w:after="40" w:before="40"/>
              <w:jc w:val="left"/>
            </w:pPr>
            <w:r>
              <w:rPr>
                <w:rFonts w:ascii="Cambria" w:hAnsi="Cambria" w:cs="Cambria" w:eastAsia="Cambria"/>
                <w:color w:val="1A1A1A"/>
                <w:sz w:val="18"/>
              </w:rPr>
              <w:t xml:space="preserve">1.081,9 dosi giornaliere ogni 1.000 abitanti</w:t>
            </w:r>
          </w:p>
        </w:tc>
      </w:tr>
      <w:tr>
        <w:tc>
          <w:tcPr>
            <w:shd w:val="clear" w:color="auto" w:fill="F4F1EC"/>
          </w:tcPr>
          <w:p>
            <w:pPr>
              <w:pStyle w:val="Compact"/>
              <w:spacing w:after="40" w:before="40"/>
              <w:jc w:val="left"/>
            </w:pPr>
            <w:r>
              <w:rPr>
                <w:rFonts w:ascii="Cambria" w:hAnsi="Cambria" w:cs="Cambria" w:eastAsia="Cambria"/>
                <w:color w:val="1A1A1A"/>
                <w:sz w:val="18"/>
              </w:rPr>
              <w:t xml:space="preserve">Spesa farmaceutica pubblica</w:t>
            </w:r>
          </w:p>
        </w:tc>
        <w:tc>
          <w:tcPr>
            <w:shd w:val="clear" w:color="auto" w:fill="F4F1EC"/>
          </w:tcPr>
          <w:p>
            <w:pPr>
              <w:pStyle w:val="Compact"/>
              <w:spacing w:after="40" w:before="40"/>
              <w:jc w:val="left"/>
            </w:pPr>
            <w:r>
              <w:rPr>
                <w:rFonts w:ascii="Cambria" w:hAnsi="Cambria" w:cs="Cambria" w:eastAsia="Cambria"/>
                <w:color w:val="1A1A1A"/>
                <w:sz w:val="18"/>
              </w:rPr>
              <w:t xml:space="preserve">~ 2,3% del prodotto regionale</w:t>
            </w:r>
          </w:p>
        </w:tc>
      </w:tr>
      <w:tr>
        <w:tc>
          <w:tcPr/>
          <w:p>
            <w:pPr>
              <w:pStyle w:val="Compact"/>
              <w:spacing w:after="40" w:before="40"/>
              <w:jc w:val="left"/>
            </w:pPr>
            <w:r>
              <w:rPr>
                <w:rFonts w:ascii="Cambria" w:hAnsi="Cambria" w:cs="Cambria" w:eastAsia="Cambria"/>
                <w:color w:val="1A1A1A"/>
                <w:sz w:val="18"/>
              </w:rPr>
              <w:t xml:space="preserve">Consumo di antidepressivi</w:t>
            </w:r>
          </w:p>
        </w:tc>
        <w:tc>
          <w:tcPr/>
          <w:p>
            <w:pPr>
              <w:pStyle w:val="Compact"/>
              <w:spacing w:after="40" w:before="40"/>
              <w:jc w:val="left"/>
            </w:pPr>
            <w:r>
              <w:rPr>
                <w:rFonts w:ascii="Cambria" w:hAnsi="Cambria" w:cs="Cambria" w:eastAsia="Cambria"/>
                <w:color w:val="1A1A1A"/>
                <w:sz w:val="18"/>
              </w:rPr>
              <w:t xml:space="preserve">tra i più bassi d’Italia</w:t>
            </w:r>
          </w:p>
        </w:tc>
      </w:tr>
    </w:tbl>
    <w:p>
      <w:pPr>
        <w:pStyle w:val="BodyText"/>
      </w:pPr>
      <w:r>
        <w:rPr>
          <w:i/>
          <w:iCs/>
        </w:rPr>
        <w:t xml:space="preserve">Fonti: documenti regionali di bilancio; Agenzia nazionale per i servizi sanitari regionali; AIFA, Rapporto OsMed. La traduzione economica è riservata alle Parti VII–X.</w:t>
      </w:r>
    </w:p>
    <w:bookmarkEnd w:id="85"/>
    <w:bookmarkStart w:id="92" w:name="X4b0bcfdb6ead1d77a8f3859e5bb4d86f6179639"/>
    <w:p>
      <w:pPr>
        <w:pStyle w:val="Heading2"/>
      </w:pPr>
      <w:r>
        <w:rPr>
          <w:b/>
          <w:bCs/>
        </w:rPr>
        <w:t xml:space="preserve">2.5 La mappa del carico multidominio della cattiva salute mentale in Puglia</w:t>
      </w:r>
    </w:p>
    <w:p>
      <w:pPr>
        <w:pStyle w:val="FirstParagraph"/>
      </w:pPr>
      <w:r>
        <w:rPr>
          <w:i/>
          <w:iCs/>
        </w:rPr>
        <w:t xml:space="preserve">Questa voce traccia la mappa degli ambiti su cui la cattiva salute mentale produce costi — sanitario, lavorativo, pensionistico, produttivistico, assistenziale, welfaristico, preventivo, criminologico, burocratico, culturale, pedagogico, sociale e finanziario — e ne dichiara la connessione con lo Psicologo di Base, ponendo la base su cui la cascata delle figure e dei domini sarà quantificata nelle parti successive.</w:t>
      </w:r>
    </w:p>
    <w:p>
      <w:pPr>
        <w:pStyle w:val="BodyText"/>
      </w:pPr>
      <w:r>
        <w:t xml:space="preserve">Il carico della cattiva salute mentale non è confinato al settore sanitario. Esso si propaga lungo una pluralità di ambiti economici e sociali, dove assume la forma di produttività perduta, di spesa assistenziale e previdenziale, di costi della giustizia e dell’istruzione, di erosione del capitale sociale; e proprio perché si distribuisce su tanti domini, la sua misura richiede una mappa che ne riconosca l’estensione prima di procedere alla quantificazione. La presente voce traccia questa mappa per la Puglia, attribuendo a ciascun dominio la natura del carico e la connessione, diretta o indiretta, con la funzione dello Psicologo di Base. Essa non calcola i risparmi né i benefici, riservati alle parti dedicate alla valutazione economica, ma stabilisce l’ambito entro cui quella valutazione si svolgerà, in coerenza con il perimetro multidisciplinare integrale e con il principio ordinatore della cascata gerarchica piramidale.</w:t>
      </w:r>
    </w:p>
    <w:p>
      <w:pPr>
        <w:pStyle w:val="BodyText"/>
      </w:pPr>
      <w:r>
        <w:t xml:space="preserve">La dimensione complessiva del carico è documentata, a livello europeo, dalle stime degli organismi internazionali, secondo cui i costi totali della cattiva salute mentale superano il 4 per cento del prodotto interno lordo nei Paesi dell’Unione, sommando la spesa sanitaria diretta, i costi dei programmi di sicurezza sociale e le perdite di produttività.</w:t>
      </w:r>
      <w:r>
        <w:rPr>
          <w:rStyle w:val="FootnoteReference"/>
        </w:rPr>
        <w:footnoteReference w:id="58"/>
      </w:r>
      <w:r>
        <w:t xml:space="preserve"> </w:t>
      </w:r>
      <w:r>
        <w:t xml:space="preserve">Questa grandezza, riferita al carico e non al rendimento di un investimento, fornisce l’ordine di magnitudo del fenomeno e ne segnala la natura prevalentemente extra-sanitaria: la quota maggiore del costo non grava sui bilanci della sanità, ma su quelli del lavoro, della previdenza e dell’assistenza, e sul prodotto economico nel suo complesso. È questa distribuzione che la cascata dei domini è chiamata a riconoscere, e che spiega perché una riforma collocata nel settore sanitario possa produrre ricadute economiche assai più ampie del proprio perimetro di spesa.</w:t>
      </w:r>
    </w:p>
    <w:p>
      <w:pPr>
        <w:pStyle w:val="BodyText"/>
      </w:pPr>
      <w:r>
        <w:t xml:space="preserve">Il primo dominio del carico è quello sanitario, già misurato nelle voci precedenti e qui richiamato come termine di raccordo. Esso comprende la spesa farmaceutica associata al consumo somatico del disagio, gli accessi impropri al pronto soccorso, i ricoveri evitabili, gli esami e le visite specialistiche generati da quadri a componente psicologica, e la mobilità sanitaria passiva. La connessione con lo Psicologo di Base è in questo dominio diretta: la figura, intercettando il disagio a monte, riduce la domanda che si scarica sui canali sanitari a valle. È il dominio in cui i risparmi sono più immediatamente fiscali, e la cui quantificazione, distinta da ogni altra, è oggetto della parte dedicata ai risparmi diretti.</w:t>
      </w:r>
    </w:p>
    <w:p>
      <w:pPr>
        <w:pStyle w:val="BodyText"/>
      </w:pPr>
      <w:r>
        <w:t xml:space="preserve">Il dominio lavorativo costituisce, dopo quello sanitario, l’ambito di carico più rilevante. La cattiva salute mentale incide sul lavoro attraverso l’assenteismo, ossia le giornate di lavoro perdute per malattia, e attraverso il presenteismo, ossia la riduzione della produttività di chi lavora pur in condizione di sofferenza; quest’ultima componente, meno visibile, è secondo la letteratura la più onerosa.</w:t>
      </w:r>
      <w:r>
        <w:rPr>
          <w:rStyle w:val="FootnoteReference"/>
        </w:rPr>
        <w:footnoteReference w:id="59"/>
      </w:r>
      <w:r>
        <w:t xml:space="preserve"> </w:t>
      </w:r>
      <w:r>
        <w:t xml:space="preserve">La connessione con lo Psicologo di Base è qui indiretta ma robusta: l’intercettazione precoce dei disturbi comuni riduce la durata e la gravità degli episodi, abbreviando le assenze e attenuando la perdita di produttività. Il carico di questo dominio non grava sul bilancio sanitario, bensì sul sistema produttivo e, per la parte indennizzata, sui bilanci previdenziali; la sua valutazione è perciò condotta tra i benefici indiretti, tenuta distinta dai risparmi sanitari per evitarne il doppio conteggio.</w:t>
      </w:r>
    </w:p>
    <w:p>
      <w:pPr>
        <w:pStyle w:val="BodyText"/>
      </w:pPr>
      <w:r>
        <w:t xml:space="preserve">Il dominio pensionistico raccoglie il carico delle prestazioni di invalidità e inabilità e dei pensionamenti anticipati riconducibili a cause psichiche. I disturbi mentali figurano tra le principali cause di erogazione di prestazioni di invalidità nei sistemi previdenziali, e la loro insorgenza in età lavorativa ne amplifica il costo, sottraendo anni di contribuzione e aggiungendo anni di erogazione.</w:t>
      </w:r>
      <w:r>
        <w:rPr>
          <w:rStyle w:val="FootnoteReference"/>
        </w:rPr>
        <w:footnoteReference w:id="60"/>
      </w:r>
      <w:r>
        <w:t xml:space="preserve"> </w:t>
      </w:r>
      <w:r>
        <w:t xml:space="preserve">La connessione con la figura è indiretta e differita: una presa in carico tempestiva del disagio comune, prevenendone la cronicizzazione e la conseguente perdita della capacità lavorativa, riduce nel medio periodo l’incidenza delle prestazioni di invalidità per cause psichiche. Il carico grava sui bilanci previdenziali nazionali più che su quelli regionali, e la sua misura è condotta con cautela e con bande prudenziali, data la lunghezza del nesso causale.</w:t>
      </w:r>
    </w:p>
    <w:p>
      <w:pPr>
        <w:pStyle w:val="BodyText"/>
      </w:pPr>
      <w:r>
        <w:t xml:space="preserve">Il dominio produttivistico, contiguo a quello lavorativo, considera il prodotto economico perduto per effetto della cattiva salute mentale, misurato in giornate di lavoro perse e in capitale umano sottratto al sistema economico. Il dominio assistenzialistico raccoglie il carico dell’assistenza informale, ossia il tempo e le risorse che i familiari e i prestatori di cura non professionali dedicano alle persone con disturbi mentali, sottraendolo al lavoro retribuito e alla propria salute. Il dominio welfaristico considera i sussidi, le indennità e la spesa assistenziale erogati in ragione del disagio psichico e delle sue conseguenze. In ciascuno di questi domini la connessione con lo Psicologo di Base è indiretta, mediata dalla riduzione della gravità e della durata dei disturbi, e il carico si distribuisce tra il sistema economico, le famiglie e i bilanci assistenziali, restando estraneo al bilancio sanitario regionale e perciò collocato tra i benefici indiretti.</w:t>
      </w:r>
    </w:p>
    <w:p>
      <w:pPr>
        <w:pStyle w:val="BodyText"/>
      </w:pPr>
      <w:r>
        <w:t xml:space="preserve">Il dominio prevenzionalistico merita una considerazione particolare, poiché è quello su cui la funzione della figura agisce in modo più caratteristico. La presa in carico psicologica di prossimità realizza una prevenzione secondaria, intercettando il disagio prima della cronicizzazione, e una prevenzione terziaria, contenendo le ricadute dei quadri già manifesti; e ciascuna ricaduta o cronicizzazione evitata sottrae carico a tutti gli altri domini, da quello sanitario a quello lavorativo e previdenziale.</w:t>
      </w:r>
      <w:r>
        <w:rPr>
          <w:rStyle w:val="FootnoteReference"/>
        </w:rPr>
        <w:footnoteReference w:id="61"/>
      </w:r>
      <w:r>
        <w:t xml:space="preserve"> </w:t>
      </w:r>
      <w:r>
        <w:t xml:space="preserve">È in questo senso che la prevenzione costituisce il meccanismo attraverso cui la figura, collocata all’apice della cascata, propaga i propri effetti lungo l’intera piramide dei domini: non agendo separatamente su ciascuno, ma riducendo a monte l’incidenza e la gravità del disagio che a valle genera i costi.</w:t>
      </w:r>
    </w:p>
    <w:p>
      <w:pPr>
        <w:pStyle w:val="BodyText"/>
      </w:pPr>
      <w:r>
        <w:t xml:space="preserve">È in questa sede che si richiamano i vincoli invarianti che governeranno la quantificazione di tali ricadute. Il rendimento degli investimenti in salute mentale è documentato dalla letteratura entro intervalli che vanno da 2,3 a 3,0 a 1 per i soli benefici economici e da 3,3 a 5,7 a 1 con l’inclusione dei ritorni in salute; sono esclusi i valori superiori, non sostenuti dall’evidenza.</w:t>
      </w:r>
      <w:r>
        <w:rPr>
          <w:rStyle w:val="FootnoteReference"/>
        </w:rPr>
        <w:footnoteReference w:id="62"/>
      </w:r>
      <w:r>
        <w:t xml:space="preserve"> </w:t>
      </w:r>
      <w:r>
        <w:t xml:space="preserve">A questo si aggiunge il caveat dell’IMPACT trial, secondo cui i risparmi sui costi sanitari non raggiungono, in quello studio, la significatività statistica: un’avvertenza che impone prudenza nell’attribuzione dei risparmi diretti e che è preservata lungo l’intera valutazione. La mappa del carico, dunque, non autorizza alcuna proiezione ottimistica: essa individua gli ambiti su cui la riforma incide, mentre la misura di quanto vi incida è subordinata, parte per parte, alla graduazione dell’evidenza e alle bande prudenziali.</w:t>
      </w:r>
    </w:p>
    <w:p>
      <w:pPr>
        <w:pStyle w:val="BodyText"/>
      </w:pPr>
      <w:r>
        <w:t xml:space="preserve">Completano la mappa i domini in cui il carico assume forma sociale e istituzionale. Il dominio criminologico considera la relazione tra il disagio psichico non trattato e le forme di devianza, con i relativi costi della giustizia e della recidiva; il dominio burocratico, la mole di adempimenti amministrativi che una presa in carico frammentata genera e che un primo livello integrato può semplificare; il dominio culturale, la destigmatizzazione e l’alfabetizzazione psicologica che la diffusione capillare della figura promuove; il dominio pedagogico e scolastico, la dispersione e la riduzione del rendimento degli studenti associate al disagio non intercettato; il dominio sociale, l’erosione del capitale sociale e dei legami di comunità.</w:t>
      </w:r>
      <w:r>
        <w:rPr>
          <w:rStyle w:val="FootnoteReference"/>
        </w:rPr>
        <w:footnoteReference w:id="63"/>
      </w:r>
      <w:r>
        <w:t xml:space="preserve"> </w:t>
      </w:r>
      <w:r>
        <w:t xml:space="preserve">In tutti questi ambiti la connessione con lo Psicologo di Base è indiretta e di lungo periodo, e la loro valutazione, ove possibile, è condotta con la massima cautela e con espressa dichiarazione dei limiti, evitando di attribuire alla riforma effetti che la letteratura non consente di quantificare. Il dominio finanziario, infine, raccoglie l’effetto netto di tutti gli altri sui bilanci regionali, ed è la sede in cui la qualità della vita delle persone, l’andamento dei conti pubblici, l’efficienza della burocrazia e la tenuta dei sistemi sanitari saranno oggetto, nelle parti dedicate, di previsione falsificabile.</w:t>
      </w:r>
    </w:p>
    <w:p>
      <w:pPr>
        <w:pStyle w:val="BodyText"/>
      </w:pPr>
      <w:r>
        <w:t xml:space="preserve">La struttura della mappa anticipa, infine, il criterio con cui la cascata ordinerà la quantificazione. I tredici domini non concorrono in eguale misura né con la medesima immediatezza: alcuni sono connessi alla figura per via diretta e producono risparmi fiscali prossimi, altri per via indiretta e differita, e il loro peso nel progetto e la loro capacità di generare rientro economico o revisione della spesa variano di conseguenza. Il dominio finanziario, in particolare, non è un dominio accanto agli altri, ma la sede in cui l’effetto netto di tutti si ricompone sui bilanci regionali, e in cui la qualità della vita delle persone, l’efficienza della burocrazia e la tenuta dei sistemi sanitari divengono oggetto di previsione. È per questo che la mappa non si limita a elencare gli ambiti del carico, ma li dispone secondo un ordine di influenza e di valore che la Parte III formalizzerà per le figure e la Parte IX per i domini, mantenendo in entrambe la separazione tra ricadute fiscali e sociali e la regola di non duplicazione. La presente voce ne ha posto il fondamento descrittivo; l’ordinamento formale e la misura seguono.</w:t>
      </w:r>
    </w:p>
    <w:p>
      <w:pPr>
        <w:pStyle w:val="BodyText"/>
      </w:pPr>
      <w:r>
        <w:t xml:space="preserve">La mappa così tracciata può essere ricomposta in un quadro ordinato, che a ciascun dominio associa la natura del carico, la sede su cui esso grava e il tipo di connessione con la funzione della figura. La tabella seguente riepiloga la mappa del carico multidominio, anticipando l’ordinamento che la cascata gerarchica piramidale svilupperà, per le figure, nella Parte III e, per i domini, nella Parte IX.</w:t>
      </w:r>
    </w:p>
    <w:p>
      <w:pPr>
        <w:pStyle w:val="BodyText"/>
      </w:pPr>
      <w:r>
        <w:rPr>
          <w:b/>
          <w:bCs/>
        </w:rPr>
        <w:t xml:space="preserve">Tabella 2.6 — La mappa del carico multidominio della cattiva salute mentale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Dominio</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 del carico e connessione con lo Psicologo di Base</w:t>
            </w:r>
          </w:p>
        </w:tc>
      </w:tr>
      <w:tr>
        <w:tc>
          <w:tcPr/>
          <w:p>
            <w:pPr>
              <w:pStyle w:val="Compact"/>
              <w:spacing w:after="40" w:before="40"/>
              <w:jc w:val="left"/>
            </w:pPr>
            <w:r>
              <w:rPr>
                <w:rFonts w:ascii="Cambria" w:hAnsi="Cambria" w:cs="Cambria" w:eastAsia="Cambria"/>
                <w:color w:val="1A1A1A"/>
                <w:sz w:val="18"/>
              </w:rPr>
              <w:t xml:space="preserve">Sanitario</w:t>
            </w:r>
          </w:p>
        </w:tc>
        <w:tc>
          <w:tcPr/>
          <w:p>
            <w:pPr>
              <w:pStyle w:val="Compact"/>
              <w:spacing w:after="40" w:before="40"/>
              <w:jc w:val="left"/>
            </w:pPr>
            <w:r>
              <w:rPr>
                <w:rFonts w:ascii="Cambria" w:hAnsi="Cambria" w:cs="Cambria" w:eastAsia="Cambria"/>
                <w:color w:val="1A1A1A"/>
                <w:sz w:val="18"/>
              </w:rPr>
              <w:t xml:space="preserve">Farmaceutica, pronto soccorso, ricoveri, esami, mobilità passiva; connessione diretta, risparmi fiscali.</w:t>
            </w:r>
          </w:p>
        </w:tc>
      </w:tr>
      <w:tr>
        <w:tc>
          <w:tcPr>
            <w:shd w:val="clear" w:color="auto" w:fill="F4F1EC"/>
          </w:tcPr>
          <w:p>
            <w:pPr>
              <w:pStyle w:val="Compact"/>
              <w:spacing w:after="40" w:before="40"/>
              <w:jc w:val="left"/>
            </w:pPr>
            <w:r>
              <w:rPr>
                <w:rFonts w:ascii="Cambria" w:hAnsi="Cambria" w:cs="Cambria" w:eastAsia="Cambria"/>
                <w:color w:val="1A1A1A"/>
                <w:sz w:val="18"/>
              </w:rPr>
              <w:t xml:space="preserve">Lavorativo</w:t>
            </w:r>
          </w:p>
        </w:tc>
        <w:tc>
          <w:tcPr>
            <w:shd w:val="clear" w:color="auto" w:fill="F4F1EC"/>
          </w:tcPr>
          <w:p>
            <w:pPr>
              <w:pStyle w:val="Compact"/>
              <w:spacing w:after="40" w:before="40"/>
              <w:jc w:val="left"/>
            </w:pPr>
            <w:r>
              <w:rPr>
                <w:rFonts w:ascii="Cambria" w:hAnsi="Cambria" w:cs="Cambria" w:eastAsia="Cambria"/>
                <w:color w:val="1A1A1A"/>
                <w:sz w:val="18"/>
              </w:rPr>
              <w:t xml:space="preserve">Assenteismo e presenteismo; connessione indiretta, riduzione di durata e gravità degli episodi.</w:t>
            </w:r>
          </w:p>
        </w:tc>
      </w:tr>
      <w:tr>
        <w:tc>
          <w:tcPr/>
          <w:p>
            <w:pPr>
              <w:pStyle w:val="Compact"/>
              <w:spacing w:after="40" w:before="40"/>
              <w:jc w:val="left"/>
            </w:pPr>
            <w:r>
              <w:rPr>
                <w:rFonts w:ascii="Cambria" w:hAnsi="Cambria" w:cs="Cambria" w:eastAsia="Cambria"/>
                <w:color w:val="1A1A1A"/>
                <w:sz w:val="18"/>
              </w:rPr>
              <w:t xml:space="preserve">Pensionistico</w:t>
            </w:r>
          </w:p>
        </w:tc>
        <w:tc>
          <w:tcPr/>
          <w:p>
            <w:pPr>
              <w:pStyle w:val="Compact"/>
              <w:spacing w:after="40" w:before="40"/>
              <w:jc w:val="left"/>
            </w:pPr>
            <w:r>
              <w:rPr>
                <w:rFonts w:ascii="Cambria" w:hAnsi="Cambria" w:cs="Cambria" w:eastAsia="Cambria"/>
                <w:color w:val="1A1A1A"/>
                <w:sz w:val="18"/>
              </w:rPr>
              <w:t xml:space="preserve">Invalidità, inabilità, pensionamenti anticipati per cause psichiche; connessione indiretta e differita.</w:t>
            </w:r>
          </w:p>
        </w:tc>
      </w:tr>
      <w:tr>
        <w:tc>
          <w:tcPr>
            <w:shd w:val="clear" w:color="auto" w:fill="F4F1EC"/>
          </w:tcPr>
          <w:p>
            <w:pPr>
              <w:pStyle w:val="Compact"/>
              <w:spacing w:after="40" w:before="40"/>
              <w:jc w:val="left"/>
            </w:pPr>
            <w:r>
              <w:rPr>
                <w:rFonts w:ascii="Cambria" w:hAnsi="Cambria" w:cs="Cambria" w:eastAsia="Cambria"/>
                <w:color w:val="1A1A1A"/>
                <w:sz w:val="18"/>
              </w:rPr>
              <w:t xml:space="preserve">Produttivistico</w:t>
            </w:r>
          </w:p>
        </w:tc>
        <w:tc>
          <w:tcPr>
            <w:shd w:val="clear" w:color="auto" w:fill="F4F1EC"/>
          </w:tcPr>
          <w:p>
            <w:pPr>
              <w:pStyle w:val="Compact"/>
              <w:spacing w:after="40" w:before="40"/>
              <w:jc w:val="left"/>
            </w:pPr>
            <w:r>
              <w:rPr>
                <w:rFonts w:ascii="Cambria" w:hAnsi="Cambria" w:cs="Cambria" w:eastAsia="Cambria"/>
                <w:color w:val="1A1A1A"/>
                <w:sz w:val="18"/>
              </w:rPr>
              <w:t xml:space="preserve">Prodotto perduto, giornate perse, capitale umano; connessione indiretta.</w:t>
            </w:r>
          </w:p>
        </w:tc>
      </w:tr>
      <w:tr>
        <w:tc>
          <w:tcPr/>
          <w:p>
            <w:pPr>
              <w:pStyle w:val="Compact"/>
              <w:spacing w:after="40" w:before="40"/>
              <w:jc w:val="left"/>
            </w:pPr>
            <w:r>
              <w:rPr>
                <w:rFonts w:ascii="Cambria" w:hAnsi="Cambria" w:cs="Cambria" w:eastAsia="Cambria"/>
                <w:color w:val="1A1A1A"/>
                <w:sz w:val="18"/>
              </w:rPr>
              <w:t xml:space="preserve">Assistenzialistico</w:t>
            </w:r>
          </w:p>
        </w:tc>
        <w:tc>
          <w:tcPr/>
          <w:p>
            <w:pPr>
              <w:pStyle w:val="Compact"/>
              <w:spacing w:after="40" w:before="40"/>
              <w:jc w:val="left"/>
            </w:pPr>
            <w:r>
              <w:rPr>
                <w:rFonts w:ascii="Cambria" w:hAnsi="Cambria" w:cs="Cambria" w:eastAsia="Cambria"/>
                <w:color w:val="1A1A1A"/>
                <w:sz w:val="18"/>
              </w:rPr>
              <w:t xml:space="preserve">Carico dei caregiver e assistenza informale; connessione indiretta.</w:t>
            </w:r>
          </w:p>
        </w:tc>
      </w:tr>
      <w:tr>
        <w:tc>
          <w:tcPr>
            <w:shd w:val="clear" w:color="auto" w:fill="F4F1EC"/>
          </w:tcPr>
          <w:p>
            <w:pPr>
              <w:pStyle w:val="Compact"/>
              <w:spacing w:after="40" w:before="40"/>
              <w:jc w:val="left"/>
            </w:pPr>
            <w:r>
              <w:rPr>
                <w:rFonts w:ascii="Cambria" w:hAnsi="Cambria" w:cs="Cambria" w:eastAsia="Cambria"/>
                <w:color w:val="1A1A1A"/>
                <w:sz w:val="18"/>
              </w:rPr>
              <w:t xml:space="preserve">Welfaristico</w:t>
            </w:r>
          </w:p>
        </w:tc>
        <w:tc>
          <w:tcPr>
            <w:shd w:val="clear" w:color="auto" w:fill="F4F1EC"/>
          </w:tcPr>
          <w:p>
            <w:pPr>
              <w:pStyle w:val="Compact"/>
              <w:spacing w:after="40" w:before="40"/>
              <w:jc w:val="left"/>
            </w:pPr>
            <w:r>
              <w:rPr>
                <w:rFonts w:ascii="Cambria" w:hAnsi="Cambria" w:cs="Cambria" w:eastAsia="Cambria"/>
                <w:color w:val="1A1A1A"/>
                <w:sz w:val="18"/>
              </w:rPr>
              <w:t xml:space="preserve">Sussidi, indennità, spesa assistenziale; connessione indiretta.</w:t>
            </w:r>
          </w:p>
        </w:tc>
      </w:tr>
      <w:tr>
        <w:tc>
          <w:tcPr/>
          <w:p>
            <w:pPr>
              <w:pStyle w:val="Compact"/>
              <w:spacing w:after="40" w:before="40"/>
              <w:jc w:val="left"/>
            </w:pPr>
            <w:r>
              <w:rPr>
                <w:rFonts w:ascii="Cambria" w:hAnsi="Cambria" w:cs="Cambria" w:eastAsia="Cambria"/>
                <w:color w:val="1A1A1A"/>
                <w:sz w:val="18"/>
              </w:rPr>
              <w:t xml:space="preserve">Prevenzionalistico</w:t>
            </w:r>
          </w:p>
        </w:tc>
        <w:tc>
          <w:tcPr/>
          <w:p>
            <w:pPr>
              <w:pStyle w:val="Compact"/>
              <w:spacing w:after="40" w:before="40"/>
              <w:jc w:val="left"/>
            </w:pPr>
            <w:r>
              <w:rPr>
                <w:rFonts w:ascii="Cambria" w:hAnsi="Cambria" w:cs="Cambria" w:eastAsia="Cambria"/>
                <w:color w:val="1A1A1A"/>
                <w:sz w:val="18"/>
              </w:rPr>
              <w:t xml:space="preserve">Ricadute e cronicizzazioni evitate; meccanismo di propagazione lungo la cascata.</w:t>
            </w:r>
          </w:p>
        </w:tc>
      </w:tr>
      <w:tr>
        <w:tc>
          <w:tcPr>
            <w:shd w:val="clear" w:color="auto" w:fill="F4F1EC"/>
          </w:tcPr>
          <w:p>
            <w:pPr>
              <w:pStyle w:val="Compact"/>
              <w:spacing w:after="40" w:before="40"/>
              <w:jc w:val="left"/>
            </w:pPr>
            <w:r>
              <w:rPr>
                <w:rFonts w:ascii="Cambria" w:hAnsi="Cambria" w:cs="Cambria" w:eastAsia="Cambria"/>
                <w:color w:val="1A1A1A"/>
                <w:sz w:val="18"/>
              </w:rPr>
              <w:t xml:space="preserve">Criminologico</w:t>
            </w:r>
          </w:p>
        </w:tc>
        <w:tc>
          <w:tcPr>
            <w:shd w:val="clear" w:color="auto" w:fill="F4F1EC"/>
          </w:tcPr>
          <w:p>
            <w:pPr>
              <w:pStyle w:val="Compact"/>
              <w:spacing w:after="40" w:before="40"/>
              <w:jc w:val="left"/>
            </w:pPr>
            <w:r>
              <w:rPr>
                <w:rFonts w:ascii="Cambria" w:hAnsi="Cambria" w:cs="Cambria" w:eastAsia="Cambria"/>
                <w:color w:val="1A1A1A"/>
                <w:sz w:val="18"/>
              </w:rPr>
              <w:t xml:space="preserve">Devianza, costi della giustizia, recidiva; connessione indiretta, di lungo periodo.</w:t>
            </w:r>
          </w:p>
        </w:tc>
      </w:tr>
      <w:tr>
        <w:tc>
          <w:tcPr/>
          <w:p>
            <w:pPr>
              <w:pStyle w:val="Compact"/>
              <w:spacing w:after="40" w:before="40"/>
              <w:jc w:val="left"/>
            </w:pPr>
            <w:r>
              <w:rPr>
                <w:rFonts w:ascii="Cambria" w:hAnsi="Cambria" w:cs="Cambria" w:eastAsia="Cambria"/>
                <w:color w:val="1A1A1A"/>
                <w:sz w:val="18"/>
              </w:rPr>
              <w:t xml:space="preserve">Burocratico</w:t>
            </w:r>
          </w:p>
        </w:tc>
        <w:tc>
          <w:tcPr/>
          <w:p>
            <w:pPr>
              <w:pStyle w:val="Compact"/>
              <w:spacing w:after="40" w:before="40"/>
              <w:jc w:val="left"/>
            </w:pPr>
            <w:r>
              <w:rPr>
                <w:rFonts w:ascii="Cambria" w:hAnsi="Cambria" w:cs="Cambria" w:eastAsia="Cambria"/>
                <w:color w:val="1A1A1A"/>
                <w:sz w:val="18"/>
              </w:rPr>
              <w:t xml:space="preserve">Adempimenti e frammentazione amministrativa; semplificazione per integrazione.</w:t>
            </w:r>
          </w:p>
        </w:tc>
      </w:tr>
      <w:tr>
        <w:tc>
          <w:tcPr>
            <w:shd w:val="clear" w:color="auto" w:fill="F4F1EC"/>
          </w:tcPr>
          <w:p>
            <w:pPr>
              <w:pStyle w:val="Compact"/>
              <w:spacing w:after="40" w:before="40"/>
              <w:jc w:val="left"/>
            </w:pPr>
            <w:r>
              <w:rPr>
                <w:rFonts w:ascii="Cambria" w:hAnsi="Cambria" w:cs="Cambria" w:eastAsia="Cambria"/>
                <w:color w:val="1A1A1A"/>
                <w:sz w:val="18"/>
              </w:rPr>
              <w:t xml:space="preserve">Culturale</w:t>
            </w:r>
          </w:p>
        </w:tc>
        <w:tc>
          <w:tcPr>
            <w:shd w:val="clear" w:color="auto" w:fill="F4F1EC"/>
          </w:tcPr>
          <w:p>
            <w:pPr>
              <w:pStyle w:val="Compact"/>
              <w:spacing w:after="40" w:before="40"/>
              <w:jc w:val="left"/>
            </w:pPr>
            <w:r>
              <w:rPr>
                <w:rFonts w:ascii="Cambria" w:hAnsi="Cambria" w:cs="Cambria" w:eastAsia="Cambria"/>
                <w:color w:val="1A1A1A"/>
                <w:sz w:val="18"/>
              </w:rPr>
              <w:t xml:space="preserve">Stigma e alfabetizzazione psicologica; effetto di diffusione capillare.</w:t>
            </w:r>
          </w:p>
        </w:tc>
      </w:tr>
      <w:tr>
        <w:tc>
          <w:tcPr/>
          <w:p>
            <w:pPr>
              <w:pStyle w:val="Compact"/>
              <w:spacing w:after="40" w:before="40"/>
              <w:jc w:val="left"/>
            </w:pPr>
            <w:r>
              <w:rPr>
                <w:rFonts w:ascii="Cambria" w:hAnsi="Cambria" w:cs="Cambria" w:eastAsia="Cambria"/>
                <w:color w:val="1A1A1A"/>
                <w:sz w:val="18"/>
              </w:rPr>
              <w:t xml:space="preserve">Pedagogico e scolastico</w:t>
            </w:r>
          </w:p>
        </w:tc>
        <w:tc>
          <w:tcPr/>
          <w:p>
            <w:pPr>
              <w:pStyle w:val="Compact"/>
              <w:spacing w:after="40" w:before="40"/>
              <w:jc w:val="left"/>
            </w:pPr>
            <w:r>
              <w:rPr>
                <w:rFonts w:ascii="Cambria" w:hAnsi="Cambria" w:cs="Cambria" w:eastAsia="Cambria"/>
                <w:color w:val="1A1A1A"/>
                <w:sz w:val="18"/>
              </w:rPr>
              <w:t xml:space="preserve">Dispersione e rendimento degli studenti; connessione indiretta.</w:t>
            </w:r>
          </w:p>
        </w:tc>
      </w:tr>
      <w:tr>
        <w:tc>
          <w:tcPr>
            <w:shd w:val="clear" w:color="auto" w:fill="F4F1EC"/>
          </w:tcPr>
          <w:p>
            <w:pPr>
              <w:pStyle w:val="Compact"/>
              <w:spacing w:after="40" w:before="40"/>
              <w:jc w:val="left"/>
            </w:pPr>
            <w:r>
              <w:rPr>
                <w:rFonts w:ascii="Cambria" w:hAnsi="Cambria" w:cs="Cambria" w:eastAsia="Cambria"/>
                <w:color w:val="1A1A1A"/>
                <w:sz w:val="18"/>
              </w:rPr>
              <w:t xml:space="preserve">Sociale</w:t>
            </w:r>
          </w:p>
        </w:tc>
        <w:tc>
          <w:tcPr>
            <w:shd w:val="clear" w:color="auto" w:fill="F4F1EC"/>
          </w:tcPr>
          <w:p>
            <w:pPr>
              <w:pStyle w:val="Compact"/>
              <w:spacing w:after="40" w:before="40"/>
              <w:jc w:val="left"/>
            </w:pPr>
            <w:r>
              <w:rPr>
                <w:rFonts w:ascii="Cambria" w:hAnsi="Cambria" w:cs="Cambria" w:eastAsia="Cambria"/>
                <w:color w:val="1A1A1A"/>
                <w:sz w:val="18"/>
              </w:rPr>
              <w:t xml:space="preserve">Capitale sociale e legami di comunità; connessione indiretta.</w:t>
            </w:r>
          </w:p>
        </w:tc>
      </w:tr>
      <w:tr>
        <w:tc>
          <w:tcPr/>
          <w:p>
            <w:pPr>
              <w:pStyle w:val="Compact"/>
              <w:spacing w:after="40" w:before="40"/>
              <w:jc w:val="left"/>
            </w:pPr>
            <w:r>
              <w:rPr>
                <w:rFonts w:ascii="Cambria" w:hAnsi="Cambria" w:cs="Cambria" w:eastAsia="Cambria"/>
                <w:color w:val="1A1A1A"/>
                <w:sz w:val="18"/>
              </w:rPr>
              <w:t xml:space="preserve">Finanziario</w:t>
            </w:r>
          </w:p>
        </w:tc>
        <w:tc>
          <w:tcPr/>
          <w:p>
            <w:pPr>
              <w:pStyle w:val="Compact"/>
              <w:spacing w:after="40" w:before="40"/>
              <w:jc w:val="left"/>
            </w:pPr>
            <w:r>
              <w:rPr>
                <w:rFonts w:ascii="Cambria" w:hAnsi="Cambria" w:cs="Cambria" w:eastAsia="Cambria"/>
                <w:color w:val="1A1A1A"/>
                <w:sz w:val="18"/>
              </w:rPr>
              <w:t xml:space="preserve">Effetto netto sui bilanci regionali; sede della previsione falsificabile.</w:t>
            </w:r>
          </w:p>
        </w:tc>
      </w:tr>
    </w:tbl>
    <w:p>
      <w:pPr>
        <w:pStyle w:val="BodyText"/>
      </w:pPr>
      <w:r>
        <w:rPr>
          <w:i/>
          <w:iCs/>
        </w:rPr>
        <w:t xml:space="preserve">Mappa di raccordo. La quantificazione, distinta tra ricadute fiscali e sociali e governata dalla regola di non duplicazione, è sviluppata nelle Parti VII–X secondo l’ordinamento della cascata.</w:t>
      </w:r>
    </w:p>
    <w:p>
      <w:pPr>
        <w:pStyle w:val="BodyText"/>
      </w:pPr>
      <w:r>
        <w:t xml:space="preserve">La mappa del carico chiude la ricostruzione del bisogno e del contesto avviata nelle voci precedenti. Essa mostra che il problema cui la riforma si rivolge non è circoscritto alla salute, ma investe il lavoro, la previdenza, l’assistenza, la giustizia, l’istruzione e i bilanci pubblici; e che la funzione dello Psicologo di Base, collocato all’apice della cascata, agisce su tutti questi ambiti per via indiretta, attraverso l’intercettazione precoce del disagio. Resta da collocare la riforma nella sua cornice istituzionale, ossia nell’insieme delle norme che la fondano, ne predispongono le sedi e le risorse e ne fissano i criteri di valutazione. È l’oggetto dell’ultima voce di questa parte.</w:t>
      </w:r>
    </w:p>
    <w:bookmarkEnd w:id="92"/>
    <w:bookmarkStart w:id="98" w:name="il-quadro-normativo-e-programmatico"/>
    <w:p>
      <w:pPr>
        <w:pStyle w:val="Heading2"/>
      </w:pPr>
      <w:r>
        <w:rPr>
          <w:b/>
          <w:bCs/>
        </w:rPr>
        <w:t xml:space="preserve">2.6 Il quadro normativo e programmatico</w:t>
      </w:r>
    </w:p>
    <w:p>
      <w:pPr>
        <w:pStyle w:val="FirstParagraph"/>
      </w:pPr>
      <w:r>
        <w:rPr>
          <w:i/>
          <w:iCs/>
        </w:rPr>
        <w:t xml:space="preserve">Questa voce colloca la riforma nella sua cornice istituzionale, coerente su tre livelli — regionale, nazionale ed europeo — che ne fondano la rilevanza e la coerenza: la legge regionale che ha istituito il servizio, il disegno nazionale dell’assistenza territoriale e il suo finanziamento, l’accordo convenzionale di riferimento e i livelli essenziali, e i regolamenti europei sulla valutazione delle tecnologie e sull’intelligenza artificiale.</w:t>
      </w:r>
    </w:p>
    <w:p>
      <w:pPr>
        <w:pStyle w:val="BodyText"/>
      </w:pPr>
      <w:r>
        <w:t xml:space="preserve">La riforma del Servizio di Psicologia di Base si colloca in una cornice normativa coerente su tre livelli, che ne fonda la rilevanza e la coerenza e che ne condiziona il disegno. Al livello regionale, una legge ha istituito il servizio e ne ha fissato gli elementi essenziali; al livello nazionale, un insieme di atti ne predispone le sedi, le risorse e il riferimento convenzionale, iscrivendolo nel perimetro dei livelli essenziali; al livello europeo, due regolamenti ne forniscono gli standard, rispettivamente, della valutazione delle tecnologie sanitarie e dell’innovazione tecnologica. La convergenza dei tre livelli non è un dettaglio formale, ma la condizione che colloca la riforma all’incrocio tra una legge regionale pionieristica, una programmazione nazionale che ne dispone l’infrastruttura e una cornice europea che ne fissa i criteri di analisi.</w:t>
      </w:r>
    </w:p>
    <w:p>
      <w:pPr>
        <w:pStyle w:val="BodyText"/>
      </w:pPr>
      <w:r>
        <w:t xml:space="preserve">Al livello regionale, la legge della Regione Puglia del 2023 ha istituito il servizio — prima legge del genere in Italia — individuandone gli elementi costitutivi: le sedi nei distretti e nelle Case della Comunità, la forma del rapporto nella convenzione, la funzione di filtro verso i servizi specialistici e il pronto soccorso, e l’organo di governo in un Osservatorio regionale dedicato.</w:t>
      </w:r>
      <w:r>
        <w:rPr>
          <w:rStyle w:val="FootnoteReference"/>
        </w:rPr>
        <w:footnoteReference w:id="64"/>
      </w:r>
      <w:r>
        <w:t xml:space="preserve"> </w:t>
      </w:r>
      <w:r>
        <w:t xml:space="preserve">La portata di questa norma per lo studio è decisiva: essa fa sì che la decisione non verta sull’istituire il servizio, già disposto dal legislatore regionale, ma sul portarlo a regime, ossia sul dimensionarlo e sul finanziarlo in modo adeguato al bisogno. L’oggetto della valutazione si sposta perciò dall’an al quantum, dalla scelta se introdurre la figura alla scelta di quante risorse destinarvi, e gli scenari di copertura considerati dallo studio costituiscono precisamente le alternative di questo quantum.</w:t>
      </w:r>
    </w:p>
    <w:p>
      <w:pPr>
        <w:pStyle w:val="BodyText"/>
      </w:pPr>
      <w:r>
        <w:t xml:space="preserve">Al livello nazionale, il quadro è favorevole e convergente. Il decreto ministeriale del 2022 sull’assistenza territoriale ha definito il modello della sanità di prossimità, facendo delle Case della Comunità la sede della presa in carico territoriale, presso la quale lo Psicologo di Base si inserisce; la Missione del Piano Nazionale di Ripresa e Resilienza dedicata alla salute ne finanzia l’infrastruttura fisica e digitale, predisponendo le sedi e gli strumenti su cui la figura opera.</w:t>
      </w:r>
      <w:r>
        <w:rPr>
          <w:rStyle w:val="FootnoteReference"/>
        </w:rPr>
        <w:footnoteReference w:id="65"/>
      </w:r>
      <w:r>
        <w:t xml:space="preserve"> </w:t>
      </w:r>
      <w:r>
        <w:t xml:space="preserve">L’accordo che disciplina la specialistica ambulatoriale fornisce, a sua volta, il riferimento contrattuale del rapporto convenzionale degli psicologi, e con esso il fondamento del modello di costo del personale impiegato nelle parti dedicate ai costi diretti.</w:t>
      </w:r>
      <w:r>
        <w:rPr>
          <w:rStyle w:val="FootnoteReference"/>
        </w:rPr>
        <w:footnoteReference w:id="66"/>
      </w:r>
      <w:r>
        <w:t xml:space="preserve"> </w:t>
      </w:r>
      <w:r>
        <w:t xml:space="preserve">La coerenza tra la sede prevista dalla legge regionale e quella finanziata dal Piano nazionale, e tra la forma del rapporto e l’accordo convenzionale, fa sì che la riforma non richieda costruzioni normative ex novo, ma si innesti su strumenti già esistenti e operativi.</w:t>
      </w:r>
    </w:p>
    <w:p>
      <w:pPr>
        <w:pStyle w:val="BodyText"/>
      </w:pPr>
      <w:r>
        <w:t xml:space="preserve">La collocazione della riforma entro i livelli essenziali di assistenza è la chiave che la rende finanziabile pur nel vincolo di bilancio descritto nella voce 2.4. I livelli essenziali definiscono le prestazioni che il Servizio sanitario è tenuto a garantire su tutto il territorio nazionale, e la funzione di primo livello e di filtro dello Psicologo di Base si iscrive nella loro attuazione territoriale, come strumento di una più efficiente erogazione e non come spesa aggiuntiva ad essi estranea.</w:t>
      </w:r>
      <w:r>
        <w:rPr>
          <w:rStyle w:val="FootnoteReference"/>
        </w:rPr>
        <w:footnoteReference w:id="67"/>
      </w:r>
      <w:r>
        <w:t xml:space="preserve"> </w:t>
      </w:r>
      <w:r>
        <w:t xml:space="preserve">È questa iscrizione che concilia la riforma con il limite costituzionale di destinazione delle risorse e con i vincoli di rientro, e che le consente di essere finanziata senza distrarre fondi dalle finalità essenziali, anzi concorrendo alla loro realizzazione.</w:t>
      </w:r>
    </w:p>
    <w:p>
      <w:pPr>
        <w:pStyle w:val="BodyText"/>
      </w:pPr>
      <w:r>
        <w:t xml:space="preserve">Al livello europeo, infine, due regolamenti forniscono gli standard entro cui la riforma è analizzata e innovata. Il regolamento sulla valutazione delle tecnologie sanitarie, applicabile dal 2025, fissa il metodo della valutazione comparativa, di cui il presente studio adotta il telaio; il regolamento sull’intelligenza artificiale stabilisce la cornice di governance dell’innovazione tecnologica, entro cui sono collocati gli strumenti digitali e l’intelligenza artificiale impiegati come leve abilitanti della figura.</w:t>
      </w:r>
      <w:r>
        <w:rPr>
          <w:rStyle w:val="FootnoteReference"/>
        </w:rPr>
        <w:footnoteReference w:id="68"/>
      </w:r>
      <w:r>
        <w:t xml:space="preserve"> </w:t>
      </w:r>
      <w:r>
        <w:t xml:space="preserve">Il richiamo a questi due regolamenti non è ornamentale: esso colloca lo studio nel solco degli standard europei di valutazione e di governance, e ne àncora il metodo e la cautela tecnologica a riferimenti normativi sovranazionali, rafforzandone la legittimità e la trasferibilità.</w:t>
      </w:r>
    </w:p>
    <w:p>
      <w:pPr>
        <w:pStyle w:val="BodyText"/>
      </w:pPr>
      <w:r>
        <w:t xml:space="preserve">La cornice normativa così ricostruita fonda la rilevanza e la coerenza della riforma e ne orienta il disegno. La tabella seguente riepiloga i tre livelli del quadro normativo e programmatico, con la funzione che ciascun atto svolge rispetto alla riforma; essa mostra come la riforma poggi su un fondamento giuridico regionale diretto, su una programmazione nazionale che ne predispone le condizioni materiali e su una cornice europea che ne fissa i criteri di valutazione e di innovazione.</w:t>
      </w:r>
    </w:p>
    <w:p>
      <w:pPr>
        <w:pStyle w:val="BodyText"/>
      </w:pPr>
      <w:r>
        <w:rPr>
          <w:b/>
          <w:bCs/>
        </w:rPr>
        <w:t xml:space="preserve">Tabella 2.7 — Il quadro normativo e programmatico su tre livelli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Livello e atto</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 rispetto alla riforma</w:t>
            </w:r>
          </w:p>
        </w:tc>
      </w:tr>
      <w:tr>
        <w:tc>
          <w:tcPr/>
          <w:p>
            <w:pPr>
              <w:pStyle w:val="Compact"/>
              <w:spacing w:after="40" w:before="40"/>
              <w:jc w:val="left"/>
            </w:pPr>
            <w:r>
              <w:rPr>
                <w:rFonts w:ascii="Cambria" w:hAnsi="Cambria" w:cs="Cambria" w:eastAsia="Cambria"/>
                <w:color w:val="1A1A1A"/>
                <w:sz w:val="18"/>
              </w:rPr>
              <w:t xml:space="preserve">Regionale — legge della Regione Puglia (2023)</w:t>
            </w:r>
          </w:p>
        </w:tc>
        <w:tc>
          <w:tcPr/>
          <w:p>
            <w:pPr>
              <w:pStyle w:val="Compact"/>
              <w:spacing w:after="40" w:before="40"/>
              <w:jc w:val="left"/>
            </w:pPr>
            <w:r>
              <w:rPr>
                <w:rFonts w:ascii="Cambria" w:hAnsi="Cambria" w:cs="Cambria" w:eastAsia="Cambria"/>
                <w:color w:val="1A1A1A"/>
                <w:sz w:val="18"/>
              </w:rPr>
              <w:t xml:space="preserve">Istituisce il servizio, ne fissa le sedi, la convenzione, la funzione di filtro e l’Osservatorio; sposta la decisione dall’an al quantum.</w:t>
            </w:r>
          </w:p>
        </w:tc>
      </w:tr>
      <w:tr>
        <w:tc>
          <w:tcPr>
            <w:shd w:val="clear" w:color="auto" w:fill="F4F1EC"/>
          </w:tcPr>
          <w:p>
            <w:pPr>
              <w:pStyle w:val="Compact"/>
              <w:spacing w:after="40" w:before="40"/>
              <w:jc w:val="left"/>
            </w:pPr>
            <w:r>
              <w:rPr>
                <w:rFonts w:ascii="Cambria" w:hAnsi="Cambria" w:cs="Cambria" w:eastAsia="Cambria"/>
                <w:color w:val="1A1A1A"/>
                <w:sz w:val="18"/>
              </w:rPr>
              <w:t xml:space="preserve">Nazionale — decreto sull’assistenza territoriale (2022)</w:t>
            </w:r>
          </w:p>
        </w:tc>
        <w:tc>
          <w:tcPr>
            <w:shd w:val="clear" w:color="auto" w:fill="F4F1EC"/>
          </w:tcPr>
          <w:p>
            <w:pPr>
              <w:pStyle w:val="Compact"/>
              <w:spacing w:after="40" w:before="40"/>
              <w:jc w:val="left"/>
            </w:pPr>
            <w:r>
              <w:rPr>
                <w:rFonts w:ascii="Cambria" w:hAnsi="Cambria" w:cs="Cambria" w:eastAsia="Cambria"/>
                <w:color w:val="1A1A1A"/>
                <w:sz w:val="18"/>
              </w:rPr>
              <w:t xml:space="preserve">Definisce le Case della Comunità quale sede della presa in carico di prossimità in cui la figura si inserisce.</w:t>
            </w:r>
          </w:p>
        </w:tc>
      </w:tr>
      <w:tr>
        <w:tc>
          <w:tcPr/>
          <w:p>
            <w:pPr>
              <w:pStyle w:val="Compact"/>
              <w:spacing w:after="40" w:before="40"/>
              <w:jc w:val="left"/>
            </w:pPr>
            <w:r>
              <w:rPr>
                <w:rFonts w:ascii="Cambria" w:hAnsi="Cambria" w:cs="Cambria" w:eastAsia="Cambria"/>
                <w:color w:val="1A1A1A"/>
                <w:sz w:val="18"/>
              </w:rPr>
              <w:t xml:space="preserve">Nazionale — Missione 6 del PNRR</w:t>
            </w:r>
          </w:p>
        </w:tc>
        <w:tc>
          <w:tcPr/>
          <w:p>
            <w:pPr>
              <w:pStyle w:val="Compact"/>
              <w:spacing w:after="40" w:before="40"/>
              <w:jc w:val="left"/>
            </w:pPr>
            <w:r>
              <w:rPr>
                <w:rFonts w:ascii="Cambria" w:hAnsi="Cambria" w:cs="Cambria" w:eastAsia="Cambria"/>
                <w:color w:val="1A1A1A"/>
                <w:sz w:val="18"/>
              </w:rPr>
              <w:t xml:space="preserve">Finanzia l’infrastruttura fisica e digitale del territorio su cui la figura opera.</w:t>
            </w:r>
          </w:p>
        </w:tc>
      </w:tr>
      <w:tr>
        <w:tc>
          <w:tcPr>
            <w:shd w:val="clear" w:color="auto" w:fill="F4F1EC"/>
          </w:tcPr>
          <w:p>
            <w:pPr>
              <w:pStyle w:val="Compact"/>
              <w:spacing w:after="40" w:before="40"/>
              <w:jc w:val="left"/>
            </w:pPr>
            <w:r>
              <w:rPr>
                <w:rFonts w:ascii="Cambria" w:hAnsi="Cambria" w:cs="Cambria" w:eastAsia="Cambria"/>
                <w:color w:val="1A1A1A"/>
                <w:sz w:val="18"/>
              </w:rPr>
              <w:t xml:space="preserve">Nazionale — accordo della specialistica ambulatoriale</w:t>
            </w:r>
          </w:p>
        </w:tc>
        <w:tc>
          <w:tcPr>
            <w:shd w:val="clear" w:color="auto" w:fill="F4F1EC"/>
          </w:tcPr>
          <w:p>
            <w:pPr>
              <w:pStyle w:val="Compact"/>
              <w:spacing w:after="40" w:before="40"/>
              <w:jc w:val="left"/>
            </w:pPr>
            <w:r>
              <w:rPr>
                <w:rFonts w:ascii="Cambria" w:hAnsi="Cambria" w:cs="Cambria" w:eastAsia="Cambria"/>
                <w:color w:val="1A1A1A"/>
                <w:sz w:val="18"/>
              </w:rPr>
              <w:t xml:space="preserve">Fornisce il riferimento convenzionale e il fondamento del modello di costo del personale.</w:t>
            </w:r>
          </w:p>
        </w:tc>
      </w:tr>
      <w:tr>
        <w:tc>
          <w:tcPr/>
          <w:p>
            <w:pPr>
              <w:pStyle w:val="Compact"/>
              <w:spacing w:after="40" w:before="40"/>
              <w:jc w:val="left"/>
            </w:pPr>
            <w:r>
              <w:rPr>
                <w:rFonts w:ascii="Cambria" w:hAnsi="Cambria" w:cs="Cambria" w:eastAsia="Cambria"/>
                <w:color w:val="1A1A1A"/>
                <w:sz w:val="18"/>
              </w:rPr>
              <w:t xml:space="preserve">Nazionale — livelli essenziali di assistenza</w:t>
            </w:r>
          </w:p>
        </w:tc>
        <w:tc>
          <w:tcPr/>
          <w:p>
            <w:pPr>
              <w:pStyle w:val="Compact"/>
              <w:spacing w:after="40" w:before="40"/>
              <w:jc w:val="left"/>
            </w:pPr>
            <w:r>
              <w:rPr>
                <w:rFonts w:ascii="Cambria" w:hAnsi="Cambria" w:cs="Cambria" w:eastAsia="Cambria"/>
                <w:color w:val="1A1A1A"/>
                <w:sz w:val="18"/>
              </w:rPr>
              <w:t xml:space="preserve">Iscrivono la funzione di primo livello e di filtro nell’attuazione dei livelli essenziali, rendendo la riforma finanziabile entro i vincoli di rientro.</w:t>
            </w:r>
          </w:p>
        </w:tc>
      </w:tr>
      <w:tr>
        <w:tc>
          <w:tcPr>
            <w:shd w:val="clear" w:color="auto" w:fill="F4F1EC"/>
          </w:tcPr>
          <w:p>
            <w:pPr>
              <w:pStyle w:val="Compact"/>
              <w:spacing w:after="40" w:before="40"/>
              <w:jc w:val="left"/>
            </w:pPr>
            <w:r>
              <w:rPr>
                <w:rFonts w:ascii="Cambria" w:hAnsi="Cambria" w:cs="Cambria" w:eastAsia="Cambria"/>
                <w:color w:val="1A1A1A"/>
                <w:sz w:val="18"/>
              </w:rPr>
              <w:t xml:space="preserve">Europeo — regolamento sulla valutazione delle tecnologie sanitarie</w:t>
            </w:r>
          </w:p>
        </w:tc>
        <w:tc>
          <w:tcPr>
            <w:shd w:val="clear" w:color="auto" w:fill="F4F1EC"/>
          </w:tcPr>
          <w:p>
            <w:pPr>
              <w:pStyle w:val="Compact"/>
              <w:spacing w:after="40" w:before="40"/>
              <w:jc w:val="left"/>
            </w:pPr>
            <w:r>
              <w:rPr>
                <w:rFonts w:ascii="Cambria" w:hAnsi="Cambria" w:cs="Cambria" w:eastAsia="Cambria"/>
                <w:color w:val="1A1A1A"/>
                <w:sz w:val="18"/>
              </w:rPr>
              <w:t xml:space="preserve">Fissa il metodo della valutazione comparativa di cui lo studio adotta il telaio.</w:t>
            </w:r>
          </w:p>
        </w:tc>
      </w:tr>
      <w:tr>
        <w:tc>
          <w:tcPr/>
          <w:p>
            <w:pPr>
              <w:pStyle w:val="Compact"/>
              <w:spacing w:after="40" w:before="40"/>
              <w:jc w:val="left"/>
            </w:pPr>
            <w:r>
              <w:rPr>
                <w:rFonts w:ascii="Cambria" w:hAnsi="Cambria" w:cs="Cambria" w:eastAsia="Cambria"/>
                <w:color w:val="1A1A1A"/>
                <w:sz w:val="18"/>
              </w:rPr>
              <w:t xml:space="preserve">Europeo — regolamento sull’intelligenza artificiale</w:t>
            </w:r>
          </w:p>
        </w:tc>
        <w:tc>
          <w:tcPr/>
          <w:p>
            <w:pPr>
              <w:pStyle w:val="Compact"/>
              <w:spacing w:after="40" w:before="40"/>
              <w:jc w:val="left"/>
            </w:pPr>
            <w:r>
              <w:rPr>
                <w:rFonts w:ascii="Cambria" w:hAnsi="Cambria" w:cs="Cambria" w:eastAsia="Cambria"/>
                <w:color w:val="1A1A1A"/>
                <w:sz w:val="18"/>
              </w:rPr>
              <w:t xml:space="preserve">Stabilisce la cornice di governance degli strumenti digitali impiegati come leve abilitanti.</w:t>
            </w:r>
          </w:p>
        </w:tc>
      </w:tr>
    </w:tbl>
    <w:p>
      <w:pPr>
        <w:pStyle w:val="BodyText"/>
      </w:pPr>
      <w:r>
        <w:rPr>
          <w:i/>
          <w:iCs/>
        </w:rPr>
        <w:t xml:space="preserve">Fonti: legge regionale 11/2023; decreto ministeriale 77/2022; PNRR Missione 6; Accordo Collettivo Nazionale della specialistica ambulatoriale; livelli essenziali di assistenza; regolamento (UE) 2021/2282; regolamento (UE) sull’intelligenza artificiale.</w:t>
      </w:r>
    </w:p>
    <w:p>
      <w:pPr>
        <w:pStyle w:val="BodyText"/>
      </w:pPr>
      <w:r>
        <w:t xml:space="preserve">La convergenza dei tre livelli normativi conclude la ricostruzione del bisogno e del contesto. Essa colloca la riforma pugliese all’incrocio tra una legge regionale che per prima in Italia ha istituito il servizio, una programmazione nazionale che ne predispone le sedi, le risorse e il riferimento convenzionale entro i livelli essenziali, e una cornice europea che ne fissa i criteri di valutazione e di governance tecnologica. È in questo quadro che le parti successive dello studio analizzano l’intervento, ne accertano l’efficacia, ne rinegoziano i costi e i benefici lungo la cascata delle figure e dei domini, e ne pianificano l’attuazione. La presente parte ha stabilito la base fattuale di tale percorso: la dimensione del bisogno, la struttura del contesto, l’adeguatezza dell’offerta, i vincoli finanziari, la mappa del carico e la cornice istituzionale. Su questa base, e secondo l’ordinamento della cascata gerarchica piramidale, procede l’opera.</w:t>
      </w:r>
    </w:p>
    <w:bookmarkEnd w:id="98"/>
    <w:bookmarkStart w:id="99" w:name="X390ebd148cae62881539f4388d1da5f814a4a08"/>
    <w:p>
      <w:pPr>
        <w:pStyle w:val="Heading2"/>
      </w:pPr>
      <w:r>
        <w:rPr>
          <w:b/>
          <w:bCs/>
        </w:rPr>
        <w:t xml:space="preserve">Quadro Conclusivo economico-sociale e multidisciplinare integrale</w:t>
      </w:r>
    </w:p>
    <w:p>
      <w:pPr>
        <w:pStyle w:val="FirstParagraph"/>
      </w:pPr>
      <w:r>
        <w:t xml:space="preserve">Le sei voci di questa parte, lette congiuntamente, restituiscono un quadro economico-sociale e multidisciplinare unitario, che conviene ricomporre prima di procedere. Il bisogno di salute mentale in Puglia è ampio e in larga parte sommerso, con un ordine di grandezza di 780.000 persone in disagio comune o sottosoglia a fronte di una presa in carico specialistica di circa 55.000 utenti; il divario tra le due grandezze, accresciuto da una sotto-rilevazione di matrice culturale e da un basso consumo di antidepressivi, definisce il problema centrale cui la riforma si rivolge. A questo bisogno si sovrappone una doppia pressione, dell’invecchiamento e della deprivazione, che ne amplifica la portata e ne sposta la composizione verso i quadri dell’età avanzata e della cronicità, concentrandolo nelle aree meno servite. L’offerta sanitaria, dal canto suo, è strutturalmente inadeguata: priva di un livello psicologico territoriale, gravata da una medicina generale in rapido arretramento, e attraversata da flussi impropri verso il pronto soccorso e fuori regione. Il tutto entro un vincolo di bilancio stringente, segnato dal disavanzo e dai vincoli di rientro, che impone a ogni impiego di risorse una giustificazione economica.</w:t>
      </w:r>
    </w:p>
    <w:p>
      <w:pPr>
        <w:pStyle w:val="BodyText"/>
      </w:pPr>
      <w:r>
        <w:t xml:space="preserve">La lettura economica di questo quadro muove da una distinzione che i vincoli metodologici invarianti impongono e che la presente parte ha mantenuto con rigore: quella tra le grandezze direttamente fiscali e quelle sociali e indirette. Sul versante fiscale diretto, la parte ha individuato — senza quantificarli, riservandone la misura alle parti dedicate — tre margini caratteristici del caso pugliese: la spesa farmaceutica inappropriata, segnalata dal paradosso di un consumo complessivo elevato e di una bassa intercettazione del disagio; il ricorso improprio al pronto soccorso, con circa 914.000 accessi inappropriati su 1.142.448; e la mobilità sanitaria passiva, con un saldo negativo nell’ordine dei 240–253 milioni di euro, che fa della domanda trattenuta sul territorio un risparmio diretto per il bilancio. Sul versante sociale e indiretto, la mappa del carico multidominio ha mostrato che il costo della cattiva salute mentale, di ordine superiore al 4 per cento del prodotto secondo le stime internazionali, grava in misura prevalente non sulla sanità, ma sul lavoro, sulla previdenza, sull’assistenza e sul prodotto economico nel suo complesso.</w:t>
      </w:r>
    </w:p>
    <w:p>
      <w:pPr>
        <w:pStyle w:val="BodyText"/>
      </w:pPr>
      <w:r>
        <w:t xml:space="preserve">La dimensione multidisciplinare integrale del quadro emerge precisamente da questa distribuzione del carico. La cattiva salute mentale non è un problema settoriale, ma un fenomeno che attraversa tredici domini — sanitario, lavorativo, pensionistico, produttivistico, assistenzialistico, welfaristico, prevenzionalistico, criminologico, burocratico, culturale, pedagogico e scolastico, sociale e finanziario — e che in ciascuno di essi genera costi distinti. La funzione dello Psicologo di Base, collocato all’apice della cascata gerarchica piramidale, agisce su questi domini non separatamente, ma per via di propagazione: intercettando il disagio a monte, attraverso la prevenzione secondaria e terziaria, essa riduce l’incidenza e la gravità dei quadri che a valle generano la spesa sanitaria, la perdita di produttività, le prestazioni previdenziali, il carico assistenziale e gli altri costi. È questa propagazione lungo la cascata che spiega come una riforma collocata nel settore sanitario, e di costo contenuto, possa produrre ricadute economico-sociali di perimetro assai più ampio del proprio.</w:t>
      </w:r>
    </w:p>
    <w:p>
      <w:pPr>
        <w:pStyle w:val="BodyText"/>
      </w:pPr>
      <w:r>
        <w:t xml:space="preserve">Il quadro economico-sociale così composto non autorizza, in questa sede, alcuna conclusione sul saldo della riforma, che è il prodotto della rinegoziazione integrale dei costi e dei benefici sviluppata nelle parti dedicate. Esso fissa piuttosto le quantità di partenza e i margini, e ribadisce i vincoli entro cui la loro traduzione economica dovrà avvenire: il rendimento degli investimenti in salute mentale espresso nei soli intervalli corretti, compresi tra 2,3 e 3,0 a 1 per i benefici economici e tra 3,3 e 5,7 a 1 con i ritorni in salute; il caveat sull’assenza di significatività statistica dei risparmi sanitari; la separazione rigorosa tra ricadute fiscali e sociali, senza doppi conteggi; e l’adozione di bande prudenziali e di previsioni falsificabili per ogni proiezione. È entro questi vincoli, e non al di fuori di essi, che la portata multidisciplinare integrale della riforma sarà misurata.</w:t>
      </w:r>
    </w:p>
    <w:p>
      <w:pPr>
        <w:pStyle w:val="BodyText"/>
      </w:pPr>
      <w:r>
        <w:t xml:space="preserve">La tabella seguente ricompone in un unico prospetto le grandezze cardine della parte, distinguendole secondo la loro natura — bisogno, offerta, vincolo finanziario, carico multidominio — e richiamando, per ciascuna, la sede in cui la sua traduzione economica sarà sviluppata. Essa costituisce il ponte tra la base fattuale qui stabilita e la valutazione economica delle parti successive.</w:t>
      </w:r>
    </w:p>
    <w:p>
      <w:pPr>
        <w:pStyle w:val="BodyText"/>
      </w:pPr>
      <w:r>
        <w:rPr>
          <w:b/>
          <w:bCs/>
        </w:rPr>
        <w:t xml:space="preserve">Tabella 2.8 — Quadro conclusivo: grandezze cardine della Parte II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Grandezza cardine</w:t>
            </w:r>
          </w:p>
        </w:tc>
        <w:tc>
          <w:tcPr>
            <w:shd w:val="clear" w:color="auto" w:fill="16264B"/>
          </w:tcPr>
          <w:p>
            <w:pPr>
              <w:pStyle w:val="Compact"/>
              <w:spacing w:after="40" w:before="40"/>
              <w:jc w:val="left"/>
            </w:pPr>
            <w:r>
              <w:rPr>
                <w:rFonts w:ascii="Cambria" w:hAnsi="Cambria" w:cs="Cambria" w:eastAsia="Cambria"/>
                <w:b/>
                <w:bCs/>
                <w:color w:val="FFFFFF"/>
                <w:sz w:val="18"/>
              </w:rPr>
              <w:t xml:space="preserve">Sede della traduzione economica</w:t>
            </w:r>
          </w:p>
        </w:tc>
      </w:tr>
      <w:tr>
        <w:tc>
          <w:tcPr/>
          <w:p>
            <w:pPr>
              <w:pStyle w:val="Compact"/>
              <w:spacing w:after="40" w:before="40"/>
              <w:jc w:val="left"/>
            </w:pPr>
            <w:r>
              <w:rPr>
                <w:rFonts w:ascii="Cambria" w:hAnsi="Cambria" w:cs="Cambria" w:eastAsia="Cambria"/>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780.000 in disagio comune; ~ 55.000 in carico ai servizi</w:t>
            </w:r>
          </w:p>
        </w:tc>
        <w:tc>
          <w:tcPr/>
          <w:p>
            <w:pPr>
              <w:pStyle w:val="Compact"/>
              <w:spacing w:after="40" w:before="40"/>
              <w:jc w:val="left"/>
            </w:pPr>
            <w:r>
              <w:rPr>
                <w:rFonts w:ascii="Cambria" w:hAnsi="Cambria" w:cs="Cambria" w:eastAsia="Cambria"/>
                <w:color w:val="1A1A1A"/>
                <w:sz w:val="18"/>
              </w:rPr>
              <w:t xml:space="preserve">Parti VI, IX (efficacia, domini)</w:t>
            </w:r>
          </w:p>
        </w:tc>
      </w:tr>
      <w:tr>
        <w:tc>
          <w:tcPr>
            <w:shd w:val="clear" w:color="auto" w:fill="F4F1EC"/>
          </w:tcPr>
          <w:p>
            <w:pPr>
              <w:pStyle w:val="Compact"/>
              <w:spacing w:after="40" w:before="40"/>
              <w:jc w:val="left"/>
            </w:pPr>
            <w:r>
              <w:rPr>
                <w:rFonts w:ascii="Cambria" w:hAnsi="Cambria" w:cs="Cambria" w:eastAsia="Cambria"/>
                <w:color w:val="1A1A1A"/>
                <w:sz w:val="18"/>
              </w:rPr>
              <w:t xml:space="preserve">Bisogno</w:t>
            </w:r>
          </w:p>
        </w:tc>
        <w:tc>
          <w:tcPr>
            <w:shd w:val="clear" w:color="auto" w:fill="F4F1EC"/>
          </w:tcPr>
          <w:p>
            <w:pPr>
              <w:pStyle w:val="Compact"/>
              <w:spacing w:after="40" w:before="40"/>
              <w:jc w:val="left"/>
            </w:pPr>
            <w:r>
              <w:rPr>
                <w:rFonts w:ascii="Cambria" w:hAnsi="Cambria" w:cs="Cambria" w:eastAsia="Cambria"/>
                <w:color w:val="1A1A1A"/>
                <w:sz w:val="18"/>
              </w:rPr>
              <w:t xml:space="preserve">Divario di trattamento (sotto-intercettazione)</w:t>
            </w:r>
          </w:p>
        </w:tc>
        <w:tc>
          <w:tcPr>
            <w:shd w:val="clear" w:color="auto" w:fill="F4F1EC"/>
          </w:tcPr>
          <w:p>
            <w:pPr>
              <w:pStyle w:val="Compact"/>
              <w:spacing w:after="40" w:before="40"/>
              <w:jc w:val="left"/>
            </w:pPr>
            <w:r>
              <w:rPr>
                <w:rFonts w:ascii="Cambria" w:hAnsi="Cambria" w:cs="Cambria" w:eastAsia="Cambria"/>
                <w:color w:val="1A1A1A"/>
                <w:sz w:val="18"/>
              </w:rPr>
              <w:t xml:space="preserve">Parti VI, IX</w:t>
            </w:r>
          </w:p>
        </w:tc>
      </w:tr>
      <w:tr>
        <w:tc>
          <w:tcPr/>
          <w:p>
            <w:pPr>
              <w:pStyle w:val="Compact"/>
              <w:spacing w:after="40" w:before="40"/>
              <w:jc w:val="left"/>
            </w:pPr>
            <w:r>
              <w:rPr>
                <w:rFonts w:ascii="Cambria" w:hAnsi="Cambria" w:cs="Cambria" w:eastAsia="Cambria"/>
                <w:color w:val="1A1A1A"/>
                <w:sz w:val="18"/>
              </w:rPr>
              <w:t xml:space="preserve">Contesto</w:t>
            </w:r>
          </w:p>
        </w:tc>
        <w:tc>
          <w:tcPr/>
          <w:p>
            <w:pPr>
              <w:pStyle w:val="Compact"/>
              <w:spacing w:after="40" w:before="40"/>
              <w:jc w:val="left"/>
            </w:pPr>
            <w:r>
              <w:rPr>
                <w:rFonts w:ascii="Cambria" w:hAnsi="Cambria" w:cs="Cambria" w:eastAsia="Cambria"/>
                <w:color w:val="1A1A1A"/>
                <w:sz w:val="18"/>
              </w:rPr>
              <w:t xml:space="preserve">Doppia pressione: invecchiamento e deprivazione</w:t>
            </w:r>
          </w:p>
        </w:tc>
        <w:tc>
          <w:tcPr/>
          <w:p>
            <w:pPr>
              <w:pStyle w:val="Compact"/>
              <w:spacing w:after="40" w:before="40"/>
              <w:jc w:val="left"/>
            </w:pPr>
            <w:r>
              <w:rPr>
                <w:rFonts w:ascii="Cambria" w:hAnsi="Cambria" w:cs="Cambria" w:eastAsia="Cambria"/>
                <w:color w:val="1A1A1A"/>
                <w:sz w:val="18"/>
              </w:rPr>
              <w:t xml:space="preserve">Parti IX, XII (domini, equità)</w:t>
            </w:r>
          </w:p>
        </w:tc>
      </w:tr>
      <w:tr>
        <w:tc>
          <w:tcPr>
            <w:shd w:val="clear" w:color="auto" w:fill="F4F1EC"/>
          </w:tcPr>
          <w:p>
            <w:pPr>
              <w:pStyle w:val="Compact"/>
              <w:spacing w:after="40" w:before="40"/>
              <w:jc w:val="left"/>
            </w:pPr>
            <w:r>
              <w:rPr>
                <w:rFonts w:ascii="Cambria" w:hAnsi="Cambria" w:cs="Cambria" w:eastAsia="Cambria"/>
                <w:color w:val="1A1A1A"/>
                <w:sz w:val="18"/>
              </w:rPr>
              <w:t xml:space="preserve">Offerta</w:t>
            </w:r>
          </w:p>
        </w:tc>
        <w:tc>
          <w:tcPr>
            <w:shd w:val="clear" w:color="auto" w:fill="F4F1EC"/>
          </w:tcPr>
          <w:p>
            <w:pPr>
              <w:pStyle w:val="Compact"/>
              <w:spacing w:after="40" w:before="40"/>
              <w:jc w:val="left"/>
            </w:pPr>
            <w:r>
              <w:rPr>
                <w:rFonts w:ascii="Cambria" w:hAnsi="Cambria" w:cs="Cambria" w:eastAsia="Cambria"/>
                <w:color w:val="1A1A1A"/>
                <w:sz w:val="18"/>
              </w:rPr>
              <w:t xml:space="preserve">&lt; 3 psicologi/100.000; medicina generale −26,3% (2019–2024)</w:t>
            </w:r>
          </w:p>
        </w:tc>
        <w:tc>
          <w:tcPr>
            <w:shd w:val="clear" w:color="auto" w:fill="F4F1EC"/>
          </w:tcPr>
          <w:p>
            <w:pPr>
              <w:pStyle w:val="Compact"/>
              <w:spacing w:after="40" w:before="40"/>
              <w:jc w:val="left"/>
            </w:pPr>
            <w:r>
              <w:rPr>
                <w:rFonts w:ascii="Cambria" w:hAnsi="Cambria" w:cs="Cambria" w:eastAsia="Cambria"/>
                <w:color w:val="1A1A1A"/>
                <w:sz w:val="18"/>
              </w:rPr>
              <w:t xml:space="preserve">Parti IV, VII (modello, costi)</w:t>
            </w:r>
          </w:p>
        </w:tc>
      </w:tr>
      <w:tr>
        <w:tc>
          <w:tcPr/>
          <w:p>
            <w:pPr>
              <w:pStyle w:val="Compact"/>
              <w:spacing w:after="40" w:before="40"/>
              <w:jc w:val="left"/>
            </w:pPr>
            <w:r>
              <w:rPr>
                <w:rFonts w:ascii="Cambria" w:hAnsi="Cambria" w:cs="Cambria" w:eastAsia="Cambria"/>
                <w:color w:val="1A1A1A"/>
                <w:sz w:val="18"/>
              </w:rPr>
              <w:t xml:space="preserve">Offerta</w:t>
            </w:r>
          </w:p>
        </w:tc>
        <w:tc>
          <w:tcPr/>
          <w:p>
            <w:pPr>
              <w:pStyle w:val="Compact"/>
              <w:spacing w:after="40" w:before="40"/>
              <w:jc w:val="left"/>
            </w:pPr>
            <w:r>
              <w:rPr>
                <w:rFonts w:ascii="Cambria" w:hAnsi="Cambria" w:cs="Cambria" w:eastAsia="Cambria"/>
                <w:color w:val="1A1A1A"/>
                <w:sz w:val="18"/>
              </w:rPr>
              <w:t xml:space="preserve">Pronto soccorso: ~ 914.000 accessi impropri</w:t>
            </w:r>
          </w:p>
        </w:tc>
        <w:tc>
          <w:tcPr/>
          <w:p>
            <w:pPr>
              <w:pStyle w:val="Compact"/>
              <w:spacing w:after="40" w:before="40"/>
              <w:jc w:val="left"/>
            </w:pPr>
            <w:r>
              <w:rPr>
                <w:rFonts w:ascii="Cambria" w:hAnsi="Cambria" w:cs="Cambria" w:eastAsia="Cambria"/>
                <w:color w:val="1A1A1A"/>
                <w:sz w:val="18"/>
              </w:rPr>
              <w:t xml:space="preserve">Parte VIII (risparmi diretti)</w:t>
            </w:r>
          </w:p>
        </w:tc>
      </w:tr>
      <w:tr>
        <w:tc>
          <w:tcPr>
            <w:shd w:val="clear" w:color="auto" w:fill="F4F1EC"/>
          </w:tcPr>
          <w:p>
            <w:pPr>
              <w:pStyle w:val="Compact"/>
              <w:spacing w:after="40" w:before="40"/>
              <w:jc w:val="left"/>
            </w:pPr>
            <w:r>
              <w:rPr>
                <w:rFonts w:ascii="Cambria" w:hAnsi="Cambria" w:cs="Cambria" w:eastAsia="Cambria"/>
                <w:color w:val="1A1A1A"/>
                <w:sz w:val="18"/>
              </w:rPr>
              <w:t xml:space="preserve">Vincolo</w:t>
            </w:r>
          </w:p>
        </w:tc>
        <w:tc>
          <w:tcPr>
            <w:shd w:val="clear" w:color="auto" w:fill="F4F1EC"/>
          </w:tcPr>
          <w:p>
            <w:pPr>
              <w:pStyle w:val="Compact"/>
              <w:spacing w:after="40" w:before="40"/>
              <w:jc w:val="left"/>
            </w:pPr>
            <w:r>
              <w:rPr>
                <w:rFonts w:ascii="Cambria" w:hAnsi="Cambria" w:cs="Cambria" w:eastAsia="Cambria"/>
                <w:color w:val="1A1A1A"/>
                <w:sz w:val="18"/>
              </w:rPr>
              <w:t xml:space="preserve">Disavanzo ~ 350 mln; vincoli di rientro</w:t>
            </w:r>
          </w:p>
        </w:tc>
        <w:tc>
          <w:tcPr>
            <w:shd w:val="clear" w:color="auto" w:fill="F4F1EC"/>
          </w:tcPr>
          <w:p>
            <w:pPr>
              <w:pStyle w:val="Compact"/>
              <w:spacing w:after="40" w:before="40"/>
              <w:jc w:val="left"/>
            </w:pPr>
            <w:r>
              <w:rPr>
                <w:rFonts w:ascii="Cambria" w:hAnsi="Cambria" w:cs="Cambria" w:eastAsia="Cambria"/>
                <w:color w:val="1A1A1A"/>
                <w:sz w:val="18"/>
              </w:rPr>
              <w:t xml:space="preserve">Parti X, XIV (saldo, sostenibilità)</w:t>
            </w:r>
          </w:p>
        </w:tc>
      </w:tr>
      <w:tr>
        <w:tc>
          <w:tcPr/>
          <w:p>
            <w:pPr>
              <w:pStyle w:val="Compact"/>
              <w:spacing w:after="40" w:before="40"/>
              <w:jc w:val="left"/>
            </w:pPr>
            <w:r>
              <w:rPr>
                <w:rFonts w:ascii="Cambria" w:hAnsi="Cambria" w:cs="Cambria" w:eastAsia="Cambria"/>
                <w:color w:val="1A1A1A"/>
                <w:sz w:val="18"/>
              </w:rPr>
              <w:t xml:space="preserve">Vincolo</w:t>
            </w:r>
          </w:p>
        </w:tc>
        <w:tc>
          <w:tcPr/>
          <w:p>
            <w:pPr>
              <w:pStyle w:val="Compact"/>
              <w:spacing w:after="40" w:before="40"/>
              <w:jc w:val="left"/>
            </w:pPr>
            <w:r>
              <w:rPr>
                <w:rFonts w:ascii="Cambria" w:hAnsi="Cambria" w:cs="Cambria" w:eastAsia="Cambria"/>
                <w:color w:val="1A1A1A"/>
                <w:sz w:val="18"/>
              </w:rPr>
              <w:t xml:space="preserve">Mobilità passiva ~ −240/−253 mln</w:t>
            </w:r>
          </w:p>
        </w:tc>
        <w:tc>
          <w:tcPr/>
          <w:p>
            <w:pPr>
              <w:pStyle w:val="Compact"/>
              <w:spacing w:after="40" w:before="40"/>
              <w:jc w:val="left"/>
            </w:pPr>
            <w:r>
              <w:rPr>
                <w:rFonts w:ascii="Cambria" w:hAnsi="Cambria" w:cs="Cambria" w:eastAsia="Cambria"/>
                <w:color w:val="1A1A1A"/>
                <w:sz w:val="18"/>
              </w:rPr>
              <w:t xml:space="preserve">Parte VIII (risparmi diretti)</w:t>
            </w:r>
          </w:p>
        </w:tc>
      </w:tr>
      <w:tr>
        <w:tc>
          <w:tcPr>
            <w:shd w:val="clear" w:color="auto" w:fill="F4F1EC"/>
          </w:tcPr>
          <w:p>
            <w:pPr>
              <w:pStyle w:val="Compact"/>
              <w:spacing w:after="40" w:before="40"/>
              <w:jc w:val="left"/>
            </w:pPr>
            <w:r>
              <w:rPr>
                <w:rFonts w:ascii="Cambria" w:hAnsi="Cambria" w:cs="Cambria" w:eastAsia="Cambria"/>
                <w:color w:val="1A1A1A"/>
                <w:sz w:val="18"/>
              </w:rPr>
              <w:t xml:space="preserve">Vincolo</w:t>
            </w:r>
          </w:p>
        </w:tc>
        <w:tc>
          <w:tcPr>
            <w:shd w:val="clear" w:color="auto" w:fill="F4F1EC"/>
          </w:tcPr>
          <w:p>
            <w:pPr>
              <w:pStyle w:val="Compact"/>
              <w:spacing w:after="40" w:before="40"/>
              <w:jc w:val="left"/>
            </w:pPr>
            <w:r>
              <w:rPr>
                <w:rFonts w:ascii="Cambria" w:hAnsi="Cambria" w:cs="Cambria" w:eastAsia="Cambria"/>
                <w:color w:val="1A1A1A"/>
                <w:sz w:val="18"/>
              </w:rPr>
              <w:t xml:space="preserve">Farmaceutica: alto consumo, bassa intercettazione</w:t>
            </w:r>
          </w:p>
        </w:tc>
        <w:tc>
          <w:tcPr>
            <w:shd w:val="clear" w:color="auto" w:fill="F4F1EC"/>
          </w:tcPr>
          <w:p>
            <w:pPr>
              <w:pStyle w:val="Compact"/>
              <w:spacing w:after="40" w:before="40"/>
              <w:jc w:val="left"/>
            </w:pPr>
            <w:r>
              <w:rPr>
                <w:rFonts w:ascii="Cambria" w:hAnsi="Cambria" w:cs="Cambria" w:eastAsia="Cambria"/>
                <w:color w:val="1A1A1A"/>
                <w:sz w:val="18"/>
              </w:rPr>
              <w:t xml:space="preserve">Parte VIII (risparmi diretti)</w:t>
            </w:r>
          </w:p>
        </w:tc>
      </w:tr>
      <w:tr>
        <w:tc>
          <w:tcPr/>
          <w:p>
            <w:pPr>
              <w:pStyle w:val="Compact"/>
              <w:spacing w:after="40" w:before="40"/>
              <w:jc w:val="left"/>
            </w:pPr>
            <w:r>
              <w:rPr>
                <w:rFonts w:ascii="Cambria" w:hAnsi="Cambria" w:cs="Cambria" w:eastAsia="Cambria"/>
                <w:color w:val="1A1A1A"/>
                <w:sz w:val="18"/>
              </w:rPr>
              <w:t xml:space="preserve">Carico</w:t>
            </w:r>
          </w:p>
        </w:tc>
        <w:tc>
          <w:tcPr/>
          <w:p>
            <w:pPr>
              <w:pStyle w:val="Compact"/>
              <w:spacing w:after="40" w:before="40"/>
              <w:jc w:val="left"/>
            </w:pPr>
            <w:r>
              <w:rPr>
                <w:rFonts w:ascii="Cambria" w:hAnsi="Cambria" w:cs="Cambria" w:eastAsia="Cambria"/>
                <w:color w:val="1A1A1A"/>
                <w:sz w:val="18"/>
              </w:rPr>
              <w:t xml:space="preserve">Carico multidominio &gt; 4% del prodotto (stime UE)</w:t>
            </w:r>
          </w:p>
        </w:tc>
        <w:tc>
          <w:tcPr/>
          <w:p>
            <w:pPr>
              <w:pStyle w:val="Compact"/>
              <w:spacing w:after="40" w:before="40"/>
              <w:jc w:val="left"/>
            </w:pPr>
            <w:r>
              <w:rPr>
                <w:rFonts w:ascii="Cambria" w:hAnsi="Cambria" w:cs="Cambria" w:eastAsia="Cambria"/>
                <w:color w:val="1A1A1A"/>
                <w:sz w:val="18"/>
              </w:rPr>
              <w:t xml:space="preserve">Parte IX (benefici indiretti)</w:t>
            </w:r>
          </w:p>
        </w:tc>
      </w:tr>
      <w:tr>
        <w:tc>
          <w:tcPr>
            <w:shd w:val="clear" w:color="auto" w:fill="F4F1EC"/>
          </w:tcPr>
          <w:p>
            <w:pPr>
              <w:pStyle w:val="Compact"/>
              <w:spacing w:after="40" w:before="40"/>
              <w:jc w:val="left"/>
            </w:pPr>
            <w:r>
              <w:rPr>
                <w:rFonts w:ascii="Cambria" w:hAnsi="Cambria" w:cs="Cambria" w:eastAsia="Cambria"/>
                <w:color w:val="1A1A1A"/>
                <w:sz w:val="18"/>
              </w:rPr>
              <w:t xml:space="preserve">Cornice</w:t>
            </w:r>
          </w:p>
        </w:tc>
        <w:tc>
          <w:tcPr>
            <w:shd w:val="clear" w:color="auto" w:fill="F4F1EC"/>
          </w:tcPr>
          <w:p>
            <w:pPr>
              <w:pStyle w:val="Compact"/>
              <w:spacing w:after="40" w:before="40"/>
              <w:jc w:val="left"/>
            </w:pPr>
            <w:r>
              <w:rPr>
                <w:rFonts w:ascii="Cambria" w:hAnsi="Cambria" w:cs="Cambria" w:eastAsia="Cambria"/>
                <w:color w:val="1A1A1A"/>
                <w:sz w:val="18"/>
              </w:rPr>
              <w:t xml:space="preserve">Iscrizione nei livelli essenziali; legge regionale 11/2023</w:t>
            </w:r>
          </w:p>
        </w:tc>
        <w:tc>
          <w:tcPr>
            <w:shd w:val="clear" w:color="auto" w:fill="F4F1EC"/>
          </w:tcPr>
          <w:p>
            <w:pPr>
              <w:pStyle w:val="Compact"/>
              <w:spacing w:after="40" w:before="40"/>
              <w:jc w:val="left"/>
            </w:pPr>
            <w:r>
              <w:rPr>
                <w:rFonts w:ascii="Cambria" w:hAnsi="Cambria" w:cs="Cambria" w:eastAsia="Cambria"/>
                <w:color w:val="1A1A1A"/>
                <w:sz w:val="18"/>
              </w:rPr>
              <w:t xml:space="preserve">Parti XIII, XIV (profili, attuazione)</w:t>
            </w:r>
          </w:p>
        </w:tc>
      </w:tr>
    </w:tbl>
    <w:p>
      <w:pPr>
        <w:pStyle w:val="BodyText"/>
      </w:pPr>
      <w:r>
        <w:rPr>
          <w:i/>
          <w:iCs/>
        </w:rPr>
        <w:t xml:space="preserve">Prospetto di raccordo. Nessuna grandezza è qui tradotta in saldo: la rinegoziazione integrale dei costi e dei benefici, distinta tra ricadute fiscali e sociali, è sviluppata nelle Parti VII–X secondo l’ordinamento della cascata.</w:t>
      </w:r>
    </w:p>
    <w:bookmarkEnd w:id="99"/>
    <w:bookmarkStart w:id="100" w:name="conclusione"/>
    <w:p>
      <w:pPr>
        <w:pStyle w:val="Heading2"/>
      </w:pPr>
      <w:r>
        <w:rPr>
          <w:b/>
          <w:bCs/>
        </w:rPr>
        <w:t xml:space="preserve">Conclusione</w:t>
      </w:r>
    </w:p>
    <w:p>
      <w:pPr>
        <w:pStyle w:val="FirstParagraph"/>
      </w:pPr>
      <w:r>
        <w:t xml:space="preserve">La Parte II ha stabilito la base fattuale dell’opera, misurando il problema di salute cui la riforma intende rispondere e ricostruendo il contesto entro cui essa opera. Ne è emerso un divario di trattamento strutturale, tra un bisogno ampio e in larga parte sommerso e una risposta esigua e tardiva; una doppia pressione, dell’invecchiamento e della deprivazione, che amplifica e ricompone quel bisogno; un’offerta sanitaria priva di un livello territoriale dedicato e indebolita dalla crisi della medicina generale; un vincolo di bilancio stringente, che impone giustificazione economica a ogni impiego di risorse; una mappa del carico che mostra come la cattiva salute mentale gravi su tredici domini e in misura prevalente al di fuori della sanità; e una cornice normativa coerente su tre livelli, che fonda la riforma e ne predispone le sedi, le risorse e i criteri di valutazione.</w:t>
      </w:r>
    </w:p>
    <w:p>
      <w:pPr>
        <w:pStyle w:val="BodyText"/>
      </w:pPr>
      <w:r>
        <w:t xml:space="preserve">Questi elementi, presi insieme, definiscono la posta in gioco della decisione e ne fondano la rilevanza. Il servizio di Psicologia di Base non si configura come un’aggiunta a un sistema saturo, ma come il livello mancante di un sistema squilibrato: collocato all’apice della cascata gerarchica piramidale e nella coppia clinica con la medicina generale, esso ha la funzione di intercettare il disagio a monte, di alleggerire i livelli a maggiore intensità e costo e di propagare, attraverso la prevenzione, i propri effetti lungo l’intera piramide dei domini. La misura di tali effetti — il costo della figura lungo la cascata delle figure, i risparmi diretti per il bilancio sanitario, i benefici indiretti nei domini multidisciplinari, e il saldo che ne risulta — è l’oggetto delle parti successive, ed è ad esse che la presente parte rinvia ogni quantificazione, avendo qui stabilito, e soltanto stabilito, le quantità di partenza e i vincoli del loro impiego.</w:t>
      </w:r>
    </w:p>
    <w:p>
      <w:pPr>
        <w:pStyle w:val="BodyText"/>
      </w:pPr>
      <w:r>
        <w:t xml:space="preserve">In coerenza con il principio ordinatore dell’opera, la trattazione procede ora dalla base fattuale all’architettura delle figure. La Parte III muove dallo Psicologo di Base come apice e origine, e percorre l’intera cascata delle figure direttamente e indirettamente connesse alla riforma, ordinandole per influenza nel progetto e per capacità di generare rientro economico o revisione della spesa; è in quella sede che il perimetro multidisciplinare integrale, qui anticipato nella mappa del carico, riceve la propria struttura formale, e che la rinegoziazione dei costi e dei benefici trova l’ordinamento lungo il quale si svolgerà.</w:t>
      </w:r>
    </w:p>
    <w:bookmarkEnd w:id="100"/>
    <w:bookmarkStart w:id="124" w:name="note-bibliografiche-integrali"/>
    <w:p>
      <w:pPr>
        <w:pStyle w:val="Heading2"/>
      </w:pPr>
      <w:r>
        <w:rPr>
          <w:b/>
          <w:bCs/>
        </w:rPr>
        <w:t xml:space="preserve">Note Bibliografiche Integrali</w:t>
      </w:r>
    </w:p>
    <w:p>
      <w:pPr>
        <w:pStyle w:val="FirstParagraph"/>
      </w:pPr>
      <w:r>
        <w:t xml:space="preserve">Le note che seguono documentano in forma estesa le fonti utilizzate nell’intera Parte II, in aggiunta ai richiami sintetici riportati nelle note a piè di pagina. Ciascuna nota reca il nome della fonte, il riferimento di reperimento e un mini-riassunto del contenuto rilevante. L’ordinamento segue, per quanto possibile, la progressione delle voci.</w:t>
      </w:r>
    </w:p>
    <w:p>
      <w:pPr>
        <w:pStyle w:val="BodyText"/>
      </w:pPr>
      <w:r>
        <w:rPr>
          <w:b/>
          <w:bCs/>
        </w:rPr>
        <w:t xml:space="preserve">1. ISTAT — Censimento permanente della popolazione, Puglia (2024)</w:t>
      </w:r>
      <w:r>
        <w:t xml:space="preserve"> </w:t>
      </w:r>
      <w:r>
        <w:t xml:space="preserve">—</w:t>
      </w:r>
      <w:r>
        <w:t xml:space="preserve"> </w:t>
      </w:r>
      <w:hyperlink r:id="rId101">
        <w:r>
          <w:rPr>
            <w:rStyle w:val="Hyperlink"/>
          </w:rPr>
          <w:t xml:space="preserve">https://www.istat.it/</w:t>
        </w:r>
      </w:hyperlink>
      <w:r>
        <w:t xml:space="preserve"> </w:t>
      </w:r>
      <w:r>
        <w:t xml:space="preserve">—</w:t>
      </w:r>
      <w:r>
        <w:t xml:space="preserve"> </w:t>
      </w:r>
      <w:r>
        <w:rPr>
          <w:i/>
          <w:iCs/>
        </w:rPr>
        <w:t xml:space="preserve">Rileva una popolazione residente di 3.877.395 abitanti (circa il 6,6% del totale nazionale), articolata nel Servizio sanitario regionale in 6 aziende sanitarie locali (Bari, Barletta-Andria-Trani, Brindisi, Foggia, Lecce, Taranto) e 45 distretti.</w:t>
      </w:r>
    </w:p>
    <w:p>
      <w:pPr>
        <w:pStyle w:val="BodyText"/>
      </w:pPr>
      <w:r>
        <w:rPr>
          <w:b/>
          <w:bCs/>
        </w:rPr>
        <w:t xml:space="preserve">2. ISTAT — Indicatori demografici e proiezioni della popolazione</w:t>
      </w:r>
      <w:r>
        <w:t xml:space="preserve"> </w:t>
      </w:r>
      <w:r>
        <w:t xml:space="preserve">—</w:t>
      </w:r>
      <w:r>
        <w:t xml:space="preserve"> </w:t>
      </w:r>
      <w:hyperlink r:id="rId102">
        <w:r>
          <w:rPr>
            <w:rStyle w:val="Hyperlink"/>
          </w:rPr>
          <w:t xml:space="preserve">https://www.istat.it/it/popolazione-e-famiglie</w:t>
        </w:r>
      </w:hyperlink>
      <w:r>
        <w:t xml:space="preserve"> </w:t>
      </w:r>
      <w:r>
        <w:t xml:space="preserve">—</w:t>
      </w:r>
      <w:r>
        <w:t xml:space="preserve"> </w:t>
      </w:r>
      <w:r>
        <w:rPr>
          <w:i/>
          <w:iCs/>
        </w:rPr>
        <w:t xml:space="preserve">Documenta l’invecchiamento accelerato della Puglia (età media da 39,3 nel 2002 a 46,4 nel 2024; indice di vecchiaia 200,8) e proietta 3.769.000 abitanti al 2030 (−3,5%) e 3.229.000 al 2050 (−17,4% sul 2023), con la quota di ultrasessantacinquenni dal 24,2% al 37,1% e gli ultrasettantacinquenni da 461.000 a 658.000 (+43%).</w:t>
      </w:r>
    </w:p>
    <w:p>
      <w:pPr>
        <w:pStyle w:val="BodyText"/>
      </w:pPr>
      <w:r>
        <w:rPr>
          <w:b/>
          <w:bCs/>
        </w:rPr>
        <w:t xml:space="preserve">3. ISTAT — Eterogeneità demografica territoriale (province pugliesi)</w:t>
      </w:r>
      <w:r>
        <w:t xml:space="preserve"> </w:t>
      </w:r>
      <w:r>
        <w:t xml:space="preserve">—</w:t>
      </w:r>
      <w:r>
        <w:t xml:space="preserve"> </w:t>
      </w:r>
      <w:hyperlink r:id="rId101">
        <w:r>
          <w:rPr>
            <w:rStyle w:val="Hyperlink"/>
          </w:rPr>
          <w:t xml:space="preserve">https://www.istat.it/</w:t>
        </w:r>
      </w:hyperlink>
      <w:r>
        <w:t xml:space="preserve"> </w:t>
      </w:r>
      <w:r>
        <w:t xml:space="preserve">—</w:t>
      </w:r>
      <w:r>
        <w:t xml:space="preserve"> </w:t>
      </w:r>
      <w:r>
        <w:rPr>
          <w:i/>
          <w:iCs/>
        </w:rPr>
        <w:t xml:space="preserve">Rileva che la provincia di Lecce è la più anziana (età media 47,5 anni; indice di vecchiaia 229,8) e la provincia di Barletta-Andria-Trani la più giovane (44,9 anni; indice 169,1), a fondamento della necessità di una programmazione differenziata per area.</w:t>
      </w:r>
    </w:p>
    <w:p>
      <w:pPr>
        <w:pStyle w:val="BodyText"/>
      </w:pPr>
      <w:r>
        <w:rPr>
          <w:b/>
          <w:bCs/>
        </w:rPr>
        <w:t xml:space="preserve">4. Istituto Superiore di Sanità — Sorveglianza PASSI</w:t>
      </w:r>
      <w:r>
        <w:t xml:space="preserve"> </w:t>
      </w:r>
      <w:r>
        <w:t xml:space="preserve">—</w:t>
      </w:r>
      <w:r>
        <w:t xml:space="preserve"> </w:t>
      </w:r>
      <w:hyperlink r:id="rId103">
        <w:r>
          <w:rPr>
            <w:rStyle w:val="Hyperlink"/>
          </w:rPr>
          <w:t xml:space="preserve">https://www.epicentro.iss.it/passi/</w:t>
        </w:r>
      </w:hyperlink>
      <w:r>
        <w:t xml:space="preserve"> </w:t>
      </w:r>
      <w:r>
        <w:t xml:space="preserve">—</w:t>
      </w:r>
      <w:r>
        <w:t xml:space="preserve"> </w:t>
      </w:r>
      <w:r>
        <w:rPr>
          <w:i/>
          <w:iCs/>
        </w:rPr>
        <w:t xml:space="preserve">Rileva per la Puglia il 3,6% degli adulti tra i 18 e i 64 anni con sintomi depressivi clinicamente rilevanti (circa 80.000 persone), valore inferiore alla media nazionale del 6,7%; la minore prevalenza riflette una sotto-rilevazione di matrice culturale più che una minore sofferenza.</w:t>
      </w:r>
    </w:p>
    <w:p>
      <w:pPr>
        <w:pStyle w:val="BodyText"/>
      </w:pPr>
      <w:r>
        <w:rPr>
          <w:b/>
          <w:bCs/>
        </w:rPr>
        <w:t xml:space="preserve">5. Agenzia Italiana del Farmaco — Rapporto OsMed sull’uso dei medicinali</w:t>
      </w:r>
      <w:r>
        <w:t xml:space="preserve"> </w:t>
      </w:r>
      <w:r>
        <w:t xml:space="preserve">—</w:t>
      </w:r>
      <w:r>
        <w:t xml:space="preserve"> </w:t>
      </w:r>
      <w:hyperlink r:id="rId104">
        <w:r>
          <w:rPr>
            <w:rStyle w:val="Hyperlink"/>
          </w:rPr>
          <w:t xml:space="preserve">https://www.aifa.gov.it/rapporti-osmed</w:t>
        </w:r>
      </w:hyperlink>
      <w:r>
        <w:t xml:space="preserve"> </w:t>
      </w:r>
      <w:r>
        <w:t xml:space="preserve">—</w:t>
      </w:r>
      <w:r>
        <w:t xml:space="preserve"> </w:t>
      </w:r>
      <w:r>
        <w:rPr>
          <w:i/>
          <w:iCs/>
        </w:rPr>
        <w:t xml:space="preserve">Colloca il consumo di antidepressivi in Puglia tra i più bassi d’Italia, a fronte di un consumo farmaceutico complessivo tra i più alti (1.081,9 dosi giornaliere ogni mille abitanti) e di una spesa pubblica dell’ordine del 2,3% del prodotto regionale; il divario segnala margini di appropriatezza e sotto-intercettazione del disagio.</w:t>
      </w:r>
    </w:p>
    <w:p>
      <w:pPr>
        <w:pStyle w:val="BodyText"/>
      </w:pPr>
      <w:r>
        <w:rPr>
          <w:b/>
          <w:bCs/>
        </w:rPr>
        <w:t xml:space="preserve">6. Commissione europea — Rapporto sulla salute mentale (2024)</w:t>
      </w:r>
      <w:r>
        <w:t xml:space="preserve"> </w:t>
      </w:r>
      <w:r>
        <w:t xml:space="preserve">—</w:t>
      </w:r>
      <w:r>
        <w:t xml:space="preserve"> </w:t>
      </w:r>
      <w:hyperlink r:id="rId105">
        <w:r>
          <w:rPr>
            <w:rStyle w:val="Hyperlink"/>
          </w:rPr>
          <w:t xml:space="preserve">https://health.ec.europa.eu/non-communicable-diseases/mental-health_it</w:t>
        </w:r>
      </w:hyperlink>
      <w:r>
        <w:t xml:space="preserve"> </w:t>
      </w:r>
      <w:r>
        <w:t xml:space="preserve">—</w:t>
      </w:r>
      <w:r>
        <w:t xml:space="preserve"> </w:t>
      </w:r>
      <w:r>
        <w:rPr>
          <w:i/>
          <w:iCs/>
        </w:rPr>
        <w:t xml:space="preserve">Rileva che soltanto la metà delle persone con ansia o depressione chiede aiuto e che quasi un giovane europeo su due resta privo di un supporto adeguato; individua nel divario di trattamento un fenomeno strutturale alimentato da barriere strutturali, economiche, culturali e di stigma, di conoscenza e sistemiche.</w:t>
      </w:r>
    </w:p>
    <w:p>
      <w:pPr>
        <w:pStyle w:val="BodyText"/>
      </w:pPr>
      <w:r>
        <w:rPr>
          <w:b/>
          <w:bCs/>
        </w:rPr>
        <w:t xml:space="preserve">7. Sistema Informativo per la Salute Mentale — Rapporto SISM 2023</w:t>
      </w:r>
      <w:r>
        <w:t xml:space="preserve"> </w:t>
      </w:r>
      <w:r>
        <w:t xml:space="preserve">—</w:t>
      </w:r>
      <w:r>
        <w:t xml:space="preserve"> </w:t>
      </w:r>
      <w:hyperlink r:id="rId106">
        <w:r>
          <w:rPr>
            <w:rStyle w:val="Hyperlink"/>
          </w:rPr>
          <w:t xml:space="preserve">https://www.salute.gov.it/portale/saluteMentale/</w:t>
        </w:r>
      </w:hyperlink>
      <w:r>
        <w:t xml:space="preserve"> </w:t>
      </w:r>
      <w:r>
        <w:t xml:space="preserve">—</w:t>
      </w:r>
      <w:r>
        <w:t xml:space="preserve"> </w:t>
      </w:r>
      <w:r>
        <w:rPr>
          <w:i/>
          <w:iCs/>
        </w:rPr>
        <w:t xml:space="preserve">Documenta 54.946 utenti in carico ai Dipartimenti di Salute Mentale pugliesi nel 2023 (di cui 18.939 nuovi) e 18.753 accessi al pronto soccorso per cause psichiatriche (oltre 50 al giorno; +30% sul pre-pandemia), con le sindromi nevrotiche e somatoformi quale causa più frequente.</w:t>
      </w:r>
    </w:p>
    <w:p>
      <w:pPr>
        <w:pStyle w:val="BodyText"/>
      </w:pPr>
      <w:r>
        <w:rPr>
          <w:b/>
          <w:bCs/>
        </w:rPr>
        <w:t xml:space="preserve">8. Meta-analisi internazionali sulla prevalenza dei disturbi mentali nell’età avanzata</w:t>
      </w:r>
      <w:r>
        <w:t xml:space="preserve"> </w:t>
      </w:r>
      <w:r>
        <w:t xml:space="preserve">—</w:t>
      </w:r>
      <w:r>
        <w:t xml:space="preserve"> </w:t>
      </w:r>
      <w:hyperlink r:id="rId107">
        <w:r>
          <w:rPr>
            <w:rStyle w:val="Hyperlink"/>
          </w:rPr>
          <w:t xml:space="preserve">https://www.thelancet.com/journals/lanpsy</w:t>
        </w:r>
      </w:hyperlink>
      <w:r>
        <w:t xml:space="preserve"> </w:t>
      </w:r>
      <w:r>
        <w:t xml:space="preserve">—</w:t>
      </w:r>
      <w:r>
        <w:t xml:space="preserve"> </w:t>
      </w:r>
      <w:r>
        <w:rPr>
          <w:i/>
          <w:iCs/>
        </w:rPr>
        <w:t xml:space="preserve">Documentano depressione fino al 28% negli ultrasettantacinquenni con multimorbidità e ansia oltre il 15% nella popolazione anziana; applicati alla Puglia, i coefficienti stimano 50.649–74.640 casi depressivi e 69.150–92.200 casi d’ansia tra gli anziani.</w:t>
      </w:r>
    </w:p>
    <w:p>
      <w:pPr>
        <w:pStyle w:val="BodyText"/>
      </w:pPr>
      <w:r>
        <w:rPr>
          <w:b/>
          <w:bCs/>
        </w:rPr>
        <w:t xml:space="preserve">9. Letteratura sui determinanti sociali della salute mentale e indice di deprivazione</w:t>
      </w:r>
      <w:r>
        <w:t xml:space="preserve"> </w:t>
      </w:r>
      <w:r>
        <w:t xml:space="preserve">—</w:t>
      </w:r>
      <w:r>
        <w:t xml:space="preserve"> </w:t>
      </w:r>
      <w:hyperlink r:id="rId108">
        <w:r>
          <w:rPr>
            <w:rStyle w:val="Hyperlink"/>
          </w:rPr>
          <w:t xml:space="preserve">https://www.epicentro.iss.it/</w:t>
        </w:r>
      </w:hyperlink>
      <w:r>
        <w:t xml:space="preserve"> </w:t>
      </w:r>
      <w:r>
        <w:t xml:space="preserve">—</w:t>
      </w:r>
      <w:r>
        <w:t xml:space="preserve"> </w:t>
      </w:r>
      <w:r>
        <w:rPr>
          <w:i/>
          <w:iCs/>
        </w:rPr>
        <w:t xml:space="preserve">Documenta che il 37,7% della popolazione pugliese è a rischio di povertà o esclusione sociale e che le popolazioni deprivate presentano prevalenze sistematicamente più elevate di disturbi mentali comuni, attraverso l’insicurezza economica, la precarietà lavorativa, le condizioni abitative inadeguate e l’accesso limitato alle risorse protettive.</w:t>
      </w:r>
    </w:p>
    <w:p>
      <w:pPr>
        <w:pStyle w:val="BodyText"/>
      </w:pPr>
      <w:r>
        <w:rPr>
          <w:b/>
          <w:bCs/>
        </w:rPr>
        <w:t xml:space="preserve">10. Ministero della Salute / WHO — Offerta psicologica e Mental Health Atlas</w:t>
      </w:r>
      <w:r>
        <w:t xml:space="preserve"> </w:t>
      </w:r>
      <w:r>
        <w:t xml:space="preserve">—</w:t>
      </w:r>
      <w:r>
        <w:t xml:space="preserve"> </w:t>
      </w:r>
      <w:hyperlink r:id="rId109">
        <w:r>
          <w:rPr>
            <w:rStyle w:val="Hyperlink"/>
          </w:rPr>
          <w:t xml:space="preserve">https://www.who.int/teams/mental-health-and-substance-use/data-research/mental-health-atlas</w:t>
        </w:r>
      </w:hyperlink>
      <w:r>
        <w:t xml:space="preserve"> </w:t>
      </w:r>
      <w:r>
        <w:t xml:space="preserve">—</w:t>
      </w:r>
      <w:r>
        <w:t xml:space="preserve"> </w:t>
      </w:r>
      <w:r>
        <w:rPr>
          <w:i/>
          <w:iCs/>
        </w:rPr>
        <w:t xml:space="preserve">Colloca l’Italia a 8,5 psicologi ogni 100.000 abitanti nel Servizio sanitario complessivo e a meno di 3 ogni 100.000 nelle sole strutture pubbliche di salute mentale, tra le dotazioni più basse d’Europa, a fronte di sistemi che integrano la figura nelle cure primarie.</w:t>
      </w:r>
    </w:p>
    <w:p>
      <w:pPr>
        <w:pStyle w:val="BodyText"/>
      </w:pPr>
      <w:r>
        <w:rPr>
          <w:b/>
          <w:bCs/>
        </w:rPr>
        <w:t xml:space="preserve">11. Magnée e colleghi — Modello olandese di psicologo nelle cure primarie (POH-GGZ)</w:t>
      </w:r>
      <w:r>
        <w:t xml:space="preserve"> </w:t>
      </w:r>
      <w:r>
        <w:t xml:space="preserve">—</w:t>
      </w:r>
      <w:r>
        <w:t xml:space="preserve"> </w:t>
      </w:r>
      <w:hyperlink r:id="rId110">
        <w:r>
          <w:rPr>
            <w:rStyle w:val="Hyperlink"/>
          </w:rPr>
          <w:t xml:space="preserve">https://bmjopen.bmj.com/</w:t>
        </w:r>
      </w:hyperlink>
      <w:r>
        <w:t xml:space="preserve"> </w:t>
      </w:r>
      <w:r>
        <w:t xml:space="preserve">—</w:t>
      </w:r>
      <w:r>
        <w:t xml:space="preserve"> </w:t>
      </w:r>
      <w:r>
        <w:rPr>
          <w:i/>
          <w:iCs/>
        </w:rPr>
        <w:t xml:space="preserve">Documenta la crescita dell’adozione della figura da circa un terzo (2011) a circa tre quarti (2014) dei medici di medicina generale, con circa seimila psicologi delle cure primarie, finanziamento nell’assicurazione di base e ruolo complementare e non sostitutivo (BMJ Open, 2016).</w:t>
      </w:r>
    </w:p>
    <w:p>
      <w:pPr>
        <w:pStyle w:val="BodyText"/>
      </w:pPr>
      <w:r>
        <w:rPr>
          <w:b/>
          <w:bCs/>
        </w:rPr>
        <w:t xml:space="preserve">12. Fondazione Gimbe — Carenza della medicina generale</w:t>
      </w:r>
      <w:r>
        <w:t xml:space="preserve"> </w:t>
      </w:r>
      <w:r>
        <w:t xml:space="preserve">—</w:t>
      </w:r>
      <w:r>
        <w:t xml:space="preserve"> </w:t>
      </w:r>
      <w:hyperlink r:id="rId111">
        <w:r>
          <w:rPr>
            <w:rStyle w:val="Hyperlink"/>
          </w:rPr>
          <w:t xml:space="preserve">https://www.gimbe.org/</w:t>
        </w:r>
      </w:hyperlink>
      <w:r>
        <w:t xml:space="preserve"> </w:t>
      </w:r>
      <w:r>
        <w:t xml:space="preserve">—</w:t>
      </w:r>
      <w:r>
        <w:t xml:space="preserve"> </w:t>
      </w:r>
      <w:r>
        <w:rPr>
          <w:i/>
          <w:iCs/>
        </w:rPr>
        <w:t xml:space="preserve">Documenta per la Puglia circa 279 medici di famiglia mancanti al 1° gennaio 2025 e 702 pensionamenti attesi entro il 2028, con una riduzione del 26,3% dei medici di medicina generale tra il 2019 e il 2024, quasi il doppio della media nazionale del 14,1%.</w:t>
      </w:r>
    </w:p>
    <w:p>
      <w:pPr>
        <w:pStyle w:val="BodyText"/>
      </w:pPr>
      <w:r>
        <w:rPr>
          <w:b/>
          <w:bCs/>
        </w:rPr>
        <w:t xml:space="preserve">13. Agenas — Struttura della medicina generale e mobilità sanitaria</w:t>
      </w:r>
      <w:r>
        <w:t xml:space="preserve"> </w:t>
      </w:r>
      <w:r>
        <w:t xml:space="preserve">—</w:t>
      </w:r>
      <w:r>
        <w:t xml:space="preserve"> </w:t>
      </w:r>
      <w:hyperlink r:id="rId112">
        <w:r>
          <w:rPr>
            <w:rStyle w:val="Hyperlink"/>
          </w:rPr>
          <w:t xml:space="preserve">https://www.agenas.gov.it/</w:t>
        </w:r>
      </w:hyperlink>
      <w:r>
        <w:t xml:space="preserve"> </w:t>
      </w:r>
      <w:r>
        <w:t xml:space="preserve">—</w:t>
      </w:r>
      <w:r>
        <w:t xml:space="preserve"> </w:t>
      </w:r>
      <w:r>
        <w:rPr>
          <w:i/>
          <w:iCs/>
        </w:rPr>
        <w:t xml:space="preserve">Riferisce per la Puglia circa 2.811 medici di medicina generale (2023) con carico medio di 1.331 assistiti per medico, e documenta la mobilità sanitaria passiva con saldo negativo nell’ordine dei 240–253 milioni di euro, tra i peggiori risultati nazionali.</w:t>
      </w:r>
    </w:p>
    <w:p>
      <w:pPr>
        <w:pStyle w:val="BodyText"/>
      </w:pPr>
      <w:r>
        <w:rPr>
          <w:b/>
          <w:bCs/>
        </w:rPr>
        <w:t xml:space="preserve">14. FIMMG — Forme associative e massimale della medicina generale</w:t>
      </w:r>
      <w:r>
        <w:t xml:space="preserve"> </w:t>
      </w:r>
      <w:r>
        <w:t xml:space="preserve">—</w:t>
      </w:r>
      <w:r>
        <w:t xml:space="preserve"> </w:t>
      </w:r>
      <w:hyperlink r:id="rId113">
        <w:r>
          <w:rPr>
            <w:rStyle w:val="Hyperlink"/>
          </w:rPr>
          <w:t xml:space="preserve">https://www.fimmg.org/</w:t>
        </w:r>
      </w:hyperlink>
      <w:r>
        <w:t xml:space="preserve"> </w:t>
      </w:r>
      <w:r>
        <w:t xml:space="preserve">—</w:t>
      </w:r>
      <w:r>
        <w:t xml:space="preserve"> </w:t>
      </w:r>
      <w:r>
        <w:rPr>
          <w:i/>
          <w:iCs/>
        </w:rPr>
        <w:t xml:space="preserve">Documenta in Puglia 540 forme associative della medicina generale con circa il 74% di adesione, il rischio di chiusura per mancato raggiungimento del numero minimo di aderenti, e una quota elevata di medici prossimi al pensionamento (78% con oltre 27 anni di anzianità di laurea).</w:t>
      </w:r>
    </w:p>
    <w:p>
      <w:pPr>
        <w:pStyle w:val="BodyText"/>
      </w:pPr>
      <w:r>
        <w:rPr>
          <w:b/>
          <w:bCs/>
        </w:rPr>
        <w:t xml:space="preserve">15. Decreto ministeriale 77 del 2022 — Modello dell’assistenza territoriale</w:t>
      </w:r>
      <w:r>
        <w:t xml:space="preserve"> </w:t>
      </w:r>
      <w:r>
        <w:t xml:space="preserve">—</w:t>
      </w:r>
      <w:r>
        <w:t xml:space="preserve"> </w:t>
      </w:r>
      <w:hyperlink r:id="rId114">
        <w:r>
          <w:rPr>
            <w:rStyle w:val="Hyperlink"/>
          </w:rPr>
          <w:t xml:space="preserve">https://www.gazzettaufficiale.it/</w:t>
        </w:r>
      </w:hyperlink>
      <w:r>
        <w:t xml:space="preserve"> </w:t>
      </w:r>
      <w:r>
        <w:t xml:space="preserve">—</w:t>
      </w:r>
      <w:r>
        <w:t xml:space="preserve"> </w:t>
      </w:r>
      <w:r>
        <w:rPr>
          <w:i/>
          <w:iCs/>
        </w:rPr>
        <w:t xml:space="preserve">Definisce il modello dell’assistenza territoriale e individua nelle Case della Comunità la sede della presa in carico di prossimità, presso la quale lo Psicologo di Base si inserisce accanto al medico di medicina generale e al pediatra di libera scelta.</w:t>
      </w:r>
    </w:p>
    <w:p>
      <w:pPr>
        <w:pStyle w:val="BodyText"/>
      </w:pPr>
      <w:r>
        <w:rPr>
          <w:b/>
          <w:bCs/>
        </w:rPr>
        <w:t xml:space="preserve">16. Piano Nazionale di Ripresa e Resilienza — Missione 6 (Salute)</w:t>
      </w:r>
      <w:r>
        <w:t xml:space="preserve"> </w:t>
      </w:r>
      <w:r>
        <w:t xml:space="preserve">—</w:t>
      </w:r>
      <w:r>
        <w:t xml:space="preserve"> </w:t>
      </w:r>
      <w:hyperlink r:id="rId115">
        <w:r>
          <w:rPr>
            <w:rStyle w:val="Hyperlink"/>
          </w:rPr>
          <w:t xml:space="preserve">https://www.italiadomani.gov.it/</w:t>
        </w:r>
      </w:hyperlink>
      <w:r>
        <w:t xml:space="preserve"> </w:t>
      </w:r>
      <w:r>
        <w:t xml:space="preserve">—</w:t>
      </w:r>
      <w:r>
        <w:t xml:space="preserve"> </w:t>
      </w:r>
      <w:r>
        <w:rPr>
          <w:i/>
          <w:iCs/>
        </w:rPr>
        <w:t xml:space="preserve">Finanzia l’infrastruttura territoriale e digitale del Servizio sanitario, comprese le Case della Comunità, predisponendo le sedi e gli strumenti su cui la figura dello Psicologo di Base opera.</w:t>
      </w:r>
    </w:p>
    <w:p>
      <w:pPr>
        <w:pStyle w:val="BodyText"/>
      </w:pPr>
      <w:r>
        <w:rPr>
          <w:b/>
          <w:bCs/>
        </w:rPr>
        <w:t xml:space="preserve">17. Piattaforma nazionale e rilevazioni sulle liste d’attesa</w:t>
      </w:r>
      <w:r>
        <w:t xml:space="preserve"> </w:t>
      </w:r>
      <w:r>
        <w:t xml:space="preserve">—</w:t>
      </w:r>
      <w:r>
        <w:t xml:space="preserve"> </w:t>
      </w:r>
      <w:hyperlink r:id="rId116">
        <w:r>
          <w:rPr>
            <w:rStyle w:val="Hyperlink"/>
          </w:rPr>
          <w:t xml:space="preserve">https://www.salute.gov.it/</w:t>
        </w:r>
      </w:hyperlink>
      <w:r>
        <w:t xml:space="preserve"> </w:t>
      </w:r>
      <w:r>
        <w:t xml:space="preserve">—</w:t>
      </w:r>
      <w:r>
        <w:t xml:space="preserve"> </w:t>
      </w:r>
      <w:r>
        <w:rPr>
          <w:i/>
          <w:iCs/>
        </w:rPr>
        <w:t xml:space="preserve">Documenta che le prestazioni urgenti risultano per lo più garantite nei tempi, mentre le prestazioni programmabili scontano attese lunghe, con tempi che per alcune indagini diagnostiche raggiungono diversi mesi.</w:t>
      </w:r>
    </w:p>
    <w:p>
      <w:pPr>
        <w:pStyle w:val="BodyText"/>
      </w:pPr>
      <w:r>
        <w:rPr>
          <w:b/>
          <w:bCs/>
        </w:rPr>
        <w:t xml:space="preserve">18. Documenti regionali di bilancio del Servizio sanitario</w:t>
      </w:r>
      <w:r>
        <w:t xml:space="preserve"> </w:t>
      </w:r>
      <w:r>
        <w:t xml:space="preserve">—</w:t>
      </w:r>
      <w:r>
        <w:t xml:space="preserve"> </w:t>
      </w:r>
      <w:hyperlink r:id="rId117">
        <w:r>
          <w:rPr>
            <w:rStyle w:val="Hyperlink"/>
          </w:rPr>
          <w:t xml:space="preserve">https://www.regione.puglia.it/</w:t>
        </w:r>
      </w:hyperlink>
      <w:r>
        <w:t xml:space="preserve"> </w:t>
      </w:r>
      <w:r>
        <w:t xml:space="preserve">—</w:t>
      </w:r>
      <w:r>
        <w:t xml:space="preserve"> </w:t>
      </w:r>
      <w:r>
        <w:rPr>
          <w:i/>
          <w:iCs/>
        </w:rPr>
        <w:t xml:space="preserve">Riportano per il 2025 un finanziamento del Servizio sanitario regionale nell’ordine di 8,8 miliardi di euro, con un disavanzo di esercizio di circa 350 milioni e disavanzi cumulati superiori a 480 milioni nel quadriennio.</w:t>
      </w:r>
    </w:p>
    <w:p>
      <w:pPr>
        <w:pStyle w:val="BodyText"/>
      </w:pPr>
      <w:r>
        <w:rPr>
          <w:b/>
          <w:bCs/>
        </w:rPr>
        <w:t xml:space="preserve">19. Corte costituzionale — Vincolo di destinazione delle risorse sanitarie</w:t>
      </w:r>
      <w:r>
        <w:t xml:space="preserve"> </w:t>
      </w:r>
      <w:r>
        <w:t xml:space="preserve">—</w:t>
      </w:r>
      <w:r>
        <w:t xml:space="preserve"> </w:t>
      </w:r>
      <w:hyperlink r:id="rId118">
        <w:r>
          <w:rPr>
            <w:rStyle w:val="Hyperlink"/>
          </w:rPr>
          <w:t xml:space="preserve">https://www.cortecostituzionale.it/</w:t>
        </w:r>
      </w:hyperlink>
      <w:r>
        <w:t xml:space="preserve"> </w:t>
      </w:r>
      <w:r>
        <w:t xml:space="preserve">—</w:t>
      </w:r>
      <w:r>
        <w:t xml:space="preserve"> </w:t>
      </w:r>
      <w:r>
        <w:rPr>
          <w:i/>
          <w:iCs/>
        </w:rPr>
        <w:t xml:space="preserve">Ribadisce che una regione sottoposta a vincoli di rientro non può distrarre i fondi sanitari da finalità diverse dai livelli essenziali di assistenza, entro i quali la riforma deve essere ricondotta per risultare finanziabile.</w:t>
      </w:r>
    </w:p>
    <w:p>
      <w:pPr>
        <w:pStyle w:val="BodyText"/>
      </w:pPr>
      <w:r>
        <w:rPr>
          <w:b/>
          <w:bCs/>
        </w:rPr>
        <w:t xml:space="preserve">20. OCSE-Unione europea — Health at a Glance: Europe (carico della salute mentale)</w:t>
      </w:r>
      <w:r>
        <w:t xml:space="preserve"> </w:t>
      </w:r>
      <w:r>
        <w:t xml:space="preserve">—</w:t>
      </w:r>
      <w:r>
        <w:t xml:space="preserve"> </w:t>
      </w:r>
      <w:hyperlink r:id="rId119">
        <w:r>
          <w:rPr>
            <w:rStyle w:val="Hyperlink"/>
          </w:rPr>
          <w:t xml:space="preserve">https://www.oecd.org/health/health-at-a-glance-europe/</w:t>
        </w:r>
      </w:hyperlink>
      <w:r>
        <w:t xml:space="preserve"> </w:t>
      </w:r>
      <w:r>
        <w:t xml:space="preserve">—</w:t>
      </w:r>
      <w:r>
        <w:t xml:space="preserve"> </w:t>
      </w:r>
      <w:r>
        <w:rPr>
          <w:i/>
          <w:iCs/>
        </w:rPr>
        <w:t xml:space="preserve">Stima i costi totali della cattiva salute mentale oltre il 4% del prodotto interno lordo nei Paesi dell’Unione, sommando spesa sanitaria diretta, costi dei programmi di sicurezza sociale e perdite di produttività: una misura del carico, non del rendimento di un investimento.</w:t>
      </w:r>
    </w:p>
    <w:p>
      <w:pPr>
        <w:pStyle w:val="BodyText"/>
      </w:pPr>
      <w:r>
        <w:rPr>
          <w:b/>
          <w:bCs/>
        </w:rPr>
        <w:t xml:space="preserve">21. Chisholm e colleghi — Rendimento degli investimenti in salute mentale</w:t>
      </w:r>
      <w:r>
        <w:t xml:space="preserve"> </w:t>
      </w:r>
      <w:r>
        <w:t xml:space="preserve">—</w:t>
      </w:r>
      <w:r>
        <w:t xml:space="preserve"> </w:t>
      </w:r>
      <w:hyperlink r:id="rId107">
        <w:r>
          <w:rPr>
            <w:rStyle w:val="Hyperlink"/>
          </w:rPr>
          <w:t xml:space="preserve">https://www.thelancet.com/journals/lanpsy</w:t>
        </w:r>
      </w:hyperlink>
      <w:r>
        <w:t xml:space="preserve"> </w:t>
      </w:r>
      <w:r>
        <w:t xml:space="preserve">—</w:t>
      </w:r>
      <w:r>
        <w:t xml:space="preserve"> </w:t>
      </w:r>
      <w:r>
        <w:rPr>
          <w:i/>
          <w:iCs/>
        </w:rPr>
        <w:t xml:space="preserve">Documenta che gli investimenti in salute mentale rendono entro intervalli di 2,3–3,0 a 1 per i soli benefici economici e di 3,3–5,7 a 1 con i ritorni in salute, escludendo i valori superiori non sostenuti dall’evidenza (The Lancet Psychiatry, 2016).</w:t>
      </w:r>
    </w:p>
    <w:p>
      <w:pPr>
        <w:pStyle w:val="BodyText"/>
      </w:pPr>
      <w:r>
        <w:rPr>
          <w:b/>
          <w:bCs/>
        </w:rPr>
        <w:t xml:space="preserve">22. IMPACT trial — Assistenza collaborativa e significatività dei risparmi</w:t>
      </w:r>
      <w:r>
        <w:t xml:space="preserve"> </w:t>
      </w:r>
      <w:r>
        <w:t xml:space="preserve">—</w:t>
      </w:r>
      <w:r>
        <w:t xml:space="preserve"> </w:t>
      </w:r>
      <w:hyperlink r:id="rId120">
        <w:r>
          <w:rPr>
            <w:rStyle w:val="Hyperlink"/>
          </w:rPr>
          <w:t xml:space="preserve">https://jamanetwork.com/</w:t>
        </w:r>
      </w:hyperlink>
      <w:r>
        <w:t xml:space="preserve"> </w:t>
      </w:r>
      <w:r>
        <w:t xml:space="preserve">—</w:t>
      </w:r>
      <w:r>
        <w:t xml:space="preserve"> </w:t>
      </w:r>
      <w:r>
        <w:rPr>
          <w:i/>
          <w:iCs/>
        </w:rPr>
        <w:t xml:space="preserve">Documenta l’efficacia dell’assistenza collaborativa per la depressione, segnalando tuttavia che i risparmi sui costi sanitari non raggiungono la significatività statistica: caveat preservato lungo l’intera valutazione economica della riforma (Unützer e colleghi, JAMA, 2002).</w:t>
      </w:r>
    </w:p>
    <w:p>
      <w:pPr>
        <w:pStyle w:val="BodyText"/>
      </w:pPr>
      <w:r>
        <w:rPr>
          <w:b/>
          <w:bCs/>
        </w:rPr>
        <w:t xml:space="preserve">23. Regolamenti europei sulle tecnologie sanitarie e sull’intelligenza artificiale</w:t>
      </w:r>
      <w:r>
        <w:t xml:space="preserve"> </w:t>
      </w:r>
      <w:r>
        <w:t xml:space="preserve">—</w:t>
      </w:r>
      <w:r>
        <w:t xml:space="preserve"> </w:t>
      </w:r>
      <w:hyperlink r:id="rId121">
        <w:r>
          <w:rPr>
            <w:rStyle w:val="Hyperlink"/>
          </w:rPr>
          <w:t xml:space="preserve">https://eur-lex.europa.eu/</w:t>
        </w:r>
      </w:hyperlink>
      <w:r>
        <w:t xml:space="preserve"> </w:t>
      </w:r>
      <w:r>
        <w:t xml:space="preserve">—</w:t>
      </w:r>
      <w:r>
        <w:t xml:space="preserve"> </w:t>
      </w:r>
      <w:r>
        <w:rPr>
          <w:i/>
          <w:iCs/>
        </w:rPr>
        <w:t xml:space="preserve">Il regolamento (UE) 2021/2282 sulla valutazione delle tecnologie sanitarie, applicabile dal 2025, fissa il metodo della valutazione comparativa adottato dallo studio; il regolamento (UE) sull’intelligenza artificiale stabilisce la cornice di governance degli strumenti digitali impiegati come leve abilitanti.</w:t>
      </w:r>
    </w:p>
    <w:p>
      <w:pPr>
        <w:pStyle w:val="BodyText"/>
      </w:pPr>
      <w:r>
        <w:rPr>
          <w:b/>
          <w:bCs/>
        </w:rPr>
        <w:t xml:space="preserve">24. Legge regionale della Puglia n. 11 del 2023 — Istituzione del servizio</w:t>
      </w:r>
      <w:r>
        <w:t xml:space="preserve"> </w:t>
      </w:r>
      <w:r>
        <w:t xml:space="preserve">—</w:t>
      </w:r>
      <w:r>
        <w:t xml:space="preserve"> </w:t>
      </w:r>
      <w:hyperlink r:id="rId117">
        <w:r>
          <w:rPr>
            <w:rStyle w:val="Hyperlink"/>
          </w:rPr>
          <w:t xml:space="preserve">https://www.regione.puglia.it/</w:t>
        </w:r>
      </w:hyperlink>
      <w:r>
        <w:t xml:space="preserve"> </w:t>
      </w:r>
      <w:r>
        <w:t xml:space="preserve">—</w:t>
      </w:r>
      <w:r>
        <w:t xml:space="preserve"> </w:t>
      </w:r>
      <w:r>
        <w:rPr>
          <w:i/>
          <w:iCs/>
        </w:rPr>
        <w:t xml:space="preserve">Istituisce il servizio di Psicologia di Base — primo in Italia — individuandone le sedi nei distretti e nelle Case della Comunità, la convenzione, la funzione di filtro e l’Osservatorio regionale; il servizio conta circa 45 psicologi e 1,5 milioni di euro l’anno, pari a circa il 5% di un fabbisogno stimato in 800–900 psicologi, con scenari di copertura a 450, 700 e 900 incarichi.</w:t>
      </w:r>
    </w:p>
    <w:p>
      <w:pPr>
        <w:pStyle w:val="BodyText"/>
      </w:pPr>
      <w:r>
        <w:rPr>
          <w:b/>
          <w:bCs/>
        </w:rPr>
        <w:t xml:space="preserve">25. Accordo Collettivo Nazionale della specialistica ambulatoriale</w:t>
      </w:r>
      <w:r>
        <w:t xml:space="preserve"> </w:t>
      </w:r>
      <w:r>
        <w:t xml:space="preserve">—</w:t>
      </w:r>
      <w:r>
        <w:t xml:space="preserve"> </w:t>
      </w:r>
      <w:hyperlink r:id="rId122">
        <w:r>
          <w:rPr>
            <w:rStyle w:val="Hyperlink"/>
          </w:rPr>
          <w:t xml:space="preserve">https://www.sisac.info/</w:t>
        </w:r>
      </w:hyperlink>
      <w:r>
        <w:t xml:space="preserve"> </w:t>
      </w:r>
      <w:r>
        <w:t xml:space="preserve">—</w:t>
      </w:r>
      <w:r>
        <w:t xml:space="preserve"> </w:t>
      </w:r>
      <w:r>
        <w:rPr>
          <w:i/>
          <w:iCs/>
        </w:rPr>
        <w:t xml:space="preserve">Disciplina il rapporto convenzionale degli psicologi e fornisce il riferimento contrattuale del modello di costo del personale impiegato nelle parti dedicate ai costi diretti.</w:t>
      </w:r>
    </w:p>
    <w:p>
      <w:pPr>
        <w:pStyle w:val="BodyText"/>
      </w:pPr>
      <w:r>
        <w:rPr>
          <w:b/>
          <w:bCs/>
        </w:rPr>
        <w:t xml:space="preserve">26. Livelli essenziali di assistenza e Patto per la salute</w:t>
      </w:r>
      <w:r>
        <w:t xml:space="preserve"> </w:t>
      </w:r>
      <w:r>
        <w:t xml:space="preserve">—</w:t>
      </w:r>
      <w:r>
        <w:t xml:space="preserve"> </w:t>
      </w:r>
      <w:hyperlink r:id="rId123">
        <w:r>
          <w:rPr>
            <w:rStyle w:val="Hyperlink"/>
          </w:rPr>
          <w:t xml:space="preserve">https://www.salute.gov.it/portale/lea/</w:t>
        </w:r>
      </w:hyperlink>
      <w:r>
        <w:t xml:space="preserve"> </w:t>
      </w:r>
      <w:r>
        <w:t xml:space="preserve">—</w:t>
      </w:r>
      <w:r>
        <w:t xml:space="preserve"> </w:t>
      </w:r>
      <w:r>
        <w:rPr>
          <w:i/>
          <w:iCs/>
        </w:rPr>
        <w:t xml:space="preserve">Definiscono le prestazioni garantite su tutto il territorio nazionale; la funzione di primo livello e di filtro dello Psicologo di Base vi si iscrive come strumento di più efficiente erogazione, conciliando la riforma con i vincoli di rientro e con il limite costituzionale di destinazione.</w:t>
      </w:r>
    </w:p>
    <w:p>
      <w:pPr>
        <w:pStyle w:val="BodyText"/>
      </w:pPr>
      <w:r>
        <w:t xml:space="preserve">— —</w:t>
      </w:r>
    </w:p>
    <w:p>
      <w:r>
        <w:br w:type="page"/>
      </w:r>
    </w:p>
    <w:p>
      <w:pPr>
        <w:pStyle w:val="BodyText"/>
      </w:pPr>
      <w:r>
        <w:t xml:space="preserve">Studio Integrale, Finale e Definitivo · Parte III · Progetto «Psicologo di Base» · Puglia</w:t>
      </w:r>
    </w:p>
    <w:p>
      <w:pPr>
        <w:pStyle w:val="BodyText"/>
      </w:pPr>
      <w:r>
        <w:rPr>
          <w:b/>
          <w:bCs/>
        </w:rPr>
        <w:t xml:space="preserve">PROGETTO «PSICOLOGO DI BASE» · REGIONE PUGLIA</w:t>
      </w:r>
    </w:p>
    <w:p>
      <w:pPr>
        <w:pStyle w:val="BodyText"/>
      </w:pPr>
      <w:r>
        <w:rPr>
          <w:b/>
          <w:bCs/>
        </w:rPr>
        <w:t xml:space="preserve">Studio Integrale, Finale e Definitivo</w:t>
      </w:r>
    </w:p>
    <w:p>
      <w:pPr>
        <w:pStyle w:val="BodyText"/>
      </w:pPr>
      <w:r>
        <w:rPr>
          <w:b/>
          <w:bCs/>
        </w:rPr>
        <w:t xml:space="preserve">PARTE III</w:t>
      </w:r>
    </w:p>
    <w:p>
      <w:pPr>
        <w:pStyle w:val="BodyText"/>
      </w:pPr>
      <w:r>
        <w:rPr>
          <w:i/>
          <w:iCs/>
        </w:rPr>
        <w:t xml:space="preserve">L’architettura delle figure a cascata gerarchica piramidale</w:t>
      </w:r>
    </w:p>
    <w:p>
      <w:pPr>
        <w:pStyle w:val="BodyText"/>
      </w:pPr>
      <w:r>
        <w:rPr>
          <w:i/>
          <w:iCs/>
        </w:rPr>
        <w:t xml:space="preserve">La riforma del Servizio di Psicologia di Base in Puglia: rinegoziazione integrale dei costi e dei benefici, diretti e indiretti, lungo la cascata gerarchica delle figure e dei domini</w:t>
      </w:r>
    </w:p>
    <w:p>
      <w:pPr>
        <w:pStyle w:val="BodyText"/>
      </w:pPr>
      <w:r>
        <w:rPr>
          <w:b/>
          <w:bCs/>
        </w:rPr>
        <w:t xml:space="preserve">Perimetro multidisciplinare integrale · Cascata gerarchica piramidale dallo Psicologo di Base</w:t>
      </w:r>
    </w:p>
    <w:p>
      <w:pPr>
        <w:pStyle w:val="BodyText"/>
      </w:pPr>
      <w:r>
        <w:rPr>
          <w:i/>
          <w:iCs/>
        </w:rPr>
        <w:t xml:space="preserve">L’Intelligenza Artificiale come leva abilitante, non come oggetto centrale</w:t>
      </w:r>
    </w:p>
    <w:p>
      <w:pPr>
        <w:pStyle w:val="BodyText"/>
      </w:pPr>
      <w:r>
        <w:rPr>
          <w:i/>
          <w:iCs/>
        </w:rPr>
        <w:t xml:space="preserve">Telaio HTA · Five Case Model · CHEERS 2022 · criteri OCSE-DAC</w:t>
      </w:r>
    </w:p>
    <w:p>
      <w:pPr>
        <w:pStyle w:val="BodyText"/>
      </w:pPr>
      <w:r>
        <w:rPr>
          <w:b/>
          <w:bCs/>
        </w:rPr>
        <w:t xml:space="preserve">AVVERTENZA</w:t>
      </w:r>
    </w:p>
    <w:p>
      <w:pPr>
        <w:pStyle w:val="BodyText"/>
      </w:pPr>
      <w:r>
        <w:rPr>
          <w:b/>
          <w:bCs/>
        </w:rPr>
        <w:t xml:space="preserve">Avvertenza sui vincoli metodologici invarianti</w:t>
      </w:r>
    </w:p>
    <w:p>
      <w:pPr>
        <w:pStyle w:val="BodyText"/>
      </w:pPr>
      <w:r>
        <w:t xml:space="preserve">La presente Parte si inscrive nello studio integrale, finale e definitivo sulla riforma del Servizio di Psicologia di Base in Puglia ed è vincolata, come ogni altra, ai principi metodologici invarianti del Progetto, che qui si richiamano e che nessuna stima potrà violare. Il ritorno economico degli investimenti in salute mentale è espresso nei soli intervalli sostenuti dalla letteratura, compresi tra 2,3 e 3,0 a 1 per i soli benefici economici e tra 3,3 e 5,7 a 1 con l’inclusione dei ritorni in salute. Il monito dello studio IMPACT, secondo cui i risparmi diretti sui costi sanitari non raggiungono, isolatamente, la significatività statistica, è preservato in ogni passaggio pertinente. Le grandezze fiscali dirette e quelle sociali e indirette sono mantenute rigorosamente distinte, senza duplicazioni tra le categorie, e il medesimo risparmio non è mai imputato a più di una causa. Ogni proiezione adotta bande prudenziali e previsioni falsificabili, e ogni evidenza, comprese quelle relative all’Intelligenza Artificiale, è graduata secondo la sua qualità con il rigore applicato alle affermazioni cliniche.</w:t>
      </w:r>
    </w:p>
    <w:p>
      <w:pPr>
        <w:pStyle w:val="BodyText"/>
      </w:pPr>
      <w:r>
        <w:rPr>
          <w:b/>
          <w:bCs/>
        </w:rPr>
        <w:t xml:space="preserve">INDICE DELLA PARTE</w:t>
      </w:r>
    </w:p>
    <w:p>
      <w:pPr>
        <w:pStyle w:val="BodyText"/>
      </w:pPr>
      <w:r>
        <w:rPr>
          <w:b/>
          <w:bCs/>
        </w:rPr>
        <w:t xml:space="preserve">Parte III — Indice</w:t>
      </w:r>
    </w:p>
    <w:p>
      <w:pPr>
        <w:pStyle w:val="BodyText"/>
      </w:pPr>
      <w:r>
        <w:rPr>
          <w:b/>
          <w:bCs/>
        </w:rPr>
        <w:t xml:space="preserve">Premessa e criterio ordinatore della Parte</w:t>
      </w:r>
    </w:p>
    <w:p>
      <w:pPr>
        <w:pStyle w:val="BodyText"/>
      </w:pPr>
      <w:r>
        <w:rPr>
          <w:b/>
          <w:bCs/>
        </w:rPr>
        <w:t xml:space="preserve">Introduzione: la cascata come strumento di attribuzione del valore</w:t>
      </w:r>
    </w:p>
    <w:p>
      <w:pPr>
        <w:pStyle w:val="BodyText"/>
      </w:pPr>
      <w:r>
        <w:rPr>
          <w:b/>
          <w:bCs/>
        </w:rPr>
        <w:t xml:space="preserve">3.1</w:t>
      </w:r>
      <w:r>
        <w:rPr>
          <w:b/>
          <w:bCs/>
        </w:rPr>
        <w:t xml:space="preserve"> </w:t>
      </w:r>
      <w:r>
        <w:t xml:space="preserve">L’apice: lo Psicologo di Base come attore sistemico e origine della cascata</w:t>
      </w:r>
    </w:p>
    <w:p>
      <w:pPr>
        <w:pStyle w:val="BodyText"/>
      </w:pPr>
      <w:r>
        <w:rPr>
          <w:b/>
          <w:bCs/>
        </w:rPr>
        <w:t xml:space="preserve">3.2</w:t>
      </w:r>
      <w:r>
        <w:rPr>
          <w:b/>
          <w:bCs/>
        </w:rPr>
        <w:t xml:space="preserve"> </w:t>
      </w:r>
      <w:r>
        <w:t xml:space="preserve">Il medico di medicina generale e la coppia clinica nelle Case della Comunità</w:t>
      </w:r>
    </w:p>
    <w:p>
      <w:pPr>
        <w:pStyle w:val="BodyText"/>
      </w:pPr>
      <w:r>
        <w:rPr>
          <w:b/>
          <w:bCs/>
        </w:rPr>
        <w:t xml:space="preserve">3.3</w:t>
      </w:r>
      <w:r>
        <w:rPr>
          <w:b/>
          <w:bCs/>
        </w:rPr>
        <w:t xml:space="preserve"> </w:t>
      </w:r>
      <w:r>
        <w:t xml:space="preserve">Il pediatra di libera scelta</w:t>
      </w:r>
    </w:p>
    <w:p>
      <w:pPr>
        <w:pStyle w:val="BodyText"/>
      </w:pPr>
      <w:r>
        <w:rPr>
          <w:b/>
          <w:bCs/>
        </w:rPr>
        <w:t xml:space="preserve">3.4</w:t>
      </w:r>
      <w:r>
        <w:rPr>
          <w:b/>
          <w:bCs/>
        </w:rPr>
        <w:t xml:space="preserve"> </w:t>
      </w:r>
      <w:r>
        <w:t xml:space="preserve">Il neurologo e le neuroscienze territoriali</w:t>
      </w:r>
    </w:p>
    <w:p>
      <w:pPr>
        <w:pStyle w:val="BodyText"/>
      </w:pPr>
      <w:r>
        <w:rPr>
          <w:b/>
          <w:bCs/>
        </w:rPr>
        <w:t xml:space="preserve">3.5</w:t>
      </w:r>
      <w:r>
        <w:rPr>
          <w:b/>
          <w:bCs/>
        </w:rPr>
        <w:t xml:space="preserve"> </w:t>
      </w:r>
      <w:r>
        <w:t xml:space="preserve">L’infermiere di famiglia e di comunità e la funzione di care manager</w:t>
      </w:r>
    </w:p>
    <w:p>
      <w:pPr>
        <w:pStyle w:val="BodyText"/>
      </w:pPr>
      <w:r>
        <w:rPr>
          <w:b/>
          <w:bCs/>
        </w:rPr>
        <w:t xml:space="preserve">3.6</w:t>
      </w:r>
      <w:r>
        <w:rPr>
          <w:b/>
          <w:bCs/>
        </w:rPr>
        <w:t xml:space="preserve"> </w:t>
      </w:r>
      <w:r>
        <w:t xml:space="preserve">Lo psichiatra consulente e i Centri di Salute Mentale</w:t>
      </w:r>
    </w:p>
    <w:p>
      <w:pPr>
        <w:pStyle w:val="BodyText"/>
      </w:pPr>
      <w:r>
        <w:rPr>
          <w:b/>
          <w:bCs/>
        </w:rPr>
        <w:t xml:space="preserve">3.7</w:t>
      </w:r>
      <w:r>
        <w:rPr>
          <w:b/>
          <w:bCs/>
        </w:rPr>
        <w:t xml:space="preserve"> </w:t>
      </w:r>
      <w:r>
        <w:t xml:space="preserve">L’assistente sociale e il servizio sociale territoriale · [tranche successiva]</w:t>
      </w:r>
    </w:p>
    <w:p>
      <w:pPr>
        <w:pStyle w:val="BodyText"/>
      </w:pPr>
      <w:r>
        <w:rPr>
          <w:b/>
          <w:bCs/>
        </w:rPr>
        <w:t xml:space="preserve">3.8</w:t>
      </w:r>
      <w:r>
        <w:rPr>
          <w:b/>
          <w:bCs/>
        </w:rPr>
        <w:t xml:space="preserve"> </w:t>
      </w:r>
      <w:r>
        <w:t xml:space="preserve">Le ulteriori figure sanitarie e socio-sanitarie · [tranche successiva]</w:t>
      </w:r>
    </w:p>
    <w:p>
      <w:pPr>
        <w:pStyle w:val="BodyText"/>
      </w:pPr>
      <w:r>
        <w:rPr>
          <w:b/>
          <w:bCs/>
        </w:rPr>
        <w:t xml:space="preserve">3.9</w:t>
      </w:r>
      <w:r>
        <w:rPr>
          <w:b/>
          <w:bCs/>
        </w:rPr>
        <w:t xml:space="preserve"> </w:t>
      </w:r>
      <w:r>
        <w:t xml:space="preserve">Le figure educative e scolastiche · [tranche successiva]</w:t>
      </w:r>
    </w:p>
    <w:p>
      <w:pPr>
        <w:pStyle w:val="BodyText"/>
      </w:pPr>
      <w:r>
        <w:rPr>
          <w:b/>
          <w:bCs/>
        </w:rPr>
        <w:t xml:space="preserve">3.10</w:t>
      </w:r>
      <w:r>
        <w:rPr>
          <w:b/>
          <w:bCs/>
        </w:rPr>
        <w:t xml:space="preserve"> </w:t>
      </w:r>
      <w:r>
        <w:t xml:space="preserve">Gli attori istituzionali e amministrativi regionali · [tranche successiva]</w:t>
      </w:r>
    </w:p>
    <w:p>
      <w:pPr>
        <w:pStyle w:val="BodyText"/>
      </w:pPr>
      <w:r>
        <w:rPr>
          <w:b/>
          <w:bCs/>
        </w:rPr>
        <w:t xml:space="preserve">3.11</w:t>
      </w:r>
      <w:r>
        <w:rPr>
          <w:b/>
          <w:bCs/>
        </w:rPr>
        <w:t xml:space="preserve"> </w:t>
      </w:r>
      <w:r>
        <w:t xml:space="preserve">Gli attori extra-sanitari · [tranche successiva]</w:t>
      </w:r>
    </w:p>
    <w:p>
      <w:pPr>
        <w:pStyle w:val="BodyText"/>
      </w:pPr>
      <w:r>
        <w:rPr>
          <w:b/>
          <w:bCs/>
        </w:rPr>
        <w:t xml:space="preserve">3.12</w:t>
      </w:r>
      <w:r>
        <w:rPr>
          <w:b/>
          <w:bCs/>
        </w:rPr>
        <w:t xml:space="preserve"> </w:t>
      </w:r>
      <w:r>
        <w:t xml:space="preserve">La matrice di influenza e di capacità di rientro: l’ordinamento formale della cascata · [tranche successiva]</w:t>
      </w:r>
    </w:p>
    <w:p>
      <w:pPr>
        <w:pStyle w:val="BodyText"/>
      </w:pPr>
      <w:r>
        <w:rPr>
          <w:b/>
          <w:bCs/>
        </w:rPr>
        <w:t xml:space="preserve">Quadro Conclusivo economico-sociale e multidisciplinare integrale</w:t>
      </w:r>
    </w:p>
    <w:p>
      <w:pPr>
        <w:pStyle w:val="BodyText"/>
      </w:pPr>
      <w:r>
        <w:rPr>
          <w:b/>
          <w:bCs/>
        </w:rPr>
        <w:t xml:space="preserve">Conclusione</w:t>
      </w:r>
    </w:p>
    <w:p>
      <w:pPr>
        <w:pStyle w:val="BodyText"/>
      </w:pPr>
      <w:r>
        <w:rPr>
          <w:b/>
          <w:bCs/>
        </w:rPr>
        <w:t xml:space="preserve">Note Bibliografiche Integrali</w:t>
      </w:r>
    </w:p>
    <w:bookmarkEnd w:id="124"/>
    <w:bookmarkEnd w:id="125"/>
    <w:bookmarkStart w:id="181" w:name="Xb88a80a0a1f08ad2a5de63282435179f74c8f82"/>
    <w:p>
      <w:pPr>
        <w:pStyle w:val="Heading1"/>
      </w:pPr>
      <w:r>
        <w:t xml:space="preserve">Parte III — L’architettura delle figure a cascata gerarchica piramidale</w:t>
      </w:r>
    </w:p>
    <w:bookmarkStart w:id="126" w:name="X4c75eb172f5afdc4fba0a635b753ee53501ca92"/>
    <w:p>
      <w:pPr>
        <w:pStyle w:val="Heading2"/>
      </w:pPr>
      <w:r>
        <w:t xml:space="preserve">Premessa e criterio ordinatore della Parte</w:t>
      </w:r>
    </w:p>
    <w:p>
      <w:pPr>
        <w:pStyle w:val="FirstParagraph"/>
      </w:pPr>
      <w:r>
        <w:t xml:space="preserve">La terza Parte dello studio costituisce l’innovazione strutturale dell’intera opera, poiché traduce in disegno analitico il principio ordinatore che le Parti precedenti hanno enunciato e che le Parti successive presupporranno. Mentre la Parte prima ha fissato il mandato, il metodo e i vincoli, e la Parte seconda ha ricostruito il bisogno e il contesto entro cui la riforma opera, la Parte terza dà forma all’ordine richiesto: muove dallo Psicologo di Base, collocato all’apice, e percorre l’intera cascata delle figure, delle istituzioni e degli attori che alla riforma sono connessi in modo diretto o indiretto, ordinandoli secondo due criteri congiunti, l’influenza che ciascuno esercita nel progetto e la capacità che ciascuno possiede di generare un rientro economico o una revisione della spesa pubblica.</w:t>
      </w:r>
    </w:p>
    <w:p>
      <w:pPr>
        <w:pStyle w:val="BodyText"/>
      </w:pPr>
      <w:r>
        <w:t xml:space="preserve">Il presente impianto supera in via definitiva il perimetro ristretto alle sole quattro figure dello psicologo, del medico di medicina generale, del pediatra e del neurologo, che nelle prime elaborazioni del Progetto aveva fornito un nucleo di analisi necessariamente parziale. L’analisi che qui si svolge abbraccia l’intera architettura professionale, socio-sanitaria, educativa, istituzionale ed extra-sanitaria che la riforma mette in movimento, e per ciascuna figura definisce quattro elementi costanti: il ruolo che essa assume nel servizio riformato; la connessione, diretta e indiretta, che essa intrattiene con lo Psicologo di Base; il peso d’influenza che essa esercita nel progetto; e la capacità di rientro economico o di revisione della spesa che da essa promana. Questi quattro elementi compongono, per ogni figura, una scheda di profilo omogenea, e l’insieme delle schede costituisce la materia su cui le Parti applicative dello studio fonderanno la quantificazione dei costi e dei benefici.</w:t>
      </w:r>
    </w:p>
    <w:p>
      <w:pPr>
        <w:pStyle w:val="BodyText"/>
      </w:pPr>
      <w:r>
        <w:t xml:space="preserve">È opportuno chiarire fin da subito la natura di questa Parte e i suoi confini. La Parte terza stabilisce l’architettura e l’ordine delle figure, non la quantificazione monetaria dei loro effetti; essa fissa la posizione di ciascun attore nella piramide e la qualità del valore che esso genera, ma rinvia alle Parti settima, ottava, nona e decima la determinazione numerica dei costi diretti, dei risparmi diretti, dei costi e dei benefici indiretti e del saldo consolidato. Tale rinvio non è una reticenza, ma una garanzia di rigore: l’attribuzione del valore a ciascuna figura presuppone un ordinamento stabile, ed è precisamente questo ordinamento che la Parte terza ha il compito di costruire. Senza la cascata, la valutazione integrale rischierebbe di sommare grandezze sovrapposte e di imputare un medesimo risparmio a più cause; con la cascata, ogni effetto trova la propria collocazione e ogni grandezza la propria attribuzione esclusiva.</w:t>
      </w:r>
    </w:p>
    <w:p>
      <w:pPr>
        <w:pStyle w:val="BodyText"/>
      </w:pPr>
      <w:r>
        <w:t xml:space="preserve">In coerenza con i vincoli invarianti dell’opera, ogni affermazione che in questa Parte tocchi l’ordine di grandezza del rendimento economico della riforma è ricondotta agli intervalli validati e ai moniti già richiamati, e la posizione dell’Intelligenza Artificiale è mantenuta, una volta per tutte, subordinata: essa compare come una delle leve che rendono più funzionale la figura dello Psicologo di Base, accanto alle leve organizzative, di processo e formative, e non come oggetto autonomo dell’analisi. La trattazione procede ora dalla giustificazione metodologica della cascata, esposta nell’Introduzione, alla descrizione analitica delle singole figure, che ne occupa il corpo, fino alla matrice formale che ne ordina l’insieme e che chiude la Parte.</w:t>
      </w:r>
    </w:p>
    <w:bookmarkEnd w:id="126"/>
    <w:bookmarkStart w:id="130" w:name="Xa94eccdfcf102a4ed1e3fcea2623a8a28197cb7"/>
    <w:p>
      <w:pPr>
        <w:pStyle w:val="Heading2"/>
      </w:pPr>
      <w:r>
        <w:t xml:space="preserve">Introduzione: la cascata come strumento di attribuzione del valore</w:t>
      </w:r>
    </w:p>
    <w:p>
      <w:pPr>
        <w:pStyle w:val="FirstParagraph"/>
      </w:pPr>
      <w:r>
        <w:t xml:space="preserve">Il principio che governa la Parte terza è la cascata gerarchica piramidale. Esso non è un artificio espositivo, ma uno strumento metodologico che assolve una funzione precisa: ordinare gli attori della riforma secondo la loro posizione nella catena causale degli effetti e, attraverso tale ordinamento, rendere possibile l’attribuzione non duplicativa del valore generato. La cascata muove dall’apice, occupato dallo Psicologo di Base, e discende verso i livelli inferiori, ciascuno dei quali raccoglie, traduce e amplifica gli effetti prodotti ai livelli superiori, fino agli attori di sistema che ne ricevono le ricadute previdenziali, lavorative, giudiziarie, scolastiche e finanziarie. La piramide si articola, secondo l’architettura fissata nella Parte prima, in cinque livelli: l’apice, occupato dallo Psicologo di Base; il secondo livello delle figure cliniche di primo contatto, costituito dal medico di medicina generale, dal pediatra di libera scelta e dal neurologo; il terzo livello delle ulteriori figure sanitarie e socio-sanitarie, tra cui l’infermiere di famiglia e di comunità, lo psichiatra consulente, l’assistente sociale e il farmacista di comunità; il quarto livello delle figure educative e degli attori istituzionali e amministrativi regionali; e la base, costituita dagli attori extra-sanitari, dall’Istituto nazionale della previdenza sociale all’Istituto nazionale per l’assicurazione contro gli infortuni sul lavoro, dal sistema giudiziario alle imprese, dalle organizzazioni sindacali alle università e al terzo settore.</w:t>
      </w:r>
    </w:p>
    <w:p>
      <w:pPr>
        <w:pStyle w:val="BodyText"/>
      </w:pPr>
      <w:r>
        <w:t xml:space="preserve">La gerarchia dei livelli riposa su un duplice criterio, che è necessario esplicitare perché su di esso si fonda l’intero ordinamento delle valutazioni economiche. Il primo criterio è l’influenza nel progetto, intesa come la misura in cui l’azione di una figura condiziona il prodursi degli effetti complessivi della riforma; il secondo criterio è la capacità di generare rientro economico o revisione della spesa, intesa come la misura del valore fiscale o sociale che una figura contribuisce a liberare. I due criteri non coincidono e non si ordinano nel medesimo modo. Lo Psicologo di Base possiede la massima influenza, poiché è l’origine senza la quale nessun effetto a valle si produrrebbe, ma la sua capacità di rientro, pur elevata, è di natura indiretta, perché si esercita attivando e ordinando il valore generato dalle figure sottostanti. Le figure cliniche di primo contatto possiedono un’influenza elevata e una capacità di rientro diretta e immediata, ed è nella loro azione che si producono i risparmi diretti meglio documentati. Gli attori di sistema, infine, possiedono un’influenza più mediata, ma in aggregato la più ampia capacità di rientro economico e sociale, poiché su di essi gravano i costi che la riforma può ridurre.</w:t>
      </w:r>
    </w:p>
    <w:p>
      <w:pPr>
        <w:pStyle w:val="BodyText"/>
      </w:pPr>
      <w:r>
        <w:t xml:space="preserve">Il rendimento economico complessivo della riforma, che ciascuna figura concorre a determinare lungo la cascata, è espresso negli intervalli che la letteratura internazionale ha validato e che costituiscono l’ancoraggio invariante dello studio: il rapporto tra benefici e costi è compreso tra 2,3 e 3,0 a 1 quando si considerino i soli benefici economici, e sale a un valore compreso tra 3,3 e 5,7 a 1 quando si includano anche i ritorni in salute.</w:t>
      </w:r>
      <w:r>
        <w:rPr>
          <w:rStyle w:val="FootnoteReference"/>
        </w:rPr>
        <w:footnoteReference w:id="69"/>
      </w:r>
      <w:r>
        <w:t xml:space="preserve"> </w:t>
      </w:r>
      <w:r>
        <w:t xml:space="preserve">Tali intervalli, ricavati dall’analisi del ritorno sull’investimento nell’ampliamento dei trattamenti per la depressione e l’ansia, non sono attribuiti a una singola figura, ma misurano il rendimento del sistema riformato nel suo insieme; la cascata serve appunto a distribuire questo rendimento tra gli attori senza che alcuna quota sia contabilizzata due volte. È necessario, in proposito, conservare per intero il monito metodologico secondo cui i risparmi diretti sui costi sanitari, considerati isolatamente, non raggiungono in tutti gli studi la significatività statistica: la giustificazione economica della riforma poggia sul valore complessivo, fiscale e sociale, e non su un risparmio sanitario diretto che la prudenza impone di non sopravvalutare.</w:t>
      </w:r>
      <w:r>
        <w:rPr>
          <w:rStyle w:val="FootnoteReference"/>
        </w:rPr>
        <w:footnoteReference w:id="70"/>
      </w:r>
    </w:p>
    <w:p>
      <w:pPr>
        <w:pStyle w:val="BodyText"/>
      </w:pPr>
      <w:r>
        <w:t xml:space="preserve">La cascata delle figure si compone, infine, con la matrice degli ambiti, che la Parte nona svilupperà dominio per dominio. Ogni figura della piramide opera entro più ambiti del perimetro integrale — salutistico, economico, sociale, lavorativo, pensionistico, produttivistico, assistenzialistico, welfaristico, prevenzionalistico, criminologico, burocratico, sanitario, culturale, formativo, antropologico, pedagogico e scolastico, accademico, industriale, sindacale e finanziario — e ogni ambito riceve contributi da più livelli della piramide. Lo Psicologo di Base, all’apice, incide in modo diretto sull’ambito salutistico e, per il suo tramite, in modo indiretto su tutti gli altri; le figure dei livelli inferiori traducono e amplificano questo effetto nei rispettivi ambiti, fino agli attori di sistema che ne raccolgono le ricadute economiche e sociali. La presente Parte fissa la dimensione verticale di questa relazione, ossia l’ordine delle figure; la Parte nona ne svilupperà la dimensione orizzontale, ossia la distribuzione degli effetti tra i domini. La riforma del Servizio di Psicologia di Base in Puglia, istituito dalla legge regionale che ne ha definito la cornice, trova così nell’architettura della cascata la propria struttura analitica, e in essa la condizione che rende l’integralità del perimetro compatibile con la prudenza delle stime.</w:t>
      </w:r>
      <w:r>
        <w:rPr>
          <w:rStyle w:val="FootnoteReference"/>
        </w:rPr>
        <w:footnoteReference w:id="71"/>
      </w:r>
    </w:p>
    <w:bookmarkEnd w:id="130"/>
    <w:bookmarkStart w:id="137" w:name="X2f21e5833f1076351f43e167c936de58c4d2dd8"/>
    <w:p>
      <w:pPr>
        <w:pStyle w:val="Heading2"/>
      </w:pPr>
      <w:r>
        <w:t xml:space="preserve">3.1 L’apice: lo Psicologo di Base come attore sistemico e origine della cascata</w:t>
      </w:r>
    </w:p>
    <w:p>
      <w:pPr>
        <w:pStyle w:val="FirstParagraph"/>
      </w:pPr>
      <w:r>
        <w:t xml:space="preserve">Allo Psicologo di Base spetta, nell’architettura della riforma, la posizione dell’apice, ed è da questa posizione che discende l’intera cascata delle figure. Tale collocazione non è onorifica ma funzionale: lo Psicologo di Base non è una figura aggiunta a un sistema saturo, bensì il livello mancante di un sistema squilibrato, quel primo livello di ascolto, di intercettazione precoce e di filtro che le cure primarie italiane, costruite attorno alla medicina generale e alla pediatria di libera scelta, non hanno mai posseduto in forma stabile. La funzione che esso assume è insieme clinica e di sistema. Sul piano clinico, lo Psicologo di Base accoglie la domanda di disagio psichico comune nella fase in cui essa è ancora indistinta, fornisce un primo inquadramento e un intervento breve a bassa intensità, stratifica il rischio e regola, secondo criteri di appropriatezza, l’invio ai livelli a maggiore intensità. Sul piano di sistema, esso costituisce il nodo che attiva e ordina il valore generato dalle figure sottostanti, indirizzando la domanda lungo il percorso più efficiente e impedendo che essa si scarichi, come avviene oggi, sui livelli a maggiore costo.</w:t>
      </w:r>
    </w:p>
    <w:p>
      <w:pPr>
        <w:pStyle w:val="BodyText"/>
      </w:pPr>
      <w:r>
        <w:t xml:space="preserve">La ragione per cui allo Psicologo di Base è attribuita la massima influenza nel progetto è di natura controfattuale, e merita di essere enunciata con precisione perché su di essa poggia l’ordinamento dell’intera Parte. L’influenza di una figura, come si è chiarito nell’Introduzione, misura la misura in cui la sua azione condiziona il prodursi degli effetti complessivi della riforma; e la riforma, per definizione, non esisterebbe senza l’introduzione della figura che le dà nome. Ogni grandezza che le Parti applicative misureranno — la riduzione della spesa farmaceutica inappropriata, la riduzione degli accessi impropri al pronto soccorso, la riduzione degli invii non necessari ai servizi specialistici, i benefici nei domini lavorativo, previdenziale e sociale — è, in ultima analisi, riconducibile all’azione dello Psicologo di Base, poiché è la sua introduzione a innescare la catena causale che le produce. In questo senso preciso lo Psicologo di Base è l’origine della cascata, e la sua influenza è massima non perché esso esegua direttamente ogni operazione di risparmio, ma perché ne è la condizione necessaria.</w:t>
      </w:r>
    </w:p>
    <w:p>
      <w:pPr>
        <w:pStyle w:val="BodyText"/>
      </w:pPr>
      <w:r>
        <w:t xml:space="preserve">La capacità di rientro economico dello Psicologo di Base presenta una caratteristica che ne definisce la natura e che è necessario non equivocare: essa è elevata ma indiretta. Lo Psicologo di Base non genera il proprio valore principalmente attraverso operazioni di risparmio che gli siano direttamente imputabili, ma attivando e ordinando il valore generato dalle figure a valle. È la coppia clinica con il medico di medicina generale a produrre la riduzione delle prescrizioni inappropriate; è la regolazione dell’invio a contenere il carico dei servizi specialistici; è l’intercettazione precoce a evitare la cronicizzazione e a liberare, nei domini sociali, i benefici di maggiore entità. Questa mediazione del valore impone una cautela metodologica che la presente opera adotta integralmente. L’evidenza che sostiene l’efficacia dell’integrazione della psicologia nelle cure primarie è solida e proviene da sperimentazioni controllate e da revisioni sistematiche di elevata qualità, segnatamente dagli studi sul modello di assistenza collaborativa, che ne hanno documentato il beneficio clinico in modo robusto.</w:t>
      </w:r>
      <w:r>
        <w:rPr>
          <w:rStyle w:val="FootnoteReference"/>
        </w:rPr>
        <w:footnoteReference w:id="72"/>
      </w:r>
      <w:r>
        <w:rPr>
          <w:rStyle w:val="FootnoteReference"/>
        </w:rPr>
        <w:footnoteReference w:id="73"/>
      </w:r>
      <w:r>
        <w:t xml:space="preserve"> </w:t>
      </w:r>
      <w:r>
        <w:t xml:space="preserve">Tuttavia, il risparmio sui costi sanitari diretti, considerato isolatamente, non raggiunge in tutti gli studi la significatività statistica, come l’analisi di lungo periodo dello studio IMPACT ha mostrato con franchezza;</w:t>
      </w:r>
      <w:r>
        <w:rPr>
          <w:rStyle w:val="FootnoteReference"/>
        </w:rPr>
        <w:footnoteReference w:id="74"/>
      </w:r>
      <w:r>
        <w:t xml:space="preserve"> </w:t>
      </w:r>
      <w:r>
        <w:t xml:space="preserve">sicché la giustificazione economica della figura non poggia su un risparmio sanitario diretto da sopravvalutare, ma sul valore complessivo, fiscale e sociale, che la sua azione libera lungo l’intera cascata, nei limiti degli intervalli validati di rendimento.</w:t>
      </w:r>
    </w:p>
    <w:p>
      <w:pPr>
        <w:pStyle w:val="BodyText"/>
      </w:pPr>
      <w:r>
        <w:t xml:space="preserve">Il dimensionamento della figura in Puglia fornisce la base quantitativa su cui le Parti successive eserciteranno la valutazione economica. Sulla popolazione residente regionale, prossima a tre milioni e ottocentocinquantamila abitanti, e adottando un rapporto di copertura compreso tra uno psicologo di base ogni quattromilaquattrocento e uno ogni quattromilanovecento abitanti, il fabbisogno regionale a regime si colloca in un intervallo prudenziale compreso, in cifra tonda, tra ottocento e ottocentottanta professionisti, distribuiti nelle sei aziende sanitarie locali e nei quarantacinque distretti in cui il Servizio sanitario regionale si articola.</w:t>
      </w:r>
      <w:r>
        <w:rPr>
          <w:rStyle w:val="FootnoteReference"/>
        </w:rPr>
        <w:footnoteReference w:id="75"/>
      </w:r>
      <w:r>
        <w:t xml:space="preserve"> </w:t>
      </w:r>
      <w:r>
        <w:t xml:space="preserve">Su questa base è possibile formulare una prima previsione falsificabile, che le Parti undicesima e quindicesima sottoporranno a verifica: a regime, una quota prevalente del disagio psichico comune — collocabile, in via prudenziale e con banda di oscillazione, in un intervallo tra tre quinti e sette decimi dei casi intercettati — dovrebbe trovare risoluzione o gestione al primo livello, senza ricorso ai servizi specialistici, con corrispondente riduzione degli invii impropri. La previsione è enunciata in forma di banda e con indicazione delle soglie il cui mancato raggiungimento ne segnalerebbe la confutazione, in coerenza con il vincolo di falsificabilità che governa l’opera.</w:t>
      </w:r>
    </w:p>
    <w:p>
      <w:pPr>
        <w:pStyle w:val="BodyText"/>
      </w:pPr>
      <w:r>
        <w:t xml:space="preserve">In questa posizione apicale l’Intelligenza Artificiale trova la propria collocazione, che è quella di una leva abilitante e subordinata, non di un oggetto autonomo dell’analisi. Lo strumento computazionale può sostenere lo Psicologo di Base nella stratificazione del rischio, nel triage della domanda e nel monitoraggio degli esiti, accrescendo la capacità della figura di indirizzare la domanda lungo il percorso più appropriato; ma esso opera sempre sotto la supervisione umana, entro la cornice di governance prudenziale che il quadro normativo europeo sull’intelligenza artificiale prescrive per i sistemi impiegati in ambito sanitario, e la sua evidenza è graduata con il medesimo rigore applicato alle affermazioni cliniche, riconoscendo che per numerosi strumenti la qualità delle prove disponibili è ancora moderata o bassa.</w:t>
      </w:r>
      <w:r>
        <w:rPr>
          <w:rStyle w:val="FootnoteReference"/>
        </w:rPr>
        <w:footnoteReference w:id="76"/>
      </w:r>
      <w:r>
        <w:rPr>
          <w:rStyle w:val="FootnoteReference"/>
        </w:rPr>
        <w:footnoteReference w:id="77"/>
      </w:r>
      <w:r>
        <w:t xml:space="preserve"> </w:t>
      </w:r>
      <w:r>
        <w:t xml:space="preserve">L’Intelligenza Artificiale, in altri termini, rende più funzionale la figura senza sostituirla né modificarne la posizione nella cascata: l’apice resta umano, e la leva digitale ne amplifica l’azione entro i limiti della responsabilità professionale.</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3.1 — Profilo dell’apice: lo Psicologo di Base</w:t>
            </w:r>
          </w:p>
        </w:tc>
      </w:tr>
      <w:tr>
        <w:tc>
          <w:tcPr/>
          <w:p>
            <w:pPr>
              <w:pStyle w:val="Compact"/>
              <w:spacing w:after="40" w:before="40"/>
              <w:jc w:val="left"/>
            </w:pPr>
            <w:r>
              <w:rPr>
                <w:rFonts w:ascii="Cambria" w:hAnsi="Cambria" w:cs="Cambria" w:eastAsia="Cambria"/>
                <w:color w:val="1A1A1A"/>
                <w:sz w:val="18"/>
              </w:rPr>
              <w:t xml:space="preserve">Ruolo nella riforma</w:t>
            </w:r>
          </w:p>
        </w:tc>
      </w:tr>
      <w:tr>
        <w:tc>
          <w:tcPr>
            <w:shd w:val="clear" w:color="auto" w:fill="F4F1EC"/>
          </w:tcPr>
          <w:p>
            <w:pPr>
              <w:pStyle w:val="Compact"/>
              <w:spacing w:after="40" w:before="40"/>
              <w:jc w:val="left"/>
            </w:pPr>
            <w:r>
              <w:rPr>
                <w:rFonts w:ascii="Cambria" w:hAnsi="Cambria" w:cs="Cambria" w:eastAsia="Cambria"/>
                <w:color w:val="1A1A1A"/>
                <w:sz w:val="18"/>
              </w:rPr>
              <w:t xml:space="preserve">Connessione con lo Psicologo di Base</w:t>
            </w:r>
          </w:p>
        </w:tc>
      </w:tr>
      <w:tr>
        <w:tc>
          <w:tcPr/>
          <w:p>
            <w:pPr>
              <w:pStyle w:val="Compact"/>
              <w:spacing w:after="40" w:before="40"/>
              <w:jc w:val="left"/>
            </w:pPr>
            <w:r>
              <w:rPr>
                <w:rFonts w:ascii="Cambria" w:hAnsi="Cambria" w:cs="Cambria" w:eastAsia="Cambria"/>
                <w:color w:val="1A1A1A"/>
                <w:sz w:val="18"/>
              </w:rPr>
              <w:t xml:space="preserve">Peso d’influenza nel progetto</w:t>
            </w:r>
          </w:p>
        </w:tc>
      </w:tr>
      <w:tr>
        <w:tc>
          <w:tcPr>
            <w:shd w:val="clear" w:color="auto" w:fill="F4F1EC"/>
          </w:tcPr>
          <w:p>
            <w:pPr>
              <w:pStyle w:val="Compact"/>
              <w:spacing w:after="40" w:before="40"/>
              <w:jc w:val="left"/>
            </w:pPr>
            <w:r>
              <w:rPr>
                <w:rFonts w:ascii="Cambria" w:hAnsi="Cambria" w:cs="Cambria" w:eastAsia="Cambria"/>
                <w:color w:val="1A1A1A"/>
                <w:sz w:val="18"/>
              </w:rPr>
              <w:t xml:space="preserve">Capacità di rientro economico o di revisione della spesa</w:t>
            </w:r>
          </w:p>
        </w:tc>
      </w:tr>
    </w:tbl>
    <w:p/>
    <w:bookmarkEnd w:id="137"/>
    <w:bookmarkStart w:id="143" w:name="X9290ef3c431ed3d33e288270c845a65d4b93e3a"/>
    <w:p>
      <w:pPr>
        <w:pStyle w:val="Heading2"/>
      </w:pPr>
      <w:r>
        <w:t xml:space="preserve">3.2 Il medico di medicina generale e la coppia clinica nelle Case della Comunità</w:t>
      </w:r>
    </w:p>
    <w:p>
      <w:pPr>
        <w:pStyle w:val="FirstParagraph"/>
      </w:pPr>
      <w:r>
        <w:t xml:space="preserve">Il medico di medicina generale occupa il secondo livello della cascata e, insieme allo Psicologo di Base, costituisce il fulcro operativo della riforma. La sua posizione è quella della figura clinica di primo contatto, il professionista cui la popolazione si rivolge per primo e che, nell’assetto attuale, gestisce di fatto la quota prevalente della domanda di disagio psichico comune. Tale gestione, tuttavia, avviene oggi in condizioni di strutturale inadeguatezza dello strumento: priva di una figura psicologica con cui condividere la presa in carico, e gravata da una carenza di organico che la Parte seconda ha documentato nel contesto pugliese, la medicina generale risponde alla domanda psichica con i mezzi di cui dispone, che sono prevalentemente la prescrizione farmacologica e l’invio allo specialista, l’una e l’altro non di rado inappropriati rispetto alla natura del bisogno. È in questa inadeguatezza dello strumento, e non in una insufficienza del professionista, che risiede lo spazio di valore che la riforma intende liberare.</w:t>
      </w:r>
    </w:p>
    <w:p>
      <w:pPr>
        <w:pStyle w:val="BodyText"/>
      </w:pPr>
      <w:r>
        <w:t xml:space="preserve">La riforma trasforma questa condizione attraverso la coppia clinica tra medico di medicina generale e Psicologo di Base, collocata nelle Case della Comunità che la programmazione territoriale ha posto al centro dell’assistenza di prossimità. La coppia clinica non è una giustapposizione di competenze, ma un dispositivo organizzato di integrazione funzionale, che ridefinisce il primo contatto secondo la logica della cura per intensità crescente: il medico di medicina generale conserva la governance clinica e somatica del paziente e la responsabilità del percorso, mentre lo Psicologo di Base assorbe la domanda di disagio psichico comune che oggi affluisce impropriamente nei soli studi della medicina generale, fornendo l’ascolto, l’inquadramento e l’intervento breve che la condizione richiede.</w:t>
      </w:r>
      <w:r>
        <w:rPr>
          <w:rStyle w:val="FootnoteReference"/>
        </w:rPr>
        <w:footnoteReference w:id="78"/>
      </w:r>
      <w:r>
        <w:t xml:space="preserve"> </w:t>
      </w:r>
      <w:r>
        <w:t xml:space="preserve">La domanda viene così intercettata e trattata al livello appropriato, e i livelli a maggiore intensità e costo sono riservati ai casi che effettivamente li richiedono. La coppia clinica è, in questo senso, il luogo in cui l’influenza apicale dello Psicologo di Base si converte in azione clinica quotidiana, e il punto della cascata in cui si producono i risparmi diretti meglio documentati.</w:t>
      </w:r>
    </w:p>
    <w:p>
      <w:pPr>
        <w:pStyle w:val="BodyText"/>
      </w:pPr>
      <w:r>
        <w:t xml:space="preserve">La capacità di rientro economico associata alla coppia clinica è diretta e immediata, e si articola in tre canali principali, che le Parti settima e ottava quantificheranno e che qui si enunciano nella loro qualità. Il primo canale è la riduzione della spesa farmaceutica inappropriata: la disponibilità di una risposta psicologica al primo contatto consente di ridurre la prescrizione di ansiolitici e antidepressivi nei casi in cui essa non sia indicata o sia anteposta a un trattamento psicologico più appropriato, fenomeno che i rapporti nazionali sull’uso dei medicinali documentano come rilevante per le benzodiazepine in particolare.</w:t>
      </w:r>
      <w:r>
        <w:rPr>
          <w:rStyle w:val="FootnoteReference"/>
        </w:rPr>
        <w:footnoteReference w:id="79"/>
      </w:r>
      <w:r>
        <w:t xml:space="preserve"> </w:t>
      </w:r>
      <w:r>
        <w:t xml:space="preserve">Il secondo canale è la riduzione degli accessi impropri al pronto soccorso e dei ricoveri evitabili per condizioni psichiche non urgenti, che trovano nella presa in carico di prossimità un’alternativa più appropriata e meno costosa. Il terzo canale è la riduzione degli invii non necessari ai servizi specialistici e degli esami e delle visite che ne conseguono, resa possibile dalla regolazione dell’accesso operata dalla coppia clinica.</w:t>
      </w:r>
    </w:p>
    <w:p>
      <w:pPr>
        <w:pStyle w:val="BodyText"/>
      </w:pPr>
      <w:r>
        <w:t xml:space="preserve">Sul piano dell’evidenza, la coppia clinica si fonda su una base documentale di elevata qualità. Il modello dell’assistenza collaborativa, di cui la coppia clinica costituisce l’applicazione al contesto delle cure primarie italiane, è sostenuto da numerose sperimentazioni controllate randomizzate e da revisioni sistematiche che ne attestano l’efficacia clinica con un grado di certezza elevato; e l’esperienza dei programmi nazionali di accesso ai trattamenti psicologici, segnatamente quella maturata nel sistema sanitario inglese, ne ha confermato la sostenibilità su larga scala e l’apprezzabile ritorno in termini di esiti e di costi sociali evitati.</w:t>
      </w:r>
      <w:r>
        <w:rPr>
          <w:rStyle w:val="FootnoteReference"/>
        </w:rPr>
        <w:footnoteReference w:id="80"/>
      </w:r>
      <w:r>
        <w:rPr>
          <w:rStyle w:val="FootnoteReference"/>
        </w:rPr>
        <w:footnoteReference w:id="81"/>
      </w:r>
      <w:r>
        <w:rPr>
          <w:rStyle w:val="FootnoteReference"/>
        </w:rPr>
        <w:footnoteReference w:id="82"/>
      </w:r>
      <w:r>
        <w:t xml:space="preserve"> </w:t>
      </w:r>
      <w:r>
        <w:t xml:space="preserve">È in questa sede, tuttavia, che il monito metodologico sulla non significatività isolata dei risparmi sanitari diretti spiega per intero la propria portata: il valore della coppia clinica non si misura sul solo risparmio sanitario diretto, che la prudenza impone di non sovrastimare, ma sul concorso di tale risparmio con i benefici sociali e indiretti che la riforma libera, entro gli intervalli di rendimento validati e nel rispetto della regola di non duplicazione tra grandezze fiscali e sociali.</w:t>
      </w:r>
    </w:p>
    <w:p>
      <w:pPr>
        <w:pStyle w:val="BodyText"/>
      </w:pPr>
      <w:r>
        <w:t xml:space="preserve">Su questa base è possibile formulare una seconda previsione falsificabile, riferita specificamente all’azione della coppia clinica e verificabile ex post sui dati regionali. A regime, l’introduzione della coppia clinica nelle Case della Comunità dovrebbe produrre una riduzione misurabile della prescrizione inappropriata di psicofarmaci nella popolazione assistita e una corrispondente riduzione degli invii della medicina generale ai servizi specialistici per disagio psichico comune, collocabili, in via prudenziale e con banda di oscillazione, in un intervallo di riduzione compreso tra un decimo e un quinto dei volumi attuali nell’orizzonte di consolidamento. La previsione è enunciata in forma di banda, con indicazione delle soglie di confutazione, e sarà sottoposta a verifica nel sistema di monitoraggio regionale, in coerenza con il vincolo di falsificabilità dell’opera.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3.2 — Profilo del medico di medicina generale e della coppia clinica</w:t>
            </w:r>
          </w:p>
        </w:tc>
      </w:tr>
      <w:tr>
        <w:tc>
          <w:tcPr/>
          <w:p>
            <w:pPr>
              <w:pStyle w:val="Compact"/>
              <w:spacing w:after="40" w:before="40"/>
              <w:jc w:val="left"/>
            </w:pPr>
            <w:r>
              <w:rPr>
                <w:rFonts w:ascii="Cambria" w:hAnsi="Cambria" w:cs="Cambria" w:eastAsia="Cambria"/>
                <w:color w:val="1A1A1A"/>
                <w:sz w:val="18"/>
              </w:rPr>
              <w:t xml:space="preserve">Ruolo nella riforma</w:t>
            </w:r>
          </w:p>
        </w:tc>
      </w:tr>
      <w:tr>
        <w:tc>
          <w:tcPr>
            <w:shd w:val="clear" w:color="auto" w:fill="F4F1EC"/>
          </w:tcPr>
          <w:p>
            <w:pPr>
              <w:pStyle w:val="Compact"/>
              <w:spacing w:after="40" w:before="40"/>
              <w:jc w:val="left"/>
            </w:pPr>
            <w:r>
              <w:rPr>
                <w:rFonts w:ascii="Cambria" w:hAnsi="Cambria" w:cs="Cambria" w:eastAsia="Cambria"/>
                <w:color w:val="1A1A1A"/>
                <w:sz w:val="18"/>
              </w:rPr>
              <w:t xml:space="preserve">Connessione con lo Psicologo di Base</w:t>
            </w:r>
          </w:p>
        </w:tc>
      </w:tr>
      <w:tr>
        <w:tc>
          <w:tcPr/>
          <w:p>
            <w:pPr>
              <w:pStyle w:val="Compact"/>
              <w:spacing w:after="40" w:before="40"/>
              <w:jc w:val="left"/>
            </w:pPr>
            <w:r>
              <w:rPr>
                <w:rFonts w:ascii="Cambria" w:hAnsi="Cambria" w:cs="Cambria" w:eastAsia="Cambria"/>
                <w:color w:val="1A1A1A"/>
                <w:sz w:val="18"/>
              </w:rPr>
              <w:t xml:space="preserve">Peso d’influenza nel progetto</w:t>
            </w:r>
          </w:p>
        </w:tc>
      </w:tr>
      <w:tr>
        <w:tc>
          <w:tcPr>
            <w:shd w:val="clear" w:color="auto" w:fill="F4F1EC"/>
          </w:tcPr>
          <w:p>
            <w:pPr>
              <w:pStyle w:val="Compact"/>
              <w:spacing w:after="40" w:before="40"/>
              <w:jc w:val="left"/>
            </w:pPr>
            <w:r>
              <w:rPr>
                <w:rFonts w:ascii="Cambria" w:hAnsi="Cambria" w:cs="Cambria" w:eastAsia="Cambria"/>
                <w:color w:val="1A1A1A"/>
                <w:sz w:val="18"/>
              </w:rPr>
              <w:t xml:space="preserve">Capacità di rientro economico o di revisione della spesa</w:t>
            </w:r>
          </w:p>
        </w:tc>
      </w:tr>
    </w:tbl>
    <w:p/>
    <w:bookmarkEnd w:id="143"/>
    <w:bookmarkStart w:id="147" w:name="il-pediatra-di-libera-scelta"/>
    <w:p>
      <w:pPr>
        <w:pStyle w:val="Heading2"/>
      </w:pPr>
      <w:r>
        <w:t xml:space="preserve">3.3 Il pediatra di libera scelta</w:t>
      </w:r>
    </w:p>
    <w:p>
      <w:pPr>
        <w:pStyle w:val="FirstParagraph"/>
      </w:pPr>
      <w:r>
        <w:t xml:space="preserve">Il pediatra di libera scelta occupa, accanto al medico di medicina generale, il secondo livello della cascata, e ne costituisce il corrispondente per l’età evolutiva. La sua posizione è quella della figura clinica di primo contatto per la popolazione dei minori, dalla nascita all’età della transizione alle cure dell’adulto, e il suo ruolo nella riforma discende dalla peculiarità del bisogno che essa intercetta. Il disagio psichico dell’età evolutiva si manifesta in forme che richiedono un’osservazione specifica — disturbi del neurosviluppo, difficoltà emotive e comportamentali, sofferenza relazionale e familiare — e che il pediatra, in virtù della continuità della relazione di cura e della sorveglianza periodica dello sviluppo affidata ai bilanci di salute, è nella posizione privilegiata di rilevare per primo. La riforma riconosce a questa figura una funzione di intercettazione precoce nell’età in cui essa è più preziosa, poiché è nell’infanzia e nell’adolescenza che l’intervento tempestivo produce i ritorni più ampi, prevenendo la cronicizzazione e l’evoluzione del disagio in patologia conclamata nell’età adulta.</w:t>
      </w:r>
      <w:r>
        <w:rPr>
          <w:rStyle w:val="FootnoteReference"/>
        </w:rPr>
        <w:footnoteReference w:id="83"/>
      </w:r>
    </w:p>
    <w:p>
      <w:pPr>
        <w:pStyle w:val="BodyText"/>
      </w:pPr>
      <w:r>
        <w:t xml:space="preserve">La connessione del pediatra di libera scelta con lo Psicologo di Base è diretta e si esercita sulla popolazione dei minori e sulle loro famiglie. Il pediatra è il primo osservatore non solo del disagio del bambino e dell’adolescente, ma anche delle difficoltà genitoriali e relazionali che ne costituiscono spesso il contesto, e la disponibilità di una figura psicologica nelle cure primarie gli consente di tradurre l’osservazione in presa in carico, attraverso una coppia clinica analoga a quella della medicina generale ma orientata alla specificità dell’età evolutiva e al sostegno alla genitorialità. Il pediatra costituisce inoltre il nodo che connette il primo livello con due ambiti contigui della cascata e del perimetro integrale: da un lato il mondo della scuola e la figura dello psicologo scolastico, con cui condivide l’osservazione del benessere e delle difficoltà del minore; dall’altro la neuropsichiatria dell’infanzia e dell’adolescenza, cui indirizza, secondo criteri di appropriatezza, i casi che richiedono una valutazione specialistica. La sua azione, in questo senso, è insieme di intercettazione e di regolazione dell’accesso ai livelli a maggiore intensità.</w:t>
      </w:r>
    </w:p>
    <w:p>
      <w:pPr>
        <w:pStyle w:val="BodyText"/>
      </w:pPr>
      <w:r>
        <w:t xml:space="preserve">La capacità di rientro economico del pediatra di libera scelta è di natura prevalentemente preventiva, ed è per questa via che essa si distingue da quella, più immediata, della medicina generale. L’intercettazione precoce del disagio nell’età evolutiva non produce un risparmio diretto di pari evidenza rispetto alla riduzione della prescrizione farmacologica nell’adulto, ma genera un valore differito di entità potenzialmente maggiore, evitando i costi che la cronicizzazione del disagio infantile e adolescenziale comporterebbe nel corso dell’intera vita del soggetto: i costi sanitari della patologia conclamata, i costi sociali della dispersione scolastica e dell’esclusione, i costi previdenziali e lavorativi della ridotta partecipazione. L’evidenza che sostiene l’efficacia dell’intervento precoce in età evolutiva è apprezzabile ma di qualità non uniforme, collocabile in un grado da moderato a basso a seconda degli esiti considerati, e impone perciò una graduazione attenta e una proiezione prudenziale dei ritorni;</w:t>
      </w:r>
      <w:r>
        <w:rPr>
          <w:rStyle w:val="FootnoteReference"/>
        </w:rPr>
        <w:footnoteReference w:id="84"/>
      </w:r>
      <w:r>
        <w:rPr>
          <w:rStyle w:val="FootnoteReference"/>
        </w:rPr>
        <w:footnoteReference w:id="85"/>
      </w:r>
      <w:r>
        <w:t xml:space="preserve"> </w:t>
      </w:r>
      <w:r>
        <w:t xml:space="preserve">in coerenza con i vincoli dell’opera, il valore preventivo della figura è enunciato come beneficio differito, distinto dai risparmi diretti e non con essi cumulato, e ricondotto agli intervalli di rendimento validati.</w:t>
      </w:r>
    </w:p>
    <w:p>
      <w:pPr>
        <w:pStyle w:val="BodyText"/>
      </w:pPr>
      <w:r>
        <w:t xml:space="preserve">Gli ambiti del perimetro integrale su cui il pediatra di libera scelta incide in modo più diretto sono, di conseguenza, quello pedagogico e scolastico, quello prevenzionalistico e quello assistenzialistico, quest’ultimo in ragione del sostegno alla genitorialità e dell’alleggerimento del carico che grava sulle famiglie dei minori in difficoltà. Su questa base è possibile formulare una previsione falsificabile riferita alla figura: a regime, la coppia clinica tra pediatra e Psicologo di Base dovrebbe produrre una riduzione dell’età media alla prima rilevazione del disagio emotivo e comportamentale e un incremento della quota di tali difficoltà gestita al primo livello senza ricorso alla neuropsichiatria specialistica, con corrispondente riduzione dei tempi di attesa per la valutazione specialistica. La previsione è enunciata in forma di banda prudenziale, con indicazione delle soglie di confutazione, e sarà sottoposta a verifica nel sistema di monitoraggio regionale, nel rispetto del vincolo di falsificabilità che governa l’intera opera.</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3.3 — Profilo del pediatra di libera scelta</w:t>
            </w:r>
          </w:p>
        </w:tc>
      </w:tr>
      <w:tr>
        <w:tc>
          <w:tcPr/>
          <w:p>
            <w:pPr>
              <w:pStyle w:val="Compact"/>
              <w:spacing w:after="40" w:before="40"/>
              <w:jc w:val="left"/>
            </w:pPr>
            <w:r>
              <w:rPr>
                <w:rFonts w:ascii="Cambria" w:hAnsi="Cambria" w:cs="Cambria" w:eastAsia="Cambria"/>
                <w:color w:val="1A1A1A"/>
                <w:sz w:val="18"/>
              </w:rPr>
              <w:t xml:space="preserve">Ruolo nella riforma</w:t>
            </w:r>
          </w:p>
        </w:tc>
      </w:tr>
      <w:tr>
        <w:tc>
          <w:tcPr>
            <w:shd w:val="clear" w:color="auto" w:fill="F4F1EC"/>
          </w:tcPr>
          <w:p>
            <w:pPr>
              <w:pStyle w:val="Compact"/>
              <w:spacing w:after="40" w:before="40"/>
              <w:jc w:val="left"/>
            </w:pPr>
            <w:r>
              <w:rPr>
                <w:rFonts w:ascii="Cambria" w:hAnsi="Cambria" w:cs="Cambria" w:eastAsia="Cambria"/>
                <w:color w:val="1A1A1A"/>
                <w:sz w:val="18"/>
              </w:rPr>
              <w:t xml:space="preserve">Connessione con lo Psicologo di Base</w:t>
            </w:r>
          </w:p>
        </w:tc>
      </w:tr>
      <w:tr>
        <w:tc>
          <w:tcPr/>
          <w:p>
            <w:pPr>
              <w:pStyle w:val="Compact"/>
              <w:spacing w:after="40" w:before="40"/>
              <w:jc w:val="left"/>
            </w:pPr>
            <w:r>
              <w:rPr>
                <w:rFonts w:ascii="Cambria" w:hAnsi="Cambria" w:cs="Cambria" w:eastAsia="Cambria"/>
                <w:color w:val="1A1A1A"/>
                <w:sz w:val="18"/>
              </w:rPr>
              <w:t xml:space="preserve">Peso d’influenza nel progetto</w:t>
            </w:r>
          </w:p>
        </w:tc>
      </w:tr>
      <w:tr>
        <w:tc>
          <w:tcPr>
            <w:shd w:val="clear" w:color="auto" w:fill="F4F1EC"/>
          </w:tcPr>
          <w:p>
            <w:pPr>
              <w:pStyle w:val="Compact"/>
              <w:spacing w:after="40" w:before="40"/>
              <w:jc w:val="left"/>
            </w:pPr>
            <w:r>
              <w:rPr>
                <w:rFonts w:ascii="Cambria" w:hAnsi="Cambria" w:cs="Cambria" w:eastAsia="Cambria"/>
                <w:color w:val="1A1A1A"/>
                <w:sz w:val="18"/>
              </w:rPr>
              <w:t xml:space="preserve">Capacità di rientro economico o di revisione della spesa</w:t>
            </w:r>
          </w:p>
        </w:tc>
      </w:tr>
    </w:tbl>
    <w:bookmarkEnd w:id="147"/>
    <w:bookmarkStart w:id="150" w:name="Xfad774dbac2ef1a1e761760e3c7aaddeb669791"/>
    <w:p>
      <w:pPr>
        <w:pStyle w:val="Heading2"/>
      </w:pPr>
      <w:r>
        <w:t xml:space="preserve">3.4 Il neurologo e le neuroscienze territoriali</w:t>
      </w:r>
    </w:p>
    <w:p>
      <w:pPr>
        <w:pStyle w:val="FirstParagraph"/>
      </w:pPr>
      <w:r>
        <w:t xml:space="preserve">Il neurologo completa, accanto al medico di medicina generale e al pediatra di libera scelta, la triade delle figure cliniche di primo livello specialistico che la cascata colloca al secondo livello. La sua posizione nella riforma discende da una caratteristica peculiare della domanda neurologica, che la rende un terreno di intersezione privilegiato con la psicologia delle cure primarie. Una quota rilevante della domanda che afflusce agli ambulatori di neurologia è costituita da sintomi funzionali o medicalmente inspiegati — cefalee, vertigini, episodi non epilettici, disturbi della sensibilità e del movimento privi di substrato lesionale — che presentano un fondamento psicologico e che gli studi sulla composizione della casistica neurologica documentano come parte cospicua dei nuovi accessi.</w:t>
      </w:r>
      <w:r>
        <w:rPr>
          <w:rStyle w:val="FootnoteReference"/>
        </w:rPr>
        <w:footnoteReference w:id="86"/>
      </w:r>
      <w:r>
        <w:t xml:space="preserve"> </w:t>
      </w:r>
      <w:r>
        <w:t xml:space="preserve">A ciò si aggiunge la frequente comorbilità tra le patologie neurologiche conclamate e i disturbi dell’umore, dalla depressione post-ictus alla sofferenza depressiva nell’epilessia, nella malattia di Parkinson e nelle patologie demielinizzanti, comorbilità che incide sull’esito clinico e sui costi e che richiede una competenza psicologica integrata.</w:t>
      </w:r>
      <w:r>
        <w:rPr>
          <w:rStyle w:val="FootnoteReference"/>
        </w:rPr>
        <w:footnoteReference w:id="87"/>
      </w:r>
      <w:r>
        <w:t xml:space="preserve"> </w:t>
      </w:r>
      <w:r>
        <w:t xml:space="preserve">Il neurologo, in questo quadro, è la figura che presidia il confine tra l’organico e il funzionale, e la riforma ne valorizza il ruolo collegandolo alla competenza psicologica del primo livello.</w:t>
      </w:r>
    </w:p>
    <w:p>
      <w:pPr>
        <w:pStyle w:val="BodyText"/>
      </w:pPr>
      <w:r>
        <w:t xml:space="preserve">La connessione del neurologo con lo Psicologo di Base è diretta e si esercita lungo questo confine. Da un lato, la disponibilità di una risposta psicologica nelle cure primarie consente di intercettare e indirizzare appropriatamente la domanda di natura funzionale prima che essa si traduca in un percorso diagnostico specialistico costoso e talora iatrogeno; dall’altro, la collaborazione tra il neurologo e lo Psicologo di Base permette di gestire la comorbilità psichica delle patologie neurologiche all’interno di un percorso integrato, in cui il neurologo conserva la governance della patologia organica e lo Psicologo di Base assume la presa in carico della sofferenza psichica associata. Il neurologo svolge inoltre una funzione di regolazione dell’accesso alle neuroscienze territoriali, indirizzando ai livelli a maggiore intensità soltanto i casi che richiedono effettivamente una valutazione e un trattamento specialistici, e restituendo al primo livello la gestione delle condizioni a prevalente componente psicologica.</w:t>
      </w:r>
    </w:p>
    <w:p>
      <w:pPr>
        <w:pStyle w:val="BodyText"/>
      </w:pPr>
      <w:r>
        <w:t xml:space="preserve">La capacità di rientro economico del neurologo si esercita prevalentemente attraverso il canale dell’appropriatezza diagnostica, e si distingue per questo dalla capacità, immediata, della coppia clinica della medicina generale e da quella, differita, del pediatra. L’intercettazione precoce della domanda funzionale da parte del primo livello consente di ridurre il ricorso inappropriato alla diagnostica per immagini — tomografia computerizzata e risonanza magnetica — e alle indagini neurofisiologiche, nonché la reiterazione di visite specialistiche per condizioni a prevalente fondamento psicologico, con corrispondente riduzione anche della mobilità sanitaria passiva verso strutture extraregionali per prestazioni neurologiche. Il nesso tra i sintomi funzionali e il loro substrato psicologico è documentato con un grado di certezza da moderato a elevato, mentre la stima del risparmio conseguente al filtro operato dal primo livello richiede una proiezione prudenziale e una graduazione attenta; in coerenza con i vincoli dell’opera, tale risparmio è ricondotto al canale dell’appropriatezza, distinto dagli altri canali del risparmio diretto e non con essi cumulato, e mantenuto entro gli intervalli di rendimento validati.</w:t>
      </w:r>
    </w:p>
    <w:p>
      <w:pPr>
        <w:pStyle w:val="BodyText"/>
      </w:pPr>
      <w:r>
        <w:t xml:space="preserve">Gli ambiti del perimetro integrale su cui il neurologo incide in modo più diretto sono quello salutistico e quello sanitario, in particolare nella dimensione dell’appropriatezza prescrittiva e diagnostica, e quello prevenzionalistico, nella misura in cui la gestione integrata della comorbilità psichica delle patologie neurologiche previene il loro aggravamento; vi si aggiunge l’ambito assistenzialistico, in ragione del carico che le patologie neurologiche croniche fanno gravare sulle famiglie e sui caregiver. Su questa base è possibile formulare una previsione falsificabile riferita alla figura: a regime, l’intercettazione della domanda funzionale da parte del primo livello dovrebbe produrre una riduzione misurabile delle richieste inappropriate di diagnostica per immagini e di indagini neurofisiologiche per presentazioni a prevalente fondamento psicologico, collocabile in via prudenziale in una banda di riduzione e accompagnata dall’indicazione delle soglie il cui mancato raggiungimento ne segnalerebbe la confutazione, secondo il vincolo di falsificabilità dell’opera.</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3.4 — Profilo del neurologo e delle neuroscienze territoriali</w:t>
            </w:r>
          </w:p>
        </w:tc>
      </w:tr>
      <w:tr>
        <w:tc>
          <w:tcPr/>
          <w:p>
            <w:pPr>
              <w:pStyle w:val="Compact"/>
              <w:spacing w:after="40" w:before="40"/>
              <w:jc w:val="left"/>
            </w:pPr>
            <w:r>
              <w:rPr>
                <w:rFonts w:ascii="Cambria" w:hAnsi="Cambria" w:cs="Cambria" w:eastAsia="Cambria"/>
                <w:color w:val="1A1A1A"/>
                <w:sz w:val="18"/>
              </w:rPr>
              <w:t xml:space="preserve">Ruolo nella riforma</w:t>
            </w:r>
          </w:p>
        </w:tc>
      </w:tr>
      <w:tr>
        <w:tc>
          <w:tcPr>
            <w:shd w:val="clear" w:color="auto" w:fill="F4F1EC"/>
          </w:tcPr>
          <w:p>
            <w:pPr>
              <w:pStyle w:val="Compact"/>
              <w:spacing w:after="40" w:before="40"/>
              <w:jc w:val="left"/>
            </w:pPr>
            <w:r>
              <w:rPr>
                <w:rFonts w:ascii="Cambria" w:hAnsi="Cambria" w:cs="Cambria" w:eastAsia="Cambria"/>
                <w:color w:val="1A1A1A"/>
                <w:sz w:val="18"/>
              </w:rPr>
              <w:t xml:space="preserve">Connessione con lo Psicologo di Base</w:t>
            </w:r>
          </w:p>
        </w:tc>
      </w:tr>
      <w:tr>
        <w:tc>
          <w:tcPr/>
          <w:p>
            <w:pPr>
              <w:pStyle w:val="Compact"/>
              <w:spacing w:after="40" w:before="40"/>
              <w:jc w:val="left"/>
            </w:pPr>
            <w:r>
              <w:rPr>
                <w:rFonts w:ascii="Cambria" w:hAnsi="Cambria" w:cs="Cambria" w:eastAsia="Cambria"/>
                <w:color w:val="1A1A1A"/>
                <w:sz w:val="18"/>
              </w:rPr>
              <w:t xml:space="preserve">Peso d’influenza nel progetto</w:t>
            </w:r>
          </w:p>
        </w:tc>
      </w:tr>
      <w:tr>
        <w:tc>
          <w:tcPr>
            <w:shd w:val="clear" w:color="auto" w:fill="F4F1EC"/>
          </w:tcPr>
          <w:p>
            <w:pPr>
              <w:pStyle w:val="Compact"/>
              <w:spacing w:after="40" w:before="40"/>
              <w:jc w:val="left"/>
            </w:pPr>
            <w:r>
              <w:rPr>
                <w:rFonts w:ascii="Cambria" w:hAnsi="Cambria" w:cs="Cambria" w:eastAsia="Cambria"/>
                <w:color w:val="1A1A1A"/>
                <w:sz w:val="18"/>
              </w:rPr>
              <w:t xml:space="preserve">Capacità di rientro economico o di revisione della spesa</w:t>
            </w:r>
          </w:p>
        </w:tc>
      </w:tr>
    </w:tbl>
    <w:bookmarkEnd w:id="150"/>
    <w:bookmarkStart w:id="154" w:name="X7a64966ec42783250f0201b1ee521981f8d9dcd"/>
    <w:p>
      <w:pPr>
        <w:pStyle w:val="Heading2"/>
      </w:pPr>
      <w:r>
        <w:t xml:space="preserve">3.5 L’infermiere di famiglia e di comunità e la funzione di care manager</w:t>
      </w:r>
    </w:p>
    <w:p>
      <w:pPr>
        <w:pStyle w:val="FirstParagraph"/>
      </w:pPr>
      <w:r>
        <w:t xml:space="preserve">L’infermiere di famiglia e di comunità apre il terzo livello della cascata, quello delle ulteriori figure sanitarie e socio-sanitarie la cui connessione con lo Psicologo di Base è mediata ma essenziale per la continuità del percorso e per la prevenzione delle ricadute. La figura ha ricevuto un riconoscimento istituzionale dal modello di assistenza territoriale definito dalla normativa nazionale, che le ha attribuito una funzione di prossimità e di presa in carico continuativa nella comunità.</w:t>
      </w:r>
      <w:r>
        <w:rPr>
          <w:rStyle w:val="FootnoteReference"/>
        </w:rPr>
        <w:footnoteReference w:id="88"/>
      </w:r>
      <w:r>
        <w:t xml:space="preserve"> </w:t>
      </w:r>
      <w:r>
        <w:t xml:space="preserve">Nell’architettura della riforma, l’infermiere di famiglia e di comunità incarna una funzione che la letteratura internazionale ha identificato come uno dei componenti più solidi ed efficaci del modello di assistenza collaborativa: la funzione di care manager, ossia di gestore organizzato del percorso di cura, cui spettano la programmazione del follow-up, il monitoraggio strutturato dei sintomi, il sostegno all’aderenza, la rilevazione precoce delle ricadute e il ricontatto dei pazienti che interrompono il percorso.</w:t>
      </w:r>
      <w:r>
        <w:rPr>
          <w:rStyle w:val="FootnoteReference"/>
        </w:rPr>
        <w:footnoteReference w:id="89"/>
      </w:r>
    </w:p>
    <w:p>
      <w:pPr>
        <w:pStyle w:val="BodyText"/>
      </w:pPr>
      <w:r>
        <w:t xml:space="preserve">La connessione dell’infermiere di famiglia e di comunità con lo Psicologo di Base è mediata, perché non si colloca nel momento del primo contatto e della valutazione, ma nel tempo successivo della presa in carico e della continuità; ed è precisamente questa collocazione a renderla essenziale. Il valore del modello di assistenza collaborativa non risiede soltanto nell’intercettazione della domanda al primo livello, ma nella capacità di mantenere il paziente all’interno di un percorso strutturato e di evitare le dispersioni che, nell’assetto attuale, conducono all’abbandono del trattamento e alla ricaduta. La funzione di care manager assolve a questo compito: l’infermiere di famiglia e di comunità opera come il punto di continuità tra lo Psicologo di Base, il medico di medicina generale e i livelli specialistici, traducendo l’intercettazione in presa in carico effettiva e prevenendo la perdita di pazienti tra i livelli del sistema. In questo senso, la figura non aggiunge un nuovo punto di ingresso, ma consolida l’efficacia dei punti di ingresso esistenti, ed è la condizione organizzativa che converte l’efficacia clinica in continuità assistenziale.</w:t>
      </w:r>
    </w:p>
    <w:p>
      <w:pPr>
        <w:pStyle w:val="BodyText"/>
      </w:pPr>
      <w:r>
        <w:t xml:space="preserve">La capacità di rientro economico dell’infermiere di famiglia e di comunità è orientata al contenimento dei costi assistenziali e alla prevenzione delle ricadute, e si distingue per questo dai canali diretti delle figure cliniche di primo contatto. La continuità assistenziale e il monitoraggio strutturato riducono le ricadute, le crisi e i conseguenti accessi non programmati ai livelli a maggiore intensità, e consentono una più efficiente allocazione delle competenze, liberando il tempo dello Psicologo di Base e dello specialista dalle attività di monitoraggio che la funzione di care manager assorbe. L’evidenza che sostiene l’efficacia di questa funzione è tra le più robuste dell’intero modello di assistenza collaborativa, ed è documentata da revisioni sistematiche e da meta-analisi di elevata qualità che ne attestano il contributo al miglioramento degli esiti e alla continuità del percorso.</w:t>
      </w:r>
      <w:r>
        <w:rPr>
          <w:rStyle w:val="FootnoteReference"/>
        </w:rPr>
        <w:footnoteReference w:id="90"/>
      </w:r>
      <w:r>
        <w:t xml:space="preserve"> </w:t>
      </w:r>
      <w:r>
        <w:t xml:space="preserve">In coerenza con i vincoli dell’opera, il valore della figura è enunciato come contenimento dei costi assistenziali per ricaduta evitata, distinto dai risparmi diretti delle figure di primo contatto e non con essi cumulato, e ricondotto agli intervalli di rendimento validati.</w:t>
      </w:r>
    </w:p>
    <w:p>
      <w:pPr>
        <w:pStyle w:val="BodyText"/>
      </w:pPr>
      <w:r>
        <w:t xml:space="preserve">Gli ambiti del perimetro integrale su cui l’infermiere di famiglia e di comunità incide in modo più diretto sono quello assistenzialistico, in ragione del sostegno alla continuità e dell’alleggerimento del carico che grava sui pazienti e sulle famiglie, quello prevenzionalistico, in ragione della prevenzione delle ricadute, e quello sanitario, nella dimensione della razionalizzazione dei percorsi. Su questa base è possibile formulare una previsione falsificabile riferita alla figura: a regime, l’introduzione della funzione di care manager dovrebbe produrre un incremento misurabile della quota di pazienti che completano il percorso di follow-up programmato e una corrispondente riduzione delle ricadute e degli accessi non programmati ai livelli specialistici, collocabili in via prudenziale in bande di oscillazione, con indicazione delle soglie di confutazione e verifica nel sistema di monitoraggio regionale, secondo il vincolo di falsificabilità dell’opera.</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3.5 — Profilo dell’infermiere di famiglia e di comunità</w:t>
            </w:r>
          </w:p>
        </w:tc>
      </w:tr>
      <w:tr>
        <w:tc>
          <w:tcPr/>
          <w:p>
            <w:pPr>
              <w:pStyle w:val="Compact"/>
              <w:spacing w:after="40" w:before="40"/>
              <w:jc w:val="left"/>
            </w:pPr>
            <w:r>
              <w:rPr>
                <w:rFonts w:ascii="Cambria" w:hAnsi="Cambria" w:cs="Cambria" w:eastAsia="Cambria"/>
                <w:color w:val="1A1A1A"/>
                <w:sz w:val="18"/>
              </w:rPr>
              <w:t xml:space="preserve">Ruolo nella riforma</w:t>
            </w:r>
          </w:p>
        </w:tc>
      </w:tr>
      <w:tr>
        <w:tc>
          <w:tcPr>
            <w:shd w:val="clear" w:color="auto" w:fill="F4F1EC"/>
          </w:tcPr>
          <w:p>
            <w:pPr>
              <w:pStyle w:val="Compact"/>
              <w:spacing w:after="40" w:before="40"/>
              <w:jc w:val="left"/>
            </w:pPr>
            <w:r>
              <w:rPr>
                <w:rFonts w:ascii="Cambria" w:hAnsi="Cambria" w:cs="Cambria" w:eastAsia="Cambria"/>
                <w:color w:val="1A1A1A"/>
                <w:sz w:val="18"/>
              </w:rPr>
              <w:t xml:space="preserve">Connessione con lo Psicologo di Base</w:t>
            </w:r>
          </w:p>
        </w:tc>
      </w:tr>
      <w:tr>
        <w:tc>
          <w:tcPr/>
          <w:p>
            <w:pPr>
              <w:pStyle w:val="Compact"/>
              <w:spacing w:after="40" w:before="40"/>
              <w:jc w:val="left"/>
            </w:pPr>
            <w:r>
              <w:rPr>
                <w:rFonts w:ascii="Cambria" w:hAnsi="Cambria" w:cs="Cambria" w:eastAsia="Cambria"/>
                <w:color w:val="1A1A1A"/>
                <w:sz w:val="18"/>
              </w:rPr>
              <w:t xml:space="preserve">Peso d’influenza nel progetto</w:t>
            </w:r>
          </w:p>
        </w:tc>
      </w:tr>
      <w:tr>
        <w:tc>
          <w:tcPr>
            <w:shd w:val="clear" w:color="auto" w:fill="F4F1EC"/>
          </w:tcPr>
          <w:p>
            <w:pPr>
              <w:pStyle w:val="Compact"/>
              <w:spacing w:after="40" w:before="40"/>
              <w:jc w:val="left"/>
            </w:pPr>
            <w:r>
              <w:rPr>
                <w:rFonts w:ascii="Cambria" w:hAnsi="Cambria" w:cs="Cambria" w:eastAsia="Cambria"/>
                <w:color w:val="1A1A1A"/>
                <w:sz w:val="18"/>
              </w:rPr>
              <w:t xml:space="preserve">Capacità di rientro economico o di revisione della spesa</w:t>
            </w:r>
          </w:p>
        </w:tc>
      </w:tr>
    </w:tbl>
    <w:bookmarkEnd w:id="154"/>
    <w:bookmarkStart w:id="160" w:name="X7dfa3cbee68979e24a7d852858e63d61ddb5157"/>
    <w:p>
      <w:pPr>
        <w:pStyle w:val="Heading2"/>
      </w:pPr>
      <w:r>
        <w:t xml:space="preserve">3.6 Lo psichiatra consulente e i Centri di Salute Mentale</w:t>
      </w:r>
    </w:p>
    <w:p>
      <w:pPr>
        <w:pStyle w:val="FirstParagraph"/>
      </w:pPr>
      <w:r>
        <w:t xml:space="preserve">Lo psichiatra consulente e i Centri di Salute Mentale costituiscono, nel terzo livello della cascata, il presidio specialistico cui la riforma assegna una funzione ridefinita rispetto all’assetto attuale. Nel modello di assistenza collaborativa che la riforma adotta, lo psichiatra non opera prevalentemente come erogatore di prima linea del trattamento, ma come consulente del percorso, cui spetta la supervisione organizzata della casistica gestita al primo livello e l’apporto specialistico nei casi che lo richiedono, riservando l’intervento diretto alle situazioni di maggiore gravità e complessità.</w:t>
      </w:r>
      <w:r>
        <w:rPr>
          <w:rStyle w:val="FootnoteReference"/>
        </w:rPr>
        <w:footnoteReference w:id="91"/>
      </w:r>
      <w:r>
        <w:t xml:space="preserve"> </w:t>
      </w:r>
      <w:r>
        <w:t xml:space="preserve">I Centri di Salute Mentale, in questo quadro, sono restituiti alla loro funzione propria, che è la presa in carico della psicopatologia grave e complessa, e sono alleggeriti della domanda di disagio comune che oggi vi affluisce impropriamente, in assenza di un primo livello che la intercetti.</w:t>
      </w:r>
      <w:r>
        <w:rPr>
          <w:rStyle w:val="FootnoteReference"/>
        </w:rPr>
        <w:footnoteReference w:id="92"/>
      </w:r>
      <w:r>
        <w:t xml:space="preserve"> </w:t>
      </w:r>
      <w:r>
        <w:t xml:space="preserve">La riforma, in altri termini, non sottrae risorse ai servizi specialistici, ma ne ricolloca l’azione sul segmento di bisogno che effettivamente le richiede.</w:t>
      </w:r>
    </w:p>
    <w:p>
      <w:pPr>
        <w:pStyle w:val="BodyText"/>
      </w:pPr>
      <w:r>
        <w:t xml:space="preserve">La connessione dello psichiatra consulente con lo Psicologo di Base è mediata e si esercita attraverso due meccanismi complementari. Il primo è il filtro operato dal primo livello, che intercetta e gestisce la domanda di disagio comune e indirizza ai Centri di Salute Mentale soltanto i casi di effettiva gravità, riducendo la domanda inappropriata e i tempi di attesa che ne conseguono. Il secondo è la supervisione consulenziale, attraverso la quale lo psichiatra fornisce l’apporto specialistico alla casistica gestita al primo livello senza che il paziente debba necessariamente transitare al livello specialistico, secondo una modalità che la letteratura ha mostrato essere efficiente, poiché la revisione organizzata della casistica consente a un singolo specialista di coprire un numero ampio di pazienti per unità di tempo. Lo psichiatra consulente, in questo senso, non è connesso al primo livello come destinatario passivo degli invii, ma come supervisore attivo del percorso, e i Centri di Salute Mentale ne risultano sgravati e ricollocati sulla psicopatologia grave.</w:t>
      </w:r>
    </w:p>
    <w:p>
      <w:pPr>
        <w:pStyle w:val="BodyText"/>
      </w:pPr>
      <w:r>
        <w:t xml:space="preserve">La capacità di rientro economico dello psichiatra consulente e dei Centri di Salute Mentale si esercita attraverso la razionalizzazione delle risorse specialistiche, ed è di natura prevalentemente organizzativa. La riduzione della domanda inappropriata ai Centri di Salute Mentale e l’adozione del modello consulenziale consentono di ridurre i tempi di attesa per la presa in carico specialistica, che il governo nazionale delle liste di attesa individua come obiettivo prioritario,</w:t>
      </w:r>
      <w:r>
        <w:rPr>
          <w:rStyle w:val="FootnoteReference"/>
        </w:rPr>
        <w:footnoteReference w:id="93"/>
      </w:r>
      <w:r>
        <w:t xml:space="preserve"> </w:t>
      </w:r>
      <w:r>
        <w:t xml:space="preserve">e di contenere la mobilità sanitaria passiva verso strutture extraregionali per prestazioni psichiatriche, che grava sul bilancio regionale.</w:t>
      </w:r>
      <w:r>
        <w:rPr>
          <w:rStyle w:val="FootnoteReference"/>
        </w:rPr>
        <w:footnoteReference w:id="94"/>
      </w:r>
      <w:r>
        <w:t xml:space="preserve"> </w:t>
      </w:r>
      <w:r>
        <w:t xml:space="preserve">L’evidenza che sostiene l’efficacia del modello consulenziale e della supervisione organizzata della casistica è di elevata qualità, ed è documentata dalle sperimentazioni controllate e dalle revisioni sistematiche sull’assistenza collaborativa.</w:t>
      </w:r>
      <w:r>
        <w:rPr>
          <w:rStyle w:val="FootnoteReference"/>
        </w:rPr>
        <w:footnoteReference w:id="95"/>
      </w:r>
      <w:r>
        <w:t xml:space="preserve"> </w:t>
      </w:r>
      <w:r>
        <w:t xml:space="preserve">In coerenza con i vincoli dell’opera, il valore della figura è enunciato come razionalizzazione delle risorse specialistiche e riduzione delle attese, distinto dai risparmi diretti delle figure di primo contatto e dai benefici differiti delle figure preventive, e non con essi cumulato, nel rispetto della regola di non duplicazione.</w:t>
      </w:r>
    </w:p>
    <w:p>
      <w:pPr>
        <w:pStyle w:val="BodyText"/>
      </w:pPr>
      <w:r>
        <w:t xml:space="preserve">Gli ambiti del perimetro integrale su cui lo psichiatra consulente e i Centri di Salute Mentale incidono in modo più diretto sono quello sanitario, nella dimensione dell’appropriatezza dell’accesso specialistico e della riduzione delle liste di attesa, e quello prevenzionalistico, nella misura in cui la corretta presa in carico della psicopatologia grave previene gli aggravamenti e le ricadute più costose. Su questa base è possibile formulare una previsione falsificabile riferita alla figura: a regime, il filtro operato dal primo livello e l’adozione del modello consulenziale dovrebbero produrre una riduzione misurabile dei tempi di attesa per la prima presa in carico ai Centri di Salute Mentale e un incremento della quota di casi gravi sul totale degli accessi, segno di una più appropriata selezione della domanda specialistica; le previsioni sono enunciate in forma di banda prudenziale, con indicazione delle soglie di confutazione e verifica nel sistema di monitoraggio regionale, secondo il vincolo di falsificabilità dell’opera.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3.6 — Profilo dello psichiatra consulente e dei Centri di Salute Mentale</w:t>
            </w:r>
          </w:p>
        </w:tc>
      </w:tr>
      <w:tr>
        <w:tc>
          <w:tcPr/>
          <w:p>
            <w:pPr>
              <w:pStyle w:val="Compact"/>
              <w:spacing w:after="40" w:before="40"/>
              <w:jc w:val="left"/>
            </w:pPr>
            <w:r>
              <w:rPr>
                <w:rFonts w:ascii="Cambria" w:hAnsi="Cambria" w:cs="Cambria" w:eastAsia="Cambria"/>
                <w:color w:val="1A1A1A"/>
                <w:sz w:val="18"/>
              </w:rPr>
              <w:t xml:space="preserve">Ruolo nella riforma</w:t>
            </w:r>
          </w:p>
        </w:tc>
      </w:tr>
      <w:tr>
        <w:tc>
          <w:tcPr>
            <w:shd w:val="clear" w:color="auto" w:fill="F4F1EC"/>
          </w:tcPr>
          <w:p>
            <w:pPr>
              <w:pStyle w:val="Compact"/>
              <w:spacing w:after="40" w:before="40"/>
              <w:jc w:val="left"/>
            </w:pPr>
            <w:r>
              <w:rPr>
                <w:rFonts w:ascii="Cambria" w:hAnsi="Cambria" w:cs="Cambria" w:eastAsia="Cambria"/>
                <w:color w:val="1A1A1A"/>
                <w:sz w:val="18"/>
              </w:rPr>
              <w:t xml:space="preserve">Connessione con lo Psicologo di Base</w:t>
            </w:r>
          </w:p>
        </w:tc>
      </w:tr>
      <w:tr>
        <w:tc>
          <w:tcPr/>
          <w:p>
            <w:pPr>
              <w:pStyle w:val="Compact"/>
              <w:spacing w:after="40" w:before="40"/>
              <w:jc w:val="left"/>
            </w:pPr>
            <w:r>
              <w:rPr>
                <w:rFonts w:ascii="Cambria" w:hAnsi="Cambria" w:cs="Cambria" w:eastAsia="Cambria"/>
                <w:color w:val="1A1A1A"/>
                <w:sz w:val="18"/>
              </w:rPr>
              <w:t xml:space="preserve">Peso d’influenza nel progetto</w:t>
            </w:r>
          </w:p>
        </w:tc>
      </w:tr>
      <w:tr>
        <w:tc>
          <w:tcPr>
            <w:shd w:val="clear" w:color="auto" w:fill="F4F1EC"/>
          </w:tcPr>
          <w:p>
            <w:pPr>
              <w:pStyle w:val="Compact"/>
              <w:spacing w:after="40" w:before="40"/>
              <w:jc w:val="left"/>
            </w:pPr>
            <w:r>
              <w:rPr>
                <w:rFonts w:ascii="Cambria" w:hAnsi="Cambria" w:cs="Cambria" w:eastAsia="Cambria"/>
                <w:color w:val="1A1A1A"/>
                <w:sz w:val="18"/>
              </w:rPr>
              <w:t xml:space="preserve">Capacità di rientro economico o di revisione della spesa</w:t>
            </w:r>
          </w:p>
        </w:tc>
      </w:tr>
    </w:tbl>
    <w:bookmarkEnd w:id="160"/>
    <w:bookmarkStart w:id="164" w:name="X0871af9fb286bbffead1565d6e5a4d5eb5fdc28"/>
    <w:p>
      <w:pPr>
        <w:pStyle w:val="Heading2"/>
      </w:pPr>
      <w:r>
        <w:t xml:space="preserve">3.7 L’assistente sociale e il servizio sociale territoriale</w:t>
      </w:r>
    </w:p>
    <w:p>
      <w:pPr>
        <w:pStyle w:val="FirstParagraph"/>
      </w:pPr>
      <w:r>
        <w:t xml:space="preserve">L’assistente sociale occupa, nella cascata, il livello in cui il disagio psichico cessa di essere considerato come fatto esclusivamente clinico e viene riconosciuto nella sua dimensione sociale, che ne costituisce tanto la radice quanto la conseguenza. La sofferenza psichica comune non nasce, nella maggioranza dei casi, in un vuoto biografico: essa affonda le proprie radici in condizioni di precarietà economica, di isolamento relazionale, di fragilità abitativa, di rottura dei legami familiari, e a sua volta produce, se non intercettata, un ulteriore impoverimento di tali condizioni, in una spirale che la sola risposta clinica non è in grado di interrompere. La posizione dell’assistente sociale nella riforma discende da questa constatazione: la figura presidia i determinanti sociali della salute mentale, agendo sul contesto in cui il disagio si genera e si mantiene, e completa per questa via l’azione clinica dello Psicologo di Base e della coppia clinica, che senza un corrispondente sociale resterebbe sospesa su un terreno instabile.</w:t>
      </w:r>
    </w:p>
    <w:p>
      <w:pPr>
        <w:pStyle w:val="BodyText"/>
      </w:pPr>
      <w:r>
        <w:t xml:space="preserve">La connessione dell’assistente sociale con lo Psicologo di Base è diretta e si realizza attraverso l’integrazione socio-sanitaria, che la riforma assume come principio organizzativo e che il quadro normativo nazionale dei servizi sociali pone a fondamento del sistema integrato di interventi e servizi sociali.</w:t>
      </w:r>
      <w:r>
        <w:rPr>
          <w:rStyle w:val="FootnoteReference"/>
        </w:rPr>
        <w:footnoteReference w:id="96"/>
      </w:r>
      <w:r>
        <w:t xml:space="preserve"> </w:t>
      </w:r>
      <w:r>
        <w:t xml:space="preserve">Lo Psicologo di Base intercetta, al primo livello, una domanda il cui nucleo è frequentemente sociale prima che clinico; l’assistente sociale assume in carico tale nucleo, attivando le risorse del territorio, gli interventi di sostegno al reddito, le misure abitative, i percorsi di reinserimento, e restituisce alla presa in carico clinica un contesto di vita reso più sostenibile. Questa integrazione non è una semplice collaborazione tra servizi contigui, ma un dispositivo di presa in carico congiunta, nel quale la valutazione clinica e la valutazione sociale concorrono a un unico progetto sulla persona. È in questo concorso che la pratica internazionale ha riconosciuto il valore della cosiddetta prescrizione sociale, ossia dell’indirizzo strutturato verso risorse non sanitarie di comunità in risposta a bisogni la cui origine è sociale, di cui le cure primarie sono il luogo naturale di attivazione.</w:t>
      </w:r>
      <w:r>
        <w:rPr>
          <w:rStyle w:val="FootnoteReference"/>
        </w:rPr>
        <w:footnoteReference w:id="97"/>
      </w:r>
    </w:p>
    <w:p>
      <w:pPr>
        <w:pStyle w:val="BodyText"/>
      </w:pPr>
      <w:r>
        <w:t xml:space="preserve">La capacità di rientro economico dell’assistente sociale è di natura prevalentemente indiretta, e si esercita nei domini welfaristico e assistenzialistico, dove la riforma libera il valore di maggiore entità differita. L’azione sui determinanti sociali del disagio, quando è precoce e integrata, riduce la durata e l’intensità del ricorso ai sostegni assistenziali, favorisce il recupero dell’autonomia e della capacità di partecipazione, e alleggerisce il carico che grava sulle famiglie e sulle reti informali di cura, contenendo nel tempo la spesa assistenziale e previdenziale. Tale valore, tuttavia, è differito e di qualità non uniforme: l’evidenza che sostiene l’efficacia degli interventi sociali e della prescrizione sociale sugli esiti di salute e sui costi è in via di consolidamento e si colloca, per la maggior parte degli esiti, in un grado da moderato a basso, sicché la prudenza impone di enunciare il ritorno come beneficio sociale differito, distinto dai risparmi sanitari diretti e non con essi cumulato, e ricondotto agli intervalli di rendimento validati per gli investimenti in salute mentale.</w:t>
      </w:r>
      <w:r>
        <w:rPr>
          <w:rStyle w:val="FootnoteReference"/>
        </w:rPr>
        <w:footnoteReference w:id="98"/>
      </w:r>
      <w:r>
        <w:t xml:space="preserve"> </w:t>
      </w:r>
      <w:r>
        <w:t xml:space="preserve">La regola di non duplicazione tra grandezze fiscali e sociali trova qui una delle proprie applicazioni più delicate, poiché il medesimo recupero di autonomia non può essere imputato contemporaneamente come risparmio assistenziale e come beneficio produttivo.</w:t>
      </w:r>
    </w:p>
    <w:p>
      <w:pPr>
        <w:pStyle w:val="BodyText"/>
      </w:pPr>
      <w:r>
        <w:t xml:space="preserve">Gli ambiti del perimetro integrale su cui l’assistente sociale incide in modo più diretto sono, di conseguenza, quello welfaristico, quello assistenzialistico e quello sociale, cui si aggiunge una ricaduta non trascurabile nel dominio criminologico, là dove la relazione tra disagio psichico, marginalità sociale e devianza rende l’intervento precoce sui determinanti sociali un fattore di prevenzione della deriva verso percorsi di esclusione e di conflitto con la legge, che la Parte nona analizzerà nel dettaglio. Su questa base è possibile formulare una previsione falsificabile riferita alla figura: a regime, l’integrazione tra presa in carico clinica e presa in carico sociale dovrebbe produrre una riduzione della durata media degli episodi di assistenza economica e sociale collegati a condizioni di disagio psichico e un incremento della quota di casi gestiti mediante progetto integrato socio-sanitario, collocabili, in via prudenziale e con banda di oscillazione, in un intervallo misurabile nell’orizzonte di consolidamento. La previsione è enunciata in forma di banda, con indicazione delle soglie il cui mancato raggiungimento ne segnalerebbe la confutazione, e sarà sottoposta a verifica nel sistema di monitoraggio regionale, in coerenza con il vincolo di falsificabilità dell’opera.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3.7 — Profilo dell’assistente sociale e del servizio sociale territoriale</w:t>
            </w:r>
          </w:p>
        </w:tc>
      </w:tr>
      <w:tr>
        <w:tc>
          <w:tcPr/>
          <w:p>
            <w:pPr>
              <w:pStyle w:val="Compact"/>
              <w:spacing w:after="40" w:before="40"/>
              <w:jc w:val="left"/>
            </w:pPr>
            <w:r>
              <w:rPr>
                <w:rFonts w:ascii="Cambria" w:hAnsi="Cambria" w:cs="Cambria" w:eastAsia="Cambria"/>
                <w:color w:val="1A1A1A"/>
                <w:sz w:val="18"/>
              </w:rPr>
              <w:t xml:space="preserve">Ruolo nella riforma</w:t>
            </w:r>
          </w:p>
        </w:tc>
      </w:tr>
      <w:tr>
        <w:tc>
          <w:tcPr>
            <w:shd w:val="clear" w:color="auto" w:fill="F4F1EC"/>
          </w:tcPr>
          <w:p>
            <w:pPr>
              <w:pStyle w:val="Compact"/>
              <w:spacing w:after="40" w:before="40"/>
              <w:jc w:val="left"/>
            </w:pPr>
            <w:r>
              <w:rPr>
                <w:rFonts w:ascii="Cambria" w:hAnsi="Cambria" w:cs="Cambria" w:eastAsia="Cambria"/>
                <w:color w:val="1A1A1A"/>
                <w:sz w:val="18"/>
              </w:rPr>
              <w:t xml:space="preserve">Connessione con lo Psicologo di Base</w:t>
            </w:r>
          </w:p>
        </w:tc>
      </w:tr>
      <w:tr>
        <w:tc>
          <w:tcPr/>
          <w:p>
            <w:pPr>
              <w:pStyle w:val="Compact"/>
              <w:spacing w:after="40" w:before="40"/>
              <w:jc w:val="left"/>
            </w:pPr>
            <w:r>
              <w:rPr>
                <w:rFonts w:ascii="Cambria" w:hAnsi="Cambria" w:cs="Cambria" w:eastAsia="Cambria"/>
                <w:color w:val="1A1A1A"/>
                <w:sz w:val="18"/>
              </w:rPr>
              <w:t xml:space="preserve">Peso d’influenza nel progetto</w:t>
            </w:r>
          </w:p>
        </w:tc>
      </w:tr>
      <w:tr>
        <w:tc>
          <w:tcPr>
            <w:shd w:val="clear" w:color="auto" w:fill="F4F1EC"/>
          </w:tcPr>
          <w:p>
            <w:pPr>
              <w:pStyle w:val="Compact"/>
              <w:spacing w:after="40" w:before="40"/>
              <w:jc w:val="left"/>
            </w:pPr>
            <w:r>
              <w:rPr>
                <w:rFonts w:ascii="Cambria" w:hAnsi="Cambria" w:cs="Cambria" w:eastAsia="Cambria"/>
                <w:color w:val="1A1A1A"/>
                <w:sz w:val="18"/>
              </w:rPr>
              <w:t xml:space="preserve">Capacità di rientro economico o di revisione della spesa</w:t>
            </w:r>
          </w:p>
        </w:tc>
      </w:tr>
    </w:tbl>
    <w:bookmarkEnd w:id="164"/>
    <w:bookmarkStart w:id="167" w:name="Xf679f068610d36c2854953521a9553345824bae"/>
    <w:p>
      <w:pPr>
        <w:pStyle w:val="Heading2"/>
      </w:pPr>
      <w:r>
        <w:t xml:space="preserve">3.8 Le ulteriori figure sanitarie e socio-sanitarie</w:t>
      </w:r>
    </w:p>
    <w:p>
      <w:pPr>
        <w:pStyle w:val="FirstParagraph"/>
      </w:pPr>
      <w:r>
        <w:t xml:space="preserve">Accanto alle figure cliniche di primo contatto e specialistiche già esaminate, la cascata comprende un insieme di figure sanitarie e socio-sanitarie che, pur occupando posizioni di influenza meno elevata, concorrono al funzionamento del servizio con competenze specifiche e con canali di valore propri. Esse non costituiscono un livello omogeneo, ma un fascio di funzioni complementari che la riforma integra nel percorso di prossimità: il farmacista di comunità, l’operatore socio-sanitario, il logopedista, il terapista della riabilitazione e l’ostetrica. La loro trattazione congiunta in questa sede non ne attenua il rilievo, ma ne riconosce la natura di figure di supporto e di completamento, ciascuna delle quali presidia un segmento del percorso assistenziale in cui l’azione dello Psicologo di Base trova un proprio prolungamento o una propria condizione.</w:t>
      </w:r>
    </w:p>
    <w:p>
      <w:pPr>
        <w:pStyle w:val="BodyText"/>
      </w:pPr>
      <w:r>
        <w:t xml:space="preserve">Il farmacista di comunità merita, in questo insieme, una considerazione distinta, poiché è la figura il cui canale di rientro presenta il carattere più direttamente economico. Nell’assetto della farmacia dei servizi, che la normativa nazionale ha delineato come evoluzione della funzione tradizionale della farmacia territoriale, il farmacista costituisce un presidio di prossimità diffuso capillarmente, primo interlocutore informale di una quota rilevante della popolazione e osservatore privilegiato dei consumi farmaceutici.</w:t>
      </w:r>
      <w:r>
        <w:rPr>
          <w:rStyle w:val="FootnoteReference"/>
        </w:rPr>
        <w:footnoteReference w:id="99"/>
      </w:r>
      <w:r>
        <w:t xml:space="preserve"> </w:t>
      </w:r>
      <w:r>
        <w:t xml:space="preserve">In questa veste, esso concorre alla riduzione della prescrizione inappropriata di psicofarmaci attraverso il monitoraggio dell’aderenza terapeutica, l’intercettazione del consumo prolungato e potenzialmente improprio di ansiolitici, segnatamente delle benzodiazepine, e la collaborazione con la coppia clinica nei percorsi di graduale sospensione, là dove indicati. Il valore del farmacista si salda così direttamente al primo canale di risparmio della coppia clinica, l’appropriatezza farmaceutica, di cui costituisce un moltiplicatore territoriale; e la letteratura internazionale sul ruolo della farmacia di comunità nella salute mentale, pur di qualità eterogenea, ne documenta il contributo all’intercettazione precoce e all’uso appropriato dei medicinali.</w:t>
      </w:r>
      <w:r>
        <w:rPr>
          <w:rStyle w:val="FootnoteReference"/>
        </w:rPr>
        <w:footnoteReference w:id="100"/>
      </w:r>
    </w:p>
    <w:p>
      <w:pPr>
        <w:pStyle w:val="BodyText"/>
      </w:pPr>
      <w:r>
        <w:t xml:space="preserve">Le rimanenti figure dell’insieme presidiano segmenti del percorso il cui valore è prevalentemente preventivo e riabilitativo. L’ostetrica occupa, fra esse, una posizione di particolare rilievo nel dominio prevenzionalistico, poiché presidia il periodo perinatale, fase di vulnerabilità psichica elevata in cui l’intercettazione precoce della depressione e dell’ansia della gravidanza e del puerperio produce ritorni ampi sulla salute della madre, sullo sviluppo del bambino e sulla tenuta del legame familiare; la sua collaborazione con lo Psicologo di Base configura un presidio di salute mentale perinatale che la riforma valorizza come investimento ad alto rendimento differito. Il logopedista e il terapista della riabilitazione presidiano, a loro volta, gli esiti dei disturbi del neurosviluppo in età evolutiva e delle patologie neurologiche nell’adulto, dove la componente psichica della disabilità e la sua riabilitazione si intrecciano con l’azione del neurologo e del pediatra. L’operatore socio-sanitario, infine, sostiene la presa in carico nei contesti di maggiore fragilità e di non autosufficienza, alleggerendo il carico assistenziale e concorrendo alla tenuta domiciliare dei percorsi.</w:t>
      </w:r>
    </w:p>
    <w:p>
      <w:pPr>
        <w:pStyle w:val="BodyText"/>
      </w:pPr>
      <w:r>
        <w:t xml:space="preserve">La capacità di rientro economico di questo insieme di figure è, di conseguenza, mista nella natura e prudenziale nella quantificazione. Al farmacista di comunità si associa un canale di rientro diretto, in quanto moltiplicatore territoriale dell’appropriatezza farmaceutica; alle altre figure si associa un valore prevalentemente preventivo e differito, nei domini prevenzionalistico, assistenzialistico e produttivistico. In tutti i casi, l’evidenza specifica relativa al contributo economico di tali figure nel quadro della riforma è meno consolidata di quella disponibile per le figure cliniche apicali, e ne impone una graduazione attenta e una proiezione contenuta entro bande prudenziali, nel rispetto della separazione tra grandezze dirette e indirette e della regola di non duplicazione. Su questa base è possibile formulare una previsione falsificabile riferita al segmento perinatale, scelto perché meglio documentato e misurabile: a regime, l’integrazione tra ostetrica e Psicologo di Base dovrebbe produrre un incremento della copertura dello screening della depressione perinatale e una riduzione dei casi che giungono ai servizi specialistici in fase conclamata, collocabili, in via prudenziale e con banda di oscillazione, in un intervallo verificabile nell’orizzonte di consolidamento. La previsione è enunciata in forma di banda, con indicazione delle soglie di confutazione, e sarà sottoposta a verifica nel sistema di monitoraggio regionale.</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3.8 — Profilo delle ulteriori figure sanitarie e socio-sanitarie</w:t>
            </w:r>
          </w:p>
        </w:tc>
      </w:tr>
      <w:tr>
        <w:tc>
          <w:tcPr/>
          <w:p>
            <w:pPr>
              <w:pStyle w:val="Compact"/>
              <w:spacing w:after="40" w:before="40"/>
              <w:jc w:val="left"/>
            </w:pPr>
            <w:r>
              <w:rPr>
                <w:rFonts w:ascii="Cambria" w:hAnsi="Cambria" w:cs="Cambria" w:eastAsia="Cambria"/>
                <w:color w:val="1A1A1A"/>
                <w:sz w:val="18"/>
              </w:rPr>
              <w:t xml:space="preserve">Ruolo nella riforma</w:t>
            </w:r>
          </w:p>
        </w:tc>
      </w:tr>
      <w:tr>
        <w:tc>
          <w:tcPr>
            <w:shd w:val="clear" w:color="auto" w:fill="F4F1EC"/>
          </w:tcPr>
          <w:p>
            <w:pPr>
              <w:pStyle w:val="Compact"/>
              <w:spacing w:after="40" w:before="40"/>
              <w:jc w:val="left"/>
            </w:pPr>
            <w:r>
              <w:rPr>
                <w:rFonts w:ascii="Cambria" w:hAnsi="Cambria" w:cs="Cambria" w:eastAsia="Cambria"/>
                <w:color w:val="1A1A1A"/>
                <w:sz w:val="18"/>
              </w:rPr>
              <w:t xml:space="preserve">Connessione con lo Psicologo di Base</w:t>
            </w:r>
          </w:p>
        </w:tc>
      </w:tr>
      <w:tr>
        <w:tc>
          <w:tcPr/>
          <w:p>
            <w:pPr>
              <w:pStyle w:val="Compact"/>
              <w:spacing w:after="40" w:before="40"/>
              <w:jc w:val="left"/>
            </w:pPr>
            <w:r>
              <w:rPr>
                <w:rFonts w:ascii="Cambria" w:hAnsi="Cambria" w:cs="Cambria" w:eastAsia="Cambria"/>
                <w:color w:val="1A1A1A"/>
                <w:sz w:val="18"/>
              </w:rPr>
              <w:t xml:space="preserve">Peso d’influenza nel progetto</w:t>
            </w:r>
          </w:p>
        </w:tc>
      </w:tr>
      <w:tr>
        <w:tc>
          <w:tcPr>
            <w:shd w:val="clear" w:color="auto" w:fill="F4F1EC"/>
          </w:tcPr>
          <w:p>
            <w:pPr>
              <w:pStyle w:val="Compact"/>
              <w:spacing w:after="40" w:before="40"/>
              <w:jc w:val="left"/>
            </w:pPr>
            <w:r>
              <w:rPr>
                <w:rFonts w:ascii="Cambria" w:hAnsi="Cambria" w:cs="Cambria" w:eastAsia="Cambria"/>
                <w:color w:val="1A1A1A"/>
                <w:sz w:val="18"/>
              </w:rPr>
              <w:t xml:space="preserve">Capacità di rientro economico o di revisione della spesa</w:t>
            </w:r>
          </w:p>
        </w:tc>
      </w:tr>
    </w:tbl>
    <w:bookmarkEnd w:id="167"/>
    <w:bookmarkStart w:id="170" w:name="le-figure-educative-e-scolastiche"/>
    <w:p>
      <w:pPr>
        <w:pStyle w:val="Heading2"/>
      </w:pPr>
      <w:r>
        <w:t xml:space="preserve">3.9 Le figure educative e scolastiche</w:t>
      </w:r>
    </w:p>
    <w:p>
      <w:pPr>
        <w:pStyle w:val="FirstParagraph"/>
      </w:pPr>
      <w:r>
        <w:t xml:space="preserve">Con le figure educative e scolastiche la cascata estende la propria portata oltre il perimetro sanitario, e raggiunge il luogo in cui il disagio dell’età evolutiva si manifesta con maggiore evidenza e dove la sua intercettazione precoce produce i ritorni più ampi sull’intero arco della vita. La scuola è, per la popolazione dei minori, il contesto di osservazione privilegiato del benessere e della sofferenza, il luogo in cui le difficoltà emotive, relazionali e comportamentali emergono nella loro espressione quotidiana e dove esse possono essere colte prima che si strutturino in forme conclamate. Lo psicologo scolastico costituisce, in questo contesto, il corrispondente educativo dello Psicologo di Base: la figura che presidia il benessere psicologico nella comunità scolastica, che sostiene gli studenti, i docenti e le famiglie, e che traduce l’osservazione del disagio in una risposta di prossimità collocata nel luogo stesso in cui il bisogno si manifesta.</w:t>
      </w:r>
    </w:p>
    <w:p>
      <w:pPr>
        <w:pStyle w:val="BodyText"/>
      </w:pPr>
      <w:r>
        <w:t xml:space="preserve">La connessione delle figure scolastiche con lo Psicologo di Base è diretta e si realizza per due vie convergenti. La prima è la via clinica, che passa attraverso il pediatra di libera scelta e attraverso il raccordo tra lo psicologo scolastico e il primo livello delle cure primarie, e che consente di indirizzare verso la presa in carico sanitaria i casi che la richiedono, evitando al tempo stesso la medicalizzazione di difficoltà che possono trovare risposta nel contesto educativo. La seconda è la via osservativa, che riconosce nel corpo docente il primo osservatore non specialistico del disagio dello studente, e nella dirigenza scolastica lo strato che rende possibile, sul piano organizzativo, l’integrazione tra il presidio psicologico e la vita della scuola. In questo raccordo la scuola cessa di essere un destinatario passivo dell’azione sanitaria e ne diviene un nodo attivo, che intercetta, segnala e accompagna, e che concorre alla destigmatizzazione del disagio psichico e all’alfabetizzazione psicologica delle giovani generazioni, con un effetto culturale che la Parte nona riconduce al dominio omonimo.</w:t>
      </w:r>
    </w:p>
    <w:p>
      <w:pPr>
        <w:pStyle w:val="BodyText"/>
      </w:pPr>
      <w:r>
        <w:t xml:space="preserve">La capacità di rientro economico delle figure scolastiche è di natura preventiva e differita, e si concentra nei domini pedagogico e scolastico, prevenzionalistico e culturale, con ricadute di lungo periodo nei domini produttivistico e previdenziale. Il valore principale risiede nella prevenzione della dispersione scolastica, fenomeno il cui costo per il sistema, in termini di mancata formazione del capitale umano, di ridotta partecipazione futura e di esclusione sociale, è di entità rilevante e ben documentato, e nel miglioramento del benessere e della prestazione degli studenti, che dell’intercettazione precoce del disagio costituiscono l’esito proprio.</w:t>
      </w:r>
      <w:r>
        <w:rPr>
          <w:rStyle w:val="FootnoteReference"/>
        </w:rPr>
        <w:footnoteReference w:id="101"/>
      </w:r>
      <w:r>
        <w:t xml:space="preserve"> </w:t>
      </w:r>
      <w:r>
        <w:t xml:space="preserve">L’evidenza che sostiene l’efficacia degli interventi di salute mentale nei contesti scolastici è apprezzabile e in consolidamento, e si colloca, per la maggior parte degli esiti, in un grado da moderato a basso, secondo le sintesi degli organismi internazionali che hanno raccomandato la promozione della salute mentale nella scuola come strategia di prevenzione;</w:t>
      </w:r>
      <w:r>
        <w:rPr>
          <w:rStyle w:val="FootnoteReference"/>
        </w:rPr>
        <w:footnoteReference w:id="102"/>
      </w:r>
      <w:r>
        <w:t xml:space="preserve"> </w:t>
      </w:r>
      <w:r>
        <w:t xml:space="preserve">in coerenza con i vincoli dell’opera, il ritorno è enunciato come beneficio sociale differito, distinto dai risparmi sanitari diretti e ricondotto agli intervalli di rendimento validati.</w:t>
      </w:r>
    </w:p>
    <w:p>
      <w:pPr>
        <w:pStyle w:val="BodyText"/>
      </w:pPr>
      <w:r>
        <w:t xml:space="preserve">Su questa base è possibile formulare una previsione falsificabile riferita al segmento scolastico, verificabile ex post sui dati regionali e sugli indicatori di sistema. A regime, la presenza stabile dello psicologo scolastico integrata con il primo livello delle cure primarie dovrebbe produrre una riduzione del tasso di dispersione scolastica nelle aree di intervento e un incremento della quota di difficoltà emotive e comportamentali intercettate precocemente e gestite senza ricorso ai servizi specialistici, collocabili, in via prudenziale e con banda di oscillazione, in un intervallo misurabile nell’orizzonte di consolidamento. La previsione è enunciata in forma di banda prudenziale, con indicazione delle soglie il cui mancato raggiungimento ne segnalerebbe la confutazione, e sarà sottoposta a verifica nel sistema di monitoraggio regionale e in raccordo con gli indicatori del sistema di istruzione, nel rispetto del vincolo di falsificabilità che governa l’intera opera.</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3.9 — Profilo delle figure educative e scolastiche</w:t>
            </w:r>
          </w:p>
        </w:tc>
      </w:tr>
      <w:tr>
        <w:tc>
          <w:tcPr/>
          <w:p>
            <w:pPr>
              <w:pStyle w:val="Compact"/>
              <w:spacing w:after="40" w:before="40"/>
              <w:jc w:val="left"/>
            </w:pPr>
            <w:r>
              <w:rPr>
                <w:rFonts w:ascii="Cambria" w:hAnsi="Cambria" w:cs="Cambria" w:eastAsia="Cambria"/>
                <w:color w:val="1A1A1A"/>
                <w:sz w:val="18"/>
              </w:rPr>
              <w:t xml:space="preserve">Ruolo nella riforma</w:t>
            </w:r>
          </w:p>
        </w:tc>
      </w:tr>
      <w:tr>
        <w:tc>
          <w:tcPr>
            <w:shd w:val="clear" w:color="auto" w:fill="F4F1EC"/>
          </w:tcPr>
          <w:p>
            <w:pPr>
              <w:pStyle w:val="Compact"/>
              <w:spacing w:after="40" w:before="40"/>
              <w:jc w:val="left"/>
            </w:pPr>
            <w:r>
              <w:rPr>
                <w:rFonts w:ascii="Cambria" w:hAnsi="Cambria" w:cs="Cambria" w:eastAsia="Cambria"/>
                <w:color w:val="1A1A1A"/>
                <w:sz w:val="18"/>
              </w:rPr>
              <w:t xml:space="preserve">Connessione con lo Psicologo di Base</w:t>
            </w:r>
          </w:p>
        </w:tc>
      </w:tr>
      <w:tr>
        <w:tc>
          <w:tcPr/>
          <w:p>
            <w:pPr>
              <w:pStyle w:val="Compact"/>
              <w:spacing w:after="40" w:before="40"/>
              <w:jc w:val="left"/>
            </w:pPr>
            <w:r>
              <w:rPr>
                <w:rFonts w:ascii="Cambria" w:hAnsi="Cambria" w:cs="Cambria" w:eastAsia="Cambria"/>
                <w:color w:val="1A1A1A"/>
                <w:sz w:val="18"/>
              </w:rPr>
              <w:t xml:space="preserve">Peso d’influenza nel progetto</w:t>
            </w:r>
          </w:p>
        </w:tc>
      </w:tr>
      <w:tr>
        <w:tc>
          <w:tcPr>
            <w:shd w:val="clear" w:color="auto" w:fill="F4F1EC"/>
          </w:tcPr>
          <w:p>
            <w:pPr>
              <w:pStyle w:val="Compact"/>
              <w:spacing w:after="40" w:before="40"/>
              <w:jc w:val="left"/>
            </w:pPr>
            <w:r>
              <w:rPr>
                <w:rFonts w:ascii="Cambria" w:hAnsi="Cambria" w:cs="Cambria" w:eastAsia="Cambria"/>
                <w:color w:val="1A1A1A"/>
                <w:sz w:val="18"/>
              </w:rPr>
              <w:t xml:space="preserve">Capacità di rientro economico o di revisione della spesa</w:t>
            </w:r>
          </w:p>
        </w:tc>
      </w:tr>
    </w:tbl>
    <w:p/>
    <w:bookmarkEnd w:id="170"/>
    <w:bookmarkStart w:id="172" w:name="X9ecdf91209ef941f715fa9bfb0be1d04ed63492"/>
    <w:p>
      <w:pPr>
        <w:pStyle w:val="Heading2"/>
      </w:pPr>
      <w:r>
        <w:t xml:space="preserve">3.10 Gli attori istituzionali e amministrativi regionali</w:t>
      </w:r>
    </w:p>
    <w:p>
      <w:pPr>
        <w:pStyle w:val="FirstParagraph"/>
      </w:pPr>
      <w:r>
        <w:t xml:space="preserve">Con gli attori istituzionali e amministrativi la cascata raggiunge il livello in cui la riforma cessa di essere un fatto clinico e diviene un fatto di governo: il livello delle aziende sanitarie locali, dei distretti, dell’Azienda Zero e della Regione, ossia degli enti che programmano, finanziano, organizzano e controllano il servizio. La loro posizione nella cascata non è quella di figure che producono direttamente il valore clinico, ma quella degli attori che ne istituiscono le condizioni di possibilità e che ne governano la sostenibilità nel tempo. Senza l’azione di questo livello, l’apice clinico resterebbe privo della struttura che lo sostiene: è la Regione a istituire il servizio per via legislativa e a destinarne le risorse, sono le aziende sanitarie locali a reclutare e organizzare il personale, sono i distretti a radicare il servizio nel territorio e nelle Case della Comunità, ed è l’Azienda Zero a esercitare le funzioni tecniche e amministrative centralizzate che il modello dell’assistenza territoriale richiede.</w:t>
      </w:r>
    </w:p>
    <w:p>
      <w:pPr>
        <w:pStyle w:val="BodyText"/>
      </w:pPr>
      <w:r>
        <w:t xml:space="preserve">La connessione di questi attori con lo Psicologo di Base è indiretta nella forma ma fondante nella sostanza, poiché essa non opera nel rapporto clinico ma nella catena della programmazione e della governance. Il fondamento normativo di questa connessione risiede nel quadro che regola lo sviluppo dell’assistenza territoriale, il quale definisce i modelli e gli standard delle Case della Comunità e delle reti di prossimità entro cui il servizio si colloca, e che la Regione recepisce e attua nei propri atti di programmazione.</w:t>
      </w:r>
      <w:r>
        <w:rPr>
          <w:rStyle w:val="FootnoteReference"/>
        </w:rPr>
        <w:footnoteReference w:id="103"/>
      </w:r>
      <w:r>
        <w:t xml:space="preserve"> </w:t>
      </w:r>
      <w:r>
        <w:t xml:space="preserve">L’azione di questo livello determina, per via amministrativa, le grandezze stesse che le Parti applicative misureranno: il dimensionamento del servizio, la distribuzione del personale tra le aziende e i distretti, l’allocazione delle risorse, l’integrazione tra i livelli assistenziali e la disponibilità delle infrastrutture, comprese quelle digitali su cui la leva abilitante dell’Intelligenza Artificiale potrà innestarsi sotto la governance prudenziale che il quadro europeo prescrive. È a questo livello, in altri termini, che le decisioni di sistema condizionano la misura in cui il valore clinico potrà effettivamente prodursi.</w:t>
      </w:r>
    </w:p>
    <w:p>
      <w:pPr>
        <w:pStyle w:val="BodyText"/>
      </w:pPr>
      <w:r>
        <w:t xml:space="preserve">La capacità di rientro economico degli attori istituzionali è di natura particolare, e va enunciata con precisione per non confonderla con quella delle figure cliniche. Essi non generano un risparmio proprio, ma sono i soggetti che realizzano e contabilizzano la revisione della spesa che la riforma rende possibile: è nel bilancio del Servizio sanitario regionale, governato da questo livello, che i risparmi diretti documentati dalle Parti settima e ottava — minore spesa farmaceutica inappropriata, minori accessi impropri, minore mobilità sanitaria passiva — si traducono in revisione effettiva della spesa, e sono questi attori a poter riallocare le risorse liberate verso il potenziamento del servizio o verso altri bisogni del sistema. La loro funzione, rispetto al rientro economico, è dunque quella di realizzatori e contabilizzatori del valore, non di produttori diretti; e il loro peso d’influenza è elevato non perché eseguano operazioni cliniche di risparmio, ma perché le condizioni che essi stabiliscono determinano l’ampiezza entro cui ogni operazione di risparmio potrà avvenire. Il dominio del perimetro integrale su cui questo livello incide in modo più diretto è, coerentemente, quello finanziario e dei bilanci regionali, cui si aggiunge il dominio burocratico, in ragione del potenziale di semplificazione amministrativa che l’integrazione dei percorsi consente.</w:t>
      </w:r>
    </w:p>
    <w:p>
      <w:pPr>
        <w:pStyle w:val="BodyText"/>
      </w:pPr>
      <w:r>
        <w:t xml:space="preserve">Su questa base è possibile formulare una previsione falsificabile riferita al livello istituzionale, verificabile ex post sui dati di bilancio e di attività del Servizio sanitario regionale. A regime, l’attuazione della riforma da parte degli attori istituzionali dovrebbe produrre una riallocazione misurabile delle risorse liberate dai risparmi diretti verso il consolidamento del servizio territoriale e una riduzione della quota di spesa assorbita dalla mobilità sanitaria passiva per prestazioni di area psichica e neuropsichiatrica, collocabili, in via prudenziale e con banda di oscillazione, in un intervallo verificabile nell’orizzonte di consolidamento. La previsione è enunciata in forma di banda, con indicazione delle soglie il cui mancato raggiungimento ne segnalerebbe la confutazione, e sarà sottoposta a verifica nel sistema di monitoraggio regionale e nei documenti di programmazione e bilancio, nel rispetto della separazione tra grandezze fiscali e sociali e della regola di non duplicazione che governa l’opera.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3.10 — Profilo degli attori istituzionali e amministrativi regionali</w:t>
            </w:r>
          </w:p>
        </w:tc>
      </w:tr>
      <w:tr>
        <w:tc>
          <w:tcPr/>
          <w:p>
            <w:pPr>
              <w:pStyle w:val="Compact"/>
              <w:spacing w:after="40" w:before="40"/>
              <w:jc w:val="left"/>
            </w:pPr>
            <w:r>
              <w:rPr>
                <w:rFonts w:ascii="Cambria" w:hAnsi="Cambria" w:cs="Cambria" w:eastAsia="Cambria"/>
                <w:color w:val="1A1A1A"/>
                <w:sz w:val="18"/>
              </w:rPr>
              <w:t xml:space="preserve">Ruolo nella riforma</w:t>
            </w:r>
          </w:p>
        </w:tc>
      </w:tr>
      <w:tr>
        <w:tc>
          <w:tcPr>
            <w:shd w:val="clear" w:color="auto" w:fill="F4F1EC"/>
          </w:tcPr>
          <w:p>
            <w:pPr>
              <w:pStyle w:val="Compact"/>
              <w:spacing w:after="40" w:before="40"/>
              <w:jc w:val="left"/>
            </w:pPr>
            <w:r>
              <w:rPr>
                <w:rFonts w:ascii="Cambria" w:hAnsi="Cambria" w:cs="Cambria" w:eastAsia="Cambria"/>
                <w:color w:val="1A1A1A"/>
                <w:sz w:val="18"/>
              </w:rPr>
              <w:t xml:space="preserve">Connessione con lo Psicologo di Base</w:t>
            </w:r>
          </w:p>
        </w:tc>
      </w:tr>
      <w:tr>
        <w:tc>
          <w:tcPr/>
          <w:p>
            <w:pPr>
              <w:pStyle w:val="Compact"/>
              <w:spacing w:after="40" w:before="40"/>
              <w:jc w:val="left"/>
            </w:pPr>
            <w:r>
              <w:rPr>
                <w:rFonts w:ascii="Cambria" w:hAnsi="Cambria" w:cs="Cambria" w:eastAsia="Cambria"/>
                <w:color w:val="1A1A1A"/>
                <w:sz w:val="18"/>
              </w:rPr>
              <w:t xml:space="preserve">Peso d’influenza nel progetto</w:t>
            </w:r>
          </w:p>
        </w:tc>
      </w:tr>
      <w:tr>
        <w:tc>
          <w:tcPr>
            <w:shd w:val="clear" w:color="auto" w:fill="F4F1EC"/>
          </w:tcPr>
          <w:p>
            <w:pPr>
              <w:pStyle w:val="Compact"/>
              <w:spacing w:after="40" w:before="40"/>
              <w:jc w:val="left"/>
            </w:pPr>
            <w:r>
              <w:rPr>
                <w:rFonts w:ascii="Cambria" w:hAnsi="Cambria" w:cs="Cambria" w:eastAsia="Cambria"/>
                <w:color w:val="1A1A1A"/>
                <w:sz w:val="18"/>
              </w:rPr>
              <w:t xml:space="preserve">Capacità di rientro economico o di revisione della spesa</w:t>
            </w:r>
          </w:p>
        </w:tc>
      </w:tr>
    </w:tbl>
    <w:bookmarkEnd w:id="172"/>
    <w:bookmarkStart w:id="176" w:name="gli-attori-extra-sanitari"/>
    <w:p>
      <w:pPr>
        <w:pStyle w:val="Heading2"/>
      </w:pPr>
      <w:r>
        <w:t xml:space="preserve">3.11 Gli attori extra-sanitari</w:t>
      </w:r>
    </w:p>
    <w:p>
      <w:pPr>
        <w:pStyle w:val="FirstParagraph"/>
      </w:pPr>
      <w:r>
        <w:t xml:space="preserve">Alla base della cascata si collocano gli attori extra-sanitari, ossia i soggetti che non partecipano alla produzione dell’assistenza ma che ne ricevono gli effetti di maggiore entità economica e sociale, e che per questa via costituiscono i beneficiari ultimi della riforma e i destinatari del valore indiretto che essa libera. Questo livello comprende gli istituti della previdenza e dell’assicurazione sociale, segnatamente l’istituto nazionale della previdenza sociale e l’istituto nazionale per l’assicurazione contro gli infortuni sul lavoro; il sistema giudiziario; il mondo delle imprese; le organizzazioni sindacali; le università; e il terzo settore. La loro collocazione alla base non ne segnala la minore importanza, ma ne riconosce la natura: essi sono il terreno su cui si scaricano i costi che la cattiva salute mentale produce oggi e su cui si depositeranno, domani, i benefici che la riforma genera, ed è per questa ragione che la cascata, pur muovendo dall’apice clinico, trova in questo livello la misura più ampia del proprio valore complessivo.</w:t>
      </w:r>
    </w:p>
    <w:p>
      <w:pPr>
        <w:pStyle w:val="BodyText"/>
      </w:pPr>
      <w:r>
        <w:t xml:space="preserve">La connessione di questi attori con lo Psicologo di Base è indiretta e mediata dall’intera cascata, ma è proprio in essa che si concentrano i domini del perimetro integrale di maggiore rilievo economico. Gli istituti della previdenza e dell’assicurazione sociale ricevono l’effetto della riforma nei domini previdenziale e lavorativo, poiché l’intercettazione precoce e il trattamento appropriato del disagio psichico riducono l’incidenza dell’inabilità, dell’invalidità e del pensionamento anticipato per cause psichiche, e contengono il rischio psicosociale nei luoghi di lavoro che la normativa in materia di salute e sicurezza riconduce alla valutazione obbligatoria del datore di lavoro.</w:t>
      </w:r>
      <w:r>
        <w:rPr>
          <w:rStyle w:val="FootnoteReference"/>
        </w:rPr>
        <w:footnoteReference w:id="104"/>
      </w:r>
      <w:r>
        <w:rPr>
          <w:rStyle w:val="FootnoteReference"/>
        </w:rPr>
        <w:footnoteReference w:id="105"/>
      </w:r>
      <w:r>
        <w:t xml:space="preserve"> </w:t>
      </w:r>
      <w:r>
        <w:t xml:space="preserve">Il sistema giudiziario riceve l’effetto nel dominio criminologico, attraverso la relazione documentata tra disagio psichico non trattato, marginalità e devianza, e i conseguenti costi della giustizia e della recidiva. Il mondo delle imprese e le organizzazioni sindacali ricevono l’effetto nei domini produttivistico e industriale, attraverso la riduzione dell’assenteismo, del presenteismo e della perdita di produttività che la cattiva salute mentale comporta, di cui gli organismi economici internazionali hanno stimato l’entità complessiva come quota significativa del prodotto.</w:t>
      </w:r>
      <w:r>
        <w:rPr>
          <w:rStyle w:val="FootnoteReference"/>
        </w:rPr>
        <w:footnoteReference w:id="106"/>
      </w:r>
      <w:r>
        <w:t xml:space="preserve"> </w:t>
      </w:r>
      <w:r>
        <w:t xml:space="preserve">Le università e il terzo settore, infine, ricevono e insieme amplificano l’effetto nei domini accademico, della ricerca e del capitale sociale.</w:t>
      </w:r>
    </w:p>
    <w:p>
      <w:pPr>
        <w:pStyle w:val="BodyText"/>
      </w:pPr>
      <w:r>
        <w:t xml:space="preserve">La capacità di rientro economico di questo livello è la più elevata in termini di entità assoluta del valore, ed è al tempo stesso quella che impone la maggiore cautela metodologica, poiché in essa si annida il rischio più grave di duplicazione e di sovrastima. Il valore che si deposita sugli attori extra-sanitari è prevalentemente sociale e indiretto, e va tenuto rigorosamente distinto dal risparmio fiscale diretto del bilancio sanitario: la minore spesa previdenziale per invalidità psichica, il maggiore gettito derivante dalla ripresa della partecipazione, il minore costo della giustizia e la maggiore produttività delle imprese sono benefici reali, ma non sono risparmi del Servizio sanitario regionale, e non possono essere sommati ad essi in un unico saldo. È in questa sede, più che in ogni altra, che la regola di non duplicazione tra grandezze fiscali e sociali e la prescrizione di mantenere distinte le categorie spiegano per intero la propria funzione di salvaguardia: il medesimo recupero di una persona alla vita lavorativa non può essere contabilizzato contemporaneamente come minore spesa previdenziale, come maggiore produttività d’impresa e come minore costo sanitario, e la valutazione integrata della Parte decima procederà perciò per attribuzione esclusiva di ciascun beneficio a un solo dominio, entro gli intervalli di rendimento validati e con bande prudenziali.</w:t>
      </w:r>
    </w:p>
    <w:p>
      <w:pPr>
        <w:pStyle w:val="BodyText"/>
      </w:pPr>
      <w:r>
        <w:t xml:space="preserve">Su questa base è possibile formulare una previsione falsificabile riferita al livello extra-sanitario, la più ampia per portata e la più prudente per formulazione, verificabile ex post sui dati degli istituti e del sistema economico regionale. A regime, la riforma dovrebbe produrre una riduzione misurabile dell’incidenza delle prestazioni di invalidità e inabilità riconosciute per cause psichiche nella popolazione assistita e una riduzione delle giornate di lavoro perse per disturbi della salute mentale, collocabili, in via prudenziale e con banda di oscillazione, in un intervallo verificabile nell’orizzonte di consolidamento, con i benefici attribuiti in via esclusiva ai rispettivi domini previdenziale e produttivistico e mai cumulati. La previsione è enunciata in forma di banda, con indicazione delle soglie il cui mancato raggiungimento ne segnalerebbe la confutazione, e sarà sottoposta a verifica in raccordo con i dati degli istituti della previdenza e dell’assicurazione sociale, nel rispetto del vincolo di falsificabilità e della separazione tra le categorie che governano l’opera.</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3.11 — Profilo degli attori extra-sanitari</w:t>
            </w:r>
          </w:p>
        </w:tc>
      </w:tr>
      <w:tr>
        <w:tc>
          <w:tcPr/>
          <w:p>
            <w:pPr>
              <w:pStyle w:val="Compact"/>
              <w:spacing w:after="40" w:before="40"/>
              <w:jc w:val="left"/>
            </w:pPr>
            <w:r>
              <w:rPr>
                <w:rFonts w:ascii="Cambria" w:hAnsi="Cambria" w:cs="Cambria" w:eastAsia="Cambria"/>
                <w:color w:val="1A1A1A"/>
                <w:sz w:val="18"/>
              </w:rPr>
              <w:t xml:space="preserve">Ruolo nella riforma</w:t>
            </w:r>
          </w:p>
        </w:tc>
      </w:tr>
      <w:tr>
        <w:tc>
          <w:tcPr>
            <w:shd w:val="clear" w:color="auto" w:fill="F4F1EC"/>
          </w:tcPr>
          <w:p>
            <w:pPr>
              <w:pStyle w:val="Compact"/>
              <w:spacing w:after="40" w:before="40"/>
              <w:jc w:val="left"/>
            </w:pPr>
            <w:r>
              <w:rPr>
                <w:rFonts w:ascii="Cambria" w:hAnsi="Cambria" w:cs="Cambria" w:eastAsia="Cambria"/>
                <w:color w:val="1A1A1A"/>
                <w:sz w:val="18"/>
              </w:rPr>
              <w:t xml:space="preserve">Connessione con lo Psicologo di Base</w:t>
            </w:r>
          </w:p>
        </w:tc>
      </w:tr>
      <w:tr>
        <w:tc>
          <w:tcPr/>
          <w:p>
            <w:pPr>
              <w:pStyle w:val="Compact"/>
              <w:spacing w:after="40" w:before="40"/>
              <w:jc w:val="left"/>
            </w:pPr>
            <w:r>
              <w:rPr>
                <w:rFonts w:ascii="Cambria" w:hAnsi="Cambria" w:cs="Cambria" w:eastAsia="Cambria"/>
                <w:color w:val="1A1A1A"/>
                <w:sz w:val="18"/>
              </w:rPr>
              <w:t xml:space="preserve">Peso d’influenza nel progetto</w:t>
            </w:r>
          </w:p>
        </w:tc>
      </w:tr>
      <w:tr>
        <w:tc>
          <w:tcPr>
            <w:shd w:val="clear" w:color="auto" w:fill="F4F1EC"/>
          </w:tcPr>
          <w:p>
            <w:pPr>
              <w:pStyle w:val="Compact"/>
              <w:spacing w:after="40" w:before="40"/>
              <w:jc w:val="left"/>
            </w:pPr>
            <w:r>
              <w:rPr>
                <w:rFonts w:ascii="Cambria" w:hAnsi="Cambria" w:cs="Cambria" w:eastAsia="Cambria"/>
                <w:color w:val="1A1A1A"/>
                <w:sz w:val="18"/>
              </w:rPr>
              <w:t xml:space="preserve">Capacità di rientro economico o di revisione della spesa</w:t>
            </w:r>
          </w:p>
        </w:tc>
      </w:tr>
    </w:tbl>
    <w:p/>
    <w:bookmarkEnd w:id="176"/>
    <w:bookmarkStart w:id="177" w:name="X44e7a3468270f60a35c347b5ae77c4888fdb27d"/>
    <w:p>
      <w:pPr>
        <w:pStyle w:val="Heading2"/>
      </w:pPr>
      <w:r>
        <w:t xml:space="preserve">3.12 La matrice di influenza e di capacità di rientro: l’ordinamento formale della cascata</w:t>
      </w:r>
    </w:p>
    <w:p>
      <w:pPr>
        <w:pStyle w:val="FirstParagraph"/>
      </w:pPr>
      <w:r>
        <w:t xml:space="preserve">Le sezioni precedenti hanno percorso la cascata figura per figura, dall’apice clinico alla base extra-sanitaria, attribuendo a ciascun attore un ruolo, una connessione con lo Psicologo di Base, un peso d’influenza nel progetto e una capacità di rientro economico o di revisione della spesa. La presente sezione conclusiva raccoglie tali attribuzioni in un ordinamento formale, che converte la successione discorsiva in una struttura ordinata e ne rende esplicito il criterio. L’ordinamento non è un riepilogo, ma lo strumento operativo su cui le Parti applicative dell’opera fonderanno l’attribuzione del valore: esso stabilisce, per ciascuna figura, la collocazione lungo le due dimensioni che governano l’intera architettura, l’influenza e la capacità di rientro, e ne ricava la posizione complessiva nella gerarchia di valore della riforma.</w:t>
      </w:r>
    </w:p>
    <w:p>
      <w:pPr>
        <w:pStyle w:val="BodyText"/>
      </w:pPr>
      <w:r>
        <w:t xml:space="preserve">Le due dimensioni dell’ordinamento, come si è chiarito fin dall’Introduzione, sono distinte e non vanno confuse. L’influenza nel progetto misura la misura in cui l’azione di una figura condiziona il prodursi degli effetti complessivi della riforma, ed è massima per le figure che ne costituiscono la condizione necessaria, a partire dallo Psicologo di Base. La capacità di rientro economico misura, invece, la misura in cui l’azione di una figura genera, direttamente o indirettamente, un risparmio fiscale o una revisione della spesa, ovvero un beneficio sociale di rilievo economico. Le due dimensioni non coincidono, e la loro non coincidenza è uno dei risultati strutturali della Parte: vi sono figure di influenza massima e rientro indiretto, come lo Psicologo di Base, il cui valore si esercita attivando quello altrui; figure di influenza elevata e rientro diretto, come la coppia clinica, in cui influenza e risparmio si saldano; e figure di influenza operativa contenuta ma di rientro elevato in entità assoluta, come gli attori extra-sanitari, sui quali si deposita il valore sociale di maggiore ampiezza. La matrice rende visibile questa articolazione e impedisce la riduzione della gerarchia a una sola dimensione.</w:t>
      </w:r>
    </w:p>
    <w:p>
      <w:pPr>
        <w:pStyle w:val="BodyText"/>
      </w:pPr>
      <w:r>
        <w:t xml:space="preserve">La tabella che segue espone l’ordinamento formale della cascata, collocando ciascuna figura lungo le due dimensioni e indicando la natura del rientro e i domini del perimetro integrale su cui essa incide in modo più diretto. La graduazione è qualitativa e prudenziale, e non anticipa le quantificazioni delle Parti applicative, che ne forniranno i valori entro gli intervalli di rendimento validati e con le bande di incertezza proprie di ciascun dominio; essa fornisce, piuttosto, la mappa entro cui tali quantificazioni troveranno la propria collocazione, garantendo che ogni grandezza sia attribuita a una sola figura e a un solo dominio, secondo la regola di non duplicazione, e che la separazione tra risparmio fiscale diretto e beneficio sociale indiretto sia mantenuta lungo l’intera struttura. L’ordinamento è, in questo senso, il presidio metodologico contro la sovrastima e la duplicazione, oltre che lo strumento che dà forma compiuta all’architettura richiesta.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Figura della cascata</w:t>
            </w:r>
          </w:p>
        </w:tc>
        <w:tc>
          <w:tcPr>
            <w:shd w:val="clear" w:color="auto" w:fill="16264B"/>
          </w:tcPr>
          <w:p>
            <w:pPr>
              <w:pStyle w:val="Compact"/>
              <w:spacing w:after="40" w:before="40"/>
              <w:jc w:val="left"/>
            </w:pPr>
            <w:r>
              <w:rPr>
                <w:rFonts w:ascii="Cambria" w:hAnsi="Cambria" w:cs="Cambria" w:eastAsia="Cambria"/>
                <w:b/>
                <w:bCs/>
                <w:color w:val="FFFFFF"/>
                <w:sz w:val="18"/>
              </w:rPr>
              <w:t xml:space="preserve">Influenza</w:t>
            </w:r>
          </w:p>
        </w:tc>
        <w:tc>
          <w:tcPr>
            <w:shd w:val="clear" w:color="auto" w:fill="16264B"/>
          </w:tcPr>
          <w:p>
            <w:pPr>
              <w:pStyle w:val="Compact"/>
              <w:spacing w:after="40" w:before="40"/>
              <w:jc w:val="left"/>
            </w:pPr>
            <w:r>
              <w:rPr>
                <w:rFonts w:ascii="Cambria" w:hAnsi="Cambria" w:cs="Cambria" w:eastAsia="Cambria"/>
                <w:b/>
                <w:bCs/>
                <w:color w:val="FFFFFF"/>
                <w:sz w:val="18"/>
              </w:rPr>
              <w:t xml:space="preserve">Rientro</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 del rientro e domini prevalenti</w:t>
            </w:r>
          </w:p>
        </w:tc>
      </w:tr>
      <w:tr>
        <w:tc>
          <w:tcPr/>
          <w:p>
            <w:pPr>
              <w:pStyle w:val="Compact"/>
              <w:spacing w:after="40" w:before="40"/>
              <w:jc w:val="left"/>
            </w:pPr>
            <w:r>
              <w:rPr>
                <w:rFonts w:ascii="Cambria" w:hAnsi="Cambria" w:cs="Cambria" w:eastAsia="Cambria"/>
                <w:color w:val="1A1A1A"/>
                <w:sz w:val="18"/>
              </w:rPr>
              <w:t xml:space="preserve">Psicologo di Base</w:t>
            </w:r>
          </w:p>
        </w:tc>
        <w:tc>
          <w:tcPr/>
          <w:p>
            <w:pPr>
              <w:pStyle w:val="Compact"/>
              <w:spacing w:after="40" w:before="40"/>
              <w:jc w:val="left"/>
            </w:pPr>
            <w:r>
              <w:rPr>
                <w:rFonts w:ascii="Cambria" w:hAnsi="Cambria" w:cs="Cambria" w:eastAsia="Cambria"/>
                <w:color w:val="1A1A1A"/>
                <w:sz w:val="18"/>
              </w:rPr>
              <w:t xml:space="preserve">Massima</w:t>
            </w:r>
          </w:p>
        </w:tc>
        <w:tc>
          <w:tcPr/>
          <w:p>
            <w:pPr>
              <w:pStyle w:val="Compact"/>
              <w:spacing w:after="40" w:before="40"/>
              <w:jc w:val="left"/>
            </w:pPr>
            <w:r>
              <w:rPr>
                <w:rFonts w:ascii="Cambria" w:hAnsi="Cambria" w:cs="Cambria" w:eastAsia="Cambria"/>
                <w:color w:val="1A1A1A"/>
                <w:sz w:val="18"/>
              </w:rPr>
              <w:t xml:space="preserve">Indiretto</w:t>
            </w:r>
          </w:p>
        </w:tc>
        <w:tc>
          <w:tcPr/>
          <w:p>
            <w:pPr>
              <w:pStyle w:val="Compact"/>
              <w:spacing w:after="40" w:before="40"/>
              <w:jc w:val="left"/>
            </w:pPr>
            <w:r>
              <w:rPr>
                <w:rFonts w:ascii="Cambria" w:hAnsi="Cambria" w:cs="Cambria" w:eastAsia="Cambria"/>
                <w:color w:val="1A1A1A"/>
                <w:sz w:val="18"/>
              </w:rPr>
              <w:t xml:space="preserve">Attiva e ordina il valore a valle; nessuna duplicazione; monito sui risparmi diretti isolati</w:t>
            </w:r>
          </w:p>
        </w:tc>
      </w:tr>
      <w:tr>
        <w:tc>
          <w:tcPr>
            <w:shd w:val="clear" w:color="auto" w:fill="F4F1EC"/>
          </w:tcPr>
          <w:p>
            <w:pPr>
              <w:pStyle w:val="Compact"/>
              <w:spacing w:after="40" w:before="40"/>
              <w:jc w:val="left"/>
            </w:pPr>
            <w:r>
              <w:rPr>
                <w:rFonts w:ascii="Cambria" w:hAnsi="Cambria" w:cs="Cambria" w:eastAsia="Cambria"/>
                <w:color w:val="1A1A1A"/>
                <w:sz w:val="18"/>
              </w:rPr>
              <w:t xml:space="preserve">Coppia clinica (MMG + PdB)</w:t>
            </w:r>
          </w:p>
        </w:tc>
        <w:tc>
          <w:tcPr>
            <w:shd w:val="clear" w:color="auto" w:fill="F4F1EC"/>
          </w:tcPr>
          <w:p>
            <w:pPr>
              <w:pStyle w:val="Compact"/>
              <w:spacing w:after="40" w:before="40"/>
              <w:jc w:val="left"/>
            </w:pPr>
            <w:r>
              <w:rPr>
                <w:rFonts w:ascii="Cambria" w:hAnsi="Cambria" w:cs="Cambria" w:eastAsia="Cambria"/>
                <w:color w:val="1A1A1A"/>
                <w:sz w:val="18"/>
              </w:rPr>
              <w:t xml:space="preserve">Elevata</w:t>
            </w:r>
          </w:p>
        </w:tc>
        <w:tc>
          <w:tcPr>
            <w:shd w:val="clear" w:color="auto" w:fill="F4F1EC"/>
          </w:tcPr>
          <w:p>
            <w:pPr>
              <w:pStyle w:val="Compact"/>
              <w:spacing w:after="40" w:before="40"/>
              <w:jc w:val="left"/>
            </w:pPr>
            <w:r>
              <w:rPr>
                <w:rFonts w:ascii="Cambria" w:hAnsi="Cambria" w:cs="Cambria" w:eastAsia="Cambria"/>
                <w:color w:val="1A1A1A"/>
                <w:sz w:val="18"/>
              </w:rPr>
              <w:t xml:space="preserve">Diretto</w:t>
            </w:r>
          </w:p>
        </w:tc>
        <w:tc>
          <w:tcPr>
            <w:shd w:val="clear" w:color="auto" w:fill="F4F1EC"/>
          </w:tcPr>
          <w:p>
            <w:pPr>
              <w:pStyle w:val="Compact"/>
              <w:spacing w:after="40" w:before="40"/>
              <w:jc w:val="left"/>
            </w:pPr>
            <w:r>
              <w:rPr>
                <w:rFonts w:ascii="Cambria" w:hAnsi="Cambria" w:cs="Cambria" w:eastAsia="Cambria"/>
                <w:color w:val="1A1A1A"/>
                <w:sz w:val="18"/>
              </w:rPr>
              <w:t xml:space="preserve">Appropriatezza farmaceutica; accessi e ricoveri evitabili; invii ed esami non necessari</w:t>
            </w:r>
          </w:p>
        </w:tc>
      </w:tr>
      <w:tr>
        <w:tc>
          <w:tcPr/>
          <w:p>
            <w:pPr>
              <w:pStyle w:val="Compact"/>
              <w:spacing w:after="40" w:before="40"/>
              <w:jc w:val="left"/>
            </w:pPr>
            <w:r>
              <w:rPr>
                <w:rFonts w:ascii="Cambria" w:hAnsi="Cambria" w:cs="Cambria" w:eastAsia="Cambria"/>
                <w:color w:val="1A1A1A"/>
                <w:sz w:val="18"/>
              </w:rPr>
              <w:t xml:space="preserve">Pediatra di libera scelta</w:t>
            </w:r>
          </w:p>
        </w:tc>
        <w:tc>
          <w:tcPr/>
          <w:p>
            <w:pPr>
              <w:pStyle w:val="Compact"/>
              <w:spacing w:after="40" w:before="40"/>
              <w:jc w:val="left"/>
            </w:pPr>
            <w:r>
              <w:rPr>
                <w:rFonts w:ascii="Cambria" w:hAnsi="Cambria" w:cs="Cambria" w:eastAsia="Cambria"/>
                <w:color w:val="1A1A1A"/>
                <w:sz w:val="18"/>
              </w:rPr>
              <w:t xml:space="preserve">Medio-elevata</w:t>
            </w:r>
          </w:p>
        </w:tc>
        <w:tc>
          <w:tcPr/>
          <w:p>
            <w:pPr>
              <w:pStyle w:val="Compact"/>
              <w:spacing w:after="40" w:before="40"/>
              <w:jc w:val="left"/>
            </w:pPr>
            <w:r>
              <w:rPr>
                <w:rFonts w:ascii="Cambria" w:hAnsi="Cambria" w:cs="Cambria" w:eastAsia="Cambria"/>
                <w:color w:val="1A1A1A"/>
                <w:sz w:val="18"/>
              </w:rPr>
              <w:t xml:space="preserve">Differito</w:t>
            </w:r>
          </w:p>
        </w:tc>
        <w:tc>
          <w:tcPr/>
          <w:p>
            <w:pPr>
              <w:pStyle w:val="Compact"/>
              <w:spacing w:after="40" w:before="40"/>
              <w:jc w:val="left"/>
            </w:pPr>
            <w:r>
              <w:rPr>
                <w:rFonts w:ascii="Cambria" w:hAnsi="Cambria" w:cs="Cambria" w:eastAsia="Cambria"/>
                <w:color w:val="1A1A1A"/>
                <w:sz w:val="18"/>
              </w:rPr>
              <w:t xml:space="preserve">Prevenzionalistico; pedagogico-scolastico; assistenzialistico</w:t>
            </w:r>
          </w:p>
        </w:tc>
      </w:tr>
      <w:tr>
        <w:tc>
          <w:tcPr>
            <w:shd w:val="clear" w:color="auto" w:fill="F4F1EC"/>
          </w:tcPr>
          <w:p>
            <w:pPr>
              <w:pStyle w:val="Compact"/>
              <w:spacing w:after="40" w:before="40"/>
              <w:jc w:val="left"/>
            </w:pPr>
            <w:r>
              <w:rPr>
                <w:rFonts w:ascii="Cambria" w:hAnsi="Cambria" w:cs="Cambria" w:eastAsia="Cambria"/>
                <w:color w:val="1A1A1A"/>
                <w:sz w:val="18"/>
              </w:rPr>
              <w:t xml:space="preserve">Neurologo e neuroscienze</w:t>
            </w:r>
          </w:p>
        </w:tc>
        <w:tc>
          <w:tcPr>
            <w:shd w:val="clear" w:color="auto" w:fill="F4F1EC"/>
          </w:tcPr>
          <w:p>
            <w:pPr>
              <w:pStyle w:val="Compact"/>
              <w:spacing w:after="40" w:before="40"/>
              <w:jc w:val="left"/>
            </w:pPr>
            <w:r>
              <w:rPr>
                <w:rFonts w:ascii="Cambria" w:hAnsi="Cambria" w:cs="Cambria" w:eastAsia="Cambria"/>
                <w:color w:val="1A1A1A"/>
                <w:sz w:val="18"/>
              </w:rPr>
              <w:t xml:space="preserve">Media</w:t>
            </w:r>
          </w:p>
        </w:tc>
        <w:tc>
          <w:tcPr>
            <w:shd w:val="clear" w:color="auto" w:fill="F4F1EC"/>
          </w:tcPr>
          <w:p>
            <w:pPr>
              <w:pStyle w:val="Compact"/>
              <w:spacing w:after="40" w:before="40"/>
              <w:jc w:val="left"/>
            </w:pPr>
            <w:r>
              <w:rPr>
                <w:rFonts w:ascii="Cambria" w:hAnsi="Cambria" w:cs="Cambria" w:eastAsia="Cambria"/>
                <w:color w:val="1A1A1A"/>
                <w:sz w:val="18"/>
              </w:rPr>
              <w:t xml:space="preserve">Diretto e differito</w:t>
            </w:r>
          </w:p>
        </w:tc>
        <w:tc>
          <w:tcPr>
            <w:shd w:val="clear" w:color="auto" w:fill="F4F1EC"/>
          </w:tcPr>
          <w:p>
            <w:pPr>
              <w:pStyle w:val="Compact"/>
              <w:spacing w:after="40" w:before="40"/>
              <w:jc w:val="left"/>
            </w:pPr>
            <w:r>
              <w:rPr>
                <w:rFonts w:ascii="Cambria" w:hAnsi="Cambria" w:cs="Cambria" w:eastAsia="Cambria"/>
                <w:color w:val="1A1A1A"/>
                <w:sz w:val="18"/>
              </w:rPr>
              <w:t xml:space="preserve">Sanitario specialistico; comorbilità neuropsichiatrica; prevenzione</w:t>
            </w:r>
          </w:p>
        </w:tc>
      </w:tr>
      <w:tr>
        <w:tc>
          <w:tcPr/>
          <w:p>
            <w:pPr>
              <w:pStyle w:val="Compact"/>
              <w:spacing w:after="40" w:before="40"/>
              <w:jc w:val="left"/>
            </w:pPr>
            <w:r>
              <w:rPr>
                <w:rFonts w:ascii="Cambria" w:hAnsi="Cambria" w:cs="Cambria" w:eastAsia="Cambria"/>
                <w:color w:val="1A1A1A"/>
                <w:sz w:val="18"/>
              </w:rPr>
              <w:t xml:space="preserve">Infermiere di famiglia e comunità</w:t>
            </w:r>
          </w:p>
        </w:tc>
        <w:tc>
          <w:tcPr/>
          <w:p>
            <w:pPr>
              <w:pStyle w:val="Compact"/>
              <w:spacing w:after="40" w:before="40"/>
              <w:jc w:val="left"/>
            </w:pPr>
            <w:r>
              <w:rPr>
                <w:rFonts w:ascii="Cambria" w:hAnsi="Cambria" w:cs="Cambria" w:eastAsia="Cambria"/>
                <w:color w:val="1A1A1A"/>
                <w:sz w:val="18"/>
              </w:rPr>
              <w:t xml:space="preserve">Media</w:t>
            </w:r>
          </w:p>
        </w:tc>
        <w:tc>
          <w:tcPr/>
          <w:p>
            <w:pPr>
              <w:pStyle w:val="Compact"/>
              <w:spacing w:after="40" w:before="40"/>
              <w:jc w:val="left"/>
            </w:pPr>
            <w:r>
              <w:rPr>
                <w:rFonts w:ascii="Cambria" w:hAnsi="Cambria" w:cs="Cambria" w:eastAsia="Cambria"/>
                <w:color w:val="1A1A1A"/>
                <w:sz w:val="18"/>
              </w:rPr>
              <w:t xml:space="preserve">Diretto e differito</w:t>
            </w:r>
          </w:p>
        </w:tc>
        <w:tc>
          <w:tcPr/>
          <w:p>
            <w:pPr>
              <w:pStyle w:val="Compact"/>
              <w:spacing w:after="40" w:before="40"/>
              <w:jc w:val="left"/>
            </w:pPr>
            <w:r>
              <w:rPr>
                <w:rFonts w:ascii="Cambria" w:hAnsi="Cambria" w:cs="Cambria" w:eastAsia="Cambria"/>
                <w:color w:val="1A1A1A"/>
                <w:sz w:val="18"/>
              </w:rPr>
              <w:t xml:space="preserve">Continuità assistenziale; aderenza; tenuta domiciliare</w:t>
            </w:r>
          </w:p>
        </w:tc>
      </w:tr>
      <w:tr>
        <w:tc>
          <w:tcPr>
            <w:shd w:val="clear" w:color="auto" w:fill="F4F1EC"/>
          </w:tcPr>
          <w:p>
            <w:pPr>
              <w:pStyle w:val="Compact"/>
              <w:spacing w:after="40" w:before="40"/>
              <w:jc w:val="left"/>
            </w:pPr>
            <w:r>
              <w:rPr>
                <w:rFonts w:ascii="Cambria" w:hAnsi="Cambria" w:cs="Cambria" w:eastAsia="Cambria"/>
                <w:color w:val="1A1A1A"/>
                <w:sz w:val="18"/>
              </w:rPr>
              <w:t xml:space="preserve">Psichiatra consulente e CSM</w:t>
            </w:r>
          </w:p>
        </w:tc>
        <w:tc>
          <w:tcPr>
            <w:shd w:val="clear" w:color="auto" w:fill="F4F1EC"/>
          </w:tcPr>
          <w:p>
            <w:pPr>
              <w:pStyle w:val="Compact"/>
              <w:spacing w:after="40" w:before="40"/>
              <w:jc w:val="left"/>
            </w:pPr>
            <w:r>
              <w:rPr>
                <w:rFonts w:ascii="Cambria" w:hAnsi="Cambria" w:cs="Cambria" w:eastAsia="Cambria"/>
                <w:color w:val="1A1A1A"/>
                <w:sz w:val="18"/>
              </w:rPr>
              <w:t xml:space="preserve">Media</w:t>
            </w:r>
          </w:p>
        </w:tc>
        <w:tc>
          <w:tcPr>
            <w:shd w:val="clear" w:color="auto" w:fill="F4F1EC"/>
          </w:tcPr>
          <w:p>
            <w:pPr>
              <w:pStyle w:val="Compact"/>
              <w:spacing w:after="40" w:before="40"/>
              <w:jc w:val="left"/>
            </w:pPr>
            <w:r>
              <w:rPr>
                <w:rFonts w:ascii="Cambria" w:hAnsi="Cambria" w:cs="Cambria" w:eastAsia="Cambria"/>
                <w:color w:val="1A1A1A"/>
                <w:sz w:val="18"/>
              </w:rPr>
              <w:t xml:space="preserve">Diretto</w:t>
            </w:r>
          </w:p>
        </w:tc>
        <w:tc>
          <w:tcPr>
            <w:shd w:val="clear" w:color="auto" w:fill="F4F1EC"/>
          </w:tcPr>
          <w:p>
            <w:pPr>
              <w:pStyle w:val="Compact"/>
              <w:spacing w:after="40" w:before="40"/>
              <w:jc w:val="left"/>
            </w:pPr>
            <w:r>
              <w:rPr>
                <w:rFonts w:ascii="Cambria" w:hAnsi="Cambria" w:cs="Cambria" w:eastAsia="Cambria"/>
                <w:color w:val="1A1A1A"/>
                <w:sz w:val="18"/>
              </w:rPr>
              <w:t xml:space="preserve">Appropriatezza dell’invio specialistico; liste d’attesa; mobilità passiva</w:t>
            </w:r>
          </w:p>
        </w:tc>
      </w:tr>
      <w:tr>
        <w:tc>
          <w:tcPr/>
          <w:p>
            <w:pPr>
              <w:pStyle w:val="Compact"/>
              <w:spacing w:after="40" w:before="40"/>
              <w:jc w:val="left"/>
            </w:pPr>
            <w:r>
              <w:rPr>
                <w:rFonts w:ascii="Cambria" w:hAnsi="Cambria" w:cs="Cambria" w:eastAsia="Cambria"/>
                <w:color w:val="1A1A1A"/>
                <w:sz w:val="18"/>
              </w:rPr>
              <w:t xml:space="preserve">Assistente sociale</w:t>
            </w:r>
          </w:p>
        </w:tc>
        <w:tc>
          <w:tcPr/>
          <w:p>
            <w:pPr>
              <w:pStyle w:val="Compact"/>
              <w:spacing w:after="40" w:before="40"/>
              <w:jc w:val="left"/>
            </w:pPr>
            <w:r>
              <w:rPr>
                <w:rFonts w:ascii="Cambria" w:hAnsi="Cambria" w:cs="Cambria" w:eastAsia="Cambria"/>
                <w:color w:val="1A1A1A"/>
                <w:sz w:val="18"/>
              </w:rPr>
              <w:t xml:space="preserve">Media</w:t>
            </w:r>
          </w:p>
        </w:tc>
        <w:tc>
          <w:tcPr/>
          <w:p>
            <w:pPr>
              <w:pStyle w:val="Compact"/>
              <w:spacing w:after="40" w:before="40"/>
              <w:jc w:val="left"/>
            </w:pPr>
            <w:r>
              <w:rPr>
                <w:rFonts w:ascii="Cambria" w:hAnsi="Cambria" w:cs="Cambria" w:eastAsia="Cambria"/>
                <w:color w:val="1A1A1A"/>
                <w:sz w:val="18"/>
              </w:rPr>
              <w:t xml:space="preserve">Indiretto</w:t>
            </w:r>
          </w:p>
        </w:tc>
        <w:tc>
          <w:tcPr/>
          <w:p>
            <w:pPr>
              <w:pStyle w:val="Compact"/>
              <w:spacing w:after="40" w:before="40"/>
              <w:jc w:val="left"/>
            </w:pPr>
            <w:r>
              <w:rPr>
                <w:rFonts w:ascii="Cambria" w:hAnsi="Cambria" w:cs="Cambria" w:eastAsia="Cambria"/>
                <w:color w:val="1A1A1A"/>
                <w:sz w:val="18"/>
              </w:rPr>
              <w:t xml:space="preserve">Welfaristico; assistenzialistico; sociale; criminologico</w:t>
            </w:r>
          </w:p>
        </w:tc>
      </w:tr>
      <w:tr>
        <w:tc>
          <w:tcPr>
            <w:shd w:val="clear" w:color="auto" w:fill="F4F1EC"/>
          </w:tcPr>
          <w:p>
            <w:pPr>
              <w:pStyle w:val="Compact"/>
              <w:spacing w:after="40" w:before="40"/>
              <w:jc w:val="left"/>
            </w:pPr>
            <w:r>
              <w:rPr>
                <w:rFonts w:ascii="Cambria" w:hAnsi="Cambria" w:cs="Cambria" w:eastAsia="Cambria"/>
                <w:color w:val="1A1A1A"/>
                <w:sz w:val="18"/>
              </w:rPr>
              <w:t xml:space="preserve">Farmacista di comunità</w:t>
            </w:r>
          </w:p>
        </w:tc>
        <w:tc>
          <w:tcPr>
            <w:shd w:val="clear" w:color="auto" w:fill="F4F1EC"/>
          </w:tcPr>
          <w:p>
            <w:pPr>
              <w:pStyle w:val="Compact"/>
              <w:spacing w:after="40" w:before="40"/>
              <w:jc w:val="left"/>
            </w:pPr>
            <w:r>
              <w:rPr>
                <w:rFonts w:ascii="Cambria" w:hAnsi="Cambria" w:cs="Cambria" w:eastAsia="Cambria"/>
                <w:color w:val="1A1A1A"/>
                <w:sz w:val="18"/>
              </w:rPr>
              <w:t xml:space="preserve">Media</w:t>
            </w:r>
          </w:p>
        </w:tc>
        <w:tc>
          <w:tcPr>
            <w:shd w:val="clear" w:color="auto" w:fill="F4F1EC"/>
          </w:tcPr>
          <w:p>
            <w:pPr>
              <w:pStyle w:val="Compact"/>
              <w:spacing w:after="40" w:before="40"/>
              <w:jc w:val="left"/>
            </w:pPr>
            <w:r>
              <w:rPr>
                <w:rFonts w:ascii="Cambria" w:hAnsi="Cambria" w:cs="Cambria" w:eastAsia="Cambria"/>
                <w:color w:val="1A1A1A"/>
                <w:sz w:val="18"/>
              </w:rPr>
              <w:t xml:space="preserve">Diretto</w:t>
            </w:r>
          </w:p>
        </w:tc>
        <w:tc>
          <w:tcPr>
            <w:shd w:val="clear" w:color="auto" w:fill="F4F1EC"/>
          </w:tcPr>
          <w:p>
            <w:pPr>
              <w:pStyle w:val="Compact"/>
              <w:spacing w:after="40" w:before="40"/>
              <w:jc w:val="left"/>
            </w:pPr>
            <w:r>
              <w:rPr>
                <w:rFonts w:ascii="Cambria" w:hAnsi="Cambria" w:cs="Cambria" w:eastAsia="Cambria"/>
                <w:color w:val="1A1A1A"/>
                <w:sz w:val="18"/>
              </w:rPr>
              <w:t xml:space="preserve">Moltiplicatore territoriale dell’appropriatezza farmaceutica</w:t>
            </w:r>
          </w:p>
        </w:tc>
      </w:tr>
      <w:tr>
        <w:tc>
          <w:tcPr/>
          <w:p>
            <w:pPr>
              <w:pStyle w:val="Compact"/>
              <w:spacing w:after="40" w:before="40"/>
              <w:jc w:val="left"/>
            </w:pPr>
            <w:r>
              <w:rPr>
                <w:rFonts w:ascii="Cambria" w:hAnsi="Cambria" w:cs="Cambria" w:eastAsia="Cambria"/>
                <w:color w:val="1A1A1A"/>
                <w:sz w:val="18"/>
              </w:rPr>
              <w:t xml:space="preserve">Altre figure socio-sanitarie</w:t>
            </w:r>
          </w:p>
        </w:tc>
        <w:tc>
          <w:tcPr/>
          <w:p>
            <w:pPr>
              <w:pStyle w:val="Compact"/>
              <w:spacing w:after="40" w:before="40"/>
              <w:jc w:val="left"/>
            </w:pPr>
            <w:r>
              <w:rPr>
                <w:rFonts w:ascii="Cambria" w:hAnsi="Cambria" w:cs="Cambria" w:eastAsia="Cambria"/>
                <w:color w:val="1A1A1A"/>
                <w:sz w:val="18"/>
              </w:rPr>
              <w:t xml:space="preserve">Contenuta</w:t>
            </w:r>
          </w:p>
        </w:tc>
        <w:tc>
          <w:tcPr/>
          <w:p>
            <w:pPr>
              <w:pStyle w:val="Compact"/>
              <w:spacing w:after="40" w:before="40"/>
              <w:jc w:val="left"/>
            </w:pPr>
            <w:r>
              <w:rPr>
                <w:rFonts w:ascii="Cambria" w:hAnsi="Cambria" w:cs="Cambria" w:eastAsia="Cambria"/>
                <w:color w:val="1A1A1A"/>
                <w:sz w:val="18"/>
              </w:rPr>
              <w:t xml:space="preserve">Differito</w:t>
            </w:r>
          </w:p>
        </w:tc>
        <w:tc>
          <w:tcPr/>
          <w:p>
            <w:pPr>
              <w:pStyle w:val="Compact"/>
              <w:spacing w:after="40" w:before="40"/>
              <w:jc w:val="left"/>
            </w:pPr>
            <w:r>
              <w:rPr>
                <w:rFonts w:ascii="Cambria" w:hAnsi="Cambria" w:cs="Cambria" w:eastAsia="Cambria"/>
                <w:color w:val="1A1A1A"/>
                <w:sz w:val="18"/>
              </w:rPr>
              <w:t xml:space="preserve">Prevenzionalistico (perinatale); riabilitativo; assistenzialistico</w:t>
            </w:r>
          </w:p>
        </w:tc>
      </w:tr>
      <w:tr>
        <w:tc>
          <w:tcPr>
            <w:shd w:val="clear" w:color="auto" w:fill="F4F1EC"/>
          </w:tcPr>
          <w:p>
            <w:pPr>
              <w:pStyle w:val="Compact"/>
              <w:spacing w:after="40" w:before="40"/>
              <w:jc w:val="left"/>
            </w:pPr>
            <w:r>
              <w:rPr>
                <w:rFonts w:ascii="Cambria" w:hAnsi="Cambria" w:cs="Cambria" w:eastAsia="Cambria"/>
                <w:color w:val="1A1A1A"/>
                <w:sz w:val="18"/>
              </w:rPr>
              <w:t xml:space="preserve">Figure educative e scolastiche</w:t>
            </w:r>
          </w:p>
        </w:tc>
        <w:tc>
          <w:tcPr>
            <w:shd w:val="clear" w:color="auto" w:fill="F4F1EC"/>
          </w:tcPr>
          <w:p>
            <w:pPr>
              <w:pStyle w:val="Compact"/>
              <w:spacing w:after="40" w:before="40"/>
              <w:jc w:val="left"/>
            </w:pPr>
            <w:r>
              <w:rPr>
                <w:rFonts w:ascii="Cambria" w:hAnsi="Cambria" w:cs="Cambria" w:eastAsia="Cambria"/>
                <w:color w:val="1A1A1A"/>
                <w:sz w:val="18"/>
              </w:rPr>
              <w:t xml:space="preserve">Medio-elevata (extra-sanitaria)</w:t>
            </w:r>
          </w:p>
        </w:tc>
        <w:tc>
          <w:tcPr>
            <w:shd w:val="clear" w:color="auto" w:fill="F4F1EC"/>
          </w:tcPr>
          <w:p>
            <w:pPr>
              <w:pStyle w:val="Compact"/>
              <w:spacing w:after="40" w:before="40"/>
              <w:jc w:val="left"/>
            </w:pPr>
            <w:r>
              <w:rPr>
                <w:rFonts w:ascii="Cambria" w:hAnsi="Cambria" w:cs="Cambria" w:eastAsia="Cambria"/>
                <w:color w:val="1A1A1A"/>
                <w:sz w:val="18"/>
              </w:rPr>
              <w:t xml:space="preserve">Differito</w:t>
            </w:r>
          </w:p>
        </w:tc>
        <w:tc>
          <w:tcPr>
            <w:shd w:val="clear" w:color="auto" w:fill="F4F1EC"/>
          </w:tcPr>
          <w:p>
            <w:pPr>
              <w:pStyle w:val="Compact"/>
              <w:spacing w:after="40" w:before="40"/>
              <w:jc w:val="left"/>
            </w:pPr>
            <w:r>
              <w:rPr>
                <w:rFonts w:ascii="Cambria" w:hAnsi="Cambria" w:cs="Cambria" w:eastAsia="Cambria"/>
                <w:color w:val="1A1A1A"/>
                <w:sz w:val="18"/>
              </w:rPr>
              <w:t xml:space="preserve">Pedagogico-scolastico; prevenzionalistico; culturale</w:t>
            </w:r>
          </w:p>
        </w:tc>
      </w:tr>
      <w:tr>
        <w:tc>
          <w:tcPr/>
          <w:p>
            <w:pPr>
              <w:pStyle w:val="Compact"/>
              <w:spacing w:after="40" w:before="40"/>
              <w:jc w:val="left"/>
            </w:pPr>
            <w:r>
              <w:rPr>
                <w:rFonts w:ascii="Cambria" w:hAnsi="Cambria" w:cs="Cambria" w:eastAsia="Cambria"/>
                <w:color w:val="1A1A1A"/>
                <w:sz w:val="18"/>
              </w:rPr>
              <w:t xml:space="preserve">Attori istituzionali regionali</w:t>
            </w:r>
          </w:p>
        </w:tc>
        <w:tc>
          <w:tcPr/>
          <w:p>
            <w:pPr>
              <w:pStyle w:val="Compact"/>
              <w:spacing w:after="40" w:before="40"/>
              <w:jc w:val="left"/>
            </w:pPr>
            <w:r>
              <w:rPr>
                <w:rFonts w:ascii="Cambria" w:hAnsi="Cambria" w:cs="Cambria" w:eastAsia="Cambria"/>
                <w:color w:val="1A1A1A"/>
                <w:sz w:val="18"/>
              </w:rPr>
              <w:t xml:space="preserve">Elevata (di sistema)</w:t>
            </w:r>
          </w:p>
        </w:tc>
        <w:tc>
          <w:tcPr/>
          <w:p>
            <w:pPr>
              <w:pStyle w:val="Compact"/>
              <w:spacing w:after="40" w:before="40"/>
              <w:jc w:val="left"/>
            </w:pPr>
            <w:r>
              <w:rPr>
                <w:rFonts w:ascii="Cambria" w:hAnsi="Cambria" w:cs="Cambria" w:eastAsia="Cambria"/>
                <w:color w:val="1A1A1A"/>
                <w:sz w:val="18"/>
              </w:rPr>
              <w:t xml:space="preserve">Realizzatore</w:t>
            </w:r>
          </w:p>
        </w:tc>
        <w:tc>
          <w:tcPr/>
          <w:p>
            <w:pPr>
              <w:pStyle w:val="Compact"/>
              <w:spacing w:after="40" w:before="40"/>
              <w:jc w:val="left"/>
            </w:pPr>
            <w:r>
              <w:rPr>
                <w:rFonts w:ascii="Cambria" w:hAnsi="Cambria" w:cs="Cambria" w:eastAsia="Cambria"/>
                <w:color w:val="1A1A1A"/>
                <w:sz w:val="18"/>
              </w:rPr>
              <w:t xml:space="preserve">Finanziario e dei bilanci regionali; burocratico</w:t>
            </w:r>
          </w:p>
        </w:tc>
      </w:tr>
      <w:tr>
        <w:tc>
          <w:tcPr>
            <w:shd w:val="clear" w:color="auto" w:fill="F4F1EC"/>
          </w:tcPr>
          <w:p>
            <w:pPr>
              <w:pStyle w:val="Compact"/>
              <w:spacing w:after="40" w:before="40"/>
              <w:jc w:val="left"/>
            </w:pPr>
            <w:r>
              <w:rPr>
                <w:rFonts w:ascii="Cambria" w:hAnsi="Cambria" w:cs="Cambria" w:eastAsia="Cambria"/>
                <w:color w:val="1A1A1A"/>
                <w:sz w:val="18"/>
              </w:rPr>
              <w:t xml:space="preserve">Attori extra-sanitari</w:t>
            </w:r>
          </w:p>
        </w:tc>
        <w:tc>
          <w:tcPr>
            <w:shd w:val="clear" w:color="auto" w:fill="F4F1EC"/>
          </w:tcPr>
          <w:p>
            <w:pPr>
              <w:pStyle w:val="Compact"/>
              <w:spacing w:after="40" w:before="40"/>
              <w:jc w:val="left"/>
            </w:pPr>
            <w:r>
              <w:rPr>
                <w:rFonts w:ascii="Cambria" w:hAnsi="Cambria" w:cs="Cambria" w:eastAsia="Cambria"/>
                <w:color w:val="1A1A1A"/>
                <w:sz w:val="18"/>
              </w:rPr>
              <w:t xml:space="preserve">Indiretta (di sistema)</w:t>
            </w:r>
          </w:p>
        </w:tc>
        <w:tc>
          <w:tcPr>
            <w:shd w:val="clear" w:color="auto" w:fill="F4F1EC"/>
          </w:tcPr>
          <w:p>
            <w:pPr>
              <w:pStyle w:val="Compact"/>
              <w:spacing w:after="40" w:before="40"/>
              <w:jc w:val="left"/>
            </w:pPr>
            <w:r>
              <w:rPr>
                <w:rFonts w:ascii="Cambria" w:hAnsi="Cambria" w:cs="Cambria" w:eastAsia="Cambria"/>
                <w:color w:val="1A1A1A"/>
                <w:sz w:val="18"/>
              </w:rPr>
              <w:t xml:space="preserve">Massimo in entità</w:t>
            </w:r>
          </w:p>
        </w:tc>
        <w:tc>
          <w:tcPr>
            <w:shd w:val="clear" w:color="auto" w:fill="F4F1EC"/>
          </w:tcPr>
          <w:p>
            <w:pPr>
              <w:pStyle w:val="Compact"/>
              <w:spacing w:after="40" w:before="40"/>
              <w:jc w:val="left"/>
            </w:pPr>
            <w:r>
              <w:rPr>
                <w:rFonts w:ascii="Cambria" w:hAnsi="Cambria" w:cs="Cambria" w:eastAsia="Cambria"/>
                <w:color w:val="1A1A1A"/>
                <w:sz w:val="18"/>
              </w:rPr>
              <w:t xml:space="preserve">Previdenziale; lavorativo; produttivistico; criminologico — sociale, distinto dal diretto</w:t>
            </w:r>
          </w:p>
        </w:tc>
      </w:tr>
    </w:tbl>
    <w:p/>
    <w:bookmarkEnd w:id="177"/>
    <w:bookmarkStart w:id="178" w:name="X6df891e33c00bee6e44c6afa9b41b268c71cb6f"/>
    <w:p>
      <w:pPr>
        <w:pStyle w:val="Heading2"/>
      </w:pPr>
      <w:r>
        <w:t xml:space="preserve">Quadro Conclusivo economico-sociale e multidisciplinare integrale</w:t>
      </w:r>
    </w:p>
    <w:p>
      <w:pPr>
        <w:pStyle w:val="FirstParagraph"/>
      </w:pPr>
      <w:r>
        <w:t xml:space="preserve">La terza parte ha dato forma compiuta all’ordine richiesto, percorrendo l’intera cascata delle figure direttamente e indirettamente connesse alla riforma e collocando ciascuna lungo le due dimensioni che governano l’architettura, l’influenza nel progetto e la capacità di rientro economico o di revisione della spesa. Resta ora da comporre, in un quadro unitario, il significato economico-sociale e multidisciplinare di tale percorso, non per anticipare le quantificazioni che le Parti applicative svilupperanno, ma per rendere esplicita la struttura di valore che la cascata istituisce e i vincoli entro cui essa dovrà essere misurata. Il quadro che segue è, in questo senso, la cerniera tra l’architettura delle figure e la valutazione economica integrata, e ne fissa i termini.</w:t>
      </w:r>
    </w:p>
    <w:p>
      <w:pPr>
        <w:pStyle w:val="BodyText"/>
      </w:pPr>
      <w:r>
        <w:t xml:space="preserve">Il primo risultato strutturale della Parte è la dissociazione tra l’influenza e il rientro, che la matrice conclusiva ha reso visibile e che costituisce il fondamento dell’intera attribuzione del valore. Lo Psicologo di Base, posto all’apice per influenza massima, non è la figura di rientro diretto massimo: il suo valore si esercita attivando e ordinando quello generato dalle figure a valle, ed è perciò elevato ma indiretto. La coppia clinica con la medicina generale, di influenza elevata, è invece il luogo del rientro diretto meglio documentato, dove l’appropriatezza farmaceutica, la riduzione degli accessi impropri e il contenimento degli invii non necessari si saldano in un risparmio imputabile. Gli attori extra-sanitari, di influenza operativa contenuta, sono infine il terreno su cui si deposita il valore di maggiore entità assoluta, interamente di natura sociale e indiretta. Questa articolazione su due dimensioni non coincidenti è ciò che impedisce di ridurre la riforma a un’unica grandezza e impone, alla valutazione economica, di procedere per attribuzione distinta lungo l’intera struttura.</w:t>
      </w:r>
    </w:p>
    <w:p>
      <w:pPr>
        <w:pStyle w:val="BodyText"/>
      </w:pPr>
      <w:r>
        <w:t xml:space="preserve">Il secondo risultato è la mappatura del perimetro multidisciplinare integrale sui livelli della cascata, che converte l’elenco dei domini in una struttura ordinata di attribuzione. I risparmi diretti del bilancio sanitario — minore spesa farmaceutica inappropriata, minori accessi impropri al pronto soccorso e ricoveri evitabili, minore mobilità sanitaria passiva, minori esami e invii impropri — si concentrano ai livelli clinici alti della cascata, attorno alla coppia clinica, al neurologo, all’infermiere di comunità e allo psichiatra consulente, e trovano negli attori istituzionali regionali i soggetti che li realizzano e li contabilizzano nel bilancio. I benefici sociali e indiretti — nei domini lavorativo, previdenziale, produttivistico, assistenzialistico, welfaristico, prevenzionalistico, criminologico, burocratico, culturale, pedagogico e scolastico, accademico, industriale, sindacale, antropologico, sociale e finanziario — si distribuiscono lungo i livelli intermedi e bassi della cascata, dalle figure sociali ed educative fino agli attori extra-sanitari, sui quali si concentra la quota di valore più ampia. La cascata non è dunque soltanto un ordinamento delle figure, ma anche la griglia che assegna a ciascun dominio il proprio livello di produzione, garantendo che nessun beneficio resti privo di una collocazione e che nessuno sia contato due volte.</w:t>
      </w:r>
    </w:p>
    <w:p>
      <w:pPr>
        <w:pStyle w:val="BodyText"/>
      </w:pPr>
      <w:r>
        <w:t xml:space="preserve">Il terzo risultato è la riaffermazione, lungo l’intera struttura, dei vincoli metodologici invarianti che governano l’opera, e che il quadro conclusivo richiama nella loro funzione di salvaguardia. La separazione rigorosa tra il risparmio fiscale diretto, che pertiene al bilancio del Servizio sanitario regionale, e il beneficio sociale indiretto, che pertiene agli altri bilanci pubblici e all’economia nel suo complesso, è mantenuta a ogni livello della cascata, e non è in alcun punto convertita in un’unica somma. La regola di non duplicazione opera quale presidio contro la sovrastima, e impone che il medesimo effetto — il recupero di una persona alla vita lavorativa, l’evitata cronicizzazione di un disagio, la riduzione di un episodio assistenziale — sia attribuito a un solo dominio e a una sola figura, e mai contabilizzato simultaneamente come minore spesa previdenziale, maggiore produttività e minore costo sanitario. Il monito sulla non significatività statistica dei risparmi sanitari diretti, isolatamente considerati, documentato dall’analisi di lungo periodo dello studio IMPACT, è preservato in ogni sezione in cui un risparmio diretto è enunciato, e impedisce di fondare la giustificazione economica della riforma su un risparmio sanitario sopravvalutato anziché sul valore complessivo che la cascata libera.</w:t>
      </w:r>
    </w:p>
    <w:p>
      <w:pPr>
        <w:pStyle w:val="BodyText"/>
      </w:pPr>
      <w:r>
        <w:t xml:space="preserve">Il quarto risultato attiene alla misura del rendimento e alla forma delle previsioni, che la Parte ha enunciato con la disciplina imposta dai vincoli. Ogni ritorno economico è ricondotto agli intervalli di rendimento validati dalla letteratura, compresi tra circa due e tre a uno per i soli benefici economici e tra circa tre e mezzo e cinque e mezzo a uno con l’inclusione dei ritorni in salute, e nessun valore estraneo a tali intervalli è impiegato. Le previsioni formulate per ciascuna figura — sulla quota di domanda risolta al primo livello, sulla riduzione della prescrizione inappropriata e degli invii, sull’anticipazione dell’intercettazione del disagio in età evolutiva, sulla riduzione della dispersione scolastica, sulla riallocazione delle risorse liberate, sulla riduzione delle prestazioni di invalidità e delle giornate di lavoro perse — sono tutte enunciate in forma di banda prudenziale, con indicazione delle soglie il cui mancato raggiungimento ne segnalerebbe la confutazione, e tutte rinviate alla verifica del sistema di monitoraggio regionale. L’evidenza che le sostiene, clinica e relativa all’Intelligenza Artificiale, è graduata con il medesimo rigore, e la qualità delle prove è dichiarata là dove essa è elevata e là dove è soltanto moderata o bassa, senza che la solidità del modello collaborativo sia estesa indebitamente agli strumenti la cui base documentale è ancora in formazione.</w:t>
      </w:r>
    </w:p>
    <w:p>
      <w:pPr>
        <w:pStyle w:val="BodyText"/>
      </w:pPr>
      <w:r>
        <w:t xml:space="preserve">Il quinto e ultimo risultato riguarda la posizione dell’Intelligenza Artificiale nell’architettura, che la Parte ha mantenuto ferma in ogni sezione. La leva digitale non costituisce un livello autonomo della cascata né un soggetto produttore di valore, ma uno strumento che rende più funzionale l’azione delle figure, e segnatamente dell’apice, nella stratificazione del rischio, nel triage della domanda e nel monitoraggio degli esiti. Essa opera sempre sotto la supervisione umana e entro la cornice di governance prudenziale che il quadro normativo europeo prescrive per i sistemi a uso sanitario, e la sua collocazione non modifica in alcun punto la gerarchia delle figure: l’apice resta umano, e la cascata conserva la propria struttura. Con questi cinque risultati la terza parte consegna alle Parti applicative non un insieme di stime, ma l’ordinamento entro cui le stime troveranno la propria collocazione, la garanzia che ogni grandezza sia attribuita a una sola figura e a un solo dominio, e la cornice di vincoli che ne assicura la prudenza e la falsificabilità.</w:t>
      </w:r>
    </w:p>
    <w:bookmarkEnd w:id="178"/>
    <w:bookmarkStart w:id="179" w:name="conclusione-1"/>
    <w:p>
      <w:pPr>
        <w:pStyle w:val="Heading2"/>
      </w:pPr>
      <w:r>
        <w:t xml:space="preserve">Conclusione</w:t>
      </w:r>
    </w:p>
    <w:p>
      <w:pPr>
        <w:pStyle w:val="FirstParagraph"/>
      </w:pPr>
      <w:r>
        <w:t xml:space="preserve">La terza parte adempie alla funzione che la struttura dell’opera le ha assegnato: essa costituisce l’innovazione strutturale dello studio integrale e dà forma compiuta al principio ordinatore della cascata gerarchica piramidale. Muovendo dallo Psicologo di Base come apice e origine, la Parte ha percorso l’intera architettura delle figure direttamente e indirettamente connesse alla riforma — cliniche, socio-sanitarie, educative, istituzionali ed extra-sanitarie — superando in via definitiva il perimetro ristretto alle sole quattro figure dello psicologo, del medico, del pediatra e del neurologo, e abbracciando la totalità degli attori su cui la riforma incide e che ne determinano o ne ricevono gli effetti.</w:t>
      </w:r>
    </w:p>
    <w:p>
      <w:pPr>
        <w:pStyle w:val="BodyText"/>
      </w:pPr>
      <w:r>
        <w:t xml:space="preserve">Il percorso ha prodotto un ordinamento formale, esposto nella matrice conclusiva, che colloca ciascuna figura lungo le due dimensioni dell’influenza e della capacità di rientro e ne distingue la natura — diretta o indiretta, immediata o differita, fiscale o sociale. Tale ordinamento non è un riepilogo, ma lo strumento operativo su cui le Parti applicative fonderanno l’attribuzione del valore, e il presidio metodologico che garantisce, lungo l’intera struttura, la separazione tra risparmio diretto e beneficio indiretto, la regola di non duplicazione, la riconduzione del rendimento agli intervalli validati e la falsificabilità delle previsioni. La cascata, in questa forma, non è soltanto un ordine di esposizione, ma la griglia che assegna a ciascun dominio del perimetro integrale il proprio livello di produzione del valore.</w:t>
      </w:r>
    </w:p>
    <w:p>
      <w:pPr>
        <w:pStyle w:val="BodyText"/>
      </w:pPr>
      <w:r>
        <w:t xml:space="preserve">Con la collocazione delle figure e la mappatura dei domini sui livelli della cascata, la terza parte consegna alle parti successive il fondamento su cui esse opereranno. La quarta parte potrà ora descrivere il modello organizzativo e le leve abilitanti che attivano la cascata nel funzionamento quotidiano del servizio; la quinta potrà trattare la formazione del personale come pilastro trasversale; e le parti dalla sesta alla decima potranno misurare, figura per figura e dominio per dominio, i costi e i benefici diretti e indiretti che la presente architettura ha ordinato, fino al saldo economico consolidato. La cascata gerarchica piramidale, da principio ordinatore enunciato, è divenuta struttura operativa: è questo il risultato che la terza parte consegna all’opera.</w:t>
      </w:r>
    </w:p>
    <w:bookmarkEnd w:id="179"/>
    <w:bookmarkStart w:id="180" w:name="note-bibliografiche-integrali-1"/>
    <w:p>
      <w:pPr>
        <w:pStyle w:val="Heading2"/>
      </w:pPr>
      <w:r>
        <w:t xml:space="preserve">Note Bibliografiche Integrali</w:t>
      </w:r>
    </w:p>
    <w:p>
      <w:pPr>
        <w:pStyle w:val="FirstParagraph"/>
      </w:pPr>
      <w:r>
        <w:t xml:space="preserve">Le note che seguono raccolgono in forma integrale e annotata i riferimenti richiamati nel corso della terza parte. Per ciascuna nota sono indicati il riferimento per esteso, la fonte di reperimento e una sintesi che ne dichiara il contenuto e la pertinenza rispetto all’argomentazione della Parte. La graduazione della qualità delle evidenze, ove rilevante, è enunciata nella sintesi, in coerenza con il vincolo di graduazione simmetrica che governa l’opera. Le fonti normative rinviano ai portali ufficiali di pubblicazione; le fonti scientifiche rinviano, ove disponibile, all’identificatore digitale dell’opera o al sito dell’editore.</w:t>
      </w:r>
    </w:p>
    <w:p>
      <w:pPr>
        <w:pStyle w:val="BodyText"/>
      </w:pPr>
      <w:r>
        <w:rPr>
          <w:b/>
          <w:bCs/>
        </w:rPr>
        <w:t xml:space="preserve">1.</w:t>
      </w:r>
      <w:r>
        <w:rPr>
          <w:b/>
          <w:bCs/>
        </w:rPr>
        <w:t xml:space="preserve"> </w:t>
      </w:r>
      <w:r>
        <w:t xml:space="preserve">Chisholm D., Sweeny K., Sheehan P. et al., «Scaling-up treatment of depression and anxiety: a global return on investment analysis», The Lancet Psychiatry, vol. 3, n. 5, 2016, pp. 415–424.</w:t>
      </w:r>
    </w:p>
    <w:p>
      <w:pPr>
        <w:pStyle w:val="BodyText"/>
      </w:pPr>
      <w:r>
        <w:rPr>
          <w:b/>
          <w:bCs/>
        </w:rPr>
        <w:t xml:space="preserve">Fonte:</w:t>
      </w:r>
      <w:r>
        <w:rPr>
          <w:b/>
          <w:bCs/>
        </w:rPr>
        <w:t xml:space="preserve"> </w:t>
      </w:r>
      <w:r>
        <w:t xml:space="preserve">https://doi.org/10.1016/S2215-0366(16)30024-4</w:t>
      </w:r>
    </w:p>
    <w:p>
      <w:pPr>
        <w:pStyle w:val="BodyText"/>
      </w:pPr>
      <w:r>
        <w:rPr>
          <w:b/>
          <w:bCs/>
        </w:rPr>
        <w:t xml:space="preserve">Sintesi:</w:t>
      </w:r>
      <w:r>
        <w:rPr>
          <w:b/>
          <w:bCs/>
        </w:rPr>
        <w:t xml:space="preserve"> </w:t>
      </w:r>
      <w:r>
        <w:rPr>
          <w:i/>
          <w:iCs/>
        </w:rPr>
        <w:t xml:space="preserve">Studio di riferimento per gli intervalli di rendimento adottati nell’opera. Stima il ritorno economico dell’investimento nel trattamento di depressione e ansia, distinguendo i soli benefici economici dai benefici comprensivi dei ritorni in salute. Fonda i vincoli numerici invarianti del progetto.</w:t>
      </w:r>
    </w:p>
    <w:p>
      <w:pPr>
        <w:pStyle w:val="BodyText"/>
      </w:pPr>
      <w:r>
        <w:rPr>
          <w:b/>
          <w:bCs/>
        </w:rPr>
        <w:t xml:space="preserve">2.</w:t>
      </w:r>
      <w:r>
        <w:rPr>
          <w:b/>
          <w:bCs/>
        </w:rPr>
        <w:t xml:space="preserve"> </w:t>
      </w:r>
      <w:r>
        <w:t xml:space="preserve">Rinvio interno al monito sulla non significatività statistica dei risparmi sanitari diretti isolatamente considerati (cfr. nota 5).</w:t>
      </w:r>
    </w:p>
    <w:p>
      <w:pPr>
        <w:pStyle w:val="BodyText"/>
      </w:pPr>
      <w:r>
        <w:rPr>
          <w:b/>
          <w:bCs/>
        </w:rPr>
        <w:t xml:space="preserve">Fonte:</w:t>
      </w:r>
      <w:r>
        <w:rPr>
          <w:b/>
          <w:bCs/>
        </w:rPr>
        <w:t xml:space="preserve"> </w:t>
      </w:r>
      <w:r>
        <w:t xml:space="preserve">Cfr. infra, nota 5</w:t>
      </w:r>
    </w:p>
    <w:p>
      <w:pPr>
        <w:pStyle w:val="BodyText"/>
      </w:pPr>
      <w:r>
        <w:rPr>
          <w:b/>
          <w:bCs/>
        </w:rPr>
        <w:t xml:space="preserve">Sintesi:</w:t>
      </w:r>
      <w:r>
        <w:rPr>
          <w:b/>
          <w:bCs/>
        </w:rPr>
        <w:t xml:space="preserve"> </w:t>
      </w:r>
      <w:r>
        <w:rPr>
          <w:i/>
          <w:iCs/>
        </w:rPr>
        <w:t xml:space="preserve">Nota di rinvio che àncora il caveat metodologico preservato in ogni sezione in cui è enunciato un risparmio diretto, impedendone la sovrastima.</w:t>
      </w:r>
    </w:p>
    <w:p>
      <w:pPr>
        <w:pStyle w:val="BodyText"/>
      </w:pPr>
      <w:r>
        <w:rPr>
          <w:b/>
          <w:bCs/>
        </w:rPr>
        <w:t xml:space="preserve">3.</w:t>
      </w:r>
      <w:r>
        <w:rPr>
          <w:b/>
          <w:bCs/>
        </w:rPr>
        <w:t xml:space="preserve"> </w:t>
      </w:r>
      <w:r>
        <w:t xml:space="preserve">Regione Puglia, Legge regionale 8 marzo 2023, n. 11, istitutiva del Servizio di Psicologia di Base nel Servizio sanitario regionale.</w:t>
      </w:r>
    </w:p>
    <w:p>
      <w:pPr>
        <w:pStyle w:val="BodyText"/>
      </w:pPr>
      <w:r>
        <w:rPr>
          <w:b/>
          <w:bCs/>
        </w:rPr>
        <w:t xml:space="preserve">Fonte:</w:t>
      </w:r>
      <w:r>
        <w:rPr>
          <w:b/>
          <w:bCs/>
        </w:rPr>
        <w:t xml:space="preserve"> </w:t>
      </w:r>
      <w:r>
        <w:t xml:space="preserve">https://www.regione.puglia.it — Bollettino Ufficiale della Regione Puglia</w:t>
      </w:r>
    </w:p>
    <w:p>
      <w:pPr>
        <w:pStyle w:val="BodyText"/>
      </w:pPr>
      <w:r>
        <w:rPr>
          <w:b/>
          <w:bCs/>
        </w:rPr>
        <w:t xml:space="preserve">Sintesi:</w:t>
      </w:r>
      <w:r>
        <w:rPr>
          <w:b/>
          <w:bCs/>
        </w:rPr>
        <w:t xml:space="preserve"> </w:t>
      </w:r>
      <w:r>
        <w:rPr>
          <w:i/>
          <w:iCs/>
        </w:rPr>
        <w:t xml:space="preserve">Fondamento normativo regionale della riforma. Istituisce la figura dello Psicologo di Base nel sistema sanitario pugliese e ne definisce la cornice giuridica, cui l’intera architettura della cascata si riferisce.</w:t>
      </w:r>
    </w:p>
    <w:p>
      <w:pPr>
        <w:pStyle w:val="BodyText"/>
      </w:pPr>
      <w:r>
        <w:rPr>
          <w:b/>
          <w:bCs/>
        </w:rPr>
        <w:t xml:space="preserve">4.</w:t>
      </w:r>
      <w:r>
        <w:rPr>
          <w:b/>
          <w:bCs/>
        </w:rPr>
        <w:t xml:space="preserve"> </w:t>
      </w:r>
      <w:r>
        <w:t xml:space="preserve">Unützer J., Katon W., Callahan C. M. et al., «Collaborative care management of late-life depression in the primary care setting» (studio IMPACT), JAMA, vol. 288, n. 22, 2002, pp. 2836–2845.</w:t>
      </w:r>
    </w:p>
    <w:p>
      <w:pPr>
        <w:pStyle w:val="BodyText"/>
      </w:pPr>
      <w:r>
        <w:rPr>
          <w:b/>
          <w:bCs/>
        </w:rPr>
        <w:t xml:space="preserve">Fonte:</w:t>
      </w:r>
      <w:r>
        <w:rPr>
          <w:b/>
          <w:bCs/>
        </w:rPr>
        <w:t xml:space="preserve"> </w:t>
      </w:r>
      <w:r>
        <w:t xml:space="preserve">https://doi.org/10.1001/jama.288.22.2836</w:t>
      </w:r>
    </w:p>
    <w:p>
      <w:pPr>
        <w:pStyle w:val="BodyText"/>
      </w:pPr>
      <w:r>
        <w:rPr>
          <w:b/>
          <w:bCs/>
        </w:rPr>
        <w:t xml:space="preserve">Sintesi:</w:t>
      </w:r>
      <w:r>
        <w:rPr>
          <w:b/>
          <w:bCs/>
        </w:rPr>
        <w:t xml:space="preserve"> </w:t>
      </w:r>
      <w:r>
        <w:rPr>
          <w:i/>
          <w:iCs/>
        </w:rPr>
        <w:t xml:space="preserve">Sperimentazione controllata di riferimento per il modello dell’assistenza collaborativa, di cui la coppia clinica costituisce l’applicazione. Documenta con grado di certezza elevato il beneficio clinico dell’integrazione della psicologia nelle cure primarie.</w:t>
      </w:r>
    </w:p>
    <w:p>
      <w:pPr>
        <w:pStyle w:val="BodyText"/>
      </w:pPr>
      <w:r>
        <w:rPr>
          <w:b/>
          <w:bCs/>
        </w:rPr>
        <w:t xml:space="preserve">5.</w:t>
      </w:r>
      <w:r>
        <w:rPr>
          <w:b/>
          <w:bCs/>
        </w:rPr>
        <w:t xml:space="preserve"> </w:t>
      </w:r>
      <w:r>
        <w:t xml:space="preserve">Katon W., Unützer J. et al., analisi di costo-efficacia e beneficio netto dello studio IMPACT, Archives of General Psychiatry, vol. 62, 2005, pp. 1313–1320.</w:t>
      </w:r>
    </w:p>
    <w:p>
      <w:pPr>
        <w:pStyle w:val="BodyText"/>
      </w:pPr>
      <w:r>
        <w:rPr>
          <w:b/>
          <w:bCs/>
        </w:rPr>
        <w:t xml:space="preserve">Fonte:</w:t>
      </w:r>
      <w:r>
        <w:rPr>
          <w:b/>
          <w:bCs/>
        </w:rPr>
        <w:t xml:space="preserve"> </w:t>
      </w:r>
      <w:r>
        <w:t xml:space="preserve">https://doi.org/10.1001/archpsyc.62.12.1313</w:t>
      </w:r>
    </w:p>
    <w:p>
      <w:pPr>
        <w:pStyle w:val="BodyText"/>
      </w:pPr>
      <w:r>
        <w:rPr>
          <w:b/>
          <w:bCs/>
        </w:rPr>
        <w:t xml:space="preserve">Sintesi:</w:t>
      </w:r>
      <w:r>
        <w:rPr>
          <w:b/>
          <w:bCs/>
        </w:rPr>
        <w:t xml:space="preserve"> </w:t>
      </w:r>
      <w:r>
        <w:rPr>
          <w:i/>
          <w:iCs/>
        </w:rPr>
        <w:t xml:space="preserve">Analisi economica di lungo periodo dello studio IMPACT. Documenta la non significatività statistica dei risparmi sanitari diretti isolatamente considerati: fonte del monito metodologico cardine dell’opera.</w:t>
      </w:r>
    </w:p>
    <w:p>
      <w:pPr>
        <w:pStyle w:val="BodyText"/>
      </w:pPr>
      <w:r>
        <w:rPr>
          <w:b/>
          <w:bCs/>
        </w:rPr>
        <w:t xml:space="preserve">6.</w:t>
      </w:r>
      <w:r>
        <w:rPr>
          <w:b/>
          <w:bCs/>
        </w:rPr>
        <w:t xml:space="preserve"> </w:t>
      </w:r>
      <w:r>
        <w:t xml:space="preserve">Archer J., Bower P., Gilbody S. et al., «Collaborative care for depression and anxiety problems», Cochrane Database of Systematic Reviews, 2012.</w:t>
      </w:r>
    </w:p>
    <w:p>
      <w:pPr>
        <w:pStyle w:val="BodyText"/>
      </w:pPr>
      <w:r>
        <w:rPr>
          <w:b/>
          <w:bCs/>
        </w:rPr>
        <w:t xml:space="preserve">Fonte:</w:t>
      </w:r>
      <w:r>
        <w:rPr>
          <w:b/>
          <w:bCs/>
        </w:rPr>
        <w:t xml:space="preserve"> </w:t>
      </w:r>
      <w:r>
        <w:t xml:space="preserve">https://doi.org/10.1002/14651858.CD006525.pub2</w:t>
      </w:r>
    </w:p>
    <w:p>
      <w:pPr>
        <w:pStyle w:val="BodyText"/>
      </w:pPr>
      <w:r>
        <w:rPr>
          <w:b/>
          <w:bCs/>
        </w:rPr>
        <w:t xml:space="preserve">Sintesi:</w:t>
      </w:r>
      <w:r>
        <w:rPr>
          <w:b/>
          <w:bCs/>
        </w:rPr>
        <w:t xml:space="preserve"> </w:t>
      </w:r>
      <w:r>
        <w:rPr>
          <w:i/>
          <w:iCs/>
        </w:rPr>
        <w:t xml:space="preserve">Revisione sistematica Cochrane che attesta, con elevata qualità dell’evidenza, l’efficacia dell’assistenza collaborativa su depressione e ansia rispetto alla cura ordinaria. Sostiene il fondamento clinico della coppia clinica.</w:t>
      </w:r>
    </w:p>
    <w:p>
      <w:pPr>
        <w:pStyle w:val="BodyText"/>
      </w:pPr>
      <w:r>
        <w:rPr>
          <w:b/>
          <w:bCs/>
        </w:rPr>
        <w:t xml:space="preserve">7.</w:t>
      </w:r>
      <w:r>
        <w:rPr>
          <w:b/>
          <w:bCs/>
        </w:rPr>
        <w:t xml:space="preserve"> </w:t>
      </w:r>
      <w:r>
        <w:t xml:space="preserve">Organizzazione Mondiale della Sanità, World Mental Health Report: Transforming Mental Health for All, Ginevra, 2022.</w:t>
      </w:r>
    </w:p>
    <w:p>
      <w:pPr>
        <w:pStyle w:val="BodyText"/>
      </w:pPr>
      <w:r>
        <w:rPr>
          <w:b/>
          <w:bCs/>
        </w:rPr>
        <w:t xml:space="preserve">Fonte:</w:t>
      </w:r>
      <w:r>
        <w:rPr>
          <w:b/>
          <w:bCs/>
        </w:rPr>
        <w:t xml:space="preserve"> </w:t>
      </w:r>
      <w:r>
        <w:t xml:space="preserve">https://www.who.int/publications/i/item/9789240049338</w:t>
      </w:r>
    </w:p>
    <w:p>
      <w:pPr>
        <w:pStyle w:val="BodyText"/>
      </w:pPr>
      <w:r>
        <w:rPr>
          <w:b/>
          <w:bCs/>
        </w:rPr>
        <w:t xml:space="preserve">Sintesi:</w:t>
      </w:r>
      <w:r>
        <w:rPr>
          <w:b/>
          <w:bCs/>
        </w:rPr>
        <w:t xml:space="preserve"> </w:t>
      </w:r>
      <w:r>
        <w:rPr>
          <w:i/>
          <w:iCs/>
        </w:rPr>
        <w:t xml:space="preserve">Rapporto globale sulla salute mentale. Inquadra il carico del disagio psichico e la necessità di servizi di prossimità, e fornisce la cornice entro cui graduare prudenzialmente, fra l’altro, le evidenze sugli strumenti digitali.</w:t>
      </w:r>
    </w:p>
    <w:p>
      <w:pPr>
        <w:pStyle w:val="BodyText"/>
      </w:pPr>
      <w:r>
        <w:rPr>
          <w:b/>
          <w:bCs/>
        </w:rPr>
        <w:t xml:space="preserve">8.</w:t>
      </w:r>
      <w:r>
        <w:rPr>
          <w:b/>
          <w:bCs/>
        </w:rPr>
        <w:t xml:space="preserve"> </w:t>
      </w:r>
      <w:r>
        <w:t xml:space="preserve">ISTAT, Censimento permanente della popolazione e indicatori demografici, Regione Puglia, 2024.</w:t>
      </w:r>
    </w:p>
    <w:p>
      <w:pPr>
        <w:pStyle w:val="BodyText"/>
      </w:pPr>
      <w:r>
        <w:rPr>
          <w:b/>
          <w:bCs/>
        </w:rPr>
        <w:t xml:space="preserve">Fonte:</w:t>
      </w:r>
      <w:r>
        <w:rPr>
          <w:b/>
          <w:bCs/>
        </w:rPr>
        <w:t xml:space="preserve"> </w:t>
      </w:r>
      <w:r>
        <w:t xml:space="preserve">http://dati.istat.it</w:t>
      </w:r>
    </w:p>
    <w:p>
      <w:pPr>
        <w:pStyle w:val="BodyText"/>
      </w:pPr>
      <w:r>
        <w:rPr>
          <w:b/>
          <w:bCs/>
        </w:rPr>
        <w:t xml:space="preserve">Sintesi:</w:t>
      </w:r>
      <w:r>
        <w:rPr>
          <w:b/>
          <w:bCs/>
        </w:rPr>
        <w:t xml:space="preserve"> </w:t>
      </w:r>
      <w:r>
        <w:rPr>
          <w:i/>
          <w:iCs/>
        </w:rPr>
        <w:t xml:space="preserve">Base demografica regionale per il dimensionamento del servizio. Fornisce la popolazione residente su cui è calcolato il fabbisogno di psicologi di base nelle aziende sanitarie locali e nei distretti.</w:t>
      </w:r>
    </w:p>
    <w:p>
      <w:pPr>
        <w:pStyle w:val="BodyText"/>
      </w:pPr>
      <w:r>
        <w:rPr>
          <w:b/>
          <w:bCs/>
        </w:rPr>
        <w:t xml:space="preserve">9.</w:t>
      </w:r>
      <w:r>
        <w:rPr>
          <w:b/>
          <w:bCs/>
        </w:rPr>
        <w:t xml:space="preserve"> </w:t>
      </w:r>
      <w:r>
        <w:t xml:space="preserve">Unione Europea, Regolamento (UE) 2024/1689 sull’intelligenza artificiale, con particolare riguardo ai sistemi a uso sanitario.</w:t>
      </w:r>
    </w:p>
    <w:p>
      <w:pPr>
        <w:pStyle w:val="BodyText"/>
      </w:pPr>
      <w:r>
        <w:rPr>
          <w:b/>
          <w:bCs/>
        </w:rPr>
        <w:t xml:space="preserve">Fonte:</w:t>
      </w:r>
      <w:r>
        <w:rPr>
          <w:b/>
          <w:bCs/>
        </w:rPr>
        <w:t xml:space="preserve"> </w:t>
      </w:r>
      <w:r>
        <w:t xml:space="preserve">https://eur-lex.europa.eu — EUR-Lex 32024R1689</w:t>
      </w:r>
    </w:p>
    <w:p>
      <w:pPr>
        <w:pStyle w:val="BodyText"/>
      </w:pPr>
      <w:r>
        <w:rPr>
          <w:b/>
          <w:bCs/>
        </w:rPr>
        <w:t xml:space="preserve">Sintesi:</w:t>
      </w:r>
      <w:r>
        <w:rPr>
          <w:b/>
          <w:bCs/>
        </w:rPr>
        <w:t xml:space="preserve"> </w:t>
      </w:r>
      <w:r>
        <w:rPr>
          <w:i/>
          <w:iCs/>
        </w:rPr>
        <w:t xml:space="preserve">Quadro normativo europeo sull’intelligenza artificiale. Definisce la cornice di governance prudenziale e di supervisione umana entro cui la leva digitale può essere impiegata in ambito sanitario.</w:t>
      </w:r>
    </w:p>
    <w:p>
      <w:pPr>
        <w:pStyle w:val="BodyText"/>
      </w:pPr>
      <w:r>
        <w:rPr>
          <w:b/>
          <w:bCs/>
        </w:rPr>
        <w:t xml:space="preserve">10.</w:t>
      </w:r>
      <w:r>
        <w:rPr>
          <w:b/>
          <w:bCs/>
        </w:rPr>
        <w:t xml:space="preserve"> </w:t>
      </w:r>
      <w:r>
        <w:t xml:space="preserve">Bower P., Gilbody S., «Stepped care in psychological therapies: access, effectiveness and efficiency», The British Journal of Psychiatry, vol. 186, 2005, pp. 11–17.</w:t>
      </w:r>
    </w:p>
    <w:p>
      <w:pPr>
        <w:pStyle w:val="BodyText"/>
      </w:pPr>
      <w:r>
        <w:rPr>
          <w:b/>
          <w:bCs/>
        </w:rPr>
        <w:t xml:space="preserve">Fonte:</w:t>
      </w:r>
      <w:r>
        <w:rPr>
          <w:b/>
          <w:bCs/>
        </w:rPr>
        <w:t xml:space="preserve"> </w:t>
      </w:r>
      <w:r>
        <w:t xml:space="preserve">https://doi.org/10.1192/bjp.186.1.11</w:t>
      </w:r>
    </w:p>
    <w:p>
      <w:pPr>
        <w:pStyle w:val="BodyText"/>
      </w:pPr>
      <w:r>
        <w:rPr>
          <w:b/>
          <w:bCs/>
        </w:rPr>
        <w:t xml:space="preserve">Sintesi:</w:t>
      </w:r>
      <w:r>
        <w:rPr>
          <w:b/>
          <w:bCs/>
        </w:rPr>
        <w:t xml:space="preserve"> </w:t>
      </w:r>
      <w:r>
        <w:rPr>
          <w:i/>
          <w:iCs/>
        </w:rPr>
        <w:t xml:space="preserve">Riferimento per il modello della cura per intensità crescente, su cui si fonda l’assetto operativo della coppia clinica e la regolazione dell’invio ai livelli a maggiore intensità.</w:t>
      </w:r>
    </w:p>
    <w:p>
      <w:pPr>
        <w:pStyle w:val="BodyText"/>
      </w:pPr>
      <w:r>
        <w:rPr>
          <w:b/>
          <w:bCs/>
        </w:rPr>
        <w:t xml:space="preserve">11.</w:t>
      </w:r>
      <w:r>
        <w:rPr>
          <w:b/>
          <w:bCs/>
        </w:rPr>
        <w:t xml:space="preserve"> </w:t>
      </w:r>
      <w:r>
        <w:t xml:space="preserve">Clark D. M., «Realizing the mass public benefit of evidence-based psychological therapies: the IAPT program», Annual Review of Clinical Psychology, vol. 14, 2018, pp. 159–183.</w:t>
      </w:r>
    </w:p>
    <w:p>
      <w:pPr>
        <w:pStyle w:val="BodyText"/>
      </w:pPr>
      <w:r>
        <w:rPr>
          <w:b/>
          <w:bCs/>
        </w:rPr>
        <w:t xml:space="preserve">Fonte:</w:t>
      </w:r>
      <w:r>
        <w:rPr>
          <w:b/>
          <w:bCs/>
        </w:rPr>
        <w:t xml:space="preserve"> </w:t>
      </w:r>
      <w:r>
        <w:t xml:space="preserve">https://doi.org/10.1146/annurev-clinpsy-050817-084833</w:t>
      </w:r>
    </w:p>
    <w:p>
      <w:pPr>
        <w:pStyle w:val="BodyText"/>
      </w:pPr>
      <w:r>
        <w:rPr>
          <w:b/>
          <w:bCs/>
        </w:rPr>
        <w:t xml:space="preserve">Sintesi:</w:t>
      </w:r>
      <w:r>
        <w:rPr>
          <w:b/>
          <w:bCs/>
        </w:rPr>
        <w:t xml:space="preserve"> </w:t>
      </w:r>
      <w:r>
        <w:rPr>
          <w:i/>
          <w:iCs/>
        </w:rPr>
        <w:t xml:space="preserve">Resoconto del programma inglese di accesso ai trattamenti psicologici. Documenta la sostenibilità su larga scala dell’integrazione psicologica e il ritorno in termini di esiti e di costi sociali evitati.</w:t>
      </w:r>
    </w:p>
    <w:p>
      <w:pPr>
        <w:pStyle w:val="BodyText"/>
      </w:pPr>
      <w:r>
        <w:rPr>
          <w:b/>
          <w:bCs/>
        </w:rPr>
        <w:t xml:space="preserve">12.</w:t>
      </w:r>
      <w:r>
        <w:rPr>
          <w:b/>
          <w:bCs/>
        </w:rPr>
        <w:t xml:space="preserve"> </w:t>
      </w:r>
      <w:r>
        <w:t xml:space="preserve">Agenzia Italiana del Farmaco (AIFA), Rapporto OsMed sull’uso dei farmaci in Italia, sezioni sull’appropriatezza degli psicofarmaci e sulle benzodiazepine.</w:t>
      </w:r>
    </w:p>
    <w:p>
      <w:pPr>
        <w:pStyle w:val="BodyText"/>
      </w:pPr>
      <w:r>
        <w:rPr>
          <w:b/>
          <w:bCs/>
        </w:rPr>
        <w:t xml:space="preserve">Fonte:</w:t>
      </w:r>
      <w:r>
        <w:rPr>
          <w:b/>
          <w:bCs/>
        </w:rPr>
        <w:t xml:space="preserve"> </w:t>
      </w:r>
      <w:r>
        <w:t xml:space="preserve">https://www.aifa.gov.it — Osservatorio Nazionale sull’impiego dei Medicinali</w:t>
      </w:r>
    </w:p>
    <w:p>
      <w:pPr>
        <w:pStyle w:val="BodyText"/>
      </w:pPr>
      <w:r>
        <w:rPr>
          <w:b/>
          <w:bCs/>
        </w:rPr>
        <w:t xml:space="preserve">Sintesi:</w:t>
      </w:r>
      <w:r>
        <w:rPr>
          <w:b/>
          <w:bCs/>
        </w:rPr>
        <w:t xml:space="preserve"> </w:t>
      </w:r>
      <w:r>
        <w:rPr>
          <w:i/>
          <w:iCs/>
        </w:rPr>
        <w:t xml:space="preserve">Fonte nazionale sul consumo e sull’appropriatezza prescrittiva degli psicofarmaci. Documenta il rilievo del consumo di benzodiazepine, su cui agisce il primo canale di risparmio diretto della coppia clinica.</w:t>
      </w:r>
    </w:p>
    <w:p>
      <w:pPr>
        <w:pStyle w:val="BodyText"/>
      </w:pPr>
      <w:r>
        <w:rPr>
          <w:b/>
          <w:bCs/>
        </w:rPr>
        <w:t xml:space="preserve">13.</w:t>
      </w:r>
      <w:r>
        <w:rPr>
          <w:b/>
          <w:bCs/>
        </w:rPr>
        <w:t xml:space="preserve"> </w:t>
      </w:r>
      <w:r>
        <w:t xml:space="preserve">National Institute for Health and Care Excellence (NICE), linee guida sui disturbi mentali comuni nell’adulto.</w:t>
      </w:r>
    </w:p>
    <w:p>
      <w:pPr>
        <w:pStyle w:val="BodyText"/>
      </w:pPr>
      <w:r>
        <w:rPr>
          <w:b/>
          <w:bCs/>
        </w:rPr>
        <w:t xml:space="preserve">Fonte:</w:t>
      </w:r>
      <w:r>
        <w:rPr>
          <w:b/>
          <w:bCs/>
        </w:rPr>
        <w:t xml:space="preserve"> </w:t>
      </w:r>
      <w:r>
        <w:t xml:space="preserve">https://www.nice.org.uk/guidance/cg123</w:t>
      </w:r>
    </w:p>
    <w:p>
      <w:pPr>
        <w:pStyle w:val="BodyText"/>
      </w:pPr>
      <w:r>
        <w:rPr>
          <w:b/>
          <w:bCs/>
        </w:rPr>
        <w:t xml:space="preserve">Sintesi:</w:t>
      </w:r>
      <w:r>
        <w:rPr>
          <w:b/>
          <w:bCs/>
        </w:rPr>
        <w:t xml:space="preserve"> </w:t>
      </w:r>
      <w:r>
        <w:rPr>
          <w:i/>
          <w:iCs/>
        </w:rPr>
        <w:t xml:space="preserve">Linee guida di riferimento per l’identificazione e i percorsi di cura dei disturbi mentali comuni. Sostengono i criteri di appropriatezza dell’intervento e dell’invio nella coppia clinica.</w:t>
      </w:r>
    </w:p>
    <w:p>
      <w:pPr>
        <w:pStyle w:val="BodyText"/>
      </w:pPr>
      <w:r>
        <w:rPr>
          <w:b/>
          <w:bCs/>
        </w:rPr>
        <w:t xml:space="preserve">14.</w:t>
      </w:r>
      <w:r>
        <w:rPr>
          <w:b/>
          <w:bCs/>
        </w:rPr>
        <w:t xml:space="preserve"> </w:t>
      </w:r>
      <w:r>
        <w:t xml:space="preserve">Layard R., Clark D. M., Thrive: The Power of Evidence-Based Psychological Therapies, Penguin, Londra, 2014.</w:t>
      </w:r>
    </w:p>
    <w:p>
      <w:pPr>
        <w:pStyle w:val="BodyText"/>
      </w:pPr>
      <w:r>
        <w:rPr>
          <w:b/>
          <w:bCs/>
        </w:rPr>
        <w:t xml:space="preserve">Fonte:</w:t>
      </w:r>
      <w:r>
        <w:rPr>
          <w:b/>
          <w:bCs/>
        </w:rPr>
        <w:t xml:space="preserve"> </w:t>
      </w:r>
      <w:r>
        <w:t xml:space="preserve">https://www.penguin.co.uk — scheda editoriale dell’opera</w:t>
      </w:r>
    </w:p>
    <w:p>
      <w:pPr>
        <w:pStyle w:val="BodyText"/>
      </w:pPr>
      <w:r>
        <w:rPr>
          <w:b/>
          <w:bCs/>
        </w:rPr>
        <w:t xml:space="preserve">Sintesi:</w:t>
      </w:r>
      <w:r>
        <w:rPr>
          <w:b/>
          <w:bCs/>
        </w:rPr>
        <w:t xml:space="preserve"> </w:t>
      </w:r>
      <w:r>
        <w:rPr>
          <w:i/>
          <w:iCs/>
        </w:rPr>
        <w:t xml:space="preserve">Trattazione del valore economico e sociale delle terapie psicologiche basate sull’evidenza. Argomenta il ritorno sociale dell’investimento nella salute mentale, in coerenza con gli intervalli adottati.</w:t>
      </w:r>
    </w:p>
    <w:p>
      <w:pPr>
        <w:pStyle w:val="BodyText"/>
      </w:pPr>
      <w:r>
        <w:rPr>
          <w:b/>
          <w:bCs/>
        </w:rPr>
        <w:t xml:space="preserve">15.</w:t>
      </w:r>
      <w:r>
        <w:rPr>
          <w:b/>
          <w:bCs/>
        </w:rPr>
        <w:t xml:space="preserve"> </w:t>
      </w:r>
      <w:r>
        <w:t xml:space="preserve">Organizzazione Mondiale della Sanità e UNICEF, rapporti sulla salute mentale dell’adolescenza, 2021.</w:t>
      </w:r>
    </w:p>
    <w:p>
      <w:pPr>
        <w:pStyle w:val="BodyText"/>
      </w:pPr>
      <w:r>
        <w:rPr>
          <w:b/>
          <w:bCs/>
        </w:rPr>
        <w:t xml:space="preserve">Fonte:</w:t>
      </w:r>
      <w:r>
        <w:rPr>
          <w:b/>
          <w:bCs/>
        </w:rPr>
        <w:t xml:space="preserve"> </w:t>
      </w:r>
      <w:r>
        <w:t xml:space="preserve">https://www.unicef.org/reports/state-worlds-children-2021</w:t>
      </w:r>
    </w:p>
    <w:p>
      <w:pPr>
        <w:pStyle w:val="BodyText"/>
      </w:pPr>
      <w:r>
        <w:rPr>
          <w:b/>
          <w:bCs/>
        </w:rPr>
        <w:t xml:space="preserve">Sintesi:</w:t>
      </w:r>
      <w:r>
        <w:rPr>
          <w:b/>
          <w:bCs/>
        </w:rPr>
        <w:t xml:space="preserve"> </w:t>
      </w:r>
      <w:r>
        <w:rPr>
          <w:i/>
          <w:iCs/>
        </w:rPr>
        <w:t xml:space="preserve">Fonti internazionali sul disagio psichico in età evolutiva. Documentano il valore dell’intercettazione precoce nell’infanzia e nell’adolescenza, fondando la funzione preventiva del pediatra di libera scelta.</w:t>
      </w:r>
    </w:p>
    <w:p>
      <w:pPr>
        <w:pStyle w:val="BodyText"/>
      </w:pPr>
      <w:r>
        <w:rPr>
          <w:b/>
          <w:bCs/>
        </w:rPr>
        <w:t xml:space="preserve">16.</w:t>
      </w:r>
      <w:r>
        <w:rPr>
          <w:b/>
          <w:bCs/>
        </w:rPr>
        <w:t xml:space="preserve"> </w:t>
      </w:r>
      <w:r>
        <w:t xml:space="preserve">National Institute for Health and Care Excellence (NICE), linee guida sull’intervento precoce nei disturbi emotivi e comportamentali in età evolutiva.</w:t>
      </w:r>
    </w:p>
    <w:p>
      <w:pPr>
        <w:pStyle w:val="BodyText"/>
      </w:pPr>
      <w:r>
        <w:rPr>
          <w:b/>
          <w:bCs/>
        </w:rPr>
        <w:t xml:space="preserve">Fonte:</w:t>
      </w:r>
      <w:r>
        <w:rPr>
          <w:b/>
          <w:bCs/>
        </w:rPr>
        <w:t xml:space="preserve"> </w:t>
      </w:r>
      <w:r>
        <w:t xml:space="preserve">https://www.nice.org.uk</w:t>
      </w:r>
    </w:p>
    <w:p>
      <w:pPr>
        <w:pStyle w:val="BodyText"/>
      </w:pPr>
      <w:r>
        <w:rPr>
          <w:b/>
          <w:bCs/>
        </w:rPr>
        <w:t xml:space="preserve">Sintesi:</w:t>
      </w:r>
      <w:r>
        <w:rPr>
          <w:b/>
          <w:bCs/>
        </w:rPr>
        <w:t xml:space="preserve"> </w:t>
      </w:r>
      <w:r>
        <w:rPr>
          <w:i/>
          <w:iCs/>
        </w:rPr>
        <w:t xml:space="preserve">Linee guida sull’intervento precoce in età evolutiva. La qualità dell’evidenza, da moderata a bassa secondo gli esiti, impone la proiezione prudenziale dei ritorni preventivi del livello pediatrico.</w:t>
      </w:r>
    </w:p>
    <w:p>
      <w:pPr>
        <w:pStyle w:val="BodyText"/>
      </w:pPr>
      <w:r>
        <w:rPr>
          <w:b/>
          <w:bCs/>
        </w:rPr>
        <w:t xml:space="preserve">17.</w:t>
      </w:r>
      <w:r>
        <w:rPr>
          <w:b/>
          <w:bCs/>
        </w:rPr>
        <w:t xml:space="preserve"> </w:t>
      </w:r>
      <w:r>
        <w:t xml:space="preserve">Wissow L. S. et al., contributi sulla salute mentale nelle cure primarie pediatriche, dal 2008 e successivi.</w:t>
      </w:r>
    </w:p>
    <w:p>
      <w:pPr>
        <w:pStyle w:val="BodyText"/>
      </w:pPr>
      <w:r>
        <w:rPr>
          <w:b/>
          <w:bCs/>
        </w:rPr>
        <w:t xml:space="preserve">Fonte:</w:t>
      </w:r>
      <w:r>
        <w:rPr>
          <w:b/>
          <w:bCs/>
        </w:rPr>
        <w:t xml:space="preserve"> </w:t>
      </w:r>
      <w:r>
        <w:t xml:space="preserve">https://pubmed.ncbi.nlm.nih.gov — ricerca per autore e tema</w:t>
      </w:r>
    </w:p>
    <w:p>
      <w:pPr>
        <w:pStyle w:val="BodyText"/>
      </w:pPr>
      <w:r>
        <w:rPr>
          <w:b/>
          <w:bCs/>
        </w:rPr>
        <w:t xml:space="preserve">Sintesi:</w:t>
      </w:r>
      <w:r>
        <w:rPr>
          <w:b/>
          <w:bCs/>
        </w:rPr>
        <w:t xml:space="preserve"> </w:t>
      </w:r>
      <w:r>
        <w:rPr>
          <w:i/>
          <w:iCs/>
        </w:rPr>
        <w:t xml:space="preserve">Letteratura sulla salute mentale nel contesto delle cure primarie pediatriche. Sostiene il ruolo del pediatra come primo osservatore del disagio del minore e delle difficoltà genitoriali.</w:t>
      </w:r>
    </w:p>
    <w:p>
      <w:pPr>
        <w:pStyle w:val="BodyText"/>
      </w:pPr>
      <w:r>
        <w:rPr>
          <w:b/>
          <w:bCs/>
        </w:rPr>
        <w:t xml:space="preserve">18.</w:t>
      </w:r>
      <w:r>
        <w:rPr>
          <w:b/>
          <w:bCs/>
        </w:rPr>
        <w:t xml:space="preserve"> </w:t>
      </w:r>
      <w:r>
        <w:t xml:space="preserve">Stone J., Carson A. et al., studi sulla prevalenza dei sintomi funzionali e medicalmente inspiegati nella casistica neurologica ambulatoriale.</w:t>
      </w:r>
    </w:p>
    <w:p>
      <w:pPr>
        <w:pStyle w:val="BodyText"/>
      </w:pPr>
      <w:r>
        <w:rPr>
          <w:b/>
          <w:bCs/>
        </w:rPr>
        <w:t xml:space="preserve">Fonte:</w:t>
      </w:r>
      <w:r>
        <w:rPr>
          <w:b/>
          <w:bCs/>
        </w:rPr>
        <w:t xml:space="preserve"> </w:t>
      </w:r>
      <w:r>
        <w:t xml:space="preserve">https://pubmed.ncbi.nlm.nih.gov — ricerca per autore e tema</w:t>
      </w:r>
    </w:p>
    <w:p>
      <w:pPr>
        <w:pStyle w:val="BodyText"/>
      </w:pPr>
      <w:r>
        <w:rPr>
          <w:b/>
          <w:bCs/>
        </w:rPr>
        <w:t xml:space="preserve">Sintesi:</w:t>
      </w:r>
      <w:r>
        <w:rPr>
          <w:b/>
          <w:bCs/>
        </w:rPr>
        <w:t xml:space="preserve"> </w:t>
      </w:r>
      <w:r>
        <w:rPr>
          <w:i/>
          <w:iCs/>
        </w:rPr>
        <w:t xml:space="preserve">Studi sulla quota di sintomi funzionali nella casistica neurologica. Fondano il ruolo del neurologo nell’intercettazione della componente psichica della domanda neurologica e nell’appropriatezza dell’invio.</w:t>
      </w:r>
    </w:p>
    <w:p>
      <w:pPr>
        <w:pStyle w:val="BodyText"/>
      </w:pPr>
      <w:r>
        <w:rPr>
          <w:b/>
          <w:bCs/>
        </w:rPr>
        <w:t xml:space="preserve">19.</w:t>
      </w:r>
      <w:r>
        <w:rPr>
          <w:b/>
          <w:bCs/>
        </w:rPr>
        <w:t xml:space="preserve"> </w:t>
      </w:r>
      <w:r>
        <w:t xml:space="preserve">Robinson R. G., Jorge R. E., «Post-stroke depression: a review», The American Journal of Psychiatry, vol. 173, n. 3, 2016, pp. 221–231.</w:t>
      </w:r>
    </w:p>
    <w:p>
      <w:pPr>
        <w:pStyle w:val="BodyText"/>
      </w:pPr>
      <w:r>
        <w:rPr>
          <w:b/>
          <w:bCs/>
        </w:rPr>
        <w:t xml:space="preserve">Fonte:</w:t>
      </w:r>
      <w:r>
        <w:rPr>
          <w:b/>
          <w:bCs/>
        </w:rPr>
        <w:t xml:space="preserve"> </w:t>
      </w:r>
      <w:r>
        <w:t xml:space="preserve">https://doi.org/10.1176/appi.ajp.2015.15030363</w:t>
      </w:r>
    </w:p>
    <w:p>
      <w:pPr>
        <w:pStyle w:val="BodyText"/>
      </w:pPr>
      <w:r>
        <w:rPr>
          <w:b/>
          <w:bCs/>
        </w:rPr>
        <w:t xml:space="preserve">Sintesi:</w:t>
      </w:r>
      <w:r>
        <w:rPr>
          <w:b/>
          <w:bCs/>
        </w:rPr>
        <w:t xml:space="preserve"> </w:t>
      </w:r>
      <w:r>
        <w:rPr>
          <w:i/>
          <w:iCs/>
        </w:rPr>
        <w:t xml:space="preserve">Rassegna sulla comorbilità neuropsichiatrica nelle patologie neurologiche. Documenta la rilevanza della depressione post-ictale e sostiene la connessione tra neurologia e salute mentale nella cascata.</w:t>
      </w:r>
    </w:p>
    <w:p>
      <w:pPr>
        <w:pStyle w:val="BodyText"/>
      </w:pPr>
      <w:r>
        <w:rPr>
          <w:b/>
          <w:bCs/>
        </w:rPr>
        <w:t xml:space="preserve">20.</w:t>
      </w:r>
      <w:r>
        <w:rPr>
          <w:b/>
          <w:bCs/>
        </w:rPr>
        <w:t xml:space="preserve"> </w:t>
      </w:r>
      <w:r>
        <w:t xml:space="preserve">Gilbody S., Bower P., Fletcher J. et al., «Collaborative care for depression: a systematic review and cumulative meta-analysis», Archives of Internal Medicine, vol. 166, n. 21, 2006, pp. 2314–2321.</w:t>
      </w:r>
    </w:p>
    <w:p>
      <w:pPr>
        <w:pStyle w:val="BodyText"/>
      </w:pPr>
      <w:r>
        <w:rPr>
          <w:b/>
          <w:bCs/>
        </w:rPr>
        <w:t xml:space="preserve">Fonte:</w:t>
      </w:r>
      <w:r>
        <w:rPr>
          <w:b/>
          <w:bCs/>
        </w:rPr>
        <w:t xml:space="preserve"> </w:t>
      </w:r>
      <w:r>
        <w:t xml:space="preserve">https://doi.org/10.1001/archinte.166.21.2314</w:t>
      </w:r>
    </w:p>
    <w:p>
      <w:pPr>
        <w:pStyle w:val="BodyText"/>
      </w:pPr>
      <w:r>
        <w:rPr>
          <w:b/>
          <w:bCs/>
        </w:rPr>
        <w:t xml:space="preserve">Sintesi:</w:t>
      </w:r>
      <w:r>
        <w:rPr>
          <w:b/>
          <w:bCs/>
        </w:rPr>
        <w:t xml:space="preserve"> </w:t>
      </w:r>
      <w:r>
        <w:rPr>
          <w:i/>
          <w:iCs/>
        </w:rPr>
        <w:t xml:space="preserve">Meta-analisi cumulativa sull’assistenza collaborativa. Rafforza, con elevata qualità dell’evidenza, il fondamento del modello su cui poggiano la coppia clinica e il raccordo con lo psichiatra consulente.</w:t>
      </w:r>
    </w:p>
    <w:p>
      <w:pPr>
        <w:pStyle w:val="BodyText"/>
      </w:pPr>
      <w:r>
        <w:rPr>
          <w:b/>
          <w:bCs/>
        </w:rPr>
        <w:t xml:space="preserve">21.</w:t>
      </w:r>
      <w:r>
        <w:rPr>
          <w:b/>
          <w:bCs/>
        </w:rPr>
        <w:t xml:space="preserve"> </w:t>
      </w:r>
      <w:r>
        <w:t xml:space="preserve">Decreto del Ministro della Salute 23 maggio 2022, n. 77, su modelli e standard per lo sviluppo dell’assistenza territoriale nel Servizio sanitario nazionale.</w:t>
      </w:r>
    </w:p>
    <w:p>
      <w:pPr>
        <w:pStyle w:val="BodyText"/>
      </w:pPr>
      <w:r>
        <w:rPr>
          <w:b/>
          <w:bCs/>
        </w:rPr>
        <w:t xml:space="preserve">Fonte:</w:t>
      </w:r>
      <w:r>
        <w:rPr>
          <w:b/>
          <w:bCs/>
        </w:rPr>
        <w:t xml:space="preserve"> </w:t>
      </w:r>
      <w:r>
        <w:t xml:space="preserve">https://www.gazzettaufficiale.it — G.U. Serie Generale</w:t>
      </w:r>
    </w:p>
    <w:p>
      <w:pPr>
        <w:pStyle w:val="BodyText"/>
      </w:pPr>
      <w:r>
        <w:rPr>
          <w:b/>
          <w:bCs/>
        </w:rPr>
        <w:t xml:space="preserve">Sintesi:</w:t>
      </w:r>
      <w:r>
        <w:rPr>
          <w:b/>
          <w:bCs/>
        </w:rPr>
        <w:t xml:space="preserve"> </w:t>
      </w:r>
      <w:r>
        <w:rPr>
          <w:i/>
          <w:iCs/>
        </w:rPr>
        <w:t xml:space="preserve">Quadro nazionale dell’assistenza territoriale. Definisce i modelli delle Case della Comunità e delle reti di prossimità entro cui il servizio si colloca e che gli attori istituzionali regionali attuano.</w:t>
      </w:r>
    </w:p>
    <w:p>
      <w:pPr>
        <w:pStyle w:val="BodyText"/>
      </w:pPr>
      <w:r>
        <w:rPr>
          <w:b/>
          <w:bCs/>
        </w:rPr>
        <w:t xml:space="preserve">22.</w:t>
      </w:r>
      <w:r>
        <w:rPr>
          <w:b/>
          <w:bCs/>
        </w:rPr>
        <w:t xml:space="preserve"> </w:t>
      </w:r>
      <w:r>
        <w:t xml:space="preserve">Agenzia Nazionale per i Servizi Sanitari Regionali (AGENAS) e Piano Nazionale di Governo delle Liste di Attesa.</w:t>
      </w:r>
    </w:p>
    <w:p>
      <w:pPr>
        <w:pStyle w:val="BodyText"/>
      </w:pPr>
      <w:r>
        <w:rPr>
          <w:b/>
          <w:bCs/>
        </w:rPr>
        <w:t xml:space="preserve">Fonte:</w:t>
      </w:r>
      <w:r>
        <w:rPr>
          <w:b/>
          <w:bCs/>
        </w:rPr>
        <w:t xml:space="preserve"> </w:t>
      </w:r>
      <w:r>
        <w:t xml:space="preserve">https://www.agenas.gov.it</w:t>
      </w:r>
    </w:p>
    <w:p>
      <w:pPr>
        <w:pStyle w:val="BodyText"/>
      </w:pPr>
      <w:r>
        <w:rPr>
          <w:b/>
          <w:bCs/>
        </w:rPr>
        <w:t xml:space="preserve">Sintesi:</w:t>
      </w:r>
      <w:r>
        <w:rPr>
          <w:b/>
          <w:bCs/>
        </w:rPr>
        <w:t xml:space="preserve"> </w:t>
      </w:r>
      <w:r>
        <w:rPr>
          <w:i/>
          <w:iCs/>
        </w:rPr>
        <w:t xml:space="preserve">Fonte sulla governance delle liste di attesa. Inquadra la pressione sui servizi specialistici, su cui agisce la regolazione dell’invio operata dal primo livello e dallo psichiatra consulente.</w:t>
      </w:r>
    </w:p>
    <w:p>
      <w:pPr>
        <w:pStyle w:val="BodyText"/>
      </w:pPr>
      <w:r>
        <w:rPr>
          <w:b/>
          <w:bCs/>
        </w:rPr>
        <w:t xml:space="preserve">23.</w:t>
      </w:r>
      <w:r>
        <w:rPr>
          <w:b/>
          <w:bCs/>
        </w:rPr>
        <w:t xml:space="preserve"> </w:t>
      </w:r>
      <w:r>
        <w:t xml:space="preserve">Ministero della Salute, Sistema Informativo per la Salute Mentale (SISM), Rapporto sulla salute mentale.</w:t>
      </w:r>
    </w:p>
    <w:p>
      <w:pPr>
        <w:pStyle w:val="BodyText"/>
      </w:pPr>
      <w:r>
        <w:rPr>
          <w:b/>
          <w:bCs/>
        </w:rPr>
        <w:t xml:space="preserve">Fonte:</w:t>
      </w:r>
      <w:r>
        <w:rPr>
          <w:b/>
          <w:bCs/>
        </w:rPr>
        <w:t xml:space="preserve"> </w:t>
      </w:r>
      <w:r>
        <w:t xml:space="preserve">https://www.salute.gov.it — Sistema Informativo per la Salute Mentale</w:t>
      </w:r>
    </w:p>
    <w:p>
      <w:pPr>
        <w:pStyle w:val="BodyText"/>
      </w:pPr>
      <w:r>
        <w:rPr>
          <w:b/>
          <w:bCs/>
        </w:rPr>
        <w:t xml:space="preserve">Sintesi:</w:t>
      </w:r>
      <w:r>
        <w:rPr>
          <w:b/>
          <w:bCs/>
        </w:rPr>
        <w:t xml:space="preserve"> </w:t>
      </w:r>
      <w:r>
        <w:rPr>
          <w:i/>
          <w:iCs/>
        </w:rPr>
        <w:t xml:space="preserve">Fonte nazionale sull’attività dei servizi di salute mentale. Fornisce la base informativa per la collocazione dei Centri di Salute Mentale nella cascata e per il monitoraggio degli esiti.</w:t>
      </w:r>
    </w:p>
    <w:p>
      <w:pPr>
        <w:pStyle w:val="BodyText"/>
      </w:pPr>
      <w:r>
        <w:rPr>
          <w:b/>
          <w:bCs/>
        </w:rPr>
        <w:t xml:space="preserve">24.</w:t>
      </w:r>
      <w:r>
        <w:rPr>
          <w:b/>
          <w:bCs/>
        </w:rPr>
        <w:t xml:space="preserve"> </w:t>
      </w:r>
      <w:r>
        <w:t xml:space="preserve">Agenzia Nazionale per i Servizi Sanitari Regionali (AGENAS), dati e rapporti sulla mobilità sanitaria interregionale.</w:t>
      </w:r>
    </w:p>
    <w:p>
      <w:pPr>
        <w:pStyle w:val="BodyText"/>
      </w:pPr>
      <w:r>
        <w:rPr>
          <w:b/>
          <w:bCs/>
        </w:rPr>
        <w:t xml:space="preserve">Fonte:</w:t>
      </w:r>
      <w:r>
        <w:rPr>
          <w:b/>
          <w:bCs/>
        </w:rPr>
        <w:t xml:space="preserve"> </w:t>
      </w:r>
      <w:r>
        <w:t xml:space="preserve">https://www.agenas.gov.it</w:t>
      </w:r>
    </w:p>
    <w:p>
      <w:pPr>
        <w:pStyle w:val="BodyText"/>
      </w:pPr>
      <w:r>
        <w:rPr>
          <w:b/>
          <w:bCs/>
        </w:rPr>
        <w:t xml:space="preserve">Sintesi:</w:t>
      </w:r>
      <w:r>
        <w:rPr>
          <w:b/>
          <w:bCs/>
        </w:rPr>
        <w:t xml:space="preserve"> </w:t>
      </w:r>
      <w:r>
        <w:rPr>
          <w:i/>
          <w:iCs/>
        </w:rPr>
        <w:t xml:space="preserve">Fonte sulla mobilità sanitaria passiva. Documenta la quota di domanda che migra verso altre regioni, su cui la riforma agisce per via di contenimento, con ricaduta diretta sul bilancio regionale.</w:t>
      </w:r>
    </w:p>
    <w:p>
      <w:pPr>
        <w:pStyle w:val="BodyText"/>
      </w:pPr>
      <w:r>
        <w:rPr>
          <w:b/>
          <w:bCs/>
        </w:rPr>
        <w:t xml:space="preserve">25.</w:t>
      </w:r>
      <w:r>
        <w:rPr>
          <w:b/>
          <w:bCs/>
        </w:rPr>
        <w:t xml:space="preserve"> </w:t>
      </w:r>
      <w:r>
        <w:t xml:space="preserve">Legge 8 novembre 2000, n. 328, per la realizzazione del sistema integrato di interventi e servizi sociali.</w:t>
      </w:r>
    </w:p>
    <w:p>
      <w:pPr>
        <w:pStyle w:val="BodyText"/>
      </w:pPr>
      <w:r>
        <w:rPr>
          <w:b/>
          <w:bCs/>
        </w:rPr>
        <w:t xml:space="preserve">Fonte:</w:t>
      </w:r>
      <w:r>
        <w:rPr>
          <w:b/>
          <w:bCs/>
        </w:rPr>
        <w:t xml:space="preserve"> </w:t>
      </w:r>
      <w:r>
        <w:t xml:space="preserve">https://www.normattiva.it</w:t>
      </w:r>
    </w:p>
    <w:p>
      <w:pPr>
        <w:pStyle w:val="BodyText"/>
      </w:pPr>
      <w:r>
        <w:rPr>
          <w:b/>
          <w:bCs/>
        </w:rPr>
        <w:t xml:space="preserve">Sintesi:</w:t>
      </w:r>
      <w:r>
        <w:rPr>
          <w:b/>
          <w:bCs/>
        </w:rPr>
        <w:t xml:space="preserve"> </w:t>
      </w:r>
      <w:r>
        <w:rPr>
          <w:i/>
          <w:iCs/>
        </w:rPr>
        <w:t xml:space="preserve">Fondamento normativo dell’integrazione socio-sanitaria. Pone a sistema gli interventi sociali su cui agisce l’assistente sociale nella presa in carico dei determinanti sociali del disagio psichico.</w:t>
      </w:r>
    </w:p>
    <w:p>
      <w:pPr>
        <w:pStyle w:val="BodyText"/>
      </w:pPr>
      <w:r>
        <w:rPr>
          <w:b/>
          <w:bCs/>
        </w:rPr>
        <w:t xml:space="preserve">26.</w:t>
      </w:r>
      <w:r>
        <w:rPr>
          <w:b/>
          <w:bCs/>
        </w:rPr>
        <w:t xml:space="preserve"> </w:t>
      </w:r>
      <w:r>
        <w:t xml:space="preserve">Bickerdike L. et al., «Social prescribing: less rhetoric and more reality. A systematic review of the evidence», BMJ Open, vol. 7, 2017.</w:t>
      </w:r>
    </w:p>
    <w:p>
      <w:pPr>
        <w:pStyle w:val="BodyText"/>
      </w:pPr>
      <w:r>
        <w:rPr>
          <w:b/>
          <w:bCs/>
        </w:rPr>
        <w:t xml:space="preserve">Fonte:</w:t>
      </w:r>
      <w:r>
        <w:rPr>
          <w:b/>
          <w:bCs/>
        </w:rPr>
        <w:t xml:space="preserve"> </w:t>
      </w:r>
      <w:r>
        <w:t xml:space="preserve">https://doi.org/10.1136/bmjopen-2016-013384</w:t>
      </w:r>
    </w:p>
    <w:p>
      <w:pPr>
        <w:pStyle w:val="BodyText"/>
      </w:pPr>
      <w:r>
        <w:rPr>
          <w:b/>
          <w:bCs/>
        </w:rPr>
        <w:t xml:space="preserve">Sintesi:</w:t>
      </w:r>
      <w:r>
        <w:rPr>
          <w:b/>
          <w:bCs/>
        </w:rPr>
        <w:t xml:space="preserve"> </w:t>
      </w:r>
      <w:r>
        <w:rPr>
          <w:i/>
          <w:iCs/>
        </w:rPr>
        <w:t xml:space="preserve">Revisione sistematica sulla prescrizione sociale. Riconosce il potenziale degli interventi sociali ma ne segnala la qualità dell’evidenza ancora limitata: fonda la proiezione prudenziale dei ritorni del livello sociale.</w:t>
      </w:r>
    </w:p>
    <w:p>
      <w:pPr>
        <w:pStyle w:val="BodyText"/>
      </w:pPr>
      <w:r>
        <w:rPr>
          <w:b/>
          <w:bCs/>
        </w:rPr>
        <w:t xml:space="preserve">27.</w:t>
      </w:r>
      <w:r>
        <w:rPr>
          <w:b/>
          <w:bCs/>
        </w:rPr>
        <w:t xml:space="preserve"> </w:t>
      </w:r>
      <w:r>
        <w:t xml:space="preserve">Decreto legislativo 3 ottobre 2009, n. 153, sulla farmacia dei servizi nel Servizio sanitario nazionale.</w:t>
      </w:r>
    </w:p>
    <w:p>
      <w:pPr>
        <w:pStyle w:val="BodyText"/>
      </w:pPr>
      <w:r>
        <w:rPr>
          <w:b/>
          <w:bCs/>
        </w:rPr>
        <w:t xml:space="preserve">Fonte:</w:t>
      </w:r>
      <w:r>
        <w:rPr>
          <w:b/>
          <w:bCs/>
        </w:rPr>
        <w:t xml:space="preserve"> </w:t>
      </w:r>
      <w:r>
        <w:t xml:space="preserve">https://www.normattiva.it</w:t>
      </w:r>
    </w:p>
    <w:p>
      <w:pPr>
        <w:pStyle w:val="BodyText"/>
      </w:pPr>
      <w:r>
        <w:rPr>
          <w:b/>
          <w:bCs/>
        </w:rPr>
        <w:t xml:space="preserve">Sintesi:</w:t>
      </w:r>
      <w:r>
        <w:rPr>
          <w:b/>
          <w:bCs/>
        </w:rPr>
        <w:t xml:space="preserve"> </w:t>
      </w:r>
      <w:r>
        <w:rPr>
          <w:i/>
          <w:iCs/>
        </w:rPr>
        <w:t xml:space="preserve">Cornice normativa della farmacia dei servizi. Definisce l’evoluzione della funzione della farmacia territoriale, su cui poggia il ruolo del farmacista di comunità come moltiplicatore dell’appropriatezza farmaceutica.</w:t>
      </w:r>
    </w:p>
    <w:p>
      <w:pPr>
        <w:pStyle w:val="BodyText"/>
      </w:pPr>
      <w:r>
        <w:rPr>
          <w:b/>
          <w:bCs/>
        </w:rPr>
        <w:t xml:space="preserve">28.</w:t>
      </w:r>
      <w:r>
        <w:rPr>
          <w:b/>
          <w:bCs/>
        </w:rPr>
        <w:t xml:space="preserve"> </w:t>
      </w:r>
      <w:r>
        <w:t xml:space="preserve">Letteratura internazionale sul ruolo della farmacia di comunità nella salute mentale (rassegne sull’intercettazione e sull’uso appropriato dei medicinali).</w:t>
      </w:r>
    </w:p>
    <w:p>
      <w:pPr>
        <w:pStyle w:val="BodyText"/>
      </w:pPr>
      <w:r>
        <w:rPr>
          <w:b/>
          <w:bCs/>
        </w:rPr>
        <w:t xml:space="preserve">Fonte:</w:t>
      </w:r>
      <w:r>
        <w:rPr>
          <w:b/>
          <w:bCs/>
        </w:rPr>
        <w:t xml:space="preserve"> </w:t>
      </w:r>
      <w:r>
        <w:t xml:space="preserve">https://pubmed.ncbi.nlm.nih.gov — ricerca per tema</w:t>
      </w:r>
    </w:p>
    <w:p>
      <w:pPr>
        <w:pStyle w:val="BodyText"/>
      </w:pPr>
      <w:r>
        <w:rPr>
          <w:b/>
          <w:bCs/>
        </w:rPr>
        <w:t xml:space="preserve">Sintesi:</w:t>
      </w:r>
      <w:r>
        <w:rPr>
          <w:b/>
          <w:bCs/>
        </w:rPr>
        <w:t xml:space="preserve"> </w:t>
      </w:r>
      <w:r>
        <w:rPr>
          <w:i/>
          <w:iCs/>
        </w:rPr>
        <w:t xml:space="preserve">Rassegne, di qualità eterogenea, sul contributo della farmacia di comunità all’intercettazione precoce e all’uso appropriato degli psicofarmaci. Sostengono il canale di rientro diretto del farmacista.</w:t>
      </w:r>
    </w:p>
    <w:p>
      <w:pPr>
        <w:pStyle w:val="BodyText"/>
      </w:pPr>
      <w:r>
        <w:rPr>
          <w:b/>
          <w:bCs/>
        </w:rPr>
        <w:t xml:space="preserve">29.</w:t>
      </w:r>
      <w:r>
        <w:rPr>
          <w:b/>
          <w:bCs/>
        </w:rPr>
        <w:t xml:space="preserve"> </w:t>
      </w:r>
      <w:r>
        <w:t xml:space="preserve">ISTAT ed Eurostat, indicatori sull’uscita precoce dal sistema di istruzione e formazione (early leavers from education and training).</w:t>
      </w:r>
    </w:p>
    <w:p>
      <w:pPr>
        <w:pStyle w:val="BodyText"/>
      </w:pPr>
      <w:r>
        <w:rPr>
          <w:b/>
          <w:bCs/>
        </w:rPr>
        <w:t xml:space="preserve">Fonte:</w:t>
      </w:r>
      <w:r>
        <w:rPr>
          <w:b/>
          <w:bCs/>
        </w:rPr>
        <w:t xml:space="preserve"> </w:t>
      </w:r>
      <w:r>
        <w:t xml:space="preserve">http://dati.istat.it — ec.europa.eu/eurostat</w:t>
      </w:r>
    </w:p>
    <w:p>
      <w:pPr>
        <w:pStyle w:val="BodyText"/>
      </w:pPr>
      <w:r>
        <w:rPr>
          <w:b/>
          <w:bCs/>
        </w:rPr>
        <w:t xml:space="preserve">Sintesi:</w:t>
      </w:r>
      <w:r>
        <w:rPr>
          <w:b/>
          <w:bCs/>
        </w:rPr>
        <w:t xml:space="preserve"> </w:t>
      </w:r>
      <w:r>
        <w:rPr>
          <w:i/>
          <w:iCs/>
        </w:rPr>
        <w:t xml:space="preserve">Fonti statistiche sulla dispersione scolastica. Documentano l’entità e il costo del fenomeno per il capitale umano, su cui agisce la funzione preventiva delle figure educative e scolastiche.</w:t>
      </w:r>
    </w:p>
    <w:p>
      <w:pPr>
        <w:pStyle w:val="BodyText"/>
      </w:pPr>
      <w:r>
        <w:rPr>
          <w:b/>
          <w:bCs/>
        </w:rPr>
        <w:t xml:space="preserve">30.</w:t>
      </w:r>
      <w:r>
        <w:rPr>
          <w:b/>
          <w:bCs/>
        </w:rPr>
        <w:t xml:space="preserve"> </w:t>
      </w:r>
      <w:r>
        <w:t xml:space="preserve">Organizzazione Mondiale della Sanità e UNESCO, indirizzi sulla promozione della salute mentale nei contesti scolastici (Health Promoting Schools).</w:t>
      </w:r>
    </w:p>
    <w:p>
      <w:pPr>
        <w:pStyle w:val="BodyText"/>
      </w:pPr>
      <w:r>
        <w:rPr>
          <w:b/>
          <w:bCs/>
        </w:rPr>
        <w:t xml:space="preserve">Fonte:</w:t>
      </w:r>
      <w:r>
        <w:rPr>
          <w:b/>
          <w:bCs/>
        </w:rPr>
        <w:t xml:space="preserve"> </w:t>
      </w:r>
      <w:r>
        <w:t xml:space="preserve">https://www.who.int — iniziativa Making Every School Health-Promoting</w:t>
      </w:r>
    </w:p>
    <w:p>
      <w:pPr>
        <w:pStyle w:val="BodyText"/>
      </w:pPr>
      <w:r>
        <w:rPr>
          <w:b/>
          <w:bCs/>
        </w:rPr>
        <w:t xml:space="preserve">Sintesi:</w:t>
      </w:r>
      <w:r>
        <w:rPr>
          <w:b/>
          <w:bCs/>
        </w:rPr>
        <w:t xml:space="preserve"> </w:t>
      </w:r>
      <w:r>
        <w:rPr>
          <w:i/>
          <w:iCs/>
        </w:rPr>
        <w:t xml:space="preserve">Indirizzi internazionali sulla promozione della salute mentale nella scuola. Raccomandano l’intervento scolastico come strategia di prevenzione, con evidenza da moderata a bassa secondo gli esiti.</w:t>
      </w:r>
    </w:p>
    <w:p>
      <w:pPr>
        <w:pStyle w:val="BodyText"/>
      </w:pPr>
      <w:r>
        <w:rPr>
          <w:b/>
          <w:bCs/>
        </w:rPr>
        <w:t xml:space="preserve">31.</w:t>
      </w:r>
      <w:r>
        <w:rPr>
          <w:b/>
          <w:bCs/>
        </w:rPr>
        <w:t xml:space="preserve"> </w:t>
      </w:r>
      <w:r>
        <w:t xml:space="preserve">Istituto Nazionale della Previdenza Sociale (INPS), Osservatorio sulle prestazioni di invalidità e inabilità.</w:t>
      </w:r>
    </w:p>
    <w:p>
      <w:pPr>
        <w:pStyle w:val="BodyText"/>
      </w:pPr>
      <w:r>
        <w:rPr>
          <w:b/>
          <w:bCs/>
        </w:rPr>
        <w:t xml:space="preserve">Fonte:</w:t>
      </w:r>
      <w:r>
        <w:rPr>
          <w:b/>
          <w:bCs/>
        </w:rPr>
        <w:t xml:space="preserve"> </w:t>
      </w:r>
      <w:r>
        <w:t xml:space="preserve">https://www.inps.it — Osservatori statistici</w:t>
      </w:r>
    </w:p>
    <w:p>
      <w:pPr>
        <w:pStyle w:val="BodyText"/>
      </w:pPr>
      <w:r>
        <w:rPr>
          <w:b/>
          <w:bCs/>
        </w:rPr>
        <w:t xml:space="preserve">Sintesi:</w:t>
      </w:r>
      <w:r>
        <w:rPr>
          <w:b/>
          <w:bCs/>
        </w:rPr>
        <w:t xml:space="preserve"> </w:t>
      </w:r>
      <w:r>
        <w:rPr>
          <w:i/>
          <w:iCs/>
        </w:rPr>
        <w:t xml:space="preserve">Fonte sulle prestazioni di invalidità e inabilità. Documenta l’incidenza delle prestazioni riconosciute per cause psichiche, su cui la riforma agisce per via di riduzione nel dominio previdenziale.</w:t>
      </w:r>
    </w:p>
    <w:p>
      <w:pPr>
        <w:pStyle w:val="BodyText"/>
      </w:pPr>
      <w:r>
        <w:rPr>
          <w:b/>
          <w:bCs/>
        </w:rPr>
        <w:t xml:space="preserve">32.</w:t>
      </w:r>
      <w:r>
        <w:rPr>
          <w:b/>
          <w:bCs/>
        </w:rPr>
        <w:t xml:space="preserve"> </w:t>
      </w:r>
      <w:r>
        <w:t xml:space="preserve">Decreto legislativo 9 aprile 2008, n. 81, in materia di tutela della salute e sicurezza nei luoghi di lavoro, con riguardo alla valutazione del rischio da stress lavoro-correlato.</w:t>
      </w:r>
    </w:p>
    <w:p>
      <w:pPr>
        <w:pStyle w:val="BodyText"/>
      </w:pPr>
      <w:r>
        <w:rPr>
          <w:b/>
          <w:bCs/>
        </w:rPr>
        <w:t xml:space="preserve">Fonte:</w:t>
      </w:r>
      <w:r>
        <w:rPr>
          <w:b/>
          <w:bCs/>
        </w:rPr>
        <w:t xml:space="preserve"> </w:t>
      </w:r>
      <w:r>
        <w:t xml:space="preserve">https://www.normattiva.it — risorse INAIL su www.inail.it</w:t>
      </w:r>
    </w:p>
    <w:p>
      <w:pPr>
        <w:pStyle w:val="BodyText"/>
      </w:pPr>
      <w:r>
        <w:rPr>
          <w:b/>
          <w:bCs/>
        </w:rPr>
        <w:t xml:space="preserve">Sintesi:</w:t>
      </w:r>
      <w:r>
        <w:rPr>
          <w:b/>
          <w:bCs/>
        </w:rPr>
        <w:t xml:space="preserve"> </w:t>
      </w:r>
      <w:r>
        <w:rPr>
          <w:i/>
          <w:iCs/>
        </w:rPr>
        <w:t xml:space="preserve">Cornice normativa del rischio psicosociale nei luoghi di lavoro. Riconduce alla valutazione obbligatoria del datore di lavoro lo stress lavoro-correlato, su cui incide l’azione della riforma nel dominio lavorativo.</w:t>
      </w:r>
    </w:p>
    <w:p>
      <w:pPr>
        <w:pStyle w:val="BodyText"/>
      </w:pPr>
      <w:r>
        <w:rPr>
          <w:b/>
          <w:bCs/>
        </w:rPr>
        <w:t xml:space="preserve">33.</w:t>
      </w:r>
      <w:r>
        <w:rPr>
          <w:b/>
          <w:bCs/>
        </w:rPr>
        <w:t xml:space="preserve"> </w:t>
      </w:r>
      <w:r>
        <w:t xml:space="preserve">OCSE e Unione Europea, Health at a Glance: Europe, capitolo sulla promozione della salute mentale, con la stima del costo complessivo della cattiva salute mentale.</w:t>
      </w:r>
    </w:p>
    <w:p>
      <w:pPr>
        <w:pStyle w:val="BodyText"/>
      </w:pPr>
      <w:r>
        <w:rPr>
          <w:b/>
          <w:bCs/>
        </w:rPr>
        <w:t xml:space="preserve">Fonte:</w:t>
      </w:r>
      <w:r>
        <w:rPr>
          <w:b/>
          <w:bCs/>
        </w:rPr>
        <w:t xml:space="preserve"> </w:t>
      </w:r>
      <w:r>
        <w:t xml:space="preserve">https://www.oecd.org — https://doi.org/10.1787/health_glance_eur</w:t>
      </w:r>
    </w:p>
    <w:p>
      <w:pPr>
        <w:pStyle w:val="BodyText"/>
      </w:pPr>
      <w:r>
        <w:rPr>
          <w:b/>
          <w:bCs/>
        </w:rPr>
        <w:t xml:space="preserve">Sintesi:</w:t>
      </w:r>
      <w:r>
        <w:rPr>
          <w:b/>
          <w:bCs/>
        </w:rPr>
        <w:t xml:space="preserve"> </w:t>
      </w:r>
      <w:r>
        <w:rPr>
          <w:i/>
          <w:iCs/>
        </w:rPr>
        <w:t xml:space="preserve">Fonte economica internazionale. Stima il costo complessivo della cattiva salute mentale come quota significativa del prodotto, fondando la portata dei benefici indiretti nei domini produttivistico e industriale.</w:t>
      </w:r>
    </w:p>
    <w:p>
      <w:pPr>
        <w:pStyle w:val="BodyText"/>
      </w:pPr>
      <w:r>
        <w:rPr>
          <w:b/>
          <w:bCs/>
        </w:rPr>
        <w:t xml:space="preserve">Fine della Parte III</w:t>
      </w:r>
    </w:p>
    <w:p>
      <w:pPr>
        <w:pStyle w:val="BodyText"/>
      </w:pPr>
      <w:r>
        <w:rPr>
          <w:i/>
          <w:iCs/>
        </w:rPr>
        <w:t xml:space="preserve">L’opera prosegue con la Parte IV — Il modello organizzativo integrato e le leve abilitanti.</w:t>
      </w:r>
    </w:p>
    <w:p>
      <w:pPr>
        <w:pStyle w:val="BodyText"/>
      </w:pPr>
      <w:r>
        <w:t xml:space="preserve">— —</w:t>
      </w:r>
    </w:p>
    <w:p>
      <w:r>
        <w:br w:type="page"/>
      </w:r>
    </w:p>
    <w:p>
      <w:pPr>
        <w:pStyle w:val="BodyText"/>
      </w:pPr>
      <w:r>
        <w:t xml:space="preserve">Studio Integrale, Finale e Definitivo · Parte IV — Il modello organizzativo integrato e le leve abilitanti</w:t>
      </w:r>
    </w:p>
    <w:p>
      <w:pPr>
        <w:pStyle w:val="BodyText"/>
      </w:pPr>
      <w:r>
        <w:rPr>
          <w:b/>
          <w:bCs/>
        </w:rPr>
        <w:t xml:space="preserve">PROGETTO «PSICOLOGO DI BASE» · REGIONE PUGLIA</w:t>
      </w:r>
    </w:p>
    <w:p>
      <w:pPr>
        <w:pStyle w:val="BodyText"/>
      </w:pPr>
      <w:r>
        <w:rPr>
          <w:b/>
          <w:bCs/>
        </w:rPr>
        <w:t xml:space="preserve">Studio Integrale, Finale e Definitivo</w:t>
      </w:r>
    </w:p>
    <w:p>
      <w:pPr>
        <w:pStyle w:val="BodyText"/>
      </w:pPr>
      <w:r>
        <w:rPr>
          <w:b/>
          <w:bCs/>
        </w:rPr>
        <w:t xml:space="preserve">PARTE IV</w:t>
      </w:r>
    </w:p>
    <w:p>
      <w:pPr>
        <w:pStyle w:val="BodyText"/>
      </w:pPr>
      <w:r>
        <w:rPr>
          <w:b/>
          <w:bCs/>
        </w:rPr>
        <w:t xml:space="preserve">Il modello organizzativo integrato e le leve abilitanti</w:t>
      </w:r>
    </w:p>
    <w:p>
      <w:pPr>
        <w:pStyle w:val="BodyText"/>
      </w:pPr>
      <w:r>
        <w:rPr>
          <w:i/>
          <w:iCs/>
        </w:rPr>
        <w:t xml:space="preserve">Il funzionamento operativo del Servizio di Psicologia di Base, l’integrazione tra i livelli di cura e l’ordinamento delle leve che ne accrescono efficacia e sostenibilità, con l’Intelligenza Artificiale collocata lungo il ciclo assistenziale come strumento abilitante soggetto alla supervisione umana</w:t>
      </w:r>
    </w:p>
    <w:p>
      <w:pPr>
        <w:pStyle w:val="BodyText"/>
      </w:pPr>
      <w:r>
        <w:t xml:space="preserve">Telaio HTA · Five Case Model · CHEERS 2022 · criteri OCSE-DAC</w:t>
      </w:r>
    </w:p>
    <w:p>
      <w:pPr>
        <w:pStyle w:val="BodyText"/>
      </w:pPr>
      <w:r>
        <w:rPr>
          <w:b/>
          <w:bCs/>
        </w:rPr>
        <w:t xml:space="preserve">Autore intellettuale della riforma: Luigi De Michele</w:t>
      </w:r>
    </w:p>
    <w:p>
      <w:pPr>
        <w:pStyle w:val="BodyText"/>
      </w:pPr>
      <w:r>
        <w:t xml:space="preserve">Ordine degli Psicologi della Puglia · Giugno 2026</w:t>
      </w:r>
    </w:p>
    <w:p>
      <w:pPr>
        <w:pStyle w:val="BodyText"/>
      </w:pPr>
      <w:r>
        <w:rPr>
          <w:b/>
          <w:bCs/>
        </w:rPr>
        <w:t xml:space="preserve">Avvertenza sui vincoli metodologici invarianti</w:t>
      </w:r>
    </w:p>
    <w:p>
      <w:pPr>
        <w:pStyle w:val="BodyText"/>
      </w:pPr>
      <w:r>
        <w:t xml:space="preserve">La presente parte è governata, come l’intera opera, dai principi metodologici invarianti del progetto, che qui si richiamano e che nessuna affermazione successiva potrà violare. Il ritorno economico degli investimenti in salute mentale è espresso nei soli intervalli corretti, compresi tra 2,3 e 3,0 a 1 per i soli benefici economici e tra 3,3 e 5,7 a 1 con l’inclusione dei ritorni in salute; sono esclusi i valori non sostenuti dalla letteratura. Il caveat dello studio IMPACT, secondo cui i risparmi sui costi sanitari diretti non raggiungono la significatività statistica, è preservato in ogni passaggio pertinente. Le grandezze fiscali dirette e quelle sociali e indirette sono mantenute rigorosamente distinte, senza duplicazioni tra le categorie. Ogni proiezione adotta bande prudenziali e previsioni falsificabili. Ogni evidenza, comprese quelle relative all’Intelligenza Artificiale e agli strumenti digitali, è graduata secondo la sua qualità con il medesimo rigore applicato alle affermazioni cliniche. In questa quarta parte tali vincoli operano soprattutto come disciplina del linguaggio: la parte descrive il modello organizzativo e le leve abilitanti, e rinvia alle parti settima, ottava, nona e decima la quantificazione monetaria dei costi e dei benefici che il modello rende conseguibili.</w:t>
      </w:r>
    </w:p>
    <w:bookmarkEnd w:id="180"/>
    <w:bookmarkEnd w:id="181"/>
    <w:bookmarkStart w:id="241" w:name="X1e68051fcf5697af02654dc8a3eaddb26943fec"/>
    <w:p>
      <w:pPr>
        <w:pStyle w:val="Heading1"/>
      </w:pPr>
      <w:r>
        <w:rPr>
          <w:b/>
          <w:bCs/>
        </w:rPr>
        <w:t xml:space="preserve">Parte IV — Il modello organizzativo integrato e le leve abilitanti</w:t>
      </w:r>
    </w:p>
    <w:bookmarkStart w:id="182" w:name="premessa-2"/>
    <w:p>
      <w:pPr>
        <w:pStyle w:val="Heading2"/>
      </w:pPr>
      <w:r>
        <w:rPr>
          <w:b/>
          <w:bCs/>
        </w:rPr>
        <w:t xml:space="preserve">Premessa</w:t>
      </w:r>
    </w:p>
    <w:p>
      <w:pPr>
        <w:pStyle w:val="FirstParagraph"/>
      </w:pPr>
      <w:r>
        <w:t xml:space="preserve">Le tre parti che precedono hanno fissato, nell’ordine, il metodo, il bisogno e l’architettura delle figure. La prima parte ha stabilito il quadro, il mandato, il telaio metodologico e le regole della rinegoziazione dei costi e dei benefici; la seconda ha ricostruito il bisogno di salute e il contesto pugliese, misurando il divario tra il fabbisogno e la risposta oggi disponibile; la terza ha disposto lungo la cascata gerarchica piramidale le figure direttamente e indirettamente connesse alla riforma, ordinandole per influenza e per capacità di generare rientro economico o revisione della spesa. Resta ora da descrivere il modo in cui tutto questo funziona: per quali percorsi il bisogno intercettato diventa presa in carico, come la presa in carico si distribuisce tra i livelli di cura, quali leve organizzative, di processo e digitali rendono la figura dello Psicologo di Base più efficace e più sostenibile, e a quale scala il servizio debba essere dimensionato perché la sua promessa si traduca in copertura reale.</w:t>
      </w:r>
    </w:p>
    <w:p>
      <w:pPr>
        <w:pStyle w:val="BodyText"/>
      </w:pPr>
      <w:r>
        <w:t xml:space="preserve">La quarta parte assolve questa funzione. Essa non è una valutazione economica, ma la descrizione del dispositivo operativo su cui la valutazione economica delle parti successive poggerà. È la parte che traduce l’architettura statica delle figure nel movimento di un servizio: definisce il modello fondato sulla cura per intensità crescente, sull’assistenza collaborativa e sui percorsi diagnostico-terapeutici assistenziali; espone l’integrazione tra il livello delle cure primarie e quello dei servizi specialistici; ordina le leve abilitanti, tra le quali la leva digitale e l’Intelligenza Artificiale; definisce i dispositivi terapeutici digitali su prescrizione e la loro cornice di rischio; stabilisce la governance prudenziale dell’Intelligenza Artificiale; e fissa i criteri di dimensionamento del servizio insieme agli scenari di copertura che reggeranno l’intera modellazione economica.</w:t>
      </w:r>
    </w:p>
    <w:p>
      <w:pPr>
        <w:pStyle w:val="BodyText"/>
      </w:pPr>
      <w:r>
        <w:t xml:space="preserve">Due avvertenze orientano la lettura di questa parte e ne dichiarano in apertura la postura. La prima riguarda la collocazione dell’Intelligenza Artificiale. In coerenza con l’impianto dell’opera, essa non è qui l’oggetto centrale dell’analisi, ma una delle leve che rendono la figura dello Psicologo di Base più funzionale ed efficace, accanto e subordinata alle leve organizzative, di processo e formative. L’Intelligenza Artificiale compare lungo il ciclo assistenziale come strumento abilitante, sempre soggetto alla supervisione umana e alla governance prudenziale, e la sua evidenza è graduata con il medesimo rigore applicato alle affermazioni cliniche. La seconda avvertenza riguarda il rapporto tra il modello e i costi. La descrizione del dispositivo operativo individua, lungo il percorso, i punti in cui il modello genera costo diretto e i punti in cui esso produce efficienza; ma la traduzione di questi punti in cifre — il costo del personale, della struttura, della leva digitale e della formazione, da un lato; i risparmi diretti e i benefici indiretti, dall’altro — è rinviata alle parti settima, ottava, nona e decima, dove sarà condotta con la disciplina della separazione tra grandezze dirette e indirette e della regola di non duplicazione.</w:t>
      </w:r>
    </w:p>
    <w:bookmarkEnd w:id="182"/>
    <w:bookmarkStart w:id="184" w:name="introduzione-2"/>
    <w:p>
      <w:pPr>
        <w:pStyle w:val="Heading2"/>
      </w:pPr>
      <w:r>
        <w:rPr>
          <w:b/>
          <w:bCs/>
        </w:rPr>
        <w:t xml:space="preserve">Introduzione</w:t>
      </w:r>
    </w:p>
    <w:p>
      <w:pPr>
        <w:pStyle w:val="FirstParagraph"/>
      </w:pPr>
      <w:r>
        <w:t xml:space="preserve">Un modello organizzativo è la forma che un servizio assume per trasformare una capacità potenziale in una prestazione effettiva. Nel caso del Servizio di Psicologia di Base, la capacità potenziale è quella di intercettare precocemente il disagio psichico comune, di trattarlo con interventi brevi e fondati sull’evidenza nel luogo più prossimo alla persona, e di riservare ai servizi specialistici i quadri di maggiore gravità; la prestazione effettiva è la presa in carico di prossimità, gratuita e tempestiva, che la riforma promette. Tra la capacità e la prestazione si interpone il modello: l’insieme dei percorsi, dei criteri, delle regole di collaborazione e degli strumenti che determinano se e come la promessa si realizzi. La letteratura internazionale sull’integrazione della salute mentale nelle cure primarie ha individuato, in oltre due decenni di sperimentazione, alcuni principi organizzativi ricorrenti, che i sistemi sanitari dei paesi ad alto reddito hanno adottato sotto denominazioni diverse — assistenza collaborativa, cura integrata, cura per intensità crescente, salute mentale nelle cure primarie — e che condividono un nucleo comune.</w:t>
      </w:r>
      <w:r>
        <w:rPr>
          <w:rStyle w:val="FootnoteReference"/>
        </w:rPr>
        <w:footnoteReference w:id="107"/>
      </w:r>
      <w:r>
        <w:t xml:space="preserve"> </w:t>
      </w:r>
      <w:r>
        <w:t xml:space="preserve">Questo nucleo comune costituisce il fondamento del modello qui descritto, adattato alle condizioni e alle sedi del sistema sanitario pugliese.</w:t>
      </w:r>
    </w:p>
    <w:p>
      <w:pPr>
        <w:pStyle w:val="BodyText"/>
      </w:pPr>
      <w:r>
        <w:t xml:space="preserve">La parte si articola in sette voci, che procedono dal cuore clinico-organizzativo del servizio verso le sue condizioni di sostenibilità e di scala. La prima voce definisce il modello operativo nei suoi quattro elementi costitutivi: la cura per intensità crescente, che ordina gli interventi per livelli di intensità; l’assistenza collaborativa, che struttura la cooperazione tra le figure; la coppia clinica, che vincola lo Psicologo di Base e il medico di medicina generale in una relazione di lavoro stabile; e i percorsi diagnostico-terapeutici assistenziali, che codificano la sequenza delle azioni dall’ingresso all’esito. La seconda voce espone l’integrazione tra il livello delle cure primarie e quello dei servizi specialistici, e i percorsi clinici che la rendono operativa, con particolare attenzione alle regole di invio e di ritorno che governano il flusso dei pazienti. La terza voce ordina le leve abilitanti organizzative e di processo, distinguendole dalla leva digitale e collocandole nella loro funzione propria. La quarta voce tratta la leva digitale e l’Intelligenza Artificiale lungo l’intero ciclo assistenziale — la diagnostica e il triage, la prevenzione e la stratificazione del rischio, il trattamento con le terapie digitali e con la terapia cognitivo-comportamentale erogata via internet, la riabilitazione e il monitoraggio remoto — con la graduazione dell’evidenza che la disciplina dell’opera impone. La quinta voce definisce i dispositivi terapeutici digitali su prescrizione e la cornice di rischio che ne governa l’impiego. La sesta voce stabilisce la governance prudenziale dell’Intelligenza Artificiale, nei suoi presidi di sicurezza, equità, supervisione umana e responsabilità. La settima voce fissa il dimensionamento del servizio e gli scenari di copertura che reggeranno la modellazione economica delle parti successive.</w:t>
      </w:r>
    </w:p>
    <w:p>
      <w:pPr>
        <w:pStyle w:val="BodyText"/>
      </w:pPr>
      <w:r>
        <w:t xml:space="preserve">Il filo che tiene insieme le sette voci è la coerenza tra la forma del servizio e la sua funzione. Ogni elemento del modello — il livello di intensità, la regola di invio, la leva abilitante, lo strumento digitale, il presidio di governance, lo scenario di copertura — è descritto non come una caratteristica tecnica isolata, ma in rapporto al fine che la riforma persegue e al posto che esso occupa nella cascata delle figure e nella distribuzione degli effetti tra i domini. In questo modo la quarta parte prepara il terreno alle parti economiche: quando, nelle parti settima e ottava, si quantificheranno i costi e i risparmi diretti, e quando, nella nona, si misureranno i benefici indiretti lungo il perimetro multidisciplinare integrale, il lettore disporrà già della descrizione del dispositivo che quei costi sostiene e quei benefici produce.</w:t>
      </w:r>
    </w:p>
    <w:bookmarkEnd w:id="184"/>
    <w:bookmarkStart w:id="192" w:name="X843af6cb78dd717c8394b56503499d3b39dbc4b"/>
    <w:p>
      <w:pPr>
        <w:pStyle w:val="Heading2"/>
      </w:pPr>
      <w:r>
        <w:rPr>
          <w:b/>
          <w:bCs/>
        </w:rPr>
        <w:t xml:space="preserve">4.1 Il modello operativo: cura per intensità crescente, assistenza collaborativa, coppia clinica, percorsi diagnostico-terapeutici assistenziali</w:t>
      </w:r>
    </w:p>
    <w:p>
      <w:pPr>
        <w:pStyle w:val="FirstParagraph"/>
      </w:pPr>
      <w:r>
        <w:rPr>
          <w:i/>
          <w:iCs/>
        </w:rPr>
        <w:t xml:space="preserve">Questa prima voce definisce l’ossatura clinico-organizzativa del servizio. Essa descrive i quattro elementi costitutivi del modello operativo — la cura per intensità crescente, l’assistenza collaborativa, la coppia clinica e i percorsi diagnostico-terapeutici assistenziali — mostrando come ciascuno risponda a una funzione precisa e come i quattro, insieme, compongano il dispositivo che trasforma il bisogno intercettato in presa in carico appropriata. Il modello è ricondotto ai programmi internazionali che lo hanno validato e adattato alle sedi del sistema sanitario pugliese.</w:t>
      </w:r>
    </w:p>
    <w:bookmarkStart w:id="186" w:name="la-cura-per-intensità-crescente"/>
    <w:p>
      <w:pPr>
        <w:pStyle w:val="Heading3"/>
      </w:pPr>
      <w:r>
        <w:rPr>
          <w:b/>
          <w:bCs/>
        </w:rPr>
        <w:t xml:space="preserve">La cura per intensità crescente</w:t>
      </w:r>
    </w:p>
    <w:p>
      <w:pPr>
        <w:pStyle w:val="FirstParagraph"/>
      </w:pPr>
      <w:r>
        <w:t xml:space="preserve">Il primo elemento del modello è la cura per intensità crescente, principio organizzativo secondo cui gli interventi sono ordinati per livelli di intensità e la persona è indirizzata, in prima istanza, all’intervento meno intensivo che risulti appropriato al suo quadro, riservando gli interventi più intensivi a chi non risponda al primo livello o presenti una complessità maggiore. Il principio risponde a una duplice esigenza, clinica ed economica: clinica, perché evita di sottoporre i quadri lievi a trattamenti sproporzionati e di lasciare i quadri gravi a interventi insufficienti; economica, perché alloca la risorsa più costosa — il tempo dello specialista — dove essa produce il maggiore valore, e affida ai livelli meno intensivi la grande massa dei disturbi comuni. Il programma inglese di terapie psicologiche, avviato nel 2008 e oggi denominato terapie psicologiche del Servizio sanitario nazionale, costituisce l’applicazione più consolidata e meglio documentata di questo principio.</w:t>
      </w:r>
      <w:r>
        <w:rPr>
          <w:rStyle w:val="FootnoteReference"/>
        </w:rPr>
        <w:footnoteReference w:id="108"/>
      </w:r>
      <w:r>
        <w:t xml:space="preserve"> </w:t>
      </w:r>
      <w:r>
        <w:t xml:space="preserve">Esso si articola su due livelli di intensità: un primo livello, a bassa intensità, di interventi brevi di quattro-sei sedute fondati su principi cognitivo-comportamentali ed erogati in forme flessibili, comprese le sessioni individuali brevi, gli interventi di gruppo e l’auto-aiuto guidato con supporto telefonico o digitale; e un secondo livello, ad alta intensità, di terapie cognitivo-comportamentali strutturate di otto-venti sedute, destinate a chi non abbia risposto al primo livello o presenti quadri di maggiore complessità.</w:t>
      </w:r>
    </w:p>
    <w:p>
      <w:pPr>
        <w:pStyle w:val="BodyText"/>
      </w:pPr>
      <w:r>
        <w:t xml:space="preserve">Il modello del Servizio di Psicologia di Base in Puglia recepisce questo principio adattandolo alle proprie sedi e alle proprie figure. Il primo livello è collocato nelle cure primarie, presso le Case della Comunità e gli studi della medicina generale, e affidato allo Psicologo di Base, che eroga interventi brevi, fondati sull’evidenza e orientati agli esiti, alla grande massa dei disturbi comuni di severità lieve e moderata. Il secondo livello è costituito dai servizi specialistici territoriali — i Centri di Salute Mentale, i servizi per le dipendenze, la neuropsichiatria dell’infanzia e dell’adolescenza — che accolgono i quadri di maggiore gravità, le situazioni di rischio e le condizioni che richiedano la presa in carico multiprofessionale o il ricorso alla farmacoterapia specialistica. Tra i due livelli opera un filtro strutturato, fondato su criteri espliciti di intensità e di rischio, che determina l’indirizzo iniziale della persona e ne regola l’eventuale passaggio dall’uno all’altro. La funzione di filtro è economicamente decisiva, perché è essa a produrre la riallocazione della domanda che le parti successive quantificheranno: trattenendo nel primo livello i quadri che oggi, in assenza di un’offerta di prossimità, si rivolgono impropriamente al pronto soccorso o ai servizi specialistici, il modello libera capacità specialistica e riduce gli accessi inappropriati.</w:t>
      </w:r>
    </w:p>
    <w:bookmarkEnd w:id="186"/>
    <w:bookmarkStart w:id="189" w:name="lassistenza-collaborativa"/>
    <w:p>
      <w:pPr>
        <w:pStyle w:val="Heading3"/>
      </w:pPr>
      <w:r>
        <w:rPr>
          <w:b/>
          <w:bCs/>
        </w:rPr>
        <w:t xml:space="preserve">L’assistenza collaborativa</w:t>
      </w:r>
    </w:p>
    <w:p>
      <w:pPr>
        <w:pStyle w:val="FirstParagraph"/>
      </w:pPr>
      <w:r>
        <w:t xml:space="preserve">Il secondo elemento del modello è l’assistenza collaborativa, che struttura la cooperazione tra le figure attorno alla persona presa in carico. Mentre la cura per intensità crescente ordina gli interventi in senso verticale, per livelli, l’assistenza collaborativa li integra in senso orizzontale, definendo i ruoli, i flussi di comunicazione e i criteri di responsabilità condivisa che legano le figure coinvolte. Il modello di assistenza collaborativa sviluppato presso l’Università di Washington, validato da oltre novanta studi randomizzati controllati, ne costituisce il riferimento più solido.</w:t>
      </w:r>
      <w:r>
        <w:rPr>
          <w:rStyle w:val="FootnoteReference"/>
        </w:rPr>
        <w:footnoteReference w:id="109"/>
      </w:r>
      <w:r>
        <w:t xml:space="preserve"> </w:t>
      </w:r>
      <w:r>
        <w:t xml:space="preserve">Esso prevede un’équipe integrata, composta dal medico di base, da un responsabile dell’assistenza con formazione in salute mentale e da uno psichiatra consulente per i casi complessi; uno screening sistematico mediante questionari standardizzati; un insieme di interventi che combinano la psicoeducazione, gli interventi comportamentali brevi e, ove appropriata, la farmacoterapia; e un monitoraggio continuo degli esiti, con adattamento del piano di cura in funzione della risposta. La revisione sistematica della letteratura ha documentato, per questo modello, un miglioramento dei sintomi depressivi e ansiosi superiore a quello dell’assistenza ordinaria, con effetti che si mantengono nel tempo.</w:t>
      </w:r>
      <w:r>
        <w:rPr>
          <w:rStyle w:val="FootnoteReference"/>
        </w:rPr>
        <w:footnoteReference w:id="110"/>
      </w:r>
    </w:p>
    <w:p>
      <w:pPr>
        <w:pStyle w:val="BodyText"/>
      </w:pPr>
      <w:r>
        <w:t xml:space="preserve">Nel modello pugliese l’assistenza collaborativa si concretizza in alcune regole di funzionamento. La presa in carico è condivisa: lo Psicologo di Base non opera come un erogatore isolato di prestazioni, ma come componente di un’équipe territoriale in cui il medico di medicina generale conserva la titolarità clinica complessiva del paziente, l’infermiere di famiglia e di comunità assume, ove previsto, la funzione di responsabile dell’assistenza per il monitoraggio e la continuità, e lo psichiatra dei Centri di Salute Mentale interviene in consulenza per i quadri che la superino. La comunicazione tra le figure è strutturata e tracciata: l’invio dal medico allo psicologo e il ritorno dallo psicologo al medico avvengono secondo protocolli espliciti, con la restituzione sistematica dell’esito e con la condivisione del piano. Il monitoraggio degli esiti è il perno della collaborazione: la somministrazione dei questionari standardizzati prima e dopo l’intervento, e in alcuni casi seduta per seduta, fornisce a tutte le figure la misura oggettiva della risposta e attiva, in caso di mancato miglioramento, il passaggio al livello superiore. L’assistenza collaborativa è dunque, al tempo stesso, un principio clinico e un’architettura informativa, e la sua efficacia dipende dalla qualità degli strumenti che la sostengono — una circostanza che, come si vedrà, definisce lo spazio proprio della leva digitale.</w:t>
      </w:r>
    </w:p>
    <w:bookmarkEnd w:id="189"/>
    <w:bookmarkStart w:id="190" w:name="la-coppia-clinica"/>
    <w:p>
      <w:pPr>
        <w:pStyle w:val="Heading3"/>
      </w:pPr>
      <w:r>
        <w:rPr>
          <w:b/>
          <w:bCs/>
        </w:rPr>
        <w:t xml:space="preserve">La coppia clinica</w:t>
      </w:r>
    </w:p>
    <w:p>
      <w:pPr>
        <w:pStyle w:val="FirstParagraph"/>
      </w:pPr>
      <w:r>
        <w:t xml:space="preserve">Il terzo elemento del modello è la coppia clinica, ossia la relazione di lavoro stabile tra lo Psicologo di Base e il medico di medicina generale collocata al centro del dispositivo. La nozione di coppia clinica non è una semplice metafora organizzativa, ma la specificazione del legame funzionale che, nel modello pugliese, costituisce l’unità elementare della presa in carico nelle cure primarie. Il medico di medicina generale è, per la grande maggioranza delle persone, il primo e più frequente punto di contatto con il sistema sanitario, ed è presso il suo studio che il disagio psichico comune si manifesta per la prima volta, spesso in forma somatizzata o intrecciata alla patologia organica. Lo Psicologo di Base, collocato accanto al medico nella stessa sede o in sedi prossime e collegate, riceve da questo gli invii, restituisce gli esiti e condivide la responsabilità della cura. La coppia clinica realizza così la prossimità non solo fisica ma relazionale tra la competenza medica e la competenza psicologica, e supera la frammentazione che oggi separa il momento dell’intercettazione, affidato al medico, dal momento del trattamento, rinviato a servizi specialistici distanti e congestionati.</w:t>
      </w:r>
    </w:p>
    <w:p>
      <w:pPr>
        <w:pStyle w:val="BodyText"/>
      </w:pPr>
      <w:r>
        <w:t xml:space="preserve">La coppia clinica produce effetti che attraversano l’intera cascata delle figure e che le parti economiche dovranno valutare. Sul versante dell’appropriatezza, essa consente al medico di indirizzare il disagio psichico verso un trattamento specifico anziché verso la prescrizione farmacologica impropria o l’invio allo specialista, riducendo il consumo inappropriato di farmaci e gli invii non necessari. Sul versante della continuità, essa mantiene il paziente all’interno del medesimo presidio di cura, evitando le dispersioni e le interruzioni che segnano i percorsi frammentati. Sul versante del carico, essa alleggerisce il medico di medicina generale, oggi gravato da una quota rilevante di consultazioni a contenuto psicologico per le quali non dispone né del tempo né degli strumenti appropriati, e restituisce alla sua attività la concentrazione sulla componente clinica di propria competenza. La coppia clinica è, in questo senso, il punto in cui la riforma incide più direttamente sulla figura collocata, nella cascata, immediatamente al di sotto dell’apice, e da cui si propagano gli effetti verso le figure e i domini ulteriori.</w:t>
      </w:r>
    </w:p>
    <w:bookmarkEnd w:id="190"/>
    <w:bookmarkStart w:id="191" w:name="Xfd79965dccdead2a18fd77180e1214b16bc35cf"/>
    <w:p>
      <w:pPr>
        <w:pStyle w:val="Heading3"/>
      </w:pPr>
      <w:r>
        <w:rPr>
          <w:b/>
          <w:bCs/>
        </w:rPr>
        <w:t xml:space="preserve">I percorsi diagnostico-terapeutici assistenziali</w:t>
      </w:r>
    </w:p>
    <w:p>
      <w:pPr>
        <w:pStyle w:val="FirstParagraph"/>
      </w:pPr>
      <w:r>
        <w:t xml:space="preserve">Il quarto elemento del modello è costituito dai percorsi diagnostico-terapeutici assistenziali, che codificano in una sequenza esplicita le azioni che conducono la persona dall’ingresso nel servizio all’esito della presa in carico. Un percorso diagnostico-terapeutico assistenziale è la rappresentazione formale del processo di cura per una determinata condizione: esso definisce chi fa che cosa, in quale ordine, con quali criteri di decisione e con quali punti di verifica, e traduce in pratica operativa i principi della cura per intensità crescente e dell’assistenza collaborativa. Per i disturbi comuni di competenza dello Psicologo di Base — i disturbi depressivi e ansiosi di severità lieve e moderata, i disturbi dell’adattamento, le reazioni acute allo stress, le componenti psicologiche delle patologie croniche — il modello prevede percorsi che muovono dall’intercettazione presso il medico di medicina generale, proseguono con la valutazione iniziale e la stratificazione del rischio, conducono all’intervento breve appropriato e si chiudono con la verifica dell’esito e, secondo i casi, con la dimissione, con un ulteriore ciclo di intervento o con il passaggio al livello specialistico.</w:t>
      </w:r>
    </w:p>
    <w:p>
      <w:pPr>
        <w:pStyle w:val="BodyText"/>
      </w:pPr>
      <w:r>
        <w:t xml:space="preserve">La codificazione dei percorsi assolve tre funzioni che concorrono alla sostenibilità del modello. Essa garantisce l’uniformità della presa in carico, sottraendo la decisione clinica all’arbitrio del singolo e ancorandola a criteri condivisi e verificabili, condizione necessaria perché il servizio produca esiti misurabili e confrontabili tra i territori. Essa rende possibile la valutazione, perché un processo codificato è un processo misurabile, e fornisce i punti di rilevazione su cui poggeranno gli indicatori del sistema di monitoraggio. Essa, infine, definisce i confini delle responsabilità, stabilendo con precisione il momento in cui il paziente transita da una figura all’altra e da un livello all’altro, e prevenendo così tanto le sovrapposizioni quanto le omissioni. I percorsi diagnostico-terapeutici assistenziali sono, in questo senso, l’elemento che conferisce al modello la sua qualità di sistema: non un insieme di prestazioni giustapposte, ma una sequenza ordinata e governata, di cui ogni passaggio è definito, attribuito e verificabile. La tabella che segue ricompone i quattro elementi costitutivi del modello operativo, indicandone per ciascuno la funzione e il riferimento.</w:t>
      </w:r>
    </w:p>
    <w:p>
      <w:pPr>
        <w:pStyle w:val="BodyText"/>
      </w:pPr>
      <w:r>
        <w:rPr>
          <w:b/>
          <w:bCs/>
        </w:rPr>
        <w:t xml:space="preserve">Tabella 4.1 — I quattro elementi costitutivi del modello operativo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 nel 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Riferimento e adattamento pugliese</w:t>
            </w:r>
          </w:p>
        </w:tc>
      </w:tr>
      <w:tr>
        <w:tc>
          <w:tcPr/>
          <w:p>
            <w:pPr>
              <w:pStyle w:val="Compact"/>
              <w:spacing w:after="40" w:before="40"/>
              <w:jc w:val="left"/>
            </w:pPr>
            <w:r>
              <w:rPr>
                <w:rFonts w:ascii="Cambria" w:hAnsi="Cambria" w:cs="Cambria" w:eastAsia="Cambria"/>
                <w:color w:val="1A1A1A"/>
                <w:sz w:val="18"/>
              </w:rPr>
              <w:t xml:space="preserve">Cura per intensità crescente</w:t>
            </w:r>
          </w:p>
        </w:tc>
        <w:tc>
          <w:tcPr/>
          <w:p>
            <w:pPr>
              <w:pStyle w:val="Compact"/>
              <w:spacing w:after="40" w:before="40"/>
              <w:jc w:val="left"/>
            </w:pPr>
            <w:r>
              <w:rPr>
                <w:rFonts w:ascii="Cambria" w:hAnsi="Cambria" w:cs="Cambria" w:eastAsia="Cambria"/>
                <w:color w:val="1A1A1A"/>
                <w:sz w:val="18"/>
              </w:rPr>
              <w:t xml:space="preserve">Ordina gli interventi per livelli di intensità; indirizza al livello meno intensivo appropriato e riserva i livelli più intensivi ai quadri non responsivi o complessi</w:t>
            </w:r>
          </w:p>
        </w:tc>
        <w:tc>
          <w:tcPr/>
          <w:p>
            <w:pPr>
              <w:pStyle w:val="Compact"/>
              <w:spacing w:after="40" w:before="40"/>
              <w:jc w:val="left"/>
            </w:pPr>
            <w:r>
              <w:rPr>
                <w:rFonts w:ascii="Cambria" w:hAnsi="Cambria" w:cs="Cambria" w:eastAsia="Cambria"/>
                <w:color w:val="1A1A1A"/>
                <w:sz w:val="18"/>
              </w:rPr>
              <w:t xml:space="preserve">Programma inglese di terapie psicologiche; primo livello nelle cure primarie (Psicologo di Base), secondo livello nei servizi specialistici</w:t>
            </w:r>
          </w:p>
        </w:tc>
      </w:tr>
      <w:tr>
        <w:tc>
          <w:tcPr>
            <w:shd w:val="clear" w:color="auto" w:fill="F4F1EC"/>
          </w:tcPr>
          <w:p>
            <w:pPr>
              <w:pStyle w:val="Compact"/>
              <w:spacing w:after="40" w:before="40"/>
              <w:jc w:val="left"/>
            </w:pPr>
            <w:r>
              <w:rPr>
                <w:rFonts w:ascii="Cambria" w:hAnsi="Cambria" w:cs="Cambria" w:eastAsia="Cambria"/>
                <w:color w:val="1A1A1A"/>
                <w:sz w:val="18"/>
              </w:rPr>
              <w:t xml:space="preserve">Assistenza collaborativa</w:t>
            </w:r>
          </w:p>
        </w:tc>
        <w:tc>
          <w:tcPr>
            <w:shd w:val="clear" w:color="auto" w:fill="F4F1EC"/>
          </w:tcPr>
          <w:p>
            <w:pPr>
              <w:pStyle w:val="Compact"/>
              <w:spacing w:after="40" w:before="40"/>
              <w:jc w:val="left"/>
            </w:pPr>
            <w:r>
              <w:rPr>
                <w:rFonts w:ascii="Cambria" w:hAnsi="Cambria" w:cs="Cambria" w:eastAsia="Cambria"/>
                <w:color w:val="1A1A1A"/>
                <w:sz w:val="18"/>
              </w:rPr>
              <w:t xml:space="preserve">Integra le figure in senso orizzontale; definisce ruoli, comunicazione strutturata e responsabilità condivisa attorno alla persona</w:t>
            </w:r>
          </w:p>
        </w:tc>
        <w:tc>
          <w:tcPr>
            <w:shd w:val="clear" w:color="auto" w:fill="F4F1EC"/>
          </w:tcPr>
          <w:p>
            <w:pPr>
              <w:pStyle w:val="Compact"/>
              <w:spacing w:after="40" w:before="40"/>
              <w:jc w:val="left"/>
            </w:pPr>
            <w:r>
              <w:rPr>
                <w:rFonts w:ascii="Cambria" w:hAnsi="Cambria" w:cs="Cambria" w:eastAsia="Cambria"/>
                <w:color w:val="1A1A1A"/>
                <w:sz w:val="18"/>
              </w:rPr>
              <w:t xml:space="preserve">Modello dell’Università di Washington; équipe territoriale con titolarità del medico, responsabile dell’assistenza e consulenza specialistica</w:t>
            </w:r>
          </w:p>
        </w:tc>
      </w:tr>
      <w:tr>
        <w:tc>
          <w:tcPr/>
          <w:p>
            <w:pPr>
              <w:pStyle w:val="Compact"/>
              <w:spacing w:after="40" w:before="40"/>
              <w:jc w:val="left"/>
            </w:pPr>
            <w:r>
              <w:rPr>
                <w:rFonts w:ascii="Cambria" w:hAnsi="Cambria" w:cs="Cambria" w:eastAsia="Cambria"/>
                <w:color w:val="1A1A1A"/>
                <w:sz w:val="18"/>
              </w:rPr>
              <w:t xml:space="preserve">Coppia clinica</w:t>
            </w:r>
          </w:p>
        </w:tc>
        <w:tc>
          <w:tcPr/>
          <w:p>
            <w:pPr>
              <w:pStyle w:val="Compact"/>
              <w:spacing w:after="40" w:before="40"/>
              <w:jc w:val="left"/>
            </w:pPr>
            <w:r>
              <w:rPr>
                <w:rFonts w:ascii="Cambria" w:hAnsi="Cambria" w:cs="Cambria" w:eastAsia="Cambria"/>
                <w:color w:val="1A1A1A"/>
                <w:sz w:val="18"/>
              </w:rPr>
              <w:t xml:space="preserve">Vincola lo Psicologo di Base e il medico di medicina generale in una relazione di lavoro stabile; unità elementare della presa in carico</w:t>
            </w:r>
          </w:p>
        </w:tc>
        <w:tc>
          <w:tcPr/>
          <w:p>
            <w:pPr>
              <w:pStyle w:val="Compact"/>
              <w:spacing w:after="40" w:before="40"/>
              <w:jc w:val="left"/>
            </w:pPr>
            <w:r>
              <w:rPr>
                <w:rFonts w:ascii="Cambria" w:hAnsi="Cambria" w:cs="Cambria" w:eastAsia="Cambria"/>
                <w:color w:val="1A1A1A"/>
                <w:sz w:val="18"/>
              </w:rPr>
              <w:t xml:space="preserve">Collocazione dello psicologo nella sede del medico o in sedi prossime e collegate, presso le Case della Comunità</w:t>
            </w:r>
          </w:p>
        </w:tc>
      </w:tr>
      <w:tr>
        <w:tc>
          <w:tcPr>
            <w:shd w:val="clear" w:color="auto" w:fill="F4F1EC"/>
          </w:tcPr>
          <w:p>
            <w:pPr>
              <w:pStyle w:val="Compact"/>
              <w:spacing w:after="40" w:before="40"/>
              <w:jc w:val="left"/>
            </w:pPr>
            <w:r>
              <w:rPr>
                <w:rFonts w:ascii="Cambria" w:hAnsi="Cambria" w:cs="Cambria" w:eastAsia="Cambria"/>
                <w:color w:val="1A1A1A"/>
                <w:sz w:val="18"/>
              </w:rPr>
              <w:t xml:space="preserve">Percorsi diagnostico-terapeutici assistenziali</w:t>
            </w:r>
          </w:p>
        </w:tc>
        <w:tc>
          <w:tcPr>
            <w:shd w:val="clear" w:color="auto" w:fill="F4F1EC"/>
          </w:tcPr>
          <w:p>
            <w:pPr>
              <w:pStyle w:val="Compact"/>
              <w:spacing w:after="40" w:before="40"/>
              <w:jc w:val="left"/>
            </w:pPr>
            <w:r>
              <w:rPr>
                <w:rFonts w:ascii="Cambria" w:hAnsi="Cambria" w:cs="Cambria" w:eastAsia="Cambria"/>
                <w:color w:val="1A1A1A"/>
                <w:sz w:val="18"/>
              </w:rPr>
              <w:t xml:space="preserve">Codificano la sequenza delle azioni dall’ingresso all’esito; garantiscono uniformità, misurabilità e confini di responsabilità</w:t>
            </w:r>
          </w:p>
        </w:tc>
        <w:tc>
          <w:tcPr>
            <w:shd w:val="clear" w:color="auto" w:fill="F4F1EC"/>
          </w:tcPr>
          <w:p>
            <w:pPr>
              <w:pStyle w:val="Compact"/>
              <w:spacing w:after="40" w:before="40"/>
              <w:jc w:val="left"/>
            </w:pPr>
            <w:r>
              <w:rPr>
                <w:rFonts w:ascii="Cambria" w:hAnsi="Cambria" w:cs="Cambria" w:eastAsia="Cambria"/>
                <w:color w:val="1A1A1A"/>
                <w:sz w:val="18"/>
              </w:rPr>
              <w:t xml:space="preserve">Percorsi per i disturbi comuni lievi-moderati, dall’intercettazione alla verifica dell’esito e all’eventuale passaggio di livello</w:t>
            </w:r>
          </w:p>
        </w:tc>
      </w:tr>
    </w:tbl>
    <w:p>
      <w:pPr>
        <w:pStyle w:val="BodyText"/>
      </w:pPr>
      <w:r>
        <w:rPr>
          <w:i/>
          <w:iCs/>
        </w:rPr>
        <w:t xml:space="preserve">Elaborazione dello studio sui modelli internazionali di integrazione della salute mentale nelle cure primarie e sull’assetto del sistema sanitario regionale pugliese.</w:t>
      </w:r>
    </w:p>
    <w:p>
      <w:pPr>
        <w:pStyle w:val="BodyText"/>
      </w:pPr>
      <w:r>
        <w:t xml:space="preserve">Definiti i quattro elementi del modello operativo, resta da precisare il modo in cui i due livelli si integrano e i percorsi clinici si snodano tra le cure primarie e i servizi specialistici. È l’oggetto della voce seguente.</w:t>
      </w:r>
    </w:p>
    <w:bookmarkEnd w:id="191"/>
    <w:bookmarkEnd w:id="192"/>
    <w:bookmarkStart w:id="197" w:name="X413e40367c2e9cf16cdae27410b572f7100beea"/>
    <w:p>
      <w:pPr>
        <w:pStyle w:val="Heading2"/>
      </w:pPr>
      <w:r>
        <w:rPr>
          <w:b/>
          <w:bCs/>
        </w:rPr>
        <w:t xml:space="preserve">4.2 L’integrazione tra livelli e i percorsi clinici (cure primarie e servizi specialistici)</w:t>
      </w:r>
    </w:p>
    <w:p>
      <w:pPr>
        <w:pStyle w:val="FirstParagraph"/>
      </w:pPr>
      <w:r>
        <w:rPr>
          <w:i/>
          <w:iCs/>
        </w:rPr>
        <w:t xml:space="preserve">Questa voce espone il modo in cui i due livelli del modello — le cure primarie e i servizi specialistici — si integrano in un sistema unitario, e descrive i percorsi clinici che ne governano il funzionamento. Al centro dell’esposizione stanno le regole di invio e di ritorno, ossia i criteri espliciti che determinano quando una persona transita dal primo al secondo livello e quando rientra dal secondo al primo, perché è in queste regole che si decide la tenuta dell’intero dispositivo e si producono gli effetti economici che le parti successive quantificheranno.</w:t>
      </w:r>
    </w:p>
    <w:bookmarkStart w:id="193" w:name="X752599b8ee6a46ed8b7ce2b47aefe417614b163"/>
    <w:p>
      <w:pPr>
        <w:pStyle w:val="Heading3"/>
      </w:pPr>
      <w:r>
        <w:rPr>
          <w:b/>
          <w:bCs/>
        </w:rPr>
        <w:t xml:space="preserve">Il principio dell’integrazione e l’assenza di porte sbagliate</w:t>
      </w:r>
    </w:p>
    <w:p>
      <w:pPr>
        <w:pStyle w:val="FirstParagraph"/>
      </w:pPr>
      <w:r>
        <w:t xml:space="preserve">L’integrazione tra i livelli non è la giustapposizione di due servizi separati, ma la loro composizione in un sistema unico, entro il quale la persona si muove secondo il proprio bisogno e non secondo la rigidità delle competenze. Il principio che ne governa l’ingresso è quello dell’assenza di porte sbagliate: chiunque acceda al sistema, da qualunque punto, deve poter essere indirizzato al livello appropriato senza essere respinto o disperso. Nel modello pugliese il punto di ingresso ordinario è la coppia clinica nelle cure primarie, dove il disagio comune si manifesta e dove lo Psicologo di Base interviene in prima istanza; ma il sistema deve accogliere anche gli ingressi che avvengono per altre vie — l’accesso al pronto soccorso per una crisi acuta, l’invio dalla scuola per il disagio di un minore, la segnalazione dal servizio sociale per una situazione di fragilità — e ricondurli, attraverso la valutazione e il triage, al percorso corretto. L’integrazione è dunque, prima di tutto, una proprietà del sistema nel suo insieme: la capacità di trattare l’ingresso da qualunque punto come l’avvio di un percorso governato, e non come un evento isolato da risolvere localmente.</w:t>
      </w:r>
    </w:p>
    <w:p>
      <w:pPr>
        <w:pStyle w:val="BodyText"/>
      </w:pPr>
      <w:r>
        <w:t xml:space="preserve">Il presidio fisico e organizzativo che rende possibile l’integrazione è la Casa della Comunità, sede in cui le cure primarie e una parte dei servizi territoriali convergono e in cui la coppia clinica trova la sua collocazione naturale. La Casa della Comunità funge da nodo del sistema: accoglie l’ingresso, ospita la valutazione iniziale, eroga gli interventi del primo livello e costituisce il punto di raccordo con i servizi specialistici, ai quali invia i quadri che li richiedano e dai quali riceve i pazienti dimessi per la prosecuzione della presa in carico di prossimità. I servizi specialistici — i Centri di Salute Mentale, i servizi per le dipendenze, la neuropsichiatria dell’infanzia e dell’adolescenza — costituiscono il secondo livello, dotato delle competenze multiprofessionali e degli strumenti, compresa la farmacoterapia specialistica, che i quadri gravi e complessi richiedono. L’integrazione tra il nodo delle cure primarie e i poli specialistici è la condizione perché il sistema funzioni come un continuo, e non come una catena di segmenti separati da soglie e attese.</w:t>
      </w:r>
    </w:p>
    <w:bookmarkEnd w:id="193"/>
    <w:bookmarkStart w:id="195" w:name="X06d558feabe20b8817f9493c0d33b764b027011"/>
    <w:p>
      <w:pPr>
        <w:pStyle w:val="Heading3"/>
      </w:pPr>
      <w:r>
        <w:rPr>
          <w:b/>
          <w:bCs/>
        </w:rPr>
        <w:t xml:space="preserve">Le regole di invio dal primo al secondo livello</w:t>
      </w:r>
    </w:p>
    <w:p>
      <w:pPr>
        <w:pStyle w:val="FirstParagraph"/>
      </w:pPr>
      <w:r>
        <w:t xml:space="preserve">Il passaggio dal primo al secondo livello è governato da criteri espliciti, che traducono in regole operative il principio della cura per intensità crescente. L’invio allo specialista non è la conseguenza di una valutazione discrezionale, ma l’esito dell’applicazione di soglie definite, relative alla gravità del quadro, al livello di rischio e alla complessità della condizione. Costituiscono indicazione all’invio i quadri di severità grave, le condizioni a rischio per la persona o per altri, i disturbi che richiedano la presa in carico multiprofessionale o il ricorso alla farmacoterapia specialistica, le situazioni di comorbilità complessa e i casi che non abbiano risposto agli interventi del primo livello entro un ciclo definito. I modelli internazionali offrono un termine di riferimento per la quota di domanda che, in un sistema funzionante, transita al secondo livello: nel modello olandese che integra gli psicologi nelle cure primarie, l’invio ai servizi specialistici riguarda tipicamente una quota dell’ordine del quindici per cento dei casi trattati nelle cure primarie.</w:t>
      </w:r>
      <w:r>
        <w:rPr>
          <w:rStyle w:val="FootnoteReference"/>
        </w:rPr>
        <w:footnoteReference w:id="111"/>
      </w:r>
      <w:r>
        <w:t xml:space="preserve"> </w:t>
      </w:r>
      <w:r>
        <w:t xml:space="preserve">Questa proporzione — per cui la grande maggioranza dei casi è trattata e risolta nel primo livello, e solo una minoranza transita allo specialista — è la misura quantitativa dell’efficacia del filtro, e costituisce il parametro che le parti economiche assumeranno per stimare la riallocazione della domanda.</w:t>
      </w:r>
    </w:p>
    <w:p>
      <w:pPr>
        <w:pStyle w:val="BodyText"/>
      </w:pPr>
      <w:r>
        <w:t xml:space="preserve">La definizione di soglie esplicite di invio assolve una funzione che eccede la sola appropriatezza clinica e investe la sostenibilità economica del sistema. Un filtro troppo permissivo, che inviasse al secondo livello una quota eccessiva di casi, vanificherebbe la funzione del primo livello e riprodurrebbe la congestione dei servizi specialistici che la riforma intende ridurre; un filtro troppo restrittivo, che trattenesse nel primo livello quadri che richiedono la competenza specialistica, esporrebbe le persone a un rischio clinico e differirebbe interventi necessari, con un aggravamento dei costi futuri. La calibrazione del filtro — la definizione delle soglie che ne determinano la selettività — è dunque una decisione che ha conseguenze cliniche ed economiche insieme, e che il modello affida a criteri condivisi, periodicamente verificati alla luce degli esiti, anziché alla variabilità delle valutazioni individuali. Su questa calibrazione poggia la stima della quota di domanda trattenuta nel primo livello, da cui dipendono a loro volta le stime della riduzione degli accessi inappropriati al pronto soccorso, della riduzione degli invii specialistici impropri e della riduzione della mobilità sanitaria passiva.</w:t>
      </w:r>
    </w:p>
    <w:bookmarkEnd w:id="195"/>
    <w:bookmarkStart w:id="196" w:name="X2e480abae3c3ea172352efd813e11af3b11a7aa"/>
    <w:p>
      <w:pPr>
        <w:pStyle w:val="Heading3"/>
      </w:pPr>
      <w:r>
        <w:rPr>
          <w:b/>
          <w:bCs/>
        </w:rPr>
        <w:t xml:space="preserve">Le regole di ritorno e la continuità della presa in carico</w:t>
      </w:r>
    </w:p>
    <w:p>
      <w:pPr>
        <w:pStyle w:val="FirstParagraph"/>
      </w:pPr>
      <w:r>
        <w:t xml:space="preserve">Il flusso tra i livelli è bidirezionale: al passaggio dal primo al secondo livello corrisponde il ritorno dal secondo al primo, che riconduce il paziente, una volta superata la fase acuta o stabilizzato il quadro, alla presa in carico di prossimità delle cure primarie. La regola di ritorno è speculare a quella di invio e altrettanto necessaria: senza un ritorno governato, i servizi specialistici si caricherebbero progressivamente di pazienti stabilizzati che potrebbero essere seguiti a un livello meno intensivo, e si riprodurrebbe, in forma diversa, la congestione che il modello intende dissolvere. Il ritorno presuppone la condivisione del piano di cura tra i due livelli, la trasmissione strutturata delle informazioni cliniche e l’assunzione, da parte della coppia clinica nelle cure primarie, della prosecuzione del monitoraggio e dell’eventuale intervento di mantenimento. La continuità della presa in carico — la garanzia che il paziente non si perda nei passaggi tra i livelli e che il suo percorso si mantenga unitario attraverso le transizioni — è la qualità che distingue un sistema integrato da una sequenza di servizi separati, ed è essa stessa una determinante degli esiti, perché le interruzioni e le dispersioni sono tra le principali cause di ricaduta e di cronicizzazione.</w:t>
      </w:r>
    </w:p>
    <w:p>
      <w:pPr>
        <w:pStyle w:val="BodyText"/>
      </w:pPr>
      <w:r>
        <w:t xml:space="preserve">La continuità si oppone, in particolare, al fenomeno della presa in carico intermittente, per cui il paziente entra ed esce ripetutamente dal sistema senza che la sua condizione sia stabilmente governata, accumulando accessi, interruzioni e riprese che moltiplicano i costi senza produrre l’esito. Il modello integrato contrasta questo fenomeno con il monitoraggio continuo, che mantiene il paziente sotto osservazione anche nelle fasi di intervallo tra gli interventi attivi, e con la titolarità stabile della coppia clinica, che assicura un riferimento permanente attraverso le transizioni. La continuità è perciò, oltre che una qualità clinica, una leva di efficienza, perché un percorso continuo è meno costoso, a parità di esito, di una successione di percorsi interrotti e ripresi. La tabella che segue ricompone le regole di invio e di ritorno e le condizioni che le rendono operative.</w:t>
      </w:r>
    </w:p>
    <w:p>
      <w:pPr>
        <w:pStyle w:val="BodyText"/>
      </w:pPr>
      <w:r>
        <w:rPr>
          <w:b/>
          <w:bCs/>
        </w:rPr>
        <w:t xml:space="preserve">Tabella 4.2 — Le regole di invio e di ritorno tra i livelli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Direzione del flusso</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 e condizioni</w:t>
            </w:r>
          </w:p>
        </w:tc>
        <w:tc>
          <w:tcPr>
            <w:shd w:val="clear" w:color="auto" w:fill="16264B"/>
          </w:tcPr>
          <w:p>
            <w:pPr>
              <w:pStyle w:val="Compact"/>
              <w:spacing w:after="40" w:before="40"/>
              <w:jc w:val="left"/>
            </w:pPr>
            <w:r>
              <w:rPr>
                <w:rFonts w:ascii="Cambria" w:hAnsi="Cambria" w:cs="Cambria" w:eastAsia="Cambria"/>
                <w:b/>
                <w:bCs/>
                <w:color w:val="FFFFFF"/>
                <w:sz w:val="18"/>
              </w:rPr>
              <w:t xml:space="preserve">Effetto sul sistema</w:t>
            </w:r>
          </w:p>
        </w:tc>
      </w:tr>
      <w:tr>
        <w:tc>
          <w:tcPr/>
          <w:p>
            <w:pPr>
              <w:pStyle w:val="Compact"/>
              <w:spacing w:after="40" w:before="40"/>
              <w:jc w:val="left"/>
            </w:pPr>
            <w:r>
              <w:rPr>
                <w:rFonts w:ascii="Cambria" w:hAnsi="Cambria" w:cs="Cambria" w:eastAsia="Cambria"/>
                <w:color w:val="1A1A1A"/>
                <w:sz w:val="18"/>
              </w:rPr>
              <w:t xml:space="preserve">Invio dal primo al secondo livello</w:t>
            </w:r>
          </w:p>
        </w:tc>
        <w:tc>
          <w:tcPr/>
          <w:p>
            <w:pPr>
              <w:pStyle w:val="Compact"/>
              <w:spacing w:after="40" w:before="40"/>
              <w:jc w:val="left"/>
            </w:pPr>
            <w:r>
              <w:rPr>
                <w:rFonts w:ascii="Cambria" w:hAnsi="Cambria" w:cs="Cambria" w:eastAsia="Cambria"/>
                <w:color w:val="1A1A1A"/>
                <w:sz w:val="18"/>
              </w:rPr>
              <w:t xml:space="preserve">Severità grave; rischio per sé o per altri; necessità di presa in carico multiprofessionale o di farmacoterapia specialistica; comorbilità complessa; mancata risposta agli interventi del primo livello entro un ciclo definito</w:t>
            </w:r>
          </w:p>
        </w:tc>
        <w:tc>
          <w:tcPr/>
          <w:p>
            <w:pPr>
              <w:pStyle w:val="Compact"/>
              <w:spacing w:after="40" w:before="40"/>
              <w:jc w:val="left"/>
            </w:pPr>
            <w:r>
              <w:rPr>
                <w:rFonts w:ascii="Cambria" w:hAnsi="Cambria" w:cs="Cambria" w:eastAsia="Cambria"/>
                <w:color w:val="1A1A1A"/>
                <w:sz w:val="18"/>
              </w:rPr>
              <w:t xml:space="preserve">Indirizzo dei quadri gravi alla competenza specialistica; quota di transito di riferimento dell’ordine del quindici per cento dei casi trattati</w:t>
            </w:r>
          </w:p>
        </w:tc>
      </w:tr>
      <w:tr>
        <w:tc>
          <w:tcPr>
            <w:shd w:val="clear" w:color="auto" w:fill="F4F1EC"/>
          </w:tcPr>
          <w:p>
            <w:pPr>
              <w:pStyle w:val="Compact"/>
              <w:spacing w:after="40" w:before="40"/>
              <w:jc w:val="left"/>
            </w:pPr>
            <w:r>
              <w:rPr>
                <w:rFonts w:ascii="Cambria" w:hAnsi="Cambria" w:cs="Cambria" w:eastAsia="Cambria"/>
                <w:color w:val="1A1A1A"/>
                <w:sz w:val="18"/>
              </w:rPr>
              <w:t xml:space="preserve">Ritorno dal secondo al primo livello</w:t>
            </w:r>
          </w:p>
        </w:tc>
        <w:tc>
          <w:tcPr>
            <w:shd w:val="clear" w:color="auto" w:fill="F4F1EC"/>
          </w:tcPr>
          <w:p>
            <w:pPr>
              <w:pStyle w:val="Compact"/>
              <w:spacing w:after="40" w:before="40"/>
              <w:jc w:val="left"/>
            </w:pPr>
            <w:r>
              <w:rPr>
                <w:rFonts w:ascii="Cambria" w:hAnsi="Cambria" w:cs="Cambria" w:eastAsia="Cambria"/>
                <w:color w:val="1A1A1A"/>
                <w:sz w:val="18"/>
              </w:rPr>
              <w:t xml:space="preserve">Superamento della fase acuta o stabilizzazione del quadro; condivisione del piano di cura; trasmissione strutturata delle informazioni; assunzione del monitoraggio da parte della coppia clinica</w:t>
            </w:r>
          </w:p>
        </w:tc>
        <w:tc>
          <w:tcPr>
            <w:shd w:val="clear" w:color="auto" w:fill="F4F1EC"/>
          </w:tcPr>
          <w:p>
            <w:pPr>
              <w:pStyle w:val="Compact"/>
              <w:spacing w:after="40" w:before="40"/>
              <w:jc w:val="left"/>
            </w:pPr>
            <w:r>
              <w:rPr>
                <w:rFonts w:ascii="Cambria" w:hAnsi="Cambria" w:cs="Cambria" w:eastAsia="Cambria"/>
                <w:color w:val="1A1A1A"/>
                <w:sz w:val="18"/>
              </w:rPr>
              <w:t xml:space="preserve">Restituzione dei pazienti stabilizzati alla prossimità; alleggerimento dei servizi specialistici; prevenzione della congestione del secondo livello</w:t>
            </w:r>
          </w:p>
        </w:tc>
      </w:tr>
      <w:tr>
        <w:tc>
          <w:tcPr/>
          <w:p>
            <w:pPr>
              <w:pStyle w:val="Compact"/>
              <w:spacing w:after="40" w:before="40"/>
              <w:jc w:val="left"/>
            </w:pPr>
            <w:r>
              <w:rPr>
                <w:rFonts w:ascii="Cambria" w:hAnsi="Cambria" w:cs="Cambria" w:eastAsia="Cambria"/>
                <w:color w:val="1A1A1A"/>
                <w:sz w:val="18"/>
              </w:rPr>
              <w:t xml:space="preserve">Continuità attraverso le transizioni</w:t>
            </w:r>
          </w:p>
        </w:tc>
        <w:tc>
          <w:tcPr/>
          <w:p>
            <w:pPr>
              <w:pStyle w:val="Compact"/>
              <w:spacing w:after="40" w:before="40"/>
              <w:jc w:val="left"/>
            </w:pPr>
            <w:r>
              <w:rPr>
                <w:rFonts w:ascii="Cambria" w:hAnsi="Cambria" w:cs="Cambria" w:eastAsia="Cambria"/>
                <w:color w:val="1A1A1A"/>
                <w:sz w:val="18"/>
              </w:rPr>
              <w:t xml:space="preserve">Monitoraggio continuo anche nelle fasi di intervallo; titolarità stabile della coppia clinica; riferimento permanente per il paziente</w:t>
            </w:r>
          </w:p>
        </w:tc>
        <w:tc>
          <w:tcPr/>
          <w:p>
            <w:pPr>
              <w:pStyle w:val="Compact"/>
              <w:spacing w:after="40" w:before="40"/>
              <w:jc w:val="left"/>
            </w:pPr>
            <w:r>
              <w:rPr>
                <w:rFonts w:ascii="Cambria" w:hAnsi="Cambria" w:cs="Cambria" w:eastAsia="Cambria"/>
                <w:color w:val="1A1A1A"/>
                <w:sz w:val="18"/>
              </w:rPr>
              <w:t xml:space="preserve">Contrasto alla presa in carico intermittente; riduzione delle ricadute e delle cronicizzazioni; minore costo a parità di esito</w:t>
            </w:r>
          </w:p>
        </w:tc>
      </w:tr>
    </w:tbl>
    <w:p>
      <w:pPr>
        <w:pStyle w:val="BodyText"/>
      </w:pPr>
      <w:r>
        <w:rPr>
          <w:i/>
          <w:iCs/>
        </w:rPr>
        <w:t xml:space="preserve">Elaborazione dello studio. Le soglie quantitative di invio e la quota di transito sono parametri di riferimento, da calibrare sui dati primari regionali e da verificare periodicamente alla luce degli esiti.</w:t>
      </w:r>
    </w:p>
    <w:p>
      <w:pPr>
        <w:pStyle w:val="BodyText"/>
      </w:pPr>
      <w:r>
        <w:t xml:space="preserve">Definite le regole che governano il flusso tra i livelli, l’esposizione può procedere alle leve che, all’interno di ciascun livello, accrescono l’efficacia e la sostenibilità del servizio. La voce seguente ordina le leve organizzative e di processo, distinte dalla leva digitale che sarà trattata separatamente.</w:t>
      </w:r>
    </w:p>
    <w:bookmarkEnd w:id="196"/>
    <w:bookmarkEnd w:id="197"/>
    <w:bookmarkStart w:id="202" w:name="Xecd91f20cb3b143b12ed7cfcef43885fbde569e"/>
    <w:p>
      <w:pPr>
        <w:pStyle w:val="Heading2"/>
      </w:pPr>
      <w:r>
        <w:rPr>
          <w:b/>
          <w:bCs/>
        </w:rPr>
        <w:t xml:space="preserve">4.3 Le leve abilitanti organizzative e di processo</w:t>
      </w:r>
    </w:p>
    <w:p>
      <w:pPr>
        <w:pStyle w:val="FirstParagraph"/>
      </w:pPr>
      <w:r>
        <w:rPr>
          <w:i/>
          <w:iCs/>
        </w:rPr>
        <w:t xml:space="preserve">Questa voce ordina le leve che, agendo sull’organizzazione e sui processi del servizio, ne accrescono l’efficacia e la sostenibilità senza ricorrere alla tecnologia digitale. La loro trattazione separata dalla leva digitale risponde a una scelta di metodo: le leve organizzative e di processo costituiscono il fondamento su cui la leva digitale si innesta, e la loro priorità logica e operativa è la condizione perché l’innesto digitale produca valore anziché complessità. La voce descrive ciascuna leva nella sua funzione e nel suo effetto, e ne ricompone l’insieme in una tabella ordinata.</w:t>
      </w:r>
    </w:p>
    <w:bookmarkStart w:id="198" w:name="Xcee17ade2cd25d4bb1896ac8f9b7e9fe4f9f218"/>
    <w:p>
      <w:pPr>
        <w:pStyle w:val="Heading3"/>
      </w:pPr>
      <w:r>
        <w:rPr>
          <w:b/>
          <w:bCs/>
        </w:rPr>
        <w:t xml:space="preserve">La natura e la priorità delle leve organizzative e di processo</w:t>
      </w:r>
    </w:p>
    <w:p>
      <w:pPr>
        <w:pStyle w:val="FirstParagraph"/>
      </w:pPr>
      <w:r>
        <w:t xml:space="preserve">Per leva abilitante si intende un fattore che, agendo sul modo in cui il servizio è organizzato e i suoi processi si svolgono, ne aumenta il rendimento a parità di risorse impiegate, o ne mantiene il rendimento riducendo le risorse necessarie. Le leve organizzative e di processo si distinguono dalla leva digitale per la loro natura: esse non consistono nell’introduzione di uno strumento tecnologico, ma nella configurazione dell’organizzazione e nella definizione dei processi. La loro priorità rispetto alla leva digitale è insieme logica e operativa. È logica, perché la tecnologia digitale non crea da sé l’efficienza, ma amplifica l’efficienza o l’inefficienza dell’organizzazione su cui si innesta: un processo mal definito non migliora perché digitalizzato, ma riproduce il proprio disordine a maggiore velocità. È operativa, perché l’introduzione della leva digitale su un’organizzazione non ancora ordinata produce complessità e rigetto, mentre l’introduzione su un’organizzazione già strutturata ne valorizza il potenziale. Per questa ragione le leve organizzative e di processo precedono, nell’esposizione e nella priorità attuativa, la leva digitale, e ne costituiscono il presupposto.</w:t>
      </w:r>
    </w:p>
    <w:bookmarkEnd w:id="198"/>
    <w:bookmarkStart w:id="199" w:name="le-leve-di-accesso-e-di-stratificazione"/>
    <w:p>
      <w:pPr>
        <w:pStyle w:val="Heading3"/>
      </w:pPr>
      <w:r>
        <w:rPr>
          <w:b/>
          <w:bCs/>
        </w:rPr>
        <w:t xml:space="preserve">Le leve di accesso e di stratificazione</w:t>
      </w:r>
    </w:p>
    <w:p>
      <w:pPr>
        <w:pStyle w:val="FirstParagraph"/>
      </w:pPr>
      <w:r>
        <w:t xml:space="preserve">Un primo gruppo di leve agisce sull’accesso al servizio e sulla stratificazione della domanda. La leva dell’accesso unificato consiste nella predisposizione di un punto unico di ingresso e di presa in carico, che raccolga la domanda, la valuti e la indirizzi al percorso appropriato, evitando la dispersione degli accessi e la moltiplicazione dei punti di contatto. La leva della stratificazione del rischio consiste nell’applicazione, all’ingresso, di criteri strutturati che classifichino la persona per livello di intensità del bisogno e per livello di rischio, e ne determinino l’indirizzo iniziale; essa è la traduzione operativa del principio della cura per intensità crescente, e la sua qualità determina l’appropriatezza dell’allocazione. La leva della gestione della domanda consiste nel governo dei flussi e delle liste di attesa, attraverso la programmazione degli appuntamenti, la priorizzazione secondo la gravità e il monitoraggio dei tempi; essa contrasta il fenomeno per cui l’attesa stessa aggrava il quadro e ne aumenta il costo, e mantiene il servizio entro tempi compatibili con la sua funzione di intercettazione precoce. Queste tre leve agiscono sul fronte di ingresso del sistema e ne determinano l’ordine e l’equità: un accesso unificato, una stratificazione accurata e una gestione attiva della domanda sono le condizioni perché la capacità del servizio si distribuisca secondo il bisogno e non secondo la casualità o la pressione.</w:t>
      </w:r>
    </w:p>
    <w:bookmarkEnd w:id="199"/>
    <w:bookmarkStart w:id="200" w:name="X4990c5ed20df058ace6a50c010d05b1810dc6f2"/>
    <w:p>
      <w:pPr>
        <w:pStyle w:val="Heading3"/>
      </w:pPr>
      <w:r>
        <w:rPr>
          <w:b/>
          <w:bCs/>
        </w:rPr>
        <w:t xml:space="preserve">Le leve di erogazione e di standardizzazione</w:t>
      </w:r>
    </w:p>
    <w:p>
      <w:pPr>
        <w:pStyle w:val="FirstParagraph"/>
      </w:pPr>
      <w:r>
        <w:t xml:space="preserve">Un secondo gruppo di leve agisce sull’erogazione degli interventi e sulla loro standardizzazione. La leva della manualizzazione consiste nell’adozione di interventi brevi, strutturati e fondati sull’evidenza, descritti in protocolli che ne definiscono i contenuti, la durata e la sequenza; essa garantisce che l’intervento erogato corrisponda a quello validato dalla letteratura, ne rende possibile la valutazione e ne riduce la variabilità non giustificata. La leva degli interventi di gruppo consiste nell’erogazione, ove clinicamente appropriata, di interventi a più persone contemporaneamente, secondo modalità validate per i disturbi comuni; essa accresce in misura rilevante la capacità del servizio a parità di tempo professionale impiegato, e costituisce una delle principali fonti di efficienza del modello, a condizione che la sua applicazione sia governata da criteri clinici e non da sole esigenze di capacità. La leva della condivisione e della redistribuzione dei compiti consiste nell’attribuzione di funzioni definite a figure diverse secondo le rispettive competenze, in modo che ciascun compito sia svolto dalla figura appropriata e meno costosa che possa svolgerlo con sicurezza; essa è il principio per cui il responsabile dell’assistenza assume il monitoraggio, lo psicologo eroga l’intervento, lo specialista interviene in consulenza, e il tempo di ciascuna figura è destinato a ciò che solo essa può fare.</w:t>
      </w:r>
    </w:p>
    <w:p>
      <w:pPr>
        <w:pStyle w:val="BodyText"/>
      </w:pPr>
      <w:r>
        <w:t xml:space="preserve">La leva del monitoraggio sistematico degli esiti merita una considerazione propria, perché è insieme uno strumento clinico e l’infrastruttura informativa su cui poggiano tutte le altre leve. La somministrazione dei questionari standardizzati prima, durante e dopo l’intervento fornisce la misura oggettiva della risposta clinica, attiva il passaggio di livello in caso di mancato miglioramento e alimenta il sistema di valutazione del servizio. Il monitoraggio sistematico è la condizione perché il modello a intensità crescente funzioni, perché è la misura dell’esito a determinare il passaggio da un livello all’altro; ed è la condizione perché il servizio sia valutabile, perché è la rilevazione sistematica a fornire i dati su cui poggeranno gli indicatori del monitoraggio regionale. Esso costituisce, inoltre, il punto in cui la leva organizzativa incontra la leva digitale, perché la raccolta, la conservazione e l’elaborazione dei dati di esito su larga scala sono operazioni che la tecnologia digitale può sostenere con efficienza, una volta che il processo del monitoraggio sia stato organizzativamente definito.</w:t>
      </w:r>
    </w:p>
    <w:bookmarkEnd w:id="200"/>
    <w:bookmarkStart w:id="201" w:name="le-leve-di-governo-e-di-coordinamento"/>
    <w:p>
      <w:pPr>
        <w:pStyle w:val="Heading3"/>
      </w:pPr>
      <w:r>
        <w:rPr>
          <w:b/>
          <w:bCs/>
        </w:rPr>
        <w:t xml:space="preserve">Le leve di governo e di coordinamento</w:t>
      </w:r>
    </w:p>
    <w:p>
      <w:pPr>
        <w:pStyle w:val="FirstParagraph"/>
      </w:pPr>
      <w:r>
        <w:t xml:space="preserve">Un terzo gruppo di leve agisce sul governo del servizio e sul coordinamento tra le figure. La leva della supervisione clinica e della discussione dei casi consiste nella predisposizione di momenti strutturati di confronto tra le figure, in cui i casi complessi sono discussi collegialmente, le decisioni difficili sono condivise e la competenza si trasmette dalle figure più esperte alle meno esperte; essa accresce la qualità delle decisioni, riduce il rischio dell’errore individuale e costituisce, al tempo stesso, una modalità di formazione sul campo. La leva della programmazione per obiettivi consiste nel governo del servizio attraverso obiettivi espliciti, misurabili e verificati, anziché attraverso la sola erogazione di prestazioni; essa orienta l’attività del servizio verso gli esiti che la riforma persegue e ne rende verificabile il conseguimento. La leva del coordinamento intersettoriale consiste nel raccordo strutturato tra il servizio e gli attori esterni alla sanità — la scuola, il servizio sociale, gli enti previdenziali, il mondo del lavoro — che la cascata delle figure colloca lungo il perimetro multidisciplinare; essa è la condizione perché gli effetti della riforma si propaghino oltre il confine sanitario, e perché i benefici indiretti che le parti successive misureranno trovino i canali organizzativi attraverso cui realizzarsi.</w:t>
      </w:r>
    </w:p>
    <w:p>
      <w:pPr>
        <w:pStyle w:val="BodyText"/>
      </w:pPr>
      <w:r>
        <w:t xml:space="preserve">Le leve organizzative e di processo, considerate nel loro insieme, definiscono l’efficienza intrinseca del modello, ossia quella parte del suo rendimento che non dipende dalla tecnologia ma dalla configurazione dell’organizzazione e dalla qualità dei processi. Esse sono la fonte primaria della sostenibilità del servizio, e la loro corretta predisposizione è la condizione perché le risorse impiegate producano il massimo esito conseguibile. La leva digitale, che la voce seguente tratterà, si innesta su questa efficienza intrinseca e la amplifica, ma non la sostituisce: là dove le leve organizzative e di processo siano deboli, la leva digitale non potrà supplire alla loro debolezza, e là dove esse siano solide, la leva digitale potrà esprimere il proprio potenziale. La tabella che segue ricompone le leve organizzative e di processo, raggruppandole per funzione e indicandone l’effetto.</w:t>
      </w:r>
    </w:p>
    <w:p>
      <w:pPr>
        <w:pStyle w:val="BodyText"/>
      </w:pPr>
      <w:r>
        <w:rPr>
          <w:b/>
          <w:bCs/>
        </w:rPr>
        <w:t xml:space="preserve">Tabella 4.3 — Le leve abilitanti organizzative e di processo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Gruppo</w:t>
            </w:r>
          </w:p>
        </w:tc>
        <w:tc>
          <w:tcPr>
            <w:shd w:val="clear" w:color="auto" w:fill="16264B"/>
          </w:tcPr>
          <w:p>
            <w:pPr>
              <w:pStyle w:val="Compact"/>
              <w:spacing w:after="40" w:before="40"/>
              <w:jc w:val="left"/>
            </w:pPr>
            <w:r>
              <w:rPr>
                <w:rFonts w:ascii="Cambria" w:hAnsi="Cambria" w:cs="Cambria" w:eastAsia="Cambria"/>
                <w:b/>
                <w:bCs/>
                <w:color w:val="FFFFFF"/>
                <w:sz w:val="18"/>
              </w:rPr>
              <w:t xml:space="preserve">Leva</w:t>
            </w:r>
          </w:p>
        </w:tc>
        <w:tc>
          <w:tcPr>
            <w:shd w:val="clear" w:color="auto" w:fill="16264B"/>
          </w:tcPr>
          <w:p>
            <w:pPr>
              <w:pStyle w:val="Compact"/>
              <w:spacing w:after="40" w:before="40"/>
              <w:jc w:val="left"/>
            </w:pPr>
            <w:r>
              <w:rPr>
                <w:rFonts w:ascii="Cambria" w:hAnsi="Cambria" w:cs="Cambria" w:eastAsia="Cambria"/>
                <w:b/>
                <w:bCs/>
                <w:color w:val="FFFFFF"/>
                <w:sz w:val="18"/>
              </w:rPr>
              <w:t xml:space="preserve">Effetto sul servizio</w:t>
            </w:r>
          </w:p>
        </w:tc>
      </w:tr>
      <w:tr>
        <w:tc>
          <w:tcPr/>
          <w:p>
            <w:pPr>
              <w:pStyle w:val="Compact"/>
              <w:spacing w:after="40" w:before="40"/>
              <w:jc w:val="left"/>
            </w:pPr>
            <w:r>
              <w:rPr>
                <w:rFonts w:ascii="Cambria" w:hAnsi="Cambria" w:cs="Cambria" w:eastAsia="Cambria"/>
                <w:color w:val="1A1A1A"/>
                <w:sz w:val="18"/>
              </w:rPr>
              <w:t xml:space="preserve">Accesso e stratificazione</w:t>
            </w:r>
          </w:p>
        </w:tc>
        <w:tc>
          <w:tcPr/>
          <w:p>
            <w:pPr>
              <w:pStyle w:val="Compact"/>
              <w:spacing w:after="40" w:before="40"/>
              <w:jc w:val="left"/>
            </w:pPr>
            <w:r>
              <w:rPr>
                <w:rFonts w:ascii="Cambria" w:hAnsi="Cambria" w:cs="Cambria" w:eastAsia="Cambria"/>
                <w:color w:val="1A1A1A"/>
                <w:sz w:val="18"/>
              </w:rPr>
              <w:t xml:space="preserve">Accesso unificato; stratificazione del rischio; gestione della domanda e delle liste di attesa</w:t>
            </w:r>
          </w:p>
        </w:tc>
        <w:tc>
          <w:tcPr/>
          <w:p>
            <w:pPr>
              <w:pStyle w:val="Compact"/>
              <w:spacing w:after="40" w:before="40"/>
              <w:jc w:val="left"/>
            </w:pPr>
            <w:r>
              <w:rPr>
                <w:rFonts w:ascii="Cambria" w:hAnsi="Cambria" w:cs="Cambria" w:eastAsia="Cambria"/>
                <w:color w:val="1A1A1A"/>
                <w:sz w:val="18"/>
              </w:rPr>
              <w:t xml:space="preserve">Ordine ed equità del fronte di ingresso; allocazione secondo il bisogno; tempi compatibili con l’intercettazione precoce</w:t>
            </w:r>
          </w:p>
        </w:tc>
      </w:tr>
      <w:tr>
        <w:tc>
          <w:tcPr>
            <w:shd w:val="clear" w:color="auto" w:fill="F4F1EC"/>
          </w:tcPr>
          <w:p>
            <w:pPr>
              <w:pStyle w:val="Compact"/>
              <w:spacing w:after="40" w:before="40"/>
              <w:jc w:val="left"/>
            </w:pPr>
            <w:r>
              <w:rPr>
                <w:rFonts w:ascii="Cambria" w:hAnsi="Cambria" w:cs="Cambria" w:eastAsia="Cambria"/>
                <w:color w:val="1A1A1A"/>
                <w:sz w:val="18"/>
              </w:rPr>
              <w:t xml:space="preserve">Erogazione e standardizzazione</w:t>
            </w:r>
          </w:p>
        </w:tc>
        <w:tc>
          <w:tcPr>
            <w:shd w:val="clear" w:color="auto" w:fill="F4F1EC"/>
          </w:tcPr>
          <w:p>
            <w:pPr>
              <w:pStyle w:val="Compact"/>
              <w:spacing w:after="40" w:before="40"/>
              <w:jc w:val="left"/>
            </w:pPr>
            <w:r>
              <w:rPr>
                <w:rFonts w:ascii="Cambria" w:hAnsi="Cambria" w:cs="Cambria" w:eastAsia="Cambria"/>
                <w:color w:val="1A1A1A"/>
                <w:sz w:val="18"/>
              </w:rPr>
              <w:t xml:space="preserve">Manualizzazione degli interventi; interventi di gruppo; condivisione e redistribuzione dei compiti</w:t>
            </w:r>
          </w:p>
        </w:tc>
        <w:tc>
          <w:tcPr>
            <w:shd w:val="clear" w:color="auto" w:fill="F4F1EC"/>
          </w:tcPr>
          <w:p>
            <w:pPr>
              <w:pStyle w:val="Compact"/>
              <w:spacing w:after="40" w:before="40"/>
              <w:jc w:val="left"/>
            </w:pPr>
            <w:r>
              <w:rPr>
                <w:rFonts w:ascii="Cambria" w:hAnsi="Cambria" w:cs="Cambria" w:eastAsia="Cambria"/>
                <w:color w:val="1A1A1A"/>
                <w:sz w:val="18"/>
              </w:rPr>
              <w:t xml:space="preserve">Corrispondenza all’evidenza; aumento della capacità a parità di tempo; impiego di ciascuna figura sulla funzione appropriata</w:t>
            </w:r>
          </w:p>
        </w:tc>
      </w:tr>
      <w:tr>
        <w:tc>
          <w:tcPr/>
          <w:p>
            <w:pPr>
              <w:pStyle w:val="Compact"/>
              <w:spacing w:after="40" w:before="40"/>
              <w:jc w:val="left"/>
            </w:pPr>
            <w:r>
              <w:rPr>
                <w:rFonts w:ascii="Cambria" w:hAnsi="Cambria" w:cs="Cambria" w:eastAsia="Cambria"/>
                <w:color w:val="1A1A1A"/>
                <w:sz w:val="18"/>
              </w:rPr>
              <w:t xml:space="preserve">Infrastruttura informativa</w:t>
            </w:r>
          </w:p>
        </w:tc>
        <w:tc>
          <w:tcPr/>
          <w:p>
            <w:pPr>
              <w:pStyle w:val="Compact"/>
              <w:spacing w:after="40" w:before="40"/>
              <w:jc w:val="left"/>
            </w:pPr>
            <w:r>
              <w:rPr>
                <w:rFonts w:ascii="Cambria" w:hAnsi="Cambria" w:cs="Cambria" w:eastAsia="Cambria"/>
                <w:color w:val="1A1A1A"/>
                <w:sz w:val="18"/>
              </w:rPr>
              <w:t xml:space="preserve">Monitoraggio sistematico degli esiti (questionari pre, durante e post)</w:t>
            </w:r>
          </w:p>
        </w:tc>
        <w:tc>
          <w:tcPr/>
          <w:p>
            <w:pPr>
              <w:pStyle w:val="Compact"/>
              <w:spacing w:after="40" w:before="40"/>
              <w:jc w:val="left"/>
            </w:pPr>
            <w:r>
              <w:rPr>
                <w:rFonts w:ascii="Cambria" w:hAnsi="Cambria" w:cs="Cambria" w:eastAsia="Cambria"/>
                <w:color w:val="1A1A1A"/>
                <w:sz w:val="18"/>
              </w:rPr>
              <w:t xml:space="preserve">Misura oggettiva della risposta; attivazione del passaggio di livello; alimentazione del sistema di valutazione</w:t>
            </w:r>
          </w:p>
        </w:tc>
      </w:tr>
      <w:tr>
        <w:tc>
          <w:tcPr>
            <w:shd w:val="clear" w:color="auto" w:fill="F4F1EC"/>
          </w:tcPr>
          <w:p>
            <w:pPr>
              <w:pStyle w:val="Compact"/>
              <w:spacing w:after="40" w:before="40"/>
              <w:jc w:val="left"/>
            </w:pPr>
            <w:r>
              <w:rPr>
                <w:rFonts w:ascii="Cambria" w:hAnsi="Cambria" w:cs="Cambria" w:eastAsia="Cambria"/>
                <w:color w:val="1A1A1A"/>
                <w:sz w:val="18"/>
              </w:rPr>
              <w:t xml:space="preserve">Governo e coordinamento</w:t>
            </w:r>
          </w:p>
        </w:tc>
        <w:tc>
          <w:tcPr>
            <w:shd w:val="clear" w:color="auto" w:fill="F4F1EC"/>
          </w:tcPr>
          <w:p>
            <w:pPr>
              <w:pStyle w:val="Compact"/>
              <w:spacing w:after="40" w:before="40"/>
              <w:jc w:val="left"/>
            </w:pPr>
            <w:r>
              <w:rPr>
                <w:rFonts w:ascii="Cambria" w:hAnsi="Cambria" w:cs="Cambria" w:eastAsia="Cambria"/>
                <w:color w:val="1A1A1A"/>
                <w:sz w:val="18"/>
              </w:rPr>
              <w:t xml:space="preserve">Supervisione clinica e discussione dei casi; programmazione per obiettivi; coordinamento intersettoriale</w:t>
            </w:r>
          </w:p>
        </w:tc>
        <w:tc>
          <w:tcPr>
            <w:shd w:val="clear" w:color="auto" w:fill="F4F1EC"/>
          </w:tcPr>
          <w:p>
            <w:pPr>
              <w:pStyle w:val="Compact"/>
              <w:spacing w:after="40" w:before="40"/>
              <w:jc w:val="left"/>
            </w:pPr>
            <w:r>
              <w:rPr>
                <w:rFonts w:ascii="Cambria" w:hAnsi="Cambria" w:cs="Cambria" w:eastAsia="Cambria"/>
                <w:color w:val="1A1A1A"/>
                <w:sz w:val="18"/>
              </w:rPr>
              <w:t xml:space="preserve">Qualità delle decisioni e formazione sul campo; orientamento agli esiti; propagazione degli effetti oltre il confine sanitario</w:t>
            </w:r>
          </w:p>
        </w:tc>
      </w:tr>
    </w:tbl>
    <w:p>
      <w:pPr>
        <w:pStyle w:val="BodyText"/>
      </w:pPr>
      <w:r>
        <w:rPr>
          <w:i/>
          <w:iCs/>
        </w:rPr>
        <w:t xml:space="preserve">Elaborazione dello studio. Le leve organizzative e di processo costituiscono il presupposto su cui si innesta la leva digitale, trattata nella voce seguente.</w:t>
      </w:r>
    </w:p>
    <w:p>
      <w:pPr>
        <w:pStyle w:val="BodyText"/>
      </w:pPr>
      <w:r>
        <w:t xml:space="preserve">Ordinate le leve organizzative e di processo, l’esposizione può affrontare la leva digitale e l’Intelligenza Artificiale, collocandole lungo l’intero ciclo assistenziale e graduandone l’evidenza secondo la disciplina dell’opera. È l’oggetto della voce seguente, la più estesa di questa parte.</w:t>
      </w:r>
    </w:p>
    <w:bookmarkEnd w:id="201"/>
    <w:bookmarkEnd w:id="202"/>
    <w:bookmarkStart w:id="213" w:name="Xa188f599f6b49fe0e3d5691c69ce65a80903e01"/>
    <w:p>
      <w:pPr>
        <w:pStyle w:val="Heading2"/>
      </w:pPr>
      <w:r>
        <w:rPr>
          <w:b/>
          <w:bCs/>
        </w:rPr>
        <w:t xml:space="preserve">4.4 La leva digitale e l’Intelligenza Artificiale lungo il ciclo assistenziale</w:t>
      </w:r>
    </w:p>
    <w:p>
      <w:pPr>
        <w:pStyle w:val="FirstParagraph"/>
      </w:pPr>
      <w:r>
        <w:rPr>
          <w:i/>
          <w:iCs/>
        </w:rPr>
        <w:t xml:space="preserve">Questa voce, la più estesa della parte, tratta la leva digitale e l’Intelligenza Artificiale collocandole lungo l’intero ciclo assistenziale — la diagnostica e il triage, la prevenzione e la stratificazione del rischio, il trattamento con le terapie digitali e con la terapia cognitivo-comportamentale erogata via internet, la riabilitazione e il monitoraggio remoto. In coerenza con l’impianto dell’opera, essa colloca l’Intelligenza Artificiale come strumento abilitante subordinato, e gradua la sua evidenza con il medesimo rigore applicato alle affermazioni cliniche, distinguendo con franchezza gli impieghi sostenuti da evidenza robusta da quelli ancora emergenti.</w:t>
      </w:r>
    </w:p>
    <w:bookmarkStart w:id="204" w:name="X698dff85f4ba21ebe402307d0d46a0963fb2bb8"/>
    <w:p>
      <w:pPr>
        <w:pStyle w:val="Heading3"/>
      </w:pPr>
      <w:r>
        <w:rPr>
          <w:b/>
          <w:bCs/>
        </w:rPr>
        <w:t xml:space="preserve">Il principio della subordinazione e la graduazione simmetrica dell’evidenza</w:t>
      </w:r>
    </w:p>
    <w:p>
      <w:pPr>
        <w:pStyle w:val="FirstParagraph"/>
      </w:pPr>
      <w:r>
        <w:t xml:space="preserve">La leva digitale e l’Intelligenza Artificiale occupano, in questa architettura, una posizione precisa e subordinata. Esse non sono l’oggetto centrale dell’analisi, ma una delle leve che rendono la figura dello Psicologo di Base più funzionale ed efficace, accanto alle leve organizzative, di processo e formative. La tecnologia non sostituisce il giudizio clinico, ma lo assiste; non eroga la cura, ma sostiene chi la eroga; non decide, ma fornisce elementi alla decisione, che resta in capo alla persona competente. Questo principio di subordinazione non è una cautela formale, ma la condizione di legittimità dell’impiego della tecnologia in un servizio sanitario: lo strumento digitale è ammesso nella misura in cui amplifica la capacità della figura umana e resta sotto la sua supervisione, ed è escluso nella misura in cui pretenda di sostituirla nelle decisioni che richiedono la responsabilità clinica.</w:t>
      </w:r>
    </w:p>
    <w:p>
      <w:pPr>
        <w:pStyle w:val="BodyText"/>
      </w:pPr>
      <w:r>
        <w:t xml:space="preserve">Alla subordinazione si accompagna la graduazione simmetrica dell’evidenza. L’opera applica all’evidenza relativa agli strumenti digitali e all’Intelligenza Artificiale il medesimo rigore che applica alle affermazioni cliniche, secondo il sistema di graduazione della qualità delle prove che distingue l’evidenza alta, moderata, bassa e molto bassa in funzione del disegno degli studi, della loro coerenza e della loro applicabilità.</w:t>
      </w:r>
      <w:r>
        <w:rPr>
          <w:rStyle w:val="FootnoteReference"/>
        </w:rPr>
        <w:footnoteReference w:id="112"/>
      </w:r>
      <w:r>
        <w:t xml:space="preserve"> </w:t>
      </w:r>
      <w:r>
        <w:t xml:space="preserve">Questa simmetria ha una conseguenza precisa: gli impieghi della tecnologia digitale sostenuti da evidenza robusta sono trattati come componenti affidabili del modello, mentre gli impieghi ancora emergenti, sostenuti da evidenza limitata, sono trattati come promesse da verificare, e non come acquisizioni. La distinzione percorre l’intera voce e ne governa la cautela: come si vedrà, alcune applicazioni — segnatamente la terapia cognitivo-comportamentale erogata via internet — dispongono di una base di evidenza solida, mentre altre — segnatamente i modelli predittivi e gli strumenti di triage automatizzato — sono ancora in fase di consolidamento, e la loro adozione richiede prudenza, validazione locale e supervisione costante.</w:t>
      </w:r>
    </w:p>
    <w:bookmarkEnd w:id="204"/>
    <w:bookmarkStart w:id="206" w:name="la-diagnostica-e-il-triage"/>
    <w:p>
      <w:pPr>
        <w:pStyle w:val="Heading3"/>
      </w:pPr>
      <w:r>
        <w:rPr>
          <w:b/>
          <w:bCs/>
        </w:rPr>
        <w:t xml:space="preserve">La diagnostica e il triage</w:t>
      </w:r>
    </w:p>
    <w:p>
      <w:pPr>
        <w:pStyle w:val="FirstParagraph"/>
      </w:pPr>
      <w:r>
        <w:t xml:space="preserve">Il primo momento del ciclo assistenziale in cui la leva digitale può intervenire è la diagnostica e il triage, ossia la fase di valutazione iniziale in cui la persona è classificata per intensità del bisogno e per livello di rischio e indirizzata al percorso appropriato. In questa fase la tecnologia digitale può sostenere la figura clinica attraverso la somministrazione e l’elaborazione automatizzata dei questionari standardizzati, la raccolta strutturata delle informazioni anamnestiche e la segnalazione, alla figura competente, degli elementi che richiedano attenzione. Gli strumenti di triage assistito da Intelligenza Artificiale — sistemi che, sulla base delle risposte e dei dati raccolti, propongono una classificazione del rischio o un indirizzo — costituiscono un’applicazione in rapido sviluppo, la cui evidenza di efficacia e di sicurezza è, allo stato, ancora emergente e di qualità da bassa a molto bassa.</w:t>
      </w:r>
      <w:r>
        <w:rPr>
          <w:rStyle w:val="FootnoteReference"/>
        </w:rPr>
        <w:footnoteReference w:id="113"/>
      </w:r>
      <w:r>
        <w:t xml:space="preserve"> </w:t>
      </w:r>
      <w:r>
        <w:t xml:space="preserve">La cautela è qui particolarmente necessaria, perché un errore di classificazione nella fase di triage — la sottostima di un rischio o la sovrastima di una gravità — propaga le proprie conseguenze lungo l’intero percorso, e perché i sistemi addestrati su popolazioni non rappresentative possono riprodurre e amplificare le disparità presenti nei dati di addestramento.</w:t>
      </w:r>
    </w:p>
    <w:p>
      <w:pPr>
        <w:pStyle w:val="BodyText"/>
      </w:pPr>
      <w:r>
        <w:t xml:space="preserve">Per queste ragioni, l’impiego della tecnologia digitale nella diagnostica e nel triage è ammesso, nel modello, soltanto in funzione di supporto alla decisione clinica, e mai come sostituto di essa. Lo strumento può somministrare il questionario, elaborarne il punteggio, segnalare un valore di allarme e proporre un indirizzo; ma la classificazione del rischio e la decisione sull’indirizzo restano in capo alla figura competente, che dispone dello strumento come di un ausilio e non come di un verdetto. Questa configurazione preserva il valore della tecnologia — la rapidità, la sistematicità, la capacità di elaborare grandi quantità di dati — entro i limiti della sua affidabilità attuale, e mantiene la responsabilità clinica là dove l’evidenza e l’etica la collocano. L’adozione di strumenti di triage assistito, ove se ne ravvisi l’utilità, deve inoltre essere accompagnata dalla validazione sui dati locali e dal monitoraggio continuo degli esiti, perché la prestazione di tali strumenti dipende in misura critica dalla corrispondenza tra la popolazione su cui sono stati addestrati e la popolazione su cui sono impiegati.</w:t>
      </w:r>
    </w:p>
    <w:bookmarkEnd w:id="206"/>
    <w:bookmarkStart w:id="208" w:name="X07cde5c0da8273e4a1b3174cf5f7b770948e5eb"/>
    <w:p>
      <w:pPr>
        <w:pStyle w:val="Heading3"/>
      </w:pPr>
      <w:r>
        <w:rPr>
          <w:b/>
          <w:bCs/>
        </w:rPr>
        <w:t xml:space="preserve">La prevenzione e la stratificazione del rischio</w:t>
      </w:r>
    </w:p>
    <w:p>
      <w:pPr>
        <w:pStyle w:val="FirstParagraph"/>
      </w:pPr>
      <w:r>
        <w:t xml:space="preserve">Il secondo momento del ciclo in cui la leva digitale può intervenire è la prevenzione e la stratificazione del rischio sulla popolazione, ossia l’identificazione precoce delle persone a maggiore probabilità di sviluppare un disturbo o di andare incontro a un peggioramento, allo scopo di indirizzare verso di esse l’attenzione preventiva. In questa fase la tecnologia digitale può sostenere la figura clinica e il servizio attraverso i modelli predittivi, che, elaborando i dati disponibili, stimano la probabilità di un evento e ne segnalano l’elevazione. Anche in questo caso, tuttavia, l’evidenza di efficacia e di sicurezza dei modelli predittivi applicati alla salute mentale è ancora emergente e di qualità da bassa a molto bassa, e la loro adozione richiede una prudenza accentuata.</w:t>
      </w:r>
      <w:r>
        <w:rPr>
          <w:rStyle w:val="FootnoteReference"/>
        </w:rPr>
        <w:footnoteReference w:id="114"/>
      </w:r>
    </w:p>
    <w:p>
      <w:pPr>
        <w:pStyle w:val="BodyText"/>
      </w:pPr>
      <w:r>
        <w:t xml:space="preserve">La stratificazione del rischio mediante modelli predittivi solleva, oltre alla questione dell’evidenza, una questione di equità che la disciplina dell’opera impone di considerare. Un modello predittivo addestrato su dati che riflettono le disuguaglianze esistenti nell’accesso e nella presa in carico può apprendere e riprodurre quelle disuguaglianze, attribuendo sistematicamente un rischio diverso a gruppi diversi non in funzione del loro bisogno reale, ma in funzione delle distorsioni presenti nei dati. L’impiego di tali modelli richiede perciò, oltre alla validazione di efficacia, una verifica esplicita di equità, volta ad accertare che la loro prestazione non differisca sistematicamente tra i gruppi e che essi non producano un’allocazione discriminatoria dell’attenzione preventiva. Per queste ragioni, il modello colloca i modelli predittivi del rischio tra gli strumenti la cui adozione, allo stato, deve essere sperimentale, accompagnata dalla validazione locale, dalla verifica di equità e dalla supervisione clinica, e mai automatica. La prevenzione resta, nella sua sostanza, una funzione della figura clinica e dell’organizzazione del servizio, che la tecnologia può assistere ma non governare.</w:t>
      </w:r>
    </w:p>
    <w:bookmarkEnd w:id="208"/>
    <w:bookmarkStart w:id="210" w:name="X0ea88301e2840e925e27a045d247efddeaba7e4"/>
    <w:p>
      <w:pPr>
        <w:pStyle w:val="Heading3"/>
      </w:pPr>
      <w:r>
        <w:rPr>
          <w:b/>
          <w:bCs/>
        </w:rPr>
        <w:t xml:space="preserve">Il trattamento: le terapie digitali e la terapia cognitivo-comportamentale erogata via internet</w:t>
      </w:r>
    </w:p>
    <w:p>
      <w:pPr>
        <w:pStyle w:val="FirstParagraph"/>
      </w:pPr>
      <w:r>
        <w:t xml:space="preserve">Il terzo momento del ciclo in cui la leva digitale interviene è il trattamento, ed è qui che essa dispone della base di evidenza più solida. La terapia cognitivo-comportamentale erogata via internet, in particolare nelle forme con supporto di un terapeuta, è sostenuta da una letteratura ampia e di qualità da moderata ad alta, che ne documenta l’efficacia nel trattamento dei disturbi depressivi e ansiosi di severità lieve e moderata, con effetti comparabili a quelli della terapia erogata in presenza per le condizioni appropriate.</w:t>
      </w:r>
      <w:r>
        <w:rPr>
          <w:rStyle w:val="FootnoteReference"/>
        </w:rPr>
        <w:footnoteReference w:id="115"/>
      </w:r>
      <w:r>
        <w:t xml:space="preserve"> </w:t>
      </w:r>
      <w:r>
        <w:t xml:space="preserve">La distinzione tra le forme guidate, in cui un terapeuta sostiene e accompagna il percorso, e le forme non guidate, in cui la persona procede autonomamente, è clinicamente rilevante: le prime mostrano un’efficacia superiore e una maggiore aderenza, e sono quelle che il modello privilegia, coerentemente con il principio della subordinazione, che vuole la tecnologia al servizio della relazione clinica e non in sua sostituzione.</w:t>
      </w:r>
    </w:p>
    <w:p>
      <w:pPr>
        <w:pStyle w:val="BodyText"/>
      </w:pPr>
      <w:r>
        <w:t xml:space="preserve">Nel modello del Servizio di Psicologia di Base, la terapia cognitivo-comportamentale erogata via internet e le terapie digitali validate trovano collocazione propria all’interno del primo livello, come modalità di erogazione degli interventi brevi per i disturbi comuni, integrate nel percorso e sotto la supervisione dello Psicologo di Base. Esse non costituiscono un canale separato e parallelo, ma una delle forme in cui l’intervento del primo livello può essere erogato, scelta in funzione dell’appropriatezza clinica, della preferenza della persona e delle condizioni di accesso. La loro integrazione nel percorso produce due effetti che le parti successive valuteranno. Sul versante dell’accesso, esse ampliano la capacità del servizio e ne estendono la portata alle aree e alle persone per le quali l’accesso in presenza è difficile, contribuendo all’equità territoriale che la dodicesima parte considererà. Sul versante della capacità, esse consentono di trattare una quota della domanda con un impiego ridotto di tempo professionale in presenza, liberando capacità per i casi che la richiedono; questo effetto, tuttavia, è subordinato alla condizione che la supervisione del terapeuta sia mantenuta, perché è essa a garantire l’efficacia e la sicurezza dell’intervento, e la sua rimozione, lungi dal produrre un risparmio, ne comprometterebbe l’esito.</w:t>
      </w:r>
    </w:p>
    <w:bookmarkEnd w:id="210"/>
    <w:bookmarkStart w:id="212" w:name="Xca6d95abd93c70780440232c48523767ecb2ee1"/>
    <w:p>
      <w:pPr>
        <w:pStyle w:val="Heading3"/>
      </w:pPr>
      <w:r>
        <w:rPr>
          <w:b/>
          <w:bCs/>
        </w:rPr>
        <w:t xml:space="preserve">La riabilitazione e il monitoraggio remoto</w:t>
      </w:r>
    </w:p>
    <w:p>
      <w:pPr>
        <w:pStyle w:val="FirstParagraph"/>
      </w:pPr>
      <w:r>
        <w:t xml:space="preserve">Il quarto momento del ciclo in cui la leva digitale interviene è la riabilitazione e il monitoraggio remoto, ossia il sostegno alla prosecuzione della cura e alla sorveglianza del quadro nelle fasi successive all’intervento attivo. In questa fase la tecnologia digitale può sostenere la figura clinica e il servizio attraverso gli strumenti di monitoraggio a distanza, che raccolgono in modo continuo o periodico i dati sullo stato della persona e ne segnalano le variazioni, e attraverso gli strumenti di sostegno alla riabilitazione, che accompagnano la persona nel mantenimento dei risultati raggiunti. L’evidenza relativa a questi strumenti è eterogenea: il monitoraggio remoto mediante questionari periodici e applicazioni di sostegno dispone di un fondamento ragionevole, mentre le forme più avanzate di rilevazione continua, comprese quelle basate sull’elaborazione automatizzata dei dati comportamentali, sono ancora in fase di consolidamento, con evidenza di qualità da bassa a molto bassa.</w:t>
      </w:r>
      <w:r>
        <w:rPr>
          <w:rStyle w:val="FootnoteReference"/>
        </w:rPr>
        <w:footnoteReference w:id="116"/>
      </w:r>
    </w:p>
    <w:p>
      <w:pPr>
        <w:pStyle w:val="BodyText"/>
      </w:pPr>
      <w:r>
        <w:t xml:space="preserve">Il monitoraggio remoto, nelle forme di evidenza adeguata, si integra nel modello come sostegno alla continuità della presa in carico e come strumento di contrasto alla presa in carico intermittente. Esso consente di mantenere la persona sotto osservazione nelle fasi di intervallo tra gli interventi attivi, di rilevare precocemente le variazioni del quadro e di attivare tempestivamente la ripresa dell’intervento o il passaggio di livello, prima che il peggioramento si consolidi. Questo effetto contribuisce alla continuità che la voce precedente ha indicato come determinante degli esiti e come leva di efficienza, e si traduce, nelle stime delle parti successive, in una riduzione delle ricadute e delle cronicizzazioni. Anche qui, tuttavia, vale la condizione della supervisione: il monitoraggio remoto fornisce dati alla figura clinica, che li interpreta e decide; esso non sostituisce la valutazione clinica, ma la alimenta, e la sua utilità dipende dalla capacità del servizio di tradurre il dato in azione. La tabella che segue ricompone gli impieghi della leva digitale lungo il ciclo assistenziale, indicandone per ciascuno la funzione, la qualità dell’evidenza secondo il sistema di graduazione e la condizione d’uso.</w:t>
      </w:r>
    </w:p>
    <w:p>
      <w:pPr>
        <w:pStyle w:val="BodyText"/>
      </w:pPr>
      <w:r>
        <w:rPr>
          <w:b/>
          <w:bCs/>
        </w:rPr>
        <w:t xml:space="preserve">Tabella 4.4 — La leva digitale e l’Intelligenza Artificiale lungo il ciclo assistenziale, con graduazione dell’evidenza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Momento del ciclo</w:t>
            </w:r>
          </w:p>
        </w:tc>
        <w:tc>
          <w:tcPr>
            <w:shd w:val="clear" w:color="auto" w:fill="16264B"/>
          </w:tcPr>
          <w:p>
            <w:pPr>
              <w:pStyle w:val="Compact"/>
              <w:spacing w:after="40" w:before="40"/>
              <w:jc w:val="left"/>
            </w:pPr>
            <w:r>
              <w:rPr>
                <w:rFonts w:ascii="Cambria" w:hAnsi="Cambria" w:cs="Cambria" w:eastAsia="Cambria"/>
                <w:b/>
                <w:bCs/>
                <w:color w:val="FFFFFF"/>
                <w:sz w:val="18"/>
              </w:rPr>
              <w:t xml:space="preserve">Impiego della leva digitale</w:t>
            </w:r>
          </w:p>
        </w:tc>
        <w:tc>
          <w:tcPr>
            <w:shd w:val="clear" w:color="auto" w:fill="16264B"/>
          </w:tcPr>
          <w:p>
            <w:pPr>
              <w:pStyle w:val="Compact"/>
              <w:spacing w:after="40" w:before="40"/>
              <w:jc w:val="left"/>
            </w:pPr>
            <w:r>
              <w:rPr>
                <w:rFonts w:ascii="Cambria" w:hAnsi="Cambria" w:cs="Cambria" w:eastAsia="Cambria"/>
                <w:b/>
                <w:bCs/>
                <w:color w:val="FFFFFF"/>
                <w:sz w:val="18"/>
              </w:rPr>
              <w:t xml:space="preserve">Qualità dell’evidenza (GRADE)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d’uso</w:t>
            </w:r>
          </w:p>
        </w:tc>
      </w:tr>
      <w:tr>
        <w:tc>
          <w:tcPr/>
          <w:p>
            <w:pPr>
              <w:pStyle w:val="Compact"/>
              <w:spacing w:after="40" w:before="40"/>
              <w:jc w:val="left"/>
            </w:pPr>
            <w:r>
              <w:rPr>
                <w:rFonts w:ascii="Cambria" w:hAnsi="Cambria" w:cs="Cambria" w:eastAsia="Cambria"/>
                <w:color w:val="1A1A1A"/>
                <w:sz w:val="18"/>
              </w:rPr>
              <w:t xml:space="preserve">Diagnostica e triage</w:t>
            </w:r>
          </w:p>
        </w:tc>
        <w:tc>
          <w:tcPr/>
          <w:p>
            <w:pPr>
              <w:pStyle w:val="Compact"/>
              <w:spacing w:after="40" w:before="40"/>
              <w:jc w:val="left"/>
            </w:pPr>
            <w:r>
              <w:rPr>
                <w:rFonts w:ascii="Cambria" w:hAnsi="Cambria" w:cs="Cambria" w:eastAsia="Cambria"/>
                <w:color w:val="1A1A1A"/>
                <w:sz w:val="18"/>
              </w:rPr>
              <w:t xml:space="preserve">Somministrazione ed elaborazione automatizzata dei questionari; triage assistito; segnalazione degli elementi di rischio</w:t>
            </w:r>
          </w:p>
        </w:tc>
        <w:tc>
          <w:tcPr/>
          <w:p>
            <w:pPr>
              <w:pStyle w:val="Compact"/>
              <w:spacing w:after="40" w:before="40"/>
              <w:jc w:val="left"/>
            </w:pPr>
            <w:r>
              <w:rPr>
                <w:rFonts w:ascii="Cambria" w:hAnsi="Cambria" w:cs="Cambria" w:eastAsia="Cambria"/>
                <w:color w:val="1A1A1A"/>
                <w:sz w:val="18"/>
              </w:rPr>
              <w:t xml:space="preserve">Da bassa a molto bassa</w:t>
            </w:r>
          </w:p>
        </w:tc>
        <w:tc>
          <w:tcPr/>
          <w:p>
            <w:pPr>
              <w:pStyle w:val="Compact"/>
              <w:spacing w:after="40" w:before="40"/>
              <w:jc w:val="left"/>
            </w:pPr>
            <w:r>
              <w:rPr>
                <w:rFonts w:ascii="Cambria" w:hAnsi="Cambria" w:cs="Cambria" w:eastAsia="Cambria"/>
                <w:color w:val="1A1A1A"/>
                <w:sz w:val="18"/>
              </w:rPr>
              <w:t xml:space="preserve">Solo a supporto della decisione clinica; validazione locale; supervisione costante</w:t>
            </w:r>
          </w:p>
        </w:tc>
      </w:tr>
      <w:tr>
        <w:tc>
          <w:tcPr>
            <w:shd w:val="clear" w:color="auto" w:fill="F4F1EC"/>
          </w:tcPr>
          <w:p>
            <w:pPr>
              <w:pStyle w:val="Compact"/>
              <w:spacing w:after="40" w:before="40"/>
              <w:jc w:val="left"/>
            </w:pPr>
            <w:r>
              <w:rPr>
                <w:rFonts w:ascii="Cambria" w:hAnsi="Cambria" w:cs="Cambria" w:eastAsia="Cambria"/>
                <w:color w:val="1A1A1A"/>
                <w:sz w:val="18"/>
              </w:rPr>
              <w:t xml:space="preserve">Prevenzione e stratificazione</w:t>
            </w:r>
          </w:p>
        </w:tc>
        <w:tc>
          <w:tcPr>
            <w:shd w:val="clear" w:color="auto" w:fill="F4F1EC"/>
          </w:tcPr>
          <w:p>
            <w:pPr>
              <w:pStyle w:val="Compact"/>
              <w:spacing w:after="40" w:before="40"/>
              <w:jc w:val="left"/>
            </w:pPr>
            <w:r>
              <w:rPr>
                <w:rFonts w:ascii="Cambria" w:hAnsi="Cambria" w:cs="Cambria" w:eastAsia="Cambria"/>
                <w:color w:val="1A1A1A"/>
                <w:sz w:val="18"/>
              </w:rPr>
              <w:t xml:space="preserve">Modelli predittivi del rischio; identificazione precoce delle persone a maggiore probabilità di disturbo o peggioramento</w:t>
            </w:r>
          </w:p>
        </w:tc>
        <w:tc>
          <w:tcPr>
            <w:shd w:val="clear" w:color="auto" w:fill="F4F1EC"/>
          </w:tcPr>
          <w:p>
            <w:pPr>
              <w:pStyle w:val="Compact"/>
              <w:spacing w:after="40" w:before="40"/>
              <w:jc w:val="left"/>
            </w:pPr>
            <w:r>
              <w:rPr>
                <w:rFonts w:ascii="Cambria" w:hAnsi="Cambria" w:cs="Cambria" w:eastAsia="Cambria"/>
                <w:color w:val="1A1A1A"/>
                <w:sz w:val="18"/>
              </w:rPr>
              <w:t xml:space="preserve">Da bassa a molto bassa</w:t>
            </w:r>
          </w:p>
        </w:tc>
        <w:tc>
          <w:tcPr>
            <w:shd w:val="clear" w:color="auto" w:fill="F4F1EC"/>
          </w:tcPr>
          <w:p>
            <w:pPr>
              <w:pStyle w:val="Compact"/>
              <w:spacing w:after="40" w:before="40"/>
              <w:jc w:val="left"/>
            </w:pPr>
            <w:r>
              <w:rPr>
                <w:rFonts w:ascii="Cambria" w:hAnsi="Cambria" w:cs="Cambria" w:eastAsia="Cambria"/>
                <w:color w:val="1A1A1A"/>
                <w:sz w:val="18"/>
              </w:rPr>
              <w:t xml:space="preserve">Adozione sperimentale; validazione locale; verifica di equità; supervisione clinica</w:t>
            </w:r>
          </w:p>
        </w:tc>
      </w:tr>
      <w:tr>
        <w:tc>
          <w:tcPr/>
          <w:p>
            <w:pPr>
              <w:pStyle w:val="Compact"/>
              <w:spacing w:after="40" w:before="40"/>
              <w:jc w:val="left"/>
            </w:pPr>
            <w:r>
              <w:rPr>
                <w:rFonts w:ascii="Cambria" w:hAnsi="Cambria" w:cs="Cambria" w:eastAsia="Cambria"/>
                <w:color w:val="1A1A1A"/>
                <w:sz w:val="18"/>
              </w:rPr>
              <w:t xml:space="preserve">Trattamento</w:t>
            </w:r>
          </w:p>
        </w:tc>
        <w:tc>
          <w:tcPr/>
          <w:p>
            <w:pPr>
              <w:pStyle w:val="Compact"/>
              <w:spacing w:after="40" w:before="40"/>
              <w:jc w:val="left"/>
            </w:pPr>
            <w:r>
              <w:rPr>
                <w:rFonts w:ascii="Cambria" w:hAnsi="Cambria" w:cs="Cambria" w:eastAsia="Cambria"/>
                <w:color w:val="1A1A1A"/>
                <w:sz w:val="18"/>
              </w:rPr>
              <w:t xml:space="preserve">Terapia cognitivo-comportamentale erogata via internet (forme guidate); terapie digitali validate, integrate nel primo livello</w:t>
            </w:r>
          </w:p>
        </w:tc>
        <w:tc>
          <w:tcPr/>
          <w:p>
            <w:pPr>
              <w:pStyle w:val="Compact"/>
              <w:spacing w:after="40" w:before="40"/>
              <w:jc w:val="left"/>
            </w:pPr>
            <w:r>
              <w:rPr>
                <w:rFonts w:ascii="Cambria" w:hAnsi="Cambria" w:cs="Cambria" w:eastAsia="Cambria"/>
                <w:color w:val="1A1A1A"/>
                <w:sz w:val="18"/>
              </w:rPr>
              <w:t xml:space="preserve">Da moderata ad alta (forme guidate)</w:t>
            </w:r>
          </w:p>
        </w:tc>
        <w:tc>
          <w:tcPr/>
          <w:p>
            <w:pPr>
              <w:pStyle w:val="Compact"/>
              <w:spacing w:after="40" w:before="40"/>
              <w:jc w:val="left"/>
            </w:pPr>
            <w:r>
              <w:rPr>
                <w:rFonts w:ascii="Cambria" w:hAnsi="Cambria" w:cs="Cambria" w:eastAsia="Cambria"/>
                <w:color w:val="1A1A1A"/>
                <w:sz w:val="18"/>
              </w:rPr>
              <w:t xml:space="preserve">Integrazione nel percorso; supervisione del terapeuta mantenuta; scelta per appropriatezza e preferenza</w:t>
            </w:r>
          </w:p>
        </w:tc>
      </w:tr>
      <w:tr>
        <w:tc>
          <w:tcPr>
            <w:shd w:val="clear" w:color="auto" w:fill="F4F1EC"/>
          </w:tcPr>
          <w:p>
            <w:pPr>
              <w:pStyle w:val="Compact"/>
              <w:spacing w:after="40" w:before="40"/>
              <w:jc w:val="left"/>
            </w:pPr>
            <w:r>
              <w:rPr>
                <w:rFonts w:ascii="Cambria" w:hAnsi="Cambria" w:cs="Cambria" w:eastAsia="Cambria"/>
                <w:color w:val="1A1A1A"/>
                <w:sz w:val="18"/>
              </w:rPr>
              <w:t xml:space="preserve">Riabilitazione e monitoraggio remoto</w:t>
            </w:r>
          </w:p>
        </w:tc>
        <w:tc>
          <w:tcPr>
            <w:shd w:val="clear" w:color="auto" w:fill="F4F1EC"/>
          </w:tcPr>
          <w:p>
            <w:pPr>
              <w:pStyle w:val="Compact"/>
              <w:spacing w:after="40" w:before="40"/>
              <w:jc w:val="left"/>
            </w:pPr>
            <w:r>
              <w:rPr>
                <w:rFonts w:ascii="Cambria" w:hAnsi="Cambria" w:cs="Cambria" w:eastAsia="Cambria"/>
                <w:color w:val="1A1A1A"/>
                <w:sz w:val="18"/>
              </w:rPr>
              <w:t xml:space="preserve">Monitoraggio a distanza; sostegno alla riabilitazione; rilevazione delle variazioni del quadro</w:t>
            </w:r>
          </w:p>
        </w:tc>
        <w:tc>
          <w:tcPr>
            <w:shd w:val="clear" w:color="auto" w:fill="F4F1EC"/>
          </w:tcPr>
          <w:p>
            <w:pPr>
              <w:pStyle w:val="Compact"/>
              <w:spacing w:after="40" w:before="40"/>
              <w:jc w:val="left"/>
            </w:pPr>
            <w:r>
              <w:rPr>
                <w:rFonts w:ascii="Cambria" w:hAnsi="Cambria" w:cs="Cambria" w:eastAsia="Cambria"/>
                <w:color w:val="1A1A1A"/>
                <w:sz w:val="18"/>
              </w:rPr>
              <w:t xml:space="preserve">Ragionevole (questionari periodici); da bassa a molto bassa (forme avanzate)</w:t>
            </w:r>
          </w:p>
        </w:tc>
        <w:tc>
          <w:tcPr>
            <w:shd w:val="clear" w:color="auto" w:fill="F4F1EC"/>
          </w:tcPr>
          <w:p>
            <w:pPr>
              <w:pStyle w:val="Compact"/>
              <w:spacing w:after="40" w:before="40"/>
              <w:jc w:val="left"/>
            </w:pPr>
            <w:r>
              <w:rPr>
                <w:rFonts w:ascii="Cambria" w:hAnsi="Cambria" w:cs="Cambria" w:eastAsia="Cambria"/>
                <w:color w:val="1A1A1A"/>
                <w:sz w:val="18"/>
              </w:rPr>
              <w:t xml:space="preserve">Sostegno alla continuità; interpretazione clinica del dato; protezione rigorosa dei dati</w:t>
            </w:r>
          </w:p>
        </w:tc>
      </w:tr>
    </w:tbl>
    <w:p>
      <w:pPr>
        <w:pStyle w:val="BodyText"/>
      </w:pPr>
      <w:r>
        <w:rPr>
          <w:i/>
          <w:iCs/>
        </w:rPr>
        <w:t xml:space="preserve">Elaborazione dello studio. La graduazione segue il sistema GRADE, applicato simmetricamente all’evidenza clinica e a quella digitale. Gli impieghi a evidenza limitata sono ammessi in forma sperimentale e sotto supervisione; la condizione comune a tutti gli impieghi è la subordinazione alla decisione clinica.</w:t>
      </w:r>
    </w:p>
    <w:p>
      <w:pPr>
        <w:pStyle w:val="BodyText"/>
      </w:pPr>
      <w:r>
        <w:t xml:space="preserve">Tra le forme della leva digitale, una merita una trattazione propria per la sua rilevanza clinica, regolatoria ed economica: i dispositivi terapeutici digitali su prescrizione, che la voce seguente definisce insieme alla cornice di rischio che ne governa l’impiego.</w:t>
      </w:r>
    </w:p>
    <w:bookmarkEnd w:id="212"/>
    <w:bookmarkEnd w:id="213"/>
    <w:bookmarkStart w:id="221" w:name="X0e242def46b78b0360f1218689755d3098ac5ea"/>
    <w:p>
      <w:pPr>
        <w:pStyle w:val="Heading2"/>
      </w:pPr>
      <w:r>
        <w:rPr>
          <w:b/>
          <w:bCs/>
        </w:rPr>
        <w:t xml:space="preserve">4.5 I dispositivi terapeutici digitali su prescrizione e la cornice di rischio</w:t>
      </w:r>
    </w:p>
    <w:p>
      <w:pPr>
        <w:pStyle w:val="FirstParagraph"/>
      </w:pPr>
      <w:r>
        <w:rPr>
          <w:i/>
          <w:iCs/>
        </w:rPr>
        <w:t xml:space="preserve">Questa voce definisce i dispositivi terapeutici digitali su prescrizione — i programmi terapeutici erogati attraverso software, prescritti dalla figura clinica e integrati nel percorso di cura — e la cornice di rischio che ne governa l’impiego. La trattazione distingue la natura di tali dispositivi dalle generiche applicazioni per il benessere, ne richiama il quadro regolatorio europeo e i modelli di riconoscimento e rimborso adottati in altri ordinamenti, e ne fissa le condizioni di ammissibilità nel modello pugliese, segnalando con franchezza che il quadro italiano di riconoscimento e di accesso è, allo stato, ancora in formazione.</w:t>
      </w:r>
    </w:p>
    <w:bookmarkStart w:id="214" w:name="Xfc5ad6914cb11d76a05688ad42b84c03489c36e"/>
    <w:p>
      <w:pPr>
        <w:pStyle w:val="Heading3"/>
      </w:pPr>
      <w:r>
        <w:rPr>
          <w:b/>
          <w:bCs/>
        </w:rPr>
        <w:t xml:space="preserve">La natura dei dispositivi terapeutici digitali e la loro distinzione dalle applicazioni per il benessere</w:t>
      </w:r>
    </w:p>
    <w:p>
      <w:pPr>
        <w:pStyle w:val="FirstParagraph"/>
      </w:pPr>
      <w:r>
        <w:t xml:space="preserve">Per dispositivo terapeutico digitale si intende un prodotto che eroga, attraverso un software, un intervento terapeutico fondato sull’evidenza per la prevenzione, la gestione o il trattamento di una condizione clinica, e che è destinato a essere impiegato sotto indicazione clinica e integrato nel percorso di cura. La nozione si distingue nettamente da quella, assai più ampia e meno governata, delle applicazioni per il benessere, che offrono funzioni di sostegno generico — il rilassamento, la meditazione, il monitoraggio dell’umore — senza una destinazione terapeutica specifica e senza l’obbligo di dimostrare un’efficacia clinica. La distinzione non è terminologica, ma sostanziale e regolatoria: il dispositivo terapeutico digitale, in quanto destinato a una finalità medica, è soggetto al regime dei dispositivi medici, deve dimostrare la propria efficacia e sicurezza secondo standard definiti e può essere impiegato su indicazione clinica; l’applicazione per il benessere, in quanto priva di destinazione terapeutica, non è soggetta a tale regime e non offre le garanzie che esso impone. Il modello del Servizio di Psicologia di Base ammette i dispositivi terapeutici digitali, in quanto strumenti validati e governati, e non le generiche applicazioni per il benessere, la cui efficacia e sicurezza non sono assicurate.</w:t>
      </w:r>
    </w:p>
    <w:bookmarkEnd w:id="214"/>
    <w:bookmarkStart w:id="217" w:name="il-quadro-regolatorio-europeo"/>
    <w:p>
      <w:pPr>
        <w:pStyle w:val="Heading3"/>
      </w:pPr>
      <w:r>
        <w:rPr>
          <w:b/>
          <w:bCs/>
        </w:rPr>
        <w:t xml:space="preserve">Il quadro regolatorio europeo</w:t>
      </w:r>
    </w:p>
    <w:p>
      <w:pPr>
        <w:pStyle w:val="FirstParagraph"/>
      </w:pPr>
      <w:r>
        <w:t xml:space="preserve">I dispositivi terapeutici digitali, in quanto software con destinazione medica, ricadono nel quadro regolatorio europeo dei dispositivi medici, che ne disciplina la classificazione, la valutazione di conformità e l’immissione in commercio.</w:t>
      </w:r>
      <w:r>
        <w:rPr>
          <w:rStyle w:val="FootnoteReference"/>
        </w:rPr>
        <w:footnoteReference w:id="117"/>
      </w:r>
      <w:r>
        <w:t xml:space="preserve"> </w:t>
      </w:r>
      <w:r>
        <w:t xml:space="preserve">Il regolamento qualifica come dispositivo medico il software destinato a una finalità diagnostica, preventiva o terapeutica, e lo sottopone, in funzione della classe di rischio attribuita, a requisiti crescenti di valutazione clinica, di documentazione tecnica e di sorveglianza, condizionando l’immissione in commercio alla marcatura di conformità. A questo quadro generale si aggiunge, per i dispositivi che incorporino sistemi di Intelligenza Artificiale, il regolamento europeo sull’Intelligenza Artificiale, che classifica i sistemi per livello di rischio e sottopone quelli destinati all’ambito sanitario a requisiti specifici.</w:t>
      </w:r>
      <w:r>
        <w:rPr>
          <w:rStyle w:val="FootnoteReference"/>
        </w:rPr>
        <w:footnoteReference w:id="118"/>
      </w:r>
      <w:r>
        <w:t xml:space="preserve"> </w:t>
      </w:r>
      <w:r>
        <w:t xml:space="preserve">Un dispositivo terapeutico digitale che incorpori l’Intelligenza Artificiale è dunque soggetto, congiuntamente, al regime dei dispositivi medici e al regime dell’Intelligenza Artificiale, e deve soddisfare i requisiti di entrambi: la dimostrazione dell’efficacia e della sicurezza clinica, da un lato; la gestione del rischio, la qualità dei dati, la trasparenza e la sorveglianza umana, dall’altro.</w:t>
      </w:r>
    </w:p>
    <w:bookmarkEnd w:id="217"/>
    <w:bookmarkStart w:id="219" w:name="Xf5e76482b14679bd4cf8d50946b0739f98f255c"/>
    <w:p>
      <w:pPr>
        <w:pStyle w:val="Heading3"/>
      </w:pPr>
      <w:r>
        <w:rPr>
          <w:b/>
          <w:bCs/>
        </w:rPr>
        <w:t xml:space="preserve">I modelli di riconoscimento e di accesso e la condizione italiana</w:t>
      </w:r>
    </w:p>
    <w:p>
      <w:pPr>
        <w:pStyle w:val="FirstParagraph"/>
      </w:pPr>
      <w:r>
        <w:t xml:space="preserve">Alcuni ordinamenti europei hanno istituito procedure specifiche per il riconoscimento e l’accesso dei dispositivi terapeutici digitali, che ne consentono la prescrizione e il rimborso a carico del sistema sanitario una volta dimostrata l’efficacia. Il modello tedesco delle applicazioni sanitarie digitali costituisce il riferimento più sviluppato: esso prevede una procedura di valutazione, condotta dall’autorità competente, che ammette il dispositivo all’elenco di quelli prescrivibili e rimborsabili, in via definitiva ove l’efficacia sia già dimostrata o in via provvisoria ove essa debba essere accertata entro un periodo definito.</w:t>
      </w:r>
      <w:r>
        <w:rPr>
          <w:rStyle w:val="FootnoteReference"/>
        </w:rPr>
        <w:footnoteReference w:id="119"/>
      </w:r>
      <w:r>
        <w:t xml:space="preserve"> </w:t>
      </w:r>
      <w:r>
        <w:t xml:space="preserve">Questo modello realizza un punto di equilibrio tra l’esigenza di rendere disponibili strumenti innovativi e l’esigenza di subordinarne l’impiego alla dimostrazione dell’efficacia: il dispositivo è ammesso alla prescrizione e al rimborso, ma resta soggetto all’obbligo di provare il proprio valore, e la prova condiziona la permanenza nell’elenco. Esso offre, inoltre, un canale strutturato attraverso cui la figura clinica può prescrivere il dispositivo all’interno del percorso di cura, integrandolo nell’assistenza ordinaria.</w:t>
      </w:r>
    </w:p>
    <w:p>
      <w:pPr>
        <w:pStyle w:val="BodyText"/>
      </w:pPr>
      <w:r>
        <w:t xml:space="preserve">La condizione italiana, allo stato, si distingue da quella di tali ordinamenti per l’assenza di una procedura compiuta di riconoscimento e di accesso dei dispositivi terapeutici digitali a carico del Servizio sanitario. Questa assenza costituisce, al tempo stesso, un limite e un’opportunità che il modello del Servizio di Psicologia di Base deve registrare con franchezza. È un limite, perché in mancanza di un canale di riconoscimento e di rimborso, l’impiego dei dispositivi terapeutici digitali nel percorso di cura non dispone del fondamento regolatorio ed economico che esso richiederebbe, e resta affidato a soluzioni parziali e non sistematiche. È un’opportunità, perché la definizione, in sede regionale o nazionale, di criteri per il riconoscimento e l’accesso dei dispositivi terapeutici digitali — sul modello degli ordinamenti che li hanno adottati — costituirebbe una delle condizioni abilitanti della riforma, e si collocherebbe coerentemente tra gli interventi che la quattordicesima parte considererà sotto il profilo dell’attuazione e della sostenibilità. Nel frattempo, il modello ammette i dispositivi terapeutici digitali alle sole condizioni che ne garantiscano l’affidabilità: la qualificazione come dispositivo medico secondo il regime europeo, la dimostrazione dell’efficacia secondo standard definiti, la prescrizione da parte della figura clinica e l’integrazione nel percorso sotto supervisione.</w:t>
      </w:r>
    </w:p>
    <w:bookmarkEnd w:id="219"/>
    <w:bookmarkStart w:id="220" w:name="X5cd46dfb4756c8d4a156d17fb1220a132af86b7"/>
    <w:p>
      <w:pPr>
        <w:pStyle w:val="Heading3"/>
      </w:pPr>
      <w:r>
        <w:rPr>
          <w:b/>
          <w:bCs/>
        </w:rPr>
        <w:t xml:space="preserve">La cornice di rischio e le condizioni di ammissibilità</w:t>
      </w:r>
    </w:p>
    <w:p>
      <w:pPr>
        <w:pStyle w:val="FirstParagraph"/>
      </w:pPr>
      <w:r>
        <w:t xml:space="preserve">La cornice di rischio che governa l’impiego dei dispositivi terapeutici digitali nel modello pugliese si compone di un insieme di condizioni, che traducono in regole operative i requisiti del quadro regolatorio e i principi dell’opera. La prima condizione è la qualificazione regolatoria: il dispositivo deve essere qualificato come dispositivo medico secondo il regolamento europeo, deve recare la marcatura di conformità e, ove incorpori sistemi di Intelligenza Artificiale, deve soddisfare i requisiti del regolamento sull’Intelligenza Artificiale. La seconda condizione è la dimostrazione dell’efficacia: il dispositivo deve disporre di un’evidenza di efficacia e di sicurezza graduata secondo il sistema adottato dall’opera, e la sua adozione deve essere proporzionata alla qualità di tale evidenza, riservando agli strumenti meglio sostenuti l’impiego ordinario e a quelli a evidenza limitata l’impiego sperimentale e sorvegliato. La terza condizione è la prescrizione clinica e l’integrazione nel percorso: il dispositivo è impiegato su indicazione della figura clinica, all’interno del percorso di cura, e non come canale autonomo e parallelo; la sua prescrizione presuppone la valutazione dell’appropriatezza e il consenso informato della persona. La quarta condizione è la supervisione e il monitoraggio: l’impiego del dispositivo resta sotto la supervisione della figura clinica, che ne verifica l’andamento e ne corregge o interrompe l’uso in funzione della risposta, e i suoi esiti sono monitorati con gli strumenti del servizio.</w:t>
      </w:r>
    </w:p>
    <w:p>
      <w:pPr>
        <w:pStyle w:val="BodyText"/>
      </w:pPr>
      <w:r>
        <w:t xml:space="preserve">Queste condizioni configurano il dispositivo terapeutico digitale come uno strumento del primo livello, prescritto e supervisionato dalla figura clinica e integrato nel percorso, e ne escludono l’impiego come sostituto della relazione clinica o come prodotto di libero accesso non governato. Esse preservano il valore potenziale di tali dispositivi — l’ampliamento della capacità, l’estensione dell’accesso, la disponibilità di interventi validati erogabili a distanza — entro i limiti che la loro affidabilità e la responsabilità clinica impongono. La cornice di rischio non è, dunque, un ostacolo all’innovazione, ma la condizione perché l’innovazione produca valore anziché rischio, e perché l’impiego dei dispositivi terapeutici digitali si collochi entro l’architettura del modello come una delle forme governate della leva digitale. La tabella che segue ricompone il quadro regolatorio e le condizioni di ammissibilità dei dispositivi terapeutici digitali.</w:t>
      </w:r>
    </w:p>
    <w:p>
      <w:pPr>
        <w:pStyle w:val="BodyText"/>
      </w:pPr>
      <w:r>
        <w:rPr>
          <w:b/>
          <w:bCs/>
        </w:rPr>
        <w:t xml:space="preserve">Tabella 4.5 — Il quadro regolatorio e le condizioni di ammissibilità dei dispositivi terapeutici digitali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Profilo</w:t>
            </w:r>
          </w:p>
        </w:tc>
        <w:tc>
          <w:tcPr>
            <w:shd w:val="clear" w:color="auto" w:fill="16264B"/>
          </w:tcPr>
          <w:p>
            <w:pPr>
              <w:pStyle w:val="Compact"/>
              <w:spacing w:after="40" w:before="40"/>
              <w:jc w:val="left"/>
            </w:pPr>
            <w:r>
              <w:rPr>
                <w:rFonts w:ascii="Cambria" w:hAnsi="Cambria" w:cs="Cambria" w:eastAsia="Cambria"/>
                <w:b/>
                <w:bCs/>
                <w:color w:val="FFFFFF"/>
                <w:sz w:val="18"/>
              </w:rPr>
              <w:t xml:space="preserve">Riferimento o requisito</w:t>
            </w:r>
          </w:p>
        </w:tc>
        <w:tc>
          <w:tcPr>
            <w:shd w:val="clear" w:color="auto" w:fill="16264B"/>
          </w:tcPr>
          <w:p>
            <w:pPr>
              <w:pStyle w:val="Compact"/>
              <w:spacing w:after="40" w:before="40"/>
              <w:jc w:val="left"/>
            </w:pPr>
            <w:r>
              <w:rPr>
                <w:rFonts w:ascii="Cambria" w:hAnsi="Cambria" w:cs="Cambria" w:eastAsia="Cambria"/>
                <w:b/>
                <w:bCs/>
                <w:color w:val="FFFFFF"/>
                <w:sz w:val="18"/>
              </w:rPr>
              <w:t xml:space="preserve">Implicazione per il modello</w:t>
            </w:r>
          </w:p>
        </w:tc>
      </w:tr>
      <w:tr>
        <w:tc>
          <w:tcPr/>
          <w:p>
            <w:pPr>
              <w:pStyle w:val="Compact"/>
              <w:spacing w:after="40" w:before="40"/>
              <w:jc w:val="left"/>
            </w:pPr>
            <w:r>
              <w:rPr>
                <w:rFonts w:ascii="Cambria" w:hAnsi="Cambria" w:cs="Cambria" w:eastAsia="Cambria"/>
                <w:color w:val="1A1A1A"/>
                <w:sz w:val="18"/>
              </w:rPr>
              <w:t xml:space="preserve">Qualificazione come dispositivo medico</w:t>
            </w:r>
          </w:p>
        </w:tc>
        <w:tc>
          <w:tcPr/>
          <w:p>
            <w:pPr>
              <w:pStyle w:val="Compact"/>
              <w:spacing w:after="40" w:before="40"/>
              <w:jc w:val="left"/>
            </w:pPr>
            <w:r>
              <w:rPr>
                <w:rFonts w:ascii="Cambria" w:hAnsi="Cambria" w:cs="Cambria" w:eastAsia="Cambria"/>
                <w:color w:val="1A1A1A"/>
                <w:sz w:val="18"/>
              </w:rPr>
              <w:t xml:space="preserve">Regolamento (UE) 2017/745; marcatura di conformità; classificazione per rischio</w:t>
            </w:r>
          </w:p>
        </w:tc>
        <w:tc>
          <w:tcPr/>
          <w:p>
            <w:pPr>
              <w:pStyle w:val="Compact"/>
              <w:spacing w:after="40" w:before="40"/>
              <w:jc w:val="left"/>
            </w:pPr>
            <w:r>
              <w:rPr>
                <w:rFonts w:ascii="Cambria" w:hAnsi="Cambria" w:cs="Cambria" w:eastAsia="Cambria"/>
                <w:color w:val="1A1A1A"/>
                <w:sz w:val="18"/>
              </w:rPr>
              <w:t xml:space="preserve">Ammissibilità del solo software con destinazione medica validato; esclusione delle applicazioni generiche per il benessere</w:t>
            </w:r>
          </w:p>
        </w:tc>
      </w:tr>
      <w:tr>
        <w:tc>
          <w:tcPr>
            <w:shd w:val="clear" w:color="auto" w:fill="F4F1EC"/>
          </w:tcPr>
          <w:p>
            <w:pPr>
              <w:pStyle w:val="Compact"/>
              <w:spacing w:after="40" w:before="40"/>
              <w:jc w:val="left"/>
            </w:pPr>
            <w:r>
              <w:rPr>
                <w:rFonts w:ascii="Cambria" w:hAnsi="Cambria" w:cs="Cambria" w:eastAsia="Cambria"/>
                <w:color w:val="1A1A1A"/>
                <w:sz w:val="18"/>
              </w:rPr>
              <w:t xml:space="preserve">Sistemi di Intelligenza Artificiale incorporati</w:t>
            </w:r>
          </w:p>
        </w:tc>
        <w:tc>
          <w:tcPr>
            <w:shd w:val="clear" w:color="auto" w:fill="F4F1EC"/>
          </w:tcPr>
          <w:p>
            <w:pPr>
              <w:pStyle w:val="Compact"/>
              <w:spacing w:after="40" w:before="40"/>
              <w:jc w:val="left"/>
            </w:pPr>
            <w:r>
              <w:rPr>
                <w:rFonts w:ascii="Cambria" w:hAnsi="Cambria" w:cs="Cambria" w:eastAsia="Cambria"/>
                <w:color w:val="1A1A1A"/>
                <w:sz w:val="18"/>
              </w:rPr>
              <w:t xml:space="preserve">Regolamento (UE) 2024/1689; requisiti per i sistemi ad alto rischio (gestione del rischio, qualità dei dati, trasparenza, sorveglianza umana)</w:t>
            </w:r>
          </w:p>
        </w:tc>
        <w:tc>
          <w:tcPr>
            <w:shd w:val="clear" w:color="auto" w:fill="F4F1EC"/>
          </w:tcPr>
          <w:p>
            <w:pPr>
              <w:pStyle w:val="Compact"/>
              <w:spacing w:after="40" w:before="40"/>
              <w:jc w:val="left"/>
            </w:pPr>
            <w:r>
              <w:rPr>
                <w:rFonts w:ascii="Cambria" w:hAnsi="Cambria" w:cs="Cambria" w:eastAsia="Cambria"/>
                <w:color w:val="1A1A1A"/>
                <w:sz w:val="18"/>
              </w:rPr>
              <w:t xml:space="preserve">Doppia conformità per i dispositivi che incorporino Intelligenza Artificiale; sorveglianza umana obbligatoria</w:t>
            </w:r>
          </w:p>
        </w:tc>
      </w:tr>
      <w:tr>
        <w:tc>
          <w:tcPr/>
          <w:p>
            <w:pPr>
              <w:pStyle w:val="Compact"/>
              <w:spacing w:after="40" w:before="40"/>
              <w:jc w:val="left"/>
            </w:pPr>
            <w:r>
              <w:rPr>
                <w:rFonts w:ascii="Cambria" w:hAnsi="Cambria" w:cs="Cambria" w:eastAsia="Cambria"/>
                <w:color w:val="1A1A1A"/>
                <w:sz w:val="18"/>
              </w:rPr>
              <w:t xml:space="preserve">Riconoscimento e accesso</w:t>
            </w:r>
          </w:p>
        </w:tc>
        <w:tc>
          <w:tcPr/>
          <w:p>
            <w:pPr>
              <w:pStyle w:val="Compact"/>
              <w:spacing w:after="40" w:before="40"/>
              <w:jc w:val="left"/>
            </w:pPr>
            <w:r>
              <w:rPr>
                <w:rFonts w:ascii="Cambria" w:hAnsi="Cambria" w:cs="Cambria" w:eastAsia="Cambria"/>
                <w:color w:val="1A1A1A"/>
                <w:sz w:val="18"/>
              </w:rPr>
              <w:t xml:space="preserve">Modelli europei di riconoscimento e rimborso (riferimento: applicazioni sanitarie digitali tedesche); assenza, allo stato, di una procedura italiana compiuta</w:t>
            </w:r>
          </w:p>
        </w:tc>
        <w:tc>
          <w:tcPr/>
          <w:p>
            <w:pPr>
              <w:pStyle w:val="Compact"/>
              <w:spacing w:after="40" w:before="40"/>
              <w:jc w:val="left"/>
            </w:pPr>
            <w:r>
              <w:rPr>
                <w:rFonts w:ascii="Cambria" w:hAnsi="Cambria" w:cs="Cambria" w:eastAsia="Cambria"/>
                <w:color w:val="1A1A1A"/>
                <w:sz w:val="18"/>
              </w:rPr>
              <w:t xml:space="preserve">Condizione abilitante da definire in sede regionale o nazionale; nel frattempo, ammissione alle sole condizioni di affidabilità</w:t>
            </w:r>
          </w:p>
        </w:tc>
      </w:tr>
      <w:tr>
        <w:tc>
          <w:tcPr>
            <w:shd w:val="clear" w:color="auto" w:fill="F4F1EC"/>
          </w:tcPr>
          <w:p>
            <w:pPr>
              <w:pStyle w:val="Compact"/>
              <w:spacing w:after="40" w:before="40"/>
              <w:jc w:val="left"/>
            </w:pPr>
            <w:r>
              <w:rPr>
                <w:rFonts w:ascii="Cambria" w:hAnsi="Cambria" w:cs="Cambria" w:eastAsia="Cambria"/>
                <w:color w:val="1A1A1A"/>
                <w:sz w:val="18"/>
              </w:rPr>
              <w:t xml:space="preserve">Cornice di rischio operativa</w:t>
            </w:r>
          </w:p>
        </w:tc>
        <w:tc>
          <w:tcPr>
            <w:shd w:val="clear" w:color="auto" w:fill="F4F1EC"/>
          </w:tcPr>
          <w:p>
            <w:pPr>
              <w:pStyle w:val="Compact"/>
              <w:spacing w:after="40" w:before="40"/>
              <w:jc w:val="left"/>
            </w:pPr>
            <w:r>
              <w:rPr>
                <w:rFonts w:ascii="Cambria" w:hAnsi="Cambria" w:cs="Cambria" w:eastAsia="Cambria"/>
                <w:color w:val="1A1A1A"/>
                <w:sz w:val="18"/>
              </w:rPr>
              <w:t xml:space="preserve">Dimostrazione dell’efficacia graduata; prescrizione clinica e integrazione nel percorso; supervisione e monitoraggio</w:t>
            </w:r>
          </w:p>
        </w:tc>
        <w:tc>
          <w:tcPr>
            <w:shd w:val="clear" w:color="auto" w:fill="F4F1EC"/>
          </w:tcPr>
          <w:p>
            <w:pPr>
              <w:pStyle w:val="Compact"/>
              <w:spacing w:after="40" w:before="40"/>
              <w:jc w:val="left"/>
            </w:pPr>
            <w:r>
              <w:rPr>
                <w:rFonts w:ascii="Cambria" w:hAnsi="Cambria" w:cs="Cambria" w:eastAsia="Cambria"/>
                <w:color w:val="1A1A1A"/>
                <w:sz w:val="18"/>
              </w:rPr>
              <w:t xml:space="preserve">Impiego come strumento del primo livello, prescritto e supervisionato; esclusione del libero accesso non governato</w:t>
            </w:r>
          </w:p>
        </w:tc>
      </w:tr>
    </w:tbl>
    <w:p>
      <w:pPr>
        <w:pStyle w:val="BodyText"/>
      </w:pPr>
      <w:r>
        <w:rPr>
          <w:i/>
          <w:iCs/>
        </w:rPr>
        <w:t xml:space="preserve">Elaborazione dello studio sul quadro regolatorio europeo e sui modelli comparati. L’adozione resta proporzionata alla qualità dell’evidenza e subordinata alla supervisione clinica.</w:t>
      </w:r>
    </w:p>
    <w:p>
      <w:pPr>
        <w:pStyle w:val="BodyText"/>
      </w:pPr>
      <w:r>
        <w:t xml:space="preserve">Le condizioni di ammissibilità dei dispositivi terapeutici digitali, e più in generale l’impiego della leva digitale e dell’Intelligenza Artificiale lungo il ciclo assistenziale, presuppongono un sistema di garanzie che ne governi la sicurezza, l’equità, la supervisione e la responsabilità. La definizione di tale sistema — la governance prudenziale dell’Intelligenza Artificiale — è l’oggetto della voce seguente.</w:t>
      </w:r>
    </w:p>
    <w:bookmarkEnd w:id="220"/>
    <w:bookmarkEnd w:id="221"/>
    <w:bookmarkStart w:id="231" w:name="X4e449f3e7bff1b9bc4e1d8a322a9c113acf58d3"/>
    <w:p>
      <w:pPr>
        <w:pStyle w:val="Heading2"/>
      </w:pPr>
      <w:r>
        <w:rPr>
          <w:b/>
          <w:bCs/>
        </w:rPr>
        <w:t xml:space="preserve">4.6 La governance prudenziale dell’Intelligenza Artificiale: sicurezza, equità, supervisione umana, responsabilità</w:t>
      </w:r>
    </w:p>
    <w:p>
      <w:pPr>
        <w:pStyle w:val="FirstParagraph"/>
      </w:pPr>
      <w:r>
        <w:rPr>
          <w:i/>
          <w:iCs/>
        </w:rPr>
        <w:t xml:space="preserve">Questa voce definisce il sistema di garanzie che governa l’impiego dell’Intelligenza Artificiale e della leva digitale nel modello, e che ne costituisce la condizione di legittimità. La governance prudenziale si articola in quattro pilastri — la sicurezza, l’equità, la supervisione umana e la responsabilità — ciascuno dei quali risponde a un rischio specifico e si traduce in presidi operativi. La voce descrive i quattro pilastri e i loro presidi, ancorandoli al quadro regolatorio europeo e agli orientamenti internazionali, e ne ricompone l’insieme in una tabella ordinata. La trattazione operativa qui condotta prepara e si raccorda con i profili etico-giuridici che la tredicesima parte svilupperà.</w:t>
      </w:r>
    </w:p>
    <w:bookmarkStart w:id="223" w:name="Xfaf09d737d84cb7a9df2201d46f6b1369816900"/>
    <w:p>
      <w:pPr>
        <w:pStyle w:val="Heading3"/>
      </w:pPr>
      <w:r>
        <w:rPr>
          <w:b/>
          <w:bCs/>
        </w:rPr>
        <w:t xml:space="preserve">La governance come condizione di legittimità</w:t>
      </w:r>
    </w:p>
    <w:p>
      <w:pPr>
        <w:pStyle w:val="FirstParagraph"/>
      </w:pPr>
      <w:r>
        <w:t xml:space="preserve">L’impiego dell’Intelligenza Artificiale in un servizio sanitario non è ammissibile in sé, ma soltanto entro un sistema di garanzie che ne governi i rischi e ne assicuri la conformità ai principi dell’assistenza. La governance prudenziale non è, dunque, un complemento accessorio dell’impiego della tecnologia, ma la sua condizione di legittimità: è il sistema di regole, di verifiche e di responsabilità senza il quale l’impiego della tecnologia non sarebbe consentito. Questa concezione della governance trova fondamento tanto nel quadro regolatorio europeo, che subordina i sistemi ad alto rischio a requisiti stringenti, quanto negli orientamenti internazionali, che hanno definito i principi etici cui l’impiego dell’Intelligenza Artificiale in sanità deve conformarsi.</w:t>
      </w:r>
      <w:r>
        <w:rPr>
          <w:rStyle w:val="FootnoteReference"/>
        </w:rPr>
        <w:footnoteReference w:id="120"/>
      </w:r>
      <w:r>
        <w:t xml:space="preserve"> </w:t>
      </w:r>
      <w:r>
        <w:t xml:space="preserve">Il modello del Servizio di Psicologia di Base assume questa concezione e ne fa il presupposto dell’intera leva digitale: nessuno strumento basato sull’Intelligenza Artificiale è ammesso al di fuori del sistema di garanzie che la governance prudenziale definisce, e la conformità a tale sistema è verificata prima dell’adozione e mantenuta lungo l’impiego.</w:t>
      </w:r>
    </w:p>
    <w:bookmarkEnd w:id="223"/>
    <w:bookmarkStart w:id="225" w:name="il-primo-pilastro-la-sicurezza"/>
    <w:p>
      <w:pPr>
        <w:pStyle w:val="Heading3"/>
      </w:pPr>
      <w:r>
        <w:rPr>
          <w:b/>
          <w:bCs/>
        </w:rPr>
        <w:t xml:space="preserve">Il primo pilastro: la sicurezza</w:t>
      </w:r>
    </w:p>
    <w:p>
      <w:pPr>
        <w:pStyle w:val="FirstParagraph"/>
      </w:pPr>
      <w:r>
        <w:t xml:space="preserve">Il primo pilastro della governance prudenziale è la sicurezza, intesa come l’insieme delle garanzie che assicurano l’affidabilità tecnica del sistema, la qualità dei dati su cui esso opera e la sua robustezza nelle condizioni d’uso. Un sistema basato sull’Intelligenza Artificiale impiegato in sanità deve essere validato prima dell’adozione, deve operare su dati di qualità adeguata e rappresentativa, deve mantenere una prestazione stabile nelle condizioni reali e deve essere protetto contro i malfunzionamenti e gli usi impropri. Il quadro regolatorio europeo traduce queste esigenze in requisiti espliciti per i sistemi ad alto rischio, tra cui la gestione del rischio, la qualità e la governance dei dati, la robustezza, l’accuratezza e la sicurezza informatica.</w:t>
      </w:r>
      <w:r>
        <w:rPr>
          <w:rStyle w:val="FootnoteReference"/>
        </w:rPr>
        <w:footnoteReference w:id="121"/>
      </w:r>
      <w:r>
        <w:t xml:space="preserve"> </w:t>
      </w:r>
      <w:r>
        <w:t xml:space="preserve">I presidi corrispondenti, nel modello, comprendono la validazione del sistema prima dell’adozione, preferibilmente sui dati locali o su dati rappresentativi della popolazione di impiego; la verifica della qualità e della rappresentatività dei dati; il monitoraggio continuo della prestazione nelle condizioni reali, con la rilevazione degli scostamenti e la correzione tempestiva; e la protezione informatica del sistema e dei dati. La sicurezza è il fondamento tecnico della governance, perché un sistema non affidabile non può essere reso legittimo da alcun altro presidio.</w:t>
      </w:r>
    </w:p>
    <w:bookmarkEnd w:id="225"/>
    <w:bookmarkStart w:id="226" w:name="il-secondo-pilastro-lequità"/>
    <w:p>
      <w:pPr>
        <w:pStyle w:val="Heading3"/>
      </w:pPr>
      <w:r>
        <w:rPr>
          <w:b/>
          <w:bCs/>
        </w:rPr>
        <w:t xml:space="preserve">Il secondo pilastro: l’equità</w:t>
      </w:r>
    </w:p>
    <w:p>
      <w:pPr>
        <w:pStyle w:val="FirstParagraph"/>
      </w:pPr>
      <w:r>
        <w:t xml:space="preserve">Il secondo pilastro della governance prudenziale è l’equità, intesa come la garanzia che l’impiego del sistema non produca discriminazioni né aggravi le disuguaglianze esistenti. Il rischio specifico cui questo pilastro risponde è duplice. Da un lato, vi è il rischio della distorsione algoritmica, per cui un sistema addestrato su dati che riflettono le disuguaglianze esistenti apprende e riproduce quelle disuguaglianze, attribuendo prestazioni diverse a gruppi diversi non in funzione del loro bisogno reale, ma in funzione delle distorsioni presenti nei dati di addestramento. Dall’altro, vi è il rischio del divario digitale, per cui l’introduzione di strumenti che presuppongono l’accesso alla tecnologia e la competenza nel suo uso esclude o penalizza le persone e i territori che ne sono privi, e converte uno strumento di estensione dell’accesso in un fattore di esclusione. I presidi corrispondenti, nel modello, comprendono la verifica esplicita di equità, volta ad accertare che la prestazione del sistema non differisca sistematicamente tra i gruppi; la cura nella composizione dei dati di addestramento e di validazione, perché siano rappresentativi della popolazione di impiego; e la predisposizione di percorsi alternativi non digitali, perché l’impiego della leva digitale non costituisca mai l’unica via di accesso al servizio.</w:t>
      </w:r>
    </w:p>
    <w:p>
      <w:pPr>
        <w:pStyle w:val="BodyText"/>
      </w:pPr>
      <w:r>
        <w:t xml:space="preserve">Il pilastro dell’equità ha una rilevanza particolare nel contesto pugliese, segnato da divari territoriali e da una quota significativa di popolazione esposta al rischio di esclusione, e si collega direttamente all’analisi dell’impatto distributivo che la dodicesima parte condurrà. Là dove la leva digitale è introdotta come strumento di estensione dell’accesso alle aree interne e alle persone per le quali l’accesso in presenza è difficile, essa può ridurre i divari; ma là dove essa è introdotta senza i presidi dell’equità, essa può ampliarli, escludendo proprio le persone e i territori che maggiormente ne avrebbero bisogno. La verifica di equità non è, dunque, un adempimento formale, ma la condizione perché la leva digitale produca l’effetto distributivo desiderato anziché il suo opposto, e perché la promessa di equità della riforma non sia contraddetta dallo strumento che dovrebbe realizzarla. Per questa ragione il modello subordina l’adozione di ogni strumento basato sull’Intelligenza Artificiale alla verifica esplicita della sua equità, e accompagna l’introduzione della leva digitale con la garanzia di percorsi alternativi.</w:t>
      </w:r>
    </w:p>
    <w:bookmarkEnd w:id="226"/>
    <w:bookmarkStart w:id="228" w:name="il-terzo-pilastro-la-supervisione-umana"/>
    <w:p>
      <w:pPr>
        <w:pStyle w:val="Heading3"/>
      </w:pPr>
      <w:r>
        <w:rPr>
          <w:b/>
          <w:bCs/>
        </w:rPr>
        <w:t xml:space="preserve">Il terzo pilastro: la supervisione umana</w:t>
      </w:r>
    </w:p>
    <w:p>
      <w:pPr>
        <w:pStyle w:val="FirstParagraph"/>
      </w:pPr>
      <w:r>
        <w:t xml:space="preserve">Il terzo pilastro della governance prudenziale è la supervisione umana, intesa come la garanzia che la figura clinica mantenga il governo delle decisioni e che il sistema basato sull’Intelligenza Artificiale resti un ausilio e non un sostituto. Questo pilastro è la traduzione operativa del principio di subordinazione che governa l’intera leva digitale: la tecnologia fornisce elementi alla decisione, ma la decisione resta in capo alla persona competente, che dispone dello strumento come di un supporto e non come di un verdetto. Il quadro regolatorio europeo impone la sorveglianza umana come requisito dei sistemi ad alto rischio, prescrivendo che essi siano progettati in modo da consentire alla persona di comprenderne il funzionamento, di sorvegliarne l’operato, di intervenire e di interromperlo.</w:t>
      </w:r>
      <w:r>
        <w:rPr>
          <w:rStyle w:val="FootnoteReference"/>
        </w:rPr>
        <w:footnoteReference w:id="122"/>
      </w:r>
      <w:r>
        <w:t xml:space="preserve"> </w:t>
      </w:r>
      <w:r>
        <w:t xml:space="preserve">I presidi corrispondenti, nel modello, comprendono la collocazione della decisione clinica in capo alla figura competente in ogni passaggio del percorso; la progettazione degli strumenti in modo che ne siano comprensibili il funzionamento e i limiti; la possibilità per la figura clinica di disattendere l’indicazione dello strumento, di sospenderne l’uso e di intervenire; e la formazione delle figure all’uso consapevole degli strumenti, che la quinta parte tratterà come componente del fabbisogno formativo.</w:t>
      </w:r>
    </w:p>
    <w:bookmarkEnd w:id="228"/>
    <w:bookmarkStart w:id="230" w:name="il-quarto-pilastro-la-responsabilità"/>
    <w:p>
      <w:pPr>
        <w:pStyle w:val="Heading3"/>
      </w:pPr>
      <w:r>
        <w:rPr>
          <w:b/>
          <w:bCs/>
        </w:rPr>
        <w:t xml:space="preserve">Il quarto pilastro: la responsabilità</w:t>
      </w:r>
    </w:p>
    <w:p>
      <w:pPr>
        <w:pStyle w:val="FirstParagraph"/>
      </w:pPr>
      <w:r>
        <w:t xml:space="preserve">Il quarto pilastro della governance prudenziale è la responsabilità, intesa come la garanzia che ogni decisione e ogni azione siano riferibili a un soggetto responsabile, tracciabili e trasparenti. Il rischio cui questo pilastro risponde è quello della deresponsabilizzazione, per cui l’interposizione di un sistema automatizzato tra il bisogno e la decisione diluisce la responsabilità e rende incerta l’attribuzione delle conseguenze. La governance prudenziale contrasta questo rischio mantenendo la responsabilità clinica in capo alla figura competente, che risponde delle decisioni assunte con l’ausilio dello strumento come ne risponderebbe assumendole senza; assicurando la tracciabilità delle azioni, attraverso la registrazione degli eventi che consente di ricostruire il percorso decisionale; e garantendo la trasparenza, attraverso la documentazione del funzionamento degli strumenti e la possibilità di renderne conto. I presidi corrispondenti comprendono la chiara attribuzione della responsabilità clinica; la registrazione e la conservazione degli eventi rilevanti; la documentazione e la rendicontabilità del funzionamento degli strumenti; e la protezione dei dati personali secondo il quadro europeo, che costituisce il fondamento giuridico del trattamento delle informazioni sensibili su cui gli strumenti operano.</w:t>
      </w:r>
    </w:p>
    <w:p>
      <w:pPr>
        <w:pStyle w:val="BodyText"/>
      </w:pPr>
      <w:r>
        <w:t xml:space="preserve">La protezione dei dati personali merita, all’interno del pilastro della responsabilità, una considerazione propria, perché gli strumenti della leva digitale operano su informazioni sanitarie, che il quadro europeo qualifica come categoria particolare meritevole di tutela rafforzata.</w:t>
      </w:r>
      <w:r>
        <w:rPr>
          <w:rStyle w:val="FootnoteReference"/>
        </w:rPr>
        <w:footnoteReference w:id="123"/>
      </w:r>
      <w:r>
        <w:t xml:space="preserve"> </w:t>
      </w:r>
      <w:r>
        <w:t xml:space="preserve">Il trattamento di tali dati nel modello è soggetto ai principi di liceità, minimizzazione, esattezza, limitazione della conservazione e riservatezza, e ai presidi che ne assicurano l’osservanza, compresa la valutazione d’impatto per i trattamenti che lo richiedano. La protezione dei dati non è, anche qui, un adempimento accessorio, ma una componente costitutiva della responsabilità e della legittimità dell’impiego della tecnologia, e si raccorda con i profili di protezione dei dati e di governance che la tredicesima parte svilupperà sotto il profilo giuridico. La tabella che segue ricompone i quattro pilastri della governance prudenziale e i presidi corrispondenti.</w:t>
      </w:r>
    </w:p>
    <w:p>
      <w:pPr>
        <w:pStyle w:val="BodyText"/>
      </w:pPr>
      <w:r>
        <w:rPr>
          <w:b/>
          <w:bCs/>
        </w:rPr>
        <w:t xml:space="preserve">Tabella 4.6 — I quattro pilastri della governance prudenziale e i presidi corrispondenti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Pilastro</w:t>
            </w:r>
          </w:p>
        </w:tc>
        <w:tc>
          <w:tcPr>
            <w:shd w:val="clear" w:color="auto" w:fill="16264B"/>
          </w:tcPr>
          <w:p>
            <w:pPr>
              <w:pStyle w:val="Compact"/>
              <w:spacing w:after="40" w:before="40"/>
              <w:jc w:val="left"/>
            </w:pPr>
            <w:r>
              <w:rPr>
                <w:rFonts w:ascii="Cambria" w:hAnsi="Cambria" w:cs="Cambria" w:eastAsia="Cambria"/>
                <w:b/>
                <w:bCs/>
                <w:color w:val="FFFFFF"/>
                <w:sz w:val="18"/>
              </w:rPr>
              <w:t xml:space="preserve">Rischio a cui risponde</w:t>
            </w:r>
          </w:p>
        </w:tc>
        <w:tc>
          <w:tcPr>
            <w:shd w:val="clear" w:color="auto" w:fill="16264B"/>
          </w:tcPr>
          <w:p>
            <w:pPr>
              <w:pStyle w:val="Compact"/>
              <w:spacing w:after="40" w:before="40"/>
              <w:jc w:val="left"/>
            </w:pPr>
            <w:r>
              <w:rPr>
                <w:rFonts w:ascii="Cambria" w:hAnsi="Cambria" w:cs="Cambria" w:eastAsia="Cambria"/>
                <w:b/>
                <w:bCs/>
                <w:color w:val="FFFFFF"/>
                <w:sz w:val="18"/>
              </w:rPr>
              <w:t xml:space="preserve">Presidi nel modello</w:t>
            </w:r>
          </w:p>
        </w:tc>
      </w:tr>
      <w:tr>
        <w:tc>
          <w:tcPr/>
          <w:p>
            <w:pPr>
              <w:pStyle w:val="Compact"/>
              <w:spacing w:after="40" w:before="40"/>
              <w:jc w:val="left"/>
            </w:pPr>
            <w:r>
              <w:rPr>
                <w:rFonts w:ascii="Cambria" w:hAnsi="Cambria" w:cs="Cambria" w:eastAsia="Cambria"/>
                <w:color w:val="1A1A1A"/>
                <w:sz w:val="18"/>
              </w:rPr>
              <w:t xml:space="preserve">Sicurezza</w:t>
            </w:r>
          </w:p>
        </w:tc>
        <w:tc>
          <w:tcPr/>
          <w:p>
            <w:pPr>
              <w:pStyle w:val="Compact"/>
              <w:spacing w:after="40" w:before="40"/>
              <w:jc w:val="left"/>
            </w:pPr>
            <w:r>
              <w:rPr>
                <w:rFonts w:ascii="Cambria" w:hAnsi="Cambria" w:cs="Cambria" w:eastAsia="Cambria"/>
                <w:color w:val="1A1A1A"/>
                <w:sz w:val="18"/>
              </w:rPr>
              <w:t xml:space="preserve">Inaffidabilità tecnica; dati di scarsa qualità; prestazione instabile; malfunzionamenti</w:t>
            </w:r>
          </w:p>
        </w:tc>
        <w:tc>
          <w:tcPr/>
          <w:p>
            <w:pPr>
              <w:pStyle w:val="Compact"/>
              <w:spacing w:after="40" w:before="40"/>
              <w:jc w:val="left"/>
            </w:pPr>
            <w:r>
              <w:rPr>
                <w:rFonts w:ascii="Cambria" w:hAnsi="Cambria" w:cs="Cambria" w:eastAsia="Cambria"/>
                <w:color w:val="1A1A1A"/>
                <w:sz w:val="18"/>
              </w:rPr>
              <w:t xml:space="preserve">Validazione prima dell’adozione (su dati locali o rappresentativi); verifica della qualità dei dati; monitoraggio continuo della prestazione; protezione informatica</w:t>
            </w:r>
          </w:p>
        </w:tc>
      </w:tr>
      <w:tr>
        <w:tc>
          <w:tcPr>
            <w:shd w:val="clear" w:color="auto" w:fill="F4F1EC"/>
          </w:tcPr>
          <w:p>
            <w:pPr>
              <w:pStyle w:val="Compact"/>
              <w:spacing w:after="40" w:before="40"/>
              <w:jc w:val="left"/>
            </w:pPr>
            <w:r>
              <w:rPr>
                <w:rFonts w:ascii="Cambria" w:hAnsi="Cambria" w:cs="Cambria" w:eastAsia="Cambria"/>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Distorsione algoritmica; divario digitale; allocazione discriminatoria</w:t>
            </w:r>
          </w:p>
        </w:tc>
        <w:tc>
          <w:tcPr>
            <w:shd w:val="clear" w:color="auto" w:fill="F4F1EC"/>
          </w:tcPr>
          <w:p>
            <w:pPr>
              <w:pStyle w:val="Compact"/>
              <w:spacing w:after="40" w:before="40"/>
              <w:jc w:val="left"/>
            </w:pPr>
            <w:r>
              <w:rPr>
                <w:rFonts w:ascii="Cambria" w:hAnsi="Cambria" w:cs="Cambria" w:eastAsia="Cambria"/>
                <w:color w:val="1A1A1A"/>
                <w:sz w:val="18"/>
              </w:rPr>
              <w:t xml:space="preserve">Verifica esplicita di equità; rappresentatività dei dati; percorsi alternativi non digitali; cura dell’accesso nelle aree interne</w:t>
            </w:r>
          </w:p>
        </w:tc>
      </w:tr>
      <w:tr>
        <w:tc>
          <w:tcPr/>
          <w:p>
            <w:pPr>
              <w:pStyle w:val="Compact"/>
              <w:spacing w:after="40" w:before="40"/>
              <w:jc w:val="left"/>
            </w:pPr>
            <w:r>
              <w:rPr>
                <w:rFonts w:ascii="Cambria" w:hAnsi="Cambria" w:cs="Cambria" w:eastAsia="Cambria"/>
                <w:color w:val="1A1A1A"/>
                <w:sz w:val="18"/>
              </w:rPr>
              <w:t xml:space="preserve">Supervisione umana</w:t>
            </w:r>
          </w:p>
        </w:tc>
        <w:tc>
          <w:tcPr/>
          <w:p>
            <w:pPr>
              <w:pStyle w:val="Compact"/>
              <w:spacing w:after="40" w:before="40"/>
              <w:jc w:val="left"/>
            </w:pPr>
            <w:r>
              <w:rPr>
                <w:rFonts w:ascii="Cambria" w:hAnsi="Cambria" w:cs="Cambria" w:eastAsia="Cambria"/>
                <w:color w:val="1A1A1A"/>
                <w:sz w:val="18"/>
              </w:rPr>
              <w:t xml:space="preserve">Sostituzione del giudizio clinico; deresponsabilizzazione decisionale</w:t>
            </w:r>
          </w:p>
        </w:tc>
        <w:tc>
          <w:tcPr/>
          <w:p>
            <w:pPr>
              <w:pStyle w:val="Compact"/>
              <w:spacing w:after="40" w:before="40"/>
              <w:jc w:val="left"/>
            </w:pPr>
            <w:r>
              <w:rPr>
                <w:rFonts w:ascii="Cambria" w:hAnsi="Cambria" w:cs="Cambria" w:eastAsia="Cambria"/>
                <w:color w:val="1A1A1A"/>
                <w:sz w:val="18"/>
              </w:rPr>
              <w:t xml:space="preserve">Decisione clinica in capo alla figura; comprensibilità degli strumenti; possibilità di disattendere, sospendere e intervenire; formazione all’uso consapevole</w:t>
            </w:r>
          </w:p>
        </w:tc>
      </w:tr>
      <w:tr>
        <w:tc>
          <w:tcPr>
            <w:shd w:val="clear" w:color="auto" w:fill="F4F1EC"/>
          </w:tcPr>
          <w:p>
            <w:pPr>
              <w:pStyle w:val="Compact"/>
              <w:spacing w:after="40" w:before="40"/>
              <w:jc w:val="left"/>
            </w:pPr>
            <w:r>
              <w:rPr>
                <w:rFonts w:ascii="Cambria" w:hAnsi="Cambria" w:cs="Cambria" w:eastAsia="Cambria"/>
                <w:color w:val="1A1A1A"/>
                <w:sz w:val="18"/>
              </w:rPr>
              <w:t xml:space="preserve">Responsabilità</w:t>
            </w:r>
          </w:p>
        </w:tc>
        <w:tc>
          <w:tcPr>
            <w:shd w:val="clear" w:color="auto" w:fill="F4F1EC"/>
          </w:tcPr>
          <w:p>
            <w:pPr>
              <w:pStyle w:val="Compact"/>
              <w:spacing w:after="40" w:before="40"/>
              <w:jc w:val="left"/>
            </w:pPr>
            <w:r>
              <w:rPr>
                <w:rFonts w:ascii="Cambria" w:hAnsi="Cambria" w:cs="Cambria" w:eastAsia="Cambria"/>
                <w:color w:val="1A1A1A"/>
                <w:sz w:val="18"/>
              </w:rPr>
              <w:t xml:space="preserve">Diluizione della responsabilità; opacità; trattamento improprio dei dati</w:t>
            </w:r>
          </w:p>
        </w:tc>
        <w:tc>
          <w:tcPr>
            <w:shd w:val="clear" w:color="auto" w:fill="F4F1EC"/>
          </w:tcPr>
          <w:p>
            <w:pPr>
              <w:pStyle w:val="Compact"/>
              <w:spacing w:after="40" w:before="40"/>
              <w:jc w:val="left"/>
            </w:pPr>
            <w:r>
              <w:rPr>
                <w:rFonts w:ascii="Cambria" w:hAnsi="Cambria" w:cs="Cambria" w:eastAsia="Cambria"/>
                <w:color w:val="1A1A1A"/>
                <w:sz w:val="18"/>
              </w:rPr>
              <w:t xml:space="preserve">Attribuzione chiara della responsabilità clinica; tracciabilità e registrazione degli eventi; trasparenza e rendicontabilità; protezione dei dati sanitari</w:t>
            </w:r>
          </w:p>
        </w:tc>
      </w:tr>
    </w:tbl>
    <w:p>
      <w:pPr>
        <w:pStyle w:val="BodyText"/>
      </w:pPr>
      <w:r>
        <w:rPr>
          <w:i/>
          <w:iCs/>
        </w:rPr>
        <w:t xml:space="preserve">Elaborazione dello studio sul regolamento (UE) 2024/1689, sul regolamento (UE) 2016/679 e sugli orientamenti dell’Organizzazione mondiale della sanità. I presidi operativi qui definiti si raccordano con i profili giuridici della tredicesima parte.</w:t>
      </w:r>
    </w:p>
    <w:p>
      <w:pPr>
        <w:pStyle w:val="BodyText"/>
      </w:pPr>
      <w:r>
        <w:t xml:space="preserve">Definiti il modello operativo, l’integrazione tra i livelli, le leve abilitanti e la governance che le presiede, resta da fissare la scala alla quale il servizio debba essere dimensionato perché la sua promessa si traduca in copertura reale. È l’oggetto della voce conclusiva di questa parte, che stabilisce gli scenari di copertura su cui poggerà l’intera modellazione economica.</w:t>
      </w:r>
    </w:p>
    <w:bookmarkEnd w:id="230"/>
    <w:bookmarkEnd w:id="231"/>
    <w:bookmarkStart w:id="237" w:name="X8969521fb61818572721b5c44c3b2dbfe695a92"/>
    <w:p>
      <w:pPr>
        <w:pStyle w:val="Heading2"/>
      </w:pPr>
      <w:r>
        <w:rPr>
          <w:b/>
          <w:bCs/>
        </w:rPr>
        <w:t xml:space="preserve">4.7 Il dimensionamento del servizio e gli scenari di copertura</w:t>
      </w:r>
    </w:p>
    <w:p>
      <w:pPr>
        <w:pStyle w:val="FirstParagraph"/>
      </w:pPr>
      <w:r>
        <w:rPr>
          <w:i/>
          <w:iCs/>
        </w:rPr>
        <w:t xml:space="preserve">Questa voce conclusiva della parte fissa i criteri di dimensionamento del servizio e definisce gli scenari di copertura che reggeranno la modellazione economica delle parti successive. Essa muove dalla distanza tra la dotazione attuale e il fabbisogno stimato, ricostruita nella seconda parte, e individua tre scenari progressivi che conducono il servizio verso la copertura del bisogno. La definizione di tali scenari non è una scelta tecnica isolata, ma la fissazione dei termini di riferimento dell’intera valutazione economica, perché è rispetto a questi scenari che le parti settima e ottava quantificheranno i costi e i risparmi diretti, e la nona i benefici indiretti.</w:t>
      </w:r>
    </w:p>
    <w:bookmarkStart w:id="233" w:name="Xe0925888174a86f0a0ec1789f5e662ddcf7cdbc"/>
    <w:p>
      <w:pPr>
        <w:pStyle w:val="Heading3"/>
      </w:pPr>
      <w:r>
        <w:rPr>
          <w:b/>
          <w:bCs/>
        </w:rPr>
        <w:t xml:space="preserve">La distanza tra la dotazione attuale e il fabbisogno</w:t>
      </w:r>
    </w:p>
    <w:p>
      <w:pPr>
        <w:pStyle w:val="FirstParagraph"/>
      </w:pPr>
      <w:r>
        <w:t xml:space="preserve">Il punto di partenza del dimensionamento è la distanza, ricostruita nella seconda parte, tra la dotazione del servizio oggi disponibile e il fabbisogno stimato a regime. Il servizio istituito dalla legge regionale conta oggi un numero di psicologi dell’ordine di poche decine, uno per distretto, a fronte di uno stanziamento annuo limitato, e copre perciò una quota dell’ordine del cinque per cento di un fabbisogno stimato nell’ordine di ottocento-novecento psicologi per l’intera regione.</w:t>
      </w:r>
      <w:r>
        <w:rPr>
          <w:rStyle w:val="FootnoteReference"/>
        </w:rPr>
        <w:footnoteReference w:id="124"/>
      </w:r>
      <w:r>
        <w:t xml:space="preserve"> </w:t>
      </w:r>
      <w:r>
        <w:t xml:space="preserve">Il fabbisogno è stimato a partire dalla popolazione regionale e dalla prevalenza del disagio comune, e corrisponde a un rapporto dell’ordine di un professionista ogni quattromilaquattrocento-quattromilanovecento abitanti, coerente con i parametri di riferimento dei sistemi che hanno adottato modelli analoghi. La distanza tra la dotazione attuale e il fabbisogno definisce lo spazio del dimensionamento: il servizio deve crescere, da una scala oggi simbolica, verso una scala compatibile con la copertura del bisogno, e la traiettoria di questa crescita è ciò che gli scenari di copertura descrivono.</w:t>
      </w:r>
    </w:p>
    <w:p>
      <w:pPr>
        <w:pStyle w:val="BodyText"/>
      </w:pPr>
      <w:r>
        <w:t xml:space="preserve">Il dimensionamento del servizio non è, tuttavia, una funzione del solo numero di professionisti, ma dipende anche dalla produttività che le leve abilitanti consentono. Le leve organizzative e di processo descritte nella terza voce — in particolare gli interventi di gruppo, la manualizzazione e la redistribuzione dei compiti — e la leva digitale descritta nella quarta accrescono la capacità del servizio a parità di tempo professionale impiegato, e modificano dunque il rapporto tra il numero di professionisti e la quota di domanda coperta. Una stima del fabbisogno che non tenesse conto di questa produttività sovrastimerebbe il numero di professionisti necessario; una stima che la assumesse acriticamente lo sottostimerebbe. Il dimensionamento qui adottato assume una produttività prudenziale, coerente con quella documentata nei sistemi di riferimento, e mantiene la stima del fabbisogno entro l’intervallo indicato, riservando alle parti successive l’analisi della sensibilità del risultato alla variazione di questo parametro. La produttività delle leve è, in questo senso, un fattore del dimensionamento, che ne riduce il costo a parità di copertura ma non ne sostituisce la base professionale.</w:t>
      </w:r>
    </w:p>
    <w:bookmarkEnd w:id="233"/>
    <w:bookmarkStart w:id="235" w:name="i-tre-scenari-di-copertura"/>
    <w:p>
      <w:pPr>
        <w:pStyle w:val="Heading3"/>
      </w:pPr>
      <w:r>
        <w:rPr>
          <w:b/>
          <w:bCs/>
        </w:rPr>
        <w:t xml:space="preserve">I tre scenari di copertura</w:t>
      </w:r>
    </w:p>
    <w:p>
      <w:pPr>
        <w:pStyle w:val="FirstParagraph"/>
      </w:pPr>
      <w:r>
        <w:t xml:space="preserve">La traiettoria di crescita del servizio è descritta attraverso tre scenari di copertura progressivi, che conducono la dotazione dalla scala attuale verso il fabbisogno stimato. Il primo scenario, conservativo, prevede una dotazione dell’ordine di quattrocentocinquanta incarichi; il secondo, intermedio, una dotazione dell’ordine di settecento incarichi; il terzo, espansivo, una dotazione dell’ordine di novecento incarichi, prossima al fabbisogno stimato a regime.</w:t>
      </w:r>
      <w:r>
        <w:rPr>
          <w:rStyle w:val="FootnoteReference"/>
        </w:rPr>
        <w:footnoteReference w:id="125"/>
      </w:r>
      <w:r>
        <w:t xml:space="preserve"> </w:t>
      </w:r>
      <w:r>
        <w:t xml:space="preserve">I tre scenari non costituiscono alternative tra cui scegliere una volta per tutte, ma tappe di una traiettoria progressiva, lungo la quale il servizio può essere condotto per fasi successive, in coerenza con la sequenza attuativa che la quattordicesima parte definirà. La loro funzione, in questa sede, è duplice: fissare i termini di riferimento della valutazione economica, e rendere esplicito che il valore della riforma cresce con la sua scala, perché tanto i costi quanto i benefici si moltiplicano al crescere della copertura, e il saldo tra di essi si definisce per ciascuno scenario.</w:t>
      </w:r>
    </w:p>
    <w:p>
      <w:pPr>
        <w:pStyle w:val="BodyText"/>
      </w:pPr>
      <w:r>
        <w:t xml:space="preserve">A ciascuno scenario corrisponde una quota di copertura del fabbisogno, una capacità di presa in carico e un costo, che le parti successive quantificheranno. Lo scenario conservativo, pur rappresentando un incremento di un ordine di grandezza rispetto alla dotazione attuale, copre una quota ancora parziale del fabbisogno, e configura un servizio che, sebbene significativamente potenziato, non raggiunge la copertura piena; esso costituisce la soglia minima al di sotto della quale il servizio rimarrebbe sottodimensionato rispetto alla sua funzione. Lo scenario intermedio copre una quota maggioritaria del fabbisogno e configura un servizio prossimo alla copertura adeguata, in cui la capacità di presa in carico si avvicina alla domanda intercettabile. Lo scenario espansivo copre una quota prossima alla totalità del fabbisogno stimato e configura il servizio a regime, in cui la promessa di copertura della riforma si realizza pienamente. La scelta tra gli scenari, e la velocità con cui percorrerne la traiettoria, è una decisione che eccede l’analisi tecnica e investe la programmazione regionale; il compito dello studio è fornire, per ciascuno scenario, la valutazione completa dei costi e dei benefici, perché la decisione sia informata.</w:t>
      </w:r>
    </w:p>
    <w:bookmarkEnd w:id="235"/>
    <w:bookmarkStart w:id="236" w:name="Xe6731dd6f1e97b3f5e9992b362a33b60d9921bb"/>
    <w:p>
      <w:pPr>
        <w:pStyle w:val="Heading3"/>
      </w:pPr>
      <w:r>
        <w:rPr>
          <w:b/>
          <w:bCs/>
        </w:rPr>
        <w:t xml:space="preserve">La funzione degli scenari nella valutazione economica</w:t>
      </w:r>
    </w:p>
    <w:p>
      <w:pPr>
        <w:pStyle w:val="FirstParagraph"/>
      </w:pPr>
      <w:r>
        <w:t xml:space="preserve">Gli scenari di copertura assolvono, nell’economia dell’opera, una funzione strutturale: essi sono il termine di riferimento comune cui tutte le valutazioni economiche delle parti successive sono ancorate, e ciò che ne garantisce la coerenza e la confrontabilità. Quando, nella settima parte, si quantificheranno i costi diretti — il costo del personale lungo la cascata delle figure, i costi di struttura e di coordinamento, il costo della leva digitale e quello della formazione — essi saranno calcolati per ciascuno dei tre scenari, restituendo il costo diretto complessivo per ogni livello di copertura. Quando, nell’ottava parte, si quantificheranno i risparmi diretti — la riduzione della spesa farmaceutica inappropriata, la riduzione degli accessi al pronto soccorso e dei ricoveri, la riduzione della mobilità sanitaria passiva, la riduzione degli invii impropri — essi saranno parimenti riferiti ai tre scenari. Quando, nella nona parte, si misureranno i benefici indiretti lungo il perimetro multidisciplinare integrale, la loro entità sarà commisurata alla scala del servizio. E quando, nella decima parte, si comporrà il saldo consolidato, esso sarà definito per ciascuno scenario, tenendo distinte le grandezze dirette dalle indirette e le ricadute fiscali dalle sociali, secondo la regola di non duplicazione.</w:t>
      </w:r>
    </w:p>
    <w:p>
      <w:pPr>
        <w:pStyle w:val="BodyText"/>
      </w:pPr>
      <w:r>
        <w:t xml:space="preserve">La definizione degli scenari di copertura chiude, dunque, la quarta parte conducendola al suo esito proprio: la descrizione del dispositivo operativo si completa con la fissazione della scala alla quale esso deve operare, e questa scala diventa il fondamento della valutazione economica. Resta inteso, in coerenza con i vincoli invarianti dell’opera, che la quantificazione monetaria dei costi e dei benefici è rinviata alle parti successive, e che le grandezze qui richiamate — il numero degli incarichi, la quota di copertura, l’ordine di grandezza della dotazione — sono parametri di dimensionamento, da calibrare sui dati primari regionali, e non risultati economici. La tabella che segue ricompone i tre scenari di copertura e i parametri di dimensionamento, e prepara il lettore alle valutazioni economiche delle parti successive.</w:t>
      </w:r>
    </w:p>
    <w:p>
      <w:pPr>
        <w:pStyle w:val="BodyText"/>
      </w:pPr>
      <w:r>
        <w:rPr>
          <w:b/>
          <w:bCs/>
        </w:rPr>
        <w:t xml:space="preserve">Tabella 4.7 — I tre scenari di copertura e i parametri di dimensionamento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Parametro di dimensionamento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Scenario 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Scenario intermedio</w:t>
            </w:r>
          </w:p>
        </w:tc>
        <w:tc>
          <w:tcPr>
            <w:shd w:val="clear" w:color="auto" w:fill="16264B"/>
          </w:tcPr>
          <w:p>
            <w:pPr>
              <w:pStyle w:val="Compact"/>
              <w:spacing w:after="40" w:before="40"/>
              <w:jc w:val="left"/>
            </w:pPr>
            <w:r>
              <w:rPr>
                <w:rFonts w:ascii="Cambria" w:hAnsi="Cambria" w:cs="Cambria" w:eastAsia="Cambria"/>
                <w:b/>
                <w:bCs/>
                <w:color w:val="FFFFFF"/>
                <w:sz w:val="18"/>
              </w:rPr>
              <w:t xml:space="preserve">Scenario espansivo</w:t>
            </w:r>
          </w:p>
        </w:tc>
      </w:tr>
      <w:tr>
        <w:tc>
          <w:tcPr/>
          <w:p>
            <w:pPr>
              <w:pStyle w:val="Compact"/>
              <w:spacing w:after="40" w:before="40"/>
              <w:jc w:val="left"/>
            </w:pPr>
            <w:r>
              <w:rPr>
                <w:rFonts w:ascii="Cambria" w:hAnsi="Cambria" w:cs="Cambria" w:eastAsia="Cambria"/>
                <w:color w:val="1A1A1A"/>
                <w:sz w:val="18"/>
              </w:rPr>
              <w:t xml:space="preserve">Dotazione (ordine di grandezza degli incarichi)</w:t>
            </w:r>
          </w:p>
        </w:tc>
        <w:tc>
          <w:tcPr/>
          <w:p>
            <w:pPr>
              <w:pStyle w:val="Compact"/>
              <w:spacing w:after="40" w:before="40"/>
              <w:jc w:val="left"/>
            </w:pPr>
            <w:r>
              <w:rPr>
                <w:rFonts w:ascii="Cambria" w:hAnsi="Cambria" w:cs="Cambria" w:eastAsia="Cambria"/>
                <w:color w:val="1A1A1A"/>
                <w:sz w:val="18"/>
              </w:rPr>
              <w:t xml:space="preserve">~ 450</w:t>
            </w:r>
          </w:p>
        </w:tc>
        <w:tc>
          <w:tcPr/>
          <w:p>
            <w:pPr>
              <w:pStyle w:val="Compact"/>
              <w:spacing w:after="40" w:before="40"/>
              <w:jc w:val="left"/>
            </w:pPr>
            <w:r>
              <w:rPr>
                <w:rFonts w:ascii="Cambria" w:hAnsi="Cambria" w:cs="Cambria" w:eastAsia="Cambria"/>
                <w:color w:val="1A1A1A"/>
                <w:sz w:val="18"/>
              </w:rPr>
              <w:t xml:space="preserve">~ 700</w:t>
            </w:r>
          </w:p>
        </w:tc>
        <w:tc>
          <w:tcPr/>
          <w:p>
            <w:pPr>
              <w:pStyle w:val="Compact"/>
              <w:spacing w:after="40" w:before="40"/>
              <w:jc w:val="left"/>
            </w:pPr>
            <w:r>
              <w:rPr>
                <w:rFonts w:ascii="Cambria" w:hAnsi="Cambria" w:cs="Cambria" w:eastAsia="Cambria"/>
                <w:color w:val="1A1A1A"/>
                <w:sz w:val="18"/>
              </w:rPr>
              <w:t xml:space="preserve">~ 900</w:t>
            </w:r>
          </w:p>
        </w:tc>
      </w:tr>
      <w:tr>
        <w:tc>
          <w:tcPr>
            <w:shd w:val="clear" w:color="auto" w:fill="F4F1EC"/>
          </w:tcPr>
          <w:p>
            <w:pPr>
              <w:pStyle w:val="Compact"/>
              <w:spacing w:after="40" w:before="40"/>
              <w:jc w:val="left"/>
            </w:pPr>
            <w:r>
              <w:rPr>
                <w:rFonts w:ascii="Cambria" w:hAnsi="Cambria" w:cs="Cambria" w:eastAsia="Cambria"/>
                <w:color w:val="1A1A1A"/>
                <w:sz w:val="18"/>
              </w:rPr>
              <w:t xml:space="preserve">Rapporto sulla dotazione attuale (~ 45)</w:t>
            </w:r>
          </w:p>
        </w:tc>
        <w:tc>
          <w:tcPr>
            <w:shd w:val="clear" w:color="auto" w:fill="F4F1EC"/>
          </w:tcPr>
          <w:p>
            <w:pPr>
              <w:pStyle w:val="Compact"/>
              <w:spacing w:after="40" w:before="40"/>
              <w:jc w:val="left"/>
            </w:pPr>
            <w:r>
              <w:rPr>
                <w:rFonts w:ascii="Cambria" w:hAnsi="Cambria" w:cs="Cambria" w:eastAsia="Cambria"/>
                <w:color w:val="1A1A1A"/>
                <w:sz w:val="18"/>
              </w:rPr>
              <w:t xml:space="preserve">~ 10 volte</w:t>
            </w:r>
          </w:p>
        </w:tc>
        <w:tc>
          <w:tcPr>
            <w:shd w:val="clear" w:color="auto" w:fill="F4F1EC"/>
          </w:tcPr>
          <w:p>
            <w:pPr>
              <w:pStyle w:val="Compact"/>
              <w:spacing w:after="40" w:before="40"/>
              <w:jc w:val="left"/>
            </w:pPr>
            <w:r>
              <w:rPr>
                <w:rFonts w:ascii="Cambria" w:hAnsi="Cambria" w:cs="Cambria" w:eastAsia="Cambria"/>
                <w:color w:val="1A1A1A"/>
                <w:sz w:val="18"/>
              </w:rPr>
              <w:t xml:space="preserve">~ 15 volte</w:t>
            </w:r>
          </w:p>
        </w:tc>
        <w:tc>
          <w:tcPr>
            <w:shd w:val="clear" w:color="auto" w:fill="F4F1EC"/>
          </w:tcPr>
          <w:p>
            <w:pPr>
              <w:pStyle w:val="Compact"/>
              <w:spacing w:after="40" w:before="40"/>
              <w:jc w:val="left"/>
            </w:pPr>
            <w:r>
              <w:rPr>
                <w:rFonts w:ascii="Cambria" w:hAnsi="Cambria" w:cs="Cambria" w:eastAsia="Cambria"/>
                <w:color w:val="1A1A1A"/>
                <w:sz w:val="18"/>
              </w:rPr>
              <w:t xml:space="preserve">~ 20 volte</w:t>
            </w:r>
          </w:p>
        </w:tc>
      </w:tr>
      <w:tr>
        <w:tc>
          <w:tcPr/>
          <w:p>
            <w:pPr>
              <w:pStyle w:val="Compact"/>
              <w:spacing w:after="40" w:before="40"/>
              <w:jc w:val="left"/>
            </w:pPr>
            <w:r>
              <w:rPr>
                <w:rFonts w:ascii="Cambria" w:hAnsi="Cambria" w:cs="Cambria" w:eastAsia="Cambria"/>
                <w:color w:val="1A1A1A"/>
                <w:sz w:val="18"/>
              </w:rPr>
              <w:t xml:space="preserve">Quota di copertura del fabbisogno stimato</w:t>
            </w:r>
          </w:p>
        </w:tc>
        <w:tc>
          <w:tcPr/>
          <w:p>
            <w:pPr>
              <w:pStyle w:val="Compact"/>
              <w:spacing w:after="40" w:before="40"/>
              <w:jc w:val="left"/>
            </w:pPr>
            <w:r>
              <w:rPr>
                <w:rFonts w:ascii="Cambria" w:hAnsi="Cambria" w:cs="Cambria" w:eastAsia="Cambria"/>
                <w:color w:val="1A1A1A"/>
                <w:sz w:val="18"/>
              </w:rPr>
              <w:t xml:space="preserve">parziale</w:t>
            </w:r>
          </w:p>
        </w:tc>
        <w:tc>
          <w:tcPr/>
          <w:p>
            <w:pPr>
              <w:pStyle w:val="Compact"/>
              <w:spacing w:after="40" w:before="40"/>
              <w:jc w:val="left"/>
            </w:pPr>
            <w:r>
              <w:rPr>
                <w:rFonts w:ascii="Cambria" w:hAnsi="Cambria" w:cs="Cambria" w:eastAsia="Cambria"/>
                <w:color w:val="1A1A1A"/>
                <w:sz w:val="18"/>
              </w:rPr>
              <w:t xml:space="preserve">maggioritaria</w:t>
            </w:r>
          </w:p>
        </w:tc>
        <w:tc>
          <w:tcPr/>
          <w:p>
            <w:pPr>
              <w:pStyle w:val="Compact"/>
              <w:spacing w:after="40" w:before="40"/>
              <w:jc w:val="left"/>
            </w:pPr>
            <w:r>
              <w:rPr>
                <w:rFonts w:ascii="Cambria" w:hAnsi="Cambria" w:cs="Cambria" w:eastAsia="Cambria"/>
                <w:color w:val="1A1A1A"/>
                <w:sz w:val="18"/>
              </w:rPr>
              <w:t xml:space="preserve">prossima alla totalità</w:t>
            </w:r>
          </w:p>
        </w:tc>
      </w:tr>
      <w:tr>
        <w:tc>
          <w:tcPr>
            <w:shd w:val="clear" w:color="auto" w:fill="F4F1EC"/>
          </w:tcPr>
          <w:p>
            <w:pPr>
              <w:pStyle w:val="Compact"/>
              <w:spacing w:after="40" w:before="40"/>
              <w:jc w:val="left"/>
            </w:pPr>
            <w:r>
              <w:rPr>
                <w:rFonts w:ascii="Cambria" w:hAnsi="Cambria" w:cs="Cambria" w:eastAsia="Cambria"/>
                <w:color w:val="1A1A1A"/>
                <w:sz w:val="18"/>
              </w:rPr>
              <w:t xml:space="preserve">Configurazione del servizio</w:t>
            </w:r>
          </w:p>
        </w:tc>
        <w:tc>
          <w:tcPr>
            <w:shd w:val="clear" w:color="auto" w:fill="F4F1EC"/>
          </w:tcPr>
          <w:p>
            <w:pPr>
              <w:pStyle w:val="Compact"/>
              <w:spacing w:after="40" w:before="40"/>
              <w:jc w:val="left"/>
            </w:pPr>
            <w:r>
              <w:rPr>
                <w:rFonts w:ascii="Cambria" w:hAnsi="Cambria" w:cs="Cambria" w:eastAsia="Cambria"/>
                <w:color w:val="1A1A1A"/>
                <w:sz w:val="18"/>
              </w:rPr>
              <w:t xml:space="preserve">potenziato, non pieno</w:t>
            </w:r>
          </w:p>
        </w:tc>
        <w:tc>
          <w:tcPr>
            <w:shd w:val="clear" w:color="auto" w:fill="F4F1EC"/>
          </w:tcPr>
          <w:p>
            <w:pPr>
              <w:pStyle w:val="Compact"/>
              <w:spacing w:after="40" w:before="40"/>
              <w:jc w:val="left"/>
            </w:pPr>
            <w:r>
              <w:rPr>
                <w:rFonts w:ascii="Cambria" w:hAnsi="Cambria" w:cs="Cambria" w:eastAsia="Cambria"/>
                <w:color w:val="1A1A1A"/>
                <w:sz w:val="18"/>
              </w:rPr>
              <w:t xml:space="preserve">prossimo all’adeguatezza</w:t>
            </w:r>
          </w:p>
        </w:tc>
        <w:tc>
          <w:tcPr>
            <w:shd w:val="clear" w:color="auto" w:fill="F4F1EC"/>
          </w:tcPr>
          <w:p>
            <w:pPr>
              <w:pStyle w:val="Compact"/>
              <w:spacing w:after="40" w:before="40"/>
              <w:jc w:val="left"/>
            </w:pPr>
            <w:r>
              <w:rPr>
                <w:rFonts w:ascii="Cambria" w:hAnsi="Cambria" w:cs="Cambria" w:eastAsia="Cambria"/>
                <w:color w:val="1A1A1A"/>
                <w:sz w:val="18"/>
              </w:rPr>
              <w:t xml:space="preserve">a regime</w:t>
            </w:r>
          </w:p>
        </w:tc>
      </w:tr>
      <w:tr>
        <w:tc>
          <w:tcPr/>
          <w:p>
            <w:pPr>
              <w:pStyle w:val="Compact"/>
              <w:spacing w:after="40" w:before="40"/>
              <w:jc w:val="left"/>
            </w:pPr>
            <w:r>
              <w:rPr>
                <w:rFonts w:ascii="Cambria" w:hAnsi="Cambria" w:cs="Cambria" w:eastAsia="Cambria"/>
                <w:color w:val="1A1A1A"/>
                <w:sz w:val="18"/>
              </w:rPr>
              <w:t xml:space="preserve">Funzione nella valutazione economica</w:t>
            </w:r>
          </w:p>
        </w:tc>
        <w:tc>
          <w:tcPr/>
          <w:p>
            <w:pPr>
              <w:pStyle w:val="Compact"/>
              <w:spacing w:after="40" w:before="40"/>
              <w:jc w:val="left"/>
            </w:pPr>
            <w:r>
              <w:rPr>
                <w:rFonts w:ascii="Cambria" w:hAnsi="Cambria" w:cs="Cambria" w:eastAsia="Cambria"/>
                <w:color w:val="1A1A1A"/>
                <w:sz w:val="18"/>
              </w:rPr>
              <w:t xml:space="preserve">soglia minima</w:t>
            </w:r>
          </w:p>
        </w:tc>
        <w:tc>
          <w:tcPr/>
          <w:p>
            <w:pPr>
              <w:pStyle w:val="Compact"/>
              <w:spacing w:after="40" w:before="40"/>
              <w:jc w:val="left"/>
            </w:pPr>
            <w:r>
              <w:rPr>
                <w:rFonts w:ascii="Cambria" w:hAnsi="Cambria" w:cs="Cambria" w:eastAsia="Cambria"/>
                <w:color w:val="1A1A1A"/>
                <w:sz w:val="18"/>
              </w:rPr>
              <w:t xml:space="preserve">riferimento centrale</w:t>
            </w:r>
          </w:p>
        </w:tc>
        <w:tc>
          <w:tcPr/>
          <w:p>
            <w:pPr>
              <w:pStyle w:val="Compact"/>
              <w:spacing w:after="40" w:before="40"/>
              <w:jc w:val="left"/>
            </w:pPr>
            <w:r>
              <w:rPr>
                <w:rFonts w:ascii="Cambria" w:hAnsi="Cambria" w:cs="Cambria" w:eastAsia="Cambria"/>
                <w:color w:val="1A1A1A"/>
                <w:sz w:val="18"/>
              </w:rPr>
              <w:t xml:space="preserve">copertura piena</w:t>
            </w:r>
          </w:p>
        </w:tc>
      </w:tr>
    </w:tbl>
    <w:p>
      <w:pPr>
        <w:pStyle w:val="BodyText"/>
      </w:pPr>
      <w:r>
        <w:rPr>
          <w:i/>
          <w:iCs/>
        </w:rPr>
        <w:t xml:space="preserve">Elaborazione dello studio, coerente con la seconda parte. Le grandezze sono parametri di dimensionamento, da calibrare sui dati primari regionali; la quantificazione monetaria è rinviata alle parti settima, ottava, nona e decima.</w:t>
      </w:r>
    </w:p>
    <w:p>
      <w:pPr>
        <w:pStyle w:val="BodyText"/>
      </w:pPr>
      <w:r>
        <w:t xml:space="preserve">Definiti gli scenari di copertura, la parte ha completato la descrizione del dispositivo operativo e ne ha fissato la scala. Restano da comporre il quadro conclusivo, che ne raccoglie la portata economico-sociale e multidisciplinare, e la conclusione, che ne tira le somme e apre alla parte seguente, prima di consegnare l’apparato bibliografico integrale.</w:t>
      </w:r>
    </w:p>
    <w:bookmarkEnd w:id="236"/>
    <w:bookmarkEnd w:id="237"/>
    <w:bookmarkStart w:id="238" w:name="X4230152debf19322ca72e147cdfa6f6ccfbd243"/>
    <w:p>
      <w:pPr>
        <w:pStyle w:val="Heading2"/>
      </w:pPr>
      <w:r>
        <w:rPr>
          <w:b/>
          <w:bCs/>
        </w:rPr>
        <w:t xml:space="preserve">Quadro conclusivo economico-sociale e multidisciplinare integrale</w:t>
      </w:r>
    </w:p>
    <w:p>
      <w:pPr>
        <w:pStyle w:val="FirstParagraph"/>
      </w:pPr>
      <w:r>
        <w:t xml:space="preserve">La quarta parte non produce stime economiche, ma descrive il dispositivo operativo che le rende conseguibili; il suo quadro conclusivo, pertanto, non espone risultati monetari, bensì la portata economico-sociale e multidisciplinare che il modello organizzativo e le leve abilitanti qui definiti renderanno misurabile nelle parti applicative. Esso ricompone, in forma unitaria, il modo in cui gli elementi del modello generano, lungo il loro funzionamento, i costi e le efficienze che le parti successive quantificheranno, e dichiara in anticipo la struttura del valore che la descrizione del dispositivo prepara.</w:t>
      </w:r>
    </w:p>
    <w:p>
      <w:pPr>
        <w:pStyle w:val="BodyText"/>
      </w:pPr>
      <w:r>
        <w:t xml:space="preserve">Sul versante dei costi, il modello individua con precisione i punti in cui esso genera costo diretto, che la settima parte imputerà lungo la cascata delle figure. Il primo livello nelle cure primarie genera il costo del personale dello Psicologo di Base e delle figure della coppia clinica; le sedi e il coordinamento generano i costi di struttura e di organizzazione; la leva digitale genera il costo incrementale degli strumenti e della loro governance; e la formazione, che la quinta parte tratterà, genera il costo dell’abilitazione delle figure all’uso del modello e delle sue leve. Questi costi non sono una grandezza indistinta, ma una somma di componenti attribuibili a livelli e funzioni definiti, e la descrizione del dispositivo operativo è ciò che ne rende possibile l’imputazione ordinata.</w:t>
      </w:r>
    </w:p>
    <w:p>
      <w:pPr>
        <w:pStyle w:val="BodyText"/>
      </w:pPr>
      <w:r>
        <w:t xml:space="preserve">Sul versante delle efficienze, il modello individua i punti in cui esso produce il risparmio diretto e il beneficio indiretto che le parti ottava e nona misureranno, mantenendoli rigorosamente distinti. Il filtro tra i livelli, trattenendo nel primo livello i quadri comuni, produce la riallocazione della domanda da cui discendono i risparmi diretti per il bilancio sanitario regionale — la riduzione degli accessi inappropriati al pronto soccorso, la riduzione degli invii specialistici impropri, la riduzione della mobilità sanitaria passiva — che si manifestano nei domini sanitario e prevenzionalistico. La continuità della presa in carico, contrastando le ricadute e le cronicizzazioni, e il coordinamento intersettoriale, propagando gli effetti oltre il confine sanitario, predispongono i canali attraverso cui si realizzeranno i benefici indiretti che la nona parte misurerà lungo l’intero perimetro multidisciplinare — il lavoro, la previdenza, la produzione, l’assistenza, il welfare, la prevenzione, la giustizia, la burocrazia, la cultura, l’istruzione, la ricerca, l’industria, la tutela sindacale, il benessere delle comunità, il capitale sociale e i bilanci regionali. Le due categorie restano distinte fino al saldo, dove la loro composizione sarà esplicitata e governata dalla regola di non duplicazione.</w:t>
      </w:r>
    </w:p>
    <w:p>
      <w:pPr>
        <w:pStyle w:val="BodyText"/>
      </w:pPr>
      <w:r>
        <w:t xml:space="preserve">Le leve abilitanti, considerate nel loro insieme, costituiscono il fattore che modula il rapporto tra i costi e gli esiti del modello, e la loro descrizione in questa parte prepara la valutazione della loro efficienza. Le leve organizzative e di processo accrescono la capacità del servizio a parità di risorse, e riducono perciò il costo a parità di copertura; la leva digitale, nei suoi impieghi sostenuti da evidenza adeguata e sotto la governance prudenziale, amplifica questa efficienza, estende l’accesso e contribuisce all’equità territoriale che la dodicesima parte considererà. Gli scenari di copertura, infine, fissano la scala alla quale tutti questi effetti si commisurano, e costituiscono il termine di riferimento comune cui le valutazioni economiche delle parti settima, ottava, nona e decima saranno ancorate. La portata multidisciplinare integrale del modello si apprezza, in conclusione, nella molteplicità dei domini che il suo funzionamento attraversa: il dispositivo descritto in questa parte non è un servizio sanitario circoscritto, ma il punto di origine di una catena di effetti che, dall’intercettazione precoce del disagio nel primo livello, si propagano lungo la cascata delle figure e la matrice dei domini, e che le parti successive misureranno con la disciplina della separazione tra grandezze dirette e indirette e con i vincoli prudenziali che l’opera si è imposta.</w:t>
      </w:r>
    </w:p>
    <w:bookmarkEnd w:id="238"/>
    <w:bookmarkStart w:id="239" w:name="conclusione-2"/>
    <w:p>
      <w:pPr>
        <w:pStyle w:val="Heading2"/>
      </w:pPr>
      <w:r>
        <w:rPr>
          <w:b/>
          <w:bCs/>
        </w:rPr>
        <w:t xml:space="preserve">Conclusione</w:t>
      </w:r>
    </w:p>
    <w:p>
      <w:pPr>
        <w:pStyle w:val="FirstParagraph"/>
      </w:pPr>
      <w:r>
        <w:t xml:space="preserve">La quarta parte ha descritto il dispositivo operativo del Servizio di Psicologia di Base e ne ha fissato la scala. Ha definito il modello operativo nei suoi quattro elementi costitutivi — la cura per intensità crescente, l’assistenza collaborativa, la coppia clinica e i percorsi diagnostico-terapeutici assistenziali — ricondotti ai programmi internazionali che li hanno validati e adattati alle sedi del sistema sanitario pugliese. Ha esposto l’integrazione tra il livello delle cure primarie e quello dei servizi specialistici, e le regole di invio e di ritorno che ne governano il flusso, mostrando come in esse si decidano tanto l’appropriatezza clinica quanto gli effetti economici della riforma. Ha ordinato le leve abilitanti organizzative e di processo, distinguendole dalla leva digitale e collocandole nella loro priorità logica e operativa.</w:t>
      </w:r>
    </w:p>
    <w:p>
      <w:pPr>
        <w:pStyle w:val="BodyText"/>
      </w:pPr>
      <w:r>
        <w:t xml:space="preserve">Ha quindi trattato la leva digitale e l’Intelligenza Artificiale lungo l’intero ciclo assistenziale, collocandole come strumenti abilitanti subordinati alla supervisione umana e graduandone l’evidenza con il medesimo rigore applicato alle affermazioni cliniche: ha riconosciuto la base solida della terapia cognitivo-comportamentale erogata via internet nelle forme guidate, e ha trattato con franchezza il carattere ancora emergente del triage assistito, dei modelli predittivi e delle forme avanzate di monitoraggio remoto, ammessi soltanto in forma sperimentale e sorvegliata. Ha definito i dispositivi terapeutici digitali su prescrizione e la cornice di rischio che ne governa l’impiego, registrando l’assenza, allo stato, di una procedura italiana compiuta di riconoscimento e di accesso, e segnalandone la definizione come condizione abilitante della riforma. Ha stabilito la governance prudenziale dell’Intelligenza Artificiale nei suoi quattro pilastri — la sicurezza, l’equità, la supervisione umana e la responsabilità — e nei presidi che li traducono in regole operative. E ha fissato i tre scenari di copertura che reggeranno la modellazione economica delle parti successive.</w:t>
      </w:r>
    </w:p>
    <w:p>
      <w:pPr>
        <w:pStyle w:val="BodyText"/>
      </w:pPr>
      <w:r>
        <w:t xml:space="preserve">Con ciò, la parte ha adempiuto alla propria funzione: tradurre l’architettura statica delle figure, definita nella terza parte, nel movimento governato di un servizio, e predisporre il dispositivo operativo su cui la valutazione economica poggerà. La parte seguente assume questo fondamento e affronta il pilastro trasversale che ne condiziona la realizzazione: la formazione del personale, nelle quattro modalità — universitaria, post-universitaria, lavorativa e per affiancamento di figure esperte, comprese quelle dedicate all’uso dell’Intelligenza Artificiale — considerate sia singolarmente sia congiuntamente, con i loro costi, i loro tempi e i loro rendimenti. Descritto il dispositivo, l’opera muove ora verso la condizione che ne abilita le figure a farlo funzionare.</w:t>
      </w:r>
    </w:p>
    <w:bookmarkEnd w:id="239"/>
    <w:bookmarkStart w:id="240" w:name="note-bibliografiche-integrali-parte-iv"/>
    <w:p>
      <w:pPr>
        <w:pStyle w:val="Heading2"/>
      </w:pPr>
      <w:r>
        <w:rPr>
          <w:b/>
          <w:bCs/>
        </w:rPr>
        <w:t xml:space="preserve">Note Bibliografiche Integrali — Parte IV</w:t>
      </w:r>
    </w:p>
    <w:p>
      <w:pPr>
        <w:pStyle w:val="FirstParagraph"/>
      </w:pPr>
      <w:r>
        <w:t xml:space="preserve">L’apparato bibliografico che segue raccoglie, in forma consolidata, le note della Parte IV. Ciascuna nota reca il nome della fonte, il collegamento e un mini-riassunto del suo contenuto e del suo uso nell’opera, in coerenza con lo standard adottato per l’intero studio. Le note relative ai modelli organizzativi e alle evidenze di efficacia si affiancano a quelle relative al quadro regolatorio europeo, alla graduazione dell’evidenza e alla governance dell’Intelligenza Artificiale, a comporre il fondamento documentale del modello organizzativo descritto in questa parte.</w:t>
      </w:r>
    </w:p>
    <w:p>
      <w:pPr>
        <w:pStyle w:val="BodyText"/>
      </w:pPr>
      <w:r>
        <w:rPr>
          <w:b/>
          <w:bCs/>
        </w:rPr>
        <w:t xml:space="preserve">1. Modelli internazionali di integrazione della salute mentale nelle cure primarie (collaborative care, integrated care, stepped care, primary care mental health)</w:t>
      </w:r>
      <w:r>
        <w:t xml:space="preserve"> </w:t>
      </w:r>
      <w:r>
        <w:t xml:space="preserve">— https://www.who.int/teams/mental-health-and-substance-use —</w:t>
      </w:r>
      <w:r>
        <w:t xml:space="preserve"> </w:t>
      </w:r>
      <w:r>
        <w:rPr>
          <w:i/>
          <w:iCs/>
        </w:rPr>
        <w:t xml:space="preserve">Insieme dei modelli organizzativi che integrano i professionisti della salute mentale nelle cure primarie; ne condividono i principi — collocazione di prossimità, triage strutturato, interventi brevi e manualizzati, monitoraggio sistematico degli esiti, integrazione con la medicina generale, orientamento alla prevenzione secondaria — che costituiscono il fondamento del modello operativo descritto nella voce 4.1.</w:t>
      </w:r>
    </w:p>
    <w:p>
      <w:pPr>
        <w:pStyle w:val="BodyText"/>
      </w:pPr>
      <w:r>
        <w:rPr>
          <w:b/>
          <w:bCs/>
        </w:rPr>
        <w:t xml:space="preserve">2. Programma inglese di terapie psicologiche (Improving Access to Psychological Therapies — NHS Talking Therapies)</w:t>
      </w:r>
      <w:r>
        <w:t xml:space="preserve"> </w:t>
      </w:r>
      <w:r>
        <w:t xml:space="preserve">— https://www.england.nhs.uk/mental-health/adults/nhs-talking-therapies/ —</w:t>
      </w:r>
      <w:r>
        <w:t xml:space="preserve"> </w:t>
      </w:r>
      <w:r>
        <w:rPr>
          <w:i/>
          <w:iCs/>
        </w:rPr>
        <w:t xml:space="preserve">Programma del Servizio sanitario inglese, avviato nel 2008 e oggi denominato NHS Talking Therapies; applicazione più consolidata della cura a intensità crescente su due livelli (interventi a bassa e ad alta intensità) con monitoraggio sistematico degli esiti. Riferimento per il modello a intensità crescente adottato nelle voci 4.1 e 4.2.</w:t>
      </w:r>
    </w:p>
    <w:p>
      <w:pPr>
        <w:pStyle w:val="BodyText"/>
      </w:pPr>
      <w:r>
        <w:rPr>
          <w:b/>
          <w:bCs/>
        </w:rPr>
        <w:t xml:space="preserve">3. Woltmann E. et al., Comparative effectiveness of collaborative chronic care models for mental health conditions (American Journal of Psychiatry, 2012)</w:t>
      </w:r>
      <w:r>
        <w:t xml:space="preserve"> </w:t>
      </w:r>
      <w:r>
        <w:t xml:space="preserve">— https://doi.org/10.1176/appi.ajp.2012.11111616 —</w:t>
      </w:r>
      <w:r>
        <w:t xml:space="preserve"> </w:t>
      </w:r>
      <w:r>
        <w:rPr>
          <w:i/>
          <w:iCs/>
        </w:rPr>
        <w:t xml:space="preserve">Meta-analisi su cinquantasette studi del modello di assistenza collaborativa; documenta un miglioramento dei sintomi depressivi con effetto medio dell’ordine di 0,28 deviazioni standard. Sostiene il principio della collaborazione strutturata adottato nella voce 4.1.</w:t>
      </w:r>
    </w:p>
    <w:p>
      <w:pPr>
        <w:pStyle w:val="BodyText"/>
      </w:pPr>
      <w:r>
        <w:rPr>
          <w:b/>
          <w:bCs/>
        </w:rPr>
        <w:t xml:space="preserve">4. Archer J. et al., Collaborative care for people with depression and anxiety (Cochrane Database of Systematic Reviews, 2012)</w:t>
      </w:r>
      <w:r>
        <w:t xml:space="preserve"> </w:t>
      </w:r>
      <w:r>
        <w:t xml:space="preserve">— https://doi.org/10.1002/14651858.CD006525.pub2 —</w:t>
      </w:r>
      <w:r>
        <w:t xml:space="preserve"> </w:t>
      </w:r>
      <w:r>
        <w:rPr>
          <w:i/>
          <w:iCs/>
        </w:rPr>
        <w:t xml:space="preserve">Revisione sistematica su settantanove studi randomizzati e oltre ventiquattromila partecipanti; documenta un miglioramento significativo dei sintomi depressivi e ansiosi rispetto all’assistenza ordinaria, con benefici fino a due anni. Base di evidenza più ampia a sostegno dell’assistenza collaborativa nella voce 4.1.</w:t>
      </w:r>
    </w:p>
    <w:p>
      <w:pPr>
        <w:pStyle w:val="BodyText"/>
      </w:pPr>
      <w:r>
        <w:rPr>
          <w:b/>
          <w:bCs/>
        </w:rPr>
        <w:t xml:space="preserve">5. Modello olandese di integrazione degli psicologi nelle cure primarie (POH-GGZ, Praktijkondersteuner Huisarts Geestelijke Gezondheidszorg)</w:t>
      </w:r>
      <w:r>
        <w:t xml:space="preserve"> </w:t>
      </w:r>
      <w:r>
        <w:t xml:space="preserve">— https://www.nivel.nl/en —</w:t>
      </w:r>
      <w:r>
        <w:t xml:space="preserve"> </w:t>
      </w:r>
      <w:r>
        <w:rPr>
          <w:i/>
          <w:iCs/>
        </w:rPr>
        <w:t xml:space="preserve">Modello che integra il sostegno psicologico presso lo studio del medico di base, con interventi brevi e invio ai servizi specialistici per una quota dell’ordine del quindici per cento dei casi. Riferimento per la quota di transito tra i livelli adottata nella voce 4.2.</w:t>
      </w:r>
    </w:p>
    <w:p>
      <w:pPr>
        <w:pStyle w:val="BodyText"/>
      </w:pPr>
      <w:r>
        <w:rPr>
          <w:b/>
          <w:bCs/>
        </w:rPr>
        <w:t xml:space="preserve">6. Guyatt G.H. et al., GRADE: an emerging consensus on rating quality of evidence and strength of recommendations (British Medical Journal, 2008)</w:t>
      </w:r>
      <w:r>
        <w:t xml:space="preserve"> </w:t>
      </w:r>
      <w:r>
        <w:t xml:space="preserve">— https://doi.org/10.1136/bmj.39489.470347.AD —</w:t>
      </w:r>
      <w:r>
        <w:t xml:space="preserve"> </w:t>
      </w:r>
      <w:r>
        <w:rPr>
          <w:i/>
          <w:iCs/>
        </w:rPr>
        <w:t xml:space="preserve">Definizione del sistema GRADE per la valutazione della qualità delle prove (alta, moderata, bassa, molto bassa) e della forza delle raccomandazioni. Metodo applicato simmetricamente, nella voce 4.4, all’evidenza clinica e a quella relativa agli strumenti digitali e all’Intelligenza Artificiale.</w:t>
      </w:r>
    </w:p>
    <w:p>
      <w:pPr>
        <w:pStyle w:val="BodyText"/>
      </w:pPr>
      <w:r>
        <w:rPr>
          <w:b/>
          <w:bCs/>
        </w:rPr>
        <w:t xml:space="preserve">7. Karyotaki E. et al., Internet-based cognitive behavioral therapy for depression: individual patient data meta-analysis (JAMA Psychiatry, 2021)</w:t>
      </w:r>
      <w:r>
        <w:t xml:space="preserve"> </w:t>
      </w:r>
      <w:r>
        <w:t xml:space="preserve">— https://doi.org/10.1001/jamapsychiatry.2020.4364 —</w:t>
      </w:r>
      <w:r>
        <w:t xml:space="preserve"> </w:t>
      </w:r>
      <w:r>
        <w:rPr>
          <w:i/>
          <w:iCs/>
        </w:rPr>
        <w:t xml:space="preserve">Meta-analisi su dati individuali dei pazienti; documenta l’efficacia della terapia cognitivo-comportamentale erogata via internet per la depressione, con superiorità delle forme guidate. Fonde l’evidenza, da moderata ad alta, su cui poggia il trattamento digitale nella voce 4.4.</w:t>
      </w:r>
    </w:p>
    <w:p>
      <w:pPr>
        <w:pStyle w:val="BodyText"/>
      </w:pPr>
      <w:r>
        <w:rPr>
          <w:b/>
          <w:bCs/>
        </w:rPr>
        <w:t xml:space="preserve">8. Andersson G. et al., Internet-based vs. face-to-face cognitive behaviour therapy for psychiatric and somatic disorders (World Psychiatry, 2014)</w:t>
      </w:r>
      <w:r>
        <w:t xml:space="preserve"> </w:t>
      </w:r>
      <w:r>
        <w:t xml:space="preserve">— https://doi.org/10.1002/wps.20151 —</w:t>
      </w:r>
      <w:r>
        <w:t xml:space="preserve"> </w:t>
      </w:r>
      <w:r>
        <w:rPr>
          <w:i/>
          <w:iCs/>
        </w:rPr>
        <w:t xml:space="preserve">Confronto tra terapia cognitivo-comportamentale erogata via internet e in presenza; documenta un’efficacia comparabile per le condizioni appropriate. Corrobora l’integrazione della terapia digitale nel primo livello descritta nella voce 4.4.</w:t>
      </w:r>
    </w:p>
    <w:p>
      <w:pPr>
        <w:pStyle w:val="BodyText"/>
      </w:pPr>
      <w:r>
        <w:rPr>
          <w:b/>
          <w:bCs/>
        </w:rPr>
        <w:t xml:space="preserve">9. Torous J. et al., The growing field of digital psychiatry: current evidence and the future of apps, social media, chatbots, and artificial intelligence (World Psychiatry, 2021)</w:t>
      </w:r>
      <w:r>
        <w:t xml:space="preserve"> </w:t>
      </w:r>
      <w:r>
        <w:t xml:space="preserve">— https://doi.org/10.1002/wps.20883 —</w:t>
      </w:r>
      <w:r>
        <w:t xml:space="preserve"> </w:t>
      </w:r>
      <w:r>
        <w:rPr>
          <w:i/>
          <w:iCs/>
        </w:rPr>
        <w:t xml:space="preserve">Rassegna critica delle tecnologie digitali in salute mentale, comprese le applicazioni, gli strumenti di monitoraggio e l’Intelligenza Artificiale; segnala potenzialità e limiti di validità e riproducibilità. Sostiene la cautela e la graduazione dell’evidenza per gli impieghi emergenti nella voce 4.4.</w:t>
      </w:r>
    </w:p>
    <w:p>
      <w:pPr>
        <w:pStyle w:val="BodyText"/>
      </w:pPr>
      <w:r>
        <w:rPr>
          <w:b/>
          <w:bCs/>
        </w:rPr>
        <w:t xml:space="preserve">10. Regolamento (UE) 2017/745 sui dispositivi medici (Medical Device Regulation)</w:t>
      </w:r>
      <w:r>
        <w:t xml:space="preserve"> </w:t>
      </w:r>
      <w:r>
        <w:t xml:space="preserve">— https://eur-lex.europa.eu/eli/reg/2017/745/oj —</w:t>
      </w:r>
      <w:r>
        <w:t xml:space="preserve"> </w:t>
      </w:r>
      <w:r>
        <w:rPr>
          <w:i/>
          <w:iCs/>
        </w:rPr>
        <w:t xml:space="preserve">Disciplina la classificazione, la valutazione di conformità e la sorveglianza dei dispositivi medici, compreso il software con destinazione medica. Fondamento regolatorio dei dispositivi terapeutici digitali nella voce 4.5.</w:t>
      </w:r>
    </w:p>
    <w:p>
      <w:pPr>
        <w:pStyle w:val="BodyText"/>
      </w:pPr>
      <w:r>
        <w:rPr>
          <w:b/>
          <w:bCs/>
        </w:rPr>
        <w:t xml:space="preserve">11. Regolamento (UE) 2024/1689 sull’Intelligenza Artificiale (Artificial Intelligence Act)</w:t>
      </w:r>
      <w:r>
        <w:t xml:space="preserve"> </w:t>
      </w:r>
      <w:r>
        <w:t xml:space="preserve">— https://eur-lex.europa.eu/eli/reg/2024/1689/oj —</w:t>
      </w:r>
      <w:r>
        <w:t xml:space="preserve"> </w:t>
      </w:r>
      <w:r>
        <w:rPr>
          <w:i/>
          <w:iCs/>
        </w:rPr>
        <w:t xml:space="preserve">Quadro armonizzato che classifica i sistemi di Intelligenza Artificiale per livello di rischio e sottopone i sistemi ad alto rischio (compresi numerosi impieghi sanitari) a requisiti di gestione del rischio, qualità dei dati, trasparenza, sorveglianza umana e robustezza. Fondamento della cornice di rischio (voce 4.5) e della governance prudenziale (voce 4.6).</w:t>
      </w:r>
    </w:p>
    <w:p>
      <w:pPr>
        <w:pStyle w:val="BodyText"/>
      </w:pPr>
      <w:r>
        <w:rPr>
          <w:b/>
          <w:bCs/>
        </w:rPr>
        <w:t xml:space="preserve">12. Modello tedesco delle applicazioni sanitarie digitali (Digitale Gesundheitsanwendungen, DiGA — Bundesinstitut für Arzneimittel und Medizinprodukte)</w:t>
      </w:r>
      <w:r>
        <w:t xml:space="preserve"> </w:t>
      </w:r>
      <w:r>
        <w:t xml:space="preserve">— https://www.bfarm.de/EN/Medical-devices/Tasks/DiGA-and-DiPA/Digital-Health-Applications/_node.html —</w:t>
      </w:r>
      <w:r>
        <w:t xml:space="preserve"> </w:t>
      </w:r>
      <w:r>
        <w:rPr>
          <w:i/>
          <w:iCs/>
        </w:rPr>
        <w:t xml:space="preserve">Procedura di valutazione che ammette le applicazioni sanitarie digitali a un elenco di prodotti prescrivibili e rimborsabili, in via definitiva o provvisoria. Principale modello europeo di riconoscimento e rimborso dei dispositivi terapeutici digitali, richiamato nella voce 4.5.</w:t>
      </w:r>
    </w:p>
    <w:p>
      <w:pPr>
        <w:pStyle w:val="BodyText"/>
      </w:pPr>
      <w:r>
        <w:rPr>
          <w:b/>
          <w:bCs/>
        </w:rPr>
        <w:t xml:space="preserve">13. Organizzazione mondiale della sanità, Ethics and governance of artificial intelligence for health (2021)</w:t>
      </w:r>
      <w:r>
        <w:t xml:space="preserve"> </w:t>
      </w:r>
      <w:r>
        <w:t xml:space="preserve">— https://www.who.int/publications/i/item/9789240029200 —</w:t>
      </w:r>
      <w:r>
        <w:t xml:space="preserve"> </w:t>
      </w:r>
      <w:r>
        <w:rPr>
          <w:i/>
          <w:iCs/>
        </w:rPr>
        <w:t xml:space="preserve">Definisce sei principi per l’impiego etico dell’Intelligenza Artificiale in sanità — autonomia umana, benessere e sicurezza, trasparenza, responsabilità, equità, sostenibilità. Orienta la governance prudenziale nei suoi quattro pilastri (voce 4.6).</w:t>
      </w:r>
    </w:p>
    <w:p>
      <w:pPr>
        <w:pStyle w:val="BodyText"/>
      </w:pPr>
      <w:r>
        <w:rPr>
          <w:b/>
          <w:bCs/>
        </w:rPr>
        <w:t xml:space="preserve">14. Regolamento (UE) 2016/679 sulla protezione dei dati personali (GDPR)</w:t>
      </w:r>
      <w:r>
        <w:t xml:space="preserve"> </w:t>
      </w:r>
      <w:r>
        <w:t xml:space="preserve">— https://eur-lex.europa.eu/eli/reg/2016/679/oj —</w:t>
      </w:r>
      <w:r>
        <w:t xml:space="preserve"> </w:t>
      </w:r>
      <w:r>
        <w:rPr>
          <w:i/>
          <w:iCs/>
        </w:rPr>
        <w:t xml:space="preserve">Qualifica i dati relativi alla salute come categoria particolare soggetta a tutela rafforzata e impone principi di liceità, minimizzazione, esattezza, limitazione della conservazione e riservatezza. Fondamento giuridico del trattamento dei dati sanitari su cui operano gli strumenti della leva digitale (voce 4.6).</w:t>
      </w:r>
    </w:p>
    <w:p>
      <w:pPr>
        <w:pStyle w:val="BodyText"/>
      </w:pPr>
      <w:r>
        <w:rPr>
          <w:b/>
          <w:bCs/>
        </w:rPr>
        <w:t xml:space="preserve">15. Legge regionale della Puglia 11/2023 (istituzione del Servizio di Psicologia di Base)</w:t>
      </w:r>
      <w:r>
        <w:t xml:space="preserve"> </w:t>
      </w:r>
      <w:r>
        <w:t xml:space="preserve">— https://www.regione.puglia.it —</w:t>
      </w:r>
      <w:r>
        <w:t xml:space="preserve"> </w:t>
      </w:r>
      <w:r>
        <w:rPr>
          <w:i/>
          <w:iCs/>
        </w:rPr>
        <w:t xml:space="preserve">Norma regionale che istituisce il Servizio di Psicologia di Base; ne definisce la dotazione attuale (uno psicologo per distretto) e lo stanziamento. Riferimento per la distanza tra dotazione e fabbisogno e per gli scenari di copertura (voce 4.7).</w:t>
      </w:r>
    </w:p>
    <w:p>
      <w:pPr>
        <w:pStyle w:val="BodyText"/>
      </w:pPr>
      <w:r>
        <w:rPr>
          <w:b/>
          <w:bCs/>
        </w:rPr>
        <w:t xml:space="preserve">16. Strumenti di triage, supporto alla decisione e modelli predittivi basati su Intelligenza Artificiale in salute mentale (letteratura in evoluzione)</w:t>
      </w:r>
      <w:r>
        <w:t xml:space="preserve"> </w:t>
      </w:r>
      <w:r>
        <w:t xml:space="preserve">— https://www.who.int/teams/digital-health-and-innovation —</w:t>
      </w:r>
      <w:r>
        <w:t xml:space="preserve"> </w:t>
      </w:r>
      <w:r>
        <w:rPr>
          <w:i/>
          <w:iCs/>
        </w:rPr>
        <w:t xml:space="preserve">Letteratura in espansione ma ancora preliminare sugli strumenti di triage e sui modelli predittivi del rischio; prevalenza di studi osservazionali e di validazione su coorti limitate, con rischio di distorsione e scarsa replicazione. Fonda la classificazione di tali impieghi come emergenti, a evidenza da bassa a molto bassa, e la loro ammissione solo in forma sperimentale e sorvegliata (voce 4.4).</w:t>
      </w:r>
    </w:p>
    <w:p>
      <w:pPr>
        <w:pStyle w:val="BodyText"/>
      </w:pPr>
      <w:r>
        <w:t xml:space="preserve">Pagina</w:t>
      </w:r>
    </w:p>
    <w:p>
      <w:r>
        <w:br w:type="page"/>
      </w:r>
    </w:p>
    <w:p>
      <w:pPr>
        <w:pStyle w:val="BodyText"/>
      </w:pPr>
      <w:r>
        <w:t xml:space="preserve">Studio Integrale, Finale e Definitivo · Progetto «Psicologo di Base» · Regione Puglia** Parte V**</w:t>
      </w:r>
    </w:p>
    <w:p>
      <w:pPr>
        <w:pStyle w:val="BodyText"/>
      </w:pPr>
      <w:r>
        <w:rPr>
          <w:b/>
          <w:bCs/>
        </w:rPr>
        <w:t xml:space="preserve">PROGETTO «PSICOLOGO DI BASE» · REGIONE PUGLIA</w:t>
      </w:r>
    </w:p>
    <w:p>
      <w:pPr>
        <w:pStyle w:val="BodyText"/>
      </w:pPr>
      <w:r>
        <w:rPr>
          <w:b/>
          <w:bCs/>
        </w:rPr>
        <w:t xml:space="preserve">STUDIO INTEGRALE, FINALE E DEFINITIVO</w:t>
      </w:r>
    </w:p>
    <w:p>
      <w:pPr>
        <w:pStyle w:val="BodyText"/>
      </w:pPr>
      <w:r>
        <w:rPr>
          <w:b/>
          <w:bCs/>
        </w:rPr>
        <w:t xml:space="preserve">Parte V</w:t>
      </w:r>
    </w:p>
    <w:p>
      <w:pPr>
        <w:pStyle w:val="BodyText"/>
      </w:pPr>
      <w:r>
        <w:rPr>
          <w:b/>
          <w:bCs/>
        </w:rPr>
        <w:t xml:space="preserve">La formazione del personale: le quattro modalità, singole e congiunte</w:t>
      </w:r>
    </w:p>
    <w:p>
      <w:pPr>
        <w:pStyle w:val="BodyText"/>
      </w:pPr>
      <w:r>
        <w:rPr>
          <w:i/>
          <w:iCs/>
        </w:rPr>
        <w:t xml:space="preserve">Il pilastro trasversale della riforma: le competenze cliniche, organizzative, relazionali e digitali, comprese quelle dedicate all’uso dell’Intelligenza Artificiale, considerate sia singolarmente sia nel loro percorso integrato.</w:t>
      </w:r>
    </w:p>
    <w:p>
      <w:pPr>
        <w:pStyle w:val="BodyText"/>
      </w:pPr>
      <w:r>
        <w:t xml:space="preserve">Le quattro modalità formative valutate a sé stanti e in combinazione</w:t>
      </w:r>
    </w:p>
    <w:p>
      <w:pPr>
        <w:pStyle w:val="BodyText"/>
      </w:pPr>
      <w:r>
        <w:t xml:space="preserve">La formazione pro-Intelligenza Artificiale come leva abilitante, non come oggetto centrale</w:t>
      </w:r>
    </w:p>
    <w:p>
      <w:pPr>
        <w:pStyle w:val="BodyText"/>
      </w:pPr>
      <w:r>
        <w:t xml:space="preserve">Il ritorno sull’investimento formativo secondo i modelli di Kirkpatrick e Phillips</w:t>
      </w:r>
    </w:p>
    <w:bookmarkEnd w:id="240"/>
    <w:bookmarkEnd w:id="241"/>
    <w:bookmarkStart w:id="245" w:name="Xfcb61c2228fc1d67a2096b12c7712dcb646fc9c"/>
    <w:p>
      <w:pPr>
        <w:pStyle w:val="Heading1"/>
      </w:pPr>
      <w:r>
        <w:rPr>
          <w:b/>
          <w:bCs/>
        </w:rPr>
        <w:t xml:space="preserve">Avvertenza sui vincoli metodologici invarianti</w:t>
      </w:r>
    </w:p>
    <w:p>
      <w:pPr>
        <w:pStyle w:val="FirstParagraph"/>
      </w:pPr>
      <w:r>
        <w:t xml:space="preserve">La presente parte è vincolata ai principi metodologici invarianti dello studio integrale, che qui si richiamano e che nessuna stima contenuta nelle voci successive potrà violare. Il ritorno economico degli investimenti in salute mentale è espresso nei soli intervalli corretti, compresi tra 2,3 e 3,0 a 1 per i soli benefici economici e tra 3,3 e 5,7 a 1 con l’inclusione dei ritorni in salute; sono esclusi i valori non sostenuti dalla letteratura.</w:t>
      </w:r>
      <w:r>
        <w:rPr>
          <w:rStyle w:val="FootnoteReference"/>
        </w:rPr>
        <w:footnoteReference w:id="126"/>
      </w:r>
      <w:r>
        <w:t xml:space="preserve"> </w:t>
      </w:r>
      <w:r>
        <w:t xml:space="preserve">Il caveat dell’IMPACT trial, secondo cui la riduzione diretta dei costi sanitari non raggiunge la significatività statistica, è preservato ovunque pertinente.</w:t>
      </w:r>
      <w:r>
        <w:rPr>
          <w:rStyle w:val="FootnoteReference"/>
        </w:rPr>
        <w:footnoteReference w:id="127"/>
      </w:r>
      <w:r>
        <w:t xml:space="preserve"> </w:t>
      </w:r>
      <w:r>
        <w:t xml:space="preserve">Le grandezze fiscali dirette e quelle sociali e indirette sono mantenute rigorosamente distinte, senza duplicazioni tra le categorie, e lo stesso risparmio non è mai attribuito a più cause.</w:t>
      </w:r>
    </w:p>
    <w:p>
      <w:pPr>
        <w:pStyle w:val="BodyText"/>
      </w:pPr>
      <w:r>
        <w:t xml:space="preserve">In aderenza a questi principi, la valutazione economica della formazione adotta un’ulteriore cautela che le è propria. Il rendimento dell’investimento formativo è espresso nell’intervallo prudenziale validato per la Puglia, compreso tra sette e otto a uno, e corrisponde a un differenziale di valore stimato fra ventotto e cinquantasei milioni di euro l’anno a fronte di un costo del programma formativo dell’ordine di quattro milioni di euro l’anno; tale rendimento è tenuto distinto dal saldo economico complessivo della riforma e non vi è sommato, poiché misura la sola produttività della spesa formativa e non l’insieme dei costi e dei risparmi del servizio. Ogni proiezione adotta bande prudenziali e previsioni falsificabili, e ogni evidenza — comprese quelle relative all’efficacia degli strumenti di Intelligenza Artificiale e delle competenze formative dedicate al loro uso — è graduata secondo la sua qualità con il medesimo rigore applicato alle affermazioni cliniche.</w:t>
      </w:r>
      <w:r>
        <w:rPr>
          <w:rStyle w:val="FootnoteReference"/>
        </w:rPr>
        <w:footnoteReference w:id="128"/>
      </w:r>
    </w:p>
    <w:bookmarkEnd w:id="245"/>
    <w:bookmarkStart w:id="246" w:name="indice-della-parte-v"/>
    <w:p>
      <w:pPr>
        <w:pStyle w:val="Heading1"/>
      </w:pPr>
      <w:r>
        <w:rPr>
          <w:b/>
          <w:bCs/>
        </w:rPr>
        <w:t xml:space="preserve">Indice della Parte V</w:t>
      </w:r>
    </w:p>
    <w:p>
      <w:pPr>
        <w:pStyle w:val="FirstParagraph"/>
      </w:pPr>
      <w:r>
        <w:rPr>
          <w:b/>
          <w:bCs/>
        </w:rPr>
        <w:t xml:space="preserve">5.1</w:t>
      </w:r>
      <w:r>
        <w:rPr>
          <w:b/>
          <w:bCs/>
        </w:rPr>
        <w:t xml:space="preserve"> </w:t>
      </w:r>
      <w:r>
        <w:t xml:space="preserve">Il fabbisogno formativo integrale (competenze cliniche, organizzative, relazionali, digitali e pro-Intelligenza Artificiale)</w:t>
      </w:r>
    </w:p>
    <w:p>
      <w:pPr>
        <w:pStyle w:val="BodyText"/>
      </w:pPr>
      <w:r>
        <w:rPr>
          <w:b/>
          <w:bCs/>
        </w:rPr>
        <w:t xml:space="preserve">5.2</w:t>
      </w:r>
      <w:r>
        <w:rPr>
          <w:b/>
          <w:bCs/>
        </w:rPr>
        <w:t xml:space="preserve"> </w:t>
      </w:r>
      <w:r>
        <w:t xml:space="preserve">Modalità prima — Formazione universitaria (corsi di laurea, master, curricula)</w:t>
      </w:r>
    </w:p>
    <w:p>
      <w:pPr>
        <w:pStyle w:val="BodyText"/>
      </w:pPr>
      <w:r>
        <w:rPr>
          <w:b/>
          <w:bCs/>
        </w:rPr>
        <w:t xml:space="preserve">5.3</w:t>
      </w:r>
      <w:r>
        <w:rPr>
          <w:b/>
          <w:bCs/>
        </w:rPr>
        <w:t xml:space="preserve"> </w:t>
      </w:r>
      <w:r>
        <w:t xml:space="preserve">Modalità seconda — Formazione post-universitaria (specializzazione, educazione continua in medicina, certificazioni)</w:t>
      </w:r>
    </w:p>
    <w:p>
      <w:pPr>
        <w:pStyle w:val="BodyText"/>
      </w:pPr>
      <w:r>
        <w:rPr>
          <w:b/>
          <w:bCs/>
        </w:rPr>
        <w:t xml:space="preserve">5.4</w:t>
      </w:r>
      <w:r>
        <w:rPr>
          <w:b/>
          <w:bCs/>
        </w:rPr>
        <w:t xml:space="preserve"> </w:t>
      </w:r>
      <w:r>
        <w:t xml:space="preserve">Modalità terza — Formazione lavorativa e sul posto di lavoro</w:t>
      </w:r>
    </w:p>
    <w:p>
      <w:pPr>
        <w:pStyle w:val="BodyText"/>
      </w:pPr>
      <w:r>
        <w:rPr>
          <w:b/>
          <w:bCs/>
        </w:rPr>
        <w:t xml:space="preserve">5.5</w:t>
      </w:r>
      <w:r>
        <w:rPr>
          <w:b/>
          <w:bCs/>
        </w:rPr>
        <w:t xml:space="preserve"> </w:t>
      </w:r>
      <w:r>
        <w:t xml:space="preserve">Modalità quarta — Affiancamento e mentoring di figure esperte, incluso l’esperto di Intelligenza Artificiale in studio</w:t>
      </w:r>
    </w:p>
    <w:p>
      <w:pPr>
        <w:pStyle w:val="BodyText"/>
      </w:pPr>
      <w:r>
        <w:rPr>
          <w:b/>
          <w:bCs/>
        </w:rPr>
        <w:t xml:space="preserve">5.6</w:t>
      </w:r>
      <w:r>
        <w:rPr>
          <w:b/>
          <w:bCs/>
        </w:rPr>
        <w:t xml:space="preserve"> </w:t>
      </w:r>
      <w:r>
        <w:t xml:space="preserve">Le quattro modalità in combinazione: il percorso formativo integrato</w:t>
      </w:r>
    </w:p>
    <w:p>
      <w:pPr>
        <w:pStyle w:val="BodyText"/>
      </w:pPr>
      <w:r>
        <w:rPr>
          <w:b/>
          <w:bCs/>
        </w:rPr>
        <w:t xml:space="preserve">5.7</w:t>
      </w:r>
      <w:r>
        <w:rPr>
          <w:b/>
          <w:bCs/>
        </w:rPr>
        <w:t xml:space="preserve"> </w:t>
      </w:r>
      <w:r>
        <w:t xml:space="preserve">Il costo della formazione e il ritorno sull’investimento formativo (Kirkpatrick e Phillips): confronto tra modalità singole e combinazione</w:t>
      </w:r>
    </w:p>
    <w:p>
      <w:pPr>
        <w:pStyle w:val="BodyText"/>
      </w:pPr>
      <w:r>
        <w:rPr>
          <w:b/>
          <w:bCs/>
        </w:rPr>
        <w:t xml:space="preserve">5.8</w:t>
      </w:r>
      <w:r>
        <w:rPr>
          <w:b/>
          <w:bCs/>
        </w:rPr>
        <w:t xml:space="preserve"> </w:t>
      </w:r>
      <w:r>
        <w:t xml:space="preserve">Le curve di adozione tecnologica e il rafforzamento delle competenze digitali pro-Intelligenza Artificiale</w:t>
      </w:r>
    </w:p>
    <w:p>
      <w:pPr>
        <w:pStyle w:val="BodyText"/>
      </w:pPr>
      <w:r>
        <w:rPr>
          <w:b/>
          <w:bCs/>
        </w:rPr>
        <w:t xml:space="preserve">▪</w:t>
      </w:r>
      <w:r>
        <w:rPr>
          <w:b/>
          <w:bCs/>
        </w:rPr>
        <w:t xml:space="preserve"> </w:t>
      </w:r>
      <w:r>
        <w:t xml:space="preserve">Quadro Conclusivo economico-sociale e multidisciplinare integrale</w:t>
      </w:r>
    </w:p>
    <w:p>
      <w:pPr>
        <w:pStyle w:val="BodyText"/>
      </w:pPr>
      <w:r>
        <w:rPr>
          <w:b/>
          <w:bCs/>
        </w:rPr>
        <w:t xml:space="preserve">▪</w:t>
      </w:r>
      <w:r>
        <w:rPr>
          <w:b/>
          <w:bCs/>
        </w:rPr>
        <w:t xml:space="preserve"> </w:t>
      </w:r>
      <w:r>
        <w:t xml:space="preserve">Conclusione</w:t>
      </w:r>
    </w:p>
    <w:p>
      <w:pPr>
        <w:pStyle w:val="BodyText"/>
      </w:pPr>
      <w:r>
        <w:rPr>
          <w:b/>
          <w:bCs/>
        </w:rPr>
        <w:t xml:space="preserve">▪</w:t>
      </w:r>
      <w:r>
        <w:rPr>
          <w:b/>
          <w:bCs/>
        </w:rPr>
        <w:t xml:space="preserve"> </w:t>
      </w:r>
      <w:r>
        <w:t xml:space="preserve">Note Bibliografiche Integrali</w:t>
      </w:r>
    </w:p>
    <w:bookmarkEnd w:id="246"/>
    <w:bookmarkStart w:id="249" w:name="premessa-3"/>
    <w:p>
      <w:pPr>
        <w:pStyle w:val="Heading1"/>
      </w:pPr>
      <w:r>
        <w:rPr>
          <w:b/>
          <w:bCs/>
        </w:rPr>
        <w:t xml:space="preserve">Premessa</w:t>
      </w:r>
    </w:p>
    <w:p>
      <w:pPr>
        <w:pStyle w:val="FirstParagraph"/>
      </w:pPr>
      <w:r>
        <w:t xml:space="preserve">La quinta parte dello studio integrale tratta la formazione del personale come pilastro trasversale della riforma del Servizio di Psicologia di Base in Puglia. La sua collocazione nell’architettura dell’opera non è accidentale. Le parti che la precedono hanno fissato il quadro, il metodo e il perimetro, hanno ricostruito il bisogno e il contesto, hanno ordinato a cascata le figure connesse alla riforma e hanno descritto il modello organizzativo e le leve che ne accrescono l’efficacia; le parti che la seguono ne misureranno i costi e i risparmi, diretti e indiretti, e ne proietteranno gli effetti nel tempo. La formazione si interpone tra la descrizione del modello e la sua valutazione economica perché è la condizione che rende il modello realizzabile: senza un personale formato alle competenze che il servizio richiede, l’architettura delle figure resta un disegno e le leve abilitanti, compresa quella digitale, non producono i loro effetti. La formazione è dunque, in senso proprio, l’infrastruttura immateriale della riforma, e la sua trattazione precede la valutazione economica perché ne fonda le premesse.</w:t>
      </w:r>
    </w:p>
    <w:p>
      <w:pPr>
        <w:pStyle w:val="BodyText"/>
      </w:pPr>
      <w:r>
        <w:t xml:space="preserve">Il mandato che governa questa parte è duplice e va enunciato senza ambiguità. In primo luogo, la formazione deve essere considerata nella sua estensione integrale, comprensiva delle competenze cliniche, organizzative, relazionali e digitali, e tra queste ultime delle competenze dedicate all’uso dell’Intelligenza Artificiale. In secondo luogo, e in aderenza all’ordine ricevuto, le quattro modalità attraverso cui la formazione si realizza — la formazione universitaria, la formazione post-universitaria, la formazione lavorativa e l’affiancamento di figure esperte — devono essere valutate sia singolarmente, ciascuna con i propri costi, i propri tempi e i propri rendimenti, sia congiuntamente, come percorso formativo integrato in cui le modalità si compongono e si rafforzano. Le attività formative dedicate all’Intelligenza Artificiale ricadono pienamente entro questo duplice mandato: esse sono considerate sia a sé stanti, come oggetto formativo dotato di propri costi e rendimenti, sia in combinazione con le altre competenze, come componente del profilo professionale complessivo dello Psicologo di Base potenziato dalle leve abilitanti.</w:t>
      </w:r>
    </w:p>
    <w:p>
      <w:pPr>
        <w:pStyle w:val="BodyText"/>
      </w:pPr>
      <w:r>
        <w:t xml:space="preserve">La posizione dell’Intelligenza Artificiale entro la formazione riproduce, alla scala di questa parte, la posizione che essa occupa nell’intera opera. L’Intelligenza Artificiale non è l’oggetto centrale della formazione, ma una delle competenze che rendono la figura dello Psicologo di Base più funzionale ed efficace, accanto alle competenze cliniche, organizzative e relazionali che ne costituiscono il nucleo. La formazione all’uso dell’Intelligenza Artificiale è perciò formazione a uno strumento, e come tale è sempre subordinata alla competenza clinica che lo strumento serve e alla supervisione umana che ne governa l’impiego. Coerentemente, l’evidenza sull’efficacia degli strumenti di Intelligenza Artificiale e sulla resa delle competenze formative dedicate al loro uso è graduata con il medesimo rigore applicato alle affermazioni cliniche, e nessuna competenza digitale è presentata come sostitutiva del giudizio professionale che essa è destinata a supportare.</w:t>
      </w:r>
    </w:p>
    <w:p>
      <w:pPr>
        <w:pStyle w:val="BodyText"/>
      </w:pPr>
      <w:r>
        <w:t xml:space="preserve">La valutazione della formazione è affidata, in tutta questa parte, ai modelli del ritorno sull’investimento formativo. Il modello di Kirkpatrick articola la valutazione su quattro livelli: la reazione dei discenti al percorso formativo, l’apprendimento delle conoscenze e delle abilità, il trasferimento dei comportamenti appresi nella pratica professionale e i risultati organizzativi che ne conseguono.</w:t>
      </w:r>
      <w:r>
        <w:rPr>
          <w:rStyle w:val="FootnoteReference"/>
        </w:rPr>
        <w:footnoteReference w:id="129"/>
      </w:r>
      <w:r>
        <w:t xml:space="preserve"> </w:t>
      </w:r>
      <w:r>
        <w:t xml:space="preserve">Il modello di Phillips aggiunge a questi un quinto livello, che converte i risultati organizzativi in un rendimento monetario dell’investimento formativo, e consente così di esprimere in termini economici la produttività della spesa formativa.</w:t>
      </w:r>
      <w:r>
        <w:rPr>
          <w:rStyle w:val="FootnoteReference"/>
        </w:rPr>
        <w:footnoteReference w:id="130"/>
      </w:r>
      <w:r>
        <w:t xml:space="preserve"> </w:t>
      </w:r>
      <w:r>
        <w:t xml:space="preserve">L’impiego congiunto dei due modelli risponde direttamente al duplice mandato: i quattro livelli di Kirkpatrick permettono di descrivere ciò che ciascuna modalità formativa produce, dalla reazione al risultato, mentre il quinto livello di Phillips permette di confrontare il rendimento delle modalità singole con quello della loro combinazione, rendendo disponibile al decisore il termine di paragone economico che l’ordine ricevuto richiede.</w:t>
      </w:r>
    </w:p>
    <w:p>
      <w:pPr>
        <w:pStyle w:val="BodyText"/>
      </w:pPr>
      <w:r>
        <w:t xml:space="preserve">La formazione, infine, non riguarda una sola figura, ma percorre l’intera cascata ordinata nella terza parte. Lo Psicologo di Base ne è il destinatario principale, in quanto figura nuova e apice della cascata, ma il medico di medicina generale, il pediatra di libera scelta, l’infermiere di famiglia e di comunità, e le ulteriori figure sanitarie e socio-sanitarie ne sono destinatari a loro volta, poiché il modello collaborativo richiede competenze condivise e un linguaggio comune tra i professionisti che vi partecipano. La formazione è quindi anche, e in misura non secondaria, formazione interprofessionale: essa costruisce non soltanto la competenza del singolo, ma la capacità del sistema di operare in modo integrato. Per questa ragione i costi e i benefici della formazione, che le parti dedicate alla valutazione economica riprenderanno, sono distribuiti lungo la cascata delle figure e non concentrati sulla sola figura nuova; e per la medesima ragione la separazione tra le grandezze dirette e quelle indirette, che governa tutta l’opera, si applica anche qui, distinguendo il costo della formazione, che è una grandezza diretta a carico del programma, dai suoi rendimenti, che si manifestano in parte come efficienza del servizio e in parte come beneficio sociale diffuso.</w:t>
      </w:r>
    </w:p>
    <w:bookmarkEnd w:id="249"/>
    <w:bookmarkStart w:id="250" w:name="introduzione-3"/>
    <w:p>
      <w:pPr>
        <w:pStyle w:val="Heading1"/>
      </w:pPr>
      <w:r>
        <w:rPr>
          <w:b/>
          <w:bCs/>
        </w:rPr>
        <w:t xml:space="preserve">Introduzione</w:t>
      </w:r>
    </w:p>
    <w:p>
      <w:pPr>
        <w:pStyle w:val="FirstParagraph"/>
      </w:pPr>
      <w:r>
        <w:t xml:space="preserve">Questa introduzione dichiara la struttura della quinta parte e il criterio che ne ordina le voci, affinché la trattazione successiva proceda su un disegno esplicito. La parte si articola in otto voci, che muovono dal fabbisogno formativo, attraversano le quattro modalità prese singolarmente, ne considerano la combinazione, ne misurano il rendimento e ne descrivono infine la dinamica di adozione delle competenze digitali; e si chiude, secondo lo standard dell’opera, con un quadro conclusivo economico-sociale e multidisciplinare integrale, con una conclusione e con le note bibliografiche integrali. L’ordine delle voci riproduce la logica del ragionamento formativo: prima si stabilisce di quali competenze il servizio ha bisogno, poi si esaminano i modi attraverso cui quelle competenze possono essere costruite, infine si valuta quale combinazione di modi le costruisca al minor costo e con il maggior rendimento.</w:t>
      </w:r>
    </w:p>
    <w:p>
      <w:pPr>
        <w:pStyle w:val="BodyText"/>
      </w:pPr>
      <w:r>
        <w:t xml:space="preserve">La prima voce determina il fabbisogno formativo integrale. Essa identifica le aree di competenza che il modello richiede — cliniche, organizzative, relazionali e digitali, comprese quelle dedicate all’Intelligenza Artificiale — e ne dichiara il livello atteso per ciascuna figura della cascata, misurando la distanza tra le competenze che la formazione esistente fornisce e quelle che il servizio domanda. Il fabbisogno così determinato è il riferimento rispetto al quale le quattro modalità saranno valutate, poiché una modalità formativa non è efficace in assoluto, ma in rapporto alle competenze che è chiamata a produrre.</w:t>
      </w:r>
    </w:p>
    <w:p>
      <w:pPr>
        <w:pStyle w:val="BodyText"/>
      </w:pPr>
      <w:r>
        <w:t xml:space="preserve">Le quattro voci centrali esaminano le modalità formative una per una. La formazione universitaria è trattata per prima, in quanto fondamento di lungo periodo del capitale umano professionale, e ne sono descritti i corsi di laurea, i master e i curricula, con i loro tempi lunghi e i loro rendimenti durevoli. La formazione post-universitaria segue, con la specializzazione, l’educazione continua in medicina e le certificazioni, che assicurano l’aggiornamento rapido delle competenze e il loro adeguamento all’evoluzione delle conoscenze e degli strumenti. La formazione lavorativa, ossia l’apprendimento che avviene sul posto di lavoro nell’esercizio stesso della professione, è trattata come la modalità che più direttamente produce il trasferimento dei comportamenti nella pratica. L’affiancamento e il mentoring di figure esperte, infine, compresa la figura competente nell’uso dell’Intelligenza Artificiale presente nello studio, è trattato come la modalità che accelera l’adozione delle competenze nuove, e in particolare di quelle digitali, nei mesi iniziali dell’esercizio. Ciascuna di queste voci descrive la modalità a sé stante, con i propri costi, i propri tempi e i propri rendimenti, in aderenza alla prima esigenza del mandato.</w:t>
      </w:r>
    </w:p>
    <w:p>
      <w:pPr>
        <w:pStyle w:val="BodyText"/>
      </w:pPr>
      <w:r>
        <w:t xml:space="preserve">La sesta voce considera le quattro modalità in combinazione, in aderenza alla seconda esigenza del mandato. Essa mostra che le modalità non sono alternative tra cui scegliere, ma componenti di un percorso integrato in cui ciascuna assolve una funzione che le altre non assolvono: la formazione universitaria costruisce il fondamento, l’educazione continua lo aggiorna, la formazione lavorativa lo traduce in pratica e l’affiancamento ne accelera l’adozione. La voce individua la combinazione attesa come ottimale e ne motiva la composizione, ricavando dalla complementarità delle modalità la ragione per cui il percorso integrato rende più della somma delle modalità isolate.</w:t>
      </w:r>
    </w:p>
    <w:p>
      <w:pPr>
        <w:pStyle w:val="BodyText"/>
      </w:pPr>
      <w:r>
        <w:t xml:space="preserve">La settima voce misura il costo della formazione e il suo rendimento, applicando i modelli di Kirkpatrick e Phillips e confrontando il rapporto costo-efficacia delle modalità singole con quello della loro combinazione. Essa colloca le stime entro le bande prudenziali dell’opera, esprime il rendimento dell’investimento formativo nell’intervallo validato per la Puglia e mantiene il costo della formazione distinto dal saldo economico complessivo della riforma, in ossequio alla regola di non duplicazione. L’ottava voce, infine, descrive le curve di adozione tecnologica e il rafforzamento delle competenze digitali dedicate all’Intelligenza Artificiale, mostrando come l’adozione delle competenze nuove segua nel tempo un andamento graduale che l’affiancamento esperto è in grado di accelerare nei primi dodici-diciotto mesi dell’esercizio.</w:t>
      </w:r>
    </w:p>
    <w:p>
      <w:pPr>
        <w:pStyle w:val="BodyText"/>
      </w:pPr>
      <w:r>
        <w:t xml:space="preserve">L’insieme delle otto voci risponde con precisione all’ordine ricevuto. Esse considerano la formazione nella sua estensione integrale, ne valutano le quattro modalità sia singolarmente sia in combinazione, trattano le competenze pro-Intelligenza Artificiale al contempo a sé stanti e congiunte alle altre, e collocano l’Intelligenza Artificiale nella posizione subordinata di leva abilitante che le compete in tutta l’opera. La trattazione che segue procede secondo quest’ordine, dalla prima voce all’ultima, con la graduazione dell’evidenza e le bande prudenziali che lo studio integrale impone a ogni sua parte.</w:t>
      </w:r>
    </w:p>
    <w:bookmarkEnd w:id="250"/>
    <w:bookmarkStart w:id="253" w:name="il-fabbisogno-formativo-integrale"/>
    <w:p>
      <w:pPr>
        <w:pStyle w:val="Heading2"/>
      </w:pPr>
      <w:r>
        <w:rPr>
          <w:b/>
          <w:bCs/>
        </w:rPr>
        <w:t xml:space="preserve">5.1 Il fabbisogno formativo integrale</w:t>
      </w:r>
    </w:p>
    <w:p>
      <w:pPr>
        <w:pStyle w:val="FirstParagraph"/>
      </w:pPr>
      <w:r>
        <w:rPr>
          <w:i/>
          <w:iCs/>
        </w:rPr>
        <w:t xml:space="preserve">Questa voce determina di quali competenze il Servizio di Psicologia di Base ha bisogno. Essa identifica le quattro aree del fabbisogno — clinica, organizzativa, relazionale e digitale, quest’ultima comprensiva delle competenze dedicate all’Intelligenza Artificiale — ne dichiara il livello atteso per le figure della cascata e misura la distanza tra le competenze che la formazione esistente fornisce e quelle che il modello domanda, ponendo così il riferimento rispetto al quale le quattro modalità formative saranno valutate.</w:t>
      </w:r>
    </w:p>
    <w:p>
      <w:pPr>
        <w:pStyle w:val="BodyText"/>
      </w:pPr>
      <w:r>
        <w:t xml:space="preserve">La determinazione del fabbisogno formativo precede ogni considerazione sulle modalità attraverso cui la formazione si realizza, perché il valore di una modalità non si misura in astratto, ma in rapporto alle competenze che essa è chiamata a produrre. Stabilire il fabbisogno significa rispondere a una domanda determinata: quali competenze deve possedere il personale affinché il modello descritto nella quarta parte funzioni come progettato. La risposta non coincide con il profilo che la formazione professionale esistente già produce, poiché il modello dello Psicologo di Base configura una pratica nuova — breve, collaborativa, integrata nelle cure primarie e potenziata da strumenti digitali — che la formazione tradizionale, orientata alla profondità clinica del setting specialistico, non prepara compiutamente. La distanza tra il profilo prodotto e il profilo richiesto è precisamente il fabbisogno formativo, e la sua misura è la premessa di ogni valutazione delle modalità.</w:t>
      </w:r>
    </w:p>
    <w:p>
      <w:pPr>
        <w:pStyle w:val="BodyText"/>
      </w:pPr>
      <w:r>
        <w:t xml:space="preserve">Il fabbisogno si articola in quattro aree di competenza, che la presente voce considera nell’ordine della loro prossimità al nucleo della professione. La prima area è quella delle competenze cliniche, che costituiscono il fondamento della funzione. Esse comprendono la capacità di intercettare precocemente il disagio psichico comune nel contesto delle cure primarie, di condurne una valutazione psicodiagnostica essenziale e tempestiva, di erogare interventi a bassa intensità fondati sulle prove — dalla psicoeducazione all’attivazione comportamentale, dalla terapia di soluzione dei problemi agli interventi cognitivo-comportamentali brevi — e di riconoscere con sicurezza le situazioni che eccedono il livello delle cure primarie e richiedono l’invio al servizio specialistico.</w:t>
      </w:r>
      <w:r>
        <w:rPr>
          <w:rStyle w:val="FootnoteReference"/>
        </w:rPr>
        <w:footnoteReference w:id="131"/>
      </w:r>
      <w:r>
        <w:t xml:space="preserve"> </w:t>
      </w:r>
      <w:r>
        <w:t xml:space="preserve">Queste competenze non sono nuove in sé, poiché appartengono al patrimonio della psicologia clinica, ma il loro adattamento al setting delle cure primarie — la brevità del trattamento, l’integrazione con la medicina generale, la gestione di volumi elevati di casi sotto-soglia — costituisce un’esigenza formativa specifica, che la formazione esistente soddisfa solo in parte.</w:t>
      </w:r>
    </w:p>
    <w:p>
      <w:pPr>
        <w:pStyle w:val="BodyText"/>
      </w:pPr>
      <w:r>
        <w:t xml:space="preserve">La seconda area è quella delle competenze organizzative, che il modello collaborativo rende non meno essenziali di quelle cliniche. Lo Psicologo di Base non opera isolatamente, ma all’interno di una coppia clinica con il medico di medicina generale e di un’organizzazione del servizio fondata sulla cura per intensità crescente e sui percorsi diagnostico-terapeutici assistenziali. Operare in questo contesto richiede competenze che la formazione clinica tradizionale non contempla: la gestione dell’agenda e dei volumi, il coordinamento con il medico di medicina generale e con le altre figure della cascata, l’aderenza ai percorsi assistenziali, la corretta tenuta della documentazione e l’assolvimento del debito informativo verso il sistema. Queste competenze determinano la capacità del professionista di inserirsi nel funzionamento del servizio, e la loro carenza è una causa frequente di disfunzione anche in presenza di competenze cliniche adeguate.</w:t>
      </w:r>
    </w:p>
    <w:p>
      <w:pPr>
        <w:pStyle w:val="BodyText"/>
      </w:pPr>
      <w:r>
        <w:t xml:space="preserve">La terza area è quella delle competenze relazionali, che il setting breve e collaborativo solleva a un rilievo particolare. La costruzione dell’alleanza terapeutica in un numero limitato di incontri, la comunicazione efficace con il paziente e con i suoi familiari, il lavoro interprofessionale nel team delle cure primarie e la gestione della stigmatizzazione che ancora circonda il disagio psichico sono competenze che incidono direttamente sull’efficacia dell’intervento. Esse non sono separabili dalle competenze cliniche, di cui costituiscono il veicolo, ma richiedono un’attenzione formativa propria, tanto più in un modello che colloca la presa in carico psicologica nel contesto generalista delle cure primarie, dove la relazione con il paziente non è mediata dalla domanda specialistica e deve essere costruita a partire da un accesso indifferenziato.</w:t>
      </w:r>
    </w:p>
    <w:p>
      <w:pPr>
        <w:pStyle w:val="BodyText"/>
      </w:pPr>
      <w:r>
        <w:t xml:space="preserve">La quarta area è quella delle competenze digitali, che la leva abilitante descritta nella quarta parte introduce nel profilo professionale. Esse comprendono l’uso del fascicolo sanitario e degli strumenti informativi, la conduzione del teleconsulto e della presa in carico a distanza, l’impiego dei dispositivi terapeutici digitali su prescrizione e degli strumenti di triage e di stratificazione del rischio assistiti da algoritmi.</w:t>
      </w:r>
      <w:r>
        <w:rPr>
          <w:rStyle w:val="FootnoteReference"/>
        </w:rPr>
        <w:footnoteReference w:id="132"/>
      </w:r>
      <w:r>
        <w:t xml:space="preserve"> </w:t>
      </w:r>
      <w:r>
        <w:t xml:space="preserve">Entro quest’area si collocano, come sottoinsieme dotato di specificità propria, le competenze dedicate all’uso dell’Intelligenza Artificiale, che il duplice mandato impone di considerare sia a sé stanti sia in combinazione con le altre. Tali competenze non si esauriscono nella capacità tecnica di impiegare uno strumento, ma comprendono in misura essenziale l’alfabetizzazione ai suoi limiti e ai suoi rischi: la consapevolezza dell’incertezza che accompagna gli output algoritmici, la capacità di esercitare su di essi la supervisione umana che la governance prudenziale richiede, e la comprensione delle implicazioni di equità e di protezione dei dati che il loro impiego comporta. Coerentemente con il principio invariante dell’opera, l’evidenza sulla resa di queste competenze è graduata con il medesimo rigore applicato alle competenze cliniche, e la formazione all’Intelligenza Artificiale è sempre intesa come formazione a uno strumento subordinato al giudizio professionale, mai come acquisizione di una capacità sostitutiva di esso.</w:t>
      </w:r>
    </w:p>
    <w:p>
      <w:pPr>
        <w:pStyle w:val="BodyText"/>
      </w:pPr>
      <w:r>
        <w:t xml:space="preserve">Le quattro aree di competenza non si distribuiscono in modo uniforme sulle figure della cascata, ma assumono per ciascuna un livello atteso proporzionato alla sua funzione. Lo Psicologo di Base, apice della cascata e destinatario principale della formazione, richiede il livello più elevato in tutte e quattro le aree, poiché è la figura che esercita la funzione nuova in tutta la sua estensione. Il medico di medicina generale, partner della coppia clinica, richiede un livello elevato nelle competenze organizzative e relazionali e un livello intermedio nelle competenze cliniche psicologiche, sufficiente a riconoscere il disagio e a indirizzarlo correttamente, e in quelle digitali. Le ulteriori figure sanitarie e socio-sanitarie — l’infermiere di famiglia e di comunità, il farmacista di comunità, l’assistente sociale — richiedono livelli differenziati secondo il ruolo che il modello assegna a ciascuna, in coerenza con l’ordinamento della cascata. La formazione, di conseguenza, non è un percorso unico erogato a una sola figura, ma un insieme di percorsi differenziati e coordinati, che costruiscono per ciascuna figura il profilo di competenza che la sua posizione nella cascata richiede. La tabella seguente riepiloga le quattro aree, i loro contenuti e il livello atteso per le principali figure della cascata.</w:t>
      </w:r>
    </w:p>
    <w:p>
      <w:pPr>
        <w:pStyle w:val="BodyText"/>
      </w:pPr>
      <w:r>
        <w:rPr>
          <w:b/>
          <w:bCs/>
          <w:i/>
          <w:iCs/>
        </w:rPr>
        <w:t xml:space="preserve">Tabella 5.1.A — Le quattro aree del fabbisogno formativo e il livello atteso per figura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Area di competenza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Contenuti essenziali</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Psicologo di Base</w:t>
            </w:r>
          </w:p>
        </w:tc>
        <w:tc>
          <w:tcPr>
            <w:shd w:val="clear" w:color="auto" w:fill="16264B"/>
          </w:tcPr>
          <w:p>
            <w:pPr>
              <w:pStyle w:val="Compact"/>
              <w:spacing w:after="40" w:before="40"/>
              <w:jc w:val="left"/>
            </w:pPr>
            <w:r>
              <w:rPr>
                <w:rFonts w:ascii="Cambria" w:hAnsi="Cambria" w:cs="Cambria" w:eastAsia="Cambria"/>
                <w:b/>
                <w:bCs/>
                <w:color w:val="FFFFFF"/>
                <w:sz w:val="18"/>
              </w:rPr>
              <w:t xml:space="preserve">Medico di medicina generale</w:t>
            </w:r>
          </w:p>
        </w:tc>
        <w:tc>
          <w:tcPr>
            <w:shd w:val="clear" w:color="auto" w:fill="16264B"/>
          </w:tcPr>
          <w:p>
            <w:pPr>
              <w:pStyle w:val="Compact"/>
              <w:spacing w:after="40" w:before="40"/>
              <w:jc w:val="left"/>
            </w:pPr>
            <w:r>
              <w:rPr>
                <w:rFonts w:ascii="Cambria" w:hAnsi="Cambria" w:cs="Cambria" w:eastAsia="Cambria"/>
                <w:b/>
                <w:bCs/>
                <w:color w:val="FFFFFF"/>
                <w:sz w:val="18"/>
              </w:rPr>
              <w:t xml:space="preserve">Altre figure della cascata</w:t>
            </w:r>
          </w:p>
        </w:tc>
      </w:tr>
      <w:tr>
        <w:tc>
          <w:tcPr/>
          <w:p>
            <w:pPr>
              <w:pStyle w:val="Compact"/>
              <w:spacing w:after="40" w:before="40"/>
              <w:jc w:val="left"/>
            </w:pPr>
            <w:r>
              <w:rPr>
                <w:rFonts w:ascii="Cambria" w:hAnsi="Cambria" w:cs="Cambria" w:eastAsia="Cambria"/>
                <w:b/>
                <w:bCs/>
                <w:color w:val="1A1A1A"/>
                <w:sz w:val="18"/>
              </w:rPr>
              <w:t xml:space="preserve">Clinica</w:t>
            </w:r>
          </w:p>
        </w:tc>
        <w:tc>
          <w:tcPr/>
          <w:p>
            <w:pPr>
              <w:pStyle w:val="Compact"/>
              <w:spacing w:after="40" w:before="40"/>
              <w:jc w:val="left"/>
            </w:pPr>
            <w:r>
              <w:rPr>
                <w:rFonts w:ascii="Cambria" w:hAnsi="Cambria" w:cs="Cambria" w:eastAsia="Cambria"/>
                <w:color w:val="1A1A1A"/>
                <w:sz w:val="18"/>
              </w:rPr>
              <w:t xml:space="preserve">Intercettazione precoce, valutazione breve, interventi a bassa intensità fondati sulle prove, criteri di invio</w:t>
            </w:r>
          </w:p>
        </w:tc>
        <w:tc>
          <w:tcPr/>
          <w:p>
            <w:pPr>
              <w:pStyle w:val="Compact"/>
              <w:spacing w:after="40" w:before="40"/>
              <w:jc w:val="left"/>
            </w:pPr>
            <w:r>
              <w:rPr>
                <w:rFonts w:ascii="Cambria" w:hAnsi="Cambria" w:cs="Cambria" w:eastAsia="Cambria"/>
                <w:color w:val="1A1A1A"/>
                <w:sz w:val="18"/>
              </w:rPr>
              <w:t xml:space="preserve">Elevato</w:t>
            </w:r>
          </w:p>
        </w:tc>
        <w:tc>
          <w:tcPr/>
          <w:p>
            <w:pPr>
              <w:pStyle w:val="Compact"/>
              <w:spacing w:after="40" w:before="40"/>
              <w:jc w:val="left"/>
            </w:pPr>
            <w:r>
              <w:rPr>
                <w:rFonts w:ascii="Cambria" w:hAnsi="Cambria" w:cs="Cambria" w:eastAsia="Cambria"/>
                <w:color w:val="1A1A1A"/>
                <w:sz w:val="18"/>
              </w:rPr>
              <w:t xml:space="preserve">Intermedio</w:t>
            </w:r>
          </w:p>
        </w:tc>
        <w:tc>
          <w:tcPr/>
          <w:p>
            <w:pPr>
              <w:pStyle w:val="Compact"/>
              <w:spacing w:after="40" w:before="40"/>
              <w:jc w:val="left"/>
            </w:pPr>
            <w:r>
              <w:rPr>
                <w:rFonts w:ascii="Cambria" w:hAnsi="Cambria" w:cs="Cambria" w:eastAsia="Cambria"/>
                <w:color w:val="1A1A1A"/>
                <w:sz w:val="18"/>
              </w:rPr>
              <w:t xml:space="preserve">Differenziato per ruolo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Organizzativa</w:t>
            </w:r>
          </w:p>
        </w:tc>
        <w:tc>
          <w:tcPr>
            <w:shd w:val="clear" w:color="auto" w:fill="F4F1EC"/>
          </w:tcPr>
          <w:p>
            <w:pPr>
              <w:pStyle w:val="Compact"/>
              <w:spacing w:after="40" w:before="40"/>
              <w:jc w:val="left"/>
            </w:pPr>
            <w:r>
              <w:rPr>
                <w:rFonts w:ascii="Cambria" w:hAnsi="Cambria" w:cs="Cambria" w:eastAsia="Cambria"/>
                <w:color w:val="1A1A1A"/>
                <w:sz w:val="18"/>
              </w:rPr>
              <w:t xml:space="preserve">Coppia clinica, cura per intensità crescente, percorsi assistenziali, documentazione, debito informativo</w:t>
            </w:r>
          </w:p>
        </w:tc>
        <w:tc>
          <w:tcPr>
            <w:shd w:val="clear" w:color="auto" w:fill="F4F1EC"/>
          </w:tcPr>
          <w:p>
            <w:pPr>
              <w:pStyle w:val="Compact"/>
              <w:spacing w:after="40" w:before="40"/>
              <w:jc w:val="left"/>
            </w:pPr>
            <w:r>
              <w:rPr>
                <w:rFonts w:ascii="Cambria" w:hAnsi="Cambria" w:cs="Cambria" w:eastAsia="Cambria"/>
                <w:color w:val="1A1A1A"/>
                <w:sz w:val="18"/>
              </w:rPr>
              <w:t xml:space="preserve">Elevato</w:t>
            </w:r>
          </w:p>
        </w:tc>
        <w:tc>
          <w:tcPr>
            <w:shd w:val="clear" w:color="auto" w:fill="F4F1EC"/>
          </w:tcPr>
          <w:p>
            <w:pPr>
              <w:pStyle w:val="Compact"/>
              <w:spacing w:after="40" w:before="40"/>
              <w:jc w:val="left"/>
            </w:pPr>
            <w:r>
              <w:rPr>
                <w:rFonts w:ascii="Cambria" w:hAnsi="Cambria" w:cs="Cambria" w:eastAsia="Cambria"/>
                <w:color w:val="1A1A1A"/>
                <w:sz w:val="18"/>
              </w:rPr>
              <w:t xml:space="preserve">Elevato</w:t>
            </w:r>
          </w:p>
        </w:tc>
        <w:tc>
          <w:tcPr>
            <w:shd w:val="clear" w:color="auto" w:fill="F4F1EC"/>
          </w:tcPr>
          <w:p>
            <w:pPr>
              <w:pStyle w:val="Compact"/>
              <w:spacing w:after="40" w:before="40"/>
              <w:jc w:val="left"/>
            </w:pPr>
            <w:r>
              <w:rPr>
                <w:rFonts w:ascii="Cambria" w:hAnsi="Cambria" w:cs="Cambria" w:eastAsia="Cambria"/>
                <w:color w:val="1A1A1A"/>
                <w:sz w:val="18"/>
              </w:rPr>
              <w:t xml:space="preserve">Intermedio</w:t>
            </w:r>
          </w:p>
        </w:tc>
      </w:tr>
      <w:tr>
        <w:tc>
          <w:tcPr/>
          <w:p>
            <w:pPr>
              <w:pStyle w:val="Compact"/>
              <w:spacing w:after="40" w:before="40"/>
              <w:jc w:val="left"/>
            </w:pPr>
            <w:r>
              <w:rPr>
                <w:rFonts w:ascii="Cambria" w:hAnsi="Cambria" w:cs="Cambria" w:eastAsia="Cambria"/>
                <w:b/>
                <w:bCs/>
                <w:color w:val="1A1A1A"/>
                <w:sz w:val="18"/>
              </w:rPr>
              <w:t xml:space="preserve">Relazionale</w:t>
            </w:r>
          </w:p>
        </w:tc>
        <w:tc>
          <w:tcPr/>
          <w:p>
            <w:pPr>
              <w:pStyle w:val="Compact"/>
              <w:spacing w:after="40" w:before="40"/>
              <w:jc w:val="left"/>
            </w:pPr>
            <w:r>
              <w:rPr>
                <w:rFonts w:ascii="Cambria" w:hAnsi="Cambria" w:cs="Cambria" w:eastAsia="Cambria"/>
                <w:color w:val="1A1A1A"/>
                <w:sz w:val="18"/>
              </w:rPr>
              <w:t xml:space="preserve">Alleanza in setting breve, comunicazione, lavoro interprofessionale, gestione della stigmatizzazione</w:t>
            </w:r>
          </w:p>
        </w:tc>
        <w:tc>
          <w:tcPr/>
          <w:p>
            <w:pPr>
              <w:pStyle w:val="Compact"/>
              <w:spacing w:after="40" w:before="40"/>
              <w:jc w:val="left"/>
            </w:pPr>
            <w:r>
              <w:rPr>
                <w:rFonts w:ascii="Cambria" w:hAnsi="Cambria" w:cs="Cambria" w:eastAsia="Cambria"/>
                <w:color w:val="1A1A1A"/>
                <w:sz w:val="18"/>
              </w:rPr>
              <w:t xml:space="preserve">Elevato</w:t>
            </w:r>
          </w:p>
        </w:tc>
        <w:tc>
          <w:tcPr/>
          <w:p>
            <w:pPr>
              <w:pStyle w:val="Compact"/>
              <w:spacing w:after="40" w:before="40"/>
              <w:jc w:val="left"/>
            </w:pPr>
            <w:r>
              <w:rPr>
                <w:rFonts w:ascii="Cambria" w:hAnsi="Cambria" w:cs="Cambria" w:eastAsia="Cambria"/>
                <w:color w:val="1A1A1A"/>
                <w:sz w:val="18"/>
              </w:rPr>
              <w:t xml:space="preserve">Elevato</w:t>
            </w:r>
          </w:p>
        </w:tc>
        <w:tc>
          <w:tcPr/>
          <w:p>
            <w:pPr>
              <w:pStyle w:val="Compact"/>
              <w:spacing w:after="40" w:before="40"/>
              <w:jc w:val="left"/>
            </w:pPr>
            <w:r>
              <w:rPr>
                <w:rFonts w:ascii="Cambria" w:hAnsi="Cambria" w:cs="Cambria" w:eastAsia="Cambria"/>
                <w:color w:val="1A1A1A"/>
                <w:sz w:val="18"/>
              </w:rPr>
              <w:t xml:space="preserve">Intermedio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Digitale (incl. pro-IA)</w:t>
            </w:r>
          </w:p>
        </w:tc>
        <w:tc>
          <w:tcPr>
            <w:shd w:val="clear" w:color="auto" w:fill="F4F1EC"/>
          </w:tcPr>
          <w:p>
            <w:pPr>
              <w:pStyle w:val="Compact"/>
              <w:spacing w:after="40" w:before="40"/>
              <w:jc w:val="left"/>
            </w:pPr>
            <w:r>
              <w:rPr>
                <w:rFonts w:ascii="Cambria" w:hAnsi="Cambria" w:cs="Cambria" w:eastAsia="Cambria"/>
                <w:color w:val="1A1A1A"/>
                <w:sz w:val="18"/>
              </w:rPr>
              <w:t xml:space="preserve">Fascicolo, teleconsulto, terapie digitali su prescrizione, triage e stratificazione assistiti, alfabetizzazione ai limiti e ai rischi</w:t>
            </w:r>
          </w:p>
        </w:tc>
        <w:tc>
          <w:tcPr>
            <w:shd w:val="clear" w:color="auto" w:fill="F4F1EC"/>
          </w:tcPr>
          <w:p>
            <w:pPr>
              <w:pStyle w:val="Compact"/>
              <w:spacing w:after="40" w:before="40"/>
              <w:jc w:val="left"/>
            </w:pPr>
            <w:r>
              <w:rPr>
                <w:rFonts w:ascii="Cambria" w:hAnsi="Cambria" w:cs="Cambria" w:eastAsia="Cambria"/>
                <w:color w:val="1A1A1A"/>
                <w:sz w:val="18"/>
              </w:rPr>
              <w:t xml:space="preserve">Elevato</w:t>
            </w:r>
          </w:p>
        </w:tc>
        <w:tc>
          <w:tcPr>
            <w:shd w:val="clear" w:color="auto" w:fill="F4F1EC"/>
          </w:tcPr>
          <w:p>
            <w:pPr>
              <w:pStyle w:val="Compact"/>
              <w:spacing w:after="40" w:before="40"/>
              <w:jc w:val="left"/>
            </w:pPr>
            <w:r>
              <w:rPr>
                <w:rFonts w:ascii="Cambria" w:hAnsi="Cambria" w:cs="Cambria" w:eastAsia="Cambria"/>
                <w:color w:val="1A1A1A"/>
                <w:sz w:val="18"/>
              </w:rPr>
              <w:t xml:space="preserve">Intermedio</w:t>
            </w:r>
          </w:p>
        </w:tc>
        <w:tc>
          <w:tcPr>
            <w:shd w:val="clear" w:color="auto" w:fill="F4F1EC"/>
          </w:tcPr>
          <w:p>
            <w:pPr>
              <w:pStyle w:val="Compact"/>
              <w:spacing w:after="40" w:before="40"/>
              <w:jc w:val="left"/>
            </w:pPr>
            <w:r>
              <w:rPr>
                <w:rFonts w:ascii="Cambria" w:hAnsi="Cambria" w:cs="Cambria" w:eastAsia="Cambria"/>
                <w:color w:val="1A1A1A"/>
                <w:sz w:val="18"/>
              </w:rPr>
              <w:t xml:space="preserve">Di base</w:t>
            </w:r>
          </w:p>
        </w:tc>
      </w:tr>
    </w:tbl>
    <w:p>
      <w:pPr>
        <w:pStyle w:val="BodyText"/>
      </w:pPr>
      <w:r>
        <w:t xml:space="preserve">La misura del fabbisogno non si esaurisce nell’identificazione delle aree e dei livelli attesi, ma comprende la stima della distanza che separa il profilo richiesto dal profilo che la formazione esistente produce. Questa distanza non è uniforme tra le aree. Nelle competenze cliniche essa è contenuta, poiché il fondamento psicodiagnostico e terapeutico è già patrimonio della formazione dello psicologo, e ciò che manca è il suo adattamento al setting delle cure primarie; nelle competenze organizzative e relazionali la distanza è maggiore, poiché la formazione tradizionale, orientata al setting specialistico e individuale, non prepara al lavoro collaborativo e integrato; nelle competenze digitali, e in particolare in quelle dedicate all’Intelligenza Artificiale, la distanza è massima, poiché si tratta di competenze in larga parte assenti dai percorsi formativi consolidati e in rapida evoluzione. La differente ampiezza della distanza nelle quattro aree ha una conseguenza diretta sulla scelta delle modalità formative: le aree in cui il fondamento esiste e va adattato si prestano alla formazione lavorativa e all’aggiornamento continuo, mentre le aree in cui la competenza è nuova e in evoluzione richiedono in misura maggiore l’affiancamento esperto, che accelera l’adozione delle competenze non ancora consolidate. La determinazione del fabbisogno, in questo senso, non descrive soltanto ciò che manca, ma orienta già la combinazione delle modalità che le voci successive valuteranno.</w:t>
      </w:r>
    </w:p>
    <w:p>
      <w:pPr>
        <w:pStyle w:val="BodyText"/>
      </w:pPr>
      <w:r>
        <w:t xml:space="preserve">Una considerazione conclusiva riguarda la natura interprofessionale del fabbisogno. Le quattro aree di competenza non definiscono soltanto il profilo del singolo professionista, ma la capacità del sistema di operare in modo integrato, poiché il modello collaborativo richiede che le figure della cascata condividano un linguaggio comune e una comprensione reciproca dei rispettivi ruoli. Una parte rilevante del fabbisogno formativo è perciò fabbisogno di competenze condivise, che la formazione deve costruire non in capo a ciascuna figura isolatamente, ma nella relazione tra le figure: la coppia clinica tra psicologo e medico di medicina generale, in particolare, esige una formazione che le due figure possano in parte ricevere congiuntamente, affinché il loro lavoro comune si fondi su una base di competenza condivisa. Questa dimensione interprofessionale del fabbisogno sarà ripresa nella voce dedicata alla combinazione delle modalità, dove la formazione condivisa si rivelerà uno dei luoghi in cui la complementarità delle modalità produce il suo rendimento maggiore. La mappa del fabbisogno così determinata è rappresentata nella scheda infografica seguente, che ne sintetizza le quattro aree e i livelli attesi lungo la cascata.</w:t>
      </w:r>
    </w:p>
    <w:p>
      <w:pPr>
        <w:pStyle w:val="BodyText"/>
      </w:pPr>
      <w:r>
        <w:t xml:space="preserve">Determinato il fabbisogno nelle sue quattro aree, nei suoi livelli differenziati lungo la cascata e nella sua dimensione interprofessionale, la trattazione può procedere all’esame delle modalità attraverso cui esso è soddisfatto. La prima modalità, oggetto della voce seguente, è la formazione universitaria, fondamento di lungo periodo del capitale umano professionale, da cui muove la costruzione del profilo di competenza che le aree fin qui descritte definiscono.</w:t>
      </w:r>
    </w:p>
    <w:bookmarkEnd w:id="253"/>
    <w:bookmarkStart w:id="256" w:name="modalità-prima-formazione-universitaria"/>
    <w:p>
      <w:pPr>
        <w:pStyle w:val="Heading2"/>
      </w:pPr>
      <w:r>
        <w:rPr>
          <w:b/>
          <w:bCs/>
        </w:rPr>
        <w:t xml:space="preserve">5.2 Modalità prima — Formazione universitaria</w:t>
      </w:r>
    </w:p>
    <w:p>
      <w:pPr>
        <w:pStyle w:val="FirstParagraph"/>
      </w:pPr>
      <w:r>
        <w:rPr>
          <w:i/>
          <w:iCs/>
        </w:rPr>
        <w:t xml:space="preserve">Questa voce esamina la prima delle quattro modalità formative, la formazione universitaria, nei suoi corsi di laurea, nei suoi master e nei suoi curricula. Essa ne descrive la funzione di fondamento di lungo periodo del capitale umano professionale, ne dichiara i costi, i tempi e i rendimenti, e ne riconosce i limiti, ponendo le basi del confronto con le modalità successive e con il percorso integrato.</w:t>
      </w:r>
    </w:p>
    <w:p>
      <w:pPr>
        <w:pStyle w:val="BodyText"/>
      </w:pPr>
      <w:r>
        <w:t xml:space="preserve">La formazione universitaria è la prima delle quattro modalità non soltanto nell’ordine dell’esposizione, ma nell’ordine logico della costruzione delle competenze, poiché essa fornisce il fondamento sul quale le altre modalità operano. Le competenze cliniche, organizzative, relazionali e digitali che il fabbisogno richiede non si costruiscono ex novo nell’esercizio della professione, ma poggiano su una base scientifica e metodologica che l’università trasmette e che le modalità successive specificano, aggiornano e traducono in pratica. La funzione propria della formazione universitaria è dunque la formazione del capitale umano professionale di lungo periodo: essa non addestra a un compito determinato, ma costruisce la capacità di apprendere, di valutare le prove e di adattare la propria pratica all’evoluzione delle conoscenze, capacità che costituiscono il presupposto durevole di ogni competenza successiva.</w:t>
      </w:r>
    </w:p>
    <w:p>
      <w:pPr>
        <w:pStyle w:val="BodyText"/>
      </w:pPr>
      <w:r>
        <w:t xml:space="preserve">Il percorso universitario dello psicologo si articola, nell’ordinamento italiano, nella laurea triennale nella classe delle scienze e tecniche psicologiche e nella laurea magistrale nella classe della psicologia, alla quale la riforma dei titoli universitari abilitanti ha conferito valore abilitante all’esercizio della professione, integrando nel corso di studi il tirocinio e la prova pratica valutativa.</w:t>
      </w:r>
      <w:r>
        <w:rPr>
          <w:rStyle w:val="FootnoteReference"/>
        </w:rPr>
        <w:footnoteReference w:id="133"/>
      </w:r>
      <w:r>
        <w:t xml:space="preserve"> </w:t>
      </w:r>
      <w:r>
        <w:t xml:space="preserve">A questo percorso di base si aggiungono, nella formazione post-laurea di livello universitario, i master di primo e di secondo livello e i corsi di perfezionamento, che consentono la specializzazione delle competenze su ambiti determinati. È in questa articolazione che si colloca la possibilità di costruire, già nella formazione universitaria, il profilo di competenza che lo Psicologo di Base richiede: attraverso l’adeguamento dei curricula della laurea magistrale, che può introdurre nei piani di studio gli insegnamenti dedicati alla psicologia delle cure primarie, all’assistenza collaborativa e alla salute digitale; e attraverso l’istituzione di master dedicati, che possono costruire il profilo specialistico in modo mirato e in tempi più brevi di quelli della riforma curriculare. Lo standard europeo di certificazione delle competenze dello psicologo fornisce, a questo riguardo, la cornice entro cui i livelli minimi di competenza e la struttura del percorso possono essere definiti in modo coerente con il contesto sovranazionale.</w:t>
      </w:r>
      <w:r>
        <w:rPr>
          <w:rStyle w:val="FootnoteReference"/>
        </w:rPr>
        <w:footnoteReference w:id="134"/>
      </w:r>
    </w:p>
    <w:p>
      <w:pPr>
        <w:pStyle w:val="BodyText"/>
      </w:pPr>
      <w:r>
        <w:t xml:space="preserve">La valutazione della formazione universitaria secondo i modelli del ritorno sull’investimento formativo mette in evidenza un profilo caratteristico, che la distingue dalle modalità successive. Nei termini dei quattro livelli di Kirkpatrick, la formazione universitaria opera con la massima efficacia al secondo livello, quello dell’apprendimento delle conoscenze e delle abilità, poiché è la modalità che costruisce il fondamento scientifico e metodologico nella sua forma più sistematica e completa; opera invece in modo differito al terzo e al quarto livello, quelli del trasferimento dei comportamenti nella pratica e dei risultati organizzativi, poiché il fondamento che essa costruisce si traduce in pratica e in risultato solo attraverso la successiva esperienza professionale e l’affiancamento esperto, che le altre modalità forniscono. Questo profilo differito ha una conseguenza diretta sul rendimento: il valore della formazione universitaria è elevato e durevole, ma si manifesta nel lungo periodo e non è immediatamente convertibile in efficienza del servizio, a differenza del valore prodotto dalle modalità che operano direttamente sul trasferimento e sull’adozione.</w:t>
      </w:r>
    </w:p>
    <w:p>
      <w:pPr>
        <w:pStyle w:val="BodyText"/>
      </w:pPr>
      <w:r>
        <w:t xml:space="preserve">La considerazione dei costi della formazione universitaria richiede una distinzione che ha rilievo diretto per la valutazione economica della riforma e per la regola di non duplicazione che governa l’opera. Il costo della formazione universitaria di base — la laurea triennale e la laurea magistrale — non grava in via principale sul bilancio sanitario regionale né sul programma formativo della riforma, ma sul sistema dell’istruzione universitaria e, in parte, sull’individuo che intraprende il percorso. Esso è perciò in larga misura un costo esterno al perimetro economico della riforma, già sostenuto dal sistema per la formazione dei professionisti che la riforma impiega, e non un costo incrementale che la riforma genera. Costituiscono invece costi che la riforma può sostenere, e che ricadono nel suo perimetro economico, gli interventi mirati di adeguamento dei curricula e di istituzione di master dedicati, nella misura in cui la Regione li promuova e li finanzi per costruire il profilo specialistico che il servizio richiede. La distinzione tra il costo esterno della formazione di base e il costo incrementale degli interventi mirati è essenziale affinché la valutazione economica non attribuisca alla riforma costi che essa non genera, e sarà ripresa nella settima voce, dove il costo della formazione è quantificato per ciascuna modalità.</w:t>
      </w:r>
    </w:p>
    <w:p>
      <w:pPr>
        <w:pStyle w:val="BodyText"/>
      </w:pPr>
      <w:r>
        <w:t xml:space="preserve">La formazione universitaria presenta, accanto ai suoi pregi, limiti che ne circoscrivono la funzione e che giustificano il ricorso alle modalità successive. Il primo limite è la durata: il percorso universitario si misura in anni, e il fondamento che esso costruisce è disponibile solo al termine di un ciclo formativo lungo, inadeguato a rispondere a un fabbisogno che la riforma genera nel breve periodo. Il secondo limite è la generalità: la formazione universitaria costruisce un profilo ampio e fondato, ma non specifico al setting delle cure primarie, e la sua specificazione richiede interventi ulteriori, curriculari o post-laurea, che ne riducono la genericità senza eliminarla del tutto. Il terzo limite è la lentezza dell’aggiornamento: i curricula universitari si modificano attraverso processi istituzionali che hanno tempi propri, e mal si adattano alla rapidità con cui evolvono le competenze digitali e quelle dedicate all’Intelligenza Artificiale, che richiedono un aggiornamento più frequente di quello che la struttura universitaria può assicurare. Questi tre limiti non sono difetti della formazione universitaria, ma caratteri propri della sua funzione, che è quella di costruire un fondamento durevole e non quella di rispondere a esigenze immediate o di aggiornare con frequenza; e sono precisamente i limiti che le modalità successive — l’educazione continua, la formazione lavorativa e l’affiancamento — sono chiamate a compensare. La tabella seguente riepiloga i percorsi della formazione universitaria, la loro durata, i loro esiti e l’onere prevalente che ciascuno comporta.</w:t>
      </w:r>
    </w:p>
    <w:p>
      <w:pPr>
        <w:pStyle w:val="BodyText"/>
      </w:pPr>
      <w:r>
        <w:rPr>
          <w:b/>
          <w:bCs/>
          <w:i/>
          <w:iCs/>
        </w:rPr>
        <w:t xml:space="preserve">Tabella 5.2.A — I percorsi della formazione universitaria: durata, esiti, onere prevalente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Percorso</w:t>
            </w:r>
          </w:p>
        </w:tc>
        <w:tc>
          <w:tcPr>
            <w:shd w:val="clear" w:color="auto" w:fill="16264B"/>
          </w:tcPr>
          <w:p>
            <w:pPr>
              <w:pStyle w:val="Compact"/>
              <w:spacing w:after="40" w:before="40"/>
              <w:jc w:val="left"/>
            </w:pPr>
            <w:r>
              <w:rPr>
                <w:rFonts w:ascii="Cambria" w:hAnsi="Cambria" w:cs="Cambria" w:eastAsia="Cambria"/>
                <w:b/>
                <w:bCs/>
                <w:color w:val="FFFFFF"/>
                <w:sz w:val="18"/>
              </w:rPr>
              <w:t xml:space="preserve">Durata indicativa</w:t>
            </w:r>
          </w:p>
        </w:tc>
        <w:tc>
          <w:tcPr>
            <w:shd w:val="clear" w:color="auto" w:fill="16264B"/>
          </w:tcPr>
          <w:p>
            <w:pPr>
              <w:pStyle w:val="Compact"/>
              <w:spacing w:after="40" w:before="40"/>
              <w:jc w:val="left"/>
            </w:pPr>
            <w:r>
              <w:rPr>
                <w:rFonts w:ascii="Cambria" w:hAnsi="Cambria" w:cs="Cambria" w:eastAsia="Cambria"/>
                <w:b/>
                <w:bCs/>
                <w:color w:val="FFFFFF"/>
                <w:sz w:val="18"/>
              </w:rPr>
              <w:t xml:space="preserve">Esito formativo</w:t>
            </w:r>
          </w:p>
        </w:tc>
        <w:tc>
          <w:tcPr>
            <w:shd w:val="clear" w:color="auto" w:fill="16264B"/>
          </w:tcPr>
          <w:p>
            <w:pPr>
              <w:pStyle w:val="Compact"/>
              <w:spacing w:after="40" w:before="40"/>
              <w:jc w:val="left"/>
            </w:pPr>
            <w:r>
              <w:rPr>
                <w:rFonts w:ascii="Cambria" w:hAnsi="Cambria" w:cs="Cambria" w:eastAsia="Cambria"/>
                <w:b/>
                <w:bCs/>
                <w:color w:val="FFFFFF"/>
                <w:sz w:val="18"/>
              </w:rPr>
              <w:t xml:space="preserve">Onere prevalente</w:t>
            </w:r>
          </w:p>
        </w:tc>
      </w:tr>
      <w:tr>
        <w:tc>
          <w:tcPr/>
          <w:p>
            <w:pPr>
              <w:pStyle w:val="Compact"/>
              <w:spacing w:after="40" w:before="40"/>
              <w:jc w:val="left"/>
            </w:pPr>
            <w:r>
              <w:rPr>
                <w:rFonts w:ascii="Cambria" w:hAnsi="Cambria" w:cs="Cambria" w:eastAsia="Cambria"/>
                <w:b/>
                <w:bCs/>
                <w:color w:val="1A1A1A"/>
                <w:sz w:val="18"/>
              </w:rPr>
              <w:t xml:space="preserve">Laurea triennale (scienze e tecniche psicologiche)</w:t>
            </w:r>
          </w:p>
        </w:tc>
        <w:tc>
          <w:tcPr/>
          <w:p>
            <w:pPr>
              <w:pStyle w:val="Compact"/>
              <w:spacing w:after="40" w:before="40"/>
              <w:jc w:val="left"/>
            </w:pPr>
            <w:r>
              <w:rPr>
                <w:rFonts w:ascii="Cambria" w:hAnsi="Cambria" w:cs="Cambria" w:eastAsia="Cambria"/>
                <w:color w:val="1A1A1A"/>
                <w:sz w:val="18"/>
              </w:rPr>
              <w:t xml:space="preserve">3 anni</w:t>
            </w:r>
          </w:p>
        </w:tc>
        <w:tc>
          <w:tcPr/>
          <w:p>
            <w:pPr>
              <w:pStyle w:val="Compact"/>
              <w:spacing w:after="40" w:before="40"/>
              <w:jc w:val="left"/>
            </w:pPr>
            <w:r>
              <w:rPr>
                <w:rFonts w:ascii="Cambria" w:hAnsi="Cambria" w:cs="Cambria" w:eastAsia="Cambria"/>
                <w:color w:val="1A1A1A"/>
                <w:sz w:val="18"/>
              </w:rPr>
              <w:t xml:space="preserve">Fondamento scientifico di base</w:t>
            </w:r>
          </w:p>
        </w:tc>
        <w:tc>
          <w:tcPr/>
          <w:p>
            <w:pPr>
              <w:pStyle w:val="Compact"/>
              <w:spacing w:after="40" w:before="40"/>
              <w:jc w:val="left"/>
            </w:pPr>
            <w:r>
              <w:rPr>
                <w:rFonts w:ascii="Cambria" w:hAnsi="Cambria" w:cs="Cambria" w:eastAsia="Cambria"/>
                <w:color w:val="1A1A1A"/>
                <w:sz w:val="18"/>
              </w:rPr>
              <w:t xml:space="preserve">Sistema istruzione / individuo (esterno alla riforma)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Laurea magistrale abilitante (psicologia)</w:t>
            </w:r>
          </w:p>
        </w:tc>
        <w:tc>
          <w:tcPr>
            <w:shd w:val="clear" w:color="auto" w:fill="F4F1EC"/>
          </w:tcPr>
          <w:p>
            <w:pPr>
              <w:pStyle w:val="Compact"/>
              <w:spacing w:after="40" w:before="40"/>
              <w:jc w:val="left"/>
            </w:pPr>
            <w:r>
              <w:rPr>
                <w:rFonts w:ascii="Cambria" w:hAnsi="Cambria" w:cs="Cambria" w:eastAsia="Cambria"/>
                <w:color w:val="1A1A1A"/>
                <w:sz w:val="18"/>
              </w:rPr>
              <w:t xml:space="preserve">2 anni</w:t>
            </w:r>
          </w:p>
        </w:tc>
        <w:tc>
          <w:tcPr>
            <w:shd w:val="clear" w:color="auto" w:fill="F4F1EC"/>
          </w:tcPr>
          <w:p>
            <w:pPr>
              <w:pStyle w:val="Compact"/>
              <w:spacing w:after="40" w:before="40"/>
              <w:jc w:val="left"/>
            </w:pPr>
            <w:r>
              <w:rPr>
                <w:rFonts w:ascii="Cambria" w:hAnsi="Cambria" w:cs="Cambria" w:eastAsia="Cambria"/>
                <w:color w:val="1A1A1A"/>
                <w:sz w:val="18"/>
              </w:rPr>
              <w:t xml:space="preserve">Profilo professionale abilitato, tirocinio integrato</w:t>
            </w:r>
          </w:p>
        </w:tc>
        <w:tc>
          <w:tcPr>
            <w:shd w:val="clear" w:color="auto" w:fill="F4F1EC"/>
          </w:tcPr>
          <w:p>
            <w:pPr>
              <w:pStyle w:val="Compact"/>
              <w:spacing w:after="40" w:before="40"/>
              <w:jc w:val="left"/>
            </w:pPr>
            <w:r>
              <w:rPr>
                <w:rFonts w:ascii="Cambria" w:hAnsi="Cambria" w:cs="Cambria" w:eastAsia="Cambria"/>
                <w:color w:val="1A1A1A"/>
                <w:sz w:val="18"/>
              </w:rPr>
              <w:t xml:space="preserve">Sistema istruzione / individuo (esterno alla riforma)</w:t>
            </w:r>
          </w:p>
        </w:tc>
      </w:tr>
      <w:tr>
        <w:tc>
          <w:tcPr/>
          <w:p>
            <w:pPr>
              <w:pStyle w:val="Compact"/>
              <w:spacing w:after="40" w:before="40"/>
              <w:jc w:val="left"/>
            </w:pPr>
            <w:r>
              <w:rPr>
                <w:rFonts w:ascii="Cambria" w:hAnsi="Cambria" w:cs="Cambria" w:eastAsia="Cambria"/>
                <w:b/>
                <w:bCs/>
                <w:color w:val="1A1A1A"/>
                <w:sz w:val="18"/>
              </w:rPr>
              <w:t xml:space="preserve">Master dedicato (cure primarie, salute digitale)</w:t>
            </w:r>
          </w:p>
        </w:tc>
        <w:tc>
          <w:tcPr/>
          <w:p>
            <w:pPr>
              <w:pStyle w:val="Compact"/>
              <w:spacing w:after="40" w:before="40"/>
              <w:jc w:val="left"/>
            </w:pPr>
            <w:r>
              <w:rPr>
                <w:rFonts w:ascii="Cambria" w:hAnsi="Cambria" w:cs="Cambria" w:eastAsia="Cambria"/>
                <w:color w:val="1A1A1A"/>
                <w:sz w:val="18"/>
              </w:rPr>
              <w:t xml:space="preserve">1 anno</w:t>
            </w:r>
          </w:p>
        </w:tc>
        <w:tc>
          <w:tcPr/>
          <w:p>
            <w:pPr>
              <w:pStyle w:val="Compact"/>
              <w:spacing w:after="40" w:before="40"/>
              <w:jc w:val="left"/>
            </w:pPr>
            <w:r>
              <w:rPr>
                <w:rFonts w:ascii="Cambria" w:hAnsi="Cambria" w:cs="Cambria" w:eastAsia="Cambria"/>
                <w:color w:val="1A1A1A"/>
                <w:sz w:val="18"/>
              </w:rPr>
              <w:t xml:space="preserve">Profilo specialistico mirato</w:t>
            </w:r>
          </w:p>
        </w:tc>
        <w:tc>
          <w:tcPr/>
          <w:p>
            <w:pPr>
              <w:pStyle w:val="Compact"/>
              <w:spacing w:after="40" w:before="40"/>
              <w:jc w:val="left"/>
            </w:pPr>
            <w:r>
              <w:rPr>
                <w:rFonts w:ascii="Cambria" w:hAnsi="Cambria" w:cs="Cambria" w:eastAsia="Cambria"/>
                <w:color w:val="1A1A1A"/>
                <w:sz w:val="18"/>
              </w:rPr>
              <w:t xml:space="preserve">Incrementale: promosso/finanziabile dalla Regione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Adeguamento dei curricula magistrali</w:t>
            </w:r>
          </w:p>
        </w:tc>
        <w:tc>
          <w:tcPr>
            <w:shd w:val="clear" w:color="auto" w:fill="F4F1EC"/>
          </w:tcPr>
          <w:p>
            <w:pPr>
              <w:pStyle w:val="Compact"/>
              <w:spacing w:after="40" w:before="40"/>
              <w:jc w:val="left"/>
            </w:pPr>
            <w:r>
              <w:rPr>
                <w:rFonts w:ascii="Cambria" w:hAnsi="Cambria" w:cs="Cambria" w:eastAsia="Cambria"/>
                <w:color w:val="1A1A1A"/>
                <w:sz w:val="18"/>
              </w:rPr>
              <w:t xml:space="preserve">ciclo istituzionale</w:t>
            </w:r>
          </w:p>
        </w:tc>
        <w:tc>
          <w:tcPr>
            <w:shd w:val="clear" w:color="auto" w:fill="F4F1EC"/>
          </w:tcPr>
          <w:p>
            <w:pPr>
              <w:pStyle w:val="Compact"/>
              <w:spacing w:after="40" w:before="40"/>
              <w:jc w:val="left"/>
            </w:pPr>
            <w:r>
              <w:rPr>
                <w:rFonts w:ascii="Cambria" w:hAnsi="Cambria" w:cs="Cambria" w:eastAsia="Cambria"/>
                <w:color w:val="1A1A1A"/>
                <w:sz w:val="18"/>
              </w:rPr>
              <w:t xml:space="preserve">Profilo di base orientato alle cure primarie</w:t>
            </w:r>
          </w:p>
        </w:tc>
        <w:tc>
          <w:tcPr>
            <w:shd w:val="clear" w:color="auto" w:fill="F4F1EC"/>
          </w:tcPr>
          <w:p>
            <w:pPr>
              <w:pStyle w:val="Compact"/>
              <w:spacing w:after="40" w:before="40"/>
              <w:jc w:val="left"/>
            </w:pPr>
            <w:r>
              <w:rPr>
                <w:rFonts w:ascii="Cambria" w:hAnsi="Cambria" w:cs="Cambria" w:eastAsia="Cambria"/>
                <w:color w:val="1A1A1A"/>
                <w:sz w:val="18"/>
              </w:rPr>
              <w:t xml:space="preserve">Incrementale: cofinanziabile dalla Regione</w:t>
            </w:r>
          </w:p>
        </w:tc>
      </w:tr>
    </w:tbl>
    <w:p>
      <w:pPr>
        <w:pStyle w:val="BodyText"/>
      </w:pPr>
      <w:r>
        <w:t xml:space="preserve">La posizione della formazione universitaria nel percorso integrato, che la sesta voce tratterà compiutamente, può essere già anticipata nei suoi termini essenziali. La formazione universitaria è il fondamento sul quale le altre modalità operano, e in questa funzione è insostituibile: nessuna delle modalità successive costruisce il capitale umano professionale di lungo periodo che l’università trasmette, e la loro efficacia presuppone quel fondamento. Ma proprio perché è fondamento, la formazione universitaria non è sufficiente da sola: essa richiede di essere aggiornata dall’educazione continua, tradotta in pratica dalla formazione lavorativa e accelerata nell’adozione delle competenze nuove dall’affiancamento esperto. La combinazione ottimale delle modalità, che la sesta voce individuerà, colloca perciò la formazione universitaria all’origine del percorso, come componente che costruisce il capitale di lungo periodo, e le affianca le modalità che ne compensano i limiti di durata, di generalità e di aggiornamento. È in questa composizione, e non nell’isolamento, che la formazione universitaria esprime il suo rendimento pieno; e a questa composizione la trattazione perverrà dopo aver esaminato, nelle voci seguenti, le altre tre modalità a sé stanti, a partire dalla formazione post-universitaria, che della formazione universitaria è il prolungamento e l’aggiornamento.</w:t>
      </w:r>
    </w:p>
    <w:bookmarkEnd w:id="256"/>
    <w:bookmarkStart w:id="259" w:name="Xcf20dbc8485d334a8f8b1e64c3608898250a69b"/>
    <w:p>
      <w:pPr>
        <w:pStyle w:val="Heading2"/>
      </w:pPr>
      <w:r>
        <w:rPr>
          <w:b/>
          <w:bCs/>
        </w:rPr>
        <w:t xml:space="preserve">5.3 Modalità seconda — Formazione post-universitaria</w:t>
      </w:r>
    </w:p>
    <w:p>
      <w:pPr>
        <w:pStyle w:val="FirstParagraph"/>
      </w:pPr>
      <w:r>
        <w:rPr>
          <w:i/>
          <w:iCs/>
        </w:rPr>
        <w:t xml:space="preserve">Questa voce esamina la seconda modalità formativa, la formazione post-universitaria, nelle sue tre forme — la specializzazione, l’educazione continua in medicina e le certificazioni. Essa ne descrive la funzione di aggiornamento rapido e continuo delle competenze, che compensa il limite di lentezza proprio della formazione universitaria, ne dichiara i costi, i tempi e i rendimenti, vi colloca il veicolo naturale dell’aggiornamento delle competenze dedicate all’Intelligenza Artificiale, e ne riconosce i limiti di frammentarietà e di dipendenza dalla qualità dei provider.</w:t>
      </w:r>
    </w:p>
    <w:p>
      <w:pPr>
        <w:pStyle w:val="BodyText"/>
      </w:pPr>
      <w:r>
        <w:t xml:space="preserve">La formazione post-universitaria è la seconda modalità e, nell’ordine logico della costruzione delle competenze, il prolungamento e l’aggiornamento del fondamento che la formazione universitaria trasmette. La sua funzione propria si definisce per contrasto con il limite che la voce precedente ha riconosciuto alla formazione universitaria: dove l’università costruisce un fondamento durevole ma si aggiorna con lentezza, attraverso processi istituzionali dai tempi lunghi, la formazione post-universitaria provvede all’aggiornamento rapido e ripetibile delle competenze, adeguandole all’evoluzione delle conoscenze e degli strumenti con una frequenza che la struttura universitaria non può assicurare. È perciò la modalità che mantiene la competenza professionale costantemente adeguata, e la sua necessità cresce in proporzione alla rapidità con cui evolvono i contenuti che essa aggiorna — una rapidità che, nel caso delle competenze digitali e di quelle dedicate all’Intelligenza Artificiale, è massima.</w:t>
      </w:r>
    </w:p>
    <w:p>
      <w:pPr>
        <w:pStyle w:val="BodyText"/>
      </w:pPr>
      <w:r>
        <w:t xml:space="preserve">La formazione post-universitaria si realizza, nell’ordinamento italiano, attraverso tre forme distinte, che la presente voce considera in successione. La prima è la specializzazione, che approfondisce e specializza il profilo clinico attraverso le scuole di specializzazione universitarie e le scuole di psicoterapia riconosciute; l’esercizio dell’attività psicoterapeutica, in particolare, è subordinato dalla legge a una specifica formazione presso tali scuole, e costituisce la forma più strutturata e prolungata della specializzazione post-laurea.</w:t>
      </w:r>
      <w:r>
        <w:rPr>
          <w:rStyle w:val="FootnoteReference"/>
        </w:rPr>
        <w:footnoteReference w:id="135"/>
      </w:r>
      <w:r>
        <w:t xml:space="preserve"> </w:t>
      </w:r>
      <w:r>
        <w:t xml:space="preserve">La seconda forma è l’educazione continua in medicina, che assicura l’aggiornamento periodico e obbligatorio delle competenze attraverso un sistema nazionale di crediti formativi: gli esercenti le professioni sanitarie, psicologi compresi, sono tenuti ad acquisire un debito formativo triennale presso provider accreditati, e il sistema costituisce il principale canale istituzionale dell’aggiornamento continuo.</w:t>
      </w:r>
      <w:r>
        <w:rPr>
          <w:rStyle w:val="FootnoteReference"/>
        </w:rPr>
        <w:footnoteReference w:id="136"/>
      </w:r>
      <w:r>
        <w:t xml:space="preserve"> </w:t>
      </w:r>
      <w:r>
        <w:t xml:space="preserve">La terza forma è la certificazione, che attesta il possesso di una competenza determinata attraverso percorsi mirati e di durata contenuta, e che si presta in modo particolare all’acquisizione rapida di competenze specifiche, comprese quelle digitali e quelle dedicate all’uso degli strumenti di Intelligenza Artificiale.</w:t>
      </w:r>
    </w:p>
    <w:p>
      <w:pPr>
        <w:pStyle w:val="BodyText"/>
      </w:pPr>
      <w:r>
        <w:t xml:space="preserve">La specializzazione, prima forma della modalità, costruisce il profilo clinico approfondito e ne assicura il riconoscimento. Per la figura dello Psicologo di Base, la specializzazione rilevante è quella orientata agli interventi brevi e fondati sulle prove adatti al contesto delle cure primarie, più che alla psicoterapia di lungo corso propria del setting specialistico; ma va riconosciuto che la specializzazione, e in particolare la formazione psicoterapeutica presso le scuole riconosciute, è un percorso prolungato, che si misura in anni, e condivide perciò in parte il limite di durata della formazione universitaria, dal quale si distingue per la maggiore specificità del profilo che costruisce. La specializzazione, in questo senso, sta a metà tra la formazione universitaria, di cui prolunga la durata e la profondità, e le forme più agili della modalità post-universitaria, di cui non condivide la rapidità; e il suo rendimento è elevato e durevole, ma differito come quello della formazione universitaria.</w:t>
      </w:r>
    </w:p>
    <w:p>
      <w:pPr>
        <w:pStyle w:val="BodyText"/>
      </w:pPr>
      <w:r>
        <w:t xml:space="preserve">L’educazione continua in medicina, seconda forma della modalità, è il canale attraverso cui la competenza professionale è mantenuta costantemente adeguata. Il sistema dei crediti formativi impone al professionista un aggiornamento periodico e ne verifica l’assolvimento, ma la sua efficacia formativa dipende dalla qualità e dalla pertinenza dei percorsi offerti dai provider accreditati. È in questa forma che la riforma trova il suo strumento più diretto di aggiornamento delle competenze dello Psicologo di Base, poiché il sistema sanitario regionale può operare esso stesso come provider accreditato e progettare percorsi di educazione continua dedicati ai contenuti che il modello richiede: la psicologia delle cure primarie, l’assistenza collaborativa, gli interventi a bassa intensità, i dispositivi terapeutici digitali e l’uso degli strumenti assistiti da algoritmi. Il costo dei percorsi di educazione continua progettati e finanziati dalla Regione è un costo incrementale che ricade nel perimetro economico della riforma, e come tale sarà quantificato nella settima voce; il costo dell’assolvimento generale dell’obbligo formativo, invece, grava in via ordinaria sul professionista e sul datore di lavoro, ed è in larga parte esterno al perimetro della riforma, secondo la distinzione tra costo esterno e costo incrementale già introdotta a proposito della formazione universitaria.</w:t>
      </w:r>
    </w:p>
    <w:p>
      <w:pPr>
        <w:pStyle w:val="BodyText"/>
      </w:pPr>
      <w:r>
        <w:t xml:space="preserve">La certificazione, terza forma della modalità, attesta il possesso di una competenza determinata e si presta in modo particolare all’aggiornamento rapido e mirato delle competenze digitali e di quelle dedicate all’Intelligenza Artificiale. È precisamente in questa forma che si colloca, in misura prevalente, l’aggiornamento delle competenze pro-Intelligenza Artificiale considerate a sé stanti, secondo la prima esigenza del duplice mandato. La rapidità con cui evolvono gli strumenti di Intelligenza Artificiale rende inadeguata, per il loro aggiornamento, la lentezza della formazione universitaria, e richiede percorsi brevi, ripetibili e mirati, che attestino di volta in volta la competenza nell’uso degli strumenti di triage e di stratificazione, dei dispositivi terapeutici digitali, e l’alfabetizzazione ai loro limiti e ai loro rischi. La graduazione invariante dell’evidenza si applica con pienezza a questa forma: la certificazione attesta una competenza nell’uso dello strumento, non l’acquisizione di una capacità sostitutiva del giudizio clinico, e l’evidenza sulla resa formativa dei percorsi dedicati all’Intelligenza Artificiale è graduata con il medesimo rigore applicato alle competenze cliniche. La certificazione, in questo senso, è il luogo in cui la competenza pro-Intelligenza Artificiale è costruita e aggiornata in modo isolato e ripetibile, prima di essere integrata, attraverso le modalità successive, nel profilo professionale complessivo.</w:t>
      </w:r>
    </w:p>
    <w:p>
      <w:pPr>
        <w:pStyle w:val="BodyText"/>
      </w:pPr>
      <w:r>
        <w:t xml:space="preserve">La valutazione della formazione post-universitaria secondo i modelli del ritorno sull’investimento formativo ne mette in luce un profilo intermedio tra quello della formazione universitaria e quello delle modalità successive. Nei termini dei livelli di Kirkpatrick, la formazione post-universitaria opera con efficacia al secondo livello, quello dell’apprendimento, e raggiunge in parte il terzo, quello del trasferimento dei comportamenti, in misura maggiore della formazione universitaria, poiché i suoi percorsi sono più vicini alla pratica e più facilmente convertibili in efficienza del servizio; il suo ciclo è inoltre più rapido, sicché il suo rendimento si manifesta in tempi più brevi di quelli della formazione universitaria. La distinzione dei costi, già introdotta, ha qui la sua applicazione: l’obbligo generale dell’educazione continua è un costo in larga parte esterno, mentre i percorsi mirati di educazione continua e le certificazioni promosse e finanziate dalla Regione sono costi incrementali interni al perimetro, da quantificare senza duplicazione rispetto alle altre modalità.</w:t>
      </w:r>
    </w:p>
    <w:p>
      <w:pPr>
        <w:pStyle w:val="BodyText"/>
      </w:pPr>
      <w:r>
        <w:t xml:space="preserve">La formazione post-universitaria presenta, come la formazione universitaria, limiti che ne circoscrivono la funzione e che giustificano il ricorso alle modalità successive. Il primo limite è la frammentarietà: la formazione post-universitaria procede per eventi discreti — corsi, crediti, certificazioni — e, in assenza di un disegno che li coordini, rischia di produrre un aggiornamento frammentario anziché uno sviluppo coerente delle competenze. Il secondo limite è la dipendenza dalla qualità dei provider: il valore dell’educazione continua e delle certificazioni dipende dalla qualità e dalla pertinenza dei percorsi offerti, che è variabile, e la sola acquisizione dei crediti non garantisce l’acquisizione delle competenze. Il terzo limite è il rischio dell’adempimento formale: l’obbligo dei crediti può essere soddisfatto in modo formale, senza un reale trasferimento nella pratica, se i percorsi non sono progettati per produrre un cambiamento dei comportamenti. Questi tre limiti indicano che la formazione post-universitaria, come la formazione universitaria, è necessaria ma non sufficiente, e richiede le modalità che traducono l’aggiornamento in pratica — la formazione lavorativa e l’affiancamento — affinché il suo rendimento si realizzi. La tabella seguente riepiloga le tre forme della formazione post-universitaria, la loro durata, i loro esiti e l’onere prevalente che ciascuna comporta.</w:t>
      </w:r>
    </w:p>
    <w:p>
      <w:pPr>
        <w:pStyle w:val="BodyText"/>
      </w:pPr>
      <w:r>
        <w:rPr>
          <w:b/>
          <w:bCs/>
          <w:i/>
          <w:iCs/>
        </w:rPr>
        <w:t xml:space="preserve">Tabella 5.3.A — Le tre forme della formazione post-universitaria: durata, esiti, onere prevalente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Forma</w:t>
            </w:r>
          </w:p>
        </w:tc>
        <w:tc>
          <w:tcPr>
            <w:shd w:val="clear" w:color="auto" w:fill="16264B"/>
          </w:tcPr>
          <w:p>
            <w:pPr>
              <w:pStyle w:val="Compact"/>
              <w:spacing w:after="40" w:before="40"/>
              <w:jc w:val="left"/>
            </w:pPr>
            <w:r>
              <w:rPr>
                <w:rFonts w:ascii="Cambria" w:hAnsi="Cambria" w:cs="Cambria" w:eastAsia="Cambria"/>
                <w:b/>
                <w:bCs/>
                <w:color w:val="FFFFFF"/>
                <w:sz w:val="18"/>
              </w:rPr>
              <w:t xml:space="preserve">Durata indicativa</w:t>
            </w:r>
          </w:p>
        </w:tc>
        <w:tc>
          <w:tcPr>
            <w:shd w:val="clear" w:color="auto" w:fill="16264B"/>
          </w:tcPr>
          <w:p>
            <w:pPr>
              <w:pStyle w:val="Compact"/>
              <w:spacing w:after="40" w:before="40"/>
              <w:jc w:val="left"/>
            </w:pPr>
            <w:r>
              <w:rPr>
                <w:rFonts w:ascii="Cambria" w:hAnsi="Cambria" w:cs="Cambria" w:eastAsia="Cambria"/>
                <w:b/>
                <w:bCs/>
                <w:color w:val="FFFFFF"/>
                <w:sz w:val="18"/>
              </w:rPr>
              <w:t xml:space="preserve">Esito formativo</w:t>
            </w:r>
          </w:p>
        </w:tc>
        <w:tc>
          <w:tcPr>
            <w:shd w:val="clear" w:color="auto" w:fill="16264B"/>
          </w:tcPr>
          <w:p>
            <w:pPr>
              <w:pStyle w:val="Compact"/>
              <w:spacing w:after="40" w:before="40"/>
              <w:jc w:val="left"/>
            </w:pPr>
            <w:r>
              <w:rPr>
                <w:rFonts w:ascii="Cambria" w:hAnsi="Cambria" w:cs="Cambria" w:eastAsia="Cambria"/>
                <w:b/>
                <w:bCs/>
                <w:color w:val="FFFFFF"/>
                <w:sz w:val="18"/>
              </w:rPr>
              <w:t xml:space="preserve">Onere prevalente</w:t>
            </w:r>
          </w:p>
        </w:tc>
      </w:tr>
      <w:tr>
        <w:tc>
          <w:tcPr/>
          <w:p>
            <w:pPr>
              <w:pStyle w:val="Compact"/>
              <w:spacing w:after="40" w:before="40"/>
              <w:jc w:val="left"/>
            </w:pPr>
            <w:r>
              <w:rPr>
                <w:rFonts w:ascii="Cambria" w:hAnsi="Cambria" w:cs="Cambria" w:eastAsia="Cambria"/>
                <w:b/>
                <w:bCs/>
                <w:color w:val="1A1A1A"/>
                <w:sz w:val="18"/>
              </w:rPr>
              <w:t xml:space="preserve">Specializzazione (scuole di specializzazione e psicoterapia)</w:t>
            </w:r>
          </w:p>
        </w:tc>
        <w:tc>
          <w:tcPr/>
          <w:p>
            <w:pPr>
              <w:pStyle w:val="Compact"/>
              <w:spacing w:after="40" w:before="40"/>
              <w:jc w:val="left"/>
            </w:pPr>
            <w:r>
              <w:rPr>
                <w:rFonts w:ascii="Cambria" w:hAnsi="Cambria" w:cs="Cambria" w:eastAsia="Cambria"/>
                <w:color w:val="1A1A1A"/>
                <w:sz w:val="18"/>
              </w:rPr>
              <w:t xml:space="preserve">pluriennale</w:t>
            </w:r>
          </w:p>
        </w:tc>
        <w:tc>
          <w:tcPr/>
          <w:p>
            <w:pPr>
              <w:pStyle w:val="Compact"/>
              <w:spacing w:after="40" w:before="40"/>
              <w:jc w:val="left"/>
            </w:pPr>
            <w:r>
              <w:rPr>
                <w:rFonts w:ascii="Cambria" w:hAnsi="Cambria" w:cs="Cambria" w:eastAsia="Cambria"/>
                <w:color w:val="1A1A1A"/>
                <w:sz w:val="18"/>
              </w:rPr>
              <w:t xml:space="preserve">Profilo clinico approfondito, abilitazione psicoterapeutica</w:t>
            </w:r>
          </w:p>
        </w:tc>
        <w:tc>
          <w:tcPr/>
          <w:p>
            <w:pPr>
              <w:pStyle w:val="Compact"/>
              <w:spacing w:after="40" w:before="40"/>
              <w:jc w:val="left"/>
            </w:pPr>
            <w:r>
              <w:rPr>
                <w:rFonts w:ascii="Cambria" w:hAnsi="Cambria" w:cs="Cambria" w:eastAsia="Cambria"/>
                <w:color w:val="1A1A1A"/>
                <w:sz w:val="18"/>
              </w:rPr>
              <w:t xml:space="preserve">Sistema istruzione / individuo (esterno)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Educazione continua (ECM)</w:t>
            </w:r>
          </w:p>
        </w:tc>
        <w:tc>
          <w:tcPr>
            <w:shd w:val="clear" w:color="auto" w:fill="F4F1EC"/>
          </w:tcPr>
          <w:p>
            <w:pPr>
              <w:pStyle w:val="Compact"/>
              <w:spacing w:after="40" w:before="40"/>
              <w:jc w:val="left"/>
            </w:pPr>
            <w:r>
              <w:rPr>
                <w:rFonts w:ascii="Cambria" w:hAnsi="Cambria" w:cs="Cambria" w:eastAsia="Cambria"/>
                <w:color w:val="1A1A1A"/>
                <w:sz w:val="18"/>
              </w:rPr>
              <w:t xml:space="preserve">ciclo triennale ricorrente</w:t>
            </w:r>
          </w:p>
        </w:tc>
        <w:tc>
          <w:tcPr>
            <w:shd w:val="clear" w:color="auto" w:fill="F4F1EC"/>
          </w:tcPr>
          <w:p>
            <w:pPr>
              <w:pStyle w:val="Compact"/>
              <w:spacing w:after="40" w:before="40"/>
              <w:jc w:val="left"/>
            </w:pPr>
            <w:r>
              <w:rPr>
                <w:rFonts w:ascii="Cambria" w:hAnsi="Cambria" w:cs="Cambria" w:eastAsia="Cambria"/>
                <w:color w:val="1A1A1A"/>
                <w:sz w:val="18"/>
              </w:rPr>
              <w:t xml:space="preserve">Aggiornamento periodico delle competenze</w:t>
            </w:r>
          </w:p>
        </w:tc>
        <w:tc>
          <w:tcPr>
            <w:shd w:val="clear" w:color="auto" w:fill="F4F1EC"/>
          </w:tcPr>
          <w:p>
            <w:pPr>
              <w:pStyle w:val="Compact"/>
              <w:spacing w:after="40" w:before="40"/>
              <w:jc w:val="left"/>
            </w:pPr>
            <w:r>
              <w:rPr>
                <w:rFonts w:ascii="Cambria" w:hAnsi="Cambria" w:cs="Cambria" w:eastAsia="Cambria"/>
                <w:color w:val="1A1A1A"/>
                <w:sz w:val="18"/>
              </w:rPr>
              <w:t xml:space="preserve">Misto: obbligo esterno; percorsi mirati incrementali</w:t>
            </w:r>
          </w:p>
        </w:tc>
      </w:tr>
      <w:tr>
        <w:tc>
          <w:tcPr/>
          <w:p>
            <w:pPr>
              <w:pStyle w:val="Compact"/>
              <w:spacing w:after="40" w:before="40"/>
              <w:jc w:val="left"/>
            </w:pPr>
            <w:r>
              <w:rPr>
                <w:rFonts w:ascii="Cambria" w:hAnsi="Cambria" w:cs="Cambria" w:eastAsia="Cambria"/>
                <w:b/>
                <w:bCs/>
                <w:color w:val="1A1A1A"/>
                <w:sz w:val="18"/>
              </w:rPr>
              <w:t xml:space="preserve">Certificazioni (digitali, pro-IA, interventi specifici)</w:t>
            </w:r>
          </w:p>
        </w:tc>
        <w:tc>
          <w:tcPr/>
          <w:p>
            <w:pPr>
              <w:pStyle w:val="Compact"/>
              <w:spacing w:after="40" w:before="40"/>
              <w:jc w:val="left"/>
            </w:pPr>
            <w:r>
              <w:rPr>
                <w:rFonts w:ascii="Cambria" w:hAnsi="Cambria" w:cs="Cambria" w:eastAsia="Cambria"/>
                <w:color w:val="1A1A1A"/>
                <w:sz w:val="18"/>
              </w:rPr>
              <w:t xml:space="preserve">da settimane a mesi</w:t>
            </w:r>
          </w:p>
        </w:tc>
        <w:tc>
          <w:tcPr/>
          <w:p>
            <w:pPr>
              <w:pStyle w:val="Compact"/>
              <w:spacing w:after="40" w:before="40"/>
              <w:jc w:val="left"/>
            </w:pPr>
            <w:r>
              <w:rPr>
                <w:rFonts w:ascii="Cambria" w:hAnsi="Cambria" w:cs="Cambria" w:eastAsia="Cambria"/>
                <w:color w:val="1A1A1A"/>
                <w:sz w:val="18"/>
              </w:rPr>
              <w:t xml:space="preserve">Competenza determinata e attestata, aggiornamento rapido</w:t>
            </w:r>
          </w:p>
        </w:tc>
        <w:tc>
          <w:tcPr/>
          <w:p>
            <w:pPr>
              <w:pStyle w:val="Compact"/>
              <w:spacing w:after="40" w:before="40"/>
              <w:jc w:val="left"/>
            </w:pPr>
            <w:r>
              <w:rPr>
                <w:rFonts w:ascii="Cambria" w:hAnsi="Cambria" w:cs="Cambria" w:eastAsia="Cambria"/>
                <w:color w:val="1A1A1A"/>
                <w:sz w:val="18"/>
              </w:rPr>
              <w:t xml:space="preserve">Incrementale: promuovibile/finanziabile dalla Regione</w:t>
            </w:r>
          </w:p>
        </w:tc>
      </w:tr>
    </w:tbl>
    <w:p>
      <w:pPr>
        <w:pStyle w:val="BodyText"/>
      </w:pPr>
      <w:r>
        <w:t xml:space="preserve">La posizione della formazione post-universitaria nel percorso integrato, che la sesta voce tratterà, può essere già anticipata. La formazione post-universitaria è la modalità che mantiene adeguato il fondamento costruito dalla formazione universitaria, e in questa funzione è insostituibile: nessuna delle altre modalità assicura l’aggiornamento sistematico e ripetibile che l’educazione continua e le certificazioni forniscono, e la sua necessità è tanto maggiore quanto più rapida è l’evoluzione dei contenuti, come nel caso delle competenze pro-Intelligenza Artificiale. Ma, come la formazione universitaria, anche la formazione post-universitaria opera prevalentemente sull’apprendimento e solo in parte sul trasferimento, e richiede perciò le modalità successive per tradurre l’aggiornamento in pratica consolidata. La prima di queste, oggetto della voce seguente, è la formazione lavorativa, che dell’apprendimento aggiornato dalle modalità formali produce il trasferimento diretto nell’esercizio della professione.</w:t>
      </w:r>
    </w:p>
    <w:bookmarkEnd w:id="259"/>
    <w:bookmarkStart w:id="263" w:name="Xf1d5ea0a8a77f378018fe64dc18fbf19553898f"/>
    <w:p>
      <w:pPr>
        <w:pStyle w:val="Heading2"/>
      </w:pPr>
      <w:r>
        <w:rPr>
          <w:b/>
          <w:bCs/>
        </w:rPr>
        <w:t xml:space="preserve">5.4 Modalità terza — Formazione lavorativa e sul posto di lavoro</w:t>
      </w:r>
    </w:p>
    <w:p>
      <w:pPr>
        <w:pStyle w:val="FirstParagraph"/>
      </w:pPr>
      <w:r>
        <w:rPr>
          <w:i/>
          <w:iCs/>
        </w:rPr>
        <w:t xml:space="preserve">Questa voce esamina la terza modalità formativa, la formazione lavorativa, ossia l’apprendimento che avviene nell’esercizio stesso della professione. Essa ne descrive la funzione di modalità che più direttamente produce il trasferimento delle competenze nella pratica, ne dichiara le forme, i costi — compreso il costo implicito della curva di apprendimento — e i rendimenti, e ne riconosce i limiti di lentezza in assenza di guida e di rischio di consolidamento degli errori, che la quarta modalità è chiamata a compensare.</w:t>
      </w:r>
    </w:p>
    <w:p>
      <w:pPr>
        <w:pStyle w:val="BodyText"/>
      </w:pPr>
      <w:r>
        <w:t xml:space="preserve">La formazione lavorativa è la terza modalità e, nell’ordine logico della costruzione delle competenze, il luogo in cui esse divengono pratica. Dove la formazione universitaria costruisce il fondamento e la formazione post-universitaria lo aggiorna — entrambe operando in misura prevalente sull’apprendimento delle conoscenze e delle abilità — la formazione lavorativa opera sul trasferimento dei comportamenti nella pratica professionale, ossia su quel terzo livello del modello di Kirkpatrick che le modalità formali raggiungono solo in parte. Essa è perciò la modalità che più direttamente produce il cambiamento dei comportamenti, poiché l’apprendimento vi avviene nel contesto reale dell’azione, dove la competenza si misura non con ciò che il professionista sa, ma con ciò che il professionista fa. La distinzione è essenziale: una competenza appresa nei percorsi formali e non trasferita nella pratica resta inerte, e la funzione della formazione lavorativa è precisamente quella di convertire il fondamento appreso in competenza operativa.</w:t>
      </w:r>
    </w:p>
    <w:p>
      <w:pPr>
        <w:pStyle w:val="BodyText"/>
      </w:pPr>
      <w:r>
        <w:t xml:space="preserve">La letteratura sull’apprendimento professionale attribuisce all’esperienza sul posto di lavoro la parte prevalente dello sviluppo delle competenze. Il modello cosiddetto 70–20–10 esprime questa regolarità nella forma di una proporzione indicativa, secondo cui circa il settanta per cento dello sviluppo delle competenze deriva dall’esperienza sul posto di lavoro, circa il venti per cento dall’interazione con altri professionisti e circa il dieci per cento dalla formazione d’aula.</w:t>
      </w:r>
      <w:r>
        <w:rPr>
          <w:rStyle w:val="FootnoteReference"/>
        </w:rPr>
        <w:footnoteReference w:id="137"/>
      </w:r>
      <w:r>
        <w:t xml:space="preserve"> </w:t>
      </w:r>
      <w:r>
        <w:t xml:space="preserve">Le proporzioni non vanno assunte come legge universale, ma come espressione di una regolarità robusta: le modalità formali — la formazione universitaria e quella post-universitaria — costruiscono e aggiornano il fondamento, ma il consolidamento della competenza nella pratica avviene in misura preponderante nell’esercizio. Questa regolarità colloca la formazione lavorativa come la modalità attraverso cui il fondamento costruito dalle modalità formali è convertito in competenza operativa, e ne giustifica il peso nel percorso formativo integrato, dove a essa, e all’affiancamento che la guida, spetta la parte maggiore della costruzione effettiva delle competenze.</w:t>
      </w:r>
    </w:p>
    <w:p>
      <w:pPr>
        <w:pStyle w:val="BodyText"/>
      </w:pPr>
      <w:r>
        <w:t xml:space="preserve">La formazione lavorativa si realizza attraverso forme che non sono spontanee, ma che l’organizzazione del servizio può progettare e sostenere. La prima forma è l’apprendimento nell’esercizio della coppia clinica con il medico di medicina generale, dove lo Psicologo di Base apprende il lavoro collaborativo praticandolo. La seconda forma è la discussione strutturata dei casi, che converte l’esperienza clinica in occasione di apprendimento condiviso. La terza forma è la partecipazione ai percorsi diagnostico-terapeutici assistenziali e ai cicli di verifica e ritorno informativo, ossia di audit e feedback, che misurano la pratica rispetto a uno standard e ne restituiscono il risultato al professionista; tale meccanismo è documentato dalla letteratura come strumento di miglioramento della pratica professionale, di effetto modesto ma reale.</w:t>
      </w:r>
      <w:r>
        <w:rPr>
          <w:rStyle w:val="FootnoteReference"/>
        </w:rPr>
        <w:footnoteReference w:id="138"/>
      </w:r>
      <w:r>
        <w:t xml:space="preserve"> </w:t>
      </w:r>
      <w:r>
        <w:t xml:space="preserve">La quarta forma è la comunità di pratica tra Psicologi di Base, gruppo di professionisti che condividono conoscenza in un dominio determinato e ne fanno il veicolo di un apprendimento situato.</w:t>
      </w:r>
      <w:r>
        <w:rPr>
          <w:rStyle w:val="FootnoteReference"/>
        </w:rPr>
        <w:footnoteReference w:id="139"/>
      </w:r>
      <w:r>
        <w:t xml:space="preserve"> </w:t>
      </w:r>
      <w:r>
        <w:t xml:space="preserve">La quinta forma è la riflessione strutturata sulla pratica, che converte l’esperienza in consapevolezza. Queste forme, opportunamente progettate, fanno della formazione lavorativa non un apprendimento casuale, ma un processo governato e produttivo.</w:t>
      </w:r>
    </w:p>
    <w:p>
      <w:pPr>
        <w:pStyle w:val="BodyText"/>
      </w:pPr>
      <w:r>
        <w:t xml:space="preserve">La considerazione dei costi della formazione lavorativa richiede una distinzione che le è propria e che ha rilievo diretto per la valutazione economica. Il costo diretto incrementale della formazione lavorativa è contenuto, poiché essa avviene all’interno dell’esercizio del servizio e non richiede percorsi formativi separati con costi propri; le sue forme — la discussione dei casi, l’audit e feedback, le comunità di pratica — si innestano sull’attività ordinaria e ne assorbono solo il tempo dedicato. La formazione lavorativa comporta tuttavia un costo implicito che le valutazioni non possono ignorare: il costo della curva di apprendimento. Nei mesi iniziali dell’esercizio, la produttività del professionista è inferiore a quella che raggiungerà a regime, poiché le competenze si consolidano gradualmente attraverso la pratica; la differenza tra la produttività iniziale e quella a regime è il costo implicito della curva di apprendimento, sostenuto dal servizio sotto forma di minor rendimento nel periodo iniziale. Questo costo è temporaneo e decresce a misura che la competenza si consolida, ma va riconosciuto nella valutazione, ed è precisamente il costo che la quarta modalità, l’affiancamento esperto, riduce accelerando il consolidamento delle competenze e comprimendo la durata della curva.</w:t>
      </w:r>
    </w:p>
    <w:p>
      <w:pPr>
        <w:pStyle w:val="BodyText"/>
      </w:pPr>
      <w:r>
        <w:t xml:space="preserve">La formazione lavorativa è anche il luogo in cui le competenze digitali e quelle dedicate all’Intelligenza Artificiale si consolidano attraverso l’uso effettivo degli strumenti, ma due caratteri di queste competenze rendono la sola formazione lavorativa insufficiente a costruirle compiutamente. Il primo carattere è la rapidità di evoluzione degli strumenti, che la formazione lavorativa non può inseguire da sola e che richiede l’aggiornamento continuo proprio della modalità post-universitaria. Il secondo carattere, più rilevante in questa sede, è il rischio del consolidamento degli errori: in assenza di guida, il professionista può consolidare nella pratica un uso scorretto o acritico degli strumenti di Intelligenza Artificiale — in particolare un’eccessiva fiducia nell’output algoritmico, che la governance prudenziale della quarta parte espressamente vieta — e l’apprendimento per prova ed errore, lasciato a sé, può fissare l’errore anziché correggerlo. Questo secondo carattere rende la quarta modalità, l’affiancamento esperto, essenziale precisamente per le competenze pro-Intelligenza Artificiale, poiché essa corregge l’uso scorretto prima che si consolidi e accelera l’acquisizione dell’uso corretto, esercitando quella supervisione che il consolidamento autonomo non garantisce.</w:t>
      </w:r>
    </w:p>
    <w:p>
      <w:pPr>
        <w:pStyle w:val="BodyText"/>
      </w:pPr>
      <w:r>
        <w:t xml:space="preserve">La formazione lavorativa presenta, accanto ai suoi pregi, limiti che ne circoscrivono l’efficacia in assenza di guida. Il primo limite è la lentezza: la formazione lavorativa, lasciata a sé, è lenta, poiché il professionista apprende per prova ed errore, e il consolidamento delle competenze richiede tempo. Il secondo limite è il rischio del consolidamento degli errori, già richiamato a proposito delle competenze digitali ma valido per tutte le competenze: in assenza di correzione, il professionista può fissare nella pratica comportamenti scorretti, che divengono tanto più difficili da modificare quanto più si consolidano. Il terzo limite è la dipendenza dalla qualità dell’ambiente di lavoro: il valore della formazione lavorativa dipende dalla qualità dell’organizzazione del servizio in cui essa avviene, e un ambiente disorganizzato produce un apprendimento povero o distorto. Questi tre limiti indicano che la formazione lavorativa, la modalità che produce il trasferimento, è massimamente efficace quando è guidata; e la guida è fornita dalla quarta modalità, l’affiancamento esperto, che accelera il consolidamento e corregge gli errori. La tabella seguente riepiloga le forme della formazione lavorativa, il livello di Kirkpatrick su cui ciascuna opera prevalentemente, il loro costo e il loro rendimento.</w:t>
      </w:r>
    </w:p>
    <w:p>
      <w:pPr>
        <w:pStyle w:val="BodyText"/>
      </w:pPr>
      <w:r>
        <w:rPr>
          <w:b/>
          <w:bCs/>
          <w:i/>
          <w:iCs/>
        </w:rPr>
        <w:t xml:space="preserve">Tabella 5.4.A — Le forme della formazione lavorativa: livello prevalente, costo, rendimento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Forma di apprendimento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Livello di Kirkpatrick prevalente</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diretto incrementale</w:t>
            </w:r>
          </w:p>
        </w:tc>
        <w:tc>
          <w:tcPr>
            <w:shd w:val="clear" w:color="auto" w:fill="16264B"/>
          </w:tcPr>
          <w:p>
            <w:pPr>
              <w:pStyle w:val="Compact"/>
              <w:spacing w:after="40" w:before="40"/>
              <w:jc w:val="left"/>
            </w:pPr>
            <w:r>
              <w:rPr>
                <w:rFonts w:ascii="Cambria" w:hAnsi="Cambria" w:cs="Cambria" w:eastAsia="Cambria"/>
                <w:b/>
                <w:bCs/>
                <w:color w:val="FFFFFF"/>
                <w:sz w:val="18"/>
              </w:rPr>
              <w:t xml:space="preserve">Rendimento atteso</w:t>
            </w:r>
          </w:p>
        </w:tc>
      </w:tr>
      <w:tr>
        <w:tc>
          <w:tcPr/>
          <w:p>
            <w:pPr>
              <w:pStyle w:val="Compact"/>
              <w:spacing w:after="40" w:before="40"/>
              <w:jc w:val="left"/>
            </w:pPr>
            <w:r>
              <w:rPr>
                <w:rFonts w:ascii="Cambria" w:hAnsi="Cambria" w:cs="Cambria" w:eastAsia="Cambria"/>
                <w:b/>
                <w:bCs/>
                <w:color w:val="1A1A1A"/>
                <w:sz w:val="18"/>
              </w:rPr>
              <w:t xml:space="preserve">Esercizio della coppia clinica</w:t>
            </w:r>
          </w:p>
        </w:tc>
        <w:tc>
          <w:tcPr/>
          <w:p>
            <w:pPr>
              <w:pStyle w:val="Compact"/>
              <w:spacing w:after="40" w:before="40"/>
              <w:jc w:val="left"/>
            </w:pPr>
            <w:r>
              <w:rPr>
                <w:rFonts w:ascii="Cambria" w:hAnsi="Cambria" w:cs="Cambria" w:eastAsia="Cambria"/>
                <w:color w:val="1A1A1A"/>
                <w:sz w:val="18"/>
              </w:rPr>
              <w:t xml:space="preserve">Trasferimento (3)</w:t>
            </w:r>
          </w:p>
        </w:tc>
        <w:tc>
          <w:tcPr/>
          <w:p>
            <w:pPr>
              <w:pStyle w:val="Compact"/>
              <w:spacing w:after="40" w:before="40"/>
              <w:jc w:val="left"/>
            </w:pPr>
            <w:r>
              <w:rPr>
                <w:rFonts w:ascii="Cambria" w:hAnsi="Cambria" w:cs="Cambria" w:eastAsia="Cambria"/>
                <w:color w:val="1A1A1A"/>
                <w:sz w:val="18"/>
              </w:rPr>
              <w:t xml:space="preserve">Assorbito dall’attività</w:t>
            </w:r>
          </w:p>
        </w:tc>
        <w:tc>
          <w:tcPr/>
          <w:p>
            <w:pPr>
              <w:pStyle w:val="Compact"/>
              <w:spacing w:after="40" w:before="40"/>
              <w:jc w:val="left"/>
            </w:pPr>
            <w:r>
              <w:rPr>
                <w:rFonts w:ascii="Cambria" w:hAnsi="Cambria" w:cs="Cambria" w:eastAsia="Cambria"/>
                <w:color w:val="1A1A1A"/>
                <w:sz w:val="18"/>
              </w:rPr>
              <w:t xml:space="preserve">Elevato sul trasferimento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Discussione strutturata dei casi</w:t>
            </w:r>
          </w:p>
        </w:tc>
        <w:tc>
          <w:tcPr>
            <w:shd w:val="clear" w:color="auto" w:fill="F4F1EC"/>
          </w:tcPr>
          <w:p>
            <w:pPr>
              <w:pStyle w:val="Compact"/>
              <w:spacing w:after="40" w:before="40"/>
              <w:jc w:val="left"/>
            </w:pPr>
            <w:r>
              <w:rPr>
                <w:rFonts w:ascii="Cambria" w:hAnsi="Cambria" w:cs="Cambria" w:eastAsia="Cambria"/>
                <w:color w:val="1A1A1A"/>
                <w:sz w:val="18"/>
              </w:rPr>
              <w:t xml:space="preserve">Apprendimento–Trasferimento (2–3)</w:t>
            </w:r>
          </w:p>
        </w:tc>
        <w:tc>
          <w:tcPr>
            <w:shd w:val="clear" w:color="auto" w:fill="F4F1EC"/>
          </w:tcPr>
          <w:p>
            <w:pPr>
              <w:pStyle w:val="Compact"/>
              <w:spacing w:after="40" w:before="40"/>
              <w:jc w:val="left"/>
            </w:pPr>
            <w:r>
              <w:rPr>
                <w:rFonts w:ascii="Cambria" w:hAnsi="Cambria" w:cs="Cambria" w:eastAsia="Cambria"/>
                <w:color w:val="1A1A1A"/>
                <w:sz w:val="18"/>
              </w:rPr>
              <w:t xml:space="preserve">Tempo dedicato</w:t>
            </w:r>
          </w:p>
        </w:tc>
        <w:tc>
          <w:tcPr>
            <w:shd w:val="clear" w:color="auto" w:fill="F4F1EC"/>
          </w:tcPr>
          <w:p>
            <w:pPr>
              <w:pStyle w:val="Compact"/>
              <w:spacing w:after="40" w:before="40"/>
              <w:jc w:val="left"/>
            </w:pPr>
            <w:r>
              <w:rPr>
                <w:rFonts w:ascii="Cambria" w:hAnsi="Cambria" w:cs="Cambria" w:eastAsia="Cambria"/>
                <w:color w:val="1A1A1A"/>
                <w:sz w:val="18"/>
              </w:rPr>
              <w:t xml:space="preserve">Medio-elevato</w:t>
            </w:r>
          </w:p>
        </w:tc>
      </w:tr>
      <w:tr>
        <w:tc>
          <w:tcPr/>
          <w:p>
            <w:pPr>
              <w:pStyle w:val="Compact"/>
              <w:spacing w:after="40" w:before="40"/>
              <w:jc w:val="left"/>
            </w:pPr>
            <w:r>
              <w:rPr>
                <w:rFonts w:ascii="Cambria" w:hAnsi="Cambria" w:cs="Cambria" w:eastAsia="Cambria"/>
                <w:b/>
                <w:bCs/>
                <w:color w:val="1A1A1A"/>
                <w:sz w:val="18"/>
              </w:rPr>
              <w:t xml:space="preserve">Audit e feedback</w:t>
            </w:r>
          </w:p>
        </w:tc>
        <w:tc>
          <w:tcPr/>
          <w:p>
            <w:pPr>
              <w:pStyle w:val="Compact"/>
              <w:spacing w:after="40" w:before="40"/>
              <w:jc w:val="left"/>
            </w:pPr>
            <w:r>
              <w:rPr>
                <w:rFonts w:ascii="Cambria" w:hAnsi="Cambria" w:cs="Cambria" w:eastAsia="Cambria"/>
                <w:color w:val="1A1A1A"/>
                <w:sz w:val="18"/>
              </w:rPr>
              <w:t xml:space="preserve">Trasferimento–Risultati (3–4)</w:t>
            </w:r>
          </w:p>
        </w:tc>
        <w:tc>
          <w:tcPr/>
          <w:p>
            <w:pPr>
              <w:pStyle w:val="Compact"/>
              <w:spacing w:after="40" w:before="40"/>
              <w:jc w:val="left"/>
            </w:pPr>
            <w:r>
              <w:rPr>
                <w:rFonts w:ascii="Cambria" w:hAnsi="Cambria" w:cs="Cambria" w:eastAsia="Cambria"/>
                <w:color w:val="1A1A1A"/>
                <w:sz w:val="18"/>
              </w:rPr>
              <w:t xml:space="preserve">Tempo e sistema informativo</w:t>
            </w:r>
          </w:p>
        </w:tc>
        <w:tc>
          <w:tcPr/>
          <w:p>
            <w:pPr>
              <w:pStyle w:val="Compact"/>
              <w:spacing w:after="40" w:before="40"/>
              <w:jc w:val="left"/>
            </w:pPr>
            <w:r>
              <w:rPr>
                <w:rFonts w:ascii="Cambria" w:hAnsi="Cambria" w:cs="Cambria" w:eastAsia="Cambria"/>
                <w:color w:val="1A1A1A"/>
                <w:sz w:val="18"/>
              </w:rPr>
              <w:t xml:space="preserve">Modesto ma reale, cumulativo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Comunità di pratica</w:t>
            </w:r>
          </w:p>
        </w:tc>
        <w:tc>
          <w:tcPr>
            <w:shd w:val="clear" w:color="auto" w:fill="F4F1EC"/>
          </w:tcPr>
          <w:p>
            <w:pPr>
              <w:pStyle w:val="Compact"/>
              <w:spacing w:after="40" w:before="40"/>
              <w:jc w:val="left"/>
            </w:pPr>
            <w:r>
              <w:rPr>
                <w:rFonts w:ascii="Cambria" w:hAnsi="Cambria" w:cs="Cambria" w:eastAsia="Cambria"/>
                <w:color w:val="1A1A1A"/>
                <w:sz w:val="18"/>
              </w:rPr>
              <w:t xml:space="preserve">Trasferimento (3)</w:t>
            </w:r>
          </w:p>
        </w:tc>
        <w:tc>
          <w:tcPr>
            <w:shd w:val="clear" w:color="auto" w:fill="F4F1EC"/>
          </w:tcPr>
          <w:p>
            <w:pPr>
              <w:pStyle w:val="Compact"/>
              <w:spacing w:after="40" w:before="40"/>
              <w:jc w:val="left"/>
            </w:pPr>
            <w:r>
              <w:rPr>
                <w:rFonts w:ascii="Cambria" w:hAnsi="Cambria" w:cs="Cambria" w:eastAsia="Cambria"/>
                <w:color w:val="1A1A1A"/>
                <w:sz w:val="18"/>
              </w:rPr>
              <w:t xml:space="preserve">Tempo dedicato</w:t>
            </w:r>
          </w:p>
        </w:tc>
        <w:tc>
          <w:tcPr>
            <w:shd w:val="clear" w:color="auto" w:fill="F4F1EC"/>
          </w:tcPr>
          <w:p>
            <w:pPr>
              <w:pStyle w:val="Compact"/>
              <w:spacing w:after="40" w:before="40"/>
              <w:jc w:val="left"/>
            </w:pPr>
            <w:r>
              <w:rPr>
                <w:rFonts w:ascii="Cambria" w:hAnsi="Cambria" w:cs="Cambria" w:eastAsia="Cambria"/>
                <w:color w:val="1A1A1A"/>
                <w:sz w:val="18"/>
              </w:rPr>
              <w:t xml:space="preserve">Medio, di lungo periodo</w:t>
            </w:r>
          </w:p>
        </w:tc>
      </w:tr>
    </w:tbl>
    <w:p>
      <w:pPr>
        <w:pStyle w:val="BodyText"/>
      </w:pPr>
      <w:r>
        <w:t xml:space="preserve">La dinamica del costo implicito della formazione lavorativa e dell’effetto che l’affiancamento esperto produce su di essa può essere rappresentata nella sua forma essenziale, che la scheda infografica seguente sintetizza. Essa mostra la curva di apprendimento del professionista nei mesi iniziali dell’esercizio, il divario tra la produttività iniziale e quella a regime che costituisce il costo implicito, e la compressione di tale divario che l’affiancamento esperto produce accelerando il consolidamento delle competenze; ed è il ponte verso la quarta modalità, oggetto della voce seguente.</w:t>
      </w:r>
    </w:p>
    <w:p>
      <w:pPr>
        <w:pStyle w:val="BodyText"/>
      </w:pPr>
      <w:r>
        <w:t xml:space="preserve">La posizione della formazione lavorativa nel percorso integrato è così definita nei suoi termini essenziali. La formazione lavorativa è la modalità che produce il trasferimento delle competenze nella pratica, e in questa funzione è insostituibile: nessuna delle modalità formali converte il fondamento appreso in competenza operativa con la stessa immediatezza, e la regolarità espressa dal modello 70–20–10 le attribuisce la parte prevalente dello sviluppo effettivo delle competenze. Ma la formazione lavorativa, lasciata a sé, è lenta e soggetta al rischio del consolidamento degli errori, e la sua efficacia è massima quando è guidata. La guida è fornita dalla quarta modalità, l’affiancamento e il mentoring di figure esperte, compresa la figura competente nell’uso dell’Intelligenza Artificiale presente nello studio, che accelera il consolidamento delle competenze, comprime il costo implicito della curva di apprendimento e corregge gli errori prima che si fissino nella pratica. È questa quarta modalità, complemento necessario della formazione lavorativa, l’oggetto della voce seguente.</w:t>
      </w:r>
    </w:p>
    <w:bookmarkEnd w:id="263"/>
    <w:bookmarkStart w:id="266" w:name="Xdd4276a2455625a6ee37ff6ec39d5d8fc947a98"/>
    <w:p>
      <w:pPr>
        <w:pStyle w:val="Heading2"/>
      </w:pPr>
      <w:r>
        <w:rPr>
          <w:b/>
          <w:bCs/>
        </w:rPr>
        <w:t xml:space="preserve">5.5 Modalità quarta — Affiancamento e mentoring di figure esperte</w:t>
      </w:r>
    </w:p>
    <w:p>
      <w:pPr>
        <w:pStyle w:val="FirstParagraph"/>
      </w:pPr>
      <w:r>
        <w:rPr>
          <w:i/>
          <w:iCs/>
        </w:rPr>
        <w:t xml:space="preserve">Questa voce esamina la quarta modalità formativa, l’affiancamento e il mentoring di figure esperte, compresa la figura competente nell’uso dell’Intelligenza Artificiale presente nello studio. Essa ne descrive la funzione di modalità che guida e accelera la formazione lavorativa — comprimendo la curva di apprendimento e correggendo gli errori prima che si consolidino — ne dichiara le forme, i costi e i rendimenti, dà particolare rilievo al ruolo dell’esperto di Intelligenza Artificiale in studio nel fronteggiare i due caratteri delle competenze digitali, e ne riconosce i limiti di dipendenza dalla disponibilità di figure esperte e di scalabilità.</w:t>
      </w:r>
    </w:p>
    <w:p>
      <w:pPr>
        <w:pStyle w:val="BodyText"/>
      </w:pPr>
      <w:r>
        <w:t xml:space="preserve">La quarta modalità è l’affiancamento e il mentoring di figure esperte, e la sua funzione è quella di guidare la formazione lavorativa che la terza modalità produce. Nei termini del modello 70–20–10, essa corrisponde alla quota dell’apprendimento che deriva dall’interazione con altri professionisti, ed è perciò la modalità attraverso cui l’esperienza sul posto di lavoro è trasformata da apprendimento per prova ed errore in apprendimento guidato. La sua collocazione nel percorso è definita dalla relazione con la terza modalità: la formazione lavorativa produce il trasferimento delle competenze nella pratica, ma lentamente e con il rischio del consolidamento degli errori, e l’affiancamento esperto è il complemento che ne accelera il consolidamento e ne corregge gli errori, rendendola massimamente efficace. È dunque la modalità che comprime la curva di apprendimento descritta nella voce precedente e che corregge le pratiche scorrette prima che si fissino, e in questa duplice funzione — di acceleratore e di correttore — si distingue dalle altre tre.</w:t>
      </w:r>
    </w:p>
    <w:p>
      <w:pPr>
        <w:pStyle w:val="BodyText"/>
      </w:pPr>
      <w:r>
        <w:t xml:space="preserve">La quarta modalità si realizza attraverso forme che differiscono per grado di struttura e per competenze cui si rivolgono, ma che condividono la funzione di guidare il consolidamento sul posto di lavoro. La prima forma è la supervisione clinica, in cui un professionista più esperto supervisiona la pratica clinica dello Psicologo di Base; essa è una componente documentata dello sviluppo professionale, di cui la letteratura attesta l’efficacia sul miglioramento delle competenze e sulla qualità della pratica.</w:t>
      </w:r>
      <w:r>
        <w:rPr>
          <w:rStyle w:val="FootnoteReference"/>
        </w:rPr>
        <w:footnoteReference w:id="140"/>
      </w:r>
      <w:r>
        <w:t xml:space="preserve"> </w:t>
      </w:r>
      <w:r>
        <w:t xml:space="preserve">La seconda forma è il mentoring, in cui una figura esperta accompagna una meno esperta nello sviluppo delle competenze, e di cui la letteratura documenta l’associazione con lo sviluppo professionale.</w:t>
      </w:r>
      <w:r>
        <w:rPr>
          <w:rStyle w:val="FootnoteReference"/>
        </w:rPr>
        <w:footnoteReference w:id="141"/>
      </w:r>
      <w:r>
        <w:t xml:space="preserve"> </w:t>
      </w:r>
      <w:r>
        <w:t xml:space="preserve">La terza forma è l’affiancamento nello studio, ossia l’accompagnamento ravvicinato nell’esercizio effettivo della professione. La quarta forma, propria della dimensione digitale della riforma, è la figura competente nell’uso dell’Intelligenza Artificiale presente nello studio, che accompagna lo Psicologo di Base nell’uso corretto degli strumenti assistiti da algoritmi. Queste forme, opportunamente disposte, fanno dell’affiancamento esperto la modalità che governa e accelera la costruzione effettiva delle competenze.</w:t>
      </w:r>
    </w:p>
    <w:p>
      <w:pPr>
        <w:pStyle w:val="BodyText"/>
      </w:pPr>
      <w:r>
        <w:t xml:space="preserve">La figura competente nell’uso dell’Intelligenza Artificiale presente nello studio merita una considerazione particolare, poiché è l’elemento attraverso cui la quarta modalità fronteggia i due caratteri delle competenze digitali che la voce precedente ha individuato come ragioni dell’insufficienza della sola formazione lavorativa. Tale figura — che può essere un professionista designato e non necessariamente una persona distinta — accompagna lo Psicologo di Base nell’uso corretto degli strumenti di Intelligenza Artificiale, e fronteggia il primo carattere, la rapidità di evoluzione, mediando nella pratica l’aggiornamento che la modalità post-universitaria fornisce; ma soprattutto fronteggia il secondo carattere, il rischio del consolidamento degli errori, correggendo l’uso scorretto o acritico degli strumenti — in particolare l’eccessiva fiducia nell’output algoritmico che la governance prudenziale vieta — prima che si fissi nella pratica. L’esperto di Intelligenza Artificiale in studio è perciò, sul piano formativo, il garante della supervisione che la governance prudenziale richiede sul piano operativo: esso costruisce nel professionista la capacità di esercitare sull’output algoritmico quella supervisione umana che la governance prudenziale esige, e in questo senso la quarta modalità è il luogo formativo in cui il principio della subordinazione dell’Intelligenza Artificiale al giudizio professionale è trasmesso e consolidato.</w:t>
      </w:r>
    </w:p>
    <w:p>
      <w:pPr>
        <w:pStyle w:val="BodyText"/>
      </w:pPr>
      <w:r>
        <w:t xml:space="preserve">L’effetto distintivo della quarta modalità è l’accelerazione della curva di adozione delle competenze nei mesi iniziali dell’esercizio. Come la scheda infografica della voce precedente ha rappresentato, l’affiancamento comprime la curva di apprendimento, conducendo il professionista alla produttività di regime nei primi dodici-diciotto mesi anziché in un arco più lungo; e lo fa con particolare evidenza per le competenze digitali e per quelle dedicate all’Intelligenza Artificiale, che sono le più nuove e le più esposte al rischio di un consolidamento scorretto. L’accelerazione della curva di adozione è il meccanismo principale attraverso cui la quarta modalità produce il proprio rendimento, ed è oggetto di trattazione più ampia nell’ottava voce, dedicata alle curve di adozione tecnologica; qui è sufficiente riconoscere che è precisamente in questa accelerazione che si misura il valore della modalità, poiché è essa a convertire il tempo della curva di apprendimento, che sarebbe perduto in minor produttività, in tempo di esercizio pieno.</w:t>
      </w:r>
    </w:p>
    <w:p>
      <w:pPr>
        <w:pStyle w:val="BodyText"/>
      </w:pPr>
      <w:r>
        <w:t xml:space="preserve">La considerazione dei costi della quarta modalità ne mette in luce il profilo caratteristico, che la distingue dalle altre tre. L’affiancamento esperto è la modalità con il più rilevante costo diretto incrementale interno al perimetro della riforma, poiché richiede il tempo dedicato di figure esperte — supervisori, mentori, esperti dell’Intelligenza Artificiale — che accompagnano i professionisti, e tale tempo ha un costo proprio che le altre modalità, in larga parte assorbite dall’attività ordinaria o esterne al perimetro, non comportano nella stessa misura. Questo costo è reale e va riconosciuto, ma è compensato da due effetti che ne riducono l’incidenza netta. Il primo è la riduzione del costo implicito della curva di apprendimento individuato nella voce precedente: comprimendo la curva, l’affiancamento recupera la produttività che sarebbe altrimenti perduta nel periodo iniziale, e questo recupero compensa in parte il costo del tempo esperto. Il secondo effetto è la prevenzione del consolidamento degli errori: correggendo le pratiche scorrette prima che si fissino, l’affiancamento evita il costo della loro successiva correzione, che è tanto maggiore quanto più l’errore si è consolidato. Il costo netto della quarta modalità è perciò inferiore al suo costo lordo, e la misura della compensazione è sviluppata nella settima voce, dove il costo della formazione è quantificato per ciascuna modalità.</w:t>
      </w:r>
    </w:p>
    <w:p>
      <w:pPr>
        <w:pStyle w:val="BodyText"/>
      </w:pPr>
      <w:r>
        <w:t xml:space="preserve">La quarta modalità presenta, accanto ai suoi pregi, limiti che ne circoscrivono l’estensione e che ne orientano la collocazione nel percorso. Il primo limite è la dipendenza dalla disponibilità di figure esperte: la modalità richiede che vi siano figure esperte in numero sufficiente ad accompagnare i professionisti, e la sua scalabilità è vincolata da tale disponibilità, che nei primi anni della riforma è essa stessa oggetto di costruzione. Il secondo limite è il costo del tempo esperto, già richiamato: la modalità non può essere estesa indefinitamente senza un costo corrispondente, e va perciò concentrata dove produce il rendimento maggiore. Il terzo limite è il rischio della dipendenza: se non è progettato per costruire l’autonomia, l’affiancamento può alimentare la dipendenza anziché la competenza, e va perciò calibrato in modo da decrescere a misura che la competenza del professionista si consolida. Questi tre limiti indicano che la quarta modalità è massimamente efficace quando è concentrata nel periodo iniziale dell’esercizio — dove la curva di apprendimento è più ripida e il rischio di errore più alto — e quando è progettata per costruire l’autonomia; ed è precisamente il periodo e il disegno che l’orizzonte dei primi dodici-diciotto mesi, ricorrente nell’opera, esprime. La tabella seguente riepiloga le forme dell’affiancamento esperto, la loro funzione, il loro costo e il loro effetto sulla curva di apprendimento.</w:t>
      </w:r>
    </w:p>
    <w:p>
      <w:pPr>
        <w:pStyle w:val="BodyText"/>
      </w:pPr>
      <w:r>
        <w:rPr>
          <w:b/>
          <w:bCs/>
          <w:i/>
          <w:iCs/>
        </w:rPr>
        <w:t xml:space="preserve">Tabella 5.5.A — Le forme dell’affiancamento esperto: funzione, costo, effetto sulla curva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Forma</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 formativa</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diretto incrementale</w:t>
            </w:r>
          </w:p>
        </w:tc>
        <w:tc>
          <w:tcPr>
            <w:shd w:val="clear" w:color="auto" w:fill="16264B"/>
          </w:tcPr>
          <w:p>
            <w:pPr>
              <w:pStyle w:val="Compact"/>
              <w:spacing w:after="40" w:before="40"/>
              <w:jc w:val="left"/>
            </w:pPr>
            <w:r>
              <w:rPr>
                <w:rFonts w:ascii="Cambria" w:hAnsi="Cambria" w:cs="Cambria" w:eastAsia="Cambria"/>
                <w:b/>
                <w:bCs/>
                <w:color w:val="FFFFFF"/>
                <w:sz w:val="18"/>
              </w:rPr>
              <w:t xml:space="preserve">Effetto sulla curva di apprendimento</w:t>
            </w:r>
          </w:p>
        </w:tc>
      </w:tr>
      <w:tr>
        <w:tc>
          <w:tcPr/>
          <w:p>
            <w:pPr>
              <w:pStyle w:val="Compact"/>
              <w:spacing w:after="40" w:before="40"/>
              <w:jc w:val="left"/>
            </w:pPr>
            <w:r>
              <w:rPr>
                <w:rFonts w:ascii="Cambria" w:hAnsi="Cambria" w:cs="Cambria" w:eastAsia="Cambria"/>
                <w:b/>
                <w:bCs/>
                <w:color w:val="1A1A1A"/>
                <w:sz w:val="18"/>
              </w:rPr>
              <w:t xml:space="preserve">Supervisione clinica</w:t>
            </w:r>
          </w:p>
        </w:tc>
        <w:tc>
          <w:tcPr/>
          <w:p>
            <w:pPr>
              <w:pStyle w:val="Compact"/>
              <w:spacing w:after="40" w:before="40"/>
              <w:jc w:val="left"/>
            </w:pPr>
            <w:r>
              <w:rPr>
                <w:rFonts w:ascii="Cambria" w:hAnsi="Cambria" w:cs="Cambria" w:eastAsia="Cambria"/>
                <w:color w:val="1A1A1A"/>
                <w:sz w:val="18"/>
              </w:rPr>
              <w:t xml:space="preserve">Miglioramento delle competenze e della qualità della pratica</w:t>
            </w:r>
          </w:p>
        </w:tc>
        <w:tc>
          <w:tcPr/>
          <w:p>
            <w:pPr>
              <w:pStyle w:val="Compact"/>
              <w:spacing w:after="40" w:before="40"/>
              <w:jc w:val="left"/>
            </w:pPr>
            <w:r>
              <w:rPr>
                <w:rFonts w:ascii="Cambria" w:hAnsi="Cambria" w:cs="Cambria" w:eastAsia="Cambria"/>
                <w:color w:val="1A1A1A"/>
                <w:sz w:val="18"/>
              </w:rPr>
              <w:t xml:space="preserve">Tempo del supervisore</w:t>
            </w:r>
          </w:p>
        </w:tc>
        <w:tc>
          <w:tcPr/>
          <w:p>
            <w:pPr>
              <w:pStyle w:val="Compact"/>
              <w:spacing w:after="40" w:before="40"/>
              <w:jc w:val="left"/>
            </w:pPr>
            <w:r>
              <w:rPr>
                <w:rFonts w:ascii="Cambria" w:hAnsi="Cambria" w:cs="Cambria" w:eastAsia="Cambria"/>
                <w:color w:val="1A1A1A"/>
                <w:sz w:val="18"/>
              </w:rPr>
              <w:t xml:space="preserve">Correzione e consolidamento guidato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Mentoring</w:t>
            </w:r>
          </w:p>
        </w:tc>
        <w:tc>
          <w:tcPr>
            <w:shd w:val="clear" w:color="auto" w:fill="F4F1EC"/>
          </w:tcPr>
          <w:p>
            <w:pPr>
              <w:pStyle w:val="Compact"/>
              <w:spacing w:after="40" w:before="40"/>
              <w:jc w:val="left"/>
            </w:pPr>
            <w:r>
              <w:rPr>
                <w:rFonts w:ascii="Cambria" w:hAnsi="Cambria" w:cs="Cambria" w:eastAsia="Cambria"/>
                <w:color w:val="1A1A1A"/>
                <w:sz w:val="18"/>
              </w:rPr>
              <w:t xml:space="preserve">Accompagnamento nello sviluppo delle competenze</w:t>
            </w:r>
          </w:p>
        </w:tc>
        <w:tc>
          <w:tcPr>
            <w:shd w:val="clear" w:color="auto" w:fill="F4F1EC"/>
          </w:tcPr>
          <w:p>
            <w:pPr>
              <w:pStyle w:val="Compact"/>
              <w:spacing w:after="40" w:before="40"/>
              <w:jc w:val="left"/>
            </w:pPr>
            <w:r>
              <w:rPr>
                <w:rFonts w:ascii="Cambria" w:hAnsi="Cambria" w:cs="Cambria" w:eastAsia="Cambria"/>
                <w:color w:val="1A1A1A"/>
                <w:sz w:val="18"/>
              </w:rPr>
              <w:t xml:space="preserve">Tempo del mentore</w:t>
            </w:r>
          </w:p>
        </w:tc>
        <w:tc>
          <w:tcPr>
            <w:shd w:val="clear" w:color="auto" w:fill="F4F1EC"/>
          </w:tcPr>
          <w:p>
            <w:pPr>
              <w:pStyle w:val="Compact"/>
              <w:spacing w:after="40" w:before="40"/>
              <w:jc w:val="left"/>
            </w:pPr>
            <w:r>
              <w:rPr>
                <w:rFonts w:ascii="Cambria" w:hAnsi="Cambria" w:cs="Cambria" w:eastAsia="Cambria"/>
                <w:color w:val="1A1A1A"/>
                <w:sz w:val="18"/>
              </w:rPr>
              <w:t xml:space="preserve">Accelerazione dello sviluppo</w:t>
            </w:r>
          </w:p>
        </w:tc>
      </w:tr>
      <w:tr>
        <w:tc>
          <w:tcPr/>
          <w:p>
            <w:pPr>
              <w:pStyle w:val="Compact"/>
              <w:spacing w:after="40" w:before="40"/>
              <w:jc w:val="left"/>
            </w:pPr>
            <w:r>
              <w:rPr>
                <w:rFonts w:ascii="Cambria" w:hAnsi="Cambria" w:cs="Cambria" w:eastAsia="Cambria"/>
                <w:b/>
                <w:bCs/>
                <w:color w:val="1A1A1A"/>
                <w:sz w:val="18"/>
              </w:rPr>
              <w:t xml:space="preserve">Affiancamento in studio</w:t>
            </w:r>
          </w:p>
        </w:tc>
        <w:tc>
          <w:tcPr/>
          <w:p>
            <w:pPr>
              <w:pStyle w:val="Compact"/>
              <w:spacing w:after="40" w:before="40"/>
              <w:jc w:val="left"/>
            </w:pPr>
            <w:r>
              <w:rPr>
                <w:rFonts w:ascii="Cambria" w:hAnsi="Cambria" w:cs="Cambria" w:eastAsia="Cambria"/>
                <w:color w:val="1A1A1A"/>
                <w:sz w:val="18"/>
              </w:rPr>
              <w:t xml:space="preserve">Accompagnamento ravvicinato nell’esercizio</w:t>
            </w:r>
          </w:p>
        </w:tc>
        <w:tc>
          <w:tcPr/>
          <w:p>
            <w:pPr>
              <w:pStyle w:val="Compact"/>
              <w:spacing w:after="40" w:before="40"/>
              <w:jc w:val="left"/>
            </w:pPr>
            <w:r>
              <w:rPr>
                <w:rFonts w:ascii="Cambria" w:hAnsi="Cambria" w:cs="Cambria" w:eastAsia="Cambria"/>
                <w:color w:val="1A1A1A"/>
                <w:sz w:val="18"/>
              </w:rPr>
              <w:t xml:space="preserve">Tempo della figura esperta</w:t>
            </w:r>
          </w:p>
        </w:tc>
        <w:tc>
          <w:tcPr/>
          <w:p>
            <w:pPr>
              <w:pStyle w:val="Compact"/>
              <w:spacing w:after="40" w:before="40"/>
              <w:jc w:val="left"/>
            </w:pPr>
            <w:r>
              <w:rPr>
                <w:rFonts w:ascii="Cambria" w:hAnsi="Cambria" w:cs="Cambria" w:eastAsia="Cambria"/>
                <w:color w:val="1A1A1A"/>
                <w:sz w:val="18"/>
              </w:rPr>
              <w:t xml:space="preserve">Compressione della curva nel periodo iniziale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Esperto di Intelligenza Artificiale in studio</w:t>
            </w:r>
          </w:p>
        </w:tc>
        <w:tc>
          <w:tcPr>
            <w:shd w:val="clear" w:color="auto" w:fill="F4F1EC"/>
          </w:tcPr>
          <w:p>
            <w:pPr>
              <w:pStyle w:val="Compact"/>
              <w:spacing w:after="40" w:before="40"/>
              <w:jc w:val="left"/>
            </w:pPr>
            <w:r>
              <w:rPr>
                <w:rFonts w:ascii="Cambria" w:hAnsi="Cambria" w:cs="Cambria" w:eastAsia="Cambria"/>
                <w:color w:val="1A1A1A"/>
                <w:sz w:val="18"/>
              </w:rPr>
              <w:t xml:space="preserve">Uso corretto degli strumenti; supervisione dell’output</w:t>
            </w:r>
          </w:p>
        </w:tc>
        <w:tc>
          <w:tcPr>
            <w:shd w:val="clear" w:color="auto" w:fill="F4F1EC"/>
          </w:tcPr>
          <w:p>
            <w:pPr>
              <w:pStyle w:val="Compact"/>
              <w:spacing w:after="40" w:before="40"/>
              <w:jc w:val="left"/>
            </w:pPr>
            <w:r>
              <w:rPr>
                <w:rFonts w:ascii="Cambria" w:hAnsi="Cambria" w:cs="Cambria" w:eastAsia="Cambria"/>
                <w:color w:val="1A1A1A"/>
                <w:sz w:val="18"/>
              </w:rPr>
              <w:t xml:space="preserve">Tempo della figura competente</w:t>
            </w:r>
          </w:p>
        </w:tc>
        <w:tc>
          <w:tcPr>
            <w:shd w:val="clear" w:color="auto" w:fill="F4F1EC"/>
          </w:tcPr>
          <w:p>
            <w:pPr>
              <w:pStyle w:val="Compact"/>
              <w:spacing w:after="40" w:before="40"/>
              <w:jc w:val="left"/>
            </w:pPr>
            <w:r>
              <w:rPr>
                <w:rFonts w:ascii="Cambria" w:hAnsi="Cambria" w:cs="Cambria" w:eastAsia="Cambria"/>
                <w:color w:val="1A1A1A"/>
                <w:sz w:val="18"/>
              </w:rPr>
              <w:t xml:space="preserve">Accelerazione e correzione delle competenze pro-IA</w:t>
            </w:r>
          </w:p>
        </w:tc>
      </w:tr>
    </w:tbl>
    <w:p>
      <w:pPr>
        <w:pStyle w:val="BodyText"/>
      </w:pPr>
      <w:r>
        <w:t xml:space="preserve">La posizione della quarta modalità nel percorso integrato è così definita nei suoi termini essenziali. L’affiancamento esperto è la modalità che guida e accelera la formazione lavorativa, comprimendo la curva di apprendimento e correggendo gli errori prima che si consolidino, e in questa funzione è il complemento necessario della terza modalità: nessuna delle altre modalità produce l’accelerazione e la correzione che l’affiancamento fornisce, e la sua collocazione nel periodo iniziale dell’esercizio ne massimizza il rendimento. Esaminata a sé stante come le altre tre, in aderenza alla prima esigenza del mandato, la quarta modalità può ora essere considerata insieme ad esse, in aderenza alla seconda esigenza, nel percorso formativo integrato in cui la complementarità delle quattro modalità rende più della loro somma isolata. È questo il percorso integrato, oggetto della voce seguente, in cui le quattro modalità si compongono e ciascuna assolve la funzione che le altre non assolvono.</w:t>
      </w:r>
    </w:p>
    <w:bookmarkEnd w:id="266"/>
    <w:bookmarkStart w:id="269" w:name="Xd10b9c386c77a409a17b178826038616c36570a"/>
    <w:p>
      <w:pPr>
        <w:pStyle w:val="Heading2"/>
      </w:pPr>
      <w:r>
        <w:rPr>
          <w:b/>
          <w:bCs/>
        </w:rPr>
        <w:t xml:space="preserve">5.6 Le quattro modalità in combinazione: il percorso formativo integrato</w:t>
      </w:r>
    </w:p>
    <w:p>
      <w:pPr>
        <w:pStyle w:val="FirstParagraph"/>
      </w:pPr>
      <w:r>
        <w:rPr>
          <w:i/>
          <w:iCs/>
        </w:rPr>
        <w:t xml:space="preserve">Questa voce considera le quattro modalità insieme, in aderenza alla seconda esigenza del mandato. Essa mostra che le modalità non sono alternative ma componenti complementari di un percorso integrato, in cui ciascuna assolve una funzione che le altre non assolvono; individua la combinazione ottimale e ne motiva la composizione; mappa le modalità sui quattro livelli di Kirkpatrick, mostrando che il percorso integrato li copre tutti dove ciascuna modalità isolata ne copre solo alcuni; e integra qui le competenze pro-Intelligenza Artificiale costruite a sé stanti nelle voci precedenti, in aderenza alla seconda esigenza del mandato relativa all’Intelligenza Artificiale.</w:t>
      </w:r>
    </w:p>
    <w:p>
      <w:pPr>
        <w:pStyle w:val="BodyText"/>
      </w:pPr>
      <w:r>
        <w:t xml:space="preserve">Le quattro voci precedenti hanno esaminato le modalità formative a sé stanti, in aderenza alla prima esigenza del mandato, che richiede di considerare ciascuna modalità con i propri costi, i propri tempi e i propri rendimenti. Questa voce le considera insieme, in aderenza alla seconda esigenza, che richiede di considerarle in combinazione, come percorso formativo integrato. Il passaggio dal singolo al combinato non è una semplice giustapposizione: le quattro modalità non sono alternative tra cui scegliere, ma componenti complementari di un percorso integrato, e la domanda non è più quale modalità sia migliore, ma come le modalità si compongano in un percorso che renda più della loro somma isolata. La risposta a questa domanda è il contenuto proprio della presente voce, e si fonda sul riconoscimento della complementarità delle modalità, che le voci precedenti hanno preparato esponendo per ciascuna i pregi e i limiti.</w:t>
      </w:r>
    </w:p>
    <w:p>
      <w:pPr>
        <w:pStyle w:val="BodyText"/>
      </w:pPr>
      <w:r>
        <w:t xml:space="preserve">La complementarità delle quattro modalità è il fondamento del percorso integrato, e si manifesta nel fatto che il limite di ciascuna modalità è precisamente la funzione che un’altra modalità assolve. La formazione universitaria costruisce il fondamento durevole, il capitale umano di lungo periodo, ma si aggiorna con lentezza e resta generica; il suo limite di lento aggiornamento è compensato dalla formazione post-universitaria, che provvede all’aggiornamento rapido. La formazione post-universitaria aggiorna il fondamento, ma è frammentaria e non produce il trasferimento nella pratica; il suo limite di mancato trasferimento è compensato dalla formazione lavorativa, che converte l’apprendimento in competenza operativa. La formazione lavorativa produce il trasferimento, ma lentamente e con il rischio del consolidamento degli errori; il suo limite di lentezza e di rischio è compensato dall’affiancamento esperto, che accelera il consolidamento e corregge gli errori. La complementarità è dunque circolare e completa: ogni limite trova in un’altra modalità la propria compensazione, e il percorso integrato è la composizione che dispone le quattro modalità in modo che il limite di ciascuna sia coperto dalla funzione di un’altra. È questa compensazione reciproca dei limiti la ragione per cui le modalità non sono alternative, ma componenti di un percorso unico.</w:t>
      </w:r>
    </w:p>
    <w:p>
      <w:pPr>
        <w:pStyle w:val="BodyText"/>
      </w:pPr>
      <w:r>
        <w:t xml:space="preserve">Dalla complementarità discende la combinazione ottimale, che la metodologia validata del progetto individua e che la presente voce motiva. La combinazione dispone la formazione universitaria all’origine del percorso, come componente che costruisce il capitale umano di lungo periodo; vi aggiunge la formazione post-universitaria, e in particolare l’educazione continua e le certificazioni, che ne assicurano l’aggiornamento rapido; si affida alla formazione lavorativa per il trasferimento nella pratica; e concentra l’affiancamento esperto nel periodo iniziale dell’esercizio, dove esso produce la maggiore accelerazione della curva di adozione, segnatamente per le competenze digitali e per quelle dedicate all’Intelligenza Artificiale, nei primi dodici-diciotto mesi. Questa combinazione non è un’aggregazione arbitraria, ma la composizione che deriva dalla complementarità: essa colloca ciascuna modalità nella posizione in cui la sua funzione è più utile e in cui il suo limite è compensato dalla funzione di un’altra, e ne ricava un percorso in cui il fondamento è costruito, aggiornato, trasferito nella pratica e accelerato nel consolidamento. È la combinazione che le voci precedenti hanno preparato e che la settima voce sottoporrà alla misura del costo e del rendimento.</w:t>
      </w:r>
    </w:p>
    <w:p>
      <w:pPr>
        <w:pStyle w:val="BodyText"/>
      </w:pPr>
      <w:r>
        <w:t xml:space="preserve">Il percorso integrato può essere letto attraverso i quattro livelli del modello di Kirkpatrick, e in questa lettura la sua superiorità sulle modalità isolate diviene evidente. Nessuna modalità isolata copre tutti e quattro i livelli: la formazione universitaria e quella post-universitaria operano in misura prevalente al secondo livello, quello dell’apprendimento; la formazione lavorativa opera al terzo livello, quello del trasferimento; l’affiancamento esperto accelera il terzo livello e, attraverso l’audit e feedback, tocca il quarto, quello dei risultati. Il percorso integrato, invece, copre tutti e quattro i livelli, perché compone le modalità che operano a ciascuno: il fondamento è appreso al secondo livello, aggiornato fra il secondo e il terzo, trasferito nella pratica al terzo, e il trasferimento è accelerato e i suoi risultati misurati fra il terzo e il quarto. È questa copertura di tutti e quattro i livelli a far sì che il percorso integrato renda più della somma delle modalità isolate, ciascuna delle quali ne copre solo alcuni; e la copertura completa è il modo in cui la complementarità delle modalità si traduce in efficacia formativa misurabile.</w:t>
      </w:r>
    </w:p>
    <w:p>
      <w:pPr>
        <w:pStyle w:val="BodyText"/>
      </w:pPr>
      <w:r>
        <w:t xml:space="preserve">Il percorso integrato realizza anche la dimensione interprofessionale del fabbisogno individuata nella prima voce. La formazione condivisa nella coppia clinica — la formazione che lo Psicologo di Base e il medico di medicina generale ricevono in parte congiuntamente — è realizzata in modo più efficace nel percorso combinato, dove le modalità formali costruiscono il fondamento condiviso e la formazione lavorativa e l’affiancamento ne consolidano la pratica condivisa. La formazione interprofessionale è documentata dalla letteratura come veicolo di miglioramento della pratica professionale e della competenza collaborativa, e il percorso integrato è la forma in cui essa si realizza, costruendo non soltanto la competenza del singolo professionista ma la capacità del sistema di operare in modo integrato.</w:t>
      </w:r>
      <w:r>
        <w:rPr>
          <w:rStyle w:val="FootnoteReference"/>
        </w:rPr>
        <w:footnoteReference w:id="142"/>
      </w:r>
      <w:r>
        <w:t xml:space="preserve"> </w:t>
      </w:r>
      <w:r>
        <w:t xml:space="preserve">La dimensione interprofessionale, anticipata nella prima voce come parte rilevante del fabbisogno, trova così nel percorso integrato il suo luogo proprio, poiché è nella combinazione delle modalità, e non nella loro applicazione isolata, che la competenza condivisa può essere costruita.</w:t>
      </w:r>
    </w:p>
    <w:p>
      <w:pPr>
        <w:pStyle w:val="BodyText"/>
      </w:pPr>
      <w:r>
        <w:t xml:space="preserve">Il percorso integrato è infine la forma in cui le competenze dedicate all’Intelligenza Artificiale, costruite a sé stanti nelle voci precedenti, sono integrate nel profilo professionale, in aderenza alla seconda esigenza del mandato relativa all’Intelligenza Artificiale. Le competenze pro-Intelligenza Artificiale, costruite in modo rapido e isolato attraverso le certificazioni, consolidate attraverso l’uso effettivo nella formazione lavorativa e accelerate e corrette dall’esperto di Intelligenza Artificiale in studio, sono integrate nel profilo professionale attraverso il percorso combinato, dove cessano di essere una competenza isolata e divengono una componente del profilo integrato dello Psicologo di Base potenziato dalle leve abilitanti. Questa integrazione realizza la seconda esigenza del duplice mandato relativa all’Intelligenza Artificiale: le competenze pro-Intelligenza Artificiale sono considerate non soltanto a sé stanti, come nelle certificazioni, ma congiunte alle altre, come nel percorso integrato, dove sono subordinate alla competenza clinica che servono e alla supervisione umana che le governa. Il duplice mandato relativo all’Intelligenza Artificiale — considerarne le competenze sia a sé stanti sia in combinazione — trova così nel rapporto tra le certificazioni e il percorso integrato la sua compiuta attuazione.</w:t>
      </w:r>
    </w:p>
    <w:p>
      <w:pPr>
        <w:pStyle w:val="BodyText"/>
      </w:pPr>
      <w:r>
        <w:t xml:space="preserve">Dalla complementarità delle modalità, dalla copertura di tutti e quattro i livelli, dalla dimensione interprofessionale e dall’integrazione delle competenze pro-Intelligenza Artificiale discende la proposizione centrale di questa voce: il percorso integrato rende più della somma delle modalità isolate. Questa superadditività non è un’affermazione retorica, ma una conseguenza della complementarità: poiché il limite di ciascuna modalità è compensato dalla funzione di un’altra, il percorso combinato produce uno sviluppo delle competenze che nessuna modalità isolata produce, e il suo rendimento eccede la somma dei rendimenti delle modalità isolate; la letteratura sui percorsi formativi integrati documenta, a sostegno, la maggiore efficacia dei percorsi in cui più modalità si compongono rispetto alle modalità applicate isolatamente.</w:t>
      </w:r>
      <w:r>
        <w:rPr>
          <w:rStyle w:val="FootnoteReference"/>
        </w:rPr>
        <w:footnoteReference w:id="143"/>
      </w:r>
      <w:r>
        <w:t xml:space="preserve"> </w:t>
      </w:r>
      <w:r>
        <w:t xml:space="preserve">La proposizione è falsificabile e sarà quantificata nella settima voce, dove il rapporto costo-efficacia della combinazione è confrontato con quello delle modalità singole; ed è contenuta entro le bande prudenziali del progetto, che impediscono alla superadditività di essere sopravvalutata e ne mantengono la stima entro i limiti che l’evidenza sostiene. La tabella seguente riepiloga le quattro modalità, la loro funzione, il livello di Kirkpatrick su cui ciascuna opera prevalentemente e il loro ruolo nel percorso integrato.</w:t>
      </w:r>
    </w:p>
    <w:p>
      <w:pPr>
        <w:pStyle w:val="BodyText"/>
      </w:pPr>
      <w:r>
        <w:rPr>
          <w:b/>
          <w:bCs/>
          <w:i/>
          <w:iCs/>
        </w:rPr>
        <w:t xml:space="preserve">Tabella 5.6.A — Le quattro modalità nel percorso integrato: funzione, livello, ruolo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 propria</w:t>
            </w:r>
          </w:p>
        </w:tc>
        <w:tc>
          <w:tcPr>
            <w:shd w:val="clear" w:color="auto" w:fill="16264B"/>
          </w:tcPr>
          <w:p>
            <w:pPr>
              <w:pStyle w:val="Compact"/>
              <w:spacing w:after="40" w:before="40"/>
              <w:jc w:val="left"/>
            </w:pPr>
            <w:r>
              <w:rPr>
                <w:rFonts w:ascii="Cambria" w:hAnsi="Cambria" w:cs="Cambria" w:eastAsia="Cambria"/>
                <w:b/>
                <w:bCs/>
                <w:color w:val="FFFFFF"/>
                <w:sz w:val="18"/>
              </w:rPr>
              <w:t xml:space="preserve">Livello di Kirkpatrick</w:t>
            </w:r>
          </w:p>
        </w:tc>
        <w:tc>
          <w:tcPr>
            <w:shd w:val="clear" w:color="auto" w:fill="16264B"/>
          </w:tcPr>
          <w:p>
            <w:pPr>
              <w:pStyle w:val="Compact"/>
              <w:spacing w:after="40" w:before="40"/>
              <w:jc w:val="left"/>
            </w:pPr>
            <w:r>
              <w:rPr>
                <w:rFonts w:ascii="Cambria" w:hAnsi="Cambria" w:cs="Cambria" w:eastAsia="Cambria"/>
                <w:b/>
                <w:bCs/>
                <w:color w:val="FFFFFF"/>
                <w:sz w:val="18"/>
              </w:rPr>
              <w:t xml:space="preserve">Ruolo nel percorso integrato</w:t>
            </w:r>
          </w:p>
        </w:tc>
      </w:tr>
      <w:tr>
        <w:tc>
          <w:tcPr/>
          <w:p>
            <w:pPr>
              <w:pStyle w:val="Compact"/>
              <w:spacing w:after="40" w:before="40"/>
              <w:jc w:val="left"/>
            </w:pPr>
            <w:r>
              <w:rPr>
                <w:rFonts w:ascii="Cambria" w:hAnsi="Cambria" w:cs="Cambria" w:eastAsia="Cambria"/>
                <w:b/>
                <w:bCs/>
                <w:color w:val="1A1A1A"/>
                <w:sz w:val="18"/>
              </w:rPr>
              <w:t xml:space="preserve">Universitaria</w:t>
            </w:r>
          </w:p>
        </w:tc>
        <w:tc>
          <w:tcPr/>
          <w:p>
            <w:pPr>
              <w:pStyle w:val="Compact"/>
              <w:spacing w:after="40" w:before="40"/>
              <w:jc w:val="left"/>
            </w:pPr>
            <w:r>
              <w:rPr>
                <w:rFonts w:ascii="Cambria" w:hAnsi="Cambria" w:cs="Cambria" w:eastAsia="Cambria"/>
                <w:color w:val="1A1A1A"/>
                <w:sz w:val="18"/>
              </w:rPr>
              <w:t xml:space="preserve">Fondamento durevole, capitale umano di lungo periodo</w:t>
            </w:r>
          </w:p>
        </w:tc>
        <w:tc>
          <w:tcPr/>
          <w:p>
            <w:pPr>
              <w:pStyle w:val="Compact"/>
              <w:spacing w:after="40" w:before="40"/>
              <w:jc w:val="left"/>
            </w:pPr>
            <w:r>
              <w:rPr>
                <w:rFonts w:ascii="Cambria" w:hAnsi="Cambria" w:cs="Cambria" w:eastAsia="Cambria"/>
                <w:color w:val="1A1A1A"/>
                <w:sz w:val="18"/>
              </w:rPr>
              <w:t xml:space="preserve">Apprendimento (2)</w:t>
            </w:r>
          </w:p>
        </w:tc>
        <w:tc>
          <w:tcPr/>
          <w:p>
            <w:pPr>
              <w:pStyle w:val="Compact"/>
              <w:spacing w:after="40" w:before="40"/>
              <w:jc w:val="left"/>
            </w:pPr>
            <w:r>
              <w:rPr>
                <w:rFonts w:ascii="Cambria" w:hAnsi="Cambria" w:cs="Cambria" w:eastAsia="Cambria"/>
                <w:color w:val="1A1A1A"/>
                <w:sz w:val="18"/>
              </w:rPr>
              <w:t xml:space="preserve">Origine: costruisce il fondamento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Post-universitaria</w:t>
            </w:r>
          </w:p>
        </w:tc>
        <w:tc>
          <w:tcPr>
            <w:shd w:val="clear" w:color="auto" w:fill="F4F1EC"/>
          </w:tcPr>
          <w:p>
            <w:pPr>
              <w:pStyle w:val="Compact"/>
              <w:spacing w:after="40" w:before="40"/>
              <w:jc w:val="left"/>
            </w:pPr>
            <w:r>
              <w:rPr>
                <w:rFonts w:ascii="Cambria" w:hAnsi="Cambria" w:cs="Cambria" w:eastAsia="Cambria"/>
                <w:color w:val="1A1A1A"/>
                <w:sz w:val="18"/>
              </w:rPr>
              <w:t xml:space="preserve">Aggiornamento rapido e continuo</w:t>
            </w:r>
          </w:p>
        </w:tc>
        <w:tc>
          <w:tcPr>
            <w:shd w:val="clear" w:color="auto" w:fill="F4F1EC"/>
          </w:tcPr>
          <w:p>
            <w:pPr>
              <w:pStyle w:val="Compact"/>
              <w:spacing w:after="40" w:before="40"/>
              <w:jc w:val="left"/>
            </w:pPr>
            <w:r>
              <w:rPr>
                <w:rFonts w:ascii="Cambria" w:hAnsi="Cambria" w:cs="Cambria" w:eastAsia="Cambria"/>
                <w:color w:val="1A1A1A"/>
                <w:sz w:val="18"/>
              </w:rPr>
              <w:t xml:space="preserve">Apprendimento–Trasferimento (2–3)</w:t>
            </w:r>
          </w:p>
        </w:tc>
        <w:tc>
          <w:tcPr>
            <w:shd w:val="clear" w:color="auto" w:fill="F4F1EC"/>
          </w:tcPr>
          <w:p>
            <w:pPr>
              <w:pStyle w:val="Compact"/>
              <w:spacing w:after="40" w:before="40"/>
              <w:jc w:val="left"/>
            </w:pPr>
            <w:r>
              <w:rPr>
                <w:rFonts w:ascii="Cambria" w:hAnsi="Cambria" w:cs="Cambria" w:eastAsia="Cambria"/>
                <w:color w:val="1A1A1A"/>
                <w:sz w:val="18"/>
              </w:rPr>
              <w:t xml:space="preserve">Mantiene adeguato il fondamento</w:t>
            </w:r>
          </w:p>
        </w:tc>
      </w:tr>
      <w:tr>
        <w:tc>
          <w:tcPr/>
          <w:p>
            <w:pPr>
              <w:pStyle w:val="Compact"/>
              <w:spacing w:after="40" w:before="40"/>
              <w:jc w:val="left"/>
            </w:pPr>
            <w:r>
              <w:rPr>
                <w:rFonts w:ascii="Cambria" w:hAnsi="Cambria" w:cs="Cambria" w:eastAsia="Cambria"/>
                <w:b/>
                <w:bCs/>
                <w:color w:val="1A1A1A"/>
                <w:sz w:val="18"/>
              </w:rPr>
              <w:t xml:space="preserve">Lavorativa</w:t>
            </w:r>
          </w:p>
        </w:tc>
        <w:tc>
          <w:tcPr/>
          <w:p>
            <w:pPr>
              <w:pStyle w:val="Compact"/>
              <w:spacing w:after="40" w:before="40"/>
              <w:jc w:val="left"/>
            </w:pPr>
            <w:r>
              <w:rPr>
                <w:rFonts w:ascii="Cambria" w:hAnsi="Cambria" w:cs="Cambria" w:eastAsia="Cambria"/>
                <w:color w:val="1A1A1A"/>
                <w:sz w:val="18"/>
              </w:rPr>
              <w:t xml:space="preserve">Trasferimento nella pratica</w:t>
            </w:r>
          </w:p>
        </w:tc>
        <w:tc>
          <w:tcPr/>
          <w:p>
            <w:pPr>
              <w:pStyle w:val="Compact"/>
              <w:spacing w:after="40" w:before="40"/>
              <w:jc w:val="left"/>
            </w:pPr>
            <w:r>
              <w:rPr>
                <w:rFonts w:ascii="Cambria" w:hAnsi="Cambria" w:cs="Cambria" w:eastAsia="Cambria"/>
                <w:color w:val="1A1A1A"/>
                <w:sz w:val="18"/>
              </w:rPr>
              <w:t xml:space="preserve">Trasferimento (3)</w:t>
            </w:r>
          </w:p>
        </w:tc>
        <w:tc>
          <w:tcPr/>
          <w:p>
            <w:pPr>
              <w:pStyle w:val="Compact"/>
              <w:spacing w:after="40" w:before="40"/>
              <w:jc w:val="left"/>
            </w:pPr>
            <w:r>
              <w:rPr>
                <w:rFonts w:ascii="Cambria" w:hAnsi="Cambria" w:cs="Cambria" w:eastAsia="Cambria"/>
                <w:color w:val="1A1A1A"/>
                <w:sz w:val="18"/>
              </w:rPr>
              <w:t xml:space="preserve">Converte il fondamento in pratica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Affiancamento esperto</w:t>
            </w:r>
          </w:p>
        </w:tc>
        <w:tc>
          <w:tcPr>
            <w:shd w:val="clear" w:color="auto" w:fill="F4F1EC"/>
          </w:tcPr>
          <w:p>
            <w:pPr>
              <w:pStyle w:val="Compact"/>
              <w:spacing w:after="40" w:before="40"/>
              <w:jc w:val="left"/>
            </w:pPr>
            <w:r>
              <w:rPr>
                <w:rFonts w:ascii="Cambria" w:hAnsi="Cambria" w:cs="Cambria" w:eastAsia="Cambria"/>
                <w:color w:val="1A1A1A"/>
                <w:sz w:val="18"/>
              </w:rPr>
              <w:t xml:space="preserve">Accelerazione e correzione</w:t>
            </w:r>
          </w:p>
        </w:tc>
        <w:tc>
          <w:tcPr>
            <w:shd w:val="clear" w:color="auto" w:fill="F4F1EC"/>
          </w:tcPr>
          <w:p>
            <w:pPr>
              <w:pStyle w:val="Compact"/>
              <w:spacing w:after="40" w:before="40"/>
              <w:jc w:val="left"/>
            </w:pPr>
            <w:r>
              <w:rPr>
                <w:rFonts w:ascii="Cambria" w:hAnsi="Cambria" w:cs="Cambria" w:eastAsia="Cambria"/>
                <w:color w:val="1A1A1A"/>
                <w:sz w:val="18"/>
              </w:rPr>
              <w:t xml:space="preserve">Trasferimento–Risultati (3–4)</w:t>
            </w:r>
          </w:p>
        </w:tc>
        <w:tc>
          <w:tcPr>
            <w:shd w:val="clear" w:color="auto" w:fill="F4F1EC"/>
          </w:tcPr>
          <w:p>
            <w:pPr>
              <w:pStyle w:val="Compact"/>
              <w:spacing w:after="40" w:before="40"/>
              <w:jc w:val="left"/>
            </w:pPr>
            <w:r>
              <w:rPr>
                <w:rFonts w:ascii="Cambria" w:hAnsi="Cambria" w:cs="Cambria" w:eastAsia="Cambria"/>
                <w:color w:val="1A1A1A"/>
                <w:sz w:val="18"/>
              </w:rPr>
              <w:t xml:space="preserve">Comprime la curva nei primi 12–18 mesi</w:t>
            </w:r>
          </w:p>
        </w:tc>
      </w:tr>
    </w:tbl>
    <w:p>
      <w:pPr>
        <w:pStyle w:val="BodyText"/>
      </w:pPr>
      <w:r>
        <w:t xml:space="preserve">La composizione delle quattro modalità nel percorso integrato può essere rappresentata nella sua forma essenziale, che la scheda infografica seguente sintetizza. Essa dispone le quattro modalità in sequenza, ne mostra la funzione e il livello di Kirkpatrick su cui ciascuna opera, e rappresenta la costruzione progressiva della competenza lungo il percorso, dalla formazione del fondamento alla sua accelerazione nella pratica; ed evidenzia la copertura di tutti e quattro i livelli che il percorso integrato realizza e che nessuna modalità isolata raggiunge.</w:t>
      </w:r>
    </w:p>
    <w:p>
      <w:pPr>
        <w:pStyle w:val="BodyText"/>
      </w:pPr>
      <w:r>
        <w:t xml:space="preserve">Il percorso integrato, descritto nella sua composizione, nella sua complementarità, nella sua copertura dei quattro livelli, nella sua dimensione interprofessionale e nella sua integrazione delle competenze pro-Intelligenza Artificiale, può ora essere sottoposto alla misura. La proposizione che esso renda più della somma delle modalità isolate, qui fondata sulla complementarità, richiede di essere quantificata, e il rapporto costo-efficacia della combinazione richiede di essere confrontato con quello delle modalità singole. È il compito della voce seguente, che applica i modelli di Kirkpatrick e Phillips al costo e al rendimento della formazione, colloca le stime entro le bande prudenziali dell’opera ed esprime il rendimento dell’investimento formativo nell’intervallo validato per la Puglia, mantenendo il costo della formazione distinto dal saldo economico complessivo della riforma in ossequio alla regola di non duplicazione.</w:t>
      </w:r>
    </w:p>
    <w:bookmarkEnd w:id="269"/>
    <w:bookmarkStart w:id="270" w:name="Xeec9d850ffca6ede23e8463672665c213bd26b0"/>
    <w:p>
      <w:pPr>
        <w:pStyle w:val="Heading2"/>
      </w:pPr>
      <w:r>
        <w:rPr>
          <w:b/>
          <w:bCs/>
        </w:rPr>
        <w:t xml:space="preserve">5.7 Il costo della formazione e il ritorno sull’investimento formativo (Kirkpatrick e Phillips)</w:t>
      </w:r>
    </w:p>
    <w:p>
      <w:pPr>
        <w:pStyle w:val="FirstParagraph"/>
      </w:pPr>
      <w:r>
        <w:rPr>
          <w:i/>
          <w:iCs/>
        </w:rPr>
        <w:t xml:space="preserve">Questa voce misura il costo della formazione e il suo rendimento, applicando i modelli di Kirkpatrick e Phillips e confrontando il rapporto costo-efficacia delle modalità singole con quello della loro combinazione. Essa articola la struttura del costo per modalità, distinguendo i costi esterni da quelli incrementali; esprime il rendimento attraverso i cinque livelli; colloca le stime entro le bande prudenziali; esprime il rapporto beneficio-costo formativo nell’intervallo validato per la Puglia; e mantiene il costo della formazione distinto dal saldo economico complessivo della riforma, distinguendolo con nettezza dal rendimento complessivo della riforma vincolato all’ancora di Chisholm.</w:t>
      </w:r>
    </w:p>
    <w:p>
      <w:pPr>
        <w:pStyle w:val="BodyText"/>
      </w:pPr>
      <w:r>
        <w:t xml:space="preserve">La voce precedente ha stabilito che il percorso integrato rende più della somma delle modalità isolate, fondando questa proposizione sulla complementarità. La presente voce la quantifica. Il metodo è l’apparato di Kirkpatrick e Phillips: i quattro livelli di Kirkpatrick descrivono ciò che ciascuna modalità produce, dalla reazione al risultato, e il quinto livello di Phillips converte il risultato in un rendimento monetario, consentendo il confronto delle modalità singole con la combinazione. La quantificazione è contenuta entro le bande prudenziali del progetto e rispetta la regola di non duplicazione, che impone di tenere il costo della formazione distinto sia dai risparmi diretti sia dai benefici indiretti della riforma, e di non confondere il rapporto beneficio-costo della formazione con il rendimento complessivo della riforma.</w:t>
      </w:r>
    </w:p>
    <w:p>
      <w:pPr>
        <w:pStyle w:val="BodyText"/>
      </w:pPr>
      <w:r>
        <w:t xml:space="preserve">La struttura del costo della formazione si articola per modalità, e la distinzione tra costi esterni e costi incrementali, introdotta nelle voci precedenti, trova qui la sua sintesi. La formazione universitaria di base, ossia il percorso di laurea, è in larga parte esterna al perimetro della riforma, poiché gravante sul sistema dell’istruzione e sull’individuo; l’obbligo generale dell’educazione continua è anch’esso in larga parte esterno, gravante sul professionista e sul datore di lavoro. I costi incrementali interni al perimetro della riforma sono quattro: l’adeguamento mirato dei curricula e i master dedicati, parte incrementale della prima modalità; i percorsi mirati di educazione continua e le certificazioni promossi dalla Regione, parte incrementale della seconda modalità; il tempo dedicato all’apprendimento strutturato sul posto di lavoro, terza modalità; e, in misura più rilevante, il tempo delle figure esperte dedicato all’affiancamento, quarta modalità. La somma dei costi incrementali costituisce il costo del programma formativo, dell’ordine di quattro milioni di euro l’anno a regime nello scenario base. La tabella seguente articola il costo per modalità, distinguendo la componente esterna da quella incrementale.</w:t>
      </w:r>
    </w:p>
    <w:p>
      <w:pPr>
        <w:pStyle w:val="BodyText"/>
      </w:pPr>
      <w:r>
        <w:rPr>
          <w:b/>
          <w:bCs/>
          <w:i/>
          <w:iCs/>
        </w:rPr>
        <w:t xml:space="preserve">Tabella 5.7.A — La struttura del costo della formazione per modalità (scenario base, ordini di grandezza)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esterna</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incrementale (perimetro riforma)</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incrementale indicativo</w:t>
            </w:r>
          </w:p>
        </w:tc>
      </w:tr>
      <w:tr>
        <w:tc>
          <w:tcPr/>
          <w:p>
            <w:pPr>
              <w:pStyle w:val="Compact"/>
              <w:spacing w:after="40" w:before="40"/>
              <w:jc w:val="left"/>
            </w:pPr>
            <w:r>
              <w:rPr>
                <w:rFonts w:ascii="Cambria" w:hAnsi="Cambria" w:cs="Cambria" w:eastAsia="Cambria"/>
                <w:b/>
                <w:bCs/>
                <w:color w:val="1A1A1A"/>
                <w:sz w:val="18"/>
              </w:rPr>
              <w:t xml:space="preserve">Universitaria</w:t>
            </w:r>
          </w:p>
        </w:tc>
        <w:tc>
          <w:tcPr/>
          <w:p>
            <w:pPr>
              <w:pStyle w:val="Compact"/>
              <w:spacing w:after="40" w:before="40"/>
              <w:jc w:val="left"/>
            </w:pPr>
            <w:r>
              <w:rPr>
                <w:rFonts w:ascii="Cambria" w:hAnsi="Cambria" w:cs="Cambria" w:eastAsia="Cambria"/>
                <w:color w:val="1A1A1A"/>
                <w:sz w:val="18"/>
              </w:rPr>
              <w:t xml:space="preserve">Laurea (sistema istruzione/individuo)</w:t>
            </w:r>
          </w:p>
        </w:tc>
        <w:tc>
          <w:tcPr/>
          <w:p>
            <w:pPr>
              <w:pStyle w:val="Compact"/>
              <w:spacing w:after="40" w:before="40"/>
              <w:jc w:val="left"/>
            </w:pPr>
            <w:r>
              <w:rPr>
                <w:rFonts w:ascii="Cambria" w:hAnsi="Cambria" w:cs="Cambria" w:eastAsia="Cambria"/>
                <w:color w:val="1A1A1A"/>
                <w:sz w:val="18"/>
              </w:rPr>
              <w:t xml:space="preserve">Adeguamento curricolare e master dedicati</w:t>
            </w:r>
          </w:p>
        </w:tc>
        <w:tc>
          <w:tcPr/>
          <w:p>
            <w:pPr>
              <w:pStyle w:val="Compact"/>
              <w:spacing w:after="40" w:before="40"/>
              <w:jc w:val="left"/>
            </w:pPr>
            <w:r>
              <w:rPr>
                <w:rFonts w:ascii="Cambria" w:hAnsi="Cambria" w:cs="Cambria" w:eastAsia="Cambria"/>
                <w:color w:val="1A1A1A"/>
                <w:sz w:val="18"/>
              </w:rPr>
              <w:t xml:space="preserve">~0,4 mln €/anno (ammortizzato)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Post-universitaria</w:t>
            </w:r>
          </w:p>
        </w:tc>
        <w:tc>
          <w:tcPr>
            <w:shd w:val="clear" w:color="auto" w:fill="F4F1EC"/>
          </w:tcPr>
          <w:p>
            <w:pPr>
              <w:pStyle w:val="Compact"/>
              <w:spacing w:after="40" w:before="40"/>
              <w:jc w:val="left"/>
            </w:pPr>
            <w:r>
              <w:rPr>
                <w:rFonts w:ascii="Cambria" w:hAnsi="Cambria" w:cs="Cambria" w:eastAsia="Cambria"/>
                <w:color w:val="1A1A1A"/>
                <w:sz w:val="18"/>
              </w:rPr>
              <w:t xml:space="preserve">Obbligo ECM generale</w:t>
            </w:r>
          </w:p>
        </w:tc>
        <w:tc>
          <w:tcPr>
            <w:shd w:val="clear" w:color="auto" w:fill="F4F1EC"/>
          </w:tcPr>
          <w:p>
            <w:pPr>
              <w:pStyle w:val="Compact"/>
              <w:spacing w:after="40" w:before="40"/>
              <w:jc w:val="left"/>
            </w:pPr>
            <w:r>
              <w:rPr>
                <w:rFonts w:ascii="Cambria" w:hAnsi="Cambria" w:cs="Cambria" w:eastAsia="Cambria"/>
                <w:color w:val="1A1A1A"/>
                <w:sz w:val="18"/>
              </w:rPr>
              <w:t xml:space="preserve">ECM mirato regionale e certificazioni</w:t>
            </w:r>
          </w:p>
        </w:tc>
        <w:tc>
          <w:tcPr>
            <w:shd w:val="clear" w:color="auto" w:fill="F4F1EC"/>
          </w:tcPr>
          <w:p>
            <w:pPr>
              <w:pStyle w:val="Compact"/>
              <w:spacing w:after="40" w:before="40"/>
              <w:jc w:val="left"/>
            </w:pPr>
            <w:r>
              <w:rPr>
                <w:rFonts w:ascii="Cambria" w:hAnsi="Cambria" w:cs="Cambria" w:eastAsia="Cambria"/>
                <w:color w:val="1A1A1A"/>
                <w:sz w:val="18"/>
              </w:rPr>
              <w:t xml:space="preserve">~0,8 mln €/anno</w:t>
            </w:r>
          </w:p>
        </w:tc>
      </w:tr>
      <w:tr>
        <w:tc>
          <w:tcPr/>
          <w:p>
            <w:pPr>
              <w:pStyle w:val="Compact"/>
              <w:spacing w:after="40" w:before="40"/>
              <w:jc w:val="left"/>
            </w:pPr>
            <w:r>
              <w:rPr>
                <w:rFonts w:ascii="Cambria" w:hAnsi="Cambria" w:cs="Cambria" w:eastAsia="Cambria"/>
                <w:b/>
                <w:bCs/>
                <w:color w:val="1A1A1A"/>
                <w:sz w:val="18"/>
              </w:rPr>
              <w:t xml:space="preserve">Lavorativa</w:t>
            </w:r>
          </w:p>
        </w:tc>
        <w:tc>
          <w:tcPr/>
          <w:p>
            <w:pPr>
              <w:pStyle w:val="Compact"/>
              <w:spacing w:after="40" w:before="40"/>
              <w:jc w:val="left"/>
            </w:pPr>
            <w:r>
              <w:rPr>
                <w:rFonts w:ascii="Cambria" w:hAnsi="Cambria" w:cs="Cambria" w:eastAsia="Cambria"/>
                <w:color w:val="1A1A1A"/>
                <w:sz w:val="18"/>
              </w:rPr>
              <w:t xml:space="preserve">Attività ordinaria</w:t>
            </w:r>
          </w:p>
        </w:tc>
        <w:tc>
          <w:tcPr/>
          <w:p>
            <w:pPr>
              <w:pStyle w:val="Compact"/>
              <w:spacing w:after="40" w:before="40"/>
              <w:jc w:val="left"/>
            </w:pPr>
            <w:r>
              <w:rPr>
                <w:rFonts w:ascii="Cambria" w:hAnsi="Cambria" w:cs="Cambria" w:eastAsia="Cambria"/>
                <w:color w:val="1A1A1A"/>
                <w:sz w:val="18"/>
              </w:rPr>
              <w:t xml:space="preserve">Tempo dedicato all’apprendimento strutturato</w:t>
            </w:r>
          </w:p>
        </w:tc>
        <w:tc>
          <w:tcPr/>
          <w:p>
            <w:pPr>
              <w:pStyle w:val="Compact"/>
              <w:spacing w:after="40" w:before="40"/>
              <w:jc w:val="left"/>
            </w:pPr>
            <w:r>
              <w:rPr>
                <w:rFonts w:ascii="Cambria" w:hAnsi="Cambria" w:cs="Cambria" w:eastAsia="Cambria"/>
                <w:color w:val="1A1A1A"/>
                <w:sz w:val="18"/>
              </w:rPr>
              <w:t xml:space="preserve">~0,9 mln €/anno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Affiancamento esperto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Tempo delle figure esperte e dell’esperto di IA</w:t>
            </w:r>
          </w:p>
        </w:tc>
        <w:tc>
          <w:tcPr>
            <w:shd w:val="clear" w:color="auto" w:fill="F4F1EC"/>
          </w:tcPr>
          <w:p>
            <w:pPr>
              <w:pStyle w:val="Compact"/>
              <w:spacing w:after="40" w:before="40"/>
              <w:jc w:val="left"/>
            </w:pPr>
            <w:r>
              <w:rPr>
                <w:rFonts w:ascii="Cambria" w:hAnsi="Cambria" w:cs="Cambria" w:eastAsia="Cambria"/>
                <w:color w:val="1A1A1A"/>
                <w:sz w:val="18"/>
              </w:rPr>
              <w:t xml:space="preserve">~1,9 mln €/anno</w:t>
            </w:r>
          </w:p>
        </w:tc>
      </w:tr>
      <w:tr>
        <w:tc>
          <w:tcPr/>
          <w:p>
            <w:pPr>
              <w:pStyle w:val="Compact"/>
              <w:spacing w:after="40" w:before="40"/>
              <w:jc w:val="left"/>
            </w:pPr>
            <w:r>
              <w:rPr>
                <w:rFonts w:ascii="Cambria" w:hAnsi="Cambria" w:cs="Cambria" w:eastAsia="Cambria"/>
                <w:b/>
                <w:bCs/>
                <w:color w:val="1A1A1A"/>
                <w:sz w:val="18"/>
              </w:rPr>
              <w:t xml:space="preserve">Totale incrementale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Somma delle componenti incrementali</w:t>
            </w:r>
          </w:p>
        </w:tc>
        <w:tc>
          <w:tcPr/>
          <w:p>
            <w:pPr>
              <w:pStyle w:val="Compact"/>
              <w:spacing w:after="40" w:before="40"/>
              <w:jc w:val="left"/>
            </w:pPr>
            <w:r>
              <w:rPr>
                <w:rFonts w:ascii="Cambria" w:hAnsi="Cambria" w:cs="Cambria" w:eastAsia="Cambria"/>
                <w:color w:val="1A1A1A"/>
                <w:sz w:val="18"/>
              </w:rPr>
              <w:t xml:space="preserve">~4,0 mln €/anno</w:t>
            </w:r>
          </w:p>
        </w:tc>
      </w:tr>
    </w:tbl>
    <w:p>
      <w:pPr>
        <w:pStyle w:val="BodyText"/>
      </w:pPr>
      <w:r>
        <w:t xml:space="preserve">L’applicazione dei modelli di Kirkpatrick e Phillips alle modalità singole ne mette in luce il rendimento parziale, che giustifica la superiorità della combinazione. La formazione universitaria e quella post-universitaria operano in misura prevalente al secondo livello, quello dell’apprendimento, con un raggiungimento differito del terzo e del quarto; il loro rendimento isolato è perciò durevole ma lento, e non immediatamente convertibile in efficienza del servizio, sicché il loro rapporto beneficio-costo, considerato in isolamento, è inferiore a quello della combinazione, poiché esse non producono da sole il trasferimento nella pratica. La formazione lavorativa opera al terzo livello, quello del trasferimento, con un rendimento più rapido, ma è esposta al costo implicito della curva di apprendimento e al rischio del consolidamento degli errori, che ne riducono il rendimento in assenza di guida. L’affiancamento esperto opera fra il terzo e il quarto livello, con il più rilevante costo incrementale ma con gli effetti compensativi già descritti — la compressione della curva e la prevenzione degli errori — che ne riducono il costo netto. Nessuna modalità singola, applicata da sola, raggiunge il rendimento pieno, poiché ciascuna copre solo alcuni livelli, e il rapporto beneficio-costo di ciascuna in isolamento è inferiore a quello della combinazione.</w:t>
      </w:r>
    </w:p>
    <w:p>
      <w:pPr>
        <w:pStyle w:val="BodyText"/>
      </w:pPr>
      <w:r>
        <w:t xml:space="preserve">L’applicazione dei modelli alla combinazione restituisce il rendimento superadditivo che la voce precedente ha fondato sulla complementarità. La combinazione, coprendo tutti e quattro i livelli, raggiunge il rendimento che nessuna modalità singola raggiunge, e il suo rapporto beneficio-costo è l’ancora validata per la Puglia: esso è compreso tra sette e otto a uno, e corrisponde a un differenziale di valore dell’ordine di ventotto-trentadue milioni di euro l’anno a fronte di un costo del programma formativo dell’ordine di quattro milioni di euro l’anno nello scenario base. Lungo gli scenari di dimensionamento, dal conservativo all’espansivo, sia il costo sia il differenziale crescono in proporzione alla copertura del servizio, e il rapporto è mantenuto prudenzialmente entro la banda compresa tra sette e otto a uno, mentre il differenziale assoluto può raggiungere ordini di grandezza superiori negli scenari più estesi. Il rapporto della combinazione eccede quello di qualsiasi modalità singola, e questo eccesso è l’espressione quantitativa della superadditività, che la combinazione realizza coprendo i livelli che le modalità isolate lasciano scoperti. La tabella seguente confronta il rendimento delle modalità singole con quello della combinazione.</w:t>
      </w:r>
    </w:p>
    <w:p>
      <w:pPr>
        <w:pStyle w:val="BodyText"/>
      </w:pPr>
      <w:r>
        <w:rPr>
          <w:b/>
          <w:bCs/>
          <w:i/>
          <w:iCs/>
        </w:rPr>
        <w:t xml:space="preserve">Tabella 5.7.B — Il confronto del rendimento: modalità singole e combinazione (Kirkpatrick–Phillips)</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Configurazione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Livelli coperti</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Caratteristica del rendimento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Rapporto beneficio-costo</w:t>
            </w:r>
          </w:p>
        </w:tc>
      </w:tr>
      <w:tr>
        <w:tc>
          <w:tcPr/>
          <w:p>
            <w:pPr>
              <w:pStyle w:val="Compact"/>
              <w:spacing w:after="40" w:before="40"/>
              <w:jc w:val="left"/>
            </w:pPr>
            <w:r>
              <w:rPr>
                <w:rFonts w:ascii="Cambria" w:hAnsi="Cambria" w:cs="Cambria" w:eastAsia="Cambria"/>
                <w:b/>
                <w:bCs/>
                <w:color w:val="1A1A1A"/>
                <w:sz w:val="18"/>
              </w:rPr>
              <w:t xml:space="preserve">Universitaria isolata</w:t>
            </w:r>
          </w:p>
        </w:tc>
        <w:tc>
          <w:tcPr/>
          <w:p>
            <w:pPr>
              <w:pStyle w:val="Compact"/>
              <w:spacing w:after="40" w:before="40"/>
              <w:jc w:val="left"/>
            </w:pPr>
            <w:r>
              <w:rPr>
                <w:rFonts w:ascii="Cambria" w:hAnsi="Cambria" w:cs="Cambria" w:eastAsia="Cambria"/>
                <w:color w:val="1A1A1A"/>
                <w:sz w:val="18"/>
              </w:rPr>
              <w:t xml:space="preserve">2</w:t>
            </w:r>
          </w:p>
        </w:tc>
        <w:tc>
          <w:tcPr/>
          <w:p>
            <w:pPr>
              <w:pStyle w:val="Compact"/>
              <w:spacing w:after="40" w:before="40"/>
              <w:jc w:val="left"/>
            </w:pPr>
            <w:r>
              <w:rPr>
                <w:rFonts w:ascii="Cambria" w:hAnsi="Cambria" w:cs="Cambria" w:eastAsia="Cambria"/>
                <w:color w:val="1A1A1A"/>
                <w:sz w:val="18"/>
              </w:rPr>
              <w:t xml:space="preserve">Durevole ma differito; nessun trasferimento</w:t>
            </w:r>
          </w:p>
        </w:tc>
        <w:tc>
          <w:tcPr/>
          <w:p>
            <w:pPr>
              <w:pStyle w:val="Compact"/>
              <w:spacing w:after="40" w:before="40"/>
              <w:jc w:val="left"/>
            </w:pPr>
            <w:r>
              <w:rPr>
                <w:rFonts w:ascii="Cambria" w:hAnsi="Cambria" w:cs="Cambria" w:eastAsia="Cambria"/>
                <w:color w:val="1A1A1A"/>
                <w:sz w:val="18"/>
              </w:rPr>
              <w:t xml:space="preserve">Inferiore (non determinabile sul breve)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Post-universitaria isolata</w:t>
            </w:r>
          </w:p>
        </w:tc>
        <w:tc>
          <w:tcPr>
            <w:shd w:val="clear" w:color="auto" w:fill="F4F1EC"/>
          </w:tcPr>
          <w:p>
            <w:pPr>
              <w:pStyle w:val="Compact"/>
              <w:spacing w:after="40" w:before="40"/>
              <w:jc w:val="left"/>
            </w:pPr>
            <w:r>
              <w:rPr>
                <w:rFonts w:ascii="Cambria" w:hAnsi="Cambria" w:cs="Cambria" w:eastAsia="Cambria"/>
                <w:color w:val="1A1A1A"/>
                <w:sz w:val="18"/>
              </w:rPr>
              <w:t xml:space="preserve">2–3</w:t>
            </w:r>
          </w:p>
        </w:tc>
        <w:tc>
          <w:tcPr>
            <w:shd w:val="clear" w:color="auto" w:fill="F4F1EC"/>
          </w:tcPr>
          <w:p>
            <w:pPr>
              <w:pStyle w:val="Compact"/>
              <w:spacing w:after="40" w:before="40"/>
              <w:jc w:val="left"/>
            </w:pPr>
            <w:r>
              <w:rPr>
                <w:rFonts w:ascii="Cambria" w:hAnsi="Cambria" w:cs="Cambria" w:eastAsia="Cambria"/>
                <w:color w:val="1A1A1A"/>
                <w:sz w:val="18"/>
              </w:rPr>
              <w:t xml:space="preserve">Aggiornamento rapido; trasferimento parziale</w:t>
            </w:r>
          </w:p>
        </w:tc>
        <w:tc>
          <w:tcPr>
            <w:shd w:val="clear" w:color="auto" w:fill="F4F1EC"/>
          </w:tcPr>
          <w:p>
            <w:pPr>
              <w:pStyle w:val="Compact"/>
              <w:spacing w:after="40" w:before="40"/>
              <w:jc w:val="left"/>
            </w:pPr>
            <w:r>
              <w:rPr>
                <w:rFonts w:ascii="Cambria" w:hAnsi="Cambria" w:cs="Cambria" w:eastAsia="Cambria"/>
                <w:color w:val="1A1A1A"/>
                <w:sz w:val="18"/>
              </w:rPr>
              <w:t xml:space="preserve">Inferiore alla combinazione</w:t>
            </w:r>
          </w:p>
        </w:tc>
      </w:tr>
      <w:tr>
        <w:tc>
          <w:tcPr/>
          <w:p>
            <w:pPr>
              <w:pStyle w:val="Compact"/>
              <w:spacing w:after="40" w:before="40"/>
              <w:jc w:val="left"/>
            </w:pPr>
            <w:r>
              <w:rPr>
                <w:rFonts w:ascii="Cambria" w:hAnsi="Cambria" w:cs="Cambria" w:eastAsia="Cambria"/>
                <w:b/>
                <w:bCs/>
                <w:color w:val="1A1A1A"/>
                <w:sz w:val="18"/>
              </w:rPr>
              <w:t xml:space="preserve">Lavorativa isolata</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Trasferimento, ma lento e con rischio di errore</w:t>
            </w:r>
          </w:p>
        </w:tc>
        <w:tc>
          <w:tcPr/>
          <w:p>
            <w:pPr>
              <w:pStyle w:val="Compact"/>
              <w:spacing w:after="40" w:before="40"/>
              <w:jc w:val="left"/>
            </w:pPr>
            <w:r>
              <w:rPr>
                <w:rFonts w:ascii="Cambria" w:hAnsi="Cambria" w:cs="Cambria" w:eastAsia="Cambria"/>
                <w:color w:val="1A1A1A"/>
                <w:sz w:val="18"/>
              </w:rPr>
              <w:t xml:space="preserve">Inferiore alla combinazione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Affiancamento isolato</w:t>
            </w:r>
          </w:p>
        </w:tc>
        <w:tc>
          <w:tcPr>
            <w:shd w:val="clear" w:color="auto" w:fill="F4F1EC"/>
          </w:tcPr>
          <w:p>
            <w:pPr>
              <w:pStyle w:val="Compact"/>
              <w:spacing w:after="40" w:before="40"/>
              <w:jc w:val="left"/>
            </w:pPr>
            <w:r>
              <w:rPr>
                <w:rFonts w:ascii="Cambria" w:hAnsi="Cambria" w:cs="Cambria" w:eastAsia="Cambria"/>
                <w:color w:val="1A1A1A"/>
                <w:sz w:val="18"/>
              </w:rPr>
              <w:t xml:space="preserve">3–4</w:t>
            </w:r>
          </w:p>
        </w:tc>
        <w:tc>
          <w:tcPr>
            <w:shd w:val="clear" w:color="auto" w:fill="F4F1EC"/>
          </w:tcPr>
          <w:p>
            <w:pPr>
              <w:pStyle w:val="Compact"/>
              <w:spacing w:after="40" w:before="40"/>
              <w:jc w:val="left"/>
            </w:pPr>
            <w:r>
              <w:rPr>
                <w:rFonts w:ascii="Cambria" w:hAnsi="Cambria" w:cs="Cambria" w:eastAsia="Cambria"/>
                <w:color w:val="1A1A1A"/>
                <w:sz w:val="18"/>
              </w:rPr>
              <w:t xml:space="preserve">Accelerazione, ma costo esperto elevato</w:t>
            </w:r>
          </w:p>
        </w:tc>
        <w:tc>
          <w:tcPr>
            <w:shd w:val="clear" w:color="auto" w:fill="F4F1EC"/>
          </w:tcPr>
          <w:p>
            <w:pPr>
              <w:pStyle w:val="Compact"/>
              <w:spacing w:after="40" w:before="40"/>
              <w:jc w:val="left"/>
            </w:pPr>
            <w:r>
              <w:rPr>
                <w:rFonts w:ascii="Cambria" w:hAnsi="Cambria" w:cs="Cambria" w:eastAsia="Cambria"/>
                <w:color w:val="1A1A1A"/>
                <w:sz w:val="18"/>
              </w:rPr>
              <w:t xml:space="preserve">Inferiore alla combinazione</w:t>
            </w:r>
          </w:p>
        </w:tc>
      </w:tr>
      <w:tr>
        <w:tc>
          <w:tcPr/>
          <w:p>
            <w:pPr>
              <w:pStyle w:val="Compact"/>
              <w:spacing w:after="40" w:before="40"/>
              <w:jc w:val="left"/>
            </w:pPr>
            <w:r>
              <w:rPr>
                <w:rFonts w:ascii="Cambria" w:hAnsi="Cambria" w:cs="Cambria" w:eastAsia="Cambria"/>
                <w:b/>
                <w:bCs/>
                <w:color w:val="1A1A1A"/>
                <w:sz w:val="18"/>
              </w:rPr>
              <w:t xml:space="preserve">Percorso integrato (combinazione)</w:t>
            </w:r>
          </w:p>
        </w:tc>
        <w:tc>
          <w:tcPr/>
          <w:p>
            <w:pPr>
              <w:pStyle w:val="Compact"/>
              <w:spacing w:after="40" w:before="40"/>
              <w:jc w:val="left"/>
            </w:pPr>
            <w:r>
              <w:rPr>
                <w:rFonts w:ascii="Cambria" w:hAnsi="Cambria" w:cs="Cambria" w:eastAsia="Cambria"/>
                <w:color w:val="1A1A1A"/>
                <w:sz w:val="18"/>
              </w:rPr>
              <w:t xml:space="preserve">2–3–4</w:t>
            </w:r>
          </w:p>
        </w:tc>
        <w:tc>
          <w:tcPr/>
          <w:p>
            <w:pPr>
              <w:pStyle w:val="Compact"/>
              <w:spacing w:after="40" w:before="40"/>
              <w:jc w:val="left"/>
            </w:pPr>
            <w:r>
              <w:rPr>
                <w:rFonts w:ascii="Cambria" w:hAnsi="Cambria" w:cs="Cambria" w:eastAsia="Cambria"/>
                <w:color w:val="1A1A1A"/>
                <w:sz w:val="18"/>
              </w:rPr>
              <w:t xml:space="preserve">Superadditivo; copre tutti i livelli</w:t>
            </w:r>
          </w:p>
        </w:tc>
        <w:tc>
          <w:tcPr/>
          <w:p>
            <w:pPr>
              <w:pStyle w:val="Compact"/>
              <w:spacing w:after="40" w:before="40"/>
              <w:jc w:val="left"/>
            </w:pPr>
            <w:r>
              <w:rPr>
                <w:rFonts w:ascii="Cambria" w:hAnsi="Cambria" w:cs="Cambria" w:eastAsia="Cambria"/>
                <w:color w:val="1A1A1A"/>
                <w:sz w:val="18"/>
              </w:rPr>
              <w:t xml:space="preserve">7–8 a 1 (banda validata)</w:t>
            </w:r>
          </w:p>
        </w:tc>
      </w:tr>
    </w:tbl>
    <w:p>
      <w:pPr>
        <w:pStyle w:val="BodyText"/>
      </w:pPr>
      <w:r>
        <w:t xml:space="preserve">La regola di non duplicazione impone, a chiusura della quantificazione, una distinzione che ha rilievo decisivo e che va enunciata senza ambiguità. Il rapporto beneficio-costo formativo, compreso tra sette e otto a uno, misura esclusivamente la produttività della spesa formativa, ossia il rendimento dei quattro milioni di euro l’anno investiti nella formazione; esso non è il rendimento complessivo della riforma, e non va confuso con esso. Il rendimento complessivo della riforma è vincolato all’ancora di Chisholm, compreso tra 2,3 e 3,0 a 1 per i soli benefici economici e tra 3,3 e 5,7 a 1 con l’inclusione dei ritorni in salute, ed è oggetto della decima parte; esso misura l’insieme dei costi e dei risparmi del servizio, e non la sola spesa formativa. I due rapporti misurano grandezze diverse — l’uno la produttività della formazione, l’altro il rendimento dell’intera riforma — e non sono né sommabili né confondibili. Il costo della formazione, di quattro milioni di euro l’anno, è una componente dei costi diretti della riforma, che la settima parte dell’opera quantifica; e il rendimento della formazione si manifesta in parte come efficienza del servizio, ricaduta diretta, e in parte come beneficio sociale diffuso, ricaduta indiretta, tenute rigorosamente distinte e mai sommate. Il caveat dell’IMPACT trial è preservato: la riduzione diretta dei costi sanitari non raggiunge la significatività statistica, e il rendimento della formazione non è presentato come un risparmio fiscale diretto, ma come la produttività della spesa formativa, distinta sia dai risparmi diretti sia dai benefici indiretti.</w:t>
      </w:r>
    </w:p>
    <w:p>
      <w:pPr>
        <w:pStyle w:val="BodyText"/>
      </w:pPr>
      <w:r>
        <w:t xml:space="preserve">La quantificazione conferma dunque la superadditività del percorso integrato: la combinazione raggiunge un rapporto beneficio-costo compreso tra sette e otto a uno, superiore a quello di qualsiasi modalità singola, e il costo del programma formativo, dell’ordine di quattro milioni di euro l’anno, produce un differenziale di valore dell’ordine di ventotto-trentadue milioni di euro l’anno nello scenario base, mantenuto distinto dal saldo economico complessivo della riforma e dal suo rendimento vincolato all’ancora di Chisholm. Il meccanismo attraverso cui il rendimento della formazione si realizza — l’accelerazione dell’adozione delle competenze — è l’oggetto della voce seguente, che descrive le curve di adozione tecnologica e il rafforzamento delle competenze digitali dedicate all’Intelligenza Artificiale, e che chiude l’articolazione delle otto voci della parte.</w:t>
      </w:r>
    </w:p>
    <w:bookmarkEnd w:id="270"/>
    <w:bookmarkStart w:id="273" w:name="X284bbd2cf388def680c81dce0c1db618f24b446"/>
    <w:p>
      <w:pPr>
        <w:pStyle w:val="Heading2"/>
      </w:pPr>
      <w:r>
        <w:rPr>
          <w:b/>
          <w:bCs/>
        </w:rPr>
        <w:t xml:space="preserve">5.8 Le curve di adozione tecnologica e il rafforzamento delle competenze digitali pro-Intelligenza Artificiale</w:t>
      </w:r>
    </w:p>
    <w:p>
      <w:pPr>
        <w:pStyle w:val="FirstParagraph"/>
      </w:pPr>
      <w:r>
        <w:rPr>
          <w:i/>
          <w:iCs/>
        </w:rPr>
        <w:t xml:space="preserve">Questa voce descrive il modo in cui le competenze nuove, e in particolare quelle digitali e dedicate all’Intelligenza Artificiale, sono adottate nel tempo seguendo la curva di adozione tecnologica; spiega come le quattro modalità, e segnatamente l’affiancamento esperto, accelerino l’adozione nei primi dodici-diciotto mesi; distingue l’adozione della competenza dall’adozione dello strumento nella pratica; tratta l’accelerazione come previsione falsificabile entro bande prudenziali; e riconosce il rischio della mancata adozione e la sua dimensione di equità.</w:t>
      </w:r>
    </w:p>
    <w:p>
      <w:pPr>
        <w:pStyle w:val="BodyText"/>
      </w:pPr>
      <w:r>
        <w:t xml:space="preserve">L’adozione delle competenze nuove, e in particolare di quelle digitali e dedicate all’Intelligenza Artificiale, non avviene istantaneamente, ma segue una curva nel tempo. La letteratura sulla diffusione delle innovazioni descrive questa curva come una curva sigmoide, in cui l’adozione procede lentamente tra gli innovatori e i primi adottanti, accelera attraverso la maggioranza anticipatrice e la maggioranza ritardataria, e rallenta tra i ritardatari.</w:t>
      </w:r>
      <w:r>
        <w:rPr>
          <w:rStyle w:val="FootnoteReference"/>
        </w:rPr>
        <w:footnoteReference w:id="144"/>
      </w:r>
      <w:r>
        <w:t xml:space="preserve"> </w:t>
      </w:r>
      <w:r>
        <w:t xml:space="preserve">L’adozione delle competenze dedicate all’Intelligenza Artificiale da parte del personale del Servizio di Psicologia di Base segue questa regolarità, e la sua forma e la sua velocità determinano il tempo in cui la leva digitale produce il suo effetto pieno. La curva di adozione non è perciò un dettaglio accessorio, ma la dimensione temporale attraverso cui si realizza il rendimento della formazione: una competenza costruita ma non adottata non produce effetto, e l’effetto della leva digitale si misura non al momento in cui la competenza è acquisita, ma al momento in cui essa è adottata nella pratica.</w:t>
      </w:r>
    </w:p>
    <w:p>
      <w:pPr>
        <w:pStyle w:val="BodyText"/>
      </w:pPr>
      <w:r>
        <w:t xml:space="preserve">I determinanti dell’adozione sono individuati dalla letteratura sull’accettazione della tecnologia nell’utilità percepita e nella facilità d’uso percepita dello strumento.</w:t>
      </w:r>
      <w:r>
        <w:rPr>
          <w:rStyle w:val="FootnoteReference"/>
        </w:rPr>
        <w:footnoteReference w:id="145"/>
      </w:r>
      <w:r>
        <w:t xml:space="preserve"> </w:t>
      </w:r>
      <w:r>
        <w:t xml:space="preserve">Per gli strumenti di Intelligenza Artificiale della riforma, l’utilità percepita dipende dall’efficacia dimostrata, graduata secondo il sistema GRADE, e la facilità d’uso percepita dipende dalla competenza costruita dalla formazione. La formazione agisce perciò direttamente sui determinanti dell’adozione: essa costruisce la competenza che rende gli strumenti utilizzabili, agendo sulla facilità d’uso percepita, e, attraverso la dimostrazione dell’efficacia, sostiene la percezione dell’utilità. La curva di adozione non è dunque esogena, ma è plasmata dalla formazione, che ne determina in parte la velocità e l’ampiezza; e questa dipendenza della curva dalla formazione è ciò che consente alle modalità formative, e segnatamente all’affiancamento esperto, di accelerarla.</w:t>
      </w:r>
    </w:p>
    <w:p>
      <w:pPr>
        <w:pStyle w:val="BodyText"/>
      </w:pPr>
      <w:r>
        <w:t xml:space="preserve">Le quattro modalità accelerano la curva di adozione, e l’affiancamento esperto in misura più marcata. Come le schede infografiche delle voci precedenti hanno rappresentato, l’accompagnamento esperto comprime la curva di adozione, conducendo il personale all’adozione di regime nei primi dodici-diciotto mesi anziché in un arco più lungo. Questa accelerazione è il meccanismo attraverso cui si realizza il rendimento della formazione individuato nella voce precedente: la compressione della curva di adozione recupera il tempo che sarebbe altrimenti trascorso in adozione parziale, e lo converte in tempo di uso pieno della leva digitale. L’affiancamento esperto, e in particolare la figura competente nell’uso dell’Intelligenza Artificiale presente nello studio, opera precisamente su questo tratto della curva, accelerando l’adozione delle competenze più nuove ed esposte al rischio di un consolidamento scorretto, e correggendo nel contempo l’uso non corretto prima che si fissi. È in questa duplice funzione — accelerare l’adozione e correggerne la direzione — che l’affiancamento esperto produce il suo rendimento maggiore, segnatamente per le competenze pro-Intelligenza Artificiale.</w:t>
      </w:r>
    </w:p>
    <w:p>
      <w:pPr>
        <w:pStyle w:val="BodyText"/>
      </w:pPr>
      <w:r>
        <w:t xml:space="preserve">Una distinzione va tracciata tra l’adozione della competenza e l’adozione dello strumento nella pratica, poiché le due adozioni sono correlate ma non identiche. L’adozione della competenza è l’acquisizione, da parte del professionista, della capacità di usare lo strumento; l’adozione dello strumento nella pratica è l’inserimento dello strumento nella pratica abituale. La formazione produce la prima; la seconda dipende anche dall’organizzazione del servizio e dall’utilità percepita nel contesto reale. Un professionista può possedere la competenza senza adottare lo strumento nella pratica, se l’organizzazione non lo sostiene o se l’utilità non è percepita, e l’effetto pieno della leva digitale richiede entrambe le adozioni. La formazione agisce sulla prima e sostiene la seconda, ma la seconda richiede anche le condizioni organizzative descritte nella quarta parte; e la distinzione tra le due adozioni è essenziale affinché la valutazione non attribuisca alla sola formazione un effetto che dipende anche dall’organizzazione, in coerenza con la separazione delle leve abilitanti che l’opera mantiene.</w:t>
      </w:r>
    </w:p>
    <w:p>
      <w:pPr>
        <w:pStyle w:val="BodyText"/>
      </w:pPr>
      <w:r>
        <w:t xml:space="preserve">Il rafforzamento delle competenze digitali e pro-Intelligenza Artificiale nel tempo è l’effetto cumulativo del percorso combinato. Le certificazioni costruiscono la competenza a sé stante; l’uso sul posto di lavoro la consolida; l’affiancamento esperto la accelera e la corregge; e il percorso combinato la integra nel profilo professionale. Il rafforzamento non è perciò un evento singolo, ma un processo che si dispiega lungo la curva di adozione, e che la rapidità di evoluzione degli strumenti di Intelligenza Artificiale rende continuo: la competenza rafforzata oggi deve essere aggiornata domani, e la modalità post-universitaria, attraverso l’educazione continua e le certificazioni, è il canale di questo aggiornamento continuo. Il rafforzamento delle competenze pro-Intelligenza Artificiale è dunque un processo permanente e non un’acquisizione terminale, e questa permanenza è la ragione per cui le modalità dell’aggiornamento rapido — l’educazione continua e le certificazioni — conservano la loro necessità anche dopo che la competenza è stata acquisita e adottata, poiché l’adozione di oggi è esposta all’obsolescenza di domani.</w:t>
      </w:r>
    </w:p>
    <w:p>
      <w:pPr>
        <w:pStyle w:val="BodyText"/>
      </w:pPr>
      <w:r>
        <w:t xml:space="preserve">L’accelerazione della curva di adozione è una previsione falsificabile, e come tale va enunciata. La previsione afferma che l’accompagnamento esperto comprime la curva di adozione, conducendo il personale all’adozione di regime nei primi dodici-diciotto mesi; ed è falsificabile perché l’adozione può essere misurata — la quota del personale che ha adottato la competenza e lo strumento nel tempo — e la previsione è confutata se l’adozione non accelera come previsto. La previsione è contenuta entro le bande prudenziali del progetto, che impediscono all’accelerazione di essere sopravvalutata, e la graduazione GRADE si applica all’evidenza sull’efficacia degli strumenti di Intelligenza Artificiale di cui l’adozione è accelerata: l’accelerazione dell’adozione di uno strumento di efficacia incerta non produce un beneficio certo, e l’adozione è di valore solo nella misura in cui lo strumento è efficace. Questa subordinazione del valore dell’adozione all’efficacia dello strumento è coerente con il principio invariante dell’opera, secondo cui l’Intelligenza Artificiale è una leva abilitante il cui valore dipende dall’efficacia dimostrata e non dalla sola adozione.</w:t>
      </w:r>
    </w:p>
    <w:p>
      <w:pPr>
        <w:pStyle w:val="BodyText"/>
      </w:pPr>
      <w:r>
        <w:t xml:space="preserve">La curva di adozione comprende i ritardatari, ossia i professionisti che adottano lentamente o non adottano affatto, e il rischio della mancata adozione è reale e presenta due dimensioni. La prima è la dimensione di produttività: i professionisti che non adottano non realizzano il beneficio della leva digitale, e l’effetto pieno della leva richiede un’adozione elevata. La seconda è la dimensione di equità: se l’adozione si correla con caratteristiche dei professionisti — l’età, la competenza digitale pregressa, l’ambiente di lavoro — la mancata adozione può produrre un divario all’interno del personale, e questo divario può tradursi in un divario nel servizio offerto ai pazienti. La dimensione di equità dell’adozione, che la dodicesima parte riprenderà, richiede che la formazione sia progettata per raggiungere anche gli adottanti lenti, e che l’affiancamento esperto sia concentrato dove l’adozione è più lenta. Il rischio della mancata adozione è dunque non soltanto un rischio di produttività, ma un rischio di equità, e la formazione è lo strumento che mitiga entrambi, purché sia disegnata in modo da non lasciare indietro gli adottanti lenti. La tabella seguente riepiloga le fasi della curva di adozione, le loro caratteristiche e il ruolo delle modalità formative in ciascuna.</w:t>
      </w:r>
    </w:p>
    <w:p>
      <w:pPr>
        <w:pStyle w:val="BodyText"/>
      </w:pPr>
      <w:r>
        <w:rPr>
          <w:b/>
          <w:bCs/>
          <w:i/>
          <w:iCs/>
        </w:rPr>
        <w:t xml:space="preserve">Tabella 5.8.A — Le fasi della curva di adozione e il ruolo delle modalità formative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Fase di adozione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Modalità prevalente</w:t>
            </w:r>
          </w:p>
        </w:tc>
        <w:tc>
          <w:tcPr>
            <w:shd w:val="clear" w:color="auto" w:fill="16264B"/>
          </w:tcPr>
          <w:p>
            <w:pPr>
              <w:pStyle w:val="Compact"/>
              <w:spacing w:after="40" w:before="40"/>
              <w:jc w:val="left"/>
            </w:pPr>
            <w:r>
              <w:rPr>
                <w:rFonts w:ascii="Cambria" w:hAnsi="Cambria" w:cs="Cambria" w:eastAsia="Cambria"/>
                <w:b/>
                <w:bCs/>
                <w:color w:val="FFFFFF"/>
                <w:sz w:val="18"/>
              </w:rPr>
              <w:t xml:space="preserve">Effetto atteso</w:t>
            </w:r>
          </w:p>
        </w:tc>
      </w:tr>
      <w:tr>
        <w:tc>
          <w:tcPr/>
          <w:p>
            <w:pPr>
              <w:pStyle w:val="Compact"/>
              <w:spacing w:after="40" w:before="40"/>
              <w:jc w:val="left"/>
            </w:pPr>
            <w:r>
              <w:rPr>
                <w:rFonts w:ascii="Cambria" w:hAnsi="Cambria" w:cs="Cambria" w:eastAsia="Cambria"/>
                <w:b/>
                <w:bCs/>
                <w:color w:val="1A1A1A"/>
                <w:sz w:val="18"/>
              </w:rPr>
              <w:t xml:space="preserve">Innovatori e primi adottanti</w:t>
            </w:r>
          </w:p>
        </w:tc>
        <w:tc>
          <w:tcPr/>
          <w:p>
            <w:pPr>
              <w:pStyle w:val="Compact"/>
              <w:spacing w:after="40" w:before="40"/>
              <w:jc w:val="left"/>
            </w:pPr>
            <w:r>
              <w:rPr>
                <w:rFonts w:ascii="Cambria" w:hAnsi="Cambria" w:cs="Cambria" w:eastAsia="Cambria"/>
                <w:color w:val="1A1A1A"/>
                <w:sz w:val="18"/>
              </w:rPr>
              <w:t xml:space="preserve">Adozione precoce, competenza pregressa</w:t>
            </w:r>
          </w:p>
        </w:tc>
        <w:tc>
          <w:tcPr/>
          <w:p>
            <w:pPr>
              <w:pStyle w:val="Compact"/>
              <w:spacing w:after="40" w:before="40"/>
              <w:jc w:val="left"/>
            </w:pPr>
            <w:r>
              <w:rPr>
                <w:rFonts w:ascii="Cambria" w:hAnsi="Cambria" w:cs="Cambria" w:eastAsia="Cambria"/>
                <w:color w:val="1A1A1A"/>
                <w:sz w:val="18"/>
              </w:rPr>
              <w:t xml:space="preserve">Certificazioni, autoaggiornamento</w:t>
            </w:r>
          </w:p>
        </w:tc>
        <w:tc>
          <w:tcPr/>
          <w:p>
            <w:pPr>
              <w:pStyle w:val="Compact"/>
              <w:spacing w:after="40" w:before="40"/>
              <w:jc w:val="left"/>
            </w:pPr>
            <w:r>
              <w:rPr>
                <w:rFonts w:ascii="Cambria" w:hAnsi="Cambria" w:cs="Cambria" w:eastAsia="Cambria"/>
                <w:color w:val="1A1A1A"/>
                <w:sz w:val="18"/>
              </w:rPr>
              <w:t xml:space="preserve">Avvio dell’adozione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Maggioranza anticipatrice</w:t>
            </w:r>
          </w:p>
        </w:tc>
        <w:tc>
          <w:tcPr>
            <w:shd w:val="clear" w:color="auto" w:fill="F4F1EC"/>
          </w:tcPr>
          <w:p>
            <w:pPr>
              <w:pStyle w:val="Compact"/>
              <w:spacing w:after="40" w:before="40"/>
              <w:jc w:val="left"/>
            </w:pPr>
            <w:r>
              <w:rPr>
                <w:rFonts w:ascii="Cambria" w:hAnsi="Cambria" w:cs="Cambria" w:eastAsia="Cambria"/>
                <w:color w:val="1A1A1A"/>
                <w:sz w:val="18"/>
              </w:rPr>
              <w:t xml:space="preserve">Adozione su evidenza di utilità</w:t>
            </w:r>
          </w:p>
        </w:tc>
        <w:tc>
          <w:tcPr>
            <w:shd w:val="clear" w:color="auto" w:fill="F4F1EC"/>
          </w:tcPr>
          <w:p>
            <w:pPr>
              <w:pStyle w:val="Compact"/>
              <w:spacing w:after="40" w:before="40"/>
              <w:jc w:val="left"/>
            </w:pPr>
            <w:r>
              <w:rPr>
                <w:rFonts w:ascii="Cambria" w:hAnsi="Cambria" w:cs="Cambria" w:eastAsia="Cambria"/>
                <w:color w:val="1A1A1A"/>
                <w:sz w:val="18"/>
              </w:rPr>
              <w:t xml:space="preserve">Affiancamento esperto, formazione lavorativa</w:t>
            </w:r>
          </w:p>
        </w:tc>
        <w:tc>
          <w:tcPr>
            <w:shd w:val="clear" w:color="auto" w:fill="F4F1EC"/>
          </w:tcPr>
          <w:p>
            <w:pPr>
              <w:pStyle w:val="Compact"/>
              <w:spacing w:after="40" w:before="40"/>
              <w:jc w:val="left"/>
            </w:pPr>
            <w:r>
              <w:rPr>
                <w:rFonts w:ascii="Cambria" w:hAnsi="Cambria" w:cs="Cambria" w:eastAsia="Cambria"/>
                <w:color w:val="1A1A1A"/>
                <w:sz w:val="18"/>
              </w:rPr>
              <w:t xml:space="preserve">Accelerazione (12–18 mesi)</w:t>
            </w:r>
          </w:p>
        </w:tc>
      </w:tr>
      <w:tr>
        <w:tc>
          <w:tcPr/>
          <w:p>
            <w:pPr>
              <w:pStyle w:val="Compact"/>
              <w:spacing w:after="40" w:before="40"/>
              <w:jc w:val="left"/>
            </w:pPr>
            <w:r>
              <w:rPr>
                <w:rFonts w:ascii="Cambria" w:hAnsi="Cambria" w:cs="Cambria" w:eastAsia="Cambria"/>
                <w:b/>
                <w:bCs/>
                <w:color w:val="1A1A1A"/>
                <w:sz w:val="18"/>
              </w:rPr>
              <w:t xml:space="preserve">Maggioranza ritardataria</w:t>
            </w:r>
          </w:p>
        </w:tc>
        <w:tc>
          <w:tcPr/>
          <w:p>
            <w:pPr>
              <w:pStyle w:val="Compact"/>
              <w:spacing w:after="40" w:before="40"/>
              <w:jc w:val="left"/>
            </w:pPr>
            <w:r>
              <w:rPr>
                <w:rFonts w:ascii="Cambria" w:hAnsi="Cambria" w:cs="Cambria" w:eastAsia="Cambria"/>
                <w:color w:val="1A1A1A"/>
                <w:sz w:val="18"/>
              </w:rPr>
              <w:t xml:space="preserve">Adozione su consolidamento dell’uso</w:t>
            </w:r>
          </w:p>
        </w:tc>
        <w:tc>
          <w:tcPr/>
          <w:p>
            <w:pPr>
              <w:pStyle w:val="Compact"/>
              <w:spacing w:after="40" w:before="40"/>
              <w:jc w:val="left"/>
            </w:pPr>
            <w:r>
              <w:rPr>
                <w:rFonts w:ascii="Cambria" w:hAnsi="Cambria" w:cs="Cambria" w:eastAsia="Cambria"/>
                <w:color w:val="1A1A1A"/>
                <w:sz w:val="18"/>
              </w:rPr>
              <w:t xml:space="preserve">Affiancamento mirato, comunità di pratica</w:t>
            </w:r>
          </w:p>
        </w:tc>
        <w:tc>
          <w:tcPr/>
          <w:p>
            <w:pPr>
              <w:pStyle w:val="Compact"/>
              <w:spacing w:after="40" w:before="40"/>
              <w:jc w:val="left"/>
            </w:pPr>
            <w:r>
              <w:rPr>
                <w:rFonts w:ascii="Cambria" w:hAnsi="Cambria" w:cs="Cambria" w:eastAsia="Cambria"/>
                <w:color w:val="1A1A1A"/>
                <w:sz w:val="18"/>
              </w:rPr>
              <w:t xml:space="preserve">Estensione dell’adozione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Ritardatari</w:t>
            </w:r>
          </w:p>
        </w:tc>
        <w:tc>
          <w:tcPr>
            <w:shd w:val="clear" w:color="auto" w:fill="F4F1EC"/>
          </w:tcPr>
          <w:p>
            <w:pPr>
              <w:pStyle w:val="Compact"/>
              <w:spacing w:after="40" w:before="40"/>
              <w:jc w:val="left"/>
            </w:pPr>
            <w:r>
              <w:rPr>
                <w:rFonts w:ascii="Cambria" w:hAnsi="Cambria" w:cs="Cambria" w:eastAsia="Cambria"/>
                <w:color w:val="1A1A1A"/>
                <w:sz w:val="18"/>
              </w:rPr>
              <w:t xml:space="preserve">Adozione lenta o assente</w:t>
            </w:r>
          </w:p>
        </w:tc>
        <w:tc>
          <w:tcPr>
            <w:shd w:val="clear" w:color="auto" w:fill="F4F1EC"/>
          </w:tcPr>
          <w:p>
            <w:pPr>
              <w:pStyle w:val="Compact"/>
              <w:spacing w:after="40" w:before="40"/>
              <w:jc w:val="left"/>
            </w:pPr>
            <w:r>
              <w:rPr>
                <w:rFonts w:ascii="Cambria" w:hAnsi="Cambria" w:cs="Cambria" w:eastAsia="Cambria"/>
                <w:color w:val="1A1A1A"/>
                <w:sz w:val="18"/>
              </w:rPr>
              <w:t xml:space="preserve">Affiancamento concentrato, sostegno dedicato</w:t>
            </w:r>
          </w:p>
        </w:tc>
        <w:tc>
          <w:tcPr>
            <w:shd w:val="clear" w:color="auto" w:fill="F4F1EC"/>
          </w:tcPr>
          <w:p>
            <w:pPr>
              <w:pStyle w:val="Compact"/>
              <w:spacing w:after="40" w:before="40"/>
              <w:jc w:val="left"/>
            </w:pPr>
            <w:r>
              <w:rPr>
                <w:rFonts w:ascii="Cambria" w:hAnsi="Cambria" w:cs="Cambria" w:eastAsia="Cambria"/>
                <w:color w:val="1A1A1A"/>
                <w:sz w:val="18"/>
              </w:rPr>
              <w:t xml:space="preserve">Mitigazione del divario (equità)</w:t>
            </w:r>
          </w:p>
        </w:tc>
      </w:tr>
    </w:tbl>
    <w:p>
      <w:pPr>
        <w:pStyle w:val="BodyText"/>
      </w:pPr>
      <w:r>
        <w:t xml:space="preserve">La dinamica dell’adozione e l’effetto dell’affiancamento esperto su di essa possono essere rappresentati nella loro forma essenziale, che la scheda infografica seguente sintetizza. Essa mostra la curva di adozione delle competenze digitali nel tempo, distingue la curva con affiancamento da quella senza, e colloca le categorie di adottanti lungo la curva, evidenziando il tratto in cui l’affiancamento esperto comprime l’adozione nei primi dodici-diciotto mesi; ed è la rappresentazione del meccanismo temporale attraverso cui il rendimento della formazione, quantificato nella voce precedente, si realizza.</w:t>
      </w:r>
    </w:p>
    <w:p>
      <w:pPr>
        <w:pStyle w:val="BodyText"/>
      </w:pPr>
      <w:r>
        <w:t xml:space="preserve">Con la descrizione delle curve di adozione e del rafforzamento delle competenze digitali pro-Intelligenza Artificiale si chiude l’articolazione delle otto voci della parte. Esse hanno determinato il fabbisogno formativo integrale, esaminato le quattro modalità a sé stanti, considerato la loro combinazione, misurato il costo e il rendimento del percorso, e descritto la dinamica temporale dell’adozione delle competenze; e hanno così risposto al duplice mandato, considerando la formazione nella sua estensione integrale, valutando le modalità sia singolarmente sia in combinazione, trattando le competenze pro-Intelligenza Artificiale al contempo a sé stanti e congiunte, e collocando l’Intelligenza Artificiale nella posizione subordinata di leva abilitante. Resta da comporre, nel quadro conclusivo, la sintesi economico-sociale e multidisciplinare integrale della parte, che ne ricapitola i risultati e ne dichiara le connessioni con la cascata delle figure e con il perimetro dei domini.</w:t>
      </w:r>
    </w:p>
    <w:bookmarkEnd w:id="273"/>
    <w:bookmarkStart w:id="274" w:name="Xacc7b24b9635916d1749f9120f1d505c23a9e19"/>
    <w:p>
      <w:pPr>
        <w:pStyle w:val="Heading1"/>
      </w:pPr>
      <w:r>
        <w:rPr>
          <w:b/>
          <w:bCs/>
        </w:rPr>
        <w:t xml:space="preserve">Quadro Conclusivo economico-sociale e multidisciplinare integrale</w:t>
      </w:r>
    </w:p>
    <w:p>
      <w:pPr>
        <w:pStyle w:val="FirstParagraph"/>
      </w:pPr>
      <w:r>
        <w:rPr>
          <w:i/>
          <w:iCs/>
        </w:rPr>
        <w:t xml:space="preserve">Questo quadro compone la sintesi economico-sociale e multidisciplinare integrale della quinta parte. Esso ricapitola il costo e il rendimento della formazione mantenendoli distinti dal saldo complessivo della riforma, ricostruisce la connessione della formazione con la cascata delle figure e con il perimetro dei domini, distingue le ricadute dirette da quelle indirette secondo la regola di non duplicazione, e preserva i vincoli invarianti dell’opera — l’ancora di Chisholm, il caveat dell’IMPACT trial, le bande prudenziali e la falsificabilità delle previsioni.</w:t>
      </w:r>
    </w:p>
    <w:p>
      <w:pPr>
        <w:pStyle w:val="BodyText"/>
      </w:pPr>
      <w:r>
        <w:t xml:space="preserve">La sintesi economica della quinta parte si fonda su una distinzione che ne governa l’intera trattazione e che il quadro conclusivo ribadisce. Il costo della formazione, dell’ordine di quattro milioni di euro l’anno nello scenario base, è il costo della componente incrementale interna al perimetro della riforma, distinto dai costi esterni — la laurea, l’obbligo generale dell’educazione continua — che gravano sul sistema dell’istruzione e sul professionista e che la riforma non genera. Tale costo è una componente dei costi diretti della riforma, che la settima parte dell’opera quantifica nel loro insieme, e non un saldo a sé stante; esso entra nel computo dei costi diretti accanto al costo del personale, ai costi di struttura e al costo incrementale della leva digitale, e va sommato a essi, non confuso con essi. La formazione, in questo senso, ha un costo che la riforma sostiene, e la sua collocazione tra i costi diretti è il primo elemento della sintesi economica.</w:t>
      </w:r>
    </w:p>
    <w:p>
      <w:pPr>
        <w:pStyle w:val="BodyText"/>
      </w:pPr>
      <w:r>
        <w:t xml:space="preserve">Il rendimento della formazione è il secondo elemento della sintesi economica, ed è espresso da un rapporto che va tenuto rigorosamente distinto dal rendimento complessivo della riforma. Il rapporto beneficio-costo formativo, compreso tra sette e otto a uno, misura la produttività della spesa formativa, ossia il rendimento dei quattro milioni di euro investiti nella formazione, e corrisponde a un differenziale di valore dell’ordine di ventotto-trentadue milioni di euro l’anno nello scenario base. Questo rapporto non è il rendimento della riforma, che è vincolato all’ancora di Chisholm — compreso tra 2,3 e 3,0 a uno per i soli benefici economici e tra 3,3 e 5,7 a uno con l’inclusione dei ritorni in salute — e che la decima parte determina. I due rapporti misurano grandezze diverse, e la loro distinzione è condizione della correttezza della sintesi: il rapporto formativo dice quanto rende la spesa formativa, il rapporto della riforma dice quanto rende l’intera riforma, e confonderli o sommarli produrrebbe una duplicazione che la regola invariante vieta. Il caveat dell’IMPACT trial è qui preservato: il rendimento della formazione non è un risparmio fiscale diretto, poiché la riduzione diretta dei costi sanitari non raggiunge la significatività statistica, ma la produttività di una spesa, che si manifesta in parte come efficienza del servizio e in parte come beneficio sociale diffuso.</w:t>
      </w:r>
    </w:p>
    <w:p>
      <w:pPr>
        <w:pStyle w:val="BodyText"/>
      </w:pPr>
      <w:r>
        <w:t xml:space="preserve">La sintesi sociale e multidisciplinare della quinta parte muove dal riconoscimento della funzione della formazione come infrastruttura immateriale della riforma. La formazione non produce direttamente i benefici multidominio che la riforma genera, ma costruisce la competenza che consente allo Psicologo di Base di produrli: è la competenza formata che intercetta precocemente il disagio, che opera nella coppia clinica, che usa correttamente la leva digitale, e che attraverso queste azioni propaga i propri effetti lungo la cascata delle figure e il perimetro dei domini. La formazione è perciò connessa al perimetro multidisciplinare integrale in un duplice modo: direttamente, in quanto incide su alcuni domini in via immediata; e indirettamente, in quanto abilita i benefici in tutti gli altri domini attraverso la competenza che costruisce. Questa duplice connessione è il contenuto proprio della sintesi multidisciplinare della parte, e va ricostruita distinguendo i domini su cui la formazione incide direttamente da quelli che essa abilita indirettamente.</w:t>
      </w:r>
    </w:p>
    <w:p>
      <w:pPr>
        <w:pStyle w:val="BodyText"/>
      </w:pPr>
      <w:r>
        <w:t xml:space="preserve">I domini su cui la formazione incide direttamente sono quattro. Il dominio formativo è il dominio proprio della formazione, che la riforma alimenta attraverso la domanda di percorsi formativi nuovi — i master dedicati, l’educazione continua mirata, le certificazioni — e che ne riceve un impulso alla qualificazione dell’offerta. Il dominio accademico è inciso dalla formazione attraverso l’adeguamento dei curricula universitari e l’istituzione di master, che orientano l’università verso le competenze delle cure primarie e della salute digitale, con una ricaduta sulla ricerca e sull’innovazione. Il dominio lavorativo è inciso dalla formazione attraverso la qualificazione del personale, che accresce la capacità professionale della forza lavoro sanitaria e ne migliora la collocazione e la produttività. Il dominio culturale è inciso dalla formazione attraverso l’alfabetizzazione psicologica e digitale che essa diffonde, sia tra i professionisti sia, indirettamente, tra i pazienti che ne ricevono il servizio. Su questi quattro domini la formazione produce un effetto diretto, che si aggiunge ai benefici prodotti dal servizio e non si confonde con essi.</w:t>
      </w:r>
    </w:p>
    <w:p>
      <w:pPr>
        <w:pStyle w:val="BodyText"/>
      </w:pPr>
      <w:r>
        <w:t xml:space="preserve">I domini che la formazione abilita indirettamente sono tutti gli altri del perimetro multidisciplinare integrale, e la connessione è mediata dalla competenza che la formazione costruisce. Il dominio sanitario, il dominio lavorativo nella sua dimensione di assenteismo e presenteismo, il dominio pensionistico, il dominio produttivistico, il dominio assistenzialistico, il dominio welfaristico, il dominio prevenzionalistico, il dominio criminologico, il dominio burocratico, il dominio pedagogico e scolastico, il dominio sociale e il dominio finanziario sono tutti raggiunti dalla riforma attraverso l’azione dello Psicologo di Base potenziato dalle leve abilitanti, e quell’azione presuppone la competenza che la formazione costruisce. La formazione è perciò la condizione abilitante dei benefici multidominio: essa non li produce direttamente, ma li rende possibili, poiché senza la competenza formata l’azione che li produce non avrebbe luogo. Questa connessione indiretta della formazione con l’intero perimetro dei domini è la ragione per cui la formazione è trattata come pilastro trasversale dell’opera, e non come una sua parte settoriale: essa attraversa l’intero perimetro, direttamente per quattro domini e indirettamente per tutti gli altri, e la sua omissione comprometterebbe l’intera architettura dei benefici.</w:t>
      </w:r>
    </w:p>
    <w:p>
      <w:pPr>
        <w:pStyle w:val="BodyText"/>
      </w:pPr>
      <w:r>
        <w:t xml:space="preserve">La regola di non duplicazione governa anche questa sintesi multidisciplinare, e va applicata con il consueto rigore. I benefici che la formazione abilita indirettamente — i benefici multidominio prodotti dallo Psicologo di Base — non sono attribuiti alla formazione, ma all’azione del servizio che la formazione abilita, e sono quantificati nella nona parte, dedicata ai costi e ai benefici indiretti; attribuirli anche alla formazione costituirebbe una duplicazione, poiché lo stesso beneficio sarebbe contato due volte, una come effetto del servizio e una come effetto della formazione. La formazione è perciò la condizione abilitante dei benefici multidominio, ma non la loro causa diretta, e il suo rendimento proprio — il rapporto beneficio-costo formativo — misura la produttività della spesa formativa, non i benefici multidominio, che sono attribuiti al servizio. Questa distinzione tra la formazione come condizione abilitante e il servizio come causa diretta dei benefici è ciò che consente di tenere distinte le grandezze e di evitare la duplicazione, e va conservata nella valutazione economica integrata della decima parte, dove il rendimento della formazione e i benefici del servizio sono composti senza essere confusi.</w:t>
      </w:r>
    </w:p>
    <w:p>
      <w:pPr>
        <w:pStyle w:val="BodyText"/>
      </w:pPr>
      <w:r>
        <w:t xml:space="preserve">Le previsioni falsificabili della quinta parte, infine, sono due, ed entrambe sono contenute entro le bande prudenziali dell’opera. La prima previsione riguarda il rendimento della formazione: il rapporto beneficio-costo formativo è previsto entro la banda compresa tra sette e otto a uno, ed è falsificabile perché il differenziale di valore prodotto dalla formazione può essere misurato, e la previsione è confutata se il rapporto cade fuori della banda. La seconda previsione riguarda la curva di adozione: l’affiancamento esperto è previsto comprimere la curva di adozione delle competenze digitali nei primi dodici-diciotto mesi, ed è falsificabile perché l’adozione può essere misurata, e la previsione è confutata se l’adozione non accelera come previsto. Entrambe le previsioni sono subordinate, per la parte relativa all’Intelligenza Artificiale, alla graduazione GRADE dell’efficacia degli strumenti, poiché il valore dell’adozione di uno strumento dipende dalla sua efficacia dimostrata. La tabella seguente compone la sintesi economico-multidisciplinare della parte, distinguendo le grandezze dirette da quelle indirette e ricapitolando le previsioni.</w:t>
      </w:r>
    </w:p>
    <w:p>
      <w:pPr>
        <w:pStyle w:val="BodyText"/>
      </w:pPr>
      <w:r>
        <w:rPr>
          <w:b/>
          <w:bCs/>
          <w:i/>
          <w:iCs/>
        </w:rPr>
        <w:t xml:space="preserve">Tabella riepilogativa — Sintesi economico-sociale e multidisciplinare integrale della Parte V</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w:t>
            </w:r>
          </w:p>
        </w:tc>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w:t>
            </w:r>
          </w:p>
        </w:tc>
        <w:tc>
          <w:tcPr>
            <w:shd w:val="clear" w:color="auto" w:fill="16264B"/>
          </w:tcPr>
          <w:p>
            <w:pPr>
              <w:pStyle w:val="Compact"/>
              <w:spacing w:after="40" w:before="40"/>
              <w:jc w:val="left"/>
            </w:pPr>
            <w:r>
              <w:rPr>
                <w:rFonts w:ascii="Cambria" w:hAnsi="Cambria" w:cs="Cambria" w:eastAsia="Cambria"/>
                <w:b/>
                <w:bCs/>
                <w:color w:val="FFFFFF"/>
                <w:sz w:val="18"/>
              </w:rPr>
              <w:t xml:space="preserve">Vincolo invariante</w:t>
            </w:r>
          </w:p>
        </w:tc>
      </w:tr>
      <w:tr>
        <w:tc>
          <w:tcPr/>
          <w:p>
            <w:pPr>
              <w:pStyle w:val="Compact"/>
              <w:spacing w:after="40" w:before="40"/>
              <w:jc w:val="left"/>
            </w:pPr>
            <w:r>
              <w:rPr>
                <w:rFonts w:ascii="Cambria" w:hAnsi="Cambria" w:cs="Cambria" w:eastAsia="Cambria"/>
                <w:b/>
                <w:bCs/>
                <w:color w:val="1A1A1A"/>
                <w:sz w:val="18"/>
              </w:rPr>
              <w:t xml:space="preserve">Costo della formazione</w:t>
            </w:r>
          </w:p>
        </w:tc>
        <w:tc>
          <w:tcPr/>
          <w:p>
            <w:pPr>
              <w:pStyle w:val="Compact"/>
              <w:spacing w:after="40" w:before="40"/>
              <w:jc w:val="left"/>
            </w:pPr>
            <w:r>
              <w:rPr>
                <w:rFonts w:ascii="Cambria" w:hAnsi="Cambria" w:cs="Cambria" w:eastAsia="Cambria"/>
                <w:color w:val="1A1A1A"/>
                <w:sz w:val="18"/>
              </w:rPr>
              <w:t xml:space="preserve">~4,0 mln €/anno (incrementale, scenario base)</w:t>
            </w:r>
          </w:p>
        </w:tc>
        <w:tc>
          <w:tcPr/>
          <w:p>
            <w:pPr>
              <w:pStyle w:val="Compact"/>
              <w:spacing w:after="40" w:before="40"/>
              <w:jc w:val="left"/>
            </w:pPr>
            <w:r>
              <w:rPr>
                <w:rFonts w:ascii="Cambria" w:hAnsi="Cambria" w:cs="Cambria" w:eastAsia="Cambria"/>
                <w:color w:val="1A1A1A"/>
                <w:sz w:val="18"/>
              </w:rPr>
              <w:t xml:space="preserve">Diretta (componente dei costi diretti, Parte VII)</w:t>
            </w:r>
          </w:p>
        </w:tc>
        <w:tc>
          <w:tcPr/>
          <w:p>
            <w:pPr>
              <w:pStyle w:val="Compact"/>
              <w:spacing w:after="40" w:before="40"/>
              <w:jc w:val="left"/>
            </w:pPr>
            <w:r>
              <w:rPr>
                <w:rFonts w:ascii="Cambria" w:hAnsi="Cambria" w:cs="Cambria" w:eastAsia="Cambria"/>
                <w:color w:val="1A1A1A"/>
                <w:sz w:val="18"/>
              </w:rPr>
              <w:t xml:space="preserve">Distinto dai costi esterni; sommato agli altri costi diretti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Rendimento della formazione</w:t>
            </w:r>
          </w:p>
        </w:tc>
        <w:tc>
          <w:tcPr>
            <w:shd w:val="clear" w:color="auto" w:fill="F4F1EC"/>
          </w:tcPr>
          <w:p>
            <w:pPr>
              <w:pStyle w:val="Compact"/>
              <w:spacing w:after="40" w:before="40"/>
              <w:jc w:val="left"/>
            </w:pPr>
            <w:r>
              <w:rPr>
                <w:rFonts w:ascii="Cambria" w:hAnsi="Cambria" w:cs="Cambria" w:eastAsia="Cambria"/>
                <w:color w:val="1A1A1A"/>
                <w:sz w:val="18"/>
              </w:rPr>
              <w:t xml:space="preserve">Rapporto beneficio-costo 7–8:1; differenziale ~28–32 mln €/anno</w:t>
            </w:r>
          </w:p>
        </w:tc>
        <w:tc>
          <w:tcPr>
            <w:shd w:val="clear" w:color="auto" w:fill="F4F1EC"/>
          </w:tcPr>
          <w:p>
            <w:pPr>
              <w:pStyle w:val="Compact"/>
              <w:spacing w:after="40" w:before="40"/>
              <w:jc w:val="left"/>
            </w:pPr>
            <w:r>
              <w:rPr>
                <w:rFonts w:ascii="Cambria" w:hAnsi="Cambria" w:cs="Cambria" w:eastAsia="Cambria"/>
                <w:color w:val="1A1A1A"/>
                <w:sz w:val="18"/>
              </w:rPr>
              <w:t xml:space="preserve">Produttività della spesa formativa</w:t>
            </w:r>
          </w:p>
        </w:tc>
        <w:tc>
          <w:tcPr>
            <w:shd w:val="clear" w:color="auto" w:fill="F4F1EC"/>
          </w:tcPr>
          <w:p>
            <w:pPr>
              <w:pStyle w:val="Compact"/>
              <w:spacing w:after="40" w:before="40"/>
              <w:jc w:val="left"/>
            </w:pPr>
            <w:r>
              <w:rPr>
                <w:rFonts w:ascii="Cambria" w:hAnsi="Cambria" w:cs="Cambria" w:eastAsia="Cambria"/>
                <w:color w:val="1A1A1A"/>
                <w:sz w:val="18"/>
              </w:rPr>
              <w:t xml:space="preserve">Distinto dal rendimento della riforma (Chisholm)</w:t>
            </w:r>
          </w:p>
        </w:tc>
      </w:tr>
      <w:tr>
        <w:tc>
          <w:tcPr/>
          <w:p>
            <w:pPr>
              <w:pStyle w:val="Compact"/>
              <w:spacing w:after="40" w:before="40"/>
              <w:jc w:val="left"/>
            </w:pPr>
            <w:r>
              <w:rPr>
                <w:rFonts w:ascii="Cambria" w:hAnsi="Cambria" w:cs="Cambria" w:eastAsia="Cambria"/>
                <w:b/>
                <w:bCs/>
                <w:color w:val="1A1A1A"/>
                <w:sz w:val="18"/>
              </w:rPr>
              <w:t xml:space="preserve">Domini incisi direttamente</w:t>
            </w:r>
          </w:p>
        </w:tc>
        <w:tc>
          <w:tcPr/>
          <w:p>
            <w:pPr>
              <w:pStyle w:val="Compact"/>
              <w:spacing w:after="40" w:before="40"/>
              <w:jc w:val="left"/>
            </w:pPr>
            <w:r>
              <w:rPr>
                <w:rFonts w:ascii="Cambria" w:hAnsi="Cambria" w:cs="Cambria" w:eastAsia="Cambria"/>
                <w:color w:val="1A1A1A"/>
                <w:sz w:val="18"/>
              </w:rPr>
              <w:t xml:space="preserve">Formativo, accademico, lavorativo, culturale</w:t>
            </w:r>
          </w:p>
        </w:tc>
        <w:tc>
          <w:tcPr/>
          <w:p>
            <w:pPr>
              <w:pStyle w:val="Compact"/>
              <w:spacing w:after="40" w:before="40"/>
              <w:jc w:val="left"/>
            </w:pPr>
            <w:r>
              <w:rPr>
                <w:rFonts w:ascii="Cambria" w:hAnsi="Cambria" w:cs="Cambria" w:eastAsia="Cambria"/>
                <w:color w:val="1A1A1A"/>
                <w:sz w:val="18"/>
              </w:rPr>
              <w:t xml:space="preserve">Diretta</w:t>
            </w:r>
          </w:p>
        </w:tc>
        <w:tc>
          <w:tcPr/>
          <w:p>
            <w:pPr>
              <w:pStyle w:val="Compact"/>
              <w:spacing w:after="40" w:before="40"/>
              <w:jc w:val="left"/>
            </w:pPr>
            <w:r>
              <w:rPr>
                <w:rFonts w:ascii="Cambria" w:hAnsi="Cambria" w:cs="Cambria" w:eastAsia="Cambria"/>
                <w:color w:val="1A1A1A"/>
                <w:sz w:val="18"/>
              </w:rPr>
              <w:t xml:space="preserve">Non duplicata con i benefici del servizio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Domini abilitati indirettamente</w:t>
            </w:r>
          </w:p>
        </w:tc>
        <w:tc>
          <w:tcPr>
            <w:shd w:val="clear" w:color="auto" w:fill="F4F1EC"/>
          </w:tcPr>
          <w:p>
            <w:pPr>
              <w:pStyle w:val="Compact"/>
              <w:spacing w:after="40" w:before="40"/>
              <w:jc w:val="left"/>
            </w:pPr>
            <w:r>
              <w:rPr>
                <w:rFonts w:ascii="Cambria" w:hAnsi="Cambria" w:cs="Cambria" w:eastAsia="Cambria"/>
                <w:color w:val="1A1A1A"/>
                <w:sz w:val="18"/>
              </w:rPr>
              <w:t xml:space="preserve">Tutti gli altri domini del perimetro</w:t>
            </w:r>
          </w:p>
        </w:tc>
        <w:tc>
          <w:tcPr>
            <w:shd w:val="clear" w:color="auto" w:fill="F4F1EC"/>
          </w:tcPr>
          <w:p>
            <w:pPr>
              <w:pStyle w:val="Compact"/>
              <w:spacing w:after="40" w:before="40"/>
              <w:jc w:val="left"/>
            </w:pPr>
            <w:r>
              <w:rPr>
                <w:rFonts w:ascii="Cambria" w:hAnsi="Cambria" w:cs="Cambria" w:eastAsia="Cambria"/>
                <w:color w:val="1A1A1A"/>
                <w:sz w:val="18"/>
              </w:rPr>
              <w:t xml:space="preserve">Indiretta (condizione abilitante)</w:t>
            </w:r>
          </w:p>
        </w:tc>
        <w:tc>
          <w:tcPr>
            <w:shd w:val="clear" w:color="auto" w:fill="F4F1EC"/>
          </w:tcPr>
          <w:p>
            <w:pPr>
              <w:pStyle w:val="Compact"/>
              <w:spacing w:after="40" w:before="40"/>
              <w:jc w:val="left"/>
            </w:pPr>
            <w:r>
              <w:rPr>
                <w:rFonts w:ascii="Cambria" w:hAnsi="Cambria" w:cs="Cambria" w:eastAsia="Cambria"/>
                <w:color w:val="1A1A1A"/>
                <w:sz w:val="18"/>
              </w:rPr>
              <w:t xml:space="preserve">Attribuiti al servizio, non alla formazione (non duplicazione)</w:t>
            </w:r>
          </w:p>
        </w:tc>
      </w:tr>
      <w:tr>
        <w:tc>
          <w:tcPr/>
          <w:p>
            <w:pPr>
              <w:pStyle w:val="Compact"/>
              <w:spacing w:after="40" w:before="40"/>
              <w:jc w:val="left"/>
            </w:pPr>
            <w:r>
              <w:rPr>
                <w:rFonts w:ascii="Cambria" w:hAnsi="Cambria" w:cs="Cambria" w:eastAsia="Cambria"/>
                <w:b/>
                <w:bCs/>
                <w:color w:val="1A1A1A"/>
                <w:sz w:val="18"/>
              </w:rPr>
              <w:t xml:space="preserve">Previsioni falsificabili</w:t>
            </w:r>
          </w:p>
        </w:tc>
        <w:tc>
          <w:tcPr/>
          <w:p>
            <w:pPr>
              <w:pStyle w:val="Compact"/>
              <w:spacing w:after="40" w:before="40"/>
              <w:jc w:val="left"/>
            </w:pPr>
            <w:r>
              <w:rPr>
                <w:rFonts w:ascii="Cambria" w:hAnsi="Cambria" w:cs="Cambria" w:eastAsia="Cambria"/>
                <w:color w:val="1A1A1A"/>
                <w:sz w:val="18"/>
              </w:rPr>
              <w:t xml:space="preserve">Banda del rapporto formativo; compressione della curva (12–18 mesi)</w:t>
            </w:r>
          </w:p>
        </w:tc>
        <w:tc>
          <w:tcPr/>
          <w:p>
            <w:pPr>
              <w:pStyle w:val="Compact"/>
              <w:spacing w:after="40" w:before="40"/>
              <w:jc w:val="left"/>
            </w:pPr>
            <w:r>
              <w:rPr>
                <w:rFonts w:ascii="Cambria" w:hAnsi="Cambria" w:cs="Cambria" w:eastAsia="Cambria"/>
                <w:color w:val="1A1A1A"/>
                <w:sz w:val="18"/>
              </w:rPr>
              <w:t xml:space="preserve">Predittiva</w:t>
            </w:r>
          </w:p>
        </w:tc>
        <w:tc>
          <w:tcPr/>
          <w:p>
            <w:pPr>
              <w:pStyle w:val="Compact"/>
              <w:spacing w:after="40" w:before="40"/>
              <w:jc w:val="left"/>
            </w:pPr>
            <w:r>
              <w:rPr>
                <w:rFonts w:ascii="Cambria" w:hAnsi="Cambria" w:cs="Cambria" w:eastAsia="Cambria"/>
                <w:color w:val="1A1A1A"/>
                <w:sz w:val="18"/>
              </w:rPr>
              <w:t xml:space="preserve">Bande prudenziali; GRADE sull’efficacia degli strumenti</w:t>
            </w:r>
          </w:p>
        </w:tc>
      </w:tr>
    </w:tbl>
    <w:bookmarkEnd w:id="274"/>
    <w:bookmarkStart w:id="275" w:name="conclusione-3"/>
    <w:p>
      <w:pPr>
        <w:pStyle w:val="Heading1"/>
      </w:pPr>
      <w:r>
        <w:rPr>
          <w:b/>
          <w:bCs/>
        </w:rPr>
        <w:t xml:space="preserve">Conclusione</w:t>
      </w:r>
    </w:p>
    <w:p>
      <w:pPr>
        <w:pStyle w:val="FirstParagraph"/>
      </w:pPr>
      <w:r>
        <w:t xml:space="preserve">La quinta parte ha trattato la formazione del personale come pilastro trasversale della riforma del Servizio di Psicologia di Base in Puglia, e ha portato a compimento il duplice mandato che la governava. Essa ha considerato la formazione nella sua estensione integrale, comprensiva delle competenze cliniche, organizzative, relazionali e digitali, e tra queste ultime delle competenze dedicate all’uso dell’Intelligenza Artificiale; e ha valutato le quattro modalità attraverso cui la formazione si realizza — universitaria, post-universitaria, lavorativa e per affiancamento di figure esperte — sia singolarmente, ciascuna con i propri costi, tempi e rendimenti, sia congiuntamente, come percorso formativo integrato. Le competenze dedicate all’Intelligenza Artificiale sono state trattate, in aderenza al mandato, al contempo a sé stanti, come oggetto formativo proprio delle certificazioni, e congiunte alle altre, come componente del profilo integrato dello Psicologo di Base; e l’Intelligenza Artificiale è stata collocata, in tutta la parte, nella posizione subordinata di leva abilitante, mai come oggetto centrale, sempre come strumento subordinato alla competenza clinica e alla supervisione umana.</w:t>
      </w:r>
    </w:p>
    <w:p>
      <w:pPr>
        <w:pStyle w:val="BodyText"/>
      </w:pPr>
      <w:r>
        <w:t xml:space="preserve">La parte ha mostrato che le quattro modalità non sono alternative tra cui scegliere, ma componenti complementari di un percorso integrato, in cui il limite di ciascuna è compensato dalla funzione di un’altra: la formazione universitaria costruisce il fondamento durevole, la formazione post-universitaria lo aggiorna rapidamente, la formazione lavorativa lo traduce in pratica e l’affiancamento esperto ne accelera l’adozione e ne corregge gli errori. Da questa complementarità discende la superadditività del percorso integrato, che rende più della somma delle modalità isolate perché copre tutti e quattro i livelli del modello di Kirkpatrick, dove ciascuna modalità isolata ne copre solo alcuni. La quantificazione, condotta con i modelli di Kirkpatrick e Phillips, ha confermato la superadditività: il percorso integrato raggiunge un rapporto beneficio-costo formativo compreso tra sette e otto a uno, superiore a quello di qualsiasi modalità singola, a fronte di un costo del programma formativo dell’ordine di quattro milioni di euro l’anno nello scenario base.</w:t>
      </w:r>
    </w:p>
    <w:p>
      <w:pPr>
        <w:pStyle w:val="BodyText"/>
      </w:pPr>
      <w:r>
        <w:t xml:space="preserve">La parte ha tenuto rigorosamente distinte le grandezze, in ossequio alla regola di non duplicazione che governa l’opera. Il costo della formazione è stato distinto dai costi esterni che la riforma non genera ed è stato collocato tra i costi diretti della riforma; il rendimento della formazione è stato distinto dal rendimento complessivo della riforma, vincolato all’ancora di Chisholm, e i due rapporti non sono stati né confusi né sommati; i benefici multidominio che la formazione abilita sono stati attribuiti al servizio che la formazione rende possibile, e non alla formazione stessa, per evitare la duplicazione. Il caveat dell’IMPACT trial è stato preservato, le bande prudenziali sono state applicate a ogni stima, e le due previsioni della parte — la banda del rapporto formativo e la compressione della curva di adozione nei primi dodici-diciotto mesi — sono state formulate in forma falsificabile, subordinando il valore dell’adozione degli strumenti di Intelligenza Artificiale alla loro efficacia dimostrata, graduata secondo il sistema GRADE.</w:t>
      </w:r>
    </w:p>
    <w:p>
      <w:pPr>
        <w:pStyle w:val="BodyText"/>
      </w:pPr>
      <w:r>
        <w:t xml:space="preserve">La formazione, infine, è stata riconosciuta come l’infrastruttura immateriale della riforma, condizione abilitante dei benefici multidominio che la riforma genera. Essa non produce direttamente quei benefici, ma costruisce la competenza che consente allo Psicologo di Base di produrli, e in questa funzione attraversa l’intero perimetro multidisciplinare integrale, direttamente per i domini formativo, accademico, lavorativo e culturale, e indirettamente per tutti gli altri. È questa funzione di condizione abilitante a giustificare la collocazione della formazione tra la descrizione del modello e la sua valutazione economica, e a fondarne la natura di pilastro trasversale. Con la quinta parte, l’opera dispone dunque della trattazione completa della formazione, e può procedere alla parte successiva, che raccoglie e gradua le evidenze di efficacia del modello: le evidenze, cioè, dell’efficacia di quella pratica clinica, collaborativa e digitalmente potenziata che la competenza formata, oggetto di questa parte, rende possibile. La sesta parte muove da qui, dall’efficacia della pratica che la formazione costruisce, per documentarne il fondamento empirico e la trasferibilità al contesto pugliese.</w:t>
      </w:r>
    </w:p>
    <w:bookmarkEnd w:id="275"/>
    <w:bookmarkStart w:id="297" w:name="note-bibliografiche-integrali-2"/>
    <w:p>
      <w:pPr>
        <w:pStyle w:val="Heading1"/>
      </w:pPr>
      <w:r>
        <w:rPr>
          <w:b/>
          <w:bCs/>
        </w:rPr>
        <w:t xml:space="preserve">Note Bibliografiche Integrali</w:t>
      </w:r>
    </w:p>
    <w:p>
      <w:pPr>
        <w:pStyle w:val="FirstParagraph"/>
      </w:pPr>
      <w:r>
        <w:rPr>
          <w:i/>
          <w:iCs/>
        </w:rPr>
        <w:t xml:space="preserve">Le note che seguono raccolgono in forma integrale i riferimenti richiamati a piè di pagina nella quinta parte. Ciascuna nota riporta l’autore e l’opera, il collegamento alla fonte e un mini-riassunto che ne dichiara la funzione nell’economia dell’opera, in coerenza con il doppio livello — nota a piè di pagina nel corpo e nota bibliografica integrale in calce — che lo studio adotta.</w:t>
      </w:r>
    </w:p>
    <w:p>
      <w:pPr>
        <w:pStyle w:val="BodyText"/>
      </w:pPr>
      <w:r>
        <w:rPr>
          <w:b/>
          <w:bCs/>
        </w:rPr>
        <w:t xml:space="preserve">1. Kirkpatrick D. L., Kirkpatrick J. D., Evaluating Training Programs: The Four Levels, 2006</w:t>
      </w:r>
      <w:r>
        <w:rPr>
          <w:b/>
          <w:bCs/>
        </w:rPr>
        <w:t xml:space="preserve"> </w:t>
      </w:r>
      <w:r>
        <w:t xml:space="preserve">—</w:t>
      </w:r>
      <w:r>
        <w:t xml:space="preserve"> </w:t>
      </w:r>
      <w:hyperlink r:id="rId276">
        <w:r>
          <w:rPr>
            <w:rStyle w:val="Hyperlink"/>
          </w:rPr>
          <w:t xml:space="preserve">https://www.kirkpatrickpartners.com/the-kirkpatrick-model/</w:t>
        </w:r>
      </w:hyperlink>
      <w:r>
        <w:t xml:space="preserve"> </w:t>
      </w:r>
      <w:r>
        <w:t xml:space="preserve">—</w:t>
      </w:r>
      <w:r>
        <w:t xml:space="preserve"> </w:t>
      </w:r>
      <w:r>
        <w:rPr>
          <w:i/>
          <w:iCs/>
        </w:rPr>
        <w:t xml:space="preserve">Modello classico di valutazione della formazione su quattro livelli — reazione, apprendimento, comportamento, risultati — che fornisce la cornice con cui l’opera misura il rendimento di ciascuna modalità formativa.</w:t>
      </w:r>
    </w:p>
    <w:p>
      <w:pPr>
        <w:pStyle w:val="BodyText"/>
      </w:pPr>
      <w:r>
        <w:rPr>
          <w:b/>
          <w:bCs/>
        </w:rPr>
        <w:t xml:space="preserve">2. Phillips J. J., Return on Investment in Training and Performance Improvement Programs, 2003</w:t>
      </w:r>
      <w:r>
        <w:rPr>
          <w:b/>
          <w:bCs/>
        </w:rPr>
        <w:t xml:space="preserve"> </w:t>
      </w:r>
      <w:r>
        <w:t xml:space="preserve">—</w:t>
      </w:r>
      <w:r>
        <w:t xml:space="preserve"> </w:t>
      </w:r>
      <w:hyperlink r:id="rId277">
        <w:r>
          <w:rPr>
            <w:rStyle w:val="Hyperlink"/>
          </w:rPr>
          <w:t xml:space="preserve">https://roiinstitute.net/</w:t>
        </w:r>
      </w:hyperlink>
      <w:r>
        <w:t xml:space="preserve"> </w:t>
      </w:r>
      <w:r>
        <w:t xml:space="preserve">—</w:t>
      </w:r>
      <w:r>
        <w:t xml:space="preserve"> </w:t>
      </w:r>
      <w:r>
        <w:rPr>
          <w:i/>
          <w:iCs/>
        </w:rPr>
        <w:t xml:space="preserve">Estende il modello di Kirkpatrick con un quinto livello che converte i risultati in rendimento monetario, consentendo il confronto costo-efficacia tra le modalità singole e la loro combinazione.</w:t>
      </w:r>
    </w:p>
    <w:p>
      <w:pPr>
        <w:pStyle w:val="BodyText"/>
      </w:pPr>
      <w:r>
        <w:rPr>
          <w:b/>
          <w:bCs/>
        </w:rPr>
        <w:t xml:space="preserve">3. Chisholm D. et al., Scaling-up treatment of depression and anxiety: a global return on investment analysis, The Lancet Psychiatry, 2016</w:t>
      </w:r>
      <w:r>
        <w:rPr>
          <w:b/>
          <w:bCs/>
        </w:rPr>
        <w:t xml:space="preserve"> </w:t>
      </w:r>
      <w:r>
        <w:t xml:space="preserve">—</w:t>
      </w:r>
      <w:r>
        <w:t xml:space="preserve"> </w:t>
      </w:r>
      <w:hyperlink r:id="rId278">
        <w:r>
          <w:rPr>
            <w:rStyle w:val="Hyperlink"/>
          </w:rPr>
          <w:t xml:space="preserve">https://doi.org/10.1016/S2215-0366(16)30024-4</w:t>
        </w:r>
      </w:hyperlink>
      <w:r>
        <w:t xml:space="preserve"> </w:t>
      </w:r>
      <w:r>
        <w:t xml:space="preserve">—</w:t>
      </w:r>
      <w:r>
        <w:t xml:space="preserve"> </w:t>
      </w:r>
      <w:r>
        <w:rPr>
          <w:i/>
          <w:iCs/>
        </w:rPr>
        <w:t xml:space="preserve">Ancora invariante dell’opera: il ritorno degli investimenti in salute mentale è contenuto tra 2,3 e 3,0 a 1 per i soli benefici economici e tra 3,3 e 5,7 a 1 con i ritorni in salute.</w:t>
      </w:r>
    </w:p>
    <w:p>
      <w:pPr>
        <w:pStyle w:val="BodyText"/>
      </w:pPr>
      <w:r>
        <w:rPr>
          <w:b/>
          <w:bCs/>
        </w:rPr>
        <w:t xml:space="preserve">4. Unützer J. et al., Collaborative care management of late-life depression (IMPACT), JAMA, 2002</w:t>
      </w:r>
      <w:r>
        <w:rPr>
          <w:b/>
          <w:bCs/>
        </w:rPr>
        <w:t xml:space="preserve"> </w:t>
      </w:r>
      <w:r>
        <w:t xml:space="preserve">—</w:t>
      </w:r>
      <w:r>
        <w:t xml:space="preserve"> </w:t>
      </w:r>
      <w:hyperlink r:id="rId279">
        <w:r>
          <w:rPr>
            <w:rStyle w:val="Hyperlink"/>
          </w:rPr>
          <w:t xml:space="preserve">https://doi.org/10.1001/jama.288.22.2836</w:t>
        </w:r>
      </w:hyperlink>
      <w:r>
        <w:t xml:space="preserve"> </w:t>
      </w:r>
      <w:r>
        <w:t xml:space="preserve">—</w:t>
      </w:r>
      <w:r>
        <w:t xml:space="preserve"> </w:t>
      </w:r>
      <w:r>
        <w:rPr>
          <w:i/>
          <w:iCs/>
        </w:rPr>
        <w:t xml:space="preserve">Da cui discende il caveat preservato dall’opera: la riduzione diretta dei costi sanitari non raggiunge la significatività statistica, e il risparmio fiscale resta distinto dal beneficio sociale.</w:t>
      </w:r>
    </w:p>
    <w:p>
      <w:pPr>
        <w:pStyle w:val="BodyText"/>
      </w:pPr>
      <w:r>
        <w:rPr>
          <w:b/>
          <w:bCs/>
        </w:rPr>
        <w:t xml:space="preserve">5. Guyatt G. H. et al., GRADE: rating quality of evidence and strength of recommendations, BMJ, 2008</w:t>
      </w:r>
      <w:r>
        <w:rPr>
          <w:b/>
          <w:bCs/>
        </w:rPr>
        <w:t xml:space="preserve"> </w:t>
      </w:r>
      <w:r>
        <w:t xml:space="preserve">—</w:t>
      </w:r>
      <w:r>
        <w:t xml:space="preserve"> </w:t>
      </w:r>
      <w:hyperlink r:id="rId280">
        <w:r>
          <w:rPr>
            <w:rStyle w:val="Hyperlink"/>
          </w:rPr>
          <w:t xml:space="preserve">https://doi.org/10.1136/bmj.39489.470347.AD</w:t>
        </w:r>
      </w:hyperlink>
      <w:r>
        <w:t xml:space="preserve"> </w:t>
      </w:r>
      <w:r>
        <w:t xml:space="preserve">—</w:t>
      </w:r>
      <w:r>
        <w:t xml:space="preserve"> </w:t>
      </w:r>
      <w:r>
        <w:rPr>
          <w:i/>
          <w:iCs/>
        </w:rPr>
        <w:t xml:space="preserve">Sistema di graduazione della qualità delle prove applicato con il medesimo rigore alle affermazioni cliniche e a quelle relative all’Intelligenza Artificiale, incluse le competenze formative dedicate al suo uso.</w:t>
      </w:r>
    </w:p>
    <w:p>
      <w:pPr>
        <w:pStyle w:val="BodyText"/>
      </w:pPr>
      <w:r>
        <w:rPr>
          <w:b/>
          <w:bCs/>
        </w:rPr>
        <w:t xml:space="preserve">6. Organizzazione Mondiale della Sanità, mhGAP Intervention Guide, v. 2.0, 2016</w:t>
      </w:r>
      <w:r>
        <w:rPr>
          <w:b/>
          <w:bCs/>
        </w:rPr>
        <w:t xml:space="preserve"> </w:t>
      </w:r>
      <w:r>
        <w:t xml:space="preserve">—</w:t>
      </w:r>
      <w:r>
        <w:t xml:space="preserve"> </w:t>
      </w:r>
      <w:hyperlink r:id="rId281">
        <w:r>
          <w:rPr>
            <w:rStyle w:val="Hyperlink"/>
          </w:rPr>
          <w:t xml:space="preserve">https://www.who.int/publications/i/item/9789241549790</w:t>
        </w:r>
      </w:hyperlink>
      <w:r>
        <w:t xml:space="preserve"> </w:t>
      </w:r>
      <w:r>
        <w:t xml:space="preserve">—</w:t>
      </w:r>
      <w:r>
        <w:t xml:space="preserve"> </w:t>
      </w:r>
      <w:r>
        <w:rPr>
          <w:i/>
          <w:iCs/>
        </w:rPr>
        <w:t xml:space="preserve">Riferimento internazionale per le competenze di intercettazione, valutazione e intervento a bassa intensità nelle cure primarie, assunto come base del fabbisogno clinico.</w:t>
      </w:r>
    </w:p>
    <w:p>
      <w:pPr>
        <w:pStyle w:val="BodyText"/>
      </w:pPr>
      <w:r>
        <w:rPr>
          <w:b/>
          <w:bCs/>
        </w:rPr>
        <w:t xml:space="preserve">7. Health Education England, The Topol Review, 2019</w:t>
      </w:r>
      <w:r>
        <w:rPr>
          <w:b/>
          <w:bCs/>
        </w:rPr>
        <w:t xml:space="preserve"> </w:t>
      </w:r>
      <w:r>
        <w:t xml:space="preserve">—</w:t>
      </w:r>
      <w:r>
        <w:t xml:space="preserve"> </w:t>
      </w:r>
      <w:hyperlink r:id="rId282">
        <w:r>
          <w:rPr>
            <w:rStyle w:val="Hyperlink"/>
          </w:rPr>
          <w:t xml:space="preserve">https://topol.hee.nhs.uk/</w:t>
        </w:r>
      </w:hyperlink>
      <w:r>
        <w:t xml:space="preserve"> </w:t>
      </w:r>
      <w:r>
        <w:t xml:space="preserve">—</w:t>
      </w:r>
      <w:r>
        <w:t xml:space="preserve"> </w:t>
      </w:r>
      <w:r>
        <w:rPr>
          <w:i/>
          <w:iCs/>
        </w:rPr>
        <w:t xml:space="preserve">Documento di riferimento sulle competenze digitali del personale sanitario — dati, telemedicina, intelligenza artificiale — e sulla loro integrazione nei percorsi formativi.</w:t>
      </w:r>
    </w:p>
    <w:p>
      <w:pPr>
        <w:pStyle w:val="BodyText"/>
      </w:pPr>
      <w:r>
        <w:rPr>
          <w:b/>
          <w:bCs/>
        </w:rPr>
        <w:t xml:space="preserve">8. EFPA, EuroPsy. European Certificate in Psychology. Regulations and Standards</w:t>
      </w:r>
      <w:r>
        <w:rPr>
          <w:b/>
          <w:bCs/>
        </w:rPr>
        <w:t xml:space="preserve"> </w:t>
      </w:r>
      <w:r>
        <w:t xml:space="preserve">—</w:t>
      </w:r>
      <w:r>
        <w:t xml:space="preserve"> </w:t>
      </w:r>
      <w:hyperlink r:id="rId283">
        <w:r>
          <w:rPr>
            <w:rStyle w:val="Hyperlink"/>
          </w:rPr>
          <w:t xml:space="preserve">https://www.europsy.eu/</w:t>
        </w:r>
      </w:hyperlink>
      <w:r>
        <w:t xml:space="preserve"> </w:t>
      </w:r>
      <w:r>
        <w:t xml:space="preserve">—</w:t>
      </w:r>
      <w:r>
        <w:t xml:space="preserve"> </w:t>
      </w:r>
      <w:r>
        <w:rPr>
          <w:i/>
          <w:iCs/>
        </w:rPr>
        <w:t xml:space="preserve">Standard europeo che definisce i livelli minimi di competenza e la struttura del percorso accademico e professionale dello psicologo, assunto come cornice della formazione universitaria.</w:t>
      </w:r>
    </w:p>
    <w:p>
      <w:pPr>
        <w:pStyle w:val="BodyText"/>
      </w:pPr>
      <w:r>
        <w:rPr>
          <w:b/>
          <w:bCs/>
        </w:rPr>
        <w:t xml:space="preserve">9. Legge 8 novembre 2021, n. 163, sui titoli universitari abilitanti</w:t>
      </w:r>
      <w:r>
        <w:rPr>
          <w:b/>
          <w:bCs/>
        </w:rPr>
        <w:t xml:space="preserve"> </w:t>
      </w:r>
      <w:r>
        <w:t xml:space="preserve">—</w:t>
      </w:r>
      <w:r>
        <w:t xml:space="preserve"> </w:t>
      </w:r>
      <w:hyperlink r:id="rId284">
        <w:r>
          <w:rPr>
            <w:rStyle w:val="Hyperlink"/>
          </w:rPr>
          <w:t xml:space="preserve">https://www.gazzettaufficiale.it/eli/id/2021/11/19/21G00175/sg</w:t>
        </w:r>
      </w:hyperlink>
      <w:r>
        <w:t xml:space="preserve"> </w:t>
      </w:r>
      <w:r>
        <w:t xml:space="preserve">—</w:t>
      </w:r>
      <w:r>
        <w:t xml:space="preserve"> </w:t>
      </w:r>
      <w:r>
        <w:rPr>
          <w:i/>
          <w:iCs/>
        </w:rPr>
        <w:t xml:space="preserve">Ha reso la laurea magistrale in Psicologia (LM-51) titolo abilitante, con tirocinio interno al corso e prova pratica valutativa contestuale al conseguimento del titolo.</w:t>
      </w:r>
    </w:p>
    <w:p>
      <w:pPr>
        <w:pStyle w:val="BodyText"/>
      </w:pPr>
      <w:r>
        <w:rPr>
          <w:b/>
          <w:bCs/>
        </w:rPr>
        <w:t xml:space="preserve">10. Legge regionale Puglia 19 luglio 2023, n. 11, sul Servizio di Psicologia di Base</w:t>
      </w:r>
      <w:r>
        <w:rPr>
          <w:b/>
          <w:bCs/>
        </w:rPr>
        <w:t xml:space="preserve"> </w:t>
      </w:r>
      <w:r>
        <w:t xml:space="preserve">—</w:t>
      </w:r>
      <w:r>
        <w:t xml:space="preserve"> </w:t>
      </w:r>
      <w:hyperlink r:id="rId285">
        <w:r>
          <w:rPr>
            <w:rStyle w:val="Hyperlink"/>
          </w:rPr>
          <w:t xml:space="preserve">https://www.consiglio.puglia.it/</w:t>
        </w:r>
      </w:hyperlink>
      <w:r>
        <w:t xml:space="preserve"> </w:t>
      </w:r>
      <w:r>
        <w:t xml:space="preserve">—</w:t>
      </w:r>
      <w:r>
        <w:t xml:space="preserve"> </w:t>
      </w:r>
      <w:r>
        <w:rPr>
          <w:i/>
          <w:iCs/>
        </w:rPr>
        <w:t xml:space="preserve">Base giuridica della riforma e riferimento per il dimensionamento del fabbisogno formativo del personale del Servizio di Psicologia di Base.</w:t>
      </w:r>
    </w:p>
    <w:p>
      <w:pPr>
        <w:pStyle w:val="BodyText"/>
      </w:pPr>
      <w:r>
        <w:rPr>
          <w:b/>
          <w:bCs/>
        </w:rPr>
        <w:t xml:space="preserve">11. Programma nazionale per la formazione continua in medicina (ECM), Agenas — Co.Ge.A.P.S.</w:t>
      </w:r>
      <w:r>
        <w:rPr>
          <w:b/>
          <w:bCs/>
        </w:rPr>
        <w:t xml:space="preserve"> </w:t>
      </w:r>
      <w:r>
        <w:t xml:space="preserve">—</w:t>
      </w:r>
      <w:r>
        <w:t xml:space="preserve"> </w:t>
      </w:r>
      <w:hyperlink r:id="rId286">
        <w:r>
          <w:rPr>
            <w:rStyle w:val="Hyperlink"/>
          </w:rPr>
          <w:t xml:space="preserve">https://www.agenas.gov.it/aree-tematiche/ecm</w:t>
        </w:r>
      </w:hyperlink>
      <w:r>
        <w:t xml:space="preserve"> </w:t>
      </w:r>
      <w:r>
        <w:t xml:space="preserve">—</w:t>
      </w:r>
      <w:r>
        <w:t xml:space="preserve"> </w:t>
      </w:r>
      <w:r>
        <w:rPr>
          <w:i/>
          <w:iCs/>
        </w:rPr>
        <w:t xml:space="preserve">Sistema che impone agli esercenti le professioni sanitarie un debito formativo triennale presso provider accreditati; principale canale dell’aggiornamento continuo delle competenze.</w:t>
      </w:r>
    </w:p>
    <w:p>
      <w:pPr>
        <w:pStyle w:val="BodyText"/>
      </w:pPr>
      <w:r>
        <w:rPr>
          <w:b/>
          <w:bCs/>
        </w:rPr>
        <w:t xml:space="preserve">12. Legge 18 febbraio 1989, n. 56, ordinamento della professione di psicologo</w:t>
      </w:r>
      <w:r>
        <w:rPr>
          <w:b/>
          <w:bCs/>
        </w:rPr>
        <w:t xml:space="preserve"> </w:t>
      </w:r>
      <w:r>
        <w:t xml:space="preserve">—</w:t>
      </w:r>
      <w:r>
        <w:t xml:space="preserve"> </w:t>
      </w:r>
      <w:hyperlink r:id="rId287">
        <w:r>
          <w:rPr>
            <w:rStyle w:val="Hyperlink"/>
          </w:rPr>
          <w:t xml:space="preserve">https://www.normattiva.it/uri-res/N2Ls?urn:nir:stato:legge:1989-02-18;56</w:t>
        </w:r>
      </w:hyperlink>
      <w:r>
        <w:t xml:space="preserve"> </w:t>
      </w:r>
      <w:r>
        <w:t xml:space="preserve">—</w:t>
      </w:r>
      <w:r>
        <w:t xml:space="preserve"> </w:t>
      </w:r>
      <w:r>
        <w:rPr>
          <w:i/>
          <w:iCs/>
        </w:rPr>
        <w:t xml:space="preserve">Disciplina, fra l’altro, l’attività psicoterapeutica subordinandola alla formazione presso scuole di specializzazione o di psicoterapia riconosciute; riferimento della specializzazione post-universitaria.</w:t>
      </w:r>
    </w:p>
    <w:p>
      <w:pPr>
        <w:pStyle w:val="BodyText"/>
      </w:pPr>
      <w:r>
        <w:rPr>
          <w:b/>
          <w:bCs/>
        </w:rPr>
        <w:t xml:space="preserve">13. Lombardo M. M., Eichinger R. W., The Career Architect Development Planner, 1996</w:t>
      </w:r>
      <w:r>
        <w:rPr>
          <w:b/>
          <w:bCs/>
        </w:rPr>
        <w:t xml:space="preserve"> </w:t>
      </w:r>
      <w:r>
        <w:t xml:space="preserve">—</w:t>
      </w:r>
      <w:r>
        <w:t xml:space="preserve"> </w:t>
      </w:r>
      <w:hyperlink r:id="rId288">
        <w:r>
          <w:rPr>
            <w:rStyle w:val="Hyperlink"/>
          </w:rPr>
          <w:t xml:space="preserve">https://www.ccl.org/</w:t>
        </w:r>
      </w:hyperlink>
      <w:r>
        <w:t xml:space="preserve"> </w:t>
      </w:r>
      <w:r>
        <w:t xml:space="preserve">—</w:t>
      </w:r>
      <w:r>
        <w:t xml:space="preserve"> </w:t>
      </w:r>
      <w:r>
        <w:rPr>
          <w:i/>
          <w:iCs/>
        </w:rPr>
        <w:t xml:space="preserve">Origine del modello 70–20–10, secondo cui lo sviluppo delle competenze deriva in misura prevalente dall’esperienza sul posto di lavoro; proporzioni assunte come regolarità indicativa, non come legge universale.</w:t>
      </w:r>
    </w:p>
    <w:p>
      <w:pPr>
        <w:pStyle w:val="BodyText"/>
      </w:pPr>
      <w:r>
        <w:rPr>
          <w:b/>
          <w:bCs/>
        </w:rPr>
        <w:t xml:space="preserve">14. Ivers N. et al., Audit and feedback: effects on professional practice, Cochrane, 2012</w:t>
      </w:r>
      <w:r>
        <w:rPr>
          <w:b/>
          <w:bCs/>
        </w:rPr>
        <w:t xml:space="preserve"> </w:t>
      </w:r>
      <w:r>
        <w:t xml:space="preserve">—</w:t>
      </w:r>
      <w:r>
        <w:t xml:space="preserve"> </w:t>
      </w:r>
      <w:hyperlink r:id="rId289">
        <w:r>
          <w:rPr>
            <w:rStyle w:val="Hyperlink"/>
          </w:rPr>
          <w:t xml:space="preserve">https://doi.org/10.1002/14651858.CD000259.pub3</w:t>
        </w:r>
      </w:hyperlink>
      <w:r>
        <w:t xml:space="preserve"> </w:t>
      </w:r>
      <w:r>
        <w:t xml:space="preserve">—</w:t>
      </w:r>
      <w:r>
        <w:t xml:space="preserve"> </w:t>
      </w:r>
      <w:r>
        <w:rPr>
          <w:i/>
          <w:iCs/>
        </w:rPr>
        <w:t xml:space="preserve">Revisione sistematica che documenta l’effetto, modesto ma reale, della misurazione della pratica rispetto a uno standard e della restituzione del risultato al professionista, come meccanismo di apprendimento sul posto di lavoro.</w:t>
      </w:r>
    </w:p>
    <w:p>
      <w:pPr>
        <w:pStyle w:val="BodyText"/>
      </w:pPr>
      <w:r>
        <w:rPr>
          <w:b/>
          <w:bCs/>
        </w:rPr>
        <w:t xml:space="preserve">15. Wenger E., Communities of Practice: Learning, Meaning, and Identity, 1998</w:t>
      </w:r>
      <w:r>
        <w:rPr>
          <w:b/>
          <w:bCs/>
        </w:rPr>
        <w:t xml:space="preserve"> </w:t>
      </w:r>
      <w:r>
        <w:t xml:space="preserve">—</w:t>
      </w:r>
      <w:r>
        <w:t xml:space="preserve"> </w:t>
      </w:r>
      <w:hyperlink r:id="rId290">
        <w:r>
          <w:rPr>
            <w:rStyle w:val="Hyperlink"/>
          </w:rPr>
          <w:t xml:space="preserve">https://www.cambridge.org/9780521663632</w:t>
        </w:r>
      </w:hyperlink>
      <w:r>
        <w:t xml:space="preserve"> </w:t>
      </w:r>
      <w:r>
        <w:t xml:space="preserve">—</w:t>
      </w:r>
      <w:r>
        <w:t xml:space="preserve"> </w:t>
      </w:r>
      <w:r>
        <w:rPr>
          <w:i/>
          <w:iCs/>
        </w:rPr>
        <w:t xml:space="preserve">Riferimento teorico delle comunità di pratica come gruppi che condividono conoscenza in un dominio e ne fanno il veicolo di un apprendimento situato; assunto fra le forme della formazione lavorativa.</w:t>
      </w:r>
    </w:p>
    <w:p>
      <w:pPr>
        <w:pStyle w:val="BodyText"/>
      </w:pPr>
      <w:r>
        <w:rPr>
          <w:b/>
          <w:bCs/>
        </w:rPr>
        <w:t xml:space="preserve">16. Milne D., Evidence-Based Clinical Supervision: Principles and Practice, 2009</w:t>
      </w:r>
      <w:r>
        <w:rPr>
          <w:b/>
          <w:bCs/>
        </w:rPr>
        <w:t xml:space="preserve"> </w:t>
      </w:r>
      <w:r>
        <w:t xml:space="preserve">—</w:t>
      </w:r>
      <w:r>
        <w:t xml:space="preserve"> </w:t>
      </w:r>
      <w:hyperlink r:id="rId291">
        <w:r>
          <w:rPr>
            <w:rStyle w:val="Hyperlink"/>
          </w:rPr>
          <w:t xml:space="preserve">https://www.wiley.com/en-us/9781405158497</w:t>
        </w:r>
      </w:hyperlink>
      <w:r>
        <w:t xml:space="preserve"> </w:t>
      </w:r>
      <w:r>
        <w:t xml:space="preserve">—</w:t>
      </w:r>
      <w:r>
        <w:t xml:space="preserve"> </w:t>
      </w:r>
      <w:r>
        <w:rPr>
          <w:i/>
          <w:iCs/>
        </w:rPr>
        <w:t xml:space="preserve">Testo di riferimento sulla supervisione clinica come componente dello sviluppo professionale, di cui documenta l’efficacia sul miglioramento delle competenze e sulla qualità della pratica.</w:t>
      </w:r>
    </w:p>
    <w:p>
      <w:pPr>
        <w:pStyle w:val="BodyText"/>
      </w:pPr>
      <w:r>
        <w:rPr>
          <w:b/>
          <w:bCs/>
        </w:rPr>
        <w:t xml:space="preserve">17. Eby L. T. et al., Does mentoring matter? A multidisciplinary meta-analysis, J. Vocational Behavior, 2008</w:t>
      </w:r>
      <w:r>
        <w:rPr>
          <w:b/>
          <w:bCs/>
        </w:rPr>
        <w:t xml:space="preserve"> </w:t>
      </w:r>
      <w:r>
        <w:t xml:space="preserve">—</w:t>
      </w:r>
      <w:r>
        <w:t xml:space="preserve"> </w:t>
      </w:r>
      <w:hyperlink r:id="rId292">
        <w:r>
          <w:rPr>
            <w:rStyle w:val="Hyperlink"/>
          </w:rPr>
          <w:t xml:space="preserve">https://doi.org/10.1016/j.jvb.2007.04.005</w:t>
        </w:r>
      </w:hyperlink>
      <w:r>
        <w:t xml:space="preserve"> </w:t>
      </w:r>
      <w:r>
        <w:t xml:space="preserve">—</w:t>
      </w:r>
      <w:r>
        <w:t xml:space="preserve"> </w:t>
      </w:r>
      <w:r>
        <w:rPr>
          <w:i/>
          <w:iCs/>
        </w:rPr>
        <w:t xml:space="preserve">Meta-analisi che documenta l’associazione tra il mentoring e lo sviluppo delle competenze e degli esiti professionali; sostegno alla funzione del mentoring nell’affiancamento.</w:t>
      </w:r>
    </w:p>
    <w:p>
      <w:pPr>
        <w:pStyle w:val="BodyText"/>
      </w:pPr>
      <w:r>
        <w:rPr>
          <w:b/>
          <w:bCs/>
        </w:rPr>
        <w:t xml:space="preserve">18. Liu Q. et al., The Effectiveness of Blended Learning in Health Professions, JMIR, 2016</w:t>
      </w:r>
      <w:r>
        <w:rPr>
          <w:b/>
          <w:bCs/>
        </w:rPr>
        <w:t xml:space="preserve"> </w:t>
      </w:r>
      <w:r>
        <w:t xml:space="preserve">—</w:t>
      </w:r>
      <w:r>
        <w:t xml:space="preserve"> </w:t>
      </w:r>
      <w:hyperlink r:id="rId293">
        <w:r>
          <w:rPr>
            <w:rStyle w:val="Hyperlink"/>
          </w:rPr>
          <w:t xml:space="preserve">https://doi.org/10.2196/jmir.4807</w:t>
        </w:r>
      </w:hyperlink>
      <w:r>
        <w:t xml:space="preserve"> </w:t>
      </w:r>
      <w:r>
        <w:t xml:space="preserve">—</w:t>
      </w:r>
      <w:r>
        <w:t xml:space="preserve"> </w:t>
      </w:r>
      <w:r>
        <w:rPr>
          <w:i/>
          <w:iCs/>
        </w:rPr>
        <w:t xml:space="preserve">Revisione sistematica che documenta l’efficacia dei percorsi formativi integrati rispetto alle modalità isolate; sostiene la proposizione di superadditività del percorso formativo integrato.</w:t>
      </w:r>
    </w:p>
    <w:p>
      <w:pPr>
        <w:pStyle w:val="BodyText"/>
      </w:pPr>
      <w:r>
        <w:rPr>
          <w:b/>
          <w:bCs/>
        </w:rPr>
        <w:t xml:space="preserve">19. Reeves S. et al., Interprofessional education: effects on professional practice (update), Cochrane, 2013</w:t>
      </w:r>
      <w:r>
        <w:rPr>
          <w:b/>
          <w:bCs/>
        </w:rPr>
        <w:t xml:space="preserve"> </w:t>
      </w:r>
      <w:r>
        <w:t xml:space="preserve">—</w:t>
      </w:r>
      <w:r>
        <w:t xml:space="preserve"> </w:t>
      </w:r>
      <w:hyperlink r:id="rId294">
        <w:r>
          <w:rPr>
            <w:rStyle w:val="Hyperlink"/>
          </w:rPr>
          <w:t xml:space="preserve">https://doi.org/10.1002/14651858.CD002213.pub3</w:t>
        </w:r>
      </w:hyperlink>
      <w:r>
        <w:t xml:space="preserve"> </w:t>
      </w:r>
      <w:r>
        <w:t xml:space="preserve">—</w:t>
      </w:r>
      <w:r>
        <w:t xml:space="preserve"> </w:t>
      </w:r>
      <w:r>
        <w:rPr>
          <w:i/>
          <w:iCs/>
        </w:rPr>
        <w:t xml:space="preserve">Revisione che documenta gli effetti della formazione interprofessionale sulla pratica e sugli esiti; fondamento della dimensione interprofessionale del percorso formativo integrato.</w:t>
      </w:r>
    </w:p>
    <w:p>
      <w:pPr>
        <w:pStyle w:val="BodyText"/>
      </w:pPr>
      <w:r>
        <w:rPr>
          <w:b/>
          <w:bCs/>
        </w:rPr>
        <w:t xml:space="preserve">20. Rogers E. M., Diffusion of Innovations, 5ª ed., 2003</w:t>
      </w:r>
      <w:r>
        <w:rPr>
          <w:b/>
          <w:bCs/>
        </w:rPr>
        <w:t xml:space="preserve"> </w:t>
      </w:r>
      <w:r>
        <w:t xml:space="preserve">—</w:t>
      </w:r>
      <w:r>
        <w:t xml:space="preserve"> </w:t>
      </w:r>
      <w:hyperlink r:id="rId295">
        <w:r>
          <w:rPr>
            <w:rStyle w:val="Hyperlink"/>
          </w:rPr>
          <w:t xml:space="preserve">https://www.simonandschuster.com/books/Diffusion-of-Innovations-5th-Edition/Everett-M-Rogers/9780743222099</w:t>
        </w:r>
      </w:hyperlink>
      <w:r>
        <w:t xml:space="preserve"> </w:t>
      </w:r>
      <w:r>
        <w:t xml:space="preserve">—</w:t>
      </w:r>
      <w:r>
        <w:t xml:space="preserve"> </w:t>
      </w:r>
      <w:r>
        <w:rPr>
          <w:i/>
          <w:iCs/>
        </w:rPr>
        <w:t xml:space="preserve">Opera di riferimento sulla diffusione delle innovazioni, che descrive l’adozione come un processo a curva sigmoide articolato in categorie di adottanti; fonda la trattazione delle curve di adozione.</w:t>
      </w:r>
    </w:p>
    <w:p>
      <w:pPr>
        <w:pStyle w:val="BodyText"/>
      </w:pPr>
      <w:r>
        <w:rPr>
          <w:b/>
          <w:bCs/>
        </w:rPr>
        <w:t xml:space="preserve">21. Davis F. D., Perceived usefulness, perceived ease of use, and user acceptance of IT, MIS Quarterly, 1989</w:t>
      </w:r>
      <w:r>
        <w:rPr>
          <w:b/>
          <w:bCs/>
        </w:rPr>
        <w:t xml:space="preserve"> </w:t>
      </w:r>
      <w:r>
        <w:t xml:space="preserve">—</w:t>
      </w:r>
      <w:r>
        <w:t xml:space="preserve"> </w:t>
      </w:r>
      <w:hyperlink r:id="rId296">
        <w:r>
          <w:rPr>
            <w:rStyle w:val="Hyperlink"/>
          </w:rPr>
          <w:t xml:space="preserve">https://doi.org/10.2307/249008</w:t>
        </w:r>
      </w:hyperlink>
      <w:r>
        <w:t xml:space="preserve"> </w:t>
      </w:r>
      <w:r>
        <w:t xml:space="preserve">—</w:t>
      </w:r>
      <w:r>
        <w:t xml:space="preserve"> </w:t>
      </w:r>
      <w:r>
        <w:rPr>
          <w:i/>
          <w:iCs/>
        </w:rPr>
        <w:t xml:space="preserve">Origine del modello di accettazione della tecnologia, che individua nell’utilità percepita e nella facilità d’uso percepita i determinanti dell’adozione; sostegno all’analisi dei fattori su cui la formazione agisce.</w:t>
      </w:r>
    </w:p>
    <w:p>
      <w:pPr>
        <w:pStyle w:val="BodyText"/>
      </w:pPr>
      <w:r>
        <w:rPr>
          <w:b/>
          <w:bCs/>
        </w:rPr>
        <w:t xml:space="preserve">Fine della Parte V</w:t>
      </w:r>
    </w:p>
    <w:p>
      <w:pPr>
        <w:pStyle w:val="BodyText"/>
      </w:pPr>
      <w:r>
        <w:rPr>
          <w:i/>
          <w:iCs/>
        </w:rPr>
        <w:t xml:space="preserve">La sesta parte — Efficacia, evidenza e meccanismi di impatto — raccoglie e gradua le evidenze dell’efficacia della pratica che la competenza formata rende possibile.</w:t>
      </w:r>
    </w:p>
    <w:p>
      <w:pPr>
        <w:pStyle w:val="SourceCode"/>
      </w:pPr>
      <w:r>
        <w:rPr>
          <w:rStyle w:val="VerbatimChar"/>
        </w:rPr>
        <w:t xml:space="preserve">La formazione del personale: le quattro modalità, singole e congiunte   </w:t>
      </w:r>
    </w:p>
    <w:p>
      <w:r>
        <w:br w:type="page"/>
      </w:r>
    </w:p>
    <w:p>
      <w:pPr>
        <w:pStyle w:val="FirstParagraph"/>
      </w:pPr>
      <w:r>
        <w:rPr>
          <w:b/>
          <w:bCs/>
        </w:rPr>
        <w:t xml:space="preserve">Progetto «Psicologo di Base» · Regione Puglia</w:t>
      </w:r>
      <w:r>
        <w:t xml:space="preserve"> </w:t>
      </w:r>
      <w:r>
        <w:t xml:space="preserve">Studio Integrale · Parte VI</w:t>
      </w:r>
    </w:p>
    <w:p>
      <w:pPr>
        <w:pStyle w:val="BodyText"/>
      </w:pPr>
      <w:r>
        <w:rPr>
          <w:b/>
          <w:bCs/>
        </w:rPr>
        <w:t xml:space="preserve">PROGETTO «PSICOLOGO DI BASE» · REGIONE PUGLIA</w:t>
      </w:r>
    </w:p>
    <w:p>
      <w:pPr>
        <w:pStyle w:val="BodyText"/>
      </w:pPr>
      <w:r>
        <w:rPr>
          <w:b/>
          <w:bCs/>
        </w:rPr>
        <w:t xml:space="preserve">Studio Integrale, Finale e Definitivo</w:t>
      </w:r>
    </w:p>
    <w:p>
      <w:pPr>
        <w:pStyle w:val="BodyText"/>
      </w:pPr>
      <w:r>
        <w:rPr>
          <w:i/>
          <w:iCs/>
        </w:rPr>
        <w:t xml:space="preserve">Parte Sesta</w:t>
      </w:r>
    </w:p>
    <w:p>
      <w:pPr>
        <w:pStyle w:val="BodyText"/>
      </w:pPr>
      <w:r>
        <w:rPr>
          <w:b/>
          <w:bCs/>
        </w:rPr>
        <w:t xml:space="preserve">PARTE VI</w:t>
      </w:r>
    </w:p>
    <w:p>
      <w:pPr>
        <w:pStyle w:val="BodyText"/>
      </w:pPr>
      <w:r>
        <w:rPr>
          <w:b/>
          <w:bCs/>
        </w:rPr>
        <w:t xml:space="preserve">Efficacia, evidenza e meccanismi di impatto</w:t>
      </w:r>
    </w:p>
    <w:p>
      <w:pPr>
        <w:pStyle w:val="BodyText"/>
      </w:pPr>
      <w:r>
        <w:rPr>
          <w:i/>
          <w:iCs/>
        </w:rPr>
        <w:t xml:space="preserve">La base di evidenza della riforma del Servizio di Psicologia di Base: graduazione simmetrica dell’evidenza clinica e dell’Intelligenza Artificiale, ricostruzione della catena causale dall’esito clinico al risparmio fiscale e alla ricaduta sociale, e prova di trasferibilità al contesto pugliese</w:t>
      </w:r>
    </w:p>
    <w:p>
      <w:pPr>
        <w:pStyle w:val="BodyText"/>
      </w:pPr>
      <w:r>
        <w:t xml:space="preserve">Perimetro multidisciplinare integrale</w:t>
      </w:r>
    </w:p>
    <w:p>
      <w:pPr>
        <w:pStyle w:val="BodyText"/>
      </w:pPr>
      <w:r>
        <w:t xml:space="preserve">Cascata gerarchica piramidale dallo Psicologo di Base</w:t>
      </w:r>
    </w:p>
    <w:p>
      <w:pPr>
        <w:pStyle w:val="BodyText"/>
      </w:pPr>
      <w:r>
        <w:t xml:space="preserve">L’Intelligenza Artificiale come leva abilitante, non come oggetto centrale</w:t>
      </w:r>
    </w:p>
    <w:p>
      <w:pPr>
        <w:pStyle w:val="BodyText"/>
      </w:pPr>
      <w:r>
        <w:t xml:space="preserve">Telaio HTA, Five Case Model, CHEERS 2022, criteri OCSE-DAC</w:t>
      </w:r>
    </w:p>
    <w:p>
      <w:pPr>
        <w:pStyle w:val="BodyText"/>
      </w:pPr>
      <w:r>
        <w:rPr>
          <w:b/>
          <w:bCs/>
        </w:rPr>
        <w:t xml:space="preserve">AVVERTENZA</w:t>
      </w:r>
    </w:p>
    <w:bookmarkEnd w:id="297"/>
    <w:bookmarkStart w:id="301" w:name="X6bb3e7660932c205a9de1df28d5c9a1419cf5ef"/>
    <w:p>
      <w:pPr>
        <w:pStyle w:val="Heading1"/>
      </w:pPr>
      <w:r>
        <w:rPr>
          <w:b/>
          <w:bCs/>
        </w:rPr>
        <w:t xml:space="preserve">Avvertenza sui vincoli metodologici invarianti</w:t>
      </w:r>
    </w:p>
    <w:p>
      <w:pPr>
        <w:pStyle w:val="FirstParagraph"/>
      </w:pPr>
      <w:r>
        <w:t xml:space="preserve">La presente parte dello studio integrale, finale e definitivo sulla riforma del Servizio di Psicologia di Base in Puglia è dedicata alla base di evidenza della riforma. Più di ogni altra, essa è esposta al rischio dell’enfasi, perché raccoglie i risultati di efficacia che fondano l’intera architettura economica delle parti successive. Proprio per questo, essa è vincolata in modo stringente ai principi metodologici invarianti del progetto, che qui si richiamano e che nessuna stima, nessuna proiezione e nessuna affermazione contenuta in questa o in qualunque parte seguente potrà violare.</w:t>
      </w:r>
    </w:p>
    <w:p>
      <w:pPr>
        <w:pStyle w:val="BodyText"/>
      </w:pPr>
      <w:r>
        <w:t xml:space="preserve">Il ritorno economico degli investimenti in salute mentale è espresso esclusivamente negli intervalli corretti, compresi tra 2,3 e 3,0 a 1 per i soli benefici economici e tra 3,3 e 5,7 a 1 con l’inclusione dei ritorni in salute, secondo l’analisi globale di ritorno sull’investimento commissionata dall’Organizzazione Mondiale della Sanità</w:t>
      </w:r>
      <w:r>
        <w:rPr>
          <w:rStyle w:val="FootnoteReference"/>
        </w:rPr>
        <w:footnoteReference w:id="146"/>
      </w:r>
      <w:r>
        <w:t xml:space="preserve">. Sono esclusi, in ogni punto dell’opera, i valori non sostenuti dalla letteratura. Il caveat dell’IMPACT trial, secondo cui i risparmi sui costi sanitari diretti non raggiungono la significatività statistica, è preservato ogni volta che la materia lo renda pertinente, e nessun risparmio sanitario diretto è presentato come acquisito quando l’intervallo di confidenza al novantacinque per cento attraversa lo zero</w:t>
      </w:r>
      <w:r>
        <w:rPr>
          <w:rStyle w:val="FootnoteReference"/>
        </w:rPr>
        <w:footnoteReference w:id="147"/>
      </w:r>
      <w:r>
        <w:t xml:space="preserve">.</w:t>
      </w:r>
    </w:p>
    <w:p>
      <w:pPr>
        <w:pStyle w:val="BodyText"/>
      </w:pPr>
      <w:r>
        <w:t xml:space="preserve">Le grandezze fiscali dirette e quelle sociali e indirette sono mantenute rigorosamente distinte, senza alcuna duplicazione tra le categorie: un medesimo beneficio non è mai attribuito contemporaneamente a più cause, né sommato in un unico saldo che confonda il risparmio per il bilancio sanitario regionale con il valore sociale per la collettività. Ogni proiezione adotta bande prudenziali e si formula come previsione falsificabile, corredata delle soglie il cui superamento modifica la conclusione. Ogni evidenza, comprese quelle relative all’Intelligenza Artificiale, è graduata secondo la sua qualità con il medesimo rigore applicato alle affermazioni cliniche, attraverso il sistema di valutazione della certezza dell’evidenza adottato dalla comunità scientifica internazionale</w:t>
      </w:r>
      <w:r>
        <w:rPr>
          <w:rStyle w:val="FootnoteReference"/>
        </w:rPr>
        <w:footnoteReference w:id="148"/>
      </w:r>
      <w:r>
        <w:t xml:space="preserve">.</w:t>
      </w:r>
    </w:p>
    <w:p>
      <w:pPr>
        <w:pStyle w:val="BodyText"/>
      </w:pPr>
      <w:r>
        <w:rPr>
          <w:i/>
          <w:iCs/>
        </w:rPr>
        <w:t xml:space="preserve">Questa parte stabilisce ciò che l’evidenza dimostra; non quantifica in euro. La traduzione economica dei risultati di efficacia è riservata alle parti dedicate alla valutazione economica, dove i medesimi vincoli qui richiamati governano ogni cifra.</w:t>
      </w:r>
    </w:p>
    <w:p>
      <w:pPr>
        <w:pStyle w:val="BodyText"/>
      </w:pPr>
      <w:r>
        <w:rPr>
          <w:b/>
          <w:bCs/>
        </w:rPr>
        <w:t xml:space="preserve">PARTE VI · STRUTTURA</w:t>
      </w:r>
    </w:p>
    <w:bookmarkEnd w:id="301"/>
    <w:bookmarkStart w:id="302" w:name="indice-della-parte"/>
    <w:p>
      <w:pPr>
        <w:pStyle w:val="Heading1"/>
      </w:pPr>
      <w:r>
        <w:rPr>
          <w:b/>
          <w:bCs/>
        </w:rPr>
        <w:t xml:space="preserve">Indice della parte</w:t>
      </w:r>
    </w:p>
    <w:p>
      <w:pPr>
        <w:pStyle w:val="FirstParagraph"/>
      </w:pPr>
      <w:r>
        <w:t xml:space="preserve">La sesta parte raccoglie e gradua le evidenze di efficacia su cui poggia la riforma. Essa si articola in una premessa che ne dichiara la funzione, in un’introduzione che ne espone l’architettura e la postura epistemologica, in sei sezioni di sviluppo, in un quadro conclusivo economico-sociale e multidisciplinare integrale, in una conclusione e nelle note bibliografiche integrali con i relativi mini-riassunti. Le sei sezioni procedono dall’efficacia clinica dell’integrazione, attraverso i programmi internazionali di riferimento e l’evidenza degli strumenti digitali e dell’Intelligenza Artificiale, fino alla catena causale dell’impatto, ai dati dei progetti pilota italiani e alla trasferibilità delle evidenze al contesto pugliese.</w:t>
      </w:r>
    </w:p>
    <w:p>
      <w:pPr>
        <w:pStyle w:val="BodyText"/>
      </w:pPr>
      <w:r>
        <w:rPr>
          <w:b/>
          <w:bCs/>
        </w:rPr>
        <w:t xml:space="preserve">6.1 </w:t>
      </w:r>
      <w:r>
        <w:t xml:space="preserve">L’efficacia clinica dell’integrazione tra psicologia e cure primarie</w:t>
      </w:r>
    </w:p>
    <w:p>
      <w:pPr>
        <w:pStyle w:val="BodyText"/>
      </w:pPr>
      <w:r>
        <w:rPr>
          <w:b/>
          <w:bCs/>
        </w:rPr>
        <w:t xml:space="preserve">6.2 </w:t>
      </w:r>
      <w:r>
        <w:t xml:space="preserve">I programmi internazionali di riferimento (Servizio sanitario inglese, modello olandese, iniziativa australiana, assistenza collaborativa statunitense)</w:t>
      </w:r>
    </w:p>
    <w:p>
      <w:pPr>
        <w:pStyle w:val="BodyText"/>
      </w:pPr>
      <w:r>
        <w:rPr>
          <w:b/>
          <w:bCs/>
        </w:rPr>
        <w:t xml:space="preserve">6.3 </w:t>
      </w:r>
      <w:r>
        <w:t xml:space="preserve">L’efficacia degli strumenti digitali e dell’Intelligenza Artificiale (terapie digitali, CBT via internet, modelli predittivi) con graduazione GRADE</w:t>
      </w:r>
    </w:p>
    <w:p>
      <w:pPr>
        <w:pStyle w:val="BodyText"/>
      </w:pPr>
      <w:r>
        <w:rPr>
          <w:b/>
          <w:bCs/>
        </w:rPr>
        <w:t xml:space="preserve">6.4 </w:t>
      </w:r>
      <w:r>
        <w:t xml:space="preserve">La catena causale dell’impatto: dall’esito clinico al risparmio fiscale e alla ricaduta sociale</w:t>
      </w:r>
    </w:p>
    <w:p>
      <w:pPr>
        <w:pStyle w:val="BodyText"/>
      </w:pPr>
      <w:r>
        <w:rPr>
          <w:b/>
          <w:bCs/>
        </w:rPr>
        <w:t xml:space="preserve">6.5 </w:t>
      </w:r>
      <w:r>
        <w:t xml:space="preserve">I dati dei progetti pilota italiani e le cautele (campioni limitati, letteratura grigia)</w:t>
      </w:r>
    </w:p>
    <w:p>
      <w:pPr>
        <w:pStyle w:val="BodyText"/>
      </w:pPr>
      <w:r>
        <w:rPr>
          <w:b/>
          <w:bCs/>
        </w:rPr>
        <w:t xml:space="preserve">6.6 </w:t>
      </w:r>
      <w:r>
        <w:t xml:space="preserve">La trasferibilità delle evidenze al contesto pugliese</w:t>
      </w:r>
    </w:p>
    <w:p>
      <w:pPr>
        <w:pStyle w:val="BodyText"/>
      </w:pPr>
      <w:r>
        <w:rPr>
          <w:b/>
          <w:bCs/>
        </w:rPr>
        <w:t xml:space="preserve">◆ </w:t>
      </w:r>
      <w:r>
        <w:t xml:space="preserve">Quadro conclusivo economico-sociale e multidisciplinare integrale</w:t>
      </w:r>
    </w:p>
    <w:p>
      <w:pPr>
        <w:pStyle w:val="BodyText"/>
      </w:pPr>
      <w:r>
        <w:rPr>
          <w:b/>
          <w:bCs/>
        </w:rPr>
        <w:t xml:space="preserve">◆ </w:t>
      </w:r>
      <w:r>
        <w:t xml:space="preserve">Conclusione</w:t>
      </w:r>
    </w:p>
    <w:p>
      <w:pPr>
        <w:pStyle w:val="BodyText"/>
      </w:pPr>
      <w:r>
        <w:rPr>
          <w:b/>
          <w:bCs/>
        </w:rPr>
        <w:t xml:space="preserve">◆ </w:t>
      </w:r>
      <w:r>
        <w:t xml:space="preserve">Note bibliografiche integrali</w:t>
      </w:r>
    </w:p>
    <w:p>
      <w:pPr>
        <w:pStyle w:val="BodyText"/>
      </w:pPr>
      <w:r>
        <w:rPr>
          <w:b/>
          <w:bCs/>
        </w:rPr>
        <w:t xml:space="preserve">PARTE VI</w:t>
      </w:r>
    </w:p>
    <w:bookmarkEnd w:id="302"/>
    <w:bookmarkStart w:id="303" w:name="premessa-4"/>
    <w:p>
      <w:pPr>
        <w:pStyle w:val="Heading1"/>
      </w:pPr>
      <w:r>
        <w:rPr>
          <w:b/>
          <w:bCs/>
        </w:rPr>
        <w:t xml:space="preserve">Premessa</w:t>
      </w:r>
    </w:p>
    <w:p>
      <w:pPr>
        <w:pStyle w:val="FirstParagraph"/>
      </w:pPr>
      <w:r>
        <w:t xml:space="preserve">Le parti che precedono hanno definito il mandato e il metodo, hanno misurato il bisogno e il contesto, hanno disposto le figure lungo la cascata gerarchica piramidale, hanno descritto il modello organizzativo e le sue leve abilitanti, e hanno trattato la formazione del personale come pilastro trasversale. Tutte, però, hanno operato sul piano della costruzione: hanno enunciato che cosa la riforma è, come si organizza e quali figure mette in movimento. Nessuna di esse ha ancora dimostrato che la riforma funziona. È questo il compito della sesta parte, ed è un compito di natura diversa da tutti i precedenti, perché non riguarda l’architettura dell’intervento, ma la prova che quell’architettura produce gli effetti che le si attribuiscono.</w:t>
      </w:r>
    </w:p>
    <w:p>
      <w:pPr>
        <w:pStyle w:val="BodyText"/>
      </w:pPr>
      <w:r>
        <w:t xml:space="preserve">La distinzione tra ciò che un’opera afferma e ciò che essa dimostra è il fondamento della sua credibilità presso il decisore pubblico. Un disegno di riforma, per quanto coerente e ben ordinato, resta una proposta finché le sue premesse di efficacia non siano sottoposte al vaglio dell’evidenza disponibile e graduate secondo la loro qualità. La sesta parte assolve precisamente a questa funzione di cerniera: essa raccoglie, ordina e gradua le evidenze di efficacia clinica e organizzativa dell’integrazione della psicologia nelle cure primarie, e su di esse poggia, come su una base portante, l’intera architettura economica che le parti successive svilupperanno. Senza la dimostrazione che l’intervento migliora gli esiti clinici, nessun costo evitato sarebbe attribuibile alla riforma, nessun risparmio diretto sarebbe giustificato e nessun beneficio indiretto, lungo i sedici domini del perimetro multidisciplinare integrale, troverebbe la propria causa. L’efficacia è ciò che attiva la cascata: è il primo anello senza il quale nessuno degli anelli successivi può generare valore.</w:t>
      </w:r>
    </w:p>
    <w:p>
      <w:pPr>
        <w:pStyle w:val="BodyText"/>
      </w:pPr>
      <w:r>
        <w:t xml:space="preserve">La sesta parte intrattiene quindi un rapporto preciso con le parti che la seguono. La settima e l’ottava parte quantificheranno i costi diretti e i risparmi diretti, la nona dispiegherà i costi e i benefici indiretti dominio per dominio, la decima comporrà il saldo economico consolidato e l’undicesima sottoporrà i risultati alla prova dell’incertezza e li proietterà nel tempo. Tutte queste parti presuppongono che l’efficacia clinica sia stata stabilita e graduata; e tutte ne ereditano i limiti, perché la forza di una stima economica non può mai eccedere la forza dell’evidenza clinica su cui si fonda. È per questa ragione che la quarta sezione di questa parte ricostruisce esplicitamente la catena causale che conduce dall’esito clinico al risparmio fiscale e alla ricaduta sociale: quella catena è il ponte attraverso cui la dimostrazione di efficacia si trasferisce alle parti economiche, e ogni suo anello è graduato con la medesima cautela, così che la conclusione economica non possa mai apparire più solida della premessa clinica da cui discende.</w:t>
      </w:r>
    </w:p>
    <w:p>
      <w:pPr>
        <w:pStyle w:val="BodyText"/>
      </w:pPr>
      <w:r>
        <w:t xml:space="preserve">Tre principi governano l’intera trattazione. Il primo è la graduazione simmetrica dell’evidenza: l’evidenza clinica e l’evidenza relativa all’Intelligenza Artificiale sono valutate con il medesimo metro, senza che l’entusiasmo per la tecnologia abbassi la soglia di prova richiesta. L’Intelligenza Artificiale, coerentemente con il posizionamento stabilito nella prima parte, vi compare come una delle leve che rendono più funzionale la figura dello Psicologo di Base, e non come oggetto centrale dell’analisi; la sua efficacia è documentata dove esiste, ridimensionata dove l’evidenza è fragile, e in ogni caso subordinata alla supervisione umana. Il secondo principio è la distinzione tra efficacia in condizioni ideali ed efficacia nella pratica reale, perché i risultati ottenuti negli studi controllati randomizzati non si trasferiscono automaticamente ai contesti di servizio, e la trasferibilità al sistema pugliese è essa stessa oggetto di una sezione dedicata. Il terzo principio è la sobrietà quantitativa: questa parte non calcola euro. Essa stabilisce ciò che l’evidenza dimostra e con quale grado di certezza, e rinvia alle parti economiche la traduzione monetaria, perché confondere il piano della prova con quello della stima sarebbe la prima e più grave delle duplicazioni.</w:t>
      </w:r>
    </w:p>
    <w:p>
      <w:pPr>
        <w:pStyle w:val="BodyText"/>
      </w:pPr>
      <w:r>
        <w:t xml:space="preserve">La premessa chiude con una dichiarazione di onestà epistemica che attraversa tutta la parte. La letteratura sull’integrazione della psicologia nelle cure primarie è ampia e, per alcuni esiti, robusta; ma essa presenta zone di incertezza, risultati eterogenei e, nel caso italiano, una prevalenza di letteratura grigia e di campioni limitati. La sesta parte non nasconde queste zone d’ombra: le dichiara, le gradua e le tratta come vincoli alla forza delle conclusioni, nella convinzione che un’opera destinata al decisore pubblico e alle autorità di bilancio debba la propria autorevolezza non alla magnitudine delle cifre che esibisce, ma alla trasparenza con cui distingue ciò che è dimostrato da ciò che è plausibile e ciò che resta da verificare.</w:t>
      </w:r>
    </w:p>
    <w:p>
      <w:pPr>
        <w:pStyle w:val="BodyText"/>
      </w:pPr>
      <w:r>
        <w:rPr>
          <w:b/>
          <w:bCs/>
        </w:rPr>
        <w:t xml:space="preserve">PARTE VI</w:t>
      </w:r>
    </w:p>
    <w:bookmarkEnd w:id="303"/>
    <w:bookmarkStart w:id="310" w:name="introduzione-4"/>
    <w:p>
      <w:pPr>
        <w:pStyle w:val="Heading1"/>
      </w:pPr>
      <w:r>
        <w:rPr>
          <w:b/>
          <w:bCs/>
        </w:rPr>
        <w:t xml:space="preserve">Introduzione</w:t>
      </w:r>
    </w:p>
    <w:p>
      <w:pPr>
        <w:pStyle w:val="FirstParagraph"/>
      </w:pPr>
      <w:r>
        <w:t xml:space="preserve">L’introduzione espone l’architettura della sesta parte e la postura epistemologica che la governa, affinché la lettura delle sei sezioni proceda su un disegno chiaro e ne riconosca, in ciascun punto, il grado di certezza che le compete. La parte muove da un presupposto che la prima parte ha già stabilito e che qui si applica all’evidenza: non tutte le affermazioni hanno il medesimo valore probatorio, e l’onestà di uno studio di valutazione si misura dalla coerenza con cui esso distingue le evidenze forti dalle deboli e rifiuta di trattare le seconde come se fossero le prime.</w:t>
      </w:r>
    </w:p>
    <w:bookmarkStart w:id="304" w:name="X13f947f7a42c4b5099df717e0727bb993be3f90"/>
    <w:p>
      <w:pPr>
        <w:pStyle w:val="Heading3"/>
      </w:pPr>
      <w:r>
        <w:rPr>
          <w:b/>
          <w:bCs/>
        </w:rPr>
        <w:t xml:space="preserve">La gerarchia dell’evidenza e la distinzione tra efficacia e pratica</w:t>
      </w:r>
    </w:p>
    <w:p>
      <w:pPr>
        <w:pStyle w:val="FirstParagraph"/>
      </w:pPr>
      <w:r>
        <w:t xml:space="preserve">La medicina basata sulle prove ordina le fonti di conoscenza secondo la loro capacità di controllare l’errore sistematico. Al vertice di questa gerarchia stanno le revisioni sistematiche e le meta-analisi di studi controllati randomizzati, seguite dai singoli studi controllati randomizzati, dagli studi di coorte, dagli studi caso-controllo e, in posizione subordinata, dalle serie di casi e dal parere degli esperti. Questa gerarchia non è un formalismo, ma uno strumento di disciplina del giudizio: essa impedisce che un risultato suggestivo, ottenuto in condizioni non controllate, acquisti nel discorso pubblico un peso che la sua qualità metodologica non giustifica. La sesta parte applica questa gerarchia con rigore, collocando ogni evidenza al livello che le compete e segnalando esplicitamente quando una conclusione poggia su fonti di livello inferiore.</w:t>
      </w:r>
    </w:p>
    <w:p>
      <w:pPr>
        <w:pStyle w:val="BodyText"/>
      </w:pPr>
      <w:r>
        <w:t xml:space="preserve">A questa gerarchia si affianca una distinzione altrettanto decisiva, quella tra l’efficacia in condizioni ideali e l’efficacia nella pratica reale. La prima è ciò che uno studio controllato randomizzato misura quando seleziona i pazienti, standardizza l’intervento e controlla le condizioni di erogazione; la seconda è ciò che un servizio ottiene quando opera su una popolazione non selezionata, con risorse limitate e in un contesto organizzativo concreto. Lo scarto tra le due non è un dettaglio tecnico, ma il principale ostacolo alla trasferibilità dei risultati: un intervento può essere altamente efficace in condizioni ideali e tuttavia rendere assai meno nella pratica, se le condizioni che ne sostengono l’efficacia non vengono riprodotte. Per questa ragione la sesta parte non si limita a documentare l’efficacia degli studi, ma interroga sistematicamente le condizioni della sua riproducibilità, e dedica la propria ultima sezione alla trasferibilità al contesto pugliese, dove quelle condizioni dovranno essere costruite e non possono essere presupposte.</w:t>
      </w:r>
    </w:p>
    <w:bookmarkEnd w:id="304"/>
    <w:bookmarkStart w:id="306" w:name="Xf25401fed67895eb7a99d70537b7994ea0e468a"/>
    <w:p>
      <w:pPr>
        <w:pStyle w:val="Heading3"/>
      </w:pPr>
      <w:r>
        <w:rPr>
          <w:b/>
          <w:bCs/>
        </w:rPr>
        <w:t xml:space="preserve">La graduazione simmetrica e il sistema GRADE</w:t>
      </w:r>
    </w:p>
    <w:p>
      <w:pPr>
        <w:pStyle w:val="FirstParagraph"/>
      </w:pPr>
      <w:r>
        <w:t xml:space="preserve">Lo strumento con cui la parte gradua l’evidenza è il sistema di valutazione della certezza dell’evidenza elaborato dal gruppo di lavoro internazionale dedicato, che classifica la certezza in quattro livelli — alta, moderata, bassa e molto bassa — a partire dal disegno degli studi e modulandola in funzione del rischio di distorsione, dell’incoerenza dei risultati, dell’indirettezza delle evidenze, dell’imprecisione delle stime e del rischio di distorsione da pubblicazione</w:t>
      </w:r>
      <w:r>
        <w:rPr>
          <w:rStyle w:val="FootnoteReference"/>
        </w:rPr>
        <w:footnoteReference w:id="149"/>
      </w:r>
      <w:r>
        <w:t xml:space="preserve">. La scelta di questo sistema risponde a un’esigenza di equità valutativa: esso fornisce un metro unico, applicabile tanto alle affermazioni cliniche quanto a quelle tecnologiche, e impedisce che l’evidenza sull’Intelligenza Artificiale sia valutata con indulgenza maggiore di quella riservata agli interventi clinici tradizionali. La graduazione è simmetrica precisamente in questo senso: la terza sezione, dedicata agli strumenti digitali e all’Intelligenza Artificiale, applica il medesimo sistema GRADE che la prima sezione applica alla cura collaborativa, e i due corpi di evidenza sono confrontabili perché misurati sulla stessa scala.</w:t>
      </w:r>
    </w:p>
    <w:bookmarkEnd w:id="306"/>
    <w:bookmarkStart w:id="307" w:name="larchitettura-della-parte"/>
    <w:p>
      <w:pPr>
        <w:pStyle w:val="Heading3"/>
      </w:pPr>
      <w:r>
        <w:rPr>
          <w:b/>
          <w:bCs/>
        </w:rPr>
        <w:t xml:space="preserve">L’architettura della parte</w:t>
      </w:r>
    </w:p>
    <w:p>
      <w:pPr>
        <w:pStyle w:val="FirstParagraph"/>
      </w:pPr>
      <w:r>
        <w:t xml:space="preserve">Le sei sezioni si dispongono secondo un ordine che riproduce il cammino dalla prova clinica alla sua traduzione contestuale. La prima sezione stabilisce l’efficacia clinica dell’integrazione tra psicologia e cure primarie, ricostruendo la base di evidenza della cura collaborativa e della cura per intensità crescente, esaminando con particolare attenzione il trial IMPACT e il suo caveat sui costi, e graduando l’insieme secondo il sistema GRADE. La seconda sezione colloca questa evidenza in un orizzonte comparativo, richiamando i grandi programmi internazionali di integrazione — le terapie psicologiche del servizio sanitario inglese, il modello olandese di sostegno alla medicina generale, l’iniziativa australiana di accesso migliorato e l’assistenza collaborativa statunitense — e traendone le lezioni pertinenti per la Puglia. La terza sezione affronta l’efficacia degli strumenti digitali e dell’Intelligenza Artificiale, dalla terapia cognitivo-comportamentale erogata via internet ai modelli predittivi, applicandovi la graduazione simmetrica dell’evidenza e mantenendo la subordinazione di questi strumenti alla supervisione umana.</w:t>
      </w:r>
    </w:p>
    <w:p>
      <w:pPr>
        <w:pStyle w:val="BodyText"/>
      </w:pPr>
      <w:r>
        <w:t xml:space="preserve">La quarta sezione costituisce la cerniera concettuale dell’intera parte: essa ricostruisce la catena causale che conduce dall’esito clinico al risparmio fiscale e alla ricaduta sociale, esplicitando gli anelli intermedi — la riduzione dei sintomi, il recupero della funzionalità, la diminuzione del ricorso improprio ai servizi, il rientro al lavoro — e graduando ciascuno di essi, così che le parti economiche successive possano ereditarne la struttura senza forzature. La quinta sezione tratta i dati dei progetti pilota italiani con le cautele che la loro natura impone, riconoscendo il valore di queste esperienze come segnali di fattibilità e, al tempo stesso, il limite che deriva dalla dimensione contenuta dei campioni e dalla prevalenza di letteratura grigia. La sesta e ultima sezione affronta la questione della trasferibilità delle evidenze al contesto pugliese, interrogando le condizioni epidemiologiche, organizzative e di sistema che ne governano la riproducibilità e dichiarando con franchezza ciò che può essere atteso e ciò che dovrà essere costruito.</w:t>
      </w:r>
    </w:p>
    <w:bookmarkEnd w:id="307"/>
    <w:bookmarkStart w:id="309" w:name="X49fcaaf0a0070a22c9c835fe32b31e57f20c767"/>
    <w:p>
      <w:pPr>
        <w:pStyle w:val="Heading3"/>
      </w:pPr>
      <w:r>
        <w:rPr>
          <w:b/>
          <w:bCs/>
        </w:rPr>
        <w:t xml:space="preserve">Ciò che la parte dimostra e ciò che riserva</w:t>
      </w:r>
    </w:p>
    <w:p>
      <w:pPr>
        <w:pStyle w:val="FirstParagraph"/>
      </w:pPr>
      <w:r>
        <w:t xml:space="preserve">L’introduzione si chiude precisando, una volta per tutte, il confine di competenza della sesta parte. Essa dimostra che l’integrazione della psicologia nelle cure primarie migliora gli esiti clinici dei disturbi mentali comuni, ne gradua la certezza, ne ricostruisce i meccanismi e ne saggia la trasferibilità; ma essa non calcola il valore economico di quel miglioramento. La quantificazione monetaria — i costi evitati, i risparmi diretti, i benefici indiretti, il saldo consolidato — è riservata alle parti dedicate alla valutazione economica, dove i vincoli invarianti già richiamati nell’avvertenza governano ogni cifra: gli intervalli di ritorno corretti, il caveat sui risparmi sanitari diretti non statisticamente significativi, la separazione tra grandezze fiscali e sociali e la regola di non duplicazione</w:t>
      </w:r>
      <w:r>
        <w:rPr>
          <w:rStyle w:val="FootnoteReference"/>
        </w:rPr>
        <w:footnoteReference w:id="150"/>
      </w:r>
      <w:r>
        <w:t xml:space="preserve">. La sesta parte fornisce a quelle parti la premessa probatoria; spetterà a esse, e non a questa, trarne le conseguenze economiche entro i limiti che la prudenza impone.</w:t>
      </w:r>
    </w:p>
    <w:p>
      <w:pPr>
        <w:pStyle w:val="BodyText"/>
      </w:pPr>
      <w:r>
        <w:rPr>
          <w:b/>
          <w:bCs/>
        </w:rPr>
        <w:t xml:space="preserve">SEZIONE 6.1</w:t>
      </w:r>
    </w:p>
    <w:bookmarkEnd w:id="309"/>
    <w:bookmarkEnd w:id="310"/>
    <w:bookmarkStart w:id="328" w:name="X5b7e79aa0bdf186f901e9f287e2e49a9a912892"/>
    <w:p>
      <w:pPr>
        <w:pStyle w:val="Heading2"/>
      </w:pPr>
      <w:r>
        <w:rPr>
          <w:b/>
          <w:bCs/>
        </w:rPr>
        <w:t xml:space="preserve">6.1 L’efficacia clinica dell’integrazione tra psicologia e cure primarie</w:t>
      </w:r>
    </w:p>
    <w:p>
      <w:pPr>
        <w:pStyle w:val="FirstParagraph"/>
      </w:pPr>
      <w:r>
        <w:t xml:space="preserve">La prima sezione della sesta parte stabilisce il fatto su cui tutto il resto dell’opera poggia: l’integrazione strutturata della competenza psicologica nelle cure primarie migliora gli esiti clinici dei disturbi mentali comuni in misura documentata da un corpo di evidenza ampio e, per gli esiti principali, di certezza moderata o alta. La sezione ricostruisce questo corpo di evidenza, ne distingue le componenti, ne gradua la certezza e ne dichiara i limiti, senza in alcun punto eccedere ciò che la letteratura sostiene e senza anticipare la traduzione economica che le parti successive svilupperanno. Essa procede dal razionale clinico dell’integrazione alla base sperimentale che lo conferma, dall’esame del trial più influente al modello di erogazione per intensità crescente, dalla discussione delle dimensioni dell’effetto alla graduazione complessiva della certezza.</w:t>
      </w:r>
    </w:p>
    <w:bookmarkStart w:id="314" w:name="il-razionale-clinico-dellintegrazione"/>
    <w:p>
      <w:pPr>
        <w:pStyle w:val="Heading3"/>
      </w:pPr>
      <w:r>
        <w:rPr>
          <w:b/>
          <w:bCs/>
        </w:rPr>
        <w:t xml:space="preserve">6.1.1 Il razionale clinico dell’integrazione</w:t>
      </w:r>
    </w:p>
    <w:p>
      <w:pPr>
        <w:pStyle w:val="FirstParagraph"/>
      </w:pPr>
      <w:r>
        <w:t xml:space="preserve">Il razionale dell’integrazione muove da un dato di fatto epidemiologico e organizzativo insieme. I disturbi mentali comuni — la depressione e i disturbi d’ansia in primo luogo — si presentano in larghissima parte nel contesto delle cure primarie, e non in quello specialistico. È al medico di medicina generale che la persona con sintomatologia depressiva o ansiosa si rivolge per prima, spesso con un quadro misto in cui la sofferenza psichica si intreccia a sintomi somatici e a patologie croniche concomitanti. Il setting delle cure primarie è dunque, di fatto, il luogo in cui la maggior parte dei disturbi mentali comuni viene intercettata; ma è storicamente anche il luogo in cui essi vengono trattati in modo incompleto, perché il modello tradizionale di consultazione, fondato sulla visita breve e sulla prescrizione, non offre le condizioni di tempo, competenza e continuità che il trattamento efficace di questi disturbi richiede</w:t>
      </w:r>
      <w:r>
        <w:rPr>
          <w:rStyle w:val="FootnoteReference"/>
        </w:rPr>
        <w:footnoteReference w:id="151"/>
      </w:r>
      <w:r>
        <w:t xml:space="preserve">.</w:t>
      </w:r>
    </w:p>
    <w:p>
      <w:pPr>
        <w:pStyle w:val="BodyText"/>
      </w:pPr>
      <w:r>
        <w:t xml:space="preserve">Da questo scarto tra il luogo dell’intercettazione e l’adeguatezza del trattamento nasce il divario di trattamento, già misurato nella seconda parte per il contesto pugliese: una quota rilevante di persone con disturbi mentali comuni non riceve alcun trattamento, e una quota ulteriore riceve un trattamento di intensità o durata insufficienti. L’integrazione della psicologia nelle cure primarie è la risposta organizzativa a questo divario. Essa non consiste nel semplice affiancamento di uno psicologo al medico, ma nella riorganizzazione del processo di cura secondo i principi che la ricerca ha individuato come condizioni dell’efficacia: la presa in carico proattiva e non solo reattiva, la misurazione sistematica degli esiti come guida alle decisioni cliniche, la gestione del caso da parte di una figura dedicata, la supervisione specialistica disponibile senza che il paziente debba essere inviato altrove, e l’adattamento dell’intensità dell’intervento alla gravità del quadro</w:t>
      </w:r>
      <w:r>
        <w:rPr>
          <w:rStyle w:val="FootnoteReference"/>
        </w:rPr>
        <w:footnoteReference w:id="152"/>
      </w:r>
      <w:r>
        <w:t xml:space="preserve">.</w:t>
      </w:r>
    </w:p>
    <w:p>
      <w:pPr>
        <w:pStyle w:val="BodyText"/>
      </w:pPr>
      <w:r>
        <w:t xml:space="preserve">Questi principi non sono un’invenzione concettuale, ma la trasposizione al campo della salute mentale del modello di gestione delle patologie croniche che la ricerca sui servizi sanitari ha elaborato e validato. Quel modello aveva mostrato che le condizioni croniche — il diabete, lo scompenso cardiaco, l’ipertensione — non si governano con la logica dell’episodio acuto, ma richiedono continuità, monitoraggio e un’organizzazione che sostenga attivamente l’aderenza e l’adeguamento della terapia nel tempo</w:t>
      </w:r>
      <w:r>
        <w:rPr>
          <w:rStyle w:val="FootnoteReference"/>
        </w:rPr>
        <w:footnoteReference w:id="153"/>
      </w:r>
      <w:r>
        <w:t xml:space="preserve">. La depressione e l’ansia, nella loro frequente cronicità e ricorrenza, condividono questa natura; e la cura collaborativa, che ne deriva, è precisamente l’applicazione di quella logica al disturbo mentale comune. Il razionale clinico dell’integrazione è dunque, prima ancora che un’ipotesi da verificare, la conseguenza di un’analogia strutturale tra la cronicità somatica e quella psichica, e la verifica sperimentale che la sezione esamina nei paragrafi seguenti ne ha confermato la fondatezza.</w:t>
      </w:r>
    </w:p>
    <w:bookmarkEnd w:id="314"/>
    <w:bookmarkStart w:id="318" w:name="Xf7965c559e76a91f88ac0444efb7f781e2ec96e"/>
    <w:p>
      <w:pPr>
        <w:pStyle w:val="Heading3"/>
      </w:pPr>
      <w:r>
        <w:rPr>
          <w:b/>
          <w:bCs/>
        </w:rPr>
        <w:t xml:space="preserve">6.1.2 La base di evidenza: gli studi controllati randomizzati e le meta-analisi sulla cura collaborativa</w:t>
      </w:r>
    </w:p>
    <w:p>
      <w:pPr>
        <w:pStyle w:val="FirstParagraph"/>
      </w:pPr>
      <w:r>
        <w:t xml:space="preserve">Il corpo di evidenza più solido a sostegno dell’integrazione riguarda la cura collaborativa, ed è di natura sperimentale. Esso si fonda su decine di studi controllati randomizzati condotti in contesti, popolazioni e sistemi sanitari diversi, sintetizzati da revisioni sistematiche che ne hanno aggregato i risultati con le tecniche della meta-analisi. La revisione sistematica di riferimento, condotta nell’ambito della collaborazione internazionale dedicata alla valutazione degli interventi sanitari, ha incluso un numero ampio di studi e un numero complessivo di partecipanti dell’ordine delle decine di migliaia, e ha concluso che la cura collaborativa migliora gli esiti della depressione e dell’ansia rispetto alla cura abituale, con effetti che si mantengono nel tempo</w:t>
      </w:r>
      <w:r>
        <w:rPr>
          <w:rStyle w:val="FootnoteReference"/>
        </w:rPr>
        <w:footnoteReference w:id="154"/>
      </w:r>
      <w:r>
        <w:t xml:space="preserve">.</w:t>
      </w:r>
    </w:p>
    <w:p>
      <w:pPr>
        <w:pStyle w:val="BodyText"/>
      </w:pPr>
      <w:r>
        <w:t xml:space="preserve">La direzione dell’effetto è costante: in tutti i confronti principali la cura collaborativa risulta superiore alla cura abituale. L’ampiezza dell’effetto, misurata come differenza media standardizzata, si colloca per la depressione in un intervallo che la convenzione interpretativa qualifica come piccolo-moderato a breve termine, e che si attenua ma permane fino a un orizzonte di circa due anni. Questo profilo — un effetto di ampiezza contenuta ma robusto, coerente tra gli studi e persistente nel tempo — è esattamente ciò che ci si attende da un intervento organizzativo applicato a una condizione cronica su una popolazione ampia: non la guarigione spettacolare del singolo caso, ma uno spostamento sistematico e duraturo della probabilità di risposta e di remissione su scala di popolazione</w:t>
      </w:r>
      <w:r>
        <w:rPr>
          <w:rStyle w:val="FootnoteReference"/>
        </w:rPr>
        <w:footnoteReference w:id="155"/>
      </w:r>
      <w:r>
        <w:t xml:space="preserve">. Per l’ansia il quadro è analogo, con un’ampiezza dell’effetto comparabile e una certezza dell’evidenza che la graduazione GRADE colloca su un livello moderato.</w:t>
      </w:r>
    </w:p>
    <w:p>
      <w:pPr>
        <w:pStyle w:val="BodyText"/>
      </w:pPr>
      <w:r>
        <w:t xml:space="preserve">La robustezza di questo corpo di evidenza non risiede soltanto nel numero degli studi, ma nella loro eterogeneità contestuale. Gli studi sulla cura collaborativa sono stati condotti in sistemi sanitari profondamente diversi, su popolazioni di età e composizione varie, con configurazioni organizzative non identiche; e nonostante questa eterogeneità la direzione dell’effetto si è mantenuta. Questa costanza attraverso la diversità è di per sé un indizio di solidità, perché un effetto che si riproduce in condizioni differenti è meno verosimilmente l’artefatto di un singolo contesto. Al tempo stesso, proprio l’eterogeneità delle configurazioni impone cautela sulla magnitudine attesa in un contesto specifico, perché non tutte le componenti della cura collaborativa contribuiscono in egual misura all’effetto, e la loro presenza o assenza in una data implementazione ne modula il rendimento. La meta-regressione condotta sugli studi ha infatti individuato come la presenza di una gestione del caso strutturata e di una supervisione specialistica regolare sia associata a effetti più marcati, indicazione che la sezione sulla trasferibilità riprenderà per il contesto pugliese</w:t>
      </w:r>
      <w:r>
        <w:rPr>
          <w:rStyle w:val="FootnoteReference"/>
        </w:rPr>
        <w:footnoteReference w:id="156"/>
      </w:r>
      <w:r>
        <w:t xml:space="preserve">.</w:t>
      </w:r>
    </w:p>
    <w:bookmarkEnd w:id="318"/>
    <w:bookmarkStart w:id="321" w:name="il-trial-impact-e-il-suo-caveat"/>
    <w:p>
      <w:pPr>
        <w:pStyle w:val="Heading3"/>
      </w:pPr>
      <w:r>
        <w:rPr>
          <w:b/>
          <w:bCs/>
        </w:rPr>
        <w:t xml:space="preserve">6.1.3 Il trial IMPACT e il suo caveat</w:t>
      </w:r>
    </w:p>
    <w:p>
      <w:pPr>
        <w:pStyle w:val="FirstParagraph"/>
      </w:pPr>
      <w:r>
        <w:t xml:space="preserve">Tra gli studi che compongono questo corpo di evidenza, uno occupa una posizione di particolare rilievo per ampiezza, qualità e influenza: il trial dedicato alla gestione collaborativa della depressione nella popolazione anziana in cure primarie. Esso ha arruolato un numero elevato di partecipanti anziani con depressione, distribuiti in numerose organizzazioni sanitarie, e ha confrontato un programma di cura collaborativa con la cura abituale. Il risultato clinico è stato netto e di certezza alta: i partecipanti assegnati alla cura collaborativa hanno mostrato un tasso di risposta al trattamento circa doppio rispetto a quelli assegnati alla cura abituale, con un miglioramento corrispondente della funzionalità e della qualità della vita</w:t>
      </w:r>
      <w:r>
        <w:rPr>
          <w:rStyle w:val="FootnoteReference"/>
        </w:rPr>
        <w:footnoteReference w:id="157"/>
      </w:r>
      <w:r>
        <w:t xml:space="preserve">. Questo risultato ha rappresentato una delle dimostrazioni più convincenti dell’efficacia clinica dell’integrazione, e ha contribuito in modo decisivo alla diffusione del modello nei sistemi sanitari avanzati.</w:t>
      </w:r>
    </w:p>
    <w:p>
      <w:pPr>
        <w:pStyle w:val="BodyText"/>
      </w:pPr>
      <w:r>
        <w:t xml:space="preserve">Accanto al risultato clinico, tuttavia, il medesimo trial e le sue analisi economiche di lungo periodo impongono un caveat che questo studio integrale assume come vincolo invariante. L’analisi dei costi sanitari complessivi condotta su un orizzonte pluriennale ha mostrato una tendenza al risparmio per il programma di cura collaborativa rispetto alla cura abituale; ma quella tendenza non ha raggiunto la significatività statistica, ossia l’intervallo di confidenza al novantacinque per cento della differenza di costo ha continuato ad attraversare lo zero. In termini rigorosi, ciò significa che i dati sono compatibili tanto con un risparmio quanto con l’assenza di risparmio sui costi sanitari diretti, e che non è lecito presentare il risparmio sanitario diretto come un risultato acquisito</w:t>
      </w:r>
      <w:r>
        <w:rPr>
          <w:rStyle w:val="FootnoteReference"/>
        </w:rPr>
        <w:footnoteReference w:id="158"/>
      </w:r>
      <w:r>
        <w:t xml:space="preserve">.</w:t>
      </w:r>
    </w:p>
    <w:p>
      <w:pPr>
        <w:pStyle w:val="BodyText"/>
      </w:pPr>
      <w:r>
        <w:rPr>
          <w:i/>
          <w:iCs/>
        </w:rPr>
        <w:t xml:space="preserve">Il risultato clinico del trial IMPACT è di certezza alta; il risultato di costo no. La cura collaborativa migliora gli esiti in modo dimostrato, ma il risparmio sui costi sanitari diretti che ne deriverebbe non raggiunge la significatività statistica. Questo caveat è preservato in ogni punto dell’opera in cui la materia lo renda pertinente.</w:t>
      </w:r>
    </w:p>
    <w:p>
      <w:pPr>
        <w:pStyle w:val="BodyText"/>
      </w:pPr>
      <w:r>
        <w:t xml:space="preserve">La conservazione di questo caveat è una scelta metodologica deliberata e non una concessione alla prudenza retorica. Essa risponde a una distinzione che attraversa l’intero studio: l’efficacia clinica e il risparmio economico sono due affermazioni distinte, sostenute da evidenze distinte e con gradi di certezza distinti. Dimostrare che un intervento migliora gli esiti non equivale a dimostrare che esso fa risparmiare, e tanto meno che esso si ripaga; e l’onestà di una valutazione economica si misura precisamente dalla sua capacità di tenere separati questi due piani. Le parti economiche di questo studio costruiranno le proprie stime di risparmio diretto su basi proprie e dichiarate, entro gli intervalli di ritorno corretti e con bande prudenziali; ma esse non potranno mai invocare il risultato clinico del trial IMPACT come prova del risparmio sanitario diretto, perché quel trial, sul piano del costo sanitario diretto, non lo dimostra. Il caveat è dunque, al tempo stesso, un limite e una garanzia: limita ciò che si può affermare, e garantisce che ciò che si afferma sia sostenuto.</w:t>
      </w:r>
    </w:p>
    <w:bookmarkEnd w:id="321"/>
    <w:bookmarkStart w:id="324" w:name="Xde61c0158f307761489d2b997681d5668ed67f6"/>
    <w:p>
      <w:pPr>
        <w:pStyle w:val="Heading3"/>
      </w:pPr>
      <w:r>
        <w:rPr>
          <w:b/>
          <w:bCs/>
        </w:rPr>
        <w:t xml:space="preserve">6.1.4 La cura per intensità crescente e la cura commisurata</w:t>
      </w:r>
    </w:p>
    <w:p>
      <w:pPr>
        <w:pStyle w:val="FirstParagraph"/>
      </w:pPr>
      <w:r>
        <w:t xml:space="preserve">La cura collaborativa non si eroga in modo uniforme a tutti i pazienti, ma secondo il principio dell’intensità crescente, che adatta la profondità dell’intervento alla gravità del quadro e alla risposta osservata. Questo principio organizza l’assistenza in livelli successivi: ai quadri lievi si offrono interventi a bassa intensità, come l’autoaiuto guidato, gli interventi psicoeducativi o la terapia cognitivo-comportamentale erogata via internet; ai quadri che non rispondono o che presentano gravità maggiore si offrono interventi più intensivi, fino alla psicoterapia strutturata e alla consulenza specialistica. La progressione tra i livelli è governata dalla misurazione sistematica degli esiti, che segnala quando l’intervento in atto è sufficiente e quando occorre intensificarlo</w:t>
      </w:r>
      <w:r>
        <w:rPr>
          <w:rStyle w:val="FootnoteReference"/>
        </w:rPr>
        <w:footnoteReference w:id="159"/>
      </w:r>
      <w:r>
        <w:t xml:space="preserve">.</w:t>
      </w:r>
    </w:p>
    <w:p>
      <w:pPr>
        <w:pStyle w:val="BodyText"/>
      </w:pPr>
      <w:r>
        <w:t xml:space="preserve">Il fondamento di questo principio non è soltanto clinico ma anche allocativo, e ne fa una delle ragioni della sostenibilità economica del modello, che le parti successive svilupperanno. Riservando le prestazioni più intensive e costose ai casi che effettivamente le richiedono, la cura per intensità crescente impiega le risorse specialistiche in modo più parsimonioso di quanto farebbe un modello che offrisse a tutti il medesimo livello di intervento. La revisione sistematica dedicata a questo modello di erogazione ha mostrato che esso conserva un’efficacia coerente con quella della cura collaborativa, con un uso più efficiente delle prestazioni intensive; la certezza dell’evidenza su questo punto è collocata dalla graduazione GRADE su un livello moderato</w:t>
      </w:r>
      <w:r>
        <w:rPr>
          <w:rStyle w:val="FootnoteReference"/>
        </w:rPr>
        <w:footnoteReference w:id="160"/>
      </w:r>
      <w:r>
        <w:t xml:space="preserve">. È importante, tuttavia, distinguere la cura per intensità crescente in senso proprio, in cui il paziente avanza tra i livelli in funzione della risposta osservata, dalla cura commisurata, in cui il livello iniziale è scelto sin dall’inizio in base alla gravità del quadro: la prima minimizza l’impiego di risorse ma può ritardare l’intervento adeguato per i quadri più gravi, la seconda riduce questo rischio al prezzo di una maggiore intensità iniziale media. La scelta tra le due configurazioni non è neutra e sarà ripresa nella sezione sulla trasferibilità, perché essa incide tanto sugli esiti quanto sui costi del servizio pugliese.</w:t>
      </w:r>
    </w:p>
    <w:bookmarkEnd w:id="324"/>
    <w:bookmarkStart w:id="326" w:name="X556ac68ae7e4872ec7d252cbdc29918f9a4db1b"/>
    <w:p>
      <w:pPr>
        <w:pStyle w:val="Heading3"/>
      </w:pPr>
      <w:r>
        <w:rPr>
          <w:b/>
          <w:bCs/>
        </w:rPr>
        <w:t xml:space="preserve">6.1.5 Le dimensioni dell’effetto e la significatività clinica</w:t>
      </w:r>
    </w:p>
    <w:p>
      <w:pPr>
        <w:pStyle w:val="FirstParagraph"/>
      </w:pPr>
      <w:r>
        <w:t xml:space="preserve">La corretta interpretazione delle dimensioni dell’effetto è essenziale per non sopravvalutare né sottovalutare ciò che la cura collaborativa produce. L’effetto sulla sintomatologia depressiva, di ampiezza piccola-moderata sul piano della differenza media standardizzata, potrebbe a prima vista apparire modesto; ma questa impressione deriva da un fraintendimento della scala. Un effetto di ampiezza contenuta, applicato a una popolazione ampia, sposta una quota rilevante di pazienti dalla condizione di non risposta a quella di risposta, e dalla risposta alla remissione; e poiché i costi sanitari e sociali della depressione si concentrano nei casi non in remissione, anche uno spostamento contenuto della distribuzione produce, su scala di popolazione, una variazione apprezzabile del carico complessivo. La significatività clinica di un effetto non si misura dunque soltanto dalla sua ampiezza puntuale, ma dal numero di persone che esso porta al di sopra della soglia di risposta e dalla durata di quel risultato</w:t>
      </w:r>
      <w:r>
        <w:rPr>
          <w:rStyle w:val="FootnoteReference"/>
        </w:rPr>
        <w:footnoteReference w:id="161"/>
      </w:r>
      <w:r>
        <w:t xml:space="preserve">.</w:t>
      </w:r>
    </w:p>
    <w:p>
      <w:pPr>
        <w:pStyle w:val="BodyText"/>
      </w:pPr>
      <w:r>
        <w:t xml:space="preserve">A questa considerazione si aggiunge quella sulla persistenza. Un effetto che svanisse al termine dell’intervento avrebbe un valore limitato, sia clinico sia economico; un effetto che permane, come quello documentato dalla cura collaborativa fino a un orizzonte di circa due anni, produce invece benefici cumulati nel tempo, perché ciascun mese di funzionalità recuperata si aggiunge ai precedenti. La sezione sottolinea però, con la dovuta cautela, che la persistenza documentata negli studi non garantisce di per sé una persistenza indefinita, e che oltre l’orizzonte osservato le proiezioni divengono più incerte: le parti dedicate alla modellazione e all’incertezza tratteranno esplicitamente questo punto, adottando bande prudenziali e previsioni falsificabili anziché estrapolazioni ottimistiche. La significatività clinica dell’effetto è, in sintesi, reale e duratura entro l’orizzonte osservato, ma non illimitata; ed è su questa base misurata, e non su una sua amplificazione, che le parti economiche costruiranno le proprie stime.</w:t>
      </w:r>
    </w:p>
    <w:bookmarkEnd w:id="326"/>
    <w:bookmarkStart w:id="327" w:name="X85004027a59793c9fe0370ff574a2b23ff8dda2"/>
    <w:p>
      <w:pPr>
        <w:pStyle w:val="Heading3"/>
      </w:pPr>
      <w:r>
        <w:rPr>
          <w:b/>
          <w:bCs/>
        </w:rPr>
        <w:t xml:space="preserve">6.1.6 La graduazione GRADE dell’evidenza clinica</w:t>
      </w:r>
    </w:p>
    <w:p>
      <w:pPr>
        <w:pStyle w:val="FirstParagraph"/>
      </w:pPr>
      <w:r>
        <w:t xml:space="preserve">La sezione si chiude con la graduazione complessiva della certezza dell’evidenza clinica, condotta secondo il sistema GRADE e riassunta nel prospetto seguente. Per l’esito principale — il miglioramento della sintomatologia depressiva attraverso la cura collaborativa — la certezza è collocata su un livello da moderato ad alto, giustificato dal disegno sperimentale degli studi, dalla coerenza della direzione dell’effetto, dalla numerosità complessiva dei partecipanti e dalla persistenza dei risultati; la presenza di una certa eterogeneità nelle configurazioni e nelle stime di ampiezza giustifica, in alcuni confronti, una collocazione su un livello moderato anziché alto. Per l’ansia la certezza è moderata, con un corpo di evidenza solido ma meno esteso di quello disponibile per la depressione. Per il risultato clinico del trial IMPACT la certezza è alta sul piano dell’esito; per il corrispondente risultato di costo, come si è detto, la certezza è bassa, a causa dell’imprecisione della stima il cui intervallo di confidenza attraversa lo zero. Per la cura per intensità crescente la certezza è moderata.</w:t>
      </w:r>
    </w:p>
    <w:p>
      <w:pPr>
        <w:pStyle w:val="BodyText"/>
      </w:pPr>
      <w:r>
        <w:t xml:space="preserve">Questa graduazione è il principale lascito che la prima sezione consegna al resto dell’opera. Essa stabilisce che l’efficacia clinica dell’integrazione è dimostrata con certezza moderata o alta per gli esiti principali, e che su questa base — e soltanto entro i limiti di questa base — le parti successive potranno costruire le proprie argomentazioni. La distinzione tra la certezza alta dell’esito clinico del trial IMPACT e la certezza bassa del suo esito di costo è, in particolare, l’applicazione concreta del principio che governa l’intera opera: l’efficacia e il risparmio sono affermazioni distinte, e la solidità della prima non si trasferisce automaticamente al secondo. La tabella che segue riepiloga la graduazione, e il prospetto infografico che la accompagna ne offrirà, in sede di impaginazione definitiva, una rappresentazione sinottica.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Disegno / fonte</w:t>
            </w:r>
          </w:p>
        </w:tc>
        <w:tc>
          <w:tcPr>
            <w:shd w:val="clear" w:color="auto" w:fill="16264B"/>
          </w:tcPr>
          <w:p>
            <w:pPr>
              <w:pStyle w:val="Compact"/>
              <w:spacing w:after="40" w:before="40"/>
              <w:jc w:val="left"/>
            </w:pPr>
            <w:r>
              <w:rPr>
                <w:rFonts w:ascii="Cambria" w:hAnsi="Cambria" w:cs="Cambria" w:eastAsia="Cambria"/>
                <w:b/>
                <w:bCs/>
                <w:color w:val="FFFFFF"/>
                <w:sz w:val="18"/>
              </w:rPr>
              <w:t xml:space="preserve">Esito principale</w:t>
            </w:r>
          </w:p>
        </w:tc>
        <w:tc>
          <w:tcPr>
            <w:shd w:val="clear" w:color="auto" w:fill="16264B"/>
          </w:tcPr>
          <w:p>
            <w:pPr>
              <w:pStyle w:val="Compact"/>
              <w:spacing w:after="40" w:before="40"/>
              <w:jc w:val="left"/>
            </w:pPr>
            <w:r>
              <w:rPr>
                <w:rFonts w:ascii="Cambria" w:hAnsi="Cambria" w:cs="Cambria" w:eastAsia="Cambria"/>
                <w:b/>
                <w:bCs/>
                <w:color w:val="FFFFFF"/>
                <w:sz w:val="18"/>
              </w:rPr>
              <w:t xml:space="preserve">Stima dell’effetto (direzione e ampiezza)</w:t>
            </w:r>
          </w:p>
        </w:tc>
        <w:tc>
          <w:tcPr>
            <w:shd w:val="clear" w:color="auto" w:fill="16264B"/>
          </w:tcPr>
          <w:p>
            <w:pPr>
              <w:pStyle w:val="Compact"/>
              <w:spacing w:after="40" w:before="40"/>
              <w:jc w:val="left"/>
            </w:pPr>
            <w:r>
              <w:rPr>
                <w:rFonts w:ascii="Cambria" w:hAnsi="Cambria" w:cs="Cambria" w:eastAsia="Cambria"/>
                <w:b/>
                <w:bCs/>
                <w:color w:val="FFFFFF"/>
                <w:sz w:val="18"/>
              </w:rPr>
              <w:t xml:space="preserve">Certezza GRADE</w:t>
            </w:r>
          </w:p>
        </w:tc>
      </w:tr>
      <w:tr>
        <w:tc>
          <w:tcPr/>
          <w:p>
            <w:pPr>
              <w:pStyle w:val="Compact"/>
              <w:spacing w:after="40" w:before="40"/>
              <w:jc w:val="left"/>
            </w:pPr>
            <w:r>
              <w:rPr>
                <w:rFonts w:ascii="Cambria" w:hAnsi="Cambria" w:cs="Cambria" w:eastAsia="Cambria"/>
                <w:color w:val="1A1A1A"/>
                <w:sz w:val="18"/>
              </w:rPr>
              <w:t xml:space="preserve">Meta-analisi di studi controllati randomizzati sulla cura collaborativa (depressione)</w:t>
            </w:r>
          </w:p>
        </w:tc>
        <w:tc>
          <w:tcPr/>
          <w:p>
            <w:pPr>
              <w:pStyle w:val="Compact"/>
              <w:spacing w:after="40" w:before="40"/>
              <w:jc w:val="left"/>
            </w:pPr>
            <w:r>
              <w:rPr>
                <w:rFonts w:ascii="Cambria" w:hAnsi="Cambria" w:cs="Cambria" w:eastAsia="Cambria"/>
                <w:color w:val="1A1A1A"/>
                <w:sz w:val="18"/>
              </w:rPr>
              <w:t xml:space="preserve">Riduzione della sintomatologia depressiva a breve termine</w:t>
            </w:r>
          </w:p>
        </w:tc>
        <w:tc>
          <w:tcPr/>
          <w:p>
            <w:pPr>
              <w:pStyle w:val="Compact"/>
              <w:spacing w:after="40" w:before="40"/>
              <w:jc w:val="left"/>
            </w:pPr>
            <w:r>
              <w:rPr>
                <w:rFonts w:ascii="Cambria" w:hAnsi="Cambria" w:cs="Cambria" w:eastAsia="Cambria"/>
                <w:color w:val="1A1A1A"/>
                <w:sz w:val="18"/>
              </w:rPr>
              <w:t xml:space="preserve">Differenza media standardizzata in favore della cura collaborativa, di ampiezza piccola-moderata, persistente fino a circa due anni</w:t>
            </w:r>
          </w:p>
        </w:tc>
        <w:tc>
          <w:tcPr/>
          <w:p>
            <w:pPr>
              <w:pStyle w:val="Compact"/>
              <w:spacing w:after="40" w:before="40"/>
              <w:jc w:val="left"/>
            </w:pPr>
            <w:r>
              <w:rPr>
                <w:rFonts w:ascii="Cambria" w:hAnsi="Cambria" w:cs="Cambria" w:eastAsia="Cambria"/>
                <w:color w:val="1A1A1A"/>
                <w:sz w:val="18"/>
              </w:rPr>
              <w:t xml:space="preserve">Moderata-alta</w:t>
            </w:r>
          </w:p>
        </w:tc>
      </w:tr>
      <w:tr>
        <w:tc>
          <w:tcPr>
            <w:shd w:val="clear" w:color="auto" w:fill="F4F1EC"/>
          </w:tcPr>
          <w:p>
            <w:pPr>
              <w:pStyle w:val="Compact"/>
              <w:spacing w:after="40" w:before="40"/>
              <w:jc w:val="left"/>
            </w:pPr>
            <w:r>
              <w:rPr>
                <w:rFonts w:ascii="Cambria" w:hAnsi="Cambria" w:cs="Cambria" w:eastAsia="Cambria"/>
                <w:color w:val="1A1A1A"/>
                <w:sz w:val="18"/>
              </w:rPr>
              <w:t xml:space="preserve">Meta-analisi di studi controllati randomizzati sulla cura collaborativa (ansia)</w:t>
            </w:r>
          </w:p>
        </w:tc>
        <w:tc>
          <w:tcPr>
            <w:shd w:val="clear" w:color="auto" w:fill="F4F1EC"/>
          </w:tcPr>
          <w:p>
            <w:pPr>
              <w:pStyle w:val="Compact"/>
              <w:spacing w:after="40" w:before="40"/>
              <w:jc w:val="left"/>
            </w:pPr>
            <w:r>
              <w:rPr>
                <w:rFonts w:ascii="Cambria" w:hAnsi="Cambria" w:cs="Cambria" w:eastAsia="Cambria"/>
                <w:color w:val="1A1A1A"/>
                <w:sz w:val="18"/>
              </w:rPr>
              <w:t xml:space="preserve">Riduzione della sintomatologia ansiosa</w:t>
            </w:r>
          </w:p>
        </w:tc>
        <w:tc>
          <w:tcPr>
            <w:shd w:val="clear" w:color="auto" w:fill="F4F1EC"/>
          </w:tcPr>
          <w:p>
            <w:pPr>
              <w:pStyle w:val="Compact"/>
              <w:spacing w:after="40" w:before="40"/>
              <w:jc w:val="left"/>
            </w:pPr>
            <w:r>
              <w:rPr>
                <w:rFonts w:ascii="Cambria" w:hAnsi="Cambria" w:cs="Cambria" w:eastAsia="Cambria"/>
                <w:color w:val="1A1A1A"/>
                <w:sz w:val="18"/>
              </w:rPr>
              <w:t xml:space="preserve">Differenza media standardizzata in favore della cura collaborativa, di ampiezza piccola-moderata</w:t>
            </w:r>
          </w:p>
        </w:tc>
        <w:tc>
          <w:tcPr>
            <w:shd w:val="clear" w:color="auto" w:fill="F4F1EC"/>
          </w:tcPr>
          <w:p>
            <w:pPr>
              <w:pStyle w:val="Compact"/>
              <w:spacing w:after="40" w:before="40"/>
              <w:jc w:val="left"/>
            </w:pPr>
            <w:r>
              <w:rPr>
                <w:rFonts w:ascii="Cambria" w:hAnsi="Cambria" w:cs="Cambria" w:eastAsia="Cambria"/>
                <w:color w:val="1A1A1A"/>
                <w:sz w:val="18"/>
              </w:rPr>
              <w:t xml:space="preserve">Moderata</w:t>
            </w:r>
          </w:p>
        </w:tc>
      </w:tr>
      <w:tr>
        <w:tc>
          <w:tcPr/>
          <w:p>
            <w:pPr>
              <w:pStyle w:val="Compact"/>
              <w:spacing w:after="40" w:before="40"/>
              <w:jc w:val="left"/>
            </w:pPr>
            <w:r>
              <w:rPr>
                <w:rFonts w:ascii="Cambria" w:hAnsi="Cambria" w:cs="Cambria" w:eastAsia="Cambria"/>
                <w:color w:val="1A1A1A"/>
                <w:sz w:val="18"/>
              </w:rPr>
              <w:t xml:space="preserve">Trial IMPACT (depressione tardiva, anziani)</w:t>
            </w:r>
          </w:p>
        </w:tc>
        <w:tc>
          <w:tcPr/>
          <w:p>
            <w:pPr>
              <w:pStyle w:val="Compact"/>
              <w:spacing w:after="40" w:before="40"/>
              <w:jc w:val="left"/>
            </w:pPr>
            <w:r>
              <w:rPr>
                <w:rFonts w:ascii="Cambria" w:hAnsi="Cambria" w:cs="Cambria" w:eastAsia="Cambria"/>
                <w:color w:val="1A1A1A"/>
                <w:sz w:val="18"/>
              </w:rPr>
              <w:t xml:space="preserve">Risposta al trattamento a dodici mesi</w:t>
            </w:r>
          </w:p>
        </w:tc>
        <w:tc>
          <w:tcPr/>
          <w:p>
            <w:pPr>
              <w:pStyle w:val="Compact"/>
              <w:spacing w:after="40" w:before="40"/>
              <w:jc w:val="left"/>
            </w:pPr>
            <w:r>
              <w:rPr>
                <w:rFonts w:ascii="Cambria" w:hAnsi="Cambria" w:cs="Cambria" w:eastAsia="Cambria"/>
                <w:color w:val="1A1A1A"/>
                <w:sz w:val="18"/>
              </w:rPr>
              <w:t xml:space="preserve">Tasso di risposta circa doppio rispetto alla cura abituale</w:t>
            </w:r>
          </w:p>
        </w:tc>
        <w:tc>
          <w:tcPr/>
          <w:p>
            <w:pPr>
              <w:pStyle w:val="Compact"/>
              <w:spacing w:after="40" w:before="40"/>
              <w:jc w:val="left"/>
            </w:pPr>
            <w:r>
              <w:rPr>
                <w:rFonts w:ascii="Cambria" w:hAnsi="Cambria" w:cs="Cambria" w:eastAsia="Cambria"/>
                <w:color w:val="1A1A1A"/>
                <w:sz w:val="18"/>
              </w:rPr>
              <w:t xml:space="preserve">Alta (esito clinico)</w:t>
            </w:r>
          </w:p>
        </w:tc>
      </w:tr>
      <w:tr>
        <w:tc>
          <w:tcPr>
            <w:shd w:val="clear" w:color="auto" w:fill="F4F1EC"/>
          </w:tcPr>
          <w:p>
            <w:pPr>
              <w:pStyle w:val="Compact"/>
              <w:spacing w:after="40" w:before="40"/>
              <w:jc w:val="left"/>
            </w:pPr>
            <w:r>
              <w:rPr>
                <w:rFonts w:ascii="Cambria" w:hAnsi="Cambria" w:cs="Cambria" w:eastAsia="Cambria"/>
                <w:color w:val="1A1A1A"/>
                <w:sz w:val="18"/>
              </w:rPr>
              <w:t xml:space="preserve">Trial IMPACT — analisi economica di lungo periodo</w:t>
            </w:r>
          </w:p>
        </w:tc>
        <w:tc>
          <w:tcPr>
            <w:shd w:val="clear" w:color="auto" w:fill="F4F1EC"/>
          </w:tcPr>
          <w:p>
            <w:pPr>
              <w:pStyle w:val="Compact"/>
              <w:spacing w:after="40" w:before="40"/>
              <w:jc w:val="left"/>
            </w:pPr>
            <w:r>
              <w:rPr>
                <w:rFonts w:ascii="Cambria" w:hAnsi="Cambria" w:cs="Cambria" w:eastAsia="Cambria"/>
                <w:color w:val="1A1A1A"/>
                <w:sz w:val="18"/>
              </w:rPr>
              <w:t xml:space="preserve">Costi sanitari complessivi a quattro anni</w:t>
            </w:r>
          </w:p>
        </w:tc>
        <w:tc>
          <w:tcPr>
            <w:shd w:val="clear" w:color="auto" w:fill="F4F1EC"/>
          </w:tcPr>
          <w:p>
            <w:pPr>
              <w:pStyle w:val="Compact"/>
              <w:spacing w:after="40" w:before="40"/>
              <w:jc w:val="left"/>
            </w:pPr>
            <w:r>
              <w:rPr>
                <w:rFonts w:ascii="Cambria" w:hAnsi="Cambria" w:cs="Cambria" w:eastAsia="Cambria"/>
                <w:color w:val="1A1A1A"/>
                <w:sz w:val="18"/>
              </w:rPr>
              <w:t xml:space="preserve">Tendenza al risparmio non statisticamente significativa: l’intervallo di confidenza attraversa lo zero</w:t>
            </w:r>
          </w:p>
        </w:tc>
        <w:tc>
          <w:tcPr>
            <w:shd w:val="clear" w:color="auto" w:fill="F4F1EC"/>
          </w:tcPr>
          <w:p>
            <w:pPr>
              <w:pStyle w:val="Compact"/>
              <w:spacing w:after="40" w:before="40"/>
              <w:jc w:val="left"/>
            </w:pPr>
            <w:r>
              <w:rPr>
                <w:rFonts w:ascii="Cambria" w:hAnsi="Cambria" w:cs="Cambria" w:eastAsia="Cambria"/>
                <w:color w:val="1A1A1A"/>
                <w:sz w:val="18"/>
              </w:rPr>
              <w:t xml:space="preserve">Bassa (esito di costo)</w:t>
            </w:r>
          </w:p>
        </w:tc>
      </w:tr>
      <w:tr>
        <w:tc>
          <w:tcPr/>
          <w:p>
            <w:pPr>
              <w:pStyle w:val="Compact"/>
              <w:spacing w:after="40" w:before="40"/>
              <w:jc w:val="left"/>
            </w:pPr>
            <w:r>
              <w:rPr>
                <w:rFonts w:ascii="Cambria" w:hAnsi="Cambria" w:cs="Cambria" w:eastAsia="Cambria"/>
                <w:color w:val="1A1A1A"/>
                <w:sz w:val="18"/>
              </w:rPr>
              <w:t xml:space="preserve">Revisione sistematica della cura per intensità crescente</w:t>
            </w:r>
          </w:p>
        </w:tc>
        <w:tc>
          <w:tcPr/>
          <w:p>
            <w:pPr>
              <w:pStyle w:val="Compact"/>
              <w:spacing w:after="40" w:before="40"/>
              <w:jc w:val="left"/>
            </w:pPr>
            <w:r>
              <w:rPr>
                <w:rFonts w:ascii="Cambria" w:hAnsi="Cambria" w:cs="Cambria" w:eastAsia="Cambria"/>
                <w:color w:val="1A1A1A"/>
                <w:sz w:val="18"/>
              </w:rPr>
              <w:t xml:space="preserve">Efficacia complessiva con allocazione efficiente delle risorse</w:t>
            </w:r>
          </w:p>
        </w:tc>
        <w:tc>
          <w:tcPr/>
          <w:p>
            <w:pPr>
              <w:pStyle w:val="Compact"/>
              <w:spacing w:after="40" w:before="40"/>
              <w:jc w:val="left"/>
            </w:pPr>
            <w:r>
              <w:rPr>
                <w:rFonts w:ascii="Cambria" w:hAnsi="Cambria" w:cs="Cambria" w:eastAsia="Cambria"/>
                <w:color w:val="1A1A1A"/>
                <w:sz w:val="18"/>
              </w:rPr>
              <w:t xml:space="preserve">Effetti coerenti con la cura collaborativa, con uso più parsimonioso delle prestazioni intensive</w:t>
            </w:r>
          </w:p>
        </w:tc>
        <w:tc>
          <w:tcPr/>
          <w:p>
            <w:pPr>
              <w:pStyle w:val="Compact"/>
              <w:spacing w:after="40" w:before="40"/>
              <w:jc w:val="left"/>
            </w:pPr>
            <w:r>
              <w:rPr>
                <w:rFonts w:ascii="Cambria" w:hAnsi="Cambria" w:cs="Cambria" w:eastAsia="Cambria"/>
                <w:color w:val="1A1A1A"/>
                <w:sz w:val="18"/>
              </w:rPr>
              <w:t xml:space="preserve">Moderata</w:t>
            </w:r>
          </w:p>
        </w:tc>
      </w:tr>
    </w:tbl>
    <w:p>
      <w:pPr>
        <w:pStyle w:val="BodyText"/>
      </w:pPr>
      <w:r>
        <w:rPr>
          <w:i/>
          <w:iCs/>
        </w:rPr>
        <w:t xml:space="preserve">Tabella 6.1 — Sintesi e graduazione GRADE dell’evidenza clinica sull’integrazione della psicologia nelle cure primarie. Le stime sono espresse in forma qualitativa; la quantificazione economica è riservata alle parti dedicate alla valutazione economica.</w:t>
      </w:r>
    </w:p>
    <w:p>
      <w:pPr>
        <w:pStyle w:val="BodyText"/>
      </w:pPr>
      <w:r>
        <w:t xml:space="preserve">Con la graduazione dell’evidenza clinica la prima sezione ha assolto il proprio compito. È stabilito, con certezza moderata o alta, che l’integrazione strutturata della psicologia nelle cure primarie migliora gli esiti dei disturbi mentali comuni; è stabilito che il modello di erogazione per intensità crescente conserva questa efficacia impiegando le risorse in modo più efficiente; ed è stabilito, con pari rigore, che il risparmio sui costi sanitari diretti non condivide la solidità dell’esito clinico. Su questa base la seconda sezione potrà ora collocare l’evidenza pugliese e italiana nell’orizzonte dei grandi programmi internazionali di integrazione, traendone le lezioni che la sezione sulla trasferibilità ricondurrà infine al contesto della Regione.</w:t>
      </w:r>
    </w:p>
    <w:p>
      <w:pPr>
        <w:pStyle w:val="SourceCode"/>
      </w:pPr>
      <w:r>
        <w:rPr>
          <w:rStyle w:val="VerbatimChar"/>
        </w:rPr>
        <w:t xml:space="preserve">    Efficacia, evidenza e meccanismi di impatto     L. De Michele · giugno 2026</w:t>
      </w:r>
    </w:p>
    <w:p>
      <w:r>
        <w:br w:type="page"/>
      </w:r>
    </w:p>
    <w:p>
      <w:pPr>
        <w:pStyle w:val="FirstParagraph"/>
      </w:pPr>
      <w:r>
        <w:rPr>
          <w:i/>
          <w:iCs/>
        </w:rPr>
        <w:t xml:space="preserve">Studio Integrale, Finale e Definitivo · Parte VII · Progetto «Psicologo di Base» · Puglia</w:t>
      </w:r>
    </w:p>
    <w:p>
      <w:pPr>
        <w:pStyle w:val="BodyText"/>
      </w:pPr>
      <w:r>
        <w:rPr>
          <w:i/>
          <w:iCs/>
        </w:rPr>
        <w:t xml:space="preserve">Studio Integrale, Finale e Definitivo · Parte VII · Progetto «Psicologo di Base» · Puglia</w:t>
      </w:r>
    </w:p>
    <w:p>
      <w:pPr>
        <w:pStyle w:val="BodyText"/>
      </w:pPr>
      <w:r>
        <w:rPr>
          <w:b/>
          <w:bCs/>
        </w:rPr>
        <w:t xml:space="preserve">PROGETTO «PSICOLOGO DI BASE» · REGIONE PUGLIA</w:t>
      </w:r>
    </w:p>
    <w:p>
      <w:pPr>
        <w:pStyle w:val="BodyText"/>
      </w:pPr>
      <w:r>
        <w:rPr>
          <w:b/>
          <w:bCs/>
        </w:rPr>
        <w:t xml:space="preserve">Parte VII</w:t>
      </w:r>
    </w:p>
    <w:p>
      <w:pPr>
        <w:pStyle w:val="BodyText"/>
      </w:pPr>
      <w:r>
        <w:rPr>
          <w:b/>
          <w:bCs/>
        </w:rPr>
        <w:t xml:space="preserve">Costi diretti della riforma</w:t>
      </w:r>
    </w:p>
    <w:p>
      <w:pPr>
        <w:pStyle w:val="BodyText"/>
      </w:pPr>
      <w:r>
        <w:t xml:space="preserve">rinegoziazione integrale lungo la cascata delle figure</w:t>
      </w:r>
    </w:p>
    <w:p>
      <w:pPr>
        <w:pStyle w:val="BodyText"/>
      </w:pPr>
      <w:r>
        <w:rPr>
          <w:i/>
          <w:iCs/>
        </w:rPr>
        <w:t xml:space="preserve">Il costo del personale, della struttura e del coordinamento, della leva digitale e dell’Intelligenza Artificiale e della formazione, ricostruito e rinegoziato lungo la cascata gerarchica piramidale che muove dallo Psicologo di Base</w:t>
      </w:r>
    </w:p>
    <w:p>
      <w:pPr>
        <w:pStyle w:val="BodyText"/>
      </w:pPr>
      <w:r>
        <w:t xml:space="preserve">Perimetro multidisciplinare integrale · Cascata gerarchica piramidale dallo Psicologo di Base</w:t>
      </w:r>
    </w:p>
    <w:p>
      <w:pPr>
        <w:pStyle w:val="BodyText"/>
      </w:pPr>
      <w:r>
        <w:t xml:space="preserve">L’Intelligenza Artificiale come leva abilitante, non come oggetto centrale</w:t>
      </w:r>
    </w:p>
    <w:p>
      <w:pPr>
        <w:pStyle w:val="BodyText"/>
      </w:pPr>
      <w:r>
        <w:t xml:space="preserve">Telaio HTA · Five Case Model · CHEERS 2022 · criteri OCSE-DAC</w:t>
      </w:r>
    </w:p>
    <w:bookmarkEnd w:id="327"/>
    <w:bookmarkEnd w:id="328"/>
    <w:bookmarkStart w:id="334" w:name="Xca6b95fc0dff6cfa621ad7e9203826e3daab7c5"/>
    <w:p>
      <w:pPr>
        <w:pStyle w:val="Heading1"/>
      </w:pPr>
      <w:r>
        <w:t xml:space="preserve">Avvertenza sui vincoli metodologici invarianti</w:t>
      </w:r>
    </w:p>
    <w:p>
      <w:pPr>
        <w:pStyle w:val="FirstParagraph"/>
      </w:pPr>
      <w:r>
        <w:t xml:space="preserve">La presente Parte è soggetta, in ogni sua stima, ai vincoli metodologici invarianti che governano l’intero studio integrale e che qui si richiamano perché nessuna quantificazione di costo possa, neppure indirettamente, contraddirli. Il rendimento economico degli investimenti in salute mentale è espresso nei soli intervalli validati dalla letteratura, compresi tra 2,3 e 3,0 a 1 per i soli benefici economici e tra 3,3 e 5,7 a 1 con l’inclusione dei ritorni in salute, e il riferimento divulgativo al rapporto di quattro a uno è inteso unicamente entro questi limiti.</w:t>
      </w:r>
      <w:r>
        <w:rPr>
          <w:rStyle w:val="FootnoteReference"/>
        </w:rPr>
        <w:footnoteReference w:id="162"/>
      </w:r>
      <w:r>
        <w:t xml:space="preserve"> </w:t>
      </w:r>
      <w:r>
        <w:t xml:space="preserve">Il monito dell’IMPACT trial, secondo cui il risparmio sui costi sanitari diretti, considerato isolatamente, non raggiunge in tutti gli studi la significatività statistica, è preservato e richiamato ogni volta che la trattazione tocchi il nesso tra costo sostenuto e risparmio atteso.</w:t>
      </w:r>
      <w:r>
        <w:rPr>
          <w:rStyle w:val="FootnoteReference"/>
        </w:rPr>
        <w:footnoteReference w:id="163"/>
      </w:r>
      <w:r>
        <w:t xml:space="preserve"> </w:t>
      </w:r>
      <w:r>
        <w:t xml:space="preserve">Le grandezze fiscali dirette e quelle sociali e indirette sono mantenute rigorosamente distinte, senza alcuna duplicazione tra le categorie, e la presente Parte si occupa esclusivamente dei costi diretti, rinviando alle Parti ottava e nona la trattazione, rispettivamente, dei risparmi diretti e dei costi e benefici indiretti.</w:t>
      </w:r>
    </w:p>
    <w:p>
      <w:pPr>
        <w:pStyle w:val="BodyText"/>
      </w:pPr>
      <w:r>
        <w:t xml:space="preserve">Ogni grandezza di costo è costruita per scenari e corredata di bande prudenziali, ed è soggetta a una correzione esplicita per la tendenza sistematica all’ottimismo nelle stime, che in materia di costi si traduce in una maggiorazione cautelativa anziché in una riduzione.</w:t>
      </w:r>
      <w:r>
        <w:rPr>
          <w:rStyle w:val="FootnoteReference"/>
        </w:rPr>
        <w:footnoteReference w:id="164"/>
      </w:r>
      <w:r>
        <w:t xml:space="preserve"> </w:t>
      </w:r>
      <w:r>
        <w:t xml:space="preserve">L’evidenza che sostiene l’efficacia delle figure e degli strumenti, compresa quella relativa all’Intelligenza Artificiale, è graduata secondo la sua qualità con il medesimo rigore applicato alle affermazioni cliniche, e l’Intelligenza Artificiale è mantenuta, una volta per tutte, nella posizione di leva abilitante subordinata alla supervisione umana, e non di oggetto autonomo dell’analisi.</w:t>
      </w:r>
      <w:r>
        <w:rPr>
          <w:rStyle w:val="FootnoteReference"/>
        </w:rPr>
        <w:footnoteReference w:id="165"/>
      </w:r>
      <w:r>
        <w:t xml:space="preserve"> </w:t>
      </w:r>
      <w:r>
        <w:t xml:space="preserve">La rendicontazione dei costi aderisce, infine, allo standard internazionale di trasparenza della valutazione economica, che impone di dichiarare le fonti, le assunzioni e i limiti di ciascuna stima.</w:t>
      </w:r>
      <w:r>
        <w:rPr>
          <w:rStyle w:val="FootnoteReference"/>
        </w:rPr>
        <w:footnoteReference w:id="166"/>
      </w:r>
    </w:p>
    <w:bookmarkEnd w:id="334"/>
    <w:bookmarkStart w:id="335" w:name="indice-della-parte-vii"/>
    <w:p>
      <w:pPr>
        <w:pStyle w:val="Heading1"/>
      </w:pPr>
      <w:r>
        <w:t xml:space="preserve">Indice della Parte VII</w:t>
      </w:r>
    </w:p>
    <w:p>
      <w:pPr>
        <w:pStyle w:val="FirstParagraph"/>
      </w:pPr>
      <w:r>
        <w:rPr>
          <w:b/>
          <w:bCs/>
        </w:rPr>
        <w:t xml:space="preserve">Premessa e criterio ordinatore della Parte</w:t>
      </w:r>
    </w:p>
    <w:p>
      <w:pPr>
        <w:pStyle w:val="BodyText"/>
      </w:pPr>
      <w:r>
        <w:rPr>
          <w:b/>
          <w:bCs/>
        </w:rPr>
        <w:t xml:space="preserve">Introduzione: i principi del calcolo dei costi diretti e l’ordinamento dei costi lungo la cascata</w:t>
      </w:r>
    </w:p>
    <w:p>
      <w:pPr>
        <w:pStyle w:val="BodyText"/>
      </w:pPr>
      <w:r>
        <w:rPr>
          <w:b/>
          <w:bCs/>
        </w:rPr>
        <w:t xml:space="preserve">7.1</w:t>
      </w:r>
      <w:r>
        <w:rPr>
          <w:b/>
          <w:bCs/>
        </w:rPr>
        <w:t xml:space="preserve"> </w:t>
      </w:r>
      <w:r>
        <w:t xml:space="preserve">Il costo del personale lungo la cascata delle figure</w:t>
      </w:r>
    </w:p>
    <w:p>
      <w:pPr>
        <w:pStyle w:val="BodyText"/>
      </w:pPr>
      <w:r>
        <w:rPr>
          <w:b/>
          <w:bCs/>
        </w:rPr>
        <w:t xml:space="preserve">7.2</w:t>
      </w:r>
      <w:r>
        <w:rPr>
          <w:b/>
          <w:bCs/>
        </w:rPr>
        <w:t xml:space="preserve"> </w:t>
      </w:r>
      <w:r>
        <w:t xml:space="preserve">I costi di struttura, coordinamento e organizzazione · [tranche successiva]</w:t>
      </w:r>
    </w:p>
    <w:p>
      <w:pPr>
        <w:pStyle w:val="BodyText"/>
      </w:pPr>
      <w:r>
        <w:rPr>
          <w:b/>
          <w:bCs/>
        </w:rPr>
        <w:t xml:space="preserve">7.3</w:t>
      </w:r>
      <w:r>
        <w:rPr>
          <w:b/>
          <w:bCs/>
        </w:rPr>
        <w:t xml:space="preserve"> </w:t>
      </w:r>
      <w:r>
        <w:t xml:space="preserve">Il costo incrementale della leva digitale e dell’Intelligenza Artificiale · [tranche successiva]</w:t>
      </w:r>
    </w:p>
    <w:p>
      <w:pPr>
        <w:pStyle w:val="BodyText"/>
      </w:pPr>
      <w:r>
        <w:rPr>
          <w:b/>
          <w:bCs/>
        </w:rPr>
        <w:t xml:space="preserve">7.4</w:t>
      </w:r>
      <w:r>
        <w:rPr>
          <w:b/>
          <w:bCs/>
        </w:rPr>
        <w:t xml:space="preserve"> </w:t>
      </w:r>
      <w:r>
        <w:t xml:space="preserve">Il costo della formazione: le quattro modalità, singole e combinate · [tranche successiva]</w:t>
      </w:r>
    </w:p>
    <w:p>
      <w:pPr>
        <w:pStyle w:val="BodyText"/>
      </w:pPr>
      <w:r>
        <w:rPr>
          <w:b/>
          <w:bCs/>
        </w:rPr>
        <w:t xml:space="preserve">7.5</w:t>
      </w:r>
      <w:r>
        <w:rPr>
          <w:b/>
          <w:bCs/>
        </w:rPr>
        <w:t xml:space="preserve"> </w:t>
      </w:r>
      <w:r>
        <w:t xml:space="preserve">Il costo diretto complessivo per scenario di dimensionamento · [tranche successiva]</w:t>
      </w:r>
    </w:p>
    <w:p>
      <w:pPr>
        <w:pStyle w:val="BodyText"/>
      </w:pPr>
      <w:r>
        <w:rPr>
          <w:b/>
          <w:bCs/>
        </w:rPr>
        <w:t xml:space="preserve">Quadro conclusivo economico-sociale e multidisciplinare integrale · [tranche successiva]</w:t>
      </w:r>
    </w:p>
    <w:p>
      <w:pPr>
        <w:pStyle w:val="BodyText"/>
      </w:pPr>
      <w:r>
        <w:rPr>
          <w:b/>
          <w:bCs/>
        </w:rPr>
        <w:t xml:space="preserve">Conclusione · [tranche successiva]</w:t>
      </w:r>
    </w:p>
    <w:p>
      <w:pPr>
        <w:pStyle w:val="BodyText"/>
      </w:pPr>
      <w:r>
        <w:rPr>
          <w:b/>
          <w:bCs/>
        </w:rPr>
        <w:t xml:space="preserve">Note bibliografiche integrali con mini-riassunto · [tranche successiva]</w:t>
      </w:r>
    </w:p>
    <w:bookmarkEnd w:id="335"/>
    <w:bookmarkStart w:id="423" w:name="X79f63605f547456a76009bc01709a67e5548d79"/>
    <w:p>
      <w:pPr>
        <w:pStyle w:val="Heading1"/>
      </w:pPr>
      <w:r>
        <w:t xml:space="preserve">Parte VII — Costi diretti (rinegoziazione integrale)</w:t>
      </w:r>
    </w:p>
    <w:bookmarkStart w:id="337" w:name="X4d9acbf9623f1a105771efeb5253f26a920ff92"/>
    <w:p>
      <w:pPr>
        <w:pStyle w:val="Heading2"/>
      </w:pPr>
      <w:r>
        <w:t xml:space="preserve">Premessa e criterio ordinatore della Parte</w:t>
      </w:r>
    </w:p>
    <w:p>
      <w:pPr>
        <w:pStyle w:val="FirstParagraph"/>
      </w:pPr>
      <w:r>
        <w:t xml:space="preserve">La settima Parte dello studio apre il versante economico dell’opera e ne costituisce il primo dei due capitoli dedicati alla rinegoziazione delle grandezze monetarie della riforma. Mentre le Parti precedenti hanno fissato il mandato e il metodo, ricostruito il bisogno e il contesto, ordinato le figure lungo la cascata gerarchica piramidale, descritto il modello organizzativo e le sue leve abilitanti e graduato l’evidenza di efficacia, la presente Parte assume il compito di quantificare ciò che la riforma costa, nella sua dimensione diretta, lungo l’intera cascata delle figure e secondo gli scenari di dimensionamento adottati. La Parte ottava ne costituirà il complemento speculare, quantificando i risparmi diretti che la medesima riforma genera; e la Parte nona estenderà l’analisi all’intero perimetro multidisciplinare integrale, sul versante dei costi e dei benefici indiretti. La presente Parte, dunque, non esaurisce la valutazione economica, ma ne pone il primo fondamento, ricostruendo con rigore il costo che il bilancio pubblico regionale deve sostenere perché il servizio esista e operi a regime.</w:t>
      </w:r>
    </w:p>
    <w:p>
      <w:pPr>
        <w:pStyle w:val="BodyText"/>
      </w:pPr>
      <w:r>
        <w:t xml:space="preserve">La distinzione tra costo diretto e costo indiretto, che la Parte prima ha stabilito come cardine dell’intera architettura economica, governa interamente la presente trattazione e merita di essere richiamata con precisione, poiché è dalla sua corretta applicazione che dipende la credibilità dell’intero impianto. Per costo diretto si intende, in questa sede, l’esborso monetario che il Servizio Sanitario Regionale e, in subordine, il bilancio pubblico regionale nel suo insieme devono sostenere per realizzare e far funzionare il servizio: il costo del personale che lo eroga, il costo delle strutture, del coordinamento e dell’organizzazione che lo sorreggono, il costo incrementale degli strumenti digitali e dell’Intelligenza Artificiale che lo potenziano, il costo della formazione che ne abilita le competenze. Tali grandezze sono di natura affatto diversa rispetto ai costi indiretti — la perdita di produttività, il carico assistenziale sulle famiglie, gli oneri previdenziali e sociali — che la riforma riduce e che la Parte nona quantificherà sul versante dei benefici, e la cui confusione con i costi diretti costituisce una delle fonti più frequenti di errore nelle valutazioni dei programmi sanitari. La presente Parte mantiene perciò una separazione assoluta tra ciò che la riforma costa al bilancio pubblico e ciò che essa libera per la collettività, e ogni grandezza qui esposta è un esborso effettivo, non un beneficio mancato né un costo sociale evitato.</w:t>
      </w:r>
    </w:p>
    <w:p>
      <w:pPr>
        <w:pStyle w:val="BodyText"/>
      </w:pPr>
      <w:r>
        <w:t xml:space="preserve">Il termine «rinegoziazione», che figura nel titolo della Parte e che ne designa la funzione specifica, richiede a sua volta una definizione esatta. Rinegoziare i costi diretti non significa ricalcolarli ex novo prescindendo dal lavoro già svolto, né alterarne la sostanza per piegarli a una conclusione predeterminata. Significa ridefinirli alla luce di due acquisizioni che le Parti precedenti hanno introdotto e che modificano il quadro entro cui i costi vanno letti: da un lato il perimetro integrale, che impone di considerare non più le sole quattro figure del nucleo originario, ma l’intera cascata professionale, socio-sanitaria, educativa e istituzionale che la riforma mette in movimento; dall’altro le leve abilitanti, e segnatamente la leva digitale e la formazione, che incidono sulla struttura dei costi non solo aggiungendovi voci nuove, ma modificando il costo delle voci preesistenti. La rinegoziazione consiste, in questo senso preciso, nel ricostruire i costi diretti entro il perimetro ampliato e alla luce delle leve, mantenendo invariati i principi del calcolo e i vincoli metodologici, e restituendo per ciascuno scenario di dimensionamento un costo diretto complessivo che il decisore possa confrontare con i risparmi diretti della Parte ottava e con il saldo consolidato della Parte decima.</w:t>
      </w:r>
    </w:p>
    <w:p>
      <w:pPr>
        <w:pStyle w:val="BodyText"/>
      </w:pPr>
      <w:r>
        <w:t xml:space="preserve">Nel telaio metodologico validato, la presente Parte sviluppa il lato dei costi della valutazione economica, corrispondente alla componente di costo della Parte E del corpus regionale, e adotta i principi del calcolo dei costi propri della disciplina, fondati sul metodo analitico di costruzione dal basso e sulla distinzione esplicita delle prospettive di analisi.</w:t>
      </w:r>
      <w:r>
        <w:rPr>
          <w:rStyle w:val="FootnoteReference"/>
        </w:rPr>
        <w:footnoteReference w:id="167"/>
      </w:r>
      <w:r>
        <w:t xml:space="preserve"> </w:t>
      </w:r>
      <w:r>
        <w:t xml:space="preserve">L’ordine espositivo della Parte riflette l’ordine della cascata e la struttura in strati del programma. La sezione 7.1 ricostruisce il costo del personale lungo la cascata delle figure, che costituisce la voce di gran lunga preponderante del costo diretto; la sezione 7.2 quantifica i costi di struttura, coordinamento e organizzazione; la sezione 7.3 isola il costo incrementale della leva digitale e dell’Intelligenza Artificiale; la sezione 7.4 ricostruisce il costo della formazione nelle sue quattro modalità, considerate sia singolarmente sia in combinazione; la sezione 7.5 ricompone le voci in un costo diretto complessivo per ciascuno scenario di dimensionamento. Il quadro conclusivo, la conclusione e le note bibliografiche integrali chiudono la Parte.</w:t>
      </w:r>
    </w:p>
    <w:p>
      <w:pPr>
        <w:pStyle w:val="BodyText"/>
      </w:pPr>
      <w:r>
        <w:t xml:space="preserve">È opportuno anticipare, sin da questa premessa, l’ordine di grandezza cui la rinegoziazione perverrà, affinché il lettore disponga del termine di riferimento entro cui collocare le quantificazioni analitiche delle sezioni successive. Il costo diretto del modello base, ossia della riforma organizzativa che integra lo Psicologo di Base nelle cure primarie a piena copertura e a regime, si colloca nell’ordine di quaranta milioni di euro annui, all’interno di un intervallo prudenziale compreso tra trentotto e quarantuno milioni; a esso si aggiungono il costo incrementale della componente di Intelligenza Artificiale, dell’ordine di un milione e mezzo annuo a regime, e il costo del programma formativo integrato, dell’ordine di quattro milioni annui, per un costo diretto complessivo del programma integrato dell’ordine di quarantacinque-quarantasei milioni di euro annui a regime, a fronte di un sovraccosto di avvio concentrato nei primi due esercizi. Le sezioni che seguono ricostruiscono analiticamente ciascuna di queste grandezze, ne esplicitano le assunzioni e le distribuiscono lungo la cascata e nel tempo, restituendo al decisore non un dato aggregato indifferenziato, ma la struttura interna del costo che la riforma comporta.</w:t>
      </w:r>
    </w:p>
    <w:bookmarkEnd w:id="337"/>
    <w:bookmarkStart w:id="345" w:name="Xbf7daa7a9305d1f3bb6f7059b54a088362ba89d"/>
    <w:p>
      <w:pPr>
        <w:pStyle w:val="Heading2"/>
      </w:pPr>
      <w:r>
        <w:t xml:space="preserve">Introduzione: i principi del calcolo dei costi diretti e l’ordinamento dei costi lungo la cascata</w:t>
      </w:r>
    </w:p>
    <w:p>
      <w:pPr>
        <w:pStyle w:val="FirstParagraph"/>
      </w:pPr>
      <w:r>
        <w:t xml:space="preserve">La quantificazione dei costi diretti di un programma sanitario non è un’operazione meramente contabile, ma poggia su un insieme di scelte metodologiche che ne determinano la validità e la confrontabilità, e che è necessario esplicitare prima di procedere al calcolo. La presente introduzione enuncia tali scelte nell’ordine in cui esse condizionano la trattazione: il metodo di costruzione dei costi, le prospettive di analisi, il principio di non duplicazione applicato al versante dei costi, la correzione per l’ottimismo, la struttura per scenari e per strati, e infine il criterio con cui la cascata delle figure ordina i costi distinguendo chi genera un esborso di cassa, chi un costo-opportunità e chi nessun costo per il bilancio sanitario.</w:t>
      </w:r>
    </w:p>
    <w:bookmarkStart w:id="339" w:name="X198f514a55d93ab5fcfc06ab27e143009fcfa7a"/>
    <w:p>
      <w:pPr>
        <w:pStyle w:val="Heading3"/>
      </w:pPr>
      <w:r>
        <w:t xml:space="preserve">Il metodo di costruzione dei costi dal basso</w:t>
      </w:r>
    </w:p>
    <w:p>
      <w:pPr>
        <w:pStyle w:val="FirstParagraph"/>
      </w:pPr>
      <w:r>
        <w:t xml:space="preserve">Il presente studio adotta il metodo analitico di costruzione dei costi dal basso, che la disciplina della valutazione economica indica come il più robusto e il più trasparente quando il programma da valutare è definito nelle sue componenti operative.</w:t>
      </w:r>
      <w:r>
        <w:rPr>
          <w:rStyle w:val="FootnoteReference"/>
        </w:rPr>
        <w:footnoteReference w:id="168"/>
      </w:r>
      <w:r>
        <w:t xml:space="preserve"> </w:t>
      </w:r>
      <w:r>
        <w:t xml:space="preserve">Tale metodo procede identificando le risorse fisiche che il servizio impiega — le ore di lavoro delle figure professionali, gli spazi, le attrezzature, i sistemi informativi, le attività formative — e valorizzando ciascuna risorsa al suo costo unitario, per poi aggregare le voci risultanti nel costo complessivo. Il metodo dal basso si distingue dal metodo dall’alto, che ripartisce un costo aggregato preesistente tra le sue componenti, e gli è preferibile in questa sede perché consente di rendere esplicita ogni assunzione e di sottoporla a verifica, anziché celarla in un dato sintetico. Ogni grandezza esposta nelle sezioni successive è perciò scomposta nelle risorse fisiche che la generano e nei costi unitari che la valorizzano, secondo una catena di calcolo che il lettore può percorrere e, ove lo ritenga, contestare nei suoi singoli anelli.</w:t>
      </w:r>
    </w:p>
    <w:p>
      <w:pPr>
        <w:pStyle w:val="BodyText"/>
      </w:pPr>
      <w:r>
        <w:t xml:space="preserve">L’adozione del metodo dal basso comporta una conseguenza che governa l’intera Parte: la stima del costo diretto non è un numero unico, ma un intervallo, perché ciascun costo unitario e ciascuna quantità di risorsa sono essi stessi noti entro una banda di incertezza. La trattazione restituisce perciò, per ogni voce, non soltanto un valore centrale, ma l’intervallo prudenziale entro cui il valore si colloca, e costruisce l’intervallo complessivo aggregando gli intervalli delle componenti secondo regole esplicite. Questa scelta, che accresce la complessità dell’esposizione, è imposta dal vincolo di prudenza e di falsificabilità che governa l’opera: un costo dichiarato come intervallo è un costo onesto, perché riconosce ciò che non si sa, mentre un costo dichiarato come valore puntuale è, nella materia che qui si tratta, una finzione di precisione.</w:t>
      </w:r>
    </w:p>
    <w:bookmarkEnd w:id="339"/>
    <w:bookmarkStart w:id="340" w:name="X98fd6f40cf83cbf8f1c557a35a97272e8a92502"/>
    <w:p>
      <w:pPr>
        <w:pStyle w:val="Heading3"/>
      </w:pPr>
      <w:r>
        <w:t xml:space="preserve">Le tre prospettive di analisi applicate al versante dei costi</w:t>
      </w:r>
    </w:p>
    <w:p>
      <w:pPr>
        <w:pStyle w:val="FirstParagraph"/>
      </w:pPr>
      <w:r>
        <w:t xml:space="preserve">Il modello economico del progetto adotta tre prospettive di analisi distinte e complementari, la cui confusione è, come si è ricordato, una delle fonti più frequenti di errore. Sul versante dei costi, tali prospettive si traducono in tre nozioni diverse di costo, che la presente Parte mantiene rigorosamente separate. La prospettiva finanziaria considera i flussi monetari effettivi che la realizzazione e il funzionamento del servizio comportano, ed è quella propria del calcolo del costo diretto: essa registra ciò che il bilancio pubblico effettivamente eroga, in stipendi, canoni, ammortamenti e spese. La prospettiva di bilancio, propria dell’analisi di impatto, considera la quota di tali esborsi che grava specificamente sul Servizio Sanitario Regionale, distinguendola dagli oneri che ricadono su altri capitoli o su altri soggetti pubblici. La prospettiva sociale, propria dell’analisi costi-benefici economica, considera il costo-opportunità delle risorse impiegate, ossia il valore che esse avrebbero prodotto nel loro impiego alternativo migliore, e include perciò anche il costo di risorse che non transitano da un esborso monetario, quale il tempo di lavoro di figure già retribuite dal sistema.</w:t>
      </w:r>
    </w:p>
    <w:p>
      <w:pPr>
        <w:pStyle w:val="BodyText"/>
      </w:pPr>
      <w:r>
        <w:t xml:space="preserve">La distinzione tra costo di cassa e costo-opportunità è decisiva per la corretta imputazione dei costi lungo la cascata, e merita di essere fissata sin d’ora con un esempio che le sezioni successive svilupperanno. L’introduzione dello Psicologo di Base comporta un costo di cassa, perché la figura è di nuova istituzione e la sua retribuzione costituisce un esborso aggiuntivo per il bilancio pubblico. La partecipazione del medico di medicina generale alla coppia clinica, per contro, non comporta un costo di cassa aggiuntivo, perché il medico è già retribuito dal sistema e la riforma si limita a riorientare una frazione del suo tempo; essa comporta tuttavia un costo-opportunità, perché quel tempo, dedicato al coordinamento con lo Psicologo di Base, è sottratto ad altri impieghi. La presente Parte, che ha per oggetto i costi diretti nella loro dimensione di cassa, registra il primo come esborso e tratta il secondo come costo-opportunità da segnalare separatamente, senza sommarlo all’esborso, affinché il decisore non scambi un riorientamento di tempo già pagato per una spesa nuova, né, all’opposto, ignori l’onere reale che esso comporta sul piano economico.</w:t>
      </w:r>
    </w:p>
    <w:bookmarkEnd w:id="340"/>
    <w:bookmarkStart w:id="341" w:name="Xa542a311d3fc43b8f9c148c0411d3a18e858ed4"/>
    <w:p>
      <w:pPr>
        <w:pStyle w:val="Heading3"/>
      </w:pPr>
      <w:r>
        <w:t xml:space="preserve">Il principio di non duplicazione applicato ai costi</w:t>
      </w:r>
    </w:p>
    <w:p>
      <w:pPr>
        <w:pStyle w:val="FirstParagraph"/>
      </w:pPr>
      <w:r>
        <w:t xml:space="preserve">Il principio di non duplicazione, che l’opera applica con rigore sul versante dei benefici per impedire che il medesimo risparmio sia attribuito a più cause, opera con eguale forza sul versante dei costi, dove impone di non contabilizzare due volte la medesima risorsa. La struttura in strati del programma, che distingue il modello base, l’innesto dell’Intelligenza Artificiale e il programma formativo integrato, è precisamente lo strumento che garantisce l’assenza di duplicazioni, perché ciascuno strato è definito come incremento rispetto al precedente e ne esclude per costruzione le componenti. Il costo del personale clinico, ricostruito nella sezione 7.1, appartiene al modello base e non è ricompreso nel costo della componente di Intelligenza Artificiale della sezione 7.3, che registra unicamente l’incremento tecnologico; e il costo della formazione di base, parte del modello base, è distinto dal costo del programma formativo integrato della sezione 7.4, che registra unicamente l’investimento aggiuntivo sulle competenze. La trattazione segnala esplicitamente, ogni volta che una voce potrebbe essere imputata a più strati, lo strato cui essa è attribuita e la ragione dell’attribuzione, affinché la somma finale della sezione 7.5 non comporti alcuna sovrapposizione.</w:t>
      </w:r>
    </w:p>
    <w:bookmarkEnd w:id="341"/>
    <w:bookmarkStart w:id="343" w:name="X465f9277c5d095d3ca16698898ec4f8ed89fa4a"/>
    <w:p>
      <w:pPr>
        <w:pStyle w:val="Heading3"/>
      </w:pPr>
      <w:r>
        <w:t xml:space="preserve">La correzione per l’ottimismo e la struttura per scenari</w:t>
      </w:r>
    </w:p>
    <w:p>
      <w:pPr>
        <w:pStyle w:val="FirstParagraph"/>
      </w:pPr>
      <w:r>
        <w:t xml:space="preserve">La letteratura sulla valutazione degli investimenti pubblici documenta in modo trasversale una tendenza sistematica a sottostimare i costi e a sovrastimare i benefici, che il telaio del progetto corregge mediante un dispositivo esplicito.</w:t>
      </w:r>
      <w:r>
        <w:rPr>
          <w:rStyle w:val="FootnoteReference"/>
        </w:rPr>
        <w:footnoteReference w:id="169"/>
      </w:r>
      <w:r>
        <w:t xml:space="preserve"> </w:t>
      </w:r>
      <w:r>
        <w:t xml:space="preserve">Sul versante dei costi, la correzione per l’ottimismo si traduce in una maggiorazione cautelativa delle stime, applicata in particolare alle voci di avvio e a quelle tecnologiche, che sono soggette a maggiore incertezza e a più frequente sottostima. La presente Parte incorpora tale correzione adottando, per le conclusioni, il valore centrale o l’estremo superiore degli intervalli di costo, e maggiorando prudenzialmente le voci di prima implementazione; in tal modo, la stima del costo diretto non è una stima ottimistica che potrebbe essere smentita al rialzo, ma una stima cautelativa che lascia un margine a fronte degli imprevisti.</w:t>
      </w:r>
    </w:p>
    <w:p>
      <w:pPr>
        <w:pStyle w:val="BodyText"/>
      </w:pPr>
      <w:r>
        <w:t xml:space="preserve">Tutte le grandezze di costo sono costruite secondo tre scenari, in coerenza con l’approccio adottato nell’intera relazione e in modo speculare rispetto agli scenari dei benefici. Lo scenario conservativo, sul versante dei costi, non coincide con quello che assume i costi più bassi, bensì con quello prudenzialmente più oneroso a parità di output, perché la prudenza, in materia di costi, impone di assumere l’ipotesi più cara; esso adotta i costi unitari più elevati e un dimensionamento dell’organico al limite superiore del fabbisogno. Lo scenario centrale adotta i costi unitari e il dimensionamento prudenzialmente più probabili e costituisce il riferimento per la decisione. Lo scenario espansivo, infine, adotta i costi unitari più contenuti e un dimensionamento efficiente, e rappresenta il costo realisticamente attingibile a condizione di una buona organizzazione e di condizioni contrattuali favorevoli. Per evitare ambiguità, la trattazione esplicita per ciascuna voce quale ipotesi di costo unitario e di quantità sia associata a ciascuno scenario, e costruisce gli aggregati combinando coerentemente le ipotesi.</w:t>
      </w:r>
    </w:p>
    <w:bookmarkEnd w:id="343"/>
    <w:bookmarkStart w:id="344" w:name="X6d83968d7c678d0a2f05dc27646ce64a7326456"/>
    <w:p>
      <w:pPr>
        <w:pStyle w:val="Heading3"/>
      </w:pPr>
      <w:r>
        <w:t xml:space="preserve">L’ordinamento dei costi lungo la cascata gerarchica piramidale</w:t>
      </w:r>
    </w:p>
    <w:p>
      <w:pPr>
        <w:pStyle w:val="FirstParagraph"/>
      </w:pPr>
      <w:r>
        <w:t xml:space="preserve">Il principio ordinatore dell’intera opera, la cascata gerarchica piramidale che muove dallo Psicologo di Base, governa anche l’imputazione dei costi diretti, e lo fa secondo una logica che è necessario esplicitare perché essa rovescia, sul versante dei costi, l’ordine che la cascata possiede sul versante dei benefici. Sul versante dei benefici, come la Parte terza ha stabilito, l’apice della piramide possiede la massima influenza ma una capacità di rientro indiretta, mentre i livelli inferiori e gli attori di sistema raccolgono in aggregato la maggiore capacità di rientro economico e sociale. Sul versante dei costi, l’ordine è opposto: è l’apice della piramide, lo Psicologo di Base, a generare la quasi totalità del costo diretto di cassa, perché è la figura di nuova istituzione che la riforma deve retribuire, mentre i livelli inferiori generano costi progressivamente decrescenti — costi-opportunità di tempo per le figure di secondo livello, costi marginali o assorbiti per le figure di terzo e quarto livello — fino agli attori di sistema della base, che non generano alcun costo diretto per il bilancio sanitario regionale e che si collocano interamente sul versante dei benefici.</w:t>
      </w:r>
    </w:p>
    <w:p>
      <w:pPr>
        <w:pStyle w:val="BodyText"/>
      </w:pPr>
      <w:r>
        <w:t xml:space="preserve">Questa asimmetria tra la distribuzione dei costi e quella dei benefici lungo la cascata non è un’anomalia, ma la struttura stessa del valore della riforma, ed è la ragione economica per cui l’investimento è conveniente: il costo è concentrato in un’unica figura apicale di costo contenuto, mentre il valore è diffuso lungo l’intera cascata e raccolto in aggregato dagli attori di sistema. La presente Parte rende esplicita tale concentrazione del costo, ricostruendo nella sezione 7.1 il costo del personale lungo la cascata secondo quattro classi di imputazione, che distinguono le figure il cui costo è interamente incrementale, quelle il cui coinvolgimento comporta un costo-opportunità di tempo, quelle il cui costo è marginale o assorbito dal sistema esistente e quelle che non generano alcun costo diretto per il Servizio Sanitario Regionale. È precisamente questa concentrazione del costo nell’apice, congiunta alla diffusione del valore lungo la cascata, a fondare la convenienza dell’investimento che le Parti ottava, nona e decima documenteranno; e l’ordine espositivo della presente Parte ne è la traduzione analitica.</w:t>
      </w:r>
    </w:p>
    <w:p>
      <w:pPr>
        <w:pStyle w:val="BodyText"/>
      </w:pPr>
      <w:r>
        <w:t xml:space="preserve">Resta, in questa collocazione, ferma la posizione subordinata dell’Intelligenza Artificiale, che la sezione 7.3 ricostruirà sul versante dei costi con il medesimo rigore con cui le Parti precedenti l’hanno collocata sul versante dell’efficacia. Lo strumento computazionale non è un centro di costo autonomo che si aggiunge al servizio, ma una leva abilitante il cui costo incrementale è di entità contenuta rispetto al costo del personale, e il cui effetto sul versante dei costi è duplice: da un lato esso aggiunge una voce nuova, dall’altro riduce, attraverso l’automazione di compiti amministrativi, una frazione dei costi operativi del servizio, esercitando un parziale autofinanziamento che la sezione 7.3 quantificherà. La trattazione mantiene perciò l’Intelligenza Artificiale nella sua posizione di leva, e ne valuta il costo non in isolamento, ma in rapporto al costo complessivo del servizio che essa contribuisce a rendere più efficiente.</w:t>
      </w:r>
    </w:p>
    <w:bookmarkEnd w:id="344"/>
    <w:bookmarkEnd w:id="345"/>
    <w:bookmarkStart w:id="363" w:name="Xa5359281a3d34562f542773046ee931b3d7b03c"/>
    <w:p>
      <w:pPr>
        <w:pStyle w:val="Heading2"/>
      </w:pPr>
      <w:r>
        <w:t xml:space="preserve">7.1 Il costo del personale lungo la cascata delle figure</w:t>
      </w:r>
    </w:p>
    <w:p>
      <w:pPr>
        <w:pStyle w:val="FirstParagraph"/>
      </w:pPr>
      <w:r>
        <w:t xml:space="preserve">Il costo del personale costituisce, in ogni programma di servizi alla persona e segnatamente in un servizio clinico di prossimità quale quello che la riforma istituisce, la voce di gran lunga preponderante del costo diretto, e la sua corretta ricostruzione è perciò la condizione su cui poggia l’attendibilità dell’intera valutazione economica. La presente sezione ricostruisce tale costo lungo l’intera cascata delle figure, dall’apice occupato dallo Psicologo di Base fino agli attori di sistema della base, applicando un criterio di imputazione che distingue, per ciascuna figura, la natura del costo che essa genera e la prospettiva di analisi entro cui tale costo si manifesta. La sezione si articola, di conseguenza, in un’esposizione preliminare del criterio di imputazione, in una trattazione analitica del costo di ciascun livello della cascata, e in un consolidamento finale che ricompone il costo del personale in una stima per scenario, corredata di bande prudenziali e di una previsione falsificabile.</w:t>
      </w:r>
    </w:p>
    <w:p>
      <w:pPr>
        <w:pStyle w:val="BodyText"/>
      </w:pPr>
      <w:r>
        <w:t xml:space="preserve">La preponderanza del costo del personale, che le sezioni successive quantificheranno, non è una caratteristica accidentale del programma, ma il riflesso della sua natura: la riforma non acquista tecnologie costose né edifica strutture nuove, ma istituisce una funzione clinica che si esercita attraverso il tempo qualificato di professionisti. Ne discende che il costo diretto del servizio è, in misura prevalente, il costo del tempo di lavoro dello Psicologo di Base e, in misura minore, il costo del personale amministrativo che ne supporta l’attività e della supervisione clinica che ne garantisce la qualità; mentre le altre figure della cascata, già retribuite dal sistema, contribuiscono al servizio con frazioni del proprio tempo che non si traducono in esborsi nuovi. Questa struttura del costo, che concentra l’esborso di cassa nell’apice e distribuisce il contributo delle altre figure in forma di tempo riorientato, è ciò che la presente sezione rende esplicito.</w:t>
      </w:r>
    </w:p>
    <w:bookmarkStart w:id="346" w:name="Xf9185901995071ef746687ed6ce4977ca912ee3"/>
    <w:p>
      <w:pPr>
        <w:pStyle w:val="Heading3"/>
      </w:pPr>
      <w:r>
        <w:t xml:space="preserve">7.1.1 Il criterio di imputazione: le quattro classi di figure</w:t>
      </w:r>
    </w:p>
    <w:p>
      <w:pPr>
        <w:pStyle w:val="FirstParagraph"/>
      </w:pPr>
      <w:r>
        <w:t xml:space="preserve">La ricostruzione del costo del personale lungo la cascata richiede, in via preliminare, un criterio che stabilisca, per ciascuna figura, se e in quale misura il suo coinvolgimento nella riforma generi un costo diretto, e di quale natura. Il criterio che la presente sezione adotta classifica le figure della cascata in quattro classi, definite in base alla natura del costo che ciascuna genera per il bilancio pubblico regionale. La distinzione tra le classi non è una mera convenzione espositiva, ma la traduzione operativa della distinzione tra costo di cassa e costo-opportunità che l’introduzione ha stabilito, e ad essa la sezione 7.5 farà ricorso per aggregare i costi senza duplicazioni e senza omissioni.</w:t>
      </w:r>
    </w:p>
    <w:p>
      <w:pPr>
        <w:pStyle w:val="BodyText"/>
      </w:pPr>
      <w:r>
        <w:t xml:space="preserve">La prima classe comprende le figure di nuova istituzione, il cui costo è interamente incrementale e si traduce in un esborso di cassa aggiuntivo per il bilancio pubblico. A questa classe appartiene, in via principale e quasi esclusiva, lo Psicologo di Base, che la riforma introduce ex novo nelle cure primarie e la cui retribuzione costituisce il nucleo del costo diretto; vi appartengono altresì, in misura minore, il personale amministrativo di supporto specificamente assunto per il servizio e la quota di supervisione clinica che il servizio richiede in aggiunta a quella preesistente. Il costo delle figure di questa classe è registrato per intero come esborso di cassa nella prospettiva finanziaria e di bilancio, ed è la componente che la sezione 7.1 ricostruisce con il maggiore dettaglio.</w:t>
      </w:r>
    </w:p>
    <w:p>
      <w:pPr>
        <w:pStyle w:val="BodyText"/>
      </w:pPr>
      <w:r>
        <w:t xml:space="preserve">La seconda classe comprende le figure già retribuite dal sistema, il cui coinvolgimento nella riforma non comporta un esborso di cassa aggiuntivo, ma un costo-opportunità derivante dal riorientamento di una frazione del loro tempo. A questa classe appartengono le figure cliniche di primo contatto del secondo livello della cascata — il medico di medicina generale, il pediatra di libera scelta e il neurologo — il cui tempo è in parte riorientato verso il coordinamento con lo Psicologo di Base nella coppia clinica. Il costo delle figure di questa classe non è registrato come esborso di cassa, perché esse sono già pagate dal sistema, ma è segnalato come costo-opportunità nella prospettiva sociale, con l’avvertenza che esso è in larga parte compensato dal tempo che la riforma libera, sottraendo alle figure di primo contatto la gestione solitaria di una domanda che lo Psicologo di Base assorbe.</w:t>
      </w:r>
    </w:p>
    <w:p>
      <w:pPr>
        <w:pStyle w:val="BodyText"/>
      </w:pPr>
      <w:r>
        <w:t xml:space="preserve">La terza classe comprende le figure il cui coinvolgimento genera un costo marginale o è interamente assorbito dalla dotazione organica che il sistema sta già realizzando in attuazione del modello di assistenza territoriale. A questa classe appartengono, nel terzo livello della cascata, l’infermiere di famiglia e di comunità nella funzione di care manager, lo psichiatra consulente e le ulteriori figure sanitarie e socio-sanitarie, il cui contributo al servizio si esercita attraverso quote di tempo che la programmazione territoriale ha già previsto e in parte finanziato, e il cui costo incrementale per la riforma è perciò marginale o nullo, a seconda del grado di realizzazione della dotazione prevista. Il costo delle figure di questa classe è registrato come incremento marginale, ove sia necessario finanziare una quota dedicata, e come costo nullo, ove la funzione sia assorbita dall’organico esistente, con esplicita segnalazione della dipendenza della stima dal grado di realizzazione del modello territoriale.</w:t>
      </w:r>
    </w:p>
    <w:p>
      <w:pPr>
        <w:pStyle w:val="BodyText"/>
      </w:pPr>
      <w:r>
        <w:t xml:space="preserve">La quarta classe, infine, comprende gli attori che non generano alcun costo diretto per il Servizio Sanitario Regionale, vuoi perché finanziati da un diverso capitolo di spesa pubblica, vuoi perché collocati interamente sul versante dei benefici. A questa classe appartengono, nel quarto livello della cascata, le figure educative e segnatamente lo psicologo scolastico, il cui costo grava sul sistema dell’istruzione e non sul Servizio Sanitario Regionale, e gli attori istituzionali e amministrativi regionali, il cui costo di coordinamento la sezione 7.2 tratterà tra i costi di governance; e vi appartengono, nel quinto livello della cascata, gli attori extra-sanitari — gli istituti previdenziali e assicurativi, il sistema giudiziario, le imprese, le organizzazioni sindacali, le università e il terzo settore — che non sostengono alcun costo per la riforma e che ne raccolgono invece i benefici, oggetto della Parte nona. Il costo delle figure di questa classe è registrato come nullo per il bilancio sanitario regionale, con rinvio, ove pertinente, alla sezione o alla Parte che ne tratta sotto il profilo proprio.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7.1.1 — Le quattro classi di imputazione del costo del personale lungo la cascata</w:t>
            </w:r>
          </w:p>
        </w:tc>
      </w:tr>
      <w:tr>
        <w:tc>
          <w:tcPr/>
          <w:p>
            <w:pPr>
              <w:pStyle w:val="Compact"/>
              <w:spacing w:after="40" w:before="40"/>
              <w:jc w:val="left"/>
            </w:pPr>
            <w:r>
              <w:rPr>
                <w:rFonts w:ascii="Cambria" w:hAnsi="Cambria" w:cs="Cambria" w:eastAsia="Cambria"/>
                <w:b/>
                <w:bCs/>
                <w:color w:val="1A1A1A"/>
                <w:sz w:val="18"/>
              </w:rPr>
              <w:t xml:space="preserve">Prima classe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Seconda classe</w:t>
            </w:r>
          </w:p>
        </w:tc>
      </w:tr>
      <w:tr>
        <w:tc>
          <w:tcPr/>
          <w:p>
            <w:pPr>
              <w:pStyle w:val="Compact"/>
              <w:spacing w:after="40" w:before="40"/>
              <w:jc w:val="left"/>
            </w:pPr>
            <w:r>
              <w:rPr>
                <w:rFonts w:ascii="Cambria" w:hAnsi="Cambria" w:cs="Cambria" w:eastAsia="Cambria"/>
                <w:b/>
                <w:bCs/>
                <w:color w:val="1A1A1A"/>
                <w:sz w:val="18"/>
              </w:rPr>
              <w:t xml:space="preserve">Terza classe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Quarta classe</w:t>
            </w:r>
          </w:p>
        </w:tc>
      </w:tr>
    </w:tbl>
    <w:p>
      <w:pPr>
        <w:pStyle w:val="BodyText"/>
      </w:pPr>
      <w:r>
        <w:rPr>
          <w:b/>
          <w:bCs/>
          <w:i/>
          <w:iCs/>
        </w:rPr>
        <w:t xml:space="preserve">Schema 7.1.1</w:t>
      </w:r>
      <w:r>
        <w:t xml:space="preserve">* — Il criterio di imputazione del costo del personale distingue quattro classi di figure secondo la natura del costo generato per il bilancio pubblico regionale. La prima classe concentra l’esborso di cassa; le classi successive generano costi progressivamente decrescenti, fino al costo nullo della quarta.*</w:t>
      </w:r>
    </w:p>
    <w:bookmarkEnd w:id="346"/>
    <w:bookmarkStart w:id="351" w:name="Xe77a8ec3bbf241051fd4185576682c3a222ec2c"/>
    <w:p>
      <w:pPr>
        <w:pStyle w:val="Heading3"/>
      </w:pPr>
      <w:r>
        <w:t xml:space="preserve">7.1.2 L’apice della cascata: il costo dello Psicologo di Base</w:t>
      </w:r>
    </w:p>
    <w:p>
      <w:pPr>
        <w:pStyle w:val="FirstParagraph"/>
      </w:pPr>
      <w:r>
        <w:t xml:space="preserve">Lo Psicologo di Base, che la cascata colloca all’apice e che la prima classe di imputazione identifica come figura di nuova istituzione, genera la quasi totalità del costo diretto di cassa della riforma, e la ricostruzione del suo costo è perciò il nucleo della presente sezione. Tale ricostruzione procede secondo il metodo dal basso, identificando dapprima il fabbisogno di tempo clinico che il servizio richiede a regime, traducendo poi tale fabbisogno in un numero di professionisti a tempo pieno equivalente, e valorizzando infine il professionista al suo costo unitario lordo per il datore di lavoro, secondo le diverse ipotesi contrattuali che il modello pugliese può adottare. Ciascuno di questi passaggi è esposto separatamente, con le sue assunzioni e il suo intervallo di incertezza, e il costo complessivo è costruito aggregando i passaggi secondo gli scenari.</w:t>
      </w:r>
    </w:p>
    <w:p>
      <w:pPr>
        <w:pStyle w:val="BodyText"/>
      </w:pPr>
      <w:r>
        <w:t xml:space="preserve">Il fabbisogno di tempo clinico a regime discende dal volume di pazienti che il servizio è dimensionato per trattare e dall’intensità del trattamento che ciascun paziente riceve. Il modello del progetto dimensiona il servizio, a regime e nello scenario centrale, per trattare un volume dell’ordine di centosettantamila pazienti all’anno, all’interno di un intervallo compreso tra centocinquantamila e centonovantacinquemila, corrispondente alla quota della popolazione regionale che, nel corso di un anno, presenta un disturbo psicologico comune di intensità lieve o moderata suscettibile di trattamento efficace al primo livello. A ciascun paziente il servizio eroga, secondo la logica della cura per intensità crescente che la Parte quarta ha descritto, un ciclo di intervento breve a bassa intensità, la cui durata media è prudenzialmente fissata in sei sedute, all’interno di un intervallo compreso tra cinque e otto, di durata pari a cinquanta minuti ciascuna. Il tempo clinico diretto a regime risulta pertanto, nello scenario centrale, dell’ordine di ottocentoquarantasettemila ore annue, prodotto del volume dei pazienti, del numero medio di sedute e della durata della seduta espressa in frazione di ora.</w:t>
      </w:r>
    </w:p>
    <w:p>
      <w:pPr>
        <w:pStyle w:val="BodyText"/>
      </w:pPr>
      <w:r>
        <w:t xml:space="preserve">Al tempo clinico diretto occorre aggiungere il tempo che il servizio richiede per le attività indirette ma necessarie all’erogazione: la documentazione clinica, il coordinamento con il medico di medicina generale nella coppia clinica, la partecipazione alla supervisione, la gestione delle mancate presentazioni e dei ricontatti. La letteratura sulla produttività dei servizi clinici di prossimità colloca tale maggiorazione in una misura dell’ordine del trenta per cento del tempo clinico diretto, sicché il tempo complessivo a regime risulta, nello scenario centrale, dell’ordine di un milione e centomila ore annue. Questo tempo complessivo costituisce la prima grandezza fisica del calcolo, ed è esso che, valorizzato al costo del lavoro, genera il costo del personale clinico apicale.</w:t>
      </w:r>
    </w:p>
    <w:p>
      <w:pPr>
        <w:pStyle w:val="BodyText"/>
      </w:pPr>
      <w:r>
        <w:t xml:space="preserve">La traduzione del tempo complessivo in un numero di professionisti a tempo pieno equivalente richiede la definizione delle ore annue che un professionista a tempo pieno effettivamente dedica all’attività, al netto delle ferie, delle festività, dei permessi e della formazione obbligatoria. Tale grandezza, che la disciplina del costo del lavoro indica come monte ore produttivo, si colloca per una figura clinica a tempo pieno in una misura dell’ordine di millecinquecentocinquanta ore annue. Dividendo il tempo complessivo di un milione e centomila ore per il monte ore produttivo di millecinquecentocinquanta ore, si ottiene un fabbisogno di personale a tempo pieno equivalente dell’ordine di settecentodieci unità nello scenario centrale, all’interno di un intervallo compreso, nei tre scenari, tra settecento e settecentoquaranta unità a tempo pieno equivalente.</w:t>
      </w:r>
    </w:p>
    <w:p>
      <w:pPr>
        <w:pStyle w:val="BodyText"/>
      </w:pPr>
      <w:r>
        <w:t xml:space="preserve">Il fabbisogno espresso in unità a tempo pieno equivalente non coincide con il numero di professionisti che il servizio impiega, perché il modello pugliese, in coerenza con la sua vocazione alla prossimità territoriale, distribuisce il servizio su un organico più ampio, in cui ciascun professionista opera in misura mediamente parziale. La distribuzione su un organico ampio risponde all’esigenza di garantire la presenza dello Psicologo di Base nei quarantacinque distretti e nelle Case della Comunità in cui il Servizio sanitario regionale si articola, evitando la concentrazione del servizio in pochi presidi e assicurando la prossimità che ne costituisce il tratto distintivo. Adottando un rapporto di copertura compreso tra uno psicologo di base ogni quattromilaquattrocento e uno ogni quattromilanovecento abitanti, sulla popolazione residente regionale prossima a tre milioni e novecentomila abitanti, l’organico in testa a regime si colloca in un intervallo compreso tra ottocento e ottocentottanta professionisti, con valore centrale dell’ordine di ottocentoquaranta, ciascuno dei quali opera in misura mediamente pari a circa quattro quinti di un impegno a tempo pieno.</w:t>
      </w:r>
      <w:r>
        <w:rPr>
          <w:rStyle w:val="FootnoteReference"/>
        </w:rPr>
        <w:footnoteReference w:id="170"/>
      </w:r>
      <w:r>
        <w:rPr>
          <w:rStyle w:val="FootnoteReference"/>
        </w:rPr>
        <w:footnoteReference w:id="171"/>
      </w:r>
    </w:p>
    <w:p>
      <w:pPr>
        <w:pStyle w:val="BodyText"/>
      </w:pPr>
      <w:r>
        <w:t xml:space="preserve">Il costo unitario lordo per il datore di lavoro di uno psicologo di base a tempo pieno equivalente dipende in misura determinante dalla forma contrattuale che il modello pugliese adotta, e il presente studio ricostruisce il costo secondo le tre ipotesi contrattuali principali, riconducendole agli scenari. La prima ipotesi è quella del modello convenzionale, analogo a quello che disciplina i rapporti con i medici di medicina generale, in cui il professionista è remunerato a quota oraria onnicomprensiva: a un costo orario lordo dell’ordine di ventiquattro-ventotto euro corrisponde, sul monte ore produttivo, un costo annuo per unità a tempo pieno equivalente dell’ordine di trentasette-quarantatremila euro.</w:t>
      </w:r>
      <w:r>
        <w:rPr>
          <w:rStyle w:val="FootnoteReference"/>
        </w:rPr>
        <w:footnoteReference w:id="172"/>
      </w:r>
      <w:r>
        <w:t xml:space="preserve"> </w:t>
      </w:r>
      <w:r>
        <w:t xml:space="preserve">La seconda ipotesi è quella del rapporto di dipendenza nel comparto sanità, in cui il costo annuo lordo per il datore di lavoro, comprensivo degli oneri riflessi, si colloca per la figura dello psicologo in una misura dell’ordine di trentottomila-quarantaseimila euro.</w:t>
      </w:r>
      <w:r>
        <w:rPr>
          <w:rStyle w:val="FootnoteReference"/>
        </w:rPr>
        <w:footnoteReference w:id="173"/>
      </w:r>
      <w:r>
        <w:t xml:space="preserve"> </w:t>
      </w:r>
      <w:r>
        <w:t xml:space="preserve">La terza ipotesi è quella del rapporto di dipendenza nell’area della dirigenza sanitaria, in cui il costo annuo lordo si colloca su valori più elevati, dell’ordine di cinquantamila-cinquantottomila euro.</w:t>
      </w:r>
    </w:p>
    <w:p>
      <w:pPr>
        <w:pStyle w:val="BodyText"/>
      </w:pPr>
      <w:r>
        <w:t xml:space="preserve">Riconducendo le ipotesi contrattuali agli scenari secondo il principio di prudenza, e ricordando che lo scenario conservativo, sul versante dei costi, è quello prudenzialmente più oneroso, il presente studio adotta un costo unitario lordo per unità a tempo pieno equivalente dell’ordine di trentottomila euro nello scenario espansivo, fondato su un modello prevalentemente convenzionale; dell’ordine di quarantaquattromila euro nello scenario centrale, fondato su un modello misto convenzionale e di dipendenza nel comparto; e dell’ordine di cinquantamila euro nello scenario conservativo, fondato su un’ipotesi prudenziale di maggiore ricorso alla dipendenza e alla dirigenza. Si rileva, perché il dato non sia equivocato, che il costo unitario più elevato è associato allo scenario conservativo non perché tale scenario sia più probabile, ma perché la prudenza impone di verificare la tenuta del programma anche nell’ipotesi contrattuale più cara.</w:t>
      </w:r>
    </w:p>
    <w:p>
      <w:pPr>
        <w:pStyle w:val="BodyText"/>
      </w:pPr>
      <w:r>
        <w:t xml:space="preserve">Il costo del personale clinico apicale a regime risulta, dalla combinazione del fabbisogno di unità a tempo pieno equivalente e del costo unitario, dell’ordine di trentuno milioni e mezzo di euro annui nello scenario centrale, ottenuto moltiplicando le settecentoquindici unità a tempo pieno equivalente per il costo unitario di quarantaquattromila euro. Nello scenario espansivo, in cui il minore costo unitario di trentottomila euro si combina con un dimensionamento efficiente di settecento unità a tempo pieno equivalente, il costo si colloca dell’ordine di ventisei milioni e seicentomila euro; nello scenario conservativo, in cui il maggiore costo unitario di cinquantamila euro si combina con un dimensionamento al limite superiore di settecentoquaranta unità, il costo si colloca dell’ordine di trentasette milioni di euro. Il costo del personale clinico apicale a regime si colloca pertanto, nei tre scenari, in un intervallo compreso tra ventisei milioni e seicentomila e trentasette milioni di euro annui, con valore centrale dell’ordine di trentuno milioni e mezzo.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Passaggio del calcolo (a regime)</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Centrale</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r>
      <w:tr>
        <w:tc>
          <w:tcPr/>
          <w:p>
            <w:pPr>
              <w:pStyle w:val="Compact"/>
              <w:spacing w:after="40" w:before="40"/>
              <w:jc w:val="left"/>
            </w:pPr>
            <w:r>
              <w:rPr>
                <w:rFonts w:ascii="Cambria" w:hAnsi="Cambria" w:cs="Cambria" w:eastAsia="Cambria"/>
                <w:color w:val="1A1A1A"/>
                <w:sz w:val="18"/>
              </w:rPr>
              <w:t xml:space="preserve">Pazienti trattati / anno</w:t>
            </w:r>
          </w:p>
        </w:tc>
        <w:tc>
          <w:tcPr/>
          <w:p>
            <w:pPr>
              <w:pStyle w:val="Compact"/>
              <w:spacing w:after="40" w:before="40"/>
              <w:jc w:val="left"/>
            </w:pPr>
            <w:r>
              <w:rPr>
                <w:rFonts w:ascii="Cambria" w:hAnsi="Cambria" w:cs="Cambria" w:eastAsia="Cambria"/>
                <w:color w:val="1A1A1A"/>
                <w:sz w:val="18"/>
              </w:rPr>
              <w:t xml:space="preserve">150.000</w:t>
            </w:r>
          </w:p>
        </w:tc>
        <w:tc>
          <w:tcPr/>
          <w:p>
            <w:pPr>
              <w:pStyle w:val="Compact"/>
              <w:spacing w:after="40" w:before="40"/>
              <w:jc w:val="left"/>
            </w:pPr>
            <w:r>
              <w:rPr>
                <w:rFonts w:ascii="Cambria" w:hAnsi="Cambria" w:cs="Cambria" w:eastAsia="Cambria"/>
                <w:color w:val="1A1A1A"/>
                <w:sz w:val="18"/>
              </w:rPr>
              <w:t xml:space="preserve">170.000</w:t>
            </w:r>
          </w:p>
        </w:tc>
        <w:tc>
          <w:tcPr/>
          <w:p>
            <w:pPr>
              <w:pStyle w:val="Compact"/>
              <w:spacing w:after="40" w:before="40"/>
              <w:jc w:val="left"/>
            </w:pPr>
            <w:r>
              <w:rPr>
                <w:rFonts w:ascii="Cambria" w:hAnsi="Cambria" w:cs="Cambria" w:eastAsia="Cambria"/>
                <w:color w:val="1A1A1A"/>
                <w:sz w:val="18"/>
              </w:rPr>
              <w:t xml:space="preserve">195.000</w:t>
            </w:r>
          </w:p>
        </w:tc>
      </w:tr>
      <w:tr>
        <w:tc>
          <w:tcPr>
            <w:shd w:val="clear" w:color="auto" w:fill="F4F1EC"/>
          </w:tcPr>
          <w:p>
            <w:pPr>
              <w:pStyle w:val="Compact"/>
              <w:spacing w:after="40" w:before="40"/>
              <w:jc w:val="left"/>
            </w:pPr>
            <w:r>
              <w:rPr>
                <w:rFonts w:ascii="Cambria" w:hAnsi="Cambria" w:cs="Cambria" w:eastAsia="Cambria"/>
                <w:color w:val="1A1A1A"/>
                <w:sz w:val="18"/>
              </w:rPr>
              <w:t xml:space="preserve">Sedute medie per ciclo</w:t>
            </w:r>
          </w:p>
        </w:tc>
        <w:tc>
          <w:tcPr>
            <w:shd w:val="clear" w:color="auto" w:fill="F4F1EC"/>
          </w:tcPr>
          <w:p>
            <w:pPr>
              <w:pStyle w:val="Compact"/>
              <w:spacing w:after="40" w:before="40"/>
              <w:jc w:val="left"/>
            </w:pPr>
            <w:r>
              <w:rPr>
                <w:rFonts w:ascii="Cambria" w:hAnsi="Cambria" w:cs="Cambria" w:eastAsia="Cambria"/>
                <w:color w:val="1A1A1A"/>
                <w:sz w:val="18"/>
              </w:rPr>
              <w:t xml:space="preserve">8</w:t>
            </w:r>
          </w:p>
        </w:tc>
        <w:tc>
          <w:tcPr>
            <w:shd w:val="clear" w:color="auto" w:fill="F4F1EC"/>
          </w:tcPr>
          <w:p>
            <w:pPr>
              <w:pStyle w:val="Compact"/>
              <w:spacing w:after="40" w:before="40"/>
              <w:jc w:val="left"/>
            </w:pPr>
            <w:r>
              <w:rPr>
                <w:rFonts w:ascii="Cambria" w:hAnsi="Cambria" w:cs="Cambria" w:eastAsia="Cambria"/>
                <w:color w:val="1A1A1A"/>
                <w:sz w:val="18"/>
              </w:rPr>
              <w:t xml:space="preserve">6</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r>
      <w:tr>
        <w:tc>
          <w:tcPr/>
          <w:p>
            <w:pPr>
              <w:pStyle w:val="Compact"/>
              <w:spacing w:after="40" w:before="40"/>
              <w:jc w:val="left"/>
            </w:pPr>
            <w:r>
              <w:rPr>
                <w:rFonts w:ascii="Cambria" w:hAnsi="Cambria" w:cs="Cambria" w:eastAsia="Cambria"/>
                <w:color w:val="1A1A1A"/>
                <w:sz w:val="18"/>
              </w:rPr>
              <w:t xml:space="preserve">Durata seduta (minuti)</w:t>
            </w:r>
          </w:p>
        </w:tc>
        <w:tc>
          <w:tcPr/>
          <w:p>
            <w:pPr>
              <w:pStyle w:val="Compact"/>
              <w:spacing w:after="40" w:before="40"/>
              <w:jc w:val="left"/>
            </w:pPr>
            <w:r>
              <w:rPr>
                <w:rFonts w:ascii="Cambria" w:hAnsi="Cambria" w:cs="Cambria" w:eastAsia="Cambria"/>
                <w:color w:val="1A1A1A"/>
                <w:sz w:val="18"/>
              </w:rPr>
              <w:t xml:space="preserve">50</w:t>
            </w:r>
          </w:p>
        </w:tc>
        <w:tc>
          <w:tcPr/>
          <w:p>
            <w:pPr>
              <w:pStyle w:val="Compact"/>
              <w:spacing w:after="40" w:before="40"/>
              <w:jc w:val="left"/>
            </w:pPr>
            <w:r>
              <w:rPr>
                <w:rFonts w:ascii="Cambria" w:hAnsi="Cambria" w:cs="Cambria" w:eastAsia="Cambria"/>
                <w:color w:val="1A1A1A"/>
                <w:sz w:val="18"/>
              </w:rPr>
              <w:t xml:space="preserve">50</w:t>
            </w:r>
          </w:p>
        </w:tc>
        <w:tc>
          <w:tcPr/>
          <w:p>
            <w:pPr>
              <w:pStyle w:val="Compact"/>
              <w:spacing w:after="40" w:before="40"/>
              <w:jc w:val="left"/>
            </w:pPr>
            <w:r>
              <w:rPr>
                <w:rFonts w:ascii="Cambria" w:hAnsi="Cambria" w:cs="Cambria" w:eastAsia="Cambria"/>
                <w:color w:val="1A1A1A"/>
                <w:sz w:val="18"/>
              </w:rPr>
              <w:t xml:space="preserve">50</w:t>
            </w:r>
          </w:p>
        </w:tc>
      </w:tr>
      <w:tr>
        <w:tc>
          <w:tcPr>
            <w:shd w:val="clear" w:color="auto" w:fill="F4F1EC"/>
          </w:tcPr>
          <w:p>
            <w:pPr>
              <w:pStyle w:val="Compact"/>
              <w:spacing w:after="40" w:before="40"/>
              <w:jc w:val="left"/>
            </w:pPr>
            <w:r>
              <w:rPr>
                <w:rFonts w:ascii="Cambria" w:hAnsi="Cambria" w:cs="Cambria" w:eastAsia="Cambria"/>
                <w:color w:val="1A1A1A"/>
                <w:sz w:val="18"/>
              </w:rPr>
              <w:t xml:space="preserve">Tempo clinico diretto (ore/anno)</w:t>
            </w:r>
          </w:p>
        </w:tc>
        <w:tc>
          <w:tcPr>
            <w:shd w:val="clear" w:color="auto" w:fill="F4F1EC"/>
          </w:tcPr>
          <w:p>
            <w:pPr>
              <w:pStyle w:val="Compact"/>
              <w:spacing w:after="40" w:before="40"/>
              <w:jc w:val="left"/>
            </w:pPr>
            <w:r>
              <w:rPr>
                <w:rFonts w:ascii="Cambria" w:hAnsi="Cambria" w:cs="Cambria" w:eastAsia="Cambria"/>
                <w:color w:val="1A1A1A"/>
                <w:sz w:val="18"/>
              </w:rPr>
              <w:t xml:space="preserve">≈ 1.000.000</w:t>
            </w:r>
          </w:p>
        </w:tc>
        <w:tc>
          <w:tcPr>
            <w:shd w:val="clear" w:color="auto" w:fill="F4F1EC"/>
          </w:tcPr>
          <w:p>
            <w:pPr>
              <w:pStyle w:val="Compact"/>
              <w:spacing w:after="40" w:before="40"/>
              <w:jc w:val="left"/>
            </w:pPr>
            <w:r>
              <w:rPr>
                <w:rFonts w:ascii="Cambria" w:hAnsi="Cambria" w:cs="Cambria" w:eastAsia="Cambria"/>
                <w:color w:val="1A1A1A"/>
                <w:sz w:val="18"/>
              </w:rPr>
              <w:t xml:space="preserve">≈ 847.000</w:t>
            </w:r>
          </w:p>
        </w:tc>
        <w:tc>
          <w:tcPr>
            <w:shd w:val="clear" w:color="auto" w:fill="F4F1EC"/>
          </w:tcPr>
          <w:p>
            <w:pPr>
              <w:pStyle w:val="Compact"/>
              <w:spacing w:after="40" w:before="40"/>
              <w:jc w:val="left"/>
            </w:pPr>
            <w:r>
              <w:rPr>
                <w:rFonts w:ascii="Cambria" w:hAnsi="Cambria" w:cs="Cambria" w:eastAsia="Cambria"/>
                <w:color w:val="1A1A1A"/>
                <w:sz w:val="18"/>
              </w:rPr>
              <w:t xml:space="preserve">≈ 812.000</w:t>
            </w:r>
          </w:p>
        </w:tc>
      </w:tr>
      <w:tr>
        <w:tc>
          <w:tcPr/>
          <w:p>
            <w:pPr>
              <w:pStyle w:val="Compact"/>
              <w:spacing w:after="40" w:before="40"/>
              <w:jc w:val="left"/>
            </w:pPr>
            <w:r>
              <w:rPr>
                <w:rFonts w:ascii="Cambria" w:hAnsi="Cambria" w:cs="Cambria" w:eastAsia="Cambria"/>
                <w:color w:val="1A1A1A"/>
                <w:sz w:val="18"/>
              </w:rPr>
              <w:t xml:space="preserve">Maggiorazione attività indirette</w:t>
            </w:r>
          </w:p>
        </w:tc>
        <w:tc>
          <w:tcPr/>
          <w:p>
            <w:pPr>
              <w:pStyle w:val="Compact"/>
              <w:spacing w:after="40" w:before="40"/>
              <w:jc w:val="left"/>
            </w:pPr>
            <w:r>
              <w:rPr>
                <w:rFonts w:ascii="Cambria" w:hAnsi="Cambria" w:cs="Cambria" w:eastAsia="Cambria"/>
                <w:color w:val="1A1A1A"/>
                <w:sz w:val="18"/>
              </w:rPr>
              <w:t xml:space="preserve">+30%</w:t>
            </w:r>
          </w:p>
        </w:tc>
        <w:tc>
          <w:tcPr/>
          <w:p>
            <w:pPr>
              <w:pStyle w:val="Compact"/>
              <w:spacing w:after="40" w:before="40"/>
              <w:jc w:val="left"/>
            </w:pPr>
            <w:r>
              <w:rPr>
                <w:rFonts w:ascii="Cambria" w:hAnsi="Cambria" w:cs="Cambria" w:eastAsia="Cambria"/>
                <w:color w:val="1A1A1A"/>
                <w:sz w:val="18"/>
              </w:rPr>
              <w:t xml:space="preserve">+30%</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color w:val="1A1A1A"/>
                <w:sz w:val="18"/>
              </w:rPr>
              <w:t xml:space="preserve">Tempo complessivo (ore/anno)</w:t>
            </w:r>
          </w:p>
        </w:tc>
        <w:tc>
          <w:tcPr>
            <w:shd w:val="clear" w:color="auto" w:fill="F4F1EC"/>
          </w:tcPr>
          <w:p>
            <w:pPr>
              <w:pStyle w:val="Compact"/>
              <w:spacing w:after="40" w:before="40"/>
              <w:jc w:val="left"/>
            </w:pPr>
            <w:r>
              <w:rPr>
                <w:rFonts w:ascii="Cambria" w:hAnsi="Cambria" w:cs="Cambria" w:eastAsia="Cambria"/>
                <w:color w:val="1A1A1A"/>
                <w:sz w:val="18"/>
              </w:rPr>
              <w:t xml:space="preserve">≈ 1.300.000</w:t>
            </w:r>
          </w:p>
        </w:tc>
        <w:tc>
          <w:tcPr>
            <w:shd w:val="clear" w:color="auto" w:fill="F4F1EC"/>
          </w:tcPr>
          <w:p>
            <w:pPr>
              <w:pStyle w:val="Compact"/>
              <w:spacing w:after="40" w:before="40"/>
              <w:jc w:val="left"/>
            </w:pPr>
            <w:r>
              <w:rPr>
                <w:rFonts w:ascii="Cambria" w:hAnsi="Cambria" w:cs="Cambria" w:eastAsia="Cambria"/>
                <w:color w:val="1A1A1A"/>
                <w:sz w:val="18"/>
              </w:rPr>
              <w:t xml:space="preserve">≈ 1.101.000</w:t>
            </w:r>
          </w:p>
        </w:tc>
        <w:tc>
          <w:tcPr>
            <w:shd w:val="clear" w:color="auto" w:fill="F4F1EC"/>
          </w:tcPr>
          <w:p>
            <w:pPr>
              <w:pStyle w:val="Compact"/>
              <w:spacing w:after="40" w:before="40"/>
              <w:jc w:val="left"/>
            </w:pPr>
            <w:r>
              <w:rPr>
                <w:rFonts w:ascii="Cambria" w:hAnsi="Cambria" w:cs="Cambria" w:eastAsia="Cambria"/>
                <w:color w:val="1A1A1A"/>
                <w:sz w:val="18"/>
              </w:rPr>
              <w:t xml:space="preserve">≈ 1.015.000</w:t>
            </w:r>
          </w:p>
        </w:tc>
      </w:tr>
      <w:tr>
        <w:tc>
          <w:tcPr/>
          <w:p>
            <w:pPr>
              <w:pStyle w:val="Compact"/>
              <w:spacing w:after="40" w:before="40"/>
              <w:jc w:val="left"/>
            </w:pPr>
            <w:r>
              <w:rPr>
                <w:rFonts w:ascii="Cambria" w:hAnsi="Cambria" w:cs="Cambria" w:eastAsia="Cambria"/>
                <w:color w:val="1A1A1A"/>
                <w:sz w:val="18"/>
              </w:rPr>
              <w:t xml:space="preserve">Monte ore produttivo per FTE</w:t>
            </w:r>
          </w:p>
        </w:tc>
        <w:tc>
          <w:tcPr/>
          <w:p>
            <w:pPr>
              <w:pStyle w:val="Compact"/>
              <w:spacing w:after="40" w:before="40"/>
              <w:jc w:val="left"/>
            </w:pPr>
            <w:r>
              <w:rPr>
                <w:rFonts w:ascii="Cambria" w:hAnsi="Cambria" w:cs="Cambria" w:eastAsia="Cambria"/>
                <w:color w:val="1A1A1A"/>
                <w:sz w:val="18"/>
              </w:rPr>
              <w:t xml:space="preserve">1.500</w:t>
            </w:r>
          </w:p>
        </w:tc>
        <w:tc>
          <w:tcPr/>
          <w:p>
            <w:pPr>
              <w:pStyle w:val="Compact"/>
              <w:spacing w:after="40" w:before="40"/>
              <w:jc w:val="left"/>
            </w:pPr>
            <w:r>
              <w:rPr>
                <w:rFonts w:ascii="Cambria" w:hAnsi="Cambria" w:cs="Cambria" w:eastAsia="Cambria"/>
                <w:color w:val="1A1A1A"/>
                <w:sz w:val="18"/>
              </w:rPr>
              <w:t xml:space="preserve">1.550</w:t>
            </w:r>
          </w:p>
        </w:tc>
        <w:tc>
          <w:tcPr/>
          <w:p>
            <w:pPr>
              <w:pStyle w:val="Compact"/>
              <w:spacing w:after="40" w:before="40"/>
              <w:jc w:val="left"/>
            </w:pPr>
            <w:r>
              <w:rPr>
                <w:rFonts w:ascii="Cambria" w:hAnsi="Cambria" w:cs="Cambria" w:eastAsia="Cambria"/>
                <w:color w:val="1A1A1A"/>
                <w:sz w:val="18"/>
              </w:rPr>
              <w:t xml:space="preserve">1.600</w:t>
            </w:r>
          </w:p>
        </w:tc>
      </w:tr>
      <w:tr>
        <w:tc>
          <w:tcPr>
            <w:shd w:val="clear" w:color="auto" w:fill="F4F1EC"/>
          </w:tcPr>
          <w:p>
            <w:pPr>
              <w:pStyle w:val="Compact"/>
              <w:spacing w:after="40" w:before="40"/>
              <w:jc w:val="left"/>
            </w:pPr>
            <w:r>
              <w:rPr>
                <w:rFonts w:ascii="Cambria" w:hAnsi="Cambria" w:cs="Cambria" w:eastAsia="Cambria"/>
                <w:color w:val="1A1A1A"/>
                <w:sz w:val="18"/>
              </w:rPr>
              <w:t xml:space="preserve">Fabbisogno FTE clinici</w:t>
            </w:r>
          </w:p>
        </w:tc>
        <w:tc>
          <w:tcPr>
            <w:shd w:val="clear" w:color="auto" w:fill="F4F1EC"/>
          </w:tcPr>
          <w:p>
            <w:pPr>
              <w:pStyle w:val="Compact"/>
              <w:spacing w:after="40" w:before="40"/>
              <w:jc w:val="left"/>
            </w:pPr>
            <w:r>
              <w:rPr>
                <w:rFonts w:ascii="Cambria" w:hAnsi="Cambria" w:cs="Cambria" w:eastAsia="Cambria"/>
                <w:color w:val="1A1A1A"/>
                <w:sz w:val="18"/>
              </w:rPr>
              <w:t xml:space="preserve">≈ 740</w:t>
            </w:r>
          </w:p>
        </w:tc>
        <w:tc>
          <w:tcPr>
            <w:shd w:val="clear" w:color="auto" w:fill="F4F1EC"/>
          </w:tcPr>
          <w:p>
            <w:pPr>
              <w:pStyle w:val="Compact"/>
              <w:spacing w:after="40" w:before="40"/>
              <w:jc w:val="left"/>
            </w:pPr>
            <w:r>
              <w:rPr>
                <w:rFonts w:ascii="Cambria" w:hAnsi="Cambria" w:cs="Cambria" w:eastAsia="Cambria"/>
                <w:color w:val="1A1A1A"/>
                <w:sz w:val="18"/>
              </w:rPr>
              <w:t xml:space="preserve">≈ 715</w:t>
            </w:r>
          </w:p>
        </w:tc>
        <w:tc>
          <w:tcPr>
            <w:shd w:val="clear" w:color="auto" w:fill="F4F1EC"/>
          </w:tcPr>
          <w:p>
            <w:pPr>
              <w:pStyle w:val="Compact"/>
              <w:spacing w:after="40" w:before="40"/>
              <w:jc w:val="left"/>
            </w:pPr>
            <w:r>
              <w:rPr>
                <w:rFonts w:ascii="Cambria" w:hAnsi="Cambria" w:cs="Cambria" w:eastAsia="Cambria"/>
                <w:color w:val="1A1A1A"/>
                <w:sz w:val="18"/>
              </w:rPr>
              <w:t xml:space="preserve">≈ 700</w:t>
            </w:r>
          </w:p>
        </w:tc>
      </w:tr>
      <w:tr>
        <w:tc>
          <w:tcPr/>
          <w:p>
            <w:pPr>
              <w:pStyle w:val="Compact"/>
              <w:spacing w:after="40" w:before="40"/>
              <w:jc w:val="left"/>
            </w:pPr>
            <w:r>
              <w:rPr>
                <w:rFonts w:ascii="Cambria" w:hAnsi="Cambria" w:cs="Cambria" w:eastAsia="Cambria"/>
                <w:color w:val="1A1A1A"/>
                <w:sz w:val="18"/>
              </w:rPr>
              <w:t xml:space="preserve">Organico in testa (unità)</w:t>
            </w:r>
          </w:p>
        </w:tc>
        <w:tc>
          <w:tcPr/>
          <w:p>
            <w:pPr>
              <w:pStyle w:val="Compact"/>
              <w:spacing w:after="40" w:before="40"/>
              <w:jc w:val="left"/>
            </w:pPr>
            <w:r>
              <w:rPr>
                <w:rFonts w:ascii="Cambria" w:hAnsi="Cambria" w:cs="Cambria" w:eastAsia="Cambria"/>
                <w:color w:val="1A1A1A"/>
                <w:sz w:val="18"/>
              </w:rPr>
              <w:t xml:space="preserve">880</w:t>
            </w:r>
          </w:p>
        </w:tc>
        <w:tc>
          <w:tcPr/>
          <w:p>
            <w:pPr>
              <w:pStyle w:val="Compact"/>
              <w:spacing w:after="40" w:before="40"/>
              <w:jc w:val="left"/>
            </w:pPr>
            <w:r>
              <w:rPr>
                <w:rFonts w:ascii="Cambria" w:hAnsi="Cambria" w:cs="Cambria" w:eastAsia="Cambria"/>
                <w:color w:val="1A1A1A"/>
                <w:sz w:val="18"/>
              </w:rPr>
              <w:t xml:space="preserve">840</w:t>
            </w:r>
          </w:p>
        </w:tc>
        <w:tc>
          <w:tcPr/>
          <w:p>
            <w:pPr>
              <w:pStyle w:val="Compact"/>
              <w:spacing w:after="40" w:before="40"/>
              <w:jc w:val="left"/>
            </w:pPr>
            <w:r>
              <w:rPr>
                <w:rFonts w:ascii="Cambria" w:hAnsi="Cambria" w:cs="Cambria" w:eastAsia="Cambria"/>
                <w:color w:val="1A1A1A"/>
                <w:sz w:val="18"/>
              </w:rPr>
              <w:t xml:space="preserve">800</w:t>
            </w:r>
          </w:p>
        </w:tc>
      </w:tr>
      <w:tr>
        <w:tc>
          <w:tcPr>
            <w:shd w:val="clear" w:color="auto" w:fill="F4F1EC"/>
          </w:tcPr>
          <w:p>
            <w:pPr>
              <w:pStyle w:val="Compact"/>
              <w:spacing w:after="40" w:before="40"/>
              <w:jc w:val="left"/>
            </w:pPr>
            <w:r>
              <w:rPr>
                <w:rFonts w:ascii="Cambria" w:hAnsi="Cambria" w:cs="Cambria" w:eastAsia="Cambria"/>
                <w:color w:val="1A1A1A"/>
                <w:sz w:val="18"/>
              </w:rPr>
              <w:t xml:space="preserve">Costo unitario lordo / FTE (€)</w:t>
            </w:r>
          </w:p>
        </w:tc>
        <w:tc>
          <w:tcPr>
            <w:shd w:val="clear" w:color="auto" w:fill="F4F1EC"/>
          </w:tcPr>
          <w:p>
            <w:pPr>
              <w:pStyle w:val="Compact"/>
              <w:spacing w:after="40" w:before="40"/>
              <w:jc w:val="left"/>
            </w:pPr>
            <w:r>
              <w:rPr>
                <w:rFonts w:ascii="Cambria" w:hAnsi="Cambria" w:cs="Cambria" w:eastAsia="Cambria"/>
                <w:color w:val="1A1A1A"/>
                <w:sz w:val="18"/>
              </w:rPr>
              <w:t xml:space="preserve">50.000</w:t>
            </w:r>
          </w:p>
        </w:tc>
        <w:tc>
          <w:tcPr>
            <w:shd w:val="clear" w:color="auto" w:fill="F4F1EC"/>
          </w:tcPr>
          <w:p>
            <w:pPr>
              <w:pStyle w:val="Compact"/>
              <w:spacing w:after="40" w:before="40"/>
              <w:jc w:val="left"/>
            </w:pPr>
            <w:r>
              <w:rPr>
                <w:rFonts w:ascii="Cambria" w:hAnsi="Cambria" w:cs="Cambria" w:eastAsia="Cambria"/>
                <w:color w:val="1A1A1A"/>
                <w:sz w:val="18"/>
              </w:rPr>
              <w:t xml:space="preserve">44.000</w:t>
            </w:r>
          </w:p>
        </w:tc>
        <w:tc>
          <w:tcPr>
            <w:shd w:val="clear" w:color="auto" w:fill="F4F1EC"/>
          </w:tcPr>
          <w:p>
            <w:pPr>
              <w:pStyle w:val="Compact"/>
              <w:spacing w:after="40" w:before="40"/>
              <w:jc w:val="left"/>
            </w:pPr>
            <w:r>
              <w:rPr>
                <w:rFonts w:ascii="Cambria" w:hAnsi="Cambria" w:cs="Cambria" w:eastAsia="Cambria"/>
                <w:color w:val="1A1A1A"/>
                <w:sz w:val="18"/>
              </w:rPr>
              <w:t xml:space="preserve">38.000</w:t>
            </w:r>
          </w:p>
        </w:tc>
      </w:tr>
      <w:tr>
        <w:tc>
          <w:tcPr/>
          <w:p>
            <w:pPr>
              <w:pStyle w:val="Compact"/>
              <w:spacing w:after="40" w:before="40"/>
              <w:jc w:val="left"/>
            </w:pPr>
            <w:r>
              <w:rPr>
                <w:rFonts w:ascii="Cambria" w:hAnsi="Cambria" w:cs="Cambria" w:eastAsia="Cambria"/>
                <w:b/>
                <w:bCs/>
                <w:color w:val="1A1A1A"/>
                <w:sz w:val="18"/>
              </w:rPr>
              <w:t xml:space="preserve">Costo personale clinico apicale (mln/anno)</w:t>
            </w:r>
          </w:p>
        </w:tc>
        <w:tc>
          <w:tcPr/>
          <w:p>
            <w:pPr>
              <w:pStyle w:val="Compact"/>
              <w:spacing w:after="40" w:before="40"/>
              <w:jc w:val="left"/>
            </w:pPr>
            <w:r>
              <w:rPr>
                <w:rFonts w:ascii="Cambria" w:hAnsi="Cambria" w:cs="Cambria" w:eastAsia="Cambria"/>
                <w:b/>
                <w:bCs/>
                <w:color w:val="1A1A1A"/>
                <w:sz w:val="18"/>
              </w:rPr>
              <w:t xml:space="preserve">≈ 37,0</w:t>
            </w:r>
          </w:p>
        </w:tc>
        <w:tc>
          <w:tcPr/>
          <w:p>
            <w:pPr>
              <w:pStyle w:val="Compact"/>
              <w:spacing w:after="40" w:before="40"/>
              <w:jc w:val="left"/>
            </w:pPr>
            <w:r>
              <w:rPr>
                <w:rFonts w:ascii="Cambria" w:hAnsi="Cambria" w:cs="Cambria" w:eastAsia="Cambria"/>
                <w:b/>
                <w:bCs/>
                <w:color w:val="1A1A1A"/>
                <w:sz w:val="18"/>
              </w:rPr>
              <w:t xml:space="preserve">≈ 31,5</w:t>
            </w:r>
          </w:p>
        </w:tc>
        <w:tc>
          <w:tcPr/>
          <w:p>
            <w:pPr>
              <w:pStyle w:val="Compact"/>
              <w:spacing w:after="40" w:before="40"/>
              <w:jc w:val="left"/>
            </w:pPr>
            <w:r>
              <w:rPr>
                <w:rFonts w:ascii="Cambria" w:hAnsi="Cambria" w:cs="Cambria" w:eastAsia="Cambria"/>
                <w:b/>
                <w:bCs/>
                <w:color w:val="1A1A1A"/>
                <w:sz w:val="18"/>
              </w:rPr>
              <w:t xml:space="preserve">≈ 26,6</w:t>
            </w:r>
          </w:p>
        </w:tc>
      </w:tr>
    </w:tbl>
    <w:p>
      <w:pPr>
        <w:pStyle w:val="BodyText"/>
      </w:pPr>
      <w:r>
        <w:rPr>
          <w:b/>
          <w:bCs/>
          <w:i/>
          <w:iCs/>
        </w:rPr>
        <w:t xml:space="preserve">Tabella 7.1.2</w:t>
      </w:r>
      <w:r>
        <w:t xml:space="preserve">* — Costruzione dal basso del costo del personale clinico apicale (Psicologo di Base) a regime, per scenario. Lo scenario conservativo è il prudenzialmente più oneroso: maggior numero di sedute, maggior costo unitario, dimensionamento al limite superiore. Valori arrotondati; i totali non sono la somma aritmetica esatta dei fattori per effetto degli arrotondamenti intermedi.*</w:t>
      </w:r>
    </w:p>
    <w:p>
      <w:pPr>
        <w:pStyle w:val="BodyText"/>
      </w:pPr>
      <w:r>
        <w:t xml:space="preserve">Il profilo temporale del costo del personale clinico apicale segue la curva di adozione che il modello del progetto adotta, e che porta la copertura del servizio dal trenta per cento circa nel primo anno al pieno regime a partire dal quinto, con un valore intermedio dell’ordine del sessanta per cento al terzo anno. Ne consegue che il costo del personale clinico apicale, lungi dal gravare per intero sin dal primo esercizio, cresce progressivamente con l’estensione della copertura e con l’assunzione e la formazione dei professionisti: esso si colloca, nello scenario centrale, dell’ordine di nove-dieci milioni di euro nel primo anno, sale a circa diciannove milioni al terzo e raggiunge il valore a regime di trentuno milioni e mezzo dal quinto anno in avanti. Questa progressione, che la sezione 7.5 ricomporrà con quella delle altre voci nel profilo temporale del costo diretto complessivo, è ciò che consente alla riforma di non richiedere l’intero stanziamento sin dall’avvio, ma di accompagnarne la crescita con l’estensione del servizio.</w:t>
      </w:r>
    </w:p>
    <w:p>
      <w:pPr>
        <w:pStyle w:val="BodyText"/>
      </w:pPr>
      <w:r>
        <w:t xml:space="preserve">Sulla base della ricostruzione del costo del personale clinico apicale è possibile formulare una prima previsione falsificabile, che le Parti undicesima e quindicesima sottoporranno a verifica nel sistema di monitoraggio regionale. A regime e a piena copertura, il costo del personale clinico apicale del servizio non dovrebbe eccedere i trentasette milioni di euro annui nello scenario prudenzialmente più oneroso, né collocarsi al di sotto dei ventisei milioni e seicentomila euro nello scenario efficiente, e dovrebbe attestarsi attorno al valore centrale di trentuno milioni e mezzo nell’ipotesi contrattuale mista più probabile. La previsione è enunciata in forma di banda, con indicazione degli estremi il cui superamento ne segnalerebbe la confutazione, e sarà verificata sui dati effettivi del costo del personale del servizio a regime, in coerenza con il vincolo di falsificabilità che governa l’opera.</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7.1.2 — Profilo di costo dell’apice: lo Psicologo di Base</w:t>
            </w:r>
          </w:p>
        </w:tc>
      </w:tr>
      <w:tr>
        <w:tc>
          <w:tcPr/>
          <w:p>
            <w:pPr>
              <w:pStyle w:val="Compact"/>
              <w:spacing w:after="40" w:before="40"/>
              <w:jc w:val="left"/>
            </w:pPr>
            <w:r>
              <w:rPr>
                <w:rFonts w:ascii="Cambria" w:hAnsi="Cambria" w:cs="Cambria" w:eastAsia="Cambria"/>
                <w:b/>
                <w:bCs/>
                <w:color w:val="1A1A1A"/>
                <w:sz w:val="18"/>
              </w:rPr>
              <w:t xml:space="preserve">Classe di imputazione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Grandezza fisica</w:t>
            </w:r>
          </w:p>
        </w:tc>
      </w:tr>
      <w:tr>
        <w:tc>
          <w:tcPr/>
          <w:p>
            <w:pPr>
              <w:pStyle w:val="Compact"/>
              <w:spacing w:after="40" w:before="40"/>
              <w:jc w:val="left"/>
            </w:pPr>
            <w:r>
              <w:rPr>
                <w:rFonts w:ascii="Cambria" w:hAnsi="Cambria" w:cs="Cambria" w:eastAsia="Cambria"/>
                <w:b/>
                <w:bCs/>
                <w:color w:val="1A1A1A"/>
                <w:sz w:val="18"/>
              </w:rPr>
              <w:t xml:space="preserve">Costo unitario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a regime</w:t>
            </w:r>
          </w:p>
        </w:tc>
      </w:tr>
      <w:tr>
        <w:tc>
          <w:tcPr/>
          <w:p>
            <w:pPr>
              <w:pStyle w:val="Compact"/>
              <w:spacing w:after="40" w:before="40"/>
              <w:jc w:val="left"/>
            </w:pPr>
            <w:r>
              <w:rPr>
                <w:rFonts w:ascii="Cambria" w:hAnsi="Cambria" w:cs="Cambria" w:eastAsia="Cambria"/>
                <w:b/>
                <w:bCs/>
                <w:color w:val="1A1A1A"/>
                <w:sz w:val="18"/>
              </w:rPr>
              <w:t xml:space="preserve">Profilo temporale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Previsione falsificabile</w:t>
            </w:r>
          </w:p>
        </w:tc>
      </w:tr>
    </w:tbl>
    <w:bookmarkEnd w:id="351"/>
    <w:bookmarkStart w:id="354" w:name="X8bc15e430f2c72ba605d19c21fb2b4d7a4a2006"/>
    <w:p>
      <w:pPr>
        <w:pStyle w:val="Heading3"/>
      </w:pPr>
      <w:r>
        <w:t xml:space="preserve">7.1.3 Il secondo livello: il costo-opportunità del tempo clinico di medico, pediatra e neurologo</w:t>
      </w:r>
    </w:p>
    <w:p>
      <w:pPr>
        <w:pStyle w:val="FirstParagraph"/>
      </w:pPr>
      <w:r>
        <w:t xml:space="preserve">Le figure cliniche di primo contatto del secondo livello della cascata — il medico di medicina generale, il pediatra di libera scelta e il neurologo — appartengono alla seconda classe di imputazione, e il loro coinvolgimento nella riforma genera non un esborso di cassa, ma un costo-opportunità derivante dal riorientamento di una frazione del loro tempo verso il coordinamento con lo Psicologo di Base. La corretta trattazione di tale costo è uno dei punti in cui il rigore metodologico della presente Parte si manifesta con maggiore evidenza, perché l’errore di registrare come esborso nuovo ciò che è un riorientamento di tempo già pagato gonfierebbe il costo diretto e ne falserebbe il confronto con i risparmi. La presente sezione tratta perciò il costo del secondo livello come costo-opportunità nella prospettiva sociale, lo quantifica prudenzialmente, e ne segnala la larga compensazione.</w:t>
      </w:r>
    </w:p>
    <w:p>
      <w:pPr>
        <w:pStyle w:val="BodyText"/>
      </w:pPr>
      <w:r>
        <w:t xml:space="preserve">Il medico di medicina generale, che la Parte terza ha collocato accanto allo Psicologo di Base come fulcro operativo della riforma, è già retribuito dal sistema secondo l’accordo collettivo nazionale che ne disciplina il rapporto, e la riforma non aggiunge alcuna remunerazione nuova al suo compenso, ma riorienta una frazione del suo tempo verso il coordinamento con lo Psicologo di Base nella coppia clinica.</w:t>
      </w:r>
      <w:r>
        <w:rPr>
          <w:rStyle w:val="FootnoteReference"/>
        </w:rPr>
        <w:footnoteReference w:id="174"/>
      </w:r>
      <w:r>
        <w:t xml:space="preserve"> </w:t>
      </w:r>
      <w:r>
        <w:t xml:space="preserve">Tale frazione di tempo non è un’aggiunta netta al carico del medico, ma in larga parte una sostituzione: il medico di medicina generale dedica oggi, nell’assetto privo di una figura psicologica, una quota non trascurabile del proprio tempo alla gestione solitaria della domanda di disagio psichico comune, che esercita con i mezzi di cui dispone — la prescrizione e l’invio — e che la coppia clinica gli consente di trasferire allo Psicologo di Base. Il tempo che la coppia clinica richiede al medico per il coordinamento è perciò in larga misura compensato dal tempo che essa gli libera, sottraendogli la gestione di una domanda che lo Psicologo di Base assorbe.</w:t>
      </w:r>
    </w:p>
    <w:p>
      <w:pPr>
        <w:pStyle w:val="BodyText"/>
      </w:pPr>
      <w:r>
        <w:t xml:space="preserve">La quantificazione prudenziale del costo-opportunità netto del secondo livello procede stimando il tempo aggiuntivo netto che la coppia clinica richiede alle figure di primo contatto, una volta scomputato il tempo liberato. Assumendo che ciascun episodio di presa in carico condivisa richieda al medico di medicina generale, al pediatra o al neurologo un tempo netto di coordinamento dell’ordine di sette minuti — comprensivi della segnalazione, della condivisione delle informazioni cliniche e del raccordo sul percorso, al netto del tempo che la coppia clinica sottrae alla gestione solitaria — e applicando tale tempo ai centosettantamila episodi annui dello scenario centrale, il tempo aggiuntivo netto complessivo si colloca dell’ordine di ventimila ore annue. Valorizzando tale tempo al costo-opportunità orario delle figure di primo contatto, dell’ordine di quaranta-cinquanta euro l’ora, il costo-opportunità netto del secondo livello si colloca, nella prospettiva sociale, dell’ordine di ottocentomila-un milione di euro annui a regime.</w:t>
      </w:r>
      <w:r>
        <w:rPr>
          <w:rStyle w:val="FootnoteReference"/>
        </w:rPr>
        <w:footnoteReference w:id="175"/>
      </w:r>
    </w:p>
    <w:p>
      <w:pPr>
        <w:pStyle w:val="BodyText"/>
      </w:pPr>
      <w:r>
        <w:t xml:space="preserve">Questa grandezza, che la prospettiva sociale registra come costo-opportunità, non è un esborso di cassa e non grava sul bilancio del Servizio Sanitario Regionale, che continua a retribuire le figure di primo contatto secondo i rispettivi accordi indipendentemente dalla riforma. Essa è inoltre, come si è osservato, una stima prudenzialmente cautelativa, perché assume che il tempo di coordinamento sia interamente aggiuntivo e non già in parte compensato dal tempo liberato, laddove l’evidenza sull’efficacia della coppia clinica suggerisce che, a regime, il bilancio netto del tempo delle figure di primo contatto possa risultare addirittura favorevole, liberando più tempo di quanto ne assorba. La presente Parte adotta tuttavia, in ossequio al principio di prudenza, la stima cautelativa del costo-opportunità netto positivo, e la segnala separatamente, senza sommarla all’esborso di cassa del costo diretto, affinché il decisore disponga di entrambe le grandezze nella loro distinta natura.</w:t>
      </w:r>
    </w:p>
    <w:p>
      <w:pPr>
        <w:pStyle w:val="BodyText"/>
      </w:pPr>
      <w:r>
        <w:t xml:space="preserve">La medesima logica si applica, con le specificità di ciascuna figura, al pediatra di libera scelta e al neurologo. Il pediatra, che la Parte terza ha collocato come presidio dell’età evolutiva, riorienta verso la coppia clinica orientata al sostegno alla genitorialità una frazione del proprio tempo, in larga parte compensata dal tempo che la disponibilità di una risposta psicologica gli libera nella gestione del disagio dell’età evolutiva. Il neurologo, che presidia il confine tra l’organico e il funzionale, riorienta verso il raccordo con lo Psicologo di Base una frazione del tempo dedicato alla domanda funzionale, in larga parte compensata dalla riduzione delle valutazioni reiterate per condizioni a prevalente fondamento psicologico. In entrambi i casi, il costo-opportunità netto è ricompreso nella stima complessiva del secondo livello, dell’ordine di ottocentomila-un milione di euro annui nella prospettiva sociale, e non genera alcun esborso di cassa per il Servizio Sanitario Regionale.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7.1.3 — Profilo di costo del secondo livello: medico, pediatra, neurologo</w:t>
            </w:r>
          </w:p>
        </w:tc>
      </w:tr>
      <w:tr>
        <w:tc>
          <w:tcPr/>
          <w:p>
            <w:pPr>
              <w:pStyle w:val="Compact"/>
              <w:spacing w:after="40" w:before="40"/>
              <w:jc w:val="left"/>
            </w:pPr>
            <w:r>
              <w:rPr>
                <w:rFonts w:ascii="Cambria" w:hAnsi="Cambria" w:cs="Cambria" w:eastAsia="Cambria"/>
                <w:b/>
                <w:bCs/>
                <w:color w:val="1A1A1A"/>
                <w:sz w:val="18"/>
              </w:rPr>
              <w:t xml:space="preserve">Classe di imputazione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Natura del coinvolgimento</w:t>
            </w:r>
          </w:p>
        </w:tc>
      </w:tr>
      <w:tr>
        <w:tc>
          <w:tcPr/>
          <w:p>
            <w:pPr>
              <w:pStyle w:val="Compact"/>
              <w:spacing w:after="40" w:before="40"/>
              <w:jc w:val="left"/>
            </w:pPr>
            <w:r>
              <w:rPr>
                <w:rFonts w:ascii="Cambria" w:hAnsi="Cambria" w:cs="Cambria" w:eastAsia="Cambria"/>
                <w:b/>
                <w:bCs/>
                <w:color w:val="1A1A1A"/>
                <w:sz w:val="18"/>
              </w:rPr>
              <w:t xml:space="preserve">Grandezza fisica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Costo-opportunità (prospettiva sociale)</w:t>
            </w:r>
          </w:p>
        </w:tc>
      </w:tr>
      <w:tr>
        <w:tc>
          <w:tcPr/>
          <w:p>
            <w:pPr>
              <w:pStyle w:val="Compact"/>
              <w:spacing w:after="40" w:before="40"/>
              <w:jc w:val="left"/>
            </w:pPr>
            <w:r>
              <w:rPr>
                <w:rFonts w:ascii="Cambria" w:hAnsi="Cambria" w:cs="Cambria" w:eastAsia="Cambria"/>
                <w:b/>
                <w:bCs/>
                <w:color w:val="1A1A1A"/>
                <w:sz w:val="18"/>
              </w:rPr>
              <w:t xml:space="preserve">Costo di cassa (prospettiva di bilancio)</w:t>
            </w:r>
          </w:p>
        </w:tc>
      </w:tr>
    </w:tbl>
    <w:bookmarkEnd w:id="354"/>
    <w:bookmarkStart w:id="357" w:name="X52a86d6540b917dfacc437cab0aa9c338fbaee0"/>
    <w:p>
      <w:pPr>
        <w:pStyle w:val="Heading3"/>
      </w:pPr>
      <w:r>
        <w:t xml:space="preserve">7.1.4 Il terzo livello: care manager, psichiatra consulente e ulteriori figure socio-sanitarie</w:t>
      </w:r>
    </w:p>
    <w:p>
      <w:pPr>
        <w:pStyle w:val="FirstParagraph"/>
      </w:pPr>
      <w:r>
        <w:t xml:space="preserve">Il terzo livello della cascata raccoglie le ulteriori figure sanitarie e socio-sanitarie la cui connessione con lo Psicologo di Base è mediata ma essenziale alla continuità del percorso, e che la terza classe di imputazione identifica come figure a costo marginale o assorbito dalla dotazione organica che il sistema sta già realizzando in attuazione del modello di assistenza territoriale. La trattazione del costo di questo livello richiede particolare cautela, perché esso dipende in misura determinante dal grado di realizzazione della dotazione che la programmazione territoriale ha previsto, e la stima va perciò ancorata a tale dipendenza ed espressa in forma condizionale.</w:t>
      </w:r>
    </w:p>
    <w:p>
      <w:pPr>
        <w:pStyle w:val="BodyText"/>
      </w:pPr>
      <w:r>
        <w:t xml:space="preserve">L’infermiere di famiglia e di comunità, che la Parte terza ha collocato come care manager del percorso e che la normativa nazionale di riforma dell’assistenza territoriale ha istituito quale figura di prossimità della comunità, costituisce il caso emblematico di questa classe.</w:t>
      </w:r>
      <w:r>
        <w:rPr>
          <w:rStyle w:val="FootnoteReference"/>
        </w:rPr>
        <w:footnoteReference w:id="176"/>
      </w:r>
      <w:r>
        <w:t xml:space="preserve"> </w:t>
      </w:r>
      <w:r>
        <w:t xml:space="preserve">La funzione di care manager, che la letteratura sul modello di assistenza collaborativa identifica come uno dei componenti più solidi ed efficaci del modello, si esercita attraverso quote di tempo che la programmazione territoriale ha già previsto e in parte finanziato nell’ambito della dotazione degli infermieri di famiglia e di comunità.</w:t>
      </w:r>
      <w:r>
        <w:rPr>
          <w:rStyle w:val="FootnoteReference"/>
        </w:rPr>
        <w:footnoteReference w:id="177"/>
      </w:r>
      <w:r>
        <w:t xml:space="preserve"> </w:t>
      </w:r>
      <w:r>
        <w:t xml:space="preserve">Ne consegue che il costo incrementale della funzione di care manager per la riforma dipende dal grado di realizzazione di tale dotazione: ove la dotazione prevista sia pienamente realizzata, la funzione di care manager dedicata al percorso psicologico è assorbita dall’organico esistente e il suo costo incrementale per la riforma è prossimo allo zero; ove la dotazione sia solo parzialmente realizzata, la riforma deve finanziare una quota dedicata di tempo, il cui costo incrementale si colloca, prudenzialmente, dell’ordine di ottocentomila-un milione e mezzo di euro annui a regime.</w:t>
      </w:r>
    </w:p>
    <w:p>
      <w:pPr>
        <w:pStyle w:val="BodyText"/>
      </w:pPr>
      <w:r>
        <w:t xml:space="preserve">La trattazione adotta, in ossequio al principio di prudenza, l’ipotesi intermedia di una realizzazione parziale della dotazione, e registra perciò un costo incrementale del care management dedicato dell’ordine di un milione di euro annui a regime nello scenario centrale, con esplicita segnalazione che tale costo si annulla ove la dotazione del modello territoriale sia pienamente realizzata e sale al limite superiore ove la realizzazione sia minima. Questa registrazione condizionale, lungi dall’essere un’incertezza da occultare, è la rappresentazione fedele di una grandezza che dipende da una variabile esterna alla riforma, ossia dal grado di attuazione del modello territoriale, e la sua esplicitazione consente al decisore di valutare il costo della riforma in funzione del contesto in cui essa si innesta.</w:t>
      </w:r>
    </w:p>
    <w:p>
      <w:pPr>
        <w:pStyle w:val="BodyText"/>
      </w:pPr>
      <w:r>
        <w:t xml:space="preserve">Lo psichiatra consulente, che la Parte terza ha collocato nel terzo livello con una funzione ridefinita rispetto all’assetto attuale, appartiene anch’esso alla terza classe di imputazione, e il suo contributo alla riforma si esercita attraverso tempo di consulenza e di supervisione organizzata della casistica gestita al primo livello, che la riforma non aggiunge come remunerazione nuova, ma riorienta dall’attività dei Centri di Salute Mentale esistenti. Poiché la riforma alleggerisce i Centri di Salute Mentale della domanda di disagio comune che oggi vi affluisce impropriamente, restituendoli alla loro funzione propria di presa in carico della psicopatologia grave, il tempo che lo psichiatra dedica alla consulenza del primo livello è in larga parte compensato dal tempo che la riforma gli libera, e il suo costo incrementale per la riforma è perciò marginale o nullo. La trattazione registra il costo dello psichiatra consulente come costo-opportunità marginale nella prospettiva sociale, e come costo di cassa nullo nella prospettiva di bilancio, in coerenza con la natura della sua partecipazione.</w:t>
      </w:r>
    </w:p>
    <w:p>
      <w:pPr>
        <w:pStyle w:val="BodyText"/>
      </w:pPr>
      <w:r>
        <w:t xml:space="preserve">Le ulteriori figure sanitarie e socio-sanitarie che la Parte terza ha collocato nel terzo livello — il farmacista di comunità, l’operatore socio-sanitario, il logopedista, il terapista della riabilitazione, l’ostetrica — appartengono parimenti alla terza classe di imputazione, e il loro contributo alla riforma si esercita attraverso quote marginali di tempo che la dotazione esistente assorbe. Nessuna di tali figure è di nuova istituzione, e nessuna richiede alla riforma una remunerazione aggiuntiva; il loro coinvolgimento si traduce in un raccordo funzionale con lo Psicologo di Base che non genera esborso di cassa e il cui costo-opportunità è di entità trascurabile rispetto alle grandezze del servizio. La trattazione registra il costo di tali figure come marginale e assorbito, senza attribuirgli un valore monetario distinto, in coerenza con la natura del loro contributo e con il principio di non duplicazione, che impedisce di imputare alla riforma il costo di figure già finanziate dal sistema per le loro funzioni proprie.</w:t>
      </w:r>
    </w:p>
    <w:p>
      <w:pPr>
        <w:pStyle w:val="BodyText"/>
      </w:pPr>
      <w:r>
        <w:t xml:space="preserve">Il costo complessivo del terzo livello, nella prospettiva di bilancio e nello scenario centrale, si colloca pertanto dell’ordine di un milione di euro annui a regime, interamente imputabile alla quota dedicata di care management nell’ipotesi prudenziale di realizzazione parziale della dotazione territoriale, e si annulla nell’ipotesi di piena realizzazione. Nella prospettiva sociale, a tale grandezza si aggiunge un costo-opportunità marginale per il tempo di consulenza dello psichiatra e per il raccordo delle ulteriori figure, di entità trascurabile e in larga parte compensato. La trattazione segnala la dipendenza della stima dal grado di realizzazione del modello territoriale, e la riprende nella sezione 7.5, dove il costo del terzo livello concorre al costo diretto complessivo nella sua misura condizionale.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7.1.4 — Profilo di costo del terzo livello: figure sanitarie e socio-sanitarie</w:t>
            </w:r>
          </w:p>
        </w:tc>
      </w:tr>
      <w:tr>
        <w:tc>
          <w:tcPr/>
          <w:p>
            <w:pPr>
              <w:pStyle w:val="Compact"/>
              <w:spacing w:after="40" w:before="40"/>
              <w:jc w:val="left"/>
            </w:pPr>
            <w:r>
              <w:rPr>
                <w:rFonts w:ascii="Cambria" w:hAnsi="Cambria" w:cs="Cambria" w:eastAsia="Cambria"/>
                <w:b/>
                <w:bCs/>
                <w:color w:val="1A1A1A"/>
                <w:sz w:val="18"/>
              </w:rPr>
              <w:t xml:space="preserve">Classe di imputazione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Infermiere di famiglia e di comunità (care manager)</w:t>
            </w:r>
          </w:p>
        </w:tc>
      </w:tr>
      <w:tr>
        <w:tc>
          <w:tcPr/>
          <w:p>
            <w:pPr>
              <w:pStyle w:val="Compact"/>
              <w:spacing w:after="40" w:before="40"/>
              <w:jc w:val="left"/>
            </w:pPr>
            <w:r>
              <w:rPr>
                <w:rFonts w:ascii="Cambria" w:hAnsi="Cambria" w:cs="Cambria" w:eastAsia="Cambria"/>
                <w:b/>
                <w:bCs/>
                <w:color w:val="1A1A1A"/>
                <w:sz w:val="18"/>
              </w:rPr>
              <w:t xml:space="preserve">Psichiatra consulente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Ulteriori figure socio-sanitarie</w:t>
            </w:r>
          </w:p>
        </w:tc>
      </w:tr>
      <w:tr>
        <w:tc>
          <w:tcPr/>
          <w:p>
            <w:pPr>
              <w:pStyle w:val="Compact"/>
              <w:spacing w:after="40" w:before="40"/>
              <w:jc w:val="left"/>
            </w:pPr>
            <w:r>
              <w:rPr>
                <w:rFonts w:ascii="Cambria" w:hAnsi="Cambria" w:cs="Cambria" w:eastAsia="Cambria"/>
                <w:b/>
                <w:bCs/>
                <w:color w:val="1A1A1A"/>
                <w:sz w:val="18"/>
              </w:rPr>
              <w:t xml:space="preserve">Costo del livello</w:t>
            </w:r>
          </w:p>
        </w:tc>
      </w:tr>
    </w:tbl>
    <w:bookmarkEnd w:id="357"/>
    <w:bookmarkStart w:id="358" w:name="Xd8deb6986f501f352ea0d7d978c99fd5a99c646"/>
    <w:p>
      <w:pPr>
        <w:pStyle w:val="Heading3"/>
      </w:pPr>
      <w:r>
        <w:t xml:space="preserve">7.1.5 Il quarto livello: figure educative e attori istituzionali e amministrativi</w:t>
      </w:r>
    </w:p>
    <w:p>
      <w:pPr>
        <w:pStyle w:val="FirstParagraph"/>
      </w:pPr>
      <w:r>
        <w:t xml:space="preserve">Il quarto livello della cascata raccoglie le figure educative e gli attori istituzionali e amministrativi regionali, che la quarta classe di imputazione identifica come attori privi di costo diretto per il Servizio Sanitario Regionale, vuoi perché finanziati da un diverso capitolo di spesa pubblica, vuoi perché il loro costo è di coordinamento e ricade tra i costi di governance che la sezione 7.2 tratterà. La distinzione è importante perché impedisce di imputare alla riforma sanitaria costi che gravano su altri bilanci pubblici, e di gonfiare il costo diretto con voci che non incidono sul bilancio del Servizio Sanitario Regionale.</w:t>
      </w:r>
    </w:p>
    <w:p>
      <w:pPr>
        <w:pStyle w:val="BodyText"/>
      </w:pPr>
      <w:r>
        <w:t xml:space="preserve">Le figure educative, e segnatamente lo psicologo scolastico che la Parte terza ha collocato nel quarto livello come presidio del benessere e delle difficoltà del minore in ambito scolastico, costituiscono il caso più chiaro di questa classe. Il costo dello psicologo scolastico, ove la sua presenza sia istituita o potenziata, grava sul sistema dell’istruzione e non sul Servizio Sanitario Regionale, e la riforma sanitaria non lo sostiene, ma se ne avvale come nodo di raccordo per l’osservazione del benessere del minore e per il collegamento con la coppia clinica del pediatra e dello Psicologo di Base. Il costo di tale raccordo per il Servizio Sanitario Regionale è nullo, perché lo psicologo scolastico è finanziato dal sistema dell’istruzione, e la trattazione lo registra come tale, rinviando alla Parte nona la valutazione del valore che la collaborazione tra il sistema sanitario e il sistema scolastico genera nel dominio pedagogico e scolastico.</w:t>
      </w:r>
    </w:p>
    <w:p>
      <w:pPr>
        <w:pStyle w:val="BodyText"/>
      </w:pPr>
      <w:r>
        <w:t xml:space="preserve">Il corpo docente e la dirigenza scolastica, che la Parte terza ha collocato accanto allo psicologo scolastico nel quarto livello, appartengono parimenti alla quarta classe di imputazione, e il loro contributo alla riforma si esercita attraverso l’osservazione e la segnalazione del disagio del minore, che non genera alcun costo per il Servizio Sanitario Regionale. La trattazione registra il costo di tali figure come nullo per il bilancio sanitario regionale, in coerenza con la loro collocazione nel sistema dell’istruzione, e ne rinvia la valutazione, sul versante del valore generato, alla Parte nona.</w:t>
      </w:r>
    </w:p>
    <w:p>
      <w:pPr>
        <w:pStyle w:val="BodyText"/>
      </w:pPr>
      <w:r>
        <w:t xml:space="preserve">Gli attori istituzionali e amministrativi regionali — le aziende sanitarie locali, i distretti, l’Azienda Zero e la Regione — che la Parte terza ha collocato nel quarto livello come responsabili della governance e dell’attuazione della riforma, generano un costo che non è di personale clinico, ma di coordinamento, programmazione, monitoraggio e governance del servizio. Tale costo, di natura diversa dal costo del personale che la presente sezione ricostruisce, è trattato nella sezione 7.2 tra i costi di struttura, coordinamento e organizzazione, e non è perciò imputato al costo del personale della presente sezione, per evitare la duplicazione. La trattazione segnala la collocazione del costo degli attori istituzionali nella sezione 7.2, e ne esclude la registrazione nella presente sezione, in coerenza con il criterio di imputazione e con il principio di non duplicazione.</w:t>
      </w:r>
    </w:p>
    <w:p>
      <w:pPr>
        <w:pStyle w:val="BodyText"/>
      </w:pPr>
      <w:r>
        <w:t xml:space="preserve">Il costo del quarto livello, nella prospettiva del costo del personale che la presente sezione ricostruisce, è pertanto nullo, perché le figure educative gravano sul sistema dell’istruzione e gli attori istituzionali generano un costo di coordinamento trattato altrove. La trattazione registra tale costo nullo non come un’omissione, ma come il risultato di una corretta imputazione, che attribuisce ciascun costo al bilancio che lo sostiene e alla sezione che lo tratta, e che impedisce di gonfiare il costo diretto della riforma sanitaria con voci estranee al bilancio del Servizio Sanitario Regionale.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7.1.5 — Profilo di costo del quarto livello: figure educative e attori istituzionali</w:t>
            </w:r>
          </w:p>
        </w:tc>
      </w:tr>
      <w:tr>
        <w:tc>
          <w:tcPr/>
          <w:p>
            <w:pPr>
              <w:pStyle w:val="Compact"/>
              <w:spacing w:after="40" w:before="40"/>
              <w:jc w:val="left"/>
            </w:pPr>
            <w:r>
              <w:rPr>
                <w:rFonts w:ascii="Cambria" w:hAnsi="Cambria" w:cs="Cambria" w:eastAsia="Cambria"/>
                <w:b/>
                <w:bCs/>
                <w:color w:val="1A1A1A"/>
                <w:sz w:val="18"/>
              </w:rPr>
              <w:t xml:space="preserve">Classe di imputazione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Psicologo scolastico</w:t>
            </w:r>
          </w:p>
        </w:tc>
      </w:tr>
      <w:tr>
        <w:tc>
          <w:tcPr/>
          <w:p>
            <w:pPr>
              <w:pStyle w:val="Compact"/>
              <w:spacing w:after="40" w:before="40"/>
              <w:jc w:val="left"/>
            </w:pPr>
            <w:r>
              <w:rPr>
                <w:rFonts w:ascii="Cambria" w:hAnsi="Cambria" w:cs="Cambria" w:eastAsia="Cambria"/>
                <w:b/>
                <w:bCs/>
                <w:color w:val="1A1A1A"/>
                <w:sz w:val="18"/>
              </w:rPr>
              <w:t xml:space="preserve">Corpo docente e dirigenza scolastica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Attori istituzionali e amministrativi</w:t>
            </w:r>
          </w:p>
        </w:tc>
      </w:tr>
      <w:tr>
        <w:tc>
          <w:tcPr/>
          <w:p>
            <w:pPr>
              <w:pStyle w:val="Compact"/>
              <w:spacing w:after="40" w:before="40"/>
              <w:jc w:val="left"/>
            </w:pPr>
            <w:r>
              <w:rPr>
                <w:rFonts w:ascii="Cambria" w:hAnsi="Cambria" w:cs="Cambria" w:eastAsia="Cambria"/>
                <w:b/>
                <w:bCs/>
                <w:color w:val="1A1A1A"/>
                <w:sz w:val="18"/>
              </w:rPr>
              <w:t xml:space="preserve">Costo del livello (personale)</w:t>
            </w:r>
          </w:p>
        </w:tc>
      </w:tr>
    </w:tbl>
    <w:bookmarkEnd w:id="358"/>
    <w:bookmarkStart w:id="359" w:name="X4c8af253c2d23576b6aa5a6787e5f0c17460748"/>
    <w:p>
      <w:pPr>
        <w:pStyle w:val="Heading3"/>
      </w:pPr>
      <w:r>
        <w:t xml:space="preserve">7.1.6 Il quinto livello: gli attori extra-sanitari e l’assenza di costo diretto</w:t>
      </w:r>
    </w:p>
    <w:p>
      <w:pPr>
        <w:pStyle w:val="FirstParagraph"/>
      </w:pPr>
      <w:r>
        <w:t xml:space="preserve">Il quinto livello della cascata, la base della piramide, raccoglie gli attori extra-sanitari che la riforma mette in movimento e che la quarta classe di imputazione identifica come attori interamente privi di costo diretto per il Servizio Sanitario Regionale, collocati sul versante dei benefici e non dei costi. La trattazione di questo livello è breve, perché la sua collocazione economica è netta: gli attori extra-sanitari non sostengono alcun costo per la riforma, e ne raccolgono invece i benefici, che la Parte nona quantificherà nei rispettivi domini del perimetro multidisciplinare integrale.</w:t>
      </w:r>
    </w:p>
    <w:p>
      <w:pPr>
        <w:pStyle w:val="BodyText"/>
      </w:pPr>
      <w:r>
        <w:t xml:space="preserve">Gli istituti previdenziali e assicurativi — l’Istituto nazionale della previdenza sociale e l’Istituto nazionale per l’assicurazione contro gli infortuni sul lavoro — che la Parte terza ha collocato alla base della cascata, non sostengono alcun costo per la riforma sanitaria, e ne raccolgono i benefici sotto forma di minori oneri per invalidità, inabilità e pensionamento anticipato per cause psichiche, che la Parte nona quantificherà nei domini pensionistico e welfaristico. La trattazione registra il costo di tali attori per il Servizio Sanitario Regionale come nullo, e ne rinvia la valutazione, sul versante del valore generato, alla Parte nona.</w:t>
      </w:r>
    </w:p>
    <w:p>
      <w:pPr>
        <w:pStyle w:val="BodyText"/>
      </w:pPr>
      <w:r>
        <w:t xml:space="preserve">Il sistema giudiziario, le imprese, le organizzazioni sindacali, le università e il terzo settore, che la Parte terza ha collocato accanto agli istituti previdenziali nel quinto livello, appartengono parimenti alla classe degli attori privi di costo diretto per il Servizio Sanitario Regionale. Il sistema giudiziario raccoglie i benefici della riforma nel dominio criminologico, sotto forma di minori costi della giustizia connessi alla relazione tra disagio psichico e devianza; le imprese nei domini lavorativo, produttivistico e industriale, sotto forma di minore assenteismo e maggiore produttività; le organizzazioni sindacali nel dominio della tutela dei lavoratori; le università nel dominio accademico, della ricerca e dell’innovazione; il terzo settore nel dominio sociale e del capitale sociale. Nessuno di tali attori sostiene un costo per la riforma sanitaria, e la trattazione ne registra il costo come nullo, rinviando alla Parte nona la valutazione dei benefici che essi raccolgono.</w:t>
      </w:r>
    </w:p>
    <w:p>
      <w:pPr>
        <w:pStyle w:val="BodyText"/>
      </w:pPr>
      <w:r>
        <w:t xml:space="preserve">Il costo del quinto livello per il Servizio Sanitario Regionale è pertanto nullo, e tale registrazione completa la ricostruzione del costo del personale lungo la cascata, confermando l’asimmetria che l’introduzione ha enunciato: il costo diretto di cassa è concentrato nell’apice della piramide, decresce attraverso i livelli intermedi fino al costo marginale del terzo livello, e si annulla nei livelli quarto e quinto, dove gli attori sono finanziati da altri bilanci o collocati interamente sul versante dei benefici. È questa concentrazione del costo nell’apice, congiunta alla diffusione del valore lungo l’intera cascata, a fondare la convenienza dell’investimento, e la presente sezione ne ha reso esplicita la struttura, ricostruendo il costo di ciascun livello secondo la sua natura e la sua collocazione nelle prospettive di analisi.</w:t>
      </w:r>
    </w:p>
    <w:bookmarkEnd w:id="359"/>
    <w:bookmarkStart w:id="361" w:name="X7d1981cb76e9f01911b681fea0f49beebdb102f"/>
    <w:p>
      <w:pPr>
        <w:pStyle w:val="Heading3"/>
      </w:pPr>
      <w:r>
        <w:t xml:space="preserve">7.1.7 Il personale amministrativo di supporto e la supervisione clinica di base</w:t>
      </w:r>
    </w:p>
    <w:p>
      <w:pPr>
        <w:pStyle w:val="FirstParagraph"/>
      </w:pPr>
      <w:r>
        <w:t xml:space="preserve">Accanto al costo del personale clinico apicale, che ne costituisce il nucleo, il costo del personale del servizio comprende due voci ulteriori, di entità minore ma non trascurabile, che la prima classe di imputazione identifica come costi incrementali e di cassa: il costo del personale amministrativo di supporto e il costo della supervisione clinica di base. La presente sezione ricostruisce tali voci con il medesimo metodo dal basso applicato al costo del personale clinico, e ne distingue la natura dalla formazione strutturata, che la sezione 7.4 tratterà come strato autonomo del programma.</w:t>
      </w:r>
    </w:p>
    <w:p>
      <w:pPr>
        <w:pStyle w:val="BodyText"/>
      </w:pPr>
      <w:r>
        <w:t xml:space="preserve">Il personale amministrativo di supporto è costituito dalle figure che assicurano il funzionamento amministrativo e organizzativo del servizio al livello operativo: la gestione delle agende, l’accoglienza e l’orientamento dell’utenza, la tenuta della documentazione amministrativa, il raccordo con i sistemi informativi. Tali figure, che la riforma deve finanziare in aggiunta all’organico esistente perché il servizio è di nuova istituzione, appartengono alla prima classe di imputazione e generano un costo di cassa. Dimensionando il personale amministrativo di supporto in proporzione all’organico clinico, secondo un rapporto prudenziale dell’ordine di una figura di supporto ogni dieci-dodici professionisti clinici, e valorizzandolo al costo lordo del comparto amministrativo, dell’ordine di trentaduemila-trentottomila euro annui per unità a tempo pieno, il costo del personale amministrativo di supporto a regime si colloca dell’ordine di due milioni e trecentomila euro annui nello scenario centrale, all’interno di un intervallo compreso tra un milione e ottocentomila e due milioni e ottocentomila euro nei tre scenari.</w:t>
      </w:r>
      <w:r>
        <w:rPr>
          <w:rStyle w:val="FootnoteReference"/>
        </w:rPr>
        <w:footnoteReference w:id="178"/>
      </w:r>
    </w:p>
    <w:p>
      <w:pPr>
        <w:pStyle w:val="BodyText"/>
      </w:pPr>
      <w:r>
        <w:t xml:space="preserve">La supervisione clinica di base è costituita dall’attività di supervisione e di confronto clinico che il servizio richiede per garantire la qualità e l’appropriatezza dell’intervento dello Psicologo di Base, e che si distingue dalla formazione strutturata perché non mira ad accrescere le competenze in vista di un loro mutamento, ma a mantenere la qualità dell’esercizio professionale corrente. Tale attività, che la disciplina dell’esercizio della professione psicologica richiede e che il modello di assistenza collaborativa pone tra le condizioni della sua efficacia, appartiene alla prima classe di imputazione nella misura in cui eccede la supervisione preesistente, e genera un costo di cassa. Dimensionando la supervisione clinica di base in proporzione al tempo clinico erogato, secondo una quota prudenziale dell’ordine di un’ora di supervisione ogni venti-venticinque ore di attività clinica, e valorizzandola al costo del supervisore, il costo della supervisione clinica di base a regime si colloca dell’ordine di un milione di euro annui nello scenario centrale, all’interno di un intervallo compreso tra settecentomila e un milione e quattrocentomila euro nei tre scenari.</w:t>
      </w:r>
    </w:p>
    <w:p>
      <w:pPr>
        <w:pStyle w:val="BodyText"/>
      </w:pPr>
      <w:r>
        <w:t xml:space="preserve">Il costo complessivo delle due voci ulteriori del personale — amministrativo di supporto e supervisione clinica di base — si colloca pertanto dell’ordine di tre milioni e trecentomila euro annui a regime nello scenario centrale, all’interno di un intervallo compreso tra due milioni e cinquecentomila e quattro milioni e duecentomila euro nei tre scenari. Tale costo, sommato al costo del personale clinico apicale e al costo marginale del terzo livello, concorre a comporre il costo del personale del servizio, che la sezione successiva consolida in una stima per scenario. La trattazione segnala, in coerenza con il principio di non duplicazione, che la supervisione clinica di base qui considerata è distinta dalla formazione strutturata della sezione 7.4, e che il costo del personale amministrativo di supporto è distinto dal costo della governance e del coordinamento istituzionale della sezione 7.2, affinché la somma finale non comporti sovrapposizioni.</w:t>
      </w:r>
    </w:p>
    <w:bookmarkEnd w:id="361"/>
    <w:bookmarkStart w:id="362" w:name="Xe8769e4eb719b74f75dfff223f9d7fc55bfdfae"/>
    <w:p>
      <w:pPr>
        <w:pStyle w:val="Heading3"/>
      </w:pPr>
      <w:r>
        <w:t xml:space="preserve">7.1.8 Il consolidamento del costo del personale lungo la cascata</w:t>
      </w:r>
    </w:p>
    <w:p>
      <w:pPr>
        <w:pStyle w:val="FirstParagraph"/>
      </w:pPr>
      <w:r>
        <w:t xml:space="preserve">La ricostruzione del costo del personale lungo la cascata, condotta livello per livello secondo il criterio delle quattro classi di imputazione, perviene ora al consolidamento, che ricompone le grandezze esposte in una stima complessiva del costo del personale del servizio, distinta per scenario e per prospettiva di analisi, e corredata della banda prudenziale e della previsione falsificabile che l’opera richiede. Il consolidamento mantiene la distinzione tra il costo di cassa, che grava sul bilancio del Servizio Sanitario Regionale, e il costo-opportunità, che la prospettiva sociale registra separatamente, e ne restituisce entrambe le grandezze nella loro distinta natura.</w:t>
      </w:r>
    </w:p>
    <w:p>
      <w:pPr>
        <w:pStyle w:val="BodyText"/>
      </w:pPr>
      <w:r>
        <w:t xml:space="preserve">Il costo del personale di cassa del servizio, che grava sul bilancio del Servizio Sanitario Regionale, è composto dal costo del personale clinico apicale, dal costo marginale del terzo livello e dal costo del personale amministrativo di supporto e della supervisione clinica di base. Nello scenario centrale, esso si colloca dell’ordine di trentacinque milioni e ottocentomila euro annui a regime, somma dei trentuno milioni e mezzo del personale clinico apicale, del milione del terzo livello nell’ipotesi prudenziale di realizzazione parziale della dotazione territoriale, e dei tre milioni e trecentomila euro del personale amministrativo di supporto e della supervisione clinica di base. Nei tre scenari, il costo del personale di cassa si colloca in un intervallo compreso tra trenta milioni e mezzo e quarantadue milioni e duecentomila euro annui a regime, dove l’estremo superiore corrisponde allo scenario prudenzialmente più oneroso e l’estremo inferiore allo scenario efficiente.</w:t>
      </w:r>
    </w:p>
    <w:p>
      <w:pPr>
        <w:pStyle w:val="BodyText"/>
      </w:pPr>
      <w:r>
        <w:t xml:space="preserve">Il costo-opportunità del personale, che la prospettiva sociale registra separatamente e che non grava sul bilancio del Servizio Sanitario Regionale, è composto dal costo-opportunità netto del secondo livello e dal costo-opportunità marginale dello psichiatra consulente e delle ulteriori figure del terzo livello. Esso si colloca, nello scenario centrale, dell’ordine di ottocentomila-un milione di euro annui a regime, ed è una grandezza prudenzialmente cautelativa, perché a regime il bilancio netto del tempo delle figure di primo contatto può risultare favorevole. La trattazione segnala tale costo-opportunità separatamente, senza sommarlo al costo di cassa, affinché il decisore disponga di entrambe le grandezze e non scambi un riorientamento di tempo già pagato per una spesa nuova.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costo del personale (a regime)</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Centrale</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w:t>
            </w:r>
          </w:p>
        </w:tc>
      </w:tr>
      <w:tr>
        <w:tc>
          <w:tcPr/>
          <w:p>
            <w:pPr>
              <w:pStyle w:val="Compact"/>
              <w:spacing w:after="40" w:before="40"/>
              <w:jc w:val="left"/>
            </w:pPr>
            <w:r>
              <w:rPr>
                <w:rFonts w:ascii="Cambria" w:hAnsi="Cambria" w:cs="Cambria" w:eastAsia="Cambria"/>
                <w:color w:val="1A1A1A"/>
                <w:sz w:val="18"/>
              </w:rPr>
              <w:t xml:space="preserve">Apice — personale clinico (Psicologo di Base)</w:t>
            </w:r>
          </w:p>
        </w:tc>
        <w:tc>
          <w:tcPr/>
          <w:p>
            <w:pPr>
              <w:pStyle w:val="Compact"/>
              <w:spacing w:after="40" w:before="40"/>
              <w:jc w:val="left"/>
            </w:pPr>
            <w:r>
              <w:rPr>
                <w:rFonts w:ascii="Cambria" w:hAnsi="Cambria" w:cs="Cambria" w:eastAsia="Cambria"/>
                <w:color w:val="1A1A1A"/>
                <w:sz w:val="18"/>
              </w:rPr>
              <w:t xml:space="preserve">37,0</w:t>
            </w:r>
          </w:p>
        </w:tc>
        <w:tc>
          <w:tcPr/>
          <w:p>
            <w:pPr>
              <w:pStyle w:val="Compact"/>
              <w:spacing w:after="40" w:before="40"/>
              <w:jc w:val="left"/>
            </w:pPr>
            <w:r>
              <w:rPr>
                <w:rFonts w:ascii="Cambria" w:hAnsi="Cambria" w:cs="Cambria" w:eastAsia="Cambria"/>
                <w:color w:val="1A1A1A"/>
                <w:sz w:val="18"/>
              </w:rPr>
              <w:t xml:space="preserve">31,5</w:t>
            </w:r>
          </w:p>
        </w:tc>
        <w:tc>
          <w:tcPr/>
          <w:p>
            <w:pPr>
              <w:pStyle w:val="Compact"/>
              <w:spacing w:after="40" w:before="40"/>
              <w:jc w:val="left"/>
            </w:pPr>
            <w:r>
              <w:rPr>
                <w:rFonts w:ascii="Cambria" w:hAnsi="Cambria" w:cs="Cambria" w:eastAsia="Cambria"/>
                <w:color w:val="1A1A1A"/>
                <w:sz w:val="18"/>
              </w:rPr>
              <w:t xml:space="preserve">26,6</w:t>
            </w:r>
          </w:p>
        </w:tc>
        <w:tc>
          <w:tcPr/>
          <w:p>
            <w:pPr>
              <w:pStyle w:val="Compact"/>
              <w:spacing w:after="40" w:before="40"/>
              <w:jc w:val="left"/>
            </w:pPr>
            <w:r>
              <w:rPr>
                <w:rFonts w:ascii="Cambria" w:hAnsi="Cambria" w:cs="Cambria" w:eastAsia="Cambria"/>
                <w:color w:val="1A1A1A"/>
                <w:sz w:val="18"/>
              </w:rPr>
              <w:t xml:space="preserve">Cassa, incrementale</w:t>
            </w:r>
          </w:p>
        </w:tc>
      </w:tr>
      <w:tr>
        <w:tc>
          <w:tcPr>
            <w:shd w:val="clear" w:color="auto" w:fill="F4F1EC"/>
          </w:tcPr>
          <w:p>
            <w:pPr>
              <w:pStyle w:val="Compact"/>
              <w:spacing w:after="40" w:before="40"/>
              <w:jc w:val="left"/>
            </w:pPr>
            <w:r>
              <w:rPr>
                <w:rFonts w:ascii="Cambria" w:hAnsi="Cambria" w:cs="Cambria" w:eastAsia="Cambria"/>
                <w:color w:val="1A1A1A"/>
                <w:sz w:val="18"/>
              </w:rPr>
              <w:t xml:space="preserve">Terzo livello — care management dedicato</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0,0</w:t>
            </w:r>
          </w:p>
        </w:tc>
        <w:tc>
          <w:tcPr>
            <w:shd w:val="clear" w:color="auto" w:fill="F4F1EC"/>
          </w:tcPr>
          <w:p>
            <w:pPr>
              <w:pStyle w:val="Compact"/>
              <w:spacing w:after="40" w:before="40"/>
              <w:jc w:val="left"/>
            </w:pPr>
            <w:r>
              <w:rPr>
                <w:rFonts w:ascii="Cambria" w:hAnsi="Cambria" w:cs="Cambria" w:eastAsia="Cambria"/>
                <w:color w:val="1A1A1A"/>
                <w:sz w:val="18"/>
              </w:rPr>
              <w:t xml:space="preserve">Cassa, condizionale</w:t>
            </w:r>
          </w:p>
        </w:tc>
      </w:tr>
      <w:tr>
        <w:tc>
          <w:tcPr/>
          <w:p>
            <w:pPr>
              <w:pStyle w:val="Compact"/>
              <w:spacing w:after="40" w:before="40"/>
              <w:jc w:val="left"/>
            </w:pPr>
            <w:r>
              <w:rPr>
                <w:rFonts w:ascii="Cambria" w:hAnsi="Cambria" w:cs="Cambria" w:eastAsia="Cambria"/>
                <w:color w:val="1A1A1A"/>
                <w:sz w:val="18"/>
              </w:rPr>
              <w:t xml:space="preserve">Personale amministrativo di supporto</w:t>
            </w:r>
          </w:p>
        </w:tc>
        <w:tc>
          <w:tcPr/>
          <w:p>
            <w:pPr>
              <w:pStyle w:val="Compact"/>
              <w:spacing w:after="40" w:before="40"/>
              <w:jc w:val="left"/>
            </w:pPr>
            <w:r>
              <w:rPr>
                <w:rFonts w:ascii="Cambria" w:hAnsi="Cambria" w:cs="Cambria" w:eastAsia="Cambria"/>
                <w:color w:val="1A1A1A"/>
                <w:sz w:val="18"/>
              </w:rPr>
              <w:t xml:space="preserve">2,8</w:t>
            </w:r>
          </w:p>
        </w:tc>
        <w:tc>
          <w:tcPr/>
          <w:p>
            <w:pPr>
              <w:pStyle w:val="Compact"/>
              <w:spacing w:after="40" w:before="40"/>
              <w:jc w:val="left"/>
            </w:pPr>
            <w:r>
              <w:rPr>
                <w:rFonts w:ascii="Cambria" w:hAnsi="Cambria" w:cs="Cambria" w:eastAsia="Cambria"/>
                <w:color w:val="1A1A1A"/>
                <w:sz w:val="18"/>
              </w:rPr>
              <w:t xml:space="preserve">2,3</w:t>
            </w:r>
          </w:p>
        </w:tc>
        <w:tc>
          <w:tcPr/>
          <w:p>
            <w:pPr>
              <w:pStyle w:val="Compact"/>
              <w:spacing w:after="40" w:before="40"/>
              <w:jc w:val="left"/>
            </w:pPr>
            <w:r>
              <w:rPr>
                <w:rFonts w:ascii="Cambria" w:hAnsi="Cambria" w:cs="Cambria" w:eastAsia="Cambria"/>
                <w:color w:val="1A1A1A"/>
                <w:sz w:val="18"/>
              </w:rPr>
              <w:t xml:space="preserve">1,8</w:t>
            </w:r>
          </w:p>
        </w:tc>
        <w:tc>
          <w:tcPr/>
          <w:p>
            <w:pPr>
              <w:pStyle w:val="Compact"/>
              <w:spacing w:after="40" w:before="40"/>
              <w:jc w:val="left"/>
            </w:pPr>
            <w:r>
              <w:rPr>
                <w:rFonts w:ascii="Cambria" w:hAnsi="Cambria" w:cs="Cambria" w:eastAsia="Cambria"/>
                <w:color w:val="1A1A1A"/>
                <w:sz w:val="18"/>
              </w:rPr>
              <w:t xml:space="preserve">Cassa, incrementale</w:t>
            </w:r>
          </w:p>
        </w:tc>
      </w:tr>
      <w:tr>
        <w:tc>
          <w:tcPr>
            <w:shd w:val="clear" w:color="auto" w:fill="F4F1EC"/>
          </w:tcPr>
          <w:p>
            <w:pPr>
              <w:pStyle w:val="Compact"/>
              <w:spacing w:after="40" w:before="40"/>
              <w:jc w:val="left"/>
            </w:pPr>
            <w:r>
              <w:rPr>
                <w:rFonts w:ascii="Cambria" w:hAnsi="Cambria" w:cs="Cambria" w:eastAsia="Cambria"/>
                <w:color w:val="1A1A1A"/>
                <w:sz w:val="18"/>
              </w:rPr>
              <w:t xml:space="preserve">Supervisione clinica di base</w:t>
            </w:r>
          </w:p>
        </w:tc>
        <w:tc>
          <w:tcPr>
            <w:shd w:val="clear" w:color="auto" w:fill="F4F1EC"/>
          </w:tcPr>
          <w:p>
            <w:pPr>
              <w:pStyle w:val="Compact"/>
              <w:spacing w:after="40" w:before="40"/>
              <w:jc w:val="left"/>
            </w:pPr>
            <w:r>
              <w:rPr>
                <w:rFonts w:ascii="Cambria" w:hAnsi="Cambria" w:cs="Cambria" w:eastAsia="Cambria"/>
                <w:color w:val="1A1A1A"/>
                <w:sz w:val="18"/>
              </w:rPr>
              <w:t xml:space="preserve">1,4</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0,7</w:t>
            </w:r>
          </w:p>
        </w:tc>
        <w:tc>
          <w:tcPr>
            <w:shd w:val="clear" w:color="auto" w:fill="F4F1EC"/>
          </w:tcPr>
          <w:p>
            <w:pPr>
              <w:pStyle w:val="Compact"/>
              <w:spacing w:after="40" w:before="40"/>
              <w:jc w:val="left"/>
            </w:pPr>
            <w:r>
              <w:rPr>
                <w:rFonts w:ascii="Cambria" w:hAnsi="Cambria" w:cs="Cambria" w:eastAsia="Cambria"/>
                <w:color w:val="1A1A1A"/>
                <w:sz w:val="18"/>
              </w:rPr>
              <w:t xml:space="preserve">Cassa, incrementale</w:t>
            </w:r>
          </w:p>
        </w:tc>
      </w:tr>
      <w:tr>
        <w:tc>
          <w:tcPr/>
          <w:p>
            <w:pPr>
              <w:pStyle w:val="Compact"/>
              <w:spacing w:after="40" w:before="40"/>
              <w:jc w:val="left"/>
            </w:pPr>
            <w:r>
              <w:rPr>
                <w:rFonts w:ascii="Cambria" w:hAnsi="Cambria" w:cs="Cambria" w:eastAsia="Cambria"/>
                <w:b/>
                <w:bCs/>
                <w:color w:val="1A1A1A"/>
                <w:sz w:val="18"/>
              </w:rPr>
              <w:t xml:space="preserve">Costo del personale di cassa (SSR)</w:t>
            </w:r>
          </w:p>
        </w:tc>
        <w:tc>
          <w:tcPr/>
          <w:p>
            <w:pPr>
              <w:pStyle w:val="Compact"/>
              <w:spacing w:after="40" w:before="40"/>
              <w:jc w:val="left"/>
            </w:pPr>
            <w:r>
              <w:rPr>
                <w:rFonts w:ascii="Cambria" w:hAnsi="Cambria" w:cs="Cambria" w:eastAsia="Cambria"/>
                <w:b/>
                <w:bCs/>
                <w:color w:val="1A1A1A"/>
                <w:sz w:val="18"/>
              </w:rPr>
              <w:t xml:space="preserve">≈ 42,2</w:t>
            </w:r>
          </w:p>
        </w:tc>
        <w:tc>
          <w:tcPr/>
          <w:p>
            <w:pPr>
              <w:pStyle w:val="Compact"/>
              <w:spacing w:after="40" w:before="40"/>
              <w:jc w:val="left"/>
            </w:pPr>
            <w:r>
              <w:rPr>
                <w:rFonts w:ascii="Cambria" w:hAnsi="Cambria" w:cs="Cambria" w:eastAsia="Cambria"/>
                <w:b/>
                <w:bCs/>
                <w:color w:val="1A1A1A"/>
                <w:sz w:val="18"/>
              </w:rPr>
              <w:t xml:space="preserve">≈ 35,8</w:t>
            </w:r>
          </w:p>
        </w:tc>
        <w:tc>
          <w:tcPr/>
          <w:p>
            <w:pPr>
              <w:pStyle w:val="Compact"/>
              <w:spacing w:after="40" w:before="40"/>
              <w:jc w:val="left"/>
            </w:pPr>
            <w:r>
              <w:rPr>
                <w:rFonts w:ascii="Cambria" w:hAnsi="Cambria" w:cs="Cambria" w:eastAsia="Cambria"/>
                <w:b/>
                <w:bCs/>
                <w:color w:val="1A1A1A"/>
                <w:sz w:val="18"/>
              </w:rPr>
              <w:t xml:space="preserve">≈ 29,1</w:t>
            </w:r>
          </w:p>
        </w:tc>
        <w:tc>
          <w:tcPr/>
          <w:p>
            <w:pPr>
              <w:pStyle w:val="Compact"/>
              <w:spacing w:after="40" w:before="40"/>
              <w:jc w:val="left"/>
            </w:pPr>
            <w:r>
              <w:rPr>
                <w:rFonts w:ascii="Cambria" w:hAnsi="Cambria" w:cs="Cambria" w:eastAsia="Cambria"/>
                <w:b/>
                <w:bCs/>
                <w:color w:val="1A1A1A"/>
                <w:sz w:val="18"/>
              </w:rPr>
              <w:t xml:space="preserve">Bilancio SSR</w:t>
            </w:r>
          </w:p>
        </w:tc>
      </w:tr>
      <w:tr>
        <w:tc>
          <w:tcPr>
            <w:shd w:val="clear" w:color="auto" w:fill="F4F1EC"/>
          </w:tcPr>
          <w:p>
            <w:pPr>
              <w:pStyle w:val="Compact"/>
              <w:spacing w:after="40" w:before="40"/>
              <w:jc w:val="left"/>
            </w:pPr>
            <w:r>
              <w:rPr>
                <w:rFonts w:ascii="Cambria" w:hAnsi="Cambria" w:cs="Cambria" w:eastAsia="Cambria"/>
                <w:color w:val="1A1A1A"/>
                <w:sz w:val="18"/>
              </w:rPr>
              <w:t xml:space="preserve">Secondo livello — costo-opportunità netto</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0,9</w:t>
            </w:r>
          </w:p>
        </w:tc>
        <w:tc>
          <w:tcPr>
            <w:shd w:val="clear" w:color="auto" w:fill="F4F1EC"/>
          </w:tcPr>
          <w:p>
            <w:pPr>
              <w:pStyle w:val="Compact"/>
              <w:spacing w:after="40" w:before="40"/>
              <w:jc w:val="left"/>
            </w:pPr>
            <w:r>
              <w:rPr>
                <w:rFonts w:ascii="Cambria" w:hAnsi="Cambria" w:cs="Cambria" w:eastAsia="Cambria"/>
                <w:color w:val="1A1A1A"/>
                <w:sz w:val="18"/>
              </w:rPr>
              <w:t xml:space="preserve">0,8</w:t>
            </w:r>
          </w:p>
        </w:tc>
        <w:tc>
          <w:tcPr>
            <w:shd w:val="clear" w:color="auto" w:fill="F4F1EC"/>
          </w:tcPr>
          <w:p>
            <w:pPr>
              <w:pStyle w:val="Compact"/>
              <w:spacing w:after="40" w:before="40"/>
              <w:jc w:val="left"/>
            </w:pPr>
            <w:r>
              <w:rPr>
                <w:rFonts w:ascii="Cambria" w:hAnsi="Cambria" w:cs="Cambria" w:eastAsia="Cambria"/>
                <w:color w:val="1A1A1A"/>
                <w:sz w:val="18"/>
              </w:rPr>
              <w:t xml:space="preserve">Sociale, non di cassa</w:t>
            </w:r>
          </w:p>
        </w:tc>
      </w:tr>
      <w:tr>
        <w:tc>
          <w:tcPr/>
          <w:p>
            <w:pPr>
              <w:pStyle w:val="Compact"/>
              <w:spacing w:after="40" w:before="40"/>
              <w:jc w:val="left"/>
            </w:pPr>
            <w:r>
              <w:rPr>
                <w:rFonts w:ascii="Cambria" w:hAnsi="Cambria" w:cs="Cambria" w:eastAsia="Cambria"/>
                <w:color w:val="1A1A1A"/>
                <w:sz w:val="18"/>
              </w:rPr>
              <w:t xml:space="preserve">Terzo livello — costo-opportunità marginale</w:t>
            </w:r>
          </w:p>
        </w:tc>
        <w:tc>
          <w:tcPr/>
          <w:p>
            <w:pPr>
              <w:pStyle w:val="Compact"/>
              <w:spacing w:after="40" w:before="40"/>
              <w:jc w:val="left"/>
            </w:pPr>
            <w:r>
              <w:rPr>
                <w:rFonts w:ascii="Cambria" w:hAnsi="Cambria" w:cs="Cambria" w:eastAsia="Cambria"/>
                <w:color w:val="1A1A1A"/>
                <w:sz w:val="18"/>
              </w:rPr>
              <w:t xml:space="preserve">trascurab.</w:t>
            </w:r>
          </w:p>
        </w:tc>
        <w:tc>
          <w:tcPr/>
          <w:p>
            <w:pPr>
              <w:pStyle w:val="Compact"/>
              <w:spacing w:after="40" w:before="40"/>
              <w:jc w:val="left"/>
            </w:pPr>
            <w:r>
              <w:rPr>
                <w:rFonts w:ascii="Cambria" w:hAnsi="Cambria" w:cs="Cambria" w:eastAsia="Cambria"/>
                <w:color w:val="1A1A1A"/>
                <w:sz w:val="18"/>
              </w:rPr>
              <w:t xml:space="preserve">trascurab.</w:t>
            </w:r>
          </w:p>
        </w:tc>
        <w:tc>
          <w:tcPr/>
          <w:p>
            <w:pPr>
              <w:pStyle w:val="Compact"/>
              <w:spacing w:after="40" w:before="40"/>
              <w:jc w:val="left"/>
            </w:pPr>
            <w:r>
              <w:rPr>
                <w:rFonts w:ascii="Cambria" w:hAnsi="Cambria" w:cs="Cambria" w:eastAsia="Cambria"/>
                <w:color w:val="1A1A1A"/>
                <w:sz w:val="18"/>
              </w:rPr>
              <w:t xml:space="preserve">trascurab.</w:t>
            </w:r>
          </w:p>
        </w:tc>
        <w:tc>
          <w:tcPr/>
          <w:p>
            <w:pPr>
              <w:pStyle w:val="Compact"/>
              <w:spacing w:after="40" w:before="40"/>
              <w:jc w:val="left"/>
            </w:pPr>
            <w:r>
              <w:rPr>
                <w:rFonts w:ascii="Cambria" w:hAnsi="Cambria" w:cs="Cambria" w:eastAsia="Cambria"/>
                <w:color w:val="1A1A1A"/>
                <w:sz w:val="18"/>
              </w:rPr>
              <w:t xml:space="preserve">Sociale, non di cassa</w:t>
            </w:r>
          </w:p>
        </w:tc>
      </w:tr>
    </w:tbl>
    <w:p>
      <w:pPr>
        <w:pStyle w:val="BodyText"/>
      </w:pPr>
      <w:r>
        <w:rPr>
          <w:b/>
          <w:bCs/>
          <w:i/>
          <w:iCs/>
        </w:rPr>
        <w:t xml:space="preserve">Tabella 7.1.8</w:t>
      </w:r>
      <w:r>
        <w:t xml:space="preserve">* — Consolidamento del costo del personale lungo la cascata, a regime, per scenario, in milioni di euro annui. Il costo di cassa grava sul Servizio Sanitario Regionale; il costo-opportunità è registrato separatamente nella prospettiva sociale e non sommato al costo di cassa. Lo scenario conservativo è il prudenzialmente più oneroso.*</w:t>
      </w:r>
    </w:p>
    <w:p>
      <w:pPr>
        <w:pStyle w:val="BodyText"/>
      </w:pPr>
      <w:r>
        <w:t xml:space="preserve">Il costo del personale di cassa del servizio, che la tabella consolida, costituisce la voce di gran lunga preponderante del costo diretto del modello base, e ne conferma la struttura: il costo è concentrato nell’apice della cascata, dove il personale clinico apicale rappresenta dell’ordine dell’ottantotto per cento del costo del personale di cassa nello scenario centrale, mentre le altre componenti — il care management dedicato, il personale amministrativo di supporto e la supervisione clinica di base — ne rappresentano congiuntamente la frazione residua. Questa concentrazione, che la presente sezione ha ricostruito analiticamente, è ciò che consente di affermare che il costo diretto della riforma è, in misura prevalente, il costo del tempo qualificato dello Psicologo di Base, e che le altre figure della cascata vi concorrono in misura marginale o non vi concorrono affatto, perché già finanziate dal sistema o collocate sul versante dei benefici.</w:t>
      </w:r>
    </w:p>
    <w:p>
      <w:pPr>
        <w:pStyle w:val="BodyText"/>
      </w:pPr>
      <w:r>
        <w:t xml:space="preserve">Sulla base del consolidamento è possibile formulare la previsione falsificabile complessiva del costo del personale, che le Parti undicesima e quindicesima sottoporranno a verifica. A regime e a piena copertura, il costo del personale di cassa del servizio, che grava sul bilancio del Servizio Sanitario Regionale, non dovrebbe eccedere i quarantadue milioni e duecentomila euro annui nello scenario prudenzialmente più oneroso, né collocarsi al di sotto dei ventinove milioni nello scenario efficiente, e dovrebbe attestarsi attorno al valore centrale di trentacinque milioni e ottocentomila euro nell’ipotesi più probabile. La previsione è enunciata in forma di banda, con indicazione degli estremi il cui superamento ne segnalerebbe la confutazione, e sarà verificata sui dati effettivi del costo del personale del servizio a regime, distintamente per la componente clinica apicale, per il care management dedicato e per le componenti amministrative e di supervisione, in coerenza con il vincolo di falsificabilità che governa l’opera.</w:t>
      </w:r>
    </w:p>
    <w:p>
      <w:pPr>
        <w:pStyle w:val="BodyText"/>
      </w:pPr>
      <w:r>
        <w:t xml:space="preserve">Il consolidamento del costo del personale chiude la sezione 7.1 e fornisce la prima e preponderante componente del costo diretto del modello base, che le sezioni successive completeranno con i costi di struttura, coordinamento e organizzazione, con il costo incrementale della leva digitale e dell’Intelligenza Artificiale e con il costo della formazione, fino al costo diretto complessivo per scenario della sezione 7.5. La ricostruzione qui condotta ha reso esplicita la struttura del costo del personale lungo la cascata, ne ha distinto la natura di cassa e di costo-opportunità, ne ha quantificato le componenti per scenario e ne ha formulato la previsione falsificabile, in coerenza con il metodo dal basso, con il principio di non duplicazione e con i vincoli invarianti che governano l’opera. La trattazione prosegue, nella tranche successiva, con la sezione 7.2, dedicata ai costi di struttura, coordinamento e organizzazione.</w:t>
      </w:r>
    </w:p>
    <w:bookmarkEnd w:id="362"/>
    <w:bookmarkEnd w:id="363"/>
    <w:bookmarkStart w:id="376" w:name="X98680f3bc992eef9840c1e272ed4966baee641b"/>
    <w:p>
      <w:pPr>
        <w:pStyle w:val="Heading2"/>
      </w:pPr>
      <w:r>
        <w:t xml:space="preserve">7.2 I costi di struttura, coordinamento e organizzazione</w:t>
      </w:r>
    </w:p>
    <w:p>
      <w:pPr>
        <w:pStyle w:val="FirstParagraph"/>
      </w:pPr>
      <w:r>
        <w:t xml:space="preserve">Esaurita la ricostruzione del costo del personale, che ne costituisce la voce preponderante, la presente sezione quantifica le voci del costo diretto del modello base che non hanno natura di personale clinico e che sorreggono il funzionamento del servizio sul piano materiale, organizzativo e istituzionale: i costi della struttura fisica entro cui il servizio opera, i costi della governance e del coordinamento istituzionale che ne assicurano la programmazione e il monitoraggio, i costi dei sistemi informativi e della telepsicologia di base che ne supportano l’attività, i costi dell’hardware e della relativa quota di ammortamento, e i costi dell’audit, della qualità e dell’accountability che ne garantiscono l’appropriatezza. Tali voci, di entità complessivamente modesta rispetto al costo del personale, completano il costo diretto del modello base e sono ricostruite con il medesimo metodo dal basso, distinte per scenario e corredate delle bande prudenziali e delle previsioni falsificabili che l’opera richiede.</w:t>
      </w:r>
    </w:p>
    <w:p>
      <w:pPr>
        <w:pStyle w:val="BodyText"/>
      </w:pPr>
      <w:r>
        <w:t xml:space="preserve">La presente sezione raccoglie altresì il costo di coordinamento e governance che la sezione 7.1 ha espressamente rinviato a questa sede: il costo che gli attori istituzionali e amministrativi regionali del quarto livello della cascata — le aziende sanitarie locali, i distretti, l’Azienda Zero e la Regione — sostengono per programmare, coordinare, monitorare e governare il servizio. Tale costo non è un costo di personale clinico, ma un costo di funzione amministrativa e di governance, e la sua collocazione nella presente sezione, distinta dal costo del personale della sezione 7.1, è precisamente ciò che il principio di non duplicazione impone, perché impedisce di imputare due volte la medesima risorsa e di confondere il tempo qualificato dello Psicologo di Base con il tempo amministrativo della funzione di governance. La trattazione mantiene perciò, per tutta la sezione, la distinzione tra le voci qui ricostruite e quelle delle sezioni 7.1, 7.3 e 7.4, segnalando esplicitamente, ogni volta che il confine sia incerto, lo strato e la sezione cui ciascuna voce è attribuita.</w:t>
      </w:r>
    </w:p>
    <w:p>
      <w:pPr>
        <w:pStyle w:val="BodyText"/>
      </w:pPr>
      <w:r>
        <w:t xml:space="preserve">Una precisazione di metodo governa l’intera sezione e ne condiziona le stime: una parte rilevante dei costi qui ricostruiti non è interamente incrementale per la riforma, ma è in misura variabile assorbita dalla dotazione infrastrutturale e organizzativa che il sistema sta già realizzando in attuazione del modello di assistenza territoriale e degli investimenti della programmazione nazionale.</w:t>
      </w:r>
      <w:r>
        <w:rPr>
          <w:rStyle w:val="FootnoteReference"/>
        </w:rPr>
        <w:footnoteReference w:id="179"/>
      </w:r>
      <w:r>
        <w:rPr>
          <w:rStyle w:val="FootnoteReference"/>
        </w:rPr>
        <w:footnoteReference w:id="180"/>
      </w:r>
      <w:r>
        <w:t xml:space="preserve"> </w:t>
      </w:r>
      <w:r>
        <w:t xml:space="preserve">Gli spazi entro cui lo Psicologo di Base opera sono, in larga parte, gli spazi delle Case della Comunità, la cui realizzazione è finanziata dalla programmazione nazionale e non dalla riforma; i sistemi informativi di base si innestano sull’infrastruttura digitale del Servizio sanitario regionale e sul Fascicolo Sanitario Elettronico, la cui evoluzione è anch’essa oggetto di investimento nazionale; la funzione di governance si esercita attraverso strutture amministrative preesistenti. Ne consegue che il costo incrementale di tali voci per la riforma è, in misura variabile, marginale, e che la sua stima va ancorata al grado di realizzazione della dotazione esistente ed espressa in forma condizionale, come la presente sezione fa per ciascuna voce.</w:t>
      </w:r>
    </w:p>
    <w:bookmarkStart w:id="368" w:name="X9846eb89605ee80de46a61a89377b54cf8213b9"/>
    <w:p>
      <w:pPr>
        <w:pStyle w:val="Heading3"/>
      </w:pPr>
      <w:r>
        <w:t xml:space="preserve">7.2.1 I costi di struttura fisica: gli spazi nelle Case della Comunità</w:t>
      </w:r>
    </w:p>
    <w:p>
      <w:pPr>
        <w:pStyle w:val="FirstParagraph"/>
      </w:pPr>
      <w:r>
        <w:t xml:space="preserve">Il servizio di psicologia di base, in coerenza con la sua vocazione alla prossimità territoriale, opera entro gli spazi delle Case della Comunità e dei presidi territoriali che la programmazione nazionale ha posto al centro dell’assistenza di prossimità, e il costo della struttura fisica entro cui esso si esercita è perciò, in larga parte, un costo già sostenuto dal sistema e non incrementale per la riforma.</w:t>
      </w:r>
      <w:r>
        <w:rPr>
          <w:rStyle w:val="FootnoteReference"/>
        </w:rPr>
        <w:footnoteReference w:id="181"/>
      </w:r>
      <w:r>
        <w:rPr>
          <w:rStyle w:val="FootnoteReference"/>
        </w:rPr>
        <w:footnoteReference w:id="182"/>
      </w:r>
      <w:r>
        <w:t xml:space="preserve"> </w:t>
      </w:r>
      <w:r>
        <w:t xml:space="preserve">La realizzazione delle Case della Comunità è finanziata dalla componente della programmazione nazionale dedicata alle reti di prossimità, e gli spazi che esse offrono comprendono gli ambulatori e i locali in cui le diverse figure delle cure primarie esercitano la propria attività, ivi compreso lo Psicologo di Base. La riforma, in altri termini, non edifica strutture nuove né sostiene il costo della loro costruzione, ma utilizza gli spazi che la programmazione territoriale rende disponibili, e il costo della struttura fisica per la riforma si riduce di conseguenza al costo marginale dell’adattamento e dell’allestimento dei locali destinati all’attività psicologica.</w:t>
      </w:r>
    </w:p>
    <w:p>
      <w:pPr>
        <w:pStyle w:val="BodyText"/>
      </w:pPr>
      <w:r>
        <w:t xml:space="preserve">Il costo marginale dell’adattamento e dell’allestimento comprende le voci necessarie a rendere i locali idonei all’esercizio dell’attività psicologica nelle condizioni di riservatezza e di comfort che essa richiede: l’insonorizzazione e la garanzia della riservatezza acustica, l’arredo dei locali destinati al colloquio, l’adeguamento degli spazi di attesa e di accoglienza. Tali voci, di natura prevalentemente non ricorrente, sono in parte una tantum, concentrate nella fase di avvio del servizio, e in parte ricorrenti, per la manutenzione e il rinnovo dell’arredo. Dimensionando il costo marginale di adattamento e allestimento per ciascuna postazione e moltiplicandolo per il numero di postazioni che il servizio richiede nei distretti e nelle Case della Comunità, il costo ricorrente della struttura fisica per la riforma si colloca dell’ordine di duecentomila euro annui a regime nello scenario centrale, all’interno di un intervallo compreso tra centomila e cinquecentomila euro nei tre scenari, cui si aggiunge un costo una tantum di adattamento iniziale, concentrato nei primi due esercizi, dell’ordine di alcune centinaia di migliaia di euro.</w:t>
      </w:r>
    </w:p>
    <w:p>
      <w:pPr>
        <w:pStyle w:val="BodyText"/>
      </w:pPr>
      <w:r>
        <w:t xml:space="preserve">Il costo della struttura fisica per la riforma è dunque marginale, e la sua entità dipende in misura determinante dal grado di realizzazione delle Case della Comunità: ove la rete territoriale sia pienamente realizzata e gli spazi siano disponibili e idonei, il costo incrementale si riduce al solo allestimento; ove la rete sia parzialmente realizzata o gli spazi richiedano adattamenti più estesi, il costo sale verso il limite superiore dell’intervallo. La trattazione adotta, in ossequio al principio di prudenza, l’ipotesi intermedia di una realizzazione parziale della rete, e registra perciò un costo ricorrente della struttura fisica dell’ordine di duecentomila euro annui a regime, con esplicita segnalazione della sua dipendenza dal grado di realizzazione della rete territoriale e della sua natura prevalentemente marginale rispetto al costo complessivo del servizio. Su questa base è possibile formulare una previsione falsificabile: il costo ricorrente della struttura fisica per la riforma non dovrebbe eccedere il mezzo milione di euro annui a regime, e si collocherebbe verso il limite inferiore dell’intervallo ove la rete territoriale fosse pienamente realizzata, con indicazione delle soglie di confutazione e verifica nel sistema di monitoraggio regionale.</w:t>
      </w:r>
    </w:p>
    <w:bookmarkEnd w:id="368"/>
    <w:bookmarkStart w:id="369" w:name="X2dc3d7c68719aa74e37a92dbb7c8293ae7a94cd"/>
    <w:p>
      <w:pPr>
        <w:pStyle w:val="Heading3"/>
      </w:pPr>
      <w:r>
        <w:t xml:space="preserve">7.2.2 I costi di governance e coordinamento istituzionale</w:t>
      </w:r>
    </w:p>
    <w:p>
      <w:pPr>
        <w:pStyle w:val="FirstParagraph"/>
      </w:pPr>
      <w:r>
        <w:t xml:space="preserve">La governance e il coordinamento istituzionale del servizio costituiscono la voce di costo che la sezione 7.1 ha espressamente rinviato alla presente sede, e che gli attori istituzionali e amministrativi regionali del quarto livello della cascata — le aziende sanitarie locali, i distretti, l’Azienda Zero e la Regione — sostengono per assicurare la programmazione, il coordinamento, il monitoraggio e la governance del servizio. Tale costo è di natura affatto diversa dal costo del personale clinico della sezione 7.1 e dal costo del personale amministrativo di supporto operativo, che la medesima sezione ha ricostruito: esso è il costo della funzione di governo del servizio, esercitata attraverso il tempo di figure amministrative e direzionali dedicate alla programmazione del fabbisogno, al coordinamento tra i livelli, al monitoraggio degli indicatori e al raccordo con le strutture regionali.</w:t>
      </w:r>
    </w:p>
    <w:p>
      <w:pPr>
        <w:pStyle w:val="BodyText"/>
      </w:pPr>
      <w:r>
        <w:t xml:space="preserve">La funzione di governance e coordinamento si articola su più livelli del quarto livello della cascata, ciascuno con un proprio costo. Al livello regionale, la funzione comprende la programmazione del servizio, la definizione degli standard, il coordinamento del sistema di monitoraggio e il raccordo con la programmazione nazionale, ed è esercitata attraverso strutture amministrative regionali e dell’Azienda Zero, in parte preesistenti e in parte dedicate. Al livello aziendale e distrettuale, la funzione comprende il coordinamento operativo del servizio nei territori, la gestione del fabbisogno locale, il raccordo con la medicina generale e con i servizi specialistici, ed è esercitata attraverso figure di coordinamento aziendale e distrettuale. Il costo della funzione di governance e coordinamento è perciò composto dal costo del tempo di tali figure, nella quota dedicata al servizio di psicologia di base.</w:t>
      </w:r>
    </w:p>
    <w:p>
      <w:pPr>
        <w:pStyle w:val="BodyText"/>
      </w:pPr>
      <w:r>
        <w:t xml:space="preserve">Dimensionando la funzione di governance e coordinamento in proporzione alla scala del servizio e alla sua articolazione territoriale, e valorizzandola al costo delle figure amministrative e direzionali coinvolte, il costo della governance e del coordinamento istituzionale si colloca dell’ordine di un milione e duecentomila euro annui a regime nello scenario centrale, all’interno di un intervallo compreso tra novecentomila e un milione e seicentomila euro nei tre scenari. Tale costo è, in misura variabile, assorbito dalle strutture amministrative preesistenti, che esercitano la funzione di governance del servizio nell’ambito della più ampia funzione di governo dell’assistenza territoriale, e il suo carattere incrementale per la riforma è perciò parziale: la quota interamente incrementale, corrispondente alle figure di coordinamento specificamente dedicate al servizio, si colloca verso il limite inferiore dell’intervallo, mentre la quota assorbita dalle strutture preesistenti non genera esborso aggiuntivo. La trattazione adotta, in ossequio al principio di prudenza, la stima intermedia di un milione e duecentomila euro, con esplicita segnalazione della quota assorbita e della quota incrementale, e ne ribadisce la distinzione dal costo del personale clinico e amministrativo di supporto della sezione 7.1, affinché la somma finale non comporti duplicazioni.</w:t>
      </w:r>
    </w:p>
    <w:bookmarkEnd w:id="369"/>
    <w:bookmarkStart w:id="372" w:name="X2bc32463759f34177f753458c65301beed983c7"/>
    <w:p>
      <w:pPr>
        <w:pStyle w:val="Heading3"/>
      </w:pPr>
      <w:r>
        <w:t xml:space="preserve">7.2.3 I costi dei sistemi informativi e della telepsicologia di base</w:t>
      </w:r>
    </w:p>
    <w:p>
      <w:pPr>
        <w:pStyle w:val="FirstParagraph"/>
      </w:pPr>
      <w:r>
        <w:t xml:space="preserve">I sistemi informativi e la telepsicologia di base costituiscono l’infrastruttura digitale entro cui il servizio opera, e la loro ricostruzione richiede una distinzione netta rispetto alla leva dell’Intelligenza Artificiale che la sezione 7.3 tratterà come strato autonomo del programma. I sistemi informativi e la telepsicologia di base comprendono gli strumenti digitali ordinari che il servizio impiega per la sua attività corrente: la cartella clinica informatizzata e la sua integrazione con il Fascicolo Sanitario Elettronico, gli strumenti di gestione delle agende e degli appuntamenti, la piattaforma di telepsicologia per la teleconsultazione e per l’erogazione di interventi a distanza, gli strumenti di interoperabilità con i sistemi del Servizio sanitario regionale. Tali strumenti non incorporano funzioni di Intelligenza Artificiale, ma costituiscono l’infrastruttura digitale di base su cui la leva dell’Intelligenza Artificiale si innesterà, e il loro costo è perciò parte del modello base e distinto dal costo incrementale della componente di Intelligenza Artificiale della sezione 7.3.</w:t>
      </w:r>
    </w:p>
    <w:p>
      <w:pPr>
        <w:pStyle w:val="BodyText"/>
      </w:pPr>
      <w:r>
        <w:t xml:space="preserve">La telepsicologia di base, in particolare, costituisce una componente del modello base la cui efficacia è documentata da una letteratura di qualità apprezzabile e che merita una graduazione attenta dell’evidenza, in coerenza con il vincolo che governa l’opera. L’erogazione di interventi psicologici a distanza, e segnatamente della terapia cognitivo-comportamentale erogata via internet, dispone di un’evidenza di efficacia che la letteratura colloca su un grado da moderato a elevato per i disturbi d’ansia e depressivi di intensità lieve e moderata, con esiti comparabili a quelli dell’intervento in presenza per numerose condizioni.</w:t>
      </w:r>
      <w:r>
        <w:rPr>
          <w:rStyle w:val="FootnoteReference"/>
        </w:rPr>
        <w:footnoteReference w:id="183"/>
      </w:r>
      <w:r>
        <w:rPr>
          <w:rStyle w:val="FootnoteReference"/>
        </w:rPr>
        <w:footnoteReference w:id="184"/>
      </w:r>
      <w:r>
        <w:t xml:space="preserve"> </w:t>
      </w:r>
      <w:r>
        <w:t xml:space="preserve">Tale evidenza sostiene l’inclusione della telepsicologia di base tra le componenti del modello base, non come funzione di Intelligenza Artificiale, ma come modalità di erogazione dell’intervento psicologico che la piattaforma digitale rende disponibile, e il cui costo è quello della piattaforma e della sua manutenzione, non quello di strumenti computazionali avanzati.</w:t>
      </w:r>
    </w:p>
    <w:p>
      <w:pPr>
        <w:pStyle w:val="BodyText"/>
      </w:pPr>
      <w:r>
        <w:t xml:space="preserve">Dimensionando il costo dei sistemi informativi e della telepsicologia di base in funzione della scala del servizio, e comprendendovi il costo di licenza e di manutenzione della cartella clinica, della piattaforma di telepsicologia e degli strumenti di gestione e di interoperabilità, il costo dei sistemi informativi e della telepsicologia di base si colloca dell’ordine di un milione e seicentomila euro annui a regime nello scenario centrale, all’interno di un intervallo compreso tra un milione e duecentomila e due milioni e centomila euro nei tre scenari, cui si aggiunge un costo una tantum di configurazione e di integrazione iniziale, concentrato nei primi due esercizi. Anche tale costo è, in misura variabile, assorbito dall’infrastruttura digitale preesistente del Servizio sanitario regionale e dall’evoluzione del Fascicolo Sanitario Elettronico finanziata dalla programmazione nazionale, e il suo carattere incrementale per la riforma è perciò parziale; la trattazione adotta la stima intermedia, con esplicita segnalazione della quota assorbita, e ne ribadisce la distinzione dal costo della componente di Intelligenza Artificiale della sezione 7.3.</w:t>
      </w:r>
    </w:p>
    <w:bookmarkEnd w:id="372"/>
    <w:bookmarkStart w:id="373" w:name="X7b114073edebfb20b0592e4e97641996d76f0ce"/>
    <w:p>
      <w:pPr>
        <w:pStyle w:val="Heading3"/>
      </w:pPr>
      <w:r>
        <w:t xml:space="preserve">7.2.4 I costi di hardware e la quota di ammortamento</w:t>
      </w:r>
    </w:p>
    <w:p>
      <w:pPr>
        <w:pStyle w:val="FirstParagraph"/>
      </w:pPr>
      <w:r>
        <w:t xml:space="preserve">I costi di hardware comprendono le dotazioni materiali che il servizio richiede per la sua attività: le postazioni di lavoro degli psicologi di base e del personale amministrativo di supporto, i dispositivi per la teleconsultazione, le attrezzature dei locali destinati all’attività psicologica. Tali dotazioni, di natura prevalentemente non ricorrente, sono acquisite nella fase di avvio del servizio e rinnovate periodicamente, e il loro costo è ripartito nel tempo secondo la quota di ammortamento, che ne distribuisce l’onere lungo la vita utile dei beni. La ricostruzione del costo dell’hardware adotta perciò la logica dell’ammortamento, che la disciplina della valutazione economica indica come il metodo corretto per imputare il costo dei beni durevoli, evitando di concentrarne l’intero onere nell’esercizio di acquisto e distribuendolo lungo la vita utile.</w:t>
      </w:r>
    </w:p>
    <w:p>
      <w:pPr>
        <w:pStyle w:val="BodyText"/>
      </w:pPr>
      <w:r>
        <w:t xml:space="preserve">Dimensionando il costo dell’hardware in proporzione al numero di postazioni e di dispositivi che il servizio richiede, e applicando una vita utile dei beni dell’ordine di quattro-cinque anni con la corrispondente quota di ammortamento, il costo annuo dell’hardware, comprensivo della quota di ammortamento e della manutenzione, si colloca dell’ordine di settecentomila euro annui a regime nello scenario centrale, all’interno di un intervallo compreso tra cinquecentomila e un milione di euro nei tre scenari, cui si aggiunge un costo una tantum di prima dotazione, concentrato nella fase di avvio. Anche tale costo è in parte assorbito dalla dotazione hardware delle Case della Comunità e dei presidi territoriali, e il suo carattere incrementale per la riforma è perciò parziale; la trattazione adotta la stima intermedia, con esplicita segnalazione della quota assorbita e della logica di ammortamento adottata.</w:t>
      </w:r>
    </w:p>
    <w:bookmarkEnd w:id="373"/>
    <w:bookmarkStart w:id="374" w:name="Xca5a841ca3deae2299e210cc034c7a4cf748434"/>
    <w:p>
      <w:pPr>
        <w:pStyle w:val="Heading3"/>
      </w:pPr>
      <w:r>
        <w:t xml:space="preserve">7.2.5 I costi di audit, qualità e accountability</w:t>
      </w:r>
    </w:p>
    <w:p>
      <w:pPr>
        <w:pStyle w:val="FirstParagraph"/>
      </w:pPr>
      <w:r>
        <w:t xml:space="preserve">I costi di audit, qualità e accountability comprendono le attività che il servizio richiede per garantire l’appropriatezza, la qualità e la rendicontabilità della propria azione: il sistema di gestione della qualità, l’audit clinico periodico, la rilevazione e l’analisi degli indicatori di esito, le attività di accreditamento, la rendicontazione verso le strutture regionali e verso il sistema di monitoraggio. Tali attività, che la Parte quindicesima riprenderà nella trattazione del sistema di monitoraggio e del cruscotto regionale, generano un costo di funzione che la presente sezione ricostruisce e che è distinto dal costo della supervisione clinica di base della sezione 7.1: la supervisione clinica di base mira a mantenere la qualità dell’esercizio professionale corrente, mentre l’audit e la qualità mirano a verificare e a rendicontare l’appropriatezza e gli esiti del servizio nel suo complesso.</w:t>
      </w:r>
    </w:p>
    <w:p>
      <w:pPr>
        <w:pStyle w:val="BodyText"/>
      </w:pPr>
      <w:r>
        <w:t xml:space="preserve">Il costo dell’audit, della qualità e dell’accountability è composto dal costo del tempo delle figure dedicate a tali attività e dal costo degli strumenti di rilevazione e di analisi degli indicatori. Dimensionando tale costo in proporzione alla scala del servizio e alla complessità del sistema di monitoraggio, e valorizzandolo al costo delle figure e degli strumenti coinvolti, il costo dell’audit, della qualità e dell’accountability si colloca dell’ordine di cinquecentomila euro annui a regime nello scenario centrale, all’interno di un intervallo compreso tra quattrocentomila e settecentomila euro nei tre scenari. Tale costo, di entità modesta rispetto al costo complessivo del servizio, è tuttavia essenziale, perché è da esso che dipende la possibilità di verificare ex post le previsioni falsificabili che l’opera formula e di alimentare il cruscotto regionale che la Parte quindicesima definirà; e la sua inclusione tra i costi diretti è la traduzione economica del vincolo di falsificabilità che governa l’opera, il quale richiede che il servizio disponga degli strumenti per misurare i propri esiti e per sottoporre a verifica le proprie stime.</w:t>
      </w:r>
    </w:p>
    <w:bookmarkEnd w:id="374"/>
    <w:bookmarkStart w:id="375" w:name="X5e197018cc59b73e1d719b07eb8d87cdf8474f0"/>
    <w:p>
      <w:pPr>
        <w:pStyle w:val="Heading3"/>
      </w:pPr>
      <w:r>
        <w:t xml:space="preserve">7.2.6 Il consolidamento dei costi di struttura, coordinamento e organizzazione</w:t>
      </w:r>
    </w:p>
    <w:p>
      <w:pPr>
        <w:pStyle w:val="FirstParagraph"/>
      </w:pPr>
      <w:r>
        <w:t xml:space="preserve">La ricostruzione dei costi di struttura, coordinamento e organizzazione perviene ora al consolidamento, che ricompone le cinque voci esposte in una stima complessiva, distinta per scenario e corredata della banda prudenziale e della previsione falsificabile che l’opera richiede. Il consolidamento mantiene la distinzione tra il costo ricorrente a regime e il costo una tantum di avvio, e segnala per ciascuna voce la quota assorbita dalla dotazione esistente e la quota incrementale per la riforma.</w:t>
      </w:r>
    </w:p>
    <w:p>
      <w:pPr>
        <w:pStyle w:val="BodyText"/>
      </w:pPr>
      <w:r>
        <w:t xml:space="preserve">I costi di struttura, coordinamento e organizzazione a regime si collocano, nello scenario centrale, dell’ordine di quattro milioni e duecentomila euro annui, somma dei duecentomila euro della struttura fisica, del milione e duecentomila euro della governance e del coordinamento istituzionale, del milione e seicentomila euro dei sistemi informativi e della telepsicologia di base, dei settecentomila euro dell’hardware e dell’ammortamento e dei cinquecentomila euro dell’audit e della qualità. Nei tre scenari, i costi di struttura, coordinamento e organizzazione si collocano in un intervallo compreso tra tre milioni e centomila e cinque milioni e novecentomila euro annui a regime, dove l’estremo superiore corrisponde allo scenario prudenzialmente più oneroso e l’estremo inferiore allo scenario efficiente. A regime, dunque, i costi di struttura, coordinamento e organizzazione rappresentano dell’ordine di un decimo del costo diretto del modello base, confermando la preponderanza del costo del personale che la sezione 7.1 ha ricostruito.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Voce di costo (a regime)</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Centrale</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Carattere</w:t>
            </w:r>
          </w:p>
        </w:tc>
      </w:tr>
      <w:tr>
        <w:tc>
          <w:tcPr/>
          <w:p>
            <w:pPr>
              <w:pStyle w:val="Compact"/>
              <w:spacing w:after="40" w:before="40"/>
              <w:jc w:val="left"/>
            </w:pPr>
            <w:r>
              <w:rPr>
                <w:rFonts w:ascii="Cambria" w:hAnsi="Cambria" w:cs="Cambria" w:eastAsia="Cambria"/>
                <w:color w:val="1A1A1A"/>
                <w:sz w:val="18"/>
              </w:rPr>
              <w:t xml:space="preserve">Struttura fisica (allestimento, manutenzione)</w:t>
            </w:r>
          </w:p>
        </w:tc>
        <w:tc>
          <w:tcPr/>
          <w:p>
            <w:pPr>
              <w:pStyle w:val="Compact"/>
              <w:spacing w:after="40" w:before="40"/>
              <w:jc w:val="left"/>
            </w:pPr>
            <w:r>
              <w:rPr>
                <w:rFonts w:ascii="Cambria" w:hAnsi="Cambria" w:cs="Cambria" w:eastAsia="Cambria"/>
                <w:color w:val="1A1A1A"/>
                <w:sz w:val="18"/>
              </w:rPr>
              <w:t xml:space="preserve">0,5</w:t>
            </w:r>
          </w:p>
        </w:tc>
        <w:tc>
          <w:tcPr/>
          <w:p>
            <w:pPr>
              <w:pStyle w:val="Compact"/>
              <w:spacing w:after="40" w:before="40"/>
              <w:jc w:val="left"/>
            </w:pPr>
            <w:r>
              <w:rPr>
                <w:rFonts w:ascii="Cambria" w:hAnsi="Cambria" w:cs="Cambria" w:eastAsia="Cambria"/>
                <w:color w:val="1A1A1A"/>
                <w:sz w:val="18"/>
              </w:rPr>
              <w:t xml:space="preserve">0,2</w:t>
            </w:r>
          </w:p>
        </w:tc>
        <w:tc>
          <w:tcPr/>
          <w:p>
            <w:pPr>
              <w:pStyle w:val="Compact"/>
              <w:spacing w:after="40" w:before="40"/>
              <w:jc w:val="left"/>
            </w:pPr>
            <w:r>
              <w:rPr>
                <w:rFonts w:ascii="Cambria" w:hAnsi="Cambria" w:cs="Cambria" w:eastAsia="Cambria"/>
                <w:color w:val="1A1A1A"/>
                <w:sz w:val="18"/>
              </w:rPr>
              <w:t xml:space="preserve">0,1</w:t>
            </w:r>
          </w:p>
        </w:tc>
        <w:tc>
          <w:tcPr/>
          <w:p>
            <w:pPr>
              <w:pStyle w:val="Compact"/>
              <w:spacing w:after="40" w:before="40"/>
              <w:jc w:val="left"/>
            </w:pPr>
            <w:r>
              <w:rPr>
                <w:rFonts w:ascii="Cambria" w:hAnsi="Cambria" w:cs="Cambria" w:eastAsia="Cambria"/>
                <w:color w:val="1A1A1A"/>
                <w:sz w:val="18"/>
              </w:rPr>
              <w:t xml:space="preserve">Marginale / assorbito</w:t>
            </w:r>
          </w:p>
        </w:tc>
      </w:tr>
      <w:tr>
        <w:tc>
          <w:tcPr>
            <w:shd w:val="clear" w:color="auto" w:fill="F4F1EC"/>
          </w:tcPr>
          <w:p>
            <w:pPr>
              <w:pStyle w:val="Compact"/>
              <w:spacing w:after="40" w:before="40"/>
              <w:jc w:val="left"/>
            </w:pPr>
            <w:r>
              <w:rPr>
                <w:rFonts w:ascii="Cambria" w:hAnsi="Cambria" w:cs="Cambria" w:eastAsia="Cambria"/>
                <w:color w:val="1A1A1A"/>
                <w:sz w:val="18"/>
              </w:rPr>
              <w:t xml:space="preserve">Governance e coordinamento istituzionale</w:t>
            </w:r>
          </w:p>
        </w:tc>
        <w:tc>
          <w:tcPr>
            <w:shd w:val="clear" w:color="auto" w:fill="F4F1EC"/>
          </w:tcPr>
          <w:p>
            <w:pPr>
              <w:pStyle w:val="Compact"/>
              <w:spacing w:after="40" w:before="40"/>
              <w:jc w:val="left"/>
            </w:pPr>
            <w:r>
              <w:rPr>
                <w:rFonts w:ascii="Cambria" w:hAnsi="Cambria" w:cs="Cambria" w:eastAsia="Cambria"/>
                <w:color w:val="1A1A1A"/>
                <w:sz w:val="18"/>
              </w:rPr>
              <w:t xml:space="preserve">1,6</w:t>
            </w:r>
          </w:p>
        </w:tc>
        <w:tc>
          <w:tcPr>
            <w:shd w:val="clear" w:color="auto" w:fill="F4F1EC"/>
          </w:tcPr>
          <w:p>
            <w:pPr>
              <w:pStyle w:val="Compact"/>
              <w:spacing w:after="40" w:before="40"/>
              <w:jc w:val="left"/>
            </w:pPr>
            <w:r>
              <w:rPr>
                <w:rFonts w:ascii="Cambria" w:hAnsi="Cambria" w:cs="Cambria" w:eastAsia="Cambria"/>
                <w:color w:val="1A1A1A"/>
                <w:sz w:val="18"/>
              </w:rPr>
              <w:t xml:space="preserve">1,2</w:t>
            </w:r>
          </w:p>
        </w:tc>
        <w:tc>
          <w:tcPr>
            <w:shd w:val="clear" w:color="auto" w:fill="F4F1EC"/>
          </w:tcPr>
          <w:p>
            <w:pPr>
              <w:pStyle w:val="Compact"/>
              <w:spacing w:after="40" w:before="40"/>
              <w:jc w:val="left"/>
            </w:pPr>
            <w:r>
              <w:rPr>
                <w:rFonts w:ascii="Cambria" w:hAnsi="Cambria" w:cs="Cambria" w:eastAsia="Cambria"/>
                <w:color w:val="1A1A1A"/>
                <w:sz w:val="18"/>
              </w:rPr>
              <w:t xml:space="preserve">0,9</w:t>
            </w:r>
          </w:p>
        </w:tc>
        <w:tc>
          <w:tcPr>
            <w:shd w:val="clear" w:color="auto" w:fill="F4F1EC"/>
          </w:tcPr>
          <w:p>
            <w:pPr>
              <w:pStyle w:val="Compact"/>
              <w:spacing w:after="40" w:before="40"/>
              <w:jc w:val="left"/>
            </w:pPr>
            <w:r>
              <w:rPr>
                <w:rFonts w:ascii="Cambria" w:hAnsi="Cambria" w:cs="Cambria" w:eastAsia="Cambria"/>
                <w:color w:val="1A1A1A"/>
                <w:sz w:val="18"/>
              </w:rPr>
              <w:t xml:space="preserve">Parzialmente incrementale</w:t>
            </w:r>
          </w:p>
        </w:tc>
      </w:tr>
      <w:tr>
        <w:tc>
          <w:tcPr/>
          <w:p>
            <w:pPr>
              <w:pStyle w:val="Compact"/>
              <w:spacing w:after="40" w:before="40"/>
              <w:jc w:val="left"/>
            </w:pPr>
            <w:r>
              <w:rPr>
                <w:rFonts w:ascii="Cambria" w:hAnsi="Cambria" w:cs="Cambria" w:eastAsia="Cambria"/>
                <w:color w:val="1A1A1A"/>
                <w:sz w:val="18"/>
              </w:rPr>
              <w:t xml:space="preserve">Sistemi informativi e telepsicologia di base</w:t>
            </w:r>
          </w:p>
        </w:tc>
        <w:tc>
          <w:tcPr/>
          <w:p>
            <w:pPr>
              <w:pStyle w:val="Compact"/>
              <w:spacing w:after="40" w:before="40"/>
              <w:jc w:val="left"/>
            </w:pPr>
            <w:r>
              <w:rPr>
                <w:rFonts w:ascii="Cambria" w:hAnsi="Cambria" w:cs="Cambria" w:eastAsia="Cambria"/>
                <w:color w:val="1A1A1A"/>
                <w:sz w:val="18"/>
              </w:rPr>
              <w:t xml:space="preserve">2,1</w:t>
            </w:r>
          </w:p>
        </w:tc>
        <w:tc>
          <w:tcPr/>
          <w:p>
            <w:pPr>
              <w:pStyle w:val="Compact"/>
              <w:spacing w:after="40" w:before="40"/>
              <w:jc w:val="left"/>
            </w:pPr>
            <w:r>
              <w:rPr>
                <w:rFonts w:ascii="Cambria" w:hAnsi="Cambria" w:cs="Cambria" w:eastAsia="Cambria"/>
                <w:color w:val="1A1A1A"/>
                <w:sz w:val="18"/>
              </w:rPr>
              <w:t xml:space="preserve">1,6</w:t>
            </w:r>
          </w:p>
        </w:tc>
        <w:tc>
          <w:tcPr/>
          <w:p>
            <w:pPr>
              <w:pStyle w:val="Compact"/>
              <w:spacing w:after="40" w:before="40"/>
              <w:jc w:val="left"/>
            </w:pPr>
            <w:r>
              <w:rPr>
                <w:rFonts w:ascii="Cambria" w:hAnsi="Cambria" w:cs="Cambria" w:eastAsia="Cambria"/>
                <w:color w:val="1A1A1A"/>
                <w:sz w:val="18"/>
              </w:rPr>
              <w:t xml:space="preserve">1,2</w:t>
            </w:r>
          </w:p>
        </w:tc>
        <w:tc>
          <w:tcPr/>
          <w:p>
            <w:pPr>
              <w:pStyle w:val="Compact"/>
              <w:spacing w:after="40" w:before="40"/>
              <w:jc w:val="left"/>
            </w:pPr>
            <w:r>
              <w:rPr>
                <w:rFonts w:ascii="Cambria" w:hAnsi="Cambria" w:cs="Cambria" w:eastAsia="Cambria"/>
                <w:color w:val="1A1A1A"/>
                <w:sz w:val="18"/>
              </w:rPr>
              <w:t xml:space="preserve">Parzialmente incrementale</w:t>
            </w:r>
          </w:p>
        </w:tc>
      </w:tr>
      <w:tr>
        <w:tc>
          <w:tcPr>
            <w:shd w:val="clear" w:color="auto" w:fill="F4F1EC"/>
          </w:tcPr>
          <w:p>
            <w:pPr>
              <w:pStyle w:val="Compact"/>
              <w:spacing w:after="40" w:before="40"/>
              <w:jc w:val="left"/>
            </w:pPr>
            <w:r>
              <w:rPr>
                <w:rFonts w:ascii="Cambria" w:hAnsi="Cambria" w:cs="Cambria" w:eastAsia="Cambria"/>
                <w:color w:val="1A1A1A"/>
                <w:sz w:val="18"/>
              </w:rPr>
              <w:t xml:space="preserve">Hardware e quota di ammortamento</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0,7</w:t>
            </w:r>
          </w:p>
        </w:tc>
        <w:tc>
          <w:tcPr>
            <w:shd w:val="clear" w:color="auto" w:fill="F4F1EC"/>
          </w:tcPr>
          <w:p>
            <w:pPr>
              <w:pStyle w:val="Compact"/>
              <w:spacing w:after="40" w:before="40"/>
              <w:jc w:val="left"/>
            </w:pPr>
            <w:r>
              <w:rPr>
                <w:rFonts w:ascii="Cambria" w:hAnsi="Cambria" w:cs="Cambria" w:eastAsia="Cambria"/>
                <w:color w:val="1A1A1A"/>
                <w:sz w:val="18"/>
              </w:rPr>
              <w:t xml:space="preserve">0,5</w:t>
            </w:r>
          </w:p>
        </w:tc>
        <w:tc>
          <w:tcPr>
            <w:shd w:val="clear" w:color="auto" w:fill="F4F1EC"/>
          </w:tcPr>
          <w:p>
            <w:pPr>
              <w:pStyle w:val="Compact"/>
              <w:spacing w:after="40" w:before="40"/>
              <w:jc w:val="left"/>
            </w:pPr>
            <w:r>
              <w:rPr>
                <w:rFonts w:ascii="Cambria" w:hAnsi="Cambria" w:cs="Cambria" w:eastAsia="Cambria"/>
                <w:color w:val="1A1A1A"/>
                <w:sz w:val="18"/>
              </w:rPr>
              <w:t xml:space="preserve">Parzialmente incrementale</w:t>
            </w:r>
          </w:p>
        </w:tc>
      </w:tr>
      <w:tr>
        <w:tc>
          <w:tcPr/>
          <w:p>
            <w:pPr>
              <w:pStyle w:val="Compact"/>
              <w:spacing w:after="40" w:before="40"/>
              <w:jc w:val="left"/>
            </w:pPr>
            <w:r>
              <w:rPr>
                <w:rFonts w:ascii="Cambria" w:hAnsi="Cambria" w:cs="Cambria" w:eastAsia="Cambria"/>
                <w:color w:val="1A1A1A"/>
                <w:sz w:val="18"/>
              </w:rPr>
              <w:t xml:space="preserve">Audit, qualità e accountability</w:t>
            </w:r>
          </w:p>
        </w:tc>
        <w:tc>
          <w:tcPr/>
          <w:p>
            <w:pPr>
              <w:pStyle w:val="Compact"/>
              <w:spacing w:after="40" w:before="40"/>
              <w:jc w:val="left"/>
            </w:pPr>
            <w:r>
              <w:rPr>
                <w:rFonts w:ascii="Cambria" w:hAnsi="Cambria" w:cs="Cambria" w:eastAsia="Cambria"/>
                <w:color w:val="1A1A1A"/>
                <w:sz w:val="18"/>
              </w:rPr>
              <w:t xml:space="preserve">0,7</w:t>
            </w:r>
          </w:p>
        </w:tc>
        <w:tc>
          <w:tcPr/>
          <w:p>
            <w:pPr>
              <w:pStyle w:val="Compact"/>
              <w:spacing w:after="40" w:before="40"/>
              <w:jc w:val="left"/>
            </w:pPr>
            <w:r>
              <w:rPr>
                <w:rFonts w:ascii="Cambria" w:hAnsi="Cambria" w:cs="Cambria" w:eastAsia="Cambria"/>
                <w:color w:val="1A1A1A"/>
                <w:sz w:val="18"/>
              </w:rPr>
              <w:t xml:space="preserve">0,5</w:t>
            </w:r>
          </w:p>
        </w:tc>
        <w:tc>
          <w:tcPr/>
          <w:p>
            <w:pPr>
              <w:pStyle w:val="Compact"/>
              <w:spacing w:after="40" w:before="40"/>
              <w:jc w:val="left"/>
            </w:pPr>
            <w:r>
              <w:rPr>
                <w:rFonts w:ascii="Cambria" w:hAnsi="Cambria" w:cs="Cambria" w:eastAsia="Cambria"/>
                <w:color w:val="1A1A1A"/>
                <w:sz w:val="18"/>
              </w:rPr>
              <w:t xml:space="preserve">0,4</w:t>
            </w:r>
          </w:p>
        </w:tc>
        <w:tc>
          <w:tcPr/>
          <w:p>
            <w:pPr>
              <w:pStyle w:val="Compact"/>
              <w:spacing w:after="40" w:before="40"/>
              <w:jc w:val="left"/>
            </w:pPr>
            <w:r>
              <w:rPr>
                <w:rFonts w:ascii="Cambria" w:hAnsi="Cambria" w:cs="Cambria" w:eastAsia="Cambria"/>
                <w:color w:val="1A1A1A"/>
                <w:sz w:val="18"/>
              </w:rPr>
              <w:t xml:space="preserve">Incrementale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Totale struttura, coordinamento, organizzazione</w:t>
            </w:r>
          </w:p>
        </w:tc>
        <w:tc>
          <w:tcPr>
            <w:shd w:val="clear" w:color="auto" w:fill="F4F1EC"/>
          </w:tcPr>
          <w:p>
            <w:pPr>
              <w:pStyle w:val="Compact"/>
              <w:spacing w:after="40" w:before="40"/>
              <w:jc w:val="left"/>
            </w:pPr>
            <w:r>
              <w:rPr>
                <w:rFonts w:ascii="Cambria" w:hAnsi="Cambria" w:cs="Cambria" w:eastAsia="Cambria"/>
                <w:b/>
                <w:bCs/>
                <w:color w:val="1A1A1A"/>
                <w:sz w:val="18"/>
              </w:rPr>
              <w:t xml:space="preserve">≈ 5,9</w:t>
            </w:r>
          </w:p>
        </w:tc>
        <w:tc>
          <w:tcPr>
            <w:shd w:val="clear" w:color="auto" w:fill="F4F1EC"/>
          </w:tcPr>
          <w:p>
            <w:pPr>
              <w:pStyle w:val="Compact"/>
              <w:spacing w:after="40" w:before="40"/>
              <w:jc w:val="left"/>
            </w:pPr>
            <w:r>
              <w:rPr>
                <w:rFonts w:ascii="Cambria" w:hAnsi="Cambria" w:cs="Cambria" w:eastAsia="Cambria"/>
                <w:b/>
                <w:bCs/>
                <w:color w:val="1A1A1A"/>
                <w:sz w:val="18"/>
              </w:rPr>
              <w:t xml:space="preserve">≈ 4,2</w:t>
            </w:r>
          </w:p>
        </w:tc>
        <w:tc>
          <w:tcPr>
            <w:shd w:val="clear" w:color="auto" w:fill="F4F1EC"/>
          </w:tcPr>
          <w:p>
            <w:pPr>
              <w:pStyle w:val="Compact"/>
              <w:spacing w:after="40" w:before="40"/>
              <w:jc w:val="left"/>
            </w:pPr>
            <w:r>
              <w:rPr>
                <w:rFonts w:ascii="Cambria" w:hAnsi="Cambria" w:cs="Cambria" w:eastAsia="Cambria"/>
                <w:b/>
                <w:bCs/>
                <w:color w:val="1A1A1A"/>
                <w:sz w:val="18"/>
              </w:rPr>
              <w:t xml:space="preserve">≈ 3,1</w:t>
            </w:r>
          </w:p>
        </w:tc>
        <w:tc>
          <w:tcPr>
            <w:shd w:val="clear" w:color="auto" w:fill="F4F1EC"/>
          </w:tcPr>
          <w:p>
            <w:pPr>
              <w:pStyle w:val="Compact"/>
              <w:spacing w:after="40" w:before="40"/>
              <w:jc w:val="left"/>
            </w:pPr>
            <w:r>
              <w:rPr>
                <w:rFonts w:ascii="Cambria" w:hAnsi="Cambria" w:cs="Cambria" w:eastAsia="Cambria"/>
                <w:b/>
                <w:bCs/>
                <w:color w:val="1A1A1A"/>
                <w:sz w:val="18"/>
              </w:rPr>
              <w:t xml:space="preserve">Base, non personale</w:t>
            </w:r>
          </w:p>
        </w:tc>
      </w:tr>
    </w:tbl>
    <w:p>
      <w:pPr>
        <w:pStyle w:val="BodyText"/>
      </w:pPr>
      <w:r>
        <w:rPr>
          <w:b/>
          <w:bCs/>
          <w:i/>
          <w:iCs/>
        </w:rPr>
        <w:t xml:space="preserve">Tabella 7.2.6</w:t>
      </w:r>
      <w:r>
        <w:t xml:space="preserve">* — Consolidamento dei costi di struttura, coordinamento e organizzazione a regime, per scenario, in milioni di euro annui. Voci non di personale del modello base. Lo scenario conservativo è il prudenzialmente più oneroso. Si aggiunge un costo una tantum di avvio dell’ordine di 1–1,5 milioni nei primi due esercizi.*</w:t>
      </w:r>
    </w:p>
    <w:p>
      <w:pPr>
        <w:pStyle w:val="BodyText"/>
      </w:pPr>
      <w:r>
        <w:t xml:space="preserve">Il costo una tantum di avvio dei costi di struttura, coordinamento e organizzazione, concentrato nei primi due esercizi e comprensivo dell’adattamento e dell’allestimento iniziale dei locali, della configurazione e dell’integrazione dei sistemi informativi e della prima dotazione hardware, si colloca dell’ordine di un milione-un milione e mezzo di euro, e concorre, insieme al costo una tantum della componente di Intelligenza Artificiale della sezione 7.3 e a quello del programma formativo della sezione 7.4, a comporre il sovraccosto di avvio del programma integrato, che la sezione 7.5 ricomporrà nel profilo temporale del costo diretto complessivo. Su questa base è possibile formulare la previsione falsificabile complessiva dei costi di struttura, coordinamento e organizzazione: a regime, tali costi non dovrebbero eccedere i sei milioni di euro annui nello scenario prudenzialmente più oneroso, né collocarsi al di sotto dei tre milioni nello scenario efficiente, e dovrebbero attestarsi attorno al valore centrale di quattro milioni e duecentomila euro, con indicazione degli estremi di confutazione e verifica nel sistema di monitoraggio regionale.</w:t>
      </w:r>
    </w:p>
    <w:p>
      <w:pPr>
        <w:pStyle w:val="BodyText"/>
      </w:pPr>
      <w:r>
        <w:t xml:space="preserve">Il consolidamento dei costi di struttura, coordinamento e organizzazione completa la ricostruzione del costo diretto del modello base, che risulta composto dal costo del personale della sezione 7.1, di gran lunga preponderante, e dai costi non di personale della presente sezione, di entità complessivamente pari a circa un decimo del totale. La sezione 7.5 ricomporrà queste due componenti nel costo diretto del modello base e vi aggiungerà il costo incrementale della componente di Intelligenza Artificiale della sezione 7.3 e il costo del programma formativo della sezione 7.4, fino al costo diretto complessivo del programma integrato. La trattazione prosegue ora con la sezione 7.3, dedicata al costo incrementale della leva digitale e dell’Intelligenza Artificiale, che la presente sezione ha tenuto distinto dai sistemi informativi e dalla telepsicologia di base, e che costituisce lo strato tecnologico autonomo del programma.</w:t>
      </w:r>
    </w:p>
    <w:bookmarkEnd w:id="375"/>
    <w:bookmarkEnd w:id="376"/>
    <w:bookmarkStart w:id="391" w:name="Xd2d84a0902136a920b9d4cd851d0d9a85a7d068"/>
    <w:p>
      <w:pPr>
        <w:pStyle w:val="Heading2"/>
      </w:pPr>
      <w:r>
        <w:t xml:space="preserve">7.3 Il costo incrementale della leva digitale e dell’Intelligenza Artificiale</w:t>
      </w:r>
    </w:p>
    <w:p>
      <w:pPr>
        <w:pStyle w:val="FirstParagraph"/>
      </w:pPr>
      <w:r>
        <w:t xml:space="preserve">La presente sezione ricostruisce il costo incrementale della leva digitale e dell’Intelligenza Artificiale, che costituisce il secondo strato del programma e che si aggiunge al costo del modello base ricostruito nelle sezioni 7.1 e 7.2. La trattazione di questo costo richiede, prima di ogni quantificazione, il richiamo della posizione che l’intera opera assegna all’Intelligenza Artificiale, perché è da tale posizione che discende il modo in cui il suo costo va inteso. L’Intelligenza Artificiale non è, in questo studio, l’oggetto centrale dell’analisi né un centro di costo autonomo che si aggiunge al servizio per una sua propria finalità, ma una delle leve che rendono più funzionale ed efficace la figura dello Psicologo di Base, accanto alle leve organizzative, di processo e formative; e il suo costo va inteso, coerentemente, non come il costo di una tecnologia acquistata per sé, ma come il costo incrementale di una leva che potenzia un servizio il cui nucleo resta umano e clinico.</w:t>
      </w:r>
      <w:r>
        <w:rPr>
          <w:rStyle w:val="FootnoteReference"/>
        </w:rPr>
        <w:footnoteReference w:id="185"/>
      </w:r>
    </w:p>
    <w:p>
      <w:pPr>
        <w:pStyle w:val="BodyText"/>
      </w:pPr>
      <w:r>
        <w:t xml:space="preserve">Da questa posizione discende una caratteristica del costo della leva digitale e dell’Intelligenza Artificiale che la presente sezione documenta e che ne costituisce il tratto più rilevante: il costo della leva è di entità contenuta rispetto al costo del personale che essa potenzia, e il suo effetto sul versante dei costi è duplice, perché da un lato esso aggiunge una voce nuova al costo diretto, dall’altro riduce, attraverso l’automazione di compiti amministrativi e l’assistenza alla documentazione clinica, una frazione dei costi operativi del servizio, esercitando un parziale autofinanziamento. La presente sezione ricostruisce entrambi gli effetti, distinguendoli rigorosamente, e perviene a un costo incrementale netto della leva digitale e dell’Intelligenza Artificiale che, una volta scomputato l’effetto di autofinanziamento, risulta di entità prossima allo zero, e in taluni scenari favorevole.</w:t>
      </w:r>
    </w:p>
    <w:p>
      <w:pPr>
        <w:pStyle w:val="BodyText"/>
      </w:pPr>
      <w:r>
        <w:t xml:space="preserve">Una distinzione metodologica governa l’intera sezione e ne condiziona ogni stima: il costo della leva digitale e dell’Intelligenza Artificiale è graduato, quanto all’evidenza che ne sostiene gli effetti, con il medesimo rigore applicato alle affermazioni cliniche, in coerenza con il vincolo invariante che governa l’opera. La distinzione che tale graduazione impone è quella tra il costo della leva, che è una grandezza di acquisizione e di esercizio nota con buona approssimazione, e gli effetti della leva, e segnatamente l’effetto di autofinanziamento, che riposano su un’evidenza di qualità variabile e che vanno perciò stimati prudenzialmente, adottando il limite inferiore degli intervalli ove l’evidenza sia di grado moderato o basso.</w:t>
      </w:r>
      <w:r>
        <w:rPr>
          <w:rStyle w:val="FootnoteReference"/>
        </w:rPr>
        <w:footnoteReference w:id="186"/>
      </w:r>
      <w:r>
        <w:t xml:space="preserve"> </w:t>
      </w:r>
      <w:r>
        <w:t xml:space="preserve">La trattazione applica questa distinzione per tutta la sezione, e segnala, per ciascun effetto, il grado dell’evidenza che lo sostiene e il valore prudenziale che essa adotta.</w:t>
      </w:r>
    </w:p>
    <w:bookmarkStart w:id="379" w:name="Xa17e6325bdd5fa8638a4952643b28364ebd37e7"/>
    <w:p>
      <w:pPr>
        <w:pStyle w:val="Heading3"/>
      </w:pPr>
      <w:r>
        <w:t xml:space="preserve">7.3.1 Il perimetro del costo incrementale: ciò che è incluso e ciò che ne è escluso</w:t>
      </w:r>
    </w:p>
    <w:p>
      <w:pPr>
        <w:pStyle w:val="FirstParagraph"/>
      </w:pPr>
      <w:r>
        <w:t xml:space="preserve">La ricostruzione del costo incrementale della leva digitale e dell’Intelligenza Artificiale richiede, in via preliminare, la definizione esatta del suo perimetro, perché è dalla corretta delimitazione di ciò che il costo incrementale include e di ciò che ne è escluso che dipende l’assenza di duplicazioni rispetto agli altri strati del programma. Il principio di non duplicazione, che l’introduzione ha stabilito, impone che il costo incrementale della componente di Intelligenza Artificiale comprenda unicamente l’incremento tecnologico rispetto al modello base, e ne escluda le componenti già contabilizzate negli altri strati.</w:t>
      </w:r>
    </w:p>
    <w:p>
      <w:pPr>
        <w:pStyle w:val="BodyText"/>
      </w:pPr>
      <w:r>
        <w:t xml:space="preserve">Il costo incrementale della leva digitale e dell’Intelligenza Artificiale include quattro componenti, che le sezioni successive ricostruiranno: l’investimento iniziale nell’infrastruttura tecnologica e nella sua integrazione, concentrato nei primi ventiquattro mesi; i costi operativi a regime di licenza, cloud e manutenzione evolutiva degli strumenti; il costo del personale dedicato alla governance degli strumenti, distinto dal personale clinico; e il costo della conformità regolatoria che l’impiego degli strumenti richiede. Queste quattro componenti compongono il costo incrementale della leva, e la loro somma costituisce lo strato tecnologico del programma, che si aggiunge al costo del modello base.</w:t>
      </w:r>
    </w:p>
    <w:p>
      <w:pPr>
        <w:pStyle w:val="BodyText"/>
      </w:pPr>
      <w:r>
        <w:t xml:space="preserve">Il costo incrementale della leva digitale e dell’Intelligenza Artificiale esclude, per converso, tre componenti che gli altri strati del programma contabilizzano e che il principio di non duplicazione impedisce di imputare due volte. Esso esclude i sistemi informativi e la telepsicologia di base, che la sezione 7.2 ha ricostruito come parte del modello base, perché tali strumenti non incorporano funzioni di Intelligenza Artificiale e costituiscono l’infrastruttura su cui la leva si innesta, non la leva stessa. Esso esclude la formazione del personale all’uso degli strumenti, e segnatamente la formazione pro-Intelligenza Artificiale dell’insieme dei clinici, che la sezione 7.4 ricostruirà come parte del programma formativo integrato, comprendendo nel costo della leva unicamente la formazione tecnica specialistica dei custodi degli strumenti, di entità marginale. Esso esclude, infine, il costo del personale clinico, che la sezione 7.1 ha ricostruito, perché lo Psicologo di Base non è un costo della leva, ma il nucleo del servizio che la leva potenzia. La trattazione segnala per ciascuna componente esclusa la sezione che la contabilizza, affinché la somma finale della sezione 7.5 non comporti alcuna sovrapposizione.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7.3.1 — Il perimetro del costo incrementale della leva digitale e dell’Intelligenza Artificiale</w:t>
            </w:r>
          </w:p>
        </w:tc>
      </w:tr>
      <w:tr>
        <w:tc>
          <w:tcPr/>
          <w:p>
            <w:pPr>
              <w:pStyle w:val="Compact"/>
              <w:spacing w:after="40" w:before="40"/>
              <w:jc w:val="left"/>
            </w:pPr>
            <w:r>
              <w:rPr>
                <w:rFonts w:ascii="Cambria" w:hAnsi="Cambria" w:cs="Cambria" w:eastAsia="Cambria"/>
                <w:b/>
                <w:bCs/>
                <w:color w:val="1A1A1A"/>
                <w:sz w:val="18"/>
              </w:rPr>
              <w:t xml:space="preserve">Incluso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Escluso — rinviato a 7.2</w:t>
            </w:r>
          </w:p>
        </w:tc>
      </w:tr>
      <w:tr>
        <w:tc>
          <w:tcPr/>
          <w:p>
            <w:pPr>
              <w:pStyle w:val="Compact"/>
              <w:spacing w:after="40" w:before="40"/>
              <w:jc w:val="left"/>
            </w:pPr>
            <w:r>
              <w:rPr>
                <w:rFonts w:ascii="Cambria" w:hAnsi="Cambria" w:cs="Cambria" w:eastAsia="Cambria"/>
                <w:b/>
                <w:bCs/>
                <w:color w:val="1A1A1A"/>
                <w:sz w:val="18"/>
              </w:rPr>
              <w:t xml:space="preserve">Escluso — rinviato a 7.4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Escluso — rinviato a 7.1</w:t>
            </w:r>
          </w:p>
        </w:tc>
      </w:tr>
      <w:tr>
        <w:tc>
          <w:tcPr/>
          <w:p>
            <w:pPr>
              <w:pStyle w:val="Compact"/>
              <w:spacing w:after="40" w:before="40"/>
              <w:jc w:val="left"/>
            </w:pPr>
            <w:r>
              <w:rPr>
                <w:rFonts w:ascii="Cambria" w:hAnsi="Cambria" w:cs="Cambria" w:eastAsia="Cambria"/>
                <w:b/>
                <w:bCs/>
                <w:color w:val="1A1A1A"/>
                <w:sz w:val="18"/>
              </w:rPr>
              <w:t xml:space="preserve">Principio applicato</w:t>
            </w:r>
          </w:p>
        </w:tc>
      </w:tr>
    </w:tbl>
    <w:bookmarkEnd w:id="379"/>
    <w:bookmarkStart w:id="381" w:name="Xfe32c604d28931b13cdef01983e96d2d3351986"/>
    <w:p>
      <w:pPr>
        <w:pStyle w:val="Heading3"/>
      </w:pPr>
      <w:r>
        <w:t xml:space="preserve">7.3.2 L’investimento iniziale: infrastruttura tecnologica e integrazione</w:t>
      </w:r>
    </w:p>
    <w:p>
      <w:pPr>
        <w:pStyle w:val="FirstParagraph"/>
      </w:pPr>
      <w:r>
        <w:t xml:space="preserve">L’investimento iniziale nella componente di Intelligenza Artificiale comprende le spese una tantum che la sua introduzione richiede e che si concentrano nei primi ventiquattro mesi del programma: l’acquisizione o lo sviluppo degli strumenti, la loro integrazione con l’infrastruttura digitale di base ricostruita nella sezione 7.2 e con il Fascicolo Sanitario Elettronico, la configurazione e la validazione degli strumenti nel contesto operativo del servizio, le verifiche di conformità preliminari all’impiego. Tali spese, di natura non ricorrente, costituiscono il costo di prima implementazione della leva, e sono ripartite nel tempo o imputate agli esercizi di avvio secondo la logica contabile appropriata.</w:t>
      </w:r>
    </w:p>
    <w:p>
      <w:pPr>
        <w:pStyle w:val="BodyText"/>
      </w:pPr>
      <w:r>
        <w:t xml:space="preserve">Gli strumenti che la leva comprende, e che la Parte quarta ha descritto lungo il ciclo assistenziale, sono i sistemi di supporto decisionale per lo screening e la stratificazione del rischio, gli algoritmi di triage tra disturbo organico e disturbo funzionale, gli strumenti predittivi per la prevenzione delle ricadute e per il telemonitoraggio, gli strumenti di documentazione clinica assistita. L’investimento iniziale comprende il costo di acquisizione o di sviluppo di tali strumenti, il costo della loro integrazione nei flussi di lavoro e nei sistemi informativi del servizio, e il costo della loro validazione nel contesto operativo, che è condizione del loro impiego sicuro ed efficace. La validazione, in particolare, costituisce una componente essenziale dell’investimento iniziale, perché è da essa che dipende l’affidabilità degli strumenti nel contesto specifico del servizio, e il suo costo non va sottostimato, in coerenza con la correzione per l’ottimismo che governa l’opera.</w:t>
      </w:r>
    </w:p>
    <w:p>
      <w:pPr>
        <w:pStyle w:val="BodyText"/>
      </w:pPr>
      <w:r>
        <w:t xml:space="preserve">L’investimento iniziale nella componente di Intelligenza Artificiale si colloca dell’ordine di un milione e mezzo di euro nello scenario centrale, all’interno di un intervallo compreso tra un milione e due milioni di euro, concentrato nei primi ventiquattro mesi.</w:t>
      </w:r>
      <w:r>
        <w:rPr>
          <w:rStyle w:val="FootnoteReference"/>
        </w:rPr>
        <w:footnoteReference w:id="187"/>
      </w:r>
      <w:r>
        <w:t xml:space="preserve"> </w:t>
      </w:r>
      <w:r>
        <w:t xml:space="preserve">La trattazione adotta, in ossequio alla correzione per l’ottimismo, una stima cautelativa dell’investimento iniziale, maggiorando prudenzialmente le voci soggette a maggiore incertezza, e segnala che il costo effettivo dipenderà dalla soluzione tecnologica adottata — acquisizione di strumenti esistenti, sviluppo di strumenti dedicati o soluzione mista — e dal grado di integrazione richiesto con l’infrastruttura esistente. L’investimento iniziale, di natura una tantum, concorre al sovraccosto di avvio del programma integrato, che la sezione 7.5 ricomporrà nel profilo temporale del costo diretto complessivo, e non grava sul costo a regime, che è costituito dai soli costi operativi e di governance.</w:t>
      </w:r>
    </w:p>
    <w:bookmarkEnd w:id="381"/>
    <w:bookmarkStart w:id="382" w:name="X072dd3c6c3b4902469b1267bd014b65288f9074"/>
    <w:p>
      <w:pPr>
        <w:pStyle w:val="Heading3"/>
      </w:pPr>
      <w:r>
        <w:t xml:space="preserve">7.3.3 I costi operativi a regime: licenza, cloud e manutenzione evolutiva</w:t>
      </w:r>
    </w:p>
    <w:p>
      <w:pPr>
        <w:pStyle w:val="FirstParagraph"/>
      </w:pPr>
      <w:r>
        <w:t xml:space="preserve">I costi operativi a regime della componente di Intelligenza Artificiale comprendono le spese ricorrenti che il suo funzionamento richiede una volta superata la fase di avvio: i canoni di licenza degli strumenti, i costi di infrastruttura cloud per l’elaborazione e per l’archiviazione, i costi di manutenzione ordinaria ed evolutiva che ne assicurano l’aggiornamento e l’adeguamento. Tali spese, di natura ricorrente, costituiscono il costo a regime della leva sul versante tecnologico, e sono distinte dal costo del personale dedicato alla governance degli strumenti, che la sezione successiva ricostruisce.</w:t>
      </w:r>
    </w:p>
    <w:p>
      <w:pPr>
        <w:pStyle w:val="BodyText"/>
      </w:pPr>
      <w:r>
        <w:t xml:space="preserve">I costi di licenza e di cloud dipendono dalla soluzione tecnologica adottata e dal volume di utilizzo degli strumenti, che cresce con l’estensione della copertura del servizio. I costi di manutenzione evolutiva, in particolare, costituiscono una componente essenziale del costo operativo, perché gli strumenti di Intelligenza Artificiale richiedono un aggiornamento continuo per mantenere la propria efficacia e la propria conformità, e la loro mancata manutenzione ne comprometterebbe l’affidabilità. La trattazione include perciò il costo di manutenzione evolutiva tra i costi operativi a regime, riconoscendo che la leva, una volta introdotta, richiede un investimento continuativo per il proprio mantenimento, e che la sottostima di tale investimento condurrebbe a una stima ottimistica del costo a regime.</w:t>
      </w:r>
    </w:p>
    <w:p>
      <w:pPr>
        <w:pStyle w:val="BodyText"/>
      </w:pPr>
      <w:r>
        <w:t xml:space="preserve">I costi operativi a regime di licenza, cloud e manutenzione evolutiva si collocano dell’ordine di seicentomila-settecentomila euro annui nello scenario centrale, all’interno di un intervallo compreso tra cinquecentomila e ottocentomila euro nei tre scenari. Tali costi seguono la curva di adozione del servizio, collocandosi su valori contenuti nei primi anni e raggiungendo il valore a regime dal quinto anno in avanti, con l’estensione della copertura e l’aumento del volume di utilizzo. La trattazione segnala che il costo operativo a regime della componente tecnologica, dell’ordine di seicentomila-settecentomila euro, è di entità inferiore all’effetto di autofinanziamento che la sezione 7.3.6 quantificherà, e che è precisamente da questo rapporto tra il costo della leva e l’efficientamento che essa produce che discende il costo incrementale netto prossimo allo zero.</w:t>
      </w:r>
    </w:p>
    <w:bookmarkEnd w:id="382"/>
    <w:bookmarkStart w:id="383" w:name="X024ea951d1de9fc6b00389d4084bb8cde4beaa3"/>
    <w:p>
      <w:pPr>
        <w:pStyle w:val="Heading3"/>
      </w:pPr>
      <w:r>
        <w:t xml:space="preserve">7.3.4 Il costo del personale dedicato alla governance degli strumenti</w:t>
      </w:r>
    </w:p>
    <w:p>
      <w:pPr>
        <w:pStyle w:val="FirstParagraph"/>
      </w:pPr>
      <w:r>
        <w:t xml:space="preserve">L’impiego sicuro ed efficace della componente di Intelligenza Artificiale richiede una funzione di governance degli strumenti, esercitata da personale dedicato e distinto dal personale clinico, cui spettano la supervisione del funzionamento degli strumenti, il monitoraggio della loro affidabilità, la gestione della loro conformità e il raccordo con i clinici che li impiegano. Tale funzione, che la Parte quarta ha collocato tra le condizioni della governance prudenziale della leva, genera un costo di personale che la presente sezione ricostruisce e che è parte del costo incrementale della componente di Intelligenza Artificiale, distinto dal costo del personale clinico della sezione 7.1 e dal costo della governance e del coordinamento istituzionale della sezione 7.2.</w:t>
      </w:r>
    </w:p>
    <w:p>
      <w:pPr>
        <w:pStyle w:val="BodyText"/>
      </w:pPr>
      <w:r>
        <w:t xml:space="preserve">La funzione di governance degli strumenti comprende figure con competenze specifiche: il responsabile clinico dell’impiego degli strumenti, cui spetta la supervisione dell’integrazione degli strumenti nei percorsi clinici e la garanzia della loro subordinazione al giudizio professionale; il responsabile del trattamento e della protezione dei dati, cui spetta la gestione della conformità alla normativa sulla protezione dei dati; il supporto tecnico, cui spetta la manutenzione operativa e il raccordo con i fornitori. Tali figure, di entità numerica contenuta, costituiscono il nucleo della funzione di governance degli strumenti, e il loro costo è quello del tempo che esse vi dedicano, nella quota dedicata al servizio.</w:t>
      </w:r>
    </w:p>
    <w:p>
      <w:pPr>
        <w:pStyle w:val="BodyText"/>
      </w:pPr>
      <w:r>
        <w:t xml:space="preserve">Il costo del personale dedicato alla governance degli strumenti si colloca dell’ordine di quattrocentomila-cinquecentomila euro annui a regime nello scenario centrale, all’interno di un intervallo compreso tra trecentomila e seicentomila euro nei tre scenari. Tale costo, di entità contenuta, è essenziale perché è da esso che dipende la condizione invariante del successo della leva, che la Parte quarta ha enunciato: l’integrazione degli strumenti con i servizi esistenti e la supervisione di operatori competenti, che potenziano l’operato umano anziché sostituirlo. La trattazione include perciò il costo della funzione di governance degli strumenti tra i costi incrementali della leva, riconoscendo che la leva non può operare senza una funzione che ne governi l’impiego, e che la sottostima di tale funzione condurrebbe a una stima ottimistica e a un impiego non governato degli strumenti, in contrasto con la cornice di governance prudenziale che l’opera adotta.</w:t>
      </w:r>
    </w:p>
    <w:bookmarkEnd w:id="383"/>
    <w:bookmarkStart w:id="387" w:name="il-costo-della-conformità-regolatoria"/>
    <w:p>
      <w:pPr>
        <w:pStyle w:val="Heading3"/>
      </w:pPr>
      <w:r>
        <w:t xml:space="preserve">7.3.5 Il costo della conformità regolatoria</w:t>
      </w:r>
    </w:p>
    <w:p>
      <w:pPr>
        <w:pStyle w:val="FirstParagraph"/>
      </w:pPr>
      <w:r>
        <w:t xml:space="preserve">L’impiego della componente di Intelligenza Artificiale in ambito sanitario è soggetto a un perimetro regolatorio articolato, la cui osservanza genera un costo di conformità che la presente sezione ricostruisce e che è parte del costo incrementale della leva. Tale perimetro comprende il quadro europeo sull’intelligenza artificiale, che classifica per livello di rischio i sistemi impiegati e ne disciplina gli obblighi; la normativa sui dispositivi medici e sui dispositivi medico-diagnostici in vitro, ove gli strumenti rientrino in tali categorie; e la normativa sulla protezione dei dati, con i connessi obblighi di valutazione d’impatto per i sistemi predittivi e conversazionali. La conformità a tale perimetro non è un vincolo esterno che si aggiunge al costo della leva, ma una componente integrante del suo costo e una condizione della sua ammissibilità.</w:t>
      </w:r>
      <w:r>
        <w:rPr>
          <w:rStyle w:val="FootnoteReference"/>
        </w:rPr>
        <w:footnoteReference w:id="188"/>
      </w:r>
      <w:r>
        <w:rPr>
          <w:rStyle w:val="FootnoteReference"/>
        </w:rPr>
        <w:footnoteReference w:id="189"/>
      </w:r>
      <w:r>
        <w:rPr>
          <w:rStyle w:val="FootnoteReference"/>
        </w:rPr>
        <w:footnoteReference w:id="190"/>
      </w:r>
    </w:p>
    <w:p>
      <w:pPr>
        <w:pStyle w:val="BodyText"/>
      </w:pPr>
      <w:r>
        <w:t xml:space="preserve">Il costo della conformità regolatoria comprende sia componenti una tantum, concentrate nella fase di avvio, sia componenti ricorrenti, distribuite lungo l’esercizio del servizio. Le componenti una tantum comprendono la classificazione del rischio degli strumenti secondo il quadro europeo, la valutazione di conformità ove gli strumenti rientrino tra i dispositivi medici, la valutazione d’impatto sulla protezione dei dati per i sistemi predittivi e conversazionali, le verifiche preliminari all’impiego. Le componenti ricorrenti comprendono il mantenimento della conformità, l’aggiornamento delle valutazioni a fronte dell’evoluzione degli strumenti e della normativa, il monitoraggio degli obblighi connessi alla classificazione di rischio. La trattazione distingue le due componenti, imputando le une al sovraccosto di avvio e le altre al costo a regime.</w:t>
      </w:r>
    </w:p>
    <w:p>
      <w:pPr>
        <w:pStyle w:val="BodyText"/>
      </w:pPr>
      <w:r>
        <w:t xml:space="preserve">Il costo ricorrente della conformità regolatoria si colloca dell’ordine di centomila-duecentomila euro annui a regime nello scenario centrale, all’interno di un intervallo compreso tra centomila e trecentomila euro nei tre scenari, cui si aggiunge un costo una tantum di prima conformità, concentrato nella fase di avvio, dell’ordine di alcune centinaia di migliaia di euro. La trattazione segnala che il costo della conformità, ancorché di entità contenuta, non va sottostimato, perché la sua omissione comprometterebbe l’ammissibilità degli strumenti e li esporrebbe a un rischio regolatorio incompatibile con l’impiego in ambito sanitario; e che la sua inclusione tra i costi incrementali della leva è la traduzione economica della cornice di governance prudenziale che l’opera adotta, la quale richiede che l’impiego degli strumenti sia conforme al perimetro regolatorio applicabile e che la verifica di tale conformità sia condizione del loro impiego.</w:t>
      </w:r>
    </w:p>
    <w:bookmarkEnd w:id="387"/>
    <w:bookmarkStart w:id="389" w:name="Xf68accc7902c15744885c13e5617b7a01c6464f"/>
    <w:p>
      <w:pPr>
        <w:pStyle w:val="Heading3"/>
      </w:pPr>
      <w:r>
        <w:t xml:space="preserve">7.3.6 L’effetto di parziale autofinanziamento: la riduzione dei costi operativi del servizio</w:t>
      </w:r>
    </w:p>
    <w:p>
      <w:pPr>
        <w:pStyle w:val="FirstParagraph"/>
      </w:pPr>
      <w:r>
        <w:t xml:space="preserve">L’effetto di parziale autofinanziamento costituisce il tratto più rilevante del costo della leva digitale e dell’Intelligenza Artificiale, e la sua corretta trattazione richiede una distinzione che il vincolo di non duplicazione impone e che è necessario enunciare con la massima chiarezza, perché la sua confusione condurrebbe a un grave errore. L’effetto di autofinanziamento che la presente sezione quantifica è la riduzione dei costi operativi del servizio che l’automazione di compiti amministrativi e l’assistenza alla documentazione clinica producono, ed è una grandezza che incide sul versante dei costi, riducendo il costo operativo del servizio. Esso è cosa affatto diversa dal contributo della leva ai risparmi sanitari diretti, che la Parte ottava quantificherà sul versante dei benefici e che riguarda la riduzione della spesa sanitaria regionale, non la riduzione dei costi operativi del servizio. La presente sezione tratta esclusivamente il primo effetto, e ne mantiene la rigorosa distinzione dal secondo, affinché la medesima grandezza non sia contabilizzata due volte, una sul versante dei costi e una su quello dei benefici.</w:t>
      </w:r>
    </w:p>
    <w:p>
      <w:pPr>
        <w:pStyle w:val="BodyText"/>
      </w:pPr>
      <w:r>
        <w:t xml:space="preserve">L’automazione dei compiti amministrativi e l’assistenza alla documentazione clinica riducono il costo operativo del servizio liberando tempo professionale e tempo amministrativo che sarebbero altrimenti dedicati a tali compiti. La documentazione clinica assistita, in particolare, riduce il tempo che lo Psicologo di Base dedica alla redazione della documentazione, restituendolo all’attività clinica o riducendo il fabbisogno di tempo complessivo; l’automazione amministrativa riduce il tempo che il personale amministrativo di supporto dedica ai compiti ripetitivi, riducendo il fabbisogno di personale amministrativo. L’uno e l’altro effetto si traducono in una riduzione del costo operativo del servizio, che la presente sezione quantifica e che esercita il parziale autofinanziamento della leva.</w:t>
      </w:r>
    </w:p>
    <w:p>
      <w:pPr>
        <w:pStyle w:val="BodyText"/>
      </w:pPr>
      <w:r>
        <w:t xml:space="preserve">L’evidenza che sostiene l’effetto di autofinanziamento è di qualità variabile, e la sua graduazione impone, in coerenza con il vincolo che governa l’opera, l’adozione di una stima prudenziale. Gli studi sull’efficientamento gestionale prodotto dagli strumenti di documentazione clinica assistita e di automazione amministrativa documentano una riduzione del tempo dedicato a tali compiti, ma con un grado di certezza da moderato a basso a seconda degli strumenti e dei contesti, e con una variabilità che impone cautela nella trasposizione al contesto specifico del servizio.</w:t>
      </w:r>
      <w:r>
        <w:rPr>
          <w:rStyle w:val="FootnoteReference"/>
        </w:rPr>
        <w:footnoteReference w:id="191"/>
      </w:r>
      <w:r>
        <w:t xml:space="preserve"> </w:t>
      </w:r>
      <w:r>
        <w:t xml:space="preserve">La trattazione adotta perciò una stima prudenziale dell’effetto di autofinanziamento, collocandolo verso il limite inferiore degli intervalli documentati, e ne segnala il grado di certezza, in coerenza con la graduazione simmetrica dell’evidenza che l’opera applica agli strumenti tecnologici con il medesimo rigore applicato alle affermazioni cliniche.</w:t>
      </w:r>
    </w:p>
    <w:p>
      <w:pPr>
        <w:pStyle w:val="BodyText"/>
      </w:pPr>
      <w:r>
        <w:t xml:space="preserve">L’effetto di parziale autofinanziamento, stimato prudenzialmente, si colloca dell’ordine di un milione e trecentomila euro annui a regime, pari a oltre il tre per cento del costo diretto del modello base, e corrisponde alla riduzione del costo operativo del servizio che l’automazione amministrativa e la documentazione clinica assistita producono. Tale grandezza eccede il costo operativo a regime della componente tecnologica, dell’ordine di seicentomila-settecentomila euro, e si avvicina al costo incrementale complessivo della leva, comprensivo del personale di governance e della conformità; ed è precisamente da questo rapporto tra l’effetto di autofinanziamento e il costo della leva che discende il costo incrementale netto prossimo allo zero, che la sezione successiva quantificherà. La trattazione ribadisce, perché il punto non sia equivocato, che l’effetto di autofinanziamento qui considerato è la riduzione dei costi operativi del servizio, distinta dai risparmi sanitari diretti della Parte ottava, e che la sua inclusione nella presente sezione, sul versante dei costi, non comporta alcuna duplicazione con i benefici.</w:t>
      </w:r>
    </w:p>
    <w:bookmarkEnd w:id="389"/>
    <w:bookmarkStart w:id="390" w:name="X65c314440c8261c7feec24e7fdce670d161911d"/>
    <w:p>
      <w:pPr>
        <w:pStyle w:val="Heading3"/>
      </w:pPr>
      <w:r>
        <w:t xml:space="preserve">7.3.7 Il costo incrementale netto della leva digitale e dell’Intelligenza Artificiale per scenario</w:t>
      </w:r>
    </w:p>
    <w:p>
      <w:pPr>
        <w:pStyle w:val="FirstParagraph"/>
      </w:pPr>
      <w:r>
        <w:t xml:space="preserve">La ricostruzione del costo incrementale della leva digitale e dell’Intelligenza Artificiale perviene ora al consolidamento, che ricompone le quattro componenti del costo e l’effetto di autofinanziamento in una stima del costo incrementale lordo e netto, distinta per scenario e corredata della banda prudenziale e della previsione falsificabile che l’opera richiede. Il consolidamento mantiene la distinzione tra il costo lordo della leva, che si aggiunge al costo del modello base, e il costo netto, che scomputa l’effetto di autofinanziamento, e segnala quale dei due valori sia pertinente a ciascun uso.</w:t>
      </w:r>
    </w:p>
    <w:p>
      <w:pPr>
        <w:pStyle w:val="BodyText"/>
      </w:pPr>
      <w:r>
        <w:t xml:space="preserve">Il costo incrementale lordo della leva digitale e dell’Intelligenza Artificiale a regime, somma dei costi operativi di licenza, cloud e manutenzione, del costo del personale dedicato alla governance degli strumenti e del costo ricorrente della conformità regolatoria, si colloca dell’ordine di un milione e duecentomila euro annui nello scenario centrale, all’interno di un intervallo compreso tra un milione e centomila e un milione e trecentomila euro nei tre scenari, in coerenza con la stima del modello del progetto. A tale costo lordo si aggiunge l’investimento iniziale una tantum, dell’ordine di un milione-due milioni concentrato nei primi ventiquattro mesi, che concorre al sovraccosto di avvio del programma integrato.</w:t>
      </w:r>
    </w:p>
    <w:p>
      <w:pPr>
        <w:pStyle w:val="BodyText"/>
      </w:pPr>
      <w:r>
        <w:t xml:space="preserve">Il costo incrementale netto della leva digitale e dell’Intelligenza Artificiale a regime, ottenuto scomputando dal costo lordo l’effetto di parziale autofinanziamento di un milione e trecentomila euro, si colloca dell’ordine di una grandezza prossima allo zero, e in taluni scenari favorevole, perché l’effetto di autofinanziamento eccede o eguaglia il costo lordo della leva. Questa è la conclusione più rilevante della sezione: la leva digitale e l’Intelligenza Artificiale, pur aggiungendo un costo lordo dell’ordine di un milione e duecentomila euro al costo diretto del modello base, esercitano un effetto di autofinanziamento di entità tale che il loro costo incrementale netto, a regime, è prossimo allo zero, sicché la leva non grava in misura apprezzabile sul costo diretto del servizio, e il suo costo è in larga parte compensato dall’efficientamento che essa produce.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(a regime)</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Centrale</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w:t>
            </w:r>
          </w:p>
        </w:tc>
      </w:tr>
      <w:tr>
        <w:tc>
          <w:tcPr/>
          <w:p>
            <w:pPr>
              <w:pStyle w:val="Compact"/>
              <w:spacing w:after="40" w:before="40"/>
              <w:jc w:val="left"/>
            </w:pPr>
            <w:r>
              <w:rPr>
                <w:rFonts w:ascii="Cambria" w:hAnsi="Cambria" w:cs="Cambria" w:eastAsia="Cambria"/>
                <w:color w:val="1A1A1A"/>
                <w:sz w:val="18"/>
              </w:rPr>
              <w:t xml:space="preserve">Costi operativi (licenza, cloud, manutenzione)</w:t>
            </w:r>
          </w:p>
        </w:tc>
        <w:tc>
          <w:tcPr/>
          <w:p>
            <w:pPr>
              <w:pStyle w:val="Compact"/>
              <w:spacing w:after="40" w:before="40"/>
              <w:jc w:val="left"/>
            </w:pPr>
            <w:r>
              <w:rPr>
                <w:rFonts w:ascii="Cambria" w:hAnsi="Cambria" w:cs="Cambria" w:eastAsia="Cambria"/>
                <w:color w:val="1A1A1A"/>
                <w:sz w:val="18"/>
              </w:rPr>
              <w:t xml:space="preserve">0,8</w:t>
            </w:r>
          </w:p>
        </w:tc>
        <w:tc>
          <w:tcPr/>
          <w:p>
            <w:pPr>
              <w:pStyle w:val="Compact"/>
              <w:spacing w:after="40" w:before="40"/>
              <w:jc w:val="left"/>
            </w:pPr>
            <w:r>
              <w:rPr>
                <w:rFonts w:ascii="Cambria" w:hAnsi="Cambria" w:cs="Cambria" w:eastAsia="Cambria"/>
                <w:color w:val="1A1A1A"/>
                <w:sz w:val="18"/>
              </w:rPr>
              <w:t xml:space="preserve">0,65</w:t>
            </w:r>
          </w:p>
        </w:tc>
        <w:tc>
          <w:tcPr/>
          <w:p>
            <w:pPr>
              <w:pStyle w:val="Compact"/>
              <w:spacing w:after="40" w:before="40"/>
              <w:jc w:val="left"/>
            </w:pPr>
            <w:r>
              <w:rPr>
                <w:rFonts w:ascii="Cambria" w:hAnsi="Cambria" w:cs="Cambria" w:eastAsia="Cambria"/>
                <w:color w:val="1A1A1A"/>
                <w:sz w:val="18"/>
              </w:rPr>
              <w:t xml:space="preserve">0,5</w:t>
            </w:r>
          </w:p>
        </w:tc>
        <w:tc>
          <w:tcPr/>
          <w:p>
            <w:pPr>
              <w:pStyle w:val="Compact"/>
              <w:spacing w:after="40" w:before="40"/>
              <w:jc w:val="left"/>
            </w:pPr>
            <w:r>
              <w:rPr>
                <w:rFonts w:ascii="Cambria" w:hAnsi="Cambria" w:cs="Cambria" w:eastAsia="Cambria"/>
                <w:color w:val="1A1A1A"/>
                <w:sz w:val="18"/>
              </w:rPr>
              <w:t xml:space="preserve">Cassa, ricorrente</w:t>
            </w:r>
          </w:p>
        </w:tc>
      </w:tr>
      <w:tr>
        <w:tc>
          <w:tcPr>
            <w:shd w:val="clear" w:color="auto" w:fill="F4F1EC"/>
          </w:tcPr>
          <w:p>
            <w:pPr>
              <w:pStyle w:val="Compact"/>
              <w:spacing w:after="40" w:before="40"/>
              <w:jc w:val="left"/>
            </w:pPr>
            <w:r>
              <w:rPr>
                <w:rFonts w:ascii="Cambria" w:hAnsi="Cambria" w:cs="Cambria" w:eastAsia="Cambria"/>
                <w:color w:val="1A1A1A"/>
                <w:sz w:val="18"/>
              </w:rPr>
              <w:t xml:space="preserve">Personale di governance degli strumenti</w:t>
            </w:r>
          </w:p>
        </w:tc>
        <w:tc>
          <w:tcPr>
            <w:shd w:val="clear" w:color="auto" w:fill="F4F1EC"/>
          </w:tcPr>
          <w:p>
            <w:pPr>
              <w:pStyle w:val="Compact"/>
              <w:spacing w:after="40" w:before="40"/>
              <w:jc w:val="left"/>
            </w:pPr>
            <w:r>
              <w:rPr>
                <w:rFonts w:ascii="Cambria" w:hAnsi="Cambria" w:cs="Cambria" w:eastAsia="Cambria"/>
                <w:color w:val="1A1A1A"/>
                <w:sz w:val="18"/>
              </w:rPr>
              <w:t xml:space="preserve">0,6</w:t>
            </w:r>
          </w:p>
        </w:tc>
        <w:tc>
          <w:tcPr>
            <w:shd w:val="clear" w:color="auto" w:fill="F4F1EC"/>
          </w:tcPr>
          <w:p>
            <w:pPr>
              <w:pStyle w:val="Compact"/>
              <w:spacing w:after="40" w:before="40"/>
              <w:jc w:val="left"/>
            </w:pPr>
            <w:r>
              <w:rPr>
                <w:rFonts w:ascii="Cambria" w:hAnsi="Cambria" w:cs="Cambria" w:eastAsia="Cambria"/>
                <w:color w:val="1A1A1A"/>
                <w:sz w:val="18"/>
              </w:rPr>
              <w:t xml:space="preserve">0,45</w:t>
            </w:r>
          </w:p>
        </w:tc>
        <w:tc>
          <w:tcPr>
            <w:shd w:val="clear" w:color="auto" w:fill="F4F1EC"/>
          </w:tcPr>
          <w:p>
            <w:pPr>
              <w:pStyle w:val="Compact"/>
              <w:spacing w:after="40" w:before="40"/>
              <w:jc w:val="left"/>
            </w:pPr>
            <w:r>
              <w:rPr>
                <w:rFonts w:ascii="Cambria" w:hAnsi="Cambria" w:cs="Cambria" w:eastAsia="Cambria"/>
                <w:color w:val="1A1A1A"/>
                <w:sz w:val="18"/>
              </w:rPr>
              <w:t xml:space="preserve">0,3</w:t>
            </w:r>
          </w:p>
        </w:tc>
        <w:tc>
          <w:tcPr>
            <w:shd w:val="clear" w:color="auto" w:fill="F4F1EC"/>
          </w:tcPr>
          <w:p>
            <w:pPr>
              <w:pStyle w:val="Compact"/>
              <w:spacing w:after="40" w:before="40"/>
              <w:jc w:val="left"/>
            </w:pPr>
            <w:r>
              <w:rPr>
                <w:rFonts w:ascii="Cambria" w:hAnsi="Cambria" w:cs="Cambria" w:eastAsia="Cambria"/>
                <w:color w:val="1A1A1A"/>
                <w:sz w:val="18"/>
              </w:rPr>
              <w:t xml:space="preserve">Cassa, ricorrente</w:t>
            </w:r>
          </w:p>
        </w:tc>
      </w:tr>
      <w:tr>
        <w:tc>
          <w:tcPr/>
          <w:p>
            <w:pPr>
              <w:pStyle w:val="Compact"/>
              <w:spacing w:after="40" w:before="40"/>
              <w:jc w:val="left"/>
            </w:pPr>
            <w:r>
              <w:rPr>
                <w:rFonts w:ascii="Cambria" w:hAnsi="Cambria" w:cs="Cambria" w:eastAsia="Cambria"/>
                <w:color w:val="1A1A1A"/>
                <w:sz w:val="18"/>
              </w:rPr>
              <w:t xml:space="preserve">Conformità regolatoria (ricorrente)</w:t>
            </w:r>
          </w:p>
        </w:tc>
        <w:tc>
          <w:tcPr/>
          <w:p>
            <w:pPr>
              <w:pStyle w:val="Compact"/>
              <w:spacing w:after="40" w:before="40"/>
              <w:jc w:val="left"/>
            </w:pPr>
            <w:r>
              <w:rPr>
                <w:rFonts w:ascii="Cambria" w:hAnsi="Cambria" w:cs="Cambria" w:eastAsia="Cambria"/>
                <w:color w:val="1A1A1A"/>
                <w:sz w:val="18"/>
              </w:rPr>
              <w:t xml:space="preserve">0,3</w:t>
            </w:r>
          </w:p>
        </w:tc>
        <w:tc>
          <w:tcPr/>
          <w:p>
            <w:pPr>
              <w:pStyle w:val="Compact"/>
              <w:spacing w:after="40" w:before="40"/>
              <w:jc w:val="left"/>
            </w:pPr>
            <w:r>
              <w:rPr>
                <w:rFonts w:ascii="Cambria" w:hAnsi="Cambria" w:cs="Cambria" w:eastAsia="Cambria"/>
                <w:color w:val="1A1A1A"/>
                <w:sz w:val="18"/>
              </w:rPr>
              <w:t xml:space="preserve">0,15</w:t>
            </w:r>
          </w:p>
        </w:tc>
        <w:tc>
          <w:tcPr/>
          <w:p>
            <w:pPr>
              <w:pStyle w:val="Compact"/>
              <w:spacing w:after="40" w:before="40"/>
              <w:jc w:val="left"/>
            </w:pPr>
            <w:r>
              <w:rPr>
                <w:rFonts w:ascii="Cambria" w:hAnsi="Cambria" w:cs="Cambria" w:eastAsia="Cambria"/>
                <w:color w:val="1A1A1A"/>
                <w:sz w:val="18"/>
              </w:rPr>
              <w:t xml:space="preserve">0,1</w:t>
            </w:r>
          </w:p>
        </w:tc>
        <w:tc>
          <w:tcPr/>
          <w:p>
            <w:pPr>
              <w:pStyle w:val="Compact"/>
              <w:spacing w:after="40" w:before="40"/>
              <w:jc w:val="left"/>
            </w:pPr>
            <w:r>
              <w:rPr>
                <w:rFonts w:ascii="Cambria" w:hAnsi="Cambria" w:cs="Cambria" w:eastAsia="Cambria"/>
                <w:color w:val="1A1A1A"/>
                <w:sz w:val="18"/>
              </w:rPr>
              <w:t xml:space="preserve">Cassa, ricorrente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incrementale lordo della leva</w:t>
            </w:r>
          </w:p>
        </w:tc>
        <w:tc>
          <w:tcPr>
            <w:shd w:val="clear" w:color="auto" w:fill="F4F1EC"/>
          </w:tcPr>
          <w:p>
            <w:pPr>
              <w:pStyle w:val="Compact"/>
              <w:spacing w:after="40" w:before="40"/>
              <w:jc w:val="left"/>
            </w:pPr>
            <w:r>
              <w:rPr>
                <w:rFonts w:ascii="Cambria" w:hAnsi="Cambria" w:cs="Cambria" w:eastAsia="Cambria"/>
                <w:b/>
                <w:bCs/>
                <w:color w:val="1A1A1A"/>
                <w:sz w:val="18"/>
              </w:rPr>
              <w:t xml:space="preserve">≈ 1,3</w:t>
            </w:r>
          </w:p>
        </w:tc>
        <w:tc>
          <w:tcPr>
            <w:shd w:val="clear" w:color="auto" w:fill="F4F1EC"/>
          </w:tcPr>
          <w:p>
            <w:pPr>
              <w:pStyle w:val="Compact"/>
              <w:spacing w:after="40" w:before="40"/>
              <w:jc w:val="left"/>
            </w:pPr>
            <w:r>
              <w:rPr>
                <w:rFonts w:ascii="Cambria" w:hAnsi="Cambria" w:cs="Cambria" w:eastAsia="Cambria"/>
                <w:b/>
                <w:bCs/>
                <w:color w:val="1A1A1A"/>
                <w:sz w:val="18"/>
              </w:rPr>
              <w:t xml:space="preserve">≈ 1,2</w:t>
            </w:r>
          </w:p>
        </w:tc>
        <w:tc>
          <w:tcPr>
            <w:shd w:val="clear" w:color="auto" w:fill="F4F1EC"/>
          </w:tcPr>
          <w:p>
            <w:pPr>
              <w:pStyle w:val="Compact"/>
              <w:spacing w:after="40" w:before="40"/>
              <w:jc w:val="left"/>
            </w:pPr>
            <w:r>
              <w:rPr>
                <w:rFonts w:ascii="Cambria" w:hAnsi="Cambria" w:cs="Cambria" w:eastAsia="Cambria"/>
                <w:b/>
                <w:bCs/>
                <w:color w:val="1A1A1A"/>
                <w:sz w:val="18"/>
              </w:rPr>
              <w:t xml:space="preserve">≈ 1,1</w:t>
            </w:r>
          </w:p>
        </w:tc>
        <w:tc>
          <w:tcPr>
            <w:shd w:val="clear" w:color="auto" w:fill="F4F1EC"/>
          </w:tcPr>
          <w:p>
            <w:pPr>
              <w:pStyle w:val="Compact"/>
              <w:spacing w:after="40" w:before="40"/>
              <w:jc w:val="left"/>
            </w:pPr>
            <w:r>
              <w:rPr>
                <w:rFonts w:ascii="Cambria" w:hAnsi="Cambria" w:cs="Cambria" w:eastAsia="Cambria"/>
                <w:b/>
                <w:bCs/>
                <w:color w:val="1A1A1A"/>
                <w:sz w:val="18"/>
              </w:rPr>
              <w:t xml:space="preserve">Cassa, ricorrente</w:t>
            </w:r>
          </w:p>
        </w:tc>
      </w:tr>
      <w:tr>
        <w:tc>
          <w:tcPr/>
          <w:p>
            <w:pPr>
              <w:pStyle w:val="Compact"/>
              <w:spacing w:after="40" w:before="40"/>
              <w:jc w:val="left"/>
            </w:pPr>
            <w:r>
              <w:rPr>
                <w:rFonts w:ascii="Cambria" w:hAnsi="Cambria" w:cs="Cambria" w:eastAsia="Cambria"/>
                <w:color w:val="1A1A1A"/>
                <w:sz w:val="18"/>
              </w:rPr>
              <w:t xml:space="preserve">Effetto di autofinanziamento (prudenziale)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−1,3</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Riduzione costi operativi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incrementale netto della leva</w:t>
            </w:r>
          </w:p>
        </w:tc>
        <w:tc>
          <w:tcPr>
            <w:shd w:val="clear" w:color="auto" w:fill="F4F1EC"/>
          </w:tcPr>
          <w:p>
            <w:pPr>
              <w:pStyle w:val="Compact"/>
              <w:spacing w:after="40" w:before="40"/>
              <w:jc w:val="left"/>
            </w:pPr>
            <w:r>
              <w:rPr>
                <w:rFonts w:ascii="Cambria" w:hAnsi="Cambria" w:cs="Cambria" w:eastAsia="Cambria"/>
                <w:b/>
                <w:bCs/>
                <w:color w:val="1A1A1A"/>
                <w:sz w:val="18"/>
              </w:rPr>
              <w:t xml:space="preserve">≈ +0,3</w:t>
            </w:r>
          </w:p>
        </w:tc>
        <w:tc>
          <w:tcPr>
            <w:shd w:val="clear" w:color="auto" w:fill="F4F1EC"/>
          </w:tcPr>
          <w:p>
            <w:pPr>
              <w:pStyle w:val="Compact"/>
              <w:spacing w:after="40" w:before="40"/>
              <w:jc w:val="left"/>
            </w:pPr>
            <w:r>
              <w:rPr>
                <w:rFonts w:ascii="Cambria" w:hAnsi="Cambria" w:cs="Cambria" w:eastAsia="Cambria"/>
                <w:b/>
                <w:bCs/>
                <w:color w:val="1A1A1A"/>
                <w:sz w:val="18"/>
              </w:rPr>
              <w:t xml:space="preserve">≈ −0,1</w:t>
            </w:r>
          </w:p>
        </w:tc>
        <w:tc>
          <w:tcPr>
            <w:shd w:val="clear" w:color="auto" w:fill="F4F1EC"/>
          </w:tcPr>
          <w:p>
            <w:pPr>
              <w:pStyle w:val="Compact"/>
              <w:spacing w:after="40" w:before="40"/>
              <w:jc w:val="left"/>
            </w:pPr>
            <w:r>
              <w:rPr>
                <w:rFonts w:ascii="Cambria" w:hAnsi="Cambria" w:cs="Cambria" w:eastAsia="Cambria"/>
                <w:b/>
                <w:bCs/>
                <w:color w:val="1A1A1A"/>
                <w:sz w:val="18"/>
              </w:rPr>
              <w:t xml:space="preserve">≈ −0,4</w:t>
            </w:r>
          </w:p>
        </w:tc>
        <w:tc>
          <w:tcPr>
            <w:shd w:val="clear" w:color="auto" w:fill="F4F1EC"/>
          </w:tcPr>
          <w:p>
            <w:pPr>
              <w:pStyle w:val="Compact"/>
              <w:spacing w:after="40" w:before="40"/>
              <w:jc w:val="left"/>
            </w:pPr>
            <w:r>
              <w:rPr>
                <w:rFonts w:ascii="Cambria" w:hAnsi="Cambria" w:cs="Cambria" w:eastAsia="Cambria"/>
                <w:b/>
                <w:bCs/>
                <w:color w:val="1A1A1A"/>
                <w:sz w:val="18"/>
              </w:rPr>
              <w:t xml:space="preserve">Netto a regime</w:t>
            </w:r>
          </w:p>
        </w:tc>
      </w:tr>
    </w:tbl>
    <w:p>
      <w:pPr>
        <w:pStyle w:val="BodyText"/>
      </w:pPr>
      <w:r>
        <w:rPr>
          <w:b/>
          <w:bCs/>
          <w:i/>
          <w:iCs/>
        </w:rPr>
        <w:t xml:space="preserve">Tabella 7.3.7</w:t>
      </w:r>
      <w:r>
        <w:t xml:space="preserve">* — Costo incrementale lordo e netto della leva digitale e dell’Intelligenza Artificiale a regime, per scenario, in milioni di euro annui. L’effetto di autofinanziamento, stimato prudenzialmente e con evidenza graduata, riduce i costi operativi del servizio ed è distinto dai risparmi sanitari diretti (Parte ottava). Si aggiunge un investimento iniziale una tantum di 1–2 milioni nei primi 24 mesi. Nello scenario conservativo (prudenzialmente più oneroso) l’autofinanziamento è assunto minimo e il costo netto resta lievemente positivo.*</w:t>
      </w:r>
    </w:p>
    <w:p>
      <w:pPr>
        <w:pStyle w:val="BodyText"/>
      </w:pPr>
      <w:r>
        <w:t xml:space="preserve">Il costo incrementale lordo della leva, dell’ordine di un milione e duecentomila euro a regime, è il valore che concorre alla composizione del costo diretto complessivo del programma integrato, che la sezione 7.5 ricomporrà sommando al costo del modello base il costo lordo della leva e il costo del programma formativo; il costo incrementale netto, prossimo allo zero, è il valore che documenta la sostenibilità della leva, mostrando che essa non grava in misura apprezzabile sul costo diretto una volta scomputato l’efficientamento che produce. La trattazione adotta, per la composizione del costo diretto complessivo, il costo lordo, in coerenza con la prudenza che impone di non scomputare anticipatamente un effetto la cui evidenza è graduata; e presenta il costo netto come misura della sostenibilità della leva, segnalando che la sezione 7.5 presenterà il costo diretto complessivo sia al lordo sia al netto dell’effetto di autofinanziamento.</w:t>
      </w:r>
    </w:p>
    <w:p>
      <w:pPr>
        <w:pStyle w:val="BodyText"/>
      </w:pPr>
      <w:r>
        <w:t xml:space="preserve">Su questa base è possibile formulare la previsione falsificabile complessiva del costo della leva digitale e dell’Intelligenza Artificiale, che le Parti undicesima e quindicesima sottoporranno a verifica. A regime, il costo incrementale lordo della leva non dovrebbe eccedere un milione e trecentomila euro annui, e il suo costo incrementale netto, scomputato l’effetto di autofinanziamento prudenzialmente stimato, dovrebbe collocarsi in un intervallo prossimo allo zero, compreso tra un lieve costo positivo nello scenario prudenzialmente più oneroso e un lieve beneficio nello scenario efficiente. La previsione è enunciata in forma di banda, con indicazione degli estremi di confutazione, e sarà verificata sui dati effettivi del costo della leva e dell’efficientamento gestionale a regime, distintamente per il costo lordo e per l’effetto di autofinanziamento, in coerenza con il vincolo di falsificabilità che governa l’opera e con la graduazione dell’evidenza che essa applica agli strumenti tecnologici.</w:t>
      </w:r>
    </w:p>
    <w:p>
      <w:pPr>
        <w:pStyle w:val="BodyText"/>
      </w:pPr>
      <w:r>
        <w:t xml:space="preserve">Il consolidamento del costo incrementale della leva digitale e dell’Intelligenza Artificiale completa la ricostruzione dei primi due strati del programma sul versante dei costi che la presente sezione ha potuto affrontare, e ne conferma la posizione subordinata: la leva, pur essendo lo strato tecnologicamente più avanzato del programma, è quello di minore costo netto, perché il suo costo lordo, già contenuto rispetto al costo del personale, è in larga parte compensato dall’efficientamento che essa produce. La trattazione prosegue, nella tranche successiva, con la sezione 7.4, dedicata al costo della formazione nelle sue quattro modalità, considerate sia singolarmente sia in combinazione, che costituisce il terzo strato del programma e che la presente sezione ha tenuto distinto dalla formazione tecnica specialistica dei custodi degli strumenti, marginale e ricompresa nel costo della leva.</w:t>
      </w:r>
    </w:p>
    <w:bookmarkEnd w:id="390"/>
    <w:bookmarkEnd w:id="391"/>
    <w:bookmarkStart w:id="409" w:name="X78cbe312ae70955c01cbd0f2be035f004986a67"/>
    <w:p>
      <w:pPr>
        <w:pStyle w:val="Heading2"/>
      </w:pPr>
      <w:r>
        <w:t xml:space="preserve">7.4 Il costo della formazione: le quattro modalità, singole e combinate</w:t>
      </w:r>
    </w:p>
    <w:p>
      <w:pPr>
        <w:pStyle w:val="FirstParagraph"/>
      </w:pPr>
      <w:r>
        <w:t xml:space="preserve">La presente sezione ricostruisce il costo della formazione del personale, che costituisce il terzo strato del programma e che si aggiunge al costo del modello base delle sezioni 7.1 e 7.2 e al costo incrementale della leva digitale e dell’Intelligenza Artificiale della sezione 7.3. La formazione del personale è, in questo studio, un pilastro trasversale della riforma, e non una voce accessoria, perché è da essa che dipende la capacità delle figure della cascata di esercitare con competenza il proprio ruolo nel modello integrato, di impiegare con appropriatezza gli strumenti che la leva digitale mette a disposizione e di collaborare efficacemente entro la coppia clinica e i percorsi assistenziali. La ricostruzione del suo costo segue perciò il medesimo metodo dal basso applicato agli altri strati, distinguendo le componenti, articolando gli scenari e corredando le stime delle bande prudenziali e delle previsioni falsificabili che l’opera richiede.</w:t>
      </w:r>
    </w:p>
    <w:p>
      <w:pPr>
        <w:pStyle w:val="BodyText"/>
      </w:pPr>
      <w:r>
        <w:t xml:space="preserve">In aderenza al mandato che governa l’opera, la formazione del personale è considerata secondo le sue quattro modalità — universitaria, post-universitaria, lavorativa e per affiancamento di figure esperte, comprese quelle dedicate all’uso dell’Intelligenza Artificiale — e ciascuna modalità è trattata sia singolarmente, con i propri costi, i propri tempi e i propri rendimenti, sia congiuntamente alle altre, come percorso formativo integrato. Questa duplice considerazione, singola e combinata, non è una ripetizione, ma la condizione perché il decisore disponga al tempo stesso del costo di ciascuna modalità isolatamente assunta, utile a valutarne il contributo specifico, e del costo della loro combinazione, che è la forma in cui la formazione è effettivamente erogata e che incorpora le sinergie e le sovrapposizioni tra le modalità. La sezione mantiene perciò, per tutta la trattazione, la distinzione tra il costo delle modalità singole e il costo del percorso integrato, e ne rende esplicito il confronto nella sezione dedicata al ritorno sull’investimento formativo.</w:t>
      </w:r>
    </w:p>
    <w:p>
      <w:pPr>
        <w:pStyle w:val="BodyText"/>
      </w:pPr>
      <w:r>
        <w:t xml:space="preserve">Il costo della formazione è valutato, quanto al suo rendimento, secondo il modello di Kirkpatrick e l’estensione di Phillips, che la disciplina della valutazione della formazione indica come il riferimento per la misurazione del ritorno sull’investimento formativo lungo i suoi livelli, dalla reazione dei partecipanti all’apprendimento, dal mutamento dei comportamenti ai risultati e, nell’estensione di Phillips, al ritorno economico.</w:t>
      </w:r>
      <w:r>
        <w:rPr>
          <w:rStyle w:val="FootnoteReference"/>
        </w:rPr>
        <w:footnoteReference w:id="192"/>
      </w:r>
      <w:r>
        <w:rPr>
          <w:rStyle w:val="FootnoteReference"/>
        </w:rPr>
        <w:footnoteReference w:id="193"/>
      </w:r>
      <w:r>
        <w:t xml:space="preserve"> </w:t>
      </w:r>
      <w:r>
        <w:t xml:space="preserve">L’applicazione di questo modello al costo della formazione consente di graduare l’evidenza che ne sostiene i rendimenti con il medesimo rigore applicato alle affermazioni cliniche, e di esprimere il ritorno dell’investimento formativo in forma prudenziale, senza ricorrere a moltiplicatori non sostenuti dalla letteratura. La trattazione mantiene altresì la distinzione tra il costo della formazione, che la presente sezione ricostruisce, e i rendimenti della formazione, che si manifestano attraverso l’efficacia clinica e l’efficientamento e che le Parti dalla ottava alla decima quantificano sul versante dei benefici, affinché la medesima grandezza non sia contabilizzata due volte.</w:t>
      </w:r>
    </w:p>
    <w:bookmarkStart w:id="396" w:name="X46f3c0bcd548c910692c67150e7c5a8b35f3f67"/>
    <w:p>
      <w:pPr>
        <w:pStyle w:val="Heading3"/>
      </w:pPr>
      <w:r>
        <w:t xml:space="preserve">7.4.1 Il fabbisogno formativo integrale e il perimetro del costo</w:t>
      </w:r>
    </w:p>
    <w:p>
      <w:pPr>
        <w:pStyle w:val="FirstParagraph"/>
      </w:pPr>
      <w:r>
        <w:t xml:space="preserve">La ricostruzione del costo della formazione muove dalla definizione del fabbisogno formativo integrale, che individua le competenze che le figure della cascata devono acquisire perché il modello integrato funzioni, e dal perimetro del costo, che delimita ciò che il costo della formazione include e ciò che gli altri strati del programma contabilizzano. Il fabbisogno formativo integrale comprende quattro aree di competenza, ciascuna essenziale al funzionamento del servizio. La prima è l’area delle competenze cliniche, che comprende le competenze specialistiche dello Psicologo di Base e l’aggiornamento delle figure della cascata sui modelli di intervento appropriati alle cure primarie. La seconda è l’area delle competenze organizzative, che comprende la capacità di operare entro la cura per intensità crescente, l’assistenza collaborativa e i percorsi diagnostico-terapeutici assistenziali. La terza è l’area delle competenze relazionali, che comprende la capacità di collaborare entro la coppia clinica e di raccordarsi con le altre figure del modello. La quarta è l’area delle competenze digitali e pro-Intelligenza Artificiale, che comprende la capacità di impiegare con appropriatezza e con consapevolezza critica gli strumenti che la leva digitale mette a disposizione.</w:t>
      </w:r>
    </w:p>
    <w:p>
      <w:pPr>
        <w:pStyle w:val="BodyText"/>
      </w:pPr>
      <w:r>
        <w:t xml:space="preserve">L’area delle competenze digitali e pro-Intelligenza Artificiale merita una precisazione, perché è in essa che si manifesta la connessione tra la formazione e la leva digitale della sezione 7.3, e perché è rispetto a essa che il principio di non duplicazione richiede la massima attenzione. La formazione pro-Intelligenza Artificiale che la presente sezione contabilizza è la formazione dell’insieme dei clinici all’impiego appropriato e criticamente consapevole degli strumenti, che è condizione perché la leva digitale produca i propri effetti e perché gli strumenti siano impiegati nella subordinazione al giudizio professionale che la cornice di governance prudenziale richiede.</w:t>
      </w:r>
      <w:r>
        <w:rPr>
          <w:rStyle w:val="FootnoteReference"/>
        </w:rPr>
        <w:footnoteReference w:id="194"/>
      </w:r>
      <w:r>
        <w:rPr>
          <w:rStyle w:val="FootnoteReference"/>
        </w:rPr>
        <w:footnoteReference w:id="195"/>
      </w:r>
      <w:r>
        <w:t xml:space="preserve"> </w:t>
      </w:r>
      <w:r>
        <w:t xml:space="preserve">Essa è cosa distinta dalla formazione tecnica specialistica dei custodi degli strumenti, che la sezione 7.3 ha ricompreso, come componente marginale, nel costo del personale dedicato alla governance degli strumenti: quella riguarda le poche figure che governano gli strumenti sul piano tecnico, questa riguarda l’insieme dei clinici che li impiegano nella pratica. La trattazione mantiene perciò la distinzione tra le due formazioni, contabilizzando nella presente sezione la sola formazione pro-Intelligenza Artificiale dell’insieme dei clinici, affinché la somma finale non comporti duplicazioni.</w:t>
      </w:r>
    </w:p>
    <w:p>
      <w:pPr>
        <w:pStyle w:val="BodyText"/>
      </w:pPr>
      <w:r>
        <w:t xml:space="preserve">Il perimetro del costo della formazione richiede una seconda distinzione, relativa al tempo del personale in formazione, che il principio di non duplicazione impone di trattare con cautela. La formazione, e segnatamente le modalità lavorativa e per affiancamento, impegna il tempo del personale clinico, sia di chi è formato sia di chi forma; e tale tempo, ove fosse contabilizzato sia nel costo del personale della sezione 7.1 sia nel costo della formazione della presente sezione, genererebbe una duplicazione. La trattazione risolve la questione contabilizzando nel costo della formazione il costo incrementale e dedicato della funzione formativa — il tempo delle figure esperte dedicato all’affiancamento, il costo della docenza, dei materiali, della piattaforma formativa, delle certificazioni — e riconoscendo che il tempo del personale in formazione, durante l’orario di lavoro, è in parte un costo-opportunità che si riflette nella minore produttività clinica della fase di avvio, già incorporata nella curva di adozione del servizio che la sezione 7.1 ha richiamato. Il costo della formazione della presente sezione è perciò il costo incrementale della funzione formativa, distinto dal costo del tempo clinico ordinario della sezione 7.1.</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7.4.1 — Il perimetro del costo della formazione</w:t>
            </w:r>
          </w:p>
        </w:tc>
      </w:tr>
      <w:tr>
        <w:tc>
          <w:tcPr/>
          <w:p>
            <w:pPr>
              <w:pStyle w:val="Compact"/>
              <w:spacing w:after="40" w:before="40"/>
              <w:jc w:val="left"/>
            </w:pPr>
            <w:r>
              <w:rPr>
                <w:rFonts w:ascii="Cambria" w:hAnsi="Cambria" w:cs="Cambria" w:eastAsia="Cambria"/>
                <w:b/>
                <w:bCs/>
                <w:color w:val="1A1A1A"/>
                <w:sz w:val="18"/>
              </w:rPr>
              <w:t xml:space="preserve">Incluso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Escluso — rinviato a 7.3</w:t>
            </w:r>
          </w:p>
        </w:tc>
      </w:tr>
      <w:tr>
        <w:tc>
          <w:tcPr/>
          <w:p>
            <w:pPr>
              <w:pStyle w:val="Compact"/>
              <w:spacing w:after="40" w:before="40"/>
              <w:jc w:val="left"/>
            </w:pPr>
            <w:r>
              <w:rPr>
                <w:rFonts w:ascii="Cambria" w:hAnsi="Cambria" w:cs="Cambria" w:eastAsia="Cambria"/>
                <w:b/>
                <w:bCs/>
                <w:color w:val="1A1A1A"/>
                <w:sz w:val="18"/>
              </w:rPr>
              <w:t xml:space="preserve">Escluso — rinviato a 7.1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Escluso — rinviato a Parti VIII-X</w:t>
            </w:r>
          </w:p>
        </w:tc>
      </w:tr>
      <w:tr>
        <w:tc>
          <w:tcPr/>
          <w:p>
            <w:pPr>
              <w:pStyle w:val="Compact"/>
              <w:spacing w:after="40" w:before="40"/>
              <w:jc w:val="left"/>
            </w:pPr>
            <w:r>
              <w:rPr>
                <w:rFonts w:ascii="Cambria" w:hAnsi="Cambria" w:cs="Cambria" w:eastAsia="Cambria"/>
                <w:b/>
                <w:bCs/>
                <w:color w:val="1A1A1A"/>
                <w:sz w:val="18"/>
              </w:rPr>
              <w:t xml:space="preserve">Principio applicato</w:t>
            </w:r>
          </w:p>
        </w:tc>
      </w:tr>
    </w:tbl>
    <w:bookmarkEnd w:id="396"/>
    <w:bookmarkStart w:id="397" w:name="X6832bd5f35311762f3048b32dd1fd285acc3b72"/>
    <w:p>
      <w:pPr>
        <w:pStyle w:val="Heading3"/>
      </w:pPr>
      <w:r>
        <w:t xml:space="preserve">7.4.2 Prima modalità — La formazione universitaria</w:t>
      </w:r>
    </w:p>
    <w:p>
      <w:pPr>
        <w:pStyle w:val="FirstParagraph"/>
      </w:pPr>
      <w:r>
        <w:t xml:space="preserve">La prima modalità formativa è quella universitaria, che comprende i corsi di laurea, i master e i curricula attraverso cui le figure della cascata, e segnatamente lo Psicologo di Base, acquisiscono la formazione di base e specialistica che il loro ruolo richiede. La formazione universitaria costituisce il fondamento dell’intero edificio formativo, perché è in essa che si forma la competenza professionale di base, e la sua trattazione, sul versante dei costi, richiede una distinzione relativa al soggetto che ne sostiene l’onere. La formazione universitaria è erogata dal sistema universitario, e il suo costo è in larga parte sostenuto da tale sistema e dagli studenti, non dalla riforma; il costo incrementale della formazione universitaria per la riforma si riduce perciò alle componenti che la riforma specificamente richiede e finanzia.</w:t>
      </w:r>
    </w:p>
    <w:p>
      <w:pPr>
        <w:pStyle w:val="BodyText"/>
      </w:pPr>
      <w:r>
        <w:t xml:space="preserve">Le componenti che la riforma specificamente richiede e finanzia comprendono lo sviluppo e l’aggiornamento dei curricula in coerenza con il profilo dello Psicologo di Base e con le competenze del modello integrato, le convenzioni con il sistema universitario per i tirocini e per i percorsi formativi dedicati, e gli eventuali strumenti di sostegno alla formazione di figure specificamente destinate al servizio. Tali componenti, di entità contenuta rispetto al costo complessivo della formazione universitaria sostenuto dal sistema, costituiscono il costo incrementale della prima modalità per la riforma, e si collocano dell’ordine di seicentomila euro annui a regime nello scenario centrale, all’interno di un intervallo compreso tra quattrocentomila e novecentomila euro nei tre scenari. La trattazione segnala che la formazione universitaria, pur essendo la modalità di maggiore costo complessivo se si considerasse l’intero onere del sistema, è quella di minore costo incrementale per la riforma, perché il suo onere è in larga parte sostenuto dal sistema universitario; e che il suo rendimento, sul piano della competenza di base, è il più duraturo, perché è in essa che si forma la professionalità che le altre modalità aggiornano e affinano.</w:t>
      </w:r>
    </w:p>
    <w:p>
      <w:pPr>
        <w:pStyle w:val="BodyText"/>
      </w:pPr>
      <w:r>
        <w:t xml:space="preserve">Quanto ai tempi, la formazione universitaria è la modalità di maggiore durata, perché la formazione di base e specialistica si misura in anni, e il suo rendimento si manifesta nel lungo periodo, attraverso la disponibilità di professionisti adeguatamente formati. Questa caratteristica temporale colloca la formazione universitaria a monte del percorso formativo integrato, come modalità che precede e fonda le altre, e ne fa la modalità il cui costo, ancorché contenuto sul piano incrementale, è quello dal rendimento più differito. La sezione dedicata al ritorno sull’investimento formativo riprenderà questa caratteristica nel confronto tra le modalità, mostrando come la formazione universitaria, di minore costo incrementale e di rendimento più differito, si componga con le altre modalità, di maggiore costo incrementale e di rendimento più immediato, nel percorso integrato.</w:t>
      </w:r>
    </w:p>
    <w:bookmarkEnd w:id="397"/>
    <w:bookmarkStart w:id="399" w:name="X4b831f7e353fe87021d7bf32fd262f03c036a39"/>
    <w:p>
      <w:pPr>
        <w:pStyle w:val="Heading3"/>
      </w:pPr>
      <w:r>
        <w:t xml:space="preserve">7.4.3 Seconda modalità — La formazione post-universitaria</w:t>
      </w:r>
    </w:p>
    <w:p>
      <w:pPr>
        <w:pStyle w:val="FirstParagraph"/>
      </w:pPr>
      <w:r>
        <w:t xml:space="preserve">La seconda modalità formativa è quella post-universitaria, che comprende la specializzazione, l’educazione continua in medicina e le certificazioni attraverso cui le figure della cascata aggiornano e specializzano la propria competenza dopo la formazione di base. La formazione post-universitaria costituisce la modalità attraverso cui la competenza professionale è mantenuta aggiornata e adeguata all’evoluzione dei modelli e degli strumenti, ed è perciò la modalità più direttamente connessa al funzionamento corrente del servizio, perché è da essa che dipende l’aggiornamento continuo delle figure della cascata.</w:t>
      </w:r>
    </w:p>
    <w:p>
      <w:pPr>
        <w:pStyle w:val="BodyText"/>
      </w:pPr>
      <w:r>
        <w:t xml:space="preserve">L’educazione continua in medicina, in particolare, costituisce la componente strutturata e obbligatoria della formazione post-universitaria, disciplinata dal programma nazionale e articolata in crediti formativi che le figure sanitarie devono acquisire periodicamente.</w:t>
      </w:r>
      <w:r>
        <w:rPr>
          <w:rStyle w:val="FootnoteReference"/>
        </w:rPr>
        <w:footnoteReference w:id="196"/>
      </w:r>
      <w:r>
        <w:t xml:space="preserve"> </w:t>
      </w:r>
      <w:r>
        <w:t xml:space="preserve">La riforma si innesta su tale programma, sviluppando percorsi formativi dedicati alle competenze del modello integrato e all’impiego appropriato della leva digitale, e il costo di tali percorsi è parte del costo della seconda modalità. Le certificazioni, parimenti, costituiscono una componente della formazione post-universitaria, attestando l’acquisizione di competenze specifiche, e segnatamente delle competenze digitali e pro-Intelligenza Artificiale, il cui sviluppo è condizione dell’impiego appropriato degli strumenti.</w:t>
      </w:r>
    </w:p>
    <w:p>
      <w:pPr>
        <w:pStyle w:val="BodyText"/>
      </w:pPr>
      <w:r>
        <w:t xml:space="preserve">Il costo della seconda modalità è composto dal costo dei percorsi di educazione continua, dal costo delle certificazioni e dal costo della specializzazione nella quota che la riforma sostiene, ed è in parte sostenuto dai professionisti, in parte dalla riforma. Il costo incrementale della formazione post-universitaria per la riforma si colloca dell’ordine di un milione e duecentomila euro annui a regime nello scenario centrale, all’interno di un intervallo compreso tra ottocentomila e un milione e seicentomila euro nei tre scenari. La trattazione segnala che la formazione post-universitaria è la modalità di maggiore costo incrementale ricorrente, perché è quella che alimenta l’aggiornamento continuo dell’insieme dei clinici, e che il suo rendimento, sul piano dell’adeguamento delle competenze, è più immediato di quello della formazione universitaria, perché agisce su professionisti già formati che aggiornano la propria competenza.</w:t>
      </w:r>
    </w:p>
    <w:bookmarkEnd w:id="399"/>
    <w:bookmarkStart w:id="400" w:name="X8dd0983f09ac4dd8901c8f9678eccb9e5e969f5"/>
    <w:p>
      <w:pPr>
        <w:pStyle w:val="Heading3"/>
      </w:pPr>
      <w:r>
        <w:t xml:space="preserve">7.4.4 Terza modalità — La formazione lavorativa e sul posto di lavoro</w:t>
      </w:r>
    </w:p>
    <w:p>
      <w:pPr>
        <w:pStyle w:val="FirstParagraph"/>
      </w:pPr>
      <w:r>
        <w:t xml:space="preserve">La terza modalità formativa è quella lavorativa e sul posto di lavoro, che comprende l’apprendimento che si realizza nell’esercizio stesso dell’attività, attraverso la pratica, la riflessione sull’esperienza e la formazione erogata nel contesto operativo. La formazione lavorativa costituisce la modalità attraverso cui la competenza si consolida nella pratica, ed è perciò la modalità più direttamente integrata con l’attività del servizio, perché si realizza nel suo esercizio e ne accompagna lo svolgimento.</w:t>
      </w:r>
    </w:p>
    <w:p>
      <w:pPr>
        <w:pStyle w:val="BodyText"/>
      </w:pPr>
      <w:r>
        <w:t xml:space="preserve">Il costo della formazione lavorativa è composto dal costo della docenza erogata nel contesto operativo, dal costo dei materiali e degli strumenti formativi, e dal costo del tempo dedicato alla formazione nell’ambito dell’attività. Quest’ultima componente richiede la cautela che il perimetro del costo ha enunciato: il tempo del personale dedicato alla formazione lavorativa, durante l’orario di lavoro, è in parte un costo-opportunità che si riflette nella minore produttività della fase di avvio, già incorporata nella curva di adozione del servizio; e il costo della formazione lavorativa che la presente sezione contabilizza è il costo incrementale e dedicato della funzione formativa — la docenza, i materiali, l’organizzazione — distinto dal costo del tempo clinico ordinario. Questa distinzione evita la duplicazione tra il costo della formazione e il costo del personale della sezione 7.1.</w:t>
      </w:r>
    </w:p>
    <w:p>
      <w:pPr>
        <w:pStyle w:val="BodyText"/>
      </w:pPr>
      <w:r>
        <w:t xml:space="preserve">Il costo incrementale della formazione lavorativa per la riforma si colloca dell’ordine di un milione di euro annui a regime nello scenario centrale, all’interno di un intervallo compreso tra settecentomila e un milione e quattrocentomila euro nei tre scenari. La trattazione segnala che la formazione lavorativa è la modalità di rendimento più rapido sul piano dell’operatività, perché consolida nella pratica le competenze acquisite nelle altre modalità, e che il suo costo, ancorché ricorrente, è in parte sovrapposto all’attività ordinaria del servizio, di cui costituisce una dimensione formativa. La sezione dedicata alla combinazione delle modalità riprenderà questa sovrapposizione, mostrando come la formazione lavorativa si integri con le altre modalità nel percorso formativo integrato, evitando le duplicazioni e valorizzando le sinergie.</w:t>
      </w:r>
    </w:p>
    <w:bookmarkEnd w:id="400"/>
    <w:bookmarkStart w:id="401" w:name="Xae75f34e0fc8946140aed960c3a433974aaeda9"/>
    <w:p>
      <w:pPr>
        <w:pStyle w:val="Heading3"/>
      </w:pPr>
      <w:r>
        <w:t xml:space="preserve">7.4.5 Quarta modalità — L’affiancamento e il mentoring di figure esperte, incluso l’esperto di Intelligenza Artificiale</w:t>
      </w:r>
    </w:p>
    <w:p>
      <w:pPr>
        <w:pStyle w:val="FirstParagraph"/>
      </w:pPr>
      <w:r>
        <w:t xml:space="preserve">La quarta modalità formativa è quella dell’affiancamento e del mentoring di figure esperte, che comprende la formazione che si realizza attraverso l’accompagnamento di un professionista esperto, il quale trasmette la propria competenza nell’esercizio condiviso dell’attività. L’affiancamento costituisce la modalità più personalizzata e più intensiva, perché si realizza nel rapporto diretto tra il professionista esperto e quello in formazione, ed è perciò la modalità di maggiore efficacia sul piano della trasmissione delle competenze complesse, che mal si prestano alla formazione frontale e che richiedono l’accompagnamento nella pratica.</w:t>
      </w:r>
    </w:p>
    <w:p>
      <w:pPr>
        <w:pStyle w:val="BodyText"/>
      </w:pPr>
      <w:r>
        <w:t xml:space="preserve">Tra le figure esperte che esercitano l’affiancamento, una posizione specifica spetta all’esperto di Intelligenza Artificiale in studio, che il mandato dell’opera richiede espressamente di considerare e la cui funzione merita una precisazione. L’esperto di Intelligenza Artificiale in studio è la figura che affianca i clinici nell’apprendimento dell’impiego appropriato e criticamente consapevole degli strumenti, trasmettendo la competenza pro-Intelligenza Artificiale nella pratica condivisa, e la sua funzione è perciò formativa, distinta dalla funzione di governance tecnica degli strumenti che la sezione 7.3 ha contabilizzato. La trattazione mantiene questa distinzione: l’esperto di Intelligenza Artificiale della presente sezione forma i clinici all’impiego degli strumenti, mentre il custode degli strumenti della sezione 7.3 ne governa il funzionamento tecnico; e il costo della funzione formativa dell’esperto di Intelligenza Artificiale è contabilizzato nella presente sezione, distinto dal costo della funzione di governance della sezione 7.3, affinché la somma finale non comporti duplicazioni.</w:t>
      </w:r>
    </w:p>
    <w:p>
      <w:pPr>
        <w:pStyle w:val="BodyText"/>
      </w:pPr>
      <w:r>
        <w:t xml:space="preserve">Il costo della quarta modalità è composto dal costo del tempo delle figure esperte dedicato all’affiancamento, comprensivo del tempo dell’esperto di Intelligenza Artificiale in studio, e si colloca dell’ordine di novecentomila euro annui a regime nello scenario centrale, all’interno di un intervallo compreso tra seicentomila e un milione e trecentomila euro nei tre scenari. La trattazione segnala che l’affiancamento è la modalità di maggiore intensità formativa per professionista accompagnato, e perciò di maggiore costo unitario, ma anche di maggiore efficacia sul piano della trasmissione delle competenze complesse e dell’adozione degli strumenti; e che il suo costo, concentrato nella fase di avvio e di accompagnamento dei nuovi entranti, decresce a regime, quando l’insieme dei clinici ha acquisito le competenze di base e l’affiancamento si concentra sui nuovi entranti e sulle competenze più complesse.</w:t>
      </w:r>
    </w:p>
    <w:bookmarkEnd w:id="401"/>
    <w:bookmarkStart w:id="402" w:name="X03c6ba79e30002bbea9d5533e215d0ab8c03b18"/>
    <w:p>
      <w:pPr>
        <w:pStyle w:val="Heading3"/>
      </w:pPr>
      <w:r>
        <w:t xml:space="preserve">7.4.6 Le quattro modalità in combinazione: il percorso formativo integrato</w:t>
      </w:r>
    </w:p>
    <w:p>
      <w:pPr>
        <w:pStyle w:val="FirstParagraph"/>
      </w:pPr>
      <w:r>
        <w:t xml:space="preserve">Esaurita la trattazione delle quattro modalità singolarmente assunte, la presente sezione le considera congiuntamente, come percorso formativo integrato, in aderenza al mandato che richiede di valutare le modalità sia a sé stanti sia in combinazione. Il percorso formativo integrato non è la semplice somma delle quattro modalità, ma la loro composizione in un disegno coerente, che le sequenzia nel tempo, ne valorizza le sinergie e ne evita le sovrapposizioni; e il suo costo non è la somma aritmetica dei costi delle quattro modalità al massimo della loro intensità, ma il costo della loro combinazione ottimizzata, che incorpora le sinergie e le sequenze.</w:t>
      </w:r>
    </w:p>
    <w:p>
      <w:pPr>
        <w:pStyle w:val="BodyText"/>
      </w:pPr>
      <w:r>
        <w:t xml:space="preserve">La composizione delle quattro modalità segue una logica di sequenza e di sinergia. La formazione universitaria precede e fonda le altre, costituendo la competenza di base su cui esse agiscono; la formazione post-universitaria aggiorna e specializza tale competenza in modo continuativo; la formazione lavorativa la consolida nella pratica; l’affiancamento la trasmette nelle sue componenti più complesse e ne accompagna l’applicazione. Questa sequenza genera sinergie, perché ciascuna modalità prepara e potenzia le successive, e consente di evitare sovrapposizioni, perché ciascuna modalità si concentra sulle competenze che le sono proprie senza ripetere quelle delle altre. Il percorso integrato valorizza tali sinergie e evita tali sovrapposizioni, e il suo costo è perciò inferiore alla somma dei costi delle modalità singole al massimo della loro intensità, perché la combinazione ottimizzata elimina le ridondanze.</w:t>
      </w:r>
    </w:p>
    <w:p>
      <w:pPr>
        <w:pStyle w:val="BodyText"/>
      </w:pPr>
      <w:r>
        <w:t xml:space="preserve">Il costo del percorso formativo integrato a regime si colloca dell’ordine di quattro milioni di euro annui nello scenario centrale, comprensivo del coordinamento e dell’infrastruttura formativa che la combinazione richiede, all’interno di un intervallo compreso tra tre milioni e duecentomila e cinque milioni di euro nei tre scenari. Questo valore, come la sezione di consolidamento mostrerà, è inferiore alla somma dei costi massimi delle quattro modalità singolarmente assunte, e tale differenza misura le sinergie del percorso integrato. La trattazione segnala che la combinazione delle modalità è la forma in cui la formazione è effettivamente erogata, e che il costo del percorso integrato è perciò il costo pertinente alla composizione del costo diretto complessivo del programma, mentre i costi delle modalità singole sono pertinenti alla valutazione del contributo specifico di ciascuna; e che il confronto tra i due, che la sezione dedicata al ritorno sull’investimento formativo svolgerà, è ciò che il mandato richiede, perché consente al decisore di apprezzare al tempo stesso il valore di ciascuna modalità e il vantaggio della loro combinazione.</w:t>
      </w:r>
    </w:p>
    <w:bookmarkEnd w:id="402"/>
    <w:bookmarkStart w:id="405" w:name="X2378c1f9c644595d155ef9046cc4e54e7867883"/>
    <w:p>
      <w:pPr>
        <w:pStyle w:val="Heading3"/>
      </w:pPr>
      <w:r>
        <w:t xml:space="preserve">7.4.7 Il costo della formazione e il ritorno sull’investimento formativo: il confronto tra modalità singole e combinazione</w:t>
      </w:r>
    </w:p>
    <w:p>
      <w:pPr>
        <w:pStyle w:val="FirstParagraph"/>
      </w:pPr>
      <w:r>
        <w:t xml:space="preserve">Il ritorno sull’investimento formativo è valutato, in questo studio, secondo il modello di Kirkpatrick e l’estensione di Phillips, che articolano la misurazione dell’efficacia della formazione lungo una scala di livelli crescenti di profondità. Il primo livello misura la reazione dei partecipanti alla formazione; il secondo l’apprendimento, ossia l’acquisizione effettiva delle conoscenze e delle competenze; il terzo il mutamento dei comportamenti nella pratica, ossia l’applicazione di quanto appreso; il quarto i risultati, ossia gli effetti della formazione sugli esiti del servizio; e il quinto livello, che l’estensione di Phillips aggiunge, il ritorno economico, ossia il rapporto tra il valore degli effetti e il costo della formazione.</w:t>
      </w:r>
      <w:r>
        <w:rPr>
          <w:rStyle w:val="FootnoteReference"/>
        </w:rPr>
        <w:footnoteReference w:id="197"/>
      </w:r>
      <w:r>
        <w:rPr>
          <w:rStyle w:val="FootnoteReference"/>
        </w:rPr>
        <w:footnoteReference w:id="198"/>
      </w:r>
      <w:r>
        <w:t xml:space="preserve"> </w:t>
      </w:r>
      <w:r>
        <w:t xml:space="preserve">Questa scala consente di graduare l’evidenza che sostiene il rendimento della formazione e di esprimerne il ritorno in forma prudenziale, distinguendo i livelli su cui l’evidenza è più solida da quelli su cui è più incerta.</w:t>
      </w:r>
    </w:p>
    <w:p>
      <w:pPr>
        <w:pStyle w:val="BodyText"/>
      </w:pPr>
      <w:r>
        <w:t xml:space="preserve">L’applicazione di questa scala alle quattro modalità mostra che esse si collocano diversamente lungo i livelli. La formazione universitaria agisce primariamente sui primi due livelli, la reazione e l’apprendimento, e il suo effetto sui livelli superiori, il comportamento e i risultati, è più differito, perché si manifesta nel lungo periodo attraverso la disponibilità di professionisti adeguatamente formati. La formazione post-universitaria agisce sui primi tre livelli, aggiornando le competenze e modificando i comportamenti dei professionisti già formati. La formazione lavorativa agisce primariamente sul terzo livello, il comportamento, consolidando nella pratica le competenze acquisite. L’affiancamento agisce su tutti i livelli, perché la trasmissione personalizzata incide tanto sull’apprendimento quanto sul comportamento, ed è perciò la modalità di maggiore efficacia per professionista accompagnato, ancorché di maggiore costo unitario.</w:t>
      </w:r>
    </w:p>
    <w:p>
      <w:pPr>
        <w:pStyle w:val="BodyText"/>
      </w:pPr>
      <w:r>
        <w:t xml:space="preserve">Il confronto tra il costo delle modalità singole e il costo della combinazione, che il mandato richiede, può essere ora espresso. Sul piano del costo, la somma dei costi delle quattro modalità singolarmente assunte al massimo della loro intensità eccederebbe il costo del percorso integrato, perché quest’ultimo elimina le ridondanze; e la differenza tra la somma dei costi singoli e il costo della combinazione misura il vantaggio economico del percorso integrato. Sul piano del rendimento, il percorso integrato eccede la somma dei rendimenti delle modalità singole, perché ciascuna modalità potenzia le altre, e la combinazione genera un effetto sinergico che le modalità isolate non producono. Il confronto mostra perciò che la combinazione è preferibile alle modalità singole sia sul piano del costo, perché elimina le ridondanze, sia sul piano del rendimento, perché genera sinergie, e che la considerazione congiunta delle modalità è la forma corretta in cui la formazione va valutata ed erogata.</w:t>
      </w:r>
    </w:p>
    <w:p>
      <w:pPr>
        <w:pStyle w:val="BodyText"/>
      </w:pPr>
      <w:r>
        <w:t xml:space="preserve">Quanto al ritorno economico dell’investimento formativo, ossia al quinto livello dell’estensione di Phillips, la trattazione adotta la massima prudenza, in coerenza con il vincolo che governa l’opera e con la graduazione dell’evidenza. Il rendimento della formazione si manifesta attraverso l’efficacia clinica e l’efficientamento che le Parti dalla ottava alla decima quantificano, e la formazione è la condizione perché tali effetti si producano, perché senza competenza adeguata il servizio non produrrebbe gli esiti attesi; ma il ritorno economico della formazione non è espresso, in questa sede, attraverso un moltiplicatore autonomo, che la letteratura non sostiene con la solidità richiesta, bensì riconoscendo che il costo della formazione è una frazione del costo diretto complessivo che abilita i rendimenti quantificati negli altri strati, e che la sua omissione comprometterebbe tali rendimenti. La trattazione esprime perciò il ritorno dell’investimento formativo in forma qualitativa e prudenziale, come condizione abilitante dei benefici, e ne rinvia la quantificazione monetaria alle Parti dedicate ai benefici, dove esso si manifesta integrato negli esiti del servizio, evitando ogni duplicazione e ogni moltiplicatore non sostenuto.</w:t>
      </w:r>
    </w:p>
    <w:bookmarkEnd w:id="405"/>
    <w:bookmarkStart w:id="407" w:name="X1504c5a871552ca895c815525dac07cb328e496"/>
    <w:p>
      <w:pPr>
        <w:pStyle w:val="Heading3"/>
      </w:pPr>
      <w:r>
        <w:t xml:space="preserve">7.4.8 Le curve di adozione tecnologica e il rafforzamento delle competenze digitali pro-Intelligenza Artificiale</w:t>
      </w:r>
    </w:p>
    <w:p>
      <w:pPr>
        <w:pStyle w:val="FirstParagraph"/>
      </w:pPr>
      <w:r>
        <w:t xml:space="preserve">La formazione pro-Intelligenza Artificiale dell’insieme dei clinici intrattiene una relazione specifica con la leva digitale della sezione 7.3, perché è da essa che dipende la velocità e l’estensione con cui gli strumenti sono adottati nella pratica, e perciò l’efficacia stessa della leva. Questa relazione si esprime attraverso le curve di adozione tecnologica, che la disciplina della diffusione delle innovazioni descrive come il processo per cui un’innovazione si diffonde progressivamente in una popolazione, dai primi adottanti alla maggioranza, secondo una curva la cui pendenza dipende da fattori tra i quali la competenza degli adottanti occupa una posizione centrale.</w:t>
      </w:r>
      <w:r>
        <w:rPr>
          <w:rStyle w:val="FootnoteReference"/>
        </w:rPr>
        <w:footnoteReference w:id="199"/>
      </w:r>
      <w:r>
        <w:t xml:space="preserve"> </w:t>
      </w:r>
      <w:r>
        <w:t xml:space="preserve">La formazione pro-Intelligenza Artificiale agisce precisamente su tale fattore, accrescendo la competenza degli adottanti e accelerando perciò la curva di adozione degli strumenti.</w:t>
      </w:r>
    </w:p>
    <w:p>
      <w:pPr>
        <w:pStyle w:val="BodyText"/>
      </w:pPr>
      <w:r>
        <w:t xml:space="preserve">L’effetto della formazione sulla curva di adozione è duplice. Sul piano della velocità, la formazione accelera l’adozione, perché clinici competenti adottano gli strumenti più rapidamente e con minore resistenza; sul piano dell’estensione, la formazione amplia l’adozione, perché clinici competenti impiegano gli strumenti in modo più esteso e più appropriato. L’uno e l’altro effetto accrescono l’efficacia della leva digitale, perché un’adozione più rapida e più estesa degli strumenti ne amplifica i benefici; e perciò la formazione pro-Intelligenza Artificiale, ancorché contabilizzata nella presente sezione come costo, è condizione dell’efficacia della leva digitale della sezione 7.3, e il suo costo è in parte ciò che rende la leva efficace. La trattazione segnala questa connessione, che il principio di non duplicazione non viola, perché il costo della formazione pro-Intelligenza Artificiale è contabilizzato una sola volta, nella presente sezione, e l’effetto che esso produce sull’adozione degli strumenti è ricostruito, non contabilizzato nuovamente, nella valutazione dell’efficacia della leva.</w:t>
      </w:r>
    </w:p>
    <w:p>
      <w:pPr>
        <w:pStyle w:val="BodyText"/>
      </w:pPr>
      <w:r>
        <w:t xml:space="preserve">Il rafforzamento delle competenze digitali pro-Intelligenza Artificiale costituisce perciò una componente strategica del percorso formativo integrato, perché è da esso che dipende l’efficacia di uno degli strati del programma; e il suo costo, distribuito tra le quattro modalità — la formazione universitaria che introduce le competenze digitali di base, la formazione post-universitaria che le aggiorna e le certifica, la formazione lavorativa che le consolida nella pratica, l’affiancamento dell’esperto di Intelligenza Artificiale che le trasmette nelle loro componenti più complesse — è parte integrante del costo della formazione. La trattazione segnala che la considerazione congiunta delle modalità è particolarmente rilevante per le competenze digitali pro-Intelligenza Artificiale, perché esse si formano attraverso il concorso di tutte le modalità, dall’introduzione universitaria all’affiancamento specialistico, e che il loro sviluppo è perciò un esempio paradigmatico del vantaggio del percorso formativo integrato sulle modalità singolarmente assunte.</w:t>
      </w:r>
    </w:p>
    <w:bookmarkEnd w:id="407"/>
    <w:bookmarkStart w:id="408" w:name="Xc47d9f30b0f5b87ee1695efa853984e67afe9a4"/>
    <w:p>
      <w:pPr>
        <w:pStyle w:val="Heading3"/>
      </w:pPr>
      <w:r>
        <w:t xml:space="preserve">7.4.9 Il consolidamento del costo della formazione per scenario</w:t>
      </w:r>
    </w:p>
    <w:p>
      <w:pPr>
        <w:pStyle w:val="FirstParagraph"/>
      </w:pPr>
      <w:r>
        <w:t xml:space="preserve">La ricostruzione del costo della formazione perviene ora al consolidamento, che ricompone le quattro modalità e il coordinamento del percorso integrato in una stima complessiva, distinta per scenario e corredata della banda prudenziale e della previsione falsificabile che l’opera richiede. Il consolidamento presenta tanto il costo del percorso integrato a regime, che è il valore pertinente alla composizione del costo diretto complessivo, quanto la somma dei costi delle modalità singole, il cui confronto con il costo integrato misura le sinergie del percorso.</w:t>
      </w:r>
    </w:p>
    <w:p>
      <w:pPr>
        <w:pStyle w:val="BodyText"/>
      </w:pPr>
      <w:r>
        <w:t xml:space="preserve">Il costo del percorso formativo integrato a regime si colloca, nello scenario centrale, dell’ordine di quattro milioni di euro annui, comprensivo del costo delle quattro modalità nella loro combinazione ottimizzata e del costo del coordinamento e dell’infrastruttura formativa. La somma dei costi delle quattro modalità singolarmente assunte, pari nello scenario centrale a circa tre milioni e settecentomila euro, cui si aggiunge il costo del coordinamento, mostra che il percorso integrato non eccede la somma delle modalità, ma la ottimizza, perché la combinazione consente di erogare le quattro modalità in modo coordinato a un costo prossimo alla loro somma efficiente, eliminando le ridondanze che la loro erogazione separata e non coordinata comporterebbe. Nei tre scenari, il costo del percorso formativo integrato a regime si colloca in un intervallo compreso tra tre milioni e duecentomila e cinque milioni di euro annui, dove l’estremo superiore corrisponde allo scenario prudenzialmente più oneroso e l’estremo inferiore allo scenario efficiente.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Modalità formativa (a regime)</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Centrale</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c>
          <w:tcPr>
            <w:shd w:val="clear" w:color="auto" w:fill="16264B"/>
          </w:tcPr>
          <w:p>
            <w:pPr>
              <w:pStyle w:val="Compact"/>
              <w:spacing w:after="40" w:before="40"/>
              <w:jc w:val="left"/>
            </w:pPr>
            <w:r>
              <w:rPr>
                <w:rFonts w:ascii="Cambria" w:hAnsi="Cambria" w:cs="Cambria" w:eastAsia="Cambria"/>
                <w:b/>
                <w:bCs/>
                <w:color w:val="FFFFFF"/>
                <w:sz w:val="18"/>
              </w:rPr>
              <w:t xml:space="preserve">Rendimento prevalente</w:t>
            </w:r>
          </w:p>
        </w:tc>
      </w:tr>
      <w:tr>
        <w:tc>
          <w:tcPr/>
          <w:p>
            <w:pPr>
              <w:pStyle w:val="Compact"/>
              <w:spacing w:after="40" w:before="40"/>
              <w:jc w:val="left"/>
            </w:pPr>
            <w:r>
              <w:rPr>
                <w:rFonts w:ascii="Cambria" w:hAnsi="Cambria" w:cs="Cambria" w:eastAsia="Cambria"/>
                <w:color w:val="1A1A1A"/>
                <w:sz w:val="18"/>
              </w:rPr>
              <w:t xml:space="preserve">Prima — universitaria (quota riforma)</w:t>
            </w:r>
          </w:p>
        </w:tc>
        <w:tc>
          <w:tcPr/>
          <w:p>
            <w:pPr>
              <w:pStyle w:val="Compact"/>
              <w:spacing w:after="40" w:before="40"/>
              <w:jc w:val="left"/>
            </w:pPr>
            <w:r>
              <w:rPr>
                <w:rFonts w:ascii="Cambria" w:hAnsi="Cambria" w:cs="Cambria" w:eastAsia="Cambria"/>
                <w:color w:val="1A1A1A"/>
                <w:sz w:val="18"/>
              </w:rPr>
              <w:t xml:space="preserve">0,9</w:t>
            </w:r>
          </w:p>
        </w:tc>
        <w:tc>
          <w:tcPr/>
          <w:p>
            <w:pPr>
              <w:pStyle w:val="Compact"/>
              <w:spacing w:after="40" w:before="40"/>
              <w:jc w:val="left"/>
            </w:pPr>
            <w:r>
              <w:rPr>
                <w:rFonts w:ascii="Cambria" w:hAnsi="Cambria" w:cs="Cambria" w:eastAsia="Cambria"/>
                <w:color w:val="1A1A1A"/>
                <w:sz w:val="18"/>
              </w:rPr>
              <w:t xml:space="preserve">0,6</w:t>
            </w:r>
          </w:p>
        </w:tc>
        <w:tc>
          <w:tcPr/>
          <w:p>
            <w:pPr>
              <w:pStyle w:val="Compact"/>
              <w:spacing w:after="40" w:before="40"/>
              <w:jc w:val="left"/>
            </w:pPr>
            <w:r>
              <w:rPr>
                <w:rFonts w:ascii="Cambria" w:hAnsi="Cambria" w:cs="Cambria" w:eastAsia="Cambria"/>
                <w:color w:val="1A1A1A"/>
                <w:sz w:val="18"/>
              </w:rPr>
              <w:t xml:space="preserve">0,4</w:t>
            </w:r>
          </w:p>
        </w:tc>
        <w:tc>
          <w:tcPr/>
          <w:p>
            <w:pPr>
              <w:pStyle w:val="Compact"/>
              <w:spacing w:after="40" w:before="40"/>
              <w:jc w:val="left"/>
            </w:pPr>
            <w:r>
              <w:rPr>
                <w:rFonts w:ascii="Cambria" w:hAnsi="Cambria" w:cs="Cambria" w:eastAsia="Cambria"/>
                <w:color w:val="1A1A1A"/>
                <w:sz w:val="18"/>
              </w:rPr>
              <w:t xml:space="preserve">Differito, di base</w:t>
            </w:r>
          </w:p>
        </w:tc>
      </w:tr>
      <w:tr>
        <w:tc>
          <w:tcPr>
            <w:shd w:val="clear" w:color="auto" w:fill="F4F1EC"/>
          </w:tcPr>
          <w:p>
            <w:pPr>
              <w:pStyle w:val="Compact"/>
              <w:spacing w:after="40" w:before="40"/>
              <w:jc w:val="left"/>
            </w:pPr>
            <w:r>
              <w:rPr>
                <w:rFonts w:ascii="Cambria" w:hAnsi="Cambria" w:cs="Cambria" w:eastAsia="Cambria"/>
                <w:color w:val="1A1A1A"/>
                <w:sz w:val="18"/>
              </w:rPr>
              <w:t xml:space="preserve">Seconda — post-universitaria (ECM, certificazioni)</w:t>
            </w:r>
          </w:p>
        </w:tc>
        <w:tc>
          <w:tcPr>
            <w:shd w:val="clear" w:color="auto" w:fill="F4F1EC"/>
          </w:tcPr>
          <w:p>
            <w:pPr>
              <w:pStyle w:val="Compact"/>
              <w:spacing w:after="40" w:before="40"/>
              <w:jc w:val="left"/>
            </w:pPr>
            <w:r>
              <w:rPr>
                <w:rFonts w:ascii="Cambria" w:hAnsi="Cambria" w:cs="Cambria" w:eastAsia="Cambria"/>
                <w:color w:val="1A1A1A"/>
                <w:sz w:val="18"/>
              </w:rPr>
              <w:t xml:space="preserve">1,6</w:t>
            </w:r>
          </w:p>
        </w:tc>
        <w:tc>
          <w:tcPr>
            <w:shd w:val="clear" w:color="auto" w:fill="F4F1EC"/>
          </w:tcPr>
          <w:p>
            <w:pPr>
              <w:pStyle w:val="Compact"/>
              <w:spacing w:after="40" w:before="40"/>
              <w:jc w:val="left"/>
            </w:pPr>
            <w:r>
              <w:rPr>
                <w:rFonts w:ascii="Cambria" w:hAnsi="Cambria" w:cs="Cambria" w:eastAsia="Cambria"/>
                <w:color w:val="1A1A1A"/>
                <w:sz w:val="18"/>
              </w:rPr>
              <w:t xml:space="preserve">1,2</w:t>
            </w:r>
          </w:p>
        </w:tc>
        <w:tc>
          <w:tcPr>
            <w:shd w:val="clear" w:color="auto" w:fill="F4F1EC"/>
          </w:tcPr>
          <w:p>
            <w:pPr>
              <w:pStyle w:val="Compact"/>
              <w:spacing w:after="40" w:before="40"/>
              <w:jc w:val="left"/>
            </w:pPr>
            <w:r>
              <w:rPr>
                <w:rFonts w:ascii="Cambria" w:hAnsi="Cambria" w:cs="Cambria" w:eastAsia="Cambria"/>
                <w:color w:val="1A1A1A"/>
                <w:sz w:val="18"/>
              </w:rPr>
              <w:t xml:space="preserve">0,8</w:t>
            </w:r>
          </w:p>
        </w:tc>
        <w:tc>
          <w:tcPr>
            <w:shd w:val="clear" w:color="auto" w:fill="F4F1EC"/>
          </w:tcPr>
          <w:p>
            <w:pPr>
              <w:pStyle w:val="Compact"/>
              <w:spacing w:after="40" w:before="40"/>
              <w:jc w:val="left"/>
            </w:pPr>
            <w:r>
              <w:rPr>
                <w:rFonts w:ascii="Cambria" w:hAnsi="Cambria" w:cs="Cambria" w:eastAsia="Cambria"/>
                <w:color w:val="1A1A1A"/>
                <w:sz w:val="18"/>
              </w:rPr>
              <w:t xml:space="preserve">Continuo, di aggiornamento</w:t>
            </w:r>
          </w:p>
        </w:tc>
      </w:tr>
      <w:tr>
        <w:tc>
          <w:tcPr/>
          <w:p>
            <w:pPr>
              <w:pStyle w:val="Compact"/>
              <w:spacing w:after="40" w:before="40"/>
              <w:jc w:val="left"/>
            </w:pPr>
            <w:r>
              <w:rPr>
                <w:rFonts w:ascii="Cambria" w:hAnsi="Cambria" w:cs="Cambria" w:eastAsia="Cambria"/>
                <w:color w:val="1A1A1A"/>
                <w:sz w:val="18"/>
              </w:rPr>
              <w:t xml:space="preserve">Terza — lavorativa e sul posto di lavoro</w:t>
            </w:r>
          </w:p>
        </w:tc>
        <w:tc>
          <w:tcPr/>
          <w:p>
            <w:pPr>
              <w:pStyle w:val="Compact"/>
              <w:spacing w:after="40" w:before="40"/>
              <w:jc w:val="left"/>
            </w:pPr>
            <w:r>
              <w:rPr>
                <w:rFonts w:ascii="Cambria" w:hAnsi="Cambria" w:cs="Cambria" w:eastAsia="Cambria"/>
                <w:color w:val="1A1A1A"/>
                <w:sz w:val="18"/>
              </w:rPr>
              <w:t xml:space="preserve">1,4</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0,7</w:t>
            </w:r>
          </w:p>
        </w:tc>
        <w:tc>
          <w:tcPr/>
          <w:p>
            <w:pPr>
              <w:pStyle w:val="Compact"/>
              <w:spacing w:after="40" w:before="40"/>
              <w:jc w:val="left"/>
            </w:pPr>
            <w:r>
              <w:rPr>
                <w:rFonts w:ascii="Cambria" w:hAnsi="Cambria" w:cs="Cambria" w:eastAsia="Cambria"/>
                <w:color w:val="1A1A1A"/>
                <w:sz w:val="18"/>
              </w:rPr>
              <w:t xml:space="preserve">Rapido, di consolidamento</w:t>
            </w:r>
          </w:p>
        </w:tc>
      </w:tr>
      <w:tr>
        <w:tc>
          <w:tcPr>
            <w:shd w:val="clear" w:color="auto" w:fill="F4F1EC"/>
          </w:tcPr>
          <w:p>
            <w:pPr>
              <w:pStyle w:val="Compact"/>
              <w:spacing w:after="40" w:before="40"/>
              <w:jc w:val="left"/>
            </w:pPr>
            <w:r>
              <w:rPr>
                <w:rFonts w:ascii="Cambria" w:hAnsi="Cambria" w:cs="Cambria" w:eastAsia="Cambria"/>
                <w:color w:val="1A1A1A"/>
                <w:sz w:val="18"/>
              </w:rPr>
              <w:t xml:space="preserve">Quarta — affiancamento ed esperto di IA</w:t>
            </w:r>
          </w:p>
        </w:tc>
        <w:tc>
          <w:tcPr>
            <w:shd w:val="clear" w:color="auto" w:fill="F4F1EC"/>
          </w:tcPr>
          <w:p>
            <w:pPr>
              <w:pStyle w:val="Compact"/>
              <w:spacing w:after="40" w:before="40"/>
              <w:jc w:val="left"/>
            </w:pPr>
            <w:r>
              <w:rPr>
                <w:rFonts w:ascii="Cambria" w:hAnsi="Cambria" w:cs="Cambria" w:eastAsia="Cambria"/>
                <w:color w:val="1A1A1A"/>
                <w:sz w:val="18"/>
              </w:rPr>
              <w:t xml:space="preserve">1,3</w:t>
            </w:r>
          </w:p>
        </w:tc>
        <w:tc>
          <w:tcPr>
            <w:shd w:val="clear" w:color="auto" w:fill="F4F1EC"/>
          </w:tcPr>
          <w:p>
            <w:pPr>
              <w:pStyle w:val="Compact"/>
              <w:spacing w:after="40" w:before="40"/>
              <w:jc w:val="left"/>
            </w:pPr>
            <w:r>
              <w:rPr>
                <w:rFonts w:ascii="Cambria" w:hAnsi="Cambria" w:cs="Cambria" w:eastAsia="Cambria"/>
                <w:color w:val="1A1A1A"/>
                <w:sz w:val="18"/>
              </w:rPr>
              <w:t xml:space="preserve">0,9</w:t>
            </w:r>
          </w:p>
        </w:tc>
        <w:tc>
          <w:tcPr>
            <w:shd w:val="clear" w:color="auto" w:fill="F4F1EC"/>
          </w:tcPr>
          <w:p>
            <w:pPr>
              <w:pStyle w:val="Compact"/>
              <w:spacing w:after="40" w:before="40"/>
              <w:jc w:val="left"/>
            </w:pPr>
            <w:r>
              <w:rPr>
                <w:rFonts w:ascii="Cambria" w:hAnsi="Cambria" w:cs="Cambria" w:eastAsia="Cambria"/>
                <w:color w:val="1A1A1A"/>
                <w:sz w:val="18"/>
              </w:rPr>
              <w:t xml:space="preserve">0,6</w:t>
            </w:r>
          </w:p>
        </w:tc>
        <w:tc>
          <w:tcPr>
            <w:shd w:val="clear" w:color="auto" w:fill="F4F1EC"/>
          </w:tcPr>
          <w:p>
            <w:pPr>
              <w:pStyle w:val="Compact"/>
              <w:spacing w:after="40" w:before="40"/>
              <w:jc w:val="left"/>
            </w:pPr>
            <w:r>
              <w:rPr>
                <w:rFonts w:ascii="Cambria" w:hAnsi="Cambria" w:cs="Cambria" w:eastAsia="Cambria"/>
                <w:color w:val="1A1A1A"/>
                <w:sz w:val="18"/>
              </w:rPr>
              <w:t xml:space="preserve">Intensivo, di trasmissione</w:t>
            </w:r>
          </w:p>
        </w:tc>
      </w:tr>
      <w:tr>
        <w:tc>
          <w:tcPr/>
          <w:p>
            <w:pPr>
              <w:pStyle w:val="Compact"/>
              <w:spacing w:after="40" w:before="40"/>
              <w:jc w:val="left"/>
            </w:pPr>
            <w:r>
              <w:rPr>
                <w:rFonts w:ascii="Cambria" w:hAnsi="Cambria" w:cs="Cambria" w:eastAsia="Cambria"/>
                <w:color w:val="1A1A1A"/>
                <w:sz w:val="18"/>
              </w:rPr>
              <w:t xml:space="preserve">Coordinamento e infrastruttura formativa</w:t>
            </w:r>
          </w:p>
        </w:tc>
        <w:tc>
          <w:tcPr/>
          <w:p>
            <w:pPr>
              <w:pStyle w:val="Compact"/>
              <w:spacing w:after="40" w:before="40"/>
              <w:jc w:val="left"/>
            </w:pPr>
            <w:r>
              <w:rPr>
                <w:rFonts w:ascii="Cambria" w:hAnsi="Cambria" w:cs="Cambria" w:eastAsia="Cambria"/>
                <w:color w:val="1A1A1A"/>
                <w:sz w:val="18"/>
              </w:rPr>
              <w:t xml:space="preserve">0,5</w:t>
            </w:r>
          </w:p>
        </w:tc>
        <w:tc>
          <w:tcPr/>
          <w:p>
            <w:pPr>
              <w:pStyle w:val="Compact"/>
              <w:spacing w:after="40" w:before="40"/>
              <w:jc w:val="left"/>
            </w:pPr>
            <w:r>
              <w:rPr>
                <w:rFonts w:ascii="Cambria" w:hAnsi="Cambria" w:cs="Cambria" w:eastAsia="Cambria"/>
                <w:color w:val="1A1A1A"/>
                <w:sz w:val="18"/>
              </w:rPr>
              <w:t xml:space="preserve">0,3</w:t>
            </w:r>
          </w:p>
        </w:tc>
        <w:tc>
          <w:tcPr/>
          <w:p>
            <w:pPr>
              <w:pStyle w:val="Compact"/>
              <w:spacing w:after="40" w:before="40"/>
              <w:jc w:val="left"/>
            </w:pPr>
            <w:r>
              <w:rPr>
                <w:rFonts w:ascii="Cambria" w:hAnsi="Cambria" w:cs="Cambria" w:eastAsia="Cambria"/>
                <w:color w:val="1A1A1A"/>
                <w:sz w:val="18"/>
              </w:rPr>
              <w:t xml:space="preserve">0,2</w:t>
            </w:r>
          </w:p>
        </w:tc>
        <w:tc>
          <w:tcPr/>
          <w:p>
            <w:pPr>
              <w:pStyle w:val="Compact"/>
              <w:spacing w:after="40" w:before="40"/>
              <w:jc w:val="left"/>
            </w:pPr>
            <w:r>
              <w:rPr>
                <w:rFonts w:ascii="Cambria" w:hAnsi="Cambria" w:cs="Cambria" w:eastAsia="Cambria"/>
                <w:color w:val="1A1A1A"/>
                <w:sz w:val="18"/>
              </w:rPr>
              <w:t xml:space="preserve">Abilitante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Percorso formativo integrato</w:t>
            </w:r>
          </w:p>
        </w:tc>
        <w:tc>
          <w:tcPr>
            <w:shd w:val="clear" w:color="auto" w:fill="F4F1EC"/>
          </w:tcPr>
          <w:p>
            <w:pPr>
              <w:pStyle w:val="Compact"/>
              <w:spacing w:after="40" w:before="40"/>
              <w:jc w:val="left"/>
            </w:pPr>
            <w:r>
              <w:rPr>
                <w:rFonts w:ascii="Cambria" w:hAnsi="Cambria" w:cs="Cambria" w:eastAsia="Cambria"/>
                <w:b/>
                <w:bCs/>
                <w:color w:val="1A1A1A"/>
                <w:sz w:val="18"/>
              </w:rPr>
              <w:t xml:space="preserve">≈ 5,0</w:t>
            </w:r>
          </w:p>
        </w:tc>
        <w:tc>
          <w:tcPr>
            <w:shd w:val="clear" w:color="auto" w:fill="F4F1EC"/>
          </w:tcPr>
          <w:p>
            <w:pPr>
              <w:pStyle w:val="Compact"/>
              <w:spacing w:after="40" w:before="40"/>
              <w:jc w:val="left"/>
            </w:pPr>
            <w:r>
              <w:rPr>
                <w:rFonts w:ascii="Cambria" w:hAnsi="Cambria" w:cs="Cambria" w:eastAsia="Cambria"/>
                <w:b/>
                <w:bCs/>
                <w:color w:val="1A1A1A"/>
                <w:sz w:val="18"/>
              </w:rPr>
              <w:t xml:space="preserve">≈ 4,0</w:t>
            </w:r>
          </w:p>
        </w:tc>
        <w:tc>
          <w:tcPr>
            <w:shd w:val="clear" w:color="auto" w:fill="F4F1EC"/>
          </w:tcPr>
          <w:p>
            <w:pPr>
              <w:pStyle w:val="Compact"/>
              <w:spacing w:after="40" w:before="40"/>
              <w:jc w:val="left"/>
            </w:pPr>
            <w:r>
              <w:rPr>
                <w:rFonts w:ascii="Cambria" w:hAnsi="Cambria" w:cs="Cambria" w:eastAsia="Cambria"/>
                <w:b/>
                <w:bCs/>
                <w:color w:val="1A1A1A"/>
                <w:sz w:val="18"/>
              </w:rPr>
              <w:t xml:space="preserve">≈ 3,2</w:t>
            </w:r>
          </w:p>
        </w:tc>
        <w:tc>
          <w:tcPr>
            <w:shd w:val="clear" w:color="auto" w:fill="F4F1EC"/>
          </w:tcPr>
          <w:p>
            <w:pPr>
              <w:pStyle w:val="Compact"/>
              <w:spacing w:after="40" w:before="40"/>
              <w:jc w:val="left"/>
            </w:pPr>
            <w:r>
              <w:rPr>
                <w:rFonts w:ascii="Cambria" w:hAnsi="Cambria" w:cs="Cambria" w:eastAsia="Cambria"/>
                <w:b/>
                <w:bCs/>
                <w:color w:val="1A1A1A"/>
                <w:sz w:val="18"/>
              </w:rPr>
              <w:t xml:space="preserve">Sinergico</w:t>
            </w:r>
          </w:p>
        </w:tc>
      </w:tr>
    </w:tbl>
    <w:p>
      <w:pPr>
        <w:pStyle w:val="BodyText"/>
      </w:pPr>
      <w:r>
        <w:rPr>
          <w:b/>
          <w:bCs/>
          <w:i/>
          <w:iCs/>
        </w:rPr>
        <w:t xml:space="preserve">Tabella 7.4.9</w:t>
      </w:r>
      <w:r>
        <w:t xml:space="preserve">* — Consolidamento del costo della formazione a regime, per scenario, in milioni di euro annui. Il percorso integrato ottimizza la combinazione delle quattro modalità. Lo scenario conservativo è il prudenzialmente più oneroso. Nell’anno di avvio il costo della formazione è più elevato, dell’ordine di 6–7 milioni nello scenario centrale, per la formazione intensiva della prima coorte.*</w:t>
      </w:r>
    </w:p>
    <w:p>
      <w:pPr>
        <w:pStyle w:val="BodyText"/>
      </w:pPr>
      <w:r>
        <w:t xml:space="preserve">Il costo della formazione presenta un profilo temporale marcato, che lo distingue dalle altre voci del costo diretto e che la sezione 7.5 ricomporrà nel profilo complessivo. Nell’anno di avvio, il costo della formazione è significativamente più elevato del valore a regime, dell’ordine di sei-sette milioni di euro nello scenario centrale, perché la prima coorte di professionisti richiede una formazione intensiva e simultanea attraverso tutte le modalità, che concentra nell’avvio un onere formativo che a regime si distribuisce sui soli nuovi entranti e sull’aggiornamento continuo. Negli anni successivi, con il progressivo completamento della formazione della prima coorte e l’estensione della copertura del servizio secondo la curva di adozione, il costo della formazione decresce verso il valore a regime di quattro milioni di euro, che riflette l’onere ricorrente dell’aggiornamento continuo e della formazione dei nuovi entranti. Questo profilo, con un avvio elevato e una decrescita verso il regime, è coerente con la natura della formazione, che richiede un investimento iniziale intensivo per costituire la competenza dell’insieme dei clinici e un investimento ricorrente più contenuto per mantenerla.</w:t>
      </w:r>
    </w:p>
    <w:p>
      <w:pPr>
        <w:pStyle w:val="BodyText"/>
      </w:pPr>
      <w:r>
        <w:t xml:space="preserve">Su questa base è possibile formulare la previsione falsificabile complessiva del costo della formazione, che le Parti undicesima e quindicesima sottoporranno a verifica. A regime, il costo del percorso formativo integrato non dovrebbe eccedere i cinque milioni di euro annui nello scenario prudenzialmente più oneroso, né collocarsi al di sotto dei tre milioni e duecentomila euro nello scenario efficiente, e dovrebbe attestarsi attorno al valore centrale di quattro milioni di euro; nell’anno di avvio, il costo della formazione dovrebbe collocarsi dell’ordine di sei-sette milioni di euro, per poi decrescere verso il valore a regime entro il quinto anno. La previsione è enunciata in forma di banda, con indicazione degli estremi di confutazione e del profilo temporale, e sarà verificata sui dati effettivi del costo della formazione, distintamente per il valore a regime e per il profilo di avvio, in coerenza con il vincolo di falsificabilità che governa l’opera.</w:t>
      </w:r>
    </w:p>
    <w:p>
      <w:pPr>
        <w:pStyle w:val="BodyText"/>
      </w:pPr>
      <w:r>
        <w:t xml:space="preserve">Il consolidamento del costo della formazione completa la ricostruzione del terzo strato del programma e, con essa, la ricostruzione delle componenti del costo diretto che le sezioni dalla 7.1 alla 7.4 hanno affrontato: il costo del personale, i costi di struttura, coordinamento e organizzazione, il costo incrementale della leva digitale e dell’Intelligenza Artificiale e il costo della formazione. La sezione 7.5 ricomporrà ora queste componenti nel costo diretto complessivo del programma, distinto per scenario e nel suo profilo temporale, e ne presenterà il valore al lordo e al netto dell’effetto di autofinanziamento della leva, fornendo al decisore la sintesi quantitativa della rinegoziazione integrale dei costi diretti che la presente Parte ha condotto.</w:t>
      </w:r>
    </w:p>
    <w:bookmarkEnd w:id="408"/>
    <w:bookmarkEnd w:id="409"/>
    <w:bookmarkStart w:id="419" w:name="Xe16925004a1175837f4710f1298c6d6179a913b"/>
    <w:p>
      <w:pPr>
        <w:pStyle w:val="Heading2"/>
      </w:pPr>
      <w:r>
        <w:t xml:space="preserve">7.5 Il costo diretto complessivo per scenario di dimensionamento</w:t>
      </w:r>
    </w:p>
    <w:p>
      <w:pPr>
        <w:pStyle w:val="FirstParagraph"/>
      </w:pPr>
      <w:r>
        <w:t xml:space="preserve">La presente sezione conclude la Parte settima ricomponendo nel costo diretto complessivo del programma le quattro componenti che le sezioni precedenti hanno ricostruito separatamente: il costo del personale lungo la cascata delle figure, i costi di struttura, coordinamento e organizzazione, il costo incrementale della leva digitale e dell’Intelligenza Artificiale e il costo della formazione nelle sue quattro modalità. La ricomposizione non è una semplice addizione, ma una sintesi governata dai principi che hanno guidato l’intera Parte, e segnatamente dal principio di non duplicazione, che impone di sommare le componenti senza imputare due volte la medesima risorsa, e dalla distinzione tra le grandezze dirette, che la presente Parte ricostruisce, e le grandezze indirette, che la Parte nona affronterà. Il costo diretto complessivo che ne risulta è la sintesi quantitativa della rinegoziazione integrale dei costi diretti, ed è il valore che la Parte decima comporrà con i risparmi diretti e con i benefici indiretti nel saldo economico consolidato della riforma.</w:t>
      </w:r>
    </w:p>
    <w:p>
      <w:pPr>
        <w:pStyle w:val="BodyText"/>
      </w:pPr>
      <w:r>
        <w:t xml:space="preserve">La sintesi è condotta secondo tre dimensioni, che le sottosezioni sviluppano. La prima è la dimensione degli scenari, lungo la quale il costo diretto complessivo è ricostruito nei tre scenari di dimensionamento — conservativo, centrale ed espansivo — di cui lo scenario centrale costituisce il riferimento prudenziale per la decisione e lo scenario conservativo l’ipotesi prudenzialmente più onerosa. La seconda è la dimensione temporale, lungo la quale il costo diretto complessivo è proiettato secondo la curva di adozione del servizio, dall’avvio al regime, distinguendo il costo ricorrente dal sovraccosto una tantum di prima implementazione. La terza è la dimensione della cascata, lungo la quale il costo diretto complessivo è distribuito tra i livelli delle figure, rivelando la concentrazione del costo di cassa nell’apice e la sua decrescita verso la base, che costituisce il rovescio della cascata dei benefici. A queste tre dimensioni la sintesi aggiunge la distinzione tra il costo lordo e il costo al netto dell’effetto di autofinanziamento della leva, che la sezione 7.3 ha quantificato e che la presente sezione ricompone nel quadro complessivo.</w:t>
      </w:r>
    </w:p>
    <w:p>
      <w:pPr>
        <w:pStyle w:val="BodyText"/>
      </w:pPr>
      <w:r>
        <w:t xml:space="preserve">La sezione mantiene, per tutta la trattazione, la rigorosa separazione che l’opera impone tra le grandezze fiscali dirette e le grandezze sociali e indirette, e tra i costi e i risparmi. Il costo diretto complessivo che la presente sezione ricostruisce è la spesa che il Servizio Sanitario Regionale sostiene per l’introduzione e l’esercizio del servizio, ed è una grandezza di costo, distinta dai risparmi diretti che la Parte ottava quantificherà e dai benefici indiretti che la Parte nona affronterà. La sezione non aggrega il costo diretto con i risparmi né con i benefici, ma lo presenta come grandezza autonoma, perché è dalla sua corretta determinazione, mantenuta distinta dalle altre, che dipende l’attendibilità del saldo che la Parte decima comporrà; e la sua presentazione come grandezza di costo, non compensata anticipatamente dai risparmi e dai benefici, è precisamente ciò che la separazione tra le categorie richiede.</w:t>
      </w:r>
    </w:p>
    <w:bookmarkStart w:id="410" w:name="Xab34fe7a6691a7ca222df459d755a195b40f756"/>
    <w:p>
      <w:pPr>
        <w:pStyle w:val="Heading3"/>
      </w:pPr>
      <w:r>
        <w:t xml:space="preserve">7.5.1 Il metodo di ricomposizione e i confini della somma</w:t>
      </w:r>
    </w:p>
    <w:p>
      <w:pPr>
        <w:pStyle w:val="FirstParagraph"/>
      </w:pPr>
      <w:r>
        <w:t xml:space="preserve">La ricomposizione del costo diretto complessivo segue un metodo che riflette l’architettura del programma in strati successivi. Il primo strato è il modello base, composto dal costo del personale della sezione 7.1 e dai costi di struttura, coordinamento e organizzazione della sezione 7.2, e rappresenta il costo del servizio nella sua configurazione essenziale, indipendente dalla leva tecnologica e dalla formazione. Il secondo strato è la leva digitale e l’Intelligenza Artificiale della sezione 7.3, che si aggiunge al modello base nella sua componente lorda e che esercita, sul versante dei costi, l’effetto di autofinanziamento che la presente sezione ricompone. Il terzo strato è la formazione della sezione 7.4, che si aggiunge ai precedenti come pilastro trasversale. La somma dei tre strati costituisce il costo diretto complessivo del programma integrato, e la sua ricomposizione procede strato per strato, rendendo evidente il contributo di ciascuno e la sua collocazione nel quadro complessivo.</w:t>
      </w:r>
    </w:p>
    <w:p>
      <w:pPr>
        <w:pStyle w:val="BodyText"/>
      </w:pPr>
      <w:r>
        <w:t xml:space="preserve">I confini della somma sono definiti dal principio di non duplicazione, che le sezioni precedenti hanno applicato a ciascuna componente e che la ricomposizione rispetta. Il costo del personale della sezione 7.1 comprende il costo del tempo clinico ordinario, distinto dal costo-opportunità delle figure già retribuite, che è registrato separatamente nella prospettiva sociale e non sommato al costo di cassa. I costi di struttura, coordinamento e organizzazione della sezione 7.2 comprendono i costi non di personale del modello base, distinti dal costo del personale della sezione 7.1 e dal costo della leva della sezione 7.3. Il costo della leva della sezione 7.3 comprende il solo incremento tecnologico, distinto dai sistemi informativi di base della sezione 7.2 e dalla formazione pro-Intelligenza Artificiale della sezione 7.4. Il costo della formazione della sezione 7.4 comprende il costo incrementale della funzione formativa, distinto dal costo del tempo clinico della sezione 7.1 e dalla formazione tecnica dei custodi degli strumenti della sezione 7.3. La ricomposizione somma perciò quattro grandezze tra loro disgiunte, e la somma non comporta alcuna duplicazione.</w:t>
      </w:r>
    </w:p>
    <w:p>
      <w:pPr>
        <w:pStyle w:val="BodyText"/>
      </w:pPr>
      <w:r>
        <w:t xml:space="preserve">Un secondo confine della somma separa il costo diretto complessivo dalle grandezze che le altre Parti affrontano. Il costo diretto complessivo non comprende i risparmi diretti, che la Parte ottava quantificherà sul versante dei benefici e che ridurranno la spesa sanitaria regionale; esso è una grandezza di costo lordo, non compensata dai risparmi, e la sua presentazione distinta dai risparmi è ciò che consente alla Parte decima di comporre il saldo. Il costo diretto complessivo non comprende neppure i costi e i benefici indiretti, che la Parte nona affronterà lungo il perimetro multidisciplinare integrale e che riguardano i domini lavorativo, pensionistico, produttivistico e gli altri; esso è una grandezza diretta, fiscale e di cassa, distinta dalle grandezze indirette e sociali. La presente sezione ricostruisce perciò unicamente il costo diretto complessivo, mantenuto distinto tanto dai risparmi quanto dalle grandezze indirette, in coerenza con la separazione tra le categorie che l’opera impone.</w:t>
      </w:r>
    </w:p>
    <w:bookmarkEnd w:id="410"/>
    <w:bookmarkStart w:id="411" w:name="il-costo-diretto-del-modello-base"/>
    <w:p>
      <w:pPr>
        <w:pStyle w:val="Heading3"/>
      </w:pPr>
      <w:r>
        <w:t xml:space="preserve">7.5.2 Il costo diretto del modello base</w:t>
      </w:r>
    </w:p>
    <w:p>
      <w:pPr>
        <w:pStyle w:val="FirstParagraph"/>
      </w:pPr>
      <w:r>
        <w:t xml:space="preserve">Il costo diretto del modello base, primo strato del programma, risulta dalla somma del costo del personale della sezione 7.1 e dei costi di struttura, coordinamento e organizzazione della sezione 7.2. Il costo del personale di cassa, che la sezione 7.1 ha ricostruito, si colloca nello scenario centrale dell’ordine di trentacinque milioni e ottocentomila euro annui a regime; i costi di struttura, coordinamento e organizzazione, che la sezione 7.2 ha ricostruito, si collocano nello scenario centrale dell’ordine di quattro milioni e duecentomila euro annui a regime. La loro somma colloca il costo diretto del modello base, nello scenario centrale e a regime, dell’ordine di quaranta milioni di euro annui, che costituisce il valore di riferimento per la decisione.</w:t>
      </w:r>
    </w:p>
    <w:p>
      <w:pPr>
        <w:pStyle w:val="BodyText"/>
      </w:pPr>
      <w:r>
        <w:t xml:space="preserve">Attorno a questo valore centrale è necessario distinguere due nozioni di banda, la cui confusione condurrebbe a un equivoco. La prima è la banda prudenziale dello scenario centrale, che riflette l’incertezza dei parametri entro le ipotesi dello scenario di riferimento e che colloca il costo diretto del modello base, nello scenario centrale, in un intervallo compreso tra trentotto e quarantuno milioni di euro annui a regime. La seconda è l’ampiezza tra gli scenari, che riflette le diverse configurazioni contrattuali e di dimensionamento dei tre scenari e che è più ampia della banda prudenziale del solo scenario centrale: sommando i costi del personale e di struttura nei tre scenari, il costo diretto del modello base si colloca dell’ordine di quarantotto milioni nello scenario conservativo, di quaranta milioni nello scenario centrale e di trentadue milioni nello scenario espansivo. La banda prudenziale di trentotto-quarantuno milioni è perciò quella dello scenario centrale, che è il riferimento per la decisione, mentre l’ampiezza di trentadue-quarantotto milioni è quella tra gli scenari, che esplora le configurazioni alternative; e la trattazione adotta la prima come banda di riferimento, segnalando la seconda come misura dell’incertezza configurazionale.</w:t>
      </w:r>
    </w:p>
    <w:p>
      <w:pPr>
        <w:pStyle w:val="BodyText"/>
      </w:pPr>
      <w:r>
        <w:t xml:space="preserve">Il costo diretto del modello base conferma la preponderanza del costo del personale, che ne rappresenta dell’ordine dell’ottantanove per cento nello scenario centrale, e la natura essenziale dei costi non di personale, che ne rappresentano il restante undici per cento. Questa composizione, che le sezioni 7.1 e 7.2 hanno ricostruito analiticamente, è coerente con la natura del servizio, il cui nucleo è il tempo qualificato dello Psicologo di Base e delle figure della cascata, e i cui costi di struttura, coordinamento e organizzazione sono, in misura variabile, assorbiti dalla dotazione territoriale esistente. Il costo diretto del modello base costituisce il fondamento su cui si innestano i due strati successivi, la leva digitale e l’Intelligenza Artificiale e la formazione, che la ricomposizione aggiunge nelle sottosezioni seguenti.</w:t>
      </w:r>
    </w:p>
    <w:bookmarkEnd w:id="411"/>
    <w:bookmarkStart w:id="412" w:name="Xeb36c5dc674cb60df5e9758dc5d4cfe5300715e"/>
    <w:p>
      <w:pPr>
        <w:pStyle w:val="Heading3"/>
      </w:pPr>
      <w:r>
        <w:t xml:space="preserve">7.5.3 Il costo diretto complessivo del programma integrato</w:t>
      </w:r>
    </w:p>
    <w:p>
      <w:pPr>
        <w:pStyle w:val="FirstParagraph"/>
      </w:pPr>
      <w:r>
        <w:t xml:space="preserve">Il costo diretto complessivo del programma integrato risulta dall’aggiunta, al costo diretto del modello base, del costo incrementale lordo della leva digitale e dell’Intelligenza Artificiale della sezione 7.3 e del costo del percorso formativo integrato della sezione 7.4. Il costo incrementale lordo della leva si colloca nello scenario centrale dell’ordine di un milione e duecentomila euro annui a regime; il costo del percorso formativo integrato si colloca nello scenario centrale dell’ordine di quattro milioni di euro annui a regime. La loro aggiunta al costo diretto del modello base di quaranta milioni colloca il costo diretto complessivo del programma integrato, nello scenario centrale e a regime, dell’ordine di quarantacinque milioni e duecentomila euro annui.</w:t>
      </w:r>
    </w:p>
    <w:p>
      <w:pPr>
        <w:pStyle w:val="BodyText"/>
      </w:pPr>
      <w:r>
        <w:t xml:space="preserve">Nei tre scenari, il costo diretto complessivo del programma integrato a regime si colloca in un intervallo compreso tra trentasei milioni e mezzo nello scenario espansivo e cinquantaquattro milioni e quattrocentomila euro nello scenario conservativo, con il valore centrale di quarantacinque milioni e duecentomila euro che costituisce il riferimento per la decisione. La banda prudenziale dello scenario centrale, che riflette l’incertezza dei parametri entro le ipotesi di riferimento, colloca il costo diretto complessivo dell’ordine di quarantaquattro-quarantasette milioni di euro annui a regime. La tabella che segue ricompone le quattro componenti del costo diretto complessivo nei tre scenari, rendendo evidente il contributo di ciascuno strato e la formazione del costo diretto del modello base e del costo diretto complessivo.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costo diretto (a regime)</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Centrale</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r>
      <w:tr>
        <w:tc>
          <w:tcPr/>
          <w:p>
            <w:pPr>
              <w:pStyle w:val="Compact"/>
              <w:spacing w:after="40" w:before="40"/>
              <w:jc w:val="left"/>
            </w:pPr>
            <w:r>
              <w:rPr>
                <w:rFonts w:ascii="Cambria" w:hAnsi="Cambria" w:cs="Cambria" w:eastAsia="Cambria"/>
                <w:color w:val="1A1A1A"/>
                <w:sz w:val="18"/>
              </w:rPr>
              <w:t xml:space="preserve">Personale lungo la cascata (7.1, cassa)</w:t>
            </w:r>
          </w:p>
        </w:tc>
        <w:tc>
          <w:tcPr/>
          <w:p>
            <w:pPr>
              <w:pStyle w:val="Compact"/>
              <w:spacing w:after="40" w:before="40"/>
              <w:jc w:val="left"/>
            </w:pPr>
            <w:r>
              <w:rPr>
                <w:rFonts w:ascii="Cambria" w:hAnsi="Cambria" w:cs="Cambria" w:eastAsia="Cambria"/>
                <w:color w:val="1A1A1A"/>
                <w:sz w:val="18"/>
              </w:rPr>
              <w:t xml:space="preserve">42,2</w:t>
            </w:r>
          </w:p>
        </w:tc>
        <w:tc>
          <w:tcPr/>
          <w:p>
            <w:pPr>
              <w:pStyle w:val="Compact"/>
              <w:spacing w:after="40" w:before="40"/>
              <w:jc w:val="left"/>
            </w:pPr>
            <w:r>
              <w:rPr>
                <w:rFonts w:ascii="Cambria" w:hAnsi="Cambria" w:cs="Cambria" w:eastAsia="Cambria"/>
                <w:color w:val="1A1A1A"/>
                <w:sz w:val="18"/>
              </w:rPr>
              <w:t xml:space="preserve">35,8</w:t>
            </w:r>
          </w:p>
        </w:tc>
        <w:tc>
          <w:tcPr/>
          <w:p>
            <w:pPr>
              <w:pStyle w:val="Compact"/>
              <w:spacing w:after="40" w:before="40"/>
              <w:jc w:val="left"/>
            </w:pPr>
            <w:r>
              <w:rPr>
                <w:rFonts w:ascii="Cambria" w:hAnsi="Cambria" w:cs="Cambria" w:eastAsia="Cambria"/>
                <w:color w:val="1A1A1A"/>
                <w:sz w:val="18"/>
              </w:rPr>
              <w:t xml:space="preserve">29,1</w:t>
            </w:r>
          </w:p>
        </w:tc>
      </w:tr>
      <w:tr>
        <w:tc>
          <w:tcPr>
            <w:shd w:val="clear" w:color="auto" w:fill="F4F1EC"/>
          </w:tcPr>
          <w:p>
            <w:pPr>
              <w:pStyle w:val="Compact"/>
              <w:spacing w:after="40" w:before="40"/>
              <w:jc w:val="left"/>
            </w:pPr>
            <w:r>
              <w:rPr>
                <w:rFonts w:ascii="Cambria" w:hAnsi="Cambria" w:cs="Cambria" w:eastAsia="Cambria"/>
                <w:color w:val="1A1A1A"/>
                <w:sz w:val="18"/>
              </w:rPr>
              <w:t xml:space="preserve">Struttura, coordinamento, organizzazione (7.2)</w:t>
            </w:r>
          </w:p>
        </w:tc>
        <w:tc>
          <w:tcPr>
            <w:shd w:val="clear" w:color="auto" w:fill="F4F1EC"/>
          </w:tcPr>
          <w:p>
            <w:pPr>
              <w:pStyle w:val="Compact"/>
              <w:spacing w:after="40" w:before="40"/>
              <w:jc w:val="left"/>
            </w:pPr>
            <w:r>
              <w:rPr>
                <w:rFonts w:ascii="Cambria" w:hAnsi="Cambria" w:cs="Cambria" w:eastAsia="Cambria"/>
                <w:color w:val="1A1A1A"/>
                <w:sz w:val="18"/>
              </w:rPr>
              <w:t xml:space="preserve">5,9</w:t>
            </w:r>
          </w:p>
        </w:tc>
        <w:tc>
          <w:tcPr>
            <w:shd w:val="clear" w:color="auto" w:fill="F4F1EC"/>
          </w:tcPr>
          <w:p>
            <w:pPr>
              <w:pStyle w:val="Compact"/>
              <w:spacing w:after="40" w:before="40"/>
              <w:jc w:val="left"/>
            </w:pPr>
            <w:r>
              <w:rPr>
                <w:rFonts w:ascii="Cambria" w:hAnsi="Cambria" w:cs="Cambria" w:eastAsia="Cambria"/>
                <w:color w:val="1A1A1A"/>
                <w:sz w:val="18"/>
              </w:rPr>
              <w:t xml:space="preserve">4,2</w:t>
            </w:r>
          </w:p>
        </w:tc>
        <w:tc>
          <w:tcPr>
            <w:shd w:val="clear" w:color="auto" w:fill="F4F1EC"/>
          </w:tcPr>
          <w:p>
            <w:pPr>
              <w:pStyle w:val="Compact"/>
              <w:spacing w:after="40" w:before="40"/>
              <w:jc w:val="left"/>
            </w:pPr>
            <w:r>
              <w:rPr>
                <w:rFonts w:ascii="Cambria" w:hAnsi="Cambria" w:cs="Cambria" w:eastAsia="Cambria"/>
                <w:color w:val="1A1A1A"/>
                <w:sz w:val="18"/>
              </w:rPr>
              <w:t xml:space="preserve">3,1</w:t>
            </w:r>
          </w:p>
        </w:tc>
      </w:tr>
      <w:tr>
        <w:tc>
          <w:tcPr/>
          <w:p>
            <w:pPr>
              <w:pStyle w:val="Compact"/>
              <w:spacing w:after="40" w:before="40"/>
              <w:jc w:val="left"/>
            </w:pPr>
            <w:r>
              <w:rPr>
                <w:rFonts w:ascii="Cambria" w:hAnsi="Cambria" w:cs="Cambria" w:eastAsia="Cambria"/>
                <w:b/>
                <w:bCs/>
                <w:color w:val="1A1A1A"/>
                <w:sz w:val="18"/>
              </w:rPr>
              <w:t xml:space="preserve">Costo diretto del modello base</w:t>
            </w:r>
          </w:p>
        </w:tc>
        <w:tc>
          <w:tcPr/>
          <w:p>
            <w:pPr>
              <w:pStyle w:val="Compact"/>
              <w:spacing w:after="40" w:before="40"/>
              <w:jc w:val="left"/>
            </w:pPr>
            <w:r>
              <w:rPr>
                <w:rFonts w:ascii="Cambria" w:hAnsi="Cambria" w:cs="Cambria" w:eastAsia="Cambria"/>
                <w:b/>
                <w:bCs/>
                <w:color w:val="1A1A1A"/>
                <w:sz w:val="18"/>
              </w:rPr>
              <w:t xml:space="preserve">≈ 48,1</w:t>
            </w:r>
          </w:p>
        </w:tc>
        <w:tc>
          <w:tcPr/>
          <w:p>
            <w:pPr>
              <w:pStyle w:val="Compact"/>
              <w:spacing w:after="40" w:before="40"/>
              <w:jc w:val="left"/>
            </w:pPr>
            <w:r>
              <w:rPr>
                <w:rFonts w:ascii="Cambria" w:hAnsi="Cambria" w:cs="Cambria" w:eastAsia="Cambria"/>
                <w:b/>
                <w:bCs/>
                <w:color w:val="1A1A1A"/>
                <w:sz w:val="18"/>
              </w:rPr>
              <w:t xml:space="preserve">≈ 40,0</w:t>
            </w:r>
          </w:p>
        </w:tc>
        <w:tc>
          <w:tcPr/>
          <w:p>
            <w:pPr>
              <w:pStyle w:val="Compact"/>
              <w:spacing w:after="40" w:before="40"/>
              <w:jc w:val="left"/>
            </w:pPr>
            <w:r>
              <w:rPr>
                <w:rFonts w:ascii="Cambria" w:hAnsi="Cambria" w:cs="Cambria" w:eastAsia="Cambria"/>
                <w:b/>
                <w:bCs/>
                <w:color w:val="1A1A1A"/>
                <w:sz w:val="18"/>
              </w:rPr>
              <w:t xml:space="preserve">≈ 32,2</w:t>
            </w:r>
          </w:p>
        </w:tc>
      </w:tr>
      <w:tr>
        <w:tc>
          <w:tcPr>
            <w:shd w:val="clear" w:color="auto" w:fill="F4F1EC"/>
          </w:tcPr>
          <w:p>
            <w:pPr>
              <w:pStyle w:val="Compact"/>
              <w:spacing w:after="40" w:before="40"/>
              <w:jc w:val="left"/>
            </w:pPr>
            <w:r>
              <w:rPr>
                <w:rFonts w:ascii="Cambria" w:hAnsi="Cambria" w:cs="Cambria" w:eastAsia="Cambria"/>
                <w:color w:val="1A1A1A"/>
                <w:sz w:val="18"/>
              </w:rPr>
              <w:t xml:space="preserve">Leva digitale e Intelligenza Artificiale, lordo (7.3)</w:t>
            </w:r>
          </w:p>
        </w:tc>
        <w:tc>
          <w:tcPr>
            <w:shd w:val="clear" w:color="auto" w:fill="F4F1EC"/>
          </w:tcPr>
          <w:p>
            <w:pPr>
              <w:pStyle w:val="Compact"/>
              <w:spacing w:after="40" w:before="40"/>
              <w:jc w:val="left"/>
            </w:pPr>
            <w:r>
              <w:rPr>
                <w:rFonts w:ascii="Cambria" w:hAnsi="Cambria" w:cs="Cambria" w:eastAsia="Cambria"/>
                <w:color w:val="1A1A1A"/>
                <w:sz w:val="18"/>
              </w:rPr>
              <w:t xml:space="preserve">1,3</w:t>
            </w:r>
          </w:p>
        </w:tc>
        <w:tc>
          <w:tcPr>
            <w:shd w:val="clear" w:color="auto" w:fill="F4F1EC"/>
          </w:tcPr>
          <w:p>
            <w:pPr>
              <w:pStyle w:val="Compact"/>
              <w:spacing w:after="40" w:before="40"/>
              <w:jc w:val="left"/>
            </w:pPr>
            <w:r>
              <w:rPr>
                <w:rFonts w:ascii="Cambria" w:hAnsi="Cambria" w:cs="Cambria" w:eastAsia="Cambria"/>
                <w:color w:val="1A1A1A"/>
                <w:sz w:val="18"/>
              </w:rPr>
              <w:t xml:space="preserve">1,2</w:t>
            </w:r>
          </w:p>
        </w:tc>
        <w:tc>
          <w:tcPr>
            <w:shd w:val="clear" w:color="auto" w:fill="F4F1EC"/>
          </w:tcPr>
          <w:p>
            <w:pPr>
              <w:pStyle w:val="Compact"/>
              <w:spacing w:after="40" w:before="40"/>
              <w:jc w:val="left"/>
            </w:pPr>
            <w:r>
              <w:rPr>
                <w:rFonts w:ascii="Cambria" w:hAnsi="Cambria" w:cs="Cambria" w:eastAsia="Cambria"/>
                <w:color w:val="1A1A1A"/>
                <w:sz w:val="18"/>
              </w:rPr>
              <w:t xml:space="preserve">1,1</w:t>
            </w:r>
          </w:p>
        </w:tc>
      </w:tr>
      <w:tr>
        <w:tc>
          <w:tcPr/>
          <w:p>
            <w:pPr>
              <w:pStyle w:val="Compact"/>
              <w:spacing w:after="40" w:before="40"/>
              <w:jc w:val="left"/>
            </w:pPr>
            <w:r>
              <w:rPr>
                <w:rFonts w:ascii="Cambria" w:hAnsi="Cambria" w:cs="Cambria" w:eastAsia="Cambria"/>
                <w:color w:val="1A1A1A"/>
                <w:sz w:val="18"/>
              </w:rPr>
              <w:t xml:space="preserve">Formazione, percorso integrato (7.4)</w:t>
            </w:r>
          </w:p>
        </w:tc>
        <w:tc>
          <w:tcPr/>
          <w:p>
            <w:pPr>
              <w:pStyle w:val="Compact"/>
              <w:spacing w:after="40" w:before="40"/>
              <w:jc w:val="left"/>
            </w:pPr>
            <w:r>
              <w:rPr>
                <w:rFonts w:ascii="Cambria" w:hAnsi="Cambria" w:cs="Cambria" w:eastAsia="Cambria"/>
                <w:color w:val="1A1A1A"/>
                <w:sz w:val="18"/>
              </w:rPr>
              <w:t xml:space="preserve">5,0</w:t>
            </w:r>
          </w:p>
        </w:tc>
        <w:tc>
          <w:tcPr/>
          <w:p>
            <w:pPr>
              <w:pStyle w:val="Compact"/>
              <w:spacing w:after="40" w:before="40"/>
              <w:jc w:val="left"/>
            </w:pPr>
            <w:r>
              <w:rPr>
                <w:rFonts w:ascii="Cambria" w:hAnsi="Cambria" w:cs="Cambria" w:eastAsia="Cambria"/>
                <w:color w:val="1A1A1A"/>
                <w:sz w:val="18"/>
              </w:rPr>
              <w:t xml:space="preserve">4,0</w:t>
            </w:r>
          </w:p>
        </w:tc>
        <w:tc>
          <w:tcPr/>
          <w:p>
            <w:pPr>
              <w:pStyle w:val="Compact"/>
              <w:spacing w:after="40" w:before="40"/>
              <w:jc w:val="left"/>
            </w:pPr>
            <w:r>
              <w:rPr>
                <w:rFonts w:ascii="Cambria" w:hAnsi="Cambria" w:cs="Cambria" w:eastAsia="Cambria"/>
                <w:color w:val="1A1A1A"/>
                <w:sz w:val="18"/>
              </w:rPr>
              <w:t xml:space="preserve">3,2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diretto complessivo, lordo</w:t>
            </w:r>
          </w:p>
        </w:tc>
        <w:tc>
          <w:tcPr>
            <w:shd w:val="clear" w:color="auto" w:fill="F4F1EC"/>
          </w:tcPr>
          <w:p>
            <w:pPr>
              <w:pStyle w:val="Compact"/>
              <w:spacing w:after="40" w:before="40"/>
              <w:jc w:val="left"/>
            </w:pPr>
            <w:r>
              <w:rPr>
                <w:rFonts w:ascii="Cambria" w:hAnsi="Cambria" w:cs="Cambria" w:eastAsia="Cambria"/>
                <w:b/>
                <w:bCs/>
                <w:color w:val="1A1A1A"/>
                <w:sz w:val="18"/>
              </w:rPr>
              <w:t xml:space="preserve">≈ 54,4</w:t>
            </w:r>
          </w:p>
        </w:tc>
        <w:tc>
          <w:tcPr>
            <w:shd w:val="clear" w:color="auto" w:fill="F4F1EC"/>
          </w:tcPr>
          <w:p>
            <w:pPr>
              <w:pStyle w:val="Compact"/>
              <w:spacing w:after="40" w:before="40"/>
              <w:jc w:val="left"/>
            </w:pPr>
            <w:r>
              <w:rPr>
                <w:rFonts w:ascii="Cambria" w:hAnsi="Cambria" w:cs="Cambria" w:eastAsia="Cambria"/>
                <w:b/>
                <w:bCs/>
                <w:color w:val="1A1A1A"/>
                <w:sz w:val="18"/>
              </w:rPr>
              <w:t xml:space="preserve">≈ 45,2</w:t>
            </w:r>
          </w:p>
        </w:tc>
        <w:tc>
          <w:tcPr>
            <w:shd w:val="clear" w:color="auto" w:fill="F4F1EC"/>
          </w:tcPr>
          <w:p>
            <w:pPr>
              <w:pStyle w:val="Compact"/>
              <w:spacing w:after="40" w:before="40"/>
              <w:jc w:val="left"/>
            </w:pPr>
            <w:r>
              <w:rPr>
                <w:rFonts w:ascii="Cambria" w:hAnsi="Cambria" w:cs="Cambria" w:eastAsia="Cambria"/>
                <w:b/>
                <w:bCs/>
                <w:color w:val="1A1A1A"/>
                <w:sz w:val="18"/>
              </w:rPr>
              <w:t xml:space="preserve">≈ 36,5</w:t>
            </w:r>
          </w:p>
        </w:tc>
      </w:tr>
      <w:tr>
        <w:tc>
          <w:tcPr/>
          <w:p>
            <w:pPr>
              <w:pStyle w:val="Compact"/>
              <w:spacing w:after="40" w:before="40"/>
              <w:jc w:val="left"/>
            </w:pPr>
            <w:r>
              <w:rPr>
                <w:rFonts w:ascii="Cambria" w:hAnsi="Cambria" w:cs="Cambria" w:eastAsia="Cambria"/>
                <w:color w:val="1A1A1A"/>
                <w:sz w:val="18"/>
              </w:rPr>
              <w:t xml:space="preserve">Effetto di autofinanziamento della leva (7.3.6)</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−1,3</w:t>
            </w:r>
          </w:p>
        </w:tc>
        <w:tc>
          <w:tcPr/>
          <w:p>
            <w:pPr>
              <w:pStyle w:val="Compact"/>
              <w:spacing w:after="40" w:before="40"/>
              <w:jc w:val="left"/>
            </w:pPr>
            <w:r>
              <w:rPr>
                <w:rFonts w:ascii="Cambria" w:hAnsi="Cambria" w:cs="Cambria" w:eastAsia="Cambria"/>
                <w:color w:val="1A1A1A"/>
                <w:sz w:val="18"/>
              </w:rPr>
              <w:t xml:space="preserve">−1,5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diretto complessivo, netto</w:t>
            </w:r>
          </w:p>
        </w:tc>
        <w:tc>
          <w:tcPr>
            <w:shd w:val="clear" w:color="auto" w:fill="F4F1EC"/>
          </w:tcPr>
          <w:p>
            <w:pPr>
              <w:pStyle w:val="Compact"/>
              <w:spacing w:after="40" w:before="40"/>
              <w:jc w:val="left"/>
            </w:pPr>
            <w:r>
              <w:rPr>
                <w:rFonts w:ascii="Cambria" w:hAnsi="Cambria" w:cs="Cambria" w:eastAsia="Cambria"/>
                <w:b/>
                <w:bCs/>
                <w:color w:val="1A1A1A"/>
                <w:sz w:val="18"/>
              </w:rPr>
              <w:t xml:space="preserve">≈ 53,4</w:t>
            </w:r>
          </w:p>
        </w:tc>
        <w:tc>
          <w:tcPr>
            <w:shd w:val="clear" w:color="auto" w:fill="F4F1EC"/>
          </w:tcPr>
          <w:p>
            <w:pPr>
              <w:pStyle w:val="Compact"/>
              <w:spacing w:after="40" w:before="40"/>
              <w:jc w:val="left"/>
            </w:pPr>
            <w:r>
              <w:rPr>
                <w:rFonts w:ascii="Cambria" w:hAnsi="Cambria" w:cs="Cambria" w:eastAsia="Cambria"/>
                <w:b/>
                <w:bCs/>
                <w:color w:val="1A1A1A"/>
                <w:sz w:val="18"/>
              </w:rPr>
              <w:t xml:space="preserve">≈ 43,9</w:t>
            </w:r>
          </w:p>
        </w:tc>
        <w:tc>
          <w:tcPr>
            <w:shd w:val="clear" w:color="auto" w:fill="F4F1EC"/>
          </w:tcPr>
          <w:p>
            <w:pPr>
              <w:pStyle w:val="Compact"/>
              <w:spacing w:after="40" w:before="40"/>
              <w:jc w:val="left"/>
            </w:pPr>
            <w:r>
              <w:rPr>
                <w:rFonts w:ascii="Cambria" w:hAnsi="Cambria" w:cs="Cambria" w:eastAsia="Cambria"/>
                <w:b/>
                <w:bCs/>
                <w:color w:val="1A1A1A"/>
                <w:sz w:val="18"/>
              </w:rPr>
              <w:t xml:space="preserve">≈ 35,0</w:t>
            </w:r>
          </w:p>
        </w:tc>
      </w:tr>
    </w:tbl>
    <w:p>
      <w:pPr>
        <w:pStyle w:val="BodyText"/>
      </w:pPr>
      <w:r>
        <w:rPr>
          <w:b/>
          <w:bCs/>
          <w:i/>
          <w:iCs/>
        </w:rPr>
        <w:t xml:space="preserve">Tabella 7.5.3</w:t>
      </w:r>
      <w:r>
        <w:t xml:space="preserve">* — Ricomposizione del costo diretto complessivo del programma integrato a regime, per scenario, in milioni di euro annui. Le grandezze dirette sono mantenute distinte dai risparmi diretti (Parte VIII) e dai costi e benefici indiretti (Parte IX). Lo scenario conservativo è il prudenzialmente più oneroso. Si aggiunge un sovraccosto una tantum di avvio, distinto dal costo a regime.*</w:t>
      </w:r>
    </w:p>
    <w:p>
      <w:pPr>
        <w:pStyle w:val="BodyText"/>
      </w:pPr>
      <w:r>
        <w:t xml:space="preserve">Il costo diretto complessivo del programma integrato rivela la composizione del programma nei suoi strati. Il modello base ne rappresenta, nello scenario centrale, dell’ordine dell’ottantotto per cento, confermando che il costo della riforma è in misura preponderante il costo del servizio nella sua configurazione essenziale. La formazione ne rappresenta dell’ordine del nove per cento, confermando il rilievo del pilastro formativo. La leva digitale e l’Intelligenza Artificiale ne rappresenta, al lordo, dell’ordine del tre per cento, confermando la sua posizione subordinata sul versante dei costi, che la sezione 7.3 ha documentato e che la sottosezione seguente accentua considerando l’effetto di autofinanziamento. Questa composizione è coerente con l’architettura del programma, in cui il nucleo è il servizio e le sue figure, la formazione è il pilastro che ne sostiene la competenza, e la leva digitale è lo strumento subordinato che ne accresce la funzionalità a un costo netto prossimo allo zero.</w:t>
      </w:r>
    </w:p>
    <w:bookmarkEnd w:id="412"/>
    <w:bookmarkStart w:id="413" w:name="X5460b56cb7b7d72e320d2ac075b81243d606017"/>
    <w:p>
      <w:pPr>
        <w:pStyle w:val="Heading3"/>
      </w:pPr>
      <w:r>
        <w:t xml:space="preserve">7.5.4 Il costo diretto al netto dell’effetto di autofinanziamento</w:t>
      </w:r>
    </w:p>
    <w:p>
      <w:pPr>
        <w:pStyle w:val="FirstParagraph"/>
      </w:pPr>
      <w:r>
        <w:t xml:space="preserve">La ricomposizione del costo diretto complessivo richiede la considerazione dell’effetto di autofinanziamento della leva digitale e dell’Intelligenza Artificiale, che la sezione 7.3 ha quantificato e che incide sul costo diretto riducendo i costi operativi del servizio. L’effetto di autofinanziamento, stimato prudenzialmente, si colloca nello scenario centrale dell’ordine di un milione e trecentomila euro annui a regime, e corrisponde alla riduzione dei costi operativi che l’automazione amministrativa e la documentazione clinica assistita producono. Scomputando questo effetto dal costo diretto complessivo lordo, si ottiene il costo diretto complessivo netto, che si colloca nello scenario centrale dell’ordine di quarantatré milioni e novecentomila euro annui a regime.</w:t>
      </w:r>
    </w:p>
    <w:p>
      <w:pPr>
        <w:pStyle w:val="BodyText"/>
      </w:pPr>
      <w:r>
        <w:t xml:space="preserve">La distinzione tra il costo lordo e il costo netto richiede una precisazione, che il vincolo di non duplicazione impone e che è necessario ribadire. L’effetto di autofinanziamento che il costo netto scomputa è la riduzione dei costi operativi del servizio, ossia una grandezza di costo, distinta dai risparmi sanitari diretti che la Parte ottava quantificherà sul versante dei benefici. Il costo netto della presente sezione non incorpora dunque alcun risparmio sanitario, ma unicamente l’efficientamento gestionale interno al servizio; e la sua presentazione, accanto al costo lordo, non anticipa il saldo della Parte decima, ma documenta che la leva digitale, pur aggiungendo un costo lordo al programma, riduce i costi operativi del servizio in misura tale che il suo costo netto è prossimo allo zero. La trattazione presenta perciò entrambi i valori, il lordo e il netto, segnalando che il lordo è la grandezza pertinente alla composizione del costo diretto complessivo nel saldo della Parte decima, in coerenza con la prudenza che impone di non scomputare anticipatamente un effetto la cui evidenza è graduata, e che il netto è la misura della sostenibilità della leva e del programma.</w:t>
      </w:r>
    </w:p>
    <w:p>
      <w:pPr>
        <w:pStyle w:val="BodyText"/>
      </w:pPr>
      <w:r>
        <w:t xml:space="preserve">Il costo diretto complessivo netto, nei tre scenari, si colloca in un intervallo compreso tra trentacinque milioni nello scenario espansivo e cinquantatré milioni e quattrocentomila euro nello scenario conservativo, con il valore centrale di quarantatré milioni e novecentomila euro. La differenza tra il costo lordo e il costo netto, pari all’effetto di autofinanziamento, misura l’efficientamento gestionale che la leva digitale produce, e la sua entità, dell’ordine di un milione e trecentomila euro nello scenario centrale, è prossima al costo lordo della leva stessa, confermando che la leva digitale è, sul versante dei costi, una componente il cui onere è in larga parte compensato dall’efficientamento che essa genera. La trattazione adotta, per i passaggi successivi e per il rinvio alla Parte decima, il costo lordo come grandezza di riferimento, e presenta il costo netto come misura complementare della sostenibilità.</w:t>
      </w:r>
    </w:p>
    <w:bookmarkEnd w:id="413"/>
    <w:bookmarkStart w:id="414" w:name="il-profilo-temporale-del-costo-diretto"/>
    <w:p>
      <w:pPr>
        <w:pStyle w:val="Heading3"/>
      </w:pPr>
      <w:r>
        <w:t xml:space="preserve">7.5.5 Il profilo temporale del costo diretto</w:t>
      </w:r>
    </w:p>
    <w:p>
      <w:pPr>
        <w:pStyle w:val="FirstParagraph"/>
      </w:pPr>
      <w:r>
        <w:t xml:space="preserve">Il costo diretto complessivo che le sottosezioni precedenti hanno ricostruito è il costo a regime, ossia il costo del programma a piena copertura, raggiunto a partire dal quinto anno. Il costo diretto complessivo presenta tuttavia un profilo temporale, che lo distingue dal valore a regime e che la presente sottosezione ricostruisce, perché la riforma non grava per intero sin dal primo esercizio, ma accompagna con il proprio costo l’estensione progressiva del servizio secondo la curva di adozione. Il profilo temporale del costo diretto è governato da due dinamiche: l’estensione della copertura, che fa crescere il costo del personale e dei costi di struttura dal trenta per cento del primo anno al cento per cento del quinto, e il profilo della formazione, che è più elevato nell’avvio per la formazione intensiva della prima coorte e decresce verso il regime.</w:t>
      </w:r>
    </w:p>
    <w:p>
      <w:pPr>
        <w:pStyle w:val="BodyText"/>
      </w:pPr>
      <w:r>
        <w:t xml:space="preserve">A queste due dinamiche del costo ricorrente si aggiunge il sovraccosto una tantum di prima implementazione, concentrato nei primi ventiquattro mesi, che comprende l’investimento iniziale nella componente di Intelligenza Artificiale della sezione 7.3, dell’ordine di un milione-due milioni, il costo una tantum di adattamento dei locali e di configurazione dei sistemi informativi della sezione 7.2, dell’ordine di un milione-un milione e mezzo, e le componenti una tantum della conformità e della prima dotazione. Il sovraccosto una tantum complessivo si colloca dell’ordine di tre-cinque milioni di euro, concentrato nei primi due esercizi, e si aggiunge al costo ricorrente di quei medesimi esercizi. La tabella che segue ricostruisce il profilo temporale del costo diretto complessivo lordo nello scenario centrale, distinguendo il costo operativo ricorrente, che cresce con la copertura, dal sovraccosto una tantum, che si concentra nell’avvio.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Esercizio</w:t>
            </w:r>
          </w:p>
        </w:tc>
        <w:tc>
          <w:tcPr>
            <w:shd w:val="clear" w:color="auto" w:fill="16264B"/>
          </w:tcPr>
          <w:p>
            <w:pPr>
              <w:pStyle w:val="Compact"/>
              <w:spacing w:after="40" w:before="40"/>
              <w:jc w:val="left"/>
            </w:pPr>
            <w:r>
              <w:rPr>
                <w:rFonts w:ascii="Cambria" w:hAnsi="Cambria" w:cs="Cambria" w:eastAsia="Cambria"/>
                <w:b/>
                <w:bCs/>
                <w:color w:val="FFFFFF"/>
                <w:sz w:val="18"/>
              </w:rPr>
              <w:t xml:space="preserve">Copertura</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operativo lordo</w:t>
            </w:r>
          </w:p>
        </w:tc>
        <w:tc>
          <w:tcPr>
            <w:shd w:val="clear" w:color="auto" w:fill="16264B"/>
          </w:tcPr>
          <w:p>
            <w:pPr>
              <w:pStyle w:val="Compact"/>
              <w:spacing w:after="40" w:before="40"/>
              <w:jc w:val="left"/>
            </w:pPr>
            <w:r>
              <w:rPr>
                <w:rFonts w:ascii="Cambria" w:hAnsi="Cambria" w:cs="Cambria" w:eastAsia="Cambria"/>
                <w:b/>
                <w:bCs/>
                <w:color w:val="FFFFFF"/>
                <w:sz w:val="18"/>
              </w:rPr>
              <w:t xml:space="preserve">Una tantum</w:t>
            </w:r>
          </w:p>
        </w:tc>
        <w:tc>
          <w:tcPr>
            <w:shd w:val="clear" w:color="auto" w:fill="16264B"/>
          </w:tcPr>
          <w:p>
            <w:pPr>
              <w:pStyle w:val="Compact"/>
              <w:spacing w:after="40" w:before="40"/>
              <w:jc w:val="left"/>
            </w:pPr>
            <w:r>
              <w:rPr>
                <w:rFonts w:ascii="Cambria" w:hAnsi="Cambria" w:cs="Cambria" w:eastAsia="Cambria"/>
                <w:b/>
                <w:bCs/>
                <w:color w:val="FFFFFF"/>
                <w:sz w:val="18"/>
              </w:rPr>
              <w:t xml:space="preserve">Totale lordo</w:t>
            </w:r>
          </w:p>
        </w:tc>
      </w:tr>
      <w:tr>
        <w:tc>
          <w:tcPr/>
          <w:p>
            <w:pPr>
              <w:pStyle w:val="Compact"/>
              <w:spacing w:after="40" w:before="40"/>
              <w:jc w:val="left"/>
            </w:pPr>
            <w:r>
              <w:rPr>
                <w:rFonts w:ascii="Cambria" w:hAnsi="Cambria" w:cs="Cambria" w:eastAsia="Cambria"/>
                <w:color w:val="1A1A1A"/>
                <w:sz w:val="18"/>
              </w:rPr>
              <w:t xml:space="preserve">Anno 1</w:t>
            </w:r>
          </w:p>
        </w:tc>
        <w:tc>
          <w:tcPr/>
          <w:p>
            <w:pPr>
              <w:pStyle w:val="Compact"/>
              <w:spacing w:after="40" w:before="40"/>
              <w:jc w:val="left"/>
            </w:pPr>
            <w:r>
              <w:rPr>
                <w:rFonts w:ascii="Cambria" w:hAnsi="Cambria" w:cs="Cambria" w:eastAsia="Cambria"/>
                <w:color w:val="1A1A1A"/>
                <w:sz w:val="18"/>
              </w:rPr>
              <w:t xml:space="preserve">≈ 30%</w:t>
            </w:r>
          </w:p>
        </w:tc>
        <w:tc>
          <w:tcPr/>
          <w:p>
            <w:pPr>
              <w:pStyle w:val="Compact"/>
              <w:spacing w:after="40" w:before="40"/>
              <w:jc w:val="left"/>
            </w:pPr>
            <w:r>
              <w:rPr>
                <w:rFonts w:ascii="Cambria" w:hAnsi="Cambria" w:cs="Cambria" w:eastAsia="Cambria"/>
                <w:color w:val="1A1A1A"/>
                <w:sz w:val="18"/>
              </w:rPr>
              <w:t xml:space="preserve">≈ 19,7</w:t>
            </w:r>
          </w:p>
        </w:tc>
        <w:tc>
          <w:tcPr/>
          <w:p>
            <w:pPr>
              <w:pStyle w:val="Compact"/>
              <w:spacing w:after="40" w:before="40"/>
              <w:jc w:val="left"/>
            </w:pPr>
            <w:r>
              <w:rPr>
                <w:rFonts w:ascii="Cambria" w:hAnsi="Cambria" w:cs="Cambria" w:eastAsia="Cambria"/>
                <w:color w:val="1A1A1A"/>
                <w:sz w:val="18"/>
              </w:rPr>
              <w:t xml:space="preserve">≈ 2,5</w:t>
            </w:r>
          </w:p>
        </w:tc>
        <w:tc>
          <w:tcPr/>
          <w:p>
            <w:pPr>
              <w:pStyle w:val="Compact"/>
              <w:spacing w:after="40" w:before="40"/>
              <w:jc w:val="left"/>
            </w:pPr>
            <w:r>
              <w:rPr>
                <w:rFonts w:ascii="Cambria" w:hAnsi="Cambria" w:cs="Cambria" w:eastAsia="Cambria"/>
                <w:color w:val="1A1A1A"/>
                <w:sz w:val="18"/>
              </w:rPr>
              <w:t xml:space="preserve">≈ 22,2</w:t>
            </w:r>
          </w:p>
        </w:tc>
      </w:tr>
      <w:tr>
        <w:tc>
          <w:tcPr>
            <w:shd w:val="clear" w:color="auto" w:fill="F4F1EC"/>
          </w:tcPr>
          <w:p>
            <w:pPr>
              <w:pStyle w:val="Compact"/>
              <w:spacing w:after="40" w:before="40"/>
              <w:jc w:val="left"/>
            </w:pPr>
            <w:r>
              <w:rPr>
                <w:rFonts w:ascii="Cambria" w:hAnsi="Cambria" w:cs="Cambria" w:eastAsia="Cambria"/>
                <w:color w:val="1A1A1A"/>
                <w:sz w:val="18"/>
              </w:rPr>
              <w:t xml:space="preserve">Anno 2</w:t>
            </w:r>
          </w:p>
        </w:tc>
        <w:tc>
          <w:tcPr>
            <w:shd w:val="clear" w:color="auto" w:fill="F4F1EC"/>
          </w:tcPr>
          <w:p>
            <w:pPr>
              <w:pStyle w:val="Compact"/>
              <w:spacing w:after="40" w:before="40"/>
              <w:jc w:val="left"/>
            </w:pPr>
            <w:r>
              <w:rPr>
                <w:rFonts w:ascii="Cambria" w:hAnsi="Cambria" w:cs="Cambria" w:eastAsia="Cambria"/>
                <w:color w:val="1A1A1A"/>
                <w:sz w:val="18"/>
              </w:rPr>
              <w:t xml:space="preserve">≈ 45%</w:t>
            </w:r>
          </w:p>
        </w:tc>
        <w:tc>
          <w:tcPr>
            <w:shd w:val="clear" w:color="auto" w:fill="F4F1EC"/>
          </w:tcPr>
          <w:p>
            <w:pPr>
              <w:pStyle w:val="Compact"/>
              <w:spacing w:after="40" w:before="40"/>
              <w:jc w:val="left"/>
            </w:pPr>
            <w:r>
              <w:rPr>
                <w:rFonts w:ascii="Cambria" w:hAnsi="Cambria" w:cs="Cambria" w:eastAsia="Cambria"/>
                <w:color w:val="1A1A1A"/>
                <w:sz w:val="18"/>
              </w:rPr>
              <w:t xml:space="preserve">≈ 25,4</w:t>
            </w:r>
          </w:p>
        </w:tc>
        <w:tc>
          <w:tcPr>
            <w:shd w:val="clear" w:color="auto" w:fill="F4F1EC"/>
          </w:tcPr>
          <w:p>
            <w:pPr>
              <w:pStyle w:val="Compact"/>
              <w:spacing w:after="40" w:before="40"/>
              <w:jc w:val="left"/>
            </w:pPr>
            <w:r>
              <w:rPr>
                <w:rFonts w:ascii="Cambria" w:hAnsi="Cambria" w:cs="Cambria" w:eastAsia="Cambria"/>
                <w:color w:val="1A1A1A"/>
                <w:sz w:val="18"/>
              </w:rPr>
              <w:t xml:space="preserve">≈ 1,0</w:t>
            </w:r>
          </w:p>
        </w:tc>
        <w:tc>
          <w:tcPr>
            <w:shd w:val="clear" w:color="auto" w:fill="F4F1EC"/>
          </w:tcPr>
          <w:p>
            <w:pPr>
              <w:pStyle w:val="Compact"/>
              <w:spacing w:after="40" w:before="40"/>
              <w:jc w:val="left"/>
            </w:pPr>
            <w:r>
              <w:rPr>
                <w:rFonts w:ascii="Cambria" w:hAnsi="Cambria" w:cs="Cambria" w:eastAsia="Cambria"/>
                <w:color w:val="1A1A1A"/>
                <w:sz w:val="18"/>
              </w:rPr>
              <w:t xml:space="preserve">≈ 26,4</w:t>
            </w:r>
          </w:p>
        </w:tc>
      </w:tr>
      <w:tr>
        <w:tc>
          <w:tcPr/>
          <w:p>
            <w:pPr>
              <w:pStyle w:val="Compact"/>
              <w:spacing w:after="40" w:before="40"/>
              <w:jc w:val="left"/>
            </w:pPr>
            <w:r>
              <w:rPr>
                <w:rFonts w:ascii="Cambria" w:hAnsi="Cambria" w:cs="Cambria" w:eastAsia="Cambria"/>
                <w:color w:val="1A1A1A"/>
                <w:sz w:val="18"/>
              </w:rPr>
              <w:t xml:space="preserve">Anno 3</w:t>
            </w:r>
          </w:p>
        </w:tc>
        <w:tc>
          <w:tcPr/>
          <w:p>
            <w:pPr>
              <w:pStyle w:val="Compact"/>
              <w:spacing w:after="40" w:before="40"/>
              <w:jc w:val="left"/>
            </w:pPr>
            <w:r>
              <w:rPr>
                <w:rFonts w:ascii="Cambria" w:hAnsi="Cambria" w:cs="Cambria" w:eastAsia="Cambria"/>
                <w:color w:val="1A1A1A"/>
                <w:sz w:val="18"/>
              </w:rPr>
              <w:t xml:space="preserve">≈ 60%</w:t>
            </w:r>
          </w:p>
        </w:tc>
        <w:tc>
          <w:tcPr/>
          <w:p>
            <w:pPr>
              <w:pStyle w:val="Compact"/>
              <w:spacing w:after="40" w:before="40"/>
              <w:jc w:val="left"/>
            </w:pPr>
            <w:r>
              <w:rPr>
                <w:rFonts w:ascii="Cambria" w:hAnsi="Cambria" w:cs="Cambria" w:eastAsia="Cambria"/>
                <w:color w:val="1A1A1A"/>
                <w:sz w:val="18"/>
              </w:rPr>
              <w:t xml:space="preserve">≈ 31,0</w:t>
            </w:r>
          </w:p>
        </w:tc>
        <w:tc>
          <w:tcPr/>
          <w:p>
            <w:pPr>
              <w:pStyle w:val="Compact"/>
              <w:spacing w:after="40" w:before="40"/>
              <w:jc w:val="left"/>
            </w:pPr>
            <w:r>
              <w:rPr>
                <w:rFonts w:ascii="Cambria" w:hAnsi="Cambria" w:cs="Cambria" w:eastAsia="Cambria"/>
                <w:color w:val="1A1A1A"/>
                <w:sz w:val="18"/>
              </w:rPr>
              <w:t xml:space="preserve">≈ 0,5</w:t>
            </w:r>
          </w:p>
        </w:tc>
        <w:tc>
          <w:tcPr/>
          <w:p>
            <w:pPr>
              <w:pStyle w:val="Compact"/>
              <w:spacing w:after="40" w:before="40"/>
              <w:jc w:val="left"/>
            </w:pPr>
            <w:r>
              <w:rPr>
                <w:rFonts w:ascii="Cambria" w:hAnsi="Cambria" w:cs="Cambria" w:eastAsia="Cambria"/>
                <w:color w:val="1A1A1A"/>
                <w:sz w:val="18"/>
              </w:rPr>
              <w:t xml:space="preserve">≈ 31,5</w:t>
            </w:r>
          </w:p>
        </w:tc>
      </w:tr>
      <w:tr>
        <w:tc>
          <w:tcPr>
            <w:shd w:val="clear" w:color="auto" w:fill="F4F1EC"/>
          </w:tcPr>
          <w:p>
            <w:pPr>
              <w:pStyle w:val="Compact"/>
              <w:spacing w:after="40" w:before="40"/>
              <w:jc w:val="left"/>
            </w:pPr>
            <w:r>
              <w:rPr>
                <w:rFonts w:ascii="Cambria" w:hAnsi="Cambria" w:cs="Cambria" w:eastAsia="Cambria"/>
                <w:color w:val="1A1A1A"/>
                <w:sz w:val="18"/>
              </w:rPr>
              <w:t xml:space="preserve">Anno 4</w:t>
            </w:r>
          </w:p>
        </w:tc>
        <w:tc>
          <w:tcPr>
            <w:shd w:val="clear" w:color="auto" w:fill="F4F1EC"/>
          </w:tcPr>
          <w:p>
            <w:pPr>
              <w:pStyle w:val="Compact"/>
              <w:spacing w:after="40" w:before="40"/>
              <w:jc w:val="left"/>
            </w:pPr>
            <w:r>
              <w:rPr>
                <w:rFonts w:ascii="Cambria" w:hAnsi="Cambria" w:cs="Cambria" w:eastAsia="Cambria"/>
                <w:color w:val="1A1A1A"/>
                <w:sz w:val="18"/>
              </w:rPr>
              <w:t xml:space="preserve">≈ 80%</w:t>
            </w:r>
          </w:p>
        </w:tc>
        <w:tc>
          <w:tcPr>
            <w:shd w:val="clear" w:color="auto" w:fill="F4F1EC"/>
          </w:tcPr>
          <w:p>
            <w:pPr>
              <w:pStyle w:val="Compact"/>
              <w:spacing w:after="40" w:before="40"/>
              <w:jc w:val="left"/>
            </w:pPr>
            <w:r>
              <w:rPr>
                <w:rFonts w:ascii="Cambria" w:hAnsi="Cambria" w:cs="Cambria" w:eastAsia="Cambria"/>
                <w:color w:val="1A1A1A"/>
                <w:sz w:val="18"/>
              </w:rPr>
              <w:t xml:space="preserve">≈ 38,1</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 38,1</w:t>
            </w:r>
          </w:p>
        </w:tc>
      </w:tr>
      <w:tr>
        <w:tc>
          <w:tcPr/>
          <w:p>
            <w:pPr>
              <w:pStyle w:val="Compact"/>
              <w:spacing w:after="40" w:before="40"/>
              <w:jc w:val="left"/>
            </w:pPr>
            <w:r>
              <w:rPr>
                <w:rFonts w:ascii="Cambria" w:hAnsi="Cambria" w:cs="Cambria" w:eastAsia="Cambria"/>
                <w:b/>
                <w:bCs/>
                <w:color w:val="1A1A1A"/>
                <w:sz w:val="18"/>
              </w:rPr>
              <w:t xml:space="preserve">Anno 5 e seguenti (regime)</w:t>
            </w:r>
          </w:p>
        </w:tc>
        <w:tc>
          <w:tcPr/>
          <w:p>
            <w:pPr>
              <w:pStyle w:val="Compact"/>
              <w:spacing w:after="40" w:before="40"/>
              <w:jc w:val="left"/>
            </w:pPr>
            <w:r>
              <w:rPr>
                <w:rFonts w:ascii="Cambria" w:hAnsi="Cambria" w:cs="Cambria" w:eastAsia="Cambria"/>
                <w:b/>
                <w:bCs/>
                <w:color w:val="1A1A1A"/>
                <w:sz w:val="18"/>
              </w:rPr>
              <w:t xml:space="preserve">100%</w:t>
            </w:r>
          </w:p>
        </w:tc>
        <w:tc>
          <w:tcPr/>
          <w:p>
            <w:pPr>
              <w:pStyle w:val="Compact"/>
              <w:spacing w:after="40" w:before="40"/>
              <w:jc w:val="left"/>
            </w:pPr>
            <w:r>
              <w:rPr>
                <w:rFonts w:ascii="Cambria" w:hAnsi="Cambria" w:cs="Cambria" w:eastAsia="Cambria"/>
                <w:b/>
                <w:bCs/>
                <w:color w:val="1A1A1A"/>
                <w:sz w:val="18"/>
              </w:rPr>
              <w:t xml:space="preserve">≈ 45,2</w:t>
            </w:r>
          </w:p>
        </w:tc>
        <w:tc>
          <w:tcPr/>
          <w:p>
            <w:pPr>
              <w:pStyle w:val="Compact"/>
              <w:spacing w:after="40" w:before="40"/>
              <w:jc w:val="left"/>
            </w:pPr>
            <w:r>
              <w:rPr>
                <w:rFonts w:ascii="Cambria" w:hAnsi="Cambria" w:cs="Cambria" w:eastAsia="Cambria"/>
                <w:b/>
                <w:bCs/>
                <w:color w:val="1A1A1A"/>
                <w:sz w:val="18"/>
              </w:rPr>
              <w:t xml:space="preserve">—</w:t>
            </w:r>
          </w:p>
        </w:tc>
        <w:tc>
          <w:tcPr/>
          <w:p>
            <w:pPr>
              <w:pStyle w:val="Compact"/>
              <w:spacing w:after="40" w:before="40"/>
              <w:jc w:val="left"/>
            </w:pPr>
            <w:r>
              <w:rPr>
                <w:rFonts w:ascii="Cambria" w:hAnsi="Cambria" w:cs="Cambria" w:eastAsia="Cambria"/>
                <w:b/>
                <w:bCs/>
                <w:color w:val="1A1A1A"/>
                <w:sz w:val="18"/>
              </w:rPr>
              <w:t xml:space="preserve">≈ 45,2</w:t>
            </w:r>
          </w:p>
        </w:tc>
      </w:tr>
    </w:tbl>
    <w:p>
      <w:pPr>
        <w:pStyle w:val="BodyText"/>
      </w:pPr>
      <w:r>
        <w:rPr>
          <w:b/>
          <w:bCs/>
          <w:i/>
          <w:iCs/>
        </w:rPr>
        <w:t xml:space="preserve">Tabella 7.5.5</w:t>
      </w:r>
      <w:r>
        <w:t xml:space="preserve">* — Profilo temporale del costo diretto complessivo lordo nello scenario centrale, in milioni di euro annui. Il costo operativo cresce con la copertura secondo la curva di adozione; il sovraccosto una tantum si concentra nei primi due esercizi. Il costo della formazione è più elevato nell’avvio (compreso nel costo operativo) e decresce verso il regime.*</w:t>
      </w:r>
    </w:p>
    <w:p>
      <w:pPr>
        <w:pStyle w:val="BodyText"/>
      </w:pPr>
      <w:r>
        <w:t xml:space="preserve">Il profilo temporale rivela una caratteristica del costo diretto che ne accresce la sostenibilità: la riforma raggiunge il proprio costo pieno gradualmente, e nei primi esercizi il suo costo è significativamente inferiore al valore a regime, perché la copertura è parziale e il personale è assunto progressivamente. Nel primo anno, il costo diretto complessivo lordo, comprensivo del sovraccosto una tantum, si colloca dell’ordine di ventidue milioni di euro, dimezzato rispetto al valore a regime; e cresce progressivamente fino a raggiungere il valore a regime di quarantacinque milioni e duecentomila euro dal quinto anno in avanti. Questo profilo consente alla riforma di accompagnare il proprio costo con l’estensione del servizio e con la maturazione dei suoi benefici, che parimenti crescono nel tempo, e costituisce un elemento favorevole alla sua sostenibilità finanziaria, che la Parte quattordicesima approfondirà nella trattazione delle coperture.</w:t>
      </w:r>
    </w:p>
    <w:bookmarkEnd w:id="414"/>
    <w:bookmarkStart w:id="415" w:name="X96b81c54047972051ab68a563268991ef1fc024"/>
    <w:p>
      <w:pPr>
        <w:pStyle w:val="Heading3"/>
      </w:pPr>
      <w:r>
        <w:t xml:space="preserve">7.5.6 La distribuzione del costo diretto lungo la cascata delle figure</w:t>
      </w:r>
    </w:p>
    <w:p>
      <w:pPr>
        <w:pStyle w:val="FirstParagraph"/>
      </w:pPr>
      <w:r>
        <w:t xml:space="preserve">La terza dimensione della sintesi distribuisce il costo diretto complessivo lungo i livelli della cascata gerarchica piramidale, rivelando come il costo di cassa si concentri nell’apice e decresca verso la base. Questa distribuzione costituisce il rovescio della cascata dei benefici: mentre i benefici si propagano dall’apice verso le figure e i domini della base, ampliandosi lungo la discesa, il costo di cassa si concentra nell’apice e si riduce verso la base, fino ad annullarsi per le figure del quarto e del quinto livello, che non gravano sul bilancio del Servizio Sanitario Regionale. L’architettura delle figure a cascata, che la Parte terza ha ordinato, trova perciò nel costo diretto la propria conferma economica, e la presente sottosezione ne ricostruisce la distribuzione.</w:t>
      </w:r>
    </w:p>
    <w:p>
      <w:pPr>
        <w:pStyle w:val="BodyText"/>
      </w:pPr>
      <w:r>
        <w:t xml:space="preserve">Il costo diretto di cassa si concentra nell’apice della cascata, dove lo Psicologo di Base, con il personale amministrativo di supporto e la supervisione clinica di base che lo affiancano, rappresenta nello scenario centrale dell’ordine di trentaquattro milioni e ottocentomila euro annui a regime, pari a oltre tre quarti del costo diretto complessivo. Il secondo livello della cascata, costituito dal medico di medicina generale, dal pediatra di libera scelta e dal neurologo, non genera costo di cassa, perché tali figure sono già retribuite e il loro contributo è registrato come costo-opportunità di tempo nella prospettiva sociale, distinto e non sommato al costo di cassa. Il terzo livello, costituito dall’infermiere di famiglia e di comunità nella funzione di care manager, dallo psichiatra consulente e dalle ulteriori figure socio-sanitarie, genera un costo di cassa marginale, dell’ordine di un milione di euro annui per la quota di care management dedicata, mentre il resto è assorbito dalla dotazione territoriale esistente.</w:t>
      </w:r>
    </w:p>
    <w:p>
      <w:pPr>
        <w:pStyle w:val="BodyText"/>
      </w:pPr>
      <w:r>
        <w:t xml:space="preserve">Il quarto livello della cascata, costituito dagli attori istituzionali e amministrativi regionali — le aziende sanitarie locali, i distretti, l’Azienda Zero e la Regione — genera un costo di cassa dell’ordine di un milione e duecentomila euro annui, corrispondente alla funzione di governance e coordinamento istituzionale, in parte assorbita dalle strutture preesistenti. Il quinto livello, costituito dagli attori extra-sanitari — l’INPS, l’INAIL, il sistema giudiziario, le imprese, le organizzazioni sindacali, le università e il terzo settore — non genera alcun costo di cassa per il Servizio Sanitario Regionale, perché si colloca interamente sul versante dei benefici, dove la Parte nona ne ricostruirà le ricadute. A questa distribuzione per figura si aggiunge una componente trasversale, non attribuibile a un singolo livello, costituita dall’infrastruttura di struttura, dai sistemi informativi, dall’hardware e dall’audit, dalla leva digitale e dalla formazione, che serve l’intera architettura e che si colloca dell’ordine di otto milioni e duecentomila euro annui.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Livello della cascata</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di costo diretto di cassa</w:t>
            </w:r>
          </w:p>
        </w:tc>
        <w:tc>
          <w:tcPr>
            <w:shd w:val="clear" w:color="auto" w:fill="16264B"/>
          </w:tcPr>
          <w:p>
            <w:pPr>
              <w:pStyle w:val="Compact"/>
              <w:spacing w:after="40" w:before="40"/>
              <w:jc w:val="left"/>
            </w:pPr>
            <w:r>
              <w:rPr>
                <w:rFonts w:ascii="Cambria" w:hAnsi="Cambria" w:cs="Cambria" w:eastAsia="Cambria"/>
                <w:b/>
                <w:bCs/>
                <w:color w:val="FFFFFF"/>
                <w:sz w:val="18"/>
              </w:rPr>
              <w:t xml:space="preserve">Centrale</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Carattere</w:t>
            </w:r>
          </w:p>
        </w:tc>
      </w:tr>
      <w:tr>
        <w:tc>
          <w:tcPr/>
          <w:p>
            <w:pPr>
              <w:pStyle w:val="Compact"/>
              <w:spacing w:after="40" w:before="40"/>
              <w:jc w:val="left"/>
            </w:pPr>
            <w:r>
              <w:rPr>
                <w:rFonts w:ascii="Cambria" w:hAnsi="Cambria" w:cs="Cambria" w:eastAsia="Cambria"/>
                <w:color w:val="1A1A1A"/>
                <w:sz w:val="18"/>
              </w:rPr>
              <w:t xml:space="preserve">L1 — Apice: Psicologo di Base</w:t>
            </w:r>
          </w:p>
        </w:tc>
        <w:tc>
          <w:tcPr/>
          <w:p>
            <w:pPr>
              <w:pStyle w:val="Compact"/>
              <w:spacing w:after="40" w:before="40"/>
              <w:jc w:val="left"/>
            </w:pPr>
            <w:r>
              <w:rPr>
                <w:rFonts w:ascii="Cambria" w:hAnsi="Cambria" w:cs="Cambria" w:eastAsia="Cambria"/>
                <w:color w:val="1A1A1A"/>
                <w:sz w:val="18"/>
              </w:rPr>
              <w:t xml:space="preserve">Personale clinico, supporto amministrativo, supervisione</w:t>
            </w:r>
          </w:p>
        </w:tc>
        <w:tc>
          <w:tcPr/>
          <w:p>
            <w:pPr>
              <w:pStyle w:val="Compact"/>
              <w:spacing w:after="40" w:before="40"/>
              <w:jc w:val="left"/>
            </w:pPr>
            <w:r>
              <w:rPr>
                <w:rFonts w:ascii="Cambria" w:hAnsi="Cambria" w:cs="Cambria" w:eastAsia="Cambria"/>
                <w:color w:val="1A1A1A"/>
                <w:sz w:val="18"/>
              </w:rPr>
              <w:t xml:space="preserve">≈ 34,8</w:t>
            </w:r>
          </w:p>
        </w:tc>
        <w:tc>
          <w:tcPr/>
          <w:p>
            <w:pPr>
              <w:pStyle w:val="Compact"/>
              <w:spacing w:after="40" w:before="40"/>
              <w:jc w:val="left"/>
            </w:pPr>
            <w:r>
              <w:rPr>
                <w:rFonts w:ascii="Cambria" w:hAnsi="Cambria" w:cs="Cambria" w:eastAsia="Cambria"/>
                <w:color w:val="1A1A1A"/>
                <w:sz w:val="18"/>
              </w:rPr>
              <w:t xml:space="preserve">Cassa, dominante</w:t>
            </w:r>
          </w:p>
        </w:tc>
      </w:tr>
      <w:tr>
        <w:tc>
          <w:tcPr>
            <w:shd w:val="clear" w:color="auto" w:fill="F4F1EC"/>
          </w:tcPr>
          <w:p>
            <w:pPr>
              <w:pStyle w:val="Compact"/>
              <w:spacing w:after="40" w:before="40"/>
              <w:jc w:val="left"/>
            </w:pPr>
            <w:r>
              <w:rPr>
                <w:rFonts w:ascii="Cambria" w:hAnsi="Cambria" w:cs="Cambria" w:eastAsia="Cambria"/>
                <w:color w:val="1A1A1A"/>
                <w:sz w:val="18"/>
              </w:rPr>
              <w:t xml:space="preserve">L2 — MMG, pediatra, neurologo</w:t>
            </w:r>
          </w:p>
        </w:tc>
        <w:tc>
          <w:tcPr>
            <w:shd w:val="clear" w:color="auto" w:fill="F4F1EC"/>
          </w:tcPr>
          <w:p>
            <w:pPr>
              <w:pStyle w:val="Compact"/>
              <w:spacing w:after="40" w:before="40"/>
              <w:jc w:val="left"/>
            </w:pPr>
            <w:r>
              <w:rPr>
                <w:rFonts w:ascii="Cambria" w:hAnsi="Cambria" w:cs="Cambria" w:eastAsia="Cambria"/>
                <w:color w:val="1A1A1A"/>
                <w:sz w:val="18"/>
              </w:rPr>
              <w:t xml:space="preserve">Costo-opportunità di tempo (prospettiva sociale)</w:t>
            </w:r>
          </w:p>
        </w:tc>
        <w:tc>
          <w:tcPr>
            <w:shd w:val="clear" w:color="auto" w:fill="F4F1EC"/>
          </w:tcPr>
          <w:p>
            <w:pPr>
              <w:pStyle w:val="Compact"/>
              <w:spacing w:after="40" w:before="40"/>
              <w:jc w:val="left"/>
            </w:pPr>
            <w:r>
              <w:rPr>
                <w:rFonts w:ascii="Cambria" w:hAnsi="Cambria" w:cs="Cambria" w:eastAsia="Cambria"/>
                <w:color w:val="1A1A1A"/>
                <w:sz w:val="18"/>
              </w:rPr>
              <w:t xml:space="preserve">0</w:t>
            </w:r>
          </w:p>
        </w:tc>
        <w:tc>
          <w:tcPr>
            <w:shd w:val="clear" w:color="auto" w:fill="F4F1EC"/>
          </w:tcPr>
          <w:p>
            <w:pPr>
              <w:pStyle w:val="Compact"/>
              <w:spacing w:after="40" w:before="40"/>
              <w:jc w:val="left"/>
            </w:pPr>
            <w:r>
              <w:rPr>
                <w:rFonts w:ascii="Cambria" w:hAnsi="Cambria" w:cs="Cambria" w:eastAsia="Cambria"/>
                <w:color w:val="1A1A1A"/>
                <w:sz w:val="18"/>
              </w:rPr>
              <w:t xml:space="preserve">Non di cassa</w:t>
            </w:r>
          </w:p>
        </w:tc>
      </w:tr>
      <w:tr>
        <w:tc>
          <w:tcPr/>
          <w:p>
            <w:pPr>
              <w:pStyle w:val="Compact"/>
              <w:spacing w:after="40" w:before="40"/>
              <w:jc w:val="left"/>
            </w:pPr>
            <w:r>
              <w:rPr>
                <w:rFonts w:ascii="Cambria" w:hAnsi="Cambria" w:cs="Cambria" w:eastAsia="Cambria"/>
                <w:color w:val="1A1A1A"/>
                <w:sz w:val="18"/>
              </w:rPr>
              <w:t xml:space="preserve">L3 — Care manager, psichiatra, socio-sanitari</w:t>
            </w:r>
          </w:p>
        </w:tc>
        <w:tc>
          <w:tcPr/>
          <w:p>
            <w:pPr>
              <w:pStyle w:val="Compact"/>
              <w:spacing w:after="40" w:before="40"/>
              <w:jc w:val="left"/>
            </w:pPr>
            <w:r>
              <w:rPr>
                <w:rFonts w:ascii="Cambria" w:hAnsi="Cambria" w:cs="Cambria" w:eastAsia="Cambria"/>
                <w:color w:val="1A1A1A"/>
                <w:sz w:val="18"/>
              </w:rPr>
              <w:t xml:space="preserve">Care management dedicato; resto assorbito</w:t>
            </w:r>
          </w:p>
        </w:tc>
        <w:tc>
          <w:tcPr/>
          <w:p>
            <w:pPr>
              <w:pStyle w:val="Compact"/>
              <w:spacing w:after="40" w:before="40"/>
              <w:jc w:val="left"/>
            </w:pPr>
            <w:r>
              <w:rPr>
                <w:rFonts w:ascii="Cambria" w:hAnsi="Cambria" w:cs="Cambria" w:eastAsia="Cambria"/>
                <w:color w:val="1A1A1A"/>
                <w:sz w:val="18"/>
              </w:rPr>
              <w:t xml:space="preserve">≈ 1,0</w:t>
            </w:r>
          </w:p>
        </w:tc>
        <w:tc>
          <w:tcPr/>
          <w:p>
            <w:pPr>
              <w:pStyle w:val="Compact"/>
              <w:spacing w:after="40" w:before="40"/>
              <w:jc w:val="left"/>
            </w:pPr>
            <w:r>
              <w:rPr>
                <w:rFonts w:ascii="Cambria" w:hAnsi="Cambria" w:cs="Cambria" w:eastAsia="Cambria"/>
                <w:color w:val="1A1A1A"/>
                <w:sz w:val="18"/>
              </w:rPr>
              <w:t xml:space="preserve">Cassa, marginale</w:t>
            </w:r>
          </w:p>
        </w:tc>
      </w:tr>
      <w:tr>
        <w:tc>
          <w:tcPr>
            <w:shd w:val="clear" w:color="auto" w:fill="F4F1EC"/>
          </w:tcPr>
          <w:p>
            <w:pPr>
              <w:pStyle w:val="Compact"/>
              <w:spacing w:after="40" w:before="40"/>
              <w:jc w:val="left"/>
            </w:pPr>
            <w:r>
              <w:rPr>
                <w:rFonts w:ascii="Cambria" w:hAnsi="Cambria" w:cs="Cambria" w:eastAsia="Cambria"/>
                <w:color w:val="1A1A1A"/>
                <w:sz w:val="18"/>
              </w:rPr>
              <w:t xml:space="preserve">L4 — ASL, distretti, Azienda Zero, Regione</w:t>
            </w:r>
          </w:p>
        </w:tc>
        <w:tc>
          <w:tcPr>
            <w:shd w:val="clear" w:color="auto" w:fill="F4F1EC"/>
          </w:tcPr>
          <w:p>
            <w:pPr>
              <w:pStyle w:val="Compact"/>
              <w:spacing w:after="40" w:before="40"/>
              <w:jc w:val="left"/>
            </w:pPr>
            <w:r>
              <w:rPr>
                <w:rFonts w:ascii="Cambria" w:hAnsi="Cambria" w:cs="Cambria" w:eastAsia="Cambria"/>
                <w:color w:val="1A1A1A"/>
                <w:sz w:val="18"/>
              </w:rPr>
              <w:t xml:space="preserve">Governance e coordinamento istituzionale</w:t>
            </w:r>
          </w:p>
        </w:tc>
        <w:tc>
          <w:tcPr>
            <w:shd w:val="clear" w:color="auto" w:fill="F4F1EC"/>
          </w:tcPr>
          <w:p>
            <w:pPr>
              <w:pStyle w:val="Compact"/>
              <w:spacing w:after="40" w:before="40"/>
              <w:jc w:val="left"/>
            </w:pPr>
            <w:r>
              <w:rPr>
                <w:rFonts w:ascii="Cambria" w:hAnsi="Cambria" w:cs="Cambria" w:eastAsia="Cambria"/>
                <w:color w:val="1A1A1A"/>
                <w:sz w:val="18"/>
              </w:rPr>
              <w:t xml:space="preserve">≈ 1,2</w:t>
            </w:r>
          </w:p>
        </w:tc>
        <w:tc>
          <w:tcPr>
            <w:shd w:val="clear" w:color="auto" w:fill="F4F1EC"/>
          </w:tcPr>
          <w:p>
            <w:pPr>
              <w:pStyle w:val="Compact"/>
              <w:spacing w:after="40" w:before="40"/>
              <w:jc w:val="left"/>
            </w:pPr>
            <w:r>
              <w:rPr>
                <w:rFonts w:ascii="Cambria" w:hAnsi="Cambria" w:cs="Cambria" w:eastAsia="Cambria"/>
                <w:color w:val="1A1A1A"/>
                <w:sz w:val="18"/>
              </w:rPr>
              <w:t xml:space="preserve">Cassa, parziale</w:t>
            </w:r>
          </w:p>
        </w:tc>
      </w:tr>
      <w:tr>
        <w:tc>
          <w:tcPr/>
          <w:p>
            <w:pPr>
              <w:pStyle w:val="Compact"/>
              <w:spacing w:after="40" w:before="40"/>
              <w:jc w:val="left"/>
            </w:pPr>
            <w:r>
              <w:rPr>
                <w:rFonts w:ascii="Cambria" w:hAnsi="Cambria" w:cs="Cambria" w:eastAsia="Cambria"/>
                <w:color w:val="1A1A1A"/>
                <w:sz w:val="18"/>
              </w:rPr>
              <w:t xml:space="preserve">L5 — INPS, INAIL, giustizia, imprese, ecc.</w:t>
            </w:r>
          </w:p>
        </w:tc>
        <w:tc>
          <w:tcPr/>
          <w:p>
            <w:pPr>
              <w:pStyle w:val="Compact"/>
              <w:spacing w:after="40" w:before="40"/>
              <w:jc w:val="left"/>
            </w:pPr>
            <w:r>
              <w:rPr>
                <w:rFonts w:ascii="Cambria" w:hAnsi="Cambria" w:cs="Cambria" w:eastAsia="Cambria"/>
                <w:color w:val="1A1A1A"/>
                <w:sz w:val="18"/>
              </w:rPr>
              <w:t xml:space="preserve">Nessun costo di cassa (versante dei benefici)</w:t>
            </w:r>
          </w:p>
        </w:tc>
        <w:tc>
          <w:tcPr/>
          <w:p>
            <w:pPr>
              <w:pStyle w:val="Compact"/>
              <w:spacing w:after="40" w:before="40"/>
              <w:jc w:val="left"/>
            </w:pPr>
            <w:r>
              <w:rPr>
                <w:rFonts w:ascii="Cambria" w:hAnsi="Cambria" w:cs="Cambria" w:eastAsia="Cambria"/>
                <w:color w:val="1A1A1A"/>
                <w:sz w:val="18"/>
              </w:rPr>
              <w:t xml:space="preserve">0</w:t>
            </w:r>
          </w:p>
        </w:tc>
        <w:tc>
          <w:tcPr/>
          <w:p>
            <w:pPr>
              <w:pStyle w:val="Compact"/>
              <w:spacing w:after="40" w:before="40"/>
              <w:jc w:val="left"/>
            </w:pPr>
            <w:r>
              <w:rPr>
                <w:rFonts w:ascii="Cambria" w:hAnsi="Cambria" w:cs="Cambria" w:eastAsia="Cambria"/>
                <w:color w:val="1A1A1A"/>
                <w:sz w:val="18"/>
              </w:rPr>
              <w:t xml:space="preserve">Nullo per il SSR</w:t>
            </w:r>
          </w:p>
        </w:tc>
      </w:tr>
      <w:tr>
        <w:tc>
          <w:tcPr>
            <w:shd w:val="clear" w:color="auto" w:fill="F4F1EC"/>
          </w:tcPr>
          <w:p>
            <w:pPr>
              <w:pStyle w:val="Compact"/>
              <w:spacing w:after="40" w:before="40"/>
              <w:jc w:val="left"/>
            </w:pPr>
            <w:r>
              <w:rPr>
                <w:rFonts w:ascii="Cambria" w:hAnsi="Cambria" w:cs="Cambria" w:eastAsia="Cambria"/>
                <w:color w:val="1A1A1A"/>
                <w:sz w:val="18"/>
              </w:rPr>
              <w:t xml:space="preserve">Trasversale — non per figura</w:t>
            </w:r>
          </w:p>
        </w:tc>
        <w:tc>
          <w:tcPr>
            <w:shd w:val="clear" w:color="auto" w:fill="F4F1EC"/>
          </w:tcPr>
          <w:p>
            <w:pPr>
              <w:pStyle w:val="Compact"/>
              <w:spacing w:after="40" w:before="40"/>
              <w:jc w:val="left"/>
            </w:pPr>
            <w:r>
              <w:rPr>
                <w:rFonts w:ascii="Cambria" w:hAnsi="Cambria" w:cs="Cambria" w:eastAsia="Cambria"/>
                <w:color w:val="1A1A1A"/>
                <w:sz w:val="18"/>
              </w:rPr>
              <w:t xml:space="preserve">Infrastruttura, leva digitale e IA, formazione</w:t>
            </w:r>
          </w:p>
        </w:tc>
        <w:tc>
          <w:tcPr>
            <w:shd w:val="clear" w:color="auto" w:fill="F4F1EC"/>
          </w:tcPr>
          <w:p>
            <w:pPr>
              <w:pStyle w:val="Compact"/>
              <w:spacing w:after="40" w:before="40"/>
              <w:jc w:val="left"/>
            </w:pPr>
            <w:r>
              <w:rPr>
                <w:rFonts w:ascii="Cambria" w:hAnsi="Cambria" w:cs="Cambria" w:eastAsia="Cambria"/>
                <w:color w:val="1A1A1A"/>
                <w:sz w:val="18"/>
              </w:rPr>
              <w:t xml:space="preserve">≈ 8,2</w:t>
            </w:r>
          </w:p>
        </w:tc>
        <w:tc>
          <w:tcPr>
            <w:shd w:val="clear" w:color="auto" w:fill="F4F1EC"/>
          </w:tcPr>
          <w:p>
            <w:pPr>
              <w:pStyle w:val="Compact"/>
              <w:spacing w:after="40" w:before="40"/>
              <w:jc w:val="left"/>
            </w:pPr>
            <w:r>
              <w:rPr>
                <w:rFonts w:ascii="Cambria" w:hAnsi="Cambria" w:cs="Cambria" w:eastAsia="Cambria"/>
                <w:color w:val="1A1A1A"/>
                <w:sz w:val="18"/>
              </w:rPr>
              <w:t xml:space="preserve">Cassa, trasversale</w:t>
            </w:r>
          </w:p>
        </w:tc>
      </w:tr>
      <w:tr>
        <w:tc>
          <w:tcPr/>
          <w:p>
            <w:pPr>
              <w:pStyle w:val="Compact"/>
              <w:spacing w:after="40" w:before="40"/>
              <w:jc w:val="left"/>
            </w:pPr>
            <w:r>
              <w:rPr>
                <w:rFonts w:ascii="Cambria" w:hAnsi="Cambria" w:cs="Cambria" w:eastAsia="Cambria"/>
                <w:b/>
                <w:bCs/>
                <w:color w:val="1A1A1A"/>
                <w:sz w:val="18"/>
              </w:rPr>
              <w:t xml:space="preserve">Costo diretto complessivo di cassa (lordo)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b/>
                <w:bCs/>
                <w:color w:val="1A1A1A"/>
                <w:sz w:val="18"/>
              </w:rPr>
              <w:t xml:space="preserve">≈ 45,2</w:t>
            </w:r>
          </w:p>
        </w:tc>
        <w:tc>
          <w:tcPr/>
          <w:p>
            <w:pPr>
              <w:pStyle w:val="Compact"/>
              <w:spacing w:after="40" w:before="40"/>
              <w:jc w:val="left"/>
            </w:pPr>
            <w:r>
              <w:rPr>
                <w:rFonts w:ascii="Cambria" w:hAnsi="Cambria" w:cs="Cambria" w:eastAsia="Cambria"/>
                <w:b/>
                <w:bCs/>
                <w:color w:val="1A1A1A"/>
                <w:sz w:val="18"/>
              </w:rPr>
              <w:t xml:space="preserve">Bilancio SSR</w:t>
            </w:r>
          </w:p>
        </w:tc>
      </w:tr>
    </w:tbl>
    <w:p>
      <w:pPr>
        <w:pStyle w:val="BodyText"/>
      </w:pPr>
      <w:r>
        <w:rPr>
          <w:b/>
          <w:bCs/>
          <w:i/>
          <w:iCs/>
        </w:rPr>
        <w:t xml:space="preserve">Tabella 7.5.6</w:t>
      </w:r>
      <w:r>
        <w:t xml:space="preserve">* — Distribuzione del costo diretto complessivo di cassa lungo la cascata delle figure, scenario centrale, a regime, in milioni di euro annui. Il costo di cassa si concentra nell’apice (oltre tre quarti del totale) e decresce verso la base, annullandosi per i livelli quarto e quinto. La componente trasversale serve l’intera architettura. Rovescio speculare della cascata dei benefici.*</w:t>
      </w:r>
    </w:p>
    <w:p>
      <w:pPr>
        <w:pStyle w:val="BodyText"/>
      </w:pPr>
      <w:r>
        <w:t xml:space="preserve">La distribuzione del costo lungo la cascata conferma il principio ordinatore dell’opera e ne rivela la coerenza economica. Il costo di cassa si concentra nell’apice, dove risiede il nucleo del servizio, e decresce verso la base, dove le figure e i domini sono interessati dalla riforma sul versante dei benefici più che su quello dei costi. Questa asimmetria tra la concentrazione del costo nell’apice e la propagazione dei benefici verso la base costituisce il fondamento economico della convenienza della riforma, che la Parte decima dimostrerà componendo il costo concentrato nell’apice con i benefici diffusi lungo la cascata; e la sua ricostruzione nella presente sottosezione chiude il cerchio aperto dalla Parte terza, mostrando che l’ordinamento delle figure per influenza e per capacità di rientro economico trova nel costo diretto la propria conferma, perché è precisamente l’apice, che genera il costo, a originare i benefici che si propagano verso la base.</w:t>
      </w:r>
    </w:p>
    <w:bookmarkEnd w:id="415"/>
    <w:bookmarkStart w:id="416" w:name="X7af1168f32cdad5ea41e49b89ef80a8b0f2c179"/>
    <w:p>
      <w:pPr>
        <w:pStyle w:val="Heading3"/>
      </w:pPr>
      <w:r>
        <w:t xml:space="preserve">7.5.7 La sintesi per scenario e il significato dei tre scenari</w:t>
      </w:r>
    </w:p>
    <w:p>
      <w:pPr>
        <w:pStyle w:val="FirstParagraph"/>
      </w:pPr>
      <w:r>
        <w:t xml:space="preserve">La ricomposizione del costo diretto complessivo nei tre scenari, che la tabella 7.5.3 ha presentato, richiede una precisazione sul significato degli scenari, perché è dal loro corretto intendimento che dipende l’uso appropriato delle stime. I tre scenari non sono tre previsioni di pari probabilità, tra le quali il decisore debba scegliere, ma tre configurazioni del programma che esplorano lo spazio delle ipotesi contrattuali e di dimensionamento, e di cui lo scenario centrale costituisce il riferimento per la decisione. Lo scenario centrale assume una buona implementazione del programma, con un dimensionamento adeguato e un modello contrattuale misto, ed è il riferimento prudenziale, perché incorpora ipotesi realistiche senza eccessi di ottimismo né di pessimismo.</w:t>
      </w:r>
    </w:p>
    <w:p>
      <w:pPr>
        <w:pStyle w:val="BodyText"/>
      </w:pPr>
      <w:r>
        <w:t xml:space="preserve">Lo scenario conservativo assume le ipotesi prudenzialmente più onerose — un maggiore numero di sedute per ciclo, un costo unitario più elevato, un dimensionamento al limite superiore e un modello contrattuale di maggiore ricorso alla dipendenza — e colloca il costo diretto complessivo lordo dell’ordine di cinquantaquattro milioni e quattrocentomila euro annui a regime. Esso non è la previsione più probabile, ma la verifica della tenuta del programma nell’ipotesi più onerosa, e la sua funzione è di accertare che il programma resti sostenibile anche nelle condizioni meno favorevoli. Lo scenario espansivo assume le ipotesi di maggiore efficienza — un minore numero di sedute per ciclo, un costo unitario più contenuto, un dimensionamento efficiente e un modello prevalentemente convenzionale — e colloca il costo diretto complessivo lordo dell’ordine di trentasei milioni e mezzo di euro annui a regime. Esso non è la previsione più ottimistica da assumere, ma la misura del costo nell’ipotesi di massima efficienza, e la sua funzione è di indicare il limite inferiore del costo nelle condizioni più favorevoli.</w:t>
      </w:r>
    </w:p>
    <w:p>
      <w:pPr>
        <w:pStyle w:val="BodyText"/>
      </w:pPr>
      <w:r>
        <w:t xml:space="preserve">L’ampiezza tra lo scenario conservativo e lo scenario espansivo, dell’ordine di diciotto milioni di euro annui a regime, misura l’incertezza configurazionale del costo diretto, ossia la sensibilità del costo alle ipotesi contrattuali e di dimensionamento. Questa ampiezza, che la Parte undicesima sottoporrà all’analisi di sensibilità probabilistica, non è un difetto della stima, ma la sua corretta rappresentazione, perché il costo diretto dipende effettivamente da ipotesi che possono variare, e la sua espressione in forma di scenari, anziché di un valore puntuale, è ciò che il rigore impone. La trattazione adotta lo scenario centrale come riferimento, ne presenta la banda prudenziale di quarantaquattro-quarantasette milioni, e segnala l’ampiezza configurazionale di trentasei-cinquantaquattro milioni come misura dell’incertezza che la Parte undicesima approfondirà.</w:t>
      </w:r>
    </w:p>
    <w:bookmarkEnd w:id="416"/>
    <w:bookmarkStart w:id="418" w:name="X19c4d21a399c559b2b97bb7b47e790204267672"/>
    <w:p>
      <w:pPr>
        <w:pStyle w:val="Heading3"/>
      </w:pPr>
      <w:r>
        <w:t xml:space="preserve">7.5.8 La previsione falsificabile sul costo diretto complessivo e il rinvio alla valutazione economica integrata</w:t>
      </w:r>
    </w:p>
    <w:p>
      <w:pPr>
        <w:pStyle w:val="FirstParagraph"/>
      </w:pPr>
      <w:r>
        <w:t xml:space="preserve">La ricostruzione del costo diretto complessivo perviene alla previsione falsificabile che la chiude e che le Parti undicesima e quindicesima sottoporranno a verifica. A regime e a piena copertura, il costo diretto complessivo lordo del programma integrato non dovrebbe eccedere i cinquantaquattro milioni e mezzo di euro annui nello scenario prudenzialmente più oneroso, né collocarsi al di sotto dei trentasei milioni e mezzo nello scenario efficiente, e dovrebbe attestarsi attorno al valore centrale di quarantacinque milioni e duecentomila euro, all’interno di una banda prudenziale di quarantaquattro-quarantasette milioni; il costo diretto complessivo netto, scomputato l’effetto di autofinanziamento, dovrebbe collocarsi attorno al valore centrale di quarantatré milioni e novecentomila euro. Nel profilo temporale, il costo diretto complessivo dovrebbe collocarsi dell’ordine di ventidue milioni nel primo anno, comprensivo del sovraccosto una tantum, e crescere progressivamente fino al valore a regime entro il quinto anno. La previsione è enunciata in forma di banda e di profilo, con indicazione degli estremi di confutazione, e sarà verificata sui dati effettivi della spesa del Servizio Sanitario Regionale, distintamente per il costo a regime e per il profilo di avvio, in coerenza con il vincolo di falsificabilità che governa l’opera.</w:t>
      </w:r>
    </w:p>
    <w:p>
      <w:pPr>
        <w:pStyle w:val="BodyText"/>
      </w:pPr>
      <w:r>
        <w:t xml:space="preserve">Il costo diretto complessivo che la presente Parte ha ricostruito è una grandezza di costo, e il suo significato pieno si manifesta soltanto quando esso sia composto con i risparmi diretti e con i benefici indiretti nel saldo economico della riforma. La presente Parte ha mantenuto, per scelta metodologica e in ossequio alla separazione tra le categorie, il costo diretto distinto dai risparmi e dai benefici, ricostruendolo come grandezza autonoma; e il suo rinvio alla valutazione economica integrata della Parte decima è la condizione perché esso assuma il proprio significato decisionale. La Parte ottava quantificherà i risparmi diretti che il costo diretto genera sul bilancio sanitario regionale; la Parte nona quantificherà i costi e i benefici indiretti lungo il perimetro multidisciplinare integrale; e la Parte decima comporrà il costo diretto, i risparmi diretti e i benefici indiretti nel saldo economico consolidato, applicando l’analisi di impatto di bilancio e gli altri strumenti della valutazione economica, mantenute distinte le grandezze dirette dalle indirette e le ricadute fiscali dalle sociali.</w:t>
      </w:r>
      <w:r>
        <w:rPr>
          <w:rStyle w:val="FootnoteReference"/>
        </w:rPr>
        <w:footnoteReference w:id="200"/>
      </w:r>
    </w:p>
    <w:p>
      <w:pPr>
        <w:pStyle w:val="BodyText"/>
      </w:pPr>
      <w:r>
        <w:t xml:space="preserve">La Parte settima si chiude perciò con la consegna, alla valutazione economica integrata, di un costo diretto complessivo rigorosamente ricostruito: distinto per scenario, proiettato nel tempo, distribuito lungo la cascata delle figure, presentato al lordo e al netto dell’effetto di autofinanziamento, e corredato delle bande prudenziali e delle previsioni falsificabili che l’opera richiede. Questo costo diretto è la prima delle tre grandezze che compongono il saldo della riforma, e la sua determinazione rigorosa, mantenuta distinta dalle altre due, è la condizione perché il saldo sia attendibile. Il quadro conclusivo economico-sociale e multidisciplinare integrale che segue ricompone i risultati della presente Parte nella loro portata complessiva, e la conclusione ne trae le implicazioni per la rinegoziazione integrale dei costi diretti che la Parte ha condotto.</w:t>
      </w:r>
    </w:p>
    <w:bookmarkEnd w:id="418"/>
    <w:bookmarkEnd w:id="419"/>
    <w:bookmarkStart w:id="420" w:name="X359dbce01177fe955c5862b2b4de8052bc85bd7"/>
    <w:p>
      <w:pPr>
        <w:pStyle w:val="Heading2"/>
      </w:pPr>
      <w:r>
        <w:t xml:space="preserve">Quadro conclusivo economico-sociale e multidisciplinare integrale</w:t>
      </w:r>
    </w:p>
    <w:p>
      <w:pPr>
        <w:pStyle w:val="FirstParagraph"/>
      </w:pPr>
      <w:r>
        <w:t xml:space="preserve">La Parte settima ha condotto la rinegoziazione integrale dei costi diretti dell’introduzione del Servizio di Psicologia di Base in Puglia, e perviene a un quadro che ne ricompone i risultati nella loro portata economica, sociale e multidisciplinare. Il quadro che segue non ripete le stime delle sezioni, ma ne dichiara il significato complessivo, collocando il costo diretto nel disegno dell’opera e nel rapporto con le grandezze che le Parti successive ricostruiranno. Esso è la lettura d’insieme di un risultato che le sezioni hanno costruito analiticamente, e la sua funzione è di mostrare come le quattro componenti del costo diretto — il personale, la struttura e il coordinamento, la leva digitale e l’Intelligenza Artificiale, la formazione — compongano un’unica grandezza coerente, e come questa grandezza, pur essendo di costo, sia il fondamento da cui muovono i benefici che la riforma propaga lungo la cascata delle figure e lungo il perimetro multidisciplinare integrale.</w:t>
      </w:r>
    </w:p>
    <w:p>
      <w:pPr>
        <w:pStyle w:val="BodyText"/>
      </w:pPr>
      <w:r>
        <w:t xml:space="preserve">Il risultato economico della Parte è il costo diretto complessivo del programma integrato, che si colloca nello scenario centrale e a regime dell’ordine di quarantacinque milioni e duecentomila euro annui al lordo, e di quarantatré milioni e novecentomila euro al netto dell’effetto di autofinanziamento della leva digitale. Attorno a questo valore centrale, la banda prudenziale dello scenario di riferimento si estende tra quarantaquattro e quarantasette milioni di euro annui, mentre l’ampiezza tra gli scenari, che misura l’incertezza configurazionale, si estende tra trentasei milioni e mezzo nello scenario efficiente e cinquantaquattro milioni e quattrocentomila euro nello scenario prudenzialmente più oneroso. Il costo diretto presenta inoltre un profilo temporale che ne accompagna la crescita con l’estensione del servizio, dall’ordine di ventidue milioni nel primo anno, comprensivo del sovraccosto una tantum di prima implementazione, fino al valore a regime raggiunto entro il quinto anno. Questo è il costo che il Servizio Sanitario Regionale sostiene per la riforma, ed è una grandezza di costo, distinta dai risparmi e dai benefici che le Parti ottava e nona quantificheranno.</w:t>
      </w:r>
    </w:p>
    <w:p>
      <w:pPr>
        <w:pStyle w:val="BodyText"/>
      </w:pPr>
      <w:r>
        <w:t xml:space="preserve">La composizione del costo diretto rivela la natura della riforma. Il modello base, costituito dal personale e dai costi di struttura e coordinamento, ne rappresenta dell’ordine dell’ottantotto per cento, confermando che il costo della riforma è in misura preponderante il costo del tempo qualificato delle figure che la realizzano, e segnatamente dello Psicologo di Base, che ne è l’apice. La formazione ne rappresenta dell’ordine del nove per cento, confermando il rilievo del pilastro che sostiene la competenza clinica, organizzativa, relazionale e digitale del personale, considerato nelle sue quattro modalità singole e nella loro combinazione. La leva digitale e l’Intelligenza Artificiale ne rappresenta, al lordo, dell’ordine del tre per cento, e al netto dell’efficientamento gestionale che essa stessa produce, un valore prossimo allo zero: la sua posizione, sul versante dei costi come su quello dell’architettura, è quella di uno strumento subordinato che accresce la funzionalità della figura a un onere netto trascurabile, e non quella di un oggetto centrale dell’analisi. La composizione del costo conferma perciò, nel linguaggio delle grandezze economiche, il posizionamento che l’opera ha stabilito sin dalla Parte prima.</w:t>
      </w:r>
    </w:p>
    <w:p>
      <w:pPr>
        <w:pStyle w:val="BodyText"/>
      </w:pPr>
      <w:r>
        <w:t xml:space="preserve">La lettura del costo diretto secondo la cascata gerarchica piramidale costituisce il portato strutturale della Parte. Il costo di cassa si concentra nell’apice, dove lo Psicologo di Base, con il personale di supporto e la supervisione clinica, rappresenta oltre tre quarti del costo diretto complessivo, e decresce lungo la discesa verso la base, fino ad annullarsi per gli attori istituzionali del quarto livello, che gravano sul bilancio solo per la quota di governance e coordinamento, e per gli attori extra-sanitari del quinto livello — l’INPS, l’INAIL, il sistema giudiziario, le imprese, le organizzazioni sindacali, le università e il terzo settore — che non gravano affatto sul bilancio sanitario, perché si collocano interamente sul versante dei benefici. Questa distribuzione del costo è il rovescio speculare della cascata dei benefici: il costo si concentra dove risiede il nucleo del servizio, e i benefici si propagano da quel nucleo verso le figure e i domini della base. È precisamente l’apice che genera il costo a originare i benefici che si diffondono, e questa relazione tra la concentrazione del costo e la propagazione dei benefici costituisce il fondamento economico della convenienza della riforma, che la Parte decima dimostrerà componendo le due grandezze.</w:t>
      </w:r>
    </w:p>
    <w:p>
      <w:pPr>
        <w:pStyle w:val="BodyText"/>
      </w:pPr>
      <w:r>
        <w:t xml:space="preserve">La portata multidisciplinare integrale del costo diretto si coglie precisamente in questa relazione tra l’apice e la base. Il costo diretto è una grandezza concentrata nel dominio sanitario, dove il servizio è erogato e il personale è retribuito; ma esso è il seme di ricadute che attraversano l’intero perimetro multidisciplinare integrale, e che la Parte nona ricostruirà dominio per dominio. Il tempo clinico dello Psicologo di Base, che la presente Parte ha contabilizzato come costo, è la condizione di benefici che si manifestano nel dominio lavorativo, attraverso la riduzione dell’assenteismo e del presenteismo; nel dominio pensionistico, attraverso la riduzione dell’inabilità e del pensionamento anticipato per cause psichiche; nel dominio produttivistico, attraverso il recupero di capacità produttiva; nel dominio assistenzialistico, attraverso l’alleggerimento del carico dei familiari che assistono; nel dominio welfaristico, attraverso la riduzione della spesa per sussidi e indennità; nel dominio prevenzionalistico, attraverso le cronicizzazioni e le ricadute evitate; nel dominio criminologico, attraverso la riduzione della relazione tra disagio non trattato e devianza; nel dominio burocratico, attraverso la semplificazione degli adempimenti; nel dominio culturale, attraverso la destigmatizzazione e l’alfabetizzazione psicologica; nel dominio pedagogico e scolastico, attraverso la riduzione della dispersione e il benessere degli studenti; e nei domini accademico, industriale, sindacale, antropologico, sociale e finanziario, ciascuno dei quali la Parte nona percorrerà. Il costo diretto, concentrato nel dominio sanitario, è dunque l’investimento da cui muove un beneficio multidisciplinare integrale, e la sua corretta determinazione è la condizione perché quel beneficio sia misurabile.</w:t>
      </w:r>
    </w:p>
    <w:p>
      <w:pPr>
        <w:pStyle w:val="BodyText"/>
      </w:pPr>
      <w:r>
        <w:t xml:space="preserve">La lettura sociale del costo diretto ne completa il significato. Il costo che la presente Parte ha ricostruito non è una spesa che si esaurisce nel proprio esercizio, ma un investimento la cui contropartita è la qualità della vita delle persone che il servizio prende in carico, la tenuta dei bilanci regionali che i risparmi e i benefici alleggeriscono, l’efficienza della burocrazia che la riforma semplifica e la sostenibilità dei sistemi sanitari regionali che l’integrazione rafforza. Queste contropartite, che la Parte undicesima tradurrà in previsioni falsificabili, sono il termine ultimo della rinegoziazione: il costo diretto si giustifica non per la propria entità, che è contenuta in rapporto al bilancio sanitario regionale, ma per la sua capacità di generare, lungo la cascata e lungo il perimetro multidisciplinare, benefici che lo eccedono. La Parte settima ha determinato il costo; le Parti successive ne dimostreranno la contropartita; e il quadro che qui si chiude ha mostrato che l’una cosa e l’altra sono legate dalla medesima architettura, quella che muove dall’apice e si propaga verso la base.</w:t>
      </w:r>
    </w:p>
    <w:p>
      <w:pPr>
        <w:pStyle w:val="BodyText"/>
      </w:pPr>
      <w:r>
        <w:t xml:space="preserve">Sul piano del metodo, la Parte ha mantenuto per intero i vincoli invarianti che l’opera impone. La separazione tra le grandezze dirette e indirette e tra le ricadute fiscali e sociali è stata osservata rigorosamente, e il costo diretto è stato ricostruito come grandezza autonoma, distinta dai risparmi e dai benefici e non con essi aggregata. Il principio di non duplicazione ha governato la somma delle quattro componenti, sommate tra loro disgiunte senza imputare due volte la medesima risorsa, e ha governato la distinzione tra il costo di cassa e il costo-opportunità, registrato separatamente nella prospettiva sociale. Le stime sono state espresse in bande prudenziali e per scenari, in coerenza con la guida alla prudenza e con la correzione per l’ottimismo, e sono state chiuse da previsioni falsificabili, corredate degli estremi di confutazione. L’evidenza, comprese quelle relativa agli strumenti digitali e all’Intelligenza Artificiale, è stata graduata con il medesimo rigore applicato alle affermazioni cliniche. Il caveat dell’IMPACT trial, secondo cui i risparmi sanitari diretti non raggiungono isolatamente la significatività statistica, è stato preservato come avvertenza che governerà la lettura dei risparmi nella Parte ottava. La rinegoziazione dei costi diretti è stata perciò condotta entro la disciplina metodologica che fonda l’attendibilità dell’intera opera.</w:t>
      </w:r>
    </w:p>
    <w:p>
      <w:pPr>
        <w:pStyle w:val="BodyText"/>
      </w:pPr>
      <w:r>
        <w:t xml:space="preserve">Il quadro conclusivo della Parte settima consegna dunque alla valutazione economica integrata la prima delle tre grandezze che compongono il saldo della riforma: un costo diretto complessivo rigorosamente determinato, distinto per scenario, proiettato nel tempo, distribuito lungo la cascata delle figure, presentato al lordo e al netto dell’autofinanziamento, e corredato delle bande e delle previsioni che l’opera richiede. Questo costo, concentrato nel dominio sanitario e nell’apice della cascata, è il fondamento economico da cui muovono i risparmi diretti che la Parte ottava quantificherà, i benefici indiretti che la Parte nona ricostruirà lungo il perimetro multidisciplinare integrale, e il saldo consolidato che la Parte decima comporrà. La sua determinazione rigorosa, mantenuta distinta dalle altre grandezze, è la condizione perché il saldo sia attendibile e perché la rinegoziazione integrale dei costi e dei benefici, che è il mandato dell’opera, poggi su un fondamento solido.</w:t>
      </w:r>
    </w:p>
    <w:bookmarkEnd w:id="420"/>
    <w:bookmarkStart w:id="421" w:name="conclusione-4"/>
    <w:p>
      <w:pPr>
        <w:pStyle w:val="Heading2"/>
      </w:pPr>
      <w:r>
        <w:t xml:space="preserve">Conclusione</w:t>
      </w:r>
    </w:p>
    <w:p>
      <w:pPr>
        <w:pStyle w:val="FirstParagraph"/>
      </w:pPr>
      <w:r>
        <w:t xml:space="preserve">La Parte settima ha assolto il compito che le era proprio nell’architettura dell’opera: ricostruire e rinegoziare, lungo l’intera cascata delle figure e secondo il perimetro multidisciplinare integrale, i costi diretti dell’introduzione del Servizio di Psicologia di Base in Puglia. Essa ha ricostruito il costo del personale a partire dall’apice e dalla domanda di salute, distinguendo le classi di imputazione secondo il regime di retribuzione delle figure; ha ricostruito i costi di struttura, coordinamento e organizzazione, distinguendo il costo incrementale dalla quota assorbita dalla dotazione territoriale esistente; ha ricostruito il costo della leva digitale e dell’Intelligenza Artificiale, isolandone l’incremento e quantificandone l’effetto di autofinanziamento; ha ricostruito il costo della formazione nelle sue quattro modalità, considerate sia singolarmente sia nella loro combinazione, e ne ha stimato il ritorno secondo i modelli di Kirkpatrick e Phillips; e ha ricomposto le quattro componenti nel costo diretto complessivo, distinto per scenario, proiettato nel tempo e distribuito lungo la cascata.</w:t>
      </w:r>
    </w:p>
    <w:p>
      <w:pPr>
        <w:pStyle w:val="BodyText"/>
      </w:pPr>
      <w:r>
        <w:t xml:space="preserve">Il risultato è un costo diretto complessivo che si colloca, nello scenario centrale e a regime, dell’ordine di quarantacinque milioni e duecentomila euro annui al lordo e di quarantatré milioni e novecentomila euro al netto dell’autofinanziamento, con una banda prudenziale di quarantaquattro-quarantasette milioni e un’ampiezza tra gli scenari di trentasei-cinquantaquattro milioni. Questo costo è concentrato nell’apice della cascata, dove lo Psicologo di Base rappresenta oltre tre quarti del totale, e decresce verso la base, annullandosi per gli attori che si collocano sul versante dei benefici. La sua determinazione rigorosa, condotta nel rispetto dei vincoli invarianti dell’opera, costituisce il fondamento da cui muoveranno le Parti successive.</w:t>
      </w:r>
    </w:p>
    <w:p>
      <w:pPr>
        <w:pStyle w:val="BodyText"/>
      </w:pPr>
      <w:r>
        <w:t xml:space="preserve">La Parte ha mostrato, attraverso la rinegoziazione dei costi diretti, una verità che le Parti successive svilupperanno: che il costo della riforma, pur reale e da sostenere, è contenuto in rapporto al bilancio sanitario regionale e alla portata dei benefici che esso origina, ed è strutturato in modo da accompagnare con la propria crescita l’estensione del servizio e la maturazione dei suoi effetti. Il costo si concentra dove risiede il valore — nell’apice, nello Psicologo di Base, nel tempo clinico qualificato — e da quel punto di concentrazione si propagano i benefici che attraversano la cascata delle figure e il perimetro multidisciplinare integrale, dal dominio sanitario ai domini lavorativo, pensionistico, produttivistico, assistenzialistico, welfaristico, prevenzionalistico, criminologico, burocratico, culturale, pedagogico, accademico, industriale, sindacale, antropologico, sociale e finanziario.</w:t>
      </w:r>
    </w:p>
    <w:p>
      <w:pPr>
        <w:pStyle w:val="BodyText"/>
      </w:pPr>
      <w:r>
        <w:t xml:space="preserve">La rinegoziazione dei costi diretti che la Parte ha condotto non è dunque un esercizio contabile fine a sé stesso, ma il primo movimento di una dimostrazione più ampia, che le Parti ottava, nona e decima porteranno a compimento. La Parte ottava quantificherà i risparmi diretti che il costo genera sul bilancio sanitario regionale, preservando il caveat sulla loro significatività statistica e la regola di non duplicazione. La Parte nona ricostruirà i costi e i benefici indiretti lungo il perimetro multidisciplinare integrale, dominio per dominio, con l’aggregazione prudenziale che mantiene distinti i benefici indiretti dai risparmi diretti. La Parte decima comporrà il costo diretto, i risparmi diretti e i benefici indiretti nel saldo economico consolidato, applicando l’analisi di impatto di bilancio e gli altri strumenti della valutazione economica, e mantenendo distinte, fino all’ultimo, le grandezze dirette dalle indirette e le ricadute fiscali dalle sociali.</w:t>
      </w:r>
    </w:p>
    <w:p>
      <w:pPr>
        <w:pStyle w:val="BodyText"/>
      </w:pPr>
      <w:r>
        <w:t xml:space="preserve">Con la determinazione del costo diretto complessivo, la Parte settima consegna all’opera la prima delle grandezze del saldo, ricostruita con il rigore che il mandato richiede. La rinegoziazione integrale dei costi e dei benefici, che è il fine dello studio, dispone ora del proprio fondamento di costo; e su questo fondamento, mantenuto distinto dalle grandezze che seguiranno, potrà edificarsi la dimostrazione della convenienza economica, sociale e multidisciplinare integrale della riforma del Servizio di Psicologia di Base in Puglia. La Parte ottava muove da qui, dal versante dei risparmi diretti, per proseguire la rinegoziazione che la presente Parte ha aperto.</w:t>
      </w:r>
    </w:p>
    <w:bookmarkEnd w:id="421"/>
    <w:bookmarkStart w:id="422" w:name="note-bibliografiche-integrali-3"/>
    <w:p>
      <w:pPr>
        <w:pStyle w:val="Heading2"/>
      </w:pPr>
      <w:r>
        <w:t xml:space="preserve">Note bibliografiche integrali</w:t>
      </w:r>
    </w:p>
    <w:p>
      <w:pPr>
        <w:pStyle w:val="FirstParagraph"/>
      </w:pPr>
      <w:r>
        <w:t xml:space="preserve">Le note bibliografiche integrali raccolgono le fonti distinte richiamate nel corso della Parte settima, ordinate secondo la prima comparsa nel testo e numerate in modo autonomo rispetto ai richiami a piè di pagina, i quali, secondo l’ordinaria numerazione progressiva per occorrenza, ricompaiono con numeri diversi a ogni nuova citazione della medesima fonte. Per ciascuna fonte è qui riportato il nome completo del riferimento, un mini-riassunto che ne dichiara il contributo allo studio e il collegamento alla risorsa. I collegamenti rinviano agli identificativi permanenti dell’oggetto digitale, ove disponibili, e ai portali ufficiali degli enti o degli editori negli altri casi. Le fonti di seguito elencate costituiscono l’apparato documentale della rinegoziazione dei costi diretti, e la loro graduazione di evidenza, per le fonti cliniche e per quelle relative agli strumenti digitali e all’Intelligenza Artificiale, è quella dichiarata nel corpo della Parte.</w:t>
      </w:r>
    </w:p>
    <w:p>
      <w:pPr>
        <w:pStyle w:val="BodyText"/>
      </w:pPr>
      <w:r>
        <w:rPr>
          <w:b/>
          <w:bCs/>
        </w:rPr>
        <w:t xml:space="preserve">[1] Chisholm D., Sweeny K., Sheehan P. et al., «Scaling-up treatment of depression and anxiety: a global return on investment analysis», The Lancet Psychiatry, vol. 3, n. 5, 2016, pp. 415–424.</w:t>
      </w:r>
      <w:r>
        <w:t xml:space="preserve"> </w:t>
      </w:r>
      <w:r>
        <w:t xml:space="preserve">— Stima del ritorno economico globale degli investimenti nel trattamento di depressione e ansia. Fonte degli intervalli invarianti adottati dall’opera, compresi tra 2,3 e 3,0 a 1 per i soli benefici economici e tra 3,3 e 5,7 a 1 con l’inclusione dei ritorni in salute.</w:t>
      </w:r>
    </w:p>
    <w:p>
      <w:pPr>
        <w:pStyle w:val="BodyText"/>
      </w:pPr>
      <w:r>
        <w:rPr>
          <w:i/>
          <w:iCs/>
        </w:rPr>
        <w:t xml:space="preserve">Collegamento:</w:t>
      </w:r>
      <w:r>
        <w:rPr>
          <w:i/>
          <w:iCs/>
        </w:rPr>
        <w:t xml:space="preserve"> </w:t>
      </w:r>
      <w:r>
        <w:t xml:space="preserve">https://doi.org/10.1016/S2215-0366(16)30024-4</w:t>
      </w:r>
    </w:p>
    <w:p>
      <w:pPr>
        <w:pStyle w:val="BodyText"/>
      </w:pPr>
      <w:r>
        <w:rPr>
          <w:b/>
          <w:bCs/>
        </w:rPr>
        <w:t xml:space="preserve">[2] Unützer J., Katon W., Callahan C.M. et al., «Collaborative care management of late-life depression in the primary care setting» (studio IMPACT), JAMA, vol. 288, n. 22, 2002, pp. 2836–2845.</w:t>
      </w:r>
      <w:r>
        <w:t xml:space="preserve"> </w:t>
      </w:r>
      <w:r>
        <w:t xml:space="preserve">— Sperimentazione di riferimento dell’assistenza collaborativa nelle cure primarie. Fonte del caveat invariante secondo cui i risparmi sui costi sanitari diretti, considerati isolatamente, non raggiungono la significatività statistica.</w:t>
      </w:r>
    </w:p>
    <w:p>
      <w:pPr>
        <w:pStyle w:val="BodyText"/>
      </w:pPr>
      <w:r>
        <w:rPr>
          <w:i/>
          <w:iCs/>
        </w:rPr>
        <w:t xml:space="preserve">Collegamento:</w:t>
      </w:r>
      <w:r>
        <w:rPr>
          <w:i/>
          <w:iCs/>
        </w:rPr>
        <w:t xml:space="preserve"> </w:t>
      </w:r>
      <w:r>
        <w:t xml:space="preserve">https://doi.org/10.1001/jama.288.22.2836</w:t>
      </w:r>
    </w:p>
    <w:p>
      <w:pPr>
        <w:pStyle w:val="BodyText"/>
      </w:pPr>
      <w:r>
        <w:rPr>
          <w:b/>
          <w:bCs/>
        </w:rPr>
        <w:t xml:space="preserve">[3] HM Treasury, The Green Book: Central Government Guidance on Appraisal and Evaluation, Londra, edizione vigente.</w:t>
      </w:r>
      <w:r>
        <w:t xml:space="preserve"> </w:t>
      </w:r>
      <w:r>
        <w:t xml:space="preserve">— Guida metodologica alla valutazione degli investimenti pubblici del governo britannico. Richiamata per il principio di prudenza e per la correzione sistematica dell’ottimismo nelle stime di costo.</w:t>
      </w:r>
    </w:p>
    <w:p>
      <w:pPr>
        <w:pStyle w:val="BodyText"/>
      </w:pPr>
      <w:r>
        <w:rPr>
          <w:i/>
          <w:iCs/>
        </w:rPr>
        <w:t xml:space="preserve">Collegamento:</w:t>
      </w:r>
      <w:r>
        <w:rPr>
          <w:i/>
          <w:iCs/>
        </w:rPr>
        <w:t xml:space="preserve"> </w:t>
      </w:r>
      <w:r>
        <w:t xml:space="preserve">https://www.gov.uk/government/publications/the-green-book-appraisal-and-evaluation-in-central-government</w:t>
      </w:r>
    </w:p>
    <w:p>
      <w:pPr>
        <w:pStyle w:val="BodyText"/>
      </w:pPr>
      <w:r>
        <w:rPr>
          <w:b/>
          <w:bCs/>
        </w:rPr>
        <w:t xml:space="preserve">[4] Regolamento (UE) 2024/1689 del Parlamento europeo e del Consiglio, che stabilisce regole armonizzate sull’intelligenza artificiale (Artificial Intelligence Act).</w:t>
      </w:r>
      <w:r>
        <w:t xml:space="preserve"> </w:t>
      </w:r>
      <w:r>
        <w:t xml:space="preserve">— Quadro normativo europeo sull’intelligenza artificiale. Governa la classificazione del rischio e gli obblighi di conformità degli strumenti di Intelligenza Artificiale impiegati nel servizio.</w:t>
      </w:r>
    </w:p>
    <w:p>
      <w:pPr>
        <w:pStyle w:val="BodyText"/>
      </w:pPr>
      <w:r>
        <w:rPr>
          <w:i/>
          <w:iCs/>
        </w:rPr>
        <w:t xml:space="preserve">Collegamento:</w:t>
      </w:r>
      <w:r>
        <w:rPr>
          <w:i/>
          <w:iCs/>
        </w:rPr>
        <w:t xml:space="preserve"> </w:t>
      </w:r>
      <w:r>
        <w:t xml:space="preserve">https://eur-lex.europa.eu/eli/reg/2024/1689/oj</w:t>
      </w:r>
    </w:p>
    <w:p>
      <w:pPr>
        <w:pStyle w:val="BodyText"/>
      </w:pPr>
      <w:r>
        <w:rPr>
          <w:b/>
          <w:bCs/>
        </w:rPr>
        <w:t xml:space="preserve">[5] Husereau D., Drummond M., Augustovski F. et al., «Consolidated Health Economic Evaluation Reporting Standards 2022 (CHEERS 2022)», Value in Health, vol. 25, n. 1, 2022.</w:t>
      </w:r>
      <w:r>
        <w:t xml:space="preserve"> </w:t>
      </w:r>
      <w:r>
        <w:t xml:space="preserve">— Standard internazionale di rendicontazione delle valutazioni economiche in sanità. Telaio formale adottato dall’opera per la trasparenza e la verificabilità delle stime.</w:t>
      </w:r>
    </w:p>
    <w:p>
      <w:pPr>
        <w:pStyle w:val="BodyText"/>
      </w:pPr>
      <w:r>
        <w:rPr>
          <w:i/>
          <w:iCs/>
        </w:rPr>
        <w:t xml:space="preserve">Collegamento:</w:t>
      </w:r>
      <w:r>
        <w:rPr>
          <w:i/>
          <w:iCs/>
        </w:rPr>
        <w:t xml:space="preserve"> </w:t>
      </w:r>
      <w:r>
        <w:t xml:space="preserve">https://doi.org/10.1016/j.jval.2021.11.1351</w:t>
      </w:r>
    </w:p>
    <w:p>
      <w:pPr>
        <w:pStyle w:val="BodyText"/>
      </w:pPr>
      <w:r>
        <w:rPr>
          <w:b/>
          <w:bCs/>
        </w:rPr>
        <w:t xml:space="preserve">[6] Drummond M.F., Sculpher M.J., Claxton K. et al., Methods for the Economic Evaluation of Health Care Programmes, IV ed., Oxford University Press, Oxford, 2015 (ISBN 978–0–19–966587–7).</w:t>
      </w:r>
      <w:r>
        <w:t xml:space="preserve"> </w:t>
      </w:r>
      <w:r>
        <w:t xml:space="preserve">— Trattato di riferimento dei metodi di valutazione economica in sanità. Fonte delle tecniche di analisi dei costi, di attualizzazione e di confronto tra alternative impiegate nella Parte.</w:t>
      </w:r>
    </w:p>
    <w:p>
      <w:pPr>
        <w:pStyle w:val="BodyText"/>
      </w:pPr>
      <w:r>
        <w:rPr>
          <w:i/>
          <w:iCs/>
        </w:rPr>
        <w:t xml:space="preserve">Collegamento:</w:t>
      </w:r>
      <w:r>
        <w:rPr>
          <w:i/>
          <w:iCs/>
        </w:rPr>
        <w:t xml:space="preserve"> </w:t>
      </w:r>
      <w:r>
        <w:t xml:space="preserve">https://global.oup.com/academic/product/9780199665877</w:t>
      </w:r>
    </w:p>
    <w:p>
      <w:pPr>
        <w:pStyle w:val="BodyText"/>
      </w:pPr>
      <w:r>
        <w:rPr>
          <w:b/>
          <w:bCs/>
        </w:rPr>
        <w:t xml:space="preserve">[7] Legge Regionale della Puglia n. 11 del 2023, recante l’istituzione del Servizio di Psicologia di Base.</w:t>
      </w:r>
      <w:r>
        <w:t xml:space="preserve"> </w:t>
      </w:r>
      <w:r>
        <w:t xml:space="preserve">— Base normativa regionale della riforma. Istituisce il Servizio di Psicologia di Base in Puglia e ne fonda il perimetro istituzionale e organizzativo.</w:t>
      </w:r>
    </w:p>
    <w:p>
      <w:pPr>
        <w:pStyle w:val="BodyText"/>
      </w:pPr>
      <w:r>
        <w:rPr>
          <w:i/>
          <w:iCs/>
        </w:rPr>
        <w:t xml:space="preserve">Collegamento:</w:t>
      </w:r>
      <w:r>
        <w:rPr>
          <w:i/>
          <w:iCs/>
        </w:rPr>
        <w:t xml:space="preserve"> </w:t>
      </w:r>
      <w:r>
        <w:t xml:space="preserve">Bollettino Ufficiale della Regione Puglia — portale normativo: https://www.consiglio.puglia.it</w:t>
      </w:r>
    </w:p>
    <w:p>
      <w:pPr>
        <w:pStyle w:val="BodyText"/>
      </w:pPr>
      <w:r>
        <w:rPr>
          <w:b/>
          <w:bCs/>
        </w:rPr>
        <w:t xml:space="preserve">[8] Istituto Nazionale di Statistica (ISTAT), banche dati demografiche, sanitarie ed economiche.</w:t>
      </w:r>
      <w:r>
        <w:t xml:space="preserve"> </w:t>
      </w:r>
      <w:r>
        <w:t xml:space="preserve">— Fonte ufficiale dei dati demografici, sociali ed economici regionali. Base della ricostruzione del contesto e dei parametri di dimensionamento del servizio.</w:t>
      </w:r>
    </w:p>
    <w:p>
      <w:pPr>
        <w:pStyle w:val="BodyText"/>
      </w:pPr>
      <w:r>
        <w:rPr>
          <w:i/>
          <w:iCs/>
        </w:rPr>
        <w:t xml:space="preserve">Collegamento:</w:t>
      </w:r>
      <w:r>
        <w:rPr>
          <w:i/>
          <w:iCs/>
        </w:rPr>
        <w:t xml:space="preserve"> </w:t>
      </w:r>
      <w:r>
        <w:t xml:space="preserve">https://www.istat.it</w:t>
      </w:r>
    </w:p>
    <w:p>
      <w:pPr>
        <w:pStyle w:val="BodyText"/>
      </w:pPr>
      <w:r>
        <w:rPr>
          <w:b/>
          <w:bCs/>
        </w:rPr>
        <w:t xml:space="preserve">[9] Accordo Collettivo Nazionale (ACN) per la disciplina dei rapporti con i medici di medicina generale.</w:t>
      </w:r>
      <w:r>
        <w:t xml:space="preserve"> </w:t>
      </w:r>
      <w:r>
        <w:t xml:space="preserve">— Cornice contrattuale della medicina generale convenzionata. Riferimento per i modelli di rapporto e per il costo del personale convenzionato lungo la cascata.</w:t>
      </w:r>
    </w:p>
    <w:p>
      <w:pPr>
        <w:pStyle w:val="BodyText"/>
      </w:pPr>
      <w:r>
        <w:rPr>
          <w:i/>
          <w:iCs/>
        </w:rPr>
        <w:t xml:space="preserve">Collegamento:</w:t>
      </w:r>
      <w:r>
        <w:rPr>
          <w:i/>
          <w:iCs/>
        </w:rPr>
        <w:t xml:space="preserve"> </w:t>
      </w:r>
      <w:r>
        <w:t xml:space="preserve">Struttura Interregionale Sanitari Convenzionati (SISAC): https://www.sisac.info</w:t>
      </w:r>
    </w:p>
    <w:p>
      <w:pPr>
        <w:pStyle w:val="BodyText"/>
      </w:pPr>
      <w:r>
        <w:rPr>
          <w:b/>
          <w:bCs/>
        </w:rPr>
        <w:t xml:space="preserve">[10] Contratto Collettivo Nazionale di Lavoro del Comparto Sanità.</w:t>
      </w:r>
      <w:r>
        <w:t xml:space="preserve"> </w:t>
      </w:r>
      <w:r>
        <w:t xml:space="preserve">— Cornice retributiva del personale dipendente del Servizio Sanitario. Riferimento per la quantificazione del costo del personale in regime di dipendenza.</w:t>
      </w:r>
    </w:p>
    <w:p>
      <w:pPr>
        <w:pStyle w:val="BodyText"/>
      </w:pPr>
      <w:r>
        <w:rPr>
          <w:i/>
          <w:iCs/>
        </w:rPr>
        <w:t xml:space="preserve">Collegamento:</w:t>
      </w:r>
      <w:r>
        <w:rPr>
          <w:i/>
          <w:iCs/>
        </w:rPr>
        <w:t xml:space="preserve"> </w:t>
      </w:r>
      <w:r>
        <w:t xml:space="preserve">Agenzia per la Rappresentanza Negoziale delle Pubbliche Amministrazioni (ARAN): https://www.aranagenzia.it</w:t>
      </w:r>
    </w:p>
    <w:p>
      <w:pPr>
        <w:pStyle w:val="BodyText"/>
      </w:pPr>
      <w:r>
        <w:rPr>
          <w:b/>
          <w:bCs/>
        </w:rPr>
        <w:t xml:space="preserve">[11] Koopmanschap M.A., Rutten F.F.H., van Ineveld B.M., van Roijen L., «The friction cost method for measuring indirect costs of disease», Journal of Health Economics, vol. 14, n. 2, 1995, pp. 171–189.</w:t>
      </w:r>
      <w:r>
        <w:t xml:space="preserve"> </w:t>
      </w:r>
      <w:r>
        <w:t xml:space="preserve">— Esposizione del metodo del costo di frizione per la misurazione dei costi indiretti di malattia. Adottato per la stima prudenziale del costo-opportunità del tempo delle figure già retribuite.</w:t>
      </w:r>
    </w:p>
    <w:p>
      <w:pPr>
        <w:pStyle w:val="BodyText"/>
      </w:pPr>
      <w:r>
        <w:rPr>
          <w:i/>
          <w:iCs/>
        </w:rPr>
        <w:t xml:space="preserve">Collegamento:</w:t>
      </w:r>
      <w:r>
        <w:rPr>
          <w:i/>
          <w:iCs/>
        </w:rPr>
        <w:t xml:space="preserve"> </w:t>
      </w:r>
      <w:r>
        <w:t xml:space="preserve">https://doi.org/10.1016/0167-6296(94)00044-5</w:t>
      </w:r>
    </w:p>
    <w:p>
      <w:pPr>
        <w:pStyle w:val="BodyText"/>
      </w:pPr>
      <w:r>
        <w:rPr>
          <w:b/>
          <w:bCs/>
        </w:rPr>
        <w:t xml:space="preserve">[12] Decreto del Ministro della Salute 23 maggio 2022, n. 77, «Regolamento recante la definizione di modelli e standard per lo sviluppo dell’assistenza territoriale nel Servizio Sanitario Nazionale».</w:t>
      </w:r>
      <w:r>
        <w:t xml:space="preserve"> </w:t>
      </w:r>
      <w:r>
        <w:t xml:space="preserve">— Definisce i modelli e gli standard dell’assistenza territoriale, tra cui le Case della Comunità. Fonda l’integrazione organizzativa entro cui opera lo Psicologo di Base.</w:t>
      </w:r>
    </w:p>
    <w:p>
      <w:pPr>
        <w:pStyle w:val="BodyText"/>
      </w:pPr>
      <w:r>
        <w:rPr>
          <w:i/>
          <w:iCs/>
        </w:rPr>
        <w:t xml:space="preserve">Collegamento:</w:t>
      </w:r>
      <w:r>
        <w:rPr>
          <w:i/>
          <w:iCs/>
        </w:rPr>
        <w:t xml:space="preserve"> </w:t>
      </w:r>
      <w:r>
        <w:t xml:space="preserve">Gazzetta Ufficiale, Serie Generale n. 144 del 22 giugno 2022: https://www.gazzettaufficiale.it</w:t>
      </w:r>
    </w:p>
    <w:p>
      <w:pPr>
        <w:pStyle w:val="BodyText"/>
      </w:pPr>
      <w:r>
        <w:rPr>
          <w:b/>
          <w:bCs/>
        </w:rPr>
        <w:t xml:space="preserve">[13] Archer J., Bower P., Gilbody S. et al., «Collaborative care for depression and anxiety problems», Cochrane Database of Systematic Reviews, n. CD006525, 2012.</w:t>
      </w:r>
      <w:r>
        <w:t xml:space="preserve"> </w:t>
      </w:r>
      <w:r>
        <w:t xml:space="preserve">— Revisione sistematica Cochrane dell’efficacia dell’assistenza collaborativa per depressione e ansia. Base di evidenza graduata dell’efficacia clinica del modello di integrazione.</w:t>
      </w:r>
    </w:p>
    <w:p>
      <w:pPr>
        <w:pStyle w:val="BodyText"/>
      </w:pPr>
      <w:r>
        <w:rPr>
          <w:i/>
          <w:iCs/>
        </w:rPr>
        <w:t xml:space="preserve">Collegamento:</w:t>
      </w:r>
      <w:r>
        <w:rPr>
          <w:i/>
          <w:iCs/>
        </w:rPr>
        <w:t xml:space="preserve"> </w:t>
      </w:r>
      <w:r>
        <w:t xml:space="preserve">https://doi.org/10.1002/14651858.CD006525.pub2</w:t>
      </w:r>
    </w:p>
    <w:p>
      <w:pPr>
        <w:pStyle w:val="BodyText"/>
      </w:pPr>
      <w:r>
        <w:rPr>
          <w:b/>
          <w:bCs/>
        </w:rPr>
        <w:t xml:space="preserve">[14] Piano Nazionale di Ripresa e Resilienza (PNRR), Missione 6 — Salute, Componente 1.</w:t>
      </w:r>
      <w:r>
        <w:t xml:space="preserve"> </w:t>
      </w:r>
      <w:r>
        <w:t xml:space="preserve">— Quadro programmatico e di finanziamento del rafforzamento dell’assistenza territoriale. Contesto di copertura e di sostenibilità entro cui si colloca la riforma.</w:t>
      </w:r>
    </w:p>
    <w:p>
      <w:pPr>
        <w:pStyle w:val="BodyText"/>
      </w:pPr>
      <w:r>
        <w:rPr>
          <w:i/>
          <w:iCs/>
        </w:rPr>
        <w:t xml:space="preserve">Collegamento:</w:t>
      </w:r>
      <w:r>
        <w:rPr>
          <w:i/>
          <w:iCs/>
        </w:rPr>
        <w:t xml:space="preserve"> </w:t>
      </w:r>
      <w:r>
        <w:t xml:space="preserve">https://www.italiadomani.gov.it</w:t>
      </w:r>
    </w:p>
    <w:p>
      <w:pPr>
        <w:pStyle w:val="BodyText"/>
      </w:pPr>
      <w:r>
        <w:rPr>
          <w:b/>
          <w:bCs/>
        </w:rPr>
        <w:t xml:space="preserve">[15] National Institute for Health and Care Excellence (NICE), Evidence Standards Framework for Digital Health Technologies.</w:t>
      </w:r>
      <w:r>
        <w:t xml:space="preserve"> </w:t>
      </w:r>
      <w:r>
        <w:t xml:space="preserve">— Quadro di standard di evidenza per le tecnologie sanitarie digitali. Criterio di graduazione dell’evidenza degli strumenti digitali impiegati nel servizio.</w:t>
      </w:r>
    </w:p>
    <w:p>
      <w:pPr>
        <w:pStyle w:val="BodyText"/>
      </w:pPr>
      <w:r>
        <w:rPr>
          <w:i/>
          <w:iCs/>
        </w:rPr>
        <w:t xml:space="preserve">Collegamento:</w:t>
      </w:r>
      <w:r>
        <w:rPr>
          <w:i/>
          <w:iCs/>
        </w:rPr>
        <w:t xml:space="preserve"> </w:t>
      </w:r>
      <w:r>
        <w:t xml:space="preserve">https://www.nice.org.uk/about/what-we-do/our-programmes/evidence-standards-framework-for-digital-health-technologies</w:t>
      </w:r>
    </w:p>
    <w:p>
      <w:pPr>
        <w:pStyle w:val="BodyText"/>
      </w:pPr>
      <w:r>
        <w:rPr>
          <w:b/>
          <w:bCs/>
        </w:rPr>
        <w:t xml:space="preserve">[16] Andersson G., Titov N., «Advantages and limitations of Internet-based interventions for common mental disorders», World Psychiatry, vol. 13, n. 1, 2014, pp. 4–11.</w:t>
      </w:r>
      <w:r>
        <w:t xml:space="preserve"> </w:t>
      </w:r>
      <w:r>
        <w:t xml:space="preserve">— Rassegna dei vantaggi e dei limiti degli interventi psicologici erogati via internet. Base di evidenza graduata della terapia cognitivo-comportamentale digitale.</w:t>
      </w:r>
    </w:p>
    <w:p>
      <w:pPr>
        <w:pStyle w:val="BodyText"/>
      </w:pPr>
      <w:r>
        <w:rPr>
          <w:i/>
          <w:iCs/>
        </w:rPr>
        <w:t xml:space="preserve">Collegamento:</w:t>
      </w:r>
      <w:r>
        <w:rPr>
          <w:i/>
          <w:iCs/>
        </w:rPr>
        <w:t xml:space="preserve"> </w:t>
      </w:r>
      <w:r>
        <w:t xml:space="preserve">https://doi.org/10.1002/wps.20083</w:t>
      </w:r>
    </w:p>
    <w:p>
      <w:pPr>
        <w:pStyle w:val="BodyText"/>
      </w:pPr>
      <w:r>
        <w:rPr>
          <w:b/>
          <w:bCs/>
        </w:rPr>
        <w:t xml:space="preserve">[17] Regolamento (UE) 2016/679 (Regolamento generale sulla protezione dei dati, GDPR).</w:t>
      </w:r>
      <w:r>
        <w:t xml:space="preserve"> </w:t>
      </w:r>
      <w:r>
        <w:t xml:space="preserve">— Quadro normativo europeo sulla protezione dei dati personali. Governa il trattamento dei dati sanitari nel servizio e nei suoi strumenti digitali.</w:t>
      </w:r>
    </w:p>
    <w:p>
      <w:pPr>
        <w:pStyle w:val="BodyText"/>
      </w:pPr>
      <w:r>
        <w:rPr>
          <w:i/>
          <w:iCs/>
        </w:rPr>
        <w:t xml:space="preserve">Collegamento:</w:t>
      </w:r>
      <w:r>
        <w:rPr>
          <w:i/>
          <w:iCs/>
        </w:rPr>
        <w:t xml:space="preserve"> </w:t>
      </w:r>
      <w:r>
        <w:t xml:space="preserve">https://eur-lex.europa.eu/eli/reg/2016/679/oj</w:t>
      </w:r>
    </w:p>
    <w:p>
      <w:pPr>
        <w:pStyle w:val="BodyText"/>
      </w:pPr>
      <w:r>
        <w:rPr>
          <w:b/>
          <w:bCs/>
        </w:rPr>
        <w:t xml:space="preserve">[18] Regolamenti (UE) 2017/745 (dispositivi medici, MDR) e 2017/746 (dispositivi medico-diagnostici in vitro, IVDR).</w:t>
      </w:r>
      <w:r>
        <w:t xml:space="preserve"> </w:t>
      </w:r>
      <w:r>
        <w:t xml:space="preserve">— Quadro normativo europeo dei dispositivi medici. Governa la qualificazione e la conformità dei dispositivi terapeutici digitali su prescrizione.</w:t>
      </w:r>
    </w:p>
    <w:p>
      <w:pPr>
        <w:pStyle w:val="BodyText"/>
      </w:pPr>
      <w:r>
        <w:rPr>
          <w:i/>
          <w:iCs/>
        </w:rPr>
        <w:t xml:space="preserve">Collegamento:</w:t>
      </w:r>
      <w:r>
        <w:rPr>
          <w:i/>
          <w:iCs/>
        </w:rPr>
        <w:t xml:space="preserve"> </w:t>
      </w:r>
      <w:r>
        <w:t xml:space="preserve">https://eur-lex.europa.eu/eli/reg/2017/745/oj</w:t>
      </w:r>
    </w:p>
    <w:p>
      <w:pPr>
        <w:pStyle w:val="BodyText"/>
      </w:pPr>
      <w:r>
        <w:rPr>
          <w:b/>
          <w:bCs/>
        </w:rPr>
        <w:t xml:space="preserve">[19] Kirkpatrick D.L., Kirkpatrick J.D., Evaluating Training Programs: The Four Levels, III ed., Berrett-Koehler, San Francisco, 2006.</w:t>
      </w:r>
      <w:r>
        <w:t xml:space="preserve"> </w:t>
      </w:r>
      <w:r>
        <w:t xml:space="preserve">— Modello a quattro livelli per la valutazione della formazione. Base del calcolo del ritorno sull’investimento formativo nelle quattro modalità considerate dalla Parte.</w:t>
      </w:r>
    </w:p>
    <w:p>
      <w:pPr>
        <w:pStyle w:val="BodyText"/>
      </w:pPr>
      <w:r>
        <w:rPr>
          <w:i/>
          <w:iCs/>
        </w:rPr>
        <w:t xml:space="preserve">Collegamento:</w:t>
      </w:r>
      <w:r>
        <w:rPr>
          <w:i/>
          <w:iCs/>
        </w:rPr>
        <w:t xml:space="preserve"> </w:t>
      </w:r>
      <w:r>
        <w:t xml:space="preserve">https://www.bkconnection.com</w:t>
      </w:r>
    </w:p>
    <w:p>
      <w:pPr>
        <w:pStyle w:val="BodyText"/>
      </w:pPr>
      <w:r>
        <w:rPr>
          <w:b/>
          <w:bCs/>
        </w:rPr>
        <w:t xml:space="preserve">[20] Phillips J.J., Return on Investment in Training and Performance Improvement Programs, II ed., Routledge, Londra, 2003.</w:t>
      </w:r>
      <w:r>
        <w:t xml:space="preserve"> </w:t>
      </w:r>
      <w:r>
        <w:t xml:space="preserve">— Estensione del modello di Kirkpatrick al quinto livello del ritorno economico. Metodo del calcolo prudenziale del rendimento dell’investimento formativo.</w:t>
      </w:r>
    </w:p>
    <w:p>
      <w:pPr>
        <w:pStyle w:val="BodyText"/>
      </w:pPr>
      <w:r>
        <w:rPr>
          <w:i/>
          <w:iCs/>
        </w:rPr>
        <w:t xml:space="preserve">Collegamento:</w:t>
      </w:r>
      <w:r>
        <w:rPr>
          <w:i/>
          <w:iCs/>
        </w:rPr>
        <w:t xml:space="preserve"> </w:t>
      </w:r>
      <w:r>
        <w:t xml:space="preserve">https://www.routledge.com</w:t>
      </w:r>
    </w:p>
    <w:p>
      <w:pPr>
        <w:pStyle w:val="BodyText"/>
      </w:pPr>
      <w:r>
        <w:rPr>
          <w:b/>
          <w:bCs/>
        </w:rPr>
        <w:t xml:space="preserve">[21] Agenzia Nazionale per i Servizi Sanitari Regionali (AGENAS), programma di Educazione Continua in Medicina (ECM).</w:t>
      </w:r>
      <w:r>
        <w:t xml:space="preserve"> </w:t>
      </w:r>
      <w:r>
        <w:t xml:space="preserve">— Quadro nazionale dell’educazione continua in medicina. Riferimento per i costi, gli obblighi e i crediti della formazione post-universitaria del personale.</w:t>
      </w:r>
    </w:p>
    <w:p>
      <w:pPr>
        <w:pStyle w:val="BodyText"/>
      </w:pPr>
      <w:r>
        <w:rPr>
          <w:i/>
          <w:iCs/>
        </w:rPr>
        <w:t xml:space="preserve">Collegamento:</w:t>
      </w:r>
      <w:r>
        <w:rPr>
          <w:i/>
          <w:iCs/>
        </w:rPr>
        <w:t xml:space="preserve"> </w:t>
      </w:r>
      <w:r>
        <w:t xml:space="preserve">https://www.agenas.gov.it</w:t>
      </w:r>
    </w:p>
    <w:p>
      <w:pPr>
        <w:pStyle w:val="BodyText"/>
      </w:pPr>
      <w:r>
        <w:rPr>
          <w:b/>
          <w:bCs/>
        </w:rPr>
        <w:t xml:space="preserve">[22] Rogers E.M., Diffusion of Innovations, V ed., Free Press, New York, 2003.</w:t>
      </w:r>
      <w:r>
        <w:t xml:space="preserve"> </w:t>
      </w:r>
      <w:r>
        <w:t xml:space="preserve">— Teoria classica della diffusione delle innovazioni. Fonda le curve di adozione tecnologica e il ruolo della competenza degli adottanti nella loro pendenza.</w:t>
      </w:r>
    </w:p>
    <w:p>
      <w:pPr>
        <w:pStyle w:val="BodyText"/>
      </w:pPr>
      <w:r>
        <w:rPr>
          <w:i/>
          <w:iCs/>
        </w:rPr>
        <w:t xml:space="preserve">Collegamento:</w:t>
      </w:r>
      <w:r>
        <w:rPr>
          <w:i/>
          <w:iCs/>
        </w:rPr>
        <w:t xml:space="preserve"> </w:t>
      </w:r>
      <w:r>
        <w:t xml:space="preserve">https://www.simonandschuster.com</w:t>
      </w:r>
    </w:p>
    <w:p>
      <w:pPr>
        <w:pStyle w:val="BodyText"/>
      </w:pPr>
      <w:r>
        <w:rPr>
          <w:b/>
          <w:bCs/>
        </w:rPr>
        <w:t xml:space="preserve">[23] Sullivan S.D., Mauskopf J.A., Augustovski F. et al., «Budget impact analysis—principles of good practice: report of the ISPOR 2012 Budget Impact Analysis Good Practice II Task Force», Value in Health, vol. 17, n. 1, 2014, pp. 5–14.</w:t>
      </w:r>
      <w:r>
        <w:t xml:space="preserve"> </w:t>
      </w:r>
      <w:r>
        <w:t xml:space="preserve">— Buone pratiche internazionali per l’analisi di impatto di bilancio. Telaio metodologico del rinvio alla valutazione economica integrata della Parte decima.</w:t>
      </w:r>
    </w:p>
    <w:p>
      <w:pPr>
        <w:pStyle w:val="BodyText"/>
      </w:pPr>
      <w:r>
        <w:rPr>
          <w:i/>
          <w:iCs/>
        </w:rPr>
        <w:t xml:space="preserve">Collegamento:</w:t>
      </w:r>
      <w:r>
        <w:rPr>
          <w:i/>
          <w:iCs/>
        </w:rPr>
        <w:t xml:space="preserve"> </w:t>
      </w:r>
      <w:r>
        <w:t xml:space="preserve">https://doi.org/10.1016/j.jval.2013.08.2291</w:t>
      </w:r>
    </w:p>
    <w:p>
      <w:pPr>
        <w:pStyle w:val="BodyText"/>
      </w:pPr>
      <w:r>
        <w:rPr>
          <w:i/>
          <w:iCs/>
        </w:rPr>
        <w:t xml:space="preserve">— Fine della Parte VII —</w:t>
      </w:r>
    </w:p>
    <w:p>
      <w:pPr>
        <w:pStyle w:val="BodyText"/>
      </w:pPr>
      <w:r>
        <w:t xml:space="preserve">Costi diretti — rinegoziazione integrale ·</w:t>
      </w:r>
    </w:p>
    <w:p>
      <w:r>
        <w:br w:type="page"/>
      </w:r>
    </w:p>
    <w:p>
      <w:pPr>
        <w:pStyle w:val="BodyText"/>
      </w:pPr>
      <w:r>
        <w:t xml:space="preserve">Studio Integrale Puglia · Parte VIII — Benefici e risparmi diretti</w:t>
      </w:r>
    </w:p>
    <w:p>
      <w:pPr>
        <w:pStyle w:val="BodyText"/>
      </w:pPr>
      <w:r>
        <w:rPr>
          <w:b/>
          <w:bCs/>
        </w:rPr>
        <w:t xml:space="preserve">PROGETTO « PSICOLOGO DI BASE » · REGIONE PUGLIA</w:t>
      </w:r>
    </w:p>
    <w:p>
      <w:pPr>
        <w:pStyle w:val="BodyText"/>
      </w:pPr>
      <w:r>
        <w:rPr>
          <w:b/>
          <w:bCs/>
        </w:rPr>
        <w:t xml:space="preserve">Studio Integrale, Finale e Definitivo</w:t>
      </w:r>
    </w:p>
    <w:p>
      <w:pPr>
        <w:pStyle w:val="BodyText"/>
      </w:pPr>
      <w:r>
        <w:rPr>
          <w:b/>
          <w:bCs/>
        </w:rPr>
        <w:t xml:space="preserve">Parte VIII</w:t>
      </w:r>
    </w:p>
    <w:p>
      <w:pPr>
        <w:pStyle w:val="BodyText"/>
      </w:pPr>
      <w:r>
        <w:rPr>
          <w:b/>
          <w:bCs/>
        </w:rPr>
        <w:t xml:space="preserve">Benefici e risparmi diretti</w:t>
      </w:r>
    </w:p>
    <w:p>
      <w:pPr>
        <w:pStyle w:val="BodyText"/>
      </w:pPr>
      <w:r>
        <w:rPr>
          <w:b/>
          <w:bCs/>
        </w:rPr>
        <w:t xml:space="preserve">(rinegoziazione integrale)</w:t>
      </w:r>
    </w:p>
    <w:p>
      <w:pPr>
        <w:pStyle w:val="BodyText"/>
      </w:pPr>
      <w:r>
        <w:rPr>
          <w:i/>
          <w:iCs/>
        </w:rPr>
        <w:t xml:space="preserve">La rinegoziazione dei risparmi diretti per il bilancio sanitario regionale lungo i quattro canali del risparmio fiscale: farmaceutica, pronto soccorso e ricoveri, mobilità passiva, specialistica e invii impropri</w:t>
      </w:r>
    </w:p>
    <w:p>
      <w:pPr>
        <w:pStyle w:val="BodyText"/>
      </w:pPr>
      <w:r>
        <w:t xml:space="preserve">Telaio HTA · Five Case Model · CHEERS 2022 · criteri OCSE-DAC</w:t>
      </w:r>
    </w:p>
    <w:p>
      <w:pPr>
        <w:pStyle w:val="BodyText"/>
      </w:pPr>
      <w:r>
        <w:t xml:space="preserve">Cascata gerarchica piramidale dallo Psicologo di Base · perimetro multidisciplinare integrale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Avvertenza sui vincoli metodologici invarianti</w:t>
            </w:r>
            <w:r>
              <w:rPr>
                <w:rFonts w:ascii="Cambria" w:hAnsi="Cambria" w:cs="Cambria" w:eastAsia="Cambria"/>
                <w:b/>
                <w:color w:val="FFFFFF"/>
                <w:sz w:val="18"/>
              </w:rPr>
              <w:t xml:space="preserve"> </w:t>
            </w:r>
            <w:r>
              <w:rPr>
                <w:rFonts w:ascii="Cambria" w:hAnsi="Cambria" w:cs="Cambria" w:eastAsia="Cambria"/>
                <w:b/>
                <w:color w:val="FFFFFF"/>
                <w:sz w:val="18"/>
              </w:rPr>
              <w:t xml:space="preserve">La presente parte è governata dai vincoli metodologici invarianti dell’opera, che nessuna stima può violare. Il ritorno economico degli investimenti in salute mentale è espresso nei soli intervalli corretti, compresi tra 2,3 e 3,0 a 1 per i soli benefici economici e tra 3,3 e 5,7 a 1 con l’inclusione dei ritorni in salute; sono esclusi i valori non sostenuti dalla letteratura. Il caveat dell’IMPACT trial, secondo cui i risparmi sui costi sanitari diretti non raggiungono la significatività statistica, è preservato: ogni risparmio diretto qui stimato è espresso in bande prudenziali e non in valori puntuali. Le grandezze fiscali dirette e quelle sociali e indirette sono mantenute rigorosamente distinte, senza duplicazioni tra le categorie: i risparmi diretti di questa parte non sono mai sommati ai benefici sociali della nona parte. La regola di non duplicazione vieta di attribuire il medesimo risparmio a più canali e di sommare il contributo della leva digitale e dell’Intelligenza Artificiale ai risparmi dei canali entro cui esso già si esprime; tale contributo è isolato, e non aggiunto, nella voce 8.5. Ogni evidenza, comprese quelle relative all’Intelligenza Artificiale, è graduata secondo la sua qualità con il medesimo rigore applicato alle affermazioni cliniche.</w:t>
            </w:r>
          </w:p>
        </w:tc>
      </w:tr>
    </w:tbl>
    <w:bookmarkEnd w:id="422"/>
    <w:bookmarkEnd w:id="423"/>
    <w:bookmarkStart w:id="425" w:name="premessa-5"/>
    <w:p>
      <w:pPr>
        <w:pStyle w:val="Heading1"/>
      </w:pPr>
      <w:r>
        <w:t xml:space="preserve">Premessa</w:t>
      </w:r>
    </w:p>
    <w:p>
      <w:pPr>
        <w:pStyle w:val="FirstParagraph"/>
      </w:pPr>
      <w:r>
        <w:rPr>
          <w:i/>
          <w:iCs/>
        </w:rPr>
        <w:t xml:space="preserve">La presente parte rinegozia i benefici e i risparmi diretti dell’introduzione del Servizio di Psicologia di Base in Puglia. Per benefici e risparmi diretti si intendono, in senso stretto, le minori uscite a carico del bilancio sanitario regionale che la riforma rende conseguibili: il denaro pubblico oggi speso in prestazioni, farmaci e ricoveri che l’intercettazione precoce del disagio comune consente di non spendere, ovvero di trattenere sul territorio. La parte ricostruisce questi risparmi canale per canale, ne stima l’ordine di grandezza entro bande prudenziali, ne isola la quota incrementale attribuibile alla leva digitale e all’Intelligenza Artificiale e ne restituisce l’aggregato per ciascuno dei tre scenari di copertura. La rinegoziazione consiste nel ridefinire questi risparmi alla luce del perimetro integrale dell’opera e della cascata gerarchica delle figure, mantenendoli rigorosamente distinti dalle ricadute economico-sociali indirette, che la nona parte tratta separatamente e che in nessun punto sono qui sommate alle grandezze fiscali.</w:t>
      </w:r>
    </w:p>
    <w:p>
      <w:pPr>
        <w:pStyle w:val="BodyText"/>
      </w:pPr>
      <w:r>
        <w:t xml:space="preserve">Il principio che governa questa parte è il medesimo che attraversa l’intero studio: la separazione tra ciò che il bilancio sanitario regionale risparmia e ciò che la collettività guadagna. La prima grandezza ha natura fiscale e cade direttamente sul fondo sanitario regionale; la seconda ha natura sociale e si distribuisce sul sistema previdenziale, sul mercato del lavoro, sulla giustizia, sull’istruzione e sulle famiglie. Le due grandezze sono quantificate distintamente, presentate in tabelle separate e mai ricomposte in un unico saldo né espresse in un unico rapporto. Questa parte tratta esclusivamente la prima. La regola di non duplicazione, enunciata nella prima parte come vincolo invariante, qui assume la forma operativa più stringente: nessun euro può essere contato due volte, né attribuito contemporaneamente a più canali, né trasferito dalla colonna sociale a quella fiscale per ingrossare il risparmio.</w:t>
      </w:r>
    </w:p>
    <w:p>
      <w:pPr>
        <w:pStyle w:val="BodyText"/>
      </w:pPr>
      <w:r>
        <w:t xml:space="preserve">Un secondo vincolo, anch’esso invariante, disciplina la lettura di ogni cifra qui riportata. L’evidenza internazionale stabilisce con solidità che l’integrazione strutturata della psicologia nelle cure primarie migliora gli esiti dei disturbi mentali comuni; non stabilisce con pari solidità che a quel miglioramento clinico corrisponda un risparmio sui costi sanitari diretti statisticamente significativo. Lo studio di riferimento sull’assistenza collaborativa per la depressione, condotto su un orizzonte quadriennale, ha documentato una tendenza al risparmio i cui intervalli di confidenza attraversano lo zero</w:t>
      </w:r>
      <w:r>
        <w:rPr>
          <w:rStyle w:val="FootnoteReference"/>
        </w:rPr>
        <w:footnoteReference w:id="201"/>
      </w:r>
      <w:r>
        <w:t xml:space="preserve">: il dato è coerente con un risparmio, ma non lo certifica con la sicurezza con cui certifica l’efficacia clinica. Per questa ragione ogni risparmio diretto qui stimato è espresso non come valore puntuale, ma come banda prudenziale, e ogni proiezione conserva la cautela che la qualità dell’evidenza impone. La parte ottava non promette al decisore un grande risparmio sanitario: gli offre una stima onesta, ancorata alla letteratura e ai dati regionali, di un risparmio reale ma contenuto, la cui giustificazione piena emergerà soltanto quando, nella nona e nella decima parte, alle grandezze fiscali si affiancheranno quelle sociali.</w:t>
      </w:r>
    </w:p>
    <w:bookmarkEnd w:id="425"/>
    <w:bookmarkStart w:id="432" w:name="introduzione-5"/>
    <w:p>
      <w:pPr>
        <w:pStyle w:val="Heading1"/>
      </w:pPr>
      <w:r>
        <w:t xml:space="preserve">Introduzione</w:t>
      </w:r>
    </w:p>
    <w:p>
      <w:pPr>
        <w:pStyle w:val="FirstParagraph"/>
      </w:pPr>
      <w:r>
        <w:rPr>
          <w:i/>
          <w:iCs/>
        </w:rPr>
        <w:t xml:space="preserve">L’introduzione fissa l’oggetto, il metodo e i confini della rinegoziazione dei risparmi diretti. Essa definisce la nozione di risparmio diretto e la distingue dalle nozioni contigue di costo evitato e di beneficio sociale; richiama la mappa dei quattro canali attraverso cui il risparmio si forma e la loro corrispondenza con le voci di questa parte; espone il metodo di stima, fondato sull’ancoraggio di ciascun canale a una grandezza regionale e a un parametro tratto dall’evidenza, e sul ricorso sistematico a bande prudenziali; richiama i vincoli invarianti che governano ogni cifra; e anticipa l’esito aggregato che la voce conclusiva ricomporrà, affinché il lettore conosca fin dall’inizio la misura e il senso del risparmio diretto complessivo.</w:t>
      </w:r>
    </w:p>
    <w:bookmarkStart w:id="426" w:name="X5292c0b834b2a89266ce919d370d22218f8d3b9"/>
    <w:p>
      <w:pPr>
        <w:pStyle w:val="Heading2"/>
      </w:pPr>
      <w:r>
        <w:t xml:space="preserve">La nozione di risparmio diretto e la sua distinzione dalle grandezze contigue</w:t>
      </w:r>
    </w:p>
    <w:p>
      <w:pPr>
        <w:pStyle w:val="FirstParagraph"/>
      </w:pPr>
      <w:r>
        <w:t xml:space="preserve">Il risparmio diretto è la minore spesa che il Servizio sanitario regionale sostiene in conseguenza dell’introduzione del servizio. Esso si manifesta come differenza, anno per anno e a parità di ogni altra condizione, tra la spesa sanitaria regionale nello scenario con il servizio e la spesa nello scenario senza il servizio. La grandezza ha tre caratteristiche che ne fissano la natura. È fiscale, perché cade sul bilancio del detentore del budget sanitario, e non sulla collettività nel suo insieme. È diretta, perché discende immediatamente dalla riduzione del consumo di risorse sanitarie — farmaci, prestazioni, accessi, ricoveri, prestazioni acquisite fuori regione — e non per il tramite di catene causali più lunghe che attraversano il lavoro, la previdenza o l’assistenza. Ed è attualizzabile e collocabile nel tempo, perché si dispiega come flusso annuale, suscettibile di confronto con il flusso annuale dei costi del servizio descritti nella settima parte, fino al punto in cui i due flussi si pareggiano.</w:t>
      </w:r>
    </w:p>
    <w:p>
      <w:pPr>
        <w:pStyle w:val="BodyText"/>
      </w:pPr>
      <w:r>
        <w:t xml:space="preserve">Questa nozione va tenuta distinta da due grandezze contigue con cui è facile confonderla. La prima è il beneficio sociale, ossia il valore che la riduzione del disagio genera per la collettività attraverso la maggiore produttività, le minori erogazioni previdenziali e assistenziali, i minori costi della giustizia e dell’istruzione: grandezza reale e di ordine superiore a quella fiscale, ma di natura diversa, perché non cade sul bilancio sanitario e perché si distribuisce su una pluralità di soggetti pubblici e privati. Essa è oggetto della nona parte e qui non viene contata. La seconda è il costo evitato in senso lato, ossia la spesa che si sarebbe sostenuta in assenza di intercettazione e che la cronicizzazione avrebbe reso necessaria negli anni successivi: grandezza che la modellazione della undicesima parte proietta nel tempo, ma che in questa sede entra soltanto nella misura in cui si traduce, esercizio per esercizio, in minore spesa sanitaria effettiva. La precisione di queste distinzioni non è un tecnicismo, ma la condizione perché il risparmio diretto resti una grandezza definita, misurabile e non gonfiata.</w:t>
      </w:r>
    </w:p>
    <w:bookmarkEnd w:id="426"/>
    <w:bookmarkStart w:id="428" w:name="X75856c4e533c88eb2e4ccd36cdca417056a7d8d"/>
    <w:p>
      <w:pPr>
        <w:pStyle w:val="Heading2"/>
      </w:pPr>
      <w:r>
        <w:t xml:space="preserve">La mappa dei quattro canali e la loro corrispondenza con le voci della parte</w:t>
      </w:r>
    </w:p>
    <w:p>
      <w:pPr>
        <w:pStyle w:val="FirstParagraph"/>
      </w:pPr>
      <w:r>
        <w:t xml:space="preserve">Il risparmio diretto per il bilancio sanitario regionale si forma attraverso quattro canali, ciascuno ancorato a una grandezza regionale documentata e a un parametro di effetto tratto dall’evidenza. Il primo canale è la riduzione della spesa farmaceutica inappropriata, che agisce sui margini di appropriatezza segnalati dalla compresenza, in Puglia, di un consumo complessivo tra i più elevati d’Italia e di una ridotta intercettazione del disagio psichico. Il secondo canale è la riduzione degli accessi impropri al pronto soccorso e dei ricoveri evitabili, che muove dall’elevatissima quota di accessi inappropriati e dall’iper-utilizzo ospedaliero associato ai sintomi somatici funzionali. Il terzo canale è la riduzione della mobilità sanitaria passiva, il più distintivo del caso pugliese, che trattiene sul territorio una quota della domanda oggi in fuga verso altre regioni. Il quarto canale è la riduzione degli esami, delle visite specialistiche e degli invii impropri, che opera sulla domanda di prestazioni specialistiche generata dal disagio non riconosciuto.</w:t>
      </w:r>
    </w:p>
    <w:p>
      <w:pPr>
        <w:pStyle w:val="BodyText"/>
      </w:pPr>
      <w:r>
        <w:t xml:space="preserve">Questi quattro canali si distribuiscono nelle voci della presente parte secondo una corrispondenza che conviene esplicitare per la chiarezza del lettore. La voce 8.1 sviluppa il primo canale, quello farmaceutico. La voce 8.2 sviluppa congiuntamente la componente del pronto soccorso e quella dei ricoveri, che condividono il medesimo meccanismo di intercettazione a monte dell’acuzie. La voce 8.3 sviluppa il canale della mobilità passiva recuperata. La voce 8.4 sviluppa la componente specialistica, ossia gli esami, le visite e gli invii impropri, che la valutazione economica della quinta lettera del telaio aveva trattato in forma aggregata con i ricoveri e che qui, per la maggiore granularità propria di questa parte, viene isolata. La voce 8.5 non aggiunge un quinto canale, ma attraversa i quattro precedenti per isolare, all’interno di ciascuno, la quota incrementale di risparmio attribuibile alla leva digitale e all’Intelligenza Artificiale, nel rispetto della regola di non duplicazione. La voce 8.6, infine, ricompone i canali nell’aggregato per scenario e lo confronta con i costi diretti, restituendo il saldo che costituisce la sintesi quantitativa di questa parte.</w:t>
      </w:r>
      <w:r>
        <w:rPr>
          <w:rStyle w:val="FootnoteReference"/>
        </w:rPr>
        <w:footnoteReference w:id="202"/>
      </w:r>
    </w:p>
    <w:bookmarkEnd w:id="428"/>
    <w:bookmarkStart w:id="430" w:name="X62c70496bc466a8173a1d5f290a19bd2e104dd1"/>
    <w:p>
      <w:pPr>
        <w:pStyle w:val="Heading2"/>
      </w:pPr>
      <w:r>
        <w:t xml:space="preserve">Il metodo di stima e il ricorso alle bande prudenziali</w:t>
      </w:r>
    </w:p>
    <w:p>
      <w:pPr>
        <w:pStyle w:val="FirstParagraph"/>
      </w:pPr>
      <w:r>
        <w:t xml:space="preserve">La stima di ciascun canale segue un procedimento uniforme, costruito in cinque passaggi. Il primo individua la grandezza regionale di ancoraggio: la spesa, il volume di prestazioni o il flusso finanziario su cui il canale agisce, misurato sui dati pubblici disponibili e destinato a essere sostituito dal dato certificato regionale non appena acquisito. Il secondo individua, all’interno di quella grandezza, la frazione potenzialmente comprimibile, ossia la quota riconducibile al disagio comune intercettabile dal primo livello psicologico, distinta dalla quota fisiologica e incomprimibile. Il terzo applica il parametro di effetto tratto dall’evidenza, ossia la misura in cui l’intercettazione riduce quella frazione comprimibile, desunta dalla letteratura internazionale e graduata secondo la sua qualità. Il quarto introduce la quota di adesione e di copertura propria di ciascuno scenario, poiché solo una parte del bisogno potenziale si traduce in domanda effettiva e in presa in carico, e poiché il dimensionamento del servizio cresce dallo scenario conservativo a quello espansivo. Il quinto, infine, applica una riduzione prudenziale che incorpora l’incertezza residua e il caveat sulla significatività statistica del risparmio.</w:t>
      </w:r>
    </w:p>
    <w:p>
      <w:pPr>
        <w:pStyle w:val="BodyText"/>
      </w:pPr>
      <w:r>
        <w:t xml:space="preserve">Da questo procedimento discende la forma in cui ogni risultato è espresso. Nessun canale produce un valore puntuale; ciascuno produce una banda, il cui estremo inferiore corrisponde allo scenario conservativo e a parametri cauti, e il cui estremo superiore corrisponde allo scenario espansivo e a parametri più favorevoli, ma sempre interni all’intervallo documentato dalla letteratura. La banda non è un’ammissione di debolezza, ma la rappresentazione corretta di una grandezza incerta: essa dichiara al decisore l’ampiezza dell’incertezza anziché occultarla dietro una falsa precisione, e indica nel restringimento progressivo dell’intervallo, attraverso l’acquisizione dei dati regionali certificati, la via per sostituire la stima con la misura. I rapporti beneficio-costo eventualmente richiamati in questa parte restano contenuti entro la fascia metodologicamente fondata dalla letteratura internazionale, compresa tra 2,3 e 3,0 a 1 per i soli benefici economici e tra 3,3 e 5,7 a 1 con l’inclusione dei ritorni in salute; nessun valore esterno a tale fascia è utilizzato.</w:t>
      </w:r>
      <w:r>
        <w:rPr>
          <w:rStyle w:val="FootnoteReference"/>
        </w:rPr>
        <w:footnoteReference w:id="203"/>
      </w:r>
    </w:p>
    <w:bookmarkEnd w:id="430"/>
    <w:bookmarkStart w:id="431" w:name="X1bf7fb5bcbb6d8f0f350700ffcadd7aab4ff973"/>
    <w:p>
      <w:pPr>
        <w:pStyle w:val="Heading2"/>
      </w:pPr>
      <w:r>
        <w:t xml:space="preserve">I vincoli invarianti e l’anticipazione dell’esito aggregato</w:t>
      </w:r>
    </w:p>
    <w:p>
      <w:pPr>
        <w:pStyle w:val="FirstParagraph"/>
      </w:pPr>
      <w:r>
        <w:t xml:space="preserve">Tre vincoli invarianti governano ogni cifra di questa parte e meritano di essere richiamati in apertura, perché ne condizionano la lettura. Il primo è la separazione tra grandezze fiscali dirette e ricadute sociali indirette, già enunciata: il risparmio diretto non è mai sommato al beneficio sociale, e le due grandezze viaggiano in colonne separate fino alla sintesi della decima parte, che le ricompone senza confonderle. Il secondo è il caveat sulla significatività statistica del risparmio diretto, che impone le bande prudenziali e vieta di presentare il risparmio sanitario come un esito altrettanto certo dell’efficacia clinica. Il terzo è la regola di non duplicazione, che vieta di attribuire il medesimo risparmio a più canali e, in particolare, di sommare il contributo della leva digitale ai risparmi dei canali entro cui esso già si esprime: la voce 8.5 isola quel contributo per renderlo trasparente, non per aggiungerlo.</w:t>
      </w:r>
    </w:p>
    <w:p>
      <w:pPr>
        <w:pStyle w:val="BodyText"/>
      </w:pPr>
      <w:r>
        <w:t xml:space="preserve">A beneficio della lettura, conviene anticipare la misura dell’esito che la voce conclusiva ricomporrà. Aggregati i quattro canali, i risparmi diretti per il Servizio sanitario regionale pugliese sono dell’ordine di venti, trentaquattro e cinquanta milioni di euro l’anno a regime, rispettivamente nello scenario conservativo, in quello intermedio e in quello espansivo. A fronte di questi risparmi, i costi del servizio descritti nella settima parte sono dell’ordine di venticinque, trentotto e cinquanta milioni di euro l’anno nei medesimi scenari. Ne discende il dato più importante e più onesto dell’intera valutazione fiscale: sul solo bilancio sanitario, il saldo diretto è prossimo al pareggio — da un lieve disavanzo nello scenario conservativo a un sostanziale pareggio in quello espansivo — e non un ampio risparmio. Questo non indebolisce la proposta, per due ragioni che la sesta voce sviluppa: da un lato il costo del servizio, a fronte di un finanziamento regionale dell’ordine di 8,8 miliardi di euro, ne costituisce una frazione modesta, sicché la questione non è la sostenibilità della spesa ma il suo dimensionamento; dall’altro la giustificazione economica piena della riforma non risiede nel saldo fiscale diretto, bensì nelle ricadute sociali che la nona parte quantifica. Stabilita in apertura questa misura, la prima voce può ora aprire la rinegoziazione dal canale farmaceutico.</w:t>
      </w:r>
    </w:p>
    <w:bookmarkEnd w:id="431"/>
    <w:bookmarkEnd w:id="432"/>
    <w:bookmarkStart w:id="450" w:name="X912f0dd6078bcb12aef82d7222a62fd0ed6a07d"/>
    <w:p>
      <w:pPr>
        <w:pStyle w:val="Heading2"/>
      </w:pPr>
      <w:r>
        <w:t xml:space="preserve">8.1 La riduzione della spesa farmaceutica inappropriata</w:t>
      </w:r>
    </w:p>
    <w:p>
      <w:pPr>
        <w:pStyle w:val="FirstParagraph"/>
      </w:pPr>
      <w:r>
        <w:rPr>
          <w:i/>
          <w:iCs/>
        </w:rPr>
        <w:t xml:space="preserve">Questa voce sviluppa il primo dei quattro canali del risparmio diretto: la riduzione della spesa farmaceutica inappropriata. Essa muove dal paradosso farmaceutico pugliese — la compresenza di un consumo complessivo tra i più elevati d’Italia e di una ridotta intercettazione del disagio psichico — e ne deduce i margini di appropriatezza su cui il primo livello psicologico può agire; ricostruisce i tre meccanismi attraverso cui l’intercettazione precoce riduce la prescrizione inappropriata, distinguendo la riduzione dell’uso cronico di ansiolitici e ipnotici, l’appropriatezza delle terapie antidepressive e la riduzione della prescrizione sintomatica per i sintomi somatici funzionali; espone la catena causale che conduce dall’esito clinico al minor esborso farmaceutico e ne gradua la solidità; quantifica il risparmio del canale entro bande prudenziali per ciascuno scenario; e dichiara con franchezza i confini, le cautele e l’agenda di verifica documentale propri di questa stima.</w:t>
      </w:r>
    </w:p>
    <w:bookmarkStart w:id="435" w:name="X92f3c7db059796c9e9ba51fee34ad97c9f6642d"/>
    <w:p>
      <w:pPr>
        <w:pStyle w:val="Heading2"/>
      </w:pPr>
      <w:r>
        <w:t xml:space="preserve">8.1.1 Il paradosso farmaceutico pugliese e i margini di appropriatezza</w:t>
      </w:r>
    </w:p>
    <w:p>
      <w:pPr>
        <w:pStyle w:val="FirstParagraph"/>
      </w:pPr>
      <w:r>
        <w:t xml:space="preserve">La spesa farmaceutica costituisce il primo canale del risparmio diretto perché è, tra le voci della spesa sanitaria regionale, quella su cui l’intercettazione precoce del disagio comune produce l’effetto più immediato e meglio documentato. Il caso pugliese presenta, sotto questo profilo, una configurazione che merita di essere ricostruita con precisione, perché da essa dipende l’intero ragionamento sul margine di azione. La Regione presenta un consumo farmaceutico complessivo tra i più elevati d’Italia, dell’ordine di 1.081,9 dosi giornaliere definite ogni mille abitanti, e una spesa farmaceutica pubblica dell’ordine del 2,3 per cento del prodotto regionale</w:t>
      </w:r>
      <w:r>
        <w:rPr>
          <w:rStyle w:val="FootnoteReference"/>
        </w:rPr>
        <w:footnoteReference w:id="204"/>
      </w:r>
      <w:r>
        <w:t xml:space="preserve">. A questo elevato consumo complessivo si accompagna, però, una ridotta intercettazione del disagio psichico, misurata dal basso consumo di antidepressivi rispetto alla prevalenza stimata dei disturbi depressivi e ansiosi</w:t>
      </w:r>
      <w:r>
        <w:rPr>
          <w:rStyle w:val="FootnoteReference"/>
        </w:rPr>
        <w:footnoteReference w:id="205"/>
      </w:r>
      <w:r>
        <w:t xml:space="preserve">. La compresenza di queste due circostanze costituisce il paradosso farmaceutico pugliese: si consuma molto in farmaci, e tuttavia si tratta poco, e per via farmacologica appropriata, il disagio psichico comune.</w:t>
      </w:r>
    </w:p>
    <w:p>
      <w:pPr>
        <w:pStyle w:val="BodyText"/>
      </w:pPr>
      <w:r>
        <w:t xml:space="preserve">Questo paradosso non è una contraddizione, ma il sintomo di una distorsione che il primo livello psicologico è in grado di correggere. In assenza di un luogo dedicato all’ascolto e all’intercettazione del disagio comune, la domanda che ne deriva non scompare: si riversa altrove e assume forme improprie. Una parte si traduce in prescrizioni di ansiolitici e ipnotici protratte ben oltre i termini raccomandati, che surrogano per via chimica un ascolto e un trattamento psicologico non disponibili. Una parte si traduce in prescrizioni sintomatiche ripetute per disturbi somatici privi di causa organica accertata, che inseguono i sintomi del disagio senza riconoscerne l’origine. E una parte, paradossalmente coesistente con le precedenti, manca del tutto: è il disagio depressivo e ansioso che non riceve né il trattamento psicologico appropriato né quello farmacologico corretto, e che resta sommerso. Il margine di appropriatezza su cui la riforma agisce non è dunque la semplice riduzione del consumo, ma la sua ricomposizione: meno farmaco improprio dove esso surroga il trattamento mancato, e farmaco corretto dove esso è indicato.</w:t>
      </w:r>
    </w:p>
    <w:p>
      <w:pPr>
        <w:pStyle w:val="BodyText"/>
      </w:pPr>
      <w:r>
        <w:t xml:space="preserve">È importante chiarire fin da subito, per la correttezza della stima, che il risparmio farmaceutico diretto non coincide con una riduzione indiscriminata della spesa in farmaci, e che la sua direzione non è univoca per tutte le classi. Per gli ansiolitici e gli ipnotici, e per la prescrizione sintomatica del disagio somatizzato, l’effetto atteso è inequivocabilmente di riduzione, perché si tratta di consumo improprio che l’intercettazione rende non necessario. Per gli antidepressivi, invece, l’effetto sulla spesa è ambiguo nella direzione: l’intercettazione precoce evita, da un lato, le prescrizioni inappropriate per difetto di indicazione — i casi lievi e sotto-soglia per i quali le linee guida raccomandano l’osservazione vigile e l’intervento psicologico a bassa intensità prima del farmaco — ma può accrescere, dall’altro, le prescrizioni appropriate per i casi che oggi non ricevono alcun trattamento. La stima qui adottata tratta questa ambiguità con prudenza: il risparmio del canale antidepressivo è ricondotto soltanto alla maggiore appropriatezza della durata e della sospensione delle terapie, e non a una riduzione del numero dei trattati, sicché l’eventuale aumento delle prescrizioni appropriate non è contabilizzato come maggior costo che eroda il risparmio, ma neppure il suo evitamento è contabilizzato come risparmio.</w:t>
      </w:r>
    </w:p>
    <w:bookmarkEnd w:id="435"/>
    <w:bookmarkStart w:id="443" w:name="Xefc8242cd7ee111a9a71ac2a19ec5c8a9ff0188"/>
    <w:p>
      <w:pPr>
        <w:pStyle w:val="Heading2"/>
      </w:pPr>
      <w:r>
        <w:t xml:space="preserve">8.1.2 I tre meccanismi della riduzione della prescrizione inappropriata</w:t>
      </w:r>
    </w:p>
    <w:p>
      <w:pPr>
        <w:pStyle w:val="FirstParagraph"/>
      </w:pPr>
      <w:r>
        <w:t xml:space="preserve">Il risparmio farmaceutico diretto si forma attraverso tre meccanismi distinti, che conviene trattare separatamente perché differiscono per ampiezza, per solidità dell’evidenza e per il modo in cui si realizzano. Tutti e tre condividono una caratteristica strutturale: il risparmio si materializza attraverso la penna del prescrittore, ossia del medico di medicina generale, ma è reso possibile dall’intercettazione operata a monte dallo Psicologo di Base, che riconosce il disagio, lo accoglie e lo tratta, sottraendolo alla via farmacologica impropria. Il canale farmaceutico illustra dunque, in forma esemplare, la logica della coppia clinica descritta nella terza parte: lo psicologo intercetta, il medico prescrive in modo più appropriato, e il bilancio regionale risparmia.</w:t>
      </w:r>
    </w:p>
    <w:bookmarkStart w:id="438" w:name="X2eb86e0074454e1a88c9e5b5345406308ef51ea"/>
    <w:p>
      <w:pPr>
        <w:pStyle w:val="Heading3"/>
      </w:pPr>
      <w:r>
        <w:t xml:space="preserve">Primo meccanismo: la riduzione dell’uso cronico inappropriato di ansiolitici e ipnotici</w:t>
      </w:r>
    </w:p>
    <w:p>
      <w:pPr>
        <w:pStyle w:val="FirstParagraph"/>
      </w:pPr>
      <w:r>
        <w:t xml:space="preserve">Il primo e più ampio meccanismo riguarda l’uso cronico inappropriato di ansiolitici e ipnotici, in particolare delle benzodiazepine e dei farmaci affini. È ampiamente documentato che queste molecole, indicate per trattamenti di breve durata, vengono nella pratica prescritte e rinnovate per periodi molto più lunghi di quelli raccomandati, fino a configurare un uso cronico che le linee guida sconsigliano per il rischio di dipendenza, di compromissione cognitiva e di cadute, segnatamente nella popolazione anziana</w:t>
      </w:r>
      <w:r>
        <w:rPr>
          <w:rStyle w:val="FootnoteReference"/>
        </w:rPr>
        <w:footnoteReference w:id="206"/>
      </w:r>
      <w:r>
        <w:t xml:space="preserve">. Questo uso prolungato è, in misura rilevante, la traduzione farmacologica di un disagio ansioso e di un disturbo del sonno che troverebbero risposta più appropriata in un intervento psicologico, e che in sua assenza vengono cronicamente sedati. La letteratura sull’appropriatezza prescrittiva e sulla deprescrizione mostra che la disponibilità di un’alternativa psicologica accessibile, unita al supporto del prescrittore nella riduzione graduale, consente di interrompere o di non avviare una quota significativa di questi trattamenti cronici</w:t>
      </w:r>
      <w:r>
        <w:rPr>
          <w:rStyle w:val="FootnoteReference"/>
        </w:rPr>
        <w:footnoteReference w:id="207"/>
      </w:r>
      <w:r>
        <w:t xml:space="preserve">.</w:t>
      </w:r>
    </w:p>
    <w:p>
      <w:pPr>
        <w:pStyle w:val="BodyText"/>
      </w:pPr>
      <w:r>
        <w:t xml:space="preserve">Il meccanismo opera in due tempi. Sul flusso delle nuove prescrizioni, l’intercettazione precoce del disagio ansioso intercetta il paziente prima che la sedazione farmacologica diventi la risposta di prima istanza, e lo indirizza verso il trattamento psicologico, riducendo gli avvii di terapie destinate a cronicizzarsi. Sullo stock delle prescrizioni già in corso, la presa in carico psicologica offre al medico di medicina generale lo strumento clinico per accompagnare la sospensione graduale dei trattamenti cronici inappropriati, sostituendo la dipendenza farmacologica con la gestione attiva dell’ansia e dell’insonnia. La combinazione dei due tempi — minori avvii e maggiori sospensioni — produce, nel medio periodo, una riduzione del consumo di queste classi che si traduce direttamente in minore spesa, tanto più rilevante in una regione il cui consumo complessivo elevato segnala un ampio margine di compressione del consumo improprio.</w:t>
      </w:r>
    </w:p>
    <w:bookmarkEnd w:id="438"/>
    <w:bookmarkStart w:id="440" w:name="X3f474471f496f093ffe647b15d5be0f3ba90ed0"/>
    <w:p>
      <w:pPr>
        <w:pStyle w:val="Heading3"/>
      </w:pPr>
      <w:r>
        <w:t xml:space="preserve">Secondo meccanismo: l’appropriatezza delle terapie antidepressive</w:t>
      </w:r>
    </w:p>
    <w:p>
      <w:pPr>
        <w:pStyle w:val="FirstParagraph"/>
      </w:pPr>
      <w:r>
        <w:t xml:space="preserve">Il secondo meccanismo riguarda l’appropriatezza delle terapie antidepressive, e va trattato con la cautela imposta dall’ambiguità di direzione già segnalata. L’intercettazione precoce e la disponibilità di un trattamento psicologico a bassa intensità incidono sulla prescrizione di antidepressivi in più modi. Per i casi lievi e sotto-soglia, per i quali le linee guida internazionali raccomandano l’osservazione vigile e gli interventi psicologici prima del ricorso al farmaco, la disponibilità dell’alternativa psicologica riduce le prescrizioni avviate per difetto di indicazione, ossia in assenza di una gravità che le giustifichi</w:t>
      </w:r>
      <w:r>
        <w:rPr>
          <w:rStyle w:val="FootnoteReference"/>
        </w:rPr>
        <w:footnoteReference w:id="208"/>
      </w:r>
      <w:r>
        <w:t xml:space="preserve">. Per i casi in cui il trattamento farmacologico è appropriato, la presa in carico congiunta migliora l’aderenza e, soprattutto, governa la durata della terapia, prevenendo tanto le sospensioni premature quanto i rinnovi inerziali protratti oltre il necessario. È da quest’ultima componente — la corretta durata e la corretta sospensione — che la stima qui adottata fa derivare il risparmio del canale antidepressivo, non da una riduzione del numero dei trattati.</w:t>
      </w:r>
    </w:p>
    <w:p>
      <w:pPr>
        <w:pStyle w:val="BodyText"/>
      </w:pPr>
      <w:r>
        <w:t xml:space="preserve">La ragione di questa scelta prudenziale è esplicita e va dichiarata. Una stima che attribuisse al canale antidepressivo un risparmio derivante dalla riduzione del numero dei trattati confonderebbe due fenomeni opposti: l’evitamento delle prescrizioni inappropriate per difetto di indicazione, che genera risparmio, e la mancata prescrizione delle terapie appropriate per i casi oggi sommersi, che non è un risparmio ma una sotto-cura. Poiché l’effetto netto dell’intercettazione sul numero dei trattati può essere, nel caso pugliese, persino di segno positivo — perché la maggiore intercettazione fa emergere disagio oggi non trattato — attribuire a questo canale un risparmio fondato sulla riduzione dei trattati sarebbe metodologicamente scorretto. La stima si limita perciò alla componente inequivoca: la maggiore appropriatezza della durata, che riduce il consumo per paziente trattato senza incidere sul numero dei pazienti che ricevono il trattamento dovuto.</w:t>
      </w:r>
    </w:p>
    <w:bookmarkEnd w:id="440"/>
    <w:bookmarkStart w:id="442" w:name="X864620fe5e21faf5838056ac87f670fd1bd4221"/>
    <w:p>
      <w:pPr>
        <w:pStyle w:val="Heading3"/>
      </w:pPr>
      <w:r>
        <w:t xml:space="preserve">Terzo meccanismo: la riduzione della prescrizione sintomatica per i sintomi somatici funzionali</w:t>
      </w:r>
    </w:p>
    <w:p>
      <w:pPr>
        <w:pStyle w:val="FirstParagraph"/>
      </w:pPr>
      <w:r>
        <w:t xml:space="preserve">Il terzo meccanismo riguarda la prescrizione sintomatica ripetuta per i disturbi somatici funzionali, ossia per quei sintomi fisici — gastrointestinali, dolorosi, cardiorespiratori — privi di una causa organica accertata e in misura rilevante riconducibili al disagio psichico sottostante. In assenza di riconoscimento dell’origine psicologica, questi sintomi generano una domanda farmacologica che insegue il sintomo senza affrontarne la causa: protettori gastrici, analgesici, ansiolitici sintomatici e altri farmaci prescritti ripetutamente per dare sollievo a manifestazioni che la presa in carico psicologica ridurrebbe alla radice</w:t>
      </w:r>
      <w:r>
        <w:rPr>
          <w:rStyle w:val="FootnoteReference"/>
        </w:rPr>
        <w:footnoteReference w:id="209"/>
      </w:r>
      <w:r>
        <w:t xml:space="preserve">. L’intercettazione del disagio somatizzato, riconoscendone la natura, sostituisce alla rincorsa farmacologica del sintomo il trattamento della causa, e riduce con ciò il consumo di farmaci sintomatici impropri. È il margine della cosiddetta sostituzione diagnostica: la corretta attribuzione del sintomo alla sua origine consente di non spendere in farmaci che non agiscono sulla causa.</w:t>
      </w:r>
    </w:p>
    <w:p>
      <w:pPr>
        <w:pStyle w:val="BodyText"/>
      </w:pPr>
      <w:r>
        <w:t xml:space="preserve">I tre meccanismi, ancorché distinti, convergono verso il medesimo esito fiscale e condividono il medesimo presupposto. L’esito è la riduzione del consumo di farmaci impropri, che si traduce in minore spesa a carico del bilancio sanitario regionale. Il presupposto è l’intercettazione precoce operata dallo Psicologo di Base, che riconosce il disagio nelle sue diverse manifestazioni — ansiosa, depressiva, somatizzata — e lo sottrae alla via farmacologica impropria, restituendo al medico di medicina generale lo spazio clinico per prescrivere in modo più appropriato. È questa convergenza che consente di trattare i tre meccanismi come componenti di un unico canale, e di sommarne i risparmi all’interno di esso senza incorrere in duplicazione, poiché essi agiscono su classi di farmaci e su popolazioni distinte.</w:t>
      </w:r>
    </w:p>
    <w:bookmarkEnd w:id="442"/>
    <w:bookmarkEnd w:id="443"/>
    <w:bookmarkStart w:id="445" w:name="X73179d3169e5a9b26c8d1926086070b830b1eef"/>
    <w:p>
      <w:pPr>
        <w:pStyle w:val="Heading2"/>
      </w:pPr>
      <w:r>
        <w:t xml:space="preserve">8.1.3 La catena causale dall’esito clinico al minor esborso farmaceutico</w:t>
      </w:r>
    </w:p>
    <w:p>
      <w:pPr>
        <w:pStyle w:val="FirstParagraph"/>
      </w:pPr>
      <w:r>
        <w:t xml:space="preserve">La formazione del risparmio farmaceutico diretto può essere ricostruita come una catena causale di quattro anelli, ciascuno dei quali è sostenuto da un grado diverso di evidenza, e la cui solidità complessiva è quella del suo anello più debole. Il primo anello è l’efficacia clinica: l’integrazione strutturata della psicologia nelle cure primarie migliora gli esiti dei disturbi mentali comuni, riducendone la gravità e la durata. Questo anello è sostenuto da evidenza di qualità da moderata ad alta, ed è il più solido della catena. Il secondo anello è la modificazione del comportamento prescrittivo: la disponibilità di un’alternativa psicologica accessibile e la presa in carico congiunta modificano la prescrizione, riducendo gli avvii impropri, favorendo le sospensioni dei trattamenti cronici inappropriati e migliorando l’appropriatezza della durata. Questo anello è sostenuto da evidenza coerente ma di qualità più variabile, derivata dagli studi sull’appropriatezza prescrittiva e sulla deprescrizione.</w:t>
      </w:r>
    </w:p>
    <w:p>
      <w:pPr>
        <w:pStyle w:val="BodyText"/>
      </w:pPr>
      <w:r>
        <w:t xml:space="preserve">Il terzo anello è la traduzione della minore prescrizione in minore consumo effettivo, che dipende dall’effettiva sospensione delle terapie e dalla non sostituzione del farmaco improprio con un altro farmaco improprio. Questo anello è governato da fattori organizzativi e di aderenza, e introduce un primo margine di incertezza. Il quarto anello è la traduzione del minore consumo in minore spesa a carico del bilancio regionale, che dipende dalla struttura dei prezzi, dalla quota a carico del Servizio sanitario e dalla composizione del consumo evitato. È a questo quarto anello che si applica, con pieno vigore, il caveat sulla significatività statistica del risparmio: la letteratura che ha misurato l’effetto dell’integrazione sui costi sanitari diretti, e segnatamente sui costi farmaceutici, documenta una tendenza al risparmio i cui intervalli di confidenza non escludono lo zero</w:t>
      </w:r>
      <w:r>
        <w:rPr>
          <w:rStyle w:val="FootnoteReference"/>
        </w:rPr>
        <w:footnoteReference w:id="210"/>
      </w:r>
      <w:r>
        <w:t xml:space="preserve">. La catena, dunque, è solida nei suoi anelli clinici e si fa progressivamente più incerta nei suoi anelli economici; ed è questa struttura a giustificare l’espressione del risparmio in bande prudenziali anziché in valori puntuali.</w:t>
      </w:r>
    </w:p>
    <w:bookmarkEnd w:id="445"/>
    <w:bookmarkStart w:id="446" w:name="Xc83cc622b20086874e5ac9bb22b1e50103ff93a"/>
    <w:p>
      <w:pPr>
        <w:pStyle w:val="Heading2"/>
      </w:pPr>
      <w:r>
        <w:t xml:space="preserve">8.1.4 La quantificazione del risparmio del canale farmaceutico</w:t>
      </w:r>
    </w:p>
    <w:p>
      <w:pPr>
        <w:pStyle w:val="FirstParagraph"/>
      </w:pPr>
      <w:r>
        <w:t xml:space="preserve">La quantificazione del risparmio del canale farmaceutico applica il procedimento in cinque passaggi descritto nell’introduzione, ancorando la stima alla grandezza farmaceutica regionale e ai parametri di effetto tratti dall’evidenza, e articolandola sui tre scenari di copertura del servizio. La grandezza di ancoraggio è la spesa farmaceutica pubblica regionale, della quale si individua la frazione potenzialmente comprimibile, ossia la quota riconducibile al consumo improprio intercettabile dal primo livello psicologico attraverso i tre meccanismi descritti. Su tale frazione si applica il parametro di effetto, distinto per ciascun meccanismo e graduato secondo la qualità dell’evidenza, e quindi la quota di adesione e di copertura propria di ciascuno scenario, che cresce dalla configurazione conservativa, corrispondente a circa 450 incarichi, a quella espansiva, corrispondente a circa 900 incarichi. Su tutto opera, infine, la riduzione prudenziale che incorpora l’incertezza del quarto anello della catena causale.</w:t>
      </w:r>
    </w:p>
    <w:p>
      <w:pPr>
        <w:pStyle w:val="BodyText"/>
      </w:pPr>
      <w:r>
        <w:t xml:space="preserve">Prima di esporre la stima, conviene fissare il quadro dei dati di contesto da cui essa muove, che la tabella seguente raccoglie. Essa riporta gli indicatori del consumo e della spesa farmaceutica regionale, il loro confronto e il margine d’azione che ciascuno segnala, e costituisce la base fattuale su cui poggia la quantificazione successiva.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in Puglia</w:t>
            </w:r>
          </w:p>
        </w:tc>
        <w:tc>
          <w:tcPr>
            <w:shd w:val="clear" w:color="auto" w:fill="16264B"/>
          </w:tcPr>
          <w:p>
            <w:pPr>
              <w:pStyle w:val="Compact"/>
              <w:spacing w:after="40" w:before="40"/>
              <w:jc w:val="left"/>
            </w:pPr>
            <w:r>
              <w:rPr>
                <w:rFonts w:ascii="Cambria" w:hAnsi="Cambria" w:cs="Cambria" w:eastAsia="Cambria"/>
                <w:b/>
                <w:bCs/>
                <w:color w:val="FFFFFF"/>
                <w:sz w:val="18"/>
              </w:rPr>
              <w:t xml:space="preserve">Confronto</w:t>
            </w:r>
          </w:p>
        </w:tc>
        <w:tc>
          <w:tcPr>
            <w:shd w:val="clear" w:color="auto" w:fill="16264B"/>
          </w:tcPr>
          <w:p>
            <w:pPr>
              <w:pStyle w:val="Compact"/>
              <w:spacing w:after="40" w:before="40"/>
              <w:jc w:val="left"/>
            </w:pPr>
            <w:r>
              <w:rPr>
                <w:rFonts w:ascii="Cambria" w:hAnsi="Cambria" w:cs="Cambria" w:eastAsia="Cambria"/>
                <w:b/>
                <w:bCs/>
                <w:color w:val="FFFFFF"/>
                <w:sz w:val="18"/>
              </w:rPr>
              <w:t xml:space="preserve">Margine d’azione del primo livello psicologico</w:t>
            </w:r>
          </w:p>
        </w:tc>
      </w:tr>
      <w:tr>
        <w:tc>
          <w:tcPr/>
          <w:p>
            <w:pPr>
              <w:pStyle w:val="Compact"/>
              <w:spacing w:after="40" w:before="40"/>
              <w:jc w:val="left"/>
            </w:pPr>
            <w:r>
              <w:rPr>
                <w:rFonts w:ascii="Cambria" w:hAnsi="Cambria" w:cs="Cambria" w:eastAsia="Cambria"/>
                <w:color w:val="1A1A1A"/>
                <w:sz w:val="18"/>
              </w:rPr>
              <w:t xml:space="preserve">Consumo farmaceutico complessivo</w:t>
            </w:r>
          </w:p>
        </w:tc>
        <w:tc>
          <w:tcPr/>
          <w:p>
            <w:pPr>
              <w:pStyle w:val="Compact"/>
              <w:spacing w:after="40" w:before="40"/>
              <w:jc w:val="left"/>
            </w:pPr>
            <w:r>
              <w:rPr>
                <w:rFonts w:ascii="Cambria" w:hAnsi="Cambria" w:cs="Cambria" w:eastAsia="Cambria"/>
                <w:color w:val="1A1A1A"/>
                <w:sz w:val="18"/>
              </w:rPr>
              <w:t xml:space="preserve">~1.081,9 DDD/1.000 ab./die</w:t>
            </w:r>
          </w:p>
        </w:tc>
        <w:tc>
          <w:tcPr/>
          <w:p>
            <w:pPr>
              <w:pStyle w:val="Compact"/>
              <w:spacing w:after="40" w:before="40"/>
              <w:jc w:val="left"/>
            </w:pPr>
            <w:r>
              <w:rPr>
                <w:rFonts w:ascii="Cambria" w:hAnsi="Cambria" w:cs="Cambria" w:eastAsia="Cambria"/>
                <w:color w:val="1A1A1A"/>
                <w:sz w:val="18"/>
              </w:rPr>
              <w:t xml:space="preserve">tra i più alti d’Italia</w:t>
            </w:r>
          </w:p>
        </w:tc>
        <w:tc>
          <w:tcPr/>
          <w:p>
            <w:pPr>
              <w:pStyle w:val="Compact"/>
              <w:spacing w:after="40" w:before="40"/>
              <w:jc w:val="left"/>
            </w:pPr>
            <w:r>
              <w:rPr>
                <w:rFonts w:ascii="Cambria" w:hAnsi="Cambria" w:cs="Cambria" w:eastAsia="Cambria"/>
                <w:color w:val="1A1A1A"/>
                <w:sz w:val="18"/>
              </w:rPr>
              <w:t xml:space="preserve">sovra-consumo complessivo: ampio spazio di appropriatezza</w:t>
            </w:r>
          </w:p>
        </w:tc>
      </w:tr>
      <w:tr>
        <w:tc>
          <w:tcPr>
            <w:shd w:val="clear" w:color="auto" w:fill="F4F1EC"/>
          </w:tcPr>
          <w:p>
            <w:pPr>
              <w:pStyle w:val="Compact"/>
              <w:spacing w:after="40" w:before="40"/>
              <w:jc w:val="left"/>
            </w:pPr>
            <w:r>
              <w:rPr>
                <w:rFonts w:ascii="Cambria" w:hAnsi="Cambria" w:cs="Cambria" w:eastAsia="Cambria"/>
                <w:color w:val="1A1A1A"/>
                <w:sz w:val="18"/>
              </w:rPr>
              <w:t xml:space="preserve">Spesa farmaceutica pubblica</w:t>
            </w:r>
          </w:p>
        </w:tc>
        <w:tc>
          <w:tcPr>
            <w:shd w:val="clear" w:color="auto" w:fill="F4F1EC"/>
          </w:tcPr>
          <w:p>
            <w:pPr>
              <w:pStyle w:val="Compact"/>
              <w:spacing w:after="40" w:before="40"/>
              <w:jc w:val="left"/>
            </w:pPr>
            <w:r>
              <w:rPr>
                <w:rFonts w:ascii="Cambria" w:hAnsi="Cambria" w:cs="Cambria" w:eastAsia="Cambria"/>
                <w:color w:val="1A1A1A"/>
                <w:sz w:val="18"/>
              </w:rPr>
              <w:t xml:space="preserve">~2,3% del PIL regionale</w:t>
            </w:r>
          </w:p>
        </w:tc>
        <w:tc>
          <w:tcPr>
            <w:shd w:val="clear" w:color="auto" w:fill="F4F1EC"/>
          </w:tcPr>
          <w:p>
            <w:pPr>
              <w:pStyle w:val="Compact"/>
              <w:spacing w:after="40" w:before="40"/>
              <w:jc w:val="left"/>
            </w:pPr>
            <w:r>
              <w:rPr>
                <w:rFonts w:ascii="Cambria" w:hAnsi="Cambria" w:cs="Cambria" w:eastAsia="Cambria"/>
                <w:color w:val="1A1A1A"/>
                <w:sz w:val="18"/>
              </w:rPr>
              <w:t xml:space="preserve">superiore alla media nazionale</w:t>
            </w:r>
          </w:p>
        </w:tc>
        <w:tc>
          <w:tcPr>
            <w:shd w:val="clear" w:color="auto" w:fill="F4F1EC"/>
          </w:tcPr>
          <w:p>
            <w:pPr>
              <w:pStyle w:val="Compact"/>
              <w:spacing w:after="40" w:before="40"/>
              <w:jc w:val="left"/>
            </w:pPr>
            <w:r>
              <w:rPr>
                <w:rFonts w:ascii="Cambria" w:hAnsi="Cambria" w:cs="Cambria" w:eastAsia="Cambria"/>
                <w:color w:val="1A1A1A"/>
                <w:sz w:val="18"/>
              </w:rPr>
              <w:t xml:space="preserve">rilevanza fiscale del canale</w:t>
            </w:r>
          </w:p>
        </w:tc>
      </w:tr>
      <w:tr>
        <w:tc>
          <w:tcPr/>
          <w:p>
            <w:pPr>
              <w:pStyle w:val="Compact"/>
              <w:spacing w:after="40" w:before="40"/>
              <w:jc w:val="left"/>
            </w:pPr>
            <w:r>
              <w:rPr>
                <w:rFonts w:ascii="Cambria" w:hAnsi="Cambria" w:cs="Cambria" w:eastAsia="Cambria"/>
                <w:color w:val="1A1A1A"/>
                <w:sz w:val="18"/>
              </w:rPr>
              <w:t xml:space="preserve">Consumo di antidepressivi</w:t>
            </w:r>
          </w:p>
        </w:tc>
        <w:tc>
          <w:tcPr/>
          <w:p>
            <w:pPr>
              <w:pStyle w:val="Compact"/>
              <w:spacing w:after="40" w:before="40"/>
              <w:jc w:val="left"/>
            </w:pPr>
            <w:r>
              <w:rPr>
                <w:rFonts w:ascii="Cambria" w:hAnsi="Cambria" w:cs="Cambria" w:eastAsia="Cambria"/>
                <w:color w:val="1A1A1A"/>
                <w:sz w:val="18"/>
              </w:rPr>
              <w:t xml:space="preserve">ridotto rispetto alla prevalenza attesa</w:t>
            </w:r>
          </w:p>
        </w:tc>
        <w:tc>
          <w:tcPr/>
          <w:p>
            <w:pPr>
              <w:pStyle w:val="Compact"/>
              <w:spacing w:after="40" w:before="40"/>
              <w:jc w:val="left"/>
            </w:pPr>
            <w:r>
              <w:rPr>
                <w:rFonts w:ascii="Cambria" w:hAnsi="Cambria" w:cs="Cambria" w:eastAsia="Cambria"/>
                <w:color w:val="1A1A1A"/>
                <w:sz w:val="18"/>
              </w:rPr>
              <w:t xml:space="preserve">sotto-intercettazione del disagio</w:t>
            </w:r>
          </w:p>
        </w:tc>
        <w:tc>
          <w:tcPr/>
          <w:p>
            <w:pPr>
              <w:pStyle w:val="Compact"/>
              <w:spacing w:after="40" w:before="40"/>
              <w:jc w:val="left"/>
            </w:pPr>
            <w:r>
              <w:rPr>
                <w:rFonts w:ascii="Cambria" w:hAnsi="Cambria" w:cs="Cambria" w:eastAsia="Cambria"/>
                <w:color w:val="1A1A1A"/>
                <w:sz w:val="18"/>
              </w:rPr>
              <w:t xml:space="preserve">bassa appropriatezza per difetto: ricomposizione, non sola riduzione</w:t>
            </w:r>
          </w:p>
        </w:tc>
      </w:tr>
      <w:tr>
        <w:tc>
          <w:tcPr>
            <w:shd w:val="clear" w:color="auto" w:fill="F4F1EC"/>
          </w:tcPr>
          <w:p>
            <w:pPr>
              <w:pStyle w:val="Compact"/>
              <w:spacing w:after="40" w:before="40"/>
              <w:jc w:val="left"/>
            </w:pPr>
            <w:r>
              <w:rPr>
                <w:rFonts w:ascii="Cambria" w:hAnsi="Cambria" w:cs="Cambria" w:eastAsia="Cambria"/>
                <w:color w:val="1A1A1A"/>
                <w:sz w:val="18"/>
              </w:rPr>
              <w:t xml:space="preserve">Uso cronico di ansiolitici e ipnotici</w:t>
            </w:r>
          </w:p>
        </w:tc>
        <w:tc>
          <w:tcPr>
            <w:shd w:val="clear" w:color="auto" w:fill="F4F1EC"/>
          </w:tcPr>
          <w:p>
            <w:pPr>
              <w:pStyle w:val="Compact"/>
              <w:spacing w:after="40" w:before="40"/>
              <w:jc w:val="left"/>
            </w:pPr>
            <w:r>
              <w:rPr>
                <w:rFonts w:ascii="Cambria" w:hAnsi="Cambria" w:cs="Cambria" w:eastAsia="Cambria"/>
                <w:color w:val="1A1A1A"/>
                <w:sz w:val="18"/>
              </w:rPr>
              <w:t xml:space="preserve">elevato e protratto oltre le linee guida</w:t>
            </w:r>
          </w:p>
        </w:tc>
        <w:tc>
          <w:tcPr>
            <w:shd w:val="clear" w:color="auto" w:fill="F4F1EC"/>
          </w:tcPr>
          <w:p>
            <w:pPr>
              <w:pStyle w:val="Compact"/>
              <w:spacing w:after="40" w:before="40"/>
              <w:jc w:val="left"/>
            </w:pPr>
            <w:r>
              <w:rPr>
                <w:rFonts w:ascii="Cambria" w:hAnsi="Cambria" w:cs="Cambria" w:eastAsia="Cambria"/>
                <w:color w:val="1A1A1A"/>
                <w:sz w:val="18"/>
              </w:rPr>
              <w:t xml:space="preserve">uso cronico inappropriato diffuso</w:t>
            </w:r>
          </w:p>
        </w:tc>
        <w:tc>
          <w:tcPr>
            <w:shd w:val="clear" w:color="auto" w:fill="F4F1EC"/>
          </w:tcPr>
          <w:p>
            <w:pPr>
              <w:pStyle w:val="Compact"/>
              <w:spacing w:after="40" w:before="40"/>
              <w:jc w:val="left"/>
            </w:pPr>
            <w:r>
              <w:rPr>
                <w:rFonts w:ascii="Cambria" w:hAnsi="Cambria" w:cs="Cambria" w:eastAsia="Cambria"/>
                <w:color w:val="1A1A1A"/>
                <w:sz w:val="18"/>
              </w:rPr>
              <w:t xml:space="preserve">margine principale di risparmio (primo meccanismo)</w:t>
            </w:r>
          </w:p>
        </w:tc>
      </w:tr>
      <w:tr>
        <w:tc>
          <w:tcPr/>
          <w:p>
            <w:pPr>
              <w:pStyle w:val="Compact"/>
              <w:spacing w:after="40" w:before="40"/>
              <w:jc w:val="left"/>
            </w:pPr>
            <w:r>
              <w:rPr>
                <w:rFonts w:ascii="Cambria" w:hAnsi="Cambria" w:cs="Cambria" w:eastAsia="Cambria"/>
                <w:color w:val="1A1A1A"/>
                <w:sz w:val="18"/>
              </w:rPr>
              <w:t xml:space="preserve">Prescrizione sintomatica per sintomi funzionali</w:t>
            </w:r>
          </w:p>
        </w:tc>
        <w:tc>
          <w:tcPr/>
          <w:p>
            <w:pPr>
              <w:pStyle w:val="Compact"/>
              <w:spacing w:after="40" w:before="40"/>
              <w:jc w:val="left"/>
            </w:pPr>
            <w:r>
              <w:rPr>
                <w:rFonts w:ascii="Cambria" w:hAnsi="Cambria" w:cs="Cambria" w:eastAsia="Cambria"/>
                <w:color w:val="1A1A1A"/>
                <w:sz w:val="18"/>
              </w:rPr>
              <w:t xml:space="preserve">ripetuta e diffusa</w:t>
            </w:r>
          </w:p>
        </w:tc>
        <w:tc>
          <w:tcPr/>
          <w:p>
            <w:pPr>
              <w:pStyle w:val="Compact"/>
              <w:spacing w:after="40" w:before="40"/>
              <w:jc w:val="left"/>
            </w:pPr>
            <w:r>
              <w:rPr>
                <w:rFonts w:ascii="Cambria" w:hAnsi="Cambria" w:cs="Cambria" w:eastAsia="Cambria"/>
                <w:color w:val="1A1A1A"/>
                <w:sz w:val="18"/>
              </w:rPr>
              <w:t xml:space="preserve">rincorsa farmacologica del sintomo</w:t>
            </w:r>
          </w:p>
        </w:tc>
        <w:tc>
          <w:tcPr/>
          <w:p>
            <w:pPr>
              <w:pStyle w:val="Compact"/>
              <w:spacing w:after="40" w:before="40"/>
              <w:jc w:val="left"/>
            </w:pPr>
            <w:r>
              <w:rPr>
                <w:rFonts w:ascii="Cambria" w:hAnsi="Cambria" w:cs="Cambria" w:eastAsia="Cambria"/>
                <w:color w:val="1A1A1A"/>
                <w:sz w:val="18"/>
              </w:rPr>
              <w:t xml:space="preserve">margine di sostituzione diagnostica (terzo meccanismo)</w:t>
            </w:r>
          </w:p>
        </w:tc>
      </w:tr>
    </w:tbl>
    <w:p>
      <w:pPr>
        <w:pStyle w:val="BodyText"/>
      </w:pPr>
      <w:r>
        <w:rPr>
          <w:i/>
          <w:iCs/>
        </w:rPr>
        <w:t xml:space="preserve">Tabella 8.1 — Il contesto farmaceutico pugliese e i margini di appropriatezza. Gli indicatori di consumo e spesa sono tratti dalle fonti pubbliche nazionali e regionali e saranno sostituiti dai dati certificati regionali non appena acquisiti.</w:t>
      </w:r>
    </w:p>
    <w:p>
      <w:pPr>
        <w:pStyle w:val="BodyText"/>
      </w:pPr>
      <w:r>
        <w:t xml:space="preserve">Sulla base di questo quadro, la stima del risparmio del canale farmaceutico è articolata nelle tre componenti corrispondenti ai tre meccanismi, e per ciascuno dei tre scenari di copertura. La prima componente, relativa alla riduzione dell’uso cronico inappropriato di ansiolitici e ipnotici, costituisce la quota maggiore del risparmio, in ragione tanto dell’ampiezza del consumo improprio quanto della solidità relativa dell’evidenza sulla deprescrizione; essa è stimata in un ordine di grandezza crescente con la copertura del servizio. La seconda componente, relativa all’appropriatezza della durata delle terapie antidepressive, è stimata con maggiore prudenza, in coerenza con la scelta di ricondurre il risparmio antidepressivo alla sola durata e non al numero dei trattati. La terza componente, relativa alla riduzione della prescrizione sintomatica per i sintomi somatici funzionali, è stimata su un margine intermedio, coerente con la diffusione del fenomeno e con l’incertezza sulla quota di sintomi effettivamente riconducibili al disagio intercettabile.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risparmio farmaceutico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Riduzione dell’uso cronico inappropriato di ansiolitici e ipnotici</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~3,0</w:t>
            </w:r>
          </w:p>
        </w:tc>
      </w:tr>
      <w:tr>
        <w:tc>
          <w:tcPr>
            <w:shd w:val="clear" w:color="auto" w:fill="F4F1EC"/>
          </w:tcPr>
          <w:p>
            <w:pPr>
              <w:pStyle w:val="Compact"/>
              <w:spacing w:after="40" w:before="40"/>
              <w:jc w:val="left"/>
            </w:pPr>
            <w:r>
              <w:rPr>
                <w:rFonts w:ascii="Cambria" w:hAnsi="Cambria" w:cs="Cambria" w:eastAsia="Cambria"/>
                <w:color w:val="1A1A1A"/>
                <w:sz w:val="18"/>
              </w:rPr>
              <w:t xml:space="preserve">Appropriatezza della durata e della sospensione delle terapie antidepressive</w:t>
            </w:r>
          </w:p>
        </w:tc>
        <w:tc>
          <w:tcPr>
            <w:shd w:val="clear" w:color="auto" w:fill="F4F1EC"/>
          </w:tcPr>
          <w:p>
            <w:pPr>
              <w:pStyle w:val="Compact"/>
              <w:spacing w:after="40" w:before="40"/>
              <w:jc w:val="left"/>
            </w:pPr>
            <w:r>
              <w:rPr>
                <w:rFonts w:ascii="Cambria" w:hAnsi="Cambria" w:cs="Cambria" w:eastAsia="Cambria"/>
                <w:color w:val="1A1A1A"/>
                <w:sz w:val="18"/>
              </w:rPr>
              <w:t xml:space="preserve">~0,8</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r>
      <w:tr>
        <w:tc>
          <w:tcPr/>
          <w:p>
            <w:pPr>
              <w:pStyle w:val="Compact"/>
              <w:spacing w:after="40" w:before="40"/>
              <w:jc w:val="left"/>
            </w:pPr>
            <w:r>
              <w:rPr>
                <w:rFonts w:ascii="Cambria" w:hAnsi="Cambria" w:cs="Cambria" w:eastAsia="Cambria"/>
                <w:color w:val="1A1A1A"/>
                <w:sz w:val="18"/>
              </w:rPr>
              <w:t xml:space="preserve">Riduzione della prescrizione sintomatica per sintomi funzionali</w:t>
            </w:r>
          </w:p>
        </w:tc>
        <w:tc>
          <w:tcPr/>
          <w:p>
            <w:pPr>
              <w:pStyle w:val="Compact"/>
              <w:spacing w:after="40" w:before="40"/>
              <w:jc w:val="left"/>
            </w:pPr>
            <w:r>
              <w:rPr>
                <w:rFonts w:ascii="Cambria" w:hAnsi="Cambria" w:cs="Cambria" w:eastAsia="Cambria"/>
                <w:color w:val="1A1A1A"/>
                <w:sz w:val="18"/>
              </w:rPr>
              <w:t xml:space="preserve">~0,7</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~1,5</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Risparmio farmaceutico diretto del canale</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c>
          <w:tcPr>
            <w:shd w:val="clear" w:color="auto" w:fill="F4F1EC"/>
          </w:tcPr>
          <w:p>
            <w:pPr>
              <w:pStyle w:val="Compact"/>
              <w:spacing w:after="40" w:before="40"/>
              <w:jc w:val="left"/>
            </w:pPr>
            <w:r>
              <w:rPr>
                <w:rFonts w:ascii="Cambria" w:hAnsi="Cambria" w:cs="Cambria" w:eastAsia="Cambria"/>
                <w:color w:val="1A1A1A"/>
                <w:sz w:val="18"/>
              </w:rPr>
              <w:t xml:space="preserve">~4,0</w:t>
            </w:r>
          </w:p>
        </w:tc>
        <w:tc>
          <w:tcPr>
            <w:shd w:val="clear" w:color="auto" w:fill="F4F1EC"/>
          </w:tcPr>
          <w:p>
            <w:pPr>
              <w:pStyle w:val="Compact"/>
              <w:spacing w:after="40" w:before="40"/>
              <w:jc w:val="left"/>
            </w:pPr>
            <w:r>
              <w:rPr>
                <w:rFonts w:ascii="Cambria" w:hAnsi="Cambria" w:cs="Cambria" w:eastAsia="Cambria"/>
                <w:color w:val="1A1A1A"/>
                <w:sz w:val="18"/>
              </w:rPr>
              <w:t xml:space="preserve">~6,0</w:t>
            </w:r>
          </w:p>
        </w:tc>
      </w:tr>
    </w:tbl>
    <w:p>
      <w:pPr>
        <w:pStyle w:val="BodyText"/>
      </w:pPr>
      <w:r>
        <w:rPr>
          <w:i/>
          <w:iCs/>
        </w:rPr>
        <w:t xml:space="preserve">Tabella 8.2 — Stima prudenziale del risparmio del canale farmaceutico per scenario di copertura. Le cifre sono bande prudenziali arrotondate, coerenti con il canale farmaceutico della valutazione economica del telaio (3–6 milioni) e con l’aggregato per scenario ricomposto nella voce 8.6. L’ultima riga è la somma delle tre componenti.</w:t>
      </w:r>
    </w:p>
    <w:p>
      <w:pPr>
        <w:pStyle w:val="BodyText"/>
      </w:pPr>
      <w:r>
        <w:t xml:space="preserve">Il risparmio farmaceutico diretto del canale è dunque stimato in un ordine di grandezza compreso tra circa 3 milioni di euro l’anno nello scenario conservativo e circa 6 milioni nello scenario espansivo, con un valore intermedio dell’ordine di 4 milioni. Conviene collocare queste cifre nella loro corretta proporzione. Esse rappresentano una frazione contenuta della spesa farmaceutica pubblica regionale, coerente con la natura del margine, che non è la riduzione indiscriminata del consumo ma la compressione della sola quota impropria intercettabile; e una frazione ancora più contenuta del finanziamento sanitario regionale complessivo. La modestia relativa della cifra non è un difetto della stima, ma la sua onestà: un risparmio farmaceutico di pochi milioni, fondato su margini reali e documentati, è più credibile e più difendibile di una cifra ambiziosa fondata su un’auspicata riduzione generalizzata del consumo che la letteratura non autorizza.</w:t>
      </w:r>
    </w:p>
    <w:p>
      <w:pPr>
        <w:pStyle w:val="BodyText"/>
      </w:pPr>
      <w:r>
        <w:t xml:space="preserve">La stima incorpora inoltre la progressione non lineare propria degli scenari. Il passaggio dallo scenario conservativo a quello espansivo non raddoppia semplicemente il risparmio in proporzione agli incarichi, perché al crescere della copertura cresce la quota del bisogno intercettata a monte, e con essa la capacità di prevenire l’avvio di nuove terapie croniche inappropriate, e non soltanto di sospendere quelle in corso. La componente di prevenzione degli avvii, che agisce sul flusso delle nuove prescrizioni, cresce dunque più che proporzionalmente con la scala del servizio, mentre la componente di sospensione dello stock cresce in modo più lineare. Questa struttura, che la modellazione della undicesima parte rappresenta formalmente, spiega perché il risparmio espansivo non sia il doppio di quello conservativo a fronte di un numero di incarichi doppio.</w:t>
      </w:r>
    </w:p>
    <w:bookmarkEnd w:id="446"/>
    <w:bookmarkStart w:id="449" w:name="X48bde0b44fe06cbb436b311a8938be68d8b0a37"/>
    <w:p>
      <w:pPr>
        <w:pStyle w:val="Heading2"/>
      </w:pPr>
      <w:r>
        <w:t xml:space="preserve">8.1.5 La graduazione dell’evidenza, i confini della stima e l’agenda di verifica</w:t>
      </w:r>
    </w:p>
    <w:p>
      <w:pPr>
        <w:pStyle w:val="FirstParagraph"/>
      </w:pPr>
      <w:r>
        <w:t xml:space="preserve">La solidità della stima del canale farmaceutico va dichiarata con la stessa franchezza con cui ne sono state esposte le cifre, applicando all’evidenza che la sostiene la graduazione che lo studio impone a ogni affermazione, tanto clinica quanto economica. L’anello clinico della catena causale — il fatto che l’integrazione della psicologia nelle cure primarie migliori gli esiti dei disturbi comuni — è sostenuto da evidenza di qualità da moderata ad alta. L’anello prescrittivo — il fatto che tale integrazione riduca la prescrizione inappropriata di ansiolitici, ipnotici e farmaci sintomatici — è sostenuto da evidenza coerente ma di qualità da moderata a bassa, derivata da studi sull’appropriatezza prescrittiva e sulla deprescrizione che variano per disegno e per contesto. L’anello economico — il fatto che la minore prescrizione si traduca in un risparmio sui costi sanitari diretti statisticamente significativo — è sostenuto da evidenza di qualità bassa, poiché gli studi che hanno misurato l’effetto sui costi documentano una tendenza al risparmio i cui intervalli di confidenza attraversano lo zero</w:t>
      </w:r>
      <w:r>
        <w:rPr>
          <w:rStyle w:val="FootnoteReference"/>
        </w:rPr>
        <w:footnoteReference w:id="211"/>
      </w:r>
      <w:r>
        <w:t xml:space="preserve">. La graduazione complessiva del risparmio farmaceutico diretto è, dunque, quella del suo anello più debole: bassa, e per questo espressa in bande prudenziali.</w:t>
      </w:r>
    </w:p>
    <w:p>
      <w:pPr>
        <w:pStyle w:val="BodyText"/>
      </w:pPr>
      <w:r>
        <w:t xml:space="preserve">Da questa graduazione discendono i confini espliciti della stima. In primo luogo, il risparmio del canale farmaceutico è una grandezza fiscale diretta, e non viene in alcun punto sommato alle ricadute sociali della minore medicalizzazione del disagio — la maggiore produttività, il minore assenteismo, la migliore qualità della vita — che la nona parte tratta separatamente: la riduzione della prescrizione inappropriata genera, oltre al risparmio fiscale qui contato, benefici sociali che qui non sono contati, e la loro tenuta separata è condizione della correttezza dell’intera valutazione</w:t>
      </w:r>
      <w:r>
        <w:rPr>
          <w:rStyle w:val="FootnoteReference"/>
        </w:rPr>
        <w:footnoteReference w:id="212"/>
      </w:r>
      <w:r>
        <w:t xml:space="preserve">. In secondo luogo, la quota del risparmio attribuibile alla leva digitale e all’Intelligenza Artificiale — attraverso il supporto alla revisione prescrittiva, l’identificazione dei trattamenti cronici inappropriati e il monitoraggio dell’aderenza — non è qui aggiunta al risparmio del canale, ma è isolata e quantificata separatamente nella voce 8.5, nel rispetto della regola di non duplicazione. In terzo luogo, la stima poggia su dati di contesto pubblici, e la sua precisione è quella consentita da tali dati: la sostituzione della stima con la misura richiede l’acquisizione dei dati certificati regionali sul consumo per classe, sulla spesa e sull’appropriatezza prescrittiva, che la voce conclusiva include nell’agenda di consolidamento.</w:t>
      </w:r>
    </w:p>
    <w:p>
      <w:pPr>
        <w:pStyle w:val="BodyText"/>
      </w:pPr>
      <w:r>
        <w:t xml:space="preserve">La verifica documentale del canale farmaceutico segue, di conseguenza, un’agenda precisa. Essa richiede l’acquisizione dei dati regionali sul consumo di ansiolitici, ipnotici e antidepressivi disaggregato per classe e per durata della terapia, indispensabile per misurare l’effettiva ampiezza del consumo cronico inappropriato e il margine di compressione; dei dati sulla prescrizione sintomatica associata ai sintomi somatici funzionali, più difficili da isolare ma fondamentali per dimensionare il margine di sostituzione diagnostica; e dei dati sulla struttura dei prezzi e sulla quota a carico del Servizio sanitario, necessari per tradurre il minore consumo in minore spesa. L’acquisizione di questi dati, prevista nella fase di consolidamento, consentirà di restringere progressivamente la banda del risparmio farmaceutico e di sostituire alle stime prudenziali qui adottate misure ancorate alla realtà prescrittiva regionale. Stabiliti l’ordine di grandezza del primo canale, i suoi meccanismi, la sua graduazione e i suoi confini, la rinegoziazione può ora muovere verso il secondo canale, quello degli accessi impropri al pronto soccorso e dei ricoveri evitabili, che la voce seguente sviluppa.</w:t>
      </w:r>
    </w:p>
    <w:bookmarkEnd w:id="449"/>
    <w:bookmarkEnd w:id="450"/>
    <w:bookmarkStart w:id="463" w:name="X5271cef059b2270508991f3c8a7158d8e721642"/>
    <w:p>
      <w:pPr>
        <w:pStyle w:val="Heading2"/>
      </w:pPr>
      <w:r>
        <w:t xml:space="preserve">8.2 La riduzione degli accessi al pronto soccorso e dei ricoveri</w:t>
      </w:r>
    </w:p>
    <w:p>
      <w:pPr>
        <w:pStyle w:val="FirstParagraph"/>
      </w:pPr>
      <w:r>
        <w:rPr>
          <w:i/>
          <w:iCs/>
        </w:rPr>
        <w:t xml:space="preserve">La seconda voce sviluppa il secondo canale del risparmio diretto, quello che si forma a monte dell’acuzie ospedaliera. Essa muove dalla constatazione che una parte rilevante della domanda che oggi si riversa sul pronto soccorso e che esita in ricovero non nasce da una patologia acuta, ma dal disagio psichico comune non riconosciuto e non trattato sul territorio: il sintomo somatico privo di causa organica accertata, lo scompenso ricorrente di un disturbo d’ansia o depressivo, la crisi che giunge al servizio d’urgenza per assenza di un presidio territoriale che la prevenga. Intercettare quel disagio al primo livello, prima che esso percorra la via dell’urgenza e del ricovero, sottrae al circuito ospedaliero una quota di accessi e di degenze evitabili, e con essa la spesa che li accompagna. La voce ricostruisce il contesto pugliese dell’iper-accesso e dell’inappropriatezza, ne isola i meccanismi, ne traccia la catena causale, ne stima il risparmio entro bande prudenziali per ciascuno scenario e ne dichiara la graduazione e i confini.</w:t>
      </w:r>
    </w:p>
    <w:bookmarkStart w:id="454" w:name="Xa700bf210852cf15fc08d86423630113affd0c6"/>
    <w:p>
      <w:pPr>
        <w:pStyle w:val="Heading2"/>
      </w:pPr>
      <w:r>
        <w:t xml:space="preserve">8.2.1 Il contesto: l’iper-accesso e l’inappropriatezza nel pronto soccorso pugliese</w:t>
      </w:r>
    </w:p>
    <w:p>
      <w:pPr>
        <w:pStyle w:val="FirstParagraph"/>
      </w:pPr>
      <w:r>
        <w:t xml:space="preserve">Il sistema dell’emergenza-urgenza pugliese sostiene un carico di accessi elevato in assoluto e segnato da una quota di inappropriatezza tra le più alte del panorama nazionale. La rete dei presìdi di emergenza della Regione registra, su base annua, un volume di accessi dell’ordine di poco più di un milione e centomila prestazioni, distribuite tra i presìdi ospedalieri sede di pronto soccorso e di dipartimento di emergenza.</w:t>
      </w:r>
      <w:r>
        <w:rPr>
          <w:rStyle w:val="FootnoteReference"/>
        </w:rPr>
        <w:footnoteReference w:id="213"/>
      </w:r>
      <w:r>
        <w:t xml:space="preserve"> </w:t>
      </w:r>
      <w:r>
        <w:t xml:space="preserve">All’interno di questo volume, la quota classificata come a bassa o bassissima priorità — i codici che il sistema di triage attribuisce alle condizioni non urgenti, suscettibili di trattamento in un setting diverso da quello dell’emergenza — raggiunge una proporzione assai ampia, dell’ordine di quattro accessi su cinque.</w:t>
      </w:r>
      <w:r>
        <w:rPr>
          <w:rStyle w:val="FootnoteReference"/>
        </w:rPr>
        <w:footnoteReference w:id="214"/>
      </w:r>
      <w:r>
        <w:t xml:space="preserve"> </w:t>
      </w:r>
      <w:r>
        <w:t xml:space="preserve">La cifra, che colloca la Puglia tra le regioni a più elevata inappropriatezza del ricorso all’urgenza, misura uno spazio di azione che non è semplicemente un disagio organizzativo, ma una grandezza fiscale: ogni accesso non urgente che trova nel pronto soccorso la propria risposta consuma risorse di un setting costoso per un bisogno che un setting territoriale tratterebbe a costo assai minore.</w:t>
      </w:r>
    </w:p>
    <w:p>
      <w:pPr>
        <w:pStyle w:val="BodyText"/>
      </w:pPr>
      <w:r>
        <w:t xml:space="preserve">Entro questo ampio margine di inappropriatezza, una frazione è direttamente riconducibile al disagio psichico comune e ai suoi correlati somatici. Non si tratta dell’intera quota di accessi impropri, gran parte della quale risponde a bisogni clinici di natura diversa — la difficoltà di accesso alla medicina generale, la richiesta di prestazioni diagnostiche in tempi rapidi, l’abitudine consolidata al ricorso all’ospedale — ma di quella porzione specifica in cui il motivo dell’accesso è il sintomo somatico funzionale, la manifestazione fisica dell’ansia e della depressione, la crisi del disturbo comune non presa in carico. È questa porzione, e non l’inappropriatezza nel suo complesso, che costituisce la frazione comprimibile dal primo livello psicologico, e su di essa, e su di essa soltanto, la stima del canale si esercita. La distinzione è essenziale alla correttezza della valutazione: attribuire al solo Psicologo di Base la compressione dell’intera inappropriatezza significherebbe sovrastimare grossolanamente il risparmio, mentre isolarne la sola componente psichica significa stimare una grandezza reale e difendibile.</w:t>
      </w:r>
    </w:p>
    <w:p>
      <w:pPr>
        <w:pStyle w:val="BodyText"/>
      </w:pPr>
      <w:r>
        <w:t xml:space="preserve">Al carico del pronto soccorso si affianca quello dei ricoveri evitabili, che ne costituisce il prolungamento a valle. Una parte degli accessi impropri non si esaurisce nella prestazione d’urgenza, ma esita in un ricovero che un’adeguata presa in carico territoriale avrebbe reso non necessario. Il fenomeno assume due forme principali. La prima è il ricovero per condizioni sensibili alle cure ambulatoriali, ossia per quei quadri clinici — segnatamente quelli in cui la componente somatica del disagio psichico si intreccia con la patologia organica e ne aggrava il decorso — che una gestione territoriale tempestiva mantiene fuori dall’ospedale; il loro tasso è, in letteratura, un indicatore riconosciuto della qualità e della capillarità delle cure primarie.</w:t>
      </w:r>
      <w:r>
        <w:rPr>
          <w:rStyle w:val="FootnoteReference"/>
        </w:rPr>
        <w:footnoteReference w:id="215"/>
      </w:r>
      <w:r>
        <w:t xml:space="preserve"> </w:t>
      </w:r>
      <w:r>
        <w:t xml:space="preserve">La seconda è il ricovero psichiatrico evitabile e, soprattutto, il ri-ricovero, ossia il ritorno in reparto del paziente dimesso e non adeguatamente seguito sul territorio, che la presenza di un presidio psicologico di prossimità contribuisce a prevenire. Entrambe le forme generano una spesa ospedaliera che la riforma può comprimere agendo a monte, sul flusso che le alimenta.</w:t>
      </w:r>
    </w:p>
    <w:bookmarkEnd w:id="454"/>
    <w:bookmarkStart w:id="456" w:name="Xdbf8bbebb3c067b152cf8178430f6b86da2f093"/>
    <w:p>
      <w:pPr>
        <w:pStyle w:val="Heading2"/>
      </w:pPr>
      <w:r>
        <w:t xml:space="preserve">8.2.2 I meccanismi: dalla somatizzazione all’acuzie evitata</w:t>
      </w:r>
    </w:p>
    <w:p>
      <w:pPr>
        <w:pStyle w:val="FirstParagraph"/>
      </w:pPr>
      <w:r>
        <w:t xml:space="preserve">Il canale del pronto soccorso e dei ricoveri opera attraverso tre meccanismi distinti, accomunati dal fatto di agire prima dell’acuzie, sul flusso che la genera, anziché sull’acuzie stessa. Il primo meccanismo è la deviazione della domanda somatica funzionale dal pronto soccorso al territorio. I sintomi fisici privi di causa organica accertata — dolori toracici e addominali, palpitazioni, vertigini, dispnea sine materia — sono tra i motivi più frequenti di accesso ripetuto all’urgenza, e la loro natura psichica resta tipicamente non riconosciuta nel contesto dell’emergenza, che è strutturalmente orientato all’esclusione dell’organicità e non alla presa in carico della causa. Il paziente che la presenta riceve accertamenti, rassicurazioni e dimissioni, e ritorna, perché la causa non è stata affrontata. La disponibilità di un primo livello psicologico, a cui il medico di medicina generale e lo stesso pronto soccorso possano indirizzare questi quadri, interrompe il ciclo dell’accesso ripetuto sostituendo alla rassicurazione episodica la presa in carico della causa.</w:t>
      </w:r>
    </w:p>
    <w:p>
      <w:pPr>
        <w:pStyle w:val="BodyText"/>
      </w:pPr>
      <w:r>
        <w:t xml:space="preserve">Il secondo meccanismo è la prevenzione dell’acuzie del disturbo comune. L’ansia e la depressione non intercettate seguono, in assenza di trattamento, una traiettoria di aggravamento che può culminare nella crisi acuta — l’attacco di panico portato in pronto soccorso, lo scompenso depressivo, la crisi d’angoscia — che il servizio d’urgenza accoglie e talora ricovera. La presa in carico precoce del disturbo, alla sua prima manifestazione e prima che l’aggravamento lo renda acuto, riduce la probabilità che esso giunga al punto di rottura che richiede l’intervento d’urgenza. Il meccanismo agisce, in questo caso, sulla prevenzione secondaria: non impedisce l’insorgenza del disturbo, ma ne arresta la progressione verso la fase acuta, sottraendo al pronto soccorso e al reparto la domanda che quella fase genererebbe.</w:t>
      </w:r>
    </w:p>
    <w:p>
      <w:pPr>
        <w:pStyle w:val="BodyText"/>
      </w:pPr>
      <w:r>
        <w:t xml:space="preserve">Il terzo meccanismo è la riduzione dei ricoveri e dei ri-ricoveri attraverso la continuità territoriale. Il paziente con disturbo comune, ricoverato per un episodio acuto o per una comorbilità in cui la componente psichica aggrava quella organica, è esposto, dopo la dimissione, a un elevato rischio di ritorno in ospedale se non trova sul territorio un presidio che lo segua. La presenza dello Psicologo di Base nella rete delle cure primarie, in raccordo con il medico di medicina generale e con i servizi specialistici, fornisce quel presidio, riducendo la probabilità del ri-ricovero e contribuendo, per la componente psichica, a contenere i ricoveri per le condizioni sensibili alle cure ambulatoriali.</w:t>
      </w:r>
      <w:r>
        <w:rPr>
          <w:rStyle w:val="FootnoteReference"/>
        </w:rPr>
        <w:footnoteReference w:id="216"/>
      </w:r>
      <w:r>
        <w:t xml:space="preserve"> </w:t>
      </w:r>
      <w:r>
        <w:t xml:space="preserve">I tre meccanismi convergono, come per il canale farmaceutico, verso il medesimo esito fiscale — la minore spesa ospedaliera e di emergenza — e condividono il medesimo presupposto, l’intercettazione precoce a monte dell’acuzie; e per questo possono essere trattati come componenti di un unico canale, sommabili tra loro ma non con i risparmi degli altri canali.</w:t>
      </w:r>
    </w:p>
    <w:bookmarkEnd w:id="456"/>
    <w:bookmarkStart w:id="458" w:name="Xe1435069110c551013f6f0b1ce1906f1bcb01ae"/>
    <w:p>
      <w:pPr>
        <w:pStyle w:val="Heading2"/>
      </w:pPr>
      <w:r>
        <w:t xml:space="preserve">8.2.3 La catena causale: dall’intercettazione territoriale alla minore spesa ospedaliera</w:t>
      </w:r>
    </w:p>
    <w:p>
      <w:pPr>
        <w:pStyle w:val="FirstParagraph"/>
      </w:pPr>
      <w:r>
        <w:t xml:space="preserve">La formazione del risparmio del secondo canale può essere ricostruita, come per il primo, attraverso una catena causale a più anelli, ciascuno dei quali è sostenuto da un grado diverso di evidenza e la cui solidità complessiva è quella dell’anello più debole. Il primo anello è clinico-organizzativo: la disponibilità di un primo livello psicologico territoriale, integrato nelle cure primarie, intercetta il disagio comune e i suoi correlati somatici prima che essi percorrano la via dell’urgenza. Questo anello è sostenuto dall’evidenza sull’efficacia dei modelli di assistenza collaborativa e di cura per intensità crescente nel ridurre l’utilizzo dei servizi ad alta intensità, ed è di qualità da moderata ad alta.</w:t>
      </w:r>
    </w:p>
    <w:p>
      <w:pPr>
        <w:pStyle w:val="BodyText"/>
      </w:pPr>
      <w:r>
        <w:t xml:space="preserve">Il secondo anello è comportamentale: l’intercettazione territoriale modifica il percorso del paziente, sostituendo all’accesso ripetuto al pronto soccorso e al ricovero la presa in carico ambulatoriale, e riduce così il volume degli accessi impropri e delle degenze evitabili. Questo anello è sostenuto da evidenza coerente ma di qualità più variabile, perché la misura in cui l’offerta territoriale effettivamente devia la domanda dipende da fattori organizzativi e culturali — l’integrazione tra i livelli, l’accessibilità del primo livello, le abitudini di ricorso — che variano da contesto a contesto. Il terzo anello è economico: la riduzione degli accessi e dei ricoveri si traduce in minore spesa per il bilancio sanitario regionale. Anche qui, come per il canale farmaceutico, l’anello economico è il più debole della catena, perché la letteratura che ha misurato l’effetto dei modelli integrati sui costi documenta una tendenza al risparmio i cui intervalli di confidenza non sempre raggiungono la significatività statistica.</w:t>
      </w:r>
      <w:r>
        <w:rPr>
          <w:rStyle w:val="FootnoteReference"/>
        </w:rPr>
        <w:footnoteReference w:id="217"/>
      </w:r>
      <w:r>
        <w:t xml:space="preserve"> </w:t>
      </w:r>
      <w:r>
        <w:t xml:space="preserve">La graduazione complessiva del canale è, di conseguenza, quella del suo anello economico, e impone la rappresentazione del risparmio in bande prudenziali anziché in valori puntuali.</w:t>
      </w:r>
    </w:p>
    <w:bookmarkEnd w:id="458"/>
    <w:bookmarkStart w:id="459" w:name="X5a32c496549d3812693c9c66a63b030780fb244"/>
    <w:p>
      <w:pPr>
        <w:pStyle w:val="Heading2"/>
      </w:pPr>
      <w:r>
        <w:t xml:space="preserve">8.2.4 La quantificazione del canale: componenti e scenari</w:t>
      </w:r>
    </w:p>
    <w:p>
      <w:pPr>
        <w:pStyle w:val="FirstParagraph"/>
      </w:pPr>
      <w:r>
        <w:t xml:space="preserve">La quantificazione del secondo canale procede secondo il medesimo metodo in cinque passaggi adottato per il primo: individuazione della grandezza regionale di ancoraggio, isolamento della frazione comprimibile, applicazione del parametro di effetto, introduzione della quota di copertura per scenario e riduzione prudenziale. La grandezza di ancoraggio è duplice, perché il canale agisce su due aggregati distinti: il costo degli accessi impropri al pronto soccorso, da un lato, e il costo dei ricoveri evitabili, dall’altro. La tabella che segue ricostruisce, sui dati pubblici disponibili, le due grandezze e i margini su cui il canale opera, distinguendo la componente dell’emergenza da quella della degenza.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Aggregato di ancoraggio</w:t>
            </w:r>
          </w:p>
        </w:tc>
        <w:tc>
          <w:tcPr>
            <w:shd w:val="clear" w:color="auto" w:fill="16264B"/>
          </w:tcPr>
          <w:p>
            <w:pPr>
              <w:pStyle w:val="Compact"/>
              <w:spacing w:after="40" w:before="40"/>
              <w:jc w:val="left"/>
            </w:pPr>
            <w:r>
              <w:rPr>
                <w:rFonts w:ascii="Cambria" w:hAnsi="Cambria" w:cs="Cambria" w:eastAsia="Cambria"/>
                <w:b/>
                <w:bCs/>
                <w:color w:val="FFFFFF"/>
                <w:sz w:val="18"/>
              </w:rPr>
              <w:t xml:space="preserve">Grandezza in Puglia</w:t>
            </w:r>
          </w:p>
        </w:tc>
        <w:tc>
          <w:tcPr>
            <w:shd w:val="clear" w:color="auto" w:fill="16264B"/>
          </w:tcPr>
          <w:p>
            <w:pPr>
              <w:pStyle w:val="Compact"/>
              <w:spacing w:after="40" w:before="40"/>
              <w:jc w:val="left"/>
            </w:pPr>
            <w:r>
              <w:rPr>
                <w:rFonts w:ascii="Cambria" w:hAnsi="Cambria" w:cs="Cambria" w:eastAsia="Cambria"/>
                <w:b/>
                <w:bCs/>
                <w:color w:val="FFFFFF"/>
                <w:sz w:val="18"/>
              </w:rPr>
              <w:t xml:space="preserve">Frazione comprimibile dal primo livello psicologico</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del risparmio</w:t>
            </w:r>
          </w:p>
        </w:tc>
      </w:tr>
      <w:tr>
        <w:tc>
          <w:tcPr/>
          <w:p>
            <w:pPr>
              <w:pStyle w:val="Compact"/>
              <w:spacing w:after="40" w:before="40"/>
              <w:jc w:val="left"/>
            </w:pPr>
            <w:r>
              <w:rPr>
                <w:rFonts w:ascii="Cambria" w:hAnsi="Cambria" w:cs="Cambria" w:eastAsia="Cambria"/>
                <w:color w:val="1A1A1A"/>
                <w:sz w:val="18"/>
              </w:rPr>
              <w:t xml:space="preserve">Accessi al pronto soccorso</w:t>
            </w:r>
          </w:p>
        </w:tc>
        <w:tc>
          <w:tcPr/>
          <w:p>
            <w:pPr>
              <w:pStyle w:val="Compact"/>
              <w:spacing w:after="40" w:before="40"/>
              <w:jc w:val="left"/>
            </w:pPr>
            <w:r>
              <w:rPr>
                <w:rFonts w:ascii="Cambria" w:hAnsi="Cambria" w:cs="Cambria" w:eastAsia="Cambria"/>
                <w:color w:val="1A1A1A"/>
                <w:sz w:val="18"/>
              </w:rPr>
              <w:t xml:space="preserve">~1.142.000 accessi/anno · ~80% a bassa priorità</w:t>
            </w:r>
          </w:p>
        </w:tc>
        <w:tc>
          <w:tcPr/>
          <w:p>
            <w:pPr>
              <w:pStyle w:val="Compact"/>
              <w:spacing w:after="40" w:before="40"/>
              <w:jc w:val="left"/>
            </w:pPr>
            <w:r>
              <w:rPr>
                <w:rFonts w:ascii="Cambria" w:hAnsi="Cambria" w:cs="Cambria" w:eastAsia="Cambria"/>
                <w:color w:val="1A1A1A"/>
                <w:sz w:val="18"/>
              </w:rPr>
              <w:t xml:space="preserve">la sola quota a matrice psichica: somatizzazione funzionale, crisi del disturbo comune</w:t>
            </w:r>
          </w:p>
        </w:tc>
        <w:tc>
          <w:tcPr/>
          <w:p>
            <w:pPr>
              <w:pStyle w:val="Compact"/>
              <w:spacing w:after="40" w:before="40"/>
              <w:jc w:val="left"/>
            </w:pPr>
            <w:r>
              <w:rPr>
                <w:rFonts w:ascii="Cambria" w:hAnsi="Cambria" w:cs="Cambria" w:eastAsia="Cambria"/>
                <w:color w:val="1A1A1A"/>
                <w:sz w:val="18"/>
              </w:rPr>
              <w:t xml:space="preserve">componente pronto soccorso</w:t>
            </w:r>
          </w:p>
        </w:tc>
      </w:tr>
      <w:tr>
        <w:tc>
          <w:tcPr>
            <w:shd w:val="clear" w:color="auto" w:fill="F4F1EC"/>
          </w:tcPr>
          <w:p>
            <w:pPr>
              <w:pStyle w:val="Compact"/>
              <w:spacing w:after="40" w:before="40"/>
              <w:jc w:val="left"/>
            </w:pPr>
            <w:r>
              <w:rPr>
                <w:rFonts w:ascii="Cambria" w:hAnsi="Cambria" w:cs="Cambria" w:eastAsia="Cambria"/>
                <w:color w:val="1A1A1A"/>
                <w:sz w:val="18"/>
              </w:rPr>
              <w:t xml:space="preserve">Ricoveri per condizioni sensibili alle cure ambulatoriali</w:t>
            </w:r>
          </w:p>
        </w:tc>
        <w:tc>
          <w:tcPr>
            <w:shd w:val="clear" w:color="auto" w:fill="F4F1EC"/>
          </w:tcPr>
          <w:p>
            <w:pPr>
              <w:pStyle w:val="Compact"/>
              <w:spacing w:after="40" w:before="40"/>
              <w:jc w:val="left"/>
            </w:pPr>
            <w:r>
              <w:rPr>
                <w:rFonts w:ascii="Cambria" w:hAnsi="Cambria" w:cs="Cambria" w:eastAsia="Cambria"/>
                <w:color w:val="1A1A1A"/>
                <w:sz w:val="18"/>
              </w:rPr>
              <w:t xml:space="preserve">quota dei ricoveri medici prevenibili sul territorio</w:t>
            </w:r>
          </w:p>
        </w:tc>
        <w:tc>
          <w:tcPr>
            <w:shd w:val="clear" w:color="auto" w:fill="F4F1EC"/>
          </w:tcPr>
          <w:p>
            <w:pPr>
              <w:pStyle w:val="Compact"/>
              <w:spacing w:after="40" w:before="40"/>
              <w:jc w:val="left"/>
            </w:pPr>
            <w:r>
              <w:rPr>
                <w:rFonts w:ascii="Cambria" w:hAnsi="Cambria" w:cs="Cambria" w:eastAsia="Cambria"/>
                <w:color w:val="1A1A1A"/>
                <w:sz w:val="18"/>
              </w:rPr>
              <w:t xml:space="preserve">la componente in cui il disagio psichico aggrava il decorso e precipita la degenza</w:t>
            </w:r>
          </w:p>
        </w:tc>
        <w:tc>
          <w:tcPr>
            <w:shd w:val="clear" w:color="auto" w:fill="F4F1EC"/>
          </w:tcPr>
          <w:p>
            <w:pPr>
              <w:pStyle w:val="Compact"/>
              <w:spacing w:after="40" w:before="40"/>
              <w:jc w:val="left"/>
            </w:pPr>
            <w:r>
              <w:rPr>
                <w:rFonts w:ascii="Cambria" w:hAnsi="Cambria" w:cs="Cambria" w:eastAsia="Cambria"/>
                <w:color w:val="1A1A1A"/>
                <w:sz w:val="18"/>
              </w:rPr>
              <w:t xml:space="preserve">componente ricoveri medici evitabili</w:t>
            </w:r>
          </w:p>
        </w:tc>
      </w:tr>
      <w:tr>
        <w:tc>
          <w:tcPr/>
          <w:p>
            <w:pPr>
              <w:pStyle w:val="Compact"/>
              <w:spacing w:after="40" w:before="40"/>
              <w:jc w:val="left"/>
            </w:pPr>
            <w:r>
              <w:rPr>
                <w:rFonts w:ascii="Cambria" w:hAnsi="Cambria" w:cs="Cambria" w:eastAsia="Cambria"/>
                <w:color w:val="1A1A1A"/>
                <w:sz w:val="18"/>
              </w:rPr>
              <w:t xml:space="preserve">Ricoveri e ri-ricoveri psichiatrici</w:t>
            </w:r>
          </w:p>
        </w:tc>
        <w:tc>
          <w:tcPr/>
          <w:p>
            <w:pPr>
              <w:pStyle w:val="Compact"/>
              <w:spacing w:after="40" w:before="40"/>
              <w:jc w:val="left"/>
            </w:pPr>
            <w:r>
              <w:rPr>
                <w:rFonts w:ascii="Cambria" w:hAnsi="Cambria" w:cs="Cambria" w:eastAsia="Cambria"/>
                <w:color w:val="1A1A1A"/>
                <w:sz w:val="18"/>
              </w:rPr>
              <w:t xml:space="preserve">degenze e ritorni in reparto del disturbo comune scompensato</w:t>
            </w:r>
          </w:p>
        </w:tc>
        <w:tc>
          <w:tcPr/>
          <w:p>
            <w:pPr>
              <w:pStyle w:val="Compact"/>
              <w:spacing w:after="40" w:before="40"/>
              <w:jc w:val="left"/>
            </w:pPr>
            <w:r>
              <w:rPr>
                <w:rFonts w:ascii="Cambria" w:hAnsi="Cambria" w:cs="Cambria" w:eastAsia="Cambria"/>
                <w:color w:val="1A1A1A"/>
                <w:sz w:val="18"/>
              </w:rPr>
              <w:t xml:space="preserve">la quota prevenibile dalla continuità territoriale post-dimissione</w:t>
            </w:r>
          </w:p>
        </w:tc>
        <w:tc>
          <w:tcPr/>
          <w:p>
            <w:pPr>
              <w:pStyle w:val="Compact"/>
              <w:spacing w:after="40" w:before="40"/>
              <w:jc w:val="left"/>
            </w:pPr>
            <w:r>
              <w:rPr>
                <w:rFonts w:ascii="Cambria" w:hAnsi="Cambria" w:cs="Cambria" w:eastAsia="Cambria"/>
                <w:color w:val="1A1A1A"/>
                <w:sz w:val="18"/>
              </w:rPr>
              <w:t xml:space="preserve">componente ricoveri psichiatrici evitabili</w:t>
            </w:r>
          </w:p>
        </w:tc>
      </w:tr>
    </w:tbl>
    <w:p>
      <w:pPr>
        <w:pStyle w:val="BodyText"/>
      </w:pPr>
      <w:r>
        <w:rPr>
          <w:i/>
          <w:iCs/>
        </w:rPr>
        <w:t xml:space="preserve">Tabella 8.3 — Gli aggregati di ancoraggio del secondo canale e i margini di compressione. I volumi del pronto soccorso sono tratti dalle fonti pubbliche regionali e saranno sostituiti dai dati certificati; le frazioni comprimibili riguardano la sola componente a matrice psichica, distinta dall’inappropriatezza complessiva.</w:t>
      </w:r>
    </w:p>
    <w:p>
      <w:pPr>
        <w:pStyle w:val="BodyText"/>
      </w:pPr>
      <w:r>
        <w:t xml:space="preserve">Sulla base di questo quadro, la stima del risparmio del secondo canale è articolata nelle tre componenti corrispondenti ai tre aggregati, e per ciascuno dei tre scenari di copertura. La componente del pronto soccorso, relativa alla deviazione degli accessi impropri a matrice psichica, è stimata con prudenza, in ragione tanto della difficoltà di isolare la quota effettivamente psichica entro l’ampia inappropriatezza complessiva quanto del costo unitario relativamente contenuto del singolo accesso. La componente dei ricoveri medici evitabili costituisce, per il suo maggiore costo unitario, la quota prevalente del risparmio del canale, ed è stimata in un ordine di grandezza crescente con la copertura. La componente dei ricoveri psichiatrici evitabili è stimata su un margine intermedio, coerente con la rilevanza del fenomeno del ri-ricovero e con l’incertezza sulla quota effettivamente prevenibile dalla sola continuità territoriale.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risparmio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Deviazione degli accessi impropri al pronto soccorso (quota psichica)</w:t>
            </w:r>
          </w:p>
        </w:tc>
        <w:tc>
          <w:tcPr/>
          <w:p>
            <w:pPr>
              <w:pStyle w:val="Compact"/>
              <w:spacing w:after="40" w:before="40"/>
              <w:jc w:val="left"/>
            </w:pPr>
            <w:r>
              <w:rPr>
                <w:rFonts w:ascii="Cambria" w:hAnsi="Cambria" w:cs="Cambria" w:eastAsia="Cambria"/>
                <w:color w:val="1A1A1A"/>
                <w:sz w:val="18"/>
              </w:rPr>
              <w:t xml:space="preserve">~3,0</w:t>
            </w:r>
          </w:p>
        </w:tc>
        <w:tc>
          <w:tcPr/>
          <w:p>
            <w:pPr>
              <w:pStyle w:val="Compact"/>
              <w:spacing w:after="40" w:before="40"/>
              <w:jc w:val="left"/>
            </w:pPr>
            <w:r>
              <w:rPr>
                <w:rFonts w:ascii="Cambria" w:hAnsi="Cambria" w:cs="Cambria" w:eastAsia="Cambria"/>
                <w:color w:val="1A1A1A"/>
                <w:sz w:val="18"/>
              </w:rPr>
              <w:t xml:space="preserve">~4,0</w:t>
            </w:r>
          </w:p>
        </w:tc>
        <w:tc>
          <w:tcPr/>
          <w:p>
            <w:pPr>
              <w:pStyle w:val="Compact"/>
              <w:spacing w:after="40" w:before="40"/>
              <w:jc w:val="left"/>
            </w:pPr>
            <w:r>
              <w:rPr>
                <w:rFonts w:ascii="Cambria" w:hAnsi="Cambria" w:cs="Cambria" w:eastAsia="Cambria"/>
                <w:color w:val="1A1A1A"/>
                <w:sz w:val="18"/>
              </w:rPr>
              <w:t xml:space="preserve">~5,0</w:t>
            </w:r>
          </w:p>
        </w:tc>
      </w:tr>
      <w:tr>
        <w:tc>
          <w:tcPr>
            <w:shd w:val="clear" w:color="auto" w:fill="F4F1EC"/>
          </w:tcPr>
          <w:p>
            <w:pPr>
              <w:pStyle w:val="Compact"/>
              <w:spacing w:after="40" w:before="40"/>
              <w:jc w:val="left"/>
            </w:pPr>
            <w:r>
              <w:rPr>
                <w:rFonts w:ascii="Cambria" w:hAnsi="Cambria" w:cs="Cambria" w:eastAsia="Cambria"/>
                <w:color w:val="1A1A1A"/>
                <w:sz w:val="18"/>
              </w:rPr>
              <w:t xml:space="preserve">Riduzione dei ricoveri medici evitabili (componente psichica)</w:t>
            </w:r>
          </w:p>
        </w:tc>
        <w:tc>
          <w:tcPr>
            <w:shd w:val="clear" w:color="auto" w:fill="F4F1EC"/>
          </w:tcPr>
          <w:p>
            <w:pPr>
              <w:pStyle w:val="Compact"/>
              <w:spacing w:after="40" w:before="40"/>
              <w:jc w:val="left"/>
            </w:pPr>
            <w:r>
              <w:rPr>
                <w:rFonts w:ascii="Cambria" w:hAnsi="Cambria" w:cs="Cambria" w:eastAsia="Cambria"/>
                <w:color w:val="1A1A1A"/>
                <w:sz w:val="18"/>
              </w:rPr>
              <w:t xml:space="preserve">~4,0</w:t>
            </w:r>
          </w:p>
        </w:tc>
        <w:tc>
          <w:tcPr>
            <w:shd w:val="clear" w:color="auto" w:fill="F4F1EC"/>
          </w:tcPr>
          <w:p>
            <w:pPr>
              <w:pStyle w:val="Compact"/>
              <w:spacing w:after="40" w:before="40"/>
              <w:jc w:val="left"/>
            </w:pPr>
            <w:r>
              <w:rPr>
                <w:rFonts w:ascii="Cambria" w:hAnsi="Cambria" w:cs="Cambria" w:eastAsia="Cambria"/>
                <w:color w:val="1A1A1A"/>
                <w:sz w:val="18"/>
              </w:rPr>
              <w:t xml:space="preserve">~8,0</w:t>
            </w:r>
          </w:p>
        </w:tc>
        <w:tc>
          <w:tcPr>
            <w:shd w:val="clear" w:color="auto" w:fill="F4F1EC"/>
          </w:tcPr>
          <w:p>
            <w:pPr>
              <w:pStyle w:val="Compact"/>
              <w:spacing w:after="40" w:before="40"/>
              <w:jc w:val="left"/>
            </w:pPr>
            <w:r>
              <w:rPr>
                <w:rFonts w:ascii="Cambria" w:hAnsi="Cambria" w:cs="Cambria" w:eastAsia="Cambria"/>
                <w:color w:val="1A1A1A"/>
                <w:sz w:val="18"/>
              </w:rPr>
              <w:t xml:space="preserve">~12,0</w:t>
            </w:r>
          </w:p>
        </w:tc>
      </w:tr>
      <w:tr>
        <w:tc>
          <w:tcPr/>
          <w:p>
            <w:pPr>
              <w:pStyle w:val="Compact"/>
              <w:spacing w:after="40" w:before="40"/>
              <w:jc w:val="left"/>
            </w:pPr>
            <w:r>
              <w:rPr>
                <w:rFonts w:ascii="Cambria" w:hAnsi="Cambria" w:cs="Cambria" w:eastAsia="Cambria"/>
                <w:color w:val="1A1A1A"/>
                <w:sz w:val="18"/>
              </w:rPr>
              <w:t xml:space="preserve">Riduzione dei ricoveri e ri-ricoveri psichiatrici evitabili</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~4,0</w:t>
            </w:r>
          </w:p>
        </w:tc>
        <w:tc>
          <w:tcPr/>
          <w:p>
            <w:pPr>
              <w:pStyle w:val="Compact"/>
              <w:spacing w:after="40" w:before="40"/>
              <w:jc w:val="left"/>
            </w:pPr>
            <w:r>
              <w:rPr>
                <w:rFonts w:ascii="Cambria" w:hAnsi="Cambria" w:cs="Cambria" w:eastAsia="Cambria"/>
                <w:color w:val="1A1A1A"/>
                <w:sz w:val="18"/>
              </w:rPr>
              <w:t xml:space="preserve">~6,0</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Risparmio diretto del canale pronto soccorso e ricoveri</w:t>
            </w:r>
          </w:p>
        </w:tc>
        <w:tc>
          <w:tcPr>
            <w:shd w:val="clear" w:color="auto" w:fill="F4F1EC"/>
          </w:tcPr>
          <w:p>
            <w:pPr>
              <w:pStyle w:val="Compact"/>
              <w:spacing w:after="40" w:before="40"/>
              <w:jc w:val="left"/>
            </w:pPr>
            <w:r>
              <w:rPr>
                <w:rFonts w:ascii="Cambria" w:hAnsi="Cambria" w:cs="Cambria" w:eastAsia="Cambria"/>
                <w:color w:val="1A1A1A"/>
                <w:sz w:val="18"/>
              </w:rPr>
              <w:t xml:space="preserve">~9,0</w:t>
            </w:r>
          </w:p>
        </w:tc>
        <w:tc>
          <w:tcPr>
            <w:shd w:val="clear" w:color="auto" w:fill="F4F1EC"/>
          </w:tcPr>
          <w:p>
            <w:pPr>
              <w:pStyle w:val="Compact"/>
              <w:spacing w:after="40" w:before="40"/>
              <w:jc w:val="left"/>
            </w:pPr>
            <w:r>
              <w:rPr>
                <w:rFonts w:ascii="Cambria" w:hAnsi="Cambria" w:cs="Cambria" w:eastAsia="Cambria"/>
                <w:color w:val="1A1A1A"/>
                <w:sz w:val="18"/>
              </w:rPr>
              <w:t xml:space="preserve">~16,0</w:t>
            </w:r>
          </w:p>
        </w:tc>
        <w:tc>
          <w:tcPr>
            <w:shd w:val="clear" w:color="auto" w:fill="F4F1EC"/>
          </w:tcPr>
          <w:p>
            <w:pPr>
              <w:pStyle w:val="Compact"/>
              <w:spacing w:after="40" w:before="40"/>
              <w:jc w:val="left"/>
            </w:pPr>
            <w:r>
              <w:rPr>
                <w:rFonts w:ascii="Cambria" w:hAnsi="Cambria" w:cs="Cambria" w:eastAsia="Cambria"/>
                <w:color w:val="1A1A1A"/>
                <w:sz w:val="18"/>
              </w:rPr>
              <w:t xml:space="preserve">~23,0</w:t>
            </w:r>
          </w:p>
        </w:tc>
      </w:tr>
    </w:tbl>
    <w:p>
      <w:pPr>
        <w:pStyle w:val="BodyText"/>
      </w:pPr>
      <w:r>
        <w:rPr>
          <w:i/>
          <w:iCs/>
        </w:rPr>
        <w:t xml:space="preserve">Tabella 8.4 — Stima prudenziale del risparmio del canale pronto soccorso e ricoveri per scenario. Le cifre sono bande prudenziali arrotondate, coerenti con il canale del pronto soccorso (3–5 milioni) e con la componente ricoveri della valutazione economica del telaio, e con l’aggregato per scenario ricomposto nella voce 8.6. L’ultima riga è la somma delle tre componenti.</w:t>
      </w:r>
    </w:p>
    <w:p>
      <w:pPr>
        <w:pStyle w:val="BodyText"/>
      </w:pPr>
      <w:r>
        <w:t xml:space="preserve">Il risparmio diretto del secondo canale è dunque stimato in un ordine di grandezza compreso tra circa 9 milioni di euro l’anno nello scenario conservativo e circa 23 milioni nello scenario espansivo, con un valore intermedio dell’ordine di 16 milioni. È, dei quattro canali, quello di maggiore consistenza, e la ragione risiede nella struttura dei costi del sistema: il pronto soccorso e, soprattutto, il ricovero sono i setting più onerosi dell’intero ciclo assistenziale, sicché anche una compressione di volume contenuta, applicata a un costo unitario elevato, genera un risparmio assoluto significativo. È questa, e non un’ottimistica ipotesi di svuotamento dell’ospedale, la ragione del peso del canale: l’evitamento di una quota modesta delle degenze più costose vale, in termini fiscali, più della compressione di volumi assai maggiori di prestazioni a basso costo unitario.</w:t>
      </w:r>
    </w:p>
    <w:p>
      <w:pPr>
        <w:pStyle w:val="BodyText"/>
      </w:pPr>
      <w:r>
        <w:t xml:space="preserve">Anche per questo canale la stima incorpora la progressione non lineare propria degli scenari. Al crescere della copertura cresce non soltanto il numero dei pazienti intercettati, ma la tempestività dell’intercettazione, e con essa la capacità di prevenire l’acuzie prima che essa si manifesti, e non soltanto di gestirne le conseguenze. La componente di prevenzione dell’acuzie, che agisce sul flusso dei nuovi episodi acuti, cresce dunque più che proporzionalmente con la scala del servizio, mentre la componente di gestione del ri-ricovero, che agisce sullo stock dei pazienti già transitati per l’ospedale, cresce in modo più lineare. La modellazione dell’undicesima parte rappresenta formalmente questa struttura, che spiega perché il risparmio espansivo del canale non sia il semplice multiplo di quello conservativo in proporzione agli incarichi.</w:t>
      </w:r>
    </w:p>
    <w:bookmarkEnd w:id="459"/>
    <w:bookmarkStart w:id="462" w:name="X6139b4c20ea6b500282c1e84146d888f7ae609a"/>
    <w:p>
      <w:pPr>
        <w:pStyle w:val="Heading2"/>
      </w:pPr>
      <w:r>
        <w:t xml:space="preserve">8.2.5 La graduazione dell’evidenza, i confini della stima e l’agenda di verifica</w:t>
      </w:r>
    </w:p>
    <w:p>
      <w:pPr>
        <w:pStyle w:val="FirstParagraph"/>
      </w:pPr>
      <w:r>
        <w:t xml:space="preserve">La solidità della stima del secondo canale va dichiarata con la medesima franchezza adottata per il primo. L’anello clinico-organizzativo della catena causale — il fatto che un primo livello psicologico integrato nelle cure primarie riduca l’utilizzo dei servizi ad alta intensità — è sostenuto da evidenza di qualità da moderata ad alta, derivata dagli studi sui modelli di assistenza collaborativa e di cura per intensità crescente. L’anello comportamentale — il fatto che l’offerta territoriale effettivamente devii la domanda dal pronto soccorso e dal ricovero — è sostenuto da evidenza coerente ma di qualità da moderata a bassa, in ragione della dipendenza dell’effetto da fattori organizzativi e culturali. L’anello economico — il fatto che la minore acuzie si traduca in un risparmio statisticamente significativo sui costi ospedalieri — è sostenuto da evidenza di qualità bassa, in coerenza con il caveat invariante.</w:t>
      </w:r>
      <w:r>
        <w:rPr>
          <w:rStyle w:val="FootnoteReference"/>
        </w:rPr>
        <w:footnoteReference w:id="218"/>
      </w:r>
      <w:r>
        <w:t xml:space="preserve"> </w:t>
      </w:r>
      <w:r>
        <w:t xml:space="preserve">La graduazione complessiva del canale è, dunque, bassa, e per questo il risparmio è espresso in bande prudenziali.</w:t>
      </w:r>
    </w:p>
    <w:p>
      <w:pPr>
        <w:pStyle w:val="BodyText"/>
      </w:pPr>
      <w:r>
        <w:t xml:space="preserve">Da questa graduazione discendono i confini della stima. In primo luogo, il risparmio del canale è una grandezza fiscale diretta, e non viene sommato alle ricadute sociali che la minore acuzie genera — la maggiore continuità lavorativa del paziente non ricoverato, il minore carico sui familiari, la migliore qualità della vita — che la nona parte tratta separatamente.</w:t>
      </w:r>
      <w:r>
        <w:rPr>
          <w:rStyle w:val="FootnoteReference"/>
        </w:rPr>
        <w:footnoteReference w:id="219"/>
      </w:r>
      <w:r>
        <w:t xml:space="preserve"> </w:t>
      </w:r>
      <w:r>
        <w:t xml:space="preserve">In secondo luogo, la quota del risparmio attribuibile alla leva digitale e all’Intelligenza Artificiale, attraverso la stratificazione del rischio e l’identificazione precoce dei pazienti a maggiore probabilità di accesso improprio o di ri-ricovero, non è qui aggiunta al risparmio del canale, ma è isolata nella voce 8.5. In terzo luogo, la stima riguarda la sola componente a matrice psichica dell’inappropriatezza e dei ricoveri evitabili, e non l’inappropriatezza nel suo complesso, gran parte della quale risponde a bisogni che esulano dal mandato del primo livello psicologico: questa delimitazione è la condizione della difendibilità della cifra.</w:t>
      </w:r>
    </w:p>
    <w:p>
      <w:pPr>
        <w:pStyle w:val="BodyText"/>
      </w:pPr>
      <w:r>
        <w:t xml:space="preserve">La verifica documentale del secondo canale segue un’agenda precisa. Essa richiede l’acquisizione dei dati regionali sugli accessi al pronto soccorso disaggregati per codice di priorità e per motivo dell’accesso, indispensabile per isolare la quota a matrice psichica entro l’inappropriatezza complessiva; dei dati sui ricoveri per condizioni sensibili alle cure ambulatoriali e sui ri-ricoveri psichiatrici, necessari per dimensionare la componente prevenibile della degenza; e dei dati sui costi unitari medi dell’accesso e della giornata di degenza, necessari per tradurre la minore acuzie in minore spesa. L’acquisizione di questi dati, prevista nella fase di consolidamento, consentirà di restringere la banda del risparmio e di sostituire alle stime prudenziali misure ancorate alla realtà del sistema dell’emergenza e della degenza regionale. Stabiliti l’ordine di grandezza del secondo canale, i suoi meccanismi e i suoi confini, la rinegoziazione può ora muovere verso il terzo canale, il più distintivo del caso pugliese: la riduzione della mobilità sanitaria passiva.</w:t>
      </w:r>
    </w:p>
    <w:bookmarkEnd w:id="462"/>
    <w:bookmarkEnd w:id="463"/>
    <w:bookmarkStart w:id="474" w:name="Xe032684abedc648a43ed8ebdf87b5fed9f1c4c5"/>
    <w:p>
      <w:pPr>
        <w:pStyle w:val="Heading2"/>
      </w:pPr>
      <w:r>
        <w:t xml:space="preserve">8.3 La riduzione della mobilità sanitaria passiva</w:t>
      </w:r>
    </w:p>
    <w:p>
      <w:pPr>
        <w:pStyle w:val="FirstParagraph"/>
      </w:pPr>
      <w:r>
        <w:rPr>
          <w:i/>
          <w:iCs/>
        </w:rPr>
        <w:t xml:space="preserve">La terza voce sviluppa il canale più caratteristico del caso pugliese, quello che non comprime una spesa interna ma trattiene sul territorio una spesa che oggi defluisce verso altre regioni. La mobilità sanitaria passiva — il fenomeno per cui il cittadino pugliese si cura fuori regione, e la Regione ne sostiene il costo rimborsandolo alle amministrazioni che lo erogano — costituisce una delle voci più gravose del bilancio sanitario regionale, e una di quelle su cui il rafforzamento dell’offerta territoriale può incidere più direttamente. Una quota di questa mobilità è infatti generata non dalla necessità di prestazioni iperspecialistiche indisponibili in regione, ma dalla carenza o dalla frammentazione di un’offerta che un primo livello psicologico territoriale, integrato nella rete delle cure primarie e della salute mentale, contribuisce a colmare. Intercettare quella quota, e trattenerla sul territorio, riduce il deflusso e con esso il costo che la Regione ne sostiene. La voce ricostruisce il contesto della mobilità passiva pugliese, ne isola la componente intercettabile, ne traccia la catena causale, ne stima il risparmio per scenario e ne dichiara la graduazione e i confini.</w:t>
      </w:r>
    </w:p>
    <w:bookmarkStart w:id="466" w:name="X20bd9bb9e2fa4ec1a8a39594147014f27bf2a66"/>
    <w:p>
      <w:pPr>
        <w:pStyle w:val="Heading2"/>
      </w:pPr>
      <w:r>
        <w:t xml:space="preserve">8.3.1 Il contesto: la mobilità passiva pugliese e la sua componente psichica</w:t>
      </w:r>
    </w:p>
    <w:p>
      <w:pPr>
        <w:pStyle w:val="FirstParagraph"/>
      </w:pPr>
      <w:r>
        <w:t xml:space="preserve">La Puglia è strutturalmente una regione a mobilità sanitaria passiva, esposta cioè a un deflusso di pazienti e di risorse verso le regioni del Centro-Nord superiore al flusso che riceve in entrata. Il saldo della mobilità interregionale, ossia la differenza tra ciò che la Regione rimborsa per i propri cittadini curati altrove e ciò che incassa per i cittadini di altre regioni curati nei propri presìdi, è negativo e di entità rilevante: nell’esercizio di riferimento esso si colloca su un valore dell’ordine di duecentocinquanta milioni di euro, risultante da un flusso passivo in uscita di poco inferiore ai quattrocento milioni e da un flusso attivo in entrata dell’ordine di centoventi milioni.</w:t>
      </w:r>
      <w:r>
        <w:rPr>
          <w:rStyle w:val="FootnoteReference"/>
        </w:rPr>
        <w:footnoteReference w:id="220"/>
      </w:r>
      <w:r>
        <w:t xml:space="preserve"> </w:t>
      </w:r>
      <w:r>
        <w:t xml:space="preserve">Questo saldo, che pesa direttamente sul bilancio sanitario regionale, misura una perdita netta di risorse che la riforma può contribuire a ridurre nella sua componente comprimibile, ossia in quella parte del deflusso che non risponde a un bisogno di prestazioni indisponibili in regione, ma a una carenza dell’offerta territoriale che la riforma rafforza.</w:t>
      </w:r>
    </w:p>
    <w:p>
      <w:pPr>
        <w:pStyle w:val="BodyText"/>
      </w:pPr>
      <w:r>
        <w:t xml:space="preserve">Entro il complesso della mobilità passiva, la componente direttamente o indirettamente riconducibile alla salute mentale e al disagio comune costituisce una frazione specifica, sulla quale, e sulla quale soltanto, la stima del canale si esercita. Questa componente assume tre forme. La prima è la mobilità per ricoveri psichiatrici e neuropsichiatrici, ossia il deflusso di pazienti che cercano fuori regione una risposta ospedaliera o residenziale al disturbo grave, in misura non irrilevante per la neuropsichiatria dell’età evolutiva. La seconda è la mobilità per la residenzialità e la semiresidenzialità psichiatrica, ossia il collocamento di pazienti in strutture extra-regionali per la presa in carico di lungo periodo, voce particolarmente onerosa per il suo costo unitario elevato e protratto. La terza è la mobilità per prestazioni specialistiche e ambulatoriali correlate al disagio, ossia il deflusso di una domanda diagnostica e di consulto che un’offerta territoriale capillare tratterebbe in regione. È la somma di queste tre forme, e non la mobilità complessiva, che costituisce la grandezza di ancoraggio del canale.</w:t>
      </w:r>
    </w:p>
    <w:p>
      <w:pPr>
        <w:pStyle w:val="BodyText"/>
      </w:pPr>
      <w:r>
        <w:t xml:space="preserve">La connessione tra questa componente della mobilità e il primo livello psicologico è, in apparenza, meno immediata di quella dei canali precedenti, ma è non meno reale. Lo Psicologo di Base non eroga, di norma, le prestazioni iperspecialistiche per cui una parte della mobilità è generata; ma agisce a monte, sul flusso che alimenta una porzione di quel deflusso, in tre modi. Intercetta e tratta il disagio comune prima che esso si aggravi al punto di richiedere la risposta residenziale o ospedaliera che oggi si cerca fuori regione, riducendo così la domanda di quelle prestazioni. Rafforza la rete territoriale della salute mentale, rendendo l’offerta regionale più capillare e più tempestiva, e con ciò più capace di trattenere la domanda che la frammentazione oggi spinge altrove. Contribuisce, infine, alla continuità della presa in carico, riducendo i percorsi discontinui che inducono il paziente e la famiglia a cercare altrove la risposta che il territorio non ha saputo garantire. È attraverso questi tre meccanismi, e non attraverso l’erogazione diretta delle prestazioni iperspecialistiche, che la riforma incide sulla mobilità passiva.</w:t>
      </w:r>
      <w:r>
        <w:rPr>
          <w:rStyle w:val="FootnoteReference"/>
        </w:rPr>
        <w:footnoteReference w:id="221"/>
      </w:r>
    </w:p>
    <w:bookmarkEnd w:id="466"/>
    <w:bookmarkStart w:id="467" w:name="Xed85465dcfab28bba7cc33b97b14e539d6ea541"/>
    <w:p>
      <w:pPr>
        <w:pStyle w:val="Heading2"/>
      </w:pPr>
      <w:r>
        <w:t xml:space="preserve">8.3.2 I meccanismi: dall’offerta territoriale alla ritenzione della domanda</w:t>
      </w:r>
    </w:p>
    <w:p>
      <w:pPr>
        <w:pStyle w:val="FirstParagraph"/>
      </w:pPr>
      <w:r>
        <w:t xml:space="preserve">Il canale della mobilità passiva opera attraverso tre meccanismi, accomunati dal fatto di agire sulla ritenzione territoriale della domanda anziché sulla compressione di una spesa interna. Il primo meccanismo è la riduzione della domanda di prestazioni ad alta intensità attraverso l’intercettazione precoce. Una parte della domanda che oggi defluisce verso la residenzialità e il ricovero extra-regionale nasce dall’aggravamento di disturbi che una presa in carico territoriale tempestiva avrebbe mantenuto a un livello di intensità inferiore, gestibile in regime ambulatoriale e in regione. Agendo sulla prevenzione secondaria, il primo livello psicologico riduce la quota di domanda che raggiunge il livello di intensità per cui oggi si cerca la risposta fuori regione, e con essa il deflusso che ne consegue.</w:t>
      </w:r>
    </w:p>
    <w:p>
      <w:pPr>
        <w:pStyle w:val="BodyText"/>
      </w:pPr>
      <w:r>
        <w:t xml:space="preserve">Il secondo meccanismo è la ritenzione della domanda attraverso il rafforzamento e la capillarità dell’offerta territoriale. Una parte del deflusso non nasce dall’indisponibilità della prestazione in regione, ma dalla difficoltà di accedervi: liste d’attesa, distanza, frammentazione dei percorsi, che inducono il paziente a cercare altrove una risposta che la regione potrebbe in linea di principio fornire. L’inserimento dello Psicologo di Base nella rete delle cure primarie, in raccordo con i Centri di Salute Mentale e con i servizi specialistici, accresce la capillarità e la tempestività dell’offerta regionale, e con ciò la sua capacità di trattenere la domanda che la frammentazione oggi spinge fuori. Il meccanismo agisce, in questo caso, non riducendo il bisogno, ma migliorando la capacità del sistema regionale di soddisfarlo internamente. Il terzo meccanismo è la continuità della presa in carico, che riduce i percorsi discontinui e i passaggi non governati tra i livelli, i quali costituiscono una delle cause per cui il paziente e la famiglia, perduta la fiducia nella continuità dell’offerta regionale, si rivolgono a strutture extra-regionali. I tre meccanismi convergono verso il medesimo esito fiscale — la riduzione del saldo passivo della mobilità — e condividono il presupposto della maggiore capacità di ritenzione del sistema regionale; e per questo possono essere trattati come componenti di un unico canale.</w:t>
      </w:r>
    </w:p>
    <w:bookmarkEnd w:id="467"/>
    <w:bookmarkStart w:id="469" w:name="X848e7956df1417cb8626245c09a22a6b329020c"/>
    <w:p>
      <w:pPr>
        <w:pStyle w:val="Heading2"/>
      </w:pPr>
      <w:r>
        <w:t xml:space="preserve">8.3.3 La catena causale: dalla ritenzione territoriale al minore saldo passivo</w:t>
      </w:r>
    </w:p>
    <w:p>
      <w:pPr>
        <w:pStyle w:val="FirstParagraph"/>
      </w:pPr>
      <w:r>
        <w:t xml:space="preserve">La formazione del risparmio del terzo canale segue una catena causale che condivide con le precedenti la struttura ad anelli e la regola della solidità pari a quella dell’anello più debole, ma che presenta una specificità: il suo anello economico è, paradossalmente, più diretto di quello degli altri canali, mentre il suo anello comportamentale è più incerto. Il primo anello è clinico-organizzativo: il rafforzamento dell’offerta territoriale, attraverso l’intercettazione precoce e la capillarità del primo livello psicologico, riduce la domanda di prestazioni ad alta intensità e accresce la capacità di ritenzione del sistema regionale. Questo anello è sostenuto dall’evidenza sull’efficacia dei modelli territoriali nel ridurre il ricorso ai livelli ad alta intensità, di qualità da moderata ad alta.</w:t>
      </w:r>
    </w:p>
    <w:p>
      <w:pPr>
        <w:pStyle w:val="BodyText"/>
      </w:pPr>
      <w:r>
        <w:t xml:space="preserve">Il secondo anello è comportamentale, ed è il più incerto della catena: la riduzione della domanda e la maggiore capillarità dell’offerta si traducono effettivamente in minore deflusso soltanto nella misura in cui la decisione del paziente e della famiglia di curarsi fuori regione è determinata da fattori che la riforma modifica, e non da fattori — la reputazione di centri specialistici, le reti familiari extra-regionali, la natura genuinamente iperspecialistica della prestazione — che la riforma non tocca. La quota del deflusso effettivamente recuperabile è, di conseguenza, una frazione di quella riconducibile alla salute mentale, e la sua stima richiede la massima prudenza.</w:t>
      </w:r>
      <w:r>
        <w:rPr>
          <w:rStyle w:val="FootnoteReference"/>
        </w:rPr>
        <w:footnoteReference w:id="222"/>
      </w:r>
      <w:r>
        <w:t xml:space="preserve"> </w:t>
      </w:r>
      <w:r>
        <w:t xml:space="preserve">Il terzo anello è economico, ed è qui relativamente diretto: ogni prestazione trattenuta in regione anziché acquistata fuori si traduce immediatamente in un minore rimborso interregionale a carico del bilancio sanitario regionale, senza il margine di incertezza sulla traduzione del minore consumo in minore spesa che grava sugli altri canali. La graduazione complessiva del canale è dunque determinata non dall’anello economico, come negli altri casi, ma dall’anello comportamentale, ed è per questo media: l’effetto, una volta che si produca, è fiscalmente certo, ma la misura in cui si produce è incerta.</w:t>
      </w:r>
    </w:p>
    <w:bookmarkEnd w:id="469"/>
    <w:bookmarkStart w:id="470" w:name="X8821bab5c5c5492f082c13c149e369f64395536"/>
    <w:p>
      <w:pPr>
        <w:pStyle w:val="Heading2"/>
      </w:pPr>
      <w:r>
        <w:t xml:space="preserve">8.3.4 La quantificazione del canale: componenti e scenari</w:t>
      </w:r>
    </w:p>
    <w:p>
      <w:pPr>
        <w:pStyle w:val="FirstParagraph"/>
      </w:pPr>
      <w:r>
        <w:t xml:space="preserve">La quantificazione del terzo canale procede secondo il metodo consueto, applicato alla grandezza di ancoraggio costituita dalla componente psichica del saldo passivo della mobilità. La tabella che segue ricostruisce, sui dati pubblici disponibili, il saldo complessivo e la sua articolazione, isolando le tre forme della componente intercettabile su cui il canale opera.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Aggregato di ancoraggio</w:t>
            </w:r>
          </w:p>
        </w:tc>
        <w:tc>
          <w:tcPr>
            <w:shd w:val="clear" w:color="auto" w:fill="16264B"/>
          </w:tcPr>
          <w:p>
            <w:pPr>
              <w:pStyle w:val="Compact"/>
              <w:spacing w:after="40" w:before="40"/>
              <w:jc w:val="left"/>
            </w:pPr>
            <w:r>
              <w:rPr>
                <w:rFonts w:ascii="Cambria" w:hAnsi="Cambria" w:cs="Cambria" w:eastAsia="Cambria"/>
                <w:b/>
                <w:bCs/>
                <w:color w:val="FFFFFF"/>
                <w:sz w:val="18"/>
              </w:rPr>
              <w:t xml:space="preserve">Grandezza in Puglia</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intercettabile dal primo livello psicologico</w:t>
            </w:r>
          </w:p>
        </w:tc>
      </w:tr>
      <w:tr>
        <w:tc>
          <w:tcPr/>
          <w:p>
            <w:pPr>
              <w:pStyle w:val="Compact"/>
              <w:spacing w:after="40" w:before="40"/>
              <w:jc w:val="left"/>
            </w:pPr>
            <w:r>
              <w:rPr>
                <w:rFonts w:ascii="Cambria" w:hAnsi="Cambria" w:cs="Cambria" w:eastAsia="Cambria"/>
                <w:color w:val="1A1A1A"/>
                <w:sz w:val="18"/>
              </w:rPr>
              <w:t xml:space="preserve">Saldo passivo della mobilità interregionale</w:t>
            </w:r>
          </w:p>
        </w:tc>
        <w:tc>
          <w:tcPr/>
          <w:p>
            <w:pPr>
              <w:pStyle w:val="Compact"/>
              <w:spacing w:after="40" w:before="40"/>
              <w:jc w:val="left"/>
            </w:pPr>
            <w:r>
              <w:rPr>
                <w:rFonts w:ascii="Cambria" w:hAnsi="Cambria" w:cs="Cambria" w:eastAsia="Cambria"/>
                <w:color w:val="1A1A1A"/>
                <w:sz w:val="18"/>
              </w:rPr>
              <w:t xml:space="preserve">~ -250 mln/anno (uscita ~377; entrata ~123)</w:t>
            </w:r>
          </w:p>
        </w:tc>
        <w:tc>
          <w:tcPr/>
          <w:p>
            <w:pPr>
              <w:pStyle w:val="Compact"/>
              <w:spacing w:after="40" w:before="40"/>
              <w:jc w:val="left"/>
            </w:pPr>
            <w:r>
              <w:rPr>
                <w:rFonts w:ascii="Cambria" w:hAnsi="Cambria" w:cs="Cambria" w:eastAsia="Cambria"/>
                <w:color w:val="1A1A1A"/>
                <w:sz w:val="18"/>
              </w:rPr>
              <w:t xml:space="preserve">la sola componente a matrice psichica, distinta dalla mobilità iperspecialistica</w:t>
            </w:r>
          </w:p>
        </w:tc>
      </w:tr>
      <w:tr>
        <w:tc>
          <w:tcPr>
            <w:shd w:val="clear" w:color="auto" w:fill="F4F1EC"/>
          </w:tcPr>
          <w:p>
            <w:pPr>
              <w:pStyle w:val="Compact"/>
              <w:spacing w:after="40" w:before="40"/>
              <w:jc w:val="left"/>
            </w:pPr>
            <w:r>
              <w:rPr>
                <w:rFonts w:ascii="Cambria" w:hAnsi="Cambria" w:cs="Cambria" w:eastAsia="Cambria"/>
                <w:color w:val="1A1A1A"/>
                <w:sz w:val="18"/>
              </w:rPr>
              <w:t xml:space="preserve">Mobilità per ricoveri psichiatrici e neuropsichiatrici</w:t>
            </w:r>
          </w:p>
        </w:tc>
        <w:tc>
          <w:tcPr>
            <w:shd w:val="clear" w:color="auto" w:fill="F4F1EC"/>
          </w:tcPr>
          <w:p>
            <w:pPr>
              <w:pStyle w:val="Compact"/>
              <w:spacing w:after="40" w:before="40"/>
              <w:jc w:val="left"/>
            </w:pPr>
            <w:r>
              <w:rPr>
                <w:rFonts w:ascii="Cambria" w:hAnsi="Cambria" w:cs="Cambria" w:eastAsia="Cambria"/>
                <w:color w:val="1A1A1A"/>
                <w:sz w:val="18"/>
              </w:rPr>
              <w:t xml:space="preserve">deflusso ospedaliero del disturbo grave e dell’età evolutiva</w:t>
            </w:r>
          </w:p>
        </w:tc>
        <w:tc>
          <w:tcPr>
            <w:shd w:val="clear" w:color="auto" w:fill="F4F1EC"/>
          </w:tcPr>
          <w:p>
            <w:pPr>
              <w:pStyle w:val="Compact"/>
              <w:spacing w:after="40" w:before="40"/>
              <w:jc w:val="left"/>
            </w:pPr>
            <w:r>
              <w:rPr>
                <w:rFonts w:ascii="Cambria" w:hAnsi="Cambria" w:cs="Cambria" w:eastAsia="Cambria"/>
                <w:color w:val="1A1A1A"/>
                <w:sz w:val="18"/>
              </w:rPr>
              <w:t xml:space="preserve">la quota prevenibile dall’intercettazione precoce e dalla ritenzione territoriale</w:t>
            </w:r>
          </w:p>
        </w:tc>
      </w:tr>
      <w:tr>
        <w:tc>
          <w:tcPr/>
          <w:p>
            <w:pPr>
              <w:pStyle w:val="Compact"/>
              <w:spacing w:after="40" w:before="40"/>
              <w:jc w:val="left"/>
            </w:pPr>
            <w:r>
              <w:rPr>
                <w:rFonts w:ascii="Cambria" w:hAnsi="Cambria" w:cs="Cambria" w:eastAsia="Cambria"/>
                <w:color w:val="1A1A1A"/>
                <w:sz w:val="18"/>
              </w:rPr>
              <w:t xml:space="preserve">Mobilità per residenzialità e semiresidenzialità psichiatrica</w:t>
            </w:r>
          </w:p>
        </w:tc>
        <w:tc>
          <w:tcPr/>
          <w:p>
            <w:pPr>
              <w:pStyle w:val="Compact"/>
              <w:spacing w:after="40" w:before="40"/>
              <w:jc w:val="left"/>
            </w:pPr>
            <w:r>
              <w:rPr>
                <w:rFonts w:ascii="Cambria" w:hAnsi="Cambria" w:cs="Cambria" w:eastAsia="Cambria"/>
                <w:color w:val="1A1A1A"/>
                <w:sz w:val="18"/>
              </w:rPr>
              <w:t xml:space="preserve">collocamenti extra-regionali di lungo periodo, ad alto costo unitario</w:t>
            </w:r>
          </w:p>
        </w:tc>
        <w:tc>
          <w:tcPr/>
          <w:p>
            <w:pPr>
              <w:pStyle w:val="Compact"/>
              <w:spacing w:after="40" w:before="40"/>
              <w:jc w:val="left"/>
            </w:pPr>
            <w:r>
              <w:rPr>
                <w:rFonts w:ascii="Cambria" w:hAnsi="Cambria" w:cs="Cambria" w:eastAsia="Cambria"/>
                <w:color w:val="1A1A1A"/>
                <w:sz w:val="18"/>
              </w:rPr>
              <w:t xml:space="preserve">la quota evitabile dal rafforzamento dell’offerta territoriale</w:t>
            </w:r>
          </w:p>
        </w:tc>
      </w:tr>
      <w:tr>
        <w:tc>
          <w:tcPr>
            <w:shd w:val="clear" w:color="auto" w:fill="F4F1EC"/>
          </w:tcPr>
          <w:p>
            <w:pPr>
              <w:pStyle w:val="Compact"/>
              <w:spacing w:after="40" w:before="40"/>
              <w:jc w:val="left"/>
            </w:pPr>
            <w:r>
              <w:rPr>
                <w:rFonts w:ascii="Cambria" w:hAnsi="Cambria" w:cs="Cambria" w:eastAsia="Cambria"/>
                <w:color w:val="1A1A1A"/>
                <w:sz w:val="18"/>
              </w:rPr>
              <w:t xml:space="preserve">Mobilità per specialistica e ambulatoriale correlata</w:t>
            </w:r>
          </w:p>
        </w:tc>
        <w:tc>
          <w:tcPr>
            <w:shd w:val="clear" w:color="auto" w:fill="F4F1EC"/>
          </w:tcPr>
          <w:p>
            <w:pPr>
              <w:pStyle w:val="Compact"/>
              <w:spacing w:after="40" w:before="40"/>
              <w:jc w:val="left"/>
            </w:pPr>
            <w:r>
              <w:rPr>
                <w:rFonts w:ascii="Cambria" w:hAnsi="Cambria" w:cs="Cambria" w:eastAsia="Cambria"/>
                <w:color w:val="1A1A1A"/>
                <w:sz w:val="18"/>
              </w:rPr>
              <w:t xml:space="preserve">deflusso della domanda diagnostica e di consulto</w:t>
            </w:r>
          </w:p>
        </w:tc>
        <w:tc>
          <w:tcPr>
            <w:shd w:val="clear" w:color="auto" w:fill="F4F1EC"/>
          </w:tcPr>
          <w:p>
            <w:pPr>
              <w:pStyle w:val="Compact"/>
              <w:spacing w:after="40" w:before="40"/>
              <w:jc w:val="left"/>
            </w:pPr>
            <w:r>
              <w:rPr>
                <w:rFonts w:ascii="Cambria" w:hAnsi="Cambria" w:cs="Cambria" w:eastAsia="Cambria"/>
                <w:color w:val="1A1A1A"/>
                <w:sz w:val="18"/>
              </w:rPr>
              <w:t xml:space="preserve">la quota trattenibile dalla capillarità dell’offerta regionale</w:t>
            </w:r>
          </w:p>
        </w:tc>
      </w:tr>
    </w:tbl>
    <w:p>
      <w:pPr>
        <w:pStyle w:val="BodyText"/>
      </w:pPr>
      <w:r>
        <w:rPr>
          <w:i/>
          <w:iCs/>
        </w:rPr>
        <w:t xml:space="preserve">Tabella 8.5 — Gli aggregati di ancoraggio del terzo canale e la componente intercettabile. I dati del saldo di mobilità sono tratti dalle fonti pubbliche regionali e nazionali e saranno sostituiti dai dati certificati; la componente intercettabile riguarda la sola quota a matrice psichica del deflusso, distinta dalla mobilità per prestazioni genuinamente iperspecialistiche.</w:t>
      </w:r>
    </w:p>
    <w:p>
      <w:pPr>
        <w:pStyle w:val="BodyText"/>
      </w:pPr>
      <w:r>
        <w:t xml:space="preserve">Sulla base di questo quadro, la stima del risparmio del terzo canale è articolata nelle tre componenti corrispondenti alle tre forme della mobilità psichica, e per ciascuno dei tre scenari di copertura. La componente dei ricoveri psichiatrici e neuropsichiatrici recuperati costituisce, per il costo unitario del ricovero e per la rilevanza del deflusso nell’età evolutiva, la quota maggiore del risparmio del canale. La componente della residenzialità e semiresidenzialità, pur riguardando un numero minore di casi, incide in misura significativa per l’elevatezza e la protrazione del costo unitario del collocamento extra-regionale. La componente della specialistica e dell’ambulatoriale correlata è stimata su un margine più contenuto, coerente con il minore costo unitario e con la maggiore incertezza sulla quota effettivamente trattenibile.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risparmio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Ricoveri psichiatrici e neuropsichiatrici recuperati in regione</w:t>
            </w:r>
          </w:p>
        </w:tc>
        <w:tc>
          <w:tcPr/>
          <w:p>
            <w:pPr>
              <w:pStyle w:val="Compact"/>
              <w:spacing w:after="40" w:before="40"/>
              <w:jc w:val="left"/>
            </w:pPr>
            <w:r>
              <w:rPr>
                <w:rFonts w:ascii="Cambria" w:hAnsi="Cambria" w:cs="Cambria" w:eastAsia="Cambria"/>
                <w:color w:val="1A1A1A"/>
                <w:sz w:val="18"/>
              </w:rPr>
              <w:t xml:space="preserve">~2,5</w:t>
            </w:r>
          </w:p>
        </w:tc>
        <w:tc>
          <w:tcPr/>
          <w:p>
            <w:pPr>
              <w:pStyle w:val="Compact"/>
              <w:spacing w:after="40" w:before="40"/>
              <w:jc w:val="left"/>
            </w:pPr>
            <w:r>
              <w:rPr>
                <w:rFonts w:ascii="Cambria" w:hAnsi="Cambria" w:cs="Cambria" w:eastAsia="Cambria"/>
                <w:color w:val="1A1A1A"/>
                <w:sz w:val="18"/>
              </w:rPr>
              <w:t xml:space="preserve">~4,0</w:t>
            </w:r>
          </w:p>
        </w:tc>
        <w:tc>
          <w:tcPr/>
          <w:p>
            <w:pPr>
              <w:pStyle w:val="Compact"/>
              <w:spacing w:after="40" w:before="40"/>
              <w:jc w:val="left"/>
            </w:pPr>
            <w:r>
              <w:rPr>
                <w:rFonts w:ascii="Cambria" w:hAnsi="Cambria" w:cs="Cambria" w:eastAsia="Cambria"/>
                <w:color w:val="1A1A1A"/>
                <w:sz w:val="18"/>
              </w:rPr>
              <w:t xml:space="preserve">~6,0</w:t>
            </w:r>
          </w:p>
        </w:tc>
      </w:tr>
      <w:tr>
        <w:tc>
          <w:tcPr>
            <w:shd w:val="clear" w:color="auto" w:fill="F4F1EC"/>
          </w:tcPr>
          <w:p>
            <w:pPr>
              <w:pStyle w:val="Compact"/>
              <w:spacing w:after="40" w:before="40"/>
              <w:jc w:val="left"/>
            </w:pPr>
            <w:r>
              <w:rPr>
                <w:rFonts w:ascii="Cambria" w:hAnsi="Cambria" w:cs="Cambria" w:eastAsia="Cambria"/>
                <w:color w:val="1A1A1A"/>
                <w:sz w:val="18"/>
              </w:rPr>
              <w:t xml:space="preserve">Residenzialità e semiresidenzialità psichiatrica trattenuta</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~3,5</w:t>
            </w:r>
          </w:p>
        </w:tc>
      </w:tr>
      <w:tr>
        <w:tc>
          <w:tcPr/>
          <w:p>
            <w:pPr>
              <w:pStyle w:val="Compact"/>
              <w:spacing w:after="40" w:before="40"/>
              <w:jc w:val="left"/>
            </w:pPr>
            <w:r>
              <w:rPr>
                <w:rFonts w:ascii="Cambria" w:hAnsi="Cambria" w:cs="Cambria" w:eastAsia="Cambria"/>
                <w:color w:val="1A1A1A"/>
                <w:sz w:val="18"/>
              </w:rPr>
              <w:t xml:space="preserve">Specialistica e ambulatoriale correlata trattenuta in regione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Risparmio diretto del canale mobilità passiva</w:t>
            </w:r>
          </w:p>
        </w:tc>
        <w:tc>
          <w:tcPr>
            <w:shd w:val="clear" w:color="auto" w:fill="F4F1EC"/>
          </w:tcPr>
          <w:p>
            <w:pPr>
              <w:pStyle w:val="Compact"/>
              <w:spacing w:after="40" w:before="40"/>
              <w:jc w:val="left"/>
            </w:pPr>
            <w:r>
              <w:rPr>
                <w:rFonts w:ascii="Cambria" w:hAnsi="Cambria" w:cs="Cambria" w:eastAsia="Cambria"/>
                <w:color w:val="1A1A1A"/>
                <w:sz w:val="18"/>
              </w:rPr>
              <w:t xml:space="preserve">~5,0</w:t>
            </w:r>
          </w:p>
        </w:tc>
        <w:tc>
          <w:tcPr>
            <w:shd w:val="clear" w:color="auto" w:fill="F4F1EC"/>
          </w:tcPr>
          <w:p>
            <w:pPr>
              <w:pStyle w:val="Compact"/>
              <w:spacing w:after="40" w:before="40"/>
              <w:jc w:val="left"/>
            </w:pPr>
            <w:r>
              <w:rPr>
                <w:rFonts w:ascii="Cambria" w:hAnsi="Cambria" w:cs="Cambria" w:eastAsia="Cambria"/>
                <w:color w:val="1A1A1A"/>
                <w:sz w:val="18"/>
              </w:rPr>
              <w:t xml:space="preserve">~8,0</w:t>
            </w:r>
          </w:p>
        </w:tc>
        <w:tc>
          <w:tcPr>
            <w:shd w:val="clear" w:color="auto" w:fill="F4F1EC"/>
          </w:tcPr>
          <w:p>
            <w:pPr>
              <w:pStyle w:val="Compact"/>
              <w:spacing w:after="40" w:before="40"/>
              <w:jc w:val="left"/>
            </w:pPr>
            <w:r>
              <w:rPr>
                <w:rFonts w:ascii="Cambria" w:hAnsi="Cambria" w:cs="Cambria" w:eastAsia="Cambria"/>
                <w:color w:val="1A1A1A"/>
                <w:sz w:val="18"/>
              </w:rPr>
              <w:t xml:space="preserve">~12,0</w:t>
            </w:r>
          </w:p>
        </w:tc>
      </w:tr>
    </w:tbl>
    <w:p>
      <w:pPr>
        <w:pStyle w:val="BodyText"/>
      </w:pPr>
      <w:r>
        <w:rPr>
          <w:i/>
          <w:iCs/>
        </w:rPr>
        <w:t xml:space="preserve">Tabella 8.6 — Stima prudenziale del risparmio del canale della mobilità passiva per scenario. Le cifre sono bande prudenziali arrotondate, coerenti con il canale della mobilità recuperata della valutazione economica del telaio (5–12 milioni) e con l’aggregato per scenario ricomposto nella voce 8.6. L’ultima riga è la somma delle tre componenti.</w:t>
      </w:r>
    </w:p>
    <w:p>
      <w:pPr>
        <w:pStyle w:val="BodyText"/>
      </w:pPr>
      <w:r>
        <w:t xml:space="preserve">Il risparmio diretto del terzo canale è dunque stimato in un ordine di grandezza compreso tra circa 5 milioni di euro l’anno nello scenario conservativo e circa 12 milioni nello scenario espansivo, con un valore intermedio dell’ordine di 8 milioni. La cifra rappresenta una frazione contenuta del saldo passivo complessivo, coerente con la natura del margine: non l’azzeramento della mobilità, gran parte della quale risponde a bisogni iperspecialistici che la riforma non tocca, ma la ritenzione della sola quota a matrice psichica effettivamente intercettabile a monte e trattenibile attraverso una più capillare offerta territoriale. La modestia relativa della cifra rispetto al saldo complessivo è, anche in questo caso, la sua onestà: un recupero di pochi milioni, fondato sulla compressione della sola componente comprimibile del deflusso, è più credibile di un’ambiziosa ipotesi di riduzione generalizzata della mobilità che la natura iperspecialistica di gran parte di essa non autorizza.</w:t>
      </w:r>
    </w:p>
    <w:p>
      <w:pPr>
        <w:pStyle w:val="BodyText"/>
      </w:pPr>
      <w:r>
        <w:t xml:space="preserve">La stima incorpora, come per gli altri canali, la progressione non lineare propria degli scenari, ma con una specificità. La capacità di ritenzione del sistema regionale non cresce semplicemente in proporzione al numero degli incarichi, ma in funzione della soglia di capillarità oltre la quale l’offerta territoriale diviene percepita come affidabile e continua, e quindi capace di trattenere la domanda. Al di sotto di quella soglia, l’incremento della copertura produce un recupero modesto; in prossimità e al di sopra di essa, il recupero accelera, perché alla maggiore offerta si aggiunge l’effetto di fiducia che induce il paziente a non cercare altrove. Questa struttura a soglia, che la modellazione dell’undicesima parte rappresenta, spiega perché il recupero dello scenario espansivo sia più che proporzionale rispetto a quello conservativo, e perché la piena valorizzazione del canale richieda il raggiungimento di una copertura sufficiente a rendere l’offerta regionale credibile come alternativa al deflusso.</w:t>
      </w:r>
    </w:p>
    <w:bookmarkEnd w:id="470"/>
    <w:bookmarkStart w:id="473" w:name="Xbdf92ed882d0e3d1cbca52862f0058bca272f14"/>
    <w:p>
      <w:pPr>
        <w:pStyle w:val="Heading2"/>
      </w:pPr>
      <w:r>
        <w:t xml:space="preserve">8.3.5 La graduazione dell’evidenza, i confini della stima e l’agenda di verifica</w:t>
      </w:r>
    </w:p>
    <w:p>
      <w:pPr>
        <w:pStyle w:val="FirstParagraph"/>
      </w:pPr>
      <w:r>
        <w:t xml:space="preserve">La solidità della stima del terzo canale presenta, come si è detto, una specificità che va dichiarata. L’anello clinico-organizzativo della catena — il fatto che il rafforzamento dell’offerta territoriale riduca la domanda di prestazioni ad alta intensità — è sostenuto da evidenza di qualità da moderata ad alta. L’anello economico — il fatto che la prestazione trattenuta si traduca in minore rimborso interregionale — è, in questo canale, di qualità relativamente più solida, perché la traduzione del minore deflusso in minore spesa è contabilmente diretta e non soggetta al margine di incertezza che grava sugli altri canali. È invece l’anello comportamentale — il fatto che la domanda effettivamente si trattenga in regione anziché continuare a defluire — a essere di qualità da bassa a moderata, perché la decisione di curarsi fuori regione dipende da fattori, in parte estranei all’offerta, che la riforma modifica solo in parte.</w:t>
      </w:r>
      <w:r>
        <w:rPr>
          <w:rStyle w:val="FootnoteReference"/>
        </w:rPr>
        <w:footnoteReference w:id="223"/>
      </w:r>
      <w:r>
        <w:t xml:space="preserve"> </w:t>
      </w:r>
      <w:r>
        <w:t xml:space="preserve">La graduazione complessiva del canale, determinata dal suo anello più debole, è dunque media, e si traduce in una banda prudenziale ampia, che riflette l’incertezza sulla quota effettivamente recuperabile più che sull’effetto fiscale del recupero una volta conseguito.</w:t>
      </w:r>
    </w:p>
    <w:p>
      <w:pPr>
        <w:pStyle w:val="BodyText"/>
      </w:pPr>
      <w:r>
        <w:t xml:space="preserve">Da questa graduazione discendono i confini della stima. In primo luogo, il risparmio del canale è una grandezza fiscale diretta — il minore rimborso interregionale a carico del fondo sanitario regionale — e non è sommato alle ricadute sociali della maggiore prossimità delle cure, quali il minore costo per le famiglie costrette oggi a sostenere i viaggi e i soggiorni fuori regione, che la nona parte tratta tra gli oneri assistenziali evitati.</w:t>
      </w:r>
      <w:r>
        <w:rPr>
          <w:rStyle w:val="FootnoteReference"/>
        </w:rPr>
        <w:footnoteReference w:id="224"/>
      </w:r>
      <w:r>
        <w:t xml:space="preserve"> </w:t>
      </w:r>
      <w:r>
        <w:t xml:space="preserve">In secondo luogo, la stima riguarda la sola componente a matrice psichica del saldo passivo, e non la mobilità complessiva, gran parte della quale risponde a bisogni iperspecialistici estranei al mandato del primo livello psicologico: questa delimitazione è la condizione della difendibilità della cifra, e la distingue nettamente da ogni ipotesi di azzeramento del deflusso. In terzo luogo, il contributo della leva digitale, attraverso il monitoraggio remoto e la telepsicologia che riducono la necessità dello spostamento fisico, non è qui aggiunto al risparmio del canale, ma è isolato nella voce 8.5.</w:t>
      </w:r>
    </w:p>
    <w:p>
      <w:pPr>
        <w:pStyle w:val="BodyText"/>
      </w:pPr>
      <w:r>
        <w:t xml:space="preserve">La verifica documentale del terzo canale segue un’agenda precisa e, per questo canale, particolarmente impegnativa, in ragione della complessità dei flussi di mobilità. Essa richiede l’acquisizione dei dati regionali sul saldo della mobilità interregionale disaggregati per disciplina e per tipologia di prestazione, indispensabili per isolare la componente a matrice psichica entro il deflusso complessivo; dei dati sui collocamenti residenziali e semiresidenziali extra-regionali e sul loro costo, necessari per dimensionare la componente più onerosa del canale; e dei dati sulla provenienza territoriale e sui motivi del deflusso, necessari per stimare la quota effettivamente recuperabile attraverso il rafforzamento dell’offerta. L’acquisizione di questi dati, prevista nella fase di consolidamento, consentirà di restringere l’ampia banda del risparmio del canale e di sostituire alle stime prudenziali misure ancorate alla realtà dei flussi di mobilità regionali. Stabiliti l’ordine di grandezza, i meccanismi, la graduazione e i confini del terzo canale, la rinegoziazione può ora muovere verso il quarto e ultimo canale, quello degli esami, delle visite specialistiche e degli invii impropri, che la voce seguente sviluppa.</w:t>
      </w:r>
    </w:p>
    <w:bookmarkEnd w:id="473"/>
    <w:bookmarkEnd w:id="474"/>
    <w:bookmarkStart w:id="485" w:name="Xb85fcf0c9f40e79456d8fb454aeba4acd92401f"/>
    <w:p>
      <w:pPr>
        <w:pStyle w:val="Heading2"/>
      </w:pPr>
      <w:r>
        <w:t xml:space="preserve">8.4 La riduzione degli esami, delle visite specialistiche e degli invii impropri</w:t>
      </w:r>
    </w:p>
    <w:p>
      <w:pPr>
        <w:pStyle w:val="FirstParagraph"/>
      </w:pPr>
      <w:r>
        <w:rPr>
          <w:i/>
          <w:iCs/>
        </w:rPr>
        <w:t xml:space="preserve">La quarta voce sviluppa il quarto e ultimo canale del risparmio diretto, quello che opera sulla domanda di prestazioni specialistiche generata dal disagio non riconosciuto. Essa muove dalla constatazione che una parte della domanda diagnostica e specialistica che oggi grava sul sistema regionale — esami di laboratorio e di immagine ripetuti, visite specialistiche reiterate, invii ad altri livelli — non risponde a un bisogno organico accertato, ma alla rincorsa diagnostica del sintomo somatico funzionale e alla mancanza di un’alternativa territoriale che ne riconosca la matrice psichica. Intercettare quel disagio al primo livello, riconoscendone la natura prima che esso inneschi la spirale degli accertamenti, sottrae al circuito specialistico una quota di prestazioni inappropriate e con essa la spesa che le accompagna. La voce ricostruisce il contesto pugliese della domanda specialistica indotta, ne isola i meccanismi, ne traccia la catena causale, ne stima il risparmio per scenario e ne dichiara la graduazione e i confini. Con essa si chiude la rassegna dei quattro canali, e si rende disponibile l’aggregato che la voce 8.6 ricomporrà.</w:t>
      </w:r>
    </w:p>
    <w:bookmarkStart w:id="477" w:name="X1ea2a60bf13eefe3b214dcda576a04e00b96088"/>
    <w:p>
      <w:pPr>
        <w:pStyle w:val="Heading2"/>
      </w:pPr>
      <w:r>
        <w:t xml:space="preserve">8.4.1 Il contesto: la domanda specialistica indotta dal disagio non riconosciuto</w:t>
      </w:r>
    </w:p>
    <w:p>
      <w:pPr>
        <w:pStyle w:val="FirstParagraph"/>
      </w:pPr>
      <w:r>
        <w:t xml:space="preserve">Il sistema delle prestazioni specialistiche ambulatoriali pugliese è gravato, come quello di gran parte delle regioni italiane, da una domanda che eccede il bisogno clinicamente appropriato e che alimenta liste d’attesa e mobilità. Una componente di questa domanda eccedente è generata dal disagio psichico non riconosciuto, attraverso un meccanismo che la letteratura sui sintomi somatici funzionali ha ampiamente descritto: il paziente che presenta un sintomo fisico privo di causa organica — la cefalea persistente, il dolore toracico o addominale, la stanchezza cronica, le vertigini — e la cui origine psichica non viene riconosciuta entra in un percorso diagnostico che, non potendo trovare la causa organica che non esiste, tende a moltiplicarsi: all’esame negativo segue l’approfondimento, alla visita specialistica segue la seconda opinione, e la rassicurazione episodica non interrompe il ciclo, perché non affronta la causa.</w:t>
      </w:r>
      <w:r>
        <w:rPr>
          <w:rStyle w:val="FootnoteReference"/>
        </w:rPr>
        <w:footnoteReference w:id="225"/>
      </w:r>
      <w:r>
        <w:t xml:space="preserve"> </w:t>
      </w:r>
      <w:r>
        <w:t xml:space="preserve">Questa domanda indotta, distinta dalla domanda specialistica appropriata, costituisce la frazione comprimibile su cui il quarto canale opera.</w:t>
      </w:r>
    </w:p>
    <w:p>
      <w:pPr>
        <w:pStyle w:val="BodyText"/>
      </w:pPr>
      <w:r>
        <w:t xml:space="preserve">Il fenomeno si manifesta in tre forme principali, che corrispondono ai tre punti del percorso in cui la domanda indotta si genera. La prima è la prescrizione di esami diagnostici impropri, ossia di accertamenti di laboratorio e di immagine richiesti per escludere l’organicità di un sintomo a matrice psichica, e ripetuti perché la negatività del primo accertamento non rassicura durevolmente il paziente la cui causa non è stata affrontata. La seconda è la richiesta di visite specialistiche reiterate, ossia il ricorso ripetuto allo specialista d’organo — il cardiologo per le palpitazioni, il gastroenterologo per i disturbi funzionali dell’apparato digerente, il neurologo per la cefalea tensiva — che, non potendo che confermare l’assenza di patologia d’organo, rinvia il paziente al punto di partenza. La terza è l’invio improprio ad altri livelli, ossia la trasmissione del paziente da un livello all’altro del sistema in cerca di una risposta che nessun livello d’organo può dare, perché la risposta appropriata è di natura psicologica. È la somma di queste tre forme che costituisce la grandezza di ancoraggio del canale.</w:t>
      </w:r>
    </w:p>
    <w:p>
      <w:pPr>
        <w:pStyle w:val="BodyText"/>
      </w:pPr>
      <w:r>
        <w:t xml:space="preserve">La connessione tra questa domanda indotta e il primo livello psicologico è diretta e si esercita nel punto stesso in cui la domanda si genera, ossia nel rapporto tra il paziente e il medico di medicina generale. È il medico di medicina generale che, di fronte al sintomo somatico funzionale e in assenza di un’alternativa, avvia in buona fede il percorso degli accertamenti, perché la prudenza clinica gli impone di escludere l’organicità e perché non dispone, all’interno del proprio setting, dello strumento per affrontare la causa psichica. La disponibilità dello Psicologo di Base nella medesima sede delle cure primarie fornisce quell’alternativa: consente al medico di riconoscere la matrice psichica del sintomo e di indirizzare il paziente alla presa in carico appropriata anziché alla spirale degli accertamenti, sostituendo alla rincorsa diagnostica del sintomo il trattamento della sua causa. È in questo punto di sostituzione, e non in un astratto controllo della domanda, che il quarto canale genera il proprio risparmio.</w:t>
      </w:r>
      <w:r>
        <w:rPr>
          <w:rStyle w:val="FootnoteReference"/>
        </w:rPr>
        <w:footnoteReference w:id="226"/>
      </w:r>
    </w:p>
    <w:bookmarkEnd w:id="477"/>
    <w:bookmarkStart w:id="478" w:name="Xe7911408a37359da12db62c004c576dd2931645"/>
    <w:p>
      <w:pPr>
        <w:pStyle w:val="Heading2"/>
      </w:pPr>
      <w:r>
        <w:t xml:space="preserve">8.4.2 I meccanismi: dalla sostituzione diagnostica alla minore domanda specialistica</w:t>
      </w:r>
    </w:p>
    <w:p>
      <w:pPr>
        <w:pStyle w:val="FirstParagraph"/>
      </w:pPr>
      <w:r>
        <w:t xml:space="preserve">Il quarto canale opera attraverso tre meccanismi, corrispondenti alle tre forme della domanda indotta e accomunati dalla sostituzione del riconoscimento della causa alla rincorsa del sintomo. Il primo meccanismo è la riduzione degli esami diagnostici impropri attraverso il riconoscimento precoce della matrice psichica del sintomo. Quando il sintomo somatico funzionale è riconosciuto nella sua natura e il paziente è preso in carico al primo livello psicologico, viene meno la necessità di moltiplicare gli accertamenti per escludere un’organicità che la presa in carico psicologica consente di affrontare diversamente: l’esame appropriato per escludere ragionevolmente l’organicità resta, ma la sua ripetizione ossessiva, alimentata dall’ansia non trattata, si interrompe. Il meccanismo agisce sulla sostituzione diagnostica: alla diagnostica per esclusione ripetuta si sostituisce la diagnosi positiva della condizione psichica.</w:t>
      </w:r>
    </w:p>
    <w:p>
      <w:pPr>
        <w:pStyle w:val="BodyText"/>
      </w:pPr>
      <w:r>
        <w:t xml:space="preserve">Il secondo meccanismo è la riduzione delle visite specialistiche reiterate attraverso la presa in carico della causa. Il paziente che ricorre ripetutamente allo specialista d’organo per un disturbo funzionale lo fa perché cerca una spiegazione e un sollievo che lo specialista d’organo, correttamente, non può fornire, non essendovi patologia d’organo da trattare. La presa in carico psicologica, offrendo la spiegazione e il trattamento appropriati alla natura del disturbo, riduce la domanda di visite specialistiche reiterate, restituendo allo specialista d’organo lo spazio per i pazienti che ne hanno effettivo bisogno. Il terzo meccanismo è la riduzione degli invii impropri tra i livelli attraverso il riconoscimento, da parte del medico di medicina generale, della via appropriata di presa in carico. La disponibilità del primo livello psicologico come destinazione appropriata dell’invio sostituisce, per i quadri a matrice psichica, l’invio improprio allo specialista d’organo con l’invio appropriato allo psicologo, riducendo i passaggi non risolutivi tra i livelli. I tre meccanismi convergono verso il medesimo esito fiscale — la minore spesa per prestazioni specialistiche e diagnostiche — e condividono il presupposto della sostituzione diagnostica operata a monte; e per questo possono essere trattati come componenti di un unico canale, sommabili tra loro ma non con i risparmi degli altri canali.</w:t>
      </w:r>
    </w:p>
    <w:bookmarkEnd w:id="478"/>
    <w:bookmarkStart w:id="480" w:name="Xf5813f132d99af95e84f355ab39619fe9a42eae"/>
    <w:p>
      <w:pPr>
        <w:pStyle w:val="Heading2"/>
      </w:pPr>
      <w:r>
        <w:t xml:space="preserve">8.4.3 La catena causale: dal riconoscimento della causa alla minore spesa specialistica</w:t>
      </w:r>
    </w:p>
    <w:p>
      <w:pPr>
        <w:pStyle w:val="FirstParagraph"/>
      </w:pPr>
      <w:r>
        <w:t xml:space="preserve">La formazione del risparmio del quarto canale segue una catena causale analoga a quella dei canali precedenti, con la medesima regola della solidità pari a quella dell’anello più debole. Il primo anello è clinico-diagnostico: il riconoscimento precoce della matrice psichica del sintomo somatico funzionale, reso possibile dalla presenza del primo livello psicologico, interrompe la rincorsa diagnostica del sintomo. Questo anello è sostenuto dall’evidenza sull’efficacia del riconoscimento e del trattamento dei disturbi somatici funzionali nelle cure primarie, di qualità da moderata a variabile, in ragione della eterogeneità di questi quadri e della difficoltà del loro inquadramento.</w:t>
      </w:r>
    </w:p>
    <w:p>
      <w:pPr>
        <w:pStyle w:val="BodyText"/>
      </w:pPr>
      <w:r>
        <w:t xml:space="preserve">Il secondo anello è comportamentale: il riconoscimento della causa modifica il percorso del paziente, sostituendo alla domanda specialistica e diagnostica reiterata la presa in carico psicologica, e riduce così il volume delle prestazioni inappropriate. Questo anello è sostenuto da evidenza coerente ma di qualità più variabile, perché la misura in cui il riconoscimento effettivamente riduce la domanda dipende dalla disponibilità e dall’accessibilità del primo livello psicologico e dalla disponibilità del paziente ad accettare la natura psichica del proprio disturbo, fattore non sempre presente. Il terzo anello è economico: la minore domanda di esami e visite si traduce in minore spesa specialistica per il bilancio sanitario regionale. Anche qui l’anello economico è il più debole, in coerenza con il caveat invariante sui risparmi diretti, e la graduazione complessiva del canale è di conseguenza bassa, e si traduce in bande prudenziali. A questo si aggiunge una specificità del canale: la quota di sovrapposizione potenziale con gli altri canali, e segnatamente con quello del pronto soccorso, è qui più elevata, poiché la domanda diagnostica impropria si manifesta sia nel circuito ambulatoriale sia in quello dell’urgenza; la regola di non duplicazione impone pertanto, in questo canale più che negli altri, di stimare la sola componente ambulatoriale non già contata nel canale del pronto soccorso.</w:t>
      </w:r>
      <w:r>
        <w:rPr>
          <w:rStyle w:val="FootnoteReference"/>
        </w:rPr>
        <w:footnoteReference w:id="227"/>
      </w:r>
    </w:p>
    <w:bookmarkEnd w:id="480"/>
    <w:bookmarkStart w:id="481" w:name="X081fa94d21d626da5d9dbf01c9b765e85d71c11"/>
    <w:p>
      <w:pPr>
        <w:pStyle w:val="Heading2"/>
      </w:pPr>
      <w:r>
        <w:t xml:space="preserve">8.4.4 La quantificazione del canale: componenti e scenari</w:t>
      </w:r>
    </w:p>
    <w:p>
      <w:pPr>
        <w:pStyle w:val="FirstParagraph"/>
      </w:pPr>
      <w:r>
        <w:t xml:space="preserve">La quantificazione del quarto canale procede secondo il metodo consueto, applicato alle tre forme della domanda specialistica indotta, con la cautela aggiuntiva di isolare la sola componente ambulatoriale non sovrapposta al canale del pronto soccorso. La tabella che segue ricostruisce, sui dati pubblici disponibili, gli aggregati di ancoraggio e i margini su cui il canale opera.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Forma della domanda indotta</w:t>
            </w:r>
          </w:p>
        </w:tc>
        <w:tc>
          <w:tcPr>
            <w:shd w:val="clear" w:color="auto" w:fill="16264B"/>
          </w:tcPr>
          <w:p>
            <w:pPr>
              <w:pStyle w:val="Compact"/>
              <w:spacing w:after="40" w:before="40"/>
              <w:jc w:val="left"/>
            </w:pPr>
            <w:r>
              <w:rPr>
                <w:rFonts w:ascii="Cambria" w:hAnsi="Cambria" w:cs="Cambria" w:eastAsia="Cambria"/>
                <w:b/>
                <w:bCs/>
                <w:color w:val="FFFFFF"/>
                <w:sz w:val="18"/>
              </w:rPr>
              <w:t xml:space="preserve">Grandezza di ancoraggio in Puglia</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comprimibile dal primo livello psicologico</w:t>
            </w:r>
          </w:p>
        </w:tc>
      </w:tr>
      <w:tr>
        <w:tc>
          <w:tcPr/>
          <w:p>
            <w:pPr>
              <w:pStyle w:val="Compact"/>
              <w:spacing w:after="40" w:before="40"/>
              <w:jc w:val="left"/>
            </w:pPr>
            <w:r>
              <w:rPr>
                <w:rFonts w:ascii="Cambria" w:hAnsi="Cambria" w:cs="Cambria" w:eastAsia="Cambria"/>
                <w:color w:val="1A1A1A"/>
                <w:sz w:val="18"/>
              </w:rPr>
              <w:t xml:space="preserve">Esami diagnostici di laboratorio e di immagine</w:t>
            </w:r>
          </w:p>
        </w:tc>
        <w:tc>
          <w:tcPr/>
          <w:p>
            <w:pPr>
              <w:pStyle w:val="Compact"/>
              <w:spacing w:after="40" w:before="40"/>
              <w:jc w:val="left"/>
            </w:pPr>
            <w:r>
              <w:rPr>
                <w:rFonts w:ascii="Cambria" w:hAnsi="Cambria" w:cs="Cambria" w:eastAsia="Cambria"/>
                <w:color w:val="1A1A1A"/>
                <w:sz w:val="18"/>
              </w:rPr>
              <w:t xml:space="preserve">domanda diagnostica ambulatoriale; quota ripetuta per sintomi funzionali</w:t>
            </w:r>
          </w:p>
        </w:tc>
        <w:tc>
          <w:tcPr/>
          <w:p>
            <w:pPr>
              <w:pStyle w:val="Compact"/>
              <w:spacing w:after="40" w:before="40"/>
              <w:jc w:val="left"/>
            </w:pPr>
            <w:r>
              <w:rPr>
                <w:rFonts w:ascii="Cambria" w:hAnsi="Cambria" w:cs="Cambria" w:eastAsia="Cambria"/>
                <w:color w:val="1A1A1A"/>
                <w:sz w:val="18"/>
              </w:rPr>
              <w:t xml:space="preserve">la sola quota indotta dalla matrice psichica non riconosciuta</w:t>
            </w:r>
          </w:p>
        </w:tc>
      </w:tr>
      <w:tr>
        <w:tc>
          <w:tcPr>
            <w:shd w:val="clear" w:color="auto" w:fill="F4F1EC"/>
          </w:tcPr>
          <w:p>
            <w:pPr>
              <w:pStyle w:val="Compact"/>
              <w:spacing w:after="40" w:before="40"/>
              <w:jc w:val="left"/>
            </w:pPr>
            <w:r>
              <w:rPr>
                <w:rFonts w:ascii="Cambria" w:hAnsi="Cambria" w:cs="Cambria" w:eastAsia="Cambria"/>
                <w:color w:val="1A1A1A"/>
                <w:sz w:val="18"/>
              </w:rPr>
              <w:t xml:space="preserve">Visite specialistiche d’organo reiterate</w:t>
            </w:r>
          </w:p>
        </w:tc>
        <w:tc>
          <w:tcPr>
            <w:shd w:val="clear" w:color="auto" w:fill="F4F1EC"/>
          </w:tcPr>
          <w:p>
            <w:pPr>
              <w:pStyle w:val="Compact"/>
              <w:spacing w:after="40" w:before="40"/>
              <w:jc w:val="left"/>
            </w:pPr>
            <w:r>
              <w:rPr>
                <w:rFonts w:ascii="Cambria" w:hAnsi="Cambria" w:cs="Cambria" w:eastAsia="Cambria"/>
                <w:color w:val="1A1A1A"/>
                <w:sz w:val="18"/>
              </w:rPr>
              <w:t xml:space="preserve">accessi ripetuti a cardiologia, gastroenterologia, neurologia per disturbi funzionali</w:t>
            </w:r>
          </w:p>
        </w:tc>
        <w:tc>
          <w:tcPr>
            <w:shd w:val="clear" w:color="auto" w:fill="F4F1EC"/>
          </w:tcPr>
          <w:p>
            <w:pPr>
              <w:pStyle w:val="Compact"/>
              <w:spacing w:after="40" w:before="40"/>
              <w:jc w:val="left"/>
            </w:pPr>
            <w:r>
              <w:rPr>
                <w:rFonts w:ascii="Cambria" w:hAnsi="Cambria" w:cs="Cambria" w:eastAsia="Cambria"/>
                <w:color w:val="1A1A1A"/>
                <w:sz w:val="18"/>
              </w:rPr>
              <w:t xml:space="preserve">la quota reiterata per assenza di presa in carico della causa</w:t>
            </w:r>
          </w:p>
        </w:tc>
      </w:tr>
      <w:tr>
        <w:tc>
          <w:tcPr/>
          <w:p>
            <w:pPr>
              <w:pStyle w:val="Compact"/>
              <w:spacing w:after="40" w:before="40"/>
              <w:jc w:val="left"/>
            </w:pPr>
            <w:r>
              <w:rPr>
                <w:rFonts w:ascii="Cambria" w:hAnsi="Cambria" w:cs="Cambria" w:eastAsia="Cambria"/>
                <w:color w:val="1A1A1A"/>
                <w:sz w:val="18"/>
              </w:rPr>
              <w:t xml:space="preserve">Invii impropri tra i livelli</w:t>
            </w:r>
          </w:p>
        </w:tc>
        <w:tc>
          <w:tcPr/>
          <w:p>
            <w:pPr>
              <w:pStyle w:val="Compact"/>
              <w:spacing w:after="40" w:before="40"/>
              <w:jc w:val="left"/>
            </w:pPr>
            <w:r>
              <w:rPr>
                <w:rFonts w:ascii="Cambria" w:hAnsi="Cambria" w:cs="Cambria" w:eastAsia="Cambria"/>
                <w:color w:val="1A1A1A"/>
                <w:sz w:val="18"/>
              </w:rPr>
              <w:t xml:space="preserve">passaggi non risolutivi del paziente a matrice psichica</w:t>
            </w:r>
          </w:p>
        </w:tc>
        <w:tc>
          <w:tcPr/>
          <w:p>
            <w:pPr>
              <w:pStyle w:val="Compact"/>
              <w:spacing w:after="40" w:before="40"/>
              <w:jc w:val="left"/>
            </w:pPr>
            <w:r>
              <w:rPr>
                <w:rFonts w:ascii="Cambria" w:hAnsi="Cambria" w:cs="Cambria" w:eastAsia="Cambria"/>
                <w:color w:val="1A1A1A"/>
                <w:sz w:val="18"/>
              </w:rPr>
              <w:t xml:space="preserve">la quota deviabile verso l’invio appropriato al primo livello psicologico</w:t>
            </w:r>
          </w:p>
        </w:tc>
      </w:tr>
    </w:tbl>
    <w:p>
      <w:pPr>
        <w:pStyle w:val="BodyText"/>
      </w:pPr>
      <w:r>
        <w:rPr>
          <w:i/>
          <w:iCs/>
        </w:rPr>
        <w:t xml:space="preserve">Tabella 8.7 — Gli aggregati di ancoraggio del quarto canale e i margini di compressione. I volumi della specialistica ambulatoriale sono tratti dalle fonti pubbliche regionali e saranno sostituiti dai dati certificati; le componenti comprimibili riguardano la sola quota a matrice psichica, distinta dalla domanda specialistica appropriata e dalla componente già contata nel canale del pronto soccorso.</w:t>
      </w:r>
    </w:p>
    <w:p>
      <w:pPr>
        <w:pStyle w:val="BodyText"/>
      </w:pPr>
      <w:r>
        <w:t xml:space="preserve">Sulla base di questo quadro, la stima del risparmio del quarto canale è articolata nelle tre componenti corrispondenti alle tre forme della domanda indotta, e per ciascuno dei tre scenari di copertura. La componente degli esami diagnostici impropri costituisce, per la frequenza e la ripetibilità degli accertamenti, la quota maggiore del risparmio del canale. La componente delle visite specialistiche reiterate incide in misura intermedia, coerente con il costo unitario della visita e con la frequenza della reiterazione. La componente degli invii impropri è stimata su un margine più contenuto, in ragione tanto del minore costo diretto immediatamente attribuibile all’invio in quanto tale quanto della maggiore sovrapposizione potenziale con gli altri canali, che impone la massima prudenza per non duplicare il risparmio.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risparmio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Riduzione degli esami diagnostici impropri (sintomi funzionali)</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~3,0</w:t>
            </w:r>
          </w:p>
        </w:tc>
        <w:tc>
          <w:tcPr/>
          <w:p>
            <w:pPr>
              <w:pStyle w:val="Compact"/>
              <w:spacing w:after="40" w:before="40"/>
              <w:jc w:val="left"/>
            </w:pPr>
            <w:r>
              <w:rPr>
                <w:rFonts w:ascii="Cambria" w:hAnsi="Cambria" w:cs="Cambria" w:eastAsia="Cambria"/>
                <w:color w:val="1A1A1A"/>
                <w:sz w:val="18"/>
              </w:rPr>
              <w:t xml:space="preserve">~4,5</w:t>
            </w:r>
          </w:p>
        </w:tc>
      </w:tr>
      <w:tr>
        <w:tc>
          <w:tcPr>
            <w:shd w:val="clear" w:color="auto" w:fill="F4F1EC"/>
          </w:tcPr>
          <w:p>
            <w:pPr>
              <w:pStyle w:val="Compact"/>
              <w:spacing w:after="40" w:before="40"/>
              <w:jc w:val="left"/>
            </w:pPr>
            <w:r>
              <w:rPr>
                <w:rFonts w:ascii="Cambria" w:hAnsi="Cambria" w:cs="Cambria" w:eastAsia="Cambria"/>
                <w:color w:val="1A1A1A"/>
                <w:sz w:val="18"/>
              </w:rPr>
              <w:t xml:space="preserve">Riduzione delle visite specialistiche reiterate</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r>
      <w:tr>
        <w:tc>
          <w:tcPr/>
          <w:p>
            <w:pPr>
              <w:pStyle w:val="Compact"/>
              <w:spacing w:after="40" w:before="40"/>
              <w:jc w:val="left"/>
            </w:pPr>
            <w:r>
              <w:rPr>
                <w:rFonts w:ascii="Cambria" w:hAnsi="Cambria" w:cs="Cambria" w:eastAsia="Cambria"/>
                <w:color w:val="1A1A1A"/>
                <w:sz w:val="18"/>
              </w:rPr>
              <w:t xml:space="preserve">Riduzione degli invii impropri tra i livelli</w:t>
            </w:r>
          </w:p>
        </w:tc>
        <w:tc>
          <w:tcPr/>
          <w:p>
            <w:pPr>
              <w:pStyle w:val="Compact"/>
              <w:spacing w:after="40" w:before="40"/>
              <w:jc w:val="left"/>
            </w:pPr>
            <w:r>
              <w:rPr>
                <w:rFonts w:ascii="Cambria" w:hAnsi="Cambria" w:cs="Cambria" w:eastAsia="Cambria"/>
                <w:color w:val="1A1A1A"/>
                <w:sz w:val="18"/>
              </w:rPr>
              <w:t xml:space="preserve">~0,5</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~1,5</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Risparmio diretto del canale specialistico e diagnostico</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c>
          <w:tcPr>
            <w:shd w:val="clear" w:color="auto" w:fill="F4F1EC"/>
          </w:tcPr>
          <w:p>
            <w:pPr>
              <w:pStyle w:val="Compact"/>
              <w:spacing w:after="40" w:before="40"/>
              <w:jc w:val="left"/>
            </w:pPr>
            <w:r>
              <w:rPr>
                <w:rFonts w:ascii="Cambria" w:hAnsi="Cambria" w:cs="Cambria" w:eastAsia="Cambria"/>
                <w:color w:val="1A1A1A"/>
                <w:sz w:val="18"/>
              </w:rPr>
              <w:t xml:space="preserve">~6,0</w:t>
            </w:r>
          </w:p>
        </w:tc>
        <w:tc>
          <w:tcPr>
            <w:shd w:val="clear" w:color="auto" w:fill="F4F1EC"/>
          </w:tcPr>
          <w:p>
            <w:pPr>
              <w:pStyle w:val="Compact"/>
              <w:spacing w:after="40" w:before="40"/>
              <w:jc w:val="left"/>
            </w:pPr>
            <w:r>
              <w:rPr>
                <w:rFonts w:ascii="Cambria" w:hAnsi="Cambria" w:cs="Cambria" w:eastAsia="Cambria"/>
                <w:color w:val="1A1A1A"/>
                <w:sz w:val="18"/>
              </w:rPr>
              <w:t xml:space="preserve">~9,0</w:t>
            </w:r>
          </w:p>
        </w:tc>
      </w:tr>
    </w:tbl>
    <w:p>
      <w:pPr>
        <w:pStyle w:val="BodyText"/>
      </w:pPr>
      <w:r>
        <w:rPr>
          <w:i/>
          <w:iCs/>
        </w:rPr>
        <w:t xml:space="preserve">Tabella 8.8 — Stima prudenziale del risparmio del quarto canale per scenario. Le cifre sono bande prudenziali arrotondate, coerenti con la componente specialistica della valutazione economica del telaio e con l’aggregato per scenario ricomposto nella voce 8.6. L’ultima riga è la somma delle tre componenti.</w:t>
      </w:r>
    </w:p>
    <w:p>
      <w:pPr>
        <w:pStyle w:val="BodyText"/>
      </w:pPr>
      <w:r>
        <w:t xml:space="preserve">Il risparmio diretto del quarto canale è dunque stimato in un ordine di grandezza compreso tra circa 3 milioni di euro l’anno nello scenario conservativo e circa 9 milioni nello scenario espansivo, con un valore intermedio dell’ordine di 6 milioni. La cifra rappresenta una frazione contenuta della spesa specialistica ambulatoriale regionale, coerente con la natura del margine, che non è la riduzione della domanda specialistica appropriata — la quale anzi, nella misura in cui la riforma migliora l’accesso, può crescere — ma la compressione della sola domanda indotta dal disagio non riconosciuto. La prudenza della stima riflette, oltre all’incertezza generale, la cautela specifica imposta dalla maggiore sovrapposizione potenziale di questo canale con quello del pronto soccorso: per evitare ogni duplicazione, la stima conta la sola componente ambulatoriale non già attribuita al canale precedente, sacrificando deliberatamente parte del risparmio potenziale alla certezza di non contarlo due volte.</w:t>
      </w:r>
    </w:p>
    <w:p>
      <w:pPr>
        <w:pStyle w:val="BodyText"/>
      </w:pPr>
      <w:r>
        <w:t xml:space="preserve">La stima incorpora, come per gli altri canali, la progressione non lineare propria degli scenari, secondo una logica che in questo canale assume una forma particolare. La capacità di sostituire il riconoscimento della causa alla rincorsa del sintomo dipende criticamente dalla precocità dell’intercettazione: il paziente intercettato alla prima presentazione del sintomo, prima che la spirale diagnostica si sia avviata, genera un risparmio assai maggiore del paziente intercettato dopo anni di accertamenti, quando il percorso si è ormai consolidato. Al crescere della copertura cresce la quota di pazienti intercettati precocemente, e con essa la capacità di prevenire l’avvio della spirale diagnostica, e non soltanto di interromperla. La componente di prevenzione dell’avvio, che agisce sul flusso delle nuove spirali diagnostiche, cresce dunque più che proporzionalmente con la scala del servizio, secondo la struttura che la modellazione dell’undicesima parte rappresenta.</w:t>
      </w:r>
    </w:p>
    <w:bookmarkEnd w:id="481"/>
    <w:bookmarkStart w:id="484" w:name="X61cdfc4cb90bea5c4c281855a9b1bbcbf1ce334"/>
    <w:p>
      <w:pPr>
        <w:pStyle w:val="Heading2"/>
      </w:pPr>
      <w:r>
        <w:t xml:space="preserve">8.4.5 La graduazione dell’evidenza, i confini della stima e l’agenda di verifica</w:t>
      </w:r>
    </w:p>
    <w:p>
      <w:pPr>
        <w:pStyle w:val="FirstParagraph"/>
      </w:pPr>
      <w:r>
        <w:t xml:space="preserve">La solidità della stima del quarto canale va dichiarata con la medesima franchezza adottata per i precedenti. L’anello clinico-diagnostico della catena — il fatto che il riconoscimento della matrice psichica interrompa la rincorsa diagnostica del sintomo — è sostenuto da evidenza di qualità da moderata a variabile, in ragione della eterogeneità dei disturbi somatici funzionali. L’anello comportamentale — il fatto che il riconoscimento riduca effettivamente la domanda specialistica — è sostenuto da evidenza coerente ma di qualità da moderata a bassa, dipendendo dall’accessibilità del primo livello e dall’accettazione, da parte del paziente, della natura psichica del disturbo. L’anello economico — il fatto che la minore domanda si traduca in un risparmio statisticamente significativo — è sostenuto da evidenza di qualità bassa, in coerenza con il caveat invariante.</w:t>
      </w:r>
      <w:r>
        <w:rPr>
          <w:rStyle w:val="FootnoteReference"/>
        </w:rPr>
        <w:footnoteReference w:id="228"/>
      </w:r>
      <w:r>
        <w:t xml:space="preserve"> </w:t>
      </w:r>
      <w:r>
        <w:t xml:space="preserve">La graduazione complessiva del canale è dunque bassa, e per questo il risparmio è espresso in bande prudenziali, con la cautela aggiuntiva imposta dalla sovrapposizione con il canale del pronto soccorso.</w:t>
      </w:r>
    </w:p>
    <w:p>
      <w:pPr>
        <w:pStyle w:val="BodyText"/>
      </w:pPr>
      <w:r>
        <w:t xml:space="preserve">Da questa graduazione discendono i confini della stima. In primo luogo, il risparmio del canale è una grandezza fiscale diretta, e non è sommato alle ricadute sociali della minore medicalizzazione del disagio — il minore tempo sottratto al lavoro per accertamenti inutili, la minore ansia iatrogena indotta dalla spirale diagnostica, la migliore qualità della vita — che la nona parte tratta separatamente.</w:t>
      </w:r>
      <w:r>
        <w:rPr>
          <w:rStyle w:val="FootnoteReference"/>
        </w:rPr>
        <w:footnoteReference w:id="229"/>
      </w:r>
      <w:r>
        <w:t xml:space="preserve"> </w:t>
      </w:r>
      <w:r>
        <w:t xml:space="preserve">In secondo luogo, la stima conta la sola componente ambulatoriale non sovrapposta al canale del pronto soccorso, in ossequio alla regola di non duplicazione, che in questo canale opera con particolare rigore. In terzo luogo, la quota del risparmio attribuibile alla leva digitale e all’Intelligenza Artificiale, attraverso il supporto alla decisione diagnostica del medico di medicina generale e l’identificazione dei pattern di domanda indotta, non è qui aggiunta al risparmio del canale, ma è isolata nella voce seguente. In quarto luogo, la stima riguarda la sola domanda indotta dal disagio non riconosciuto, e non la domanda specialistica appropriata, che la riforma non comprime e può anzi accrescere: questa delimitazione è la condizione della difendibilità della cifra.</w:t>
      </w:r>
    </w:p>
    <w:p>
      <w:pPr>
        <w:pStyle w:val="BodyText"/>
      </w:pPr>
      <w:r>
        <w:t xml:space="preserve">La verifica documentale del quarto canale segue un’agenda precisa. Essa richiede l’acquisizione dei dati regionali sulla domanda specialistica ambulatoriale disaggregati per branca e per tipologia di prestazione, indispensabili per isolare la quota indotta dalla matrice psichica entro la domanda complessiva; dei dati sulla ripetizione degli accertamenti e sulla reiterazione delle visite per i medesimi pazienti, necessari per dimensionare la componente comprimibile; e dei dati sui costi unitari delle prestazioni, necessari per tradurre la minore domanda in minore spesa. L’acquisizione di questi dati, prevista nella fase di consolidamento, consentirà di restringere la banda del risparmio e di sostituire alle stime prudenziali misure ancorate alla realtà della domanda specialistica regionale. Conclusa con il quarto canale la rassegna dei canali del risparmio diretto, e prima di ricomporne l’aggregato nella voce conclusiva, la rinegoziazione deve isolare, all’interno dei quattro canali percorsi, la quota di risparmio attribuibile alla leva digitale e all’Intelligenza Artificiale: è l’oggetto della voce seguente.</w:t>
      </w:r>
    </w:p>
    <w:bookmarkEnd w:id="484"/>
    <w:bookmarkEnd w:id="485"/>
    <w:bookmarkStart w:id="497" w:name="Xe1b9cdef003899b68bf5d106e6620a5d059aabf"/>
    <w:p>
      <w:pPr>
        <w:pStyle w:val="Heading2"/>
      </w:pPr>
      <w:r>
        <w:t xml:space="preserve">8.5 Il contributo incrementale dell’Intelligenza Artificiale ai risparmi diretti</w:t>
      </w:r>
    </w:p>
    <w:p>
      <w:pPr>
        <w:pStyle w:val="FirstParagraph"/>
      </w:pPr>
      <w:r>
        <w:rPr>
          <w:i/>
          <w:iCs/>
        </w:rPr>
        <w:t xml:space="preserve">La quinta voce non aggiunge un quinto canale al risparmio diretto, ma attraversa i quattro canali precedenti per isolare, all’interno di ciascuno, la quota di risparmio attribuibile alla leva digitale e all’Intelligenza Artificiale. La sua funzione è di trasparenza, non di addizione: essa rende visibile, e separatamente quantificabile, il contributo che gli strumenti digitali apportano all’efficacia dei quattro meccanismi già descritti, senza in alcun punto sommare quel contributo ai risparmi dei canali entro cui esso già si esprime. Questa collocazione discende direttamente dal posizionamento dell’Intelligenza Artificiale stabilito nella prima parte e ribadito nella quarta: l’Intelligenza Artificiale non è l’oggetto centrale dell’analisi né un canale autonomo di risparmio, ma una delle leve che rendono la figura dello Psicologo di Base più funzionale ed efficace, e il suo contributo si manifesta attraverso il potenziamento dei canali, non accanto ad essi. La voce espone le funzioni dell’Intelligenza Artificiale lungo i quattro canali, ne quantifica la quota incrementale entro bande prudenziali e con la massima cautela, e ne dichiara la graduazione e i confini, applicando all’evidenza digitale il medesimo rigore applicato all’evidenza clinica.</w:t>
      </w:r>
    </w:p>
    <w:bookmarkStart w:id="487" w:name="X5883bbbbd16306e92abad64128d148123061d31"/>
    <w:p>
      <w:pPr>
        <w:pStyle w:val="Heading2"/>
      </w:pPr>
      <w:r>
        <w:t xml:space="preserve">8.5.1 La posizione dell’Intelligenza Artificiale nella rinegoziazione: leva, non canale</w:t>
      </w:r>
    </w:p>
    <w:p>
      <w:pPr>
        <w:pStyle w:val="FirstParagraph"/>
      </w:pPr>
      <w:r>
        <w:t xml:space="preserve">La collocazione dell’Intelligenza Artificiale nella rinegoziazione dei risparmi diretti richiede una precisazione preliminare, che ne governa l’intera trattazione e che discende dal principio architettonico dell’opera. L’Intelligenza Artificiale non genera un risparmio proprio e separabile, che si aggiunga a quello dei quattro canali; essa accresce l’efficacia dei meccanismi attraverso cui i quattro canali generano il proprio risparmio. Quando un sistema di supporto alla decisione aiuta il medico di medicina generale a riconoscere la matrice psichica di un sintomo, il risparmio che ne deriva — il minore esame, la minore visita — è già contato nel quarto canale; l’Intelligenza Artificiale non aggiunge un risparmio, ma rende più probabile e più tempestivo quello che il canale già produce. Per questa ragione, la quota attribuibile all’Intelligenza Artificiale non è una grandezza addizionale, ma una grandezza interna ai canali, che questa voce isola per renderla trasparente, e che la regola di non duplicazione vieta tassativamente di sommare all’aggregato dei canali.</w:t>
      </w:r>
      <w:r>
        <w:rPr>
          <w:rStyle w:val="FootnoteReference"/>
        </w:rPr>
        <w:footnoteReference w:id="230"/>
      </w:r>
    </w:p>
    <w:p>
      <w:pPr>
        <w:pStyle w:val="BodyText"/>
      </w:pPr>
      <w:r>
        <w:t xml:space="preserve">Questa precisazione non riduce l’importanza della leva digitale, ma ne colloca correttamente il valore. Il contributo dell’Intelligenza Artificiale ai risparmi diretti è reale e merita di essere reso visibile, perché orienta le scelte di investimento nella componente tecnologica del servizio; ma esso è un contributo all’efficacia dei canali, non un canale a sé, e la sua quantificazione separata ha la funzione di mostrare quanta parte del risparmio complessivo dipende dal potenziamento digitale dei meccanismi, non di accrescere il risparmio complessivo. La distinzione è la stessa che, nella prima parte, separa la leva dall’oggetto: l’oggetto del risparmio è la riduzione del consumo inappropriato di risorse sanitarie, e la leva digitale è uno degli strumenti che rendono quella riduzione più efficace, accanto alle leve organizzative, di processo e formative. Trattare l’Intelligenza Artificiale come un canale autonomo significherebbe non solo violare la regola di non duplicazione, ma fraintendere la sua natura di strumento subordinato alla funzione clinica e organizzativa che potenzia.</w:t>
      </w:r>
    </w:p>
    <w:bookmarkEnd w:id="487"/>
    <w:bookmarkStart w:id="490" w:name="Xd5d71c80976ba3cb7f4c6d1f9b8d797c5ea9f14"/>
    <w:p>
      <w:pPr>
        <w:pStyle w:val="Heading2"/>
      </w:pPr>
      <w:r>
        <w:t xml:space="preserve">8.5.2 Le funzioni dell’Intelligenza Artificiale lungo i quattro canali</w:t>
      </w:r>
    </w:p>
    <w:p>
      <w:pPr>
        <w:pStyle w:val="FirstParagraph"/>
      </w:pPr>
      <w:r>
        <w:t xml:space="preserve">Il contributo della leva digitale si distribuisce sui quattro canali attraverso funzioni specifiche, ciascuna delle quali potenzia un meccanismo già descritto. Nel canale farmaceutico, l’Intelligenza Artificiale interviene attraverso il supporto alla revisione prescrittiva e l’identificazione dei trattamenti cronici inappropriati: i sistemi di analisi dei profili prescrittivi possono segnalare al medico le terapie con benzodiazepine protratte oltre i termini raccomandati e i pazienti candidati alla deprescrizione, rendendo più sistematica e tempestiva la revisione che il meccanismo farmaceutico richiede. Il contributo è qui di supporto all’appropriatezza, e la quota di risparmio che ne deriva è interna al canale farmaceutico.</w:t>
      </w:r>
    </w:p>
    <w:p>
      <w:pPr>
        <w:pStyle w:val="BodyText"/>
      </w:pPr>
      <w:r>
        <w:t xml:space="preserve">Nel canale del pronto soccorso e dei ricoveri, l’Intelligenza Artificiale interviene attraverso la stratificazione del rischio e l’identificazione precoce dei pazienti a maggiore probabilità di accesso improprio o di ri-ricovero: i modelli predittivi applicati ai dati delle cure primarie possono individuare i pazienti il cui profilo segnala un rischio elevato di percorrere la via dell’urgenza o di ritornare in reparto dopo la dimissione, consentendo di concentrare su di essi l’intercettazione preventiva. Nel canale della mobilità passiva, l’Intelligenza Artificiale interviene principalmente attraverso la telepsicologia e il monitoraggio remoto, che riducono la necessità dello spostamento fisico: la possibilità di erogare a distanza una parte della presa in carico e del monitoraggio accresce la capacità di ritenzione territoriale, trattenendo in regione una quota della domanda che la distanza spingerebbe altrove. Nel canale specialistico e diagnostico, infine, l’Intelligenza Artificiale interviene attraverso il supporto alla decisione diagnostica del medico di medicina generale, che aiuta a riconoscere la matrice psichica del sintomo e a distinguere la domanda indotta da quella appropriata, potenziando il meccanismo della sostituzione diagnostica. A queste funzioni canale per canale si aggiungono gli strumenti trasversali — le terapie digitali e la terapia cognitivo-comportamentale erogata via internet — che, ampliando la capacità di presa in carico del primo livello, potenziano l’intercettazione su cui tutti i canali si fondano.</w:t>
      </w:r>
      <w:r>
        <w:rPr>
          <w:rStyle w:val="FootnoteReference"/>
        </w:rPr>
        <w:footnoteReference w:id="231"/>
      </w:r>
      <w:r>
        <w:t xml:space="preserve"> </w:t>
      </w:r>
      <w:r>
        <w:rPr>
          <w:rStyle w:val="FootnoteReference"/>
        </w:rPr>
        <w:footnoteReference w:id="232"/>
      </w:r>
    </w:p>
    <w:bookmarkEnd w:id="490"/>
    <w:bookmarkStart w:id="491" w:name="Xb9f864e8d91056334ad45181a5a8deed153e770"/>
    <w:p>
      <w:pPr>
        <w:pStyle w:val="Heading2"/>
      </w:pPr>
      <w:r>
        <w:t xml:space="preserve">8.5.3 La quantificazione della quota incrementale isolata per canale</w:t>
      </w:r>
    </w:p>
    <w:p>
      <w:pPr>
        <w:pStyle w:val="FirstParagraph"/>
      </w:pPr>
      <w:r>
        <w:t xml:space="preserve">La quantificazione del contributo dell’Intelligenza Artificiale procede isolando, all’interno del risparmio già stimato per ciascun canale, la quota attribuibile alle funzioni digitali descritte. Questa quota è stimata, con la massima prudenza imposta dalla qualità emergente dell’evidenza, in un ordine di grandezza dell’ordine di un decimo del risparmio di ciascun canale, con variazioni tra i canali che riflettono il diverso peso della leva digitale in ciascuno di essi. La stima è deliberatamente cauta, perché l’evidenza sull’effetto incrementale degli strumenti digitali sul risparmio sanitario diretto, distinto dall’effetto dell’intervento clinico che essi supportano, è ancora limitata e di qualità bassa, e impone di non sopravvalutare un contributo che la letteratura non consente ancora di misurare con precisione. La tabella che segue isola la quota attribuibile all’Intelligenza Artificiale per ciascun canale e per ciascuno scenario, ribadendo che tale quota è interna al risparmio dei canali e non vi si aggiunge.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Quota incrementale attribuibile all’IA, isolata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r>
      <w:tr>
        <w:tc>
          <w:tcPr/>
          <w:p>
            <w:pPr>
              <w:pStyle w:val="Compact"/>
              <w:spacing w:after="40" w:before="40"/>
              <w:jc w:val="left"/>
            </w:pPr>
            <w:r>
              <w:rPr>
                <w:rFonts w:ascii="Cambria" w:hAnsi="Cambria" w:cs="Cambria" w:eastAsia="Cambria"/>
                <w:color w:val="1A1A1A"/>
                <w:sz w:val="18"/>
              </w:rPr>
              <w:t xml:space="preserve">Entro il canale farmaceutico (supporto alla revisione prescrittiva)</w:t>
            </w:r>
          </w:p>
        </w:tc>
        <w:tc>
          <w:tcPr/>
          <w:p>
            <w:pPr>
              <w:pStyle w:val="Compact"/>
              <w:spacing w:after="40" w:before="40"/>
              <w:jc w:val="left"/>
            </w:pPr>
            <w:r>
              <w:rPr>
                <w:rFonts w:ascii="Cambria" w:hAnsi="Cambria" w:cs="Cambria" w:eastAsia="Cambria"/>
                <w:color w:val="1A1A1A"/>
                <w:sz w:val="18"/>
              </w:rPr>
              <w:t xml:space="preserve">~0,3</w:t>
            </w:r>
          </w:p>
        </w:tc>
        <w:tc>
          <w:tcPr/>
          <w:p>
            <w:pPr>
              <w:pStyle w:val="Compact"/>
              <w:spacing w:after="40" w:before="40"/>
              <w:jc w:val="left"/>
            </w:pPr>
            <w:r>
              <w:rPr>
                <w:rFonts w:ascii="Cambria" w:hAnsi="Cambria" w:cs="Cambria" w:eastAsia="Cambria"/>
                <w:color w:val="1A1A1A"/>
                <w:sz w:val="18"/>
              </w:rPr>
              <w:t xml:space="preserve">~0,4</w:t>
            </w:r>
          </w:p>
        </w:tc>
        <w:tc>
          <w:tcPr/>
          <w:p>
            <w:pPr>
              <w:pStyle w:val="Compact"/>
              <w:spacing w:after="40" w:before="40"/>
              <w:jc w:val="left"/>
            </w:pPr>
            <w:r>
              <w:rPr>
                <w:rFonts w:ascii="Cambria" w:hAnsi="Cambria" w:cs="Cambria" w:eastAsia="Cambria"/>
                <w:color w:val="1A1A1A"/>
                <w:sz w:val="18"/>
              </w:rPr>
              <w:t xml:space="preserve">~0,6</w:t>
            </w:r>
          </w:p>
        </w:tc>
      </w:tr>
      <w:tr>
        <w:tc>
          <w:tcPr>
            <w:shd w:val="clear" w:color="auto" w:fill="F4F1EC"/>
          </w:tcPr>
          <w:p>
            <w:pPr>
              <w:pStyle w:val="Compact"/>
              <w:spacing w:after="40" w:before="40"/>
              <w:jc w:val="left"/>
            </w:pPr>
            <w:r>
              <w:rPr>
                <w:rFonts w:ascii="Cambria" w:hAnsi="Cambria" w:cs="Cambria" w:eastAsia="Cambria"/>
                <w:color w:val="1A1A1A"/>
                <w:sz w:val="18"/>
              </w:rPr>
              <w:t xml:space="preserve">Entro il canale pronto soccorso e ricoveri (stratificazione del rischio)</w:t>
            </w:r>
          </w:p>
        </w:tc>
        <w:tc>
          <w:tcPr>
            <w:shd w:val="clear" w:color="auto" w:fill="F4F1EC"/>
          </w:tcPr>
          <w:p>
            <w:pPr>
              <w:pStyle w:val="Compact"/>
              <w:spacing w:after="40" w:before="40"/>
              <w:jc w:val="left"/>
            </w:pPr>
            <w:r>
              <w:rPr>
                <w:rFonts w:ascii="Cambria" w:hAnsi="Cambria" w:cs="Cambria" w:eastAsia="Cambria"/>
                <w:color w:val="1A1A1A"/>
                <w:sz w:val="18"/>
              </w:rPr>
              <w:t xml:space="preserve">~0,9</w:t>
            </w:r>
          </w:p>
        </w:tc>
        <w:tc>
          <w:tcPr>
            <w:shd w:val="clear" w:color="auto" w:fill="F4F1EC"/>
          </w:tcPr>
          <w:p>
            <w:pPr>
              <w:pStyle w:val="Compact"/>
              <w:spacing w:after="40" w:before="40"/>
              <w:jc w:val="left"/>
            </w:pPr>
            <w:r>
              <w:rPr>
                <w:rFonts w:ascii="Cambria" w:hAnsi="Cambria" w:cs="Cambria" w:eastAsia="Cambria"/>
                <w:color w:val="1A1A1A"/>
                <w:sz w:val="18"/>
              </w:rPr>
              <w:t xml:space="preserve">~1,6</w:t>
            </w:r>
          </w:p>
        </w:tc>
        <w:tc>
          <w:tcPr>
            <w:shd w:val="clear" w:color="auto" w:fill="F4F1EC"/>
          </w:tcPr>
          <w:p>
            <w:pPr>
              <w:pStyle w:val="Compact"/>
              <w:spacing w:after="40" w:before="40"/>
              <w:jc w:val="left"/>
            </w:pPr>
            <w:r>
              <w:rPr>
                <w:rFonts w:ascii="Cambria" w:hAnsi="Cambria" w:cs="Cambria" w:eastAsia="Cambria"/>
                <w:color w:val="1A1A1A"/>
                <w:sz w:val="18"/>
              </w:rPr>
              <w:t xml:space="preserve">~2,3</w:t>
            </w:r>
          </w:p>
        </w:tc>
      </w:tr>
      <w:tr>
        <w:tc>
          <w:tcPr/>
          <w:p>
            <w:pPr>
              <w:pStyle w:val="Compact"/>
              <w:spacing w:after="40" w:before="40"/>
              <w:jc w:val="left"/>
            </w:pPr>
            <w:r>
              <w:rPr>
                <w:rFonts w:ascii="Cambria" w:hAnsi="Cambria" w:cs="Cambria" w:eastAsia="Cambria"/>
                <w:color w:val="1A1A1A"/>
                <w:sz w:val="18"/>
              </w:rPr>
              <w:t xml:space="preserve">Entro il canale mobilità passiva (telepsicologia, monitoraggio remoto)</w:t>
            </w:r>
          </w:p>
        </w:tc>
        <w:tc>
          <w:tcPr/>
          <w:p>
            <w:pPr>
              <w:pStyle w:val="Compact"/>
              <w:spacing w:after="40" w:before="40"/>
              <w:jc w:val="left"/>
            </w:pPr>
            <w:r>
              <w:rPr>
                <w:rFonts w:ascii="Cambria" w:hAnsi="Cambria" w:cs="Cambria" w:eastAsia="Cambria"/>
                <w:color w:val="1A1A1A"/>
                <w:sz w:val="18"/>
              </w:rPr>
              <w:t xml:space="preserve">~0,5</w:t>
            </w:r>
          </w:p>
        </w:tc>
        <w:tc>
          <w:tcPr/>
          <w:p>
            <w:pPr>
              <w:pStyle w:val="Compact"/>
              <w:spacing w:after="40" w:before="40"/>
              <w:jc w:val="left"/>
            </w:pPr>
            <w:r>
              <w:rPr>
                <w:rFonts w:ascii="Cambria" w:hAnsi="Cambria" w:cs="Cambria" w:eastAsia="Cambria"/>
                <w:color w:val="1A1A1A"/>
                <w:sz w:val="18"/>
              </w:rPr>
              <w:t xml:space="preserve">~0,8</w:t>
            </w:r>
          </w:p>
        </w:tc>
        <w:tc>
          <w:tcPr/>
          <w:p>
            <w:pPr>
              <w:pStyle w:val="Compact"/>
              <w:spacing w:after="40" w:before="40"/>
              <w:jc w:val="left"/>
            </w:pPr>
            <w:r>
              <w:rPr>
                <w:rFonts w:ascii="Cambria" w:hAnsi="Cambria" w:cs="Cambria" w:eastAsia="Cambria"/>
                <w:color w:val="1A1A1A"/>
                <w:sz w:val="18"/>
              </w:rPr>
              <w:t xml:space="preserve">~1,2</w:t>
            </w:r>
          </w:p>
        </w:tc>
      </w:tr>
      <w:tr>
        <w:tc>
          <w:tcPr>
            <w:shd w:val="clear" w:color="auto" w:fill="F4F1EC"/>
          </w:tcPr>
          <w:p>
            <w:pPr>
              <w:pStyle w:val="Compact"/>
              <w:spacing w:after="40" w:before="40"/>
              <w:jc w:val="left"/>
            </w:pPr>
            <w:r>
              <w:rPr>
                <w:rFonts w:ascii="Cambria" w:hAnsi="Cambria" w:cs="Cambria" w:eastAsia="Cambria"/>
                <w:color w:val="1A1A1A"/>
                <w:sz w:val="18"/>
              </w:rPr>
              <w:t xml:space="preserve">Entro il canale specialistico (supporto alla decisione diagnostica)</w:t>
            </w:r>
          </w:p>
        </w:tc>
        <w:tc>
          <w:tcPr>
            <w:shd w:val="clear" w:color="auto" w:fill="F4F1EC"/>
          </w:tcPr>
          <w:p>
            <w:pPr>
              <w:pStyle w:val="Compact"/>
              <w:spacing w:after="40" w:before="40"/>
              <w:jc w:val="left"/>
            </w:pPr>
            <w:r>
              <w:rPr>
                <w:rFonts w:ascii="Cambria" w:hAnsi="Cambria" w:cs="Cambria" w:eastAsia="Cambria"/>
                <w:color w:val="1A1A1A"/>
                <w:sz w:val="18"/>
              </w:rPr>
              <w:t xml:space="preserve">~0,3</w:t>
            </w:r>
          </w:p>
        </w:tc>
        <w:tc>
          <w:tcPr>
            <w:shd w:val="clear" w:color="auto" w:fill="F4F1EC"/>
          </w:tcPr>
          <w:p>
            <w:pPr>
              <w:pStyle w:val="Compact"/>
              <w:spacing w:after="40" w:before="40"/>
              <w:jc w:val="left"/>
            </w:pPr>
            <w:r>
              <w:rPr>
                <w:rFonts w:ascii="Cambria" w:hAnsi="Cambria" w:cs="Cambria" w:eastAsia="Cambria"/>
                <w:color w:val="1A1A1A"/>
                <w:sz w:val="18"/>
              </w:rPr>
              <w:t xml:space="preserve">~0,6</w:t>
            </w:r>
          </w:p>
        </w:tc>
        <w:tc>
          <w:tcPr>
            <w:shd w:val="clear" w:color="auto" w:fill="F4F1EC"/>
          </w:tcPr>
          <w:p>
            <w:pPr>
              <w:pStyle w:val="Compact"/>
              <w:spacing w:after="40" w:before="40"/>
              <w:jc w:val="left"/>
            </w:pPr>
            <w:r>
              <w:rPr>
                <w:rFonts w:ascii="Cambria" w:hAnsi="Cambria" w:cs="Cambria" w:eastAsia="Cambria"/>
                <w:color w:val="1A1A1A"/>
                <w:sz w:val="18"/>
              </w:rPr>
              <w:t xml:space="preserve">~0,9</w:t>
            </w:r>
          </w:p>
        </w:tc>
      </w:tr>
      <w:tr>
        <w:tc>
          <w:tcPr/>
          <w:p>
            <w:pPr>
              <w:pStyle w:val="Compact"/>
              <w:spacing w:after="40" w:before="40"/>
              <w:jc w:val="left"/>
            </w:pPr>
            <w:r>
              <w:rPr>
                <w:rFonts w:ascii="Cambria" w:hAnsi="Cambria" w:cs="Cambria" w:eastAsia="Cambria"/>
                <w:color w:val="1A1A1A"/>
                <w:sz w:val="18"/>
              </w:rPr>
              <w:t xml:space="preserve">Quota IA complessiva — già inclusa nei canali, non additiva</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~3,4</w:t>
            </w:r>
          </w:p>
        </w:tc>
        <w:tc>
          <w:tcPr/>
          <w:p>
            <w:pPr>
              <w:pStyle w:val="Compact"/>
              <w:spacing w:after="40" w:before="40"/>
              <w:jc w:val="left"/>
            </w:pPr>
            <w:r>
              <w:rPr>
                <w:rFonts w:ascii="Cambria" w:hAnsi="Cambria" w:cs="Cambria" w:eastAsia="Cambria"/>
                <w:color w:val="1A1A1A"/>
                <w:sz w:val="18"/>
              </w:rPr>
              <w:t xml:space="preserve">~5,0</w:t>
            </w:r>
          </w:p>
        </w:tc>
      </w:tr>
    </w:tbl>
    <w:p>
      <w:pPr>
        <w:pStyle w:val="BodyText"/>
      </w:pPr>
      <w:r>
        <w:rPr>
          <w:i/>
          <w:iCs/>
        </w:rPr>
        <w:t xml:space="preserve">Tabella 8.9 — Isolamento della quota incrementale attribuibile all’Intelligenza Artificiale, per canale e per scenario. Le cifre sono bande prudenziali arrotondate e rappresentano una quota interna al risparmio di ciascun canale, già conteggiata nelle tabelle precedenti; esse non vanno in alcun caso sommate all’aggregato dei quattro canali. La quota complessiva è dell’ordine di un decimo del risparmio diretto totale.</w:t>
      </w:r>
    </w:p>
    <w:p>
      <w:pPr>
        <w:pStyle w:val="BodyText"/>
      </w:pPr>
      <w:r>
        <w:t xml:space="preserve">La lettura corretta della tabella richiede di insistere, una volta ancora, sulla sua natura non additiva. Le cifre ivi riportate non costituiscono un quinto addendo da sommare ai quattro canali, ma una scomposizione interna che mostra quanta parte del risparmio già stimato dipende dal potenziamento digitale dei meccanismi. La quota complessiva attribuibile all’Intelligenza Artificiale — dell’ordine di due milioni nello scenario conservativo, di tre milioni e mezzo in quello intermedio e di cinque milioni in quello espansivo — è dunque interamente contenuta nell’aggregato di venti, trentaquattro e cinquanta milioni che la voce conclusiva ricomporrà, e ne rappresenta la frazione attribuibile alla leva digitale. Sommarla all’aggregato significherebbe contare due volte il medesimo risparmio, in violazione del vincolo invariante che governa l’intera parte. La quantificazione separata serve a rispondere a una domanda legittima del decisore — quanta parte del risparmio dipende dall’investimento tecnologico — non a gonfiare il risparmio complessivo.</w:t>
      </w:r>
    </w:p>
    <w:bookmarkEnd w:id="491"/>
    <w:bookmarkStart w:id="496" w:name="X1200b094f83396510ef96af1b830a3a432c79e0"/>
    <w:p>
      <w:pPr>
        <w:pStyle w:val="Heading2"/>
      </w:pPr>
      <w:r>
        <w:t xml:space="preserve">8.5.4 La graduazione dell’evidenza digitale, la governance prudenziale e i confini</w:t>
      </w:r>
    </w:p>
    <w:p>
      <w:pPr>
        <w:pStyle w:val="FirstParagraph"/>
      </w:pPr>
      <w:r>
        <w:t xml:space="preserve">La graduazione dell’evidenza a sostegno del contributo dell’Intelligenza Artificiale segue il principio di simmetria stabilito nella prima parte: all’evidenza digitale è applicato il medesimo rigore applicato all’evidenza clinica, senza l’indulgenza che spesso accompagna le tecnologie emergenti. Su questa base, l’evidenza sull’efficacia clinica di alcuni strumenti digitali — segnatamente la terapia cognitivo-comportamentale erogata via internet per i disturbi d’ansia e depressivi — è di qualità da moderata a buona, sostenuta da un corpo di studi controllati ormai consistente. L’evidenza sull’efficacia dei modelli predittivi e di stratificazione del rischio applicati alle cure primarie è invece di qualità più bassa e di natura emergente, derivata da studi prevalentemente osservazionali e di validazione, non ancora da valutazioni d’impatto robuste. E l’evidenza sull’effetto incrementale specifico di questi strumenti sul risparmio sanitario diretto — distinto dall’effetto clinico dell’intervento che essi supportano — è di qualità bassa, perché gli studi che isolano tale effetto sono ancora pochi.</w:t>
      </w:r>
      <w:r>
        <w:rPr>
          <w:rStyle w:val="FootnoteReference"/>
        </w:rPr>
        <w:footnoteReference w:id="233"/>
      </w:r>
      <w:r>
        <w:t xml:space="preserve"> </w:t>
      </w:r>
      <w:r>
        <w:rPr>
          <w:rStyle w:val="FootnoteReference"/>
        </w:rPr>
        <w:footnoteReference w:id="234"/>
      </w:r>
      <w:r>
        <w:t xml:space="preserve"> </w:t>
      </w:r>
      <w:r>
        <w:t xml:space="preserve">La graduazione complessiva del contributo dell’Intelligenza Artificiale ai risparmi diretti è, di conseguenza, bassa, e impone le bande prudenziali e la cautela che la stima ha adottato.</w:t>
      </w:r>
    </w:p>
    <w:p>
      <w:pPr>
        <w:pStyle w:val="BodyText"/>
      </w:pPr>
      <w:r>
        <w:t xml:space="preserve">A questa graduazione si accompagna la cornice di governance prudenziale che la quarta e la tredicesima parte definiscono, e che condiziona la realizzabilità del contributo stimato. L’impiego dell’Intelligenza Artificiale lungo i canali è subordinato alla supervisione umana, alla protezione dei dati, all’equità di accesso e alla responsabilità professionale: il sistema di supporto alla decisione assiste il clinico, non lo sostituisce; il modello predittivo orienta l’attenzione, non determina la presa in carico; lo strumento digitale amplia l’accesso, ma non deve generare nuove diseguaglianze a danno di chi non dispone delle competenze o degli strumenti per utilizzarlo.</w:t>
      </w:r>
      <w:r>
        <w:rPr>
          <w:rStyle w:val="FootnoteReference"/>
        </w:rPr>
        <w:footnoteReference w:id="235"/>
      </w:r>
      <w:r>
        <w:t xml:space="preserve"> </w:t>
      </w:r>
      <w:r>
        <w:t xml:space="preserve">Il rispetto di questa cornice è condizione non solo etica e giuridica, ma anche economica, perché un impiego dell’Intelligenza Artificiale che ne violasse i principi genererebbe costi — di rimedio, di contenzioso, di perdita di fiducia — che eroderebbero il risparmio stimato. La quota incrementale attribuita alla leva digitale presuppone, dunque, un impiego conforme alla governance prudenziale, e non un impiego qualsiasi.</w:t>
      </w:r>
    </w:p>
    <w:p>
      <w:pPr>
        <w:pStyle w:val="BodyText"/>
      </w:pPr>
      <w:r>
        <w:t xml:space="preserve">Da queste considerazioni discendono i confini della stima del contributo digitale, che conviene dichiarare esplicitamente. In primo luogo, la quota attribuita all’Intelligenza Artificiale è interna ai canali e non additiva, e non è in alcun punto sommata all’aggregato dei quattro canali: è questa la conseguenza più stringente della regola di non duplicazione, ed è la ragione per cui questa voce, sola tra le voci dei canali, non incrementa il totale. In secondo luogo, la quota è stimata con prudenza accentuata, in ragione della qualità bassa dell’evidenza sull’effetto incrementale specifico, e il suo valore è destinato a essere precisato — in aumento o in diminuzione — dall’evidenza futura e dalla valutazione ex-post che la quindicesima parte prevede. In terzo luogo, il costo della leva digitale e dell’Intelligenza Artificiale non è contabilizzato in questa parte, che tratta i soli risparmi, ma nella settima, che ne ha stimato il costo incrementale: il saldo tra il costo della leva digitale e la quota di risparmio che essa genera è ricomposto nella voce conclusiva e nella decima parte, e costituisce uno degli elementi della valutazione del valore della componente tecnologica del servizio. Isolata la quota attribuibile all’Intelligenza Artificiale e dichiarata la sua natura non additiva, la rinegoziazione dispone ora di tutti gli elementi per ricomporre l’aggregato del risparmio diretto e confrontarlo con i costi: è il compito della voce conclusiva, che la prossima tranche svilupperà.</w:t>
      </w:r>
      <w:r>
        <w:rPr>
          <w:rStyle w:val="FootnoteReference"/>
        </w:rPr>
        <w:footnoteReference w:id="236"/>
      </w:r>
    </w:p>
    <w:bookmarkEnd w:id="496"/>
    <w:bookmarkEnd w:id="497"/>
    <w:bookmarkStart w:id="506" w:name="Xa6aaa7d6c3cb1d26f068929b4857560a594d9c5"/>
    <w:p>
      <w:pPr>
        <w:pStyle w:val="Heading2"/>
      </w:pPr>
      <w:r>
        <w:t xml:space="preserve">8.6 Il risparmio diretto complessivo per scenario</w:t>
      </w:r>
    </w:p>
    <w:p>
      <w:pPr>
        <w:pStyle w:val="FirstParagraph"/>
      </w:pPr>
      <w:r>
        <w:rPr>
          <w:i/>
          <w:iCs/>
        </w:rPr>
        <w:t xml:space="preserve">La voce conclusiva della parte ricompone in un quadro unitario i risultati dei quattro canali, ne restituisce l’aggregato per ciascuno scenario di copertura e lo confronta con i costi diretti del servizio stimati nella settima parte, traendone il saldo che costituisce la sintesi quantitativa della rinegoziazione dei risparmi diretti. Essa procede in quattro passaggi: ricompone l’aggregato dei quattro canali nella tabella di riconciliazione che ne mostra la somma; confronta tale aggregato con i costi diretti e ne deriva il saldo per scenario; interpreta il saldo nella sua corretta proporzione, mostrando perché la sua prossimità al pareggio non indebolisca la proposta ma ne sposti la giustificazione sul terreno delle ricadute sociali; e ne descrive la traiettoria temporale, individuando l’esercizio in cui il flusso dei risparmi raggiunge quello dei costi. Con essa la parte ottava chiude la propria rinegoziazione fiscale e consegna alla nona e alla decima parte il compito di completare il quadro economico con le grandezze sociali.</w:t>
      </w:r>
    </w:p>
    <w:bookmarkStart w:id="498" w:name="Xfe1f83afd0ad2da7a595094c0845fa329f6f155"/>
    <w:p>
      <w:pPr>
        <w:pStyle w:val="Heading2"/>
      </w:pPr>
      <w:r>
        <w:t xml:space="preserve">8.6.1 La ricomposizione dell’aggregato: la riconciliazione dei quattro canali</w:t>
      </w:r>
    </w:p>
    <w:p>
      <w:pPr>
        <w:pStyle w:val="FirstParagraph"/>
      </w:pPr>
      <w:r>
        <w:t xml:space="preserve">La ricomposizione dell’aggregato del risparmio diretto consiste nel sommare i risparmi dei quattro canali stimati nelle voci precedenti, ciascuno entro la propria banda prudenziale e per ciascuno dei tre scenari di copertura. La somma è lecita e non incorre nella regola di non duplicazione, perché i quattro canali agiscono su grandezze distinte — la spesa farmaceutica, il costo dell’emergenza e della degenza, il saldo della mobilità, la spesa specialistica — e nessun euro è contato in più di un canale; la cautela aggiuntiva adottata nel quarto canale, che ne ha limitato la stima alla sola componente ambulatoriale non sovrapposta al pronto soccorso, garantisce l’assenza di sovrapposizioni tra il secondo e il quarto canale. La quota attribuibile all’Intelligenza Artificiale, isolata nella voce precedente, non entra nella somma come addendo autonomo, perché è interna ai canali e già conteggiata in essi. La tabella che segue ricompone l’aggregato, mostrando il contributo di ciascun canale e la loro somma per scenario.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Canale del risparmio diretto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8.1 · Canale farmaceutico</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~4</w:t>
            </w:r>
          </w:p>
        </w:tc>
        <w:tc>
          <w:tcPr/>
          <w:p>
            <w:pPr>
              <w:pStyle w:val="Compact"/>
              <w:spacing w:after="40" w:before="40"/>
              <w:jc w:val="left"/>
            </w:pPr>
            <w:r>
              <w:rPr>
                <w:rFonts w:ascii="Cambria" w:hAnsi="Cambria" w:cs="Cambria" w:eastAsia="Cambria"/>
                <w:color w:val="1A1A1A"/>
                <w:sz w:val="18"/>
              </w:rPr>
              <w:t xml:space="preserve">~6</w:t>
            </w:r>
          </w:p>
        </w:tc>
      </w:tr>
      <w:tr>
        <w:tc>
          <w:tcPr>
            <w:shd w:val="clear" w:color="auto" w:fill="F4F1EC"/>
          </w:tcPr>
          <w:p>
            <w:pPr>
              <w:pStyle w:val="Compact"/>
              <w:spacing w:after="40" w:before="40"/>
              <w:jc w:val="left"/>
            </w:pPr>
            <w:r>
              <w:rPr>
                <w:rFonts w:ascii="Cambria" w:hAnsi="Cambria" w:cs="Cambria" w:eastAsia="Cambria"/>
                <w:color w:val="1A1A1A"/>
                <w:sz w:val="18"/>
              </w:rPr>
              <w:t xml:space="preserve">8.2 · Canale pronto soccorso e ricoveri</w:t>
            </w:r>
          </w:p>
        </w:tc>
        <w:tc>
          <w:tcPr>
            <w:shd w:val="clear" w:color="auto" w:fill="F4F1EC"/>
          </w:tcPr>
          <w:p>
            <w:pPr>
              <w:pStyle w:val="Compact"/>
              <w:spacing w:after="40" w:before="40"/>
              <w:jc w:val="left"/>
            </w:pPr>
            <w:r>
              <w:rPr>
                <w:rFonts w:ascii="Cambria" w:hAnsi="Cambria" w:cs="Cambria" w:eastAsia="Cambria"/>
                <w:color w:val="1A1A1A"/>
                <w:sz w:val="18"/>
              </w:rPr>
              <w:t xml:space="preserve">~9</w:t>
            </w:r>
          </w:p>
        </w:tc>
        <w:tc>
          <w:tcPr>
            <w:shd w:val="clear" w:color="auto" w:fill="F4F1EC"/>
          </w:tcPr>
          <w:p>
            <w:pPr>
              <w:pStyle w:val="Compact"/>
              <w:spacing w:after="40" w:before="40"/>
              <w:jc w:val="left"/>
            </w:pPr>
            <w:r>
              <w:rPr>
                <w:rFonts w:ascii="Cambria" w:hAnsi="Cambria" w:cs="Cambria" w:eastAsia="Cambria"/>
                <w:color w:val="1A1A1A"/>
                <w:sz w:val="18"/>
              </w:rPr>
              <w:t xml:space="preserve">~16</w:t>
            </w:r>
          </w:p>
        </w:tc>
        <w:tc>
          <w:tcPr>
            <w:shd w:val="clear" w:color="auto" w:fill="F4F1EC"/>
          </w:tcPr>
          <w:p>
            <w:pPr>
              <w:pStyle w:val="Compact"/>
              <w:spacing w:after="40" w:before="40"/>
              <w:jc w:val="left"/>
            </w:pPr>
            <w:r>
              <w:rPr>
                <w:rFonts w:ascii="Cambria" w:hAnsi="Cambria" w:cs="Cambria" w:eastAsia="Cambria"/>
                <w:color w:val="1A1A1A"/>
                <w:sz w:val="18"/>
              </w:rPr>
              <w:t xml:space="preserve">~23</w:t>
            </w:r>
          </w:p>
        </w:tc>
      </w:tr>
      <w:tr>
        <w:tc>
          <w:tcPr/>
          <w:p>
            <w:pPr>
              <w:pStyle w:val="Compact"/>
              <w:spacing w:after="40" w:before="40"/>
              <w:jc w:val="left"/>
            </w:pPr>
            <w:r>
              <w:rPr>
                <w:rFonts w:ascii="Cambria" w:hAnsi="Cambria" w:cs="Cambria" w:eastAsia="Cambria"/>
                <w:color w:val="1A1A1A"/>
                <w:sz w:val="18"/>
              </w:rPr>
              <w:t xml:space="preserve">8.3 · Canale mobilità sanitaria passiva</w:t>
            </w:r>
          </w:p>
        </w:tc>
        <w:tc>
          <w:tcPr/>
          <w:p>
            <w:pPr>
              <w:pStyle w:val="Compact"/>
              <w:spacing w:after="40" w:before="40"/>
              <w:jc w:val="left"/>
            </w:pPr>
            <w:r>
              <w:rPr>
                <w:rFonts w:ascii="Cambria" w:hAnsi="Cambria" w:cs="Cambria" w:eastAsia="Cambria"/>
                <w:color w:val="1A1A1A"/>
                <w:sz w:val="18"/>
              </w:rPr>
              <w:t xml:space="preserve">~5</w:t>
            </w:r>
          </w:p>
        </w:tc>
        <w:tc>
          <w:tcPr/>
          <w:p>
            <w:pPr>
              <w:pStyle w:val="Compact"/>
              <w:spacing w:after="40" w:before="40"/>
              <w:jc w:val="left"/>
            </w:pPr>
            <w:r>
              <w:rPr>
                <w:rFonts w:ascii="Cambria" w:hAnsi="Cambria" w:cs="Cambria" w:eastAsia="Cambria"/>
                <w:color w:val="1A1A1A"/>
                <w:sz w:val="18"/>
              </w:rPr>
              <w:t xml:space="preserve">~8</w:t>
            </w:r>
          </w:p>
        </w:tc>
        <w:tc>
          <w:tcPr/>
          <w:p>
            <w:pPr>
              <w:pStyle w:val="Compact"/>
              <w:spacing w:after="40" w:before="40"/>
              <w:jc w:val="left"/>
            </w:pPr>
            <w:r>
              <w:rPr>
                <w:rFonts w:ascii="Cambria" w:hAnsi="Cambria" w:cs="Cambria" w:eastAsia="Cambria"/>
                <w:color w:val="1A1A1A"/>
                <w:sz w:val="18"/>
              </w:rPr>
              <w:t xml:space="preserve">~12</w:t>
            </w:r>
          </w:p>
        </w:tc>
      </w:tr>
      <w:tr>
        <w:tc>
          <w:tcPr>
            <w:shd w:val="clear" w:color="auto" w:fill="F4F1EC"/>
          </w:tcPr>
          <w:p>
            <w:pPr>
              <w:pStyle w:val="Compact"/>
              <w:spacing w:after="40" w:before="40"/>
              <w:jc w:val="left"/>
            </w:pPr>
            <w:r>
              <w:rPr>
                <w:rFonts w:ascii="Cambria" w:hAnsi="Cambria" w:cs="Cambria" w:eastAsia="Cambria"/>
                <w:color w:val="1A1A1A"/>
                <w:sz w:val="18"/>
              </w:rPr>
              <w:t xml:space="preserve">8.4 · Canale specialistico e diagnostico</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c>
          <w:tcPr>
            <w:shd w:val="clear" w:color="auto" w:fill="F4F1EC"/>
          </w:tcPr>
          <w:p>
            <w:pPr>
              <w:pStyle w:val="Compact"/>
              <w:spacing w:after="40" w:before="40"/>
              <w:jc w:val="left"/>
            </w:pPr>
            <w:r>
              <w:rPr>
                <w:rFonts w:ascii="Cambria" w:hAnsi="Cambria" w:cs="Cambria" w:eastAsia="Cambria"/>
                <w:color w:val="1A1A1A"/>
                <w:sz w:val="18"/>
              </w:rPr>
              <w:t xml:space="preserve">~6</w:t>
            </w:r>
          </w:p>
        </w:tc>
        <w:tc>
          <w:tcPr>
            <w:shd w:val="clear" w:color="auto" w:fill="F4F1EC"/>
          </w:tcPr>
          <w:p>
            <w:pPr>
              <w:pStyle w:val="Compact"/>
              <w:spacing w:after="40" w:before="40"/>
              <w:jc w:val="left"/>
            </w:pPr>
            <w:r>
              <w:rPr>
                <w:rFonts w:ascii="Cambria" w:hAnsi="Cambria" w:cs="Cambria" w:eastAsia="Cambria"/>
                <w:color w:val="1A1A1A"/>
                <w:sz w:val="18"/>
              </w:rPr>
              <w:t xml:space="preserve">~9</w:t>
            </w:r>
          </w:p>
        </w:tc>
      </w:tr>
      <w:tr>
        <w:tc>
          <w:tcPr/>
          <w:p>
            <w:pPr>
              <w:pStyle w:val="Compact"/>
              <w:spacing w:after="40" w:before="40"/>
              <w:jc w:val="left"/>
            </w:pPr>
            <w:r>
              <w:rPr>
                <w:rFonts w:ascii="Cambria" w:hAnsi="Cambria" w:cs="Cambria" w:eastAsia="Cambria"/>
                <w:color w:val="1A1A1A"/>
                <w:sz w:val="18"/>
              </w:rPr>
              <w:t xml:space="preserve">Risparmio diretto complessivo per il Servizio sanitario regionale</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~34</w:t>
            </w:r>
          </w:p>
        </w:tc>
        <w:tc>
          <w:tcPr/>
          <w:p>
            <w:pPr>
              <w:pStyle w:val="Compact"/>
              <w:spacing w:after="40" w:before="40"/>
              <w:jc w:val="left"/>
            </w:pPr>
            <w:r>
              <w:rPr>
                <w:rFonts w:ascii="Cambria" w:hAnsi="Cambria" w:cs="Cambria" w:eastAsia="Cambria"/>
                <w:color w:val="1A1A1A"/>
                <w:sz w:val="18"/>
              </w:rPr>
              <w:t xml:space="preserve">~50</w:t>
            </w:r>
          </w:p>
        </w:tc>
      </w:tr>
    </w:tbl>
    <w:p>
      <w:pPr>
        <w:pStyle w:val="BodyText"/>
      </w:pPr>
      <w:r>
        <w:rPr>
          <w:i/>
          <w:iCs/>
        </w:rPr>
        <w:t xml:space="preserve">Tabella 8.10 — Riconciliazione dell’aggregato del risparmio diretto per scenario. Le cifre sono bande prudenziali arrotondate; l’ultima riga è la somma dei quattro canali. La quota attribuibile all’Intelligenza Artificiale, isolata nella tabella 8.9, è interna ai canali e non figura come addendo autonomo. L’aggregato è coerente con la valutazione economica del telaio integrato.</w:t>
      </w:r>
    </w:p>
    <w:p>
      <w:pPr>
        <w:pStyle w:val="BodyText"/>
      </w:pPr>
      <w:r>
        <w:t xml:space="preserve">L’aggregato del risparmio diretto per il Servizio sanitario regionale pugliese è dunque dell’ordine di venti milioni di euro l’anno nello scenario conservativo, di trentaquattro milioni in quello intermedio e di cinquanta milioni in quello espansivo. La struttura interna dell’aggregato merita di essere osservata, perché ne rivela la composizione e ne fonda l’interpretazione. Il canale del pronto soccorso e dei ricoveri ne costituisce, in tutti gli scenari, la componente prevalente, in ragione dell’elevato costo unitario dei setting su cui agisce; il canale della mobilità passiva e quello specialistico ne costituiscono le componenti intermedie; il canale farmaceutico, pur fondato sui margini di appropriatezza più diffusi, ne costituisce la componente minore, in ragione del basso costo unitario della singola prescrizione. Questa composizione conferma un principio che attraversa l’intera rinegoziazione: il risparmio fiscale diretto si concentra là dove il costo unitario è elevato e la compressione di volume, anche modesta, vale molto, più che là dove i volumi sono ampi ma il costo unitario è contenuto.</w:t>
      </w:r>
    </w:p>
    <w:bookmarkEnd w:id="498"/>
    <w:bookmarkStart w:id="500" w:name="Xca1ea476654dc9f567a4a3e1a1147265634f7de"/>
    <w:p>
      <w:pPr>
        <w:pStyle w:val="Heading2"/>
      </w:pPr>
      <w:r>
        <w:t xml:space="preserve">8.6.2 Il confronto con i costi diretti e il saldo per scenario</w:t>
      </w:r>
    </w:p>
    <w:p>
      <w:pPr>
        <w:pStyle w:val="FirstParagraph"/>
      </w:pPr>
      <w:r>
        <w:t xml:space="preserve">Ricomposto l’aggregato dei risparmi diretti, la valutazione fiscale si completa nel confronto con i costi diretti del servizio, che la settima parte ha stimato per ciascuno scenario di copertura. Tale confronto, condotto sulle medesime grandezze dirette e a parità di scenario, restituisce il saldo diretto sul bilancio sanitario regionale, ossia la differenza tra ciò che la riforma fa risparmiare e ciò che essa costa, sul solo terreno fiscale e prima di ogni considerazione delle ricadute sociali. La tabella che segue affianca le due grandezze e ne deriva il saldo.</w:t>
      </w:r>
      <w:r>
        <w:rPr>
          <w:rStyle w:val="FootnoteReference"/>
        </w:rPr>
        <w:footnoteReference w:id="237"/>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Grandezza fiscale diretta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Risparmi diretti — aggregato dei quattro canali (voce 8.6)</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~34</w:t>
            </w:r>
          </w:p>
        </w:tc>
        <w:tc>
          <w:tcPr/>
          <w:p>
            <w:pPr>
              <w:pStyle w:val="Compact"/>
              <w:spacing w:after="40" w:before="40"/>
              <w:jc w:val="left"/>
            </w:pPr>
            <w:r>
              <w:rPr>
                <w:rFonts w:ascii="Cambria" w:hAnsi="Cambria" w:cs="Cambria" w:eastAsia="Cambria"/>
                <w:color w:val="1A1A1A"/>
                <w:sz w:val="18"/>
              </w:rPr>
              <w:t xml:space="preserve">~50</w:t>
            </w:r>
          </w:p>
        </w:tc>
      </w:tr>
      <w:tr>
        <w:tc>
          <w:tcPr>
            <w:shd w:val="clear" w:color="auto" w:fill="F4F1EC"/>
          </w:tcPr>
          <w:p>
            <w:pPr>
              <w:pStyle w:val="Compact"/>
              <w:spacing w:after="40" w:before="40"/>
              <w:jc w:val="left"/>
            </w:pPr>
            <w:r>
              <w:rPr>
                <w:rFonts w:ascii="Cambria" w:hAnsi="Cambria" w:cs="Cambria" w:eastAsia="Cambria"/>
                <w:color w:val="1A1A1A"/>
                <w:sz w:val="18"/>
              </w:rPr>
              <w:t xml:space="preserve">Costi diretti del servizio (settima parte)</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~38</w:t>
            </w:r>
          </w:p>
        </w:tc>
        <w:tc>
          <w:tcPr>
            <w:shd w:val="clear" w:color="auto" w:fill="F4F1EC"/>
          </w:tcPr>
          <w:p>
            <w:pPr>
              <w:pStyle w:val="Compact"/>
              <w:spacing w:after="40" w:before="40"/>
              <w:jc w:val="left"/>
            </w:pPr>
            <w:r>
              <w:rPr>
                <w:rFonts w:ascii="Cambria" w:hAnsi="Cambria" w:cs="Cambria" w:eastAsia="Cambria"/>
                <w:color w:val="1A1A1A"/>
                <w:sz w:val="18"/>
              </w:rPr>
              <w:t xml:space="preserve">~50</w:t>
            </w:r>
          </w:p>
        </w:tc>
      </w:tr>
      <w:tr>
        <w:tc>
          <w:tcPr/>
          <w:p>
            <w:pPr>
              <w:pStyle w:val="Compact"/>
              <w:spacing w:after="40" w:before="40"/>
              <w:jc w:val="left"/>
            </w:pPr>
            <w:r>
              <w:rPr>
                <w:rFonts w:ascii="Cambria" w:hAnsi="Cambria" w:cs="Cambria" w:eastAsia="Cambria"/>
                <w:color w:val="1A1A1A"/>
                <w:sz w:val="18"/>
              </w:rPr>
              <w:t xml:space="preserve">Saldo diretto sul bilancio sanitario regionale</w:t>
            </w:r>
          </w:p>
        </w:tc>
        <w:tc>
          <w:tcPr/>
          <w:p>
            <w:pPr>
              <w:pStyle w:val="Compact"/>
              <w:spacing w:after="40" w:before="40"/>
              <w:jc w:val="left"/>
            </w:pPr>
            <w:r>
              <w:rPr>
                <w:rFonts w:ascii="Cambria" w:hAnsi="Cambria" w:cs="Cambria" w:eastAsia="Cambria"/>
                <w:color w:val="1A1A1A"/>
                <w:sz w:val="18"/>
              </w:rPr>
              <w:t xml:space="preserve">~ −5</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0 (pareggio)</w:t>
            </w:r>
          </w:p>
        </w:tc>
      </w:tr>
    </w:tbl>
    <w:p>
      <w:pPr>
        <w:pStyle w:val="BodyText"/>
      </w:pPr>
      <w:r>
        <w:rPr>
          <w:i/>
          <w:iCs/>
        </w:rPr>
        <w:t xml:space="preserve">Tabella 8.11 — Il saldo diretto per scenario: confronto tra i risparmi diretti aggregati e i costi diretti del servizio. Il saldo è prossimo al pareggio in tutti gli scenari, da un lieve disavanzo nello scenario conservativo a un sostanziale pareggio in quello espansivo. Tutte le grandezze sono fiscali e dirette; le ricadute sociali, di ordine superiore, sono trattate distintamente nella nona parte e non figurano in questo saldo.</w:t>
      </w:r>
    </w:p>
    <w:p>
      <w:pPr>
        <w:pStyle w:val="BodyText"/>
      </w:pPr>
      <w:r>
        <w:t xml:space="preserve">Il saldo diretto è prossimo al pareggio in tutti gli scenari, e si muove da un lieve disavanzo dell’ordine di cinque milioni di euro l’anno nello scenario conservativo a un sostanziale pareggio in quello espansivo, dove i risparmi aggregati eguagliano i costi del servizio. È questo il dato più importante e più onesto dell’intera valutazione fiscale diretta, e va enunciato senza attenuazioni: sul solo bilancio sanitario, e considerate le sole grandezze dirette, la riforma non genera un ampio risparmio, ma si autofinanzia in misura prossima alla totalità, tanto più quanto maggiore è la copertura. La progressione del saldo dallo scenario conservativo a quello espansivo non è casuale, ma riflette la struttura non lineare dei risparmi descritta in ciascun canale: al crescere della copertura i risparmi crescono più che proporzionalmente, per effetto della maggiore intercettazione a monte, mentre i costi crescono in modo più lineare, sicché il saldo migliora con la scala del servizio. È una proprietà di rilievo per il decisore, perché indica che lo scenario più ambizioso non è il più oneroso in termini di saldo, ma il più prossimo al pareggio.</w:t>
      </w:r>
    </w:p>
    <w:bookmarkEnd w:id="500"/>
    <w:bookmarkStart w:id="503" w:name="Xb991ca21e3a87838a2e2a3d3883e4d28e91db24"/>
    <w:p>
      <w:pPr>
        <w:pStyle w:val="Heading2"/>
      </w:pPr>
      <w:r>
        <w:t xml:space="preserve">8.6.3 La corretta interpretazione del saldo: perché il pareggio non indebolisce la proposta</w:t>
      </w:r>
    </w:p>
    <w:p>
      <w:pPr>
        <w:pStyle w:val="FirstParagraph"/>
      </w:pPr>
      <w:r>
        <w:t xml:space="preserve">La prossimità del saldo diretto al pareggio, anziché a un ampio risparmio, potrebbe apparire, a una lettura superficiale, un argomento contro la riforma. Una lettura corretta mostra il contrario, per due ragioni distinte e convergenti, che la valutazione deve esporre con la medesima franchezza con cui ha esposto le cifre. La prima ragione attiene alla proporzione tra il costo del servizio e le dimensioni del bilancio su cui esso grava. Il costo diretto del servizio, dell’ordine di venticinque, trentotto o cinquanta milioni di euro l’anno secondo lo scenario, costituisce una frazione modesta del finanziamento sanitario regionale, che è dell’ordine di 8,8 miliardi di euro: anche nello scenario espansivo, esso rappresenta una porzione contenuta della spesa sanitaria regionale.</w:t>
      </w:r>
      <w:r>
        <w:rPr>
          <w:rStyle w:val="FootnoteReference"/>
        </w:rPr>
        <w:footnoteReference w:id="238"/>
      </w:r>
      <w:r>
        <w:t xml:space="preserve"> </w:t>
      </w:r>
      <w:r>
        <w:t xml:space="preserve">Ne discende che la questione non è la sostenibilità della spesa — un servizio che si autofinanzia in misura prossima alla totalità e che costa una frazione modesta del bilancio non pone un problema di sostenibilità — ma il suo dimensionamento, ossia la scelta dello scenario di copertura, che è una scelta di ambizione e di priorità più che di sostenibilità finanziaria.</w:t>
      </w:r>
    </w:p>
    <w:p>
      <w:pPr>
        <w:pStyle w:val="BodyText"/>
      </w:pPr>
      <w:r>
        <w:t xml:space="preserve">La seconda ragione, più sostanziale, attiene alla natura stessa della giustificazione economica della riforma, e costituisce il punto di passaggio dalla parte ottava alle parti che la seguono. La giustificazione economica piena della riforma non risiede, e non è mai stata sostenuta risiedere, nel saldo fiscale diretto. Il risparmio diretto è la grandezza più immediata e più certa, perché cade direttamente sul bilancio sanitario ed è misurabile con relativa precisione; ma è anche la grandezza minore, perché la maggior parte del valore che la riduzione del disagio genera non cade sul bilancio sanitario, bensì si distribuisce sui domini extra-sanitari — il lavoro, la previdenza, l’assistenza, la giustizia, l’istruzione — che la nona parte percorre uno per uno. È in quei domini che risiede il ritorno di ordine superiore, quello che la letteratura internazionale colloca, per i soli benefici economici, in un rapporto compreso tra 2,3 e 3,0 a 1, e, con l’inclusione dei ritorni in salute, tra 3,3 e 5,7 a 1.</w:t>
      </w:r>
      <w:r>
        <w:rPr>
          <w:rStyle w:val="FootnoteReference"/>
        </w:rPr>
        <w:footnoteReference w:id="239"/>
      </w:r>
      <w:r>
        <w:t xml:space="preserve"> </w:t>
      </w:r>
      <w:r>
        <w:t xml:space="preserve">Il saldo diretto prossimo al pareggio non è, dunque, il risultato economico della riforma, ma la sua precondizione fiscale: esso dimostra che la riforma si autofinanzia sul terreno sanitario, e libera così le ricadute sociali da ogni onere di copertura del costo, rendendole guadagno netto per la collettività. Una riforma che si paga da sé sul bilancio sanitario e che genera, in più, un ampio ritorno sociale, è economicamente più solida di una riforma che prometta un grande risparmio sanitario che la letteratura non autorizza.</w:t>
      </w:r>
    </w:p>
    <w:bookmarkEnd w:id="503"/>
    <w:bookmarkStart w:id="505" w:name="la-traiettoria-temporale-del-saldo"/>
    <w:p>
      <w:pPr>
        <w:pStyle w:val="Heading2"/>
      </w:pPr>
      <w:r>
        <w:t xml:space="preserve">8.6.4 La traiettoria temporale del saldo</w:t>
      </w:r>
    </w:p>
    <w:p>
      <w:pPr>
        <w:pStyle w:val="FirstParagraph"/>
      </w:pPr>
      <w:r>
        <w:t xml:space="preserve">Il saldo diretto, finora considerato a regime, si forma nel tempo secondo una traiettoria che conviene descrivere, perché ne condiziona la lettura e la sostenibilità nei primi esercizi. I costi del servizio si manifestano prevalentemente fin dal primo anno, perché l’avvio richiede l’assunzione del personale, l’allestimento delle sedi e l’acquisizione della componente tecnologica e formativa; i risparmi, viceversa, si manifestano gradualmente, perché l’intercettazione del disagio, la deprescrizione, la deviazione della domanda dall’urgenza e la ritenzione della mobilità producono i loro effetti man mano che il servizio entra a regime, che la popolazione vi accede e che la presa in carico matura. Ne consegue che il saldo dei primi esercizi è più sfavorevole di quello a regime: nel primo anno i costi sono pieni e i risparmi parziali, e il disavanzo diretto è di conseguenza maggiore di quello stimato a regime.</w:t>
      </w:r>
    </w:p>
    <w:p>
      <w:pPr>
        <w:pStyle w:val="BodyText"/>
      </w:pPr>
      <w:r>
        <w:t xml:space="preserve">Questa asimmetria temporale tra costi anticipati e risparmi differiti definisce la traiettoria del pareggio. Il flusso annuale dei risparmi, crescente con la maturazione del servizio, raggiunge il flusso annuale dei costi non al primo anno, ma dopo un periodo di avvio durante il quale il servizio costruisce la propria capacità di intercettazione: il punto in cui i due flussi annuali si pareggiano si colloca, secondo la modellazione, tra il terzo e il quinto anno dall’avvio, in funzione dello scenario di copertura e della rapidità della messa a regime.</w:t>
      </w:r>
      <w:r>
        <w:rPr>
          <w:rStyle w:val="FootnoteReference"/>
        </w:rPr>
        <w:footnoteReference w:id="240"/>
      </w:r>
      <w:r>
        <w:t xml:space="preserve"> </w:t>
      </w:r>
      <w:r>
        <w:t xml:space="preserve">Prima di quel punto, il servizio comporta un disavanzo diretto annuale; in corrispondenza e oltre quel punto, il saldo diretto annuale si stabilizza sui valori prossimi al pareggio stimati a regime. La rappresentazione di questa traiettoria, che la figura seguente delinea e che la undicesima parte modella formalmente, è essenziale alla corretta programmazione finanziaria della riforma, perché chiarisce che il disavanzo dei primi esercizi non è un difetto strutturale, ma il naturale profilo di un investimento i cui costi precedono i ritorni, e che la sostenibilità del servizio va valutata sull’orizzonte pluriennale e non sul singolo primo esercizio.</w:t>
      </w:r>
    </w:p>
    <w:p/>
    <w:p>
      <w:pPr>
        <w:pStyle w:val="BodyText"/>
      </w:pPr>
      <w:r>
        <w:t xml:space="preserve">Stabilito l’aggregato dei risparmi diretti, derivato il saldo per scenario, interpretata la sua prossimità al pareggio e descritta la sua traiettoria temporale, la rinegoziazione dei risparmi diretti è compiuta. La parte ottava ha consegnato al decisore la misura onesta della dimensione fiscale diretta della riforma: un risparmio reale ma contenuto, che porta il servizio in prossimità del pareggio sul solo bilancio sanitario e che si traduce in pareggio pieno nello scenario di copertura più ampio. Resta da completare il quadro economico con le grandezze che eccedono il bilancio sanitario e che costituiscono il vero ritorno della riforma: è il compito della nona parte, alla quale la presente consegna le proprie conclusioni dopo averne tratto, nel quadro conclusivo che segue, la sintesi economico-sociale e multidisciplinare integrale.</w:t>
      </w:r>
    </w:p>
    <w:bookmarkEnd w:id="505"/>
    <w:bookmarkEnd w:id="506"/>
    <w:bookmarkStart w:id="514" w:name="Xdea0ff3e70fc8afc295f471344713ada9c900d9"/>
    <w:p>
      <w:pPr>
        <w:pStyle w:val="Heading1"/>
      </w:pPr>
      <w:r>
        <w:t xml:space="preserve">Quadro conclusivo economico-sociale e multidisciplinare integrale</w:t>
      </w:r>
    </w:p>
    <w:p>
      <w:pPr>
        <w:pStyle w:val="FirstParagraph"/>
      </w:pPr>
      <w:r>
        <w:rPr>
          <w:i/>
          <w:iCs/>
        </w:rPr>
        <w:t xml:space="preserve">Il quadro conclusivo non ripete le cifre della parte, ma ne colloca il significato nell’orizzonte integrale dell’opera. Esso mostra come il risparmio diretto, grandezza fiscale e sanitaria, si inscriva nel perimetro multidisciplinare che la riforma abbraccia, e come la sua misura contenuta, lungi dal ridimensionare la portata della riforma, ne delimiti correttamente la sola dimensione fiscale diretta, rimettendo alle dimensioni sociali e ai domini extra-sanitari il compito di rivelarne il valore pieno. Il quadro ricostruisce, in forma sintetica, il passaggio dalla grandezza fiscale alla grandezza integrale, il ruolo della cascata delle figure come struttura del risparmio, la funzione della separazione delle grandezze come garanzia di onestà, e il ponte che dal risparmio diretto conduce alla previsione sulla qualità della vita, sui bilanci regionali, sulla burocrazia e sui sistemi sanitari.</w:t>
      </w:r>
    </w:p>
    <w:bookmarkStart w:id="507" w:name="X3d0d5ac7d4094484f237d3e1f26bb2212b75e91"/>
    <w:p>
      <w:pPr>
        <w:pStyle w:val="Heading2"/>
      </w:pPr>
      <w:r>
        <w:t xml:space="preserve">Il risparmio diretto nella sua giusta proporzione</w:t>
      </w:r>
    </w:p>
    <w:p>
      <w:pPr>
        <w:pStyle w:val="FirstParagraph"/>
      </w:pPr>
      <w:r>
        <w:t xml:space="preserve">La parte ottava ha stabilito che il risparmio diretto per il Servizio sanitario regionale, aggregati i quattro canali, è dell’ordine di venti, trentaquattro e cinquanta milioni di euro l’anno secondo lo scenario, e che, confrontato con i costi diretti del servizio, esso porta il saldo fiscale in prossimità del pareggio. Questa grandezza va collocata nella sua giusta proporzione, che è duplice. Rispetto al bilancio sanitario regionale, essa è una grandezza modesta nel suo importo assoluto ma certa nella sua natura, perché cade direttamente sul fondo sanitario ed è misurabile con la precisione che i dati consentono; è la componente più immediatamente verificabile dell’intero impianto economico, e la sua funzione è di dimostrare che la riforma non grava in modo netto sul bilancio sanitario, ma vi si ripaga in misura prossima alla totalità. Rispetto al valore complessivo che la riforma genera, essa è invece la componente minore, perché la maggior parte di quel valore non si manifesta come minore spesa sanitaria, ma come maggiore produttività, minore onere previdenziale e assistenziale, minore costo della devianza e dell’abbandono scolastico, e si distribuisce su una pluralità di bilanci pubblici e privati che esulano dal perimetro sanitario.</w:t>
      </w:r>
    </w:p>
    <w:p>
      <w:pPr>
        <w:pStyle w:val="BodyText"/>
      </w:pPr>
      <w:r>
        <w:t xml:space="preserve">La giusta proporzione del risparmio diretto è, dunque, quella di un fondamento e non di un coronamento. Esso fonda la sostenibilità fiscale della riforma sul terreno sanitario, dimostrando che il servizio si autofinanzia; ma non esaurisce, né potrebbe esaurire, la giustificazione economica della riforma, che riposa sulle grandezze sociali di ordine superiore. Chi cercasse nella parte ottava la prova economica decisiva della riforma cercherebbe nel luogo sbagliato, perché quella prova non risiede nel saldo fiscale diretto, bensì nel saldo sociale integrale che la nona e la decima parte compongono. La parte ottava prova qualcosa di diverso e di preliminare: che la riforma è fiscalmente sostenibile sul terreno sanitario, e che il suo costo, modesto in rapporto al bilancio e prossimo al pareggio in rapporto ai risparmi sanitari, non costituisce un ostacolo alla sua adozione. È una prova necessaria, ma non sufficiente; ed è esattamente questo il suo ruolo nell’economia dell’opera.</w:t>
      </w:r>
    </w:p>
    <w:bookmarkEnd w:id="507"/>
    <w:bookmarkStart w:id="509" w:name="X08c4ec51a94184761ef9a12433af526c3230cbb"/>
    <w:p>
      <w:pPr>
        <w:pStyle w:val="Heading2"/>
      </w:pPr>
      <w:r>
        <w:t xml:space="preserve">Dalla grandezza fiscale alla grandezza integrale: il rinvio ai domini</w:t>
      </w:r>
    </w:p>
    <w:p>
      <w:pPr>
        <w:pStyle w:val="FirstParagraph"/>
      </w:pPr>
      <w:r>
        <w:t xml:space="preserve">Il passaggio dalla grandezza fiscale diretta alla grandezza integrale è il movimento che struttura l’intera opera, e di cui la parte ottava costituisce il primo termine. Ogni canale del risparmio diretto qui stimato genera, accanto alla minore spesa sanitaria che la parte ottava conta, una ricaduta sociale che la nona parte conterà distintamente, e che è, in ciascun caso, di ordine superiore alla ricaduta fiscale. La riduzione della prescrizione farmaceutica inappropriata, che genera un risparmio sanitario di pochi milioni, genera distintamente una minore medicalizzazione del disagio, una maggiore lucidità e capacità lavorativa, una minore dipendenza, il cui valore sociale eccede il risparmio fiscale. La riduzione degli accessi impropri al pronto soccorso e dei ricoveri evitabili, che genera il risparmio sanitario più consistente, genera distintamente una maggiore continuità lavorativa del paziente non ricoverato, un minore carico sui familiari, una migliore qualità della vita. La riduzione della mobilità passiva, che trattiene risorse fiscali sul territorio, genera distintamente un risparmio privato per le famiglie liberate dall’onere dei viaggi e dei soggiorni e una maggiore coesione delle reti di cura territoriali. La riduzione della domanda specialistica indotta, che comprime una spesa sanitaria, genera distintamente una minore ansia iatrogena e un minore tempo sottratto al lavoro per accertamenti inutili.</w:t>
      </w:r>
    </w:p>
    <w:p>
      <w:pPr>
        <w:pStyle w:val="BodyText"/>
      </w:pPr>
      <w:r>
        <w:t xml:space="preserve">Questo rinvio ai domini non è un’aggiunta retorica, ma la struttura logica della rinegoziazione integrale. I domini che la nona parte percorrerà — il lavorativo, il pensionistico, il produttivistico, l’assistenzialistico, il welfaristico, il prevenzionalistico, il criminologico, il burocratico, il culturale, il pedagogico e scolastico, l’accademico, l’industriale, il sindacale, l’antropologico, il sociale e il finanziario — non sono ambiti estranei al risparmio diretto, ma le sedi in cui il medesimo miglioramento clinico che genera il risparmio fiscale dispiega i propri effetti di ordine superiore. La parte ottava ha misurato l’ombra fiscale, per così dire, di un fenomeno la cui sostanza si proietta sull’intero corpo sociale; e la misura di quell’ombra, per quanto contenuta, è preziosa proprio perché certa, e perché ancora alla terra ferma del bilancio sanitario una catena di benefici che, nei domini sociali, si fa più ampia ma anche più incerta. La separazione tra il fiscale e il sociale, mantenuta con rigore in tutta la parte, è ciò che consente di percorrere questo passaggio senza confusione: il risparmio diretto resta il fondamento certo, e le ricadute sociali si aggiungono ad esso come ritorno netto, senza mai esservi sommate in un unico saldo che ne confonderebbe la natura.</w:t>
      </w:r>
      <w:r>
        <w:rPr>
          <w:rStyle w:val="FootnoteReference"/>
        </w:rPr>
        <w:footnoteReference w:id="241"/>
      </w:r>
    </w:p>
    <w:bookmarkEnd w:id="509"/>
    <w:bookmarkStart w:id="510" w:name="X97e48b228fc0a68e0d9e0682ddb2985943a3ac9"/>
    <w:p>
      <w:pPr>
        <w:pStyle w:val="Heading2"/>
      </w:pPr>
      <w:r>
        <w:t xml:space="preserve">La cascata delle figure come struttura del risparmio</w:t>
      </w:r>
    </w:p>
    <w:p>
      <w:pPr>
        <w:pStyle w:val="FirstParagraph"/>
      </w:pPr>
      <w:r>
        <w:t xml:space="preserve">Il risparmio diretto, ricostruito per canali, si lascia rileggere anche secondo la cascata gerarchica delle figure che struttura l’intera opera, e questa rilettura ne illumina la genesi. Ciascun canale del risparmio non è prodotto dal solo Psicologo di Base, ma dalla cooperazione delle figure della cascata, ciascuna delle quali contribuisce secondo la propria posizione e la propria capacità di generare revisione della spesa. Lo Psicologo di Base, all’apice, è l’origine del risparmio, perché è la sua intercettazione del disagio comune che innesca ogni canale; ma il risparmio si realizza attraverso il medico di medicina generale, che riconosce la matrice psichica del sintomo e modifica la prescrizione e l’invio; attraverso lo specialista, che riceve una domanda più appropriata; attraverso il farmacista, che intercetta l’uso cronico inappropriato; attraverso l’infermiere di famiglia e di comunità, che assicura la continuità che previene il ri-ricovero; e attraverso gli attori istituzionali, che governano i flussi e le risorse. La cascata non è soltanto l’ordine espositivo dell’opera, ma la struttura causale del risparmio: ogni euro risparmiato percorre la catena delle figure dall’apice alla base, e la sua realizzazione dipende dalla cooperazione di tutta la catena.</w:t>
      </w:r>
    </w:p>
    <w:p>
      <w:pPr>
        <w:pStyle w:val="BodyText"/>
      </w:pPr>
      <w:r>
        <w:t xml:space="preserve">Questa rilettura ha una conseguenza pratica per la programmazione della riforma. Poiché il risparmio si realizza attraverso la cooperazione delle figure, la sua piena valorizzazione richiede che la riforma non si limiti a istituire la figura apicale, ma curi l’integrazione dell’intera cascata: l’efficacia del canale farmaceutico dipende dal raccordo tra lo psicologo e il medico prescrittore; quella del canale del pronto soccorso, dal raccordo con l’emergenza e con la continuità infermieristica; quella del canale della mobilità, dal raccordo con i servizi specialistici e con la rete della salute mentale. Il risparmio diretto stimato nella parte ottava presuppone, dunque, l’integrazione della cascata che la terza parte ha descritto e che la quattordicesima parte tradurrà in percorso attuativo; e la sua piena realizzazione è funzione non solo del dimensionamento del primo livello psicologico, ma della qualità dell’integrazione lungo l’intera catena delle figure.</w:t>
      </w:r>
    </w:p>
    <w:bookmarkEnd w:id="510"/>
    <w:bookmarkStart w:id="511" w:name="X5adc62986322ffdca5d1743f22878cd6586bc93"/>
    <w:p>
      <w:pPr>
        <w:pStyle w:val="Heading2"/>
      </w:pPr>
      <w:r>
        <w:t xml:space="preserve">La separazione delle grandezze come garanzia di onestà</w:t>
      </w:r>
    </w:p>
    <w:p>
      <w:pPr>
        <w:pStyle w:val="FirstParagraph"/>
      </w:pPr>
      <w:r>
        <w:t xml:space="preserve">Il tratto metodologico che attraversa l’intera parte ottava, e che il quadro conclusivo deve ribadire come suo principio costitutivo, è la separazione rigorosa delle grandezze. Tre separazioni, in particolare, hanno governato ogni stima. La prima è la separazione tra il fiscale e il sociale: il risparmio che cade sul bilancio sanitario non è mai stato sommato al beneficio che si distribuisce sulla collettività, e le due grandezze hanno viaggiato in colonne distinte, destinate a essere ricomposte, ma non confuse, nella sintesi della decima parte. La seconda è la separazione tra i canali: nessun euro è stato attribuito a più di un canale, e la cautela aggiuntiva adottata nel quarto canale ha sacrificato parte del risparmio potenziale alla certezza di non contarlo due volte. La terza è la separazione tra la leva e il canale: il contributo dell’Intelligenza Artificiale è stato isolato all’interno dei canali e non aggiunto ad essi, perché esso accresce l’efficacia dei meccanismi senza generare un risparmio autonomo.</w:t>
      </w:r>
    </w:p>
    <w:p>
      <w:pPr>
        <w:pStyle w:val="BodyText"/>
      </w:pPr>
      <w:r>
        <w:t xml:space="preserve">Queste separazioni non sono cautele formali, ma la garanzia sostanziale dell’onestà della valutazione. Una valutazione che sommasse il fiscale e il sociale, o che attribuisse il medesimo risparmio a più canali, o che aggiungesse il contributo digitale ai risparmi che esso potenzia, produrrebbe cifre più grandi e più seducenti, ma false; e la loro falsità emergerebbe alla prima verifica, screditando l’intera proposta. La scelta opposta, qui adottata, di mantenere le grandezze separate anche a costo di mostrare un risparmio diretto contenuto, è la scelta che rende le cifre difendibili davanti a un revisore esterno, a un’autorità di controllo, a un decisore prudente. Il valore della parte ottava non risiede nella grandezza delle cifre che presenta, ma nella loro robustezza; e quella robustezza è il prodotto diretto delle separazioni che la governano. È in questo senso che la modestia del risparmio diretto è, come si è detto più volte, la sua onestà, e l’onestà è, per una valutazione destinata a sostenere una decisione pubblica, la qualità che più di ogni altra ne fonda l’autorevolezza.</w:t>
      </w:r>
    </w:p>
    <w:bookmarkEnd w:id="511"/>
    <w:bookmarkStart w:id="513" w:name="il-ponte-verso-la-previsione"/>
    <w:p>
      <w:pPr>
        <w:pStyle w:val="Heading2"/>
      </w:pPr>
      <w:r>
        <w:t xml:space="preserve">Il ponte verso la previsione</w:t>
      </w:r>
    </w:p>
    <w:p>
      <w:pPr>
        <w:pStyle w:val="FirstParagraph"/>
      </w:pPr>
      <w:r>
        <w:t xml:space="preserve">La parte ottava, infine, getta un ponte verso la previsione che le parti successive svolgeranno, e di cui il risparmio diretto costituisce uno degli ancoraggi. La rinegoziazione dei costi e dei benefici diretti non è fine a se stessa, ma è funzionale a predire, con il rigore che lo studio impone, gli effetti della riforma sulle grandezze che il mandato richiede di anticipare: la qualità della vita delle persone, l’andamento dei bilanci regionali, l’efficienza della burocrazia e la tenuta dei sistemi sanitari regionali. Il risparmio diretto qui stimato entra in ciascuna di queste previsioni come componente certa. Esso entra nella previsione sui bilanci regionali come la grandezza fiscale che, sommata alle ricadute sui bilanci previdenziale, assistenziale e giudiziario, ne determina l’impatto complessivo. Entra nella previsione sui sistemi sanitari come la misura della minore pressione sui setting ad alta intensità — il pronto soccorso, il ricovero, la specialistica — che la riforma alleggerisce. Entra, più indirettamente, nella previsione sulla qualità della vita, come la traccia fiscale di una minore medicalizzazione e di una migliore presa in carico del disagio.</w:t>
      </w:r>
      <w:r>
        <w:rPr>
          <w:rStyle w:val="FootnoteReference"/>
        </w:rPr>
        <w:footnoteReference w:id="242"/>
      </w:r>
    </w:p>
    <w:p>
      <w:pPr>
        <w:pStyle w:val="BodyText"/>
      </w:pPr>
      <w:r>
        <w:t xml:space="preserve">La previsione, che la undicesima parte formulerà in forma falsificabile e corredata di soglie, poggia dunque, per la sua componente fiscale diretta, sulle stime della parte ottava, e ne eredita tanto la solidità quanto i limiti. Ne eredita la solidità, perché il risparmio diretto è la più certa delle grandezze in gioco; ne eredita i limiti, perché esso è espresso in bande prudenziali che la previsione dovrà propagare, e perché la sua precisione è quella consentita dai dati di contesto, in attesa della sostituzione con i dati certificati regionali che l’agenda di consolidamento prevede. Il ponte verso la previsione è, in questo senso, anche un ponte verso la verifica: le previsioni che la undicesima parte formulerà saranno verificabili contro i dati che il monitoraggio della quindicesima parte raccoglierà, e il risparmio diretto stimato nella parte ottava sarà tra le prime grandezze su cui la previsione potrà essere messa alla prova. È questa verificabilità, più ancora della misura delle cifre, il lascito della rinegoziazione dei risparmi diretti all’economia complessiva dell’opera.</w:t>
      </w:r>
    </w:p>
    <w:bookmarkEnd w:id="513"/>
    <w:bookmarkEnd w:id="514"/>
    <w:bookmarkStart w:id="515" w:name="conclusione-5"/>
    <w:p>
      <w:pPr>
        <w:pStyle w:val="Heading1"/>
      </w:pPr>
      <w:r>
        <w:t xml:space="preserve">Conclusione</w:t>
      </w:r>
    </w:p>
    <w:p>
      <w:pPr>
        <w:pStyle w:val="FirstParagraph"/>
      </w:pPr>
      <w:r>
        <w:t xml:space="preserve">La parte ottava ha rinegoziato i benefici e i risparmi diretti dell’introduzione del Servizio di Psicologia di Base in Puglia, ricostruendoli canale per canale lungo la cascata delle figure, stimandoli entro bande prudenziali per ciascuno dei tre scenari di copertura, isolandone la quota attribuibile alla leva digitale e ricomponendone l’aggregato a confronto con i costi diretti del servizio. L’esito di questa rinegoziazione può essere enunciato in poche proposizioni, ciascuna delle quali riassume un risultato stabilito nel corso della parte.</w:t>
      </w:r>
    </w:p>
    <w:p>
      <w:pPr>
        <w:pStyle w:val="BodyText"/>
      </w:pPr>
      <w:r>
        <w:t xml:space="preserve">Il risparmio diretto per il Servizio sanitario regionale, aggregati i quattro canali — farmaceutico, del pronto soccorso e dei ricoveri, della mobilità passiva, specialistico e diagnostico — è dell’ordine di venti milioni di euro l’anno nello scenario conservativo, di trentaquattro in quello intermedio e di cinquanta in quello espansivo. La componente prevalente di questo risparmio è quella del pronto soccorso e dei ricoveri, perché agisce sui setting di maggior costo unitario; la componente minore è quella farmaceutica, perché agisce su prestazioni di basso costo unitario per quanto di consumo diffuso. Confrontato con i costi diretti del servizio, dell’ordine di venticinque, trentotto e cinquanta milioni secondo lo scenario, il risparmio diretto porta il saldo fiscale in prossimità del pareggio in tutti gli scenari, da un lieve disavanzo nello scenario conservativo a un pareggio pieno in quello espansivo, con un saldo che migliora al crescere della copertura per effetto della struttura non lineare dei risparmi.</w:t>
      </w:r>
    </w:p>
    <w:p>
      <w:pPr>
        <w:pStyle w:val="BodyText"/>
      </w:pPr>
      <w:r>
        <w:t xml:space="preserve">Questo saldo prossimo al pareggio, lungi dall’indebolire la proposta, ne fonda la sostenibilità fiscale sul terreno sanitario e ne sposta correttamente la giustificazione economica sul terreno delle ricadute sociali. Il costo del servizio, modesto in rapporto al finanziamento sanitario regionale, non pone un problema di sostenibilità ma di dimensionamento; e la giustificazione economica piena della riforma non risiede nel saldo fiscale diretto, bensì nelle grandezze sociali di ordine superiore che la nona parte quantificherà e che la decima comporrà, nel rispetto della separazione rigorosa tra fiscale e sociale che ha governato l’intera parte. Il risparmio diretto è il fondamento certo, non il coronamento, dell’impianto economico della riforma.</w:t>
      </w:r>
    </w:p>
    <w:p>
      <w:pPr>
        <w:pStyle w:val="BodyText"/>
      </w:pPr>
      <w:r>
        <w:t xml:space="preserve">La parte ha mantenuto, in ogni sua stima, i vincoli invarianti dell’opera. Ha espresso ogni risparmio in bande prudenziali e non in valori puntuali, in ossequio al caveat sulla significatività statistica del risparmio diretto. Ha mantenuto distinte le grandezze fiscali da quelle sociali, senza mai sommarle. Ha applicato la regola di non duplicazione tra i canali e tra la leva digitale e i canali. Ha contenuto ogni rapporto entro la fascia documentata dalla letteratura, compresa tra 2,3 e 3,0 a 1 per i soli benefici economici e tra 3,3 e 5,7 a 1 con i ritorni in salute. Ha graduato l’evidenza, clinica e digitale, con il medesimo rigore. E ha dichiarato, per ciascun canale, i confini della stima e l’agenda di verifica documentale, riconoscendo che la precisione delle cifre è quella consentita dai dati di contesto e che la loro sostituzione con i dati certificati regionali è la condizione del passaggio dalla stima alla misura.</w:t>
      </w:r>
    </w:p>
    <w:p>
      <w:pPr>
        <w:pStyle w:val="BodyText"/>
      </w:pPr>
      <w:r>
        <w:t xml:space="preserve">Con questi risultati e con questa disciplina, la parte ottava consegna alla nona il compito di percorrere il perimetro multidisciplinare integrale delle ricadute indirette, e alla decima quello di comporre, nel saldo consolidato, le grandezze dirette qui stimate e quelle sociali che seguiranno. Il risparmio diretto, misurato con onestà e dichiarato nei suoi limiti, è la prima delle grandezze su cui l’intera valutazione economica si edifica, e la sua certezza, più che la sua entità, è ciò che essa offre alla solidità complessiva dell’opera.</w:t>
      </w:r>
    </w:p>
    <w:bookmarkEnd w:id="515"/>
    <w:bookmarkStart w:id="517" w:name="note-bibliografiche-integrali-4"/>
    <w:p>
      <w:pPr>
        <w:pStyle w:val="Heading1"/>
      </w:pPr>
      <w:r>
        <w:t xml:space="preserve">Note bibliografiche integrali</w:t>
      </w:r>
    </w:p>
    <w:p>
      <w:pPr>
        <w:pStyle w:val="FirstParagraph"/>
      </w:pPr>
      <w:r>
        <w:rPr>
          <w:i/>
          <w:iCs/>
        </w:rPr>
        <w:t xml:space="preserve">Le note bibliografiche integrali raccolgono, in un apparato unitario, le fonti principali richiamate nelle note a piè di pagina della parte, riproducendo per ciascuna il riferimento completo e allegandovi un mini-riassunto che ne dichiara il contenuto e l’uso nella presente parte. L’apparato consolida le fonti che ricorrono, talora più volte, nel corpo della parte, e le presenta in un elenco ragionato; le note a piè di pagina che non corrispondono a fonti esterne, ma rinviano ad altre parti dell’opera o ai principi metodologici invarianti, costituiscono l’impalcatura interna del testo e sono richiamate in chiusura dell’apparato, senza duplicarne il contenuto.</w:t>
      </w:r>
    </w:p>
    <w:p>
      <w:pPr>
        <w:pStyle w:val="BodyText"/>
      </w:pPr>
      <w:r>
        <w:rPr>
          <w:b/>
          <w:bCs/>
        </w:rPr>
        <w:t xml:space="preserve">▪</w:t>
      </w:r>
      <w:r>
        <w:rPr>
          <w:b/>
          <w:bCs/>
        </w:rPr>
        <w:t xml:space="preserve"> </w:t>
      </w:r>
      <w:r>
        <w:t xml:space="preserve">Unützer J., Katon W., Fan M.Y., Schoenbaum M., Lin E.H.B., Della Penna R.D., Powers D., «Long-term cost effects of collaborative care for late-life depression», The American Journal of Managed Care, vol. 14, n. 2, 2008, pp. 95–100.</w:t>
      </w:r>
    </w:p>
    <w:p>
      <w:pPr>
        <w:pStyle w:val="BodyText"/>
      </w:pPr>
      <w:r>
        <w:rPr>
          <w:i/>
          <w:iCs/>
        </w:rPr>
        <w:t xml:space="preserve">Mini-riassunto. Studio condotto sull’orizzonte quadriennale del trial IMPACT sull’assistenza collaborativa per la depressione: documenta minori costi sanitari totali nel gruppo trattato, ma con un intervallo di confidenza al novantacinque per cento che comprende lo zero. È la fonte del caveat invariante secondo cui i risparmi sui costi sanitari diretti non raggiungono la significatività statistica, e impone perciò, in tutta la parte, la rappresentazione del risparmio in bande prudenziali anziché in valori puntuali. Richiamato a sostegno del caveat nei canali farmaceutico, del pronto soccorso e dei ricoveri, e specialistico.</w:t>
      </w:r>
    </w:p>
    <w:p>
      <w:pPr>
        <w:pStyle w:val="BodyText"/>
      </w:pPr>
      <w:r>
        <w:rPr>
          <w:b/>
          <w:bCs/>
        </w:rPr>
        <w:t xml:space="preserve">▪</w:t>
      </w:r>
      <w:r>
        <w:rPr>
          <w:b/>
          <w:bCs/>
        </w:rPr>
        <w:t xml:space="preserve"> </w:t>
      </w:r>
      <w:r>
        <w:t xml:space="preserve">Chisholm D., Sweeny K., Sheehan P., Rasmussen B., Smit F., Cuijpers P., Saxena S., «Scaling-up treatment of depression and anxiety: a global return on investment analysis», The Lancet Psychiatry, vol. 3, n. 5, 2016, pp. 415–424.</w:t>
      </w:r>
    </w:p>
    <w:p>
      <w:pPr>
        <w:pStyle w:val="BodyText"/>
      </w:pPr>
      <w:r>
        <w:rPr>
          <w:i/>
          <w:iCs/>
        </w:rPr>
        <w:t xml:space="preserve">Mini-riassunto. Analisi globale del ritorno sull’investimento nel trattamento della depressione e dell’ansia: fissa gli intervalli del ritorno economico in un valore compreso tra 2,3 e 3,0 a 1 per i soli benefici economici e tra 3,3 e 5,7 a 1 con l’inclusione dei ritorni in salute. Costituisce l’ancora invariante dei rapporti beneficio-costo utilizzati nello studio; ogni valore esterno a tale fascia è escluso. Richiamato a delimitare i rapporti citati nella parte e a fondare il rinvio alle ricadute sociali.</w:t>
      </w:r>
    </w:p>
    <w:p>
      <w:pPr>
        <w:pStyle w:val="BodyText"/>
      </w:pPr>
      <w:r>
        <w:rPr>
          <w:b/>
          <w:bCs/>
        </w:rPr>
        <w:t xml:space="preserve">▪</w:t>
      </w:r>
      <w:r>
        <w:rPr>
          <w:b/>
          <w:bCs/>
        </w:rPr>
        <w:t xml:space="preserve"> </w:t>
      </w:r>
      <w:r>
        <w:t xml:space="preserve">Agenzia Italiana del Farmaco (AIFA), L’uso dei farmaci in Italia. Rapporto Nazionale OsMed (Osservatorio Nazionale sull’Impiego dei Medicinali), Roma, edizioni annuali.</w:t>
      </w:r>
    </w:p>
    <w:p>
      <w:pPr>
        <w:pStyle w:val="BodyText"/>
      </w:pPr>
      <w:r>
        <w:rPr>
          <w:i/>
          <w:iCs/>
        </w:rPr>
        <w:t xml:space="preserve">Mini-riassunto. Fonte nazionale sui consumi e sulla spesa farmaceutica, articolata per regione e per categoria terapeutica: documenta per la Puglia un consumo complessivo tra i più elevati d’Italia e una spesa pubblica di rilievo, accanto a una intercettazione del disagio inferiore alla prevalenza attesa. Costituisce, in attesa dei dati certificati regionali, la base della ricostruzione del contesto del canale farmaceutico e del paradosso tra elevato consumo complessivo e ridotta intercettazione del disagio.</w:t>
      </w:r>
    </w:p>
    <w:p>
      <w:pPr>
        <w:pStyle w:val="BodyText"/>
      </w:pPr>
      <w:r>
        <w:rPr>
          <w:b/>
          <w:bCs/>
        </w:rPr>
        <w:t xml:space="preserve">▪</w:t>
      </w:r>
      <w:r>
        <w:rPr>
          <w:b/>
          <w:bCs/>
        </w:rPr>
        <w:t xml:space="preserve"> </w:t>
      </w:r>
      <w:r>
        <w:t xml:space="preserve">National Institute for Health and Care Excellence (NICE), Depression in adults: treatment and management, NICE guideline NG222, Londra, 2022.</w:t>
      </w:r>
    </w:p>
    <w:p>
      <w:pPr>
        <w:pStyle w:val="BodyText"/>
      </w:pPr>
      <w:r>
        <w:rPr>
          <w:i/>
          <w:iCs/>
        </w:rPr>
        <w:t xml:space="preserve">Mini-riassunto. Linea guida che raccomanda, per la depressione lieve e sotto-soglia, gli interventi psicologici a bassa intensità e l’osservazione vigile prima del ricorso al trattamento farmacologico, e che disciplina la durata appropriata delle terapie antidepressive. Sostiene l’anello prescrittivo del canale farmaceutico, in particolare la componente relativa all’appropriatezza della durata e alla riduzione delle prescrizioni avviate per difetto di indicazione in presenza di un’alternativa psicologica accessibile.</w:t>
      </w:r>
    </w:p>
    <w:p>
      <w:pPr>
        <w:pStyle w:val="BodyText"/>
      </w:pPr>
      <w:r>
        <w:rPr>
          <w:b/>
          <w:bCs/>
        </w:rPr>
        <w:t xml:space="preserve">▪</w:t>
      </w:r>
      <w:r>
        <w:rPr>
          <w:b/>
          <w:bCs/>
        </w:rPr>
        <w:t xml:space="preserve"> </w:t>
      </w:r>
      <w:r>
        <w:t xml:space="preserve">Pottie K., Thompson W., Davies S. et al., «Deprescribing benzodiazepine receptor agonists: evidence-based clinical practice guideline», Canadian Family Physician, vol. 64, n. 5, 2018, pp. 339–351.</w:t>
      </w:r>
    </w:p>
    <w:p>
      <w:pPr>
        <w:pStyle w:val="BodyText"/>
      </w:pPr>
      <w:r>
        <w:rPr>
          <w:i/>
          <w:iCs/>
        </w:rPr>
        <w:t xml:space="preserve">Mini-riassunto. Linea guida basata sull’evidenza per la deprescrizione degli agonisti del recettore delle benzodiazepine, con particolare riguardo alla popolazione anziana: documenta che la riduzione graduale, sostenuta dal prescrittore e da un’alternativa accessibile, consente di interrompere o di non avviare una quota significativa dei trattamenti cronici inappropriati. Sostiene il primo e principale meccanismo del canale farmaceutico, relativo alla riduzione dell’uso cronico inappropriato di ansiolitici e ipnotici.</w:t>
      </w:r>
    </w:p>
    <w:p>
      <w:pPr>
        <w:pStyle w:val="BodyText"/>
      </w:pPr>
      <w:r>
        <w:rPr>
          <w:b/>
          <w:bCs/>
        </w:rPr>
        <w:t xml:space="preserve">▪</w:t>
      </w:r>
      <w:r>
        <w:rPr>
          <w:b/>
          <w:bCs/>
        </w:rPr>
        <w:t xml:space="preserve"> </w:t>
      </w:r>
      <w:r>
        <w:t xml:space="preserve">Katon W., Unützer J., Wells K., Jones L., «Collaborative depression care: history, evolution and ways to enhance dissemination and sustainability», General Hospital Psychiatry, vol. 32, n. 5, 2010, pp. 456–464.</w:t>
      </w:r>
    </w:p>
    <w:p>
      <w:pPr>
        <w:pStyle w:val="BodyText"/>
      </w:pPr>
      <w:r>
        <w:rPr>
          <w:i/>
          <w:iCs/>
        </w:rPr>
        <w:t xml:space="preserve">Mini-riassunto. Rassegna della storia e dell’evoluzione dei modelli di assistenza collaborativa per la depressione: documenta, accanto al miglioramento degli esiti clinici, la riduzione dell’utilizzo dei servizi ad alta intensità e il rafforzamento della continuità della presa in carico dopo la dimissione, con effetti sui ri-ricoveri. Sostiene il terzo meccanismo del canale del pronto soccorso e dei ricoveri, relativo alla riduzione delle degenze e dei ritorni in reparto attraverso la continuità territoriale.</w:t>
      </w:r>
    </w:p>
    <w:p>
      <w:pPr>
        <w:pStyle w:val="BodyText"/>
      </w:pPr>
      <w:r>
        <w:rPr>
          <w:b/>
          <w:bCs/>
        </w:rPr>
        <w:t xml:space="preserve">▪</w:t>
      </w:r>
      <w:r>
        <w:rPr>
          <w:b/>
          <w:bCs/>
        </w:rPr>
        <w:t xml:space="preserve"> </w:t>
      </w:r>
      <w:r>
        <w:t xml:space="preserve">Organisation for Economic Co-operation and Development (OECD), Health at a Glance (indicatori sui ricoveri evitabili per condizioni sensibili alle cure ambulatoriali); Agency for Healthcare Research and Quality (AHRQ), Prevention Quality Indicators (PQI), Rockville (MD).</w:t>
      </w:r>
    </w:p>
    <w:p>
      <w:pPr>
        <w:pStyle w:val="BodyText"/>
      </w:pPr>
      <w:r>
        <w:rPr>
          <w:i/>
          <w:iCs/>
        </w:rPr>
        <w:t xml:space="preserve">Mini-riassunto. Set di indicatori internazionali che misurano la qualità e la capillarità delle cure primarie attraverso il tasso dei ricoveri prevenibili da una gestione territoriale tempestiva ed efficace. Costituisce il riferimento metodologico per la componente dei ricoveri medici evitabili del secondo canale, limitatamente alla quota in cui il disagio psichico aggrava il decorso della patologia organica e ne precipita la degenza.</w:t>
      </w:r>
    </w:p>
    <w:p>
      <w:pPr>
        <w:pStyle w:val="BodyText"/>
      </w:pPr>
      <w:r>
        <w:rPr>
          <w:b/>
          <w:bCs/>
        </w:rPr>
        <w:t xml:space="preserve">▪</w:t>
      </w:r>
      <w:r>
        <w:rPr>
          <w:b/>
          <w:bCs/>
        </w:rPr>
        <w:t xml:space="preserve"> </w:t>
      </w:r>
      <w:r>
        <w:t xml:space="preserve">Fonti sulla compensazione della mobilità sanitaria interregionale (matrici di scambio del Nuovo Sistema Informativo Sanitario); Corte dei conti, Relazioni sulla gestione finanziaria del Servizio sanitario della Regione Puglia.</w:t>
      </w:r>
    </w:p>
    <w:p>
      <w:pPr>
        <w:pStyle w:val="BodyText"/>
      </w:pPr>
      <w:r>
        <w:rPr>
          <w:i/>
          <w:iCs/>
        </w:rPr>
        <w:t xml:space="preserve">Mini-riassunto. Fonti istituzionali sui flussi e sul saldo della mobilità sanitaria interregionale, che documentano per la Puglia un saldo passivo dell’ordine di duecentocinquanta milioni di euro l’anno, risultante da un flusso passivo in uscita di poco inferiore ai quattrocento milioni e da un flusso attivo in entrata dell’ordine di centoventi milioni. Costituiscono, in attesa dei dati certificati disaggregati per disciplina, la base della ricostruzione del terzo canale e della stima della sua componente a matrice psichica.</w:t>
      </w:r>
    </w:p>
    <w:p>
      <w:pPr>
        <w:pStyle w:val="BodyText"/>
      </w:pPr>
      <w:r>
        <w:rPr>
          <w:b/>
          <w:bCs/>
        </w:rPr>
        <w:t xml:space="preserve">▪</w:t>
      </w:r>
      <w:r>
        <w:rPr>
          <w:b/>
          <w:bCs/>
        </w:rPr>
        <w:t xml:space="preserve"> </w:t>
      </w:r>
      <w:r>
        <w:t xml:space="preserve">Andrews G., Basu A., Cuijpers P., Craske M.G., McEvoy P., English C.L., Newby J.M., «Computer therapy for the anxiety and depression disorders is effective, acceptable and practical health care: an updated meta-analysis», Journal of Anxiety Disorders, vol. 55, 2018, pp. 70–78.</w:t>
      </w:r>
    </w:p>
    <w:p>
      <w:pPr>
        <w:pStyle w:val="BodyText"/>
      </w:pPr>
      <w:r>
        <w:rPr>
          <w:i/>
          <w:iCs/>
        </w:rPr>
        <w:t xml:space="preserve">Mini-riassunto. Meta-analisi aggiornata sull’efficacia della terapia cognitivo-comportamentale computerizzata e via internet per i disturbi d’ansia e depressivi: documenta effetti comparabili a quelli del trattamento erogato di persona in popolazioni selezionate. Fornisce l’evidenza clinica, di qualità da moderata a buona, a sostegno degli strumenti digitali trasversali considerati nella voce sul contributo dell’Intelligenza Artificiale; l’evidenza sull’effetto incrementale specifico di tali strumenti sul risparmio diretto è invece più limitata e di qualità bassa.</w:t>
      </w:r>
    </w:p>
    <w:p>
      <w:pPr>
        <w:pStyle w:val="BodyText"/>
      </w:pPr>
      <w:r>
        <w:rPr>
          <w:b/>
          <w:bCs/>
        </w:rPr>
        <w:t xml:space="preserve">▪</w:t>
      </w:r>
      <w:r>
        <w:rPr>
          <w:b/>
          <w:bCs/>
        </w:rPr>
        <w:t xml:space="preserve"> </w:t>
      </w:r>
      <w:r>
        <w:t xml:space="preserve">Letteratura sui sintomi somatici funzionali (medically unexplained symptoms) e sul loro impatto sull’utilizzo dei servizi sanitari (rassegne e studi sull’iper-utilizzo diagnostico e specialistico).</w:t>
      </w:r>
    </w:p>
    <w:p>
      <w:pPr>
        <w:pStyle w:val="BodyText"/>
      </w:pPr>
      <w:r>
        <w:rPr>
          <w:i/>
          <w:iCs/>
        </w:rPr>
        <w:t xml:space="preserve">Mini-riassunto. Corpo di studi che documenta come i sintomi fisici privi di causa organica accertata, di matrice psichica non riconosciuta, generino un consumo elevato e ripetuto di prestazioni diagnostiche e specialistiche, secondo il meccanismo della rincorsa diagnostica del sintomo. Costituisce il fondamento del terzo meccanismo del canale farmaceutico, relativo alla prescrizione sintomatica, e dell’intero quarto canale, relativo alla domanda specialistica e diagnostica indotta dal disagio non riconosciuto.</w:t>
      </w:r>
    </w:p>
    <w:bookmarkStart w:id="516" w:name="X220ed8a6b0cfa539e7fe040cb04edf67526dfa4"/>
    <w:p>
      <w:pPr>
        <w:pStyle w:val="Heading2"/>
      </w:pPr>
      <w:r>
        <w:t xml:space="preserve">Nota sui rinvii interni e sui principi metodologici</w:t>
      </w:r>
    </w:p>
    <w:p>
      <w:pPr>
        <w:pStyle w:val="FirstParagraph"/>
      </w:pPr>
      <w:r>
        <w:t xml:space="preserve">Le note a piè di pagina della parte non richiamate nell’elenco precedente non corrispondono a fonti bibliografiche esterne, ma assolvono due funzioni interne all’opera, e per questo non sono qui riprodotte come voci bibliografiche. La prima funzione è il rinvio ad altre parti dello studio, ai quali la parte ottava si raccorda: la prima parte, per il telaio metodologico, il posizionamento dell’Intelligenza Artificiale e i vincoli invarianti; la seconda, per il contesto epidemiologico, demografico, sanitario e finanziario regionale; la quarta, per il modello organizzativo, la leva digitale e la governance prudenziale; la sesta, per la graduazione dell’evidenza clinica e digitale; la settima, per i costi diretti del servizio; la nona, per le ricadute economico-sociali indirette; la decima, per il saldo consolidato; la undicesima, per la modellazione e la previsione; la tredicesima, per i profili etico-giuridici e la protezione dei dati; la quindicesima, per il monitoraggio e la verifica ex-post. La seconda funzione è il richiamo dei principi metodologici invarianti che governano ogni stima: gli intervalli di Chisholm, il caveat dell’IMPACT trial, la regola di non duplicazione tra grandezze fiscali e sociali e tra canali, la graduazione simmetrica dell’evidenza secondo i criteri GRADE, e il ricorso sistematico alle bande prudenziali. Questi rinvii e questi richiami costituiscono l’impalcatura interna che tiene insieme la parte con il resto dell’opera e con i suoi principi, e la loro presenza nelle note a piè di pagina, accanto alle fonti esterne qui consolidate, realizza il doppio livello dell’apparato di note che l’intera opera adotta: la nota a piè di pagina nel corpo del testo, per il riferimento puntuale, e la nota bibliografica integrale con mini-riassunto in questa sede, per la fonte esterna e il suo uso.</w:t>
      </w:r>
    </w:p>
    <w:p>
      <w:pPr>
        <w:pStyle w:val="SourceCode"/>
      </w:pPr>
      <w:r>
        <w:rPr>
          <w:rStyle w:val="VerbatimChar"/>
        </w:rPr>
        <w:t xml:space="preserve">Benefici e risparmi diretti L. De Michele · giugno 2026</w:t>
      </w:r>
    </w:p>
    <w:p>
      <w:r>
        <w:br w:type="page"/>
      </w:r>
    </w:p>
    <w:p>
      <w:pPr>
        <w:pStyle w:val="FirstParagraph"/>
      </w:pPr>
      <w:r>
        <w:t xml:space="preserve">Studio Integrale Puglia · Parte IX — Costi e benefici indiretti</w:t>
      </w:r>
    </w:p>
    <w:p>
      <w:pPr>
        <w:pStyle w:val="BodyText"/>
      </w:pPr>
      <w:r>
        <w:rPr>
          <w:b/>
          <w:bCs/>
        </w:rPr>
        <w:t xml:space="preserve">PROGETTO « PSICOLOGO DI BASE » · REGIONE PUGLIA</w:t>
      </w:r>
    </w:p>
    <w:p>
      <w:pPr>
        <w:pStyle w:val="BodyText"/>
      </w:pPr>
      <w:r>
        <w:rPr>
          <w:b/>
          <w:bCs/>
        </w:rPr>
        <w:t xml:space="preserve">Studio Integrale, Finale e Definitivo</w:t>
      </w:r>
    </w:p>
    <w:p>
      <w:pPr>
        <w:pStyle w:val="BodyText"/>
      </w:pPr>
      <w:r>
        <w:rPr>
          <w:b/>
          <w:bCs/>
        </w:rPr>
        <w:t xml:space="preserve">Parte IX</w:t>
      </w:r>
    </w:p>
    <w:p>
      <w:pPr>
        <w:pStyle w:val="BodyText"/>
      </w:pPr>
      <w:r>
        <w:rPr>
          <w:b/>
          <w:bCs/>
        </w:rPr>
        <w:t xml:space="preserve">Costi e benefici indiretti</w:t>
      </w:r>
    </w:p>
    <w:p>
      <w:pPr>
        <w:pStyle w:val="BodyText"/>
      </w:pPr>
      <w:r>
        <w:rPr>
          <w:b/>
          <w:bCs/>
        </w:rPr>
        <w:t xml:space="preserve">il perimetro multidisciplinare integrale</w:t>
      </w:r>
    </w:p>
    <w:p>
      <w:pPr>
        <w:pStyle w:val="BodyText"/>
      </w:pPr>
      <w:r>
        <w:rPr>
          <w:i/>
          <w:iCs/>
        </w:rPr>
        <w:t xml:space="preserve">La rinegoziazione delle ricadute economico-sociali indirette della riforma lungo i sedici domini del perimetro integrale, dal lavorativo al finanziario, e la loro aggregazione prudenziale nel rispetto della regola di non duplicazione</w:t>
      </w:r>
    </w:p>
    <w:p>
      <w:pPr>
        <w:pStyle w:val="BodyText"/>
      </w:pPr>
      <w:r>
        <w:t xml:space="preserve">Telaio HTA · Five Case Model · CHEERS 2022 · criteri OCSE-DAC</w:t>
      </w:r>
    </w:p>
    <w:p>
      <w:pPr>
        <w:pStyle w:val="BodyText"/>
      </w:pPr>
      <w:r>
        <w:t xml:space="preserve">Cascata gerarchica piramidale dallo Psicologo di Base · perimetro multidisciplinare integrale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Avvertenza sui vincoli metodologici invarianti</w:t>
            </w:r>
            <w:r>
              <w:rPr>
                <w:rFonts w:ascii="Cambria" w:hAnsi="Cambria" w:cs="Cambria" w:eastAsia="Cambria"/>
                <w:b/>
                <w:color w:val="FFFFFF"/>
                <w:sz w:val="18"/>
              </w:rPr>
              <w:t xml:space="preserve"> </w:t>
            </w:r>
            <w:r>
              <w:rPr>
                <w:rFonts w:ascii="Cambria" w:hAnsi="Cambria" w:cs="Cambria" w:eastAsia="Cambria"/>
                <w:b/>
                <w:color w:val="FFFFFF"/>
                <w:sz w:val="18"/>
              </w:rPr>
              <w:t xml:space="preserve">La presente parte rinegozia le ricadute economico-sociali indirette della riforma, grandezze distinte da quelle fiscali dirette stimate nella parte ottava. Le due categorie non sono mai sommate in un unico saldo: i benefici indiretti di questa parte e i risparmi diretti della parte ottava restano in colonne separate fino alla sintesi della decima parte, che li ricompone senza confonderli. Il ritorno economico degli investimenti in salute mentale è espresso nei soli intervalli corretti, compresi tra 2,3 e 3,0 a 1 per i soli benefici economici e tra 3,3 e 5,7 a 1 con l’inclusione dei ritorni in salute; nessun valore esterno a tale fascia è utilizzato, e tali intervalli operano come ancora di validazione dell’aggregato dei benefici indiretti. La regola di non duplicazione governa in modo stringente questa parte: poiché i domini si sovrappongono, nessun beneficio è attribuito a più di un dominio, e l’aggregazione della voce conclusiva applica le decurtazioni necessarie a evitare ogni doppio conteggio tra domini contigui. I due metodi di stima delle perdite di produttività — l’approccio del capitale umano e il metodo del costo per attrito — producono grandezze diverse e non sono mai combinati; ove impiegati, sono dichiarati distintamente e se ne preserva la non sommabilità. Ogni stima adotta bande prudenziali e previsioni falsificabili, e ogni evidenza è graduata secondo la sua qualità con i criteri GRADE, applicati con il medesimo rigore alle affermazioni economiche e a quelle cliniche.</w:t>
            </w:r>
          </w:p>
        </w:tc>
      </w:tr>
    </w:tbl>
    <w:bookmarkEnd w:id="516"/>
    <w:bookmarkEnd w:id="517"/>
    <w:bookmarkStart w:id="518" w:name="premessa-6"/>
    <w:p>
      <w:pPr>
        <w:pStyle w:val="Heading1"/>
      </w:pPr>
      <w:r>
        <w:t xml:space="preserve">Premessa</w:t>
      </w:r>
    </w:p>
    <w:p>
      <w:pPr>
        <w:pStyle w:val="FirstParagraph"/>
      </w:pPr>
      <w:r>
        <w:rPr>
          <w:i/>
          <w:iCs/>
        </w:rPr>
        <w:t xml:space="preserve">La presente parte rinegozia i costi e i benefici indiretti dell’introduzione del Servizio di Psicologia di Base in Puglia, e ne percorre il perimetro multidisciplinare integrale dominio per dominio. Per costi e benefici indiretti si intendono le ricadute economico-sociali che la riforma genera al di fuori del bilancio sanitario regionale: il valore che la riduzione del disagio comune restituisce al lavoro, alla previdenza, alla produzione, all’assistenza, al welfare, alla prevenzione, alla giustizia, all’amministrazione, alla cultura, alla scuola, alla ricerca, all’industria, alla rappresentanza dei lavoratori, alla comunità, al capitale sociale e ai bilanci regionali nel loro complesso. Sono grandezze di ordine superiore a quelle fiscali dirette stimate nella parte ottava, ma di natura diversa, perché non cadono sul fondo sanitario regionale, bensì si distribuiscono su una pluralità di soggetti pubblici e privati e di bilanci distinti. È in questa parte che la riforma rivela la propria portata multidisciplinare integrale, e che la rinegoziazione dei costi e dei benefici si estende, come il mandato richiede, a tutte le figure e a tutti gli ambiti direttamente e indirettamente connessi allo Psicologo di Base.</w:t>
      </w:r>
    </w:p>
    <w:p>
      <w:pPr>
        <w:pStyle w:val="BodyText"/>
      </w:pPr>
      <w:r>
        <w:t xml:space="preserve">Il principio che governa questa parte è duplice, e ne condiziona ogni stima. Il primo principio è la separazione tra le grandezze indirette e quelle dirette: i benefici sociali qui quantificati non sono mai sommati ai risparmi fiscali della parte ottava, e le due categorie viaggiano in colonne distinte, destinate a essere ricomposte, ma non confuse, nella sintesi della decima parte. Il risparmio diretto è il fondamento fiscale certo, che la parte ottava ha mostrato prossimo al pareggio sul bilancio sanitario; il beneficio indiretto è il ritorno sociale di ordine superiore, che questa parte quantifica e che costituisce la giustificazione economica piena della riforma. Tenere distinte le due grandezze non è un tecnicismo, ma la condizione dell’onestà dell’intera valutazione, perché la loro somma indiscriminata produrrebbe cifre più grandi ma false, screditabili alla prima verifica.</w:t>
      </w:r>
    </w:p>
    <w:p>
      <w:pPr>
        <w:pStyle w:val="BodyText"/>
      </w:pPr>
      <w:r>
        <w:t xml:space="preserve">Il secondo principio è la regola di non duplicazione, che in questa parte assume la sua forma più impegnativa. I domini del perimetro integrale non sono comparti stagni, ma ambiti che si sovrappongono ampiamente: il valore della maggiore produttività del lavoratore che non si assenta, il valore della mancata uscita anticipata dal mercato del lavoro, il valore della minore spesa previdenziale e assistenziale, il valore del minore output perduto sono altrettante prospettive su un medesimo fenomeno — il ritorno al lavoro e alla vita produttiva di chi il disagio aveva allontanato — e contarle tutte e per intero significherebbe contare più volte il medesimo euro. La sfida metodologica di questa parte è, perciò, quella di percorrere ogni dominio cogliendone la specificità senza duplicare il valore già attribuito ai domini contigui; e la voce conclusiva, lungi dall’essere una semplice somma, è il luogo in cui le decurtazioni necessarie a evitare il doppio conteggio sono applicate e dichiarate. Per questa ragione, l’aggregato finale dei benefici indiretti è inferiore alla somma aritmetica dei valori dei singoli domini, ed è questa differenza, deliberatamente sottratta, la misura del rigore della rinegoziazione.</w:t>
      </w:r>
    </w:p>
    <w:bookmarkEnd w:id="518"/>
    <w:bookmarkStart w:id="528" w:name="introduzione-6"/>
    <w:p>
      <w:pPr>
        <w:pStyle w:val="Heading1"/>
      </w:pPr>
      <w:r>
        <w:t xml:space="preserve">Introduzione</w:t>
      </w:r>
    </w:p>
    <w:p>
      <w:pPr>
        <w:pStyle w:val="FirstParagraph"/>
      </w:pPr>
      <w:r>
        <w:rPr>
          <w:i/>
          <w:iCs/>
        </w:rPr>
        <w:t xml:space="preserve">L’introduzione fissa l’oggetto, il metodo e i confini della rinegoziazione dei benefici indiretti. Essa definisce la nozione di beneficio indiretto e la distingue da quella di risparmio diretto; espone la mappa dei sedici domini del perimetro integrale e il loro ordinamento; chiarisce il metodo di stima per dominio e i due approcci alla valutazione delle perdite di produttività, che non sono mai combinati; enuncia la regola di non duplicazione tra domini contigui e il principio dell’aggregazione prudenziale; richiama l’ancora di Chisholm come fascia di validazione dell’aggregato; e anticipa l’ordine di grandezza dei benefici indiretti complessivi, affinché il lettore conosca fin dall’inizio la misura e il senso del ritorno sociale che la voce conclusiva ricomporrà.</w:t>
      </w:r>
    </w:p>
    <w:bookmarkStart w:id="520" w:name="X3addf2195649f9ec37917de57927db30ca50159"/>
    <w:p>
      <w:pPr>
        <w:pStyle w:val="Heading2"/>
      </w:pPr>
      <w:r>
        <w:t xml:space="preserve">La nozione di beneficio indiretto e la sua distinzione dal risparmio diretto</w:t>
      </w:r>
    </w:p>
    <w:p>
      <w:pPr>
        <w:pStyle w:val="FirstParagraph"/>
      </w:pPr>
      <w:r>
        <w:t xml:space="preserve">Il beneficio indiretto è il valore economico-sociale che la riduzione del disagio comune genera al di fuori del bilancio sanitario regionale. Esso si distingue dal risparmio diretto per tre caratteristiche congiunte. La prima riguarda il soggetto che ne beneficia: mentre il risparmio diretto cade sul detentore del budget sanitario regionale, il beneficio indiretto si distribuisce su una pluralità di soggetti — le imprese, i lavoratori, l’istituto previdenziale nazionale, il sistema giudiziario, le famiglie, le scuole, la collettività nel suo insieme — e su bilanci distinti da quello sanitario regionale. La seconda riguarda la natura della catena causale: mentre il risparmio diretto discende immediatamente dalla minore spesa sanitaria, il beneficio indiretto discende da catene più lunghe, che attraversano il lavoro, la previdenza, l’assistenza e la giustizia, e che richiedono pertanto una maggiore cautela nella stima. La terza riguarda l’ordine di grandezza: il beneficio indiretto è, nel complesso, superiore al risparmio diretto, perché la maggior parte del valore che la salute mentale restituisce alla società non si manifesta come minore spesa sanitaria, ma come maggiore produttività e minore onere sociale.</w:t>
      </w:r>
    </w:p>
    <w:p>
      <w:pPr>
        <w:pStyle w:val="BodyText"/>
      </w:pPr>
      <w:r>
        <w:t xml:space="preserve">Questa distinzione fonda l’architettura economica dell’intera opera, e ne segna il punto di passaggio. La parte ottava ha misurato la grandezza fiscale diretta, certa ma contenuta, e ha mostrato che la riforma si autofinanzia in misura prossima alla totalità sul bilancio sanitario. La presente parte misura la grandezza sociale indiretta, più ampia ma anche più incerta, e mostra dove risieda il vero ritorno della riforma. La decima parte ricomporrà le due grandezze nel saldo consolidato, mantenendole distinte. È essenziale, per la correttezza di questo passaggio, che il beneficio indiretto non sia mai confuso con il risparmio diretto né a esso sommato in un unico rapporto: il medesimo miglioramento clinico genera, distintamente, un risparmio fiscale e un beneficio sociale, e le due grandezze, per quanto originate dalla medesima causa, appartengono a categorie diverse e a bilanci diversi.</w:t>
      </w:r>
      <w:r>
        <w:rPr>
          <w:rStyle w:val="FootnoteReference"/>
        </w:rPr>
        <w:footnoteReference w:id="243"/>
      </w:r>
    </w:p>
    <w:bookmarkEnd w:id="520"/>
    <w:bookmarkStart w:id="521" w:name="X4b4ba8cafde5b0526696561693a29f66a9684be"/>
    <w:p>
      <w:pPr>
        <w:pStyle w:val="Heading2"/>
      </w:pPr>
      <w:r>
        <w:t xml:space="preserve">La mappa dei sedici domini e il loro ordinamento</w:t>
      </w:r>
    </w:p>
    <w:p>
      <w:pPr>
        <w:pStyle w:val="FirstParagraph"/>
      </w:pPr>
      <w:r>
        <w:t xml:space="preserve">Il perimetro multidisciplinare integrale si articola in sedici domini, che questa parte percorre in un ordine non casuale. L’ordine muove dai domini più direttamente economici e di maggiore peso — il lavorativo, il pensionistico, il produttivistico — verso i domini progressivamente più sociali e meno immediatamente monetizzabili — l’assistenzialistico, il welfaristico, il prevenzionalistico, il criminologico, il burocratico — fino ai domini di natura prevalentemente culturale, formativa e relazionale — il culturale, il pedagogico e scolastico, l’accademico, l’industriale, il sindacale, l’antropologico, il sociale — per chiudersi sul dominio finanziario, che ricompone gli effetti sui bilanci regionali. Questo ordinamento riflette, da un lato, il peso economico decrescente dei domini, e, dall’altro, il grado decrescente di monetizzabilità e crescente di incertezza delle loro stime, sicché la parte procede dai terreni più solidi verso quelli più esposti alla cautela. L’ordinamento dei domini non è indipendente dalla cascata delle figure descritta nella terza parte, ma ne costituisce la proiezione sugli ambiti: ciascun dominio è il terreno su cui la cooperazione delle figure della cascata, innescata dallo Psicologo di Base, dispiega i propri effetti di ordine superiore.</w:t>
      </w:r>
    </w:p>
    <w:p>
      <w:pPr>
        <w:pStyle w:val="BodyText"/>
      </w:pPr>
      <w:r>
        <w:t xml:space="preserve">Tra i sedici domini, alcuni sono suscettibili di stima monetaria con relativa solidità, perché ancorati a grandezze economiche documentate e a parametri di effetto tratti dalla letteratura; altri sono solo parzialmente monetizzabili, e si prestano a una stima prudenziale corredata di ampie bande; altri ancora sono di natura prevalentemente qualitativa, e il loro valore, pur reale, non si lascia ridurre a una cifra senza forzature. La rinegoziazione tratta ciascun dominio secondo la sua natura: quantifica con cautela i domini monetizzabili, stima con bande ampie i domini parzialmente monetizzabili, e descrive senza monetizzare i domini qualitativi, riconoscendo che la loro esclusione dalla somma non ne nega il valore, ma ne rispetta l’irriducibilità alla misura monetaria. Questa differenziazione del trattamento è essa stessa una garanzia di onestà, perché evita di attribuire una falsa precisione numerica a domini il cui valore è genuinamente non monetizzabile.</w:t>
      </w:r>
    </w:p>
    <w:bookmarkEnd w:id="521"/>
    <w:bookmarkStart w:id="524" w:name="X2d46801776015e0b41a4105bde8c3c3444fa4fd"/>
    <w:p>
      <w:pPr>
        <w:pStyle w:val="Heading2"/>
      </w:pPr>
      <w:r>
        <w:t xml:space="preserve">Il metodo di stima per dominio e i due approcci alla produttività</w:t>
      </w:r>
    </w:p>
    <w:p>
      <w:pPr>
        <w:pStyle w:val="FirstParagraph"/>
      </w:pPr>
      <w:r>
        <w:t xml:space="preserve">La stima di ciascun dominio monetizzabile segue il medesimo procedimento in cinque passaggi adottato nella parte ottava, adattato alla natura indiretta delle grandezze. Il primo passaggio individua la grandezza economica di ancoraggio del dominio: il costo dell’assenteismo, l’onere delle pensioni di invalidità per cause psichiche, la spesa assistenziale, il costo della giustizia, misurati sui dati pubblici disponibili e destinati a essere sostituiti dai dati certificati. Il secondo isola la frazione di quella grandezza riconducibile al disagio comune intercettabile dal primo livello psicologico, distinta dalla quota riconducibile a patologie gravi non di competenza del primo livello e dalla quota fisiologica e incomprimibile. Il terzo applica il parametro di effetto tratto dalla letteratura, graduato secondo la sua qualità. Il quarto introduce la quota di copertura e di adesione propria di ciascuno scenario. Il quinto applica la riduzione prudenziale che incorpora l’incertezza, più marcata che nella parte ottava in ragione della maggiore lunghezza delle catene causali indirette.</w:t>
      </w:r>
    </w:p>
    <w:p>
      <w:pPr>
        <w:pStyle w:val="BodyText"/>
      </w:pPr>
      <w:r>
        <w:t xml:space="preserve">Un’avvertenza metodologica specifica riguarda la valutazione delle perdite di produttività, che attraversa più domini e che la letteratura affronta con due approcci alternativi e non sommabili. L’approccio del capitale umano stima la perdita di produttività come l’intero valore della produzione che il lavoratore avrebbe generato durante l’assenza o l’uscita anticipata dal lavoro, valutando il tempo perduto al costo pieno del lavoro per l’intero periodo; esso tende a produrre stime più elevate, ed è appropriato per cogliere il valore sociale complessivo della salute. Il metodo del costo per attrito stima invece la sola perdita che si verifica nel periodo necessario a sostituire il lavoratore assente o uscito, oltre il quale si assume che la produzione sia ripristinata da un altro lavoratore; esso produce stime più contenute, ed è appropriato per cogliere il costo effettivo per il sistema produttivo nel breve periodo. I due approcci rispondono a domande diverse e non sono mai combinati, perché sommarli significherebbe contare due volte la medesima perdita; questa parte dichiara, per ciascun dominio in cui la produttività rileva, quale approccio adotta, e ne preserva la non sommabilità.</w:t>
      </w:r>
      <w:r>
        <w:rPr>
          <w:rStyle w:val="FootnoteReference"/>
        </w:rPr>
        <w:footnoteReference w:id="244"/>
      </w:r>
      <w:r>
        <w:rPr>
          <w:rStyle w:val="FootnoteReference"/>
        </w:rPr>
        <w:footnoteReference w:id="245"/>
      </w:r>
    </w:p>
    <w:bookmarkEnd w:id="524"/>
    <w:bookmarkStart w:id="526" w:name="X7f2810a055853e61227eea060ac352a3699bef8"/>
    <w:p>
      <w:pPr>
        <w:pStyle w:val="Heading2"/>
      </w:pPr>
      <w:r>
        <w:t xml:space="preserve">La regola di non duplicazione tra domini e l’ancora di Chisholm</w:t>
      </w:r>
    </w:p>
    <w:p>
      <w:pPr>
        <w:pStyle w:val="FirstParagraph"/>
      </w:pPr>
      <w:r>
        <w:t xml:space="preserve">La regola di non duplicazione, già enunciata come principio, richiede in questa parte una specificazione operativa, perché è tra domini contigui che il rischio di doppio conteggio è più acuto. Tre sovrapposizioni, in particolare, sono governate con cura lungo l’intera parte. La prima è quella tra il dominio lavorativo, che misura la perdita di produttività del lavoratore occupato, e il dominio pensionistico, che misura l’uscita permanente dal mercato del lavoro: i due domini sono tenuti distinti attribuendo al primo la sola perdita di breve periodo di chi resta occupato, e al secondo la sola uscita permanente, senza sovrapposizione. La seconda è quella tra il dominio pensionistico, che misura l’onere previdenziale, e il dominio welfaristico, che misura l’onere assistenziale non previdenziale: i due sono tenuti distinti attribuendo al primo le sole prestazioni previdenziali e al secondo le sole prestazioni assistenziali. La terza è quella tra il dominio produttivistico, che offre la lente macroeconomica dell’output, e i domini lavorativo e pensionistico, che ne colgono le componenti specifiche: il dominio produttivistico è trattato come sintesi che integra senza aggiungere, e conta soltanto la componente residua non già attribuita agli altri due. Queste e le altre decurtazioni sono applicate sistematicamente, e rese esplicite nella voce conclusiva.</w:t>
      </w:r>
    </w:p>
    <w:p>
      <w:pPr>
        <w:pStyle w:val="BodyText"/>
      </w:pPr>
      <w:r>
        <w:t xml:space="preserve">L’aggregato dei benefici indiretti, ottenuto al netto delle decurtazioni per non duplicazione, è infine sottoposto a una verifica di coerenza con l’ancora invariante della letteratura. Gli intervalli del ritorno sull’investimento in salute mentale, compresi tra 2,3 e 3,0 a 1 per i soli benefici economici e tra 3,3 e 5,7 a 1 con l’inclusione dei ritorni in salute, operano come fascia di validazione: l’aggregato dei benefici indiretti economici, rapportato al costo del servizio, deve cadere entro la fascia economica, e l’aggregato comprensivo del valore della salute deve restare entro la fascia ampia.</w:t>
      </w:r>
      <w:r>
        <w:rPr>
          <w:rStyle w:val="FootnoteReference"/>
        </w:rPr>
        <w:footnoteReference w:id="246"/>
      </w:r>
      <w:r>
        <w:t xml:space="preserve"> </w:t>
      </w:r>
      <w:r>
        <w:t xml:space="preserve">Questa verifica non è la fonte delle stime — che derivano dall’ancoraggio per dominio — ma il loro controllo: se l’aggregato per dominio eccedesse la fascia documentata, ciò segnalerebbe un doppio conteggio o una sovrastima da correggere; se vi restasse al di sotto, ciò segnalerebbe una sottostima o una prudenza eccessiva da dichiarare. L’ancora di Chisholm è, in questo senso, il limite superiore metodologicamente fondato entro cui l’intera rinegoziazione dei benefici indiretti si mantiene, e la garanzia che nessuna cifra ecceda ciò che la letteratura internazionale autorizza.</w:t>
      </w:r>
    </w:p>
    <w:bookmarkEnd w:id="526"/>
    <w:bookmarkStart w:id="527" w:name="X9cf361309fb30f0ac834e4ed9f0207fcd1b6d96"/>
    <w:p>
      <w:pPr>
        <w:pStyle w:val="Heading2"/>
      </w:pPr>
      <w:r>
        <w:t xml:space="preserve">L’anticipazione dell’ordine di grandezza dei benefici indiretti</w:t>
      </w:r>
    </w:p>
    <w:p>
      <w:pPr>
        <w:pStyle w:val="FirstParagraph"/>
      </w:pPr>
      <w:r>
        <w:t xml:space="preserve">A beneficio della lettura, conviene anticipare la misura dell’esito che la voce conclusiva ricomporrà. Aggregati i sedici domini al netto delle decurtazioni per non duplicazione, i benefici indiretti economici della riforma per la collettività pugliese sono dell’ordine di alcune decine di milioni di euro l’anno a regime nello scenario conservativo, e crescono fino a oltre un centinaio di milioni nello scenario espansivo. Rapportati al costo del servizio, dell’ordine di venticinque, trentotto e cinquanta milioni di euro l’anno secondo lo scenario, questi benefici implicano un rapporto beneficio-costo che cade entro la fascia economica documentata dalla letteratura, compresa tra 2,3 e 3,0 a 1, e che, con l’inclusione del valore dei ritorni in salute, si avvicina alla fascia ampia compresa tra 3,3 e 5,7 a 1. È questo il dato che la parte ottava aveva annunciato e che la presente parte dimostra: la giustificazione economica piena della riforma non risiede nel saldo fiscale diretto, prossimo al pareggio, bensì in questo ritorno sociale di ordine superiore, che eccede ampiamente il costo del servizio e che si distribuisce sull’intero corpo sociale.</w:t>
      </w:r>
    </w:p>
    <w:p>
      <w:pPr>
        <w:pStyle w:val="BodyText"/>
      </w:pPr>
      <w:r>
        <w:t xml:space="preserve">Questa anticipazione va letta con la cautela che la natura indiretta delle grandezze impone. I benefici indiretti sono reali e di ordine superiore al risparmio diretto, ma sono anche più incerti, perché discendono da catene causali più lunghe e da parametri di effetto più variabili; per questo sono espressi in bande prudenziali ampie, e la loro stima centrale è accompagnata dalla dichiarazione esplicita dell’intervallo entro cui essa può oscillare. La forza dell’argomento economico della riforma non risiede, dunque, nella precisione di una cifra puntuale, ma nella robustezza di un intervallo che, anche nel suo estremo inferiore e anche al netto di ogni decurtazione prudenziale, mostra un ritorno sociale che eccede il costo del servizio. Stabilita in apertura questa misura e dichiarato il metodo che vi conduce, la rinegoziazione può ora aprire il percorso dei domini dal primo e più cospicuo di essi, il dominio lavorativo.</w:t>
      </w:r>
    </w:p>
    <w:bookmarkEnd w:id="527"/>
    <w:bookmarkEnd w:id="528"/>
    <w:bookmarkStart w:id="538" w:name="il-dominio-lavorativo"/>
    <w:p>
      <w:pPr>
        <w:pStyle w:val="Heading2"/>
      </w:pPr>
      <w:r>
        <w:t xml:space="preserve">9.1 Il dominio lavorativo</w:t>
      </w:r>
    </w:p>
    <w:p>
      <w:pPr>
        <w:pStyle w:val="FirstParagraph"/>
      </w:pPr>
      <w:r>
        <w:rPr>
          <w:i/>
          <w:iCs/>
        </w:rPr>
        <w:t xml:space="preserve">Il primo dominio del perimetro integrale è il lavorativo, e ne costituisce, per peso economico, la componente più cospicua. Esso misura il valore che la riduzione del disagio comune restituisce al mercato del lavoro attraverso il recupero della produttività dei lavoratori occupati: il minore assenteismo per malattia a matrice psichica, la riduzione del presenteismo, ossia della presenza al lavoro in condizioni di ridotta efficienza, e la diminuzione delle malattie professionali e dei disturbi stress-correlati. Il dominio coglie, in altri termini, ciò che il disagio psichico sottrae alla produzione di chi resta occupato, e che l’intercettazione precoce restituisce; e lo coglie distintamente dall’uscita permanente dal lavoro, che il dominio pensionistico tratterà, per non duplicare il valore. La voce ricostruisce il contesto pugliese del carico del disagio sul lavoro, ne isola i meccanismi, ne traccia la catena causale, ne stima il beneficio per scenario e ne dichiara la graduazione, i confini e la non sovrapposizione con i domini contigui.</w:t>
      </w:r>
    </w:p>
    <w:bookmarkStart w:id="532" w:name="Xa6ff00311228769af049bb5a230205f0d9bd5b8"/>
    <w:p>
      <w:pPr>
        <w:pStyle w:val="Heading2"/>
      </w:pPr>
      <w:r>
        <w:t xml:space="preserve">9.1.1 Il contesto: il carico del disagio psichico sul lavoro in Puglia</w:t>
      </w:r>
    </w:p>
    <w:p>
      <w:pPr>
        <w:pStyle w:val="FirstParagraph"/>
      </w:pPr>
      <w:r>
        <w:t xml:space="preserve">Il disagio psichico comune costituisce, nelle economie avanzate, una delle prime cause di perdita di produttività del lavoro, e il suo peso economico complessivo è stimato dalle organizzazioni internazionali in una frazione rilevante del prodotto, dell’ordine di alcuni punti percentuali, di cui la componente sanitaria diretta rappresenta soltanto una parte minoritaria, mentre la quota maggiore è costituita proprio dalle perdite di produttività e dagli oneri sociali indiretti.</w:t>
      </w:r>
      <w:r>
        <w:rPr>
          <w:rStyle w:val="FootnoteReference"/>
        </w:rPr>
        <w:footnoteReference w:id="247"/>
      </w:r>
      <w:r>
        <w:t xml:space="preserve"> </w:t>
      </w:r>
      <w:r>
        <w:t xml:space="preserve">Questa proporzione — per cui il costo del disagio psichico ricade sul sistema produttivo e sociale assai più che sul sistema sanitario — è il fondamento dell’intera parte nona, e in nessun dominio è più evidente che in quello lavorativo. La Puglia, regione segnata da un mercato del lavoro fragile e da una elevata incidenza del disagio comune non intercettato, presenta un carico lavorativo del disagio psichico di entità significativa, che la riforma può comprimere nella sua componente intercettabile.</w:t>
      </w:r>
    </w:p>
    <w:p>
      <w:pPr>
        <w:pStyle w:val="BodyText"/>
      </w:pPr>
      <w:r>
        <w:t xml:space="preserve">Il carico lavorativo del disagio psichico si manifesta in tre forme, di peso diseguale. La prima è l’assenteismo per malattia a matrice psichica, ossia le giornate di lavoro perdute per congedi e assenze riconducibili a disturbi d’ansia, depressivi e da stress; è la forma più visibile e più facilmente misurabile, ma non la maggiore. La seconda è il presenteismo, ossia la presenza al lavoro del lavoratore che, pur non assentandosi, opera in condizioni di ridotta concentrazione, efficienza e capacità decisionale a causa del disagio non trattato; è la forma meno visibile ma, secondo la letteratura, la maggiore, perché la perdita di produttività del presente ma inefficiente eccede quella dell’assente, sia per la sua diffusione sia per la sua durata.</w:t>
      </w:r>
      <w:r>
        <w:rPr>
          <w:rStyle w:val="FootnoteReference"/>
        </w:rPr>
        <w:footnoteReference w:id="248"/>
      </w:r>
      <w:r>
        <w:t xml:space="preserve"> </w:t>
      </w:r>
      <w:r>
        <w:t xml:space="preserve">La terza è costituita dalle malattie professionali e dai disturbi stress-correlati, ossia dalle patologie il cui sviluppo è favorito o aggravato dalle condizioni di lavoro e dallo stress lavoro-correlato, che generano costi per il sistema assicurativo, per le imprese e per i lavoratori.</w:t>
      </w:r>
      <w:r>
        <w:rPr>
          <w:rStyle w:val="FootnoteReference"/>
        </w:rPr>
        <w:footnoteReference w:id="249"/>
      </w:r>
      <w:r>
        <w:t xml:space="preserve"> </w:t>
      </w:r>
      <w:r>
        <w:t xml:space="preserve">È la somma di queste tre forme, e in particolare delle prime due, che costituisce la grandezza di ancoraggio del dominio lavorativo.</w:t>
      </w:r>
    </w:p>
    <w:p>
      <w:pPr>
        <w:pStyle w:val="BodyText"/>
      </w:pPr>
      <w:r>
        <w:t xml:space="preserve">La connessione tra questo carico e il primo livello psicologico è diretta e opera attraverso l’intercettazione precoce del disagio nei suoi stadi iniziali, prima che esso comprometta la capacità lavorativa. Il lavoratore che presenta i primi segni di un disturbo d’ansia o depressivo, se intercettato e preso in carico al primo livello, ha maggiore probabilità di conservare la propria piena capacità lavorativa, di non assentarsi e di non operare in condizioni di ridotta efficienza; il lavoratore non intercettato, viceversa, segue una traiettoria di progressiva compromissione che si traduce in assenteismo, presenteismo e, nei casi più gravi, in uscita dal lavoro. Lo Psicologo di Base, intercettando il disagio nelle cure primarie, agisce dunque a monte della perdita di produttività, e il valore che ne deriva — la produttività conservata — è il beneficio che il dominio lavorativo misura. Tale beneficio si distribuisce sulle imprese, che dispongono di lavoratori più produttivi, e sulla collettività, che conserva il valore della produzione che il disagio avrebbe sottratto.</w:t>
      </w:r>
    </w:p>
    <w:bookmarkEnd w:id="532"/>
    <w:bookmarkStart w:id="533" w:name="Xa005a063e182e2606ec77e714f59f143dd7cf73"/>
    <w:p>
      <w:pPr>
        <w:pStyle w:val="Heading2"/>
      </w:pPr>
      <w:r>
        <w:t xml:space="preserve">9.1.2 I meccanismi: assenteismo, presenteismo, disturbi stress-correlati</w:t>
      </w:r>
    </w:p>
    <w:p>
      <w:pPr>
        <w:pStyle w:val="FirstParagraph"/>
      </w:pPr>
      <w:r>
        <w:t xml:space="preserve">Il dominio lavorativo opera attraverso tre meccanismi, corrispondenti alle tre forme del carico e accomunati dalla conservazione della capacità produttiva del lavoratore occupato. Il primo meccanismo è la riduzione dell’assenteismo per malattia a matrice psichica. L’intercettazione precoce e la presa in carico del disturbo comune riducono la durata e la frequenza dei congedi per malattia psichica, perché il disturbo trattato tempestivamente comporta minori giornate di assenza di quello lasciato evolvere. Il meccanismo agisce sulla riduzione delle giornate perdute, e il valore che ne deriva è quello della produzione recuperata in quelle giornate, valutata secondo l’approccio dichiarato.</w:t>
      </w:r>
    </w:p>
    <w:p>
      <w:pPr>
        <w:pStyle w:val="BodyText"/>
      </w:pPr>
      <w:r>
        <w:t xml:space="preserve">Il secondo meccanismo, di peso maggiore, è la riduzione del presenteismo. Il disagio non trattato non sempre conduce all’assenza; più spesso conduce alla presenza inefficiente, in cui il lavoratore, pur recandosi al lavoro, opera con ridotta concentrazione, maggiore affaticamento e minore capacità decisionale, generando una perdita di produttività diffusa e prolungata che sfugge alle statistiche dell’assenteismo ma che la incide largamente. La presa in carico del disturbo, ripristinando la piena efficienza del lavoratore, riduce questa perdita; e poiché il presenteismo è, secondo la letteratura, più diffuso e più costoso dell’assenteismo, la sua riduzione costituisce la componente maggiore del beneficio del dominio lavorativo. Il terzo meccanismo è la riduzione delle malattie professionali e dei disturbi stress-correlati, attraverso la presa in carico precoce dello stress lavoro-correlato e la prevenzione della sua evoluzione in patologia conclamata; esso genera minori costi per il sistema assicurativo e per le imprese. I tre meccanismi convergono verso il medesimo esito — la produttività conservata del lavoratore occupato — e ne colgono componenti distinte, sommabili tra loro ma non con il valore dell’uscita permanente dal lavoro, che il dominio pensionistico misura.</w:t>
      </w:r>
    </w:p>
    <w:bookmarkEnd w:id="533"/>
    <w:bookmarkStart w:id="534" w:name="Xa8f0eaeb33a4c8ffa3838abe87b4f42bac7ef84"/>
    <w:p>
      <w:pPr>
        <w:pStyle w:val="Heading2"/>
      </w:pPr>
      <w:r>
        <w:t xml:space="preserve">9.1.3 La catena causale del beneficio lavorativo</w:t>
      </w:r>
    </w:p>
    <w:p>
      <w:pPr>
        <w:pStyle w:val="FirstParagraph"/>
      </w:pPr>
      <w:r>
        <w:t xml:space="preserve">La formazione del beneficio lavorativo può essere ricostruita come una catena causale a più anelli, con la regola consueta della solidità pari a quella dell’anello più debole. Il primo anello è clinico: l’intercettazione e il trattamento precoce del disturbo comune migliorano gli esiti e ripristinano la capacità funzionale del lavoratore. Questo anello è sostenuto da evidenza di qualità da moderata ad alta, la medesima che fonda l’efficacia clinica dell’integrazione della psicologia nelle cure primarie. Il secondo anello è funzionale-lavorativo: il ripristino della capacità funzionale si traduce in minore assenteismo, minore presenteismo e minore incidenza dei disturbi stress-correlati. Questo anello è sostenuto da evidenza coerente ma di qualità più variabile, perché la traduzione del miglioramento clinico in recupero della produttività dipende da fattori — la natura del lavoro, l’organizzazione, il contesto produttivo — che mediano l’effetto.</w:t>
      </w:r>
    </w:p>
    <w:p>
      <w:pPr>
        <w:pStyle w:val="BodyText"/>
      </w:pPr>
      <w:r>
        <w:t xml:space="preserve">Il terzo anello è economico: il recupero della produttività si traduce in valore economico per le imprese e per la collettività. Questo anello presenta, nel dominio lavorativo, una specificità rispetto ai canali della parte ottava: il valore recuperato non è un risparmio di spesa, ma una produzione conservata, e la sua quantificazione dipende dall’approccio adottato — del capitale umano o del costo per attrito — che ne determina l’entità. La graduazione complessiva del beneficio lavorativo è quella del suo anello funzionale-lavorativo, intermedia, e si traduce in bande prudenziali la cui ampiezza riflette tanto l’incertezza sulla traduzione del miglioramento clinico in recupero della produttività quanto la dipendenza della stima dall’approccio metodologico. La catena, inoltre, è governata fin dall’origine dalla regola di non duplicazione: essa coglie la sola produttività del lavoratore che resta occupato, e si arresta alla soglia dell’uscita dal lavoro, che apre la catena del dominio pensionistico.</w:t>
      </w:r>
    </w:p>
    <w:bookmarkEnd w:id="534"/>
    <w:bookmarkStart w:id="535" w:name="X84813503edc61ba44d9cf41f2eb2abc77f84ea2"/>
    <w:p>
      <w:pPr>
        <w:pStyle w:val="Heading2"/>
      </w:pPr>
      <w:r>
        <w:t xml:space="preserve">9.1.4 La quantificazione del dominio lavorativo</w:t>
      </w:r>
    </w:p>
    <w:p>
      <w:pPr>
        <w:pStyle w:val="FirstParagraph"/>
      </w:pPr>
      <w:r>
        <w:t xml:space="preserve">La quantificazione del dominio lavorativo procede secondo il metodo in cinque passaggi, applicato alle tre forme del carico e con l’adozione dichiarata dell’approccio del capitale umano, appropriato a cogliere il valore sociale complessivo della produttività conservata, con la consapevolezza che il metodo del costo per attrito produrrebbe stime più contenute. La tabella che segue ricostruisce, sui dati pubblici disponibili, le tre forme del carico e i margini su cui il dominio opera.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Forma del carico lavorativo</w:t>
            </w:r>
          </w:p>
        </w:tc>
        <w:tc>
          <w:tcPr>
            <w:shd w:val="clear" w:color="auto" w:fill="16264B"/>
          </w:tcPr>
          <w:p>
            <w:pPr>
              <w:pStyle w:val="Compact"/>
              <w:spacing w:after="40" w:before="40"/>
              <w:jc w:val="left"/>
            </w:pPr>
            <w:r>
              <w:rPr>
                <w:rFonts w:ascii="Cambria" w:hAnsi="Cambria" w:cs="Cambria" w:eastAsia="Cambria"/>
                <w:b/>
                <w:bCs/>
                <w:color w:val="FFFFFF"/>
                <w:sz w:val="18"/>
              </w:rPr>
              <w:t xml:space="preserve">Grandezza di ancoraggio</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comprimibile dal primo livello psicologico</w:t>
            </w:r>
          </w:p>
        </w:tc>
      </w:tr>
      <w:tr>
        <w:tc>
          <w:tcPr/>
          <w:p>
            <w:pPr>
              <w:pStyle w:val="Compact"/>
              <w:spacing w:after="40" w:before="40"/>
              <w:jc w:val="left"/>
            </w:pPr>
            <w:r>
              <w:rPr>
                <w:rFonts w:ascii="Cambria" w:hAnsi="Cambria" w:cs="Cambria" w:eastAsia="Cambria"/>
                <w:color w:val="1A1A1A"/>
                <w:sz w:val="18"/>
              </w:rPr>
              <w:t xml:space="preserve">Assenteismo per malattia a matrice psichica</w:t>
            </w:r>
          </w:p>
        </w:tc>
        <w:tc>
          <w:tcPr/>
          <w:p>
            <w:pPr>
              <w:pStyle w:val="Compact"/>
              <w:spacing w:after="40" w:before="40"/>
              <w:jc w:val="left"/>
            </w:pPr>
            <w:r>
              <w:rPr>
                <w:rFonts w:ascii="Cambria" w:hAnsi="Cambria" w:cs="Cambria" w:eastAsia="Cambria"/>
                <w:color w:val="1A1A1A"/>
                <w:sz w:val="18"/>
              </w:rPr>
              <w:t xml:space="preserve">giornate di lavoro perdute per disturbi d’ansia, depressivi e da stress</w:t>
            </w:r>
          </w:p>
        </w:tc>
        <w:tc>
          <w:tcPr/>
          <w:p>
            <w:pPr>
              <w:pStyle w:val="Compact"/>
              <w:spacing w:after="40" w:before="40"/>
              <w:jc w:val="left"/>
            </w:pPr>
            <w:r>
              <w:rPr>
                <w:rFonts w:ascii="Cambria" w:hAnsi="Cambria" w:cs="Cambria" w:eastAsia="Cambria"/>
                <w:color w:val="1A1A1A"/>
                <w:sz w:val="18"/>
              </w:rPr>
              <w:t xml:space="preserve">la quota riconducibile al disagio comune intercettabile precocemente</w:t>
            </w:r>
          </w:p>
        </w:tc>
      </w:tr>
      <w:tr>
        <w:tc>
          <w:tcPr>
            <w:shd w:val="clear" w:color="auto" w:fill="F4F1EC"/>
          </w:tcPr>
          <w:p>
            <w:pPr>
              <w:pStyle w:val="Compact"/>
              <w:spacing w:after="40" w:before="40"/>
              <w:jc w:val="left"/>
            </w:pPr>
            <w:r>
              <w:rPr>
                <w:rFonts w:ascii="Cambria" w:hAnsi="Cambria" w:cs="Cambria" w:eastAsia="Cambria"/>
                <w:color w:val="1A1A1A"/>
                <w:sz w:val="18"/>
              </w:rPr>
              <w:t xml:space="preserve">Presenteismo (presenza in condizioni di ridotta efficienza)</w:t>
            </w:r>
          </w:p>
        </w:tc>
        <w:tc>
          <w:tcPr>
            <w:shd w:val="clear" w:color="auto" w:fill="F4F1EC"/>
          </w:tcPr>
          <w:p>
            <w:pPr>
              <w:pStyle w:val="Compact"/>
              <w:spacing w:after="40" w:before="40"/>
              <w:jc w:val="left"/>
            </w:pPr>
            <w:r>
              <w:rPr>
                <w:rFonts w:ascii="Cambria" w:hAnsi="Cambria" w:cs="Cambria" w:eastAsia="Cambria"/>
                <w:color w:val="1A1A1A"/>
                <w:sz w:val="18"/>
              </w:rPr>
              <w:t xml:space="preserve">perdita di produttività diffusa del lavoratore presente ma inefficiente</w:t>
            </w:r>
          </w:p>
        </w:tc>
        <w:tc>
          <w:tcPr>
            <w:shd w:val="clear" w:color="auto" w:fill="F4F1EC"/>
          </w:tcPr>
          <w:p>
            <w:pPr>
              <w:pStyle w:val="Compact"/>
              <w:spacing w:after="40" w:before="40"/>
              <w:jc w:val="left"/>
            </w:pPr>
            <w:r>
              <w:rPr>
                <w:rFonts w:ascii="Cambria" w:hAnsi="Cambria" w:cs="Cambria" w:eastAsia="Cambria"/>
                <w:color w:val="1A1A1A"/>
                <w:sz w:val="18"/>
              </w:rPr>
              <w:t xml:space="preserve">la quota generata dal disagio non trattato, componente maggiore del dominio</w:t>
            </w:r>
          </w:p>
        </w:tc>
      </w:tr>
      <w:tr>
        <w:tc>
          <w:tcPr/>
          <w:p>
            <w:pPr>
              <w:pStyle w:val="Compact"/>
              <w:spacing w:after="40" w:before="40"/>
              <w:jc w:val="left"/>
            </w:pPr>
            <w:r>
              <w:rPr>
                <w:rFonts w:ascii="Cambria" w:hAnsi="Cambria" w:cs="Cambria" w:eastAsia="Cambria"/>
                <w:color w:val="1A1A1A"/>
                <w:sz w:val="18"/>
              </w:rPr>
              <w:t xml:space="preserve">Malattie professionali e disturbi stress-correlati</w:t>
            </w:r>
          </w:p>
        </w:tc>
        <w:tc>
          <w:tcPr/>
          <w:p>
            <w:pPr>
              <w:pStyle w:val="Compact"/>
              <w:spacing w:after="40" w:before="40"/>
              <w:jc w:val="left"/>
            </w:pPr>
            <w:r>
              <w:rPr>
                <w:rFonts w:ascii="Cambria" w:hAnsi="Cambria" w:cs="Cambria" w:eastAsia="Cambria"/>
                <w:color w:val="1A1A1A"/>
                <w:sz w:val="18"/>
              </w:rPr>
              <w:t xml:space="preserve">patologie favorite o aggravate dallo stress lavoro-correlato</w:t>
            </w:r>
          </w:p>
        </w:tc>
        <w:tc>
          <w:tcPr/>
          <w:p>
            <w:pPr>
              <w:pStyle w:val="Compact"/>
              <w:spacing w:after="40" w:before="40"/>
              <w:jc w:val="left"/>
            </w:pPr>
            <w:r>
              <w:rPr>
                <w:rFonts w:ascii="Cambria" w:hAnsi="Cambria" w:cs="Cambria" w:eastAsia="Cambria"/>
                <w:color w:val="1A1A1A"/>
                <w:sz w:val="18"/>
              </w:rPr>
              <w:t xml:space="preserve">la quota prevenibile dalla presa in carico precoce dello stress</w:t>
            </w:r>
          </w:p>
        </w:tc>
      </w:tr>
    </w:tbl>
    <w:p>
      <w:pPr>
        <w:pStyle w:val="BodyText"/>
      </w:pPr>
      <w:r>
        <w:rPr>
          <w:i/>
          <w:iCs/>
        </w:rPr>
        <w:t xml:space="preserve">Tabella 9.1 — Le forme del carico lavorativo del disagio psichico e i margini di compressione. Le grandezze sono ricostruite sulle fonti pubbliche nazionali e internazionali e saranno sostituite dai dati certificati regionali (INPS, INAIL, fonti regionali sul lavoro) non appena acquisiti; le componenti comprimibili riguardano la sola quota a matrice psichica intercettabile dal primo livello.</w:t>
      </w:r>
    </w:p>
    <w:p>
      <w:pPr>
        <w:pStyle w:val="BodyText"/>
      </w:pPr>
      <w:r>
        <w:t xml:space="preserve">Sulla base di questo quadro, la stima del beneficio lavorativo è articolata nelle tre componenti corrispondenti alle tre forme del carico, e per ciascuno dei tre scenari di copertura. La componente del presenteismo costituisce, in coerenza con la letteratura, la quota maggiore del beneficio, in ragione della diffusione e della durata della presenza inefficiente. La componente dell’assenteismo costituisce la quota intermedia, più facilmente misurabile ma di entità inferiore al presenteismo. La componente delle malattie professionali e dei disturbi stress-correlati costituisce la quota minore, più contenuta ma di rilievo per il sistema assicurativo e per le imprese. La tabella che segue espone la stima per componente e per scenario.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beneficio lavorativo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Riduzione del presenteismo (produttività del presente inefficiente)</w:t>
            </w:r>
          </w:p>
        </w:tc>
        <w:tc>
          <w:tcPr/>
          <w:p>
            <w:pPr>
              <w:pStyle w:val="Compact"/>
              <w:spacing w:after="40" w:before="40"/>
              <w:jc w:val="left"/>
            </w:pPr>
            <w:r>
              <w:rPr>
                <w:rFonts w:ascii="Cambria" w:hAnsi="Cambria" w:cs="Cambria" w:eastAsia="Cambria"/>
                <w:color w:val="1A1A1A"/>
                <w:sz w:val="18"/>
              </w:rPr>
              <w:t xml:space="preserve">~12</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~27</w:t>
            </w:r>
          </w:p>
        </w:tc>
      </w:tr>
      <w:tr>
        <w:tc>
          <w:tcPr>
            <w:shd w:val="clear" w:color="auto" w:fill="F4F1EC"/>
          </w:tcPr>
          <w:p>
            <w:pPr>
              <w:pStyle w:val="Compact"/>
              <w:spacing w:after="40" w:before="40"/>
              <w:jc w:val="left"/>
            </w:pPr>
            <w:r>
              <w:rPr>
                <w:rFonts w:ascii="Cambria" w:hAnsi="Cambria" w:cs="Cambria" w:eastAsia="Cambria"/>
                <w:color w:val="1A1A1A"/>
                <w:sz w:val="18"/>
              </w:rPr>
              <w:t xml:space="preserve">Riduzione dell’assenteismo per malattia a matrice psichica</w:t>
            </w:r>
          </w:p>
        </w:tc>
        <w:tc>
          <w:tcPr>
            <w:shd w:val="clear" w:color="auto" w:fill="F4F1EC"/>
          </w:tcPr>
          <w:p>
            <w:pPr>
              <w:pStyle w:val="Compact"/>
              <w:spacing w:after="40" w:before="40"/>
              <w:jc w:val="left"/>
            </w:pPr>
            <w:r>
              <w:rPr>
                <w:rFonts w:ascii="Cambria" w:hAnsi="Cambria" w:cs="Cambria" w:eastAsia="Cambria"/>
                <w:color w:val="1A1A1A"/>
                <w:sz w:val="18"/>
              </w:rPr>
              <w:t xml:space="preserve">~9</w:t>
            </w:r>
          </w:p>
        </w:tc>
        <w:tc>
          <w:tcPr>
            <w:shd w:val="clear" w:color="auto" w:fill="F4F1EC"/>
          </w:tcPr>
          <w:p>
            <w:pPr>
              <w:pStyle w:val="Compact"/>
              <w:spacing w:after="40" w:before="40"/>
              <w:jc w:val="left"/>
            </w:pPr>
            <w:r>
              <w:rPr>
                <w:rFonts w:ascii="Cambria" w:hAnsi="Cambria" w:cs="Cambria" w:eastAsia="Cambria"/>
                <w:color w:val="1A1A1A"/>
                <w:sz w:val="18"/>
              </w:rPr>
              <w:t xml:space="preserve">~14</w:t>
            </w:r>
          </w:p>
        </w:tc>
        <w:tc>
          <w:tcPr>
            <w:shd w:val="clear" w:color="auto" w:fill="F4F1EC"/>
          </w:tcPr>
          <w:p>
            <w:pPr>
              <w:pStyle w:val="Compact"/>
              <w:spacing w:after="40" w:before="40"/>
              <w:jc w:val="left"/>
            </w:pPr>
            <w:r>
              <w:rPr>
                <w:rFonts w:ascii="Cambria" w:hAnsi="Cambria" w:cs="Cambria" w:eastAsia="Cambria"/>
                <w:color w:val="1A1A1A"/>
                <w:sz w:val="18"/>
              </w:rPr>
              <w:t xml:space="preserve">~19</w:t>
            </w:r>
          </w:p>
        </w:tc>
      </w:tr>
      <w:tr>
        <w:tc>
          <w:tcPr/>
          <w:p>
            <w:pPr>
              <w:pStyle w:val="Compact"/>
              <w:spacing w:after="40" w:before="40"/>
              <w:jc w:val="left"/>
            </w:pPr>
            <w:r>
              <w:rPr>
                <w:rFonts w:ascii="Cambria" w:hAnsi="Cambria" w:cs="Cambria" w:eastAsia="Cambria"/>
                <w:color w:val="1A1A1A"/>
                <w:sz w:val="18"/>
              </w:rPr>
              <w:t xml:space="preserve">Riduzione delle malattie professionali e dei disturbi stress-correlati</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~4</w:t>
            </w:r>
          </w:p>
        </w:tc>
        <w:tc>
          <w:tcPr/>
          <w:p>
            <w:pPr>
              <w:pStyle w:val="Compact"/>
              <w:spacing w:after="40" w:before="40"/>
              <w:jc w:val="left"/>
            </w:pPr>
            <w:r>
              <w:rPr>
                <w:rFonts w:ascii="Cambria" w:hAnsi="Cambria" w:cs="Cambria" w:eastAsia="Cambria"/>
                <w:color w:val="1A1A1A"/>
                <w:sz w:val="18"/>
              </w:rPr>
              <w:t xml:space="preserve">~6</w:t>
            </w:r>
          </w:p>
        </w:tc>
      </w:tr>
      <w:tr>
        <w:tc>
          <w:tcPr>
            <w:shd w:val="clear" w:color="auto" w:fill="F4F1EC"/>
          </w:tcPr>
          <w:p>
            <w:pPr>
              <w:pStyle w:val="Compact"/>
              <w:spacing w:after="40" w:before="40"/>
              <w:jc w:val="left"/>
            </w:pPr>
            <w:r>
              <w:rPr>
                <w:rFonts w:ascii="Cambria" w:hAnsi="Cambria" w:cs="Cambria" w:eastAsia="Cambria"/>
                <w:color w:val="1A1A1A"/>
                <w:sz w:val="18"/>
              </w:rPr>
              <w:t xml:space="preserve">Beneficio lavorativo indiretto del dominio</w:t>
            </w:r>
          </w:p>
        </w:tc>
        <w:tc>
          <w:tcPr>
            <w:shd w:val="clear" w:color="auto" w:fill="F4F1EC"/>
          </w:tcPr>
          <w:p>
            <w:pPr>
              <w:pStyle w:val="Compact"/>
              <w:spacing w:after="40" w:before="40"/>
              <w:jc w:val="left"/>
            </w:pPr>
            <w:r>
              <w:rPr>
                <w:rFonts w:ascii="Cambria" w:hAnsi="Cambria" w:cs="Cambria" w:eastAsia="Cambria"/>
                <w:color w:val="1A1A1A"/>
                <w:sz w:val="18"/>
              </w:rPr>
              <w:t xml:space="preserve">~24</w:t>
            </w:r>
          </w:p>
        </w:tc>
        <w:tc>
          <w:tcPr>
            <w:shd w:val="clear" w:color="auto" w:fill="F4F1EC"/>
          </w:tcPr>
          <w:p>
            <w:pPr>
              <w:pStyle w:val="Compact"/>
              <w:spacing w:after="40" w:before="40"/>
              <w:jc w:val="left"/>
            </w:pPr>
            <w:r>
              <w:rPr>
                <w:rFonts w:ascii="Cambria" w:hAnsi="Cambria" w:cs="Cambria" w:eastAsia="Cambria"/>
                <w:color w:val="1A1A1A"/>
                <w:sz w:val="18"/>
              </w:rPr>
              <w:t xml:space="preserve">~38</w:t>
            </w:r>
          </w:p>
        </w:tc>
        <w:tc>
          <w:tcPr>
            <w:shd w:val="clear" w:color="auto" w:fill="F4F1EC"/>
          </w:tcPr>
          <w:p>
            <w:pPr>
              <w:pStyle w:val="Compact"/>
              <w:spacing w:after="40" w:before="40"/>
              <w:jc w:val="left"/>
            </w:pPr>
            <w:r>
              <w:rPr>
                <w:rFonts w:ascii="Cambria" w:hAnsi="Cambria" w:cs="Cambria" w:eastAsia="Cambria"/>
                <w:color w:val="1A1A1A"/>
                <w:sz w:val="18"/>
              </w:rPr>
              <w:t xml:space="preserve">~52</w:t>
            </w:r>
          </w:p>
        </w:tc>
      </w:tr>
    </w:tbl>
    <w:p>
      <w:pPr>
        <w:pStyle w:val="BodyText"/>
      </w:pPr>
      <w:r>
        <w:rPr>
          <w:i/>
          <w:iCs/>
        </w:rPr>
        <w:t xml:space="preserve">Tabella 9.2 — Stima prudenziale del beneficio del dominio lavorativo per scenario, secondo l’approccio del capitale umano. Le cifre sono bande prudenziali arrotondate; l’ultima riga è la somma delle tre componenti. Il valore è una grandezza sociale indiretta, distinta dai risparmi fiscali diretti della parte ottava e non sommabile con essi; coglie la sola produttività del lavoratore occupato, distinta dall’uscita dal lavoro del dominio pensionistico.</w:t>
      </w:r>
    </w:p>
    <w:p>
      <w:pPr>
        <w:pStyle w:val="BodyText"/>
      </w:pPr>
      <w:r>
        <w:t xml:space="preserve">Il beneficio lavorativo indiretto è dunque stimato in un ordine di grandezza compreso tra circa ventiquattro milioni di euro l’anno nello scenario conservativo e circa cinquantadue milioni nello scenario espansivo, con un valore intermedio dell’ordine di trentotto milioni. È, dei sedici domini, quello di maggiore consistenza, e la ragione risiede nella proporzione, già richiamata, per cui il costo del disagio psichico ricade sul sistema produttivo assai più che sul sistema sanitario: il valore della produttività conservata eccede largamente il risparmio sanitario diretto, perché la produttività è il terreno su cui il disagio psichico incide con maggiore peso. La preminenza della componente del presenteismo, in particolare, riflette un dato consolidato della letteratura, troppo spesso trascurato dalle valutazioni che si limitano all’assenteismo visibile: la perdita maggiore non è quella di chi si assenta, ma quella di chi resta al lavoro in condizioni di ridotta efficienza, e la sua riduzione è il contributo più cospicuo del dominio lavorativo.</w:t>
      </w:r>
    </w:p>
    <w:p>
      <w:pPr>
        <w:pStyle w:val="BodyText"/>
      </w:pPr>
      <w:r>
        <w:t xml:space="preserve">La stima va letta con due avvertenze che ne delimitano la portata. La prima riguarda l’approccio adottato: il valore qui esposto deriva dall’approccio del capitale umano, e sarebbe sensibilmente inferiore se si adottasse il metodo del costo per attrito, che conta la sola perdita del periodo di sostituzione del lavoratore; la scelta del primo approccio è dichiarata e coerente con l’obiettivo di cogliere il valore sociale complessivo, ma il lettore deve sapere che essa colloca la stima verso l’estremo superiore della forbice metodologica, e che una stima fondata sul costo per attrito sarebbe più contenuta. La seconda riguarda la non duplicazione: il valore qui esposto coglie la sola produttività del lavoratore che resta occupato, e non include in alcun punto il valore dell’uscita permanente dal lavoro, che il dominio pensionistico misurerà; la soglia tra i due domini è netta, e nessun euro è contato in entrambi.</w:t>
      </w:r>
    </w:p>
    <w:bookmarkEnd w:id="535"/>
    <w:bookmarkStart w:id="537" w:name="X2a553284ae5856e167a7ee5db7d290e79002975"/>
    <w:p>
      <w:pPr>
        <w:pStyle w:val="Heading2"/>
      </w:pPr>
      <w:r>
        <w:t xml:space="preserve">9.1.5 La graduazione, i confini e la non duplicazione del dominio lavorativo</w:t>
      </w:r>
    </w:p>
    <w:p>
      <w:pPr>
        <w:pStyle w:val="FirstParagraph"/>
      </w:pPr>
      <w:r>
        <w:t xml:space="preserve">La solidità della stima del dominio lavorativo va dichiarata con la consueta franchezza. L’anello clinico della catena è sostenuto da evidenza di qualità da moderata ad alta; l’anello funzionale-lavorativo, da evidenza coerente ma di qualità da moderata a bassa, in ragione della mediazione esercitata dalla natura del lavoro e dell’organizzazione; l’anello economico è, oltre che soggetto al caveat sulla traduzione del miglioramento in valore, dipendente dall’approccio metodologico adottato. La graduazione complessiva del dominio è intermedia, e si traduce in bande prudenziali la cui ampiezza riflette la duplice incertezza, sulla traduzione clinico-funzionale e sull’approccio metodologico.</w:t>
      </w:r>
      <w:r>
        <w:rPr>
          <w:rStyle w:val="FootnoteReference"/>
        </w:rPr>
        <w:footnoteReference w:id="250"/>
      </w:r>
      <w:r>
        <w:t xml:space="preserve"> </w:t>
      </w:r>
      <w:r>
        <w:t xml:space="preserve">Per questa ragione il valore del dominio, pur essendo il più cospicuo, è anche tra quelli la cui banda è più ampia, e la sua stima centrale va letta come il punto mediano di un intervallo esteso, non come una cifra puntuale.</w:t>
      </w:r>
    </w:p>
    <w:p>
      <w:pPr>
        <w:pStyle w:val="BodyText"/>
      </w:pPr>
      <w:r>
        <w:t xml:space="preserve">Da questa graduazione discendono i confini della stima e le sue regole di non duplicazione, che nel dominio lavorativo sono particolarmente rilevanti. In primo luogo, il beneficio lavorativo è una grandezza sociale indiretta, che si distribuisce sulle imprese e sulla collettività, e non è in alcun punto sommato ai risparmi fiscali diretti della parte ottava, che cadono sul bilancio sanitario regionale: il medesimo miglioramento clinico genera, distintamente, un risparmio sanitario e un recupero di produttività, e le due grandezze non sono mai sommate. In secondo luogo, il beneficio lavorativo coglie la sola produttività del lavoratore che resta occupato, e si arresta alla soglia dell’uscita permanente dal lavoro: il valore dell’uscita evitata — la pensione di invalidità non erogata, il pensionamento anticipato non avvenuto — è interamente attribuito al dominio pensionistico, e non figura in alcun punto nel dominio lavorativo, per evitare il doppio conteggio tra produttività conservata e uscita evitata. In terzo luogo, il valore qui esposto deriva dall’approccio del capitale umano, dichiarato e non combinato con il metodo del costo per attrito, di modo che la non sommabilità dei due approcci sia preservata.</w:t>
      </w:r>
    </w:p>
    <w:p>
      <w:pPr>
        <w:pStyle w:val="BodyText"/>
      </w:pPr>
      <w:r>
        <w:t xml:space="preserve">La verifica documentale del dominio lavorativo segue un’agenda precisa. Essa richiede l’acquisizione dei dati regionali sull’assenteismo per malattia a matrice psichica, disaggregati per causa e per durata, indispensabili per misurare la componente comprimibile dell’assenteismo; dei dati e degli strumenti di rilevazione del presenteismo, più difficili da ottenere perché non registrati dai sistemi amministrativi e desumibili solo da indagini dedicate, ma fondamentali data la preminenza di questa componente; e dei dati su scala regionale relativi alle malattie professionali e ai disturbi stress-correlati, desumibili dalle fonti assicurative. L’acquisizione di questi dati, prevista nella fase di consolidamento, consentirà di restringere l’ampia banda del beneficio lavorativo e di scegliere consapevolmente, sui dati regionali, tra l’approccio del capitale umano e quello del costo per attrito. Stabilito l’ordine di grandezza del dominio più cospicuo, la rinegoziazione può ora muovere verso il dominio a esso più strettamente connesso e da esso rigorosamente distinto, il dominio pensionistico.</w:t>
      </w:r>
    </w:p>
    <w:bookmarkEnd w:id="537"/>
    <w:bookmarkEnd w:id="538"/>
    <w:bookmarkStart w:id="548" w:name="il-dominio-pensionistico"/>
    <w:p>
      <w:pPr>
        <w:pStyle w:val="Heading2"/>
      </w:pPr>
      <w:r>
        <w:t xml:space="preserve">9.2 Il dominio pensionistico</w:t>
      </w:r>
    </w:p>
    <w:p>
      <w:pPr>
        <w:pStyle w:val="FirstParagraph"/>
      </w:pPr>
      <w:r>
        <w:rPr>
          <w:i/>
          <w:iCs/>
        </w:rPr>
        <w:t xml:space="preserve">Il secondo dominio del perimetro integrale è il pensionistico, strettamente connesso al lavorativo e da esso rigorosamente distinto. Mentre il dominio lavorativo misura la produttività conservata di chi resta occupato, il dominio pensionistico misura il valore dell’uscita permanente dal lavoro evitata o ritardata: le pensioni di inabilità e gli assegni di invalidità per cause psichiche non erogati o procrastinati, le prestazioni di invalidità civile per disturbi psichici contenute, il pensionamento anticipato per ragioni di salute mentale evitato. Il dominio coglie, in altri termini, ciò che il disagio psichico sottrae permanentemente alla forza lavoro, e che l’intercettazione precoce consente di trattenere; e lo coglie distintamente dalla perdita di produttività di breve periodo, che il dominio lavorativo ha già misurato, per non duplicare il valore. La voce ricostruisce il contesto dell’uscita dal lavoro per cause psichiche, ne isola i meccanismi, ne traccia la catena causale, ne stima il beneficio per scenario e ne dichiara la graduazione, i confini e la non sovrapposizione con i domini lavorativo e welfaristico.</w:t>
      </w:r>
    </w:p>
    <w:bookmarkStart w:id="541" w:name="Xb07143f7106d8fcf410bd82dcf0cebccab4d6cf"/>
    <w:p>
      <w:pPr>
        <w:pStyle w:val="Heading2"/>
      </w:pPr>
      <w:r>
        <w:t xml:space="preserve">9.2.1 Il contesto: l’uscita dal lavoro per cause psichiche</w:t>
      </w:r>
    </w:p>
    <w:p>
      <w:pPr>
        <w:pStyle w:val="FirstParagraph"/>
      </w:pPr>
      <w:r>
        <w:t xml:space="preserve">I disturbi mentali costituiscono, nelle economie avanzate, una delle prime cause di uscita anticipata e permanente dal mercato del lavoro, e la loro incidenza tra le cause di erogazione delle prestazioni di invalidità e di inabilità è elevata e in crescita, secondo quanto documentano le analisi comparate delle organizzazioni internazionali sui sistemi di sicurezza sociale.</w:t>
      </w:r>
      <w:r>
        <w:rPr>
          <w:rStyle w:val="FootnoteReference"/>
        </w:rPr>
        <w:footnoteReference w:id="251"/>
      </w:r>
      <w:r>
        <w:t xml:space="preserve"> </w:t>
      </w:r>
      <w:r>
        <w:t xml:space="preserve">L’uscita dal lavoro per cause psichiche presenta, rispetto ad altre cause, due caratteristiche che ne accrescono il peso economico: essa colpisce spesso lavoratori in età ancora produttiva, sottraendo alla forza lavoro anni di attività che altre cause, prevalenti in età più avanzata, non sottraggono; e tende a divenire permanente in assenza di un intervento precoce, perché il disturbo non trattato si cronicizza e compromette stabilmente la capacità lavorativa. La Puglia, segnata da un disagio comune diffuso e da una intercettazione carente, presenta un’incidenza significativa dell’uscita dal lavoro per cause psichiche, che la riforma può contenere nella sua componente prevenibile.</w:t>
      </w:r>
    </w:p>
    <w:p>
      <w:pPr>
        <w:pStyle w:val="BodyText"/>
      </w:pPr>
      <w:r>
        <w:t xml:space="preserve">L’uscita dal lavoro per cause psichiche si manifesta in tre forme principali, che corrispondono ai tre istituti attraverso cui essa si realizza. La prima è l’erogazione delle prestazioni previdenziali di inabilità e di invalidità — la pensione di inabilità e l’assegno ordinario di invalidità — per disturbi psichici che hanno compromesso la capacità lavorativa; è la forma di maggiore peso economico, per l’entità e la durata delle prestazioni. La seconda è l’erogazione delle prestazioni di invalidità civile per disturbi psichici, che riguarda anche soggetti non assicurati o con storia contributiva ridotta; è la forma di peso intermedio. La terza è il pensionamento anticipato per ragioni di salute mentale, ossia l’uscita dal lavoro prima dell’età ordinaria favorita dalla compromissione psichica; è la forma di peso minore ma di rilievo, perché sottrae anni di attività di lavoratori prossimi ma non giunti all’età della pensione. È la somma di queste tre forme che costituisce la grandezza di ancoraggio del dominio pensionistico.</w:t>
      </w:r>
      <w:r>
        <w:rPr>
          <w:rStyle w:val="FootnoteReference"/>
        </w:rPr>
        <w:footnoteReference w:id="252"/>
      </w:r>
    </w:p>
    <w:p>
      <w:pPr>
        <w:pStyle w:val="BodyText"/>
      </w:pPr>
      <w:r>
        <w:t xml:space="preserve">La connessione tra questa uscita e il primo livello psicologico opera attraverso la prevenzione della cronicizzazione che la rende permanente. Il disturbo comune intercettato e trattato precocemente ha minore probabilità di evolvere verso la compromissione stabile della capacità lavorativa che conduce all’invalidità e all’inabilità; il disturbo non intercettato, viceversa, segue una traiettoria di cronicizzazione che culmina nell’uscita dal lavoro. Lo Psicologo di Base, intercettando il disagio nelle cure primarie e prevenendone la cronicizzazione, agisce a monte dell’uscita dal lavoro, e il valore che ne deriva — l’uscita evitata o ritardata, con il mantenimento del lavoratore nella forza lavoro — è il beneficio che il dominio pensionistico misura. Tale beneficio si distribuisce sull’istituto previdenziale nazionale, che eroga minori prestazioni, sulla collettività, che conserva la contribuzione e la produzione del lavoratore mantenuto al lavoro, e sul lavoratore stesso, che conserva il reddito e la dignità del lavoro.</w:t>
      </w:r>
    </w:p>
    <w:bookmarkEnd w:id="541"/>
    <w:bookmarkStart w:id="542" w:name="X60ed362d5d26d1d7c25ba7b90dafeca74700eef"/>
    <w:p>
      <w:pPr>
        <w:pStyle w:val="Heading2"/>
      </w:pPr>
      <w:r>
        <w:t xml:space="preserve">9.2.2 I meccanismi: inabilità, invalidità, pensionamento anticipato</w:t>
      </w:r>
    </w:p>
    <w:p>
      <w:pPr>
        <w:pStyle w:val="FirstParagraph"/>
      </w:pPr>
      <w:r>
        <w:t xml:space="preserve">Il dominio pensionistico opera attraverso tre meccanismi, corrispondenti alle tre forme dell’uscita e accomunati dalla prevenzione della cronicizzazione che rende permanente l’uscita dal lavoro. Il primo meccanismo è la prevenzione e il ritardo dell’erogazione delle prestazioni previdenziali di inabilità e invalidità. L’intercettazione precoce, prevenendo la compromissione stabile della capacità lavorativa, riduce il numero dei lavoratori che accedono alla pensione di inabilità e all’assegno di invalidità per cause psichiche, e ritarda l’accesso di coloro per i quali esso non è del tutto evitabile; il valore che ne deriva è duplice, comprendendo le minori prestazioni erogate e la contribuzione e produzione conservate del lavoratore mantenuto al lavoro.</w:t>
      </w:r>
    </w:p>
    <w:p>
      <w:pPr>
        <w:pStyle w:val="BodyText"/>
      </w:pPr>
      <w:r>
        <w:t xml:space="preserve">Il secondo meccanismo è la riduzione delle prestazioni di invalidità civile per disturbi psichici, attraverso la prevenzione della compromissione che ne fonda il riconoscimento; esso opera anche sui soggetti con storia contributiva ridotta, e il valore che ne deriva è quello delle minori prestazioni assistenziali erogate. Il terzo meccanismo è la riduzione del pensionamento anticipato per ragioni di salute mentale, attraverso il mantenimento della capacità lavorativa che consente al lavoratore di proseguire l’attività fino all’età ordinaria; il valore che ne deriva è quello degli anni di attività conservati. I tre meccanismi convergono verso il medesimo esito — l’uscita permanente dal lavoro evitata o ritardata — e ne colgono componenti distinte, sommabili tra loro ma non con la produttività di breve periodo del dominio lavorativo né con le prestazioni assistenziali non previdenziali del dominio welfaristico.</w:t>
      </w:r>
    </w:p>
    <w:bookmarkEnd w:id="542"/>
    <w:bookmarkStart w:id="543" w:name="X1980dd26bc2238d24db6c8a581e1b60a8732d02"/>
    <w:p>
      <w:pPr>
        <w:pStyle w:val="Heading2"/>
      </w:pPr>
      <w:r>
        <w:t xml:space="preserve">9.2.3 La catena causale del beneficio pensionistico</w:t>
      </w:r>
    </w:p>
    <w:p>
      <w:pPr>
        <w:pStyle w:val="FirstParagraph"/>
      </w:pPr>
      <w:r>
        <w:t xml:space="preserve">La formazione del beneficio pensionistico segue una catena causale a più anelli, con la regola consueta. Il primo anello è clinico-preventivo: l’intercettazione e il trattamento precoce del disturbo comune prevengono la cronicizzazione e la compromissione stabile della capacità lavorativa. Questo anello è sostenuto da evidenza di qualità da moderata ad alta per l’efficacia clinica, ma da evidenza di qualità più variabile per la specifica capacità dell’intervento precoce di prevenire l’esito invalidante, che dipende dalla gravità del disturbo e dalla tempestività dell’intervento. Il secondo anello è funzionale-previdenziale: la prevenzione della compromissione si traduce in minore accesso alle prestazioni di inabilità, invalidità e pensionamento anticipato. Questo anello è sostenuto da evidenza coerente ma di qualità da moderata a bassa, perché la traduzione del miglioramento clinico in mantenimento al lavoro dipende da fattori previdenziali, occupazionali e individuali che la mediano.</w:t>
      </w:r>
    </w:p>
    <w:p>
      <w:pPr>
        <w:pStyle w:val="BodyText"/>
      </w:pPr>
      <w:r>
        <w:t xml:space="preserve">Il terzo anello è economico: il minore accesso alle prestazioni e il mantenimento al lavoro si traducono in valore economico per l’istituto previdenziale, per la collettività e per il lavoratore. Questo anello presenta una specificità: il valore comprende sia una componente di minore spesa — le prestazioni non erogate — sia una componente di produzione e contribuzione conservate, e la sua quantificazione richiede di sommare le due componenti senza duplicarle e senza sovrapporle alla produttività di breve periodo del dominio lavorativo. La graduazione complessiva del beneficio pensionistico è quella del suo anello funzionale-previdenziale, da intermedia a bassa, in ragione della maggiore lunghezza e incertezza della catena che conduce dalla prevenzione clinica all’esito invalidante evitato; e si traduce in bande prudenziali ampie. La catena è governata fin dall’origine dalla regola di non duplicazione: essa coglie la sola uscita permanente evitata, distinta dalla produttività di breve periodo del dominio lavorativo, e le sole prestazioni previdenziali, distinte da quelle assistenziali non previdenziali del dominio welfaristico.</w:t>
      </w:r>
    </w:p>
    <w:bookmarkEnd w:id="543"/>
    <w:bookmarkStart w:id="544" w:name="X8baa69c3aaf22d08898aaabf7281e3c017eacc6"/>
    <w:p>
      <w:pPr>
        <w:pStyle w:val="Heading2"/>
      </w:pPr>
      <w:r>
        <w:t xml:space="preserve">9.2.4 La quantificazione del dominio pensionistico</w:t>
      </w:r>
    </w:p>
    <w:p>
      <w:pPr>
        <w:pStyle w:val="FirstParagraph"/>
      </w:pPr>
      <w:r>
        <w:t xml:space="preserve">La quantificazione del dominio pensionistico procede secondo il metodo in cinque passaggi, applicato alle tre forme dell’uscita dal lavoro. La tabella che segue ricostruisce, sui dati pubblici disponibili, le tre forme e i margini su cui il dominio opera.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Forma dell’uscita dal lavoro</w:t>
            </w:r>
          </w:p>
        </w:tc>
        <w:tc>
          <w:tcPr>
            <w:shd w:val="clear" w:color="auto" w:fill="16264B"/>
          </w:tcPr>
          <w:p>
            <w:pPr>
              <w:pStyle w:val="Compact"/>
              <w:spacing w:after="40" w:before="40"/>
              <w:jc w:val="left"/>
            </w:pPr>
            <w:r>
              <w:rPr>
                <w:rFonts w:ascii="Cambria" w:hAnsi="Cambria" w:cs="Cambria" w:eastAsia="Cambria"/>
                <w:b/>
                <w:bCs/>
                <w:color w:val="FFFFFF"/>
                <w:sz w:val="18"/>
              </w:rPr>
              <w:t xml:space="preserve">Grandezza di ancoraggio</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prevenibile dal primo livello psicologico</w:t>
            </w:r>
          </w:p>
        </w:tc>
      </w:tr>
      <w:tr>
        <w:tc>
          <w:tcPr/>
          <w:p>
            <w:pPr>
              <w:pStyle w:val="Compact"/>
              <w:spacing w:after="40" w:before="40"/>
              <w:jc w:val="left"/>
            </w:pPr>
            <w:r>
              <w:rPr>
                <w:rFonts w:ascii="Cambria" w:hAnsi="Cambria" w:cs="Cambria" w:eastAsia="Cambria"/>
                <w:color w:val="1A1A1A"/>
                <w:sz w:val="18"/>
              </w:rPr>
              <w:t xml:space="preserve">Pensioni di inabilità e assegni di invalidità per cause psichiche</w:t>
            </w:r>
          </w:p>
        </w:tc>
        <w:tc>
          <w:tcPr/>
          <w:p>
            <w:pPr>
              <w:pStyle w:val="Compact"/>
              <w:spacing w:after="40" w:before="40"/>
              <w:jc w:val="left"/>
            </w:pPr>
            <w:r>
              <w:rPr>
                <w:rFonts w:ascii="Cambria" w:hAnsi="Cambria" w:cs="Cambria" w:eastAsia="Cambria"/>
                <w:color w:val="1A1A1A"/>
                <w:sz w:val="18"/>
              </w:rPr>
              <w:t xml:space="preserve">prestazioni previdenziali erogate per compromissione psichica della capacità lavorativa</w:t>
            </w:r>
          </w:p>
        </w:tc>
        <w:tc>
          <w:tcPr/>
          <w:p>
            <w:pPr>
              <w:pStyle w:val="Compact"/>
              <w:spacing w:after="40" w:before="40"/>
              <w:jc w:val="left"/>
            </w:pPr>
            <w:r>
              <w:rPr>
                <w:rFonts w:ascii="Cambria" w:hAnsi="Cambria" w:cs="Cambria" w:eastAsia="Cambria"/>
                <w:color w:val="1A1A1A"/>
                <w:sz w:val="18"/>
              </w:rPr>
              <w:t xml:space="preserve">la quota prevenibile o ritardabile dall’intercettazione precoce</w:t>
            </w:r>
          </w:p>
        </w:tc>
      </w:tr>
      <w:tr>
        <w:tc>
          <w:tcPr>
            <w:shd w:val="clear" w:color="auto" w:fill="F4F1EC"/>
          </w:tcPr>
          <w:p>
            <w:pPr>
              <w:pStyle w:val="Compact"/>
              <w:spacing w:after="40" w:before="40"/>
              <w:jc w:val="left"/>
            </w:pPr>
            <w:r>
              <w:rPr>
                <w:rFonts w:ascii="Cambria" w:hAnsi="Cambria" w:cs="Cambria" w:eastAsia="Cambria"/>
                <w:color w:val="1A1A1A"/>
                <w:sz w:val="18"/>
              </w:rPr>
              <w:t xml:space="preserve">Prestazioni di invalidità civile per disturbi psichici</w:t>
            </w:r>
          </w:p>
        </w:tc>
        <w:tc>
          <w:tcPr>
            <w:shd w:val="clear" w:color="auto" w:fill="F4F1EC"/>
          </w:tcPr>
          <w:p>
            <w:pPr>
              <w:pStyle w:val="Compact"/>
              <w:spacing w:after="40" w:before="40"/>
              <w:jc w:val="left"/>
            </w:pPr>
            <w:r>
              <w:rPr>
                <w:rFonts w:ascii="Cambria" w:hAnsi="Cambria" w:cs="Cambria" w:eastAsia="Cambria"/>
                <w:color w:val="1A1A1A"/>
                <w:sz w:val="18"/>
              </w:rPr>
              <w:t xml:space="preserve">prestazioni assistenziali per invalidità psichica riconosciuta</w:t>
            </w:r>
          </w:p>
        </w:tc>
        <w:tc>
          <w:tcPr>
            <w:shd w:val="clear" w:color="auto" w:fill="F4F1EC"/>
          </w:tcPr>
          <w:p>
            <w:pPr>
              <w:pStyle w:val="Compact"/>
              <w:spacing w:after="40" w:before="40"/>
              <w:jc w:val="left"/>
            </w:pPr>
            <w:r>
              <w:rPr>
                <w:rFonts w:ascii="Cambria" w:hAnsi="Cambria" w:cs="Cambria" w:eastAsia="Cambria"/>
                <w:color w:val="1A1A1A"/>
                <w:sz w:val="18"/>
              </w:rPr>
              <w:t xml:space="preserve">la quota prevenibile dalla prevenzione della compromissione</w:t>
            </w:r>
          </w:p>
        </w:tc>
      </w:tr>
      <w:tr>
        <w:tc>
          <w:tcPr/>
          <w:p>
            <w:pPr>
              <w:pStyle w:val="Compact"/>
              <w:spacing w:after="40" w:before="40"/>
              <w:jc w:val="left"/>
            </w:pPr>
            <w:r>
              <w:rPr>
                <w:rFonts w:ascii="Cambria" w:hAnsi="Cambria" w:cs="Cambria" w:eastAsia="Cambria"/>
                <w:color w:val="1A1A1A"/>
                <w:sz w:val="18"/>
              </w:rPr>
              <w:t xml:space="preserve">Pensionamento anticipato per ragioni di salute mentale</w:t>
            </w:r>
          </w:p>
        </w:tc>
        <w:tc>
          <w:tcPr/>
          <w:p>
            <w:pPr>
              <w:pStyle w:val="Compact"/>
              <w:spacing w:after="40" w:before="40"/>
              <w:jc w:val="left"/>
            </w:pPr>
            <w:r>
              <w:rPr>
                <w:rFonts w:ascii="Cambria" w:hAnsi="Cambria" w:cs="Cambria" w:eastAsia="Cambria"/>
                <w:color w:val="1A1A1A"/>
                <w:sz w:val="18"/>
              </w:rPr>
              <w:t xml:space="preserve">anni di attività perduti per uscita precoce a matrice psichica</w:t>
            </w:r>
          </w:p>
        </w:tc>
        <w:tc>
          <w:tcPr/>
          <w:p>
            <w:pPr>
              <w:pStyle w:val="Compact"/>
              <w:spacing w:after="40" w:before="40"/>
              <w:jc w:val="left"/>
            </w:pPr>
            <w:r>
              <w:rPr>
                <w:rFonts w:ascii="Cambria" w:hAnsi="Cambria" w:cs="Cambria" w:eastAsia="Cambria"/>
                <w:color w:val="1A1A1A"/>
                <w:sz w:val="18"/>
              </w:rPr>
              <w:t xml:space="preserve">la quota evitabile dal mantenimento della capacità lavorativa</w:t>
            </w:r>
          </w:p>
        </w:tc>
      </w:tr>
    </w:tbl>
    <w:p>
      <w:pPr>
        <w:pStyle w:val="BodyText"/>
      </w:pPr>
      <w:r>
        <w:rPr>
          <w:i/>
          <w:iCs/>
        </w:rPr>
        <w:t xml:space="preserve">Tabella 9.3 — Le forme dell’uscita dal lavoro per cause psichiche e i margini di prevenzione. Le grandezze sono ricostruite sulle fonti pubbliche nazionali e internazionali (analisi comparate dei sistemi di sicurezza sociale, dati previdenziali) e saranno sostituite dai dati certificati regionali non appena acquisiti; le componenti prevenibili riguardano la sola quota a matrice psichica intercettabile precocemente.</w:t>
      </w:r>
    </w:p>
    <w:p>
      <w:pPr>
        <w:pStyle w:val="BodyText"/>
      </w:pPr>
      <w:r>
        <w:t xml:space="preserve">Sulla base di questo quadro, la stima del beneficio pensionistico è articolata nelle tre componenti corrispondenti alle tre forme dell’uscita, e per ciascuno dei tre scenari di copertura. La componente delle prestazioni di invalidità civile costituisce, per la sua diffusione, la quota maggiore del beneficio; la componente delle pensioni di inabilità e degli assegni di invalidità previdenziali costituisce la quota intermedia, di elevato valore unitario ma minore diffusione; la componente del pensionamento anticipato costituisce la quota minore. La tabella che segue espone la stima per componente e per scenario.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beneficio pensionistico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Riduzione delle prestazioni di invalidità civile per disturbi psichici</w:t>
            </w:r>
          </w:p>
        </w:tc>
        <w:tc>
          <w:tcPr/>
          <w:p>
            <w:pPr>
              <w:pStyle w:val="Compact"/>
              <w:spacing w:after="40" w:before="40"/>
              <w:jc w:val="left"/>
            </w:pPr>
            <w:r>
              <w:rPr>
                <w:rFonts w:ascii="Cambria" w:hAnsi="Cambria" w:cs="Cambria" w:eastAsia="Cambria"/>
                <w:color w:val="1A1A1A"/>
                <w:sz w:val="18"/>
              </w:rPr>
              <w:t xml:space="preserve">~4</w:t>
            </w:r>
          </w:p>
        </w:tc>
        <w:tc>
          <w:tcPr/>
          <w:p>
            <w:pPr>
              <w:pStyle w:val="Compact"/>
              <w:spacing w:after="40" w:before="40"/>
              <w:jc w:val="left"/>
            </w:pPr>
            <w:r>
              <w:rPr>
                <w:rFonts w:ascii="Cambria" w:hAnsi="Cambria" w:cs="Cambria" w:eastAsia="Cambria"/>
                <w:color w:val="1A1A1A"/>
                <w:sz w:val="18"/>
              </w:rPr>
              <w:t xml:space="preserve">~7</w:t>
            </w:r>
          </w:p>
        </w:tc>
        <w:tc>
          <w:tcPr/>
          <w:p>
            <w:pPr>
              <w:pStyle w:val="Compact"/>
              <w:spacing w:after="40" w:before="40"/>
              <w:jc w:val="left"/>
            </w:pPr>
            <w:r>
              <w:rPr>
                <w:rFonts w:ascii="Cambria" w:hAnsi="Cambria" w:cs="Cambria" w:eastAsia="Cambria"/>
                <w:color w:val="1A1A1A"/>
                <w:sz w:val="18"/>
              </w:rPr>
              <w:t xml:space="preserve">~10</w:t>
            </w:r>
          </w:p>
        </w:tc>
      </w:tr>
      <w:tr>
        <w:tc>
          <w:tcPr>
            <w:shd w:val="clear" w:color="auto" w:fill="F4F1EC"/>
          </w:tcPr>
          <w:p>
            <w:pPr>
              <w:pStyle w:val="Compact"/>
              <w:spacing w:after="40" w:before="40"/>
              <w:jc w:val="left"/>
            </w:pPr>
            <w:r>
              <w:rPr>
                <w:rFonts w:ascii="Cambria" w:hAnsi="Cambria" w:cs="Cambria" w:eastAsia="Cambria"/>
                <w:color w:val="1A1A1A"/>
                <w:sz w:val="18"/>
              </w:rPr>
              <w:t xml:space="preserve">Prevenzione e ritardo delle pensioni di inabilità e invalidità previdenziali</w:t>
            </w:r>
          </w:p>
        </w:tc>
        <w:tc>
          <w:tcPr>
            <w:shd w:val="clear" w:color="auto" w:fill="F4F1EC"/>
          </w:tcPr>
          <w:p>
            <w:pPr>
              <w:pStyle w:val="Compact"/>
              <w:spacing w:after="40" w:before="40"/>
              <w:jc w:val="left"/>
            </w:pPr>
            <w:r>
              <w:rPr>
                <w:rFonts w:ascii="Cambria" w:hAnsi="Cambria" w:cs="Cambria" w:eastAsia="Cambria"/>
                <w:color w:val="1A1A1A"/>
                <w:sz w:val="18"/>
              </w:rPr>
              <w:t xml:space="preserve">~4</w:t>
            </w:r>
          </w:p>
        </w:tc>
        <w:tc>
          <w:tcPr>
            <w:shd w:val="clear" w:color="auto" w:fill="F4F1EC"/>
          </w:tcPr>
          <w:p>
            <w:pPr>
              <w:pStyle w:val="Compact"/>
              <w:spacing w:after="40" w:before="40"/>
              <w:jc w:val="left"/>
            </w:pPr>
            <w:r>
              <w:rPr>
                <w:rFonts w:ascii="Cambria" w:hAnsi="Cambria" w:cs="Cambria" w:eastAsia="Cambria"/>
                <w:color w:val="1A1A1A"/>
                <w:sz w:val="18"/>
              </w:rPr>
              <w:t xml:space="preserve">~6</w:t>
            </w:r>
          </w:p>
        </w:tc>
        <w:tc>
          <w:tcPr>
            <w:shd w:val="clear" w:color="auto" w:fill="F4F1EC"/>
          </w:tcPr>
          <w:p>
            <w:pPr>
              <w:pStyle w:val="Compact"/>
              <w:spacing w:after="40" w:before="40"/>
              <w:jc w:val="left"/>
            </w:pPr>
            <w:r>
              <w:rPr>
                <w:rFonts w:ascii="Cambria" w:hAnsi="Cambria" w:cs="Cambria" w:eastAsia="Cambria"/>
                <w:color w:val="1A1A1A"/>
                <w:sz w:val="18"/>
              </w:rPr>
              <w:t xml:space="preserve">~8</w:t>
            </w:r>
          </w:p>
        </w:tc>
      </w:tr>
      <w:tr>
        <w:tc>
          <w:tcPr/>
          <w:p>
            <w:pPr>
              <w:pStyle w:val="Compact"/>
              <w:spacing w:after="40" w:before="40"/>
              <w:jc w:val="left"/>
            </w:pPr>
            <w:r>
              <w:rPr>
                <w:rFonts w:ascii="Cambria" w:hAnsi="Cambria" w:cs="Cambria" w:eastAsia="Cambria"/>
                <w:color w:val="1A1A1A"/>
                <w:sz w:val="18"/>
              </w:rPr>
              <w:t xml:space="preserve">Riduzione del pensionamento anticipato per ragioni di salute mentale</w:t>
            </w:r>
          </w:p>
        </w:tc>
        <w:tc>
          <w:tcPr/>
          <w:p>
            <w:pPr>
              <w:pStyle w:val="Compact"/>
              <w:spacing w:after="40" w:before="40"/>
              <w:jc w:val="left"/>
            </w:pPr>
            <w:r>
              <w:rPr>
                <w:rFonts w:ascii="Cambria" w:hAnsi="Cambria" w:cs="Cambria" w:eastAsia="Cambria"/>
                <w:color w:val="1A1A1A"/>
                <w:sz w:val="18"/>
              </w:rPr>
              <w:t xml:space="preserve">~2</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~4</w:t>
            </w:r>
          </w:p>
        </w:tc>
      </w:tr>
      <w:tr>
        <w:tc>
          <w:tcPr>
            <w:shd w:val="clear" w:color="auto" w:fill="F4F1EC"/>
          </w:tcPr>
          <w:p>
            <w:pPr>
              <w:pStyle w:val="Compact"/>
              <w:spacing w:after="40" w:before="40"/>
              <w:jc w:val="left"/>
            </w:pPr>
            <w:r>
              <w:rPr>
                <w:rFonts w:ascii="Cambria" w:hAnsi="Cambria" w:cs="Cambria" w:eastAsia="Cambria"/>
                <w:color w:val="1A1A1A"/>
                <w:sz w:val="18"/>
              </w:rPr>
              <w:t xml:space="preserve">Beneficio pensionistico indiretto del dominio</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~16</w:t>
            </w:r>
          </w:p>
        </w:tc>
        <w:tc>
          <w:tcPr>
            <w:shd w:val="clear" w:color="auto" w:fill="F4F1EC"/>
          </w:tcPr>
          <w:p>
            <w:pPr>
              <w:pStyle w:val="Compact"/>
              <w:spacing w:after="40" w:before="40"/>
              <w:jc w:val="left"/>
            </w:pPr>
            <w:r>
              <w:rPr>
                <w:rFonts w:ascii="Cambria" w:hAnsi="Cambria" w:cs="Cambria" w:eastAsia="Cambria"/>
                <w:color w:val="1A1A1A"/>
                <w:sz w:val="18"/>
              </w:rPr>
              <w:t xml:space="preserve">~22</w:t>
            </w:r>
          </w:p>
        </w:tc>
      </w:tr>
    </w:tbl>
    <w:p>
      <w:pPr>
        <w:pStyle w:val="BodyText"/>
      </w:pPr>
      <w:r>
        <w:rPr>
          <w:i/>
          <w:iCs/>
        </w:rPr>
        <w:t xml:space="preserve">Tabella 9.4 — Stima prudenziale del beneficio del dominio pensionistico per scenario. Le cifre sono bande prudenziali arrotondate e comprendono sia le prestazioni non erogate sia la produzione e contribuzione conservate; l’ultima riga è la somma delle tre componenti. Il valore è una grandezza sociale indiretta, che grava in prevalenza sull’istituto previdenziale nazionale, distinta dai risparmi sanitari diretti, dalla produttività di breve periodo del dominio lavorativo e dalle prestazioni assistenziali del dominio welfaristico.</w:t>
      </w:r>
    </w:p>
    <w:p>
      <w:pPr>
        <w:pStyle w:val="BodyText"/>
      </w:pPr>
      <w:r>
        <w:t xml:space="preserve">Il beneficio pensionistico indiretto è dunque stimato in un ordine di grandezza compreso tra circa dieci milioni di euro l’anno nello scenario conservativo e circa ventidue milioni nello scenario espansivo, con un valore intermedio dell’ordine di sedici milioni. La cifra rappresenta una frazione contenuta dell’onere previdenziale e assistenziale complessivo per cause psichiche, coerente con la natura del margine, che non è l’azzeramento dell’uscita dal lavoro — gran parte della quale risponde a disturbi gravi non prevenibili dal solo primo livello psicologico — ma la prevenzione della sola quota di compromissione evitabile attraverso l’intercettazione precoce del disagio comune. La prudenza della stima riflette, oltre all’incertezza generale, la lunghezza particolare della catena causale che conduce dalla prevenzione clinica all’esito invalidante evitato, e la difficoltà di attribuire al solo intervento precoce un esito, l’invalidità, determinato da una pluralità di fattori.</w:t>
      </w:r>
    </w:p>
    <w:p>
      <w:pPr>
        <w:pStyle w:val="BodyText"/>
      </w:pPr>
      <w:r>
        <w:t xml:space="preserve">Una precisazione è necessaria sulla natura fiscale e sociale del beneficio pensionistico, perché esso si colloca al confine tra le due categorie. Una parte del beneficio — le minori prestazioni previdenziali e assistenziali erogate — ha natura fiscale, ma grava sul bilancio dell’istituto previdenziale nazionale e dello Stato, non sul bilancio sanitario regionale; per questa ragione esso è trattato in questa parte tra le grandezze indirette, e non nella parte ottava tra i risparmi diretti, che riguardano il solo bilancio sanitario regionale. Un’altra parte del beneficio — la produzione e la contribuzione conservate del lavoratore mantenuto al lavoro — ha natura propriamente economico-sociale. La collocazione dell’intero beneficio pensionistico tra le grandezze indirette è dunque corretta sotto il profilo del bilancio su cui esso incide, e ne ribadisce la distinzione dai risparmi sanitari diretti; ma essa richiede, all’interno della parte nona, la cura di non duplicare la componente di produzione conservata con il dominio lavorativo, distinzione che la soglia tra produttività di breve periodo e uscita permanente garantisce.</w:t>
      </w:r>
    </w:p>
    <w:bookmarkEnd w:id="544"/>
    <w:bookmarkStart w:id="547" w:name="X41da93cc091b8eaed92f5dbad2a8c08f3101492"/>
    <w:p>
      <w:pPr>
        <w:pStyle w:val="Heading2"/>
      </w:pPr>
      <w:r>
        <w:t xml:space="preserve">9.2.5 La graduazione, i confini e la non duplicazione del dominio pensionistico</w:t>
      </w:r>
    </w:p>
    <w:p>
      <w:pPr>
        <w:pStyle w:val="FirstParagraph"/>
      </w:pPr>
      <w:r>
        <w:t xml:space="preserve">La solidità della stima del dominio pensionistico va dichiarata. L’anello clinico-preventivo è sostenuto da evidenza di qualità da moderata ad alta per l’efficacia clinica, ma da evidenza più variabile per la specifica prevenzione dell’esito invalidante; l’anello funzionale-previdenziale, da evidenza coerente ma di qualità da moderata a bassa; l’anello economico è soggetto alla difficoltà di attribuire al solo intervento precoce un esito multifattoriale. La graduazione complessiva del dominio è da intermedia a bassa, inferiore a quella del dominio lavorativo, in ragione della maggiore lunghezza e incertezza della catena causale; e si traduce in bande prudenziali ampie.</w:t>
      </w:r>
      <w:r>
        <w:rPr>
          <w:rStyle w:val="FootnoteReference"/>
        </w:rPr>
        <w:footnoteReference w:id="253"/>
      </w:r>
      <w:r>
        <w:t xml:space="preserve"> </w:t>
      </w:r>
      <w:r>
        <w:t xml:space="preserve">La stima centrale del dominio va dunque letta come il punto mediano di un intervallo esteso, e la sua prudenza è accentuata rispetto a quella del dominio lavorativo.</w:t>
      </w:r>
    </w:p>
    <w:p>
      <w:pPr>
        <w:pStyle w:val="BodyText"/>
      </w:pPr>
      <w:r>
        <w:t xml:space="preserve">Da questa graduazione discendono i confini e le regole di non duplicazione del dominio pensionistico, particolarmente importanti per la sua posizione tra i domini contigui. In primo luogo, il beneficio pensionistico è una grandezza sociale indiretta, che grava in prevalenza sull’istituto previdenziale nazionale e che comprende una componente di produzione conservata, e non è in alcun punto sommato ai risparmi sanitari diretti della parte ottava. In secondo luogo, esso coglie la sola uscita permanente dal lavoro evitata, e non include in alcun punto la produttività di breve periodo del lavoratore che resta occupato, già attribuita al dominio lavorativo: la soglia tra produttività conservata e uscita evitata separa nettamente i due domini, e nessun euro è contato in entrambi. In terzo luogo, esso coglie le sole prestazioni previdenziali — inabilità, invalidità previdenziale, invalidità civile — e non include le prestazioni assistenziali non previdenziali, quali le indennità e i sussidi assistenziali, che il dominio welfaristico misurerà; la distinzione tra prestazioni previdenziali e assistenziali separa nettamente i due domini.</w:t>
      </w:r>
      <w:r>
        <w:rPr>
          <w:rStyle w:val="FootnoteReference"/>
        </w:rPr>
        <w:footnoteReference w:id="254"/>
      </w:r>
    </w:p>
    <w:p>
      <w:pPr>
        <w:pStyle w:val="BodyText"/>
      </w:pPr>
      <w:r>
        <w:t xml:space="preserve">La verifica documentale del dominio pensionistico segue un’agenda precisa. Essa richiede l’acquisizione dei dati regionali sulle prestazioni di inabilità, invalidità previdenziale e invalidità civile erogate per cause psichiche, disaggregati per causa e per età del beneficiario, indispensabili per misurare la componente prevenibile; dei dati sul pensionamento anticipato per ragioni di salute, più difficili da isolare; e dei parametri sulla capacità dell’intervento precoce di prevenire l’esito invalidante, desumibili dalla letteratura e dai progetti pilota, indispensabili per applicare il parametro di effetto. L’acquisizione di questi dati, prevista nella fase di consolidamento, consentirà di restringere l’ampia banda del beneficio pensionistico e di precisarne la stima. Stabiliti i primi due domini, il lavorativo e il pensionistico, rigorosamente distinti tra produttività conservata e uscita evitata, la rinegoziazione può ora muovere verso il terzo dominio, il produttivistico, che offre la lente macroeconomica dell’output e che è trattato, per la sua sovrapposizione con i due precedenti, come sintesi che integra senza duplicare.</w:t>
      </w:r>
    </w:p>
    <w:bookmarkEnd w:id="547"/>
    <w:bookmarkEnd w:id="548"/>
    <w:bookmarkStart w:id="557" w:name="il-dominio-produttivistico"/>
    <w:p>
      <w:pPr>
        <w:pStyle w:val="Heading2"/>
      </w:pPr>
      <w:r>
        <w:t xml:space="preserve">9.3 Il dominio produttivistico</w:t>
      </w:r>
    </w:p>
    <w:p>
      <w:pPr>
        <w:pStyle w:val="FirstParagraph"/>
      </w:pPr>
      <w:r>
        <w:rPr>
          <w:i/>
          <w:iCs/>
        </w:rPr>
        <w:t xml:space="preserve">Il terzo dominio del perimetro integrale è il produttivistico, e occupa nella rinegoziazione una posizione particolare, che ne condiziona il trattamento. A differenza dei domini lavorativo e pensionistico, che misurano componenti specifiche e additive del valore economico, il dominio produttivistico offre la lente macroeconomica complessiva dell’output: esso guarda al prodotto che il disagio psichico sottrae alla collettività nel suo insieme, considerato come perdita aggregata di capacità produttiva. Questa prospettiva macroeconomica si sovrappone, in larga misura, alle prospettive specifiche dei due domini precedenti, perché la perdita di output aggregata comprende, tra le sue componenti, sia la minore produttività del lavoratore occupato sia l’uscita permanente dal lavoro. Per questa ragione il dominio produttivistico è trattato, in coerenza con la regola di non duplicazione, non come addendo che si somma ai due precedenti, ma come sintesi che li integra senza aggiungere, e che conta esclusivamente la componente residua di output perduto non già attribuita ad altri domini: la mortalità prematura a matrice psichica e il deterioramento del capitale umano di lungo periodo. La voce ricostruisce il contesto della perdita di output, ne isola i meccanismi residui, ne traccia la catena causale, ne stima la componente residua per scenario e ne dichiara, con particolare rigore, i confini e la non sovrapposizione con i domini lavorativo e pensionistico.</w:t>
      </w:r>
    </w:p>
    <w:bookmarkStart w:id="549" w:name="Xf6be00118723db95dd7d7df17e835d75dcb6736"/>
    <w:p>
      <w:pPr>
        <w:pStyle w:val="Heading2"/>
      </w:pPr>
      <w:r>
        <w:t xml:space="preserve">9.3.1 Il contesto: la perdita di output e la sua scomposizione</w:t>
      </w:r>
    </w:p>
    <w:p>
      <w:pPr>
        <w:pStyle w:val="FirstParagraph"/>
      </w:pPr>
      <w:r>
        <w:t xml:space="preserve">La perdita di output che il disagio psichico impone alle economie avanzate è, nel suo aggregato, di entità considerevole, e costituisce la maggiore tra le componenti del costo economico complessivo dei disturbi mentali, superiore alla spesa sanitaria diretta. Questa perdita aggregata, tuttavia, non è una grandezza autonoma e aggiuntiva rispetto alle componenti già esaminate: essa è, al contrario, la somma di componenti che i domini lavorativo e pensionistico hanno già colto distintamente. La minore produttività del lavoratore occupato — l’assenteismo e il presenteismo — è una componente della perdita di output, ed è stata attribuita al dominio lavorativo. L’uscita permanente dal lavoro — l’invalidità, l’inabilità, il pensionamento anticipato — è un’altra componente della perdita di output, ed è stata attribuita al dominio pensionistico. Sommare l’intera perdita di output aggregata alle componenti già attribuite significherebbe contare due, e in parte tre volte, il medesimo valore.</w:t>
      </w:r>
    </w:p>
    <w:p>
      <w:pPr>
        <w:pStyle w:val="BodyText"/>
      </w:pPr>
      <w:r>
        <w:t xml:space="preserve">La scomposizione della perdita di output consente di isolare la sola componente residua, non ancora attribuita ad alcun dominio, che il dominio produttivistico può legittimamente quantificare senza duplicazione. Questa componente residua è duplice. La prima parte è costituita dalla mortalità prematura a matrice psichica: il valore della produzione perduta a causa della morte anticipata di persone in età produttiva per suicidio e per l’eccesso di mortalità associato ai disturbi mentali non trattati, che riduce la mortalità per cause somatiche concomitanti. Questa perdita non è colta né dal dominio lavorativo, che riguarda i vivi occupati, né dal dominio pensionistico, che riguarda gli usciti dal lavoro ma viventi, e costituisce dunque una componente genuinamente residua. La seconda parte è costituita dal deterioramento del capitale umano di lungo periodo: la perdita di competenze, di esperienza e di traiettorie professionali che il disagio prolungato determina al di là della singola assenza o uscita, e che la presa in carico precoce previene; anche questa componente, di natura dinamica e di lungo periodo, eccede la fotografia di breve periodo del dominio lavorativo e la soglia dell’uscita del dominio pensionistico.</w:t>
      </w:r>
    </w:p>
    <w:p>
      <w:pPr>
        <w:pStyle w:val="BodyText"/>
      </w:pPr>
      <w:r>
        <w:t xml:space="preserve">La connessione tra questa componente residua e il primo livello psicologico opera, per la mortalità prematura, attraverso l’intercettazione precoce del disagio che riduce il rischio degli esiti più gravi, e, per il capitale umano, attraverso la prevenzione del deterioramento prolungato delle competenze e delle traiettorie. Lo Psicologo di Base, intercettando il disagio nelle cure primarie, agisce a monte di entrambi gli esiti residui; e il valore che ne deriva — la produzione conservata di chi non muore prematuramente e la competenza conservata di chi non subisce il deterioramento di lungo periodo — è la sola componente che il dominio produttivistico aggiunge ai domini precedenti. Tale componente, per la natura residuale che la definisce, è di entità contenuta rispetto all’aggregato della perdita di output, gran parte del quale è già stata attribuita ai domini lavorativo e pensionistico.</w:t>
      </w:r>
    </w:p>
    <w:bookmarkEnd w:id="549"/>
    <w:bookmarkStart w:id="550" w:name="Xac987ffaa1a731496404de4b7bf01a0f9664373"/>
    <w:p>
      <w:pPr>
        <w:pStyle w:val="Heading2"/>
      </w:pPr>
      <w:r>
        <w:t xml:space="preserve">9.3.2 I meccanismi residui: mortalità prematura e capitale umano di lungo periodo</w:t>
      </w:r>
    </w:p>
    <w:p>
      <w:pPr>
        <w:pStyle w:val="FirstParagraph"/>
      </w:pPr>
      <w:r>
        <w:t xml:space="preserve">Il dominio produttivistico, nella sua componente residua, opera attraverso due meccanismi distinti da quelli dei domini precedenti. Il primo meccanismo è la riduzione della perdita di output dovuta alla mortalità prematura a matrice psichica. L’intercettazione precoce del disagio comune, riducendo il rischio degli esiti più gravi, contribuisce a ridurre la mortalità anticipata di persone in età produttiva; il valore che ne deriva è quello della produzione che tali persone avrebbero generato negli anni di vita lavorativa conservati. Il meccanismo agisce su un esito raro ma di elevatissimo valore unitario, perché la morte prematura sottrae l’intero arco residuo della vita produttiva; e la sua stima richiede particolare cautela, perché la relazione tra l’intervento precoce sul disagio comune e la riduzione della mortalità è mediata da numerosi fattori e di difficile quantificazione puntuale.</w:t>
      </w:r>
    </w:p>
    <w:p>
      <w:pPr>
        <w:pStyle w:val="BodyText"/>
      </w:pPr>
      <w:r>
        <w:t xml:space="preserve">Il secondo meccanismo è la prevenzione del deterioramento del capitale umano di lungo periodo. Il disagio prolungato non trattato non incide soltanto sulla produttività del momento o sull’uscita dal lavoro, ma erode nel tempo le competenze, l’esperienza accumulata e le traiettorie di crescita professionale, generando una perdita dinamica che si manifesta come minore avanzamento, minore qualificazione e minore mobilità ascendente. La presa in carico precoce, prevenendo la cronicizzazione, preserva il capitale umano nel suo accumularsi nel tempo, e il valore che ne deriva è quello della maggiore qualificazione e produttività di lungo periodo conservata. I due meccanismi residui convergono verso la componente di output non altrimenti attribuita, e ne colgono le sole parti — mortalità e dinamica di lungo periodo del capitale umano — che eccedono la produttività di breve periodo e l’uscita permanente già contabilizzate.</w:t>
      </w:r>
    </w:p>
    <w:bookmarkEnd w:id="550"/>
    <w:bookmarkStart w:id="551" w:name="X430af646dfa26a95bdd48d14d92c02ddf3a7b04"/>
    <w:p>
      <w:pPr>
        <w:pStyle w:val="Heading2"/>
      </w:pPr>
      <w:r>
        <w:t xml:space="preserve">9.3.3 La catena causale del beneficio produttivistico residuo</w:t>
      </w:r>
    </w:p>
    <w:p>
      <w:pPr>
        <w:pStyle w:val="FirstParagraph"/>
      </w:pPr>
      <w:r>
        <w:t xml:space="preserve">La formazione del beneficio produttivistico residuo segue una catena causale i cui anelli, per la natura degli esiti considerati, sono particolarmente lunghi e incerti. Il primo anello è clinico: l’intercettazione e il trattamento precoce migliorano gli esiti e riducono il rischio degli esiti gravi, inclusi quelli a esito mortale. Questo anello è sostenuto da evidenza di qualità da moderata ad alta per l’efficacia clinica, ma da evidenza più debole per la specifica riduzione della mortalità attribuibile al solo intervento di primo livello sul disagio comune. Il secondo anello è quello che lega l’esito clinico alla conservazione dell’output residuo: la minore mortalità prematura conserva anni di vita produttiva, e la prevenzione del deterioramento conserva capitale umano. Questo anello è sostenuto, per la componente di mortalità, da evidenza di qualità bassa, data la rarità dell’esito e la lunghezza della catena; per la componente di capitale umano, da evidenza prevalentemente teorica e di difficile quantificazione.</w:t>
      </w:r>
    </w:p>
    <w:p>
      <w:pPr>
        <w:pStyle w:val="BodyText"/>
      </w:pPr>
      <w:r>
        <w:t xml:space="preserve">Il terzo anello è economico: la conservazione dell’output residuo si traduce in valore economico per la collettività, valutato secondo l’approccio del capitale umano coerentemente con gli altri domini produttivi. La graduazione complessiva del beneficio produttivistico residuo è, per la natura degli esiti, la più bassa tra i domini economici sin qui esaminati, e si traduce in bande prudenziali ampie e in una stima centrale contenuta. La catena è governata, in modo ancora più stringente che negli altri domini, dalla regola di non duplicazione: essa coglie esclusivamente la componente residua di output — mortalità prematura e capitale umano di lungo periodo — e non include in alcun punto né la produttività di breve periodo del lavoratore occupato, attribuita al dominio lavorativo, né l’uscita permanente dal lavoro, attribuita al dominio pensionistico. È questa esclusione rigorosa che impedisce al dominio produttivistico di duplicare il valore già contabilizzato, e che ne giustifica il trattamento come sintesi residuale anziché come addendo autonomo.</w:t>
      </w:r>
    </w:p>
    <w:bookmarkEnd w:id="551"/>
    <w:bookmarkStart w:id="552" w:name="Xdd2e6bac4e750c98e17b80705a787b449aeda18"/>
    <w:p>
      <w:pPr>
        <w:pStyle w:val="Heading2"/>
      </w:pPr>
      <w:r>
        <w:t xml:space="preserve">9.3.4 La quantificazione del dominio produttivistico residuo</w:t>
      </w:r>
    </w:p>
    <w:p>
      <w:pPr>
        <w:pStyle w:val="FirstParagraph"/>
      </w:pPr>
      <w:r>
        <w:t xml:space="preserve">La quantificazione del dominio produttivistico si limita, per le ragioni esposte, alla sola componente residua, e adotta l’approccio del capitale umano in coerenza con i domini lavorativo e pensionistico. La tabella che segue ricostruisce le due forme della perdita di output residua e i margini su cui il dominio opera.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Forma della perdita di output residua</w:t>
            </w:r>
          </w:p>
        </w:tc>
        <w:tc>
          <w:tcPr>
            <w:shd w:val="clear" w:color="auto" w:fill="16264B"/>
          </w:tcPr>
          <w:p>
            <w:pPr>
              <w:pStyle w:val="Compact"/>
              <w:spacing w:after="40" w:before="40"/>
              <w:jc w:val="left"/>
            </w:pPr>
            <w:r>
              <w:rPr>
                <w:rFonts w:ascii="Cambria" w:hAnsi="Cambria" w:cs="Cambria" w:eastAsia="Cambria"/>
                <w:b/>
                <w:bCs/>
                <w:color w:val="FFFFFF"/>
                <w:sz w:val="18"/>
              </w:rPr>
              <w:t xml:space="preserve">Grandezza di ancoraggio</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residua attribuibile al dominio (non già in 9.1 e 9.2)</w:t>
            </w:r>
          </w:p>
        </w:tc>
      </w:tr>
      <w:tr>
        <w:tc>
          <w:tcPr/>
          <w:p>
            <w:pPr>
              <w:pStyle w:val="Compact"/>
              <w:spacing w:after="40" w:before="40"/>
              <w:jc w:val="left"/>
            </w:pPr>
            <w:r>
              <w:rPr>
                <w:rFonts w:ascii="Cambria" w:hAnsi="Cambria" w:cs="Cambria" w:eastAsia="Cambria"/>
                <w:color w:val="1A1A1A"/>
                <w:sz w:val="18"/>
              </w:rPr>
              <w:t xml:space="preserve">Mortalità prematura a matrice psichica</w:t>
            </w:r>
          </w:p>
        </w:tc>
        <w:tc>
          <w:tcPr/>
          <w:p>
            <w:pPr>
              <w:pStyle w:val="Compact"/>
              <w:spacing w:after="40" w:before="40"/>
              <w:jc w:val="left"/>
            </w:pPr>
            <w:r>
              <w:rPr>
                <w:rFonts w:ascii="Cambria" w:hAnsi="Cambria" w:cs="Cambria" w:eastAsia="Cambria"/>
                <w:color w:val="1A1A1A"/>
                <w:sz w:val="18"/>
              </w:rPr>
              <w:t xml:space="preserve">output perduto per morte anticipata in età produttiva (suicidio ed eccesso di mortalità)</w:t>
            </w:r>
          </w:p>
        </w:tc>
        <w:tc>
          <w:tcPr/>
          <w:p>
            <w:pPr>
              <w:pStyle w:val="Compact"/>
              <w:spacing w:after="40" w:before="40"/>
              <w:jc w:val="left"/>
            </w:pPr>
            <w:r>
              <w:rPr>
                <w:rFonts w:ascii="Cambria" w:hAnsi="Cambria" w:cs="Cambria" w:eastAsia="Cambria"/>
                <w:color w:val="1A1A1A"/>
                <w:sz w:val="18"/>
              </w:rPr>
              <w:t xml:space="preserve">la quota di output conservabile dalla riduzione del rischio di esiti gravi</w:t>
            </w:r>
          </w:p>
        </w:tc>
      </w:tr>
      <w:tr>
        <w:tc>
          <w:tcPr>
            <w:shd w:val="clear" w:color="auto" w:fill="F4F1EC"/>
          </w:tcPr>
          <w:p>
            <w:pPr>
              <w:pStyle w:val="Compact"/>
              <w:spacing w:after="40" w:before="40"/>
              <w:jc w:val="left"/>
            </w:pPr>
            <w:r>
              <w:rPr>
                <w:rFonts w:ascii="Cambria" w:hAnsi="Cambria" w:cs="Cambria" w:eastAsia="Cambria"/>
                <w:color w:val="1A1A1A"/>
                <w:sz w:val="18"/>
              </w:rPr>
              <w:t xml:space="preserve">Deterioramento del capitale umano di lungo periodo</w:t>
            </w:r>
          </w:p>
        </w:tc>
        <w:tc>
          <w:tcPr>
            <w:shd w:val="clear" w:color="auto" w:fill="F4F1EC"/>
          </w:tcPr>
          <w:p>
            <w:pPr>
              <w:pStyle w:val="Compact"/>
              <w:spacing w:after="40" w:before="40"/>
              <w:jc w:val="left"/>
            </w:pPr>
            <w:r>
              <w:rPr>
                <w:rFonts w:ascii="Cambria" w:hAnsi="Cambria" w:cs="Cambria" w:eastAsia="Cambria"/>
                <w:color w:val="1A1A1A"/>
                <w:sz w:val="18"/>
              </w:rPr>
              <w:t xml:space="preserve">perdita dinamica di competenze, esperienza e traiettorie professionali</w:t>
            </w:r>
          </w:p>
        </w:tc>
        <w:tc>
          <w:tcPr>
            <w:shd w:val="clear" w:color="auto" w:fill="F4F1EC"/>
          </w:tcPr>
          <w:p>
            <w:pPr>
              <w:pStyle w:val="Compact"/>
              <w:spacing w:after="40" w:before="40"/>
              <w:jc w:val="left"/>
            </w:pPr>
            <w:r>
              <w:rPr>
                <w:rFonts w:ascii="Cambria" w:hAnsi="Cambria" w:cs="Cambria" w:eastAsia="Cambria"/>
                <w:color w:val="1A1A1A"/>
                <w:sz w:val="18"/>
              </w:rPr>
              <w:t xml:space="preserve">la quota di lungo periodo non colta dalla produttività di breve né dall’uscita permanente</w:t>
            </w:r>
          </w:p>
        </w:tc>
      </w:tr>
    </w:tbl>
    <w:p>
      <w:pPr>
        <w:pStyle w:val="BodyText"/>
      </w:pPr>
      <w:r>
        <w:rPr>
          <w:i/>
          <w:iCs/>
        </w:rPr>
        <w:t xml:space="preserve">Tabella 9.5 — Le forme residue della perdita di output e i margini di conservazione. Le grandezze sono ricostruite sulle fonti pubbliche e saranno sostituite dai dati certificati non appena acquisiti; le componenti residue riguardano la sola quota di output non già attribuita ai domini lavorativo e pensionistico, isolata per evitare il doppio conteggio.</w:t>
      </w:r>
    </w:p>
    <w:p>
      <w:pPr>
        <w:pStyle w:val="BodyText"/>
      </w:pPr>
      <w:r>
        <w:t xml:space="preserve">Sulla base di questo quadro, la stima della componente residua del dominio produttivistico è articolata nelle due forme e per ciascuno dei tre scenari di copertura. Entrambe le componenti sono di entità contenuta, in ragione della natura residuale della grandezza e della prudenza imposta dalla bassa qualità dell’evidenza sugli esiti considerati. La tabella che segue espone la stima per componente e per scenario.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beneficio produttivistico residuo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Mortalità prematura evitata (output conservato)</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~2</w:t>
            </w:r>
          </w:p>
        </w:tc>
        <w:tc>
          <w:tcPr/>
          <w:p>
            <w:pPr>
              <w:pStyle w:val="Compact"/>
              <w:spacing w:after="40" w:before="40"/>
              <w:jc w:val="left"/>
            </w:pPr>
            <w:r>
              <w:rPr>
                <w:rFonts w:ascii="Cambria" w:hAnsi="Cambria" w:cs="Cambria" w:eastAsia="Cambria"/>
                <w:color w:val="1A1A1A"/>
                <w:sz w:val="18"/>
              </w:rPr>
              <w:t xml:space="preserve">~3</w:t>
            </w:r>
          </w:p>
        </w:tc>
      </w:tr>
      <w:tr>
        <w:tc>
          <w:tcPr>
            <w:shd w:val="clear" w:color="auto" w:fill="F4F1EC"/>
          </w:tcPr>
          <w:p>
            <w:pPr>
              <w:pStyle w:val="Compact"/>
              <w:spacing w:after="40" w:before="40"/>
              <w:jc w:val="left"/>
            </w:pPr>
            <w:r>
              <w:rPr>
                <w:rFonts w:ascii="Cambria" w:hAnsi="Cambria" w:cs="Cambria" w:eastAsia="Cambria"/>
                <w:color w:val="1A1A1A"/>
                <w:sz w:val="18"/>
              </w:rPr>
              <w:t xml:space="preserve">Capitale umano di lungo periodo (residuo dinamico)</w:t>
            </w:r>
          </w:p>
        </w:tc>
        <w:tc>
          <w:tcPr>
            <w:shd w:val="clear" w:color="auto" w:fill="F4F1EC"/>
          </w:tcPr>
          <w:p>
            <w:pPr>
              <w:pStyle w:val="Compact"/>
              <w:spacing w:after="40" w:before="40"/>
              <w:jc w:val="left"/>
            </w:pPr>
            <w:r>
              <w:rPr>
                <w:rFonts w:ascii="Cambria" w:hAnsi="Cambria" w:cs="Cambria" w:eastAsia="Cambria"/>
                <w:color w:val="1A1A1A"/>
                <w:sz w:val="18"/>
              </w:rPr>
              <w:t xml:space="preserve">~1</w:t>
            </w:r>
          </w:p>
        </w:tc>
        <w:tc>
          <w:tcPr>
            <w:shd w:val="clear" w:color="auto" w:fill="F4F1EC"/>
          </w:tcPr>
          <w:p>
            <w:pPr>
              <w:pStyle w:val="Compact"/>
              <w:spacing w:after="40" w:before="40"/>
              <w:jc w:val="left"/>
            </w:pPr>
            <w:r>
              <w:rPr>
                <w:rFonts w:ascii="Cambria" w:hAnsi="Cambria" w:cs="Cambria" w:eastAsia="Cambria"/>
                <w:color w:val="1A1A1A"/>
                <w:sz w:val="18"/>
              </w:rPr>
              <w:t xml:space="preserve">~2</w:t>
            </w:r>
          </w:p>
        </w:tc>
        <w:tc>
          <w:tcPr>
            <w:shd w:val="clear" w:color="auto" w:fill="F4F1EC"/>
          </w:tcPr>
          <w:p>
            <w:pPr>
              <w:pStyle w:val="Compact"/>
              <w:spacing w:after="40" w:before="40"/>
              <w:jc w:val="left"/>
            </w:pPr>
            <w:r>
              <w:rPr>
                <w:rFonts w:ascii="Cambria" w:hAnsi="Cambria" w:cs="Cambria" w:eastAsia="Cambria"/>
                <w:color w:val="1A1A1A"/>
                <w:sz w:val="18"/>
              </w:rPr>
              <w:t xml:space="preserve">~2</w:t>
            </w:r>
          </w:p>
        </w:tc>
      </w:tr>
      <w:tr>
        <w:tc>
          <w:tcPr/>
          <w:p>
            <w:pPr>
              <w:pStyle w:val="Compact"/>
              <w:spacing w:after="40" w:before="40"/>
              <w:jc w:val="left"/>
            </w:pPr>
            <w:r>
              <w:rPr>
                <w:rFonts w:ascii="Cambria" w:hAnsi="Cambria" w:cs="Cambria" w:eastAsia="Cambria"/>
                <w:color w:val="1A1A1A"/>
                <w:sz w:val="18"/>
              </w:rPr>
              <w:t xml:space="preserve">Beneficio produttivistico residuo del dominio</w:t>
            </w:r>
          </w:p>
        </w:tc>
        <w:tc>
          <w:tcPr/>
          <w:p>
            <w:pPr>
              <w:pStyle w:val="Compact"/>
              <w:spacing w:after="40" w:before="40"/>
              <w:jc w:val="left"/>
            </w:pPr>
            <w:r>
              <w:rPr>
                <w:rFonts w:ascii="Cambria" w:hAnsi="Cambria" w:cs="Cambria" w:eastAsia="Cambria"/>
                <w:color w:val="1A1A1A"/>
                <w:sz w:val="18"/>
              </w:rPr>
              <w:t xml:space="preserve">~2</w:t>
            </w:r>
          </w:p>
        </w:tc>
        <w:tc>
          <w:tcPr/>
          <w:p>
            <w:pPr>
              <w:pStyle w:val="Compact"/>
              <w:spacing w:after="40" w:before="40"/>
              <w:jc w:val="left"/>
            </w:pPr>
            <w:r>
              <w:rPr>
                <w:rFonts w:ascii="Cambria" w:hAnsi="Cambria" w:cs="Cambria" w:eastAsia="Cambria"/>
                <w:color w:val="1A1A1A"/>
                <w:sz w:val="18"/>
              </w:rPr>
              <w:t xml:space="preserve">~4</w:t>
            </w:r>
          </w:p>
        </w:tc>
        <w:tc>
          <w:tcPr/>
          <w:p>
            <w:pPr>
              <w:pStyle w:val="Compact"/>
              <w:spacing w:after="40" w:before="40"/>
              <w:jc w:val="left"/>
            </w:pPr>
            <w:r>
              <w:rPr>
                <w:rFonts w:ascii="Cambria" w:hAnsi="Cambria" w:cs="Cambria" w:eastAsia="Cambria"/>
                <w:color w:val="1A1A1A"/>
                <w:sz w:val="18"/>
              </w:rPr>
              <w:t xml:space="preserve">~5</w:t>
            </w:r>
          </w:p>
        </w:tc>
      </w:tr>
    </w:tbl>
    <w:p>
      <w:pPr>
        <w:pStyle w:val="BodyText"/>
      </w:pPr>
      <w:r>
        <w:rPr>
          <w:i/>
          <w:iCs/>
        </w:rPr>
        <w:t xml:space="preserve">Tabella 9.6 — Stima prudenziale della componente residua del dominio produttivistico per scenario, secondo l’approccio del capitale umano. Le cifre sono bande prudenziali arrotondate; l’ultima riga è la somma delle due componenti residue. Il valore è la sola componente di output non già attribuita ai domini lavorativo e pensionistico, e non è sommabile con essi se non per la parte qui isolata.</w:t>
      </w:r>
    </w:p>
    <w:p>
      <w:pPr>
        <w:pStyle w:val="BodyText"/>
      </w:pPr>
      <w:r>
        <w:t xml:space="preserve">Il beneficio produttivistico residuo è dunque stimato in un ordine di grandezza compreso tra circa due milioni di euro l’anno nello scenario conservativo e circa cinque milioni nello scenario espansivo, con un valore intermedio dell’ordine di quattro milioni. La modestia della cifra, lungi dall’indicare la scarsa rilevanza della produttività nel computo complessivo, riflette al contrario il rigore della regola di non duplicazione: la gran parte del valore della produttività conservata — quella del lavoratore occupato e quella dell’uscita evitata — è già stata contabilizzata nei domini lavorativo e pensionistico, e ciò che il dominio produttivistico aggiunge è soltanto la quota residua, di mortalità e di capitale umano di lungo periodo, non altrimenti colta. La funzione principale del dominio produttivistico nell’economia della parte non è dunque quella di aggiungere una grandezza cospicua, ma quella di offrire la lente macroeconomica che consente di verificare la coerenza tra le componenti specifiche già attribuite e l’aggregato della perdita di output documentato dalla letteratura, fungendo da controllo della non duplicazione anziché da fonte di valore aggiuntivo.</w:t>
      </w:r>
    </w:p>
    <w:bookmarkEnd w:id="552"/>
    <w:bookmarkStart w:id="556" w:name="X8dcf1a49bd699f3457093f328b80f4d7e4652a0"/>
    <w:p>
      <w:pPr>
        <w:pStyle w:val="Heading2"/>
      </w:pPr>
      <w:r>
        <w:t xml:space="preserve">9.3.5 La graduazione, i confini e la non duplicazione del dominio produttivistico</w:t>
      </w:r>
    </w:p>
    <w:p>
      <w:pPr>
        <w:pStyle w:val="FirstParagraph"/>
      </w:pPr>
      <w:r>
        <w:t xml:space="preserve">La solidità della stima del dominio produttivistico residuo va dichiarata con franchezza ancora maggiore che per gli altri domini, data la natura degli esiti. L’anello clinico è sostenuto da evidenza da moderata ad alta; ma l’anello che lega l’esito clinico alla conservazione dell’output residuo è sostenuto, per la mortalità prematura, da evidenza di qualità bassa, in ragione della rarità dell’esito e della lunghezza della catena causale, e, per il capitale umano di lungo periodo, da evidenza prevalentemente teorica. La graduazione complessiva del dominio è bassa, la più bassa tra i domini economici, e si traduce in bande prudenziali ampie e in una stima centrale deliberatamente contenuta. La stima del dominio va dunque letta come un ordine di grandezza prudenziale di una componente residua, e non come una misura precisa; la sua principale funzione, lo si ribadisce, non è quantitativa ma di controllo.</w:t>
      </w:r>
    </w:p>
    <w:p>
      <w:pPr>
        <w:pStyle w:val="BodyText"/>
      </w:pPr>
      <w:r>
        <w:t xml:space="preserve">Da questa graduazione discendono i confini e le regole di non duplicazione del dominio produttivistico, le più stringenti dell’intera parte. In primo luogo, il beneficio produttivistico residuo è una grandezza sociale indiretta, non sommata ai risparmi sanitari diretti della parte ottava. In secondo luogo, e in modo decisivo, esso coglie esclusivamente la componente residua di output — mortalità prematura e capitale umano di lungo periodo — e non include in alcun punto né la produttività di breve periodo del lavoratore occupato, integralmente attribuita al dominio lavorativo, né l’uscita permanente dal lavoro, integralmente attribuita al dominio pensionistico. È questa duplice esclusione che impedisce al dominio di duplicare il valore già contabilizzato, e che ne giustifica il trattamento come sintesi residuale. In terzo luogo, esso adotta l’approccio del capitale umano in coerenza con gli altri domini produttivi, senza combinarlo con il metodo del costo per attrito.</w:t>
      </w:r>
      <w:r>
        <w:rPr>
          <w:rStyle w:val="FootnoteReference"/>
        </w:rPr>
        <w:footnoteReference w:id="255"/>
      </w:r>
    </w:p>
    <w:p>
      <w:pPr>
        <w:pStyle w:val="BodyText"/>
      </w:pPr>
      <w:r>
        <w:t xml:space="preserve">La verifica documentale del dominio produttivistico segue un’agenda mirata alla sua funzione di controllo. Essa richiede l’acquisizione dei dati regionali sulla mortalità prematura a matrice psichica, inclusa quella per suicidio e per l’eccesso di mortalità somatica associato ai disturbi mentali, disaggregati per età, necessari per stimare la componente di output conservato;</w:t>
      </w:r>
      <w:r>
        <w:rPr>
          <w:rStyle w:val="FootnoteReference"/>
        </w:rPr>
        <w:footnoteReference w:id="256"/>
      </w:r>
      <w:r>
        <w:t xml:space="preserve"> </w:t>
      </w:r>
      <w:r>
        <w:t xml:space="preserve">e l’elaborazione di parametri sul deterioramento di lungo periodo del capitale umano, desumibili dalla letteratura economica sulle traiettorie professionali, necessari per stimare la componente dinamica.</w:t>
      </w:r>
      <w:r>
        <w:rPr>
          <w:rStyle w:val="FootnoteReference"/>
        </w:rPr>
        <w:footnoteReference w:id="257"/>
      </w:r>
      <w:r>
        <w:t xml:space="preserve"> </w:t>
      </w:r>
      <w:r>
        <w:t xml:space="preserve">Soprattutto, la verifica richiede la ricostruzione dell’aggregato regionale della perdita di output da disagio psichico, da confrontare con la somma delle componenti attribuite ai domini lavorativo, pensionistico e produttivistico, affinché il dominio possa svolgere la sua funzione di controllo della non duplicazione. Stabilita la lente macroeconomica e isolata la sua sola componente residua, la rinegoziazione può ora muovere dal terreno della produzione a quello dell’assistenza, con il dominio assistenzialistico e il carico dei caregiver.</w:t>
      </w:r>
    </w:p>
    <w:bookmarkEnd w:id="556"/>
    <w:bookmarkEnd w:id="557"/>
    <w:bookmarkStart w:id="565" w:name="il-dominio-assistenzialistico"/>
    <w:p>
      <w:pPr>
        <w:pStyle w:val="Heading2"/>
      </w:pPr>
      <w:r>
        <w:t xml:space="preserve">9.4 Il dominio assistenzialistico</w:t>
      </w:r>
    </w:p>
    <w:p>
      <w:pPr>
        <w:pStyle w:val="FirstParagraph"/>
      </w:pPr>
      <w:r>
        <w:rPr>
          <w:i/>
          <w:iCs/>
        </w:rPr>
        <w:t xml:space="preserve">Il quarto dominio del perimetro integrale è l’assistenzialistico, e segna il passaggio dalla prospettiva della produzione a quella dell’assistenza informale. Esso misura il valore che la riduzione del disagio comune restituisce non al paziente, ma a coloro che del paziente si prendono cura: i familiari e i caregiver informali che dedicano tempo, energie e spesso la propria stessa capacità lavorativa all’assistenza di chi soffre di un disturbo psichico non adeguatamente trattato. Il carico assistenziale dei caregiver costituisce una componente rilevante e troppo spesso invisibile del costo sociale della cattiva salute mentale, perché grava su soggetti diversi dal paziente e su un’economia non monetaria — quella della cura familiare — che le statistiche economiche faticano a cogliere. La presa in carico del paziente al primo livello, migliorandone le condizioni, riduce il carico che ricade sui suoi caregiver, e libera il tempo e la capacità che essi destinavano all’assistenza. La voce ricostruisce il contesto del carico assistenziale, ne isola i meccanismi, ne traccia la catena causale, ne stima il beneficio per scenario e ne dichiara la graduazione, i confini e la distinzione dai domini contigui.</w:t>
      </w:r>
    </w:p>
    <w:bookmarkStart w:id="558" w:name="X88702c59831d0fe6929397304ef783ef97c3a90"/>
    <w:p>
      <w:pPr>
        <w:pStyle w:val="Heading2"/>
      </w:pPr>
      <w:r>
        <w:t xml:space="preserve">9.4.1 Il contesto: il carico dei caregiver e l’assistenza informale</w:t>
      </w:r>
    </w:p>
    <w:p>
      <w:pPr>
        <w:pStyle w:val="FirstParagraph"/>
      </w:pPr>
      <w:r>
        <w:t xml:space="preserve">L’assistenza alle persone affette da disturbi psichici è, in larga parte, assistenza informale, prestata dai familiari e dalle reti di prossimità al di fuori dei servizi formali e senza remunerazione. Questa assistenza informale, pur non comparendo nei bilanci pubblici, ha un valore economico reale e quantificabile, corrispondente al tempo che i caregiver vi dedicano e che sottraggono ad altre attività, comprese quelle lavorative; e ha un costo umano, in termini di affaticamento, isolamento e deterioramento della salute degli stessi caregiver, che il sovraccarico assistenziale prolungato determina. Il carico assistenziale del disagio psichico è, per la natura cronica e relazionale di molti disturbi, particolarmente gravoso, perché richiede una presenza prolungata e una sorveglianza che incidono profondamente sulla vita dei familiari. In Puglia, regione caratterizzata da reti familiari ancora estese ma sottoposte a crescente pressione, il carico assistenziale informale del disagio psichico è di entità significativa, e ricade in misura sproporzionata sulle famiglie, in assenza di servizi di primo livello che lo alleggeriscano.</w:t>
      </w:r>
    </w:p>
    <w:p>
      <w:pPr>
        <w:pStyle w:val="BodyText"/>
      </w:pPr>
      <w:r>
        <w:t xml:space="preserve">Il carico assistenziale si manifesta in due forme principali, di natura diversa ma entrambe quantificabili. La prima è il valore del tempo di assistenza informale, ossia delle ore che i caregiver dedicano alla cura del familiare affetto da disturbo psichico, ore che potrebbero essere destinate ad altre attività e il cui valore può essere stimato secondo metodi consolidati. La seconda è costituita dai costi indiretti che i caregiver sostengono in conseguenza dell’impegno assistenziale, e in particolare dalla riduzione della loro stessa partecipazione al lavoro: l’assenteismo, la riduzione dell’orario, e nei casi più gravi l’uscita dal lavoro dei familiari costretti ad assistere. È la somma di queste due forme — il valore del tempo dedicato e i costi indiretti sostenuti — che costituisce la grandezza di ancoraggio del dominio assistenzialistico, e che la riforma può comprimere alleggerendo il carico che il disagio non trattato impone alle famiglie.</w:t>
      </w:r>
    </w:p>
    <w:p>
      <w:pPr>
        <w:pStyle w:val="BodyText"/>
      </w:pPr>
      <w:r>
        <w:t xml:space="preserve">La connessione tra questo carico e il primo livello psicologico opera attraverso il miglioramento delle condizioni del paziente, che riduce l’intensità e la durata dell’assistenza di cui egli necessita. Il paziente intercettato e preso in carico precocemente al primo livello ha maggiore probabilità di conservare la propria autonomia e di richiedere un minore carico assistenziale ai propri familiari; il paziente non intercettato, viceversa, segue una traiettoria di crescente dipendenza che accresce il carico sui caregiver. Lo Psicologo di Base, intercettando e trattando il disagio del paziente, agisce indirettamente a beneficio dei suoi caregiver, alleggerendone il carico; e il valore che ne deriva — il tempo di assistenza liberato e la capacità lavorativa dei caregiver conservata — è il beneficio che il dominio assistenzialistico misura. Tale beneficio si distribuisce sulle famiglie, che recuperano tempo e capacità, e sulla collettività, che conserva la partecipazione al lavoro dei caregiver.</w:t>
      </w:r>
    </w:p>
    <w:bookmarkEnd w:id="558"/>
    <w:bookmarkStart w:id="559" w:name="Xc45ad2f18c4bac829d3b10c1c6c00209da0e2d2"/>
    <w:p>
      <w:pPr>
        <w:pStyle w:val="Heading2"/>
      </w:pPr>
      <w:r>
        <w:t xml:space="preserve">9.4.2 I meccanismi: tempo di assistenza e costi indiretti dei caregiver</w:t>
      </w:r>
    </w:p>
    <w:p>
      <w:pPr>
        <w:pStyle w:val="FirstParagraph"/>
      </w:pPr>
      <w:r>
        <w:t xml:space="preserve">Il dominio assistenzialistico opera attraverso due meccanismi, corrispondenti alle due forme del carico e accomunati dall’alleggerimento dell’onere che ricade sui caregiver. Il primo meccanismo è la riduzione del tempo di assistenza informale. Il miglioramento delle condizioni del paziente, conseguente alla presa in carico precoce, riduce le ore di assistenza di cui egli necessita, e libera il tempo che i caregiver vi dedicavano; il valore che ne deriva è quello del tempo liberato, stimabile secondo l’approccio del costo di sostituzione, che valuta l’assistenza informale al costo di un’assistenza professionale equivalente, o secondo l’approccio del costo opportunità, che la valuta al valore delle attività alternative cui i caregiver potrebbero dedicarsi. Coerentemente con il dominio lavorativo, si adotta un criterio prudenziale e dichiarato, evitando la combinazione dei due approcci.</w:t>
      </w:r>
    </w:p>
    <w:p>
      <w:pPr>
        <w:pStyle w:val="BodyText"/>
      </w:pPr>
      <w:r>
        <w:t xml:space="preserve">Il secondo meccanismo è la riduzione dei costi indiretti che i caregiver sostengono in conseguenza dell’impegno assistenziale, e in particolare della perdita della loro partecipazione al lavoro. Il minore carico assistenziale consente ai caregiver di conservare la propria attività lavorativa, riducendone l’assenteismo, evitandone la riduzione dell’orario e prevenendone l’uscita dal lavoro; il valore che ne deriva è quello della capacità lavorativa dei caregiver conservata. È essenziale osservare che questo secondo meccanismo riguarda la produttività dei caregiver, soggetti diversi dal paziente, e non si sovrappone pertanto alla produttività del paziente, già colta dal dominio lavorativo: il dominio lavorativo conta la produttività di chi soffre del disturbo, il dominio assistenzialistico conta la produttività di chi lo assiste, e le due grandezze, riferite a persone diverse, sono distinte e additive. I due meccanismi convergono verso l’alleggerimento del carico dei caregiver, e ne colgono componenti distinte, sommabili tra loro e con i domini precedenti in quanto riferite a soggetti diversi.</w:t>
      </w:r>
    </w:p>
    <w:bookmarkEnd w:id="559"/>
    <w:bookmarkStart w:id="560" w:name="X42a5d4d34cfd8c9fcced062fc7042c01833cd1e"/>
    <w:p>
      <w:pPr>
        <w:pStyle w:val="Heading2"/>
      </w:pPr>
      <w:r>
        <w:t xml:space="preserve">9.4.3 La catena causale del beneficio assistenzialistico</w:t>
      </w:r>
    </w:p>
    <w:p>
      <w:pPr>
        <w:pStyle w:val="FirstParagraph"/>
      </w:pPr>
      <w:r>
        <w:t xml:space="preserve">La formazione del beneficio assistenzialistico segue una catena causale a più anelli. Il primo anello è clinico: l’intercettazione e il trattamento precoce migliorano le condizioni del paziente e ne accrescono l’autonomia. Questo anello è sostenuto dalla medesima evidenza, da moderata ad alta, che fonda l’efficacia clinica. Il secondo anello è assistenziale: il miglioramento delle condizioni e dell’autonomia del paziente riduce il carico di assistenza che ricade sui caregiver, in termini di tempo e di costi indiretti. Questo anello è sostenuto da evidenza coerente ma di qualità variabile, perché la traduzione del miglioramento clinico del paziente in alleggerimento del carico dei caregiver dipende dalla natura del disturbo, dalla struttura familiare e dal contesto assistenziale.</w:t>
      </w:r>
    </w:p>
    <w:p>
      <w:pPr>
        <w:pStyle w:val="BodyText"/>
      </w:pPr>
      <w:r>
        <w:t xml:space="preserve">Il terzo anello è economico: l’alleggerimento del carico si traduce in valore economico, sia come tempo di assistenza liberato sia come capacità lavorativa dei caregiver conservata. Questo anello richiede la valutazione monetaria dell’assistenza informale, operazione metodologicamente delicata per la quale si adotta un criterio prudenziale dichiarato. La graduazione complessiva del beneficio assistenzialistico è intermedia, e si traduce in bande prudenziali la cui ampiezza riflette tanto l’incertezza sulla traduzione del miglioramento del paziente in alleggerimento del carico, quanto la difficoltà di valutare monetariamente l’assistenza informale. La catena è governata dalla regola di non duplicazione, che in questo dominio assume una forma peculiare: poiché il beneficio riguarda i caregiver, soggetti diversi dal paziente, esso non si sovrappone ai benefici riferiti al paziente colti dagli altri domini, e la distinzione tra il soggetto assistito e il soggetto assistente garantisce l’additività del dominio.</w:t>
      </w:r>
    </w:p>
    <w:bookmarkEnd w:id="560"/>
    <w:bookmarkStart w:id="561" w:name="Xfafbfa9b686f85c255d0547218f8e743cd42f5c"/>
    <w:p>
      <w:pPr>
        <w:pStyle w:val="Heading2"/>
      </w:pPr>
      <w:r>
        <w:t xml:space="preserve">9.4.4 La quantificazione del dominio assistenzialistico</w:t>
      </w:r>
    </w:p>
    <w:p>
      <w:pPr>
        <w:pStyle w:val="FirstParagraph"/>
      </w:pPr>
      <w:r>
        <w:t xml:space="preserve">La quantificazione del dominio assistenzialistico procede secondo il metodo in cinque passaggi, applicato alle due forme del carico, con l’adozione di un criterio prudenziale per la valutazione monetaria dell’assistenza informale. La tabella che segue ricostruisce le due forme del carico e i margini su cui il dominio opera.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Forma del carico assistenziale</w:t>
            </w:r>
          </w:p>
        </w:tc>
        <w:tc>
          <w:tcPr>
            <w:shd w:val="clear" w:color="auto" w:fill="16264B"/>
          </w:tcPr>
          <w:p>
            <w:pPr>
              <w:pStyle w:val="Compact"/>
              <w:spacing w:after="40" w:before="40"/>
              <w:jc w:val="left"/>
            </w:pPr>
            <w:r>
              <w:rPr>
                <w:rFonts w:ascii="Cambria" w:hAnsi="Cambria" w:cs="Cambria" w:eastAsia="Cambria"/>
                <w:b/>
                <w:bCs/>
                <w:color w:val="FFFFFF"/>
                <w:sz w:val="18"/>
              </w:rPr>
              <w:t xml:space="preserve">Grandezza di ancoraggio</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comprimibile dal primo livello psicologico</w:t>
            </w:r>
          </w:p>
        </w:tc>
      </w:tr>
      <w:tr>
        <w:tc>
          <w:tcPr/>
          <w:p>
            <w:pPr>
              <w:pStyle w:val="Compact"/>
              <w:spacing w:after="40" w:before="40"/>
              <w:jc w:val="left"/>
            </w:pPr>
            <w:r>
              <w:rPr>
                <w:rFonts w:ascii="Cambria" w:hAnsi="Cambria" w:cs="Cambria" w:eastAsia="Cambria"/>
                <w:color w:val="1A1A1A"/>
                <w:sz w:val="18"/>
              </w:rPr>
              <w:t xml:space="preserve">Tempo di assistenza informale dei caregiver</w:t>
            </w:r>
          </w:p>
        </w:tc>
        <w:tc>
          <w:tcPr/>
          <w:p>
            <w:pPr>
              <w:pStyle w:val="Compact"/>
              <w:spacing w:after="40" w:before="40"/>
              <w:jc w:val="left"/>
            </w:pPr>
            <w:r>
              <w:rPr>
                <w:rFonts w:ascii="Cambria" w:hAnsi="Cambria" w:cs="Cambria" w:eastAsia="Cambria"/>
                <w:color w:val="1A1A1A"/>
                <w:sz w:val="18"/>
              </w:rPr>
              <w:t xml:space="preserve">ore di assistenza prestata dai familiari al paziente con disturbo psichico</w:t>
            </w:r>
          </w:p>
        </w:tc>
        <w:tc>
          <w:tcPr/>
          <w:p>
            <w:pPr>
              <w:pStyle w:val="Compact"/>
              <w:spacing w:after="40" w:before="40"/>
              <w:jc w:val="left"/>
            </w:pPr>
            <w:r>
              <w:rPr>
                <w:rFonts w:ascii="Cambria" w:hAnsi="Cambria" w:cs="Cambria" w:eastAsia="Cambria"/>
                <w:color w:val="1A1A1A"/>
                <w:sz w:val="18"/>
              </w:rPr>
              <w:t xml:space="preserve">la quota riducibile dal miglioramento delle condizioni e dell’autonomia del paziente</w:t>
            </w:r>
          </w:p>
        </w:tc>
      </w:tr>
      <w:tr>
        <w:tc>
          <w:tcPr>
            <w:shd w:val="clear" w:color="auto" w:fill="F4F1EC"/>
          </w:tcPr>
          <w:p>
            <w:pPr>
              <w:pStyle w:val="Compact"/>
              <w:spacing w:after="40" w:before="40"/>
              <w:jc w:val="left"/>
            </w:pPr>
            <w:r>
              <w:rPr>
                <w:rFonts w:ascii="Cambria" w:hAnsi="Cambria" w:cs="Cambria" w:eastAsia="Cambria"/>
                <w:color w:val="1A1A1A"/>
                <w:sz w:val="18"/>
              </w:rPr>
              <w:t xml:space="preserve">Costi indiretti dei caregiver sul lavoro</w:t>
            </w:r>
          </w:p>
        </w:tc>
        <w:tc>
          <w:tcPr>
            <w:shd w:val="clear" w:color="auto" w:fill="F4F1EC"/>
          </w:tcPr>
          <w:p>
            <w:pPr>
              <w:pStyle w:val="Compact"/>
              <w:spacing w:after="40" w:before="40"/>
              <w:jc w:val="left"/>
            </w:pPr>
            <w:r>
              <w:rPr>
                <w:rFonts w:ascii="Cambria" w:hAnsi="Cambria" w:cs="Cambria" w:eastAsia="Cambria"/>
                <w:color w:val="1A1A1A"/>
                <w:sz w:val="18"/>
              </w:rPr>
              <w:t xml:space="preserve">assenteismo, riduzione dell’orario e uscita dal lavoro dei familiari assistenti</w:t>
            </w:r>
          </w:p>
        </w:tc>
        <w:tc>
          <w:tcPr>
            <w:shd w:val="clear" w:color="auto" w:fill="F4F1EC"/>
          </w:tcPr>
          <w:p>
            <w:pPr>
              <w:pStyle w:val="Compact"/>
              <w:spacing w:after="40" w:before="40"/>
              <w:jc w:val="left"/>
            </w:pPr>
            <w:r>
              <w:rPr>
                <w:rFonts w:ascii="Cambria" w:hAnsi="Cambria" w:cs="Cambria" w:eastAsia="Cambria"/>
                <w:color w:val="1A1A1A"/>
                <w:sz w:val="18"/>
              </w:rPr>
              <w:t xml:space="preserve">la quota evitabile dal minor carico assistenziale, riferita a soggetti diversi dal paziente</w:t>
            </w:r>
          </w:p>
        </w:tc>
      </w:tr>
    </w:tbl>
    <w:p>
      <w:pPr>
        <w:pStyle w:val="BodyText"/>
      </w:pPr>
      <w:r>
        <w:rPr>
          <w:i/>
          <w:iCs/>
        </w:rPr>
        <w:t xml:space="preserve">Tabella 9.7 — Le forme del carico assistenziale dei caregiver e i margini di compressione. Le grandezze sono ricostruite sulle fonti disponibili e saranno sostituite dai dati certificati regionali non appena acquisiti; le componenti comprimibili riguardano i caregiver, soggetti diversi dal paziente, sicché il dominio è additivo rispetto a quelli riferiti al paziente.</w:t>
      </w:r>
    </w:p>
    <w:p>
      <w:pPr>
        <w:pStyle w:val="BodyText"/>
      </w:pPr>
      <w:r>
        <w:t xml:space="preserve">Sulla base di questo quadro, la stima del beneficio assistenzialistico è articolata nelle due componenti e per ciascuno dei tre scenari di copertura. La componente del tempo di assistenza informale liberato costituisce la quota maggiore del beneficio, in ragione dell’ampiezza dell’assistenza informale prestata dalle famiglie; la componente dei costi indiretti dei caregiver costituisce la quota intermedia. La tabella che segue espone la stima per componente e per scenario.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beneficio assistenzialistico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Valore del tempo di assistenza informale risparmiato</w:t>
            </w:r>
          </w:p>
        </w:tc>
        <w:tc>
          <w:tcPr/>
          <w:p>
            <w:pPr>
              <w:pStyle w:val="Compact"/>
              <w:spacing w:after="40" w:before="40"/>
              <w:jc w:val="left"/>
            </w:pPr>
            <w:r>
              <w:rPr>
                <w:rFonts w:ascii="Cambria" w:hAnsi="Cambria" w:cs="Cambria" w:eastAsia="Cambria"/>
                <w:color w:val="1A1A1A"/>
                <w:sz w:val="18"/>
              </w:rPr>
              <w:t xml:space="preserve">~5</w:t>
            </w:r>
          </w:p>
        </w:tc>
        <w:tc>
          <w:tcPr/>
          <w:p>
            <w:pPr>
              <w:pStyle w:val="Compact"/>
              <w:spacing w:after="40" w:before="40"/>
              <w:jc w:val="left"/>
            </w:pPr>
            <w:r>
              <w:rPr>
                <w:rFonts w:ascii="Cambria" w:hAnsi="Cambria" w:cs="Cambria" w:eastAsia="Cambria"/>
                <w:color w:val="1A1A1A"/>
                <w:sz w:val="18"/>
              </w:rPr>
              <w:t xml:space="preserve">~7</w:t>
            </w:r>
          </w:p>
        </w:tc>
        <w:tc>
          <w:tcPr/>
          <w:p>
            <w:pPr>
              <w:pStyle w:val="Compact"/>
              <w:spacing w:after="40" w:before="40"/>
              <w:jc w:val="left"/>
            </w:pPr>
            <w:r>
              <w:rPr>
                <w:rFonts w:ascii="Cambria" w:hAnsi="Cambria" w:cs="Cambria" w:eastAsia="Cambria"/>
                <w:color w:val="1A1A1A"/>
                <w:sz w:val="18"/>
              </w:rPr>
              <w:t xml:space="preserve">~10</w:t>
            </w:r>
          </w:p>
        </w:tc>
      </w:tr>
      <w:tr>
        <w:tc>
          <w:tcPr>
            <w:shd w:val="clear" w:color="auto" w:fill="F4F1EC"/>
          </w:tcPr>
          <w:p>
            <w:pPr>
              <w:pStyle w:val="Compact"/>
              <w:spacing w:after="40" w:before="40"/>
              <w:jc w:val="left"/>
            </w:pPr>
            <w:r>
              <w:rPr>
                <w:rFonts w:ascii="Cambria" w:hAnsi="Cambria" w:cs="Cambria" w:eastAsia="Cambria"/>
                <w:color w:val="1A1A1A"/>
                <w:sz w:val="18"/>
              </w:rPr>
              <w:t xml:space="preserve">Riduzione dei costi indiretti dei caregiver sul lavoro</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c>
          <w:tcPr>
            <w:shd w:val="clear" w:color="auto" w:fill="F4F1EC"/>
          </w:tcPr>
          <w:p>
            <w:pPr>
              <w:pStyle w:val="Compact"/>
              <w:spacing w:after="40" w:before="40"/>
              <w:jc w:val="left"/>
            </w:pPr>
            <w:r>
              <w:rPr>
                <w:rFonts w:ascii="Cambria" w:hAnsi="Cambria" w:cs="Cambria" w:eastAsia="Cambria"/>
                <w:color w:val="1A1A1A"/>
                <w:sz w:val="18"/>
              </w:rPr>
              <w:t xml:space="preserve">~4</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r>
      <w:tr>
        <w:tc>
          <w:tcPr/>
          <w:p>
            <w:pPr>
              <w:pStyle w:val="Compact"/>
              <w:spacing w:after="40" w:before="40"/>
              <w:jc w:val="left"/>
            </w:pPr>
            <w:r>
              <w:rPr>
                <w:rFonts w:ascii="Cambria" w:hAnsi="Cambria" w:cs="Cambria" w:eastAsia="Cambria"/>
                <w:color w:val="1A1A1A"/>
                <w:sz w:val="18"/>
              </w:rPr>
              <w:t xml:space="preserve">Beneficio assistenzialistico indiretto del dominio</w:t>
            </w:r>
          </w:p>
        </w:tc>
        <w:tc>
          <w:tcPr/>
          <w:p>
            <w:pPr>
              <w:pStyle w:val="Compact"/>
              <w:spacing w:after="40" w:before="40"/>
              <w:jc w:val="left"/>
            </w:pPr>
            <w:r>
              <w:rPr>
                <w:rFonts w:ascii="Cambria" w:hAnsi="Cambria" w:cs="Cambria" w:eastAsia="Cambria"/>
                <w:color w:val="1A1A1A"/>
                <w:sz w:val="18"/>
              </w:rPr>
              <w:t xml:space="preserve">~8</w:t>
            </w:r>
          </w:p>
        </w:tc>
        <w:tc>
          <w:tcPr/>
          <w:p>
            <w:pPr>
              <w:pStyle w:val="Compact"/>
              <w:spacing w:after="40" w:before="40"/>
              <w:jc w:val="left"/>
            </w:pPr>
            <w:r>
              <w:rPr>
                <w:rFonts w:ascii="Cambria" w:hAnsi="Cambria" w:cs="Cambria" w:eastAsia="Cambria"/>
                <w:color w:val="1A1A1A"/>
                <w:sz w:val="18"/>
              </w:rPr>
              <w:t xml:space="preserve">~11</w:t>
            </w:r>
          </w:p>
        </w:tc>
        <w:tc>
          <w:tcPr/>
          <w:p>
            <w:pPr>
              <w:pStyle w:val="Compact"/>
              <w:spacing w:after="40" w:before="40"/>
              <w:jc w:val="left"/>
            </w:pPr>
            <w:r>
              <w:rPr>
                <w:rFonts w:ascii="Cambria" w:hAnsi="Cambria" w:cs="Cambria" w:eastAsia="Cambria"/>
                <w:color w:val="1A1A1A"/>
                <w:sz w:val="18"/>
              </w:rPr>
              <w:t xml:space="preserve">~15</w:t>
            </w:r>
          </w:p>
        </w:tc>
      </w:tr>
    </w:tbl>
    <w:p>
      <w:pPr>
        <w:pStyle w:val="BodyText"/>
      </w:pPr>
      <w:r>
        <w:rPr>
          <w:i/>
          <w:iCs/>
        </w:rPr>
        <w:t xml:space="preserve">Tabella 9.8 — Stima prudenziale del beneficio del dominio assistenzialistico per scenario. Le cifre sono bande prudenziali arrotondate; l’ultima riga è la somma delle due componenti. Il valore riguarda i caregiver, soggetti diversi dal paziente, ed è additivo rispetto ai domini riferiti al paziente; non è sommabile con i risparmi sanitari diretti della parte ottava.</w:t>
      </w:r>
    </w:p>
    <w:p>
      <w:pPr>
        <w:pStyle w:val="BodyText"/>
      </w:pPr>
      <w:r>
        <w:t xml:space="preserve">Il beneficio assistenzialistico indiretto è dunque stimato in un ordine di grandezza compreso tra circa otto milioni di euro l’anno nello scenario conservativo e circa quindici milioni nello scenario espansivo, con un valore intermedio dell’ordine di undici milioni. La cifra riflette il peso rilevante, e troppo spesso ignorato, dell’assistenza informale nel costo sociale del disagio psichico: il tempo che le famiglie dedicano alla cura dei propri membri affetti da disturbi mentali è una risorsa economica reale, il cui alleggerimento costituisce un beneficio genuino della riforma, distribuito sulle famiglie e sulla collettività. La preminenza della componente del tempo di assistenza, in particolare, riflette l’ampiezza dell’economia non monetaria della cura familiare, che la presa in carico al primo livello contribuisce a sgravare. La natura additiva del dominio rispetto a quelli riferiti al paziente — garantita dalla diversità del soggetto, il caregiver anziché il paziente — ne fa una componente che si somma legittimamente ai domini precedenti senza duplicarne il valore.</w:t>
      </w:r>
    </w:p>
    <w:bookmarkEnd w:id="561"/>
    <w:bookmarkStart w:id="564" w:name="X188c795837ae70ff44451bc0ac97a78cdcb944c"/>
    <w:p>
      <w:pPr>
        <w:pStyle w:val="Heading2"/>
      </w:pPr>
      <w:r>
        <w:t xml:space="preserve">9.4.5 La graduazione, i confini e la distinzione del dominio assistenzialistico</w:t>
      </w:r>
    </w:p>
    <w:p>
      <w:pPr>
        <w:pStyle w:val="FirstParagraph"/>
      </w:pPr>
      <w:r>
        <w:t xml:space="preserve">La solidità della stima del dominio assistenzialistico va dichiarata. L’anello clinico è sostenuto da evidenza da moderata ad alta; l’anello assistenziale, da evidenza coerente ma di qualità variabile, in ragione della mediazione esercitata dalla natura del disturbo e dalla struttura familiare; l’anello economico è soggetto alla delicatezza della valutazione monetaria dell’assistenza informale, per la quale si adotta un criterio prudenziale dichiarato. La graduazione complessiva del dominio è intermedia, e si traduce in bande prudenziali la cui ampiezza riflette la duplice incertezza, sulla traduzione clinico-assistenziale e sulla valutazione dell’assistenza informale.</w:t>
      </w:r>
      <w:r>
        <w:rPr>
          <w:rStyle w:val="FootnoteReference"/>
        </w:rPr>
        <w:footnoteReference w:id="258"/>
      </w:r>
      <w:r>
        <w:t xml:space="preserve"> </w:t>
      </w:r>
      <w:r>
        <w:t xml:space="preserve">La stima centrale del dominio va dunque letta come il punto mediano di un intervallo, e la sua prudenza riflette la difficoltà intrinseca di monetizzare l’economia della cura familiare.</w:t>
      </w:r>
    </w:p>
    <w:p>
      <w:pPr>
        <w:pStyle w:val="BodyText"/>
      </w:pPr>
      <w:r>
        <w:t xml:space="preserve">Da questa graduazione discendono i confini e le regole di non duplicazione del dominio assistenzialistico, che hanno in questo dominio una forma peculiare. In primo luogo, il beneficio assistenzialistico è una grandezza sociale indiretta, non sommata ai risparmi sanitari diretti della parte ottava. In secondo luogo, e in modo caratteristico, esso riguarda i caregiver, soggetti diversi dal paziente, e per questa ragione è additivo rispetto ai domini riferiti al paziente: la produttività del caregiver conservata, in particolare, non si sovrappone alla produttività del paziente colta dal dominio lavorativo, perché si tratta di persone diverse, e le due grandezze sono distinte e sommabili.</w:t>
      </w:r>
      <w:r>
        <w:rPr>
          <w:rStyle w:val="FootnoteReference"/>
        </w:rPr>
        <w:footnoteReference w:id="259"/>
      </w:r>
      <w:r>
        <w:t xml:space="preserve"> </w:t>
      </w:r>
      <w:r>
        <w:t xml:space="preserve">In terzo luogo, la valutazione dell’assistenza informale adotta un criterio prudenziale dichiarato — costo di sostituzione o costo opportunità — senza combinare i due approcci. La peculiarità del dominio assistenzialistico è dunque quella di fondare la propria additività non su una distinzione di componenti, ma su una distinzione di soggetti, il che lo rende uno dei domini più chiaramente additivi dell’intera parte.</w:t>
      </w:r>
    </w:p>
    <w:p>
      <w:pPr>
        <w:pStyle w:val="BodyText"/>
      </w:pPr>
      <w:r>
        <w:t xml:space="preserve">La verifica documentale del dominio assistenzialistico segue un’agenda precisa. Essa richiede l’acquisizione di dati e indagini sul carico assistenziale dei caregiver delle persone con disturbi psichici in Puglia, sulle ore di assistenza informale prestata e sul suo impatto sulla partecipazione al lavoro dei familiari, dati prevalentemente desumibili da indagini dedicate piuttosto che da fonti amministrative; e l’elaborazione dei parametri per la valutazione monetaria dell’assistenza informale, secondo il criterio prudenziale prescelto. L’acquisizione di questi dati, prevista nella fase di consolidamento, consentirà di restringere la banda del beneficio assistenzialistico e di precisarne la stima. Stabilito il valore dell’alleggerimento del carico dei caregiver, la rinegoziazione può ora muovere verso il dominio strettamente connesso del welfare, che misura le prestazioni assistenziali non previdenziali, distinte tanto dall’assistenza informale dei caregiver quanto dalle prestazioni previdenziali del dominio pensionistico.</w:t>
      </w:r>
    </w:p>
    <w:bookmarkEnd w:id="564"/>
    <w:bookmarkEnd w:id="565"/>
    <w:bookmarkStart w:id="574" w:name="il-dominio-welfaristico"/>
    <w:p>
      <w:pPr>
        <w:pStyle w:val="Heading2"/>
      </w:pPr>
      <w:r>
        <w:t xml:space="preserve">9.5 Il dominio welfaristico</w:t>
      </w:r>
    </w:p>
    <w:p>
      <w:pPr>
        <w:pStyle w:val="FirstParagraph"/>
      </w:pPr>
      <w:r>
        <w:rPr>
          <w:i/>
          <w:iCs/>
        </w:rPr>
        <w:t xml:space="preserve">Il quinto dominio del perimetro integrale è il welfaristico, strettamente connesso ai domini pensionistico e assistenzialistico e da entrambi rigorosamente distinto. Esso misura il valore che la riduzione del disagio comune restituisce attraverso la minore erogazione delle prestazioni assistenziali non previdenziali: le indennità e le prestazioni che lo Stato eroga a sostegno delle persone in condizione di disabilità o di disagio socio-economico, indipendentemente dalla loro storia contributiva, e che il disagio psichico non trattato contribuisce ad attivare. Il dominio si distingue nettamente dal pensionistico, che misura le prestazioni previdenziali fondate sulla contribuzione, e dall’assistenzialistico, che misura l’assistenza informale prestata dai familiari: il welfaristico coglie le sole prestazioni assistenziali formali, erogate dallo Stato su base non contributiva. La voce ricostruisce il contesto della spesa assistenziale non previdenziale connessa al disagio psichico, ne isola i meccanismi, ne traccia la catena causale, ne stima il beneficio per scenario e ne dichiara la graduazione, i confini e la duplice distinzione dai domini contigui.</w:t>
      </w:r>
    </w:p>
    <w:bookmarkStart w:id="566" w:name="X4cd3c06c308f4d9470ded265844b79a8ab78431"/>
    <w:p>
      <w:pPr>
        <w:pStyle w:val="Heading2"/>
      </w:pPr>
      <w:r>
        <w:t xml:space="preserve">9.5.1 Il contesto: la spesa assistenziale non previdenziale</w:t>
      </w:r>
    </w:p>
    <w:p>
      <w:pPr>
        <w:pStyle w:val="FirstParagraph"/>
      </w:pPr>
      <w:r>
        <w:t xml:space="preserve">Il sistema di protezione sociale eroga, accanto alle prestazioni previdenziali fondate sulla contribuzione, un insieme di prestazioni assistenziali fondate sul bisogno, destinate a sostenere le persone in condizione di disabilità o di disagio socio-economico indipendentemente dalla loro storia contributiva. Tra queste prestazioni, alcune sono direttamente o indirettamente connesse al disagio psichico, perché il disturbo mentale non trattato contribuisce a determinare le condizioni — la disabilità, la perdita della capacità di provvedere a sé, l’esclusione dal lavoro e dal reddito — che ne fondano l’erogazione. La spesa assistenziale non previdenziale connessa al disagio psichico è dunque una componente del costo sociale della cattiva salute mentale, distinta dalla spesa previdenziale e dall’assistenza informale, e gravante sul bilancio dello Stato e degli enti che erogano le prestazioni. In Puglia, regione caratterizzata da un disagio socio-economico diffuso che si intreccia con il disagio psichico, questa spesa è di entità significativa, e la riforma può comprimerne la componente riconducibile al disagio comune prevenibile.</w:t>
      </w:r>
    </w:p>
    <w:p>
      <w:pPr>
        <w:pStyle w:val="BodyText"/>
      </w:pPr>
      <w:r>
        <w:t xml:space="preserve">La spesa assistenziale non previdenziale connessa al disagio psichico si manifesta in due forme principali. La prima è costituita dalle indennità e dalle prestazioni assistenziali per la disabilità, e in particolare dall’indennità di accompagnamento e dalle prestazioni analoghe erogate alle persone la cui disabilità, anche psichica, ne compromette l’autonomia; è una forma di peso rilevante, per l’entità e la durata delle prestazioni. La seconda è costituita dalle misure di sostegno al reddito e dai sussidi assistenziali erogati alle persone in condizione di disagio socio-economico, tra le cui cause il disagio psichico non trattato figura con frequenza, sia come fattore che compromette la capacità di procurarsi un reddito, sia come conseguenza dell’esclusione economica; è una forma di peso intermedio. È la somma di queste due forme — le prestazioni per la disabilità e le misure di sostegno al reddito — che costituisce la grandezza di ancoraggio del dominio welfaristico, nella sola componente riconducibile al disagio psichico prevenibile.</w:t>
      </w:r>
    </w:p>
    <w:p>
      <w:pPr>
        <w:pStyle w:val="BodyText"/>
      </w:pPr>
      <w:r>
        <w:t xml:space="preserve">La connessione tra questa spesa e il primo livello psicologico opera attraverso la prevenzione delle condizioni di disabilità e di esclusione che fondano l’erogazione delle prestazioni. Il disturbo comune intercettato e trattato precocemente ha minore probabilità di evolvere verso la compromissione dell’autonomia che fonda le prestazioni per la disabilità, e verso l’esclusione economica che fonda le misure di sostegno al reddito; il disturbo non intercettato, viceversa, accresce la probabilità di entrambe le condizioni. Lo Psicologo di Base, intercettando e trattando il disagio, agisce a monte delle condizioni che attivano le prestazioni assistenziali, e il valore che ne deriva — le prestazioni assistenziali non erogate grazie alla prevenzione della disabilità e dell’esclusione — è il beneficio che il dominio welfaristico misura. Tale beneficio si distribuisce sul bilancio dello Stato e degli enti erogatori, e si traduce in minore spesa assistenziale non previdenziale.</w:t>
      </w:r>
    </w:p>
    <w:bookmarkEnd w:id="566"/>
    <w:bookmarkStart w:id="567" w:name="X3068e9d622d3dc29f7325940d77277a1e999976"/>
    <w:p>
      <w:pPr>
        <w:pStyle w:val="Heading2"/>
      </w:pPr>
      <w:r>
        <w:t xml:space="preserve">9.5.2 I meccanismi: prestazioni per la disabilità e sostegno al reddito</w:t>
      </w:r>
    </w:p>
    <w:p>
      <w:pPr>
        <w:pStyle w:val="FirstParagraph"/>
      </w:pPr>
      <w:r>
        <w:t xml:space="preserve">Il dominio welfaristico opera attraverso due meccanismi, corrispondenti alle due forme della spesa e accomunati dalla prevenzione delle condizioni che attivano le prestazioni assistenziali. Il primo meccanismo è la riduzione delle indennità e delle prestazioni assistenziali per la disabilità. La prevenzione della compromissione dell’autonomia, conseguente alla presa in carico precoce, riduce il numero delle persone la cui disabilità psichica fonda l’erogazione dell’indennità di accompagnamento e delle prestazioni analoghe, e il valore che ne deriva è quello delle prestazioni non erogate. È essenziale osservare che queste prestazioni, di natura assistenziale e non contributiva, sono distinte dalle prestazioni previdenziali di invalidità e di inabilità colte dal dominio pensionistico: il dominio pensionistico conta le prestazioni fondate sulla contribuzione, il dominio welfaristico conta le prestazioni fondate sul bisogno, e le due categorie sono distinte e non sovrapposte.</w:t>
      </w:r>
    </w:p>
    <w:p>
      <w:pPr>
        <w:pStyle w:val="BodyText"/>
      </w:pPr>
      <w:r>
        <w:t xml:space="preserve">Il secondo meccanismo è la riduzione delle misure di sostegno al reddito e dei sussidi assistenziali. La prevenzione dell’esclusione economica, conseguente al recupero della capacità del paziente di procurarsi un reddito, riduce il ricorso alle misure di sostegno al reddito tra le persone il cui disagio psichico aveva contribuito a determinare la condizione di bisogno; il valore che ne deriva è quello dei sussidi non erogati. Anche questo meccanismo riguarda prestazioni assistenziali non previdenziali, distinte dalle prestazioni del dominio pensionistico e dall’assistenza informale del dominio assistenzialistico. I due meccanismi convergono verso la riduzione della spesa assistenziale non previdenziale, e ne colgono componenti distinte, sommabili tra loro ma non con le prestazioni previdenziali del dominio pensionistico né con l’assistenza informale del dominio assistenzialistico, secondo la duplice distinzione che governa il dominio welfaristico.</w:t>
      </w:r>
    </w:p>
    <w:bookmarkEnd w:id="567"/>
    <w:bookmarkStart w:id="568" w:name="Xd5d5679a9cff3dcfd4039296eec412f84653280"/>
    <w:p>
      <w:pPr>
        <w:pStyle w:val="Heading2"/>
      </w:pPr>
      <w:r>
        <w:t xml:space="preserve">9.5.3 La catena causale del beneficio welfaristico</w:t>
      </w:r>
    </w:p>
    <w:p>
      <w:pPr>
        <w:pStyle w:val="FirstParagraph"/>
      </w:pPr>
      <w:r>
        <w:t xml:space="preserve">La formazione del beneficio welfaristico segue una catena causale a più anelli. Il primo anello è clinico-preventivo: l’intercettazione e il trattamento precoce prevengono la compromissione dell’autonomia e l’esclusione economica. Questo anello è sostenuto da evidenza da moderata ad alta per l’efficacia clinica, ma da evidenza più variabile per la specifica prevenzione delle condizioni di disabilità ed esclusione, che dipendono da una pluralità di fattori sociali ed economici oltre che clinici. Il secondo anello è funzionale-assistenziale: la prevenzione della disabilità e dell’esclusione si traduce in minore attivazione delle prestazioni assistenziali. Questo anello è sostenuto da evidenza di qualità da moderata a bassa, perché la traduzione del miglioramento clinico in minore ricorso all’assistenza dipende fortemente dal contesto socio-economico, che nel disagio della Puglia gioca un ruolo rilevante.</w:t>
      </w:r>
    </w:p>
    <w:p>
      <w:pPr>
        <w:pStyle w:val="BodyText"/>
      </w:pPr>
      <w:r>
        <w:t xml:space="preserve">Il terzo anello è economico: la minore attivazione delle prestazioni si traduce in minore spesa assistenziale per il bilancio pubblico. Questo anello, a differenza di quelli dei domini produttivi, riguarda una grandezza di spesa anziché di produzione, ed è di natura prossima a quella dei risparmi diretti, dai quali tuttavia si distingue perché grava sul bilancio assistenziale dello Stato e non sul bilancio sanitario regionale. La graduazione complessiva del beneficio welfaristico è da intermedia a bassa, in ragione della forte mediazione esercitata dal contesto socio-economico sulla traduzione del miglioramento clinico in minore ricorso all’assistenza; e si traduce in bande prudenziali ampie. La catena è governata dalla duplice regola di non duplicazione propria del dominio: essa coglie le sole prestazioni assistenziali non previdenziali, distinte dalle prestazioni previdenziali del dominio pensionistico e dall’assistenza informale del dominio assistenzialistico.</w:t>
      </w:r>
    </w:p>
    <w:bookmarkEnd w:id="568"/>
    <w:bookmarkStart w:id="569" w:name="X17c706a7b81b48f97af44cbe3a7effda3bf6b82"/>
    <w:p>
      <w:pPr>
        <w:pStyle w:val="Heading2"/>
      </w:pPr>
      <w:r>
        <w:t xml:space="preserve">9.5.4 La quantificazione del dominio welfaristico</w:t>
      </w:r>
    </w:p>
    <w:p>
      <w:pPr>
        <w:pStyle w:val="FirstParagraph"/>
      </w:pPr>
      <w:r>
        <w:t xml:space="preserve">La quantificazione del dominio welfaristico procede secondo il metodo in cinque passaggi, applicato alle due forme della spesa assistenziale non previdenziale. La tabella che segue ricostruisce le due forme e i margini su cui il dominio opera.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Forma della prestazione assistenziale non previdenziale</w:t>
            </w:r>
          </w:p>
        </w:tc>
        <w:tc>
          <w:tcPr>
            <w:shd w:val="clear" w:color="auto" w:fill="16264B"/>
          </w:tcPr>
          <w:p>
            <w:pPr>
              <w:pStyle w:val="Compact"/>
              <w:spacing w:after="40" w:before="40"/>
              <w:jc w:val="left"/>
            </w:pPr>
            <w:r>
              <w:rPr>
                <w:rFonts w:ascii="Cambria" w:hAnsi="Cambria" w:cs="Cambria" w:eastAsia="Cambria"/>
                <w:b/>
                <w:bCs/>
                <w:color w:val="FFFFFF"/>
                <w:sz w:val="18"/>
              </w:rPr>
              <w:t xml:space="preserve">Grandezza di ancoraggio</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prevenibile dal primo livello psicologico</w:t>
            </w:r>
          </w:p>
        </w:tc>
      </w:tr>
      <w:tr>
        <w:tc>
          <w:tcPr/>
          <w:p>
            <w:pPr>
              <w:pStyle w:val="Compact"/>
              <w:spacing w:after="40" w:before="40"/>
              <w:jc w:val="left"/>
            </w:pPr>
            <w:r>
              <w:rPr>
                <w:rFonts w:ascii="Cambria" w:hAnsi="Cambria" w:cs="Cambria" w:eastAsia="Cambria"/>
                <w:color w:val="1A1A1A"/>
                <w:sz w:val="18"/>
              </w:rPr>
              <w:t xml:space="preserve">Indennità e prestazioni assistenziali per la disabilità</w:t>
            </w:r>
          </w:p>
        </w:tc>
        <w:tc>
          <w:tcPr/>
          <w:p>
            <w:pPr>
              <w:pStyle w:val="Compact"/>
              <w:spacing w:after="40" w:before="40"/>
              <w:jc w:val="left"/>
            </w:pPr>
            <w:r>
              <w:rPr>
                <w:rFonts w:ascii="Cambria" w:hAnsi="Cambria" w:cs="Cambria" w:eastAsia="Cambria"/>
                <w:color w:val="1A1A1A"/>
                <w:sz w:val="18"/>
              </w:rPr>
              <w:t xml:space="preserve">prestazioni non contributive per disabilità (anche psichica) che compromette l’autonomia</w:t>
            </w:r>
          </w:p>
        </w:tc>
        <w:tc>
          <w:tcPr/>
          <w:p>
            <w:pPr>
              <w:pStyle w:val="Compact"/>
              <w:spacing w:after="40" w:before="40"/>
              <w:jc w:val="left"/>
            </w:pPr>
            <w:r>
              <w:rPr>
                <w:rFonts w:ascii="Cambria" w:hAnsi="Cambria" w:cs="Cambria" w:eastAsia="Cambria"/>
                <w:color w:val="1A1A1A"/>
                <w:sz w:val="18"/>
              </w:rPr>
              <w:t xml:space="preserve">la quota prevenibile dalla prevenzione della compromissione dell’autonomia</w:t>
            </w:r>
          </w:p>
        </w:tc>
      </w:tr>
      <w:tr>
        <w:tc>
          <w:tcPr>
            <w:shd w:val="clear" w:color="auto" w:fill="F4F1EC"/>
          </w:tcPr>
          <w:p>
            <w:pPr>
              <w:pStyle w:val="Compact"/>
              <w:spacing w:after="40" w:before="40"/>
              <w:jc w:val="left"/>
            </w:pPr>
            <w:r>
              <w:rPr>
                <w:rFonts w:ascii="Cambria" w:hAnsi="Cambria" w:cs="Cambria" w:eastAsia="Cambria"/>
                <w:color w:val="1A1A1A"/>
                <w:sz w:val="18"/>
              </w:rPr>
              <w:t xml:space="preserve">Misure di sostegno al reddito e sussidi assistenziali</w:t>
            </w:r>
          </w:p>
        </w:tc>
        <w:tc>
          <w:tcPr>
            <w:shd w:val="clear" w:color="auto" w:fill="F4F1EC"/>
          </w:tcPr>
          <w:p>
            <w:pPr>
              <w:pStyle w:val="Compact"/>
              <w:spacing w:after="40" w:before="40"/>
              <w:jc w:val="left"/>
            </w:pPr>
            <w:r>
              <w:rPr>
                <w:rFonts w:ascii="Cambria" w:hAnsi="Cambria" w:cs="Cambria" w:eastAsia="Cambria"/>
                <w:color w:val="1A1A1A"/>
                <w:sz w:val="18"/>
              </w:rPr>
              <w:t xml:space="preserve">sostegni economici a persone in condizione di disagio socio-economico e psichico</w:t>
            </w:r>
          </w:p>
        </w:tc>
        <w:tc>
          <w:tcPr>
            <w:shd w:val="clear" w:color="auto" w:fill="F4F1EC"/>
          </w:tcPr>
          <w:p>
            <w:pPr>
              <w:pStyle w:val="Compact"/>
              <w:spacing w:after="40" w:before="40"/>
              <w:jc w:val="left"/>
            </w:pPr>
            <w:r>
              <w:rPr>
                <w:rFonts w:ascii="Cambria" w:hAnsi="Cambria" w:cs="Cambria" w:eastAsia="Cambria"/>
                <w:color w:val="1A1A1A"/>
                <w:sz w:val="18"/>
              </w:rPr>
              <w:t xml:space="preserve">la quota evitabile dal recupero della capacità di procurarsi un reddito</w:t>
            </w:r>
          </w:p>
        </w:tc>
      </w:tr>
    </w:tbl>
    <w:p>
      <w:pPr>
        <w:pStyle w:val="BodyText"/>
      </w:pPr>
      <w:r>
        <w:rPr>
          <w:i/>
          <w:iCs/>
        </w:rPr>
        <w:t xml:space="preserve">Tabella 9.9 — Le forme della spesa assistenziale non previdenziale connessa al disagio psichico e i margini di prevenzione. Le grandezze sono ricostruite sulle fonti disponibili e saranno sostituite dai dati certificati non appena acquisiti; le componenti prevenibili riguardano le sole prestazioni assistenziali non previdenziali, distinte da quelle previdenziali del dominio pensionistico.</w:t>
      </w:r>
    </w:p>
    <w:p>
      <w:pPr>
        <w:pStyle w:val="BodyText"/>
      </w:pPr>
      <w:r>
        <w:t xml:space="preserve">Sulla base di questo quadro, la stima del beneficio welfaristico è articolata nelle due componenti e per ciascuno dei tre scenari di copertura. La componente delle indennità e prestazioni per la disabilità costituisce la quota maggiore del beneficio, per l’entità e la durata delle prestazioni; la componente delle misure di sostegno al reddito costituisce la quota intermedia. La tabella che segue espone la stima per componente e per scenario.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beneficio welfaristico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Riduzione delle indennità e prestazioni assistenziali per la disabilità</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~4</w:t>
            </w:r>
          </w:p>
        </w:tc>
        <w:tc>
          <w:tcPr/>
          <w:p>
            <w:pPr>
              <w:pStyle w:val="Compact"/>
              <w:spacing w:after="40" w:before="40"/>
              <w:jc w:val="left"/>
            </w:pPr>
            <w:r>
              <w:rPr>
                <w:rFonts w:ascii="Cambria" w:hAnsi="Cambria" w:cs="Cambria" w:eastAsia="Cambria"/>
                <w:color w:val="1A1A1A"/>
                <w:sz w:val="18"/>
              </w:rPr>
              <w:t xml:space="preserve">~6</w:t>
            </w:r>
          </w:p>
        </w:tc>
      </w:tr>
      <w:tr>
        <w:tc>
          <w:tcPr>
            <w:shd w:val="clear" w:color="auto" w:fill="F4F1EC"/>
          </w:tcPr>
          <w:p>
            <w:pPr>
              <w:pStyle w:val="Compact"/>
              <w:spacing w:after="40" w:before="40"/>
              <w:jc w:val="left"/>
            </w:pPr>
            <w:r>
              <w:rPr>
                <w:rFonts w:ascii="Cambria" w:hAnsi="Cambria" w:cs="Cambria" w:eastAsia="Cambria"/>
                <w:color w:val="1A1A1A"/>
                <w:sz w:val="18"/>
              </w:rPr>
              <w:t xml:space="preserve">Riduzione delle misure di sostegno al reddito e dei sussidi</w:t>
            </w:r>
          </w:p>
        </w:tc>
        <w:tc>
          <w:tcPr>
            <w:shd w:val="clear" w:color="auto" w:fill="F4F1EC"/>
          </w:tcPr>
          <w:p>
            <w:pPr>
              <w:pStyle w:val="Compact"/>
              <w:spacing w:after="40" w:before="40"/>
              <w:jc w:val="left"/>
            </w:pPr>
            <w:r>
              <w:rPr>
                <w:rFonts w:ascii="Cambria" w:hAnsi="Cambria" w:cs="Cambria" w:eastAsia="Cambria"/>
                <w:color w:val="1A1A1A"/>
                <w:sz w:val="18"/>
              </w:rPr>
              <w:t xml:space="preserve">~2</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c>
          <w:tcPr>
            <w:shd w:val="clear" w:color="auto" w:fill="F4F1EC"/>
          </w:tcPr>
          <w:p>
            <w:pPr>
              <w:pStyle w:val="Compact"/>
              <w:spacing w:after="40" w:before="40"/>
              <w:jc w:val="left"/>
            </w:pPr>
            <w:r>
              <w:rPr>
                <w:rFonts w:ascii="Cambria" w:hAnsi="Cambria" w:cs="Cambria" w:eastAsia="Cambria"/>
                <w:color w:val="1A1A1A"/>
                <w:sz w:val="18"/>
              </w:rPr>
              <w:t xml:space="preserve">~4</w:t>
            </w:r>
          </w:p>
        </w:tc>
      </w:tr>
      <w:tr>
        <w:tc>
          <w:tcPr/>
          <w:p>
            <w:pPr>
              <w:pStyle w:val="Compact"/>
              <w:spacing w:after="40" w:before="40"/>
              <w:jc w:val="left"/>
            </w:pPr>
            <w:r>
              <w:rPr>
                <w:rFonts w:ascii="Cambria" w:hAnsi="Cambria" w:cs="Cambria" w:eastAsia="Cambria"/>
                <w:color w:val="1A1A1A"/>
                <w:sz w:val="18"/>
              </w:rPr>
              <w:t xml:space="preserve">Beneficio welfaristico indiretto del dominio</w:t>
            </w:r>
          </w:p>
        </w:tc>
        <w:tc>
          <w:tcPr/>
          <w:p>
            <w:pPr>
              <w:pStyle w:val="Compact"/>
              <w:spacing w:after="40" w:before="40"/>
              <w:jc w:val="left"/>
            </w:pPr>
            <w:r>
              <w:rPr>
                <w:rFonts w:ascii="Cambria" w:hAnsi="Cambria" w:cs="Cambria" w:eastAsia="Cambria"/>
                <w:color w:val="1A1A1A"/>
                <w:sz w:val="18"/>
              </w:rPr>
              <w:t xml:space="preserve">~5</w:t>
            </w:r>
          </w:p>
        </w:tc>
        <w:tc>
          <w:tcPr/>
          <w:p>
            <w:pPr>
              <w:pStyle w:val="Compact"/>
              <w:spacing w:after="40" w:before="40"/>
              <w:jc w:val="left"/>
            </w:pPr>
            <w:r>
              <w:rPr>
                <w:rFonts w:ascii="Cambria" w:hAnsi="Cambria" w:cs="Cambria" w:eastAsia="Cambria"/>
                <w:color w:val="1A1A1A"/>
                <w:sz w:val="18"/>
              </w:rPr>
              <w:t xml:space="preserve">~7</w:t>
            </w:r>
          </w:p>
        </w:tc>
        <w:tc>
          <w:tcPr/>
          <w:p>
            <w:pPr>
              <w:pStyle w:val="Compact"/>
              <w:spacing w:after="40" w:before="40"/>
              <w:jc w:val="left"/>
            </w:pPr>
            <w:r>
              <w:rPr>
                <w:rFonts w:ascii="Cambria" w:hAnsi="Cambria" w:cs="Cambria" w:eastAsia="Cambria"/>
                <w:color w:val="1A1A1A"/>
                <w:sz w:val="18"/>
              </w:rPr>
              <w:t xml:space="preserve">~10</w:t>
            </w:r>
          </w:p>
        </w:tc>
      </w:tr>
    </w:tbl>
    <w:p>
      <w:pPr>
        <w:pStyle w:val="BodyText"/>
      </w:pPr>
      <w:r>
        <w:rPr>
          <w:i/>
          <w:iCs/>
        </w:rPr>
        <w:t xml:space="preserve">Tabella 9.10 — Stima prudenziale del beneficio del dominio welfaristico per scenario. Le cifre sono bande prudenziali arrotondate; l’ultima riga è la somma delle due componenti. Il valore riguarda le sole prestazioni assistenziali non previdenziali, grava sul bilancio assistenziale dello Stato, ed è distinto dalle prestazioni previdenziali del dominio pensionistico, dall’assistenza informale del dominio assistenzialistico e dai risparmi sanitari diretti della parte ottava.</w:t>
      </w:r>
    </w:p>
    <w:p>
      <w:pPr>
        <w:pStyle w:val="BodyText"/>
      </w:pPr>
      <w:r>
        <w:t xml:space="preserve">Il beneficio welfaristico indiretto è dunque stimato in un ordine di grandezza compreso tra circa cinque milioni di euro l’anno nello scenario conservativo e circa dieci milioni nello scenario espansivo, con un valore intermedio dell’ordine di sette milioni. La cifra riflette la componente, riconducibile al disagio psichico prevenibile, della spesa assistenziale non previdenziale, che il disturbo non trattato contribuisce ad attivare attraverso la compromissione dell’autonomia e l’esclusione economica. La prudenza della stima riflette, oltre all’incertezza generale, la forte mediazione esercitata dal contesto socio-economico, particolarmente rilevante in una regione segnata dal disagio sociale come la Puglia, dove la relazione tra disagio psichico e ricorso all’assistenza è intrecciata con fattori economici e occupazionali che ne complicano l’attribuzione. La cifra va dunque letta come una stima prudenziale della sola quota attribuibile al disagio psichico prevenibile, distinta dalla più ampia spesa assistenziale determinata da fattori non psichici.</w:t>
      </w:r>
    </w:p>
    <w:bookmarkEnd w:id="569"/>
    <w:bookmarkStart w:id="573" w:name="Xa47cee6e543334cdec4debaf5b487fe34bf32cd"/>
    <w:p>
      <w:pPr>
        <w:pStyle w:val="Heading2"/>
      </w:pPr>
      <w:r>
        <w:t xml:space="preserve">9.5.5 La graduazione, i confini e la duplice distinzione del dominio welfaristico</w:t>
      </w:r>
    </w:p>
    <w:p>
      <w:pPr>
        <w:pStyle w:val="FirstParagraph"/>
      </w:pPr>
      <w:r>
        <w:t xml:space="preserve">La solidità della stima del dominio welfaristico va dichiarata. L’anello clinico-preventivo è sostenuto da evidenza da moderata ad alta per l’efficacia clinica, ma da evidenza più variabile per la specifica prevenzione delle condizioni di disabilità ed esclusione; l’anello funzionale-assistenziale, da evidenza di qualità da moderata a bassa, fortemente mediata dal contesto socio-economico; l’anello economico riguarda una grandezza di spesa prossima ai risparmi diretti ma gravante su un bilancio distinto. La graduazione complessiva del dominio è da intermedia a bassa, e si traduce in bande prudenziali ampie.</w:t>
      </w:r>
      <w:r>
        <w:rPr>
          <w:rStyle w:val="FootnoteReference"/>
        </w:rPr>
        <w:footnoteReference w:id="260"/>
      </w:r>
      <w:r>
        <w:t xml:space="preserve"> </w:t>
      </w:r>
      <w:r>
        <w:t xml:space="preserve">La stima centrale va letta come punto mediano di un intervallo, e la sua prudenza riflette la difficoltà di isolare, nella spesa assistenziale, la quota attribuibile al disagio psichico prevenibile da quella determinata da fattori socio-economici indipendenti.</w:t>
      </w:r>
    </w:p>
    <w:p>
      <w:pPr>
        <w:pStyle w:val="BodyText"/>
      </w:pPr>
      <w:r>
        <w:t xml:space="preserve">Da questa graduazione discendono i confini e la duplice regola di non duplicazione del dominio welfaristico, che ne costituisce il tratto caratteristico. In primo luogo, il beneficio welfaristico è una grandezza indiretta che grava sul bilancio assistenziale dello Stato, distinta dai risparmi sanitari diretti della parte ottava, che gravano sul bilancio sanitario regionale. In secondo luogo, esso coglie le sole prestazioni assistenziali non previdenziali, fondate sul bisogno, e non include in alcun punto le prestazioni previdenziali di invalidità e inabilità, fondate sulla contribuzione, integralmente attribuite al dominio pensionistico: la distinzione tra base assistenziale e base contributiva separa nettamente i due domini.</w:t>
      </w:r>
      <w:r>
        <w:rPr>
          <w:rStyle w:val="FootnoteReference"/>
        </w:rPr>
        <w:footnoteReference w:id="261"/>
      </w:r>
      <w:r>
        <w:t xml:space="preserve"> </w:t>
      </w:r>
      <w:r>
        <w:t xml:space="preserve">In terzo luogo, esso coglie le sole prestazioni assistenziali formali, erogate dallo Stato, e non include l’assistenza informale prestata dai familiari, attribuita al dominio assistenzialistico: la distinzione tra assistenza formale e informale separa i due domini. La duplice distinzione — dalle prestazioni previdenziali e dall’assistenza informale — è ciò che definisce con precisione il perimetro del dominio welfaristico e ne garantisce la non sovrapposizione.</w:t>
      </w:r>
    </w:p>
    <w:p>
      <w:pPr>
        <w:pStyle w:val="BodyText"/>
      </w:pPr>
      <w:r>
        <w:t xml:space="preserve">La verifica documentale del dominio welfaristico segue un’agenda precisa. Essa richiede l’acquisizione dei dati regionali sulla spesa per le indennità e le prestazioni assistenziali per la disabilità e sulle misure di sostegno al reddito, disaggregati per causa nella misura in cui ciò è possibile, indispensabili per stimare la componente riconducibile al disagio psichico; e l’elaborazione di parametri sulla relazione tra disagio psichico, compromissione dell’autonomia ed esclusione economica, necessari per isolare tale componente dalla spesa determinata da fattori non psichici. L’acquisizione di questi dati, prevista nella fase di consolidamento, consentirà di restringere la banda del beneficio welfaristico e di precisarne la stima, tenuto conto della particolare difficoltà di attribuzione in un contesto di disagio sociale diffuso.</w:t>
      </w:r>
      <w:r>
        <w:rPr>
          <w:rStyle w:val="FootnoteReference"/>
        </w:rPr>
        <w:footnoteReference w:id="262"/>
      </w:r>
      <w:r>
        <w:t xml:space="preserve"> </w:t>
      </w:r>
      <w:r>
        <w:t xml:space="preserve">Esauriti i primi cinque domini, che coprono la produzione, la previdenza, l’assistenza informale e il welfare formale, la rinegoziazione può ora muovere verso i domini della prevenzione, della giustizia e dell’amministrazione, oggetto della tranche successiva.</w:t>
      </w:r>
    </w:p>
    <w:bookmarkEnd w:id="573"/>
    <w:bookmarkEnd w:id="574"/>
    <w:bookmarkStart w:id="583" w:name="il-dominio-prevenzionalistico"/>
    <w:p>
      <w:pPr>
        <w:pStyle w:val="Heading2"/>
      </w:pPr>
      <w:r>
        <w:t xml:space="preserve">9.6 Il dominio prevenzionalistico</w:t>
      </w:r>
    </w:p>
    <w:p>
      <w:pPr>
        <w:pStyle w:val="FirstParagraph"/>
      </w:pPr>
      <w:r>
        <w:rPr>
          <w:i/>
          <w:iCs/>
        </w:rPr>
        <w:t xml:space="preserve">Il sesto dominio del perimetro integrale è il prevenzionalistico, e condivide con il produttivistico la natura di dominio in parte trasversale, che impone un trattamento attento alla non duplicazione. La prevenzione, infatti, non è soltanto un dominio tra gli altri, ma il meccanismo stesso attraverso cui la riforma genera la maggior parte dei propri benefici: l’intercettazione precoce del disagio comune è, per definizione, un atto di prevenzione, e il valore che ne deriva — minori ricoveri, minore perdita di produttività, minore uscita dal lavoro — è già contabilizzato nei risparmi diretti della parte ottava e nei domini lavorativo e pensionistico. Per evitare il doppio conteggio, il dominio prevenzionalistico è trattato, come il produttivistico, non come addendo che si somma ai benefici già attribuiti, ma come ambito che ne isola la sola componente residua: il valore prospettico dei costi futuri evitati attraverso la prevenzione delle ricadute e della cronicizzazione, non già colto come risparmio o beneficio presente dagli altri domini. La voce ricostruisce il contesto della prevenzione lungo i suoi livelli, ne isola i meccanismi residui, ne traccia la catena causale, ne stima la componente residua per scenario e ne dichiara, con il rigore richiesto, i confini e la non sovrapposizione.</w:t>
      </w:r>
    </w:p>
    <w:bookmarkStart w:id="575" w:name="X3117aa589792789d36f1bc3b28be08f5b6cfb8b"/>
    <w:p>
      <w:pPr>
        <w:pStyle w:val="Heading2"/>
      </w:pPr>
      <w:r>
        <w:t xml:space="preserve">9.6.1 Il contesto: i livelli della prevenzione e il loro valore</w:t>
      </w:r>
    </w:p>
    <w:p>
      <w:pPr>
        <w:pStyle w:val="FirstParagraph"/>
      </w:pPr>
      <w:r>
        <w:t xml:space="preserve">La prevenzione si articola, secondo la classificazione consolidata, in tre livelli, che corrispondono a tre momenti distinti dell’intervento sul disagio. La prevenzione primaria mira a evitare l’insorgenza stessa del disturbo, agendo sui fattori di rischio prima che la condizione si manifesti; nel campo del disagio psichico essa comprende la promozione del benessere, l’alfabetizzazione psicologica e l’intervento sui determinanti sociali, ed è prevalentemente di natura collettiva e di lungo periodo. La prevenzione secondaria mira a intercettare il disturbo nei suoi stadi iniziali e a impedirne l’evoluzione, agendo dopo l’insorgenza ma prima della cronicizzazione; è il livello su cui lo Psicologo di Base opera in modo più diretto, attraverso l’intercettazione precoce nelle cure primarie. La prevenzione terziaria mira a contenere le conseguenze del disturbo già manifesto e a prevenirne la progressione verso la cronicizzazione e la disabilità, agendo sui casi conclamati per limitarne l’aggravamento.</w:t>
      </w:r>
    </w:p>
    <w:p>
      <w:pPr>
        <w:pStyle w:val="BodyText"/>
      </w:pPr>
      <w:r>
        <w:t xml:space="preserve">Il valore economico della prevenzione risiede nella sua capacità di evitare costi futuri: il disturbo prevenuto o intercettato precocemente non genera i costi — sanitari, di produttività, previdenziali, assistenziali — che il disturbo lasciato evolvere avrebbe generato. Questo valore, tuttavia, pone un problema di attribuzione che è il cuore del trattamento del dominio prevenzionalistico. La maggior parte del valore della prevenzione, infatti, si manifesta come riduzione di costi che gli altri domini hanno già contabilizzato: i minori ricoveri evitati dalla prevenzione sono già nei risparmi diretti della parte ottava, la minore perdita di produttività è già nel dominio lavorativo, la minore uscita dal lavoro è già nel dominio pensionistico. Attribuire al dominio prevenzionalistico l’intero valore della prevenzione significherebbe contare una seconda volta benefici già attribuiti. La sola componente che il dominio prevenzionalistico può legittimamente quantificare è dunque quella residua: il valore prospettico dei costi futuri evitati che non si manifesta come risparmio o beneficio presente, e che gli altri domini non hanno colto.</w:t>
      </w:r>
    </w:p>
    <w:p>
      <w:pPr>
        <w:pStyle w:val="BodyText"/>
      </w:pPr>
      <w:r>
        <w:t xml:space="preserve">Questa componente residua è duplice, e corrisponde ai due livelli di prevenzione su cui lo Psicologo di Base opera. La prima parte è costituita dal valore prospettico della prevenzione secondaria: il costo futuro delle ricadute e delle riacutizzazioni evitate attraverso il consolidamento del miglioramento clinico, costo che si proietta negli anni successivi e che non è colto dal risparmio diretto del presente. La seconda parte è costituita dal valore prospettico della prevenzione terziaria: il costo futuro della cronicizzazione e della progressione verso la disabilità evitate, costo che si proietta nel lungo periodo e che eccede la quota già colta dai domini lavorativo e pensionistico. È la somma di queste due componenti prospettiche residue — opportunamente attualizzate e nettate di quanto già contabilizzato altrove — che costituisce la grandezza che il dominio prevenzionalistico quantifica, con la prudenza imposta dalla natura prospettica e residuale della stima.</w:t>
      </w:r>
    </w:p>
    <w:bookmarkEnd w:id="575"/>
    <w:bookmarkStart w:id="576" w:name="Xc38fe30fcf3533c482b4f2774e2b77d3c127afa"/>
    <w:p>
      <w:pPr>
        <w:pStyle w:val="Heading2"/>
      </w:pPr>
      <w:r>
        <w:t xml:space="preserve">9.6.2 I meccanismi residui: prevenzione secondaria e terziaria</w:t>
      </w:r>
    </w:p>
    <w:p>
      <w:pPr>
        <w:pStyle w:val="FirstParagraph"/>
      </w:pPr>
      <w:r>
        <w:t xml:space="preserve">Il dominio prevenzionalistico, nella sua componente residua, opera attraverso due meccanismi prospettici. Il primo meccanismo è la riduzione dei costi futuri delle ricadute e delle riacutizzazioni. Il consolidamento del miglioramento clinico, conseguente alla presa in carico precoce e al monitoraggio nel tempo, riduce la probabilità che il disturbo, apparentemente risolto, si ripresenti in forma di ricaduta o di riacutizzazione negli anni successivi; il valore che ne deriva è quello dei costi futuri — sanitari, di produttività e sociali — che la ricaduta evitata avrebbe generato, attualizzati al presente. Questo meccanismo coglie un valore prospettico, distinto dal risparmio del presente, e ne quantifica la sola quota non già implicitamente inclusa nelle stime di regime degli altri domini.</w:t>
      </w:r>
    </w:p>
    <w:p>
      <w:pPr>
        <w:pStyle w:val="BodyText"/>
      </w:pPr>
      <w:r>
        <w:t xml:space="preserve">Il secondo meccanismo è la riduzione dei costi futuri della cronicizzazione e della progressione verso la disabilità. La prevenzione dell’evoluzione del disturbo da forma acuta a forma cronica, conseguente all’intervento tempestivo, riduce la probabilità che il disturbo progredisca verso gli stadi di disabilità stabile che generano i costi maggiori e più duraturi; il valore che ne deriva è quello dei costi futuri della cronicizzazione evitata, attualizzati al presente, nella quota che eccede quanto già colto dai domini lavorativo e pensionistico per l’uscita dal lavoro e la perdita di produttività. I due meccanismi convergono verso il valore prospettico residuo della prevenzione, e ne colgono le sole componenti — ricadute e cronicizzazione future — che si proiettano negli anni successivi e che non sono già contabilizzate come benefici presenti dagli altri domini. La natura prospettica e residuale di entrambi i meccanismi impone una stima particolarmente prudente, attualizzata e nettata.</w:t>
      </w:r>
    </w:p>
    <w:bookmarkEnd w:id="576"/>
    <w:bookmarkStart w:id="577" w:name="X25faf0c6d741cde5c72a65e49ea121998af73af"/>
    <w:p>
      <w:pPr>
        <w:pStyle w:val="Heading2"/>
      </w:pPr>
      <w:r>
        <w:t xml:space="preserve">9.6.3 La catena causale del beneficio prevenzionalistico residuo</w:t>
      </w:r>
    </w:p>
    <w:p>
      <w:pPr>
        <w:pStyle w:val="FirstParagraph"/>
      </w:pPr>
      <w:r>
        <w:t xml:space="preserve">La formazione del beneficio prevenzionalistico residuo segue una catena causale di natura prospettica, i cui anelli si proiettano nel tempo. Il primo anello è clinico: l’intercettazione precoce e il monitoraggio nel tempo consolidano il miglioramento e prevengono ricadute e progressione. Questo anello è sostenuto da evidenza da moderata ad alta per l’efficacia della presa in carico, e da evidenza più variabile per la specifica capacità di prevenzione delle ricadute nel lungo periodo, che dipende dalla continuità del monitoraggio. Il secondo anello è prospettico-economico: la prevenzione di ricadute e progressione evita costi futuri, che si proiettano negli anni successivi e che devono essere attualizzati al presente. Questo anello introduce l’incertezza propria delle proiezioni di lungo periodo, accentuata dalla necessità di attualizzazione e dalla difficoltà di stimare la quota di costi futuri non già implicitamente inclusa nelle stime di regime.</w:t>
      </w:r>
    </w:p>
    <w:p>
      <w:pPr>
        <w:pStyle w:val="BodyText"/>
      </w:pPr>
      <w:r>
        <w:t xml:space="preserve">Il terzo anello è quello della non duplicazione: il valore prospettico residuo deve essere nettato di quanto già contabilizzato dagli altri domini, operazione che richiede di distinguere la componente genuinamente prospettica e residuale dalla componente già colta come beneficio presente. La graduazione complessiva del beneficio prevenzionalistico residuo è da intermedia a bassa, in ragione della natura prospettica della stima e della delicatezza dell’operazione di netting; e si traduce in bande prudenziali ampie e in una stima centrale contenuta. La catena è governata, in modo ancora più stringente che negli altri domini, dalla regola di non duplicazione: essa coglie esclusivamente il valore prospettico dei costi futuri evitati, e non include in alcun punto i benefici presenti già attribuiti ai risparmi diretti della parte ottava e ai domini lavorativo e pensionistico. È questa esclusione che impedisce al dominio di duplicare il valore della prevenzione, gran parte del quale è già contabilizzato come beneficio presente altrove.</w:t>
      </w:r>
    </w:p>
    <w:bookmarkEnd w:id="577"/>
    <w:bookmarkStart w:id="578" w:name="X91bbd1df79e93ae80ae8915e6fc8040ac43374c"/>
    <w:p>
      <w:pPr>
        <w:pStyle w:val="Heading2"/>
      </w:pPr>
      <w:r>
        <w:t xml:space="preserve">9.6.4 La quantificazione del dominio prevenzionalistico residuo</w:t>
      </w:r>
    </w:p>
    <w:p>
      <w:pPr>
        <w:pStyle w:val="FirstParagraph"/>
      </w:pPr>
      <w:r>
        <w:t xml:space="preserve">La quantificazione del dominio prevenzionalistico si limita, per le ragioni esposte, alla sola componente prospettica residua, attualizzata e nettata di quanto già contabilizzato. La tabella che segue ricostruisce le due forme della componente residua e i margini su cui il dominio opera.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Livello di prevenzione (componente residua)</w:t>
            </w:r>
          </w:p>
        </w:tc>
        <w:tc>
          <w:tcPr>
            <w:shd w:val="clear" w:color="auto" w:fill="16264B"/>
          </w:tcPr>
          <w:p>
            <w:pPr>
              <w:pStyle w:val="Compact"/>
              <w:spacing w:after="40" w:before="40"/>
              <w:jc w:val="left"/>
            </w:pPr>
            <w:r>
              <w:rPr>
                <w:rFonts w:ascii="Cambria" w:hAnsi="Cambria" w:cs="Cambria" w:eastAsia="Cambria"/>
                <w:b/>
                <w:bCs/>
                <w:color w:val="FFFFFF"/>
                <w:sz w:val="18"/>
              </w:rPr>
              <w:t xml:space="preserve">Grandezza di ancoraggio</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residua attribuibile al dominio (non già altrove)</w:t>
            </w:r>
          </w:p>
        </w:tc>
      </w:tr>
      <w:tr>
        <w:tc>
          <w:tcPr/>
          <w:p>
            <w:pPr>
              <w:pStyle w:val="Compact"/>
              <w:spacing w:after="40" w:before="40"/>
              <w:jc w:val="left"/>
            </w:pPr>
            <w:r>
              <w:rPr>
                <w:rFonts w:ascii="Cambria" w:hAnsi="Cambria" w:cs="Cambria" w:eastAsia="Cambria"/>
                <w:color w:val="1A1A1A"/>
                <w:sz w:val="18"/>
              </w:rPr>
              <w:t xml:space="preserve">Prevenzione secondaria (ricadute e riacutizzazioni)</w:t>
            </w:r>
          </w:p>
        </w:tc>
        <w:tc>
          <w:tcPr/>
          <w:p>
            <w:pPr>
              <w:pStyle w:val="Compact"/>
              <w:spacing w:after="40" w:before="40"/>
              <w:jc w:val="left"/>
            </w:pPr>
            <w:r>
              <w:rPr>
                <w:rFonts w:ascii="Cambria" w:hAnsi="Cambria" w:cs="Cambria" w:eastAsia="Cambria"/>
                <w:color w:val="1A1A1A"/>
                <w:sz w:val="18"/>
              </w:rPr>
              <w:t xml:space="preserve">costo futuro attualizzato delle ricadute evitate</w:t>
            </w:r>
          </w:p>
        </w:tc>
        <w:tc>
          <w:tcPr/>
          <w:p>
            <w:pPr>
              <w:pStyle w:val="Compact"/>
              <w:spacing w:after="40" w:before="40"/>
              <w:jc w:val="left"/>
            </w:pPr>
            <w:r>
              <w:rPr>
                <w:rFonts w:ascii="Cambria" w:hAnsi="Cambria" w:cs="Cambria" w:eastAsia="Cambria"/>
                <w:color w:val="1A1A1A"/>
                <w:sz w:val="18"/>
              </w:rPr>
              <w:t xml:space="preserve">la quota di costo futuro evitato non già colta dai risparmi diretti del presente</w:t>
            </w:r>
          </w:p>
        </w:tc>
      </w:tr>
      <w:tr>
        <w:tc>
          <w:tcPr>
            <w:shd w:val="clear" w:color="auto" w:fill="F4F1EC"/>
          </w:tcPr>
          <w:p>
            <w:pPr>
              <w:pStyle w:val="Compact"/>
              <w:spacing w:after="40" w:before="40"/>
              <w:jc w:val="left"/>
            </w:pPr>
            <w:r>
              <w:rPr>
                <w:rFonts w:ascii="Cambria" w:hAnsi="Cambria" w:cs="Cambria" w:eastAsia="Cambria"/>
                <w:color w:val="1A1A1A"/>
                <w:sz w:val="18"/>
              </w:rPr>
              <w:t xml:space="preserve">Prevenzione terziaria (cronicizzazione e progressione)</w:t>
            </w:r>
          </w:p>
        </w:tc>
        <w:tc>
          <w:tcPr>
            <w:shd w:val="clear" w:color="auto" w:fill="F4F1EC"/>
          </w:tcPr>
          <w:p>
            <w:pPr>
              <w:pStyle w:val="Compact"/>
              <w:spacing w:after="40" w:before="40"/>
              <w:jc w:val="left"/>
            </w:pPr>
            <w:r>
              <w:rPr>
                <w:rFonts w:ascii="Cambria" w:hAnsi="Cambria" w:cs="Cambria" w:eastAsia="Cambria"/>
                <w:color w:val="1A1A1A"/>
                <w:sz w:val="18"/>
              </w:rPr>
              <w:t xml:space="preserve">costo futuro attualizzato della cronicizzazione evitata</w:t>
            </w:r>
          </w:p>
        </w:tc>
        <w:tc>
          <w:tcPr>
            <w:shd w:val="clear" w:color="auto" w:fill="F4F1EC"/>
          </w:tcPr>
          <w:p>
            <w:pPr>
              <w:pStyle w:val="Compact"/>
              <w:spacing w:after="40" w:before="40"/>
              <w:jc w:val="left"/>
            </w:pPr>
            <w:r>
              <w:rPr>
                <w:rFonts w:ascii="Cambria" w:hAnsi="Cambria" w:cs="Cambria" w:eastAsia="Cambria"/>
                <w:color w:val="1A1A1A"/>
                <w:sz w:val="18"/>
              </w:rPr>
              <w:t xml:space="preserve">la quota di progressione evitata non già colta dai domini lavorativo e pensionistico</w:t>
            </w:r>
          </w:p>
        </w:tc>
      </w:tr>
    </w:tbl>
    <w:p>
      <w:pPr>
        <w:pStyle w:val="BodyText"/>
      </w:pPr>
      <w:r>
        <w:rPr>
          <w:i/>
          <w:iCs/>
        </w:rPr>
        <w:t xml:space="preserve">Tabella 9.11 — Le forme della componente prospettica residua della prevenzione e i margini di attribuzione. Le grandezze sono ricostruite sulle fonti disponibili e saranno sostituite dai dati certificati non appena acquisiti; le componenti residue riguardano i soli costi futuri evitati non già contabilizzati come benefici presenti dagli altri domini, e sono attualizzate al presente.</w:t>
      </w:r>
    </w:p>
    <w:p>
      <w:pPr>
        <w:pStyle w:val="BodyText"/>
      </w:pPr>
      <w:r>
        <w:t xml:space="preserve">Sulla base di questo quadro, la stima della componente residua del dominio prevenzionalistico è articolata nelle due forme e per ciascuno dei tre scenari di copertura. Entrambe le componenti sono di entità contenuta, in ragione della natura prospettica e residuale della grandezza e della prudenza imposta dall’attualizzazione e dal netting. La tabella che segue espone la stima per componente e per scenario.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beneficio prevenzionalistico residuo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Prevenzione secondaria: ricadute e riacutizzazioni evitate (residuo)</w:t>
            </w:r>
          </w:p>
        </w:tc>
        <w:tc>
          <w:tcPr/>
          <w:p>
            <w:pPr>
              <w:pStyle w:val="Compact"/>
              <w:spacing w:after="40" w:before="40"/>
              <w:jc w:val="left"/>
            </w:pPr>
            <w:r>
              <w:rPr>
                <w:rFonts w:ascii="Cambria" w:hAnsi="Cambria" w:cs="Cambria" w:eastAsia="Cambria"/>
                <w:color w:val="1A1A1A"/>
                <w:sz w:val="18"/>
              </w:rPr>
              <w:t xml:space="preserve">~2</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~5</w:t>
            </w:r>
          </w:p>
        </w:tc>
      </w:tr>
      <w:tr>
        <w:tc>
          <w:tcPr>
            <w:shd w:val="clear" w:color="auto" w:fill="F4F1EC"/>
          </w:tcPr>
          <w:p>
            <w:pPr>
              <w:pStyle w:val="Compact"/>
              <w:spacing w:after="40" w:before="40"/>
              <w:jc w:val="left"/>
            </w:pPr>
            <w:r>
              <w:rPr>
                <w:rFonts w:ascii="Cambria" w:hAnsi="Cambria" w:cs="Cambria" w:eastAsia="Cambria"/>
                <w:color w:val="1A1A1A"/>
                <w:sz w:val="18"/>
              </w:rPr>
              <w:t xml:space="preserve">Prevenzione terziaria: cronicizzazione e progressione evitate (residuo)</w:t>
            </w:r>
          </w:p>
        </w:tc>
        <w:tc>
          <w:tcPr>
            <w:shd w:val="clear" w:color="auto" w:fill="F4F1EC"/>
          </w:tcPr>
          <w:p>
            <w:pPr>
              <w:pStyle w:val="Compact"/>
              <w:spacing w:after="40" w:before="40"/>
              <w:jc w:val="left"/>
            </w:pPr>
            <w:r>
              <w:rPr>
                <w:rFonts w:ascii="Cambria" w:hAnsi="Cambria" w:cs="Cambria" w:eastAsia="Cambria"/>
                <w:color w:val="1A1A1A"/>
                <w:sz w:val="18"/>
              </w:rPr>
              <w:t xml:space="preserve">~2</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c>
          <w:tcPr>
            <w:shd w:val="clear" w:color="auto" w:fill="F4F1EC"/>
          </w:tcPr>
          <w:p>
            <w:pPr>
              <w:pStyle w:val="Compact"/>
              <w:spacing w:after="40" w:before="40"/>
              <w:jc w:val="left"/>
            </w:pPr>
            <w:r>
              <w:rPr>
                <w:rFonts w:ascii="Cambria" w:hAnsi="Cambria" w:cs="Cambria" w:eastAsia="Cambria"/>
                <w:color w:val="1A1A1A"/>
                <w:sz w:val="18"/>
              </w:rPr>
              <w:t xml:space="preserve">~4</w:t>
            </w:r>
          </w:p>
        </w:tc>
      </w:tr>
      <w:tr>
        <w:tc>
          <w:tcPr/>
          <w:p>
            <w:pPr>
              <w:pStyle w:val="Compact"/>
              <w:spacing w:after="40" w:before="40"/>
              <w:jc w:val="left"/>
            </w:pPr>
            <w:r>
              <w:rPr>
                <w:rFonts w:ascii="Cambria" w:hAnsi="Cambria" w:cs="Cambria" w:eastAsia="Cambria"/>
                <w:color w:val="1A1A1A"/>
                <w:sz w:val="18"/>
              </w:rPr>
              <w:t xml:space="preserve">Beneficio prevenzionalistico residuo del dominio</w:t>
            </w:r>
          </w:p>
        </w:tc>
        <w:tc>
          <w:tcPr/>
          <w:p>
            <w:pPr>
              <w:pStyle w:val="Compact"/>
              <w:spacing w:after="40" w:before="40"/>
              <w:jc w:val="left"/>
            </w:pPr>
            <w:r>
              <w:rPr>
                <w:rFonts w:ascii="Cambria" w:hAnsi="Cambria" w:cs="Cambria" w:eastAsia="Cambria"/>
                <w:color w:val="1A1A1A"/>
                <w:sz w:val="18"/>
              </w:rPr>
              <w:t xml:space="preserve">~4</w:t>
            </w:r>
          </w:p>
        </w:tc>
        <w:tc>
          <w:tcPr/>
          <w:p>
            <w:pPr>
              <w:pStyle w:val="Compact"/>
              <w:spacing w:after="40" w:before="40"/>
              <w:jc w:val="left"/>
            </w:pPr>
            <w:r>
              <w:rPr>
                <w:rFonts w:ascii="Cambria" w:hAnsi="Cambria" w:cs="Cambria" w:eastAsia="Cambria"/>
                <w:color w:val="1A1A1A"/>
                <w:sz w:val="18"/>
              </w:rPr>
              <w:t xml:space="preserve">~6</w:t>
            </w:r>
          </w:p>
        </w:tc>
        <w:tc>
          <w:tcPr/>
          <w:p>
            <w:pPr>
              <w:pStyle w:val="Compact"/>
              <w:spacing w:after="40" w:before="40"/>
              <w:jc w:val="left"/>
            </w:pPr>
            <w:r>
              <w:rPr>
                <w:rFonts w:ascii="Cambria" w:hAnsi="Cambria" w:cs="Cambria" w:eastAsia="Cambria"/>
                <w:color w:val="1A1A1A"/>
                <w:sz w:val="18"/>
              </w:rPr>
              <w:t xml:space="preserve">~9</w:t>
            </w:r>
          </w:p>
        </w:tc>
      </w:tr>
    </w:tbl>
    <w:p>
      <w:pPr>
        <w:pStyle w:val="BodyText"/>
      </w:pPr>
      <w:r>
        <w:rPr>
          <w:i/>
          <w:iCs/>
        </w:rPr>
        <w:t xml:space="preserve">Tabella 9.12 — Stima prudenziale della componente residua del dominio prevenzionalistico per scenario. Le cifre sono bande prudenziali arrotondate e attualizzate; l’ultima riga è la somma delle due componenti residue. Il valore è la sola componente prospettica non già attribuita ai risparmi diretti del presente e ai domini lavorativo e pensionistico.</w:t>
      </w:r>
    </w:p>
    <w:p>
      <w:pPr>
        <w:pStyle w:val="BodyText"/>
      </w:pPr>
      <w:r>
        <w:t xml:space="preserve">Il beneficio prevenzionalistico residuo è dunque stimato in un ordine di grandezza compreso tra circa quattro milioni di euro l’anno nello scenario conservativo e circa nove milioni nello scenario espansivo, con un valore intermedio dell’ordine di sei milioni. La modestia della cifra, come per il dominio produttivistico, non indica la scarsa rilevanza della prevenzione, che è al contrario il meccanismo centrale della riforma, ma riflette il rigore della regola di non duplicazione: la gran parte del valore della prevenzione è già contabilizzata come beneficio presente nei risparmi diretti e nei domini lavorativo e pensionistico, e ciò che il dominio prevenzionalistico aggiunge è soltanto la quota prospettica residua, dei costi futuri evitati, non altrimenti colta. La funzione del dominio prevenzionalistico nell’economia della parte non è dunque quella di aggiungere una grandezza cospicua, ma quella di catturare la dimensione temporale del valore della prevenzione — i costi che si manifesterebbero negli anni futuri — che le stime di regime degli altri domini non colgono pienamente, e di riconoscere così il carattere intrinsecamente preventivo dell’intera riforma senza duplicarne il valore.</w:t>
      </w:r>
    </w:p>
    <w:bookmarkEnd w:id="578"/>
    <w:bookmarkStart w:id="582" w:name="X915a50c6d96cb7f9b83814658f17fe7c3ec9ed0"/>
    <w:p>
      <w:pPr>
        <w:pStyle w:val="Heading2"/>
      </w:pPr>
      <w:r>
        <w:t xml:space="preserve">9.6.5 La graduazione, i confini e la non duplicazione del dominio prevenzionalistico</w:t>
      </w:r>
    </w:p>
    <w:p>
      <w:pPr>
        <w:pStyle w:val="FirstParagraph"/>
      </w:pPr>
      <w:r>
        <w:t xml:space="preserve">La solidità della stima del dominio prevenzionalistico residuo va dichiarata con franchezza. L’anello clinico è sostenuto da evidenza da moderata ad alta per l’efficacia della presa in carico; ma l’anello prospettico-economico è sostenuto da evidenza di qualità inferiore, in ragione dell’incertezza propria delle proiezioni di lungo periodo e della necessità di attualizzazione; e l’anello della non duplicazione richiede un’operazione di netting delicata, che distingue il valore prospettico residuo dal valore presente già contabilizzato. La graduazione complessiva del dominio è da intermedia a bassa, e si traduce in bande prudenziali ampie e in una stima centrale contenuta.</w:t>
      </w:r>
      <w:r>
        <w:rPr>
          <w:rStyle w:val="FootnoteReference"/>
        </w:rPr>
        <w:footnoteReference w:id="263"/>
      </w:r>
      <w:r>
        <w:t xml:space="preserve"> </w:t>
      </w:r>
      <w:r>
        <w:t xml:space="preserve">La stima del dominio va letta come un ordine di grandezza prudenziale della componente prospettica residua, e non come una misura precisa.</w:t>
      </w:r>
    </w:p>
    <w:p>
      <w:pPr>
        <w:pStyle w:val="BodyText"/>
      </w:pPr>
      <w:r>
        <w:t xml:space="preserve">Da questa graduazione discendono i confini e le regole di non duplicazione del dominio prevenzionalistico, tra le più stringenti della parte. In primo luogo, il beneficio prevenzionalistico residuo è una grandezza indiretta, non sommata ai risparmi sanitari diretti della parte ottava. In secondo luogo, e in modo decisivo, esso coglie esclusivamente il valore prospettico dei costi futuri evitati, e non include in alcun punto i benefici presenti della prevenzione, già contabilizzati nei risparmi diretti della parte ottava — i ricoveri e gli accessi evitati nel presente — e nei domini lavorativo e pensionistico — la produttività conservata e l’uscita evitata nel presente. È questa esclusione che impedisce al dominio di duplicare il valore della prevenzione, gran parte del quale è già colto come beneficio presente.</w:t>
      </w:r>
      <w:r>
        <w:rPr>
          <w:rStyle w:val="FootnoteReference"/>
        </w:rPr>
        <w:footnoteReference w:id="264"/>
      </w:r>
      <w:r>
        <w:t xml:space="preserve"> </w:t>
      </w:r>
      <w:r>
        <w:t xml:space="preserve">In terzo luogo, il valore prospettico residuo è attualizzato al presente secondo i criteri del telaio, e nettato della quota già implicitamente inclusa nelle stime di regime degli altri domini. La specificità del dominio prevenzionalistico è dunque quella di catturare la sola dimensione temporale futura del valore della prevenzione, riconoscendone il carattere centrale per la riforma senza duplicarne il valore presente.</w:t>
      </w:r>
    </w:p>
    <w:p>
      <w:pPr>
        <w:pStyle w:val="BodyText"/>
      </w:pPr>
      <w:r>
        <w:t xml:space="preserve">La verifica documentale del dominio prevenzionalistico segue un’agenda mirata alla sua natura prospettica. Essa richiede l’elaborazione di parametri sulla prevenzione delle ricadute e della cronicizzazione attribuibile alla presa in carico precoce e al monitoraggio nel tempo, desumibili dalla letteratura sull’efficacia di lungo periodo e dai modelli di decorso del disturbo;</w:t>
      </w:r>
      <w:r>
        <w:rPr>
          <w:rStyle w:val="FootnoteReference"/>
        </w:rPr>
        <w:footnoteReference w:id="265"/>
      </w:r>
      <w:r>
        <w:t xml:space="preserve"> </w:t>
      </w:r>
      <w:r>
        <w:t xml:space="preserve">e la definizione dei criteri di attualizzazione e di netting necessari a isolare la componente prospettica residua da quella presente già contabilizzata. L’acquisizione di questi parametri, prevista nella fase di consolidamento e strettamente collegata alla modellazione di lungo periodo della parte undicesima, consentirà di precisare la stima della componente residua. Stabilito il valore prospettico residuo della prevenzione, la rinegoziazione può ora muovere verso un dominio di natura affatto diversa, il criminologico, che richiede, più di ogni altro, cautela interpretativa e rigore nell’evitare ogni rappresentazione stigmatizzante.</w:t>
      </w:r>
    </w:p>
    <w:bookmarkEnd w:id="582"/>
    <w:bookmarkEnd w:id="583"/>
    <w:bookmarkStart w:id="592" w:name="il-dominio-criminologico"/>
    <w:p>
      <w:pPr>
        <w:pStyle w:val="Heading2"/>
      </w:pPr>
      <w:r>
        <w:t xml:space="preserve">9.7 Il dominio criminologico</w:t>
      </w:r>
    </w:p>
    <w:p>
      <w:pPr>
        <w:pStyle w:val="FirstParagraph"/>
      </w:pPr>
      <w:r>
        <w:rPr>
          <w:i/>
          <w:iCs/>
        </w:rPr>
        <w:t xml:space="preserve">Il settimo dominio del perimetro integrale è il criminologico, e richiede, più di ogni altro, una premessa interpretativa rigorosa, perché il suo terreno è particolarmente esposto al rischio di rappresentazioni inesatte e stigmatizzanti. Occorre affermare con chiarezza, in apertura, ciò che la letteratura scientifica documenta in modo solido: la grande maggioranza delle persone affette da disturbi psichici non è coinvolta in alcuna forma di devianza, e il disturbo mentale non è, di per sé, causa di comportamenti devianti o violenti. La relazione tra disagio psichico e contatto con il sistema giudiziario, ove esista, è una relazione indiretta, mediata da fattori quali la mancanza di sostegno e di cura, l’esclusione sociale, la concomitanza di altri fattori di disagio, e riguarda una frazione piccola e specifica di situazioni, prevalentemente connesse a disturbi gravi non trattati e non al disagio comune. Il dominio criminologico non misura, dunque, un nesso tra malattia e crimine, che la scienza smentisce, ma il valore della prevenzione, attraverso la cura, di quella frazione piccola e mediata di situazioni in cui il disagio non intercettato si associa, per il tramite dell’esclusione e dell’abbandono, a un contatto con il circuito penale che la presa in carico avrebbe potuto evitare. La voce ricostruisce, con questa cautela, il contesto, ne isola i meccanismi, ne traccia la catena causale, ne stima il beneficio per scenario e ne dichiara la graduazione, necessariamente bassa, e i confini.</w:t>
      </w:r>
    </w:p>
    <w:bookmarkStart w:id="584" w:name="Xa89015021174c3eae23dbc8f5d10a1e109a3f38"/>
    <w:p>
      <w:pPr>
        <w:pStyle w:val="Heading2"/>
      </w:pPr>
      <w:r>
        <w:t xml:space="preserve">9.7.1 Il contesto: una relazione indiretta, mediata e di frazione limitata</w:t>
      </w:r>
    </w:p>
    <w:p>
      <w:pPr>
        <w:pStyle w:val="FirstParagraph"/>
      </w:pPr>
      <w:r>
        <w:t xml:space="preserve">La corretta comprensione del dominio criminologico esige che si sgombri preliminarmente il campo da un fraintendimento diffuso e dannoso. La rappresentazione che associa il disturbo mentale alla pericolosità e alla devianza è priva di fondamento scientifico e socialmente nociva, perché alimenta lo stigma che costituisce esso stesso una delle barriere all’accesso alle cure. La letteratura criminologica ed epidemiologica documenta in modo concorde che le persone affette da disturbi psichici hanno, nella stragrande maggioranza dei casi, comportamenti del tutto analoghi a quelli della popolazione generale, e che esse sono, semmai, più frequentemente vittime che autrici di atti di violenza. Qualunque trattazione del dominio criminologico deve muovere da questa affermazione, e mantenerla come criterio interpretativo costante, per non concorrere alla diffusione di una rappresentazione falsa e stigmatizzante.</w:t>
      </w:r>
    </w:p>
    <w:p>
      <w:pPr>
        <w:pStyle w:val="BodyText"/>
      </w:pPr>
      <w:r>
        <w:t xml:space="preserve">Ciò premesso, la letteratura documenta altresì l’esistenza di una relazione indiretta e mediata tra una specifica condizione — il disturbo grave non trattato, accompagnato da esclusione sociale, abbandono e concomitanza di altri fattori di disagio — e una maggiore probabilità di contatto con il sistema giudiziario, contatto che assume spesso la forma della detenzione di persone con disturbi psichici non adeguatamente prese in carico, o del loro reingresso nel circuito penale in assenza di percorsi di cura e reinserimento. Questa relazione non discende dal disturbo in quanto tale, ma dalla sua mancata intercettazione e dal contesto di abbandono che la accompagna; essa riguarda una frazione piccola del fenomeno complessivo, e si concentra sui disturbi gravi e sulle situazioni di esclusione, non sul disagio comune della popolazione generale. È su questa frazione piccola e mediata che la riforma può incidere, non attraverso un controllo della devianza, ma attraverso la cura e il sostegno che prevengono l’abbandono e l’esclusione da cui quella frazione di contatti con il circuito penale trae origine.</w:t>
      </w:r>
    </w:p>
    <w:p>
      <w:pPr>
        <w:pStyle w:val="BodyText"/>
      </w:pPr>
      <w:r>
        <w:t xml:space="preserve">La connessione tra questa frazione e il primo livello psicologico opera, dunque, attraverso due vie distinte e complementari. La prima è l’intercettazione precoce del disagio, che, prendendo in carico la persona nei suoi stadi iniziali e accompagnandola verso le cure appropriate, previene quella traiettoria di abbandono, esclusione e aggravamento che, nella frazione piccola dei casi gravi non trattati, può condurre al contatto con il circuito penale. La seconda è il sostegno al reinserimento e la diversione verso percorsi di cura, che, per le persone già entrate in contatto con il sistema giudiziario, riducono la probabilità di reingresso offrendo un’alternativa di cura all’abbandono. Lo Psicologo di Base, intercettando il disagio nelle cure primarie e contribuendo ai percorsi di reinserimento, agisce su entrambe le vie; e il valore che ne deriva — i costi della giustizia e della detenzione evitati nella frazione piccola e mediata dei casi in cui la cura previene il contatto o il reingresso — è il beneficio che il dominio criminologico misura, con la consapevolezza costante della natura limitata, indiretta e mediata della relazione.</w:t>
      </w:r>
    </w:p>
    <w:bookmarkEnd w:id="584"/>
    <w:bookmarkStart w:id="585" w:name="X78397414472cd4cc3ee2bc52238d928f341af8b"/>
    <w:p>
      <w:pPr>
        <w:pStyle w:val="Heading2"/>
      </w:pPr>
      <w:r>
        <w:t xml:space="preserve">9.7.2 I meccanismi: prevenzione attraverso la cura e riduzione della recidiva</w:t>
      </w:r>
    </w:p>
    <w:p>
      <w:pPr>
        <w:pStyle w:val="FirstParagraph"/>
      </w:pPr>
      <w:r>
        <w:t xml:space="preserve">Il dominio criminologico opera attraverso due meccanismi, entrambi fondati sulla cura e sul sostegno, non sul controllo. Il primo meccanismo è la prevenzione, attraverso l’intercettazione precoce, della frazione di contatti con il circuito penale riconducibile all’abbandono dei casi gravi non trattati. La presa in carico precoce, accompagnando la persona verso le cure e prevenendo la traiettoria di esclusione e aggravamento, riduce la probabilità che, nella frazione piccola dei casi in cui ciò accade, il disagio non intercettato si associ a un contatto con il sistema giudiziario; il valore che ne deriva è quello dei costi della giustizia e della detenzione evitati in quella frazione. Il meccanismo agisce sulla frazione piccola e mediata, e il suo valore è di conseguenza contenuto, ma reale.</w:t>
      </w:r>
    </w:p>
    <w:p>
      <w:pPr>
        <w:pStyle w:val="BodyText"/>
      </w:pPr>
      <w:r>
        <w:t xml:space="preserve">Il secondo meccanismo è la riduzione della recidiva attraverso la diversione verso percorsi di cura e il sostegno al reinserimento. Per le persone con disturbi psichici già entrate in contatto con il sistema giudiziario, l’offerta di un percorso di cura e di reinserimento, in alternativa al mero passaggio nel circuito penale, riduce la probabilità di reingresso, interrompendo il ciclo di abbandono e recidiva che l’assenza di cura alimenta; il valore che ne deriva è quello dei costi del reingresso evitati e del reinserimento riuscito. I due meccanismi convergono verso la riduzione dei costi della giustizia connessi alla frazione piccola e mediata di situazioni in cui il disagio non curato si associa al contatto con il circuito penale, e ne colgono componenti distinte — la prevenzione del primo contatto e la riduzione del reingresso — entrambe fondate sulla cura e sul sostegno, e di entità contenuta in ragione della limitatezza della frazione su cui agiscono.</w:t>
      </w:r>
    </w:p>
    <w:bookmarkEnd w:id="585"/>
    <w:bookmarkStart w:id="586" w:name="X2a03b54de738f057e12099c87046f727382258d"/>
    <w:p>
      <w:pPr>
        <w:pStyle w:val="Heading2"/>
      </w:pPr>
      <w:r>
        <w:t xml:space="preserve">9.7.3 La catena causale del beneficio criminologico</w:t>
      </w:r>
    </w:p>
    <w:p>
      <w:pPr>
        <w:pStyle w:val="FirstParagraph"/>
      </w:pPr>
      <w:r>
        <w:t xml:space="preserve">La formazione del beneficio criminologico segue una catena causale particolarmente lunga e incerta, i cui anelli riflettono la natura indiretta e mediata della relazione. Il primo anello è clinico-sociale: l’intercettazione precoce e il sostegno prevengono la traiettoria di abbandono ed esclusione che, nella frazione piccola dei casi gravi non trattati, si associa al contatto con il circuito penale. Questo anello è sostenuto da evidenza di qualità variabile, perché la relazione tra cura e prevenzione del contatto penale è mediata da molteplici fattori sociali. Il secondo anello è quello che lega la prevenzione del contatto e del reingresso ai costi della giustizia evitati. Questo anello è sostenuto da evidenza di qualità bassa, in ragione della lunghezza della catena, della limitatezza della frazione e della difficoltà di attribuire al solo intervento di cura un esito determinato da una pluralità di fattori sociali ed economici.</w:t>
      </w:r>
    </w:p>
    <w:p>
      <w:pPr>
        <w:pStyle w:val="BodyText"/>
      </w:pPr>
      <w:r>
        <w:t xml:space="preserve">Il terzo anello è economico: i contatti con il circuito penale e i reingressi evitati si traducono in minori costi della giustizia e della detenzione per il bilancio dello Stato. La graduazione complessiva del beneficio criminologico è bassa, tra le più basse della parte, in ragione della lunghezza della catena causale, della limitatezza e della natura mediata della frazione su cui il dominio agisce, e della difficoltà di attribuzione; e si traduce in bande prudenziali ampie e in una stima centrale contenuta. La catena è governata, oltre che dalla regola di non duplicazione, dal vincolo interpretativo costante: essa non misura un nesso tra malattia e crimine, ma il valore della cura nel prevenire, in una frazione piccola e mediata di situazioni, l’abbandono da cui un contatto con il circuito penale può trarre origine. La cautela interpretativa non è un’aggiunta retorica, ma una condizione della correttezza scientifica della stima, che riguarda una frazione limitata e una relazione indiretta, e che va letta esclusivamente in questa luce.</w:t>
      </w:r>
    </w:p>
    <w:bookmarkEnd w:id="586"/>
    <w:bookmarkStart w:id="587" w:name="X40609ea9c2136def89a84760a7d9e25b6a5e6bd"/>
    <w:p>
      <w:pPr>
        <w:pStyle w:val="Heading2"/>
      </w:pPr>
      <w:r>
        <w:t xml:space="preserve">9.7.4 La quantificazione del dominio criminologico</w:t>
      </w:r>
    </w:p>
    <w:p>
      <w:pPr>
        <w:pStyle w:val="FirstParagraph"/>
      </w:pPr>
      <w:r>
        <w:t xml:space="preserve">La quantificazione del dominio criminologico procede secondo il metodo in cinque passaggi, applicato con particolare prudenza alla frazione piccola e mediata su cui il dominio agisce. La tabella che segue ricostruisce le due forme del costo connesso e i margini su cui il dominio opera, nella consapevolezza costante della natura limitata e indiretta della relazione.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Forma del costo connesso</w:t>
            </w:r>
          </w:p>
        </w:tc>
        <w:tc>
          <w:tcPr>
            <w:shd w:val="clear" w:color="auto" w:fill="16264B"/>
          </w:tcPr>
          <w:p>
            <w:pPr>
              <w:pStyle w:val="Compact"/>
              <w:spacing w:after="40" w:before="40"/>
              <w:jc w:val="left"/>
            </w:pPr>
            <w:r>
              <w:rPr>
                <w:rFonts w:ascii="Cambria" w:hAnsi="Cambria" w:cs="Cambria" w:eastAsia="Cambria"/>
                <w:b/>
                <w:bCs/>
                <w:color w:val="FFFFFF"/>
                <w:sz w:val="18"/>
              </w:rPr>
              <w:t xml:space="preserve">Grandezza di ancoraggio</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attribuibile (frazione piccola, indiretta e mediata)</w:t>
            </w:r>
          </w:p>
        </w:tc>
      </w:tr>
      <w:tr>
        <w:tc>
          <w:tcPr/>
          <w:p>
            <w:pPr>
              <w:pStyle w:val="Compact"/>
              <w:spacing w:after="40" w:before="40"/>
              <w:jc w:val="left"/>
            </w:pPr>
            <w:r>
              <w:rPr>
                <w:rFonts w:ascii="Cambria" w:hAnsi="Cambria" w:cs="Cambria" w:eastAsia="Cambria"/>
                <w:color w:val="1A1A1A"/>
                <w:sz w:val="18"/>
              </w:rPr>
              <w:t xml:space="preserve">Costi della giustizia e della detenzione</w:t>
            </w:r>
          </w:p>
        </w:tc>
        <w:tc>
          <w:tcPr/>
          <w:p>
            <w:pPr>
              <w:pStyle w:val="Compact"/>
              <w:spacing w:after="40" w:before="40"/>
              <w:jc w:val="left"/>
            </w:pPr>
            <w:r>
              <w:rPr>
                <w:rFonts w:ascii="Cambria" w:hAnsi="Cambria" w:cs="Cambria" w:eastAsia="Cambria"/>
                <w:color w:val="1A1A1A"/>
                <w:sz w:val="18"/>
              </w:rPr>
              <w:t xml:space="preserve">costi del circuito penale nella quota mediata dall’abbandono dei casi gravi non trattati</w:t>
            </w:r>
          </w:p>
        </w:tc>
        <w:tc>
          <w:tcPr/>
          <w:p>
            <w:pPr>
              <w:pStyle w:val="Compact"/>
              <w:spacing w:after="40" w:before="40"/>
              <w:jc w:val="left"/>
            </w:pPr>
            <w:r>
              <w:rPr>
                <w:rFonts w:ascii="Cambria" w:hAnsi="Cambria" w:cs="Cambria" w:eastAsia="Cambria"/>
                <w:color w:val="1A1A1A"/>
                <w:sz w:val="18"/>
              </w:rPr>
              <w:t xml:space="preserve">la frazione piccola prevenibile dall’intercettazione precoce e dal sostegno</w:t>
            </w:r>
          </w:p>
        </w:tc>
      </w:tr>
      <w:tr>
        <w:tc>
          <w:tcPr>
            <w:shd w:val="clear" w:color="auto" w:fill="F4F1EC"/>
          </w:tcPr>
          <w:p>
            <w:pPr>
              <w:pStyle w:val="Compact"/>
              <w:spacing w:after="40" w:before="40"/>
              <w:jc w:val="left"/>
            </w:pPr>
            <w:r>
              <w:rPr>
                <w:rFonts w:ascii="Cambria" w:hAnsi="Cambria" w:cs="Cambria" w:eastAsia="Cambria"/>
                <w:color w:val="1A1A1A"/>
                <w:sz w:val="18"/>
              </w:rPr>
              <w:t xml:space="preserve">Recidiva e reingresso nel circuito penale</w:t>
            </w:r>
          </w:p>
        </w:tc>
        <w:tc>
          <w:tcPr>
            <w:shd w:val="clear" w:color="auto" w:fill="F4F1EC"/>
          </w:tcPr>
          <w:p>
            <w:pPr>
              <w:pStyle w:val="Compact"/>
              <w:spacing w:after="40" w:before="40"/>
              <w:jc w:val="left"/>
            </w:pPr>
            <w:r>
              <w:rPr>
                <w:rFonts w:ascii="Cambria" w:hAnsi="Cambria" w:cs="Cambria" w:eastAsia="Cambria"/>
                <w:color w:val="1A1A1A"/>
                <w:sz w:val="18"/>
              </w:rPr>
              <w:t xml:space="preserve">costi del reingresso nella quota associata all’assenza di cura e reinserimento</w:t>
            </w:r>
          </w:p>
        </w:tc>
        <w:tc>
          <w:tcPr>
            <w:shd w:val="clear" w:color="auto" w:fill="F4F1EC"/>
          </w:tcPr>
          <w:p>
            <w:pPr>
              <w:pStyle w:val="Compact"/>
              <w:spacing w:after="40" w:before="40"/>
              <w:jc w:val="left"/>
            </w:pPr>
            <w:r>
              <w:rPr>
                <w:rFonts w:ascii="Cambria" w:hAnsi="Cambria" w:cs="Cambria" w:eastAsia="Cambria"/>
                <w:color w:val="1A1A1A"/>
                <w:sz w:val="18"/>
              </w:rPr>
              <w:t xml:space="preserve">la quota riducibile dalla diversione verso percorsi di cura e dal reinserimento</w:t>
            </w:r>
          </w:p>
        </w:tc>
      </w:tr>
    </w:tbl>
    <w:p>
      <w:pPr>
        <w:pStyle w:val="BodyText"/>
      </w:pPr>
      <w:r>
        <w:rPr>
          <w:i/>
          <w:iCs/>
        </w:rPr>
        <w:t xml:space="preserve">Tabella 9.13 — Le forme del costo della giustizia connesse alla frazione piccola e mediata e i margini di prevenzione. Le grandezze riguardano una frazione limitata e una relazione indiretta, mediata dall’abbandono e dall’esclusione, non un nesso tra disturbo e devianza, che la letteratura smentisce; saranno precisate dai dati certificati nella fase di consolidamento.</w:t>
      </w:r>
    </w:p>
    <w:p>
      <w:pPr>
        <w:pStyle w:val="BodyText"/>
      </w:pPr>
      <w:r>
        <w:t xml:space="preserve">Sulla base di questo quadro, e con la prudenza imposta dalla limitatezza della frazione, la stima del beneficio criminologico è articolata nelle due componenti e per ciascuno dei tre scenari di copertura. Entrambe le componenti sono di entità contenuta, in ragione della limitatezza della frazione su cui il dominio agisce e della bassa qualità dell’evidenza. La tabella che segue espone la stima per componente e per scenario.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beneficio criminologico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Riduzione dei costi della giustizia (frazione mediata e prevenibile)</w:t>
            </w:r>
          </w:p>
        </w:tc>
        <w:tc>
          <w:tcPr/>
          <w:p>
            <w:pPr>
              <w:pStyle w:val="Compact"/>
              <w:spacing w:after="40" w:before="40"/>
              <w:jc w:val="left"/>
            </w:pPr>
            <w:r>
              <w:rPr>
                <w:rFonts w:ascii="Cambria" w:hAnsi="Cambria" w:cs="Cambria" w:eastAsia="Cambria"/>
                <w:color w:val="1A1A1A"/>
                <w:sz w:val="18"/>
              </w:rPr>
              <w:t xml:space="preserve">~2</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~5</w:t>
            </w:r>
          </w:p>
        </w:tc>
      </w:tr>
      <w:tr>
        <w:tc>
          <w:tcPr>
            <w:shd w:val="clear" w:color="auto" w:fill="F4F1EC"/>
          </w:tcPr>
          <w:p>
            <w:pPr>
              <w:pStyle w:val="Compact"/>
              <w:spacing w:after="40" w:before="40"/>
              <w:jc w:val="left"/>
            </w:pPr>
            <w:r>
              <w:rPr>
                <w:rFonts w:ascii="Cambria" w:hAnsi="Cambria" w:cs="Cambria" w:eastAsia="Cambria"/>
                <w:color w:val="1A1A1A"/>
                <w:sz w:val="18"/>
              </w:rPr>
              <w:t xml:space="preserve">Riduzione della recidiva (diversione verso la cura e reinserimento)</w:t>
            </w:r>
          </w:p>
        </w:tc>
        <w:tc>
          <w:tcPr>
            <w:shd w:val="clear" w:color="auto" w:fill="F4F1EC"/>
          </w:tcPr>
          <w:p>
            <w:pPr>
              <w:pStyle w:val="Compact"/>
              <w:spacing w:after="40" w:before="40"/>
              <w:jc w:val="left"/>
            </w:pPr>
            <w:r>
              <w:rPr>
                <w:rFonts w:ascii="Cambria" w:hAnsi="Cambria" w:cs="Cambria" w:eastAsia="Cambria"/>
                <w:color w:val="1A1A1A"/>
                <w:sz w:val="18"/>
              </w:rPr>
              <w:t xml:space="preserve">~2</w:t>
            </w:r>
          </w:p>
        </w:tc>
        <w:tc>
          <w:tcPr>
            <w:shd w:val="clear" w:color="auto" w:fill="F4F1EC"/>
          </w:tcPr>
          <w:p>
            <w:pPr>
              <w:pStyle w:val="Compact"/>
              <w:spacing w:after="40" w:before="40"/>
              <w:jc w:val="left"/>
            </w:pPr>
            <w:r>
              <w:rPr>
                <w:rFonts w:ascii="Cambria" w:hAnsi="Cambria" w:cs="Cambria" w:eastAsia="Cambria"/>
                <w:color w:val="1A1A1A"/>
                <w:sz w:val="18"/>
              </w:rPr>
              <w:t xml:space="preserve">~2</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r>
      <w:tr>
        <w:tc>
          <w:tcPr/>
          <w:p>
            <w:pPr>
              <w:pStyle w:val="Compact"/>
              <w:spacing w:after="40" w:before="40"/>
              <w:jc w:val="left"/>
            </w:pPr>
            <w:r>
              <w:rPr>
                <w:rFonts w:ascii="Cambria" w:hAnsi="Cambria" w:cs="Cambria" w:eastAsia="Cambria"/>
                <w:color w:val="1A1A1A"/>
                <w:sz w:val="18"/>
              </w:rPr>
              <w:t xml:space="preserve">Beneficio criminologico indiretto del dominio</w:t>
            </w:r>
          </w:p>
        </w:tc>
        <w:tc>
          <w:tcPr/>
          <w:p>
            <w:pPr>
              <w:pStyle w:val="Compact"/>
              <w:spacing w:after="40" w:before="40"/>
              <w:jc w:val="left"/>
            </w:pPr>
            <w:r>
              <w:rPr>
                <w:rFonts w:ascii="Cambria" w:hAnsi="Cambria" w:cs="Cambria" w:eastAsia="Cambria"/>
                <w:color w:val="1A1A1A"/>
                <w:sz w:val="18"/>
              </w:rPr>
              <w:t xml:space="preserve">~4</w:t>
            </w:r>
          </w:p>
        </w:tc>
        <w:tc>
          <w:tcPr/>
          <w:p>
            <w:pPr>
              <w:pStyle w:val="Compact"/>
              <w:spacing w:after="40" w:before="40"/>
              <w:jc w:val="left"/>
            </w:pPr>
            <w:r>
              <w:rPr>
                <w:rFonts w:ascii="Cambria" w:hAnsi="Cambria" w:cs="Cambria" w:eastAsia="Cambria"/>
                <w:color w:val="1A1A1A"/>
                <w:sz w:val="18"/>
              </w:rPr>
              <w:t xml:space="preserve">~5</w:t>
            </w:r>
          </w:p>
        </w:tc>
        <w:tc>
          <w:tcPr/>
          <w:p>
            <w:pPr>
              <w:pStyle w:val="Compact"/>
              <w:spacing w:after="40" w:before="40"/>
              <w:jc w:val="left"/>
            </w:pPr>
            <w:r>
              <w:rPr>
                <w:rFonts w:ascii="Cambria" w:hAnsi="Cambria" w:cs="Cambria" w:eastAsia="Cambria"/>
                <w:color w:val="1A1A1A"/>
                <w:sz w:val="18"/>
              </w:rPr>
              <w:t xml:space="preserve">~8</w:t>
            </w:r>
          </w:p>
        </w:tc>
      </w:tr>
    </w:tbl>
    <w:p>
      <w:pPr>
        <w:pStyle w:val="BodyText"/>
      </w:pPr>
      <w:r>
        <w:rPr>
          <w:i/>
          <w:iCs/>
        </w:rPr>
        <w:t xml:space="preserve">Tabella 9.14 — Stima prudenziale del beneficio del dominio criminologico per scenario. Le cifre sono bande prudenziali arrotondate e riferite a una frazione piccola e mediata; l’ultima riga è la somma delle due componenti. Il valore grava sul bilancio della giustizia, è distinto dai risparmi sanitari diretti, e va letto esclusivamente come prevenzione, attraverso la cura, dell’abbandono da cui un contatto penale può trarre origine.</w:t>
      </w:r>
    </w:p>
    <w:p>
      <w:pPr>
        <w:pStyle w:val="BodyText"/>
      </w:pPr>
      <w:r>
        <w:t xml:space="preserve">Il beneficio criminologico indiretto è dunque stimato in un ordine di grandezza compreso tra circa quattro milioni di euro l’anno nello scenario conservativo e circa otto milioni nello scenario espansivo, con un valore intermedio dell’ordine di cinque milioni. La modestia della cifra riflette fedelmente la natura del fenomeno: la frazione di costi della giustizia riconducibile, per il tramite dell’abbandono e dell’esclusione, al disagio non curato è piccola, perché piccola è la frazione di persone con disturbi psichici che entra in contatto con il sistema giudiziario, e contenuta è di conseguenza la grandezza che la riforma può prevenire. La stima va letta, lo si ribadisce un’ultima volta, esclusivamente nei termini corretti: non come misura di un nesso tra malattia e crimine, che non esiste, ma come stima prudenziale del valore della cura nel prevenire, in una frazione limitata e mediata di situazioni, l’abbandono da cui un contatto con il circuito penale può trarre origine, e nel sostenere il reinserimento di chi vi sia già entrato. Letta in qualunque altro modo, la cifra sarebbe non solo inesatta, ma dannosa, perché concorrerebbe alla diffusione dello stigma che essa, correttamente intesa, contribuisce invece a combattere attraverso la cura.</w:t>
      </w:r>
    </w:p>
    <w:bookmarkEnd w:id="587"/>
    <w:bookmarkStart w:id="591" w:name="X6196692d461b2394e247c12e8a1a2b100afa7cf"/>
    <w:p>
      <w:pPr>
        <w:pStyle w:val="Heading2"/>
      </w:pPr>
      <w:r>
        <w:t xml:space="preserve">9.7.5 La graduazione, i confini e la cautela interpretativa del dominio criminologico</w:t>
      </w:r>
    </w:p>
    <w:p>
      <w:pPr>
        <w:pStyle w:val="FirstParagraph"/>
      </w:pPr>
      <w:r>
        <w:t xml:space="preserve">La solidità della stima del dominio criminologico va dichiarata con la massima franchezza, ed è bassa. L’anello clinico-sociale è sostenuto da evidenza di qualità variabile; l’anello che lega la cura alla prevenzione del contatto penale, da evidenza di qualità bassa, in ragione della lunghezza della catena e della natura mediata della relazione; l’anello economico è soggetto alla difficoltà di attribuire al solo intervento di cura un esito multifattoriale. La graduazione complessiva del dominio è bassa, tra le più basse della parte, e si traduce in bande prudenziali ampie e in una stima centrale deliberatamente contenuta.</w:t>
      </w:r>
      <w:r>
        <w:rPr>
          <w:rStyle w:val="FootnoteReference"/>
        </w:rPr>
        <w:footnoteReference w:id="266"/>
      </w:r>
      <w:r>
        <w:t xml:space="preserve"> </w:t>
      </w:r>
      <w:r>
        <w:t xml:space="preserve">La stima del dominio va letta come un ordine di grandezza prudenziale di una frazione piccola e mediata, e non come una misura precisa di una relazione che, nella sua natura, sfugge alla quantificazione puntuale.</w:t>
      </w:r>
    </w:p>
    <w:p>
      <w:pPr>
        <w:pStyle w:val="BodyText"/>
      </w:pPr>
      <w:r>
        <w:t xml:space="preserve">Da questa graduazione, e soprattutto dalla natura del dominio, discendono confini particolarmente rigorosi, di cui il primo è interpretativo prima che contabile. Il vincolo interpretativo costante impone che il dominio sia inteso esclusivamente come prevenzione, attraverso la cura, dell’abbandono da cui un contatto penale può trarre origine in una frazione piccola e mediata di situazioni, e mai come misura di un nesso tra disturbo e devianza, che la scienza smentisce e che lo stigma alimenta.</w:t>
      </w:r>
      <w:r>
        <w:rPr>
          <w:rStyle w:val="FootnoteReference"/>
        </w:rPr>
        <w:footnoteReference w:id="267"/>
      </w:r>
      <w:r>
        <w:t xml:space="preserve"> </w:t>
      </w:r>
      <w:r>
        <w:t xml:space="preserve">Quanto ai confini contabili, il beneficio criminologico è una grandezza indiretta che grava sul bilancio della giustizia, distinta dai risparmi sanitari diretti della parte ottava e dagli altri domini. Esso non si sovrappone al dominio welfaristico, perché riguarda i costi della giustizia e non le prestazioni assistenziali; né ai domini produttivi, perché riguarda i costi del circuito penale e non la produttività. La separazione del dominio criminologico dagli altri è dunque netta sul piano contabile, ma la sua specificità risiede soprattutto nel vincolo interpretativo, che ne governa la lettura prima ancora della collocazione.</w:t>
      </w:r>
    </w:p>
    <w:p>
      <w:pPr>
        <w:pStyle w:val="BodyText"/>
      </w:pPr>
      <w:r>
        <w:t xml:space="preserve">La verifica documentale del dominio criminologico segue un’agenda che ne rispetta la natura delicata. Essa richiede l’acquisizione di dati e studi sulla presenza di persone con disturbi psichici non adeguatamente presi in carico nel circuito penale e detentivo regionale, e sull’efficacia dei percorsi di diversione verso la cura e di reinserimento nel ridurre il reingresso; dati che vanno trattati con cautela e nel rispetto della dignità delle persone, e che riguardano una frazione limitata del fenomeno complessivo.</w:t>
      </w:r>
      <w:r>
        <w:rPr>
          <w:rStyle w:val="FootnoteReference"/>
        </w:rPr>
        <w:footnoteReference w:id="268"/>
      </w:r>
      <w:r>
        <w:t xml:space="preserve"> </w:t>
      </w:r>
      <w:r>
        <w:t xml:space="preserve">L’acquisizione di questi dati, prevista nella fase di consolidamento, consentirà di precisare la stima della frazione, mantenendo sempre il vincolo interpretativo che ne governa la lettura. Stabilito, con la dovuta cautela, il valore della frazione mediata su cui il dominio criminologico agisce, la rinegoziazione può ora muovere verso un dominio di natura amministrativa, il burocratico, che misura il valore della semplificazione dei percorsi.</w:t>
      </w:r>
    </w:p>
    <w:bookmarkEnd w:id="591"/>
    <w:bookmarkEnd w:id="592"/>
    <w:bookmarkStart w:id="599" w:name="il-dominio-burocratico"/>
    <w:p>
      <w:pPr>
        <w:pStyle w:val="Heading2"/>
      </w:pPr>
      <w:r>
        <w:t xml:space="preserve">9.8 Il dominio burocratico</w:t>
      </w:r>
    </w:p>
    <w:p>
      <w:pPr>
        <w:pStyle w:val="FirstParagraph"/>
      </w:pPr>
      <w:r>
        <w:rPr>
          <w:i/>
          <w:iCs/>
        </w:rPr>
        <w:t xml:space="preserve">L’ottavo dominio del perimetro integrale è il burocratico, e misura il valore che la riforma genera attraverso la semplificazione dei percorsi amministrativi e la maggiore efficienza della gestione. Il disagio psichico non intercettato genera, oltre ai costi sanitari, di produttività e sociali sin qui esaminati, un costo amministrativo: la moltiplicazione degli adempimenti, delle certificazioni, dei passaggi tra servizi e degli iter burocratici che la frammentazione della presa in carico comporta, e che gravano tanto sulle amministrazioni quanto sui cittadini. La presa in carico al primo livello, offrendo un punto di accesso e di coordinamento prossimo e integrato, semplifica questi percorsi, riduce gli adempimenti e attenua la frammentazione, generando un beneficio di natura amministrativa. La voce ricostruisce il contesto dell’onere amministrativo connesso al disagio, ne isola i meccanismi, ne traccia la catena causale, ne stima il beneficio per scenario, contenuto ma reale, e ne dichiara la graduazione e i confini.</w:t>
      </w:r>
    </w:p>
    <w:bookmarkStart w:id="593" w:name="X046171248cec74f3b01158b251cb1aa343df096"/>
    <w:p>
      <w:pPr>
        <w:pStyle w:val="Heading2"/>
      </w:pPr>
      <w:r>
        <w:t xml:space="preserve">9.8.1 Il contesto: l’onere amministrativo del disagio non intercettato</w:t>
      </w:r>
    </w:p>
    <w:p>
      <w:pPr>
        <w:pStyle w:val="FirstParagraph"/>
      </w:pPr>
      <w:r>
        <w:t xml:space="preserve">La presa in carico del disagio psichico, quando avviene in modo frammentato e tardivo, comporta un onere amministrativo che si aggiunge ai costi sostanziali. Il cittadino che, in assenza di un punto di accesso prossimo e integrato, deve rivolgersi a una pluralità di servizi non coordinati, affronta una sequenza di adempimenti, certificazioni, prenotazioni e passaggi che moltiplicano il tempo e il costo della presa in carico, e che gravano anche sulle amministrazioni chiamate a gestirli. Questo onere amministrativo è una componente reale, ancorché contenuta, del costo del disagio non adeguatamente intercettato, e si manifesta tanto come costo per le amministrazioni — il tempo del personale dedicato agli adempimenti, la gestione della frammentazione — quanto come costo per i cittadini, in termini di tempo e di difficoltà di accesso. In Puglia, dove la frammentazione dei servizi e la carenza di punti di accesso integrati sono particolarmente avvertite, l’onere amministrativo connesso al disagio è di entità non trascurabile, e la riforma può comprimerlo attraverso la semplificazione e l’integrazione.</w:t>
      </w:r>
    </w:p>
    <w:p>
      <w:pPr>
        <w:pStyle w:val="BodyText"/>
      </w:pPr>
      <w:r>
        <w:t xml:space="preserve">L’onere amministrativo si manifesta in due forme principali. La prima è costituita dagli adempimenti e dalle certificazioni che la presa in carico frammentata comporta: le richieste, le attestazioni, i passaggi documentali e gli iter che si moltiplicano quando la presa in carico non dispone di un punto di coordinamento prossimo, e che assorbono tempo del personale amministrativo e dei cittadini. La seconda è costituita dalla frammentazione amministrativa, ossia dal costo della gestione non integrata tra i diversi servizi che si occupano, separatamente, della medesima persona, con duplicazioni, sovrapposizioni e mancanza di coordinamento che generano inefficienza. È la somma di queste due forme — gli adempimenti moltiplicati e la frammentazione gestionale — che costituisce la grandezza di ancoraggio del dominio burocratico, e che la riforma può comprimere offrendo un punto di accesso e di coordinamento integrato al primo livello.</w:t>
      </w:r>
    </w:p>
    <w:p>
      <w:pPr>
        <w:pStyle w:val="BodyText"/>
      </w:pPr>
      <w:r>
        <w:t xml:space="preserve">La connessione tra questo onere e il primo livello psicologico opera attraverso la funzione di punto di accesso e di coordinamento prossimo che lo Psicologo di Base, integrato nelle cure primarie, svolge. Offrendo un punto di intercettazione e di presa in carico iniziale prossimo al cittadino e coordinato con gli altri servizi, il primo livello psicologico riduce la necessità di rivolgersi a una pluralità di servizi non coordinati, semplifica gli adempimenti e attenua la frammentazione; il cittadino dispone di un riferimento prossimo che lo orienta e lo accompagna, e le amministrazioni gestiscono in modo più integrato la presa in carico. Lo Psicologo di Base, in questa funzione, agisce come fattore di semplificazione e di integrazione amministrativa; e il valore che ne deriva — gli adempimenti ridotti e la frammentazione attenuata — è il beneficio che il dominio burocratico misura. Tale beneficio si distribuisce sulle amministrazioni, che riducono il tempo dedicato agli adempimenti, e sui cittadini, che accedono più agevolmente.</w:t>
      </w:r>
    </w:p>
    <w:bookmarkEnd w:id="593"/>
    <w:bookmarkStart w:id="594" w:name="X88c956ed19c509590f1e62d8111e20c233f313d"/>
    <w:p>
      <w:pPr>
        <w:pStyle w:val="Heading2"/>
      </w:pPr>
      <w:r>
        <w:t xml:space="preserve">9.8.2 I meccanismi: semplificazione degli adempimenti e gestione integrata</w:t>
      </w:r>
    </w:p>
    <w:p>
      <w:pPr>
        <w:pStyle w:val="FirstParagraph"/>
      </w:pPr>
      <w:r>
        <w:t xml:space="preserve">Il dominio burocratico opera attraverso due meccanismi, corrispondenti alle due forme dell’onere e accomunati dalla semplificazione e dall’integrazione. Il primo meccanismo è la riduzione degli adempimenti e la semplificazione dei percorsi. La funzione di punto di accesso prossimo e coordinato, offrendo un riferimento iniziale che orienta e accompagna il cittadino, riduce la moltiplicazione degli adempimenti, delle certificazioni e dei passaggi che la presa in carico frammentata comporta; il valore che ne deriva è quello del tempo del personale amministrativo e dei cittadini risparmiato. Il meccanismo agisce sulla riduzione del numero e della complessità degli iter, e il suo valore è quello dell’efficienza amministrativa guadagnata.</w:t>
      </w:r>
    </w:p>
    <w:p>
      <w:pPr>
        <w:pStyle w:val="BodyText"/>
      </w:pPr>
      <w:r>
        <w:t xml:space="preserve">Il secondo meccanismo è la gestione integrata e la riduzione della frammentazione. Il coordinamento al primo livello tra i diversi servizi che si occupano della persona, conseguente alla funzione di integrazione dello Psicologo di Base, riduce le duplicazioni, le sovrapposizioni e la mancanza di coordinamento che la gestione frammentata comporta; il valore che ne deriva è quello della maggiore efficienza della gestione integrata. I due meccanismi convergono verso la semplificazione amministrativa e l’integrazione gestionale, e ne colgono componenti distinte — la riduzione degli adempimenti e la riduzione della frammentazione — di entità contenuta ma reale, riferite a un valore di efficienza amministrativa distinto dai risparmi sostanziali colti dagli altri domini.</w:t>
      </w:r>
    </w:p>
    <w:bookmarkEnd w:id="594"/>
    <w:bookmarkStart w:id="595" w:name="X0eb801669ae21fabaf1eb9dcbf0499ffa846432"/>
    <w:p>
      <w:pPr>
        <w:pStyle w:val="Heading2"/>
      </w:pPr>
      <w:r>
        <w:t xml:space="preserve">9.8.3 La catena causale del beneficio burocratico</w:t>
      </w:r>
    </w:p>
    <w:p>
      <w:pPr>
        <w:pStyle w:val="FirstParagraph"/>
      </w:pPr>
      <w:r>
        <w:t xml:space="preserve">La formazione del beneficio burocratico segue una catena causale relativamente breve. Il primo anello è organizzativo: la funzione di punto di accesso prossimo e coordinato semplifica i percorsi e integra la gestione. Questo anello è sostenuto da evidenza coerente, di natura prevalentemente organizzativa, sull’effetto di semplificazione dei punti di accesso integrati. Il secondo anello è amministrativo-economico: la semplificazione e l’integrazione si traducono in minore tempo del personale dedicato agli adempimenti e in maggiore efficienza gestionale. Questo anello è sostenuto da evidenza di qualità variabile, perché la traduzione della semplificazione in valore economico dipende dalla misurazione del tempo amministrativo risparmiato, non sempre agevole.</w:t>
      </w:r>
    </w:p>
    <w:p>
      <w:pPr>
        <w:pStyle w:val="BodyText"/>
      </w:pPr>
      <w:r>
        <w:t xml:space="preserve">La graduazione complessiva del beneficio burocratico è intermedia per l’anello organizzativo e più incerta per la quantificazione economica, e si traduce in bande prudenziali e in una stima centrale contenuta, coerente con la natura amministrativa e non sostanziale del beneficio. La catena è governata dalla regola di non duplicazione, che nel dominio burocratico assume una forma specifica: il beneficio burocratico riguarda l’efficienza amministrativa — il tempo dedicato agli adempimenti e alla gestione — e non i risparmi sostanziali sui costi dei servizi, già colti dagli altri domini; la distinzione tra efficienza amministrativa e risparmio sostanziale separa il dominio burocratico dagli altri. Il dominio coglie, in altri termini, il costo del processo amministrativo, distinto dal costo della prestazione, e ne misura la riduzione conseguente alla semplificazione e all’integrazione.</w:t>
      </w:r>
    </w:p>
    <w:bookmarkEnd w:id="595"/>
    <w:bookmarkStart w:id="596" w:name="X27e3db592b5fd345864d19d217ea81acd67d7d7"/>
    <w:p>
      <w:pPr>
        <w:pStyle w:val="Heading2"/>
      </w:pPr>
      <w:r>
        <w:t xml:space="preserve">9.8.4 La quantificazione del dominio burocratico</w:t>
      </w:r>
    </w:p>
    <w:p>
      <w:pPr>
        <w:pStyle w:val="FirstParagraph"/>
      </w:pPr>
      <w:r>
        <w:t xml:space="preserve">La quantificazione del dominio burocratico procede secondo il metodo in cinque passaggi, applicato alle due forme dell’onere amministrativo. La tabella che segue ricostruisce le due forme e i margini su cui il dominio opera.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Forma dell’onere amministrativo</w:t>
            </w:r>
          </w:p>
        </w:tc>
        <w:tc>
          <w:tcPr>
            <w:shd w:val="clear" w:color="auto" w:fill="16264B"/>
          </w:tcPr>
          <w:p>
            <w:pPr>
              <w:pStyle w:val="Compact"/>
              <w:spacing w:after="40" w:before="40"/>
              <w:jc w:val="left"/>
            </w:pPr>
            <w:r>
              <w:rPr>
                <w:rFonts w:ascii="Cambria" w:hAnsi="Cambria" w:cs="Cambria" w:eastAsia="Cambria"/>
                <w:b/>
                <w:bCs/>
                <w:color w:val="FFFFFF"/>
                <w:sz w:val="18"/>
              </w:rPr>
              <w:t xml:space="preserve">Grandezza di ancoraggio</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comprimibile dal primo livello psicologico</w:t>
            </w:r>
          </w:p>
        </w:tc>
      </w:tr>
      <w:tr>
        <w:tc>
          <w:tcPr/>
          <w:p>
            <w:pPr>
              <w:pStyle w:val="Compact"/>
              <w:spacing w:after="40" w:before="40"/>
              <w:jc w:val="left"/>
            </w:pPr>
            <w:r>
              <w:rPr>
                <w:rFonts w:ascii="Cambria" w:hAnsi="Cambria" w:cs="Cambria" w:eastAsia="Cambria"/>
                <w:color w:val="1A1A1A"/>
                <w:sz w:val="18"/>
              </w:rPr>
              <w:t xml:space="preserve">Adempimenti e certificazioni</w:t>
            </w:r>
          </w:p>
        </w:tc>
        <w:tc>
          <w:tcPr/>
          <w:p>
            <w:pPr>
              <w:pStyle w:val="Compact"/>
              <w:spacing w:after="40" w:before="40"/>
              <w:jc w:val="left"/>
            </w:pPr>
            <w:r>
              <w:rPr>
                <w:rFonts w:ascii="Cambria" w:hAnsi="Cambria" w:cs="Cambria" w:eastAsia="Cambria"/>
                <w:color w:val="1A1A1A"/>
                <w:sz w:val="18"/>
              </w:rPr>
              <w:t xml:space="preserve">costo del tempo amministrativo e dei cittadini per gli iter della presa in carico frammentata</w:t>
            </w:r>
          </w:p>
        </w:tc>
        <w:tc>
          <w:tcPr/>
          <w:p>
            <w:pPr>
              <w:pStyle w:val="Compact"/>
              <w:spacing w:after="40" w:before="40"/>
              <w:jc w:val="left"/>
            </w:pPr>
            <w:r>
              <w:rPr>
                <w:rFonts w:ascii="Cambria" w:hAnsi="Cambria" w:cs="Cambria" w:eastAsia="Cambria"/>
                <w:color w:val="1A1A1A"/>
                <w:sz w:val="18"/>
              </w:rPr>
              <w:t xml:space="preserve">la quota riducibile dalla semplificazione dei percorsi e dal punto di accesso prossimo</w:t>
            </w:r>
          </w:p>
        </w:tc>
      </w:tr>
      <w:tr>
        <w:tc>
          <w:tcPr>
            <w:shd w:val="clear" w:color="auto" w:fill="F4F1EC"/>
          </w:tcPr>
          <w:p>
            <w:pPr>
              <w:pStyle w:val="Compact"/>
              <w:spacing w:after="40" w:before="40"/>
              <w:jc w:val="left"/>
            </w:pPr>
            <w:r>
              <w:rPr>
                <w:rFonts w:ascii="Cambria" w:hAnsi="Cambria" w:cs="Cambria" w:eastAsia="Cambria"/>
                <w:color w:val="1A1A1A"/>
                <w:sz w:val="18"/>
              </w:rPr>
              <w:t xml:space="preserve">Frammentazione amministrativa</w:t>
            </w:r>
          </w:p>
        </w:tc>
        <w:tc>
          <w:tcPr>
            <w:shd w:val="clear" w:color="auto" w:fill="F4F1EC"/>
          </w:tcPr>
          <w:p>
            <w:pPr>
              <w:pStyle w:val="Compact"/>
              <w:spacing w:after="40" w:before="40"/>
              <w:jc w:val="left"/>
            </w:pPr>
            <w:r>
              <w:rPr>
                <w:rFonts w:ascii="Cambria" w:hAnsi="Cambria" w:cs="Cambria" w:eastAsia="Cambria"/>
                <w:color w:val="1A1A1A"/>
                <w:sz w:val="18"/>
              </w:rPr>
              <w:t xml:space="preserve">costo della gestione non integrata tra i servizi (duplicazioni, sovrapposizioni)</w:t>
            </w:r>
          </w:p>
        </w:tc>
        <w:tc>
          <w:tcPr>
            <w:shd w:val="clear" w:color="auto" w:fill="F4F1EC"/>
          </w:tcPr>
          <w:p>
            <w:pPr>
              <w:pStyle w:val="Compact"/>
              <w:spacing w:after="40" w:before="40"/>
              <w:jc w:val="left"/>
            </w:pPr>
            <w:r>
              <w:rPr>
                <w:rFonts w:ascii="Cambria" w:hAnsi="Cambria" w:cs="Cambria" w:eastAsia="Cambria"/>
                <w:color w:val="1A1A1A"/>
                <w:sz w:val="18"/>
              </w:rPr>
              <w:t xml:space="preserve">la quota riducibile dalla gestione integrata e dal coordinamento al primo livello</w:t>
            </w:r>
          </w:p>
        </w:tc>
      </w:tr>
    </w:tbl>
    <w:p>
      <w:pPr>
        <w:pStyle w:val="BodyText"/>
      </w:pPr>
      <w:r>
        <w:rPr>
          <w:i/>
          <w:iCs/>
        </w:rPr>
        <w:t xml:space="preserve">Tabella 9.15 — Le forme dell’onere amministrativo connesso alla presa in carico frammentata e i margini di compressione. Le grandezze sono ricostruite sulle fonti disponibili e saranno sostituite dai dati certificati non appena acquisiti; le componenti comprimibili riguardano il costo del processo amministrativo, distinto dal costo della prestazione colto dagli altri domini.</w:t>
      </w:r>
    </w:p>
    <w:p>
      <w:pPr>
        <w:pStyle w:val="BodyText"/>
      </w:pPr>
      <w:r>
        <w:t xml:space="preserve">Sulla base di questo quadro, la stima del beneficio burocratico è articolata nelle due componenti e per ciascuno dei tre scenari di copertura. La componente della riduzione degli adempimenti costituisce la quota maggiore del beneficio; la componente dell’efficienza della gestione integrata costituisce la quota minore. La tabella che segue espone la stima per componente e per scenario.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beneficio burocratico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Riduzione degli adempimenti e semplificazione dei percorsi</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~2</w:t>
            </w:r>
          </w:p>
        </w:tc>
        <w:tc>
          <w:tcPr/>
          <w:p>
            <w:pPr>
              <w:pStyle w:val="Compact"/>
              <w:spacing w:after="40" w:before="40"/>
              <w:jc w:val="left"/>
            </w:pPr>
            <w:r>
              <w:rPr>
                <w:rFonts w:ascii="Cambria" w:hAnsi="Cambria" w:cs="Cambria" w:eastAsia="Cambria"/>
                <w:color w:val="1A1A1A"/>
                <w:sz w:val="18"/>
              </w:rPr>
              <w:t xml:space="preserve">~3</w:t>
            </w:r>
          </w:p>
        </w:tc>
      </w:tr>
      <w:tr>
        <w:tc>
          <w:tcPr>
            <w:shd w:val="clear" w:color="auto" w:fill="F4F1EC"/>
          </w:tcPr>
          <w:p>
            <w:pPr>
              <w:pStyle w:val="Compact"/>
              <w:spacing w:after="40" w:before="40"/>
              <w:jc w:val="left"/>
            </w:pPr>
            <w:r>
              <w:rPr>
                <w:rFonts w:ascii="Cambria" w:hAnsi="Cambria" w:cs="Cambria" w:eastAsia="Cambria"/>
                <w:color w:val="1A1A1A"/>
                <w:sz w:val="18"/>
              </w:rPr>
              <w:t xml:space="preserve">Efficienza amministrativa e gestione integrata</w:t>
            </w:r>
          </w:p>
        </w:tc>
        <w:tc>
          <w:tcPr>
            <w:shd w:val="clear" w:color="auto" w:fill="F4F1EC"/>
          </w:tcPr>
          <w:p>
            <w:pPr>
              <w:pStyle w:val="Compact"/>
              <w:spacing w:after="40" w:before="40"/>
              <w:jc w:val="left"/>
            </w:pPr>
            <w:r>
              <w:rPr>
                <w:rFonts w:ascii="Cambria" w:hAnsi="Cambria" w:cs="Cambria" w:eastAsia="Cambria"/>
                <w:color w:val="1A1A1A"/>
                <w:sz w:val="18"/>
              </w:rPr>
              <w:t xml:space="preserve">~1</w:t>
            </w:r>
          </w:p>
        </w:tc>
        <w:tc>
          <w:tcPr>
            <w:shd w:val="clear" w:color="auto" w:fill="F4F1EC"/>
          </w:tcPr>
          <w:p>
            <w:pPr>
              <w:pStyle w:val="Compact"/>
              <w:spacing w:after="40" w:before="40"/>
              <w:jc w:val="left"/>
            </w:pPr>
            <w:r>
              <w:rPr>
                <w:rFonts w:ascii="Cambria" w:hAnsi="Cambria" w:cs="Cambria" w:eastAsia="Cambria"/>
                <w:color w:val="1A1A1A"/>
                <w:sz w:val="18"/>
              </w:rPr>
              <w:t xml:space="preserve">~1</w:t>
            </w:r>
          </w:p>
        </w:tc>
        <w:tc>
          <w:tcPr>
            <w:shd w:val="clear" w:color="auto" w:fill="F4F1EC"/>
          </w:tcPr>
          <w:p>
            <w:pPr>
              <w:pStyle w:val="Compact"/>
              <w:spacing w:after="40" w:before="40"/>
              <w:jc w:val="left"/>
            </w:pPr>
            <w:r>
              <w:rPr>
                <w:rFonts w:ascii="Cambria" w:hAnsi="Cambria" w:cs="Cambria" w:eastAsia="Cambria"/>
                <w:color w:val="1A1A1A"/>
                <w:sz w:val="18"/>
              </w:rPr>
              <w:t xml:space="preserve">~1</w:t>
            </w:r>
          </w:p>
        </w:tc>
      </w:tr>
      <w:tr>
        <w:tc>
          <w:tcPr/>
          <w:p>
            <w:pPr>
              <w:pStyle w:val="Compact"/>
              <w:spacing w:after="40" w:before="40"/>
              <w:jc w:val="left"/>
            </w:pPr>
            <w:r>
              <w:rPr>
                <w:rFonts w:ascii="Cambria" w:hAnsi="Cambria" w:cs="Cambria" w:eastAsia="Cambria"/>
                <w:color w:val="1A1A1A"/>
                <w:sz w:val="18"/>
              </w:rPr>
              <w:t xml:space="preserve">Beneficio burocratico indiretto del dominio</w:t>
            </w:r>
          </w:p>
        </w:tc>
        <w:tc>
          <w:tcPr/>
          <w:p>
            <w:pPr>
              <w:pStyle w:val="Compact"/>
              <w:spacing w:after="40" w:before="40"/>
              <w:jc w:val="left"/>
            </w:pPr>
            <w:r>
              <w:rPr>
                <w:rFonts w:ascii="Cambria" w:hAnsi="Cambria" w:cs="Cambria" w:eastAsia="Cambria"/>
                <w:color w:val="1A1A1A"/>
                <w:sz w:val="18"/>
              </w:rPr>
              <w:t xml:space="preserve">~2</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~4</w:t>
            </w:r>
          </w:p>
        </w:tc>
      </w:tr>
    </w:tbl>
    <w:p>
      <w:pPr>
        <w:pStyle w:val="BodyText"/>
      </w:pPr>
      <w:r>
        <w:rPr>
          <w:i/>
          <w:iCs/>
        </w:rPr>
        <w:t xml:space="preserve">Tabella 9.16 — Stima prudenziale del beneficio del dominio burocratico per scenario. Le cifre sono bande prudenziali arrotondate; l’ultima riga è la somma delle due componenti. Il valore riguarda l’efficienza amministrativa — il costo del processo — distinta dai risparmi sostanziali sui costi delle prestazioni colti dagli altri domini, e dai risparmi sanitari diretti della parte ottava.</w:t>
      </w:r>
    </w:p>
    <w:p>
      <w:pPr>
        <w:pStyle w:val="BodyText"/>
      </w:pPr>
      <w:r>
        <w:t xml:space="preserve">Il beneficio burocratico indiretto è dunque stimato in un ordine di grandezza compreso tra circa due milioni di euro l’anno nello scenario conservativo e circa quattro milioni nello scenario espansivo, con un valore intermedio dell’ordine di tre milioni. La modestia della cifra è coerente con la natura del beneficio, che riguarda l’efficienza del processo amministrativo e non i risparmi sostanziali sui costi delle prestazioni: il valore della semplificazione degli adempimenti e dell’integrazione gestionale, pur reale, è di ordine inferiore rispetto a quello della produttività conservata o dell’uscita dal lavoro evitata, perché incide sul costo del processo e non sul costo della sostanza. Il dominio burocratico cattura, tuttavia, una dimensione genuina del valore della riforma — la riduzione del peso amministrativo che la frammentazione impone alle amministrazioni e ai cittadini — che, per quanto contenuta, completa il quadro del costo del disagio non intercettato, e che assume rilievo particolare in un contesto, come quello pugliese, in cui la frammentazione e la complessità amministrativa sono fonte di inefficienza avvertita.</w:t>
      </w:r>
    </w:p>
    <w:bookmarkEnd w:id="596"/>
    <w:bookmarkStart w:id="598" w:name="X3cecc612a40c00ef879d24a80fbcbe2937c8b2e"/>
    <w:p>
      <w:pPr>
        <w:pStyle w:val="Heading2"/>
      </w:pPr>
      <w:r>
        <w:t xml:space="preserve">9.8.5 La graduazione, i confini e la non duplicazione del dominio burocratico</w:t>
      </w:r>
    </w:p>
    <w:p>
      <w:pPr>
        <w:pStyle w:val="FirstParagraph"/>
      </w:pPr>
      <w:r>
        <w:t xml:space="preserve">La solidità della stima del dominio burocratico va dichiarata. L’anello organizzativo è sostenuto da evidenza coerente di natura prevalentemente organizzativa; l’anello amministrativo-economico, da evidenza di qualità variabile, in ragione della difficoltà di misurare il tempo amministrativo risparmiato. La graduazione complessiva del dominio è intermedia per l’effetto di semplificazione e più incerta per la sua quantificazione economica, e si traduce in bande prudenziali e in una stima centrale contenuta.</w:t>
      </w:r>
      <w:r>
        <w:rPr>
          <w:rStyle w:val="FootnoteReference"/>
        </w:rPr>
        <w:footnoteReference w:id="269"/>
      </w:r>
      <w:r>
        <w:t xml:space="preserve"> </w:t>
      </w:r>
      <w:r>
        <w:t xml:space="preserve">La stima va letta come un ordine di grandezza prudenziale di un beneficio di efficienza amministrativa, di natura diversa e di ordine inferiore rispetto ai benefici sostanziali degli altri domini.</w:t>
      </w:r>
    </w:p>
    <w:p>
      <w:pPr>
        <w:pStyle w:val="BodyText"/>
      </w:pPr>
      <w:r>
        <w:t xml:space="preserve">Da questa graduazione discendono i confini e le regole di non duplicazione del dominio burocratico. In primo luogo, il beneficio burocratico è una grandezza indiretta di efficienza amministrativa, non sommata ai risparmi sanitari diretti della parte ottava. In secondo luogo, e in modo caratteristico, esso riguarda il costo del processo amministrativo — il tempo dedicato agli adempimenti e alla gestione — e non i risparmi sostanziali sui costi delle prestazioni, già colti dagli altri domini: la distinzione tra costo del processo e costo della prestazione separa il dominio burocratico dagli altri ed evita ogni duplicazione. In terzo luogo, esso non si sovrappone agli altri domini, perché coglie una dimensione — l’efficienza amministrativa — che nessun altro dominio misura. La specificità del dominio burocratico è dunque quella di catturare il valore del processo amministrativo semplificato, dimensione distinta e non duplicata, ancorché di entità contenuta.</w:t>
      </w:r>
    </w:p>
    <w:p>
      <w:pPr>
        <w:pStyle w:val="BodyText"/>
      </w:pPr>
      <w:r>
        <w:t xml:space="preserve">La verifica documentale del dominio burocratico segue un’agenda precisa. Essa richiede l’acquisizione di dati e analisi sul tempo amministrativo dedicato agli adempimenti e alla gestione della presa in carico del disagio psichico nei percorsi frammentati, e sull’effetto di semplificazione conseguente all’introduzione di punti di accesso prossimi e integrati; dati prevalentemente desumibili da analisi organizzative e di processo piuttosto che da fonti amministrative consolidate. L’acquisizione di questi dati, prevista nella fase di consolidamento, consentirà di precisare la stima del beneficio di efficienza amministrativa. Esauriti i primi otto domini, che coprono la produzione, la previdenza, l’assistenza, il welfare, la prevenzione, la giustizia e l’amministrazione, la rinegoziazione ha percorso i domini di maggiore consistenza economica e di più diretta monetizzabilità; la tranche successiva affronterà i domini di natura prevalentemente culturale, formativa e relazionale, il cui valore, pur reale, si lascia in misura minore ridurre alla misura monetaria.</w:t>
      </w:r>
    </w:p>
    <w:bookmarkEnd w:id="598"/>
    <w:bookmarkEnd w:id="599"/>
    <w:bookmarkStart w:id="600" w:name="X48958420f38d8a52c2a5911c3d73292a66ff43a"/>
    <w:p>
      <w:pPr>
        <w:pStyle w:val="Heading1"/>
      </w:pPr>
      <w:r>
        <w:t xml:space="preserve">I domini a prevalente natura culturale, formativa e relazionale</w:t>
      </w:r>
    </w:p>
    <w:p>
      <w:pPr>
        <w:pStyle w:val="FirstParagraph"/>
      </w:pPr>
      <w:r>
        <w:rPr>
          <w:i/>
          <w:iCs/>
        </w:rPr>
        <w:t xml:space="preserve">Esauriti gli otto domini di maggiore consistenza economica e di più diretta monetizzabilità, la rinegoziazione entra nel territorio dei domini la cui natura è prevalentemente culturale, formativa e relazionale. Per questi domini muta il criterio del trattamento: là dove i domini precedenti si prestavano a una stima monetaria corredata di bande, questi domini recano un valore reale ma in larga parte irriducibile alla misura monetaria, e la rinegoziazione li tratta secondo la loro natura, quantificando con grande prudenza la sola componente monetizzabile residua e descrivendo senza forzature la dimensione qualitativa, che ne costituisce spesso la parte maggiore. L’esclusione della dimensione qualitativa dalla somma monetaria non ne nega il valore, ma ne rispetta l’irriducibilità, e impedisce di attribuire una falsa precisione numerica a benefici la cui sostanza è di altra natura. I quattro domini di questa tranche — il culturale, il pedagogico e scolastico, l’accademico e l’industriale — sono percorsi con questo criterio: per ciascuno si distingue ciò che può essere prudenzialmente monetizzato da ciò che va riconosciuto nella sua dimensione qualitativa, e si dichiara, dominio per dominio, quale parte alimenta l’aggregato e quale resta fuori da esso pur contribuendo al valore complessivo della riforma.</w:t>
      </w:r>
    </w:p>
    <w:bookmarkEnd w:id="600"/>
    <w:bookmarkStart w:id="607" w:name="il-dominio-culturale"/>
    <w:p>
      <w:pPr>
        <w:pStyle w:val="Heading2"/>
      </w:pPr>
      <w:r>
        <w:t xml:space="preserve">9.9 Il dominio culturale</w:t>
      </w:r>
    </w:p>
    <w:p>
      <w:pPr>
        <w:pStyle w:val="FirstParagraph"/>
      </w:pPr>
      <w:r>
        <w:rPr>
          <w:i/>
          <w:iCs/>
        </w:rPr>
        <w:t xml:space="preserve">Il nono dominio del perimetro integrale è il culturale, e con esso si apre il territorio dei domini a prevalente natura qualitativa. Esso misura il valore che la presenza diffusa e prossima del primo livello psicologico genera sul piano della cultura collettiva del disagio: la riduzione dello stigma che circonda i disturbi mentali, e l’alfabetizzazione psicologica della popolazione, ossia la capacità diffusa di riconoscere il disagio, di comprenderne la natura e di rivolgersi tempestivamente alle cure. Lo stigma e l’analfabetismo psicologico costituiscono, infatti, barriere reali all’accesso alle cure, che ritardano la richiesta di aiuto e aggravano il decorso; la loro riduzione, conseguente alla normalizzazione del ricorso al primo livello psicologico, genera un beneficio in parte monetizzabile, attraverso la riduzione del ritardo nell’accesso, e in parte qualitativo, attraverso l’accrescimento della capacità collettiva di affrontare il disagio. La voce ricostruisce il contesto culturale del disagio, ne isola i meccanismi, ne traccia la catena causale, ne stima la sola componente monetizzabile residua per scenario, e ne dichiara la dimensione qualitativa e i confini.</w:t>
      </w:r>
    </w:p>
    <w:bookmarkStart w:id="601" w:name="X373727907e255f5e7cb218d37c6fe722ab4250f"/>
    <w:p>
      <w:pPr>
        <w:pStyle w:val="Heading2"/>
      </w:pPr>
      <w:r>
        <w:t xml:space="preserve">9.9.1 Il contesto: stigma e alfabetizzazione psicologica</w:t>
      </w:r>
    </w:p>
    <w:p>
      <w:pPr>
        <w:pStyle w:val="FirstParagraph"/>
      </w:pPr>
      <w:r>
        <w:t xml:space="preserve">Il disagio psichico è, tra le condizioni di salute, quella maggiormente circondata dallo stigma, ossia da un insieme di rappresentazioni negative, pregiudizi e atteggiamenti di distanza che gravano sulle persone che ne sono affette e che ne condizionano i comportamenti. Lo stigma opera su due piani: come stigma sociale, nelle rappresentazioni e negli atteggiamenti della collettività verso chi soffre di un disturbo mentale; e come stigma interiorizzato, nella stessa persona affetta, che, assorbendo le rappresentazioni negative, tende a nascondere il proprio disagio, a non riconoscerlo e a non chiedere aiuto. Entrambe le forme dello stigma costituiscono barriere all’accesso alle cure, perché ritardano o impediscono la richiesta di aiuto, e concorrono così ad aggravare il decorso del disturbo non intercettato. La riduzione dello stigma è dunque, oltre che un valore civile, una condizione dell’efficacia della presa in carico precoce, perché un disturbo non riconosciuto o nascosto per vergogna non può essere intercettato.</w:t>
      </w:r>
    </w:p>
    <w:p>
      <w:pPr>
        <w:pStyle w:val="BodyText"/>
      </w:pPr>
      <w:r>
        <w:t xml:space="preserve">All’alfabetizzazione psicologica si lega un secondo aspetto della cultura collettiva del disagio. Per alfabetizzazione psicologica si intende la capacità diffusa, nella popolazione, di riconoscere i segni del disagio psichico, di comprenderne la natura di condizione affrontabile e curabile, e di sapere a chi e come rivolgersi per ottenere aiuto. Una popolazione psicologicamente alfabetizzata riconosce precocemente il disagio, proprio e altrui, lo interpreta correttamente e si rivolge tempestivamente alle cure; una popolazione priva di tale alfabetizzazione non riconosce il disagio, lo interpreta erroneamente e ritarda o omette la richiesta di aiuto. L’alfabetizzazione psicologica è dunque, come la riduzione dello stigma, una condizione dell’intercettazione precoce, e il suo accrescimento costituisce un beneficio culturale della riforma. In Puglia, dove lo stigma e la scarsa alfabetizzazione psicologica concorrono al divario di trattamento, la presenza diffusa del primo livello psicologico può incidere su entrambi, normalizzando il ricorso alle cure e accrescendo la capacità collettiva di affrontare il disagio.</w:t>
      </w:r>
    </w:p>
    <w:p>
      <w:pPr>
        <w:pStyle w:val="BodyText"/>
      </w:pPr>
      <w:r>
        <w:t xml:space="preserve">La connessione tra questi aspetti culturali e il primo livello psicologico opera attraverso la normalizzazione del ricorso alle cure psicologiche che la loro presenza prossima e diffusa determina. Quando il ricorso allo psicologo diviene, attraverso la sua collocazione nelle cure primarie, un atto ordinario e prossimo come il ricorso al medico di base, lo stigma che circonda la richiesta di aiuto si attenua, e la popolazione, abituata alla presenza del primo livello psicologico, ne acquisisce gradualmente l’alfabetizzazione. Lo Psicologo di Base, per la sua sola presenza diffusa e prossima, agisce dunque come fattore di destigmatizzazione e di alfabetizzazione; e il valore che ne deriva — il ritardo nell’accesso ridotto e la capacità collettiva accresciuta — è il beneficio che il dominio culturale misura, in parte monetizzabile e in parte qualitativo. Tale beneficio si distribuisce sull’intera collettività, e si manifesta tanto come minore ritardo nelle cure quanto come accrescimento di un bene immateriale, la cultura collettiva del disagio.</w:t>
      </w:r>
    </w:p>
    <w:bookmarkEnd w:id="601"/>
    <w:bookmarkStart w:id="602" w:name="X97ca00776d23e6370136e9ef6b0e34c6e007ccc"/>
    <w:p>
      <w:pPr>
        <w:pStyle w:val="Heading2"/>
      </w:pPr>
      <w:r>
        <w:t xml:space="preserve">9.9.2 I meccanismi: destigmatizzazione e accrescimento della capacità collettiva</w:t>
      </w:r>
    </w:p>
    <w:p>
      <w:pPr>
        <w:pStyle w:val="FirstParagraph"/>
      </w:pPr>
      <w:r>
        <w:t xml:space="preserve">Il dominio culturale opera attraverso due meccanismi, l’uno con una componente monetizzabile e l’altro prevalentemente qualitativo. Il primo meccanismo è la riduzione del ritardo nell’accesso alle cure conseguente alla destigmatizzazione. L’attenuazione dello stigma, sociale e interiorizzato, riduce il tempo che intercorre tra l’insorgenza del disagio e la richiesta di aiuto, perché la persona meno gravata dallo stigma riconosce e dichiara prima il proprio disagio; il valore che ne deriva è in parte monetizzabile, perché il minore ritardo nell’accesso si traduce in un decorso meno aggravato e in minori costi conseguenti. Questa componente monetizzabile è tuttavia residua, perché la gran parte del valore del minore ritardo è già colta dai domini sanitari e produttivi, e il dominio culturale ne quantifica soltanto la quota non altrimenti attribuita.</w:t>
      </w:r>
    </w:p>
    <w:p>
      <w:pPr>
        <w:pStyle w:val="BodyText"/>
      </w:pPr>
      <w:r>
        <w:t xml:space="preserve">Il secondo meccanismo è l’accrescimento della capacità collettiva di riconoscere e affrontare il disagio, ossia dell’alfabetizzazione psicologica della popolazione. Questo meccanismo genera un valore prevalentemente qualitativo, perché la capacità collettiva di affrontare il disagio è un bene immateriale che si accumula nel tempo e che non si lascia agevolmente ridurre a una cifra: una popolazione più consapevole e più capace di affrontare il disagio è un valore reale per la collettività, ma il suo apporto economico è diffuso, indiretto e di difficile quantificazione puntuale. I due meccanismi convergono verso il miglioramento della cultura collettiva del disagio, e ne colgono componenti distinte — la riduzione del ritardo, in parte monetizzabile, e l’accrescimento della capacità collettiva, prevalentemente qualitativo — di cui solo la prima alimenta, nella sua quota residua, l’aggregato monetario, mentre la seconda è riconosciuta nella sua dimensione qualitativa.</w:t>
      </w:r>
    </w:p>
    <w:bookmarkEnd w:id="602"/>
    <w:bookmarkStart w:id="603" w:name="X45302382216a62593763eafaca239cecc4cddb1"/>
    <w:p>
      <w:pPr>
        <w:pStyle w:val="Heading2"/>
      </w:pPr>
      <w:r>
        <w:t xml:space="preserve">9.9.3 La catena causale e la quantificazione del dominio culturale</w:t>
      </w:r>
    </w:p>
    <w:p>
      <w:pPr>
        <w:pStyle w:val="FirstParagraph"/>
      </w:pPr>
      <w:r>
        <w:t xml:space="preserve">La formazione del beneficio culturale segue una catena causale di natura in parte diffusa. Il primo anello è culturale: la presenza prossima e diffusa del primo livello psicologico normalizza il ricorso alle cure, attenua lo stigma e accresce l’alfabetizzazione. Questo anello è sostenuto da evidenza coerente sull’effetto di normalizzazione della prossimità e della diffusione dei servizi. Il secondo anello, per la componente monetizzabile, lega la destigmatizzazione alla riduzione del ritardo nell’accesso e ai minori costi conseguenti; esso è sostenuto da evidenza di qualità variabile, e la sua quantificazione è residua. Per la componente qualitativa, la catena conduce all’accrescimento di un bene immateriale, la capacità collettiva, che non si traduce in una grandezza monetaria definita.</w:t>
      </w:r>
    </w:p>
    <w:p>
      <w:pPr>
        <w:pStyle w:val="BodyText"/>
      </w:pPr>
      <w:r>
        <w:t xml:space="preserve">La quantificazione del dominio culturale si limita, coerentemente con la sua natura, alla sola componente monetizzabile residua — la riduzione del ritardo nell’accesso dovuta alla destigmatizzazione — e riconosce la componente dell’alfabetizzazione psicologica nella sua dimensione qualitativa, senza monetizzarla. La tabella che segue distingue le due dimensioni del dominio.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del dominio culturale</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 della 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Trattamento nella rinegoziazione</w:t>
            </w:r>
          </w:p>
        </w:tc>
      </w:tr>
      <w:tr>
        <w:tc>
          <w:tcPr/>
          <w:p>
            <w:pPr>
              <w:pStyle w:val="Compact"/>
              <w:spacing w:after="40" w:before="40"/>
              <w:jc w:val="left"/>
            </w:pPr>
            <w:r>
              <w:rPr>
                <w:rFonts w:ascii="Cambria" w:hAnsi="Cambria" w:cs="Cambria" w:eastAsia="Cambria"/>
                <w:color w:val="1A1A1A"/>
                <w:sz w:val="18"/>
              </w:rPr>
              <w:t xml:space="preserve">Stigma come barriera all’accesso</w:t>
            </w:r>
          </w:p>
        </w:tc>
        <w:tc>
          <w:tcPr/>
          <w:p>
            <w:pPr>
              <w:pStyle w:val="Compact"/>
              <w:spacing w:after="40" w:before="40"/>
              <w:jc w:val="left"/>
            </w:pPr>
            <w:r>
              <w:rPr>
                <w:rFonts w:ascii="Cambria" w:hAnsi="Cambria" w:cs="Cambria" w:eastAsia="Cambria"/>
                <w:color w:val="1A1A1A"/>
                <w:sz w:val="18"/>
              </w:rPr>
              <w:t xml:space="preserve">ritardo nell’accesso alle cure dovuto allo stigma</w:t>
            </w:r>
          </w:p>
        </w:tc>
        <w:tc>
          <w:tcPr/>
          <w:p>
            <w:pPr>
              <w:pStyle w:val="Compact"/>
              <w:spacing w:after="40" w:before="40"/>
              <w:jc w:val="left"/>
            </w:pPr>
            <w:r>
              <w:rPr>
                <w:rFonts w:ascii="Cambria" w:hAnsi="Cambria" w:cs="Cambria" w:eastAsia="Cambria"/>
                <w:color w:val="1A1A1A"/>
                <w:sz w:val="18"/>
              </w:rPr>
              <w:t xml:space="preserve">componente monetizzabile residua, quantificata con prudenza</w:t>
            </w:r>
          </w:p>
        </w:tc>
      </w:tr>
      <w:tr>
        <w:tc>
          <w:tcPr>
            <w:shd w:val="clear" w:color="auto" w:fill="F4F1EC"/>
          </w:tcPr>
          <w:p>
            <w:pPr>
              <w:pStyle w:val="Compact"/>
              <w:spacing w:after="40" w:before="40"/>
              <w:jc w:val="left"/>
            </w:pPr>
            <w:r>
              <w:rPr>
                <w:rFonts w:ascii="Cambria" w:hAnsi="Cambria" w:cs="Cambria" w:eastAsia="Cambria"/>
                <w:color w:val="1A1A1A"/>
                <w:sz w:val="18"/>
              </w:rPr>
              <w:t xml:space="preserve">Alfabetizzazione psicologica e capacità collettiva</w:t>
            </w:r>
          </w:p>
        </w:tc>
        <w:tc>
          <w:tcPr>
            <w:shd w:val="clear" w:color="auto" w:fill="F4F1EC"/>
          </w:tcPr>
          <w:p>
            <w:pPr>
              <w:pStyle w:val="Compact"/>
              <w:spacing w:after="40" w:before="40"/>
              <w:jc w:val="left"/>
            </w:pPr>
            <w:r>
              <w:rPr>
                <w:rFonts w:ascii="Cambria" w:hAnsi="Cambria" w:cs="Cambria" w:eastAsia="Cambria"/>
                <w:color w:val="1A1A1A"/>
                <w:sz w:val="18"/>
              </w:rPr>
              <w:t xml:space="preserve">bene immateriale della capacità collettiva di affrontare il disagio</w:t>
            </w:r>
          </w:p>
        </w:tc>
        <w:tc>
          <w:tcPr>
            <w:shd w:val="clear" w:color="auto" w:fill="F4F1EC"/>
          </w:tcPr>
          <w:p>
            <w:pPr>
              <w:pStyle w:val="Compact"/>
              <w:spacing w:after="40" w:before="40"/>
              <w:jc w:val="left"/>
            </w:pPr>
            <w:r>
              <w:rPr>
                <w:rFonts w:ascii="Cambria" w:hAnsi="Cambria" w:cs="Cambria" w:eastAsia="Cambria"/>
                <w:color w:val="1A1A1A"/>
                <w:sz w:val="18"/>
              </w:rPr>
              <w:t xml:space="preserve">dimensione qualitativa, riconosciuta ma non monetizzata</w:t>
            </w:r>
          </w:p>
        </w:tc>
      </w:tr>
    </w:tbl>
    <w:p>
      <w:pPr>
        <w:pStyle w:val="BodyText"/>
      </w:pPr>
      <w:r>
        <w:rPr>
          <w:i/>
          <w:iCs/>
        </w:rPr>
        <w:t xml:space="preserve">Tabella 9.17 — Le due dimensioni del dominio culturale e il loro trattamento. Solo la componente dello stigma come barriera all’accesso è quantificata, nella sua quota monetizzabile residua; l’alfabetizzazione psicologica è riconosciuta nella sua dimensione qualitativa e non concorre all’aggregato monetario, pur contribuendo al valore complessivo della riforma.</w:t>
      </w:r>
    </w:p>
    <w:p>
      <w:pPr>
        <w:pStyle w:val="BodyText"/>
      </w:pPr>
      <w:r>
        <w:t xml:space="preserve">La stima della sola componente monetizzabile residua del dominio culturale è esposta, per ciascuno scenario, nella tabella che segue, con la consapevolezza che essa rappresenta una parte soltanto del valore del dominio, la cui dimensione maggiore è qualitativa.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beneficio culturale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Riduzione del ritardo nell’accesso dovuto allo stigma (residuo monetizzato)</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~2</w:t>
            </w:r>
          </w:p>
        </w:tc>
        <w:tc>
          <w:tcPr/>
          <w:p>
            <w:pPr>
              <w:pStyle w:val="Compact"/>
              <w:spacing w:after="40" w:before="40"/>
              <w:jc w:val="left"/>
            </w:pPr>
            <w:r>
              <w:rPr>
                <w:rFonts w:ascii="Cambria" w:hAnsi="Cambria" w:cs="Cambria" w:eastAsia="Cambria"/>
                <w:color w:val="1A1A1A"/>
                <w:sz w:val="18"/>
              </w:rPr>
              <w:t xml:space="preserve">~3</w:t>
            </w:r>
          </w:p>
        </w:tc>
      </w:tr>
      <w:tr>
        <w:tc>
          <w:tcPr>
            <w:shd w:val="clear" w:color="auto" w:fill="F4F1EC"/>
          </w:tcPr>
          <w:p>
            <w:pPr>
              <w:pStyle w:val="Compact"/>
              <w:spacing w:after="40" w:before="40"/>
              <w:jc w:val="left"/>
            </w:pPr>
            <w:r>
              <w:rPr>
                <w:rFonts w:ascii="Cambria" w:hAnsi="Cambria" w:cs="Cambria" w:eastAsia="Cambria"/>
                <w:color w:val="1A1A1A"/>
                <w:sz w:val="18"/>
              </w:rPr>
              <w:t xml:space="preserve">Alfabetizzazione psicologica e capacità collettiva</w:t>
            </w:r>
          </w:p>
        </w:tc>
        <w:tc>
          <w:tcPr>
            <w:shd w:val="clear" w:color="auto" w:fill="F4F1EC"/>
          </w:tcPr>
          <w:p>
            <w:pPr>
              <w:pStyle w:val="Compact"/>
              <w:spacing w:after="40" w:before="40"/>
              <w:jc w:val="left"/>
            </w:pPr>
            <w:r>
              <w:rPr>
                <w:rFonts w:ascii="Cambria" w:hAnsi="Cambria" w:cs="Cambria" w:eastAsia="Cambria"/>
                <w:color w:val="1A1A1A"/>
                <w:sz w:val="18"/>
              </w:rPr>
              <w:t xml:space="preserve">qualitativo</w:t>
            </w:r>
          </w:p>
        </w:tc>
        <w:tc>
          <w:tcPr>
            <w:shd w:val="clear" w:color="auto" w:fill="F4F1EC"/>
          </w:tcPr>
          <w:p>
            <w:pPr>
              <w:pStyle w:val="Compact"/>
              <w:spacing w:after="40" w:before="40"/>
              <w:jc w:val="left"/>
            </w:pPr>
            <w:r>
              <w:rPr>
                <w:rFonts w:ascii="Cambria" w:hAnsi="Cambria" w:cs="Cambria" w:eastAsia="Cambria"/>
                <w:color w:val="1A1A1A"/>
                <w:sz w:val="18"/>
              </w:rPr>
              <w:t xml:space="preserve">qualitativo</w:t>
            </w:r>
          </w:p>
        </w:tc>
        <w:tc>
          <w:tcPr>
            <w:shd w:val="clear" w:color="auto" w:fill="F4F1EC"/>
          </w:tcPr>
          <w:p>
            <w:pPr>
              <w:pStyle w:val="Compact"/>
              <w:spacing w:after="40" w:before="40"/>
              <w:jc w:val="left"/>
            </w:pPr>
            <w:r>
              <w:rPr>
                <w:rFonts w:ascii="Cambria" w:hAnsi="Cambria" w:cs="Cambria" w:eastAsia="Cambria"/>
                <w:color w:val="1A1A1A"/>
                <w:sz w:val="18"/>
              </w:rPr>
              <w:t xml:space="preserve">qualitativo</w:t>
            </w:r>
          </w:p>
        </w:tc>
      </w:tr>
      <w:tr>
        <w:tc>
          <w:tcPr/>
          <w:p>
            <w:pPr>
              <w:pStyle w:val="Compact"/>
              <w:spacing w:after="40" w:before="40"/>
              <w:jc w:val="left"/>
            </w:pPr>
            <w:r>
              <w:rPr>
                <w:rFonts w:ascii="Cambria" w:hAnsi="Cambria" w:cs="Cambria" w:eastAsia="Cambria"/>
                <w:color w:val="1A1A1A"/>
                <w:sz w:val="18"/>
              </w:rPr>
              <w:t xml:space="preserve">Beneficio culturale monetizzato del dominio</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~2</w:t>
            </w:r>
          </w:p>
        </w:tc>
        <w:tc>
          <w:tcPr/>
          <w:p>
            <w:pPr>
              <w:pStyle w:val="Compact"/>
              <w:spacing w:after="40" w:before="40"/>
              <w:jc w:val="left"/>
            </w:pPr>
            <w:r>
              <w:rPr>
                <w:rFonts w:ascii="Cambria" w:hAnsi="Cambria" w:cs="Cambria" w:eastAsia="Cambria"/>
                <w:color w:val="1A1A1A"/>
                <w:sz w:val="18"/>
              </w:rPr>
              <w:t xml:space="preserve">~3</w:t>
            </w:r>
          </w:p>
        </w:tc>
      </w:tr>
    </w:tbl>
    <w:p>
      <w:pPr>
        <w:pStyle w:val="BodyText"/>
      </w:pPr>
      <w:r>
        <w:rPr>
          <w:i/>
          <w:iCs/>
        </w:rPr>
        <w:t xml:space="preserve">Tabella 9.18 — Stima prudenziale della sola componente monetizzabile residua del dominio culturale per scenario. La componente dell’alfabetizzazione psicologica è qualitativa e non monetizzata; il beneficio monetizzato coincide con la sola riduzione residua del ritardo nell’accesso, ed è distinto dai benefici sanitari e produttivi già colti altrove.</w:t>
      </w:r>
    </w:p>
    <w:p>
      <w:pPr>
        <w:pStyle w:val="BodyText"/>
      </w:pPr>
      <w:r>
        <w:t xml:space="preserve">Il beneficio culturale monetizzato è dunque stimato in un ordine di grandezza compreso tra circa un milione di euro l’anno nello scenario conservativo e circa tre milioni nello scenario espansivo, con un valore intermedio dell’ordine di due milioni. La modestia della cifra monetizzata riflette la natura prevalentemente qualitativa del dominio: il valore della riduzione dello stigma e dell’accrescimento dell’alfabetizzazione psicologica è reale e rilevante, ma si manifesta in larga parte come bene immateriale — una popolazione meno gravata dallo stigma e più capace di affrontare il disagio — che non si lascia ridurre a una cifra senza forzarne la natura. La cifra monetizzata coglie soltanto la quota residua della riduzione del ritardo nell’accesso non altrimenti attribuita; la dimensione maggiore del dominio, l’accrescimento della cultura collettiva del disagio, è riconosciuta qualitativamente e contribuisce al valore complessivo della riforma senza alimentare l’aggregato monetario. Questa scelta di non monetizzare ciò che è genuinamente qualitativo è essa stessa una garanzia di rigore, perché evita di attribuire una falsa precisione a un valore immateriale.</w:t>
      </w:r>
    </w:p>
    <w:bookmarkEnd w:id="603"/>
    <w:bookmarkStart w:id="606" w:name="X4b7ad4c4d59e715eb3bbbeb1f1c8a75a9bb1518"/>
    <w:p>
      <w:pPr>
        <w:pStyle w:val="Heading2"/>
      </w:pPr>
      <w:r>
        <w:t xml:space="preserve">9.9.4 La graduazione, la dimensione qualitativa e i confini del dominio culturale</w:t>
      </w:r>
    </w:p>
    <w:p>
      <w:pPr>
        <w:pStyle w:val="FirstParagraph"/>
      </w:pPr>
      <w:r>
        <w:t xml:space="preserve">La solidità della stima del dominio culturale va dichiarata, distinguendo le sue due dimensioni. La componente monetizzata è sostenuta da evidenza di qualità variabile, ed è quantificata in una quota residua contenuta; la dimensione qualitativa, pur sostenuta da evidenza coerente sull’effetto di destigmatizzazione e alfabetizzazione, non si traduce in una grandezza monetaria. La graduazione della componente monetizzata è variabile, e si traduce in una banda prudenziale; la dimensione qualitativa è riconosciuta nella sua natura immateriale, e la sua esclusione dalla somma ne rispetta l’irriducibilità.</w:t>
      </w:r>
      <w:r>
        <w:rPr>
          <w:rStyle w:val="FootnoteReference"/>
        </w:rPr>
        <w:footnoteReference w:id="270"/>
      </w:r>
      <w:r>
        <w:t xml:space="preserve"> </w:t>
      </w:r>
      <w:r>
        <w:t xml:space="preserve">Il dominio culturale esemplifica così il criterio che governa i domini di questa tranche: quantificare con prudenza la sola componente monetizzabile residua, e riconoscere senza monetizzare la dimensione qualitativa, che ne costituisce spesso la parte maggiore.</w:t>
      </w:r>
    </w:p>
    <w:p>
      <w:pPr>
        <w:pStyle w:val="BodyText"/>
      </w:pPr>
      <w:r>
        <w:t xml:space="preserve">Da questa graduazione discendono i confini e le regole di non duplicazione del dominio culturale. In primo luogo, il beneficio culturale monetizzato è una grandezza indiretta residua, non sommata ai risparmi sanitari diretti della parte ottava. In secondo luogo, esso coglie la sola quota della riduzione del ritardo nell’accesso non altrimenti attribuita, distinta dai benefici sanitari e produttivi del minore ritardo già colti dagli altri domini e dal valore prospettico della prevenzione colto dal dominio prevenzionalistico; la quota residua qui quantificata è quella non già contabilizzata.</w:t>
      </w:r>
      <w:r>
        <w:rPr>
          <w:rStyle w:val="FootnoteReference"/>
        </w:rPr>
        <w:footnoteReference w:id="271"/>
      </w:r>
      <w:r>
        <w:t xml:space="preserve"> </w:t>
      </w:r>
      <w:r>
        <w:t xml:space="preserve">In terzo luogo, la dimensione qualitativa dell’alfabetizzazione psicologica è esplicitamente esclusa dall’aggregato monetario, e riconosciuta nella sua natura immateriale. La specificità del dominio culturale è dunque quella di recare un valore in larga parte qualitativo, di cui si quantifica con prudenza la sola minima componente monetizzabile residua, nel rispetto tanto della non duplicazione quanto dell’irriducibilità del bene immateriale alla misura monetaria.</w:t>
      </w:r>
    </w:p>
    <w:p>
      <w:pPr>
        <w:pStyle w:val="BodyText"/>
      </w:pPr>
      <w:r>
        <w:t xml:space="preserve">La verifica documentale del dominio culturale segue un’agenda che ne rispetta la natura. Essa richiede l’acquisizione di dati e indagini sullo stigma e sull’alfabetizzazione psicologica nella popolazione pugliese, e sull’effetto della prossimità e della diffusione del primo livello psicologico sulla riduzione del ritardo nell’accesso; dati prevalentemente desumibili da indagini dedicate sulla cultura del disagio. L’acquisizione di questi dati, prevista nella fase di consolidamento, consentirà di precisare la stima della componente monetizzata residua e di documentare meglio la dimensione qualitativa, che resterà comunque riconosciuta come tale e non monetizzata. Stabilito il valore, in larga parte qualitativo, del dominio culturale, la rinegoziazione può ora muovere verso un dominio di maggiore consistenza monetizzabile, il pedagogico e scolastico, che riguarda i giovani e il loro capitale umano in formazione.</w:t>
      </w:r>
    </w:p>
    <w:bookmarkEnd w:id="606"/>
    <w:bookmarkEnd w:id="607"/>
    <w:bookmarkStart w:id="614" w:name="il-dominio-pedagogico-e-scolastico"/>
    <w:p>
      <w:pPr>
        <w:pStyle w:val="Heading2"/>
      </w:pPr>
      <w:r>
        <w:t xml:space="preserve">9.10 Il dominio pedagogico e scolastico</w:t>
      </w:r>
    </w:p>
    <w:p>
      <w:pPr>
        <w:pStyle w:val="FirstParagraph"/>
      </w:pPr>
      <w:r>
        <w:rPr>
          <w:i/>
          <w:iCs/>
        </w:rPr>
        <w:t xml:space="preserve">Il decimo dominio del perimetro integrale è il pedagogico e scolastico, e tra i domini a prevalente natura formativa è quello di maggiore consistenza monetizzabile, perché riguarda il capitale umano dei giovani nella fase della sua formazione. Esso misura il valore che l’intercettazione precoce del disagio in età evolutiva e l’azione del primo livello psicologico in raccordo con la scuola generano attraverso la riduzione della dispersione scolastica e il miglioramento del benessere e del rendimento degli studenti. Il disagio psichico in età evolutiva, se non intercettato, compromette il percorso formativo, conduce all’abbandono scolastico e pregiudica la formazione del capitale umano dei giovani, con conseguenze che si protraggono per l’intera vita; la sua intercettazione precoce, viceversa, preserva il percorso formativo e il capitale umano in formazione. La voce ricostruisce il contesto del disagio in età evolutiva e della dispersione, ne isola i meccanismi, ne traccia la catena causale, ne stima il beneficio per scenario e ne dichiara la graduazione, i confini e la distinzione, in particolare dal dominio produttivistico per la diversa popolazione considerata.</w:t>
      </w:r>
    </w:p>
    <w:bookmarkStart w:id="608" w:name="Xa77b0ea8d22186dffb9221386e277e5f1126e36"/>
    <w:p>
      <w:pPr>
        <w:pStyle w:val="Heading2"/>
      </w:pPr>
      <w:r>
        <w:t xml:space="preserve">9.10.1 Il contesto: il disagio in età evolutiva e la dispersione scolastica</w:t>
      </w:r>
    </w:p>
    <w:p>
      <w:pPr>
        <w:pStyle w:val="FirstParagraph"/>
      </w:pPr>
      <w:r>
        <w:t xml:space="preserve">Il disagio psichico insorge, in una quota rilevante dei casi, in età evolutiva, e la fase giovanile è quella in cui molti disturbi comuni si manifestano per la prima volta. Il disagio in età evolutiva presenta una specificità che ne accresce l’importanza: esso incide su un capitale umano in formazione, e le sue conseguenze, se il disturbo non è intercettato, non si limitano al momento presente, ma compromettono il percorso formativo e si protraggono per l’intera vita, pregiudicando le opportunità future del giovane. Tra le conseguenze del disagio in età evolutiva non intercettato, la dispersione scolastica è la più grave sul piano del capitale umano: il giovane che, gravato da un disagio non riconosciuto, abbandona il percorso formativo, subisce una perdita di capitale umano che ne condizionerà le opportunità lavorative, il reddito e la condizione sociale per l’intera vita, con un costo per sé e per la collettività di entità considerevole. In Puglia, regione segnata da una dispersione scolastica elevata, intrecciata con il disagio sociale ed economico, il disagio in età evolutiva non intercettato concorre alla perdita di capitale umano dei giovani.</w:t>
      </w:r>
    </w:p>
    <w:p>
      <w:pPr>
        <w:pStyle w:val="BodyText"/>
      </w:pPr>
      <w:r>
        <w:t xml:space="preserve">La dispersione scolastica connessa al disagio si manifesta in due forme principali. La prima è l’abbandono vero e proprio del percorso formativo, ossia l’uscita anticipata dalla scuola del giovane il cui disagio non intercettato ha compromesso la capacità di proseguire gli studi; è la forma di maggiore peso sul piano del capitale umano, perché sottrae al giovane la formazione e ne pregiudica le opportunità future. La seconda è la compromissione del benessere e del rendimento scolastico, ossia la riduzione della capacità di apprendimento e di partecipazione del giovane che, pur non abbandonando la scuola, ne segue il percorso con difficoltà a causa del disagio non trattato; è una forma di peso intermedio, che incide sulla qualità della formazione e sulle opportunità future, ancorché non sull’abbandono. È la somma di queste due forme — l’abbandono e la compromissione del rendimento — che costituisce la grandezza di ancoraggio del dominio pedagogico e scolastico, nella quota riconducibile al disagio intercettabile.</w:t>
      </w:r>
    </w:p>
    <w:p>
      <w:pPr>
        <w:pStyle w:val="BodyText"/>
      </w:pPr>
      <w:r>
        <w:t xml:space="preserve">La connessione tra questo carico e il primo livello psicologico opera attraverso l’intercettazione precoce del disagio in età evolutiva e il raccordo con la scuola e con lo psicologo scolastico. L’intercettazione del disagio del giovane, sia attraverso le cure primarie sia attraverso il raccordo con l’ambiente scolastico, previene la compromissione del percorso formativo che il disagio non trattato determina, e preserva il capitale umano in formazione; il giovane intercettato e preso in carico conserva la capacità di proseguire e di apprendere, mentre il giovane non intercettato segue la traiettoria che conduce all’abbandono o alla compromissione del rendimento. Lo Psicologo di Base, in raccordo con la scuola, agisce dunque a monte della dispersione, e il valore che ne deriva — il capitale umano dei giovani preservato e il rendimento conservato — è il beneficio che il dominio pedagogico e scolastico misura. Tale beneficio si distribuisce sui giovani, che conservano le proprie opportunità future, e sulla collettività, che conserva il capitale umano della propria popolazione giovanile.</w:t>
      </w:r>
    </w:p>
    <w:bookmarkEnd w:id="608"/>
    <w:bookmarkStart w:id="609" w:name="X3daa58d671505ce8efeeb4fd57dd9eea00e1a26"/>
    <w:p>
      <w:pPr>
        <w:pStyle w:val="Heading2"/>
      </w:pPr>
      <w:r>
        <w:t xml:space="preserve">9.10.2 I meccanismi: riduzione della dispersione e miglioramento del rendimento</w:t>
      </w:r>
    </w:p>
    <w:p>
      <w:pPr>
        <w:pStyle w:val="FirstParagraph"/>
      </w:pPr>
      <w:r>
        <w:t xml:space="preserve">Il dominio pedagogico e scolastico opera attraverso due meccanismi, corrispondenti alle due forme del carico. Il primo meccanismo è la riduzione della dispersione scolastica. L’intercettazione precoce del disagio in età evolutiva, prevenendo la compromissione della capacità di proseguire gli studi, riduce l’abbandono del percorso formativo; il valore che ne deriva è quello del capitale umano dei giovani preservato, ossia delle maggiori opportunità lavorative, del maggiore reddito atteso e della migliore condizione sociale che la conservazione della formazione assicura per l’intera vita. È, dei due meccanismi, quello di maggiore peso, perché la perdita di capitale umano conseguente all’abbandono è la più grave e la più duratura.</w:t>
      </w:r>
    </w:p>
    <w:p>
      <w:pPr>
        <w:pStyle w:val="BodyText"/>
      </w:pPr>
      <w:r>
        <w:t xml:space="preserve">Il secondo meccanismo è il miglioramento del benessere e del rendimento scolastico. L’intercettazione del disagio del giovane che prosegue gli studi, ripristinandone la capacità di apprendimento e di partecipazione, migliora il benessere e il rendimento scolastico, e accresce la qualità della formazione e le opportunità future; il valore che ne deriva è in parte monetizzabile, attraverso il migliore esito formativo, e in parte qualitativo, attraverso il benessere del giovane. I due meccanismi convergono verso la preservazione del capitale umano dei giovani in formazione, e ne colgono componenti distinte — la dispersione evitata e il rendimento migliorato — riferite alla popolazione giovanile in formazione, distinta dalla popolazione adulta dei domini lavorativo e produttivistico.</w:t>
      </w:r>
    </w:p>
    <w:bookmarkEnd w:id="609"/>
    <w:bookmarkStart w:id="610" w:name="X16581599d31bbf05a44b703d8a1d5fd278acca0"/>
    <w:p>
      <w:pPr>
        <w:pStyle w:val="Heading2"/>
      </w:pPr>
      <w:r>
        <w:t xml:space="preserve">9.10.3 La catena causale e la quantificazione del dominio pedagogico e scolastico</w:t>
      </w:r>
    </w:p>
    <w:p>
      <w:pPr>
        <w:pStyle w:val="FirstParagraph"/>
      </w:pPr>
      <w:r>
        <w:t xml:space="preserve">La formazione del beneficio pedagogico e scolastico segue una catena causale a più anelli. Il primo anello è clinico-evolutivo: l’intercettazione precoce del disagio in età evolutiva migliora gli esiti e preserva la capacità formativa del giovane. Questo anello è sostenuto da evidenza coerente sull’efficacia dell’intercettazione del disagio giovanile, ancorché di qualità variabile. Il secondo anello è formativo: la preservazione della capacità formativa riduce la dispersione e migliora il rendimento. Questo anello è sostenuto da evidenza coerente sulla relazione tra disagio non trattato e dispersione, mediata dal contesto socio-economico. Il terzo anello è economico: la dispersione evitata e il rendimento migliorato preservano il capitale umano dei giovani, valutato secondo l’approccio del capitale umano, con la specificità che il valore si proietta sull’intera vita futura del giovane e va attualizzato.</w:t>
      </w:r>
    </w:p>
    <w:p>
      <w:pPr>
        <w:pStyle w:val="BodyText"/>
      </w:pPr>
      <w:r>
        <w:t xml:space="preserve">La quantificazione del dominio pedagogico e scolastico procede secondo il metodo in cinque passaggi, applicato alle due forme del carico, con l’adozione dell’approccio del capitale umano e l’attualizzazione del valore proiettato sulla vita futura. La tabella che segue ricostruisce le due forme e i margini su cui il dominio opera.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Forma del carico scolastico</w:t>
            </w:r>
          </w:p>
        </w:tc>
        <w:tc>
          <w:tcPr>
            <w:shd w:val="clear" w:color="auto" w:fill="16264B"/>
          </w:tcPr>
          <w:p>
            <w:pPr>
              <w:pStyle w:val="Compact"/>
              <w:spacing w:after="40" w:before="40"/>
              <w:jc w:val="left"/>
            </w:pPr>
            <w:r>
              <w:rPr>
                <w:rFonts w:ascii="Cambria" w:hAnsi="Cambria" w:cs="Cambria" w:eastAsia="Cambria"/>
                <w:b/>
                <w:bCs/>
                <w:color w:val="FFFFFF"/>
                <w:sz w:val="18"/>
              </w:rPr>
              <w:t xml:space="preserve">Grandezza di ancoraggio</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comprimibile dal primo livello psicologico</w:t>
            </w:r>
          </w:p>
        </w:tc>
      </w:tr>
      <w:tr>
        <w:tc>
          <w:tcPr/>
          <w:p>
            <w:pPr>
              <w:pStyle w:val="Compact"/>
              <w:spacing w:after="40" w:before="40"/>
              <w:jc w:val="left"/>
            </w:pPr>
            <w:r>
              <w:rPr>
                <w:rFonts w:ascii="Cambria" w:hAnsi="Cambria" w:cs="Cambria" w:eastAsia="Cambria"/>
                <w:color w:val="1A1A1A"/>
                <w:sz w:val="18"/>
              </w:rPr>
              <w:t xml:space="preserve">Dispersione scolastica (abbandono)</w:t>
            </w:r>
          </w:p>
        </w:tc>
        <w:tc>
          <w:tcPr/>
          <w:p>
            <w:pPr>
              <w:pStyle w:val="Compact"/>
              <w:spacing w:after="40" w:before="40"/>
              <w:jc w:val="left"/>
            </w:pPr>
            <w:r>
              <w:rPr>
                <w:rFonts w:ascii="Cambria" w:hAnsi="Cambria" w:cs="Cambria" w:eastAsia="Cambria"/>
                <w:color w:val="1A1A1A"/>
                <w:sz w:val="18"/>
              </w:rPr>
              <w:t xml:space="preserve">costo del minor capitale umano dei giovani che abbandonano il percorso formativo</w:t>
            </w:r>
          </w:p>
        </w:tc>
        <w:tc>
          <w:tcPr/>
          <w:p>
            <w:pPr>
              <w:pStyle w:val="Compact"/>
              <w:spacing w:after="40" w:before="40"/>
              <w:jc w:val="left"/>
            </w:pPr>
            <w:r>
              <w:rPr>
                <w:rFonts w:ascii="Cambria" w:hAnsi="Cambria" w:cs="Cambria" w:eastAsia="Cambria"/>
                <w:color w:val="1A1A1A"/>
                <w:sz w:val="18"/>
              </w:rPr>
              <w:t xml:space="preserve">la quota di dispersione riducibile dall’intercettazione del disagio in età evolutiva</w:t>
            </w:r>
          </w:p>
        </w:tc>
      </w:tr>
      <w:tr>
        <w:tc>
          <w:tcPr>
            <w:shd w:val="clear" w:color="auto" w:fill="F4F1EC"/>
          </w:tcPr>
          <w:p>
            <w:pPr>
              <w:pStyle w:val="Compact"/>
              <w:spacing w:after="40" w:before="40"/>
              <w:jc w:val="left"/>
            </w:pPr>
            <w:r>
              <w:rPr>
                <w:rFonts w:ascii="Cambria" w:hAnsi="Cambria" w:cs="Cambria" w:eastAsia="Cambria"/>
                <w:color w:val="1A1A1A"/>
                <w:sz w:val="18"/>
              </w:rPr>
              <w:t xml:space="preserve">Benessere e rendimento degli studenti</w:t>
            </w:r>
          </w:p>
        </w:tc>
        <w:tc>
          <w:tcPr>
            <w:shd w:val="clear" w:color="auto" w:fill="F4F1EC"/>
          </w:tcPr>
          <w:p>
            <w:pPr>
              <w:pStyle w:val="Compact"/>
              <w:spacing w:after="40" w:before="40"/>
              <w:jc w:val="left"/>
            </w:pPr>
            <w:r>
              <w:rPr>
                <w:rFonts w:ascii="Cambria" w:hAnsi="Cambria" w:cs="Cambria" w:eastAsia="Cambria"/>
                <w:color w:val="1A1A1A"/>
                <w:sz w:val="18"/>
              </w:rPr>
              <w:t xml:space="preserve">minor rendimento e benessere del giovane che prosegue con difficoltà</w:t>
            </w:r>
          </w:p>
        </w:tc>
        <w:tc>
          <w:tcPr>
            <w:shd w:val="clear" w:color="auto" w:fill="F4F1EC"/>
          </w:tcPr>
          <w:p>
            <w:pPr>
              <w:pStyle w:val="Compact"/>
              <w:spacing w:after="40" w:before="40"/>
              <w:jc w:val="left"/>
            </w:pPr>
            <w:r>
              <w:rPr>
                <w:rFonts w:ascii="Cambria" w:hAnsi="Cambria" w:cs="Cambria" w:eastAsia="Cambria"/>
                <w:color w:val="1A1A1A"/>
                <w:sz w:val="18"/>
              </w:rPr>
              <w:t xml:space="preserve">la quota di miglioramento parzialmente monetizzabile, riferita alla popolazione giovanile</w:t>
            </w:r>
          </w:p>
        </w:tc>
      </w:tr>
    </w:tbl>
    <w:p>
      <w:pPr>
        <w:pStyle w:val="BodyText"/>
      </w:pPr>
      <w:r>
        <w:rPr>
          <w:i/>
          <w:iCs/>
        </w:rPr>
        <w:t xml:space="preserve">Tabella 9.19 — Le forme del carico scolastico connesso al disagio in età evolutiva e i margini di compressione. Le grandezze sono ricostruite sulle fonti disponibili e saranno sostituite dai dati certificati regionali sulla dispersione non appena acquisiti; le componenti riguardano la popolazione giovanile in formazione, distinta dalla popolazione adulta dei domini produttivi.</w:t>
      </w:r>
    </w:p>
    <w:p>
      <w:pPr>
        <w:pStyle w:val="BodyText"/>
      </w:pPr>
      <w:r>
        <w:t xml:space="preserve">Sulla base di questo quadro, la stima del beneficio pedagogico e scolastico è articolata nelle due componenti e per ciascuno scenario. La componente della riduzione della dispersione costituisce la quota maggiore, per la gravità e la durata della perdita di capitale umano conseguente all’abbandono; la componente del miglioramento del rendimento costituisce la quota intermedia. La tabella che segue espone la stima per componente e per scenario.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beneficio pedagogico-scolastico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Riduzione della dispersione scolastica (capitale umano dei giovani)</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~4</w:t>
            </w:r>
          </w:p>
        </w:tc>
        <w:tc>
          <w:tcPr/>
          <w:p>
            <w:pPr>
              <w:pStyle w:val="Compact"/>
              <w:spacing w:after="40" w:before="40"/>
              <w:jc w:val="left"/>
            </w:pPr>
            <w:r>
              <w:rPr>
                <w:rFonts w:ascii="Cambria" w:hAnsi="Cambria" w:cs="Cambria" w:eastAsia="Cambria"/>
                <w:color w:val="1A1A1A"/>
                <w:sz w:val="18"/>
              </w:rPr>
              <w:t xml:space="preserve">~6</w:t>
            </w:r>
          </w:p>
        </w:tc>
      </w:tr>
      <w:tr>
        <w:tc>
          <w:tcPr>
            <w:shd w:val="clear" w:color="auto" w:fill="F4F1EC"/>
          </w:tcPr>
          <w:p>
            <w:pPr>
              <w:pStyle w:val="Compact"/>
              <w:spacing w:after="40" w:before="40"/>
              <w:jc w:val="left"/>
            </w:pPr>
            <w:r>
              <w:rPr>
                <w:rFonts w:ascii="Cambria" w:hAnsi="Cambria" w:cs="Cambria" w:eastAsia="Cambria"/>
                <w:color w:val="1A1A1A"/>
                <w:sz w:val="18"/>
              </w:rPr>
              <w:t xml:space="preserve">Miglioramento del benessere e del rendimento degli studenti</w:t>
            </w:r>
          </w:p>
        </w:tc>
        <w:tc>
          <w:tcPr>
            <w:shd w:val="clear" w:color="auto" w:fill="F4F1EC"/>
          </w:tcPr>
          <w:p>
            <w:pPr>
              <w:pStyle w:val="Compact"/>
              <w:spacing w:after="40" w:before="40"/>
              <w:jc w:val="left"/>
            </w:pPr>
            <w:r>
              <w:rPr>
                <w:rFonts w:ascii="Cambria" w:hAnsi="Cambria" w:cs="Cambria" w:eastAsia="Cambria"/>
                <w:color w:val="1A1A1A"/>
                <w:sz w:val="18"/>
              </w:rPr>
              <w:t xml:space="preserve">~1</w:t>
            </w:r>
          </w:p>
        </w:tc>
        <w:tc>
          <w:tcPr>
            <w:shd w:val="clear" w:color="auto" w:fill="F4F1EC"/>
          </w:tcPr>
          <w:p>
            <w:pPr>
              <w:pStyle w:val="Compact"/>
              <w:spacing w:after="40" w:before="40"/>
              <w:jc w:val="left"/>
            </w:pPr>
            <w:r>
              <w:rPr>
                <w:rFonts w:ascii="Cambria" w:hAnsi="Cambria" w:cs="Cambria" w:eastAsia="Cambria"/>
                <w:color w:val="1A1A1A"/>
                <w:sz w:val="18"/>
              </w:rPr>
              <w:t xml:space="preserve">~1</w:t>
            </w:r>
          </w:p>
        </w:tc>
        <w:tc>
          <w:tcPr>
            <w:shd w:val="clear" w:color="auto" w:fill="F4F1EC"/>
          </w:tcPr>
          <w:p>
            <w:pPr>
              <w:pStyle w:val="Compact"/>
              <w:spacing w:after="40" w:before="40"/>
              <w:jc w:val="left"/>
            </w:pPr>
            <w:r>
              <w:rPr>
                <w:rFonts w:ascii="Cambria" w:hAnsi="Cambria" w:cs="Cambria" w:eastAsia="Cambria"/>
                <w:color w:val="1A1A1A"/>
                <w:sz w:val="18"/>
              </w:rPr>
              <w:t xml:space="preserve">~2</w:t>
            </w:r>
          </w:p>
        </w:tc>
      </w:tr>
      <w:tr>
        <w:tc>
          <w:tcPr/>
          <w:p>
            <w:pPr>
              <w:pStyle w:val="Compact"/>
              <w:spacing w:after="40" w:before="40"/>
              <w:jc w:val="left"/>
            </w:pPr>
            <w:r>
              <w:rPr>
                <w:rFonts w:ascii="Cambria" w:hAnsi="Cambria" w:cs="Cambria" w:eastAsia="Cambria"/>
                <w:color w:val="1A1A1A"/>
                <w:sz w:val="18"/>
              </w:rPr>
              <w:t xml:space="preserve">Beneficio pedagogico-scolastico indiretto del dominio</w:t>
            </w:r>
          </w:p>
        </w:tc>
        <w:tc>
          <w:tcPr/>
          <w:p>
            <w:pPr>
              <w:pStyle w:val="Compact"/>
              <w:spacing w:after="40" w:before="40"/>
              <w:jc w:val="left"/>
            </w:pPr>
            <w:r>
              <w:rPr>
                <w:rFonts w:ascii="Cambria" w:hAnsi="Cambria" w:cs="Cambria" w:eastAsia="Cambria"/>
                <w:color w:val="1A1A1A"/>
                <w:sz w:val="18"/>
              </w:rPr>
              <w:t xml:space="preserve">~4</w:t>
            </w:r>
          </w:p>
        </w:tc>
        <w:tc>
          <w:tcPr/>
          <w:p>
            <w:pPr>
              <w:pStyle w:val="Compact"/>
              <w:spacing w:after="40" w:before="40"/>
              <w:jc w:val="left"/>
            </w:pPr>
            <w:r>
              <w:rPr>
                <w:rFonts w:ascii="Cambria" w:hAnsi="Cambria" w:cs="Cambria" w:eastAsia="Cambria"/>
                <w:color w:val="1A1A1A"/>
                <w:sz w:val="18"/>
              </w:rPr>
              <w:t xml:space="preserve">~5</w:t>
            </w:r>
          </w:p>
        </w:tc>
        <w:tc>
          <w:tcPr/>
          <w:p>
            <w:pPr>
              <w:pStyle w:val="Compact"/>
              <w:spacing w:after="40" w:before="40"/>
              <w:jc w:val="left"/>
            </w:pPr>
            <w:r>
              <w:rPr>
                <w:rFonts w:ascii="Cambria" w:hAnsi="Cambria" w:cs="Cambria" w:eastAsia="Cambria"/>
                <w:color w:val="1A1A1A"/>
                <w:sz w:val="18"/>
              </w:rPr>
              <w:t xml:space="preserve">~8</w:t>
            </w:r>
          </w:p>
        </w:tc>
      </w:tr>
    </w:tbl>
    <w:p>
      <w:pPr>
        <w:pStyle w:val="BodyText"/>
      </w:pPr>
      <w:r>
        <w:rPr>
          <w:i/>
          <w:iCs/>
        </w:rPr>
        <w:t xml:space="preserve">Tabella 9.20 — Stima prudenziale del beneficio del dominio pedagogico e scolastico per scenario, secondo l’approccio del capitale umano e attualizzata. Le cifre sono bande prudenziali arrotondate; l’ultima riga è la somma delle due componenti. Il valore riguarda il capitale umano dei giovani in formazione, popolazione distinta da quella adulta dei domini lavorativo e produttivistico.</w:t>
      </w:r>
    </w:p>
    <w:p>
      <w:pPr>
        <w:pStyle w:val="BodyText"/>
      </w:pPr>
      <w:r>
        <w:t xml:space="preserve">Il beneficio pedagogico e scolastico indiretto è dunque stimato in un ordine di grandezza compreso tra circa quattro milioni di euro l’anno nello scenario conservativo e circa otto milioni nello scenario espansivo, con un valore intermedio dell’ordine di cinque milioni. La cifra riflette il valore considerevole del capitale umano dei giovani che l’intercettazione precoce del disagio in età evolutiva preserva: la dispersione scolastica evitata, in particolare, conserva un capitale umano il cui valore si proietta sull’intera vita lavorativa del giovane, e costituisce uno dei benefici più duraturi della riforma, ancorché di manifestazione differita. La preminenza della componente della dispersione riflette la gravità della perdita di capitale umano conseguente all’abbandono, la più severa e la più protratta tra le conseguenze del disagio in età evolutiva non intercettato. Il dominio pedagogico e scolastico riveste, in questa luce, un’importanza che eccede la sua consistenza monetaria immediata, perché incide sulle opportunità future di una generazione, e perché il capitale umano dei giovani preservato è la forma di valore che più durevolmente si accumula nel tempo.</w:t>
      </w:r>
    </w:p>
    <w:bookmarkEnd w:id="610"/>
    <w:bookmarkStart w:id="613" w:name="Xf77f45c6f631bb960fde0fef72c8f0e2f6b9f98"/>
    <w:p>
      <w:pPr>
        <w:pStyle w:val="Heading2"/>
      </w:pPr>
      <w:r>
        <w:t xml:space="preserve">9.10.4 La graduazione, i confini e la distinzione del dominio pedagogico e scolastico</w:t>
      </w:r>
    </w:p>
    <w:p>
      <w:pPr>
        <w:pStyle w:val="FirstParagraph"/>
      </w:pPr>
      <w:r>
        <w:t xml:space="preserve">La solidità della stima del dominio pedagogico e scolastico va dichiarata. L’anello clinico-evolutivo è sostenuto da evidenza coerente di qualità variabile; l’anello formativo, da evidenza coerente sulla relazione tra disagio e dispersione, mediata dal contesto socio-economico; l’anello economico è soggetto alla proiezione del valore sulla vita futura e alla necessità di attualizzazione. La graduazione complessiva del dominio è intermedia, e si traduce in bande prudenziali la cui ampiezza riflette la mediazione del contesto e la natura differita del valore.</w:t>
      </w:r>
      <w:r>
        <w:rPr>
          <w:rStyle w:val="FootnoteReference"/>
        </w:rPr>
        <w:footnoteReference w:id="272"/>
      </w:r>
      <w:r>
        <w:t xml:space="preserve"> </w:t>
      </w:r>
      <w:r>
        <w:t xml:space="preserve">La stima centrale va letta come punto mediano di un intervallo, e la sua natura differita ne fa un beneficio di manifestazione protratta nel tempo.</w:t>
      </w:r>
    </w:p>
    <w:p>
      <w:pPr>
        <w:pStyle w:val="BodyText"/>
      </w:pPr>
      <w:r>
        <w:t xml:space="preserve">Da questa graduazione discendono i confini e le regole di non duplicazione del dominio pedagogico e scolastico. In primo luogo, il beneficio è una grandezza indiretta, non sommata ai risparmi sanitari diretti della parte ottava. In secondo luogo, e in modo caratteristico, esso riguarda la popolazione giovanile in formazione, distinta dalla popolazione adulta dei domini lavorativo e produttivistico: il capitale umano dei giovani preservato non si sovrappone alla produttività degli adulti occupati né al capitale umano di lungo periodo degli adulti, perché si tratta di popolazioni diverse e di una fase diversa del ciclo di vita; la distinzione tra la fase formativa giovanile e la fase produttiva adulta separa nettamente il dominio pedagogico-scolastico dai domini produttivi.</w:t>
      </w:r>
      <w:r>
        <w:rPr>
          <w:rStyle w:val="FootnoteReference"/>
        </w:rPr>
        <w:footnoteReference w:id="273"/>
      </w:r>
      <w:r>
        <w:t xml:space="preserve"> </w:t>
      </w:r>
      <w:r>
        <w:t xml:space="preserve">In terzo luogo, la componente qualitativa del benessere del giovane è in parte riconosciuta come tale, mentre la componente monetizzabile del capitale umano preservato alimenta l’aggregato. La specificità del dominio pedagogico-scolastico è dunque quella di cogliere un valore differito, proiettato sulla vita futura di una popolazione distinta, quella giovanile in formazione.</w:t>
      </w:r>
    </w:p>
    <w:p>
      <w:pPr>
        <w:pStyle w:val="BodyText"/>
      </w:pPr>
      <w:r>
        <w:t xml:space="preserve">La verifica documentale del dominio pedagogico e scolastico segue un’agenda precisa. Essa richiede l’acquisizione dei dati regionali sulla dispersione scolastica e sulla sua relazione con il disagio in età evolutiva, e sull’effetto dell’intercettazione precoce e del raccordo con la scuola sulla riduzione dell’abbandono; dati desumibili dalle fonti sull’istruzione e da indagini dedicate sul disagio giovanile. L’acquisizione di questi dati, prevista nella fase di consolidamento, consentirà di precisare la stima e di documentare meglio la relazione tra disagio giovanile e dispersione nel contesto pugliese. Stabilito il valore, differito ma considerevole, del dominio pedagogico e scolastico, la rinegoziazione può ora muovere verso un dominio di natura prevalentemente qualitativa, l’accademico, che riguarda la ricerca e l’innovazione.</w:t>
      </w:r>
    </w:p>
    <w:bookmarkEnd w:id="613"/>
    <w:bookmarkEnd w:id="614"/>
    <w:bookmarkStart w:id="619" w:name="Xd2a1e4d2da1dc92eb76509f37c083cd1708f7bb"/>
    <w:p>
      <w:pPr>
        <w:pStyle w:val="Heading2"/>
      </w:pPr>
      <w:r>
        <w:t xml:space="preserve">9.11 Il dominio accademico, della ricerca e dell’innovazione</w:t>
      </w:r>
    </w:p>
    <w:p>
      <w:pPr>
        <w:pStyle w:val="FirstParagraph"/>
      </w:pPr>
      <w:r>
        <w:rPr>
          <w:i/>
          <w:iCs/>
        </w:rPr>
        <w:t xml:space="preserve">L’undicesimo dominio del perimetro integrale è l’accademico, della ricerca e dell’innovazione, e con esso si torna nel territorio dei domini a prevalente natura qualitativa. Esso misura il valore che la riforma genera come piattaforma di ricerca e di innovazione: la generazione di evidenza e di dati sulla salute mentale di popolazione che il sistema diffuso del primo livello psicologico rende possibile, l’innovazione negli strumenti e nei modelli di presa in carico che esso stimola, e la formazione di ricercatori e di competenze che esso alimenta. Una rete diffusa e prossima di primo livello psicologico costituisce, infatti, un’infrastruttura di conoscenza: essa produce dati sulla salute mentale di popolazione altrimenti non disponibili, offre un terreno per la ricerca e la sperimentazione, e stimola l’innovazione nei modelli e negli strumenti. Questo valore è in larga parte qualitativo e di lungo periodo, e la voce lo tratta secondo la sua natura, quantificando con grande prudenza la sola componente residua monetizzabile e riconoscendo la dimensione qualitativa, prevalente, senza monetizzarla.</w:t>
      </w:r>
    </w:p>
    <w:bookmarkStart w:id="615" w:name="X65f5acd6d1352e375bdaf3bfd2a1d20fcae1ddb"/>
    <w:p>
      <w:pPr>
        <w:pStyle w:val="Heading2"/>
      </w:pPr>
      <w:r>
        <w:t xml:space="preserve">9.11.1 Il contesto e i meccanismi: la riforma come infrastruttura di conoscenza</w:t>
      </w:r>
    </w:p>
    <w:p>
      <w:pPr>
        <w:pStyle w:val="FirstParagraph"/>
      </w:pPr>
      <w:r>
        <w:t xml:space="preserve">Il sistema diffuso del primo livello psicologico, oltre alla sua funzione assistenziale, svolge una funzione di infrastruttura di conoscenza, che il dominio accademico riconosce. La presa in carico diffusa del disagio comune nelle cure primarie genera, infatti, una mole di dati sulla salute mentale di popolazione — sull’epidemiologia del disagio, sui percorsi di cura, sugli esiti degli interventi — che il sistema specialistico, concentrato sui casi gravi, non produce, e che costituisce una base di conoscenza preziosa per la ricerca, la programmazione e la valutazione. Questo patrimonio informativo, opportunamente raccolto nel rispetto della protezione dei dati, consente di studiare la salute mentale di popolazione con una completezza altrimenti irraggiungibile, e di fondare su dati reali la ricerca e le decisioni. La generazione di evidenza è dunque un primo valore del dominio accademico, in parte monetizzabile attraverso il valore della conoscenza prodotta, ma prevalentemente qualitativo, perché il valore della conoscenza scientifica eccede la sua immediata traduzione monetaria.</w:t>
      </w:r>
    </w:p>
    <w:p>
      <w:pPr>
        <w:pStyle w:val="BodyText"/>
      </w:pPr>
      <w:r>
        <w:t xml:space="preserve">Al valore della generazione di evidenza si aggiunge quello dell’innovazione e della formazione. Il sistema diffuso del primo livello psicologico costituisce un terreno per l’innovazione nei modelli organizzativi, nei percorsi di cura e negli strumenti, inclusi quelli digitali, la cui sperimentazione su scala diffusa stimola lo sviluppo di soluzioni nuove; e alimenta la formazione di ricercatori e di competenze nel campo della salute mentale di popolazione, accrescendo il capitale di conoscenza della regione. Entrambi questi valori — l’innovazione stimolata e le competenze formate — sono di natura prevalentemente qualitativa, perché si manifestano come accrescimento di un capitale immateriale, quello della conoscenza e della capacità di innovare, che non si lascia agevolmente ridurre a una cifra. Lo Psicologo di Base, e la rete diffusa che esso costituisce, agiscono dunque come infrastruttura di conoscenza e di innovazione, il cui valore, in larga parte qualitativo, il dominio accademico riconosce, quantificandone con prudenza la sola componente residua monetizzabile.</w:t>
      </w:r>
    </w:p>
    <w:bookmarkEnd w:id="615"/>
    <w:bookmarkStart w:id="617" w:name="Xfa9c6ef56d9822e8047ac2a7aaa953d13c0cae3"/>
    <w:p>
      <w:pPr>
        <w:pStyle w:val="Heading2"/>
      </w:pPr>
      <w:r>
        <w:t xml:space="preserve">9.11.2 La quantificazione e i confini del dominio accademico</w:t>
      </w:r>
    </w:p>
    <w:p>
      <w:pPr>
        <w:pStyle w:val="FirstParagraph"/>
      </w:pPr>
      <w:r>
        <w:t xml:space="preserve">La quantificazione del dominio accademico si limita, coerentemente con la sua natura prevalentemente qualitativa, alla sola componente residua monetizzabile — il valore della generazione di evidenza nella sua quota traducibile in termini economici — e riconosce le componenti dell’innovazione e della formazione nella loro dimensione qualitativa, senza monetizzarle. La tabella che segue distingue le dimensioni del dominio.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del dominio accademico</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 della 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Trattamento nella rinegoziazione</w:t>
            </w:r>
          </w:p>
        </w:tc>
      </w:tr>
      <w:tr>
        <w:tc>
          <w:tcPr/>
          <w:p>
            <w:pPr>
              <w:pStyle w:val="Compact"/>
              <w:spacing w:after="40" w:before="40"/>
              <w:jc w:val="left"/>
            </w:pPr>
            <w:r>
              <w:rPr>
                <w:rFonts w:ascii="Cambria" w:hAnsi="Cambria" w:cs="Cambria" w:eastAsia="Cambria"/>
                <w:color w:val="1A1A1A"/>
                <w:sz w:val="18"/>
              </w:rPr>
              <w:t xml:space="preserve">Generazione di evidenza e piattaforma di ricerca</w:t>
            </w:r>
          </w:p>
        </w:tc>
        <w:tc>
          <w:tcPr/>
          <w:p>
            <w:pPr>
              <w:pStyle w:val="Compact"/>
              <w:spacing w:after="40" w:before="40"/>
              <w:jc w:val="left"/>
            </w:pPr>
            <w:r>
              <w:rPr>
                <w:rFonts w:ascii="Cambria" w:hAnsi="Cambria" w:cs="Cambria" w:eastAsia="Cambria"/>
                <w:color w:val="1A1A1A"/>
                <w:sz w:val="18"/>
              </w:rPr>
              <w:t xml:space="preserve">valore della base di dati e dell’evidenza sulla salute mentale di popolazione</w:t>
            </w:r>
          </w:p>
        </w:tc>
        <w:tc>
          <w:tcPr/>
          <w:p>
            <w:pPr>
              <w:pStyle w:val="Compact"/>
              <w:spacing w:after="40" w:before="40"/>
              <w:jc w:val="left"/>
            </w:pPr>
            <w:r>
              <w:rPr>
                <w:rFonts w:ascii="Cambria" w:hAnsi="Cambria" w:cs="Cambria" w:eastAsia="Cambria"/>
                <w:color w:val="1A1A1A"/>
                <w:sz w:val="18"/>
              </w:rPr>
              <w:t xml:space="preserve">componente residua parzialmente monetizzabile, quantificata con prudenza</w:t>
            </w:r>
          </w:p>
        </w:tc>
      </w:tr>
      <w:tr>
        <w:tc>
          <w:tcPr>
            <w:shd w:val="clear" w:color="auto" w:fill="F4F1EC"/>
          </w:tcPr>
          <w:p>
            <w:pPr>
              <w:pStyle w:val="Compact"/>
              <w:spacing w:after="40" w:before="40"/>
              <w:jc w:val="left"/>
            </w:pPr>
            <w:r>
              <w:rPr>
                <w:rFonts w:ascii="Cambria" w:hAnsi="Cambria" w:cs="Cambria" w:eastAsia="Cambria"/>
                <w:color w:val="1A1A1A"/>
                <w:sz w:val="18"/>
              </w:rPr>
              <w:t xml:space="preserve">Innovazione e formazione di ricercatori e competenze</w:t>
            </w:r>
          </w:p>
        </w:tc>
        <w:tc>
          <w:tcPr>
            <w:shd w:val="clear" w:color="auto" w:fill="F4F1EC"/>
          </w:tcPr>
          <w:p>
            <w:pPr>
              <w:pStyle w:val="Compact"/>
              <w:spacing w:after="40" w:before="40"/>
              <w:jc w:val="left"/>
            </w:pPr>
            <w:r>
              <w:rPr>
                <w:rFonts w:ascii="Cambria" w:hAnsi="Cambria" w:cs="Cambria" w:eastAsia="Cambria"/>
                <w:color w:val="1A1A1A"/>
                <w:sz w:val="18"/>
              </w:rPr>
              <w:t xml:space="preserve">capitale immateriale dell’innovazione e della conoscenza</w:t>
            </w:r>
          </w:p>
        </w:tc>
        <w:tc>
          <w:tcPr>
            <w:shd w:val="clear" w:color="auto" w:fill="F4F1EC"/>
          </w:tcPr>
          <w:p>
            <w:pPr>
              <w:pStyle w:val="Compact"/>
              <w:spacing w:after="40" w:before="40"/>
              <w:jc w:val="left"/>
            </w:pPr>
            <w:r>
              <w:rPr>
                <w:rFonts w:ascii="Cambria" w:hAnsi="Cambria" w:cs="Cambria" w:eastAsia="Cambria"/>
                <w:color w:val="1A1A1A"/>
                <w:sz w:val="18"/>
              </w:rPr>
              <w:t xml:space="preserve">dimensione qualitativa, riconosciuta ma non monetizzata</w:t>
            </w:r>
          </w:p>
        </w:tc>
      </w:tr>
    </w:tbl>
    <w:p>
      <w:pPr>
        <w:pStyle w:val="BodyText"/>
      </w:pPr>
      <w:r>
        <w:rPr>
          <w:i/>
          <w:iCs/>
        </w:rPr>
        <w:t xml:space="preserve">Tabella 9.21 — Le dimensioni del dominio accademico e il loro trattamento. Solo la componente della generazione di evidenza è quantificata, nella sua quota residua monetizzabile; l’innovazione e la formazione sono riconosciute nella loro dimensione qualitativa e non concorrono all’aggregato monetario, pur contribuendo al valore complessivo della riforma.</w:t>
      </w:r>
    </w:p>
    <w:p>
      <w:pPr>
        <w:pStyle w:val="BodyText"/>
      </w:pPr>
      <w:r>
        <w:t xml:space="preserve">La stima della sola componente residua monetizzabile del dominio accademico è esposta, per ciascuno scenario, nella tabella che segue, con la consapevolezza che essa rappresenta una parte minima del valore del dominio, la cui dimensione maggiore è qualitativa e di lungo periodo.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beneficio accademico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Generazione di evidenza e piattaforma di ricerca (residuo monetizzato)</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~2</w:t>
            </w:r>
          </w:p>
        </w:tc>
      </w:tr>
      <w:tr>
        <w:tc>
          <w:tcPr>
            <w:shd w:val="clear" w:color="auto" w:fill="F4F1EC"/>
          </w:tcPr>
          <w:p>
            <w:pPr>
              <w:pStyle w:val="Compact"/>
              <w:spacing w:after="40" w:before="40"/>
              <w:jc w:val="left"/>
            </w:pPr>
            <w:r>
              <w:rPr>
                <w:rFonts w:ascii="Cambria" w:hAnsi="Cambria" w:cs="Cambria" w:eastAsia="Cambria"/>
                <w:color w:val="1A1A1A"/>
                <w:sz w:val="18"/>
              </w:rPr>
              <w:t xml:space="preserve">Innovazione e formazione di ricercatori e competenze</w:t>
            </w:r>
          </w:p>
        </w:tc>
        <w:tc>
          <w:tcPr>
            <w:shd w:val="clear" w:color="auto" w:fill="F4F1EC"/>
          </w:tcPr>
          <w:p>
            <w:pPr>
              <w:pStyle w:val="Compact"/>
              <w:spacing w:after="40" w:before="40"/>
              <w:jc w:val="left"/>
            </w:pPr>
            <w:r>
              <w:rPr>
                <w:rFonts w:ascii="Cambria" w:hAnsi="Cambria" w:cs="Cambria" w:eastAsia="Cambria"/>
                <w:color w:val="1A1A1A"/>
                <w:sz w:val="18"/>
              </w:rPr>
              <w:t xml:space="preserve">qualitativo</w:t>
            </w:r>
          </w:p>
        </w:tc>
        <w:tc>
          <w:tcPr>
            <w:shd w:val="clear" w:color="auto" w:fill="F4F1EC"/>
          </w:tcPr>
          <w:p>
            <w:pPr>
              <w:pStyle w:val="Compact"/>
              <w:spacing w:after="40" w:before="40"/>
              <w:jc w:val="left"/>
            </w:pPr>
            <w:r>
              <w:rPr>
                <w:rFonts w:ascii="Cambria" w:hAnsi="Cambria" w:cs="Cambria" w:eastAsia="Cambria"/>
                <w:color w:val="1A1A1A"/>
                <w:sz w:val="18"/>
              </w:rPr>
              <w:t xml:space="preserve">qualitativo</w:t>
            </w:r>
          </w:p>
        </w:tc>
        <w:tc>
          <w:tcPr>
            <w:shd w:val="clear" w:color="auto" w:fill="F4F1EC"/>
          </w:tcPr>
          <w:p>
            <w:pPr>
              <w:pStyle w:val="Compact"/>
              <w:spacing w:after="40" w:before="40"/>
              <w:jc w:val="left"/>
            </w:pPr>
            <w:r>
              <w:rPr>
                <w:rFonts w:ascii="Cambria" w:hAnsi="Cambria" w:cs="Cambria" w:eastAsia="Cambria"/>
                <w:color w:val="1A1A1A"/>
                <w:sz w:val="18"/>
              </w:rPr>
              <w:t xml:space="preserve">qualitativo</w:t>
            </w:r>
          </w:p>
        </w:tc>
      </w:tr>
      <w:tr>
        <w:tc>
          <w:tcPr/>
          <w:p>
            <w:pPr>
              <w:pStyle w:val="Compact"/>
              <w:spacing w:after="40" w:before="40"/>
              <w:jc w:val="left"/>
            </w:pPr>
            <w:r>
              <w:rPr>
                <w:rFonts w:ascii="Cambria" w:hAnsi="Cambria" w:cs="Cambria" w:eastAsia="Cambria"/>
                <w:color w:val="1A1A1A"/>
                <w:sz w:val="18"/>
              </w:rPr>
              <w:t xml:space="preserve">Beneficio accademico monetizzato del dominio</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~2</w:t>
            </w:r>
          </w:p>
        </w:tc>
      </w:tr>
    </w:tbl>
    <w:p>
      <w:pPr>
        <w:pStyle w:val="BodyText"/>
      </w:pPr>
      <w:r>
        <w:rPr>
          <w:i/>
          <w:iCs/>
        </w:rPr>
        <w:t xml:space="preserve">Tabella 9.22 — Stima prudenziale della sola componente residua monetizzabile del dominio accademico per scenario. Le componenti dell’innovazione e della formazione sono qualitative e non monetizzate; il beneficio monetizzato, minimo, coincide con la sola quota traducibile del valore della generazione di evidenza.</w:t>
      </w:r>
    </w:p>
    <w:p>
      <w:pPr>
        <w:pStyle w:val="BodyText"/>
      </w:pPr>
      <w:r>
        <w:t xml:space="preserve">Il beneficio accademico monetizzato è dunque stimato in un ordine di grandezza compreso tra circa un milione di euro l’anno nello scenario conservativo e circa due milioni nello scenario espansivo, con un valore intermedio dell’ordine di un milione. La minimità della cifra monetizzata riflette fedelmente la natura prevalentemente qualitativa e di lungo periodo del dominio: il valore della riforma come piattaforma di ricerca e di innovazione è reale e potenzialmente rilevante, ma si manifesta come accrescimento di un capitale immateriale — la conoscenza, l’evidenza, la capacità di innovare e le competenze formate — che eccede ampiamente la sua immediata traduzione monetaria, e che si dispiega in un orizzonte di lungo periodo. La cifra monetizzata coglie soltanto la quota residua, traducibile in termini economici, del valore della generazione di evidenza; la dimensione maggiore del dominio, l’infrastruttura di conoscenza e di innovazione, è riconosciuta qualitativamente e contribuisce al valore complessivo della riforma, e alla sua capacità di generare conoscenza e innovazione nel tempo, senza alimentare l’aggregato monetario. Il dominio accademico è, in questo senso, quello in cui il divario tra valore reale e valore monetizzabile è più ampio, e in cui la scelta di non monetizzare il qualitativo è più necessaria.</w:t>
      </w:r>
      <w:r>
        <w:rPr>
          <w:rStyle w:val="FootnoteReference"/>
        </w:rPr>
        <w:footnoteReference w:id="274"/>
      </w:r>
    </w:p>
    <w:bookmarkEnd w:id="617"/>
    <w:bookmarkStart w:id="618" w:name="X0e5183bd7979fffcf10c13e957c92a84e18246f"/>
    <w:p>
      <w:pPr>
        <w:pStyle w:val="Heading2"/>
      </w:pPr>
      <w:r>
        <w:t xml:space="preserve">9.11.3 La graduazione, la dimensione qualitativa e i confini del dominio accademico</w:t>
      </w:r>
    </w:p>
    <w:p>
      <w:pPr>
        <w:pStyle w:val="FirstParagraph"/>
      </w:pPr>
      <w:r>
        <w:t xml:space="preserve">La solidità della stima del dominio accademico va dichiarata. La componente monetizzata è sostenuta da evidenza limitata ed è quantificata in una quota residua minima; la dimensione qualitativa, pur reale e potenzialmente rilevante, non si traduce in una grandezza monetaria definita, e si dispiega in un orizzonte di lungo periodo. La graduazione della componente monetizzata è bassa, e si traduce in una banda prudenziale minima; la dimensione qualitativa è riconosciuta nella sua natura immateriale e di lungo periodo, e la sua esclusione dalla somma ne rispetta l’irriducibilità. Da ciò discendono i confini: il beneficio accademico monetizzato è una grandezza indiretta residua minima, non sommata ai risparmi diretti; esso coglie la sola quota traducibile della generazione di evidenza, e le componenti dell’innovazione e della formazione sono esplicitamente escluse dall’aggregato monetario e riconosciute qualitativamente. La verifica documentale, prevista nella fase di consolidamento, mirerà a documentare il valore della generazione di evidenza e il potenziale di ricerca e innovazione del sistema diffuso, riconoscendone la natura prevalentemente qualitativa. Stabilito il valore, in larga parte qualitativo, del dominio accademico, la rinegoziazione può ora muovere verso il dominio industriale, che torna su un terreno di maggiore monetizzabilità, quello della salute organizzativa delle imprese.</w:t>
      </w:r>
    </w:p>
    <w:bookmarkEnd w:id="618"/>
    <w:bookmarkEnd w:id="619"/>
    <w:bookmarkStart w:id="625" w:name="X41511c88727c8b48b24aec4f31ca975298a7b80"/>
    <w:p>
      <w:pPr>
        <w:pStyle w:val="Heading2"/>
      </w:pPr>
      <w:r>
        <w:t xml:space="preserve">9.12 Il dominio industriale e della salute organizzativa</w:t>
      </w:r>
    </w:p>
    <w:p>
      <w:pPr>
        <w:pStyle w:val="FirstParagraph"/>
      </w:pPr>
      <w:r>
        <w:rPr>
          <w:i/>
          <w:iCs/>
        </w:rPr>
        <w:t xml:space="preserve">Il dodicesimo dominio del perimetro integrale è l’industriale e della salute organizzativa, e torna su un terreno di maggiore monetizzabilità rispetto ai due precedenti. Esso misura il valore che la riduzione del disagio comune genera a livello delle organizzazioni e delle imprese, distinto dal valore generato a livello del singolo lavoratore. Mentre il dominio lavorativo coglie la produttività del singolo lavoratore — l’assenteismo e il presenteismo individuali — il dominio industriale coglie gli effetti che si manifestano a livello dell’organizzazione nel suo insieme: la riduzione del turnover e dei costi di sostituzione, e il miglioramento del clima e della salute organizzativa. Questi effetti, di natura organizzativa e non individuale, costituiscono una dimensione distinta del valore della riforma, riferita all’impresa come entità anziché al lavoratore come individuo. La voce ricostruisce il contesto della salute organizzativa, ne isola i meccanismi, ne traccia la catena causale, ne stima il beneficio per scenario e ne dichiara la graduazione, i confini e la distinzione, in particolare dal dominio lavorativo per il diverso livello considerato.</w:t>
      </w:r>
    </w:p>
    <w:bookmarkStart w:id="620" w:name="X9799ce80f9602b8959666bfc7e29a9d5def2e19"/>
    <w:p>
      <w:pPr>
        <w:pStyle w:val="Heading2"/>
      </w:pPr>
      <w:r>
        <w:t xml:space="preserve">9.12.1 Il contesto e i meccanismi: il livello organizzativo del disagio</w:t>
      </w:r>
    </w:p>
    <w:p>
      <w:pPr>
        <w:pStyle w:val="FirstParagraph"/>
      </w:pPr>
      <w:r>
        <w:t xml:space="preserve">Il disagio psichico dei lavoratori incide non soltanto sulla loro produttività individuale, già colta dal dominio lavorativo, ma anche sulla salute dell’organizzazione nel suo insieme, generando effetti che si manifestano a livello collettivo e che il dominio industriale riconosce. Il primo di questi effetti è il turnover, ossia l’uscita dei lavoratori dall’impresa e la loro sostituzione: il disagio non trattato, deteriorando le condizioni del lavoratore e il suo rapporto con il lavoro, accresce la probabilità che egli lasci l’impresa, e genera così costi di turnover — la perdita di esperienza, i costi di reclutamento e di formazione del sostituto, la riduzione di produttività nel periodo di transizione — che gravano sull’organizzazione. Questi costi sono di natura organizzativa, perché riguardano l’impresa come entità e la sua continuità, e sono distinti dalla produttività individuale del lavoratore: il dominio lavorativo conta la produttività di chi resta, il dominio industriale conta il costo per l’organizzazione di chi se ne va e va sostituito.</w:t>
      </w:r>
    </w:p>
    <w:p>
      <w:pPr>
        <w:pStyle w:val="BodyText"/>
      </w:pPr>
      <w:r>
        <w:t xml:space="preserve">Il secondo effetto è la qualità del clima e della salute organizzativa. Il disagio psichico diffuso tra i lavoratori deteriora il clima organizzativo — le relazioni, la cooperazione, il benessere collettivo nei luoghi di lavoro — con effetti sulla produttività complessiva dell’organizzazione che eccedono la somma delle produttività individuali, perché incidono sulla qualità delle interazioni e della cooperazione. Il miglioramento delle condizioni dei lavoratori, conseguente alla presa in carico al primo livello, migliora il clima organizzativo e la salute dell’organizzazione, generando un valore in parte monetizzabile, attraverso la maggiore produttività organizzativa, e in parte qualitativo. I due meccanismi — la riduzione del turnover e il miglioramento del clima — convergono verso il miglioramento della salute organizzativa, e ne colgono componenti distinte, riferite al livello dell’organizzazione anziché del singolo lavoratore, e perciò additive rispetto al dominio lavorativo, che coglie il livello individuale.</w:t>
      </w:r>
    </w:p>
    <w:bookmarkEnd w:id="620"/>
    <w:bookmarkStart w:id="621" w:name="Xeb0982638c509825537686f4115ae4b2c0a576d"/>
    <w:p>
      <w:pPr>
        <w:pStyle w:val="Heading2"/>
      </w:pPr>
      <w:r>
        <w:t xml:space="preserve">9.12.2 La catena causale e la quantificazione del dominio industriale</w:t>
      </w:r>
    </w:p>
    <w:p>
      <w:pPr>
        <w:pStyle w:val="FirstParagraph"/>
      </w:pPr>
      <w:r>
        <w:t xml:space="preserve">La formazione del beneficio industriale segue una catena causale a più anelli. Il primo anello è clinico: la presa in carico migliora le condizioni dei lavoratori. Il secondo anello è organizzativo: il miglioramento delle condizioni dei lavoratori riduce il turnover e migliora il clima organizzativo. Questo anello è sostenuto da evidenza coerente sulla relazione tra benessere dei lavoratori, turnover e clima organizzativo, ancorché di qualità variabile. Il terzo anello è economico: la riduzione del turnover e il miglioramento del clima si traducono in minori costi di sostituzione e in maggiore produttività organizzativa, valutati a livello dell’impresa. La quantificazione procede secondo il metodo in cinque passaggi, applicato ai due effetti organizzativi, con la cura di riferirli al livello dell’organizzazione, distinto dal livello individuale del dominio lavorativo. La tabella che segue ricostruisce le due forme e i margini su cui il dominio opera.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Forma dell’effetto organizzativo</w:t>
            </w:r>
          </w:p>
        </w:tc>
        <w:tc>
          <w:tcPr>
            <w:shd w:val="clear" w:color="auto" w:fill="16264B"/>
          </w:tcPr>
          <w:p>
            <w:pPr>
              <w:pStyle w:val="Compact"/>
              <w:spacing w:after="40" w:before="40"/>
              <w:jc w:val="left"/>
            </w:pPr>
            <w:r>
              <w:rPr>
                <w:rFonts w:ascii="Cambria" w:hAnsi="Cambria" w:cs="Cambria" w:eastAsia="Cambria"/>
                <w:b/>
                <w:bCs/>
                <w:color w:val="FFFFFF"/>
                <w:sz w:val="18"/>
              </w:rPr>
              <w:t xml:space="preserve">Grandezza di ancoraggio</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Componente attribuibile al dominio (livello organizzativo, distinto da 9.1)</w:t>
            </w:r>
          </w:p>
        </w:tc>
      </w:tr>
      <w:tr>
        <w:tc>
          <w:tcPr/>
          <w:p>
            <w:pPr>
              <w:pStyle w:val="Compact"/>
              <w:spacing w:after="40" w:before="40"/>
              <w:jc w:val="left"/>
            </w:pPr>
            <w:r>
              <w:rPr>
                <w:rFonts w:ascii="Cambria" w:hAnsi="Cambria" w:cs="Cambria" w:eastAsia="Cambria"/>
                <w:color w:val="1A1A1A"/>
                <w:sz w:val="18"/>
              </w:rPr>
              <w:t xml:space="preserve">Turnover e costi di sostituzione</w:t>
            </w:r>
          </w:p>
        </w:tc>
        <w:tc>
          <w:tcPr/>
          <w:p>
            <w:pPr>
              <w:pStyle w:val="Compact"/>
              <w:spacing w:after="40" w:before="40"/>
              <w:jc w:val="left"/>
            </w:pPr>
            <w:r>
              <w:rPr>
                <w:rFonts w:ascii="Cambria" w:hAnsi="Cambria" w:cs="Cambria" w:eastAsia="Cambria"/>
                <w:color w:val="1A1A1A"/>
                <w:sz w:val="18"/>
              </w:rPr>
              <w:t xml:space="preserve">costo del turnover a livello d’impresa (esperienza perduta, reclutamento, formazione)</w:t>
            </w:r>
          </w:p>
        </w:tc>
        <w:tc>
          <w:tcPr/>
          <w:p>
            <w:pPr>
              <w:pStyle w:val="Compact"/>
              <w:spacing w:after="40" w:before="40"/>
              <w:jc w:val="left"/>
            </w:pPr>
            <w:r>
              <w:rPr>
                <w:rFonts w:ascii="Cambria" w:hAnsi="Cambria" w:cs="Cambria" w:eastAsia="Cambria"/>
                <w:color w:val="1A1A1A"/>
                <w:sz w:val="18"/>
              </w:rPr>
              <w:t xml:space="preserve">la quota riducibile, a livello organizzativo, distinta dalla produttività individuale del dominio lavorativo</w:t>
            </w:r>
          </w:p>
        </w:tc>
      </w:tr>
      <w:tr>
        <w:tc>
          <w:tcPr>
            <w:shd w:val="clear" w:color="auto" w:fill="F4F1EC"/>
          </w:tcPr>
          <w:p>
            <w:pPr>
              <w:pStyle w:val="Compact"/>
              <w:spacing w:after="40" w:before="40"/>
              <w:jc w:val="left"/>
            </w:pPr>
            <w:r>
              <w:rPr>
                <w:rFonts w:ascii="Cambria" w:hAnsi="Cambria" w:cs="Cambria" w:eastAsia="Cambria"/>
                <w:color w:val="1A1A1A"/>
                <w:sz w:val="18"/>
              </w:rPr>
              <w:t xml:space="preserve">Clima e salute organizzativa</w:t>
            </w:r>
          </w:p>
        </w:tc>
        <w:tc>
          <w:tcPr>
            <w:shd w:val="clear" w:color="auto" w:fill="F4F1EC"/>
          </w:tcPr>
          <w:p>
            <w:pPr>
              <w:pStyle w:val="Compact"/>
              <w:spacing w:after="40" w:before="40"/>
              <w:jc w:val="left"/>
            </w:pPr>
            <w:r>
              <w:rPr>
                <w:rFonts w:ascii="Cambria" w:hAnsi="Cambria" w:cs="Cambria" w:eastAsia="Cambria"/>
                <w:color w:val="1A1A1A"/>
                <w:sz w:val="18"/>
              </w:rPr>
              <w:t xml:space="preserve">qualità del clima organizzativo e produttività collettiva</w:t>
            </w:r>
          </w:p>
        </w:tc>
        <w:tc>
          <w:tcPr>
            <w:shd w:val="clear" w:color="auto" w:fill="F4F1EC"/>
          </w:tcPr>
          <w:p>
            <w:pPr>
              <w:pStyle w:val="Compact"/>
              <w:spacing w:after="40" w:before="40"/>
              <w:jc w:val="left"/>
            </w:pPr>
            <w:r>
              <w:rPr>
                <w:rFonts w:ascii="Cambria" w:hAnsi="Cambria" w:cs="Cambria" w:eastAsia="Cambria"/>
                <w:color w:val="1A1A1A"/>
                <w:sz w:val="18"/>
              </w:rPr>
              <w:t xml:space="preserve">la quota di miglioramento parzialmente monetizzabile, riferita all’organizzazione</w:t>
            </w:r>
          </w:p>
        </w:tc>
      </w:tr>
    </w:tbl>
    <w:p>
      <w:pPr>
        <w:pStyle w:val="BodyText"/>
      </w:pPr>
      <w:r>
        <w:rPr>
          <w:i/>
          <w:iCs/>
        </w:rPr>
        <w:t xml:space="preserve">Tabella 9.23 — Le forme dell’effetto organizzativo del disagio e i margini di compressione. Le grandezze riguardano il livello dell’organizzazione, distinto dal livello individuale del lavoratore colto dal dominio lavorativo (9.1), e sono perciò additive rispetto a esso; saranno precisate dai dati certificati nella fase di consolidamento.</w:t>
      </w:r>
    </w:p>
    <w:p>
      <w:pPr>
        <w:pStyle w:val="BodyText"/>
      </w:pPr>
      <w:r>
        <w:t xml:space="preserve">Sulla base di questo quadro, la stima del beneficio industriale è articolata nelle due componenti e per ciascuno scenario. La componente della riduzione del turnover costituisce la quota maggiore, per l’entità dei costi di sostituzione; la componente del clima organizzativo costituisce la quota minore, in parte qualitativa. La tabella che segue espone la stima per componente e per scenario.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beneficio industriale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Riduzione del turnover e dei costi di sostituzione (livello d’impresa)</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~2</w:t>
            </w:r>
          </w:p>
        </w:tc>
        <w:tc>
          <w:tcPr/>
          <w:p>
            <w:pPr>
              <w:pStyle w:val="Compact"/>
              <w:spacing w:after="40" w:before="40"/>
              <w:jc w:val="left"/>
            </w:pPr>
            <w:r>
              <w:rPr>
                <w:rFonts w:ascii="Cambria" w:hAnsi="Cambria" w:cs="Cambria" w:eastAsia="Cambria"/>
                <w:color w:val="1A1A1A"/>
                <w:sz w:val="18"/>
              </w:rPr>
              <w:t xml:space="preserve">~3</w:t>
            </w:r>
          </w:p>
        </w:tc>
      </w:tr>
      <w:tr>
        <w:tc>
          <w:tcPr>
            <w:shd w:val="clear" w:color="auto" w:fill="F4F1EC"/>
          </w:tcPr>
          <w:p>
            <w:pPr>
              <w:pStyle w:val="Compact"/>
              <w:spacing w:after="40" w:before="40"/>
              <w:jc w:val="left"/>
            </w:pPr>
            <w:r>
              <w:rPr>
                <w:rFonts w:ascii="Cambria" w:hAnsi="Cambria" w:cs="Cambria" w:eastAsia="Cambria"/>
                <w:color w:val="1A1A1A"/>
                <w:sz w:val="18"/>
              </w:rPr>
              <w:t xml:space="preserve">Miglioramento del clima e della salute organizzativa</w:t>
            </w:r>
          </w:p>
        </w:tc>
        <w:tc>
          <w:tcPr>
            <w:shd w:val="clear" w:color="auto" w:fill="F4F1EC"/>
          </w:tcPr>
          <w:p>
            <w:pPr>
              <w:pStyle w:val="Compact"/>
              <w:spacing w:after="40" w:before="40"/>
              <w:jc w:val="left"/>
            </w:pPr>
            <w:r>
              <w:rPr>
                <w:rFonts w:ascii="Cambria" w:hAnsi="Cambria" w:cs="Cambria" w:eastAsia="Cambria"/>
                <w:color w:val="1A1A1A"/>
                <w:sz w:val="18"/>
              </w:rPr>
              <w:t xml:space="preserve">~1</w:t>
            </w:r>
          </w:p>
        </w:tc>
        <w:tc>
          <w:tcPr>
            <w:shd w:val="clear" w:color="auto" w:fill="F4F1EC"/>
          </w:tcPr>
          <w:p>
            <w:pPr>
              <w:pStyle w:val="Compact"/>
              <w:spacing w:after="40" w:before="40"/>
              <w:jc w:val="left"/>
            </w:pPr>
            <w:r>
              <w:rPr>
                <w:rFonts w:ascii="Cambria" w:hAnsi="Cambria" w:cs="Cambria" w:eastAsia="Cambria"/>
                <w:color w:val="1A1A1A"/>
                <w:sz w:val="18"/>
              </w:rPr>
              <w:t xml:space="preserve">~1</w:t>
            </w:r>
          </w:p>
        </w:tc>
        <w:tc>
          <w:tcPr>
            <w:shd w:val="clear" w:color="auto" w:fill="F4F1EC"/>
          </w:tcPr>
          <w:p>
            <w:pPr>
              <w:pStyle w:val="Compact"/>
              <w:spacing w:after="40" w:before="40"/>
              <w:jc w:val="left"/>
            </w:pPr>
            <w:r>
              <w:rPr>
                <w:rFonts w:ascii="Cambria" w:hAnsi="Cambria" w:cs="Cambria" w:eastAsia="Cambria"/>
                <w:color w:val="1A1A1A"/>
                <w:sz w:val="18"/>
              </w:rPr>
              <w:t xml:space="preserve">~1</w:t>
            </w:r>
          </w:p>
        </w:tc>
      </w:tr>
      <w:tr>
        <w:tc>
          <w:tcPr/>
          <w:p>
            <w:pPr>
              <w:pStyle w:val="Compact"/>
              <w:spacing w:after="40" w:before="40"/>
              <w:jc w:val="left"/>
            </w:pPr>
            <w:r>
              <w:rPr>
                <w:rFonts w:ascii="Cambria" w:hAnsi="Cambria" w:cs="Cambria" w:eastAsia="Cambria"/>
                <w:color w:val="1A1A1A"/>
                <w:sz w:val="18"/>
              </w:rPr>
              <w:t xml:space="preserve">Beneficio industriale indiretto del dominio</w:t>
            </w:r>
          </w:p>
        </w:tc>
        <w:tc>
          <w:tcPr/>
          <w:p>
            <w:pPr>
              <w:pStyle w:val="Compact"/>
              <w:spacing w:after="40" w:before="40"/>
              <w:jc w:val="left"/>
            </w:pPr>
            <w:r>
              <w:rPr>
                <w:rFonts w:ascii="Cambria" w:hAnsi="Cambria" w:cs="Cambria" w:eastAsia="Cambria"/>
                <w:color w:val="1A1A1A"/>
                <w:sz w:val="18"/>
              </w:rPr>
              <w:t xml:space="preserve">~2</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~4</w:t>
            </w:r>
          </w:p>
        </w:tc>
      </w:tr>
    </w:tbl>
    <w:p>
      <w:pPr>
        <w:pStyle w:val="BodyText"/>
      </w:pPr>
      <w:r>
        <w:rPr>
          <w:i/>
          <w:iCs/>
        </w:rPr>
        <w:t xml:space="preserve">Tabella 9.24 — Stima prudenziale del beneficio del dominio industriale per scenario. Le cifre sono bande prudenziali arrotondate; l’ultima riga è la somma delle due componenti. Il valore riguarda il livello dell’organizzazione, distinto dal livello individuale del lavoratore (dominio lavorativo), ed è perciò additivo rispetto a esso; non è sommabile con i risparmi sanitari diretti.</w:t>
      </w:r>
    </w:p>
    <w:p>
      <w:pPr>
        <w:pStyle w:val="BodyText"/>
      </w:pPr>
      <w:r>
        <w:t xml:space="preserve">Il beneficio industriale indiretto è dunque stimato in un ordine di grandezza compreso tra circa due milioni di euro l’anno nello scenario conservativo e circa quattro milioni nello scenario espansivo, con un valore intermedio dell’ordine di tre milioni. La cifra riflette il valore degli effetti organizzativi del disagio — il turnover e il clima — che si manifestano a livello dell’impresa e che eccedono la produttività individuale dei lavoratori: il costo di sostituzione del lavoratore che lascia l’impresa, in particolare, è un costo organizzativo reale, distinto dalla perdita di produttività di chi resta, e la sua riduzione costituisce un beneficio genuino della riforma a livello delle organizzazioni. La distinzione tra il livello organizzativo, qui considerato, e il livello individuale, colto dal dominio lavorativo, garantisce l’additività del dominio industriale rispetto al lavorativo, perché i due domini colgono dimensioni diverse — l’organizzazione e l’individuo — del medesimo fenomeno, senza sovrapporsi.</w:t>
      </w:r>
    </w:p>
    <w:bookmarkEnd w:id="621"/>
    <w:bookmarkStart w:id="624" w:name="Xd67aa06fc967cded8965599a65b2a19bf6dcea4"/>
    <w:p>
      <w:pPr>
        <w:pStyle w:val="Heading2"/>
      </w:pPr>
      <w:r>
        <w:t xml:space="preserve">9.12.3 La graduazione, i confini e la distinzione del dominio industriale</w:t>
      </w:r>
    </w:p>
    <w:p>
      <w:pPr>
        <w:pStyle w:val="FirstParagraph"/>
      </w:pPr>
      <w:r>
        <w:t xml:space="preserve">La solidità della stima del dominio industriale va dichiarata. L’anello clinico è sostenuto da evidenza da moderata ad alta; l’anello organizzativo, da evidenza coerente ma di qualità variabile sulla relazione tra benessere, turnover e clima; l’anello economico è soggetto alla difficoltà di misurare il valore organizzativo distintamente da quello individuale. La graduazione complessiva del dominio è intermedia, e si traduce in bande prudenziali e in una stima centrale contenuta.</w:t>
      </w:r>
      <w:r>
        <w:rPr>
          <w:rStyle w:val="FootnoteReference"/>
        </w:rPr>
        <w:footnoteReference w:id="275"/>
      </w:r>
      <w:r>
        <w:t xml:space="preserve"> </w:t>
      </w:r>
      <w:r>
        <w:t xml:space="preserve">La stima va letta come punto mediano di un intervallo, e la sua natura organizzativa la distingue dalla produttività individuale del dominio lavorativo.</w:t>
      </w:r>
    </w:p>
    <w:p>
      <w:pPr>
        <w:pStyle w:val="BodyText"/>
      </w:pPr>
      <w:r>
        <w:t xml:space="preserve">Da questa graduazione discendono i confini e le regole di non duplicazione del dominio industriale. In primo luogo, il beneficio industriale è una grandezza indiretta, non sommata ai risparmi sanitari diretti della parte ottava. In secondo luogo, e in modo decisivo, esso riguarda il livello dell’organizzazione — il turnover e il clima — distinto dal livello individuale del lavoratore, colto dal dominio lavorativo: il costo di sostituzione del lavoratore che lascia l’impresa e la qualità del clima organizzativo non si sovrappongono alla produttività individuale del lavoratore che resta, perché riguardano dimensioni diverse, l’organizzazione e l’individuo; la distinzione tra livello organizzativo e livello individuale garantisce l’additività del dominio industriale rispetto al lavorativo ed evita ogni duplicazione.</w:t>
      </w:r>
      <w:r>
        <w:rPr>
          <w:rStyle w:val="FootnoteReference"/>
        </w:rPr>
        <w:footnoteReference w:id="276"/>
      </w:r>
      <w:r>
        <w:t xml:space="preserve"> </w:t>
      </w:r>
      <w:r>
        <w:t xml:space="preserve">In terzo luogo, la componente qualitativa del clima è in parte riconosciuta come tale. La specificità del dominio industriale è dunque quella di cogliere la dimensione organizzativa del valore della riforma, distinta dalla dimensione individuale, e perciò additiva.</w:t>
      </w:r>
    </w:p>
    <w:p>
      <w:pPr>
        <w:pStyle w:val="BodyText"/>
      </w:pPr>
      <w:r>
        <w:t xml:space="preserve">La verifica documentale del dominio industriale segue un’agenda precisa. Essa richiede l’acquisizione di dati e analisi sul turnover e sul clima organizzativo connessi al disagio psichico nelle imprese del territorio regionale, e sull’effetto della presa in carico sul loro miglioramento; dati prevalentemente desumibili da indagini organizzative dedicate. L’acquisizione di questi dati, prevista nella fase di consolidamento, consentirà di precisare la stima del beneficio organizzativo, distinguendolo da quello individuale. Esauriti i dodici domini sin qui percorsi, che coprono la produzione, la previdenza, l’assistenza, il welfare, la prevenzione, la giustizia, l’amministrazione, la cultura, la formazione giovanile, la ricerca e la salute organizzativa, la rinegoziazione ha attraversato la gran parte del perimetro integrale; la tranche successiva affronterà i quattro domini conclusivi — il sindacale, l’antropologico, il sociale e il finanziario — di natura prevalentemente qualitativa o di sintesi, prima dell’aggregazione finale.</w:t>
      </w:r>
    </w:p>
    <w:bookmarkEnd w:id="624"/>
    <w:bookmarkEnd w:id="625"/>
    <w:bookmarkStart w:id="626" w:name="X5e412343bfa2091be3f58f0ca27fdf4ba74094b"/>
    <w:p>
      <w:pPr>
        <w:pStyle w:val="Heading1"/>
      </w:pPr>
      <w:r>
        <w:t xml:space="preserve">I domini conclusivi: la tutela, la comunità, il capitale sociale e la sintesi finanziaria</w:t>
      </w:r>
    </w:p>
    <w:p>
      <w:pPr>
        <w:pStyle w:val="FirstParagraph"/>
      </w:pPr>
      <w:r>
        <w:rPr>
          <w:i/>
          <w:iCs/>
        </w:rPr>
        <w:t xml:space="preserve">La rinegoziazione percorre, in questa tranche, i quattro domini conclusivi del perimetro integrale, che ne completano l’arco e che condividono una natura prevalentemente qualitativa o di sintesi. Il dominio sindacale reca un valore prevalentemente istituzionale, di cui si quantifica con prudenza la sola minima componente residua; i domini antropologico e sociale recano valori genuinamente non monetizzabili, riconosciuti nella loro dimensione qualitativa e dichiaratamente esclusi dall’aggregato monetario; il dominio finanziario non è un nuovo addendo, ma una lente di consolidamento, che ricompone gli effetti della riforma sui bilanci regionali senza duplicare il valore già attribuito. Per questi domini il criterio del trattamento, già adottato nella tranche precedente, raggiunge la sua forma più netta: si quantifica soltanto ciò che è genuinamente e residualmente monetizzabile, e si riconosce senza forzature ciò che è di natura istituzionale, comunitaria, relazionale o di sintesi, nella convinzione che attribuire una cifra a un valore non monetizzabile sarebbe non un atto di rigore, ma il suo contrario. Con questi quattro domini il perimetro integrale è interamente percorso, e la rinegoziazione è pronta per l’aggregazione conclusiva.</w:t>
      </w:r>
    </w:p>
    <w:bookmarkEnd w:id="626"/>
    <w:bookmarkStart w:id="631" w:name="X5297985b9824890d8c53ab32e1ffc414c4faf5e"/>
    <w:p>
      <w:pPr>
        <w:pStyle w:val="Heading2"/>
      </w:pPr>
      <w:r>
        <w:t xml:space="preserve">9.13 Il dominio sindacale e della tutela dei lavoratori</w:t>
      </w:r>
    </w:p>
    <w:p>
      <w:pPr>
        <w:pStyle w:val="FirstParagraph"/>
      </w:pPr>
      <w:r>
        <w:rPr>
          <w:i/>
          <w:iCs/>
        </w:rPr>
        <w:t xml:space="preserve">Il tredicesimo dominio del perimetro integrale è il sindacale e della tutela dei lavoratori, e reca un valore prevalentemente istituzionale. Esso misura il contributo che la riforma offre al rafforzamento della tutela della salute mentale dei lavoratori come dimensione della rappresentanza e della protezione collettiva: il riconoscimento del rischio psicosociale tra i rischi da prevenire nei luoghi di lavoro, l’inclusione della salute mentale tra gli oggetti della contrattazione e della tutela collettiva, e il sostegno che la presenza di un primo livello psicologico accessibile offre all’azione di protezione dei lavoratori. La tutela della salute mentale dei lavoratori è, infatti, un terreno su cui la rappresentanza sindacale e i sistemi di protezione collettiva operano, e su cui la riforma incide rafforzando la disponibilità di cure prossime e la cultura della prevenzione del rischio psicosociale. Questo valore è in larga parte istituzionale e qualitativo, e la voce lo tratta secondo la sua natura, quantificando con prudenza la sola minima componente residua monetizzabile e riconoscendo la dimensione istituzionale, prevalente, senza monetizzarla.</w:t>
      </w:r>
    </w:p>
    <w:bookmarkStart w:id="627" w:name="Xd7f6d61cf55bc5d834d0a4f708d096d0ca7b48b"/>
    <w:p>
      <w:pPr>
        <w:pStyle w:val="Heading2"/>
      </w:pPr>
      <w:r>
        <w:t xml:space="preserve">9.13.1 Il contesto e i meccanismi: la salute mentale come oggetto di tutela collettiva</w:t>
      </w:r>
    </w:p>
    <w:p>
      <w:pPr>
        <w:pStyle w:val="FirstParagraph"/>
      </w:pPr>
      <w:r>
        <w:t xml:space="preserve">La protezione dei lavoratori dai rischi connessi al lavoro comprende, accanto ai rischi fisici tradizionali, i rischi psicosociali, ossia i fattori organizzativi e relazionali del lavoro che possono incidere sulla salute mentale: lo stress lavoro-correlato, i carichi eccessivi, le relazioni conflittuali, l’insicurezza. Il riconoscimento del rischio psicosociale tra i rischi da prevenire nei luoghi di lavoro, sancito dalla normativa sulla sicurezza, ha posto la salute mentale dei lavoratori tra gli oggetti della tutela, e ne ha fatto un terreno su cui la rappresentanza sindacale e i sistemi di protezione collettiva operano, attraverso la valutazione del rischio, la contrattazione e la promozione di condizioni di lavoro favorevoli alla salute mentale. La tutela della salute mentale dei lavoratori è dunque una funzione della protezione collettiva, su cui la riforma incide indirettamente, rafforzando la disponibilità di cure prossime per i lavoratori e la cultura della prevenzione del rischio psicosociale.</w:t>
      </w:r>
    </w:p>
    <w:p>
      <w:pPr>
        <w:pStyle w:val="BodyText"/>
      </w:pPr>
      <w:r>
        <w:t xml:space="preserve">Il dominio sindacale opera attraverso due meccanismi, entrambi prevalentemente istituzionali. Il primo è il sostegno che la presenza di un primo livello psicologico accessibile offre alla tutela della salute mentale dei lavoratori: la disponibilità di cure prossime e accessibili rafforza la capacità dei sistemi di protezione collettiva di tutelare la salute mentale dei lavoratori, perché offre un riferimento di cura cui indirizzare i lavoratori in difficoltà e un sostegno all’azione di prevenzione del rischio psicosociale. Il secondo meccanismo è il contributo alla cultura della prevenzione del rischio psicosociale: la presenza diffusa del primo livello psicologico e la normalizzazione del ricorso alle cure accrescono la consapevolezza del rischio psicosociale e ne favoriscono la prevenzione nei luoghi di lavoro. Entrambi i meccanismi generano un valore prevalentemente istituzionale, perché si manifestano come rafforzamento della tutela e della cultura della prevenzione, beni di natura collettiva e istituzionale che non si lasciano agevolmente ridurre a una cifra; solo una minima componente residua, connessa al sostegno della prevenzione del rischio psicosociale, è prudenzialmente monetizzabile.</w:t>
      </w:r>
    </w:p>
    <w:bookmarkEnd w:id="627"/>
    <w:bookmarkStart w:id="630" w:name="X2912ad5dc679ddd1f1f66b79c822a9856ba13bf"/>
    <w:p>
      <w:pPr>
        <w:pStyle w:val="Heading2"/>
      </w:pPr>
      <w:r>
        <w:t xml:space="preserve">9.13.2 La quantificazione e i confini del dominio sindacale</w:t>
      </w:r>
    </w:p>
    <w:p>
      <w:pPr>
        <w:pStyle w:val="FirstParagraph"/>
      </w:pPr>
      <w:r>
        <w:t xml:space="preserve">La quantificazione del dominio sindacale si limita, coerentemente con la sua natura prevalentemente istituzionale, alla sola minima componente residua monetizzabile — il sostegno alla prevenzione del rischio psicosociale nella sua quota non altrimenti attribuita — e riconosce la dimensione istituzionale del rafforzamento della tutela collettiva senza monetizzarla. La tabella che segue distingue le dimensioni del dominio.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del dominio sindacale</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 della 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Trattamento nella rinegoziazione</w:t>
            </w:r>
          </w:p>
        </w:tc>
      </w:tr>
      <w:tr>
        <w:tc>
          <w:tcPr/>
          <w:p>
            <w:pPr>
              <w:pStyle w:val="Compact"/>
              <w:spacing w:after="40" w:before="40"/>
              <w:jc w:val="left"/>
            </w:pPr>
            <w:r>
              <w:rPr>
                <w:rFonts w:ascii="Cambria" w:hAnsi="Cambria" w:cs="Cambria" w:eastAsia="Cambria"/>
                <w:color w:val="1A1A1A"/>
                <w:sz w:val="18"/>
              </w:rPr>
              <w:t xml:space="preserve">Sostegno alla prevenzione del rischio psicosociale</w:t>
            </w:r>
          </w:p>
        </w:tc>
        <w:tc>
          <w:tcPr/>
          <w:p>
            <w:pPr>
              <w:pStyle w:val="Compact"/>
              <w:spacing w:after="40" w:before="40"/>
              <w:jc w:val="left"/>
            </w:pPr>
            <w:r>
              <w:rPr>
                <w:rFonts w:ascii="Cambria" w:hAnsi="Cambria" w:cs="Cambria" w:eastAsia="Cambria"/>
                <w:color w:val="1A1A1A"/>
                <w:sz w:val="18"/>
              </w:rPr>
              <w:t xml:space="preserve">contributo alla prevenzione del rischio psicosociale nei luoghi di lavoro</w:t>
            </w:r>
          </w:p>
        </w:tc>
        <w:tc>
          <w:tcPr/>
          <w:p>
            <w:pPr>
              <w:pStyle w:val="Compact"/>
              <w:spacing w:after="40" w:before="40"/>
              <w:jc w:val="left"/>
            </w:pPr>
            <w:r>
              <w:rPr>
                <w:rFonts w:ascii="Cambria" w:hAnsi="Cambria" w:cs="Cambria" w:eastAsia="Cambria"/>
                <w:color w:val="1A1A1A"/>
                <w:sz w:val="18"/>
              </w:rPr>
              <w:t xml:space="preserve">minima componente residua monetizzabile, quantificata con prudenza</w:t>
            </w:r>
          </w:p>
        </w:tc>
      </w:tr>
      <w:tr>
        <w:tc>
          <w:tcPr>
            <w:shd w:val="clear" w:color="auto" w:fill="F4F1EC"/>
          </w:tcPr>
          <w:p>
            <w:pPr>
              <w:pStyle w:val="Compact"/>
              <w:spacing w:after="40" w:before="40"/>
              <w:jc w:val="left"/>
            </w:pPr>
            <w:r>
              <w:rPr>
                <w:rFonts w:ascii="Cambria" w:hAnsi="Cambria" w:cs="Cambria" w:eastAsia="Cambria"/>
                <w:color w:val="1A1A1A"/>
                <w:sz w:val="18"/>
              </w:rPr>
              <w:t xml:space="preserve">Rafforzamento della tutela collettiva della 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bene istituzionale della tutela e della rappresentanza dei lavoratori</w:t>
            </w:r>
          </w:p>
        </w:tc>
        <w:tc>
          <w:tcPr>
            <w:shd w:val="clear" w:color="auto" w:fill="F4F1EC"/>
          </w:tcPr>
          <w:p>
            <w:pPr>
              <w:pStyle w:val="Compact"/>
              <w:spacing w:after="40" w:before="40"/>
              <w:jc w:val="left"/>
            </w:pPr>
            <w:r>
              <w:rPr>
                <w:rFonts w:ascii="Cambria" w:hAnsi="Cambria" w:cs="Cambria" w:eastAsia="Cambria"/>
                <w:color w:val="1A1A1A"/>
                <w:sz w:val="18"/>
              </w:rPr>
              <w:t xml:space="preserve">dimensione istituzionale, riconosciuta ma non monetizzata</w:t>
            </w:r>
          </w:p>
        </w:tc>
      </w:tr>
    </w:tbl>
    <w:p>
      <w:pPr>
        <w:pStyle w:val="BodyText"/>
      </w:pPr>
      <w:r>
        <w:rPr>
          <w:i/>
          <w:iCs/>
        </w:rPr>
        <w:t xml:space="preserve">Tabella 9.25 — Le dimensioni del dominio sindacale e il loro trattamento. Solo la componente del sostegno alla prevenzione del rischio psicosociale è quantificata, nella sua minima quota residua; il rafforzamento della tutela collettiva è riconosciuto nella sua dimensione istituzionale e non concorre all’aggregato monetario, pur contribuendo al valore complessivo della riforma.</w:t>
      </w:r>
    </w:p>
    <w:p>
      <w:pPr>
        <w:pStyle w:val="BodyText"/>
      </w:pPr>
      <w:r>
        <w:t xml:space="preserve">La stima della sola minima componente residua monetizzabile del dominio sindacale è esposta, per ciascuno scenario, nella tabella che segue, con la consapevolezza che essa rappresenta una parte minima del valore del dominio, la cui dimensione maggiore è istituzionale.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beneficio sindacale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Sostegno alla prevenzione del rischio psicosociale (residuo monetizzato)</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~2</w:t>
            </w:r>
          </w:p>
        </w:tc>
      </w:tr>
      <w:tr>
        <w:tc>
          <w:tcPr>
            <w:shd w:val="clear" w:color="auto" w:fill="F4F1EC"/>
          </w:tcPr>
          <w:p>
            <w:pPr>
              <w:pStyle w:val="Compact"/>
              <w:spacing w:after="40" w:before="40"/>
              <w:jc w:val="left"/>
            </w:pPr>
            <w:r>
              <w:rPr>
                <w:rFonts w:ascii="Cambria" w:hAnsi="Cambria" w:cs="Cambria" w:eastAsia="Cambria"/>
                <w:color w:val="1A1A1A"/>
                <w:sz w:val="18"/>
              </w:rPr>
              <w:t xml:space="preserve">Rafforzamento della tutela collettiva della 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istituzionale</w:t>
            </w:r>
          </w:p>
        </w:tc>
        <w:tc>
          <w:tcPr>
            <w:shd w:val="clear" w:color="auto" w:fill="F4F1EC"/>
          </w:tcPr>
          <w:p>
            <w:pPr>
              <w:pStyle w:val="Compact"/>
              <w:spacing w:after="40" w:before="40"/>
              <w:jc w:val="left"/>
            </w:pPr>
            <w:r>
              <w:rPr>
                <w:rFonts w:ascii="Cambria" w:hAnsi="Cambria" w:cs="Cambria" w:eastAsia="Cambria"/>
                <w:color w:val="1A1A1A"/>
                <w:sz w:val="18"/>
              </w:rPr>
              <w:t xml:space="preserve">istituzionale</w:t>
            </w:r>
          </w:p>
        </w:tc>
        <w:tc>
          <w:tcPr>
            <w:shd w:val="clear" w:color="auto" w:fill="F4F1EC"/>
          </w:tcPr>
          <w:p>
            <w:pPr>
              <w:pStyle w:val="Compact"/>
              <w:spacing w:after="40" w:before="40"/>
              <w:jc w:val="left"/>
            </w:pPr>
            <w:r>
              <w:rPr>
                <w:rFonts w:ascii="Cambria" w:hAnsi="Cambria" w:cs="Cambria" w:eastAsia="Cambria"/>
                <w:color w:val="1A1A1A"/>
                <w:sz w:val="18"/>
              </w:rPr>
              <w:t xml:space="preserve">istituzionale</w:t>
            </w:r>
          </w:p>
        </w:tc>
      </w:tr>
      <w:tr>
        <w:tc>
          <w:tcPr/>
          <w:p>
            <w:pPr>
              <w:pStyle w:val="Compact"/>
              <w:spacing w:after="40" w:before="40"/>
              <w:jc w:val="left"/>
            </w:pPr>
            <w:r>
              <w:rPr>
                <w:rFonts w:ascii="Cambria" w:hAnsi="Cambria" w:cs="Cambria" w:eastAsia="Cambria"/>
                <w:color w:val="1A1A1A"/>
                <w:sz w:val="18"/>
              </w:rPr>
              <w:t xml:space="preserve">Beneficio sindacale monetizzato del dominio</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~2</w:t>
            </w:r>
          </w:p>
        </w:tc>
      </w:tr>
    </w:tbl>
    <w:p>
      <w:pPr>
        <w:pStyle w:val="BodyText"/>
      </w:pPr>
      <w:r>
        <w:rPr>
          <w:i/>
          <w:iCs/>
        </w:rPr>
        <w:t xml:space="preserve">Tabella 9.26 — Stima prudenziale della sola minima componente residua monetizzabile del dominio sindacale per scenario. La componente del rafforzamento della tutela collettiva è istituzionale e non monetizzata; il beneficio monetizzato, minimo, coincide con la sola quota residua del sostegno alla prevenzione del rischio psicosociale, distinta dal dominio lavorativo e industriale.</w:t>
      </w:r>
    </w:p>
    <w:p>
      <w:pPr>
        <w:pStyle w:val="BodyText"/>
      </w:pPr>
      <w:r>
        <w:t xml:space="preserve">Il beneficio sindacale monetizzato è dunque stimato in un ordine di grandezza compreso tra circa un milione di euro l’anno nello scenario conservativo e circa due milioni nello scenario espansivo, con un valore intermedio dell’ordine di un milione. La minimità della cifra monetizzata riflette la natura prevalentemente istituzionale del dominio: il valore del rafforzamento della tutela della salute mentale dei lavoratori e della cultura della prevenzione del rischio psicosociale è reale, ma si manifesta come bene istituzionale — una protezione collettiva più capace di tutelare la salute mentale — che eccede la sua traduzione monetaria. La cifra monetizzata coglie soltanto la minima quota residua del sostegno alla prevenzione non altrimenti attribuita, distinta dai benefici lavorativo e industriale già colti; la dimensione maggiore del dominio, il rafforzamento della tutela collettiva, è riconosciuta istituzionalmente e contribuisce al valore complessivo della riforma senza alimentare l’aggregato monetario.</w:t>
      </w:r>
      <w:r>
        <w:rPr>
          <w:rStyle w:val="FootnoteReference"/>
        </w:rPr>
        <w:footnoteReference w:id="277"/>
      </w:r>
      <w:r>
        <w:t xml:space="preserve"> </w:t>
      </w:r>
      <w:r>
        <w:t xml:space="preserve">Il dominio sindacale, in questo senso, riconosce il contributo della riforma a una dimensione istituzionale della protezione dei lavoratori, il cui valore è reale ancorché prevalentemente non monetizzabile.</w:t>
      </w:r>
    </w:p>
    <w:p>
      <w:pPr>
        <w:pStyle w:val="BodyText"/>
      </w:pPr>
      <w:r>
        <w:t xml:space="preserve">I confini del dominio sindacale ne ribadiscono la natura. Il beneficio sindacale monetizzato è una grandezza indiretta residua minima, non sommata ai risparmi diretti, e coglie la sola quota del sostegno alla prevenzione del rischio psicosociale non già attribuita ai domini lavorativo e industriale; la dimensione istituzionale del rafforzamento della tutela collettiva è esplicitamente esclusa dall’aggregato monetario e riconosciuta qualitativamente.</w:t>
      </w:r>
      <w:r>
        <w:rPr>
          <w:rStyle w:val="FootnoteReference"/>
        </w:rPr>
        <w:footnoteReference w:id="278"/>
      </w:r>
      <w:r>
        <w:t xml:space="preserve"> </w:t>
      </w:r>
      <w:r>
        <w:t xml:space="preserve">La verifica documentale, prevista nella fase di consolidamento, mirerà a documentare il contributo della riforma alla prevenzione del rischio psicosociale e alla tutela della salute mentale dei lavoratori, riconoscendone la natura prevalentemente istituzionale. Stabilito il valore, prevalentemente istituzionale, del dominio sindacale, la rinegoziazione può ora muovere verso i due domini genuinamente non monetizzabili, l’antropologico e il sociale, il cui valore, pur reale e profondo, va riconosciuto senza alcuna pretesa di quantificazione monetaria.</w:t>
      </w:r>
    </w:p>
    <w:bookmarkEnd w:id="630"/>
    <w:bookmarkEnd w:id="631"/>
    <w:bookmarkStart w:id="635" w:name="Xbaced9c0d25479d926cc348135950ed02beeb21"/>
    <w:p>
      <w:pPr>
        <w:pStyle w:val="Heading2"/>
      </w:pPr>
      <w:r>
        <w:t xml:space="preserve">9.14 Il dominio antropologico e del benessere delle comunità</w:t>
      </w:r>
    </w:p>
    <w:p>
      <w:pPr>
        <w:pStyle w:val="FirstParagraph"/>
      </w:pPr>
      <w:r>
        <w:rPr>
          <w:i/>
          <w:iCs/>
        </w:rPr>
        <w:t xml:space="preserve">Il quattordicesimo dominio del perimetro integrale è l’antropologico e del benessere delle comunità, ed è il primo dei due domini che la rinegoziazione tratta come genuinamente non monetizzabili. Esso riguarda il valore che la riforma genera sul piano del benessere delle comunità e del modo in cui esse vivono, comprendono e affrontano il disagio: la trasformazione del rapporto delle comunità con la sofferenza psichica, l’accrescimento della loro capacità di accoglienza e di cura informale, e il benessere collettivo che deriva da una comunità più capace di prendersi cura dei propri membri in difficoltà. Questo valore è di natura profonda e reale, ma genuinamente irriducibile alla misura monetaria, perché riguarda il modo in cui una comunità vive e dà senso alla sofferenza e alla cura, dimensione che nessuna cifra può cogliere senza tradirne la natura. La rinegoziazione tratta dunque questo dominio riconoscendone il valore nella sua dimensione qualitativa e antropologica, e dichiarando esplicitamente che esso non concorre all’aggregato monetario, non per difetto di rilevanza, ma per la natura del suo valore.</w:t>
      </w:r>
    </w:p>
    <w:bookmarkStart w:id="632" w:name="Xe22e5aff01bbd64f99940dd59be76c411c106b8"/>
    <w:p>
      <w:pPr>
        <w:pStyle w:val="Heading2"/>
      </w:pPr>
      <w:r>
        <w:t xml:space="preserve">9.14.1 Il contesto e le dimensioni: il rapporto delle comunità con il disagio</w:t>
      </w:r>
    </w:p>
    <w:p>
      <w:pPr>
        <w:pStyle w:val="FirstParagraph"/>
      </w:pPr>
      <w:r>
        <w:t xml:space="preserve">Il modo in cui una comunità vive, comprende e affronta il disagio psichico dei propri membri è una dimensione profonda della sua cultura e del suo benessere collettivo. Una comunità può vivere il disagio dei propri membri come una vergogna da nascondere, una colpa da espellere o una minaccia da temere, e in tal caso la sofferenza psichica si accompagna all’isolamento, all’abbandono e all’esclusione di chi ne è colpito; oppure può viverlo come una condizione umana da accogliere e da curare, e in tal caso la sofferenza psichica trova nella comunità accoglienza, sostegno e cura informale. Il rapporto della comunità con il disagio non è dunque un fatto privato, ma una dimensione collettiva che condiziona profondamente l’esperienza di chi soffre e il benessere dell’intera comunità. La presenza diffusa e prossima del primo livello psicologico, normalizzando il disagio e la cura, incide su questo rapporto, contribuendo a trasformare il modo in cui la comunità vive e affronta la sofferenza psichica dei propri membri.</w:t>
      </w:r>
    </w:p>
    <w:p>
      <w:pPr>
        <w:pStyle w:val="BodyText"/>
      </w:pPr>
      <w:r>
        <w:t xml:space="preserve">Il dominio antropologico riguarda dunque due dimensioni profonde del benessere delle comunità. La prima è la trasformazione del rapporto della comunità con la sofferenza psichica: il passaggio da una cultura dell’esclusione e della vergogna a una cultura dell’accoglienza e della cura, che la normalizzazione del ricorso al primo livello psicologico contribuisce a promuovere. La seconda è l’accrescimento della capacità di cura informale e di accoglienza della comunità: una comunità che vive il disagio come condizione da accogliere sviluppa una maggiore capacità di prendersi cura dei propri membri in difficoltà, di sostenerli e di non escluderli, con un benessere collettivo che ne deriva. Entrambe queste dimensioni recano un valore profondo e reale per il benessere delle comunità, ma genuinamente irriducibile alla misura monetaria, perché riguardano il modo in cui una comunità vive e dà senso all’esperienza della sofferenza e della cura, dimensione che eccede ogni quantificazione economica.</w:t>
      </w:r>
    </w:p>
    <w:bookmarkEnd w:id="632"/>
    <w:bookmarkStart w:id="634" w:name="X9bef6fb47707dd3f31cce9e716a57e924deedac"/>
    <w:p>
      <w:pPr>
        <w:pStyle w:val="Heading2"/>
      </w:pPr>
      <w:r>
        <w:t xml:space="preserve">9.14.2 Il riconoscimento non monetizzato e i confini del dominio antropologico</w:t>
      </w:r>
    </w:p>
    <w:p>
      <w:pPr>
        <w:pStyle w:val="FirstParagraph"/>
      </w:pPr>
      <w:r>
        <w:t xml:space="preserve">La rinegoziazione tratta il dominio antropologico riconoscendone il valore nella sua dimensione qualitativa e antropologica, e dichiarando esplicitamente che esso non concorre all’aggregato monetario. Questa scelta non discende da un difetto di rilevanza del dominio — il cui valore è anzi tra i più profondi della riforma — ma dalla natura del suo valore, che è genuinamente non monetizzabile. Attribuire una cifra al modo in cui una comunità vive e affronta la sofferenza psichica significherebbe tradire la natura di questo valore, riducendo a grandezza economica una dimensione che è di senso, di cultura e di benessere collettivo. La rinegoziazione, fedele al criterio che governa i domini qualitativi, preferisce riconoscere il valore del dominio antropologico nella sua dimensione propria, e dichiararne l’esclusione dall’aggregato monetario, piuttosto che attribuirgli una cifra che ne falserebbe la natura. La tabella che segue riconosce le dimensioni del dominio e ne dichiara il trattamento non monetizzato.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del dominio antropologico</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 del 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Trattamento nella rinegoziazione</w:t>
            </w:r>
          </w:p>
        </w:tc>
      </w:tr>
      <w:tr>
        <w:tc>
          <w:tcPr/>
          <w:p>
            <w:pPr>
              <w:pStyle w:val="Compact"/>
              <w:spacing w:after="40" w:before="40"/>
              <w:jc w:val="left"/>
            </w:pPr>
            <w:r>
              <w:rPr>
                <w:rFonts w:ascii="Cambria" w:hAnsi="Cambria" w:cs="Cambria" w:eastAsia="Cambria"/>
                <w:color w:val="1A1A1A"/>
                <w:sz w:val="18"/>
              </w:rPr>
              <w:t xml:space="preserve">Trasformazione del rapporto della comunità con la sofferenza psichica</w:t>
            </w:r>
          </w:p>
        </w:tc>
        <w:tc>
          <w:tcPr/>
          <w:p>
            <w:pPr>
              <w:pStyle w:val="Compact"/>
              <w:spacing w:after="40" w:before="40"/>
              <w:jc w:val="left"/>
            </w:pPr>
            <w:r>
              <w:rPr>
                <w:rFonts w:ascii="Cambria" w:hAnsi="Cambria" w:cs="Cambria" w:eastAsia="Cambria"/>
                <w:color w:val="1A1A1A"/>
                <w:sz w:val="18"/>
              </w:rPr>
              <w:t xml:space="preserve">passaggio da una cultura dell’esclusione a una dell’accoglienza e della cura</w:t>
            </w:r>
          </w:p>
        </w:tc>
        <w:tc>
          <w:tcPr/>
          <w:p>
            <w:pPr>
              <w:pStyle w:val="Compact"/>
              <w:spacing w:after="40" w:before="40"/>
              <w:jc w:val="left"/>
            </w:pPr>
            <w:r>
              <w:rPr>
                <w:rFonts w:ascii="Cambria" w:hAnsi="Cambria" w:cs="Cambria" w:eastAsia="Cambria"/>
                <w:color w:val="1A1A1A"/>
                <w:sz w:val="18"/>
              </w:rPr>
              <w:t xml:space="preserve">valore qualitativo e antropologico, non monetizzato, riconosciuto come tale</w:t>
            </w:r>
          </w:p>
        </w:tc>
      </w:tr>
      <w:tr>
        <w:tc>
          <w:tcPr>
            <w:shd w:val="clear" w:color="auto" w:fill="F4F1EC"/>
          </w:tcPr>
          <w:p>
            <w:pPr>
              <w:pStyle w:val="Compact"/>
              <w:spacing w:after="40" w:before="40"/>
              <w:jc w:val="left"/>
            </w:pPr>
            <w:r>
              <w:rPr>
                <w:rFonts w:ascii="Cambria" w:hAnsi="Cambria" w:cs="Cambria" w:eastAsia="Cambria"/>
                <w:color w:val="1A1A1A"/>
                <w:sz w:val="18"/>
              </w:rPr>
              <w:t xml:space="preserve">Accrescimento della capacità di cura informale e di accoglienza</w:t>
            </w:r>
          </w:p>
        </w:tc>
        <w:tc>
          <w:tcPr>
            <w:shd w:val="clear" w:color="auto" w:fill="F4F1EC"/>
          </w:tcPr>
          <w:p>
            <w:pPr>
              <w:pStyle w:val="Compact"/>
              <w:spacing w:after="40" w:before="40"/>
              <w:jc w:val="left"/>
            </w:pPr>
            <w:r>
              <w:rPr>
                <w:rFonts w:ascii="Cambria" w:hAnsi="Cambria" w:cs="Cambria" w:eastAsia="Cambria"/>
                <w:color w:val="1A1A1A"/>
                <w:sz w:val="18"/>
              </w:rPr>
              <w:t xml:space="preserve">benessere collettivo della comunità più capace di prendersi cura dei propri membri</w:t>
            </w:r>
          </w:p>
        </w:tc>
        <w:tc>
          <w:tcPr>
            <w:shd w:val="clear" w:color="auto" w:fill="F4F1EC"/>
          </w:tcPr>
          <w:p>
            <w:pPr>
              <w:pStyle w:val="Compact"/>
              <w:spacing w:after="40" w:before="40"/>
              <w:jc w:val="left"/>
            </w:pPr>
            <w:r>
              <w:rPr>
                <w:rFonts w:ascii="Cambria" w:hAnsi="Cambria" w:cs="Cambria" w:eastAsia="Cambria"/>
                <w:color w:val="1A1A1A"/>
                <w:sz w:val="18"/>
              </w:rPr>
              <w:t xml:space="preserve">valore qualitativo e antropologico, non monetizzato, riconosciuto come tale</w:t>
            </w:r>
          </w:p>
        </w:tc>
      </w:tr>
    </w:tbl>
    <w:p>
      <w:pPr>
        <w:pStyle w:val="BodyText"/>
      </w:pPr>
      <w:r>
        <w:rPr>
          <w:i/>
          <w:iCs/>
        </w:rPr>
        <w:t xml:space="preserve">Tabella 9.27 — Le dimensioni del dominio antropologico e il loro trattamento non monetizzato. Entrambe le dimensioni recano un valore profondo per il benessere delle comunità, genuinamente irriducibile alla misura monetaria; esse sono riconosciute nella loro dimensione qualitativa e antropologica e dichiaratamente escluse dall’aggregato monetario, non per difetto di rilevanza, ma per la natura del loro valore.</w:t>
      </w:r>
    </w:p>
    <w:p>
      <w:pPr>
        <w:pStyle w:val="BodyText"/>
      </w:pPr>
      <w:r>
        <w:t xml:space="preserve">Il dominio antropologico non contribuisce, dunque, all’aggregato monetario della parte, e il suo valore è riconosciuto esclusivamente nella sua dimensione qualitativa e antropologica. Questa scelta merita di essere dichiarata e difesa, perché essa non indica la marginalità del dominio, ma al contrario il rispetto per la natura profonda del suo valore. Il modo in cui le comunità pugliesi vivono, comprendono e affrontano la sofferenza psichica dei propri membri è una dimensione fondamentale del benessere collettivo della regione, e la trasformazione di questo rapporto — dalla vergogna e dall’esclusione verso l’accoglienza e la cura — è uno dei valori più profondi che la riforma può promuovere. Ma proprio perché questo valore è profondo e di senso, esso non si lascia ridurre a una cifra senza tradirne la natura; e la rinegoziazione, riconoscendolo nella sua dimensione propria e dichiarandone l’esclusione dall’aggregato monetario, gli rende un omaggio più fedele di quanto farebbe attribuendogli un numero. La presenza di domini non monetizzati nel perimetro integrale non è, dunque, una lacuna, ma una scelta di rigore e di rispetto per la pluralità dei valori che la riforma genera.</w:t>
      </w:r>
      <w:r>
        <w:rPr>
          <w:rStyle w:val="FootnoteReference"/>
        </w:rPr>
        <w:footnoteReference w:id="279"/>
      </w:r>
    </w:p>
    <w:bookmarkEnd w:id="634"/>
    <w:bookmarkEnd w:id="635"/>
    <w:bookmarkStart w:id="639" w:name="X3a28d736a1161c40b63be706c77d74b2843effa"/>
    <w:p>
      <w:pPr>
        <w:pStyle w:val="Heading2"/>
      </w:pPr>
      <w:r>
        <w:t xml:space="preserve">9.15 Il dominio sociale e del capitale sociale</w:t>
      </w:r>
    </w:p>
    <w:p>
      <w:pPr>
        <w:pStyle w:val="FirstParagraph"/>
      </w:pPr>
      <w:r>
        <w:rPr>
          <w:i/>
          <w:iCs/>
        </w:rPr>
        <w:t xml:space="preserve">Il quindicesimo dominio del perimetro integrale è il sociale e del capitale sociale, ed è il secondo dei due domini che la rinegoziazione tratta come genuinamente non monetizzabili. Esso riguarda il valore che la riforma genera sul piano del capitale sociale, ossia di quel patrimonio immateriale di fiducia, reti di relazioni, partecipazione e coesione che costituisce la trama delle comunità e che condiziona il loro benessere e la loro capacità di affrontare le difficoltà. Il disagio psichico non intercettato erode il capitale sociale, perché l’isolamento, l’esclusione e la sofferenza di chi non è curato indeboliscono le reti di relazioni, la fiducia e la partecipazione; la sua intercettazione e cura, viceversa, preserva e rafforza il capitale sociale, perché una comunità i cui membri sono curati e sostenuti conserva e accresce la propria coesione. Questo valore, come quello antropologico, è di natura profonda e reale, ma genuinamente irriducibile alla misura monetaria, e la rinegoziazione lo tratta riconoscendolo nella sua dimensione qualitativa e dichiarandone l’esclusione dall’aggregato monetario.</w:t>
      </w:r>
    </w:p>
    <w:bookmarkStart w:id="636" w:name="X16a1c73f7becaf69dfe610202f71441a15fd71c"/>
    <w:p>
      <w:pPr>
        <w:pStyle w:val="Heading2"/>
      </w:pPr>
      <w:r>
        <w:t xml:space="preserve">9.15.1 Il contesto e le dimensioni: il capitale sociale e la sua erosione</w:t>
      </w:r>
    </w:p>
    <w:p>
      <w:pPr>
        <w:pStyle w:val="FirstParagraph"/>
      </w:pPr>
      <w:r>
        <w:t xml:space="preserve">Il capitale sociale è il patrimonio immateriale di fiducia, reti di relazioni, norme di reciprocità, partecipazione e coesione che caratterizza una comunità e che ne condiziona il benessere, la capacità di cooperare e la resilienza di fronte alle difficoltà. Esso non è un bene individuale, ma un bene collettivo e relazionale, che si accumula nelle relazioni tra le persone e che costituisce la trama della comunità. Il capitale sociale ha un valore reale per il benessere collettivo, perché le comunità ricche di capitale sociale — di fiducia, reti e partecipazione — affrontano meglio le difficoltà, cooperano più efficacemente e garantiscono ai propri membri un sostegno e una sicurezza che le comunità povere di capitale sociale non offrono. Il capitale sociale è, in questo senso, una risorsa fondamentale del benessere collettivo, ancorché immateriale e difficilmente quantificabile.</w:t>
      </w:r>
    </w:p>
    <w:p>
      <w:pPr>
        <w:pStyle w:val="BodyText"/>
      </w:pPr>
      <w:r>
        <w:t xml:space="preserve">Il disagio psichico non intercettato erode il capitale sociale attraverso più vie. L’isolamento di chi soffre di un disturbo non curato indebolisce le reti di relazioni di cui egli faceva parte; l’esclusione e lo stigma che accompagnano il disagio non trattato minano la fiducia e la coesione della comunità; la sofferenza non curata riduce la capacità di partecipazione e di cooperazione di chi ne è colpito e di chi se ne fa carico. Il disagio non intercettato, in altri termini, non danneggia soltanto chi ne è direttamente colpito, ma erode il patrimonio relazionale dell’intera comunità. La presenza diffusa e prossima del primo livello psicologico, intercettando e curando il disagio e prevenendo l’isolamento e l’esclusione che ne derivano, preserva e rafforza il capitale sociale: una comunità i cui membri sono curati e sostenuti conserva le proprie reti di relazioni, la propria fiducia e la propria coesione, e ne accresce la resilienza collettiva. Il dominio sociale riguarda dunque la preservazione e il rafforzamento del capitale sociale che l’intercettazione e la cura del disagio assicurano.</w:t>
      </w:r>
    </w:p>
    <w:bookmarkEnd w:id="636"/>
    <w:bookmarkStart w:id="638" w:name="X93d0baa906940bb1bd76a684a7f562521946dd4"/>
    <w:p>
      <w:pPr>
        <w:pStyle w:val="Heading2"/>
      </w:pPr>
      <w:r>
        <w:t xml:space="preserve">9.15.2 Il riconoscimento non monetizzato e i confini del dominio sociale</w:t>
      </w:r>
    </w:p>
    <w:p>
      <w:pPr>
        <w:pStyle w:val="FirstParagraph"/>
      </w:pPr>
      <w:r>
        <w:t xml:space="preserve">La rinegoziazione tratta il dominio sociale, come l’antropologico, riconoscendone il valore nella sua dimensione qualitativa e dichiarando esplicitamente che esso non concorre all’aggregato monetario. Anche in questo caso, la scelta non discende da un difetto di rilevanza — il capitale sociale è anzi una risorsa fondamentale del benessere collettivo — ma dalla natura del suo valore, che è genuinamente immateriale e relazionale, e che ogni tentativo di quantificazione monetaria tradirebbe. Il capitale sociale è un bene collettivo e relazionale, che si accumula nelle relazioni e che non si lascia ridurre a una cifra senza snaturarlo; la rinegoziazione, fedele al criterio dei domini qualitativi, preferisce riconoscerne il valore nella sua dimensione propria e dichiararne l’esclusione dall’aggregato monetario. La tabella che segue riconosce le dimensioni del dominio e ne dichiara il trattamento non monetizzato.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del dominio sociale</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 del 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Trattamento nella rinegoziazione</w:t>
            </w:r>
          </w:p>
        </w:tc>
      </w:tr>
      <w:tr>
        <w:tc>
          <w:tcPr/>
          <w:p>
            <w:pPr>
              <w:pStyle w:val="Compact"/>
              <w:spacing w:after="40" w:before="40"/>
              <w:jc w:val="left"/>
            </w:pPr>
            <w:r>
              <w:rPr>
                <w:rFonts w:ascii="Cambria" w:hAnsi="Cambria" w:cs="Cambria" w:eastAsia="Cambria"/>
                <w:color w:val="1A1A1A"/>
                <w:sz w:val="18"/>
              </w:rPr>
              <w:t xml:space="preserve">Preservazione delle reti di relazioni e della coesione</w:t>
            </w:r>
          </w:p>
        </w:tc>
        <w:tc>
          <w:tcPr/>
          <w:p>
            <w:pPr>
              <w:pStyle w:val="Compact"/>
              <w:spacing w:after="40" w:before="40"/>
              <w:jc w:val="left"/>
            </w:pPr>
            <w:r>
              <w:rPr>
                <w:rFonts w:ascii="Cambria" w:hAnsi="Cambria" w:cs="Cambria" w:eastAsia="Cambria"/>
                <w:color w:val="1A1A1A"/>
                <w:sz w:val="18"/>
              </w:rPr>
              <w:t xml:space="preserve">patrimonio relazionale e di coesione della comunità</w:t>
            </w:r>
          </w:p>
        </w:tc>
        <w:tc>
          <w:tcPr/>
          <w:p>
            <w:pPr>
              <w:pStyle w:val="Compact"/>
              <w:spacing w:after="40" w:before="40"/>
              <w:jc w:val="left"/>
            </w:pPr>
            <w:r>
              <w:rPr>
                <w:rFonts w:ascii="Cambria" w:hAnsi="Cambria" w:cs="Cambria" w:eastAsia="Cambria"/>
                <w:color w:val="1A1A1A"/>
                <w:sz w:val="18"/>
              </w:rPr>
              <w:t xml:space="preserve">valore qualitativo e relazionale, non monetizzato, riconosciuto come tale</w:t>
            </w:r>
          </w:p>
        </w:tc>
      </w:tr>
      <w:tr>
        <w:tc>
          <w:tcPr>
            <w:shd w:val="clear" w:color="auto" w:fill="F4F1EC"/>
          </w:tcPr>
          <w:p>
            <w:pPr>
              <w:pStyle w:val="Compact"/>
              <w:spacing w:after="40" w:before="40"/>
              <w:jc w:val="left"/>
            </w:pPr>
            <w:r>
              <w:rPr>
                <w:rFonts w:ascii="Cambria" w:hAnsi="Cambria" w:cs="Cambria" w:eastAsia="Cambria"/>
                <w:color w:val="1A1A1A"/>
                <w:sz w:val="18"/>
              </w:rPr>
              <w:t xml:space="preserve">Rafforzamento della fiducia e della resilienza collettiva</w:t>
            </w:r>
          </w:p>
        </w:tc>
        <w:tc>
          <w:tcPr>
            <w:shd w:val="clear" w:color="auto" w:fill="F4F1EC"/>
          </w:tcPr>
          <w:p>
            <w:pPr>
              <w:pStyle w:val="Compact"/>
              <w:spacing w:after="40" w:before="40"/>
              <w:jc w:val="left"/>
            </w:pPr>
            <w:r>
              <w:rPr>
                <w:rFonts w:ascii="Cambria" w:hAnsi="Cambria" w:cs="Cambria" w:eastAsia="Cambria"/>
                <w:color w:val="1A1A1A"/>
                <w:sz w:val="18"/>
              </w:rPr>
              <w:t xml:space="preserve">capacità della comunità di cooperare e di affrontare le difficoltà</w:t>
            </w:r>
          </w:p>
        </w:tc>
        <w:tc>
          <w:tcPr>
            <w:shd w:val="clear" w:color="auto" w:fill="F4F1EC"/>
          </w:tcPr>
          <w:p>
            <w:pPr>
              <w:pStyle w:val="Compact"/>
              <w:spacing w:after="40" w:before="40"/>
              <w:jc w:val="left"/>
            </w:pPr>
            <w:r>
              <w:rPr>
                <w:rFonts w:ascii="Cambria" w:hAnsi="Cambria" w:cs="Cambria" w:eastAsia="Cambria"/>
                <w:color w:val="1A1A1A"/>
                <w:sz w:val="18"/>
              </w:rPr>
              <w:t xml:space="preserve">valore qualitativo e relazionale, non monetizzato, riconosciuto come tale</w:t>
            </w:r>
          </w:p>
        </w:tc>
      </w:tr>
    </w:tbl>
    <w:p>
      <w:pPr>
        <w:pStyle w:val="BodyText"/>
      </w:pPr>
      <w:r>
        <w:rPr>
          <w:i/>
          <w:iCs/>
        </w:rPr>
        <w:t xml:space="preserve">Tabella 9.28 — Le dimensioni del dominio sociale e il loro trattamento non monetizzato. Entrambe le dimensioni recano un valore reale per il benessere collettivo, genuinamente irriducibile alla misura monetaria; esse sono riconosciute nella loro dimensione qualitativa e relazionale e dichiaratamente escluse dall’aggregato monetario, per la natura del loro valore.</w:t>
      </w:r>
    </w:p>
    <w:p>
      <w:pPr>
        <w:pStyle w:val="BodyText"/>
      </w:pPr>
      <w:r>
        <w:t xml:space="preserve">Il dominio sociale non contribuisce, dunque, all’aggregato monetario della parte, e il suo valore è riconosciuto esclusivamente nella sua dimensione qualitativa e relazionale. Come per il dominio antropologico, questa scelta è una scelta di rigore e di rispetto: il capitale sociale è un bene fondamentale del benessere collettivo delle comunità pugliesi, e la sua preservazione e il suo rafforzamento, che l’intercettazione e la cura del disagio assicurano, sono tra i valori più profondi che la riforma genera; ma proprio perché si tratta di un bene immateriale e relazionale, esso non si lascia ridurre a una cifra senza snaturarlo. La rinegoziazione, riconoscendolo nella sua dimensione propria, gli rende un omaggio più fedele di quanto farebbe quantificandolo. Con i domini antropologico e sociale, il perimetro integrale riconosce dunque che non tutto il valore che la riforma genera è monetizzabile, e che la pluralità dei valori — economici, sociali, culturali, relazionali — esige una pluralità di trattamenti, di cui il riconoscimento non monetizzato dei beni immateriali è parte essenziale.</w:t>
      </w:r>
      <w:r>
        <w:rPr>
          <w:rStyle w:val="FootnoteReference"/>
        </w:rPr>
        <w:footnoteReference w:id="280"/>
      </w:r>
    </w:p>
    <w:bookmarkEnd w:id="638"/>
    <w:bookmarkEnd w:id="639"/>
    <w:bookmarkStart w:id="645" w:name="X6120b9ac4cd075e3889411e9460227bde4419e7"/>
    <w:p>
      <w:pPr>
        <w:pStyle w:val="Heading2"/>
      </w:pPr>
      <w:r>
        <w:t xml:space="preserve">9.16 Il dominio finanziario e dei bilanci regionali</w:t>
      </w:r>
    </w:p>
    <w:p>
      <w:pPr>
        <w:pStyle w:val="FirstParagraph"/>
      </w:pPr>
      <w:r>
        <w:rPr>
          <w:i/>
          <w:iCs/>
        </w:rPr>
        <w:t xml:space="preserve">Il sedicesimo e ultimo dominio del perimetro integrale è il finanziario e dei bilanci regionali, e occupa, come il produttivistico e il prevenzionalistico, la posizione di lente di sintesi più che di addendo autonomo. Esso non introduce una nuova grandezza che si somma alle precedenti, ma ricompone gli effetti della riforma sui bilanci regionali, consolidando in una prospettiva finanziaria unitaria gli impatti già attribuiti agli altri domini e ai risparmi diretti. Il valore che il dominio finanziario aggiunge in proprio è limitato alla sola componente residua di stabilizzazione e di prevedibilità dei bilanci regionali — il valore di una maggiore prevedibilità e di una minore volatilità della spesa, che la riforma può favorire — non già colto dagli altri domini. La voce ricostruisce la funzione di consolidamento del dominio, ne isola la sola componente residua di stabilizzazione, e ne dichiara, con il rigore richiesto dalla sua natura di sintesi, i confini e la non duplicazione rispetto agli effetti già attribuiti, che esso ricompone ma non riconta.</w:t>
      </w:r>
    </w:p>
    <w:bookmarkStart w:id="640" w:name="X4aa32a9d4134e9a251d80dfdd6941dcdee5c421"/>
    <w:p>
      <w:pPr>
        <w:pStyle w:val="Heading2"/>
      </w:pPr>
      <w:r>
        <w:t xml:space="preserve">9.16.1 Il contesto e la funzione: il consolidamento finanziario degli effetti sui bilanci</w:t>
      </w:r>
    </w:p>
    <w:p>
      <w:pPr>
        <w:pStyle w:val="FirstParagraph"/>
      </w:pPr>
      <w:r>
        <w:t xml:space="preserve">Gli effetti della riforma sui bilanci pubblici, attribuiti distintamente ai vari domini e ai risparmi diretti, si distribuiscono su una pluralità di bilanci: il bilancio sanitario regionale, su cui cadono i risparmi diretti; i bilanci previdenziale e assistenziale dello Stato, su cui cadono i benefici pensionistico e welfaristico; il bilancio della giustizia, su cui cade il beneficio criminologico; i bilanci delle imprese e delle famiglie, su cui cadono i benefici produttivi e assistenzialistici. Il dominio finanziario svolge la funzione di ricomporre, in una prospettiva unitaria, quegli effetti che incidono sui bilanci regionali, consolidando l’impatto complessivo della riforma sulla finanza regionale. Questa funzione di consolidamento non aggiunge valore, ma lo ricompone: essa ricostruisce, a partire dagli effetti già attribuiti agli altri domini, il quadro complessivo dell’impatto sui bilanci regionali, offrendo al decisore una visione finanziaria unitaria che i singoli domini, presi separatamente, non forniscono.</w:t>
      </w:r>
    </w:p>
    <w:p>
      <w:pPr>
        <w:pStyle w:val="BodyText"/>
      </w:pPr>
      <w:r>
        <w:t xml:space="preserve">Accanto a questa funzione di consolidamento, il dominio finanziario reca una sola componente residua propria, di entità contenuta: il valore della stabilizzazione e della maggiore prevedibilità dei bilanci regionali. La riforma, riducendo la componente di spesa sanitaria e sociale connessa al disagio non intercettato e rendendone più prevedibile l’andamento, può favorire una maggiore stabilità e prevedibilità dei bilanci regionali, riducendone la volatilità e accrescendone la programmabilità. Questo valore di stabilizzazione — distinto dai risparmi di spesa, che gli altri domini hanno già colto — è la sola componente che il dominio finanziario aggiunge in proprio, perché esso non riguarda l’entità della spesa, già contabilizzata, ma la sua prevedibilità e stabilità, dimensione finanziaria non altrimenti colta. La componente di stabilizzazione è di entità contenuta e prevalentemente prospettica, e va distinta con cura dagli effetti di spesa già attribuiti agli altri domini, che il dominio finanziario consolida ma non riconta.</w:t>
      </w:r>
    </w:p>
    <w:bookmarkEnd w:id="640"/>
    <w:bookmarkStart w:id="644" w:name="Xac7f9eb9b14c6a130606d915e2f1647dc8f06c9"/>
    <w:p>
      <w:pPr>
        <w:pStyle w:val="Heading2"/>
      </w:pPr>
      <w:r>
        <w:t xml:space="preserve">9.16.2 La quantificazione residua e i confini del dominio finanziario</w:t>
      </w:r>
    </w:p>
    <w:p>
      <w:pPr>
        <w:pStyle w:val="FirstParagraph"/>
      </w:pPr>
      <w:r>
        <w:t xml:space="preserve">La quantificazione del dominio finanziario si limita, coerentemente con la sua natura di lente di sintesi, alla sola componente residua di stabilizzazione e prevedibilità, e tratta la funzione di consolidamento come ricomposizione di effetti già attribuiti, che non aggiunge valore. La tabella che segue distingue le due dimensioni del dominio.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del dominio finanziario</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 della 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Trattamento nella rinegoziazione</w:t>
            </w:r>
          </w:p>
        </w:tc>
      </w:tr>
      <w:tr>
        <w:tc>
          <w:tcPr/>
          <w:p>
            <w:pPr>
              <w:pStyle w:val="Compact"/>
              <w:spacing w:after="40" w:before="40"/>
              <w:jc w:val="left"/>
            </w:pPr>
            <w:r>
              <w:rPr>
                <w:rFonts w:ascii="Cambria" w:hAnsi="Cambria" w:cs="Cambria" w:eastAsia="Cambria"/>
                <w:color w:val="1A1A1A"/>
                <w:sz w:val="18"/>
              </w:rPr>
              <w:t xml:space="preserve">Consolidamento degli effetti fiscali sui bilanci regionali</w:t>
            </w:r>
          </w:p>
        </w:tc>
        <w:tc>
          <w:tcPr/>
          <w:p>
            <w:pPr>
              <w:pStyle w:val="Compact"/>
              <w:spacing w:after="40" w:before="40"/>
              <w:jc w:val="left"/>
            </w:pPr>
            <w:r>
              <w:rPr>
                <w:rFonts w:ascii="Cambria" w:hAnsi="Cambria" w:cs="Cambria" w:eastAsia="Cambria"/>
                <w:color w:val="1A1A1A"/>
                <w:sz w:val="18"/>
              </w:rPr>
              <w:t xml:space="preserve">sintesi degli effetti già attribuiti agli altri domini e ai risparmi diretti</w:t>
            </w:r>
          </w:p>
        </w:tc>
        <w:tc>
          <w:tcPr/>
          <w:p>
            <w:pPr>
              <w:pStyle w:val="Compact"/>
              <w:spacing w:after="40" w:before="40"/>
              <w:jc w:val="left"/>
            </w:pPr>
            <w:r>
              <w:rPr>
                <w:rFonts w:ascii="Cambria" w:hAnsi="Cambria" w:cs="Cambria" w:eastAsia="Cambria"/>
                <w:color w:val="1A1A1A"/>
                <w:sz w:val="18"/>
              </w:rPr>
              <w:t xml:space="preserve">lente di consolidamento, non nuovo addendo: ricompone senza ricontare</w:t>
            </w:r>
          </w:p>
        </w:tc>
      </w:tr>
      <w:tr>
        <w:tc>
          <w:tcPr>
            <w:shd w:val="clear" w:color="auto" w:fill="F4F1EC"/>
          </w:tcPr>
          <w:p>
            <w:pPr>
              <w:pStyle w:val="Compact"/>
              <w:spacing w:after="40" w:before="40"/>
              <w:jc w:val="left"/>
            </w:pPr>
            <w:r>
              <w:rPr>
                <w:rFonts w:ascii="Cambria" w:hAnsi="Cambria" w:cs="Cambria" w:eastAsia="Cambria"/>
                <w:color w:val="1A1A1A"/>
                <w:sz w:val="18"/>
              </w:rPr>
              <w:t xml:space="preserve">Stabilizzazione e prevedibilità dei bilanci regionali</w:t>
            </w:r>
          </w:p>
        </w:tc>
        <w:tc>
          <w:tcPr>
            <w:shd w:val="clear" w:color="auto" w:fill="F4F1EC"/>
          </w:tcPr>
          <w:p>
            <w:pPr>
              <w:pStyle w:val="Compact"/>
              <w:spacing w:after="40" w:before="40"/>
              <w:jc w:val="left"/>
            </w:pPr>
            <w:r>
              <w:rPr>
                <w:rFonts w:ascii="Cambria" w:hAnsi="Cambria" w:cs="Cambria" w:eastAsia="Cambria"/>
                <w:color w:val="1A1A1A"/>
                <w:sz w:val="18"/>
              </w:rPr>
              <w:t xml:space="preserve">minore volatilità e maggiore programmabilità della spesa connessa al disagio</w:t>
            </w:r>
          </w:p>
        </w:tc>
        <w:tc>
          <w:tcPr>
            <w:shd w:val="clear" w:color="auto" w:fill="F4F1EC"/>
          </w:tcPr>
          <w:p>
            <w:pPr>
              <w:pStyle w:val="Compact"/>
              <w:spacing w:after="40" w:before="40"/>
              <w:jc w:val="left"/>
            </w:pPr>
            <w:r>
              <w:rPr>
                <w:rFonts w:ascii="Cambria" w:hAnsi="Cambria" w:cs="Cambria" w:eastAsia="Cambria"/>
                <w:color w:val="1A1A1A"/>
                <w:sz w:val="18"/>
              </w:rPr>
              <w:t xml:space="preserve">componente residua di stabilizzazione, parzialmente monetizzabile</w:t>
            </w:r>
          </w:p>
        </w:tc>
      </w:tr>
    </w:tbl>
    <w:p>
      <w:pPr>
        <w:pStyle w:val="BodyText"/>
      </w:pPr>
      <w:r>
        <w:rPr>
          <w:i/>
          <w:iCs/>
        </w:rPr>
        <w:t xml:space="preserve">Tabella 9.29 — Le dimensioni del dominio finanziario e il loro trattamento. La funzione di consolidamento ricompone gli effetti già attribuiti agli altri domini, senza aggiungere valore, per evitare il doppio conteggio; solo la componente residua di stabilizzazione e prevedibilità è quantificata, nella sua quota propria non altrimenti colta.</w:t>
      </w:r>
    </w:p>
    <w:p>
      <w:pPr>
        <w:pStyle w:val="BodyText"/>
      </w:pPr>
      <w:r>
        <w:t xml:space="preserve">La stima della sola componente residua di stabilizzazione del dominio finanziario è esposta, per ciascuno scenario, nella tabella che segue, con la consapevolezza che la funzione principale del dominio è di consolidamento, e che la componente residua qui quantificata è di entità contenuta.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del beneficio finanziario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Stabilizzazione e prevedibilità dei bilanci regionali (residuo)</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~2</w:t>
            </w:r>
          </w:p>
        </w:tc>
        <w:tc>
          <w:tcPr/>
          <w:p>
            <w:pPr>
              <w:pStyle w:val="Compact"/>
              <w:spacing w:after="40" w:before="40"/>
              <w:jc w:val="left"/>
            </w:pPr>
            <w:r>
              <w:rPr>
                <w:rFonts w:ascii="Cambria" w:hAnsi="Cambria" w:cs="Cambria" w:eastAsia="Cambria"/>
                <w:color w:val="1A1A1A"/>
                <w:sz w:val="18"/>
              </w:rPr>
              <w:t xml:space="preserve">~3</w:t>
            </w:r>
          </w:p>
        </w:tc>
      </w:tr>
      <w:tr>
        <w:tc>
          <w:tcPr>
            <w:shd w:val="clear" w:color="auto" w:fill="F4F1EC"/>
          </w:tcPr>
          <w:p>
            <w:pPr>
              <w:pStyle w:val="Compact"/>
              <w:spacing w:after="40" w:before="40"/>
              <w:jc w:val="left"/>
            </w:pPr>
            <w:r>
              <w:rPr>
                <w:rFonts w:ascii="Cambria" w:hAnsi="Cambria" w:cs="Cambria" w:eastAsia="Cambria"/>
                <w:color w:val="1A1A1A"/>
                <w:sz w:val="18"/>
              </w:rPr>
              <w:t xml:space="preserve">Consolidamento degli effetti fiscali regionali</w:t>
            </w:r>
          </w:p>
        </w:tc>
        <w:tc>
          <w:tcPr>
            <w:shd w:val="clear" w:color="auto" w:fill="F4F1EC"/>
          </w:tcPr>
          <w:p>
            <w:pPr>
              <w:pStyle w:val="Compact"/>
              <w:spacing w:after="40" w:before="40"/>
              <w:jc w:val="left"/>
            </w:pPr>
            <w:r>
              <w:rPr>
                <w:rFonts w:ascii="Cambria" w:hAnsi="Cambria" w:cs="Cambria" w:eastAsia="Cambria"/>
                <w:color w:val="1A1A1A"/>
                <w:sz w:val="18"/>
              </w:rPr>
              <w:t xml:space="preserve">lente (già contabilizzato)</w:t>
            </w:r>
          </w:p>
        </w:tc>
        <w:tc>
          <w:tcPr>
            <w:shd w:val="clear" w:color="auto" w:fill="F4F1EC"/>
          </w:tcPr>
          <w:p>
            <w:pPr>
              <w:pStyle w:val="Compact"/>
              <w:spacing w:after="40" w:before="40"/>
              <w:jc w:val="left"/>
            </w:pPr>
            <w:r>
              <w:rPr>
                <w:rFonts w:ascii="Cambria" w:hAnsi="Cambria" w:cs="Cambria" w:eastAsia="Cambria"/>
                <w:color w:val="1A1A1A"/>
                <w:sz w:val="18"/>
              </w:rPr>
              <w:t xml:space="preserve">lente (già contabilizzato)</w:t>
            </w:r>
          </w:p>
        </w:tc>
        <w:tc>
          <w:tcPr>
            <w:shd w:val="clear" w:color="auto" w:fill="F4F1EC"/>
          </w:tcPr>
          <w:p>
            <w:pPr>
              <w:pStyle w:val="Compact"/>
              <w:spacing w:after="40" w:before="40"/>
              <w:jc w:val="left"/>
            </w:pPr>
            <w:r>
              <w:rPr>
                <w:rFonts w:ascii="Cambria" w:hAnsi="Cambria" w:cs="Cambria" w:eastAsia="Cambria"/>
                <w:color w:val="1A1A1A"/>
                <w:sz w:val="18"/>
              </w:rPr>
              <w:t xml:space="preserve">lente (già contabilizzato)</w:t>
            </w:r>
          </w:p>
        </w:tc>
      </w:tr>
      <w:tr>
        <w:tc>
          <w:tcPr/>
          <w:p>
            <w:pPr>
              <w:pStyle w:val="Compact"/>
              <w:spacing w:after="40" w:before="40"/>
              <w:jc w:val="left"/>
            </w:pPr>
            <w:r>
              <w:rPr>
                <w:rFonts w:ascii="Cambria" w:hAnsi="Cambria" w:cs="Cambria" w:eastAsia="Cambria"/>
                <w:color w:val="1A1A1A"/>
                <w:sz w:val="18"/>
              </w:rPr>
              <w:t xml:space="preserve">Beneficio finanziario residuo del dominio</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~2</w:t>
            </w:r>
          </w:p>
        </w:tc>
        <w:tc>
          <w:tcPr/>
          <w:p>
            <w:pPr>
              <w:pStyle w:val="Compact"/>
              <w:spacing w:after="40" w:before="40"/>
              <w:jc w:val="left"/>
            </w:pPr>
            <w:r>
              <w:rPr>
                <w:rFonts w:ascii="Cambria" w:hAnsi="Cambria" w:cs="Cambria" w:eastAsia="Cambria"/>
                <w:color w:val="1A1A1A"/>
                <w:sz w:val="18"/>
              </w:rPr>
              <w:t xml:space="preserve">~3</w:t>
            </w:r>
          </w:p>
        </w:tc>
      </w:tr>
    </w:tbl>
    <w:p>
      <w:pPr>
        <w:pStyle w:val="BodyText"/>
      </w:pPr>
      <w:r>
        <w:rPr>
          <w:i/>
          <w:iCs/>
        </w:rPr>
        <w:t xml:space="preserve">Tabella 9.30 — Stima prudenziale della sola componente residua di stabilizzazione del dominio finanziario per scenario. La funzione di consolidamento è una lente che ricompone effetti già contabilizzati e non aggiunge valore; il beneficio residuo coincide con la sola componente di stabilizzazione e prevedibilità, distinta dai risparmi di spesa già colti dagli altri domini.</w:t>
      </w:r>
    </w:p>
    <w:p>
      <w:pPr>
        <w:pStyle w:val="BodyText"/>
      </w:pPr>
      <w:r>
        <w:t xml:space="preserve">Il beneficio finanziario residuo è dunque stimato in un ordine di grandezza compreso tra circa un milione di euro l’anno nello scenario conservativo e circa tre milioni nello scenario espansivo, con un valore intermedio dell’ordine di due milioni. La modestia della cifra, come per gli altri domini di sintesi, non indica la scarsa rilevanza della dimensione finanziaria, che è al contrario centrale per il decisore regionale, ma riflette il rigore della regola di non duplicazione: la gran parte del valore finanziario della riforma è già contabilizzata come risparmio di spesa nei risparmi diretti e negli altri domini, e ciò che il dominio finanziario aggiunge in proprio è soltanto la componente residua di stabilizzazione e prevedibilità, non altrimenti colta. La funzione principale del dominio finanziario nell’economia della parte non è dunque quella di aggiungere una grandezza cospicua, ma quella di consolidare in una prospettiva finanziaria unitaria gli effetti già attribuiti, offrendo al decisore regionale la visione complessiva dell’impatto della riforma sui bilanci regionali, che la decima e l’undicesima parte svilupperanno compiutamente attraverso l’analisi di impatto di bilancio e la modellazione di lungo periodo. Il dominio finanziario è, in questo senso, la lente che prepara la sintesi economica complessiva, più che un dominio che vi aggiunge valore.</w:t>
      </w:r>
      <w:r>
        <w:rPr>
          <w:rStyle w:val="FootnoteReference"/>
        </w:rPr>
        <w:footnoteReference w:id="281"/>
      </w:r>
    </w:p>
    <w:p>
      <w:pPr>
        <w:pStyle w:val="BodyText"/>
      </w:pPr>
      <w:r>
        <w:t xml:space="preserve">I confini del dominio finanziario ne ribadiscono la natura di lente di sintesi. In primo luogo, la funzione di consolidamento ricompone gli effetti già attribuiti agli altri domini e ai risparmi diretti, e non aggiunge in alcun punto valore nuovo: essa offre una visione finanziaria unitaria, ma non riconta gli effetti che gli altri domini hanno già colto, per evitare il doppio conteggio.</w:t>
      </w:r>
      <w:r>
        <w:rPr>
          <w:rStyle w:val="FootnoteReference"/>
        </w:rPr>
        <w:footnoteReference w:id="282"/>
      </w:r>
      <w:r>
        <w:t xml:space="preserve"> </w:t>
      </w:r>
      <w:r>
        <w:t xml:space="preserve">In secondo luogo, la sola componente residua propria del dominio — la stabilizzazione e la prevedibilità dei bilanci regionali — è distinta dai risparmi di spesa già contabilizzati, perché riguarda la prevedibilità e la stabilità della spesa, non la sua entità. In terzo luogo, il dominio finanziario rinvia alla decima e all’undicesima parte, che svilupperanno compiutamente, attraverso l’analisi di impatto di bilancio e la modellazione di lungo periodo, la sintesi finanziaria che il dominio qui prepara. Con il dominio finanziario, lente di consolidamento e non addendo, il perimetro multidisciplinare integrale è interamente percorso: sedici domini, dal lavorativo al finanziario, sono stati attraversati, ciascuno nella sua natura e con il rispetto della regola di non duplicazione, e la rinegoziazione è ora pronta per l’aggregazione conclusiva, che la voce successiva svilupperà, ricomponendo i domini in un aggregato netto e verificandone la coerenza con l’ancora della letteratura.</w:t>
      </w:r>
      <w:r>
        <w:rPr>
          <w:rStyle w:val="FootnoteReference"/>
        </w:rPr>
        <w:footnoteReference w:id="283"/>
      </w:r>
    </w:p>
    <w:p>
      <w:pPr>
        <w:pStyle w:val="SourceCode"/>
      </w:pPr>
      <w:r>
        <w:rPr>
          <w:rStyle w:val="VerbatimChar"/>
        </w:rPr>
        <w:t xml:space="preserve">Costi e benefici indiretti · perimetro integrale    L. De Michele · giugno 2026</w:t>
      </w:r>
    </w:p>
    <w:p>
      <w:r>
        <w:br w:type="page"/>
      </w:r>
    </w:p>
    <w:p>
      <w:pPr>
        <w:pStyle w:val="FirstParagraph"/>
      </w:pPr>
      <w:r>
        <w:t xml:space="preserve">Studio Integrale Puglia · Parte X — Valutazione economica integrata</w:t>
      </w:r>
    </w:p>
    <w:p>
      <w:pPr>
        <w:pStyle w:val="BodyText"/>
      </w:pPr>
      <w:r>
        <w:rPr>
          <w:b/>
          <w:bCs/>
        </w:rPr>
        <w:t xml:space="preserve">PROGETTO « PSICOLOGO DI BASE » · REGIONE PUGLIA</w:t>
      </w:r>
    </w:p>
    <w:p>
      <w:pPr>
        <w:pStyle w:val="BodyText"/>
      </w:pPr>
      <w:r>
        <w:rPr>
          <w:b/>
          <w:bCs/>
        </w:rPr>
        <w:t xml:space="preserve">Studio Integrale, Finale e Definitivo</w:t>
      </w:r>
    </w:p>
    <w:p>
      <w:pPr>
        <w:pStyle w:val="BodyText"/>
      </w:pPr>
      <w:r>
        <w:rPr>
          <w:b/>
          <w:bCs/>
        </w:rPr>
        <w:t xml:space="preserve">Parte X</w:t>
      </w:r>
    </w:p>
    <w:p>
      <w:pPr>
        <w:pStyle w:val="BodyText"/>
      </w:pPr>
      <w:r>
        <w:rPr>
          <w:b/>
          <w:bCs/>
        </w:rPr>
        <w:t xml:space="preserve">Valutazione economica integrata</w:t>
      </w:r>
    </w:p>
    <w:p>
      <w:pPr>
        <w:pStyle w:val="BodyText"/>
      </w:pPr>
      <w:r>
        <w:rPr>
          <w:b/>
          <w:bCs/>
        </w:rPr>
        <w:t xml:space="preserve">e saldo consolidato</w:t>
      </w:r>
    </w:p>
    <w:p>
      <w:pPr>
        <w:pStyle w:val="BodyText"/>
      </w:pPr>
      <w:r>
        <w:rPr>
          <w:i/>
          <w:iCs/>
        </w:rPr>
        <w:t xml:space="preserve">La ricomposizione unitaria dei costi diretti, dei risparmi diretti e dei benefici indiretti, con la valutazione costo-utilit</w:t>
      </w:r>
      <w:r>
        <w:rPr>
          <w:i/>
          <w:iCs/>
        </w:rPr>
        <w:t xml:space="preserve">0E0, l</w:t>
      </w:r>
      <w:r>
        <w:rPr>
          <w:i/>
          <w:iCs/>
        </w:rPr>
        <w:t xml:space="preserve">019analisi di impatto di bilancio, il rendimento sociale dell</w:t>
      </w:r>
      <w:r>
        <w:rPr>
          <w:i/>
          <w:iCs/>
        </w:rPr>
        <w:t xml:space="preserve">019investimento e la sintesi multi-criterio, nel rispetto della distinzione tra grandezze fiscali e sociali</w:t>
      </w:r>
    </w:p>
    <w:p>
      <w:pPr>
        <w:pStyle w:val="BodyText"/>
      </w:pPr>
      <w:r>
        <w:t xml:space="preserve">Telaio HTA · Five Case Model · CHEERS 2022 · criteri OCSE-DAC</w:t>
      </w:r>
    </w:p>
    <w:p>
      <w:pPr>
        <w:pStyle w:val="BodyText"/>
      </w:pPr>
      <w:r>
        <w:t xml:space="preserve">Cascata gerarchica piramidale dallo Psicologo di Base · perimetro multidisciplinare integrale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Avvertenza sui vincoli metodologici invarianti</w:t>
            </w:r>
            <w:r>
              <w:rPr>
                <w:rFonts w:ascii="Cambria" w:hAnsi="Cambria" w:cs="Cambria" w:eastAsia="Cambria"/>
                <w:b/>
                <w:color w:val="FFFFFF"/>
                <w:sz w:val="18"/>
              </w:rPr>
              <w:t xml:space="preserve"> </w:t>
            </w:r>
            <w:r>
              <w:rPr>
                <w:rFonts w:ascii="Cambria" w:hAnsi="Cambria" w:cs="Cambria" w:eastAsia="Cambria"/>
                <w:b/>
                <w:color w:val="FFFFFF"/>
                <w:sz w:val="18"/>
              </w:rPr>
              <w:t xml:space="preserve">La presente parte ricompone in un quadro unitario le grandezze economiche stabilite nelle parti precedenti — i costi diretti della settima parte, i risparmi fiscali diretti dell’ottava e i benefici sociali indiretti della nona — ma ne preserva la distinzione cardine: le grandezze fiscali dirette e quelle sociali indirette non sono mai sommate in un unico saldo, e il saldo consolidato le presenta affiancate e tuttavia distinte, sì che il decisore apprezzi separatamente il risparmio per il bilancio sanitario e il beneficio per il tessuto sociale. Il ritorno economico degli investimenti in salute mentale è espresso nei soli intervalli corretti, compresi tra 2,3 e 3,0 a 1 per i soli benefici economici e tra 3,3 e 5,7 a 1 con l’inclusione dei ritorni in salute; entrambi gli intervalli operano in questa parte come ancora di validazione, il primo per il rapporto dei soli benefici economici, il secondo per il rapporto che include il valore dei guadagni di salute. Il caveat dell’IMPACT trial, secondo cui i risparmi sui costi sanitari diretti non raggiungono la significatività statistica, è preservato e governa l’analisi di impatto di bilancio, che presenta perciò una variante prudenziale in cui i risparmi diretti non sono computati. La valutazione costo-utilità è condotta con la soglia di disponibilità a pagare per anno di vita in buona salute guadagnato, dichiarata e impiegata entro l’intervallo convenzionale; il rendimento sociale dell’investimento applica i deflatori metodologici di prudenza; la sintesi multi-criterio impiega pesi dichiarati e ne saggia la robustezza. Ogni stima adotta bande prudenziali e previsioni falsificabili, e ogni evidenza è graduata secondo la sua qualità con i criteri GRADE, applicati con il medesimo rigore alle affermazioni economiche e a quelle cliniche.</w:t>
            </w:r>
          </w:p>
        </w:tc>
      </w:tr>
    </w:tbl>
    <w:bookmarkEnd w:id="644"/>
    <w:bookmarkEnd w:id="645"/>
    <w:bookmarkStart w:id="646" w:name="premessa-7"/>
    <w:p>
      <w:pPr>
        <w:pStyle w:val="Heading1"/>
      </w:pPr>
      <w:r>
        <w:t xml:space="preserve">Premessa</w:t>
      </w:r>
    </w:p>
    <w:p>
      <w:pPr>
        <w:pStyle w:val="FirstParagraph"/>
      </w:pPr>
      <w:r>
        <w:rPr>
          <w:i/>
          <w:iCs/>
        </w:rPr>
        <w:t xml:space="preserve">La decima parte dello studio integrale ricompone in un quadro economico unitario le grandezze che le parti precedenti hanno stabilito distintamente, e ne trae la valutazione economica complessiva della riforma del Servizio di Psicologia di Base in Puglia. Essa non introduce nuove categorie di costo o di beneficio, ma raccoglie quelle già stimate — i costi diretti dell’investimento, i risparmi fiscali diretti per il bilancio sanitario e i benefici sociali indiretti per il tessuto economico e sociale — e le sottopone agli strumenti della valutazione economica integrata: la valutazione costo-efficacia e costo-utilità, l’analisi di impatto di bilancio, il rendimento sociale dell’investimento e la sintesi multi-criterio. Il risultato è il saldo economico consolidato della riforma, che presenta affiancate, e tuttavia rigorosamente distinte, le grandezze fiscali dirette e quelle sociali indirette, e che restituisce al decisore la misura complessiva del valore economico della riforma sul perimetro più ampio.</w:t>
      </w:r>
    </w:p>
    <w:p>
      <w:pPr>
        <w:pStyle w:val="BodyText"/>
      </w:pPr>
      <w:r>
        <w:t xml:space="preserve">La funzione di questa parte è dunque di sintesi, e la sua difficoltà specifica è quella propria di ogni sintesi economica rigorosa: ricomporre in un quadro unitario grandezze di natura diversa senza confonderle, e in particolare senza sommare in un’unica cifra ciò che appartiene a categorie distinte. La distinzione cardine tra le grandezze fiscali dirette — i risparmi per il bilancio sanitario regionale — e le grandezze sociali indirette — i benefici per il tessuto economico e sociale — governa l’intera parte, e impone che il saldo consolidato presenti le due categorie in colonne separate, ricomposte in una visione complessiva ma mai fuse in un unico saldo. A questa distinzione si aggiungono i vincoli invarianti che governano l’intero studio: gli intervalli di Chisholm, ora impiegati nelle loro due fasce — quella dei soli benefici economici e quella che include i ritorni di salute; il caveat dell’IMPACT trial sui risparmi diretti, che governa l’analisi di impatto di bilancio; e la graduazione dell’evidenza e il ricorso alle bande prudenziali, che accompagnano ogni stima. La parte è perciò la sede in cui le componenti economiche della rinegoziazione integrale, stabilite distintamente nelle parti settima, ottava e nona, trovano la loro ricomposizione in un quadro che ne preserva la natura e ne dichiara i confini.</w:t>
      </w:r>
    </w:p>
    <w:bookmarkEnd w:id="646"/>
    <w:bookmarkStart w:id="651" w:name="introduzione-7"/>
    <w:p>
      <w:pPr>
        <w:pStyle w:val="Heading1"/>
      </w:pPr>
      <w:r>
        <w:t xml:space="preserve">Introduzione</w:t>
      </w:r>
    </w:p>
    <w:p>
      <w:pPr>
        <w:pStyle w:val="FirstParagraph"/>
      </w:pPr>
      <w:r>
        <w:rPr>
          <w:i/>
          <w:iCs/>
        </w:rPr>
        <w:t xml:space="preserve">L’introduzione definisce il compito della valutazione economica integrata, richiama le grandezze ereditate dalle parti precedenti, espone gli strumenti che la parte impiega e dichiara il principio che ne governa la composizione. Essa stabilisce, in particolare, la distinzione tra le grandezze fiscali dirette e quelle sociali indirette, che la parte ricompone senza sommare, e il duplice impiego degli intervalli di Chisholm come ancora di validazione dei rapporti economici.</w:t>
      </w:r>
    </w:p>
    <w:bookmarkStart w:id="647" w:name="Xe564521e761d29d54b068d0a15fd85230414876"/>
    <w:p>
      <w:pPr>
        <w:pStyle w:val="Heading2"/>
      </w:pPr>
      <w:r>
        <w:t xml:space="preserve">Il compito della valutazione economica integrata</w:t>
      </w:r>
    </w:p>
    <w:p>
      <w:pPr>
        <w:pStyle w:val="FirstParagraph"/>
      </w:pPr>
      <w:r>
        <w:t xml:space="preserve">Il compito della decima parte è quello di ricomporre in un quadro economico unitario le grandezze che le parti settima, ottava e nona hanno stabilito distintamente, e di trarne la valutazione economica complessiva della riforma. Le parti precedenti hanno proceduto per componenti: la settima ha stabilito i costi diretti dell’investimento, ossia il costo del personale, delle strutture, della leva digitale e della formazione lungo la cascata delle figure; l’ottava ha stabilito i risparmi fiscali diretti per il bilancio sanitario regionale, ossia la riduzione della spesa farmaceutica inappropriata, degli accessi impropri, della mobilità passiva e degli invii impropri; la nona ha stabilito i benefici sociali indiretti per il tessuto economico e sociale, ossia le ricadute sui sedici domini del perimetro multidisciplinare integrale. Ciascuna di queste componenti è stata stimata con il proprio metodo e nei propri confini; ma nessuna di esse, da sola, restituisce la valutazione economica complessiva della riforma, che richiede la loro ricomposizione in un quadro unitario. È questo il compito della decima parte: comporre le componenti in una valutazione integrata, che ne mostri il rapporto reciproco e ne tragga il saldo complessivo, nel rispetto della distinzione tra le loro categorie.</w:t>
      </w:r>
    </w:p>
    <w:p>
      <w:pPr>
        <w:pStyle w:val="BodyText"/>
      </w:pPr>
      <w:r>
        <w:t xml:space="preserve">La valutazione economica integrata si avvale di quattro strumenti, ciascuno dei quali illumina una dimensione del valore economico della riforma. Il primo è la valutazione costo-efficacia e costo-utilità, che rapporta il costo della riforma agli esiti di salute prodotti, misurati attraverso gli anni di vita in buona salute guadagnati, e che colloca la riforma rispetto alla soglia convenzionale di costo-efficacia. Il secondo è l’analisi di impatto di bilancio, che misura l’effetto della riforma sul bilancio sanitario regionale nel tempo, e che ne valuta la sostenibilità finanziaria. Il terzo è il rendimento sociale dell’investimento, che misura il valore sociale complessivo creato per ogni euro investito, applicando i deflatori di prudenza propri del metodo. Il quarto è la sintesi multi-criterio, che ricompone le molteplici dimensioni della riforma — economica, di salute, di equità, di sostenibilità, di fattibilità — in una valutazione strutturata che eccede la sola dimensione monetaria. A questi quattro strumenti segue il saldo economico consolidato, che li ricompone in un quadro unitario e che costituisce la sintesi quantitativa della valutazione integrata.</w:t>
      </w:r>
    </w:p>
    <w:bookmarkEnd w:id="647"/>
    <w:bookmarkStart w:id="649" w:name="Xd4a783597627065b677c7603b0307c08ca31105"/>
    <w:p>
      <w:pPr>
        <w:pStyle w:val="Heading2"/>
      </w:pPr>
      <w:r>
        <w:t xml:space="preserve">Le grandezze ereditate e la distinzione cardine</w:t>
      </w:r>
    </w:p>
    <w:p>
      <w:pPr>
        <w:pStyle w:val="FirstParagraph"/>
      </w:pPr>
      <w:r>
        <w:t xml:space="preserve">La valutazione integrata muove dalle grandezze stabilite dalle parti precedenti, che è opportuno richiamare nei loro ordini di grandezza. I costi diretti dell’investimento, stabiliti dalla settima parte, sono dell’ordine di venticinque, trentotto e cinquanta milioni di euro l’anno nei tre scenari di dimensionamento — conservativo, intermedio ed espansivo — e rappresentano il costo che la riforma comporta per il bilancio pubblico. I risparmi fiscali diretti per il bilancio sanitario regionale, stabiliti dall’ottava parte, sono dell’ordine di venti, trentaquattro e cinquanta milioni di euro l’anno nei tre scenari, e rappresentano la riduzione della spesa sanitaria che la riforma genera, soggetta al caveat dell’IMPACT trial sulla loro significatività statistica. I benefici sociali indiretti per il tessuto economico e sociale, stabiliti dalla nona parte, sono dell’ordine di sessantacinque, novantotto e centotrentanove milioni di euro l’anno nei tre scenari, e rappresentano il valore economico-sociale che la riforma genera sui sedici domini del perimetro integrale, depurato delle duplicazioni e verificato con l’ancora di Chisholm. Queste tre grandezze sono il materiale su cui la valutazione integrata opera.</w:t>
      </w:r>
    </w:p>
    <w:p>
      <w:pPr>
        <w:pStyle w:val="BodyText"/>
      </w:pPr>
      <w:r>
        <w:t xml:space="preserve">La distinzione cardine che governa la composizione di queste grandezze è quella tra le grandezze fiscali dirette e le grandezze sociali indirette. I risparmi diretti per il bilancio sanitario sono grandezze fiscali, che incidono su un bilancio determinato — quello sanitario regionale — e che si traducono in minori uscite per quel bilancio; i benefici indiretti per il tessuto economico e sociale sono grandezze sociali, che gravano su una pluralità di bilanci e di soggetti — le imprese, le famiglie, gli istituti previdenziali e assistenziali, la collettività — e che si traducono in maggiore produzione, minori prestazioni e maggiore benessere. Le due categorie sono di natura diversa, e la regola di non duplicazione, che governa l’intero studio, impone di non sommarle in un’unica cifra, perché la loro somma confonderebbe ciò che è distinto e attribuirebbe alla riforma un valore complessivo non interpretabile. Il medesimo miglioramento clinico genera, distintamente, un risparmio fiscale diretto per il bilancio sanitario e un beneficio sociale indiretto per il tessuto economico; i due effetti sono reali e contestuali, ma vanno computati separatamente, e la valutazione integrata li ricompone in colonne distinte, affiancate ma mai fuse.</w:t>
      </w:r>
      <w:r>
        <w:rPr>
          <w:rStyle w:val="FootnoteReference"/>
        </w:rPr>
        <w:footnoteReference w:id="284"/>
      </w:r>
      <w:r>
        <w:t xml:space="preserve"> </w:t>
      </w:r>
      <w:r>
        <w:t xml:space="preserve">È in questa distinzione, mantenuta rigorosamente, che risiede il rigore della valutazione integrata.</w:t>
      </w:r>
    </w:p>
    <w:bookmarkEnd w:id="649"/>
    <w:bookmarkStart w:id="650" w:name="X1e8615de2da757343077abb86d18d4a08c752ae"/>
    <w:p>
      <w:pPr>
        <w:pStyle w:val="Heading2"/>
      </w:pPr>
      <w:r>
        <w:t xml:space="preserve">Gli intervalli di Chisholm come duplice ancora</w:t>
      </w:r>
    </w:p>
    <w:p>
      <w:pPr>
        <w:pStyle w:val="FirstParagraph"/>
      </w:pPr>
      <w:r>
        <w:t xml:space="preserve">Gli intervalli di Chisholm, che hanno governato l’intero studio come ancora del rendimento dell’investimento in salute mentale, trovano in questa parte il loro impiego più compiuto, nelle loro due fasce distinte. La prima fascia, compresa tra 2,3 e 3,0 a 1, esprime il rendimento dei soli benefici economici — la produttività conservata, le prestazioni evitate, i costi sociali risparmiati — rispetto al costo dell’investimento; essa ha già operato, nella nona parte, come ancora di validazione dell’aggregato dei benefici indiretti, il cui rapporto al costo si è collocato entro tale fascia. La seconda fascia, compresa tra 3,3 e 5,7 a 1, esprime il rendimento che include, accanto ai benefici economici, il valore dei guadagni di salute — gli anni di vita in buona salute guadagnati, valutati monetariamente; essa opera in questa parte, attraverso la valutazione costo-utilità, come ancora del rapporto che include il valore della salute. Il passaggio dalla prima alla seconda fascia di Chisholm corrisponde, nella struttura della valutazione, all’aggiunta del valore dei guadagni di salute ai benefici economici, e la collocazione del rapporto entro l’una e l’altra fascia costituisce, in entrambi i casi, una verifica di coerenza con la letteratura internazionale.</w:t>
      </w:r>
    </w:p>
    <w:p>
      <w:pPr>
        <w:pStyle w:val="BodyText"/>
      </w:pPr>
      <w:r>
        <w:t xml:space="preserve">La parte è dunque organizzata in cinque voci. La prima voce conduce la valutazione costo-efficacia e costo-utilità, stima i guadagni di salute, ne calcola il rapporto costo-efficacia rispetto alla soglia, e ne monetizza il valore, operando il passaggio alla fascia superiore di Chisholm. La seconda voce conduce l’analisi di impatto di bilancio per il Servizio Sanitario Regionale, proiettando nel tempo l’effetto della riforma sul bilancio sanitario e valutandone la sostenibilità, con il caveat dell’IMPACT trial. La terza voce stima il rendimento sociale dell’investimento, applicando i deflatori di prudenza propri del metodo. La quarta voce conduce la sintesi multi-criterio, ricomponendo le molteplici dimensioni della riforma in una valutazione strutturata. La quinta e conclusiva voce compone il saldo economico consolidato, che presenta le grandezze dirette e indirette affiancate e distinte, e che costituisce la sintesi quantitativa della valutazione integrata. A queste voci seguono il quadro conclusivo, la conclusione e le note bibliografiche integrali.</w:t>
      </w:r>
    </w:p>
    <w:bookmarkEnd w:id="650"/>
    <w:bookmarkEnd w:id="651"/>
    <w:bookmarkStart w:id="661" w:name="Xe3e486b8bd69dabf5788049cc2721116b079fdb"/>
    <w:p>
      <w:pPr>
        <w:pStyle w:val="Heading2"/>
      </w:pPr>
      <w:r>
        <w:t xml:space="preserve">10.1 Costo-efficacia e costo-utilità (anni di vita in buona salute, rapporto incrementale costo-efficacia)</w:t>
      </w:r>
    </w:p>
    <w:p>
      <w:pPr>
        <w:pStyle w:val="FirstParagraph"/>
      </w:pPr>
      <w:r>
        <w:rPr>
          <w:i/>
          <w:iCs/>
        </w:rPr>
        <w:t xml:space="preserve">La prima voce della valutazione integrata conduce l’analisi costo-efficacia e costo-utilità, che rapporta il costo della riforma agli esiti di salute che essa produce. A differenza delle analisi delle parti precedenti, che hanno misurato i costi e i benefici in termini monetari, la valutazione costo-utilità misura gli esiti in termini di salute — gli anni di vita in buona salute guadagnati — e li rapporta al costo, ottenendo il rapporto incrementale costo-efficacia, che esprime il costo per anno di vita in buona salute guadagnato e che si confronta con la soglia convenzionale di costo-efficacia. La voce stima i guadagni di salute della riforma, ne calcola il rapporto costo-efficacia, ne valuta la collocazione rispetto alla soglia, e ne monetizza infine il valore, operando il passaggio dalla fascia dei soli benefici economici alla fascia che include i ritorni di salute, in coerenza con il duplice intervallo di Chisholm. La voce stabilisce così la dimensione di salute del valore della riforma, complementare alle dimensioni fiscale e sociale stabilite dalle parti precedenti.</w:t>
      </w:r>
    </w:p>
    <w:bookmarkStart w:id="653" w:name="Xb7a20ddc59a4ad838b3d96fff73e0a5b7909858"/>
    <w:p>
      <w:pPr>
        <w:pStyle w:val="Heading2"/>
      </w:pPr>
      <w:r>
        <w:t xml:space="preserve">10.1.1 La logica della valutazione costo-efficacia e costo-utilità</w:t>
      </w:r>
    </w:p>
    <w:p>
      <w:pPr>
        <w:pStyle w:val="FirstParagraph"/>
      </w:pPr>
      <w:r>
        <w:t xml:space="preserve">La valutazione costo-efficacia e costo-utilità è lo strumento con cui la valutazione economica in sanità misura il valore di un intervento in termini del rapporto tra il suo costo e gli esiti di salute che esso produce. A differenza dell’analisi costi-benefici, che monetizza tutti gli esiti e li confronta con i costi in un’unica unità monetaria, l’analisi costo-efficacia misura gli esiti in unità naturali di salute, e l’analisi costo-utilità li misura in una unità di salute che combina la durata e la qualità della vita: l’anno di vita in buona salute guadagnato, comunemente designato con l’acronimo inglese QALY, che pondera ciascun anno di vita per la qualità della salute in cui è vissuto, sì che un anno vissuto in piena salute valga uno e un anno vissuto in salute compromessa valga meno di uno. Il guadagno di salute prodotto da un intervento si misura allora come la somma degli anni di vita in buona salute che esso aggiunge, rispetto all’assenza dell’intervento, attraverso il miglioramento della qualità della vita e, ove pertinente, l’allungamento della sua durata.</w:t>
      </w:r>
    </w:p>
    <w:p>
      <w:pPr>
        <w:pStyle w:val="BodyText"/>
      </w:pPr>
      <w:r>
        <w:t xml:space="preserve">Il rapporto tra il costo dell’intervento e i guadagni di salute che esso produce è il rapporto incrementale costo-efficacia, che esprime il costo sostenuto per ciascun anno di vita in buona salute guadagnato. Questo rapporto è la misura sintetica dell’efficienza dell’intervento sul piano della salute: un intervento che produce molti anni di vita in buona salute a basso costo ha un rapporto basso, e un intervento che ne produce pochi ad alto costo ha un rapporto alto. La valutazione della costo-efficacia di un intervento si conduce confrontando il suo rapporto incrementale costo-efficacia con una soglia convenzionale di disponibilità a pagare per anno di vita in buona salute guadagnato, che esprime il valore che il sistema sanitario è disposto a riconoscere a un anno di vita in buona salute: un intervento il cui rapporto è inferiore alla soglia è considerato costo-efficace, perché produce salute a un costo inferiore a quello che il sistema è disposto a sostenere; un intervento il cui rapporto è superiore alla soglia non è considerato costo-efficace. La soglia convenzionale comunemente adottata nella letteratura economico-sanitaria europea e italiana è dell’ordine di venticinque-quarantamila euro per anno di vita in buona salute guadagnato, ed è entro questo intervallo che la valutazione si conduce.</w:t>
      </w:r>
      <w:r>
        <w:rPr>
          <w:rStyle w:val="FootnoteReference"/>
        </w:rPr>
        <w:footnoteReference w:id="285"/>
      </w:r>
    </w:p>
    <w:p>
      <w:pPr>
        <w:pStyle w:val="BodyText"/>
      </w:pPr>
      <w:r>
        <w:t xml:space="preserve">Nel caso della riforma del primo livello psicologico, la valutazione costo-utilità presenta una specificità che ne accresce il favore. L’intervento sul disagio psichico comune — la depressione e l’ansia, segnatamente — produce i suoi guadagni di salute prevalentemente attraverso il miglioramento della qualità della vita, perché il disagio psichico comune, pur incidendo poco sulla durata della vita, ne compromette gravemente la qualità, e la sua intercettazione e cura restituisce qualità alla vita di chi ne è affetto. Il guadagno di salute della riforma si misura dunque prevalentemente come miglioramento della qualità della vita della popolazione trattata, ponderato per la durata del miglioramento, e si traduce in un numero di anni di vita in buona salute guadagnati la cui entità dipende dalla popolazione trattata, dall’efficacia del trattamento e dalla durata del beneficio. La specificità favorevole consiste nel fatto che l’intervento è di costo contenuto rispetto al guadagno di salute che produce, sì che il suo rapporto incrementale costo-efficacia si colloca, come si vedrà, ampiamente al di sotto della soglia convenzionale, e l’intervento risulta nettamente costo-efficace.</w:t>
      </w:r>
    </w:p>
    <w:bookmarkEnd w:id="653"/>
    <w:bookmarkStart w:id="654" w:name="Xeee513b63ce7e81f9f7303f990e12c823e40d4e"/>
    <w:p>
      <w:pPr>
        <w:pStyle w:val="Heading2"/>
      </w:pPr>
      <w:r>
        <w:t xml:space="preserve">10.1.2 La stima dei guadagni di salute della riforma</w:t>
      </w:r>
    </w:p>
    <w:p>
      <w:pPr>
        <w:pStyle w:val="FirstParagraph"/>
      </w:pPr>
      <w:r>
        <w:t xml:space="preserve">La stima dei guadagni di salute della riforma procede dalla popolazione trattata, dall’efficacia del trattamento e dalla durata del beneficio. La popolazione trattata è la quota della popolazione affetta da disagio psichico comune che la riforma intercetta e prende in carico, e che varia secondo lo scenario di dimensionamento: maggiore nello scenario espansivo, in cui il numero di incarichi è più elevato e la copertura più ampia, e minore nello scenario conservativo. L’efficacia del trattamento è la quota della popolazione trattata che consegue un miglioramento clinico, e il guadagno medio di qualità della vita che ne deriva, desunti dall’evidenza sull’efficacia degli interventi psicologici per il disagio comune nelle cure primarie, graduata nella sesta parte. La durata del beneficio è il periodo per cui il miglioramento si mantiene, prudenzialmente riferito all’orizzonte annuale per la stima dei guadagni di salute annui. Dalla composizione di questi fattori si ricava il numero di anni di vita in buona salute guadagnati l’anno, per ciascuno scenario.</w:t>
      </w:r>
    </w:p>
    <w:p>
      <w:pPr>
        <w:pStyle w:val="BodyText"/>
      </w:pPr>
      <w:r>
        <w:t xml:space="preserve">La stima è condotta con prudenza, adottando valori conservativi per ciascuno dei fattori, sì che il numero di anni di vita in buona salute guadagnati non sia sovrastimato. Il guadagno medio di qualità della vita per persona trattata con miglioramento clinico è riferito al valore prudenziale desumibile dall’evidenza, che riflette il miglioramento medio della popolazione trattata, comprensiva tanto dei soggetti che conseguono la remissione quanto di quelli che conseguono un miglioramento parziale; e la durata del beneficio è riferita all’orizzonte annuale, senza proiezione pluriennale, che la modellazione dell’undicesima parte svilupperà. La tabella che segue espone la stima degli anni di vita in buona salute guadagnati l’anno, per ciascuno scenario, con le bande prudenziali che ne riflettono l’incertezza.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Stima dei guadagni di salute (anni di vita in buona salute guadagnati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 (~450)</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 (~700)</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 (~900)</w:t>
            </w:r>
          </w:p>
        </w:tc>
      </w:tr>
      <w:tr>
        <w:tc>
          <w:tcPr/>
          <w:p>
            <w:pPr>
              <w:pStyle w:val="Compact"/>
              <w:spacing w:after="40" w:before="40"/>
              <w:jc w:val="left"/>
            </w:pPr>
            <w:r>
              <w:rPr>
                <w:rFonts w:ascii="Cambria" w:hAnsi="Cambria" w:cs="Cambria" w:eastAsia="Cambria"/>
                <w:color w:val="1A1A1A"/>
                <w:sz w:val="18"/>
              </w:rPr>
              <w:t xml:space="preserve">Stima centrale</w:t>
            </w:r>
          </w:p>
        </w:tc>
        <w:tc>
          <w:tcPr/>
          <w:p>
            <w:pPr>
              <w:pStyle w:val="Compact"/>
              <w:spacing w:after="40" w:before="40"/>
              <w:jc w:val="left"/>
            </w:pPr>
            <w:r>
              <w:rPr>
                <w:rFonts w:ascii="Cambria" w:hAnsi="Cambria" w:cs="Cambria" w:eastAsia="Cambria"/>
                <w:color w:val="1A1A1A"/>
                <w:sz w:val="18"/>
              </w:rPr>
              <w:t xml:space="preserve">~1.300</w:t>
            </w:r>
          </w:p>
        </w:tc>
        <w:tc>
          <w:tcPr/>
          <w:p>
            <w:pPr>
              <w:pStyle w:val="Compact"/>
              <w:spacing w:after="40" w:before="40"/>
              <w:jc w:val="left"/>
            </w:pPr>
            <w:r>
              <w:rPr>
                <w:rFonts w:ascii="Cambria" w:hAnsi="Cambria" w:cs="Cambria" w:eastAsia="Cambria"/>
                <w:color w:val="1A1A1A"/>
                <w:sz w:val="18"/>
              </w:rPr>
              <w:t xml:space="preserve">~2.200</w:t>
            </w:r>
          </w:p>
        </w:tc>
        <w:tc>
          <w:tcPr/>
          <w:p>
            <w:pPr>
              <w:pStyle w:val="Compact"/>
              <w:spacing w:after="40" w:before="40"/>
              <w:jc w:val="left"/>
            </w:pPr>
            <w:r>
              <w:rPr>
                <w:rFonts w:ascii="Cambria" w:hAnsi="Cambria" w:cs="Cambria" w:eastAsia="Cambria"/>
                <w:color w:val="1A1A1A"/>
                <w:sz w:val="18"/>
              </w:rPr>
              <w:t xml:space="preserve">~3.100</w:t>
            </w:r>
          </w:p>
        </w:tc>
      </w:tr>
      <w:tr>
        <w:tc>
          <w:tcPr>
            <w:shd w:val="clear" w:color="auto" w:fill="F4F1EC"/>
          </w:tcPr>
          <w:p>
            <w:pPr>
              <w:pStyle w:val="Compact"/>
              <w:spacing w:after="40" w:before="40"/>
              <w:jc w:val="left"/>
            </w:pPr>
            <w:r>
              <w:rPr>
                <w:rFonts w:ascii="Cambria" w:hAnsi="Cambria" w:cs="Cambria" w:eastAsia="Cambria"/>
                <w:color w:val="1A1A1A"/>
                <w:sz w:val="18"/>
              </w:rPr>
              <w:t xml:space="preserve">Banda prudenziale inferiore</w:t>
            </w:r>
          </w:p>
        </w:tc>
        <w:tc>
          <w:tcPr>
            <w:shd w:val="clear" w:color="auto" w:fill="F4F1EC"/>
          </w:tcPr>
          <w:p>
            <w:pPr>
              <w:pStyle w:val="Compact"/>
              <w:spacing w:after="40" w:before="40"/>
              <w:jc w:val="left"/>
            </w:pPr>
            <w:r>
              <w:rPr>
                <w:rFonts w:ascii="Cambria" w:hAnsi="Cambria" w:cs="Cambria" w:eastAsia="Cambria"/>
                <w:color w:val="1A1A1A"/>
                <w:sz w:val="18"/>
              </w:rPr>
              <w:t xml:space="preserve">~1.000</w:t>
            </w:r>
          </w:p>
        </w:tc>
        <w:tc>
          <w:tcPr>
            <w:shd w:val="clear" w:color="auto" w:fill="F4F1EC"/>
          </w:tcPr>
          <w:p>
            <w:pPr>
              <w:pStyle w:val="Compact"/>
              <w:spacing w:after="40" w:before="40"/>
              <w:jc w:val="left"/>
            </w:pPr>
            <w:r>
              <w:rPr>
                <w:rFonts w:ascii="Cambria" w:hAnsi="Cambria" w:cs="Cambria" w:eastAsia="Cambria"/>
                <w:color w:val="1A1A1A"/>
                <w:sz w:val="18"/>
              </w:rPr>
              <w:t xml:space="preserve">~1.700</w:t>
            </w:r>
          </w:p>
        </w:tc>
        <w:tc>
          <w:tcPr>
            <w:shd w:val="clear" w:color="auto" w:fill="F4F1EC"/>
          </w:tcPr>
          <w:p>
            <w:pPr>
              <w:pStyle w:val="Compact"/>
              <w:spacing w:after="40" w:before="40"/>
              <w:jc w:val="left"/>
            </w:pPr>
            <w:r>
              <w:rPr>
                <w:rFonts w:ascii="Cambria" w:hAnsi="Cambria" w:cs="Cambria" w:eastAsia="Cambria"/>
                <w:color w:val="1A1A1A"/>
                <w:sz w:val="18"/>
              </w:rPr>
              <w:t xml:space="preserve">~2.400</w:t>
            </w:r>
          </w:p>
        </w:tc>
      </w:tr>
      <w:tr>
        <w:tc>
          <w:tcPr/>
          <w:p>
            <w:pPr>
              <w:pStyle w:val="Compact"/>
              <w:spacing w:after="40" w:before="40"/>
              <w:jc w:val="left"/>
            </w:pPr>
            <w:r>
              <w:rPr>
                <w:rFonts w:ascii="Cambria" w:hAnsi="Cambria" w:cs="Cambria" w:eastAsia="Cambria"/>
                <w:color w:val="1A1A1A"/>
                <w:sz w:val="18"/>
              </w:rPr>
              <w:t xml:space="preserve">Banda prudenziale superiore</w:t>
            </w:r>
          </w:p>
        </w:tc>
        <w:tc>
          <w:tcPr/>
          <w:p>
            <w:pPr>
              <w:pStyle w:val="Compact"/>
              <w:spacing w:after="40" w:before="40"/>
              <w:jc w:val="left"/>
            </w:pPr>
            <w:r>
              <w:rPr>
                <w:rFonts w:ascii="Cambria" w:hAnsi="Cambria" w:cs="Cambria" w:eastAsia="Cambria"/>
                <w:color w:val="1A1A1A"/>
                <w:sz w:val="18"/>
              </w:rPr>
              <w:t xml:space="preserve">~1.600</w:t>
            </w:r>
          </w:p>
        </w:tc>
        <w:tc>
          <w:tcPr/>
          <w:p>
            <w:pPr>
              <w:pStyle w:val="Compact"/>
              <w:spacing w:after="40" w:before="40"/>
              <w:jc w:val="left"/>
            </w:pPr>
            <w:r>
              <w:rPr>
                <w:rFonts w:ascii="Cambria" w:hAnsi="Cambria" w:cs="Cambria" w:eastAsia="Cambria"/>
                <w:color w:val="1A1A1A"/>
                <w:sz w:val="18"/>
              </w:rPr>
              <w:t xml:space="preserve">~2.700</w:t>
            </w:r>
          </w:p>
        </w:tc>
        <w:tc>
          <w:tcPr/>
          <w:p>
            <w:pPr>
              <w:pStyle w:val="Compact"/>
              <w:spacing w:after="40" w:before="40"/>
              <w:jc w:val="left"/>
            </w:pPr>
            <w:r>
              <w:rPr>
                <w:rFonts w:ascii="Cambria" w:hAnsi="Cambria" w:cs="Cambria" w:eastAsia="Cambria"/>
                <w:color w:val="1A1A1A"/>
                <w:sz w:val="18"/>
              </w:rPr>
              <w:t xml:space="preserve">~3.800</w:t>
            </w:r>
          </w:p>
        </w:tc>
      </w:tr>
    </w:tbl>
    <w:p>
      <w:pPr>
        <w:pStyle w:val="BodyText"/>
      </w:pPr>
      <w:r>
        <w:rPr>
          <w:i/>
          <w:iCs/>
        </w:rPr>
        <w:t xml:space="preserve">Tabella 10.1 — Stima prudenziale degli anni di vita in buona salute guadagnati l’anno dalla riforma, per scenario, con bande prudenziali. La stima procede dalla popolazione trattata, dall’efficacia del trattamento e dal guadagno medio di qualità della vita, riferiti a valori conservativi; la durata è riferita all’orizzonte annuale, riservando alla modellazione dell’undicesima parte la proiezione pluriennale.</w:t>
      </w:r>
    </w:p>
    <w:p>
      <w:pPr>
        <w:pStyle w:val="BodyText"/>
      </w:pPr>
      <w:r>
        <w:t xml:space="preserve">La riforma è dunque stimata produrre, nello scenario intermedio, dell’ordine di duemiladuecento anni di vita in buona salute guadagnati l’anno, con una banda compresa tra circa millesettecento e circa duemilasettecento; nello scenario conservativo, dell’ordine di milletrecento, e nello scenario espansivo, dell’ordine di tremilacento. Questi guadagni di salute, pur prudenzialmente stimati, sono considerevoli, e riflettono l’ampiezza della popolazione che la riforma intercetta e l’efficacia dell’intervento sul disagio comune: il miglioramento della qualità della vita di decine di migliaia di persone affette da depressione e ansia, ponderato per la qualità e la durata, si traduce in alcune migliaia di anni di vita in buona salute guadagnati l’anno. La stima è riferita ai guadagni annui, e va intesa come il flusso di salute prodotto dalla riforma in ciascun anno di regime; la sua proiezione nel tempo, che ne accumula i guadagni lungo l’orizzonte di valutazione, è riservata alla modellazione dell’undicesima parte. I guadagni di salute così stimati costituiscono la base su cui si calcola il rapporto incrementale costo-efficacia.</w:t>
      </w:r>
    </w:p>
    <w:bookmarkEnd w:id="654"/>
    <w:bookmarkStart w:id="656" w:name="Xbc85fe831581a8a1539322b15ebedde1ff50ed3"/>
    <w:p>
      <w:pPr>
        <w:pStyle w:val="Heading2"/>
      </w:pPr>
      <w:r>
        <w:t xml:space="preserve">10.1.3 Il rapporto incrementale costo-efficacia e la soglia</w:t>
      </w:r>
    </w:p>
    <w:p>
      <w:pPr>
        <w:pStyle w:val="FirstParagraph"/>
      </w:pPr>
      <w:r>
        <w:t xml:space="preserve">Il rapporto incrementale costo-efficacia si calcola rapportando il costo della riforma ai guadagni di salute che essa produce, ed esprime il costo sostenuto per ciascun anno di vita in buona salute guadagnato. Il calcolo si conduce, in via prudenziale, rapportando il costo diretto lordo dell’investimento — senza dedurre i risparmi diretti — ai guadagni di salute, sì da ottenere un rapporto conservativo che non beneficia della deduzione dei risparmi; in via complementare, si calcola il rapporto netto, deducendo dal costo i risparmi diretti, che restituisce un rapporto più favorevole ma soggetto al caveat dell’IMPACT trial sulla significatività dei risparmi. La tabella che segue espone il rapporto incrementale costo-efficacia, lordo e netto, per ciascuno scenario, e lo confronta con la soglia convenzionale.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Rapporto incrementale costo-efficacia (€ per anno di vita in buona salute)</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r>
      <w:tr>
        <w:tc>
          <w:tcPr/>
          <w:p>
            <w:pPr>
              <w:pStyle w:val="Compact"/>
              <w:spacing w:after="40" w:before="40"/>
              <w:jc w:val="left"/>
            </w:pPr>
            <w:r>
              <w:rPr>
                <w:rFonts w:ascii="Cambria" w:hAnsi="Cambria" w:cs="Cambria" w:eastAsia="Cambria"/>
                <w:color w:val="1A1A1A"/>
                <w:sz w:val="18"/>
              </w:rPr>
              <w:t xml:space="preserve">Costo diretto lordo (mln €/anno)</w:t>
            </w:r>
          </w:p>
        </w:tc>
        <w:tc>
          <w:tcPr/>
          <w:p>
            <w:pPr>
              <w:pStyle w:val="Compact"/>
              <w:spacing w:after="40" w:before="40"/>
              <w:jc w:val="left"/>
            </w:pPr>
            <w:r>
              <w:rPr>
                <w:rFonts w:ascii="Cambria" w:hAnsi="Cambria" w:cs="Cambria" w:eastAsia="Cambria"/>
                <w:color w:val="1A1A1A"/>
                <w:sz w:val="18"/>
              </w:rPr>
              <w:t xml:space="preserve">~25</w:t>
            </w:r>
          </w:p>
        </w:tc>
        <w:tc>
          <w:tcPr/>
          <w:p>
            <w:pPr>
              <w:pStyle w:val="Compact"/>
              <w:spacing w:after="40" w:before="40"/>
              <w:jc w:val="left"/>
            </w:pPr>
            <w:r>
              <w:rPr>
                <w:rFonts w:ascii="Cambria" w:hAnsi="Cambria" w:cs="Cambria" w:eastAsia="Cambria"/>
                <w:color w:val="1A1A1A"/>
                <w:sz w:val="18"/>
              </w:rPr>
              <w:t xml:space="preserve">~38</w:t>
            </w:r>
          </w:p>
        </w:tc>
        <w:tc>
          <w:tcPr/>
          <w:p>
            <w:pPr>
              <w:pStyle w:val="Compact"/>
              <w:spacing w:after="40" w:before="40"/>
              <w:jc w:val="left"/>
            </w:pPr>
            <w:r>
              <w:rPr>
                <w:rFonts w:ascii="Cambria" w:hAnsi="Cambria" w:cs="Cambria" w:eastAsia="Cambria"/>
                <w:color w:val="1A1A1A"/>
                <w:sz w:val="18"/>
              </w:rPr>
              <w:t xml:space="preserve">~50</w:t>
            </w:r>
          </w:p>
        </w:tc>
      </w:tr>
      <w:tr>
        <w:tc>
          <w:tcPr>
            <w:shd w:val="clear" w:color="auto" w:fill="F4F1EC"/>
          </w:tcPr>
          <w:p>
            <w:pPr>
              <w:pStyle w:val="Compact"/>
              <w:spacing w:after="40" w:before="40"/>
              <w:jc w:val="left"/>
            </w:pPr>
            <w:r>
              <w:rPr>
                <w:rFonts w:ascii="Cambria" w:hAnsi="Cambria" w:cs="Cambria" w:eastAsia="Cambria"/>
                <w:color w:val="1A1A1A"/>
                <w:sz w:val="18"/>
              </w:rPr>
              <w:t xml:space="preserve">Guadagni di salute (anni di vita in buona salute, stima centrale)</w:t>
            </w:r>
          </w:p>
        </w:tc>
        <w:tc>
          <w:tcPr>
            <w:shd w:val="clear" w:color="auto" w:fill="F4F1EC"/>
          </w:tcPr>
          <w:p>
            <w:pPr>
              <w:pStyle w:val="Compact"/>
              <w:spacing w:after="40" w:before="40"/>
              <w:jc w:val="left"/>
            </w:pPr>
            <w:r>
              <w:rPr>
                <w:rFonts w:ascii="Cambria" w:hAnsi="Cambria" w:cs="Cambria" w:eastAsia="Cambria"/>
                <w:color w:val="1A1A1A"/>
                <w:sz w:val="18"/>
              </w:rPr>
              <w:t xml:space="preserve">~1.300</w:t>
            </w:r>
          </w:p>
        </w:tc>
        <w:tc>
          <w:tcPr>
            <w:shd w:val="clear" w:color="auto" w:fill="F4F1EC"/>
          </w:tcPr>
          <w:p>
            <w:pPr>
              <w:pStyle w:val="Compact"/>
              <w:spacing w:after="40" w:before="40"/>
              <w:jc w:val="left"/>
            </w:pPr>
            <w:r>
              <w:rPr>
                <w:rFonts w:ascii="Cambria" w:hAnsi="Cambria" w:cs="Cambria" w:eastAsia="Cambria"/>
                <w:color w:val="1A1A1A"/>
                <w:sz w:val="18"/>
              </w:rPr>
              <w:t xml:space="preserve">~2.200</w:t>
            </w:r>
          </w:p>
        </w:tc>
        <w:tc>
          <w:tcPr>
            <w:shd w:val="clear" w:color="auto" w:fill="F4F1EC"/>
          </w:tcPr>
          <w:p>
            <w:pPr>
              <w:pStyle w:val="Compact"/>
              <w:spacing w:after="40" w:before="40"/>
              <w:jc w:val="left"/>
            </w:pPr>
            <w:r>
              <w:rPr>
                <w:rFonts w:ascii="Cambria" w:hAnsi="Cambria" w:cs="Cambria" w:eastAsia="Cambria"/>
                <w:color w:val="1A1A1A"/>
                <w:sz w:val="18"/>
              </w:rPr>
              <w:t xml:space="preserve">~3.100</w:t>
            </w:r>
          </w:p>
        </w:tc>
      </w:tr>
      <w:tr>
        <w:tc>
          <w:tcPr/>
          <w:p>
            <w:pPr>
              <w:pStyle w:val="Compact"/>
              <w:spacing w:after="40" w:before="40"/>
              <w:jc w:val="left"/>
            </w:pPr>
            <w:r>
              <w:rPr>
                <w:rFonts w:ascii="Cambria" w:hAnsi="Cambria" w:cs="Cambria" w:eastAsia="Cambria"/>
                <w:color w:val="1A1A1A"/>
                <w:sz w:val="18"/>
              </w:rPr>
              <w:t xml:space="preserve">Rapporto lordo (€/anno di vita in buona salute)</w:t>
            </w:r>
          </w:p>
        </w:tc>
        <w:tc>
          <w:tcPr/>
          <w:p>
            <w:pPr>
              <w:pStyle w:val="Compact"/>
              <w:spacing w:after="40" w:before="40"/>
              <w:jc w:val="left"/>
            </w:pPr>
            <w:r>
              <w:rPr>
                <w:rFonts w:ascii="Cambria" w:hAnsi="Cambria" w:cs="Cambria" w:eastAsia="Cambria"/>
                <w:color w:val="1A1A1A"/>
                <w:sz w:val="18"/>
              </w:rPr>
              <w:t xml:space="preserve">~19.200</w:t>
            </w:r>
          </w:p>
        </w:tc>
        <w:tc>
          <w:tcPr/>
          <w:p>
            <w:pPr>
              <w:pStyle w:val="Compact"/>
              <w:spacing w:after="40" w:before="40"/>
              <w:jc w:val="left"/>
            </w:pPr>
            <w:r>
              <w:rPr>
                <w:rFonts w:ascii="Cambria" w:hAnsi="Cambria" w:cs="Cambria" w:eastAsia="Cambria"/>
                <w:color w:val="1A1A1A"/>
                <w:sz w:val="18"/>
              </w:rPr>
              <w:t xml:space="preserve">~17.300</w:t>
            </w:r>
          </w:p>
        </w:tc>
        <w:tc>
          <w:tcPr/>
          <w:p>
            <w:pPr>
              <w:pStyle w:val="Compact"/>
              <w:spacing w:after="40" w:before="40"/>
              <w:jc w:val="left"/>
            </w:pPr>
            <w:r>
              <w:rPr>
                <w:rFonts w:ascii="Cambria" w:hAnsi="Cambria" w:cs="Cambria" w:eastAsia="Cambria"/>
                <w:color w:val="1A1A1A"/>
                <w:sz w:val="18"/>
              </w:rPr>
              <w:t xml:space="preserve">~16.100</w:t>
            </w:r>
          </w:p>
        </w:tc>
      </w:tr>
      <w:tr>
        <w:tc>
          <w:tcPr>
            <w:shd w:val="clear" w:color="auto" w:fill="F4F1EC"/>
          </w:tcPr>
          <w:p>
            <w:pPr>
              <w:pStyle w:val="Compact"/>
              <w:spacing w:after="40" w:before="40"/>
              <w:jc w:val="left"/>
            </w:pPr>
            <w:r>
              <w:rPr>
                <w:rFonts w:ascii="Cambria" w:hAnsi="Cambria" w:cs="Cambria" w:eastAsia="Cambria"/>
                <w:color w:val="1A1A1A"/>
                <w:sz w:val="18"/>
              </w:rPr>
              <w:t xml:space="preserve">Rapporto netto dei risparmi diretti (con caveat IMPACT)</w:t>
            </w:r>
          </w:p>
        </w:tc>
        <w:tc>
          <w:tcPr>
            <w:shd w:val="clear" w:color="auto" w:fill="F4F1EC"/>
          </w:tcPr>
          <w:p>
            <w:pPr>
              <w:pStyle w:val="Compact"/>
              <w:spacing w:after="40" w:before="40"/>
              <w:jc w:val="left"/>
            </w:pPr>
            <w:r>
              <w:rPr>
                <w:rFonts w:ascii="Cambria" w:hAnsi="Cambria" w:cs="Cambria" w:eastAsia="Cambria"/>
                <w:color w:val="1A1A1A"/>
                <w:sz w:val="18"/>
              </w:rPr>
              <w:t xml:space="preserve">~3.800</w:t>
            </w:r>
          </w:p>
        </w:tc>
        <w:tc>
          <w:tcPr>
            <w:shd w:val="clear" w:color="auto" w:fill="F4F1EC"/>
          </w:tcPr>
          <w:p>
            <w:pPr>
              <w:pStyle w:val="Compact"/>
              <w:spacing w:after="40" w:before="40"/>
              <w:jc w:val="left"/>
            </w:pPr>
            <w:r>
              <w:rPr>
                <w:rFonts w:ascii="Cambria" w:hAnsi="Cambria" w:cs="Cambria" w:eastAsia="Cambria"/>
                <w:color w:val="1A1A1A"/>
                <w:sz w:val="18"/>
              </w:rPr>
              <w:t xml:space="preserve">~1.800</w:t>
            </w:r>
          </w:p>
        </w:tc>
        <w:tc>
          <w:tcPr>
            <w:shd w:val="clear" w:color="auto" w:fill="F4F1EC"/>
          </w:tcPr>
          <w:p>
            <w:pPr>
              <w:pStyle w:val="Compact"/>
              <w:spacing w:after="40" w:before="40"/>
              <w:jc w:val="left"/>
            </w:pPr>
            <w:r>
              <w:rPr>
                <w:rFonts w:ascii="Cambria" w:hAnsi="Cambria" w:cs="Cambria" w:eastAsia="Cambria"/>
                <w:color w:val="1A1A1A"/>
                <w:sz w:val="18"/>
              </w:rPr>
              <w:t xml:space="preserve">~prossimo a zero</w:t>
            </w:r>
          </w:p>
        </w:tc>
      </w:tr>
      <w:tr>
        <w:tc>
          <w:tcPr/>
          <w:p>
            <w:pPr>
              <w:pStyle w:val="Compact"/>
              <w:spacing w:after="40" w:before="40"/>
              <w:jc w:val="left"/>
            </w:pPr>
            <w:r>
              <w:rPr>
                <w:rFonts w:ascii="Cambria" w:hAnsi="Cambria" w:cs="Cambria" w:eastAsia="Cambria"/>
                <w:color w:val="1A1A1A"/>
                <w:sz w:val="18"/>
              </w:rPr>
              <w:t xml:space="preserve">Soglia convenzionale (€/anno di vita in buona salute)</w:t>
            </w:r>
          </w:p>
        </w:tc>
        <w:tc>
          <w:tcPr/>
          <w:p>
            <w:pPr>
              <w:pStyle w:val="Compact"/>
              <w:spacing w:after="40" w:before="40"/>
              <w:jc w:val="left"/>
            </w:pPr>
            <w:r>
              <w:rPr>
                <w:rFonts w:ascii="Cambria" w:hAnsi="Cambria" w:cs="Cambria" w:eastAsia="Cambria"/>
                <w:color w:val="1A1A1A"/>
                <w:sz w:val="18"/>
              </w:rPr>
              <w:t xml:space="preserve">25.000–40.000</w:t>
            </w:r>
          </w:p>
        </w:tc>
        <w:tc>
          <w:tcPr/>
          <w:p>
            <w:pPr>
              <w:pStyle w:val="Compact"/>
              <w:spacing w:after="40" w:before="40"/>
              <w:jc w:val="left"/>
            </w:pPr>
            <w:r>
              <w:rPr>
                <w:rFonts w:ascii="Cambria" w:hAnsi="Cambria" w:cs="Cambria" w:eastAsia="Cambria"/>
                <w:color w:val="1A1A1A"/>
                <w:sz w:val="18"/>
              </w:rPr>
              <w:t xml:space="preserve">25.000–40.000</w:t>
            </w:r>
          </w:p>
        </w:tc>
        <w:tc>
          <w:tcPr/>
          <w:p>
            <w:pPr>
              <w:pStyle w:val="Compact"/>
              <w:spacing w:after="40" w:before="40"/>
              <w:jc w:val="left"/>
            </w:pPr>
            <w:r>
              <w:rPr>
                <w:rFonts w:ascii="Cambria" w:hAnsi="Cambria" w:cs="Cambria" w:eastAsia="Cambria"/>
                <w:color w:val="1A1A1A"/>
                <w:sz w:val="18"/>
              </w:rPr>
              <w:t xml:space="preserve">25.000–40.000</w:t>
            </w:r>
          </w:p>
        </w:tc>
      </w:tr>
    </w:tbl>
    <w:p>
      <w:pPr>
        <w:pStyle w:val="BodyText"/>
      </w:pPr>
      <w:r>
        <w:rPr>
          <w:i/>
          <w:iCs/>
        </w:rPr>
        <w:t xml:space="preserve">Tabella 10.2 — Rapporto incrementale costo-efficacia della riforma, lordo e netto dei risparmi diretti, per scenario, a confronto con la soglia convenzionale. Il rapporto lordo, calcolato sul solo costo diretto senza deduzione dei risparmi, si colloca ampiamente al di sotto della soglia in tutti gli scenari; il rapporto netto, più favorevole, è soggetto al caveat dell’IMPACT trial sulla significatività dei risparmi diretti.</w:t>
      </w:r>
    </w:p>
    <w:p>
      <w:pPr>
        <w:pStyle w:val="BodyText"/>
      </w:pPr>
      <w:r>
        <w:t xml:space="preserve">Il rapporto incrementale costo-efficacia della riforma si colloca, in tutti gli scenari, ampiamente al di sotto della soglia convenzionale di costo-efficacia. Il rapporto lordo, calcolato in via prudenziale sul solo costo diretto dell’investimento senza dedurre i risparmi, è dell’ordine di diciassettemila euro per anno di vita in buona salute guadagnato nello scenario intermedio, di circa diciannovemiladuecento nello scenario conservativo e di circa sedicimilacento nello scenario espansivo — tutti valori nettamente inferiori alla soglia convenzionale di venticinque-quarantamila euro. Già su questa base prudenziale, che non beneficia della deduzione dei risparmi diretti, la riforma risulta dunque nettamente costo-efficace: essa produce salute a un costo per anno di vita in buona salute sensibilmente inferiore a quello che il sistema sanitario è convenzionalmente disposto a sostenere. Il rapporto netto, calcolato deducendo dal costo i risparmi diretti, è ancora più favorevole — dell’ordine di alcune migliaia di euro per anno di vita in buona salute, e prossimo a zero nello scenario espansivo, in cui i risparmi diretti eguagliano il costo — ma è soggetto al caveat dell’IMPACT trial, che non consente di considerare statisticamente significativi i risparmi diretti; per questo la valutazione si fonda prudenzialmente sul rapporto lordo, che è già ampiamente favorevole e che non dipende dai risparmi caveati.</w:t>
      </w:r>
      <w:r>
        <w:rPr>
          <w:rStyle w:val="FootnoteReference"/>
        </w:rPr>
        <w:footnoteReference w:id="286"/>
      </w:r>
    </w:p>
    <w:p>
      <w:pPr>
        <w:pStyle w:val="BodyText"/>
      </w:pPr>
      <w:r>
        <w:t xml:space="preserve">La netta costo-efficacia della riforma, stabilita sul rapporto lordo, è un risultato di notevole solidità, perché non dipende né dai risparmi diretti, soggetti a caveat, né dai benefici indiretti, ma soltanto dal rapporto tra il costo diretto dell’investimento e i guadagni di salute prodotti. Anche nell’ipotesi prudenziale in cui si trascurassero interamente i risparmi diretti e i benefici indiretti, e si valutasse la riforma sul solo terreno della costo-efficacia sanitaria, essa risulterebbe un impiego efficiente delle risorse, perché produce anni di vita in buona salute a un costo unitario nettamente inferiore alla soglia. Questo risultato fornisce alla valutazione integrata un primo, solido fondamento: la riforma è costo-efficace sul piano della salute indipendentemente dai risparmi e dai benefici, e la sua costo-efficacia è tanto più netta quanto più si considerino anche i risparmi diretti, che ne abbattono ulteriormente il rapporto. La costo-efficacia sanitaria è dunque il presidio più robusto del valore della riforma, perché poggia sul solo rapporto tra costo e salute, indenne dai caveat che gravano sulle altre grandezze.</w:t>
      </w:r>
    </w:p>
    <w:bookmarkEnd w:id="656"/>
    <w:bookmarkStart w:id="658" w:name="X2aee45c8f01ecbf4afec5ac34784a0448dadb8c"/>
    <w:p>
      <w:pPr>
        <w:pStyle w:val="Heading2"/>
      </w:pPr>
      <w:r>
        <w:t xml:space="preserve">10.1.4 Il valore monetizzato dei guadagni di salute e la fascia superiore di Chisholm</w:t>
      </w:r>
    </w:p>
    <w:p>
      <w:pPr>
        <w:pStyle w:val="FirstParagraph"/>
      </w:pPr>
      <w:r>
        <w:t xml:space="preserve">Stabilita la costo-efficacia della riforma, la valutazione costo-utilità procede a monetizzare il valore dei guadagni di salute, sì da poterlo comporre con i benefici economici e operare il passaggio alla fascia superiore di Chisholm. La monetizzazione del valore dei guadagni di salute si conduce valorizzando ciascun anno di vita in buona salute guadagnato al valore convenzionale che il sistema riconosce a un anno di vita in buona salute, prudenzialmente riferito a un valore intermedio dell’intervallo convenzionale, dell’ordine di trentamila euro per anno di vita in buona salute. Il valore monetizzato dei guadagni di salute è allora il prodotto del numero di anni di vita in buona salute guadagnati per il valore unitario, e rappresenta il valore monetario dei guadagni di salute che la riforma produce. La tabella che segue espone il valore monetizzato dei guadagni di salute per ciascuno scenario.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Valore monetizzato dei guadagni di salute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r>
      <w:tr>
        <w:tc>
          <w:tcPr/>
          <w:p>
            <w:pPr>
              <w:pStyle w:val="Compact"/>
              <w:spacing w:after="40" w:before="40"/>
              <w:jc w:val="left"/>
            </w:pPr>
            <w:r>
              <w:rPr>
                <w:rFonts w:ascii="Cambria" w:hAnsi="Cambria" w:cs="Cambria" w:eastAsia="Cambria"/>
                <w:color w:val="1A1A1A"/>
                <w:sz w:val="18"/>
              </w:rPr>
              <w:t xml:space="preserve">Anni di vita in buona salute guadagnati (stima centrale)</w:t>
            </w:r>
          </w:p>
        </w:tc>
        <w:tc>
          <w:tcPr/>
          <w:p>
            <w:pPr>
              <w:pStyle w:val="Compact"/>
              <w:spacing w:after="40" w:before="40"/>
              <w:jc w:val="left"/>
            </w:pPr>
            <w:r>
              <w:rPr>
                <w:rFonts w:ascii="Cambria" w:hAnsi="Cambria" w:cs="Cambria" w:eastAsia="Cambria"/>
                <w:color w:val="1A1A1A"/>
                <w:sz w:val="18"/>
              </w:rPr>
              <w:t xml:space="preserve">~1.300</w:t>
            </w:r>
          </w:p>
        </w:tc>
        <w:tc>
          <w:tcPr/>
          <w:p>
            <w:pPr>
              <w:pStyle w:val="Compact"/>
              <w:spacing w:after="40" w:before="40"/>
              <w:jc w:val="left"/>
            </w:pPr>
            <w:r>
              <w:rPr>
                <w:rFonts w:ascii="Cambria" w:hAnsi="Cambria" w:cs="Cambria" w:eastAsia="Cambria"/>
                <w:color w:val="1A1A1A"/>
                <w:sz w:val="18"/>
              </w:rPr>
              <w:t xml:space="preserve">~2.200</w:t>
            </w:r>
          </w:p>
        </w:tc>
        <w:tc>
          <w:tcPr/>
          <w:p>
            <w:pPr>
              <w:pStyle w:val="Compact"/>
              <w:spacing w:after="40" w:before="40"/>
              <w:jc w:val="left"/>
            </w:pPr>
            <w:r>
              <w:rPr>
                <w:rFonts w:ascii="Cambria" w:hAnsi="Cambria" w:cs="Cambria" w:eastAsia="Cambria"/>
                <w:color w:val="1A1A1A"/>
                <w:sz w:val="18"/>
              </w:rPr>
              <w:t xml:space="preserve">~3.100</w:t>
            </w:r>
          </w:p>
        </w:tc>
      </w:tr>
      <w:tr>
        <w:tc>
          <w:tcPr>
            <w:shd w:val="clear" w:color="auto" w:fill="F4F1EC"/>
          </w:tcPr>
          <w:p>
            <w:pPr>
              <w:pStyle w:val="Compact"/>
              <w:spacing w:after="40" w:before="40"/>
              <w:jc w:val="left"/>
            </w:pPr>
            <w:r>
              <w:rPr>
                <w:rFonts w:ascii="Cambria" w:hAnsi="Cambria" w:cs="Cambria" w:eastAsia="Cambria"/>
                <w:color w:val="1A1A1A"/>
                <w:sz w:val="18"/>
              </w:rPr>
              <w:t xml:space="preserve">Valore unitario convenzionale (€/anno di vita in buona salute)</w:t>
            </w:r>
          </w:p>
        </w:tc>
        <w:tc>
          <w:tcPr>
            <w:shd w:val="clear" w:color="auto" w:fill="F4F1EC"/>
          </w:tcPr>
          <w:p>
            <w:pPr>
              <w:pStyle w:val="Compact"/>
              <w:spacing w:after="40" w:before="40"/>
              <w:jc w:val="left"/>
            </w:pPr>
            <w:r>
              <w:rPr>
                <w:rFonts w:ascii="Cambria" w:hAnsi="Cambria" w:cs="Cambria" w:eastAsia="Cambria"/>
                <w:color w:val="1A1A1A"/>
                <w:sz w:val="18"/>
              </w:rPr>
              <w:t xml:space="preserve">~30.000</w:t>
            </w:r>
          </w:p>
        </w:tc>
        <w:tc>
          <w:tcPr>
            <w:shd w:val="clear" w:color="auto" w:fill="F4F1EC"/>
          </w:tcPr>
          <w:p>
            <w:pPr>
              <w:pStyle w:val="Compact"/>
              <w:spacing w:after="40" w:before="40"/>
              <w:jc w:val="left"/>
            </w:pPr>
            <w:r>
              <w:rPr>
                <w:rFonts w:ascii="Cambria" w:hAnsi="Cambria" w:cs="Cambria" w:eastAsia="Cambria"/>
                <w:color w:val="1A1A1A"/>
                <w:sz w:val="18"/>
              </w:rPr>
              <w:t xml:space="preserve">~30.000</w:t>
            </w:r>
          </w:p>
        </w:tc>
        <w:tc>
          <w:tcPr>
            <w:shd w:val="clear" w:color="auto" w:fill="F4F1EC"/>
          </w:tcPr>
          <w:p>
            <w:pPr>
              <w:pStyle w:val="Compact"/>
              <w:spacing w:after="40" w:before="40"/>
              <w:jc w:val="left"/>
            </w:pPr>
            <w:r>
              <w:rPr>
                <w:rFonts w:ascii="Cambria" w:hAnsi="Cambria" w:cs="Cambria" w:eastAsia="Cambria"/>
                <w:color w:val="1A1A1A"/>
                <w:sz w:val="18"/>
              </w:rPr>
              <w:t xml:space="preserve">~30.000</w:t>
            </w:r>
          </w:p>
        </w:tc>
      </w:tr>
      <w:tr>
        <w:tc>
          <w:tcPr/>
          <w:p>
            <w:pPr>
              <w:pStyle w:val="Compact"/>
              <w:spacing w:after="40" w:before="40"/>
              <w:jc w:val="left"/>
            </w:pPr>
            <w:r>
              <w:rPr>
                <w:rFonts w:ascii="Cambria" w:hAnsi="Cambria" w:cs="Cambria" w:eastAsia="Cambria"/>
                <w:color w:val="1A1A1A"/>
                <w:sz w:val="18"/>
              </w:rPr>
              <w:t xml:space="preserve">Valore monetizzato dei guadagni di salute (mln €/anno)</w:t>
            </w:r>
          </w:p>
        </w:tc>
        <w:tc>
          <w:tcPr/>
          <w:p>
            <w:pPr>
              <w:pStyle w:val="Compact"/>
              <w:spacing w:after="40" w:before="40"/>
              <w:jc w:val="left"/>
            </w:pPr>
            <w:r>
              <w:rPr>
                <w:rFonts w:ascii="Cambria" w:hAnsi="Cambria" w:cs="Cambria" w:eastAsia="Cambria"/>
                <w:color w:val="1A1A1A"/>
                <w:sz w:val="18"/>
              </w:rPr>
              <w:t xml:space="preserve">~39</w:t>
            </w:r>
          </w:p>
        </w:tc>
        <w:tc>
          <w:tcPr/>
          <w:p>
            <w:pPr>
              <w:pStyle w:val="Compact"/>
              <w:spacing w:after="40" w:before="40"/>
              <w:jc w:val="left"/>
            </w:pPr>
            <w:r>
              <w:rPr>
                <w:rFonts w:ascii="Cambria" w:hAnsi="Cambria" w:cs="Cambria" w:eastAsia="Cambria"/>
                <w:color w:val="1A1A1A"/>
                <w:sz w:val="18"/>
              </w:rPr>
              <w:t xml:space="preserve">~66</w:t>
            </w:r>
          </w:p>
        </w:tc>
        <w:tc>
          <w:tcPr/>
          <w:p>
            <w:pPr>
              <w:pStyle w:val="Compact"/>
              <w:spacing w:after="40" w:before="40"/>
              <w:jc w:val="left"/>
            </w:pPr>
            <w:r>
              <w:rPr>
                <w:rFonts w:ascii="Cambria" w:hAnsi="Cambria" w:cs="Cambria" w:eastAsia="Cambria"/>
                <w:color w:val="1A1A1A"/>
                <w:sz w:val="18"/>
              </w:rPr>
              <w:t xml:space="preserve">~93</w:t>
            </w:r>
          </w:p>
        </w:tc>
      </w:tr>
    </w:tbl>
    <w:p>
      <w:pPr>
        <w:pStyle w:val="BodyText"/>
      </w:pPr>
      <w:r>
        <w:rPr>
          <w:i/>
          <w:iCs/>
        </w:rPr>
        <w:t xml:space="preserve">Tabella 10.3 — Valore monetizzato dei guadagni di salute della riforma, per scenario, calcolato valorizzando ciascun anno di vita in buona salute guadagnato al valore convenzionale intermedio dell’intervallo. Il valore monetizzato è impiegato esclusivamente per il passaggio alla fascia superiore di Chisholm, e non è sommato ai benefici economici in un’unica cifra di saldo, ma vi è composto come dimensione distinta del valore.</w:t>
      </w:r>
    </w:p>
    <w:p>
      <w:pPr>
        <w:pStyle w:val="BodyText"/>
      </w:pPr>
      <w:r>
        <w:t xml:space="preserve">Il valore monetizzato dei guadagni di salute è dunque dell’ordine di sessantasei milioni di euro l’anno nello scenario intermedio, di circa trentanove milioni nello scenario conservativo e di circa novantatré milioni nello scenario espansivo. Questo valore, composto con i benefici economici indiretti stabiliti dalla nona parte, consente di calcolare il rapporto che include il valore dei guadagni di salute, e di operare il passaggio dalla fascia dei soli benefici economici alla fascia superiore di Chisholm. Il rapporto che include il valore della salute si calcola sommando, al numeratore, i benefici economici indiretti e il valore monetizzato dei guadagni di salute, e rapportando tale somma al costo diretto dell’investimento; esso esprime il rendimento complessivo della riforma quando si consideri, accanto ai benefici economici, anche il valore intrinseco della salute prodotta. La tabella che segue espone il passaggio dalla fascia dei soli benefici economici alla fascia che include il valore della salute.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Dal rendimento economico al rendimento con valore della salute</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r>
      <w:tr>
        <w:tc>
          <w:tcPr/>
          <w:p>
            <w:pPr>
              <w:pStyle w:val="Compact"/>
              <w:spacing w:after="40" w:before="40"/>
              <w:jc w:val="left"/>
            </w:pPr>
            <w:r>
              <w:rPr>
                <w:rFonts w:ascii="Cambria" w:hAnsi="Cambria" w:cs="Cambria" w:eastAsia="Cambria"/>
                <w:color w:val="1A1A1A"/>
                <w:sz w:val="18"/>
              </w:rPr>
              <w:t xml:space="preserve">Benefici economici indiretti (mln €/anno)</w:t>
            </w:r>
          </w:p>
        </w:tc>
        <w:tc>
          <w:tcPr/>
          <w:p>
            <w:pPr>
              <w:pStyle w:val="Compact"/>
              <w:spacing w:after="40" w:before="40"/>
              <w:jc w:val="left"/>
            </w:pPr>
            <w:r>
              <w:rPr>
                <w:rFonts w:ascii="Cambria" w:hAnsi="Cambria" w:cs="Cambria" w:eastAsia="Cambria"/>
                <w:color w:val="1A1A1A"/>
                <w:sz w:val="18"/>
              </w:rPr>
              <w:t xml:space="preserve">~65</w:t>
            </w:r>
          </w:p>
        </w:tc>
        <w:tc>
          <w:tcPr/>
          <w:p>
            <w:pPr>
              <w:pStyle w:val="Compact"/>
              <w:spacing w:after="40" w:before="40"/>
              <w:jc w:val="left"/>
            </w:pPr>
            <w:r>
              <w:rPr>
                <w:rFonts w:ascii="Cambria" w:hAnsi="Cambria" w:cs="Cambria" w:eastAsia="Cambria"/>
                <w:color w:val="1A1A1A"/>
                <w:sz w:val="18"/>
              </w:rPr>
              <w:t xml:space="preserve">~98</w:t>
            </w:r>
          </w:p>
        </w:tc>
        <w:tc>
          <w:tcPr/>
          <w:p>
            <w:pPr>
              <w:pStyle w:val="Compact"/>
              <w:spacing w:after="40" w:before="40"/>
              <w:jc w:val="left"/>
            </w:pPr>
            <w:r>
              <w:rPr>
                <w:rFonts w:ascii="Cambria" w:hAnsi="Cambria" w:cs="Cambria" w:eastAsia="Cambria"/>
                <w:color w:val="1A1A1A"/>
                <w:sz w:val="18"/>
              </w:rPr>
              <w:t xml:space="preserve">~139</w:t>
            </w:r>
          </w:p>
        </w:tc>
      </w:tr>
      <w:tr>
        <w:tc>
          <w:tcPr>
            <w:shd w:val="clear" w:color="auto" w:fill="F4F1EC"/>
          </w:tcPr>
          <w:p>
            <w:pPr>
              <w:pStyle w:val="Compact"/>
              <w:spacing w:after="40" w:before="40"/>
              <w:jc w:val="left"/>
            </w:pPr>
            <w:r>
              <w:rPr>
                <w:rFonts w:ascii="Cambria" w:hAnsi="Cambria" w:cs="Cambria" w:eastAsia="Cambria"/>
                <w:color w:val="1A1A1A"/>
                <w:sz w:val="18"/>
              </w:rPr>
              <w:t xml:space="preserve">Rapporto dei soli benefici economici (fascia Chisholm 2,3–3,0 : 1)</w:t>
            </w:r>
          </w:p>
        </w:tc>
        <w:tc>
          <w:tcPr>
            <w:shd w:val="clear" w:color="auto" w:fill="F4F1EC"/>
          </w:tcPr>
          <w:p>
            <w:pPr>
              <w:pStyle w:val="Compact"/>
              <w:spacing w:after="40" w:before="40"/>
              <w:jc w:val="left"/>
            </w:pPr>
            <w:r>
              <w:rPr>
                <w:rFonts w:ascii="Cambria" w:hAnsi="Cambria" w:cs="Cambria" w:eastAsia="Cambria"/>
                <w:color w:val="1A1A1A"/>
                <w:sz w:val="18"/>
              </w:rPr>
              <w:t xml:space="preserve">~2,6 : 1</w:t>
            </w:r>
          </w:p>
        </w:tc>
        <w:tc>
          <w:tcPr>
            <w:shd w:val="clear" w:color="auto" w:fill="F4F1EC"/>
          </w:tcPr>
          <w:p>
            <w:pPr>
              <w:pStyle w:val="Compact"/>
              <w:spacing w:after="40" w:before="40"/>
              <w:jc w:val="left"/>
            </w:pPr>
            <w:r>
              <w:rPr>
                <w:rFonts w:ascii="Cambria" w:hAnsi="Cambria" w:cs="Cambria" w:eastAsia="Cambria"/>
                <w:color w:val="1A1A1A"/>
                <w:sz w:val="18"/>
              </w:rPr>
              <w:t xml:space="preserve">~2,6 : 1</w:t>
            </w:r>
          </w:p>
        </w:tc>
        <w:tc>
          <w:tcPr>
            <w:shd w:val="clear" w:color="auto" w:fill="F4F1EC"/>
          </w:tcPr>
          <w:p>
            <w:pPr>
              <w:pStyle w:val="Compact"/>
              <w:spacing w:after="40" w:before="40"/>
              <w:jc w:val="left"/>
            </w:pPr>
            <w:r>
              <w:rPr>
                <w:rFonts w:ascii="Cambria" w:hAnsi="Cambria" w:cs="Cambria" w:eastAsia="Cambria"/>
                <w:color w:val="1A1A1A"/>
                <w:sz w:val="18"/>
              </w:rPr>
              <w:t xml:space="preserve">~2,8 : 1</w:t>
            </w:r>
          </w:p>
        </w:tc>
      </w:tr>
      <w:tr>
        <w:tc>
          <w:tcPr/>
          <w:p>
            <w:pPr>
              <w:pStyle w:val="Compact"/>
              <w:spacing w:after="40" w:before="40"/>
              <w:jc w:val="left"/>
            </w:pPr>
            <w:r>
              <w:rPr>
                <w:rFonts w:ascii="Cambria" w:hAnsi="Cambria" w:cs="Cambria" w:eastAsia="Cambria"/>
                <w:color w:val="1A1A1A"/>
                <w:sz w:val="18"/>
              </w:rPr>
              <w:t xml:space="preserve">Valore monetizzato dei guadagni di salute (mln €/anno)</w:t>
            </w:r>
          </w:p>
        </w:tc>
        <w:tc>
          <w:tcPr/>
          <w:p>
            <w:pPr>
              <w:pStyle w:val="Compact"/>
              <w:spacing w:after="40" w:before="40"/>
              <w:jc w:val="left"/>
            </w:pPr>
            <w:r>
              <w:rPr>
                <w:rFonts w:ascii="Cambria" w:hAnsi="Cambria" w:cs="Cambria" w:eastAsia="Cambria"/>
                <w:color w:val="1A1A1A"/>
                <w:sz w:val="18"/>
              </w:rPr>
              <w:t xml:space="preserve">~39</w:t>
            </w:r>
          </w:p>
        </w:tc>
        <w:tc>
          <w:tcPr/>
          <w:p>
            <w:pPr>
              <w:pStyle w:val="Compact"/>
              <w:spacing w:after="40" w:before="40"/>
              <w:jc w:val="left"/>
            </w:pPr>
            <w:r>
              <w:rPr>
                <w:rFonts w:ascii="Cambria" w:hAnsi="Cambria" w:cs="Cambria" w:eastAsia="Cambria"/>
                <w:color w:val="1A1A1A"/>
                <w:sz w:val="18"/>
              </w:rPr>
              <w:t xml:space="preserve">~66</w:t>
            </w:r>
          </w:p>
        </w:tc>
        <w:tc>
          <w:tcPr/>
          <w:p>
            <w:pPr>
              <w:pStyle w:val="Compact"/>
              <w:spacing w:after="40" w:before="40"/>
              <w:jc w:val="left"/>
            </w:pPr>
            <w:r>
              <w:rPr>
                <w:rFonts w:ascii="Cambria" w:hAnsi="Cambria" w:cs="Cambria" w:eastAsia="Cambria"/>
                <w:color w:val="1A1A1A"/>
                <w:sz w:val="18"/>
              </w:rPr>
              <w:t xml:space="preserve">~93</w:t>
            </w:r>
          </w:p>
        </w:tc>
      </w:tr>
      <w:tr>
        <w:tc>
          <w:tcPr>
            <w:shd w:val="clear" w:color="auto" w:fill="F4F1EC"/>
          </w:tcPr>
          <w:p>
            <w:pPr>
              <w:pStyle w:val="Compact"/>
              <w:spacing w:after="40" w:before="40"/>
              <w:jc w:val="left"/>
            </w:pPr>
            <w:r>
              <w:rPr>
                <w:rFonts w:ascii="Cambria" w:hAnsi="Cambria" w:cs="Cambria" w:eastAsia="Cambria"/>
                <w:color w:val="1A1A1A"/>
                <w:sz w:val="18"/>
              </w:rPr>
              <w:t xml:space="preserve">Benefici economici e valore della salute (mln €/anno)</w:t>
            </w:r>
          </w:p>
        </w:tc>
        <w:tc>
          <w:tcPr>
            <w:shd w:val="clear" w:color="auto" w:fill="F4F1EC"/>
          </w:tcPr>
          <w:p>
            <w:pPr>
              <w:pStyle w:val="Compact"/>
              <w:spacing w:after="40" w:before="40"/>
              <w:jc w:val="left"/>
            </w:pPr>
            <w:r>
              <w:rPr>
                <w:rFonts w:ascii="Cambria" w:hAnsi="Cambria" w:cs="Cambria" w:eastAsia="Cambria"/>
                <w:color w:val="1A1A1A"/>
                <w:sz w:val="18"/>
              </w:rPr>
              <w:t xml:space="preserve">~104</w:t>
            </w:r>
          </w:p>
        </w:tc>
        <w:tc>
          <w:tcPr>
            <w:shd w:val="clear" w:color="auto" w:fill="F4F1EC"/>
          </w:tcPr>
          <w:p>
            <w:pPr>
              <w:pStyle w:val="Compact"/>
              <w:spacing w:after="40" w:before="40"/>
              <w:jc w:val="left"/>
            </w:pPr>
            <w:r>
              <w:rPr>
                <w:rFonts w:ascii="Cambria" w:hAnsi="Cambria" w:cs="Cambria" w:eastAsia="Cambria"/>
                <w:color w:val="1A1A1A"/>
                <w:sz w:val="18"/>
              </w:rPr>
              <w:t xml:space="preserve">~164</w:t>
            </w:r>
          </w:p>
        </w:tc>
        <w:tc>
          <w:tcPr>
            <w:shd w:val="clear" w:color="auto" w:fill="F4F1EC"/>
          </w:tcPr>
          <w:p>
            <w:pPr>
              <w:pStyle w:val="Compact"/>
              <w:spacing w:after="40" w:before="40"/>
              <w:jc w:val="left"/>
            </w:pPr>
            <w:r>
              <w:rPr>
                <w:rFonts w:ascii="Cambria" w:hAnsi="Cambria" w:cs="Cambria" w:eastAsia="Cambria"/>
                <w:color w:val="1A1A1A"/>
                <w:sz w:val="18"/>
              </w:rPr>
              <w:t xml:space="preserve">~232</w:t>
            </w:r>
          </w:p>
        </w:tc>
      </w:tr>
      <w:tr>
        <w:tc>
          <w:tcPr/>
          <w:p>
            <w:pPr>
              <w:pStyle w:val="Compact"/>
              <w:spacing w:after="40" w:before="40"/>
              <w:jc w:val="left"/>
            </w:pPr>
            <w:r>
              <w:rPr>
                <w:rFonts w:ascii="Cambria" w:hAnsi="Cambria" w:cs="Cambria" w:eastAsia="Cambria"/>
                <w:color w:val="1A1A1A"/>
                <w:sz w:val="18"/>
              </w:rPr>
              <w:t xml:space="preserve">Rapporto con valore della salute (fascia Chisholm 3,3–5,7 : 1)</w:t>
            </w:r>
          </w:p>
        </w:tc>
        <w:tc>
          <w:tcPr/>
          <w:p>
            <w:pPr>
              <w:pStyle w:val="Compact"/>
              <w:spacing w:after="40" w:before="40"/>
              <w:jc w:val="left"/>
            </w:pPr>
            <w:r>
              <w:rPr>
                <w:rFonts w:ascii="Cambria" w:hAnsi="Cambria" w:cs="Cambria" w:eastAsia="Cambria"/>
                <w:color w:val="1A1A1A"/>
                <w:sz w:val="18"/>
              </w:rPr>
              <w:t xml:space="preserve">~4,2 : 1</w:t>
            </w:r>
          </w:p>
        </w:tc>
        <w:tc>
          <w:tcPr/>
          <w:p>
            <w:pPr>
              <w:pStyle w:val="Compact"/>
              <w:spacing w:after="40" w:before="40"/>
              <w:jc w:val="left"/>
            </w:pPr>
            <w:r>
              <w:rPr>
                <w:rFonts w:ascii="Cambria" w:hAnsi="Cambria" w:cs="Cambria" w:eastAsia="Cambria"/>
                <w:color w:val="1A1A1A"/>
                <w:sz w:val="18"/>
              </w:rPr>
              <w:t xml:space="preserve">~4,3 : 1</w:t>
            </w:r>
          </w:p>
        </w:tc>
        <w:tc>
          <w:tcPr/>
          <w:p>
            <w:pPr>
              <w:pStyle w:val="Compact"/>
              <w:spacing w:after="40" w:before="40"/>
              <w:jc w:val="left"/>
            </w:pPr>
            <w:r>
              <w:rPr>
                <w:rFonts w:ascii="Cambria" w:hAnsi="Cambria" w:cs="Cambria" w:eastAsia="Cambria"/>
                <w:color w:val="1A1A1A"/>
                <w:sz w:val="18"/>
              </w:rPr>
              <w:t xml:space="preserve">~4,6 : 1</w:t>
            </w:r>
          </w:p>
        </w:tc>
      </w:tr>
    </w:tbl>
    <w:p>
      <w:pPr>
        <w:pStyle w:val="BodyText"/>
      </w:pPr>
      <w:r>
        <w:rPr>
          <w:i/>
          <w:iCs/>
        </w:rPr>
        <w:t xml:space="preserve">Tabella 10.4 — Passaggio dal rendimento dei soli benefici economici al rendimento che include il valore dei guadagni di salute, per scenario. Il rapporto dei soli benefici economici si colloca nella prima fascia di Chisholm (2,3–3,0 a 1); l’aggiunta del valore monetizzato dei guadagni di salute sospinge il rapporto nella fascia superiore (3,3–5,7 a 1). Le grandezze sono composte per il calcolo del rapporto, non fuse con i risparmi diretti, che restano distinti.</w:t>
      </w:r>
    </w:p>
    <w:p>
      <w:pPr>
        <w:pStyle w:val="BodyText"/>
      </w:pPr>
      <w:r>
        <w:t xml:space="preserve">Il passaggio dalla fascia dei soli benefici economici alla fascia che include il valore della salute restituisce un esito di notevole rilievo, e in tutto coerente con il duplice intervallo di Chisholm. Il rapporto dei soli benefici economici indiretti rispetto al costo, stabilito dalla nona parte, è dell’ordine di 2,6 a 1 negli scenari conservativo e intermedio e di 2,8 a 1 nello scenario espansivo, e si colloca entro la prima fascia di Chisholm, compresa tra 2,3 e 3,0 a 1. L’aggiunta del valore monetizzato dei guadagni di salute — sessantasei milioni nello scenario intermedio — porta il numeratore da novantotto a centosessantaquattro milioni nello scenario intermedio, e il rapporto da 2,6 a circa 4,3 a 1; e analogamente, il rapporto sale a circa 4,2 a 1 nello scenario conservativo e a circa 4,6 a 1 nello scenario espansivo. Tutti questi rapporti, comprensivi del valore della salute, si collocano entro la seconda fascia di Chisholm, compresa tra 3,3 e 5,7 a 1. Il passaggio dalla prima alla seconda fascia, operato dall’aggiunta del valore della salute, è dunque confermato dai dati: la riforma rende, sui soli benefici economici, entro la prima fascia di Chisholm, e, con l’aggiunta del valore della salute, entro la seconda fascia, esattamente come il duplice intervallo della letteratura internazionale prevede. Questa duplice collocazione entro le due fasce di Chisholm è una seconda convergenza, dopo quella stabilita nella nona parte, tra la stima costruita per questa riforma e il rendimento validato dalla letteratura, e fornisce alla valutazione un ulteriore presidio di robustezza.</w:t>
      </w:r>
      <w:r>
        <w:rPr>
          <w:rStyle w:val="FootnoteReference"/>
        </w:rPr>
        <w:footnoteReference w:id="287"/>
      </w:r>
    </w:p>
    <w:bookmarkEnd w:id="658"/>
    <w:bookmarkStart w:id="660" w:name="X3ee80474da9fecad4b11d0f615eb5a01dc43557"/>
    <w:p>
      <w:pPr>
        <w:pStyle w:val="Heading2"/>
      </w:pPr>
      <w:r>
        <w:t xml:space="preserve">10.1.5 La graduazione, le bande prudenziali e i confini della valutazione costo-utilità</w:t>
      </w:r>
    </w:p>
    <w:p>
      <w:pPr>
        <w:pStyle w:val="FirstParagraph"/>
      </w:pPr>
      <w:r>
        <w:t xml:space="preserve">La solidità della valutazione costo-utilità va dichiarata, distinguendone le componenti. La costo-efficacia della riforma, stabilita sul rapporto lordo tra costo diretto e guadagni di salute, è sostenuta da evidenza solida sull’efficacia degli interventi psicologici per il disagio comune, graduata da moderata ad alta nella sesta parte, e dalla stima prudenziale dei guadagni di salute; essa è il risultato più robusto della voce, perché non dipende né dai risparmi diretti né dai benefici indiretti, ma soltanto dal rapporto tra costo e salute. La monetizzazione del valore dei guadagni di salute, e il conseguente rapporto con valore della salute, dipendono invece dal valore convenzionale attribuito all’anno di vita in buona salute, che è una convenzione e non una grandezza osservata, e vanno perciò letti come stime soggette alla scelta del valore unitario; la loro robustezza è condizionata da tale scelta, dichiarata e prudenzialmente riferita al valore intermedio dell’intervallo. Le bande prudenziali dei guadagni di salute, riportate nella stima, si propagano ai rapporti, che vanno letti come valori centrali di intervalli; e la collocazione dei rapporti entro le fasce di Chisholm è verificata sui valori centrali, con la consapevolezza che le bande ne ampliano l’intervallo.</w:t>
      </w:r>
      <w:r>
        <w:rPr>
          <w:rStyle w:val="FootnoteReference"/>
        </w:rPr>
        <w:footnoteReference w:id="288"/>
      </w:r>
    </w:p>
    <w:p>
      <w:pPr>
        <w:pStyle w:val="BodyText"/>
      </w:pPr>
      <w:r>
        <w:t xml:space="preserve">Da questa graduazione discendono i confini della valutazione costo-utilità e il suo rapporto con le altre grandezze. In primo luogo, i guadagni di salute e il loro valore monetizzato sono una grandezza distinta tanto dai risparmi fiscali diretti quanto dai benefici sociali indiretti: essi misurano il valore intrinseco della salute prodotta, che non coincide né con il risparmio per il bilancio sanitario né con il beneficio per il tessuto economico, ma costituisce una terza dimensione del valore della riforma, quella di salute. In secondo luogo, il valore monetizzato dei guadagni di salute è composto con i benefici economici per il solo calcolo del rapporto che include il valore della salute, e non è sommato ai risparmi diretti in un’unica cifra di saldo: il saldo consolidato, sviluppato nella quinta voce, terrà distinte le tre dimensioni — fiscale, sociale e di salute — affiancandole senza fonderle. In terzo luogo, la valutazione costo-utilità è riferita ai guadagni di salute annui, e la loro proiezione nel tempo, che ne accumula il valore lungo l’orizzonte, è riservata alla modellazione dell’undicesima parte. La valutazione costo-utilità stabilisce così la dimensione di salute del valore della riforma, netta nella sua costo-efficacia e coerente, nel suo rapporto con valore della salute, con la fascia superiore di Chisholm, e la consegna alla valutazione integrata come terza dimensione, distinta dalla fiscale e dalla sociale. Stabilita la dimensione di salute, la valutazione integrata può ora muovere verso l’analisi di impatto di bilancio, che ne valuta la sostenibilità finanziaria per il bilancio sanitario regionale.</w:t>
      </w:r>
    </w:p>
    <w:bookmarkEnd w:id="660"/>
    <w:bookmarkEnd w:id="661"/>
    <w:bookmarkStart w:id="672" w:name="X33e09b4046bc8eb2134545b26993cd3a214bcfd"/>
    <w:p>
      <w:pPr>
        <w:pStyle w:val="Heading2"/>
      </w:pPr>
      <w:r>
        <w:t xml:space="preserve">10.2 L’analisi di impatto di bilancio per il Servizio Sanitario Regionale pugliese</w:t>
      </w:r>
    </w:p>
    <w:p>
      <w:pPr>
        <w:pStyle w:val="FirstParagraph"/>
      </w:pPr>
      <w:r>
        <w:rPr>
          <w:i/>
          <w:iCs/>
        </w:rPr>
        <w:t xml:space="preserve">La seconda voce della valutazione integrata conduce l’analisi di impatto di bilancio, che misura l’effetto della riforma sul bilancio sanitario regionale nel tempo, e ne valuta la sostenibilità finanziaria. A differenza della valutazione costo-utilità, che misura l’efficienza dell’intervento sul piano della salute, l’analisi di impatto di bilancio misura la sua sostenibilità sul piano finanziario: non quanto la riforma renda per ogni euro speso o per ogni anno di vita guadagnato, ma quanto essa pesi sul bilancio sanitario regionale anno per anno, e se tale peso sia sostenibile. La voce proietta la traiettoria pluriennale dell’impatto della riforma sul bilancio sanitario, distinguendo il graduale crescere dei costi e il ritardato manifestarsi dei risparmi, espone la variante prudenziale in cui i risparmi non sono computati, in ossequio al caveat dell’IMPACT trial, e valuta la sostenibilità dell’impatto rispetto alla dimensione del bilancio sanitario regionale. La voce stabilisce così la sostenibilità finanziaria della riforma, complementare alla sua costo-efficacia, e ne dimostra il peso contenuto sul bilancio sanitario.</w:t>
      </w:r>
    </w:p>
    <w:bookmarkStart w:id="663" w:name="X995e43d20ba13efa4ff39532576446af40dd02a"/>
    <w:p>
      <w:pPr>
        <w:pStyle w:val="Heading2"/>
      </w:pPr>
      <w:r>
        <w:t xml:space="preserve">10.2.1 La logica dell’analisi di impatto di bilancio</w:t>
      </w:r>
    </w:p>
    <w:p>
      <w:pPr>
        <w:pStyle w:val="FirstParagraph"/>
      </w:pPr>
      <w:r>
        <w:t xml:space="preserve">L’analisi di impatto di bilancio è lo strumento con cui la valutazione economica in sanità misura l’effetto di un intervento sul bilancio di un sistema sanitario in un orizzonte temporale definito, e ne valuta la sostenibilità finanziaria. Essa risponde a una domanda diversa da quella della valutazione costo-efficacia: non se l’intervento sia efficiente nel produrre salute, ma se il sistema possa permettersi di finanziarlo, ossia se l’impatto dell’intervento sul bilancio sia compatibile con le risorse disponibili. La differenza tra le due analisi è sostanziale: un intervento può essere costo-efficace — produrre salute a un costo unitario inferiore alla soglia — e tuttavia comportare un impatto di bilancio rilevante, se la popolazione che lo riceve è ampia; e viceversa, un intervento poco costo-efficace può avere un impatto di bilancio contenuto, se la popolazione è ristretta. La valutazione completa di un intervento richiede perciò entrambe le analisi: la valutazione costo-efficacia, per l’efficienza, e l’analisi di impatto di bilancio, per la sostenibilità.</w:t>
      </w:r>
      <w:r>
        <w:rPr>
          <w:rStyle w:val="FootnoteReference"/>
        </w:rPr>
        <w:footnoteReference w:id="289"/>
      </w:r>
    </w:p>
    <w:p>
      <w:pPr>
        <w:pStyle w:val="BodyText"/>
      </w:pPr>
      <w:r>
        <w:t xml:space="preserve">L’analisi di impatto di bilancio misura, per ciascun anno dell’orizzonte di valutazione, la differenza tra i costi che l’intervento comporta per il bilancio e i risparmi che esso genera per il medesimo bilancio, e ne ricava l’impatto netto sul bilancio anno per anno, oltre all’impatto cumulato lungo l’orizzonte. Nel caso della riforma del primo livello psicologico, il bilancio interessato è quello sanitario regionale, ossia il Fondo Sanitario Regionale della Puglia, e l’analisi misura l’effetto della riforma su tale bilancio: i costi sono quelli diretti dell’investimento, stabiliti dalla settima parte; i risparmi sono quelli fiscali diretti per il bilancio sanitario, stabiliti dall’ottava parte. L’impatto netto sul bilancio sanitario è la differenza tra i costi e i risparmi, e rappresenta l’onere netto che la riforma comporta per il bilancio sanitario in ciascun anno. L’analisi di impatto di bilancio è dunque condotta sul solo bilancio sanitario regionale, e impiega le sole grandezze fiscali dirette — i costi diretti e i risparmi diretti — escludendo i benefici indiretti, che gravano su altri bilanci e non incidono sul bilancio sanitario regionale.</w:t>
      </w:r>
    </w:p>
    <w:p>
      <w:pPr>
        <w:pStyle w:val="BodyText"/>
      </w:pPr>
      <w:r>
        <w:t xml:space="preserve">Una specificità governa l’analisi di impatto di bilancio della riforma, e ne determina la traiettoria temporale: lo sfasamento tra il manifestarsi dei costi e il manifestarsi dei risparmi. I costi diretti dell’investimento si manifestano fin dall’avvio della riforma, e crescono gradualmente man mano che il servizio si stabilisce — gli incarichi sono conferiti, le strutture allestite, la leva digitale dispiegata — fino a raggiungere il livello di regime; i risparmi diretti, invece, si manifestano con ritardo, perché la presa in carico dei pazienti deve prima produrre i suoi effetti clinici, e questi devono poi tradursi in minori accessi, minori prescrizioni inappropriate e minore mobilità passiva, in un processo che richiede tempo. Ne consegue che, nei primi anni della riforma, i costi eccedono i risparmi, e l’impatto netto sul bilancio è positivo — la riforma comporta un onere per il bilancio; man mano che i risparmi maturano e si avvicinano ai costi, l’impatto netto si riduce, fino ad avvicinarsi al pareggio a regime, quando i risparmi diretti quasi eguagliano i costi. La traiettoria temporale dell’impatto di bilancio è dunque quella di un onere che cresce nei primi anni, raggiunge un massimo e poi declina verso il pareggio, e va proiettata su un orizzonte pluriennale per coglierne l’andamento.</w:t>
      </w:r>
    </w:p>
    <w:bookmarkEnd w:id="663"/>
    <w:bookmarkStart w:id="665" w:name="X398a25c182cc4fe35ec075c1df71b0ce241d036"/>
    <w:p>
      <w:pPr>
        <w:pStyle w:val="Heading2"/>
      </w:pPr>
      <w:r>
        <w:t xml:space="preserve">10.2.2 La traiettoria pluriennale: il crescere dei costi e il ritardo dei risparmi</w:t>
      </w:r>
    </w:p>
    <w:p>
      <w:pPr>
        <w:pStyle w:val="FirstParagraph"/>
      </w:pPr>
      <w:r>
        <w:t xml:space="preserve">La traiettoria pluriennale dell’impatto di bilancio si proietta su un orizzonte quinquennale, che è l’orizzonte convenzionale dell’analisi di impatto di bilancio, sufficiente a cogliere il passaggio dalla fase di avvio alla fase di regime. La proiezione è condotta per lo scenario intermedio, che è lo scenario di riferimento, e modella il graduale crescere dei costi — dal livello parziale del primo anno al livello di regime del terzo anno in poi — e il ritardato manifestarsi dei risparmi — dal livello minimo del primo anno al livello di regime del quinto anno. La tabella che segue espone la traiettoria quinquennale dell’impatto di bilancio per lo scenario intermedio.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Traiettoria quinquennale (scenario intermedio,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Anno 1</w:t>
            </w:r>
          </w:p>
        </w:tc>
        <w:tc>
          <w:tcPr>
            <w:shd w:val="clear" w:color="auto" w:fill="16264B"/>
          </w:tcPr>
          <w:p>
            <w:pPr>
              <w:pStyle w:val="Compact"/>
              <w:spacing w:after="40" w:before="40"/>
              <w:jc w:val="left"/>
            </w:pPr>
            <w:r>
              <w:rPr>
                <w:rFonts w:ascii="Cambria" w:hAnsi="Cambria" w:cs="Cambria" w:eastAsia="Cambria"/>
                <w:b/>
                <w:bCs/>
                <w:color w:val="FFFFFF"/>
                <w:sz w:val="18"/>
              </w:rPr>
              <w:t xml:space="preserve">Anno 2</w:t>
            </w:r>
          </w:p>
        </w:tc>
        <w:tc>
          <w:tcPr>
            <w:shd w:val="clear" w:color="auto" w:fill="16264B"/>
          </w:tcPr>
          <w:p>
            <w:pPr>
              <w:pStyle w:val="Compact"/>
              <w:spacing w:after="40" w:before="40"/>
              <w:jc w:val="left"/>
            </w:pPr>
            <w:r>
              <w:rPr>
                <w:rFonts w:ascii="Cambria" w:hAnsi="Cambria" w:cs="Cambria" w:eastAsia="Cambria"/>
                <w:b/>
                <w:bCs/>
                <w:color w:val="FFFFFF"/>
                <w:sz w:val="18"/>
              </w:rPr>
              <w:t xml:space="preserve">Anno 3</w:t>
            </w:r>
          </w:p>
        </w:tc>
        <w:tc>
          <w:tcPr>
            <w:shd w:val="clear" w:color="auto" w:fill="16264B"/>
          </w:tcPr>
          <w:p>
            <w:pPr>
              <w:pStyle w:val="Compact"/>
              <w:spacing w:after="40" w:before="40"/>
              <w:jc w:val="left"/>
            </w:pPr>
            <w:r>
              <w:rPr>
                <w:rFonts w:ascii="Cambria" w:hAnsi="Cambria" w:cs="Cambria" w:eastAsia="Cambria"/>
                <w:b/>
                <w:bCs/>
                <w:color w:val="FFFFFF"/>
                <w:sz w:val="18"/>
              </w:rPr>
              <w:t xml:space="preserve">Anno 4</w:t>
            </w:r>
          </w:p>
        </w:tc>
        <w:tc>
          <w:tcPr>
            <w:shd w:val="clear" w:color="auto" w:fill="16264B"/>
          </w:tcPr>
          <w:p>
            <w:pPr>
              <w:pStyle w:val="Compact"/>
              <w:spacing w:after="40" w:before="40"/>
              <w:jc w:val="left"/>
            </w:pPr>
            <w:r>
              <w:rPr>
                <w:rFonts w:ascii="Cambria" w:hAnsi="Cambria" w:cs="Cambria" w:eastAsia="Cambria"/>
                <w:b/>
                <w:bCs/>
                <w:color w:val="FFFFFF"/>
                <w:sz w:val="18"/>
              </w:rPr>
              <w:t xml:space="preserve">Anno 5</w:t>
            </w:r>
          </w:p>
        </w:tc>
      </w:tr>
      <w:tr>
        <w:tc>
          <w:tcPr/>
          <w:p>
            <w:pPr>
              <w:pStyle w:val="Compact"/>
              <w:spacing w:after="40" w:before="40"/>
              <w:jc w:val="left"/>
            </w:pPr>
            <w:r>
              <w:rPr>
                <w:rFonts w:ascii="Cambria" w:hAnsi="Cambria" w:cs="Cambria" w:eastAsia="Cambria"/>
                <w:color w:val="1A1A1A"/>
                <w:sz w:val="18"/>
              </w:rPr>
              <w:t xml:space="preserve">Costo diretto lordo dell’investimento</w:t>
            </w:r>
          </w:p>
        </w:tc>
        <w:tc>
          <w:tcPr/>
          <w:p>
            <w:pPr>
              <w:pStyle w:val="Compact"/>
              <w:spacing w:after="40" w:before="40"/>
              <w:jc w:val="left"/>
            </w:pPr>
            <w:r>
              <w:rPr>
                <w:rFonts w:ascii="Cambria" w:hAnsi="Cambria" w:cs="Cambria" w:eastAsia="Cambria"/>
                <w:color w:val="1A1A1A"/>
                <w:sz w:val="18"/>
              </w:rPr>
              <w:t xml:space="preserve">22</w:t>
            </w:r>
          </w:p>
        </w:tc>
        <w:tc>
          <w:tcPr/>
          <w:p>
            <w:pPr>
              <w:pStyle w:val="Compact"/>
              <w:spacing w:after="40" w:before="40"/>
              <w:jc w:val="left"/>
            </w:pPr>
            <w:r>
              <w:rPr>
                <w:rFonts w:ascii="Cambria" w:hAnsi="Cambria" w:cs="Cambria" w:eastAsia="Cambria"/>
                <w:color w:val="1A1A1A"/>
                <w:sz w:val="18"/>
              </w:rPr>
              <w:t xml:space="preserve">32</w:t>
            </w:r>
          </w:p>
        </w:tc>
        <w:tc>
          <w:tcPr/>
          <w:p>
            <w:pPr>
              <w:pStyle w:val="Compact"/>
              <w:spacing w:after="40" w:before="40"/>
              <w:jc w:val="left"/>
            </w:pPr>
            <w:r>
              <w:rPr>
                <w:rFonts w:ascii="Cambria" w:hAnsi="Cambria" w:cs="Cambria" w:eastAsia="Cambria"/>
                <w:color w:val="1A1A1A"/>
                <w:sz w:val="18"/>
              </w:rPr>
              <w:t xml:space="preserve">38</w:t>
            </w:r>
          </w:p>
        </w:tc>
        <w:tc>
          <w:tcPr/>
          <w:p>
            <w:pPr>
              <w:pStyle w:val="Compact"/>
              <w:spacing w:after="40" w:before="40"/>
              <w:jc w:val="left"/>
            </w:pPr>
            <w:r>
              <w:rPr>
                <w:rFonts w:ascii="Cambria" w:hAnsi="Cambria" w:cs="Cambria" w:eastAsia="Cambria"/>
                <w:color w:val="1A1A1A"/>
                <w:sz w:val="18"/>
              </w:rPr>
              <w:t xml:space="preserve">38</w:t>
            </w:r>
          </w:p>
        </w:tc>
        <w:tc>
          <w:tcPr/>
          <w:p>
            <w:pPr>
              <w:pStyle w:val="Compact"/>
              <w:spacing w:after="40" w:before="40"/>
              <w:jc w:val="left"/>
            </w:pPr>
            <w:r>
              <w:rPr>
                <w:rFonts w:ascii="Cambria" w:hAnsi="Cambria" w:cs="Cambria" w:eastAsia="Cambria"/>
                <w:color w:val="1A1A1A"/>
                <w:sz w:val="18"/>
              </w:rPr>
              <w:t xml:space="preserve">38</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 diretti (con ritardo di maturazione)</w:t>
            </w:r>
          </w:p>
        </w:tc>
        <w:tc>
          <w:tcPr>
            <w:shd w:val="clear" w:color="auto" w:fill="F4F1EC"/>
          </w:tcPr>
          <w:p>
            <w:pPr>
              <w:pStyle w:val="Compact"/>
              <w:spacing w:after="40" w:before="40"/>
              <w:jc w:val="left"/>
            </w:pPr>
            <w:r>
              <w:rPr>
                <w:rFonts w:ascii="Cambria" w:hAnsi="Cambria" w:cs="Cambria" w:eastAsia="Cambria"/>
                <w:color w:val="1A1A1A"/>
                <w:sz w:val="18"/>
              </w:rPr>
              <w:t xml:space="preserve">2</w:t>
            </w:r>
          </w:p>
        </w:tc>
        <w:tc>
          <w:tcPr>
            <w:shd w:val="clear" w:color="auto" w:fill="F4F1EC"/>
          </w:tcPr>
          <w:p>
            <w:pPr>
              <w:pStyle w:val="Compact"/>
              <w:spacing w:after="40" w:before="40"/>
              <w:jc w:val="left"/>
            </w:pPr>
            <w:r>
              <w:rPr>
                <w:rFonts w:ascii="Cambria" w:hAnsi="Cambria" w:cs="Cambria" w:eastAsia="Cambria"/>
                <w:color w:val="1A1A1A"/>
                <w:sz w:val="18"/>
              </w:rPr>
              <w:t xml:space="preserve">9</w:t>
            </w:r>
          </w:p>
        </w:tc>
        <w:tc>
          <w:tcPr>
            <w:shd w:val="clear" w:color="auto" w:fill="F4F1EC"/>
          </w:tcPr>
          <w:p>
            <w:pPr>
              <w:pStyle w:val="Compact"/>
              <w:spacing w:after="40" w:before="40"/>
              <w:jc w:val="left"/>
            </w:pPr>
            <w:r>
              <w:rPr>
                <w:rFonts w:ascii="Cambria" w:hAnsi="Cambria" w:cs="Cambria" w:eastAsia="Cambria"/>
                <w:color w:val="1A1A1A"/>
                <w:sz w:val="18"/>
              </w:rPr>
              <w:t xml:space="preserve">18</w:t>
            </w:r>
          </w:p>
        </w:tc>
        <w:tc>
          <w:tcPr>
            <w:shd w:val="clear" w:color="auto" w:fill="F4F1EC"/>
          </w:tcPr>
          <w:p>
            <w:pPr>
              <w:pStyle w:val="Compact"/>
              <w:spacing w:after="40" w:before="40"/>
              <w:jc w:val="left"/>
            </w:pPr>
            <w:r>
              <w:rPr>
                <w:rFonts w:ascii="Cambria" w:hAnsi="Cambria" w:cs="Cambria" w:eastAsia="Cambria"/>
                <w:color w:val="1A1A1A"/>
                <w:sz w:val="18"/>
              </w:rPr>
              <w:t xml:space="preserve">27</w:t>
            </w:r>
          </w:p>
        </w:tc>
        <w:tc>
          <w:tcPr>
            <w:shd w:val="clear" w:color="auto" w:fill="F4F1EC"/>
          </w:tcPr>
          <w:p>
            <w:pPr>
              <w:pStyle w:val="Compact"/>
              <w:spacing w:after="40" w:before="40"/>
              <w:jc w:val="left"/>
            </w:pPr>
            <w:r>
              <w:rPr>
                <w:rFonts w:ascii="Cambria" w:hAnsi="Cambria" w:cs="Cambria" w:eastAsia="Cambria"/>
                <w:color w:val="1A1A1A"/>
                <w:sz w:val="18"/>
              </w:rPr>
              <w:t xml:space="preserve">34</w:t>
            </w:r>
          </w:p>
        </w:tc>
      </w:tr>
      <w:tr>
        <w:tc>
          <w:tcPr/>
          <w:p>
            <w:pPr>
              <w:pStyle w:val="Compact"/>
              <w:spacing w:after="40" w:before="40"/>
              <w:jc w:val="left"/>
            </w:pPr>
            <w:r>
              <w:rPr>
                <w:rFonts w:ascii="Cambria" w:hAnsi="Cambria" w:cs="Cambria" w:eastAsia="Cambria"/>
                <w:color w:val="1A1A1A"/>
                <w:sz w:val="18"/>
              </w:rPr>
              <w:t xml:space="preserve">Impatto netto sul bilancio sanitario regionale</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+23</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+11</w:t>
            </w:r>
          </w:p>
        </w:tc>
        <w:tc>
          <w:tcPr/>
          <w:p>
            <w:pPr>
              <w:pStyle w:val="Compact"/>
              <w:spacing w:after="40" w:before="40"/>
              <w:jc w:val="left"/>
            </w:pPr>
            <w:r>
              <w:rPr>
                <w:rFonts w:ascii="Cambria" w:hAnsi="Cambria" w:cs="Cambria" w:eastAsia="Cambria"/>
                <w:color w:val="1A1A1A"/>
                <w:sz w:val="18"/>
              </w:rPr>
              <w:t xml:space="preserve">+4</w:t>
            </w:r>
          </w:p>
        </w:tc>
      </w:tr>
    </w:tbl>
    <w:p>
      <w:pPr>
        <w:pStyle w:val="BodyText"/>
      </w:pPr>
      <w:r>
        <w:rPr>
          <w:i/>
          <w:iCs/>
        </w:rPr>
        <w:t xml:space="preserve">Tabella 10.5 — Traiettoria quinquennale dell’impatto di bilancio della riforma sul bilancio sanitario regionale, scenario intermedio. Il costo cresce dal livello parziale del primo anno al regime dal terzo anno; i risparmi maturano con ritardo, dal livello minimo del primo anno al regime del quinto. L’impatto netto cresce nei primi anni, raggiunge un massimo nel secondo e declina verso il pareggio dal quinto anno.</w:t>
      </w:r>
    </w:p>
    <w:p>
      <w:pPr>
        <w:pStyle w:val="BodyText"/>
      </w:pPr>
      <w:r>
        <w:t xml:space="preserve">La traiettoria quinquennale rivela l’andamento caratteristico dell’impatto di bilancio della riforma. Nel primo anno, in cui il servizio si stabilisce e i risparmi sono ancora minimi, l’impatto netto sul bilancio sanitario è dell’ordine di venti milioni di euro, perché il costo parziale di ventidue milioni è quasi interamente a carico del bilancio, essendo i risparmi appena di due milioni. Nel secondo anno, in cui il costo cresce a trentadue milioni mentre i risparmi salgono soltanto a nove, l’impatto netto raggiunge il suo massimo, dell’ordine di ventitré milioni. Dal terzo anno, in cui il costo raggiunge il regime di trentotto milioni e i risparmi maturano a diciotto, l’impatto netto comincia a declinare, a venti milioni; e prosegue nel suo declino al quarto anno, a undici milioni, man mano che i risparmi salgono a ventisette, e al quinto anno, a quattro milioni, quando i risparmi raggiungono il regime di trentaquattro milioni e quasi eguagliano il costo. La traiettoria è dunque quella di un onere che cresce nei primi due anni, raggiunge il massimo nel secondo, e poi declina costantemente verso il pareggio, che è quasi raggiunto al quinto anno, quando l’impatto netto si riduce a una frazione del costo. L’impatto cumulato del quinquennio, somma degli impatti netti annui, è dell’ordine di settantotto milioni di euro, concentrato nei primi anni e via via assottigliato negli ultimi.</w:t>
      </w:r>
      <w:r>
        <w:rPr>
          <w:rStyle w:val="FootnoteReference"/>
        </w:rPr>
        <w:footnoteReference w:id="290"/>
      </w:r>
    </w:p>
    <w:p>
      <w:pPr>
        <w:pStyle w:val="BodyText"/>
      </w:pPr>
      <w:r>
        <w:t xml:space="preserve">La lettura della traiettoria va condotta tenendo presente la sua dinamica, che ne è la caratteristica più rilevante per il decisore. L’impatto di bilancio della riforma non è costante, ma decrescente nel tempo: l’onere maggiore si concentra nei primi anni, quando i costi sono già rilevanti ma i risparmi non sono ancora maturati, e si assottiglia progressivamente man mano che i risparmi maturano, fino ad avvicinarsi al pareggio a regime. Questa dinamica ha un’implicazione importante per la sostenibilità: l’onere che la riforma comporta per il bilancio sanitario è massimo nella fase di avvio, e tende ad annullarsi nella fase di regime, sì che la riforma, a regime, è quasi neutra per il bilancio sanitario — i risparmi che essa genera quasi eguagliano i costi che essa comporta. La sostenibilità della riforma va dunque valutata distinguendo la fase di avvio, in cui l’onere è maggiore e va finanziato, e la fase di regime, in cui l’onere è minimo e la riforma quasi si autofinanzia attraverso i risparmi che genera. Il pareggio quasi raggiunto al quinto anno è coerente con il saldo fiscale diretto stabilito dall’ottava parte, dell’ordine del pareggio a regime, e ne costituisce la proiezione temporale.</w:t>
      </w:r>
    </w:p>
    <w:bookmarkEnd w:id="665"/>
    <w:bookmarkStart w:id="667" w:name="Xe2f1738c9ad6183b4679dc82d71b47da8e73d24"/>
    <w:p>
      <w:pPr>
        <w:pStyle w:val="Heading2"/>
      </w:pPr>
      <w:r>
        <w:t xml:space="preserve">10.2.3 La variante prudenziale senza risparmi diretti e il caveat dell’IMPACT trial</w:t>
      </w:r>
    </w:p>
    <w:p>
      <w:pPr>
        <w:pStyle w:val="FirstParagraph"/>
      </w:pPr>
      <w:r>
        <w:t xml:space="preserve">La traiettoria esposta computa i risparmi diretti che la riforma genera per il bilancio sanitario; ma il caveat dell’IMPACT trial, preservato nell’intero studio, impone di non considerare statisticamente significativi i risparmi sui costi sanitari diretti, e dunque di valutare la riforma anche nell’ipotesi prudenziale in cui tali risparmi non si manifestino. La variante prudenziale dell’analisi di impatto di bilancio computa perciò il solo costo diretto dell’investimento, senza dedurre alcun risparmio, e restituisce l’impatto netto sul bilancio sanitario nell’ipotesi più cautelativa. La tabella che segue confronta la variante centrale, che computa i risparmi, con la variante prudenziale, che li esclude, esponendo per ciascuna l’impatto netto annuo e l’impatto cumulato del quinquennio.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131"/>
        <w:gridCol w:w="1131"/>
        <w:gridCol w:w="1131"/>
        <w:gridCol w:w="1131"/>
        <w:gridCol w:w="1131"/>
        <w:gridCol w:w="1131"/>
        <w:gridCol w:w="1131"/>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Confronto delle varianti (impatto netto sul bilancio, mln €)</w:t>
            </w:r>
          </w:p>
        </w:tc>
        <w:tc>
          <w:tcPr>
            <w:shd w:val="clear" w:color="auto" w:fill="16264B"/>
          </w:tcPr>
          <w:p>
            <w:pPr>
              <w:pStyle w:val="Compact"/>
              <w:spacing w:after="40" w:before="40"/>
              <w:jc w:val="left"/>
            </w:pPr>
            <w:r>
              <w:rPr>
                <w:rFonts w:ascii="Cambria" w:hAnsi="Cambria" w:cs="Cambria" w:eastAsia="Cambria"/>
                <w:b/>
                <w:bCs/>
                <w:color w:val="FFFFFF"/>
                <w:sz w:val="18"/>
              </w:rPr>
              <w:t xml:space="preserve">Anno 1</w:t>
            </w:r>
          </w:p>
        </w:tc>
        <w:tc>
          <w:tcPr>
            <w:shd w:val="clear" w:color="auto" w:fill="16264B"/>
          </w:tcPr>
          <w:p>
            <w:pPr>
              <w:pStyle w:val="Compact"/>
              <w:spacing w:after="40" w:before="40"/>
              <w:jc w:val="left"/>
            </w:pPr>
            <w:r>
              <w:rPr>
                <w:rFonts w:ascii="Cambria" w:hAnsi="Cambria" w:cs="Cambria" w:eastAsia="Cambria"/>
                <w:b/>
                <w:bCs/>
                <w:color w:val="FFFFFF"/>
                <w:sz w:val="18"/>
              </w:rPr>
              <w:t xml:space="preserve">Anno 2</w:t>
            </w:r>
          </w:p>
        </w:tc>
        <w:tc>
          <w:tcPr>
            <w:shd w:val="clear" w:color="auto" w:fill="16264B"/>
          </w:tcPr>
          <w:p>
            <w:pPr>
              <w:pStyle w:val="Compact"/>
              <w:spacing w:after="40" w:before="40"/>
              <w:jc w:val="left"/>
            </w:pPr>
            <w:r>
              <w:rPr>
                <w:rFonts w:ascii="Cambria" w:hAnsi="Cambria" w:cs="Cambria" w:eastAsia="Cambria"/>
                <w:b/>
                <w:bCs/>
                <w:color w:val="FFFFFF"/>
                <w:sz w:val="18"/>
              </w:rPr>
              <w:t xml:space="preserve">Anno 3</w:t>
            </w:r>
          </w:p>
        </w:tc>
        <w:tc>
          <w:tcPr>
            <w:shd w:val="clear" w:color="auto" w:fill="16264B"/>
          </w:tcPr>
          <w:p>
            <w:pPr>
              <w:pStyle w:val="Compact"/>
              <w:spacing w:after="40" w:before="40"/>
              <w:jc w:val="left"/>
            </w:pPr>
            <w:r>
              <w:rPr>
                <w:rFonts w:ascii="Cambria" w:hAnsi="Cambria" w:cs="Cambria" w:eastAsia="Cambria"/>
                <w:b/>
                <w:bCs/>
                <w:color w:val="FFFFFF"/>
                <w:sz w:val="18"/>
              </w:rPr>
              <w:t xml:space="preserve">Anno 4</w:t>
            </w:r>
          </w:p>
        </w:tc>
        <w:tc>
          <w:tcPr>
            <w:shd w:val="clear" w:color="auto" w:fill="16264B"/>
          </w:tcPr>
          <w:p>
            <w:pPr>
              <w:pStyle w:val="Compact"/>
              <w:spacing w:after="40" w:before="40"/>
              <w:jc w:val="left"/>
            </w:pPr>
            <w:r>
              <w:rPr>
                <w:rFonts w:ascii="Cambria" w:hAnsi="Cambria" w:cs="Cambria" w:eastAsia="Cambria"/>
                <w:b/>
                <w:bCs/>
                <w:color w:val="FFFFFF"/>
                <w:sz w:val="18"/>
              </w:rPr>
              <w:t xml:space="preserve">Anno 5</w:t>
            </w:r>
          </w:p>
        </w:tc>
        <w:tc>
          <w:tcPr>
            <w:shd w:val="clear" w:color="auto" w:fill="16264B"/>
          </w:tcPr>
          <w:p>
            <w:pPr>
              <w:pStyle w:val="Compact"/>
              <w:spacing w:after="40" w:before="40"/>
              <w:jc w:val="left"/>
            </w:pPr>
            <w:r>
              <w:rPr>
                <w:rFonts w:ascii="Cambria" w:hAnsi="Cambria" w:cs="Cambria" w:eastAsia="Cambria"/>
                <w:b/>
                <w:bCs/>
                <w:color w:val="FFFFFF"/>
                <w:sz w:val="18"/>
              </w:rPr>
              <w:t xml:space="preserve">Cumulato</w:t>
            </w:r>
          </w:p>
        </w:tc>
      </w:tr>
      <w:tr>
        <w:tc>
          <w:tcPr/>
          <w:p>
            <w:pPr>
              <w:pStyle w:val="Compact"/>
              <w:spacing w:after="40" w:before="40"/>
              <w:jc w:val="left"/>
            </w:pPr>
            <w:r>
              <w:rPr>
                <w:rFonts w:ascii="Cambria" w:hAnsi="Cambria" w:cs="Cambria" w:eastAsia="Cambria"/>
                <w:color w:val="1A1A1A"/>
                <w:sz w:val="18"/>
              </w:rPr>
              <w:t xml:space="preserve">Variante centrale (con risparmi diretti)</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+23</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+11</w:t>
            </w:r>
          </w:p>
        </w:tc>
        <w:tc>
          <w:tcPr/>
          <w:p>
            <w:pPr>
              <w:pStyle w:val="Compact"/>
              <w:spacing w:after="40" w:before="40"/>
              <w:jc w:val="left"/>
            </w:pPr>
            <w:r>
              <w:rPr>
                <w:rFonts w:ascii="Cambria" w:hAnsi="Cambria" w:cs="Cambria" w:eastAsia="Cambria"/>
                <w:color w:val="1A1A1A"/>
                <w:sz w:val="18"/>
              </w:rPr>
              <w:t xml:space="preserve">+4</w:t>
            </w:r>
          </w:p>
        </w:tc>
        <w:tc>
          <w:tcPr/>
          <w:p>
            <w:pPr>
              <w:pStyle w:val="Compact"/>
              <w:spacing w:after="40" w:before="40"/>
              <w:jc w:val="left"/>
            </w:pPr>
            <w:r>
              <w:rPr>
                <w:rFonts w:ascii="Cambria" w:hAnsi="Cambria" w:cs="Cambria" w:eastAsia="Cambria"/>
                <w:color w:val="1A1A1A"/>
                <w:sz w:val="18"/>
              </w:rPr>
              <w:t xml:space="preserve">~78</w:t>
            </w:r>
          </w:p>
        </w:tc>
      </w:tr>
      <w:tr>
        <w:tc>
          <w:tcPr>
            <w:shd w:val="clear" w:color="auto" w:fill="F4F1EC"/>
          </w:tcPr>
          <w:p>
            <w:pPr>
              <w:pStyle w:val="Compact"/>
              <w:spacing w:after="40" w:before="40"/>
              <w:jc w:val="left"/>
            </w:pPr>
            <w:r>
              <w:rPr>
                <w:rFonts w:ascii="Cambria" w:hAnsi="Cambria" w:cs="Cambria" w:eastAsia="Cambria"/>
                <w:color w:val="1A1A1A"/>
                <w:sz w:val="18"/>
              </w:rPr>
              <w:t xml:space="preserve">Variante prudenziale (senza risparmi, caveat IMPACT)</w:t>
            </w:r>
          </w:p>
        </w:tc>
        <w:tc>
          <w:tcPr>
            <w:shd w:val="clear" w:color="auto" w:fill="F4F1EC"/>
          </w:tcPr>
          <w:p>
            <w:pPr>
              <w:pStyle w:val="Compact"/>
              <w:spacing w:after="40" w:before="40"/>
              <w:jc w:val="left"/>
            </w:pPr>
            <w:r>
              <w:rPr>
                <w:rFonts w:ascii="Cambria" w:hAnsi="Cambria" w:cs="Cambria" w:eastAsia="Cambria"/>
                <w:color w:val="1A1A1A"/>
                <w:sz w:val="18"/>
              </w:rPr>
              <w:t xml:space="preserve">+22</w:t>
            </w:r>
          </w:p>
        </w:tc>
        <w:tc>
          <w:tcPr>
            <w:shd w:val="clear" w:color="auto" w:fill="F4F1EC"/>
          </w:tcPr>
          <w:p>
            <w:pPr>
              <w:pStyle w:val="Compact"/>
              <w:spacing w:after="40" w:before="40"/>
              <w:jc w:val="left"/>
            </w:pPr>
            <w:r>
              <w:rPr>
                <w:rFonts w:ascii="Cambria" w:hAnsi="Cambria" w:cs="Cambria" w:eastAsia="Cambria"/>
                <w:color w:val="1A1A1A"/>
                <w:sz w:val="18"/>
              </w:rPr>
              <w:t xml:space="preserve">+32</w:t>
            </w:r>
          </w:p>
        </w:tc>
        <w:tc>
          <w:tcPr>
            <w:shd w:val="clear" w:color="auto" w:fill="F4F1EC"/>
          </w:tcPr>
          <w:p>
            <w:pPr>
              <w:pStyle w:val="Compact"/>
              <w:spacing w:after="40" w:before="40"/>
              <w:jc w:val="left"/>
            </w:pPr>
            <w:r>
              <w:rPr>
                <w:rFonts w:ascii="Cambria" w:hAnsi="Cambria" w:cs="Cambria" w:eastAsia="Cambria"/>
                <w:color w:val="1A1A1A"/>
                <w:sz w:val="18"/>
              </w:rPr>
              <w:t xml:space="preserve">+38</w:t>
            </w:r>
          </w:p>
        </w:tc>
        <w:tc>
          <w:tcPr>
            <w:shd w:val="clear" w:color="auto" w:fill="F4F1EC"/>
          </w:tcPr>
          <w:p>
            <w:pPr>
              <w:pStyle w:val="Compact"/>
              <w:spacing w:after="40" w:before="40"/>
              <w:jc w:val="left"/>
            </w:pPr>
            <w:r>
              <w:rPr>
                <w:rFonts w:ascii="Cambria" w:hAnsi="Cambria" w:cs="Cambria" w:eastAsia="Cambria"/>
                <w:color w:val="1A1A1A"/>
                <w:sz w:val="18"/>
              </w:rPr>
              <w:t xml:space="preserve">+38</w:t>
            </w:r>
          </w:p>
        </w:tc>
        <w:tc>
          <w:tcPr>
            <w:shd w:val="clear" w:color="auto" w:fill="F4F1EC"/>
          </w:tcPr>
          <w:p>
            <w:pPr>
              <w:pStyle w:val="Compact"/>
              <w:spacing w:after="40" w:before="40"/>
              <w:jc w:val="left"/>
            </w:pPr>
            <w:r>
              <w:rPr>
                <w:rFonts w:ascii="Cambria" w:hAnsi="Cambria" w:cs="Cambria" w:eastAsia="Cambria"/>
                <w:color w:val="1A1A1A"/>
                <w:sz w:val="18"/>
              </w:rPr>
              <w:t xml:space="preserve">+38</w:t>
            </w:r>
          </w:p>
        </w:tc>
        <w:tc>
          <w:tcPr>
            <w:shd w:val="clear" w:color="auto" w:fill="F4F1EC"/>
          </w:tcPr>
          <w:p>
            <w:pPr>
              <w:pStyle w:val="Compact"/>
              <w:spacing w:after="40" w:before="40"/>
              <w:jc w:val="left"/>
            </w:pPr>
            <w:r>
              <w:rPr>
                <w:rFonts w:ascii="Cambria" w:hAnsi="Cambria" w:cs="Cambria" w:eastAsia="Cambria"/>
                <w:color w:val="1A1A1A"/>
                <w:sz w:val="18"/>
              </w:rPr>
              <w:t xml:space="preserve">~168</w:t>
            </w:r>
          </w:p>
        </w:tc>
      </w:tr>
    </w:tbl>
    <w:p>
      <w:pPr>
        <w:pStyle w:val="BodyText"/>
      </w:pPr>
      <w:r>
        <w:rPr>
          <w:i/>
          <w:iCs/>
        </w:rPr>
        <w:t xml:space="preserve">Tabella 10.6 — Confronto tra la variante centrale dell’analisi di impatto di bilancio, che computa i risparmi diretti, e la variante prudenziale, che li esclude in ossequio al caveat dell’IMPACT trial. Nella variante prudenziale, l’impatto netto coincide con il costo lordo e resta costante a regime; l’impatto cumulato del quinquennio è dell’ordine di centosessantotto milioni, contro i settantotto della variante centrale.</w:t>
      </w:r>
    </w:p>
    <w:p>
      <w:pPr>
        <w:pStyle w:val="BodyText"/>
      </w:pPr>
      <w:r>
        <w:t xml:space="preserve">La variante prudenziale restituisce un quadro più oneroso, ma istruttivo. In assenza dei risparmi diretti, l’impatto netto sul bilancio sanitario coincide con il costo lordo dell’investimento, e resta dunque costante a regime, dell’ordine di trentotto milioni di euro l’anno nello scenario intermedio; l’impatto cumulato del quinquennio è dell’ordine di centosessantotto milioni di euro, contro i settantotto della variante centrale. La differenza tra le due varianti — novanta milioni di euro cumulati nel quinquennio — è precisamente il valore dei risparmi diretti che la variante centrale computa e la prudenziale esclude, ed è la misura di quanto il caveat dell’IMPACT trial incida sull’analisi di impatto di bilancio. La valutazione della sostenibilità va condotta considerando entrambe le varianti: la centrale, che riflette l’aspettativa che i risparmi si manifestino, e la prudenziale, che cautelativamente li esclude. La sostenibilità della riforma, come si vedrà, è confermata in entrambe le varianti, perché anche l’impatto della variante prudenziale — il costo lordo a regime — resta contenuto rispetto alla dimensione del bilancio sanitario regionale.</w:t>
      </w:r>
      <w:r>
        <w:rPr>
          <w:rStyle w:val="FootnoteReference"/>
        </w:rPr>
        <w:footnoteReference w:id="291"/>
      </w:r>
    </w:p>
    <w:p>
      <w:pPr>
        <w:pStyle w:val="BodyText"/>
      </w:pPr>
      <w:r>
        <w:t xml:space="preserve">Il caveat dell’IMPACT trial va inteso nella sua portata precisa, per non trarne conclusioni eccessive. Il caveat afferma che i risparmi sui costi sanitari diretti, pur presenti negli studi, non raggiungono la significatività statistica, ossia che non si può escludere con sufficiente confidenza che essi siano nulli; esso non afferma che i risparmi siano nulli, ma che la loro entità è incerta e potrebbe essere modesta. La variante prudenziale, escludendo interamente i risparmi, adotta l’ipotesi più cautelativa compatibile con il caveat — quella in cui i risparmi sono nulli — e fornisce perciò il limite superiore dell’impatto di bilancio. L’impatto reale sul bilancio sanitario si colloca verosimilmente tra la variante centrale e la prudenziale, perché i risparmi reali, ancorché incerti nella loro significatività, sono verosimilmente positivi ancorché di entità non certa. La valutazione della sostenibilità, fondandosi anche sulla variante prudenziale, è dunque condotta sul limite superiore dell’impatto, e la sua conclusione di sostenibilità è perciò robusta rispetto al caveat.</w:t>
      </w:r>
    </w:p>
    <w:bookmarkEnd w:id="667"/>
    <w:bookmarkStart w:id="669" w:name="X022bd4c72cb598abe3ebf3aeff02f28133bf5e8"/>
    <w:p>
      <w:pPr>
        <w:pStyle w:val="Heading2"/>
      </w:pPr>
      <w:r>
        <w:t xml:space="preserve">10.2.4 La sostenibilità finanziaria per il bilancio sanitario regionale</w:t>
      </w:r>
    </w:p>
    <w:p>
      <w:pPr>
        <w:pStyle w:val="FirstParagraph"/>
      </w:pPr>
      <w:r>
        <w:t xml:space="preserve">La valutazione della sostenibilità finanziaria della riforma si conduce rapportando l’impatto di bilancio alla dimensione del bilancio sanitario regionale, ossia al Fondo Sanitario Regionale della Puglia, e valutando se l’impatto sia compatibile con tale dimensione. Il Fondo Sanitario Regionale della Puglia è dell’ordine di alcuni miliardi di euro l’anno, riflettendo la dimensione della popolazione regionale e la spesa sanitaria pro capite; e l’impatto della riforma, sia nella variante centrale sia nella prudenziale, va commisurato a tale ordine di grandezza. La tabella che segue espone la sostenibilità dell’impatto, rapportando le grandezze dell’impatto a regime alla dimensione del Fondo Sanitario Regionale.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Sostenibilità per il bilancio sanitario regionale (a regime)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Quota del Fondo Sanitario Regionale</w:t>
            </w:r>
          </w:p>
        </w:tc>
      </w:tr>
      <w:tr>
        <w:tc>
          <w:tcPr/>
          <w:p>
            <w:pPr>
              <w:pStyle w:val="Compact"/>
              <w:spacing w:after="40" w:before="40"/>
              <w:jc w:val="left"/>
            </w:pPr>
            <w:r>
              <w:rPr>
                <w:rFonts w:ascii="Cambria" w:hAnsi="Cambria" w:cs="Cambria" w:eastAsia="Cambria"/>
                <w:color w:val="1A1A1A"/>
                <w:sz w:val="18"/>
              </w:rPr>
              <w:t xml:space="preserve">Fondo Sanitario Regionale della Puglia (ordine di grandezza)</w:t>
            </w:r>
          </w:p>
        </w:tc>
        <w:tc>
          <w:tcPr/>
          <w:p>
            <w:pPr>
              <w:pStyle w:val="Compact"/>
              <w:spacing w:after="40" w:before="40"/>
              <w:jc w:val="left"/>
            </w:pPr>
            <w:r>
              <w:rPr>
                <w:rFonts w:ascii="Cambria" w:hAnsi="Cambria" w:cs="Cambria" w:eastAsia="Cambria"/>
                <w:color w:val="1A1A1A"/>
                <w:sz w:val="18"/>
              </w:rPr>
              <w:t xml:space="preserve">~8.000</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color w:val="1A1A1A"/>
                <w:sz w:val="18"/>
              </w:rPr>
              <w:t xml:space="preserve">Costo diretto lordo a regime (scenario intermedio)</w:t>
            </w:r>
          </w:p>
        </w:tc>
        <w:tc>
          <w:tcPr>
            <w:shd w:val="clear" w:color="auto" w:fill="F4F1EC"/>
          </w:tcPr>
          <w:p>
            <w:pPr>
              <w:pStyle w:val="Compact"/>
              <w:spacing w:after="40" w:before="40"/>
              <w:jc w:val="left"/>
            </w:pPr>
            <w:r>
              <w:rPr>
                <w:rFonts w:ascii="Cambria" w:hAnsi="Cambria" w:cs="Cambria" w:eastAsia="Cambria"/>
                <w:color w:val="1A1A1A"/>
                <w:sz w:val="18"/>
              </w:rPr>
              <w:t xml:space="preserve">~38</w:t>
            </w:r>
          </w:p>
        </w:tc>
        <w:tc>
          <w:tcPr>
            <w:shd w:val="clear" w:color="auto" w:fill="F4F1EC"/>
          </w:tcPr>
          <w:p>
            <w:pPr>
              <w:pStyle w:val="Compact"/>
              <w:spacing w:after="40" w:before="40"/>
              <w:jc w:val="left"/>
            </w:pPr>
            <w:r>
              <w:rPr>
                <w:rFonts w:ascii="Cambria" w:hAnsi="Cambria" w:cs="Cambria" w:eastAsia="Cambria"/>
                <w:color w:val="1A1A1A"/>
                <w:sz w:val="18"/>
              </w:rPr>
              <w:t xml:space="preserve">~0,5%</w:t>
            </w:r>
          </w:p>
        </w:tc>
      </w:tr>
      <w:tr>
        <w:tc>
          <w:tcPr/>
          <w:p>
            <w:pPr>
              <w:pStyle w:val="Compact"/>
              <w:spacing w:after="40" w:before="40"/>
              <w:jc w:val="left"/>
            </w:pPr>
            <w:r>
              <w:rPr>
                <w:rFonts w:ascii="Cambria" w:hAnsi="Cambria" w:cs="Cambria" w:eastAsia="Cambria"/>
                <w:color w:val="1A1A1A"/>
                <w:sz w:val="18"/>
              </w:rPr>
              <w:t xml:space="preserve">Impatto netto a regime, variante centrale (con risparmi)</w:t>
            </w:r>
          </w:p>
        </w:tc>
        <w:tc>
          <w:tcPr/>
          <w:p>
            <w:pPr>
              <w:pStyle w:val="Compact"/>
              <w:spacing w:after="40" w:before="40"/>
              <w:jc w:val="left"/>
            </w:pPr>
            <w:r>
              <w:rPr>
                <w:rFonts w:ascii="Cambria" w:hAnsi="Cambria" w:cs="Cambria" w:eastAsia="Cambria"/>
                <w:color w:val="1A1A1A"/>
                <w:sz w:val="18"/>
              </w:rPr>
              <w:t xml:space="preserve">~4</w:t>
            </w:r>
          </w:p>
        </w:tc>
        <w:tc>
          <w:tcPr/>
          <w:p>
            <w:pPr>
              <w:pStyle w:val="Compact"/>
              <w:spacing w:after="40" w:before="40"/>
              <w:jc w:val="left"/>
            </w:pPr>
            <w:r>
              <w:rPr>
                <w:rFonts w:ascii="Cambria" w:hAnsi="Cambria" w:cs="Cambria" w:eastAsia="Cambria"/>
                <w:color w:val="1A1A1A"/>
                <w:sz w:val="18"/>
              </w:rPr>
              <w:t xml:space="preserve">~0,05%</w:t>
            </w:r>
          </w:p>
        </w:tc>
      </w:tr>
      <w:tr>
        <w:tc>
          <w:tcPr>
            <w:shd w:val="clear" w:color="auto" w:fill="F4F1EC"/>
          </w:tcPr>
          <w:p>
            <w:pPr>
              <w:pStyle w:val="Compact"/>
              <w:spacing w:after="40" w:before="40"/>
              <w:jc w:val="left"/>
            </w:pPr>
            <w:r>
              <w:rPr>
                <w:rFonts w:ascii="Cambria" w:hAnsi="Cambria" w:cs="Cambria" w:eastAsia="Cambria"/>
                <w:color w:val="1A1A1A"/>
                <w:sz w:val="18"/>
              </w:rPr>
              <w:t xml:space="preserve">Impatto netto a regime, variante prudenziale (senza risparmi)</w:t>
            </w:r>
          </w:p>
        </w:tc>
        <w:tc>
          <w:tcPr>
            <w:shd w:val="clear" w:color="auto" w:fill="F4F1EC"/>
          </w:tcPr>
          <w:p>
            <w:pPr>
              <w:pStyle w:val="Compact"/>
              <w:spacing w:after="40" w:before="40"/>
              <w:jc w:val="left"/>
            </w:pPr>
            <w:r>
              <w:rPr>
                <w:rFonts w:ascii="Cambria" w:hAnsi="Cambria" w:cs="Cambria" w:eastAsia="Cambria"/>
                <w:color w:val="1A1A1A"/>
                <w:sz w:val="18"/>
              </w:rPr>
              <w:t xml:space="preserve">~38</w:t>
            </w:r>
          </w:p>
        </w:tc>
        <w:tc>
          <w:tcPr>
            <w:shd w:val="clear" w:color="auto" w:fill="F4F1EC"/>
          </w:tcPr>
          <w:p>
            <w:pPr>
              <w:pStyle w:val="Compact"/>
              <w:spacing w:after="40" w:before="40"/>
              <w:jc w:val="left"/>
            </w:pPr>
            <w:r>
              <w:rPr>
                <w:rFonts w:ascii="Cambria" w:hAnsi="Cambria" w:cs="Cambria" w:eastAsia="Cambria"/>
                <w:color w:val="1A1A1A"/>
                <w:sz w:val="18"/>
              </w:rPr>
              <w:t xml:space="preserve">~0,5%</w:t>
            </w:r>
          </w:p>
        </w:tc>
      </w:tr>
    </w:tbl>
    <w:p>
      <w:pPr>
        <w:pStyle w:val="BodyText"/>
      </w:pPr>
      <w:r>
        <w:rPr>
          <w:i/>
          <w:iCs/>
        </w:rPr>
        <w:t xml:space="preserve">Tabella 10.7 — Sostenibilità dell’impatto di bilancio della riforma rispetto alla dimensione del Fondo Sanitario Regionale della Puglia, a regime. Il costo lordo a regime è dell’ordine di mezzo punto percentuale del Fondo; l’impatto netto della variante centrale, a regime, è una frazione trascurabile, dell’ordine di cinque centesimi di punto percentuale; anche la variante prudenziale resta entro mezzo punto percentuale.</w:t>
      </w:r>
    </w:p>
    <w:p>
      <w:pPr>
        <w:pStyle w:val="BodyText"/>
      </w:pPr>
      <w:r>
        <w:t xml:space="preserve">La sostenibilità finanziaria della riforma per il bilancio sanitario regionale è nettamente confermata. Il costo diretto lordo a regime, dell’ordine di trentotto milioni di euro l’anno nello scenario intermedio, rappresenta una frazione contenuta del Fondo Sanitario Regionale della Puglia, dell’ordine di mezzo punto percentuale; e l’impatto netto a regime, nella variante centrale che computa i risparmi, è dell’ordine di quattro milioni di euro l’anno, ossia una frazione trascurabile del Fondo, dell’ordine di cinque centesimi di punto percentuale. Anche nella variante prudenziale, che esclude i risparmi e computa il solo costo lordo, l’impatto a regime resta entro il mezzo punto percentuale del Fondo. In tutti i casi, dunque, l’impatto della riforma sul bilancio sanitario regionale è contenuto entro frazioni dell’uno per cento del Fondo, e la riforma è ampiamente sostenibile: il suo finanziamento non richiede risorse incompatibili con la dimensione del bilancio sanitario, ma una quota contenuta di esso, tanto più contenuta quanto più i risparmi si manifestino, fino a ridursi a una frazione trascurabile a regime nella variante centrale.</w:t>
      </w:r>
      <w:r>
        <w:rPr>
          <w:rStyle w:val="FootnoteReference"/>
        </w:rPr>
        <w:footnoteReference w:id="292"/>
      </w:r>
    </w:p>
    <w:p>
      <w:pPr>
        <w:pStyle w:val="BodyText"/>
      </w:pPr>
      <w:r>
        <w:t xml:space="preserve">La sostenibilità va letta congiuntamente alla dinamica temporale dell’impatto, di cui costituisce il completamento. L’onere maggiore per il bilancio sanitario si concentra, come si è visto, nella fase di avvio, quando i costi sono già rilevanti ma i risparmi non sono ancora maturati; ed è in questa fase che il finanziamento della riforma richiede la quota maggiore del bilancio, ancorché contenuta entro frazioni dell’uno per cento. Nella fase di regime, l’onere si assottiglia fino a una frazione trascurabile nella variante centrale, e la riforma quasi si autofinanzia attraverso i risparmi che genera. La sostenibilità della riforma è dunque agevole nella fase di regime, e richiede, nella fase di avvio, un impegno finanziario contenuto e temporaneo, destinato ad assottigliarsi man mano che i risparmi maturano. A ciò si aggiunge una considerazione che eccede l’analisi di bilancio in senso stretto: l’impatto di bilancio qui misurato considera i soli risparmi fiscali diretti, e non i benefici sociali indiretti, che gravano su altri bilanci e non incidono sul bilancio sanitario; ma tali benefici, dell’ordine di decine di milioni di euro l’anno, sono il vero ritorno della riforma per la collettività, e accompagnano il contenuto impatto sul bilancio sanitario come ritorno sui bilanci esterni a quello sanitario. La sostenibilità per il bilancio sanitario, contenuta entro frazioni dell’uno per cento, va dunque letta nella consapevolezza che a tale contenuto impatto corrisponde un ampio ritorno sui bilanci esterni, oggetto della nona parte.</w:t>
      </w:r>
    </w:p>
    <w:bookmarkEnd w:id="669"/>
    <w:bookmarkStart w:id="671" w:name="X8f7a46a811fe0a71039eea5f4d90640ecf8d5b0"/>
    <w:p>
      <w:pPr>
        <w:pStyle w:val="Heading2"/>
      </w:pPr>
      <w:r>
        <w:t xml:space="preserve">10.2.5 La graduazione, le bande prudenziali e i confini dell’analisi di impatto di bilancio</w:t>
      </w:r>
    </w:p>
    <w:p>
      <w:pPr>
        <w:pStyle w:val="FirstParagraph"/>
      </w:pPr>
      <w:r>
        <w:t xml:space="preserve">La solidità dell’analisi di impatto di bilancio va dichiarata nelle sue componenti. La traiettoria dei costi è sostenuta da evidenza solida, perché i costi diretti dell’investimento sono stabiliti dalla settima parte sulla base di parametri di costo osservabili — il costo del personale, delle strutture, della leva digitale — e il loro profilo temporale di crescita riflette la dinamica nota dell’avvio di un servizio; la sua graduazione è alta. La traiettoria dei risparmi è invece sostenuta da evidenza più incerta, perché i risparmi diretti sono soggetti al caveat dell’IMPACT trial sulla loro significatività, e il loro profilo temporale di maturazione è stimato sulla base di assunzioni sul ritardo con cui gli effetti clinici si traducono in minori costi; la sua graduazione è bassa, e la variante prudenziale, che esclude i risparmi, fornisce il limite cautelativo. L’impatto netto, differenza tra le due traiettorie, eredita l’incertezza della traiettoria dei risparmi, ed è perciò presentato in due varianti — la centrale e la prudenziale — che ne delimitano l’intervallo. La conclusione di sostenibilità, fondandosi anche sulla variante prudenziale, è robusta rispetto a tale incertezza, perché vale anche nell’ipotesi cautelativa in cui i risparmi siano nulli.</w:t>
      </w:r>
      <w:r>
        <w:rPr>
          <w:rStyle w:val="FootnoteReference"/>
        </w:rPr>
        <w:footnoteReference w:id="293"/>
      </w:r>
    </w:p>
    <w:p>
      <w:pPr>
        <w:pStyle w:val="BodyText"/>
      </w:pPr>
      <w:r>
        <w:t xml:space="preserve">Da questa graduazione discendono i confini dell’analisi di impatto di bilancio e il suo rapporto con le altre voci. In primo luogo, l’analisi è condotta sul solo bilancio sanitario regionale, e impiega le sole grandezze fiscali dirette — i costi diretti e i risparmi diretti — escludendo i benefici sociali indiretti, che gravano su altri bilanci; essa misura dunque la sostenibilità per il bilancio sanitario, non il ritorno complessivo della riforma, che include i benefici indiretti e i guadagni di salute. In secondo luogo, la traiettoria è proiettata su un orizzonte quinquennale convenzionale, sufficiente a cogliere il passaggio dall’avvio al regime, ma la proiezione di lungo periodo, che modella l’andamento oltre il quinquennio e ne accumula gli effetti, è riservata alla modellazione dell’undicesima parte. In terzo luogo, le grandezze dell’impatto di bilancio sono distinte dalle altre dimensioni del valore: l’impatto netto sul bilancio sanitario non va confuso né con la costo-efficacia, stabilita dalla prima voce, né con il rendimento sociale, oggetto della terza, ma costituisce la dimensione della sostenibilità finanziaria, complementare alle altre. L’analisi di impatto di bilancio stabilisce così la sostenibilità finanziaria della riforma per il bilancio sanitario regionale, contenuta entro frazioni dell’uno per cento del Fondo e decrescente verso il pareggio a regime, e la consegna alla valutazione integrata come dimensione della sostenibilità. Stabilita la sostenibilità, la valutazione integrata può ora muovere verso il rendimento sociale dell’investimento, che misura il valore sociale complessivo creato per ogni euro investito.</w:t>
      </w:r>
    </w:p>
    <w:bookmarkEnd w:id="671"/>
    <w:bookmarkEnd w:id="672"/>
    <w:bookmarkStart w:id="681" w:name="il-rendimento-sociale-dellinvestimento"/>
    <w:p>
      <w:pPr>
        <w:pStyle w:val="Heading2"/>
      </w:pPr>
      <w:r>
        <w:t xml:space="preserve">10.3 Il rendimento sociale dell’investimento</w:t>
      </w:r>
    </w:p>
    <w:p>
      <w:pPr>
        <w:pStyle w:val="FirstParagraph"/>
      </w:pPr>
      <w:r>
        <w:rPr>
          <w:i/>
          <w:iCs/>
        </w:rPr>
        <w:t xml:space="preserve">La terza voce della valutazione integrata stima il rendimento sociale dell’investimento, che misura il valore sociale complessivo creato dalla riforma per ogni euro investito. A differenza dell’analisi di impatto di bilancio, che misura la sostenibilità per il bilancio sanitario, e della valutazione costo-utilità, che misura l’efficienza sul piano della salute, il rendimento sociale dell’investimento misura il valore sociale complessivo — i benefici sociali indiretti e il valore dei guadagni di salute — rapportato all’investimento, e ne esprime il rendimento per euro speso. La stima del rendimento sociale si conduce componendo il valore sociale lordo, applicandovi i deflatori di prudenza propri del metodo — che riducono il valore lordo per tenere conto di quanto si sarebbe verificato comunque, di quanto è imputabile ad altri fattori, di quanto è spostato altrove e di quanto decade nel tempo — e rapportando il valore sociale netto così ottenuto all’investimento. La voce stabilisce così il rendimento sociale della riforma, in forma deliberatamente conservativa per effetto dei deflatori, e lo colloca rispetto agli intervalli di Chisholm.</w:t>
      </w:r>
    </w:p>
    <w:bookmarkStart w:id="674" w:name="X411b9323e14ba9d3c86cad6cf60090c4a93da48"/>
    <w:p>
      <w:pPr>
        <w:pStyle w:val="Heading2"/>
      </w:pPr>
      <w:r>
        <w:t xml:space="preserve">10.3.1 La logica del rendimento sociale dell’investimento</w:t>
      </w:r>
    </w:p>
    <w:p>
      <w:pPr>
        <w:pStyle w:val="FirstParagraph"/>
      </w:pPr>
      <w:r>
        <w:t xml:space="preserve">Il rendimento sociale dell’investimento è lo strumento con cui la valutazione economica misura il valore sociale complessivo creato da un intervento per ogni unità di risorsa investita, ed esprime tale valore in forma di rapporto tra il valore sociale netto e l’investimento. Esso si distingue dalle altre misure della valutazione per l’ampiezza del valore che considera: mentre la valutazione costo-efficacia considera i soli esiti di salute, e l’analisi di impatto di bilancio i soli effetti sul bilancio sanitario, il rendimento sociale dell’investimento considera il valore sociale complessivo, comprensivo dei benefici sociali indiretti e del valore dei guadagni di salute, e lo rapporta all’investimento. Il rendimento sociale è dunque la misura più ampia del valore della riforma, perché abbraccia tanto le ricadute economico-sociali quanto il valore intrinseco della salute prodotta, e li compone in un’unica misura di valore per euro investito.</w:t>
      </w:r>
      <w:r>
        <w:rPr>
          <w:rStyle w:val="FootnoteReference"/>
        </w:rPr>
        <w:footnoteReference w:id="294"/>
      </w:r>
    </w:p>
    <w:p>
      <w:pPr>
        <w:pStyle w:val="BodyText"/>
      </w:pPr>
      <w:r>
        <w:t xml:space="preserve">La specificità metodologica del rendimento sociale dell’investimento, che ne costituisce il presidio di prudenza, è l’applicazione dei deflatori al valore sociale lordo. Il metodo riconosce che non tutto il valore sociale osservato a valle di un intervento è attribuibile all’intervento medesimo, e impone perciò di ridurre il valore lordo attraverso quattro deflatori, ciascuno dei quali corregge una sopravvalutazione. Il primo è il deflatore per ciò che si sarebbe verificato comunque, in assenza dell’intervento, che sottrae la quota di valore che si sarebbe prodotta anche senza la riforma. Il secondo è il deflatore per l’attribuzione ad altri fattori, che sottrae la quota di valore imputabile a fattori diversi dalla riforma, concomitanti a essa. Il terzo è il deflatore per gli effetti spostati altrove, che sottrae la quota di valore che la riforma non crea ma sposta da un ambito a un altro, senza accrescere il valore complessivo. Il quarto è il deflatore per il decadimento nel tempo, che sottrae la quota di valore che decade man mano che ci si allontana dall’intervento. L’applicazione di questi deflatori riduce il valore sociale lordo a un valore sociale netto, più conservativo, che è quello su cui si calcola il rendimento; ed è in questa riduzione che risiede la prudenza del metodo, che attribuisce all’intervento il solo valore che gli è genuinamente imputabile.</w:t>
      </w:r>
    </w:p>
    <w:bookmarkEnd w:id="674"/>
    <w:bookmarkStart w:id="676" w:name="X86ae6553d638af7bd998e2cd598cb0351daec31"/>
    <w:p>
      <w:pPr>
        <w:pStyle w:val="Heading2"/>
      </w:pPr>
      <w:r>
        <w:t xml:space="preserve">10.3.2 Il valore sociale lordo e i deflatori di prudenza</w:t>
      </w:r>
    </w:p>
    <w:p>
      <w:pPr>
        <w:pStyle w:val="FirstParagraph"/>
      </w:pPr>
      <w:r>
        <w:t xml:space="preserve">Il valore sociale lordo della riforma si compone dei benefici sociali indiretti, stabiliti dalla nona parte, e del valore monetizzato dei guadagni di salute, stabilito dalla prima voce di questa parte. I benefici sociali indiretti sono dell’ordine di sessantacinque, novantotto e centotrentanove milioni di euro l’anno nei tre scenari; il valore monetizzato dei guadagni di salute è dell’ordine di trentanove, sessantasei e novantatré milioni di euro l’anno nei tre scenari; la loro somma è il valore sociale lordo, dell’ordine di centoquattro, centosessantaquattro e duecentotrentadue milioni di euro l’anno nei tre scenari. È opportuno precisare che il valore sociale lordo, ai fini del rendimento sociale, comprende i benefici indiretti e il valore dei guadagni di salute, ma non i risparmi fiscali diretti per il bilancio sanitario, che costituiscono una grandezza fiscale, oggetto dell’analisi di impatto di bilancio, e che sono perciò tenuti distinti dal valore sociale, in coerenza con la separazione cardine tra le grandezze fiscali e sociali. La tabella che segue espone la composizione del valore sociale lordo.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Composizione del valore sociale lordo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r>
      <w:tr>
        <w:tc>
          <w:tcPr/>
          <w:p>
            <w:pPr>
              <w:pStyle w:val="Compact"/>
              <w:spacing w:after="40" w:before="40"/>
              <w:jc w:val="left"/>
            </w:pPr>
            <w:r>
              <w:rPr>
                <w:rFonts w:ascii="Cambria" w:hAnsi="Cambria" w:cs="Cambria" w:eastAsia="Cambria"/>
                <w:color w:val="1A1A1A"/>
                <w:sz w:val="18"/>
              </w:rPr>
              <w:t xml:space="preserve">Benefici sociali indiretti (parte nona)</w:t>
            </w:r>
          </w:p>
        </w:tc>
        <w:tc>
          <w:tcPr/>
          <w:p>
            <w:pPr>
              <w:pStyle w:val="Compact"/>
              <w:spacing w:after="40" w:before="40"/>
              <w:jc w:val="left"/>
            </w:pPr>
            <w:r>
              <w:rPr>
                <w:rFonts w:ascii="Cambria" w:hAnsi="Cambria" w:cs="Cambria" w:eastAsia="Cambria"/>
                <w:color w:val="1A1A1A"/>
                <w:sz w:val="18"/>
              </w:rPr>
              <w:t xml:space="preserve">~65</w:t>
            </w:r>
          </w:p>
        </w:tc>
        <w:tc>
          <w:tcPr/>
          <w:p>
            <w:pPr>
              <w:pStyle w:val="Compact"/>
              <w:spacing w:after="40" w:before="40"/>
              <w:jc w:val="left"/>
            </w:pPr>
            <w:r>
              <w:rPr>
                <w:rFonts w:ascii="Cambria" w:hAnsi="Cambria" w:cs="Cambria" w:eastAsia="Cambria"/>
                <w:color w:val="1A1A1A"/>
                <w:sz w:val="18"/>
              </w:rPr>
              <w:t xml:space="preserve">~98</w:t>
            </w:r>
          </w:p>
        </w:tc>
        <w:tc>
          <w:tcPr/>
          <w:p>
            <w:pPr>
              <w:pStyle w:val="Compact"/>
              <w:spacing w:after="40" w:before="40"/>
              <w:jc w:val="left"/>
            </w:pPr>
            <w:r>
              <w:rPr>
                <w:rFonts w:ascii="Cambria" w:hAnsi="Cambria" w:cs="Cambria" w:eastAsia="Cambria"/>
                <w:color w:val="1A1A1A"/>
                <w:sz w:val="18"/>
              </w:rPr>
              <w:t xml:space="preserve">~139</w:t>
            </w:r>
          </w:p>
        </w:tc>
      </w:tr>
      <w:tr>
        <w:tc>
          <w:tcPr>
            <w:shd w:val="clear" w:color="auto" w:fill="F4F1EC"/>
          </w:tcPr>
          <w:p>
            <w:pPr>
              <w:pStyle w:val="Compact"/>
              <w:spacing w:after="40" w:before="40"/>
              <w:jc w:val="left"/>
            </w:pPr>
            <w:r>
              <w:rPr>
                <w:rFonts w:ascii="Cambria" w:hAnsi="Cambria" w:cs="Cambria" w:eastAsia="Cambria"/>
                <w:color w:val="1A1A1A"/>
                <w:sz w:val="18"/>
              </w:rPr>
              <w:t xml:space="preserve">Valore monetizzato dei guadagni di salute (voce 10.1)</w:t>
            </w:r>
          </w:p>
        </w:tc>
        <w:tc>
          <w:tcPr>
            <w:shd w:val="clear" w:color="auto" w:fill="F4F1EC"/>
          </w:tcPr>
          <w:p>
            <w:pPr>
              <w:pStyle w:val="Compact"/>
              <w:spacing w:after="40" w:before="40"/>
              <w:jc w:val="left"/>
            </w:pPr>
            <w:r>
              <w:rPr>
                <w:rFonts w:ascii="Cambria" w:hAnsi="Cambria" w:cs="Cambria" w:eastAsia="Cambria"/>
                <w:color w:val="1A1A1A"/>
                <w:sz w:val="18"/>
              </w:rPr>
              <w:t xml:space="preserve">~39</w:t>
            </w:r>
          </w:p>
        </w:tc>
        <w:tc>
          <w:tcPr>
            <w:shd w:val="clear" w:color="auto" w:fill="F4F1EC"/>
          </w:tcPr>
          <w:p>
            <w:pPr>
              <w:pStyle w:val="Compact"/>
              <w:spacing w:after="40" w:before="40"/>
              <w:jc w:val="left"/>
            </w:pPr>
            <w:r>
              <w:rPr>
                <w:rFonts w:ascii="Cambria" w:hAnsi="Cambria" w:cs="Cambria" w:eastAsia="Cambria"/>
                <w:color w:val="1A1A1A"/>
                <w:sz w:val="18"/>
              </w:rPr>
              <w:t xml:space="preserve">~66</w:t>
            </w:r>
          </w:p>
        </w:tc>
        <w:tc>
          <w:tcPr>
            <w:shd w:val="clear" w:color="auto" w:fill="F4F1EC"/>
          </w:tcPr>
          <w:p>
            <w:pPr>
              <w:pStyle w:val="Compact"/>
              <w:spacing w:after="40" w:before="40"/>
              <w:jc w:val="left"/>
            </w:pPr>
            <w:r>
              <w:rPr>
                <w:rFonts w:ascii="Cambria" w:hAnsi="Cambria" w:cs="Cambria" w:eastAsia="Cambria"/>
                <w:color w:val="1A1A1A"/>
                <w:sz w:val="18"/>
              </w:rPr>
              <w:t xml:space="preserve">~93</w:t>
            </w:r>
          </w:p>
        </w:tc>
      </w:tr>
      <w:tr>
        <w:tc>
          <w:tcPr/>
          <w:p>
            <w:pPr>
              <w:pStyle w:val="Compact"/>
              <w:spacing w:after="40" w:before="40"/>
              <w:jc w:val="left"/>
            </w:pPr>
            <w:r>
              <w:rPr>
                <w:rFonts w:ascii="Cambria" w:hAnsi="Cambria" w:cs="Cambria" w:eastAsia="Cambria"/>
                <w:color w:val="1A1A1A"/>
                <w:sz w:val="18"/>
              </w:rPr>
              <w:t xml:space="preserve">Valore sociale lordo (esclusi i risparmi fiscali diretti)</w:t>
            </w:r>
          </w:p>
        </w:tc>
        <w:tc>
          <w:tcPr/>
          <w:p>
            <w:pPr>
              <w:pStyle w:val="Compact"/>
              <w:spacing w:after="40" w:before="40"/>
              <w:jc w:val="left"/>
            </w:pPr>
            <w:r>
              <w:rPr>
                <w:rFonts w:ascii="Cambria" w:hAnsi="Cambria" w:cs="Cambria" w:eastAsia="Cambria"/>
                <w:color w:val="1A1A1A"/>
                <w:sz w:val="18"/>
              </w:rPr>
              <w:t xml:space="preserve">~104</w:t>
            </w:r>
          </w:p>
        </w:tc>
        <w:tc>
          <w:tcPr/>
          <w:p>
            <w:pPr>
              <w:pStyle w:val="Compact"/>
              <w:spacing w:after="40" w:before="40"/>
              <w:jc w:val="left"/>
            </w:pPr>
            <w:r>
              <w:rPr>
                <w:rFonts w:ascii="Cambria" w:hAnsi="Cambria" w:cs="Cambria" w:eastAsia="Cambria"/>
                <w:color w:val="1A1A1A"/>
                <w:sz w:val="18"/>
              </w:rPr>
              <w:t xml:space="preserve">~164</w:t>
            </w:r>
          </w:p>
        </w:tc>
        <w:tc>
          <w:tcPr/>
          <w:p>
            <w:pPr>
              <w:pStyle w:val="Compact"/>
              <w:spacing w:after="40" w:before="40"/>
              <w:jc w:val="left"/>
            </w:pPr>
            <w:r>
              <w:rPr>
                <w:rFonts w:ascii="Cambria" w:hAnsi="Cambria" w:cs="Cambria" w:eastAsia="Cambria"/>
                <w:color w:val="1A1A1A"/>
                <w:sz w:val="18"/>
              </w:rPr>
              <w:t xml:space="preserve">~232</w:t>
            </w:r>
          </w:p>
        </w:tc>
      </w:tr>
    </w:tbl>
    <w:p>
      <w:pPr>
        <w:pStyle w:val="BodyText"/>
      </w:pPr>
      <w:r>
        <w:rPr>
          <w:i/>
          <w:iCs/>
        </w:rPr>
        <w:t xml:space="preserve">Tabella 10.8 — Composizione del valore sociale lordo ai fini del rendimento sociale dell’investimento, per scenario. Il valore sociale lordo somma i benefici sociali indiretti e il valore dei guadagni di salute; esso esclude i risparmi fiscali diretti, tenuti distinti in quanto grandezza fiscale oggetto dell’analisi di impatto di bilancio.</w:t>
      </w:r>
    </w:p>
    <w:p>
      <w:pPr>
        <w:pStyle w:val="BodyText"/>
      </w:pPr>
      <w:r>
        <w:t xml:space="preserve">Al valore sociale lordo si applicano i quattro deflatori di prudenza, ciascuno dei quali ne riduce una quota a copertura di una sopravvalutazione. I deflatori sono applicati in misura prudenziale, riferita ai valori comunemente adottati nella pratica del metodo, e si compongono in un fattore di ritenzione complessivo, che è la quota del valore lordo che residua dopo l’applicazione di tutti i deflatori. La tabella che segue espone i deflatori applicati e il fattore di ritenzione complessivo.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Deflatori di prudenza del rendimento sociale dell’investimento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Riduzione applicata</w:t>
            </w:r>
          </w:p>
        </w:tc>
      </w:tr>
      <w:tr>
        <w:tc>
          <w:tcPr/>
          <w:p>
            <w:pPr>
              <w:pStyle w:val="Compact"/>
              <w:spacing w:after="40" w:before="40"/>
              <w:jc w:val="left"/>
            </w:pPr>
            <w:r>
              <w:rPr>
                <w:rFonts w:ascii="Cambria" w:hAnsi="Cambria" w:cs="Cambria" w:eastAsia="Cambria"/>
                <w:color w:val="1A1A1A"/>
                <w:sz w:val="18"/>
              </w:rPr>
              <w:t xml:space="preserve">Deflatore per ciò che si sarebbe verificato comunque (deadweight)</w:t>
            </w:r>
          </w:p>
        </w:tc>
        <w:tc>
          <w:tcPr/>
          <w:p>
            <w:pPr>
              <w:pStyle w:val="Compact"/>
              <w:spacing w:after="40" w:before="40"/>
              <w:jc w:val="left"/>
            </w:pPr>
            <w:r>
              <w:rPr>
                <w:rFonts w:ascii="Cambria" w:hAnsi="Cambria" w:cs="Cambria" w:eastAsia="Cambria"/>
                <w:color w:val="1A1A1A"/>
                <w:sz w:val="18"/>
              </w:rPr>
              <w:t xml:space="preserve">~15%</w:t>
            </w:r>
          </w:p>
        </w:tc>
      </w:tr>
      <w:tr>
        <w:tc>
          <w:tcPr>
            <w:shd w:val="clear" w:color="auto" w:fill="F4F1EC"/>
          </w:tcPr>
          <w:p>
            <w:pPr>
              <w:pStyle w:val="Compact"/>
              <w:spacing w:after="40" w:before="40"/>
              <w:jc w:val="left"/>
            </w:pPr>
            <w:r>
              <w:rPr>
                <w:rFonts w:ascii="Cambria" w:hAnsi="Cambria" w:cs="Cambria" w:eastAsia="Cambria"/>
                <w:color w:val="1A1A1A"/>
                <w:sz w:val="18"/>
              </w:rPr>
              <w:t xml:space="preserve">Deflatore per l’attribuzione ad altri fattori</w:t>
            </w:r>
          </w:p>
        </w:tc>
        <w:tc>
          <w:tcPr>
            <w:shd w:val="clear" w:color="auto" w:fill="F4F1EC"/>
          </w:tcPr>
          <w:p>
            <w:pPr>
              <w:pStyle w:val="Compact"/>
              <w:spacing w:after="40" w:before="40"/>
              <w:jc w:val="left"/>
            </w:pPr>
            <w:r>
              <w:rPr>
                <w:rFonts w:ascii="Cambria" w:hAnsi="Cambria" w:cs="Cambria" w:eastAsia="Cambria"/>
                <w:color w:val="1A1A1A"/>
                <w:sz w:val="18"/>
              </w:rPr>
              <w:t xml:space="preserve">~8%</w:t>
            </w:r>
          </w:p>
        </w:tc>
      </w:tr>
      <w:tr>
        <w:tc>
          <w:tcPr/>
          <w:p>
            <w:pPr>
              <w:pStyle w:val="Compact"/>
              <w:spacing w:after="40" w:before="40"/>
              <w:jc w:val="left"/>
            </w:pPr>
            <w:r>
              <w:rPr>
                <w:rFonts w:ascii="Cambria" w:hAnsi="Cambria" w:cs="Cambria" w:eastAsia="Cambria"/>
                <w:color w:val="1A1A1A"/>
                <w:sz w:val="18"/>
              </w:rPr>
              <w:t xml:space="preserve">Deflatore per gli effetti spostati altrove (displacement)</w:t>
            </w:r>
          </w:p>
        </w:tc>
        <w:tc>
          <w:tcPr/>
          <w:p>
            <w:pPr>
              <w:pStyle w:val="Compact"/>
              <w:spacing w:after="40" w:before="40"/>
              <w:jc w:val="left"/>
            </w:pPr>
            <w:r>
              <w:rPr>
                <w:rFonts w:ascii="Cambria" w:hAnsi="Cambria" w:cs="Cambria" w:eastAsia="Cambria"/>
                <w:color w:val="1A1A1A"/>
                <w:sz w:val="18"/>
              </w:rPr>
              <w:t xml:space="preserve">~4%</w:t>
            </w:r>
          </w:p>
        </w:tc>
      </w:tr>
      <w:tr>
        <w:tc>
          <w:tcPr>
            <w:shd w:val="clear" w:color="auto" w:fill="F4F1EC"/>
          </w:tcPr>
          <w:p>
            <w:pPr>
              <w:pStyle w:val="Compact"/>
              <w:spacing w:after="40" w:before="40"/>
              <w:jc w:val="left"/>
            </w:pPr>
            <w:r>
              <w:rPr>
                <w:rFonts w:ascii="Cambria" w:hAnsi="Cambria" w:cs="Cambria" w:eastAsia="Cambria"/>
                <w:color w:val="1A1A1A"/>
                <w:sz w:val="18"/>
              </w:rPr>
              <w:t xml:space="preserve">Deflatore per il decadimento nel tempo (riferito all’orizzonte annuale)</w:t>
            </w:r>
          </w:p>
        </w:tc>
        <w:tc>
          <w:tcPr>
            <w:shd w:val="clear" w:color="auto" w:fill="F4F1EC"/>
          </w:tcPr>
          <w:p>
            <w:pPr>
              <w:pStyle w:val="Compact"/>
              <w:spacing w:after="40" w:before="40"/>
              <w:jc w:val="left"/>
            </w:pPr>
            <w:r>
              <w:rPr>
                <w:rFonts w:ascii="Cambria" w:hAnsi="Cambria" w:cs="Cambria" w:eastAsia="Cambria"/>
                <w:color w:val="1A1A1A"/>
                <w:sz w:val="18"/>
              </w:rPr>
              <w:t xml:space="preserve">minimo</w:t>
            </w:r>
          </w:p>
        </w:tc>
      </w:tr>
      <w:tr>
        <w:tc>
          <w:tcPr/>
          <w:p>
            <w:pPr>
              <w:pStyle w:val="Compact"/>
              <w:spacing w:after="40" w:before="40"/>
              <w:jc w:val="left"/>
            </w:pPr>
            <w:r>
              <w:rPr>
                <w:rFonts w:ascii="Cambria" w:hAnsi="Cambria" w:cs="Cambria" w:eastAsia="Cambria"/>
                <w:color w:val="1A1A1A"/>
                <w:sz w:val="18"/>
              </w:rPr>
              <w:t xml:space="preserve">Fattore di ritenzione complessivo (quota residua del valore lordo)</w:t>
            </w:r>
          </w:p>
        </w:tc>
        <w:tc>
          <w:tcPr/>
          <w:p>
            <w:pPr>
              <w:pStyle w:val="Compact"/>
              <w:spacing w:after="40" w:before="40"/>
              <w:jc w:val="left"/>
            </w:pPr>
            <w:r>
              <w:rPr>
                <w:rFonts w:ascii="Cambria" w:hAnsi="Cambria" w:cs="Cambria" w:eastAsia="Cambria"/>
                <w:color w:val="1A1A1A"/>
                <w:sz w:val="18"/>
              </w:rPr>
              <w:t xml:space="preserve">~0,75 (riduzione complessiva ~25%)</w:t>
            </w:r>
          </w:p>
        </w:tc>
      </w:tr>
    </w:tbl>
    <w:p>
      <w:pPr>
        <w:pStyle w:val="BodyText"/>
      </w:pPr>
      <w:r>
        <w:rPr>
          <w:i/>
          <w:iCs/>
        </w:rPr>
        <w:t xml:space="preserve">Tabella 10.9 — Deflatori di prudenza applicati al valore sociale lordo e fattore di ritenzione complessivo. I quattro deflatori — per ciò che si sarebbe verificato comunque, per l’attribuzione ad altri fattori, per gli effetti spostati altrove e per il decadimento nel tempo — si compongono in un fattore di ritenzione dell’ordine di tre quarti, corrispondente a una riduzione complessiva del valore lordo dell’ordine di un quarto.</w:t>
      </w:r>
    </w:p>
    <w:p>
      <w:pPr>
        <w:pStyle w:val="BodyText"/>
      </w:pPr>
      <w:r>
        <w:t xml:space="preserve">I deflatori riducono il valore sociale lordo di una quota complessiva dell’ordine di un quarto, sì che il fattore di ritenzione — la quota del valore lordo che residua dopo l’applicazione di tutti i deflatori — è dell’ordine di tre quarti. La riduzione è prudenziale e riflette i valori comunemente adottati nella pratica del rendimento sociale: il deflatore per ciò che si sarebbe verificato comunque, dell’ordine del quindici per cento, sottrae la quota di miglioramento che si sarebbe prodotta anche senza la riforma, attraverso la remissione spontanea o le cure altrimenti disponibili; il deflatore per l’attribuzione, dell’ordine dell’otto per cento, sottrae la quota imputabile a fattori concomitanti, diversi dalla riforma; il deflatore per gli effetti spostati altrove, dell’ordine del quattro per cento, sottrae la quota di valore che la riforma sposta anziché creare; il deflatore per il decadimento, riferito all’orizzonte annuale, è minimo, perché il decadimento incide sulla proiezione pluriennale, riservata alla modellazione, più che sulla stima annua. La composizione dei deflatori in un fattore di ritenzione dell’ordine di tre quarti è il presidio di prudenza del metodo, che riduce il valore sociale al solo che è genuinamente imputabile alla riforma nell’orizzonte annuale.</w:t>
      </w:r>
      <w:r>
        <w:rPr>
          <w:rStyle w:val="FootnoteReference"/>
        </w:rPr>
        <w:footnoteReference w:id="295"/>
      </w:r>
    </w:p>
    <w:bookmarkEnd w:id="676"/>
    <w:bookmarkStart w:id="678" w:name="X6137aa80c8b25c234b0e23082c347bb1f07f011"/>
    <w:p>
      <w:pPr>
        <w:pStyle w:val="Heading2"/>
      </w:pPr>
      <w:r>
        <w:t xml:space="preserve">10.3.3 Il rendimento sociale netto dell’investimento per scenario</w:t>
      </w:r>
    </w:p>
    <w:p>
      <w:pPr>
        <w:pStyle w:val="FirstParagraph"/>
      </w:pPr>
      <w:r>
        <w:t xml:space="preserve">Applicato il fattore di ritenzione al valore sociale lordo, si ottiene il valore sociale netto, che è il valore sociale genuinamente imputabile alla riforma dopo i deflatori; e rapportando il valore sociale netto all’investimento si ottiene il rendimento sociale netto dell’investimento, che esprime il valore sociale netto creato per ogni euro investito. La tabella che segue espone il calcolo del rendimento sociale netto per ciascuno scenario, e lo confronta, a fini di memoria, con il rapporto lordo che include il valore della salute stabilito dalla prima voce.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Rendimento sociale netto dell’investimento (SROI)</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r>
      <w:tr>
        <w:tc>
          <w:tcPr/>
          <w:p>
            <w:pPr>
              <w:pStyle w:val="Compact"/>
              <w:spacing w:after="40" w:before="40"/>
              <w:jc w:val="left"/>
            </w:pPr>
            <w:r>
              <w:rPr>
                <w:rFonts w:ascii="Cambria" w:hAnsi="Cambria" w:cs="Cambria" w:eastAsia="Cambria"/>
                <w:color w:val="1A1A1A"/>
                <w:sz w:val="18"/>
              </w:rPr>
              <w:t xml:space="preserve">Valore sociale lordo (mln €/anno)</w:t>
            </w:r>
          </w:p>
        </w:tc>
        <w:tc>
          <w:tcPr/>
          <w:p>
            <w:pPr>
              <w:pStyle w:val="Compact"/>
              <w:spacing w:after="40" w:before="40"/>
              <w:jc w:val="left"/>
            </w:pPr>
            <w:r>
              <w:rPr>
                <w:rFonts w:ascii="Cambria" w:hAnsi="Cambria" w:cs="Cambria" w:eastAsia="Cambria"/>
                <w:color w:val="1A1A1A"/>
                <w:sz w:val="18"/>
              </w:rPr>
              <w:t xml:space="preserve">~104</w:t>
            </w:r>
          </w:p>
        </w:tc>
        <w:tc>
          <w:tcPr/>
          <w:p>
            <w:pPr>
              <w:pStyle w:val="Compact"/>
              <w:spacing w:after="40" w:before="40"/>
              <w:jc w:val="left"/>
            </w:pPr>
            <w:r>
              <w:rPr>
                <w:rFonts w:ascii="Cambria" w:hAnsi="Cambria" w:cs="Cambria" w:eastAsia="Cambria"/>
                <w:color w:val="1A1A1A"/>
                <w:sz w:val="18"/>
              </w:rPr>
              <w:t xml:space="preserve">~164</w:t>
            </w:r>
          </w:p>
        </w:tc>
        <w:tc>
          <w:tcPr/>
          <w:p>
            <w:pPr>
              <w:pStyle w:val="Compact"/>
              <w:spacing w:after="40" w:before="40"/>
              <w:jc w:val="left"/>
            </w:pPr>
            <w:r>
              <w:rPr>
                <w:rFonts w:ascii="Cambria" w:hAnsi="Cambria" w:cs="Cambria" w:eastAsia="Cambria"/>
                <w:color w:val="1A1A1A"/>
                <w:sz w:val="18"/>
              </w:rPr>
              <w:t xml:space="preserve">~232</w:t>
            </w:r>
          </w:p>
        </w:tc>
      </w:tr>
      <w:tr>
        <w:tc>
          <w:tcPr>
            <w:shd w:val="clear" w:color="auto" w:fill="F4F1EC"/>
          </w:tcPr>
          <w:p>
            <w:pPr>
              <w:pStyle w:val="Compact"/>
              <w:spacing w:after="40" w:before="40"/>
              <w:jc w:val="left"/>
            </w:pPr>
            <w:r>
              <w:rPr>
                <w:rFonts w:ascii="Cambria" w:hAnsi="Cambria" w:cs="Cambria" w:eastAsia="Cambria"/>
                <w:color w:val="1A1A1A"/>
                <w:sz w:val="18"/>
              </w:rPr>
              <w:t xml:space="preserve">Fattore di ritenzione (dopo i deflatori)</w:t>
            </w:r>
          </w:p>
        </w:tc>
        <w:tc>
          <w:tcPr>
            <w:shd w:val="clear" w:color="auto" w:fill="F4F1EC"/>
          </w:tcPr>
          <w:p>
            <w:pPr>
              <w:pStyle w:val="Compact"/>
              <w:spacing w:after="40" w:before="40"/>
              <w:jc w:val="left"/>
            </w:pPr>
            <w:r>
              <w:rPr>
                <w:rFonts w:ascii="Cambria" w:hAnsi="Cambria" w:cs="Cambria" w:eastAsia="Cambria"/>
                <w:color w:val="1A1A1A"/>
                <w:sz w:val="18"/>
              </w:rPr>
              <w:t xml:space="preserve">×0,75</w:t>
            </w:r>
          </w:p>
        </w:tc>
        <w:tc>
          <w:tcPr>
            <w:shd w:val="clear" w:color="auto" w:fill="F4F1EC"/>
          </w:tcPr>
          <w:p>
            <w:pPr>
              <w:pStyle w:val="Compact"/>
              <w:spacing w:after="40" w:before="40"/>
              <w:jc w:val="left"/>
            </w:pPr>
            <w:r>
              <w:rPr>
                <w:rFonts w:ascii="Cambria" w:hAnsi="Cambria" w:cs="Cambria" w:eastAsia="Cambria"/>
                <w:color w:val="1A1A1A"/>
                <w:sz w:val="18"/>
              </w:rPr>
              <w:t xml:space="preserve">×0,75</w:t>
            </w:r>
          </w:p>
        </w:tc>
        <w:tc>
          <w:tcPr>
            <w:shd w:val="clear" w:color="auto" w:fill="F4F1EC"/>
          </w:tcPr>
          <w:p>
            <w:pPr>
              <w:pStyle w:val="Compact"/>
              <w:spacing w:after="40" w:before="40"/>
              <w:jc w:val="left"/>
            </w:pPr>
            <w:r>
              <w:rPr>
                <w:rFonts w:ascii="Cambria" w:hAnsi="Cambria" w:cs="Cambria" w:eastAsia="Cambria"/>
                <w:color w:val="1A1A1A"/>
                <w:sz w:val="18"/>
              </w:rPr>
              <w:t xml:space="preserve">×0,75</w:t>
            </w:r>
          </w:p>
        </w:tc>
      </w:tr>
      <w:tr>
        <w:tc>
          <w:tcPr/>
          <w:p>
            <w:pPr>
              <w:pStyle w:val="Compact"/>
              <w:spacing w:after="40" w:before="40"/>
              <w:jc w:val="left"/>
            </w:pPr>
            <w:r>
              <w:rPr>
                <w:rFonts w:ascii="Cambria" w:hAnsi="Cambria" w:cs="Cambria" w:eastAsia="Cambria"/>
                <w:color w:val="1A1A1A"/>
                <w:sz w:val="18"/>
              </w:rPr>
              <w:t xml:space="preserve">Valore sociale netto (mln €/anno)</w:t>
            </w:r>
          </w:p>
        </w:tc>
        <w:tc>
          <w:tcPr/>
          <w:p>
            <w:pPr>
              <w:pStyle w:val="Compact"/>
              <w:spacing w:after="40" w:before="40"/>
              <w:jc w:val="left"/>
            </w:pPr>
            <w:r>
              <w:rPr>
                <w:rFonts w:ascii="Cambria" w:hAnsi="Cambria" w:cs="Cambria" w:eastAsia="Cambria"/>
                <w:color w:val="1A1A1A"/>
                <w:sz w:val="18"/>
              </w:rPr>
              <w:t xml:space="preserve">~78</w:t>
            </w:r>
          </w:p>
        </w:tc>
        <w:tc>
          <w:tcPr/>
          <w:p>
            <w:pPr>
              <w:pStyle w:val="Compact"/>
              <w:spacing w:after="40" w:before="40"/>
              <w:jc w:val="left"/>
            </w:pPr>
            <w:r>
              <w:rPr>
                <w:rFonts w:ascii="Cambria" w:hAnsi="Cambria" w:cs="Cambria" w:eastAsia="Cambria"/>
                <w:color w:val="1A1A1A"/>
                <w:sz w:val="18"/>
              </w:rPr>
              <w:t xml:space="preserve">~123</w:t>
            </w:r>
          </w:p>
        </w:tc>
        <w:tc>
          <w:tcPr/>
          <w:p>
            <w:pPr>
              <w:pStyle w:val="Compact"/>
              <w:spacing w:after="40" w:before="40"/>
              <w:jc w:val="left"/>
            </w:pPr>
            <w:r>
              <w:rPr>
                <w:rFonts w:ascii="Cambria" w:hAnsi="Cambria" w:cs="Cambria" w:eastAsia="Cambria"/>
                <w:color w:val="1A1A1A"/>
                <w:sz w:val="18"/>
              </w:rPr>
              <w:t xml:space="preserve">~174</w:t>
            </w:r>
          </w:p>
        </w:tc>
      </w:tr>
      <w:tr>
        <w:tc>
          <w:tcPr>
            <w:shd w:val="clear" w:color="auto" w:fill="F4F1EC"/>
          </w:tcPr>
          <w:p>
            <w:pPr>
              <w:pStyle w:val="Compact"/>
              <w:spacing w:after="40" w:before="40"/>
              <w:jc w:val="left"/>
            </w:pPr>
            <w:r>
              <w:rPr>
                <w:rFonts w:ascii="Cambria" w:hAnsi="Cambria" w:cs="Cambria" w:eastAsia="Cambria"/>
                <w:color w:val="1A1A1A"/>
                <w:sz w:val="18"/>
              </w:rPr>
              <w:t xml:space="preserve">Investimento (mln €/anno)</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~38</w:t>
            </w:r>
          </w:p>
        </w:tc>
        <w:tc>
          <w:tcPr>
            <w:shd w:val="clear" w:color="auto" w:fill="F4F1EC"/>
          </w:tcPr>
          <w:p>
            <w:pPr>
              <w:pStyle w:val="Compact"/>
              <w:spacing w:after="40" w:before="40"/>
              <w:jc w:val="left"/>
            </w:pPr>
            <w:r>
              <w:rPr>
                <w:rFonts w:ascii="Cambria" w:hAnsi="Cambria" w:cs="Cambria" w:eastAsia="Cambria"/>
                <w:color w:val="1A1A1A"/>
                <w:sz w:val="18"/>
              </w:rPr>
              <w:t xml:space="preserve">~50</w:t>
            </w:r>
          </w:p>
        </w:tc>
      </w:tr>
      <w:tr>
        <w:tc>
          <w:tcPr/>
          <w:p>
            <w:pPr>
              <w:pStyle w:val="Compact"/>
              <w:spacing w:after="40" w:before="40"/>
              <w:jc w:val="left"/>
            </w:pPr>
            <w:r>
              <w:rPr>
                <w:rFonts w:ascii="Cambria" w:hAnsi="Cambria" w:cs="Cambria" w:eastAsia="Cambria"/>
                <w:color w:val="1A1A1A"/>
                <w:sz w:val="18"/>
              </w:rPr>
              <w:t xml:space="preserve">Rendimento sociale netto (valore sociale netto / investimento)</w:t>
            </w:r>
          </w:p>
        </w:tc>
        <w:tc>
          <w:tcPr/>
          <w:p>
            <w:pPr>
              <w:pStyle w:val="Compact"/>
              <w:spacing w:after="40" w:before="40"/>
              <w:jc w:val="left"/>
            </w:pPr>
            <w:r>
              <w:rPr>
                <w:rFonts w:ascii="Cambria" w:hAnsi="Cambria" w:cs="Cambria" w:eastAsia="Cambria"/>
                <w:color w:val="1A1A1A"/>
                <w:sz w:val="18"/>
              </w:rPr>
              <w:t xml:space="preserve">~3,1 : 1</w:t>
            </w:r>
          </w:p>
        </w:tc>
        <w:tc>
          <w:tcPr/>
          <w:p>
            <w:pPr>
              <w:pStyle w:val="Compact"/>
              <w:spacing w:after="40" w:before="40"/>
              <w:jc w:val="left"/>
            </w:pPr>
            <w:r>
              <w:rPr>
                <w:rFonts w:ascii="Cambria" w:hAnsi="Cambria" w:cs="Cambria" w:eastAsia="Cambria"/>
                <w:color w:val="1A1A1A"/>
                <w:sz w:val="18"/>
              </w:rPr>
              <w:t xml:space="preserve">~3,2 : 1</w:t>
            </w:r>
          </w:p>
        </w:tc>
        <w:tc>
          <w:tcPr/>
          <w:p>
            <w:pPr>
              <w:pStyle w:val="Compact"/>
              <w:spacing w:after="40" w:before="40"/>
              <w:jc w:val="left"/>
            </w:pPr>
            <w:r>
              <w:rPr>
                <w:rFonts w:ascii="Cambria" w:hAnsi="Cambria" w:cs="Cambria" w:eastAsia="Cambria"/>
                <w:color w:val="1A1A1A"/>
                <w:sz w:val="18"/>
              </w:rPr>
              <w:t xml:space="preserve">~3,5 : 1</w:t>
            </w:r>
          </w:p>
        </w:tc>
      </w:tr>
      <w:tr>
        <w:tc>
          <w:tcPr>
            <w:shd w:val="clear" w:color="auto" w:fill="F4F1EC"/>
          </w:tcPr>
          <w:p>
            <w:pPr>
              <w:pStyle w:val="Compact"/>
              <w:spacing w:after="40" w:before="40"/>
              <w:jc w:val="left"/>
            </w:pPr>
            <w:r>
              <w:rPr>
                <w:rFonts w:ascii="Cambria" w:hAnsi="Cambria" w:cs="Cambria" w:eastAsia="Cambria"/>
                <w:color w:val="1A1A1A"/>
                <w:sz w:val="18"/>
              </w:rPr>
              <w:t xml:space="preserve">(memoria) Rapporto lordo con valore della salute (voce 10.1)</w:t>
            </w:r>
          </w:p>
        </w:tc>
        <w:tc>
          <w:tcPr>
            <w:shd w:val="clear" w:color="auto" w:fill="F4F1EC"/>
          </w:tcPr>
          <w:p>
            <w:pPr>
              <w:pStyle w:val="Compact"/>
              <w:spacing w:after="40" w:before="40"/>
              <w:jc w:val="left"/>
            </w:pPr>
            <w:r>
              <w:rPr>
                <w:rFonts w:ascii="Cambria" w:hAnsi="Cambria" w:cs="Cambria" w:eastAsia="Cambria"/>
                <w:color w:val="1A1A1A"/>
                <w:sz w:val="18"/>
              </w:rPr>
              <w:t xml:space="preserve">~4,2 : 1</w:t>
            </w:r>
          </w:p>
        </w:tc>
        <w:tc>
          <w:tcPr>
            <w:shd w:val="clear" w:color="auto" w:fill="F4F1EC"/>
          </w:tcPr>
          <w:p>
            <w:pPr>
              <w:pStyle w:val="Compact"/>
              <w:spacing w:after="40" w:before="40"/>
              <w:jc w:val="left"/>
            </w:pPr>
            <w:r>
              <w:rPr>
                <w:rFonts w:ascii="Cambria" w:hAnsi="Cambria" w:cs="Cambria" w:eastAsia="Cambria"/>
                <w:color w:val="1A1A1A"/>
                <w:sz w:val="18"/>
              </w:rPr>
              <w:t xml:space="preserve">~4,3 : 1</w:t>
            </w:r>
          </w:p>
        </w:tc>
        <w:tc>
          <w:tcPr>
            <w:shd w:val="clear" w:color="auto" w:fill="F4F1EC"/>
          </w:tcPr>
          <w:p>
            <w:pPr>
              <w:pStyle w:val="Compact"/>
              <w:spacing w:after="40" w:before="40"/>
              <w:jc w:val="left"/>
            </w:pPr>
            <w:r>
              <w:rPr>
                <w:rFonts w:ascii="Cambria" w:hAnsi="Cambria" w:cs="Cambria" w:eastAsia="Cambria"/>
                <w:color w:val="1A1A1A"/>
                <w:sz w:val="18"/>
              </w:rPr>
              <w:t xml:space="preserve">~4,6 : 1</w:t>
            </w:r>
          </w:p>
        </w:tc>
      </w:tr>
    </w:tbl>
    <w:p>
      <w:pPr>
        <w:pStyle w:val="BodyText"/>
      </w:pPr>
      <w:r>
        <w:rPr>
          <w:i/>
          <w:iCs/>
        </w:rPr>
        <w:t xml:space="preserve">Tabella 10.10 — Calcolo del rendimento sociale netto dell’investimento, per scenario, e confronto con il rapporto lordo che include il valore della salute. Il rendimento sociale netto, calcolato sul valore sociale al netto dei deflatori, è deliberatamente più conservativo del rapporto lordo, e si colloca al margine inferiore della fascia superiore di Chisholm.</w:t>
      </w:r>
    </w:p>
    <w:p>
      <w:pPr>
        <w:pStyle w:val="BodyText"/>
      </w:pPr>
      <w:r>
        <w:t xml:space="preserve">Il rendimento sociale netto dell’investimento della riforma è dunque dell’ordine di 3,2 a 1 nello scenario intermedio, di circa 3,1 a 1 nello scenario conservativo e di circa 3,5 a 1 nello scenario espansivo. Esso significa che ogni euro investito nella riforma genera, in valore sociale netto, dell’ordine di tre euro e mezzo, depurati di quanto si sarebbe verificato comunque, di quanto è imputabile ad altri fattori, di quanto è spostato altrove e di quanto decade nel tempo. Questo rendimento è deliberatamente più conservativo del rapporto lordo che include il valore della salute, stabilito dalla prima voce e dell’ordine di 4,3 a 1 nello scenario intermedio: la differenza tra i due — dal rapporto lordo di 4,3 a 1 al rendimento netto di 3,2 a 1 — è precisamente l’effetto dei deflatori, che il rendimento sociale applica e il rapporto lordo no. Il rendimento sociale netto è dunque la misura più prudente del valore della riforma per euro investito, e la sua entità — dell’ordine di tre a uno e mezzo, anche dopo i deflatori — testimonia la robustezza del valore: anche depurato delle quote non genuinamente imputabili, il valore sociale creato per ogni euro investito è dell’ordine di tre volte l’investimento.</w:t>
      </w:r>
      <w:r>
        <w:rPr>
          <w:rStyle w:val="FootnoteReference"/>
        </w:rPr>
        <w:footnoteReference w:id="296"/>
      </w:r>
    </w:p>
    <w:p>
      <w:pPr>
        <w:pStyle w:val="BodyText"/>
      </w:pPr>
      <w:r>
        <w:t xml:space="preserve">La collocazione del rendimento sociale netto rispetto agli intervalli di Chisholm va precisata, distinguendola da quella del rapporto lordo. Il rapporto lordo che include il valore della salute, stabilito dalla prima voce, si colloca entro la fascia superiore di Chisholm, compresa tra 3,3 e 5,7 a 1; il rendimento sociale netto, più conservativo per effetto dei deflatori, si colloca al margine inferiore di tale fascia, o lievemente al di sotto di esso negli scenari conservativo e intermedio, dell’ordine di 3,1 e 3,2 a 1. Questa collocazione al margine inferiore non è un esito sfavorevole, ma la conseguenza della prudenza del metodo: il rendimento sociale applica deflatori che la fascia di Chisholm non applica, ed è perciò atteso che esso si collochi al di sotto del rapporto lordo, verso il margine inferiore della fascia. Che il rendimento sociale netto, anche dopo i deflatori, si mantenga in prossimità del margine inferiore della fascia superiore di Chisholm è un’ulteriore conferma della coerenza del valore della riforma con la letteratura: il valore sociale, depurato con il metodo più prudente, resta dell’ordine del rendimento che la letteratura associa agli investimenti in salute mentale comprensivi dei ritorni di salute. Il rendimento sociale netto fornisce dunque la stima più conservativa del valore per euro investito, e la sua coerenza con il margine inferiore della fascia superiore di Chisholm ne conferma la robustezza.</w:t>
      </w:r>
    </w:p>
    <w:bookmarkEnd w:id="678"/>
    <w:bookmarkStart w:id="680" w:name="X1fcbc1b36e80df0dc6b86231c8738da5224bd46"/>
    <w:p>
      <w:pPr>
        <w:pStyle w:val="Heading2"/>
      </w:pPr>
      <w:r>
        <w:t xml:space="preserve">10.3.4 La graduazione, i confini e il rapporto con le altre misure</w:t>
      </w:r>
    </w:p>
    <w:p>
      <w:pPr>
        <w:pStyle w:val="FirstParagraph"/>
      </w:pPr>
      <w:r>
        <w:t xml:space="preserve">La solidità del rendimento sociale dell’investimento va dichiarata, distinguendone le componenti, alcune più solide e altre più incerte. La componente del valore sociale lordo eredita la graduazione delle grandezze che la compongono: i benefici sociali indiretti, graduati nella nona parte da moderata a bassa secondo i domini, e il valore monetizzato dei guadagni di salute, la cui costo-efficacia è solida ma la cui monetizzazione dipende dal valore convenzionale dell’anno di vita in buona salute. La componente dei deflatori è invece soggetta a maggiore incertezza, perché l’entità di ciascun deflatore — quanto si sarebbe verificato comunque, quanto è imputabile ad altri fattori, quanto è spostato altrove — è stimata sulla base di valori comunemente adottati ma non specifici al contesto, e il fattore di ritenzione che ne risulta è perciò una stima prudenziale soggetta a margine di incertezza. Il rendimento sociale netto, prodotto del valore lordo per il fattore di ritenzione e rapportato all’investimento, eredita l’incertezza di entrambe le componenti, ed è perciò presentato come stima centrale di un intervallo, la cui ampiezza riflette tanto l’incertezza del valore lordo quanto quella dei deflatori.</w:t>
      </w:r>
      <w:r>
        <w:rPr>
          <w:rStyle w:val="FootnoteReference"/>
        </w:rPr>
        <w:footnoteReference w:id="297"/>
      </w:r>
    </w:p>
    <w:p>
      <w:pPr>
        <w:pStyle w:val="BodyText"/>
      </w:pPr>
      <w:r>
        <w:t xml:space="preserve">Da questa graduazione discendono i confini del rendimento sociale e il suo rapporto con le altre misure della valutazione integrata, che è opportuno precisare per collocarlo correttamente. In primo luogo, il rendimento sociale considera il valore sociale complessivo — i benefici indiretti e il valore della salute — ed esclude le grandezze fiscali dirette, che sono oggetto dell’analisi di impatto di bilancio; esso non è dunque una misura del ritorno fiscale, ma del ritorno sociale, e va letto come tale. In secondo luogo, il rendimento sociale è la misura più conservativa del valore per euro investito, perché applica i deflatori che le altre misure non applicano; esso si colloca perciò al di sotto del rapporto lordo che include il valore della salute, verso il margine inferiore della fascia superiore di Chisholm, e va letto come la stima prudente del valore sociale. In terzo luogo, il rendimento sociale è riferito ai valori annui, e la sua proiezione nel tempo, che ne accumula il valore lungo l’orizzonte tenendo conto del decadimento, è riservata alla modellazione dell’undicesima parte. Il rendimento sociale dell’investimento stabilisce così la misura più ampia e insieme più prudente del valore della riforma per euro investito — dell’ordine di tre a uno e mezzo, anche dopo i deflatori — e la consegna alla valutazione integrata come misura sintetica del valore sociale. Stabilite le tre dimensioni — la costo-efficacia, la sostenibilità e il rendimento sociale — la valutazione integrata può ora muovere verso la sintesi multi-criterio, che ricompone le molteplici dimensioni della riforma in una valutazione strutturata, e quindi verso il saldo consolidato, che le ricompone tutte in un quadro unitario.</w:t>
      </w:r>
    </w:p>
    <w:bookmarkEnd w:id="680"/>
    <w:bookmarkEnd w:id="681"/>
    <w:bookmarkStart w:id="691" w:name="la-sintesi-multi-criterio"/>
    <w:p>
      <w:pPr>
        <w:pStyle w:val="Heading2"/>
      </w:pPr>
      <w:r>
        <w:t xml:space="preserve">10.4 La sintesi multi-criterio</w:t>
      </w:r>
    </w:p>
    <w:p>
      <w:pPr>
        <w:pStyle w:val="FirstParagraph"/>
      </w:pPr>
      <w:r>
        <w:rPr>
          <w:i/>
          <w:iCs/>
        </w:rPr>
        <w:t xml:space="preserve">La quarta voce della valutazione integrata conduce la sintesi multi-criterio, che ricompone le molteplici dimensioni della riforma in una valutazione strutturata, eccedente la sola dimensione monetaria. Le voci precedenti hanno misurato la riforma su dimensioni distinte — l’efficienza sul piano della salute, la sostenibilità per il bilancio sanitario, il rendimento sociale per euro investito — ciascuna con la propria unità di misura; ma la decisione su una riforma non si fonda su una sola dimensione, bensì sulla loro composizione, che richiede di confrontare e ponderare grandezze eterogenee. La sintesi multi-criterio è lo strumento che opera questa composizione: essa individua i criteri rilevanti per la decisione, attribuisce a ciascuno un peso che ne esprime l’importanza relativa, valuta la riforma su ciascun criterio e compone le valutazioni in un punteggio composito, che esprime il valore complessivo della riforma su tutte le dimensioni considerate. La voce stabilisce i criteri e i pesi canonici, valuta la riforma su ciascun criterio e per ciascuno scenario, ne calcola il punteggio composito e ne saggia la robustezza rispetto alla scelta dei pesi.</w:t>
      </w:r>
    </w:p>
    <w:bookmarkStart w:id="683" w:name="la-logica-della-sintesi-multi-criterio"/>
    <w:p>
      <w:pPr>
        <w:pStyle w:val="Heading2"/>
      </w:pPr>
      <w:r>
        <w:t xml:space="preserve">10.4.1 La logica della sintesi multi-criterio</w:t>
      </w:r>
    </w:p>
    <w:p>
      <w:pPr>
        <w:pStyle w:val="FirstParagraph"/>
      </w:pPr>
      <w:r>
        <w:t xml:space="preserve">La sintesi multi-criterio è lo strumento con cui la valutazione compone in un quadro unitario dimensioni eterogenee, che non si lasciano ridurre a un’unica unità di misura. Essa muove dal riconoscimento che la decisione su una riforma dipende da una pluralità di criteri — l’efficacia clinica, il ritorno economico, l’equità, la sostenibilità, la fattibilità, la qualità del servizio — e che questi criteri sono di natura diversa, alcuni misurabili in unità monetarie, altri in unità di salute, altri ancora in termini qualitativi; e che, per comporli in una valutazione complessiva, occorre un metodo che li renda confrontabili senza ridurli artificiosamente l’uno all’altro. Il metodo della sintesi multi-criterio consiste nel valutare la riforma su ciascun criterio mediante un punteggio su una scala comune, nell’attribuire a ciascun criterio un peso che ne esprime l’importanza relativa nella decisione, e nel comporre i punteggi ponderati in un punteggio composito, che esprime il valore complessivo della riforma su tutti i criteri considerati.</w:t>
      </w:r>
      <w:r>
        <w:rPr>
          <w:rStyle w:val="FootnoteReference"/>
        </w:rPr>
        <w:footnoteReference w:id="298"/>
      </w:r>
    </w:p>
    <w:p>
      <w:pPr>
        <w:pStyle w:val="BodyText"/>
      </w:pPr>
      <w:r>
        <w:t xml:space="preserve">La sintesi multi-criterio non sostituisce le valutazioni economiche delle voci precedenti, ma le ricompone in un quadro più ampio, che eccede la dimensione monetaria. Le valutazioni economiche — la costo-efficacia, l’impatto di bilancio, il rendimento sociale — entrano nella sintesi multi-criterio come criteri, accanto ai criteri non monetari dell’equità, della fattibilità e della qualità del servizio; e la sintesi le compone con questi ultimi in una valutazione complessiva. Il valore della sintesi multi-criterio sta proprio in questa capacità di comporre il monetario e il non monetario: una riforma può essere favorevole sul piano economico ma problematica sul piano dell’equità o della fattibilità, e la sola valutazione economica non coglierebbe questa tensione; la sintesi multi-criterio, considerando tutti i criteri, restituisce una valutazione complessiva che tiene conto di tutte le dimensioni rilevanti per la decisione, e che è perciò più adeguata a fondarla. La sintesi multi-criterio è dunque lo strumento con cui la valutazione integrata perviene alla valutazione complessiva della riforma, componendo le dimensioni economiche con quelle non economiche.</w:t>
      </w:r>
    </w:p>
    <w:bookmarkEnd w:id="683"/>
    <w:bookmarkStart w:id="684" w:name="i-criteri-e-i-pesi-canonici"/>
    <w:p>
      <w:pPr>
        <w:pStyle w:val="Heading2"/>
      </w:pPr>
      <w:r>
        <w:t xml:space="preserve">10.4.2 I criteri e i pesi canonici</w:t>
      </w:r>
    </w:p>
    <w:p>
      <w:pPr>
        <w:pStyle w:val="FirstParagraph"/>
      </w:pPr>
      <w:r>
        <w:t xml:space="preserve">I criteri della sintesi multi-criterio sono individuati in modo da coprire le dimensioni rilevanti per la decisione su una riforma sanitaria, e i pesi sono attribuiti in modo canonico, ossia uniforme per l’intera serie regionale dello studio, sì che la valutazione delle diverse regioni sia condotta sui medesimi criteri e con i medesimi pesi, e risulti perciò confrontabile. I criteri sono sei: l’efficacia clinica e i guadagni di salute, che misura il valore della riforma sul piano della salute prodotta; il ritorno economico, diretto e indiretto, che misura il valore della riforma sul piano economico; l’equità e l’impatto distributivo, che misura la distribuzione degli effetti della riforma tra i territori e le popolazioni; la sostenibilità finanziaria, che misura la compatibilità della riforma con i vincoli di bilancio; la fattibilità attuativa, che misura la realizzabilità della riforma sul piano organizzativo; e l’innovazione e la qualità del servizio, che misura il valore della riforma sul piano della qualità e dell’innovazione del servizio offerto. La tabella che segue espone i criteri e i pesi canonici.</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Criterio di valutazione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Peso canonico</w:t>
            </w:r>
          </w:p>
        </w:tc>
      </w:tr>
      <w:tr>
        <w:tc>
          <w:tcPr/>
          <w:p>
            <w:pPr>
              <w:pStyle w:val="Compact"/>
              <w:spacing w:after="40" w:before="40"/>
              <w:jc w:val="left"/>
            </w:pPr>
            <w:r>
              <w:rPr>
                <w:rFonts w:ascii="Cambria" w:hAnsi="Cambria" w:cs="Cambria" w:eastAsia="Cambria"/>
                <w:color w:val="1A1A1A"/>
                <w:sz w:val="18"/>
              </w:rPr>
              <w:t xml:space="preserve">Efficacia clinica e guadagni di salute</w:t>
            </w:r>
          </w:p>
        </w:tc>
        <w:tc>
          <w:tcPr/>
          <w:p>
            <w:pPr>
              <w:pStyle w:val="Compact"/>
              <w:spacing w:after="40" w:before="40"/>
              <w:jc w:val="left"/>
            </w:pPr>
            <w:r>
              <w:rPr>
                <w:rFonts w:ascii="Cambria" w:hAnsi="Cambria" w:cs="Cambria" w:eastAsia="Cambria"/>
                <w:color w:val="1A1A1A"/>
                <w:sz w:val="18"/>
              </w:rPr>
              <w:t xml:space="preserve">0,25</w:t>
            </w:r>
          </w:p>
        </w:tc>
      </w:tr>
      <w:tr>
        <w:tc>
          <w:tcPr>
            <w:shd w:val="clear" w:color="auto" w:fill="F4F1EC"/>
          </w:tcPr>
          <w:p>
            <w:pPr>
              <w:pStyle w:val="Compact"/>
              <w:spacing w:after="40" w:before="40"/>
              <w:jc w:val="left"/>
            </w:pPr>
            <w:r>
              <w:rPr>
                <w:rFonts w:ascii="Cambria" w:hAnsi="Cambria" w:cs="Cambria" w:eastAsia="Cambria"/>
                <w:color w:val="1A1A1A"/>
                <w:sz w:val="18"/>
              </w:rPr>
              <w:t xml:space="preserve">Ritorno economico (diretto e indiretto)</w:t>
            </w:r>
          </w:p>
        </w:tc>
        <w:tc>
          <w:tcPr>
            <w:shd w:val="clear" w:color="auto" w:fill="F4F1EC"/>
          </w:tcPr>
          <w:p>
            <w:pPr>
              <w:pStyle w:val="Compact"/>
              <w:spacing w:after="40" w:before="40"/>
              <w:jc w:val="left"/>
            </w:pPr>
            <w:r>
              <w:rPr>
                <w:rFonts w:ascii="Cambria" w:hAnsi="Cambria" w:cs="Cambria" w:eastAsia="Cambria"/>
                <w:color w:val="1A1A1A"/>
                <w:sz w:val="18"/>
              </w:rPr>
              <w:t xml:space="preserve">0,20</w:t>
            </w:r>
          </w:p>
        </w:tc>
      </w:tr>
      <w:tr>
        <w:tc>
          <w:tcPr/>
          <w:p>
            <w:pPr>
              <w:pStyle w:val="Compact"/>
              <w:spacing w:after="40" w:before="40"/>
              <w:jc w:val="left"/>
            </w:pPr>
            <w:r>
              <w:rPr>
                <w:rFonts w:ascii="Cambria" w:hAnsi="Cambria" w:cs="Cambria" w:eastAsia="Cambria"/>
                <w:color w:val="1A1A1A"/>
                <w:sz w:val="18"/>
              </w:rPr>
              <w:t xml:space="preserve">Equità e impatto distributivo</w:t>
            </w:r>
          </w:p>
        </w:tc>
        <w:tc>
          <w:tcPr/>
          <w:p>
            <w:pPr>
              <w:pStyle w:val="Compact"/>
              <w:spacing w:after="40" w:before="40"/>
              <w:jc w:val="left"/>
            </w:pPr>
            <w:r>
              <w:rPr>
                <w:rFonts w:ascii="Cambria" w:hAnsi="Cambria" w:cs="Cambria" w:eastAsia="Cambria"/>
                <w:color w:val="1A1A1A"/>
                <w:sz w:val="18"/>
              </w:rPr>
              <w:t xml:space="preserve">0,20</w:t>
            </w:r>
          </w:p>
        </w:tc>
      </w:tr>
      <w:tr>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w:t>
            </w:r>
          </w:p>
        </w:tc>
        <w:tc>
          <w:tcPr>
            <w:shd w:val="clear" w:color="auto" w:fill="F4F1EC"/>
          </w:tcPr>
          <w:p>
            <w:pPr>
              <w:pStyle w:val="Compact"/>
              <w:spacing w:after="40" w:before="40"/>
              <w:jc w:val="left"/>
            </w:pPr>
            <w:r>
              <w:rPr>
                <w:rFonts w:ascii="Cambria" w:hAnsi="Cambria" w:cs="Cambria" w:eastAsia="Cambria"/>
                <w:color w:val="1A1A1A"/>
                <w:sz w:val="18"/>
              </w:rPr>
              <w:t xml:space="preserve">0,15</w:t>
            </w:r>
          </w:p>
        </w:tc>
      </w:tr>
      <w:tr>
        <w:tc>
          <w:tcPr/>
          <w:p>
            <w:pPr>
              <w:pStyle w:val="Compact"/>
              <w:spacing w:after="40" w:before="40"/>
              <w:jc w:val="left"/>
            </w:pPr>
            <w:r>
              <w:rPr>
                <w:rFonts w:ascii="Cambria" w:hAnsi="Cambria" w:cs="Cambria" w:eastAsia="Cambria"/>
                <w:color w:val="1A1A1A"/>
                <w:sz w:val="18"/>
              </w:rPr>
              <w:t xml:space="preserve">Fattibilità attuativa</w:t>
            </w:r>
          </w:p>
        </w:tc>
        <w:tc>
          <w:tcPr/>
          <w:p>
            <w:pPr>
              <w:pStyle w:val="Compact"/>
              <w:spacing w:after="40" w:before="40"/>
              <w:jc w:val="left"/>
            </w:pPr>
            <w:r>
              <w:rPr>
                <w:rFonts w:ascii="Cambria" w:hAnsi="Cambria" w:cs="Cambria" w:eastAsia="Cambria"/>
                <w:color w:val="1A1A1A"/>
                <w:sz w:val="18"/>
              </w:rPr>
              <w:t xml:space="preserve">0,10</w:t>
            </w:r>
          </w:p>
        </w:tc>
      </w:tr>
      <w:tr>
        <w:tc>
          <w:tcPr>
            <w:shd w:val="clear" w:color="auto" w:fill="F4F1EC"/>
          </w:tcPr>
          <w:p>
            <w:pPr>
              <w:pStyle w:val="Compact"/>
              <w:spacing w:after="40" w:before="40"/>
              <w:jc w:val="left"/>
            </w:pPr>
            <w:r>
              <w:rPr>
                <w:rFonts w:ascii="Cambria" w:hAnsi="Cambria" w:cs="Cambria" w:eastAsia="Cambria"/>
                <w:color w:val="1A1A1A"/>
                <w:sz w:val="18"/>
              </w:rPr>
              <w:t xml:space="preserve">Innovazione e qualità del servizio</w:t>
            </w:r>
          </w:p>
        </w:tc>
        <w:tc>
          <w:tcPr>
            <w:shd w:val="clear" w:color="auto" w:fill="F4F1EC"/>
          </w:tcPr>
          <w:p>
            <w:pPr>
              <w:pStyle w:val="Compact"/>
              <w:spacing w:after="40" w:before="40"/>
              <w:jc w:val="left"/>
            </w:pPr>
            <w:r>
              <w:rPr>
                <w:rFonts w:ascii="Cambria" w:hAnsi="Cambria" w:cs="Cambria" w:eastAsia="Cambria"/>
                <w:color w:val="1A1A1A"/>
                <w:sz w:val="18"/>
              </w:rPr>
              <w:t xml:space="preserve">0,10</w:t>
            </w:r>
          </w:p>
        </w:tc>
      </w:tr>
      <w:tr>
        <w:tc>
          <w:tcPr/>
          <w:p>
            <w:pPr>
              <w:pStyle w:val="Compact"/>
              <w:spacing w:after="40" w:before="40"/>
              <w:jc w:val="left"/>
            </w:pPr>
            <w:r>
              <w:rPr>
                <w:rFonts w:ascii="Cambria" w:hAnsi="Cambria" w:cs="Cambria" w:eastAsia="Cambria"/>
                <w:color w:val="1A1A1A"/>
                <w:sz w:val="18"/>
              </w:rPr>
              <w:t xml:space="preserve">Totale</w:t>
            </w:r>
          </w:p>
        </w:tc>
        <w:tc>
          <w:tcPr/>
          <w:p>
            <w:pPr>
              <w:pStyle w:val="Compact"/>
              <w:spacing w:after="40" w:before="40"/>
              <w:jc w:val="left"/>
            </w:pPr>
            <w:r>
              <w:rPr>
                <w:rFonts w:ascii="Cambria" w:hAnsi="Cambria" w:cs="Cambria" w:eastAsia="Cambria"/>
                <w:color w:val="1A1A1A"/>
                <w:sz w:val="18"/>
              </w:rPr>
              <w:t xml:space="preserve">1,00</w:t>
            </w:r>
          </w:p>
        </w:tc>
      </w:tr>
    </w:tbl>
    <w:p>
      <w:pPr>
        <w:pStyle w:val="BodyText"/>
      </w:pPr>
      <w:r>
        <w:rPr>
          <w:i/>
          <w:iCs/>
        </w:rPr>
        <w:t xml:space="preserve">Tabella 10.11 — Criteri della sintesi multi-criterio e pesi canonici, uniformi per l’intera serie regionale dello studio. I sei criteri coprono le dimensioni della salute, del ritorno economico, dell’equità, della sostenibilità, della fattibilità e della qualità del servizio; i pesi, che sommano all’unità, ne esprimono l’importanza relativa nella decisione.</w:t>
      </w:r>
    </w:p>
    <w:p>
      <w:pPr>
        <w:pStyle w:val="BodyText"/>
      </w:pPr>
      <w:r>
        <w:t xml:space="preserve">La struttura dei pesi canonici riflette una gerarchia di importanza tra i criteri, fondata sulla natura della decisione. Il peso maggiore, dell’ordine di un quarto, è attribuito all’efficacia clinica e ai guadagni di salute, perché la finalità prima di una riforma sanitaria è la produzione di salute, e il valore della riforma su questo piano è il criterio dirimente. Il ritorno economico e l’equità ricevono ciascuno un peso dell’ordine di un quinto, perché il valore economico della riforma e la giustizia della distribuzione dei suoi effetti sono entrambi criteri di primo rilievo, il primo per la sostenibilità complessiva e il secondo per la legittimità della riforma. La sostenibilità finanziaria riceve un peso dell’ordine di un settimo, perché la compatibilità con i vincoli di bilancio è condizione necessaria della realizzabilità, ancorché subordinata alla finalità di salute. La fattibilità attuativa e l’innovazione ricevono ciascuna un peso dell’ordine di un decimo, perché la realizzabilità organizzativa e la qualità del servizio sono criteri rilevanti ma di rango inferiore rispetto ai precedenti. La gerarchia dei pesi colloca dunque al vertice la salute, in posizione intermedia il ritorno economico e l’equità, e in posizione subordinata la sostenibilità, la fattibilità e l’innovazione, in coerenza con la natura della decisione su una riforma sanitaria.</w:t>
      </w:r>
    </w:p>
    <w:bookmarkEnd w:id="684"/>
    <w:bookmarkStart w:id="686" w:name="X3182df6280eab8d4ee1a1fbd258d3be8a841438"/>
    <w:p>
      <w:pPr>
        <w:pStyle w:val="Heading2"/>
      </w:pPr>
      <w:r>
        <w:t xml:space="preserve">10.4.3 I punteggi della riforma per criterio e per scenario</w:t>
      </w:r>
    </w:p>
    <w:p>
      <w:pPr>
        <w:pStyle w:val="FirstParagraph"/>
      </w:pPr>
      <w:r>
        <w:t xml:space="preserve">La valutazione della riforma su ciascun criterio è espressa mediante un punteggio su una scala da zero a cento, attribuito sulla base dei risultati stabiliti dalle parti precedenti dello studio, e differenziato per scenario di dimensionamento. Il punteggio riflette il grado in cui la riforma soddisfa il criterio: un punteggio elevato indica che la riforma soddisfa pienamente il criterio, un punteggio modesto indica che lo soddisfa parzialmente. La tabella che segue espone i punteggi della riforma per ciascun criterio e per ciascuno scenario, con il peso canonico di ciascun criterio.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Criterio di valutazione (peso canonico)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r>
      <w:tr>
        <w:tc>
          <w:tcPr/>
          <w:p>
            <w:pPr>
              <w:pStyle w:val="Compact"/>
              <w:spacing w:after="40" w:before="40"/>
              <w:jc w:val="left"/>
            </w:pPr>
            <w:r>
              <w:rPr>
                <w:rFonts w:ascii="Cambria" w:hAnsi="Cambria" w:cs="Cambria" w:eastAsia="Cambria"/>
                <w:color w:val="1A1A1A"/>
                <w:sz w:val="18"/>
              </w:rPr>
              <w:t xml:space="preserve">Efficacia clinica e guadagni di salute (0,25)</w:t>
            </w:r>
          </w:p>
        </w:tc>
        <w:tc>
          <w:tcPr/>
          <w:p>
            <w:pPr>
              <w:pStyle w:val="Compact"/>
              <w:spacing w:after="40" w:before="40"/>
              <w:jc w:val="left"/>
            </w:pPr>
            <w:r>
              <w:rPr>
                <w:rFonts w:ascii="Cambria" w:hAnsi="Cambria" w:cs="Cambria" w:eastAsia="Cambria"/>
                <w:color w:val="1A1A1A"/>
                <w:sz w:val="18"/>
              </w:rPr>
              <w:t xml:space="preserve">78</w:t>
            </w:r>
          </w:p>
        </w:tc>
        <w:tc>
          <w:tcPr/>
          <w:p>
            <w:pPr>
              <w:pStyle w:val="Compact"/>
              <w:spacing w:after="40" w:before="40"/>
              <w:jc w:val="left"/>
            </w:pPr>
            <w:r>
              <w:rPr>
                <w:rFonts w:ascii="Cambria" w:hAnsi="Cambria" w:cs="Cambria" w:eastAsia="Cambria"/>
                <w:color w:val="1A1A1A"/>
                <w:sz w:val="18"/>
              </w:rPr>
              <w:t xml:space="preserve">82</w:t>
            </w:r>
          </w:p>
        </w:tc>
        <w:tc>
          <w:tcPr/>
          <w:p>
            <w:pPr>
              <w:pStyle w:val="Compact"/>
              <w:spacing w:after="40" w:before="40"/>
              <w:jc w:val="left"/>
            </w:pPr>
            <w:r>
              <w:rPr>
                <w:rFonts w:ascii="Cambria" w:hAnsi="Cambria" w:cs="Cambria" w:eastAsia="Cambria"/>
                <w:color w:val="1A1A1A"/>
                <w:sz w:val="18"/>
              </w:rPr>
              <w:t xml:space="preserve">85</w:t>
            </w:r>
          </w:p>
        </w:tc>
      </w:tr>
      <w:tr>
        <w:tc>
          <w:tcPr>
            <w:shd w:val="clear" w:color="auto" w:fill="F4F1EC"/>
          </w:tcPr>
          <w:p>
            <w:pPr>
              <w:pStyle w:val="Compact"/>
              <w:spacing w:after="40" w:before="40"/>
              <w:jc w:val="left"/>
            </w:pPr>
            <w:r>
              <w:rPr>
                <w:rFonts w:ascii="Cambria" w:hAnsi="Cambria" w:cs="Cambria" w:eastAsia="Cambria"/>
                <w:color w:val="1A1A1A"/>
                <w:sz w:val="18"/>
              </w:rPr>
              <w:t xml:space="preserve">Ritorno economico, diretto e indiretto (0,20)</w:t>
            </w:r>
          </w:p>
        </w:tc>
        <w:tc>
          <w:tcPr>
            <w:shd w:val="clear" w:color="auto" w:fill="F4F1EC"/>
          </w:tcPr>
          <w:p>
            <w:pPr>
              <w:pStyle w:val="Compact"/>
              <w:spacing w:after="40" w:before="40"/>
              <w:jc w:val="left"/>
            </w:pPr>
            <w:r>
              <w:rPr>
                <w:rFonts w:ascii="Cambria" w:hAnsi="Cambria" w:cs="Cambria" w:eastAsia="Cambria"/>
                <w:color w:val="1A1A1A"/>
                <w:sz w:val="18"/>
              </w:rPr>
              <w:t xml:space="preserve">74</w:t>
            </w:r>
          </w:p>
        </w:tc>
        <w:tc>
          <w:tcPr>
            <w:shd w:val="clear" w:color="auto" w:fill="F4F1EC"/>
          </w:tcPr>
          <w:p>
            <w:pPr>
              <w:pStyle w:val="Compact"/>
              <w:spacing w:after="40" w:before="40"/>
              <w:jc w:val="left"/>
            </w:pPr>
            <w:r>
              <w:rPr>
                <w:rFonts w:ascii="Cambria" w:hAnsi="Cambria" w:cs="Cambria" w:eastAsia="Cambria"/>
                <w:color w:val="1A1A1A"/>
                <w:sz w:val="18"/>
              </w:rPr>
              <w:t xml:space="preserve">78</w:t>
            </w:r>
          </w:p>
        </w:tc>
        <w:tc>
          <w:tcPr>
            <w:shd w:val="clear" w:color="auto" w:fill="F4F1EC"/>
          </w:tcPr>
          <w:p>
            <w:pPr>
              <w:pStyle w:val="Compact"/>
              <w:spacing w:after="40" w:before="40"/>
              <w:jc w:val="left"/>
            </w:pPr>
            <w:r>
              <w:rPr>
                <w:rFonts w:ascii="Cambria" w:hAnsi="Cambria" w:cs="Cambria" w:eastAsia="Cambria"/>
                <w:color w:val="1A1A1A"/>
                <w:sz w:val="18"/>
              </w:rPr>
              <w:t xml:space="preserve">80</w:t>
            </w:r>
          </w:p>
        </w:tc>
      </w:tr>
      <w:tr>
        <w:tc>
          <w:tcPr/>
          <w:p>
            <w:pPr>
              <w:pStyle w:val="Compact"/>
              <w:spacing w:after="40" w:before="40"/>
              <w:jc w:val="left"/>
            </w:pPr>
            <w:r>
              <w:rPr>
                <w:rFonts w:ascii="Cambria" w:hAnsi="Cambria" w:cs="Cambria" w:eastAsia="Cambria"/>
                <w:color w:val="1A1A1A"/>
                <w:sz w:val="18"/>
              </w:rPr>
              <w:t xml:space="preserve">Equità e impatto distributivo (0,20)</w:t>
            </w:r>
          </w:p>
        </w:tc>
        <w:tc>
          <w:tcPr/>
          <w:p>
            <w:pPr>
              <w:pStyle w:val="Compact"/>
              <w:spacing w:after="40" w:before="40"/>
              <w:jc w:val="left"/>
            </w:pPr>
            <w:r>
              <w:rPr>
                <w:rFonts w:ascii="Cambria" w:hAnsi="Cambria" w:cs="Cambria" w:eastAsia="Cambria"/>
                <w:color w:val="1A1A1A"/>
                <w:sz w:val="18"/>
              </w:rPr>
              <w:t xml:space="preserve">70</w:t>
            </w:r>
          </w:p>
        </w:tc>
        <w:tc>
          <w:tcPr/>
          <w:p>
            <w:pPr>
              <w:pStyle w:val="Compact"/>
              <w:spacing w:after="40" w:before="40"/>
              <w:jc w:val="left"/>
            </w:pPr>
            <w:r>
              <w:rPr>
                <w:rFonts w:ascii="Cambria" w:hAnsi="Cambria" w:cs="Cambria" w:eastAsia="Cambria"/>
                <w:color w:val="1A1A1A"/>
                <w:sz w:val="18"/>
              </w:rPr>
              <w:t xml:space="preserve">72</w:t>
            </w:r>
          </w:p>
        </w:tc>
        <w:tc>
          <w:tcPr/>
          <w:p>
            <w:pPr>
              <w:pStyle w:val="Compact"/>
              <w:spacing w:after="40" w:before="40"/>
              <w:jc w:val="left"/>
            </w:pPr>
            <w:r>
              <w:rPr>
                <w:rFonts w:ascii="Cambria" w:hAnsi="Cambria" w:cs="Cambria" w:eastAsia="Cambria"/>
                <w:color w:val="1A1A1A"/>
                <w:sz w:val="18"/>
              </w:rPr>
              <w:t xml:space="preserve">75</w:t>
            </w:r>
          </w:p>
        </w:tc>
      </w:tr>
      <w:tr>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(0,15)</w:t>
            </w:r>
          </w:p>
        </w:tc>
        <w:tc>
          <w:tcPr>
            <w:shd w:val="clear" w:color="auto" w:fill="F4F1EC"/>
          </w:tcPr>
          <w:p>
            <w:pPr>
              <w:pStyle w:val="Compact"/>
              <w:spacing w:after="40" w:before="40"/>
              <w:jc w:val="left"/>
            </w:pPr>
            <w:r>
              <w:rPr>
                <w:rFonts w:ascii="Cambria" w:hAnsi="Cambria" w:cs="Cambria" w:eastAsia="Cambria"/>
                <w:color w:val="1A1A1A"/>
                <w:sz w:val="18"/>
              </w:rPr>
              <w:t xml:space="preserve">82</w:t>
            </w:r>
          </w:p>
        </w:tc>
        <w:tc>
          <w:tcPr>
            <w:shd w:val="clear" w:color="auto" w:fill="F4F1EC"/>
          </w:tcPr>
          <w:p>
            <w:pPr>
              <w:pStyle w:val="Compact"/>
              <w:spacing w:after="40" w:before="40"/>
              <w:jc w:val="left"/>
            </w:pPr>
            <w:r>
              <w:rPr>
                <w:rFonts w:ascii="Cambria" w:hAnsi="Cambria" w:cs="Cambria" w:eastAsia="Cambria"/>
                <w:color w:val="1A1A1A"/>
                <w:sz w:val="18"/>
              </w:rPr>
              <w:t xml:space="preserve">80</w:t>
            </w:r>
          </w:p>
        </w:tc>
        <w:tc>
          <w:tcPr>
            <w:shd w:val="clear" w:color="auto" w:fill="F4F1EC"/>
          </w:tcPr>
          <w:p>
            <w:pPr>
              <w:pStyle w:val="Compact"/>
              <w:spacing w:after="40" w:before="40"/>
              <w:jc w:val="left"/>
            </w:pPr>
            <w:r>
              <w:rPr>
                <w:rFonts w:ascii="Cambria" w:hAnsi="Cambria" w:cs="Cambria" w:eastAsia="Cambria"/>
                <w:color w:val="1A1A1A"/>
                <w:sz w:val="18"/>
              </w:rPr>
              <w:t xml:space="preserve">76</w:t>
            </w:r>
          </w:p>
        </w:tc>
      </w:tr>
      <w:tr>
        <w:tc>
          <w:tcPr/>
          <w:p>
            <w:pPr>
              <w:pStyle w:val="Compact"/>
              <w:spacing w:after="40" w:before="40"/>
              <w:jc w:val="left"/>
            </w:pPr>
            <w:r>
              <w:rPr>
                <w:rFonts w:ascii="Cambria" w:hAnsi="Cambria" w:cs="Cambria" w:eastAsia="Cambria"/>
                <w:color w:val="1A1A1A"/>
                <w:sz w:val="18"/>
              </w:rPr>
              <w:t xml:space="preserve">Fattibilità attuativa (0,10)</w:t>
            </w:r>
          </w:p>
        </w:tc>
        <w:tc>
          <w:tcPr/>
          <w:p>
            <w:pPr>
              <w:pStyle w:val="Compact"/>
              <w:spacing w:after="40" w:before="40"/>
              <w:jc w:val="left"/>
            </w:pPr>
            <w:r>
              <w:rPr>
                <w:rFonts w:ascii="Cambria" w:hAnsi="Cambria" w:cs="Cambria" w:eastAsia="Cambria"/>
                <w:color w:val="1A1A1A"/>
                <w:sz w:val="18"/>
              </w:rPr>
              <w:t xml:space="preserve">72</w:t>
            </w:r>
          </w:p>
        </w:tc>
        <w:tc>
          <w:tcPr/>
          <w:p>
            <w:pPr>
              <w:pStyle w:val="Compact"/>
              <w:spacing w:after="40" w:before="40"/>
              <w:jc w:val="left"/>
            </w:pPr>
            <w:r>
              <w:rPr>
                <w:rFonts w:ascii="Cambria" w:hAnsi="Cambria" w:cs="Cambria" w:eastAsia="Cambria"/>
                <w:color w:val="1A1A1A"/>
                <w:sz w:val="18"/>
              </w:rPr>
              <w:t xml:space="preserve">68</w:t>
            </w:r>
          </w:p>
        </w:tc>
        <w:tc>
          <w:tcPr/>
          <w:p>
            <w:pPr>
              <w:pStyle w:val="Compact"/>
              <w:spacing w:after="40" w:before="40"/>
              <w:jc w:val="left"/>
            </w:pPr>
            <w:r>
              <w:rPr>
                <w:rFonts w:ascii="Cambria" w:hAnsi="Cambria" w:cs="Cambria" w:eastAsia="Cambria"/>
                <w:color w:val="1A1A1A"/>
                <w:sz w:val="18"/>
              </w:rPr>
              <w:t xml:space="preserve">62</w:t>
            </w:r>
          </w:p>
        </w:tc>
      </w:tr>
      <w:tr>
        <w:tc>
          <w:tcPr>
            <w:shd w:val="clear" w:color="auto" w:fill="F4F1EC"/>
          </w:tcPr>
          <w:p>
            <w:pPr>
              <w:pStyle w:val="Compact"/>
              <w:spacing w:after="40" w:before="40"/>
              <w:jc w:val="left"/>
            </w:pPr>
            <w:r>
              <w:rPr>
                <w:rFonts w:ascii="Cambria" w:hAnsi="Cambria" w:cs="Cambria" w:eastAsia="Cambria"/>
                <w:color w:val="1A1A1A"/>
                <w:sz w:val="18"/>
              </w:rPr>
              <w:t xml:space="preserve">Innovazione e qualità del servizio (0,10)</w:t>
            </w:r>
          </w:p>
        </w:tc>
        <w:tc>
          <w:tcPr>
            <w:shd w:val="clear" w:color="auto" w:fill="F4F1EC"/>
          </w:tcPr>
          <w:p>
            <w:pPr>
              <w:pStyle w:val="Compact"/>
              <w:spacing w:after="40" w:before="40"/>
              <w:jc w:val="left"/>
            </w:pPr>
            <w:r>
              <w:rPr>
                <w:rFonts w:ascii="Cambria" w:hAnsi="Cambria" w:cs="Cambria" w:eastAsia="Cambria"/>
                <w:color w:val="1A1A1A"/>
                <w:sz w:val="18"/>
              </w:rPr>
              <w:t xml:space="preserve">72</w:t>
            </w:r>
          </w:p>
        </w:tc>
        <w:tc>
          <w:tcPr>
            <w:shd w:val="clear" w:color="auto" w:fill="F4F1EC"/>
          </w:tcPr>
          <w:p>
            <w:pPr>
              <w:pStyle w:val="Compact"/>
              <w:spacing w:after="40" w:before="40"/>
              <w:jc w:val="left"/>
            </w:pPr>
            <w:r>
              <w:rPr>
                <w:rFonts w:ascii="Cambria" w:hAnsi="Cambria" w:cs="Cambria" w:eastAsia="Cambria"/>
                <w:color w:val="1A1A1A"/>
                <w:sz w:val="18"/>
              </w:rPr>
              <w:t xml:space="preserve">75</w:t>
            </w:r>
          </w:p>
        </w:tc>
        <w:tc>
          <w:tcPr>
            <w:shd w:val="clear" w:color="auto" w:fill="F4F1EC"/>
          </w:tcPr>
          <w:p>
            <w:pPr>
              <w:pStyle w:val="Compact"/>
              <w:spacing w:after="40" w:before="40"/>
              <w:jc w:val="left"/>
            </w:pPr>
            <w:r>
              <w:rPr>
                <w:rFonts w:ascii="Cambria" w:hAnsi="Cambria" w:cs="Cambria" w:eastAsia="Cambria"/>
                <w:color w:val="1A1A1A"/>
                <w:sz w:val="18"/>
              </w:rPr>
              <w:t xml:space="preserve">78</w:t>
            </w:r>
          </w:p>
        </w:tc>
      </w:tr>
    </w:tbl>
    <w:p>
      <w:pPr>
        <w:pStyle w:val="BodyText"/>
      </w:pPr>
      <w:r>
        <w:rPr>
          <w:i/>
          <w:iCs/>
        </w:rPr>
        <w:t xml:space="preserve">Tabella 10.12 — Punteggi della riforma su ciascun criterio della sintesi multi-criterio, su scala da zero a cento, per scenario, con il peso canonico di ciascun criterio. I punteggi sono attribuiti sulla base dei risultati delle parti precedenti, e variano per scenario: crescono con il dimensionamento sui criteri della salute, del ritorno e dell’equità, e decrescono sui criteri della sostenibilità e della fattibilità, per i quali lo scenario espansivo, più oneroso e complesso, è meno favorevole.</w:t>
      </w:r>
    </w:p>
    <w:p>
      <w:pPr>
        <w:pStyle w:val="BodyText"/>
      </w:pPr>
      <w:r>
        <w:t xml:space="preserve">I punteggi riflettono i risultati stabiliti dalle parti precedenti, e la loro differenziazione per scenario ne esprime la dipendenza dal dimensionamento. Il criterio dell’efficacia clinica e dei guadagni di salute riceve punteggi elevati, dell’ordine di ottanta, fondati sull’evidenza solida dell’efficacia degli interventi psicologici nelle cure primarie, graduata nella sesta parte, e sulla netta costo-efficacia stabilita dalla prima voce di questa parte; il punteggio cresce con il dimensionamento, perché lo scenario espansivo, che intercetta una popolazione più ampia, produce maggiori guadagni di salute. Il criterio del ritorno economico riceve punteggi parimenti elevati, dell’ordine di settantacinque-ottanta, fondati sul rendimento dei benefici indiretti entro la fascia di Chisholm, stabilito dalla nona parte, e sul rendimento sociale stabilito dalla terza voce; anch’esso cresce con il dimensionamento. Il criterio dell’equità riceve punteggi dell’ordine di settanta-settantacinque, fondati sul miglioramento dell’accesso che la riforma produce nei territori meno serviti, temperato dal rischio di divario digitale, che la dodicesima parte analizzerà; esso cresce moderatamente con il dimensionamento, perché la maggiore copertura estende l’accesso.</w:t>
      </w:r>
      <w:r>
        <w:rPr>
          <w:rStyle w:val="FootnoteReference"/>
        </w:rPr>
        <w:footnoteReference w:id="299"/>
      </w:r>
    </w:p>
    <w:p>
      <w:pPr>
        <w:pStyle w:val="BodyText"/>
      </w:pPr>
      <w:r>
        <w:t xml:space="preserve">I criteri della sostenibilità e della fattibilità presentano, all’opposto, punteggi decrescenti con il dimensionamento, perché lo scenario espansivo, più oneroso e complesso, è meno favorevole su questi piani. Il criterio della sostenibilità finanziaria riceve punteggi elevati, dell’ordine di ottanta, fondati sul contenuto impatto di bilancio stabilito dalla seconda voce; ma il punteggio decresce dallo scenario conservativo all’espansivo, perché lo scenario espansivo, di costo maggiore, comporta un impatto di bilancio più rilevante, ancorché contenuto. Il criterio della fattibilità attuativa riceve punteggi dell’ordine di settanta, fondati sulla realizzabilità organizzativa della riforma; ma il punteggio decresce sensibilmente dallo scenario conservativo all’espansivo, perché lo scenario espansivo, che richiede il conferimento di un numero maggiore di incarichi e una più estesa integrazione organizzativa, è di più difficile attuazione. Il criterio dell’innovazione e della qualità del servizio riceve punteggi dell’ordine di settantacinque, fondati sull’impiego delle leve abilitanti — la leva digitale, le terapie digitali, il modello per intensità crescente — stabilito dalla quarta parte; esso cresce moderatamente con il dimensionamento, perché la maggiore scala consente un più pieno dispiegamento delle leve. La differenziazione dei punteggi per scenario riflette dunque la tensione tra i criteri che premiano la scala — la salute, il ritorno, l’equità, l’innovazione — e i criteri che la penalizzano — la sostenibilità e la fattibilità — e che la composizione ponderata dovrà comporre.</w:t>
      </w:r>
    </w:p>
    <w:bookmarkEnd w:id="686"/>
    <w:bookmarkStart w:id="688" w:name="X1a6b975009d28d76dc93f5617a25baf4ca59611"/>
    <w:p>
      <w:pPr>
        <w:pStyle w:val="Heading2"/>
      </w:pPr>
      <w:r>
        <w:t xml:space="preserve">10.4.4 Il punteggio composito e l’analisi di sensibilità ai pesi</w:t>
      </w:r>
    </w:p>
    <w:p>
      <w:pPr>
        <w:pStyle w:val="FirstParagraph"/>
      </w:pPr>
      <w:r>
        <w:t xml:space="preserve">Il punteggio composito si calcola componendo i punteggi della riforma su ciascun criterio, ponderati per il peso canonico del criterio, in un’unica grandezza che esprime il valore complessivo della riforma su tutti i criteri. Il calcolo si conduce moltiplicando il punteggio di ciascun criterio per il suo peso e sommando i prodotti, per ciascuno scenario. Poiché il punteggio composito dipende dai pesi attribuiti ai criteri, la sua robustezza va saggiata variando i pesi e verificando se il punteggio si mantenga stabile: se il punteggio resta sostanzialmente invariato al variare dei pesi, la valutazione è robusta; se varia sensibilmente, essa dipende dalla scelta dei pesi e va letta con cautela. La tabella che segue espone il punteggio composito per ciascuno scenario, calcolato con i pesi canonici, e l’analisi di sensibilità, che ricalcola il punteggio con schemi di ponderazione alternativi.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Punteggio composito multi-criterio (0–100) e sensibilità ai pesi</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Intermedio</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r>
      <w:tr>
        <w:tc>
          <w:tcPr/>
          <w:p>
            <w:pPr>
              <w:pStyle w:val="Compact"/>
              <w:spacing w:after="40" w:before="40"/>
              <w:jc w:val="left"/>
            </w:pPr>
            <w:r>
              <w:rPr>
                <w:rFonts w:ascii="Cambria" w:hAnsi="Cambria" w:cs="Cambria" w:eastAsia="Cambria"/>
                <w:color w:val="1A1A1A"/>
                <w:sz w:val="18"/>
              </w:rPr>
              <w:t xml:space="preserve">Pesi canonici</w:t>
            </w:r>
          </w:p>
        </w:tc>
        <w:tc>
          <w:tcPr/>
          <w:p>
            <w:pPr>
              <w:pStyle w:val="Compact"/>
              <w:spacing w:after="40" w:before="40"/>
              <w:jc w:val="left"/>
            </w:pPr>
            <w:r>
              <w:rPr>
                <w:rFonts w:ascii="Cambria" w:hAnsi="Cambria" w:cs="Cambria" w:eastAsia="Cambria"/>
                <w:color w:val="1A1A1A"/>
                <w:sz w:val="18"/>
              </w:rPr>
              <w:t xml:space="preserve">~75</w:t>
            </w:r>
          </w:p>
        </w:tc>
        <w:tc>
          <w:tcPr/>
          <w:p>
            <w:pPr>
              <w:pStyle w:val="Compact"/>
              <w:spacing w:after="40" w:before="40"/>
              <w:jc w:val="left"/>
            </w:pPr>
            <w:r>
              <w:rPr>
                <w:rFonts w:ascii="Cambria" w:hAnsi="Cambria" w:cs="Cambria" w:eastAsia="Cambria"/>
                <w:color w:val="1A1A1A"/>
                <w:sz w:val="18"/>
              </w:rPr>
              <w:t xml:space="preserve">~77</w:t>
            </w:r>
          </w:p>
        </w:tc>
        <w:tc>
          <w:tcPr/>
          <w:p>
            <w:pPr>
              <w:pStyle w:val="Compact"/>
              <w:spacing w:after="40" w:before="40"/>
              <w:jc w:val="left"/>
            </w:pPr>
            <w:r>
              <w:rPr>
                <w:rFonts w:ascii="Cambria" w:hAnsi="Cambria" w:cs="Cambria" w:eastAsia="Cambria"/>
                <w:color w:val="1A1A1A"/>
                <w:sz w:val="18"/>
              </w:rPr>
              <w:t xml:space="preserve">~78</w:t>
            </w:r>
          </w:p>
        </w:tc>
      </w:tr>
      <w:tr>
        <w:tc>
          <w:tcPr>
            <w:shd w:val="clear" w:color="auto" w:fill="F4F1EC"/>
          </w:tcPr>
          <w:p>
            <w:pPr>
              <w:pStyle w:val="Compact"/>
              <w:spacing w:after="40" w:before="40"/>
              <w:jc w:val="left"/>
            </w:pPr>
            <w:r>
              <w:rPr>
                <w:rFonts w:ascii="Cambria" w:hAnsi="Cambria" w:cs="Cambria" w:eastAsia="Cambria"/>
                <w:color w:val="1A1A1A"/>
                <w:sz w:val="18"/>
              </w:rPr>
              <w:t xml:space="preserve">Pesi uniformi (equiponderazione dei criteri)</w:t>
            </w:r>
          </w:p>
        </w:tc>
        <w:tc>
          <w:tcPr>
            <w:shd w:val="clear" w:color="auto" w:fill="F4F1EC"/>
          </w:tcPr>
          <w:p>
            <w:pPr>
              <w:pStyle w:val="Compact"/>
              <w:spacing w:after="40" w:before="40"/>
              <w:jc w:val="left"/>
            </w:pPr>
            <w:r>
              <w:rPr>
                <w:rFonts w:ascii="Cambria" w:hAnsi="Cambria" w:cs="Cambria" w:eastAsia="Cambria"/>
                <w:color w:val="1A1A1A"/>
                <w:sz w:val="18"/>
              </w:rPr>
              <w:t xml:space="preserve">~75</w:t>
            </w:r>
          </w:p>
        </w:tc>
        <w:tc>
          <w:tcPr>
            <w:shd w:val="clear" w:color="auto" w:fill="F4F1EC"/>
          </w:tcPr>
          <w:p>
            <w:pPr>
              <w:pStyle w:val="Compact"/>
              <w:spacing w:after="40" w:before="40"/>
              <w:jc w:val="left"/>
            </w:pPr>
            <w:r>
              <w:rPr>
                <w:rFonts w:ascii="Cambria" w:hAnsi="Cambria" w:cs="Cambria" w:eastAsia="Cambria"/>
                <w:color w:val="1A1A1A"/>
                <w:sz w:val="18"/>
              </w:rPr>
              <w:t xml:space="preserve">~76</w:t>
            </w:r>
          </w:p>
        </w:tc>
        <w:tc>
          <w:tcPr>
            <w:shd w:val="clear" w:color="auto" w:fill="F4F1EC"/>
          </w:tcPr>
          <w:p>
            <w:pPr>
              <w:pStyle w:val="Compact"/>
              <w:spacing w:after="40" w:before="40"/>
              <w:jc w:val="left"/>
            </w:pPr>
            <w:r>
              <w:rPr>
                <w:rFonts w:ascii="Cambria" w:hAnsi="Cambria" w:cs="Cambria" w:eastAsia="Cambria"/>
                <w:color w:val="1A1A1A"/>
                <w:sz w:val="18"/>
              </w:rPr>
              <w:t xml:space="preserve">~76</w:t>
            </w:r>
          </w:p>
        </w:tc>
      </w:tr>
      <w:tr>
        <w:tc>
          <w:tcPr/>
          <w:p>
            <w:pPr>
              <w:pStyle w:val="Compact"/>
              <w:spacing w:after="40" w:before="40"/>
              <w:jc w:val="left"/>
            </w:pPr>
            <w:r>
              <w:rPr>
                <w:rFonts w:ascii="Cambria" w:hAnsi="Cambria" w:cs="Cambria" w:eastAsia="Cambria"/>
                <w:color w:val="1A1A1A"/>
                <w:sz w:val="18"/>
              </w:rPr>
              <w:t xml:space="preserve">Ponderazione a favore del ritorno economico</w:t>
            </w:r>
          </w:p>
        </w:tc>
        <w:tc>
          <w:tcPr/>
          <w:p>
            <w:pPr>
              <w:pStyle w:val="Compact"/>
              <w:spacing w:after="40" w:before="40"/>
              <w:jc w:val="left"/>
            </w:pPr>
            <w:r>
              <w:rPr>
                <w:rFonts w:ascii="Cambria" w:hAnsi="Cambria" w:cs="Cambria" w:eastAsia="Cambria"/>
                <w:color w:val="1A1A1A"/>
                <w:sz w:val="18"/>
              </w:rPr>
              <w:t xml:space="preserve">~74</w:t>
            </w:r>
          </w:p>
        </w:tc>
        <w:tc>
          <w:tcPr/>
          <w:p>
            <w:pPr>
              <w:pStyle w:val="Compact"/>
              <w:spacing w:after="40" w:before="40"/>
              <w:jc w:val="left"/>
            </w:pPr>
            <w:r>
              <w:rPr>
                <w:rFonts w:ascii="Cambria" w:hAnsi="Cambria" w:cs="Cambria" w:eastAsia="Cambria"/>
                <w:color w:val="1A1A1A"/>
                <w:sz w:val="18"/>
              </w:rPr>
              <w:t xml:space="preserve">~76</w:t>
            </w:r>
          </w:p>
        </w:tc>
        <w:tc>
          <w:tcPr/>
          <w:p>
            <w:pPr>
              <w:pStyle w:val="Compact"/>
              <w:spacing w:after="40" w:before="40"/>
              <w:jc w:val="left"/>
            </w:pPr>
            <w:r>
              <w:rPr>
                <w:rFonts w:ascii="Cambria" w:hAnsi="Cambria" w:cs="Cambria" w:eastAsia="Cambria"/>
                <w:color w:val="1A1A1A"/>
                <w:sz w:val="18"/>
              </w:rPr>
              <w:t xml:space="preserve">~77</w:t>
            </w:r>
          </w:p>
        </w:tc>
      </w:tr>
      <w:tr>
        <w:tc>
          <w:tcPr>
            <w:shd w:val="clear" w:color="auto" w:fill="F4F1EC"/>
          </w:tcPr>
          <w:p>
            <w:pPr>
              <w:pStyle w:val="Compact"/>
              <w:spacing w:after="40" w:before="40"/>
              <w:jc w:val="left"/>
            </w:pPr>
            <w:r>
              <w:rPr>
                <w:rFonts w:ascii="Cambria" w:hAnsi="Cambria" w:cs="Cambria" w:eastAsia="Cambria"/>
                <w:color w:val="1A1A1A"/>
                <w:sz w:val="18"/>
              </w:rPr>
              <w:t xml:space="preserve">Ponderazione a favore dell’equità</w:t>
            </w:r>
          </w:p>
        </w:tc>
        <w:tc>
          <w:tcPr>
            <w:shd w:val="clear" w:color="auto" w:fill="F4F1EC"/>
          </w:tcPr>
          <w:p>
            <w:pPr>
              <w:pStyle w:val="Compact"/>
              <w:spacing w:after="40" w:before="40"/>
              <w:jc w:val="left"/>
            </w:pPr>
            <w:r>
              <w:rPr>
                <w:rFonts w:ascii="Cambria" w:hAnsi="Cambria" w:cs="Cambria" w:eastAsia="Cambria"/>
                <w:color w:val="1A1A1A"/>
                <w:sz w:val="18"/>
              </w:rPr>
              <w:t xml:space="preserve">~73</w:t>
            </w:r>
          </w:p>
        </w:tc>
        <w:tc>
          <w:tcPr>
            <w:shd w:val="clear" w:color="auto" w:fill="F4F1EC"/>
          </w:tcPr>
          <w:p>
            <w:pPr>
              <w:pStyle w:val="Compact"/>
              <w:spacing w:after="40" w:before="40"/>
              <w:jc w:val="left"/>
            </w:pPr>
            <w:r>
              <w:rPr>
                <w:rFonts w:ascii="Cambria" w:hAnsi="Cambria" w:cs="Cambria" w:eastAsia="Cambria"/>
                <w:color w:val="1A1A1A"/>
                <w:sz w:val="18"/>
              </w:rPr>
              <w:t xml:space="preserve">~75</w:t>
            </w:r>
          </w:p>
        </w:tc>
        <w:tc>
          <w:tcPr>
            <w:shd w:val="clear" w:color="auto" w:fill="F4F1EC"/>
          </w:tcPr>
          <w:p>
            <w:pPr>
              <w:pStyle w:val="Compact"/>
              <w:spacing w:after="40" w:before="40"/>
              <w:jc w:val="left"/>
            </w:pPr>
            <w:r>
              <w:rPr>
                <w:rFonts w:ascii="Cambria" w:hAnsi="Cambria" w:cs="Cambria" w:eastAsia="Cambria"/>
                <w:color w:val="1A1A1A"/>
                <w:sz w:val="18"/>
              </w:rPr>
              <w:t xml:space="preserve">~76</w:t>
            </w:r>
          </w:p>
        </w:tc>
      </w:tr>
      <w:tr>
        <w:tc>
          <w:tcPr/>
          <w:p>
            <w:pPr>
              <w:pStyle w:val="Compact"/>
              <w:spacing w:after="40" w:before="40"/>
              <w:jc w:val="left"/>
            </w:pPr>
            <w:r>
              <w:rPr>
                <w:rFonts w:ascii="Cambria" w:hAnsi="Cambria" w:cs="Cambria" w:eastAsia="Cambria"/>
                <w:color w:val="1A1A1A"/>
                <w:sz w:val="18"/>
              </w:rPr>
              <w:t xml:space="preserve">Intervallo dei punteggi compositi</w:t>
            </w:r>
          </w:p>
        </w:tc>
        <w:tc>
          <w:tcPr/>
          <w:p>
            <w:pPr>
              <w:pStyle w:val="Compact"/>
              <w:spacing w:after="40" w:before="40"/>
              <w:jc w:val="left"/>
            </w:pPr>
            <w:r>
              <w:rPr>
                <w:rFonts w:ascii="Cambria" w:hAnsi="Cambria" w:cs="Cambria" w:eastAsia="Cambria"/>
                <w:color w:val="1A1A1A"/>
                <w:sz w:val="18"/>
              </w:rPr>
              <w:t xml:space="preserve">73–75</w:t>
            </w:r>
          </w:p>
        </w:tc>
        <w:tc>
          <w:tcPr/>
          <w:p>
            <w:pPr>
              <w:pStyle w:val="Compact"/>
              <w:spacing w:after="40" w:before="40"/>
              <w:jc w:val="left"/>
            </w:pPr>
            <w:r>
              <w:rPr>
                <w:rFonts w:ascii="Cambria" w:hAnsi="Cambria" w:cs="Cambria" w:eastAsia="Cambria"/>
                <w:color w:val="1A1A1A"/>
                <w:sz w:val="18"/>
              </w:rPr>
              <w:t xml:space="preserve">75–77</w:t>
            </w:r>
          </w:p>
        </w:tc>
        <w:tc>
          <w:tcPr/>
          <w:p>
            <w:pPr>
              <w:pStyle w:val="Compact"/>
              <w:spacing w:after="40" w:before="40"/>
              <w:jc w:val="left"/>
            </w:pPr>
            <w:r>
              <w:rPr>
                <w:rFonts w:ascii="Cambria" w:hAnsi="Cambria" w:cs="Cambria" w:eastAsia="Cambria"/>
                <w:color w:val="1A1A1A"/>
                <w:sz w:val="18"/>
              </w:rPr>
              <w:t xml:space="preserve">76–78</w:t>
            </w:r>
          </w:p>
        </w:tc>
      </w:tr>
    </w:tbl>
    <w:p>
      <w:pPr>
        <w:pStyle w:val="BodyText"/>
      </w:pPr>
      <w:r>
        <w:rPr>
          <w:i/>
          <w:iCs/>
        </w:rPr>
        <w:t xml:space="preserve">Tabella 10.13 — Punteggio composito della sintesi multi-criterio per scenario, calcolato con i pesi canonici, e analisi di sensibilità con schemi di ponderazione alternativi. Il punteggio composito si colloca, in tutti gli scenari e con tutti gli schemi di ponderazione, in un intervallo ristretto dell’ordine di settantatré-settantotto su cento, a testimonianza della robustezza della valutazione rispetto alla scelta dei pesi.</w:t>
      </w:r>
    </w:p>
    <w:p>
      <w:pPr>
        <w:pStyle w:val="BodyText"/>
      </w:pPr>
      <w:r>
        <w:t xml:space="preserve">Il punteggio composito della riforma, calcolato con i pesi canonici, è dell’ordine di settantasette su cento nello scenario intermedio, di circa settantacinque nello scenario conservativo e di circa settantotto nello scenario espansivo. Questi punteggi, su una scala da zero a cento, collocano la riforma nettamente nella fascia favorevole: essa soddisfa in misura elevata i criteri della valutazione, con punteggi che eccedono ampiamente la soglia della sufficienza e si collocano nella parte alta della scala, senza tuttavia raggiungere i valori estremi, in coerenza con la prudenza che governa l’intera valutazione. La leggera crescita del punteggio dallo scenario conservativo all’espansivo riflette la prevalenza, nella composizione ponderata, dei criteri che premiano la scala — la salute, il ritorno, l’equità — sui criteri che la penalizzano — la sostenibilità e la fattibilità — sì che lo scenario espansivo, pur meno favorevole su questi ultimi, risulta complessivamente lievemente preferito; ma la differenza tra gli scenari è contenuta, e tutti e tre si collocano nella medesima fascia favorevole.</w:t>
      </w:r>
      <w:r>
        <w:rPr>
          <w:rStyle w:val="FootnoteReference"/>
        </w:rPr>
        <w:footnoteReference w:id="300"/>
      </w:r>
    </w:p>
    <w:p>
      <w:pPr>
        <w:pStyle w:val="BodyText"/>
      </w:pPr>
      <w:r>
        <w:t xml:space="preserve">L’analisi di sensibilità conferma la robustezza della valutazione rispetto alla scelta dei pesi. Ricalcolando il punteggio composito con schemi di ponderazione alternativi — l’equiponderazione, che attribuisce a ciascun criterio il medesimo peso; la ponderazione a favore del ritorno economico, che accresce il peso del criterio economico; la ponderazione a favore dell’equità, che accresce il peso del criterio distributivo — il punteggio si mantiene in un intervallo ristretto, dell’ordine di settantatré-settantotto su cento in tutti gli scenari. La ristrettezza di questo intervallo, dell’ordine di pochi punti, testimonia che la valutazione non dipende sensibilmente dalla scelta dei pesi: quale che sia lo schema di ponderazione adottato, entro la gamma dei pesi ragionevoli, la riforma riceve un punteggio composito nella fascia favorevole, dell’ordine di tre quarti della scala. Questa robustezza è un presidio importante della valutazione multi-criterio, perché ne fonda la conclusione su un risultato stabile, non condizionato dalla scelta soggettiva dei pesi; e conferma che il valore complessivo della riforma, composto su tutte le dimensioni, è nettamente favorevole, indipendentemente dall’importanza relativa che si attribuisca ai singoli criteri.</w:t>
      </w:r>
    </w:p>
    <w:bookmarkEnd w:id="688"/>
    <w:bookmarkStart w:id="690" w:name="X8f3a6cd37ef8b5d8534b48b6669ea219fca00cd"/>
    <w:p>
      <w:pPr>
        <w:pStyle w:val="Heading2"/>
      </w:pPr>
      <w:r>
        <w:t xml:space="preserve">10.4.5 La graduazione, i confini e il rapporto con le altre misure</w:t>
      </w:r>
    </w:p>
    <w:p>
      <w:pPr>
        <w:pStyle w:val="FirstParagraph"/>
      </w:pPr>
      <w:r>
        <w:t xml:space="preserve">La solidità della sintesi multi-criterio va dichiarata, distinguendone le componenti. I punteggi sui criteri economici e di salute — l’efficacia, il ritorno, la sostenibilità — ereditano la graduazione delle valutazioni economiche da cui sono tratti, ed hanno perciò il fondamento più solido, perché poggiano su grandezze quantificate nelle voci precedenti. I punteggi sui criteri non economici — l’equità, la fattibilità, l’innovazione — hanno un fondamento più qualitativo, perché esprimono valutazioni su dimensioni non riducibili a grandezze monetarie, e sono perciò soggetti a maggiore margine di apprezzamento; essi sono attribuiti sulla base dei risultati delle parti pertinenti, ma la loro traduzione in punteggio comporta un grado di giudizio che va riconosciuto. I pesi, attribuiti in modo canonico, esprimono una gerarchia di importanza che è anch’essa frutto di giudizio, ancorché dichiarato e uniforme per la serie regionale; e l’analisi di sensibilità, mostrando la stabilità del punteggio al variare dei pesi, attenua la dipendenza della valutazione da tale giudizio. Il punteggio composito è perciò una valutazione robusta nel suo ordine di grandezza, ma da leggere come sintesi di valutazioni in parte quantitative e in parte qualitative, e non come una misura di precisione puntuale.</w:t>
      </w:r>
      <w:r>
        <w:rPr>
          <w:rStyle w:val="FootnoteReference"/>
        </w:rPr>
        <w:footnoteReference w:id="301"/>
      </w:r>
    </w:p>
    <w:p>
      <w:pPr>
        <w:pStyle w:val="BodyText"/>
      </w:pPr>
      <w:r>
        <w:t xml:space="preserve">Da questa graduazione discendono i confini della sintesi multi-criterio e il suo rapporto con le altre voci. In primo luogo, la sintesi multi-criterio non sostituisce le valutazioni economiche, ma le ricompone con i criteri non economici in una valutazione complessiva; essa va letta come la sintesi delle dimensioni rilevanti per la decisione, non come una misura economica autonoma. In secondo luogo, il punteggio composito non è una grandezza monetaria, e non va confuso né sommato con le grandezze economiche delle altre voci; esso è un indice sintetico su scala convenzionale, che esprime il valore complessivo della riforma su tutti i criteri, non un valore economico. In terzo luogo, la sintesi multi-criterio è riferita ai criteri e ai pesi canonici dello studio, e la sua robustezza è saggiata rispetto alla scelta dei pesi, ma non rispetto alla scelta dei criteri, che è assunta come data; una diversa selezione dei criteri produrrebbe una diversa valutazione, e la valutazione va perciò letta entro la cornice dei criteri adottati. La sintesi multi-criterio stabilisce così la valutazione complessiva della riforma su tutte le dimensioni rilevanti — nettamente favorevole, dell’ordine di tre quarti della scala, e robusta rispetto ai pesi — e la consegna alla valutazione integrata come sintesi delle dimensioni. Stabilite tutte le dimensioni e la loro sintesi, la valutazione integrata può ora comporre il saldo economico consolidato, che le ricompone tutte in un quadro unitario.</w:t>
      </w:r>
    </w:p>
    <w:bookmarkEnd w:id="690"/>
    <w:bookmarkEnd w:id="691"/>
    <w:bookmarkStart w:id="701" w:name="X90063758255571f80ad541f38794471faf012c0"/>
    <w:p>
      <w:pPr>
        <w:pStyle w:val="Heading2"/>
      </w:pPr>
      <w:r>
        <w:t xml:space="preserve">10.5 Il saldo economico consolidato per scenario</w:t>
      </w:r>
    </w:p>
    <w:p>
      <w:pPr>
        <w:pStyle w:val="FirstParagraph"/>
      </w:pPr>
      <w:r>
        <w:rPr>
          <w:i/>
          <w:iCs/>
        </w:rPr>
        <w:t xml:space="preserve">La quinta e conclusiva voce della valutazione integrata compone il saldo economico consolidato, che ricompone in un quadro unitario tutte le grandezze stabilite dalle parti precedenti e dalle voci di questa parte, e che costituisce la sintesi quantitativa della rinegoziazione integrale dei costi e dei benefici. Il saldo consolidato non è una somma, ma una composizione che tiene rigorosamente distinte le tre dimensioni del valore della riforma — la fiscale diretta, la sociale indiretta e quella di salute — e che le presenta affiancate, in colonne separate, sì che il decisore apprezzi ciascuna nella sua natura senza che l’una sia confusa con le altre. La voce espone la logica del saldo consolidato e la regola di separazione che lo governa, ricompone le tre dimensioni nei loro ordini di grandezza, presenta la tabella master del saldo consolidato per scenario, e ne trae il verdetto complessivo: la riforma è prossima al pareggio sul conto fiscale diretto, nettamente costo-efficace sul conto della salute, e fortemente positiva sul conto sociale, e la convergenza delle tre dimensioni, nessuna sommata alle altre, costituisce la forma più solida del giudizio favorevole.</w:t>
      </w:r>
    </w:p>
    <w:bookmarkStart w:id="693" w:name="X2d4d46d3b10f65b68cc22bd745c47bb5a3b9321"/>
    <w:p>
      <w:pPr>
        <w:pStyle w:val="Heading2"/>
      </w:pPr>
      <w:r>
        <w:t xml:space="preserve">10.5.1 La logica del saldo consolidato e la regola di separazione</w:t>
      </w:r>
    </w:p>
    <w:p>
      <w:pPr>
        <w:pStyle w:val="FirstParagraph"/>
      </w:pPr>
      <w:r>
        <w:t xml:space="preserve">Il saldo economico consolidato è la ricomposizione, in un quadro unitario, di tutte le grandezze economiche stabilite dallo studio: i costi diretti dell’investimento, i risparmi fiscali diretti, i benefici sociali indiretti, i guadagni di salute e il loro valore, e le misure di sintesi — i rapporti, il rapporto costo-efficacia, il rendimento sociale, il punteggio multi-criterio. Esso è il quadro complessivo del valore economico della riforma, che ne riunisce le componenti e ne mostra il rapporto reciproco. Ma il saldo consolidato non è una somma algebrica di tutte le grandezze in un’unica cifra, perché le grandezze appartengono a categorie distinte, che la regola di non duplicazione impone di tenere separate. Il saldo consolidato è perciò una composizione, non una somma: esso presenta le grandezze affiancate, raggruppate per dimensione, e ne mostra il rapporto, ma non le riduce a un’unica cifra che ne confonderebbe la natura.</w:t>
      </w:r>
      <w:r>
        <w:rPr>
          <w:rStyle w:val="FootnoteReference"/>
        </w:rPr>
        <w:footnoteReference w:id="302"/>
      </w:r>
    </w:p>
    <w:p>
      <w:pPr>
        <w:pStyle w:val="BodyText"/>
      </w:pPr>
      <w:r>
        <w:t xml:space="preserve">La regola di separazione che governa il saldo consolidato distingue tre dimensioni del valore della riforma, ciascuna di natura diversa, e impone di non sommarle in un’unica cifra. La prima è la dimensione fiscale diretta, che attiene al bilancio sanitario regionale: essa comprende i costi diretti dell’investimento e i risparmi fiscali diretti, la cui differenza è la posizione fiscale netta della riforma per il bilancio sanitario. La seconda è la dimensione sociale indiretta, che attiene al tessuto economico e sociale: essa comprende i benefici sociali indiretti, che gravano su una pluralità di bilanci e di soggetti distinti dal bilancio sanitario. La terza è la dimensione di salute, che attiene al valore intrinseco della salute prodotta: essa comprende i guadagni di salute e il loro valore monetizzato. Le tre dimensioni sono di natura diversa — fiscale la prima, sociale la seconda, di salute la terza — e la loro somma in un’unica cifra confonderebbe ciò che è distinto: il risparmio per il bilancio sanitario non è il beneficio per il tessuto sociale, né l’uno né l’altro sono il valore della salute. Il saldo consolidato tiene perciò le tre dimensioni rigorosamente distinte, in colonne separate, e ne mostra il rapporto senza fonderle; ed è in questa separazione che risiede il rigore del saldo, che restituisce al decisore le tre dimensioni nella loro natura, perché egli le apprezzi ciascuna per quello che è.</w:t>
      </w:r>
    </w:p>
    <w:bookmarkEnd w:id="693"/>
    <w:bookmarkStart w:id="694" w:name="la-dimensione-fiscale-diretta"/>
    <w:p>
      <w:pPr>
        <w:pStyle w:val="Heading2"/>
      </w:pPr>
      <w:r>
        <w:t xml:space="preserve">10.5.2 La dimensione fiscale diretta</w:t>
      </w:r>
    </w:p>
    <w:p>
      <w:pPr>
        <w:pStyle w:val="FirstParagraph"/>
      </w:pPr>
      <w:r>
        <w:t xml:space="preserve">La dimensione fiscale diretta del saldo consolidato attiene al bilancio sanitario regionale, e si compone dei costi diretti dell’investimento e dei risparmi fiscali diretti, la cui differenza è la posizione fiscale netta della riforma per il bilancio sanitario. I costi diretti dell’investimento, stabiliti dalla settima parte, sono dell’ordine di venticinque, trentotto e cinquanta milioni di euro l’anno nei tre scenari; i risparmi fiscali diretti, stabiliti dall’ottava parte, sono dell’ordine di venti, trentaquattro e cinquanta milioni di euro l’anno nei tre scenari, soggetti al caveat dell’IMPACT trial sulla loro significatività. La posizione fiscale netta della riforma per il bilancio sanitario, differenza tra i costi e i risparmi, è dell’ordine di un onere netto di cinque, quattro e zero milioni di euro l’anno nei tre scenari a regime: la riforma comporta, sul conto fiscale diretto, un onere netto contenuto nello scenario conservativo, ancor più contenuto nell’intermedio, e nullo nell’espansivo, dove i risparmi diretti eguagliano i costi. Sul conto fiscale diretto, dunque, la riforma è prossima al pareggio a regime: essa quasi si autofinanzia attraverso i risparmi che genera per il bilancio sanitario, tanto più quanto più ampio è il dimensionamento, fino al pareggio nello scenario espansivo. Questa prossimità al pareggio va letta nella consapevolezza del caveat dell’IMPACT trial, che, non garantendo la significatività dei risparmi, rende l’onere netto potenzialmente maggiore nell’ipotesi prudenziale in cui i risparmi non si manifestino; ma anche in tale ipotesi, l’onere netto coincide con il costo diretto, contenuto entro frazioni dell’uno per cento del Fondo Sanitario Regionale, come la seconda voce ha stabilito.</w:t>
      </w:r>
    </w:p>
    <w:bookmarkEnd w:id="694"/>
    <w:bookmarkStart w:id="695" w:name="la-dimensione-sociale-indiretta"/>
    <w:p>
      <w:pPr>
        <w:pStyle w:val="Heading2"/>
      </w:pPr>
      <w:r>
        <w:t xml:space="preserve">10.5.3 La dimensione sociale indiretta</w:t>
      </w:r>
    </w:p>
    <w:p>
      <w:pPr>
        <w:pStyle w:val="FirstParagraph"/>
      </w:pPr>
      <w:r>
        <w:t xml:space="preserve">La dimensione sociale indiretta del saldo consolidato attiene al tessuto economico e sociale, e si compone dei benefici sociali indiretti che la riforma genera sui sedici domini del perimetro multidisciplinare integrale. I benefici sociali indiretti netti, stabiliti dalla nona parte, sono dell’ordine di sessantacinque, novantotto e centotrentanove milioni di euro l’anno nei tre scenari, depurati delle duplicazioni e verificati con l’ancora di Chisholm. Questi benefici gravano su una pluralità di bilanci e di soggetti distinti dal bilancio sanitario — le imprese, le famiglie, gli istituti previdenziali e assistenziali, la collettività — e rappresentano il valore economico-sociale che la riforma genera sull’intero tessuto della regione, eccedente l’ambito sanitario. Il rapporto tra i benefici sociali indiretti e il costo diretto dell’investimento, stabilito dalla nona parte, è dell’ordine di 2,6 a 1 negli scenari conservativo e intermedio e di 2,8 a 1 nello scenario espansivo, e si colloca entro la prima fascia di Chisholm, compresa tra 2,3 e 3,0 a 1. Sul conto sociale, dunque, la riforma è fortemente positiva: essa genera, per il tessuto economico e sociale, un beneficio dell’ordine di due volte e mezza il costo dell’investimento, entro la fascia di rendimento che la letteratura internazionale associa agli investimenti in salute mentale. Questo beneficio sociale è il vero ritorno della riforma per la collettività, e accompagna la prossimità al pareggio sul conto fiscale diretto come ritorno sui bilanci esterni a quello sanitario.</w:t>
      </w:r>
    </w:p>
    <w:bookmarkEnd w:id="695"/>
    <w:bookmarkStart w:id="696" w:name="la-dimensione-di-salute"/>
    <w:p>
      <w:pPr>
        <w:pStyle w:val="Heading2"/>
      </w:pPr>
      <w:r>
        <w:t xml:space="preserve">10.5.4 La dimensione di salute</w:t>
      </w:r>
    </w:p>
    <w:p>
      <w:pPr>
        <w:pStyle w:val="FirstParagraph"/>
      </w:pPr>
      <w:r>
        <w:t xml:space="preserve">La dimensione di salute del saldo consolidato attiene al valore intrinseco della salute prodotta, e si compone dei guadagni di salute — gli anni di vita in buona salute guadagnati — e del loro valore monetizzato. I guadagni di salute, stabiliti dalla prima voce di questa parte, sono dell’ordine di milletrecento, duemiladuecento e tremilacento anni di vita in buona salute guadagnati l’anno nei tre scenari; il loro valore monetizzato, al valore convenzionale dell’anno di vita in buona salute, è dell’ordine di trentanove, sessantasei e novantatré milioni di euro l’anno nei tre scenari. Il rapporto incrementale costo-efficacia, costo per anno di vita in buona salute guadagnato, è dell’ordine di diciassettemila euro nello scenario intermedio, e si colloca, in tutti gli scenari, ampiamente al di sotto della soglia convenzionale di venticinque-quarantamila euro. Sul conto della salute, dunque, la riforma è nettamente costo-efficace: essa produce anni di vita in buona salute a un costo unitario sensibilmente inferiore a quello che il sistema sanitario è convenzionalmente disposto a sostenere, e questa costo-efficacia è il risultato più robusto dell’intera valutazione, perché non dipende né dai risparmi diretti né dai benefici indiretti, ma soltanto dal rapporto tra il costo e la salute prodotta. Il valore della salute prodotta, composto con i benefici economici, sospinge inoltre il rendimento della riforma nella fascia superiore di Chisholm, compresa tra 3,3 e 5,7 a 1, come la prima voce ha stabilito.</w:t>
      </w:r>
    </w:p>
    <w:bookmarkEnd w:id="696"/>
    <w:bookmarkStart w:id="698" w:name="X4e6f0e39e6b6b1a346bd8a8357fdfa948106547"/>
    <w:p>
      <w:pPr>
        <w:pStyle w:val="Heading2"/>
      </w:pPr>
      <w:r>
        <w:t xml:space="preserve">10.5.5 Il saldo consolidato: la tabella master e il verdetto complessivo</w:t>
      </w:r>
    </w:p>
    <w:p>
      <w:pPr>
        <w:pStyle w:val="FirstParagraph"/>
      </w:pPr>
      <w:r>
        <w:t xml:space="preserve">La tabella master del saldo consolidato ricompone le tre dimensioni e le misure di sintesi in un quadro unitario, per ciascuno scenario, tenendo le dimensioni rigorosamente distinte. Essa presenta, per ciascuno scenario, le grandezze della dimensione fiscale diretta, della dimensione sociale indiretta e della dimensione di salute, e le misure di sintesi che ne compongono i rapporti, senza sommare le dimensioni in un’unica cifra. La tabella è la sintesi quantitativa conclusiva della rinegoziazione integrale dei costi e dei benefici.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Saldo economico consolidato per scenario (le tre dimensioni tenute distinte)</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w:t>
            </w:r>
          </w:p>
        </w:tc>
        <w:tc>
          <w:tcPr>
            <w:shd w:val="clear" w:color="auto" w:fill="16264B"/>
          </w:tcPr>
          <w:p>
            <w:pPr>
              <w:pStyle w:val="Compact"/>
              <w:spacing w:after="40" w:before="40"/>
              <w:jc w:val="left"/>
            </w:pPr>
            <w:r>
              <w:rPr>
                <w:rFonts w:ascii="Cambria" w:hAnsi="Cambria" w:cs="Cambria" w:eastAsia="Cambria"/>
                <w:b/>
                <w:bCs/>
                <w:color w:val="FFFFFF"/>
                <w:sz w:val="18"/>
              </w:rPr>
              <w:t xml:space="preserve">Espan.</w:t>
            </w:r>
          </w:p>
        </w:tc>
      </w:tr>
      <w:tr>
        <w:tc>
          <w:tcPr/>
          <w:p>
            <w:pPr>
              <w:pStyle w:val="Compact"/>
              <w:spacing w:after="40" w:before="40"/>
              <w:jc w:val="left"/>
            </w:pPr>
            <w:r>
              <w:rPr>
                <w:rFonts w:ascii="Cambria" w:hAnsi="Cambria" w:cs="Cambria" w:eastAsia="Cambria"/>
                <w:color w:val="1A1A1A"/>
                <w:sz w:val="18"/>
              </w:rPr>
              <w:t xml:space="preserve">Investimento — costo diretto, mln €/anno (dimensione fiscale)</w:t>
            </w:r>
          </w:p>
        </w:tc>
        <w:tc>
          <w:tcPr/>
          <w:p>
            <w:pPr>
              <w:pStyle w:val="Compact"/>
              <w:spacing w:after="40" w:before="40"/>
              <w:jc w:val="left"/>
            </w:pPr>
            <w:r>
              <w:rPr>
                <w:rFonts w:ascii="Cambria" w:hAnsi="Cambria" w:cs="Cambria" w:eastAsia="Cambria"/>
                <w:color w:val="1A1A1A"/>
                <w:sz w:val="18"/>
              </w:rPr>
              <w:t xml:space="preserve">~25</w:t>
            </w:r>
          </w:p>
        </w:tc>
        <w:tc>
          <w:tcPr/>
          <w:p>
            <w:pPr>
              <w:pStyle w:val="Compact"/>
              <w:spacing w:after="40" w:before="40"/>
              <w:jc w:val="left"/>
            </w:pPr>
            <w:r>
              <w:rPr>
                <w:rFonts w:ascii="Cambria" w:hAnsi="Cambria" w:cs="Cambria" w:eastAsia="Cambria"/>
                <w:color w:val="1A1A1A"/>
                <w:sz w:val="18"/>
              </w:rPr>
              <w:t xml:space="preserve">~38</w:t>
            </w:r>
          </w:p>
        </w:tc>
        <w:tc>
          <w:tcPr/>
          <w:p>
            <w:pPr>
              <w:pStyle w:val="Compact"/>
              <w:spacing w:after="40" w:before="40"/>
              <w:jc w:val="left"/>
            </w:pPr>
            <w:r>
              <w:rPr>
                <w:rFonts w:ascii="Cambria" w:hAnsi="Cambria" w:cs="Cambria" w:eastAsia="Cambria"/>
                <w:color w:val="1A1A1A"/>
                <w:sz w:val="18"/>
              </w:rPr>
              <w:t xml:space="preserve">~50</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 diretti — bilancio sanitario, mln €/anno (dimensione fiscale)</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~34</w:t>
            </w:r>
          </w:p>
        </w:tc>
        <w:tc>
          <w:tcPr>
            <w:shd w:val="clear" w:color="auto" w:fill="F4F1EC"/>
          </w:tcPr>
          <w:p>
            <w:pPr>
              <w:pStyle w:val="Compact"/>
              <w:spacing w:after="40" w:before="40"/>
              <w:jc w:val="left"/>
            </w:pPr>
            <w:r>
              <w:rPr>
                <w:rFonts w:ascii="Cambria" w:hAnsi="Cambria" w:cs="Cambria" w:eastAsia="Cambria"/>
                <w:color w:val="1A1A1A"/>
                <w:sz w:val="18"/>
              </w:rPr>
              <w:t xml:space="preserve">~50</w:t>
            </w:r>
          </w:p>
        </w:tc>
      </w:tr>
      <w:tr>
        <w:tc>
          <w:tcPr/>
          <w:p>
            <w:pPr>
              <w:pStyle w:val="Compact"/>
              <w:spacing w:after="40" w:before="40"/>
              <w:jc w:val="left"/>
            </w:pPr>
            <w:r>
              <w:rPr>
                <w:rFonts w:ascii="Cambria" w:hAnsi="Cambria" w:cs="Cambria" w:eastAsia="Cambria"/>
                <w:color w:val="1A1A1A"/>
                <w:sz w:val="18"/>
              </w:rPr>
              <w:t xml:space="preserve">Posizione fiscale netta a regime, mln €/anno (dimensione fiscale)</w:t>
            </w:r>
          </w:p>
        </w:tc>
        <w:tc>
          <w:tcPr/>
          <w:p>
            <w:pPr>
              <w:pStyle w:val="Compact"/>
              <w:spacing w:after="40" w:before="40"/>
              <w:jc w:val="left"/>
            </w:pPr>
            <w:r>
              <w:rPr>
                <w:rFonts w:ascii="Cambria" w:hAnsi="Cambria" w:cs="Cambria" w:eastAsia="Cambria"/>
                <w:color w:val="1A1A1A"/>
                <w:sz w:val="18"/>
              </w:rPr>
              <w:t xml:space="preserve">~ −5</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0</w:t>
            </w:r>
          </w:p>
        </w:tc>
      </w:tr>
      <w:tr>
        <w:tc>
          <w:tcPr>
            <w:shd w:val="clear" w:color="auto" w:fill="F4F1EC"/>
          </w:tcPr>
          <w:p>
            <w:pPr>
              <w:pStyle w:val="Compact"/>
              <w:spacing w:after="40" w:before="40"/>
              <w:jc w:val="left"/>
            </w:pPr>
            <w:r>
              <w:rPr>
                <w:rFonts w:ascii="Cambria" w:hAnsi="Cambria" w:cs="Cambria" w:eastAsia="Cambria"/>
                <w:color w:val="1A1A1A"/>
                <w:sz w:val="18"/>
              </w:rPr>
              <w:t xml:space="preserve">Benefici sociali indiretti netti, mln €/anno (dimensione sociale)</w:t>
            </w:r>
          </w:p>
        </w:tc>
        <w:tc>
          <w:tcPr>
            <w:shd w:val="clear" w:color="auto" w:fill="F4F1EC"/>
          </w:tcPr>
          <w:p>
            <w:pPr>
              <w:pStyle w:val="Compact"/>
              <w:spacing w:after="40" w:before="40"/>
              <w:jc w:val="left"/>
            </w:pPr>
            <w:r>
              <w:rPr>
                <w:rFonts w:ascii="Cambria" w:hAnsi="Cambria" w:cs="Cambria" w:eastAsia="Cambria"/>
                <w:color w:val="1A1A1A"/>
                <w:sz w:val="18"/>
              </w:rPr>
              <w:t xml:space="preserve">~65</w:t>
            </w:r>
          </w:p>
        </w:tc>
        <w:tc>
          <w:tcPr>
            <w:shd w:val="clear" w:color="auto" w:fill="F4F1EC"/>
          </w:tcPr>
          <w:p>
            <w:pPr>
              <w:pStyle w:val="Compact"/>
              <w:spacing w:after="40" w:before="40"/>
              <w:jc w:val="left"/>
            </w:pPr>
            <w:r>
              <w:rPr>
                <w:rFonts w:ascii="Cambria" w:hAnsi="Cambria" w:cs="Cambria" w:eastAsia="Cambria"/>
                <w:color w:val="1A1A1A"/>
                <w:sz w:val="18"/>
              </w:rPr>
              <w:t xml:space="preserve">~98</w:t>
            </w:r>
          </w:p>
        </w:tc>
        <w:tc>
          <w:tcPr>
            <w:shd w:val="clear" w:color="auto" w:fill="F4F1EC"/>
          </w:tcPr>
          <w:p>
            <w:pPr>
              <w:pStyle w:val="Compact"/>
              <w:spacing w:after="40" w:before="40"/>
              <w:jc w:val="left"/>
            </w:pPr>
            <w:r>
              <w:rPr>
                <w:rFonts w:ascii="Cambria" w:hAnsi="Cambria" w:cs="Cambria" w:eastAsia="Cambria"/>
                <w:color w:val="1A1A1A"/>
                <w:sz w:val="18"/>
              </w:rPr>
              <w:t xml:space="preserve">~139</w:t>
            </w:r>
          </w:p>
        </w:tc>
      </w:tr>
      <w:tr>
        <w:tc>
          <w:tcPr/>
          <w:p>
            <w:pPr>
              <w:pStyle w:val="Compact"/>
              <w:spacing w:after="40" w:before="40"/>
              <w:jc w:val="left"/>
            </w:pPr>
            <w:r>
              <w:rPr>
                <w:rFonts w:ascii="Cambria" w:hAnsi="Cambria" w:cs="Cambria" w:eastAsia="Cambria"/>
                <w:color w:val="1A1A1A"/>
                <w:sz w:val="18"/>
              </w:rPr>
              <w:t xml:space="preserve">Anni di vita in buona salute guadagnati l’anno (dimensione salute)</w:t>
            </w:r>
          </w:p>
        </w:tc>
        <w:tc>
          <w:tcPr/>
          <w:p>
            <w:pPr>
              <w:pStyle w:val="Compact"/>
              <w:spacing w:after="40" w:before="40"/>
              <w:jc w:val="left"/>
            </w:pPr>
            <w:r>
              <w:rPr>
                <w:rFonts w:ascii="Cambria" w:hAnsi="Cambria" w:cs="Cambria" w:eastAsia="Cambria"/>
                <w:color w:val="1A1A1A"/>
                <w:sz w:val="18"/>
              </w:rPr>
              <w:t xml:space="preserve">~1.300</w:t>
            </w:r>
          </w:p>
        </w:tc>
        <w:tc>
          <w:tcPr/>
          <w:p>
            <w:pPr>
              <w:pStyle w:val="Compact"/>
              <w:spacing w:after="40" w:before="40"/>
              <w:jc w:val="left"/>
            </w:pPr>
            <w:r>
              <w:rPr>
                <w:rFonts w:ascii="Cambria" w:hAnsi="Cambria" w:cs="Cambria" w:eastAsia="Cambria"/>
                <w:color w:val="1A1A1A"/>
                <w:sz w:val="18"/>
              </w:rPr>
              <w:t xml:space="preserve">~2.200</w:t>
            </w:r>
          </w:p>
        </w:tc>
        <w:tc>
          <w:tcPr/>
          <w:p>
            <w:pPr>
              <w:pStyle w:val="Compact"/>
              <w:spacing w:after="40" w:before="40"/>
              <w:jc w:val="left"/>
            </w:pPr>
            <w:r>
              <w:rPr>
                <w:rFonts w:ascii="Cambria" w:hAnsi="Cambria" w:cs="Cambria" w:eastAsia="Cambria"/>
                <w:color w:val="1A1A1A"/>
                <w:sz w:val="18"/>
              </w:rPr>
              <w:t xml:space="preserve">~3.100</w:t>
            </w:r>
          </w:p>
        </w:tc>
      </w:tr>
      <w:tr>
        <w:tc>
          <w:tcPr>
            <w:shd w:val="clear" w:color="auto" w:fill="F4F1EC"/>
          </w:tcPr>
          <w:p>
            <w:pPr>
              <w:pStyle w:val="Compact"/>
              <w:spacing w:after="40" w:before="40"/>
              <w:jc w:val="left"/>
            </w:pPr>
            <w:r>
              <w:rPr>
                <w:rFonts w:ascii="Cambria" w:hAnsi="Cambria" w:cs="Cambria" w:eastAsia="Cambria"/>
                <w:color w:val="1A1A1A"/>
                <w:sz w:val="18"/>
              </w:rPr>
              <w:t xml:space="preserve">Valore monetizzato dei guadagni di salute, mln €/anno (dimensione salute)</w:t>
            </w:r>
          </w:p>
        </w:tc>
        <w:tc>
          <w:tcPr>
            <w:shd w:val="clear" w:color="auto" w:fill="F4F1EC"/>
          </w:tcPr>
          <w:p>
            <w:pPr>
              <w:pStyle w:val="Compact"/>
              <w:spacing w:after="40" w:before="40"/>
              <w:jc w:val="left"/>
            </w:pPr>
            <w:r>
              <w:rPr>
                <w:rFonts w:ascii="Cambria" w:hAnsi="Cambria" w:cs="Cambria" w:eastAsia="Cambria"/>
                <w:color w:val="1A1A1A"/>
                <w:sz w:val="18"/>
              </w:rPr>
              <w:t xml:space="preserve">~39</w:t>
            </w:r>
          </w:p>
        </w:tc>
        <w:tc>
          <w:tcPr>
            <w:shd w:val="clear" w:color="auto" w:fill="F4F1EC"/>
          </w:tcPr>
          <w:p>
            <w:pPr>
              <w:pStyle w:val="Compact"/>
              <w:spacing w:after="40" w:before="40"/>
              <w:jc w:val="left"/>
            </w:pPr>
            <w:r>
              <w:rPr>
                <w:rFonts w:ascii="Cambria" w:hAnsi="Cambria" w:cs="Cambria" w:eastAsia="Cambria"/>
                <w:color w:val="1A1A1A"/>
                <w:sz w:val="18"/>
              </w:rPr>
              <w:t xml:space="preserve">~66</w:t>
            </w:r>
          </w:p>
        </w:tc>
        <w:tc>
          <w:tcPr>
            <w:shd w:val="clear" w:color="auto" w:fill="F4F1EC"/>
          </w:tcPr>
          <w:p>
            <w:pPr>
              <w:pStyle w:val="Compact"/>
              <w:spacing w:after="40" w:before="40"/>
              <w:jc w:val="left"/>
            </w:pPr>
            <w:r>
              <w:rPr>
                <w:rFonts w:ascii="Cambria" w:hAnsi="Cambria" w:cs="Cambria" w:eastAsia="Cambria"/>
                <w:color w:val="1A1A1A"/>
                <w:sz w:val="18"/>
              </w:rPr>
              <w:t xml:space="preserve">~93</w:t>
            </w:r>
          </w:p>
        </w:tc>
      </w:tr>
      <w:tr>
        <w:tc>
          <w:tcPr/>
          <w:p>
            <w:pPr>
              <w:pStyle w:val="Compact"/>
              <w:spacing w:after="40" w:before="40"/>
              <w:jc w:val="left"/>
            </w:pPr>
            <w:r>
              <w:rPr>
                <w:rFonts w:ascii="Cambria" w:hAnsi="Cambria" w:cs="Cambria" w:eastAsia="Cambria"/>
                <w:color w:val="1A1A1A"/>
                <w:sz w:val="18"/>
              </w:rPr>
              <w:t xml:space="preserve">Rapporto economico — indiretti/costo (Chisholm 2,3–3,0 : 1)</w:t>
            </w:r>
          </w:p>
        </w:tc>
        <w:tc>
          <w:tcPr/>
          <w:p>
            <w:pPr>
              <w:pStyle w:val="Compact"/>
              <w:spacing w:after="40" w:before="40"/>
              <w:jc w:val="left"/>
            </w:pPr>
            <w:r>
              <w:rPr>
                <w:rFonts w:ascii="Cambria" w:hAnsi="Cambria" w:cs="Cambria" w:eastAsia="Cambria"/>
                <w:color w:val="1A1A1A"/>
                <w:sz w:val="18"/>
              </w:rPr>
              <w:t xml:space="preserve">~2,6 : 1</w:t>
            </w:r>
          </w:p>
        </w:tc>
        <w:tc>
          <w:tcPr/>
          <w:p>
            <w:pPr>
              <w:pStyle w:val="Compact"/>
              <w:spacing w:after="40" w:before="40"/>
              <w:jc w:val="left"/>
            </w:pPr>
            <w:r>
              <w:rPr>
                <w:rFonts w:ascii="Cambria" w:hAnsi="Cambria" w:cs="Cambria" w:eastAsia="Cambria"/>
                <w:color w:val="1A1A1A"/>
                <w:sz w:val="18"/>
              </w:rPr>
              <w:t xml:space="preserve">~2,6 : 1</w:t>
            </w:r>
          </w:p>
        </w:tc>
        <w:tc>
          <w:tcPr/>
          <w:p>
            <w:pPr>
              <w:pStyle w:val="Compact"/>
              <w:spacing w:after="40" w:before="40"/>
              <w:jc w:val="left"/>
            </w:pPr>
            <w:r>
              <w:rPr>
                <w:rFonts w:ascii="Cambria" w:hAnsi="Cambria" w:cs="Cambria" w:eastAsia="Cambria"/>
                <w:color w:val="1A1A1A"/>
                <w:sz w:val="18"/>
              </w:rPr>
              <w:t xml:space="preserve">~2,8 : 1</w:t>
            </w:r>
          </w:p>
        </w:tc>
      </w:tr>
      <w:tr>
        <w:tc>
          <w:tcPr>
            <w:shd w:val="clear" w:color="auto" w:fill="F4F1EC"/>
          </w:tcPr>
          <w:p>
            <w:pPr>
              <w:pStyle w:val="Compact"/>
              <w:spacing w:after="40" w:before="40"/>
              <w:jc w:val="left"/>
            </w:pPr>
            <w:r>
              <w:rPr>
                <w:rFonts w:ascii="Cambria" w:hAnsi="Cambria" w:cs="Cambria" w:eastAsia="Cambria"/>
                <w:color w:val="1A1A1A"/>
                <w:sz w:val="18"/>
              </w:rPr>
              <w:t xml:space="preserve">Rapporto con valore della salute (Chisholm 3,3–5,7 : 1)</w:t>
            </w:r>
          </w:p>
        </w:tc>
        <w:tc>
          <w:tcPr>
            <w:shd w:val="clear" w:color="auto" w:fill="F4F1EC"/>
          </w:tcPr>
          <w:p>
            <w:pPr>
              <w:pStyle w:val="Compact"/>
              <w:spacing w:after="40" w:before="40"/>
              <w:jc w:val="left"/>
            </w:pPr>
            <w:r>
              <w:rPr>
                <w:rFonts w:ascii="Cambria" w:hAnsi="Cambria" w:cs="Cambria" w:eastAsia="Cambria"/>
                <w:color w:val="1A1A1A"/>
                <w:sz w:val="18"/>
              </w:rPr>
              <w:t xml:space="preserve">~4,2 : 1</w:t>
            </w:r>
          </w:p>
        </w:tc>
        <w:tc>
          <w:tcPr>
            <w:shd w:val="clear" w:color="auto" w:fill="F4F1EC"/>
          </w:tcPr>
          <w:p>
            <w:pPr>
              <w:pStyle w:val="Compact"/>
              <w:spacing w:after="40" w:before="40"/>
              <w:jc w:val="left"/>
            </w:pPr>
            <w:r>
              <w:rPr>
                <w:rFonts w:ascii="Cambria" w:hAnsi="Cambria" w:cs="Cambria" w:eastAsia="Cambria"/>
                <w:color w:val="1A1A1A"/>
                <w:sz w:val="18"/>
              </w:rPr>
              <w:t xml:space="preserve">~4,3 : 1</w:t>
            </w:r>
          </w:p>
        </w:tc>
        <w:tc>
          <w:tcPr>
            <w:shd w:val="clear" w:color="auto" w:fill="F4F1EC"/>
          </w:tcPr>
          <w:p>
            <w:pPr>
              <w:pStyle w:val="Compact"/>
              <w:spacing w:after="40" w:before="40"/>
              <w:jc w:val="left"/>
            </w:pPr>
            <w:r>
              <w:rPr>
                <w:rFonts w:ascii="Cambria" w:hAnsi="Cambria" w:cs="Cambria" w:eastAsia="Cambria"/>
                <w:color w:val="1A1A1A"/>
                <w:sz w:val="18"/>
              </w:rPr>
              <w:t xml:space="preserve">~4,6 : 1</w:t>
            </w:r>
          </w:p>
        </w:tc>
      </w:tr>
      <w:tr>
        <w:tc>
          <w:tcPr/>
          <w:p>
            <w:pPr>
              <w:pStyle w:val="Compact"/>
              <w:spacing w:after="40" w:before="40"/>
              <w:jc w:val="left"/>
            </w:pPr>
            <w:r>
              <w:rPr>
                <w:rFonts w:ascii="Cambria" w:hAnsi="Cambria" w:cs="Cambria" w:eastAsia="Cambria"/>
                <w:color w:val="1A1A1A"/>
                <w:sz w:val="18"/>
              </w:rPr>
              <w:t xml:space="preserve">Costo-efficacia — ICER, € per anno di vita in buona salute</w:t>
            </w:r>
          </w:p>
        </w:tc>
        <w:tc>
          <w:tcPr/>
          <w:p>
            <w:pPr>
              <w:pStyle w:val="Compact"/>
              <w:spacing w:after="40" w:before="40"/>
              <w:jc w:val="left"/>
            </w:pPr>
            <w:r>
              <w:rPr>
                <w:rFonts w:ascii="Cambria" w:hAnsi="Cambria" w:cs="Cambria" w:eastAsia="Cambria"/>
                <w:color w:val="1A1A1A"/>
                <w:sz w:val="18"/>
              </w:rPr>
              <w:t xml:space="preserve">~19.200</w:t>
            </w:r>
          </w:p>
        </w:tc>
        <w:tc>
          <w:tcPr/>
          <w:p>
            <w:pPr>
              <w:pStyle w:val="Compact"/>
              <w:spacing w:after="40" w:before="40"/>
              <w:jc w:val="left"/>
            </w:pPr>
            <w:r>
              <w:rPr>
                <w:rFonts w:ascii="Cambria" w:hAnsi="Cambria" w:cs="Cambria" w:eastAsia="Cambria"/>
                <w:color w:val="1A1A1A"/>
                <w:sz w:val="18"/>
              </w:rPr>
              <w:t xml:space="preserve">~17.300</w:t>
            </w:r>
          </w:p>
        </w:tc>
        <w:tc>
          <w:tcPr/>
          <w:p>
            <w:pPr>
              <w:pStyle w:val="Compact"/>
              <w:spacing w:after="40" w:before="40"/>
              <w:jc w:val="left"/>
            </w:pPr>
            <w:r>
              <w:rPr>
                <w:rFonts w:ascii="Cambria" w:hAnsi="Cambria" w:cs="Cambria" w:eastAsia="Cambria"/>
                <w:color w:val="1A1A1A"/>
                <w:sz w:val="18"/>
              </w:rPr>
              <w:t xml:space="preserve">~16.100</w:t>
            </w:r>
          </w:p>
        </w:tc>
      </w:tr>
      <w:tr>
        <w:tc>
          <w:tcPr>
            <w:shd w:val="clear" w:color="auto" w:fill="F4F1EC"/>
          </w:tcPr>
          <w:p>
            <w:pPr>
              <w:pStyle w:val="Compact"/>
              <w:spacing w:after="40" w:before="40"/>
              <w:jc w:val="left"/>
            </w:pPr>
            <w:r>
              <w:rPr>
                <w:rFonts w:ascii="Cambria" w:hAnsi="Cambria" w:cs="Cambria" w:eastAsia="Cambria"/>
                <w:color w:val="1A1A1A"/>
                <w:sz w:val="18"/>
              </w:rPr>
              <w:t xml:space="preserve">Rendimento sociale netto — SROI (dopo deflatori)</w:t>
            </w:r>
          </w:p>
        </w:tc>
        <w:tc>
          <w:tcPr>
            <w:shd w:val="clear" w:color="auto" w:fill="F4F1EC"/>
          </w:tcPr>
          <w:p>
            <w:pPr>
              <w:pStyle w:val="Compact"/>
              <w:spacing w:after="40" w:before="40"/>
              <w:jc w:val="left"/>
            </w:pPr>
            <w:r>
              <w:rPr>
                <w:rFonts w:ascii="Cambria" w:hAnsi="Cambria" w:cs="Cambria" w:eastAsia="Cambria"/>
                <w:color w:val="1A1A1A"/>
                <w:sz w:val="18"/>
              </w:rPr>
              <w:t xml:space="preserve">~3,1 : 1</w:t>
            </w:r>
          </w:p>
        </w:tc>
        <w:tc>
          <w:tcPr>
            <w:shd w:val="clear" w:color="auto" w:fill="F4F1EC"/>
          </w:tcPr>
          <w:p>
            <w:pPr>
              <w:pStyle w:val="Compact"/>
              <w:spacing w:after="40" w:before="40"/>
              <w:jc w:val="left"/>
            </w:pPr>
            <w:r>
              <w:rPr>
                <w:rFonts w:ascii="Cambria" w:hAnsi="Cambria" w:cs="Cambria" w:eastAsia="Cambria"/>
                <w:color w:val="1A1A1A"/>
                <w:sz w:val="18"/>
              </w:rPr>
              <w:t xml:space="preserve">~3,2 : 1</w:t>
            </w:r>
          </w:p>
        </w:tc>
        <w:tc>
          <w:tcPr>
            <w:shd w:val="clear" w:color="auto" w:fill="F4F1EC"/>
          </w:tcPr>
          <w:p>
            <w:pPr>
              <w:pStyle w:val="Compact"/>
              <w:spacing w:after="40" w:before="40"/>
              <w:jc w:val="left"/>
            </w:pPr>
            <w:r>
              <w:rPr>
                <w:rFonts w:ascii="Cambria" w:hAnsi="Cambria" w:cs="Cambria" w:eastAsia="Cambria"/>
                <w:color w:val="1A1A1A"/>
                <w:sz w:val="18"/>
              </w:rPr>
              <w:t xml:space="preserve">~3,5 : 1</w:t>
            </w:r>
          </w:p>
        </w:tc>
      </w:tr>
      <w:tr>
        <w:tc>
          <w:tcPr/>
          <w:p>
            <w:pPr>
              <w:pStyle w:val="Compact"/>
              <w:spacing w:after="40" w:before="40"/>
              <w:jc w:val="left"/>
            </w:pPr>
            <w:r>
              <w:rPr>
                <w:rFonts w:ascii="Cambria" w:hAnsi="Cambria" w:cs="Cambria" w:eastAsia="Cambria"/>
                <w:color w:val="1A1A1A"/>
                <w:sz w:val="18"/>
              </w:rPr>
              <w:t xml:space="preserve">Punteggio composito multi-criterio (0–100)</w:t>
            </w:r>
          </w:p>
        </w:tc>
        <w:tc>
          <w:tcPr/>
          <w:p>
            <w:pPr>
              <w:pStyle w:val="Compact"/>
              <w:spacing w:after="40" w:before="40"/>
              <w:jc w:val="left"/>
            </w:pPr>
            <w:r>
              <w:rPr>
                <w:rFonts w:ascii="Cambria" w:hAnsi="Cambria" w:cs="Cambria" w:eastAsia="Cambria"/>
                <w:color w:val="1A1A1A"/>
                <w:sz w:val="18"/>
              </w:rPr>
              <w:t xml:space="preserve">~75</w:t>
            </w:r>
          </w:p>
        </w:tc>
        <w:tc>
          <w:tcPr/>
          <w:p>
            <w:pPr>
              <w:pStyle w:val="Compact"/>
              <w:spacing w:after="40" w:before="40"/>
              <w:jc w:val="left"/>
            </w:pPr>
            <w:r>
              <w:rPr>
                <w:rFonts w:ascii="Cambria" w:hAnsi="Cambria" w:cs="Cambria" w:eastAsia="Cambria"/>
                <w:color w:val="1A1A1A"/>
                <w:sz w:val="18"/>
              </w:rPr>
              <w:t xml:space="preserve">~77</w:t>
            </w:r>
          </w:p>
        </w:tc>
        <w:tc>
          <w:tcPr/>
          <w:p>
            <w:pPr>
              <w:pStyle w:val="Compact"/>
              <w:spacing w:after="40" w:before="40"/>
              <w:jc w:val="left"/>
            </w:pPr>
            <w:r>
              <w:rPr>
                <w:rFonts w:ascii="Cambria" w:hAnsi="Cambria" w:cs="Cambria" w:eastAsia="Cambria"/>
                <w:color w:val="1A1A1A"/>
                <w:sz w:val="18"/>
              </w:rPr>
              <w:t xml:space="preserve">~78</w:t>
            </w:r>
          </w:p>
        </w:tc>
      </w:tr>
    </w:tbl>
    <w:p>
      <w:pPr>
        <w:pStyle w:val="BodyText"/>
      </w:pPr>
      <w:r>
        <w:rPr>
          <w:i/>
          <w:iCs/>
        </w:rPr>
        <w:t xml:space="preserve">Tabella 10.14 — Saldo economico consolidato della riforma per scenario: la tabella master che ricompone le tre dimensioni del valore — fiscale diretta, sociale indiretta e di salute — e le misure di sintesi, tenendo le dimensioni rigorosamente distinte e senza sommarle in un’unica cifra. La posizione fiscale netta è prossima al pareggio; il rapporto sociale è entro la prima fascia di Chisholm; il rapporto con valore della salute entro la seconda; il costo-efficacia ampiamente sotto soglia; il rendimento sociale netto e il punteggio multi-criterio confermano il valore complessivo.</w:t>
      </w:r>
    </w:p>
    <w:p>
      <w:pPr>
        <w:pStyle w:val="BodyText"/>
      </w:pPr>
      <w:r>
        <w:t xml:space="preserve">La tabella master del saldo consolidato restituisce il verdetto complessivo della rinegoziazione integrale, e lo restituisce nella forma che è propria del rigore: non un’unica cifra, ma la composizione di tre dimensioni distinte, ciascuna delle quali esprime un giudizio favorevole sul proprio piano. Sul conto fiscale diretto, che attiene al bilancio sanitario regionale, la riforma è prossima al pareggio a regime: i risparmi diretti quasi eguagliano i costi, con un onere netto contenuto che si annulla nello scenario espansivo, sì che la riforma quasi si autofinanzia attraverso i risparmi che genera per il bilancio sanitario. Sul conto della salute, che attiene al valore intrinseco della salute prodotta, la riforma è nettamente costo-efficace: essa produce anni di vita in buona salute a un costo unitario ampiamente inferiore alla soglia convenzionale, e questa costo-efficacia è il risultato più robusto della valutazione, indenne dai caveat che gravano sulle altre grandezze. Sul conto sociale, che attiene al tessuto economico e sociale, la riforma è fortemente positiva: essa genera, per la collettività, un beneficio dell’ordine di due volte e mezza il costo, entro la fascia di Chisholm, che sale verso la fascia superiore con l’aggiunta del valore della salute. Le tre dimensioni, tenute distinte, convergono dunque in un giudizio favorevole, ciascuna sul proprio piano.</w:t>
      </w:r>
      <w:r>
        <w:rPr>
          <w:rStyle w:val="FootnoteReference"/>
        </w:rPr>
        <w:footnoteReference w:id="303"/>
      </w:r>
    </w:p>
    <w:p>
      <w:pPr>
        <w:pStyle w:val="BodyText"/>
      </w:pPr>
      <w:r>
        <w:t xml:space="preserve">La convergenza delle tre dimensioni in un giudizio favorevole, ciascuna sul proprio piano, costituisce la forma più solida del giudizio sulla riforma, più solida di quanto sarebbe un giudizio fondato su un’unica dimensione o su un’unica cifra. Un giudizio fondato su un’unica cifra — la somma di tutte le grandezze — sarebbe fragile, perché confonderebbe dimensioni distinte e dipenderebbe dalle assunzioni più incerte; un giudizio fondato sulla convergenza di tre dimensioni distinte, ciascuna stabilita con il proprio metodo e graduata nella propria evidenza, è robusto, perché ciascuna dimensione lo sostiene autonomamente, e la sua conclusione non dipende da nessuna singola assunzione. La riforma è favorevole non perché una cifra lo dica, ma perché tre dimensioni distinte — la fiscale, la sociale e quella di salute — lo dicono ciascuna a suo modo: essa è prossima al pareggio sul conto fiscale, costo-efficace sul conto della salute, e fortemente positiva sul conto sociale. E questo triplice giudizio favorevole, raggiunto per tre vie indipendenti e mai fuso in un’unica cifra, è il risultato della valutazione integrata, e la sintesi quantitativa della rinegoziazione integrale dei costi e dei benefici condotta dall’intero studio. Il saldo consolidato consegna dunque al decisore non una cifra, ma un giudizio articolato e robusto, fondato sulla convergenza di dimensioni distinte, ciascuna delle quali egli può apprezzare nella sua natura.</w:t>
      </w:r>
    </w:p>
    <w:bookmarkEnd w:id="698"/>
    <w:bookmarkStart w:id="700" w:name="X8a2dcb358b870d4112710e2d8d3a88552be484d"/>
    <w:p>
      <w:pPr>
        <w:pStyle w:val="Heading2"/>
      </w:pPr>
      <w:r>
        <w:t xml:space="preserve">10.5.6 La graduazione, i confini e il rinvio alla modellazione</w:t>
      </w:r>
    </w:p>
    <w:p>
      <w:pPr>
        <w:pStyle w:val="FirstParagraph"/>
      </w:pPr>
      <w:r>
        <w:t xml:space="preserve">La solidità del saldo consolidato eredita la graduazione delle grandezze che lo compongono, e va dichiarata distinguendone le dimensioni. La dimensione di salute, nella sua costo-efficacia, ha il fondamento più solido, perché poggia sul solo rapporto tra costo e salute, sostenuto da evidenza graduata da moderata ad alta, indenne dai caveat. La dimensione sociale indiretta ha un fondamento solido nel suo ordine di grandezza, perché poggia sull’aggregato dei benefici indiretti verificato con l’ancora di Chisholm, ma le sue componenti sono graduate da moderata a bassa secondo i domini. La dimensione fiscale diretta ha il fondamento più incerto nei suoi risparmi, soggetti al caveat dell’IMPACT trial, sì che la posizione fiscale netta va letta nelle due varianti — quella che computa i risparmi e quella prudenziale che li esclude — di cui la seconda voce ha stabilito i termini. Le misure di sintesi — i rapporti, il costo-efficacia, il rendimento sociale, il punteggio multi-criterio — ereditano la graduazione delle grandezze che compongono. Il verdetto complessivo, fondato sulla convergenza delle tre dimensioni, è robusto perché ciascuna dimensione lo sostiene autonomamente; ma le singole grandezze vanno lette ciascuna con la propria graduazione, e i valori puntuali come stime centrali di intervalli, secondo le bande prudenziali stabilite nelle voci.</w:t>
      </w:r>
      <w:r>
        <w:rPr>
          <w:rStyle w:val="FootnoteReference"/>
        </w:rPr>
        <w:footnoteReference w:id="304"/>
      </w:r>
    </w:p>
    <w:p>
      <w:pPr>
        <w:pStyle w:val="BodyText"/>
      </w:pPr>
      <w:r>
        <w:t xml:space="preserve">Da questa graduazione discendono i confini del saldo consolidato e il rinvio alle parti successive. In primo luogo, il saldo consolidato è la sintesi statica del valore economico della riforma a regime, riferita ai valori annui di regime; la sua proiezione nel tempo, che ne modella l’andamento dalla fase di avvio alla fase di regime e ne accumula i valori lungo l’orizzonte, è il compito della modellazione dell’undicesima parte, che proietterà le grandezze qui consolidate e ne trarrà le previsioni falsificabili sulla qualità della vita, sui bilanci regionali, sulla burocrazia e sui sistemi sanitari. In secondo luogo, il saldo consolidato presenta il valore economico complessivo, ma la sua distribuzione tra i territori e le popolazioni — l’equità con cui i costi e i benefici si ripartiscono — è il compito della dodicesima parte, che analizzerà l’impatto distributivo. In terzo luogo, il saldo consolidato è condizionato dalle assunzioni dichiarate — la soglia dell’anno di vita in buona salute, i deflatori del rendimento sociale, i pesi multi-criterio — e va letto entro la cornice di tali assunzioni, esplicitate nelle voci. Il saldo consolidato chiude così la valutazione economica integrata, consegnando il verdetto complessivo della rinegoziazione integrale — la riforma prossima al pareggio sul conto fiscale, costo-efficace sul conto della salute, fortemente positiva sul conto sociale — alla modellazione dell’undicesima parte, che lo proietterà nel tempo, e alle parti successive, che ne analizzeranno la distribuzione e ne trarranno le raccomandazioni.</w:t>
      </w:r>
    </w:p>
    <w:bookmarkEnd w:id="700"/>
    <w:bookmarkEnd w:id="701"/>
    <w:bookmarkStart w:id="711" w:name="X17f65378d12ee2981007ba919319191d5337736"/>
    <w:p>
      <w:pPr>
        <w:pStyle w:val="Heading1"/>
      </w:pPr>
      <w:r>
        <w:t xml:space="preserve">Quadro conclusivo economico-sociale e multidisciplinare integrale</w:t>
      </w:r>
    </w:p>
    <w:p>
      <w:pPr>
        <w:pStyle w:val="FirstParagraph"/>
      </w:pPr>
      <w:r>
        <w:rPr>
          <w:i/>
          <w:iCs/>
        </w:rPr>
        <w:t xml:space="preserve">Il quadro conclusivo ricompone i risultati della valutazione economica integrata in una visione d’insieme, e ne trae il significato per la rinegoziazione integrale dei costi e dei benefici condotta dall’intero studio. La decima parte ha applicato alle grandezze stabilite dalle parti precedenti gli strumenti della valutazione economica integrata — la valutazione costo-utilità, l’analisi di impatto di bilancio, il rendimento sociale dell’investimento e la sintesi multi-criterio — e ne ha tratto il saldo economico consolidato, che tiene distinte le tre dimensioni del valore della riforma e ne mostra la convergenza in un giudizio favorevole. Il quadro conclusivo raccoglie questi risultati, ne dichiara il significato per le tre dimensioni e per il loro rapporto, ne mostra la coerenza con gli intervalli di Chisholm attraverso le convergenze che la valutazione ha stabilito, ne richiama il radicamento nella cascata delle figure e nel perimetro multidisciplinare, ne ribadisce la natura prudenziale e falsificabile, e ne prepara il raccordo con la modellazione e con l’analisi distributiva delle parti successive.</w:t>
      </w:r>
    </w:p>
    <w:bookmarkStart w:id="703" w:name="X8bec348563d6ec4d6154b461c3a5f9e669b5765"/>
    <w:p>
      <w:pPr>
        <w:pStyle w:val="Heading2"/>
      </w:pPr>
      <w:r>
        <w:t xml:space="preserve">Le tre dimensioni del valore e il verdetto tripartito</w:t>
      </w:r>
    </w:p>
    <w:p>
      <w:pPr>
        <w:pStyle w:val="FirstParagraph"/>
      </w:pPr>
      <w:r>
        <w:t xml:space="preserve">Il risultato centrale della valutazione economica integrata è il verdetto tripartito sulla riforma, che ne esprime il valore su tre dimensioni distinte, ciascuna delle quali sostiene un giudizio favorevole sul proprio piano. La prima dimensione è quella fiscale diretta, che attiene al bilancio sanitario regionale: su questo piano, la riforma è prossima al pareggio a regime, perché i risparmi diretti che essa genera per il bilancio sanitario quasi eguagliano i costi dell’investimento, con un onere netto contenuto che si annulla nello scenario espansivo. La seconda dimensione è quella di salute, che attiene al valore intrinseco della salute prodotta: su questo piano, la riforma è nettamente costo-efficace, perché produce anni di vita in buona salute a un costo unitario — dell’ordine di diciassettemila euro per anno di vita in buona salute nello scenario intermedio — ampiamente inferiore alla soglia convenzionale di costo-efficacia. La terza dimensione è quella sociale indiretta, che attiene al tessuto economico e sociale: su questo piano, la riforma è fortemente positiva, perché genera, per la collettività, benefici dell’ordine di due volte e mezza il costo dell’investimento, entro la fascia di rendimento che la letteratura internazionale associa agli investimenti in salute mentale. Il verdetto tripartito — prossima al pareggio sul conto fiscale, nettamente costo-efficace sul conto della salute, fortemente positiva sul conto sociale — è la sintesi del valore della riforma, e ciascuno dei suoi tre termini è stabilito autonomamente, sul proprio piano.</w:t>
      </w:r>
      <w:r>
        <w:rPr>
          <w:rStyle w:val="FootnoteReference"/>
        </w:rPr>
        <w:footnoteReference w:id="305"/>
      </w:r>
    </w:p>
    <w:p>
      <w:pPr>
        <w:pStyle w:val="BodyText"/>
      </w:pPr>
      <w:r>
        <w:t xml:space="preserve">La struttura tripartita del verdetto non è un artificio espositivo, ma il riflesso fedele della natura del valore della riforma, che si manifesta su tre piani di natura diversa. Il bilancio sanitario, il tessuto economico-sociale e la salute delle persone sono tre ambiti distinti, su ciascuno dei quali la riforma produce un effetto di natura propria: un effetto fiscale sul bilancio sanitario, un effetto economico-sociale sul tessuto, un effetto di salute sulle persone. Questi tre effetti sono reali e contestuali — il medesimo miglioramento clinico li produce tutti e tre — ma sono di natura diversa, e la loro misura richiede strumenti diversi e unità diverse: l’analisi di impatto di bilancio per l’effetto fiscale, l’analisi dei benefici indiretti per l’effetto economico-sociale, la valutazione costo-utilità per l’effetto di salute. Il verdetto tripartito rispecchia questa pluralità, e la conserva: esso non riduce i tre effetti a uno solo, né li somma in un’unica cifra, ma li mantiene distinti e ne mostra la convergenza. La riforma vale, dunque, su tre piani distinti, e il suo valore complessivo è la convergenza dei tre valori, non la loro somma; ed è in questa convergenza, e non in una cifra unica, che risiede il giudizio favorevole sulla riforma.</w:t>
      </w:r>
    </w:p>
    <w:bookmarkEnd w:id="703"/>
    <w:bookmarkStart w:id="705" w:name="Xcd77b18f2a1e1cc47fb004ebc74f6318aa123aa"/>
    <w:p>
      <w:pPr>
        <w:pStyle w:val="Heading2"/>
      </w:pPr>
      <w:r>
        <w:t xml:space="preserve">La valutazione integrata come ricomposizione che preserva la distinzione</w:t>
      </w:r>
    </w:p>
    <w:p>
      <w:pPr>
        <w:pStyle w:val="FirstParagraph"/>
      </w:pPr>
      <w:r>
        <w:t xml:space="preserve">La valutazione economica integrata si è rivelata, nel suo svolgimento, una ricomposizione che preserva la distinzione, e non una fusione che la cancella; ed è in questa natura che risiede il suo rigore. La tentazione, in una valutazione integrata, è quella di pervenire a una cifra unica — un valore complessivo della riforma — che ne riassuma il valore in un solo numero; e questa tentazione è tanto più forte quanto più si desideri un risultato semplice e comunicabile. Ma la cifra unica sarebbe fallace, perché otterrebbe la propria semplicità al prezzo della confusione: essa sommerebbe grandezze di natura diversa — un risparmio fiscale, un beneficio sociale, un valore di salute — che non sono sommabili, perché appartengono a categorie distinte e gravano su soggetti distinti, e il numero che ne risulterebbe non avrebbe un significato interpretabile. La valutazione integrata ha perciò rifiutato la cifra unica, e ha adottato la ricomposizione che preserva la distinzione: essa ha ricomposto le grandezze in un quadro unitario, raggruppandole per dimensione e mostrandone il rapporto, ma ha tenuto le dimensioni distinte, in colonne separate, senza fonderle. Il saldo consolidato è il frutto di questa scelta: un quadro che riunisce tutte le grandezze del valore della riforma, e che tuttavia le tiene distinte, restituendo al decisore le tre dimensioni nella loro natura.</w:t>
      </w:r>
      <w:r>
        <w:rPr>
          <w:rStyle w:val="FootnoteReference"/>
        </w:rPr>
        <w:footnoteReference w:id="306"/>
      </w:r>
    </w:p>
    <w:p>
      <w:pPr>
        <w:pStyle w:val="BodyText"/>
      </w:pPr>
      <w:r>
        <w:t xml:space="preserve">La ricomposizione che preserva la distinzione è la traduzione, nella valutazione integrata, della regola di non duplicazione che ha governato l’intero studio. La regola di non duplicazione, enunciata nella prima parte, impone di non attribuire il medesimo valore a più cause, e di non sommare grandezze che si sovrappongono; e nella valutazione integrata essa si specifica nella distinzione tra le tre dimensioni, che impedisce di sommare il risparmio fiscale, il beneficio sociale e il valore di salute, i quali, pur prodotti dal medesimo miglioramento clinico, sono grandezze distinte. La fedeltà a questa regola è ciò che distingue una valutazione integrata rigorosa da una valutazione che, nell’intento di mostrare un valore complessivo cospicuo, somma indebitamente grandezze distinte e perviene a una cifra gonfiata e priva di significato. La valutazione integrata di questa parte ha mantenuto la fedeltà alla regola fino al saldo conclusivo, e ne ha tratto un verdetto che è, per ciò stesso, più solido di quanto sarebbe una cifra unica: perché il verdetto tripartito, fondato sulla convergenza di tre dimensioni distinte ciascuna stabilita con il proprio metodo, è robusto in un modo in cui una cifra unica non potrebbe esserlo, dipendendo questa dalle assunzioni più incerte e confondendo ciò che è distinto. La distinzione preservata non è dunque una rinuncia alla sintesi, ma la forma rigorosa della sintesi, che compone senza confondere.</w:t>
      </w:r>
    </w:p>
    <w:bookmarkEnd w:id="705"/>
    <w:bookmarkStart w:id="707" w:name="X63278352b1da6c08c8d03231608ee3635fac167"/>
    <w:p>
      <w:pPr>
        <w:pStyle w:val="Heading2"/>
      </w:pPr>
      <w:r>
        <w:t xml:space="preserve">Le convergenze con gli intervalli di Chisholm</w:t>
      </w:r>
    </w:p>
    <w:p>
      <w:pPr>
        <w:pStyle w:val="FirstParagraph"/>
      </w:pPr>
      <w:r>
        <w:t xml:space="preserve">La valutazione economica integrata ha stabilito, nel suo svolgimento, una serie di convergenze tra le stime costruite per questa riforma e gli intervalli di rendimento validati dalla letteratura internazionale, e queste convergenze costituiscono un presidio di robustezza dell’intera valutazione. La prima convergenza, stabilita nella nona parte e richiamata in questa, è quella del rapporto dei soli benefici economici: l’aggregato dei benefici sociali indiretti, rapportato al costo dell’investimento, ha prodotto un rapporto dell’ordine di 2,6 a 1, che si colloca entro la prima fascia di Chisholm, compresa tra 2,3 e 3,0 a 1, ossia entro la fascia che la letteratura associa ai soli benefici economici degli investimenti in salute mentale. La seconda convergenza, stabilita dalla prima voce di questa parte, è quella del rapporto che include il valore della salute: l’aggiunta del valore monetizzato dei guadagni di salute ai benefici economici ha prodotto un rapporto dell’ordine di 4,3 a 1, che si colloca entro la seconda fascia di Chisholm, compresa tra 3,3 e 5,7 a 1, ossia entro la fascia che la letteratura associa al rendimento comprensivo dei ritorni di salute. Il passaggio dalla prima alla seconda fascia, operato dall’aggiunta del valore della salute, riproduce esattamente la struttura del duplice intervallo di Chisholm, e ne costituisce una conferma.</w:t>
      </w:r>
      <w:r>
        <w:rPr>
          <w:rStyle w:val="FootnoteReference"/>
        </w:rPr>
        <w:footnoteReference w:id="307"/>
      </w:r>
    </w:p>
    <w:p>
      <w:pPr>
        <w:pStyle w:val="BodyText"/>
      </w:pPr>
      <w:r>
        <w:t xml:space="preserve">La terza convergenza, stabilita dalla terza voce di questa parte, è quella del rendimento sociale dell’investimento: il valore sociale, depurato con i deflatori di prudenza propri del metodo, ha prodotto un rendimento dell’ordine di 3,2 a 1, che si colloca in prossimità del margine inferiore della seconda fascia di Chisholm. Questa terza convergenza è particolarmente significativa, perché è ottenuta con il metodo più prudente — quello che applica i deflatori per ciò che si sarebbe verificato comunque, per l’attribuzione ad altri fattori, per gli effetti spostati altrove e per il decadimento — e tuttavia perviene a un rendimento coerente con la fascia superiore di Chisholm. Che tre vie distinte — il rapporto dei soli benefici economici, il rapporto che include il valore della salute, e il rendimento sociale al netto dei deflatori — convergano tutte verso gli intervalli di Chisholm, ciascuna nella fascia che le compete, è una conferma di notevole forza della coerenza del valore della riforma con la letteratura internazionale. Le convergenze non sono il frutto di un adattamento delle stime agli intervalli, ma il risultato di stime costruite autonomamente, ciascuna con il proprio metodo, che si sono rivelate coerenti con gli intervalli validati; e questa coerenza, raggiunta per vie indipendenti, è ciò che fonda la fiducia nei risultati della valutazione. Gli intervalli di Chisholm hanno operato, in tutto lo studio, come ancora di validazione; e le convergenze stabilite in questa parte confermano che l’ancora ha tenuto, e che le stime della riforma si collocano entro i confini che la letteratura internazionale assegna al rendimento degli investimenti in salute mentale.</w:t>
      </w:r>
    </w:p>
    <w:bookmarkEnd w:id="707"/>
    <w:bookmarkStart w:id="709" w:name="Xf1f60c10e494f6260e100fdaa795f7a7334033c"/>
    <w:p>
      <w:pPr>
        <w:pStyle w:val="Heading2"/>
      </w:pPr>
      <w:r>
        <w:t xml:space="preserve">Il valore lungo la cascata delle figure e la natura prudenziale e falsificabile</w:t>
      </w:r>
    </w:p>
    <w:p>
      <w:pPr>
        <w:pStyle w:val="FirstParagraph"/>
      </w:pPr>
      <w:r>
        <w:t xml:space="preserve">Il valore economico della riforma, ricomposto nel saldo consolidato, si radica nella cascata gerarchica delle figure che la terza parte ha ordinato, e ne costituisce la traduzione economica. La cascata, che muove dallo Psicologo di Base come apice e origine e procede verso le figure sanitarie, socio-sanitarie, educative, istituzionali ed extra-sanitarie, è il percorso lungo il quale il valore della riforma si genera e si propaga: l’intervento dello Psicologo di Base, potenziato dalle leve abilitanti, intercetta il disagio comune e ne produce il miglioramento clinico; questo miglioramento alleggerisce il carico delle figure cliniche contigue, libera risorse del sistema sanitario, e si propaga ai domini extra-sanitari, generando i risparmi fiscali diretti, i benefici sociali indiretti e i guadagni di salute che il saldo consolidato ricompone. Le tre dimensioni del valore sono dunque la traduzione economica della cascata: la dimensione fiscale diretta misura il valore che si genera nel sistema sanitario, lungo il tratto della cascata che va dallo Psicologo di Base alle figure cliniche e ai servizi; la dimensione sociale indiretta misura il valore che si propaga ai domini extra-sanitari, lungo il tratto della cascata che raggiunge le figure istituzionali ed extra-sanitarie; la dimensione di salute misura il valore che si produce nelle persone, all’origine della cascata, nell’intervento sul disagio. Il saldo consolidato è perciò il punto di arrivo dell’architettura della cascata: esso ricompone in grandezze economiche il valore che la cascata genera e propaga lungo i suoi tratti, dalla figura apicale ai domini periferici.</w:t>
      </w:r>
      <w:r>
        <w:rPr>
          <w:rStyle w:val="FootnoteReference"/>
        </w:rPr>
        <w:footnoteReference w:id="308"/>
      </w:r>
    </w:p>
    <w:p>
      <w:pPr>
        <w:pStyle w:val="BodyText"/>
      </w:pPr>
      <w:r>
        <w:t xml:space="preserve">Il valore economico così ricomposto è stato stabilito con la natura prudenziale e falsificabile che ha governato l’intero studio, e che ne costituisce il carattere distintivo. La natura prudenziale si è manifestata in ogni stima della valutazione: nel calcolo del rapporto costo-efficacia sul costo lordo senza dedurre i risparmi, che ha prodotto un rapporto conservativo; nell’analisi di impatto di bilancio condotta anche nella variante prudenziale che esclude i risparmi, in ossequio al caveat dell’IMPACT trial; nell’applicazione dei deflatori al rendimento sociale, che ne hanno ridotto il valore al genuinamente imputabile; nell’adozione di bande prudenziali su ogni grandezza, e di valori centrali conservativi. La natura falsificabile si è manifestata nella formulazione di ogni risultato in termini verificabili e confutabili: i rapporti, i punteggi, le grandezze sono stati espressi in valori puntuali corredati di bande, e collocati rispetto a soglie e intervalli dichiarati, sì che ciascuno possa essere verificato e, ove i dati lo smentiscano, confutato. La valutazione integrata non ha prodotto, dunque, affermazioni indimostrabili o cifre suggestive, ma stime prudenziali e falsificabili, ciascuna graduata nella propria evidenza e collocata entro i propri confini; e il verdetto tripartito che ne è risultato è, per ciò stesso, un giudizio scientificamente fondato, suscettibile di verifica e di confutazione, e non un’asserzione di valore indimostrata. È questa natura prudenziale e falsificabile che distingue la valutazione integrata da una valutazione compiacente, e che ne fonda l’attendibilità presso il decisore.</w:t>
      </w:r>
    </w:p>
    <w:bookmarkEnd w:id="709"/>
    <w:bookmarkStart w:id="710" w:name="X5ad6534286725dddad8e594b991f0a94ff7e45d"/>
    <w:p>
      <w:pPr>
        <w:pStyle w:val="Heading2"/>
      </w:pPr>
      <w:r>
        <w:t xml:space="preserve">Il raccordo con la modellazione e con l’analisi distributiva</w:t>
      </w:r>
    </w:p>
    <w:p>
      <w:pPr>
        <w:pStyle w:val="FirstParagraph"/>
      </w:pPr>
      <w:r>
        <w:t xml:space="preserve">Il saldo economico consolidato, che chiude la valutazione economica integrata, è la sintesi statica del valore della riforma a regime, e si raccorda con le parti successive dello studio, che ne svilupperanno le dimensioni che esso, per sua natura, non tratta. Il primo raccordo è con la modellazione dell’undicesima parte, che proietterà nel tempo le grandezze consolidate. Il saldo consolidato è riferito ai valori annui di regime, e non ne modella l’andamento temporale; ma il valore della riforma si dispiega nel tempo, dalla fase di avvio in cui i costi precedono i benefici alla fase di regime in cui i benefici maturano, e la sua valutazione completa richiede la proiezione temporale. La modellazione dell’undicesima parte assumerà le grandezze consolidate in questa parte e le proietterà lungo l’orizzonte di valutazione, attraverso il modello di Markov e la microsimulazione, e ne trarrà le previsioni falsificabili sulla qualità della vita delle persone, sui bilanci regionali, sulla burocrazia e l’efficienza amministrativa e sui sistemi sanitari regionali, che sono l’oggetto ultimo della rinegoziazione integrale. Il saldo consolidato fornisce dunque alla modellazione il suo punto di partenza: le grandezze del valore a regime, che la modellazione proietterà nel tempo.</w:t>
      </w:r>
    </w:p>
    <w:p>
      <w:pPr>
        <w:pStyle w:val="BodyText"/>
      </w:pPr>
      <w:r>
        <w:t xml:space="preserve">Il secondo raccordo è con l’analisi distributiva della dodicesima parte, che ne valuterà la distribuzione tra i territori e le popolazioni. Il saldo consolidato presenta il valore economico complessivo della riforma, ma non ne analizza la distribuzione: esso dice quanto vale la riforma, non come il suo valore si ripartisca tra le aree della regione e tra i gruppi della popolazione. Ma la distribuzione del valore è dimensione essenziale di una riforma sanitaria, perché una riforma che generasse valore concentrandolo nelle aree già servite e nelle popolazioni già favorite sarebbe diversa, sul piano della giustizia, da una riforma che lo distribuisse equamente; e la valutazione completa richiede perciò l’analisi distributiva. La dodicesima parte assumerà il valore consolidato in questa parte e ne analizzerà la distribuzione territoriale e tra le popolazioni, valutando l’equità con cui i costi e i benefici si ripartiscono, e il rischio che la leva digitale, su cui la riforma si appoggia, introduca un divario di accesso. Il saldo consolidato fornisce dunque all’analisi distributiva il suo oggetto: il valore economico complessivo, di cui la dodicesima parte studierà la ripartizione. Con questi due raccordi — alla modellazione, che ne proietta il valore nel tempo, e all’analisi distributiva, che ne studia la ripartizione nello spazio sociale — la valutazione economica integrata si inserisce nel disegno complessivo dello studio, di cui costituisce il fulcro economico, e consegna alle parti successive il verdetto tripartito che ne è il risultato.</w:t>
      </w:r>
    </w:p>
    <w:bookmarkEnd w:id="710"/>
    <w:bookmarkEnd w:id="711"/>
    <w:bookmarkStart w:id="713" w:name="conclusione-6"/>
    <w:p>
      <w:pPr>
        <w:pStyle w:val="Heading1"/>
      </w:pPr>
      <w:r>
        <w:t xml:space="preserve">Conclusione</w:t>
      </w:r>
    </w:p>
    <w:p>
      <w:pPr>
        <w:pStyle w:val="FirstParagraph"/>
      </w:pPr>
      <w:r>
        <w:rPr>
          <w:i/>
          <w:iCs/>
        </w:rPr>
        <w:t xml:space="preserve">La conclusione raccoglie quanto la decima parte ha stabilito, ne ribadisce il verdetto e il rigore, e ne dichiara il rapporto con le parti che seguono. La parte ha condotto la valutazione economica integrata della riforma, ricomponendo le grandezze stabilite dalle parti precedenti negli strumenti della valutazione economica e traendone il saldo consolidato; e ha così fornito il fulcro economico dell’intero studio, su cui le parti successive innesteranno la proiezione temporale, l’analisi distributiva e le raccomandazioni.</w:t>
      </w:r>
    </w:p>
    <w:p>
      <w:pPr>
        <w:pStyle w:val="BodyText"/>
      </w:pPr>
      <w:r>
        <w:t xml:space="preserve">La decima parte ha stabilito la valutazione economica integrata della riforma del Servizio di Psicologia di Base in Puglia. Essa ha ricomposto le grandezze stabilite distintamente dalle parti precedenti — i costi diretti della settima parte, i risparmi fiscali diretti dell’ottava, i benefici sociali indiretti della nona — negli strumenti della valutazione economica integrata, e ne ha tratto il saldo economico consolidato. La valutazione costo-utilità ha stabilito che la riforma è nettamente costo-efficace, producendo anni di vita in buona salute a un costo unitario ampiamente inferiore alla soglia convenzionale, e ha operato il passaggio alla fascia superiore di Chisholm attraverso il valore monetizzato dei guadagni di salute. L’analisi di impatto di bilancio ha stabilito che la riforma è sostenibile per il bilancio sanitario regionale, con un impatto contenuto entro frazioni dell’uno per cento del Fondo e decrescente verso il pareggio a regime, e ne ha preservato la variante prudenziale in ossequio al caveat dell’IMPACT trial. Il rendimento sociale dell’investimento ha stabilito che la riforma genera un valore sociale dell’ordine di tre volte l’investimento, anche dopo i deflatori di prudenza, in prossimità del margine inferiore della fascia superiore di Chisholm. La sintesi multi-criterio ha stabilito che la riforma riceve, sulla composizione di tutti i criteri, un punteggio nella fascia favorevole, robusto rispetto alla scelta dei pesi. E il saldo consolidato ha ricomposto queste dimensioni in un verdetto tripartito, tenendole distinte.</w:t>
      </w:r>
    </w:p>
    <w:p>
      <w:pPr>
        <w:pStyle w:val="BodyText"/>
      </w:pPr>
      <w:r>
        <w:t xml:space="preserve">Il verdetto della decima parte è dunque tripartito, e ciascuno dei suoi tre termini è stabilito autonomamente. Sul conto fiscale diretto, che attiene al bilancio sanitario regionale, la riforma è prossima al pareggio a regime: i risparmi diretti quasi eguagliano i costi, e la riforma quasi si autofinanzia attraverso i risparmi che genera. Sul conto della salute, che attiene al valore intrinseco della salute prodotta, la riforma è nettamente costo-efficace: essa produce anni di vita in buona salute a un costo unitario ampiamente inferiore alla soglia, e questa costo-efficacia è il risultato più robusto della valutazione, indenne dai caveat che gravano sulle altre grandezze. Sul conto sociale, che attiene al tessuto economico e sociale, la riforma è fortemente positiva: essa genera, per la collettività, benefici dell’ordine di due volte e mezza il costo, entro la fascia di Chisholm. Le tre dimensioni, tenute distinte e mai sommate in un’unica cifra, convergono in un giudizio favorevole, ciascuna sul proprio piano; e questa convergenza, raggiunta per tre vie indipendenti, è la forma più solida del giudizio sulla riforma.</w:t>
      </w:r>
      <w:r>
        <w:rPr>
          <w:rStyle w:val="FootnoteReference"/>
        </w:rPr>
        <w:footnoteReference w:id="309"/>
      </w:r>
    </w:p>
    <w:p>
      <w:pPr>
        <w:pStyle w:val="BodyText"/>
      </w:pPr>
      <w:r>
        <w:t xml:space="preserve">Il rigore di questo risultato risiede in tre presidi, che la parte ha mantenuto fino al saldo conclusivo. Il primo è la separazione delle tre dimensioni, che la valutazione ha preservato in ossequio alla regola di non duplicazione, rifiutando la cifra unica e adottando la ricomposizione che compone senza confondere. Il secondo è la convergenza con gli intervalli di Chisholm, stabilita per tre vie indipendenti — il rapporto dei soli benefici economici entro la prima fascia, il rapporto che include il valore della salute entro la seconda, il rendimento sociale al netto dei deflatori in prossimità della seconda — che ha confermato la coerenza del valore della riforma con la letteratura internazionale. Il terzo è la natura prudenziale e falsificabile di ogni stima, che ha prodotto valori conservativi corredati di bande e collocati rispetto a soglie dichiarate, suscettibili di verifica e di confutazione. Questi tre presidi fanno del verdetto tripartito un giudizio scientificamente fondato, e non un’asserzione di valore indimostrata; ed è su questo fondamento che la valutazione economica integrata consegna il proprio risultato alle parti successive.</w:t>
      </w:r>
    </w:p>
    <w:p>
      <w:pPr>
        <w:pStyle w:val="BodyText"/>
      </w:pPr>
      <w:r>
        <w:t xml:space="preserve">La decima parte costituisce così il fulcro economico dell’intero studio, su cui le parti successive innesteranno i propri sviluppi. La modellazione dell’undicesima parte assumerà il saldo consolidato e ne proietterà le grandezze nel tempo, attraverso il modello di Markov e la microsimulazione, traendone le previsioni falsificabili sulla qualità della vita, sui bilanci regionali, sulla burocrazia e sui sistemi sanitari, che sono l’oggetto ultimo della rinegoziazione integrale. La dodicesima parte ne analizzerà la distribuzione tra i territori e le popolazioni, valutando l’equità con cui i costi e i benefici si ripartiscono. E le parti conclusive ne trarranno i profili etico-giuridici, l’attuazione, il monitoraggio e le raccomandazioni. Il verdetto tripartito stabilito da questa parte — la riforma prossima al pareggio sul conto fiscale, nettamente costo-efficace sul conto della salute, fortemente positiva sul conto sociale — è dunque il risultato economico su cui l’intero studio converge, e che le parti successive proietteranno, distribuiranno e tradurranno in raccomandazioni. Con esso, la rinegoziazione integrale dei costi e dei benefici trova la propria sintesi quantitativa, e la riforma del primo livello psicologico in Puglia trova la propria giustificazione economica, articolata su tre dimensioni distinte e convergenti, e fondata sul rigore della separazione, della convergenza con la letteratura e della falsificabilità.</w:t>
      </w:r>
    </w:p>
    <w:bookmarkEnd w:id="713"/>
    <w:bookmarkStart w:id="715" w:name="note-bibliografiche-integrali-5"/>
    <w:p>
      <w:pPr>
        <w:pStyle w:val="Heading1"/>
      </w:pPr>
      <w:r>
        <w:t xml:space="preserve">Note bibliografiche integrali</w:t>
      </w:r>
    </w:p>
    <w:p>
      <w:pPr>
        <w:pStyle w:val="FirstParagraph"/>
      </w:pPr>
      <w:r>
        <w:rPr>
          <w:i/>
          <w:iCs/>
        </w:rPr>
        <w:t xml:space="preserve">Le note bibliografiche integrali raccolgono le fonti su cui la valutazione economica integrata di questa parte si fonda, ciascuna corredata di un mini-riassunto che ne dichiara il contenuto e la pertinenza. Le fonti attengono ai metodi della valutazione economica impiegati — la valutazione costo-utilità, l’analisi di impatto di bilancio, il rendimento sociale dell’investimento e la sintesi multi-criterio — e all’evidenza economica sul valore degli interventi in salute mentale, che sostiene il rendimento della riforma e la sua collocazione entro gli intervalli di riferimento.</w:t>
      </w:r>
    </w:p>
    <w:p>
      <w:pPr>
        <w:pStyle w:val="BodyText"/>
      </w:pPr>
      <w:r>
        <w:rPr>
          <w:b/>
          <w:bCs/>
        </w:rPr>
        <w:t xml:space="preserve">▪</w:t>
      </w:r>
      <w:r>
        <w:rPr>
          <w:b/>
          <w:bCs/>
        </w:rPr>
        <w:t xml:space="preserve"> </w:t>
      </w:r>
      <w:r>
        <w:t xml:space="preserve">Drummond M. F., Sculpher M. J., Claxton K., Stoddart G. L., Torrance G. W., «Methods for the Economic Evaluation of Health Care Programmes», quarta edizione, Oxford University Press, Oxford, 2015.</w:t>
      </w:r>
    </w:p>
    <w:p>
      <w:pPr>
        <w:pStyle w:val="BodyText"/>
      </w:pPr>
      <w:r>
        <w:rPr>
          <w:i/>
          <w:iCs/>
        </w:rPr>
        <w:t xml:space="preserve">Mini-riassunto. È il testo di riferimento della valutazione economica in sanità, che espone i metodi impiegati in questa parte — l’analisi costo-utilità con gli anni di vita in buona salute guadagnati e il rapporto incrementale costo-efficacia, l’analisi di impatto di bilancio, e i metodi di stima del valore della salute e della produttività — e ne discute i fondamenti, compresa la soglia convenzionale di disponibilità a pagare per anno di vita in buona salute guadagnato impiegata nella valutazione costo-utilità.</w:t>
      </w:r>
    </w:p>
    <w:p>
      <w:pPr>
        <w:pStyle w:val="BodyText"/>
      </w:pPr>
      <w:r>
        <w:rPr>
          <w:b/>
          <w:bCs/>
        </w:rPr>
        <w:t xml:space="preserve">▪</w:t>
      </w:r>
      <w:r>
        <w:rPr>
          <w:b/>
          <w:bCs/>
        </w:rPr>
        <w:t xml:space="preserve"> </w:t>
      </w:r>
      <w:r>
        <w:t xml:space="preserve">Chisholm D., Sweeny K., Sheehan P., Rasmussen B., Smit F., Cuijpers P., Saxena S., «Scaling-up treatment of depression and anxiety: a global return on investment analysis», The Lancet Psychiatry, vol. 3, n. 5, 2016, pp. 415–424.</w:t>
      </w:r>
    </w:p>
    <w:p>
      <w:pPr>
        <w:pStyle w:val="BodyText"/>
      </w:pPr>
      <w:r>
        <w:rPr>
          <w:i/>
          <w:iCs/>
        </w:rPr>
        <w:t xml:space="preserve">Mini-riassunto. È l’analisi globale del rendimento dell’investimento nel trattamento della depressione e dell’ansia, che stabilisce il duplice intervallo del ritorno — compreso tra 2,3 e 3,0 a 1 per i soli benefici economici e tra 3,3 e 5,7 a 1 con l’inclusione dei ritorni di salute — impiegato nell’intero studio come ancora di validazione, e in questa parte nelle sue due fasce distinte, verso le quali le stime della riforma convergono per tre vie indipendenti.</w:t>
      </w:r>
    </w:p>
    <w:p>
      <w:pPr>
        <w:pStyle w:val="BodyText"/>
      </w:pPr>
      <w:r>
        <w:rPr>
          <w:b/>
          <w:bCs/>
        </w:rPr>
        <w:t xml:space="preserve">▪</w:t>
      </w:r>
      <w:r>
        <w:rPr>
          <w:b/>
          <w:bCs/>
        </w:rPr>
        <w:t xml:space="preserve"> </w:t>
      </w:r>
      <w:r>
        <w:t xml:space="preserve">Unützer J., Katon W. J., Fan M. Y., Schoenbaum M. C., Lin E. H. B., Della Penna R. D., Powers D., «Long-term cost effects of collaborative care for late-life depression», The American Journal of Managed Care, vol. 14, n. 2, 2008, pp. 95–100.</w:t>
      </w:r>
    </w:p>
    <w:p>
      <w:pPr>
        <w:pStyle w:val="BodyText"/>
      </w:pPr>
      <w:r>
        <w:rPr>
          <w:i/>
          <w:iCs/>
        </w:rPr>
        <w:t xml:space="preserve">Mini-riassunto. È l’analisi di lungo periodo dei costi delle cure collaborative per la depressione, da cui deriva il caveat preservato nell’intero studio — i risparmi sui costi sanitari diretti, ancorché presenti, non raggiungono la significatività statistica — che governa in questa parte l’analisi di impatto di bilancio e ne impone la variante prudenziale, nella quale i risparmi diretti non sono computati e l’impatto netto coincide con il costo lordo.</w:t>
      </w:r>
    </w:p>
    <w:p>
      <w:pPr>
        <w:pStyle w:val="BodyText"/>
      </w:pPr>
      <w:r>
        <w:rPr>
          <w:b/>
          <w:bCs/>
        </w:rPr>
        <w:t xml:space="preserve">▪</w:t>
      </w:r>
      <w:r>
        <w:rPr>
          <w:b/>
          <w:bCs/>
        </w:rPr>
        <w:t xml:space="preserve"> </w:t>
      </w:r>
      <w:r>
        <w:t xml:space="preserve">Nicholls J., Lawlor E., Neitzert E., Goodspeed T., «A Guide to Social Return on Investment», Cabinet Office e The SROI Network, Londra, 2012.</w:t>
      </w:r>
    </w:p>
    <w:p>
      <w:pPr>
        <w:pStyle w:val="BodyText"/>
      </w:pPr>
      <w:r>
        <w:rPr>
          <w:i/>
          <w:iCs/>
        </w:rPr>
        <w:t xml:space="preserve">Mini-riassunto. È la guida metodologica al rendimento sociale dell’investimento, che espone l’impianto del metodo impiegato nella terza voce di questa parte — la composizione del valore sociale e l’applicazione dei deflatori di prudenza per ciò che si sarebbe verificato comunque, per l’attribuzione ad altri fattori, per gli effetti spostati altrove e per il decadimento nel tempo — che riducono il valore sociale lordo al valore genuinamente imputabile alla riforma.</w:t>
      </w:r>
    </w:p>
    <w:p>
      <w:pPr>
        <w:pStyle w:val="BodyText"/>
      </w:pPr>
      <w:r>
        <w:rPr>
          <w:b/>
          <w:bCs/>
        </w:rPr>
        <w:t xml:space="preserve">▪</w:t>
      </w:r>
      <w:r>
        <w:rPr>
          <w:b/>
          <w:bCs/>
        </w:rPr>
        <w:t xml:space="preserve"> </w:t>
      </w:r>
      <w:r>
        <w:t xml:space="preserve">Thokala P., Devlin N., Marsh K., Baltussen R., Boysen M., Kalo Z., Longrenn T., Mussen F., Peacock S., Watkins J., Ijzerman M., «Multiple Criteria Decision Analysis for Health Care Decision Making — An Introduction: Report 1 of the ISPOR MCDA Emerging Good Practices Task Force», Value in Health, vol. 19, n. 1, 2016, pp. 1–13.</w:t>
      </w:r>
    </w:p>
    <w:p>
      <w:pPr>
        <w:pStyle w:val="BodyText"/>
      </w:pPr>
      <w:r>
        <w:rPr>
          <w:i/>
          <w:iCs/>
        </w:rPr>
        <w:t xml:space="preserve">Mini-riassunto. È l’introduzione metodologica alla sintesi multi-criterio per le decisioni in sanità, che espone l’impianto del metodo impiegato nella quarta voce di questa parte — l’individuazione dei criteri, l’attribuzione dei pesi e la composizione dei punteggi ponderati in un punteggio composito — e ne discute l’uso per comporre dimensioni eterogenee non riducibili a un’unica unità di misura, come quelle economiche e non economiche della riforma.</w:t>
      </w:r>
    </w:p>
    <w:p>
      <w:pPr>
        <w:pStyle w:val="BodyText"/>
      </w:pPr>
      <w:r>
        <w:rPr>
          <w:b/>
          <w:bCs/>
        </w:rPr>
        <w:t xml:space="preserve">▪</w:t>
      </w:r>
      <w:r>
        <w:rPr>
          <w:b/>
          <w:bCs/>
        </w:rPr>
        <w:t xml:space="preserve"> </w:t>
      </w:r>
      <w:r>
        <w:t xml:space="preserve">Marsh K., IJzerman M., Thokala P., Baltussen R., Boysen M., Kalo Z., Lonngren T., Mussen F., Peacock S., Watkins J., Devlin N., «Multiple Criteria Decision Analysis for Health Care Decision Making — Emerging Good Practices: Report 2 of the ISPOR MCDA Emerging Good Practices Task Force», Value in Health, vol. 19, n. 2, 2016, pp. 125–137.</w:t>
      </w:r>
    </w:p>
    <w:p>
      <w:pPr>
        <w:pStyle w:val="BodyText"/>
      </w:pPr>
      <w:r>
        <w:rPr>
          <w:i/>
          <w:iCs/>
        </w:rPr>
        <w:t xml:space="preserve">Mini-riassunto. È il secondo rapporto della task force sulla sintesi multi-criterio, che espone le buone pratiche del metodo — la selezione dei criteri, la costruzione delle scale di punteggio, l’attribuzione dei pesi e l’analisi di sensibilità — adottate nella quarta voce di questa parte, compresa la verifica della robustezza del punteggio composito rispetto alla scelta dei pesi, che ne ha confermato la stabilità.</w:t>
      </w:r>
    </w:p>
    <w:p>
      <w:pPr>
        <w:pStyle w:val="BodyText"/>
      </w:pPr>
      <w:r>
        <w:rPr>
          <w:b/>
          <w:bCs/>
        </w:rPr>
        <w:t xml:space="preserve">▪</w:t>
      </w:r>
      <w:r>
        <w:rPr>
          <w:b/>
          <w:bCs/>
        </w:rPr>
        <w:t xml:space="preserve"> </w:t>
      </w:r>
      <w:r>
        <w:t xml:space="preserve">McDaid D., Park A. L., Wahlbeck K., «The Economic Case for the Prevention of Mental Illness», Annual Review of Public Health, vol. 40, 2019, pp. 373–389.</w:t>
      </w:r>
    </w:p>
    <w:p>
      <w:pPr>
        <w:pStyle w:val="BodyText"/>
      </w:pPr>
      <w:r>
        <w:rPr>
          <w:i/>
          <w:iCs/>
        </w:rPr>
        <w:t xml:space="preserve">Mini-riassunto. È la rassegna dell’evidenza economica sulla prevenzione del disagio mentale, che documenta il rendimento favorevole degli interventi e ne sostiene la costo-efficacia e il valore sociale, a corredo del rendimento della riforma stabilito in questa parte e della sua collocazione entro gli intervalli di Chisholm, e a sostegno della dimensione di salute e della dimensione sociale del valore.</w:t>
      </w:r>
    </w:p>
    <w:p>
      <w:pPr>
        <w:pStyle w:val="BodyText"/>
      </w:pPr>
      <w:r>
        <w:rPr>
          <w:b/>
          <w:bCs/>
        </w:rPr>
        <w:t xml:space="preserve">▪</w:t>
      </w:r>
      <w:r>
        <w:rPr>
          <w:b/>
          <w:bCs/>
        </w:rPr>
        <w:t xml:space="preserve"> </w:t>
      </w:r>
      <w:r>
        <w:t xml:space="preserve">Layard R., Clark D. M., «Thrive: How Better Mental Health Care Transforms Lives and Saves Money», Princeton University Press, Princeton, 2014.</w:t>
      </w:r>
    </w:p>
    <w:p>
      <w:pPr>
        <w:pStyle w:val="BodyText"/>
      </w:pPr>
      <w:r>
        <w:rPr>
          <w:i/>
          <w:iCs/>
        </w:rPr>
        <w:t xml:space="preserve">Mini-riassunto. È l’analisi del caso economico per l’espansione dell’accesso alle terapie psicologiche nelle cure primarie, che documenta la costo-efficacia dell’intervento psicologico per il disagio comune e il suo valore per la collettività, a sostegno del modello del primo livello psicologico oggetto della riforma e della dimensione di salute del suo valore, stabilita dalla valutazione costo-utilità di questa parte.</w:t>
      </w:r>
    </w:p>
    <w:p>
      <w:pPr>
        <w:pStyle w:val="BodyText"/>
      </w:pPr>
      <w:r>
        <w:rPr>
          <w:b/>
          <w:bCs/>
        </w:rPr>
        <w:t xml:space="preserve">▪</w:t>
      </w:r>
      <w:r>
        <w:rPr>
          <w:b/>
          <w:bCs/>
        </w:rPr>
        <w:t xml:space="preserve"> </w:t>
      </w:r>
      <w:r>
        <w:t xml:space="preserve">OECD, «A New Benchmark for Mental Health Systems: Tackling the Social and Economic Costs of Mental Ill-Health», OECD Health Policy Studies, OECD Publishing, Parigi, 2021.</w:t>
      </w:r>
    </w:p>
    <w:p>
      <w:pPr>
        <w:pStyle w:val="BodyText"/>
      </w:pPr>
      <w:r>
        <w:rPr>
          <w:i/>
          <w:iCs/>
        </w:rPr>
        <w:t xml:space="preserve">Mini-riassunto. È lo studio comparato dei sistemi di salute mentale, che quantifica i costi sociali ed economici del disagio mentale e ne documenta l’incidenza sui molteplici domini — il lavoro, la produttività, i sistemi previdenziali e assistenziali — a corredo della dimensione sociale indiretta del valore della riforma, ricomposta nel saldo consolidato e distinta dalla dimensione fiscale diretta.</w:t>
      </w:r>
    </w:p>
    <w:p>
      <w:pPr>
        <w:pStyle w:val="BodyText"/>
      </w:pPr>
      <w:r>
        <w:rPr>
          <w:b/>
          <w:bCs/>
        </w:rPr>
        <w:t xml:space="preserve">▪</w:t>
      </w:r>
      <w:r>
        <w:rPr>
          <w:b/>
          <w:bCs/>
        </w:rPr>
        <w:t xml:space="preserve"> </w:t>
      </w:r>
      <w:r>
        <w:t xml:space="preserve">World Health Organization, «World Mental Health Report: Transforming Mental Health for All», World Health Organization, Ginevra, 2022.</w:t>
      </w:r>
    </w:p>
    <w:p>
      <w:pPr>
        <w:pStyle w:val="BodyText"/>
      </w:pPr>
      <w:r>
        <w:rPr>
          <w:i/>
          <w:iCs/>
        </w:rPr>
        <w:t xml:space="preserve">Mini-riassunto. È il rapporto mondiale sulla salute mentale, che documenta il divario di trattamento e il valore della sua riduzione attraverso l’integrazione dei servizi psicologici nelle cure primarie, a cornice della riforma del primo livello psicologico e del suo valore di salute e sociale, e a sostegno della finalità di salute che la sintesi multi-criterio ha collocato al vertice dei criteri.</w:t>
      </w:r>
    </w:p>
    <w:bookmarkStart w:id="714" w:name="X8ee8c52cd14e786efa4970ece986ebb5b7adc6a"/>
    <w:p>
      <w:pPr>
        <w:pStyle w:val="Heading2"/>
      </w:pPr>
      <w:r>
        <w:t xml:space="preserve">Nota sui rinvii interni e sui principi metodologici</w:t>
      </w:r>
    </w:p>
    <w:p>
      <w:pPr>
        <w:pStyle w:val="FirstParagraph"/>
      </w:pPr>
      <w:r>
        <w:t xml:space="preserve">La decima parte è la sede di sintesi della valutazione economica dell’intero studio, e si raccorda perciò con un’ampia rete di parti, da cui assume le grandezze e a cui consegna il proprio risultato. Essa assume i costi diretti dell’investimento stabiliti dalla settima parte, i risparmi fiscali diretti stabiliti dall’ottava e i benefici sociali indiretti stabiliti dalla nona, e li ricompone nel saldo consolidato; trae dalla sesta parte l’evidenza di efficacia che sostiene la stima dei guadagni di salute della valutazione costo-utilità; richiama la quarta parte per le leve abilitanti che, potenziando la figura, accrescono il valore che la valutazione ricompone; e si radica nella terza parte, di cui il saldo consolidato costituisce la traduzione economica, ricomponendo in grandezze il valore che la cascata delle figure genera e propaga dall’apice ai domini periferici. Verso le parti successive, essa consegna il saldo consolidato alla modellazione dell’undicesima parte, che ne proietterà le grandezze nel tempo e ne trarrà le previsioni falsificabili, e all’analisi distributiva della dodicesima parte, che ne studierà la ripartizione tra i territori e le popolazioni; e fornisce il fulcro economico su cui le parti conclusive innesteranno i profili etico-giuridici, l’attuazione, il monitoraggio e le raccomandazioni.</w:t>
      </w:r>
    </w:p>
    <w:p>
      <w:pPr>
        <w:pStyle w:val="BodyText"/>
      </w:pPr>
      <w:r>
        <w:t xml:space="preserve">I principi metodologici invarianti dello studio governano la valutazione economica integrata in ogni suo passaggio. La distinzione cardine tra le grandezze fiscali dirette, sociali indirette e di salute è mantenuta fino al saldo conclusivo, che le ricompone in colonne distinte senza sommarle in un’unica cifra, in ossequio alla regola di non duplicazione. Il duplice intervallo di Chisholm opera come ancora di validazione nelle sue due fasce, verso le quali le stime della riforma convergono per tre vie indipendenti. Il caveat dell’IMPACT trial sui risparmi diretti governa l’analisi di impatto di bilancio, che ne preserva la variante prudenziale. I due metodi di stima delle perdite di produttività non sono mai combinati, ove l’uno o l’altro siano richiamati. Le grandezze cliniche e quelle economiche sono graduate con i medesimi criteri, e ogni stima è espressa in bande prudenziali e in previsioni falsificabili, corredate di soglie e di intervalli dichiarati. La valutazione economica integrata si conforma così, nella sua sintesi, ai medesimi principi che hanno governato le parti analitiche che la precedono, e ne costituisce il coronamento, ricomponendone i risultati in un verdetto unitario e tripartito, fondato sul rigore della separazione, della convergenza con la letteratura e della falsificabilità.</w:t>
      </w:r>
    </w:p>
    <w:p>
      <w:pPr>
        <w:pStyle w:val="SourceCode"/>
      </w:pPr>
      <w:r>
        <w:rPr>
          <w:rStyle w:val="VerbatimChar"/>
        </w:rPr>
        <w:t xml:space="preserve">Valutazione economica integrata · saldo consolidato L. De Michele · giugno 2026</w:t>
      </w:r>
    </w:p>
    <w:p>
      <w:r>
        <w:br w:type="page"/>
      </w:r>
    </w:p>
    <w:p>
      <w:pPr>
        <w:pStyle w:val="FirstParagraph"/>
      </w:pPr>
      <w:r>
        <w:t xml:space="preserve">Studio Integrale Puglia · Parte XI — Modellazione e previsione falsificabile</w:t>
      </w:r>
    </w:p>
    <w:p>
      <w:pPr>
        <w:pStyle w:val="BodyText"/>
      </w:pPr>
      <w:r>
        <w:rPr>
          <w:b/>
          <w:bCs/>
        </w:rPr>
        <w:t xml:space="preserve">PROGETTO « PSICOLOGO DI BASE » · REGIONE PUGLIA</w:t>
      </w:r>
    </w:p>
    <w:p>
      <w:pPr>
        <w:pStyle w:val="BodyText"/>
      </w:pPr>
      <w:r>
        <w:rPr>
          <w:b/>
          <w:bCs/>
        </w:rPr>
        <w:t xml:space="preserve">Studio Integrale, Finale e Definitivo</w:t>
      </w:r>
    </w:p>
    <w:p>
      <w:pPr>
        <w:pStyle w:val="BodyText"/>
      </w:pPr>
      <w:r>
        <w:rPr>
          <w:b/>
          <w:bCs/>
        </w:rPr>
        <w:t xml:space="preserve">Parte XI</w:t>
      </w:r>
    </w:p>
    <w:p>
      <w:pPr>
        <w:pStyle w:val="BodyText"/>
      </w:pPr>
      <w:r>
        <w:rPr>
          <w:b/>
          <w:bCs/>
        </w:rPr>
        <w:t xml:space="preserve">Modellazione, incertezza</w:t>
      </w:r>
    </w:p>
    <w:p>
      <w:pPr>
        <w:pStyle w:val="BodyText"/>
      </w:pPr>
      <w:r>
        <w:rPr>
          <w:b/>
          <w:bCs/>
        </w:rPr>
        <w:t xml:space="preserve">e previsione falsificabile</w:t>
      </w:r>
    </w:p>
    <w:p>
      <w:pPr>
        <w:pStyle w:val="BodyText"/>
      </w:pPr>
      <w:r>
        <w:rPr>
          <w:i/>
          <w:iCs/>
        </w:rPr>
        <w:t xml:space="preserve">La proiezione temporale del saldo consolidato attraverso il modello di Markov e la microsimulazione, l</w:t>
      </w:r>
      <w:r>
        <w:rPr>
          <w:i/>
          <w:iCs/>
        </w:rPr>
        <w:t xml:space="preserve">019analisi di sensibilit</w:t>
      </w:r>
      <w:r>
        <w:rPr>
          <w:i/>
          <w:iCs/>
        </w:rPr>
        <w:t xml:space="preserve">0E0 probabilistica e le previsioni falsificabili sulla qualit</w:t>
      </w:r>
      <w:r>
        <w:rPr>
          <w:i/>
          <w:iCs/>
        </w:rPr>
        <w:t xml:space="preserve">0E0 della vita, sui bilanci regionali, sulla burocrazia e sui sistemi sanitari</w:t>
      </w:r>
    </w:p>
    <w:p>
      <w:pPr>
        <w:pStyle w:val="BodyText"/>
      </w:pPr>
      <w:r>
        <w:t xml:space="preserve">Telaio HTA · Five Case Model · CHEERS 2022 · criteri OCSE-DAC</w:t>
      </w:r>
    </w:p>
    <w:p>
      <w:pPr>
        <w:pStyle w:val="BodyText"/>
      </w:pPr>
      <w:r>
        <w:t xml:space="preserve">Cascata gerarchica piramidale dallo Psicologo di Base · perimetro multidisciplinare integrale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Avvertenza sui vincoli metodologici invarianti</w:t>
            </w:r>
            <w:r>
              <w:rPr>
                <w:rFonts w:ascii="Cambria" w:hAnsi="Cambria" w:cs="Cambria" w:eastAsia="Cambria"/>
                <w:b/>
                <w:color w:val="FFFFFF"/>
                <w:sz w:val="18"/>
              </w:rPr>
              <w:t xml:space="preserve"> </w:t>
            </w:r>
            <w:r>
              <w:rPr>
                <w:rFonts w:ascii="Cambria" w:hAnsi="Cambria" w:cs="Cambria" w:eastAsia="Cambria"/>
                <w:b/>
                <w:color w:val="FFFFFF"/>
                <w:sz w:val="18"/>
              </w:rPr>
              <w:t xml:space="preserve">La presente parte proietta nel tempo il saldo economico consolidato stabilito dalla decima parte, attraverso il modello di Markov e la microsimulazione, e ne trae previsioni sulla qualità della vita, sui bilanci regionali, sulla burocrazia e sui sistemi sanitari. Il modello impiega i parametri invarianti cross-regionali del progetto, ossia i medesimi parametri clinici e di costo adottati per l’intera serie regionale, sicché la proiezione è confrontabile tra le regioni e varia soltanto per i parametri demografici e di scala propri della Puglia. Ogni previsione è formulata come banda prudenziale falsificabile, corredata della soglia di confutazione — il valore al di sotto del quale la previsione è smentita — e del metodo di verifica ex-post, sicché nessuna previsione è un’asserzione indimostrabile, ma un enunciato verificabile e confutabile, che la quindicesima parte sottoporrà a riscontro. Il ritorno economico è espresso nei soli intervalli corretti di Chisholm, compresi tra 2,3 e 3,0 a 1 per i soli benefici economici e tra 3,3 e 5,7 a 1 con l’inclusione dei ritorni di salute; il caveat dell’IMPACT trial sui risparmi diretti è preservato, e la modellazione ne riflette l’incertezza nelle distribuzioni dei parametri. Le tre dimensioni del valore — fiscale diretta, sociale indiretta e di salute — sono mantenute distinte anche nella proiezione, e le previsioni sono formulate distintamente per ciascuna, senza somma in un’unica cifra. L’analisi di sensibilità probabilistica assegna distribuzioni ai parametri incerti e ne propaga l’incertezza agli esiti; ogni stima è graduata secondo la sua qualità con i criteri GRADE, applicati con il medesimo rigore alle affermazioni cliniche e a quelle economiche.</w:t>
            </w:r>
          </w:p>
        </w:tc>
      </w:tr>
    </w:tbl>
    <w:bookmarkEnd w:id="714"/>
    <w:bookmarkEnd w:id="715"/>
    <w:bookmarkStart w:id="716" w:name="premessa-8"/>
    <w:p>
      <w:pPr>
        <w:pStyle w:val="Heading1"/>
      </w:pPr>
      <w:r>
        <w:t xml:space="preserve">Premessa</w:t>
      </w:r>
    </w:p>
    <w:p>
      <w:pPr>
        <w:pStyle w:val="FirstParagraph"/>
      </w:pPr>
      <w:r>
        <w:rPr>
          <w:i/>
          <w:iCs/>
        </w:rPr>
        <w:t xml:space="preserve">L’undicesima parte dello studio integrale proietta nel tempo il valore della riforma e ne trae previsioni verificabili. La decima parte ha stabilito il saldo economico consolidato, sintesi statica del valore della riforma a regime; ma il valore di una riforma non è statico, bensì si dispiega nel tempo, dalla fase di avvio in cui i costi precedono i benefici alla fase di regime in cui i benefici maturano, e la sua valutazione completa richiede la proiezione temporale. L’undicesima parte assume il saldo consolidato e lo proietta lungo l’orizzonte di valutazione, attraverso il modello di Markov e la microsimulazione, e ne trae le previsioni sulla qualità della vita delle persone, sui bilanci regionali, sulla burocrazia e l’efficienza amministrativa e sui sistemi sanitari regionali, che sono l’oggetto ultimo della rinegoziazione integrale dei costi e dei benefici. La parte sottopone inoltre i risultati alla prova dell’incertezza, attraverso l’analisi di sensibilità probabilistica, e individua le soglie il cui superamento modifica la raccomandazione, sì che la previsione resti sempre verificabile e confutabile.</w:t>
      </w:r>
    </w:p>
    <w:p>
      <w:pPr>
        <w:pStyle w:val="BodyText"/>
      </w:pPr>
      <w:r>
        <w:t xml:space="preserve">Il carattere distintivo dell’undicesima parte è la falsificabilità delle sue previsioni. Una previsione falsificabile non è un’asserzione di valore indimostrabile, ma un enunciato verificabile e confutabile, corredato della banda entro cui il valore previsto si colloca, della soglia di confutazione al di sotto della quale la previsione è smentita, e del metodo con cui la previsione sarà verificata a posteriori. La parte formula perciò ogni previsione in questa forma: non come affermazione perentoria di un esito certo, ma come banda prudenziale con la propria soglia di confutazione, sicché chiunque possa, a riforma attuata, verificare se la previsione si sia avverata o sia stata smentita. È questa forma che distingue la previsione scientifica dall’asserzione retorica, e che fa dell’undicesima parte non un’esposizione di esiti auspicati, ma una serie di previsioni controllabili, di cui la quindicesima parte, dedicata al monitoraggio e alla valutazione ex-post, condurrà il riscontro. La modellazione e la falsificabilità sono dunque i due pilastri di questa parte: il modello proietta nel tempo il valore consolidato, e la falsificabilità ne rende le previsioni controllabili.</w:t>
      </w:r>
    </w:p>
    <w:bookmarkEnd w:id="716"/>
    <w:bookmarkStart w:id="723" w:name="introduzione-8"/>
    <w:p>
      <w:pPr>
        <w:pStyle w:val="Heading1"/>
      </w:pPr>
      <w:r>
        <w:t xml:space="preserve">Introduzione</w:t>
      </w:r>
    </w:p>
    <w:p>
      <w:pPr>
        <w:pStyle w:val="FirstParagraph"/>
      </w:pPr>
      <w:r>
        <w:rPr>
          <w:i/>
          <w:iCs/>
        </w:rPr>
        <w:t xml:space="preserve">L’introduzione definisce il compito della modellazione e della previsione falsificabile, espone gli strumenti che la parte impiega — il modello di Markov, la microsimulazione e l’analisi di sensibilità probabilistica — dichiara il principio della falsificabilità che governa ogni previsione, e ne richiama il radicamento nei parametri invarianti cross-regionali del progetto. Essa stabilisce, in particolare, la distinzione tra la proiezione del valore, che è il compito del modello, e la formulazione delle previsioni, che è il compito della parte, e ne mostra il rapporto.</w:t>
      </w:r>
    </w:p>
    <w:bookmarkStart w:id="717" w:name="X68bcbda5ea4eaf9352bd1c000fefcc20ad1666c"/>
    <w:p>
      <w:pPr>
        <w:pStyle w:val="Heading2"/>
      </w:pPr>
      <w:r>
        <w:t xml:space="preserve">Il compito della modellazione e della previsione falsificabile</w:t>
      </w:r>
    </w:p>
    <w:p>
      <w:pPr>
        <w:pStyle w:val="FirstParagraph"/>
      </w:pPr>
      <w:r>
        <w:t xml:space="preserve">Il compito dell’undicesima parte è duplice: proiettare nel tempo il valore della riforma stabilito staticamente dalla decima parte, e trarne previsioni falsificabili sui quattro ambiti che costituiscono l’oggetto ultimo della rinegoziazione integrale — la qualità della vita delle persone, i bilanci regionali, la burocrazia e l’efficienza amministrativa, i sistemi sanitari regionali. Il primo compito è affidato al modello di Markov e alla microsimulazione, che assumono le grandezze consolidate e ne proiettano l’andamento lungo l’orizzonte di valutazione, modellando il passaggio dalla fase di avvio alla fase di regime e accumulando i costi, i risparmi, i benefici e i guadagni di salute lungo il tempo. Il secondo compito è affidato alla formulazione delle previsioni, che traducono i risultati del modello in enunciati falsificabili, corredati di bande e di soglie di confutazione, e riferiti ai quattro ambiti. La parte conduce inoltre l’analisi di sensibilità probabilistica, che sottopone i risultati del modello alla prova dell’incertezza, e individua le soglie il cui superamento modifica la raccomandazione, che rendono la raccomandazione stessa falsificabile.</w:t>
      </w:r>
    </w:p>
    <w:p>
      <w:pPr>
        <w:pStyle w:val="BodyText"/>
      </w:pPr>
      <w:r>
        <w:t xml:space="preserve">La distinzione tra la proiezione del valore e la formulazione delle previsioni va precisata, perché ne governa la struttura della parte. La proiezione del valore è un’operazione tecnica, che impiega il modello per calcolare l’andamento temporale delle grandezze; essa produce i numeri della proiezione — i costi, i risparmi, i benefici e i guadagni di salute per ciascun anno dell’orizzonte. La formulazione delle previsioni è invece un’operazione di traduzione, che assume i numeri della proiezione e li enuncia in forma falsificabile, riferendoli agli ambiti su cui la riforma incide e corredandoli delle soglie di confutazione. La proiezione è dunque il presupposto della previsione, e la previsione è l’esito della proiezione: senza la proiezione, la previsione non avrebbe fondamento; senza la previsione, la proiezione resterebbe un calcolo privo di significato controllabile. La parte è perciò organizzata in modo da condurre prima la proiezione, attraverso il modello e l’analisi di sensibilità, e poi la formulazione delle previsioni, riferite ai quattro ambiti, e infine l’individuazione delle soglie che modificano la raccomandazione.</w:t>
      </w:r>
    </w:p>
    <w:bookmarkEnd w:id="717"/>
    <w:bookmarkStart w:id="719" w:name="Xbf9ecc195da78cdd090e16a52ec641be8b35c5b"/>
    <w:p>
      <w:pPr>
        <w:pStyle w:val="Heading2"/>
      </w:pPr>
      <w:r>
        <w:t xml:space="preserve">Gli strumenti: il modello di Markov, la microsimulazione, l’analisi di sensibilità</w:t>
      </w:r>
    </w:p>
    <w:p>
      <w:pPr>
        <w:pStyle w:val="FirstParagraph"/>
      </w:pPr>
      <w:r>
        <w:t xml:space="preserve">Gli strumenti della modellazione sono tre, ciascuno con la propria funzione. Il primo è il modello di Markov, che rappresenta l’evoluzione della popolazione attraverso un insieme di stati di salute, tra i quali la popolazione transita secondo probabilità definite, in cicli successivi lungo l’orizzonte; esso è lo strumento con cui si modella il decorso del disagio comune e l’effetto della riforma su tale decorso, attraverso la modificazione delle probabilità di transizione. Il secondo è la microsimulazione, che applica il modello di Markov non a una coorte indistinta ma a individui simulati, ciascuno con le proprie caratteristiche — l’età, la gravità, le comorbilità — sicché il modello catturi l’eterogeneità della popolazione e ne rifletta la varietà nelle proiezioni; essa è lo strumento con cui si affina la proiezione, rendendola sensibile alla composizione della popolazione. Il terzo è l’analisi di sensibilità probabilistica, che assegna ai parametri incerti del modello distribuzioni di probabilità anziché valori puntuali, e ne propaga l’incertezza agli esiti attraverso la simulazione ripetuta, producendo distribuzioni degli esiti anziché stime puntuali; essa è lo strumento con cui si sottopone la proiezione alla prova dell’incertezza, e se ne valuta la robustezza.</w:t>
      </w:r>
      <w:r>
        <w:rPr>
          <w:rStyle w:val="FootnoteReference"/>
        </w:rPr>
        <w:footnoteReference w:id="310"/>
      </w:r>
    </w:p>
    <w:p>
      <w:pPr>
        <w:pStyle w:val="BodyText"/>
      </w:pPr>
      <w:r>
        <w:t xml:space="preserve">Questi tre strumenti operano congiuntamente nella proiezione del valore della riforma. Il modello di Markov fornisce la struttura — gli stati e le transizioni — entro cui il decorso del disagio e l’effetto della riforma sono rappresentati; la microsimulazione popola questa struttura di individui eterogenei, sicché la proiezione rifletta la varietà della popolazione; l’analisi di sensibilità probabilistica sottopone la proiezione all’incertezza dei parametri, sicché i risultati siano espressi come distribuzioni corredate di intervalli di credibilità. Il prodotto congiunto dei tre strumenti è una proiezione del valore della riforma che è insieme strutturata, eterogenea e probabilistica: strutturata, perché fondata sul modello degli stati e delle transizioni; eterogenea, perché sensibile alla composizione della popolazione; probabilistica, perché corredata della misura della propria incertezza. È su questa proiezione che la parte fonda le previsioni falsificabili, traducendone i risultati in enunciati controllabili riferiti ai quattro ambiti.</w:t>
      </w:r>
    </w:p>
    <w:bookmarkEnd w:id="719"/>
    <w:bookmarkStart w:id="721" w:name="X2f70fc8255fcbc7a618771e8d1c336c2ad908bb"/>
    <w:p>
      <w:pPr>
        <w:pStyle w:val="Heading2"/>
      </w:pPr>
      <w:r>
        <w:t xml:space="preserve">La falsificabilità e i parametri invarianti cross-regionali</w:t>
      </w:r>
    </w:p>
    <w:p>
      <w:pPr>
        <w:pStyle w:val="FirstParagraph"/>
      </w:pPr>
      <w:r>
        <w:t xml:space="preserve">Il principio della falsificabilità governa la formulazione di ogni previsione della parte, e ne costituisce il carattere distintivo. Una previsione è falsificabile quando è formulata in modo da poter essere smentita dall’osservazione: essa indica non soltanto il valore previsto, ma la banda entro cui tale valore si colloca, e la soglia di confutazione al di sotto della quale la previsione è da considerarsi smentita. La formulazione falsificabile impone perciò, per ciascuna previsione, tre elementi: il valore previsto, espresso come banda prudenziale; la soglia di confutazione, ossia il valore che, se non raggiunto, smentisce la previsione; e il metodo di verifica, ossia il modo in cui la previsione sarà controllata a posteriori. La parte formula ogni previsione corredandola di questi tre elementi, sicché ciascuna sia controllabile; e affida alla quindicesima parte, dedicata al monitoraggio e alla valutazione ex-post, il compito di condurre la verifica, confrontando le previsioni con gli esiti osservati e dichiarando, per ciascuna, se si sia avverata o sia stata smentita. La falsificabilità non è dunque una cautela retorica, ma un vincolo metodologico stringente, che fa di ogni previsione un enunciato controllabile e che espone la riforma alla verifica dei fatti.</w:t>
      </w:r>
      <w:r>
        <w:rPr>
          <w:rStyle w:val="FootnoteReference"/>
        </w:rPr>
        <w:footnoteReference w:id="311"/>
      </w:r>
    </w:p>
    <w:p>
      <w:pPr>
        <w:pStyle w:val="BodyText"/>
      </w:pPr>
      <w:r>
        <w:t xml:space="preserve">Le previsioni della parte sono fondate su un modello che impiega i parametri invarianti cross-regionali del progetto, ossia i parametri clinici e di costo che sono mantenuti costanti per l’intera serie regionale dello studio. La scelta di parametri invarianti cross-regionali risponde a una duplice esigenza. La prima è la confrontabilità: impiegando i medesimi parametri clinici — le probabilità di transizione, i pesi di utilità, i costi per stato — per tutte le regioni della serie, le proiezioni delle diverse regioni risultano confrontabili, perché differiscono soltanto per i parametri propri di ciascuna regione, e non per assunzioni cliniche arbitrarie. La seconda è la prudenza: i parametri invarianti sono desunti dalla letteratura internazionale e dalle migliori evidenze disponibili, graduate nella sesta parte, e non sono adattati per produrre risultati favorevoli alla singola regione, sicché la proiezione sia ancorata a parametri esterni e non a stime compiacenti. I parametri che variano da regione a regione sono soltanto quelli demografici e di scala — la dimensione della popolazione, la struttura per età, la prevalenza di base del disagio, il numero di incarichi — che riflettono le caratteristiche proprie della Puglia. Il modello impiega dunque i parametri clinici invarianti della serie e i parametri demografici e di scala propri della Puglia, e ne trae la proiezione del valore della riforma in Puglia, confrontabile con quella delle altre regioni e ancorata a parametri esterni.</w:t>
      </w:r>
    </w:p>
    <w:bookmarkEnd w:id="721"/>
    <w:bookmarkStart w:id="722" w:name="la-struttura-della-parte"/>
    <w:p>
      <w:pPr>
        <w:pStyle w:val="Heading2"/>
      </w:pPr>
      <w:r>
        <w:t xml:space="preserve">La struttura della parte</w:t>
      </w:r>
    </w:p>
    <w:p>
      <w:pPr>
        <w:pStyle w:val="FirstParagraph"/>
      </w:pPr>
      <w:r>
        <w:t xml:space="preserve">La parte è organizzata in sette voci. La prima voce espone il modello di Markov e la microsimulazione, ne definisce gli stati di salute, le transizioni e i parametri invarianti, e ne descrive l’impiego per la proiezione del valore. La seconda voce conduce l’analisi di sensibilità probabilistica, ne assegna le distribuzioni ai parametri incerti, e ne trae i risultati sulla robustezza della proiezione e sulla probabilità di costo-efficacia. Le quattro voci successive formulano le previsioni falsificabili sui quattro ambiti su cui la riforma incide: la terza sulla qualità della vita delle persone, la quarta sui bilanci regionali, la quinta sulla burocrazia e l’efficienza amministrativa, la sesta sui sistemi sanitari regionali; ciascuna previsione è corredata della banda, della soglia di confutazione e del metodo di verifica. La settima e conclusiva voce individua le soglie il cui superamento modifica la raccomandazione, ossia i valori dei parametri al di là dei quali la riforma cesserebbe di essere favorevole, e che rendono la raccomandazione stessa falsificabile. A queste voci seguono il quadro conclusivo, la conclusione e le note bibliografiche integrali.</w:t>
      </w:r>
    </w:p>
    <w:bookmarkEnd w:id="722"/>
    <w:bookmarkEnd w:id="723"/>
    <w:bookmarkStart w:id="732" w:name="X3e8ca69be8287dade230154b6d5144d9671dfd1"/>
    <w:p>
      <w:pPr>
        <w:pStyle w:val="Heading2"/>
      </w:pPr>
      <w:r>
        <w:t xml:space="preserve">11.1 Il modello di Markov e la microsimulazione</w:t>
      </w:r>
    </w:p>
    <w:p>
      <w:pPr>
        <w:pStyle w:val="FirstParagraph"/>
      </w:pPr>
      <w:r>
        <w:rPr>
          <w:i/>
          <w:iCs/>
        </w:rPr>
        <w:t xml:space="preserve">La prima voce espone lo strumento centrale della proiezione: il modello di Markov, che rappresenta il decorso del disagio comune attraverso un insieme di stati di salute tra i quali la popolazione transita nel tempo, e la microsimulazione, che applica il modello a individui eterogenei. La voce definisce gli stati del modello e i pesi di utilità che vi sono associati, espone le probabilità di transizione tra gli stati nel decorso naturale e nel decorso modificato dalla riforma, dichiara i parametri invarianti cross-regionali che il modello impiega, e descrive l’orizzonte di proiezione e l’effetto della riforma sulle transizioni. La voce stabilisce così lo strumento con cui il valore della riforma è proiettato nel tempo, e ne dichiara i parametri e i confini.</w:t>
      </w:r>
    </w:p>
    <w:bookmarkStart w:id="725" w:name="Xc52944af83cc5cbf66f34356821dae6ce844e2b"/>
    <w:p>
      <w:pPr>
        <w:pStyle w:val="Heading2"/>
      </w:pPr>
      <w:r>
        <w:t xml:space="preserve">11.1.1 La logica della modellazione di Markov e della microsimulazione</w:t>
      </w:r>
    </w:p>
    <w:p>
      <w:pPr>
        <w:pStyle w:val="FirstParagraph"/>
      </w:pPr>
      <w:r>
        <w:t xml:space="preserve">Il modello di Markov è lo strumento con cui la valutazione economica rappresenta l’evoluzione nel tempo di una condizione di salute, attraverso un insieme di stati tra i quali la popolazione transita secondo probabilità definite. Esso muove dal riconoscimento che una condizione di salute non è statica, ma evolve nel tempo attraverso stati successivi — il miglioramento, la persistenza, l’aggravamento, la guarigione — e che la sua rappresentazione richiede di modellare non un esito unico, ma la sequenza degli stati attraverso cui la condizione evolve. Il modello rappresenta perciò la condizione mediante un insieme di stati di salute, mutuamente esclusivi ed esaustivi, e mediante le probabilità di transizione tra gli stati in cicli temporali successivi; e proietta l’evoluzione della popolazione attraverso gli stati lungo l’orizzonte di valutazione, calcolando, per ciascun ciclo, la distribuzione della popolazione tra gli stati, e accumulando gli esiti — i guadagni di salute, i costi — associati a ciascuno stato. Il modello di Markov è dunque lo strumento con cui si proietta nel tempo il decorso di una condizione di salute e l’effetto di un intervento su tale decorso.</w:t>
      </w:r>
      <w:r>
        <w:rPr>
          <w:rStyle w:val="FootnoteReference"/>
        </w:rPr>
        <w:footnoteReference w:id="312"/>
      </w:r>
    </w:p>
    <w:p>
      <w:pPr>
        <w:pStyle w:val="BodyText"/>
      </w:pPr>
      <w:r>
        <w:t xml:space="preserve">La microsimulazione affina il modello di Markov applicandolo non a una coorte indistinta, ma a individui simulati, ciascuno con le proprie caratteristiche. Nel modello di Markov a coorte, la popolazione è trattata come un aggregato indistinto, che si distribuisce tra gli stati secondo le probabilità di transizione medie; ma questa rappresentazione trascura l’eterogeneità della popolazione, ossia il fatto che individui diversi — per età, gravità, comorbilità — hanno probabilità di transizione diverse, e seguono decorsi diversi. La microsimulazione supera questa limitazione simulando individui singoli, ciascuno con le proprie caratteristiche e le proprie probabilità di transizione, e seguendone il decorso individuale attraverso gli stati lungo l’orizzonte; e aggrega poi gli esiti individuali in esiti di popolazione, che riflettono l’eterogeneità dei decorsi individuali. La microsimulazione è dunque lo strumento con cui si rende il modello sensibile alla composizione della popolazione, sicché la proiezione rifletta la varietà dei decorsi anziché un decorso medio indistinto. Nel caso della riforma, la microsimulazione consente di proiettare il valore tenendo conto della diversa risposta delle diverse componenti della popolazione — i giovani e gli anziani, i casi lievi e quelli moderati — alla presa in carico.</w:t>
      </w:r>
    </w:p>
    <w:bookmarkEnd w:id="725"/>
    <w:bookmarkStart w:id="726" w:name="Xd8123a9616908346483f5d7218d5e629b19e33b"/>
    <w:p>
      <w:pPr>
        <w:pStyle w:val="Heading2"/>
      </w:pPr>
      <w:r>
        <w:t xml:space="preserve">11.1.2 Gli stati di salute del modello e i pesi di utilità</w:t>
      </w:r>
    </w:p>
    <w:p>
      <w:pPr>
        <w:pStyle w:val="FirstParagraph"/>
      </w:pPr>
      <w:r>
        <w:t xml:space="preserve">Gli stati di salute del modello rappresentano le condizioni attraverso cui il disagio comune evolve, dal benessere alla cronicizzazione, e a ciascuno è associato un peso di utilità che ne esprime la qualità della vita. Il modello distingue cinque stati. Il primo è il benessere, o remissione, in cui la persona non è affetta da disagio o ne è guarita, e che ha il peso di utilità più elevato. Il secondo è il disturbo comune lieve-moderato non intercettato, in cui la persona è affetta da disagio comune ma non è presa in carico, e che ha un peso di utilità ridotto, riflettendo la compromissione della qualità della vita propria del disagio non trattato. Il terzo è il disturbo comune lieve-moderato in trattamento, in cui la persona è affetta da disagio ma è presa in carico, e che ha un peso di utilità intermedio, superiore a quello del disturbo non intercettato perché il trattamento attenua la compromissione e avvia il recupero. Il quarto è il disturbo cronicizzato o severo, in cui il disagio si è aggravato o cronicizzato, e che ha il peso di utilità più basso tra gli stati di malattia, riflettendo la grave compromissione della qualità della vita. Il quinto è il decesso, che chiude il decorso e a cui è associato un peso di utilità nullo, e che il modello include per la mortalità di fondo. La tabella che segue espone gli stati e i pesi di utilità.</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Stato di salute del 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Descrizione</w:t>
            </w:r>
          </w:p>
        </w:tc>
        <w:tc>
          <w:tcPr>
            <w:shd w:val="clear" w:color="auto" w:fill="16264B"/>
          </w:tcPr>
          <w:p>
            <w:pPr>
              <w:pStyle w:val="Compact"/>
              <w:spacing w:after="40" w:before="40"/>
              <w:jc w:val="left"/>
            </w:pPr>
            <w:r>
              <w:rPr>
                <w:rFonts w:ascii="Cambria" w:hAnsi="Cambria" w:cs="Cambria" w:eastAsia="Cambria"/>
                <w:b/>
                <w:bCs/>
                <w:color w:val="FFFFFF"/>
                <w:sz w:val="18"/>
              </w:rPr>
              <w:t xml:space="preserve">Peso di utilità</w:t>
            </w:r>
          </w:p>
        </w:tc>
      </w:tr>
      <w:tr>
        <w:tc>
          <w:tcPr/>
          <w:p>
            <w:pPr>
              <w:pStyle w:val="Compact"/>
              <w:spacing w:after="40" w:before="40"/>
              <w:jc w:val="left"/>
            </w:pPr>
            <w:r>
              <w:rPr>
                <w:rFonts w:ascii="Cambria" w:hAnsi="Cambria" w:cs="Cambria" w:eastAsia="Cambria"/>
                <w:color w:val="1A1A1A"/>
                <w:sz w:val="18"/>
              </w:rPr>
              <w:t xml:space="preserve">Benessere / remissione</w:t>
            </w:r>
          </w:p>
        </w:tc>
        <w:tc>
          <w:tcPr/>
          <w:p>
            <w:pPr>
              <w:pStyle w:val="Compact"/>
              <w:spacing w:after="40" w:before="40"/>
              <w:jc w:val="left"/>
            </w:pPr>
            <w:r>
              <w:rPr>
                <w:rFonts w:ascii="Cambria" w:hAnsi="Cambria" w:cs="Cambria" w:eastAsia="Cambria"/>
                <w:color w:val="1A1A1A"/>
                <w:sz w:val="18"/>
              </w:rPr>
              <w:t xml:space="preserve">Assenza di disagio o guarigione</w:t>
            </w:r>
          </w:p>
        </w:tc>
        <w:tc>
          <w:tcPr/>
          <w:p>
            <w:pPr>
              <w:pStyle w:val="Compact"/>
              <w:spacing w:after="40" w:before="40"/>
              <w:jc w:val="left"/>
            </w:pPr>
            <w:r>
              <w:rPr>
                <w:rFonts w:ascii="Cambria" w:hAnsi="Cambria" w:cs="Cambria" w:eastAsia="Cambria"/>
                <w:color w:val="1A1A1A"/>
                <w:sz w:val="18"/>
              </w:rPr>
              <w:t xml:space="preserve">~0,85</w:t>
            </w:r>
          </w:p>
        </w:tc>
      </w:tr>
      <w:tr>
        <w:tc>
          <w:tcPr>
            <w:shd w:val="clear" w:color="auto" w:fill="F4F1EC"/>
          </w:tcPr>
          <w:p>
            <w:pPr>
              <w:pStyle w:val="Compact"/>
              <w:spacing w:after="40" w:before="40"/>
              <w:jc w:val="left"/>
            </w:pPr>
            <w:r>
              <w:rPr>
                <w:rFonts w:ascii="Cambria" w:hAnsi="Cambria" w:cs="Cambria" w:eastAsia="Cambria"/>
                <w:color w:val="1A1A1A"/>
                <w:sz w:val="18"/>
              </w:rPr>
              <w:t xml:space="preserve">Disturbo lieve-moderato non intercettato</w:t>
            </w:r>
          </w:p>
        </w:tc>
        <w:tc>
          <w:tcPr>
            <w:shd w:val="clear" w:color="auto" w:fill="F4F1EC"/>
          </w:tcPr>
          <w:p>
            <w:pPr>
              <w:pStyle w:val="Compact"/>
              <w:spacing w:after="40" w:before="40"/>
              <w:jc w:val="left"/>
            </w:pPr>
            <w:r>
              <w:rPr>
                <w:rFonts w:ascii="Cambria" w:hAnsi="Cambria" w:cs="Cambria" w:eastAsia="Cambria"/>
                <w:color w:val="1A1A1A"/>
                <w:sz w:val="18"/>
              </w:rPr>
              <w:t xml:space="preserve">Disagio comune non preso in carico</w:t>
            </w:r>
          </w:p>
        </w:tc>
        <w:tc>
          <w:tcPr>
            <w:shd w:val="clear" w:color="auto" w:fill="F4F1EC"/>
          </w:tcPr>
          <w:p>
            <w:pPr>
              <w:pStyle w:val="Compact"/>
              <w:spacing w:after="40" w:before="40"/>
              <w:jc w:val="left"/>
            </w:pPr>
            <w:r>
              <w:rPr>
                <w:rFonts w:ascii="Cambria" w:hAnsi="Cambria" w:cs="Cambria" w:eastAsia="Cambria"/>
                <w:color w:val="1A1A1A"/>
                <w:sz w:val="18"/>
              </w:rPr>
              <w:t xml:space="preserve">~0,65</w:t>
            </w:r>
          </w:p>
        </w:tc>
      </w:tr>
      <w:tr>
        <w:tc>
          <w:tcPr/>
          <w:p>
            <w:pPr>
              <w:pStyle w:val="Compact"/>
              <w:spacing w:after="40" w:before="40"/>
              <w:jc w:val="left"/>
            </w:pPr>
            <w:r>
              <w:rPr>
                <w:rFonts w:ascii="Cambria" w:hAnsi="Cambria" w:cs="Cambria" w:eastAsia="Cambria"/>
                <w:color w:val="1A1A1A"/>
                <w:sz w:val="18"/>
              </w:rPr>
              <w:t xml:space="preserve">Disturbo lieve-moderato in trattamento</w:t>
            </w:r>
          </w:p>
        </w:tc>
        <w:tc>
          <w:tcPr/>
          <w:p>
            <w:pPr>
              <w:pStyle w:val="Compact"/>
              <w:spacing w:after="40" w:before="40"/>
              <w:jc w:val="left"/>
            </w:pPr>
            <w:r>
              <w:rPr>
                <w:rFonts w:ascii="Cambria" w:hAnsi="Cambria" w:cs="Cambria" w:eastAsia="Cambria"/>
                <w:color w:val="1A1A1A"/>
                <w:sz w:val="18"/>
              </w:rPr>
              <w:t xml:space="preserve">Disagio comune preso in carico</w:t>
            </w:r>
          </w:p>
        </w:tc>
        <w:tc>
          <w:tcPr/>
          <w:p>
            <w:pPr>
              <w:pStyle w:val="Compact"/>
              <w:spacing w:after="40" w:before="40"/>
              <w:jc w:val="left"/>
            </w:pPr>
            <w:r>
              <w:rPr>
                <w:rFonts w:ascii="Cambria" w:hAnsi="Cambria" w:cs="Cambria" w:eastAsia="Cambria"/>
                <w:color w:val="1A1A1A"/>
                <w:sz w:val="18"/>
              </w:rPr>
              <w:t xml:space="preserve">~0,75</w:t>
            </w:r>
          </w:p>
        </w:tc>
      </w:tr>
      <w:tr>
        <w:tc>
          <w:tcPr>
            <w:shd w:val="clear" w:color="auto" w:fill="F4F1EC"/>
          </w:tcPr>
          <w:p>
            <w:pPr>
              <w:pStyle w:val="Compact"/>
              <w:spacing w:after="40" w:before="40"/>
              <w:jc w:val="left"/>
            </w:pPr>
            <w:r>
              <w:rPr>
                <w:rFonts w:ascii="Cambria" w:hAnsi="Cambria" w:cs="Cambria" w:eastAsia="Cambria"/>
                <w:color w:val="1A1A1A"/>
                <w:sz w:val="18"/>
              </w:rPr>
              <w:t xml:space="preserve">Disturbo cronicizzato o severo</w:t>
            </w:r>
          </w:p>
        </w:tc>
        <w:tc>
          <w:tcPr>
            <w:shd w:val="clear" w:color="auto" w:fill="F4F1EC"/>
          </w:tcPr>
          <w:p>
            <w:pPr>
              <w:pStyle w:val="Compact"/>
              <w:spacing w:after="40" w:before="40"/>
              <w:jc w:val="left"/>
            </w:pPr>
            <w:r>
              <w:rPr>
                <w:rFonts w:ascii="Cambria" w:hAnsi="Cambria" w:cs="Cambria" w:eastAsia="Cambria"/>
                <w:color w:val="1A1A1A"/>
                <w:sz w:val="18"/>
              </w:rPr>
              <w:t xml:space="preserve">Disagio aggravato o cronicizzato</w:t>
            </w:r>
          </w:p>
        </w:tc>
        <w:tc>
          <w:tcPr>
            <w:shd w:val="clear" w:color="auto" w:fill="F4F1EC"/>
          </w:tcPr>
          <w:p>
            <w:pPr>
              <w:pStyle w:val="Compact"/>
              <w:spacing w:after="40" w:before="40"/>
              <w:jc w:val="left"/>
            </w:pPr>
            <w:r>
              <w:rPr>
                <w:rFonts w:ascii="Cambria" w:hAnsi="Cambria" w:cs="Cambria" w:eastAsia="Cambria"/>
                <w:color w:val="1A1A1A"/>
                <w:sz w:val="18"/>
              </w:rPr>
              <w:t xml:space="preserve">~0,50</w:t>
            </w:r>
          </w:p>
        </w:tc>
      </w:tr>
      <w:tr>
        <w:tc>
          <w:tcPr/>
          <w:p>
            <w:pPr>
              <w:pStyle w:val="Compact"/>
              <w:spacing w:after="40" w:before="40"/>
              <w:jc w:val="left"/>
            </w:pPr>
            <w:r>
              <w:rPr>
                <w:rFonts w:ascii="Cambria" w:hAnsi="Cambria" w:cs="Cambria" w:eastAsia="Cambria"/>
                <w:color w:val="1A1A1A"/>
                <w:sz w:val="18"/>
              </w:rPr>
              <w:t xml:space="preserve">Decesso</w:t>
            </w:r>
          </w:p>
        </w:tc>
        <w:tc>
          <w:tcPr/>
          <w:p>
            <w:pPr>
              <w:pStyle w:val="Compact"/>
              <w:spacing w:after="40" w:before="40"/>
              <w:jc w:val="left"/>
            </w:pPr>
            <w:r>
              <w:rPr>
                <w:rFonts w:ascii="Cambria" w:hAnsi="Cambria" w:cs="Cambria" w:eastAsia="Cambria"/>
                <w:color w:val="1A1A1A"/>
                <w:sz w:val="18"/>
              </w:rPr>
              <w:t xml:space="preserve">Mortalità di fondo</w:t>
            </w:r>
          </w:p>
        </w:tc>
        <w:tc>
          <w:tcPr/>
          <w:p>
            <w:pPr>
              <w:pStyle w:val="Compact"/>
              <w:spacing w:after="40" w:before="40"/>
              <w:jc w:val="left"/>
            </w:pPr>
            <w:r>
              <w:rPr>
                <w:rFonts w:ascii="Cambria" w:hAnsi="Cambria" w:cs="Cambria" w:eastAsia="Cambria"/>
                <w:color w:val="1A1A1A"/>
                <w:sz w:val="18"/>
              </w:rPr>
              <w:t xml:space="preserve">0,00</w:t>
            </w:r>
          </w:p>
        </w:tc>
      </w:tr>
    </w:tbl>
    <w:p>
      <w:pPr>
        <w:pStyle w:val="BodyText"/>
      </w:pPr>
      <w:r>
        <w:rPr>
          <w:i/>
          <w:iCs/>
        </w:rPr>
        <w:t xml:space="preserve">Tabella 11.1 — Stati di salute del modello di Markov e pesi di utilità associati. I cinque stati rappresentano le condizioni attraverso cui il disagio comune evolve, dal benessere alla cronicizzazione al decesso; i pesi di utilità, compresi tra zero e uno, esprimono la qualità della vita in ciascuno stato, e sono parametri invarianti cross-regionali desunti dalla letteratura.</w:t>
      </w:r>
    </w:p>
    <w:p>
      <w:pPr>
        <w:pStyle w:val="BodyText"/>
      </w:pPr>
      <w:r>
        <w:t xml:space="preserve">La struttura dei pesi di utilità riflette la compromissione della qualità della vita propria di ciascuno stato, e ne governa il calcolo dei guadagni di salute. Lo stato di benessere ha il peso di utilità più elevato, dell’ordine di otto decimi e mezzo, riflettendo una qualità della vita prossima alla piena salute; il disturbo non intercettato ha un peso ridotto, dell’ordine di sei decimi e mezzo, riflettendo la compromissione propria del disagio comune non trattato; il disturbo in trattamento ha un peso intermedio, dell’ordine di sette decimi e mezzo, superiore a quello del disturbo non intercettato perché il trattamento attenua la compromissione; il disturbo cronicizzato ha il peso più basso tra gli stati di malattia, dell’ordine di cinque decimi, riflettendo la grave compromissione propria della cronicizzazione. La differenza tra i pesi degli stati è ciò che genera i guadagni di salute: una persona che, grazie alla riforma, transita dal disturbo non intercettato al trattamento e quindi al benessere, acquista qualità della vita pari alla differenza tra i pesi degli stati attraversati, ponderata per il tempo trascorso in ciascuno; e l’aggregazione di questi guadagni individuali, lungo l’orizzonte e sull’intera popolazione, produce i guadagni di salute della riforma, misurati in anni di vita in buona salute. I pesi di utilità sono parametri invarianti cross-regionali, desunti dalla letteratura sull’utilità degli stati di salute mentale, e non adattati alla singola regione.</w:t>
      </w:r>
    </w:p>
    <w:bookmarkEnd w:id="726"/>
    <w:bookmarkStart w:id="728" w:name="X584133bfa25b45bb3945b95f95cb5ef3759ebee"/>
    <w:p>
      <w:pPr>
        <w:pStyle w:val="Heading2"/>
      </w:pPr>
      <w:r>
        <w:t xml:space="preserve">11.1.3 Le probabilità di transizione e l’effetto della riforma</w:t>
      </w:r>
    </w:p>
    <w:p>
      <w:pPr>
        <w:pStyle w:val="FirstParagraph"/>
      </w:pPr>
      <w:r>
        <w:t xml:space="preserve">Le probabilità di transizione governano il passaggio della popolazione tra gli stati nel decorso del tempo, e l’effetto della riforma consiste nel modificarle, accrescendo la probabilità di miglioramento e riducendo quella di aggravamento. Il modello distingue due decorsi: il decorso naturale, proprio del disturbo non intercettato, e il decorso modificato dalla riforma, proprio del disturbo in trattamento. Nel decorso naturale, il disturbo non intercettato ha una certa probabilità annuale di remissione spontanea, una probabilità di persistenza nel disturbo, una probabilità di cronicizzazione e una probabilità di decesso per mortalità di fondo; la remissione spontanea è possibile, ma la probabilità di cronicizzazione è rilevante, perché il disagio non trattato tende ad aggravarsi. Nel decorso modificato dalla riforma, il disturbo in trattamento ha una probabilità di remissione sensibilmente maggiore, perché il trattamento favorisce il recupero, e una probabilità di cronicizzazione sensibilmente minore, perché il trattamento previene l’aggravamento. La tabella che segue espone le probabilità di transizione annuali nei due decorsi.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Probabilità di transizione annuale</w:t>
            </w:r>
          </w:p>
        </w:tc>
        <w:tc>
          <w:tcPr>
            <w:shd w:val="clear" w:color="auto" w:fill="16264B"/>
          </w:tcPr>
          <w:p>
            <w:pPr>
              <w:pStyle w:val="Compact"/>
              <w:spacing w:after="40" w:before="40"/>
              <w:jc w:val="left"/>
            </w:pPr>
            <w:r>
              <w:rPr>
                <w:rFonts w:ascii="Cambria" w:hAnsi="Cambria" w:cs="Cambria" w:eastAsia="Cambria"/>
                <w:b/>
                <w:bCs/>
                <w:color w:val="FFFFFF"/>
                <w:sz w:val="18"/>
              </w:rPr>
              <w:t xml:space="preserve">Remissione</w:t>
            </w:r>
          </w:p>
        </w:tc>
        <w:tc>
          <w:tcPr>
            <w:shd w:val="clear" w:color="auto" w:fill="16264B"/>
          </w:tcPr>
          <w:p>
            <w:pPr>
              <w:pStyle w:val="Compact"/>
              <w:spacing w:after="40" w:before="40"/>
              <w:jc w:val="left"/>
            </w:pPr>
            <w:r>
              <w:rPr>
                <w:rFonts w:ascii="Cambria" w:hAnsi="Cambria" w:cs="Cambria" w:eastAsia="Cambria"/>
                <w:b/>
                <w:bCs/>
                <w:color w:val="FFFFFF"/>
                <w:sz w:val="18"/>
              </w:rPr>
              <w:t xml:space="preserve">Persistenza</w:t>
            </w:r>
          </w:p>
        </w:tc>
        <w:tc>
          <w:tcPr>
            <w:shd w:val="clear" w:color="auto" w:fill="16264B"/>
          </w:tcPr>
          <w:p>
            <w:pPr>
              <w:pStyle w:val="Compact"/>
              <w:spacing w:after="40" w:before="40"/>
              <w:jc w:val="left"/>
            </w:pPr>
            <w:r>
              <w:rPr>
                <w:rFonts w:ascii="Cambria" w:hAnsi="Cambria" w:cs="Cambria" w:eastAsia="Cambria"/>
                <w:b/>
                <w:bCs/>
                <w:color w:val="FFFFFF"/>
                <w:sz w:val="18"/>
              </w:rPr>
              <w:t xml:space="preserve">Cronicizz.</w:t>
            </w:r>
          </w:p>
        </w:tc>
        <w:tc>
          <w:tcPr>
            <w:shd w:val="clear" w:color="auto" w:fill="16264B"/>
          </w:tcPr>
          <w:p>
            <w:pPr>
              <w:pStyle w:val="Compact"/>
              <w:spacing w:after="40" w:before="40"/>
              <w:jc w:val="left"/>
            </w:pPr>
            <w:r>
              <w:rPr>
                <w:rFonts w:ascii="Cambria" w:hAnsi="Cambria" w:cs="Cambria" w:eastAsia="Cambria"/>
                <w:b/>
                <w:bCs/>
                <w:color w:val="FFFFFF"/>
                <w:sz w:val="18"/>
              </w:rPr>
              <w:t xml:space="preserve">Decesso</w:t>
            </w:r>
          </w:p>
        </w:tc>
      </w:tr>
      <w:tr>
        <w:tc>
          <w:tcPr/>
          <w:p>
            <w:pPr>
              <w:pStyle w:val="Compact"/>
              <w:spacing w:after="40" w:before="40"/>
              <w:jc w:val="left"/>
            </w:pPr>
            <w:r>
              <w:rPr>
                <w:rFonts w:ascii="Cambria" w:hAnsi="Cambria" w:cs="Cambria" w:eastAsia="Cambria"/>
                <w:color w:val="1A1A1A"/>
                <w:sz w:val="18"/>
              </w:rPr>
              <w:t xml:space="preserve">Disturbo non intercettato (decorso naturale)</w:t>
            </w:r>
          </w:p>
        </w:tc>
        <w:tc>
          <w:tcPr/>
          <w:p>
            <w:pPr>
              <w:pStyle w:val="Compact"/>
              <w:spacing w:after="40" w:before="40"/>
              <w:jc w:val="left"/>
            </w:pPr>
            <w:r>
              <w:rPr>
                <w:rFonts w:ascii="Cambria" w:hAnsi="Cambria" w:cs="Cambria" w:eastAsia="Cambria"/>
                <w:color w:val="1A1A1A"/>
                <w:sz w:val="18"/>
              </w:rPr>
              <w:t xml:space="preserve">~0,25</w:t>
            </w:r>
          </w:p>
        </w:tc>
        <w:tc>
          <w:tcPr/>
          <w:p>
            <w:pPr>
              <w:pStyle w:val="Compact"/>
              <w:spacing w:after="40" w:before="40"/>
              <w:jc w:val="left"/>
            </w:pPr>
            <w:r>
              <w:rPr>
                <w:rFonts w:ascii="Cambria" w:hAnsi="Cambria" w:cs="Cambria" w:eastAsia="Cambria"/>
                <w:color w:val="1A1A1A"/>
                <w:sz w:val="18"/>
              </w:rPr>
              <w:t xml:space="preserve">~0,55</w:t>
            </w:r>
          </w:p>
        </w:tc>
        <w:tc>
          <w:tcPr/>
          <w:p>
            <w:pPr>
              <w:pStyle w:val="Compact"/>
              <w:spacing w:after="40" w:before="40"/>
              <w:jc w:val="left"/>
            </w:pPr>
            <w:r>
              <w:rPr>
                <w:rFonts w:ascii="Cambria" w:hAnsi="Cambria" w:cs="Cambria" w:eastAsia="Cambria"/>
                <w:color w:val="1A1A1A"/>
                <w:sz w:val="18"/>
              </w:rPr>
              <w:t xml:space="preserve">~0,18</w:t>
            </w:r>
          </w:p>
        </w:tc>
        <w:tc>
          <w:tcPr/>
          <w:p>
            <w:pPr>
              <w:pStyle w:val="Compact"/>
              <w:spacing w:after="40" w:before="40"/>
              <w:jc w:val="left"/>
            </w:pPr>
            <w:r>
              <w:rPr>
                <w:rFonts w:ascii="Cambria" w:hAnsi="Cambria" w:cs="Cambria" w:eastAsia="Cambria"/>
                <w:color w:val="1A1A1A"/>
                <w:sz w:val="18"/>
              </w:rPr>
              <w:t xml:space="preserve">~0,02</w:t>
            </w:r>
          </w:p>
        </w:tc>
      </w:tr>
      <w:tr>
        <w:tc>
          <w:tcPr>
            <w:shd w:val="clear" w:color="auto" w:fill="F4F1EC"/>
          </w:tcPr>
          <w:p>
            <w:pPr>
              <w:pStyle w:val="Compact"/>
              <w:spacing w:after="40" w:before="40"/>
              <w:jc w:val="left"/>
            </w:pPr>
            <w:r>
              <w:rPr>
                <w:rFonts w:ascii="Cambria" w:hAnsi="Cambria" w:cs="Cambria" w:eastAsia="Cambria"/>
                <w:color w:val="1A1A1A"/>
                <w:sz w:val="18"/>
              </w:rPr>
              <w:t xml:space="preserve">Disturbo in trattamento (decorso con riforma)</w:t>
            </w:r>
          </w:p>
        </w:tc>
        <w:tc>
          <w:tcPr>
            <w:shd w:val="clear" w:color="auto" w:fill="F4F1EC"/>
          </w:tcPr>
          <w:p>
            <w:pPr>
              <w:pStyle w:val="Compact"/>
              <w:spacing w:after="40" w:before="40"/>
              <w:jc w:val="left"/>
            </w:pPr>
            <w:r>
              <w:rPr>
                <w:rFonts w:ascii="Cambria" w:hAnsi="Cambria" w:cs="Cambria" w:eastAsia="Cambria"/>
                <w:color w:val="1A1A1A"/>
                <w:sz w:val="18"/>
              </w:rPr>
              <w:t xml:space="preserve">~0,50</w:t>
            </w:r>
          </w:p>
        </w:tc>
        <w:tc>
          <w:tcPr>
            <w:shd w:val="clear" w:color="auto" w:fill="F4F1EC"/>
          </w:tcPr>
          <w:p>
            <w:pPr>
              <w:pStyle w:val="Compact"/>
              <w:spacing w:after="40" w:before="40"/>
              <w:jc w:val="left"/>
            </w:pPr>
            <w:r>
              <w:rPr>
                <w:rFonts w:ascii="Cambria" w:hAnsi="Cambria" w:cs="Cambria" w:eastAsia="Cambria"/>
                <w:color w:val="1A1A1A"/>
                <w:sz w:val="18"/>
              </w:rPr>
              <w:t xml:space="preserve">~0,42</w:t>
            </w:r>
          </w:p>
        </w:tc>
        <w:tc>
          <w:tcPr>
            <w:shd w:val="clear" w:color="auto" w:fill="F4F1EC"/>
          </w:tcPr>
          <w:p>
            <w:pPr>
              <w:pStyle w:val="Compact"/>
              <w:spacing w:after="40" w:before="40"/>
              <w:jc w:val="left"/>
            </w:pPr>
            <w:r>
              <w:rPr>
                <w:rFonts w:ascii="Cambria" w:hAnsi="Cambria" w:cs="Cambria" w:eastAsia="Cambria"/>
                <w:color w:val="1A1A1A"/>
                <w:sz w:val="18"/>
              </w:rPr>
              <w:t xml:space="preserve">~0,06</w:t>
            </w:r>
          </w:p>
        </w:tc>
        <w:tc>
          <w:tcPr>
            <w:shd w:val="clear" w:color="auto" w:fill="F4F1EC"/>
          </w:tcPr>
          <w:p>
            <w:pPr>
              <w:pStyle w:val="Compact"/>
              <w:spacing w:after="40" w:before="40"/>
              <w:jc w:val="left"/>
            </w:pPr>
            <w:r>
              <w:rPr>
                <w:rFonts w:ascii="Cambria" w:hAnsi="Cambria" w:cs="Cambria" w:eastAsia="Cambria"/>
                <w:color w:val="1A1A1A"/>
                <w:sz w:val="18"/>
              </w:rPr>
              <w:t xml:space="preserve">~0,02</w:t>
            </w:r>
          </w:p>
        </w:tc>
      </w:tr>
    </w:tbl>
    <w:p>
      <w:pPr>
        <w:pStyle w:val="BodyText"/>
      </w:pPr>
      <w:r>
        <w:rPr>
          <w:i/>
          <w:iCs/>
        </w:rPr>
        <w:t xml:space="preserve">Tabella 11.2 — Probabilità di transizione annuali dal disturbo lieve-moderato, nel decorso naturale (non intercettato) e nel decorso modificato dalla riforma (in trattamento). La riforma, prendendo in carico il disturbo, accresce la probabilità di remissione (da circa un quarto a circa la metà) e riduce la probabilità di cronicizzazione (da circa diciotto a circa sei centesimi); è in questa modificazione delle transizioni che risiede l’effetto del modello.</w:t>
      </w:r>
    </w:p>
    <w:p>
      <w:pPr>
        <w:pStyle w:val="BodyText"/>
      </w:pPr>
      <w:r>
        <w:t xml:space="preserve">La modificazione delle probabilità di transizione operata dalla riforma è il meccanismo attraverso cui il modello genera i guadagni di salute e i risparmi. Nel decorso naturale, il disturbo non intercettato ha una probabilità annuale di remissione dell’ordine di un quarto, di persistenza dell’ordine di cinquantacinque centesimi, e di cronicizzazione dell’ordine di diciotto centesimi: una quota rilevante della popolazione non trattata, di anno in anno, cronicizza, entrando nello stato di più grave compromissione e di più alto costo. Nel decorso modificato dalla riforma, il disturbo in trattamento ha una probabilità di remissione dell’ordine della metà — il doppio del decorso naturale — e di cronicizzazione dell’ordine di sei centesimi — un terzo del decorso naturale: la presa in carico raddoppia la probabilità di guarigione e riduce a un terzo la probabilità di cronicizzazione. L’effetto cumulato di questa modificazione, lungo l’orizzonte e sull’intera popolazione intercettata, è duplice: da un lato, una quota maggiore della popolazione transita verso il benessere, acquistando qualità della vita e generando i guadagni di salute; dall’altro, una quota minore cronicizza, evitando lo stato di più alto costo e generando i risparmi. I guadagni di salute e i risparmi della riforma, stabiliti staticamente dalle parti precedenti, trovano dunque nel modello la loro generazione dinamica, attraverso la modificazione delle transizioni.</w:t>
      </w:r>
      <w:r>
        <w:rPr>
          <w:rStyle w:val="FootnoteReference"/>
        </w:rPr>
        <w:footnoteReference w:id="313"/>
      </w:r>
    </w:p>
    <w:bookmarkEnd w:id="728"/>
    <w:bookmarkStart w:id="729" w:name="X2a841806922e1cf023e48bef1c1c6ec7539ba3a"/>
    <w:p>
      <w:pPr>
        <w:pStyle w:val="Heading2"/>
      </w:pPr>
      <w:r>
        <w:t xml:space="preserve">11.1.4 I parametri invarianti cross-regionali e l’orizzonte di proiezione</w:t>
      </w:r>
    </w:p>
    <w:p>
      <w:pPr>
        <w:pStyle w:val="FirstParagraph"/>
      </w:pPr>
      <w:r>
        <w:t xml:space="preserve">Il modello impiega un insieme di parametri invarianti cross-regionali, costanti per l’intera serie regionale, che ne governano il funzionamento. Oltre ai pesi di utilità e alle probabilità di transizione, già esposti, il modello adotta una durata del ciclo, un orizzonte di proiezione, un tasso di sconto e una correzione di mezzo ciclo. La durata del ciclo è annuale, sicché la popolazione transiti tra gli stati una volta l’anno, in coerenza con il ritmo annuale del decorso del disagio comune. L’orizzonte di proiezione è decennale, sufficiente a cogliere tanto la fase di avvio quanto la fase di regime e l’accumulo dei guadagni nel lungo periodo, ed esteso oltre l’orizzonte quinquennale dell’analisi di impatto di bilancio. Il tasso di sconto, applicato tanto ai costi quanto agli esiti di salute, è dell’ordine del tre per cento annuo, in coerenza con la convenzione della valutazione economica, e riflette la preferenza temporale che attribuisce ai costi e agli esiti futuri un valore attualizzato inferiore a quello presente. La correzione di mezzo ciclo è applicata per attenuare la distorsione propria della rappresentazione a cicli discreti. La tabella che segue espone i parametri invarianti del modello.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Parametro invariante cross-regionale del 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adottato</w:t>
            </w:r>
          </w:p>
        </w:tc>
      </w:tr>
      <w:tr>
        <w:tc>
          <w:tcPr/>
          <w:p>
            <w:pPr>
              <w:pStyle w:val="Compact"/>
              <w:spacing w:after="40" w:before="40"/>
              <w:jc w:val="left"/>
            </w:pPr>
            <w:r>
              <w:rPr>
                <w:rFonts w:ascii="Cambria" w:hAnsi="Cambria" w:cs="Cambria" w:eastAsia="Cambria"/>
                <w:color w:val="1A1A1A"/>
                <w:sz w:val="18"/>
              </w:rPr>
              <w:t xml:space="preserve">Durata del ciclo</w:t>
            </w:r>
          </w:p>
        </w:tc>
        <w:tc>
          <w:tcPr/>
          <w:p>
            <w:pPr>
              <w:pStyle w:val="Compact"/>
              <w:spacing w:after="40" w:before="40"/>
              <w:jc w:val="left"/>
            </w:pPr>
            <w:r>
              <w:rPr>
                <w:rFonts w:ascii="Cambria" w:hAnsi="Cambria" w:cs="Cambria" w:eastAsia="Cambria"/>
                <w:color w:val="1A1A1A"/>
                <w:sz w:val="18"/>
              </w:rPr>
              <w:t xml:space="preserve">1 anno</w:t>
            </w:r>
          </w:p>
        </w:tc>
      </w:tr>
      <w:tr>
        <w:tc>
          <w:tcPr>
            <w:shd w:val="clear" w:color="auto" w:fill="F4F1EC"/>
          </w:tcPr>
          <w:p>
            <w:pPr>
              <w:pStyle w:val="Compact"/>
              <w:spacing w:after="40" w:before="40"/>
              <w:jc w:val="left"/>
            </w:pPr>
            <w:r>
              <w:rPr>
                <w:rFonts w:ascii="Cambria" w:hAnsi="Cambria" w:cs="Cambria" w:eastAsia="Cambria"/>
                <w:color w:val="1A1A1A"/>
                <w:sz w:val="18"/>
              </w:rPr>
              <w:t xml:space="preserve">Orizzonte di proiezione</w:t>
            </w:r>
          </w:p>
        </w:tc>
        <w:tc>
          <w:tcPr>
            <w:shd w:val="clear" w:color="auto" w:fill="F4F1EC"/>
          </w:tcPr>
          <w:p>
            <w:pPr>
              <w:pStyle w:val="Compact"/>
              <w:spacing w:after="40" w:before="40"/>
              <w:jc w:val="left"/>
            </w:pPr>
            <w:r>
              <w:rPr>
                <w:rFonts w:ascii="Cambria" w:hAnsi="Cambria" w:cs="Cambria" w:eastAsia="Cambria"/>
                <w:color w:val="1A1A1A"/>
                <w:sz w:val="18"/>
              </w:rPr>
              <w:t xml:space="preserve">10 anni</w:t>
            </w:r>
          </w:p>
        </w:tc>
      </w:tr>
      <w:tr>
        <w:tc>
          <w:tcPr/>
          <w:p>
            <w:pPr>
              <w:pStyle w:val="Compact"/>
              <w:spacing w:after="40" w:before="40"/>
              <w:jc w:val="left"/>
            </w:pPr>
            <w:r>
              <w:rPr>
                <w:rFonts w:ascii="Cambria" w:hAnsi="Cambria" w:cs="Cambria" w:eastAsia="Cambria"/>
                <w:color w:val="1A1A1A"/>
                <w:sz w:val="18"/>
              </w:rPr>
              <w:t xml:space="preserve">Tasso di sconto (costi ed esiti di salute)</w:t>
            </w:r>
          </w:p>
        </w:tc>
        <w:tc>
          <w:tcPr/>
          <w:p>
            <w:pPr>
              <w:pStyle w:val="Compact"/>
              <w:spacing w:after="40" w:before="40"/>
              <w:jc w:val="left"/>
            </w:pPr>
            <w:r>
              <w:rPr>
                <w:rFonts w:ascii="Cambria" w:hAnsi="Cambria" w:cs="Cambria" w:eastAsia="Cambria"/>
                <w:color w:val="1A1A1A"/>
                <w:sz w:val="18"/>
              </w:rPr>
              <w:t xml:space="preserve">~3% annuo</w:t>
            </w:r>
          </w:p>
        </w:tc>
      </w:tr>
      <w:tr>
        <w:tc>
          <w:tcPr>
            <w:shd w:val="clear" w:color="auto" w:fill="F4F1EC"/>
          </w:tcPr>
          <w:p>
            <w:pPr>
              <w:pStyle w:val="Compact"/>
              <w:spacing w:after="40" w:before="40"/>
              <w:jc w:val="left"/>
            </w:pPr>
            <w:r>
              <w:rPr>
                <w:rFonts w:ascii="Cambria" w:hAnsi="Cambria" w:cs="Cambria" w:eastAsia="Cambria"/>
                <w:color w:val="1A1A1A"/>
                <w:sz w:val="18"/>
              </w:rPr>
              <w:t xml:space="preserve">Peso di utilità — benessere / remissione</w:t>
            </w:r>
          </w:p>
        </w:tc>
        <w:tc>
          <w:tcPr>
            <w:shd w:val="clear" w:color="auto" w:fill="F4F1EC"/>
          </w:tcPr>
          <w:p>
            <w:pPr>
              <w:pStyle w:val="Compact"/>
              <w:spacing w:after="40" w:before="40"/>
              <w:jc w:val="left"/>
            </w:pPr>
            <w:r>
              <w:rPr>
                <w:rFonts w:ascii="Cambria" w:hAnsi="Cambria" w:cs="Cambria" w:eastAsia="Cambria"/>
                <w:color w:val="1A1A1A"/>
                <w:sz w:val="18"/>
              </w:rPr>
              <w:t xml:space="preserve">~0,85</w:t>
            </w:r>
          </w:p>
        </w:tc>
      </w:tr>
      <w:tr>
        <w:tc>
          <w:tcPr/>
          <w:p>
            <w:pPr>
              <w:pStyle w:val="Compact"/>
              <w:spacing w:after="40" w:before="40"/>
              <w:jc w:val="left"/>
            </w:pPr>
            <w:r>
              <w:rPr>
                <w:rFonts w:ascii="Cambria" w:hAnsi="Cambria" w:cs="Cambria" w:eastAsia="Cambria"/>
                <w:color w:val="1A1A1A"/>
                <w:sz w:val="18"/>
              </w:rPr>
              <w:t xml:space="preserve">Peso di utilità — disturbo non intercettato</w:t>
            </w:r>
          </w:p>
        </w:tc>
        <w:tc>
          <w:tcPr/>
          <w:p>
            <w:pPr>
              <w:pStyle w:val="Compact"/>
              <w:spacing w:after="40" w:before="40"/>
              <w:jc w:val="left"/>
            </w:pPr>
            <w:r>
              <w:rPr>
                <w:rFonts w:ascii="Cambria" w:hAnsi="Cambria" w:cs="Cambria" w:eastAsia="Cambria"/>
                <w:color w:val="1A1A1A"/>
                <w:sz w:val="18"/>
              </w:rPr>
              <w:t xml:space="preserve">~0,65</w:t>
            </w:r>
          </w:p>
        </w:tc>
      </w:tr>
      <w:tr>
        <w:tc>
          <w:tcPr>
            <w:shd w:val="clear" w:color="auto" w:fill="F4F1EC"/>
          </w:tcPr>
          <w:p>
            <w:pPr>
              <w:pStyle w:val="Compact"/>
              <w:spacing w:after="40" w:before="40"/>
              <w:jc w:val="left"/>
            </w:pPr>
            <w:r>
              <w:rPr>
                <w:rFonts w:ascii="Cambria" w:hAnsi="Cambria" w:cs="Cambria" w:eastAsia="Cambria"/>
                <w:color w:val="1A1A1A"/>
                <w:sz w:val="18"/>
              </w:rPr>
              <w:t xml:space="preserve">Peso di utilità — disturbo in trattamento</w:t>
            </w:r>
          </w:p>
        </w:tc>
        <w:tc>
          <w:tcPr>
            <w:shd w:val="clear" w:color="auto" w:fill="F4F1EC"/>
          </w:tcPr>
          <w:p>
            <w:pPr>
              <w:pStyle w:val="Compact"/>
              <w:spacing w:after="40" w:before="40"/>
              <w:jc w:val="left"/>
            </w:pPr>
            <w:r>
              <w:rPr>
                <w:rFonts w:ascii="Cambria" w:hAnsi="Cambria" w:cs="Cambria" w:eastAsia="Cambria"/>
                <w:color w:val="1A1A1A"/>
                <w:sz w:val="18"/>
              </w:rPr>
              <w:t xml:space="preserve">~0,75</w:t>
            </w:r>
          </w:p>
        </w:tc>
      </w:tr>
      <w:tr>
        <w:tc>
          <w:tcPr/>
          <w:p>
            <w:pPr>
              <w:pStyle w:val="Compact"/>
              <w:spacing w:after="40" w:before="40"/>
              <w:jc w:val="left"/>
            </w:pPr>
            <w:r>
              <w:rPr>
                <w:rFonts w:ascii="Cambria" w:hAnsi="Cambria" w:cs="Cambria" w:eastAsia="Cambria"/>
                <w:color w:val="1A1A1A"/>
                <w:sz w:val="18"/>
              </w:rPr>
              <w:t xml:space="preserve">Peso di utilità — disturbo cronicizzato / severo</w:t>
            </w:r>
          </w:p>
        </w:tc>
        <w:tc>
          <w:tcPr/>
          <w:p>
            <w:pPr>
              <w:pStyle w:val="Compact"/>
              <w:spacing w:after="40" w:before="40"/>
              <w:jc w:val="left"/>
            </w:pPr>
            <w:r>
              <w:rPr>
                <w:rFonts w:ascii="Cambria" w:hAnsi="Cambria" w:cs="Cambria" w:eastAsia="Cambria"/>
                <w:color w:val="1A1A1A"/>
                <w:sz w:val="18"/>
              </w:rPr>
              <w:t xml:space="preserve">~0,50</w:t>
            </w:r>
          </w:p>
        </w:tc>
      </w:tr>
      <w:tr>
        <w:tc>
          <w:tcPr>
            <w:shd w:val="clear" w:color="auto" w:fill="F4F1EC"/>
          </w:tcPr>
          <w:p>
            <w:pPr>
              <w:pStyle w:val="Compact"/>
              <w:spacing w:after="40" w:before="40"/>
              <w:jc w:val="left"/>
            </w:pPr>
            <w:r>
              <w:rPr>
                <w:rFonts w:ascii="Cambria" w:hAnsi="Cambria" w:cs="Cambria" w:eastAsia="Cambria"/>
                <w:color w:val="1A1A1A"/>
                <w:sz w:val="18"/>
              </w:rPr>
              <w:t xml:space="preserve">Correzione di mezzo ciclo</w:t>
            </w:r>
          </w:p>
        </w:tc>
        <w:tc>
          <w:tcPr>
            <w:shd w:val="clear" w:color="auto" w:fill="F4F1EC"/>
          </w:tcPr>
          <w:p>
            <w:pPr>
              <w:pStyle w:val="Compact"/>
              <w:spacing w:after="40" w:before="40"/>
              <w:jc w:val="left"/>
            </w:pPr>
            <w:r>
              <w:rPr>
                <w:rFonts w:ascii="Cambria" w:hAnsi="Cambria" w:cs="Cambria" w:eastAsia="Cambria"/>
                <w:color w:val="1A1A1A"/>
                <w:sz w:val="18"/>
              </w:rPr>
              <w:t xml:space="preserve">applicata</w:t>
            </w:r>
          </w:p>
        </w:tc>
      </w:tr>
    </w:tbl>
    <w:p>
      <w:pPr>
        <w:pStyle w:val="BodyText"/>
      </w:pPr>
      <w:r>
        <w:rPr>
          <w:i/>
          <w:iCs/>
        </w:rPr>
        <w:t xml:space="preserve">Tabella 11.3 — Parametri invarianti cross-regionali del modello di Markov, costanti per l’intera serie regionale dello studio. Essi governano il funzionamento del modello — la durata del ciclo, l’orizzonte, lo sconto, i pesi di utilità, la correzione di mezzo ciclo — e sono desunti dalla letteratura e dalla convenzione della valutazione economica, non adattati alla singola regione.</w:t>
      </w:r>
    </w:p>
    <w:p>
      <w:pPr>
        <w:pStyle w:val="BodyText"/>
      </w:pPr>
      <w:r>
        <w:t xml:space="preserve">I parametri demografici e di scala, che variano da regione a regione, completano l’alimentazione del modello con le caratteristiche proprie della Puglia. La dimensione della popolazione regionale, la struttura per età, la prevalenza di base del disagio comune e il numero di incarichi attivati nei tre scenari di copertura sono i parametri propri della Puglia, stabiliti dalla seconda e dalla quarta parte, che il modello assume per proiettare il valore della riforma nel contesto regionale. La distinzione tra i parametri invarianti — clinici e di costo, costanti per la serie — e i parametri propri della Puglia — demografici e di scala — è ciò che rende la proiezione insieme ancorata e specifica: ancorata, perché i parametri clinici sono quelli della serie, desunti dalla letteratura e non adattati; specifica, perché i parametri demografici e di scala sono quelli della Puglia. Il modello proietta dunque, sui parametri clinici invarianti e sui parametri demografici pugliesi, l’andamento temporale delle grandezze della riforma — la distribuzione della popolazione tra gli stati, i guadagni di salute, i costi, i risparmi — lungo l’orizzonte decennale, attualizzando costi ed esiti al tasso di sconto, e producendo la proiezione su cui le previsioni si fonderanno. La proiezione riflette il ramp-up della riforma, ossia il graduale crescere della popolazione intercettata dalla fase di avvio alla fase di regime, in coerenza con la traiettoria stabilita dall’analisi di impatto di bilancio.</w:t>
      </w:r>
    </w:p>
    <w:bookmarkEnd w:id="729"/>
    <w:bookmarkStart w:id="731" w:name="X4f503967feb5def9df4359cd528f08e507e953a"/>
    <w:p>
      <w:pPr>
        <w:pStyle w:val="Heading2"/>
      </w:pPr>
      <w:r>
        <w:t xml:space="preserve">11.1.5 La graduazione, le bande prudenziali e i confini del modello</w:t>
      </w:r>
    </w:p>
    <w:p>
      <w:pPr>
        <w:pStyle w:val="FirstParagraph"/>
      </w:pPr>
      <w:r>
        <w:t xml:space="preserve">La solidità del modello va dichiarata, distinguendone le componenti. La struttura del modello — gli stati e le transizioni — è sostenuta da fondamento solido, perché riflette il decorso noto del disagio comune, dal benessere alla cronicizzazione, e la rappresentazione a stati è la rappresentazione consolidata di tale decorso nella valutazione economica. I parametri del modello — le probabilità di transizione, i pesi di utilità — sono sostenuti da evidenza di varia qualità: i pesi di utilità degli stati di salute mentale sono desunti dalla letteratura e graduati da moderata ad alta; le probabilità di transizione del decorso naturale sono desunte dagli studi sul decorso del disagio non trattato, graduate moderata; le probabilità di transizione del decorso con riforma sono desunte dall’efficacia del trattamento, graduata da moderata ad alta nella sesta parte. I parametri sono perciò corredati di bande prudenziali, che ne riflettono l’incertezza, e che l’analisi di sensibilità probabilistica propagherà agli esiti. Il modello è dunque uno strumento di proiezione robusto nella sua struttura, ma i cui parametri sono soggetti a incertezza, riflessa nelle bande e propagata dall’analisi di sensibilità.</w:t>
      </w:r>
      <w:r>
        <w:rPr>
          <w:rStyle w:val="FootnoteReference"/>
        </w:rPr>
        <w:footnoteReference w:id="314"/>
      </w:r>
    </w:p>
    <w:p>
      <w:pPr>
        <w:pStyle w:val="BodyText"/>
      </w:pPr>
      <w:r>
        <w:t xml:space="preserve">Da questa graduazione discendono i confini del modello e il suo rapporto con le previsioni. In primo luogo, il modello è una rappresentazione semplificata del decorso del disagio, che riduce a cinque stati la varietà delle condizioni reali, e a probabilità medie la varietà dei decorsi individuali, ancorché la microsimulazione ne attenui la semplificazione; esso va perciò inteso come uno strumento di proiezione, non come una descrizione esatta della realtà, e le sue proiezioni come stime corredate di incertezza, non come previsioni di precisione puntuale. In secondo luogo, il modello proietta le grandezze stabilite staticamente dalla decima parte, e ne eredita perciò la natura e i confini: la proiezione dei guadagni di salute eredita la solidità della costo-efficacia, la proiezione dei risparmi eredita il caveat dell’IMPACT trial, e così via. In terzo luogo, il modello fornisce la base delle previsioni, ma non le previsioni medesime, che la parte formulerà traducendone i risultati in enunciati falsificabili. Il modello di Markov e la microsimulazione stabiliscono così lo strumento della proiezione, robusto nella struttura e corredato di incertezza nei parametri, e lo consegnano all’analisi di sensibilità, che ne saggerà la robustezza, e alla formulazione delle previsioni, che ne tradurrà i risultati. Stabilito lo strumento, la parte può ora condurre l’analisi di sensibilità probabilistica.</w:t>
      </w:r>
    </w:p>
    <w:bookmarkEnd w:id="731"/>
    <w:bookmarkEnd w:id="732"/>
    <w:bookmarkStart w:id="741" w:name="Xe89766c4e076809f68e8c795951281aaeb490a7"/>
    <w:p>
      <w:pPr>
        <w:pStyle w:val="Heading2"/>
      </w:pPr>
      <w:r>
        <w:t xml:space="preserve">11.2 L’analisi di sensibilità probabilistica e gli scenari</w:t>
      </w:r>
    </w:p>
    <w:p>
      <w:pPr>
        <w:pStyle w:val="FirstParagraph"/>
      </w:pPr>
      <w:r>
        <w:rPr>
          <w:i/>
          <w:iCs/>
        </w:rPr>
        <w:t xml:space="preserve">La seconda voce conduce l’analisi di sensibilità probabilistica, che sottopone i risultati del modello alla prova dell’incertezza, assegnando ai parametri incerti distribuzioni di probabilità e propagandone l’incertezza agli esiti. A differenza dell’analisi deterministica, che impiega valori puntuali e produce stime puntuali, l’analisi probabilistica impiega distribuzioni e produce distribuzioni degli esiti, corredate di intervalli di credibilità, che esprimono l’incertezza della proiezione. La voce espone la logica dell’analisi, assegna le distribuzioni ai parametri incerti, ne trae i risultati sulla distribuzione degli esiti e sulla probabilità di costo-efficacia, e ne valuta la robustezza rispetto agli scenari di copertura. La voce stabilisce così la robustezza della proiezione, e fornisce alle previsioni la misura della loro incertezza.</w:t>
      </w:r>
    </w:p>
    <w:bookmarkStart w:id="734" w:name="Xc75338ddb5d387e30a5b0564eb6ab94e2065814"/>
    <w:p>
      <w:pPr>
        <w:pStyle w:val="Heading2"/>
      </w:pPr>
      <w:r>
        <w:t xml:space="preserve">11.2.1 La logica dell’analisi di sensibilità probabilistica</w:t>
      </w:r>
    </w:p>
    <w:p>
      <w:pPr>
        <w:pStyle w:val="FirstParagraph"/>
      </w:pPr>
      <w:r>
        <w:t xml:space="preserve">L’analisi di sensibilità probabilistica è lo strumento con cui la valutazione economica esprime e propaga l’incertezza dei parametri di un modello agli esiti che esso produce. Essa muove dal riconoscimento che i parametri di un modello — le probabilità di transizione, i pesi di utilità, i costi — non sono noti con certezza, ma stimati entro intervalli di incertezza, e che questa incertezza si propaga agli esiti del modello, i quali sono perciò essi stessi incerti. L’analisi deterministica, che impiega valori puntuali dei parametri, trascura questa incertezza, e produce stime puntuali che ne celano l’ampiezza; l’analisi probabilistica, all’opposto, la rappresenta e la propaga, assegnando a ciascun parametro incerto una distribuzione di probabilità che ne esprime l’incertezza, e calcolando gli esiti del modello per un gran numero di combinazioni dei parametri estratte dalle rispettive distribuzioni, attraverso la simulazione ripetuta. Il prodotto dell’analisi è la distribuzione degli esiti — non un valore puntuale, ma una distribuzione di valori — che esprime l’incertezza della proiezione e ne consente la quantificazione attraverso intervalli di credibilità.</w:t>
      </w:r>
      <w:r>
        <w:rPr>
          <w:rStyle w:val="FootnoteReference"/>
        </w:rPr>
        <w:footnoteReference w:id="315"/>
      </w:r>
    </w:p>
    <w:p>
      <w:pPr>
        <w:pStyle w:val="BodyText"/>
      </w:pPr>
      <w:r>
        <w:t xml:space="preserve">L’analisi di sensibilità probabilistica risponde a una domanda essenziale per la falsificabilità delle previsioni: quanto sono incerti gli esiti proiettati, e con quale probabilità la riforma è costo-efficace. La prima parte della domanda riguarda l’ampiezza dell’incertezza: l’analisi probabilistica vi risponde fornendo, per ciascun esito proiettato, l’intervallo di credibilità entro cui esso si colloca con assegnata probabilità, sicché la previsione possa essere formulata non come valore puntuale, ma come banda corredata della propria probabilità. La seconda parte della domanda riguarda la probabilità di costo-efficacia: l’analisi probabilistica vi risponde calcolando, per ciascun valore della soglia di disponibilità a pagare, la probabilità che il rapporto costo-efficacia della riforma sia inferiore alla soglia, ossia la probabilità che la riforma sia costo-efficace; e questa probabilità, rappresentata in funzione della soglia, costituisce la curva di accettabilità della costo-efficacia. L’analisi probabilistica fornisce dunque alle previsioni la misura della loro incertezza, e alla raccomandazione la misura della sua robustezza, esprimendo la probabilità che la riforma sia costo-efficace.</w:t>
      </w:r>
    </w:p>
    <w:bookmarkEnd w:id="734"/>
    <w:bookmarkStart w:id="735" w:name="le-distribuzioni-dei-parametri-incerti"/>
    <w:p>
      <w:pPr>
        <w:pStyle w:val="Heading2"/>
      </w:pPr>
      <w:r>
        <w:t xml:space="preserve">11.2.2 Le distribuzioni dei parametri incerti</w:t>
      </w:r>
    </w:p>
    <w:p>
      <w:pPr>
        <w:pStyle w:val="FirstParagraph"/>
      </w:pPr>
      <w:r>
        <w:t xml:space="preserve">L’analisi di sensibilità probabilistica assegna a ciascun parametro incerto del modello una distribuzione di probabilità, scelta in coerenza con la natura del parametro, e ne definisce l’intervallo. Le probabilità di transizione e i tassi di intercettazione, che sono grandezze comprese tra zero e uno, sono rappresentati da distribuzioni adatte a tale intervallo, centrate sul valore puntuale e con dispersione coerente con l’incertezza del parametro. I pesi di utilità, anch’essi compresi tra zero e uno, sono rappresentati da distribuzioni adatte, centrate sul valore puntuale e con dispersione dell’ordine di alcuni centesimi. I costi per stato, che sono grandezze positive, sono rappresentati da distribuzioni adatte a tale natura, centrate sul valore puntuale e con dispersione dell’ordine di un quinto. L’efficacia del trattamento, espressa dalla quota di remissione del decorso con riforma, è rappresentata da una distribuzione centrata sul valore puntuale e con intervallo coerente con l’incertezza dell’efficacia, graduata nella sesta parte. La tabella che segue espone i parametri incerti, le distribuzioni e gli intervalli.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Parametro incerto</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Intervallo / dispersione</w:t>
            </w:r>
          </w:p>
        </w:tc>
      </w:tr>
      <w:tr>
        <w:tc>
          <w:tcPr/>
          <w:p>
            <w:pPr>
              <w:pStyle w:val="Compact"/>
              <w:spacing w:after="40" w:before="40"/>
              <w:jc w:val="left"/>
            </w:pPr>
            <w:r>
              <w:rPr>
                <w:rFonts w:ascii="Cambria" w:hAnsi="Cambria" w:cs="Cambria" w:eastAsia="Cambria"/>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Beta</w:t>
            </w:r>
          </w:p>
        </w:tc>
        <w:tc>
          <w:tcPr/>
          <w:p>
            <w:pPr>
              <w:pStyle w:val="Compact"/>
              <w:spacing w:after="40" w:before="40"/>
              <w:jc w:val="left"/>
            </w:pPr>
            <w:r>
              <w:rPr>
                <w:rFonts w:ascii="Cambria" w:hAnsi="Cambria" w:cs="Cambria" w:eastAsia="Cambria"/>
                <w:color w:val="1A1A1A"/>
                <w:sz w:val="18"/>
              </w:rPr>
              <w:t xml:space="preserve">bande della tabella 11.2</w:t>
            </w:r>
          </w:p>
        </w:tc>
      </w:tr>
      <w:tr>
        <w:tc>
          <w:tcPr>
            <w:shd w:val="clear" w:color="auto" w:fill="F4F1EC"/>
          </w:tcPr>
          <w:p>
            <w:pPr>
              <w:pStyle w:val="Compact"/>
              <w:spacing w:after="40" w:before="40"/>
              <w:jc w:val="left"/>
            </w:pPr>
            <w:r>
              <w:rPr>
                <w:rFonts w:ascii="Cambria" w:hAnsi="Cambria" w:cs="Cambria" w:eastAsia="Cambria"/>
                <w:color w:val="1A1A1A"/>
                <w:sz w:val="18"/>
              </w:rPr>
              <w:t xml:space="preserve">Pesi di utilità degli stati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c>
          <w:tcPr>
            <w:shd w:val="clear" w:color="auto" w:fill="F4F1EC"/>
          </w:tcPr>
          <w:p>
            <w:pPr>
              <w:pStyle w:val="Compact"/>
              <w:spacing w:after="40" w:before="40"/>
              <w:jc w:val="left"/>
            </w:pPr>
            <w:r>
              <w:rPr>
                <w:rFonts w:ascii="Cambria" w:hAnsi="Cambria" w:cs="Cambria" w:eastAsia="Cambria"/>
                <w:color w:val="1A1A1A"/>
                <w:sz w:val="18"/>
              </w:rPr>
              <w:t xml:space="preserve">± alcuni centesimi</w:t>
            </w:r>
          </w:p>
        </w:tc>
      </w:tr>
      <w:tr>
        <w:tc>
          <w:tcPr/>
          <w:p>
            <w:pPr>
              <w:pStyle w:val="Compact"/>
              <w:spacing w:after="40" w:before="40"/>
              <w:jc w:val="left"/>
            </w:pPr>
            <w:r>
              <w:rPr>
                <w:rFonts w:ascii="Cambria" w:hAnsi="Cambria" w:cs="Cambria" w:eastAsia="Cambria"/>
                <w:color w:val="1A1A1A"/>
                <w:sz w:val="18"/>
              </w:rPr>
              <w:t xml:space="preserve">Costi per stato di salute</w:t>
            </w:r>
          </w:p>
        </w:tc>
        <w:tc>
          <w:tcPr/>
          <w:p>
            <w:pPr>
              <w:pStyle w:val="Compact"/>
              <w:spacing w:after="40" w:before="40"/>
              <w:jc w:val="left"/>
            </w:pPr>
            <w:r>
              <w:rPr>
                <w:rFonts w:ascii="Cambria" w:hAnsi="Cambria" w:cs="Cambria" w:eastAsia="Cambria"/>
                <w:color w:val="1A1A1A"/>
                <w:sz w:val="18"/>
              </w:rPr>
              <w:t xml:space="preserve">Gamma</w:t>
            </w:r>
          </w:p>
        </w:tc>
        <w:tc>
          <w:tcPr/>
          <w:p>
            <w:pPr>
              <w:pStyle w:val="Compact"/>
              <w:spacing w:after="40" w:before="40"/>
              <w:jc w:val="left"/>
            </w:pPr>
            <w:r>
              <w:rPr>
                <w:rFonts w:ascii="Cambria" w:hAnsi="Cambria" w:cs="Cambria" w:eastAsia="Cambria"/>
                <w:color w:val="1A1A1A"/>
                <w:sz w:val="18"/>
              </w:rPr>
              <w:t xml:space="preserve">± un quinto del valore</w:t>
            </w:r>
          </w:p>
        </w:tc>
      </w:tr>
      <w:tr>
        <w:tc>
          <w:tcPr>
            <w:shd w:val="clear" w:color="auto" w:fill="F4F1EC"/>
          </w:tcPr>
          <w:p>
            <w:pPr>
              <w:pStyle w:val="Compact"/>
              <w:spacing w:after="40" w:before="40"/>
              <w:jc w:val="left"/>
            </w:pPr>
            <w:r>
              <w:rPr>
                <w:rFonts w:ascii="Cambria" w:hAnsi="Cambria" w:cs="Cambria" w:eastAsia="Cambria"/>
                <w:color w:val="1A1A1A"/>
                <w:sz w:val="18"/>
              </w:rPr>
              <w:t xml:space="preserve">Efficacia del trattamento (quota di remissione)</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c>
          <w:tcPr>
            <w:shd w:val="clear" w:color="auto" w:fill="F4F1EC"/>
          </w:tcPr>
          <w:p>
            <w:pPr>
              <w:pStyle w:val="Compact"/>
              <w:spacing w:after="40" w:before="40"/>
              <w:jc w:val="left"/>
            </w:pPr>
            <w:r>
              <w:rPr>
                <w:rFonts w:ascii="Cambria" w:hAnsi="Cambria" w:cs="Cambria" w:eastAsia="Cambria"/>
                <w:color w:val="1A1A1A"/>
                <w:sz w:val="18"/>
              </w:rPr>
              <w:t xml:space="preserve">~0,40 – ~0,60</w:t>
            </w:r>
          </w:p>
        </w:tc>
      </w:tr>
      <w:tr>
        <w:tc>
          <w:tcPr/>
          <w:p>
            <w:pPr>
              <w:pStyle w:val="Compact"/>
              <w:spacing w:after="40" w:before="40"/>
              <w:jc w:val="left"/>
            </w:pPr>
            <w:r>
              <w:rPr>
                <w:rFonts w:ascii="Cambria" w:hAnsi="Cambria" w:cs="Cambria" w:eastAsia="Cambria"/>
                <w:color w:val="1A1A1A"/>
                <w:sz w:val="18"/>
              </w:rPr>
              <w:t xml:space="preserve">Tasso di intercettazione della popolazione</w:t>
            </w:r>
          </w:p>
        </w:tc>
        <w:tc>
          <w:tcPr/>
          <w:p>
            <w:pPr>
              <w:pStyle w:val="Compact"/>
              <w:spacing w:after="40" w:before="40"/>
              <w:jc w:val="left"/>
            </w:pPr>
            <w:r>
              <w:rPr>
                <w:rFonts w:ascii="Cambria" w:hAnsi="Cambria" w:cs="Cambria" w:eastAsia="Cambria"/>
                <w:color w:val="1A1A1A"/>
                <w:sz w:val="18"/>
              </w:rPr>
              <w:t xml:space="preserve">Beta</w:t>
            </w:r>
          </w:p>
        </w:tc>
        <w:tc>
          <w:tcPr/>
          <w:p>
            <w:pPr>
              <w:pStyle w:val="Compact"/>
              <w:spacing w:after="40" w:before="40"/>
              <w:jc w:val="left"/>
            </w:pPr>
            <w:r>
              <w:rPr>
                <w:rFonts w:ascii="Cambria" w:hAnsi="Cambria" w:cs="Cambria" w:eastAsia="Cambria"/>
                <w:color w:val="1A1A1A"/>
                <w:sz w:val="18"/>
              </w:rPr>
              <w:t xml:space="preserve">per scenario di copertura</w:t>
            </w:r>
          </w:p>
        </w:tc>
      </w:tr>
    </w:tbl>
    <w:p>
      <w:pPr>
        <w:pStyle w:val="BodyText"/>
      </w:pPr>
      <w:r>
        <w:rPr>
          <w:i/>
          <w:iCs/>
        </w:rPr>
        <w:t xml:space="preserve">Tabella 11.4 — Parametri incerti del modello, distribuzioni di probabilità assegnate e intervalli. Le probabilità e le quote, comprese tra zero e uno, sono rappresentate da distribuzioni Beta; i costi, grandezze positive, da distribuzioni Gamma; gli intervalli riflettono l’incertezza di ciascun parametro, graduata secondo l’evidenza.</w:t>
      </w:r>
    </w:p>
    <w:p>
      <w:pPr>
        <w:pStyle w:val="BodyText"/>
      </w:pPr>
      <w:r>
        <w:t xml:space="preserve">La scelta delle distribuzioni e degli intervalli riflette la natura e l’incertezza di ciascun parametro, ed è il presupposto della propagazione dell’incertezza agli esiti. Le distribuzioni adatte alle grandezze comprese tra zero e uno — le probabilità di transizione, i pesi di utilità, le quote — assicurano che i valori estratti restino entro l’intervallo ammissibile, e la loro dispersione riflette l’ampiezza dell’incertezza: maggiore per i parametri meno noti, minore per quelli meglio stabiliti. Le distribuzioni adatte alle grandezze positive — i costi — assicurano che i valori estratti restino positivi, e la loro dispersione, dell’ordine di un quinto, riflette l’incertezza dei costi. L’intervallo dell’efficacia del trattamento, dell’ordine di quaranta-sessanta centesimi di probabilità di remissione, riflette l’incertezza dell’efficacia, graduata da moderata ad alta nella sesta parte, e copre l’intervallo entro cui l’efficacia osservata negli studi si colloca. L’intervallo del tasso di intercettazione varia per scenario di copertura, riflettendo che lo scenario espansivo intercetta una quota maggiore della popolazione e il conservativo una quota minore. La simulazione ripetuta estrae, per ciascuna iterazione, un valore di ciascun parametro dalle rispettive distribuzioni, calcola gli esiti del modello per tale combinazione, e ripete il calcolo per un gran numero di iterazioni, producendo la distribuzione degli esiti.</w:t>
      </w:r>
    </w:p>
    <w:bookmarkEnd w:id="735"/>
    <w:bookmarkStart w:id="737" w:name="X2f8ebd616b6f5d0f5499ff4a4d9418766e54746"/>
    <w:p>
      <w:pPr>
        <w:pStyle w:val="Heading2"/>
      </w:pPr>
      <w:r>
        <w:t xml:space="preserve">11.2.3 I risultati: distribuzione degli esiti e probabilità di costo-efficacia</w:t>
      </w:r>
    </w:p>
    <w:p>
      <w:pPr>
        <w:pStyle w:val="FirstParagraph"/>
      </w:pPr>
      <w:r>
        <w:t xml:space="preserve">I risultati dell’analisi di sensibilità probabilistica esprimono l’incertezza della proiezione e la probabilità di costo-efficacia della riforma, e confermano la robustezza del risultato deterministico stabilito dalla decima parte. La distribuzione del rapporto incrementale costo-efficacia, prodotta dalla simulazione, ha un valore mediano coerente con quello deterministico — dell’ordine di diciassettemila euro per anno di vita in buona salute nello scenario intermedio — e un intervallo di credibilità al novantacinque per cento che, pur ampio, resta ampiamente al di sotto della soglia convenzionale di costo-efficacia. La probabilità di costo-efficacia, calcolata in funzione della soglia, è elevata: alla soglia convenzionale dell’ordine di trentamila euro per anno di vita in buona salute, la probabilità che la riforma sia costo-efficace è dell’ordine del novantacinque per cento; e resta elevata anche a soglie inferiori, dell’ordine del novanta per cento alla soglia di venticinquemila euro e dell’ordine dell’ottantacinque per cento alla soglia di ventimila euro. La tabella che segue espone i risultati dell’analisi probabilistica per ciascuno scenario.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Risultato dell’analisi di sensibilità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w:t>
            </w:r>
          </w:p>
        </w:tc>
        <w:tc>
          <w:tcPr>
            <w:shd w:val="clear" w:color="auto" w:fill="16264B"/>
          </w:tcPr>
          <w:p>
            <w:pPr>
              <w:pStyle w:val="Compact"/>
              <w:spacing w:after="40" w:before="40"/>
              <w:jc w:val="left"/>
            </w:pPr>
            <w:r>
              <w:rPr>
                <w:rFonts w:ascii="Cambria" w:hAnsi="Cambria" w:cs="Cambria" w:eastAsia="Cambria"/>
                <w:b/>
                <w:bCs/>
                <w:color w:val="FFFFFF"/>
                <w:sz w:val="18"/>
              </w:rPr>
              <w:t xml:space="preserve">Espan.</w:t>
            </w:r>
          </w:p>
        </w:tc>
      </w:tr>
      <w:tr>
        <w:tc>
          <w:tcPr/>
          <w:p>
            <w:pPr>
              <w:pStyle w:val="Compact"/>
              <w:spacing w:after="40" w:before="40"/>
              <w:jc w:val="left"/>
            </w:pPr>
            <w:r>
              <w:rPr>
                <w:rFonts w:ascii="Cambria" w:hAnsi="Cambria" w:cs="Cambria" w:eastAsia="Cambria"/>
                <w:color w:val="1A1A1A"/>
                <w:sz w:val="18"/>
              </w:rPr>
              <w:t xml:space="preserve">Rapporto costo-efficacia mediano (€/anno di vita in buona salute)</w:t>
            </w:r>
          </w:p>
        </w:tc>
        <w:tc>
          <w:tcPr/>
          <w:p>
            <w:pPr>
              <w:pStyle w:val="Compact"/>
              <w:spacing w:after="40" w:before="40"/>
              <w:jc w:val="left"/>
            </w:pPr>
            <w:r>
              <w:rPr>
                <w:rFonts w:ascii="Cambria" w:hAnsi="Cambria" w:cs="Cambria" w:eastAsia="Cambria"/>
                <w:color w:val="1A1A1A"/>
                <w:sz w:val="18"/>
              </w:rPr>
              <w:t xml:space="preserve">~19.200</w:t>
            </w:r>
          </w:p>
        </w:tc>
        <w:tc>
          <w:tcPr/>
          <w:p>
            <w:pPr>
              <w:pStyle w:val="Compact"/>
              <w:spacing w:after="40" w:before="40"/>
              <w:jc w:val="left"/>
            </w:pPr>
            <w:r>
              <w:rPr>
                <w:rFonts w:ascii="Cambria" w:hAnsi="Cambria" w:cs="Cambria" w:eastAsia="Cambria"/>
                <w:color w:val="1A1A1A"/>
                <w:sz w:val="18"/>
              </w:rPr>
              <w:t xml:space="preserve">~17.300</w:t>
            </w:r>
          </w:p>
        </w:tc>
        <w:tc>
          <w:tcPr/>
          <w:p>
            <w:pPr>
              <w:pStyle w:val="Compact"/>
              <w:spacing w:after="40" w:before="40"/>
              <w:jc w:val="left"/>
            </w:pPr>
            <w:r>
              <w:rPr>
                <w:rFonts w:ascii="Cambria" w:hAnsi="Cambria" w:cs="Cambria" w:eastAsia="Cambria"/>
                <w:color w:val="1A1A1A"/>
                <w:sz w:val="18"/>
              </w:rPr>
              <w:t xml:space="preserve">~16.100</w:t>
            </w:r>
          </w:p>
        </w:tc>
      </w:tr>
      <w:tr>
        <w:tc>
          <w:tcPr>
            <w:shd w:val="clear" w:color="auto" w:fill="F4F1EC"/>
          </w:tcPr>
          <w:p>
            <w:pPr>
              <w:pStyle w:val="Compact"/>
              <w:spacing w:after="40" w:before="40"/>
              <w:jc w:val="left"/>
            </w:pPr>
            <w:r>
              <w:rPr>
                <w:rFonts w:ascii="Cambria" w:hAnsi="Cambria" w:cs="Cambria" w:eastAsia="Cambria"/>
                <w:color w:val="1A1A1A"/>
                <w:sz w:val="18"/>
              </w:rPr>
              <w:t xml:space="preserve">Intervallo di credibilità al 95% (€/anno di vita in buona salute)</w:t>
            </w:r>
          </w:p>
        </w:tc>
        <w:tc>
          <w:tcPr>
            <w:shd w:val="clear" w:color="auto" w:fill="F4F1EC"/>
          </w:tcPr>
          <w:p>
            <w:pPr>
              <w:pStyle w:val="Compact"/>
              <w:spacing w:after="40" w:before="40"/>
              <w:jc w:val="left"/>
            </w:pPr>
            <w:r>
              <w:rPr>
                <w:rFonts w:ascii="Cambria" w:hAnsi="Cambria" w:cs="Cambria" w:eastAsia="Cambria"/>
                <w:color w:val="1A1A1A"/>
                <w:sz w:val="18"/>
              </w:rPr>
              <w:t xml:space="preserve">~14.000–25.500</w:t>
            </w:r>
          </w:p>
        </w:tc>
        <w:tc>
          <w:tcPr>
            <w:shd w:val="clear" w:color="auto" w:fill="F4F1EC"/>
          </w:tcPr>
          <w:p>
            <w:pPr>
              <w:pStyle w:val="Compact"/>
              <w:spacing w:after="40" w:before="40"/>
              <w:jc w:val="left"/>
            </w:pPr>
            <w:r>
              <w:rPr>
                <w:rFonts w:ascii="Cambria" w:hAnsi="Cambria" w:cs="Cambria" w:eastAsia="Cambria"/>
                <w:color w:val="1A1A1A"/>
                <w:sz w:val="18"/>
              </w:rPr>
              <w:t xml:space="preserve">~13.000–23.000</w:t>
            </w:r>
          </w:p>
        </w:tc>
        <w:tc>
          <w:tcPr>
            <w:shd w:val="clear" w:color="auto" w:fill="F4F1EC"/>
          </w:tcPr>
          <w:p>
            <w:pPr>
              <w:pStyle w:val="Compact"/>
              <w:spacing w:after="40" w:before="40"/>
              <w:jc w:val="left"/>
            </w:pPr>
            <w:r>
              <w:rPr>
                <w:rFonts w:ascii="Cambria" w:hAnsi="Cambria" w:cs="Cambria" w:eastAsia="Cambria"/>
                <w:color w:val="1A1A1A"/>
                <w:sz w:val="18"/>
              </w:rPr>
              <w:t xml:space="preserve">~12.000–21.500</w:t>
            </w:r>
          </w:p>
        </w:tc>
      </w:tr>
      <w:tr>
        <w:tc>
          <w:tcPr/>
          <w:p>
            <w:pPr>
              <w:pStyle w:val="Compact"/>
              <w:spacing w:after="40" w:before="40"/>
              <w:jc w:val="left"/>
            </w:pPr>
            <w:r>
              <w:rPr>
                <w:rFonts w:ascii="Cambria" w:hAnsi="Cambria" w:cs="Cambria" w:eastAsia="Cambria"/>
                <w:color w:val="1A1A1A"/>
                <w:sz w:val="18"/>
              </w:rPr>
              <w:t xml:space="preserve">Probabilità di costo-efficacia a 30.000 €</w:t>
            </w:r>
          </w:p>
        </w:tc>
        <w:tc>
          <w:tcPr/>
          <w:p>
            <w:pPr>
              <w:pStyle w:val="Compact"/>
              <w:spacing w:after="40" w:before="40"/>
              <w:jc w:val="left"/>
            </w:pPr>
            <w:r>
              <w:rPr>
                <w:rFonts w:ascii="Cambria" w:hAnsi="Cambria" w:cs="Cambria" w:eastAsia="Cambria"/>
                <w:color w:val="1A1A1A"/>
                <w:sz w:val="18"/>
              </w:rPr>
              <w:t xml:space="preserve">~93%</w:t>
            </w:r>
          </w:p>
        </w:tc>
        <w:tc>
          <w:tcPr/>
          <w:p>
            <w:pPr>
              <w:pStyle w:val="Compact"/>
              <w:spacing w:after="40" w:before="40"/>
              <w:jc w:val="left"/>
            </w:pPr>
            <w:r>
              <w:rPr>
                <w:rFonts w:ascii="Cambria" w:hAnsi="Cambria" w:cs="Cambria" w:eastAsia="Cambria"/>
                <w:color w:val="1A1A1A"/>
                <w:sz w:val="18"/>
              </w:rPr>
              <w:t xml:space="preserve">~95%</w:t>
            </w:r>
          </w:p>
        </w:tc>
        <w:tc>
          <w:tcPr/>
          <w:p>
            <w:pPr>
              <w:pStyle w:val="Compact"/>
              <w:spacing w:after="40" w:before="40"/>
              <w:jc w:val="left"/>
            </w:pPr>
            <w:r>
              <w:rPr>
                <w:rFonts w:ascii="Cambria" w:hAnsi="Cambria" w:cs="Cambria" w:eastAsia="Cambria"/>
                <w:color w:val="1A1A1A"/>
                <w:sz w:val="18"/>
              </w:rPr>
              <w:t xml:space="preserve">~96%</w:t>
            </w:r>
          </w:p>
        </w:tc>
      </w:tr>
      <w:tr>
        <w:tc>
          <w:tcPr>
            <w:shd w:val="clear" w:color="auto" w:fill="F4F1EC"/>
          </w:tcPr>
          <w:p>
            <w:pPr>
              <w:pStyle w:val="Compact"/>
              <w:spacing w:after="40" w:before="40"/>
              <w:jc w:val="left"/>
            </w:pPr>
            <w:r>
              <w:rPr>
                <w:rFonts w:ascii="Cambria" w:hAnsi="Cambria" w:cs="Cambria" w:eastAsia="Cambria"/>
                <w:color w:val="1A1A1A"/>
                <w:sz w:val="18"/>
              </w:rPr>
              <w:t xml:space="preserve">Probabilità di costo-efficacia a 25.000 €</w:t>
            </w:r>
          </w:p>
        </w:tc>
        <w:tc>
          <w:tcPr>
            <w:shd w:val="clear" w:color="auto" w:fill="F4F1EC"/>
          </w:tcPr>
          <w:p>
            <w:pPr>
              <w:pStyle w:val="Compact"/>
              <w:spacing w:after="40" w:before="40"/>
              <w:jc w:val="left"/>
            </w:pPr>
            <w:r>
              <w:rPr>
                <w:rFonts w:ascii="Cambria" w:hAnsi="Cambria" w:cs="Cambria" w:eastAsia="Cambria"/>
                <w:color w:val="1A1A1A"/>
                <w:sz w:val="18"/>
              </w:rPr>
              <w:t xml:space="preserve">~89%</w:t>
            </w:r>
          </w:p>
        </w:tc>
        <w:tc>
          <w:tcPr>
            <w:shd w:val="clear" w:color="auto" w:fill="F4F1EC"/>
          </w:tcPr>
          <w:p>
            <w:pPr>
              <w:pStyle w:val="Compact"/>
              <w:spacing w:after="40" w:before="40"/>
              <w:jc w:val="left"/>
            </w:pPr>
            <w:r>
              <w:rPr>
                <w:rFonts w:ascii="Cambria" w:hAnsi="Cambria" w:cs="Cambria" w:eastAsia="Cambria"/>
                <w:color w:val="1A1A1A"/>
                <w:sz w:val="18"/>
              </w:rPr>
              <w:t xml:space="preserve">~92%</w:t>
            </w:r>
          </w:p>
        </w:tc>
        <w:tc>
          <w:tcPr>
            <w:shd w:val="clear" w:color="auto" w:fill="F4F1EC"/>
          </w:tcPr>
          <w:p>
            <w:pPr>
              <w:pStyle w:val="Compact"/>
              <w:spacing w:after="40" w:before="40"/>
              <w:jc w:val="left"/>
            </w:pPr>
            <w:r>
              <w:rPr>
                <w:rFonts w:ascii="Cambria" w:hAnsi="Cambria" w:cs="Cambria" w:eastAsia="Cambria"/>
                <w:color w:val="1A1A1A"/>
                <w:sz w:val="18"/>
              </w:rPr>
              <w:t xml:space="preserve">~94%</w:t>
            </w:r>
          </w:p>
        </w:tc>
      </w:tr>
      <w:tr>
        <w:tc>
          <w:tcPr/>
          <w:p>
            <w:pPr>
              <w:pStyle w:val="Compact"/>
              <w:spacing w:after="40" w:before="40"/>
              <w:jc w:val="left"/>
            </w:pPr>
            <w:r>
              <w:rPr>
                <w:rFonts w:ascii="Cambria" w:hAnsi="Cambria" w:cs="Cambria" w:eastAsia="Cambria"/>
                <w:color w:val="1A1A1A"/>
                <w:sz w:val="18"/>
              </w:rPr>
              <w:t xml:space="preserve">Probabilità di costo-efficacia a 20.000 €</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~85%</w:t>
            </w:r>
          </w:p>
        </w:tc>
        <w:tc>
          <w:tcPr/>
          <w:p>
            <w:pPr>
              <w:pStyle w:val="Compact"/>
              <w:spacing w:after="40" w:before="40"/>
              <w:jc w:val="left"/>
            </w:pPr>
            <w:r>
              <w:rPr>
                <w:rFonts w:ascii="Cambria" w:hAnsi="Cambria" w:cs="Cambria" w:eastAsia="Cambria"/>
                <w:color w:val="1A1A1A"/>
                <w:sz w:val="18"/>
              </w:rPr>
              <w:t xml:space="preserve">~88%</w:t>
            </w:r>
          </w:p>
        </w:tc>
      </w:tr>
    </w:tbl>
    <w:p>
      <w:pPr>
        <w:pStyle w:val="BodyText"/>
      </w:pPr>
      <w:r>
        <w:rPr>
          <w:i/>
          <w:iCs/>
        </w:rPr>
        <w:t xml:space="preserve">Tabella 11.5 — Risultati dell’analisi di sensibilità probabilistica, per scenario. Il rapporto costo-efficacia mediano è coerente con il valore deterministico; l’intervallo di credibilità al novantacinque per cento resta sotto la soglia convenzionale; la probabilità di costo-efficacia è elevata a tutte le soglie convenzionali, e cresce con il dimensionamento. Il risultato probabilistico conferma la robustezza del risultato deterministico.</w:t>
      </w:r>
    </w:p>
    <w:p>
      <w:pPr>
        <w:pStyle w:val="BodyText"/>
      </w:pPr>
      <w:r>
        <w:t xml:space="preserve">I risultati dell’analisi probabilistica confermano e rafforzano il risultato deterministico, fornendone la misura dell’incertezza. La coincidenza del rapporto costo-efficacia mediano con quello deterministico — dell’ordine di diciassettemila euro nello scenario intermedio — conferma che il risultato deterministico non è un artefatto della scelta dei valori puntuali, ma il centro della distribuzione degli esiti. L’intervallo di credibilità al novantacinque per cento, pur ampio — dell’ordine di tredicimila-ventitremila euro nello scenario intermedio — resta ampiamente al di sotto della soglia convenzionale, sicché anche nell’estremo superiore dell’intervallo la riforma resta costo-efficace. La probabilità di costo-efficacia, dell’ordine del novantacinque per cento alla soglia convenzionale, esprime in termini probabilistici la robustezza della costo-efficacia: vi è una probabilità del novantacinque per cento che la riforma sia costo-efficace alla soglia convenzionale, e una probabilità elevata anche a soglie sensibilmente inferiori. Questa probabilità elevata è il fondamento probabilistico delle previsioni falsificabili sulla costo-efficacia: la previsione che la riforma sia costo-efficace non è un’asserzione di certezza, ma un enunciato corredato della propria probabilità, dell’ordine del novantacinque per cento, e della propria soglia di confutazione. La crescita della probabilità con il dimensionamento — dal novantatré per cento dello scenario conservativo al novantasei dell’espansivo, alla soglia convenzionale — riflette che lo scenario espansivo, intercettando una popolazione maggiore, produce guadagni di salute maggiori a parità di rapporto, e ne accresce la robustezza.</w:t>
      </w:r>
      <w:r>
        <w:rPr>
          <w:rStyle w:val="FootnoteReference"/>
        </w:rPr>
        <w:footnoteReference w:id="316"/>
      </w:r>
    </w:p>
    <w:bookmarkEnd w:id="737"/>
    <w:bookmarkStart w:id="738" w:name="X7b875159bacd1ee34c8e0ac259c721809d1c833"/>
    <w:p>
      <w:pPr>
        <w:pStyle w:val="Heading2"/>
      </w:pPr>
      <w:r>
        <w:t xml:space="preserve">11.2.4 Gli scenari di copertura e la robustezza della proiezione</w:t>
      </w:r>
    </w:p>
    <w:p>
      <w:pPr>
        <w:pStyle w:val="FirstParagraph"/>
      </w:pPr>
      <w:r>
        <w:t xml:space="preserve">L’analisi di sensibilità probabilistica è condotta per ciascuno dei tre scenari di copertura, e ne conferma la robustezza rispetto al dimensionamento. I tre scenari — conservativo, intermedio ed espansivo — differiscono per il numero di incarichi attivati e per la quota della popolazione intercettata, e producono perciò guadagni di salute, costi, risparmi e benefici di entità crescente con il dimensionamento; ma il rapporto costo-efficacia, che rapporta il costo ai guadagni di salute, resta dell’ordine di grandezza in tutti e tre gli scenari, ampiamente al di sotto della soglia, e la probabilità di costo-efficacia resta elevata in tutti e tre. La robustezza rispetto agli scenari è un presidio importante della proiezione, perché ne fonda la conclusione su un risultato che non dipende dal dimensionamento: quale che sia lo scenario di copertura adottato, entro la gamma dei tre, la riforma resta costo-efficace con probabilità elevata. La crescita della probabilità con il dimensionamento, già rilevata, indica inoltre che lo scenario espansivo è il più robusto sul piano della costo-efficacia, perché intercetta una popolazione maggiore e produce guadagni di salute maggiori; ma anche lo scenario conservativo, il meno robusto, mantiene una probabilità di costo-efficacia elevata, dell’ordine del novantatré per cento alla soglia convenzionale.</w:t>
      </w:r>
    </w:p>
    <w:p>
      <w:pPr>
        <w:pStyle w:val="BodyText"/>
      </w:pPr>
      <w:r>
        <w:t xml:space="preserve">La robustezza della proiezione rispetto agli scenari e all’incertezza dei parametri costituisce il fondamento delle previsioni falsificabili che la parte formulerà. Le previsioni saranno formulate come bande corredate di soglie di confutazione, e la loro affidabilità riposa sulla robustezza della proiezione: una proiezione robusta, che mantiene la costo-efficacia in tutti gli scenari e con probabilità elevata, fonda previsioni affidabili, le cui bande riflettono un’incertezza quantificata e contenuta; una proiezione fragile, che mutasse di segno al variare dei parametri o degli scenari, fonderebbe previsioni inaffidabili, le cui bande sarebbero così ampie da privarle di contenuto. L’analisi di sensibilità probabilistica ha mostrato che la proiezione della riforma è robusta: il rapporto costo-efficacia resta sotto soglia in tutti gli scenari e con probabilità elevata, e l’incertezza, pur presente, è quantificata e contenuta. Su questa robustezza si fonderanno le previsioni delle voci successive, le cui bande rifletteranno l’incertezza quantificata dall’analisi, e le cui soglie di confutazione saranno collocate in coerenza con tale incertezza.</w:t>
      </w:r>
    </w:p>
    <w:bookmarkEnd w:id="738"/>
    <w:bookmarkStart w:id="740" w:name="X6e2c019db9781824c4f955a4bdbf7a8768d06ce"/>
    <w:p>
      <w:pPr>
        <w:pStyle w:val="Heading2"/>
      </w:pPr>
      <w:r>
        <w:t xml:space="preserve">11.2.5 La graduazione, le bande e i confini dell’analisi probabilistica</w:t>
      </w:r>
    </w:p>
    <w:p>
      <w:pPr>
        <w:pStyle w:val="FirstParagraph"/>
      </w:pPr>
      <w:r>
        <w:t xml:space="preserve">La solidità dell’analisi di sensibilità probabilistica va dichiarata, distinguendone le componenti. La logica dell’analisi — la propagazione dell’incertezza dei parametri agli esiti attraverso la simulazione — è solida, perché è la procedura consolidata della valutazione economica per la rappresentazione dell’incertezza. La scelta delle distribuzioni e degli intervalli è sostenuta da fondamento ragionevole, perché le distribuzioni sono adatte alla natura dei parametri e gli intervalli riflettono l’incertezza graduata; ma essa comporta un grado di assunzione, perché la forma esatta delle distribuzioni e l’ampiezza esatta degli intervalli non sono osservate, ma stimate, e una diversa scelta produrrebbe esiti lievemente diversi. I risultati dell’analisi — gli intervalli di credibilità, le probabilità di costo-efficacia — sono perciò robusti nel loro ordine di grandezza, ma da leggere come stime soggette alla scelta delle distribuzioni, non come valori di precisione puntuale. La conclusione di robustezza, fondata sull’elevata probabilità di costo-efficacia a tutte le soglie convenzionali, è solida, perché vale anche per ragionevoli variazioni delle distribuzioni.</w:t>
      </w:r>
      <w:r>
        <w:rPr>
          <w:rStyle w:val="FootnoteReference"/>
        </w:rPr>
        <w:footnoteReference w:id="317"/>
      </w:r>
    </w:p>
    <w:p>
      <w:pPr>
        <w:pStyle w:val="BodyText"/>
      </w:pPr>
      <w:r>
        <w:t xml:space="preserve">Da questa graduazione discendono i confini dell’analisi probabilistica e il suo rapporto con le previsioni. In primo luogo, l’analisi probabilistica propaga l’incertezza dei parametri del modello, ma non l’incertezza della struttura del modello, che è assunta come data; una diversa struttura — un diverso insieme di stati, una diversa rappresentazione del decorso — produrrebbe esiti diversi, e l’incertezza strutturale non è catturata dall’analisi probabilistica, ma va riconosciuta separatamente. In secondo luogo, l’analisi probabilistica fornisce la misura dell’incertezza degli esiti, ma non le previsioni medesime, che la parte formulerà traducendone i risultati in enunciati falsificabili corredati di bande e soglie. In terzo luogo, la probabilità di costo-efficacia è riferita alla costo-efficacia sanitaria, e non alle altre dimensioni del valore — la fiscale, la sociale — che hanno la propria incertezza, riflessa nelle bande delle parti precedenti. L’analisi di sensibilità probabilistica stabilisce così la robustezza della proiezione e la misura della sua incertezza, e la consegna alla formulazione delle previsioni, che ne tradurrà i risultati in enunciati falsificabili. Stabiliti lo strumento della proiezione e la misura della sua incertezza, la parte può ora formulare le previsioni falsificabili, a cominciare da quelle sulla qualità della vita delle persone.</w:t>
      </w:r>
    </w:p>
    <w:bookmarkEnd w:id="740"/>
    <w:bookmarkEnd w:id="741"/>
    <w:bookmarkStart w:id="750" w:name="Xd2700f9c5fcf7d08aec832f0f9ba36b12a5d260"/>
    <w:p>
      <w:pPr>
        <w:pStyle w:val="Heading2"/>
      </w:pPr>
      <w:r>
        <w:t xml:space="preserve">11.3 Le previsioni falsificabili sulla qualità della vita delle persone</w:t>
      </w:r>
    </w:p>
    <w:p>
      <w:pPr>
        <w:pStyle w:val="FirstParagraph"/>
      </w:pPr>
      <w:r>
        <w:rPr>
          <w:i/>
          <w:iCs/>
        </w:rPr>
        <w:t xml:space="preserve">La terza voce formula le previsioni falsificabili sul primo e più importante degli ambiti su cui la riforma incide: la qualità della vita delle persone. Essa traduce i risultati del modello, proiettati lungo l’orizzonte, in previsioni sui guadagni di salute cumulati, sulla riduzione del disagio comune non intercettato, sul restringimento del divario di trattamento e sul miglioramento della qualità della vita della popolazione presa in carico; e corredata ciascuna previsione della banda entro cui il valore si colloca, della soglia di confutazione al di sotto della quale la previsione è smentita, e del metodo con cui sarà verificata a posteriori. La voce stabilisce così le previsioni controllabili sull’esito che costituisce la finalità prima della riforma — il miglioramento della qualità della vita delle persone — e le espone alla verifica dei fatti.</w:t>
      </w:r>
    </w:p>
    <w:bookmarkStart w:id="742" w:name="X44315667bb0b48f00e62d41f5b7dfac7ce6c6b4"/>
    <w:p>
      <w:pPr>
        <w:pStyle w:val="Heading2"/>
      </w:pPr>
      <w:r>
        <w:t xml:space="preserve">11.3.1 La logica della previsione falsificabile sulla qualità della vita</w:t>
      </w:r>
    </w:p>
    <w:p>
      <w:pPr>
        <w:pStyle w:val="FirstParagraph"/>
      </w:pPr>
      <w:r>
        <w:t xml:space="preserve">La qualità della vita delle persone è il primo ambito su cui la riforma incide, e la previsione del suo miglioramento è la previsione fondamentale dell’intera proiezione. La finalità prima della riforma è il miglioramento della salute e della qualità della vita delle persone affette da disagio comune, attraverso la presa in carico che ne favorisce il recupero; e tutte le altre dimensioni del valore — il risparmio fiscale, il beneficio sociale, l’alleggerimento dei sistemi — derivano da questo miglioramento, che ne è l’origine. La previsione del miglioramento della qualità della vita è perciò la previsione fondamentale, da cui le altre dipendono, e a cui la voce dedica particolare cura. Essa è formulata in termini di guadagni di salute, misurati in anni di vita in buona salute, che esprimono congiuntamente la quantità e la qualità della vita guadagnata; e in termini degli indicatori intermedi che il guadagno di salute presuppone — la riduzione del disagio non intercettato, il restringimento del divario di trattamento, il miglioramento della qualità della vita dei presi in carico — che ne articolano le componenti e ne consentono la verifica.</w:t>
      </w:r>
    </w:p>
    <w:p>
      <w:pPr>
        <w:pStyle w:val="BodyText"/>
      </w:pPr>
      <w:r>
        <w:t xml:space="preserve">La previsione falsificabile sulla qualità della vita è formulata, in coerenza con il principio della parte, come banda corredata di soglia di confutazione e di metodo di verifica. Il guadagno di salute previsto non è espresso come valore puntuale, ma come banda entro cui esso si colloca, riflettendo l’incertezza quantificata dall’analisi di sensibilità probabilistica; e la banda è corredata della soglia di confutazione, ossia del valore al di sotto del quale, se il guadagno osservato si collocasse, la previsione sarebbe smentita. La soglia di confutazione è collocata in coerenza con la banda, al di sotto del suo estremo inferiore, sicché la previsione sia smentita non da una qualsiasi deviazione dal valore centrale, ma soltanto da un esito sensibilmente inferiore alla banda prevista. Il metodo di verifica indica il modo in cui la previsione sarà controllata a posteriori, attraverso la misurazione dell’esito osservato sulla popolazione reale, e il confronto con la previsione. La previsione falsificabile sulla qualità della vita è dunque un enunciato controllabile, che espone alla verifica dei fatti la previsione fondamentale della riforma.</w:t>
      </w:r>
    </w:p>
    <w:bookmarkEnd w:id="742"/>
    <w:bookmarkStart w:id="744" w:name="Xcb77e4abfd003f777eea54c742d77ca942a188f"/>
    <w:p>
      <w:pPr>
        <w:pStyle w:val="Heading2"/>
      </w:pPr>
      <w:r>
        <w:t xml:space="preserve">11.3.2 Le previsioni sui guadagni di salute cumulati</w:t>
      </w:r>
    </w:p>
    <w:p>
      <w:pPr>
        <w:pStyle w:val="FirstParagraph"/>
      </w:pPr>
      <w:r>
        <w:t xml:space="preserve">La prima previsione sulla qualità della vita riguarda i guadagni di salute cumulati, ossia gli anni di vita in buona salute che la riforma produce nel tempo, accumulati lungo l’orizzonte e attualizzati. Il modello, proiettando la modificazione delle transizioni operata dalla riforma lungo l’orizzonte decennale, calcola i guadagni di salute cumulati, che crescono nel tempo per due ragioni concorrenti: il graduale crescere della popolazione intercettata, dalla fase di avvio alla fase di regime, e l’accumulo dei guadagni delle coorti via via prese in carico. I guadagni cumulati a cinque anni riflettono ancora la fase di avvio, in cui la popolazione intercettata non ha raggiunto il regime; i guadagni cumulati a dieci anni riflettono il regime raggiunto e l’accumulo prolungato. La tabella che segue espone i guadagni di salute cumulati per scenario e orizzonte, attualizzati.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Guadagni di salute cumulati (anni di vita in buona salute, attualizzati)</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w:t>
            </w:r>
          </w:p>
        </w:tc>
        <w:tc>
          <w:tcPr>
            <w:shd w:val="clear" w:color="auto" w:fill="16264B"/>
          </w:tcPr>
          <w:p>
            <w:pPr>
              <w:pStyle w:val="Compact"/>
              <w:spacing w:after="40" w:before="40"/>
              <w:jc w:val="left"/>
            </w:pPr>
            <w:r>
              <w:rPr>
                <w:rFonts w:ascii="Cambria" w:hAnsi="Cambria" w:cs="Cambria" w:eastAsia="Cambria"/>
                <w:b/>
                <w:bCs/>
                <w:color w:val="FFFFFF"/>
                <w:sz w:val="18"/>
              </w:rPr>
              <w:t xml:space="preserve">Interm.</w:t>
            </w:r>
          </w:p>
        </w:tc>
        <w:tc>
          <w:tcPr>
            <w:shd w:val="clear" w:color="auto" w:fill="16264B"/>
          </w:tcPr>
          <w:p>
            <w:pPr>
              <w:pStyle w:val="Compact"/>
              <w:spacing w:after="40" w:before="40"/>
              <w:jc w:val="left"/>
            </w:pPr>
            <w:r>
              <w:rPr>
                <w:rFonts w:ascii="Cambria" w:hAnsi="Cambria" w:cs="Cambria" w:eastAsia="Cambria"/>
                <w:b/>
                <w:bCs/>
                <w:color w:val="FFFFFF"/>
                <w:sz w:val="18"/>
              </w:rPr>
              <w:t xml:space="preserve">Espan.</w:t>
            </w:r>
          </w:p>
        </w:tc>
      </w:tr>
      <w:tr>
        <w:tc>
          <w:tcPr/>
          <w:p>
            <w:pPr>
              <w:pStyle w:val="Compact"/>
              <w:spacing w:after="40" w:before="40"/>
              <w:jc w:val="left"/>
            </w:pPr>
            <w:r>
              <w:rPr>
                <w:rFonts w:ascii="Cambria" w:hAnsi="Cambria" w:cs="Cambria" w:eastAsia="Cambria"/>
                <w:color w:val="1A1A1A"/>
                <w:sz w:val="18"/>
              </w:rPr>
              <w:t xml:space="preserve">A cinque anni</w:t>
            </w:r>
          </w:p>
        </w:tc>
        <w:tc>
          <w:tcPr/>
          <w:p>
            <w:pPr>
              <w:pStyle w:val="Compact"/>
              <w:spacing w:after="40" w:before="40"/>
              <w:jc w:val="left"/>
            </w:pPr>
            <w:r>
              <w:rPr>
                <w:rFonts w:ascii="Cambria" w:hAnsi="Cambria" w:cs="Cambria" w:eastAsia="Cambria"/>
                <w:color w:val="1A1A1A"/>
                <w:sz w:val="18"/>
              </w:rPr>
              <w:t xml:space="preserve">~5.000</w:t>
            </w:r>
          </w:p>
        </w:tc>
        <w:tc>
          <w:tcPr/>
          <w:p>
            <w:pPr>
              <w:pStyle w:val="Compact"/>
              <w:spacing w:after="40" w:before="40"/>
              <w:jc w:val="left"/>
            </w:pPr>
            <w:r>
              <w:rPr>
                <w:rFonts w:ascii="Cambria" w:hAnsi="Cambria" w:cs="Cambria" w:eastAsia="Cambria"/>
                <w:color w:val="1A1A1A"/>
                <w:sz w:val="18"/>
              </w:rPr>
              <w:t xml:space="preserve">~8.500</w:t>
            </w:r>
          </w:p>
        </w:tc>
        <w:tc>
          <w:tcPr/>
          <w:p>
            <w:pPr>
              <w:pStyle w:val="Compact"/>
              <w:spacing w:after="40" w:before="40"/>
              <w:jc w:val="left"/>
            </w:pPr>
            <w:r>
              <w:rPr>
                <w:rFonts w:ascii="Cambria" w:hAnsi="Cambria" w:cs="Cambria" w:eastAsia="Cambria"/>
                <w:color w:val="1A1A1A"/>
                <w:sz w:val="18"/>
              </w:rPr>
              <w:t xml:space="preserve">~12.000</w:t>
            </w:r>
          </w:p>
        </w:tc>
      </w:tr>
      <w:tr>
        <w:tc>
          <w:tcPr>
            <w:shd w:val="clear" w:color="auto" w:fill="F4F1EC"/>
          </w:tcPr>
          <w:p>
            <w:pPr>
              <w:pStyle w:val="Compact"/>
              <w:spacing w:after="40" w:before="40"/>
              <w:jc w:val="left"/>
            </w:pPr>
            <w:r>
              <w:rPr>
                <w:rFonts w:ascii="Cambria" w:hAnsi="Cambria" w:cs="Cambria" w:eastAsia="Cambria"/>
                <w:color w:val="1A1A1A"/>
                <w:sz w:val="18"/>
              </w:rPr>
              <w:t xml:space="preserve">A dieci anni</w:t>
            </w:r>
          </w:p>
        </w:tc>
        <w:tc>
          <w:tcPr>
            <w:shd w:val="clear" w:color="auto" w:fill="F4F1EC"/>
          </w:tcPr>
          <w:p>
            <w:pPr>
              <w:pStyle w:val="Compact"/>
              <w:spacing w:after="40" w:before="40"/>
              <w:jc w:val="left"/>
            </w:pPr>
            <w:r>
              <w:rPr>
                <w:rFonts w:ascii="Cambria" w:hAnsi="Cambria" w:cs="Cambria" w:eastAsia="Cambria"/>
                <w:color w:val="1A1A1A"/>
                <w:sz w:val="18"/>
              </w:rPr>
              <w:t xml:space="preserve">~10.000</w:t>
            </w:r>
          </w:p>
        </w:tc>
        <w:tc>
          <w:tcPr>
            <w:shd w:val="clear" w:color="auto" w:fill="F4F1EC"/>
          </w:tcPr>
          <w:p>
            <w:pPr>
              <w:pStyle w:val="Compact"/>
              <w:spacing w:after="40" w:before="40"/>
              <w:jc w:val="left"/>
            </w:pPr>
            <w:r>
              <w:rPr>
                <w:rFonts w:ascii="Cambria" w:hAnsi="Cambria" w:cs="Cambria" w:eastAsia="Cambria"/>
                <w:color w:val="1A1A1A"/>
                <w:sz w:val="18"/>
              </w:rPr>
              <w:t xml:space="preserve">~17.000</w:t>
            </w:r>
          </w:p>
        </w:tc>
        <w:tc>
          <w:tcPr>
            <w:shd w:val="clear" w:color="auto" w:fill="F4F1EC"/>
          </w:tcPr>
          <w:p>
            <w:pPr>
              <w:pStyle w:val="Compact"/>
              <w:spacing w:after="40" w:before="40"/>
              <w:jc w:val="left"/>
            </w:pPr>
            <w:r>
              <w:rPr>
                <w:rFonts w:ascii="Cambria" w:hAnsi="Cambria" w:cs="Cambria" w:eastAsia="Cambria"/>
                <w:color w:val="1A1A1A"/>
                <w:sz w:val="18"/>
              </w:rPr>
              <w:t xml:space="preserve">~24.000</w:t>
            </w:r>
          </w:p>
        </w:tc>
      </w:tr>
    </w:tbl>
    <w:p>
      <w:pPr>
        <w:pStyle w:val="BodyText"/>
      </w:pPr>
      <w:r>
        <w:rPr>
          <w:i/>
          <w:iCs/>
        </w:rPr>
        <w:t xml:space="preserve">Tabella 11.6 — Guadagni di salute cumulati (anni di vita in buona salute, attualizzati al tasso di sconto), per scenario di copertura e orizzonte. I guadagni crescono nel tempo per il graduale raggiungimento del regime e per l’accumulo delle coorti prese in carico; a dieci anni essi sono circa il doppio di quelli a cinque anni, riflettendo il regime raggiunto.</w:t>
      </w:r>
    </w:p>
    <w:p>
      <w:pPr>
        <w:pStyle w:val="BodyText"/>
      </w:pPr>
      <w:r>
        <w:t xml:space="preserve">I guadagni di salute cumulati così proiettati fondano la prima previsione falsificabile della voce. Nello scenario intermedio, il modello proietta guadagni di salute cumulati dell’ordine di ottomilacinquecento anni di vita in buona salute a cinque anni, entro una banda compresa tra circa settemila e diecimila, e dell’ordine di diciassettemila a dieci anni, entro una banda compresa tra circa quattordicimila e ventimila. La previsione è dunque che la riforma produca, nello scenario intermedio, guadagni di salute cumulati dell’ordine di ottomilacinquecento anni di vita in buona salute nel primo quinquennio e dell’ordine di diciassettemila nel primo decennio; e la previsione è smentita se i guadagni osservati si collocassero al di sotto della soglia di confutazione, posta a settemila anni di vita in buona salute al quinto anno. Negli scenari conservativo ed espansivo, i guadagni cumulati a cinque anni sono dell’ordine, rispettivamente, di cinquemila e di dodicimila anni di vita in buona salute, con le rispettive bande. I guadagni di salute cumulati sono la traduzione, in termini di anni di vita in buona salute, della modificazione delle transizioni operata dalla riforma: essi misurano la qualità della vita guadagnata dalla popolazione che, grazie alla presa in carico, transita verso il benessere anziché persistere nel disturbo o cronicizzare.</w:t>
      </w:r>
      <w:r>
        <w:rPr>
          <w:rStyle w:val="FootnoteReference"/>
        </w:rPr>
        <w:footnoteReference w:id="318"/>
      </w:r>
    </w:p>
    <w:bookmarkEnd w:id="744"/>
    <w:bookmarkStart w:id="745" w:name="X31dfb54cc5d572a24265c9f90634ac822db4ed1"/>
    <w:p>
      <w:pPr>
        <w:pStyle w:val="Heading2"/>
      </w:pPr>
      <w:r>
        <w:t xml:space="preserve">11.3.3 Le previsioni sulla riduzione del disagio non intercettato e sul divario di trattamento</w:t>
      </w:r>
    </w:p>
    <w:p>
      <w:pPr>
        <w:pStyle w:val="FirstParagraph"/>
      </w:pPr>
      <w:r>
        <w:t xml:space="preserve">La seconda e la terza previsione sulla qualità della vita riguardano gli indicatori intermedi che il guadagno di salute presuppone: la riduzione del disagio comune non intercettato e il restringimento del divario di trattamento. La riduzione del disagio non intercettato misura la quota della popolazione affetta da disagio comune che, grazie alla riforma, esce dallo stato di disturbo non intercettato — perché presa in carico, o perché guarita attraverso la presa in carico; essa è l’indicatore della capacità della riforma di raggiungere il disagio sommerso e di ridurne la prevalenza. Il restringimento del divario di trattamento misura la riduzione della quota della popolazione affetta da disagio comune che resta priva di trattamento; esso è l’indicatore della capacità della riforma di colmare il divario tra il bisogno e la presa in carico, che la seconda parte ha stimato ampio nel contesto pugliese e italiano. Questi due indicatori intermedi sono i presupposti del guadagno di salute: il guadagno presuppone che la riforma raggiunga il disagio non intercettato e ne riduca la prevalenza, e che colmi il divario di trattamento prendendo in carico chi ne era privo.</w:t>
      </w:r>
    </w:p>
    <w:p>
      <w:pPr>
        <w:pStyle w:val="BodyText"/>
      </w:pPr>
      <w:r>
        <w:t xml:space="preserve">Le previsioni su questi indicatori intermedi sono formulate, come le altre, in forma falsificabile. La previsione sulla riduzione del disagio non intercettato è che la riforma riduca, nello scenario intermedio, la prevalenza del disagio comune non intercettato di una quota dell’ordine di un quinto nel primo quinquennio, entro una banda compresa tra circa il dodici e il ventotto per cento; e la previsione è smentita se la riduzione osservata si collocasse al di sotto della soglia di confutazione, posta al dodici per cento. La previsione sul divario di trattamento è che la riforma restringa, nello scenario intermedio, il divario di trattamento di una quota dell’ordine di quindici punti percentuali nel primo quinquennio, entro una banda compresa tra circa otto e ventidue punti; e la previsione è smentita se il restringimento osservato si collocasse al di sotto della soglia di confutazione, posta a otto punti percentuali. Questi indicatori intermedi sono più prossimi all’osservazione del guadagno di salute, e ne consentono perciò la verifica più diretta: la riduzione del disagio non intercettato e il restringimento del divario di trattamento sono misurabili attraverso le indagini di prevalenza e i dati dei servizi, e la loro verifica fornisce un riscontro precoce della capacità della riforma di raggiungere il disagio sommerso, presupposto del guadagno di salute.</w:t>
      </w:r>
    </w:p>
    <w:bookmarkEnd w:id="745"/>
    <w:bookmarkStart w:id="747" w:name="X3b97794b8d062b2b2798023e5bfed682cb4c875"/>
    <w:p>
      <w:pPr>
        <w:pStyle w:val="Heading2"/>
      </w:pPr>
      <w:r>
        <w:t xml:space="preserve">11.3.4 Le previsioni sulla qualità della vita dei presi in carico e il quadro delle previsioni</w:t>
      </w:r>
    </w:p>
    <w:p>
      <w:pPr>
        <w:pStyle w:val="FirstParagraph"/>
      </w:pPr>
      <w:r>
        <w:t xml:space="preserve">La quarta previsione sulla qualità della vita riguarda il miglioramento della qualità della vita della popolazione presa in carico, misurato dall’aumento della sua utilità media. La popolazione presa in carico transita, grazie al trattamento, dallo stato di disturbo non intercettato, di utilità ridotta, allo stato di disturbo in trattamento, di utilità intermedia, e quindi, in una quota crescente, allo stato di benessere, di utilità elevata; e l’utilità media della popolazione presa in carico cresce perciò nel tempo, dall’utilità del disturbo non intercettato verso l’utilità degli stati di trattamento e di benessere. L’aumento dell’utilità media della popolazione presa in carico è l’indicatore del miglioramento della qualità della vita di chi la riforma prende in carico, e ne misura l’effetto sulla condizione individuale. La previsione è che la riforma produca, sulla popolazione presa in carico, un aumento dell’utilità media dell’ordine di un decimo nel quinquennio, entro una banda compresa tra circa sei e quattordici centesimi; e la previsione è smentita se l’aumento osservato si collocasse al di sotto della soglia di confutazione, posta a sei centesimi. La tabella che segue raccoglie le previsioni falsificabili della voce, ciascuna con la propria banda e la propria soglia di confutazione.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Previsione falsificabile sulla qualità della vita (scenario intermedio)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previsto (banda)</w:t>
            </w:r>
          </w:p>
        </w:tc>
        <w:tc>
          <w:tcPr>
            <w:shd w:val="clear" w:color="auto" w:fill="16264B"/>
          </w:tcPr>
          <w:p>
            <w:pPr>
              <w:pStyle w:val="Compact"/>
              <w:spacing w:after="40" w:before="40"/>
              <w:jc w:val="left"/>
            </w:pPr>
            <w:r>
              <w:rPr>
                <w:rFonts w:ascii="Cambria" w:hAnsi="Cambria" w:cs="Cambria" w:eastAsia="Cambria"/>
                <w:b/>
                <w:bCs/>
                <w:color w:val="FFFFFF"/>
                <w:sz w:val="18"/>
              </w:rPr>
              <w:t xml:space="preserve">Soglia di confutazione</w:t>
            </w:r>
          </w:p>
        </w:tc>
      </w:tr>
      <w:tr>
        <w:tc>
          <w:tcPr/>
          <w:p>
            <w:pPr>
              <w:pStyle w:val="Compact"/>
              <w:spacing w:after="40" w:before="40"/>
              <w:jc w:val="left"/>
            </w:pPr>
            <w:r>
              <w:rPr>
                <w:rFonts w:ascii="Cambria" w:hAnsi="Cambria" w:cs="Cambria" w:eastAsia="Cambria"/>
                <w:color w:val="1A1A1A"/>
                <w:sz w:val="18"/>
              </w:rPr>
              <w:t xml:space="preserve">Guadagni di salute cumulati a cinque anni (anni di vita in buona salute)</w:t>
            </w:r>
          </w:p>
        </w:tc>
        <w:tc>
          <w:tcPr/>
          <w:p>
            <w:pPr>
              <w:pStyle w:val="Compact"/>
              <w:spacing w:after="40" w:before="40"/>
              <w:jc w:val="left"/>
            </w:pPr>
            <w:r>
              <w:rPr>
                <w:rFonts w:ascii="Cambria" w:hAnsi="Cambria" w:cs="Cambria" w:eastAsia="Cambria"/>
                <w:color w:val="1A1A1A"/>
                <w:sz w:val="18"/>
              </w:rPr>
              <w:t xml:space="preserve">~8.500 (~7.000–10.000)</w:t>
            </w:r>
          </w:p>
        </w:tc>
        <w:tc>
          <w:tcPr/>
          <w:p>
            <w:pPr>
              <w:pStyle w:val="Compact"/>
              <w:spacing w:after="40" w:before="40"/>
              <w:jc w:val="left"/>
            </w:pPr>
            <w:r>
              <w:rPr>
                <w:rFonts w:ascii="Cambria" w:hAnsi="Cambria" w:cs="Cambria" w:eastAsia="Cambria"/>
                <w:color w:val="1A1A1A"/>
                <w:sz w:val="18"/>
              </w:rPr>
              <w:t xml:space="preserve">&lt; 7.000</w:t>
            </w:r>
          </w:p>
        </w:tc>
      </w:tr>
      <w:tr>
        <w:tc>
          <w:tcPr>
            <w:shd w:val="clear" w:color="auto" w:fill="F4F1EC"/>
          </w:tcPr>
          <w:p>
            <w:pPr>
              <w:pStyle w:val="Compact"/>
              <w:spacing w:after="40" w:before="40"/>
              <w:jc w:val="left"/>
            </w:pPr>
            <w:r>
              <w:rPr>
                <w:rFonts w:ascii="Cambria" w:hAnsi="Cambria" w:cs="Cambria" w:eastAsia="Cambria"/>
                <w:color w:val="1A1A1A"/>
                <w:sz w:val="18"/>
              </w:rPr>
              <w:t xml:space="preserve">Guadagni di salute cumulati a dieci anni (anni di vita in buona salute)</w:t>
            </w:r>
          </w:p>
        </w:tc>
        <w:tc>
          <w:tcPr>
            <w:shd w:val="clear" w:color="auto" w:fill="F4F1EC"/>
          </w:tcPr>
          <w:p>
            <w:pPr>
              <w:pStyle w:val="Compact"/>
              <w:spacing w:after="40" w:before="40"/>
              <w:jc w:val="left"/>
            </w:pPr>
            <w:r>
              <w:rPr>
                <w:rFonts w:ascii="Cambria" w:hAnsi="Cambria" w:cs="Cambria" w:eastAsia="Cambria"/>
                <w:color w:val="1A1A1A"/>
                <w:sz w:val="18"/>
              </w:rPr>
              <w:t xml:space="preserve">~17.000 (~14.000–20.000)</w:t>
            </w:r>
          </w:p>
        </w:tc>
        <w:tc>
          <w:tcPr>
            <w:shd w:val="clear" w:color="auto" w:fill="F4F1EC"/>
          </w:tcPr>
          <w:p>
            <w:pPr>
              <w:pStyle w:val="Compact"/>
              <w:spacing w:after="40" w:before="40"/>
              <w:jc w:val="left"/>
            </w:pPr>
            <w:r>
              <w:rPr>
                <w:rFonts w:ascii="Cambria" w:hAnsi="Cambria" w:cs="Cambria" w:eastAsia="Cambria"/>
                <w:color w:val="1A1A1A"/>
                <w:sz w:val="18"/>
              </w:rPr>
              <w:t xml:space="preserve">&lt; 14.000</w:t>
            </w:r>
          </w:p>
        </w:tc>
      </w:tr>
      <w:tr>
        <w:tc>
          <w:tcPr/>
          <w:p>
            <w:pPr>
              <w:pStyle w:val="Compact"/>
              <w:spacing w:after="40" w:before="40"/>
              <w:jc w:val="left"/>
            </w:pPr>
            <w:r>
              <w:rPr>
                <w:rFonts w:ascii="Cambria" w:hAnsi="Cambria" w:cs="Cambria" w:eastAsia="Cambria"/>
                <w:color w:val="1A1A1A"/>
                <w:sz w:val="18"/>
              </w:rPr>
              <w:t xml:space="preserve">Riduzione relativa del disagio comune non intercettato a cinque anni</w:t>
            </w:r>
          </w:p>
        </w:tc>
        <w:tc>
          <w:tcPr/>
          <w:p>
            <w:pPr>
              <w:pStyle w:val="Compact"/>
              <w:spacing w:after="40" w:before="40"/>
              <w:jc w:val="left"/>
            </w:pPr>
            <w:r>
              <w:rPr>
                <w:rFonts w:ascii="Cambria" w:hAnsi="Cambria" w:cs="Cambria" w:eastAsia="Cambria"/>
                <w:color w:val="1A1A1A"/>
                <w:sz w:val="18"/>
              </w:rPr>
              <w:t xml:space="preserve">~20% (~12%–28%)</w:t>
            </w:r>
          </w:p>
        </w:tc>
        <w:tc>
          <w:tcPr/>
          <w:p>
            <w:pPr>
              <w:pStyle w:val="Compact"/>
              <w:spacing w:after="40" w:before="40"/>
              <w:jc w:val="left"/>
            </w:pPr>
            <w:r>
              <w:rPr>
                <w:rFonts w:ascii="Cambria" w:hAnsi="Cambria" w:cs="Cambria" w:eastAsia="Cambria"/>
                <w:color w:val="1A1A1A"/>
                <w:sz w:val="18"/>
              </w:rPr>
              <w:t xml:space="preserve">&lt; 12%</w:t>
            </w:r>
          </w:p>
        </w:tc>
      </w:tr>
      <w:tr>
        <w:tc>
          <w:tcPr>
            <w:shd w:val="clear" w:color="auto" w:fill="F4F1EC"/>
          </w:tcPr>
          <w:p>
            <w:pPr>
              <w:pStyle w:val="Compact"/>
              <w:spacing w:after="40" w:before="40"/>
              <w:jc w:val="left"/>
            </w:pPr>
            <w:r>
              <w:rPr>
                <w:rFonts w:ascii="Cambria" w:hAnsi="Cambria" w:cs="Cambria" w:eastAsia="Cambria"/>
                <w:color w:val="1A1A1A"/>
                <w:sz w:val="18"/>
              </w:rPr>
              <w:t xml:space="preserve">Restringimento del divario di trattamento a cinque anni</w:t>
            </w:r>
          </w:p>
        </w:tc>
        <w:tc>
          <w:tcPr>
            <w:shd w:val="clear" w:color="auto" w:fill="F4F1EC"/>
          </w:tcPr>
          <w:p>
            <w:pPr>
              <w:pStyle w:val="Compact"/>
              <w:spacing w:after="40" w:before="40"/>
              <w:jc w:val="left"/>
            </w:pPr>
            <w:r>
              <w:rPr>
                <w:rFonts w:ascii="Cambria" w:hAnsi="Cambria" w:cs="Cambria" w:eastAsia="Cambria"/>
                <w:color w:val="1A1A1A"/>
                <w:sz w:val="18"/>
              </w:rPr>
              <w:t xml:space="preserve">~15 punti (~8–22 punti)</w:t>
            </w:r>
          </w:p>
        </w:tc>
        <w:tc>
          <w:tcPr>
            <w:shd w:val="clear" w:color="auto" w:fill="F4F1EC"/>
          </w:tcPr>
          <w:p>
            <w:pPr>
              <w:pStyle w:val="Compact"/>
              <w:spacing w:after="40" w:before="40"/>
              <w:jc w:val="left"/>
            </w:pPr>
            <w:r>
              <w:rPr>
                <w:rFonts w:ascii="Cambria" w:hAnsi="Cambria" w:cs="Cambria" w:eastAsia="Cambria"/>
                <w:color w:val="1A1A1A"/>
                <w:sz w:val="18"/>
              </w:rPr>
              <w:t xml:space="preserve">&lt; 8 punti</w:t>
            </w:r>
          </w:p>
        </w:tc>
      </w:tr>
      <w:tr>
        <w:tc>
          <w:tcPr/>
          <w:p>
            <w:pPr>
              <w:pStyle w:val="Compact"/>
              <w:spacing w:after="40" w:before="40"/>
              <w:jc w:val="left"/>
            </w:pPr>
            <w:r>
              <w:rPr>
                <w:rFonts w:ascii="Cambria" w:hAnsi="Cambria" w:cs="Cambria" w:eastAsia="Cambria"/>
                <w:color w:val="1A1A1A"/>
                <w:sz w:val="18"/>
              </w:rPr>
              <w:t xml:space="preserve">Aumento dell’utilità media della popolazione presa in carico</w:t>
            </w:r>
          </w:p>
        </w:tc>
        <w:tc>
          <w:tcPr/>
          <w:p>
            <w:pPr>
              <w:pStyle w:val="Compact"/>
              <w:spacing w:after="40" w:before="40"/>
              <w:jc w:val="left"/>
            </w:pPr>
            <w:r>
              <w:rPr>
                <w:rFonts w:ascii="Cambria" w:hAnsi="Cambria" w:cs="Cambria" w:eastAsia="Cambria"/>
                <w:color w:val="1A1A1A"/>
                <w:sz w:val="18"/>
              </w:rPr>
              <w:t xml:space="preserve">~0,10 (~0,06–0,14)</w:t>
            </w:r>
          </w:p>
        </w:tc>
        <w:tc>
          <w:tcPr/>
          <w:p>
            <w:pPr>
              <w:pStyle w:val="Compact"/>
              <w:spacing w:after="40" w:before="40"/>
              <w:jc w:val="left"/>
            </w:pPr>
            <w:r>
              <w:rPr>
                <w:rFonts w:ascii="Cambria" w:hAnsi="Cambria" w:cs="Cambria" w:eastAsia="Cambria"/>
                <w:color w:val="1A1A1A"/>
                <w:sz w:val="18"/>
              </w:rPr>
              <w:t xml:space="preserve">&lt; 0,06</w:t>
            </w:r>
          </w:p>
        </w:tc>
      </w:tr>
    </w:tbl>
    <w:p>
      <w:pPr>
        <w:pStyle w:val="BodyText"/>
      </w:pPr>
      <w:r>
        <w:rPr>
          <w:i/>
          <w:iCs/>
        </w:rPr>
        <w:t xml:space="preserve">Tabella 11.7 — Le previsioni falsificabili sulla qualità della vita delle persone, nello scenario intermedio, ciascuna con la banda prevista e la soglia di confutazione. Ogni previsione è smentita se l’esito osservato si colloca al di sotto della soglia; la verifica è affidata alla quindicesima parte, attraverso la misurazione degli esiti sulla popolazione reale.</w:t>
      </w:r>
    </w:p>
    <w:p>
      <w:pPr>
        <w:pStyle w:val="BodyText"/>
      </w:pPr>
      <w:r>
        <w:t xml:space="preserve">Le previsioni sulla qualità della vita sono corredate dei metodi con cui saranno verificate a posteriori, che ne completano la forma falsificabile. I guadagni di salute cumulati saranno verificati attraverso la stima ex-post dei guadagni di utilità sulla popolazione presa in carico, ricavata dai dati amministrativi e dalle indagini sulla popolazione trattata, convertendo le misure di esito clinico in pesi di utilità e accumulandone i guadagni lungo il periodo. La riduzione del disagio non intercettato sarà verificata attraverso il confronto delle indagini di prevalenza condotte prima e dopo la riforma, che misurano la quota della popolazione affetta da disagio comune non intercettato. Il restringimento del divario di trattamento sarà verificato attraverso il confronto della quota della popolazione affetta da disagio comune che risulta in trattamento, ricavata dai dati dei servizi e dalle indagini. L’aumento dell’utilità media della popolazione presa in carico sarà verificato attraverso la misurazione della qualità della vita della coorte presa in carico, prima e dopo il trattamento. Questi metodi di verifica fanno di ciascuna previsione un enunciato controllabile, di cui la quindicesima parte condurrà il riscontro, confrontando la previsione con l’esito osservato e dichiarando se la previsione si sia avverata o sia stata smentita.</w:t>
      </w:r>
      <w:r>
        <w:rPr>
          <w:rStyle w:val="FootnoteReference"/>
        </w:rPr>
        <w:footnoteReference w:id="319"/>
      </w:r>
    </w:p>
    <w:bookmarkEnd w:id="747"/>
    <w:bookmarkStart w:id="749" w:name="Xd755d69b7994cb778658e93be84c6d0e741bd86"/>
    <w:p>
      <w:pPr>
        <w:pStyle w:val="Heading2"/>
      </w:pPr>
      <w:r>
        <w:t xml:space="preserve">11.3.5 La graduazione, le bande e i confini delle previsioni sulla qualità della vita</w:t>
      </w:r>
    </w:p>
    <w:p>
      <w:pPr>
        <w:pStyle w:val="FirstParagraph"/>
      </w:pPr>
      <w:r>
        <w:t xml:space="preserve">La solidità delle previsioni sulla qualità della vita va dichiarata, distinguendone le componenti. La direzione delle previsioni — il miglioramento della qualità della vita, la riduzione del disagio non intercettato, il restringimento del divario, l’aumento dell’utilità — è sostenuta da fondamento solido, perché discende dalla modificazione delle transizioni operata dalla riforma, a sua volta fondata sull’efficacia del trattamento graduata da moderata ad alta nella sesta parte: che la presa in carico migliori la qualità della vita è conclusione robusta. L’entità delle previsioni — i valori puntuali dei guadagni cumulati, delle riduzioni, dei restringimenti — è invece sostenuta da evidenza di qualità moderata, perché dipende dai parametri del modello, soggetti all’incertezza riflessa nelle bande e propagata dall’analisi di sensibilità; le previsioni sono perciò formulate come bande, e non come valori puntuali, e le soglie di confutazione sono collocate al di sotto delle bande, sì che la previsione sia smentita soltanto da un esito sensibilmente inferiore. Le previsioni sulla qualità della vita sono dunque solide nella direzione e graduate da moderata nell’entità, e la loro forma falsificabile riflette questa graduazione, esponendo alla confutazione l’entità prevista entro le bande dichiarate.</w:t>
      </w:r>
      <w:r>
        <w:rPr>
          <w:rStyle w:val="FootnoteReference"/>
        </w:rPr>
        <w:footnoteReference w:id="320"/>
      </w:r>
    </w:p>
    <w:p>
      <w:pPr>
        <w:pStyle w:val="BodyText"/>
      </w:pPr>
      <w:r>
        <w:t xml:space="preserve">Da questa graduazione discendono i confini delle previsioni e il loro rapporto con la verifica. In primo luogo, le previsioni sulla qualità della vita sono proiezioni del modello, e ne ereditano i confini: esse dipendono dai parametri invarianti e dalla struttura del modello, e una loro revisione, alla luce di dati pugliesi specifici, potrebbe modificarne l’entità entro le bande. In secondo luogo, le previsioni sono riferite agli esiti di salute, distinti dagli esiti fiscali e sociali oggetto delle voci successive; il miglioramento della qualità della vita è la finalità prima della riforma, ma non esaurisce il suo valore, che si estende alle altre dimensioni. In terzo luogo, la verifica delle previsioni richiede la misurazione degli esiti sulla popolazione reale, che la quindicesima parte condurrà attraverso i metodi indicati; e la falsificabilità delle previsioni riposa su tale verifica, senza la quale le previsioni resterebbero enunciati non controllati. Le previsioni sulla qualità della vita stabiliscono così il primo gruppo di enunciati falsificabili della parte, riferito alla finalità prima della riforma, e lo consegnano alla verifica della quindicesima parte. Stabilite le previsioni sulla qualità della vita, la parte può ora formulare quelle sui bilanci regionali.</w:t>
      </w:r>
    </w:p>
    <w:bookmarkEnd w:id="749"/>
    <w:bookmarkEnd w:id="750"/>
    <w:bookmarkStart w:id="758" w:name="X4522c9bf1e2f16cf5f50f434090b9e25aa5f15c"/>
    <w:p>
      <w:pPr>
        <w:pStyle w:val="Heading2"/>
      </w:pPr>
      <w:r>
        <w:t xml:space="preserve">11.4 Le previsioni falsificabili sui bilanci regionali</w:t>
      </w:r>
    </w:p>
    <w:p>
      <w:pPr>
        <w:pStyle w:val="FirstParagraph"/>
      </w:pPr>
      <w:r>
        <w:rPr>
          <w:i/>
          <w:iCs/>
        </w:rPr>
        <w:t xml:space="preserve">La quarta voce formula le previsioni falsificabili sul secondo ambito su cui la riforma incide: i bilanci regionali, e segnatamente il bilancio sanitario regionale. Essa traduce i risultati dell’analisi di impatto di bilancio, proiettati lungo il quinquennio, in previsioni sulla traiettoria dell’impatto netto, sui risparmi diretti, sul progressivo avvicinamento al pareggio fiscale e sull’incidenza sul Fondo sanitario regionale; e corredata ciascuna previsione della banda, della soglia di confutazione e del metodo di verifica. La voce conserva, in coerenza con l’intero studio, il caveat dell’IMPACT trial sui risparmi diretti, e formula perciò le previsioni anche nella variante prudenziale che esclude i risparmi, sicché il decisore disponga della previsione tanto nell’ipotesi che i risparmi si realizzino quanto nell’ipotesi che non si realizzino.</w:t>
      </w:r>
    </w:p>
    <w:bookmarkStart w:id="752" w:name="X0635805662acb0a1c87b300dbccdf3c10323cd0"/>
    <w:p>
      <w:pPr>
        <w:pStyle w:val="Heading2"/>
      </w:pPr>
      <w:r>
        <w:t xml:space="preserve">11.4.1 La logica della previsione falsificabile sui bilanci</w:t>
      </w:r>
    </w:p>
    <w:p>
      <w:pPr>
        <w:pStyle w:val="FirstParagraph"/>
      </w:pPr>
      <w:r>
        <w:t xml:space="preserve">I bilanci regionali sono il secondo ambito su cui la riforma incide, e la previsione del suo impatto sul bilancio sanitario è la previsione che più direttamente interessa il decisore pubblico. La riforma comporta un costo per il bilancio sanitario regionale, che ne finanzia l’attuazione, e genera per il medesimo bilancio dei risparmi, attraverso la riduzione della spesa sanitaria che il miglioramento clinico produce; e l’impatto netto sul bilancio è la differenza tra il costo e i risparmi, che misura l’onere effettivo della riforma per le finanze regionali. La previsione dell’impatto sul bilancio è la previsione che più direttamente interessa il decisore pubblico, perché attiene alla sostenibilità finanziaria della riforma, ossia alla sua compatibilità con i vincoli del bilancio sanitario; ed è perciò formulata con particolare cura, distinguendo la traiettoria temporale dell’impatto, che muove dal costo iniziale verso il pareggio a regime, e l’incidenza dell’impatto sul Fondo sanitario regionale, che ne misura il peso relativo. La previsione sui bilanci è la traduzione fiscale della proiezione, riferita al bilancio sanitario regionale.</w:t>
      </w:r>
    </w:p>
    <w:p>
      <w:pPr>
        <w:pStyle w:val="BodyText"/>
      </w:pPr>
      <w:r>
        <w:t xml:space="preserve">La previsione falsificabile sui bilanci è formulata, come le altre, in forma controllabile, ma con una particolarità che discende dal caveat dell’IMPACT trial. Il caveat, preservato nell’intero studio, avverte che i risparmi sui costi sanitari diretti, ancorché presenti, non raggiungono la significatività statistica, e che la previsione dei risparmi è perciò soggetta a un’incertezza maggiore di quella delle altre grandezze. Per ossequio a tale caveat, la voce formula le previsioni sui bilanci in due varianti: la variante centrale, che computa i risparmi diretti e perviene all’impatto netto; e la variante prudenziale, che esclude i risparmi diretti e perviene a un impatto netto pari al costo lordo. La variante centrale è la previsione più probabile, fondata sull’evidenza che i risparmi si realizzino; la variante prudenziale è la previsione di garanzia, che vale anche nell’ipotesi che i risparmi non si realizzino, e che fornisce al decisore il limite superiore dell’onere. La duplice formulazione è la traduzione, nella previsione, del caveat dell’IMPACT trial: essa non nasconde l’incertezza dei risparmi, ma la espone, fornendo la previsione in entrambe le ipotesi, e affidando alla verifica ex-post la determinazione di quale delle due si avveri.</w:t>
      </w:r>
      <w:r>
        <w:rPr>
          <w:rStyle w:val="FootnoteReference"/>
        </w:rPr>
        <w:footnoteReference w:id="321"/>
      </w:r>
    </w:p>
    <w:bookmarkEnd w:id="752"/>
    <w:bookmarkStart w:id="753" w:name="X7f8ff1b2e255c56ddc572f50bd40dbe4e7f3f78"/>
    <w:p>
      <w:pPr>
        <w:pStyle w:val="Heading2"/>
      </w:pPr>
      <w:r>
        <w:t xml:space="preserve">11.4.2 Le previsioni sulla traiettoria dell’impatto di bilancio</w:t>
      </w:r>
    </w:p>
    <w:p>
      <w:pPr>
        <w:pStyle w:val="FirstParagraph"/>
      </w:pPr>
      <w:r>
        <w:t xml:space="preserve">La prima previsione sui bilanci riguarda la traiettoria temporale dell’impatto netto sul bilancio sanitario, che muove dal costo iniziale verso il pareggio a regime. L’analisi di impatto di bilancio, proiettata lungo il quinquennio, mostra che l’impatto netto della riforma segue una traiettoria decrescente: nei primi anni, il costo è elevato e i risparmi sono ancora modesti, perché il miglioramento clinico non ha ancora maturato i suoi effetti sulla spesa, e l’impatto netto è perciò elevato; negli anni successivi, il costo si stabilizza al livello di regime mentre i risparmi crescono, perché il miglioramento clinico matura i suoi effetti, e l’impatto netto perciò decresce, avvicinandosi al pareggio. La traiettoria dell’impatto netto è dunque decrescente, dal costo iniziale verso il pareggio a regime, e riflette il progressivo maturare dei risparmi che il miglioramento clinico produce. La tabella che segue espone la traiettoria quinquennale dell’impatto di bilancio nello scenario intermedio.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Voce (scenario intermedio, milioni di euro)</w:t>
            </w:r>
          </w:p>
        </w:tc>
        <w:tc>
          <w:tcPr>
            <w:shd w:val="clear" w:color="auto" w:fill="16264B"/>
          </w:tcPr>
          <w:p>
            <w:pPr>
              <w:pStyle w:val="Compact"/>
              <w:spacing w:after="40" w:before="40"/>
              <w:jc w:val="left"/>
            </w:pPr>
            <w:r>
              <w:rPr>
                <w:rFonts w:ascii="Cambria" w:hAnsi="Cambria" w:cs="Cambria" w:eastAsia="Cambria"/>
                <w:b/>
                <w:bCs/>
                <w:color w:val="FFFFFF"/>
                <w:sz w:val="18"/>
              </w:rPr>
              <w:t xml:space="preserve">Anno 1</w:t>
            </w:r>
          </w:p>
        </w:tc>
        <w:tc>
          <w:tcPr>
            <w:shd w:val="clear" w:color="auto" w:fill="16264B"/>
          </w:tcPr>
          <w:p>
            <w:pPr>
              <w:pStyle w:val="Compact"/>
              <w:spacing w:after="40" w:before="40"/>
              <w:jc w:val="left"/>
            </w:pPr>
            <w:r>
              <w:rPr>
                <w:rFonts w:ascii="Cambria" w:hAnsi="Cambria" w:cs="Cambria" w:eastAsia="Cambria"/>
                <w:b/>
                <w:bCs/>
                <w:color w:val="FFFFFF"/>
                <w:sz w:val="18"/>
              </w:rPr>
              <w:t xml:space="preserve">Anno 2</w:t>
            </w:r>
          </w:p>
        </w:tc>
        <w:tc>
          <w:tcPr>
            <w:shd w:val="clear" w:color="auto" w:fill="16264B"/>
          </w:tcPr>
          <w:p>
            <w:pPr>
              <w:pStyle w:val="Compact"/>
              <w:spacing w:after="40" w:before="40"/>
              <w:jc w:val="left"/>
            </w:pPr>
            <w:r>
              <w:rPr>
                <w:rFonts w:ascii="Cambria" w:hAnsi="Cambria" w:cs="Cambria" w:eastAsia="Cambria"/>
                <w:b/>
                <w:bCs/>
                <w:color w:val="FFFFFF"/>
                <w:sz w:val="18"/>
              </w:rPr>
              <w:t xml:space="preserve">Anno 3</w:t>
            </w:r>
          </w:p>
        </w:tc>
        <w:tc>
          <w:tcPr>
            <w:shd w:val="clear" w:color="auto" w:fill="16264B"/>
          </w:tcPr>
          <w:p>
            <w:pPr>
              <w:pStyle w:val="Compact"/>
              <w:spacing w:after="40" w:before="40"/>
              <w:jc w:val="left"/>
            </w:pPr>
            <w:r>
              <w:rPr>
                <w:rFonts w:ascii="Cambria" w:hAnsi="Cambria" w:cs="Cambria" w:eastAsia="Cambria"/>
                <w:b/>
                <w:bCs/>
                <w:color w:val="FFFFFF"/>
                <w:sz w:val="18"/>
              </w:rPr>
              <w:t xml:space="preserve">Anno 4</w:t>
            </w:r>
          </w:p>
        </w:tc>
        <w:tc>
          <w:tcPr>
            <w:shd w:val="clear" w:color="auto" w:fill="16264B"/>
          </w:tcPr>
          <w:p>
            <w:pPr>
              <w:pStyle w:val="Compact"/>
              <w:spacing w:after="40" w:before="40"/>
              <w:jc w:val="left"/>
            </w:pPr>
            <w:r>
              <w:rPr>
                <w:rFonts w:ascii="Cambria" w:hAnsi="Cambria" w:cs="Cambria" w:eastAsia="Cambria"/>
                <w:b/>
                <w:bCs/>
                <w:color w:val="FFFFFF"/>
                <w:sz w:val="18"/>
              </w:rPr>
              <w:t xml:space="preserve">Anno 5</w:t>
            </w:r>
          </w:p>
        </w:tc>
      </w:tr>
      <w:tr>
        <w:tc>
          <w:tcPr/>
          <w:p>
            <w:pPr>
              <w:pStyle w:val="Compact"/>
              <w:spacing w:after="40" w:before="40"/>
              <w:jc w:val="left"/>
            </w:pPr>
            <w:r>
              <w:rPr>
                <w:rFonts w:ascii="Cambria" w:hAnsi="Cambria" w:cs="Cambria" w:eastAsia="Cambria"/>
                <w:color w:val="1A1A1A"/>
                <w:sz w:val="18"/>
              </w:rPr>
              <w:t xml:space="preserve">Costo lordo del programma</w:t>
            </w:r>
          </w:p>
        </w:tc>
        <w:tc>
          <w:tcPr/>
          <w:p>
            <w:pPr>
              <w:pStyle w:val="Compact"/>
              <w:spacing w:after="40" w:before="40"/>
              <w:jc w:val="left"/>
            </w:pPr>
            <w:r>
              <w:rPr>
                <w:rFonts w:ascii="Cambria" w:hAnsi="Cambria" w:cs="Cambria" w:eastAsia="Cambria"/>
                <w:color w:val="1A1A1A"/>
                <w:sz w:val="18"/>
              </w:rPr>
              <w:t xml:space="preserve">22</w:t>
            </w:r>
          </w:p>
        </w:tc>
        <w:tc>
          <w:tcPr/>
          <w:p>
            <w:pPr>
              <w:pStyle w:val="Compact"/>
              <w:spacing w:after="40" w:before="40"/>
              <w:jc w:val="left"/>
            </w:pPr>
            <w:r>
              <w:rPr>
                <w:rFonts w:ascii="Cambria" w:hAnsi="Cambria" w:cs="Cambria" w:eastAsia="Cambria"/>
                <w:color w:val="1A1A1A"/>
                <w:sz w:val="18"/>
              </w:rPr>
              <w:t xml:space="preserve">32</w:t>
            </w:r>
          </w:p>
        </w:tc>
        <w:tc>
          <w:tcPr/>
          <w:p>
            <w:pPr>
              <w:pStyle w:val="Compact"/>
              <w:spacing w:after="40" w:before="40"/>
              <w:jc w:val="left"/>
            </w:pPr>
            <w:r>
              <w:rPr>
                <w:rFonts w:ascii="Cambria" w:hAnsi="Cambria" w:cs="Cambria" w:eastAsia="Cambria"/>
                <w:color w:val="1A1A1A"/>
                <w:sz w:val="18"/>
              </w:rPr>
              <w:t xml:space="preserve">38</w:t>
            </w:r>
          </w:p>
        </w:tc>
        <w:tc>
          <w:tcPr/>
          <w:p>
            <w:pPr>
              <w:pStyle w:val="Compact"/>
              <w:spacing w:after="40" w:before="40"/>
              <w:jc w:val="left"/>
            </w:pPr>
            <w:r>
              <w:rPr>
                <w:rFonts w:ascii="Cambria" w:hAnsi="Cambria" w:cs="Cambria" w:eastAsia="Cambria"/>
                <w:color w:val="1A1A1A"/>
                <w:sz w:val="18"/>
              </w:rPr>
              <w:t xml:space="preserve">38</w:t>
            </w:r>
          </w:p>
        </w:tc>
        <w:tc>
          <w:tcPr/>
          <w:p>
            <w:pPr>
              <w:pStyle w:val="Compact"/>
              <w:spacing w:after="40" w:before="40"/>
              <w:jc w:val="left"/>
            </w:pPr>
            <w:r>
              <w:rPr>
                <w:rFonts w:ascii="Cambria" w:hAnsi="Cambria" w:cs="Cambria" w:eastAsia="Cambria"/>
                <w:color w:val="1A1A1A"/>
                <w:sz w:val="18"/>
              </w:rPr>
              <w:t xml:space="preserve">38</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 diretti</w:t>
            </w:r>
          </w:p>
        </w:tc>
        <w:tc>
          <w:tcPr>
            <w:shd w:val="clear" w:color="auto" w:fill="F4F1EC"/>
          </w:tcPr>
          <w:p>
            <w:pPr>
              <w:pStyle w:val="Compact"/>
              <w:spacing w:after="40" w:before="40"/>
              <w:jc w:val="left"/>
            </w:pPr>
            <w:r>
              <w:rPr>
                <w:rFonts w:ascii="Cambria" w:hAnsi="Cambria" w:cs="Cambria" w:eastAsia="Cambria"/>
                <w:color w:val="1A1A1A"/>
                <w:sz w:val="18"/>
              </w:rPr>
              <w:t xml:space="preserve">2</w:t>
            </w:r>
          </w:p>
        </w:tc>
        <w:tc>
          <w:tcPr>
            <w:shd w:val="clear" w:color="auto" w:fill="F4F1EC"/>
          </w:tcPr>
          <w:p>
            <w:pPr>
              <w:pStyle w:val="Compact"/>
              <w:spacing w:after="40" w:before="40"/>
              <w:jc w:val="left"/>
            </w:pPr>
            <w:r>
              <w:rPr>
                <w:rFonts w:ascii="Cambria" w:hAnsi="Cambria" w:cs="Cambria" w:eastAsia="Cambria"/>
                <w:color w:val="1A1A1A"/>
                <w:sz w:val="18"/>
              </w:rPr>
              <w:t xml:space="preserve">9</w:t>
            </w:r>
          </w:p>
        </w:tc>
        <w:tc>
          <w:tcPr>
            <w:shd w:val="clear" w:color="auto" w:fill="F4F1EC"/>
          </w:tcPr>
          <w:p>
            <w:pPr>
              <w:pStyle w:val="Compact"/>
              <w:spacing w:after="40" w:before="40"/>
              <w:jc w:val="left"/>
            </w:pPr>
            <w:r>
              <w:rPr>
                <w:rFonts w:ascii="Cambria" w:hAnsi="Cambria" w:cs="Cambria" w:eastAsia="Cambria"/>
                <w:color w:val="1A1A1A"/>
                <w:sz w:val="18"/>
              </w:rPr>
              <w:t xml:space="preserve">18</w:t>
            </w:r>
          </w:p>
        </w:tc>
        <w:tc>
          <w:tcPr>
            <w:shd w:val="clear" w:color="auto" w:fill="F4F1EC"/>
          </w:tcPr>
          <w:p>
            <w:pPr>
              <w:pStyle w:val="Compact"/>
              <w:spacing w:after="40" w:before="40"/>
              <w:jc w:val="left"/>
            </w:pPr>
            <w:r>
              <w:rPr>
                <w:rFonts w:ascii="Cambria" w:hAnsi="Cambria" w:cs="Cambria" w:eastAsia="Cambria"/>
                <w:color w:val="1A1A1A"/>
                <w:sz w:val="18"/>
              </w:rPr>
              <w:t xml:space="preserve">27</w:t>
            </w:r>
          </w:p>
        </w:tc>
        <w:tc>
          <w:tcPr>
            <w:shd w:val="clear" w:color="auto" w:fill="F4F1EC"/>
          </w:tcPr>
          <w:p>
            <w:pPr>
              <w:pStyle w:val="Compact"/>
              <w:spacing w:after="40" w:before="40"/>
              <w:jc w:val="left"/>
            </w:pPr>
            <w:r>
              <w:rPr>
                <w:rFonts w:ascii="Cambria" w:hAnsi="Cambria" w:cs="Cambria" w:eastAsia="Cambria"/>
                <w:color w:val="1A1A1A"/>
                <w:sz w:val="18"/>
              </w:rPr>
              <w:t xml:space="preserve">34</w:t>
            </w:r>
          </w:p>
        </w:tc>
      </w:tr>
      <w:tr>
        <w:tc>
          <w:tcPr/>
          <w:p>
            <w:pPr>
              <w:pStyle w:val="Compact"/>
              <w:spacing w:after="40" w:before="40"/>
              <w:jc w:val="left"/>
            </w:pPr>
            <w:r>
              <w:rPr>
                <w:rFonts w:ascii="Cambria" w:hAnsi="Cambria" w:cs="Cambria" w:eastAsia="Cambria"/>
                <w:color w:val="1A1A1A"/>
                <w:sz w:val="18"/>
              </w:rPr>
              <w:t xml:space="preserve">Impatto netto sul bilancio</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+23</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+11</w:t>
            </w:r>
          </w:p>
        </w:tc>
        <w:tc>
          <w:tcPr/>
          <w:p>
            <w:pPr>
              <w:pStyle w:val="Compact"/>
              <w:spacing w:after="40" w:before="40"/>
              <w:jc w:val="left"/>
            </w:pPr>
            <w:r>
              <w:rPr>
                <w:rFonts w:ascii="Cambria" w:hAnsi="Cambria" w:cs="Cambria" w:eastAsia="Cambria"/>
                <w:color w:val="1A1A1A"/>
                <w:sz w:val="18"/>
              </w:rPr>
              <w:t xml:space="preserve">+4</w:t>
            </w:r>
          </w:p>
        </w:tc>
      </w:tr>
    </w:tbl>
    <w:p>
      <w:pPr>
        <w:pStyle w:val="BodyText"/>
      </w:pPr>
      <w:r>
        <w:rPr>
          <w:i/>
          <w:iCs/>
        </w:rPr>
        <w:t xml:space="preserve">Tabella 11.8 — Traiettoria quinquennale dell’impatto di bilancio, nello scenario intermedio (milioni di euro). Il costo lordo cresce nella fase di avvio e si stabilizza al regime; i risparmi diretti crescono progressivamente al maturare del miglioramento clinico; l’impatto netto, dopo un massimo iniziale, decresce verso il pareggio (da +20 a +4 milioni nel quinquennio).</w:t>
      </w:r>
    </w:p>
    <w:p>
      <w:pPr>
        <w:pStyle w:val="BodyText"/>
      </w:pPr>
      <w:r>
        <w:t xml:space="preserve">La traiettoria così proiettata fonda la prima previsione falsificabile sui bilanci. La previsione è che l’impatto netto sul bilancio sanitario regionale, nello scenario intermedio, segua una traiettoria decrescente, da un massimo dell’ordine di venti milioni nei primi anni a un valore dell’ordine di quattro milioni al quinto anno, entro una banda compresa, al quinto anno, tra il pareggio e circa undici milioni; e la previsione è smentita se l’impatto netto al quinto anno si collocasse al di sopra della soglia di confutazione, posta a venti milioni, ossia se l’impatto non decrescesse rispetto al massimo iniziale, segnalando il mancato maturare dei risparmi. La traiettoria decrescente dell’impatto netto è la previsione centrale, che presuppone il maturare dei risparmi; ma il caveat dell’IMPACT trial impone di affiancarvi la variante prudenziale, secondo cui, ove i risparmi non si realizzassero, l’impatto netto coinciderebbe con il costo lordo, e seguirebbe perciò una traiettoria crescente nella fase di avvio e stabile al regime, dell’ordine di trentotto milioni annui. La duplice previsione — decrescente verso il pareggio nella variante centrale, stabile al livello del costo lordo nella variante prudenziale — fornisce al decisore la traiettoria dell’impatto in entrambe le ipotesi sui risparmi, esponendo l’incertezza anziché nasconderla.</w:t>
      </w:r>
    </w:p>
    <w:bookmarkEnd w:id="753"/>
    <w:bookmarkStart w:id="755" w:name="X8126521890203f149d81f4bddfd01a7e49e2413"/>
    <w:p>
      <w:pPr>
        <w:pStyle w:val="Heading2"/>
      </w:pPr>
      <w:r>
        <w:t xml:space="preserve">11.4.3 Le previsioni sui risparmi diretti, sul pareggio e sull’incidenza sul Fondo</w:t>
      </w:r>
    </w:p>
    <w:p>
      <w:pPr>
        <w:pStyle w:val="FirstParagraph"/>
      </w:pPr>
      <w:r>
        <w:t xml:space="preserve">La seconda, la terza e la quarta previsione sui bilanci riguardano i risparmi diretti a regime, l’impatto cumulato sul quinquennio e l’incidenza sul Fondo sanitario regionale. I risparmi diretti a regime misurano i risparmi che la riforma genera per il bilancio sanitario una volta maturato il miglioramento clinico, al quinto anno; essi sono l’indicatore della capacità della riforma di ridurre la spesa sanitaria attraverso il miglioramento clinico. L’impatto cumulato sul quinquennio misura la somma degli impatti netti annuali lungo i cinque anni, ossia l’onere complessivo della riforma per il bilancio nel primo quinquennio; esso è l’indicatore dell’investimento netto complessivo che la riforma richiede al bilancio prima di avvicinarsi al pareggio. L’incidenza sul Fondo sanitario regionale misura il peso dell’impatto netto a regime rispetto alla dimensione del Fondo; essa è l’indicatore del peso relativo della riforma sulle finanze sanitarie regionali, che ne attesta la sostenibilità. Questi tre indicatori articolano la previsione sui bilanci, dalla capacità di risparmio al peso relativo sul Fondo.</w:t>
      </w:r>
    </w:p>
    <w:p>
      <w:pPr>
        <w:pStyle w:val="BodyText"/>
      </w:pPr>
      <w:r>
        <w:t xml:space="preserve">Le previsioni su questi indicatori sono formulate in forma falsificabile, nelle due varianti che il caveat dell’IMPACT trial impone. La previsione sui risparmi diretti a regime è che la riforma generi, nello scenario intermedio, risparmi diretti dell’ordine di trentaquattro milioni annui al quinto anno, entro una banda compresa tra circa ventisette e quarantuno milioni; e la previsione è smentita se i risparmi osservati si collocassero al di sotto della soglia di confutazione, posta a venti milioni. La previsione sull’impatto cumulato è che l’impatto netto cumulato sul quinquennio sia, nella variante centrale, dell’ordine di settantotto milioni, entro una banda compresa tra circa sessantacinque e novantacinque milioni, e, nella variante prudenziale che esclude i risparmi, dell’ordine di centosessantotto milioni, entro una banda compresa tra circa centocinquanta e centottantacinque milioni; e la previsione centrale è smentita se l’impatto cumulato osservato si collocasse al di sopra della soglia di confutazione, posta a centodieci milioni. La previsione sull’incidenza sul Fondo è che l’impatto netto a regime incida sul Fondo sanitario regionale per una quota inferiore al decimo di punto percentuale; e la previsione è smentita se l’incidenza osservata si collocasse al di sopra della soglia di confutazione, posta a due decimi di punto. La tabella che segue raccoglie le previsioni falsificabili sui bilanci.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Previsione falsificabile sui bilanci regionali (scenario intermedio)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previsto (banda)</w:t>
            </w:r>
          </w:p>
        </w:tc>
        <w:tc>
          <w:tcPr>
            <w:shd w:val="clear" w:color="auto" w:fill="16264B"/>
          </w:tcPr>
          <w:p>
            <w:pPr>
              <w:pStyle w:val="Compact"/>
              <w:spacing w:after="40" w:before="40"/>
              <w:jc w:val="left"/>
            </w:pPr>
            <w:r>
              <w:rPr>
                <w:rFonts w:ascii="Cambria" w:hAnsi="Cambria" w:cs="Cambria" w:eastAsia="Cambria"/>
                <w:b/>
                <w:bCs/>
                <w:color w:val="FFFFFF"/>
                <w:sz w:val="18"/>
              </w:rPr>
              <w:t xml:space="preserve">Soglia di confutazione</w:t>
            </w:r>
          </w:p>
        </w:tc>
      </w:tr>
      <w:tr>
        <w:tc>
          <w:tcPr/>
          <w:p>
            <w:pPr>
              <w:pStyle w:val="Compact"/>
              <w:spacing w:after="40" w:before="40"/>
              <w:jc w:val="left"/>
            </w:pPr>
            <w:r>
              <w:rPr>
                <w:rFonts w:ascii="Cambria" w:hAnsi="Cambria" w:cs="Cambria" w:eastAsia="Cambria"/>
                <w:color w:val="1A1A1A"/>
                <w:sz w:val="18"/>
              </w:rPr>
              <w:t xml:space="preserve">Risparmi diretti annui a regime (anno 5, milioni)</w:t>
            </w:r>
          </w:p>
        </w:tc>
        <w:tc>
          <w:tcPr/>
          <w:p>
            <w:pPr>
              <w:pStyle w:val="Compact"/>
              <w:spacing w:after="40" w:before="40"/>
              <w:jc w:val="left"/>
            </w:pPr>
            <w:r>
              <w:rPr>
                <w:rFonts w:ascii="Cambria" w:hAnsi="Cambria" w:cs="Cambria" w:eastAsia="Cambria"/>
                <w:color w:val="1A1A1A"/>
                <w:sz w:val="18"/>
              </w:rPr>
              <w:t xml:space="preserve">~34 (~27–41)</w:t>
            </w:r>
          </w:p>
        </w:tc>
        <w:tc>
          <w:tcPr/>
          <w:p>
            <w:pPr>
              <w:pStyle w:val="Compact"/>
              <w:spacing w:after="40" w:before="40"/>
              <w:jc w:val="left"/>
            </w:pPr>
            <w:r>
              <w:rPr>
                <w:rFonts w:ascii="Cambria" w:hAnsi="Cambria" w:cs="Cambria" w:eastAsia="Cambria"/>
                <w:color w:val="1A1A1A"/>
                <w:sz w:val="18"/>
              </w:rPr>
              <w:t xml:space="preserve">&lt; 20</w:t>
            </w:r>
          </w:p>
        </w:tc>
      </w:tr>
      <w:tr>
        <w:tc>
          <w:tcPr>
            <w:shd w:val="clear" w:color="auto" w:fill="F4F1EC"/>
          </w:tcPr>
          <w:p>
            <w:pPr>
              <w:pStyle w:val="Compact"/>
              <w:spacing w:after="40" w:before="40"/>
              <w:jc w:val="left"/>
            </w:pPr>
            <w:r>
              <w:rPr>
                <w:rFonts w:ascii="Cambria" w:hAnsi="Cambria" w:cs="Cambria" w:eastAsia="Cambria"/>
                <w:color w:val="1A1A1A"/>
                <w:sz w:val="18"/>
              </w:rPr>
              <w:t xml:space="preserve">Impatto netto annuo a regime (anno 5, milioni)</w:t>
            </w:r>
          </w:p>
        </w:tc>
        <w:tc>
          <w:tcPr>
            <w:shd w:val="clear" w:color="auto" w:fill="F4F1EC"/>
          </w:tcPr>
          <w:p>
            <w:pPr>
              <w:pStyle w:val="Compact"/>
              <w:spacing w:after="40" w:before="40"/>
              <w:jc w:val="left"/>
            </w:pPr>
            <w:r>
              <w:rPr>
                <w:rFonts w:ascii="Cambria" w:hAnsi="Cambria" w:cs="Cambria" w:eastAsia="Cambria"/>
                <w:color w:val="1A1A1A"/>
                <w:sz w:val="18"/>
              </w:rPr>
              <w:t xml:space="preserve">~+4 (pareggio–+11)</w:t>
            </w:r>
          </w:p>
        </w:tc>
        <w:tc>
          <w:tcPr>
            <w:shd w:val="clear" w:color="auto" w:fill="F4F1EC"/>
          </w:tcPr>
          <w:p>
            <w:pPr>
              <w:pStyle w:val="Compact"/>
              <w:spacing w:after="40" w:before="40"/>
              <w:jc w:val="left"/>
            </w:pPr>
            <w:r>
              <w:rPr>
                <w:rFonts w:ascii="Cambria" w:hAnsi="Cambria" w:cs="Cambria" w:eastAsia="Cambria"/>
                <w:color w:val="1A1A1A"/>
                <w:sz w:val="18"/>
              </w:rPr>
              <w:t xml:space="preserve">&gt; +20</w:t>
            </w:r>
          </w:p>
        </w:tc>
      </w:tr>
      <w:tr>
        <w:tc>
          <w:tcPr/>
          <w:p>
            <w:pPr>
              <w:pStyle w:val="Compact"/>
              <w:spacing w:after="40" w:before="40"/>
              <w:jc w:val="left"/>
            </w:pPr>
            <w:r>
              <w:rPr>
                <w:rFonts w:ascii="Cambria" w:hAnsi="Cambria" w:cs="Cambria" w:eastAsia="Cambria"/>
                <w:color w:val="1A1A1A"/>
                <w:sz w:val="18"/>
              </w:rPr>
              <w:t xml:space="preserve">Impatto cumulato a cinque anni, variante centrale (milioni)</w:t>
            </w:r>
          </w:p>
        </w:tc>
        <w:tc>
          <w:tcPr/>
          <w:p>
            <w:pPr>
              <w:pStyle w:val="Compact"/>
              <w:spacing w:after="40" w:before="40"/>
              <w:jc w:val="left"/>
            </w:pPr>
            <w:r>
              <w:rPr>
                <w:rFonts w:ascii="Cambria" w:hAnsi="Cambria" w:cs="Cambria" w:eastAsia="Cambria"/>
                <w:color w:val="1A1A1A"/>
                <w:sz w:val="18"/>
              </w:rPr>
              <w:t xml:space="preserve">~78 (~65–95)</w:t>
            </w:r>
          </w:p>
        </w:tc>
        <w:tc>
          <w:tcPr/>
          <w:p>
            <w:pPr>
              <w:pStyle w:val="Compact"/>
              <w:spacing w:after="40" w:before="40"/>
              <w:jc w:val="left"/>
            </w:pPr>
            <w:r>
              <w:rPr>
                <w:rFonts w:ascii="Cambria" w:hAnsi="Cambria" w:cs="Cambria" w:eastAsia="Cambria"/>
                <w:color w:val="1A1A1A"/>
                <w:sz w:val="18"/>
              </w:rPr>
              <w:t xml:space="preserve">&gt; 110</w:t>
            </w:r>
          </w:p>
        </w:tc>
      </w:tr>
      <w:tr>
        <w:tc>
          <w:tcPr>
            <w:shd w:val="clear" w:color="auto" w:fill="F4F1EC"/>
          </w:tcPr>
          <w:p>
            <w:pPr>
              <w:pStyle w:val="Compact"/>
              <w:spacing w:after="40" w:before="40"/>
              <w:jc w:val="left"/>
            </w:pPr>
            <w:r>
              <w:rPr>
                <w:rFonts w:ascii="Cambria" w:hAnsi="Cambria" w:cs="Cambria" w:eastAsia="Cambria"/>
                <w:color w:val="1A1A1A"/>
                <w:sz w:val="18"/>
              </w:rPr>
              <w:t xml:space="preserve">Impatto cumulato a cinque anni, variante prudenziale (milioni)</w:t>
            </w:r>
          </w:p>
        </w:tc>
        <w:tc>
          <w:tcPr>
            <w:shd w:val="clear" w:color="auto" w:fill="F4F1EC"/>
          </w:tcPr>
          <w:p>
            <w:pPr>
              <w:pStyle w:val="Compact"/>
              <w:spacing w:after="40" w:before="40"/>
              <w:jc w:val="left"/>
            </w:pPr>
            <w:r>
              <w:rPr>
                <w:rFonts w:ascii="Cambria" w:hAnsi="Cambria" w:cs="Cambria" w:eastAsia="Cambria"/>
                <w:color w:val="1A1A1A"/>
                <w:sz w:val="18"/>
              </w:rPr>
              <w:t xml:space="preserve">~168 (~150–185)</w:t>
            </w:r>
          </w:p>
        </w:tc>
        <w:tc>
          <w:tcPr>
            <w:shd w:val="clear" w:color="auto" w:fill="F4F1EC"/>
          </w:tcPr>
          <w:p>
            <w:pPr>
              <w:pStyle w:val="Compact"/>
              <w:spacing w:after="40" w:before="40"/>
              <w:jc w:val="left"/>
            </w:pPr>
            <w:r>
              <w:rPr>
                <w:rFonts w:ascii="Cambria" w:hAnsi="Cambria" w:cs="Cambria" w:eastAsia="Cambria"/>
                <w:color w:val="1A1A1A"/>
                <w:sz w:val="18"/>
              </w:rPr>
              <w:t xml:space="preserve">&gt; 200</w:t>
            </w:r>
          </w:p>
        </w:tc>
      </w:tr>
      <w:tr>
        <w:tc>
          <w:tcPr/>
          <w:p>
            <w:pPr>
              <w:pStyle w:val="Compact"/>
              <w:spacing w:after="40" w:before="40"/>
              <w:jc w:val="left"/>
            </w:pPr>
            <w:r>
              <w:rPr>
                <w:rFonts w:ascii="Cambria" w:hAnsi="Cambria" w:cs="Cambria" w:eastAsia="Cambria"/>
                <w:color w:val="1A1A1A"/>
                <w:sz w:val="18"/>
              </w:rPr>
              <w:t xml:space="preserve">Incidenza dell’impatto netto a regime sul Fondo sanitario regionale</w:t>
            </w:r>
          </w:p>
        </w:tc>
        <w:tc>
          <w:tcPr/>
          <w:p>
            <w:pPr>
              <w:pStyle w:val="Compact"/>
              <w:spacing w:after="40" w:before="40"/>
              <w:jc w:val="left"/>
            </w:pPr>
            <w:r>
              <w:rPr>
                <w:rFonts w:ascii="Cambria" w:hAnsi="Cambria" w:cs="Cambria" w:eastAsia="Cambria"/>
                <w:color w:val="1A1A1A"/>
                <w:sz w:val="18"/>
              </w:rPr>
              <w:t xml:space="preserve">&lt; 0,1%</w:t>
            </w:r>
          </w:p>
        </w:tc>
        <w:tc>
          <w:tcPr/>
          <w:p>
            <w:pPr>
              <w:pStyle w:val="Compact"/>
              <w:spacing w:after="40" w:before="40"/>
              <w:jc w:val="left"/>
            </w:pPr>
            <w:r>
              <w:rPr>
                <w:rFonts w:ascii="Cambria" w:hAnsi="Cambria" w:cs="Cambria" w:eastAsia="Cambria"/>
                <w:color w:val="1A1A1A"/>
                <w:sz w:val="18"/>
              </w:rPr>
              <w:t xml:space="preserve">&gt; 0,2%</w:t>
            </w:r>
          </w:p>
        </w:tc>
      </w:tr>
    </w:tbl>
    <w:p>
      <w:pPr>
        <w:pStyle w:val="BodyText"/>
      </w:pPr>
      <w:r>
        <w:rPr>
          <w:i/>
          <w:iCs/>
        </w:rPr>
        <w:t xml:space="preserve">Tabella 11.9 — Le previsioni falsificabili sui bilanci regionali, nello scenario intermedio, ciascuna con la banda prevista e la soglia di confutazione. L’impatto cumulato è formulato in due varianti — centrale (con risparmi) e prudenziale (senza risparmi) — in ossequio al caveat dell’IMPACT trial; ogni previsione è smentita se l’esito osservato supera la soglia.</w:t>
      </w:r>
    </w:p>
    <w:p>
      <w:pPr>
        <w:pStyle w:val="BodyText"/>
      </w:pPr>
      <w:r>
        <w:t xml:space="preserve">Le previsioni sui bilanci sono corredate dei metodi con cui saranno verificate a posteriori, che ne completano la forma falsificabile. I risparmi diretti a regime saranno verificati attraverso l’analisi ex-post della spesa sanitaria sulle voci che la riforma incide — la spesa farmaceutica, gli accessi al pronto soccorso, i ricoveri, la mobilità passiva, gli invii inappropriati — confrontandone l’andamento osservato con quello atteso in assenza di riforma, sui conti sanitari regionali. L’impatto netto e l’impatto cumulato saranno verificati attraverso la riconciliazione dei costi effettivi del programma e dei risparmi effettivi, sul bilancio sanitario regionale, sommando gli impatti netti annuali lungo il quinquennio. L’incidenza sul Fondo sarà verificata attraverso il calcolo del rapporto tra l’impatto netto effettivo e la dimensione effettiva del Fondo. La verifica nelle due varianti — centrale e prudenziale — consentirà di determinare quale delle due si avveri, ossia se i risparmi diretti si siano realizzati nella misura prevista: ove i risparmi osservati si avvicinino alla previsione centrale, si confermerà la variante centrale; ove restino al di sotto, si confermerà la variante prudenziale. La verifica fornirà così non soltanto il riscontro delle previsioni, ma la determinazione, a riforma attuata, della realtà dei risparmi diretti, che il caveat dell’IMPACT trial lascia incerta sul piano dell’evidenza disponibile.</w:t>
      </w:r>
      <w:r>
        <w:rPr>
          <w:rStyle w:val="FootnoteReference"/>
        </w:rPr>
        <w:footnoteReference w:id="322"/>
      </w:r>
    </w:p>
    <w:bookmarkEnd w:id="755"/>
    <w:bookmarkStart w:id="757" w:name="Xbe7ef4c3eb96690ee0991d47486c46bf1ee9427"/>
    <w:p>
      <w:pPr>
        <w:pStyle w:val="Heading2"/>
      </w:pPr>
      <w:r>
        <w:t xml:space="preserve">11.4.4 La graduazione, le bande e i confini delle previsioni sui bilanci</w:t>
      </w:r>
    </w:p>
    <w:p>
      <w:pPr>
        <w:pStyle w:val="FirstParagraph"/>
      </w:pPr>
      <w:r>
        <w:t xml:space="preserve">La solidità delle previsioni sui bilanci va dichiarata, distinguendone le componenti e tenendo conto del caveat dell’IMPACT trial. La previsione sui costi è sostenuta da fondamento solido, perché i costi del programma sono stabiliti dalla settima parte con la maggiore precisione tra le grandezze dello studio, essendo determinati dai parametri retributivi e organizzativi noti; la traiettoria del costo lordo è perciò robusta. La previsione sui risparmi diretti è invece sostenuta da evidenza di qualità inferiore, in ragione del caveat dell’IMPACT trial, che ne avverte la mancata significatività statistica nell’evidenza disponibile; i risparmi sono perciò previsti con maggiore incertezza, riflessa nella variante prudenziale che ne esclude la realizzazione. La previsione sull’impatto netto eredita questa duplice natura: la sua componente di costo è robusta, la sua componente di risparmio è incerta, e l’impatto netto è perciò previsto nelle due varianti. La previsione sull’incidenza sul Fondo è robusta nel suo ordine di grandezza — l’incidenza è contenuta entro frazioni dell’uno per cento in entrambe le varianti — perché anche la variante prudenziale, che adotta il costo lordo, produce un’incidenza contenuta. Le previsioni sui bilanci sono dunque robuste nella componente di costo e nell’incidenza, e graduate con maggiore incertezza nella componente di risparmio, in coerenza con il caveat.</w:t>
      </w:r>
      <w:r>
        <w:rPr>
          <w:rStyle w:val="FootnoteReference"/>
        </w:rPr>
        <w:footnoteReference w:id="323"/>
      </w:r>
    </w:p>
    <w:p>
      <w:pPr>
        <w:pStyle w:val="BodyText"/>
      </w:pPr>
      <w:r>
        <w:t xml:space="preserve">Da questa graduazione discendono i confini delle previsioni sui bilanci e il loro rapporto con la verifica. In primo luogo, le previsioni sui bilanci sono soggette al caveat dell’IMPACT trial, che ne rende incerta la componente di risparmio; la duplice formulazione, centrale e prudenziale, è la traduzione di questo caveat, e la verifica ex-post determinerà quale variante si avveri. In secondo luogo, le previsioni sui bilanci sono riferite al bilancio sanitario regionale, distinto dai bilanci di altri comparti — la previdenza, l’assistenza — su cui la riforma incide attraverso i benefici indiretti, oggetto della dimensione sociale e non della fiscale; la previsione sui bilanci attiene al solo bilancio sanitario, in coerenza con la separazione delle dimensioni. In terzo luogo, la previsione sull’incidenza sul Fondo presuppone la dimensione attuale del Fondo, e una sua variazione modificherebbe l’incidenza, ancorché entro frazioni contenute. Le previsioni sui bilanci stabiliscono così il secondo gruppo di enunciati falsificabili della parte, riferito alla sostenibilità finanziaria della riforma, e lo consegnano alla verifica della quindicesima parte, che ne determinerà anche la variante. Stabilite le previsioni sui bilanci, la parte può ora formulare quelle sulla burocrazia e l’efficienza amministrativa.</w:t>
      </w:r>
    </w:p>
    <w:bookmarkEnd w:id="757"/>
    <w:bookmarkEnd w:id="758"/>
    <w:bookmarkStart w:id="766" w:name="X7bc744409929c25017358602bb3581ce1fa630a"/>
    <w:p>
      <w:pPr>
        <w:pStyle w:val="Heading2"/>
      </w:pPr>
      <w:r>
        <w:t xml:space="preserve">11.5 Le previsioni falsificabili sulla burocrazia e l’efficienza amministrativa</w:t>
      </w:r>
    </w:p>
    <w:p>
      <w:pPr>
        <w:pStyle w:val="FirstParagraph"/>
      </w:pPr>
      <w:r>
        <w:rPr>
          <w:i/>
          <w:iCs/>
        </w:rPr>
        <w:t xml:space="preserve">La quinta voce formula le previsioni falsificabili sul terzo ambito su cui la riforma incide: la burocrazia e l’efficienza amministrativa del sistema. Essa traduce i risultati della proiezione in previsioni sulla riduzione degli invii inappropriati ai servizi specialistici, sull’alleggerimento del carico amministrativo per caso, sulla riduzione dei tempi di attesa e sull’aumento della quota di casi trattati al livello appropriato; e corredata ciascuna previsione della banda, della soglia di confutazione e del metodo di verifica. La voce stabilisce così le previsioni controllabili sull’effetto della riforma sull’organizzazione amministrativa del sistema sanitario, che il primo livello psicologico alleggerisce filtrando il disagio comune e trattenendolo al livello appropriato.</w:t>
      </w:r>
    </w:p>
    <w:bookmarkStart w:id="759" w:name="X4449b7dc036f541d955d31ee6a0abb914c82e17"/>
    <w:p>
      <w:pPr>
        <w:pStyle w:val="Heading2"/>
      </w:pPr>
      <w:r>
        <w:t xml:space="preserve">11.5.1 La logica della previsione falsificabile sulla burocrazia</w:t>
      </w:r>
    </w:p>
    <w:p>
      <w:pPr>
        <w:pStyle w:val="FirstParagraph"/>
      </w:pPr>
      <w:r>
        <w:t xml:space="preserve">La burocrazia e l’efficienza amministrativa sono il terzo ambito su cui la riforma incide, attraverso la funzione di filtro e di presa in carico al livello appropriato che il primo livello psicologico esercita. Il disagio comune, in assenza di un livello psicologico di base, percorre il sistema sanitario attraverso percorsi inappropriati: si rivolge al medico di medicina generale, che non dispone degli strumenti per trattarlo e lo invia ai servizi specialistici; si presenta ai servizi specialistici di salute mentale, che sono concepiti per il disagio severo e ne risultano congestionati; accede al pronto soccorso, che non è la sede propria del disagio comune. Ciascuno di questi percorsi inappropriati genera un carico amministrativo — l’invio, la presa in carico specialistica, la prestazione impropria — che grava sul sistema senza produrre il trattamento appropriato. Il primo livello psicologico, prendendo in carico il disagio comune al livello appropriato, riduce questi percorsi inappropriati e il carico amministrativo che essi generano: il disagio comune è trattato dallo psicologo di base, anziché percorrere il sistema attraverso invii e prestazioni improprie. La previsione sull’effetto della riforma sulla burocrazia misura questa riduzione dei percorsi inappropriati e del carico amministrativo.</w:t>
      </w:r>
    </w:p>
    <w:p>
      <w:pPr>
        <w:pStyle w:val="BodyText"/>
      </w:pPr>
      <w:r>
        <w:t xml:space="preserve">La previsione falsificabile sulla burocrazia è formulata, in coerenza con il principio della parte, come banda corredata di soglia di confutazione e di metodo di verifica. L’effetto della riforma sulla burocrazia è espresso attraverso indicatori dell’efficienza amministrativa — la riduzione degli invii inappropriati, l’alleggerimento del carico per caso, la riduzione dei tempi di attesa, l’aumento della quota di casi trattati al livello appropriato — ciascuno previsto come banda entro cui il valore si colloca, riflettendo l’incertezza della proiezione. La banda è corredata della soglia di confutazione, al di sotto della quale la previsione è smentita, e del metodo di verifica, che indica come l’indicatore sarà misurato a posteriori. Gli indicatori dell’efficienza amministrativa sono in larga parte misurabili attraverso i dati gestionali del sistema sanitario — i flussi degli invii, le prestazioni erogate, i tempi di attesa — che consentono la verifica diretta delle previsioni. La previsione sulla burocrazia è dunque un enunciato controllabile, riferito all’effetto della riforma sull’organizzazione amministrativa del sistema.</w:t>
      </w:r>
    </w:p>
    <w:bookmarkEnd w:id="759"/>
    <w:bookmarkStart w:id="761" w:name="Xb4d1467bc9b7b5fd335478b75be04fd9564119d"/>
    <w:p>
      <w:pPr>
        <w:pStyle w:val="Heading2"/>
      </w:pPr>
      <w:r>
        <w:t xml:space="preserve">11.5.2 Le previsioni sulla riduzione degli invii inappropriati e del carico amministrativo</w:t>
      </w:r>
    </w:p>
    <w:p>
      <w:pPr>
        <w:pStyle w:val="FirstParagraph"/>
      </w:pPr>
      <w:r>
        <w:t xml:space="preserve">La prima e la seconda previsione sulla burocrazia riguardano la riduzione degli invii inappropriati ai servizi specialistici e l’alleggerimento del carico amministrativo per caso. La riduzione degli invii inappropriati misura la diminuzione degli invii del disagio comune ai servizi specialistici di salute mentale e ad altre specialità, che il primo livello psicologico rende non necessari prendendo in carico il disagio al livello appropriato; essa è l’indicatore della funzione di filtro che il primo livello esercita, trattenendo il disagio comune e inviando ai servizi specialistici soltanto i casi che ne richiedono effettivamente l’intervento. L’alleggerimento del carico amministrativo per caso misura la diminuzione delle prestazioni e degli adempimenti che ciascun caso di disagio comune genera nel suo percorso attraverso il sistema, che la presa in carico al livello appropriato riduce eliminando i passaggi inappropriati; esso è l’indicatore dell’efficienza del percorso, che la riforma rende più diretto. Questi due indicatori misurano la riduzione del carico amministrativo che i percorsi inappropriati generano, e che il primo livello psicologico elimina trattenendo il disagio comune al livello appropriato.</w:t>
      </w:r>
    </w:p>
    <w:p>
      <w:pPr>
        <w:pStyle w:val="BodyText"/>
      </w:pPr>
      <w:r>
        <w:t xml:space="preserve">Le previsioni su questi indicatori sono formulate in forma falsificabile. La previsione sulla riduzione degli invii inappropriati è che la riforma riduca, nello scenario intermedio, gli invii inappropriati ai servizi specialistici di una quota dell’ordine di trenta centesimi nel primo quinquennio, entro una banda compresa tra circa venti e quaranta centesimi; e la previsione è smentita se la riduzione osservata si collocasse al di sotto della soglia di confutazione, posta a venti centesimi. La previsione sull’alleggerimento del carico amministrativo per caso è che la riforma riduca, nello scenario intermedio, le prestazioni e gli adempimenti per caso di una quota dell’ordine di venti centesimi nel quinquennio, entro una banda compresa tra circa dodici e ventotto centesimi; e la previsione è smentita se la riduzione osservata si collocasse al di sotto della soglia di confutazione, posta a dodici centesimi. La riduzione degli invii inappropriati e l’alleggerimento del carico per caso sono i due effetti principali della funzione di filtro del primo livello psicologico, e la loro previsione misura la capacità della riforma di rendere più efficiente il percorso del disagio comune attraverso il sistema, eliminando i passaggi inappropriati che ne gravano l’amministrazione.</w:t>
      </w:r>
      <w:r>
        <w:rPr>
          <w:rStyle w:val="FootnoteReference"/>
        </w:rPr>
        <w:footnoteReference w:id="324"/>
      </w:r>
    </w:p>
    <w:bookmarkEnd w:id="761"/>
    <w:bookmarkStart w:id="763" w:name="X371d860fb0bb346277ae1a3a7eb9432271e4916"/>
    <w:p>
      <w:pPr>
        <w:pStyle w:val="Heading2"/>
      </w:pPr>
      <w:r>
        <w:t xml:space="preserve">11.5.3 Le previsioni sui tempi di attesa e sull’appropriatezza dei percorsi</w:t>
      </w:r>
    </w:p>
    <w:p>
      <w:pPr>
        <w:pStyle w:val="FirstParagraph"/>
      </w:pPr>
      <w:r>
        <w:t xml:space="preserve">La terza e la quarta previsione sulla burocrazia riguardano la riduzione dei tempi di attesa per i servizi specialistici e l’aumento della quota di casi trattati al livello appropriato. La riduzione dei tempi di attesa misura la diminuzione del tempo che intercorre tra la richiesta e la presa in carico ai servizi specialistici di salute mentale, che la riforma produce alleggerendone il carico: trattenendo il disagio comune al primo livello, la riforma libera i servizi specialistici dalla congestione che gli invii inappropriati generano, e ne riduce perciò i tempi di attesa per i casi che effettivamente ne richiedono l’intervento; essa è l’indicatore dell’effetto della riforma sull’accessibilità dei servizi specialistici, che la decongestione migliora. L’aumento della quota di casi trattati al livello appropriato misura l’incremento della proporzione dei casi di disagio che sono trattati al livello concepito per la loro gravità — il disagio comune al primo livello, il disagio severo ai servizi specialistici — che la riforma produce introducendo il primo livello mancante; esso è l’indicatore dell’appropriatezza complessiva dei percorsi, che la riforma accresce dotando il sistema del livello appropriato per il disagio comune. Questi due indicatori misurano l’effetto della riforma sull’accessibilità e sull’appropriatezza dei percorsi.</w:t>
      </w:r>
    </w:p>
    <w:p>
      <w:pPr>
        <w:pStyle w:val="BodyText"/>
      </w:pPr>
      <w:r>
        <w:t xml:space="preserve">Le previsioni su questi indicatori sono formulate in forma falsificabile, e completano il quadro delle previsioni sulla burocrazia. La previsione sulla riduzione dei tempi di attesa è che la riforma riduca, nello scenario intermedio, i tempi di attesa per i servizi specialistici di salute mentale di una quota dell’ordine di venticinque centesimi nel quinquennio, entro una banda compresa tra circa quindici e trentacinque centesimi; e la previsione è smentita se la riduzione osservata si collocasse al di sotto della soglia di confutazione, posta a quindici centesimi. La previsione sull’aumento della quota di casi trattati al livello appropriato è che la riforma accresca, nello scenario intermedio, tale quota di una misura dell’ordine di venti punti percentuali nel quinquennio, entro una banda compresa tra circa dodici e ventotto punti; e la previsione è smentita se l’aumento osservato si collocasse al di sotto della soglia di confutazione, posta a dodici punti. La tabella che segue raccoglie le previsioni falsificabili sulla burocrazia e l’efficienza amministrativa.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Previsione falsificabile sulla burocrazia (scenario intermedio)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previsto (banda)</w:t>
            </w:r>
          </w:p>
        </w:tc>
        <w:tc>
          <w:tcPr>
            <w:shd w:val="clear" w:color="auto" w:fill="16264B"/>
          </w:tcPr>
          <w:p>
            <w:pPr>
              <w:pStyle w:val="Compact"/>
              <w:spacing w:after="40" w:before="40"/>
              <w:jc w:val="left"/>
            </w:pPr>
            <w:r>
              <w:rPr>
                <w:rFonts w:ascii="Cambria" w:hAnsi="Cambria" w:cs="Cambria" w:eastAsia="Cambria"/>
                <w:b/>
                <w:bCs/>
                <w:color w:val="FFFFFF"/>
                <w:sz w:val="18"/>
              </w:rPr>
              <w:t xml:space="preserve">Soglia di confutazione</w:t>
            </w:r>
          </w:p>
        </w:tc>
      </w:tr>
      <w:tr>
        <w:tc>
          <w:tcPr/>
          <w:p>
            <w:pPr>
              <w:pStyle w:val="Compact"/>
              <w:spacing w:after="40" w:before="40"/>
              <w:jc w:val="left"/>
            </w:pPr>
            <w:r>
              <w:rPr>
                <w:rFonts w:ascii="Cambria" w:hAnsi="Cambria" w:cs="Cambria" w:eastAsia="Cambria"/>
                <w:color w:val="1A1A1A"/>
                <w:sz w:val="18"/>
              </w:rPr>
              <w:t xml:space="preserve">Riduzione degli invii inappropriati ai servizi specialistici a cinque anni</w:t>
            </w:r>
          </w:p>
        </w:tc>
        <w:tc>
          <w:tcPr/>
          <w:p>
            <w:pPr>
              <w:pStyle w:val="Compact"/>
              <w:spacing w:after="40" w:before="40"/>
              <w:jc w:val="left"/>
            </w:pPr>
            <w:r>
              <w:rPr>
                <w:rFonts w:ascii="Cambria" w:hAnsi="Cambria" w:cs="Cambria" w:eastAsia="Cambria"/>
                <w:color w:val="1A1A1A"/>
                <w:sz w:val="18"/>
              </w:rPr>
              <w:t xml:space="preserve">~30% (~20%–40%)</w:t>
            </w:r>
          </w:p>
        </w:tc>
        <w:tc>
          <w:tcPr/>
          <w:p>
            <w:pPr>
              <w:pStyle w:val="Compact"/>
              <w:spacing w:after="40" w:before="40"/>
              <w:jc w:val="left"/>
            </w:pPr>
            <w:r>
              <w:rPr>
                <w:rFonts w:ascii="Cambria" w:hAnsi="Cambria" w:cs="Cambria" w:eastAsia="Cambria"/>
                <w:color w:val="1A1A1A"/>
                <w:sz w:val="18"/>
              </w:rPr>
              <w:t xml:space="preserve">&lt; 20%</w:t>
            </w:r>
          </w:p>
        </w:tc>
      </w:tr>
      <w:tr>
        <w:tc>
          <w:tcPr>
            <w:shd w:val="clear" w:color="auto" w:fill="F4F1EC"/>
          </w:tcPr>
          <w:p>
            <w:pPr>
              <w:pStyle w:val="Compact"/>
              <w:spacing w:after="40" w:before="40"/>
              <w:jc w:val="left"/>
            </w:pPr>
            <w:r>
              <w:rPr>
                <w:rFonts w:ascii="Cambria" w:hAnsi="Cambria" w:cs="Cambria" w:eastAsia="Cambria"/>
                <w:color w:val="1A1A1A"/>
                <w:sz w:val="18"/>
              </w:rPr>
              <w:t xml:space="preserve">Riduzione del carico amministrativo per caso (prestazioni e adempimenti)</w:t>
            </w:r>
          </w:p>
        </w:tc>
        <w:tc>
          <w:tcPr>
            <w:shd w:val="clear" w:color="auto" w:fill="F4F1EC"/>
          </w:tcPr>
          <w:p>
            <w:pPr>
              <w:pStyle w:val="Compact"/>
              <w:spacing w:after="40" w:before="40"/>
              <w:jc w:val="left"/>
            </w:pPr>
            <w:r>
              <w:rPr>
                <w:rFonts w:ascii="Cambria" w:hAnsi="Cambria" w:cs="Cambria" w:eastAsia="Cambria"/>
                <w:color w:val="1A1A1A"/>
                <w:sz w:val="18"/>
              </w:rPr>
              <w:t xml:space="preserve">~20% (~12%–28%)</w:t>
            </w:r>
          </w:p>
        </w:tc>
        <w:tc>
          <w:tcPr>
            <w:shd w:val="clear" w:color="auto" w:fill="F4F1EC"/>
          </w:tcPr>
          <w:p>
            <w:pPr>
              <w:pStyle w:val="Compact"/>
              <w:spacing w:after="40" w:before="40"/>
              <w:jc w:val="left"/>
            </w:pPr>
            <w:r>
              <w:rPr>
                <w:rFonts w:ascii="Cambria" w:hAnsi="Cambria" w:cs="Cambria" w:eastAsia="Cambria"/>
                <w:color w:val="1A1A1A"/>
                <w:sz w:val="18"/>
              </w:rPr>
              <w:t xml:space="preserve">&lt; 12%</w:t>
            </w:r>
          </w:p>
        </w:tc>
      </w:tr>
      <w:tr>
        <w:tc>
          <w:tcPr/>
          <w:p>
            <w:pPr>
              <w:pStyle w:val="Compact"/>
              <w:spacing w:after="40" w:before="40"/>
              <w:jc w:val="left"/>
            </w:pPr>
            <w:r>
              <w:rPr>
                <w:rFonts w:ascii="Cambria" w:hAnsi="Cambria" w:cs="Cambria" w:eastAsia="Cambria"/>
                <w:color w:val="1A1A1A"/>
                <w:sz w:val="18"/>
              </w:rPr>
              <w:t xml:space="preserve">Riduzione dei tempi di attesa per i servizi specialistici</w:t>
            </w:r>
          </w:p>
        </w:tc>
        <w:tc>
          <w:tcPr/>
          <w:p>
            <w:pPr>
              <w:pStyle w:val="Compact"/>
              <w:spacing w:after="40" w:before="40"/>
              <w:jc w:val="left"/>
            </w:pPr>
            <w:r>
              <w:rPr>
                <w:rFonts w:ascii="Cambria" w:hAnsi="Cambria" w:cs="Cambria" w:eastAsia="Cambria"/>
                <w:color w:val="1A1A1A"/>
                <w:sz w:val="18"/>
              </w:rPr>
              <w:t xml:space="preserve">~25% (~15%–35%)</w:t>
            </w:r>
          </w:p>
        </w:tc>
        <w:tc>
          <w:tcPr/>
          <w:p>
            <w:pPr>
              <w:pStyle w:val="Compact"/>
              <w:spacing w:after="40" w:before="40"/>
              <w:jc w:val="left"/>
            </w:pPr>
            <w:r>
              <w:rPr>
                <w:rFonts w:ascii="Cambria" w:hAnsi="Cambria" w:cs="Cambria" w:eastAsia="Cambria"/>
                <w:color w:val="1A1A1A"/>
                <w:sz w:val="18"/>
              </w:rPr>
              <w:t xml:space="preserve">&lt; 15%</w:t>
            </w:r>
          </w:p>
        </w:tc>
      </w:tr>
      <w:tr>
        <w:tc>
          <w:tcPr>
            <w:shd w:val="clear" w:color="auto" w:fill="F4F1EC"/>
          </w:tcPr>
          <w:p>
            <w:pPr>
              <w:pStyle w:val="Compact"/>
              <w:spacing w:after="40" w:before="40"/>
              <w:jc w:val="left"/>
            </w:pPr>
            <w:r>
              <w:rPr>
                <w:rFonts w:ascii="Cambria" w:hAnsi="Cambria" w:cs="Cambria" w:eastAsia="Cambria"/>
                <w:color w:val="1A1A1A"/>
                <w:sz w:val="18"/>
              </w:rPr>
              <w:t xml:space="preserve">Aumento della quota di casi trattati al livello appropriato</w:t>
            </w:r>
          </w:p>
        </w:tc>
        <w:tc>
          <w:tcPr>
            <w:shd w:val="clear" w:color="auto" w:fill="F4F1EC"/>
          </w:tcPr>
          <w:p>
            <w:pPr>
              <w:pStyle w:val="Compact"/>
              <w:spacing w:after="40" w:before="40"/>
              <w:jc w:val="left"/>
            </w:pPr>
            <w:r>
              <w:rPr>
                <w:rFonts w:ascii="Cambria" w:hAnsi="Cambria" w:cs="Cambria" w:eastAsia="Cambria"/>
                <w:color w:val="1A1A1A"/>
                <w:sz w:val="18"/>
              </w:rPr>
              <w:t xml:space="preserve">~20 punti (~12–28)</w:t>
            </w:r>
          </w:p>
        </w:tc>
        <w:tc>
          <w:tcPr>
            <w:shd w:val="clear" w:color="auto" w:fill="F4F1EC"/>
          </w:tcPr>
          <w:p>
            <w:pPr>
              <w:pStyle w:val="Compact"/>
              <w:spacing w:after="40" w:before="40"/>
              <w:jc w:val="left"/>
            </w:pPr>
            <w:r>
              <w:rPr>
                <w:rFonts w:ascii="Cambria" w:hAnsi="Cambria" w:cs="Cambria" w:eastAsia="Cambria"/>
                <w:color w:val="1A1A1A"/>
                <w:sz w:val="18"/>
              </w:rPr>
              <w:t xml:space="preserve">&lt; 12 punti</w:t>
            </w:r>
          </w:p>
        </w:tc>
      </w:tr>
    </w:tbl>
    <w:p>
      <w:pPr>
        <w:pStyle w:val="BodyText"/>
      </w:pPr>
      <w:r>
        <w:rPr>
          <w:i/>
          <w:iCs/>
        </w:rPr>
        <w:t xml:space="preserve">Tabella 11.10 — Le previsioni falsificabili sulla burocrazia e l’efficienza amministrativa, nello scenario intermedio, ciascuna con la banda prevista e la soglia di confutazione. Le previsioni misurano l’effetto della funzione di filtro del primo livello psicologico, che riduce i percorsi inappropriati e ne alleggerisce il carico amministrativo.</w:t>
      </w:r>
    </w:p>
    <w:p>
      <w:pPr>
        <w:pStyle w:val="BodyText"/>
      </w:pPr>
      <w:r>
        <w:t xml:space="preserve">Le previsioni sulla burocrazia sono corredate dei metodi con cui saranno verificate a posteriori. La riduzione degli invii inappropriati sarà verificata attraverso l’analisi dei flussi degli invii ai servizi specialistici, confrontando il numero e l’appropriatezza degli invii prima e dopo la riforma, sui dati gestionali del sistema. L’alleggerimento del carico amministrativo per caso sarà verificato attraverso l’analisi delle prestazioni e degli adempimenti generati da ciascun caso di disagio comune nel suo percorso, confrontandone il numero prima e dopo. La riduzione dei tempi di attesa sarà verificata attraverso il confronto dei tempi di attesa ai servizi specialistici, misurati sui dati gestionali prima e dopo. L’aumento della quota di casi trattati al livello appropriato sarà verificato attraverso l’analisi della distribuzione dei casi tra i livelli di cura, confrontandone la proporzione prima e dopo. Questi metodi di verifica, fondati sui dati gestionali del sistema sanitario, consentono la verifica diretta delle previsioni sulla burocrazia, e la quindicesima parte ne condurrà il riscontro, confrontando ciascuna previsione con l’esito osservato.</w:t>
      </w:r>
      <w:r>
        <w:rPr>
          <w:rStyle w:val="FootnoteReference"/>
        </w:rPr>
        <w:footnoteReference w:id="325"/>
      </w:r>
    </w:p>
    <w:bookmarkEnd w:id="763"/>
    <w:bookmarkStart w:id="765" w:name="X1e638efaae168e0257f92a6ba55095b880167bf"/>
    <w:p>
      <w:pPr>
        <w:pStyle w:val="Heading2"/>
      </w:pPr>
      <w:r>
        <w:t xml:space="preserve">11.5.4 La graduazione, le bande e i confini delle previsioni sulla burocrazia</w:t>
      </w:r>
    </w:p>
    <w:p>
      <w:pPr>
        <w:pStyle w:val="FirstParagraph"/>
      </w:pPr>
      <w:r>
        <w:t xml:space="preserve">La solidità delle previsioni sulla burocrazia va dichiarata, distinguendone le componenti. La direzione delle previsioni — la riduzione degli invii inappropriati, l’alleggerimento del carico, la riduzione dei tempi di attesa, l’aumento dell’appropriatezza — è sostenuta da fondamento solido, perché discende dalla funzione di filtro che il primo livello psicologico esercita, trattenendo il disagio comune al livello appropriato: che l’introduzione di un livello mancante riduca i percorsi inappropriati è conclusione robusta sul piano organizzativo. L’entità delle previsioni è invece sostenuta da evidenza di qualità moderata, perché dipende dall’efficacia con cui il primo livello esercita la funzione di filtro, soggetta all’incertezza riflessa nelle bande; le previsioni sono perciò formulate come bande, con soglie di confutazione collocate al di sotto. Va inoltre rilevato che l’entità della riduzione del carico amministrativo dipende dall’organizzazione concreta dei percorsi, che la quarta parte ha delineato ma che l’attuazione potrà declinare in modi diversi, e che l’entità osservata potrà perciò variare entro le bande secondo le modalità attuative. Le previsioni sulla burocrazia sono dunque solide nella direzione e graduate da moderata nell’entità, e la loro forma falsificabile riflette questa graduazione.</w:t>
      </w:r>
      <w:r>
        <w:rPr>
          <w:rStyle w:val="FootnoteReference"/>
        </w:rPr>
        <w:footnoteReference w:id="326"/>
      </w:r>
    </w:p>
    <w:p>
      <w:pPr>
        <w:pStyle w:val="BodyText"/>
      </w:pPr>
      <w:r>
        <w:t xml:space="preserve">Da questa graduazione discendono i confini delle previsioni sulla burocrazia e il loro rapporto con la verifica. In primo luogo, le previsioni sulla burocrazia attengono all’efficienza amministrativa del sistema, distinta dalla dimensione fiscale: la riduzione del carico amministrativo migliora l’efficienza dei percorsi, ma il suo valore economico, ove monetizzato, confluirebbe nei risparmi fiscali diretti o nei benefici indiretti, a seconda della natura, e non costituisce una dimensione economica autonoma; la previsione sulla burocrazia misura perciò l’effetto organizzativo, distinto dal suo eventuale valore economico, già computato altrove. In secondo luogo, l’entità delle previsioni dipende dalle modalità attuative dei percorsi, e una loro diversa declinazione potrebbe modificarla entro le bande. In terzo luogo, la verifica delle previsioni richiede l’accesso ai dati gestionali del sistema, che la quindicesima parte impiegherà per il riscontro. Le previsioni sulla burocrazia stabiliscono così il terzo gruppo di enunciati falsificabili della parte, riferito all’efficienza amministrativa, e lo consegnano alla verifica della quindicesima parte. Stabilite le previsioni sulla burocrazia, la parte può ora formulare quelle sui sistemi sanitari regionali.</w:t>
      </w:r>
    </w:p>
    <w:bookmarkEnd w:id="765"/>
    <w:bookmarkEnd w:id="766"/>
    <w:bookmarkStart w:id="774" w:name="X02e913dd9d815a5153c66afe9f9402d8a7d9bd2"/>
    <w:p>
      <w:pPr>
        <w:pStyle w:val="Heading2"/>
      </w:pPr>
      <w:r>
        <w:t xml:space="preserve">11.6 Le previsioni falsificabili sui sistemi sanitari regionali</w:t>
      </w:r>
    </w:p>
    <w:p>
      <w:pPr>
        <w:pStyle w:val="FirstParagraph"/>
      </w:pPr>
      <w:r>
        <w:rPr>
          <w:i/>
          <w:iCs/>
        </w:rPr>
        <w:t xml:space="preserve">La sesta voce formula le previsioni falsificabili sul quarto ambito su cui la riforma incide: i sistemi sanitari regionali, nel loro funzionamento complessivo. Essa traduce i risultati della proiezione in previsioni sulla riduzione degli accessi impropri al pronto soccorso e dei ricoveri, sulla riduzione della mobilità sanitaria passiva e della spesa farmaceutica inappropriata, e sull’alleggerimento del carico delle cure primarie; e corredata ciascuna previsione della banda, della soglia di confutazione e del metodo di verifica. La voce stabilisce così le previsioni controllabili sull’effetto della riforma sul sistema sanitario regionale nel suo insieme, che il primo livello psicologico alleggerisce intercettando il disagio comune e riducendone il ricorso ai livelli di cura più onerosi.</w:t>
      </w:r>
    </w:p>
    <w:bookmarkStart w:id="767" w:name="X88b213fafd43e5cf4d46612470c2eb8ecf772bb"/>
    <w:p>
      <w:pPr>
        <w:pStyle w:val="Heading2"/>
      </w:pPr>
      <w:r>
        <w:t xml:space="preserve">11.6.1 La logica della previsione falsificabile sui sistemi sanitari</w:t>
      </w:r>
    </w:p>
    <w:p>
      <w:pPr>
        <w:pStyle w:val="FirstParagraph"/>
      </w:pPr>
      <w:r>
        <w:t xml:space="preserve">I sistemi sanitari regionali sono il quarto ambito su cui la riforma incide, attraverso la riduzione del ricorso ai livelli di cura più onerosi che l’intercettazione del disagio comune produce. Il disagio comune non intercettato, percorrendo il sistema attraverso percorsi inappropriati, genera un ricorso ai livelli di cura più onerosi: accede al pronto soccorso, che è il livello più costoso per condizioni che non ne richiedono l’intervento; produce ricoveri, quando la cronicizzazione del disagio non trattato richiede l’ospedalizzazione; alimenta la mobilità sanitaria passiva, quando la persona cerca altrove la cura che il sistema regionale non le offre; genera spesa farmaceutica inappropriata, quando il disagio è trattato con i soli psicofarmaci in assenza dell’intervento psicologico appropriato; grava sulle cure primarie, quando il medico di medicina generale è chiamato a gestire un disagio per cui non dispone degli strumenti. Il primo livello psicologico, intercettando il disagio comune e trattandolo al livello appropriato, riduce questo ricorso ai livelli onerosi: il disagio comune è trattato dallo psicologo di base, anziché generare accessi al pronto soccorso, ricoveri, mobilità e spesa farmaceutica inappropriata. La previsione sull’effetto della riforma sul sistema sanitario misura questa riduzione del ricorso ai livelli onerosi.</w:t>
      </w:r>
    </w:p>
    <w:p>
      <w:pPr>
        <w:pStyle w:val="BodyText"/>
      </w:pPr>
      <w:r>
        <w:t xml:space="preserve">La previsione falsificabile sui sistemi sanitari è formulata, in coerenza con il principio della parte, come banda corredata di soglia di confutazione e di metodo di verifica, e si raccorda con i risparmi diretti stabiliti dall’ottava parte. Gli indicatori dell’effetto sul sistema — la riduzione degli accessi al pronto soccorso, dei ricoveri, della mobilità passiva, della spesa farmaceutica, del carico sulle cure primarie — sono gli indicatori fisici degli stessi fenomeni che, sul piano economico, generano i risparmi diretti: la riduzione degli accessi al pronto soccorso che riduce la spesa di pronto soccorso, la riduzione dei ricoveri che riduce la spesa di ricovero, e così via. La previsione sui sistemi sanitari misura perciò, sul piano fisico, gli stessi fenomeni che l’ottava parte ha misurato sul piano economico: essa ne è il riscontro fisico, espresso in termini di accessi, ricoveri, prestazioni, anziché di euro. La previsione è corredata, come le altre, della banda, della soglia di confutazione e del metodo di verifica, e gli indicatori sono in larga parte misurabili attraverso i flussi del sistema sanitario, che consentono la verifica diretta.</w:t>
      </w:r>
    </w:p>
    <w:bookmarkEnd w:id="767"/>
    <w:bookmarkStart w:id="769" w:name="X376940b711b27a3c8ba660d231508fce743891c"/>
    <w:p>
      <w:pPr>
        <w:pStyle w:val="Heading2"/>
      </w:pPr>
      <w:r>
        <w:t xml:space="preserve">11.6.2 Le previsioni sulla riduzione degli accessi impropri, dei ricoveri e della mobilità</w:t>
      </w:r>
    </w:p>
    <w:p>
      <w:pPr>
        <w:pStyle w:val="FirstParagraph"/>
      </w:pPr>
      <w:r>
        <w:t xml:space="preserve">La prima, la seconda e la terza previsione sui sistemi sanitari riguardano la riduzione degli accessi impropri al pronto soccorso, dei ricoveri per disturbi comuni e della mobilità sanitaria passiva. La riduzione degli accessi impropri al pronto soccorso misura la diminuzione degli accessi al pronto soccorso per cause psicologiche e psichiatriche che non ne richiedono l’intervento, che la riforma produce intercettando il disagio comune al primo livello; essa è l’indicatore dell’effetto della riforma sul livello di cura più costoso, che il disagio comune non intercettato alimenta impropriamente. La riduzione dei ricoveri per disturbi comuni misura la diminuzione dei ricoveri ospedalieri per disturbi mentali comuni, che la riforma produce prevenendo la cronicizzazione che li rende necessari; essa è l’indicatore dell’effetto della riforma sul livello ospedaliero, che la cronicizzazione del disagio non trattato alimenta. La riduzione della mobilità sanitaria passiva misura la diminuzione del ricorso a cure fuori regione per la salute mentale, che la riforma produce offrendo nella regione la presa in carico appropriata; essa è l’indicatore della capacità della riforma di trattenere nella regione la domanda di cura, riducendo la mobilità verso altre regioni. Questi tre indicatori misurano la riduzione del ricorso ai livelli di cura più onerosi che l’intercettazione del disagio comune produce.</w:t>
      </w:r>
    </w:p>
    <w:p>
      <w:pPr>
        <w:pStyle w:val="BodyText"/>
      </w:pPr>
      <w:r>
        <w:t xml:space="preserve">Le previsioni su questi indicatori sono formulate in forma falsificabile. La previsione sulla riduzione degli accessi impropri al pronto soccorso è che la riforma riduca, nello scenario intermedio, tali accessi di una quota dell’ordine di venti centesimi nel quinquennio, entro una banda compresa tra circa dodici e ventotto centesimi; e la previsione è smentita se la riduzione osservata si collocasse al di sotto della soglia di confutazione, posta a dodici centesimi. La previsione sulla riduzione dei ricoveri per disturbi comuni è che la riforma riduca, nello scenario intermedio, tali ricoveri di una quota dell’ordine di quindici centesimi nel quinquennio, entro una banda compresa tra circa otto e ventidue centesimi; e la previsione è smentita se la riduzione osservata si collocasse al di sotto della soglia di confutazione, posta a otto centesimi. La previsione sulla riduzione della mobilità sanitaria passiva è che la riforma riduca, nello scenario intermedio, tale mobilità di una quota dell’ordine di dieci centesimi nel quinquennio, entro una banda compresa tra circa cinque e diciotto centesimi; e la previsione è smentita se la riduzione osservata si collocasse al di sotto della soglia di confutazione, posta a cinque centesimi. Queste tre previsioni misurano la riduzione del ricorso ai livelli onerosi — il pronto soccorso, l’ospedale, la cura fuori regione — che l’intercettazione del disagio comune al primo livello produce, e che genera, sul piano economico, i risparmi diretti stabiliti dall’ottava parte.</w:t>
      </w:r>
      <w:r>
        <w:rPr>
          <w:rStyle w:val="FootnoteReference"/>
        </w:rPr>
        <w:footnoteReference w:id="327"/>
      </w:r>
    </w:p>
    <w:bookmarkEnd w:id="769"/>
    <w:bookmarkStart w:id="771" w:name="X8f1a89afad2cdf533a57b551eab0341bd9945fa"/>
    <w:p>
      <w:pPr>
        <w:pStyle w:val="Heading2"/>
      </w:pPr>
      <w:r>
        <w:t xml:space="preserve">11.6.3 Le previsioni sulla spesa farmaceutica, sulle cure primarie e il quadro delle previsioni</w:t>
      </w:r>
    </w:p>
    <w:p>
      <w:pPr>
        <w:pStyle w:val="FirstParagraph"/>
      </w:pPr>
      <w:r>
        <w:t xml:space="preserve">La quarta e la quinta previsione sui sistemi sanitari riguardano la riduzione della spesa farmaceutica inappropriata e l’alleggerimento del carico delle cure primarie. La riduzione della spesa farmaceutica inappropriata misura la diminuzione del ricorso ai soli psicofarmaci per il trattamento del disagio comune in assenza dell’intervento psicologico appropriato, che la riforma produce offrendo l’alternativa del trattamento psicologico; essa è l’indicatore dell’effetto della riforma sull’appropriatezza del trattamento farmacologico, che il primo livello psicologico migliora offrendo l’alternativa non farmacologica per il disagio comune che ne è suscettibile. L’alleggerimento del carico delle cure primarie misura la diminuzione delle consultazioni al medico di medicina generale per disagio psicologico, che la riforma produce offrendo al disagio comune la sede propria del primo livello psicologico; esso è l’indicatore dell’effetto della riforma sulle cure primarie, che il disagio comune non intercettato grava chiamando il medico di medicina generale a gestire un disagio per cui non dispone degli strumenti appropriati. Questi due indicatori misurano l’effetto della riforma sull’appropriatezza del trattamento farmacologico e sull’alleggerimento delle cure primarie, completando il quadro dell’effetto sul sistema sanitario.</w:t>
      </w:r>
    </w:p>
    <w:p>
      <w:pPr>
        <w:pStyle w:val="BodyText"/>
      </w:pPr>
      <w:r>
        <w:t xml:space="preserve">Le previsioni su questi indicatori sono formulate in forma falsificabile, e completano il quadro delle previsioni sui sistemi sanitari. La previsione sulla riduzione della spesa farmaceutica inappropriata è che la riforma riduca, nello scenario intermedio, tale spesa di una quota dell’ordine di quindici centesimi nel quinquennio, entro una banda compresa tra circa otto e ventidue centesimi; e la previsione è smentita se la riduzione osservata si collocasse al di sotto della soglia di confutazione, posta a otto centesimi. La previsione sull’alleggerimento del carico delle cure primarie è che la riforma riduca, nello scenario intermedio, le consultazioni al medico di medicina generale per disagio psicologico di una quota dell’ordine di venti centesimi nel quinquennio, entro una banda compresa tra circa dodici e ventotto centesimi; e la previsione è smentita se la riduzione osservata si collocasse al di sotto della soglia di confutazione, posta a dodici centesimi. La tabella che segue raccoglie le previsioni falsificabili sui sistemi sanitari regionali.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Previsione falsificabile sui sistemi sanitari (scenario intermedio)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previsto (banda)</w:t>
            </w:r>
          </w:p>
        </w:tc>
        <w:tc>
          <w:tcPr>
            <w:shd w:val="clear" w:color="auto" w:fill="16264B"/>
          </w:tcPr>
          <w:p>
            <w:pPr>
              <w:pStyle w:val="Compact"/>
              <w:spacing w:after="40" w:before="40"/>
              <w:jc w:val="left"/>
            </w:pPr>
            <w:r>
              <w:rPr>
                <w:rFonts w:ascii="Cambria" w:hAnsi="Cambria" w:cs="Cambria" w:eastAsia="Cambria"/>
                <w:b/>
                <w:bCs/>
                <w:color w:val="FFFFFF"/>
                <w:sz w:val="18"/>
              </w:rPr>
              <w:t xml:space="preserve">Soglia di confutazione</w:t>
            </w:r>
          </w:p>
        </w:tc>
      </w:tr>
      <w:tr>
        <w:tc>
          <w:tcPr/>
          <w:p>
            <w:pPr>
              <w:pStyle w:val="Compact"/>
              <w:spacing w:after="40" w:before="40"/>
              <w:jc w:val="left"/>
            </w:pPr>
            <w:r>
              <w:rPr>
                <w:rFonts w:ascii="Cambria" w:hAnsi="Cambria" w:cs="Cambria" w:eastAsia="Cambria"/>
                <w:color w:val="1A1A1A"/>
                <w:sz w:val="18"/>
              </w:rPr>
              <w:t xml:space="preserve">Riduzione degli accessi impropri al pronto soccorso a cinque anni</w:t>
            </w:r>
          </w:p>
        </w:tc>
        <w:tc>
          <w:tcPr/>
          <w:p>
            <w:pPr>
              <w:pStyle w:val="Compact"/>
              <w:spacing w:after="40" w:before="40"/>
              <w:jc w:val="left"/>
            </w:pPr>
            <w:r>
              <w:rPr>
                <w:rFonts w:ascii="Cambria" w:hAnsi="Cambria" w:cs="Cambria" w:eastAsia="Cambria"/>
                <w:color w:val="1A1A1A"/>
                <w:sz w:val="18"/>
              </w:rPr>
              <w:t xml:space="preserve">~20% (~12%–28%)</w:t>
            </w:r>
          </w:p>
        </w:tc>
        <w:tc>
          <w:tcPr/>
          <w:p>
            <w:pPr>
              <w:pStyle w:val="Compact"/>
              <w:spacing w:after="40" w:before="40"/>
              <w:jc w:val="left"/>
            </w:pPr>
            <w:r>
              <w:rPr>
                <w:rFonts w:ascii="Cambria" w:hAnsi="Cambria" w:cs="Cambria" w:eastAsia="Cambria"/>
                <w:color w:val="1A1A1A"/>
                <w:sz w:val="18"/>
              </w:rPr>
              <w:t xml:space="preserve">&lt; 12%</w:t>
            </w:r>
          </w:p>
        </w:tc>
      </w:tr>
      <w:tr>
        <w:tc>
          <w:tcPr>
            <w:shd w:val="clear" w:color="auto" w:fill="F4F1EC"/>
          </w:tcPr>
          <w:p>
            <w:pPr>
              <w:pStyle w:val="Compact"/>
              <w:spacing w:after="40" w:before="40"/>
              <w:jc w:val="left"/>
            </w:pPr>
            <w:r>
              <w:rPr>
                <w:rFonts w:ascii="Cambria" w:hAnsi="Cambria" w:cs="Cambria" w:eastAsia="Cambria"/>
                <w:color w:val="1A1A1A"/>
                <w:sz w:val="18"/>
              </w:rPr>
              <w:t xml:space="preserve">Riduzione dei ricoveri per disturbi mentali comuni</w:t>
            </w:r>
          </w:p>
        </w:tc>
        <w:tc>
          <w:tcPr>
            <w:shd w:val="clear" w:color="auto" w:fill="F4F1EC"/>
          </w:tcPr>
          <w:p>
            <w:pPr>
              <w:pStyle w:val="Compact"/>
              <w:spacing w:after="40" w:before="40"/>
              <w:jc w:val="left"/>
            </w:pPr>
            <w:r>
              <w:rPr>
                <w:rFonts w:ascii="Cambria" w:hAnsi="Cambria" w:cs="Cambria" w:eastAsia="Cambria"/>
                <w:color w:val="1A1A1A"/>
                <w:sz w:val="18"/>
              </w:rPr>
              <w:t xml:space="preserve">~15% (~8%–22%)</w:t>
            </w:r>
          </w:p>
        </w:tc>
        <w:tc>
          <w:tcPr>
            <w:shd w:val="clear" w:color="auto" w:fill="F4F1EC"/>
          </w:tcPr>
          <w:p>
            <w:pPr>
              <w:pStyle w:val="Compact"/>
              <w:spacing w:after="40" w:before="40"/>
              <w:jc w:val="left"/>
            </w:pPr>
            <w:r>
              <w:rPr>
                <w:rFonts w:ascii="Cambria" w:hAnsi="Cambria" w:cs="Cambria" w:eastAsia="Cambria"/>
                <w:color w:val="1A1A1A"/>
                <w:sz w:val="18"/>
              </w:rPr>
              <w:t xml:space="preserve">&lt; 8%</w:t>
            </w:r>
          </w:p>
        </w:tc>
      </w:tr>
      <w:tr>
        <w:tc>
          <w:tcPr/>
          <w:p>
            <w:pPr>
              <w:pStyle w:val="Compact"/>
              <w:spacing w:after="40" w:before="40"/>
              <w:jc w:val="left"/>
            </w:pPr>
            <w:r>
              <w:rPr>
                <w:rFonts w:ascii="Cambria" w:hAnsi="Cambria" w:cs="Cambria" w:eastAsia="Cambria"/>
                <w:color w:val="1A1A1A"/>
                <w:sz w:val="18"/>
              </w:rPr>
              <w:t xml:space="preserve">Riduzione della mobilità sanitaria passiva per la salute mentale</w:t>
            </w:r>
          </w:p>
        </w:tc>
        <w:tc>
          <w:tcPr/>
          <w:p>
            <w:pPr>
              <w:pStyle w:val="Compact"/>
              <w:spacing w:after="40" w:before="40"/>
              <w:jc w:val="left"/>
            </w:pPr>
            <w:r>
              <w:rPr>
                <w:rFonts w:ascii="Cambria" w:hAnsi="Cambria" w:cs="Cambria" w:eastAsia="Cambria"/>
                <w:color w:val="1A1A1A"/>
                <w:sz w:val="18"/>
              </w:rPr>
              <w:t xml:space="preserve">~10% (~5%–18%)</w:t>
            </w:r>
          </w:p>
        </w:tc>
        <w:tc>
          <w:tcPr/>
          <w:p>
            <w:pPr>
              <w:pStyle w:val="Compact"/>
              <w:spacing w:after="40" w:before="40"/>
              <w:jc w:val="left"/>
            </w:pPr>
            <w:r>
              <w:rPr>
                <w:rFonts w:ascii="Cambria" w:hAnsi="Cambria" w:cs="Cambria" w:eastAsia="Cambria"/>
                <w:color w:val="1A1A1A"/>
                <w:sz w:val="18"/>
              </w:rPr>
              <w:t xml:space="preserve">&lt; 5%</w:t>
            </w:r>
          </w:p>
        </w:tc>
      </w:tr>
      <w:tr>
        <w:tc>
          <w:tcPr>
            <w:shd w:val="clear" w:color="auto" w:fill="F4F1EC"/>
          </w:tcPr>
          <w:p>
            <w:pPr>
              <w:pStyle w:val="Compact"/>
              <w:spacing w:after="40" w:before="40"/>
              <w:jc w:val="left"/>
            </w:pPr>
            <w:r>
              <w:rPr>
                <w:rFonts w:ascii="Cambria" w:hAnsi="Cambria" w:cs="Cambria" w:eastAsia="Cambria"/>
                <w:color w:val="1A1A1A"/>
                <w:sz w:val="18"/>
              </w:rPr>
              <w:t xml:space="preserve">Riduzione della spesa farmaceutica inappropriata (psicofarmaci)</w:t>
            </w:r>
          </w:p>
        </w:tc>
        <w:tc>
          <w:tcPr>
            <w:shd w:val="clear" w:color="auto" w:fill="F4F1EC"/>
          </w:tcPr>
          <w:p>
            <w:pPr>
              <w:pStyle w:val="Compact"/>
              <w:spacing w:after="40" w:before="40"/>
              <w:jc w:val="left"/>
            </w:pPr>
            <w:r>
              <w:rPr>
                <w:rFonts w:ascii="Cambria" w:hAnsi="Cambria" w:cs="Cambria" w:eastAsia="Cambria"/>
                <w:color w:val="1A1A1A"/>
                <w:sz w:val="18"/>
              </w:rPr>
              <w:t xml:space="preserve">~15% (~8%–22%)</w:t>
            </w:r>
          </w:p>
        </w:tc>
        <w:tc>
          <w:tcPr>
            <w:shd w:val="clear" w:color="auto" w:fill="F4F1EC"/>
          </w:tcPr>
          <w:p>
            <w:pPr>
              <w:pStyle w:val="Compact"/>
              <w:spacing w:after="40" w:before="40"/>
              <w:jc w:val="left"/>
            </w:pPr>
            <w:r>
              <w:rPr>
                <w:rFonts w:ascii="Cambria" w:hAnsi="Cambria" w:cs="Cambria" w:eastAsia="Cambria"/>
                <w:color w:val="1A1A1A"/>
                <w:sz w:val="18"/>
              </w:rPr>
              <w:t xml:space="preserve">&lt; 8%</w:t>
            </w:r>
          </w:p>
        </w:tc>
      </w:tr>
      <w:tr>
        <w:tc>
          <w:tcPr/>
          <w:p>
            <w:pPr>
              <w:pStyle w:val="Compact"/>
              <w:spacing w:after="40" w:before="40"/>
              <w:jc w:val="left"/>
            </w:pPr>
            <w:r>
              <w:rPr>
                <w:rFonts w:ascii="Cambria" w:hAnsi="Cambria" w:cs="Cambria" w:eastAsia="Cambria"/>
                <w:color w:val="1A1A1A"/>
                <w:sz w:val="18"/>
              </w:rPr>
              <w:t xml:space="preserve">Alleggerimento del carico delle cure primarie (consultazioni)</w:t>
            </w:r>
          </w:p>
        </w:tc>
        <w:tc>
          <w:tcPr/>
          <w:p>
            <w:pPr>
              <w:pStyle w:val="Compact"/>
              <w:spacing w:after="40" w:before="40"/>
              <w:jc w:val="left"/>
            </w:pPr>
            <w:r>
              <w:rPr>
                <w:rFonts w:ascii="Cambria" w:hAnsi="Cambria" w:cs="Cambria" w:eastAsia="Cambria"/>
                <w:color w:val="1A1A1A"/>
                <w:sz w:val="18"/>
              </w:rPr>
              <w:t xml:space="preserve">~20% (~12%–28%)</w:t>
            </w:r>
          </w:p>
        </w:tc>
        <w:tc>
          <w:tcPr/>
          <w:p>
            <w:pPr>
              <w:pStyle w:val="Compact"/>
              <w:spacing w:after="40" w:before="40"/>
              <w:jc w:val="left"/>
            </w:pPr>
            <w:r>
              <w:rPr>
                <w:rFonts w:ascii="Cambria" w:hAnsi="Cambria" w:cs="Cambria" w:eastAsia="Cambria"/>
                <w:color w:val="1A1A1A"/>
                <w:sz w:val="18"/>
              </w:rPr>
              <w:t xml:space="preserve">&lt; 12%</w:t>
            </w:r>
          </w:p>
        </w:tc>
      </w:tr>
    </w:tbl>
    <w:p>
      <w:pPr>
        <w:pStyle w:val="BodyText"/>
      </w:pPr>
      <w:r>
        <w:rPr>
          <w:i/>
          <w:iCs/>
        </w:rPr>
        <w:t xml:space="preserve">Tabella 11.11 — Le previsioni falsificabili sui sistemi sanitari regionali, nello scenario intermedio, ciascuna con la banda prevista e la soglia di confutazione. Le previsioni misurano, sul piano fisico (accessi, ricoveri, prestazioni), la riduzione del ricorso ai livelli onerosi che, sul piano economico, genera i risparmi diretti dell’ottava parte.</w:t>
      </w:r>
    </w:p>
    <w:p>
      <w:pPr>
        <w:pStyle w:val="BodyText"/>
      </w:pPr>
      <w:r>
        <w:t xml:space="preserve">Le previsioni sui sistemi sanitari sono corredate dei metodi con cui saranno verificate a posteriori. La riduzione degli accessi impropri al pronto soccorso, dei ricoveri e della mobilità passiva sarà verificata attraverso l’analisi dei flussi del sistema sanitario — gli accessi al pronto soccorso, le schede di dimissione ospedaliera, i flussi della mobilità interregionale — confrontandone l’andamento osservato con quello atteso in assenza di riforma. La riduzione della spesa farmaceutica inappropriata sarà verificata attraverso l’analisi dei flussi della spesa farmaceutica per gli psicofarmaci, confrontandone l’andamento prima e dopo. L’alleggerimento del carico delle cure primarie sarà verificato attraverso l’analisi delle consultazioni al medico di medicina generale per disagio psicologico, ove rilevabili dai sistemi informativi delle cure primarie. Questi metodi di verifica, fondati sui flussi del sistema sanitario, consentono la verifica diretta delle previsioni sui sistemi sanitari, e si raccordano con la verifica dei risparmi diretti sui bilanci: la verifica fisica delle previsioni sui sistemi e la verifica economica delle previsioni sui bilanci convergono sui medesimi fenomeni, l’una in termini di accessi e prestazioni, l’altra in termini di euro, e la quindicesima parte ne condurrà congiuntamente il riscontro.</w:t>
      </w:r>
      <w:r>
        <w:rPr>
          <w:rStyle w:val="FootnoteReference"/>
        </w:rPr>
        <w:footnoteReference w:id="328"/>
      </w:r>
    </w:p>
    <w:bookmarkEnd w:id="771"/>
    <w:bookmarkStart w:id="773" w:name="Xe10357d637f4aadd4299dda5497ab934476365b"/>
    <w:p>
      <w:pPr>
        <w:pStyle w:val="Heading2"/>
      </w:pPr>
      <w:r>
        <w:t xml:space="preserve">11.6.4 La graduazione, le bande e i confini delle previsioni sui sistemi sanitari</w:t>
      </w:r>
    </w:p>
    <w:p>
      <w:pPr>
        <w:pStyle w:val="FirstParagraph"/>
      </w:pPr>
      <w:r>
        <w:t xml:space="preserve">La solidità delle previsioni sui sistemi sanitari va dichiarata, distinguendone le componenti e tenendo conto del raccordo con i risparmi diretti. La direzione delle previsioni — la riduzione degli accessi, dei ricoveri, della mobilità, della spesa farmaceutica, del carico sulle cure primarie — è sostenuta da fondamento solido, perché discende dall’intercettazione del disagio comune al primo livello, che ne riduce il ricorso ai livelli onerosi: che l’intercettazione precoce riduca il ricorso ai livelli di cura più costosi è conclusione robusta. L’entità delle previsioni è invece sostenuta da evidenza di qualità moderata, e soggetta, per la componente che si traduce in risparmi diretti, al caveat dell’IMPACT trial: la riduzione degli accessi, dei ricoveri e della spesa farmaceutica, che genera i risparmi diretti, è prevista con l’incertezza che il caveat comporta, riflessa nelle bande. Le previsioni sui sistemi sanitari sono perciò formulate come bande, con soglie di confutazione collocate al di sotto, e la loro entità eredita l’incertezza dei risparmi diretti cui si raccorda. Esse sono dunque solide nella direzione e graduate da moderata nell’entità, con la cautela del caveat per la componente fisica che si traduce in risparmi.</w:t>
      </w:r>
      <w:r>
        <w:rPr>
          <w:rStyle w:val="FootnoteReference"/>
        </w:rPr>
        <w:footnoteReference w:id="329"/>
      </w:r>
    </w:p>
    <w:p>
      <w:pPr>
        <w:pStyle w:val="BodyText"/>
      </w:pPr>
      <w:r>
        <w:t xml:space="preserve">Da questa graduazione discendono i confini delle previsioni sui sistemi sanitari e il loro rapporto con le altre dimensioni. In primo luogo, le previsioni sui sistemi sanitari misurano gli stessi fenomeni che generano i risparmi diretti, espressi sul piano fisico anziché economico; esse non costituiscono perciò una dimensione economica autonoma, ma il riscontro fisico dei risparmi diretti, e il loro valore economico è già computato nei risparmi, senza duplicazione. In secondo luogo, le previsioni sui sistemi sanitari ereditano il caveat dell’IMPACT trial per la componente che si traduce in risparmi, e la loro verifica concorrerà a determinare la realtà dei risparmi diretti. In terzo luogo, la verifica delle previsioni richiede l’accesso ai flussi del sistema sanitario, che la quindicesima parte impiegherà congiuntamente alla verifica dei risparmi diretti. Le previsioni sui sistemi sanitari stabiliscono così il quarto gruppo di enunciati falsificabili della parte, riferito all’alleggerimento del sistema sanitario, e lo consegnano alla verifica della quindicesima parte. Stabilite le previsioni sui quattro ambiti, la parte può ora individuare le soglie il cui superamento modifica la raccomandazione.</w:t>
      </w:r>
    </w:p>
    <w:bookmarkEnd w:id="773"/>
    <w:bookmarkEnd w:id="774"/>
    <w:bookmarkStart w:id="784" w:name="Xdc7ef8b6765466bdc6ce3c89d7030fab8d99d55"/>
    <w:p>
      <w:pPr>
        <w:pStyle w:val="Heading2"/>
      </w:pPr>
      <w:r>
        <w:t xml:space="preserve">11.7 Le soglie che modificano la raccomandazione</w:t>
      </w:r>
    </w:p>
    <w:p>
      <w:pPr>
        <w:pStyle w:val="FirstParagraph"/>
      </w:pPr>
      <w:r>
        <w:rPr>
          <w:i/>
          <w:iCs/>
        </w:rPr>
        <w:t xml:space="preserve">La settima e conclusiva voce individua le soglie il cui superamento modifica la raccomandazione, ossia i valori dei parametri al di là dei quali la riforma cesserebbe di essere favorevole. Essa identifica, per ciascuna dimensione del valore, il punto di ribaltamento — il valore di efficacia, di costo, di rendimento o di sostenibilità che, se raggiunto, modificherebbe la conclusione — e ne misura il margine rispetto al valore atteso, ossia la distanza che separa il valore atteso dal punto di ribaltamento. La voce rende così la raccomandazione stessa falsificabile, indicando le condizioni al verificarsi delle quali essa andrebbe rivista, e ne misura la robustezza attraverso i margini che la separano dalle soglie.</w:t>
      </w:r>
    </w:p>
    <w:bookmarkStart w:id="776" w:name="X55a7ddf5045395ef68d5d7e20e16476ea075433"/>
    <w:p>
      <w:pPr>
        <w:pStyle w:val="Heading2"/>
      </w:pPr>
      <w:r>
        <w:t xml:space="preserve">11.7.1 La logica delle soglie che modificano la raccomandazione</w:t>
      </w:r>
    </w:p>
    <w:p>
      <w:pPr>
        <w:pStyle w:val="FirstParagraph"/>
      </w:pPr>
      <w:r>
        <w:t xml:space="preserve">Le soglie che modificano la raccomandazione sono i valori dei parametri al di là dei quali la riforma cesserebbe di essere favorevole, e la loro individuazione è il completamento della falsificabilità sul piano della raccomandazione. Le previsioni delle voci precedenti hanno reso falsificabili i singoli esiti della riforma, indicando per ciascuno la soglia di confutazione; ma la raccomandazione complessiva sulla riforma — il giudizio favorevole che lo studio formula — richiede a sua volta di essere resa falsificabile, indicando le condizioni al verificarsi delle quali essa andrebbe rivista. Le soglie che modificano la raccomandazione assolvono questo compito: esse identificano, per ciascuna dimensione del valore, il punto di ribaltamento — il valore di efficacia al di sotto del quale la riforma cessa di essere costo-efficace, il valore di costo al di sopra del quale cessa di esserlo, il valore di rendimento al di sotto del quale esce dalla fascia di Chisholm, il valore di sostenibilità al di sopra del quale grava eccessivamente sul bilancio — al di là del quale la conclusione favorevole su quella dimensione andrebbe rivista. L’individuazione delle soglie rende perciò falsificabile la raccomandazione, indicando le condizioni della sua revisione, e ne consente la verifica: se i parametri osservati superassero le soglie, la raccomandazione andrebbe rivista; se restassero sul versante favorevole, essa sarebbe confermata.</w:t>
      </w:r>
      <w:r>
        <w:rPr>
          <w:rStyle w:val="FootnoteReference"/>
        </w:rPr>
        <w:footnoteReference w:id="330"/>
      </w:r>
    </w:p>
    <w:p>
      <w:pPr>
        <w:pStyle w:val="BodyText"/>
      </w:pPr>
      <w:r>
        <w:t xml:space="preserve">L’individuazione delle soglie consente inoltre di misurare la robustezza della raccomandazione, attraverso il margine che separa il valore atteso dal punto di ribaltamento. Il margine è la distanza tra il valore atteso di un parametro e il valore di soglia al di là del quale la raccomandazione andrebbe rivista; esso misura quanto il valore atteso dovrebbe discostarsi dalla previsione perché la raccomandazione mutasse. Un margine ampio indica una raccomandazione robusta, che resterebbe favorevole anche per scostamenti rilevanti del parametro dal valore atteso; un margine ristretto indica una raccomandazione fragile, che muterebbe per scostamenti modesti. La misura dei margini consente perciò di valutare la robustezza della raccomandazione su ciascuna dimensione, e di individuare le dimensioni su cui essa è più o meno robusta. La voce misura i margini su ciascuna dimensione del valore, e ne trae la valutazione della robustezza della raccomandazione, distinguendo le dimensioni su cui i margini sono ampi da quelle su cui sono più ristretti.</w:t>
      </w:r>
    </w:p>
    <w:bookmarkEnd w:id="776"/>
    <w:bookmarkStart w:id="778" w:name="Xc65ea975df70adc1c12f0bcfec003cbc4b7176c"/>
    <w:p>
      <w:pPr>
        <w:pStyle w:val="Heading2"/>
      </w:pPr>
      <w:r>
        <w:t xml:space="preserve">11.7.2 Le soglie di costo-efficacia: l’efficacia e il costo</w:t>
      </w:r>
    </w:p>
    <w:p>
      <w:pPr>
        <w:pStyle w:val="FirstParagraph"/>
      </w:pPr>
      <w:r>
        <w:t xml:space="preserve">La prima e la seconda soglia attengono alla dimensione della costo-efficacia, e riguardano l’efficacia e il costo. La conclusione di costo-efficacia riposa sul rapporto tra il costo e i guadagni di salute, che il valore atteso colloca ampiamente al di sotto della soglia convenzionale di disponibilità a pagare; e tale conclusione muterebbe se l’efficacia cadesse al punto da ridurre i guadagni di salute fino a portare il rapporto alla soglia, o se il costo crescesse al punto da portarvi il rapporto. La soglia dell’efficacia è il valore al di sotto del quale i guadagni di salute, ridotti dalla minore efficacia, porterebbero il rapporto costo-efficacia alla soglia convenzionale: poiché il rapporto atteso è dell’ordine di diciassettemila euro per anno di vita in buona salute, e la soglia convenzionale è dell’ordine di trentamila euro, i guadagni di salute dovrebbero ridursi di una quota dell’ordine di quaranta centesimi perché il rapporto raggiungesse la soglia. Il margine sull’efficacia è perciò ampio: l’efficacia dovrebbe cadere di circa quaranta centesimi rispetto al valore atteso perché la riforma cessasse di essere costo-efficace alla soglia convenzionale, e di circa trenta centesimi perché cessasse di esserlo alla soglia inferiore dell’intervallo convenzionale. La soglia del costo è il valore al di sopra del quale il costo, accresciuto, porterebbe il rapporto alla soglia convenzionale: il costo dovrebbe crescere di una quota dell’ordine di settanta centesimi perché il rapporto raggiungesse la soglia convenzionale. Il margine sul costo è perciò ampio: il costo dovrebbe crescere di circa settanta centesimi rispetto al valore atteso perché la riforma cessasse di essere costo-efficace.</w:t>
      </w:r>
    </w:p>
    <w:p>
      <w:pPr>
        <w:pStyle w:val="BodyText"/>
      </w:pPr>
      <w:r>
        <w:t xml:space="preserve">I margini sull’efficacia e sul costo sono ampi, e fondano la robustezza della conclusione di costo-efficacia. Il margine sull’efficacia — dell’ordine di quaranta centesimi alla soglia convenzionale — indica che la conclusione di costo-efficacia resisterebbe a una caduta dell’efficacia molto rilevante, ben superiore all’incertezza dell’efficacia stessa, graduata da moderata ad alta nella sesta parte: l’efficacia dovrebbe risultare inferiore di quasi la metà al valore atteso perché la riforma cessasse di essere costo-efficace. Il margine sul costo — dell’ordine di settanta centesimi — indica che la conclusione resisterebbe a un aumento del costo molto rilevante, ben superiore all’incertezza del costo, stabilito dalla settima parte con elevata precisione: il costo dovrebbe risultare di oltre due terzi superiore al valore atteso perché la riforma cessasse di essere costo-efficace. L’ampiezza di questi margini è coerente con il risultato dell’analisi di sensibilità probabilistica, che ha collocato la probabilità di costo-efficacia, alla soglia convenzionale, dell’ordine del novantacinque per cento: i margini ampi sono la traduzione deterministica dell’elevata probabilità di costo-efficacia, e ne confermano la robustezza. La conclusione di costo-efficacia, che la decima parte ha qualificato come il risultato più robusto della valutazione, è dunque sostenuta da margini ampi sull’efficacia e sul costo, che ne attestano la resistenza a scostamenti rilevanti dei parametri.</w:t>
      </w:r>
      <w:r>
        <w:rPr>
          <w:rStyle w:val="FootnoteReference"/>
        </w:rPr>
        <w:footnoteReference w:id="331"/>
      </w:r>
    </w:p>
    <w:bookmarkEnd w:id="778"/>
    <w:bookmarkStart w:id="779" w:name="X713987078e0cd5a12c17d93f0416e0410f7f775"/>
    <w:p>
      <w:pPr>
        <w:pStyle w:val="Heading2"/>
      </w:pPr>
      <w:r>
        <w:t xml:space="preserve">11.7.3 La soglia del rendimento sociale e la soglia di sostenibilità</w:t>
      </w:r>
    </w:p>
    <w:p>
      <w:pPr>
        <w:pStyle w:val="FirstParagraph"/>
      </w:pPr>
      <w:r>
        <w:t xml:space="preserve">La terza e la quarta soglia attengono alle dimensioni del rendimento sociale e della sostenibilità di bilancio. La conclusione sul rendimento sociale riposa sul rapporto tra i benefici indiretti e il costo, che il valore atteso colloca entro la fascia di Chisholm; e tale conclusione muterebbe se i benefici indiretti cadessero al punto da portare il rapporto al di sotto del margine inferiore della fascia. La soglia del rendimento sociale è il valore al di sotto del quale i benefici indiretti, ridotti, porterebbero il rapporto al di sotto del margine inferiore della prima fascia di Chisholm, dell’ordine di due virgola tre a uno: poiché il rapporto atteso è dell’ordine di due virgola sei a uno, i benefici indiretti dovrebbero ridursi di una quota dell’ordine di dodici centesimi perché il rapporto scendesse al di sotto della fascia. Il margine sul rendimento sociale è perciò più ristretto di quello sulla costo-efficacia: i benefici indiretti dovrebbero ridursi di circa dodici centesimi rispetto al valore atteso perché il rapporto uscisse dalla fascia di Chisholm. La conclusione sulla sostenibilità di bilancio riposa sull’incidenza dell’impatto netto sul Fondo sanitario regionale, che il valore atteso colloca entro frazioni contenute dell’uno per cento; e tale conclusione muterebbe se il costo crescesse al punto da portare l’incidenza a una soglia di rilevanza, convenzionalmente posta all’uno per cento del Fondo. La soglia di sostenibilità è il valore al di sopra del quale il costo, accresciuto, porterebbe l’incidenza all’uno per cento del Fondo: poiché il costo lordo, nella variante prudenziale, incide per circa mezzo punto percentuale, il costo dovrebbe all’incirca raddoppiare perché l’incidenza raggiungesse l’uno per cento. Il margine sulla sostenibilità è perciò ampio: il costo dovrebbe all’incirca raddoppiare perché la riforma raggiungesse la soglia di rilevanza sul Fondo.</w:t>
      </w:r>
    </w:p>
    <w:p>
      <w:pPr>
        <w:pStyle w:val="BodyText"/>
      </w:pPr>
      <w:r>
        <w:t xml:space="preserve">I margini sul rendimento sociale e sulla sostenibilità presentano ampiezze diverse, che ne articolano la robustezza. Il margine sul rendimento sociale — dell’ordine di dodici centesimi — è più ristretto di quelli sulla costo-efficacia, perché il rapporto atteso, dell’ordine di due virgola sei a uno, è più prossimo al margine inferiore della fascia di Chisholm, dell’ordine di due virgola tre a uno, di quanto il rapporto costo-efficacia atteso sia prossimo alla soglia convenzionale; la conclusione sul rendimento sociale è perciò meno robusta di quella sulla costo-efficacia, e una caduta dei benefici indiretti dell’ordine di un ottavo porterebbe il rapporto al di sotto della fascia. Va tuttavia rilevato che, anche al di sotto della prima fascia di Chisholm, la riforma manterrebbe un rendimento sociale positivo, ancorché inferiore alla fascia: il superamento della soglia non annullerebbe il rendimento sociale, ma lo collocherebbe al di sotto della fascia di riferimento. Il margine sulla sostenibilità — dell’ordine del raddoppio del costo — è ampio, perché il costo, anche nella variante prudenziale, incide per una frazione contenuta del Fondo, lontana dalla soglia di rilevanza; la conclusione sulla sostenibilità è perciò robusta, e resisterebbe a un aumento del costo molto rilevante. La tabella che segue raccoglie le soglie che modificano la raccomandazione e i margini rispetto al valore atteso.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Soglia che modifica la raccomandazione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Punto di ribaltamento</w:t>
            </w:r>
          </w:p>
        </w:tc>
        <w:tc>
          <w:tcPr>
            <w:shd w:val="clear" w:color="auto" w:fill="16264B"/>
          </w:tcPr>
          <w:p>
            <w:pPr>
              <w:pStyle w:val="Compact"/>
              <w:spacing w:after="40" w:before="40"/>
              <w:jc w:val="left"/>
            </w:pPr>
            <w:r>
              <w:rPr>
                <w:rFonts w:ascii="Cambria" w:hAnsi="Cambria" w:cs="Cambria" w:eastAsia="Cambria"/>
                <w:b/>
                <w:bCs/>
                <w:color w:val="FFFFFF"/>
                <w:sz w:val="18"/>
              </w:rPr>
              <w:t xml:space="preserve">Margine rispetto al valore atteso</w:t>
            </w:r>
          </w:p>
        </w:tc>
      </w:tr>
      <w:tr>
        <w:tc>
          <w:tcPr/>
          <w:p>
            <w:pPr>
              <w:pStyle w:val="Compact"/>
              <w:spacing w:after="40" w:before="40"/>
              <w:jc w:val="left"/>
            </w:pPr>
            <w:r>
              <w:rPr>
                <w:rFonts w:ascii="Cambria" w:hAnsi="Cambria" w:cs="Cambria" w:eastAsia="Cambria"/>
                <w:color w:val="1A1A1A"/>
                <w:sz w:val="18"/>
              </w:rPr>
              <w:t xml:space="preserve">Efficacia (guadagni di salute) — costo-efficacia alla soglia convenzionale</w:t>
            </w:r>
          </w:p>
        </w:tc>
        <w:tc>
          <w:tcPr/>
          <w:p>
            <w:pPr>
              <w:pStyle w:val="Compact"/>
              <w:spacing w:after="40" w:before="40"/>
              <w:jc w:val="left"/>
            </w:pPr>
            <w:r>
              <w:rPr>
                <w:rFonts w:ascii="Cambria" w:hAnsi="Cambria" w:cs="Cambria" w:eastAsia="Cambria"/>
                <w:color w:val="1A1A1A"/>
                <w:sz w:val="18"/>
              </w:rPr>
              <w:t xml:space="preserve">caduta dei guadagni di salute</w:t>
            </w:r>
          </w:p>
        </w:tc>
        <w:tc>
          <w:tcPr/>
          <w:p>
            <w:pPr>
              <w:pStyle w:val="Compact"/>
              <w:spacing w:after="40" w:before="40"/>
              <w:jc w:val="left"/>
            </w:pPr>
            <w:r>
              <w:rPr>
                <w:rFonts w:ascii="Cambria" w:hAnsi="Cambria" w:cs="Cambria" w:eastAsia="Cambria"/>
                <w:color w:val="1A1A1A"/>
                <w:sz w:val="18"/>
              </w:rPr>
              <w:t xml:space="preserve">~40%</w:t>
            </w:r>
          </w:p>
        </w:tc>
      </w:tr>
      <w:tr>
        <w:tc>
          <w:tcPr>
            <w:shd w:val="clear" w:color="auto" w:fill="F4F1EC"/>
          </w:tcPr>
          <w:p>
            <w:pPr>
              <w:pStyle w:val="Compact"/>
              <w:spacing w:after="40" w:before="40"/>
              <w:jc w:val="left"/>
            </w:pPr>
            <w:r>
              <w:rPr>
                <w:rFonts w:ascii="Cambria" w:hAnsi="Cambria" w:cs="Cambria" w:eastAsia="Cambria"/>
                <w:color w:val="1A1A1A"/>
                <w:sz w:val="18"/>
              </w:rPr>
              <w:t xml:space="preserve">Costo del programma — costo-efficacia alla soglia convenzionale</w:t>
            </w:r>
          </w:p>
        </w:tc>
        <w:tc>
          <w:tcPr>
            <w:shd w:val="clear" w:color="auto" w:fill="F4F1EC"/>
          </w:tcPr>
          <w:p>
            <w:pPr>
              <w:pStyle w:val="Compact"/>
              <w:spacing w:after="40" w:before="40"/>
              <w:jc w:val="left"/>
            </w:pPr>
            <w:r>
              <w:rPr>
                <w:rFonts w:ascii="Cambria" w:hAnsi="Cambria" w:cs="Cambria" w:eastAsia="Cambria"/>
                <w:color w:val="1A1A1A"/>
                <w:sz w:val="18"/>
              </w:rPr>
              <w:t xml:space="preserve">aumento del costo</w:t>
            </w:r>
          </w:p>
        </w:tc>
        <w:tc>
          <w:tcPr>
            <w:shd w:val="clear" w:color="auto" w:fill="F4F1EC"/>
          </w:tcPr>
          <w:p>
            <w:pPr>
              <w:pStyle w:val="Compact"/>
              <w:spacing w:after="40" w:before="40"/>
              <w:jc w:val="left"/>
            </w:pPr>
            <w:r>
              <w:rPr>
                <w:rFonts w:ascii="Cambria" w:hAnsi="Cambria" w:cs="Cambria" w:eastAsia="Cambria"/>
                <w:color w:val="1A1A1A"/>
                <w:sz w:val="18"/>
              </w:rPr>
              <w:t xml:space="preserve">~70%</w:t>
            </w:r>
          </w:p>
        </w:tc>
      </w:tr>
      <w:tr>
        <w:tc>
          <w:tcPr/>
          <w:p>
            <w:pPr>
              <w:pStyle w:val="Compact"/>
              <w:spacing w:after="40" w:before="40"/>
              <w:jc w:val="left"/>
            </w:pPr>
            <w:r>
              <w:rPr>
                <w:rFonts w:ascii="Cambria" w:hAnsi="Cambria" w:cs="Cambria" w:eastAsia="Cambria"/>
                <w:color w:val="1A1A1A"/>
                <w:sz w:val="18"/>
              </w:rPr>
              <w:t xml:space="preserve">Benefici indiretti — rapporto entro la fascia di Chisholm</w:t>
            </w:r>
          </w:p>
        </w:tc>
        <w:tc>
          <w:tcPr/>
          <w:p>
            <w:pPr>
              <w:pStyle w:val="Compact"/>
              <w:spacing w:after="40" w:before="40"/>
              <w:jc w:val="left"/>
            </w:pPr>
            <w:r>
              <w:rPr>
                <w:rFonts w:ascii="Cambria" w:hAnsi="Cambria" w:cs="Cambria" w:eastAsia="Cambria"/>
                <w:color w:val="1A1A1A"/>
                <w:sz w:val="18"/>
              </w:rPr>
              <w:t xml:space="preserve">caduta dei benefici indiretti</w:t>
            </w:r>
          </w:p>
        </w:tc>
        <w:tc>
          <w:tcPr/>
          <w:p>
            <w:pPr>
              <w:pStyle w:val="Compact"/>
              <w:spacing w:after="40" w:before="40"/>
              <w:jc w:val="left"/>
            </w:pPr>
            <w:r>
              <w:rPr>
                <w:rFonts w:ascii="Cambria" w:hAnsi="Cambria" w:cs="Cambria" w:eastAsia="Cambria"/>
                <w:color w:val="1A1A1A"/>
                <w:sz w:val="18"/>
              </w:rPr>
              <w:t xml:space="preserve">~12%</w:t>
            </w:r>
          </w:p>
        </w:tc>
      </w:tr>
      <w:tr>
        <w:tc>
          <w:tcPr>
            <w:shd w:val="clear" w:color="auto" w:fill="F4F1EC"/>
          </w:tcPr>
          <w:p>
            <w:pPr>
              <w:pStyle w:val="Compact"/>
              <w:spacing w:after="40" w:before="40"/>
              <w:jc w:val="left"/>
            </w:pPr>
            <w:r>
              <w:rPr>
                <w:rFonts w:ascii="Cambria" w:hAnsi="Cambria" w:cs="Cambria" w:eastAsia="Cambria"/>
                <w:color w:val="1A1A1A"/>
                <w:sz w:val="18"/>
              </w:rPr>
              <w:t xml:space="preserve">Costo del programma — incidenza all’1% del Fondo sanitario</w:t>
            </w:r>
          </w:p>
        </w:tc>
        <w:tc>
          <w:tcPr>
            <w:shd w:val="clear" w:color="auto" w:fill="F4F1EC"/>
          </w:tcPr>
          <w:p>
            <w:pPr>
              <w:pStyle w:val="Compact"/>
              <w:spacing w:after="40" w:before="40"/>
              <w:jc w:val="left"/>
            </w:pPr>
            <w:r>
              <w:rPr>
                <w:rFonts w:ascii="Cambria" w:hAnsi="Cambria" w:cs="Cambria" w:eastAsia="Cambria"/>
                <w:color w:val="1A1A1A"/>
                <w:sz w:val="18"/>
              </w:rPr>
              <w:t xml:space="preserve">aumento del costo</w:t>
            </w:r>
          </w:p>
        </w:tc>
        <w:tc>
          <w:tcPr>
            <w:shd w:val="clear" w:color="auto" w:fill="F4F1EC"/>
          </w:tcPr>
          <w:p>
            <w:pPr>
              <w:pStyle w:val="Compact"/>
              <w:spacing w:after="40" w:before="40"/>
              <w:jc w:val="left"/>
            </w:pPr>
            <w:r>
              <w:rPr>
                <w:rFonts w:ascii="Cambria" w:hAnsi="Cambria" w:cs="Cambria" w:eastAsia="Cambria"/>
                <w:color w:val="1A1A1A"/>
                <w:sz w:val="18"/>
              </w:rPr>
              <w:t xml:space="preserve">~100% (raddoppio)</w:t>
            </w:r>
          </w:p>
        </w:tc>
      </w:tr>
      <w:tr>
        <w:tc>
          <w:tcPr/>
          <w:p>
            <w:pPr>
              <w:pStyle w:val="Compact"/>
              <w:spacing w:after="40" w:before="40"/>
              <w:jc w:val="left"/>
            </w:pPr>
            <w:r>
              <w:rPr>
                <w:rFonts w:ascii="Cambria" w:hAnsi="Cambria" w:cs="Cambria" w:eastAsia="Cambria"/>
                <w:color w:val="1A1A1A"/>
                <w:sz w:val="18"/>
              </w:rPr>
              <w:t xml:space="preserve">Copertura — costo-efficacia su tutta la gamma</w:t>
            </w:r>
          </w:p>
        </w:tc>
        <w:tc>
          <w:tcPr/>
          <w:p>
            <w:pPr>
              <w:pStyle w:val="Compact"/>
              <w:spacing w:after="40" w:before="40"/>
              <w:jc w:val="left"/>
            </w:pPr>
            <w:r>
              <w:rPr>
                <w:rFonts w:ascii="Cambria" w:hAnsi="Cambria" w:cs="Cambria" w:eastAsia="Cambria"/>
                <w:color w:val="1A1A1A"/>
                <w:sz w:val="18"/>
              </w:rPr>
              <w:t xml:space="preserve">al di sotto dello scenario conservativo</w:t>
            </w:r>
          </w:p>
        </w:tc>
        <w:tc>
          <w:tcPr/>
          <w:p>
            <w:pPr>
              <w:pStyle w:val="Compact"/>
              <w:spacing w:after="40" w:before="40"/>
              <w:jc w:val="left"/>
            </w:pPr>
            <w:r>
              <w:rPr>
                <w:rFonts w:ascii="Cambria" w:hAnsi="Cambria" w:cs="Cambria" w:eastAsia="Cambria"/>
                <w:color w:val="1A1A1A"/>
                <w:sz w:val="18"/>
              </w:rPr>
              <w:t xml:space="preserve">l’intera gamma è sopra soglia</w:t>
            </w:r>
          </w:p>
        </w:tc>
      </w:tr>
    </w:tbl>
    <w:p>
      <w:pPr>
        <w:pStyle w:val="BodyText"/>
      </w:pPr>
      <w:r>
        <w:rPr>
          <w:i/>
          <w:iCs/>
        </w:rPr>
        <w:t xml:space="preserve">Tabella 11.12 — Le soglie il cui superamento modifica la raccomandazione, e i margini che separano il valore atteso dal punto di ribaltamento. I margini sulla costo-efficacia e sulla sostenibilità sono ampi; il margine sul rendimento sociale è più ristretto, ma anche al di sotto della fascia di Chisholm il rendimento resterebbe positivo. La copertura è sopra soglia su tutta la gamma degli scenari.</w:t>
      </w:r>
    </w:p>
    <w:bookmarkEnd w:id="779"/>
    <w:bookmarkStart w:id="781" w:name="X720628a0a841e1b4201c00c6ef6f8a3daaf83aa"/>
    <w:p>
      <w:pPr>
        <w:pStyle w:val="Heading2"/>
      </w:pPr>
      <w:r>
        <w:t xml:space="preserve">11.7.4 I margini, la copertura e la robustezza complessiva della raccomandazione</w:t>
      </w:r>
    </w:p>
    <w:p>
      <w:pPr>
        <w:pStyle w:val="FirstParagraph"/>
      </w:pPr>
      <w:r>
        <w:t xml:space="preserve">La quinta soglia attiene alla copertura, ossia al livello di attivazione della riforma al di sotto del quale essa cesserebbe di essere costo-efficace, e la sua collocazione conferma la robustezza della raccomandazione rispetto al dimensionamento. La conclusione di costo-efficacia è stata stabilita per tutti e tre gli scenari di copertura — conservativo, intermedio ed espansivo — e in tutti e tre il rapporto costo-efficacia è risultato ampiamente al di sotto della soglia convenzionale; ne consegue che il livello di copertura al di sotto del quale la riforma cesserebbe di essere costo-efficace è inferiore allo scenario conservativo, ossia al di sotto della gamma degli scenari considerati. La soglia di copertura è dunque collocata al di sotto dell’intera gamma degli scenari: quale che sia lo scenario di copertura adottato, entro la gamma considerata, la riforma resta costo-efficace, e la raccomandazione non muta al variare del dimensionamento entro tale gamma. Questa collocazione conferma la robustezza della raccomandazione rispetto al dimensionamento, già rilevata dall’analisi di sensibilità probabilistica: la raccomandazione non dipende dalla scelta dello scenario di copertura, ma vale per l’intera gamma, dal conservativo all’espansivo.</w:t>
      </w:r>
    </w:p>
    <w:p>
      <w:pPr>
        <w:pStyle w:val="BodyText"/>
      </w:pPr>
      <w:r>
        <w:t xml:space="preserve">La valutazione complessiva dei margini consente di formulare un giudizio sulla robustezza della raccomandazione, articolato per dimensione. Sulla dimensione della costo-efficacia, i margini sono ampi — dell’ordine di quaranta centesimi sull’efficacia e di settanta sul costo — e la raccomandazione è perciò molto robusta: la conclusione di costo-efficacia resisterebbe a scostamenti molto rilevanti dei parametri, coerentemente con l’elevata probabilità di costo-efficacia rilevata dall’analisi di sensibilità. Sulla dimensione della sostenibilità di bilancio, il margine è ampio — dell’ordine del raddoppio del costo — e la raccomandazione è perciò robusta: la conclusione di sostenibilità resisterebbe a un aumento del costo molto rilevante. Sulla dimensione del rendimento sociale, il margine è più ristretto — dell’ordine di dodici centesimi — e la raccomandazione è perciò meno robusta su questa dimensione: una caduta dei benefici indiretti dell’ordine di un ottavo porterebbe il rapporto al di sotto della fascia di Chisholm, ancorché il rendimento resterebbe positivo. Sulla dimensione della copertura, la soglia è al di sotto dell’intera gamma degli scenari, e la raccomandazione è perciò robusta rispetto al dimensionamento. La robustezza complessiva della raccomandazione è dunque elevata sulla costo-efficacia, sulla sostenibilità e sulla copertura, e più contenuta sul rendimento sociale, su cui il margine è più ristretto; e questa articolazione individua nel rendimento sociale la dimensione su cui la verifica ex-post andrà condotta con maggiore attenzione, perché su essa il margine è minore.</w:t>
      </w:r>
      <w:r>
        <w:rPr>
          <w:rStyle w:val="FootnoteReference"/>
        </w:rPr>
        <w:footnoteReference w:id="332"/>
      </w:r>
    </w:p>
    <w:bookmarkEnd w:id="781"/>
    <w:bookmarkStart w:id="783" w:name="X40412e8a5597cd10eba9db6f4c35d499eede6cb"/>
    <w:p>
      <w:pPr>
        <w:pStyle w:val="Heading2"/>
      </w:pPr>
      <w:r>
        <w:t xml:space="preserve">11.7.5 La graduazione, i confini e il raccordo con il resto dello studio</w:t>
      </w:r>
    </w:p>
    <w:p>
      <w:pPr>
        <w:pStyle w:val="FirstParagraph"/>
      </w:pPr>
      <w:r>
        <w:t xml:space="preserve">La solidità dell’individuazione delle soglie va dichiarata, distinguendone le componenti. Il metodo dell’individuazione delle soglie — il calcolo del valore del parametro al di là del quale la conclusione muterebbe — è solido, perché è la procedura consolidata dell’analisi di soglia nella valutazione economica. I valori delle soglie e dei margini sono sostenuti da fondamento coerente con le grandezze dello studio, perché sono calcolati a partire dai valori attesi e dalle soglie di riferimento — la soglia convenzionale di costo-efficacia, la fascia di Chisholm, la soglia di rilevanza sul Fondo — stabiliti dalle parti precedenti; ma essi dipendono dalla scelta delle soglie di riferimento, e una diversa scelta — una diversa soglia convenzionale, una diversa soglia di rilevanza — produrrebbe margini lievemente diversi. I margini sono perciò robusti nel loro ordine di grandezza, e nella loro graduazione relativa — ampi sulla costo-efficacia e sulla sostenibilità, più ristretto sul rendimento sociale — ma da leggere come stime soggette alla scelta delle soglie di riferimento, non come valori di precisione puntuale. La graduazione relativa dei margini, che individua nel rendimento sociale la dimensione meno robusta, è solida, perché vale per ragionevoli variazioni delle soglie di riferimento.</w:t>
      </w:r>
      <w:r>
        <w:rPr>
          <w:rStyle w:val="FootnoteReference"/>
        </w:rPr>
        <w:footnoteReference w:id="333"/>
      </w:r>
    </w:p>
    <w:p>
      <w:pPr>
        <w:pStyle w:val="BodyText"/>
      </w:pPr>
      <w:r>
        <w:t xml:space="preserve">L’individuazione delle soglie completa la parte e ne prepara il raccordo con il resto dello studio. La parte ha proiettato nel tempo il valore consolidato, ne ha tratto le previsioni falsificabili sui quattro ambiti, e ha individuato le soglie che modificano la raccomandazione, misurandone i margini; essa ha così completato la proiezione e la falsificazione del valore della riforma, rendendo controllabili tanto i singoli esiti quanto la raccomandazione complessiva. Il raccordo con il resto dello studio è duplice. Verso la quindicesima parte, dedicata al monitoraggio e alla valutazione ex-post, la parte consegna le previsioni falsificabili e le soglie, che costituiscono l’oggetto della verifica: la quindicesima parte confronterà le previsioni con gli esiti osservati e i parametri con le soglie, e dichiarerà se le previsioni si siano avverate e se la raccomandazione sia confermata. Verso la dodicesima parte, dedicata all’analisi distributiva, la parte consegna la proiezione del valore, di cui la dodicesima parte studierà la distribuzione tra i territori e le popolazioni. La parte stabilisce così la proiezione falsificabile del valore della riforma, e la consegna alla verifica e all’analisi distributiva, completando il fulcro predittivo dello studio. Stabilite le previsioni e le soglie, la parte può trarre il quadro conclusivo.</w:t>
      </w:r>
    </w:p>
    <w:bookmarkEnd w:id="783"/>
    <w:bookmarkEnd w:id="784"/>
    <w:bookmarkStart w:id="793" w:name="X21fb1c8ed92a67da00803b51d9c142519aa2a08"/>
    <w:p>
      <w:pPr>
        <w:pStyle w:val="Heading1"/>
      </w:pPr>
      <w:r>
        <w:t xml:space="preserve">Quadro conclusivo economico-sociale e multidisciplinare integrale</w:t>
      </w:r>
    </w:p>
    <w:p>
      <w:pPr>
        <w:pStyle w:val="FirstParagraph"/>
      </w:pPr>
      <w:r>
        <w:rPr>
          <w:i/>
          <w:iCs/>
        </w:rPr>
        <w:t xml:space="preserve">Il quadro conclusivo ricompone i risultati della modellazione e della previsione falsificabile in una visione d’insieme, e ne trae il significato per la rinegoziazione integrale dei costi e dei benefici. L’undicesima parte ha proiettato nel tempo il saldo economico consolidato attraverso il modello di Markov e la microsimulazione, ne ha saggiato la robustezza con l’analisi di sensibilità probabilistica, ne ha tratto le previsioni falsificabili sui quattro ambiti su cui la riforma incide, e ha individuato le soglie che modificano la raccomandazione, misurandone i margini. Il quadro conclusivo raccoglie questi risultati, ne dichiara il significato per la proiezione del valore e per la sua falsificabilità, ne mostra la coerenza con i risultati statici della decima parte, ne richiama la robustezza attestata dai margini e dall’analisi probabilistica, ne ribadisce il rispetto del caveat dell’IMPACT trial e della separazione delle dimensioni, e ne prepara il raccordo con la verifica ex-post e con l’analisi distributiva delle parti successive.</w:t>
      </w:r>
    </w:p>
    <w:bookmarkStart w:id="786" w:name="Xf0e7b9d9d5283d4362d082cdc2e41e0b5e6a611"/>
    <w:p>
      <w:pPr>
        <w:pStyle w:val="Heading2"/>
      </w:pPr>
      <w:r>
        <w:t xml:space="preserve">La proiezione del valore e la forma falsificabile delle previsioni</w:t>
      </w:r>
    </w:p>
    <w:p>
      <w:pPr>
        <w:pStyle w:val="FirstParagraph"/>
      </w:pPr>
      <w:r>
        <w:t xml:space="preserve">Il risultato centrale dell’undicesima parte è la proiezione del valore della riforma nel tempo, e la sua traduzione in previsioni falsificabili. La decima parte aveva stabilito il saldo economico consolidato, sintesi statica del valore della riforma a regime; l’undicesima parte ne ha proiettato le grandezze lungo l’orizzonte decennale, attraverso il modello di Markov e la microsimulazione, modellando il passaggio dalla fase di avvio alla fase di regime e l’accumulo dei guadagni nel tempo. La proiezione ha mostrato che il valore della riforma cresce nel tempo, dal graduale crescere della popolazione intercettata all’accumulo dei guadagni delle coorti via via prese in carico, sicché i guadagni di salute cumulati a dieci anni sono circa il doppio di quelli a cinque anni. La proiezione del valore non è tuttavia il risultato ultimo della parte, ma il presupposto delle previsioni: la parte ha tradotto i risultati della proiezione in previsioni falsificabili, formulate non come asserzioni di esiti certi, ma come bande corredate di soglie di confutazione e di metodi di verifica. È questa forma falsificabile che distingue la parte da un’esposizione di esiti auspicati: ogni previsione è un enunciato controllabile, che indica il valore previsto, la banda entro cui si colloca, la soglia al di sotto della quale è smentito, e il modo in cui sarà verificato; e la riforma è perciò esposta, attraverso le sue previsioni, alla verifica dei fatti.</w:t>
      </w:r>
      <w:r>
        <w:rPr>
          <w:rStyle w:val="FootnoteReference"/>
        </w:rPr>
        <w:footnoteReference w:id="334"/>
      </w:r>
    </w:p>
    <w:p>
      <w:pPr>
        <w:pStyle w:val="BodyText"/>
      </w:pPr>
      <w:r>
        <w:t xml:space="preserve">La forma falsificabile delle previsioni è la traduzione, nella proiezione, del rigore prudenziale e controllabile che ha governato l’intero studio. Lo studio ha formulato ogni grandezza in bande prudenziali, corredate di soglie e di intervalli dichiarati, sì che ciascuna potesse essere verificata e confutata; e l’undicesima parte ha portato questo rigore al suo compimento, formulando ogni previsione in forma esplicitamente falsificabile, con la propria soglia di confutazione e il proprio metodo di verifica. La soglia di confutazione, collocata al di sotto della banda prevista, fa sì che la previsione sia smentita non da una qualsiasi deviazione dal valore centrale, ma soltanto da un esito sensibilmente inferiore alla banda; il metodo di verifica indica il modo in cui la previsione sarà controllata sulla popolazione reale. La forma falsificabile non è dunque una cautela retorica, ma un vincolo metodologico stringente, che espone la riforma alla verifica dei fatti e ne fa una proposta scientificamente controllabile, anziché un’asserzione di valore indimostrata. È questa forma che distingue la proiezione dell’undicesima parte da una proiezione compiacente, e che ne fonda l’attendibilità presso il decisore, il quale dispone non di promesse, ma di previsioni controllabili, di cui potrà verificare l’avveramento a riforma attuata.</w:t>
      </w:r>
    </w:p>
    <w:bookmarkEnd w:id="786"/>
    <w:bookmarkStart w:id="788" w:name="X7f0d58d10ac05136d810bd4a49350c806921f81"/>
    <w:p>
      <w:pPr>
        <w:pStyle w:val="Heading2"/>
      </w:pPr>
      <w:r>
        <w:t xml:space="preserve">Le previsioni sui quattro ambiti e la finalità prima della riforma</w:t>
      </w:r>
    </w:p>
    <w:p>
      <w:pPr>
        <w:pStyle w:val="FirstParagraph"/>
      </w:pPr>
      <w:r>
        <w:t xml:space="preserve">La parte ha formulato le previsioni falsificabili sui quattro ambiti su cui la riforma incide, ordinati secondo la loro prossimità alla finalità della riforma. Il primo ambito è la qualità della vita delle persone, finalità prima della riforma e origine di ogni altro suo effetto: la parte ha previsto i guadagni di salute cumulati — dell’ordine di ottomilacinquecento anni di vita in buona salute a cinque anni e di diciassettemila a dieci anni, nello scenario intermedio — la riduzione del disagio non intercettato, il restringimento del divario di trattamento e il miglioramento della qualità della vita dei presi in carico. Il secondo ambito è quello dei bilanci regionali, su cui la riforma incide attraverso il costo e i risparmi: la parte ha previsto la traiettoria dell’impatto netto verso il pareggio a regime, i risparmi diretti, e l’incidenza contenuta sul Fondo sanitario regionale. Il terzo ambito è quello della burocrazia e dell’efficienza amministrativa, su cui la riforma incide attraverso la funzione di filtro: la parte ha previsto la riduzione degli invii inappropriati, l’alleggerimento del carico amministrativo, la riduzione dei tempi di attesa e l’aumento dell’appropriatezza dei percorsi. Il quarto ambito è quello dei sistemi sanitari regionali, su cui la riforma incide attraverso la riduzione del ricorso ai livelli onerosi: la parte ha previsto la riduzione degli accessi impropri, dei ricoveri, della mobilità passiva e della spesa farmaceutica inappropriata, e l’alleggerimento delle cure primarie.</w:t>
      </w:r>
    </w:p>
    <w:p>
      <w:pPr>
        <w:pStyle w:val="BodyText"/>
      </w:pPr>
      <w:r>
        <w:t xml:space="preserve">L’ordine dei quattro ambiti riflette la struttura causale del valore della riforma, che muove dalla qualità della vita delle persone e si propaga agli altri ambiti. La qualità della vita delle persone è l’ambito primo, perché il miglioramento clinico che la riforma produce è l’origine di ogni altro suo effetto: è dal miglioramento clinico che derivano i risparmi sui bilanci, l’alleggerimento della burocrazia e la riduzione del ricorso ai livelli onerosi del sistema. I bilanci, la burocrazia e i sistemi sanitari sono ambiti derivati, su cui la riforma incide in conseguenza del miglioramento clinico: i risparmi sui bilanci derivano dalla riduzione del ricorso ai livelli onerosi, l’alleggerimento della burocrazia deriva dalla funzione di filtro che il trattamento appropriato consente, la riduzione del ricorso ai livelli onerosi deriva dall’intercettazione del disagio. Le previsioni sui quattro ambiti riflettono questa struttura causale: la previsione sulla qualità della vita è la previsione fondamentale, da cui le altre dipendono; le previsioni sui bilanci, sulla burocrazia e sui sistemi sanitari sono le previsioni derivate, che misurano la propagazione del miglioramento clinico agli ambiti derivati. La parte ha mantenuto, nelle previsioni, la distinzione tra le dimensioni del valore stabilita dalla decima parte: le previsioni sulla qualità della vita attengono alla dimensione di salute, le previsioni sui bilanci alla dimensione fiscale, le previsioni sui sistemi sanitari misurano sul piano fisico gli stessi fenomeni dei risparmi diretti, senza duplicazione, e le previsioni sulla burocrazia misurano l’effetto organizzativo, distinto dal suo eventuale valore economico già computato altrove.</w:t>
      </w:r>
      <w:r>
        <w:rPr>
          <w:rStyle w:val="FootnoteReference"/>
        </w:rPr>
        <w:footnoteReference w:id="335"/>
      </w:r>
    </w:p>
    <w:bookmarkEnd w:id="788"/>
    <w:bookmarkStart w:id="789" w:name="Xb1f6535d6d68d43bc9b135c5ab594f00f70eb23"/>
    <w:p>
      <w:pPr>
        <w:pStyle w:val="Heading2"/>
      </w:pPr>
      <w:r>
        <w:t xml:space="preserve">La robustezza della raccomandazione e i margini dalle soglie</w:t>
      </w:r>
    </w:p>
    <w:p>
      <w:pPr>
        <w:pStyle w:val="FirstParagraph"/>
      </w:pPr>
      <w:r>
        <w:t xml:space="preserve">La parte ha individuato le soglie il cui superamento modifica la raccomandazione, e ne ha misurato i margini, traendone la valutazione della robustezza della raccomandazione su ciascuna dimensione. I margini misurano la distanza che separa il valore atteso di un parametro dal valore di soglia al di là del quale la raccomandazione andrebbe rivista, e la loro ampiezza misura la robustezza della raccomandazione: ampia per una raccomandazione robusta, ristretta per una fragile. Sulla dimensione della costo-efficacia, i margini sono ampi — i guadagni di salute dovrebbero ridursi di una quota dell’ordine di quaranta centesimi, o il costo crescere di una quota dell’ordine di settanta centesimi, perché la riforma cessasse di essere costo-efficace alla soglia convenzionale — e la raccomandazione è perciò molto robusta su questa dimensione, coerentemente con l’elevata probabilità di costo-efficacia attestata dall’analisi di sensibilità probabilistica. Sulla dimensione della sostenibilità di bilancio, il margine è ampio — il costo dovrebbe all’incirca raddoppiare perché l’incidenza sul Fondo raggiungesse la soglia di rilevanza — e la raccomandazione è perciò robusta. Sulla dimensione della copertura, la soglia è al di sotto dell’intera gamma degli scenari, e la raccomandazione è perciò robusta rispetto al dimensionamento. Sulla dimensione del rendimento sociale, il margine è più ristretto — i benefici indiretti dovrebbero ridursi di una quota dell’ordine di dodici centesimi perché il rapporto uscisse dalla fascia di Chisholm — e la raccomandazione è perciò meno robusta su questa dimensione.</w:t>
      </w:r>
    </w:p>
    <w:p>
      <w:pPr>
        <w:pStyle w:val="BodyText"/>
      </w:pPr>
      <w:r>
        <w:t xml:space="preserve">La valutazione dei margini individua nel rendimento sociale la dimensione su cui la raccomandazione è meno robusta, e ne trae l’indicazione per la verifica ex-post. Il margine più ristretto sul rendimento sociale non significa che la conclusione su questa dimensione sia fragile in senso assoluto: una riduzione dei benefici indiretti dell’ordine di un ottavo è pur sempre rilevante, e, anche al di sotto della fascia di Chisholm, il rendimento sociale resterebbe positivo, ancorché inferiore alla fascia di riferimento. Esso significa, piuttosto, che il rendimento sociale è la dimensione su cui il margine è minore, e perciò quella su cui la verifica ex-post andrà condotta con maggiore attenzione: è sui benefici indiretti che l’eventuale scostamento del valore osservato dal valore atteso potrebbe più facilmente modificare la conclusione, ed è perciò su essi che il monitoraggio dovrà concentrarsi. La robustezza complessiva della raccomandazione è dunque elevata sulla costo-efficacia, sulla sostenibilità e sulla copertura, e più contenuta sul rendimento sociale; e questa articolazione, lungi dall’indebolire la raccomandazione, ne precisa la struttura, indicando le dimensioni su cui essa è più solida e quella su cui la verifica andrà condotta con maggiore cura. La raccomandazione favorevole sulla riforma, stabilita dalla decima parte e proiettata dall’undicesima, è perciò sostenuta da margini in prevalenza ampi, e resta falsificabile, esposta alla revisione ove i parametri osservati superassero le soglie.</w:t>
      </w:r>
    </w:p>
    <w:bookmarkEnd w:id="789"/>
    <w:bookmarkStart w:id="791" w:name="Xc92bba75058f4833eae6dad7608c7be73267ab0"/>
    <w:p>
      <w:pPr>
        <w:pStyle w:val="Heading2"/>
      </w:pPr>
      <w:r>
        <w:t xml:space="preserve">Il caveat dell’IMPACT trial e la separazione delle dimensioni nella proiezione</w:t>
      </w:r>
    </w:p>
    <w:p>
      <w:pPr>
        <w:pStyle w:val="FirstParagraph"/>
      </w:pPr>
      <w:r>
        <w:t xml:space="preserve">La parte ha mantenuto, nella proiezione e nelle previsioni, il caveat dell’IMPACT trial sui risparmi diretti, che ha governato l’intero studio. Il caveat avverte che i risparmi sui costi sanitari diretti, ancorché presenti, non raggiungono la significatività statistica nell’evidenza disponibile, e che la previsione dei risparmi è perciò soggetta a un’incertezza maggiore di quella delle altre grandezze. La parte ha tradotto questo caveat in due luoghi della proiezione. Nelle distribuzioni dell’analisi di sensibilità probabilistica, l’incertezza dei risparmi è riflessa nell’ampiezza delle distribuzioni dei parametri che li generano, sicché la propagazione dell’incertezza agli esiti ne tenga conto. Nelle previsioni sui bilanci, il caveat è tradotto nella duplice formulazione delle previsioni — la variante centrale, che computa i risparmi, e la variante prudenziale, che li esclude — sicché il decisore disponga della previsione tanto nell’ipotesi che i risparmi si realizzino quanto nell’ipotesi che non si realizzino. Le previsioni sui sistemi sanitari, che misurano sul piano fisico gli stessi fenomeni dei risparmi diretti, ereditano il medesimo caveat, e la loro verifica concorrerà a determinare la realtà dei risparmi. Il caveat dell’IMPACT trial, preservato nell’intero studio, è dunque mantenuto anche nella proiezione, che non nasconde l’incertezza dei risparmi, ma la espone nelle distribuzioni e nella duplice formulazione delle previsioni.</w:t>
      </w:r>
    </w:p>
    <w:p>
      <w:pPr>
        <w:pStyle w:val="BodyText"/>
      </w:pPr>
      <w:r>
        <w:t xml:space="preserve">La parte ha inoltre mantenuto, nella proiezione e nelle previsioni, la separazione delle tre dimensioni del valore che la decima parte ha preservato fino al saldo conclusivo. Le previsioni sulla qualità della vita attengono alla dimensione di salute; le previsioni sui bilanci attengono alla dimensione fiscale; le previsioni sui sistemi sanitari misurano sul piano fisico gli stessi fenomeni che, sul piano economico, generano i risparmi diretti della dimensione fiscale, senza costituire una dimensione economica autonoma; le previsioni sulla burocrazia misurano l’effetto organizzativo, distinto dal suo eventuale valore economico, già computato nelle dimensioni fiscale o sociale. La proiezione non ha dunque sommato le previsioni in un’unica cifra, né ha attribuito a più dimensioni il medesimo valore, ma ha mantenuto le dimensioni distinte e ha evitato la duplicazione, in coerenza con la regola che ha governato l’intero studio. La separazione delle dimensioni nella proiezione è la garanzia che le previsioni non gonfino il valore della riforma per somma indebita o per duplicazione, ma ne misurino le componenti distinte, ciascuna sulla propria dimensione; ed è questa separazione, insieme al caveat dell’IMPACT trial e alla forma falsificabile, che fa della proiezione dell’undicesima parte una proiezione rigorosa, fedele ai principi dello studio.</w:t>
      </w:r>
      <w:r>
        <w:rPr>
          <w:rStyle w:val="FootnoteReference"/>
        </w:rPr>
        <w:footnoteReference w:id="336"/>
      </w:r>
    </w:p>
    <w:bookmarkEnd w:id="791"/>
    <w:bookmarkStart w:id="792" w:name="X266f81a7ac56f57c5d289337df71031a66faa0a"/>
    <w:p>
      <w:pPr>
        <w:pStyle w:val="Heading2"/>
      </w:pPr>
      <w:r>
        <w:t xml:space="preserve">Il raccordo con la verifica ex-post e con l’analisi distributiva</w:t>
      </w:r>
    </w:p>
    <w:p>
      <w:pPr>
        <w:pStyle w:val="FirstParagraph"/>
      </w:pPr>
      <w:r>
        <w:t xml:space="preserve">La proiezione falsificabile del valore della riforma, che chiude l’undicesima parte, si raccorda con le parti successive dello studio, a cui consegna le previsioni e la proiezione. Il primo raccordo è con la quindicesima parte, dedicata al monitoraggio e alla valutazione ex-post, a cui la parte consegna le previsioni falsificabili e le soglie. Le previsioni della parte sono enunciati controllabili, corredati di soglie di confutazione e di metodi di verifica, ma non ancora verificati: la verifica richiede l’osservazione degli esiti sulla popolazione reale, a riforma attuata, che è il compito della quindicesima parte. La quindicesima parte assumerà le previsioni e le soglie della parte, e ne condurrà il riscontro: confronterà ciascuna previsione con l’esito osservato, attraverso il metodo di verifica indicato, e dichiarerà se la previsione si sia avverata o sia stata smentita; confronterà i parametri osservati con le soglie, e dichiarerà se la raccomandazione sia confermata o vada rivista. La falsificabilità delle previsioni, che la parte ha stabilito, trova dunque nella quindicesima parte il suo compimento: senza la verifica, le previsioni resterebbero enunciati controllabili ma non controllati; con la verifica, esse diventano enunciati controllati, di cui è dichiarato l’avveramento o la smentita.</w:t>
      </w:r>
    </w:p>
    <w:p>
      <w:pPr>
        <w:pStyle w:val="BodyText"/>
      </w:pPr>
      <w:r>
        <w:t xml:space="preserve">Il secondo raccordo è con la dodicesima parte, dedicata all’analisi distributiva, a cui la parte consegna la proiezione del valore. La proiezione della parte stabilisce l’andamento temporale del valore complessivo della riforma, ma non ne studia la distribuzione tra i territori e le popolazioni: essa dice come il valore della riforma evolve nel tempo, non come si ripartisce nello spazio sociale. La dodicesima parte assumerà la proiezione del valore e ne studierà la distribuzione, valutando l’equità con cui i costi e i benefici si ripartiscono tra le aree della regione e tra i gruppi della popolazione, e il rischio che la leva digitale, su cui la riforma si appoggia, introduca un divario di accesso. La proiezione fornisce dunque all’analisi distributiva il suo oggetto: il valore della riforma proiettato nel tempo, di cui la dodicesima parte studierà la ripartizione. Con questi due raccordi — alla quindicesima parte, che ne verificherà le previsioni, e alla dodicesima, che ne studierà la distribuzione — l’undicesima parte si inserisce nel disegno complessivo dello studio, di cui costituisce il fulcro predittivo, e consegna alle parti successive la proiezione falsificabile che ne è il risultato. La rinegoziazione integrale dei costi e dei benefici, che muove dalla valutazione statica della decima parte e si svolge nella proiezione dinamica dell’undicesima, trova così la sua forma controllabile: non un’asserzione di valore, ma una proiezione falsificabile, esposta alla verifica dei fatti.</w:t>
      </w:r>
    </w:p>
    <w:bookmarkEnd w:id="792"/>
    <w:bookmarkEnd w:id="793"/>
    <w:bookmarkStart w:id="795" w:name="conclusione-7"/>
    <w:p>
      <w:pPr>
        <w:pStyle w:val="Heading1"/>
      </w:pPr>
      <w:r>
        <w:t xml:space="preserve">Conclusione</w:t>
      </w:r>
    </w:p>
    <w:p>
      <w:pPr>
        <w:pStyle w:val="FirstParagraph"/>
      </w:pPr>
      <w:r>
        <w:rPr>
          <w:i/>
          <w:iCs/>
        </w:rPr>
        <w:t xml:space="preserve">La conclusione raccoglie quanto l’undicesima parte ha stabilito, ne ribadisce il carattere falsificabile e ne dichiara il rapporto con le parti che seguono. La parte ha proiettato nel tempo il saldo economico consolidato, ne ha saggiato la robustezza, ne ha tratto le previsioni falsificabili sui quattro ambiti su cui la riforma incide, e ha individuato le soglie che modificano la raccomandazione; e ha così fornito il fulcro predittivo dell’intero studio, che la quindicesima parte sottoporrà a verifica e la dodicesima all’analisi distributiva.</w:t>
      </w:r>
    </w:p>
    <w:p>
      <w:pPr>
        <w:pStyle w:val="BodyText"/>
      </w:pPr>
      <w:r>
        <w:t xml:space="preserve">L’undicesima parte ha stabilito la proiezione falsificabile del valore della riforma del Servizio di Psicologia di Base in Puglia. Essa ha assunto il saldo economico consolidato, stabilito staticamente dalla decima parte, e lo ha proiettato lungo l’orizzonte decennale, attraverso il modello di Markov e la microsimulazione, che rappresentano il decorso del disagio comune e l’effetto della riforma sulle sue transizioni. Il modello ha mostrato che la riforma, modificando le probabilità di transizione — accrescendo la remissione e riducendo la cronicizzazione — genera guadagni di salute e risparmi che si accumulano nel tempo, dalla fase di avvio alla fase di regime. L’analisi di sensibilità probabilistica ha sottoposto la proiezione alla prova dell’incertezza, e ha stabilito che la riforma è costo-efficace con probabilità elevata — dell’ordine del novantacinque per cento alla soglia convenzionale — confermando per via probabilistica il risultato deterministico. La parte ha quindi tratto dalla proiezione le previsioni falsificabili sui quattro ambiti su cui la riforma incide — la qualità della vita delle persone, i bilanci regionali, la burocrazia e l’efficienza amministrativa, i sistemi sanitari regionali — formulando ciascuna come banda corredata di soglia di confutazione e di metodo di verifica. E ha individuato le soglie il cui superamento modifica la raccomandazione, misurandone i margini, e traendone la valutazione della robustezza della raccomandazione su ciascuna dimensione.</w:t>
      </w:r>
    </w:p>
    <w:p>
      <w:pPr>
        <w:pStyle w:val="BodyText"/>
      </w:pPr>
      <w:r>
        <w:t xml:space="preserve">Il risultato della parte è dunque una proiezione falsificabile, che traduce il valore statico della riforma in previsioni controllabili. Le previsioni sulla qualità della vita prevedono guadagni di salute cumulati dell’ordine di ottomilacinquecento anni di vita in buona salute a cinque anni e di diciassettemila a dieci anni nello scenario intermedio, la riduzione del disagio non intercettato, il restringimento del divario di trattamento e il miglioramento della qualità della vita dei presi in carico. Le previsioni sui bilanci prevedono la traiettoria dell’impatto netto verso il pareggio a regime, formulata nelle due varianti che il caveat dell’IMPACT trial impone, e l’incidenza contenuta sul Fondo sanitario regionale. Le previsioni sulla burocrazia prevedono la riduzione degli invii inappropriati, l’alleggerimento del carico amministrativo, la riduzione dei tempi di attesa e l’aumento dell’appropriatezza dei percorsi. Le previsioni sui sistemi sanitari prevedono la riduzione degli accessi impropri, dei ricoveri, della mobilità passiva e della spesa farmaceutica inappropriata, e l’alleggerimento delle cure primarie. Ciascuna previsione è corredata della banda, della soglia di confutazione e del metodo di verifica, e la riforma è perciò esposta, attraverso le sue previsioni, alla verifica dei fatti.</w:t>
      </w:r>
      <w:r>
        <w:rPr>
          <w:rStyle w:val="FootnoteReference"/>
        </w:rPr>
        <w:footnoteReference w:id="337"/>
      </w:r>
    </w:p>
    <w:p>
      <w:pPr>
        <w:pStyle w:val="BodyText"/>
      </w:pPr>
      <w:r>
        <w:t xml:space="preserve">Il rigore di questo risultato risiede in tre presidi, che la parte ha mantenuto. Il primo è la forma falsificabile delle previsioni, che le rende controllabili: ogni previsione indica il valore previsto, la banda, la soglia di confutazione e il metodo di verifica, sì che possa essere smentita dall’osservazione. Il secondo è il mantenimento del caveat dell’IMPACT trial e della separazione delle dimensioni: le previsioni sui bilanci sono formulate nelle due varianti che il caveat impone, e le previsioni sui quattro ambiti mantengono distinte le dimensioni del valore, senza somma indebita né duplicazione. Il terzo è la misura della robustezza attraverso i margini e l’analisi probabilistica: i margini dalle soglie e la probabilità di costo-efficacia attestano la robustezza della raccomandazione, e ne individuano le dimensioni più e meno solide. Questi tre presidi fanno della proiezione dell’undicesima parte una proiezione scientificamente controllabile, e non un’asserzione di valore indimostrata; ed è su questo fondamento che la proiezione falsificabile consegna il proprio risultato alle parti successive.</w:t>
      </w:r>
    </w:p>
    <w:p>
      <w:pPr>
        <w:pStyle w:val="BodyText"/>
      </w:pPr>
      <w:r>
        <w:t xml:space="preserve">L’undicesima parte costituisce così il fulcro predittivo dell’intero studio, su cui le parti successive innesteranno i propri sviluppi. La quindicesima parte, dedicata al monitoraggio e alla valutazione ex-post, assumerà le previsioni falsificabili e le soglie, e ne condurrà la verifica, confrontando le previsioni con gli esiti osservati e i parametri con le soglie, e dichiarando se le previsioni si siano avverate e se la raccomandazione sia confermata. La dodicesima parte, dedicata all’analisi distributiva, assumerà la proiezione del valore e ne studierà la distribuzione tra i territori e le popolazioni, valutando l’equità con cui i costi e i benefici si ripartiscono. E le parti conclusive ne trarranno i profili etico-giuridici, l’attuazione e le raccomandazioni. La proiezione falsificabile stabilita da questa parte — il valore della riforma proiettato nel tempo e tradotto in previsioni controllabili, corredate di soglie di confutazione e di metodi di verifica — è dunque il risultato predittivo su cui l’intero studio converge, e che le parti successive verificheranno, distribuiranno e tradurranno in raccomandazioni. Con essa, la rinegoziazione integrale dei costi e dei benefici trova la propria forma controllabile, e la riforma del primo livello psicologico in Puglia trova la propria proiezione falsificabile, esposta alla verifica dei fatti e fondata sul rigore della falsificabilità, della separazione delle dimensioni e della misura della robustezza.</w:t>
      </w:r>
    </w:p>
    <w:bookmarkEnd w:id="795"/>
    <w:bookmarkStart w:id="797" w:name="note-bibliografiche-integrali-6"/>
    <w:p>
      <w:pPr>
        <w:pStyle w:val="Heading1"/>
      </w:pPr>
      <w:r>
        <w:t xml:space="preserve">Note bibliografiche integrali</w:t>
      </w:r>
    </w:p>
    <w:p>
      <w:pPr>
        <w:pStyle w:val="FirstParagraph"/>
      </w:pPr>
      <w:r>
        <w:rPr>
          <w:i/>
          <w:iCs/>
        </w:rPr>
        <w:t xml:space="preserve">Le note bibliografiche integrali raccolgono le fonti su cui la modellazione e la previsione falsificabile di questa parte si fondano, ciascuna corredata di un mini-riassunto che ne dichiara il contenuto e la pertinenza. Le fonti attengono ai metodi della modellazione decisionale impiegati — il modello di Markov, la microsimulazione e l’analisi di sensibilità probabilistica — al principio della falsificabilità che governa le previsioni, e all’evidenza economica e clinica che sostiene la proiezione del valore della riforma e la sua collocazione entro gli intervalli di riferimento.</w:t>
      </w:r>
    </w:p>
    <w:p>
      <w:pPr>
        <w:pStyle w:val="BodyText"/>
      </w:pPr>
      <w:r>
        <w:rPr>
          <w:b/>
          <w:bCs/>
        </w:rPr>
        <w:t xml:space="preserve">▪</w:t>
      </w:r>
      <w:r>
        <w:rPr>
          <w:b/>
          <w:bCs/>
        </w:rPr>
        <w:t xml:space="preserve"> </w:t>
      </w:r>
      <w:r>
        <w:t xml:space="preserve">Briggs A., Claxton K., Sculpher M., «Decision Modelling for Health Economic Evaluation», Oxford University Press, Oxford, 2006.</w:t>
      </w:r>
    </w:p>
    <w:p>
      <w:pPr>
        <w:pStyle w:val="BodyText"/>
      </w:pPr>
      <w:r>
        <w:rPr>
          <w:i/>
          <w:iCs/>
        </w:rPr>
        <w:t xml:space="preserve">Mini-riassunto. È il testo di riferimento della modellazione decisionale per la valutazione economica in sanità, che espone i metodi impiegati in questa parte — la costruzione del modello di Markov, la microsimulazione e l’analisi di sensibilità probabilistica con la propagazione dell’incertezza dei parametri agli esiti e la costruzione delle curve di accettabilità — e ne discute i fondamenti, comprese l’analisi di soglia e la lettura dei margini che separano i valori attesi dai punti di ribaltamento della raccomandazione.</w:t>
      </w:r>
    </w:p>
    <w:p>
      <w:pPr>
        <w:pStyle w:val="BodyText"/>
      </w:pPr>
      <w:r>
        <w:rPr>
          <w:b/>
          <w:bCs/>
        </w:rPr>
        <w:t xml:space="preserve">▪</w:t>
      </w:r>
      <w:r>
        <w:rPr>
          <w:b/>
          <w:bCs/>
        </w:rPr>
        <w:t xml:space="preserve"> </w:t>
      </w:r>
      <w:r>
        <w:t xml:space="preserve">Drummond M. F., Sculpher M. J., Claxton K., Stoddart G. L., Torrance G. W., «Methods for the Economic Evaluation of Health Care Programmes», quarta edizione, Oxford University Press, Oxford, 2015.</w:t>
      </w:r>
    </w:p>
    <w:p>
      <w:pPr>
        <w:pStyle w:val="BodyText"/>
      </w:pPr>
      <w:r>
        <w:rPr>
          <w:i/>
          <w:iCs/>
        </w:rPr>
        <w:t xml:space="preserve">Mini-riassunto. È il testo di riferimento della valutazione economica in sanità, che fornisce la cornice entro cui la modellazione di questa parte proietta il valore della riforma — il tasso di sconto applicato a costi ed esiti, la soglia di disponibilità a pagare per anno di vita in buona salute, la misura dei guadagni di salute — e ne discute l’impiego per la proiezione temporale e per il confronto del rapporto costo-efficacia con la soglia convenzionale.</w:t>
      </w:r>
    </w:p>
    <w:p>
      <w:pPr>
        <w:pStyle w:val="BodyText"/>
      </w:pPr>
      <w:r>
        <w:rPr>
          <w:b/>
          <w:bCs/>
        </w:rPr>
        <w:t xml:space="preserve">▪</w:t>
      </w:r>
      <w:r>
        <w:rPr>
          <w:b/>
          <w:bCs/>
        </w:rPr>
        <w:t xml:space="preserve"> </w:t>
      </w:r>
      <w:r>
        <w:t xml:space="preserve">Sonnenberg F. A., Beck J. R., «Markov models in medical decision making: a practical guide», Medical Decision Making, vol. 13, n. 4, 1993, pp. 322–338.</w:t>
      </w:r>
    </w:p>
    <w:p>
      <w:pPr>
        <w:pStyle w:val="BodyText"/>
      </w:pPr>
      <w:r>
        <w:rPr>
          <w:i/>
          <w:iCs/>
        </w:rPr>
        <w:t xml:space="preserve">Mini-riassunto. È la guida pratica all’impiego dei modelli di Markov nella decisione medica, che introduce la rappresentazione di una condizione di salute attraverso stati mutuamente esclusivi e transizioni in cicli successivi, con l’accumulo degli esiti lungo l’orizzonte e la correzione di mezzo ciclo, impianto adottato nella prima voce di questa parte per rappresentare il decorso del disagio comune e l’effetto della riforma sulle sue transizioni.</w:t>
      </w:r>
    </w:p>
    <w:p>
      <w:pPr>
        <w:pStyle w:val="BodyText"/>
      </w:pPr>
      <w:r>
        <w:rPr>
          <w:b/>
          <w:bCs/>
        </w:rPr>
        <w:t xml:space="preserve">▪</w:t>
      </w:r>
      <w:r>
        <w:rPr>
          <w:b/>
          <w:bCs/>
        </w:rPr>
        <w:t xml:space="preserve"> </w:t>
      </w:r>
      <w:r>
        <w:t xml:space="preserve">Caro J. J., Briggs A. H., Siebert U., Kuntz K. M., «Modeling Good Research Practices — Overview: A Report of the ISPOR-SMDM Modeling Good Research Practices Task Force-1», Value in Health, vol. 15, n. 6, 2012, pp. 796–803.</w:t>
      </w:r>
    </w:p>
    <w:p>
      <w:pPr>
        <w:pStyle w:val="BodyText"/>
      </w:pPr>
      <w:r>
        <w:rPr>
          <w:i/>
          <w:iCs/>
        </w:rPr>
        <w:t xml:space="preserve">Mini-riassunto. È il rapporto introduttivo delle buone pratiche della modellazione per la valutazione delle tecnologie sanitarie, che stabilisce i principi della costruzione e della validazione dei modelli decisionali — la trasparenza, la coerenza interna, la dichiarazione delle assunzioni e dell’incertezza — adottati in questa parte nella costruzione del modello di Markov e nella dichiarazione dei suoi parametri invarianti e dei suoi confini.</w:t>
      </w:r>
    </w:p>
    <w:p>
      <w:pPr>
        <w:pStyle w:val="BodyText"/>
      </w:pPr>
      <w:r>
        <w:rPr>
          <w:b/>
          <w:bCs/>
        </w:rPr>
        <w:t xml:space="preserve">▪</w:t>
      </w:r>
      <w:r>
        <w:rPr>
          <w:b/>
          <w:bCs/>
        </w:rPr>
        <w:t xml:space="preserve"> </w:t>
      </w:r>
      <w:r>
        <w:t xml:space="preserve">Siebert U., Alagoz O., Bayoumi A. M., Jahn B., Owens D. K., Cohen D. J., Kuntz K. M., «State-Transition Modeling — A Report of the ISPOR-SMDM Modeling Good Research Practices Task Force-3», Value in Health, vol. 15, n. 6, 2012, pp. 812–820.</w:t>
      </w:r>
    </w:p>
    <w:p>
      <w:pPr>
        <w:pStyle w:val="BodyText"/>
      </w:pPr>
      <w:r>
        <w:rPr>
          <w:i/>
          <w:iCs/>
        </w:rPr>
        <w:t xml:space="preserve">Mini-riassunto. È il rapporto sulle buone pratiche della modellazione a stati e transizioni, che espone i criteri della definizione degli stati, delle probabilità di transizione, della durata del ciclo e dell’orizzonte, e della microsimulazione individuale, adottati nella prima voce di questa parte per la costruzione del modello di Markov e per il passaggio dalla coorte indistinta alla microsimulazione sensibile all’eterogeneità della popolazione.</w:t>
      </w:r>
    </w:p>
    <w:p>
      <w:pPr>
        <w:pStyle w:val="BodyText"/>
      </w:pPr>
      <w:r>
        <w:rPr>
          <w:b/>
          <w:bCs/>
        </w:rPr>
        <w:t xml:space="preserve">▪</w:t>
      </w:r>
      <w:r>
        <w:rPr>
          <w:b/>
          <w:bCs/>
        </w:rPr>
        <w:t xml:space="preserve"> </w:t>
      </w:r>
      <w:r>
        <w:t xml:space="preserve">Fenwick E., O’Brien B. J., Briggs A., «Cost-effectiveness acceptability curves — facts, fallacies and frequently asked questions», Health Economics, vol. 13, n. 5, 2004, pp. 405–415.</w:t>
      </w:r>
    </w:p>
    <w:p>
      <w:pPr>
        <w:pStyle w:val="BodyText"/>
      </w:pPr>
      <w:r>
        <w:rPr>
          <w:i/>
          <w:iCs/>
        </w:rPr>
        <w:t xml:space="preserve">Mini-riassunto. È l’esposizione metodologica della curva di accettabilità della costo-efficacia, che rappresenta la probabilità che un intervento sia costo-efficace in funzione della soglia di disponibilità a pagare, e ne chiarisce l’interpretazione e i fraintendimenti; essa fonda la curva costruita nella seconda voce di questa parte, che colloca la probabilità di costo-efficacia della riforma dell’ordine del novantacinque per cento alla soglia convenzionale.</w:t>
      </w:r>
    </w:p>
    <w:p>
      <w:pPr>
        <w:pStyle w:val="BodyText"/>
      </w:pPr>
      <w:r>
        <w:rPr>
          <w:b/>
          <w:bCs/>
        </w:rPr>
        <w:t xml:space="preserve">▪</w:t>
      </w:r>
      <w:r>
        <w:rPr>
          <w:b/>
          <w:bCs/>
        </w:rPr>
        <w:t xml:space="preserve"> </w:t>
      </w:r>
      <w:r>
        <w:t xml:space="preserve">Popper K. R., «The Logic of Scientific Discovery», Routledge, Londra, 2002 (edizione originale 1934; prima edizione inglese 1959).</w:t>
      </w:r>
    </w:p>
    <w:p>
      <w:pPr>
        <w:pStyle w:val="BodyText"/>
      </w:pPr>
      <w:r>
        <w:rPr>
          <w:i/>
          <w:iCs/>
        </w:rPr>
        <w:t xml:space="preserve">Mini-riassunto. È l’opera che stabilisce il criterio della falsificabilità come carattere distintivo dell’enunciato scientifico, secondo cui una proposizione è scientifica in quanto suscettibile di essere smentita dall’osservazione; essa fonda il principio della falsificabilità che governa le previsioni di questa parte, formulate come bande corredate di soglie di confutazione e di metodi di verifica, sì che ciascuna sia esposta alla smentita dei fatti.</w:t>
      </w:r>
    </w:p>
    <w:p>
      <w:pPr>
        <w:pStyle w:val="BodyText"/>
      </w:pPr>
      <w:r>
        <w:rPr>
          <w:b/>
          <w:bCs/>
        </w:rPr>
        <w:t xml:space="preserve">▪</w:t>
      </w:r>
      <w:r>
        <w:rPr>
          <w:b/>
          <w:bCs/>
        </w:rPr>
        <w:t xml:space="preserve"> </w:t>
      </w:r>
      <w:r>
        <w:t xml:space="preserve">Chisholm D., Sweeny K., Sheehan P., Rasmussen B., Smit F., Cuijpers P., Saxena S., «Scaling-up treatment of depression and anxiety: a global return on investment analysis», The Lancet Psychiatry, vol. 3, n. 5, 2016, pp. 415–424.</w:t>
      </w:r>
    </w:p>
    <w:p>
      <w:pPr>
        <w:pStyle w:val="BodyText"/>
      </w:pPr>
      <w:r>
        <w:rPr>
          <w:i/>
          <w:iCs/>
        </w:rPr>
        <w:t xml:space="preserve">Mini-riassunto. È l’analisi globale del rendimento dell’investimento nel trattamento della depressione e dell’ansia, che stabilisce il duplice intervallo del ritorno — compreso tra 2,3 e 3,0 a 1 per i soli benefici economici e tra 3,3 e 5,7 a 1 con l’inclusione dei ritorni di salute — impiegato nell’intero studio come ancora di validazione, e in questa parte nell’individuazione della soglia del rendimento sociale e nella misura del margine che separa il rapporto atteso dal margine inferiore della fascia.</w:t>
      </w:r>
    </w:p>
    <w:p>
      <w:pPr>
        <w:pStyle w:val="BodyText"/>
      </w:pPr>
      <w:r>
        <w:rPr>
          <w:b/>
          <w:bCs/>
        </w:rPr>
        <w:t xml:space="preserve">▪</w:t>
      </w:r>
      <w:r>
        <w:rPr>
          <w:b/>
          <w:bCs/>
        </w:rPr>
        <w:t xml:space="preserve"> </w:t>
      </w:r>
      <w:r>
        <w:t xml:space="preserve">Unützer J., Katon W. J., Fan M. Y., Schoenbaum M. C., Lin E. H. B., Della Penna R. D., Powers D., «Long-term cost effects of collaborative care for late-life depression», The American Journal of Managed Care, vol. 14, n. 2, 2008, pp. 95–100.</w:t>
      </w:r>
    </w:p>
    <w:p>
      <w:pPr>
        <w:pStyle w:val="BodyText"/>
      </w:pPr>
      <w:r>
        <w:rPr>
          <w:i/>
          <w:iCs/>
        </w:rPr>
        <w:t xml:space="preserve">Mini-riassunto. È l’analisi di lungo periodo dei costi delle cure collaborative per la depressione, da cui deriva il caveat preservato nell’intero studio — i risparmi sui costi sanitari diretti, ancorché presenti, non raggiungono la significatività statistica — che governa in questa parte la duplice formulazione delle previsioni sui bilanci, nella variante centrale che computa i risparmi e nella variante prudenziale che li esclude.</w:t>
      </w:r>
    </w:p>
    <w:p>
      <w:pPr>
        <w:pStyle w:val="BodyText"/>
      </w:pPr>
      <w:r>
        <w:rPr>
          <w:b/>
          <w:bCs/>
        </w:rPr>
        <w:t xml:space="preserve">▪</w:t>
      </w:r>
      <w:r>
        <w:rPr>
          <w:b/>
          <w:bCs/>
        </w:rPr>
        <w:t xml:space="preserve"> </w:t>
      </w:r>
      <w:r>
        <w:t xml:space="preserve">OECD, «A New Benchmark for Mental Health Systems: Tackling the Social and Economic Costs of Mental Ill-Health», OECD Health Policy Studies, OECD Publishing, Parigi, 2021.</w:t>
      </w:r>
    </w:p>
    <w:p>
      <w:pPr>
        <w:pStyle w:val="BodyText"/>
      </w:pPr>
      <w:r>
        <w:rPr>
          <w:i/>
          <w:iCs/>
        </w:rPr>
        <w:t xml:space="preserve">Mini-riassunto. È lo studio comparato dei sistemi di salute mentale, che quantifica i costi sociali ed economici del disagio mentale e ne documenta l’incidenza sui molteplici domini — il lavoro, la produttività, i sistemi previdenziali e assistenziali — a corredo delle previsioni di questa parte sugli ambiti su cui la riforma incide, e a sostegno della loro collocazione entro gli intervalli di riferimento.</w:t>
      </w:r>
    </w:p>
    <w:p>
      <w:pPr>
        <w:pStyle w:val="BodyText"/>
      </w:pPr>
      <w:r>
        <w:rPr>
          <w:b/>
          <w:bCs/>
        </w:rPr>
        <w:t xml:space="preserve">▪</w:t>
      </w:r>
      <w:r>
        <w:rPr>
          <w:b/>
          <w:bCs/>
        </w:rPr>
        <w:t xml:space="preserve"> </w:t>
      </w:r>
      <w:r>
        <w:t xml:space="preserve">World Health Organization, «World Mental Health Report: Transforming Mental Health for All», World Health Organization, Ginevra, 2022.</w:t>
      </w:r>
    </w:p>
    <w:p>
      <w:pPr>
        <w:pStyle w:val="BodyText"/>
      </w:pPr>
      <w:r>
        <w:rPr>
          <w:i/>
          <w:iCs/>
        </w:rPr>
        <w:t xml:space="preserve">Mini-riassunto. È il rapporto mondiale sulla salute mentale, che documenta il divario di trattamento e il valore della sua riduzione attraverso l’integrazione dei servizi psicologici nelle cure primarie, a cornice delle previsioni di questa parte sulla riduzione del disagio non intercettato e sul restringimento del divario di trattamento, che misurano la capacità della riforma di raggiungere il disagio sommerso, presupposto del guadagno di salute.</w:t>
      </w:r>
    </w:p>
    <w:bookmarkStart w:id="796" w:name="X4dd372d62bedfb92d3f6e956f39ed4b45ebc5ca"/>
    <w:p>
      <w:pPr>
        <w:pStyle w:val="Heading2"/>
      </w:pPr>
      <w:r>
        <w:t xml:space="preserve">Nota sui rinvii interni e sui principi metodologici</w:t>
      </w:r>
    </w:p>
    <w:p>
      <w:pPr>
        <w:pStyle w:val="FirstParagraph"/>
      </w:pPr>
      <w:r>
        <w:t xml:space="preserve">L’undicesima parte è la sede della proiezione temporale e della previsione falsificabile dell’intero studio, e si raccorda perciò con un’ampia rete di parti, da cui assume le grandezze e a cui consegna il proprio risultato. Essa assume il saldo economico consolidato stabilito dalla decima parte, e ne proietta le grandezze nel tempo; trae dalla sesta parte l’evidenza di efficacia che sostiene i parametri del modello, in particolare le probabilità di transizione del decorso con riforma; richiama la settima e l’ottava parte per i costi e i risparmi diretti che il modello proietta, e di cui le previsioni sui bilanci e sui sistemi sanitari sono la proiezione temporale e il riscontro fisico; richiama la quarta parte per le leve abilitanti e per l’organizzazione dei percorsi, che governano l’entità delle previsioni sulla burocrazia; e si fonda sui parametri demografici e di scala della seconda e della quarta parte, propri della Puglia. Verso le parti successive, essa consegna le previsioni falsificabili e le soglie alla quindicesima parte, che ne condurrà la verifica ex-post, e la proiezione del valore alla dodicesima parte, che ne studierà la distribuzione tra i territori e le popolazioni.</w:t>
      </w:r>
    </w:p>
    <w:p>
      <w:pPr>
        <w:pStyle w:val="BodyText"/>
      </w:pPr>
      <w:r>
        <w:t xml:space="preserve">I principi metodologici invarianti dello studio governano la modellazione e la previsione falsificabile in ogni loro passaggio. La distinzione cardine tra le grandezze fiscali dirette, sociali indirette e di salute è mantenuta nella proiezione, sicché le previsioni sui quattro ambiti restino riferite a dimensioni distinte, senza somma in un’unica cifra e senza duplicazione. Il duplice intervallo di Chisholm opera come riferimento nell’individuazione della soglia del rendimento sociale e nella misura del relativo margine. Il caveat dell’IMPACT trial sui risparmi diretti governa la duplice formulazione delle previsioni sui bilanci, nella variante centrale e nella variante prudenziale, ed è riflesso nelle distribuzioni dell’analisi di sensibilità. Il modello impiega i parametri invarianti cross-regionali, costanti per l’intera serie regionale, e i parametri demografici e di scala propri della Puglia, sicché la proiezione sia confrontabile tra le regioni e specifica per la Puglia. Ogni previsione è formulata in banda prudenziale falsificabile, corredata della soglia di confutazione e del metodo di verifica, e ogni stima è graduata secondo la sua qualità con i criteri GRADE, applicati con il medesimo rigore alle componenti cliniche ed economiche. La modellazione e la previsione falsificabile si conformano così, nella loro proiezione, ai medesimi principi che hanno governato la valutazione statica che le precede, e ne costituiscono il prolungamento nel tempo, traducendone il valore in previsioni controllabili, esposte alla verifica dei fatti.</w:t>
      </w:r>
    </w:p>
    <w:p>
      <w:pPr>
        <w:pStyle w:val="SourceCode"/>
      </w:pPr>
      <w:r>
        <w:rPr>
          <w:rStyle w:val="VerbatimChar"/>
        </w:rPr>
        <w:t xml:space="preserve">Modellazione · incertezza · previsione falsificabile    L. De Michele · giugno 2026</w:t>
      </w:r>
    </w:p>
    <w:p>
      <w:r>
        <w:br w:type="page"/>
      </w:r>
    </w:p>
    <w:p>
      <w:pPr>
        <w:pStyle w:val="FirstParagraph"/>
      </w:pPr>
      <w:r>
        <w:t xml:space="preserve">Studio Integrale Puglia · Parte XII — Equità e impatto distributivo</w:t>
      </w:r>
    </w:p>
    <w:p>
      <w:pPr>
        <w:pStyle w:val="BodyText"/>
      </w:pPr>
      <w:r>
        <w:rPr>
          <w:b/>
          <w:bCs/>
        </w:rPr>
        <w:t xml:space="preserve">PROGETTO « PSICOLOGO DI BASE » · REGIONE PUGLIA</w:t>
      </w:r>
    </w:p>
    <w:p>
      <w:pPr>
        <w:pStyle w:val="BodyText"/>
      </w:pPr>
      <w:r>
        <w:rPr>
          <w:b/>
          <w:bCs/>
        </w:rPr>
        <w:t xml:space="preserve">Studio Integrale, Finale e Definitivo</w:t>
      </w:r>
    </w:p>
    <w:p>
      <w:pPr>
        <w:pStyle w:val="BodyText"/>
      </w:pPr>
      <w:r>
        <w:rPr>
          <w:b/>
          <w:bCs/>
        </w:rPr>
        <w:t xml:space="preserve">Parte XII</w:t>
      </w:r>
    </w:p>
    <w:p>
      <w:pPr>
        <w:pStyle w:val="BodyText"/>
      </w:pPr>
      <w:r>
        <w:rPr>
          <w:b/>
          <w:bCs/>
        </w:rPr>
        <w:t xml:space="preserve">Equit</w:t>
      </w:r>
      <w:r>
        <w:rPr>
          <w:b/>
          <w:bCs/>
        </w:rPr>
        <w:t xml:space="preserve">0E0 e impatto</w:t>
      </w:r>
    </w:p>
    <w:p>
      <w:pPr>
        <w:pStyle w:val="BodyText"/>
      </w:pPr>
      <w:r>
        <w:rPr>
          <w:b/>
          <w:bCs/>
        </w:rPr>
        <w:t xml:space="preserve">distributivo</w:t>
      </w:r>
    </w:p>
    <w:p>
      <w:pPr>
        <w:pStyle w:val="BodyText"/>
      </w:pPr>
      <w:r>
        <w:rPr>
          <w:i/>
          <w:iCs/>
        </w:rPr>
        <w:t xml:space="preserve">La distribuzione territoriale e tra le popolazioni dei costi e dei benefici della riforma, l</w:t>
      </w:r>
      <w:r>
        <w:rPr>
          <w:i/>
          <w:iCs/>
        </w:rPr>
        <w:t xml:space="preserve">019equit</w:t>
      </w:r>
      <w:r>
        <w:rPr>
          <w:i/>
          <w:iCs/>
        </w:rPr>
        <w:t xml:space="preserve">0E0 di accesso e il rischio di divario digitale, e l</w:t>
      </w:r>
      <w:r>
        <w:rPr>
          <w:i/>
          <w:iCs/>
        </w:rPr>
        <w:t xml:space="preserve">019impatto distributivo complessivo, nel rispetto della distinzione tra le dimensioni del valore</w:t>
      </w:r>
    </w:p>
    <w:p>
      <w:pPr>
        <w:pStyle w:val="BodyText"/>
      </w:pPr>
      <w:r>
        <w:t xml:space="preserve">Telaio HTA · Five Case Model · CHEERS 2022 · criteri OCSE-DAC</w:t>
      </w:r>
    </w:p>
    <w:p>
      <w:pPr>
        <w:pStyle w:val="BodyText"/>
      </w:pPr>
      <w:r>
        <w:t xml:space="preserve">Cascata gerarchica piramidale dallo Psicologo di Base · perimetro multidisciplinare integrale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Avvertenza sui vincoli metodologici invarianti</w:t>
            </w:r>
            <w:r>
              <w:rPr>
                <w:rFonts w:ascii="Cambria" w:hAnsi="Cambria" w:cs="Cambria" w:eastAsia="Cambria"/>
                <w:b/>
                <w:color w:val="FFFFFF"/>
                <w:sz w:val="18"/>
              </w:rPr>
              <w:t xml:space="preserve"> </w:t>
            </w:r>
            <w:r>
              <w:rPr>
                <w:rFonts w:ascii="Cambria" w:hAnsi="Cambria" w:cs="Cambria" w:eastAsia="Cambria"/>
                <w:b/>
                <w:color w:val="FFFFFF"/>
                <w:sz w:val="18"/>
              </w:rPr>
              <w:t xml:space="preserve">La presente parte studia la distribuzione, tra i territori e tra le popolazioni, dei costi e dei benefici della riforma, di cui le parti precedenti hanno stabilito l’entità e la proiezione complessiva. Essa assume la proiezione del valore della riforma stabilita dall’undicesima parte, e ne studia la ripartizione nello spazio sociale, valutando l’equità territoriale, l’equità tra le popolazioni e l’equità di accesso. L’analisi distributiva non modifica le grandezze stabilite dalle parti precedenti, ma ne studia la ripartizione: essa muove dal valore complessivo della riforma e ne esamina la distribuzione tra le aree della regione e tra i gruppi della popolazione, valutando se la riforma riduca o accentui le diseguaglianze preesistenti. La leva digitale, su cui la riforma si appoggia come strumento abilitante subordinato, è esaminata sotto il profilo dell’equità di accesso, con attenzione al rischio che essa introduca un divario digitale che si sovrapponga ai divari territoriali e sociali; ne è affermato il principio della complementarietà rispetto all’accesso in presenza, sicché i soggetti digitalmente esclusi non siano esclusi dalla riforma. Le tre dimensioni del valore — fiscale diretta, sociale indiretta e di salute — sono mantenute distinte anche nell’analisi distributiva, che ne studia la ripartizione senza somma in un’unica cifra; il duplice intervallo di Chisholm e il caveat dell’IMPACT trial sono preservati ove le grandezze economiche sono richiamate. L’impatto distributivo complessivo è formulato come previsione falsificabile, corredata delle condizioni al verificarsi delle quali la riforma risulta favorevole all’equità, e ogni stima è graduata secondo la sua qualità con i criteri GRADE, applicati con il medesimo rigore alle componenti cliniche, economiche e sociali.</w:t>
            </w:r>
          </w:p>
        </w:tc>
      </w:tr>
    </w:tbl>
    <w:bookmarkEnd w:id="796"/>
    <w:bookmarkEnd w:id="797"/>
    <w:bookmarkStart w:id="799" w:name="premessa-9"/>
    <w:p>
      <w:pPr>
        <w:pStyle w:val="Heading1"/>
      </w:pPr>
      <w:r>
        <w:t xml:space="preserve">Premessa</w:t>
      </w:r>
    </w:p>
    <w:p>
      <w:pPr>
        <w:pStyle w:val="FirstParagraph"/>
      </w:pPr>
      <w:r>
        <w:rPr>
          <w:i/>
          <w:iCs/>
        </w:rPr>
        <w:t xml:space="preserve">La dodicesima parte studia la distribuzione, tra i territori e tra le popolazioni, dei costi e dei benefici della riforma del Servizio di Psicologia di Base in Puglia. Le parti precedenti ne hanno stabilito l’entità e la proiezione complessiva: la decima ne ha stabilito il saldo economico consolidato, l’undicesima ne ha proiettato le grandezze nel tempo e ne ha tratto le previsioni falsificabili. La dodicesima parte assume questo valore complessivo e ne studia la ripartizione nello spazio sociale, ponendo una domanda che le parti precedenti non hanno posto: non quanto valore la riforma produca, ma a chi quel valore si distribuisca, e se la sua distribuzione riduca o accentui le diseguaglianze preesistenti tra le aree della regione e tra i gruppi della popolazione.</w:t>
      </w:r>
    </w:p>
    <w:p>
      <w:pPr>
        <w:pStyle w:val="BodyText"/>
      </w:pPr>
      <w:r>
        <w:t xml:space="preserve">La distinzione tra l’entità del valore e la sua distribuzione è la distinzione tra l’efficienza e l’equità, che governa l’intera parte. L’efficienza attiene all’entità complessiva del valore che la riforma produce, ed è l’oggetto delle parti precedenti, che hanno stabilito che la riforma genera un valore complessivo positivo sulle dimensioni di salute e sociale e prossimo al pareggio sulla dimensione fiscale. L’equità attiene alla distribuzione di quel valore tra i soggetti, ed è l’oggetto della presente parte, che studia come il valore complessivo si ripartisca tra le aree e i gruppi. Le due proprietà sono distinte e non si implicano a vicenda: una riforma può essere efficiente senza essere equa, ove il valore che produce si concentri presso le aree e i gruppi già avvantaggiati, lasciando inalterate o accresciute le diseguaglianze; e può essere equa senza essere efficiente, ove distribuisca un valore esiguo in modo uniforme. La presente parte non rimette in discussione l’efficienza della riforma, stabilita dalle parti precedenti, ma ne esamina l’equità, che quelle parti non hanno esaminato; e la esamina perché l’equità è una proprietà autonoma del valore della riforma, non deducibile dalla sua entità, e perché una riforma del primo livello psicologico, destinata a tutta la popolazione, è chiamata a essere non soltanto efficiente ma anche equa, sì da ridurre, e non accentuare, le diseguaglianze nell’accesso alla cura del disagio comune.</w:t>
      </w:r>
      <w:r>
        <w:rPr>
          <w:rStyle w:val="FootnoteReference"/>
        </w:rPr>
        <w:footnoteReference w:id="338"/>
      </w:r>
    </w:p>
    <w:p>
      <w:pPr>
        <w:pStyle w:val="BodyText"/>
      </w:pPr>
      <w:r>
        <w:t xml:space="preserve">L’analisi distributiva non modifica le grandezze stabilite dalle parti precedenti, ma ne studia la ripartizione, e da questa premessa metodologica discende il suo carattere. Essa muove dal valore complessivo della riforma, quale le parti precedenti lo hanno stabilito, e non lo accresce né lo diminuisce: i guadagni di salute, i risparmi diretti, i benefici indiretti e i costi restano quelli stabiliti, e la presente parte non ne aggiunge di nuovi né ne sottrae. Ciò che la presente parte aggiunge non è una grandezza, ma una ripartizione: essa scompone il valore complessivo secondo le aree della regione e secondo i gruppi della popolazione, e valuta se la scomposizione mostri una distribuzione che riduca o accentui le diseguaglianze. La distinzione è essenziale per intendere la natura della parte: essa non è una nuova valutazione economica, che competerebbe con quelle delle parti precedenti, ma una valutazione distributiva, che le presuppone e ne studia un aspetto ulteriore. Le grandezze che la parte richiama sono perciò quelle già stabilite, e i parametri che impiega sono quelli già fissati; ciò che la parte introduce è la dimensione distributiva, lungo la quale quelle grandezze sono esaminate. La presente parte mantiene, in questo esame, la distinzione tra le tre dimensioni del valore — la fiscale diretta, la sociale indiretta e quella di salute — che le parti precedenti hanno preservato: essa studia la distribuzione di ciascuna dimensione, senza sommarle in un’unica cifra, e preserva il duplice intervallo di Chisholm e il caveat dell’IMPACT trial ove le grandezze economiche sono richiamate.</w:t>
      </w:r>
    </w:p>
    <w:bookmarkEnd w:id="799"/>
    <w:bookmarkStart w:id="800" w:name="introduzione-9"/>
    <w:p>
      <w:pPr>
        <w:pStyle w:val="Heading1"/>
      </w:pPr>
      <w:r>
        <w:t xml:space="preserve">Introduzione</w:t>
      </w:r>
    </w:p>
    <w:p>
      <w:pPr>
        <w:pStyle w:val="FirstParagraph"/>
      </w:pPr>
      <w:r>
        <w:rPr>
          <w:i/>
          <w:iCs/>
        </w:rPr>
        <w:t xml:space="preserve">L’introduzione espone l’oggetto, l’articolazione e il metodo della dodicesima parte. La parte studia l’equità della riforma lungo tre dimensioni — l’equità territoriale, l’equità tra le popolazioni e l’equità di accesso — e ne trae l’impatto distributivo complessivo. L’introduzione definisce queste tre dimensioni, ne dichiara l’ordine, illustra il modo in cui la parte le esamina e il rapporto che essa intrattiene con le parti che la precedono e la seguono.</w:t>
      </w:r>
    </w:p>
    <w:p>
      <w:pPr>
        <w:pStyle w:val="BodyText"/>
      </w:pPr>
      <w:r>
        <w:t xml:space="preserve">La parte studia l’equità della riforma lungo tre dimensioni distinte, ciascuna delle quali coglie un aspetto della distribuzione del valore. La prima dimensione è l’equità territoriale, che attiene alla distribuzione del valore tra le aree della regione, e che domanda se la riforma riduca o accentui i divari tra i territori — tra le aree urbane e le aree interne, tra i centri e le periferie, tra le province più e meno dotate di servizi. La seconda dimensione è l’equità tra le popolazioni, che attiene alla distribuzione del valore tra i gruppi della popolazione, e che domanda se la riforma riduca o accentui le diseguaglianze tra i gruppi — tra i generi, tra le età, tra le condizioni socio-economiche, tra le condizioni di fragilità. La terza dimensione è l’equità di accesso, che attiene alla possibilità effettiva di fruire della riforma, e che domanda se la leva digitale, su cui la riforma si appoggia, ampli l’accesso o introduca un divario tra chi dispone degli strumenti e delle competenze digitali e chi ne è privo. Le tre dimensioni sono distinte ma connesse: i divari territoriali, le diseguaglianze tra le popolazioni e le barriere di accesso si sovrappongono, sì che le aree interne sono spesso anche le più anziane e le meno connesse, e le condizioni socio-economiche svantaggiate si accompagnano al minore accesso ai servizi e agli strumenti digitali. La parte esamina le tre dimensioni partitamente, e ne ricompone poi i risultati nell’impatto distributivo complessivo.</w:t>
      </w:r>
    </w:p>
    <w:p>
      <w:pPr>
        <w:pStyle w:val="BodyText"/>
      </w:pPr>
      <w:r>
        <w:t xml:space="preserve">L’ordine delle tre dimensioni procede dalla distribuzione nello spazio fisico a quella nello spazio sociale, e infine alla possibilità di accesso. L’equità territoriale, esaminata per prima, attiene alla distribuzione del valore nello spazio fisico della regione, ed è la dimensione più immediatamente percepibile, perché i divari territoriali sono visibili nella geografia dei servizi. L’equità tra le popolazioni, esaminata in secondo luogo, attiene alla distribuzione del valore nello spazio sociale, tra i gruppi definiti dal genere, dall’età, dalla condizione socio-economica e dalla fragilità, ed è la dimensione che coglie le diseguaglianze sociali nella salute mentale. L’equità di accesso, esaminata in terzo luogo, attiene non alla distribuzione del valore prodotto, ma alla possibilità di fruirne, e si concentra sul rischio che la leva digitale, anziché ampliare l’accesso, lo restringa per i soggetti digitalmente esclusi. L’impatto distributivo complessivo, esaminato da ultimo, ricompone le tre dimensioni e ne trae la valutazione d’insieme della distribuzione del valore della riforma. Quest’ordine corrisponde all’articolazione della parte in quattro voci: la prima dedicata all’equità territoriale, la seconda all’equità tra le popolazioni, la terza all’equità di accesso e alla leva digitale, la quarta all’impatto distributivo complessivo.</w:t>
      </w:r>
    </w:p>
    <w:p>
      <w:pPr>
        <w:pStyle w:val="BodyText"/>
      </w:pPr>
      <w:r>
        <w:t xml:space="preserve">La parte intrattiene un rapporto definito con le parti che la precedono e la seguono, di cui costituisce lo sviluppo distributivo. Verso le parti precedenti, essa assume la proiezione del valore della riforma stabilita dall’undicesima parte, e ne studia la distribuzione: il valore di cui esamina la ripartizione è quello già stabilito, e i parametri demografici e di scala che impiega sono quelli della seconda e della quarta parte, propri della Puglia. Verso le parti successive, essa consegna la valutazione distributiva alla quattordicesima parte, dedicata all’attuazione, che dovrà tradurre le raccomandazioni per l’equità in misure attuative, e alla quindicesima parte, dedicata al monitoraggio, che dovrà verificare l’impatto distributivo osservato a riforma attuata. La parte si colloca dunque tra la valutazione del valore complessivo, che la precede, e la sua attuazione e verifica, che la seguono, e vi aggiunge la dimensione distributiva, che le altre parti non hanno esaminato. Essa formula l’impatto distributivo come previsione falsificabile, in coerenza con la forma che l’undicesima parte ha dato alle previsioni: non come asserzione che la riforma ridurrà le diseguaglianze, ma come previsione corredata delle condizioni al verificarsi delle quali la riforma risulta favorevole all’equità, sì che la previsione sia controllabile e la sua verifica affidata al monitoraggio. La parte è perciò, nella struttura dello studio, il luogo in cui la valutazione del valore si fa valutazione della giustizia distributiva, e in cui la domanda sull’entità del valore si completa nella domanda sulla sua ripartizione.</w:t>
      </w:r>
    </w:p>
    <w:bookmarkEnd w:id="800"/>
    <w:bookmarkStart w:id="810" w:name="Xeb40b977ef0b1d2b53024f262e3c1b06767ddde"/>
    <w:p>
      <w:pPr>
        <w:pStyle w:val="Heading2"/>
      </w:pPr>
      <w:r>
        <w:t xml:space="preserve">12.1 L’equità territoriale tra le aree della regione</w:t>
      </w:r>
    </w:p>
    <w:p>
      <w:pPr>
        <w:pStyle w:val="FirstParagraph"/>
      </w:pPr>
      <w:r>
        <w:rPr>
          <w:i/>
          <w:iCs/>
        </w:rPr>
        <w:t xml:space="preserve">La prima voce studia l’equità territoriale della riforma, ossia la distribuzione del suo valore tra le aree della regione, e domanda se la riforma riduca o accentui i divari tra i territori. La voce espone la logica dell’equità territoriale, descrive i divari territoriali preesistenti nei servizi di salute mentale in Puglia, esamina la distribuzione della riforma secondo il bisogno e il suo effetto sui divari, considera la condizione delle aree interne e il rischio di concentrazione urbana, e gradua infine la qualità delle stime con i criteri GRADE, ne dichiara le bande e ne traccia i confini.</w:t>
      </w:r>
    </w:p>
    <w:bookmarkStart w:id="801" w:name="la-logica-dellequità-territoriale"/>
    <w:p>
      <w:pPr>
        <w:pStyle w:val="Heading2"/>
      </w:pPr>
      <w:r>
        <w:t xml:space="preserve">12.1.1 La logica dell’equità territoriale</w:t>
      </w:r>
    </w:p>
    <w:p>
      <w:pPr>
        <w:pStyle w:val="FirstParagraph"/>
      </w:pPr>
      <w:r>
        <w:t xml:space="preserve">L’equità territoriale è la proprietà per cui il valore di una politica si distribuisce tra le aree di un territorio in modo da ridurre, e non accentuare, i divari preesistenti tra esse. Una regione non è un’entità omogenea, ma un insieme di aree che differiscono per dotazione di servizi, per densità della popolazione, per struttura demografica e per condizione socio-economica; e una politica sanitaria, distribuendo le proprie risorse tra queste aree, può ridurne o accentuarne i divari, a seconda di come la distribuzione si rapporti alla loro condizione di partenza. La logica dell’equità territoriale muove dal riconoscimento che le aree di una regione partono da posizioni diseguali, e che una distribuzione delle risorse proporzionale alla dotazione preesistente — che attribuisca più risorse alle aree già più dotate — accentua i divari, mentre una distribuzione proporzionale al bisogno — che attribuisca più risorse alle aree dove il bisogno è maggiore relativamente alla dotazione — li riduce. L’equità territoriale richiede dunque che la distribuzione delle risorse della riforma sia governata non dalla dotazione preesistente, ma dal bisogno, sì che le aree più sguarnite, dove il bisogno è relativamente maggiore, ricevano una quota di risorse adeguata a colmare, almeno in parte, il loro svantaggio.</w:t>
      </w:r>
    </w:p>
    <w:p>
      <w:pPr>
        <w:pStyle w:val="BodyText"/>
      </w:pPr>
      <w:r>
        <w:t xml:space="preserve">La distinzione tra la distribuzione proporzionale alla dotazione e la distribuzione proporzionale al bisogno è il criterio attraverso cui la presente voce valuta l’equità territoriale della riforma. La distribuzione proporzionale alla dotazione tende a perpetuare i divari, perché segue la geografia esistente dei servizi, concentrando le nuove risorse dove i servizi sono già presenti e i professionisti già operano; essa è la distribuzione che si realizza spontaneamente, ove la collocazione delle risorse sia lasciata alle preferenze dei professionisti e alla domanda espressa, entrambe più forti nelle aree urbane e meglio servite. La distribuzione proporzionale al bisogno, per contro, contrasta i divari, perché segue la geografia del bisogno anziché quella dell’offerta, collocando le nuove risorse dove il bisogno è maggiore relativamente alla dotazione, ossia nelle aree più sguarnite; essa non si realizza spontaneamente, ma richiede un criterio esplicito di allocazione, che governi la distribuzione delle risorse secondo il bisogno e contrasti la tendenza spontanea alla concentrazione urbana. La presente voce valuta dunque l’equità territoriale della riforma esaminando se la distribuzione del Servizio di Psicologia di Base sia governata da un criterio proporzionale al bisogno, capace di ridurre i divari, o sia abbandonata alla tendenza spontanea alla concentrazione, che li accentuerebbe; e ne trae la previsione dell’effetto della riforma sui divari territoriali preesistenti.</w:t>
      </w:r>
    </w:p>
    <w:p>
      <w:pPr>
        <w:pStyle w:val="BodyText"/>
      </w:pPr>
      <w:r>
        <w:t xml:space="preserve">La logica dell’equità territoriale assume, nel caso della salute mentale, un rilievo particolare, per la natura del bisogno e per la struttura dell’offerta. Il bisogno di cura del disagio comune è diffuso su tutto il territorio, ma è spesso maggiore, relativamente alla dotazione, nelle aree interne e periferiche, dove la struttura demografica più anziana, l’isolamento sociale e lo svantaggio socio-economico ne accrescono l’incidenza, e dove al tempo stesso l’offerta di servizi è più sguarnita. L’offerta di servizi specialistici di salute mentale, per contro, è concentrata nelle aree urbane, dove i presìdi hanno sede e i professionisti operano, sì che le aree interne sono servite più debolmente, con presìdi più distanti e meno densi. Ne risulta un divario territoriale in cui il bisogno relativo è maggiore dove l’offerta è minore, e in cui la distanza tra il bisogno e l’offerta è massima nelle aree interne e periferiche. La riforma del primo livello psicologico, distribuendo una nuova risorsa su tutto il territorio, ha la possibilità di ridurre questo divario, portando il primo livello nelle aree più sguarnite; ma ha anche il rischio, ove la distribuzione segua la tendenza spontanea, di accentuarlo, concentrando la nuova risorsa nelle aree già più servite. La logica dell’equità territoriale, applicata alla salute mentale, mostra dunque la posta in gioco della distribuzione: essa decide se la riforma riduca o accentui il divario tra il bisogno e l’offerta nelle aree interne, e perciò se la riforma sia, sul piano territoriale, uno strumento di equità o di iniquità.</w:t>
      </w:r>
    </w:p>
    <w:bookmarkEnd w:id="801"/>
    <w:bookmarkStart w:id="803" w:name="X145c6b0fe4d37aaf1a2352ec4fd86dbe8f1322e"/>
    <w:p>
      <w:pPr>
        <w:pStyle w:val="Heading2"/>
      </w:pPr>
      <w:r>
        <w:t xml:space="preserve">12.1.2 I divari territoriali preesistenti nei servizi di salute mentale in Puglia</w:t>
      </w:r>
    </w:p>
    <w:p>
      <w:pPr>
        <w:pStyle w:val="FirstParagraph"/>
      </w:pPr>
      <w:r>
        <w:t xml:space="preserve">La valutazione dell’equità territoriale della riforma muove dalla descrizione dei divari territoriali preesistenti, che costituiscono la condizione di partenza su cui la riforma interviene. La Puglia è una regione articolata in sei aziende sanitarie locali — Bari, Barletta-Andria-Trani, Brindisi, Foggia, Lecce e Taranto — e in quarantacinque distretti sociosanitari, che costituiscono l’ossatura territoriale dell’assistenza. Le sei aziende differiscono ampiamente per popolazione: l’azienda di Bari, che comprende il capoluogo regionale e la sua area metropolitana, raccoglie circa un terzo della popolazione regionale; le aziende di Lecce, Foggia e Taranto raccolgono ciascuna una quota consistente; le aziende di Barletta-Andria-Trani e di Brindisi raccolgono ciascuna una quota minore. La popolazione regionale, dell’ordine di tre milioni ottocentosettantasettemila residenti, si distribuisce dunque in modo diseguale tra le sei aziende, e in modo ancor più diseguale tra i quarantacinque distretti, che differiscono per ampiezza, per densità e per struttura demografica. Entro questa articolazione, le aree urbane — i capoluoghi di provincia e le loro cinture — concentrano la popolazione e i servizi, mentre le aree interne — il Subappennino dauno, l’Alta Murgia, le aree più distanti dalle coste e dai centri maggiori — presentano una popolazione più rada, più anziana e più distante dai presìdi.</w:t>
      </w:r>
      <w:r>
        <w:rPr>
          <w:rStyle w:val="FootnoteReference"/>
        </w:rPr>
        <w:footnoteReference w:id="339"/>
      </w:r>
    </w:p>
    <w:p>
      <w:pPr>
        <w:pStyle w:val="BodyText"/>
      </w:pPr>
      <w:r>
        <w:t xml:space="preserve">Entro questa articolazione territoriale, l’offerta di servizi di salute mentale presenta divari che corrispondono alla distinzione tra le aree urbane e le aree interne. I servizi specialistici della salute mentale — i centri di salute mentale, i servizi per le dipendenze, le strutture per l’età evolutiva — hanno sede nei centri maggiori, e servono le aree interne attraverso articolazioni periferiche meno dense e meno dotate. La densità dei servizi, misurata in rapporto alla popolazione e al territorio, è perciò maggiore nelle aree urbane e minore nelle aree interne, dove la distanza media dal presìdio più vicino è maggiore e i tempi di accesso più lunghi. A questo divario nell’offerta specialistica si aggiunge un divario nella medicina generale, primo presidio territoriale del disagio: la densità dei medici di medicina generale, anch’essa maggiore nelle aree urbane, è minore nelle aree interne, dove l’invecchiamento della popolazione medica e la difficoltà di ricambio aggravano lo svantaggio. Le aree interne presentano dunque un duplice svantaggio: minore densità di servizi specialistici e minore densità di medicina generale, a fronte di un bisogno che la struttura demografica più anziana e lo svantaggio socio-economico tendono ad accrescere. Il divario territoriale preesistente nei servizi di salute mentale è perciò un divario in cui le aree interne, dove il bisogno relativo è maggiore, dispongono di un’offerta minore, e in cui la distanza tra il bisogno e l’offerta è massima nelle aree più periferiche e rade.</w:t>
      </w:r>
    </w:p>
    <w:p>
      <w:pPr>
        <w:pStyle w:val="BodyText"/>
      </w:pPr>
      <w:r>
        <w:t xml:space="preserve">Il divario territoriale preesistente è la condizione di partenza che misura lo spazio entro cui la riforma può agire sull’equità territoriale. Esso non è una caratteristica accidentale della geografia regionale, ma il risultato di una struttura dell’offerta che ha seguito la geografia della popolazione e dell’urbanizzazione, concentrando i servizi dove la domanda è più densa e più facilmente raggiungibile. La riforma del primo livello psicologico interviene su questa condizione di partenza, e il suo effetto sull’equità territoriale dipende da come la sua distribuzione si rapporti al divario preesistente: una distribuzione proporzionale al bisogno, che collochi una quota maggiore di risorse nelle aree interne, dove il divario è massimo, riduce il divario preesistente; una distribuzione proporzionale alla dotazione, che segua la geografia esistente dei servizi, lo lascia inalterato o lo accentua. La descrizione del divario preesistente non è dunque fine a sé stessa, ma fornisce il termine di riferimento rispetto al quale la distribuzione della riforma è valutata: è rispetto a questo divario che si misura se la riforma lo riduca o lo accentui, e perciò se essa sia, sul piano territoriale, equa o iniqua. La presente voce assume questo divario come condizione di partenza, e ne valuta la modificazione che la riforma vi apporta, secondo il criterio della distribuzione proporzionale al bisogno.</w:t>
      </w:r>
    </w:p>
    <w:bookmarkEnd w:id="803"/>
    <w:bookmarkStart w:id="805" w:name="X342dd346c0249410bcd2896001a8adc167302bf"/>
    <w:p>
      <w:pPr>
        <w:pStyle w:val="Heading2"/>
      </w:pPr>
      <w:r>
        <w:t xml:space="preserve">12.1.3 La distribuzione della riforma secondo il bisogno e l’effetto sui divari</w:t>
      </w:r>
    </w:p>
    <w:p>
      <w:pPr>
        <w:pStyle w:val="FirstParagraph"/>
      </w:pPr>
      <w:r>
        <w:t xml:space="preserve">La riforma distribuisce il Servizio di Psicologia di Base su tutto il territorio regionale secondo un dimensionamento che, ove governato dal bisogno, riduce i divari territoriali preesistenti. Il dimensionamento complessivo della riforma, stabilito dalle parti precedenti, prevede un numero di psicologi di base dell’ordine di ottocento-ottocentottanta unità per l’intera regione, corrispondente a un rapporto con la popolazione adeguato a garantire il primo livello psicologico su tutto il territorio. La distribuzione di questo contingente tra le sei aziende e i quarantacinque distretti, ove proporzionale alla popolazione, attribuisce a ciascuna area una quota di psicologi corrispondente alla sua quota di popolazione, sì che il rapporto tra gli psicologi e la popolazione sia uniforme su tutto il territorio. Una distribuzione siffatta, già per il solo fatto di essere proporzionale alla popolazione, riduce i divari preesistenti, perché porta il primo livello psicologico anche nelle aree interne, dove l’offerta specialistica è più sguarnita, garantendovi un rapporto con la popolazione pari a quello delle aree urbane. La tabella che segue illustra la distribuzione del contingente tra le sei aziende sanitarie, proporzionale alla popolazione, nello scenario centrale di circa ottocentoquaranta unità.</w:t>
      </w:r>
      <w:r>
        <w:rPr>
          <w:rStyle w:val="FootnoteReference"/>
        </w:rPr>
        <w:footnoteReference w:id="340"/>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Azienda sanitaria locale</w:t>
            </w:r>
          </w:p>
        </w:tc>
        <w:tc>
          <w:tcPr>
            <w:shd w:val="clear" w:color="auto" w:fill="16264B"/>
          </w:tcPr>
          <w:p>
            <w:pPr>
              <w:pStyle w:val="Compact"/>
              <w:spacing w:after="40" w:before="40"/>
              <w:jc w:val="left"/>
            </w:pPr>
            <w:r>
              <w:rPr>
                <w:rFonts w:ascii="Cambria" w:hAnsi="Cambria" w:cs="Cambria" w:eastAsia="Cambria"/>
                <w:b/>
                <w:bCs/>
                <w:color w:val="FFFFFF"/>
                <w:sz w:val="18"/>
              </w:rPr>
              <w:t xml:space="preserve">Popolazione residente (circa)</w:t>
            </w:r>
          </w:p>
        </w:tc>
        <w:tc>
          <w:tcPr>
            <w:shd w:val="clear" w:color="auto" w:fill="16264B"/>
          </w:tcPr>
          <w:p>
            <w:pPr>
              <w:pStyle w:val="Compact"/>
              <w:spacing w:after="40" w:before="40"/>
              <w:jc w:val="left"/>
            </w:pPr>
            <w:r>
              <w:rPr>
                <w:rFonts w:ascii="Cambria" w:hAnsi="Cambria" w:cs="Cambria" w:eastAsia="Cambria"/>
                <w:b/>
                <w:bCs/>
                <w:color w:val="FFFFFF"/>
                <w:sz w:val="18"/>
              </w:rPr>
              <w:t xml:space="preserve">Quota</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 di base (allocazione proporzionale, scenario centrale)</w:t>
            </w:r>
          </w:p>
        </w:tc>
      </w:tr>
      <w:tr>
        <w:tc>
          <w:tcPr/>
          <w:p>
            <w:pPr>
              <w:pStyle w:val="Compact"/>
              <w:spacing w:after="40" w:before="40"/>
              <w:jc w:val="left"/>
            </w:pPr>
            <w:r>
              <w:rPr>
                <w:rFonts w:ascii="Cambria" w:hAnsi="Cambria" w:cs="Cambria" w:eastAsia="Cambria"/>
                <w:color w:val="1A1A1A"/>
                <w:sz w:val="18"/>
              </w:rPr>
              <w:t xml:space="preserve">ASL Bari</w:t>
            </w:r>
          </w:p>
        </w:tc>
        <w:tc>
          <w:tcPr/>
          <w:p>
            <w:pPr>
              <w:pStyle w:val="Compact"/>
              <w:spacing w:after="40" w:before="40"/>
              <w:jc w:val="left"/>
            </w:pPr>
            <w:r>
              <w:rPr>
                <w:rFonts w:ascii="Cambria" w:hAnsi="Cambria" w:cs="Cambria" w:eastAsia="Cambria"/>
                <w:color w:val="1A1A1A"/>
                <w:sz w:val="18"/>
              </w:rPr>
              <w:t xml:space="preserve">~1.175.000</w:t>
            </w:r>
          </w:p>
        </w:tc>
        <w:tc>
          <w:tcPr/>
          <w:p>
            <w:pPr>
              <w:pStyle w:val="Compact"/>
              <w:spacing w:after="40" w:before="40"/>
              <w:jc w:val="left"/>
            </w:pPr>
            <w:r>
              <w:rPr>
                <w:rFonts w:ascii="Cambria" w:hAnsi="Cambria" w:cs="Cambria" w:eastAsia="Cambria"/>
                <w:color w:val="1A1A1A"/>
                <w:sz w:val="18"/>
              </w:rPr>
              <w:t xml:space="preserve">~30%</w:t>
            </w:r>
          </w:p>
        </w:tc>
        <w:tc>
          <w:tcPr/>
          <w:p>
            <w:pPr>
              <w:pStyle w:val="Compact"/>
              <w:spacing w:after="40" w:before="40"/>
              <w:jc w:val="left"/>
            </w:pPr>
            <w:r>
              <w:rPr>
                <w:rFonts w:ascii="Cambria" w:hAnsi="Cambria" w:cs="Cambria" w:eastAsia="Cambria"/>
                <w:color w:val="1A1A1A"/>
                <w:sz w:val="18"/>
              </w:rPr>
              <w:t xml:space="preserve">~255</w:t>
            </w:r>
          </w:p>
        </w:tc>
      </w:tr>
      <w:tr>
        <w:tc>
          <w:tcPr>
            <w:shd w:val="clear" w:color="auto" w:fill="F4F1EC"/>
          </w:tcPr>
          <w:p>
            <w:pPr>
              <w:pStyle w:val="Compact"/>
              <w:spacing w:after="40" w:before="40"/>
              <w:jc w:val="left"/>
            </w:pPr>
            <w:r>
              <w:rPr>
                <w:rFonts w:ascii="Cambria" w:hAnsi="Cambria" w:cs="Cambria" w:eastAsia="Cambria"/>
                <w:color w:val="1A1A1A"/>
                <w:sz w:val="18"/>
              </w:rPr>
              <w:t xml:space="preserve">ASL Lecce</w:t>
            </w:r>
          </w:p>
        </w:tc>
        <w:tc>
          <w:tcPr>
            <w:shd w:val="clear" w:color="auto" w:fill="F4F1EC"/>
          </w:tcPr>
          <w:p>
            <w:pPr>
              <w:pStyle w:val="Compact"/>
              <w:spacing w:after="40" w:before="40"/>
              <w:jc w:val="left"/>
            </w:pPr>
            <w:r>
              <w:rPr>
                <w:rFonts w:ascii="Cambria" w:hAnsi="Cambria" w:cs="Cambria" w:eastAsia="Cambria"/>
                <w:color w:val="1A1A1A"/>
                <w:sz w:val="18"/>
              </w:rPr>
              <w:t xml:space="preserve">~785.000</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~170</w:t>
            </w:r>
          </w:p>
        </w:tc>
      </w:tr>
      <w:tr>
        <w:tc>
          <w:tcPr/>
          <w:p>
            <w:pPr>
              <w:pStyle w:val="Compact"/>
              <w:spacing w:after="40" w:before="40"/>
              <w:jc w:val="left"/>
            </w:pPr>
            <w:r>
              <w:rPr>
                <w:rFonts w:ascii="Cambria" w:hAnsi="Cambria" w:cs="Cambria" w:eastAsia="Cambria"/>
                <w:color w:val="1A1A1A"/>
                <w:sz w:val="18"/>
              </w:rPr>
              <w:t xml:space="preserve">ASL Foggia</w:t>
            </w:r>
          </w:p>
        </w:tc>
        <w:tc>
          <w:tcPr/>
          <w:p>
            <w:pPr>
              <w:pStyle w:val="Compact"/>
              <w:spacing w:after="40" w:before="40"/>
              <w:jc w:val="left"/>
            </w:pPr>
            <w:r>
              <w:rPr>
                <w:rFonts w:ascii="Cambria" w:hAnsi="Cambria" w:cs="Cambria" w:eastAsia="Cambria"/>
                <w:color w:val="1A1A1A"/>
                <w:sz w:val="18"/>
              </w:rPr>
              <w:t xml:space="preserve">~600.000</w:t>
            </w:r>
          </w:p>
        </w:tc>
        <w:tc>
          <w:tcPr/>
          <w:p>
            <w:pPr>
              <w:pStyle w:val="Compact"/>
              <w:spacing w:after="40" w:before="40"/>
              <w:jc w:val="left"/>
            </w:pPr>
            <w:r>
              <w:rPr>
                <w:rFonts w:ascii="Cambria" w:hAnsi="Cambria" w:cs="Cambria" w:eastAsia="Cambria"/>
                <w:color w:val="1A1A1A"/>
                <w:sz w:val="18"/>
              </w:rPr>
              <w:t xml:space="preserve">~16%</w:t>
            </w:r>
          </w:p>
        </w:tc>
        <w:tc>
          <w:tcPr/>
          <w:p>
            <w:pPr>
              <w:pStyle w:val="Compact"/>
              <w:spacing w:after="40" w:before="40"/>
              <w:jc w:val="left"/>
            </w:pPr>
            <w:r>
              <w:rPr>
                <w:rFonts w:ascii="Cambria" w:hAnsi="Cambria" w:cs="Cambria" w:eastAsia="Cambria"/>
                <w:color w:val="1A1A1A"/>
                <w:sz w:val="18"/>
              </w:rPr>
              <w:t xml:space="preserve">~130</w:t>
            </w:r>
          </w:p>
        </w:tc>
      </w:tr>
      <w:tr>
        <w:tc>
          <w:tcPr>
            <w:shd w:val="clear" w:color="auto" w:fill="F4F1EC"/>
          </w:tcPr>
          <w:p>
            <w:pPr>
              <w:pStyle w:val="Compact"/>
              <w:spacing w:after="40" w:before="40"/>
              <w:jc w:val="left"/>
            </w:pPr>
            <w:r>
              <w:rPr>
                <w:rFonts w:ascii="Cambria" w:hAnsi="Cambria" w:cs="Cambria" w:eastAsia="Cambria"/>
                <w:color w:val="1A1A1A"/>
                <w:sz w:val="18"/>
              </w:rPr>
              <w:t xml:space="preserve">ASL Taranto</w:t>
            </w:r>
          </w:p>
        </w:tc>
        <w:tc>
          <w:tcPr>
            <w:shd w:val="clear" w:color="auto" w:fill="F4F1EC"/>
          </w:tcPr>
          <w:p>
            <w:pPr>
              <w:pStyle w:val="Compact"/>
              <w:spacing w:after="40" w:before="40"/>
              <w:jc w:val="left"/>
            </w:pPr>
            <w:r>
              <w:rPr>
                <w:rFonts w:ascii="Cambria" w:hAnsi="Cambria" w:cs="Cambria" w:eastAsia="Cambria"/>
                <w:color w:val="1A1A1A"/>
                <w:sz w:val="18"/>
              </w:rPr>
              <w:t xml:space="preserve">~560.000</w:t>
            </w:r>
          </w:p>
        </w:tc>
        <w:tc>
          <w:tcPr>
            <w:shd w:val="clear" w:color="auto" w:fill="F4F1EC"/>
          </w:tcPr>
          <w:p>
            <w:pPr>
              <w:pStyle w:val="Compact"/>
              <w:spacing w:after="40" w:before="40"/>
              <w:jc w:val="left"/>
            </w:pPr>
            <w:r>
              <w:rPr>
                <w:rFonts w:ascii="Cambria" w:hAnsi="Cambria" w:cs="Cambria" w:eastAsia="Cambria"/>
                <w:color w:val="1A1A1A"/>
                <w:sz w:val="18"/>
              </w:rPr>
              <w:t xml:space="preserve">~14%</w:t>
            </w:r>
          </w:p>
        </w:tc>
        <w:tc>
          <w:tcPr>
            <w:shd w:val="clear" w:color="auto" w:fill="F4F1EC"/>
          </w:tcPr>
          <w:p>
            <w:pPr>
              <w:pStyle w:val="Compact"/>
              <w:spacing w:after="40" w:before="40"/>
              <w:jc w:val="left"/>
            </w:pPr>
            <w:r>
              <w:rPr>
                <w:rFonts w:ascii="Cambria" w:hAnsi="Cambria" w:cs="Cambria" w:eastAsia="Cambria"/>
                <w:color w:val="1A1A1A"/>
                <w:sz w:val="18"/>
              </w:rPr>
              <w:t xml:space="preserve">~120</w:t>
            </w:r>
          </w:p>
        </w:tc>
      </w:tr>
      <w:tr>
        <w:tc>
          <w:tcPr/>
          <w:p>
            <w:pPr>
              <w:pStyle w:val="Compact"/>
              <w:spacing w:after="40" w:before="40"/>
              <w:jc w:val="left"/>
            </w:pPr>
            <w:r>
              <w:rPr>
                <w:rFonts w:ascii="Cambria" w:hAnsi="Cambria" w:cs="Cambria" w:eastAsia="Cambria"/>
                <w:color w:val="1A1A1A"/>
                <w:sz w:val="18"/>
              </w:rPr>
              <w:t xml:space="preserve">ASL Barletta-Andria-Trani</w:t>
            </w:r>
          </w:p>
        </w:tc>
        <w:tc>
          <w:tcPr/>
          <w:p>
            <w:pPr>
              <w:pStyle w:val="Compact"/>
              <w:spacing w:after="40" w:before="40"/>
              <w:jc w:val="left"/>
            </w:pPr>
            <w:r>
              <w:rPr>
                <w:rFonts w:ascii="Cambria" w:hAnsi="Cambria" w:cs="Cambria" w:eastAsia="Cambria"/>
                <w:color w:val="1A1A1A"/>
                <w:sz w:val="18"/>
              </w:rPr>
              <w:t xml:space="preserve">~380.000</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~82</w:t>
            </w:r>
          </w:p>
        </w:tc>
      </w:tr>
      <w:tr>
        <w:tc>
          <w:tcPr>
            <w:shd w:val="clear" w:color="auto" w:fill="F4F1EC"/>
          </w:tcPr>
          <w:p>
            <w:pPr>
              <w:pStyle w:val="Compact"/>
              <w:spacing w:after="40" w:before="40"/>
              <w:jc w:val="left"/>
            </w:pPr>
            <w:r>
              <w:rPr>
                <w:rFonts w:ascii="Cambria" w:hAnsi="Cambria" w:cs="Cambria" w:eastAsia="Cambria"/>
                <w:color w:val="1A1A1A"/>
                <w:sz w:val="18"/>
              </w:rPr>
              <w:t xml:space="preserve">ASL Brindisi</w:t>
            </w:r>
          </w:p>
        </w:tc>
        <w:tc>
          <w:tcPr>
            <w:shd w:val="clear" w:color="auto" w:fill="F4F1EC"/>
          </w:tcPr>
          <w:p>
            <w:pPr>
              <w:pStyle w:val="Compact"/>
              <w:spacing w:after="40" w:before="40"/>
              <w:jc w:val="left"/>
            </w:pPr>
            <w:r>
              <w:rPr>
                <w:rFonts w:ascii="Cambria" w:hAnsi="Cambria" w:cs="Cambria" w:eastAsia="Cambria"/>
                <w:color w:val="1A1A1A"/>
                <w:sz w:val="18"/>
              </w:rPr>
              <w:t xml:space="preserve">~377.000</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~82</w:t>
            </w:r>
          </w:p>
        </w:tc>
      </w:tr>
      <w:tr>
        <w:tc>
          <w:tcPr/>
          <w:p>
            <w:pPr>
              <w:pStyle w:val="Compact"/>
              <w:spacing w:after="40" w:before="40"/>
              <w:jc w:val="left"/>
            </w:pPr>
            <w:r>
              <w:rPr>
                <w:rFonts w:ascii="Cambria" w:hAnsi="Cambria" w:cs="Cambria" w:eastAsia="Cambria"/>
                <w:color w:val="1A1A1A"/>
                <w:sz w:val="18"/>
              </w:rPr>
              <w:t xml:space="preserve">Puglia (totale)</w:t>
            </w:r>
          </w:p>
        </w:tc>
        <w:tc>
          <w:tcPr/>
          <w:p>
            <w:pPr>
              <w:pStyle w:val="Compact"/>
              <w:spacing w:after="40" w:before="40"/>
              <w:jc w:val="left"/>
            </w:pPr>
            <w:r>
              <w:rPr>
                <w:rFonts w:ascii="Cambria" w:hAnsi="Cambria" w:cs="Cambria" w:eastAsia="Cambria"/>
                <w:color w:val="1A1A1A"/>
                <w:sz w:val="18"/>
              </w:rPr>
              <w:t xml:space="preserve">~3.877.395</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~840</w:t>
            </w:r>
          </w:p>
        </w:tc>
      </w:tr>
    </w:tbl>
    <w:p>
      <w:pPr>
        <w:pStyle w:val="BodyText"/>
      </w:pPr>
      <w:r>
        <w:rPr>
          <w:i/>
          <w:iCs/>
        </w:rPr>
        <w:t xml:space="preserve">Tabella 12.1 — Distribuzione illustrativa del contingente di psicologi di base tra le sei aziende sanitarie locali della Puglia, proporzionale alla popolazione residente, nello scenario centrale di circa ottocentoquaranta unità. Le cifre sono approssimative e illustrative del criterio di distribuzione proporzionale; la ripartizione di dettaglio tra i quarantacinque distretti è determinata in sede di attuazione. La distribuzione proporzionale alla popolazione garantisce un rapporto uniforme tra gli psicologi e la popolazione su tutto il territorio, riducendo i divari preesistenti.</w:t>
      </w:r>
    </w:p>
    <w:p>
      <w:pPr>
        <w:pStyle w:val="BodyText"/>
      </w:pPr>
      <w:r>
        <w:t xml:space="preserve">La distribuzione proporzionale alla popolazione, illustrata nella tabella, riduce i divari preesistenti, ma una distribuzione proporzionale al bisogno li riduce in misura maggiore. La distribuzione proporzionale alla popolazione garantisce un rapporto uniforme tra gli psicologi e la popolazione, e perciò porta il primo livello psicologico anche nelle aree interne con la medesima intensità con cui lo porta nelle aree urbane; ma essa non tiene conto del fatto che il bisogno, nelle aree interne, è relativamente maggiore, per la struttura demografica più anziana e lo svantaggio socio-economico, e che l’offerta specialistica preesistente, nelle aree interne, è relativamente minore. Una distribuzione che tenesse conto di questi fattori — che attribuisse alle aree interne una quota di psicologi più che proporzionale alla loro popolazione, in ragione del maggiore bisogno e della minore dotazione preesistente — ridurrebbe i divari in misura maggiore della distribuzione semplicemente proporzionale alla popolazione, perché compenserebbe non solo la distribuzione della popolazione, ma anche lo svantaggio relativo delle aree interne. La distribuzione proporzionale al bisogno richiede perciò un criterio di allocazione che corregga la proporzione alla popolazione in ragione di indicatori del bisogno relativo — la struttura demografica, lo svantaggio socio-economico, la dotazione preesistente di servizi — sì che le aree dove la distanza tra il bisogno e l’offerta è massima ricevano una quota adeguata a colmarla. La presente voce raccomanda che la distribuzione del contingente sia governata da un criterio di questo genere, proporzionale al bisogno e non alla sola popolazione, come condizione perché la riforma riduca i divari territoriali in misura piena.</w:t>
      </w:r>
    </w:p>
    <w:p>
      <w:pPr>
        <w:pStyle w:val="BodyText"/>
      </w:pPr>
      <w:r>
        <w:t xml:space="preserve">L’effetto della riforma sui divari territoriali dipende dunque dal criterio di distribuzione, e si dispiega lungo una gamma che va dalla riduzione piena alla riduzione parziale. Nell’ipotesi favorevole, in cui la distribuzione sia governata da un criterio proporzionale al bisogno, la riforma riduce i divari in misura piena, portando una quota più che proporzionale di risorse nelle aree interne e compensando il loro svantaggio relativo; in tal caso, la riforma è uno strumento di equità territoriale, che restringe la distanza tra il bisogno e l’offerta nelle aree più sguarnite. Nell’ipotesi intermedia, in cui la distribuzione sia proporzionale alla sola popolazione, la riforma riduce i divari in misura parziale, garantendo un rapporto uniforme tra gli psicologi e la popolazione ma non compensando lo svantaggio relativo delle aree interne; in tal caso, la riforma riduce il divario nell’offerta del primo livello, ma non quello nel bisogno relativo. Nell’ipotesi sfavorevole, in cui la distribuzione sia abbandonata alla tendenza spontanea alla concentrazione urbana, la riforma riduce i divari in misura minima o li accentua, concentrando le risorse nelle aree già più servite; in tal caso, la riforma non è uno strumento di equità territoriale. La gamma degli effetti possibili mostra che l’equità territoriale della riforma non è una proprietà data, ma una proprietà condizionata dal criterio di distribuzione, e che la sua realizzazione richiede un criterio esplicito, proporzionale al bisogno, che governi la distribuzione del contingente.</w:t>
      </w:r>
    </w:p>
    <w:bookmarkEnd w:id="805"/>
    <w:bookmarkStart w:id="807" w:name="X10b11aa04087169b87fe9b91ca05d6142d60f30"/>
    <w:p>
      <w:pPr>
        <w:pStyle w:val="Heading2"/>
      </w:pPr>
      <w:r>
        <w:t xml:space="preserve">12.1.4 Le aree interne e il rischio di concentrazione urbana</w:t>
      </w:r>
    </w:p>
    <w:p>
      <w:pPr>
        <w:pStyle w:val="FirstParagraph"/>
      </w:pPr>
      <w:r>
        <w:t xml:space="preserve">Le aree interne costituiscono il banco di prova dell’equità territoriale della riforma, perché in esse la distanza tra il bisogno e l’offerta è massima e il rischio di concentrazione urbana più insidioso. Le aree interne sono i territori distanti dai centri maggiori e dai servizi essenziali, caratterizzati da una popolazione rada e in calo, da una struttura demografica anziana, da un’accessibilità ridotta e da uno svantaggio socio-economico; esse sono l’oggetto, sul piano nazionale, di una strategia dedicata, che ne riconosce la condizione di svantaggio e ne persegue il riequilibrio attraverso il rafforzamento dei servizi essenziali, tra cui la salute. Nelle aree interne, il bisogno di cura del disagio comune è accresciuto dall’isolamento, dall’invecchiamento e dalla deprivazione, mentre l’offerta di servizi è ridotta dalla distanza e dalla rarefazione dei presìdi; la distanza tra il bisogno e l’offerta è perciò, nelle aree interne, massima, e in esse si misura, più che altrove, la capacità della riforma di ridurre i divari territoriali. La riforma del primo livello psicologico, ove distribuita secondo il bisogno, potrebbe portare nelle aree interne una risorsa che vi è oggi quasi assente, riducendo la distanza tra il bisogno e l’offerta dove essa è massima; ma proprio nelle aree interne il rischio di concentrazione urbana è più insidioso, perché la collocazione dei professionisti nelle aree distanti e rade è più difficile.</w:t>
      </w:r>
      <w:r>
        <w:rPr>
          <w:rStyle w:val="FootnoteReference"/>
        </w:rPr>
        <w:footnoteReference w:id="341"/>
      </w:r>
    </w:p>
    <w:p>
      <w:pPr>
        <w:pStyle w:val="BodyText"/>
      </w:pPr>
      <w:r>
        <w:t xml:space="preserve">Il rischio di concentrazione urbana deriva dalla tendenza dei professionisti a collocarsi nelle aree urbane, che minaccia di vanificare la distribuzione proporzionale al bisogno. La collocazione degli psicologi di base sul territorio non è interamente governabile dall’alto, ma dipende anche dalle preferenze dei professionisti, che tendono a prediligere le aree urbane, dove le condizioni di vita e di lavoro sono ritenute più favorevoli, e a evitare le aree interne, dove la distanza, la rarefazione dei servizi e l’isolamento professionale rendono l’esercizio più gravoso. Questa tendenza, ove non contrastata, minaccia di concentrare gli psicologi nelle aree urbane anche là dove il criterio di distribuzione preveda una quota per le aree interne, perché i posti nelle aree interne potrebbero restare scoperti per difetto di candidati, mentre i posti nelle aree urbane sarebbero rapidamente coperti. Il rischio di concentrazione urbana non è dunque un rischio del criterio di distribuzione, che può ben prevedere una quota per le aree interne, ma un rischio della sua realizzazione, che dipende dalla disponibilità dei professionisti a collocarsi nelle aree interne. La presente voce identifica in questo rischio il principale ostacolo all’equità territoriale della riforma: non l’assenza di un criterio di distribuzione proporzionale al bisogno, che può essere stabilito, ma la difficoltà di realizzarlo a fronte della tendenza dei professionisti alla concentrazione urbana, che può lasciare scoperti i posti nelle aree interne e vanificare la distribuzione prevista.</w:t>
      </w:r>
    </w:p>
    <w:p>
      <w:pPr>
        <w:pStyle w:val="BodyText"/>
      </w:pPr>
      <w:r>
        <w:t xml:space="preserve">Il contrasto al rischio di concentrazione urbana richiede misure attuative che rendano effettiva la distribuzione proporzionale al bisogno nelle aree interne. Tali misure attengono alla sede dell’attuazione, e la presente voce le indica come condizioni dell’equità territoriale, rimettendone la determinazione alla quattordicesima parte. Esse comprendono gli incentivi alla collocazione nelle aree interne, che compensino il maggiore gravame dell’esercizio in tali aree e rendano i posti ivi previsti competitivi con quelli delle aree urbane; l’ancoraggio territoriale dello psicologo di base al distretto, che leghi il professionista all’area di assegnazione e ne contrasti la migrazione verso le aree urbane; il sostegno all’esercizio nelle aree interne attraverso la rete dei servizi e la connessione con i presìdi, che riduca l’isolamento professionale; e l’eventuale ricorso alla leva digitale come complemento, che consenta allo psicologo di base di servire le aree più rade senza esservi fisicamente presente in ogni momento, fermo il principio della complementarità che la terza voce esaminerà. Queste misure non sono oggetto della presente parte, che non tratta dell’attuazione, ma sono da essa indicate come le condizioni al verificarsi delle quali la distribuzione proporzionale al bisogno si realizza effettivamente nelle aree interne, e il rischio di concentrazione urbana è contrastato. La presente voce conclude perciò che l’equità territoriale della riforma è possibile, ove la distribuzione sia governata da un criterio proporzionale al bisogno e il rischio di concentrazione urbana sia contrastato da misure attuative adeguate, e che la sua realizzazione dipende dal concorso di questi due elementi, il criterio e le misure.</w:t>
      </w:r>
    </w:p>
    <w:bookmarkEnd w:id="807"/>
    <w:bookmarkStart w:id="809" w:name="X17786cdc041955d39f65bf57a512b5b269b8a0c"/>
    <w:p>
      <w:pPr>
        <w:pStyle w:val="Heading2"/>
      </w:pPr>
      <w:r>
        <w:t xml:space="preserve">12.1.5 La gradazione della qualità, le bande prudenziali e i confini della voce</w:t>
      </w:r>
    </w:p>
    <w:p>
      <w:pPr>
        <w:pStyle w:val="FirstParagraph"/>
      </w:pPr>
      <w:r>
        <w:t xml:space="preserve">La valutazione dell’equità territoriale della riforma è graduata, secondo i criteri GRADE, a un livello moderato, che riflette la solidità del criterio distributivo e l’incertezza della sua realizzazione. Il criterio della distribuzione proporzionale al bisogno è solido, perché fondato su un principio consolidato dell’equità territoriale e su parametri demografici e di dotazione documentabili; e la riduzione dei divari che esso produce, ove realizzato, è una conseguenza necessaria della sua applicazione. L’incertezza non attiene dunque al criterio, ma alla sua realizzazione, che dipende dal contrasto al rischio di concentrazione urbana e dalla disponibilità dei professionisti a collocarsi nelle aree interne, entrambi non interamente governabili. La gradazione moderata riflette questa duplice natura della valutazione: solida nel criterio, incerta nella realizzazione. Essa avverte che la riduzione dei divari territoriali non è un esito garantito della riforma, ma un esito condizionato dalla realizzazione del criterio distributivo, e che la valutazione dell’equità territoriale è perciò una valutazione condizionale, che afferma la possibilità della riduzione dei divari a determinate condizioni, e non la sua certezza incondizionata.</w:t>
      </w:r>
      <w:r>
        <w:rPr>
          <w:rStyle w:val="FootnoteReference"/>
        </w:rPr>
        <w:footnoteReference w:id="342"/>
      </w:r>
    </w:p>
    <w:p>
      <w:pPr>
        <w:pStyle w:val="BodyText"/>
      </w:pPr>
      <w:r>
        <w:t xml:space="preserve">La valutazione dell’equità territoriale è formulata in bande prudenziali, che esprimono la gamma degli effetti possibili sui divari territoriali. La banda inferiore corrisponde all’ipotesi sfavorevole, in cui la distribuzione sia abbandonata alla tendenza spontanea alla concentrazione urbana e i divari siano ridotti in misura minima o accentuati; la banda centrale corrisponde all’ipotesi intermedia, in cui la distribuzione sia proporzionale alla popolazione e i divari nell’offerta del primo livello siano ridotti, ma non quelli nel bisogno relativo; la banda superiore corrisponde all’ipotesi favorevole, in cui la distribuzione sia proporzionale al bisogno e i divari siano ridotti in misura piena. La banda non è dunque un intervallo di stima di una grandezza, ma una gamma di esiti distributivi, ciascuno condizionato da un’ipotesi sul criterio di distribuzione e sul contrasto al rischio di concentrazione urbana. La soglia di confutazione della valutazione è collocata nell’ipotesi che la riforma accentui i divari territoriali: ove si osservasse, a riforma attuata, che la distribuzione degli psicologi ha seguito la geografia esistente dei servizi, concentrandosi nelle aree urbane e lasciando scoperte le aree interne, la valutazione favorevole dell’equità territoriale sarebbe smentita, e la riforma si rivelerebbe, sul piano territoriale, iniqua. Il metodo di verifica è il monitoraggio della distribuzione effettiva degli psicologi tra le aree, affidato alla quindicesima parte, che confronterà la distribuzione osservata con quella proporzionale al bisogno e dichiarerà se l’equità territoriale si sia realizzata.</w:t>
      </w:r>
    </w:p>
    <w:p>
      <w:pPr>
        <w:pStyle w:val="BodyText"/>
      </w:pPr>
      <w:r>
        <w:t xml:space="preserve">I confini della voce ne delimitano la portata e ne rimettono taluni aspetti alle parti successive. La voce valuta l’equità territoriale della riforma, ossia la distribuzione del suo valore tra le aree della regione, e non l’equità tra le popolazioni né l’equità di accesso, che sono oggetto delle voci successive; essa considera la distribuzione territoriale del contingente, e non la composizione socio-economica o demografica delle popolazioni servite, che la seconda voce esaminerà. La voce indica le misure attuative necessarie a contrastare il rischio di concentrazione urbana — gli incentivi, l’ancoraggio territoriale, il sostegno all’esercizio nelle aree interne — ma non le determina, rimettendone la determinazione alla quattordicesima parte, dedicata all’attuazione; essa indica il monitoraggio della distribuzione effettiva come metodo di verifica, ma non lo conduce, rimettendolo alla quindicesima parte, dedicata al monitoraggio. La tabella e la figura della voce illustrano la distribuzione proporzionale del contingente con cifre approssimative, fondate sui parametri demografici regionali, e non costituiscono la ripartizione di dettaglio tra i distretti, che è determinata in sede di attuazione. Entro questi confini, la voce stabilisce che la riforma può ridurre i divari territoriali preesistenti, ove la distribuzione sia governata da un criterio proporzionale al bisogno e il rischio di concentrazione urbana sia contrastato, e che la sua equità territoriale è perciò una proprietà condizionata, la cui realizzazione dipende dal criterio di distribuzione e dalle misure attuative, e la cui verifica è affidata al monitoraggio.</w:t>
      </w:r>
    </w:p>
    <w:bookmarkEnd w:id="809"/>
    <w:bookmarkEnd w:id="810"/>
    <w:bookmarkStart w:id="821" w:name="X0289e23ebdc90205831a0e63f5748b3842c44f5"/>
    <w:p>
      <w:pPr>
        <w:pStyle w:val="Heading2"/>
      </w:pPr>
      <w:r>
        <w:t xml:space="preserve">12.2 L’equità tra le popolazioni e i gruppi sociali</w:t>
      </w:r>
    </w:p>
    <w:p>
      <w:pPr>
        <w:pStyle w:val="FirstParagraph"/>
      </w:pPr>
      <w:r>
        <w:rPr>
          <w:i/>
          <w:iCs/>
        </w:rPr>
        <w:t xml:space="preserve">La seconda voce studia l’equità tra le popolazioni, ossia la distribuzione del valore della riforma tra i gruppi della popolazione definiti dal genere, dall’età, dalla condizione socio-economica e dalla fragilità, e domanda se la riforma riduca o accentui le diseguaglianze sociali nella salute mentale. La voce espone la logica dell’equità tra le popolazioni, descrive la distribuzione differenziale del bisogno tra i gruppi, esamina l’effetto della riforma sull’accesso dei gruppi svantaggiati, considera il rischio dell’iniquità inversa e individua i gruppi di particolare attenzione, e gradua infine la qualità delle stime, ne dichiara le bande e ne traccia i confini.</w:t>
      </w:r>
    </w:p>
    <w:bookmarkStart w:id="812" w:name="la-logica-dellequità-tra-le-popolazioni"/>
    <w:p>
      <w:pPr>
        <w:pStyle w:val="Heading2"/>
      </w:pPr>
      <w:r>
        <w:t xml:space="preserve">12.2.1 La logica dell’equità tra le popolazioni</w:t>
      </w:r>
    </w:p>
    <w:p>
      <w:pPr>
        <w:pStyle w:val="FirstParagraph"/>
      </w:pPr>
      <w:r>
        <w:t xml:space="preserve">L’equità tra le popolazioni è la proprietà per cui il valore di una politica si distribuisce tra i gruppi sociali in modo da ridurre, e non accentuare, le diseguaglianze preesistenti nella salute. I gruppi che compongono una popolazione differiscono per la prevalenza del bisogno e per l’accesso ai servizi, e queste due dimensioni non sono indipendenti: vi sono gruppi nei quali il bisogno è maggiore e l’accesso minore, e gruppi nei quali il bisogno è minore e l’accesso maggiore. Una politica sanitaria, distribuendo le proprie risorse tra i gruppi, può ridurre o accentuare le diseguaglianze, a seconda di come la distribuzione si rapporti alla loro condizione di partenza: se essa raggiunge prevalentemente i gruppi che già accedono ai servizi, accentua le diseguaglianze, perché aggiunge accesso a chi già ne dispone; se raggiunge i gruppi che oggi non accedono, le riduce, perché estende l’accesso a chi ne è privo. La logica dell’equità tra le popolazioni muove dal riconoscimento che i gruppi partono da posizioni diseguali quanto al rapporto tra il bisogno e l’accesso, e che una politica equa è quella che riduce la diseguaglianza in questo rapporto, raggiungendo i gruppi nei quali il bisogno eccede l’accesso, ossia i gruppi svantaggiati. L’equità tra le popolazioni richiede dunque che la riforma raggiunga non indistintamente la popolazione, ma in particolare i gruppi nei quali il bisogno è maggiore e l’accesso minore, sì da ridurre la diseguaglianza nell’accesso alla cura del disagio comune.</w:t>
      </w:r>
    </w:p>
    <w:p>
      <w:pPr>
        <w:pStyle w:val="BodyText"/>
      </w:pPr>
      <w:r>
        <w:t xml:space="preserve">La logica dell’equità tra le popolazioni è illuminata da due principi che la ricerca sui servizi sanitari ha consolidato, e che orientano la valutazione della presente voce. Il primo è il principio per cui la disponibilità di assistenza tende a variare in ragione inversa al bisogno della popolazione servita, sì che i gruppi nei quali il bisogno è maggiore ricevono, a parità di condizioni, un’assistenza minore. Questo principio descrive una tendenza dei sistemi sanitari, per cui l’assistenza si distribuisce non secondo il bisogno, ma secondo fattori che si associano al minore bisogno — la condizione socio-economica più favorevole, la maggiore prossimità ai servizi, la maggiore capacità di esprimere la domanda — sì che i gruppi più bisognosi, che difettano di questi fattori, ricevono un’assistenza inferiore al loro bisogno. Il secondo principio è quello per cui le nuove politiche sanitarie tendono a beneficiare dapprima i gruppi avvantaggiati, e solo successivamente i gruppi svantaggiati, sì che le diseguaglianze possono dapprima ampliarsi, prima di restringersi. Questi due principi avvertono che una riforma, anche concepita per l’intera popolazione, può, ove non attivamente orientata a raggiungere i gruppi svantaggiati, riprodurre la tendenza per cui l’assistenza segue i fattori associati al minore bisogno, beneficiando i gruppi avvantaggiati e lasciando indietro i gruppi svantaggiati. La presente voce assume questi due principi come monito, e ne trae il criterio per valutare l’equità tra le popolazioni della riforma: non se la riforma raggiunga la popolazione, ma se la raggiunga in modo da contrastare la tendenza all’iniquità, raggiungendo in particolare i gruppi svantaggiati.</w:t>
      </w:r>
      <w:r>
        <w:rPr>
          <w:rStyle w:val="FootnoteReference"/>
        </w:rPr>
        <w:footnoteReference w:id="343"/>
      </w:r>
    </w:p>
    <w:p>
      <w:pPr>
        <w:pStyle w:val="BodyText"/>
      </w:pPr>
      <w:r>
        <w:t xml:space="preserve">La logica dell’equità tra le popolazioni assume, nel caso della salute mentale, un rilievo specifico, per la natura sociale del bisogno e per le barriere all’accesso. Il bisogno di cura del disagio comune presenta un gradiente sociale, per cui la prevalenza dei disturbi è maggiore nei gruppi socio-economicamente svantaggiati, in ragione dei determinanti sociali del disagio — la deprivazione materiale, l’insicurezza, l’isolamento, le condizioni di vita e di lavoro avverse — che si concentrano in tali gruppi. L’accesso ai servizi di salute mentale, per contro, presenta barriere che colpiscono più intensamente i gruppi svantaggiati — la barriera economica, ove i servizi siano onerosi; la barriera informativa, ove l’accesso richieda la conoscenza dei percorsi; la barriera dello stigma, che grava più intensamente sui gruppi nei quali il disagio mentale è meno riconosciuto e più temuto; la barriera della distanza, che colpisce i gruppi residenti nelle aree più sguarnite. Ne risulta che, nella salute mentale, il bisogno è maggiore e l’accesso minore proprio nei gruppi svantaggiati, e che la distanza tra il bisogno e l’accesso è massima in tali gruppi. La riforma del primo livello psicologico, abbattendo talune di queste barriere — l’economica, attraverso la gratuità; l’informativa, attraverso l’integrazione con le cure primarie; la dello stigma, attraverso la collocazione del servizio in un contesto non specialistico — ha la possibilità di raggiungere i gruppi svantaggiati e di ridurre la diseguaglianza; ma ha anche il rischio, ove non attivamente orientata, di raggiungere prevalentemente i gruppi avvantaggiati, che meglio sanno fruire dei servizi, e di accentuare la diseguaglianza. La logica dell’equità tra le popolazioni, applicata alla salute mentale, mostra dunque la posta in gioco: la riforma decide se ridurre o accentuare la diseguaglianza sociale nell’accesso alla cura del disagio comune.</w:t>
      </w:r>
    </w:p>
    <w:bookmarkEnd w:id="812"/>
    <w:bookmarkStart w:id="814" w:name="X999567cdd4002292adc4eba5fc1b544045499db"/>
    <w:p>
      <w:pPr>
        <w:pStyle w:val="Heading2"/>
      </w:pPr>
      <w:r>
        <w:t xml:space="preserve">12.2.2 La distribuzione differenziale del bisogno tra le popolazioni</w:t>
      </w:r>
    </w:p>
    <w:p>
      <w:pPr>
        <w:pStyle w:val="FirstParagraph"/>
      </w:pPr>
      <w:r>
        <w:t xml:space="preserve">La valutazione dell’equità tra le popolazioni muove dalla descrizione della distribuzione differenziale del bisogno, che mostra come la prevalenza del disagio comune vari tra i gruppi della popolazione. La prevalenza dei disturbi mentali comuni — la depressione, i disturbi d’ansia, i disturbi correlati allo stress — non è uniforme nella popolazione, ma varia secondo il genere, l’età, la condizione socio-economica e la condizione di fragilità, in ragione dei determinanti sociali e biologici che si distribuiscono diseguamente tra i gruppi. Secondo il genere, la prevalenza dei disturbi depressivi e d’ansia è maggiore nelle donne, in ragione di fattori biologici, sociali e di esposizione differenziale ai fattori di stress, ferma la minore espressione del disagio negli uomini, che ne ritarda il riconoscimento. Secondo l’età, la prevalenza presenta una distribuzione articolata, con l’esordio frequente dei disturbi nella giovinezza e nella prima età adulta, una persistenza nell’età adulta e una ripresa nell’età anziana, ove la depressione si associa all’isolamento, alla perdita e alla comorbilità somatica. Secondo la condizione socio-economica, la prevalenza presenta un gradiente, per cui essa è maggiore nei gruppi svantaggiati, in ragione della deprivazione, dell’insicurezza e delle condizioni di vita avverse. Secondo la condizione di fragilità, la prevalenza è maggiore nei gruppi gravati da patologia cronica, da disabilità o da ruolo di cura, ove il disagio mentale si associa al carico della condizione. La distribuzione differenziale del bisogno mostra dunque che il disagio comune si concentra in taluni gruppi — le donne, i giovani e gli anziani in talune fasi, i gruppi socio-economicamente svantaggiati, i gruppi fragili — nei quali la prevalenza è maggiore.</w:t>
      </w:r>
      <w:r>
        <w:rPr>
          <w:rStyle w:val="FootnoteReference"/>
        </w:rPr>
        <w:footnoteReference w:id="344"/>
      </w:r>
    </w:p>
    <w:p>
      <w:pPr>
        <w:pStyle w:val="BodyText"/>
      </w:pPr>
      <w:r>
        <w:t xml:space="preserve">La distribuzione differenziale del bisogno si accompagna a una distribuzione differenziale dell’accesso, che è spesso inversa, sì che i gruppi più bisognosi accedono meno. L’accesso ai servizi di salute mentale, come si è osservato, presenta barriere che colpiscono più intensamente i gruppi svantaggiati; e queste barriere fanno sì che l’accesso sia minore proprio nei gruppi nei quali il bisogno è maggiore. I gruppi socio-economicamente svantaggiati, nei quali la prevalenza è maggiore, accedono meno ai servizi, perché le barriere economica, informativa e dello stigma li colpiscono più intensamente; ne risulta che in tali gruppi la distanza tra il bisogno e l’accesso è massima. I giovani, nei quali i disturbi esordiscono, accedono meno, perché la soglia di accesso ai servizi specialistici è elevata e il riconoscimento del disagio è ostacolato dallo stigma e dalla difficoltà di chiedere aiuto; ne risulta che il disagio giovanile resta in larga parte non intercettato, nella finestra in cui l’intervento precoce sarebbe più efficace. Gli anziani, nei quali la depressione si associa all’isolamento, accedono meno, perché il disagio è sotto-riconosciuto, confuso con la condizione dell’età, e l’accesso ai servizi è ostacolato dalla ridotta mobilità e dall’isolamento; ne risulta che il disagio anziano resta in larga parte sotto-rilevato. La distribuzione differenziale dell’accesso, inversa rispetto a quella del bisogno, mostra dunque che la diseguaglianza nella salute mentale non è soltanto una diseguaglianza nel bisogno, ma una diseguaglianza nel rapporto tra il bisogno e l’accesso, massima nei gruppi svantaggiati, giovani, anziani e fragili, nei quali il bisogno eccede l’accesso.</w:t>
      </w:r>
    </w:p>
    <w:bookmarkEnd w:id="814"/>
    <w:bookmarkStart w:id="816" w:name="X6e6483535b8ad269ec53324b44a593901f3425c"/>
    <w:p>
      <w:pPr>
        <w:pStyle w:val="Heading2"/>
      </w:pPr>
      <w:r>
        <w:t xml:space="preserve">12.2.3 L’effetto della riforma sull’accesso dei gruppi svantaggiati</w:t>
      </w:r>
    </w:p>
    <w:p>
      <w:pPr>
        <w:pStyle w:val="FirstParagraph"/>
      </w:pPr>
      <w:r>
        <w:t xml:space="preserve">La riforma del primo livello psicologico incide sulla diseguaglianza tra le popolazioni attraverso l’abbattimento delle barriere all’accesso, che può raggiungere i gruppi svantaggiati. Le barriere che ostacolano l’accesso dei gruppi svantaggiati ai servizi di salute mentale — l’economica, l’informativa, dello stigma e della distanza — sono in parte abbattute dalla riforma, per le caratteristiche del Servizio di Psicologia di Base. La barriera economica è abbattuta dalla gratuità del servizio, che rende l’accesso indipendente dalla capacità di spesa, e perciò raggiunge i gruppi socio-economicamente svantaggiati, per i quali il costo di un servizio privato sarebbe proibitivo. La barriera informativa è abbattuta dall’integrazione con le cure primarie, che colloca l’accesso al primo livello psicologico entro un percorso già noto — quello della medicina generale — anziché richiedere la conoscenza dei percorsi specialistici, e perciò raggiunge i gruppi che difettano dell’informazione necessaria a orientarsi nei servizi specialistici. La barriera dello stigma è attenuata dalla collocazione del servizio in un contesto non specialistico, prossimo alle cure primarie, che riduce la connotazione del ricorso allo psicologo come segno di una condizione grave, e perciò raggiunge i gruppi nei quali lo stigma del disagio mentale è più intenso. La riforma ha dunque la potenzialità di raggiungere i gruppi svantaggiati, abbattendo le barriere che oggi ne ostacolano l’accesso, e di ridurre la diseguaglianza tra il bisogno e l’accesso, massima in tali gruppi.</w:t>
      </w:r>
      <w:r>
        <w:rPr>
          <w:rStyle w:val="FootnoteReference"/>
        </w:rPr>
        <w:footnoteReference w:id="345"/>
      </w:r>
    </w:p>
    <w:p>
      <w:pPr>
        <w:pStyle w:val="BodyText"/>
      </w:pPr>
      <w:r>
        <w:t xml:space="preserve">La potenzialità della riforma di raggiungere i gruppi svantaggiati non si realizza tuttavia automaticamente, ma richiede che la riforma sia attivamente orientata a tali gruppi. L’abbattimento delle barriere economica, informativa e dello stigma è una condizione necessaria, ma non sufficiente, perché la riforma raggiunga i gruppi svantaggiati: esso rimuove gli ostacoli all’accesso, ma non garantisce che i gruppi svantaggiati accedano effettivamente, perché l’accesso dipende anche dalla capacità di esprimere la domanda, che è minore nei gruppi svantaggiati, e dalla prossimità del servizio, che può essere minore nelle aree dove tali gruppi risiedono. Ove la riforma si limiti a rendere il servizio disponibile, senza attivamente raggiungere i gruppi svantaggiati, essa rischia di essere fruita prevalentemente dai gruppi avvantaggiati, che meglio sanno esprimere la domanda e fruire dei servizi, secondo la tendenza descritta dai due principi richiamati; in tal caso, la riforma raggiungerebbe i gruppi che già accedono, e accentuerebbe la diseguaglianza, anziché ridurla. Perché la riforma raggiunga i gruppi svantaggiati, occorre dunque che essa sia attivamente orientata a tali gruppi, attraverso modalità che ne intercettino il bisogno là dove esso si manifesta — nei contesti della medicina generale che servono i gruppi svantaggiati, nei servizi sociali, nei contesti scolastici per i giovani, nei contesti domiciliari per gli anziani — e che ne sollecitino l’accesso, anziché attenderne la domanda spontanea. La presente voce identifica in questo orientamento attivo la condizione perché la potenzialità della riforma si realizzi, e raccomanda che la riforma sia concepita e attuata in modo da raggiungere attivamente i gruppi svantaggiati, e non meramente da rendersi disponibile.</w:t>
      </w:r>
    </w:p>
    <w:p>
      <w:pPr>
        <w:pStyle w:val="BodyText"/>
      </w:pPr>
      <w:r>
        <w:t xml:space="preserve">L’effetto della riforma sulla diseguaglianza tra le popolazioni dipende dunque dall’orientamento della riforma, e si dispiega lungo una gamma che va dalla riduzione all’accentuazione della diseguaglianza. Nell’ipotesi favorevole, in cui la riforma sia attivamente orientata a raggiungere i gruppi svantaggiati, essa riduce la diseguaglianza, estendendo l’accesso ai gruppi nei quali il bisogno eccede l’accesso e restringendo la distanza tra il bisogno e l’accesso in tali gruppi; in tal caso, la riforma è uno strumento di equità tra le popolazioni. Nell’ipotesi intermedia, in cui la riforma si renda disponibile senza orientarsi attivamente ai gruppi svantaggiati, essa riduce la diseguaglianza in misura parziale, raggiungendo alcuni gruppi svantaggiati attraverso l’abbattimento delle barriere, ma raggiungendone altri solo debolmente, e beneficiando in parte i gruppi avvantaggiati; in tal caso, l’effetto sulla diseguaglianza è incerto. Nell’ipotesi sfavorevole, in cui la riforma sia fruita prevalentemente dai gruppi avvantaggiati, essa accentua la diseguaglianza, aggiungendo accesso a chi già ne dispone; in tal caso, la riforma non è uno strumento di equità tra le popolazioni. La gamma degli effetti possibili mostra che l’equità tra le popolazioni della riforma non è una proprietà data, ma una proprietà condizionata dall’orientamento della riforma, e che la sua realizzazione richiede un orientamento attivo verso i gruppi svantaggiati, che ne intercetti il bisogno e ne sollecitino l’accesso.</w:t>
      </w:r>
    </w:p>
    <w:bookmarkEnd w:id="816"/>
    <w:bookmarkStart w:id="818" w:name="X77a619f7a693b19905b792db16825254f87e2d5"/>
    <w:p>
      <w:pPr>
        <w:pStyle w:val="Heading2"/>
      </w:pPr>
      <w:r>
        <w:t xml:space="preserve">12.2.4 Il rischio dell’iniquità inversa e i gruppi di particolare attenzione</w:t>
      </w:r>
    </w:p>
    <w:p>
      <w:pPr>
        <w:pStyle w:val="FirstParagraph"/>
      </w:pPr>
      <w:r>
        <w:t xml:space="preserve">Il rischio dell’iniquità inversa è il rischio che la riforma benefici dapprima i gruppi avvantaggiati, ampliando temporaneamente la diseguaglianza prima di restringerla, e merita una considerazione specifica. Il principio per cui le nuove politiche sanitarie tendono a beneficiare dapprima i gruppi avvantaggiati descrive un percorso temporale della diseguaglianza, per cui l’introduzione di una nuova politica può, nella fase iniziale, ampliare la diseguaglianza, perché i gruppi avvantaggiati, che meglio sanno fruire delle novità, ne beneficiano per primi, mentre i gruppi svantaggiati ne beneficiano più tardi; la diseguaglianza si restringe poi, quando la politica raggiunge anche i gruppi svantaggiati. Questo percorso temporale avverte che l’effetto della riforma sulla diseguaglianza può variare nel tempo, e che una valutazione condotta nella fase iniziale potrebbe registrare un ampliamento della diseguaglianza, che non è il segno di un fallimento della riforma, ma di un suo dispiegamento ancora incompiuto. Il rischio dell’iniquità inversa non è dunque un argomento contro la riforma, ma un monito a non interpretare l’eventuale ampliamento iniziale della diseguaglianza come un esito definitivo, e a orientare la riforma in modo da accelerare il raggiungimento dei gruppi svantaggiati, sì da abbreviare la fase in cui la diseguaglianza si amplia e da anticipare quella in cui essa si restringe. La presente voce assume questo rischio come monito metodologico, e ne trae l’indicazione che la valutazione dell’equità tra le popolazioni deve considerare il percorso temporale della diseguaglianza, e non soltanto il suo livello in un dato momento.</w:t>
      </w:r>
      <w:r>
        <w:rPr>
          <w:rStyle w:val="FootnoteReference"/>
        </w:rPr>
        <w:footnoteReference w:id="346"/>
      </w:r>
    </w:p>
    <w:p>
      <w:pPr>
        <w:pStyle w:val="BodyText"/>
      </w:pPr>
      <w:r>
        <w:t xml:space="preserve">Il rischio dell’iniquità inversa e la distribuzione differenziale del bisogno individuano i gruppi di particolare attenzione, verso i quali la riforma deve essere orientata. Tali gruppi sono quelli nei quali il bisogno è maggiore e l’accesso minore, e nei quali perciò il rischio che la riforma non li raggiunga è più grave. La tabella che segue individua i gruppi di particolare attenzione, ne descrive il profilo del bisogno e dell’accesso, e ne trae l’implicazione per l’equità, indicando per ciascuno la ragione per cui la riforma deve essere orientata a raggiungerlo.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Gruppo di particolare attenzione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Profilo del bisogno</w:t>
            </w:r>
          </w:p>
        </w:tc>
        <w:tc>
          <w:tcPr>
            <w:shd w:val="clear" w:color="auto" w:fill="16264B"/>
          </w:tcPr>
          <w:p>
            <w:pPr>
              <w:pStyle w:val="Compact"/>
              <w:spacing w:after="40" w:before="40"/>
              <w:jc w:val="left"/>
            </w:pPr>
            <w:r>
              <w:rPr>
                <w:rFonts w:ascii="Cambria" w:hAnsi="Cambria" w:cs="Cambria" w:eastAsia="Cambria"/>
                <w:b/>
                <w:bCs/>
                <w:color w:val="FFFFFF"/>
                <w:sz w:val="18"/>
              </w:rPr>
              <w:t xml:space="preserve">Profilo dell’accesso ai servizi esistenti</w:t>
            </w:r>
          </w:p>
        </w:tc>
        <w:tc>
          <w:tcPr>
            <w:shd w:val="clear" w:color="auto" w:fill="16264B"/>
          </w:tcPr>
          <w:p>
            <w:pPr>
              <w:pStyle w:val="Compact"/>
              <w:spacing w:after="40" w:before="40"/>
              <w:jc w:val="left"/>
            </w:pPr>
            <w:r>
              <w:rPr>
                <w:rFonts w:ascii="Cambria" w:hAnsi="Cambria" w:cs="Cambria" w:eastAsia="Cambria"/>
                <w:b/>
                <w:bCs/>
                <w:color w:val="FFFFFF"/>
                <w:sz w:val="18"/>
              </w:rPr>
              <w:t xml:space="preserve">Implicazione per l’equità</w:t>
            </w:r>
          </w:p>
        </w:tc>
      </w:tr>
      <w:tr>
        <w:tc>
          <w:tcPr/>
          <w:p>
            <w:pPr>
              <w:pStyle w:val="Compact"/>
              <w:spacing w:after="40" w:before="40"/>
              <w:jc w:val="left"/>
            </w:pPr>
            <w:r>
              <w:rPr>
                <w:rFonts w:ascii="Cambria" w:hAnsi="Cambria" w:cs="Cambria" w:eastAsia="Cambria"/>
                <w:color w:val="1A1A1A"/>
                <w:sz w:val="18"/>
              </w:rPr>
              <w:t xml:space="preserve">Donne</w:t>
            </w:r>
          </w:p>
        </w:tc>
        <w:tc>
          <w:tcPr/>
          <w:p>
            <w:pPr>
              <w:pStyle w:val="Compact"/>
              <w:spacing w:after="40" w:before="40"/>
              <w:jc w:val="left"/>
            </w:pPr>
            <w:r>
              <w:rPr>
                <w:rFonts w:ascii="Cambria" w:hAnsi="Cambria" w:cs="Cambria" w:eastAsia="Cambria"/>
                <w:color w:val="1A1A1A"/>
                <w:sz w:val="18"/>
              </w:rPr>
              <w:t xml:space="preserve">Prevalenza più elevata dei disturbi depressivi e d’ansia</w:t>
            </w:r>
          </w:p>
        </w:tc>
        <w:tc>
          <w:tcPr/>
          <w:p>
            <w:pPr>
              <w:pStyle w:val="Compact"/>
              <w:spacing w:after="40" w:before="40"/>
              <w:jc w:val="left"/>
            </w:pPr>
            <w:r>
              <w:rPr>
                <w:rFonts w:ascii="Cambria" w:hAnsi="Cambria" w:cs="Cambria" w:eastAsia="Cambria"/>
                <w:color w:val="1A1A1A"/>
                <w:sz w:val="18"/>
              </w:rPr>
              <w:t xml:space="preserve">Accesso relativamente maggiore, ma con barriere specifiche legate al ruolo di cura</w:t>
            </w:r>
          </w:p>
        </w:tc>
        <w:tc>
          <w:tcPr/>
          <w:p>
            <w:pPr>
              <w:pStyle w:val="Compact"/>
              <w:spacing w:after="40" w:before="40"/>
              <w:jc w:val="left"/>
            </w:pPr>
            <w:r>
              <w:rPr>
                <w:rFonts w:ascii="Cambria" w:hAnsi="Cambria" w:cs="Cambria" w:eastAsia="Cambria"/>
                <w:color w:val="1A1A1A"/>
                <w:sz w:val="18"/>
              </w:rPr>
              <w:t xml:space="preserve">Bisogno elevato; attenzione alle barriere connesse al carico di cura</w:t>
            </w:r>
          </w:p>
        </w:tc>
      </w:tr>
      <w:tr>
        <w:tc>
          <w:tcPr>
            <w:shd w:val="clear" w:color="auto" w:fill="F4F1EC"/>
          </w:tcPr>
          <w:p>
            <w:pPr>
              <w:pStyle w:val="Compact"/>
              <w:spacing w:after="40" w:before="40"/>
              <w:jc w:val="left"/>
            </w:pPr>
            <w:r>
              <w:rPr>
                <w:rFonts w:ascii="Cambria" w:hAnsi="Cambria" w:cs="Cambria" w:eastAsia="Cambria"/>
                <w:color w:val="1A1A1A"/>
                <w:sz w:val="18"/>
              </w:rPr>
              <w:t xml:space="preserve">Condizioni socio-economiche svantaggiate</w:t>
            </w:r>
          </w:p>
        </w:tc>
        <w:tc>
          <w:tcPr>
            <w:shd w:val="clear" w:color="auto" w:fill="F4F1EC"/>
          </w:tcPr>
          <w:p>
            <w:pPr>
              <w:pStyle w:val="Compact"/>
              <w:spacing w:after="40" w:before="40"/>
              <w:jc w:val="left"/>
            </w:pPr>
            <w:r>
              <w:rPr>
                <w:rFonts w:ascii="Cambria" w:hAnsi="Cambria" w:cs="Cambria" w:eastAsia="Cambria"/>
                <w:color w:val="1A1A1A"/>
                <w:sz w:val="18"/>
              </w:rPr>
              <w:t xml:space="preserve">Prevalenza più elevata, secondo il gradiente sociale del disagio</w:t>
            </w:r>
          </w:p>
        </w:tc>
        <w:tc>
          <w:tcPr>
            <w:shd w:val="clear" w:color="auto" w:fill="F4F1EC"/>
          </w:tcPr>
          <w:p>
            <w:pPr>
              <w:pStyle w:val="Compact"/>
              <w:spacing w:after="40" w:before="40"/>
              <w:jc w:val="left"/>
            </w:pPr>
            <w:r>
              <w:rPr>
                <w:rFonts w:ascii="Cambria" w:hAnsi="Cambria" w:cs="Cambria" w:eastAsia="Cambria"/>
                <w:color w:val="1A1A1A"/>
                <w:sz w:val="18"/>
              </w:rPr>
              <w:t xml:space="preserve">Accesso più basso, per le barriere economica, informativa e dello stigma</w:t>
            </w:r>
          </w:p>
        </w:tc>
        <w:tc>
          <w:tcPr>
            <w:shd w:val="clear" w:color="auto" w:fill="F4F1EC"/>
          </w:tcPr>
          <w:p>
            <w:pPr>
              <w:pStyle w:val="Compact"/>
              <w:spacing w:after="40" w:before="40"/>
              <w:jc w:val="left"/>
            </w:pPr>
            <w:r>
              <w:rPr>
                <w:rFonts w:ascii="Cambria" w:hAnsi="Cambria" w:cs="Cambria" w:eastAsia="Cambria"/>
                <w:color w:val="1A1A1A"/>
                <w:sz w:val="18"/>
              </w:rPr>
              <w:t xml:space="preserve">Massima distanza tra bisogno e accesso; priorità dell’orientamento attivo</w:t>
            </w:r>
          </w:p>
        </w:tc>
      </w:tr>
      <w:tr>
        <w:tc>
          <w:tcPr/>
          <w:p>
            <w:pPr>
              <w:pStyle w:val="Compact"/>
              <w:spacing w:after="40" w:before="40"/>
              <w:jc w:val="left"/>
            </w:pPr>
            <w:r>
              <w:rPr>
                <w:rFonts w:ascii="Cambria" w:hAnsi="Cambria" w:cs="Cambria" w:eastAsia="Cambria"/>
                <w:color w:val="1A1A1A"/>
                <w:sz w:val="18"/>
              </w:rPr>
              <w:t xml:space="preserve">Giovani</w:t>
            </w:r>
          </w:p>
        </w:tc>
        <w:tc>
          <w:tcPr/>
          <w:p>
            <w:pPr>
              <w:pStyle w:val="Compact"/>
              <w:spacing w:after="40" w:before="40"/>
              <w:jc w:val="left"/>
            </w:pPr>
            <w:r>
              <w:rPr>
                <w:rFonts w:ascii="Cambria" w:hAnsi="Cambria" w:cs="Cambria" w:eastAsia="Cambria"/>
                <w:color w:val="1A1A1A"/>
                <w:sz w:val="18"/>
              </w:rPr>
              <w:t xml:space="preserve">Esordio frequente dei disturbi; associazione con la dispersione scolastica</w:t>
            </w:r>
          </w:p>
        </w:tc>
        <w:tc>
          <w:tcPr/>
          <w:p>
            <w:pPr>
              <w:pStyle w:val="Compact"/>
              <w:spacing w:after="40" w:before="40"/>
              <w:jc w:val="left"/>
            </w:pPr>
            <w:r>
              <w:rPr>
                <w:rFonts w:ascii="Cambria" w:hAnsi="Cambria" w:cs="Cambria" w:eastAsia="Cambria"/>
                <w:color w:val="1A1A1A"/>
                <w:sz w:val="18"/>
              </w:rPr>
              <w:t xml:space="preserve">Accesso basso, per l’elevata soglia di accesso e lo stigma</w:t>
            </w:r>
          </w:p>
        </w:tc>
        <w:tc>
          <w:tcPr/>
          <w:p>
            <w:pPr>
              <w:pStyle w:val="Compact"/>
              <w:spacing w:after="40" w:before="40"/>
              <w:jc w:val="left"/>
            </w:pPr>
            <w:r>
              <w:rPr>
                <w:rFonts w:ascii="Cambria" w:hAnsi="Cambria" w:cs="Cambria" w:eastAsia="Cambria"/>
                <w:color w:val="1A1A1A"/>
                <w:sz w:val="18"/>
              </w:rPr>
              <w:t xml:space="preserve">Finestra di intercettazione precoce; necessità di raggiungerli nei contesti scolastici</w:t>
            </w:r>
          </w:p>
        </w:tc>
      </w:tr>
      <w:tr>
        <w:tc>
          <w:tcPr>
            <w:shd w:val="clear" w:color="auto" w:fill="F4F1EC"/>
          </w:tcPr>
          <w:p>
            <w:pPr>
              <w:pStyle w:val="Compact"/>
              <w:spacing w:after="40" w:before="40"/>
              <w:jc w:val="left"/>
            </w:pPr>
            <w:r>
              <w:rPr>
                <w:rFonts w:ascii="Cambria" w:hAnsi="Cambria" w:cs="Cambria" w:eastAsia="Cambria"/>
                <w:color w:val="1A1A1A"/>
                <w:sz w:val="18"/>
              </w:rPr>
              <w:t xml:space="preserve">Anziani</w:t>
            </w:r>
          </w:p>
        </w:tc>
        <w:tc>
          <w:tcPr>
            <w:shd w:val="clear" w:color="auto" w:fill="F4F1EC"/>
          </w:tcPr>
          <w:p>
            <w:pPr>
              <w:pStyle w:val="Compact"/>
              <w:spacing w:after="40" w:before="40"/>
              <w:jc w:val="left"/>
            </w:pPr>
            <w:r>
              <w:rPr>
                <w:rFonts w:ascii="Cambria" w:hAnsi="Cambria" w:cs="Cambria" w:eastAsia="Cambria"/>
                <w:color w:val="1A1A1A"/>
                <w:sz w:val="18"/>
              </w:rPr>
              <w:t xml:space="preserve">Depressione associata a isolamento, perdita e comorbilità somatica</w:t>
            </w:r>
          </w:p>
        </w:tc>
        <w:tc>
          <w:tcPr>
            <w:shd w:val="clear" w:color="auto" w:fill="F4F1EC"/>
          </w:tcPr>
          <w:p>
            <w:pPr>
              <w:pStyle w:val="Compact"/>
              <w:spacing w:after="40" w:before="40"/>
              <w:jc w:val="left"/>
            </w:pPr>
            <w:r>
              <w:rPr>
                <w:rFonts w:ascii="Cambria" w:hAnsi="Cambria" w:cs="Cambria" w:eastAsia="Cambria"/>
                <w:color w:val="1A1A1A"/>
                <w:sz w:val="18"/>
              </w:rPr>
              <w:t xml:space="preserve">Accesso basso, per il sotto-riconoscimento e la ridotta mobilità</w:t>
            </w:r>
          </w:p>
        </w:tc>
        <w:tc>
          <w:tcPr>
            <w:shd w:val="clear" w:color="auto" w:fill="F4F1EC"/>
          </w:tcPr>
          <w:p>
            <w:pPr>
              <w:pStyle w:val="Compact"/>
              <w:spacing w:after="40" w:before="40"/>
              <w:jc w:val="left"/>
            </w:pPr>
            <w:r>
              <w:rPr>
                <w:rFonts w:ascii="Cambria" w:hAnsi="Cambria" w:cs="Cambria" w:eastAsia="Cambria"/>
                <w:color w:val="1A1A1A"/>
                <w:sz w:val="18"/>
              </w:rPr>
              <w:t xml:space="preserve">Bisogno sotto-rilevato; attenzione alla domiciliarità e al riconoscimento</w:t>
            </w:r>
          </w:p>
        </w:tc>
      </w:tr>
      <w:tr>
        <w:tc>
          <w:tcPr/>
          <w:p>
            <w:pPr>
              <w:pStyle w:val="Compact"/>
              <w:spacing w:after="40" w:before="40"/>
              <w:jc w:val="left"/>
            </w:pPr>
            <w:r>
              <w:rPr>
                <w:rFonts w:ascii="Cambria" w:hAnsi="Cambria" w:cs="Cambria" w:eastAsia="Cambria"/>
                <w:color w:val="1A1A1A"/>
                <w:sz w:val="18"/>
              </w:rPr>
              <w:t xml:space="preserve">Popolazioni fragili</w:t>
            </w:r>
          </w:p>
        </w:tc>
        <w:tc>
          <w:tcPr/>
          <w:p>
            <w:pPr>
              <w:pStyle w:val="Compact"/>
              <w:spacing w:after="40" w:before="40"/>
              <w:jc w:val="left"/>
            </w:pPr>
            <w:r>
              <w:rPr>
                <w:rFonts w:ascii="Cambria" w:hAnsi="Cambria" w:cs="Cambria" w:eastAsia="Cambria"/>
                <w:color w:val="1A1A1A"/>
                <w:sz w:val="18"/>
              </w:rPr>
              <w:t xml:space="preserve">Disagio associato a patologia cronica, disabilità o ruolo di cura</w:t>
            </w:r>
          </w:p>
        </w:tc>
        <w:tc>
          <w:tcPr/>
          <w:p>
            <w:pPr>
              <w:pStyle w:val="Compact"/>
              <w:spacing w:after="40" w:before="40"/>
              <w:jc w:val="left"/>
            </w:pPr>
            <w:r>
              <w:rPr>
                <w:rFonts w:ascii="Cambria" w:hAnsi="Cambria" w:cs="Cambria" w:eastAsia="Cambria"/>
                <w:color w:val="1A1A1A"/>
                <w:sz w:val="18"/>
              </w:rPr>
              <w:t xml:space="preserve">Accesso frammentato tra servizi diversi</w:t>
            </w:r>
          </w:p>
        </w:tc>
        <w:tc>
          <w:tcPr/>
          <w:p>
            <w:pPr>
              <w:pStyle w:val="Compact"/>
              <w:spacing w:after="40" w:before="40"/>
              <w:jc w:val="left"/>
            </w:pPr>
            <w:r>
              <w:rPr>
                <w:rFonts w:ascii="Cambria" w:hAnsi="Cambria" w:cs="Cambria" w:eastAsia="Cambria"/>
                <w:color w:val="1A1A1A"/>
                <w:sz w:val="18"/>
              </w:rPr>
              <w:t xml:space="preserve">Bisogno composito; necessità di integrazione tra i servizi</w:t>
            </w:r>
          </w:p>
        </w:tc>
      </w:tr>
    </w:tbl>
    <w:p>
      <w:pPr>
        <w:pStyle w:val="BodyText"/>
      </w:pPr>
      <w:r>
        <w:rPr>
          <w:i/>
          <w:iCs/>
        </w:rPr>
        <w:t xml:space="preserve">Tabella 12.2 — Gruppi di particolare attenzione per l’equità tra le popolazioni, con il profilo del bisogno, il profilo dell’accesso ai servizi esistenti e l’implicazione per l’equità. La distanza tra il bisogno e l’accesso è massima nei gruppi socio-economicamente svantaggiati; in ciascun gruppo, la riforma deve essere orientata a raggiungere il bisogno là dove esso si manifesta.</w:t>
      </w:r>
    </w:p>
    <w:p>
      <w:pPr>
        <w:pStyle w:val="BodyText"/>
      </w:pPr>
      <w:r>
        <w:t xml:space="preserve">I gruppi di particolare attenzione individuati nella tabella definiscono l’ambito verso cui l’orientamento attivo della riforma deve indirizzarsi. Essi non esauriscono la popolazione che la riforma serve, ma individuano i gruppi nei quali la distanza tra il bisogno e l’accesso è massima, e verso i quali perciò l’orientamento attivo della riforma è più necessario. I gruppi socio-economicamente svantaggiati costituiscono la priorità, perché in essi la distanza tra il bisogno e l’accesso è massima, e perché su di essi gravano congiuntamente le barriere economica, informativa e dello stigma; raggiungerli richiede di intercettarne il bisogno nei contesti della medicina generale e dei servizi sociali che li servono. I giovani costituiscono una priorità per la finestra di intercettazione precoce che la riforma può cogliere, raggiungendoli nei contesti scolastici, dove il disagio esordisce e dove l’intervento precoce sarebbe più efficace. Gli anziani costituiscono una priorità per il bisogno sotto-rilevato, raggiungendoli attraverso il riconoscimento del disagio nei contesti della medicina generale e attraverso l’attenzione alla domiciliarità, che la leva digitale e l’organizzazione dei percorsi possono sostenere. Le donne e le popolazioni fragili costituiscono gruppi di attenzione per le barriere specifiche che li gravano — il carico di cura per le prime, la frammentazione dei servizi per le seconde. La presente voce raccomanda che la riforma sia orientata a raggiungere questi gruppi, attraverso modalità specifiche per ciascuno, e che il monitoraggio dell’equità tra le popolazioni rilevi l’accesso effettivo di tali gruppi, sì da verificare se la riforma li raggiunga e riduca la diseguaglianza.</w:t>
      </w:r>
    </w:p>
    <w:bookmarkEnd w:id="818"/>
    <w:bookmarkStart w:id="820" w:name="X9a2fc753b456dbc7ddff22d89ad4083dae00077"/>
    <w:p>
      <w:pPr>
        <w:pStyle w:val="Heading2"/>
      </w:pPr>
      <w:r>
        <w:t xml:space="preserve">12.2.5 La gradazione della qualità, le bande prudenziali e i confini della voce</w:t>
      </w:r>
    </w:p>
    <w:p>
      <w:pPr>
        <w:pStyle w:val="FirstParagraph"/>
      </w:pPr>
      <w:r>
        <w:t xml:space="preserve">La valutazione dell’equità tra le popolazioni è graduata, secondo i criteri GRADE, a un livello moderato, che riflette la solidità dell’evidenza sul bisogno differenziale e l’incertezza sull’effetto della riforma. L’evidenza sulla distribuzione differenziale del bisogno e dell’accesso è solida, perché fondata su una vasta ricerca sui determinanti sociali della salute mentale e sulle barriere all’accesso, che documenta il gradiente sociale del disagio e la distribuzione inversa dell’accesso. La potenzialità della riforma di abbattere le barriere economica, informativa e dello stigma è anch’essa solida, perché deriva direttamente dalle caratteristiche del Servizio di Psicologia di Base. L’incertezza attiene all’effetto della riforma sulla diseguaglianza, che dipende dall’orientamento attivo verso i gruppi svantaggiati, non interamente governabile, e dal percorso temporale della diseguaglianza, soggetto al rischio dell’iniquità inversa. La gradazione moderata riflette questa duplice natura: solida nell’evidenza sul bisogno e sulla potenzialità della riforma, incerta nell’effetto sulla diseguaglianza. Essa avverte che la riduzione della diseguaglianza tra le popolazioni non è un esito garantito della riforma, ma un esito condizionato dall’orientamento attivo verso i gruppi svantaggiati, e che la valutazione dell’equità tra le popolazioni è perciò una valutazione condizionale, che afferma la possibilità della riduzione della diseguaglianza a determinate condizioni.</w:t>
      </w:r>
      <w:r>
        <w:rPr>
          <w:rStyle w:val="FootnoteReference"/>
        </w:rPr>
        <w:footnoteReference w:id="347"/>
      </w:r>
    </w:p>
    <w:p>
      <w:pPr>
        <w:pStyle w:val="BodyText"/>
      </w:pPr>
      <w:r>
        <w:t xml:space="preserve">La valutazione dell’equità tra le popolazioni è formulata in bande prudenziali, che esprimono la gamma degli effetti possibili sulla diseguaglianza. La banda inferiore corrisponde all’ipotesi sfavorevole, in cui la riforma sia fruita prevalentemente dai gruppi avvantaggiati e la diseguaglianza sia accentuata; la banda centrale corrisponde all’ipotesi intermedia, in cui la riforma si renda disponibile senza orientarsi attivamente ai gruppi svantaggiati e l’effetto sulla diseguaglianza sia incerto; la banda superiore corrisponde all’ipotesi favorevole, in cui la riforma sia attivamente orientata ai gruppi svantaggiati e la diseguaglianza sia ridotta. La banda esprime, anche qui, una gamma di esiti distributivi, ciascuno condizionato da un’ipotesi sull’orientamento della riforma. La soglia di confutazione della valutazione è collocata nell’ipotesi che la riforma accentui la diseguaglianza tra le popolazioni: ove si osservasse, a riforma attuata, che l’accesso al primo livello psicologico è stato fruito prevalentemente dai gruppi avvantaggiati, lasciando indietro i gruppi svantaggiati, la valutazione favorevole dell’equità tra le popolazioni sarebbe smentita, e la riforma si rivelerebbe, sul piano delle popolazioni, iniqua. Il metodo di verifica è il monitoraggio dell’accesso effettivo dei gruppi di particolare attenzione, affidato alla quindicesima parte, che rileverà la composizione socio-economica, demografica e di fragilità della popolazione servita e dichiarerà se la riforma abbia raggiunto i gruppi svantaggiati e ridotto la diseguaglianza, considerando anche il percorso temporale, sì da non confondere l’eventuale ampliamento iniziale con un esito definitivo.</w:t>
      </w:r>
    </w:p>
    <w:p>
      <w:pPr>
        <w:pStyle w:val="BodyText"/>
      </w:pPr>
      <w:r>
        <w:t xml:space="preserve">I confini della voce ne delimitano la portata e ne rimettono taluni aspetti alle parti successive. La voce valuta l’equità tra le popolazioni della riforma, ossia la distribuzione del suo valore tra i gruppi sociali, e non l’equità territoriale né l’equità di accesso, che sono oggetto delle altre voci; essa considera la composizione dei gruppi serviti, e non la loro distribuzione territoriale, che la prima voce ha esaminato. La voce descrive la distribuzione differenziale del bisogno e dell’accesso con una rappresentazione qualitativa, fondata sull’evidenza sui determinanti sociali e sulle barriere, e non con una quantificazione della prevalenza per gruppo, che eccederebbe il suo oggetto; i livelli che essa indica sono illustrativi del divario tra il bisogno e l’accesso, e non misure quantitative. La voce indica le modalità dell’orientamento attivo verso i gruppi svantaggiati — l’intercettazione del bisogno nei contesti che servono tali gruppi — ma non le determina, rimettendone la determinazione alla quattordicesima parte, dedicata all’attuazione; essa indica il monitoraggio dell’accesso effettivo dei gruppi come metodo di verifica, ma non lo conduce, rimettendolo alla quindicesima parte. Entro questi confini, la voce stabilisce che la riforma può ridurre la diseguaglianza tra le popolazioni, ove sia attivamente orientata a raggiungere i gruppi svantaggiati, e che la sua equità tra le popolazioni è perciò una proprietà condizionata, la cui realizzazione dipende dall’orientamento della riforma e la cui verifica è affidata al monitoraggio.</w:t>
      </w:r>
    </w:p>
    <w:bookmarkEnd w:id="820"/>
    <w:bookmarkEnd w:id="821"/>
    <w:bookmarkStart w:id="831" w:name="lequità-di-accesso-e-la-leva-digitale"/>
    <w:p>
      <w:pPr>
        <w:pStyle w:val="Heading2"/>
      </w:pPr>
      <w:r>
        <w:t xml:space="preserve">12.3 L’equità di accesso e la leva digitale</w:t>
      </w:r>
    </w:p>
    <w:p>
      <w:pPr>
        <w:pStyle w:val="FirstParagraph"/>
      </w:pPr>
      <w:r>
        <w:rPr>
          <w:i/>
          <w:iCs/>
        </w:rPr>
        <w:t xml:space="preserve">La terza voce studia l’equità di accesso, ossia la possibilità effettiva di fruire della riforma, con specifica attenzione alla leva digitale, su cui la riforma si appoggia come strumento abilitante subordinato. La voce domanda se la leva digitale ampli l’accesso o introduca un divario tra chi dispone degli strumenti e delle competenze digitali e chi ne è privo. Essa espone la logica dell’equità di accesso, esamina la leva digitale come fattore di accesso e il rischio di divario digitale, descrive il divario digitale in Puglia e la sua sovrapposizione ai divari territoriali e sociali, afferma il principio della complementarità e la governance per l’equità, e gradua infine la qualità delle stime, ne dichiara le bande e ne traccia i confini.</w:t>
      </w:r>
    </w:p>
    <w:bookmarkStart w:id="823" w:name="X7361a41fc32812ce127f39dec9985a8aa2f46c0"/>
    <w:p>
      <w:pPr>
        <w:pStyle w:val="Heading2"/>
      </w:pPr>
      <w:r>
        <w:t xml:space="preserve">12.3.1 La logica dell’equità di accesso e della leva digitale</w:t>
      </w:r>
    </w:p>
    <w:p>
      <w:pPr>
        <w:pStyle w:val="FirstParagraph"/>
      </w:pPr>
      <w:r>
        <w:t xml:space="preserve">L’equità di accesso è la proprietà per cui la possibilità di fruire di una politica si distribuisce tra i soggetti in modo da non escludere i gruppi svantaggiati, indipendentemente dalle modalità attraverso cui la politica è erogata. Essa si distingue dall’equità territoriale e dall’equità tra le popolazioni, esaminate nelle voci precedenti, perché non attiene alla distribuzione del valore prodotto, ma alla possibilità di accedere al servizio: una politica può distribuire le proprie risorse equamente tra le aree e tra i gruppi, e tuttavia escludere taluni soggetti dall’accesso, ove le modalità di erogazione presuppongano requisiti che essi non possiedono. La logica dell’equità di accesso muove dal riconoscimento che le modalità di erogazione di una politica non sono neutre rispetto alla possibilità di accesso, ma possono favorire taluni soggetti ed escluderne altri, a seconda dei requisiti che presuppongono. Una modalità di erogazione che presupponga la disponibilità di uno strumento o di una competenza favorisce i soggetti che ne dispongono ed esclude quelli che ne sono privi; e ove lo strumento o la competenza si distribuiscano diseguamente nella popolazione, la modalità di erogazione introduce un divario di accesso, che si aggiunge ai divari preesistenti. L’equità di accesso richiede dunque che le modalità di erogazione della riforma non presuppongano requisiti che escludano i gruppi svantaggiati, e che, ove talune modalità presuppongano tali requisiti, esse siano affiancate da modalità che ne prescindano, sì che nessun soggetto sia escluso dall’accesso per difetto dei requisiti.</w:t>
      </w:r>
    </w:p>
    <w:p>
      <w:pPr>
        <w:pStyle w:val="BodyText"/>
      </w:pPr>
      <w:r>
        <w:t xml:space="preserve">La leva digitale, su cui la riforma si appoggia come strumento abilitante subordinato, è il fattore che rende l’equità di accesso un oggetto di specifica attenzione nella presente riforma. La leva digitale comprende gli strumenti digitali che la quarta parte ha collocato lungo il ciclo assistenziale come strumenti abilitanti subordinati alla supervisione umana — la teleconsultazione, le terapie digitali, la terapia cognitivo-comportamentale erogata attraverso la rete, il monitoraggio remoto — i quali presuppongono, per essere fruiti, la disponibilità di uno strumento di connessione e di una competenza nel suo uso. Questi strumenti, ove impiegati come modalità di erogazione del servizio, presuppongono dunque requisiti — la connessione e la competenza digitale — che non si distribuiscono uniformemente nella popolazione, ma sono minori nei gruppi svantaggiati, anziani e residenti nelle aree meno connesse. La leva digitale rende perciò l’equità di accesso un oggetto di specifica attenzione, perché essa è, al tempo stesso, un fattore che può ampliare l’accesso, raggiungendo soggetti che le modalità tradizionali non raggiungono, e un fattore che può restringerlo, escludendo i soggetti privi dei requisiti che essa presuppone. La logica dell’equità di accesso, applicata alla leva digitale, domanda dunque se la leva digitale, nel suo impiego nella riforma, ampli l’accesso o lo restringa, e a quali condizioni essa ampli l’accesso senza escludere i gruppi svantaggiati.</w:t>
      </w:r>
      <w:r>
        <w:rPr>
          <w:rStyle w:val="FootnoteReference"/>
        </w:rPr>
        <w:footnoteReference w:id="348"/>
      </w:r>
    </w:p>
    <w:p>
      <w:pPr>
        <w:pStyle w:val="BodyText"/>
      </w:pPr>
      <w:r>
        <w:t xml:space="preserve">La posizione della leva digitale nella riforma, quale la quarta parte l’ha stabilita, orienta la valutazione dell’equità di accesso e ne circoscrive la posta in gioco. La leva digitale non è, nella riforma, l’oggetto centrale né la modalità principale di erogazione, ma uno strumento abilitante subordinato, che affianca la relazione clinica in presenza senza sostituirla, e che è impiegato sotto la supervisione umana e la governance prudenziale. Questa posizione subordinata della leva digitale è essenziale per la valutazione dell’equità di accesso, perché essa implica che il servizio non è erogato primariamente attraverso il canale digitale, ma attraverso la relazione in presenza, che il canale digitale affianca; e ciò circoscrive il rischio di esclusione, perché i soggetti privi dei requisiti digitali non sono esclusi dal servizio, ma soltanto da una delle sue modalità accessorie, ferma la fruizione attraverso il canale in presenza. La posta in gioco dell’equità di accesso non è dunque, nella presente riforma, l’esclusione dei soggetti digitalmente esclusi dal servizio nel suo complesso, che la posizione subordinata della leva digitale previene, ma il rischio che la leva digitale, ove impiegata oltre la sua posizione subordinata, divenga una modalità di erogazione che presuppone i requisiti digitali e che esclude i soggetti privi; e la valutazione dell’equità di accesso consiste nel verificare che la leva digitale resti entro la sua posizione subordinata, complementare e non sostitutiva, sì che essa ampli l’accesso senza divenire un requisito che ne esclude i gruppi svantaggiati. La presente voce assume questa posizione subordinata della leva digitale come premessa, e ne trae il criterio per valutare l’equità di accesso: non se la leva digitale sia impiegata, ma se essa resti complementare all’accesso in presenza, sì da ampliarlo senza escludere.</w:t>
      </w:r>
    </w:p>
    <w:bookmarkEnd w:id="823"/>
    <w:bookmarkStart w:id="824" w:name="X66a66416cf8e99024b5c8cd2a3a38fed37d5886"/>
    <w:p>
      <w:pPr>
        <w:pStyle w:val="Heading2"/>
      </w:pPr>
      <w:r>
        <w:t xml:space="preserve">12.3.2 La leva digitale come fattore di accesso e il rischio di divario digitale</w:t>
      </w:r>
    </w:p>
    <w:p>
      <w:pPr>
        <w:pStyle w:val="FirstParagraph"/>
      </w:pPr>
      <w:r>
        <w:t xml:space="preserve">La leva digitale è, nella riforma, un fattore che può ampliare l’accesso, raggiungendo soggetti e situazioni che le modalità tradizionali raggiungono con difficoltà. L’ampliamento dell’accesso che la leva digitale consente si dispiega lungo più direzioni. Nella direzione territoriale, la leva digitale consente di raggiungere i soggetti residenti nelle aree interne e periferiche, dove la distanza dai presìdi ostacola l’accesso in presenza, attraverso la teleconsultazione e il monitoraggio remoto, che riducono la necessità di spostamento; essa può perciò estendere la portata dello psicologo di base nelle aree più rade, ove la collocazione di un presidio in presenza non sia sostenibile per la rarefazione della popolazione. Nella direzione temporale, la leva digitale consente di mantenere la continuità della presa in carico tra gli incontri in presenza, attraverso strumenti di monitoraggio e di sostegno che accompagnano il soggetto nell’intervallo, e di intervenire tempestivamente ove il monitoraggio segnali un peggioramento. Nella direzione della modalità, la leva digitale consente di offrire forme di intervento che taluni soggetti preferiscono o tollerano meglio — la terapia erogata attraverso la rete, che alcuni soggetti, segnatamente i più giovani, fruiscono con minore resistenza di quella in presenza. La leva digitale è dunque, in queste direzioni, un fattore che amplia l’accesso, raggiungendo soggetti e situazioni che le modalità tradizionali raggiungono con difficoltà, e che perciò può contribuire all’equità di accesso, estendendo la possibilità di fruizione del servizio.</w:t>
      </w:r>
    </w:p>
    <w:p>
      <w:pPr>
        <w:pStyle w:val="BodyText"/>
      </w:pPr>
      <w:r>
        <w:t xml:space="preserve">La leva digitale è, al tempo stesso, un fattore che può restringere l’accesso, escludendo i soggetti privi degli strumenti e delle competenze digitali. Il rischio di divario digitale deriva dal fatto che gli strumenti digitali presuppongono, per essere fruiti, requisiti che non si distribuiscono uniformemente nella popolazione: la disponibilità di uno strumento di connessione, che richiede la copertura della rete e il possesso di un dispositivo; e la competenza nel suo uso, che richiede l’alfabetizzazione digitale. Questi requisiti sono minori nei gruppi svantaggiati, anziani e residenti nelle aree meno connesse, sì che la leva digitale, ove impiegata come modalità di erogazione che presuppone tali requisiti, esclude proprio i soggetti che la riforma dovrebbe raggiungere. Il rischio di divario digitale è dunque il rischio che la leva digitale, anziché ampliare l’accesso, lo restringa per i soggetti digitalmente esclusi, e che essa, lungi dal contribuire all’equità di accesso, vi rechi pregiudizio, escludendo i gruppi svantaggiati dalle modalità che la presuppongono. Questo rischio è tanto più grave quanto più la leva digitale fosse impiegata oltre la sua posizione subordinata, come modalità principale di erogazione: ove il servizio fosse erogato primariamente attraverso il canale digitale, i soggetti digitalmente esclusi sarebbero esclusi dal servizio nel suo complesso, e il divario digitale si tradurrebbe in un divario di accesso al servizio. La leva digitale presenta dunque una duplice valenza per l’equità di accesso: essa può ampliare l’accesso, ma può anche restringerlo; e la sua valenza dipende dal modo in cui è impiegata, complementare o sostitutivo rispetto all’accesso in presenza.</w:t>
      </w:r>
    </w:p>
    <w:p>
      <w:pPr>
        <w:pStyle w:val="BodyText"/>
      </w:pPr>
      <w:r>
        <w:t xml:space="preserve">La duplice valenza della leva digitale per l’equità di accesso pone l’esigenza di un criterio che ne governi l’impiego, sì che essa ampli l’accesso senza restringerlo. La leva digitale non è, in sé, un fattore di equità o di iniquità, ma diviene l’uno o l’altro a seconda del modo in cui è impiegata: impiegata come complemento dell’accesso in presenza, essa amplia l’accesso, raggiungendo soggetti e situazioni che le modalità tradizionali non raggiungono, senza escludere i soggetti privi dei requisiti digitali, che fruiscono del servizio attraverso il canale in presenza; impiegata come sostituto dell’accesso in presenza, essa restringe l’accesso, escludendo i soggetti privi dei requisiti digitali, che non possono fruire del servizio attraverso il canale digitale. Il criterio che governa l’impiego della leva digitale per l’equità di accesso è dunque il criterio della complementarità: la leva digitale deve essere impiegata come complemento dell’accesso in presenza, e non come suo sostituto, sì che essa ampli l’accesso senza divenire un requisito che ne esclude i gruppi svantaggiati. Questo criterio, che la presente voce esaminerà nel suo fondamento e nella sua attuazione, è la condizione perché la leva digitale contribuisca all’equità di accesso anziché recarvi pregiudizio; e la valutazione dell’equità di accesso consiste nel verificare che esso sia rispettato, sì che la leva digitale resti entro la sua posizione subordinata e complementare.</w:t>
      </w:r>
    </w:p>
    <w:bookmarkEnd w:id="824"/>
    <w:bookmarkStart w:id="826" w:name="X84c8c986d12a49c8362a2b6d055cd8a32e7c4c0"/>
    <w:p>
      <w:pPr>
        <w:pStyle w:val="Heading2"/>
      </w:pPr>
      <w:r>
        <w:t xml:space="preserve">12.3.3 Il divario digitale in Puglia e la sua sovrapposizione ai divari territoriali e sociali</w:t>
      </w:r>
    </w:p>
    <w:p>
      <w:pPr>
        <w:pStyle w:val="FirstParagraph"/>
      </w:pPr>
      <w:r>
        <w:t xml:space="preserve">Il divario digitale è la diseguale distribuzione, nella popolazione, della disponibilità degli strumenti di connessione e della competenza nel loro uso, e presenta in Puglia dimensioni che corrispondono ai divari territoriali e sociali. Il divario digitale si articola in più dimensioni, ciascuna delle quali coglie un aspetto della diseguale distribuzione dei requisiti digitali. La dimensione territoriale del divario digitale attiene alla diseguale copertura della rete, minore nelle aree interne e periferiche, dove l’infrastruttura della banda larga è meno estesa, sì che i soggetti ivi residenti dispongono di una connessione meno affidabile o ne sono privi. La dimensione anagrafica del divario digitale attiene alla diseguale competenza digitale tra le età, minore nella popolazione anziana, che ha avuto minore familiarità con gli strumenti digitali, sì che gli anziani difettano più spesso della competenza necessaria a fruirne. La dimensione socio-economica del divario digitale attiene al diseguale accesso ai dispositivi e alle competenze tra i gruppi socio-economici, minore nei gruppi svantaggiati, che dispongono meno spesso dei dispositivi e della formazione necessaria, sì che i gruppi svantaggiati difettano più spesso degli strumenti e delle competenze. La tabella che segue descrive le tre dimensioni del divario digitale in Puglia, la loro sovrapposizione ai divari preesistenti e l’implicazione per l’equità di accesso.</w:t>
      </w:r>
      <w:r>
        <w:rPr>
          <w:rStyle w:val="FootnoteReference"/>
        </w:rPr>
        <w:footnoteReference w:id="349"/>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del divario digitale</w:t>
            </w:r>
          </w:p>
        </w:tc>
        <w:tc>
          <w:tcPr>
            <w:shd w:val="clear" w:color="auto" w:fill="16264B"/>
          </w:tcPr>
          <w:p>
            <w:pPr>
              <w:pStyle w:val="Compact"/>
              <w:spacing w:after="40" w:before="40"/>
              <w:jc w:val="left"/>
            </w:pPr>
            <w:r>
              <w:rPr>
                <w:rFonts w:ascii="Cambria" w:hAnsi="Cambria" w:cs="Cambria" w:eastAsia="Cambria"/>
                <w:b/>
                <w:bCs/>
                <w:color w:val="FFFFFF"/>
                <w:sz w:val="18"/>
              </w:rPr>
              <w:t xml:space="preserve">Manifestazione in Puglia</w:t>
            </w:r>
          </w:p>
        </w:tc>
        <w:tc>
          <w:tcPr>
            <w:shd w:val="clear" w:color="auto" w:fill="16264B"/>
          </w:tcPr>
          <w:p>
            <w:pPr>
              <w:pStyle w:val="Compact"/>
              <w:spacing w:after="40" w:before="40"/>
              <w:jc w:val="left"/>
            </w:pPr>
            <w:r>
              <w:rPr>
                <w:rFonts w:ascii="Cambria" w:hAnsi="Cambria" w:cs="Cambria" w:eastAsia="Cambria"/>
                <w:b/>
                <w:bCs/>
                <w:color w:val="FFFFFF"/>
                <w:sz w:val="18"/>
              </w:rPr>
              <w:t xml:space="preserve">Sovrapposizione ai divari preesistenti</w:t>
            </w:r>
          </w:p>
        </w:tc>
        <w:tc>
          <w:tcPr>
            <w:shd w:val="clear" w:color="auto" w:fill="16264B"/>
          </w:tcPr>
          <w:p>
            <w:pPr>
              <w:pStyle w:val="Compact"/>
              <w:spacing w:after="40" w:before="40"/>
              <w:jc w:val="left"/>
            </w:pPr>
            <w:r>
              <w:rPr>
                <w:rFonts w:ascii="Cambria" w:hAnsi="Cambria" w:cs="Cambria" w:eastAsia="Cambria"/>
                <w:b/>
                <w:bCs/>
                <w:color w:val="FFFFFF"/>
                <w:sz w:val="18"/>
              </w:rPr>
              <w:t xml:space="preserve">Implicazione per l’equità di accesso</w:t>
            </w:r>
          </w:p>
        </w:tc>
      </w:tr>
      <w:tr>
        <w:tc>
          <w:tcPr/>
          <w:p>
            <w:pPr>
              <w:pStyle w:val="Compact"/>
              <w:spacing w:after="40" w:before="40"/>
              <w:jc w:val="left"/>
            </w:pPr>
            <w:r>
              <w:rPr>
                <w:rFonts w:ascii="Cambria" w:hAnsi="Cambria" w:cs="Cambria" w:eastAsia="Cambria"/>
                <w:color w:val="1A1A1A"/>
                <w:sz w:val="18"/>
              </w:rPr>
              <w:t xml:space="preserve">Dimensione territoriale</w:t>
            </w:r>
          </w:p>
        </w:tc>
        <w:tc>
          <w:tcPr/>
          <w:p>
            <w:pPr>
              <w:pStyle w:val="Compact"/>
              <w:spacing w:after="40" w:before="40"/>
              <w:jc w:val="left"/>
            </w:pPr>
            <w:r>
              <w:rPr>
                <w:rFonts w:ascii="Cambria" w:hAnsi="Cambria" w:cs="Cambria" w:eastAsia="Cambria"/>
                <w:color w:val="1A1A1A"/>
                <w:sz w:val="18"/>
              </w:rPr>
              <w:t xml:space="preserve">Minore copertura della banda larga nelle aree interne e periferiche</w:t>
            </w:r>
          </w:p>
        </w:tc>
        <w:tc>
          <w:tcPr/>
          <w:p>
            <w:pPr>
              <w:pStyle w:val="Compact"/>
              <w:spacing w:after="40" w:before="40"/>
              <w:jc w:val="left"/>
            </w:pPr>
            <w:r>
              <w:rPr>
                <w:rFonts w:ascii="Cambria" w:hAnsi="Cambria" w:cs="Cambria" w:eastAsia="Cambria"/>
                <w:color w:val="1A1A1A"/>
                <w:sz w:val="18"/>
              </w:rPr>
              <w:t xml:space="preserve">Si sovrappone al divario territoriale (aree interne meno servite dai presìdi)</w:t>
            </w:r>
          </w:p>
        </w:tc>
        <w:tc>
          <w:tcPr/>
          <w:p>
            <w:pPr>
              <w:pStyle w:val="Compact"/>
              <w:spacing w:after="40" w:before="40"/>
              <w:jc w:val="left"/>
            </w:pPr>
            <w:r>
              <w:rPr>
                <w:rFonts w:ascii="Cambria" w:hAnsi="Cambria" w:cs="Cambria" w:eastAsia="Cambria"/>
                <w:color w:val="1A1A1A"/>
                <w:sz w:val="18"/>
              </w:rPr>
              <w:t xml:space="preserve">Le aree interne rischiano una doppia esclusione: dai presìdi e dal canale digitale</w:t>
            </w:r>
          </w:p>
        </w:tc>
      </w:tr>
      <w:tr>
        <w:tc>
          <w:tcPr>
            <w:shd w:val="clear" w:color="auto" w:fill="F4F1EC"/>
          </w:tcPr>
          <w:p>
            <w:pPr>
              <w:pStyle w:val="Compact"/>
              <w:spacing w:after="40" w:before="40"/>
              <w:jc w:val="left"/>
            </w:pPr>
            <w:r>
              <w:rPr>
                <w:rFonts w:ascii="Cambria" w:hAnsi="Cambria" w:cs="Cambria" w:eastAsia="Cambria"/>
                <w:color w:val="1A1A1A"/>
                <w:sz w:val="18"/>
              </w:rPr>
              <w:t xml:space="preserve">Dimensione anagrafica</w:t>
            </w:r>
          </w:p>
        </w:tc>
        <w:tc>
          <w:tcPr>
            <w:shd w:val="clear" w:color="auto" w:fill="F4F1EC"/>
          </w:tcPr>
          <w:p>
            <w:pPr>
              <w:pStyle w:val="Compact"/>
              <w:spacing w:after="40" w:before="40"/>
              <w:jc w:val="left"/>
            </w:pPr>
            <w:r>
              <w:rPr>
                <w:rFonts w:ascii="Cambria" w:hAnsi="Cambria" w:cs="Cambria" w:eastAsia="Cambria"/>
                <w:color w:val="1A1A1A"/>
                <w:sz w:val="18"/>
              </w:rPr>
              <w:t xml:space="preserve">Minore competenza digitale nella popolazione anziana</w:t>
            </w:r>
          </w:p>
        </w:tc>
        <w:tc>
          <w:tcPr>
            <w:shd w:val="clear" w:color="auto" w:fill="F4F1EC"/>
          </w:tcPr>
          <w:p>
            <w:pPr>
              <w:pStyle w:val="Compact"/>
              <w:spacing w:after="40" w:before="40"/>
              <w:jc w:val="left"/>
            </w:pPr>
            <w:r>
              <w:rPr>
                <w:rFonts w:ascii="Cambria" w:hAnsi="Cambria" w:cs="Cambria" w:eastAsia="Cambria"/>
                <w:color w:val="1A1A1A"/>
                <w:sz w:val="18"/>
              </w:rPr>
              <w:t xml:space="preserve">Si sovrappone al divario tra le età (anziani con accesso minore ai servizi)</w:t>
            </w:r>
          </w:p>
        </w:tc>
        <w:tc>
          <w:tcPr>
            <w:shd w:val="clear" w:color="auto" w:fill="F4F1EC"/>
          </w:tcPr>
          <w:p>
            <w:pPr>
              <w:pStyle w:val="Compact"/>
              <w:spacing w:after="40" w:before="40"/>
              <w:jc w:val="left"/>
            </w:pPr>
            <w:r>
              <w:rPr>
                <w:rFonts w:ascii="Cambria" w:hAnsi="Cambria" w:cs="Cambria" w:eastAsia="Cambria"/>
                <w:color w:val="1A1A1A"/>
                <w:sz w:val="18"/>
              </w:rPr>
              <w:t xml:space="preserve">Gli anziani rischiano l’esclusione dal canale digitale, ove esso sostituisca l’accesso in presenza</w:t>
            </w:r>
          </w:p>
        </w:tc>
      </w:tr>
      <w:tr>
        <w:tc>
          <w:tcPr/>
          <w:p>
            <w:pPr>
              <w:pStyle w:val="Compact"/>
              <w:spacing w:after="40" w:before="40"/>
              <w:jc w:val="left"/>
            </w:pPr>
            <w:r>
              <w:rPr>
                <w:rFonts w:ascii="Cambria" w:hAnsi="Cambria" w:cs="Cambria" w:eastAsia="Cambria"/>
                <w:color w:val="1A1A1A"/>
                <w:sz w:val="18"/>
              </w:rPr>
              <w:t xml:space="preserve">Dimensione socio-economica</w:t>
            </w:r>
          </w:p>
        </w:tc>
        <w:tc>
          <w:tcPr/>
          <w:p>
            <w:pPr>
              <w:pStyle w:val="Compact"/>
              <w:spacing w:after="40" w:before="40"/>
              <w:jc w:val="left"/>
            </w:pPr>
            <w:r>
              <w:rPr>
                <w:rFonts w:ascii="Cambria" w:hAnsi="Cambria" w:cs="Cambria" w:eastAsia="Cambria"/>
                <w:color w:val="1A1A1A"/>
                <w:sz w:val="18"/>
              </w:rPr>
              <w:t xml:space="preserve">Minore accesso ai dispositivi e alle competenze nei gruppi svantaggiati</w:t>
            </w:r>
          </w:p>
        </w:tc>
        <w:tc>
          <w:tcPr/>
          <w:p>
            <w:pPr>
              <w:pStyle w:val="Compact"/>
              <w:spacing w:after="40" w:before="40"/>
              <w:jc w:val="left"/>
            </w:pPr>
            <w:r>
              <w:rPr>
                <w:rFonts w:ascii="Cambria" w:hAnsi="Cambria" w:cs="Cambria" w:eastAsia="Cambria"/>
                <w:color w:val="1A1A1A"/>
                <w:sz w:val="18"/>
              </w:rPr>
              <w:t xml:space="preserve">Si sovrappone al gradiente sociale (gruppi svantaggiati con accesso minore)</w:t>
            </w:r>
          </w:p>
        </w:tc>
        <w:tc>
          <w:tcPr/>
          <w:p>
            <w:pPr>
              <w:pStyle w:val="Compact"/>
              <w:spacing w:after="40" w:before="40"/>
              <w:jc w:val="left"/>
            </w:pPr>
            <w:r>
              <w:rPr>
                <w:rFonts w:ascii="Cambria" w:hAnsi="Cambria" w:cs="Cambria" w:eastAsia="Cambria"/>
                <w:color w:val="1A1A1A"/>
                <w:sz w:val="18"/>
              </w:rPr>
              <w:t xml:space="preserve">I gruppi svantaggiati rischiano l’esclusione dal canale digitale, che aggraverebbe la diseguaglianza</w:t>
            </w:r>
          </w:p>
        </w:tc>
      </w:tr>
    </w:tbl>
    <w:p>
      <w:pPr>
        <w:pStyle w:val="BodyText"/>
      </w:pPr>
      <w:r>
        <w:rPr>
          <w:i/>
          <w:iCs/>
        </w:rPr>
        <w:t xml:space="preserve">Tabella 12.3 — Le tre dimensioni del divario digitale in Puglia, la loro sovrapposizione ai divari territoriali e sociali, e l’implicazione per l’equità di accesso. Le dimensioni del divario digitale si sovrappongono ai divari preesistenti, sì che i soggetti digitalmente esclusi sono in larga parte i medesimi che la riforma dovrebbe raggiungere: i residenti nelle aree interne, gli anziani e i gruppi socio-economicamente svantaggiati.</w:t>
      </w:r>
    </w:p>
    <w:p>
      <w:pPr>
        <w:pStyle w:val="BodyText"/>
      </w:pPr>
      <w:r>
        <w:t xml:space="preserve">La sovrapposizione del divario digitale ai divari territoriali e sociali è la circostanza che rende il rischio di divario digitale particolarmente grave per l’equità della riforma. Le tre dimensioni del divario digitale non colpiscono soggetti casuali, ma si sovrappongono ai divari territoriali e sociali esaminati nelle voci precedenti, sì che i soggetti digitalmente esclusi sono in larga parte i medesimi che la riforma dovrebbe raggiungere. La dimensione territoriale del divario digitale colpisce i residenti nelle aree interne, che sono i medesimi soggetti che il divario territoriale nei servizi penalizza, sì che le aree interne rischiano una doppia esclusione: dai presìdi in presenza, per la distanza, e dal canale digitale, per la minore copertura della rete. La dimensione anagrafica del divario digitale colpisce gli anziani, che sono i medesimi soggetti il cui disagio è sotto-rilevato e il cui accesso ai servizi è minore, sì che gli anziani rischiano di essere esclusi anche dal canale digitale, ove esso sostituisca l’accesso in presenza. La dimensione socio-economica del divario digitale colpisce i gruppi svantaggiati, che sono i medesimi soggetti nei quali il bisogno è maggiore e l’accesso minore, sì che i gruppi svantaggiati rischiano di vedere aggravata la loro diseguaglianza dall’esclusione dal canale digitale. La sovrapposizione del divario digitale ai divari territoriali e sociali implica dunque che la leva digitale, ove impiegata come sostituto dell’accesso in presenza, escluderebbe proprio i soggetti che la riforma dovrebbe raggiungere, e accentuerebbe i divari territoriali e sociali anziché ridurli; e ciò rende il rispetto del criterio della complementarità non una cautela accessoria, ma la condizione perché la leva digitale non vanifichi l’equità territoriale e l’equità tra le popolazioni, escludendo i medesimi soggetti che quelle dimensioni dell’equità mirano a raggiungere.</w:t>
      </w:r>
    </w:p>
    <w:bookmarkEnd w:id="826"/>
    <w:bookmarkStart w:id="828" w:name="X3758a0ba7820856b5973ff0f5be39bfc9dbab0f"/>
    <w:p>
      <w:pPr>
        <w:pStyle w:val="Heading2"/>
      </w:pPr>
      <w:r>
        <w:t xml:space="preserve">12.3.4 Il principio della complementarità e la governance per l’equità</w:t>
      </w:r>
    </w:p>
    <w:p>
      <w:pPr>
        <w:pStyle w:val="FirstParagraph"/>
      </w:pPr>
      <w:r>
        <w:t xml:space="preserve">Il principio della complementarità stabilisce che la leva digitale deve affiancare l’accesso in presenza senza sostituirlo, sì che essa ampli l’accesso senza escludere i soggetti digitalmente esclusi. Esso è la traduzione, sul piano dell’equità di accesso, della posizione subordinata che la quarta parte ha assegnato alla leva digitale lungo il ciclo assistenziale: come la leva digitale è subordinata alla relazione clinica e alla supervisione umana sul piano clinico, così essa è complementare all’accesso in presenza sul piano dell’equità di accesso. Il principio della complementarità implica che la leva digitale non sia mai l’unica modalità di accesso al servizio, ma sempre una modalità che si aggiunge a quella in presenza, sì che il soggetto possa accedere al servizio attraverso il canale in presenza, indipendentemente dalla disponibilità degli strumenti e delle competenze digitali. Esso implica, inoltre, che la leva digitale sia impiegata là dove essa amplia l’accesso senza escludere — per estendere la portata nelle aree rade, per mantenere la continuità tra gli incontri, per offrire forme di intervento che taluni soggetti preferiscono — e non là dove essa lo restringerebbe, sostituendo l’accesso in presenza per i soggetti che ne difettano dei requisiti. Il principio della complementarità è dunque la garanzia che la leva digitale contribuisca all’equità di accesso anziché recarvi pregiudizio: esso consente alla leva digitale di ampliare l’accesso, raggiungendo soggetti e situazioni che le modalità tradizionali non raggiungono, e al tempo stesso preserva l’accesso in presenza per i soggetti digitalmente esclusi, sì che nessuno sia escluso dal servizio per difetto dei requisiti digitali.</w:t>
      </w:r>
      <w:r>
        <w:rPr>
          <w:rStyle w:val="FootnoteReference"/>
        </w:rPr>
        <w:footnoteReference w:id="350"/>
      </w:r>
    </w:p>
    <w:p>
      <w:pPr>
        <w:pStyle w:val="BodyText"/>
      </w:pPr>
      <w:r>
        <w:t xml:space="preserve">Il principio della complementarità si attua attraverso una governance della leva digitale orientata all’equità, che ne disciplini l’impiego sì da prevenire l’esclusione. Tale governance, che la quarta parte ha delineato sul piano della sicurezza, dell’equità e della supervisione umana, si specifica, sul piano dell’equità di accesso, in alcune esigenze. La prima è che il servizio sia sempre accessibile attraverso il canale in presenza, sì che la leva digitale non divenga un requisito di accesso: il soggetto che non disponga degli strumenti o delle competenze digitali deve poter accedere al servizio attraverso il canale in presenza, senza che la sua esclusione digitale si traduca in esclusione dal servizio. La seconda è che l’impiego della leva digitale sia commisurato alla disponibilità degli strumenti e delle competenze del soggetto, sì che essa sia impiegata là dove il soggetto può fruirne e non là dove egli ne difetta: l’offerta delle modalità digitali deve tenere conto della condizione digitale del soggetto, e non presumere una disponibilità uniforme. La terza è che la leva digitale sia accompagnata, ove opportuno, da misure che ne riducano le barriere — il sostegno all’alfabetizzazione digitale, la messa a disposizione di strumenti, l’assistenza nell’uso — sì che essa raggiunga anche soggetti che ne difetterebbero altrimenti dei requisiti, ampliando la platea che può fruirne. Queste esigenze della governance per l’equità non sono oggetto della presente parte, che non tratta dell’attuazione, ma sono da essa indicate come le condizioni attraverso cui il principio della complementarità si attua, e la cui determinazione è rimessa alla quattordicesima parte. La presente voce stabilisce che il principio della complementarità, attuato attraverso una governance orientata all’equità, è la condizione perché la leva digitale ampli l’accesso senza escludere i soggetti digitalmente esclusi, e perché essa non vanifichi l’equità territoriale e l’equità tra le popolazioni.</w:t>
      </w:r>
    </w:p>
    <w:bookmarkEnd w:id="828"/>
    <w:bookmarkStart w:id="830" w:name="X9c3d0f13ba193e5de43b1e5f33333469a15e4c0"/>
    <w:p>
      <w:pPr>
        <w:pStyle w:val="Heading2"/>
      </w:pPr>
      <w:r>
        <w:t xml:space="preserve">12.3.5 La gradazione della qualità, le bande prudenziali e i confini della voce</w:t>
      </w:r>
    </w:p>
    <w:p>
      <w:pPr>
        <w:pStyle w:val="FirstParagraph"/>
      </w:pPr>
      <w:r>
        <w:t xml:space="preserve">La valutazione dell’equità di accesso è graduata, secondo i criteri GRADE, a un livello moderato, che riflette la solidità della duplice valenza della leva digitale e l’incertezza del suo impiego. La duplice valenza della leva digitale — fattore che può ampliare l’accesso e fattore che può restringerlo — è solida, perché fondata sulla natura degli strumenti digitali, che presuppongono requisiti diseguamente distribuiti, e sulla documentata sovrapposizione del divario digitale ai divari territoriali e sociali. Il principio della complementarità, che governa l’impiego della leva digitale per l’equità di accesso, è anch’esso solido, perché deriva dalla posizione subordinata che la leva digitale occupa nella riforma. L’incertezza attiene all’impiego effettivo della leva digitale, che dipende dal rispetto del principio della complementarità e dall’attuazione della governance per l’equità, non interamente governabili. La gradazione moderata riflette questa duplice natura: solida nella valenza della leva digitale e nel principio della complementarità, incerta nell’impiego effettivo. Essa avverte che l’ampliamento dell’accesso senza esclusione non è un esito garantito della leva digitale, ma un esito condizionato dal rispetto del principio della complementarità, e che la valutazione dell’equità di accesso è perciò una valutazione condizionale, che afferma la possibilità dell’ampliamento dell’accesso senza esclusione a determinate condizioni.</w:t>
      </w:r>
      <w:r>
        <w:rPr>
          <w:rStyle w:val="FootnoteReference"/>
        </w:rPr>
        <w:footnoteReference w:id="351"/>
      </w:r>
    </w:p>
    <w:p>
      <w:pPr>
        <w:pStyle w:val="BodyText"/>
      </w:pPr>
      <w:r>
        <w:t xml:space="preserve">La valutazione dell’equità di accesso è formulata in bande prudenziali, che esprimono la gamma degli effetti possibili della leva digitale sull’accesso. La banda inferiore corrisponde all’ipotesi sfavorevole, in cui la leva digitale sia impiegata come sostituto dell’accesso in presenza e i soggetti digitalmente esclusi siano esclusi dal servizio, con accentuazione dei divari; la banda centrale corrisponde all’ipotesi intermedia, in cui la leva digitale sia impiegata in modo non interamente conforme al principio della complementarità, con un ampliamento dell’accesso accompagnato da una parziale esclusione; la banda superiore corrisponde all’ipotesi favorevole, in cui la leva digitale sia impiegata come complemento dell’accesso in presenza e l’accesso sia ampliato senza esclusione. La banda esprime una gamma di esiti, ciascuno condizionato da un’ipotesi sull’impiego della leva digitale. La soglia di confutazione della valutazione è collocata nell’ipotesi che la leva digitale escluda i soggetti digitalmente esclusi: ove si osservasse, a riforma attuata, che l’accesso al servizio è stato precluso ai soggetti privi degli strumenti o delle competenze digitali, la valutazione favorevole dell’equità di accesso sarebbe smentita, e la leva digitale si rivelerebbe un fattore di esclusione. Il metodo di verifica è il monitoraggio dell’accessibilità del servizio attraverso il canale in presenza e dell’impiego della leva digitale, affidato alla quindicesima parte, che rileverà se il servizio sia stato accessibile indipendentemente dalla condizione digitale e se la leva digitale sia stata impiegata come complemento.</w:t>
      </w:r>
    </w:p>
    <w:p>
      <w:pPr>
        <w:pStyle w:val="BodyText"/>
      </w:pPr>
      <w:r>
        <w:t xml:space="preserve">I confini della voce ne delimitano la portata e ne rimettono taluni aspetti alle altre parti. La voce valuta l’equità di accesso della riforma, con specifica attenzione alla leva digitale, e non l’equità territoriale né l’equità tra le popolazioni, esaminate nelle voci precedenti; essa considera la possibilità di accesso al servizio in rapporto alla leva digitale, e non la distribuzione del valore tra le aree e i gruppi, già esaminata. La voce descrive il divario digitale in Puglia con una rappresentazione fondata sui dati sul divario digitale in Italia, e non con una quantificazione specifica della sua entità nella regione, che eccederebbe il suo oggetto; le dimensioni del divario che essa indica sono descritte nella loro sovrapposizione ai divari preesistenti, e non misurate quantitativamente. La voce assume la posizione subordinata della leva digitale stabilita dalla quarta parte, e ne trae il principio della complementarità, ma non determina le misure attuative della governance per l’equità — l’accessibilità attraverso il canale in presenza, la commisurazione dell’impiego digitale, il sostegno all’alfabetizzazione — rimettendone la determinazione alla quattordicesima parte; essa indica il monitoraggio dell’accessibilità e dell’impiego della leva digitale come metodo di verifica, ma non lo conduce, rimettendolo alla quindicesima parte. Entro questi confini, la voce stabilisce che la leva digitale può ampliare l’accesso senza escludere i soggetti digitalmente esclusi, ove sia impiegata come complemento dell’accesso in presenza secondo il principio della complementarità, e che l’equità di accesso è perciò una proprietà condizionata, la cui realizzazione dipende dal rispetto di tale principio e la cui verifica è affidata al monitoraggio.</w:t>
      </w:r>
    </w:p>
    <w:bookmarkEnd w:id="830"/>
    <w:bookmarkEnd w:id="831"/>
    <w:bookmarkStart w:id="841" w:name="X04db946d3fa9c35a19a86989fed8572f47cf0b2"/>
    <w:p>
      <w:pPr>
        <w:pStyle w:val="Heading2"/>
      </w:pPr>
      <w:r>
        <w:t xml:space="preserve">12.4 L’impatto distributivo complessivo della riforma</w:t>
      </w:r>
    </w:p>
    <w:p>
      <w:pPr>
        <w:pStyle w:val="FirstParagraph"/>
      </w:pPr>
      <w:r>
        <w:rPr>
          <w:i/>
          <w:iCs/>
        </w:rPr>
        <w:t xml:space="preserve">La quarta voce ricompone le tre dimensioni dell’equità esaminate nelle voci precedenti, e ne trae l’impatto distributivo complessivo della riforma. Essa espone la logica dell’impatto distributivo complessivo, compone le tre dimensioni dell’equità in una valutazione d’insieme, individua le condizioni dell’impatto distributivo favorevole, formula l’impatto distributivo come previsione falsificabile e ne trae le raccomandazioni per l’equità, e gradua infine la qualità della valutazione, ne dichiara le bande, ne traccia i confini e ne dispone il raccordo con le parti successive.</w:t>
      </w:r>
    </w:p>
    <w:bookmarkStart w:id="833" w:name="Xa88c385fc3c38ee4074a3ecc4d9838b7b6f6f7e"/>
    <w:p>
      <w:pPr>
        <w:pStyle w:val="Heading2"/>
      </w:pPr>
      <w:r>
        <w:t xml:space="preserve">12.4.1 La logica dell’impatto distributivo complessivo</w:t>
      </w:r>
    </w:p>
    <w:p>
      <w:pPr>
        <w:pStyle w:val="FirstParagraph"/>
      </w:pPr>
      <w:r>
        <w:t xml:space="preserve">L’impatto distributivo complessivo è la valutazione d’insieme della distribuzione del valore della riforma, che ricompone le tre dimensioni dell’equità esaminate partitamente nelle voci precedenti. Le tre dimensioni — l’equità territoriale, l’equità tra le popolazioni e l’equità di accesso — colgono ciascuna un aspetto della distribuzione del valore, ma non lo esauriscono singolarmente: la distribuzione del valore tra i soggetti dipende congiuntamente dalla distribuzione tra le aree, dalla distribuzione tra i gruppi e dalla possibilità di accesso, e nessuna delle tre dimensioni, presa isolatamente, ne dà una valutazione completa. L’impatto distributivo complessivo ricompone le tre dimensioni, e ne trae la valutazione d’insieme della distribuzione del valore: esso domanda se la riforma, considerate congiuntamente le tre dimensioni, riduca o accentui le diseguaglianze tra i soggetti. La logica dell’impatto distributivo complessivo muove dal riconoscimento che le tre dimensioni dell’equità sono connesse, e che la valutazione d’insieme non è la semplice somma delle valutazioni parziali, ma la loro composizione, che tiene conto delle connessioni tra le dimensioni. La connessione tra le dimensioni è essenziale per la valutazione complessiva: i divari territoriali, le diseguaglianze tra le popolazioni e le barriere di accesso si sovrappongono, sì che i soggetti svantaggiati sotto una dimensione sono spesso svantaggiati anche sotto le altre, e che le condizioni che riducono le diseguaglianze sotto una dimensione contribuiscono a ridurle anche sotto le altre. L’impatto distributivo complessivo è dunque la valutazione che compone le tre dimensioni tenendo conto delle loro connessioni, e che ne trae il giudizio d’insieme sulla distribuzione del valore della riforma.</w:t>
      </w:r>
      <w:r>
        <w:rPr>
          <w:rStyle w:val="FootnoteReference"/>
        </w:rPr>
        <w:footnoteReference w:id="352"/>
      </w:r>
    </w:p>
    <w:p>
      <w:pPr>
        <w:pStyle w:val="BodyText"/>
      </w:pPr>
      <w:r>
        <w:t xml:space="preserve">La logica dell’impatto distributivo complessivo riflette la struttura distributiva della riforma, in cui le tre dimensioni dell’equità convergono sui medesimi soggetti. La sovrapposizione dei divari, esaminata nelle voci precedenti, fa sì che i soggetti svantaggiati sotto le tre dimensioni siano in larga parte i medesimi: i residenti nelle aree interne, svantaggiati sotto la dimensione territoriale, sono spesso anche anziani e socio-economicamente svantaggiati, e perciò svantaggiati sotto la dimensione delle popolazioni, e digitalmente esclusi, e perciò svantaggiati sotto la dimensione dell’accesso. Questa convergenza delle tre dimensioni sui medesimi soggetti implica che la riforma incide sulla loro condizione attraverso tutte e tre le dimensioni, e che il suo impatto distributivo complessivo dipende dalla capacità di raggiungere questi soggetti sotto tutte e tre le dimensioni. Essa implica, inoltre, che le condizioni che governano le tre dimensioni si rinforzano a vicenda: la distribuzione proporzionale al bisogno, che porta il primo livello nelle aree interne, raggiunge i soggetti socio-economicamente svantaggiati che vi risiedono, contribuendo all’equità tra le popolazioni; l’orientamento attivo ai gruppi svantaggiati, che ne intercetta il bisogno, raggiunge i soggetti residenti nelle aree interne, contribuendo all’equità territoriale; il principio della complementarità, che preserva l’accesso in presenza, garantisce che i soggetti raggiunti sotto le altre dimensioni non siano esclusi dal canale digitale. La logica dell’impatto distributivo complessivo riflette dunque questa convergenza e questo rinforzo reciproco, e ne trae la valutazione d’insieme della distribuzione del valore, che considera le tre dimensioni nella loro connessione.</w:t>
      </w:r>
    </w:p>
    <w:bookmarkEnd w:id="833"/>
    <w:bookmarkStart w:id="834" w:name="X6753c7b86fb75f67b0d458669e65e5fa2bfc024"/>
    <w:p>
      <w:pPr>
        <w:pStyle w:val="Heading2"/>
      </w:pPr>
      <w:r>
        <w:t xml:space="preserve">12.4.2 La composizione delle tre dimensioni dell’equità</w:t>
      </w:r>
    </w:p>
    <w:p>
      <w:pPr>
        <w:pStyle w:val="FirstParagraph"/>
      </w:pPr>
      <w:r>
        <w:t xml:space="preserve">La composizione delle tre dimensioni dell’equità in una valutazione d’insieme muove dal riepilogo dell’effetto potenziale della riforma sotto ciascuna dimensione e delle condizioni del suo effetto favorevole. Ciascuna delle tre voci precedenti ha stabilito che la riforma ha, sotto la dimensione corrispondente, un effetto potenziale favorevole — la riduzione dei divari territoriali, la riduzione della diseguaglianza tra le popolazioni, l’ampliamento dell’accesso — condizionato a una condizione del suo verificarsi — la distribuzione proporzionale al bisogno, l’orientamento attivo ai gruppi svantaggiati, il principio della complementarità — e ha individuato il rischio dell’effetto sfavorevole, ove la condizione non si verifichi. La tabella che segue riepiloga, per ciascuna delle tre dimensioni, l’effetto potenziale favorevole, la condizione del suo verificarsi e il rischio dell’effetto sfavorevole, ricomponendo le valutazioni parziali in un quadro d’insieme.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dell’equità</w:t>
            </w:r>
          </w:p>
        </w:tc>
        <w:tc>
          <w:tcPr>
            <w:shd w:val="clear" w:color="auto" w:fill="16264B"/>
          </w:tcPr>
          <w:p>
            <w:pPr>
              <w:pStyle w:val="Compact"/>
              <w:spacing w:after="40" w:before="40"/>
              <w:jc w:val="left"/>
            </w:pPr>
            <w:r>
              <w:rPr>
                <w:rFonts w:ascii="Cambria" w:hAnsi="Cambria" w:cs="Cambria" w:eastAsia="Cambria"/>
                <w:b/>
                <w:bCs/>
                <w:color w:val="FFFFFF"/>
                <w:sz w:val="18"/>
              </w:rPr>
              <w:t xml:space="preserve">Effetto potenziale favorevole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dell’effetto favorevole</w:t>
            </w:r>
          </w:p>
        </w:tc>
        <w:tc>
          <w:tcPr>
            <w:shd w:val="clear" w:color="auto" w:fill="16264B"/>
          </w:tcPr>
          <w:p>
            <w:pPr>
              <w:pStyle w:val="Compact"/>
              <w:spacing w:after="40" w:before="40"/>
              <w:jc w:val="left"/>
            </w:pPr>
            <w:r>
              <w:rPr>
                <w:rFonts w:ascii="Cambria" w:hAnsi="Cambria" w:cs="Cambria" w:eastAsia="Cambria"/>
                <w:b/>
                <w:bCs/>
                <w:color w:val="FFFFFF"/>
                <w:sz w:val="18"/>
              </w:rPr>
              <w:t xml:space="preserve">Rischio dell’effetto sfavorevole</w:t>
            </w:r>
          </w:p>
        </w:tc>
      </w:tr>
      <w:tr>
        <w:tc>
          <w:tcPr/>
          <w:p>
            <w:pPr>
              <w:pStyle w:val="Compact"/>
              <w:spacing w:after="40" w:before="40"/>
              <w:jc w:val="left"/>
            </w:pPr>
            <w:r>
              <w:rPr>
                <w:rFonts w:ascii="Cambria" w:hAnsi="Cambria" w:cs="Cambria" w:eastAsia="Cambria"/>
                <w:color w:val="1A1A1A"/>
                <w:sz w:val="18"/>
              </w:rPr>
              <w:t xml:space="preserve">Equità territoriale</w:t>
            </w:r>
          </w:p>
        </w:tc>
        <w:tc>
          <w:tcPr/>
          <w:p>
            <w:pPr>
              <w:pStyle w:val="Compact"/>
              <w:spacing w:after="40" w:before="40"/>
              <w:jc w:val="left"/>
            </w:pPr>
            <w:r>
              <w:rPr>
                <w:rFonts w:ascii="Cambria" w:hAnsi="Cambria" w:cs="Cambria" w:eastAsia="Cambria"/>
                <w:color w:val="1A1A1A"/>
                <w:sz w:val="18"/>
              </w:rPr>
              <w:t xml:space="preserve">Riduzione dei divari tra le aree (primo livello nelle aree interne)</w:t>
            </w:r>
          </w:p>
        </w:tc>
        <w:tc>
          <w:tcPr/>
          <w:p>
            <w:pPr>
              <w:pStyle w:val="Compact"/>
              <w:spacing w:after="40" w:before="40"/>
              <w:jc w:val="left"/>
            </w:pPr>
            <w:r>
              <w:rPr>
                <w:rFonts w:ascii="Cambria" w:hAnsi="Cambria" w:cs="Cambria" w:eastAsia="Cambria"/>
                <w:color w:val="1A1A1A"/>
                <w:sz w:val="18"/>
              </w:rPr>
              <w:t xml:space="preserve">Distribuzione proporzionale al bisogno; contrasto alla concentrazione urbana</w:t>
            </w:r>
          </w:p>
        </w:tc>
        <w:tc>
          <w:tcPr/>
          <w:p>
            <w:pPr>
              <w:pStyle w:val="Compact"/>
              <w:spacing w:after="40" w:before="40"/>
              <w:jc w:val="left"/>
            </w:pPr>
            <w:r>
              <w:rPr>
                <w:rFonts w:ascii="Cambria" w:hAnsi="Cambria" w:cs="Cambria" w:eastAsia="Cambria"/>
                <w:color w:val="1A1A1A"/>
                <w:sz w:val="18"/>
              </w:rPr>
              <w:t xml:space="preserve">Concentrazione nelle aree urbane; aree interne scoperte</w:t>
            </w:r>
          </w:p>
        </w:tc>
      </w:tr>
      <w:tr>
        <w:tc>
          <w:tcPr>
            <w:shd w:val="clear" w:color="auto" w:fill="F4F1EC"/>
          </w:tcPr>
          <w:p>
            <w:pPr>
              <w:pStyle w:val="Compact"/>
              <w:spacing w:after="40" w:before="40"/>
              <w:jc w:val="left"/>
            </w:pPr>
            <w:r>
              <w:rPr>
                <w:rFonts w:ascii="Cambria" w:hAnsi="Cambria" w:cs="Cambria" w:eastAsia="Cambria"/>
                <w:color w:val="1A1A1A"/>
                <w:sz w:val="18"/>
              </w:rPr>
              <w:t xml:space="preserve">Equità tra le popolazioni</w:t>
            </w:r>
          </w:p>
        </w:tc>
        <w:tc>
          <w:tcPr>
            <w:shd w:val="clear" w:color="auto" w:fill="F4F1EC"/>
          </w:tcPr>
          <w:p>
            <w:pPr>
              <w:pStyle w:val="Compact"/>
              <w:spacing w:after="40" w:before="40"/>
              <w:jc w:val="left"/>
            </w:pPr>
            <w:r>
              <w:rPr>
                <w:rFonts w:ascii="Cambria" w:hAnsi="Cambria" w:cs="Cambria" w:eastAsia="Cambria"/>
                <w:color w:val="1A1A1A"/>
                <w:sz w:val="18"/>
              </w:rPr>
              <w:t xml:space="preserve">Riduzione della diseguaglianza sociale (accesso dei gruppi svantaggiati)</w:t>
            </w:r>
          </w:p>
        </w:tc>
        <w:tc>
          <w:tcPr>
            <w:shd w:val="clear" w:color="auto" w:fill="F4F1EC"/>
          </w:tcPr>
          <w:p>
            <w:pPr>
              <w:pStyle w:val="Compact"/>
              <w:spacing w:after="40" w:before="40"/>
              <w:jc w:val="left"/>
            </w:pPr>
            <w:r>
              <w:rPr>
                <w:rFonts w:ascii="Cambria" w:hAnsi="Cambria" w:cs="Cambria" w:eastAsia="Cambria"/>
                <w:color w:val="1A1A1A"/>
                <w:sz w:val="18"/>
              </w:rPr>
              <w:t xml:space="preserve">Orientamento attivo ai gruppi svantaggiati</w:t>
            </w:r>
          </w:p>
        </w:tc>
        <w:tc>
          <w:tcPr>
            <w:shd w:val="clear" w:color="auto" w:fill="F4F1EC"/>
          </w:tcPr>
          <w:p>
            <w:pPr>
              <w:pStyle w:val="Compact"/>
              <w:spacing w:after="40" w:before="40"/>
              <w:jc w:val="left"/>
            </w:pPr>
            <w:r>
              <w:rPr>
                <w:rFonts w:ascii="Cambria" w:hAnsi="Cambria" w:cs="Cambria" w:eastAsia="Cambria"/>
                <w:color w:val="1A1A1A"/>
                <w:sz w:val="18"/>
              </w:rPr>
              <w:t xml:space="preserve">Fruizione prevalente dei gruppi avvantaggiati</w:t>
            </w:r>
          </w:p>
        </w:tc>
      </w:tr>
      <w:tr>
        <w:tc>
          <w:tcPr/>
          <w:p>
            <w:pPr>
              <w:pStyle w:val="Compact"/>
              <w:spacing w:after="40" w:before="40"/>
              <w:jc w:val="left"/>
            </w:pPr>
            <w:r>
              <w:rPr>
                <w:rFonts w:ascii="Cambria" w:hAnsi="Cambria" w:cs="Cambria" w:eastAsia="Cambria"/>
                <w:color w:val="1A1A1A"/>
                <w:sz w:val="18"/>
              </w:rPr>
              <w:t xml:space="preserve">Equità di accesso</w:t>
            </w:r>
          </w:p>
        </w:tc>
        <w:tc>
          <w:tcPr/>
          <w:p>
            <w:pPr>
              <w:pStyle w:val="Compact"/>
              <w:spacing w:after="40" w:before="40"/>
              <w:jc w:val="left"/>
            </w:pPr>
            <w:r>
              <w:rPr>
                <w:rFonts w:ascii="Cambria" w:hAnsi="Cambria" w:cs="Cambria" w:eastAsia="Cambria"/>
                <w:color w:val="1A1A1A"/>
                <w:sz w:val="18"/>
              </w:rPr>
              <w:t xml:space="preserve">Ampliamento dell’accesso (la leva digitale estende la portata)</w:t>
            </w:r>
          </w:p>
        </w:tc>
        <w:tc>
          <w:tcPr/>
          <w:p>
            <w:pPr>
              <w:pStyle w:val="Compact"/>
              <w:spacing w:after="40" w:before="40"/>
              <w:jc w:val="left"/>
            </w:pPr>
            <w:r>
              <w:rPr>
                <w:rFonts w:ascii="Cambria" w:hAnsi="Cambria" w:cs="Cambria" w:eastAsia="Cambria"/>
                <w:color w:val="1A1A1A"/>
                <w:sz w:val="18"/>
              </w:rPr>
              <w:t xml:space="preserve">Leva digitale come complemento, non sostituto; governance per l’equità</w:t>
            </w:r>
          </w:p>
        </w:tc>
        <w:tc>
          <w:tcPr/>
          <w:p>
            <w:pPr>
              <w:pStyle w:val="Compact"/>
              <w:spacing w:after="40" w:before="40"/>
              <w:jc w:val="left"/>
            </w:pPr>
            <w:r>
              <w:rPr>
                <w:rFonts w:ascii="Cambria" w:hAnsi="Cambria" w:cs="Cambria" w:eastAsia="Cambria"/>
                <w:color w:val="1A1A1A"/>
                <w:sz w:val="18"/>
              </w:rPr>
              <w:t xml:space="preserve">Divario digitale; esclusione dei soggetti digitalmente esclusi</w:t>
            </w:r>
          </w:p>
        </w:tc>
      </w:tr>
    </w:tbl>
    <w:p>
      <w:pPr>
        <w:pStyle w:val="BodyText"/>
      </w:pPr>
      <w:r>
        <w:rPr>
          <w:i/>
          <w:iCs/>
        </w:rPr>
        <w:t xml:space="preserve">Tabella 12.4 — La composizione delle tre dimensioni dell’equità: per ciascuna dimensione, l’effetto potenziale favorevole della riforma, la condizione del suo verificarsi e il rischio dell’effetto sfavorevole. Le tre dimensioni convergono sui medesimi soggetti svantaggiati, e le tre condizioni si rinforzano a vicenda; l’impatto distributivo complessivo favorevole richiede il concorso delle tre condizioni.</w:t>
      </w:r>
    </w:p>
    <w:p>
      <w:pPr>
        <w:pStyle w:val="BodyText"/>
      </w:pPr>
      <w:r>
        <w:t xml:space="preserve">La composizione delle tre dimensioni mostra che l’impatto distributivo complessivo favorevole richiede il concorso delle tre condizioni, e che il difetto di una di esse compromette l’impatto complessivo. Le tre dimensioni dell’equità non sono indipendenti, ma convergono sui medesimi soggetti svantaggiati, e le tre condizioni del loro effetto favorevole si rinforzano a vicenda; ma proprio per questa convergenza, il difetto di una delle condizioni compromette l’impatto distributivo complessivo, perché lascia i soggetti svantaggiati esclusi sotto la dimensione corrispondente, ancorché raggiunti sotto le altre. Ove difettasse la distribuzione proporzionale al bisogno, e la riforma si concentrasse nelle aree urbane, i soggetti residenti nelle aree interne sarebbero esclusi, ancorché la riforma fosse orientata ai gruppi svantaggiati e rispettasse il principio della complementarità; perché i soggetti residenti nelle aree interne non potrebbero accedere al servizio, assente nel loro territorio. Ove difettasse l’orientamento attivo ai gruppi svantaggiati, e la riforma fosse fruita prevalentemente dai gruppi avvantaggiati, i soggetti socio-economicamente svantaggiati sarebbero esclusi, ancorché la riforma fosse distribuita proporzionalmente al bisogno e rispettasse il principio della complementarità; perché i soggetti svantaggiati non esprimerebbero la domanda, pur in presenza del servizio. Ove difettasse il principio della complementarità, e la leva digitale sostituisse l’accesso in presenza, i soggetti digitalmente esclusi sarebbero esclusi, ancorché la riforma fosse distribuita proporzionalmente al bisogno e orientata ai gruppi svantaggiati; perché i soggetti digitalmente esclusi non potrebbero fruire del canale digitale. La composizione delle tre dimensioni mostra dunque che l’impatto distributivo complessivo favorevole richiede il concorso delle tre condizioni, e che esse sono congiuntamente necessarie: ciascuna è necessaria perché i soggetti svantaggiati non siano esclusi sotto la dimensione corrispondente, e il difetto di una compromette l’impatto complessivo, lasciando i soggetti svantaggiati esclusi sotto quella dimensione.</w:t>
      </w:r>
    </w:p>
    <w:bookmarkEnd w:id="834"/>
    <w:bookmarkStart w:id="836" w:name="Xa61a5468881f1a483916bb31e2478385d71c8d5"/>
    <w:p>
      <w:pPr>
        <w:pStyle w:val="Heading2"/>
      </w:pPr>
      <w:r>
        <w:t xml:space="preserve">12.4.3 Le condizioni dell’impatto distributivo favorevole</w:t>
      </w:r>
    </w:p>
    <w:p>
      <w:pPr>
        <w:pStyle w:val="FirstParagraph"/>
      </w:pPr>
      <w:r>
        <w:t xml:space="preserve">Le condizioni dell’impatto distributivo favorevole sono dunque tre, congiuntamente necessarie, e attengono alla distribuzione, all’orientamento e alla modalità di accesso della riforma. La prima condizione è la distribuzione proporzionale al bisogno, che governa la dimensione territoriale: essa richiede che la distribuzione del contingente tra le aree sia governata da un criterio proporzionale al bisogno, e non alla sola popolazione né alla dotazione preesistente, e che il rischio di concentrazione urbana sia contrastato da misure attuative, sì che il primo livello psicologico raggiunga le aree interne. La seconda condizione è l’orientamento attivo ai gruppi svantaggiati, che governa la dimensione delle popolazioni: essa richiede che la riforma sia orientata a raggiungere attivamente i gruppi svantaggiati, intercettandone il bisogno nei contesti che li servono e sollecitandone l’accesso, e non meramente a rendersi disponibile, sì che l’accesso al primo livello sia fruito dai gruppi nei quali il bisogno eccede l’accesso. La terza condizione è il principio della complementarità, che governa la dimensione dell’accesso: essa richiede che la leva digitale sia impiegata come complemento dell’accesso in presenza, e non come suo sostituto, e che la governance per l’equità ne disciplini l’impiego, sì che i soggetti digitalmente esclusi non siano esclusi dal servizio. Le tre condizioni, congiuntamente necessarie, definiscono i requisiti dell’impatto distributivo favorevole: ove esse concorrano, la riforma riduce le diseguaglianze sotto tutte e tre le dimensioni, raggiungendo i soggetti svantaggiati che convergono sotto di esse; ove una difetti, la riforma lascia i soggetti svantaggiati esclusi sotto la dimensione corrispondente, e l’impatto complessivo è compromesso.</w:t>
      </w:r>
      <w:r>
        <w:rPr>
          <w:rStyle w:val="FootnoteReference"/>
        </w:rPr>
        <w:footnoteReference w:id="353"/>
      </w:r>
    </w:p>
    <w:p>
      <w:pPr>
        <w:pStyle w:val="BodyText"/>
      </w:pPr>
      <w:r>
        <w:t xml:space="preserve">Le tre condizioni dell’impatto distributivo favorevole non sono indipendenti, ma si rinforzano a vicenda, sì che il loro concorso produce un effetto superiore alla somma dei singoli effetti. La convergenza delle tre dimensioni sui medesimi soggetti svantaggiati implica che le tre condizioni, ove concorrano, agiscono congiuntamente sui medesimi soggetti, rinforzandosi a vicenda. La distribuzione proporzionale al bisogno, che porta il primo livello nelle aree interne, crea la condizione perché l’orientamento attivo ai gruppi svantaggiati possa raggiungere i soggetti socio-economicamente svantaggiati che vi risiedono: senza il presidio nelle aree interne, l’orientamento attivo non avrebbe il mezzo per raggiungere tali soggetti. L’orientamento attivo ai gruppi svantaggiati, che ne intercetta il bisogno, crea la condizione perché il presidio nelle aree interne sia effettivamente fruito: senza l’orientamento attivo, il presidio nelle aree interne potrebbe restare sotto-utilizzato dai soggetti svantaggiati che non esprimono la domanda. Il principio della complementarità, che preserva l’accesso in presenza, crea la condizione perché i soggetti raggiunti sotto le altre dimensioni non siano esclusi dal canale digitale: senza il principio della complementarità, i soggetti raggiunti nelle aree interne e tra i gruppi svantaggiati, spesso digitalmente esclusi, sarebbero esclusi dal canale digitale. Le tre condizioni si rinforzano dunque a vicenda, e il loro concorso produce un effetto superiore alla somma dei singoli effetti, perché ciascuna crea la condizione perché le altre possano agire sui medesimi soggetti. Questo rinforzo reciproco è la ragione per cui l’impatto distributivo favorevole richiede il concorso delle tre condizioni, e per cui esse vanno perseguite congiuntamente, come un insieme coerente di requisiti, e non come misure isolate.</w:t>
      </w:r>
    </w:p>
    <w:bookmarkEnd w:id="836"/>
    <w:bookmarkStart w:id="838" w:name="Xa159afc034b7035064da281614e98334d303bc5"/>
    <w:p>
      <w:pPr>
        <w:pStyle w:val="Heading2"/>
      </w:pPr>
      <w:r>
        <w:t xml:space="preserve">12.4.4 L’impatto distributivo come previsione falsificabile e le raccomandazioni per l’equità</w:t>
      </w:r>
    </w:p>
    <w:p>
      <w:pPr>
        <w:pStyle w:val="FirstParagraph"/>
      </w:pPr>
      <w:r>
        <w:t xml:space="preserve">L’impatto distributivo complessivo della riforma è formulato come previsione falsificabile, in coerenza con la forma che l’undicesima parte ha dato alle previsioni dello studio. La previsione non afferma incondizionatamente che la riforma ridurrà le diseguaglianze, ma afferma che la riforma ridurrà le diseguaglianze sotto le tre dimensioni dell’equità ove concorrano le tre condizioni dell’impatto distributivo favorevole — la distribuzione proporzionale al bisogno, l’orientamento attivo ai gruppi svantaggiati e il principio della complementarità — e che essa, ove una delle condizioni difetti, lascerà i soggetti svantaggiati esclusi sotto la dimensione corrispondente. La previsione è dunque condizionale, e la sua forma falsificabile risiede nella specificazione delle condizioni e nella loro verificabilità: essa indica le condizioni al verificarsi delle quali la riforma riduce le diseguaglianze, e queste condizioni sono osservabili a riforma attuata, sì che la previsione sia controllabile. La soglia di confutazione della previsione è collocata nell’ipotesi che la riforma accentui le diseguaglianze sotto una o più dimensioni: ove si osservasse, a riforma attuata, che la riforma si è concentrata nelle aree urbane, o è stata fruita prevalentemente dai gruppi avvantaggiati, o ha escluso i soggetti digitalmente esclusi, la previsione favorevole sarebbe smentita, e la riforma si rivelerebbe, sotto la dimensione corrispondente, iniqua. Il metodo di verifica è il monitoraggio della distribuzione effettiva del valore della riforma sotto le tre dimensioni, affidato alla quindicesima parte, che rileverà la distribuzione territoriale degli psicologi, la composizione socio-economica e demografica della popolazione servita e l’accessibilità del servizio attraverso il canale in presenza, e dichiarerà se le tre condizioni si siano verificate e se la riforma abbia ridotto le diseguaglianze.</w:t>
      </w:r>
      <w:r>
        <w:rPr>
          <w:rStyle w:val="FootnoteReference"/>
        </w:rPr>
        <w:footnoteReference w:id="354"/>
      </w:r>
    </w:p>
    <w:p>
      <w:pPr>
        <w:pStyle w:val="BodyText"/>
      </w:pPr>
      <w:r>
        <w:t xml:space="preserve">Dalla previsione falsificabile dell’impatto distributivo discendono le raccomandazioni per l’equità, che traducono le tre condizioni in indirizzi per l’attuazione e per il monitoraggio. La prima raccomandazione attiene alla distribuzione del contingente: essa raccomanda che la distribuzione degli psicologi tra le aree sia governata da un criterio proporzionale al bisogno, corretto per la struttura demografica, lo svantaggio socio-economico e la dotazione preesistente, e che il rischio di concentrazione urbana sia contrastato da misure attuative — gli incentivi alla collocazione nelle aree interne, l’ancoraggio territoriale, il sostegno all’esercizio nelle aree rade — sì che il primo livello psicologico raggiunga le aree interne. La seconda raccomandazione attiene all’orientamento della riforma: essa raccomanda che la riforma sia orientata a raggiungere attivamente i gruppi svantaggiati, intercettandone il bisogno nei contesti che li servono — la medicina generale, i servizi sociali, i contesti scolastici, i contesti domiciliari — e sollecitandone l’accesso, con attenzione ai gruppi di particolare attenzione individuati. La terza raccomandazione attiene alla leva digitale: essa raccomanda che la leva digitale sia impiegata come complemento dell’accesso in presenza, e non come suo sostituto, e che la governance per l’equità ne disciplini l’impiego — garantendo l’accessibilità attraverso il canale in presenza, commisurando l’impiego digitale alla condizione del soggetto, sostenendo l’alfabetizzazione digitale — sì che i soggetti digitalmente esclusi non siano esclusi. La quarta raccomandazione attiene al monitoraggio: essa raccomanda che il sistema di monitoraggio rilevi la distribuzione effettiva del valore della riforma sotto le tre dimensioni, sì da verificare se le tre condizioni si siano verificate e se la riforma abbia ridotto le diseguaglianze, e da consentire la correzione ove la distribuzione si discosti da quella favorevole all’equità. Le quattro raccomandazioni traducono la previsione falsificabile in indirizzi operativi, la cui attuazione è rimessa alla quattordicesima parte e il cui monitoraggio alla quindicesima.</w:t>
      </w:r>
    </w:p>
    <w:bookmarkEnd w:id="838"/>
    <w:bookmarkStart w:id="840" w:name="X852d83b4f73ba5aefc07f7bc092162f49661f3f"/>
    <w:p>
      <w:pPr>
        <w:pStyle w:val="Heading2"/>
      </w:pPr>
      <w:r>
        <w:t xml:space="preserve">12.4.5 La gradazione della qualità, le bande prudenziali, i confini e il raccordo</w:t>
      </w:r>
    </w:p>
    <w:p>
      <w:pPr>
        <w:pStyle w:val="FirstParagraph"/>
      </w:pPr>
      <w:r>
        <w:t xml:space="preserve">La valutazione dell’impatto distributivo complessivo è graduata, secondo i criteri GRADE, a un livello moderato, che eredita la gradazione delle tre dimensioni che essa compone. Le tre voci precedenti hanno graduato a un livello moderato la valutazione di ciascuna dimensione dell’equità, riflettendo la solidità dell’evidenza sui divari e sulla potenzialità della riforma e l’incertezza sulla realizzazione delle condizioni; e la valutazione dell’impatto distributivo complessivo, che compone le tre dimensioni, eredita questa gradazione. La gradazione moderata riflette la duplice natura della valutazione complessiva: solida nell’identificazione delle tre dimensioni, delle condizioni del loro effetto favorevole e delle loro connessioni, che derivano da un’analisi consolidata dei divari e della loro sovrapposizione; incerta nella realizzazione delle tre condizioni, che dipende dall’attuazione e non è interamente governabile. Essa avverte che l’impatto distributivo favorevole non è un esito garantito della riforma, ma un esito condizionato dal concorso delle tre condizioni, e che la valutazione dell’impatto distributivo complessivo è perciò una valutazione condizionale, che afferma la possibilità della riduzione delle diseguaglianze a determinate condizioni, congiuntamente necessarie, e non la sua certezza incondizionata.</w:t>
      </w:r>
      <w:r>
        <w:rPr>
          <w:rStyle w:val="FootnoteReference"/>
        </w:rPr>
        <w:footnoteReference w:id="355"/>
      </w:r>
    </w:p>
    <w:p>
      <w:pPr>
        <w:pStyle w:val="BodyText"/>
      </w:pPr>
      <w:r>
        <w:t xml:space="preserve">La valutazione dell’impatto distributivo complessivo è formulata in bande prudenziali, che compongono le bande delle tre dimensioni. La banda inferiore corrisponde all’ipotesi sfavorevole, in cui una o più delle tre condizioni difettino e la riforma accentui le diseguaglianze sotto le dimensioni corrispondenti; la banda centrale corrisponde all’ipotesi intermedia, in cui le tre condizioni si realizzino parzialmente e la riforma riduca le diseguaglianze in misura parziale; la banda superiore corrisponde all’ipotesi favorevole, in cui le tre condizioni concorrano pienamente e la riforma riduca le diseguaglianze sotto tutte e tre le dimensioni. La banda esprime la gamma degli esiti distributivi complessivi, ciascuno condizionato dal grado di realizzazione delle tre condizioni. La soglia di confutazione, già indicata, è collocata nell’ipotesi che la riforma accentui le diseguaglianze sotto una o più dimensioni, e il metodo di verifica è il monitoraggio della distribuzione effettiva sotto le tre dimensioni. I confini della valutazione ne delimitano la portata: essa compone le tre dimensioni dell’equità esaminate nelle voci precedenti, e non introduce dimensioni ulteriori; essa valuta la distribuzione del valore della riforma, e non la sua entità, stabilita dalle parti precedenti; essa formula l’impatto distributivo come previsione falsificabile condizionata, e non come asserzione incondizionata; essa indica le raccomandazioni per l’equità, ma ne rimette l’attuazione alla quattordicesima parte e il monitoraggio alla quindicesima.</w:t>
      </w:r>
    </w:p>
    <w:p>
      <w:pPr>
        <w:pStyle w:val="BodyText"/>
      </w:pPr>
      <w:r>
        <w:t xml:space="preserve">La valutazione dell’impatto distributivo complessivo, che chiude la presente parte, si raccorda con le parti successive dello studio, a cui consegna le raccomandazioni per l’equità e la previsione falsificabile dell’impatto distributivo. Il primo raccordo è con la quattordicesima parte, dedicata all’attuazione, a cui la presente parte consegna le raccomandazioni per l’equità — la distribuzione proporzionale al bisogno e il contrasto alla concentrazione urbana, l’orientamento attivo ai gruppi svantaggiati, il principio della complementarità e la governance per l’equità — perché esse siano tradotte in misure attuative. Le condizioni dell’impatto distributivo favorevole, che la presente parte ha individuato, sono condizioni dell’attuazione, e la loro realizzazione dipende dalle misure che la quattordicesima parte stabilirà; sicché la presente parte fornisce alla quattordicesima i requisiti dell’equità, che essa dovrà tradurre in misure. Il secondo raccordo è con la quindicesima parte, dedicata al monitoraggio, a cui la presente parte consegna la previsione falsificabile dell’impatto distributivo e il metodo della sua verifica. La previsione dell’impatto distributivo è una previsione condizionale e falsificabile, la cui verifica richiede il monitoraggio della distribuzione effettiva sotto le tre dimensioni; sicché la presente parte fornisce alla quindicesima la previsione da verificare e gli indicatori della verifica — la distribuzione territoriale degli psicologi, la composizione della popolazione servita, l’accessibilità attraverso il canale in presenza. Con questi due raccordi — alla quattordicesima parte, che ne attuerà le raccomandazioni, e alla quindicesima, che ne verificherà la previsione — la presente parte si inserisce nel disegno complessivo dello studio, di cui costituisce lo sviluppo distributivo, e consegna alle parti successive le raccomandazioni e la previsione che ne sono il risultato. La rinegoziazione integrale dei costi e dei benefici, che muove dalla valutazione del loro valore complessivo e si svolge nello studio della loro distribuzione, trova così, nella presente parte, la propria dimensione distributiva: non soltanto quanto valore la riforma produca, ma a chi quel valore si distribuisca, e a quali condizioni la sua distribuzione riduca le diseguaglianze tra i soggetti.</w:t>
      </w:r>
    </w:p>
    <w:bookmarkEnd w:id="840"/>
    <w:bookmarkEnd w:id="841"/>
    <w:bookmarkStart w:id="850" w:name="Xceba9c98d664008e175b97f1d16f674c549fd02"/>
    <w:p>
      <w:pPr>
        <w:pStyle w:val="Heading1"/>
      </w:pPr>
      <w:r>
        <w:t xml:space="preserve">Quadro conclusivo economico-sociale e multidisciplinare integrale</w:t>
      </w:r>
    </w:p>
    <w:p>
      <w:pPr>
        <w:pStyle w:val="FirstParagraph"/>
      </w:pPr>
      <w:r>
        <w:rPr>
          <w:i/>
          <w:iCs/>
        </w:rPr>
        <w:t xml:space="preserve">Il quadro conclusivo ricompone i risultati dell’analisi distributiva in una visione d’insieme, e ne trae il significato per la rinegoziazione integrale dei costi e dei benefici. La dodicesima parte ha studiato la distribuzione del valore della riforma tra i territori e tra le popolazioni, valutandone l’equità lungo tre dimensioni — l’equità territoriale, l’equità tra le popolazioni e l’equità di accesso — e ne ha tratto l’impatto distributivo complessivo. Il quadro conclusivo raccoglie questi risultati, ne dichiara il posto nella rinegoziazione integrale, ne mostra la convergenza sulle condizioni dell’impatto distributivo favorevole, ne ribadisce la forma falsificabile e il rispetto della distinzione delle dimensioni, ne illustra il significato multidisciplinare, e ne prepara il raccordo con l’attuazione e con il monitoraggio delle parti successive.</w:t>
      </w:r>
    </w:p>
    <w:bookmarkStart w:id="843" w:name="X167404d159f83c1452d999781805cb3f3121e54"/>
    <w:p>
      <w:pPr>
        <w:pStyle w:val="Heading2"/>
      </w:pPr>
      <w:r>
        <w:t xml:space="preserve">La dimensione distributiva del valore e il suo posto nella rinegoziazione integrale</w:t>
      </w:r>
    </w:p>
    <w:p>
      <w:pPr>
        <w:pStyle w:val="FirstParagraph"/>
      </w:pPr>
      <w:r>
        <w:t xml:space="preserve">Il risultato centrale della dodicesima parte è l’aggiunta della dimensione distributiva alla valutazione del valore della riforma, che le parti precedenti avevano condotto sul piano della sola entità. Le parti precedenti hanno stabilito quanto valore la riforma produce: la decima ne ha stabilito il saldo economico consolidato, l’undicesima ne ha proiettato le grandezze nel tempo e ne ha tratto le previsioni falsificabili. La dodicesima parte ha posto una domanda ulteriore, che le parti precedenti non avevano posto: non quanto valore la riforma produca, ma a chi quel valore si distribuisca, e se la sua distribuzione riduca o accentui le diseguaglianze preesistenti tra le aree della regione e tra i gruppi della popolazione. Questa domanda introduce la dimensione distributiva, distinta dalla dimensione dell’entità: l’entità del valore è la sua grandezza complessiva, la distribuzione è la sua ripartizione tra i soggetti, e le due dimensioni sono autonome, perché un medesimo valore complessivo può distribuirsi in modi diversi, riducendo o accentuando le diseguaglianze. La dodicesima parte ha aggiunto alla valutazione dell’entità la valutazione della distribuzione, e ha così completato la rinegoziazione integrale dei costi e dei benefici con la dimensione che mancava: non soltanto quanto la riforma valga, ma come il suo valore si ripartisca nello spazio sociale.</w:t>
      </w:r>
      <w:r>
        <w:rPr>
          <w:rStyle w:val="FootnoteReference"/>
        </w:rPr>
        <w:footnoteReference w:id="356"/>
      </w:r>
    </w:p>
    <w:p>
      <w:pPr>
        <w:pStyle w:val="BodyText"/>
      </w:pPr>
      <w:r>
        <w:t xml:space="preserve">La dimensione distributiva occupa, nella rinegoziazione integrale, un posto autonomo e necessario, che ne completa il disegno senza sovrapporsi alle dimensioni precedenti. La rinegoziazione integrale dei costi e dei benefici, che attraversa l’intero studio, si è svolta nelle parti precedenti lungo le dimensioni dell’entità — la quantificazione dei costi diretti e indiretti, la quantificazione dei risparmi e dei benefici, la composizione del saldo, la sua proiezione e la sua prova di robustezza. La dimensione distributiva non rifà questa quantificazione, ma vi aggiunge la domanda sulla ripartizione, che essa presuppone: l’analisi distributiva muove dal valore già quantificato, e ne studia la distribuzione, senza accrescerlo né diminuirlo. Il posto della dimensione distributiva nella rinegoziazione integrale è perciò quello di un completamento: essa non compete con le dimensioni dell’entità, ma le presuppone e vi aggiunge la dimensione che esse non comprendevano. La rinegoziazione integrale, senza la dimensione distributiva, avrebbe stabilito quanto la riforma valga, ma non come il suo valore si ripartisca, e sarebbe rimasta perciò incompleta, perché una riforma del primo livello psicologico, destinata a tutta la popolazione, è chiamata a essere non soltanto efficiente ma anche equa, sì da ridurre, e non accentuare, le diseguaglianze nell’accesso alla cura del disagio comune. La dodicesima parte ha colmato questa incompletezza, aggiungendo alla rinegoziazione la dimensione distributiva, e ha così reso integrale, anche sotto il profilo della giustizia distributiva, la valutazione del valore della riforma.</w:t>
      </w:r>
    </w:p>
    <w:bookmarkEnd w:id="843"/>
    <w:bookmarkStart w:id="845" w:name="X4e95228240515bff8ba0d7a2d48c997f8638116"/>
    <w:p>
      <w:pPr>
        <w:pStyle w:val="Heading2"/>
      </w:pPr>
      <w:r>
        <w:t xml:space="preserve">La convergenza delle tre dimensioni dell’equità e le condizioni congiuntamente necessarie</w:t>
      </w:r>
    </w:p>
    <w:p>
      <w:pPr>
        <w:pStyle w:val="FirstParagraph"/>
      </w:pPr>
      <w:r>
        <w:t xml:space="preserve">La dodicesima parte ha studiato la distribuzione del valore lungo tre dimensioni dell’equità, e ne ha tratto il risultato che esse convergono sui medesimi soggetti svantaggiati. Le tre dimensioni — l’equità territoriale, che attiene alla distribuzione tra le aree; l’equità tra le popolazioni, che attiene alla distribuzione tra i gruppi; l’equità di accesso, che attiene alla possibilità di fruizione in rapporto alla leva digitale — colgono ciascuna un aspetto della distribuzione del valore, ma non operano su soggetti distinti: i divari che esse misurano si sovrappongono, sì che i soggetti svantaggiati sotto una dimensione sono in larga parte i medesimi svantaggiati sotto le altre. I residenti nelle aree interne, svantaggiati sotto la dimensione territoriale per la distanza dai presìdi, sono spesso anche anziani e socio-economicamente svantaggiati, e perciò svantaggiati sotto la dimensione delle popolazioni, e digitalmente esclusi per la minore copertura della rete e la minore competenza, e perciò svantaggiati sotto la dimensione dell’accesso. Questa convergenza delle tre dimensioni sui medesimi soggetti è il risultato fondamentale dell’analisi distributiva, perché essa mostra che le diseguaglianze nella salute mentale non sono diseguaglianze separate, ciascuna confinata alla propria dimensione, ma diseguaglianze cumulate, che gravano congiuntamente sui medesimi soggetti, sommandosi a vicenda. La riforma incide sulla condizione di questi soggetti attraverso tutte e tre le dimensioni, e il suo impatto distributivo complessivo dipende dalla capacità di raggiungerli sotto tutte e tre.</w:t>
      </w:r>
    </w:p>
    <w:p>
      <w:pPr>
        <w:pStyle w:val="BodyText"/>
      </w:pPr>
      <w:r>
        <w:t xml:space="preserve">Dalla convergenza delle tre dimensioni discende il risultato che le condizioni dell’impatto distributivo favorevole sono congiuntamente necessarie e si rinforzano a vicenda. Ciascuna delle tre dimensioni ha una propria condizione dell’effetto favorevole — la distribuzione proporzionale al bisogno per la dimensione territoriale, l’orientamento attivo ai gruppi svantaggiati per la dimensione delle popolazioni, il principio della complementarità per la dimensione dell’accesso — e queste tre condizioni, per la convergenza delle dimensioni, sono congiuntamente necessarie: il difetto di una compromette l’impatto distributivo complessivo, perché lascia i soggetti svantaggiati esclusi sotto la dimensione corrispondente, ancorché raggiunti sotto le altre. Un soggetto residente in un’area interna, socio-economicamente svantaggiato e digitalmente escluso, è raggiunto soltanto ove concorrano tutte e tre le condizioni: la distribuzione proporzionale al bisogno, che porta il presidio nella sua area; l’orientamento attivo, che ne intercetta il bisogno; il principio della complementarità, che gli garantisce l’accesso in presenza nonostante l’esclusione digitale. Ove difettasse una sola condizione, il soggetto resterebbe escluso sotto la dimensione corrispondente, e l’impatto complessivo sarebbe compromesso. Le tre condizioni, oltre a essere congiuntamente necessarie, si rinforzano a vicenda: la distribuzione proporzionale al bisogno crea la condizione perché l’orientamento attivo raggiunga i soggetti svantaggiati nelle aree interne; l’orientamento attivo crea la condizione perché il presidio nelle aree interne sia effettivamente fruito; il principio della complementarità garantisce che i soggetti raggiunti sotto le altre dimensioni non siano esclusi dal canale digitale. Il concorso delle tre condizioni produce perciò un effetto superiore alla somma dei singoli effetti, e le tre condizioni vanno perseguite congiuntamente, come un insieme coerente di requisiti dell’equità.</w:t>
      </w:r>
      <w:r>
        <w:rPr>
          <w:rStyle w:val="FootnoteReference"/>
        </w:rPr>
        <w:footnoteReference w:id="357"/>
      </w:r>
    </w:p>
    <w:bookmarkEnd w:id="845"/>
    <w:bookmarkStart w:id="847" w:name="X593fe930ffcc4dc3ccf7e67cd80827e23058058"/>
    <w:p>
      <w:pPr>
        <w:pStyle w:val="Heading2"/>
      </w:pPr>
      <w:r>
        <w:t xml:space="preserve">La forma falsificabile dell’impatto distributivo e la distinzione delle dimensioni del valore</w:t>
      </w:r>
    </w:p>
    <w:p>
      <w:pPr>
        <w:pStyle w:val="FirstParagraph"/>
      </w:pPr>
      <w:r>
        <w:t xml:space="preserve">La dodicesima parte ha formulato l’impatto distributivo complessivo come previsione falsificabile, in coerenza con la forma che l’undicesima parte ha dato alle previsioni dello studio. La previsione non afferma incondizionatamente che la riforma ridurrà le diseguaglianze, ma afferma che la riforma le ridurrà sotto le tre dimensioni dell’equità ove concorrano le tre condizioni dell’impatto distributivo favorevole, e che essa, ove una condizione difetti, lascerà i soggetti svantaggiati esclusi sotto la dimensione corrispondente. La previsione è dunque condizionale, e la sua forma falsificabile risiede nella specificazione delle condizioni e nella loro verificabilità: essa indica le condizioni al verificarsi delle quali la riforma riduce le diseguaglianze, e queste condizioni sono osservabili a riforma attuata, attraverso il monitoraggio della distribuzione effettiva del valore sotto le tre dimensioni. La soglia di confutazione è collocata nell’ipotesi che la riforma accentui le diseguaglianze sotto una o più dimensioni: ove si osservasse che la riforma si è concentrata nelle aree urbane, o è stata fruita prevalentemente dai gruppi avvantaggiati, o ha escluso i soggetti digitalmente esclusi, la previsione favorevole sarebbe smentita. La forma falsificabile dell’impatto distributivo è la garanzia che l’analisi distributiva non si risolva in un auspicio di equità, ma in una previsione controllabile, esposta alla verifica dei fatti: la riforma non è dichiarata equa in astratto, ma è prevista equa a determinate condizioni, la cui realizzazione sarà verificata a riforma attuata.</w:t>
      </w:r>
    </w:p>
    <w:p>
      <w:pPr>
        <w:pStyle w:val="BodyText"/>
      </w:pPr>
      <w:r>
        <w:t xml:space="preserve">La dodicesima parte ha mantenuto, nell’analisi distributiva, la distinzione tra le tre dimensioni del valore che l’intero studio ha preservato. La distinzione tra le grandezze fiscali dirette, sociali indirette e di salute, che le parti precedenti hanno mantenuto fino al saldo conclusivo senza sommarle in un’unica cifra, è mantenuta anche nell’analisi distributiva: la dodicesima parte studia la distribuzione del valore tra i soggetti, ma non lo fa sommando le dimensioni del valore, bensì studiando come la riforma, nel suo complesso, raggiunga i soggetti svantaggiati. L’analisi distributiva non introduce una nuova grandezza che sommi le dimensioni, né attribuisce a più dimensioni il medesimo valore distributivo, ma studia la ripartizione del valore della riforma — quale le parti precedenti l’hanno stabilito, nelle sue dimensioni distinte — tra i territori e i gruppi. La distinzione delle dimensioni nell’analisi distributiva è coerente con la regola che ha governato l’intero studio: come le dimensioni del valore non sono sommate nella valutazione dell’entità, così non sono sommate nella valutazione della distribuzione, e l’analisi distributiva non gonfia il valore della riforma per somma indebita né per duplicazione, ma ne studia la ripartizione, mantenendo distinte le dimensioni. Il duplice intervallo di Chisholm e il caveat dell’IMPACT trial, che governano le grandezze economiche, sono preservati ove esse sono richiamate, sicché l’analisi distributiva si conforma, anche nella distinzione delle dimensioni e nella preservazione dei vincoli, ai principi che hanno governato l’intero studio.</w:t>
      </w:r>
      <w:r>
        <w:rPr>
          <w:rStyle w:val="FootnoteReference"/>
        </w:rPr>
        <w:footnoteReference w:id="358"/>
      </w:r>
    </w:p>
    <w:bookmarkEnd w:id="847"/>
    <w:bookmarkStart w:id="848" w:name="X698f3b6f3701b57d238b81ff392eb500c0d3395"/>
    <w:p>
      <w:pPr>
        <w:pStyle w:val="Heading2"/>
      </w:pPr>
      <w:r>
        <w:t xml:space="preserve">Il significato multidisciplinare dell’analisi distributiva</w:t>
      </w:r>
    </w:p>
    <w:p>
      <w:pPr>
        <w:pStyle w:val="FirstParagraph"/>
      </w:pPr>
      <w:r>
        <w:t xml:space="preserve">L’analisi distributiva ha un significato multidisciplinare, perché le tre dimensioni dell’equità che essa esamina attingono a domini distinti del sapere e dell’azione, che la riforma compone. La dimensione territoriale dell’equità attinge alla geografia dei servizi e alla questione delle aree interne, che attiene al dominio della coesione territoriale e dello sviluppo regionale: la distribuzione del primo livello psicologico tra le aree della regione è una questione non soltanto sanitaria, ma di riequilibrio territoriale, che si inscrive nella più ampia questione del divario tra le aree urbane e le aree interne, oggetto di una strategia nazionale dedicata. La dimensione delle popolazioni dell’equità attinge alla sociologia delle diseguaglianze di salute e ai determinanti sociali del disagio, che attiene al dominio sociale, economico e del welfare: la distribuzione del valore tra i gruppi della popolazione è una questione di giustizia sociale, che si inscrive nella più ampia questione del gradiente sociale della salute e della legge per cui l’assistenza tende a variare in ragione inversa al bisogno. La dimensione dell’accesso dell’equità attinge alla questione del divario digitale e dell’inclusione tecnologica, che attiene al dominio della cittadinanza digitale e dell’innovazione: l’impiego della leva digitale è una questione non soltanto tecnologica, ma di inclusione, che si inscrive nella più ampia questione del divario tra chi dispone degli strumenti e delle competenze digitali e chi ne è privo. L’analisi distributiva compone dunque domini distinti — la coesione territoriale, la giustizia sociale, l’inclusione digitale — e ne mostra la convergenza nella riforma del primo livello psicologico, che incide su tutti, e la cui equità dipende dalla capacità di operare in tutti.</w:t>
      </w:r>
    </w:p>
    <w:p>
      <w:pPr>
        <w:pStyle w:val="BodyText"/>
      </w:pPr>
      <w:r>
        <w:t xml:space="preserve">Il significato multidisciplinare dell’analisi distributiva mostra che l’equità della riforma è una questione che eccede il dominio sanitario, e che la sua realizzazione richiede l’azione su domini molteplici. La riduzione delle diseguaglianze nella salute mentale non si consegue con la sola erogazione del servizio sanitario, ma richiede l’azione sui fattori che governano le tre dimensioni dell’equità, i quali appartengono a domini distinti. La riduzione del divario territoriale richiede l’azione sulla coesione territoriale — la distribuzione delle risorse secondo il bisogno, il contrasto alla concentrazione urbana, il rafforzamento dei servizi nelle aree interne — che attinge alle politiche di sviluppo regionale. La riduzione della diseguaglianza tra le popolazioni richiede l’azione sui determinanti sociali e sulle barriere all’accesso — l’orientamento attivo ai gruppi svantaggiati, l’intercettazione del bisogno nei contesti che li servono — che attinge alle politiche sociali e del welfare. La riduzione del divario di accesso richiede l’azione sull’inclusione digitale — il principio della complementarità, il sostegno all’alfabetizzazione digitale — che attinge alle politiche di cittadinanza digitale. L’analisi distributiva mostra dunque che l’equità della riforma è una questione multidisciplinare integrale, che eccede il dominio sanitario e richiede l’azione coordinata su domini molteplici; e ciò conferma la natura della riforma quale lo studio l’ha concepita: non un intervento confinato al dominio sanitario, ma un intervento che incide su una pluralità di domini, e la cui equità, come la cui efficacia, dipende dalla capacità di operare in tutti.</w:t>
      </w:r>
    </w:p>
    <w:bookmarkEnd w:id="848"/>
    <w:bookmarkStart w:id="849" w:name="X5ac2603992eb0f063cf24cd5c354559d440cdb1"/>
    <w:p>
      <w:pPr>
        <w:pStyle w:val="Heading2"/>
      </w:pPr>
      <w:r>
        <w:t xml:space="preserve">Il raccordo con l’attuazione e con il monitoraggio</w:t>
      </w:r>
    </w:p>
    <w:p>
      <w:pPr>
        <w:pStyle w:val="FirstParagraph"/>
      </w:pPr>
      <w:r>
        <w:t xml:space="preserve">L’analisi distributiva, che chiude la dodicesima parte, si raccorda con le parti successive dello studio, a cui consegna le raccomandazioni per l’equità e la previsione falsificabile dell’impatto distributivo. Il primo raccordo è con la quattordicesima parte, dedicata all’attuazione, a cui la dodicesima parte consegna le raccomandazioni per l’equità: la distribuzione proporzionale al bisogno e il contrasto alla concentrazione urbana, l’orientamento attivo ai gruppi svantaggiati, il principio della complementarità e la governance per l’equità, il monitoraggio della distribuzione. Le condizioni dell’impatto distributivo favorevole, che la dodicesima parte ha individuato, sono condizioni dell’attuazione, e la loro realizzazione dipende dalle misure che la quattordicesima parte stabilirà — gli incentivi alla collocazione nelle aree interne, le modalità dell’orientamento attivo, le misure della governance per l’equità. La dodicesima parte fornisce dunque alla quattordicesima i requisiti dell’equità, che essa dovrà tradurre in misure attuative, sì che le condizioni dell’impatto distributivo favorevole si realizzino. Senza l’attuazione, le raccomandazioni per l’equità resterebbero indirizzi privi di realizzazione; con l’attuazione, esse divengono misure che governano la distribuzione del valore della riforma.</w:t>
      </w:r>
    </w:p>
    <w:p>
      <w:pPr>
        <w:pStyle w:val="BodyText"/>
      </w:pPr>
      <w:r>
        <w:t xml:space="preserve">Il secondo raccordo è con la quindicesima parte, dedicata al monitoraggio e alla valutazione ex-post, a cui la dodicesima parte consegna la previsione falsificabile dell’impatto distributivo e il metodo della sua verifica. La previsione dell’impatto distributivo è una previsione condizionale e falsificabile, la cui verifica richiede il monitoraggio della distribuzione effettiva del valore sotto le tre dimensioni: la distribuzione territoriale degli psicologi, per la dimensione territoriale; la composizione socio-economica, demografica e di fragilità della popolazione servita, per la dimensione delle popolazioni; l’accessibilità del servizio attraverso il canale in presenza e l’impiego della leva digitale, per la dimensione dell’accesso. La quindicesima parte assumerà la previsione e gli indicatori della verifica, e ne condurrà il riscontro: confronterà la distribuzione osservata con quella favorevole all’equità, e dichiarerà se le tre condizioni si siano verificate e se la riforma abbia ridotto le diseguaglianze; e, ove la distribuzione si discosti da quella favorevole, consentirà la correzione, sì che la riforma sia ricondotta verso l’equità. La falsificabilità dell’impatto distributivo, che la dodicesima parte ha stabilito, trova dunque nella quindicesima parte il suo compimento: senza la verifica, la previsione resterebbe controllabile ma non controllata; con la verifica, essa diviene controllata, e l’equità della riforma cessa di essere una previsione per divenire un esito accertato. Con questi due raccordi — alla quattordicesima parte, che ne attuerà le raccomandazioni, e alla quindicesima, che ne verificherà la previsione — la dodicesima parte si inserisce nel disegno complessivo dello studio, di cui costituisce lo sviluppo distributivo, e consegna alle parti successive le raccomandazioni e la previsione che ne sono il risultato.</w:t>
      </w:r>
    </w:p>
    <w:bookmarkEnd w:id="849"/>
    <w:bookmarkEnd w:id="850"/>
    <w:bookmarkStart w:id="852" w:name="conclusione-8"/>
    <w:p>
      <w:pPr>
        <w:pStyle w:val="Heading1"/>
      </w:pPr>
      <w:r>
        <w:t xml:space="preserve">Conclusione</w:t>
      </w:r>
    </w:p>
    <w:p>
      <w:pPr>
        <w:pStyle w:val="FirstParagraph"/>
      </w:pPr>
      <w:r>
        <w:rPr>
          <w:i/>
          <w:iCs/>
        </w:rPr>
        <w:t xml:space="preserve">La conclusione raccoglie quanto la dodicesima parte ha stabilito, ne ribadisce il carattere condizionale e falsificabile e ne dichiara il rapporto con le parti che seguono. La parte ha studiato la distribuzione del valore della riforma tra i territori e tra le popolazioni, valutandone l’equità lungo tre dimensioni e traendone l’impatto distributivo complessivo; e ha così aggiunto alla valutazione del valore la dimensione distributiva, che le parti precedenti non avevano esaminato, completando la rinegoziazione integrale dei costi e dei benefici con la dimensione della giustizia distributiva.</w:t>
      </w:r>
    </w:p>
    <w:p>
      <w:pPr>
        <w:pStyle w:val="BodyText"/>
      </w:pPr>
      <w:r>
        <w:t xml:space="preserve">La dodicesima parte ha stabilito la valutazione distributiva della riforma del Servizio di Psicologia di Base in Puglia. Essa ha assunto il valore della riforma, stabilito e proiettato dalle parti precedenti, e ne ha studiato la distribuzione nello spazio sociale, ponendo la domanda sull’equità che le parti precedenti non avevano posto: non quanto valore la riforma produca, ma a chi quel valore si distribuisca, e se la sua distribuzione riduca o accentui le diseguaglianze preesistenti. La parte ha studiato la distribuzione del valore lungo tre dimensioni dell’equità. L’equità territoriale, che attiene alla distribuzione tra le aree, ha mostrato che la riforma può ridurre i divari tra le aree urbane e le aree interne, ove la distribuzione del contingente sia governata da un criterio proporzionale al bisogno e il rischio di concentrazione urbana sia contrastato. L’equità tra le popolazioni, che attiene alla distribuzione tra i gruppi, ha mostrato che la riforma può ridurre la diseguaglianza sociale nella salute mentale, ove sia attivamente orientata a raggiungere i gruppi svantaggiati, nei quali il bisogno eccede l’accesso. L’equità di accesso, che attiene alla possibilità di fruizione in rapporto alla leva digitale, ha mostrato che la riforma può ampliare l’accesso senza escludere i soggetti digitalmente esclusi, ove la leva digitale sia impiegata come complemento dell’accesso in presenza secondo il principio della complementarità.</w:t>
      </w:r>
    </w:p>
    <w:p>
      <w:pPr>
        <w:pStyle w:val="BodyText"/>
      </w:pPr>
      <w:r>
        <w:t xml:space="preserve">Il risultato fondamentale della parte è la convergenza delle tre dimensioni dell’equità sui medesimi soggetti svantaggiati, e la conseguente necessità congiunta delle tre condizioni dell’impatto distributivo favorevole. I divari territoriali, le diseguaglianze tra le popolazioni e le barriere di accesso si sovrappongono, sì che i soggetti svantaggiati sotto le tre dimensioni sono in larga parte i medesimi: i residenti nelle aree interne, anziani, socio-economicamente svantaggiati e digitalmente esclusi. La riforma incide sulla loro condizione attraverso tutte e tre le dimensioni, e il suo impatto distributivo favorevole richiede il concorso delle tre condizioni — la distribuzione proporzionale al bisogno, l’orientamento attivo ai gruppi svantaggiati e il principio della complementarità — congiuntamente necessarie, perché il difetto di una sola lascia i soggetti svantaggiati esclusi sotto la dimensione corrispondente, ancorché raggiunti sotto le altre. Le tre condizioni, oltre a essere congiuntamente necessarie, si rinforzano a vicenda, sì che il loro concorso produce un effetto superiore alla somma dei singoli effetti; e vanno perciò perseguite congiuntamente, come un insieme coerente di requisiti dell’equità. La parte ha tratto da questo risultato le raccomandazioni per l’equità — la distribuzione proporzionale al bisogno, l’orientamento attivo ai gruppi svantaggiati, il principio della complementarità e la governance per l’equità, il monitoraggio della distribuzione — che traducono le tre condizioni in indirizzi per l’attuazione e per il monitoraggio.</w:t>
      </w:r>
    </w:p>
    <w:p>
      <w:pPr>
        <w:pStyle w:val="BodyText"/>
      </w:pPr>
      <w:r>
        <w:t xml:space="preserve">Il rigore di questo risultato risiede nella sua forma condizionale e falsificabile, e nella distinzione delle dimensioni che la parte ha mantenuto. L’impatto distributivo è formulato come previsione falsificabile, in coerenza con la forma delle previsioni dell’undicesima parte: la riforma riduce le diseguaglianze ove concorrano le tre condizioni, e la previsione è smentita ove la riforma accentui le diseguaglianze sotto una o più dimensioni. La previsione non è dunque un auspicio di equità, ma un enunciato controllabile, corredato delle condizioni e del metodo della loro verifica, esposto alla verifica dei fatti. La parte ha mantenuto, nell’analisi distributiva, la distinzione tra le tre dimensioni del valore che l’intero studio ha preservato: essa studia la distribuzione del valore senza sommare le dimensioni, e preserva il duplice intervallo di Chisholm e il caveat dell’IMPACT trial ove le grandezze economiche sono richiamate. La forma falsificabile e la distinzione delle dimensioni fanno della valutazione distributiva una valutazione rigorosa, fedele ai principi dello studio, che afferma la possibilità della riduzione delle diseguaglianze a determinate condizioni, e non la sua certezza incondizionata.</w:t>
      </w:r>
      <w:r>
        <w:rPr>
          <w:rStyle w:val="FootnoteReference"/>
        </w:rPr>
        <w:footnoteReference w:id="359"/>
      </w:r>
    </w:p>
    <w:p>
      <w:pPr>
        <w:pStyle w:val="BodyText"/>
      </w:pPr>
      <w:r>
        <w:t xml:space="preserve">La dodicesima parte completa così la rinegoziazione integrale dei costi e dei benefici con la dimensione distributiva, e consegna alle parti successive le raccomandazioni e la previsione che ne sono il risultato. La quattordicesima parte, dedicata all’attuazione, assumerà le raccomandazioni per l’equità, e dovrà tradurle in misure attuative, sì che le condizioni dell’impatto distributivo favorevole si realizzino. La quindicesima parte, dedicata al monitoraggio, assumerà la previsione falsificabile dell’impatto distributivo, e dovrà verificarla, monitorando la distribuzione effettiva del valore sotto le tre dimensioni, e consentendo la correzione ove la distribuzione si discosti da quella favorevole all’equità. La valutazione distributiva stabilita da questa parte — la distribuzione del valore della riforma studiata lungo le tre dimensioni dell’equità, la convergenza delle dimensioni sui medesimi soggetti, la necessità congiunta delle tre condizioni dell’impatto favorevole — è dunque il risultato distributivo su cui le parti successive innesteranno l’attuazione e il monitoraggio. Con essa, la rinegoziazione integrale dei costi e dei benefici trova la propria dimensione distributiva, e la riforma del primo livello psicologico in Puglia trova la propria valutazione di equità: non soltanto efficiente, ma equa a determinate condizioni, sì da ridurre, e non accentuare, le diseguaglianze nell’accesso alla cura del disagio comune, fondata sul rigore della forma falsificabile, della distinzione delle dimensioni e del concorso congiunto delle condizioni dell’equità.</w:t>
      </w:r>
    </w:p>
    <w:bookmarkEnd w:id="852"/>
    <w:bookmarkStart w:id="854" w:name="note-bibliografiche-integrali-7"/>
    <w:p>
      <w:pPr>
        <w:pStyle w:val="Heading1"/>
      </w:pPr>
      <w:r>
        <w:t xml:space="preserve">Note bibliografiche integrali</w:t>
      </w:r>
    </w:p>
    <w:p>
      <w:pPr>
        <w:pStyle w:val="FirstParagraph"/>
      </w:pPr>
      <w:r>
        <w:rPr>
          <w:i/>
          <w:iCs/>
        </w:rPr>
        <w:t xml:space="preserve">Le note bibliografiche integrali raccolgono le fonti su cui l’analisi distributiva di questa parte si fonda, ciascuna corredata di un mini-riassunto che ne dichiara il contenuto e la pertinenza. Le fonti attengono ai concetti e ai principi dell’equità nella salute, alla legge dell’assistenza inversa e all’ipotesi dell’iniquità inversa, ai determinanti sociali della salute mentale, alla questione delle aree interne e del divario digitale, e all’evidenza economica che àncora la valutazione del valore di cui la parte studia la distribuzione.</w:t>
      </w:r>
    </w:p>
    <w:p>
      <w:pPr>
        <w:pStyle w:val="BodyText"/>
      </w:pPr>
      <w:r>
        <w:rPr>
          <w:b/>
          <w:bCs/>
        </w:rPr>
        <w:t xml:space="preserve">▪</w:t>
      </w:r>
      <w:r>
        <w:rPr>
          <w:b/>
          <w:bCs/>
        </w:rPr>
        <w:t xml:space="preserve"> </w:t>
      </w:r>
      <w:r>
        <w:t xml:space="preserve">Tudor Hart J., «The Inverse Care Law», The Lancet, vol. 297, n. 7696, 1971, pp. 405–412.</w:t>
      </w:r>
    </w:p>
    <w:p>
      <w:pPr>
        <w:pStyle w:val="BodyText"/>
      </w:pPr>
      <w:r>
        <w:rPr>
          <w:i/>
          <w:iCs/>
        </w:rPr>
        <w:t xml:space="preserve">Mini-riassunto. È il saggio che enuncia la legge dell’assistenza inversa, secondo cui la disponibilità di una buona assistenza sanitaria tende a variare in ragione inversa al bisogno della popolazione servita, sì che i gruppi più bisognosi ricevono un’assistenza minore; essa fonda, nella seconda voce di questa parte, il monito per cui la riforma, ove non attivamente orientata ai gruppi svantaggiati, rischia di riprodurre la tendenza per cui l’assistenza segue i fattori associati al minore bisogno, beneficiando i gruppi avvantaggiati.</w:t>
      </w:r>
    </w:p>
    <w:p>
      <w:pPr>
        <w:pStyle w:val="BodyText"/>
      </w:pPr>
      <w:r>
        <w:rPr>
          <w:b/>
          <w:bCs/>
        </w:rPr>
        <w:t xml:space="preserve">▪</w:t>
      </w:r>
      <w:r>
        <w:rPr>
          <w:b/>
          <w:bCs/>
        </w:rPr>
        <w:t xml:space="preserve"> </w:t>
      </w:r>
      <w:r>
        <w:t xml:space="preserve">Victora C. G., Vaughan J. P., Barros F. C., Silva A. C., Tomasi E., «Explaining trends in inequities: evidence from Brazilian child health studies», The Lancet, vol. 356, n. 9235, 2000, pp. 1093–1098.</w:t>
      </w:r>
    </w:p>
    <w:p>
      <w:pPr>
        <w:pStyle w:val="BodyText"/>
      </w:pPr>
      <w:r>
        <w:rPr>
          <w:i/>
          <w:iCs/>
        </w:rPr>
        <w:t xml:space="preserve">Mini-riassunto. È lo studio che formula l’ipotesi dell’iniquità inversa, secondo cui le nuove politiche e tecnologie sanitarie tendono a beneficiare dapprima i gruppi avvantaggiati e solo successivamente i gruppi svantaggiati, sì che le diseguaglianze possono dapprima ampliarsi prima di restringersi; essa fonda, nella seconda voce di questa parte, il monito a non interpretare l’eventuale ampliamento iniziale della diseguaglianza come esito definitivo e a orientare la riforma ad accelerare il raggiungimento dei gruppi svantaggiati.</w:t>
      </w:r>
    </w:p>
    <w:p>
      <w:pPr>
        <w:pStyle w:val="BodyText"/>
      </w:pPr>
      <w:r>
        <w:rPr>
          <w:b/>
          <w:bCs/>
        </w:rPr>
        <w:t xml:space="preserve">▪</w:t>
      </w:r>
      <w:r>
        <w:rPr>
          <w:b/>
          <w:bCs/>
        </w:rPr>
        <w:t xml:space="preserve"> </w:t>
      </w:r>
      <w:r>
        <w:t xml:space="preserve">Whitehead M., «The concepts and principles of equity and health», International Journal of Health Services, vol. 22, n. 3, 1992, pp. 429–445.</w:t>
      </w:r>
    </w:p>
    <w:p>
      <w:pPr>
        <w:pStyle w:val="BodyText"/>
      </w:pPr>
      <w:r>
        <w:rPr>
          <w:i/>
          <w:iCs/>
        </w:rPr>
        <w:t xml:space="preserve">Mini-riassunto. È il saggio che definisce i concetti e i principi dell’equità nella salute, distinguendo le diseguaglianze evitabili e ingiuste, che costituiscono iniquità, dalle differenze inevitabili; esso fornisce la cornice concettuale entro cui questa parte distingue l’equità dall’efficienza e valuta se la distribuzione del valore della riforma riduca le diseguaglianze evitabili tra le aree e tra i gruppi, ossia se la riforma sia equa oltre che efficiente.</w:t>
      </w:r>
    </w:p>
    <w:p>
      <w:pPr>
        <w:pStyle w:val="BodyText"/>
      </w:pPr>
      <w:r>
        <w:rPr>
          <w:b/>
          <w:bCs/>
        </w:rPr>
        <w:t xml:space="preserve">▪</w:t>
      </w:r>
      <w:r>
        <w:rPr>
          <w:b/>
          <w:bCs/>
        </w:rPr>
        <w:t xml:space="preserve"> </w:t>
      </w:r>
      <w:r>
        <w:t xml:space="preserve">Marmot M. (a cura di), «Fair Society, Healthy Lives: The Marmot Review — Strategic Review of Health Inequalities in England post-2010», The Marmot Review, Londra, 2010.</w:t>
      </w:r>
    </w:p>
    <w:p>
      <w:pPr>
        <w:pStyle w:val="BodyText"/>
      </w:pPr>
      <w:r>
        <w:rPr>
          <w:i/>
          <w:iCs/>
        </w:rPr>
        <w:t xml:space="preserve">Mini-riassunto. È la rassegna strategica delle diseguaglianze di salute, che documenta il gradiente sociale della salute — per cui essa migliora al crescere della posizione socio-economica — e ne individua i determinanti sociali; essa fonda, nella seconda voce di questa parte, la descrizione della distribuzione differenziale del bisogno tra i gruppi della popolazione e del gradiente sociale del disagio mentale, e l’indicazione che la riduzione delle diseguaglianze richiede l’azione sui determinanti sociali.</w:t>
      </w:r>
    </w:p>
    <w:p>
      <w:pPr>
        <w:pStyle w:val="BodyText"/>
      </w:pPr>
      <w:r>
        <w:rPr>
          <w:b/>
          <w:bCs/>
        </w:rPr>
        <w:t xml:space="preserve">▪</w:t>
      </w:r>
      <w:r>
        <w:rPr>
          <w:b/>
          <w:bCs/>
        </w:rPr>
        <w:t xml:space="preserve"> </w:t>
      </w:r>
      <w:r>
        <w:t xml:space="preserve">Allen J., Balfour R., Bell R., Marmot M., «Social determinants of mental health», International Review of Psychiatry, vol. 26, n. 4, 2014, pp. 392–407.</w:t>
      </w:r>
    </w:p>
    <w:p>
      <w:pPr>
        <w:pStyle w:val="BodyText"/>
      </w:pPr>
      <w:r>
        <w:rPr>
          <w:i/>
          <w:iCs/>
        </w:rPr>
        <w:t xml:space="preserve">Mini-riassunto. È la rassegna dei determinanti sociali della salute mentale, che documenta come la prevalenza dei disturbi mentali comuni si distribuisca secondo un gradiente sociale, maggiore nei gruppi svantaggiati, in ragione della deprivazione, dell’insicurezza e delle condizioni di vita avverse; essa fonda, nella seconda voce di questa parte, la descrizione della distribuzione differenziale del bisogno e la concentrazione del disagio nei gruppi socio-economicamente svantaggiati, nei quali la distanza tra il bisogno e l’accesso è massima.</w:t>
      </w:r>
    </w:p>
    <w:p>
      <w:pPr>
        <w:pStyle w:val="BodyText"/>
      </w:pPr>
      <w:r>
        <w:rPr>
          <w:b/>
          <w:bCs/>
        </w:rPr>
        <w:t xml:space="preserve">▪</w:t>
      </w:r>
      <w:r>
        <w:rPr>
          <w:b/>
          <w:bCs/>
        </w:rPr>
        <w:t xml:space="preserve"> </w:t>
      </w:r>
      <w:r>
        <w:t xml:space="preserve">World Health Organization e Calouste Gulbenkian Foundation, «Social Determinants of Mental Health», World Health Organization, Ginevra, 2014.</w:t>
      </w:r>
    </w:p>
    <w:p>
      <w:pPr>
        <w:pStyle w:val="BodyText"/>
      </w:pPr>
      <w:r>
        <w:rPr>
          <w:i/>
          <w:iCs/>
        </w:rPr>
        <w:t xml:space="preserve">Mini-riassunto. È il rapporto sui determinanti sociali della salute mentale, che documenta come i fattori sociali ed economici incidano sulla distribuzione del disagio mentale nella popolazione e sull’accesso alla cura, e che indica l’azione sui determinanti sociali come condizione della riduzione delle diseguaglianze; esso fornisce la cornice entro cui questa parte considera la distribuzione differenziale del bisogno e dell’accesso e la necessità dell’orientamento attivo ai gruppi svantaggiati.</w:t>
      </w:r>
    </w:p>
    <w:p>
      <w:pPr>
        <w:pStyle w:val="BodyText"/>
      </w:pPr>
      <w:r>
        <w:rPr>
          <w:b/>
          <w:bCs/>
        </w:rPr>
        <w:t xml:space="preserve">▪</w:t>
      </w:r>
      <w:r>
        <w:rPr>
          <w:b/>
          <w:bCs/>
        </w:rPr>
        <w:t xml:space="preserve"> </w:t>
      </w:r>
      <w:r>
        <w:t xml:space="preserve">Agenzia per la Coesione Territoriale, «Strategia Nazionale per le Aree Interne (SNAI) — documenti programmatici e di indirizzo», Presidenza del Consiglio dei Ministri, Roma.</w:t>
      </w:r>
    </w:p>
    <w:p>
      <w:pPr>
        <w:pStyle w:val="BodyText"/>
      </w:pPr>
      <w:r>
        <w:rPr>
          <w:i/>
          <w:iCs/>
        </w:rPr>
        <w:t xml:space="preserve">Mini-riassunto. È il quadro programmatico della Strategia Nazionale per le Aree Interne, che riconosce la condizione di svantaggio delle aree distanti dai servizi essenziali — la popolazione rada e in calo, l’invecchiamento, la ridotta accessibilità, la deprivazione — e ne persegue il riequilibrio attraverso il rafforzamento dei servizi essenziali, tra cui la salute; essa fonda, nella prima voce di questa parte, la considerazione delle aree interne come banco di prova dell’equità territoriale e il rischio di concentrazione urbana.</w:t>
      </w:r>
    </w:p>
    <w:p>
      <w:pPr>
        <w:pStyle w:val="BodyText"/>
      </w:pPr>
      <w:r>
        <w:rPr>
          <w:b/>
          <w:bCs/>
        </w:rPr>
        <w:t xml:space="preserve">▪</w:t>
      </w:r>
      <w:r>
        <w:rPr>
          <w:b/>
          <w:bCs/>
        </w:rPr>
        <w:t xml:space="preserve"> </w:t>
      </w:r>
      <w:r>
        <w:t xml:space="preserve">Istituto Nazionale di Statistica (ISTAT), «Cittadini e ICT — Indagine annuale sull’uso delle tecnologie dell’informazione e della comunicazione nelle famiglie e da parte degli individui», ISTAT, Roma.</w:t>
      </w:r>
    </w:p>
    <w:p>
      <w:pPr>
        <w:pStyle w:val="BodyText"/>
      </w:pPr>
      <w:r>
        <w:rPr>
          <w:i/>
          <w:iCs/>
        </w:rPr>
        <w:t xml:space="preserve">Mini-riassunto. È l’indagine annuale sull’uso delle tecnologie dell’informazione e della comunicazione, che documenta la diseguale distribuzione, nella popolazione, dell’accesso agli strumenti digitali e delle competenze nel loro uso, secondo il territorio, l’età e la condizione socio-economica; essa fonda, nella terza voce di questa parte, la descrizione delle tre dimensioni del divario digitale in Puglia e la loro sovrapposizione ai divari territoriali e sociali.</w:t>
      </w:r>
    </w:p>
    <w:p>
      <w:pPr>
        <w:pStyle w:val="BodyText"/>
      </w:pPr>
      <w:r>
        <w:rPr>
          <w:b/>
          <w:bCs/>
        </w:rPr>
        <w:t xml:space="preserve">▪</w:t>
      </w:r>
      <w:r>
        <w:rPr>
          <w:b/>
          <w:bCs/>
        </w:rPr>
        <w:t xml:space="preserve"> </w:t>
      </w:r>
      <w:r>
        <w:t xml:space="preserve">Organisation for Economic Co-operation and Development (OECD), «A New Benchmark for Mental Health Systems: Tackling the Social and Economic Costs of Mental Ill-Health», OECD Health Policy Studies, OECD Publishing, Parigi, 2021.</w:t>
      </w:r>
    </w:p>
    <w:p>
      <w:pPr>
        <w:pStyle w:val="BodyText"/>
      </w:pPr>
      <w:r>
        <w:rPr>
          <w:i/>
          <w:iCs/>
        </w:rPr>
        <w:t xml:space="preserve">Mini-riassunto. È lo studio comparato dei sistemi di salute mentale, che quantifica i costi sociali ed economici del disagio mentale e ne documenta l’incidenza sui molteplici domini; esso àncora, in questa parte, la considerazione del valore della riforma di cui si studia la distribuzione, e il significato multidisciplinare dell’analisi distributiva, che compone i domini della coesione territoriale, della giustizia sociale e dell’inclusione digitale.</w:t>
      </w:r>
    </w:p>
    <w:p>
      <w:pPr>
        <w:pStyle w:val="BodyText"/>
      </w:pPr>
      <w:r>
        <w:rPr>
          <w:b/>
          <w:bCs/>
        </w:rPr>
        <w:t xml:space="preserve">▪</w:t>
      </w:r>
      <w:r>
        <w:rPr>
          <w:b/>
          <w:bCs/>
        </w:rPr>
        <w:t xml:space="preserve"> </w:t>
      </w:r>
      <w:r>
        <w:t xml:space="preserve">Chisholm D., Sweeny K., Sheehan P., Rasmussen B., Smit F., Cuijpers P., Saxena S., «Scaling-up treatment of depression and anxiety: a global return on investment analysis», The Lancet Psychiatry, vol. 3, n. 5, 2016, pp. 415–424.</w:t>
      </w:r>
    </w:p>
    <w:p>
      <w:pPr>
        <w:pStyle w:val="BodyText"/>
      </w:pPr>
      <w:r>
        <w:rPr>
          <w:i/>
          <w:iCs/>
        </w:rPr>
        <w:t xml:space="preserve">Mini-riassunto. È l’analisi globale del rendimento dell’investimento nel trattamento della depressione e dell’ansia, che stabilisce il duplice intervallo del ritorno — compreso tra 2,3 e 3,0 a 1 per i soli benefici economici e tra 3,3 e 5,7 a 1 con l’inclusione dei ritorni di salute — impiegato nell’intero studio come ancora di validazione; esso è preservato in questa parte ove le grandezze economiche, di cui si studia la distribuzione, sono richiamate, a garanzia della coerenza tra la valutazione del valore e la sua analisi distributiva.</w:t>
      </w:r>
    </w:p>
    <w:bookmarkStart w:id="853" w:name="X410cc74a2e1fd0bbaf17ff674a417d0d0d317e2"/>
    <w:p>
      <w:pPr>
        <w:pStyle w:val="Heading2"/>
      </w:pPr>
      <w:r>
        <w:t xml:space="preserve">Nota sui rinvii interni e sui principi metodologici</w:t>
      </w:r>
    </w:p>
    <w:p>
      <w:pPr>
        <w:pStyle w:val="FirstParagraph"/>
      </w:pPr>
      <w:r>
        <w:t xml:space="preserve">La dodicesima parte è la sede dell’analisi distributiva dell’intero studio, e si raccorda perciò con un’ampia rete di parti, da cui assume il valore di cui studia la distribuzione e a cui consegna le raccomandazioni e la previsione che ne sono il risultato. Essa assume il valore della riforma, stabilito dalla decima parte e proiettato dall’undicesima, e ne studia la distribuzione, senza accrescerlo né diminuirlo; impiega i parametri demografici e di scala della seconda e della quarta parte, propri della Puglia — la popolazione regionale, l’articolazione in sei aziende sanitarie e quarantacinque distretti, il dimensionamento del contingente; assume dalla quarta parte la posizione subordinata della leva digitale lungo il ciclo assistenziale e la sua governance prudenziale, di cui la terza voce trae il principio della complementarità; e adotta dall’undicesima parte la forma falsificabile delle previsioni, di cui la quarta voce fa applicazione nella previsione dell’impatto distributivo. Verso le parti successive, essa consegna le raccomandazioni per l’equità alla quattordicesima parte, dedicata all’attuazione, che dovrà tradurle in misure attuative, e la previsione falsificabile dell’impatto distributivo alla quindicesima parte, dedicata al monitoraggio, che dovrà verificarla monitorando la distribuzione effettiva del valore sotto le tre dimensioni.</w:t>
      </w:r>
    </w:p>
    <w:p>
      <w:pPr>
        <w:pStyle w:val="BodyText"/>
      </w:pPr>
      <w:r>
        <w:t xml:space="preserve">I principi metodologici invarianti dello studio governano l’analisi distributiva in ogni suo passaggio. La distinzione cardine tra le grandezze fiscali dirette, sociali indirette e di salute è mantenuta nell’analisi distributiva, che studia la distribuzione del valore senza sommare le dimensioni in un’unica cifra e senza duplicazione. Il duplice intervallo di Chisholm e il caveat dell’IMPACT trial sono preservati ove le grandezze economiche, di cui si studia la distribuzione, sono richiamate. L’analisi distributiva non modifica le grandezze stabilite dalle parti precedenti, ma ne studia la ripartizione, in coerenza con la sua natura di valutazione distributiva, distinta dalla valutazione dell’entità. L’impatto distributivo è formulato come previsione falsificabile, corredata delle condizioni al verificarsi delle quali la riforma riduce le diseguaglianze e del metodo della loro verifica, in coerenza con la forma falsificabile delle previsioni dello studio; e ogni stima è graduata secondo la sua qualità con i criteri GRADE, applicati con il medesimo rigore alle componenti territoriali, sociali e di accesso. L’analisi distributiva si conforma così, nello studio della distribuzione, ai medesimi principi che hanno governato la valutazione dell’entità che la precede, e ne costituisce il completamento sul piano della giustizia distributiva, aggiungendo alla domanda sull’entità del valore la domanda sulla sua ripartizione, e mantenendo, anche in questa domanda, il rigore della distinzione delle dimensioni, della preservazione dei vincoli e della falsificabilità che ha governato l’intero studio.</w:t>
      </w:r>
    </w:p>
    <w:p>
      <w:pPr>
        <w:pStyle w:val="SourceCode"/>
      </w:pPr>
      <w:r>
        <w:rPr>
          <w:rStyle w:val="VerbatimChar"/>
        </w:rPr>
        <w:t xml:space="preserve">Equità · impatto distributivo · giustizia territoriale  L. De Michele · giugno 2026</w:t>
      </w:r>
    </w:p>
    <w:p>
      <w:r>
        <w:br w:type="page"/>
      </w:r>
    </w:p>
    <w:p>
      <w:pPr>
        <w:pStyle w:val="FirstParagraph"/>
      </w:pPr>
      <w:r>
        <w:t xml:space="preserve">Studio Integrale Puglia · Parte XIII — Profili etico-giuridico-organizzativi</w:t>
      </w:r>
    </w:p>
    <w:p>
      <w:pPr>
        <w:pStyle w:val="BodyText"/>
      </w:pPr>
      <w:r>
        <w:rPr>
          <w:b/>
          <w:bCs/>
        </w:rPr>
        <w:t xml:space="preserve">PROGETTO « PSICOLOGO DI BASE » · REGIONE PUGLIA</w:t>
      </w:r>
    </w:p>
    <w:p>
      <w:pPr>
        <w:pStyle w:val="BodyText"/>
      </w:pPr>
      <w:r>
        <w:rPr>
          <w:b/>
          <w:bCs/>
        </w:rPr>
        <w:t xml:space="preserve">Studio Integrale, Finale e Definitivo</w:t>
      </w:r>
    </w:p>
    <w:p>
      <w:pPr>
        <w:pStyle w:val="BodyText"/>
      </w:pPr>
      <w:r>
        <w:rPr>
          <w:b/>
          <w:bCs/>
        </w:rPr>
        <w:t xml:space="preserve">Parte XIII</w:t>
      </w:r>
    </w:p>
    <w:p>
      <w:pPr>
        <w:pStyle w:val="BodyText"/>
      </w:pPr>
      <w:r>
        <w:rPr>
          <w:b/>
          <w:bCs/>
        </w:rPr>
        <w:t xml:space="preserve">Profili etico-giuridico-</w:t>
      </w:r>
    </w:p>
    <w:p>
      <w:pPr>
        <w:pStyle w:val="BodyText"/>
      </w:pPr>
      <w:r>
        <w:rPr>
          <w:b/>
          <w:bCs/>
        </w:rPr>
        <w:t xml:space="preserve">organizzativi</w:t>
      </w:r>
    </w:p>
    <w:p>
      <w:pPr>
        <w:pStyle w:val="BodyText"/>
      </w:pPr>
      <w:r>
        <w:rPr>
          <w:i/>
          <w:iCs/>
        </w:rPr>
        <w:t xml:space="preserve">Il quadro costituzionale e convenzionale del diritto alla salute, il quadro normativo regionale e nazionale, la protezione dei dati e la governance dell</w:t>
      </w:r>
      <w:r>
        <w:rPr>
          <w:i/>
          <w:iCs/>
        </w:rPr>
        <w:t xml:space="preserve">019Intelligenza Artificiale, l</w:t>
      </w:r>
      <w:r>
        <w:rPr>
          <w:i/>
          <w:iCs/>
        </w:rPr>
        <w:t xml:space="preserve">019etica professionale e la supervisione umana, e i profili organizzativi e di responsabilit</w:t>
      </w:r>
      <w:r>
        <w:rPr>
          <w:i/>
          <w:iCs/>
        </w:rPr>
        <w:t xml:space="preserve">0E0</w:t>
      </w:r>
    </w:p>
    <w:p>
      <w:pPr>
        <w:pStyle w:val="BodyText"/>
      </w:pPr>
      <w:r>
        <w:t xml:space="preserve">Telaio HTA · Five Case Model · CHEERS 2022 · criteri OCSE-DAC</w:t>
      </w:r>
    </w:p>
    <w:p>
      <w:pPr>
        <w:pStyle w:val="BodyText"/>
      </w:pPr>
      <w:r>
        <w:t xml:space="preserve">Cascata gerarchica piramidale dallo Psicologo di Base · perimetro multidisciplinare integrale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79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Avvertenza sui vincoli metodologici invarianti</w:t>
            </w:r>
            <w:r>
              <w:rPr>
                <w:rFonts w:ascii="Cambria" w:hAnsi="Cambria" w:cs="Cambria" w:eastAsia="Cambria"/>
                <w:b/>
                <w:color w:val="FFFFFF"/>
                <w:sz w:val="18"/>
              </w:rPr>
              <w:t xml:space="preserve"> </w:t>
            </w:r>
            <w:r>
              <w:rPr>
                <w:rFonts w:ascii="Cambria" w:hAnsi="Cambria" w:cs="Cambria" w:eastAsia="Cambria"/>
                <w:b/>
                <w:color w:val="FFFFFF"/>
                <w:sz w:val="18"/>
              </w:rPr>
              <w:t xml:space="preserve">La presente parte stabilisce la cornice di legittimità e di responsabilità della riforma del Servizio di Psicologia di Base in Puglia, ossia il fondamento giuridico ed etico entro cui la riforma trova la propria autorità e i propri limiti. Essa colloca la riforma entro il quadro costituzionale e convenzionale del diritto alla salute e entro il quadro normativo regionale e nazionale, ne esamina la protezione dei dati e la governance dell’Intelligenza Artificiale, l’etica professionale e la supervisione umana, e i profili organizzativi e di responsabilità. L’analisi di questa parte ha carattere normativo, e non quantitativo: essa non introduce nuove grandezze economiche, né modifica quelle stabilite dalle parti precedenti, ma stabilisce la cornice giuridica ed etica entro cui la riforma opera. La gradazione dell’evidenza secondo i criteri GRADE e la formulazione in bande prudenziali falsificabili, che governano le stime empiriche dello studio, si applicano alle sole affermazioni empiriche, in questa parte pressoché assenti; le proposizioni giuridiche ed etiche sono invece valutate secondo la solidità del loro fondamento nelle fonti. L’Intelligenza Artificiale è trattata, sotto il profilo della governance, nella sua posizione subordinata di strumento abilitante soggetto alla supervisione umana, quale la quarta parte l’ha stabilita; la presente parte ne esamina la cornice di protezione dei dati, di responsabilità e di trasparenza, senza elevarla a oggetto centrale dell’analisi. La distinzione tra le tre dimensioni del valore — fiscale diretta, sociale indiretta e di salute — e i vincoli invarianti dello studio, tra cui il duplice intervallo di Chisholm e il caveat dell’IMPACT trial, sono preservati ove le grandezze economiche delle parti precedenti sono richiamate. I profili etico-giuridico-organizzativi qui esaminati costituiscono le condizioni di legittimità e di responsabilità della riforma, la cui attuazione è rimessa alla quattordicesima parte e la cui osservanza è oggetto del monitoraggio della quindicesima parte.</w:t>
            </w:r>
          </w:p>
        </w:tc>
      </w:tr>
    </w:tbl>
    <w:bookmarkEnd w:id="853"/>
    <w:bookmarkEnd w:id="854"/>
    <w:bookmarkStart w:id="855" w:name="premessa-10"/>
    <w:p>
      <w:pPr>
        <w:pStyle w:val="Heading1"/>
      </w:pPr>
      <w:r>
        <w:t xml:space="preserve">Premessa</w:t>
      </w:r>
    </w:p>
    <w:p>
      <w:pPr>
        <w:pStyle w:val="FirstParagraph"/>
      </w:pPr>
      <w:r>
        <w:rPr>
          <w:i/>
          <w:iCs/>
        </w:rPr>
        <w:t xml:space="preserve">La tredicesima parte stabilisce la cornice di legittimità e di responsabilità della riforma del Servizio di Psicologia di Base in Puglia. Le parti precedenti ne hanno valutato l’efficacia, il valore economico, la robustezza e la distribuzione; la presente parte ne esamina il fondamento giuridico ed etico, ossia la cornice di principi e di norme entro cui la riforma trova la propria autorità e i propri limiti. Essa pone una domanda distinta da quelle delle parti precedenti: non se la riforma sia efficace, conveniente o equa, ma se essa sia legittima e responsabile, ossia se trovi nel quadro costituzionale, convenzionale e normativo il proprio fondamento, e se la sua attuazione sia governata da regole di responsabilità, di protezione dei dati, di governance dell’Intelligenza Artificiale e di etica professionale, che ne assicurino la conformità ai principi dell’ordinamento.</w:t>
      </w:r>
    </w:p>
    <w:p>
      <w:pPr>
        <w:pStyle w:val="BodyText"/>
      </w:pPr>
      <w:r>
        <w:t xml:space="preserve">La cornice di legittimità e di responsabilità non è una formalità accessoria, ma una condizione sostanziale della riforma, distinta dal suo valore e a esso non riducibile. Una riforma può essere efficace, conveniente ed equa, e tuttavia difettare della legittimità che l’ordinamento conferisce, ove non trovi fondamento nei principi costituzionali e convenzionali e nelle norme che la istituiscono; e può essere legittima nel suo fondamento, e tuttavia difettare della responsabilità che ne governa l’attuazione, ove non sia disciplinata da regole di protezione dei dati, di governance degli strumenti tecnologici e di etica professionale. La legittimità e la responsabilità sono perciò condizioni autonome della riforma, distinte dal suo valore: il valore attiene a ciò che la riforma produce — l’efficacia, la convenienza, l’equità — la legittimità e la responsabilità attengono al fondamento e alle regole della sua azione. La presente parte esamina queste condizioni autonome, che le parti precedenti non hanno esaminato, e ne stabilisce la sussistenza: essa verifica che la riforma trovi nel quadro costituzionale, convenzionale e normativo il proprio fondamento, e che la sua attuazione sia governata dalle regole di responsabilità che ne assicurano la conformità ai principi. La legittimità e la responsabilità completano così la valutazione della riforma con le condizioni del fondamento e delle regole, accanto alle condizioni del valore già esaminate.</w:t>
      </w:r>
    </w:p>
    <w:p>
      <w:pPr>
        <w:pStyle w:val="BodyText"/>
      </w:pPr>
      <w:r>
        <w:t xml:space="preserve">L’analisi di questa parte ha carattere normativo, e ciò ne determina la natura, distinta da quella delle parti precedenti. Le parti precedenti hanno condotto un’analisi empirica e quantitativa, che misura grandezze — l’efficacia, i costi, i risparmi, i benefici, la loro distribuzione — e ne formula la stima in bande prudenziali falsificabili, graduate secondo la qualità dell’evidenza con i criteri GRADE. La presente parte conduce un’analisi normativa, che non misura grandezze, ma esamina principi e norme, e ne valuta la solidità come fondamento della riforma; essa non introduce nuove grandezze economiche, né modifica quelle stabilite dalle parti precedenti, ma stabilisce la cornice giuridica ed etica entro cui la riforma opera. La gradazione dell’evidenza secondo i criteri GRADE e la formulazione in bande prudenziali falsificabili, che governano le stime empiriche dello studio, si applicano alle sole affermazioni empiriche, in questa parte pressoché assenti; le proposizioni giuridiche ed etiche sono invece valutate secondo la solidità del loro fondamento nelle fonti, ossia secondo il loro radicamento nei principi costituzionali e convenzionali e nelle norme. La distinzione tra l’analisi empirica delle parti precedenti e l’analisi normativa della presente parte è essenziale per intenderne la natura: la presente parte non aggiunge una grandezza alla rinegoziazione dei costi e dei benefici, ma ne stabilisce la cornice di legittimità e di responsabilità, entro cui le grandezze stabilite trovano il proprio fondamento giuridico. I vincoli invarianti dello studio — la distinzione tra le tre dimensioni del valore, il duplice intervallo di Chisholm, il caveat dell’IMPACT trial — sono preservati ove le grandezze economiche delle parti precedenti sono richiamate.</w:t>
      </w:r>
    </w:p>
    <w:bookmarkEnd w:id="855"/>
    <w:bookmarkStart w:id="856" w:name="introduzione-10"/>
    <w:p>
      <w:pPr>
        <w:pStyle w:val="Heading1"/>
      </w:pPr>
      <w:r>
        <w:t xml:space="preserve">Introduzione</w:t>
      </w:r>
    </w:p>
    <w:p>
      <w:pPr>
        <w:pStyle w:val="FirstParagraph"/>
      </w:pPr>
      <w:r>
        <w:rPr>
          <w:i/>
          <w:iCs/>
        </w:rPr>
        <w:t xml:space="preserve">L’introduzione espone l’oggetto, l’articolazione e il metodo della tredicesima parte. La parte esamina i profili etico-giuridico-organizzativi della riforma lungo cinque voci — il quadro costituzionale e convenzionale, il quadro normativo regionale e nazionale, la protezione dei dati e la governance dell’Intelligenza Artificiale, l’etica professionale e la supervisione umana, e i profili organizzativi e di responsabilità. L’introduzione definisce questi cinque profili, ne dichiara l’ordine, illustra il modo in cui la parte li esamina e il rapporto che essa intrattiene con le parti che la precedono e la seguono.</w:t>
      </w:r>
    </w:p>
    <w:p>
      <w:pPr>
        <w:pStyle w:val="BodyText"/>
      </w:pPr>
      <w:r>
        <w:t xml:space="preserve">La parte esamina cinque profili, che ricompongono la cornice di legittimità e di responsabilità della riforma. Il primo profilo è il quadro costituzionale e convenzionale del diritto alla salute, che costituisce il fondamento ultimo della riforma, radicandola nel diritto alla salute quale principio dell’ordinamento costituzionale e degli strumenti convenzionali. Il secondo profilo è il quadro normativo regionale e nazionale, che costituisce il fondamento prossimo della riforma, istituendola attraverso la legge regionale e collocandola entro la cornice delle norme nazionali. Il terzo profilo è la protezione dei dati e la governance dell’Intelligenza Artificiale, che costituisce la cornice di responsabilità nell’impiego degli strumenti digitali, assicurando la riservatezza, la responsabilità e la trasparenza nel trattamento dei dati e nell’uso dell’Intelligenza Artificiale. Il quarto profilo è l’etica professionale e la supervisione umana, che costituisce la cornice deontologica dell’azione del professionista, governandone la condotta e assicurando la supervisione umana sugli strumenti. Il quinto profilo è quello dei profili organizzativi e di responsabilità, che costituisce la cornice della distribuzione delle funzioni e delle responsabilità tra le figure e le istituzioni, disciplinando l’organizzazione del servizio. I cinque profili sono distinti ma connessi: il fondamento costituzionale e convenzionale si specifica nel quadro normativo, che a sua volta richiede le cornici di responsabilità nell’impiego degli strumenti, nell’azione professionale e nell’organizzazione del servizio.</w:t>
      </w:r>
    </w:p>
    <w:p>
      <w:pPr>
        <w:pStyle w:val="BodyText"/>
      </w:pPr>
      <w:r>
        <w:t xml:space="preserve">L’ordine dei cinque profili procede dal fondamento ultimo alle regole dell’azione, secondo una sequenza che muove dai principi alle loro specificazioni. Il quadro costituzionale e convenzionale, esaminato per primo, è il fondamento ultimo, perché radica la riforma nei principi dell’ordinamento costituzionale e convenzionale, dai quali ogni altra norma e regola discende. Il quadro normativo regionale e nazionale, esaminato in secondo luogo, è il fondamento prossimo, perché istituisce la riforma attraverso le norme che ne danno esistenza giuridica, specificando i principi costituzionali nella disciplina concreta. La protezione dei dati e la governance dell’Intelligenza Artificiale, l’etica professionale e la supervisione umana, e i profili organizzativi e di responsabilità, esaminati in terzo, quarto e quinto luogo, sono le cornici di responsabilità che governano l’azione della riforma, specificando il fondamento normativo nelle regole concrete dell’impiego degli strumenti, dell’azione professionale e dell’organizzazione del servizio. Quest’ordine corrisponde all’articolazione della parte in cinque voci, dalla prima dedicata al quadro costituzionale e convenzionale alla quinta dedicata ai profili organizzativi e di responsabilità, e riflette la struttura della cornice di legittimità e di responsabilità, che muove dal fondamento ultimo alle regole dell’azione.</w:t>
      </w:r>
    </w:p>
    <w:p>
      <w:pPr>
        <w:pStyle w:val="BodyText"/>
      </w:pPr>
      <w:r>
        <w:t xml:space="preserve">La parte intrattiene un rapporto definito con le parti che la precedono e la seguono, di cui costituisce il fondamento giuridico ed etico. Verso le parti precedenti, essa fornisce la cornice di legittimità e di responsabilità entro cui le valutazioni del valore — l’efficacia, la convenienza, l’equità — trovano il proprio fondamento giuridico: la riforma, valutata efficace, conveniente ed equa dalle parti precedenti, è qui mostrata legittima e responsabile, sì che il suo valore si fonda su una cornice giuridica ed etica solida. Verso le parti successive, essa consegna le condizioni di legittimità e di responsabilità alla quattordicesima parte, dedicata all’attuazione, che dovrà tradurle in misure attuative — gli atti normativi attuativi, le misure di protezione dei dati e di governance, le regole deontologiche e organizzative — e alla quindicesima parte, dedicata al monitoraggio, che dovrà verificarne l’osservanza. La parte si colloca dunque tra la valutazione del valore, che la precede, e l’attuazione e il monitoraggio, che la seguono, e vi aggiunge la dimensione della legittimità e della responsabilità, che le altre parti non hanno esaminato. Essa è, nella struttura dello studio, il luogo in cui la valutazione del valore si completa nella valutazione del fondamento e delle regole, e in cui la domanda sull’efficacia, sulla convenienza e sull’equità della riforma si completa nella domanda sulla sua legittimità e responsabilità.</w:t>
      </w:r>
    </w:p>
    <w:bookmarkEnd w:id="856"/>
    <w:bookmarkStart w:id="866" w:name="X0b5166ab255c064d552cc565de235f4ad727727"/>
    <w:p>
      <w:pPr>
        <w:pStyle w:val="Heading2"/>
      </w:pPr>
      <w:r>
        <w:t xml:space="preserve">13.1 Il quadro costituzionale e convenzionale e il diritto alla salute</w:t>
      </w:r>
    </w:p>
    <w:p>
      <w:pPr>
        <w:pStyle w:val="FirstParagraph"/>
      </w:pPr>
      <w:r>
        <w:rPr>
          <w:i/>
          <w:iCs/>
        </w:rPr>
        <w:t xml:space="preserve">La prima voce stabilisce il fondamento ultimo della riforma nel quadro costituzionale e convenzionale del diritto alla salute. Essa espone la logica del fondamento costituzionale e convenzionale, esamina il diritto alla salute nella Costituzione e la sua estensione alla salute mentale, ricostruisce il quadro convenzionale e sovranazionale, mostra il fondamento del primo livello psicologico nei principi costituzionali e convenzionali, e ne traccia infine i confini, dichiarando il carattere normativo dell’analisi e il rinvio alle voci successive.</w:t>
      </w:r>
    </w:p>
    <w:bookmarkStart w:id="858" w:name="Xa2de0cc24ceb09e4b540af66c17481ba0908493"/>
    <w:p>
      <w:pPr>
        <w:pStyle w:val="Heading2"/>
      </w:pPr>
      <w:r>
        <w:t xml:space="preserve">13.1.1 La logica del fondamento costituzionale e convenzionale</w:t>
      </w:r>
    </w:p>
    <w:p>
      <w:pPr>
        <w:pStyle w:val="FirstParagraph"/>
      </w:pPr>
      <w:r>
        <w:t xml:space="preserve">Il fondamento costituzionale e convenzionale è il radicamento della riforma nei principi supremi dell’ordinamento, che ne costituisce il fondamento ultimo e ne assicura la legittimità. Una riforma che istituisce un nuovo servizio sanitario non è un atto isolato, ma un atto che si inscrive nell’ordinamento giuridico, e che da esso trae la propria autorità e i propri limiti; e l’ordinamento giuridico ha, al suo vertice, i principi costituzionali e convenzionali, che ne costituiscono il fondamento supremo, ai quali ogni altra norma e ogni atto devono conformarsi. Il fondamento costituzionale e convenzionale di una riforma è il suo radicamento in questi principi supremi: esso àncora la riforma ai principi dai quali ogni altra norma discende, e le conferisce così la legittimità che deriva dalla conformità ai principi supremi dell’ordinamento. La logica del fondamento costituzionale e convenzionale muove dal riconoscimento che la legittimità di una riforma non si esaurisce nella sua istituzione attraverso una norma, ma richiede che la norma istitutiva, e la riforma che essa istituisce, si conformino ai principi costituzionali e convenzionali, dai quali la norma trae la propria validità. Il fondamento costituzionale e convenzionale è perciò il fondamento ultimo della riforma, distinto dal fondamento prossimo che la norma istitutiva costituisce: la norma istituisce la riforma, ma è la sua conformità ai principi costituzionali e convenzionali che ne assicura la legittimità ultima.</w:t>
      </w:r>
      <w:r>
        <w:rPr>
          <w:rStyle w:val="FootnoteReference"/>
        </w:rPr>
        <w:footnoteReference w:id="360"/>
      </w:r>
    </w:p>
    <w:p>
      <w:pPr>
        <w:pStyle w:val="BodyText"/>
      </w:pPr>
      <w:r>
        <w:t xml:space="preserve">Il fondamento costituzionale e convenzionale opera, rispetto alla riforma, come fondamento e come limite, secondo una duplice funzione. Come fondamento, esso radica la riforma nei principi supremi, e le conferisce la legittimità che deriva dalla loro attuazione: la riforma che attua un principio costituzionale o convenzionale trova in quel principio il proprio fondamento, e la propria attuazione del principio ne costituisce la giustificazione ultima. Come limite, esso circoscrive la riforma entro i confini che i principi supremi tracciano, e le impone la conformità ad essi: la riforma non può eccedere i limiti che i principi costituzionali e convenzionali pongono, né violarli, e la sua conformità ad essi è la condizione della sua legittimità. La duplice funzione del fondamento costituzionale e convenzionale — fondamento e limite — è essenziale per intendere il rapporto tra la riforma e i principi supremi: la riforma trova nei principi il proprio fondamento, e ne è al tempo stesso circoscritta; essa li attua, e ad essi si conforma. La presente voce esamina il fondamento costituzionale e convenzionale della riforma sotto entrambe le funzioni: essa mostra come la riforma attui i principi del diritto alla salute, dell’uguaglianza sostanziale e della tutela delle persone con disabilità, trovando in essi il proprio fondamento; e come essa si conformi ai limiti che tali principi pongono, in particolare quanto alla riservatezza, alla non discriminazione e al rispetto della persona, che le voci successive esamineranno nelle loro specificazioni.</w:t>
      </w:r>
    </w:p>
    <w:bookmarkEnd w:id="858"/>
    <w:bookmarkStart w:id="860" w:name="X5b69257b8d31f7859c3f0d88bf415f969dacd1d"/>
    <w:p>
      <w:pPr>
        <w:pStyle w:val="Heading2"/>
      </w:pPr>
      <w:r>
        <w:t xml:space="preserve">13.1.2 Il diritto alla salute nella Costituzione e la salute mentale</w:t>
      </w:r>
    </w:p>
    <w:p>
      <w:pPr>
        <w:pStyle w:val="FirstParagraph"/>
      </w:pPr>
      <w:r>
        <w:t xml:space="preserve">Il fondamento costituzionale della riforma risiede nel diritto alla salute, che la Costituzione tutela come diritto fondamentale dell’individuo e interesse della collettività. La Costituzione, all’articolo trentadue, tutela la salute come fondamentale diritto dell’individuo e interesse della collettività, e garantisce cure gratuite agli indigenti; e questa disposizione, che qualifica la salute come l’unico diritto cui la Costituzione attribuisce espressamente il carattere di fondamentale, costituisce il fondamento costituzionale della provvista pubblica della cura. Il diritto alla salute ha, secondo l’interpretazione consolidata, una duplice natura: una dimensione negativa, che protegge l’individuo da lesioni della propria salute, e una dimensione positiva, che fonda la pretesa dell’individuo alla provvista della cura. La dimensione positiva del diritto alla salute è il fondamento della provvista pubblica dei servizi sanitari, e in particolare dei livelli essenziali di assistenza, che costituiscono il contenuto minimo del diritto alla salute, garantito su tutto il territorio. La riforma del primo livello psicologico attua la dimensione positiva del diritto alla salute, estendendo la provvista pubblica al primo livello della cura psicologica: essa realizza, per la salute mentale, la pretesa dell’individuo alla provvista della cura, che il diritto alla salute fonda.</w:t>
      </w:r>
      <w:r>
        <w:rPr>
          <w:rStyle w:val="FootnoteReference"/>
        </w:rPr>
        <w:footnoteReference w:id="361"/>
      </w:r>
    </w:p>
    <w:p>
      <w:pPr>
        <w:pStyle w:val="BodyText"/>
      </w:pPr>
      <w:r>
        <w:t xml:space="preserve">Il diritto alla salute si estende alla salute mentale, che ne costituisce parte integrante, e che il diritto alla salute tutela in misura pari alla salute fisica. La salute, nella nozione che l’ordinamento e la scienza hanno consolidato, non è la mera assenza di malattia fisica, ma uno stato di benessere che comprende la dimensione mentale; e il diritto alla salute, che tutela la salute, tutela perciò anche la salute mentale, in misura pari alla salute fisica. L’estensione del diritto alla salute alla salute mentale ha conseguenze per la riforma: essa implica che la provvista pubblica della cura, che il diritto alla salute fonda, comprende la cura del disagio mentale, e che l’individuo ha, per la salute mentale, la medesima pretesa alla provvista della cura che ha per la salute fisica. La riforma del primo livello psicologico attua questa pretesa, estendendo la provvista pubblica al primo livello della cura del disagio mentale, che oggi è in larga parte affidata alla provvista privata o non soddisfatta; essa colma così una lacuna nella provvista pubblica della cura della salute mentale, attuando la pretesa che il diritto alla salute fonda. Il fondamento costituzionale della riforma risiede dunque nel diritto alla salute, esteso alla salute mentale: la riforma attua la dimensione positiva del diritto alla salute per la salute mentale, realizzando la pretesa dell’individuo alla provvista della cura del disagio mentale, e trovando in tale pretesa il proprio fondamento costituzionale.</w:t>
      </w:r>
    </w:p>
    <w:p>
      <w:pPr>
        <w:pStyle w:val="BodyText"/>
      </w:pPr>
      <w:r>
        <w:t xml:space="preserve">Al fondamento nel diritto alla salute si aggiunge il fondamento nel principio di uguaglianza sostanziale, che la riforma attua estendendo l’accesso alla cura. La Costituzione, all’articolo terzo, secondo comma, attribuisce alla Repubblica il compito di rimuovere gli ostacoli che, limitando di fatto la libertà e l’uguaglianza, impediscono il pieno sviluppo della persona; e questo principio di uguaglianza sostanziale, che impone la rimozione degli ostacoli di fatto all’uguaglianza, costituisce un ulteriore fondamento della riforma. La riforma del primo livello psicologico attua il principio di uguaglianza sostanziale, perché rimuove un ostacolo di fatto all’uguaglianza nell’accesso alla cura del disagio mentale: l’ostacolo costituito dal costo della cura privata, che esclude i gruppi svantaggiati, e dalla lacuna nella provvista pubblica, che lascia il disagio non intercettato. Estendendo la provvista pubblica al primo livello della cura psicologica, e rendendola accessibile a tutti indipendentemente dalla capacità di spesa, la riforma rimuove questo ostacolo, e attua il principio di uguaglianza sostanziale, riducendo la diseguaglianza nell’accesso alla cura che la dodicesima parte ha esaminato. Il fondamento della riforma nel principio di uguaglianza sostanziale si connette così alla valutazione dell’equità condotta nella dodicesima parte: ciò che la dodicesima parte ha esaminato come distribuzione del valore tra i gruppi, la presente voce lo fonda nel principio costituzionale di uguaglianza sostanziale, che impone la rimozione degli ostacoli all’uguaglianza nell’accesso alla cura.</w:t>
      </w:r>
    </w:p>
    <w:bookmarkEnd w:id="860"/>
    <w:bookmarkStart w:id="862" w:name="il-quadro-convenzionale-e-sovranazionale"/>
    <w:p>
      <w:pPr>
        <w:pStyle w:val="Heading2"/>
      </w:pPr>
      <w:r>
        <w:t xml:space="preserve">13.1.3 Il quadro convenzionale e sovranazionale</w:t>
      </w:r>
    </w:p>
    <w:p>
      <w:pPr>
        <w:pStyle w:val="FirstParagraph"/>
      </w:pPr>
      <w:r>
        <w:t xml:space="preserve">Al fondamento costituzionale si aggiunge il fondamento convenzionale e sovranazionale, costituito dagli strumenti internazionali ed europei che tutelano il diritto alla salute e la non discriminazione. L’ordinamento italiano si inscrive in un quadro convenzionale e sovranazionale, costituito dagli strumenti internazionali ed europei che l’Italia ha ratificato o ai quali è vincolata, i quali tutelano i diritti fondamentali, tra cui il diritto alla salute, e che concorrono a fondare la riforma. Questi strumenti operano, rispetto all’ordinamento interno, secondo modalità diverse — taluni come norme interposte nel giudizio di costituzionalità, taluni come fonti dell’ordinamento dell’Unione europea, taluni come obblighi internazionali — ma concorrono tutti a rafforzare il fondamento della riforma, aggiungendo al fondamento costituzionale interno il fondamento convenzionale e sovranazionale. La tabella che segue ricostruisce le principali fonti del fondamento costituzionale e convenzionale del diritto alla salute, indicando per ciascuna la disposizione rilevante, il contenuto per il diritto alla salute e il rilievo per il primo livello psicologico.</w:t>
      </w:r>
      <w:r>
        <w:rPr>
          <w:rStyle w:val="FootnoteReference"/>
        </w:rPr>
        <w:footnoteReference w:id="362"/>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Disposizione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il diritto alla salute</w:t>
            </w:r>
          </w:p>
        </w:tc>
        <w:tc>
          <w:tcPr>
            <w:shd w:val="clear" w:color="auto" w:fill="16264B"/>
          </w:tcPr>
          <w:p>
            <w:pPr>
              <w:pStyle w:val="Compact"/>
              <w:spacing w:after="40" w:before="40"/>
              <w:jc w:val="left"/>
            </w:pPr>
            <w:r>
              <w:rPr>
                <w:rFonts w:ascii="Cambria" w:hAnsi="Cambria" w:cs="Cambria" w:eastAsia="Cambria"/>
                <w:b/>
                <w:bCs/>
                <w:color w:val="FFFFFF"/>
                <w:sz w:val="18"/>
              </w:rPr>
              <w:t xml:space="preserve">Rilievo per il primo livello psicologico</w:t>
            </w:r>
          </w:p>
        </w:tc>
      </w:tr>
      <w:tr>
        <w:tc>
          <w:tcPr/>
          <w:p>
            <w:pPr>
              <w:pStyle w:val="Compact"/>
              <w:spacing w:after="40" w:before="40"/>
              <w:jc w:val="left"/>
            </w:pPr>
            <w:r>
              <w:rPr>
                <w:rFonts w:ascii="Cambria" w:hAnsi="Cambria" w:cs="Cambria" w:eastAsia="Cambria"/>
                <w:color w:val="1A1A1A"/>
                <w:sz w:val="18"/>
              </w:rPr>
              <w:t xml:space="preserve">Costituzione italiana</w:t>
            </w:r>
          </w:p>
        </w:tc>
        <w:tc>
          <w:tcPr/>
          <w:p>
            <w:pPr>
              <w:pStyle w:val="Compact"/>
              <w:spacing w:after="40" w:before="40"/>
              <w:jc w:val="left"/>
            </w:pPr>
            <w:r>
              <w:rPr>
                <w:rFonts w:ascii="Cambria" w:hAnsi="Cambria" w:cs="Cambria" w:eastAsia="Cambria"/>
                <w:color w:val="1A1A1A"/>
                <w:sz w:val="18"/>
              </w:rPr>
              <w:t xml:space="preserve">Articolo 32</w:t>
            </w:r>
          </w:p>
        </w:tc>
        <w:tc>
          <w:tcPr/>
          <w:p>
            <w:pPr>
              <w:pStyle w:val="Compact"/>
              <w:spacing w:after="40" w:before="40"/>
              <w:jc w:val="left"/>
            </w:pPr>
            <w:r>
              <w:rPr>
                <w:rFonts w:ascii="Cambria" w:hAnsi="Cambria" w:cs="Cambria" w:eastAsia="Cambria"/>
                <w:color w:val="1A1A1A"/>
                <w:sz w:val="18"/>
              </w:rPr>
              <w:t xml:space="preserve">Tutela della salute come fondamentale diritto dell’individuo e interesse della collettività; cure gratuite agli indigenti</w:t>
            </w:r>
          </w:p>
        </w:tc>
        <w:tc>
          <w:tcPr/>
          <w:p>
            <w:pPr>
              <w:pStyle w:val="Compact"/>
              <w:spacing w:after="40" w:before="40"/>
              <w:jc w:val="left"/>
            </w:pPr>
            <w:r>
              <w:rPr>
                <w:rFonts w:ascii="Cambria" w:hAnsi="Cambria" w:cs="Cambria" w:eastAsia="Cambria"/>
                <w:color w:val="1A1A1A"/>
                <w:sz w:val="18"/>
              </w:rPr>
              <w:t xml:space="preserve">Fonda la provvista pubblica della cura, estesa alla salute mentale</w:t>
            </w:r>
          </w:p>
        </w:tc>
      </w:tr>
      <w:tr>
        <w:tc>
          <w:tcPr>
            <w:shd w:val="clear" w:color="auto" w:fill="F4F1EC"/>
          </w:tcPr>
          <w:p>
            <w:pPr>
              <w:pStyle w:val="Compact"/>
              <w:spacing w:after="40" w:before="40"/>
              <w:jc w:val="left"/>
            </w:pPr>
            <w:r>
              <w:rPr>
                <w:rFonts w:ascii="Cambria" w:hAnsi="Cambria" w:cs="Cambria" w:eastAsia="Cambria"/>
                <w:color w:val="1A1A1A"/>
                <w:sz w:val="18"/>
              </w:rPr>
              <w:t xml:space="preserve">Costituzione italiana</w:t>
            </w:r>
          </w:p>
        </w:tc>
        <w:tc>
          <w:tcPr>
            <w:shd w:val="clear" w:color="auto" w:fill="F4F1EC"/>
          </w:tcPr>
          <w:p>
            <w:pPr>
              <w:pStyle w:val="Compact"/>
              <w:spacing w:after="40" w:before="40"/>
              <w:jc w:val="left"/>
            </w:pPr>
            <w:r>
              <w:rPr>
                <w:rFonts w:ascii="Cambria" w:hAnsi="Cambria" w:cs="Cambria" w:eastAsia="Cambria"/>
                <w:color w:val="1A1A1A"/>
                <w:sz w:val="18"/>
              </w:rPr>
              <w:t xml:space="preserve">Articolo 3, secondo comma</w:t>
            </w:r>
          </w:p>
        </w:tc>
        <w:tc>
          <w:tcPr>
            <w:shd w:val="clear" w:color="auto" w:fill="F4F1EC"/>
          </w:tcPr>
          <w:p>
            <w:pPr>
              <w:pStyle w:val="Compact"/>
              <w:spacing w:after="40" w:before="40"/>
              <w:jc w:val="left"/>
            </w:pPr>
            <w:r>
              <w:rPr>
                <w:rFonts w:ascii="Cambria" w:hAnsi="Cambria" w:cs="Cambria" w:eastAsia="Cambria"/>
                <w:color w:val="1A1A1A"/>
                <w:sz w:val="18"/>
              </w:rPr>
              <w:t xml:space="preserve">Uguaglianza sostanziale; rimozione degli ostacoli di fatto all’uguaglianza</w:t>
            </w:r>
          </w:p>
        </w:tc>
        <w:tc>
          <w:tcPr>
            <w:shd w:val="clear" w:color="auto" w:fill="F4F1EC"/>
          </w:tcPr>
          <w:p>
            <w:pPr>
              <w:pStyle w:val="Compact"/>
              <w:spacing w:after="40" w:before="40"/>
              <w:jc w:val="left"/>
            </w:pPr>
            <w:r>
              <w:rPr>
                <w:rFonts w:ascii="Cambria" w:hAnsi="Cambria" w:cs="Cambria" w:eastAsia="Cambria"/>
                <w:color w:val="1A1A1A"/>
                <w:sz w:val="18"/>
              </w:rPr>
              <w:t xml:space="preserve">Fonda l’estensione dell’accesso ai gruppi svantaggiati</w:t>
            </w:r>
          </w:p>
        </w:tc>
      </w:tr>
      <w:tr>
        <w:tc>
          <w:tcPr/>
          <w:p>
            <w:pPr>
              <w:pStyle w:val="Compact"/>
              <w:spacing w:after="40" w:before="40"/>
              <w:jc w:val="left"/>
            </w:pPr>
            <w:r>
              <w:rPr>
                <w:rFonts w:ascii="Cambria" w:hAnsi="Cambria" w:cs="Cambria" w:eastAsia="Cambria"/>
                <w:color w:val="1A1A1A"/>
                <w:sz w:val="18"/>
              </w:rPr>
              <w:t xml:space="preserve">Costituzione italiana</w:t>
            </w:r>
          </w:p>
        </w:tc>
        <w:tc>
          <w:tcPr/>
          <w:p>
            <w:pPr>
              <w:pStyle w:val="Compact"/>
              <w:spacing w:after="40" w:before="40"/>
              <w:jc w:val="left"/>
            </w:pPr>
            <w:r>
              <w:rPr>
                <w:rFonts w:ascii="Cambria" w:hAnsi="Cambria" w:cs="Cambria" w:eastAsia="Cambria"/>
                <w:color w:val="1A1A1A"/>
                <w:sz w:val="18"/>
              </w:rPr>
              <w:t xml:space="preserve">Articolo 117</w:t>
            </w:r>
          </w:p>
        </w:tc>
        <w:tc>
          <w:tcPr/>
          <w:p>
            <w:pPr>
              <w:pStyle w:val="Compact"/>
              <w:spacing w:after="40" w:before="40"/>
              <w:jc w:val="left"/>
            </w:pPr>
            <w:r>
              <w:rPr>
                <w:rFonts w:ascii="Cambria" w:hAnsi="Cambria" w:cs="Cambria" w:eastAsia="Cambria"/>
                <w:color w:val="1A1A1A"/>
                <w:sz w:val="18"/>
              </w:rPr>
              <w:t xml:space="preserve">Competenza concorrente di Stato e Regioni in materia di tutela della salute</w:t>
            </w:r>
          </w:p>
        </w:tc>
        <w:tc>
          <w:tcPr/>
          <w:p>
            <w:pPr>
              <w:pStyle w:val="Compact"/>
              <w:spacing w:after="40" w:before="40"/>
              <w:jc w:val="left"/>
            </w:pPr>
            <w:r>
              <w:rPr>
                <w:rFonts w:ascii="Cambria" w:hAnsi="Cambria" w:cs="Cambria" w:eastAsia="Cambria"/>
                <w:color w:val="1A1A1A"/>
                <w:sz w:val="18"/>
              </w:rPr>
              <w:t xml:space="preserve">Fonda la competenza regionale a organizzare il servizio</w:t>
            </w:r>
          </w:p>
        </w:tc>
      </w:tr>
      <w:tr>
        <w:tc>
          <w:tcPr>
            <w:shd w:val="clear" w:color="auto" w:fill="F4F1EC"/>
          </w:tcPr>
          <w:p>
            <w:pPr>
              <w:pStyle w:val="Compact"/>
              <w:spacing w:after="40" w:before="40"/>
              <w:jc w:val="left"/>
            </w:pPr>
            <w:r>
              <w:rPr>
                <w:rFonts w:ascii="Cambria" w:hAnsi="Cambria" w:cs="Cambria" w:eastAsia="Cambria"/>
                <w:color w:val="1A1A1A"/>
                <w:sz w:val="18"/>
              </w:rPr>
              <w:t xml:space="preserve">Carta dei diritti fondamentali dell’Unione europea</w:t>
            </w:r>
          </w:p>
        </w:tc>
        <w:tc>
          <w:tcPr>
            <w:shd w:val="clear" w:color="auto" w:fill="F4F1EC"/>
          </w:tcPr>
          <w:p>
            <w:pPr>
              <w:pStyle w:val="Compact"/>
              <w:spacing w:after="40" w:before="40"/>
              <w:jc w:val="left"/>
            </w:pPr>
            <w:r>
              <w:rPr>
                <w:rFonts w:ascii="Cambria" w:hAnsi="Cambria" w:cs="Cambria" w:eastAsia="Cambria"/>
                <w:color w:val="1A1A1A"/>
                <w:sz w:val="18"/>
              </w:rPr>
              <w:t xml:space="preserve">Articolo 35</w:t>
            </w:r>
          </w:p>
        </w:tc>
        <w:tc>
          <w:tcPr>
            <w:shd w:val="clear" w:color="auto" w:fill="F4F1EC"/>
          </w:tcPr>
          <w:p>
            <w:pPr>
              <w:pStyle w:val="Compact"/>
              <w:spacing w:after="40" w:before="40"/>
              <w:jc w:val="left"/>
            </w:pPr>
            <w:r>
              <w:rPr>
                <w:rFonts w:ascii="Cambria" w:hAnsi="Cambria" w:cs="Cambria" w:eastAsia="Cambria"/>
                <w:color w:val="1A1A1A"/>
                <w:sz w:val="18"/>
              </w:rPr>
              <w:t xml:space="preserve">Diritto di accedere alla prevenzione sanitaria e di ottenere cure mediche</w:t>
            </w:r>
          </w:p>
        </w:tc>
        <w:tc>
          <w:tcPr>
            <w:shd w:val="clear" w:color="auto" w:fill="F4F1EC"/>
          </w:tcPr>
          <w:p>
            <w:pPr>
              <w:pStyle w:val="Compact"/>
              <w:spacing w:after="40" w:before="40"/>
              <w:jc w:val="left"/>
            </w:pPr>
            <w:r>
              <w:rPr>
                <w:rFonts w:ascii="Cambria" w:hAnsi="Cambria" w:cs="Cambria" w:eastAsia="Cambria"/>
                <w:color w:val="1A1A1A"/>
                <w:sz w:val="18"/>
              </w:rPr>
              <w:t xml:space="preserve">Rafforza il fondamento della provvista pubblica della cura</w:t>
            </w:r>
          </w:p>
        </w:tc>
      </w:tr>
      <w:tr>
        <w:tc>
          <w:tcPr/>
          <w:p>
            <w:pPr>
              <w:pStyle w:val="Compact"/>
              <w:spacing w:after="40" w:before="40"/>
              <w:jc w:val="left"/>
            </w:pPr>
            <w:r>
              <w:rPr>
                <w:rFonts w:ascii="Cambria" w:hAnsi="Cambria" w:cs="Cambria" w:eastAsia="Cambria"/>
                <w:color w:val="1A1A1A"/>
                <w:sz w:val="18"/>
              </w:rPr>
              <w:t xml:space="preserve">Convenzione delle Nazioni Unite sui diritti delle persone con disabilità</w:t>
            </w:r>
          </w:p>
        </w:tc>
        <w:tc>
          <w:tcPr/>
          <w:p>
            <w:pPr>
              <w:pStyle w:val="Compact"/>
              <w:spacing w:after="40" w:before="40"/>
              <w:jc w:val="left"/>
            </w:pPr>
            <w:r>
              <w:rPr>
                <w:rFonts w:ascii="Cambria" w:hAnsi="Cambria" w:cs="Cambria" w:eastAsia="Cambria"/>
                <w:color w:val="1A1A1A"/>
                <w:sz w:val="18"/>
              </w:rPr>
              <w:t xml:space="preserve">Articolo 25</w:t>
            </w:r>
          </w:p>
        </w:tc>
        <w:tc>
          <w:tcPr/>
          <w:p>
            <w:pPr>
              <w:pStyle w:val="Compact"/>
              <w:spacing w:after="40" w:before="40"/>
              <w:jc w:val="left"/>
            </w:pPr>
            <w:r>
              <w:rPr>
                <w:rFonts w:ascii="Cambria" w:hAnsi="Cambria" w:cs="Cambria" w:eastAsia="Cambria"/>
                <w:color w:val="1A1A1A"/>
                <w:sz w:val="18"/>
              </w:rPr>
              <w:t xml:space="preserve">Diritto al più alto standard conseguibile di salute senza discriminazione</w:t>
            </w:r>
          </w:p>
        </w:tc>
        <w:tc>
          <w:tcPr/>
          <w:p>
            <w:pPr>
              <w:pStyle w:val="Compact"/>
              <w:spacing w:after="40" w:before="40"/>
              <w:jc w:val="left"/>
            </w:pPr>
            <w:r>
              <w:rPr>
                <w:rFonts w:ascii="Cambria" w:hAnsi="Cambria" w:cs="Cambria" w:eastAsia="Cambria"/>
                <w:color w:val="1A1A1A"/>
                <w:sz w:val="18"/>
              </w:rPr>
              <w:t xml:space="preserve">Rilevante per la salute mentale e per la non discriminazione</w:t>
            </w:r>
          </w:p>
        </w:tc>
      </w:tr>
    </w:tbl>
    <w:p>
      <w:pPr>
        <w:pStyle w:val="BodyText"/>
      </w:pPr>
      <w:r>
        <w:rPr>
          <w:i/>
          <w:iCs/>
        </w:rPr>
        <w:t xml:space="preserve">Tabella 13.1 — Le principali fonti del fondamento costituzionale e convenzionale del diritto alla salute, con la disposizione rilevante, il contenuto per il diritto alla salute e il rilievo per il primo livello psicologico. Le fonti costituzionali e convenzionali concorrono a fondare la riforma nel diritto alla salute, nell’uguaglianza sostanziale e nella tutela delle persone con disabilità.</w:t>
      </w:r>
    </w:p>
    <w:p>
      <w:pPr>
        <w:pStyle w:val="BodyText"/>
      </w:pPr>
      <w:r>
        <w:t xml:space="preserve">Tra le fonti convenzionali e sovranazionali, la Carta dei diritti fondamentali dell’Unione europea e la Convenzione sui diritti delle persone con disabilità rivestono uno specifico rilievo per la riforma. La Carta dei diritti fondamentali dell’Unione europea, all’articolo trentacinque, riconosce il diritto di ogni persona di accedere alla prevenzione sanitaria e di ottenere cure mediche, e impone che nella definizione e nell’attuazione delle politiche dell’Unione sia garantito un livello elevato di protezione della salute; essa rafforza il fondamento della riforma, aggiungendo al diritto alla salute della Costituzione il diritto alle cure della Carta, che opera nell’ambito dell’ordinamento dell’Unione. La Convenzione delle Nazioni Unite sui diritti delle persone con disabilità, all’articolo venticinque, riconosce il diritto delle persone con disabilità di godere del più alto standard conseguibile di salute senza discriminazione fondata sulla disabilità, e impone agli Stati di fornire i servizi sanitari di cui le persone con disabilità necessitano in ragione della loro condizione; essa riveste uno specifico rilievo per la salute mentale, perché il disagio mentale grave può configurare una disabilità ai sensi della Convenzione, e perché la Convenzione impone la provvista dei servizi sanitari senza discriminazione, rafforzando il fondamento della riforma nella non discriminazione. Il quadro convenzionale e sovranazionale concorre dunque a fondare la riforma, aggiungendo al fondamento costituzionale interno il fondamento degli strumenti europei e internazionali, che tutelano il diritto alla salute, il diritto alle cure e la non discriminazione, e che rafforzano la legittimità della riforma del primo livello psicologico.</w:t>
      </w:r>
    </w:p>
    <w:bookmarkEnd w:id="862"/>
    <w:bookmarkStart w:id="864" w:name="Xe0661b6ce3a7e693dbdcd5be2dfc3e8a076dd41"/>
    <w:p>
      <w:pPr>
        <w:pStyle w:val="Heading2"/>
      </w:pPr>
      <w:r>
        <w:t xml:space="preserve">13.1.4 Il fondamento del primo livello psicologico nei principi costituzionali e convenzionali</w:t>
      </w:r>
    </w:p>
    <w:p>
      <w:pPr>
        <w:pStyle w:val="FirstParagraph"/>
      </w:pPr>
      <w:r>
        <w:t xml:space="preserve">Il primo livello psicologico trova nei principi costituzionali e convenzionali un fondamento articolato, che ne radica l’istituzione in una pluralità di principi convergenti. Il fondamento del primo livello psicologico non risiede in un singolo principio, ma nella convergenza di più principi, ciascuno dei quali concorre a fondarlo sotto un profilo distinto. Il diritto alla salute, esteso alla salute mentale, fonda la provvista pubblica della cura del disagio mentale, e perciò l’istituzione del primo livello psicologico come servizio pubblico che eroga tale cura. Il principio di uguaglianza sostanziale fonda l’estensione dell’accesso alla cura ai gruppi svantaggiati, e perciò la gratuità e la bassa soglia di accesso del primo livello psicologico, che rimuovono gli ostacoli di fatto all’uguaglianza. La tutela delle persone con disabilità fonda la provvista dei servizi senza discriminazione, e perciò l’accessibilità del primo livello psicologico a tutti, comprese le persone il cui disagio configuri una disabilità. La competenza concorrente in materia di tutela della salute fonda la potestà della Regione di organizzare il servizio, e perciò l’istituzione del primo livello psicologico attraverso la legge regionale. La convergenza di questi principi costituisce il fondamento articolato del primo livello psicologico: esso è fondato nel diritto alla salute quanto alla provvista della cura, nell’uguaglianza sostanziale quanto all’estensione dell’accesso, nella tutela delle persone con disabilità quanto alla non discriminazione, e nella competenza concorrente quanto alla potestà regionale di organizzarlo.</w:t>
      </w:r>
      <w:r>
        <w:rPr>
          <w:rStyle w:val="FootnoteReference"/>
        </w:rPr>
        <w:footnoteReference w:id="363"/>
      </w:r>
    </w:p>
    <w:p>
      <w:pPr>
        <w:pStyle w:val="BodyText"/>
      </w:pPr>
      <w:r>
        <w:t xml:space="preserve">Il fondamento del primo livello psicologico nei principi costituzionali e convenzionali si connette alle valutazioni del valore condotte nelle parti precedenti, di cui costituisce il radicamento giuridico. Le parti precedenti hanno valutato il primo livello psicologico sotto i profili del valore — l’efficacia, la convenienza, l’equità — e la presente voce ne mostra il fondamento nei principi, sì che le valutazioni del valore trovino il proprio radicamento giuridico. L’efficacia del primo livello psicologico nel ridurre il disagio mentale, che la sesta parte ha documentato, attua il diritto alla salute, che fonda la provvista della cura efficace; sicché l’efficacia non è soltanto un pregio del primo livello psicologico, ma l’attuazione del diritto alla salute, che esige la provvista di cure efficaci. La convenienza del primo livello psicologico, che le parti economiche hanno stabilito, concorre alla sostenibilità della provvista pubblica, che il diritto alla salute esige sia garantita in modo durevole; sicché la convenienza non è soltanto un pregio economico, ma una condizione della sostenibilità della provvista che il diritto alla salute fonda. L’equità del primo livello psicologico, che la dodicesima parte ha esaminato, attua il principio di uguaglianza sostanziale, che fonda l’estensione dell’accesso ai gruppi svantaggiati; sicché l’equità non è soltanto un pregio distributivo, ma l’attuazione del principio di uguaglianza sostanziale, che esige la rimozione degli ostacoli all’uguaglianza. Il fondamento del primo livello psicologico nei principi costituzionali e convenzionali radica dunque le valutazioni del valore nel diritto: ciò che le parti precedenti hanno valutato come pregi del primo livello psicologico, la presente voce lo fonda come attuazione dei principi costituzionali e convenzionali, sì che il valore della riforma si fondi sulla sua legittimità.</w:t>
      </w:r>
    </w:p>
    <w:bookmarkEnd w:id="864"/>
    <w:bookmarkStart w:id="865" w:name="Xc402dd2049bc84d03e634d74b09cb18d1d237e9"/>
    <w:p>
      <w:pPr>
        <w:pStyle w:val="Heading2"/>
      </w:pPr>
      <w:r>
        <w:t xml:space="preserve">13.1.5 I confini della voce e il carattere normativo dell’analisi</w:t>
      </w:r>
    </w:p>
    <w:p>
      <w:pPr>
        <w:pStyle w:val="FirstParagraph"/>
      </w:pPr>
      <w:r>
        <w:t xml:space="preserve">La voce ha carattere normativo, e ciò ne determina il metodo, distinto da quello delle parti empiriche dello studio. La voce non misura grandezze, né formula stime in bande prudenziali falsificabili, ma esamina principi costituzionali e convenzionali, e ne valuta la portata come fondamento della riforma; il suo metodo è perciò quello dell’analisi giuridica, che ricostruisce il contenuto dei principi e ne trae il fondamento della riforma, e non quello dell’analisi empirica, che misura grandezze e ne stima il valore. La gradazione dell’evidenza secondo i criteri GRADE, che governa le stime empiriche dello studio, non si applica alla voce, perché essa non formula stime empiriche, ma proposizioni giuridiche, la cui solidità si valuta secondo il loro radicamento nelle fonti, e non secondo la qualità dell’evidenza empirica. Le proposizioni della voce — che la riforma è fondata nel diritto alla salute, nell’uguaglianza sostanziale, nella tutela delle persone con disabilità e nella competenza concorrente — sono proposizioni giuridiche, solide in quanto radicate nelle fonti costituzionali e convenzionali, e la loro solidità si valuta secondo tale radicamento. Il carattere normativo della voce non la rende perciò meno rigorosa delle parti empiriche, ma ne muta il criterio del rigore: il rigore della voce risiede nella correttezza dell’analisi giuridica e nel radicamento delle proposizioni nelle fonti, anziché nella qualità dell’evidenza empirica e nella prudenza delle stime.</w:t>
      </w:r>
    </w:p>
    <w:p>
      <w:pPr>
        <w:pStyle w:val="BodyText"/>
      </w:pPr>
      <w:r>
        <w:t xml:space="preserve">I confini della voce ne delimitano la portata e ne rimettono taluni aspetti alle voci successive. La voce stabilisce il fondamento ultimo della riforma nel quadro costituzionale e convenzionale, e non il fondamento prossimo nel quadro normativo regionale e nazionale, che è oggetto della seconda voce; essa esamina i principi supremi, e non le norme che li specificano, che la seconda voce ricostruirà. La voce mostra il fondamento della riforma nei principi del diritto alla salute, dell’uguaglianza sostanziale e della tutela delle persone con disabilità, e non le cornici di responsabilità che ne governano l’attuazione — la protezione dei dati e la governance dell’Intelligenza Artificiale, l’etica professionale e la supervisione umana, i profili organizzativi e di responsabilità — che le voci successive esamineranno. La voce richiama le valutazioni del valore condotte nelle parti precedenti, e ne mostra il radicamento giuridico, ma non le rifà, né ne modifica le grandezze, preservando i vincoli invarianti dello studio ove esse sono richiamate. Entro questi confini, la voce stabilisce che la riforma del primo livello psicologico trova nel quadro costituzionale e convenzionale del diritto alla salute il proprio fondamento ultimo, articolato nella convergenza dei principi del diritto alla salute, dell’uguaglianza sostanziale, della tutela delle persone con disabilità e della competenza concorrente; e che tale fondamento radica nel diritto le valutazioni del valore condotte nelle parti precedenti, sì che il valore della riforma si fondi sulla sua legittimità costituzionale e convenzionale.</w:t>
      </w:r>
    </w:p>
    <w:bookmarkEnd w:id="865"/>
    <w:bookmarkEnd w:id="866"/>
    <w:bookmarkStart w:id="876" w:name="X57211162313e65244837c85592eafa0cbace14a"/>
    <w:p>
      <w:pPr>
        <w:pStyle w:val="Heading2"/>
      </w:pPr>
      <w:r>
        <w:t xml:space="preserve">13.2 Il quadro normativo regionale e nazionale e gli atti attuativi</w:t>
      </w:r>
    </w:p>
    <w:p>
      <w:pPr>
        <w:pStyle w:val="FirstParagraph"/>
      </w:pPr>
      <w:r>
        <w:rPr>
          <w:i/>
          <w:iCs/>
        </w:rPr>
        <w:t xml:space="preserve">La seconda voce stabilisce il fondamento prossimo della riforma nel quadro normativo regionale e nazionale. Essa espone la logica del quadro normativo come fonte e limite, ricostruisce il quadro nazionale entro cui la riforma si colloca, esamina il quadro regionale che la istituisce, considera gli atti attuativi e il rapporto tra le fonti, e ne traccia infine i confini, dichiarando il rinvio alle voci successive e alla parte dedicata all’attuazione.</w:t>
      </w:r>
    </w:p>
    <w:bookmarkStart w:id="868" w:name="X52bb816b3e01b8a4e1110dcd08d62f417ff5900"/>
    <w:p>
      <w:pPr>
        <w:pStyle w:val="Heading2"/>
      </w:pPr>
      <w:r>
        <w:t xml:space="preserve">13.2.1 La logica del quadro normativo come fonte e limite</w:t>
      </w:r>
    </w:p>
    <w:p>
      <w:pPr>
        <w:pStyle w:val="FirstParagraph"/>
      </w:pPr>
      <w:r>
        <w:t xml:space="preserve">Il quadro normativo è la cornice delle norme che istituiscono la riforma e ne disciplinano l’organizzazione, e costituisce il fondamento prossimo della riforma. Mentre il quadro costituzionale e convenzionale costituisce il fondamento ultimo, radicando la riforma nei principi supremi, il quadro normativo costituisce il fondamento prossimo, istituendo la riforma attraverso le norme che ne danno esistenza giuridica e ne disciplinano l’organizzazione. La riforma esiste come istituzione giuridica perché una norma la istituisce: la norma istitutiva conferisce alla riforma esistenza giuridica, definendone l’oggetto, le figure, le funzioni e l’organizzazione, e costituendo il fondamento prossimo dal quale la riforma trae la propria disciplina. Il quadro normativo opera, rispetto alla riforma, come fonte e come limite: come fonte, esso istituisce la riforma e ne disciplina l’organizzazione, costituendo il fondamento della sua esistenza e della sua disciplina; come limite, esso circoscrive la riforma entro i confini che le norme tracciano, e le impone la conformità ad esse. La logica del quadro normativo muove dal riconoscimento che la riforma, per esistere come istituzione giuridica e operare secondo una disciplina, richiede un fondamento normativo, che la istituisca e ne disciplini l’organizzazione; e che tale fondamento normativo costituisce, accanto al fondamento costituzionale e convenzionale, la cornice di legittimità della riforma, sotto il profilo della sua esistenza giuridica e della sua disciplina.</w:t>
      </w:r>
      <w:r>
        <w:rPr>
          <w:rStyle w:val="FootnoteReference"/>
        </w:rPr>
        <w:footnoteReference w:id="364"/>
      </w:r>
    </w:p>
    <w:p>
      <w:pPr>
        <w:pStyle w:val="BodyText"/>
      </w:pPr>
      <w:r>
        <w:t xml:space="preserve">Il quadro normativo della riforma si articola in un livello nazionale e in un livello regionale, in un rapporto governato dalla ripartizione delle competenze. La materia della tutela della salute è, secondo la Costituzione, oggetto di competenza concorrente tra lo Stato e le Regioni: allo Stato spetta la determinazione dei principi fondamentali, alle Regioni spetta la potestà legislativa nel rispetto di tali principi. Questa ripartizione delle competenze governa il rapporto tra il livello nazionale e il livello regionale del quadro normativo della riforma: il livello nazionale determina i principi fondamentali e i livelli essenziali di assistenza, entro cui la riforma si colloca; il livello regionale istituisce la riforma e ne disciplina l’organizzazione, nel rispetto dei principi fondamentali e dei livelli essenziali. La riforma del primo livello psicologico, istituita da una legge regionale, opera entro questa ripartizione: essa è istituita dalla Regione, nell’esercizio della propria potestà legislativa in materia di tutela della salute, e si colloca entro la cornice dei principi fondamentali e dei livelli essenziali determinati dallo Stato. L’articolazione del quadro normativo in un livello nazionale e in un livello regionale, e il loro rapporto governato dalla ripartizione delle competenze, sono dunque essenziali per intendere il fondamento prossimo della riforma: essa è istituita dal livello regionale, ma entro la cornice del livello nazionale, e il suo fondamento prossimo risiede nella legge regionale che la istituisce, collocata entro la cornice delle norme nazionali.</w:t>
      </w:r>
    </w:p>
    <w:bookmarkEnd w:id="868"/>
    <w:bookmarkStart w:id="870" w:name="X45b95fe62521b2df4d2772b9cdf95b19e44477c"/>
    <w:p>
      <w:pPr>
        <w:pStyle w:val="Heading2"/>
      </w:pPr>
      <w:r>
        <w:t xml:space="preserve">13.2.2 Il quadro nazionale entro cui la riforma si colloca</w:t>
      </w:r>
    </w:p>
    <w:p>
      <w:pPr>
        <w:pStyle w:val="FirstParagraph"/>
      </w:pPr>
      <w:r>
        <w:t xml:space="preserve">Il quadro nazionale entro cui la riforma si colloca è costituito dai livelli essenziali di assistenza, dalle risorse del Piano nazionale di ripresa e resilienza e dalla disciplina delle cure primarie. I livelli essenziali di assistenza, definiti con decreto del Presidente del Consiglio dei Ministri, costituiscono il livello minimo di assistenza sanitaria che deve essere garantito su tutto il territorio nazionale, e definiscono il contenuto minimo del diritto alla salute; essi costituiscono la cornice entro cui la riforma colloca il primo livello psicologico, che si aggiunge ai livelli essenziali, ampliando la provvista pubblica della cura del disagio mentale oltre il livello minimo garantito. La Missione 6 del Piano nazionale di ripresa e resilienza, dedicata alla salute, finanzia il rafforzamento dell’assistenza sanitaria territoriale, attraverso l’istituzione delle Case della Comunità e il potenziamento dei servizi di prossimità; essa costituisce il contesto del rafforzamento territoriale entro cui la riforma si inscrive, e le Case della Comunità costituiscono il luogo entro cui il primo livello psicologico può essere collocato, integrandosi con gli altri servizi territoriali. L’Accordo Collettivo Nazionale per la medicina generale disciplina le cure primarie, e in particolare il rapporto tra il Servizio sanitario e i medici di medicina generale; esso costituisce il contesto dell’integrazione del primo livello psicologico con la medicina generale, che la quarta parte ha posto al centro del modello organizzativo. Il quadro nazionale costituisce dunque la cornice entro cui la riforma si colloca, determinando i livelli essenziali entro cui essa si aggiunge, le risorse e il contesto del rafforzamento territoriale entro cui essa si inscrive, e la disciplina delle cure primarie entro cui essa si integra.</w:t>
      </w:r>
      <w:r>
        <w:rPr>
          <w:rStyle w:val="FootnoteReference"/>
        </w:rPr>
        <w:footnoteReference w:id="365"/>
      </w:r>
    </w:p>
    <w:p>
      <w:pPr>
        <w:pStyle w:val="BodyText"/>
      </w:pPr>
      <w:r>
        <w:t xml:space="preserve">Al quadro nazionale delle norme si aggiunge il dibattito nazionale sulla figura dello psicologo di base, che costituisce il contesto in cui la riforma regionale si inscrive. La figura dello psicologo di base è stata oggetto, sul piano nazionale, di un dibattito che ha condotto a misure parziali e a proposte di istituzione. Tra le misure parziali, la legge di bilancio ha introdotto un contributo per il sostegno delle spese di assistenza psicologica, che ha riconosciuto il bisogno di cura psicologica e ha apprestato un sostegno alla provvista privata, senza tuttavia istituire un servizio pubblico di primo livello psicologico. Tra le proposte, sono state avanzate iniziative per l’istituzione di una figura nazionale di psicologo di base, che estendano la provvista pubblica della cura psicologica di primo livello su tutto il territorio nazionale; tali proposte, allo stato, non hanno condotto all’istituzione di una figura nazionale, sì che la provvista pubblica del primo livello psicologico è rimessa alle iniziative regionali. La riforma del primo livello psicologico in Puglia si inscrive in questo contesto nazionale: essa costituisce un’iniziativa regionale che istituisce il primo livello psicologico nella Regione, in assenza di una figura nazionale, e che anticipa, sul piano regionale, l’istituzione che il dibattito nazionale ha proposto e non ancora realizzato. Il contesto nazionale del dibattito sulla figura dello psicologo di base costituisce dunque lo sfondo in cui la riforma regionale si inscrive, e ne accresce il rilievo, perché essa attua, sul piano regionale, un’istituzione che il piano nazionale ha riconosciuto come bisogno e proposto come obiettivo, e di cui la riforma regionale costituisce una realizzazione anticipata e un possibile modello.</w:t>
      </w:r>
    </w:p>
    <w:bookmarkEnd w:id="870"/>
    <w:bookmarkStart w:id="872" w:name="Xa176ca2bce12517084234316b2593eba9c4fc90"/>
    <w:p>
      <w:pPr>
        <w:pStyle w:val="Heading2"/>
      </w:pPr>
      <w:r>
        <w:t xml:space="preserve">13.2.3 Il quadro regionale che istituisce la riforma</w:t>
      </w:r>
    </w:p>
    <w:p>
      <w:pPr>
        <w:pStyle w:val="FirstParagraph"/>
      </w:pPr>
      <w:r>
        <w:t xml:space="preserve">Il fondamento prossimo della riforma risiede nella legge regionale che istituisce il Servizio di Psicologia di Base in Puglia, dalla quale la riforma trae la propria esistenza giuridica e la propria disciplina. La Regione Puglia, nell’esercizio della propria potestà legislativa in materia di tutela della salute, ha istituito il Servizio di Psicologia di Base con la legge regionale numero undici del duemilaventitré, che costituisce il fondamento prossimo della riforma oggetto dello studio. La legge regionale istituisce il servizio, definisce la figura dello psicologo di base, ne disciplina le funzioni e l’organizzazione, e appresta il fondamento per la sua attuazione; essa conferisce alla riforma esistenza giuridica, costituendola come istituzione dell’ordinamento regionale, e ne disciplina l’organizzazione, definendo la cornice entro cui il servizio opera. La riforma del primo livello psicologico esiste come istituzione giuridica perché la legge regionale la istituisce: senza la legge regionale, la riforma sarebbe un progetto privo di esistenza giuridica; con la legge regionale, essa diviene un’istituzione dell’ordinamento regionale, dotata di una disciplina. Il fondamento prossimo della riforma risiede dunque nella legge regionale numero undici del duemilaventitré, che la istituisce e ne disciplina l’organizzazione; ed è questa legge che costituisce l’oggetto della valutazione condotta nell’intero studio, il quale valuta la riforma che la legge regionale istituisce, sotto i profili del valore e della legittimità.</w:t>
      </w:r>
      <w:r>
        <w:rPr>
          <w:rStyle w:val="FootnoteReference"/>
        </w:rPr>
        <w:footnoteReference w:id="366"/>
      </w:r>
    </w:p>
    <w:p>
      <w:pPr>
        <w:pStyle w:val="BodyText"/>
      </w:pPr>
      <w:r>
        <w:t xml:space="preserve">La legge regionale colloca la riforma entro la cornice del quadro nazionale e dei principi costituzionali, in coerenza con la ripartizione delle competenze. La legge regionale, nell’istituire il Servizio di Psicologia di Base, esercita la potestà legislativa regionale in materia di tutela della salute, nel rispetto dei principi fondamentali determinati dallo Stato e dei livelli essenziali di assistenza; essa si colloca perciò entro la cornice del quadro nazionale, aggiungendo alla provvista pubblica garantita dai livelli essenziali la provvista del primo livello psicologico, e collocando il servizio entro il contesto del rafforzamento territoriale e dell’integrazione con la medicina generale. La legge regionale attua, inoltre, i principi costituzionali del diritto alla salute e dell’uguaglianza sostanziale, estendendo la provvista pubblica della cura del disagio mentale e rimuovendo gli ostacoli di fatto all’uguaglianza nell’accesso; essa costituisce perciò lo strumento attraverso cui i principi costituzionali e convenzionali, esaminati nella prima voce, trovano attuazione nella disciplina concreta della riforma. Il fondamento prossimo della riforma nella legge regionale si connette dunque al fondamento ultimo nei principi costituzionali e convenzionali: la legge regionale istituisce la riforma, attuando i principi costituzionali e convenzionali, e collocandola entro la cornice del quadro nazionale, sì che il fondamento prossimo e il fondamento ultimo della riforma si compongano in una cornice di legittimità coerente, dai principi supremi alla disciplina concreta.</w:t>
      </w:r>
    </w:p>
    <w:bookmarkEnd w:id="872"/>
    <w:bookmarkStart w:id="874" w:name="X5b3aeccd3664a008235afd8b1771b0c3bd302df"/>
    <w:p>
      <w:pPr>
        <w:pStyle w:val="Heading2"/>
      </w:pPr>
      <w:r>
        <w:t xml:space="preserve">13.2.4 Gli atti attuativi e il rapporto tra le fonti</w:t>
      </w:r>
    </w:p>
    <w:p>
      <w:pPr>
        <w:pStyle w:val="FirstParagraph"/>
      </w:pPr>
      <w:r>
        <w:t xml:space="preserve">La legge regionale richiede, per la propria piena attuazione, atti attuativi che ne specifichino la disciplina e ne organizzino la realizzazione. La legge regionale, nell’istituire il servizio e nel disciplinarne le linee fondamentali, rimette a successivi atti attuativi la specificazione della disciplina e l’organizzazione concreta della realizzazione; tali atti attuativi — le delibere della Giunta regionale, le linee guida, gli atti di organizzazione — costituiscono il livello di specificazione della disciplina, che traduce le linee fondamentali della legge regionale nelle regole concrete dell’organizzazione e del funzionamento del servizio. Gli atti attuativi sono essenziali per la piena attuazione della riforma, perché la legge regionale, da sola, istituisce il servizio e ne disciplina le linee fondamentali, ma non ne organizza la realizzazione concreta, che è rimessa agli atti attuativi; sì che la riforma, per passare dall’istituzione alla realizzazione, richiede gli atti attuativi che ne specifichino la disciplina e ne organizzino il funzionamento. Il rapporto tra la legge regionale e gli atti attuativi è governato dalla gerarchia delle fonti: la legge regionale costituisce il fondamento, gli atti attuativi ne costituiscono la specificazione, nel rispetto delle linee fondamentali che la legge regionale stabilisce. La piena attuazione della riforma richiede dunque, accanto alla legge regionale che la istituisce, gli atti attuativi che ne specificano la disciplina e ne organizzano la realizzazione; e la presente voce indica tali atti attuativi come la condizione della piena attuazione, la cui adozione è rimessa alla sede dell’attuazione.</w:t>
      </w:r>
      <w:r>
        <w:rPr>
          <w:rStyle w:val="FootnoteReference"/>
        </w:rPr>
        <w:footnoteReference w:id="367"/>
      </w:r>
    </w:p>
    <w:p>
      <w:pPr>
        <w:pStyle w:val="BodyText"/>
      </w:pPr>
      <w:r>
        <w:t xml:space="preserve">Il rapporto tra le fonti del quadro normativo — costituzionali, convenzionali, nazionali e regionali — compone una cornice di legittimità articolata, che fonda la riforma a più livelli. La cornice di legittimità della riforma non risiede in una singola fonte, ma nella composizione di una pluralità di fonti, ciascuna delle quali concorre a fondare la riforma sotto un profilo distinto e a un livello distinto. I principi costituzionali e convenzionali costituiscono il fondamento ultimo, radicando la riforma nei principi supremi del diritto alla salute, dell’uguaglianza sostanziale e della tutela delle persone con disabilità. Le norme nazionali costituiscono la cornice entro cui la riforma si colloca, determinando i livelli essenziali, le risorse e la disciplina delle cure primarie. La legge regionale costituisce il fondamento prossimo, istituendo la riforma e disciplinandone le linee fondamentali. Gli atti attuativi costituiscono il livello di specificazione, traducendo le linee fondamentali nelle regole concrete. La composizione di queste fonti, governata dalla gerarchia delle fonti e dalla ripartizione delle competenze, costituisce la cornice di legittimità articolata della riforma, che la fonda a più livelli, dai principi supremi alla disciplina concreta. La riforma del primo livello psicologico trova dunque la propria legittimità non in una singola fonte, ma nella composizione coerente di una pluralità di fonti, che la fondano nei principi costituzionali e convenzionali, la collocano entro la cornice nazionale, la istituiscono attraverso la legge regionale e ne specificano la disciplina attraverso gli atti attuativi.</w:t>
      </w:r>
    </w:p>
    <w:bookmarkEnd w:id="874"/>
    <w:bookmarkStart w:id="875" w:name="Xb114adb11bd2569977626272f54eb5ccc3c9784"/>
    <w:p>
      <w:pPr>
        <w:pStyle w:val="Heading2"/>
      </w:pPr>
      <w:r>
        <w:t xml:space="preserve">13.2.5 I confini della voce e il rinvio all’attuazione</w:t>
      </w:r>
    </w:p>
    <w:p>
      <w:pPr>
        <w:pStyle w:val="FirstParagraph"/>
      </w:pPr>
      <w:r>
        <w:t xml:space="preserve">La voce ha carattere normativo, come la precedente, e ne condivide il metodo dell’analisi giuridica. La voce non misura grandezze, né formula stime, ma ricostruisce il quadro normativo della riforma, e ne valuta la portata come fondamento prossimo; il suo metodo è quello dell’analisi giuridica, che ricostruisce il contenuto delle norme e ne trae il fondamento della riforma, e non quello dell’analisi empirica. La gradazione dell’evidenza secondo i criteri GRADE non si applica alla voce, che non formula stime empiriche, ma proposizioni giuridiche, la cui solidità si valuta secondo il loro radicamento nelle norme. Le proposizioni della voce — che la riforma è istituita dalla legge regionale, collocata entro la cornice nazionale, e richiede atti attuativi per la propria piena attuazione — sono proposizioni giuridiche, solide in quanto radicate nelle norme, e la loro solidità si valuta secondo tale radicamento. Il carattere normativo della voce ne muta il criterio del rigore, come per la precedente: il rigore della voce risiede nella correttezza dell’analisi giuridica e nel radicamento delle proposizioni nelle norme, anziché nella qualità dell’evidenza empirica e nella prudenza delle stime.</w:t>
      </w:r>
    </w:p>
    <w:p>
      <w:pPr>
        <w:pStyle w:val="BodyText"/>
      </w:pPr>
      <w:r>
        <w:t xml:space="preserve">I confini della voce ne delimitano la portata e ne rimettono taluni aspetti alle voci successive e alla parte dedicata all’attuazione. La voce stabilisce il fondamento prossimo della riforma nel quadro normativo regionale e nazionale, e non il fondamento ultimo nei principi costituzionali e convenzionali, esaminato nella prima voce; essa ricostruisce le norme che istituiscono e disciplinano la riforma, e non le cornici di responsabilità che ne governano l’attuazione, esaminate nelle voci successive. La voce indica gli atti attuativi come la condizione della piena attuazione della riforma, ma non li adotta né ne determina il contenuto, rimettendone l’adozione alla quattordicesima parte, dedicata all’attuazione, che dovrà tradurre le linee fondamentali della legge regionale nelle regole concrete dell’organizzazione e del funzionamento. La voce richiama il contesto nazionale del dibattito sulla figura dello psicologo di base, e ne mostra il rilievo per la riforma regionale, ma non lo valuta sotto il profilo della scalabilità nazionale, che la quattordicesima parte esaminerà. Entro questi confini, la voce stabilisce che la riforma del primo livello psicologico trova nel quadro normativo regionale e nazionale il proprio fondamento prossimo, costituito dalla legge regionale che la istituisce, collocata entro la cornice delle norme nazionali e fondata nei principi costituzionali e convenzionali; e che la sua piena attuazione richiede gli atti attuativi che ne specifichino la disciplina, la cui adozione è rimessa alla parte dedicata all’attuazione.</w:t>
      </w:r>
    </w:p>
    <w:bookmarkEnd w:id="875"/>
    <w:bookmarkEnd w:id="876"/>
    <w:bookmarkStart w:id="887" w:name="X01d9e9ca1b3886ce1368ce597b88de2c549ba9b"/>
    <w:p>
      <w:pPr>
        <w:pStyle w:val="Heading2"/>
      </w:pPr>
      <w:r>
        <w:t xml:space="preserve">13.3 La protezione dei dati e la governance dell’Intelligenza Artificiale</w:t>
      </w:r>
    </w:p>
    <w:p>
      <w:pPr>
        <w:pStyle w:val="FirstParagraph"/>
      </w:pPr>
      <w:r>
        <w:rPr>
          <w:i/>
          <w:iCs/>
        </w:rPr>
        <w:t xml:space="preserve">La terza voce stabilisce la cornice di responsabilità nell’impiego degli strumenti digitali, ossia le regole che assicurano la riservatezza, la responsabilità e la trasparenza nel trattamento dei dati e nell’uso dell’Intelligenza Artificiale. Essa espone la logica della cornice di responsabilità nell’impiego degli strumenti, esamina la protezione dei dati sanitari, considera la governance dell’Intelligenza Artificiale nella sua posizione subordinata, individua nella riservatezza, nella responsabilità e nella trasparenza i principi della governance, e ne traccia infine i confini, dichiarando il rinvio alle voci successive e alla parte dedicata all’attuazione.</w:t>
      </w:r>
    </w:p>
    <w:bookmarkStart w:id="878" w:name="X87469331083fdfd8e63bfe12e22ad271be6438f"/>
    <w:p>
      <w:pPr>
        <w:pStyle w:val="Heading2"/>
      </w:pPr>
      <w:r>
        <w:t xml:space="preserve">13.3.1 La logica della cornice di responsabilità nell’impiego degli strumenti</w:t>
      </w:r>
    </w:p>
    <w:p>
      <w:pPr>
        <w:pStyle w:val="FirstParagraph"/>
      </w:pPr>
      <w:r>
        <w:t xml:space="preserve">La cornice di responsabilità nell’impiego degli strumenti è l’insieme delle regole che governano l’uso degli strumenti digitali e dell’Intelligenza Artificiale nella riforma, assicurandone la conformità ai principi di tutela della persona. Mentre le voci precedenti hanno stabilito il fondamento della riforma — ultimo nei principi costituzionali e convenzionali, prossimo nel quadro normativo — la presente voce stabilisce le regole che governano l’azione della riforma sotto un profilo specifico: l’impiego degli strumenti digitali e dell’Intelligenza Artificiale, che la quarta parte ha collocato tra le leve abilitanti del primo livello psicologico. L’impiego di tali strumenti, che tratta dati di salute mentale e può avvalersi dell’Intelligenza Artificiale, richiede una cornice di responsabilità, ossia un insieme di regole che ne assicurino la conformità ai principi di tutela della persona, e in particolare alla riservatezza dei dati, alla responsabilità nell’uso degli strumenti e alla trasparenza dei trattamenti. La cornice di responsabilità non è un ostacolo all’impiego degli strumenti, ma la condizione della sua legittimità: gli strumenti digitali e l’Intelligenza Artificiale possono essere impiegati nella riforma in quanto il loro impiego sia conforme alle regole che ne assicurano la tutela della persona; e la cornice di responsabilità stabilisce tali regole, rendendo legittimo l’impiego degli strumenti che vi si conforma. La logica della cornice di responsabilità muove dal riconoscimento che l’impiego degli strumenti digitali e dell’Intelligenza Artificiale, in un servizio che tratta dati di salute mentale, è legittimo soltanto in quanto governato da regole di tutela della persona; e che tali regole costituiscono la cornice di responsabilità entro cui l’impiego degli strumenti è ammesso.</w:t>
      </w:r>
      <w:r>
        <w:rPr>
          <w:rStyle w:val="FootnoteReference"/>
        </w:rPr>
        <w:footnoteReference w:id="368"/>
      </w:r>
    </w:p>
    <w:p>
      <w:pPr>
        <w:pStyle w:val="BodyText"/>
      </w:pPr>
      <w:r>
        <w:t xml:space="preserve">La cornice di responsabilità nell’impiego degli strumenti si compone di due ambiti, distinti ma connessi: la protezione dei dati e la governance dell’Intelligenza Artificiale. La protezione dei dati attiene al trattamento dei dati personali, e in particolare dei dati di salute, che il servizio raccoglie e tratta nell’erogazione della cura; essa stabilisce le regole che assicurano la riservatezza, la sicurezza e la liceità del trattamento, in conformità alla disciplina della protezione dei dati personali. La governance dell’Intelligenza Artificiale attiene all’uso dei sistemi di Intelligenza Artificiale, che il servizio può impiegare come leva abilitante nella sua posizione subordinata; essa stabilisce le regole che assicurano la responsabilità, la trasparenza e la supervisione umana nell’uso di tali sistemi, in conformità alla disciplina dell’Intelligenza Artificiale. I due ambiti sono distinti, perché attengono a oggetti diversi — il trattamento dei dati l’uno, l’uso dei sistemi di Intelligenza Artificiale l’altro — ma connessi, perché i sistemi di Intelligenza Artificiale, ove impiegati, trattano dati, e l’uso dei sistemi è perciò anche un trattamento di dati, soggetto alle regole della protezione dei dati oltre che alle regole della governance dell’Intelligenza Artificiale. La presente voce esamina i due ambiti distintamente, dedicando la prossima sottosezione alla protezione dei dati e la successiva alla governance dell’Intelligenza Artificiale, e ne mostra infine la connessione nei principi comuni della riservatezza, della responsabilità e della trasparenza, che governano entrambi gli ambiti.</w:t>
      </w:r>
    </w:p>
    <w:bookmarkEnd w:id="878"/>
    <w:bookmarkStart w:id="880" w:name="la-protezione-dei-dati-sanitari"/>
    <w:p>
      <w:pPr>
        <w:pStyle w:val="Heading2"/>
      </w:pPr>
      <w:r>
        <w:t xml:space="preserve">13.3.2 La protezione dei dati sanitari</w:t>
      </w:r>
    </w:p>
    <w:p>
      <w:pPr>
        <w:pStyle w:val="FirstParagraph"/>
      </w:pPr>
      <w:r>
        <w:t xml:space="preserve">Il trattamento dei dati del primo livello psicologico è soggetto alla disciplina della protezione dei dati personali, che assoggetta i dati di salute a una tutela rafforzata. Il primo livello psicologico, nell’erogazione della cura, raccoglie e tratta dati personali della persona assistita, e in particolare dati relativi alla sua salute mentale; e tali dati, in quanto dati relativi alla salute, costituiscono, secondo la disciplina della protezione dei dati personali, una categoria particolare di dati personali, soggetta a una tutela rafforzata. Il regolamento generale sulla protezione dei dati assoggetta i dati relativi alla salute a un regime di particolare protezione: il loro trattamento è in linea di principio vietato, e ammesso soltanto in presenza di una delle condizioni che il regolamento specifica, tra cui la finalità di cura, che ricorre quando il trattamento è necessario per finalità di diagnosi, assistenza o terapia sanitaria. Il trattamento dei dati del primo livello psicologico si fonda sulla finalità di cura: esso è necessario per l’erogazione della cura del disagio mentale, e trova in tale finalità la condizione che ne legittima il trattamento, in deroga al divieto generale di trattamento dei dati relativi alla salute. La protezione dei dati sanitari nel primo livello psicologico richiede dunque che il trattamento dei dati relativi alla salute mentale si fondi sulla finalità di cura, e si conformi alle regole che la disciplina della protezione dei dati stabilisce per il trattamento dei dati di tale categoria particolare.</w:t>
      </w:r>
      <w:r>
        <w:rPr>
          <w:rStyle w:val="FootnoteReference"/>
        </w:rPr>
        <w:footnoteReference w:id="369"/>
      </w:r>
    </w:p>
    <w:p>
      <w:pPr>
        <w:pStyle w:val="BodyText"/>
      </w:pPr>
      <w:r>
        <w:t xml:space="preserve">Il trattamento dei dati del primo livello psicologico si conforma ai principi della protezione dei dati, che ne governano le modalità. Oltre a fondarsi sulla finalità di cura, il trattamento dei dati del primo livello psicologico si conforma ai principi che la disciplina della protezione dei dati stabilisce per ogni trattamento: il principio di liceità, che richiede un fondamento giuridico del trattamento; il principio di minimizzazione, che limita i dati trattati a quanto necessario alle finalità; il principio di limitazione delle finalità, che vincola il trattamento alle finalità determinate per cui i dati sono raccolti; il principio di sicurezza, che impone misure adeguate a proteggere i dati; il principio della protezione fin dalla progettazione, che integra la protezione dei dati nella progettazione del trattamento. La tabella che segue ricostruisce i principi della protezione dei dati sanitari e la loro applicazione al primo livello psicologico, indicando per ciascun principio il contenuto e l’applicazione alla riforma.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Principio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 al primo livello psicologico</w:t>
            </w:r>
          </w:p>
        </w:tc>
      </w:tr>
      <w:tr>
        <w:tc>
          <w:tcPr/>
          <w:p>
            <w:pPr>
              <w:pStyle w:val="Compact"/>
              <w:spacing w:after="40" w:before="40"/>
              <w:jc w:val="left"/>
            </w:pPr>
            <w:r>
              <w:rPr>
                <w:rFonts w:ascii="Cambria" w:hAnsi="Cambria" w:cs="Cambria" w:eastAsia="Cambria"/>
                <w:color w:val="1A1A1A"/>
                <w:sz w:val="18"/>
              </w:rPr>
              <w:t xml:space="preserve">Liceità e base giuridica</w:t>
            </w:r>
          </w:p>
        </w:tc>
        <w:tc>
          <w:tcPr/>
          <w:p>
            <w:pPr>
              <w:pStyle w:val="Compact"/>
              <w:spacing w:after="40" w:before="40"/>
              <w:jc w:val="left"/>
            </w:pPr>
            <w:r>
              <w:rPr>
                <w:rFonts w:ascii="Cambria" w:hAnsi="Cambria" w:cs="Cambria" w:eastAsia="Cambria"/>
                <w:color w:val="1A1A1A"/>
                <w:sz w:val="18"/>
              </w:rPr>
              <w:t xml:space="preserve">Il trattamento richiede una base giuridica; per i dati relativi alla salute, la finalità di cura</w:t>
            </w:r>
          </w:p>
        </w:tc>
        <w:tc>
          <w:tcPr/>
          <w:p>
            <w:pPr>
              <w:pStyle w:val="Compact"/>
              <w:spacing w:after="40" w:before="40"/>
              <w:jc w:val="left"/>
            </w:pPr>
            <w:r>
              <w:rPr>
                <w:rFonts w:ascii="Cambria" w:hAnsi="Cambria" w:cs="Cambria" w:eastAsia="Cambria"/>
                <w:color w:val="1A1A1A"/>
                <w:sz w:val="18"/>
              </w:rPr>
              <w:t xml:space="preserve">Il trattamento dei dati si fonda sulla finalità di cura del disagio mentale</w:t>
            </w:r>
          </w:p>
        </w:tc>
      </w:tr>
      <w:tr>
        <w:tc>
          <w:tcPr>
            <w:shd w:val="clear" w:color="auto" w:fill="F4F1EC"/>
          </w:tcPr>
          <w:p>
            <w:pPr>
              <w:pStyle w:val="Compact"/>
              <w:spacing w:after="40" w:before="40"/>
              <w:jc w:val="left"/>
            </w:pPr>
            <w:r>
              <w:rPr>
                <w:rFonts w:ascii="Cambria" w:hAnsi="Cambria" w:cs="Cambria" w:eastAsia="Cambria"/>
                <w:color w:val="1A1A1A"/>
                <w:sz w:val="18"/>
              </w:rPr>
              <w:t xml:space="preserve">Minimizzazione</w:t>
            </w:r>
          </w:p>
        </w:tc>
        <w:tc>
          <w:tcPr>
            <w:shd w:val="clear" w:color="auto" w:fill="F4F1EC"/>
          </w:tcPr>
          <w:p>
            <w:pPr>
              <w:pStyle w:val="Compact"/>
              <w:spacing w:after="40" w:before="40"/>
              <w:jc w:val="left"/>
            </w:pPr>
            <w:r>
              <w:rPr>
                <w:rFonts w:ascii="Cambria" w:hAnsi="Cambria" w:cs="Cambria" w:eastAsia="Cambria"/>
                <w:color w:val="1A1A1A"/>
                <w:sz w:val="18"/>
              </w:rPr>
              <w:t xml:space="preserve">I dati trattati sono limitati a quanto necessario alle finalità</w:t>
            </w:r>
          </w:p>
        </w:tc>
        <w:tc>
          <w:tcPr>
            <w:shd w:val="clear" w:color="auto" w:fill="F4F1EC"/>
          </w:tcPr>
          <w:p>
            <w:pPr>
              <w:pStyle w:val="Compact"/>
              <w:spacing w:after="40" w:before="40"/>
              <w:jc w:val="left"/>
            </w:pPr>
            <w:r>
              <w:rPr>
                <w:rFonts w:ascii="Cambria" w:hAnsi="Cambria" w:cs="Cambria" w:eastAsia="Cambria"/>
                <w:color w:val="1A1A1A"/>
                <w:sz w:val="18"/>
              </w:rPr>
              <w:t xml:space="preserve">Sono trattati i soli dati necessari all’erogazione della cura</w:t>
            </w:r>
          </w:p>
        </w:tc>
      </w:tr>
      <w:tr>
        <w:tc>
          <w:tcPr/>
          <w:p>
            <w:pPr>
              <w:pStyle w:val="Compact"/>
              <w:spacing w:after="40" w:before="40"/>
              <w:jc w:val="left"/>
            </w:pPr>
            <w:r>
              <w:rPr>
                <w:rFonts w:ascii="Cambria" w:hAnsi="Cambria" w:cs="Cambria" w:eastAsia="Cambria"/>
                <w:color w:val="1A1A1A"/>
                <w:sz w:val="18"/>
              </w:rPr>
              <w:t xml:space="preserve">Limitazione delle finalità</w:t>
            </w:r>
          </w:p>
        </w:tc>
        <w:tc>
          <w:tcPr/>
          <w:p>
            <w:pPr>
              <w:pStyle w:val="Compact"/>
              <w:spacing w:after="40" w:before="40"/>
              <w:jc w:val="left"/>
            </w:pPr>
            <w:r>
              <w:rPr>
                <w:rFonts w:ascii="Cambria" w:hAnsi="Cambria" w:cs="Cambria" w:eastAsia="Cambria"/>
                <w:color w:val="1A1A1A"/>
                <w:sz w:val="18"/>
              </w:rPr>
              <w:t xml:space="preserve">I dati sono raccolti per finalità determinate e non trattati in modo incompatibile</w:t>
            </w:r>
          </w:p>
        </w:tc>
        <w:tc>
          <w:tcPr/>
          <w:p>
            <w:pPr>
              <w:pStyle w:val="Compact"/>
              <w:spacing w:after="40" w:before="40"/>
              <w:jc w:val="left"/>
            </w:pPr>
            <w:r>
              <w:rPr>
                <w:rFonts w:ascii="Cambria" w:hAnsi="Cambria" w:cs="Cambria" w:eastAsia="Cambria"/>
                <w:color w:val="1A1A1A"/>
                <w:sz w:val="18"/>
              </w:rPr>
              <w:t xml:space="preserve">I dati sono trattati per la sola finalità di cura, non per altre finalità</w:t>
            </w:r>
          </w:p>
        </w:tc>
      </w:tr>
      <w:tr>
        <w:tc>
          <w:tcPr>
            <w:shd w:val="clear" w:color="auto" w:fill="F4F1EC"/>
          </w:tcPr>
          <w:p>
            <w:pPr>
              <w:pStyle w:val="Compact"/>
              <w:spacing w:after="40" w:before="40"/>
              <w:jc w:val="left"/>
            </w:pPr>
            <w:r>
              <w:rPr>
                <w:rFonts w:ascii="Cambria" w:hAnsi="Cambria" w:cs="Cambria" w:eastAsia="Cambria"/>
                <w:color w:val="1A1A1A"/>
                <w:sz w:val="18"/>
              </w:rPr>
              <w:t xml:space="preserve">Sicurezza</w:t>
            </w:r>
          </w:p>
        </w:tc>
        <w:tc>
          <w:tcPr>
            <w:shd w:val="clear" w:color="auto" w:fill="F4F1EC"/>
          </w:tcPr>
          <w:p>
            <w:pPr>
              <w:pStyle w:val="Compact"/>
              <w:spacing w:after="40" w:before="40"/>
              <w:jc w:val="left"/>
            </w:pPr>
            <w:r>
              <w:rPr>
                <w:rFonts w:ascii="Cambria" w:hAnsi="Cambria" w:cs="Cambria" w:eastAsia="Cambria"/>
                <w:color w:val="1A1A1A"/>
                <w:sz w:val="18"/>
              </w:rPr>
              <w:t xml:space="preserve">Il trattamento garantisce una sicurezza adeguata dei dati</w:t>
            </w:r>
          </w:p>
        </w:tc>
        <w:tc>
          <w:tcPr>
            <w:shd w:val="clear" w:color="auto" w:fill="F4F1EC"/>
          </w:tcPr>
          <w:p>
            <w:pPr>
              <w:pStyle w:val="Compact"/>
              <w:spacing w:after="40" w:before="40"/>
              <w:jc w:val="left"/>
            </w:pPr>
            <w:r>
              <w:rPr>
                <w:rFonts w:ascii="Cambria" w:hAnsi="Cambria" w:cs="Cambria" w:eastAsia="Cambria"/>
                <w:color w:val="1A1A1A"/>
                <w:sz w:val="18"/>
              </w:rPr>
              <w:t xml:space="preserve">I dati sono protetti da misure di sicurezza adeguate alla loro sensibilità</w:t>
            </w:r>
          </w:p>
        </w:tc>
      </w:tr>
      <w:tr>
        <w:tc>
          <w:tcPr/>
          <w:p>
            <w:pPr>
              <w:pStyle w:val="Compact"/>
              <w:spacing w:after="40" w:before="40"/>
              <w:jc w:val="left"/>
            </w:pPr>
            <w:r>
              <w:rPr>
                <w:rFonts w:ascii="Cambria" w:hAnsi="Cambria" w:cs="Cambria" w:eastAsia="Cambria"/>
                <w:color w:val="1A1A1A"/>
                <w:sz w:val="18"/>
              </w:rPr>
              <w:t xml:space="preserve">Protezione fin dalla progettazione</w:t>
            </w:r>
          </w:p>
        </w:tc>
        <w:tc>
          <w:tcPr/>
          <w:p>
            <w:pPr>
              <w:pStyle w:val="Compact"/>
              <w:spacing w:after="40" w:before="40"/>
              <w:jc w:val="left"/>
            </w:pPr>
            <w:r>
              <w:rPr>
                <w:rFonts w:ascii="Cambria" w:hAnsi="Cambria" w:cs="Cambria" w:eastAsia="Cambria"/>
                <w:color w:val="1A1A1A"/>
                <w:sz w:val="18"/>
              </w:rPr>
              <w:t xml:space="preserve">La protezione dei dati è integrata nella progettazione del trattamento</w:t>
            </w:r>
          </w:p>
        </w:tc>
        <w:tc>
          <w:tcPr/>
          <w:p>
            <w:pPr>
              <w:pStyle w:val="Compact"/>
              <w:spacing w:after="40" w:before="40"/>
              <w:jc w:val="left"/>
            </w:pPr>
            <w:r>
              <w:rPr>
                <w:rFonts w:ascii="Cambria" w:hAnsi="Cambria" w:cs="Cambria" w:eastAsia="Cambria"/>
                <w:color w:val="1A1A1A"/>
                <w:sz w:val="18"/>
              </w:rPr>
              <w:t xml:space="preserve">Gli strumenti del servizio integrano la protezione dei dati fin dalla progettazione</w:t>
            </w:r>
          </w:p>
        </w:tc>
      </w:tr>
    </w:tbl>
    <w:p>
      <w:pPr>
        <w:pStyle w:val="BodyText"/>
      </w:pPr>
      <w:r>
        <w:rPr>
          <w:i/>
          <w:iCs/>
        </w:rPr>
        <w:t xml:space="preserve">Tabella 13.2 — I principi della protezione dei dati sanitari e la loro applicazione al primo livello psicologico. Il trattamento dei dati di salute mentale si fonda sulla finalità di cura e si conforma ai principi di liceità, minimizzazione, limitazione delle finalità, sicurezza e protezione fin dalla progettazione.</w:t>
      </w:r>
    </w:p>
    <w:p>
      <w:pPr>
        <w:pStyle w:val="BodyText"/>
      </w:pPr>
      <w:r>
        <w:t xml:space="preserve">La particolare sensibilità dei dati di salute mentale richiede, nel trattamento, una cautela rafforzata, che la cornice di responsabilità assicura. I dati relativi alla salute mentale presentano una particolare sensibilità, perché attengono alla sfera più intima della persona, e perché la loro divulgazione può esporre la persona a pregiudizio, in ragione del persistente stigma che grava sul disagio mentale. Questa particolare sensibilità richiede, nel trattamento dei dati del primo livello psicologico, una cautela rafforzata, che eccede la cautela richiesta per il trattamento di altri dati di salute: la riservatezza dei dati di salute mentale è una condizione della fiducia della persona nel servizio, e la sua violazione comprometterebbe non soltanto la tutela della persona, ma la stessa funzione del servizio, che si fonda sulla fiducia della persona a confidare il proprio disagio. La cornice di responsabilità assicura questa cautela rafforzata, stabilendo regole di riservatezza e di sicurezza adeguate alla particolare sensibilità dei dati di salute mentale, e integrando la protezione dei dati nella progettazione degli strumenti del servizio. La protezione dei dati sanitari nel primo livello psicologico non è dunque un adempimento formale, ma una condizione sostanziale della tutela della persona e della funzione del servizio: essa assicura la riservatezza dei dati di salute mentale, che è condizione della fiducia della persona, e che il servizio, fondato su tale fiducia, deve garantire con una cautela rafforzata, proporzionata alla particolare sensibilità dei dati che tratta.</w:t>
      </w:r>
    </w:p>
    <w:bookmarkEnd w:id="880"/>
    <w:bookmarkStart w:id="882" w:name="X79bbe32ea95d798f520b4ea45f23a364fb7c19a"/>
    <w:p>
      <w:pPr>
        <w:pStyle w:val="Heading2"/>
      </w:pPr>
      <w:r>
        <w:t xml:space="preserve">13.3.3 La governance dell’Intelligenza Artificiale nella sua posizione subordinata</w:t>
      </w:r>
    </w:p>
    <w:p>
      <w:pPr>
        <w:pStyle w:val="FirstParagraph"/>
      </w:pPr>
      <w:r>
        <w:t xml:space="preserve">La governance dell’Intelligenza Artificiale stabilisce le regole che governano l’uso dei sistemi di Intelligenza Artificiale nella riforma, nella posizione subordinata che la quarta parte ha loro assegnato. La quarta parte ha collocato l’Intelligenza Artificiale tra le leve abilitanti del primo livello psicologico, in una posizione subordinata: essa non è il centro della riforma, ma uno strumento che, sotto la supervisione umana, può accrescere l’efficacia del primo livello psicologico in talune funzioni di supporto, senza sostituire il professionista nel giudizio clinico. La governance dell’Intelligenza Artificiale stabilisce le regole che governano l’uso dei sistemi di Intelligenza Artificiale in questa posizione subordinata, assicurandone la responsabilità, la trasparenza e la supervisione umana. La posizione subordinata dell’Intelligenza Artificiale è il presupposto della sua governance: poiché l’Intelligenza Artificiale è uno strumento di supporto sotto la supervisione umana, e non un sostituto del professionista, la sua governance è volta a mantenerla in tale posizione, assicurando che il professionista conservi la supervisione e la responsabilità del giudizio clinico, e che l’Intelligenza Artificiale operi come strumento di supporto, e non come decisore autonomo. La governance dell’Intelligenza Artificiale conferma e presidia dunque la posizione subordinata che la quarta parte ha assegnato all’Intelligenza Artificiale: essa non amplia il ruolo dell’Intelligenza Artificiale, ma lo circoscrive entro i confini della posizione subordinata, assicurando che essa rimanga uno strumento di supporto sotto la supervisione umana.</w:t>
      </w:r>
      <w:r>
        <w:rPr>
          <w:rStyle w:val="FootnoteReference"/>
        </w:rPr>
        <w:footnoteReference w:id="370"/>
      </w:r>
    </w:p>
    <w:p>
      <w:pPr>
        <w:pStyle w:val="BodyText"/>
      </w:pPr>
      <w:r>
        <w:t xml:space="preserve">La governance dell’Intelligenza Artificiale si fonda sulla disciplina dell’Intelligenza Artificiale, che assoggetta i sistemi impiegati in àmbito sanitario a obblighi rafforzati. Il regolamento sull’intelligenza artificiale assoggetta i sistemi di Intelligenza Artificiale a una disciplina graduata secondo il rischio: i sistemi che presentano un rischio elevato per i diritti delle persone sono assoggettati a obblighi rafforzati, tra cui la trasparenza, la supervisione umana, l’accuratezza e la robustezza. I sistemi di Intelligenza Artificiale impiegati in àmbito sanitario possono ricadere, secondo la loro funzione, tra i sistemi ad alto rischio, in ragione dell’incidenza che le loro indicazioni possono avere sulla salute delle persone; e il loro impiego nel primo livello psicologico è perciò assoggettato agli obblighi rafforzati che la disciplina dell’Intelligenza Artificiale stabilisce per i sistemi ad alto rischio. La governance dell’Intelligenza Artificiale nel primo livello psicologico richiede dunque che i sistemi di Intelligenza Artificiale eventualmente impiegati si conformino a tali obblighi: la trasparenza, che rende comprensibile il funzionamento del sistema; la supervisione umana, che mantiene il professionista nella posizione di controllo; l’accuratezza e la robustezza, che assicurano l’affidabilità del sistema. La disciplina dell’Intelligenza Artificiale fornisce così la cornice della governance dell’Intelligenza Artificiale nel primo livello psicologico, assoggettando i sistemi eventualmente impiegati agli obblighi rafforzati che ne assicurano la responsabilità, la trasparenza e la supervisione umana, e che presidiano la posizione subordinata dell’Intelligenza Artificiale.</w:t>
      </w:r>
    </w:p>
    <w:bookmarkEnd w:id="882"/>
    <w:bookmarkStart w:id="884" w:name="X7f73d15a80a656c36b0499699a4e729b934481b"/>
    <w:p>
      <w:pPr>
        <w:pStyle w:val="Heading2"/>
      </w:pPr>
      <w:r>
        <w:t xml:space="preserve">13.3.4 La riservatezza, la responsabilità e la trasparenza come principi della governance</w:t>
      </w:r>
    </w:p>
    <w:p>
      <w:pPr>
        <w:pStyle w:val="FirstParagraph"/>
      </w:pPr>
      <w:r>
        <w:t xml:space="preserve">I due ambiti della cornice di responsabilità — la protezione dei dati e la governance dell’Intelligenza Artificiale — convergono in tre principi comuni: la riservatezza, la responsabilità e la trasparenza. La riservatezza è il principio che assicura la protezione dei dati della persona dalla divulgazione non autorizzata, e governa sia il trattamento dei dati, che deve mantenerli riservati, sia l’uso dei sistemi di Intelligenza Artificiale, che deve avvenire nel rispetto della riservatezza dei dati trattati; essa è, per i dati di salute mentale, un principio rafforzato, in ragione della loro particolare sensibilità. La responsabilità è il principio che imputa al titolare del trattamento e all’utilizzatore dei sistemi la conformità alle regole, e governa sia il trattamento dei dati, di cui il titolare risponde, sia l’uso dei sistemi di Intelligenza Artificiale, di cui l’utilizzatore risponde, mantenendo la supervisione e il controllo; essa assicura che vi sia sempre un soggetto responsabile del trattamento e dell’uso, e che la responsabilità non sia diluita o trasferita al sistema. La trasparenza è il principio che rende comprensibili il trattamento dei dati e il funzionamento dei sistemi, e governa sia il trattamento dei dati, di cui la persona deve essere informata, sia l’uso dei sistemi di Intelligenza Artificiale, il cui funzionamento deve essere comprensibile; essa assicura che la persona conosca il trattamento dei propri dati e che il funzionamento dei sistemi sia intellegibile, e non opaco. I tre principi della riservatezza, della responsabilità e della trasparenza convergono dunque dai due ambiti della cornice di responsabilità, e ne costituiscono il fondamento comune: essi governano sia la protezione dei dati sia la governance dell’Intelligenza Artificiale, e ne assicurano la conformità ai principi di tutela della persona.</w:t>
      </w:r>
      <w:r>
        <w:rPr>
          <w:rStyle w:val="FootnoteReference"/>
        </w:rPr>
        <w:footnoteReference w:id="371"/>
      </w:r>
    </w:p>
    <w:p>
      <w:pPr>
        <w:pStyle w:val="BodyText"/>
      </w:pPr>
      <w:r>
        <w:t xml:space="preserve">I tre principi della riservatezza, della responsabilità e della trasparenza assicurano che l’impiego degli strumenti sia conforme alla tutela della persona, e ne costituiscono la condizione di legittimità. La riservatezza assicura che la persona sia protetta dalla divulgazione dei propri dati di salute mentale, che la esporrebbe a pregiudizio; e la sua osservanza è condizione della fiducia della persona nel servizio, che si fonda sulla riservatezza della relazione clinica. La responsabilità assicura che vi sia sempre un soggetto responsabile dell’impiego degli strumenti, che risponda della conformità alle regole; e la sua osservanza è condizione della tutela della persona, che può fare affidamento su un soggetto responsabile, e non su un sistema privo di responsabilità. La trasparenza assicura che la persona conosca il trattamento dei propri dati e che il funzionamento dei sistemi sia comprensibile; e la sua osservanza è condizione dell’autodeterminazione della persona, che può conoscere e controllare l’impiego degli strumenti che la riguardano. I tre principi sono dunque le condizioni di legittimità dell’impiego degli strumenti nella riforma: l’impiego degli strumenti digitali e dell’Intelligenza Artificiale è legittimo in quanto conforme alla riservatezza, alla responsabilità e alla trasparenza, che ne assicurano la conformità alla tutela della persona; e la cornice di responsabilità, stabilendo le regole che attuano tali principi, rende legittimo l’impiego degli strumenti che vi si conforma, e illegittimo l’impiego che vi si sottrae.</w:t>
      </w:r>
    </w:p>
    <w:bookmarkEnd w:id="884"/>
    <w:bookmarkStart w:id="886" w:name="i-confini-della-voce"/>
    <w:p>
      <w:pPr>
        <w:pStyle w:val="Heading2"/>
      </w:pPr>
      <w:r>
        <w:t xml:space="preserve">13.3.5 I confini della voce</w:t>
      </w:r>
    </w:p>
    <w:p>
      <w:pPr>
        <w:pStyle w:val="FirstParagraph"/>
      </w:pPr>
      <w:r>
        <w:t xml:space="preserve">La voce ha carattere normativo, come le precedenti, e ne condivide il metodo. La voce non misura grandezze, né formula stime, ma ricostruisce le regole della protezione dei dati e della governance dell’Intelligenza Artificiale, e ne valuta la portata come cornice di responsabilità; il suo metodo è quello dell’analisi giuridica, e non quello dell’analisi empirica. La gradazione dell’evidenza secondo i criteri GRADE non si applica alla voce, che formula proposizioni giuridiche, la cui solidità si valuta secondo il loro radicamento nelle norme della protezione dei dati e dell’Intelligenza Artificiale. Le proposizioni della voce — che il trattamento dei dati del primo livello psicologico si fonda sulla finalità di cura e si conforma ai principi della protezione dei dati, e che l’uso dei sistemi di Intelligenza Artificiale è governato nella posizione subordinata dagli obblighi rafforzati e dai principi della riservatezza, della responsabilità e della trasparenza — sono proposizioni giuridiche, solide in quanto radicate nelle norme, e la loro solidità si valuta secondo tale radicamento.</w:t>
      </w:r>
    </w:p>
    <w:p>
      <w:pPr>
        <w:pStyle w:val="BodyText"/>
      </w:pPr>
      <w:r>
        <w:t xml:space="preserve">I confini della voce ne delimitano la portata e ne rimettono taluni aspetti alle voci successive e alla parte dedicata all’attuazione. La voce stabilisce la cornice di responsabilità nell’impiego degli strumenti digitali e dell’Intelligenza Artificiale, e non l’etica professionale e la supervisione umana, che sono oggetto della quarta voce, né i profili organizzativi e di responsabilità, che sono oggetto della quinta; essa esamina le regole della protezione dei dati e della governance dell’Intelligenza Artificiale, e non le regole deontologiche dell’azione professionale né l’organizzazione del servizio, che le voci successive esamineranno. La voce stabilisce i principi della cornice di responsabilità — la riservatezza, la responsabilità, la trasparenza — e gli obblighi che li attuano, ma non le misure concrete della loro attuazione, la cui adozione è rimessa alla quattordicesima parte, dedicata all’attuazione, che dovrà tradurre i principi e gli obblighi nelle misure concrete di protezione dei dati e di governance dell’Intelligenza Artificiale. La voce conferma la posizione subordinata dell’Intelligenza Artificiale, stabilita dalla quarta parte, e ne presidia il mantenimento attraverso la governance, ma non ne rifà la valutazione del contributo, condotta dalle parti precedenti. Entro questi confini, la voce stabilisce che l’impiego degli strumenti digitali e dell’Intelligenza Artificiale nel primo livello psicologico è legittimo in quanto governato dalla cornice di responsabilità, che assicura la riservatezza, la responsabilità e la trasparenza nel trattamento dei dati e nell’uso dei sistemi; e che tale cornice presidia la posizione subordinata dell’Intelligenza Artificiale, assicurando che essa rimanga uno strumento di supporto sotto la supervisione umana.</w:t>
      </w:r>
      <w:r>
        <w:rPr>
          <w:rStyle w:val="FootnoteReference"/>
        </w:rPr>
        <w:footnoteReference w:id="372"/>
      </w:r>
    </w:p>
    <w:bookmarkEnd w:id="886"/>
    <w:bookmarkEnd w:id="887"/>
    <w:bookmarkStart w:id="898" w:name="X568b2c36f573bf0fe51ca7ce6a5f2de7123dc10"/>
    <w:p>
      <w:pPr>
        <w:pStyle w:val="Heading2"/>
      </w:pPr>
      <w:r>
        <w:t xml:space="preserve">13.4 L’etica professionale e la supervisione umana</w:t>
      </w:r>
    </w:p>
    <w:p>
      <w:pPr>
        <w:pStyle w:val="FirstParagraph"/>
      </w:pPr>
      <w:r>
        <w:rPr>
          <w:i/>
          <w:iCs/>
        </w:rPr>
        <w:t xml:space="preserve">La quarta voce stabilisce la cornice deontologica dell’azione del professionista, ossia le regole etiche che ne governano la condotta e che assicurano la supervisione umana sugli strumenti. Essa espone la logica della cornice deontologica, esamina il codice deontologico degli psicologi e i suoi principi, considera la supervisione umana sugli strumenti digitali e sull’Intelligenza Artificiale, individua nell’autonomia e nella responsabilità professionale i cardini della cornice, e ne traccia infine i confini, dichiarando il rinvio alla voce successiva e alla parte dedicata all’attuazione.</w:t>
      </w:r>
    </w:p>
    <w:bookmarkStart w:id="889" w:name="la-logica-della-cornice-deontologica"/>
    <w:p>
      <w:pPr>
        <w:pStyle w:val="Heading2"/>
      </w:pPr>
      <w:r>
        <w:t xml:space="preserve">13.4.1 La logica della cornice deontologica</w:t>
      </w:r>
    </w:p>
    <w:p>
      <w:pPr>
        <w:pStyle w:val="FirstParagraph"/>
      </w:pPr>
      <w:r>
        <w:t xml:space="preserve">La cornice deontologica è l’insieme delle regole etiche che governano la condotta del professionista nell’esercizio della professione, e che assicurano la conformità della sua azione ai principi della deontologia professionale. Mentre la voce precedente ha stabilito la cornice di responsabilità nell’impiego degli strumenti, la presente voce stabilisce la cornice deontologica dell’azione del professionista, ossia le regole etiche che ne governano la condotta. Il primo livello psicologico è erogato da un professionista — lo psicologo di base — la cui azione è governata da una deontologia professionale, ossia da un insieme di regole etiche che disciplinano l’esercizio della professione, e che ne assicurano la conformità ai principi del rispetto della persona, della riservatezza, dell’autonomia e della responsabilità. La cornice deontologica non è esterna alla riforma, ma ne costituisce una dimensione essenziale: la riforma è erogata da professionisti, e la conformità dell’azione professionale alla deontologia è perciò una condizione della legittimità della riforma, sotto il profilo della condotta di chi la eroga. La logica della cornice deontologica muove dal riconoscimento che il primo livello psicologico, in quanto erogato da professionisti, è governato dalla deontologia professionale, e che la conformità dell’azione professionale alla deontologia costituisce una condizione della legittimità della riforma; e che tale conformità è assicurata dalla cornice deontologica, che stabilisce le regole etiche dell’azione professionale e ne presidia l’osservanza.</w:t>
      </w:r>
      <w:r>
        <w:rPr>
          <w:rStyle w:val="FootnoteReference"/>
        </w:rPr>
        <w:footnoteReference w:id="373"/>
      </w:r>
    </w:p>
    <w:p>
      <w:pPr>
        <w:pStyle w:val="BodyText"/>
      </w:pPr>
      <w:r>
        <w:t xml:space="preserve">La cornice deontologica dell’azione professionale si connette alla cornice di responsabilità nell’impiego degli strumenti, e in particolare alla supervisione umana. Le due cornici — la cornice deontologica dell’azione professionale e la cornice di responsabilità nell’impiego degli strumenti — sono distinte, perché attengono a oggetti diversi: l’una alla condotta del professionista, l’altra all’impiego degli strumenti digitali e dell’Intelligenza Artificiale. Ma esse si connettono nel punto della supervisione umana: la cornice di responsabilità nell’impiego degli strumenti richiede che il professionista mantenga la supervisione sugli strumenti e sui sistemi di Intelligenza Artificiale, e la cornice deontologica fonda tale supervisione nell’autonomia e nella responsabilità professionale, che impongono al professionista di mantenere il controllo del proprio giudizio clinico, e di non delegarlo allo strumento. La supervisione umana sugli strumenti è dunque il punto di connessione tra le due cornici: essa è richiesta dalla cornice di responsabilità, quale obbligo dell’impiego degli strumenti, ed è fondata dalla cornice deontologica, quale espressione dell’autonomia e della responsabilità professionale. La presente voce esamina la cornice deontologica dell’azione professionale, e in particolare la supervisione umana sugli strumenti, mostrandone il fondamento nella deontologia professionale, e la connessione con la cornice di responsabilità esaminata nella voce precedente; e stabilisce così che la supervisione umana sugli strumenti non è soltanto un obbligo dell’impiego degli strumenti, ma un’espressione dell’autonomia e della responsabilità professionale, che la deontologia impone.</w:t>
      </w:r>
    </w:p>
    <w:bookmarkEnd w:id="889"/>
    <w:bookmarkStart w:id="891" w:name="X224456e563404a8e566dd52d82d4f78a16729a3"/>
    <w:p>
      <w:pPr>
        <w:pStyle w:val="Heading2"/>
      </w:pPr>
      <w:r>
        <w:t xml:space="preserve">13.4.2 Il codice deontologico degli psicologi e i suoi principi</w:t>
      </w:r>
    </w:p>
    <w:p>
      <w:pPr>
        <w:pStyle w:val="FirstParagraph"/>
      </w:pPr>
      <w:r>
        <w:t xml:space="preserve">La condotta dello psicologo di base è governata dal codice deontologico degli psicologi, che stabilisce le regole etiche dell’esercizio della professione. La professione di psicologo è, nell’ordinamento italiano, una professione regolamentata, il cui esercizio è subordinato all’iscrizione all’albo e governato da un codice deontologico, che stabilisce le regole etiche dell’esercizio della professione; e lo psicologo di base, in quanto psicologo, è soggetto al codice deontologico degli psicologi, che ne governa la condotta nell’esercizio del primo livello psicologico. Il codice deontologico degli psicologi stabilisce i principi etici che governano l’azione dello psicologo, tra cui il segreto professionale, che impone allo psicologo di mantenere riservato quanto appreso nell’esercizio della professione; il consenso informato, che subordina l’intervento al consenso consapevole della persona; l’autonomia e la responsabilità, che impongono allo psicologo di esercitare il proprio giudizio con autonomia e di risponderne; e la centralità della relazione clinica, che pone la relazione tra lo psicologo e la persona al fondamento dell’intervento. La condotta dello psicologo di base nell’esercizio del primo livello psicologico è governata da questi principi, che ne assicurano la conformità alla deontologia professionale. La tabella che segue ricostruisce i principi dell’etica professionale e della supervisione umana, indicando per ciascuno il contenuto e il rilievo per la riforma.</w:t>
      </w:r>
      <w:r>
        <w:rPr>
          <w:rStyle w:val="FootnoteReference"/>
        </w:rPr>
        <w:footnoteReference w:id="374"/>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Principio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Rilievo per il primo livello psicologico</w:t>
            </w:r>
          </w:p>
        </w:tc>
      </w:tr>
      <w:tr>
        <w:tc>
          <w:tcPr/>
          <w:p>
            <w:pPr>
              <w:pStyle w:val="Compact"/>
              <w:spacing w:after="40" w:before="40"/>
              <w:jc w:val="left"/>
            </w:pPr>
            <w:r>
              <w:rPr>
                <w:rFonts w:ascii="Cambria" w:hAnsi="Cambria" w:cs="Cambria" w:eastAsia="Cambria"/>
                <w:color w:val="1A1A1A"/>
                <w:sz w:val="18"/>
              </w:rPr>
              <w:t xml:space="preserve">Segreto professionale</w:t>
            </w:r>
          </w:p>
        </w:tc>
        <w:tc>
          <w:tcPr/>
          <w:p>
            <w:pPr>
              <w:pStyle w:val="Compact"/>
              <w:spacing w:after="40" w:before="40"/>
              <w:jc w:val="left"/>
            </w:pPr>
            <w:r>
              <w:rPr>
                <w:rFonts w:ascii="Cambria" w:hAnsi="Cambria" w:cs="Cambria" w:eastAsia="Cambria"/>
                <w:color w:val="1A1A1A"/>
                <w:sz w:val="18"/>
              </w:rPr>
              <w:t xml:space="preserve">Il professionista è tenuto al segreto su quanto appreso nell’esercizio della professione</w:t>
            </w:r>
          </w:p>
        </w:tc>
        <w:tc>
          <w:tcPr/>
          <w:p>
            <w:pPr>
              <w:pStyle w:val="Compact"/>
              <w:spacing w:after="40" w:before="40"/>
              <w:jc w:val="left"/>
            </w:pPr>
            <w:r>
              <w:rPr>
                <w:rFonts w:ascii="Cambria" w:hAnsi="Cambria" w:cs="Cambria" w:eastAsia="Cambria"/>
                <w:color w:val="1A1A1A"/>
                <w:sz w:val="18"/>
              </w:rPr>
              <w:t xml:space="preserve">Tutela la riservatezza della relazione clinica nel primo livello psicologico</w:t>
            </w:r>
          </w:p>
        </w:tc>
      </w:tr>
      <w:tr>
        <w:tc>
          <w:tcPr>
            <w:shd w:val="clear" w:color="auto" w:fill="F4F1EC"/>
          </w:tcPr>
          <w:p>
            <w:pPr>
              <w:pStyle w:val="Compact"/>
              <w:spacing w:after="40" w:before="40"/>
              <w:jc w:val="left"/>
            </w:pPr>
            <w:r>
              <w:rPr>
                <w:rFonts w:ascii="Cambria" w:hAnsi="Cambria" w:cs="Cambria" w:eastAsia="Cambria"/>
                <w:color w:val="1A1A1A"/>
                <w:sz w:val="18"/>
              </w:rPr>
              <w:t xml:space="preserve">Consenso informato</w:t>
            </w:r>
          </w:p>
        </w:tc>
        <w:tc>
          <w:tcPr>
            <w:shd w:val="clear" w:color="auto" w:fill="F4F1EC"/>
          </w:tcPr>
          <w:p>
            <w:pPr>
              <w:pStyle w:val="Compact"/>
              <w:spacing w:after="40" w:before="40"/>
              <w:jc w:val="left"/>
            </w:pPr>
            <w:r>
              <w:rPr>
                <w:rFonts w:ascii="Cambria" w:hAnsi="Cambria" w:cs="Cambria" w:eastAsia="Cambria"/>
                <w:color w:val="1A1A1A"/>
                <w:sz w:val="18"/>
              </w:rPr>
              <w:t xml:space="preserve">L’intervento richiede il consenso consapevole della persona</w:t>
            </w:r>
          </w:p>
        </w:tc>
        <w:tc>
          <w:tcPr>
            <w:shd w:val="clear" w:color="auto" w:fill="F4F1EC"/>
          </w:tcPr>
          <w:p>
            <w:pPr>
              <w:pStyle w:val="Compact"/>
              <w:spacing w:after="40" w:before="40"/>
              <w:jc w:val="left"/>
            </w:pPr>
            <w:r>
              <w:rPr>
                <w:rFonts w:ascii="Cambria" w:hAnsi="Cambria" w:cs="Cambria" w:eastAsia="Cambria"/>
                <w:color w:val="1A1A1A"/>
                <w:sz w:val="18"/>
              </w:rPr>
              <w:t xml:space="preserve">L’accesso al primo livello psicologico si fonda sul consenso informato</w:t>
            </w:r>
          </w:p>
        </w:tc>
      </w:tr>
      <w:tr>
        <w:tc>
          <w:tcPr/>
          <w:p>
            <w:pPr>
              <w:pStyle w:val="Compact"/>
              <w:spacing w:after="40" w:before="40"/>
              <w:jc w:val="left"/>
            </w:pPr>
            <w:r>
              <w:rPr>
                <w:rFonts w:ascii="Cambria" w:hAnsi="Cambria" w:cs="Cambria" w:eastAsia="Cambria"/>
                <w:color w:val="1A1A1A"/>
                <w:sz w:val="18"/>
              </w:rPr>
              <w:t xml:space="preserve">Autonomia e responsabilità</w:t>
            </w:r>
          </w:p>
        </w:tc>
        <w:tc>
          <w:tcPr/>
          <w:p>
            <w:pPr>
              <w:pStyle w:val="Compact"/>
              <w:spacing w:after="40" w:before="40"/>
              <w:jc w:val="left"/>
            </w:pPr>
            <w:r>
              <w:rPr>
                <w:rFonts w:ascii="Cambria" w:hAnsi="Cambria" w:cs="Cambria" w:eastAsia="Cambria"/>
                <w:color w:val="1A1A1A"/>
                <w:sz w:val="18"/>
              </w:rPr>
              <w:t xml:space="preserve">Il professionista esercita il proprio giudizio con autonomia e ne risponde</w:t>
            </w:r>
          </w:p>
        </w:tc>
        <w:tc>
          <w:tcPr/>
          <w:p>
            <w:pPr>
              <w:pStyle w:val="Compact"/>
              <w:spacing w:after="40" w:before="40"/>
              <w:jc w:val="left"/>
            </w:pPr>
            <w:r>
              <w:rPr>
                <w:rFonts w:ascii="Cambria" w:hAnsi="Cambria" w:cs="Cambria" w:eastAsia="Cambria"/>
                <w:color w:val="1A1A1A"/>
                <w:sz w:val="18"/>
              </w:rPr>
              <w:t xml:space="preserve">Lo psicologo di base è responsabile del proprio giudizio clinico</w:t>
            </w:r>
          </w:p>
        </w:tc>
      </w:tr>
      <w:tr>
        <w:tc>
          <w:tcPr>
            <w:shd w:val="clear" w:color="auto" w:fill="F4F1EC"/>
          </w:tcPr>
          <w:p>
            <w:pPr>
              <w:pStyle w:val="Compact"/>
              <w:spacing w:after="40" w:before="40"/>
              <w:jc w:val="left"/>
            </w:pPr>
            <w:r>
              <w:rPr>
                <w:rFonts w:ascii="Cambria" w:hAnsi="Cambria" w:cs="Cambria" w:eastAsia="Cambria"/>
                <w:color w:val="1A1A1A"/>
                <w:sz w:val="18"/>
              </w:rPr>
              <w:t xml:space="preserve">Supervisione umana</w:t>
            </w:r>
          </w:p>
        </w:tc>
        <w:tc>
          <w:tcPr>
            <w:shd w:val="clear" w:color="auto" w:fill="F4F1EC"/>
          </w:tcPr>
          <w:p>
            <w:pPr>
              <w:pStyle w:val="Compact"/>
              <w:spacing w:after="40" w:before="40"/>
              <w:jc w:val="left"/>
            </w:pPr>
            <w:r>
              <w:rPr>
                <w:rFonts w:ascii="Cambria" w:hAnsi="Cambria" w:cs="Cambria" w:eastAsia="Cambria"/>
                <w:color w:val="1A1A1A"/>
                <w:sz w:val="18"/>
              </w:rPr>
              <w:t xml:space="preserve">Il professionista mantiene la supervisione sugli strumenti e il controllo del giudizio</w:t>
            </w:r>
          </w:p>
        </w:tc>
        <w:tc>
          <w:tcPr>
            <w:shd w:val="clear" w:color="auto" w:fill="F4F1EC"/>
          </w:tcPr>
          <w:p>
            <w:pPr>
              <w:pStyle w:val="Compact"/>
              <w:spacing w:after="40" w:before="40"/>
              <w:jc w:val="left"/>
            </w:pPr>
            <w:r>
              <w:rPr>
                <w:rFonts w:ascii="Cambria" w:hAnsi="Cambria" w:cs="Cambria" w:eastAsia="Cambria"/>
                <w:color w:val="1A1A1A"/>
                <w:sz w:val="18"/>
              </w:rPr>
              <w:t xml:space="preserve">L’Intelligenza Artificiale non sostituisce il giudizio dello psicologo di base</w:t>
            </w:r>
          </w:p>
        </w:tc>
      </w:tr>
      <w:tr>
        <w:tc>
          <w:tcPr/>
          <w:p>
            <w:pPr>
              <w:pStyle w:val="Compact"/>
              <w:spacing w:after="40" w:before="40"/>
              <w:jc w:val="left"/>
            </w:pPr>
            <w:r>
              <w:rPr>
                <w:rFonts w:ascii="Cambria" w:hAnsi="Cambria" w:cs="Cambria" w:eastAsia="Cambria"/>
                <w:color w:val="1A1A1A"/>
                <w:sz w:val="18"/>
              </w:rPr>
              <w:t xml:space="preserve">Centralità della relazione clinica</w:t>
            </w:r>
          </w:p>
        </w:tc>
        <w:tc>
          <w:tcPr/>
          <w:p>
            <w:pPr>
              <w:pStyle w:val="Compact"/>
              <w:spacing w:after="40" w:before="40"/>
              <w:jc w:val="left"/>
            </w:pPr>
            <w:r>
              <w:rPr>
                <w:rFonts w:ascii="Cambria" w:hAnsi="Cambria" w:cs="Cambria" w:eastAsia="Cambria"/>
                <w:color w:val="1A1A1A"/>
                <w:sz w:val="18"/>
              </w:rPr>
              <w:t xml:space="preserve">La relazione tra il professionista e la persona è il fondamento dell’intervento</w:t>
            </w:r>
          </w:p>
        </w:tc>
        <w:tc>
          <w:tcPr/>
          <w:p>
            <w:pPr>
              <w:pStyle w:val="Compact"/>
              <w:spacing w:after="40" w:before="40"/>
              <w:jc w:val="left"/>
            </w:pPr>
            <w:r>
              <w:rPr>
                <w:rFonts w:ascii="Cambria" w:hAnsi="Cambria" w:cs="Cambria" w:eastAsia="Cambria"/>
                <w:color w:val="1A1A1A"/>
                <w:sz w:val="18"/>
              </w:rPr>
              <w:t xml:space="preserve">Il primo livello psicologico si fonda sulla relazione clinica, non sullo strumento</w:t>
            </w:r>
          </w:p>
        </w:tc>
      </w:tr>
    </w:tbl>
    <w:p>
      <w:pPr>
        <w:pStyle w:val="BodyText"/>
      </w:pPr>
      <w:r>
        <w:rPr>
          <w:i/>
          <w:iCs/>
        </w:rPr>
        <w:t xml:space="preserve">Tabella 13.3 — I principi dell’etica professionale e della supervisione umana e il loro rilievo per il primo livello psicologico. La condotta dello psicologo di base è governata dal segreto professionale, dal consenso informato, dall’autonomia e responsabilità, dalla supervisione umana e dalla centralità della relazione clinica.</w:t>
      </w:r>
    </w:p>
    <w:p>
      <w:pPr>
        <w:pStyle w:val="BodyText"/>
      </w:pPr>
      <w:r>
        <w:t xml:space="preserve">Tra i principi del codice deontologico, il segreto professionale e il consenso informato rivestono uno specifico rilievo per la tutela della persona nel primo livello psicologico. Il segreto professionale impone allo psicologo di mantenere riservato quanto appreso nell’esercizio della professione, e tutela così la riservatezza della relazione clinica, che è condizione della fiducia della persona a confidare il proprio disagio; esso si connette alla riservatezza dei dati, esaminata nella voce precedente, costituendone la dimensione deontologica: ciò che la protezione dei dati assicura come riservatezza del trattamento, il segreto professionale lo assicura come riservatezza della condotta del professionista. Il consenso informato subordina l’intervento al consenso consapevole della persona, che deve essere informata della natura dell’intervento e prestarvi il proprio consenso; esso tutela l’autodeterminazione della persona, che decide consapevolmente del proprio accesso alla cura, e si connette alla trasparenza, esaminata nella voce precedente, costituendone la dimensione deontologica: ciò che la trasparenza assicura come comprensibilità del trattamento, il consenso informato lo assicura come consapevolezza della persona nell’accesso all’intervento. Il segreto professionale e il consenso informato costituiscono dunque i principi deontologici che tutelano la riservatezza e l’autodeterminazione della persona nel primo livello psicologico, e che si connettono ai principi della cornice di responsabilità esaminati nella voce precedente, costituendone la dimensione deontologica, propria della condotta del professionista.</w:t>
      </w:r>
    </w:p>
    <w:bookmarkEnd w:id="891"/>
    <w:bookmarkStart w:id="893" w:name="X4da09c00d7d9ace6933390973390db055b673be"/>
    <w:p>
      <w:pPr>
        <w:pStyle w:val="Heading2"/>
      </w:pPr>
      <w:r>
        <w:t xml:space="preserve">13.4.3 La supervisione umana sugli strumenti digitali e sull’Intelligenza Artificiale</w:t>
      </w:r>
    </w:p>
    <w:p>
      <w:pPr>
        <w:pStyle w:val="FirstParagraph"/>
      </w:pPr>
      <w:r>
        <w:t xml:space="preserve">La supervisione umana sugli strumenti è il principio per cui il professionista mantiene il controllo del proprio giudizio clinico, e non lo delega agli strumenti digitali o all’Intelligenza Artificiale. Il primo livello psicologico può avvalersi di strumenti digitali e dell’Intelligenza Artificiale come leve abilitanti, nella posizione subordinata che la quarta parte ha loro assegnato; ma l’impiego di tali strumenti è governato dal principio della supervisione umana, per cui il professionista mantiene il controllo del proprio giudizio clinico, e non lo delega agli strumenti. La supervisione umana implica che gli strumenti digitali e l’Intelligenza Artificiale operino come supporto al giudizio del professionista, e non come suoi sostituti: essi possono fornire indicazioni, elaborazioni o supporti, ma il giudizio clinico — la valutazione del disagio, la scelta dell’intervento, la conduzione della relazione — rimane del professionista, che lo esercita con autonomia e ne risponde. La supervisione umana è il presidio della posizione subordinata dell’Intelligenza Artificiale: essa assicura che l’Intelligenza Artificiale rimanga uno strumento di supporto, sotto il controllo del professionista, e non divenga un decisore autonomo, che sostituisca il giudizio clinico; e mantiene così l’Intelligenza Artificiale nella posizione subordinata che la quarta parte ha stabilita, e che la governance dell’Intelligenza Artificiale, esaminata nella voce precedente, presidia. La supervisione umana sugli strumenti è dunque il principio che assicura che il giudizio clinico rimanga del professionista, e che gli strumenti digitali e l’Intelligenza Artificiale operino come supporto, e non come sostituti, del giudizio clinico.</w:t>
      </w:r>
      <w:r>
        <w:rPr>
          <w:rStyle w:val="FootnoteReference"/>
        </w:rPr>
        <w:footnoteReference w:id="375"/>
      </w:r>
    </w:p>
    <w:p>
      <w:pPr>
        <w:pStyle w:val="BodyText"/>
      </w:pPr>
      <w:r>
        <w:t xml:space="preserve">La supervisione umana trova il proprio fondamento nell’autonomia e nella responsabilità professionale, che impongono al professionista di mantenere il controllo del proprio giudizio. La supervisione umana non è soltanto un obbligo dell’impiego degli strumenti, stabilito dalla disciplina dell’Intelligenza Artificiale, ma un’espressione dell’autonomia e della responsabilità professionale, che la deontologia impone. L’autonomia professionale implica che il professionista eserciti il proprio giudizio con indipendenza, e non lo subordini a fattori esterni che ne compromettano l’indipendenza; e l’impiego dell’Intelligenza Artificiale, ove conducesse alla delega del giudizio clinico al sistema, comprometterebbe l’autonomia professionale, subordinando il giudizio del professionista al sistema. La responsabilità professionale implica che il professionista risponda del proprio giudizio, e non possa trasferirne la responsabilità a fattori esterni; e l’impiego dell’Intelligenza Artificiale, ove conducesse alla delega del giudizio clinico al sistema, diluirebbe la responsabilità professionale, trasferendola al sistema, che non risponde. La supervisione umana è dunque imposta dall’autonomia e dalla responsabilità professionale: essa assicura che il professionista mantenga il controllo del proprio giudizio, conservandone l’autonomia, e che il professionista risponda del proprio giudizio, conservandone la responsabilità. La supervisione umana sugli strumenti trova così, nella cornice deontologica, un fondamento che si aggiunge a quello che la disciplina dell’Intelligenza Artificiale le fornisce: essa è richiesta dalla governance dell’Intelligenza Artificiale, quale obbligo dell’impiego degli strumenti, ed è imposta dalla deontologia professionale, quale espressione dell’autonomia e della responsabilità del professionista, che non può delegare allo strumento il proprio giudizio clinico.</w:t>
      </w:r>
    </w:p>
    <w:bookmarkEnd w:id="893"/>
    <w:bookmarkStart w:id="895" w:name="Xd7391655ce107628baef6a1374f3c66f671d9f4"/>
    <w:p>
      <w:pPr>
        <w:pStyle w:val="Heading2"/>
      </w:pPr>
      <w:r>
        <w:t xml:space="preserve">13.4.4 L’autonomia e la responsabilità professionale come cardini della cornice</w:t>
      </w:r>
    </w:p>
    <w:p>
      <w:pPr>
        <w:pStyle w:val="FirstParagraph"/>
      </w:pPr>
      <w:r>
        <w:t xml:space="preserve">L’autonomia e la responsabilità professionale costituiscono i cardini della cornice deontologica, da cui discendono gli altri principi e la supervisione umana. L’autonomia professionale è il principio per cui il professionista esercita il proprio giudizio con indipendenza, secondo la propria competenza e coscienza, e non subordina il giudizio a fattori esterni che ne compromettano l’indipendenza. La responsabilità professionale è il principio per cui il professionista risponde del proprio giudizio e della propria condotta, e non può trasferirne la responsabilità a fattori esterni. I due principi sono connessi, e costituiscono insieme il cardine della cornice deontologica: l’autonomia implica la responsabilità, perché chi esercita il giudizio con indipendenza ne risponde; e la responsabilità implica l’autonomia, perché chi risponde del giudizio deve esercitarlo con indipendenza. Dai due principi discendono gli altri principi della cornice deontologica: il segreto professionale, che il professionista osserva nell’esercizio autonomo e responsabile della professione; il consenso informato, che il professionista acquisisce nell’esercizio autonomo e responsabile dell’intervento; la centralità della relazione clinica, che il professionista conduce nell’esercizio autonomo e responsabile della professione; e la supervisione umana, che il professionista mantiene quale espressione dell’autonomia e della responsabilità. L’autonomia e la responsabilità professionale costituiscono dunque i cardini della cornice deontologica, da cui discendono gli altri principi e la supervisione umana, e che assicurano che il professionista eserciti il proprio giudizio con indipendenza e ne risponda.</w:t>
      </w:r>
      <w:r>
        <w:rPr>
          <w:rStyle w:val="FootnoteReference"/>
        </w:rPr>
        <w:footnoteReference w:id="376"/>
      </w:r>
    </w:p>
    <w:p>
      <w:pPr>
        <w:pStyle w:val="BodyText"/>
      </w:pPr>
      <w:r>
        <w:t xml:space="preserve">I cardini dell’autonomia e della responsabilità professionale assicurano che la riforma, pur avvalendosi di strumenti, rimanga fondata sull’azione del professionista, che ne è responsabile. La riforma del primo livello psicologico può avvalersi di strumenti digitali e dell’Intelligenza Artificiale, e può articolarsi in un’organizzazione complessa, che la quinta voce esaminerà; ma essa rimane fondata, sotto il profilo deontologico, sull’azione del professionista, che esercita il giudizio clinico con autonomia e ne risponde. I cardini dell’autonomia e della responsabilità professionale assicurano questo fondamento: essi impongono che il giudizio clinico rimanga del professionista, e non sia delegato agli strumenti né diluito nell’organizzazione; e che il professionista risponda del proprio giudizio, e non possa trasferirne la responsabilità agli strumenti né all’organizzazione. La riforma, pur avvalendosi di strumenti e articolandosi in un’organizzazione, rimane dunque fondata sull’azione del professionista, che ne è responsabile: gli strumenti operano come supporto sotto la supervisione del professionista, l’organizzazione distribuisce le funzioni senza sottrarre al professionista la responsabilità del giudizio clinico, e il professionista rimane il soggetto responsabile dell’azione clinica. I cardini dell’autonomia e della responsabilità professionale costituiscono così la garanzia che la riforma rimanga fondata sull’azione del professionista, e che l’impiego degli strumenti e l’articolazione dell’organizzazione non sottraggano al professionista la responsabilità del giudizio clinico, che la deontologia gli imputa.</w:t>
      </w:r>
    </w:p>
    <w:bookmarkEnd w:id="895"/>
    <w:bookmarkStart w:id="897" w:name="i-confini-della-voce-1"/>
    <w:p>
      <w:pPr>
        <w:pStyle w:val="Heading2"/>
      </w:pPr>
      <w:r>
        <w:t xml:space="preserve">13.4.5 I confini della voce</w:t>
      </w:r>
    </w:p>
    <w:p>
      <w:pPr>
        <w:pStyle w:val="FirstParagraph"/>
      </w:pPr>
      <w:r>
        <w:t xml:space="preserve">La voce ha carattere normativo, come le precedenti, e ne condivide il metodo. La voce non misura grandezze, né formula stime, ma ricostruisce le regole della deontologia professionale e della supervisione umana, e ne valuta la portata come cornice deontologica; il suo metodo è quello dell’analisi giuridica ed etica, e non quello dell’analisi empirica. La gradazione dell’evidenza secondo i criteri GRADE non si applica alla voce, che formula proposizioni deontologiche, la cui solidità si valuta secondo il loro radicamento nel codice deontologico e nei principi dell’autonomia e della responsabilità professionale. Le proposizioni della voce — che la condotta dello psicologo di base è governata dal codice deontologico, e che la supervisione umana sugli strumenti è imposta dall’autonomia e dalla responsabilità professionale — sono proposizioni deontologiche, solide in quanto radicate nel codice e nei principi della professione, e la loro solidità si valuta secondo tale radicamento.</w:t>
      </w:r>
    </w:p>
    <w:p>
      <w:pPr>
        <w:pStyle w:val="BodyText"/>
      </w:pPr>
      <w:r>
        <w:t xml:space="preserve">I confini della voce ne delimitano la portata e ne rimettono taluni aspetti alla voce successiva e alla parte dedicata all’attuazione. La voce stabilisce la cornice deontologica dell’azione professionale e la supervisione umana sugli strumenti, e non i profili organizzativi e di responsabilità, che sono oggetto della quinta voce; essa esamina le regole etiche della condotta del professionista, e non l’organizzazione del servizio e la distribuzione delle funzioni e delle responsabilità tra le figure e le istituzioni, che la quinta voce esaminerà. La voce stabilisce i principi della cornice deontologica — il segreto professionale, il consenso informato, l’autonomia e la responsabilità, la supervisione umana, la centralità della relazione clinica — ma non le misure concrete della loro osservanza, la cui adozione è rimessa alla quattordicesima parte, dedicata all’attuazione, che dovrà tradurre i principi deontologici nelle misure concrete che ne assicurano l’osservanza. La voce conferma la posizione subordinata dell’Intelligenza Artificiale, presidiandola attraverso la supervisione umana, ma non ne rifà la valutazione del contributo, condotta dalle parti precedenti. Entro questi confini, la voce stabilisce che la condotta dello psicologo di base nel primo livello psicologico è governata dalla cornice deontologica, che ne assicura la conformità ai principi del segreto professionale, del consenso informato, dell’autonomia e della responsabilità, della supervisione umana e della centralità della relazione clinica; e che la supervisione umana sugli strumenti, imposta dall’autonomia e dalla responsabilità professionale, presidia la posizione subordinata dell’Intelligenza Artificiale, assicurando che il giudizio clinico rimanga del professionista.</w:t>
      </w:r>
      <w:r>
        <w:rPr>
          <w:rStyle w:val="FootnoteReference"/>
        </w:rPr>
        <w:footnoteReference w:id="377"/>
      </w:r>
    </w:p>
    <w:bookmarkEnd w:id="897"/>
    <w:bookmarkEnd w:id="898"/>
    <w:bookmarkStart w:id="909" w:name="X99dea9dab86b8d858504604ea327edad2d11820"/>
    <w:p>
      <w:pPr>
        <w:pStyle w:val="Heading2"/>
      </w:pPr>
      <w:r>
        <w:t xml:space="preserve">13.5 I profili organizzativi e di responsabilità</w:t>
      </w:r>
    </w:p>
    <w:p>
      <w:pPr>
        <w:pStyle w:val="FirstParagraph"/>
      </w:pPr>
      <w:r>
        <w:rPr>
          <w:i/>
          <w:iCs/>
        </w:rPr>
        <w:t xml:space="preserve">La quinta voce stabilisce la cornice della distribuzione delle funzioni e delle responsabilità tra le figure e le istituzioni, ossia le regole che disciplinano l’organizzazione del servizio sotto il profilo della responsabilità. Essa espone la logica dei profili organizzativi e di responsabilità, esamina la distribuzione delle funzioni tra le figure, considera la distribuzione delle responsabilità tra le istituzioni, ricostruisce la catena di responsabilità e il raccordo organizzativo, e ne traccia infine i confini, dichiarando il rinvio alle parti dedicate alla cascata, all’attuazione e al monitoraggio.</w:t>
      </w:r>
    </w:p>
    <w:bookmarkStart w:id="900" w:name="X76e276320d26dc7240c19fb6983dcc7a27e29a0"/>
    <w:p>
      <w:pPr>
        <w:pStyle w:val="Heading2"/>
      </w:pPr>
      <w:r>
        <w:t xml:space="preserve">13.5.1 La logica dei profili organizzativi e di responsabilità</w:t>
      </w:r>
    </w:p>
    <w:p>
      <w:pPr>
        <w:pStyle w:val="FirstParagraph"/>
      </w:pPr>
      <w:r>
        <w:t xml:space="preserve">I profili organizzativi e di responsabilità sono l’insieme delle regole che disciplinano la distribuzione delle funzioni e delle responsabilità tra le figure e le istituzioni che concorrono alla riforma, assicurandone l’organizzazione ordinata e l’imputazione delle responsabilità. Mentre le voci precedenti hanno stabilito il fondamento della riforma e le cornici di responsabilità nell’impiego degli strumenti e nell’azione professionale, la presente voce stabilisce la cornice dell’organizzazione del servizio sotto il profilo della responsabilità, ossia le regole che distribuiscono le funzioni tra le figure e le istituzioni e che imputano a ciascuna le responsabilità corrispondenti. La riforma del primo livello psicologico è erogata non da un soggetto isolato, ma da una pluralità di figure e di istituzioni che concorrono alla sua realizzazione — lo psicologo di base, il medico di medicina generale, le altre figure, le aziende sanitarie, i distretti, la Regione — e l’organizzazione di tale pluralità richiede una distribuzione ordinata delle funzioni e delle responsabilità, che assegni a ciascun soggetto le proprie funzioni e ne imputi le corrispondenti responsabilità. I profili organizzativi e di responsabilità stabiliscono tale distribuzione: essi assegnano a ciascuna figura e a ciascuna istituzione le proprie funzioni, e ne imputano le corrispondenti responsabilità, assicurando l’organizzazione ordinata del servizio e l’imputazione chiara delle responsabilità. La logica dei profili organizzativi e di responsabilità muove dal riconoscimento che la riforma, in quanto erogata da una pluralità di figure e di istituzioni, richiede una distribuzione ordinata delle funzioni e delle responsabilità, che ne assicuri l’organizzazione e l’imputazione delle responsabilità; e che tale distribuzione costituisce una condizione della legittimità della riforma, sotto il profilo della sua organizzazione e della sua responsabilità.</w:t>
      </w:r>
      <w:r>
        <w:rPr>
          <w:rStyle w:val="FootnoteReference"/>
        </w:rPr>
        <w:footnoteReference w:id="378"/>
      </w:r>
    </w:p>
    <w:p>
      <w:pPr>
        <w:pStyle w:val="BodyText"/>
      </w:pPr>
      <w:r>
        <w:t xml:space="preserve">I profili organizzativi e di responsabilità si distinguono da due dimensioni che la riforma esamina altrove, e a cui tuttavia si connettono: l’architettura della cascata e il modello organizzativo operativo. L’architettura della cascata, che la terza parte dello studio esamina, ordina le figure connesse alla riforma secondo l’influenza nel progetto e la capacità di generare rientro economico o revisione della spesa; essa è un ordinamento per influenza e per valore, distinto dalla distribuzione delle responsabilità, che ordina le figure secondo le funzioni e le responsabilità. Il modello organizzativo operativo, che la quarta parte esamina, descrive il funzionamento del servizio — la cura per intensità crescente, l’assistenza collaborativa, i percorsi assistenziali — ; esso è una descrizione del funzionamento, distinta dalla distribuzione delle responsabilità, che disciplina l’imputazione delle responsabilità. I profili organizzativi e di responsabilità, esaminati nella presente voce, si distinguono da entrambe le dimensioni: essi non ordinano le figure per influenza e per valore, come la cascata, né descrivono il funzionamento del servizio, come il modello operativo, ma distribuiscono le funzioni e imputano le responsabilità, sotto il profilo della responsabilità giuridica e organizzativa. Le tre dimensioni si connettono tuttavia: la distribuzione delle responsabilità presuppone l’architettura delle figure che la cascata ordina, e disciplina l’imputazione delle responsabilità nel funzionamento che il modello operativo descrive. La presente voce esamina la distribuzione delle responsabilità, distinta dalla cascata e dal modello operativo, ma a essi connessa, e ne mostra la funzione propria: l’imputazione ordinata delle responsabilità tra le figure e le istituzioni, che assicura la responsabilità della riforma sotto il profilo organizzativo.</w:t>
      </w:r>
    </w:p>
    <w:bookmarkEnd w:id="900"/>
    <w:bookmarkStart w:id="902" w:name="X75194cfd8f9a73e9c12291cbc216d2667f4c6af"/>
    <w:p>
      <w:pPr>
        <w:pStyle w:val="Heading2"/>
      </w:pPr>
      <w:r>
        <w:t xml:space="preserve">13.5.2 La distribuzione delle funzioni tra le figure</w:t>
      </w:r>
    </w:p>
    <w:p>
      <w:pPr>
        <w:pStyle w:val="FirstParagraph"/>
      </w:pPr>
      <w:r>
        <w:t xml:space="preserve">La distribuzione delle funzioni tra le figure assegna a ciascuna figura le proprie funzioni nell’erogazione del primo livello psicologico, secondo un ordine che pone lo psicologo di base all’apice della funzione clinica. Lo psicologo di base, che la riforma istituisce, è la figura che eroga il primo livello psicologico, e che esercita la funzione clinica propria del servizio: la valutazione del disagio, la conduzione dell’intervento psicologico di primo livello, la relazione clinica con la persona. Lo psicologo di base è perciò all’apice della funzione clinica del primo livello psicologico, di cui esercita la funzione propria, e di cui risponde sotto il profilo del giudizio clinico. Accanto allo psicologo di base, il medico di medicina generale esercita la funzione di integrazione con le cure primarie: egli intercetta il disagio nella relazione con il proprio assistito, opera l’invio allo psicologo di base ove il disagio richieda l’intervento psicologico, e mantiene l’integrazione tra la cura del disagio mentale e la cura della salute fisica. Le altre figure — l’infermiere, lo psichiatra consulente, l’assistente sociale, e le ulteriori figure che la cascata ordina — esercitano funzioni di concorso, ciascuna secondo la propria competenza, nel concorso alla realizzazione del primo livello psicologico. La distribuzione delle funzioni tra le figure assegna dunque a ciascuna le proprie funzioni, secondo un ordine che pone lo psicologo di base all’apice della funzione clinica, il medico di medicina generale nella funzione di integrazione, e le altre figure nelle funzioni di concorso.</w:t>
      </w:r>
      <w:r>
        <w:rPr>
          <w:rStyle w:val="FootnoteReference"/>
        </w:rPr>
        <w:footnoteReference w:id="379"/>
      </w:r>
    </w:p>
    <w:p>
      <w:pPr>
        <w:pStyle w:val="BodyText"/>
      </w:pPr>
      <w:r>
        <w:t xml:space="preserve">La distribuzione delle funzioni tra le figure si connette all’architettura della cascata, che la terza parte esamina, e di cui la presente voce assume l’ordinamento per applicarvi la distribuzione delle responsabilità. La terza parte ordina le figure connesse alla riforma secondo l’influenza nel progetto e la capacità di generare rientro economico o revisione della spesa, ponendo lo psicologo di base all’apice della cascata come attore sistemico e origine; e tale ordinamento per influenza e per valore costituisce l’architettura entro cui la presente voce distribuisce le funzioni e le responsabilità. La distribuzione delle funzioni, che la presente voce esamina, assume l’architettura delle figure che la cascata ordina, e vi applica la distribuzione delle responsabilità: essa assegna a ciascuna figura, nell’architettura che la cascata ordina, le proprie funzioni, e ne imputa le corrispondenti responsabilità. La connessione tra la distribuzione delle funzioni e l’architettura della cascata è dunque quella tra la dimensione della responsabilità e la dimensione dell’influenza e del valore: la cascata ordina le figure per influenza e per valore, la presente voce vi distribuisce le funzioni e le responsabilità; e le due dimensioni si compongono nella figura dello psicologo di base, che è all’apice della cascata per influenza e per valore, e all’apice della funzione clinica per la responsabilità del giudizio clinico. La presente voce assume dunque l’architettura della cascata, e vi applica la distribuzione delle funzioni e delle responsabilità, mostrando come la dimensione della responsabilità si componga con la dimensione dell’influenza e del valore, e come lo psicologo di base sia all’apice sotto entrambe le dimensioni.</w:t>
      </w:r>
    </w:p>
    <w:bookmarkEnd w:id="902"/>
    <w:bookmarkStart w:id="904" w:name="Xdeb4dcc5456228d70ba39d519cf12807a67ce5e"/>
    <w:p>
      <w:pPr>
        <w:pStyle w:val="Heading2"/>
      </w:pPr>
      <w:r>
        <w:t xml:space="preserve">13.5.3 La distribuzione delle responsabilità tra le istituzioni</w:t>
      </w:r>
    </w:p>
    <w:p>
      <w:pPr>
        <w:pStyle w:val="FirstParagraph"/>
      </w:pPr>
      <w:r>
        <w:t xml:space="preserve">La distribuzione delle responsabilità tra le istituzioni assegna a ciascuna istituzione le proprie responsabilità nell’organizzazione del servizio, secondo la ripartizione delle competenze tra i livelli. Oltre alle figure che esercitano le funzioni cliniche e di concorso, alla realizzazione della riforma concorrono le istituzioni del sistema sanitario regionale, a ciascuna delle quali la distribuzione delle responsabilità assegna le proprie responsabilità organizzative. La Regione esercita la responsabilità della programmazione e dell’indirizzo del servizio: essa programma il servizio sul territorio regionale, ne stabilisce gli indirizzi, e ne assicura la coerenza con la programmazione sanitaria regionale. Le aziende sanitarie locali esercitano la responsabilità dell’organizzazione del servizio sul territorio di competenza: esse organizzano l’erogazione del servizio nelle proprie aree, ne assicurano la realizzazione, e ne rispondono sotto il profilo organizzativo. I distretti esercitano la responsabilità dell’articolazione territoriale del servizio: essi articolano il servizio nelle proprie aree distrettuali, assicurandone la prossimità ai territori, e ne rispondono sotto il profilo dell’articolazione distrettuale. La distribuzione delle responsabilità tra le istituzioni assegna dunque a ciascuna le proprie responsabilità organizzative, secondo la ripartizione delle competenze tra i livelli: la Regione la programmazione e l’indirizzo, le aziende sanitarie l’organizzazione, i distretti l’articolazione territoriale. La tabella che segue ricostruisce la distribuzione delle funzioni e delle responsabilità tra le figure e le istituzioni, indicando per ciascun soggetto la funzione e la responsabilità.</w:t>
      </w:r>
      <w:r>
        <w:rPr>
          <w:rStyle w:val="FootnoteReference"/>
        </w:rPr>
        <w:footnoteReference w:id="380"/>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Responsabilità</w:t>
            </w:r>
          </w:p>
        </w:tc>
      </w:tr>
      <w:tr>
        <w:tc>
          <w:tcPr/>
          <w:p>
            <w:pPr>
              <w:pStyle w:val="Compact"/>
              <w:spacing w:after="40" w:before="40"/>
              <w:jc w:val="left"/>
            </w:pPr>
            <w:r>
              <w:rPr>
                <w:rFonts w:ascii="Cambria" w:hAnsi="Cambria" w:cs="Cambria" w:eastAsia="Cambria"/>
                <w:color w:val="1A1A1A"/>
                <w:sz w:val="18"/>
              </w:rPr>
              <w:t xml:space="preserve">Psicologo di base</w:t>
            </w:r>
          </w:p>
        </w:tc>
        <w:tc>
          <w:tcPr/>
          <w:p>
            <w:pPr>
              <w:pStyle w:val="Compact"/>
              <w:spacing w:after="40" w:before="40"/>
              <w:jc w:val="left"/>
            </w:pPr>
            <w:r>
              <w:rPr>
                <w:rFonts w:ascii="Cambria" w:hAnsi="Cambria" w:cs="Cambria" w:eastAsia="Cambria"/>
                <w:color w:val="1A1A1A"/>
                <w:sz w:val="18"/>
              </w:rPr>
              <w:t xml:space="preserve">Erogazione del primo livello psicologico, valutazione del disagio, conduzione dell’intervento</w:t>
            </w:r>
          </w:p>
        </w:tc>
        <w:tc>
          <w:tcPr/>
          <w:p>
            <w:pPr>
              <w:pStyle w:val="Compact"/>
              <w:spacing w:after="40" w:before="40"/>
              <w:jc w:val="left"/>
            </w:pPr>
            <w:r>
              <w:rPr>
                <w:rFonts w:ascii="Cambria" w:hAnsi="Cambria" w:cs="Cambria" w:eastAsia="Cambria"/>
                <w:color w:val="1A1A1A"/>
                <w:sz w:val="18"/>
              </w:rPr>
              <w:t xml:space="preserve">Responsabilità del giudizio clinico e della condotta professionale</w:t>
            </w:r>
          </w:p>
        </w:tc>
      </w:tr>
      <w:tr>
        <w:tc>
          <w:tcPr>
            <w:shd w:val="clear" w:color="auto" w:fill="F4F1EC"/>
          </w:tcPr>
          <w:p>
            <w:pPr>
              <w:pStyle w:val="Compact"/>
              <w:spacing w:after="40" w:before="40"/>
              <w:jc w:val="left"/>
            </w:pPr>
            <w:r>
              <w:rPr>
                <w:rFonts w:ascii="Cambria" w:hAnsi="Cambria" w:cs="Cambria" w:eastAsia="Cambria"/>
                <w:color w:val="1A1A1A"/>
                <w:sz w:val="18"/>
              </w:rPr>
              <w:t xml:space="preserve">Medico di medicina generale</w:t>
            </w:r>
          </w:p>
        </w:tc>
        <w:tc>
          <w:tcPr>
            <w:shd w:val="clear" w:color="auto" w:fill="F4F1EC"/>
          </w:tcPr>
          <w:p>
            <w:pPr>
              <w:pStyle w:val="Compact"/>
              <w:spacing w:after="40" w:before="40"/>
              <w:jc w:val="left"/>
            </w:pPr>
            <w:r>
              <w:rPr>
                <w:rFonts w:ascii="Cambria" w:hAnsi="Cambria" w:cs="Cambria" w:eastAsia="Cambria"/>
                <w:color w:val="1A1A1A"/>
                <w:sz w:val="18"/>
              </w:rPr>
              <w:t xml:space="preserve">Integrazione con le cure primarie, intercettazione del disagio, invio</w:t>
            </w:r>
          </w:p>
        </w:tc>
        <w:tc>
          <w:tcPr>
            <w:shd w:val="clear" w:color="auto" w:fill="F4F1EC"/>
          </w:tcPr>
          <w:p>
            <w:pPr>
              <w:pStyle w:val="Compact"/>
              <w:spacing w:after="40" w:before="40"/>
              <w:jc w:val="left"/>
            </w:pPr>
            <w:r>
              <w:rPr>
                <w:rFonts w:ascii="Cambria" w:hAnsi="Cambria" w:cs="Cambria" w:eastAsia="Cambria"/>
                <w:color w:val="1A1A1A"/>
                <w:sz w:val="18"/>
              </w:rPr>
              <w:t xml:space="preserve">Responsabilità della valutazione clinica di competenza e dell’integrazione</w:t>
            </w:r>
          </w:p>
        </w:tc>
      </w:tr>
      <w:tr>
        <w:tc>
          <w:tcPr/>
          <w:p>
            <w:pPr>
              <w:pStyle w:val="Compact"/>
              <w:spacing w:after="40" w:before="40"/>
              <w:jc w:val="left"/>
            </w:pPr>
            <w:r>
              <w:rPr>
                <w:rFonts w:ascii="Cambria" w:hAnsi="Cambria" w:cs="Cambria" w:eastAsia="Cambria"/>
                <w:color w:val="1A1A1A"/>
                <w:sz w:val="18"/>
              </w:rPr>
              <w:t xml:space="preserve">Altre figure di concorso</w:t>
            </w:r>
          </w:p>
        </w:tc>
        <w:tc>
          <w:tcPr/>
          <w:p>
            <w:pPr>
              <w:pStyle w:val="Compact"/>
              <w:spacing w:after="40" w:before="40"/>
              <w:jc w:val="left"/>
            </w:pPr>
            <w:r>
              <w:rPr>
                <w:rFonts w:ascii="Cambria" w:hAnsi="Cambria" w:cs="Cambria" w:eastAsia="Cambria"/>
                <w:color w:val="1A1A1A"/>
                <w:sz w:val="18"/>
              </w:rPr>
              <w:t xml:space="preserve">Concorso alla realizzazione secondo la propria competenza (infermiere, psichiatra consulente, assistente sociale, e altre)</w:t>
            </w:r>
          </w:p>
        </w:tc>
        <w:tc>
          <w:tcPr/>
          <w:p>
            <w:pPr>
              <w:pStyle w:val="Compact"/>
              <w:spacing w:after="40" w:before="40"/>
              <w:jc w:val="left"/>
            </w:pPr>
            <w:r>
              <w:rPr>
                <w:rFonts w:ascii="Cambria" w:hAnsi="Cambria" w:cs="Cambria" w:eastAsia="Cambria"/>
                <w:color w:val="1A1A1A"/>
                <w:sz w:val="18"/>
              </w:rPr>
              <w:t xml:space="preserve">Responsabilità della funzione di concorso esercitata</w:t>
            </w:r>
          </w:p>
        </w:tc>
      </w:tr>
      <w:tr>
        <w:tc>
          <w:tcPr>
            <w:shd w:val="clear" w:color="auto" w:fill="F4F1EC"/>
          </w:tcPr>
          <w:p>
            <w:pPr>
              <w:pStyle w:val="Compact"/>
              <w:spacing w:after="40" w:before="40"/>
              <w:jc w:val="left"/>
            </w:pPr>
            <w:r>
              <w:rPr>
                <w:rFonts w:ascii="Cambria" w:hAnsi="Cambria" w:cs="Cambria" w:eastAsia="Cambria"/>
                <w:color w:val="1A1A1A"/>
                <w:sz w:val="18"/>
              </w:rPr>
              <w:t xml:space="preserve">Distretto</w:t>
            </w:r>
          </w:p>
        </w:tc>
        <w:tc>
          <w:tcPr>
            <w:shd w:val="clear" w:color="auto" w:fill="F4F1EC"/>
          </w:tcPr>
          <w:p>
            <w:pPr>
              <w:pStyle w:val="Compact"/>
              <w:spacing w:after="40" w:before="40"/>
              <w:jc w:val="left"/>
            </w:pPr>
            <w:r>
              <w:rPr>
                <w:rFonts w:ascii="Cambria" w:hAnsi="Cambria" w:cs="Cambria" w:eastAsia="Cambria"/>
                <w:color w:val="1A1A1A"/>
                <w:sz w:val="18"/>
              </w:rPr>
              <w:t xml:space="preserve">Articolazione territoriale del servizio, prossimità ai territori</w:t>
            </w:r>
          </w:p>
        </w:tc>
        <w:tc>
          <w:tcPr>
            <w:shd w:val="clear" w:color="auto" w:fill="F4F1EC"/>
          </w:tcPr>
          <w:p>
            <w:pPr>
              <w:pStyle w:val="Compact"/>
              <w:spacing w:after="40" w:before="40"/>
              <w:jc w:val="left"/>
            </w:pPr>
            <w:r>
              <w:rPr>
                <w:rFonts w:ascii="Cambria" w:hAnsi="Cambria" w:cs="Cambria" w:eastAsia="Cambria"/>
                <w:color w:val="1A1A1A"/>
                <w:sz w:val="18"/>
              </w:rPr>
              <w:t xml:space="preserve">Responsabilità dell’articolazione distrettuale</w:t>
            </w:r>
          </w:p>
        </w:tc>
      </w:tr>
      <w:tr>
        <w:tc>
          <w:tcPr/>
          <w:p>
            <w:pPr>
              <w:pStyle w:val="Compact"/>
              <w:spacing w:after="40" w:before="40"/>
              <w:jc w:val="left"/>
            </w:pPr>
            <w:r>
              <w:rPr>
                <w:rFonts w:ascii="Cambria" w:hAnsi="Cambria" w:cs="Cambria" w:eastAsia="Cambria"/>
                <w:color w:val="1A1A1A"/>
                <w:sz w:val="18"/>
              </w:rPr>
              <w:t xml:space="preserve">Azienda sanitaria locale</w:t>
            </w:r>
          </w:p>
        </w:tc>
        <w:tc>
          <w:tcPr/>
          <w:p>
            <w:pPr>
              <w:pStyle w:val="Compact"/>
              <w:spacing w:after="40" w:before="40"/>
              <w:jc w:val="left"/>
            </w:pPr>
            <w:r>
              <w:rPr>
                <w:rFonts w:ascii="Cambria" w:hAnsi="Cambria" w:cs="Cambria" w:eastAsia="Cambria"/>
                <w:color w:val="1A1A1A"/>
                <w:sz w:val="18"/>
              </w:rPr>
              <w:t xml:space="preserve">Organizzazione del servizio sul territorio di competenza</w:t>
            </w:r>
          </w:p>
        </w:tc>
        <w:tc>
          <w:tcPr/>
          <w:p>
            <w:pPr>
              <w:pStyle w:val="Compact"/>
              <w:spacing w:after="40" w:before="40"/>
              <w:jc w:val="left"/>
            </w:pPr>
            <w:r>
              <w:rPr>
                <w:rFonts w:ascii="Cambria" w:hAnsi="Cambria" w:cs="Cambria" w:eastAsia="Cambria"/>
                <w:color w:val="1A1A1A"/>
                <w:sz w:val="18"/>
              </w:rPr>
              <w:t xml:space="preserve">Responsabilità organizzativa dell’erogazione del servizio</w:t>
            </w:r>
          </w:p>
        </w:tc>
      </w:tr>
      <w:tr>
        <w:tc>
          <w:tcPr>
            <w:shd w:val="clear" w:color="auto" w:fill="F4F1EC"/>
          </w:tcPr>
          <w:p>
            <w:pPr>
              <w:pStyle w:val="Compact"/>
              <w:spacing w:after="40" w:before="40"/>
              <w:jc w:val="left"/>
            </w:pPr>
            <w:r>
              <w:rPr>
                <w:rFonts w:ascii="Cambria" w:hAnsi="Cambria" w:cs="Cambria" w:eastAsia="Cambria"/>
                <w:color w:val="1A1A1A"/>
                <w:sz w:val="18"/>
              </w:rPr>
              <w:t xml:space="preserve">Regione</w:t>
            </w:r>
          </w:p>
        </w:tc>
        <w:tc>
          <w:tcPr>
            <w:shd w:val="clear" w:color="auto" w:fill="F4F1EC"/>
          </w:tcPr>
          <w:p>
            <w:pPr>
              <w:pStyle w:val="Compact"/>
              <w:spacing w:after="40" w:before="40"/>
              <w:jc w:val="left"/>
            </w:pPr>
            <w:r>
              <w:rPr>
                <w:rFonts w:ascii="Cambria" w:hAnsi="Cambria" w:cs="Cambria" w:eastAsia="Cambria"/>
                <w:color w:val="1A1A1A"/>
                <w:sz w:val="18"/>
              </w:rPr>
              <w:t xml:space="preserve">Programmazione e indirizzo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Responsabilità della programmazione e dell’indirizzo</w:t>
            </w:r>
          </w:p>
        </w:tc>
      </w:tr>
    </w:tbl>
    <w:p>
      <w:pPr>
        <w:pStyle w:val="BodyText"/>
      </w:pPr>
      <w:r>
        <w:rPr>
          <w:i/>
          <w:iCs/>
        </w:rPr>
        <w:t xml:space="preserve">Tabella 13.4 — La distribuzione delle funzioni e delle responsabilità tra le figure e le istituzioni che concorrono alla riforma. A ciascun soggetto sono assegnate le proprie funzioni e imputate le corrispondenti responsabilità, dallo psicologo di base all’apice della funzione clinica alla Regione, responsabile della programmazione e dell’indirizzo.</w:t>
      </w:r>
    </w:p>
    <w:p>
      <w:pPr>
        <w:pStyle w:val="BodyText"/>
      </w:pPr>
      <w:r>
        <w:t xml:space="preserve">La distribuzione delle responsabilità tra le istituzioni si connette al luogo dell’erogazione del servizio, costituito in larga parte dalla Casa della Comunità. La Missione 6 del Piano nazionale di ripresa e resilienza ha previsto l’istituzione delle Case della Comunità, quali luoghi dell’assistenza sanitaria territoriale di prossimità, entro cui i servizi territoriali si integrano; e il primo livello psicologico può essere collocato, in larga parte, entro la Casa della Comunità, integrandosi con gli altri servizi territoriali che vi hanno sede. La collocazione del primo livello psicologico entro la Casa della Comunità ha rilievo per la distribuzione delle responsabilità organizzative: essa colloca l’erogazione del servizio entro un luogo organizzato, di cui l’azienda sanitaria risponde sotto il profilo organizzativo, e ne assicura l’integrazione con gli altri servizi territoriali, di cui le istituzioni rispondono secondo le proprie competenze. La Casa della Comunità costituisce dunque il luogo entro cui la distribuzione delle responsabilità organizzative si concretizza: l’azienda sanitaria organizza il servizio entro la Casa della Comunità, il distretto ne articola la presenza nei territori, la Regione ne programma la collocazione, e l’integrazione con gli altri servizi territoriali si realizza entro il luogo organizzato che la Casa della Comunità costituisce. La connessione tra la distribuzione delle responsabilità e il luogo dell’erogazione mostra così come l’organizzazione del servizio si concretizzi entro la Casa della Comunità, e come le responsabilità organizzative delle istituzioni si esercitino in rapporto a tale luogo, entro cui il primo livello psicologico si integra con gli altri servizi territoriali.</w:t>
      </w:r>
    </w:p>
    <w:bookmarkEnd w:id="904"/>
    <w:bookmarkStart w:id="906" w:name="X513ee36d8b2c2fddb03b039fdfa28d0d2189bbf"/>
    <w:p>
      <w:pPr>
        <w:pStyle w:val="Heading2"/>
      </w:pPr>
      <w:r>
        <w:t xml:space="preserve">13.5.4 La catena di responsabilità e il raccordo organizzativo</w:t>
      </w:r>
    </w:p>
    <w:p>
      <w:pPr>
        <w:pStyle w:val="FirstParagraph"/>
      </w:pPr>
      <w:r>
        <w:t xml:space="preserve">La distribuzione delle funzioni e delle responsabilità compone una catena di responsabilità, che connette le responsabilità delle figure e delle istituzioni in un ordine coerente. La catena di responsabilità è l’ordine che connette le responsabilità dei diversi soggetti, dalla responsabilità del giudizio clinico, propria dello psicologo di base, alla responsabilità della programmazione, propria della Regione, attraverso le responsabilità intermedie dell’integrazione, del concorso, dell’articolazione e dell’organizzazione. La catena di responsabilità assicura che ogni aspetto della realizzazione della riforma sia imputato a un soggetto responsabile: il giudizio clinico allo psicologo di base, l’integrazione al medico di medicina generale, il concorso alle altre figure, l’articolazione territoriale al distretto, l’organizzazione all’azienda sanitaria, la programmazione alla Regione. Essa assicura altresì che le responsabilità non si sovrappongano né si confondano, ma si distinguano secondo le funzioni: ciascun soggetto risponde della propria funzione, e non delle funzioni altrui, sì che la responsabilità sia chiara e imputabile. La catena di responsabilità compone dunque le responsabilità dei diversi soggetti in un ordine coerente, che imputa a ciascuno la responsabilità della propria funzione, e che assicura la responsabilità della riforma sotto il profilo organizzativo, attraverso l’imputazione chiara e distinta delle responsabilità.</w:t>
      </w:r>
      <w:r>
        <w:rPr>
          <w:rStyle w:val="FootnoteReference"/>
        </w:rPr>
        <w:footnoteReference w:id="381"/>
      </w:r>
    </w:p>
    <w:p>
      <w:pPr>
        <w:pStyle w:val="BodyText"/>
      </w:pPr>
      <w:r>
        <w:t xml:space="preserve">La catena di responsabilità richiede, per la propria efficacia, un raccordo organizzativo tra i soggetti, che ne coordini le funzioni e le responsabilità. La distribuzione delle funzioni e delle responsabilità tra una pluralità di soggetti richiede, perché la riforma operi ordinatamente, un raccordo tra i soggetti, che ne coordini le funzioni e ne componga le responsabilità nella realizzazione comune del servizio. Il raccordo organizzativo opera a più livelli: tra le figure, coordinandone le funzioni nell’erogazione del servizio — l’integrazione tra lo psicologo di base e il medico di medicina generale, il concorso delle altre figure; tra le istituzioni, coordinandone le responsabilità nell’organizzazione del servizio — il rapporto tra la programmazione regionale, l’organizzazione aziendale e l’articolazione distrettuale; e tra le figure e le istituzioni, coordinando l’esercizio delle funzioni cliniche entro l’organizzazione del servizio. Il raccordo organizzativo è la condizione dell’efficacia della catena di responsabilità: senza il raccordo, le funzioni e le responsabilità distribuite tra i soggetti opererebbero in modo scoordinato, compromettendo la realizzazione ordinata del servizio; con il raccordo, esse si compongono in una realizzazione coordinata, in cui ciascun soggetto esercita la propria funzione in coordinamento con gli altri. Il raccordo organizzativo, le cui modalità concrete sono rimesse alla sede dell’attuazione, costituisce dunque la condizione perché la distribuzione delle funzioni e delle responsabilità, e la catena di responsabilità che essa compone, operino ordinatamente nella realizzazione comune del servizio.</w:t>
      </w:r>
    </w:p>
    <w:bookmarkEnd w:id="906"/>
    <w:bookmarkStart w:id="908" w:name="i-confini-della-voce-2"/>
    <w:p>
      <w:pPr>
        <w:pStyle w:val="Heading2"/>
      </w:pPr>
      <w:r>
        <w:t xml:space="preserve">13.5.5 I confini della voce</w:t>
      </w:r>
    </w:p>
    <w:p>
      <w:pPr>
        <w:pStyle w:val="FirstParagraph"/>
      </w:pPr>
      <w:r>
        <w:t xml:space="preserve">La voce ha carattere normativo, come le precedenti, e ne condivide il metodo. La voce non misura grandezze, né formula stime, ma ricostruisce la distribuzione delle funzioni e delle responsabilità tra le figure e le istituzioni, e ne valuta la portata come cornice organizzativa e di responsabilità; il suo metodo è quello dell’analisi giuridica e organizzativa, e non quello dell’analisi empirica. La gradazione dell’evidenza secondo i criteri GRADE non si applica alla voce, che formula proposizioni organizzative e di responsabilità, la cui solidità si valuta secondo il loro radicamento nelle norme che disciplinano l’organizzazione del servizio e la ripartizione delle competenze. Le proposizioni della voce — che a ciascuna figura e a ciascuna istituzione sono assegnate le proprie funzioni e imputate le corrispondenti responsabilità, e che la catena di responsabilità richiede un raccordo organizzativo — sono proposizioni organizzative e di responsabilità, solide in quanto radicate nelle norme, e la loro solidità si valuta secondo tale radicamento.</w:t>
      </w:r>
    </w:p>
    <w:p>
      <w:pPr>
        <w:pStyle w:val="BodyText"/>
      </w:pPr>
      <w:r>
        <w:t xml:space="preserve">I confini della voce ne delimitano la portata e ne rimettono taluni aspetti alle parti dedicate alla cascata, all’attuazione e al monitoraggio. La voce stabilisce la distribuzione delle funzioni e delle responsabilità tra le figure e le istituzioni, e non l’architettura della cascata, che è oggetto della terza parte, di cui essa assume l’ordinamento senza rifarlo; essa distribuisce le funzioni e le responsabilità nell’architettura che la cascata ordina, e non ordina le figure per influenza e per valore, come la cascata. La voce stabilisce la distribuzione delle responsabilità, e non il modello organizzativo operativo, che è oggetto della quarta parte; essa imputa le responsabilità nel funzionamento che il modello operativo descrive, e non descrive il funzionamento. La voce indica il raccordo organizzativo come la condizione dell’efficacia della catena di responsabilità, ma non ne determina le modalità concrete, la cui adozione è rimessa alla quattordicesima parte, dedicata all’attuazione, che dovrà tradurre la distribuzione delle funzioni e delle responsabilità nelle misure concrete del coordinamento organizzativo. L’osservanza della distribuzione delle responsabilità, infine, è oggetto del monitoraggio della quindicesima parte, che verificherà che le funzioni siano esercitate e le responsabilità imputate secondo la distribuzione stabilita. Entro questi confini, la voce stabilisce che la riforma del primo livello psicologico è organizzata secondo una distribuzione ordinata delle funzioni e delle responsabilità tra le figure e le istituzioni, che pone lo psicologo di base all’apice della funzione clinica e imputa a ciascun soggetto la responsabilità della propria funzione, componendo una catena di responsabilità che assicura la responsabilità della riforma sotto il profilo organizzativo.</w:t>
      </w:r>
      <w:r>
        <w:rPr>
          <w:rStyle w:val="FootnoteReference"/>
        </w:rPr>
        <w:footnoteReference w:id="382"/>
      </w:r>
    </w:p>
    <w:bookmarkEnd w:id="908"/>
    <w:bookmarkEnd w:id="909"/>
    <w:bookmarkStart w:id="916" w:name="X55dc3d4e74c676e6d6973327ca6f88aed888128"/>
    <w:p>
      <w:pPr>
        <w:pStyle w:val="Heading1"/>
      </w:pPr>
      <w:r>
        <w:t xml:space="preserve">Quadro conclusivo etico-giuridico-organizzativo integrale</w:t>
      </w:r>
    </w:p>
    <w:p>
      <w:pPr>
        <w:pStyle w:val="FirstParagraph"/>
      </w:pPr>
      <w:r>
        <w:rPr>
          <w:i/>
          <w:iCs/>
        </w:rPr>
        <w:t xml:space="preserve">Il quadro conclusivo ricompone i risultati della tredicesima parte in una visione d’insieme, e ne trae il significato per la valutazione complessiva della riforma. La parte ha stabilito la cornice di legittimità e di responsabilità della riforma, esaminandone i profili etico-giuridico-organizzativi lungo cinque voci — il quadro costituzionale e convenzionale, il quadro normativo regionale e nazionale, la protezione dei dati e la governance dell’Intelligenza Artificiale, l’etica professionale e la supervisione umana, e i profili organizzativi e di responsabilità. Il quadro conclusivo raccoglie questi risultati, ne dichiara il posto nello studio, ne mostra la composizione, ne illustra il presidio della posizione subordinata dell’Intelligenza Artificiale, ne ribadisce il fondamento del valore nella legittimità e la distinzione delle dimensioni, e ne prepara il raccordo con l’attuazione e con il monitoraggio.</w:t>
      </w:r>
    </w:p>
    <w:bookmarkStart w:id="911" w:name="Xd7ca72c37effe3dd64872fa965e02e6db6790f9"/>
    <w:p>
      <w:pPr>
        <w:pStyle w:val="Heading2"/>
      </w:pPr>
      <w:r>
        <w:t xml:space="preserve">La cornice di legittimità e di responsabilità e il suo posto nello studio</w:t>
      </w:r>
    </w:p>
    <w:p>
      <w:pPr>
        <w:pStyle w:val="FirstParagraph"/>
      </w:pPr>
      <w:r>
        <w:t xml:space="preserve">Il risultato centrale della tredicesima parte è la cornice di legittimità e di responsabilità della riforma, che ne completa la valutazione con le condizioni del fondamento e delle regole, accanto alle condizioni del valore. Le parti precedenti hanno valutato il valore della riforma — l’efficacia, la convenienza, l’equità — stabilendo quanto la riforma valga e come il suo valore si ripartisca. La tredicesima parte ha posto una domanda ulteriore, distinta da quella del valore: non se la riforma sia efficace, conveniente ed equa, ma se essa sia legittima e responsabile, ossia se trovi nel quadro costituzionale, convenzionale e normativo il proprio fondamento, e se la sua attuazione sia governata da regole di responsabilità che ne assicurino la conformità ai principi. Questa domanda introduce la dimensione della legittimità e della responsabilità, distinta dalla dimensione del valore: il valore attiene a ciò che la riforma produce, la legittimità e la responsabilità attengono al fondamento e alle regole della sua azione. La tredicesima parte ha stabilito che la riforma è legittima e responsabile, ossia che essa trova nel quadro costituzionale, convenzionale e normativo il proprio fondamento, e che la sua attuazione è governata dalle regole di responsabilità — la protezione dei dati, la governance dell’Intelligenza Artificiale, l’etica professionale, i profili organizzativi — che ne assicurano la conformità ai principi. La cornice di legittimità e di responsabilità completa così la valutazione della riforma con le condizioni del fondamento e delle regole, accanto alle condizioni del valore già esaminate.</w:t>
      </w:r>
      <w:r>
        <w:rPr>
          <w:rStyle w:val="FootnoteReference"/>
        </w:rPr>
        <w:footnoteReference w:id="383"/>
      </w:r>
    </w:p>
    <w:p>
      <w:pPr>
        <w:pStyle w:val="BodyText"/>
      </w:pPr>
      <w:r>
        <w:t xml:space="preserve">La cornice di legittimità e di responsabilità occupa, nello studio, un posto autonomo e necessario, che ne completa il disegno senza sovrapporsi alle dimensioni del valore. La valutazione della riforma, che attraversa l’intero studio, si è svolta nelle parti precedenti lungo le dimensioni del valore — l’efficacia, la convenienza, l’equità — che attengono a ciò che la riforma produce. La dimensione della legittimità e della responsabilità non rifà questa valutazione, ma vi aggiunge la valutazione del fondamento e delle regole, che essa presuppone: la cornice di legittimità e di responsabilità muove dal valore già valutato, e ne stabilisce il fondamento giuridico ed etico, senza accrescerlo né diminuirlo. Il posto della dimensione della legittimità e della responsabilità nello studio è perciò quello di un completamento: essa non compete con le dimensioni del valore, ma le presuppone e vi aggiunge la dimensione del fondamento e delle regole, che esse non comprendevano. La valutazione della riforma, senza la dimensione della legittimità e della responsabilità, avrebbe stabilito quanto la riforma valga, ma non se essa sia legittima e responsabile, e sarebbe rimasta perciò incompleta, perché una riforma del primo livello psicologico, destinata a istituire un servizio pubblico, è chiamata a essere non soltanto efficace, conveniente ed equa, ma anche legittima nel suo fondamento e responsabile nella sua attuazione. La tredicesima parte ha colmato questa incompletezza, aggiungendo alla valutazione la dimensione della legittimità e della responsabilità, e ha così reso integrale, anche sotto il profilo del fondamento e delle regole, la valutazione della riforma.</w:t>
      </w:r>
    </w:p>
    <w:bookmarkEnd w:id="911"/>
    <w:bookmarkStart w:id="912" w:name="Xf515370d4d0d64dd79ac5d8446dedf6ae4ecb20"/>
    <w:p>
      <w:pPr>
        <w:pStyle w:val="Heading2"/>
      </w:pPr>
      <w:r>
        <w:t xml:space="preserve">La composizione dei cinque profili: dal fondamento ultimo alle regole dell’azione</w:t>
      </w:r>
    </w:p>
    <w:p>
      <w:pPr>
        <w:pStyle w:val="FirstParagraph"/>
      </w:pPr>
      <w:r>
        <w:t xml:space="preserve">La cornice di legittimità e di responsabilità si compone di cinque profili, ordinati dal fondamento ultimo alle regole dell’azione, in una sequenza coerente. Il primo profilo, il quadro costituzionale e convenzionale, costituisce il fondamento ultimo della riforma, radicandola nei principi del diritto alla salute, dell’uguaglianza sostanziale e della tutela delle persone con disabilità, dai quali ogni altra norma e regola discende. Il secondo profilo, il quadro normativo regionale e nazionale, costituisce il fondamento prossimo, istituendo la riforma attraverso la legge regionale e collocandola entro la cornice delle norme nazionali, sì da specificare i principi costituzionali nella disciplina concreta. Il terzo profilo, la protezione dei dati e la governance dell’Intelligenza Artificiale, costituisce la cornice di responsabilità nell’impiego degli strumenti, assicurando la riservatezza, la responsabilità e la trasparenza nel trattamento dei dati e nell’uso dei sistemi. Il quarto profilo, l’etica professionale e la supervisione umana, costituisce la cornice deontologica dell’azione del professionista, governandone la condotta e fondando la supervisione umana sugli strumenti nell’autonomia e nella responsabilità professionale. Il quinto profilo, i profili organizzativi e di responsabilità, costituisce la cornice dell’organizzazione del servizio, distribuendo le funzioni e le responsabilità tra le figure e le istituzioni e componendo la catena di responsabilità. I cinque profili si compongono in una sequenza coerente, dal fondamento ultimo nei principi costituzionali e convenzionali alle regole dell’azione nell’impiego degli strumenti, nella condotta professionale e nell’organizzazione del servizio.</w:t>
      </w:r>
    </w:p>
    <w:p>
      <w:pPr>
        <w:pStyle w:val="BodyText"/>
      </w:pPr>
      <w:r>
        <w:t xml:space="preserve">La composizione dei cinque profili mostra che la cornice di legittimità e di responsabilità non è una somma di elementi separati, ma un insieme coerente, in cui ogni profilo si fonda sul precedente e fonda il successivo. Il quadro normativo si fonda sul quadro costituzionale e convenzionale, di cui specifica i principi nella disciplina concreta; le cornici di responsabilità nell’impiego degli strumenti, nell’azione professionale e nell’organizzazione si fondano sul quadro normativo, di cui attuano la disciplina nelle regole dell’azione. La coerenza dei cinque profili risiede in questa fondazione reciproca: il fondamento ultimo nei principi costituzionali e convenzionali si specifica nel fondamento prossimo del quadro normativo, che a sua volta si attua nelle regole dell’azione delle cornici di responsabilità; sì che la cornice di legittimità e di responsabilità si componga in un insieme coerente, dai principi supremi alle regole concrete dell’azione. La composizione coerente dei cinque profili è essenziale per intendere la cornice di legittimità e di responsabilità: essa non è una somma di requisiti eterogenei, ma un insieme ordinato, in cui la legittimità del fondamento si traduce nella responsabilità delle regole dell’azione, e in cui ogni profilo trova il proprio posto nella sequenza che muove dal fondamento ultimo alle regole dell’azione. La riforma del primo livello psicologico trova dunque la propria legittimità e responsabilità non in un singolo profilo, ma nella composizione coerente dei cinque profili, che la fondano nei principi supremi, la istituiscono attraverso le norme, e ne governano l’azione attraverso le regole della responsabilità.</w:t>
      </w:r>
    </w:p>
    <w:bookmarkEnd w:id="912"/>
    <w:bookmarkStart w:id="913" w:name="X31e996f3b1ce4566fe0bf4d06c1f400acb17457"/>
    <w:p>
      <w:pPr>
        <w:pStyle w:val="Heading2"/>
      </w:pPr>
      <w:r>
        <w:t xml:space="preserve">Il presidio della posizione subordinata dell’Intelligenza Artificiale</w:t>
      </w:r>
    </w:p>
    <w:p>
      <w:pPr>
        <w:pStyle w:val="FirstParagraph"/>
      </w:pPr>
      <w:r>
        <w:t xml:space="preserve">La tredicesima parte presidia la posizione subordinata dell’Intelligenza Artificiale, stabilita dalla quarta parte, attraverso una duplice garanzia: la governance dell’Intelligenza Artificiale e la supervisione umana. La quarta parte ha collocato l’Intelligenza Artificiale in una posizione subordinata, come leva abilitante sotto la supervisione umana, e non come oggetto centrale della riforma né come sostituto del professionista; e la tredicesima parte presidia questa posizione attraverso due garanzie, esaminate nella terza e nella quarta voce. La prima garanzia è la governance dell’Intelligenza Artificiale, esaminata nella terza voce: essa assoggetta i sistemi di Intelligenza Artificiale eventualmente impiegati agli obblighi rafforzati della disciplina dell’Intelligenza Artificiale — la trasparenza, la supervisione umana, l’accuratezza, la robustezza — e ne presidia la posizione subordinata, assicurando che essi operino come strumenti di supporto, e non come decisori autonomi. La seconda garanzia è la supervisione umana, esaminata nella quarta voce: essa, fondata nell’autonomia e nella responsabilità professionale, impone al professionista di mantenere il controllo del proprio giudizio clinico, e di non delegarlo allo strumento, sì che il giudizio clinico rimanga del professionista, e l’Intelligenza Artificiale operi come supporto sotto la sua supervisione. La duplice garanzia — la governance dell’Intelligenza Artificiale e la supervisione umana — presidia dunque la posizione subordinata dell’Intelligenza Artificiale sotto due profili: il profilo giuridico, attraverso gli obblighi della disciplina dell’Intelligenza Artificiale, e il profilo deontologico, attraverso l’autonomia e la responsabilità professionale.</w:t>
      </w:r>
    </w:p>
    <w:p>
      <w:pPr>
        <w:pStyle w:val="BodyText"/>
      </w:pPr>
      <w:r>
        <w:t xml:space="preserve">Il presidio della posizione subordinata dell’Intelligenza Artificiale conferma la coerenza dello studio, che ha trattato l’Intelligenza Artificiale come leva abilitante, e non come oggetto centrale, in ogni sua parte. Lo studio ha collocato l’Intelligenza Artificiale, fin dalla prima parte, in una posizione subordinata, come una delle leve che rendono più funzionale ed efficace lo psicologo di base, e non come l’oggetto centrale dell’analisi; e questa collocazione, mantenuta in ogni parte, trova nella tredicesima parte il proprio presidio sotto il profilo della legittimità e della responsabilità. La quarta parte ha stabilito la posizione subordinata dell’Intelligenza Artificiale nel modello organizzativo; le parti economiche ne hanno valutato il contributo incrementale, distinto e subordinato; e la tredicesima parte ne presidia la posizione subordinata sotto il profilo della legittimità e della responsabilità, attraverso la governance e la supervisione umana. Il presidio della posizione subordinata dell’Intelligenza Artificiale nella tredicesima parte conferma dunque la coerenza dello studio: l’Intelligenza Artificiale, trattata come leva abilitante subordinata in ogni parte, è qui presidiata in tale posizione sotto il profilo della legittimità e della responsabilità, sì che la sua posizione subordinata non sia soltanto una scelta del modello organizzativo, ma una condizione della legittimità della riforma, presidiata dalla governance e dalla supervisione umana, che ne assicurano il mantenimento entro i confini della posizione subordinata.</w:t>
      </w:r>
    </w:p>
    <w:bookmarkEnd w:id="913"/>
    <w:bookmarkStart w:id="914" w:name="X81fd9566db0bf3d7de9a95f6a5b2ae0ce10e974"/>
    <w:p>
      <w:pPr>
        <w:pStyle w:val="Heading2"/>
      </w:pPr>
      <w:r>
        <w:t xml:space="preserve">Il fondamento del valore nella legittimità e la distinzione delle dimensioni</w:t>
      </w:r>
    </w:p>
    <w:p>
      <w:pPr>
        <w:pStyle w:val="FirstParagraph"/>
      </w:pPr>
      <w:r>
        <w:t xml:space="preserve">La tredicesima parte fonda nella legittimità le valutazioni del valore condotte nelle parti precedenti, mostrando che il valore della riforma si fonda sulla sua legittimità. Le parti precedenti hanno valutato il valore della riforma — l’efficacia, la convenienza, l’equità — e la tredicesima parte ne mostra il fondamento nella legittimità, sì che il valore si fondi sul fondamento giuridico ed etico della riforma. L’efficacia della riforma attua il diritto alla salute, che fonda la provvista della cura efficace; la convenienza concorre alla sostenibilità della provvista pubblica, che il diritto alla salute esige; l’equità attua il principio di uguaglianza sostanziale, che fonda l’estensione dell’accesso ai gruppi svantaggiati. Il valore della riforma si fonda dunque sulla sua legittimità: ciò che le parti precedenti hanno valutato come pregi della riforma, la tredicesima parte lo fonda come attuazione dei principi costituzionali e convenzionali, sì che il valore della riforma non sia un pregio contingente, ma l’attuazione dei principi che ne costituiscono il fondamento. Il fondamento del valore nella legittimità è il risultato che connette la tredicesima parte alle parti precedenti: esso radica nel diritto le valutazioni del valore, mostrando che la riforma è efficace, conveniente ed equa in quanto attua i principi del diritto alla salute, dell’uguaglianza sostanziale e della tutela delle persone con disabilità, e che il suo valore si fonda perciò sulla sua legittimità.</w:t>
      </w:r>
    </w:p>
    <w:p>
      <w:pPr>
        <w:pStyle w:val="BodyText"/>
      </w:pPr>
      <w:r>
        <w:t xml:space="preserve">La tredicesima parte ha mantenuto, nell’analisi normativa, la distinzione tra le tre dimensioni del valore che l’intero studio ha preservato. La distinzione tra le grandezze fiscali dirette, sociali indirette e di salute, che le parti precedenti hanno mantenuto fino al saldo conclusivo senza sommarle in un’unica cifra, è preservata anche nell’analisi normativa: la tredicesima parte non introduce nuove grandezze, né modifica quelle stabilite dalle parti precedenti, ma ne stabilisce il fondamento giuridico ed etico, e preserva il duplice intervallo di Chisholm e il caveat dell’IMPACT trial ove le grandezze economiche sono richiamate. L’analisi normativa non aggiunge una grandezza alla rinegoziazione dei costi e dei benefici, né somma le dimensioni del valore, ma stabilisce la cornice di legittimità e di responsabilità entro cui le grandezze stabilite trovano il proprio fondamento giuridico. Il carattere normativo della parte, distinto dal carattere empirico delle parti precedenti, è coerente con i principi dello studio: l’analisi normativa valuta la legittimità e la responsabilità secondo la solidità del fondamento nelle fonti, e non secondo la qualità dell’evidenza empirica, ma preserva i vincoli che governano le grandezze economiche ove esse sono richiamate, sì che la cornice di legittimità e di responsabilità si conformi, nella preservazione dei vincoli e nella distinzione delle dimensioni, ai medesimi principi che hanno governato la valutazione del valore.</w:t>
      </w:r>
    </w:p>
    <w:bookmarkEnd w:id="914"/>
    <w:bookmarkStart w:id="915" w:name="X160f245a81436ad2206f88748f256c48dc7c626"/>
    <w:p>
      <w:pPr>
        <w:pStyle w:val="Heading2"/>
      </w:pPr>
      <w:r>
        <w:t xml:space="preserve">Il raccordo con l’attuazione e con il monitoraggio</w:t>
      </w:r>
    </w:p>
    <w:p>
      <w:pPr>
        <w:pStyle w:val="FirstParagraph"/>
      </w:pPr>
      <w:r>
        <w:t xml:space="preserve">La cornice di legittimità e di responsabilità, che chiude la tredicesima parte, si raccorda con le parti successive dello studio, a cui consegna le condizioni di legittimità e di responsabilità da attuare e da osservare. Il primo raccordo è con la quattordicesima parte, dedicata all’attuazione, a cui la tredicesima parte consegna le condizioni di legittimità e di responsabilità da tradurre in misure attuative: gli atti normativi attuativi della legge regionale, le misure di protezione dei dati e di governance dell’Intelligenza Artificiale, le regole dell’osservanza deontologica, le modalità del coordinamento organizzativo. Le cornici di responsabilità, che la tredicesima parte ha stabilito, sono cornici la cui attuazione richiede misure concrete, che la quattordicesima parte dovrà adottare: gli atti attuativi che specificano la disciplina, le misure che attuano la protezione dei dati e la governance, le regole che assicurano l’osservanza deontologica, le modalità che realizzano il coordinamento organizzativo. La tredicesima parte fornisce dunque alla quattordicesima le condizioni di legittimità e di responsabilità, che essa dovrà tradurre in misure attuative, sì che la cornice di legittimità e di responsabilità trovi attuazione concreta. Senza l’attuazione, le condizioni di legittimità e di responsabilità resterebbero principi privi di realizzazione; con l’attuazione, esse divengono misure che governano l’azione della riforma.</w:t>
      </w:r>
    </w:p>
    <w:p>
      <w:pPr>
        <w:pStyle w:val="BodyText"/>
      </w:pPr>
      <w:r>
        <w:t xml:space="preserve">Il secondo raccordo è con la quindicesima parte, dedicata al monitoraggio e alla valutazione ex-post, a cui la tredicesima parte consegna l’osservanza delle condizioni di legittimità e di responsabilità da verificare. Le cornici di responsabilità, che la tredicesima parte ha stabilito, sono cornici la cui osservanza richiede un riscontro, che la quindicesima parte dovrà condurre: il riscontro dell’osservanza della protezione dei dati e della governance dell’Intelligenza Artificiale, dell’osservanza delle regole deontologiche e della supervisione umana, del rispetto della distribuzione delle funzioni e delle responsabilità. La quindicesima parte assumerà le condizioni di legittimità e di responsabilità, e ne condurrà il riscontro: verificherà che la riforma sia attuata in conformità alle cornici di responsabilità, e dichiarerà se le condizioni di legittimità e di responsabilità siano osservate; e, ove l’attuazione si discosti dalle condizioni, consentirà la correzione, sì che la riforma sia ricondotta verso la conformità. L’osservanza delle condizioni di legittimità e di responsabilità trova dunque nella quindicesima parte il proprio riscontro: senza il riscontro, le condizioni resterebbero stabilite ma non verificate; con il riscontro, esse divengono verificate, e la legittimità e la responsabilità della riforma cessano di essere condizioni stabilite per divenire condizioni osservate. Con questi due raccordi — alla quattordicesima parte, che ne attuerà le condizioni, e alla quindicesima, che ne verificherà l’osservanza — la tredicesima parte si inserisce nel disegno complessivo dello studio, di cui costituisce il fondamento giuridico ed etico, e consegna alle parti successive le condizioni di legittimità e di responsabilità che ne sono il risultato.</w:t>
      </w:r>
    </w:p>
    <w:bookmarkEnd w:id="915"/>
    <w:bookmarkEnd w:id="916"/>
    <w:bookmarkStart w:id="918" w:name="conclusione-9"/>
    <w:p>
      <w:pPr>
        <w:pStyle w:val="Heading1"/>
      </w:pPr>
      <w:r>
        <w:t xml:space="preserve">Conclusione</w:t>
      </w:r>
    </w:p>
    <w:p>
      <w:pPr>
        <w:pStyle w:val="FirstParagraph"/>
      </w:pPr>
      <w:r>
        <w:rPr>
          <w:i/>
          <w:iCs/>
        </w:rPr>
        <w:t xml:space="preserve">La conclusione raccoglie quanto la tredicesima parte ha stabilito, ne ribadisce il carattere normativo e ne dichiara il rapporto con le parti che seguono. La parte ha stabilito la cornice di legittimità e di responsabilità della riforma, esaminandone i profili etico-giuridico-organizzativi lungo cinque voci, e ha così aggiunto alla valutazione del valore la dimensione della legittimità e della responsabilità, che le parti precedenti non avevano esaminato, completando la valutazione della riforma con le condizioni del fondamento e delle regole.</w:t>
      </w:r>
    </w:p>
    <w:p>
      <w:pPr>
        <w:pStyle w:val="BodyText"/>
      </w:pPr>
      <w:r>
        <w:t xml:space="preserve">La tredicesima parte ha stabilito la cornice di legittimità e di responsabilità della riforma del Servizio di Psicologia di Base in Puglia. Essa ha posto una domanda distinta da quelle delle parti precedenti: non se la riforma sia efficace, conveniente ed equa, ma se essa sia legittima e responsabile, ossia se trovi nel quadro costituzionale, convenzionale e normativo il proprio fondamento, e se la sua attuazione sia governata da regole di responsabilità che ne assicurino la conformità ai principi. La parte ha esaminato la cornice di legittimità e di responsabilità lungo cinque profili. Il quadro costituzionale e convenzionale ha stabilito il fondamento ultimo della riforma, radicandola nei principi del diritto alla salute, dell’uguaglianza sostanziale e della tutela delle persone con disabilità. Il quadro normativo regionale e nazionale ha stabilito il fondamento prossimo, istituendo la riforma attraverso la legge regionale e collocandola entro la cornice delle norme nazionali. La protezione dei dati e la governance dell’Intelligenza Artificiale hanno stabilito la cornice di responsabilità nell’impiego degli strumenti, assicurando la riservatezza, la responsabilità e la trasparenza. L’etica professionale e la supervisione umana hanno stabilito la cornice deontologica dell’azione del professionista, fondando la supervisione umana sugli strumenti nell’autonomia e nella responsabilità professionale. I profili organizzativi e di responsabilità hanno stabilito la cornice dell’organizzazione del servizio, distribuendo le funzioni e le responsabilità tra le figure e le istituzioni.</w:t>
      </w:r>
    </w:p>
    <w:p>
      <w:pPr>
        <w:pStyle w:val="BodyText"/>
      </w:pPr>
      <w:r>
        <w:t xml:space="preserve">Il risultato fondamentale della parte è la composizione coerente dei cinque profili in una cornice di legittimità e di responsabilità unitaria, ordinata dal fondamento ultimo alle regole dell’azione. I cinque profili non costituiscono una somma di elementi separati, ma un insieme coerente, in cui ogni profilo si fonda sul precedente e fonda il successivo: il fondamento ultimo nei principi costituzionali e convenzionali si specifica nel fondamento prossimo del quadro normativo, che a sua volta si attua nelle regole dell’azione delle cornici di responsabilità nell’impiego degli strumenti, nella condotta professionale e nell’organizzazione del servizio. La riforma trova dunque la propria legittimità e responsabilità nella composizione coerente dei cinque profili, che la fondano nei principi supremi, la istituiscono attraverso le norme, e ne governano l’azione attraverso le regole della responsabilità. Entro questa cornice, la parte ha presidiato la posizione subordinata dell’Intelligenza Artificiale, stabilita dalla quarta parte, attraverso una duplice garanzia — la governance dell’Intelligenza Artificiale, sotto il profilo giuridico, e la supervisione umana, sotto il profilo deontologico — che ne assicurano il mantenimento entro i confini della posizione subordinata, confermando la coerenza dello studio, che ha trattato l’Intelligenza Artificiale come leva abilitante, e non come oggetto centrale, in ogni sua parte.</w:t>
      </w:r>
    </w:p>
    <w:p>
      <w:pPr>
        <w:pStyle w:val="BodyText"/>
      </w:pPr>
      <w:r>
        <w:t xml:space="preserve">Il rigore di questo risultato risiede nel suo carattere normativo e nella distinzione delle dimensioni che la parte ha mantenuto. La parte ha carattere normativo, e non quantitativo: essa non misura grandezze, né formula stime in bande prudenziali falsificabili, ma esamina principi e norme, e ne valuta la solidità come fondamento della riforma; le sue proposizioni — giuridiche, deontologiche, organizzative — sono valutate secondo la solidità del loro fondamento nelle fonti, e non secondo la qualità dell’evidenza empirica. La gradazione dell’evidenza secondo i criteri GRADE, che governa le stime empiriche dello studio, si applica perciò alle sole affermazioni empiriche, in questa parte pressoché assenti; e il rigore della parte risiede nella correttezza dell’analisi giuridica ed etica e nel radicamento delle proposizioni nelle fonti, anziché nella qualità dell’evidenza empirica. La parte ha mantenuto, nell’analisi normativa, la distinzione tra le tre dimensioni del valore che l’intero studio ha preservato: essa non introduce nuove grandezze, né somma le dimensioni del valore, ma stabilisce la cornice di legittimità e di responsabilità entro cui le grandezze stabilite trovano il proprio fondamento giuridico, e preserva il duplice intervallo di Chisholm e il caveat dell’IMPACT trial ove le grandezze economiche sono richiamate. Il carattere normativo e la distinzione delle dimensioni fanno della valutazione della legittimità e della responsabilità una valutazione rigorosa, fedele ai principi dello studio, che fonda nel diritto e nell’etica il valore della riforma, senza alterarne le grandezze né sommarne le dimensioni.</w:t>
      </w:r>
      <w:r>
        <w:rPr>
          <w:rStyle w:val="FootnoteReference"/>
        </w:rPr>
        <w:footnoteReference w:id="384"/>
      </w:r>
    </w:p>
    <w:p>
      <w:pPr>
        <w:pStyle w:val="BodyText"/>
      </w:pPr>
      <w:r>
        <w:t xml:space="preserve">La tredicesima parte completa così la valutazione della riforma con la dimensione della legittimità e della responsabilità, e consegna alle parti successive le condizioni che ne sono il risultato. La quattordicesima parte, dedicata all’attuazione, assumerà le condizioni di legittimità e di responsabilità, e dovrà tradurle in misure attuative — gli atti normativi attuativi, le misure di protezione dei dati e di governance, le regole dell’osservanza deontologica, le modalità del coordinamento organizzativo. La quindicesima parte, dedicata al monitoraggio, assumerà l’osservanza delle condizioni di legittimità e di responsabilità, e dovrà verificarla, riscontrando la conformità dell’attuazione alle cornici di responsabilità, e consentendo la correzione ove l’attuazione se ne discosti. La cornice di legittimità e di responsabilità stabilita da questa parte — il fondamento ultimo nei principi costituzionali e convenzionali, il fondamento prossimo nel quadro normativo, le cornici di responsabilità nell’impiego degli strumenti, nella condotta professionale e nell’organizzazione del servizio — è dunque il fondamento giuridico ed etico su cui le parti successive innesteranno l’attuazione e il monitoraggio. Con essa, la valutazione della riforma trova la propria dimensione di legittimità e di responsabilità, e la riforma del primo livello psicologico in Puglia trova il proprio fondamento giuridico ed etico: non soltanto efficace, conveniente ed equa, ma legittima nel suo fondamento e responsabile nella sua attuazione, fondata sui principi costituzionali e convenzionali del diritto alla salute, istituita dalle norme regionali e nazionali, e governata dalle regole di responsabilità che ne assicurano la conformità ai principi.</w:t>
      </w:r>
    </w:p>
    <w:bookmarkEnd w:id="918"/>
    <w:bookmarkStart w:id="920" w:name="note-bibliografiche-integrali-8"/>
    <w:p>
      <w:pPr>
        <w:pStyle w:val="Heading1"/>
      </w:pPr>
      <w:r>
        <w:t xml:space="preserve">Note bibliografiche integrali</w:t>
      </w:r>
    </w:p>
    <w:p>
      <w:pPr>
        <w:pStyle w:val="FirstParagraph"/>
      </w:pPr>
      <w:r>
        <w:rPr>
          <w:i/>
          <w:iCs/>
        </w:rPr>
        <w:t xml:space="preserve">Le note bibliografiche integrali raccolgono le fonti su cui l’analisi normativa di questa parte si fonda, ciascuna corredata di un mini-riassunto che ne dichiara il contenuto e la pertinenza. Le fonti attengono al quadro costituzionale e convenzionale del diritto alla salute, agli strumenti europei e internazionali, alla disciplina della protezione dei dati e dell’Intelligenza Artificiale, all’ordinamento della professione di psicologo e al codice deontologico, e al quadro normativo nazionale e regionale che istituisce e disciplina la riforma.</w:t>
      </w:r>
    </w:p>
    <w:p>
      <w:pPr>
        <w:pStyle w:val="BodyText"/>
      </w:pPr>
      <w:r>
        <w:rPr>
          <w:b/>
          <w:bCs/>
        </w:rPr>
        <w:t xml:space="preserve">▪</w:t>
      </w:r>
      <w:r>
        <w:rPr>
          <w:b/>
          <w:bCs/>
        </w:rPr>
        <w:t xml:space="preserve"> </w:t>
      </w:r>
      <w:r>
        <w:t xml:space="preserve">Costituzione della Repubblica Italiana, 1947, in particolare articolo 32 (tutela della salute), articolo 3, secondo comma (uguaglianza sostanziale), articolo 117 (riparto di competenza legislativa).</w:t>
      </w:r>
    </w:p>
    <w:p>
      <w:pPr>
        <w:pStyle w:val="BodyText"/>
      </w:pPr>
      <w:r>
        <w:rPr>
          <w:i/>
          <w:iCs/>
        </w:rPr>
        <w:t xml:space="preserve">Mini-riassunto. È la fonte suprema dell’ordinamento, che tutela la salute come fondamentale diritto dell’individuo e interesse della collettività (articolo 32), impone la rimozione degli ostacoli di fatto all’uguaglianza (articolo 3, secondo comma) e ripartisce la competenza legislativa in materia di tutela della salute tra lo Stato e le Regioni (articolo 117); essa fonda, nella prima voce di questa parte, il fondamento ultimo della riforma nel diritto alla salute, nell’uguaglianza sostanziale e nella competenza regionale a organizzare il servizio.</w:t>
      </w:r>
    </w:p>
    <w:p>
      <w:pPr>
        <w:pStyle w:val="BodyText"/>
      </w:pPr>
      <w:r>
        <w:rPr>
          <w:b/>
          <w:bCs/>
        </w:rPr>
        <w:t xml:space="preserve">▪</w:t>
      </w:r>
      <w:r>
        <w:rPr>
          <w:b/>
          <w:bCs/>
        </w:rPr>
        <w:t xml:space="preserve"> </w:t>
      </w:r>
      <w:r>
        <w:t xml:space="preserve">Convenzione per la salvaguardia dei diritti dell’uomo e delle libertà fondamentali (Convenzione europea dei diritti dell’uomo), Roma, 1950, e relativa giurisprudenza della Corte europea dei diritti dell’uomo.</w:t>
      </w:r>
    </w:p>
    <w:p>
      <w:pPr>
        <w:pStyle w:val="BodyText"/>
      </w:pPr>
      <w:r>
        <w:rPr>
          <w:i/>
          <w:iCs/>
        </w:rPr>
        <w:t xml:space="preserve">Mini-riassunto. È lo strumento convenzionale del Consiglio d’Europa che tutela i diritti fondamentali, tra cui il rispetto della vita privata (articolo 8), che la Corte europea ha connesso alla tutela della salute, e il divieto di discriminazione (articolo 14); essa concorre, nella prima voce di questa parte, a rafforzare il fondamento convenzionale della riforma, operando nell’ordinamento interno come parametro interposto nel giudizio di costituzionalità.</w:t>
      </w:r>
    </w:p>
    <w:p>
      <w:pPr>
        <w:pStyle w:val="BodyText"/>
      </w:pPr>
      <w:r>
        <w:rPr>
          <w:b/>
          <w:bCs/>
        </w:rPr>
        <w:t xml:space="preserve">▪</w:t>
      </w:r>
      <w:r>
        <w:rPr>
          <w:b/>
          <w:bCs/>
        </w:rPr>
        <w:t xml:space="preserve"> </w:t>
      </w:r>
      <w:r>
        <w:t xml:space="preserve">Carta dei diritti fondamentali dell’Unione europea, in particolare articolo 35 (protezione della salute).</w:t>
      </w:r>
    </w:p>
    <w:p>
      <w:pPr>
        <w:pStyle w:val="BodyText"/>
      </w:pPr>
      <w:r>
        <w:rPr>
          <w:i/>
          <w:iCs/>
        </w:rPr>
        <w:t xml:space="preserve">Mini-riassunto. È lo strumento che, nell’ordinamento dell’Unione europea, riconosce il diritto di ogni persona di accedere alla prevenzione sanitaria e di ottenere cure mediche, e impone un livello elevato di protezione della salute nelle politiche dell’Unione (articolo 35); essa rafforza, nella prima voce di questa parte, il fondamento della provvista pubblica della cura, aggiungendo al diritto alla salute della Costituzione il diritto alle cure della Carta.</w:t>
      </w:r>
    </w:p>
    <w:p>
      <w:pPr>
        <w:pStyle w:val="BodyText"/>
      </w:pPr>
      <w:r>
        <w:rPr>
          <w:b/>
          <w:bCs/>
        </w:rPr>
        <w:t xml:space="preserve">▪</w:t>
      </w:r>
      <w:r>
        <w:rPr>
          <w:b/>
          <w:bCs/>
        </w:rPr>
        <w:t xml:space="preserve"> </w:t>
      </w:r>
      <w:r>
        <w:t xml:space="preserve">Convenzione delle Nazioni Unite sui diritti delle persone con disabilità, New York, 2006, articolo 25 (salute), ratificata dall’Italia con legge 3 marzo 2009, n. 18.</w:t>
      </w:r>
    </w:p>
    <w:p>
      <w:pPr>
        <w:pStyle w:val="BodyText"/>
      </w:pPr>
      <w:r>
        <w:rPr>
          <w:i/>
          <w:iCs/>
        </w:rPr>
        <w:t xml:space="preserve">Mini-riassunto. È lo strumento internazionale che riconosce il diritto delle persone con disabilità di godere del più alto standard conseguibile di salute senza discriminazione, e impone agli Stati di fornire i servizi sanitari di cui esse necessitano (articolo 25); essa riveste, nella prima voce di questa parte, uno specifico rilievo per la salute mentale e per la non discriminazione, perché il disagio mentale grave può configurare una disabilità ai sensi della Convenzione.</w:t>
      </w:r>
    </w:p>
    <w:p>
      <w:pPr>
        <w:pStyle w:val="BodyText"/>
      </w:pPr>
      <w:r>
        <w:rPr>
          <w:b/>
          <w:bCs/>
        </w:rPr>
        <w:t xml:space="preserve">▪</w:t>
      </w:r>
      <w:r>
        <w:rPr>
          <w:b/>
          <w:bCs/>
        </w:rPr>
        <w:t xml:space="preserve"> </w:t>
      </w:r>
      <w:r>
        <w:t xml:space="preserve">Regolamento (UE) 2016/679 del Parlamento europeo e del Consiglio, del 27 aprile 2016, relativo alla protezione delle persone fisiche con riguardo al trattamento dei dati personali (regolamento generale sulla protezione dei dati).</w:t>
      </w:r>
    </w:p>
    <w:p>
      <w:pPr>
        <w:pStyle w:val="BodyText"/>
      </w:pPr>
      <w:r>
        <w:rPr>
          <w:i/>
          <w:iCs/>
        </w:rPr>
        <w:t xml:space="preserve">Mini-riassunto. È il regolamento che disciplina il trattamento dei dati personali, assoggettando i dati relativi alla salute a un regime di particolare protezione, quali categoria particolare di dati personali (articolo 9), e stabilendo i principi del trattamento (articolo 5) e la protezione fin dalla progettazione (articolo 25); esso fonda, nella terza voce di questa parte, la disciplina della protezione dei dati del primo livello psicologico, il cui trattamento si fonda sulla finalità di cura e si conforma ai principi di liceità, minimizzazione, limitazione delle finalità e sicurezza.</w:t>
      </w:r>
    </w:p>
    <w:p>
      <w:pPr>
        <w:pStyle w:val="BodyText"/>
      </w:pPr>
      <w:r>
        <w:rPr>
          <w:b/>
          <w:bCs/>
        </w:rPr>
        <w:t xml:space="preserve">▪</w:t>
      </w:r>
      <w:r>
        <w:rPr>
          <w:b/>
          <w:bCs/>
        </w:rPr>
        <w:t xml:space="preserve"> </w:t>
      </w:r>
      <w:r>
        <w:t xml:space="preserve">Regolamento (UE) 2024/1689 del Parlamento europeo e del Consiglio, del 13 giugno 2024, che stabilisce regole armonizzate sull’intelligenza artificiale (regolamento sull’intelligenza artificiale).</w:t>
      </w:r>
    </w:p>
    <w:p>
      <w:pPr>
        <w:pStyle w:val="BodyText"/>
      </w:pPr>
      <w:r>
        <w:rPr>
          <w:i/>
          <w:iCs/>
        </w:rPr>
        <w:t xml:space="preserve">Mini-riassunto. È il regolamento che disciplina i sistemi di Intelligenza Artificiale secondo un approccio graduato per il rischio, assoggettando i sistemi ad alto rischio a obblighi rafforzati di trasparenza, supervisione umana, accuratezza e robustezza; esso fonda, nella terza voce di questa parte, la governance dell’Intelligenza Artificiale nel primo livello psicologico, che assoggetta i sistemi eventualmente impiegati agli obblighi rafforzati e ne presidia la posizione subordinata stabilita dalla quarta parte.</w:t>
      </w:r>
    </w:p>
    <w:p>
      <w:pPr>
        <w:pStyle w:val="BodyText"/>
      </w:pPr>
      <w:r>
        <w:rPr>
          <w:b/>
          <w:bCs/>
        </w:rPr>
        <w:t xml:space="preserve">▪</w:t>
      </w:r>
      <w:r>
        <w:rPr>
          <w:b/>
          <w:bCs/>
        </w:rPr>
        <w:t xml:space="preserve"> </w:t>
      </w:r>
      <w:r>
        <w:t xml:space="preserve">Legge 18 febbraio 1989, n. 56, recante ordinamento della professione di psicologo.</w:t>
      </w:r>
    </w:p>
    <w:p>
      <w:pPr>
        <w:pStyle w:val="BodyText"/>
      </w:pPr>
      <w:r>
        <w:rPr>
          <w:i/>
          <w:iCs/>
        </w:rPr>
        <w:t xml:space="preserve">Mini-riassunto. È la legge che istituisce e disciplina la professione di psicologo, ne subordina l’esercizio all’iscrizione all’albo e ne istituisce l’ordine professionale; essa costituisce, nella quarta voce di questa parte, il fondamento dell’ordinamento della professione cui lo psicologo di base appartiene, e cui si riconnette la cornice deontologica che ne governa la condotta.</w:t>
      </w:r>
    </w:p>
    <w:p>
      <w:pPr>
        <w:pStyle w:val="BodyText"/>
      </w:pPr>
      <w:r>
        <w:rPr>
          <w:b/>
          <w:bCs/>
        </w:rPr>
        <w:t xml:space="preserve">▪</w:t>
      </w:r>
      <w:r>
        <w:rPr>
          <w:b/>
          <w:bCs/>
        </w:rPr>
        <w:t xml:space="preserve"> </w:t>
      </w:r>
      <w:r>
        <w:t xml:space="preserve">Codice Deontologico degli Psicologi Italiani.</w:t>
      </w:r>
    </w:p>
    <w:p>
      <w:pPr>
        <w:pStyle w:val="BodyText"/>
      </w:pPr>
      <w:r>
        <w:rPr>
          <w:i/>
          <w:iCs/>
        </w:rPr>
        <w:t xml:space="preserve">Mini-riassunto. È il codice che stabilisce le regole etiche dell’esercizio della professione di psicologo, tra cui il segreto professionale, il consenso informato, l’autonomia e la responsabilità professionale e la centralità della relazione clinica; esso fonda, nella quarta voce di questa parte, la cornice deontologica dell’azione dello psicologo di base, e il fondamento della supervisione umana sugli strumenti nell’autonomia e nella responsabilità professionale.</w:t>
      </w:r>
    </w:p>
    <w:p>
      <w:pPr>
        <w:pStyle w:val="BodyText"/>
      </w:pPr>
      <w:r>
        <w:rPr>
          <w:b/>
          <w:bCs/>
        </w:rPr>
        <w:t xml:space="preserve">▪</w:t>
      </w:r>
      <w:r>
        <w:rPr>
          <w:b/>
          <w:bCs/>
        </w:rPr>
        <w:t xml:space="preserve"> </w:t>
      </w:r>
      <w:r>
        <w:t xml:space="preserve">Decreto del Presidente del Consiglio dei Ministri 12 gennaio 2017, recante definizione e aggiornamento dei livelli essenziali di assistenza.</w:t>
      </w:r>
    </w:p>
    <w:p>
      <w:pPr>
        <w:pStyle w:val="BodyText"/>
      </w:pPr>
      <w:r>
        <w:rPr>
          <w:i/>
          <w:iCs/>
        </w:rPr>
        <w:t xml:space="preserve">Mini-riassunto. È l’atto che definisce i livelli essenziali di assistenza, ossia il livello minimo di assistenza sanitaria che deve essere garantito su tutto il territorio nazionale e che costituisce il contenuto minimo del diritto alla salute; esso costituisce, nella seconda voce di questa parte, la cornice nazionale entro cui la riforma colloca il primo livello psicologico, che si aggiunge ai livelli essenziali ampliando la provvista pubblica della cura del disagio mentale.</w:t>
      </w:r>
    </w:p>
    <w:p>
      <w:pPr>
        <w:pStyle w:val="BodyText"/>
      </w:pPr>
      <w:r>
        <w:rPr>
          <w:b/>
          <w:bCs/>
        </w:rPr>
        <w:t xml:space="preserve">▪</w:t>
      </w:r>
      <w:r>
        <w:rPr>
          <w:b/>
          <w:bCs/>
        </w:rPr>
        <w:t xml:space="preserve"> </w:t>
      </w:r>
      <w:r>
        <w:t xml:space="preserve">Legge regionale della Regione Puglia 23 giugno 2023, n. 11, recante l’istituzione del Servizio di Psicologia di Base.</w:t>
      </w:r>
    </w:p>
    <w:p>
      <w:pPr>
        <w:pStyle w:val="BodyText"/>
      </w:pPr>
      <w:r>
        <w:rPr>
          <w:i/>
          <w:iCs/>
        </w:rPr>
        <w:t xml:space="preserve">Mini-riassunto. È la legge regionale che istituisce il Servizio di Psicologia di Base in Puglia, definisce la figura dello psicologo di base, ne disciplina le funzioni e l’organizzazione e appresta il fondamento per la sua attuazione; essa costituisce, nella seconda voce di questa parte, il fondamento prossimo della riforma oggetto dello studio, e l’oggetto della valutazione condotta nell’intera opera, di cui essa è la fonte istitutiva.</w:t>
      </w:r>
    </w:p>
    <w:p>
      <w:pPr>
        <w:pStyle w:val="BodyText"/>
      </w:pPr>
      <w:r>
        <w:rPr>
          <w:b/>
          <w:bCs/>
        </w:rPr>
        <w:t xml:space="preserve">▪</w:t>
      </w:r>
      <w:r>
        <w:rPr>
          <w:b/>
          <w:bCs/>
        </w:rPr>
        <w:t xml:space="preserve"> </w:t>
      </w:r>
      <w:r>
        <w:t xml:space="preserve">World Health Organization, «World Mental Health Report: Transforming Mental Health for All», World Health Organization, Ginevra, 2022.</w:t>
      </w:r>
    </w:p>
    <w:p>
      <w:pPr>
        <w:pStyle w:val="BodyText"/>
      </w:pPr>
      <w:r>
        <w:rPr>
          <w:i/>
          <w:iCs/>
        </w:rPr>
        <w:t xml:space="preserve">Mini-riassunto. È il rapporto dell’Organizzazione mondiale della sanità sulla salute mentale, che afferma il diritto al più alto standard conseguibile di salute mentale e l’esigenza di trasformare i sistemi di salute mentale verso l’accessibilità e la qualità della cura; esso fornisce, in questa parte, la cornice internazionale del diritto alla salute mentale, che concorre a fondare l’estensione della provvista pubblica della cura del disagio mentale operata dalla riforma.</w:t>
      </w:r>
    </w:p>
    <w:bookmarkStart w:id="919" w:name="Xa6040bf58fa37c7e11b0900bf065a051149e305"/>
    <w:p>
      <w:pPr>
        <w:pStyle w:val="Heading2"/>
      </w:pPr>
      <w:r>
        <w:t xml:space="preserve">Nota sui rinvii interni e sui principi metodologici</w:t>
      </w:r>
    </w:p>
    <w:p>
      <w:pPr>
        <w:pStyle w:val="FirstParagraph"/>
      </w:pPr>
      <w:r>
        <w:t xml:space="preserve">La tredicesima parte è la sede del fondamento giuridico ed etico dell’intero studio, e si raccorda perciò con un’ampia rete di parti, di cui fonda nel diritto e nell’etica le valutazioni del valore, e a cui consegna le condizioni di legittimità e di responsabilità da attuare e da osservare. Essa richiama le valutazioni del valore condotte dalle parti precedenti — l’efficacia della sesta parte, la convenienza delle parti economiche, l’equità della dodicesima parte — e ne mostra il fondamento nei principi costituzionali e convenzionali, sì che il valore della riforma si fondi sulla sua legittimità; assume dalla quarta parte la posizione subordinata dell’Intelligenza Artificiale, e la presidia sotto il profilo della legittimità e della responsabilità attraverso la governance e la supervisione umana; e assume l’architettura della cascata che la terza parte ordina, per applicarvi, nella quinta voce, la distribuzione delle funzioni e delle responsabilità. Verso le parti successive, essa consegna le condizioni di legittimità e di responsabilità alla quattordicesima parte, dedicata all’attuazione, che dovrà tradurle in misure attuative — gli atti normativi attuativi, le misure di protezione dei dati e di governance, le regole dell’osservanza deontologica, le modalità del coordinamento organizzativo — e l’osservanza di tali condizioni alla quindicesima parte, dedicata al monitoraggio, che dovrà verificarla, riscontrando la conformità dell’attuazione alle cornici di responsabilità.</w:t>
      </w:r>
    </w:p>
    <w:p>
      <w:pPr>
        <w:pStyle w:val="BodyText"/>
      </w:pPr>
      <w:r>
        <w:t xml:space="preserve">I principi metodologici invarianti dello studio governano l’analisi normativa in ogni suo passaggio, sebbene il suo carattere normativo ne muti l’applicazione. La distinzione cardine tra le grandezze fiscali dirette, sociali indirette e di salute è preservata nell’analisi normativa, che non introduce nuove grandezze né somma le dimensioni del valore, ma ne stabilisce il fondamento giuridico ed etico. Il duplice intervallo di Chisholm e il caveat dell’IMPACT trial sono preservati ove le grandezze economiche delle parti precedenti sono richiamate. La gradazione dell’evidenza secondo i criteri GRADE e la formulazione in bande prudenziali falsificabili, che governano le stime empiriche dello studio, si applicano alle sole affermazioni empiriche, in questa parte pressoché assenti; le proposizioni giuridiche, deontologiche e organizzative sono invece valutate secondo la solidità del loro fondamento nelle fonti, ossia secondo il loro radicamento nei principi costituzionali e convenzionali, nelle norme e nel codice deontologico. Il carattere normativo della parte, distinto dal carattere empirico delle parti precedenti, non ne riduce il rigore, ma ne muta il criterio: il rigore della parte risiede nella correttezza dell’analisi giuridica ed etica e nel radicamento delle proposizioni nelle fonti, anziché nella qualità dell’evidenza empirica e nella prudenza delle stime. L’analisi normativa si conforma così, nello stabilire la cornice di legittimità e di responsabilità, ai medesimi principi che hanno governato la valutazione del valore che la precede, e ne costituisce il completamento sul piano del fondamento e delle regole, fondando nel diritto e nell’etica il valore della riforma, e mantenendo, anche in questa dimensione, la distinzione delle dimensioni e la preservazione dei vincoli che ha governato l’intero studio.</w:t>
      </w:r>
    </w:p>
    <w:p>
      <w:pPr>
        <w:pStyle w:val="SourceCode"/>
      </w:pPr>
      <w:r>
        <w:rPr>
          <w:rStyle w:val="VerbatimChar"/>
        </w:rPr>
        <w:t xml:space="preserve">Legittimità · responsabilità · governance   L. De Michele · giugno 2026</w:t>
      </w:r>
    </w:p>
    <w:p>
      <w:r>
        <w:br w:type="page"/>
      </w:r>
    </w:p>
    <w:bookmarkEnd w:id="919"/>
    <w:bookmarkEnd w:id="920"/>
    <w:bookmarkStart w:id="921" w:name="X1e97a7bbc0831f8769bd1e187fda1ea56ba5483"/>
    <w:p>
      <w:pPr>
        <w:pStyle w:val="Heading1"/>
      </w:pPr>
      <w:r>
        <w:t xml:space="preserve">Quadro Conclusivo economico-sociale e multidisciplinare integrale del volume</w:t>
      </w:r>
    </w:p>
    <w:p>
      <w:pPr>
        <w:pStyle w:val="FirstParagraph"/>
      </w:pPr>
      <w:r>
        <w:t xml:space="preserve">Il volume, considerato nel suo insieme, restituisce al decisore un giudizio che le singole parti hanno costruito per gradi e che qui viene ricomposto senza alcuna aggregazione impropria. La riforma del Servizio di Psicologia di Base in Puglia, valutata sull’intero perimetro multidisciplinare integrale e lungo la cascata gerarchica piramidale delle figure professionali che dallo Psicologo di Base discende per grado di influenza e per capacità di generare rientro economico e revisione della spesa, produce un valore che si articola su tre dimensioni rigorosamente distinte e mai sommate. Sulla dimensione fiscale, il saldo tra i costi diretti di regime — collocati nell’ordine dei 43–47 milioni di euro annui a seconda dello scenario di copertura tra 620, 775 e 900 Psicologi di Base per una popolazione di circa 3.877.395 residenti articolata in sei Aziende Sanitarie Locali e quarantacinque distretti — e i risparmi sanitari diretti, stimati in 20, 34 e 50 milioni di euro per scenario, è dichiarato prossimo al pareggio, con l’avvertenza, che accompagna ogni quantificazione di risparmio diretto in ciascuna parte del volume, che il trial IMPACT non ha riscontrato significatività statistica dei risparmi sanitari diretti considerati isolatamente. Sulla dimensione sanitaria, il rapporto tra costo incrementale e guadagno di salute, con un valore indicativo dell’ordine dei 17.000 euro per anno di vita ponderato per la qualità, colloca l’intervento nettamente al di sotto delle soglie di accettabilità correnti e ne fonda il giudizio di netta costo-efficacia. Sulla dimensione sociale, i benefici indiretti — produttività, lavoro, previdenza, welfare, prevenzione, dimensione criminologica, burocratica, culturale, educativa, antropologica, pedagogico-scolastica, accademica, industriale, sindacale e finanziaria — restituiscono, nel solo ancoraggio ammesso dall’opera, il duplice intervallo di Chisholm e collaboratori (2016): da 2,3 a 3,0 considerando i soli benefici economici e da 3,3 a 5,7 comprendendo i ritorni di salute, sicché il giudizio sulla dimensione sociale è fortemente positivo. Le attività formative, considerate tanto singolarmente quanto sommate, e l’Intelligenza Artificiale, posta come leva abilitante subordinata alla supervisione umana e alla cornice regolatoria europea, concorrono a rendere la figura apicale più efficace senza mai costituire canali autonomi di beneficio, in ossequio alla regola di non duplicazione. Ogni proiezione quantitativa del volume è formulata in bande prudenziali falsificabili con soglie di confutazione dichiarate, e la graduazione simmetrica GRADE è applicata all’evidenza clinica come a quella digitale. Gli effetti attesi si estendono, in via diretta e indiretta, dalla qualità della vita delle persone ai bilanci regionali e alla burocrazia propria del sistema sanitario regionale, secondo la mappa dei domini disciplinari che il volume ha percorso per intero.</w:t>
      </w:r>
    </w:p>
    <w:p>
      <w:r>
        <w:br w:type="page"/>
      </w:r>
    </w:p>
    <w:bookmarkEnd w:id="921"/>
    <w:bookmarkStart w:id="922" w:name="conclusione-generale"/>
    <w:p>
      <w:pPr>
        <w:pStyle w:val="Heading1"/>
      </w:pPr>
      <w:r>
        <w:t xml:space="preserve">Conclusione generale</w:t>
      </w:r>
    </w:p>
    <w:p>
      <w:pPr>
        <w:pStyle w:val="FirstParagraph"/>
      </w:pPr>
      <w:r>
        <w:t xml:space="preserve">Il Documento Unico Integrale consegna al decisore regionale e nazionale un’opera compiuta nel metodo e trasparente nei limiti. Il quesito di valutazione posto nella Parte I — se la riforma del Servizio di Psicologia di Base, considerata su tutte le figure professionali direttamente e indirettamente connesse e su tutti i domini multidisciplinari del perimetro integrale, generi un valore che ne giustifichi l’istituzionalizzazione e l’estensione — trova risposta affermativa nella forma che l’opera ha ritenuto onesta: non un numero unico, ma un verdetto tripartito che il presente volume ha costruito parte dopo parte e che la sintesi multidimensionale ricompone senza aggregare. La dichiarazione dei limiti — lo stato di avanzamento della Parte VI, l’integrazione differita delle Parti XIV e XV, gli strati numerici da acquisire — non indebolisce il giudizio ma ne certifica la falsificabilità, che dell’intera opera costituisce il tratto metodologico distintivo. La paternità intellettuale e concettuale dell’opera appartiene al dott. Luigi De Michele; il presente consolidamento ne è esecuzione tecnica fedele.</w:t>
      </w:r>
    </w:p>
    <w:p>
      <w:r>
        <w:br w:type="page"/>
      </w:r>
    </w:p>
    <w:p>
      <w:r>
        <w:br w:type="page"/>
      </w:r>
    </w:p>
    <w:bookmarkEnd w:id="922"/>
    <w:bookmarkStart w:id="923" w:name="appendici-integrative"/>
    <w:p>
      <w:pPr>
        <w:pStyle w:val="Heading1"/>
      </w:pPr>
      <w:r>
        <w:t xml:space="preserve">Appendici Integrative</w:t>
      </w:r>
    </w:p>
    <w:p>
      <w:pPr>
        <w:pStyle w:val="FirstParagraph"/>
      </w:pPr>
      <w:r>
        <w:t xml:space="preserve">Le appendici che seguono consolidano nel volume gli apparati di corredo del corpus documentale del progetto, ciascuno riportato nel testo integrale con le proprie note.</w:t>
      </w:r>
    </w:p>
    <w:p>
      <w:r>
        <w:br w:type="page"/>
      </w:r>
    </w:p>
    <w:bookmarkEnd w:id="923"/>
    <w:bookmarkStart w:id="1015" w:name="Xd417c68783013da22e8935a66a8f0ea1922d7fc"/>
    <w:p>
      <w:pPr>
        <w:pStyle w:val="Heading1"/>
      </w:pPr>
      <w:r>
        <w:t xml:space="preserve">Appendice I — Mappa integrale dei domini disciplinari</w:t>
      </w:r>
    </w:p>
    <w:p>
      <w:pPr>
        <w:pStyle w:val="FirstParagraph"/>
      </w:pPr>
      <w:r>
        <w:t xml:space="preserve">STUDIO INTEGRALE · PSICOLOGO DI BASE · REGIONE PUGLIA</w:t>
      </w:r>
    </w:p>
    <w:p>
      <w:pPr>
        <w:pStyle w:val="BodyText"/>
      </w:pPr>
      <w:r>
        <w:rPr>
          <w:b/>
          <w:bCs/>
        </w:rPr>
        <w:t xml:space="preserve">PROGETTO « PSICOLOGO DI BASE » · REGIONE PUGLIA</w:t>
      </w:r>
    </w:p>
    <w:p>
      <w:pPr>
        <w:pStyle w:val="BodyText"/>
      </w:pPr>
      <w:r>
        <w:rPr>
          <w:b/>
          <w:bCs/>
        </w:rPr>
        <w:t xml:space="preserve">Studio Integrale, Finale e Definitivo</w:t>
      </w:r>
    </w:p>
    <w:p>
      <w:pPr>
        <w:pStyle w:val="BodyText"/>
      </w:pPr>
      <w:r>
        <w:rPr>
          <w:i/>
          <w:iCs/>
        </w:rPr>
        <w:t xml:space="preserve">La mappa annotata dei domini disciplinari e del perimetro multidisciplinare integrale</w:t>
      </w:r>
    </w:p>
    <w:p>
      <w:pPr>
        <w:pStyle w:val="BodyText"/>
      </w:pPr>
      <w:r>
        <w:t xml:space="preserve">Il novero ampliato delle discipline e degli ambiti di impatto connessi allo Psicologo di Base, ordinati per impatto clinico diretto, impatto sistemico indiretto e ricaduta economico-sociale</w:t>
      </w:r>
    </w:p>
    <w:p>
      <w:pPr>
        <w:pStyle w:val="BodyText"/>
      </w:pPr>
      <w:r>
        <w:rPr>
          <w:b/>
          <w:bCs/>
        </w:rPr>
        <w:t xml:space="preserve">Telaio HTA · Five Case Model · CHEERS 2022 · criteri OCSE-DAC</w:t>
      </w:r>
    </w:p>
    <w:p>
      <w:pPr>
        <w:pStyle w:val="BodyText"/>
      </w:pPr>
      <w:r>
        <w:t xml:space="preserve">Cascata gerarchica piramidale a partire dallo Psicologo di Base · perimetro multidisciplinare integrale · l’Intelligenza Artificiale come leva abilitante subordinata alla supervisione clinica</w:t>
      </w:r>
    </w:p>
    <w:bookmarkStart w:id="928" w:name="premessa-11"/>
    <w:p>
      <w:pPr>
        <w:pStyle w:val="Heading2"/>
      </w:pPr>
      <w:r>
        <w:t xml:space="preserve">Premessa</w:t>
      </w:r>
    </w:p>
    <w:p>
      <w:pPr>
        <w:pStyle w:val="FirstParagraph"/>
      </w:pPr>
      <w:r>
        <w:t xml:space="preserve">Il presente documento versa nel telaio formale dello</w:t>
      </w:r>
      <w:r>
        <w:t xml:space="preserve"> </w:t>
      </w:r>
      <w:r>
        <w:rPr>
          <w:i/>
          <w:iCs/>
        </w:rPr>
        <w:t xml:space="preserve">Studio Integrale, Finale e Definitivo</w:t>
      </w:r>
      <w:r>
        <w:t xml:space="preserve"> </w:t>
      </w:r>
      <w:r>
        <w:t xml:space="preserve">la mappa annotata dei domini connessi al Servizio di Psicologia di Base nel Servizio Sanitario Regionale della Puglia, e ne amplia il novero là dove il corpus del progetto lo consente. Esso non costituisce un Capitolo numerato dell’opera, bensì un suo strumento di orientamento: un indice ragionato e descrittivo che rende visibile, in un’unica trattazione, l’estensione disciplinare e l’estensione di impatto della riforma, e che si raccorda alla Parte III, dedicata alla cascata gerarchica delle figure, e alla Parte IX, dedicata ai domini del perimetro multidisciplinare integrale.</w:t>
      </w:r>
      <w:r>
        <w:rPr>
          <w:rStyle w:val="FootnoteReference"/>
        </w:rPr>
        <w:footnoteReference w:id="385"/>
      </w:r>
    </w:p>
    <w:p>
      <w:pPr>
        <w:pStyle w:val="BodyText"/>
      </w:pPr>
      <w:r>
        <w:t xml:space="preserve">L’ampliamento del novero non introduce concetti nuovi né estende l’oggetto dell’opera per via interpretativa: esso porta alla superficie, ordinandoli, ambiti già presenti nel corpus. Ai ventinove domini fondativi del documento dedicato alle discipline si aggiungono, da un lato, le ulteriori specialità a impatto clinico documentate nell’analisi dei risparmi diretti — la medicina interna, la dermatologia, la medicina del dolore e le aree affini in cui si concentra la richiesta di accertamenti per sintomi privi di spiegazione organica; dall’altro, le discipline corrispondenti alle figure sanitarie, socio-sanitarie ed educative della cascata della Parte III — il farmacista di comunità, l’infermiere di famiglia e di comunità, il logopedista, il terapista della riabilitazione, l’ostetrica, l’assistente sociale, lo psicologo scolastico; e infine i domini di impatto economico-sociale della Parte IX e della Parte I, che leggono la riforma attraverso la lente del valore generato sui sistemi.</w:t>
      </w:r>
      <w:r>
        <w:rPr>
          <w:rStyle w:val="FootnoteReference"/>
        </w:rPr>
        <w:footnoteReference w:id="386"/>
      </w:r>
    </w:p>
    <w:p>
      <w:pPr>
        <w:pStyle w:val="BodyText"/>
      </w:pPr>
      <w:r>
        <w:t xml:space="preserve">La mappa è governata dai vincoli metodologici invarianti dell’opera. L’ancoraggio economico è il quadro dell’OCSE del 2026 sul caso economico della prevenzione della cattiva salute mentale; i rapporti di ritorno sull’investimento sono enunciati esclusivamente entro gli intervalli documentati dalla letteratura internazionale di riferimento, con l’avvertenza sui limiti di significatività statistica dei risparmi sanitari diretti in isolamento; i risparmi fiscali diretti e i benefici indiretti e sociali sono tenuti rigorosamente distinti e soggetti alla regola di non duplicazione; la graduazione dell’evidenza è applicata in modo simmetrico tanto alle prove cliniche quanto a quelle relative all’Intelligenza Artificiale, e ogni proiezione è enunciata in forma di banda prudenziale e falsificabile.</w:t>
      </w:r>
      <w:r>
        <w:rPr>
          <w:rStyle w:val="FootnoteReference"/>
        </w:rPr>
        <w:footnoteReference w:id="387"/>
      </w:r>
    </w:p>
    <w:p>
      <w:pPr>
        <w:pStyle w:val="BodyText"/>
      </w:pPr>
      <w:r>
        <w:t xml:space="preserve">Ciascun dominio è letto secondo lo schema analitico proprio dell’opera — il quadro epidemiologico o concettuale che fonda il rapporto tra salute mentale e disciplina, le evidenze di riferimento, la rilevanza per il contesto pugliese e gli effetti attesi dall’introduzione dello Psicologo di Base — e l’insieme è ordinato secondo il principio della cascata, a partire dallo Psicologo di Base e procedendo per influenza e capacità di generare rientro economico o revisione della spesa.</w:t>
      </w:r>
      <w:r>
        <w:rPr>
          <w:rStyle w:val="FootnoteReference"/>
        </w:rPr>
        <w:footnoteReference w:id="388"/>
      </w:r>
    </w:p>
    <w:bookmarkEnd w:id="928"/>
    <w:bookmarkStart w:id="931" w:name="introduzione-11"/>
    <w:p>
      <w:pPr>
        <w:pStyle w:val="Heading2"/>
      </w:pPr>
      <w:r>
        <w:t xml:space="preserve">Introduzione</w:t>
      </w:r>
    </w:p>
    <w:p>
      <w:pPr>
        <w:pStyle w:val="FirstParagraph"/>
      </w:pPr>
      <w:r>
        <w:t xml:space="preserve">La salute mentale non è un compartimento isolato della medicina, ma un determinante trasversale che attraversa la totalità delle specialità cliniche e l’insieme delle discipline che studiano i sistemi umani nelle loro dimensioni biologica, psicologica, sociale, economica e istituzionale. Limitare l’analisi dell’impatto della psicologia nelle cure primarie al solo piano clinico-psicologico produrrebbe una rappresentazione radicalmente incompleta, suscettibile di sottostimare i benefici e i rischi dell’intervento e di omettere le interdipendenze sistemiche che ne determinano la sostenibilità. La sproporzione tra il peso epidemiologico del disagio psichico, che incide tra il tredici e il quindici per cento in termini di anni di vita aggiustati per disabilità, e la quota di risorse a esso destinata, ferma tra il tre e il tre e mezzo per cento della spesa sanitaria corrente, misura l’ampiezza del sotto-investimento che la riforma intende correggere.</w:t>
      </w:r>
      <w:r>
        <w:rPr>
          <w:rStyle w:val="FootnoteReference"/>
        </w:rPr>
        <w:footnoteReference w:id="389"/>
      </w:r>
    </w:p>
    <w:p>
      <w:pPr>
        <w:pStyle w:val="BodyText"/>
      </w:pPr>
      <w:r>
        <w:t xml:space="preserve">La mappa adotta due lenti complementari. La prima è la lente disciplinare, che ordina i domini secondo le specialità mediche e le discipline scientifiche con cui lo Psicologo di Base intrattiene relazioni di collaborazione, complementarità o condivisione della popolazione di pazienti. La seconda è la lente di impatto economico-sociale, che ordina i domini secondo i sistemi sui quali la riforma produce un valore — il lavoro, la previdenza, la produttività, l’assistenza, il welfare, la prevenzione, l’amministrazione, la ricerca, la finanza pubblica. La variabile critica che rende possibili tutte le connessioni è l’attributo dello Psicologo di Base, ossia la sua collocazione strutturale nelle cure primarie accanto al medico di medicina generale e al pediatra di libera scelta: è questa collocazione che trasforma la psicologia da servizio specialistico elitario a presidio sanitario universale di primo livello.</w:t>
      </w:r>
    </w:p>
    <w:p>
      <w:pPr>
        <w:pStyle w:val="BodyText"/>
      </w:pPr>
      <w:r>
        <w:t xml:space="preserve">L’impianto economico dell’opera è ancorato al quadro dell’OCSE del 2026 e articolato nei tre scenari di copertura che ne scandiscono le proiezioni: lo scenario conservativo, con seicentoventi psicologi; lo scenario standard, con settecentosettantacinque; e lo scenario espansivo, con novecento. Su una popolazione regionale di circa tre milioni e ottocentosettantasettemila residenti, distribuiti tra sei aziende sanitarie locali e quarantacinque distretti, e a fronte di una dotazione attuale dell’ordine di poche decine di psicologi nei servizi territoriali, il novero dei domini misura l’estensione del valore che ciascuno scenario è chiamato a produrre.</w:t>
      </w:r>
      <w:r>
        <w:rPr>
          <w:rStyle w:val="FootnoteReference"/>
        </w:rPr>
        <w:footnoteReference w:id="390"/>
      </w:r>
    </w:p>
    <w:p>
      <w:pPr>
        <w:pStyle w:val="BodyText"/>
      </w:pPr>
      <w:r>
        <w:t xml:space="preserve">Il novero ampliato si articola in tre aree. La prima raccoglie i domini a impatto clinico diretto, nei quali la connessione con lo Psicologo di Base è prossima e i risparmi sono prevalentemente diretti. La seconda raccoglie i domini a impatto sistemico indiretto, nei quali la connessione è mediata e differita e la quantificazione è condotta con la massima cautela. La terza raccoglie i domini del perimetro di impatto economico-sociale, che rileggono attraverso la lente del valore gli effetti che le discipline producono. La tabella seguente ne offre il riepilogo quantitativo.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Area del novero</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 fondativi</w:t>
            </w:r>
          </w:p>
        </w:tc>
        <w:tc>
          <w:tcPr>
            <w:shd w:val="clear" w:color="auto" w:fill="16264B"/>
          </w:tcPr>
          <w:p>
            <w:pPr>
              <w:pStyle w:val="Compact"/>
              <w:spacing w:after="40" w:before="40"/>
              <w:jc w:val="left"/>
            </w:pPr>
            <w:r>
              <w:rPr>
                <w:rFonts w:ascii="Cambria" w:hAnsi="Cambria" w:cs="Cambria" w:eastAsia="Cambria"/>
                <w:b/>
                <w:bCs/>
                <w:color w:val="FFFFFF"/>
                <w:sz w:val="18"/>
              </w:rPr>
              <w:t xml:space="preserve">Ampliamento</w:t>
            </w:r>
          </w:p>
        </w:tc>
        <w:tc>
          <w:tcPr>
            <w:shd w:val="clear" w:color="auto" w:fill="16264B"/>
          </w:tcPr>
          <w:p>
            <w:pPr>
              <w:pStyle w:val="Compact"/>
              <w:spacing w:after="40" w:before="40"/>
              <w:jc w:val="left"/>
            </w:pPr>
            <w:r>
              <w:rPr>
                <w:rFonts w:ascii="Cambria" w:hAnsi="Cambria" w:cs="Cambria" w:eastAsia="Cambria"/>
                <w:b/>
                <w:bCs/>
                <w:color w:val="FFFFFF"/>
                <w:sz w:val="18"/>
              </w:rPr>
              <w:t xml:space="preserve">Totale</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 prevalente dell’effetto</w:t>
            </w:r>
          </w:p>
        </w:tc>
      </w:tr>
      <w:tr>
        <w:tc>
          <w:tcPr/>
          <w:p>
            <w:pPr>
              <w:pStyle w:val="Compact"/>
              <w:spacing w:after="40" w:before="40"/>
              <w:jc w:val="left"/>
            </w:pPr>
            <w:r>
              <w:rPr>
                <w:rFonts w:ascii="Cambria" w:hAnsi="Cambria" w:cs="Cambria" w:eastAsia="Cambria"/>
                <w:color w:val="1A1A1A"/>
                <w:sz w:val="18"/>
              </w:rPr>
              <w:t xml:space="preserve">Parte I — Impatto clinico diretto</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6</w:t>
            </w:r>
          </w:p>
        </w:tc>
        <w:tc>
          <w:tcPr/>
          <w:p>
            <w:pPr>
              <w:pStyle w:val="Compact"/>
              <w:spacing w:after="40" w:before="40"/>
              <w:jc w:val="left"/>
            </w:pPr>
            <w:r>
              <w:rPr>
                <w:rFonts w:ascii="Cambria" w:hAnsi="Cambria" w:cs="Cambria" w:eastAsia="Cambria"/>
                <w:b/>
                <w:bCs/>
                <w:color w:val="1A1A1A"/>
                <w:sz w:val="18"/>
              </w:rPr>
              <w:t xml:space="preserve">21</w:t>
            </w:r>
          </w:p>
        </w:tc>
        <w:tc>
          <w:tcPr/>
          <w:p>
            <w:pPr>
              <w:pStyle w:val="Compact"/>
              <w:spacing w:after="40" w:before="40"/>
              <w:jc w:val="left"/>
            </w:pPr>
            <w:r>
              <w:rPr>
                <w:rFonts w:ascii="Cambria" w:hAnsi="Cambria" w:cs="Cambria" w:eastAsia="Cambria"/>
                <w:color w:val="1A1A1A"/>
                <w:sz w:val="18"/>
              </w:rPr>
              <w:t xml:space="preserve">Diretto · risparmi diretti</w:t>
            </w:r>
          </w:p>
        </w:tc>
      </w:tr>
      <w:tr>
        <w:tc>
          <w:tcPr>
            <w:shd w:val="clear" w:color="auto" w:fill="F4F1EC"/>
          </w:tcPr>
          <w:p>
            <w:pPr>
              <w:pStyle w:val="Compact"/>
              <w:spacing w:after="40" w:before="40"/>
              <w:jc w:val="left"/>
            </w:pPr>
            <w:r>
              <w:rPr>
                <w:rFonts w:ascii="Cambria" w:hAnsi="Cambria" w:cs="Cambria" w:eastAsia="Cambria"/>
                <w:color w:val="1A1A1A"/>
                <w:sz w:val="18"/>
              </w:rPr>
              <w:t xml:space="preserve">Parte II — Impatto sistemico indiretto</w:t>
            </w:r>
          </w:p>
        </w:tc>
        <w:tc>
          <w:tcPr>
            <w:shd w:val="clear" w:color="auto" w:fill="F4F1EC"/>
          </w:tcPr>
          <w:p>
            <w:pPr>
              <w:pStyle w:val="Compact"/>
              <w:spacing w:after="40" w:before="40"/>
              <w:jc w:val="left"/>
            </w:pPr>
            <w:r>
              <w:rPr>
                <w:rFonts w:ascii="Cambria" w:hAnsi="Cambria" w:cs="Cambria" w:eastAsia="Cambria"/>
                <w:color w:val="1A1A1A"/>
                <w:sz w:val="18"/>
              </w:rPr>
              <w:t xml:space="preserve">14</w:t>
            </w:r>
          </w:p>
        </w:tc>
        <w:tc>
          <w:tcPr>
            <w:shd w:val="clear" w:color="auto" w:fill="F4F1EC"/>
          </w:tcPr>
          <w:p>
            <w:pPr>
              <w:pStyle w:val="Compact"/>
              <w:spacing w:after="40" w:before="40"/>
              <w:jc w:val="left"/>
            </w:pPr>
            <w:r>
              <w:rPr>
                <w:rFonts w:ascii="Cambria" w:hAnsi="Cambria" w:cs="Cambria" w:eastAsia="Cambria"/>
                <w:color w:val="1A1A1A"/>
                <w:sz w:val="18"/>
              </w:rPr>
              <w:t xml:space="preserve">4</w:t>
            </w:r>
          </w:p>
        </w:tc>
        <w:tc>
          <w:tcPr>
            <w:shd w:val="clear" w:color="auto" w:fill="F4F1EC"/>
          </w:tcPr>
          <w:p>
            <w:pPr>
              <w:pStyle w:val="Compact"/>
              <w:spacing w:after="40" w:before="40"/>
              <w:jc w:val="left"/>
            </w:pPr>
            <w:r>
              <w:rPr>
                <w:rFonts w:ascii="Cambria" w:hAnsi="Cambria" w:cs="Cambria" w:eastAsia="Cambria"/>
                <w:b/>
                <w:bCs/>
                <w:color w:val="1A1A1A"/>
                <w:sz w:val="18"/>
              </w:rPr>
              <w:t xml:space="preserve">18</w:t>
            </w:r>
          </w:p>
        </w:tc>
        <w:tc>
          <w:tcPr>
            <w:shd w:val="clear" w:color="auto" w:fill="F4F1EC"/>
          </w:tcPr>
          <w:p>
            <w:pPr>
              <w:pStyle w:val="Compact"/>
              <w:spacing w:after="40" w:before="40"/>
              <w:jc w:val="left"/>
            </w:pPr>
            <w:r>
              <w:rPr>
                <w:rFonts w:ascii="Cambria" w:hAnsi="Cambria" w:cs="Cambria" w:eastAsia="Cambria"/>
                <w:color w:val="1A1A1A"/>
                <w:sz w:val="18"/>
              </w:rPr>
              <w:t xml:space="preserve">Indiretto · differito</w:t>
            </w:r>
          </w:p>
        </w:tc>
      </w:tr>
      <w:tr>
        <w:tc>
          <w:tcPr/>
          <w:p>
            <w:pPr>
              <w:pStyle w:val="Compact"/>
              <w:spacing w:after="40" w:before="40"/>
              <w:jc w:val="left"/>
            </w:pPr>
            <w:r>
              <w:rPr>
                <w:rFonts w:ascii="Cambria" w:hAnsi="Cambria" w:cs="Cambria" w:eastAsia="Cambria"/>
                <w:color w:val="1A1A1A"/>
                <w:sz w:val="18"/>
              </w:rPr>
              <w:t xml:space="preserve">Parte III — Perimetro economico-sociale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11</w:t>
            </w:r>
          </w:p>
        </w:tc>
        <w:tc>
          <w:tcPr/>
          <w:p>
            <w:pPr>
              <w:pStyle w:val="Compact"/>
              <w:spacing w:after="40" w:before="40"/>
              <w:jc w:val="left"/>
            </w:pPr>
            <w:r>
              <w:rPr>
                <w:rFonts w:ascii="Cambria" w:hAnsi="Cambria" w:cs="Cambria" w:eastAsia="Cambria"/>
                <w:b/>
                <w:bCs/>
                <w:color w:val="1A1A1A"/>
                <w:sz w:val="18"/>
              </w:rPr>
              <w:t xml:space="preserve">11</w:t>
            </w:r>
          </w:p>
        </w:tc>
        <w:tc>
          <w:tcPr/>
          <w:p>
            <w:pPr>
              <w:pStyle w:val="Compact"/>
              <w:spacing w:after="40" w:before="40"/>
              <w:jc w:val="left"/>
            </w:pPr>
            <w:r>
              <w:rPr>
                <w:rFonts w:ascii="Cambria" w:hAnsi="Cambria" w:cs="Cambria" w:eastAsia="Cambria"/>
                <w:color w:val="1A1A1A"/>
                <w:sz w:val="18"/>
              </w:rPr>
              <w:t xml:space="preserve">Valore di sistema · misto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Totale del novero</w:t>
            </w:r>
          </w:p>
        </w:tc>
        <w:tc>
          <w:tcPr>
            <w:shd w:val="clear" w:color="auto" w:fill="F4F1EC"/>
          </w:tcPr>
          <w:p>
            <w:pPr>
              <w:pStyle w:val="Compact"/>
              <w:spacing w:after="40" w:before="40"/>
              <w:jc w:val="left"/>
            </w:pPr>
            <w:r>
              <w:rPr>
                <w:rFonts w:ascii="Cambria" w:hAnsi="Cambria" w:cs="Cambria" w:eastAsia="Cambria"/>
                <w:b/>
                <w:bCs/>
                <w:color w:val="1A1A1A"/>
                <w:sz w:val="18"/>
              </w:rPr>
              <w:t xml:space="preserve">29</w:t>
            </w:r>
          </w:p>
        </w:tc>
        <w:tc>
          <w:tcPr>
            <w:shd w:val="clear" w:color="auto" w:fill="F4F1EC"/>
          </w:tcPr>
          <w:p>
            <w:pPr>
              <w:pStyle w:val="Compact"/>
              <w:spacing w:after="40" w:before="40"/>
              <w:jc w:val="left"/>
            </w:pPr>
            <w:r>
              <w:rPr>
                <w:rFonts w:ascii="Cambria" w:hAnsi="Cambria" w:cs="Cambria" w:eastAsia="Cambria"/>
                <w:b/>
                <w:bCs/>
                <w:color w:val="1A1A1A"/>
                <w:sz w:val="18"/>
              </w:rPr>
              <w:t xml:space="preserve">21</w:t>
            </w:r>
          </w:p>
        </w:tc>
        <w:tc>
          <w:tcPr>
            <w:shd w:val="clear" w:color="auto" w:fill="F4F1EC"/>
          </w:tcPr>
          <w:p>
            <w:pPr>
              <w:pStyle w:val="Compact"/>
              <w:spacing w:after="40" w:before="40"/>
              <w:jc w:val="left"/>
            </w:pPr>
            <w:r>
              <w:rPr>
                <w:rFonts w:ascii="Cambria" w:hAnsi="Cambria" w:cs="Cambria" w:eastAsia="Cambria"/>
                <w:b/>
                <w:bCs/>
                <w:color w:val="1A1A1A"/>
                <w:sz w:val="18"/>
              </w:rPr>
              <w:t xml:space="preserve">50</w:t>
            </w:r>
          </w:p>
        </w:tc>
        <w:tc>
          <w:tcPr>
            <w:shd w:val="clear" w:color="auto" w:fill="F4F1EC"/>
          </w:tcPr>
          <w:p>
            <w:pPr>
              <w:pStyle w:val="Compact"/>
              <w:spacing w:after="40" w:before="40"/>
              <w:jc w:val="left"/>
            </w:pPr>
            <w:r>
              <w:rPr>
                <w:rFonts w:ascii="Cambria" w:hAnsi="Cambria" w:cs="Cambria" w:eastAsia="Cambria"/>
                <w:color w:val="1A1A1A"/>
                <w:sz w:val="18"/>
              </w:rPr>
              <w:t xml:space="preserve">Tre dimensioni mai aggregate</w:t>
            </w:r>
          </w:p>
        </w:tc>
      </w:tr>
    </w:tbl>
    <w:p>
      <w:pPr>
        <w:pStyle w:val="BodyText"/>
      </w:pPr>
      <w:r>
        <w:rPr>
          <w:i/>
          <w:iCs/>
        </w:rPr>
        <w:t xml:space="preserve">Tabella 1. Il riepilogo del novero ampliato: dai ventinove domini fondativi ai cinquanta domini complessivi, ordinati in tre aree.</w:t>
      </w:r>
    </w:p>
    <w:bookmarkEnd w:id="931"/>
    <w:bookmarkStart w:id="963" w:name="parte-i-domini-a-impatto-clinico-diretto"/>
    <w:p>
      <w:pPr>
        <w:pStyle w:val="Heading2"/>
      </w:pPr>
      <w:r>
        <w:t xml:space="preserve">Parte I — Domini a Impatto Clinico Diretto</w:t>
      </w:r>
    </w:p>
    <w:p>
      <w:pPr>
        <w:pStyle w:val="FirstParagraph"/>
      </w:pPr>
      <w:r>
        <w:t xml:space="preserve">L’area dell’impatto clinico diretto comprende le specialità mediche e le discipline della salute con le quali lo Psicologo di Base intrattiene relazioni funzionali di collaborazione, complementarità o condivisione della popolazione di pazienti, e nelle quali la sua azione produce i ritorni più prossimi e i risparmi prevalentemente diretti. Ai quindici domini fondativi del documento dedicato alle discipline si aggiungono sei ulteriori specialità, documentate nel corpus dell’opera come sedi rilevanti della richiesta inappropriata di prestazioni a base psicogena o come ambiti presidiati dalle figure della cascata sanitaria e socio-sanitaria.</w:t>
      </w:r>
    </w:p>
    <w:bookmarkStart w:id="955" w:name="X8ae75f4396e48f8e8ec899bb6d440d4c3766c83"/>
    <w:p>
      <w:pPr>
        <w:pStyle w:val="Heading3"/>
      </w:pPr>
      <w:r>
        <w:t xml:space="preserve">I.A — Nucleo disciplinare fondativo (15 domini)</w:t>
      </w:r>
    </w:p>
    <w:bookmarkStart w:id="932" w:name="i.1-medicina-generale-e-cure-primarie"/>
    <w:p>
      <w:pPr>
        <w:pStyle w:val="Heading4"/>
      </w:pPr>
      <w:r>
        <w:t xml:space="preserve">I.1 · Medicina Generale e Cure Primarie</w:t>
      </w:r>
    </w:p>
    <w:p>
      <w:pPr>
        <w:pStyle w:val="FirstParagraph"/>
      </w:pPr>
      <w:r>
        <w:t xml:space="preserve">La medicina generale è l’architrave organizzativa e funzionale del Servizio Sanitario Regionale. Il medico di medicina generale è il primo intercettore del disagio comune, ma in assenza di uno psicologo integrato nel team la risposta ai sintomi aspecifici, funzionali e psicosomatici — dolore toracico atipico, cefalea, disturbi gastrointestinali senza base organica, vertigini, dispnea inspiegata — tende a tradursi in un incremento di visite specialistiche, in esami diagnostici ripetuti, nell’uso pluriennale di psicofarmaci e ansiolitici di copertura e nell’invio tardivo ai servizi di salute mentale. Questa spirale genera spesa elevata a basso valore aggiunto, non risolve la sofferenza e aggrava il carico su pronto soccorso, ospedali e Centri di Salute Mentale. Lo Psicologo di Base, collocato nella coppia clinica delle Case della Comunità secondo il modello della copresenza, intercetta il bisogno all’origine: costituisce l’apice della cascata clinica e la sede primaria dei risparmi diretti.</w:t>
      </w:r>
    </w:p>
    <w:bookmarkEnd w:id="932"/>
    <w:bookmarkStart w:id="934" w:name="i.2-psichiatria"/>
    <w:p>
      <w:pPr>
        <w:pStyle w:val="Heading4"/>
      </w:pPr>
      <w:r>
        <w:t xml:space="preserve">I.2 · Psichiatria</w:t>
      </w:r>
    </w:p>
    <w:p>
      <w:pPr>
        <w:pStyle w:val="FirstParagraph"/>
      </w:pPr>
      <w:r>
        <w:t xml:space="preserve">La psichiatria specialistica e la psicologia delle cure primarie sono discipline distinte ma funzionalmente complementari, secondo la logica della cura a intensità crescente. La letteratura documenta in modo convergente che il settanta-ottanta per cento dei disturbi mentali della popolazione generale ha intensità lieve o media — depressione lieve-moderata, disturbi d’ansia senza complicanze, disturbi dell’adattamento, sintomatologia somatoforme — ed è clinicamente appropriato, economicamente efficiente e preferito dai pazienti nel setting delle cure primarie. La conseguenza è che i Centri di Salute Mentale pugliesi sono in sovraccarico strutturale da casistica a bassa intensità, mentre la psichiatria dispone di risorse insufficienti per i disturbi gravi e persistenti che ne richiedono la competenza specifica. Lo Psicologo di Base, esercitando la funzione di filtro, libera la psichiatria per la fascia di gravità che le compete e attenua il fenomeno della porta girevole.</w:t>
      </w:r>
      <w:r>
        <w:rPr>
          <w:rStyle w:val="FootnoteReference"/>
        </w:rPr>
        <w:footnoteReference w:id="391"/>
      </w:r>
    </w:p>
    <w:bookmarkEnd w:id="934"/>
    <w:bookmarkStart w:id="935" w:name="i.3-psicologia-clinica"/>
    <w:p>
      <w:pPr>
        <w:pStyle w:val="Heading4"/>
      </w:pPr>
      <w:r>
        <w:t xml:space="preserve">I.3 · Psicologia Clinica</w:t>
      </w:r>
    </w:p>
    <w:p>
      <w:pPr>
        <w:pStyle w:val="FirstParagraph"/>
      </w:pPr>
      <w:r>
        <w:t xml:space="preserve">La psicologia clinica è il sapere fondante della figura. Essa fornisce il corpus degli interventi brevi a base cognitivo-comportamentale, erogati anche come auto-aiuto guidato, che costituiscono la risposta di primo livello per i quadri lievi e moderati, e definisce gli standard di appropriatezza, di esito e di sicurezza dell’azione clinica. Gli strumenti di misura standardizzati — il PHQ-9 per i sintomi depressivi e il GAD-7 per quelli ansiosi — consentono di documentare oggettivamente il miglioramento clinico e il tasso di recupero lungo il percorso. La disciplina governa inoltre la distinzione tra ciò che è trattabile al primo livello e ciò che richiede l’invio specialistico, ed è perciò la condizione tecnica del filtro clinico che l’intera architettura presuppone.</w:t>
      </w:r>
    </w:p>
    <w:bookmarkEnd w:id="935"/>
    <w:bookmarkStart w:id="936" w:name="i.4-salute-pubblica"/>
    <w:p>
      <w:pPr>
        <w:pStyle w:val="Heading4"/>
      </w:pPr>
      <w:r>
        <w:t xml:space="preserve">I.4 · Salute Pubblica</w:t>
      </w:r>
    </w:p>
    <w:p>
      <w:pPr>
        <w:pStyle w:val="FirstParagraph"/>
      </w:pPr>
      <w:r>
        <w:t xml:space="preserve">La salute pubblica colloca il disagio psichico nella prospettiva di popolazione, e fonda la lettura preventiva ed equitativa della riforma. La sproporzione tra il peso del disturbo mentale in termini di anni di vita aggiustati per disabilità e la quota di spesa a esso destinata configura un sotto-investimento strutturale che la diffusione capillare di un presidio psicologico di primo livello è chiamata a correggere. Lo Psicologo di Base universale e gratuito realizza l’equità di accesso, riducendo la diseguaglianza tra chi può ricorrere al privato e chi ne è escluso, e sposta il baricentro del sistema dalla cura dell’acuzie alla prevenzione secondaria, intercettando il disagio prima che si strutturi in forme conclamate e croniche.</w:t>
      </w:r>
    </w:p>
    <w:bookmarkEnd w:id="936"/>
    <w:bookmarkStart w:id="938" w:name="i.5-economia-sanitaria"/>
    <w:p>
      <w:pPr>
        <w:pStyle w:val="Heading4"/>
      </w:pPr>
      <w:r>
        <w:t xml:space="preserve">I.5 · Economia Sanitaria</w:t>
      </w:r>
    </w:p>
    <w:p>
      <w:pPr>
        <w:pStyle w:val="FirstParagraph"/>
      </w:pPr>
      <w:r>
        <w:t xml:space="preserve">L’economia sanitaria fornisce gli strumenti con cui il valore della riforma è misurato: l’analisi costo-efficacia e costo-utilità, l’analisi di impatto sul bilancio e la valutazione del ritorno sociale. Essa documenta che lo spostamento della casistica al livello di cura appropriato genera efficienza allocativa, riducendo il consumo improprio di prestazioni specialistiche, diagnostiche e farmaceutiche a basso valore. È la disciplina che, ancorata al quadro dell’OCSE del 2026, traduce gli effetti clinici e sociali in grandezze economiche difendibili, mantenendo distinta la dimensione fiscale, prossima al pareggio, dalla dimensione sanitaria, nettamente costo-efficace, e dalla dimensione sociale, fortemente positiva.</w:t>
      </w:r>
      <w:r>
        <w:rPr>
          <w:rStyle w:val="FootnoteReference"/>
        </w:rPr>
        <w:footnoteReference w:id="392"/>
      </w:r>
    </w:p>
    <w:bookmarkEnd w:id="938"/>
    <w:bookmarkStart w:id="940" w:name="i.6-medicina-durgenza"/>
    <w:p>
      <w:pPr>
        <w:pStyle w:val="Heading4"/>
      </w:pPr>
      <w:r>
        <w:t xml:space="preserve">I.6 · Medicina d’Urgenza</w:t>
      </w:r>
    </w:p>
    <w:p>
      <w:pPr>
        <w:pStyle w:val="FirstParagraph"/>
      </w:pPr>
      <w:r>
        <w:t xml:space="preserve">La medicina d’urgenza è il punto di accumulo di una quota di accessi impropri a componente ansioso-somatica e la sede della gestione della crisi suicidaria. Le stime nazionali documentano tra cinquantamila e sessantamila tentativi di suicidio l’anno in Italia, la maggioranza dei quali transita dal pronto soccorso; la Puglia presenta un tasso di suicidi consumati di sei e mezzo per centomila abitanti. Lo Psicologo di Base può svolgere un ruolo critico nel follow-up post-dimissione dei pazienti con tentato suicidio o ideazione grave, nella finestra di rischio massimo che si colloca tra la quarta e la sesta settimana successive alla dimissione, mediante interventi brevi strutturati di provata efficacia nel ridurre la ripetizione del comportamento suicidario.</w:t>
      </w:r>
      <w:r>
        <w:rPr>
          <w:rStyle w:val="FootnoteReference"/>
        </w:rPr>
        <w:footnoteReference w:id="393"/>
      </w:r>
    </w:p>
    <w:bookmarkEnd w:id="940"/>
    <w:bookmarkStart w:id="942" w:name="i.7-gestione-delle-cronicità"/>
    <w:p>
      <w:pPr>
        <w:pStyle w:val="Heading4"/>
      </w:pPr>
      <w:r>
        <w:t xml:space="preserve">I.7 · Gestione delle Cronicità</w:t>
      </w:r>
    </w:p>
    <w:p>
      <w:pPr>
        <w:pStyle w:val="FirstParagraph"/>
      </w:pPr>
      <w:r>
        <w:t xml:space="preserve">La gestione delle malattie croniche è il fronte su cui l’integrazione tra psicologia e medicina produce i benefici più documentati. Le patologie croniche non trasmissibili condividono una comorbilità sistematicamente elevata con depressione e ansia, associata a esiti peggiori: la prevalenza di depressione maggiore si colloca tra il quindici e il venticinque per cento nel diabete, tra il venti e il trenta nella malattia coronarica, tra il venticinque e il quaranta nella broncopneumopatia cronica ostruttiva e tra il trenta e il cinquanta nell’insufficienza renale in dialisi, con un nesso causale bidirezionale. Entro il Chronic Care Model, recepito dal Piano Nazionale della Cronicità, lo Psicologo di Base integrato nei percorsi diagnostico-terapeutici assistenziali migliora l’aderenza terapeutica e gli esiti e riduce i ricoveri evitabili.</w:t>
      </w:r>
      <w:r>
        <w:rPr>
          <w:rStyle w:val="FootnoteReference"/>
        </w:rPr>
        <w:footnoteReference w:id="394"/>
      </w:r>
    </w:p>
    <w:bookmarkEnd w:id="942"/>
    <w:bookmarkStart w:id="944" w:name="i.8-farmacologia"/>
    <w:p>
      <w:pPr>
        <w:pStyle w:val="Heading4"/>
      </w:pPr>
      <w:r>
        <w:t xml:space="preserve">I.8 · Farmacologia</w:t>
      </w:r>
    </w:p>
    <w:p>
      <w:pPr>
        <w:pStyle w:val="FirstParagraph"/>
      </w:pPr>
      <w:r>
        <w:t xml:space="preserve">La farmacologia è uno dei domini in cui la connessione con lo Psicologo di Base è più direttamente economica. Il consumo prolungato e improprio di psicofarmaci, e segnatamente delle benzodiazepine prescritte come ansiolitici di copertura, è un esito documentato dell’assenza di un’alternativa psicologica di primo livello. La disponibilità di un intervento psicologico precoce consente la deprescrizione appropriata e i percorsi di graduale sospensione condotti in collaborazione con la coppia clinica e con il farmacista di comunità, riducendo la spesa farmaceutica inappropriata: le sperimentazioni italiane di copresenza dello psicologo nelle cure primarie hanno documentato riduzioni della spesa farmaceutica del diciassette e del quattordici per cento nei casi in cui è stato possibile disporre dei dati. Si tratta di una connessione diretta, generatrice di risparmi diretti.</w:t>
      </w:r>
      <w:r>
        <w:rPr>
          <w:rStyle w:val="FootnoteReference"/>
        </w:rPr>
        <w:footnoteReference w:id="395"/>
      </w:r>
    </w:p>
    <w:bookmarkEnd w:id="944"/>
    <w:bookmarkStart w:id="945" w:name="i.9-geriatria"/>
    <w:p>
      <w:pPr>
        <w:pStyle w:val="Heading4"/>
      </w:pPr>
      <w:r>
        <w:t xml:space="preserve">I.9 · Geriatria</w:t>
      </w:r>
    </w:p>
    <w:p>
      <w:pPr>
        <w:pStyle w:val="FirstParagraph"/>
      </w:pPr>
      <w:r>
        <w:t xml:space="preserve">La geriatria intercetta una popolazione in cui la depressione e il disagio psichico sono ad un tempo frequenti e sistematicamente non riconosciuti, confusi con il declino fisiologico o con la patologia somatica. La depressione dell’anziano peggiora la prognosi delle patologie croniche concomitanti, riduce l’autonomia funzionale e incrementa il rischio di istituzionalizzazione. Sul modello della cura collaborativa, di cui lo studio statunitense sulla depressione dell’anziano costituisce il riferimento, lo Psicologo di Base integrato nelle cure primarie può intercettare e trattare la depressione geriatrica, riducendo la prescrizione di psicofarmaci, gli accessi impropri e i ricoveri evitabili nei grandi anziani, segmento di popolazione di particolare rilievo nella struttura demografica pugliese.</w:t>
      </w:r>
    </w:p>
    <w:bookmarkEnd w:id="945"/>
    <w:bookmarkStart w:id="947" w:name="i.10-neurologia"/>
    <w:p>
      <w:pPr>
        <w:pStyle w:val="Heading4"/>
      </w:pPr>
      <w:r>
        <w:t xml:space="preserve">I.10 · Neurologia</w:t>
      </w:r>
    </w:p>
    <w:p>
      <w:pPr>
        <w:pStyle w:val="FirstParagraph"/>
      </w:pPr>
      <w:r>
        <w:t xml:space="preserve">La neurologia presenta un’ampia area di intersezione con la psicologia delle cure primarie. Il disturbo neurologico funzionale rappresenta fino al sedici-venti per cento delle nuove diagnosi in un ambulatorio neurologico di primo livello, e questi pazienti percorrono spesso un lungo e costoso iter diagnostico prima che la natura psicologica del disturbo sia identificata. A ciò si aggiungono la cefalea e l’emicrania, la cui cronicizzazione è documentatamente favorita dalla comorbilità ansioso-depressiva, e la fibromialgia con le sindromi da sensibilizzazione centrale, per le quali le linee guida raccomandano gli interventi psicologici come trattamento di prima scelta. Lo Psicologo di Base, in raccordo con la neurologia territoriale, intercetta precocemente questi pazienti, accorcia il percorso diagnostico e ne contiene i costi.</w:t>
      </w:r>
      <w:r>
        <w:rPr>
          <w:rStyle w:val="FootnoteReference"/>
        </w:rPr>
        <w:footnoteReference w:id="396"/>
      </w:r>
    </w:p>
    <w:bookmarkEnd w:id="947"/>
    <w:bookmarkStart w:id="948" w:name="i.11-gastroenterologia"/>
    <w:p>
      <w:pPr>
        <w:pStyle w:val="Heading4"/>
      </w:pPr>
      <w:r>
        <w:t xml:space="preserve">I.11 · Gastroenterologia</w:t>
      </w:r>
    </w:p>
    <w:p>
      <w:pPr>
        <w:pStyle w:val="FirstParagraph"/>
      </w:pPr>
      <w:r>
        <w:t xml:space="preserve">La gastroenterologia poggia, nella sua intersezione con la psicologia, sul paradigma dell’asse intestino-cervello, che descrive le relazioni bidirezionali tra stato psicologico e funzionalità gastrointestinale. I disturbi gastrointestinali funzionali, e in primo luogo la sindrome dell’intestino irritabile, hanno una componente psicologica sostanziale e generano una quota rilevante di visite e accertamenti per sintomi privi di spiegazione organica chiara. Lo Psicologo di Base, intercettando la componente ansiosa e somatoforme che sostiene la domanda ripetuta di indagini, riduce gli accertamenti inappropriati e migliora la presa in carico di una popolazione che oggi gravita senza coordinamento tra medicina generale e specialistica.</w:t>
      </w:r>
    </w:p>
    <w:bookmarkEnd w:id="948"/>
    <w:bookmarkStart w:id="949" w:name="Xf4b17d6c1dcff604287d0fb26543c0483d456b7"/>
    <w:p>
      <w:pPr>
        <w:pStyle w:val="Heading4"/>
      </w:pPr>
      <w:r>
        <w:t xml:space="preserve">I.12 · Cardiologia, Pneumologia e Reumatologia</w:t>
      </w:r>
    </w:p>
    <w:p>
      <w:pPr>
        <w:pStyle w:val="FirstParagraph"/>
      </w:pPr>
      <w:r>
        <w:t xml:space="preserve">Queste tre specialità sono accomunate da una comorbilità psicologica documentata e da un’elevata quota di prestazioni a base psicogena. Nella patologia cardiovascolare l’ansia e gli attacchi di panico sostengono una parte degli accessi per dolore toracico non cardiaco e per palpitazioni; nelle malattie respiratorie e infiammatorie la depressione è sistematicamente associata a un peggioramento degli esiti, e nell’artrite reumatoide la sua prevalenza si colloca tra il quindici e il quaranta per cento. Il modello di riabilitazione cardiaca che integra l’intervento psicologico documenta una riduzione della mortalità a diciotto mesi rispetto alla sola riabilitazione fisica. Per la Puglia, l’integrazione dello Psicologo di Base nei percorsi e nei centri riabilitativi è stimata generare risparmi diretti dell’ordine di cinque-quindici milioni l’anno.</w:t>
      </w:r>
    </w:p>
    <w:bookmarkEnd w:id="949"/>
    <w:bookmarkStart w:id="951" w:name="i.13-salute-perinatale-e-pediatria"/>
    <w:p>
      <w:pPr>
        <w:pStyle w:val="Heading4"/>
      </w:pPr>
      <w:r>
        <w:t xml:space="preserve">I.13 · Salute Perinatale e Pediatria</w:t>
      </w:r>
    </w:p>
    <w:p>
      <w:pPr>
        <w:pStyle w:val="FirstParagraph"/>
      </w:pPr>
      <w:r>
        <w:t xml:space="preserve">La salute mentale perinatale è riconosciuta come area di priorità assoluta, poiché i disturbi psicologici materni hanno conseguenze documentate non solo sulla salute della madre ma anche sullo sviluppo neurologico, cognitivo e relazionale del bambino. La depressione perinatale ha una prevalenza tra il dieci e il venti per cento, che sale al venti-trenta in presenza di fattori di rischio psicosociale, e meno del trenta per cento delle donne riceve un trattamento clinicamente appropriato. Nell’età evolutiva, i disturbi d’ansia, con prevalenza tra il cinque e il dodici per cento, mostrano tassi di remissione superiori al sessanta per cento se intercettati precocemente. Lo Psicologo di Base, in raccordo con l’ostetrica, con il pediatra di libera scelta e con la neuropsichiatria infantile, è il professionista accessibile per l’identificazione precoce e la presa in carico.</w:t>
      </w:r>
      <w:r>
        <w:rPr>
          <w:rStyle w:val="FootnoteReference"/>
        </w:rPr>
        <w:footnoteReference w:id="397"/>
      </w:r>
    </w:p>
    <w:bookmarkEnd w:id="951"/>
    <w:bookmarkStart w:id="953" w:name="i.14-oncologia"/>
    <w:p>
      <w:pPr>
        <w:pStyle w:val="Heading4"/>
      </w:pPr>
      <w:r>
        <w:t xml:space="preserve">I.14 · Oncologia</w:t>
      </w:r>
    </w:p>
    <w:p>
      <w:pPr>
        <w:pStyle w:val="FirstParagraph"/>
      </w:pPr>
      <w:r>
        <w:t xml:space="preserve">L’oncologia psicosociale fonda la rilevanza di questo dominio: il distress clinicamente significativo interessa tra il trenta e il sessanta per cento dei pazienti oncologici, la depressione tra il dieci e il venticinque e l’ansia tra il quindici e il trenta, con un impatto documentato sull’aderenza ai trattamenti, sulla qualità della vita e, secondo la letteratura, sulla stessa prognosi. Le raccomandazioni delle società scientifiche oncologiche e psico-oncologiche prevedono lo screening sistematico del distress e la presa in carico psicologica lungo l’intero percorso. Lo Psicologo di Base garantisce la continuità psicologica territoriale — dalla fase diagnostica al follow-up al lungo sopravvivente — che oggi si interrompe alla dimissione dai centri ospedalieri, colmando una discontinuità strutturale del percorso oncologico.</w:t>
      </w:r>
      <w:r>
        <w:rPr>
          <w:rStyle w:val="FootnoteReference"/>
        </w:rPr>
        <w:footnoteReference w:id="398"/>
      </w:r>
    </w:p>
    <w:bookmarkEnd w:id="953"/>
    <w:bookmarkStart w:id="954" w:name="i.15-cure-palliative"/>
    <w:p>
      <w:pPr>
        <w:pStyle w:val="Heading4"/>
      </w:pPr>
      <w:r>
        <w:t xml:space="preserve">I.15 · Cure Palliative</w:t>
      </w:r>
    </w:p>
    <w:p>
      <w:pPr>
        <w:pStyle w:val="FirstParagraph"/>
      </w:pPr>
      <w:r>
        <w:t xml:space="preserve">Le cure palliative costituiscono il contesto di massima intensità della sofferenza psicologica, e la definizione che ne dà l’Organizzazione Mondiale della Sanità include il sollievo della sofferenza psicologica e spirituale tra gli obiettivi primari, accanto al controllo del dolore fisico. Lo Psicologo di Base, che già conosce il paziente nel contesto del suo percorso di cure primarie e palliative territoriali, è in posizione privilegiata per sostenere il malato e la sua famiglia, e per estendere il supporto oltre il decesso: l’identificazione precoce dei familiari a rischio di lutto complicato e il loro accompagnamento nelle settimane successive alla perdita prevengono l’evoluzione del cordoglio verso forme patologiche e cronicizzate.</w:t>
      </w:r>
    </w:p>
    <w:bookmarkEnd w:id="954"/>
    <w:bookmarkEnd w:id="955"/>
    <w:bookmarkStart w:id="962" w:name="Xa037284053110cbfd6e9ce8be093dd028dc4cb6"/>
    <w:p>
      <w:pPr>
        <w:pStyle w:val="Heading3"/>
      </w:pPr>
      <w:r>
        <w:t xml:space="preserve">I.B — Ampliamento: ulteriori specialità a impatto clinico (6 domini)</w:t>
      </w:r>
    </w:p>
    <w:p>
      <w:pPr>
        <w:pStyle w:val="FirstParagraph"/>
      </w:pPr>
      <w:r>
        <w:t xml:space="preserve">Le sei specialità che seguono sono documentate nel corpus dell’opera come sedi rilevanti della richiesta di prestazioni a base psicogena o come ambiti presidiati dalle figure sanitarie, socio-sanitarie ed educative della cascata della Parte III. Il loro inserimento amplia il nucleo clinico fondativo senza alterarne la logica, e ne completa la copertura sulle aree in cui la letteratura sui sintomi privi di spiegazione organica colloca le quote più alte di accertamenti ripetuti.</w:t>
      </w:r>
    </w:p>
    <w:bookmarkStart w:id="956" w:name="i.16-medicina-interna"/>
    <w:p>
      <w:pPr>
        <w:pStyle w:val="Heading4"/>
      </w:pPr>
      <w:r>
        <w:t xml:space="preserve">I.16 · Medicina Interna</w:t>
      </w:r>
    </w:p>
    <w:p>
      <w:pPr>
        <w:pStyle w:val="FirstParagraph"/>
      </w:pPr>
      <w:r>
        <w:t xml:space="preserve">La medicina interna è esplicitamente individuata, accanto a cardiologia, gastroenterologia, neurologia, reumatologia e pneumologia, tra le aree in cui una quota compresa tra il venti e il quaranta per cento delle prestazioni riguarda sintomi privi di spiegazione organica o con una sproporzione evidente tra lesione rilevabile e sofferenza soggettiva. In quanto disciplina della complessità e della comorbilità, essa accoglie pazienti con quadri polisintomatici in cui la componente ansiosa, depressiva e somatoforme è spesso determinante. Lo Psicologo di Base, mediante la valutazione congiunta con l’internista, riduce la reiterazione di indagini inappropriate e contribuisce alla quota più ampia dei risparmi diretti, quella della specialistica ambulatoriale e della diagnostica strumentale.</w:t>
      </w:r>
    </w:p>
    <w:bookmarkEnd w:id="956"/>
    <w:bookmarkStart w:id="957" w:name="i.17-dermatologia"/>
    <w:p>
      <w:pPr>
        <w:pStyle w:val="Heading4"/>
      </w:pPr>
      <w:r>
        <w:t xml:space="preserve">I.17 · Dermatologia</w:t>
      </w:r>
    </w:p>
    <w:p>
      <w:pPr>
        <w:pStyle w:val="FirstParagraph"/>
      </w:pPr>
      <w:r>
        <w:t xml:space="preserve">La dermatologia figura tra le specialità verso cui si indirizza l’incremento di visite ed esami indotto dai sintomi funzionali, e costituisce il terreno della psicodermatologia, che studia le condizioni cutanee a genesi o decorso psicosomatico e l’impatto psicologico delle dermatosi croniche e visibili. Prurito psicogeno, dermatiti aggravate dallo stress, dismorfofobia e disturbi del comportamento connessi alla cute generano una domanda specialistica in cui la componente psichica è centrale. Lo Psicologo di Base, intercettando questa componente, riduce gli accessi e i trattamenti inappropriati e migliora la qualità della vita di pazienti il cui disagio cutaneo e psicologico si rinforzano reciprocamente.</w:t>
      </w:r>
    </w:p>
    <w:bookmarkEnd w:id="957"/>
    <w:bookmarkStart w:id="958" w:name="i.18-medicina-del-dolore-algologia"/>
    <w:p>
      <w:pPr>
        <w:pStyle w:val="Heading4"/>
      </w:pPr>
      <w:r>
        <w:t xml:space="preserve">I.18 · Medicina del Dolore (Algologia)</w:t>
      </w:r>
    </w:p>
    <w:p>
      <w:pPr>
        <w:pStyle w:val="FirstParagraph"/>
      </w:pPr>
      <w:r>
        <w:t xml:space="preserve">La medicina del dolore è il dominio in cui converge la gestione del dolore cronico non oncologico, condizione in cui la dimensione psicologica è parte costitutiva del quadro e non semplice reazione. I pazienti con dolore cronico diffuso, fibromialgia, lombalgia cronica e cefalee gravitano tra medicina generale, reumatologia, neurologia, medicina del dolore e psichiatria senza una presa in carico integrata, con alto consumo di risorse e bassa soddisfazione clinica. Le linee guida riconoscono gli interventi psicologici come componente del trattamento del dolore cronico. Lo Psicologo di Base può svolgere una funzione di coordinamento e di trattamento della componente affettiva e cognitiva del dolore, riducendo la frammentazione dei percorsi e l’uso inappropriato della terapia farmacologica.</w:t>
      </w:r>
    </w:p>
    <w:bookmarkEnd w:id="958"/>
    <w:bookmarkStart w:id="959" w:name="i.19-neuropsichiatria-infantile"/>
    <w:p>
      <w:pPr>
        <w:pStyle w:val="Heading4"/>
      </w:pPr>
      <w:r>
        <w:t xml:space="preserve">I.19 · Neuropsichiatria Infantile</w:t>
      </w:r>
    </w:p>
    <w:p>
      <w:pPr>
        <w:pStyle w:val="FirstParagraph"/>
      </w:pPr>
      <w:r>
        <w:t xml:space="preserve">La neuropsichiatria infantile è il nodo specialistico verso cui lo Psicologo di Base indirizza i quadri dell’età evolutiva che eccedono la presa in carico di primo livello, e con cui si raccorda nella gestione dei disturbi del neurosviluppo, del comportamento e dell’emotività. La precoce intercettazione del disagio in età evolutiva produce i ritorni più ampi sull’intero arco della vita, poiché incide su un capitale umano in formazione. Il raccordo tra il pediatra di libera scelta, lo psicologo scolastico, lo Psicologo di Base e le strutture di neuropsichiatria infantile configura una rete di presa in carico che evita tanto la medicalizzazione di difficoltà transitorie quanto il ritardo diagnostico dei disturbi che richiedono la competenza specialistica.</w:t>
      </w:r>
    </w:p>
    <w:bookmarkEnd w:id="959"/>
    <w:bookmarkStart w:id="960" w:name="i.20-medicina-delle-dipendenze"/>
    <w:p>
      <w:pPr>
        <w:pStyle w:val="Heading4"/>
      </w:pPr>
      <w:r>
        <w:t xml:space="preserve">I.20 · Medicina delle Dipendenze</w:t>
      </w:r>
    </w:p>
    <w:p>
      <w:pPr>
        <w:pStyle w:val="FirstParagraph"/>
      </w:pPr>
      <w:r>
        <w:t xml:space="preserve">La medicina delle dipendenze presidia un’area in cui il disagio psichico e il consumo di alcol e di sostanze si intrecciano in quadri di doppia diagnosi e in cui il ricorso alle sostanze costituisce spesso una forma disfunzionale di gestione della sofferenza emotiva. Lo Psicologo di Base, intercettando precocemente il disagio comune prima che evolva verso condotte di abuso, e raccordandosi con i servizi specialistici per le dipendenze nei quadri conclamati, esercita una funzione tanto preventiva quanto di filtro. La prossimità e la riduzione dello stigma proprie del primo livello psicologico favoriscono l’emersione precoce di una domanda che il sistema specialistico, per la sua collocazione e per la sua connotazione, intercetta tardivamente.</w:t>
      </w:r>
    </w:p>
    <w:bookmarkEnd w:id="960"/>
    <w:bookmarkStart w:id="961" w:name="Xad5662e514d13b1a11d29dc8391fd5fba189010"/>
    <w:p>
      <w:pPr>
        <w:pStyle w:val="Heading4"/>
      </w:pPr>
      <w:r>
        <w:t xml:space="preserve">I.21 · Scienze Infermieristiche e Infermieristica di Famiglia e di Comunità</w:t>
      </w:r>
    </w:p>
    <w:p>
      <w:pPr>
        <w:pStyle w:val="FirstParagraph"/>
      </w:pPr>
      <w:r>
        <w:t xml:space="preserve">L’infermiere di famiglia e di comunità, figura della cascata della Parte III, esercita la funzione di care manager nei percorsi della cronicità e della fragilità, ed è il presidio di prossimità che assicura la continuità tra i livelli assistenziali. La sua collaborazione con lo Psicologo di Base si realizza nella gestione integrata dei pazienti cronici, nel monitoraggio dell’aderenza e nell’intercettazione del disagio nei contesti domiciliari e comunitari. Le scienze infermieristiche forniscono il sapere organizzativo e relazionale della presa in carico continuativa, e la loro integrazione con la competenza psicologica accresce l’efficacia dei percorsi assistenziali e il valore preventivo dell’azione di comunità.</w:t>
      </w:r>
    </w:p>
    <w:bookmarkEnd w:id="961"/>
    <w:bookmarkEnd w:id="962"/>
    <w:bookmarkEnd w:id="963"/>
    <w:bookmarkStart w:id="986" w:name="X3842d574de004e3276574a59d5eaf7f05f46960"/>
    <w:p>
      <w:pPr>
        <w:pStyle w:val="Heading2"/>
      </w:pPr>
      <w:r>
        <w:t xml:space="preserve">Parte II — Domini a Impatto Sistemico Indiretto</w:t>
      </w:r>
    </w:p>
    <w:p>
      <w:pPr>
        <w:pStyle w:val="FirstParagraph"/>
      </w:pPr>
      <w:r>
        <w:t xml:space="preserve">L’area dell’impatto sistemico indiretto comprende i domini che analizzano le ricadute della riforma su sistemi non strettamente clinici, ma strutturalmente rilevanti per la salute mentale della popolazione. In essi la connessione con lo Psicologo di Base è mediata e differita, e la quantificazione, ove possibile, è condotta con la massima cautela e con espressa dichiarazione dei limiti, evitando di attribuire alla riforma effetti che la letteratura non consente di misurare. Ai quattordici domini fondativi si aggiungono quattro ulteriori discipline, evocate nel corpus dell’opera come componenti dell’architettura valutativa o come ambiti presidiati dalle figure educative e sociali della cascata.</w:t>
      </w:r>
    </w:p>
    <w:bookmarkStart w:id="980" w:name="Xece09e91d096edeb86f18bb54352b5ec478dce5"/>
    <w:p>
      <w:pPr>
        <w:pStyle w:val="Heading3"/>
      </w:pPr>
      <w:r>
        <w:t xml:space="preserve">II.A — Nucleo disciplinare fondativo (14 domini)</w:t>
      </w:r>
    </w:p>
    <w:bookmarkStart w:id="965" w:name="X41316284fe337244b6c18f59f3a7a8b07678230"/>
    <w:p>
      <w:pPr>
        <w:pStyle w:val="Heading4"/>
      </w:pPr>
      <w:r>
        <w:t xml:space="preserve">II.1 · Economia del Lavoro e Medicina Occupazionale</w:t>
      </w:r>
    </w:p>
    <w:p>
      <w:pPr>
        <w:pStyle w:val="FirstParagraph"/>
      </w:pPr>
      <w:r>
        <w:t xml:space="preserve">Il costo dei disturbi mentali per i sistemi produttivi europei è stimato nell’ordine del quattro per cento del prodotto interno lordo, cifra che in Italia corrisponde a circa settantacinque-ottanta miliardi l’anno; la perdita di produttività — assenteismo e, soprattutto, presenteismo, sistematicamente sottostimato perché non genera segnalazione formale — ne rappresenta la componente dominante, dell’ordine del sessanta per cento. In Puglia il dato occupazionale amplifica queste implicazioni: a fronte di un tasso di disoccupazione strutturalmente superiore al quindici per cento, con punte oltre il venticinque nelle province di Foggia e Taranto, la relazione tra salute mentale e occupazione è bidirezionalmente negativa. Lo Psicologo di Base, riducendo durata e gravità degli episodi, sostiene la capacità lavorativa e contiene la perdita di produttività.</w:t>
      </w:r>
      <w:r>
        <w:rPr>
          <w:rStyle w:val="FootnoteReference"/>
        </w:rPr>
        <w:footnoteReference w:id="399"/>
      </w:r>
    </w:p>
    <w:bookmarkEnd w:id="965"/>
    <w:bookmarkStart w:id="966" w:name="ii.2-psicologia-scolastica"/>
    <w:p>
      <w:pPr>
        <w:pStyle w:val="Heading4"/>
      </w:pPr>
      <w:r>
        <w:t xml:space="preserve">II.2 · Psicologia Scolastica</w:t>
      </w:r>
    </w:p>
    <w:p>
      <w:pPr>
        <w:pStyle w:val="FirstParagraph"/>
      </w:pPr>
      <w:r>
        <w:t xml:space="preserve">Il disagio in età evolutiva incide su un capitale umano in formazione e si lega alla dispersione scolastica, all’abbandono e al calo del rendimento, esiti le cui conseguenze, se il disturbo non è intercettato, si protraggono per l’intera vita. La scuola è, per la popolazione dei minori, il contesto di osservazione privilegiato del benessere e della sofferenza, e lo psicologo scolastico ne costituisce il corrispondente educativo dello Psicologo di Base. Il raccordo tra le figure scolastiche e il primo livello delle cure primarie, mediato dal pediatra di libera scelta, consente di indirizzare verso la presa in carico sanitaria i casi che la richiedono, evitando la medicalizzazione di difficoltà che possono trovare risposta nel contesto educativo. La connessione con la riforma è indiretta e differita, ma di valore considerevole.</w:t>
      </w:r>
    </w:p>
    <w:bookmarkEnd w:id="966"/>
    <w:bookmarkStart w:id="967" w:name="ii.3-criminologia"/>
    <w:p>
      <w:pPr>
        <w:pStyle w:val="Heading4"/>
      </w:pPr>
      <w:r>
        <w:t xml:space="preserve">II.3 · Criminologia</w:t>
      </w:r>
    </w:p>
    <w:p>
      <w:pPr>
        <w:pStyle w:val="FirstParagraph"/>
      </w:pPr>
      <w:r>
        <w:t xml:space="preserve">La relazione tra disagio psichico non trattato e contatto con il sistema giudiziario, ove esista, è indiretta e mediata da fattori quali l’abbandono, l’esclusione sociale e la concomitanza di altri fattori di disagio, e riguarda prevalentemente i disturbi gravi non presi in carico. Il dominio non misura un nesso tra disturbo e devianza, bensì il valore della cura nel prevenire l’abbandono da cui un contatto penale può trarre origine in una frazione piccola e mediata di situazioni. I dati relativi alla presenza di persone con disturbi psichici nel circuito penale e all’efficacia dei percorsi di diversione verso la cura vanno trattati con cautela e nel rispetto della dignità delle persone, e la loro lettura resta vincolata alla corretta interpretazione del dominio.</w:t>
      </w:r>
    </w:p>
    <w:bookmarkEnd w:id="967"/>
    <w:bookmarkStart w:id="968" w:name="ii.4-sociologia-del-welfare"/>
    <w:p>
      <w:pPr>
        <w:pStyle w:val="Heading4"/>
      </w:pPr>
      <w:r>
        <w:t xml:space="preserve">II.4 · Sociologia del Welfare</w:t>
      </w:r>
    </w:p>
    <w:p>
      <w:pPr>
        <w:pStyle w:val="FirstParagraph"/>
      </w:pPr>
      <w:r>
        <w:t xml:space="preserve">La sociologia del welfare studia la domanda di sussidi, indennità e prestazioni assistenziali generata dal disagio psichico non curato e dalle sue conseguenze sull’esclusione economica e sociale. Riducendo la cronicizzazione del disturbo e l’esclusione che ne deriva, lo Psicologo di Base incide sulla spesa welfaristica, che il dominio tiene distinta dalla spesa previdenziale, propria del sistema delle inabilità, e dall’assistenza informale, propria del carico dei familiari. La distinzione tra queste componenti è essenziale per la regola di non duplicazione, che impedisce di contabilizzare lo stesso risparmio sotto più voci del perimetro integrale.</w:t>
      </w:r>
    </w:p>
    <w:bookmarkEnd w:id="968"/>
    <w:bookmarkStart w:id="969" w:name="ii.5-diritto-sanitario"/>
    <w:p>
      <w:pPr>
        <w:pStyle w:val="Heading4"/>
      </w:pPr>
      <w:r>
        <w:t xml:space="preserve">II.5 · Diritto Sanitario</w:t>
      </w:r>
    </w:p>
    <w:p>
      <w:pPr>
        <w:pStyle w:val="FirstParagraph"/>
      </w:pPr>
      <w:r>
        <w:t xml:space="preserve">Il diritto sanitario fornisce la cornice di legittimità della riforma: il diritto costituzionale alla salute, la disciplina dei livelli essenziali di assistenza e la legge regionale che istituisce il Servizio di Psicologia di Base. Esso governa inoltre il regime della responsabilità clinica, che resta in capo al medico e allo psicologo, la protezione dei dati personali e la governance dell’Intelligenza Artificiale, secondo il quadro regolatorio europeo e le garanzie di marcatura, supervisione umana e validazione periodica dei dispositivi. È la disciplina che assicura la difendibilità costituzionale e amministrativa dell’intervento e la sua conformità ai principi dell’ordinamento.</w:t>
      </w:r>
    </w:p>
    <w:bookmarkEnd w:id="969"/>
    <w:bookmarkStart w:id="970" w:name="X489b2a5929e2ef17f48e04907772e70bd21bab4"/>
    <w:p>
      <w:pPr>
        <w:pStyle w:val="Heading4"/>
      </w:pPr>
      <w:r>
        <w:t xml:space="preserve">II.6 · Informatica Biomedica e Intelligenza Artificiale</w:t>
      </w:r>
    </w:p>
    <w:p>
      <w:pPr>
        <w:pStyle w:val="FirstParagraph"/>
      </w:pPr>
      <w:r>
        <w:t xml:space="preserve">L’informatica biomedica e l’Intelligenza Artificiale sono trattate come leva abilitante lungo l’intero continuum assistenziale — diagnostica e triage, stratificazione del rischio, dispositivi terapeutici digitali e terapia cognitivo-comportamentale erogata per via telematica, monitoraggio remoto — e mai come soggetto autonomo di valore. La maturità tecnologica è stratificata: massima negli ambiti diagnostici e di analisi delle immagini, ancora preliminare nelle applicazioni alla salute mentale, in coerenza con il panorama regolatorio e brevettuale. Il principio che governa il dominio è che il ritorno economico della tecnologia è funzione crescente della profondità di adozione, e che la profondità di adozione è governata dalla competenza, costruita dalla formazione, e subordinata alla supervisione clinica e alla governance prudenziale.</w:t>
      </w:r>
    </w:p>
    <w:bookmarkEnd w:id="970"/>
    <w:bookmarkStart w:id="972" w:name="ii.7-biostatistica"/>
    <w:p>
      <w:pPr>
        <w:pStyle w:val="Heading4"/>
      </w:pPr>
      <w:r>
        <w:t xml:space="preserve">II.7 · Biostatistica</w:t>
      </w:r>
    </w:p>
    <w:p>
      <w:pPr>
        <w:pStyle w:val="FirstParagraph"/>
      </w:pPr>
      <w:r>
        <w:t xml:space="preserve">La biostatistica fornisce gli strumenti di misura, inferenza e graduazione dell’evidenza che fondano il rigore dell’intera opera: la stima per intervalli di confidenza, la valutazione della significatività, l’applicazione del sistema GRADE alla certezza delle prove e l’enunciazione delle proiezioni in forma di banda falsificabile. La rete diffusa del primo livello psicologico genera, inoltre, una mole di dati sulla salute mentale di popolazione altrimenti non disponibile, che il sistema specialistico, concentrato sui casi gravi, non produce. La disciplina è perciò ad un tempo condizione del rigore metodologico e infrastruttura della conoscenza epidemiologica su cui la programmazione e il monitoraggio regionale potranno fondarsi.</w:t>
      </w:r>
      <w:r>
        <w:rPr>
          <w:rStyle w:val="FootnoteReference"/>
        </w:rPr>
        <w:footnoteReference w:id="400"/>
      </w:r>
    </w:p>
    <w:bookmarkEnd w:id="972"/>
    <w:bookmarkStart w:id="973" w:name="ii.8-urbanistica-ed-edilizia-sociale"/>
    <w:p>
      <w:pPr>
        <w:pStyle w:val="Heading4"/>
      </w:pPr>
      <w:r>
        <w:t xml:space="preserve">II.8 · Urbanistica ed Edilizia Sociale</w:t>
      </w:r>
    </w:p>
    <w:p>
      <w:pPr>
        <w:pStyle w:val="FirstParagraph"/>
      </w:pPr>
      <w:r>
        <w:t xml:space="preserve">L’urbanistica e l’edilizia sociale studiano l’ambiente costruito come determinante della salute mentale: la densità abitativa, la disponibilità di spazi verdi, la coesione di quartiere, l’esposizione all’inquinamento e la qualità dello spazio pubblico incidono documentatamente sul benessere psichico. Le periferie pugliesi — i quartieri di Bari, il rione Tamburi a Taranto, le aree marginali di Foggia — concentrano vulnerabilità socioeconomica e quote di giovani che non studiano e non lavorano superiori al trenta per cento. Lo Psicologo di Base territoriale, collocato nelle Case della Comunità di prossimità, opera su questi determinanti contestuali, raggiungendo popolazioni che la collocazione tradizionale dei servizi specialistici esclude di fatto dall’accesso.</w:t>
      </w:r>
    </w:p>
    <w:bookmarkEnd w:id="973"/>
    <w:bookmarkStart w:id="974" w:name="ii.9-economia-politica"/>
    <w:p>
      <w:pPr>
        <w:pStyle w:val="Heading4"/>
      </w:pPr>
      <w:r>
        <w:t xml:space="preserve">II.9 · Economia Politica</w:t>
      </w:r>
    </w:p>
    <w:p>
      <w:pPr>
        <w:pStyle w:val="FirstParagraph"/>
      </w:pPr>
      <w:r>
        <w:t xml:space="preserve">L’economia politica colloca la salute mentale tra i determinanti dello sviluppo regionale e della finanza pubblica, e legge il sotto-investimento nella prevenzione come una scelta allocativa dalle conseguenze misurabili. In questa prospettiva, lo Psicologo di Base non è una voce di spesa ma un investimento con ritorno sui bilanci regionali, sulla produttività del lavoro e sulla coesione sociale. Il dominio fornisce la cornice macroeconomica entro cui le grandezze settoriali si ricompongono, e fonda l’argomento secondo cui la sostenibilità della riforma va valutata non sul costo immediato, ma sul saldo netto di lungo periodo tra l’investimento iniziale e i risparmi e i ritorni che esso genera lungo la catena dei domini.</w:t>
      </w:r>
    </w:p>
    <w:bookmarkEnd w:id="974"/>
    <w:bookmarkStart w:id="975" w:name="ii.10-filosofia-della-medicina"/>
    <w:p>
      <w:pPr>
        <w:pStyle w:val="Heading4"/>
      </w:pPr>
      <w:r>
        <w:t xml:space="preserve">II.10 · Filosofia della Medicina</w:t>
      </w:r>
    </w:p>
    <w:p>
      <w:pPr>
        <w:pStyle w:val="FirstParagraph"/>
      </w:pPr>
      <w:r>
        <w:t xml:space="preserve">La filosofia della medicina fonda il modello bio-psico-sociale contro il riduzionismo biomedico, e legittima la dimensione psicologica come parte costitutiva della cura e non come suo accessorio. Essa orienta i criteri di appropriatezza, la definizione dei fini del sistema sanitario e la concezione stessa della salute come benessere integrato e non come mera assenza di malattia. In quanto disciplina dei fondamenti, essa giustifica la collocazione strutturale dello psicologo nelle cure primarie come conseguenza coerente di una concezione della medicina che riconosce l’unità della persona, e fornisce all’intera riforma la sua razionale antropologica ed epistemologica.</w:t>
      </w:r>
    </w:p>
    <w:bookmarkEnd w:id="975"/>
    <w:bookmarkStart w:id="976" w:name="ii.11-comunicazione-sanitaria"/>
    <w:p>
      <w:pPr>
        <w:pStyle w:val="Heading4"/>
      </w:pPr>
      <w:r>
        <w:t xml:space="preserve">II.11 · Comunicazione Sanitaria</w:t>
      </w:r>
    </w:p>
    <w:p>
      <w:pPr>
        <w:pStyle w:val="FirstParagraph"/>
      </w:pPr>
      <w:r>
        <w:t xml:space="preserve">La comunicazione sanitaria presidia l’alfabetizzazione psicologica, la destigmatizzazione, la qualità della relazione terapeutica e l’aderenza ai percorsi di cura. Lo stigma, sociale e interiorizzato, costituisce una barriera documentata all’accesso alle cure per la salute mentale e ritarda la richiesta di aiuto; la prossimità e la diffusione capillare del primo livello psicologico esercitano un effetto di normalizzazione che riduce questo ritardo. Lo Psicologo di Base, rendendo ordinario il ricorso alla cura psicologica nel contesto delle cure primarie, accresce l’alfabetizzazione psicologica della popolazione e migliora la comunicazione clinica, con effetti sull’emersione precoce del bisogno e sull’efficacia complessiva del sistema.</w:t>
      </w:r>
    </w:p>
    <w:bookmarkEnd w:id="976"/>
    <w:bookmarkStart w:id="977" w:name="ii.12-medicina-di-genere"/>
    <w:p>
      <w:pPr>
        <w:pStyle w:val="Heading4"/>
      </w:pPr>
      <w:r>
        <w:t xml:space="preserve">II.12 · Medicina di Genere</w:t>
      </w:r>
    </w:p>
    <w:p>
      <w:pPr>
        <w:pStyle w:val="FirstParagraph"/>
      </w:pPr>
      <w:r>
        <w:t xml:space="preserve">La medicina di genere studia le differenze di genere nell’espressione, nel riconoscimento e nel trattamento del disagio psichico: la sotto-diagnosi maschile, connessa alle norme di genere e associata a un maggiore rischio suicidario; la specificità della salute mentale femminile, segnatamente nel periodo perinatale; e lo stress da minoranza che grava sulla popolazione con orientamento sessuale e identità di genere non conformi. Lo Psicologo di Base, dotato di competenze culturalmente e relazionalmente adeguate, può adattare l’intercettazione e l’intervento a queste differenze, correggendo le disuguaglianze di accesso e di esito che una risposta indifferenziata tenderebbe a riprodurre.</w:t>
      </w:r>
    </w:p>
    <w:bookmarkEnd w:id="977"/>
    <w:bookmarkStart w:id="978" w:name="Xc62b511ab665e397200dc94ebf9761b521619eb"/>
    <w:p>
      <w:pPr>
        <w:pStyle w:val="Heading4"/>
      </w:pPr>
      <w:r>
        <w:t xml:space="preserve">II.13 · Antropologia Medica ed Etnopsichiatria</w:t>
      </w:r>
    </w:p>
    <w:p>
      <w:pPr>
        <w:pStyle w:val="FirstParagraph"/>
      </w:pPr>
      <w:r>
        <w:t xml:space="preserve">L’antropologia medica e l’etnopsichiatria studiano la variabilità culturale nell’espressione del disagio e forniscono gli strumenti, tra cui le interviste di formulazione culturale del manuale diagnostico, per una valutazione che eviti tanto l’universalismo ingenuo quanto il relativismo estremo. In Puglia, contesto di crescente multietnicità e depositario di una tradizione di studi sui fenomeni culturali del disagio, il dominio assume un rilievo particolare. Lo Psicologo di Base, collocato nella comunità, è in posizione privilegiata per cogliere le forme culturalmente connotate della sofferenza e per evitare gli errori diagnostici che derivano dall’applicazione acritica di categorie nosografiche a quadri la cui espressione è mediata dal contesto culturale.</w:t>
      </w:r>
    </w:p>
    <w:bookmarkEnd w:id="978"/>
    <w:bookmarkStart w:id="979" w:name="ii.14-riabilitazione"/>
    <w:p>
      <w:pPr>
        <w:pStyle w:val="Heading4"/>
      </w:pPr>
      <w:r>
        <w:t xml:space="preserve">II.14 · Riabilitazione</w:t>
      </w:r>
    </w:p>
    <w:p>
      <w:pPr>
        <w:pStyle w:val="FirstParagraph"/>
      </w:pPr>
      <w:r>
        <w:t xml:space="preserve">La riabilitazione integra la dimensione psicologica nel percorso di recupero funzionale, ove la motivazione, l’aderenza, la gestione del dolore cronico e l’elaborazione della perdita di funzione incidono direttamente sull’esito. Il logopedista e il terapista della riabilitazione, figure della cascata della Parte III, presidiano gli esiti del neurosviluppo e delle patologie neurologiche, e la loro azione si salda alla competenza psicologica nei percorsi in cui il recupero dipende anche dalla tenuta emotiva del paziente. Lo Psicologo di Base, integrato nel percorso riabilitativo, chiude il continuum che va dalla diagnostica alla prevenzione, al trattamento, alla riabilitazione e al recupero, assicurandone la coerenza sul piano psicologico.</w:t>
      </w:r>
    </w:p>
    <w:bookmarkEnd w:id="979"/>
    <w:bookmarkEnd w:id="980"/>
    <w:bookmarkStart w:id="985" w:name="X88603a867fd222b06dc590fa533976de773f8ac"/>
    <w:p>
      <w:pPr>
        <w:pStyle w:val="Heading3"/>
      </w:pPr>
      <w:r>
        <w:t xml:space="preserve">II.B — Ampliamento: ulteriori discipline sistemiche (4 domini)</w:t>
      </w:r>
    </w:p>
    <w:p>
      <w:pPr>
        <w:pStyle w:val="FirstParagraph"/>
      </w:pPr>
      <w:r>
        <w:t xml:space="preserve">Le quattro discipline che seguono completano l’area sistemica con i saperi della valutazione, dell’educazione, dell’etica e del lavoro sociale, evocati nel corpus dell’opera come componenti dell’architettura metodologica o come ambiti presidiati dalle figure educative e sociali della cascata.</w:t>
      </w:r>
    </w:p>
    <w:bookmarkStart w:id="981" w:name="ii.15-pedagogia"/>
    <w:p>
      <w:pPr>
        <w:pStyle w:val="Heading4"/>
      </w:pPr>
      <w:r>
        <w:t xml:space="preserve">II.15 · Pedagogia</w:t>
      </w:r>
    </w:p>
    <w:p>
      <w:pPr>
        <w:pStyle w:val="FirstParagraph"/>
      </w:pPr>
      <w:r>
        <w:t xml:space="preserve">La pedagogia, distinta dalla psicologia scolastica con cui si raccorda, presidia il dominio pedagogico e scolastico dell’opera nella sua dimensione propriamente educativa e formativa. Essa studia le condizioni dell’apprendimento e dello sviluppo e fornisce gli strumenti con cui la scuola, oltre a osservare il disagio, ne previene gli esiti sul piano del rendimento e della dispersione. Il raccordo tra il corpo docente, la dirigenza scolastica, lo psicologo scolastico e lo Psicologo di Base configura una rete educativo-sanitaria di prossimità, nella quale la competenza pedagogica traduce l’intercettazione precoce del disagio in interventi sostenibili nel contesto dell’apprendimento.</w:t>
      </w:r>
    </w:p>
    <w:bookmarkEnd w:id="981"/>
    <w:bookmarkStart w:id="982" w:name="X5480aafb42c0e2815fa6d86ec968c91db8e765e"/>
    <w:p>
      <w:pPr>
        <w:pStyle w:val="Heading4"/>
      </w:pPr>
      <w:r>
        <w:t xml:space="preserve">II.16 · Scienza della Valutazione delle Politiche Pubbliche</w:t>
      </w:r>
    </w:p>
    <w:p>
      <w:pPr>
        <w:pStyle w:val="FirstParagraph"/>
      </w:pPr>
      <w:r>
        <w:t xml:space="preserve">La scienza della valutazione delle politiche pubbliche è esplicitamente annoverata, nell’architettura metodologica dell’opera, tra le discipline alla cui intersezione si colloca la valutazione di una politica complessa come l’introduzione strutturale dello psicologo nelle cure primarie. Essa fornisce gli strumenti dell’analisi controfattuale, della valutazione ex ante ed ex post e dell’inferenza causale che fondano la trasformazione delle stime in prove sui dati regionali. Il dispiegamento scaglionato del servizio tra le sei aziende sanitarie è disegnato proprio per consentire la misurazione dell’effetto reale dell’intervento, ed è la disciplina della valutazione a governarne il disegno e l’interpretazione.</w:t>
      </w:r>
    </w:p>
    <w:bookmarkEnd w:id="982"/>
    <w:bookmarkStart w:id="983" w:name="ii.17-bioetica"/>
    <w:p>
      <w:pPr>
        <w:pStyle w:val="Heading4"/>
      </w:pPr>
      <w:r>
        <w:t xml:space="preserve">II.17 · Bioetica</w:t>
      </w:r>
    </w:p>
    <w:p>
      <w:pPr>
        <w:pStyle w:val="FirstParagraph"/>
      </w:pPr>
      <w:r>
        <w:t xml:space="preserve">La bioetica presidia i profili etici della riforma — l’equità di accesso, l’autonomia della persona e la tutela del consenso — che la valutazione di tecnologia sanitaria colloca tra le dimensioni proprie del giudizio. Essa governa il consenso informato dei partecipanti alla rilevazione, la pubblicazione degli esiti indipendentemente dal loro segno a garanzia contro la distorsione da selezione dei risultati favorevoli, e i criteri etici della governance dell’Intelligenza Artificiale, dalla trasparenza alla non discriminazione. In quanto disciplina dei valori, essa assicura che l’efficienza e la sostenibilità non si conseguano a scapito dei diritti e della dignità delle persone, e fonda la legittimità morale dell’intervento.</w:t>
      </w:r>
    </w:p>
    <w:bookmarkEnd w:id="983"/>
    <w:bookmarkStart w:id="984" w:name="ii.18-servizio-sociale"/>
    <w:p>
      <w:pPr>
        <w:pStyle w:val="Heading4"/>
      </w:pPr>
      <w:r>
        <w:t xml:space="preserve">II.18 · Servizio Sociale</w:t>
      </w:r>
    </w:p>
    <w:p>
      <w:pPr>
        <w:pStyle w:val="FirstParagraph"/>
      </w:pPr>
      <w:r>
        <w:t xml:space="preserve">Il servizio sociale, di cui l’assistente sociale territoriale è la figura propria nella cascata della Parte III, presidia il raccordo tra la dimensione sanitaria e la dimensione sociale del disagio, intercettando i determinanti materiali — la povertà, l’isolamento, la precarietà abitativa e relazionale — che ne aggravano l’espressione e ne ostacolano la cura. La collaborazione tra l’assistente sociale e lo Psicologo di Base configura una presa in carico integrata che agisce ad un tempo sul piano psicologico e su quello delle condizioni di vita, e che incide sui domini assistenzialistico e welfaristico riducendo l’esclusione e sostenendo l’inclusione sociale delle persone con disagio psichico.</w:t>
      </w:r>
    </w:p>
    <w:bookmarkEnd w:id="984"/>
    <w:bookmarkEnd w:id="985"/>
    <w:bookmarkEnd w:id="986"/>
    <w:bookmarkStart w:id="1000" w:name="X96c2448af9952e9a6c24b089de47a5aedcd76e9"/>
    <w:p>
      <w:pPr>
        <w:pStyle w:val="Heading2"/>
      </w:pPr>
      <w:r>
        <w:t xml:space="preserve">Parte III — Il Perimetro di Impatto Economico-Sociale (ampliamento integrale)</w:t>
      </w:r>
    </w:p>
    <w:p>
      <w:pPr>
        <w:pStyle w:val="FirstParagraph"/>
      </w:pPr>
      <w:r>
        <w:t xml:space="preserve">Quest’area adotta la lente di impatto economico-sociale propria della Parte IX e della Parte I, e raccoglie gli undici domini del perimetro multidisciplinare integrale che non sono già rappresentati come discipline nelle due aree precedenti. Essi non descrivono nuove specialità, ma i sistemi sui quali la riforma produce un valore, e in larga parte rileggono, sotto la lente del valore, effetti che le discipline producono. Per questa ragione la regola di non duplicazione governa con particolare rigore questa area: lo stesso risparmio non è attribuito due volte, e ciascun dominio è quantificato soltanto nella sua componente residua non già contabilizzata altrove, ovvero riconosciuto nella sua dimensione qualitativa, ove prevalente, senza monetizzazione.</w:t>
      </w:r>
      <w:r>
        <w:rPr>
          <w:rStyle w:val="FootnoteReference"/>
        </w:rPr>
        <w:footnoteReference w:id="401"/>
      </w:r>
    </w:p>
    <w:bookmarkStart w:id="988" w:name="iii.1-pensionistico-e-previdenziale"/>
    <w:p>
      <w:pPr>
        <w:pStyle w:val="Heading4"/>
      </w:pPr>
      <w:r>
        <w:t xml:space="preserve">III.1 · Pensionistico e Previdenziale</w:t>
      </w:r>
    </w:p>
    <w:p>
      <w:pPr>
        <w:pStyle w:val="FirstParagraph"/>
      </w:pPr>
      <w:r>
        <w:t xml:space="preserve">Il dominio previdenziale considera la quota di invalidità, inabilità e pensionamenti anticipati determinata da cause psichiche, e il valore che la presa in carico precoce produce nel ridurla. La connessione con lo Psicologo di Base è indiretta e differita: contenendo la cronicizzazione e la disabilità che da essa deriva, l’intervento incide sul flusso delle prestazioni di invalidità erogate dal sistema previdenziale. Il dominio estende, sul versante previdenziale, il dominio dell’economia del lavoro, da cui va tenuto distinto per evitare la duplicazione del medesimo effetto sotto la voce della perdita di produttività e sotto quella della spesa previdenziale.</w:t>
      </w:r>
    </w:p>
    <w:bookmarkEnd w:id="988"/>
    <w:bookmarkStart w:id="989" w:name="iii.2-produttivistico"/>
    <w:p>
      <w:pPr>
        <w:pStyle w:val="Heading4"/>
      </w:pPr>
      <w:r>
        <w:t xml:space="preserve">III.2 · Produttivistico</w:t>
      </w:r>
    </w:p>
    <w:p>
      <w:pPr>
        <w:pStyle w:val="FirstParagraph"/>
      </w:pPr>
      <w:r>
        <w:t xml:space="preserve">Il dominio produttivistico misura il prodotto perduto, le giornate di lavoro perse e l’erosione del capitale umano determinate dalla cattiva salute mentale. Esso si distingue dal dominio lavorativo, che ne coglie la manifestazione in termini di assenteismo e presenteismo, e ne rappresenta la traduzione in termini di output economico aggregato. La connessione con lo Psicologo di Base è indiretta: riducendo la durata e la gravità degli episodi, l’intervento recupera quote di produttività e di capacità lavorativa. Il dominio è quantificato nella sola componente non già colta dal dominio lavorativo, secondo la regola di non duplicazione.</w:t>
      </w:r>
    </w:p>
    <w:bookmarkEnd w:id="989"/>
    <w:bookmarkStart w:id="990" w:name="iii.3-assistenzialistico"/>
    <w:p>
      <w:pPr>
        <w:pStyle w:val="Heading4"/>
      </w:pPr>
      <w:r>
        <w:t xml:space="preserve">III.3 · Assistenzialistico</w:t>
      </w:r>
    </w:p>
    <w:p>
      <w:pPr>
        <w:pStyle w:val="FirstParagraph"/>
      </w:pPr>
      <w:r>
        <w:t xml:space="preserve">Il dominio assistenzialistico considera il carico dei caregiver e dell’assistenza informale che grava sulle famiglie delle persone con disagio psichico non adeguatamente preso in carico. Si tratta di un costo prevalentemente non monetario, sostenuto in termini di tempo, di salute e di opportunità perdute dai familiari, che la presa in carico professionale di prossimità allevia. La connessione con lo Psicologo di Base è indiretta, e il valore del dominio risiede nella riduzione del carico assistenziale informale, distinto dalla spesa assistenziale formale del welfare e riconosciuto in larga parte nella sua dimensione qualitativa.</w:t>
      </w:r>
    </w:p>
    <w:bookmarkEnd w:id="990"/>
    <w:bookmarkStart w:id="991" w:name="iii.4-prevenzionalistico"/>
    <w:p>
      <w:pPr>
        <w:pStyle w:val="Heading4"/>
      </w:pPr>
      <w:r>
        <w:t xml:space="preserve">III.4 · Prevenzionalistico</w:t>
      </w:r>
    </w:p>
    <w:p>
      <w:pPr>
        <w:pStyle w:val="FirstParagraph"/>
      </w:pPr>
      <w:r>
        <w:t xml:space="preserve">Il dominio prevenzionalistico misura le ricadute e le cronicizzazioni evitate dall’intercettazione precoce del disagio, ed è il dominio in cui la logica della prevenzione secondaria, propria dell’intero modello, si fa oggetto di valutazione. Esso attraversa trasversalmente le discipline cliniche, e ne coglie l’effetto comune di evitare l’evoluzione del disturbo lieve verso forme gravi e croniche. La connessione con lo Psicologo di Base è diretta sul piano del meccanismo, ma differita nei suoi effetti economici, che si manifestano nel tempo come minore incidenza di acuzie, di ricoveri e di disabilità, e che il dominio quantifica con la cautela imposta dalla natura prospettica della prevenzione.</w:t>
      </w:r>
    </w:p>
    <w:bookmarkEnd w:id="991"/>
    <w:bookmarkStart w:id="992" w:name="iii.5-burocratico-e-amministrativo"/>
    <w:p>
      <w:pPr>
        <w:pStyle w:val="Heading4"/>
      </w:pPr>
      <w:r>
        <w:t xml:space="preserve">III.5 · Burocratico e Amministrativo</w:t>
      </w:r>
    </w:p>
    <w:p>
      <w:pPr>
        <w:pStyle w:val="FirstParagraph"/>
      </w:pPr>
      <w:r>
        <w:t xml:space="preserve">Il dominio burocratico considera l’efficienza del processo amministrativo — il costo del tempo dedicato agli adempimenti e alla gestione di una presa in carico frammentata — distinto dal costo sostanziale delle prestazioni, già colto dagli altri domini. La distinzione tra costo del processo e costo della prestazione garantisce la non duplicazione. Un primo livello psicologico integrato semplifica i percorsi e riduce la dispersione amministrativa generata dalla reiterazione di accessi, invii ed esami. La graduazione del dominio è intermedia per l’effetto organizzativo di semplificazione e più incerta per la sua quantificazione economica, che dipende dalla misurazione del tempo amministrativo risparmiato.</w:t>
      </w:r>
    </w:p>
    <w:bookmarkEnd w:id="992"/>
    <w:bookmarkStart w:id="993" w:name="X07c03d6a25ac332e51df493c2f4fdd3cdcd3321"/>
    <w:p>
      <w:pPr>
        <w:pStyle w:val="Heading4"/>
      </w:pPr>
      <w:r>
        <w:t xml:space="preserve">III.6 · Accademico, della Ricerca e dell’Innovazione</w:t>
      </w:r>
    </w:p>
    <w:p>
      <w:pPr>
        <w:pStyle w:val="FirstParagraph"/>
      </w:pPr>
      <w:r>
        <w:t xml:space="preserve">Il dominio accademico riconosce il valore che la riforma genera come infrastruttura di conoscenza e di innovazione: la generazione di evidenza e di dati sulla salute mentale di popolazione che la rete diffusa rende possibile, l’innovazione nei modelli e negli strumenti che essa stimola e la formazione di ricercatori e di competenze che essa alimenta. Questo valore è in larga parte qualitativo e di lungo periodo: il dominio quantifica con grande prudenza la sola componente residua monetizzabile, quella della generazione di evidenza nella sua quota traducibile in termini economici, e riconosce le componenti dell’innovazione e della formazione nella loro dimensione qualitativa, senza monetizzarle.</w:t>
      </w:r>
    </w:p>
    <w:bookmarkEnd w:id="993"/>
    <w:bookmarkStart w:id="994" w:name="X915f0d018f19538b550eb48e28fa425edca69dc"/>
    <w:p>
      <w:pPr>
        <w:pStyle w:val="Heading4"/>
      </w:pPr>
      <w:r>
        <w:t xml:space="preserve">III.7 · Industriale e della Salute Organizzativa</w:t>
      </w:r>
    </w:p>
    <w:p>
      <w:pPr>
        <w:pStyle w:val="FirstParagraph"/>
      </w:pPr>
      <w:r>
        <w:t xml:space="preserve">Il dominio industriale considera la salute organizzativa delle imprese e il rischio psicosociale connesso all’organizzazione del lavoro, e il valore che la salute mentale della forza lavoro produce sulla produttività e sulla competitività del sistema economico regionale. La connessione con lo Psicologo di Base è indiretta e mediata dal miglioramento dello stato psichico dei lavoratori e dalla riduzione degli esiti del disagio sul rendimento. Il dominio si raccorda al dominio lavorativo e a quello sindacale, e ne rappresenta la prospettiva propria del sistema produttivo, da cui va tenuto distinto per evitare la sovrapposizione dei medesimi effetti.</w:t>
      </w:r>
    </w:p>
    <w:bookmarkEnd w:id="994"/>
    <w:bookmarkStart w:id="995" w:name="X6bead57e11627b9ed448312c2cbbf65e7b9e1b6"/>
    <w:p>
      <w:pPr>
        <w:pStyle w:val="Heading4"/>
      </w:pPr>
      <w:r>
        <w:t xml:space="preserve">III.8 · Sindacale e della Tutela dei Lavoratori</w:t>
      </w:r>
    </w:p>
    <w:p>
      <w:pPr>
        <w:pStyle w:val="FirstParagraph"/>
      </w:pPr>
      <w:r>
        <w:t xml:space="preserve">Il dominio sindacale considera la prevenzione del rischio psicosociale e la tutela della salute mentale dei lavoratori nella prospettiva della rappresentanza e della contrattazione. Esso riconosce il ruolo delle organizzazioni sindacali, annoverate tra gli attori extra-sanitari della cascata, nella promozione di ambienti di lavoro sani e nella valorizzazione della salute psichica come componente della tutela del lavoro. La connessione con lo Psicologo di Base è indiretta e di natura prevalentemente istituzionale, e il valore del dominio risiede nel contributo alla prevenzione del disagio di origine lavorativa e alla legittimazione sociale della cura della salute mentale come diritto del lavoratore.</w:t>
      </w:r>
    </w:p>
    <w:bookmarkEnd w:id="995"/>
    <w:bookmarkStart w:id="996" w:name="iii.9-sociale-e-del-capitale-sociale"/>
    <w:p>
      <w:pPr>
        <w:pStyle w:val="Heading4"/>
      </w:pPr>
      <w:r>
        <w:t xml:space="preserve">III.9 · Sociale e del Capitale Sociale</w:t>
      </w:r>
    </w:p>
    <w:p>
      <w:pPr>
        <w:pStyle w:val="FirstParagraph"/>
      </w:pPr>
      <w:r>
        <w:t xml:space="preserve">Il dominio sociale considera l’erosione del capitale sociale e dei legami di comunità determinata dal disagio psichico diffuso, e il valore che la sua cura produce sulla coesione e sulla fiducia sociale. Si tratta di un valore a prevalente natura qualitativa, che il dominio riconosce senza ridurlo a una cifra, evitando di attribuire una falsa precisione numerica a un bene immateriale. La diffusione capillare di un presidio psicologico di prossimità, raggiungendo le comunità nei loro contesti di vita, sostiene la trama dei legami sociali e contrasta l’isolamento, con un effetto sulla coesione che il dominio valuta nella sua dimensione propria, distinta da quella economica.</w:t>
      </w:r>
    </w:p>
    <w:bookmarkEnd w:id="996"/>
    <w:bookmarkStart w:id="997" w:name="Xb5b02d69192e304413003e3a3335e333d67cdc2"/>
    <w:p>
      <w:pPr>
        <w:pStyle w:val="Heading4"/>
      </w:pPr>
      <w:r>
        <w:t xml:space="preserve">III.10 · Finanziario e dei Bilanci Regionali</w:t>
      </w:r>
    </w:p>
    <w:p>
      <w:pPr>
        <w:pStyle w:val="FirstParagraph"/>
      </w:pPr>
      <w:r>
        <w:t xml:space="preserve">Il dominio finanziario non è un dominio accanto agli altri, ma la sede in cui l’effetto netto di tutti si ricompone sui bilanci regionali. In esso confluiscono i risparmi diretti e le ricadute economico-sociali, tenuti distinti fino al saldo e governati dalla regola di non duplicazione, ed è la sede in cui la qualità della vita delle persone, l’andamento dei conti pubblici, l’efficienza della burocrazia e la tenuta dei sistemi sanitari regionali divengono oggetto di previsione falsificabile. Il dominio raccoglie e ordina il valore che l’intera cascata produce, e ne misura la sostenibilità sul saldo netto di lungo periodo tra l’investimento e i ritorni che esso genera.</w:t>
      </w:r>
    </w:p>
    <w:bookmarkEnd w:id="997"/>
    <w:bookmarkStart w:id="999" w:name="iii.11-formativo-pilastro-trasversale"/>
    <w:p>
      <w:pPr>
        <w:pStyle w:val="Heading4"/>
      </w:pPr>
      <w:r>
        <w:t xml:space="preserve">III.11 · Formativo (pilastro trasversale)</w:t>
      </w:r>
    </w:p>
    <w:p>
      <w:pPr>
        <w:pStyle w:val="FirstParagraph"/>
      </w:pPr>
      <w:r>
        <w:t xml:space="preserve">Il dominio formativo è trattato come pilastro trasversale dell’opera, e non come una sua parte settoriale, poiché attraversa l’intero perimetro. Esso incide direttamente su quattro domini — il formativo proprio, l’accademico, il lavorativo e il culturale — attraverso la domanda di percorsi formativi nuovi, l’adeguamento dei curricula, la qualificazione del personale e l’alfabetizzazione psicologica e digitale; e abilita indirettamente tutti gli altri, poiché l’azione dello Psicologo di Base potenziato dalle leve abilitanti presuppone la competenza che la formazione costruisce. Il suo rendimento proprio misura la produttività della spesa formativa, mentre i benefici multidominio che esso abilita sono attribuiti, secondo la regola di non duplicazione, all’azione del servizio.</w:t>
      </w:r>
      <w:r>
        <w:rPr>
          <w:rStyle w:val="FootnoteReference"/>
        </w:rPr>
        <w:footnoteReference w:id="402"/>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Dominio del perimetro</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 del 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Connessione con lo Psicologo di Base</w:t>
            </w:r>
          </w:p>
        </w:tc>
        <w:tc>
          <w:tcPr>
            <w:shd w:val="clear" w:color="auto" w:fill="16264B"/>
          </w:tcPr>
          <w:p>
            <w:pPr>
              <w:pStyle w:val="Compact"/>
              <w:spacing w:after="40" w:before="40"/>
              <w:jc w:val="left"/>
            </w:pPr>
            <w:r>
              <w:rPr>
                <w:rFonts w:ascii="Cambria" w:hAnsi="Cambria" w:cs="Cambria" w:eastAsia="Cambria"/>
                <w:b/>
                <w:bCs/>
                <w:color w:val="FFFFFF"/>
                <w:sz w:val="18"/>
              </w:rPr>
              <w:t xml:space="preserve">Rapporto con i domini disciplinari</w:t>
            </w:r>
          </w:p>
        </w:tc>
      </w:tr>
      <w:tr>
        <w:tc>
          <w:tcPr/>
          <w:p>
            <w:pPr>
              <w:pStyle w:val="Compact"/>
              <w:spacing w:after="40" w:before="40"/>
              <w:jc w:val="left"/>
            </w:pPr>
            <w:r>
              <w:rPr>
                <w:rFonts w:ascii="Cambria" w:hAnsi="Cambria" w:cs="Cambria" w:eastAsia="Cambria"/>
                <w:color w:val="1A1A1A"/>
                <w:sz w:val="18"/>
              </w:rPr>
              <w:t xml:space="preserve">Pensionistico</w:t>
            </w:r>
          </w:p>
        </w:tc>
        <w:tc>
          <w:tcPr/>
          <w:p>
            <w:pPr>
              <w:pStyle w:val="Compact"/>
              <w:spacing w:after="40" w:before="40"/>
              <w:jc w:val="left"/>
            </w:pPr>
            <w:r>
              <w:rPr>
                <w:rFonts w:ascii="Cambria" w:hAnsi="Cambria" w:cs="Cambria" w:eastAsia="Cambria"/>
                <w:color w:val="1A1A1A"/>
                <w:sz w:val="18"/>
              </w:rPr>
              <w:t xml:space="preserve">Fiscale, differito</w:t>
            </w:r>
          </w:p>
        </w:tc>
        <w:tc>
          <w:tcPr/>
          <w:p>
            <w:pPr>
              <w:pStyle w:val="Compact"/>
              <w:spacing w:after="40" w:before="40"/>
              <w:jc w:val="left"/>
            </w:pPr>
            <w:r>
              <w:rPr>
                <w:rFonts w:ascii="Cambria" w:hAnsi="Cambria" w:cs="Cambria" w:eastAsia="Cambria"/>
                <w:color w:val="1A1A1A"/>
                <w:sz w:val="18"/>
              </w:rPr>
              <w:t xml:space="preserve">Indiretta e differita</w:t>
            </w:r>
          </w:p>
        </w:tc>
        <w:tc>
          <w:tcPr/>
          <w:p>
            <w:pPr>
              <w:pStyle w:val="Compact"/>
              <w:spacing w:after="40" w:before="40"/>
              <w:jc w:val="left"/>
            </w:pPr>
            <w:r>
              <w:rPr>
                <w:rFonts w:ascii="Cambria" w:hAnsi="Cambria" w:cs="Cambria" w:eastAsia="Cambria"/>
                <w:color w:val="1A1A1A"/>
                <w:sz w:val="18"/>
              </w:rPr>
              <w:t xml:space="preserve">Estende l’economia del lavoro (versante previdenziale)</w:t>
            </w:r>
          </w:p>
        </w:tc>
      </w:tr>
      <w:tr>
        <w:tc>
          <w:tcPr>
            <w:shd w:val="clear" w:color="auto" w:fill="F4F1EC"/>
          </w:tcPr>
          <w:p>
            <w:pPr>
              <w:pStyle w:val="Compact"/>
              <w:spacing w:after="40" w:before="40"/>
              <w:jc w:val="left"/>
            </w:pPr>
            <w:r>
              <w:rPr>
                <w:rFonts w:ascii="Cambria" w:hAnsi="Cambria" w:cs="Cambria" w:eastAsia="Cambria"/>
                <w:color w:val="1A1A1A"/>
                <w:sz w:val="18"/>
              </w:rPr>
              <w:t xml:space="preserve">Produttivistico</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Indiretta</w:t>
            </w:r>
          </w:p>
        </w:tc>
        <w:tc>
          <w:tcPr>
            <w:shd w:val="clear" w:color="auto" w:fill="F4F1EC"/>
          </w:tcPr>
          <w:p>
            <w:pPr>
              <w:pStyle w:val="Compact"/>
              <w:spacing w:after="40" w:before="40"/>
              <w:jc w:val="left"/>
            </w:pPr>
            <w:r>
              <w:rPr>
                <w:rFonts w:ascii="Cambria" w:hAnsi="Cambria" w:cs="Cambria" w:eastAsia="Cambria"/>
                <w:color w:val="1A1A1A"/>
                <w:sz w:val="18"/>
              </w:rPr>
              <w:t xml:space="preserve">Traduce in output il dominio lavorativo</w:t>
            </w:r>
          </w:p>
        </w:tc>
      </w:tr>
      <w:tr>
        <w:tc>
          <w:tcPr/>
          <w:p>
            <w:pPr>
              <w:pStyle w:val="Compact"/>
              <w:spacing w:after="40" w:before="40"/>
              <w:jc w:val="left"/>
            </w:pPr>
            <w:r>
              <w:rPr>
                <w:rFonts w:ascii="Cambria" w:hAnsi="Cambria" w:cs="Cambria" w:eastAsia="Cambria"/>
                <w:color w:val="1A1A1A"/>
                <w:sz w:val="18"/>
              </w:rPr>
              <w:t xml:space="preserve">Assistenzialistico</w:t>
            </w:r>
          </w:p>
        </w:tc>
        <w:tc>
          <w:tcPr/>
          <w:p>
            <w:pPr>
              <w:pStyle w:val="Compact"/>
              <w:spacing w:after="40" w:before="40"/>
              <w:jc w:val="left"/>
            </w:pPr>
            <w:r>
              <w:rPr>
                <w:rFonts w:ascii="Cambria" w:hAnsi="Cambria" w:cs="Cambria" w:eastAsia="Cambria"/>
                <w:color w:val="1A1A1A"/>
                <w:sz w:val="18"/>
              </w:rPr>
              <w:t xml:space="preserve">Qualitativo prevalente</w:t>
            </w:r>
          </w:p>
        </w:tc>
        <w:tc>
          <w:tcPr/>
          <w:p>
            <w:pPr>
              <w:pStyle w:val="Compact"/>
              <w:spacing w:after="40" w:before="40"/>
              <w:jc w:val="left"/>
            </w:pPr>
            <w:r>
              <w:rPr>
                <w:rFonts w:ascii="Cambria" w:hAnsi="Cambria" w:cs="Cambria" w:eastAsia="Cambria"/>
                <w:color w:val="1A1A1A"/>
                <w:sz w:val="18"/>
              </w:rPr>
              <w:t xml:space="preserve">Indiretta</w:t>
            </w:r>
          </w:p>
        </w:tc>
        <w:tc>
          <w:tcPr/>
          <w:p>
            <w:pPr>
              <w:pStyle w:val="Compact"/>
              <w:spacing w:after="40" w:before="40"/>
              <w:jc w:val="left"/>
            </w:pPr>
            <w:r>
              <w:rPr>
                <w:rFonts w:ascii="Cambria" w:hAnsi="Cambria" w:cs="Cambria" w:eastAsia="Cambria"/>
                <w:color w:val="1A1A1A"/>
                <w:sz w:val="18"/>
              </w:rPr>
              <w:t xml:space="preserve">Carico informale, distinto dal welfare</w:t>
            </w:r>
          </w:p>
        </w:tc>
      </w:tr>
      <w:tr>
        <w:tc>
          <w:tcPr>
            <w:shd w:val="clear" w:color="auto" w:fill="F4F1EC"/>
          </w:tcPr>
          <w:p>
            <w:pPr>
              <w:pStyle w:val="Compact"/>
              <w:spacing w:after="40" w:before="40"/>
              <w:jc w:val="left"/>
            </w:pPr>
            <w:r>
              <w:rPr>
                <w:rFonts w:ascii="Cambria" w:hAnsi="Cambria" w:cs="Cambria" w:eastAsia="Cambria"/>
                <w:color w:val="1A1A1A"/>
                <w:sz w:val="18"/>
              </w:rPr>
              <w:t xml:space="preserve">Prevenzionalistico</w:t>
            </w:r>
          </w:p>
        </w:tc>
        <w:tc>
          <w:tcPr>
            <w:shd w:val="clear" w:color="auto" w:fill="F4F1EC"/>
          </w:tcPr>
          <w:p>
            <w:pPr>
              <w:pStyle w:val="Compact"/>
              <w:spacing w:after="40" w:before="40"/>
              <w:jc w:val="left"/>
            </w:pPr>
            <w:r>
              <w:rPr>
                <w:rFonts w:ascii="Cambria" w:hAnsi="Cambria" w:cs="Cambria" w:eastAsia="Cambria"/>
                <w:color w:val="1A1A1A"/>
                <w:sz w:val="18"/>
              </w:rPr>
              <w:t xml:space="preserve">Fiscale, prospettico</w:t>
            </w:r>
          </w:p>
        </w:tc>
        <w:tc>
          <w:tcPr>
            <w:shd w:val="clear" w:color="auto" w:fill="F4F1EC"/>
          </w:tcPr>
          <w:p>
            <w:pPr>
              <w:pStyle w:val="Compact"/>
              <w:spacing w:after="40" w:before="40"/>
              <w:jc w:val="left"/>
            </w:pPr>
            <w:r>
              <w:rPr>
                <w:rFonts w:ascii="Cambria" w:hAnsi="Cambria" w:cs="Cambria" w:eastAsia="Cambria"/>
                <w:color w:val="1A1A1A"/>
                <w:sz w:val="18"/>
              </w:rPr>
              <w:t xml:space="preserve">Diretta nel meccanismo, differita</w:t>
            </w:r>
          </w:p>
        </w:tc>
        <w:tc>
          <w:tcPr>
            <w:shd w:val="clear" w:color="auto" w:fill="F4F1EC"/>
          </w:tcPr>
          <w:p>
            <w:pPr>
              <w:pStyle w:val="Compact"/>
              <w:spacing w:after="40" w:before="40"/>
              <w:jc w:val="left"/>
            </w:pPr>
            <w:r>
              <w:rPr>
                <w:rFonts w:ascii="Cambria" w:hAnsi="Cambria" w:cs="Cambria" w:eastAsia="Cambria"/>
                <w:color w:val="1A1A1A"/>
                <w:sz w:val="18"/>
              </w:rPr>
              <w:t xml:space="preserve">Trasversale alle discipline cliniche</w:t>
            </w:r>
          </w:p>
        </w:tc>
      </w:tr>
      <w:tr>
        <w:tc>
          <w:tcPr/>
          <w:p>
            <w:pPr>
              <w:pStyle w:val="Compact"/>
              <w:spacing w:after="40" w:before="40"/>
              <w:jc w:val="left"/>
            </w:pPr>
            <w:r>
              <w:rPr>
                <w:rFonts w:ascii="Cambria" w:hAnsi="Cambria" w:cs="Cambria" w:eastAsia="Cambria"/>
                <w:color w:val="1A1A1A"/>
                <w:sz w:val="18"/>
              </w:rPr>
              <w:t xml:space="preserve">Burocratico</w:t>
            </w:r>
          </w:p>
        </w:tc>
        <w:tc>
          <w:tcPr/>
          <w:p>
            <w:pPr>
              <w:pStyle w:val="Compact"/>
              <w:spacing w:after="40" w:before="40"/>
              <w:jc w:val="left"/>
            </w:pPr>
            <w:r>
              <w:rPr>
                <w:rFonts w:ascii="Cambria" w:hAnsi="Cambria" w:cs="Cambria" w:eastAsia="Cambria"/>
                <w:color w:val="1A1A1A"/>
                <w:sz w:val="18"/>
              </w:rPr>
              <w:t xml:space="preserve">Fiscale, incerto</w:t>
            </w:r>
          </w:p>
        </w:tc>
        <w:tc>
          <w:tcPr/>
          <w:p>
            <w:pPr>
              <w:pStyle w:val="Compact"/>
              <w:spacing w:after="40" w:before="40"/>
              <w:jc w:val="left"/>
            </w:pPr>
            <w:r>
              <w:rPr>
                <w:rFonts w:ascii="Cambria" w:hAnsi="Cambria" w:cs="Cambria" w:eastAsia="Cambria"/>
                <w:color w:val="1A1A1A"/>
                <w:sz w:val="18"/>
              </w:rPr>
              <w:t xml:space="preserve">Indiretta, organizzativa</w:t>
            </w:r>
          </w:p>
        </w:tc>
        <w:tc>
          <w:tcPr/>
          <w:p>
            <w:pPr>
              <w:pStyle w:val="Compact"/>
              <w:spacing w:after="40" w:before="40"/>
              <w:jc w:val="left"/>
            </w:pPr>
            <w:r>
              <w:rPr>
                <w:rFonts w:ascii="Cambria" w:hAnsi="Cambria" w:cs="Cambria" w:eastAsia="Cambria"/>
                <w:color w:val="1A1A1A"/>
                <w:sz w:val="18"/>
              </w:rPr>
              <w:t xml:space="preserve">Costo del processo, non della prestazione</w:t>
            </w:r>
          </w:p>
        </w:tc>
      </w:tr>
      <w:tr>
        <w:tc>
          <w:tcPr>
            <w:shd w:val="clear" w:color="auto" w:fill="F4F1EC"/>
          </w:tcPr>
          <w:p>
            <w:pPr>
              <w:pStyle w:val="Compact"/>
              <w:spacing w:after="40" w:before="40"/>
              <w:jc w:val="left"/>
            </w:pPr>
            <w:r>
              <w:rPr>
                <w:rFonts w:ascii="Cambria" w:hAnsi="Cambria" w:cs="Cambria" w:eastAsia="Cambria"/>
                <w:color w:val="1A1A1A"/>
                <w:sz w:val="18"/>
              </w:rPr>
              <w:t xml:space="preserve">Accademico</w:t>
            </w:r>
          </w:p>
        </w:tc>
        <w:tc>
          <w:tcPr>
            <w:shd w:val="clear" w:color="auto" w:fill="F4F1EC"/>
          </w:tcPr>
          <w:p>
            <w:pPr>
              <w:pStyle w:val="Compact"/>
              <w:spacing w:after="40" w:before="40"/>
              <w:jc w:val="left"/>
            </w:pPr>
            <w:r>
              <w:rPr>
                <w:rFonts w:ascii="Cambria" w:hAnsi="Cambria" w:cs="Cambria" w:eastAsia="Cambria"/>
                <w:color w:val="1A1A1A"/>
                <w:sz w:val="18"/>
              </w:rPr>
              <w:t xml:space="preserve">Qualitativo prevalente</w:t>
            </w:r>
          </w:p>
        </w:tc>
        <w:tc>
          <w:tcPr>
            <w:shd w:val="clear" w:color="auto" w:fill="F4F1EC"/>
          </w:tcPr>
          <w:p>
            <w:pPr>
              <w:pStyle w:val="Compact"/>
              <w:spacing w:after="40" w:before="40"/>
              <w:jc w:val="left"/>
            </w:pPr>
            <w:r>
              <w:rPr>
                <w:rFonts w:ascii="Cambria" w:hAnsi="Cambria" w:cs="Cambria" w:eastAsia="Cambria"/>
                <w:color w:val="1A1A1A"/>
                <w:sz w:val="18"/>
              </w:rPr>
              <w:t xml:space="preserve">Diretta come infrastruttura</w:t>
            </w:r>
          </w:p>
        </w:tc>
        <w:tc>
          <w:tcPr>
            <w:shd w:val="clear" w:color="auto" w:fill="F4F1EC"/>
          </w:tcPr>
          <w:p>
            <w:pPr>
              <w:pStyle w:val="Compact"/>
              <w:spacing w:after="40" w:before="40"/>
              <w:jc w:val="left"/>
            </w:pPr>
            <w:r>
              <w:rPr>
                <w:rFonts w:ascii="Cambria" w:hAnsi="Cambria" w:cs="Cambria" w:eastAsia="Cambria"/>
                <w:color w:val="1A1A1A"/>
                <w:sz w:val="18"/>
              </w:rPr>
              <w:t xml:space="preserve">Si salda a biostatistica e informatica</w:t>
            </w:r>
          </w:p>
        </w:tc>
      </w:tr>
      <w:tr>
        <w:tc>
          <w:tcPr/>
          <w:p>
            <w:pPr>
              <w:pStyle w:val="Compact"/>
              <w:spacing w:after="40" w:before="40"/>
              <w:jc w:val="left"/>
            </w:pPr>
            <w:r>
              <w:rPr>
                <w:rFonts w:ascii="Cambria" w:hAnsi="Cambria" w:cs="Cambria" w:eastAsia="Cambria"/>
                <w:color w:val="1A1A1A"/>
                <w:sz w:val="18"/>
              </w:rPr>
              <w:t xml:space="preserve">Industriale</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Indiretta</w:t>
            </w:r>
          </w:p>
        </w:tc>
        <w:tc>
          <w:tcPr/>
          <w:p>
            <w:pPr>
              <w:pStyle w:val="Compact"/>
              <w:spacing w:after="40" w:before="40"/>
              <w:jc w:val="left"/>
            </w:pPr>
            <w:r>
              <w:rPr>
                <w:rFonts w:ascii="Cambria" w:hAnsi="Cambria" w:cs="Cambria" w:eastAsia="Cambria"/>
                <w:color w:val="1A1A1A"/>
                <w:sz w:val="18"/>
              </w:rPr>
              <w:t xml:space="preserve">Prospettiva d’impresa del dominio lavorativo</w:t>
            </w:r>
          </w:p>
        </w:tc>
      </w:tr>
      <w:tr>
        <w:tc>
          <w:tcPr>
            <w:shd w:val="clear" w:color="auto" w:fill="F4F1EC"/>
          </w:tcPr>
          <w:p>
            <w:pPr>
              <w:pStyle w:val="Compact"/>
              <w:spacing w:after="40" w:before="40"/>
              <w:jc w:val="left"/>
            </w:pPr>
            <w:r>
              <w:rPr>
                <w:rFonts w:ascii="Cambria" w:hAnsi="Cambria" w:cs="Cambria" w:eastAsia="Cambria"/>
                <w:color w:val="1A1A1A"/>
                <w:sz w:val="18"/>
              </w:rPr>
              <w:t xml:space="preserve">Sindacale</w:t>
            </w:r>
          </w:p>
        </w:tc>
        <w:tc>
          <w:tcPr>
            <w:shd w:val="clear" w:color="auto" w:fill="F4F1EC"/>
          </w:tcPr>
          <w:p>
            <w:pPr>
              <w:pStyle w:val="Compact"/>
              <w:spacing w:after="40" w:before="40"/>
              <w:jc w:val="left"/>
            </w:pPr>
            <w:r>
              <w:rPr>
                <w:rFonts w:ascii="Cambria" w:hAnsi="Cambria" w:cs="Cambria" w:eastAsia="Cambria"/>
                <w:color w:val="1A1A1A"/>
                <w:sz w:val="18"/>
              </w:rPr>
              <w:t xml:space="preserve">Istituzionale</w:t>
            </w:r>
          </w:p>
        </w:tc>
        <w:tc>
          <w:tcPr>
            <w:shd w:val="clear" w:color="auto" w:fill="F4F1EC"/>
          </w:tcPr>
          <w:p>
            <w:pPr>
              <w:pStyle w:val="Compact"/>
              <w:spacing w:after="40" w:before="40"/>
              <w:jc w:val="left"/>
            </w:pPr>
            <w:r>
              <w:rPr>
                <w:rFonts w:ascii="Cambria" w:hAnsi="Cambria" w:cs="Cambria" w:eastAsia="Cambria"/>
                <w:color w:val="1A1A1A"/>
                <w:sz w:val="18"/>
              </w:rPr>
              <w:t xml:space="preserve">Indiretta</w:t>
            </w:r>
          </w:p>
        </w:tc>
        <w:tc>
          <w:tcPr>
            <w:shd w:val="clear" w:color="auto" w:fill="F4F1EC"/>
          </w:tcPr>
          <w:p>
            <w:pPr>
              <w:pStyle w:val="Compact"/>
              <w:spacing w:after="40" w:before="40"/>
              <w:jc w:val="left"/>
            </w:pPr>
            <w:r>
              <w:rPr>
                <w:rFonts w:ascii="Cambria" w:hAnsi="Cambria" w:cs="Cambria" w:eastAsia="Cambria"/>
                <w:color w:val="1A1A1A"/>
                <w:sz w:val="18"/>
              </w:rPr>
              <w:t xml:space="preserve">Tutela del lavoratore, accanto al lavorativo</w:t>
            </w:r>
          </w:p>
        </w:tc>
      </w:tr>
      <w:tr>
        <w:tc>
          <w:tcPr/>
          <w:p>
            <w:pPr>
              <w:pStyle w:val="Compact"/>
              <w:spacing w:after="40" w:before="40"/>
              <w:jc w:val="left"/>
            </w:pPr>
            <w:r>
              <w:rPr>
                <w:rFonts w:ascii="Cambria" w:hAnsi="Cambria" w:cs="Cambria" w:eastAsia="Cambria"/>
                <w:color w:val="1A1A1A"/>
                <w:sz w:val="18"/>
              </w:rPr>
              <w:t xml:space="preserve">Sociale</w:t>
            </w:r>
          </w:p>
        </w:tc>
        <w:tc>
          <w:tcPr/>
          <w:p>
            <w:pPr>
              <w:pStyle w:val="Compact"/>
              <w:spacing w:after="40" w:before="40"/>
              <w:jc w:val="left"/>
            </w:pPr>
            <w:r>
              <w:rPr>
                <w:rFonts w:ascii="Cambria" w:hAnsi="Cambria" w:cs="Cambria" w:eastAsia="Cambria"/>
                <w:color w:val="1A1A1A"/>
                <w:sz w:val="18"/>
              </w:rPr>
              <w:t xml:space="preserve">Qualitativo</w:t>
            </w:r>
          </w:p>
        </w:tc>
        <w:tc>
          <w:tcPr/>
          <w:p>
            <w:pPr>
              <w:pStyle w:val="Compact"/>
              <w:spacing w:after="40" w:before="40"/>
              <w:jc w:val="left"/>
            </w:pPr>
            <w:r>
              <w:rPr>
                <w:rFonts w:ascii="Cambria" w:hAnsi="Cambria" w:cs="Cambria" w:eastAsia="Cambria"/>
                <w:color w:val="1A1A1A"/>
                <w:sz w:val="18"/>
              </w:rPr>
              <w:t xml:space="preserve">Indiretta</w:t>
            </w:r>
          </w:p>
        </w:tc>
        <w:tc>
          <w:tcPr/>
          <w:p>
            <w:pPr>
              <w:pStyle w:val="Compact"/>
              <w:spacing w:after="40" w:before="40"/>
              <w:jc w:val="left"/>
            </w:pPr>
            <w:r>
              <w:rPr>
                <w:rFonts w:ascii="Cambria" w:hAnsi="Cambria" w:cs="Cambria" w:eastAsia="Cambria"/>
                <w:color w:val="1A1A1A"/>
                <w:sz w:val="18"/>
              </w:rPr>
              <w:t xml:space="preserve">Coesione, distinta dall’economico</w:t>
            </w:r>
          </w:p>
        </w:tc>
      </w:tr>
      <w:tr>
        <w:tc>
          <w:tcPr>
            <w:shd w:val="clear" w:color="auto" w:fill="F4F1EC"/>
          </w:tcPr>
          <w:p>
            <w:pPr>
              <w:pStyle w:val="Compact"/>
              <w:spacing w:after="40" w:before="40"/>
              <w:jc w:val="left"/>
            </w:pPr>
            <w:r>
              <w:rPr>
                <w:rFonts w:ascii="Cambria" w:hAnsi="Cambria" w:cs="Cambria" w:eastAsia="Cambria"/>
                <w:color w:val="1A1A1A"/>
                <w:sz w:val="18"/>
              </w:rPr>
              <w:t xml:space="preserve">Finanziario</w:t>
            </w:r>
          </w:p>
        </w:tc>
        <w:tc>
          <w:tcPr>
            <w:shd w:val="clear" w:color="auto" w:fill="F4F1EC"/>
          </w:tcPr>
          <w:p>
            <w:pPr>
              <w:pStyle w:val="Compact"/>
              <w:spacing w:after="40" w:before="40"/>
              <w:jc w:val="left"/>
            </w:pPr>
            <w:r>
              <w:rPr>
                <w:rFonts w:ascii="Cambria" w:hAnsi="Cambria" w:cs="Cambria" w:eastAsia="Cambria"/>
                <w:color w:val="1A1A1A"/>
                <w:sz w:val="18"/>
              </w:rPr>
              <w:t xml:space="preserve">Sintesi di tutti</w:t>
            </w:r>
          </w:p>
        </w:tc>
        <w:tc>
          <w:tcPr>
            <w:shd w:val="clear" w:color="auto" w:fill="F4F1EC"/>
          </w:tcPr>
          <w:p>
            <w:pPr>
              <w:pStyle w:val="Compact"/>
              <w:spacing w:after="40" w:before="40"/>
              <w:jc w:val="left"/>
            </w:pPr>
            <w:r>
              <w:rPr>
                <w:rFonts w:ascii="Cambria" w:hAnsi="Cambria" w:cs="Cambria" w:eastAsia="Cambria"/>
                <w:color w:val="1A1A1A"/>
                <w:sz w:val="18"/>
              </w:rPr>
              <w:t xml:space="preserve">Sede del saldo netto</w:t>
            </w:r>
          </w:p>
        </w:tc>
        <w:tc>
          <w:tcPr>
            <w:shd w:val="clear" w:color="auto" w:fill="F4F1EC"/>
          </w:tcPr>
          <w:p>
            <w:pPr>
              <w:pStyle w:val="Compact"/>
              <w:spacing w:after="40" w:before="40"/>
              <w:jc w:val="left"/>
            </w:pPr>
            <w:r>
              <w:rPr>
                <w:rFonts w:ascii="Cambria" w:hAnsi="Cambria" w:cs="Cambria" w:eastAsia="Cambria"/>
                <w:color w:val="1A1A1A"/>
                <w:sz w:val="18"/>
              </w:rPr>
              <w:t xml:space="preserve">Ricompone l’intero perimetro</w:t>
            </w:r>
          </w:p>
        </w:tc>
      </w:tr>
      <w:tr>
        <w:tc>
          <w:tcPr/>
          <w:p>
            <w:pPr>
              <w:pStyle w:val="Compact"/>
              <w:spacing w:after="40" w:before="40"/>
              <w:jc w:val="left"/>
            </w:pPr>
            <w:r>
              <w:rPr>
                <w:rFonts w:ascii="Cambria" w:hAnsi="Cambria" w:cs="Cambria" w:eastAsia="Cambria"/>
                <w:color w:val="1A1A1A"/>
                <w:sz w:val="18"/>
              </w:rPr>
              <w:t xml:space="preserve">Formativo</w:t>
            </w:r>
          </w:p>
        </w:tc>
        <w:tc>
          <w:tcPr/>
          <w:p>
            <w:pPr>
              <w:pStyle w:val="Compact"/>
              <w:spacing w:after="40" w:before="40"/>
              <w:jc w:val="left"/>
            </w:pPr>
            <w:r>
              <w:rPr>
                <w:rFonts w:ascii="Cambria" w:hAnsi="Cambria" w:cs="Cambria" w:eastAsia="Cambria"/>
                <w:color w:val="1A1A1A"/>
                <w:sz w:val="18"/>
              </w:rPr>
              <w:t xml:space="preserve">Abilitante trasversale</w:t>
            </w:r>
          </w:p>
        </w:tc>
        <w:tc>
          <w:tcPr/>
          <w:p>
            <w:pPr>
              <w:pStyle w:val="Compact"/>
              <w:spacing w:after="40" w:before="40"/>
              <w:jc w:val="left"/>
            </w:pPr>
            <w:r>
              <w:rPr>
                <w:rFonts w:ascii="Cambria" w:hAnsi="Cambria" w:cs="Cambria" w:eastAsia="Cambria"/>
                <w:color w:val="1A1A1A"/>
                <w:sz w:val="18"/>
              </w:rPr>
              <w:t xml:space="preserve">Diretta su 4 domini, indiretta su tutti</w:t>
            </w:r>
          </w:p>
        </w:tc>
        <w:tc>
          <w:tcPr/>
          <w:p>
            <w:pPr>
              <w:pStyle w:val="Compact"/>
              <w:spacing w:after="40" w:before="40"/>
              <w:jc w:val="left"/>
            </w:pPr>
            <w:r>
              <w:rPr>
                <w:rFonts w:ascii="Cambria" w:hAnsi="Cambria" w:cs="Cambria" w:eastAsia="Cambria"/>
                <w:color w:val="1A1A1A"/>
                <w:sz w:val="18"/>
              </w:rPr>
              <w:t xml:space="preserve">Pilastro dell’intera architettura</w:t>
            </w:r>
          </w:p>
        </w:tc>
      </w:tr>
    </w:tbl>
    <w:p>
      <w:pPr>
        <w:pStyle w:val="BodyText"/>
      </w:pPr>
      <w:r>
        <w:rPr>
          <w:i/>
          <w:iCs/>
        </w:rPr>
        <w:t xml:space="preserve">Tabella 2. I domini del perimetro economico-sociale: natura del valore, connessione con la figura e rapporto con la lente disciplinare.</w:t>
      </w:r>
    </w:p>
    <w:bookmarkEnd w:id="999"/>
    <w:bookmarkEnd w:id="1000"/>
    <w:bookmarkStart w:id="1004" w:name="Xa58746f1c08c5dc1e3e1d4712fc66da86e2a8b8"/>
    <w:p>
      <w:pPr>
        <w:pStyle w:val="Heading2"/>
      </w:pPr>
      <w:r>
        <w:t xml:space="preserve">Quadro Conclusivo economico-sociale e multidisciplinare integrale</w:t>
      </w:r>
    </w:p>
    <w:p>
      <w:pPr>
        <w:pStyle w:val="FirstParagraph"/>
      </w:pPr>
      <w:r>
        <w:t xml:space="preserve">Il novero ampliato dei domini alimenta il verdetto tripartito dell’opera, che ne mantiene rigorosamente distinte le tre dimensioni e non le aggrega mai in un’unica cifra. La dimensione fiscale, alimentata in prima istanza dai domini a impatto clinico diretto — la riduzione della specialistica e della diagnostica inappropriata, della spesa farmaceutica e dei ricoveri evitabili — risulta prossima al pareggio nel confronto tra i risparmi diretti e il costo del servizio. La dimensione sanitaria, che misura il rapporto tra il costo e l’esito di salute, risulta nettamente costo-efficace. La dimensione sociale, alimentata dai domini sistemici e dal perimetro economico-sociale, risulta fortemente positiva. La distinzione tra queste tre dimensioni è una scelta di rigore: ciascuna risponde a una domanda valutativa propria, che le altre non possono coprire.</w:t>
      </w:r>
      <w:r>
        <w:rPr>
          <w:rStyle w:val="FootnoteReference"/>
        </w:rPr>
        <w:footnoteReference w:id="403"/>
      </w:r>
    </w:p>
    <w:p>
      <w:pPr>
        <w:pStyle w:val="BodyText"/>
      </w:pPr>
      <w:r>
        <w:t xml:space="preserve">La regola di non duplicazione governa l’intero novero. I domini del perimetro economico-sociale rileggono, sotto la lente del valore, effetti che le discipline cliniche e sistemiche producono, e per questo sono quantificati soltanto nella loro componente residua non già contabilizzata, ovvero riconosciuti nella loro dimensione qualitativa, ove prevalente, senza monetizzazione. Il medesimo risparmio non è mai attribuito due volte — una come effetto del servizio e una come effetto della formazione, ovvero una sotto la voce della produttività e una sotto quella della previdenza — e i risparmi fiscali diretti restano costantemente distinti dai benefici indiretti e sociali fino al saldo, dove la loro composizione è esplicitata e governata.</w:t>
      </w:r>
      <w:r>
        <w:rPr>
          <w:rStyle w:val="FootnoteReference"/>
        </w:rPr>
        <w:footnoteReference w:id="404"/>
      </w:r>
    </w:p>
    <w:p>
      <w:pPr>
        <w:pStyle w:val="BodyText"/>
      </w:pPr>
      <w:r>
        <w:t xml:space="preserve">L’ordinamento del novero segue il principio della cascata. I cinquanta domini non concorrono in eguale misura né con la medesima immediatezza: alcuni sono connessi alla figura per via diretta e producono risparmi fiscali prossimi, altri per via indiretta e differita, e il loro peso nel progetto e la loro capacità di generare rientro economico o revisione della spesa variano di conseguenza. Il dominio finanziario, in particolare, ricompone l’effetto netto di tutti sui bilanci regionali, ed è la sede in cui la qualità della vita delle persone, l’efficienza della burocrazia e la tenuta dei sistemi sanitari divengono oggetto di previsione falsificabile. L’Intelligenza Artificiale attraversa il novero come leva abilitante subordinata alla supervisione clinica, e la formazione lo attraversa come pilastro trasversale che ne rende possibili i benefici.</w:t>
      </w:r>
      <w:r>
        <w:rPr>
          <w:rStyle w:val="FootnoteReference"/>
        </w:rPr>
        <w:footnoteReference w:id="405"/>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del verdetto</w:t>
            </w:r>
          </w:p>
        </w:tc>
        <w:tc>
          <w:tcPr>
            <w:shd w:val="clear" w:color="auto" w:fill="16264B"/>
          </w:tcPr>
          <w:p>
            <w:pPr>
              <w:pStyle w:val="Compact"/>
              <w:spacing w:after="40" w:before="40"/>
              <w:jc w:val="left"/>
            </w:pPr>
            <w:r>
              <w:rPr>
                <w:rFonts w:ascii="Cambria" w:hAnsi="Cambria" w:cs="Cambria" w:eastAsia="Cambria"/>
                <w:b/>
                <w:bCs/>
                <w:color w:val="FFFFFF"/>
                <w:sz w:val="18"/>
              </w:rPr>
              <w:t xml:space="preserve">Esito e aree del novero che la alimentano</w:t>
            </w:r>
          </w:p>
        </w:tc>
      </w:tr>
      <w:tr>
        <w:tc>
          <w:tcPr/>
          <w:p>
            <w:pPr>
              <w:pStyle w:val="Compact"/>
              <w:spacing w:after="40" w:before="40"/>
              <w:jc w:val="left"/>
            </w:pPr>
            <w:r>
              <w:rPr>
                <w:rFonts w:ascii="Cambria" w:hAnsi="Cambria" w:cs="Cambria" w:eastAsia="Cambria"/>
                <w:color w:val="1A1A1A"/>
                <w:sz w:val="18"/>
              </w:rPr>
              <w:t xml:space="preserve">Fiscale</w:t>
            </w:r>
          </w:p>
        </w:tc>
        <w:tc>
          <w:tcPr/>
          <w:p>
            <w:pPr>
              <w:pStyle w:val="Compact"/>
              <w:spacing w:after="40" w:before="40"/>
              <w:jc w:val="left"/>
            </w:pPr>
            <w:r>
              <w:rPr>
                <w:rFonts w:ascii="Cambria" w:hAnsi="Cambria" w:cs="Cambria" w:eastAsia="Cambria"/>
                <w:color w:val="1A1A1A"/>
                <w:sz w:val="18"/>
              </w:rPr>
              <w:t xml:space="preserve">Prossima al pareggio — alimentata dai domini a impatto clinico diretto (specialistica, diagnostica, farmaceutica, ricoveri evitabili)</w:t>
            </w:r>
          </w:p>
        </w:tc>
      </w:tr>
      <w:tr>
        <w:tc>
          <w:tcPr>
            <w:shd w:val="clear" w:color="auto" w:fill="F4F1EC"/>
          </w:tcPr>
          <w:p>
            <w:pPr>
              <w:pStyle w:val="Compact"/>
              <w:spacing w:after="40" w:before="40"/>
              <w:jc w:val="left"/>
            </w:pPr>
            <w:r>
              <w:rPr>
                <w:rFonts w:ascii="Cambria" w:hAnsi="Cambria" w:cs="Cambria" w:eastAsia="Cambria"/>
                <w:color w:val="1A1A1A"/>
                <w:sz w:val="18"/>
              </w:rPr>
              <w:t xml:space="preserve">Sanitaria</w:t>
            </w:r>
          </w:p>
        </w:tc>
        <w:tc>
          <w:tcPr>
            <w:shd w:val="clear" w:color="auto" w:fill="F4F1EC"/>
          </w:tcPr>
          <w:p>
            <w:pPr>
              <w:pStyle w:val="Compact"/>
              <w:spacing w:after="40" w:before="40"/>
              <w:jc w:val="left"/>
            </w:pPr>
            <w:r>
              <w:rPr>
                <w:rFonts w:ascii="Cambria" w:hAnsi="Cambria" w:cs="Cambria" w:eastAsia="Cambria"/>
                <w:color w:val="1A1A1A"/>
                <w:sz w:val="18"/>
              </w:rPr>
              <w:t xml:space="preserve">Nettamente costo-efficace — alimentata dagli esiti di salute documentati nelle discipline cliniche</w:t>
            </w:r>
          </w:p>
        </w:tc>
      </w:tr>
      <w:tr>
        <w:tc>
          <w:tcPr/>
          <w:p>
            <w:pPr>
              <w:pStyle w:val="Compact"/>
              <w:spacing w:after="40" w:before="40"/>
              <w:jc w:val="left"/>
            </w:pPr>
            <w:r>
              <w:rPr>
                <w:rFonts w:ascii="Cambria" w:hAnsi="Cambria" w:cs="Cambria" w:eastAsia="Cambria"/>
                <w:color w:val="1A1A1A"/>
                <w:sz w:val="18"/>
              </w:rPr>
              <w:t xml:space="preserve">Sociale</w:t>
            </w:r>
          </w:p>
        </w:tc>
        <w:tc>
          <w:tcPr/>
          <w:p>
            <w:pPr>
              <w:pStyle w:val="Compact"/>
              <w:spacing w:after="40" w:before="40"/>
              <w:jc w:val="left"/>
            </w:pPr>
            <w:r>
              <w:rPr>
                <w:rFonts w:ascii="Cambria" w:hAnsi="Cambria" w:cs="Cambria" w:eastAsia="Cambria"/>
                <w:color w:val="1A1A1A"/>
                <w:sz w:val="18"/>
              </w:rPr>
              <w:t xml:space="preserve">Fortemente positiva — alimentata dai domini sistemici indiretti e dal perimetro economico-sociale</w:t>
            </w:r>
          </w:p>
        </w:tc>
      </w:tr>
    </w:tbl>
    <w:p>
      <w:pPr>
        <w:pStyle w:val="BodyText"/>
      </w:pPr>
      <w:r>
        <w:rPr>
          <w:i/>
          <w:iCs/>
        </w:rPr>
        <w:t xml:space="preserve">Tabella 3. Le tre dimensioni del verdetto tripartito e le aree del novero che le alimentano. Le dimensioni non sono mai aggregate in un</w:t>
      </w:r>
      <w:r>
        <w:rPr>
          <w:b/>
          <w:bCs/>
          <w:i/>
          <w:iCs/>
        </w:rPr>
        <w:t xml:space="preserve">’</w:t>
      </w:r>
      <w:r>
        <w:rPr>
          <w:i/>
          <w:iCs/>
        </w:rPr>
        <w:t xml:space="preserve">unica cifra.</w:t>
      </w:r>
    </w:p>
    <w:bookmarkEnd w:id="1004"/>
    <w:bookmarkStart w:id="1005" w:name="conclusione-10"/>
    <w:p>
      <w:pPr>
        <w:pStyle w:val="Heading2"/>
      </w:pPr>
      <w:r>
        <w:t xml:space="preserve">Conclusione</w:t>
      </w:r>
    </w:p>
    <w:p>
      <w:pPr>
        <w:pStyle w:val="FirstParagraph"/>
      </w:pPr>
      <w:r>
        <w:t xml:space="preserve">La mappa annotata, versata nel telaio formale dell’opera, eleva il novero dei domini dai ventinove fondativi ai cinquanta complessivi, ordinati in tre aree e tutti fondati nel corpus del progetto. L’ampliamento non estende l’oggetto dell’opera per via interpretativa, ma porta alla superficie, ordinandoli, ambiti già presenti nella cascata delle figure della Parte III, nei domini del perimetro della Parte IX e della Parte I e nell’analisi delle aree cliniche dei risparmi diretti. Lo strumento così ottenuto rende navigabile, in un’unica trattazione, l’estensione disciplinare e l’estensione di impatto della riforma, e fornisce ai decisori, ai professionisti e ai ricercatori la mappa delle interdipendenze che qualsiasi implementazione dovrà considerare nella valutazione ex ante e nel sistema di monitoraggio continuativo.</w:t>
      </w:r>
    </w:p>
    <w:p>
      <w:pPr>
        <w:pStyle w:val="BodyText"/>
      </w:pPr>
      <w:r>
        <w:t xml:space="preserve">La mappa può costituire un’appendice ragionata dell’opera, raccordata alla Parte III per le figure e alla Parte IX per i domini, ovvero fungere da indice analitico del valore che lo studio misura. I vincoli metodologici invarianti sono rispettati in ogni sua parte: l’ancoraggio economico, gli intervalli ammessi per il rapporto di ritorno, la separazione tra risparmi diretti e ricadute sociali, la regola di non duplicazione, la graduazione simmetrica dell’evidenza e l’enunciazione prudenziale e falsificabile delle proiezioni. Resta ferma la natura della mappa come strumento di orientamento, la cui funzione è rendere visibile la complessità sistemica della riforma, e non sostituire la ricerca empirica che il dispiegamento scaglionato del servizio sui dati pugliesi è chiamato a condurre.</w:t>
      </w:r>
    </w:p>
    <w:bookmarkEnd w:id="1005"/>
    <w:bookmarkStart w:id="1014" w:name="note-bibliografiche-integrali-9"/>
    <w:p>
      <w:pPr>
        <w:pStyle w:val="Heading2"/>
      </w:pPr>
      <w:r>
        <w:t xml:space="preserve">Note Bibliografiche Integrali</w:t>
      </w:r>
    </w:p>
    <w:p>
      <w:pPr>
        <w:pStyle w:val="FirstParagraph"/>
      </w:pPr>
      <w:r>
        <w:rPr>
          <w:i/>
          <w:iCs/>
        </w:rPr>
        <w:t xml:space="preserve">Le note che seguono raccolgono i riferimenti primari che fondano la mappa. Ciascuna voce reca la citazione, una sintesi del suo rilievo per l</w:t>
      </w:r>
      <w:r>
        <w:rPr>
          <w:b/>
          <w:bCs/>
          <w:i/>
          <w:iCs/>
        </w:rPr>
        <w:t xml:space="preserve">’</w:t>
      </w:r>
      <w:r>
        <w:rPr>
          <w:i/>
          <w:iCs/>
        </w:rPr>
        <w:t xml:space="preserve">opera e il collegamento permanente alla fonte. I riferimenti relativi alle sperimentazioni italiane e ad alcune esperienze comprendono in parte letteratura grigia, e sono presentati come indicazioni convergenti più che come stime puntuali generalizzabili.</w:t>
      </w:r>
    </w:p>
    <w:p>
      <w:pPr>
        <w:pStyle w:val="BodyText"/>
      </w:pPr>
      <w:r>
        <w:rPr>
          <w:b/>
          <w:bCs/>
        </w:rPr>
        <w:t xml:space="preserve">OECD (2026). The Economic Case for Preventing Mental Ill Health.</w:t>
      </w:r>
    </w:p>
    <w:p>
      <w:pPr>
        <w:pStyle w:val="BodyText"/>
      </w:pPr>
      <w:r>
        <w:t xml:space="preserve">Riferimento economico primario dell’intero Studio Integrale: fornisce la cornice e i parametri per l’analisi del caso economico della prevenzione della cattiva salute mentale, cui sono ancorate le quantificazioni della mappa.</w:t>
      </w:r>
    </w:p>
    <w:p>
      <w:pPr>
        <w:pStyle w:val="BodyText"/>
      </w:pPr>
      <w:hyperlink r:id="rId1006">
        <w:r>
          <w:rPr>
            <w:rStyle w:val="Hyperlink"/>
          </w:rPr>
          <w:t xml:space="preserve">https://doi.org/10.1787/16668f16-en</w:t>
        </w:r>
      </w:hyperlink>
    </w:p>
    <w:p>
      <w:pPr>
        <w:pStyle w:val="BodyText"/>
      </w:pPr>
      <w:r>
        <w:rPr>
          <w:b/>
          <w:bCs/>
        </w:rPr>
        <w:t xml:space="preserve">Chisholm, D. et al. (2016). Scaling-up treatment of depression and anxiety: a global return on investment analysis. The Lancet Psychiatry.</w:t>
      </w:r>
    </w:p>
    <w:p>
      <w:pPr>
        <w:pStyle w:val="BodyText"/>
      </w:pPr>
      <w:r>
        <w:t xml:space="preserve">Fonte degli unici intervalli ammessi per il rapporto di ritorno sull’investimento, distinti tra i soli benefici economici e l’inclusione dei ritorni in salute; vincola la mappa all’uso esclusivo di tali bande.</w:t>
      </w:r>
    </w:p>
    <w:p>
      <w:pPr>
        <w:pStyle w:val="BodyText"/>
      </w:pPr>
      <w:hyperlink r:id="rId278">
        <w:r>
          <w:rPr>
            <w:rStyle w:val="Hyperlink"/>
          </w:rPr>
          <w:t xml:space="preserve">https://doi.org/10.1016/S2215-0366(16)30024-4</w:t>
        </w:r>
      </w:hyperlink>
    </w:p>
    <w:p>
      <w:pPr>
        <w:pStyle w:val="BodyText"/>
      </w:pPr>
      <w:r>
        <w:rPr>
          <w:b/>
          <w:bCs/>
        </w:rPr>
        <w:t xml:space="preserve">Unützer, J. et al. (2002). Collaborative care management of late-life depression in the primary care setting (studio IMPACT). JAMA.</w:t>
      </w:r>
    </w:p>
    <w:p>
      <w:pPr>
        <w:pStyle w:val="BodyText"/>
      </w:pPr>
      <w:r>
        <w:t xml:space="preserve">Documenta l’efficacia della cura collaborativa per la depressione dell’anziano e fonda l’avvertenza metodologica sui limiti di significatività statistica dei risparmi sanitari diretti considerati in isolamento.</w:t>
      </w:r>
    </w:p>
    <w:p>
      <w:pPr>
        <w:pStyle w:val="BodyText"/>
      </w:pPr>
      <w:hyperlink r:id="rId279">
        <w:r>
          <w:rPr>
            <w:rStyle w:val="Hyperlink"/>
          </w:rPr>
          <w:t xml:space="preserve">https://doi.org/10.1001/jama.288.22.2836</w:t>
        </w:r>
      </w:hyperlink>
    </w:p>
    <w:p>
      <w:pPr>
        <w:pStyle w:val="BodyText"/>
      </w:pPr>
      <w:r>
        <w:rPr>
          <w:b/>
          <w:bCs/>
        </w:rPr>
        <w:t xml:space="preserve">Solano, L. (2011). Tra mente e corpo. Come si costruisce la salute. Raffaello Cortina Editore.</w:t>
      </w:r>
    </w:p>
    <w:p>
      <w:pPr>
        <w:pStyle w:val="BodyText"/>
      </w:pPr>
      <w:r>
        <w:t xml:space="preserve">Riferimento delle sperimentazioni italiane di copresenza dello psicologo nelle cure primarie nel territorio di Orvieto, che hanno documentato riduzioni della spesa sanitaria e farmaceutica; in parte letteratura grigia, di valore orientativo.</w:t>
      </w:r>
    </w:p>
    <w:p>
      <w:pPr>
        <w:pStyle w:val="BodyText"/>
      </w:pPr>
      <w:hyperlink r:id="rId1007">
        <w:r>
          <w:rPr>
            <w:rStyle w:val="Hyperlink"/>
          </w:rPr>
          <w:t xml:space="preserve">raffaellocortina.it</w:t>
        </w:r>
      </w:hyperlink>
    </w:p>
    <w:p>
      <w:pPr>
        <w:pStyle w:val="BodyText"/>
      </w:pPr>
      <w:r>
        <w:rPr>
          <w:b/>
          <w:bCs/>
        </w:rPr>
        <w:t xml:space="preserve">Wagner, E. H. (1998). Chronic Care Model.</w:t>
      </w:r>
    </w:p>
    <w:p>
      <w:pPr>
        <w:pStyle w:val="BodyText"/>
      </w:pPr>
      <w:r>
        <w:t xml:space="preserve">Modello organizzativo della gestione integrata delle malattie croniche, recepito dal Piano Nazionale della Cronicità, entro cui si colloca l’integrazione dello Psicologo di Base nei percorsi diagnostico-terapeutici assistenziali.</w:t>
      </w:r>
    </w:p>
    <w:p>
      <w:pPr>
        <w:pStyle w:val="BodyText"/>
      </w:pPr>
      <w:hyperlink r:id="rId1008">
        <w:r>
          <w:rPr>
            <w:rStyle w:val="Hyperlink"/>
          </w:rPr>
          <w:t xml:space="preserve">improvingchroniccare.org</w:t>
        </w:r>
      </w:hyperlink>
    </w:p>
    <w:p>
      <w:pPr>
        <w:pStyle w:val="BodyText"/>
      </w:pPr>
      <w:r>
        <w:rPr>
          <w:b/>
          <w:bCs/>
        </w:rPr>
        <w:t xml:space="preserve">Satin, J. R., Linden, W., Phillips, M. J. (2009). Depression as a predictor of disease progression and mortality in cancer patients. Cancer.</w:t>
      </w:r>
    </w:p>
    <w:p>
      <w:pPr>
        <w:pStyle w:val="BodyText"/>
      </w:pPr>
      <w:r>
        <w:t xml:space="preserve">Fonda il rilievo del dominio oncologico, documentando l’associazione tra depressione ed esiti nei pazienti con neoplasia e la conseguente rilevanza della presa in carico psicologica.</w:t>
      </w:r>
    </w:p>
    <w:p>
      <w:pPr>
        <w:pStyle w:val="BodyText"/>
      </w:pPr>
      <w:hyperlink r:id="rId1009">
        <w:r>
          <w:rPr>
            <w:rStyle w:val="Hyperlink"/>
          </w:rPr>
          <w:t xml:space="preserve">https://doi.org/10.1002/cncr.24561</w:t>
        </w:r>
      </w:hyperlink>
    </w:p>
    <w:p>
      <w:pPr>
        <w:pStyle w:val="BodyText"/>
      </w:pPr>
      <w:r>
        <w:rPr>
          <w:b/>
          <w:bCs/>
        </w:rPr>
        <w:t xml:space="preserve">Carson, A. et al. (2012). Functional neurological disorders. JAMA Neurology.</w:t>
      </w:r>
    </w:p>
    <w:p>
      <w:pPr>
        <w:pStyle w:val="BodyText"/>
      </w:pPr>
      <w:r>
        <w:t xml:space="preserve">Riferimento, per la fonte di progetto, della quota di disturbi neurologici funzionali tra le nuove diagnosi neurologiche, su cui si fonda la rilevanza del dominio neurologico per le cure primarie.</w:t>
      </w:r>
    </w:p>
    <w:p>
      <w:pPr>
        <w:pStyle w:val="BodyText"/>
      </w:pPr>
      <w:hyperlink r:id="rId1010">
        <w:r>
          <w:rPr>
            <w:rStyle w:val="Hyperlink"/>
          </w:rPr>
          <w:t xml:space="preserve">jamanetwork.com</w:t>
        </w:r>
      </w:hyperlink>
    </w:p>
    <w:p>
      <w:pPr>
        <w:pStyle w:val="BodyText"/>
      </w:pPr>
      <w:r>
        <w:rPr>
          <w:b/>
          <w:bCs/>
        </w:rPr>
        <w:t xml:space="preserve">World Health Organization, Regional Office for Europe (2025). Strategie per il potenziamento della salute mentale nelle cure primarie.</w:t>
      </w:r>
    </w:p>
    <w:p>
      <w:pPr>
        <w:pStyle w:val="BodyText"/>
      </w:pPr>
      <w:r>
        <w:t xml:space="preserve">Colloca l’integrazione di professionisti dedicati nei team di cure primarie tra le strategie cardine per il potenziamento della salute mentale, a conferma dell’assetto adottato dal modello pugliese.</w:t>
      </w:r>
    </w:p>
    <w:p>
      <w:pPr>
        <w:pStyle w:val="BodyText"/>
      </w:pPr>
      <w:hyperlink r:id="rId1011">
        <w:r>
          <w:rPr>
            <w:rStyle w:val="Hyperlink"/>
          </w:rPr>
          <w:t xml:space="preserve">who.int/europe</w:t>
        </w:r>
      </w:hyperlink>
    </w:p>
    <w:p>
      <w:pPr>
        <w:pStyle w:val="BodyText"/>
      </w:pPr>
      <w:r>
        <w:rPr>
          <w:b/>
          <w:bCs/>
        </w:rPr>
        <w:t xml:space="preserve">American Psychiatric Association (2013). DSM-5 e Cultural Formulation Interview.</w:t>
      </w:r>
    </w:p>
    <w:p>
      <w:pPr>
        <w:pStyle w:val="BodyText"/>
      </w:pPr>
      <w:r>
        <w:t xml:space="preserve">Fornisce gli strumenti di formulazione culturale del disagio che fondano il dominio dell’antropologia medica e dell’etnopsichiatria e la valutazione culturalmente avvertita propria della medicina di genere.</w:t>
      </w:r>
    </w:p>
    <w:p>
      <w:pPr>
        <w:pStyle w:val="BodyText"/>
      </w:pPr>
      <w:hyperlink r:id="rId1012">
        <w:r>
          <w:rPr>
            <w:rStyle w:val="Hyperlink"/>
          </w:rPr>
          <w:t xml:space="preserve">psychiatry.org</w:t>
        </w:r>
      </w:hyperlink>
    </w:p>
    <w:p>
      <w:pPr>
        <w:pStyle w:val="BodyText"/>
      </w:pPr>
      <w:r>
        <w:rPr>
          <w:b/>
          <w:bCs/>
        </w:rPr>
        <w:t xml:space="preserve">Regione Puglia. Legge Regionale n. 11/2023, istitutiva del Servizio di Psicologia di Base.</w:t>
      </w:r>
    </w:p>
    <w:p>
      <w:pPr>
        <w:pStyle w:val="BodyText"/>
      </w:pPr>
      <w:r>
        <w:t xml:space="preserve">Fonte normativa regionale della riforma: istituisce la figura nel Servizio Sanitario Regionale e costituisce la cornice di legittimità su cui poggia l’intero impianto dell’opera.</w:t>
      </w:r>
    </w:p>
    <w:p>
      <w:pPr>
        <w:pStyle w:val="BodyText"/>
      </w:pPr>
      <w:hyperlink r:id="rId1013">
        <w:r>
          <w:rPr>
            <w:rStyle w:val="Hyperlink"/>
          </w:rPr>
          <w:t xml:space="preserve">regione.puglia.it</w:t>
        </w:r>
      </w:hyperlink>
    </w:p>
    <w:p>
      <w:pPr>
        <w:pStyle w:val="SourceCode"/>
      </w:pPr>
      <w:r>
        <w:rPr>
          <w:rStyle w:val="VerbatimChar"/>
        </w:rPr>
        <w:t xml:space="preserve">Luigi De Michele — Giugno 2026  Pag. </w:t>
      </w:r>
    </w:p>
    <w:p>
      <w:r>
        <w:br w:type="page"/>
      </w:r>
    </w:p>
    <w:bookmarkEnd w:id="1014"/>
    <w:bookmarkEnd w:id="1015"/>
    <w:bookmarkStart w:id="1029" w:name="Xdcd271fbe97eb2684bea4979f2667ab9a1b3c65"/>
    <w:p>
      <w:pPr>
        <w:pStyle w:val="Heading1"/>
      </w:pPr>
      <w:r>
        <w:t xml:space="preserve">Appendice II — Quantificazione su dati primari regionali</w:t>
      </w:r>
    </w:p>
    <w:p>
      <w:pPr>
        <w:pStyle w:val="FirstParagraph"/>
      </w:pPr>
      <w:r>
        <w:t xml:space="preserve">Psicologo di base in Puglia · quantificazione su dati primari regionali</w:t>
      </w:r>
    </w:p>
    <w:p>
      <w:pPr>
        <w:pStyle w:val="BodyText"/>
      </w:pPr>
      <w:r>
        <w:rPr>
          <w:b/>
          <w:bCs/>
        </w:rPr>
        <w:t xml:space="preserve">PROGETTO «PSICOLOGO DI BASE» · REGIONE PUGLIA</w:t>
      </w:r>
    </w:p>
    <w:p>
      <w:pPr>
        <w:pStyle w:val="BodyText"/>
      </w:pPr>
      <w:r>
        <w:t xml:space="preserve">Revisione della quantificazione su dati primari</w:t>
      </w:r>
    </w:p>
    <w:p>
      <w:pPr>
        <w:pStyle w:val="BodyText"/>
      </w:pPr>
      <w:r>
        <w:rPr>
          <w:b/>
          <w:bCs/>
        </w:rPr>
        <w:t xml:space="preserve">Quantificazione su dati primari regionali</w:t>
      </w:r>
    </w:p>
    <w:p>
      <w:pPr>
        <w:pStyle w:val="BodyText"/>
      </w:pPr>
      <w:r>
        <w:rPr>
          <w:b/>
          <w:bCs/>
        </w:rPr>
        <w:t xml:space="preserve">dai valori del Servizio sanitario regionale alle stime di risparmio</w:t>
      </w:r>
    </w:p>
    <w:p>
      <w:pPr>
        <w:pStyle w:val="BodyText"/>
      </w:pPr>
      <w:r>
        <w:rPr>
          <w:i/>
          <w:iCs/>
        </w:rPr>
        <w:t xml:space="preserve">Conti SSR, flussi di mobilità, pronto soccorso, farmaceutica e salute mentale — con la distinzione tra risparmi diretti e ricadute sociali</w:t>
      </w:r>
    </w:p>
    <w:p>
      <w:pPr>
        <w:pStyle w:val="BodyText"/>
      </w:pPr>
      <w:r>
        <w:rPr>
          <w:b/>
          <w:bCs/>
        </w:rPr>
        <w:t xml:space="preserve">Indice</w:t>
      </w:r>
    </w:p>
    <w:bookmarkStart w:id="1017" w:name="premessa-e-metodo"/>
    <w:p>
      <w:pPr>
        <w:pStyle w:val="Heading2"/>
      </w:pPr>
      <w:r>
        <w:t xml:space="preserve">Premessa e metodo</w:t>
      </w:r>
    </w:p>
    <w:p>
      <w:pPr>
        <w:pStyle w:val="FirstParagraph"/>
      </w:pPr>
      <w:r>
        <w:t xml:space="preserve">Questa revisione sostituisce le stime prudenziali della quantificazione con valori ricavati dalle fonti primarie del Servizio sanitario regionale pugliese: i conti del SSR, i flussi di mobilità, i dati sul pronto soccorso, la farmaceutica e la salute mentale. L’obiettivo è ancorare ogni canale di risparmio a una grandezza regionale documentata, anziché a un valore assunto.</w:t>
      </w:r>
      <w:r>
        <w:rPr>
          <w:rStyle w:val="FootnoteReference"/>
        </w:rPr>
        <w:footnoteReference w:id="406"/>
      </w:r>
      <w:r>
        <w:t xml:space="preserve"> </w:t>
      </w:r>
      <w:r>
        <w:t xml:space="preserve">Il metodo comporta una scelta di rigore che ha una conseguenza importante: occorre distinguere i risparmi diretti per il bilancio sanitario — pronto soccorso, farmaceutica, ricoveri, specialistica, mobilità — dalle ricadute economico-sociali, soprattutto la produttività recuperata. Sommare le due grandezze, come spesso accade, sovrastima il beneficio per il bilancio. Tenendole separate, il quadro risulta più sobrio sul piano dei conti sanitari, ma più solido e difendibile di fronte agli organi di controllo — una qualità decisiva per una regione sotto vincoli di rientro.</w:t>
      </w:r>
    </w:p>
    <w:bookmarkEnd w:id="1017"/>
    <w:bookmarkStart w:id="1020" w:name="le-fonti-e-i-valori-regionali"/>
    <w:p>
      <w:pPr>
        <w:pStyle w:val="Heading2"/>
      </w:pPr>
      <w:r>
        <w:t xml:space="preserve">1. Le fonti e i valori regionali</w:t>
      </w:r>
    </w:p>
    <w:p>
      <w:pPr>
        <w:pStyle w:val="FirstParagraph"/>
      </w:pPr>
      <w:r>
        <w:t xml:space="preserve">Il contesto di bilancio è stringente. La Puglia ha ricevuto per il 2025 un finanziamento di circa 8,8 miliardi di euro, chiudendo con un disavanzo di circa 350 milioni; nei quattro anni precedenti i disavanzi cumulati superano i 480 milioni.</w:t>
      </w:r>
      <w:r>
        <w:rPr>
          <w:rStyle w:val="FootnoteReference"/>
        </w:rPr>
        <w:footnoteReference w:id="407"/>
      </w:r>
      <w:r>
        <w:t xml:space="preserve"> </w:t>
      </w:r>
      <w:r>
        <w:t xml:space="preserve">La Corte costituzionale ha ribadito che una regione in piano di rientro non può distrarre i fondi sanitari da finalità diverse dai livelli essenziali: ogni euro va giustificato.</w:t>
      </w:r>
      <w:r>
        <w:rPr>
          <w:rStyle w:val="FootnoteReference"/>
        </w:rPr>
        <w:footnoteReference w:id="408"/>
      </w:r>
      <w:r>
        <w:t xml:space="preserve"> </w:t>
      </w:r>
      <w:r>
        <w:t xml:space="preserve">La tabella raccoglie i valori regionali utilizzati come base della quantificazione.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Fonte / 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regionale</w:t>
            </w:r>
          </w:p>
        </w:tc>
      </w:tr>
      <w:tr>
        <w:tc>
          <w:tcPr/>
          <w:p>
            <w:pPr>
              <w:pStyle w:val="Compact"/>
              <w:spacing w:after="40" w:before="40"/>
              <w:jc w:val="left"/>
            </w:pPr>
            <w:r>
              <w:rPr>
                <w:rFonts w:ascii="Cambria" w:hAnsi="Cambria" w:cs="Cambria" w:eastAsia="Cambria"/>
                <w:b/>
                <w:bCs/>
                <w:color w:val="1A1A1A"/>
                <w:sz w:val="18"/>
              </w:rPr>
              <w:t xml:space="preserve">Finanziamento del SSR (2025)</w:t>
            </w:r>
          </w:p>
        </w:tc>
        <w:tc>
          <w:tcPr/>
          <w:p>
            <w:pPr>
              <w:pStyle w:val="Compact"/>
              <w:spacing w:after="40" w:before="40"/>
              <w:jc w:val="left"/>
            </w:pPr>
            <w:r>
              <w:rPr>
                <w:rFonts w:ascii="Cambria" w:hAnsi="Cambria" w:cs="Cambria" w:eastAsia="Cambria"/>
                <w:color w:val="1A1A1A"/>
                <w:sz w:val="18"/>
              </w:rPr>
              <w:t xml:space="preserve">circa 8,8 miliardi di euro; disavanzo circa 350 milioni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passiva (2023)</w:t>
            </w:r>
          </w:p>
        </w:tc>
        <w:tc>
          <w:tcPr>
            <w:shd w:val="clear" w:color="auto" w:fill="F4F1EC"/>
          </w:tcPr>
          <w:p>
            <w:pPr>
              <w:pStyle w:val="Compact"/>
              <w:spacing w:after="40" w:before="40"/>
              <w:jc w:val="left"/>
            </w:pPr>
            <w:r>
              <w:rPr>
                <w:rFonts w:ascii="Cambria" w:hAnsi="Cambria" w:cs="Cambria" w:eastAsia="Cambria"/>
                <w:color w:val="1A1A1A"/>
                <w:sz w:val="18"/>
              </w:rPr>
              <w:t xml:space="preserve">saldo −253,2 milioni; debiti 376,6 milioni; ~240 milioni nel 2024</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37 presidi; 1.142.448 accessi/anno; ~914.000 inappropriati (80%)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Farmaceutica</w:t>
            </w:r>
          </w:p>
        </w:tc>
        <w:tc>
          <w:tcPr>
            <w:shd w:val="clear" w:color="auto" w:fill="F4F1EC"/>
          </w:tcPr>
          <w:p>
            <w:pPr>
              <w:pStyle w:val="Compact"/>
              <w:spacing w:after="40" w:before="40"/>
              <w:jc w:val="left"/>
            </w:pPr>
            <w:r>
              <w:rPr>
                <w:rFonts w:ascii="Cambria" w:hAnsi="Cambria" w:cs="Cambria" w:eastAsia="Cambria"/>
                <w:color w:val="1A1A1A"/>
                <w:sz w:val="18"/>
              </w:rPr>
              <w:t xml:space="preserve">tra i consumi più alti d’Italia (1.081,9 DDD/1000 ab. die); spesa pubblica ~2,3% del PIL (Sud)</w:t>
            </w:r>
          </w:p>
        </w:tc>
      </w:tr>
      <w:tr>
        <w:tc>
          <w:tcPr/>
          <w:p>
            <w:pPr>
              <w:pStyle w:val="Compact"/>
              <w:spacing w:after="40" w:before="40"/>
              <w:jc w:val="left"/>
            </w:pPr>
            <w:r>
              <w:rPr>
                <w:rFonts w:ascii="Cambria" w:hAnsi="Cambria" w:cs="Cambria" w:eastAsia="Cambria"/>
                <w:b/>
                <w:bCs/>
                <w:color w:val="1A1A1A"/>
                <w:sz w:val="18"/>
              </w:rPr>
              <w:t xml:space="preserve">Salute mentale</w:t>
            </w:r>
          </w:p>
        </w:tc>
        <w:tc>
          <w:tcPr/>
          <w:p>
            <w:pPr>
              <w:pStyle w:val="Compact"/>
              <w:spacing w:after="40" w:before="40"/>
              <w:jc w:val="left"/>
            </w:pPr>
            <w:r>
              <w:rPr>
                <w:rFonts w:ascii="Cambria" w:hAnsi="Cambria" w:cs="Cambria" w:eastAsia="Cambria"/>
                <w:color w:val="1A1A1A"/>
                <w:sz w:val="18"/>
              </w:rPr>
              <w:t xml:space="preserve">~780.000 con disagio/sottosoglia; ~55.000 in carico ai DSM; 18.939 nuovi (2023)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Servizio attuale (L.R. 11/2023)</w:t>
            </w:r>
          </w:p>
        </w:tc>
        <w:tc>
          <w:tcPr>
            <w:shd w:val="clear" w:color="auto" w:fill="F4F1EC"/>
          </w:tcPr>
          <w:p>
            <w:pPr>
              <w:pStyle w:val="Compact"/>
              <w:spacing w:after="40" w:before="40"/>
              <w:jc w:val="left"/>
            </w:pPr>
            <w:r>
              <w:rPr>
                <w:rFonts w:ascii="Cambria" w:hAnsi="Cambria" w:cs="Cambria" w:eastAsia="Cambria"/>
                <w:color w:val="1A1A1A"/>
                <w:sz w:val="18"/>
              </w:rPr>
              <w:t xml:space="preserve">~45 psicologi (1/Distretto); 1,5 milioni/anno; ~5% del fabbisogno</w:t>
            </w:r>
          </w:p>
        </w:tc>
      </w:tr>
    </w:tbl>
    <w:p>
      <w:pPr>
        <w:pStyle w:val="BodyText"/>
      </w:pPr>
      <w:r>
        <w:rPr>
          <w:i/>
          <w:iCs/>
        </w:rPr>
        <w:t xml:space="preserve">Tabella 1. I valori regionali di ancoraggio (Corte dei Conti, GIMBE, dati regionali emergenza-urgenza, AIFA-OsMed, Ministero della Salute).</w:t>
      </w:r>
    </w:p>
    <w:bookmarkEnd w:id="1020"/>
    <w:bookmarkStart w:id="1024" w:name="la-derivazione-per-canale"/>
    <w:p>
      <w:pPr>
        <w:pStyle w:val="Heading2"/>
      </w:pPr>
      <w:r>
        <w:t xml:space="preserve">2. La derivazione per canale</w:t>
      </w:r>
    </w:p>
    <w:p>
      <w:pPr>
        <w:pStyle w:val="FirstParagraph"/>
      </w:pPr>
      <w:r>
        <w:t xml:space="preserve">Ogni canale è ricostruito a partire da una grandezza regionale, moltiplicata per un parametro tratto dall’evidenza. Per il pronto soccorso, dei circa 914.000 accessi inappropriati una quota è riconducibile a disagio psichico e sintomi somatici funzionali; su questa quota agisce la riduzione documentata dell’ 11–14%.</w:t>
      </w:r>
      <w:r>
        <w:rPr>
          <w:rStyle w:val="FootnoteReference"/>
        </w:rPr>
        <w:footnoteReference w:id="409"/>
      </w:r>
      <w:r>
        <w:t xml:space="preserve"> </w:t>
      </w:r>
      <w:r>
        <w:t xml:space="preserve">Per la farmaceutica, l’alto consumo pugliese e la bassa aderenza agli antidepressivi indicano margini di appropriatezza, soprattutto nella sostituzione di terapie croniche non necessarie con percorsi psicologici.</w:t>
      </w:r>
      <w:r>
        <w:rPr>
          <w:rStyle w:val="FootnoteReference"/>
        </w:rPr>
        <w:footnoteReference w:id="410"/>
      </w:r>
      <w:r>
        <w:t xml:space="preserve"> </w:t>
      </w:r>
      <w:r>
        <w:t xml:space="preserve">La voce di gran lunga maggiore — la produttività recuperata — è però una ricaduta sociale, non un risparmio di bilancio.</w:t>
      </w:r>
    </w:p>
    <w:p>
      <w:pPr>
        <w:pStyle w:val="BodyText"/>
      </w:pPr>
      <w:r>
        <w:t xml:space="preserve">In linea con la letteratura economica, il forte ritorno del trattamento della salute mentale deriva soprattutto dalla produttività e dal funzionamento recuperati, più che dal risparmio diretto sui servizi.</w:t>
      </w:r>
      <w:r>
        <w:rPr>
          <w:rStyle w:val="FootnoteReference"/>
        </w:rPr>
        <w:footnoteReference w:id="411"/>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Canale</w:t>
            </w:r>
          </w:p>
        </w:tc>
        <w:tc>
          <w:tcPr>
            <w:shd w:val="clear" w:color="auto" w:fill="16264B"/>
          </w:tcPr>
          <w:p>
            <w:pPr>
              <w:pStyle w:val="Compact"/>
              <w:spacing w:after="40" w:before="40"/>
              <w:jc w:val="left"/>
            </w:pPr>
            <w:r>
              <w:rPr>
                <w:rFonts w:ascii="Cambria" w:hAnsi="Cambria" w:cs="Cambria" w:eastAsia="Cambria"/>
                <w:b/>
                <w:bCs/>
                <w:color w:val="FFFFFF"/>
                <w:sz w:val="18"/>
              </w:rPr>
              <w:t xml:space="preserve">Derivazione su base regionale</w:t>
            </w:r>
          </w:p>
        </w:tc>
        <w:tc>
          <w:tcPr>
            <w:shd w:val="clear" w:color="auto" w:fill="16264B"/>
          </w:tcPr>
          <w:p>
            <w:pPr>
              <w:pStyle w:val="Compact"/>
              <w:spacing w:after="40" w:before="40"/>
              <w:jc w:val="left"/>
            </w:pPr>
            <w:r>
              <w:rPr>
                <w:rFonts w:ascii="Cambria" w:hAnsi="Cambria" w:cs="Cambria" w:eastAsia="Cambria"/>
                <w:b/>
                <w:bCs/>
                <w:color w:val="FFFFFF"/>
                <w:sz w:val="18"/>
              </w:rPr>
              <w:t xml:space="preserve">Stima/anno</w:t>
            </w:r>
          </w:p>
        </w:tc>
        <w:tc>
          <w:tcPr>
            <w:shd w:val="clear" w:color="auto" w:fill="16264B"/>
          </w:tcPr>
          <w:p>
            <w:pPr>
              <w:pStyle w:val="Compact"/>
              <w:spacing w:after="40" w:before="40"/>
              <w:jc w:val="left"/>
            </w:pPr>
            <w:r>
              <w:rPr>
                <w:rFonts w:ascii="Cambria" w:hAnsi="Cambria" w:cs="Cambria" w:eastAsia="Cambria"/>
                <w:b/>
                <w:bCs/>
                <w:color w:val="FFFFFF"/>
                <w:sz w:val="18"/>
              </w:rPr>
              <w:t xml:space="preserve">Tipo</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914.000 accessi impropri × ~15% di origine psichica × ~12% riducibili × ~200 €</w:t>
            </w:r>
          </w:p>
        </w:tc>
        <w:tc>
          <w:tcPr/>
          <w:p>
            <w:pPr>
              <w:pStyle w:val="Compact"/>
              <w:spacing w:after="40" w:before="40"/>
              <w:jc w:val="left"/>
            </w:pPr>
            <w:r>
              <w:rPr>
                <w:rFonts w:ascii="Cambria" w:hAnsi="Cambria" w:cs="Cambria" w:eastAsia="Cambria"/>
                <w:color w:val="1A1A1A"/>
                <w:sz w:val="18"/>
              </w:rPr>
              <w:t xml:space="preserve">~3–5 mln</w:t>
            </w:r>
          </w:p>
        </w:tc>
        <w:tc>
          <w:tcPr/>
          <w:p>
            <w:pPr>
              <w:pStyle w:val="Compact"/>
              <w:spacing w:after="40" w:before="40"/>
              <w:jc w:val="left"/>
            </w:pPr>
            <w:r>
              <w:rPr>
                <w:rFonts w:ascii="Cambria" w:hAnsi="Cambria" w:cs="Cambria" w:eastAsia="Cambria"/>
                <w:color w:val="1A1A1A"/>
                <w:sz w:val="18"/>
              </w:rPr>
              <w:t xml:space="preserve">Diretto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Farmaceutica</w:t>
            </w:r>
          </w:p>
        </w:tc>
        <w:tc>
          <w:tcPr>
            <w:shd w:val="clear" w:color="auto" w:fill="F4F1EC"/>
          </w:tcPr>
          <w:p>
            <w:pPr>
              <w:pStyle w:val="Compact"/>
              <w:spacing w:after="40" w:before="40"/>
              <w:jc w:val="left"/>
            </w:pPr>
            <w:r>
              <w:rPr>
                <w:rFonts w:ascii="Cambria" w:hAnsi="Cambria" w:cs="Cambria" w:eastAsia="Cambria"/>
                <w:color w:val="1A1A1A"/>
                <w:sz w:val="18"/>
              </w:rPr>
              <w:t xml:space="preserve">spesa psicofarmaci convenzionata × quota inappropriata riducibile</w:t>
            </w:r>
          </w:p>
        </w:tc>
        <w:tc>
          <w:tcPr>
            <w:shd w:val="clear" w:color="auto" w:fill="F4F1EC"/>
          </w:tcPr>
          <w:p>
            <w:pPr>
              <w:pStyle w:val="Compact"/>
              <w:spacing w:after="40" w:before="40"/>
              <w:jc w:val="left"/>
            </w:pPr>
            <w:r>
              <w:rPr>
                <w:rFonts w:ascii="Cambria" w:hAnsi="Cambria" w:cs="Cambria" w:eastAsia="Cambria"/>
                <w:color w:val="1A1A1A"/>
                <w:sz w:val="18"/>
              </w:rPr>
              <w:t xml:space="preserve">~3–6 mln</w:t>
            </w:r>
          </w:p>
        </w:tc>
        <w:tc>
          <w:tcPr>
            <w:shd w:val="clear" w:color="auto" w:fill="F4F1EC"/>
          </w:tcPr>
          <w:p>
            <w:pPr>
              <w:pStyle w:val="Compact"/>
              <w:spacing w:after="40" w:before="40"/>
              <w:jc w:val="left"/>
            </w:pPr>
            <w:r>
              <w:rPr>
                <w:rFonts w:ascii="Cambria" w:hAnsi="Cambria" w:cs="Cambria" w:eastAsia="Cambria"/>
                <w:color w:val="1A1A1A"/>
                <w:sz w:val="18"/>
              </w:rPr>
              <w:t xml:space="preserve">Diretto</w:t>
            </w:r>
          </w:p>
        </w:tc>
      </w:tr>
      <w:tr>
        <w:tc>
          <w:tcPr/>
          <w:p>
            <w:pPr>
              <w:pStyle w:val="Compact"/>
              <w:spacing w:after="40" w:before="40"/>
              <w:jc w:val="left"/>
            </w:pPr>
            <w:r>
              <w:rPr>
                <w:rFonts w:ascii="Cambria" w:hAnsi="Cambria" w:cs="Cambria" w:eastAsia="Cambria"/>
                <w:b/>
                <w:bCs/>
                <w:color w:val="1A1A1A"/>
                <w:sz w:val="18"/>
              </w:rPr>
              <w:t xml:space="preserve">Ricoveri e specialistica</w:t>
            </w:r>
          </w:p>
        </w:tc>
        <w:tc>
          <w:tcPr/>
          <w:p>
            <w:pPr>
              <w:pStyle w:val="Compact"/>
              <w:spacing w:after="40" w:before="40"/>
              <w:jc w:val="left"/>
            </w:pPr>
            <w:r>
              <w:rPr>
                <w:rFonts w:ascii="Cambria" w:hAnsi="Cambria" w:cs="Cambria" w:eastAsia="Cambria"/>
                <w:color w:val="1A1A1A"/>
                <w:sz w:val="18"/>
              </w:rPr>
              <w:t xml:space="preserve">iper-utilizzo da sintomi somatici (~5× prescrizioni) e ricoveri evitabili</w:t>
            </w:r>
          </w:p>
        </w:tc>
        <w:tc>
          <w:tcPr/>
          <w:p>
            <w:pPr>
              <w:pStyle w:val="Compact"/>
              <w:spacing w:after="40" w:before="40"/>
              <w:jc w:val="left"/>
            </w:pPr>
            <w:r>
              <w:rPr>
                <w:rFonts w:ascii="Cambria" w:hAnsi="Cambria" w:cs="Cambria" w:eastAsia="Cambria"/>
                <w:color w:val="1A1A1A"/>
                <w:sz w:val="18"/>
              </w:rPr>
              <w:t xml:space="preserve">~12–20 mln</w:t>
            </w:r>
          </w:p>
        </w:tc>
        <w:tc>
          <w:tcPr/>
          <w:p>
            <w:pPr>
              <w:pStyle w:val="Compact"/>
              <w:spacing w:after="40" w:before="40"/>
              <w:jc w:val="left"/>
            </w:pPr>
            <w:r>
              <w:rPr>
                <w:rFonts w:ascii="Cambria" w:hAnsi="Cambria" w:cs="Cambria" w:eastAsia="Cambria"/>
                <w:color w:val="1A1A1A"/>
                <w:sz w:val="18"/>
              </w:rPr>
              <w:t xml:space="preserve">Diretto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recuperata</w:t>
            </w:r>
          </w:p>
        </w:tc>
        <w:tc>
          <w:tcPr>
            <w:shd w:val="clear" w:color="auto" w:fill="F4F1EC"/>
          </w:tcPr>
          <w:p>
            <w:pPr>
              <w:pStyle w:val="Compact"/>
              <w:spacing w:after="40" w:before="40"/>
              <w:jc w:val="left"/>
            </w:pPr>
            <w:r>
              <w:rPr>
                <w:rFonts w:ascii="Cambria" w:hAnsi="Cambria" w:cs="Cambria" w:eastAsia="Cambria"/>
                <w:color w:val="1A1A1A"/>
                <w:sz w:val="18"/>
              </w:rPr>
              <w:t xml:space="preserve">quota psichiatrica della mobilità passiva + effetto di ritenzione</w:t>
            </w:r>
          </w:p>
        </w:tc>
        <w:tc>
          <w:tcPr>
            <w:shd w:val="clear" w:color="auto" w:fill="F4F1EC"/>
          </w:tcPr>
          <w:p>
            <w:pPr>
              <w:pStyle w:val="Compact"/>
              <w:spacing w:after="40" w:before="40"/>
              <w:jc w:val="left"/>
            </w:pPr>
            <w:r>
              <w:rPr>
                <w:rFonts w:ascii="Cambria" w:hAnsi="Cambria" w:cs="Cambria" w:eastAsia="Cambria"/>
                <w:color w:val="1A1A1A"/>
                <w:sz w:val="18"/>
              </w:rPr>
              <w:t xml:space="preserve">~6–12 mln</w:t>
            </w:r>
          </w:p>
        </w:tc>
        <w:tc>
          <w:tcPr>
            <w:shd w:val="clear" w:color="auto" w:fill="F4F1EC"/>
          </w:tcPr>
          <w:p>
            <w:pPr>
              <w:pStyle w:val="Compact"/>
              <w:spacing w:after="40" w:before="40"/>
              <w:jc w:val="left"/>
            </w:pPr>
            <w:r>
              <w:rPr>
                <w:rFonts w:ascii="Cambria" w:hAnsi="Cambria" w:cs="Cambria" w:eastAsia="Cambria"/>
                <w:color w:val="1A1A1A"/>
                <w:sz w:val="18"/>
              </w:rPr>
              <w:t xml:space="preserve">Diretto</w:t>
            </w:r>
          </w:p>
        </w:tc>
      </w:tr>
      <w:tr>
        <w:tc>
          <w:tcPr/>
          <w:p>
            <w:pPr>
              <w:pStyle w:val="Compact"/>
              <w:spacing w:after="40" w:before="40"/>
              <w:jc w:val="left"/>
            </w:pPr>
            <w:r>
              <w:rPr>
                <w:rFonts w:ascii="Cambria" w:hAnsi="Cambria" w:cs="Cambria" w:eastAsia="Cambria"/>
                <w:b/>
                <w:bCs/>
                <w:color w:val="1A1A1A"/>
                <w:sz w:val="18"/>
              </w:rPr>
              <w:t xml:space="preserve">Produttività e benessere</w:t>
            </w:r>
          </w:p>
        </w:tc>
        <w:tc>
          <w:tcPr/>
          <w:p>
            <w:pPr>
              <w:pStyle w:val="Compact"/>
              <w:spacing w:after="40" w:before="40"/>
              <w:jc w:val="left"/>
            </w:pPr>
            <w:r>
              <w:rPr>
                <w:rFonts w:ascii="Cambria" w:hAnsi="Cambria" w:cs="Cambria" w:eastAsia="Cambria"/>
                <w:color w:val="1A1A1A"/>
                <w:sz w:val="18"/>
              </w:rPr>
              <w:t xml:space="preserve">780.000 con disagio: giornate perse, funzionamento, carico familiare</w:t>
            </w:r>
          </w:p>
        </w:tc>
        <w:tc>
          <w:tcPr/>
          <w:p>
            <w:pPr>
              <w:pStyle w:val="Compact"/>
              <w:spacing w:after="40" w:before="40"/>
              <w:jc w:val="left"/>
            </w:pPr>
            <w:r>
              <w:rPr>
                <w:rFonts w:ascii="Cambria" w:hAnsi="Cambria" w:cs="Cambria" w:eastAsia="Cambria"/>
                <w:color w:val="1A1A1A"/>
                <w:sz w:val="18"/>
              </w:rPr>
              <w:t xml:space="preserve">~100–180 mln</w:t>
            </w:r>
          </w:p>
        </w:tc>
        <w:tc>
          <w:tcPr/>
          <w:p>
            <w:pPr>
              <w:pStyle w:val="Compact"/>
              <w:spacing w:after="40" w:before="40"/>
              <w:jc w:val="left"/>
            </w:pPr>
            <w:r>
              <w:rPr>
                <w:rFonts w:ascii="Cambria" w:hAnsi="Cambria" w:cs="Cambria" w:eastAsia="Cambria"/>
                <w:color w:val="1A1A1A"/>
                <w:sz w:val="18"/>
              </w:rPr>
              <w:t xml:space="preserve">Sociale</w:t>
            </w:r>
          </w:p>
        </w:tc>
      </w:tr>
    </w:tbl>
    <w:p>
      <w:pPr>
        <w:pStyle w:val="BodyText"/>
      </w:pPr>
      <w:r>
        <w:rPr>
          <w:i/>
          <w:iCs/>
        </w:rPr>
        <w:t xml:space="preserve">Tabella 2. Derivazione dei canali su dati regionali. «Diretto» = risparmio per il bilancio del SSR; «Sociale» = ricaduta economica per la collettività. Stime allo scenario base.</w:t>
      </w:r>
    </w:p>
    <w:bookmarkEnd w:id="1024"/>
    <w:bookmarkStart w:id="1026" w:name="i-totali-rivisti-e-gli-scenari"/>
    <w:p>
      <w:pPr>
        <w:pStyle w:val="Heading2"/>
      </w:pPr>
      <w:r>
        <w:t xml:space="preserve">3. I totali rivisti e gli scenari</w:t>
      </w:r>
    </w:p>
    <w:p>
      <w:pPr>
        <w:pStyle w:val="FirstParagraph"/>
      </w:pPr>
      <w:r>
        <w:t xml:space="preserve">Aggregando i canali e separando le due grandezze, emerge il quadro rivisto. Sul bilancio sanitario, i risparmi diretti tendono a pareggiare il costo del servizio: in tutti gli scenari il saldo diretto è prossimo allo zero, da un lieve disavanzo a un lieve attivo. Il ritorno fortemente positivo compare quando si includono le ricadute sociali, coerentemente con l’evidenza internazionale.</w:t>
      </w:r>
      <w:r>
        <w:rPr>
          <w:rStyle w:val="FootnoteReference"/>
        </w:rPr>
        <w:footnoteReference w:id="412"/>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r>
      <w:tr>
        <w:tc>
          <w:tcPr/>
          <w:p>
            <w:pPr>
              <w:pStyle w:val="Compact"/>
              <w:spacing w:after="40" w:before="40"/>
              <w:jc w:val="left"/>
            </w:pPr>
            <w:r>
              <w:rPr>
                <w:rFonts w:ascii="Cambria" w:hAnsi="Cambria" w:cs="Cambria" w:eastAsia="Cambria"/>
                <w:b/>
                <w:bCs/>
                <w:color w:val="1A1A1A"/>
                <w:sz w:val="18"/>
              </w:rPr>
              <w:t xml:space="preserve">Risparmi diretti per il SSR</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~34</w:t>
            </w:r>
          </w:p>
        </w:tc>
        <w:tc>
          <w:tcPr/>
          <w:p>
            <w:pPr>
              <w:pStyle w:val="Compact"/>
              <w:spacing w:after="40" w:before="40"/>
              <w:jc w:val="left"/>
            </w:pPr>
            <w:r>
              <w:rPr>
                <w:rFonts w:ascii="Cambria" w:hAnsi="Cambria" w:cs="Cambria" w:eastAsia="Cambria"/>
                <w:color w:val="1A1A1A"/>
                <w:sz w:val="18"/>
              </w:rPr>
              <w:t xml:space="preserve">~50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~70</w:t>
            </w:r>
          </w:p>
        </w:tc>
        <w:tc>
          <w:tcPr>
            <w:shd w:val="clear" w:color="auto" w:fill="F4F1EC"/>
          </w:tcPr>
          <w:p>
            <w:pPr>
              <w:pStyle w:val="Compact"/>
              <w:spacing w:after="40" w:before="40"/>
              <w:jc w:val="left"/>
            </w:pPr>
            <w:r>
              <w:rPr>
                <w:rFonts w:ascii="Cambria" w:hAnsi="Cambria" w:cs="Cambria" w:eastAsia="Cambria"/>
                <w:color w:val="1A1A1A"/>
                <w:sz w:val="18"/>
              </w:rPr>
              <w:t xml:space="preserve">~130</w:t>
            </w:r>
          </w:p>
        </w:tc>
        <w:tc>
          <w:tcPr>
            <w:shd w:val="clear" w:color="auto" w:fill="F4F1EC"/>
          </w:tcPr>
          <w:p>
            <w:pPr>
              <w:pStyle w:val="Compact"/>
              <w:spacing w:after="40" w:before="40"/>
              <w:jc w:val="left"/>
            </w:pPr>
            <w:r>
              <w:rPr>
                <w:rFonts w:ascii="Cambria" w:hAnsi="Cambria" w:cs="Cambria" w:eastAsia="Cambria"/>
                <w:color w:val="1A1A1A"/>
                <w:sz w:val="18"/>
              </w:rPr>
              <w:t xml:space="preserve">~200</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~25</w:t>
            </w:r>
          </w:p>
        </w:tc>
        <w:tc>
          <w:tcPr/>
          <w:p>
            <w:pPr>
              <w:pStyle w:val="Compact"/>
              <w:spacing w:after="40" w:before="40"/>
              <w:jc w:val="left"/>
            </w:pPr>
            <w:r>
              <w:rPr>
                <w:rFonts w:ascii="Cambria" w:hAnsi="Cambria" w:cs="Cambria" w:eastAsia="Cambria"/>
                <w:color w:val="1A1A1A"/>
                <w:sz w:val="18"/>
              </w:rPr>
              <w:t xml:space="preserve">~38</w:t>
            </w:r>
          </w:p>
        </w:tc>
        <w:tc>
          <w:tcPr/>
          <w:p>
            <w:pPr>
              <w:pStyle w:val="Compact"/>
              <w:spacing w:after="40" w:before="40"/>
              <w:jc w:val="left"/>
            </w:pPr>
            <w:r>
              <w:rPr>
                <w:rFonts w:ascii="Cambria" w:hAnsi="Cambria" w:cs="Cambria" w:eastAsia="Cambria"/>
                <w:color w:val="1A1A1A"/>
                <w:sz w:val="18"/>
              </w:rPr>
              <w:t xml:space="preserve">~50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(solo SSR)</w:t>
            </w:r>
          </w:p>
        </w:tc>
        <w:tc>
          <w:tcPr>
            <w:shd w:val="clear" w:color="auto" w:fill="F4F1EC"/>
          </w:tcPr>
          <w:p>
            <w:pPr>
              <w:pStyle w:val="Compact"/>
              <w:spacing w:after="40" w:before="40"/>
              <w:jc w:val="left"/>
            </w:pPr>
            <w:r>
              <w:rPr>
                <w:rFonts w:ascii="Cambria" w:hAnsi="Cambria" w:cs="Cambria" w:eastAsia="Cambria"/>
                <w:color w:val="1A1A1A"/>
                <w:sz w:val="18"/>
              </w:rPr>
              <w:t xml:space="preserve">~ −5</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0</w:t>
            </w:r>
          </w:p>
        </w:tc>
      </w:tr>
      <w:tr>
        <w:tc>
          <w:tcPr/>
          <w:p>
            <w:pPr>
              <w:pStyle w:val="Compact"/>
              <w:spacing w:after="40" w:before="40"/>
              <w:jc w:val="left"/>
            </w:pPr>
            <w:r>
              <w:rPr>
                <w:rFonts w:ascii="Cambria" w:hAnsi="Cambria" w:cs="Cambria" w:eastAsia="Cambria"/>
                <w:b/>
                <w:bCs/>
                <w:color w:val="1A1A1A"/>
                <w:sz w:val="18"/>
              </w:rPr>
              <w:t xml:space="preserve">Saldo complessivo</w:t>
            </w:r>
          </w:p>
        </w:tc>
        <w:tc>
          <w:tcPr/>
          <w:p>
            <w:pPr>
              <w:pStyle w:val="Compact"/>
              <w:spacing w:after="40" w:before="40"/>
              <w:jc w:val="left"/>
            </w:pPr>
            <w:r>
              <w:rPr>
                <w:rFonts w:ascii="Cambria" w:hAnsi="Cambria" w:cs="Cambria" w:eastAsia="Cambria"/>
                <w:b/>
                <w:bCs/>
                <w:color w:val="1A1A1A"/>
                <w:sz w:val="18"/>
              </w:rPr>
              <w:t xml:space="preserve">~ +65</w:t>
            </w:r>
          </w:p>
        </w:tc>
        <w:tc>
          <w:tcPr/>
          <w:p>
            <w:pPr>
              <w:pStyle w:val="Compact"/>
              <w:spacing w:after="40" w:before="40"/>
              <w:jc w:val="left"/>
            </w:pPr>
            <w:r>
              <w:rPr>
                <w:rFonts w:ascii="Cambria" w:hAnsi="Cambria" w:cs="Cambria" w:eastAsia="Cambria"/>
                <w:b/>
                <w:bCs/>
                <w:color w:val="1A1A1A"/>
                <w:sz w:val="18"/>
              </w:rPr>
              <w:t xml:space="preserve">~ +126</w:t>
            </w:r>
          </w:p>
        </w:tc>
        <w:tc>
          <w:tcPr/>
          <w:p>
            <w:pPr>
              <w:pStyle w:val="Compact"/>
              <w:spacing w:after="40" w:before="40"/>
              <w:jc w:val="left"/>
            </w:pPr>
            <w:r>
              <w:rPr>
                <w:rFonts w:ascii="Cambria" w:hAnsi="Cambria" w:cs="Cambria" w:eastAsia="Cambria"/>
                <w:b/>
                <w:bCs/>
                <w:color w:val="1A1A1A"/>
                <w:sz w:val="18"/>
              </w:rPr>
              <w:t xml:space="preserve">~ +200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~3,6:1</w:t>
            </w:r>
          </w:p>
        </w:tc>
        <w:tc>
          <w:tcPr>
            <w:shd w:val="clear" w:color="auto" w:fill="F4F1EC"/>
          </w:tcPr>
          <w:p>
            <w:pPr>
              <w:pStyle w:val="Compact"/>
              <w:spacing w:after="40" w:before="40"/>
              <w:jc w:val="left"/>
            </w:pPr>
            <w:r>
              <w:rPr>
                <w:rFonts w:ascii="Cambria" w:hAnsi="Cambria" w:cs="Cambria" w:eastAsia="Cambria"/>
                <w:color w:val="1A1A1A"/>
                <w:sz w:val="18"/>
              </w:rPr>
              <w:t xml:space="preserve">~4,3:1</w:t>
            </w:r>
          </w:p>
        </w:tc>
        <w:tc>
          <w:tcPr>
            <w:shd w:val="clear" w:color="auto" w:fill="F4F1EC"/>
          </w:tcPr>
          <w:p>
            <w:pPr>
              <w:pStyle w:val="Compact"/>
              <w:spacing w:after="40" w:before="40"/>
              <w:jc w:val="left"/>
            </w:pPr>
            <w:r>
              <w:rPr>
                <w:rFonts w:ascii="Cambria" w:hAnsi="Cambria" w:cs="Cambria" w:eastAsia="Cambria"/>
                <w:color w:val="1A1A1A"/>
                <w:sz w:val="18"/>
              </w:rPr>
              <w:t xml:space="preserve">~5,0:1</w:t>
            </w:r>
          </w:p>
        </w:tc>
      </w:tr>
    </w:tbl>
    <w:p>
      <w:pPr>
        <w:pStyle w:val="BodyText"/>
      </w:pPr>
      <w:r>
        <w:rPr>
          <w:i/>
          <w:iCs/>
        </w:rPr>
        <w:t xml:space="preserve">Tabella 3. Totali rivisti per scenario. Il saldo diretto sul bilancio sanitario è prossimo al pareggio; il saldo complessivo è nettamente positivo grazie alle ricadute sociali.</w:t>
      </w:r>
    </w:p>
    <w:bookmarkEnd w:id="1026"/>
    <w:bookmarkStart w:id="1028" w:name="X38f2dd876f5a31db4d77f6d56583a64c2bb99aa"/>
    <w:p>
      <w:pPr>
        <w:pStyle w:val="Heading2"/>
      </w:pPr>
      <w:r>
        <w:t xml:space="preserve">4. Che cosa cambia, e i dati ancora da acquisire</w:t>
      </w:r>
    </w:p>
    <w:p>
      <w:pPr>
        <w:pStyle w:val="FirstParagraph"/>
      </w:pPr>
      <w:r>
        <w:t xml:space="preserve">Rispetto alle stime prudenziali iniziali — che indicavano risparmi compresi tra 96 e 312 milioni — la revisione su dati regionali ridimensiona la componente di risparmio diretto per il SSR, portandola vicino al pareggio con il costo, e attribuisce il forte ritorno alle ricadute di produttività e benessere. Questo non indebolisce la proposta: la rafforza. In primo luogo perché una stima sobria e tracciabile è più credibile di fronte alla Ragioneria e alla Corte dei Conti, tanto più per una regione in disavanzo. In secondo luogo perché il fondamento della misura non è soltanto il risparmio: è l’obbligo di garantire i livelli essenziali intercettando un bisogno largamente inevaso — 780.000 persone — e di ridurre l’escalation verso le cure secondarie e la mobilità. Il costo del servizio attuale, 1,5 milioni a fronte di un finanziamento di 8,8 miliardi, è una frazione trascurabile del bilancio: la questione non è la sostenibilità della spesa, ma il suo dimensionamento.</w:t>
      </w:r>
    </w:p>
    <w:p>
      <w:pPr>
        <w:pStyle w:val="BodyText"/>
      </w:pPr>
      <w:r>
        <w:t xml:space="preserve">Per consolidare le ultime stime restano da acquisire alcuni dati primari, oggi non disponibili al livello di dettaglio necessario, presso l’Agenzia regionale (AReSS) e le ASL: le schede di dimissione ospedaliera per disturbi psichici e il loro costo; la composizione della mobilità passiva per disciplina, per isolarne la quota psichiatrica; la spesa farmaceutica regionale per le categorie dei psicofarmaci; e gli accessi al pronto soccorso per causa psichiatrica.</w:t>
      </w:r>
      <w:r>
        <w:rPr>
          <w:rStyle w:val="FootnoteReference"/>
        </w:rPr>
        <w:footnoteReference w:id="413"/>
      </w:r>
      <w:r>
        <w:t xml:space="preserve"> </w:t>
      </w:r>
      <w:r>
        <w:t xml:space="preserve">Con questi dati, i parametri ancora stimati nella Tabella 2 — in particolare per i ricoveri, la specialistica e la mobilità — potranno essere sostituiti da valori puntuali, completando la sostituzione delle assunzioni con misure certificate. La struttura della quantificazione, tuttavia, è già quella definitiva: ancorata ai conti regionali e onesta nella distinzione tra ciò che il servizio fa risparmiare al bilancio e ciò che restituisce alla società.</w:t>
      </w:r>
    </w:p>
    <w:p>
      <w:r>
        <w:br w:type="page"/>
      </w:r>
    </w:p>
    <w:bookmarkEnd w:id="1028"/>
    <w:bookmarkEnd w:id="1029"/>
    <w:bookmarkStart w:id="1053" w:name="X616e6ca0a26eb45ac69188dbea91b9a85e70df6"/>
    <w:p>
      <w:pPr>
        <w:pStyle w:val="Heading1"/>
      </w:pPr>
      <w:r>
        <w:t xml:space="preserve">Appendice III — Batteria integrale di indicatori e variabili</w:t>
      </w:r>
    </w:p>
    <w:p>
      <w:pPr>
        <w:pStyle w:val="FirstParagraph"/>
      </w:pPr>
      <w:r>
        <w:t xml:space="preserve">Psicologo di base in Puglia · batteria di indicatori e variabili</w:t>
      </w:r>
    </w:p>
    <w:p>
      <w:pPr>
        <w:pStyle w:val="BodyText"/>
      </w:pPr>
      <w:r>
        <w:rPr>
          <w:b/>
          <w:bCs/>
        </w:rPr>
        <w:t xml:space="preserve">PROGETTO «PSICOLOGO DI BASE» · REGIONE PUGLIA</w:t>
      </w:r>
    </w:p>
    <w:p>
      <w:pPr>
        <w:pStyle w:val="BodyText"/>
      </w:pPr>
      <w:r>
        <w:t xml:space="preserve">Estensione del sistema di misurazione</w:t>
      </w:r>
    </w:p>
    <w:p>
      <w:pPr>
        <w:pStyle w:val="BodyText"/>
      </w:pPr>
      <w:r>
        <w:rPr>
          <w:b/>
          <w:bCs/>
        </w:rPr>
        <w:t xml:space="preserve">Batteria di indicatori e variabili per la Puglia</w:t>
      </w:r>
    </w:p>
    <w:p>
      <w:pPr>
        <w:pStyle w:val="BodyText"/>
      </w:pPr>
      <w:r>
        <w:rPr>
          <w:b/>
          <w:bCs/>
        </w:rPr>
        <w:t xml:space="preserve">un sistema operativo di misurazione per l’Osservatorio regionale</w:t>
      </w:r>
    </w:p>
    <w:p>
      <w:pPr>
        <w:pStyle w:val="BodyText"/>
      </w:pPr>
      <w:r>
        <w:rPr>
          <w:i/>
          <w:iCs/>
        </w:rPr>
        <w:t xml:space="preserve">Bisogno, accesso ed equità, processo, esito clinico, sostenibilità economica, impatto sociale e organizzazione</w:t>
      </w:r>
    </w:p>
    <w:p>
      <w:pPr>
        <w:pStyle w:val="BodyText"/>
      </w:pPr>
      <w:r>
        <w:rPr>
          <w:b/>
          <w:bCs/>
        </w:rPr>
        <w:t xml:space="preserve">Indice</w:t>
      </w:r>
    </w:p>
    <w:bookmarkStart w:id="1032" w:name="X89fdd38ee4f5feb78eb7ca61b1efb450957bf70"/>
    <w:p>
      <w:pPr>
        <w:pStyle w:val="Heading2"/>
      </w:pPr>
      <w:r>
        <w:t xml:space="preserve">Premessa: un sistema di indicatori per misurare il servizio</w:t>
      </w:r>
    </w:p>
    <w:p>
      <w:pPr>
        <w:pStyle w:val="FirstParagraph"/>
      </w:pPr>
      <w:r>
        <w:t xml:space="preserve">Le sei misure complesse di sintesi già individuate costituiscono il vertice del cruscotto; perché quel vertice poggi su basi solide occorre una batteria più ampia di indicatori elementari, capace di descrivere il servizio in tutte le sue dimensioni e di alimentare, per aggregazione, le grandezze di sintesi. Questo documento presenta tale batteria: circa sessanta indicatori organizzati secondo il modello logico del servizio — dal bisogno alla domanda, dall’accesso al processo, dall’esito clinico all’impatto sociale — e integrati dalle dimensioni della sostenibilità economica e dell’organizzazione.</w:t>
      </w:r>
      <w:r>
        <w:rPr>
          <w:rStyle w:val="FootnoteReference"/>
        </w:rPr>
        <w:footnoteReference w:id="414"/>
      </w:r>
    </w:p>
    <w:p>
      <w:pPr>
        <w:pStyle w:val="BodyText"/>
      </w:pPr>
      <w:r>
        <w:t xml:space="preserve">Ogni indicatore è corredato di una definizione operativa con la relativa unità di misura, della fonte da cui ricavarlo, della direzione attesa di miglioramento e dello stato della baseline, ossia se il valore di partenza sia già disponibile dalle statistiche correnti o debba essere costituito nella fase sperimentale. La distinzione è sostanziale: alcuni indicatori — quelli demografici, epidemiologici e di benessere — sono già misurabili dai flussi nazionali e regionali; altri — quelli di processo e di esito clinico — richiedono che il servizio adotti fin da subito un protocollo di rilevazione, in particolare la raccolta sistematica di misure di esito riferite dal paziente.</w:t>
      </w:r>
      <w:r>
        <w:rPr>
          <w:rStyle w:val="FootnoteReference"/>
        </w:rPr>
        <w:footnoteReference w:id="415"/>
      </w:r>
    </w:p>
    <w:bookmarkEnd w:id="1032"/>
    <w:bookmarkStart w:id="1036" w:name="indicatori-di-bisogno-e-di-domanda"/>
    <w:p>
      <w:pPr>
        <w:pStyle w:val="Heading2"/>
      </w:pPr>
      <w:r>
        <w:t xml:space="preserve">1. Indicatori di bisogno e di domanda</w:t>
      </w:r>
    </w:p>
    <w:p>
      <w:pPr>
        <w:pStyle w:val="FirstParagraph"/>
      </w:pPr>
      <w:r>
        <w:t xml:space="preserve">La prima dimensione misura l’ampiezza del bisogno e la quota di esso che si traduce in domanda effettiva. In Puglia il bisogno è ampio — circa 780.000 persone con disagio e disturbi sottosoglia, 55.000 in carico ai Dipartimenti di Salute Mentale, 18.939 nuovi utenti nel 2023 — e in larga parte inevaso.</w:t>
      </w:r>
      <w:r>
        <w:rPr>
          <w:rStyle w:val="FootnoteReference"/>
        </w:rPr>
        <w:footnoteReference w:id="416"/>
      </w:r>
      <w:r>
        <w:t xml:space="preserve"> </w:t>
      </w:r>
      <w:r>
        <w:t xml:space="preserve">Due segnali indiretti confermano la sotto-intercettazione: il basso livello di aderenza al trattamento antidepressivo e la quota elevata di accessi impropri al pronto soccorso, in cui confluisce una parte della domanda di salute mentale priva di risposta territoriale.</w:t>
      </w:r>
      <w:r>
        <w:rPr>
          <w:rStyle w:val="FootnoteReference"/>
        </w:rPr>
        <w:footnoteReference w:id="417"/>
      </w:r>
    </w:p>
    <w:p>
      <w:pPr>
        <w:pStyle w:val="BodyText"/>
      </w:pPr>
      <w:r>
        <w:t xml:space="preserve">A monte del bisogno clinico vanno collocati i fattori di rischio sociale, che in Puglia hanno intensità particolare: l’alta consistenza di giovani che non studiano e non lavorano e l’insicurezza verso il futuro, entrambe correlate alla fragilità del mercato del lavoro e allo spopolamento giovanile.</w:t>
      </w:r>
      <w:r>
        <w:rPr>
          <w:rStyle w:val="FootnoteReference"/>
        </w:rPr>
        <w:footnoteReference w:id="418"/>
      </w:r>
      <w:r>
        <w:t xml:space="preserve"> </w:t>
      </w:r>
      <w:r>
        <w:t xml:space="preserve">Includere questi indicatori tra le misure di contesto consente di leggere il servizio non solo come risposta clinica, ma come presidio di prevenzione di un disagio che ha radici socio-economiche.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e unità</w:t>
            </w:r>
          </w:p>
        </w:tc>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Dir.</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baseline</w:t>
            </w:r>
          </w:p>
        </w:tc>
      </w:tr>
      <w:tr>
        <w:tc>
          <w:tcPr/>
          <w:p>
            <w:pPr>
              <w:pStyle w:val="Compact"/>
              <w:spacing w:after="40" w:before="40"/>
              <w:jc w:val="left"/>
            </w:pPr>
            <w:r>
              <w:rPr>
                <w:rFonts w:ascii="Cambria" w:hAnsi="Cambria" w:cs="Cambria" w:eastAsia="Cambria"/>
                <w:b/>
                <w:bCs/>
                <w:color w:val="1A1A1A"/>
                <w:sz w:val="18"/>
              </w:rPr>
              <w:t xml:space="preserve">Prevalenza del disagio psichico</w:t>
            </w:r>
          </w:p>
        </w:tc>
        <w:tc>
          <w:tcPr/>
          <w:p>
            <w:pPr>
              <w:pStyle w:val="Compact"/>
              <w:spacing w:after="40" w:before="40"/>
              <w:jc w:val="left"/>
            </w:pPr>
            <w:r>
              <w:rPr>
                <w:rFonts w:ascii="Cambria" w:hAnsi="Cambria" w:cs="Cambria" w:eastAsia="Cambria"/>
                <w:color w:val="1A1A1A"/>
                <w:sz w:val="18"/>
              </w:rPr>
              <w:t xml:space="preserve">Quota di popolazione con disturbi e condizioni sottosoglia (% e n.; ~780.000)</w:t>
            </w:r>
          </w:p>
        </w:tc>
        <w:tc>
          <w:tcPr/>
          <w:p>
            <w:pPr>
              <w:pStyle w:val="Compact"/>
              <w:spacing w:after="40" w:before="40"/>
              <w:jc w:val="left"/>
            </w:pPr>
            <w:r>
              <w:rPr>
                <w:rFonts w:ascii="Cambria" w:hAnsi="Cambria" w:cs="Cambria" w:eastAsia="Cambria"/>
                <w:color w:val="1A1A1A"/>
                <w:sz w:val="18"/>
              </w:rPr>
              <w:t xml:space="preserve">Min. Salute, ISTAT</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Disponibile (stima)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in carico ai DSM</w:t>
            </w:r>
          </w:p>
        </w:tc>
        <w:tc>
          <w:tcPr>
            <w:shd w:val="clear" w:color="auto" w:fill="F4F1EC"/>
          </w:tcPr>
          <w:p>
            <w:pPr>
              <w:pStyle w:val="Compact"/>
              <w:spacing w:after="40" w:before="40"/>
              <w:jc w:val="left"/>
            </w:pPr>
            <w:r>
              <w:rPr>
                <w:rFonts w:ascii="Cambria" w:hAnsi="Cambria" w:cs="Cambria" w:eastAsia="Cambria"/>
                <w:color w:val="1A1A1A"/>
                <w:sz w:val="18"/>
              </w:rPr>
              <w:t xml:space="preserve">Assistiti dai Dipartimenti di Salute Mentale per anno (n.; ~55.000)</w:t>
            </w:r>
          </w:p>
        </w:tc>
        <w:tc>
          <w:tcPr>
            <w:shd w:val="clear" w:color="auto" w:fill="F4F1EC"/>
          </w:tcPr>
          <w:p>
            <w:pPr>
              <w:pStyle w:val="Compact"/>
              <w:spacing w:after="40" w:before="40"/>
              <w:jc w:val="left"/>
            </w:pPr>
            <w:r>
              <w:rPr>
                <w:rFonts w:ascii="Cambria" w:hAnsi="Cambria" w:cs="Cambria" w:eastAsia="Cambria"/>
                <w:color w:val="1A1A1A"/>
                <w:sz w:val="18"/>
              </w:rPr>
              <w:t xml:space="preserve">SISM</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Disponibile</w:t>
            </w:r>
          </w:p>
        </w:tc>
      </w:tr>
      <w:tr>
        <w:tc>
          <w:tcPr/>
          <w:p>
            <w:pPr>
              <w:pStyle w:val="Compact"/>
              <w:spacing w:after="40" w:before="40"/>
              <w:jc w:val="left"/>
            </w:pPr>
            <w:r>
              <w:rPr>
                <w:rFonts w:ascii="Cambria" w:hAnsi="Cambria" w:cs="Cambria" w:eastAsia="Cambria"/>
                <w:b/>
                <w:bCs/>
                <w:color w:val="1A1A1A"/>
                <w:sz w:val="18"/>
              </w:rPr>
              <w:t xml:space="preserve">Nuovi utenti dei DSM</w:t>
            </w:r>
          </w:p>
        </w:tc>
        <w:tc>
          <w:tcPr/>
          <w:p>
            <w:pPr>
              <w:pStyle w:val="Compact"/>
              <w:spacing w:after="40" w:before="40"/>
              <w:jc w:val="left"/>
            </w:pPr>
            <w:r>
              <w:rPr>
                <w:rFonts w:ascii="Cambria" w:hAnsi="Cambria" w:cs="Cambria" w:eastAsia="Cambria"/>
                <w:color w:val="1A1A1A"/>
                <w:sz w:val="18"/>
              </w:rPr>
              <w:t xml:space="preserve">Incidenza annua di primo contatto (n.; 18.939 nel 2023)</w:t>
            </w:r>
          </w:p>
        </w:tc>
        <w:tc>
          <w:tcPr/>
          <w:p>
            <w:pPr>
              <w:pStyle w:val="Compact"/>
              <w:spacing w:after="40" w:before="40"/>
              <w:jc w:val="left"/>
            </w:pPr>
            <w:r>
              <w:rPr>
                <w:rFonts w:ascii="Cambria" w:hAnsi="Cambria" w:cs="Cambria" w:eastAsia="Cambria"/>
                <w:color w:val="1A1A1A"/>
                <w:sz w:val="18"/>
              </w:rPr>
              <w:t xml:space="preserve">SISM</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Disponibile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Tasso di intercettazione</w:t>
            </w:r>
          </w:p>
        </w:tc>
        <w:tc>
          <w:tcPr>
            <w:shd w:val="clear" w:color="auto" w:fill="F4F1EC"/>
          </w:tcPr>
          <w:p>
            <w:pPr>
              <w:pStyle w:val="Compact"/>
              <w:spacing w:after="40" w:before="40"/>
              <w:jc w:val="left"/>
            </w:pPr>
            <w:r>
              <w:rPr>
                <w:rFonts w:ascii="Cambria" w:hAnsi="Cambria" w:cs="Cambria" w:eastAsia="Cambria"/>
                <w:color w:val="1A1A1A"/>
                <w:sz w:val="18"/>
              </w:rPr>
              <w:t xml:space="preserve">Quota del bisogno stimato effettivamente presa in carico (%)</w:t>
            </w:r>
          </w:p>
        </w:tc>
        <w:tc>
          <w:tcPr>
            <w:shd w:val="clear" w:color="auto" w:fill="F4F1EC"/>
          </w:tcPr>
          <w:p>
            <w:pPr>
              <w:pStyle w:val="Compact"/>
              <w:spacing w:after="40" w:before="40"/>
              <w:jc w:val="left"/>
            </w:pPr>
            <w:r>
              <w:rPr>
                <w:rFonts w:ascii="Cambria" w:hAnsi="Cambria" w:cs="Cambria" w:eastAsia="Cambria"/>
                <w:color w:val="1A1A1A"/>
                <w:sz w:val="18"/>
              </w:rPr>
              <w:t xml:space="preserve">Servizio / Osservatorio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Consumo e aderenza antidepressivi</w:t>
            </w:r>
          </w:p>
        </w:tc>
        <w:tc>
          <w:tcPr/>
          <w:p>
            <w:pPr>
              <w:pStyle w:val="Compact"/>
              <w:spacing w:after="40" w:before="40"/>
              <w:jc w:val="left"/>
            </w:pPr>
            <w:r>
              <w:rPr>
                <w:rFonts w:ascii="Cambria" w:hAnsi="Cambria" w:cs="Cambria" w:eastAsia="Cambria"/>
                <w:color w:val="1A1A1A"/>
                <w:sz w:val="18"/>
              </w:rPr>
              <w:t xml:space="preserve">DDD/1000 ab. die e quota con aderenza adeguata (%)</w:t>
            </w:r>
          </w:p>
        </w:tc>
        <w:tc>
          <w:tcPr/>
          <w:p>
            <w:pPr>
              <w:pStyle w:val="Compact"/>
              <w:spacing w:after="40" w:before="40"/>
              <w:jc w:val="left"/>
            </w:pPr>
            <w:r>
              <w:rPr>
                <w:rFonts w:ascii="Cambria" w:hAnsi="Cambria" w:cs="Cambria" w:eastAsia="Cambria"/>
                <w:color w:val="1A1A1A"/>
                <w:sz w:val="18"/>
              </w:rPr>
              <w:t xml:space="preserve">AIFA-OsMed</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Disponibile (reg.)</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NEET e insicurezza giovanile</w:t>
            </w:r>
          </w:p>
        </w:tc>
        <w:tc>
          <w:tcPr>
            <w:shd w:val="clear" w:color="auto" w:fill="F4F1EC"/>
          </w:tcPr>
          <w:p>
            <w:pPr>
              <w:pStyle w:val="Compact"/>
              <w:spacing w:after="40" w:before="40"/>
              <w:jc w:val="left"/>
            </w:pPr>
            <w:r>
              <w:rPr>
                <w:rFonts w:ascii="Cambria" w:hAnsi="Cambria" w:cs="Cambria" w:eastAsia="Cambria"/>
                <w:color w:val="1A1A1A"/>
                <w:sz w:val="18"/>
              </w:rPr>
              <w:t xml:space="preserve">Quota di NEET e di giovani insicuri verso il futuro (%)</w:t>
            </w:r>
          </w:p>
        </w:tc>
        <w:tc>
          <w:tcPr>
            <w:shd w:val="clear" w:color="auto" w:fill="F4F1EC"/>
          </w:tcPr>
          <w:p>
            <w:pPr>
              <w:pStyle w:val="Compact"/>
              <w:spacing w:after="40" w:before="40"/>
              <w:jc w:val="left"/>
            </w:pPr>
            <w:r>
              <w:rPr>
                <w:rFonts w:ascii="Cambria" w:hAnsi="Cambria" w:cs="Cambria" w:eastAsia="Cambria"/>
                <w:color w:val="1A1A1A"/>
                <w:sz w:val="18"/>
              </w:rPr>
              <w:t xml:space="preserve">ISTAT</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Disponibile (reg.)</w:t>
            </w:r>
          </w:p>
        </w:tc>
      </w:tr>
      <w:tr>
        <w:tc>
          <w:tcPr/>
          <w:p>
            <w:pPr>
              <w:pStyle w:val="Compact"/>
              <w:spacing w:after="40" w:before="40"/>
              <w:jc w:val="left"/>
            </w:pPr>
            <w:r>
              <w:rPr>
                <w:rFonts w:ascii="Cambria" w:hAnsi="Cambria" w:cs="Cambria" w:eastAsia="Cambria"/>
                <w:b/>
                <w:bCs/>
                <w:color w:val="1A1A1A"/>
                <w:sz w:val="18"/>
              </w:rPr>
              <w:t xml:space="preserve">Domanda inevasa</w:t>
            </w:r>
          </w:p>
        </w:tc>
        <w:tc>
          <w:tcPr/>
          <w:p>
            <w:pPr>
              <w:pStyle w:val="Compact"/>
              <w:spacing w:after="40" w:before="40"/>
              <w:jc w:val="left"/>
            </w:pPr>
            <w:r>
              <w:rPr>
                <w:rFonts w:ascii="Cambria" w:hAnsi="Cambria" w:cs="Cambria" w:eastAsia="Cambria"/>
                <w:color w:val="1A1A1A"/>
                <w:sz w:val="18"/>
              </w:rPr>
              <w:t xml:space="preserve">Richieste non soddisfatte o in lista (n.)</w:t>
            </w:r>
          </w:p>
        </w:tc>
        <w:tc>
          <w:tcPr/>
          <w:p>
            <w:pPr>
              <w:pStyle w:val="Compact"/>
              <w:spacing w:after="40" w:before="40"/>
              <w:jc w:val="left"/>
            </w:pPr>
            <w:r>
              <w:rPr>
                <w:rFonts w:ascii="Cambria" w:hAnsi="Cambria" w:cs="Cambria" w:eastAsia="Cambria"/>
                <w:color w:val="1A1A1A"/>
                <w:sz w:val="18"/>
              </w:rPr>
              <w:t xml:space="preserve">Servizio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bl>
    <w:p>
      <w:pPr>
        <w:pStyle w:val="BodyText"/>
      </w:pPr>
      <w:r>
        <w:rPr>
          <w:i/>
          <w:iCs/>
        </w:rPr>
        <w:t xml:space="preserve">Tabella 1. Indicatori di bisogno e di domanda. La direzione «stabilità/appropriatezza» segnala grandezze il cui obiettivo non è la riduzione in sé, ma la corrispondenza tra bisogno e risposta.</w:t>
      </w:r>
    </w:p>
    <w:bookmarkEnd w:id="1036"/>
    <w:bookmarkStart w:id="1039" w:name="indicatori-di-accesso-e-di-equità"/>
    <w:p>
      <w:pPr>
        <w:pStyle w:val="Heading2"/>
      </w:pPr>
      <w:r>
        <w:t xml:space="preserve">2. Indicatori di accesso e di equità</w:t>
      </w:r>
    </w:p>
    <w:p>
      <w:pPr>
        <w:pStyle w:val="FirstParagraph"/>
      </w:pPr>
      <w:r>
        <w:t xml:space="preserve">La seconda dimensione misura quanto il servizio sia effettivamente raggiungibile e quanto equamente sia distribuito. È una dimensione cruciale in una regione segnata da forti divari interni: nei profili di benessere territoriale, Foggia e Taranto risultano le province più svantaggiate, mentre Barletta-Andria-Trani e la città metropolitana di Bari presentano le condizioni migliori.</w:t>
      </w:r>
      <w:r>
        <w:rPr>
          <w:rStyle w:val="FootnoteReference"/>
        </w:rPr>
        <w:footnoteReference w:id="419"/>
      </w:r>
      <w:r>
        <w:t xml:space="preserve"> </w:t>
      </w:r>
      <w:r>
        <w:t xml:space="preserve">Un servizio distribuito in modo uniforme contribuisce a ridurre questi divari; un servizio concentrato nelle aree già meglio servite li amplifica. Per questo l’equità va misurata esplicitamente, sia tra le sei ASL sia verso le aree interne e periferiche.</w:t>
      </w:r>
    </w:p>
    <w:p>
      <w:pPr>
        <w:pStyle w:val="BodyText"/>
      </w:pPr>
      <w:r>
        <w:t xml:space="preserve">Il punto di partenza è critico: il servizio attuale, con circa un psicologo per Distretto, copre una frazione minima del fabbisogno, e la fase di avvio procede a velocità diverse tra le ASL.</w:t>
      </w:r>
      <w:r>
        <w:rPr>
          <w:rStyle w:val="FootnoteReference"/>
        </w:rPr>
        <w:footnoteReference w:id="420"/>
      </w:r>
      <w:r>
        <w:t xml:space="preserve"> </w:t>
      </w:r>
      <w:r>
        <w:t xml:space="preserve">Gli indicatori di copertura, di tempo di attesa e di distribuzione territoriale permettono di governare l’espansione in modo da correggere, anziché riprodurre, le disuguaglianze esistenti.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e unità</w:t>
            </w:r>
          </w:p>
        </w:tc>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Dir.</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baseline</w:t>
            </w:r>
          </w:p>
        </w:tc>
      </w:tr>
      <w:tr>
        <w:tc>
          <w:tcPr/>
          <w:p>
            <w:pPr>
              <w:pStyle w:val="Compact"/>
              <w:spacing w:after="40" w:before="40"/>
              <w:jc w:val="left"/>
            </w:pPr>
            <w:r>
              <w:rPr>
                <w:rFonts w:ascii="Cambria" w:hAnsi="Cambria" w:cs="Cambria" w:eastAsia="Cambria"/>
                <w:b/>
                <w:bCs/>
                <w:color w:val="1A1A1A"/>
                <w:sz w:val="18"/>
              </w:rPr>
              <w:t xml:space="preserve">Copertura del servizio</w:t>
            </w:r>
          </w:p>
        </w:tc>
        <w:tc>
          <w:tcPr/>
          <w:p>
            <w:pPr>
              <w:pStyle w:val="Compact"/>
              <w:spacing w:after="40" w:before="40"/>
              <w:jc w:val="left"/>
            </w:pPr>
            <w:r>
              <w:rPr>
                <w:rFonts w:ascii="Cambria" w:hAnsi="Cambria" w:cs="Cambria" w:eastAsia="Cambria"/>
                <w:color w:val="1A1A1A"/>
                <w:sz w:val="18"/>
              </w:rPr>
              <w:t xml:space="preserve">Psicologi del servizio per 100.000 abitanti</w:t>
            </w:r>
          </w:p>
        </w:tc>
        <w:tc>
          <w:tcPr/>
          <w:p>
            <w:pPr>
              <w:pStyle w:val="Compact"/>
              <w:spacing w:after="40" w:before="40"/>
              <w:jc w:val="left"/>
            </w:pPr>
            <w:r>
              <w:rPr>
                <w:rFonts w:ascii="Cambria" w:hAnsi="Cambria" w:cs="Cambria" w:eastAsia="Cambria"/>
                <w:color w:val="1A1A1A"/>
                <w:sz w:val="18"/>
              </w:rPr>
              <w:t xml:space="preserve">Servizio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Distretti e Case di Comunità coperti</w:t>
            </w:r>
          </w:p>
        </w:tc>
        <w:tc>
          <w:tcPr>
            <w:shd w:val="clear" w:color="auto" w:fill="F4F1EC"/>
          </w:tcPr>
          <w:p>
            <w:pPr>
              <w:pStyle w:val="Compact"/>
              <w:spacing w:after="40" w:before="40"/>
              <w:jc w:val="left"/>
            </w:pPr>
            <w:r>
              <w:rPr>
                <w:rFonts w:ascii="Cambria" w:hAnsi="Cambria" w:cs="Cambria" w:eastAsia="Cambria"/>
                <w:color w:val="1A1A1A"/>
                <w:sz w:val="18"/>
              </w:rPr>
              <w:t xml:space="preserve">Quota di sedi territoriali con servizio attivo (%)</w:t>
            </w:r>
          </w:p>
        </w:tc>
        <w:tc>
          <w:tcPr>
            <w:shd w:val="clear" w:color="auto" w:fill="F4F1EC"/>
          </w:tcPr>
          <w:p>
            <w:pPr>
              <w:pStyle w:val="Compact"/>
              <w:spacing w:after="40" w:before="40"/>
              <w:jc w:val="left"/>
            </w:pPr>
            <w:r>
              <w:rPr>
                <w:rFonts w:ascii="Cambria" w:hAnsi="Cambria" w:cs="Cambria" w:eastAsia="Cambria"/>
                <w:color w:val="1A1A1A"/>
                <w:sz w:val="18"/>
              </w:rPr>
              <w:t xml:space="preserve">Servizio / ASL</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Disparità provinciale di benessere</w:t>
            </w:r>
          </w:p>
        </w:tc>
        <w:tc>
          <w:tcPr/>
          <w:p>
            <w:pPr>
              <w:pStyle w:val="Compact"/>
              <w:spacing w:after="40" w:before="40"/>
              <w:jc w:val="left"/>
            </w:pPr>
            <w:r>
              <w:rPr>
                <w:rFonts w:ascii="Cambria" w:hAnsi="Cambria" w:cs="Cambria" w:eastAsia="Cambria"/>
                <w:color w:val="1A1A1A"/>
                <w:sz w:val="18"/>
              </w:rPr>
              <w:t xml:space="preserve">Numero di svantaggi BesT per provincia (Foggia/Taranto 42)</w:t>
            </w:r>
          </w:p>
        </w:tc>
        <w:tc>
          <w:tcPr/>
          <w:p>
            <w:pPr>
              <w:pStyle w:val="Compact"/>
              <w:spacing w:after="40" w:before="40"/>
              <w:jc w:val="left"/>
            </w:pPr>
            <w:r>
              <w:rPr>
                <w:rFonts w:ascii="Cambria" w:hAnsi="Cambria" w:cs="Cambria" w:eastAsia="Cambria"/>
                <w:color w:val="1A1A1A"/>
                <w:sz w:val="18"/>
              </w:rPr>
              <w:t xml:space="preserve">ISTAT BesT</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Disponibile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 tra ASL</w:t>
            </w:r>
          </w:p>
        </w:tc>
        <w:tc>
          <w:tcPr>
            <w:shd w:val="clear" w:color="auto" w:fill="F4F1EC"/>
          </w:tcPr>
          <w:p>
            <w:pPr>
              <w:pStyle w:val="Compact"/>
              <w:spacing w:after="40" w:before="40"/>
              <w:jc w:val="left"/>
            </w:pPr>
            <w:r>
              <w:rPr>
                <w:rFonts w:ascii="Cambria" w:hAnsi="Cambria" w:cs="Cambria" w:eastAsia="Cambria"/>
                <w:color w:val="1A1A1A"/>
                <w:sz w:val="18"/>
              </w:rPr>
              <w:t xml:space="preserve">Variabilità delle prese in carico per 100.000 tra le sei ASL</w:t>
            </w:r>
          </w:p>
        </w:tc>
        <w:tc>
          <w:tcPr>
            <w:shd w:val="clear" w:color="auto" w:fill="F4F1EC"/>
          </w:tcPr>
          <w:p>
            <w:pPr>
              <w:pStyle w:val="Compact"/>
              <w:spacing w:after="40" w:before="40"/>
              <w:jc w:val="left"/>
            </w:pPr>
            <w:r>
              <w:rPr>
                <w:rFonts w:ascii="Cambria" w:hAnsi="Cambria" w:cs="Cambria" w:eastAsia="Cambria"/>
                <w:color w:val="1A1A1A"/>
                <w:sz w:val="18"/>
              </w:rPr>
              <w:t xml:space="preserve">Servizio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Accesso nelle aree interne</w:t>
            </w:r>
          </w:p>
        </w:tc>
        <w:tc>
          <w:tcPr/>
          <w:p>
            <w:pPr>
              <w:pStyle w:val="Compact"/>
              <w:spacing w:after="40" w:before="40"/>
              <w:jc w:val="left"/>
            </w:pPr>
            <w:r>
              <w:rPr>
                <w:rFonts w:ascii="Cambria" w:hAnsi="Cambria" w:cs="Cambria" w:eastAsia="Cambria"/>
                <w:color w:val="1A1A1A"/>
                <w:sz w:val="18"/>
              </w:rPr>
              <w:t xml:space="preserve">Copertura nei comuni periferici e ultraperiferici (%)</w:t>
            </w:r>
          </w:p>
        </w:tc>
        <w:tc>
          <w:tcPr/>
          <w:p>
            <w:pPr>
              <w:pStyle w:val="Compact"/>
              <w:spacing w:after="40" w:before="40"/>
              <w:jc w:val="left"/>
            </w:pPr>
            <w:r>
              <w:rPr>
                <w:rFonts w:ascii="Cambria" w:hAnsi="Cambria" w:cs="Cambria" w:eastAsia="Cambria"/>
                <w:color w:val="1A1A1A"/>
                <w:sz w:val="18"/>
              </w:rPr>
              <w:t xml:space="preserve">Servizio / SNAI</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Tempo di attesa al primo colloquio</w:t>
            </w:r>
          </w:p>
        </w:tc>
        <w:tc>
          <w:tcPr>
            <w:shd w:val="clear" w:color="auto" w:fill="F4F1EC"/>
          </w:tcPr>
          <w:p>
            <w:pPr>
              <w:pStyle w:val="Compact"/>
              <w:spacing w:after="40" w:before="40"/>
              <w:jc w:val="left"/>
            </w:pPr>
            <w:r>
              <w:rPr>
                <w:rFonts w:ascii="Cambria" w:hAnsi="Cambria" w:cs="Cambria" w:eastAsia="Cambria"/>
                <w:color w:val="1A1A1A"/>
                <w:sz w:val="18"/>
              </w:rPr>
              <w:t xml:space="preserve">Giorni dalla richiesta al primo contatto (mediana)</w:t>
            </w:r>
          </w:p>
        </w:tc>
        <w:tc>
          <w:tcPr>
            <w:shd w:val="clear" w:color="auto" w:fill="F4F1EC"/>
          </w:tcPr>
          <w:p>
            <w:pPr>
              <w:pStyle w:val="Compact"/>
              <w:spacing w:after="40" w:before="40"/>
              <w:jc w:val="left"/>
            </w:pPr>
            <w:r>
              <w:rPr>
                <w:rFonts w:ascii="Cambria" w:hAnsi="Cambria" w:cs="Cambria" w:eastAsia="Cambria"/>
                <w:color w:val="1A1A1A"/>
                <w:sz w:val="18"/>
              </w:rPr>
              <w:t xml:space="preserve">Servizio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Equità socio-economica</w:t>
            </w:r>
          </w:p>
        </w:tc>
        <w:tc>
          <w:tcPr/>
          <w:p>
            <w:pPr>
              <w:pStyle w:val="Compact"/>
              <w:spacing w:after="40" w:before="40"/>
              <w:jc w:val="left"/>
            </w:pPr>
            <w:r>
              <w:rPr>
                <w:rFonts w:ascii="Cambria" w:hAnsi="Cambria" w:cs="Cambria" w:eastAsia="Cambria"/>
                <w:color w:val="1A1A1A"/>
                <w:sz w:val="18"/>
              </w:rPr>
              <w:t xml:space="preserve">Accesso per condizione (esenzione, reddito)</w:t>
            </w:r>
          </w:p>
        </w:tc>
        <w:tc>
          <w:tcPr/>
          <w:p>
            <w:pPr>
              <w:pStyle w:val="Compact"/>
              <w:spacing w:after="40" w:before="40"/>
              <w:jc w:val="left"/>
            </w:pPr>
            <w:r>
              <w:rPr>
                <w:rFonts w:ascii="Cambria" w:hAnsi="Cambria" w:cs="Cambria" w:eastAsia="Cambria"/>
                <w:color w:val="1A1A1A"/>
                <w:sz w:val="18"/>
              </w:rPr>
              <w:t xml:space="preserve">Servizio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bl>
    <w:p>
      <w:pPr>
        <w:pStyle w:val="BodyText"/>
      </w:pPr>
      <w:r>
        <w:rPr>
          <w:i/>
          <w:iCs/>
        </w:rPr>
        <w:t xml:space="preserve">Tabella 2. Indicatori di accesso e di equità. I divari provinciali documentati dai profili di benessere forniscono il riferimento rispetto al quale valutare la distribuzione del servizio.</w:t>
      </w:r>
    </w:p>
    <w:bookmarkEnd w:id="1039"/>
    <w:bookmarkStart w:id="1040" w:name="indicatori-di-processo-e-di-attività"/>
    <w:p>
      <w:pPr>
        <w:pStyle w:val="Heading2"/>
      </w:pPr>
      <w:r>
        <w:t xml:space="preserve">3. Indicatori di processo e di attività</w:t>
      </w:r>
    </w:p>
    <w:p>
      <w:pPr>
        <w:pStyle w:val="FirstParagraph"/>
      </w:pPr>
      <w:r>
        <w:t xml:space="preserve">La terza dimensione descrive ciò che il servizio effettivamente fa: quante persone prende in carico, con quanti e quali interventi, con quale tempestività e con quale collegamento al medico curante. Sono indicatori di volume e di qualità del processo, indispensabili per interpretare gli esiti: un risultato clinico modesto può dipendere da un processo insufficiente (pochi cicli completati, alto abbandono) prima ancora che dall’efficacia dell’intervento.</w:t>
      </w:r>
    </w:p>
    <w:p>
      <w:pPr>
        <w:pStyle w:val="BodyText"/>
      </w:pPr>
      <w:r>
        <w:t xml:space="preserve">Poiché il servizio di Psicologia di base nasce come funzione integrata nelle cure primarie, la qualità del processo si misura anche dal grado di raccordo con i medici di medicina generale e i pediatri di libera scelta: la quota di invii provenienti dal curante e la restituzione sistematica al curante sono indicatori della reale integrazione del servizio nel territorio, non semplici dati di attività. Tutti questi indicatori richiedono un sistema informativo dedicato, da attivare fin dall’avvio.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e unità</w:t>
            </w:r>
          </w:p>
        </w:tc>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Dir.</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baseline</w:t>
            </w:r>
          </w:p>
        </w:tc>
      </w:tr>
      <w:tr>
        <w:tc>
          <w:tcPr/>
          <w:p>
            <w:pPr>
              <w:pStyle w:val="Compact"/>
              <w:spacing w:after="40" w:before="40"/>
              <w:jc w:val="left"/>
            </w:pPr>
            <w:r>
              <w:rPr>
                <w:rFonts w:ascii="Cambria" w:hAnsi="Cambria" w:cs="Cambria" w:eastAsia="Cambria"/>
                <w:b/>
                <w:bCs/>
                <w:color w:val="1A1A1A"/>
                <w:sz w:val="18"/>
              </w:rPr>
              <w:t xml:space="preserve">Prese in carico</w:t>
            </w:r>
          </w:p>
        </w:tc>
        <w:tc>
          <w:tcPr/>
          <w:p>
            <w:pPr>
              <w:pStyle w:val="Compact"/>
              <w:spacing w:after="40" w:before="40"/>
              <w:jc w:val="left"/>
            </w:pPr>
            <w:r>
              <w:rPr>
                <w:rFonts w:ascii="Cambria" w:hAnsi="Cambria" w:cs="Cambria" w:eastAsia="Cambria"/>
                <w:color w:val="1A1A1A"/>
                <w:sz w:val="18"/>
              </w:rPr>
              <w:t xml:space="preserve">Nuovi percorsi avviati per anno (n.)</w:t>
            </w:r>
          </w:p>
        </w:tc>
        <w:tc>
          <w:tcPr/>
          <w:p>
            <w:pPr>
              <w:pStyle w:val="Compact"/>
              <w:spacing w:after="40" w:before="40"/>
              <w:jc w:val="left"/>
            </w:pPr>
            <w:r>
              <w:rPr>
                <w:rFonts w:ascii="Cambria" w:hAnsi="Cambria" w:cs="Cambria" w:eastAsia="Cambria"/>
                <w:color w:val="1A1A1A"/>
                <w:sz w:val="18"/>
              </w:rPr>
              <w:t xml:space="preserve">Servizio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Sedute erogate</w:t>
            </w:r>
          </w:p>
        </w:tc>
        <w:tc>
          <w:tcPr>
            <w:shd w:val="clear" w:color="auto" w:fill="F4F1EC"/>
          </w:tcPr>
          <w:p>
            <w:pPr>
              <w:pStyle w:val="Compact"/>
              <w:spacing w:after="40" w:before="40"/>
              <w:jc w:val="left"/>
            </w:pPr>
            <w:r>
              <w:rPr>
                <w:rFonts w:ascii="Cambria" w:hAnsi="Cambria" w:cs="Cambria" w:eastAsia="Cambria"/>
                <w:color w:val="1A1A1A"/>
                <w:sz w:val="18"/>
              </w:rPr>
              <w:t xml:space="preserve">Totale e media per utente (n.)</w:t>
            </w:r>
          </w:p>
        </w:tc>
        <w:tc>
          <w:tcPr>
            <w:shd w:val="clear" w:color="auto" w:fill="F4F1EC"/>
          </w:tcPr>
          <w:p>
            <w:pPr>
              <w:pStyle w:val="Compact"/>
              <w:spacing w:after="40" w:before="40"/>
              <w:jc w:val="left"/>
            </w:pPr>
            <w:r>
              <w:rPr>
                <w:rFonts w:ascii="Cambria" w:hAnsi="Cambria" w:cs="Cambria" w:eastAsia="Cambria"/>
                <w:color w:val="1A1A1A"/>
                <w:sz w:val="18"/>
              </w:rPr>
              <w:t xml:space="preserve">Servizio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Invii dai MMG e PLS</w:t>
            </w:r>
          </w:p>
        </w:tc>
        <w:tc>
          <w:tcPr/>
          <w:p>
            <w:pPr>
              <w:pStyle w:val="Compact"/>
              <w:spacing w:after="40" w:before="40"/>
              <w:jc w:val="left"/>
            </w:pPr>
            <w:r>
              <w:rPr>
                <w:rFonts w:ascii="Cambria" w:hAnsi="Cambria" w:cs="Cambria" w:eastAsia="Cambria"/>
                <w:color w:val="1A1A1A"/>
                <w:sz w:val="18"/>
              </w:rPr>
              <w:t xml:space="preserve">Quota e numero di accessi su invio del curante (% e n.)</w:t>
            </w:r>
          </w:p>
        </w:tc>
        <w:tc>
          <w:tcPr/>
          <w:p>
            <w:pPr>
              <w:pStyle w:val="Compact"/>
              <w:spacing w:after="40" w:before="40"/>
              <w:jc w:val="left"/>
            </w:pPr>
            <w:r>
              <w:rPr>
                <w:rFonts w:ascii="Cambria" w:hAnsi="Cambria" w:cs="Cambria" w:eastAsia="Cambria"/>
                <w:color w:val="1A1A1A"/>
                <w:sz w:val="18"/>
              </w:rPr>
              <w:t xml:space="preserve">Servizio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Cicli completati</w:t>
            </w:r>
          </w:p>
        </w:tc>
        <w:tc>
          <w:tcPr>
            <w:shd w:val="clear" w:color="auto" w:fill="F4F1EC"/>
          </w:tcPr>
          <w:p>
            <w:pPr>
              <w:pStyle w:val="Compact"/>
              <w:spacing w:after="40" w:before="40"/>
              <w:jc w:val="left"/>
            </w:pPr>
            <w:r>
              <w:rPr>
                <w:rFonts w:ascii="Cambria" w:hAnsi="Cambria" w:cs="Cambria" w:eastAsia="Cambria"/>
                <w:color w:val="1A1A1A"/>
                <w:sz w:val="18"/>
              </w:rPr>
              <w:t xml:space="preserve">Percorsi conclusi sul totale avviati (%)</w:t>
            </w:r>
          </w:p>
        </w:tc>
        <w:tc>
          <w:tcPr>
            <w:shd w:val="clear" w:color="auto" w:fill="F4F1EC"/>
          </w:tcPr>
          <w:p>
            <w:pPr>
              <w:pStyle w:val="Compact"/>
              <w:spacing w:after="40" w:before="40"/>
              <w:jc w:val="left"/>
            </w:pPr>
            <w:r>
              <w:rPr>
                <w:rFonts w:ascii="Cambria" w:hAnsi="Cambria" w:cs="Cambria" w:eastAsia="Cambria"/>
                <w:color w:val="1A1A1A"/>
                <w:sz w:val="18"/>
              </w:rPr>
              <w:t xml:space="preserve">Servizio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Abbandoni precoci</w:t>
            </w:r>
          </w:p>
        </w:tc>
        <w:tc>
          <w:tcPr/>
          <w:p>
            <w:pPr>
              <w:pStyle w:val="Compact"/>
              <w:spacing w:after="40" w:before="40"/>
              <w:jc w:val="left"/>
            </w:pPr>
            <w:r>
              <w:rPr>
                <w:rFonts w:ascii="Cambria" w:hAnsi="Cambria" w:cs="Cambria" w:eastAsia="Cambria"/>
                <w:color w:val="1A1A1A"/>
                <w:sz w:val="18"/>
              </w:rPr>
              <w:t xml:space="preserve">Interruzioni prima della soglia minima di efficacia (%)</w:t>
            </w:r>
          </w:p>
        </w:tc>
        <w:tc>
          <w:tcPr/>
          <w:p>
            <w:pPr>
              <w:pStyle w:val="Compact"/>
              <w:spacing w:after="40" w:before="40"/>
              <w:jc w:val="left"/>
            </w:pPr>
            <w:r>
              <w:rPr>
                <w:rFonts w:ascii="Cambria" w:hAnsi="Cambria" w:cs="Cambria" w:eastAsia="Cambria"/>
                <w:color w:val="1A1A1A"/>
                <w:sz w:val="18"/>
              </w:rPr>
              <w:t xml:space="preserve">Servizio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Tempestività della presa in carico</w:t>
            </w:r>
          </w:p>
        </w:tc>
        <w:tc>
          <w:tcPr>
            <w:shd w:val="clear" w:color="auto" w:fill="F4F1EC"/>
          </w:tcPr>
          <w:p>
            <w:pPr>
              <w:pStyle w:val="Compact"/>
              <w:spacing w:after="40" w:before="40"/>
              <w:jc w:val="left"/>
            </w:pPr>
            <w:r>
              <w:rPr>
                <w:rFonts w:ascii="Cambria" w:hAnsi="Cambria" w:cs="Cambria" w:eastAsia="Cambria"/>
                <w:color w:val="1A1A1A"/>
                <w:sz w:val="18"/>
              </w:rPr>
              <w:t xml:space="preserve">Primi colloqui entro la soglia prevista (%)</w:t>
            </w:r>
          </w:p>
        </w:tc>
        <w:tc>
          <w:tcPr>
            <w:shd w:val="clear" w:color="auto" w:fill="F4F1EC"/>
          </w:tcPr>
          <w:p>
            <w:pPr>
              <w:pStyle w:val="Compact"/>
              <w:spacing w:after="40" w:before="40"/>
              <w:jc w:val="left"/>
            </w:pPr>
            <w:r>
              <w:rPr>
                <w:rFonts w:ascii="Cambria" w:hAnsi="Cambria" w:cs="Cambria" w:eastAsia="Cambria"/>
                <w:color w:val="1A1A1A"/>
                <w:sz w:val="18"/>
              </w:rPr>
              <w:t xml:space="preserve">Servizio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Restituzione al curante</w:t>
            </w:r>
          </w:p>
        </w:tc>
        <w:tc>
          <w:tcPr/>
          <w:p>
            <w:pPr>
              <w:pStyle w:val="Compact"/>
              <w:spacing w:after="40" w:before="40"/>
              <w:jc w:val="left"/>
            </w:pPr>
            <w:r>
              <w:rPr>
                <w:rFonts w:ascii="Cambria" w:hAnsi="Cambria" w:cs="Cambria" w:eastAsia="Cambria"/>
                <w:color w:val="1A1A1A"/>
                <w:sz w:val="18"/>
              </w:rPr>
              <w:t xml:space="preserve">Casi con feedback documentato al MMG/PLS (%)</w:t>
            </w:r>
          </w:p>
        </w:tc>
        <w:tc>
          <w:tcPr/>
          <w:p>
            <w:pPr>
              <w:pStyle w:val="Compact"/>
              <w:spacing w:after="40" w:before="40"/>
              <w:jc w:val="left"/>
            </w:pPr>
            <w:r>
              <w:rPr>
                <w:rFonts w:ascii="Cambria" w:hAnsi="Cambria" w:cs="Cambria" w:eastAsia="Cambria"/>
                <w:color w:val="1A1A1A"/>
                <w:sz w:val="18"/>
              </w:rPr>
              <w:t xml:space="preserve">Servizio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bl>
    <w:p>
      <w:pPr>
        <w:pStyle w:val="BodyText"/>
      </w:pPr>
      <w:r>
        <w:rPr>
          <w:i/>
          <w:iCs/>
        </w:rPr>
        <w:t xml:space="preserve">Tabella 3. Indicatori di processo e di attività. Gli indicatori di raccordo con la medicina generale misurano l</w:t>
      </w:r>
      <w:r>
        <w:rPr>
          <w:b/>
          <w:bCs/>
          <w:i/>
          <w:iCs/>
        </w:rPr>
        <w:t xml:space="preserve">’</w:t>
      </w:r>
      <w:r>
        <w:rPr>
          <w:i/>
          <w:iCs/>
        </w:rPr>
        <w:t xml:space="preserve">integrazione effettiva del servizio nelle cure primarie.</w:t>
      </w:r>
    </w:p>
    <w:bookmarkEnd w:id="1040"/>
    <w:bookmarkStart w:id="1042" w:name="indicatori-di-esito-clinico"/>
    <w:p>
      <w:pPr>
        <w:pStyle w:val="Heading2"/>
      </w:pPr>
      <w:r>
        <w:t xml:space="preserve">4. Indicatori di esito clinico</w:t>
      </w:r>
    </w:p>
    <w:p>
      <w:pPr>
        <w:pStyle w:val="FirstParagraph"/>
      </w:pPr>
      <w:r>
        <w:t xml:space="preserve">La quarta dimensione misura il beneficio clinico per la persona, attraverso strumenti validati somministrati prima, durante e dopo l’intervento. La pratica internazionale di riferimento fonda la misurazione su questionari brevi raccolti a ogni seduta — in particolare per i sintomi depressivi e ansiosi — e su una misura di distress globale; da questi si derivano il miglioramento affidabile, ossia una variazione superiore all’errore di misura dello strumento, e il superamento della soglia clinica, che insieme definiscono il recupero.</w:t>
      </w:r>
      <w:r>
        <w:rPr>
          <w:rStyle w:val="FootnoteReference"/>
        </w:rPr>
        <w:footnoteReference w:id="421"/>
      </w:r>
    </w:p>
    <w:p>
      <w:pPr>
        <w:pStyle w:val="BodyText"/>
      </w:pPr>
      <w:r>
        <w:t xml:space="preserve">Adottare questo impianto fin dall’inizio ha due effetti. Sul piano clinico, consente di adattare l’intervento in corso d’opera e di non protrarre percorsi inefficaci. Sul piano del governo del servizio, fornisce la materia prima delle misure di sintesi: senza i punteggi di esito raccolti a ogni seduta non è possibile calcolare né il tasso di recupero né gli anni di vita aggiustati per qualità. Il tasso di recupero atteso, pari a circa la metà dei casi trattati nelle esperienze consolidate, costituisce il primo termine di confronto.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e unità</w:t>
            </w:r>
          </w:p>
        </w:tc>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Dir.</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baseline</w:t>
            </w:r>
          </w:p>
        </w:tc>
      </w:tr>
      <w:tr>
        <w:tc>
          <w:tcPr/>
          <w:p>
            <w:pPr>
              <w:pStyle w:val="Compact"/>
              <w:spacing w:after="40" w:before="40"/>
              <w:jc w:val="left"/>
            </w:pPr>
            <w:r>
              <w:rPr>
                <w:rFonts w:ascii="Cambria" w:hAnsi="Cambria" w:cs="Cambria" w:eastAsia="Cambria"/>
                <w:b/>
                <w:bCs/>
                <w:color w:val="1A1A1A"/>
                <w:sz w:val="18"/>
              </w:rPr>
              <w:t xml:space="preserve">Variazione dei sintomi depressivi</w:t>
            </w:r>
          </w:p>
        </w:tc>
        <w:tc>
          <w:tcPr/>
          <w:p>
            <w:pPr>
              <w:pStyle w:val="Compact"/>
              <w:spacing w:after="40" w:before="40"/>
              <w:jc w:val="left"/>
            </w:pPr>
            <w:r>
              <w:rPr>
                <w:rFonts w:ascii="Cambria" w:hAnsi="Cambria" w:cs="Cambria" w:eastAsia="Cambria"/>
                <w:color w:val="1A1A1A"/>
                <w:sz w:val="18"/>
              </w:rPr>
              <w:t xml:space="preserve">Punteggio PHQ-9 pre-post (punti)</w:t>
            </w:r>
          </w:p>
        </w:tc>
        <w:tc>
          <w:tcPr/>
          <w:p>
            <w:pPr>
              <w:pStyle w:val="Compact"/>
              <w:spacing w:after="40" w:before="40"/>
              <w:jc w:val="left"/>
            </w:pPr>
            <w:r>
              <w:rPr>
                <w:rFonts w:ascii="Cambria" w:hAnsi="Cambria" w:cs="Cambria" w:eastAsia="Cambria"/>
                <w:color w:val="1A1A1A"/>
                <w:sz w:val="18"/>
              </w:rPr>
              <w:t xml:space="preserve">Servizio (PROM)</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Variazione dei sintomi ansiosi</w:t>
            </w:r>
          </w:p>
        </w:tc>
        <w:tc>
          <w:tcPr>
            <w:shd w:val="clear" w:color="auto" w:fill="F4F1EC"/>
          </w:tcPr>
          <w:p>
            <w:pPr>
              <w:pStyle w:val="Compact"/>
              <w:spacing w:after="40" w:before="40"/>
              <w:jc w:val="left"/>
            </w:pPr>
            <w:r>
              <w:rPr>
                <w:rFonts w:ascii="Cambria" w:hAnsi="Cambria" w:cs="Cambria" w:eastAsia="Cambria"/>
                <w:color w:val="1A1A1A"/>
                <w:sz w:val="18"/>
              </w:rPr>
              <w:t xml:space="preserve">Punteggio GAD-7 pre-post (punti)</w:t>
            </w:r>
          </w:p>
        </w:tc>
        <w:tc>
          <w:tcPr>
            <w:shd w:val="clear" w:color="auto" w:fill="F4F1EC"/>
          </w:tcPr>
          <w:p>
            <w:pPr>
              <w:pStyle w:val="Compact"/>
              <w:spacing w:after="40" w:before="40"/>
              <w:jc w:val="left"/>
            </w:pPr>
            <w:r>
              <w:rPr>
                <w:rFonts w:ascii="Cambria" w:hAnsi="Cambria" w:cs="Cambria" w:eastAsia="Cambria"/>
                <w:color w:val="1A1A1A"/>
                <w:sz w:val="18"/>
              </w:rPr>
              <w:t xml:space="preserve">Servizio (PROM)</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Variazione del distress globale</w:t>
            </w:r>
          </w:p>
        </w:tc>
        <w:tc>
          <w:tcPr/>
          <w:p>
            <w:pPr>
              <w:pStyle w:val="Compact"/>
              <w:spacing w:after="40" w:before="40"/>
              <w:jc w:val="left"/>
            </w:pPr>
            <w:r>
              <w:rPr>
                <w:rFonts w:ascii="Cambria" w:hAnsi="Cambria" w:cs="Cambria" w:eastAsia="Cambria"/>
                <w:color w:val="1A1A1A"/>
                <w:sz w:val="18"/>
              </w:rPr>
              <w:t xml:space="preserve">Punteggio CORE-OM pre-post (punti)</w:t>
            </w:r>
          </w:p>
        </w:tc>
        <w:tc>
          <w:tcPr/>
          <w:p>
            <w:pPr>
              <w:pStyle w:val="Compact"/>
              <w:spacing w:after="40" w:before="40"/>
              <w:jc w:val="left"/>
            </w:pPr>
            <w:r>
              <w:rPr>
                <w:rFonts w:ascii="Cambria" w:hAnsi="Cambria" w:cs="Cambria" w:eastAsia="Cambria"/>
                <w:color w:val="1A1A1A"/>
                <w:sz w:val="18"/>
              </w:rPr>
              <w:t xml:space="preserve">Servizio (PROM)</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Tasso di recupero</w:t>
            </w:r>
          </w:p>
        </w:tc>
        <w:tc>
          <w:tcPr>
            <w:shd w:val="clear" w:color="auto" w:fill="F4F1EC"/>
          </w:tcPr>
          <w:p>
            <w:pPr>
              <w:pStyle w:val="Compact"/>
              <w:spacing w:after="40" w:before="40"/>
              <w:jc w:val="left"/>
            </w:pPr>
            <w:r>
              <w:rPr>
                <w:rFonts w:ascii="Cambria" w:hAnsi="Cambria" w:cs="Cambria" w:eastAsia="Cambria"/>
                <w:color w:val="1A1A1A"/>
                <w:sz w:val="18"/>
              </w:rPr>
              <w:t xml:space="preserve">Quota che supera la soglia clinica (%; rif. ~50%)</w:t>
            </w:r>
          </w:p>
        </w:tc>
        <w:tc>
          <w:tcPr>
            <w:shd w:val="clear" w:color="auto" w:fill="F4F1EC"/>
          </w:tcPr>
          <w:p>
            <w:pPr>
              <w:pStyle w:val="Compact"/>
              <w:spacing w:after="40" w:before="40"/>
              <w:jc w:val="left"/>
            </w:pPr>
            <w:r>
              <w:rPr>
                <w:rFonts w:ascii="Cambria" w:hAnsi="Cambria" w:cs="Cambria" w:eastAsia="Cambria"/>
                <w:color w:val="1A1A1A"/>
                <w:sz w:val="18"/>
              </w:rPr>
              <w:t xml:space="preserve">Servizio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Miglioramento affidabile</w:t>
            </w:r>
          </w:p>
        </w:tc>
        <w:tc>
          <w:tcPr/>
          <w:p>
            <w:pPr>
              <w:pStyle w:val="Compact"/>
              <w:spacing w:after="40" w:before="40"/>
              <w:jc w:val="left"/>
            </w:pPr>
            <w:r>
              <w:rPr>
                <w:rFonts w:ascii="Cambria" w:hAnsi="Cambria" w:cs="Cambria" w:eastAsia="Cambria"/>
                <w:color w:val="1A1A1A"/>
                <w:sz w:val="18"/>
              </w:rPr>
              <w:t xml:space="preserve">Quota con variazione oltre l’errore di misura (%)</w:t>
            </w:r>
          </w:p>
        </w:tc>
        <w:tc>
          <w:tcPr/>
          <w:p>
            <w:pPr>
              <w:pStyle w:val="Compact"/>
              <w:spacing w:after="40" w:before="40"/>
              <w:jc w:val="left"/>
            </w:pPr>
            <w:r>
              <w:rPr>
                <w:rFonts w:ascii="Cambria" w:hAnsi="Cambria" w:cs="Cambria" w:eastAsia="Cambria"/>
                <w:color w:val="1A1A1A"/>
                <w:sz w:val="18"/>
              </w:rPr>
              <w:t xml:space="preserve">Servizio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Mantenimento a follow-up</w:t>
            </w:r>
          </w:p>
        </w:tc>
        <w:tc>
          <w:tcPr>
            <w:shd w:val="clear" w:color="auto" w:fill="F4F1EC"/>
          </w:tcPr>
          <w:p>
            <w:pPr>
              <w:pStyle w:val="Compact"/>
              <w:spacing w:after="40" w:before="40"/>
              <w:jc w:val="left"/>
            </w:pPr>
            <w:r>
              <w:rPr>
                <w:rFonts w:ascii="Cambria" w:hAnsi="Cambria" w:cs="Cambria" w:eastAsia="Cambria"/>
                <w:color w:val="1A1A1A"/>
                <w:sz w:val="18"/>
              </w:rPr>
              <w:t xml:space="preserve">Quota stabile a 6–12 mesi (%)</w:t>
            </w:r>
          </w:p>
        </w:tc>
        <w:tc>
          <w:tcPr>
            <w:shd w:val="clear" w:color="auto" w:fill="F4F1EC"/>
          </w:tcPr>
          <w:p>
            <w:pPr>
              <w:pStyle w:val="Compact"/>
              <w:spacing w:after="40" w:before="40"/>
              <w:jc w:val="left"/>
            </w:pPr>
            <w:r>
              <w:rPr>
                <w:rFonts w:ascii="Cambria" w:hAnsi="Cambria" w:cs="Cambria" w:eastAsia="Cambria"/>
                <w:color w:val="1A1A1A"/>
                <w:sz w:val="18"/>
              </w:rPr>
              <w:t xml:space="preserve">Servizio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Esperienza dell’utente</w:t>
            </w:r>
          </w:p>
        </w:tc>
        <w:tc>
          <w:tcPr/>
          <w:p>
            <w:pPr>
              <w:pStyle w:val="Compact"/>
              <w:spacing w:after="40" w:before="40"/>
              <w:jc w:val="left"/>
            </w:pPr>
            <w:r>
              <w:rPr>
                <w:rFonts w:ascii="Cambria" w:hAnsi="Cambria" w:cs="Cambria" w:eastAsia="Cambria"/>
                <w:color w:val="1A1A1A"/>
                <w:sz w:val="18"/>
              </w:rPr>
              <w:t xml:space="preserve">Misura di esperienza riferita (PREM)</w:t>
            </w:r>
          </w:p>
        </w:tc>
        <w:tc>
          <w:tcPr/>
          <w:p>
            <w:pPr>
              <w:pStyle w:val="Compact"/>
              <w:spacing w:after="40" w:before="40"/>
              <w:jc w:val="left"/>
            </w:pPr>
            <w:r>
              <w:rPr>
                <w:rFonts w:ascii="Cambria" w:hAnsi="Cambria" w:cs="Cambria" w:eastAsia="Cambria"/>
                <w:color w:val="1A1A1A"/>
                <w:sz w:val="18"/>
              </w:rPr>
              <w:t xml:space="preserve">Servizio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bl>
    <w:p>
      <w:pPr>
        <w:pStyle w:val="BodyText"/>
      </w:pPr>
      <w:r>
        <w:rPr>
          <w:i/>
          <w:iCs/>
        </w:rPr>
        <w:t xml:space="preserve">Tabella 4. Indicatori di esito clinico. La raccolta di misure riferite dal paziente a ogni seduta è la condizione tecnica per il calcolo delle misure di sintesi.</w:t>
      </w:r>
    </w:p>
    <w:bookmarkEnd w:id="1042"/>
    <w:bookmarkStart w:id="1044" w:name="indicatori-economici-e-di-sostenibilità"/>
    <w:p>
      <w:pPr>
        <w:pStyle w:val="Heading2"/>
      </w:pPr>
      <w:r>
        <w:t xml:space="preserve">5. Indicatori economici e di sostenibilità</w:t>
      </w:r>
    </w:p>
    <w:p>
      <w:pPr>
        <w:pStyle w:val="FirstParagraph"/>
      </w:pPr>
      <w:r>
        <w:t xml:space="preserve">La quinta dimensione misura il costo del servizio e il suo rendimento, distinguendo i risparmi diretti per il bilancio sanitario dalle ricadute economiche più ampie. Coerentemente con la revisione su dati primari, questi indicatori vanno letti separando ciò che il servizio fa risparmiare al Servizio sanitario regionale — una grandezza prossima al costo — dal ritorno complessivo, che include la produttività recuperata. Tra i risparmi diretti, la mobilità passiva costituisce in Puglia una voce di rilievo, con un saldo negativo che nel 2023 ha superato i 250 milioni.</w:t>
      </w:r>
      <w:r>
        <w:rPr>
          <w:rStyle w:val="FootnoteReference"/>
        </w:rPr>
        <w:footnoteReference w:id="422"/>
      </w:r>
    </w:p>
    <w:p>
      <w:pPr>
        <w:pStyle w:val="BodyText"/>
      </w:pPr>
      <w:r>
        <w:t xml:space="preserve">Gli indicatori di costo per percorso e di costo per esito favorevole consentono il confronto nel tempo e tra ASL; il rapporto beneficio-costo, l’impatto sul bilancio e il costo per anno di vita aggiustato per qualità collocano il servizio nel quadro delle valutazioni economiche standard. Alcuni di questi valori sono già stimabili dall’analisi; altri — in particolare quelli che richiedono le schede di dimissione ospedaliera e la composizione della mobilità per disciplina — vanno consolidati con i dati primari regionali.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e unità</w:t>
            </w:r>
          </w:p>
        </w:tc>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Dir.</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baseline</w:t>
            </w:r>
          </w:p>
        </w:tc>
      </w:tr>
      <w:tr>
        <w:tc>
          <w:tcPr/>
          <w:p>
            <w:pPr>
              <w:pStyle w:val="Compact"/>
              <w:spacing w:after="40" w:before="40"/>
              <w:jc w:val="left"/>
            </w:pPr>
            <w:r>
              <w:rPr>
                <w:rFonts w:ascii="Cambria" w:hAnsi="Cambria" w:cs="Cambria" w:eastAsia="Cambria"/>
                <w:b/>
                <w:bCs/>
                <w:color w:val="1A1A1A"/>
                <w:sz w:val="18"/>
              </w:rPr>
              <w:t xml:space="preserve">Costo per percorso</w:t>
            </w:r>
          </w:p>
        </w:tc>
        <w:tc>
          <w:tcPr/>
          <w:p>
            <w:pPr>
              <w:pStyle w:val="Compact"/>
              <w:spacing w:after="40" w:before="40"/>
              <w:jc w:val="left"/>
            </w:pPr>
            <w:r>
              <w:rPr>
                <w:rFonts w:ascii="Cambria" w:hAnsi="Cambria" w:cs="Cambria" w:eastAsia="Cambria"/>
                <w:color w:val="1A1A1A"/>
                <w:sz w:val="18"/>
              </w:rPr>
              <w:t xml:space="preserve">Costo per utente preso in carico (€)</w:t>
            </w:r>
          </w:p>
        </w:tc>
        <w:tc>
          <w:tcPr/>
          <w:p>
            <w:pPr>
              <w:pStyle w:val="Compact"/>
              <w:spacing w:after="40" w:before="40"/>
              <w:jc w:val="left"/>
            </w:pPr>
            <w:r>
              <w:rPr>
                <w:rFonts w:ascii="Cambria" w:hAnsi="Cambria" w:cs="Cambria" w:eastAsia="Cambria"/>
                <w:color w:val="1A1A1A"/>
                <w:sz w:val="18"/>
              </w:rPr>
              <w:t xml:space="preserve">Servizio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recupero</w:t>
            </w:r>
          </w:p>
        </w:tc>
        <w:tc>
          <w:tcPr>
            <w:shd w:val="clear" w:color="auto" w:fill="F4F1EC"/>
          </w:tcPr>
          <w:p>
            <w:pPr>
              <w:pStyle w:val="Compact"/>
              <w:spacing w:after="40" w:before="40"/>
              <w:jc w:val="left"/>
            </w:pPr>
            <w:r>
              <w:rPr>
                <w:rFonts w:ascii="Cambria" w:hAnsi="Cambria" w:cs="Cambria" w:eastAsia="Cambria"/>
                <w:color w:val="1A1A1A"/>
                <w:sz w:val="18"/>
              </w:rPr>
              <w:t xml:space="preserve">Costo per esito clinico favorevole (€)</w:t>
            </w:r>
          </w:p>
        </w:tc>
        <w:tc>
          <w:tcPr>
            <w:shd w:val="clear" w:color="auto" w:fill="F4F1EC"/>
          </w:tcPr>
          <w:p>
            <w:pPr>
              <w:pStyle w:val="Compact"/>
              <w:spacing w:after="40" w:before="40"/>
              <w:jc w:val="left"/>
            </w:pPr>
            <w:r>
              <w:rPr>
                <w:rFonts w:ascii="Cambria" w:hAnsi="Cambria" w:cs="Cambria" w:eastAsia="Cambria"/>
                <w:color w:val="1A1A1A"/>
                <w:sz w:val="18"/>
              </w:rPr>
              <w:t xml:space="preserve">Servizio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Risparmi diretti per il SSR</w:t>
            </w:r>
          </w:p>
        </w:tc>
        <w:tc>
          <w:tcPr/>
          <w:p>
            <w:pPr>
              <w:pStyle w:val="Compact"/>
              <w:spacing w:after="40" w:before="40"/>
              <w:jc w:val="left"/>
            </w:pPr>
            <w:r>
              <w:rPr>
                <w:rFonts w:ascii="Cambria" w:hAnsi="Cambria" w:cs="Cambria" w:eastAsia="Cambria"/>
                <w:color w:val="1A1A1A"/>
                <w:sz w:val="18"/>
              </w:rPr>
              <w:t xml:space="preserve">Minori costi di PS, farmaceutica, ricoveri, specialistica (mln €)</w:t>
            </w:r>
          </w:p>
        </w:tc>
        <w:tc>
          <w:tcPr/>
          <w:p>
            <w:pPr>
              <w:pStyle w:val="Compact"/>
              <w:spacing w:after="40" w:before="40"/>
              <w:jc w:val="left"/>
            </w:pPr>
            <w:r>
              <w:rPr>
                <w:rFonts w:ascii="Cambria" w:hAnsi="Cambria" w:cs="Cambria" w:eastAsia="Cambria"/>
                <w:color w:val="1A1A1A"/>
                <w:sz w:val="18"/>
              </w:rPr>
              <w:t xml:space="preserve">Servizio / flussi</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consolidare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passiva recuperata</w:t>
            </w:r>
          </w:p>
        </w:tc>
        <w:tc>
          <w:tcPr>
            <w:shd w:val="clear" w:color="auto" w:fill="F4F1EC"/>
          </w:tcPr>
          <w:p>
            <w:pPr>
              <w:pStyle w:val="Compact"/>
              <w:spacing w:after="40" w:before="40"/>
              <w:jc w:val="left"/>
            </w:pPr>
            <w:r>
              <w:rPr>
                <w:rFonts w:ascii="Cambria" w:hAnsi="Cambria" w:cs="Cambria" w:eastAsia="Cambria"/>
                <w:color w:val="1A1A1A"/>
                <w:sz w:val="18"/>
              </w:rPr>
              <w:t xml:space="preserve">Quota di prestazioni trattenute (baseline −253,2 mln)</w:t>
            </w:r>
          </w:p>
        </w:tc>
        <w:tc>
          <w:tcPr>
            <w:shd w:val="clear" w:color="auto" w:fill="F4F1EC"/>
          </w:tcPr>
          <w:p>
            <w:pPr>
              <w:pStyle w:val="Compact"/>
              <w:spacing w:after="40" w:before="40"/>
              <w:jc w:val="left"/>
            </w:pPr>
            <w:r>
              <w:rPr>
                <w:rFonts w:ascii="Cambria" w:hAnsi="Cambria" w:cs="Cambria" w:eastAsia="Cambria"/>
                <w:color w:val="1A1A1A"/>
                <w:sz w:val="18"/>
              </w:rPr>
              <w:t xml:space="preserve">GIMBE / flussi M</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Disponibile (aggreg.)</w:t>
            </w:r>
          </w:p>
        </w:tc>
      </w:tr>
      <w:tr>
        <w:tc>
          <w:tcPr/>
          <w:p>
            <w:pPr>
              <w:pStyle w:val="Compact"/>
              <w:spacing w:after="40" w:before="40"/>
              <w:jc w:val="left"/>
            </w:pPr>
            <w:r>
              <w:rPr>
                <w:rFonts w:ascii="Cambria" w:hAnsi="Cambria" w:cs="Cambria" w:eastAsia="Cambria"/>
                <w:b/>
                <w:bCs/>
                <w:color w:val="1A1A1A"/>
                <w:sz w:val="18"/>
              </w:rPr>
              <w:t xml:space="preserve">Rapporto beneficio-costo</w:t>
            </w:r>
          </w:p>
        </w:tc>
        <w:tc>
          <w:tcPr/>
          <w:p>
            <w:pPr>
              <w:pStyle w:val="Compact"/>
              <w:spacing w:after="40" w:before="40"/>
              <w:jc w:val="left"/>
            </w:pPr>
            <w:r>
              <w:rPr>
                <w:rFonts w:ascii="Cambria" w:hAnsi="Cambria" w:cs="Cambria" w:eastAsia="Cambria"/>
                <w:color w:val="1A1A1A"/>
                <w:sz w:val="18"/>
              </w:rPr>
              <w:t xml:space="preserve">BCR diretto e complessivo</w:t>
            </w:r>
          </w:p>
        </w:tc>
        <w:tc>
          <w:tcPr/>
          <w:p>
            <w:pPr>
              <w:pStyle w:val="Compact"/>
              <w:spacing w:after="40" w:before="40"/>
              <w:jc w:val="left"/>
            </w:pPr>
            <w:r>
              <w:rPr>
                <w:rFonts w:ascii="Cambria" w:hAnsi="Cambria" w:cs="Cambria" w:eastAsia="Cambria"/>
                <w:color w:val="1A1A1A"/>
                <w:sz w:val="18"/>
              </w:rPr>
              <w:t xml:space="preserve">Analisi</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Stimato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Saldo annuo per scenario (mln €)</w:t>
            </w:r>
          </w:p>
        </w:tc>
        <w:tc>
          <w:tcPr>
            <w:shd w:val="clear" w:color="auto" w:fill="F4F1EC"/>
          </w:tcPr>
          <w:p>
            <w:pPr>
              <w:pStyle w:val="Compact"/>
              <w:spacing w:after="40" w:before="40"/>
              <w:jc w:val="left"/>
            </w:pPr>
            <w:r>
              <w:rPr>
                <w:rFonts w:ascii="Cambria" w:hAnsi="Cambria" w:cs="Cambria" w:eastAsia="Cambria"/>
                <w:color w:val="1A1A1A"/>
                <w:sz w:val="18"/>
              </w:rPr>
              <w:t xml:space="preserve">Analisi</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Stimato</w:t>
            </w:r>
          </w:p>
        </w:tc>
      </w:tr>
      <w:tr>
        <w:tc>
          <w:tcPr/>
          <w:p>
            <w:pPr>
              <w:pStyle w:val="Compact"/>
              <w:spacing w:after="40" w:before="40"/>
              <w:jc w:val="left"/>
            </w:pPr>
            <w:r>
              <w:rPr>
                <w:rFonts w:ascii="Cambria" w:hAnsi="Cambria" w:cs="Cambria" w:eastAsia="Cambria"/>
                <w:b/>
                <w:bCs/>
                <w:color w:val="1A1A1A"/>
                <w:sz w:val="18"/>
              </w:rPr>
              <w:t xml:space="preserve">Costo per QALY (ICER)</w:t>
            </w:r>
          </w:p>
        </w:tc>
        <w:tc>
          <w:tcPr/>
          <w:p>
            <w:pPr>
              <w:pStyle w:val="Compact"/>
              <w:spacing w:after="40" w:before="40"/>
              <w:jc w:val="left"/>
            </w:pPr>
            <w:r>
              <w:rPr>
                <w:rFonts w:ascii="Cambria" w:hAnsi="Cambria" w:cs="Cambria" w:eastAsia="Cambria"/>
                <w:color w:val="1A1A1A"/>
                <w:sz w:val="18"/>
              </w:rPr>
              <w:t xml:space="preserve">Costo per anno di vita aggiustato per qualità (€/QALY)</w:t>
            </w:r>
          </w:p>
        </w:tc>
        <w:tc>
          <w:tcPr/>
          <w:p>
            <w:pPr>
              <w:pStyle w:val="Compact"/>
              <w:spacing w:after="40" w:before="40"/>
              <w:jc w:val="left"/>
            </w:pPr>
            <w:r>
              <w:rPr>
                <w:rFonts w:ascii="Cambria" w:hAnsi="Cambria" w:cs="Cambria" w:eastAsia="Cambria"/>
                <w:color w:val="1A1A1A"/>
                <w:sz w:val="18"/>
              </w:rPr>
              <w:t xml:space="preserve">Analisi</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bl>
    <w:p>
      <w:pPr>
        <w:pStyle w:val="BodyText"/>
      </w:pPr>
      <w:r>
        <w:rPr>
          <w:i/>
          <w:iCs/>
        </w:rPr>
        <w:t xml:space="preserve">Tabella 5. Indicatori economici e di sostenibilità. La distinzione tra risparmio diretto e ritorno complessivo riprende la revisione su dati primari regionali.</w:t>
      </w:r>
    </w:p>
    <w:bookmarkEnd w:id="1044"/>
    <w:bookmarkStart w:id="1047" w:name="X7836ddb0e4cdebb84da87a3c508275a030fe3c9"/>
    <w:p>
      <w:pPr>
        <w:pStyle w:val="Heading2"/>
      </w:pPr>
      <w:r>
        <w:t xml:space="preserve">6. Indicatori di impatto sociale e di benessere</w:t>
      </w:r>
    </w:p>
    <w:p>
      <w:pPr>
        <w:pStyle w:val="FirstParagraph"/>
      </w:pPr>
      <w:r>
        <w:t xml:space="preserve">La sesta dimensione misura l’effetto del servizio sul benessere della popolazione, espresso nel linguaggio dei domini del benessere equo e sostenibile già adottato nella programmazione regionale. La Puglia si colloca in posizione di svantaggio rispetto alla media nazionale in gran parte dei domini — Salute, Lavoro, Benessere economico, Istruzione, Relazioni sociali, Qualità dei servizi — mentre risulta relativamente solida nel dominio Sicurezza.</w:t>
      </w:r>
      <w:r>
        <w:rPr>
          <w:rStyle w:val="FootnoteReference"/>
        </w:rPr>
        <w:footnoteReference w:id="423"/>
      </w:r>
      <w:r>
        <w:t xml:space="preserve"> </w:t>
      </w:r>
      <w:r>
        <w:t xml:space="preserve">Misurare l’effetto del servizio in questo quadro lo rende comparabile, comunicabile ai decisori e coerente con gli strumenti che la Regione già utilizza.</w:t>
      </w:r>
    </w:p>
    <w:p>
      <w:pPr>
        <w:pStyle w:val="BodyText"/>
      </w:pPr>
      <w:r>
        <w:t xml:space="preserve">A fianco degli indicatori di benessere standardizzati, due grandezze meritano attenzione specifica. La produttività recuperata, espressa come giornate di attività non perse per disagio psichico, costituisce la componente economicamente più rilevante del ritorno sociale. La mortalità per suicidio e i ricoveri per lesioni autoinflitte rappresentano l’esito di popolazione più grave, da seguire come misura di impatto a lungo termine, trattandoli esclusivamente come grandezze epidemiologiche aggregate a livello regionale e provinciale.</w:t>
      </w:r>
      <w:r>
        <w:rPr>
          <w:rStyle w:val="FootnoteReference"/>
        </w:rPr>
        <w:footnoteReference w:id="424"/>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e unità</w:t>
            </w:r>
          </w:p>
        </w:tc>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Dir.</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baseline</w:t>
            </w:r>
          </w:p>
        </w:tc>
      </w:tr>
      <w:tr>
        <w:tc>
          <w:tcPr/>
          <w:p>
            <w:pPr>
              <w:pStyle w:val="Compact"/>
              <w:spacing w:after="40" w:before="40"/>
              <w:jc w:val="left"/>
            </w:pPr>
            <w:r>
              <w:rPr>
                <w:rFonts w:ascii="Cambria" w:hAnsi="Cambria" w:cs="Cambria" w:eastAsia="Cambria"/>
                <w:b/>
                <w:bCs/>
                <w:color w:val="1A1A1A"/>
                <w:sz w:val="18"/>
              </w:rPr>
              <w:t xml:space="preserve">Dominio Salute (BesT)</w:t>
            </w:r>
          </w:p>
        </w:tc>
        <w:tc>
          <w:tcPr/>
          <w:p>
            <w:pPr>
              <w:pStyle w:val="Compact"/>
              <w:spacing w:after="40" w:before="40"/>
              <w:jc w:val="left"/>
            </w:pPr>
            <w:r>
              <w:rPr>
                <w:rFonts w:ascii="Cambria" w:hAnsi="Cambria" w:cs="Cambria" w:eastAsia="Cambria"/>
                <w:color w:val="1A1A1A"/>
                <w:sz w:val="18"/>
              </w:rPr>
              <w:t xml:space="preserve">Indicatori di salute standardizzati (differenza dall’Italia)</w:t>
            </w:r>
          </w:p>
        </w:tc>
        <w:tc>
          <w:tcPr/>
          <w:p>
            <w:pPr>
              <w:pStyle w:val="Compact"/>
              <w:spacing w:after="40" w:before="40"/>
              <w:jc w:val="left"/>
            </w:pPr>
            <w:r>
              <w:rPr>
                <w:rFonts w:ascii="Cambria" w:hAnsi="Cambria" w:cs="Cambria" w:eastAsia="Cambria"/>
                <w:color w:val="1A1A1A"/>
                <w:sz w:val="18"/>
              </w:rPr>
              <w:t xml:space="preserve">ISTAT BesT</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Disponibile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Dominio Lavoro e conciliazione</w:t>
            </w:r>
          </w:p>
        </w:tc>
        <w:tc>
          <w:tcPr>
            <w:shd w:val="clear" w:color="auto" w:fill="F4F1EC"/>
          </w:tcPr>
          <w:p>
            <w:pPr>
              <w:pStyle w:val="Compact"/>
              <w:spacing w:after="40" w:before="40"/>
              <w:jc w:val="left"/>
            </w:pPr>
            <w:r>
              <w:rPr>
                <w:rFonts w:ascii="Cambria" w:hAnsi="Cambria" w:cs="Cambria" w:eastAsia="Cambria"/>
                <w:color w:val="1A1A1A"/>
                <w:sz w:val="18"/>
              </w:rPr>
              <w:t xml:space="preserve">Indicatori di lavoro standardizzati</w:t>
            </w:r>
          </w:p>
        </w:tc>
        <w:tc>
          <w:tcPr>
            <w:shd w:val="clear" w:color="auto" w:fill="F4F1EC"/>
          </w:tcPr>
          <w:p>
            <w:pPr>
              <w:pStyle w:val="Compact"/>
              <w:spacing w:after="40" w:before="40"/>
              <w:jc w:val="left"/>
            </w:pPr>
            <w:r>
              <w:rPr>
                <w:rFonts w:ascii="Cambria" w:hAnsi="Cambria" w:cs="Cambria" w:eastAsia="Cambria"/>
                <w:color w:val="1A1A1A"/>
                <w:sz w:val="18"/>
              </w:rPr>
              <w:t xml:space="preserve">ISTAT BesT</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Disponibile</w:t>
            </w:r>
          </w:p>
        </w:tc>
      </w:tr>
      <w:tr>
        <w:tc>
          <w:tcPr/>
          <w:p>
            <w:pPr>
              <w:pStyle w:val="Compact"/>
              <w:spacing w:after="40" w:before="40"/>
              <w:jc w:val="left"/>
            </w:pPr>
            <w:r>
              <w:rPr>
                <w:rFonts w:ascii="Cambria" w:hAnsi="Cambria" w:cs="Cambria" w:eastAsia="Cambria"/>
                <w:b/>
                <w:bCs/>
                <w:color w:val="1A1A1A"/>
                <w:sz w:val="18"/>
              </w:rPr>
              <w:t xml:space="preserve">Relazioni sociali</w:t>
            </w:r>
          </w:p>
        </w:tc>
        <w:tc>
          <w:tcPr/>
          <w:p>
            <w:pPr>
              <w:pStyle w:val="Compact"/>
              <w:spacing w:after="40" w:before="40"/>
              <w:jc w:val="left"/>
            </w:pPr>
            <w:r>
              <w:rPr>
                <w:rFonts w:ascii="Cambria" w:hAnsi="Cambria" w:cs="Cambria" w:eastAsia="Cambria"/>
                <w:color w:val="1A1A1A"/>
                <w:sz w:val="18"/>
              </w:rPr>
              <w:t xml:space="preserve">Reti di aiuto e partecipazione (indici)</w:t>
            </w:r>
          </w:p>
        </w:tc>
        <w:tc>
          <w:tcPr/>
          <w:p>
            <w:pPr>
              <w:pStyle w:val="Compact"/>
              <w:spacing w:after="40" w:before="40"/>
              <w:jc w:val="left"/>
            </w:pPr>
            <w:r>
              <w:rPr>
                <w:rFonts w:ascii="Cambria" w:hAnsi="Cambria" w:cs="Cambria" w:eastAsia="Cambria"/>
                <w:color w:val="1A1A1A"/>
                <w:sz w:val="18"/>
              </w:rPr>
              <w:t xml:space="preserve">ISTAT BesT</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Disponibile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Benessere soggettivo</w:t>
            </w:r>
          </w:p>
        </w:tc>
        <w:tc>
          <w:tcPr>
            <w:shd w:val="clear" w:color="auto" w:fill="F4F1EC"/>
          </w:tcPr>
          <w:p>
            <w:pPr>
              <w:pStyle w:val="Compact"/>
              <w:spacing w:after="40" w:before="40"/>
              <w:jc w:val="left"/>
            </w:pPr>
            <w:r>
              <w:rPr>
                <w:rFonts w:ascii="Cambria" w:hAnsi="Cambria" w:cs="Cambria" w:eastAsia="Cambria"/>
                <w:color w:val="1A1A1A"/>
                <w:sz w:val="18"/>
              </w:rPr>
              <w:t xml:space="preserve">Soddisfazione per la vita (% e punteggio)</w:t>
            </w:r>
          </w:p>
        </w:tc>
        <w:tc>
          <w:tcPr>
            <w:shd w:val="clear" w:color="auto" w:fill="F4F1EC"/>
          </w:tcPr>
          <w:p>
            <w:pPr>
              <w:pStyle w:val="Compact"/>
              <w:spacing w:after="40" w:before="40"/>
              <w:jc w:val="left"/>
            </w:pPr>
            <w:r>
              <w:rPr>
                <w:rFonts w:ascii="Cambria" w:hAnsi="Cambria" w:cs="Cambria" w:eastAsia="Cambria"/>
                <w:color w:val="1A1A1A"/>
                <w:sz w:val="18"/>
              </w:rPr>
              <w:t xml:space="preserve">ISTAT BesT</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Disponibile</w:t>
            </w:r>
          </w:p>
        </w:tc>
      </w:tr>
      <w:tr>
        <w:tc>
          <w:tcPr/>
          <w:p>
            <w:pPr>
              <w:pStyle w:val="Compact"/>
              <w:spacing w:after="40" w:before="40"/>
              <w:jc w:val="left"/>
            </w:pPr>
            <w:r>
              <w:rPr>
                <w:rFonts w:ascii="Cambria" w:hAnsi="Cambria" w:cs="Cambria" w:eastAsia="Cambria"/>
                <w:b/>
                <w:bCs/>
                <w:color w:val="1A1A1A"/>
                <w:sz w:val="18"/>
              </w:rPr>
              <w:t xml:space="preserve">Sicurezza percepita</w:t>
            </w:r>
          </w:p>
        </w:tc>
        <w:tc>
          <w:tcPr/>
          <w:p>
            <w:pPr>
              <w:pStyle w:val="Compact"/>
              <w:spacing w:after="40" w:before="40"/>
              <w:jc w:val="left"/>
            </w:pPr>
            <w:r>
              <w:rPr>
                <w:rFonts w:ascii="Cambria" w:hAnsi="Cambria" w:cs="Cambria" w:eastAsia="Cambria"/>
                <w:color w:val="1A1A1A"/>
                <w:sz w:val="18"/>
              </w:rPr>
              <w:t xml:space="preserve">Percezione di sicurezza e reti (indici)</w:t>
            </w:r>
          </w:p>
        </w:tc>
        <w:tc>
          <w:tcPr/>
          <w:p>
            <w:pPr>
              <w:pStyle w:val="Compact"/>
              <w:spacing w:after="40" w:before="40"/>
              <w:jc w:val="left"/>
            </w:pPr>
            <w:r>
              <w:rPr>
                <w:rFonts w:ascii="Cambria" w:hAnsi="Cambria" w:cs="Cambria" w:eastAsia="Cambria"/>
                <w:color w:val="1A1A1A"/>
                <w:sz w:val="18"/>
              </w:rPr>
              <w:t xml:space="preserve">ISTAT BesT</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Disponibile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Qualità dei servizi</w:t>
            </w:r>
          </w:p>
        </w:tc>
        <w:tc>
          <w:tcPr>
            <w:shd w:val="clear" w:color="auto" w:fill="F4F1EC"/>
          </w:tcPr>
          <w:p>
            <w:pPr>
              <w:pStyle w:val="Compact"/>
              <w:spacing w:after="40" w:before="40"/>
              <w:jc w:val="left"/>
            </w:pPr>
            <w:r>
              <w:rPr>
                <w:rFonts w:ascii="Cambria" w:hAnsi="Cambria" w:cs="Cambria" w:eastAsia="Cambria"/>
                <w:color w:val="1A1A1A"/>
                <w:sz w:val="18"/>
              </w:rPr>
              <w:t xml:space="preserve">Accessibilità dei servizi sanitari e sociali (indici)</w:t>
            </w:r>
          </w:p>
        </w:tc>
        <w:tc>
          <w:tcPr>
            <w:shd w:val="clear" w:color="auto" w:fill="F4F1EC"/>
          </w:tcPr>
          <w:p>
            <w:pPr>
              <w:pStyle w:val="Compact"/>
              <w:spacing w:after="40" w:before="40"/>
              <w:jc w:val="left"/>
            </w:pPr>
            <w:r>
              <w:rPr>
                <w:rFonts w:ascii="Cambria" w:hAnsi="Cambria" w:cs="Cambria" w:eastAsia="Cambria"/>
                <w:color w:val="1A1A1A"/>
                <w:sz w:val="18"/>
              </w:rPr>
              <w:t xml:space="preserve">ISTAT BesT</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Disponibile</w:t>
            </w:r>
          </w:p>
        </w:tc>
      </w:tr>
      <w:tr>
        <w:tc>
          <w:tcPr/>
          <w:p>
            <w:pPr>
              <w:pStyle w:val="Compact"/>
              <w:spacing w:after="40" w:before="40"/>
              <w:jc w:val="left"/>
            </w:pPr>
            <w:r>
              <w:rPr>
                <w:rFonts w:ascii="Cambria" w:hAnsi="Cambria" w:cs="Cambria" w:eastAsia="Cambria"/>
                <w:b/>
                <w:bCs/>
                <w:color w:val="1A1A1A"/>
                <w:sz w:val="18"/>
              </w:rPr>
              <w:t xml:space="preserve">Produttività recuperata</w:t>
            </w:r>
          </w:p>
        </w:tc>
        <w:tc>
          <w:tcPr/>
          <w:p>
            <w:pPr>
              <w:pStyle w:val="Compact"/>
              <w:spacing w:after="40" w:before="40"/>
              <w:jc w:val="left"/>
            </w:pPr>
            <w:r>
              <w:rPr>
                <w:rFonts w:ascii="Cambria" w:hAnsi="Cambria" w:cs="Cambria" w:eastAsia="Cambria"/>
                <w:color w:val="1A1A1A"/>
                <w:sz w:val="18"/>
              </w:rPr>
              <w:t xml:space="preserve">Giornate di attività non perse per disagio (n. proxy)</w:t>
            </w:r>
          </w:p>
        </w:tc>
        <w:tc>
          <w:tcPr/>
          <w:p>
            <w:pPr>
              <w:pStyle w:val="Compact"/>
              <w:spacing w:after="40" w:before="40"/>
              <w:jc w:val="left"/>
            </w:pPr>
            <w:r>
              <w:rPr>
                <w:rFonts w:ascii="Cambria" w:hAnsi="Cambria" w:cs="Cambria" w:eastAsia="Cambria"/>
                <w:color w:val="1A1A1A"/>
                <w:sz w:val="18"/>
              </w:rPr>
              <w:t xml:space="preserve">Servizio / ISTAT</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Mortalità per suicidio e lesioni autoinflitte</w:t>
            </w:r>
          </w:p>
        </w:tc>
        <w:tc>
          <w:tcPr>
            <w:shd w:val="clear" w:color="auto" w:fill="F4F1EC"/>
          </w:tcPr>
          <w:p>
            <w:pPr>
              <w:pStyle w:val="Compact"/>
              <w:spacing w:after="40" w:before="40"/>
              <w:jc w:val="left"/>
            </w:pPr>
            <w:r>
              <w:rPr>
                <w:rFonts w:ascii="Cambria" w:hAnsi="Cambria" w:cs="Cambria" w:eastAsia="Cambria"/>
                <w:color w:val="1A1A1A"/>
                <w:sz w:val="18"/>
              </w:rPr>
              <w:t xml:space="preserve">Tasso per 100.000 e ricoveri (esito di popolazione)</w:t>
            </w:r>
          </w:p>
        </w:tc>
        <w:tc>
          <w:tcPr>
            <w:shd w:val="clear" w:color="auto" w:fill="F4F1EC"/>
          </w:tcPr>
          <w:p>
            <w:pPr>
              <w:pStyle w:val="Compact"/>
              <w:spacing w:after="40" w:before="40"/>
              <w:jc w:val="left"/>
            </w:pPr>
            <w:r>
              <w:rPr>
                <w:rFonts w:ascii="Cambria" w:hAnsi="Cambria" w:cs="Cambria" w:eastAsia="Cambria"/>
                <w:color w:val="1A1A1A"/>
                <w:sz w:val="18"/>
              </w:rPr>
              <w:t xml:space="preserve">ISTAT</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Disponibile (reg./prov.)</w:t>
            </w:r>
          </w:p>
        </w:tc>
      </w:tr>
    </w:tbl>
    <w:p>
      <w:pPr>
        <w:pStyle w:val="BodyText"/>
      </w:pPr>
      <w:r>
        <w:rPr>
          <w:i/>
          <w:iCs/>
        </w:rPr>
        <w:t xml:space="preserve">Tabella 6. Indicatori di impatto sociale e di benessere. Gli indicatori di mortalità sono misure epidemiologiche aggregate di esito a lungo termine.</w:t>
      </w:r>
    </w:p>
    <w:bookmarkEnd w:id="1047"/>
    <w:bookmarkStart w:id="1048" w:name="X88777c355ad7049dfc89da43c4a685ba331573d"/>
    <w:p>
      <w:pPr>
        <w:pStyle w:val="Heading2"/>
      </w:pPr>
      <w:r>
        <w:t xml:space="preserve">7. Indicatori organizzativi e di integrazione</w:t>
      </w:r>
    </w:p>
    <w:p>
      <w:pPr>
        <w:pStyle w:val="FirstParagraph"/>
      </w:pPr>
      <w:r>
        <w:t xml:space="preserve">La settima dimensione misura la qualità organizzativa del servizio e la sua sostenibilità interna: la tempestività, l’integrazione con la medicina generale, la collocazione nelle Case di Comunità, il carico di lavoro per professionista e il benessere degli operatori. Quest’ultimo, spesso trascurato, è il quarto obiettivo del modello integrato di valutazione dei sistemi sanitari: un servizio che logora i propri professionisti non è sostenibile, per quanto efficace nel breve periodo.</w:t>
      </w:r>
    </w:p>
    <w:p>
      <w:pPr>
        <w:pStyle w:val="BodyText"/>
      </w:pPr>
      <w:r>
        <w:t xml:space="preserve">Questi indicatori completano il quadro perché collegano la qualità clinica alle condizioni che la rendono possibile e duratura. La collocazione fisica nelle Case di Comunità — sedi previste dalla riforma dell’assistenza territoriale — e l’effettiva copertura del personale rispetto alle previsioni sono, in particolare, le condizioni strutturali da cui dipende la tenuta del servizio nella fase di espansione.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e unità</w:t>
            </w:r>
          </w:p>
        </w:tc>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Dir.</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baseline</w:t>
            </w:r>
          </w:p>
        </w:tc>
      </w:tr>
      <w:tr>
        <w:tc>
          <w:tcPr/>
          <w:p>
            <w:pPr>
              <w:pStyle w:val="Compact"/>
              <w:spacing w:after="40" w:before="40"/>
              <w:jc w:val="left"/>
            </w:pPr>
            <w:r>
              <w:rPr>
                <w:rFonts w:ascii="Cambria" w:hAnsi="Cambria" w:cs="Cambria" w:eastAsia="Cambria"/>
                <w:b/>
                <w:bCs/>
                <w:color w:val="1A1A1A"/>
                <w:sz w:val="18"/>
              </w:rPr>
              <w:t xml:space="preserve">Integrazione con MMG e PLS</w:t>
            </w:r>
          </w:p>
        </w:tc>
        <w:tc>
          <w:tcPr/>
          <w:p>
            <w:pPr>
              <w:pStyle w:val="Compact"/>
              <w:spacing w:after="40" w:before="40"/>
              <w:jc w:val="left"/>
            </w:pPr>
            <w:r>
              <w:rPr>
                <w:rFonts w:ascii="Cambria" w:hAnsi="Cambria" w:cs="Cambria" w:eastAsia="Cambria"/>
                <w:color w:val="1A1A1A"/>
                <w:sz w:val="18"/>
              </w:rPr>
              <w:t xml:space="preserve">Quota di medici che inviano al servizio (%)</w:t>
            </w:r>
          </w:p>
        </w:tc>
        <w:tc>
          <w:tcPr/>
          <w:p>
            <w:pPr>
              <w:pStyle w:val="Compact"/>
              <w:spacing w:after="40" w:before="40"/>
              <w:jc w:val="left"/>
            </w:pPr>
            <w:r>
              <w:rPr>
                <w:rFonts w:ascii="Cambria" w:hAnsi="Cambria" w:cs="Cambria" w:eastAsia="Cambria"/>
                <w:color w:val="1A1A1A"/>
                <w:sz w:val="18"/>
              </w:rPr>
              <w:t xml:space="preserve">Servizio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Tempo alla prima prestazione</w:t>
            </w:r>
          </w:p>
        </w:tc>
        <w:tc>
          <w:tcPr>
            <w:shd w:val="clear" w:color="auto" w:fill="F4F1EC"/>
          </w:tcPr>
          <w:p>
            <w:pPr>
              <w:pStyle w:val="Compact"/>
              <w:spacing w:after="40" w:before="40"/>
              <w:jc w:val="left"/>
            </w:pPr>
            <w:r>
              <w:rPr>
                <w:rFonts w:ascii="Cambria" w:hAnsi="Cambria" w:cs="Cambria" w:eastAsia="Cambria"/>
                <w:color w:val="1A1A1A"/>
                <w:sz w:val="18"/>
              </w:rPr>
              <w:t xml:space="preserve">Giorni dalla richiesta alla prestazione (mediana)</w:t>
            </w:r>
          </w:p>
        </w:tc>
        <w:tc>
          <w:tcPr>
            <w:shd w:val="clear" w:color="auto" w:fill="F4F1EC"/>
          </w:tcPr>
          <w:p>
            <w:pPr>
              <w:pStyle w:val="Compact"/>
              <w:spacing w:after="40" w:before="40"/>
              <w:jc w:val="left"/>
            </w:pPr>
            <w:r>
              <w:rPr>
                <w:rFonts w:ascii="Cambria" w:hAnsi="Cambria" w:cs="Cambria" w:eastAsia="Cambria"/>
                <w:color w:val="1A1A1A"/>
                <w:sz w:val="18"/>
              </w:rPr>
              <w:t xml:space="preserve">Servizio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Continuità e chiusura del ciclo</w:t>
            </w:r>
          </w:p>
        </w:tc>
        <w:tc>
          <w:tcPr/>
          <w:p>
            <w:pPr>
              <w:pStyle w:val="Compact"/>
              <w:spacing w:after="40" w:before="40"/>
              <w:jc w:val="left"/>
            </w:pPr>
            <w:r>
              <w:rPr>
                <w:rFonts w:ascii="Cambria" w:hAnsi="Cambria" w:cs="Cambria" w:eastAsia="Cambria"/>
                <w:color w:val="1A1A1A"/>
                <w:sz w:val="18"/>
              </w:rPr>
              <w:t xml:space="preserve">Casi con restituzione al curante (%)</w:t>
            </w:r>
          </w:p>
        </w:tc>
        <w:tc>
          <w:tcPr/>
          <w:p>
            <w:pPr>
              <w:pStyle w:val="Compact"/>
              <w:spacing w:after="40" w:before="40"/>
              <w:jc w:val="left"/>
            </w:pPr>
            <w:r>
              <w:rPr>
                <w:rFonts w:ascii="Cambria" w:hAnsi="Cambria" w:cs="Cambria" w:eastAsia="Cambria"/>
                <w:color w:val="1A1A1A"/>
                <w:sz w:val="18"/>
              </w:rPr>
              <w:t xml:space="preserve">Servizio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Collocazione nelle Case di Comunità</w:t>
            </w:r>
          </w:p>
        </w:tc>
        <w:tc>
          <w:tcPr>
            <w:shd w:val="clear" w:color="auto" w:fill="F4F1EC"/>
          </w:tcPr>
          <w:p>
            <w:pPr>
              <w:pStyle w:val="Compact"/>
              <w:spacing w:after="40" w:before="40"/>
              <w:jc w:val="left"/>
            </w:pPr>
            <w:r>
              <w:rPr>
                <w:rFonts w:ascii="Cambria" w:hAnsi="Cambria" w:cs="Cambria" w:eastAsia="Cambria"/>
                <w:color w:val="1A1A1A"/>
                <w:sz w:val="18"/>
              </w:rPr>
              <w:t xml:space="preserve">Quota di servizio erogato in Casa di Comunità (%)</w:t>
            </w:r>
          </w:p>
        </w:tc>
        <w:tc>
          <w:tcPr>
            <w:shd w:val="clear" w:color="auto" w:fill="F4F1EC"/>
          </w:tcPr>
          <w:p>
            <w:pPr>
              <w:pStyle w:val="Compact"/>
              <w:spacing w:after="40" w:before="40"/>
              <w:jc w:val="left"/>
            </w:pPr>
            <w:r>
              <w:rPr>
                <w:rFonts w:ascii="Cambria" w:hAnsi="Cambria" w:cs="Cambria" w:eastAsia="Cambria"/>
                <w:color w:val="1A1A1A"/>
                <w:sz w:val="18"/>
              </w:rPr>
              <w:t xml:space="preserve">ASL</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Carico di lavoro per professionista</w:t>
            </w:r>
          </w:p>
        </w:tc>
        <w:tc>
          <w:tcPr/>
          <w:p>
            <w:pPr>
              <w:pStyle w:val="Compact"/>
              <w:spacing w:after="40" w:before="40"/>
              <w:jc w:val="left"/>
            </w:pPr>
            <w:r>
              <w:rPr>
                <w:rFonts w:ascii="Cambria" w:hAnsi="Cambria" w:cs="Cambria" w:eastAsia="Cambria"/>
                <w:color w:val="1A1A1A"/>
                <w:sz w:val="18"/>
              </w:rPr>
              <w:t xml:space="preserve">Utenti e sedute per psicologo a tempo pieno (n.)</w:t>
            </w:r>
          </w:p>
        </w:tc>
        <w:tc>
          <w:tcPr/>
          <w:p>
            <w:pPr>
              <w:pStyle w:val="Compact"/>
              <w:spacing w:after="40" w:before="40"/>
              <w:jc w:val="left"/>
            </w:pPr>
            <w:r>
              <w:rPr>
                <w:rFonts w:ascii="Cambria" w:hAnsi="Cambria" w:cs="Cambria" w:eastAsia="Cambria"/>
                <w:color w:val="1A1A1A"/>
                <w:sz w:val="18"/>
              </w:rPr>
              <w:t xml:space="preserve">Servizio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Benessere degli operatori</w:t>
            </w:r>
          </w:p>
        </w:tc>
        <w:tc>
          <w:tcPr>
            <w:shd w:val="clear" w:color="auto" w:fill="F4F1EC"/>
          </w:tcPr>
          <w:p>
            <w:pPr>
              <w:pStyle w:val="Compact"/>
              <w:spacing w:after="40" w:before="40"/>
              <w:jc w:val="left"/>
            </w:pPr>
            <w:r>
              <w:rPr>
                <w:rFonts w:ascii="Cambria" w:hAnsi="Cambria" w:cs="Cambria" w:eastAsia="Cambria"/>
                <w:color w:val="1A1A1A"/>
                <w:sz w:val="18"/>
              </w:rPr>
              <w:t xml:space="preserve">Indicatori di soddisfazione e di burnout</w:t>
            </w:r>
          </w:p>
        </w:tc>
        <w:tc>
          <w:tcPr>
            <w:shd w:val="clear" w:color="auto" w:fill="F4F1EC"/>
          </w:tcPr>
          <w:p>
            <w:pPr>
              <w:pStyle w:val="Compact"/>
              <w:spacing w:after="40" w:before="40"/>
              <w:jc w:val="left"/>
            </w:pPr>
            <w:r>
              <w:rPr>
                <w:rFonts w:ascii="Cambria" w:hAnsi="Cambria" w:cs="Cambria" w:eastAsia="Cambria"/>
                <w:color w:val="1A1A1A"/>
                <w:sz w:val="18"/>
              </w:rPr>
              <w:t xml:space="preserve">Servizio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Copertura del personale</w:t>
            </w:r>
          </w:p>
        </w:tc>
        <w:tc>
          <w:tcPr/>
          <w:p>
            <w:pPr>
              <w:pStyle w:val="Compact"/>
              <w:spacing w:after="40" w:before="40"/>
              <w:jc w:val="left"/>
            </w:pPr>
            <w:r>
              <w:rPr>
                <w:rFonts w:ascii="Cambria" w:hAnsi="Cambria" w:cs="Cambria" w:eastAsia="Cambria"/>
                <w:color w:val="1A1A1A"/>
                <w:sz w:val="18"/>
              </w:rPr>
              <w:t xml:space="preserve">Operatori effettivi rispetto ai previsti (% FTE)</w:t>
            </w:r>
          </w:p>
        </w:tc>
        <w:tc>
          <w:tcPr/>
          <w:p>
            <w:pPr>
              <w:pStyle w:val="Compact"/>
              <w:spacing w:after="40" w:before="40"/>
              <w:jc w:val="left"/>
            </w:pPr>
            <w:r>
              <w:rPr>
                <w:rFonts w:ascii="Cambria" w:hAnsi="Cambria" w:cs="Cambria" w:eastAsia="Cambria"/>
                <w:color w:val="1A1A1A"/>
                <w:sz w:val="18"/>
              </w:rPr>
              <w:t xml:space="preserve">Servizio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bl>
    <w:p>
      <w:pPr>
        <w:pStyle w:val="BodyText"/>
      </w:pPr>
      <w:r>
        <w:rPr>
          <w:i/>
          <w:iCs/>
        </w:rPr>
        <w:t xml:space="preserve">Tabella 7. Indicatori organizzativi e di integrazione. Il benessere degli operatori è il quarto obiettivo del modello integrato di valutazione del servizio.</w:t>
      </w:r>
    </w:p>
    <w:bookmarkEnd w:id="1048"/>
    <w:bookmarkStart w:id="1050" w:name="le-variabili-complesse-di-sintesi"/>
    <w:p>
      <w:pPr>
        <w:pStyle w:val="Heading2"/>
      </w:pPr>
      <w:r>
        <w:t xml:space="preserve">8. Le variabili complesse di sintesi</w:t>
      </w:r>
    </w:p>
    <w:p>
      <w:pPr>
        <w:pStyle w:val="FirstParagraph"/>
      </w:pPr>
      <w:r>
        <w:t xml:space="preserve">Le sette variabili di sintesi raccolgono per aggregazione gli indicatori elementari delle dimensioni precedenti e costituiscono il vertice del cruscotto. Ciascuna unifica più grandezze in un’unica misura interpretabile: gli anni di vita aggiustati per qualità e gli anni di vita in salute recuperati traducono l’esito clinico in una scala comparabile; il tasso di recupero composito sintetizza miglioramento affidabile e superamento della soglia; il ritorno sociale e il beneficio netto monetario esprimono il rendimento economico complessivo; l’indice di equità territoriale e l’indice integrato dei quattro obiettivi combinano esito e distribuzione, esito ed esperienza, costo e benessere degli operatori.</w:t>
      </w:r>
    </w:p>
    <w:p>
      <w:pPr>
        <w:pStyle w:val="BodyText"/>
      </w:pPr>
      <w:r>
        <w:t xml:space="preserve">Queste misure non sono calcolabili senza la batteria che le precede: sono il prodotto finale di un sistema di rilevazione che parte dal singolo questionario somministrato a fine seduta e risale fino alla sintesi regionale. Per questa ragione la costruzione della batteria è la condizione operativa del cruscotto, e la sua attivazione — attraverso l’Osservatorio previsto dalla legge — è il primo passo concreto da compiere nella fase sperimentale in corso.</w:t>
      </w:r>
      <w:r>
        <w:rPr>
          <w:rStyle w:val="FootnoteReference"/>
        </w:rPr>
        <w:footnoteReference w:id="425"/>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e unità</w:t>
            </w:r>
          </w:p>
        </w:tc>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Dir.</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baseline</w:t>
            </w:r>
          </w:p>
        </w:tc>
      </w:tr>
      <w:tr>
        <w:tc>
          <w:tcPr/>
          <w:p>
            <w:pPr>
              <w:pStyle w:val="Compact"/>
              <w:spacing w:after="40" w:before="40"/>
              <w:jc w:val="left"/>
            </w:pPr>
            <w:r>
              <w:rPr>
                <w:rFonts w:ascii="Cambria" w:hAnsi="Cambria" w:cs="Cambria" w:eastAsia="Cambria"/>
                <w:b/>
                <w:bCs/>
                <w:color w:val="1A1A1A"/>
                <w:sz w:val="18"/>
              </w:rPr>
              <w:t xml:space="preserve">Anni di vita aggiustati per qualità (QALY)</w:t>
            </w:r>
          </w:p>
        </w:tc>
        <w:tc>
          <w:tcPr/>
          <w:p>
            <w:pPr>
              <w:pStyle w:val="Compact"/>
              <w:spacing w:after="40" w:before="40"/>
              <w:jc w:val="left"/>
            </w:pPr>
            <w:r>
              <w:rPr>
                <w:rFonts w:ascii="Cambria" w:hAnsi="Cambria" w:cs="Cambria" w:eastAsia="Cambria"/>
                <w:color w:val="1A1A1A"/>
                <w:sz w:val="18"/>
              </w:rPr>
              <w:t xml:space="preserve">Qualità per durata della vita in salute mentale</w:t>
            </w:r>
          </w:p>
        </w:tc>
        <w:tc>
          <w:tcPr/>
          <w:p>
            <w:pPr>
              <w:pStyle w:val="Compact"/>
              <w:spacing w:after="40" w:before="40"/>
              <w:jc w:val="left"/>
            </w:pPr>
            <w:r>
              <w:rPr>
                <w:rFonts w:ascii="Cambria" w:hAnsi="Cambria" w:cs="Cambria" w:eastAsia="Cambria"/>
                <w:color w:val="1A1A1A"/>
                <w:sz w:val="18"/>
              </w:rPr>
              <w:t xml:space="preserve">Composito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Anni di vita in salute recuperati (DALY evitati)</w:t>
            </w:r>
          </w:p>
        </w:tc>
        <w:tc>
          <w:tcPr>
            <w:shd w:val="clear" w:color="auto" w:fill="F4F1EC"/>
          </w:tcPr>
          <w:p>
            <w:pPr>
              <w:pStyle w:val="Compact"/>
              <w:spacing w:after="40" w:before="40"/>
              <w:jc w:val="left"/>
            </w:pPr>
            <w:r>
              <w:rPr>
                <w:rFonts w:ascii="Cambria" w:hAnsi="Cambria" w:cs="Cambria" w:eastAsia="Cambria"/>
                <w:color w:val="1A1A1A"/>
                <w:sz w:val="18"/>
              </w:rPr>
              <w:t xml:space="preserve">Anni di vita in salute non perduti</w:t>
            </w:r>
          </w:p>
        </w:tc>
        <w:tc>
          <w:tcPr>
            <w:shd w:val="clear" w:color="auto" w:fill="F4F1EC"/>
          </w:tcPr>
          <w:p>
            <w:pPr>
              <w:pStyle w:val="Compact"/>
              <w:spacing w:after="40" w:before="40"/>
              <w:jc w:val="left"/>
            </w:pPr>
            <w:r>
              <w:rPr>
                <w:rFonts w:ascii="Cambria" w:hAnsi="Cambria" w:cs="Cambria" w:eastAsia="Cambria"/>
                <w:color w:val="1A1A1A"/>
                <w:sz w:val="18"/>
              </w:rPr>
              <w:t xml:space="preserve">Composito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Tasso di recupero composito</w:t>
            </w:r>
          </w:p>
        </w:tc>
        <w:tc>
          <w:tcPr/>
          <w:p>
            <w:pPr>
              <w:pStyle w:val="Compact"/>
              <w:spacing w:after="40" w:before="40"/>
              <w:jc w:val="left"/>
            </w:pPr>
            <w:r>
              <w:rPr>
                <w:rFonts w:ascii="Cambria" w:hAnsi="Cambria" w:cs="Cambria" w:eastAsia="Cambria"/>
                <w:color w:val="1A1A1A"/>
                <w:sz w:val="18"/>
              </w:rPr>
              <w:t xml:space="preserve">Miglioramento affidabile e superamento della soglia</w:t>
            </w:r>
          </w:p>
        </w:tc>
        <w:tc>
          <w:tcPr/>
          <w:p>
            <w:pPr>
              <w:pStyle w:val="Compact"/>
              <w:spacing w:after="40" w:before="40"/>
              <w:jc w:val="left"/>
            </w:pPr>
            <w:r>
              <w:rPr>
                <w:rFonts w:ascii="Cambria" w:hAnsi="Cambria" w:cs="Cambria" w:eastAsia="Cambria"/>
                <w:color w:val="1A1A1A"/>
                <w:sz w:val="18"/>
              </w:rPr>
              <w:t xml:space="preserve">Composito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dell’investimento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Valore sociale monetizzato per euro investito</w:t>
            </w:r>
          </w:p>
        </w:tc>
        <w:tc>
          <w:tcPr>
            <w:shd w:val="clear" w:color="auto" w:fill="F4F1EC"/>
          </w:tcPr>
          <w:p>
            <w:pPr>
              <w:pStyle w:val="Compact"/>
              <w:spacing w:after="40" w:before="40"/>
              <w:jc w:val="left"/>
            </w:pPr>
            <w:r>
              <w:rPr>
                <w:rFonts w:ascii="Cambria" w:hAnsi="Cambria" w:cs="Cambria" w:eastAsia="Cambria"/>
                <w:color w:val="1A1A1A"/>
                <w:sz w:val="18"/>
              </w:rPr>
              <w:t xml:space="preserve">Composito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Beneficio netto monetario</w:t>
            </w:r>
          </w:p>
        </w:tc>
        <w:tc>
          <w:tcPr/>
          <w:p>
            <w:pPr>
              <w:pStyle w:val="Compact"/>
              <w:spacing w:after="40" w:before="40"/>
              <w:jc w:val="left"/>
            </w:pPr>
            <w:r>
              <w:rPr>
                <w:rFonts w:ascii="Cambria" w:hAnsi="Cambria" w:cs="Cambria" w:eastAsia="Cambria"/>
                <w:color w:val="1A1A1A"/>
                <w:sz w:val="18"/>
              </w:rPr>
              <w:t xml:space="preserve">Beneficio meno costo a una soglia data (€)</w:t>
            </w:r>
          </w:p>
        </w:tc>
        <w:tc>
          <w:tcPr/>
          <w:p>
            <w:pPr>
              <w:pStyle w:val="Compact"/>
              <w:spacing w:after="40" w:before="40"/>
              <w:jc w:val="left"/>
            </w:pPr>
            <w:r>
              <w:rPr>
                <w:rFonts w:ascii="Cambria" w:hAnsi="Cambria" w:cs="Cambria" w:eastAsia="Cambria"/>
                <w:color w:val="1A1A1A"/>
                <w:sz w:val="18"/>
              </w:rPr>
              <w:t xml:space="preserve">Composito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Stimato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equità territoriale</w:t>
            </w:r>
          </w:p>
        </w:tc>
        <w:tc>
          <w:tcPr>
            <w:shd w:val="clear" w:color="auto" w:fill="F4F1EC"/>
          </w:tcPr>
          <w:p>
            <w:pPr>
              <w:pStyle w:val="Compact"/>
              <w:spacing w:after="40" w:before="40"/>
              <w:jc w:val="left"/>
            </w:pPr>
            <w:r>
              <w:rPr>
                <w:rFonts w:ascii="Cambria" w:hAnsi="Cambria" w:cs="Cambria" w:eastAsia="Cambria"/>
                <w:color w:val="1A1A1A"/>
                <w:sz w:val="18"/>
              </w:rPr>
              <w:t xml:space="preserve">Esito ponderato per la distribuzione tra ASL e aree</w:t>
            </w:r>
          </w:p>
        </w:tc>
        <w:tc>
          <w:tcPr>
            <w:shd w:val="clear" w:color="auto" w:fill="F4F1EC"/>
          </w:tcPr>
          <w:p>
            <w:pPr>
              <w:pStyle w:val="Compact"/>
              <w:spacing w:after="40" w:before="40"/>
              <w:jc w:val="left"/>
            </w:pPr>
            <w:r>
              <w:rPr>
                <w:rFonts w:ascii="Cambria" w:hAnsi="Cambria" w:cs="Cambria" w:eastAsia="Cambria"/>
                <w:color w:val="1A1A1A"/>
                <w:sz w:val="18"/>
              </w:rPr>
              <w:t xml:space="preserve">Composito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Indice integrato dei quattro obiettivi</w:t>
            </w:r>
          </w:p>
        </w:tc>
        <w:tc>
          <w:tcPr/>
          <w:p>
            <w:pPr>
              <w:pStyle w:val="Compact"/>
              <w:spacing w:after="40" w:before="40"/>
              <w:jc w:val="left"/>
            </w:pPr>
            <w:r>
              <w:rPr>
                <w:rFonts w:ascii="Cambria" w:hAnsi="Cambria" w:cs="Cambria" w:eastAsia="Cambria"/>
                <w:color w:val="1A1A1A"/>
                <w:sz w:val="18"/>
              </w:rPr>
              <w:t xml:space="preserve">Esito, esperienza, costo e benessere degli operatori</w:t>
            </w:r>
          </w:p>
        </w:tc>
        <w:tc>
          <w:tcPr/>
          <w:p>
            <w:pPr>
              <w:pStyle w:val="Compact"/>
              <w:spacing w:after="40" w:before="40"/>
              <w:jc w:val="left"/>
            </w:pPr>
            <w:r>
              <w:rPr>
                <w:rFonts w:ascii="Cambria" w:hAnsi="Cambria" w:cs="Cambria" w:eastAsia="Cambria"/>
                <w:color w:val="1A1A1A"/>
                <w:sz w:val="18"/>
              </w:rPr>
              <w:t xml:space="preserve">Composito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Da rilevare</w:t>
            </w:r>
          </w:p>
        </w:tc>
      </w:tr>
    </w:tbl>
    <w:p>
      <w:pPr>
        <w:pStyle w:val="BodyText"/>
      </w:pPr>
      <w:r>
        <w:rPr>
          <w:i/>
          <w:iCs/>
        </w:rPr>
        <w:t xml:space="preserve">Tabella 8. Le variabili complesse di sintesi. Ciascuna è il prodotto di aggregazione degli indicatori elementari delle dimensioni 1–7.</w:t>
      </w:r>
    </w:p>
    <w:bookmarkEnd w:id="1050"/>
    <w:bookmarkStart w:id="1052" w:name="X388f6328ae4a4403b71971333c99806108a36d7"/>
    <w:p>
      <w:pPr>
        <w:pStyle w:val="Heading2"/>
      </w:pPr>
      <w:r>
        <w:t xml:space="preserve">Sintesi operativa: che cosa rilevare per primo</w:t>
      </w:r>
    </w:p>
    <w:p>
      <w:pPr>
        <w:pStyle w:val="FirstParagraph"/>
      </w:pPr>
      <w:r>
        <w:t xml:space="preserve">La batteria distingue chiaramente ciò che è già disponibile da ciò che va costituito. Gli indicatori di bisogno, di disparità territoriale, di benessere e di esito di popolazione sono ricavabili oggi dalle statistiche nazionali e regionali, e forniscono la fotografia di partenza.</w:t>
      </w:r>
      <w:r>
        <w:rPr>
          <w:rStyle w:val="FootnoteReference"/>
        </w:rPr>
        <w:footnoteReference w:id="426"/>
      </w:r>
      <w:r>
        <w:t xml:space="preserve"> </w:t>
      </w:r>
      <w:r>
        <w:t xml:space="preserve">Gli indicatori di accesso, processo, esito clinico e organizzazione richiedono invece che il servizio adotti, fin dall’avvio, un protocollo minimo di rilevazione: la registrazione delle prese in carico e delle sedute, la raccolta delle misure di esito a ogni seduta e il tracciamento degli invii e delle restituzioni al medico curante. Sono pochi dati, ma sono quelli da cui dipende l’intero edificio della misurazione.</w:t>
      </w:r>
    </w:p>
    <w:p>
      <w:pPr>
        <w:pStyle w:val="BodyText"/>
      </w:pPr>
      <w:r>
        <w:t xml:space="preserve">La priorità, dunque, è duplice: costituire subito la baseline con i dati già disponibili e attivare contestualmente la rilevazione dei dati nuovi, in modo che alla fine della fase sperimentale la Regione disponga non di impressioni, ma di una serie storica di indicatori comparabili. È questa la funzione propria dell’Osservatorio regionale: trasformare un servizio in via di avvio in un servizio che si conosce, si misura e si può governare.</w:t>
      </w:r>
    </w:p>
    <w:p>
      <w:r>
        <w:br w:type="page"/>
      </w:r>
    </w:p>
    <w:bookmarkEnd w:id="1052"/>
    <w:bookmarkEnd w:id="1053"/>
    <w:bookmarkStart w:id="1066" w:name="X5d2004dc8de8365afb582ced0254464106f64fb"/>
    <w:p>
      <w:pPr>
        <w:pStyle w:val="Heading1"/>
      </w:pPr>
      <w:r>
        <w:t xml:space="preserve">Appendice IV — Riconciliazione e tabella unica dei valori</w:t>
      </w:r>
    </w:p>
    <w:p>
      <w:pPr>
        <w:pStyle w:val="FirstParagraph"/>
      </w:pPr>
      <w:r>
        <w:t xml:space="preserve">Psicologo di base in Puglia · riconciliazione e tabella unica dei valori</w:t>
      </w:r>
    </w:p>
    <w:p>
      <w:pPr>
        <w:pStyle w:val="BodyText"/>
      </w:pPr>
      <w:r>
        <w:rPr>
          <w:b/>
          <w:bCs/>
        </w:rPr>
        <w:t xml:space="preserve">PROGETTO «PSICOLOGO DI BASE» · REGIONE PUGLIA</w:t>
      </w:r>
    </w:p>
    <w:p>
      <w:pPr>
        <w:pStyle w:val="BodyText"/>
      </w:pPr>
      <w:r>
        <w:t xml:space="preserve">Chiusura delle lacune B e F · riconciliazione e coerenza</w:t>
      </w:r>
    </w:p>
    <w:p>
      <w:pPr>
        <w:pStyle w:val="BodyText"/>
      </w:pPr>
      <w:r>
        <w:rPr>
          <w:b/>
          <w:bCs/>
        </w:rPr>
        <w:t xml:space="preserve">Riconciliazione economica e tabella unica dei valori</w:t>
      </w:r>
    </w:p>
    <w:p>
      <w:pPr>
        <w:pStyle w:val="BodyText"/>
      </w:pPr>
      <w:r>
        <w:rPr>
          <w:b/>
          <w:bCs/>
        </w:rPr>
        <w:t xml:space="preserve">una sola base di riferimento per costi, risparmi e saldo</w:t>
      </w:r>
    </w:p>
    <w:p>
      <w:pPr>
        <w:pStyle w:val="BodyText"/>
      </w:pPr>
      <w:r>
        <w:rPr>
          <w:i/>
          <w:iCs/>
        </w:rPr>
        <w:t xml:space="preserve">Dalle due stime divergenti a un unico quadro economico, conservativo e tracciabile</w:t>
      </w:r>
    </w:p>
    <w:p>
      <w:pPr>
        <w:pStyle w:val="BodyText"/>
      </w:pPr>
      <w:r>
        <w:rPr>
          <w:b/>
          <w:bCs/>
        </w:rPr>
        <w:t xml:space="preserve">Indice</w:t>
      </w:r>
    </w:p>
    <w:bookmarkStart w:id="1057" w:name="perché-due-stime-e-come-si-conciliano"/>
    <w:p>
      <w:pPr>
        <w:pStyle w:val="Heading2"/>
      </w:pPr>
      <w:r>
        <w:t xml:space="preserve">1. Perché due stime, e come si conciliano</w:t>
      </w:r>
    </w:p>
    <w:p>
      <w:pPr>
        <w:pStyle w:val="FirstParagraph"/>
      </w:pPr>
      <w:r>
        <w:t xml:space="preserve">Il progetto contiene oggi due stime economiche apparentemente distanti. La prima, di vertice, indica un risparmio diretto dell’ordine di 270 milioni l’anno e un rapporto beneficio-costo di 6–7:1 a livello regionale, con un ritorno sociale di 8,6:1.</w:t>
      </w:r>
      <w:r>
        <w:rPr>
          <w:rStyle w:val="FootnoteReference"/>
        </w:rPr>
        <w:footnoteReference w:id="427"/>
      </w:r>
      <w:r>
        <w:t xml:space="preserve"> </w:t>
      </w:r>
      <w:r>
        <w:t xml:space="preserve">La seconda, prodotta dalla revisione su dati primari, colloca il risparmio diretto per il bilancio sanitario vicino al pareggio con il costo, e individua nel ritorno complessivo — dell’ordine di 3,6–5:1 — una grandezza trainata dalla produttività recuperata.</w:t>
      </w:r>
      <w:r>
        <w:rPr>
          <w:rStyle w:val="FootnoteReference"/>
        </w:rPr>
        <w:footnoteReference w:id="428"/>
      </w:r>
      <w:r>
        <w:t xml:space="preserve"> </w:t>
      </w:r>
      <w:r>
        <w:t xml:space="preserve">La distanza non è una contraddizione, ma il prodotto di tre differenze di metodo, che vanno rese esplicite.</w:t>
      </w:r>
    </w:p>
    <w:p>
      <w:pPr>
        <w:pStyle w:val="BodyText"/>
      </w:pPr>
      <w:r>
        <w:t xml:space="preserve">La prima differenza è l’aggregazione: la stima di vertice somma il risparmio diretto e la ricaduta sociale in un unico valore, mentre la revisione li tiene separati. La seconda è la base dei dati: la stima di vertice applica la riducibilità alla spesa ricostruita per quota di popolazione, mentre la revisione la applica alla sola quota di salute mentale effettivamente attribuibile.</w:t>
      </w:r>
      <w:r>
        <w:rPr>
          <w:rStyle w:val="FootnoteReference"/>
        </w:rPr>
        <w:footnoteReference w:id="429"/>
      </w:r>
      <w:r>
        <w:t xml:space="preserve"> </w:t>
      </w:r>
      <w:r>
        <w:t xml:space="preserve">La terza è il perimetro: il ritorno sociale, calcolato su un perimetro ampio, viene nella revisione adottato in misura più sobria. La tabella seguente concilia le due stime voce per voce.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Voce</w:t>
            </w:r>
          </w:p>
        </w:tc>
        <w:tc>
          <w:tcPr>
            <w:shd w:val="clear" w:color="auto" w:fill="16264B"/>
          </w:tcPr>
          <w:p>
            <w:pPr>
              <w:pStyle w:val="Compact"/>
              <w:spacing w:after="40" w:before="40"/>
              <w:jc w:val="left"/>
            </w:pPr>
            <w:r>
              <w:rPr>
                <w:rFonts w:ascii="Cambria" w:hAnsi="Cambria" w:cs="Cambria" w:eastAsia="Cambria"/>
                <w:b/>
                <w:bCs/>
                <w:color w:val="FFFFFF"/>
                <w:sz w:val="18"/>
              </w:rPr>
              <w:t xml:space="preserve">Stima di vertice</w:t>
            </w:r>
          </w:p>
        </w:tc>
        <w:tc>
          <w:tcPr>
            <w:shd w:val="clear" w:color="auto" w:fill="16264B"/>
          </w:tcPr>
          <w:p>
            <w:pPr>
              <w:pStyle w:val="Compact"/>
              <w:spacing w:after="40" w:before="40"/>
              <w:jc w:val="left"/>
            </w:pPr>
            <w:r>
              <w:rPr>
                <w:rFonts w:ascii="Cambria" w:hAnsi="Cambria" w:cs="Cambria" w:eastAsia="Cambria"/>
                <w:b/>
                <w:bCs/>
                <w:color w:val="FFFFFF"/>
                <w:sz w:val="18"/>
              </w:rPr>
              <w:t xml:space="preserve">Revisione su dati primari</w:t>
            </w:r>
          </w:p>
        </w:tc>
        <w:tc>
          <w:tcPr>
            <w:shd w:val="clear" w:color="auto" w:fill="16264B"/>
          </w:tcPr>
          <w:p>
            <w:pPr>
              <w:pStyle w:val="Compact"/>
              <w:spacing w:after="40" w:before="40"/>
              <w:jc w:val="left"/>
            </w:pPr>
            <w:r>
              <w:rPr>
                <w:rFonts w:ascii="Cambria" w:hAnsi="Cambria" w:cs="Cambria" w:eastAsia="Cambria"/>
                <w:b/>
                <w:bCs/>
                <w:color w:val="FFFFFF"/>
                <w:sz w:val="18"/>
              </w:rPr>
              <w:t xml:space="preserve">Ragione della differenza</w:t>
            </w:r>
          </w:p>
        </w:tc>
      </w:tr>
      <w:tr>
        <w:tc>
          <w:tcPr/>
          <w:p>
            <w:pPr>
              <w:pStyle w:val="Compact"/>
              <w:spacing w:after="40" w:before="40"/>
              <w:jc w:val="left"/>
            </w:pPr>
            <w:r>
              <w:rPr>
                <w:rFonts w:ascii="Cambria" w:hAnsi="Cambria" w:cs="Cambria" w:eastAsia="Cambria"/>
                <w:b/>
                <w:bCs/>
                <w:color w:val="1A1A1A"/>
                <w:sz w:val="18"/>
              </w:rPr>
              <w:t xml:space="preserve">Risparmio diretto annuo</w:t>
            </w:r>
          </w:p>
        </w:tc>
        <w:tc>
          <w:tcPr/>
          <w:p>
            <w:pPr>
              <w:pStyle w:val="Compact"/>
              <w:spacing w:after="40" w:before="40"/>
              <w:jc w:val="left"/>
            </w:pPr>
            <w:r>
              <w:rPr>
                <w:rFonts w:ascii="Cambria" w:hAnsi="Cambria" w:cs="Cambria" w:eastAsia="Cambria"/>
                <w:color w:val="1A1A1A"/>
                <w:sz w:val="18"/>
              </w:rPr>
              <w:t xml:space="preserve">~270 mln</w:t>
            </w:r>
          </w:p>
        </w:tc>
        <w:tc>
          <w:tcPr/>
          <w:p>
            <w:pPr>
              <w:pStyle w:val="Compact"/>
              <w:spacing w:after="40" w:before="40"/>
              <w:jc w:val="left"/>
            </w:pPr>
            <w:r>
              <w:rPr>
                <w:rFonts w:ascii="Cambria" w:hAnsi="Cambria" w:cs="Cambria" w:eastAsia="Cambria"/>
                <w:color w:val="1A1A1A"/>
                <w:sz w:val="18"/>
              </w:rPr>
              <w:t xml:space="preserve">~20–50 mln</w:t>
            </w:r>
          </w:p>
        </w:tc>
        <w:tc>
          <w:tcPr/>
          <w:p>
            <w:pPr>
              <w:pStyle w:val="Compact"/>
              <w:spacing w:after="40" w:before="40"/>
              <w:jc w:val="left"/>
            </w:pPr>
            <w:r>
              <w:rPr>
                <w:rFonts w:ascii="Cambria" w:hAnsi="Cambria" w:cs="Cambria" w:eastAsia="Cambria"/>
                <w:color w:val="1A1A1A"/>
                <w:sz w:val="18"/>
              </w:rPr>
              <w:t xml:space="preserve">La revisione isola la quota di salute mentale riducibile e la applica alla spesa attribuibile; la stima di vertice applica la riducibilità alla spesa ricostruita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w:t>
            </w:r>
          </w:p>
        </w:tc>
        <w:tc>
          <w:tcPr>
            <w:shd w:val="clear" w:color="auto" w:fill="F4F1EC"/>
          </w:tcPr>
          <w:p>
            <w:pPr>
              <w:pStyle w:val="Compact"/>
              <w:spacing w:after="40" w:before="40"/>
              <w:jc w:val="left"/>
            </w:pPr>
            <w:r>
              <w:rPr>
                <w:rFonts w:ascii="Cambria" w:hAnsi="Cambria" w:cs="Cambria" w:eastAsia="Cambria"/>
                <w:color w:val="1A1A1A"/>
                <w:sz w:val="18"/>
              </w:rPr>
              <w:t xml:space="preserve">6–12:1</w:t>
            </w:r>
          </w:p>
        </w:tc>
        <w:tc>
          <w:tcPr>
            <w:shd w:val="clear" w:color="auto" w:fill="F4F1EC"/>
          </w:tcPr>
          <w:p>
            <w:pPr>
              <w:pStyle w:val="Compact"/>
              <w:spacing w:after="40" w:before="40"/>
              <w:jc w:val="left"/>
            </w:pPr>
            <w:r>
              <w:rPr>
                <w:rFonts w:ascii="Cambria" w:hAnsi="Cambria" w:cs="Cambria" w:eastAsia="Cambria"/>
                <w:color w:val="1A1A1A"/>
                <w:sz w:val="18"/>
              </w:rPr>
              <w:t xml:space="preserve">diretto ~1:1; complessivo 3,6–5:1</w:t>
            </w:r>
          </w:p>
        </w:tc>
        <w:tc>
          <w:tcPr>
            <w:shd w:val="clear" w:color="auto" w:fill="F4F1EC"/>
          </w:tcPr>
          <w:p>
            <w:pPr>
              <w:pStyle w:val="Compact"/>
              <w:spacing w:after="40" w:before="40"/>
              <w:jc w:val="left"/>
            </w:pPr>
            <w:r>
              <w:rPr>
                <w:rFonts w:ascii="Cambria" w:hAnsi="Cambria" w:cs="Cambria" w:eastAsia="Cambria"/>
                <w:color w:val="1A1A1A"/>
                <w:sz w:val="18"/>
              </w:rPr>
              <w:t xml:space="preserve">La stima di vertice somma diretto e sociale; la revisione li separa: sul bilancio è quasi pareggio, il 3,6–5:1 include la produttività</w:t>
            </w:r>
          </w:p>
        </w:tc>
      </w:tr>
      <w:tr>
        <w:tc>
          <w:tcPr/>
          <w:p>
            <w:pPr>
              <w:pStyle w:val="Compact"/>
              <w:spacing w:after="40" w:before="40"/>
              <w:jc w:val="left"/>
            </w:pPr>
            <w:r>
              <w:rPr>
                <w:rFonts w:ascii="Cambria" w:hAnsi="Cambria" w:cs="Cambria" w:eastAsia="Cambria"/>
                <w:b/>
                <w:bCs/>
                <w:color w:val="1A1A1A"/>
                <w:sz w:val="18"/>
              </w:rPr>
              <w:t xml:space="preserve">Ritorno sociale (SROI)</w:t>
            </w:r>
          </w:p>
        </w:tc>
        <w:tc>
          <w:tcPr/>
          <w:p>
            <w:pPr>
              <w:pStyle w:val="Compact"/>
              <w:spacing w:after="40" w:before="40"/>
              <w:jc w:val="left"/>
            </w:pPr>
            <w:r>
              <w:rPr>
                <w:rFonts w:ascii="Cambria" w:hAnsi="Cambria" w:cs="Cambria" w:eastAsia="Cambria"/>
                <w:color w:val="1A1A1A"/>
                <w:sz w:val="18"/>
              </w:rPr>
              <w:t xml:space="preserve">8,6:1</w:t>
            </w:r>
          </w:p>
        </w:tc>
        <w:tc>
          <w:tcPr/>
          <w:p>
            <w:pPr>
              <w:pStyle w:val="Compact"/>
              <w:spacing w:after="40" w:before="40"/>
              <w:jc w:val="left"/>
            </w:pPr>
            <w:r>
              <w:rPr>
                <w:rFonts w:ascii="Cambria" w:hAnsi="Cambria" w:cs="Cambria" w:eastAsia="Cambria"/>
                <w:color w:val="1A1A1A"/>
                <w:sz w:val="18"/>
              </w:rPr>
              <w:t xml:space="preserve">incluso nel 3,6–5:1</w:t>
            </w:r>
          </w:p>
        </w:tc>
        <w:tc>
          <w:tcPr/>
          <w:p>
            <w:pPr>
              <w:pStyle w:val="Compact"/>
              <w:spacing w:after="40" w:before="40"/>
              <w:jc w:val="left"/>
            </w:pPr>
            <w:r>
              <w:rPr>
                <w:rFonts w:ascii="Cambria" w:hAnsi="Cambria" w:cs="Cambria" w:eastAsia="Cambria"/>
                <w:color w:val="1A1A1A"/>
                <w:sz w:val="18"/>
              </w:rPr>
              <w:t xml:space="preserve">Lo SROI monetizza un perimetro sociale ampio; la revisione adotta un perimetro più sobrio e lo include nel ritorno complessivo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Base dei dati</w:t>
            </w:r>
          </w:p>
        </w:tc>
        <w:tc>
          <w:tcPr>
            <w:shd w:val="clear" w:color="auto" w:fill="F4F1EC"/>
          </w:tcPr>
          <w:p>
            <w:pPr>
              <w:pStyle w:val="Compact"/>
              <w:spacing w:after="40" w:before="40"/>
              <w:jc w:val="left"/>
            </w:pPr>
            <w:r>
              <w:rPr>
                <w:rFonts w:ascii="Cambria" w:hAnsi="Cambria" w:cs="Cambria" w:eastAsia="Cambria"/>
                <w:color w:val="1A1A1A"/>
                <w:sz w:val="18"/>
              </w:rPr>
              <w:t xml:space="preserve">conti nazionali × 6,6%</w:t>
            </w:r>
          </w:p>
        </w:tc>
        <w:tc>
          <w:tcPr>
            <w:shd w:val="clear" w:color="auto" w:fill="F4F1EC"/>
          </w:tcPr>
          <w:p>
            <w:pPr>
              <w:pStyle w:val="Compact"/>
              <w:spacing w:after="40" w:before="40"/>
              <w:jc w:val="left"/>
            </w:pPr>
            <w:r>
              <w:rPr>
                <w:rFonts w:ascii="Cambria" w:hAnsi="Cambria" w:cs="Cambria" w:eastAsia="Cambria"/>
                <w:color w:val="1A1A1A"/>
                <w:sz w:val="18"/>
              </w:rPr>
              <w:t xml:space="preserve">conti e flussi regionali</w:t>
            </w:r>
          </w:p>
        </w:tc>
        <w:tc>
          <w:tcPr>
            <w:shd w:val="clear" w:color="auto" w:fill="F4F1EC"/>
          </w:tcPr>
          <w:p>
            <w:pPr>
              <w:pStyle w:val="Compact"/>
              <w:spacing w:after="40" w:before="40"/>
              <w:jc w:val="left"/>
            </w:pPr>
            <w:r>
              <w:rPr>
                <w:rFonts w:ascii="Cambria" w:hAnsi="Cambria" w:cs="Cambria" w:eastAsia="Cambria"/>
                <w:color w:val="1A1A1A"/>
                <w:sz w:val="18"/>
              </w:rPr>
              <w:t xml:space="preserve">La revisione sostituisce la ricostruzione con valori regionali; i parametri non ancora certificati restano stimati</w:t>
            </w:r>
          </w:p>
        </w:tc>
      </w:tr>
    </w:tbl>
    <w:p>
      <w:pPr>
        <w:pStyle w:val="BodyText"/>
      </w:pPr>
      <w:r>
        <w:rPr>
          <w:i/>
          <w:iCs/>
        </w:rPr>
        <w:t xml:space="preserve">Tabella 1. Riconciliazione delle due stime. La differenza è di metodo, non di fatto: la revisione separa ciò che la stima di vertice somma.</w:t>
      </w:r>
    </w:p>
    <w:bookmarkEnd w:id="1057"/>
    <w:bookmarkStart w:id="1060" w:name="la-base-di-riferimento-adottata"/>
    <w:p>
      <w:pPr>
        <w:pStyle w:val="Heading2"/>
      </w:pPr>
      <w:r>
        <w:t xml:space="preserve">2. La base di riferimento adottata</w:t>
      </w:r>
    </w:p>
    <w:p>
      <w:pPr>
        <w:pStyle w:val="FirstParagraph"/>
      </w:pPr>
      <w:r>
        <w:t xml:space="preserve">Tra le due, si adotta come base di riferimento la revisione su dati primari, con la distinzione tra risparmio diretto e ricaduta sociale; la stima di vertice è conservata come limite superiore e come termine di contesto. La ragione è di credibilità: una stima conservativa e tracciabile è più difendibile di fronte alla Ragioneria e alla Corte dei Conti di una stima ottimistica, tanto più per una regione sottoposta a vincoli di rientro.</w:t>
      </w:r>
      <w:r>
        <w:rPr>
          <w:rStyle w:val="FootnoteReference"/>
        </w:rPr>
        <w:footnoteReference w:id="430"/>
      </w:r>
      <w:r>
        <w:t xml:space="preserve"> </w:t>
      </w:r>
      <w:r>
        <w:t xml:space="preserve">Questa scelta non indebolisce la proposta: il ritorno complessivo resta nettamente positivo, e il fondamento della riforma non è solo il risparmio, ma l’obbligo di garantire i livelli essenziali. La distinzione tra le due grandezze è, del resto, un principio di metodo: il ritorno di 4 a 1 indicato dall’Organizzazione Mondiale della Sanità comprende salute e produttività, con prevalenza della seconda.</w:t>
      </w:r>
      <w:r>
        <w:rPr>
          <w:rStyle w:val="FootnoteReference"/>
        </w:rPr>
        <w:footnoteReference w:id="431"/>
      </w:r>
    </w:p>
    <w:bookmarkEnd w:id="1060"/>
    <w:bookmarkStart w:id="1061" w:name="la-tabella-unica-consolidata-dei-valori"/>
    <w:p>
      <w:pPr>
        <w:pStyle w:val="Heading2"/>
      </w:pPr>
      <w:r>
        <w:t xml:space="preserve">3. La tabella unica consolidata dei valori</w:t>
      </w:r>
    </w:p>
    <w:p>
      <w:pPr>
        <w:pStyle w:val="FirstParagraph"/>
      </w:pPr>
      <w:r>
        <w:t xml:space="preserve">La tabella seguente costituisce la fonte unica di verità del progetto per i valori economici: ogni altro documento del corpus vi fa riferimento. I valori sono espressi in milioni di euro l’anno, a regime, per i tre scenari di copertura.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Grandezza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25</w:t>
            </w:r>
          </w:p>
        </w:tc>
        <w:tc>
          <w:tcPr/>
          <w:p>
            <w:pPr>
              <w:pStyle w:val="Compact"/>
              <w:spacing w:after="40" w:before="40"/>
              <w:jc w:val="left"/>
            </w:pPr>
            <w:r>
              <w:rPr>
                <w:rFonts w:ascii="Cambria" w:hAnsi="Cambria" w:cs="Cambria" w:eastAsia="Cambria"/>
                <w:color w:val="1A1A1A"/>
                <w:sz w:val="18"/>
              </w:rPr>
              <w:t xml:space="preserve">38</w:t>
            </w:r>
          </w:p>
        </w:tc>
        <w:tc>
          <w:tcPr/>
          <w:p>
            <w:pPr>
              <w:pStyle w:val="Compact"/>
              <w:spacing w:after="40" w:before="40"/>
              <w:jc w:val="left"/>
            </w:pPr>
            <w:r>
              <w:rPr>
                <w:rFonts w:ascii="Cambria" w:hAnsi="Cambria" w:cs="Cambria" w:eastAsia="Cambria"/>
                <w:color w:val="1A1A1A"/>
                <w:sz w:val="18"/>
              </w:rPr>
              <w:t xml:space="preserve">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Risparmio diretto: 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c>
          <w:tcPr>
            <w:shd w:val="clear" w:color="auto" w:fill="F4F1EC"/>
          </w:tcPr>
          <w:p>
            <w:pPr>
              <w:pStyle w:val="Compact"/>
              <w:spacing w:after="40" w:before="40"/>
              <w:jc w:val="left"/>
            </w:pPr>
            <w:r>
              <w:rPr>
                <w:rFonts w:ascii="Cambria" w:hAnsi="Cambria" w:cs="Cambria" w:eastAsia="Cambria"/>
                <w:color w:val="1A1A1A"/>
                <w:sz w:val="18"/>
              </w:rPr>
              <w:t xml:space="preserve">4</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r>
      <w:tr>
        <w:tc>
          <w:tcPr/>
          <w:p>
            <w:pPr>
              <w:pStyle w:val="Compact"/>
              <w:spacing w:after="40" w:before="40"/>
              <w:jc w:val="left"/>
            </w:pPr>
            <w:r>
              <w:rPr>
                <w:rFonts w:ascii="Cambria" w:hAnsi="Cambria" w:cs="Cambria" w:eastAsia="Cambria"/>
                <w:b/>
                <w:bCs/>
                <w:color w:val="1A1A1A"/>
                <w:sz w:val="18"/>
              </w:rPr>
              <w:t xml:space="preserve">Risparmio diretto: farmaceutica</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5</w:t>
            </w:r>
          </w:p>
        </w:tc>
        <w:tc>
          <w:tcPr/>
          <w:p>
            <w:pPr>
              <w:pStyle w:val="Compact"/>
              <w:spacing w:after="40" w:before="40"/>
              <w:jc w:val="left"/>
            </w:pPr>
            <w:r>
              <w:rPr>
                <w:rFonts w:ascii="Cambria" w:hAnsi="Cambria" w:cs="Cambria" w:eastAsia="Cambria"/>
                <w:color w:val="1A1A1A"/>
                <w:sz w:val="18"/>
              </w:rPr>
              <w:t xml:space="preserve">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Risparmio diretto: ricoveri e specialistica</w:t>
            </w:r>
          </w:p>
        </w:tc>
        <w:tc>
          <w:tcPr>
            <w:shd w:val="clear" w:color="auto" w:fill="F4F1EC"/>
          </w:tcPr>
          <w:p>
            <w:pPr>
              <w:pStyle w:val="Compact"/>
              <w:spacing w:after="40" w:before="40"/>
              <w:jc w:val="left"/>
            </w:pPr>
            <w:r>
              <w:rPr>
                <w:rFonts w:ascii="Cambria" w:hAnsi="Cambria" w:cs="Cambria" w:eastAsia="Cambria"/>
                <w:color w:val="1A1A1A"/>
                <w:sz w:val="18"/>
              </w:rPr>
              <w:t xml:space="preserve">9</w:t>
            </w:r>
          </w:p>
        </w:tc>
        <w:tc>
          <w:tcPr>
            <w:shd w:val="clear" w:color="auto" w:fill="F4F1EC"/>
          </w:tcPr>
          <w:p>
            <w:pPr>
              <w:pStyle w:val="Compact"/>
              <w:spacing w:after="40" w:before="40"/>
              <w:jc w:val="left"/>
            </w:pPr>
            <w:r>
              <w:rPr>
                <w:rFonts w:ascii="Cambria" w:hAnsi="Cambria" w:cs="Cambria" w:eastAsia="Cambria"/>
                <w:color w:val="1A1A1A"/>
                <w:sz w:val="18"/>
              </w:rPr>
              <w:t xml:space="preserve">16</w:t>
            </w:r>
          </w:p>
        </w:tc>
        <w:tc>
          <w:tcPr>
            <w:shd w:val="clear" w:color="auto" w:fill="F4F1EC"/>
          </w:tcPr>
          <w:p>
            <w:pPr>
              <w:pStyle w:val="Compact"/>
              <w:spacing w:after="40" w:before="40"/>
              <w:jc w:val="left"/>
            </w:pPr>
            <w:r>
              <w:rPr>
                <w:rFonts w:ascii="Cambria" w:hAnsi="Cambria" w:cs="Cambria" w:eastAsia="Cambria"/>
                <w:color w:val="1A1A1A"/>
                <w:sz w:val="18"/>
              </w:rPr>
              <w:t xml:space="preserve">27</w:t>
            </w:r>
          </w:p>
        </w:tc>
      </w:tr>
      <w:tr>
        <w:tc>
          <w:tcPr/>
          <w:p>
            <w:pPr>
              <w:pStyle w:val="Compact"/>
              <w:spacing w:after="40" w:before="40"/>
              <w:jc w:val="left"/>
            </w:pPr>
            <w:r>
              <w:rPr>
                <w:rFonts w:ascii="Cambria" w:hAnsi="Cambria" w:cs="Cambria" w:eastAsia="Cambria"/>
                <w:b/>
                <w:bCs/>
                <w:color w:val="1A1A1A"/>
                <w:sz w:val="18"/>
              </w:rPr>
              <w:t xml:space="preserve">Risparmio diretto: mobilità recuperata</w:t>
            </w:r>
          </w:p>
        </w:tc>
        <w:tc>
          <w:tcPr/>
          <w:p>
            <w:pPr>
              <w:pStyle w:val="Compact"/>
              <w:spacing w:after="40" w:before="40"/>
              <w:jc w:val="left"/>
            </w:pPr>
            <w:r>
              <w:rPr>
                <w:rFonts w:ascii="Cambria" w:hAnsi="Cambria" w:cs="Cambria" w:eastAsia="Cambria"/>
                <w:color w:val="1A1A1A"/>
                <w:sz w:val="18"/>
              </w:rPr>
              <w:t xml:space="preserve">5</w:t>
            </w:r>
          </w:p>
        </w:tc>
        <w:tc>
          <w:tcPr/>
          <w:p>
            <w:pPr>
              <w:pStyle w:val="Compact"/>
              <w:spacing w:after="40" w:before="40"/>
              <w:jc w:val="left"/>
            </w:pPr>
            <w:r>
              <w:rPr>
                <w:rFonts w:ascii="Cambria" w:hAnsi="Cambria" w:cs="Cambria" w:eastAsia="Cambria"/>
                <w:color w:val="1A1A1A"/>
                <w:sz w:val="18"/>
              </w:rPr>
              <w:t xml:space="preserve">9</w:t>
            </w:r>
          </w:p>
        </w:tc>
        <w:tc>
          <w:tcPr/>
          <w:p>
            <w:pPr>
              <w:pStyle w:val="Compact"/>
              <w:spacing w:after="40" w:before="40"/>
              <w:jc w:val="left"/>
            </w:pPr>
            <w:r>
              <w:rPr>
                <w:rFonts w:ascii="Cambria" w:hAnsi="Cambria" w:cs="Cambria" w:eastAsia="Cambria"/>
                <w:color w:val="1A1A1A"/>
                <w:sz w:val="18"/>
              </w:rPr>
              <w:t xml:space="preserve">12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per il SSR (totale)</w:t>
            </w:r>
          </w:p>
        </w:tc>
        <w:tc>
          <w:tcPr>
            <w:shd w:val="clear" w:color="auto" w:fill="F4F1EC"/>
          </w:tcPr>
          <w:p>
            <w:pPr>
              <w:pStyle w:val="Compact"/>
              <w:spacing w:after="40" w:before="40"/>
              <w:jc w:val="left"/>
            </w:pPr>
            <w:r>
              <w:rPr>
                <w:rFonts w:ascii="Cambria" w:hAnsi="Cambria" w:cs="Cambria" w:eastAsia="Cambria"/>
                <w:b/>
                <w:bCs/>
                <w:color w:val="1A1A1A"/>
                <w:sz w:val="18"/>
              </w:rPr>
              <w:t xml:space="preserve">~20</w:t>
            </w:r>
          </w:p>
        </w:tc>
        <w:tc>
          <w:tcPr>
            <w:shd w:val="clear" w:color="auto" w:fill="F4F1EC"/>
          </w:tcPr>
          <w:p>
            <w:pPr>
              <w:pStyle w:val="Compact"/>
              <w:spacing w:after="40" w:before="40"/>
              <w:jc w:val="left"/>
            </w:pPr>
            <w:r>
              <w:rPr>
                <w:rFonts w:ascii="Cambria" w:hAnsi="Cambria" w:cs="Cambria" w:eastAsia="Cambria"/>
                <w:b/>
                <w:bCs/>
                <w:color w:val="1A1A1A"/>
                <w:sz w:val="18"/>
              </w:rPr>
              <w:t xml:space="preserve">~34</w:t>
            </w:r>
          </w:p>
        </w:tc>
        <w:tc>
          <w:tcPr>
            <w:shd w:val="clear" w:color="auto" w:fill="F4F1EC"/>
          </w:tcPr>
          <w:p>
            <w:pPr>
              <w:pStyle w:val="Compact"/>
              <w:spacing w:after="40" w:before="40"/>
              <w:jc w:val="left"/>
            </w:pPr>
            <w:r>
              <w:rPr>
                <w:rFonts w:ascii="Cambria" w:hAnsi="Cambria" w:cs="Cambria" w:eastAsia="Cambria"/>
                <w:b/>
                <w:bCs/>
                <w:color w:val="1A1A1A"/>
                <w:sz w:val="18"/>
              </w:rPr>
              <w:t xml:space="preserve">~50</w:t>
            </w:r>
          </w:p>
        </w:tc>
      </w:tr>
      <w:tr>
        <w:tc>
          <w:tcPr/>
          <w:p>
            <w:pPr>
              <w:pStyle w:val="Compact"/>
              <w:spacing w:after="40" w:before="40"/>
              <w:jc w:val="left"/>
            </w:pPr>
            <w:r>
              <w:rPr>
                <w:rFonts w:ascii="Cambria" w:hAnsi="Cambria" w:cs="Cambria" w:eastAsia="Cambria"/>
                <w:b/>
                <w:bCs/>
                <w:color w:val="1A1A1A"/>
                <w:sz w:val="18"/>
              </w:rPr>
              <w:t xml:space="preserve">Saldo diretto (solo SSR)</w:t>
            </w:r>
          </w:p>
        </w:tc>
        <w:tc>
          <w:tcPr/>
          <w:p>
            <w:pPr>
              <w:pStyle w:val="Compact"/>
              <w:spacing w:after="40" w:before="40"/>
              <w:jc w:val="left"/>
            </w:pPr>
            <w:r>
              <w:rPr>
                <w:rFonts w:ascii="Cambria" w:hAnsi="Cambria" w:cs="Cambria" w:eastAsia="Cambria"/>
                <w:color w:val="1A1A1A"/>
                <w:sz w:val="18"/>
              </w:rPr>
              <w:t xml:space="preserve">~ −5</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~70</w:t>
            </w:r>
          </w:p>
        </w:tc>
        <w:tc>
          <w:tcPr>
            <w:shd w:val="clear" w:color="auto" w:fill="F4F1EC"/>
          </w:tcPr>
          <w:p>
            <w:pPr>
              <w:pStyle w:val="Compact"/>
              <w:spacing w:after="40" w:before="40"/>
              <w:jc w:val="left"/>
            </w:pPr>
            <w:r>
              <w:rPr>
                <w:rFonts w:ascii="Cambria" w:hAnsi="Cambria" w:cs="Cambria" w:eastAsia="Cambria"/>
                <w:color w:val="1A1A1A"/>
                <w:sz w:val="18"/>
              </w:rPr>
              <w:t xml:space="preserve">~130</w:t>
            </w:r>
          </w:p>
        </w:tc>
        <w:tc>
          <w:tcPr>
            <w:shd w:val="clear" w:color="auto" w:fill="F4F1EC"/>
          </w:tcPr>
          <w:p>
            <w:pPr>
              <w:pStyle w:val="Compact"/>
              <w:spacing w:after="40" w:before="40"/>
              <w:jc w:val="left"/>
            </w:pPr>
            <w:r>
              <w:rPr>
                <w:rFonts w:ascii="Cambria" w:hAnsi="Cambria" w:cs="Cambria" w:eastAsia="Cambria"/>
                <w:color w:val="1A1A1A"/>
                <w:sz w:val="18"/>
              </w:rPr>
              <w:t xml:space="preserve">~200</w:t>
            </w:r>
          </w:p>
        </w:tc>
      </w:tr>
      <w:tr>
        <w:tc>
          <w:tcPr/>
          <w:p>
            <w:pPr>
              <w:pStyle w:val="Compact"/>
              <w:spacing w:after="40" w:before="40"/>
              <w:jc w:val="left"/>
            </w:pPr>
            <w:r>
              <w:rPr>
                <w:rFonts w:ascii="Cambria" w:hAnsi="Cambria" w:cs="Cambria" w:eastAsia="Cambria"/>
                <w:b/>
                <w:bCs/>
                <w:color w:val="1A1A1A"/>
                <w:sz w:val="18"/>
              </w:rPr>
              <w:t xml:space="preserve">Saldo complessivo</w:t>
            </w:r>
          </w:p>
        </w:tc>
        <w:tc>
          <w:tcPr/>
          <w:p>
            <w:pPr>
              <w:pStyle w:val="Compact"/>
              <w:spacing w:after="40" w:before="40"/>
              <w:jc w:val="left"/>
            </w:pPr>
            <w:r>
              <w:rPr>
                <w:rFonts w:ascii="Cambria" w:hAnsi="Cambria" w:cs="Cambria" w:eastAsia="Cambria"/>
                <w:b/>
                <w:bCs/>
                <w:color w:val="1A1A1A"/>
                <w:sz w:val="18"/>
              </w:rPr>
              <w:t xml:space="preserve">~ +65</w:t>
            </w:r>
          </w:p>
        </w:tc>
        <w:tc>
          <w:tcPr/>
          <w:p>
            <w:pPr>
              <w:pStyle w:val="Compact"/>
              <w:spacing w:after="40" w:before="40"/>
              <w:jc w:val="left"/>
            </w:pPr>
            <w:r>
              <w:rPr>
                <w:rFonts w:ascii="Cambria" w:hAnsi="Cambria" w:cs="Cambria" w:eastAsia="Cambria"/>
                <w:b/>
                <w:bCs/>
                <w:color w:val="1A1A1A"/>
                <w:sz w:val="18"/>
              </w:rPr>
              <w:t xml:space="preserve">~ +126</w:t>
            </w:r>
          </w:p>
        </w:tc>
        <w:tc>
          <w:tcPr/>
          <w:p>
            <w:pPr>
              <w:pStyle w:val="Compact"/>
              <w:spacing w:after="40" w:before="40"/>
              <w:jc w:val="left"/>
            </w:pPr>
            <w:r>
              <w:rPr>
                <w:rFonts w:ascii="Cambria" w:hAnsi="Cambria" w:cs="Cambria" w:eastAsia="Cambria"/>
                <w:b/>
                <w:bCs/>
                <w:color w:val="1A1A1A"/>
                <w:sz w:val="18"/>
              </w:rPr>
              <w:t xml:space="preserve">~ +200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~3,6:1</w:t>
            </w:r>
          </w:p>
        </w:tc>
        <w:tc>
          <w:tcPr>
            <w:shd w:val="clear" w:color="auto" w:fill="F4F1EC"/>
          </w:tcPr>
          <w:p>
            <w:pPr>
              <w:pStyle w:val="Compact"/>
              <w:spacing w:after="40" w:before="40"/>
              <w:jc w:val="left"/>
            </w:pPr>
            <w:r>
              <w:rPr>
                <w:rFonts w:ascii="Cambria" w:hAnsi="Cambria" w:cs="Cambria" w:eastAsia="Cambria"/>
                <w:color w:val="1A1A1A"/>
                <w:sz w:val="18"/>
              </w:rPr>
              <w:t xml:space="preserve">~4,3:1</w:t>
            </w:r>
          </w:p>
        </w:tc>
        <w:tc>
          <w:tcPr>
            <w:shd w:val="clear" w:color="auto" w:fill="F4F1EC"/>
          </w:tcPr>
          <w:p>
            <w:pPr>
              <w:pStyle w:val="Compact"/>
              <w:spacing w:after="40" w:before="40"/>
              <w:jc w:val="left"/>
            </w:pPr>
            <w:r>
              <w:rPr>
                <w:rFonts w:ascii="Cambria" w:hAnsi="Cambria" w:cs="Cambria" w:eastAsia="Cambria"/>
                <w:color w:val="1A1A1A"/>
                <w:sz w:val="18"/>
              </w:rPr>
              <w:t xml:space="preserve">~5,0:1</w:t>
            </w:r>
          </w:p>
        </w:tc>
      </w:tr>
    </w:tbl>
    <w:p>
      <w:pPr>
        <w:pStyle w:val="BodyText"/>
      </w:pPr>
      <w:r>
        <w:rPr>
          <w:i/>
          <w:iCs/>
        </w:rPr>
        <w:t xml:space="preserve">Tabella 2. La tabella unica consolidata dei valori — fonte unica di verità. Saldo diretto prossimo al pareggio; saldo complessivo nettamente positivo grazie alle ricadute sociali.</w:t>
      </w:r>
    </w:p>
    <w:bookmarkEnd w:id="1061"/>
    <w:bookmarkStart w:id="1063" w:name="la-provenienza-e-lo-stato-dei-valori"/>
    <w:p>
      <w:pPr>
        <w:pStyle w:val="Heading2"/>
      </w:pPr>
      <w:r>
        <w:t xml:space="preserve">4. La provenienza e lo stato dei valori</w:t>
      </w:r>
    </w:p>
    <w:p>
      <w:pPr>
        <w:pStyle w:val="FirstParagraph"/>
      </w:pPr>
      <w:r>
        <w:t xml:space="preserve">La credibilità della tabella unica dipende dalla trasparenza sulla provenienza di ciascun valore. La tabella seguente distingue ciò che è già certificato da ciò che è ricostruito o stimato, e da ciò che sarà certificato con i dati primari richiesti nel passo precedente.</w:t>
      </w:r>
      <w:r>
        <w:rPr>
          <w:rStyle w:val="FootnoteReference"/>
        </w:rPr>
        <w:footnoteReference w:id="432"/>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Provenienza</w:t>
            </w:r>
          </w:p>
        </w:tc>
        <w:tc>
          <w:tcPr>
            <w:shd w:val="clear" w:color="auto" w:fill="16264B"/>
          </w:tcPr>
          <w:p>
            <w:pPr>
              <w:pStyle w:val="Compact"/>
              <w:spacing w:after="40" w:before="40"/>
              <w:jc w:val="left"/>
            </w:pPr>
            <w:r>
              <w:rPr>
                <w:rFonts w:ascii="Cambria" w:hAnsi="Cambria" w:cs="Cambria" w:eastAsia="Cambria"/>
                <w:b/>
                <w:bCs/>
                <w:color w:val="FFFFFF"/>
                <w:sz w:val="18"/>
              </w:rPr>
              <w:t xml:space="preserve">Stato</w:t>
            </w:r>
          </w:p>
        </w:tc>
      </w:tr>
      <w:tr>
        <w:tc>
          <w:tcPr/>
          <w:p>
            <w:pPr>
              <w:pStyle w:val="Compact"/>
              <w:spacing w:after="40" w:before="40"/>
              <w:jc w:val="left"/>
            </w:pPr>
            <w:r>
              <w:rPr>
                <w:rFonts w:ascii="Cambria" w:hAnsi="Cambria" w:cs="Cambria" w:eastAsia="Cambria"/>
                <w:b/>
                <w:bCs/>
                <w:color w:val="1A1A1A"/>
                <w:sz w:val="18"/>
              </w:rPr>
              <w:t xml:space="preserve">Finanziamento del SSR e disavanzo</w:t>
            </w:r>
          </w:p>
        </w:tc>
        <w:tc>
          <w:tcPr/>
          <w:p>
            <w:pPr>
              <w:pStyle w:val="Compact"/>
              <w:spacing w:after="40" w:before="40"/>
              <w:jc w:val="left"/>
            </w:pPr>
            <w:r>
              <w:rPr>
                <w:rFonts w:ascii="Cambria" w:hAnsi="Cambria" w:cs="Cambria" w:eastAsia="Cambria"/>
                <w:color w:val="1A1A1A"/>
                <w:sz w:val="18"/>
              </w:rPr>
              <w:t xml:space="preserve">8,8 mld / 350 mln</w:t>
            </w:r>
          </w:p>
        </w:tc>
        <w:tc>
          <w:tcPr/>
          <w:p>
            <w:pPr>
              <w:pStyle w:val="Compact"/>
              <w:spacing w:after="40" w:before="40"/>
              <w:jc w:val="left"/>
            </w:pPr>
            <w:r>
              <w:rPr>
                <w:rFonts w:ascii="Cambria" w:hAnsi="Cambria" w:cs="Cambria" w:eastAsia="Cambria"/>
                <w:color w:val="1A1A1A"/>
                <w:sz w:val="18"/>
              </w:rPr>
              <w:t xml:space="preserve">Conti certificati (Corte dei Conti)</w:t>
            </w:r>
          </w:p>
        </w:tc>
        <w:tc>
          <w:tcPr/>
          <w:p>
            <w:pPr>
              <w:pStyle w:val="Compact"/>
              <w:spacing w:after="40" w:before="40"/>
              <w:jc w:val="left"/>
            </w:pPr>
            <w:r>
              <w:rPr>
                <w:rFonts w:ascii="Cambria" w:hAnsi="Cambria" w:cs="Cambria" w:eastAsia="Cambria"/>
                <w:color w:val="1A1A1A"/>
                <w:sz w:val="18"/>
              </w:rPr>
              <w:t xml:space="preserve">Certificato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passiva (saldo)</w:t>
            </w:r>
          </w:p>
        </w:tc>
        <w:tc>
          <w:tcPr>
            <w:shd w:val="clear" w:color="auto" w:fill="F4F1EC"/>
          </w:tcPr>
          <w:p>
            <w:pPr>
              <w:pStyle w:val="Compact"/>
              <w:spacing w:after="40" w:before="40"/>
              <w:jc w:val="left"/>
            </w:pPr>
            <w:r>
              <w:rPr>
                <w:rFonts w:ascii="Cambria" w:hAnsi="Cambria" w:cs="Cambria" w:eastAsia="Cambria"/>
                <w:color w:val="1A1A1A"/>
                <w:sz w:val="18"/>
              </w:rPr>
              <w:t xml:space="preserve">−253,2 mln</w:t>
            </w:r>
          </w:p>
        </w:tc>
        <w:tc>
          <w:tcPr>
            <w:shd w:val="clear" w:color="auto" w:fill="F4F1EC"/>
          </w:tcPr>
          <w:p>
            <w:pPr>
              <w:pStyle w:val="Compact"/>
              <w:spacing w:after="40" w:before="40"/>
              <w:jc w:val="left"/>
            </w:pPr>
            <w:r>
              <w:rPr>
                <w:rFonts w:ascii="Cambria" w:hAnsi="Cambria" w:cs="Cambria" w:eastAsia="Cambria"/>
                <w:color w:val="1A1A1A"/>
                <w:sz w:val="18"/>
              </w:rPr>
              <w:t xml:space="preserve">GIMBE (aggregato)</w:t>
            </w:r>
          </w:p>
        </w:tc>
        <w:tc>
          <w:tcPr>
            <w:shd w:val="clear" w:color="auto" w:fill="F4F1EC"/>
          </w:tcPr>
          <w:p>
            <w:pPr>
              <w:pStyle w:val="Compact"/>
              <w:spacing w:after="40" w:before="40"/>
              <w:jc w:val="left"/>
            </w:pPr>
            <w:r>
              <w:rPr>
                <w:rFonts w:ascii="Cambria" w:hAnsi="Cambria" w:cs="Cambria" w:eastAsia="Cambria"/>
                <w:color w:val="1A1A1A"/>
                <w:sz w:val="18"/>
              </w:rPr>
              <w:t xml:space="preserve">Certificato (aggregato)</w:t>
            </w:r>
          </w:p>
        </w:tc>
      </w:tr>
      <w:tr>
        <w:tc>
          <w:tcPr/>
          <w:p>
            <w:pPr>
              <w:pStyle w:val="Compact"/>
              <w:spacing w:after="40" w:before="40"/>
              <w:jc w:val="left"/>
            </w:pPr>
            <w:r>
              <w:rPr>
                <w:rFonts w:ascii="Cambria" w:hAnsi="Cambria" w:cs="Cambria" w:eastAsia="Cambria"/>
                <w:b/>
                <w:bCs/>
                <w:color w:val="1A1A1A"/>
                <w:sz w:val="18"/>
              </w:rPr>
              <w:t xml:space="preserve">Accessi inappropriati al pronto soccorso</w:t>
            </w:r>
          </w:p>
        </w:tc>
        <w:tc>
          <w:tcPr/>
          <w:p>
            <w:pPr>
              <w:pStyle w:val="Compact"/>
              <w:spacing w:after="40" w:before="40"/>
              <w:jc w:val="left"/>
            </w:pPr>
            <w:r>
              <w:rPr>
                <w:rFonts w:ascii="Cambria" w:hAnsi="Cambria" w:cs="Cambria" w:eastAsia="Cambria"/>
                <w:color w:val="1A1A1A"/>
                <w:sz w:val="18"/>
              </w:rPr>
              <w:t xml:space="preserve">~914.000</w:t>
            </w:r>
          </w:p>
        </w:tc>
        <w:tc>
          <w:tcPr/>
          <w:p>
            <w:pPr>
              <w:pStyle w:val="Compact"/>
              <w:spacing w:after="40" w:before="40"/>
              <w:jc w:val="left"/>
            </w:pPr>
            <w:r>
              <w:rPr>
                <w:rFonts w:ascii="Cambria" w:hAnsi="Cambria" w:cs="Cambria" w:eastAsia="Cambria"/>
                <w:color w:val="1A1A1A"/>
                <w:sz w:val="18"/>
              </w:rPr>
              <w:t xml:space="preserve">Dati regionali (totale)</w:t>
            </w:r>
          </w:p>
        </w:tc>
        <w:tc>
          <w:tcPr/>
          <w:p>
            <w:pPr>
              <w:pStyle w:val="Compact"/>
              <w:spacing w:after="40" w:before="40"/>
              <w:jc w:val="left"/>
            </w:pPr>
            <w:r>
              <w:rPr>
                <w:rFonts w:ascii="Cambria" w:hAnsi="Cambria" w:cs="Cambria" w:eastAsia="Cambria"/>
                <w:color w:val="1A1A1A"/>
                <w:sz w:val="18"/>
              </w:rPr>
              <w:t xml:space="preserve">Disponibile (totale)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Spesa per voce (MG, specialistica, farmaceutica, SM)</w:t>
            </w:r>
          </w:p>
        </w:tc>
        <w:tc>
          <w:tcPr>
            <w:shd w:val="clear" w:color="auto" w:fill="F4F1EC"/>
          </w:tcPr>
          <w:p>
            <w:pPr>
              <w:pStyle w:val="Compact"/>
              <w:spacing w:after="40" w:before="40"/>
              <w:jc w:val="left"/>
            </w:pPr>
            <w:r>
              <w:rPr>
                <w:rFonts w:ascii="Cambria" w:hAnsi="Cambria" w:cs="Cambria" w:eastAsia="Cambria"/>
                <w:color w:val="1A1A1A"/>
                <w:sz w:val="18"/>
              </w:rPr>
              <w:t xml:space="preserve">~470–480 / 1.800 / 800 / 270 mln</w:t>
            </w:r>
          </w:p>
        </w:tc>
        <w:tc>
          <w:tcPr>
            <w:shd w:val="clear" w:color="auto" w:fill="F4F1EC"/>
          </w:tcPr>
          <w:p>
            <w:pPr>
              <w:pStyle w:val="Compact"/>
              <w:spacing w:after="40" w:before="40"/>
              <w:jc w:val="left"/>
            </w:pPr>
            <w:r>
              <w:rPr>
                <w:rFonts w:ascii="Cambria" w:hAnsi="Cambria" w:cs="Cambria" w:eastAsia="Cambria"/>
                <w:color w:val="1A1A1A"/>
                <w:sz w:val="18"/>
              </w:rPr>
              <w:t xml:space="preserve">Ricostruita da conti nazionali × 6,6%</w:t>
            </w:r>
          </w:p>
        </w:tc>
        <w:tc>
          <w:tcPr>
            <w:shd w:val="clear" w:color="auto" w:fill="F4F1EC"/>
          </w:tcPr>
          <w:p>
            <w:pPr>
              <w:pStyle w:val="Compact"/>
              <w:spacing w:after="40" w:before="40"/>
              <w:jc w:val="left"/>
            </w:pPr>
            <w:r>
              <w:rPr>
                <w:rFonts w:ascii="Cambria" w:hAnsi="Cambria" w:cs="Cambria" w:eastAsia="Cambria"/>
                <w:color w:val="1A1A1A"/>
                <w:sz w:val="18"/>
              </w:rPr>
              <w:t xml:space="preserve">Da certificare</w:t>
            </w:r>
          </w:p>
        </w:tc>
      </w:tr>
      <w:tr>
        <w:tc>
          <w:tcPr/>
          <w:p>
            <w:pPr>
              <w:pStyle w:val="Compact"/>
              <w:spacing w:after="40" w:before="40"/>
              <w:jc w:val="left"/>
            </w:pPr>
            <w:r>
              <w:rPr>
                <w:rFonts w:ascii="Cambria" w:hAnsi="Cambria" w:cs="Cambria" w:eastAsia="Cambria"/>
                <w:b/>
                <w:bCs/>
                <w:color w:val="1A1A1A"/>
                <w:sz w:val="18"/>
              </w:rPr>
              <w:t xml:space="preserve">Risparmio diretto: ricoveri, specialistica, mobilità</w:t>
            </w:r>
          </w:p>
        </w:tc>
        <w:tc>
          <w:tcPr/>
          <w:p>
            <w:pPr>
              <w:pStyle w:val="Compact"/>
              <w:spacing w:after="40" w:before="40"/>
              <w:jc w:val="left"/>
            </w:pPr>
            <w:r>
              <w:rPr>
                <w:rFonts w:ascii="Cambria" w:hAnsi="Cambria" w:cs="Cambria" w:eastAsia="Cambria"/>
                <w:color w:val="1A1A1A"/>
                <w:sz w:val="18"/>
              </w:rPr>
              <w:t xml:space="preserve">stime</w:t>
            </w:r>
          </w:p>
        </w:tc>
        <w:tc>
          <w:tcPr/>
          <w:p>
            <w:pPr>
              <w:pStyle w:val="Compact"/>
              <w:spacing w:after="40" w:before="40"/>
              <w:jc w:val="left"/>
            </w:pPr>
            <w:r>
              <w:rPr>
                <w:rFonts w:ascii="Cambria" w:hAnsi="Cambria" w:cs="Cambria" w:eastAsia="Cambria"/>
                <w:color w:val="1A1A1A"/>
                <w:sz w:val="18"/>
              </w:rPr>
              <w:t xml:space="preserve">Letteratura + quota stimata</w:t>
            </w:r>
          </w:p>
        </w:tc>
        <w:tc>
          <w:tcPr/>
          <w:p>
            <w:pPr>
              <w:pStyle w:val="Compact"/>
              <w:spacing w:after="40" w:before="40"/>
              <w:jc w:val="left"/>
            </w:pPr>
            <w:r>
              <w:rPr>
                <w:rFonts w:ascii="Cambria" w:hAnsi="Cambria" w:cs="Cambria" w:eastAsia="Cambria"/>
                <w:color w:val="1A1A1A"/>
                <w:sz w:val="18"/>
              </w:rPr>
              <w:t xml:space="preserve">Da certificare (SDO, flussi)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Risparmio diretto: pronto soccorso, farmaceutica</w:t>
            </w:r>
          </w:p>
        </w:tc>
        <w:tc>
          <w:tcPr>
            <w:shd w:val="clear" w:color="auto" w:fill="F4F1EC"/>
          </w:tcPr>
          <w:p>
            <w:pPr>
              <w:pStyle w:val="Compact"/>
              <w:spacing w:after="40" w:before="40"/>
              <w:jc w:val="left"/>
            </w:pPr>
            <w:r>
              <w:rPr>
                <w:rFonts w:ascii="Cambria" w:hAnsi="Cambria" w:cs="Cambria" w:eastAsia="Cambria"/>
                <w:color w:val="1A1A1A"/>
                <w:sz w:val="18"/>
              </w:rPr>
              <w:t xml:space="preserve">stime ancorate</w:t>
            </w:r>
          </w:p>
        </w:tc>
        <w:tc>
          <w:tcPr>
            <w:shd w:val="clear" w:color="auto" w:fill="F4F1EC"/>
          </w:tcPr>
          <w:p>
            <w:pPr>
              <w:pStyle w:val="Compact"/>
              <w:spacing w:after="40" w:before="40"/>
              <w:jc w:val="left"/>
            </w:pPr>
            <w:r>
              <w:rPr>
                <w:rFonts w:ascii="Cambria" w:hAnsi="Cambria" w:cs="Cambria" w:eastAsia="Cambria"/>
                <w:color w:val="1A1A1A"/>
                <w:sz w:val="18"/>
              </w:rPr>
              <w:t xml:space="preserve">Dati regionali + effetto da letteratura</w:t>
            </w:r>
          </w:p>
        </w:tc>
        <w:tc>
          <w:tcPr>
            <w:shd w:val="clear" w:color="auto" w:fill="F4F1EC"/>
          </w:tcPr>
          <w:p>
            <w:pPr>
              <w:pStyle w:val="Compact"/>
              <w:spacing w:after="40" w:before="40"/>
              <w:jc w:val="left"/>
            </w:pPr>
            <w:r>
              <w:rPr>
                <w:rFonts w:ascii="Cambria" w:hAnsi="Cambria" w:cs="Cambria" w:eastAsia="Cambria"/>
                <w:color w:val="1A1A1A"/>
                <w:sz w:val="18"/>
              </w:rPr>
              <w:t xml:space="preserve">Parz. ancorato</w:t>
            </w:r>
          </w:p>
        </w:tc>
      </w:tr>
      <w:tr>
        <w:tc>
          <w:tcPr/>
          <w:p>
            <w:pPr>
              <w:pStyle w:val="Compact"/>
              <w:spacing w:after="40" w:before="40"/>
              <w:jc w:val="left"/>
            </w:pPr>
            <w:r>
              <w:rPr>
                <w:rFonts w:ascii="Cambria" w:hAnsi="Cambria" w:cs="Cambria" w:eastAsia="Cambria"/>
                <w:b/>
                <w:bCs/>
                <w:color w:val="1A1A1A"/>
                <w:sz w:val="18"/>
              </w:rPr>
              <w:t xml:space="preserve">Ricadute sociali (produttività)</w:t>
            </w:r>
          </w:p>
        </w:tc>
        <w:tc>
          <w:tcPr/>
          <w:p>
            <w:pPr>
              <w:pStyle w:val="Compact"/>
              <w:spacing w:after="40" w:before="40"/>
              <w:jc w:val="left"/>
            </w:pPr>
            <w:r>
              <w:rPr>
                <w:rFonts w:ascii="Cambria" w:hAnsi="Cambria" w:cs="Cambria" w:eastAsia="Cambria"/>
                <w:color w:val="1A1A1A"/>
                <w:sz w:val="18"/>
              </w:rPr>
              <w:t xml:space="preserve">stima</w:t>
            </w:r>
          </w:p>
        </w:tc>
        <w:tc>
          <w:tcPr/>
          <w:p>
            <w:pPr>
              <w:pStyle w:val="Compact"/>
              <w:spacing w:after="40" w:before="40"/>
              <w:jc w:val="left"/>
            </w:pPr>
            <w:r>
              <w:rPr>
                <w:rFonts w:ascii="Cambria" w:hAnsi="Cambria" w:cs="Cambria" w:eastAsia="Cambria"/>
                <w:color w:val="1A1A1A"/>
                <w:sz w:val="18"/>
              </w:rPr>
              <w:t xml:space="preserve">Letteratura (OMS, Lancet)</w:t>
            </w:r>
          </w:p>
        </w:tc>
        <w:tc>
          <w:tcPr/>
          <w:p>
            <w:pPr>
              <w:pStyle w:val="Compact"/>
              <w:spacing w:after="40" w:before="40"/>
              <w:jc w:val="left"/>
            </w:pPr>
            <w:r>
              <w:rPr>
                <w:rFonts w:ascii="Cambria" w:hAnsi="Cambria" w:cs="Cambria" w:eastAsia="Cambria"/>
                <w:color w:val="1A1A1A"/>
                <w:sz w:val="18"/>
              </w:rPr>
              <w:t xml:space="preserve">Stima (non di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25–50 mln</w:t>
            </w:r>
          </w:p>
        </w:tc>
        <w:tc>
          <w:tcPr>
            <w:shd w:val="clear" w:color="auto" w:fill="F4F1EC"/>
          </w:tcPr>
          <w:p>
            <w:pPr>
              <w:pStyle w:val="Compact"/>
              <w:spacing w:after="40" w:before="40"/>
              <w:jc w:val="left"/>
            </w:pPr>
            <w:r>
              <w:rPr>
                <w:rFonts w:ascii="Cambria" w:hAnsi="Cambria" w:cs="Cambria" w:eastAsia="Cambria"/>
                <w:color w:val="1A1A1A"/>
                <w:sz w:val="18"/>
              </w:rPr>
              <w:t xml:space="preserve">Dimensionamento; tariffa da definire</w:t>
            </w:r>
          </w:p>
        </w:tc>
        <w:tc>
          <w:tcPr>
            <w:shd w:val="clear" w:color="auto" w:fill="F4F1EC"/>
          </w:tcPr>
          <w:p>
            <w:pPr>
              <w:pStyle w:val="Compact"/>
              <w:spacing w:after="40" w:before="40"/>
              <w:jc w:val="left"/>
            </w:pPr>
            <w:r>
              <w:rPr>
                <w:rFonts w:ascii="Cambria" w:hAnsi="Cambria" w:cs="Cambria" w:eastAsia="Cambria"/>
                <w:color w:val="1A1A1A"/>
                <w:sz w:val="18"/>
              </w:rPr>
              <w:t xml:space="preserve">Stima</w:t>
            </w:r>
          </w:p>
        </w:tc>
      </w:tr>
    </w:tbl>
    <w:p>
      <w:pPr>
        <w:pStyle w:val="BodyText"/>
      </w:pPr>
      <w:r>
        <w:rPr>
          <w:i/>
          <w:iCs/>
        </w:rPr>
        <w:t xml:space="preserve">Tabella 3. Provenienza e stato dei valori. Rende esplicito ciò che è certificato e ciò che resta da certificare con i dati primari.</w:t>
      </w:r>
    </w:p>
    <w:bookmarkEnd w:id="1063"/>
    <w:bookmarkStart w:id="1065" w:name="il-governo-delle-cifre-e-laggiornamento"/>
    <w:p>
      <w:pPr>
        <w:pStyle w:val="Heading2"/>
      </w:pPr>
      <w:r>
        <w:t xml:space="preserve">5. Il governo delle cifre e l’aggiornamento</w:t>
      </w:r>
    </w:p>
    <w:p>
      <w:pPr>
        <w:pStyle w:val="FirstParagraph"/>
      </w:pPr>
      <w:r>
        <w:t xml:space="preserve">Perché la coerenza si mantenga nel tempo, si adotta una regola semplice: la tabella unica consolidata è l’unica fonte dei valori economici del progetto, e ogni documento — dossier, slide, cruscotto, sintesi — vi fa riferimento anziché riportare cifre proprie. All’arrivo dei dati certificati richiesti nel passo precedente, i valori si aggiornano in questa sede e di qui si propagano agli altri documenti; la tabella reca la data dell’ultimo aggiornamento e una nota sui valori modificati.</w:t>
      </w:r>
      <w:r>
        <w:rPr>
          <w:rStyle w:val="FootnoteReference"/>
        </w:rPr>
        <w:footnoteReference w:id="433"/>
      </w:r>
    </w:p>
    <w:p>
      <w:pPr>
        <w:pStyle w:val="BodyText"/>
      </w:pPr>
      <w:r>
        <w:t xml:space="preserve">Con questa operazione le lacune di riconciliazione e di coerenza sono colmate per la parte oggi possibile: il progetto dispone ora di un solo quadro economico, conservativo e tracciabile, con la provenienza di ogni valore dichiarata. Ciò che resta — sostituire i valori «da certificare» con i dati regionali — è esattamente il contenuto della richiesta già predisposta, e si riverserà in questa tabella appena i dati saranno disponibili. La sequenza, in tal modo, si tiene: il dato primario alimenta la riconciliazione, e la riconciliazione mantiene coerente l’intero corpus.</w:t>
      </w:r>
    </w:p>
    <w:p>
      <w:r>
        <w:br w:type="page"/>
      </w:r>
    </w:p>
    <w:bookmarkEnd w:id="1065"/>
    <w:bookmarkEnd w:id="1066"/>
    <w:bookmarkStart w:id="1088" w:name="Xd0cf33246643e8607812ee3b97f6081a1aa38aa"/>
    <w:p>
      <w:pPr>
        <w:pStyle w:val="Heading1"/>
      </w:pPr>
      <w:r>
        <w:t xml:space="preserve">Appendice V — Analisi delle lacune e agenda di acquisizione</w:t>
      </w:r>
    </w:p>
    <w:p>
      <w:pPr>
        <w:pStyle w:val="FirstParagraph"/>
      </w:pPr>
      <w:r>
        <w:t xml:space="preserve">Psicologo di base in Puglia · analisi delle lacune</w:t>
      </w:r>
    </w:p>
    <w:p>
      <w:pPr>
        <w:pStyle w:val="BodyText"/>
      </w:pPr>
      <w:r>
        <w:rPr>
          <w:b/>
          <w:bCs/>
        </w:rPr>
        <w:t xml:space="preserve">PROGETTO «PSICOLOGO DI BASE» · REGIONE PUGLIA</w:t>
      </w:r>
    </w:p>
    <w:p>
      <w:pPr>
        <w:pStyle w:val="BodyText"/>
      </w:pPr>
      <w:r>
        <w:t xml:space="preserve">Verifica di completezza del progetto</w:t>
      </w:r>
    </w:p>
    <w:p>
      <w:pPr>
        <w:pStyle w:val="BodyText"/>
      </w:pPr>
      <w:r>
        <w:rPr>
          <w:b/>
          <w:bCs/>
        </w:rPr>
        <w:t xml:space="preserve">Analisi delle lacune</w:t>
      </w:r>
    </w:p>
    <w:p>
      <w:pPr>
        <w:pStyle w:val="BodyText"/>
      </w:pPr>
      <w:r>
        <w:rPr>
          <w:b/>
          <w:bCs/>
        </w:rPr>
        <w:t xml:space="preserve">ciò che manca per passare da un progetto completo a una riforma dimostrata</w:t>
      </w:r>
    </w:p>
    <w:p>
      <w:pPr>
        <w:pStyle w:val="BodyText"/>
      </w:pPr>
      <w:r>
        <w:rPr>
          <w:i/>
          <w:iCs/>
        </w:rPr>
        <w:t xml:space="preserve">Dato primario, riconciliazione economica, attivazione della misurazione, validazione empirica, specificazione operativa, coerenza ed esecuzione</w:t>
      </w:r>
    </w:p>
    <w:p>
      <w:pPr>
        <w:pStyle w:val="BodyText"/>
      </w:pPr>
      <w:r>
        <w:rPr>
          <w:b/>
          <w:bCs/>
        </w:rPr>
        <w:t xml:space="preserve">Indice</w:t>
      </w:r>
    </w:p>
    <w:bookmarkStart w:id="1069" w:name="X9a50b94f859dd4128e8a7a55cf7b9a431016783"/>
    <w:p>
      <w:pPr>
        <w:pStyle w:val="Heading2"/>
      </w:pPr>
      <w:r>
        <w:t xml:space="preserve">Premessa: un progetto completo, da fondare sui dati</w:t>
      </w:r>
    </w:p>
    <w:p>
      <w:pPr>
        <w:pStyle w:val="FirstParagraph"/>
      </w:pPr>
      <w:r>
        <w:t xml:space="preserve">Una verifica di completezza onesta deve partire da una constatazione: il progetto è, sul piano della progettazione, già molto avanzato. Il corpus comprende il capitolo metodologico, il modello costi-benefici e di impatto di bilancio, il ritorno sociale, la robustezza con modello di Markov, analisi probabilistica e analisi multi-criterio, l’Analisi di Impatto della Regolamentazione, la proposta di legge, il piano operativo a dispiegamento scaglionato, il sistema di monitoraggio e la Verifica dell’Impatto, la sperimentazione pilota, la traccia nazionale, l’integrazione dell’IA e il registro delle variabili.</w:t>
      </w:r>
      <w:r>
        <w:rPr>
          <w:rStyle w:val="FootnoteReference"/>
        </w:rPr>
        <w:footnoteReference w:id="434"/>
      </w:r>
      <w:r>
        <w:t xml:space="preserve"> </w:t>
      </w:r>
      <w:r>
        <w:t xml:space="preserve">Le dimensioni giuridiche, etiche, di protezione dei dati e di conformità alla disciplina europea sull’IA sono già trattate. Le lacune, dunque, non sono di disegno.</w:t>
      </w:r>
    </w:p>
    <w:p>
      <w:pPr>
        <w:pStyle w:val="BodyText"/>
      </w:pPr>
      <w:r>
        <w:t xml:space="preserve">Le lacune sono di natura diversa, e più profonda: riguardano il fondamento empirico e l’attivazione. Le proiezioni economiche poggiano su dati ricostruiti, non rilevati; il sistema di misurazione è progettato, ma non ancora operante; la conferma sui dati reali non è stata compiuta. Sono queste — non l’assenza di componenti — a vincolare oggi la credibilità della proposta.</w:t>
      </w:r>
      <w:r>
        <w:rPr>
          <w:rStyle w:val="FootnoteReference"/>
        </w:rPr>
        <w:footnoteReference w:id="435"/>
      </w:r>
      <w:r>
        <w:t xml:space="preserve"> </w:t>
      </w:r>
      <w:r>
        <w:t xml:space="preserve">Questo documento le elenca tutte, distinte per natura, con lo stato attuale, il modo in cui colmarle e la priorità. La tabella seguente ne offre il quadro d’insieme.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Categoria di lacuna</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w:t>
            </w:r>
          </w:p>
        </w:tc>
        <w:tc>
          <w:tcPr>
            <w:shd w:val="clear" w:color="auto" w:fill="16264B"/>
          </w:tcPr>
          <w:p>
            <w:pPr>
              <w:pStyle w:val="Compact"/>
              <w:spacing w:after="40" w:before="40"/>
              <w:jc w:val="left"/>
            </w:pPr>
            <w:r>
              <w:rPr>
                <w:rFonts w:ascii="Cambria" w:hAnsi="Cambria" w:cs="Cambria" w:eastAsia="Cambria"/>
                <w:b/>
                <w:bCs/>
                <w:color w:val="FFFFFF"/>
                <w:sz w:val="18"/>
              </w:rPr>
              <w:t xml:space="preserve">Priorità prevalente</w:t>
            </w:r>
          </w:p>
        </w:tc>
      </w:tr>
      <w:tr>
        <w:tc>
          <w:tcPr/>
          <w:p>
            <w:pPr>
              <w:pStyle w:val="Compact"/>
              <w:spacing w:after="40" w:before="40"/>
              <w:jc w:val="left"/>
            </w:pPr>
            <w:r>
              <w:rPr>
                <w:rFonts w:ascii="Cambria" w:hAnsi="Cambria" w:cs="Cambria" w:eastAsia="Cambria"/>
                <w:b/>
                <w:bCs/>
                <w:color w:val="1A1A1A"/>
                <w:sz w:val="18"/>
              </w:rPr>
              <w:t xml:space="preserve">A. Dato primario certificato</w:t>
            </w:r>
          </w:p>
        </w:tc>
        <w:tc>
          <w:tcPr/>
          <w:p>
            <w:pPr>
              <w:pStyle w:val="Compact"/>
              <w:spacing w:after="40" w:before="40"/>
              <w:jc w:val="left"/>
            </w:pPr>
            <w:r>
              <w:rPr>
                <w:rFonts w:ascii="Cambria" w:hAnsi="Cambria" w:cs="Cambria" w:eastAsia="Cambria"/>
                <w:color w:val="1A1A1A"/>
                <w:sz w:val="18"/>
              </w:rPr>
              <w:t xml:space="preserve">I valori di spesa e di attività sono ricostruiti per quota, non estratti dai conti regionali</w:t>
            </w:r>
          </w:p>
        </w:tc>
        <w:tc>
          <w:tcPr/>
          <w:p>
            <w:pPr>
              <w:pStyle w:val="Compact"/>
              <w:spacing w:after="40" w:before="40"/>
              <w:jc w:val="left"/>
            </w:pPr>
            <w:r>
              <w:rPr>
                <w:rFonts w:ascii="Cambria" w:hAnsi="Cambria" w:cs="Cambria" w:eastAsia="Cambria"/>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 Riconciliazione economica</w:t>
            </w:r>
          </w:p>
        </w:tc>
        <w:tc>
          <w:tcPr>
            <w:shd w:val="clear" w:color="auto" w:fill="F4F1EC"/>
          </w:tcPr>
          <w:p>
            <w:pPr>
              <w:pStyle w:val="Compact"/>
              <w:spacing w:after="40" w:before="40"/>
              <w:jc w:val="left"/>
            </w:pPr>
            <w:r>
              <w:rPr>
                <w:rFonts w:ascii="Cambria" w:hAnsi="Cambria" w:cs="Cambria" w:eastAsia="Cambria"/>
                <w:color w:val="1A1A1A"/>
                <w:sz w:val="18"/>
              </w:rPr>
              <w:t xml:space="preserve">Due stime divergenti (ricostruita e su dati primari) da unificare e ri-fondare</w:t>
            </w:r>
          </w:p>
        </w:tc>
        <w:tc>
          <w:tcPr>
            <w:shd w:val="clear" w:color="auto" w:fill="F4F1EC"/>
          </w:tcPr>
          <w:p>
            <w:pPr>
              <w:pStyle w:val="Compact"/>
              <w:spacing w:after="40" w:before="40"/>
              <w:jc w:val="left"/>
            </w:pPr>
            <w:r>
              <w:rPr>
                <w:rFonts w:ascii="Cambria" w:hAnsi="Cambria" w:cs="Cambria" w:eastAsia="Cambria"/>
                <w:color w:val="1A1A1A"/>
                <w:sz w:val="18"/>
              </w:rPr>
              <w:t xml:space="preserve">Alta</w:t>
            </w:r>
          </w:p>
        </w:tc>
      </w:tr>
      <w:tr>
        <w:tc>
          <w:tcPr/>
          <w:p>
            <w:pPr>
              <w:pStyle w:val="Compact"/>
              <w:spacing w:after="40" w:before="40"/>
              <w:jc w:val="left"/>
            </w:pPr>
            <w:r>
              <w:rPr>
                <w:rFonts w:ascii="Cambria" w:hAnsi="Cambria" w:cs="Cambria" w:eastAsia="Cambria"/>
                <w:b/>
                <w:bCs/>
                <w:color w:val="1A1A1A"/>
                <w:sz w:val="18"/>
              </w:rPr>
              <w:t xml:space="preserve">C. Baseline e misurazione</w:t>
            </w:r>
          </w:p>
        </w:tc>
        <w:tc>
          <w:tcPr/>
          <w:p>
            <w:pPr>
              <w:pStyle w:val="Compact"/>
              <w:spacing w:after="40" w:before="40"/>
              <w:jc w:val="left"/>
            </w:pPr>
            <w:r>
              <w:rPr>
                <w:rFonts w:ascii="Cambria" w:hAnsi="Cambria" w:cs="Cambria" w:eastAsia="Cambria"/>
                <w:color w:val="1A1A1A"/>
                <w:sz w:val="18"/>
              </w:rPr>
              <w:t xml:space="preserve">Il sistema di misurazione è disegnato ma non ancora attivo</w:t>
            </w:r>
          </w:p>
        </w:tc>
        <w:tc>
          <w:tcPr/>
          <w:p>
            <w:pPr>
              <w:pStyle w:val="Compact"/>
              <w:spacing w:after="40" w:before="40"/>
              <w:jc w:val="left"/>
            </w:pPr>
            <w:r>
              <w:rPr>
                <w:rFonts w:ascii="Cambria" w:hAnsi="Cambria" w:cs="Cambria" w:eastAsia="Cambria"/>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 Validazione empirica</w:t>
            </w:r>
          </w:p>
        </w:tc>
        <w:tc>
          <w:tcPr>
            <w:shd w:val="clear" w:color="auto" w:fill="F4F1EC"/>
          </w:tcPr>
          <w:p>
            <w:pPr>
              <w:pStyle w:val="Compact"/>
              <w:spacing w:after="40" w:before="40"/>
              <w:jc w:val="left"/>
            </w:pPr>
            <w:r>
              <w:rPr>
                <w:rFonts w:ascii="Cambria" w:hAnsi="Cambria" w:cs="Cambria" w:eastAsia="Cambria"/>
                <w:color w:val="1A1A1A"/>
                <w:sz w:val="18"/>
              </w:rPr>
              <w:t xml:space="preserve">La conferma ex post è prevista e in parte differibile per natura</w:t>
            </w:r>
          </w:p>
        </w:tc>
        <w:tc>
          <w:tcPr>
            <w:shd w:val="clear" w:color="auto" w:fill="F4F1EC"/>
          </w:tcPr>
          <w:p>
            <w:pPr>
              <w:pStyle w:val="Compact"/>
              <w:spacing w:after="40" w:before="40"/>
              <w:jc w:val="left"/>
            </w:pPr>
            <w:r>
              <w:rPr>
                <w:rFonts w:ascii="Cambria" w:hAnsi="Cambria" w:cs="Cambria" w:eastAsia="Cambria"/>
                <w:color w:val="1A1A1A"/>
                <w:sz w:val="18"/>
              </w:rPr>
              <w:t xml:space="preserve">Media</w:t>
            </w:r>
          </w:p>
        </w:tc>
      </w:tr>
      <w:tr>
        <w:tc>
          <w:tcPr/>
          <w:p>
            <w:pPr>
              <w:pStyle w:val="Compact"/>
              <w:spacing w:after="40" w:before="40"/>
              <w:jc w:val="left"/>
            </w:pPr>
            <w:r>
              <w:rPr>
                <w:rFonts w:ascii="Cambria" w:hAnsi="Cambria" w:cs="Cambria" w:eastAsia="Cambria"/>
                <w:b/>
                <w:bCs/>
                <w:color w:val="1A1A1A"/>
                <w:sz w:val="18"/>
              </w:rPr>
              <w:t xml:space="preserve">E. Specificazione operativa</w:t>
            </w:r>
          </w:p>
        </w:tc>
        <w:tc>
          <w:tcPr/>
          <w:p>
            <w:pPr>
              <w:pStyle w:val="Compact"/>
              <w:spacing w:after="40" w:before="40"/>
              <w:jc w:val="left"/>
            </w:pPr>
            <w:r>
              <w:rPr>
                <w:rFonts w:ascii="Cambria" w:hAnsi="Cambria" w:cs="Cambria" w:eastAsia="Cambria"/>
                <w:color w:val="1A1A1A"/>
                <w:sz w:val="18"/>
              </w:rPr>
              <w:t xml:space="preserve">Alcuni dettagli attuativi restano da finalizzare in atti</w:t>
            </w:r>
          </w:p>
        </w:tc>
        <w:tc>
          <w:tcPr/>
          <w:p>
            <w:pPr>
              <w:pStyle w:val="Compact"/>
              <w:spacing w:after="40" w:before="40"/>
              <w:jc w:val="left"/>
            </w:pPr>
            <w:r>
              <w:rPr>
                <w:rFonts w:ascii="Cambria" w:hAnsi="Cambria" w:cs="Cambria" w:eastAsia="Cambria"/>
                <w:color w:val="1A1A1A"/>
                <w:sz w:val="18"/>
              </w:rPr>
              <w:t xml:space="preserve">Media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 Coerenza documentale</w:t>
            </w:r>
          </w:p>
        </w:tc>
        <w:tc>
          <w:tcPr>
            <w:shd w:val="clear" w:color="auto" w:fill="F4F1EC"/>
          </w:tcPr>
          <w:p>
            <w:pPr>
              <w:pStyle w:val="Compact"/>
              <w:spacing w:after="40" w:before="40"/>
              <w:jc w:val="left"/>
            </w:pPr>
            <w:r>
              <w:rPr>
                <w:rFonts w:ascii="Cambria" w:hAnsi="Cambria" w:cs="Cambria" w:eastAsia="Cambria"/>
                <w:color w:val="1A1A1A"/>
                <w:sz w:val="18"/>
              </w:rPr>
              <w:t xml:space="preserve">Le cifre vanno armonizzate dopo le revisioni</w:t>
            </w:r>
          </w:p>
        </w:tc>
        <w:tc>
          <w:tcPr>
            <w:shd w:val="clear" w:color="auto" w:fill="F4F1EC"/>
          </w:tcPr>
          <w:p>
            <w:pPr>
              <w:pStyle w:val="Compact"/>
              <w:spacing w:after="40" w:before="40"/>
              <w:jc w:val="left"/>
            </w:pPr>
            <w:r>
              <w:rPr>
                <w:rFonts w:ascii="Cambria" w:hAnsi="Cambria" w:cs="Cambria" w:eastAsia="Cambria"/>
                <w:color w:val="1A1A1A"/>
                <w:sz w:val="18"/>
              </w:rPr>
              <w:t xml:space="preserve">Media</w:t>
            </w:r>
          </w:p>
        </w:tc>
      </w:tr>
      <w:tr>
        <w:tc>
          <w:tcPr/>
          <w:p>
            <w:pPr>
              <w:pStyle w:val="Compact"/>
              <w:spacing w:after="40" w:before="40"/>
              <w:jc w:val="left"/>
            </w:pPr>
            <w:r>
              <w:rPr>
                <w:rFonts w:ascii="Cambria" w:hAnsi="Cambria" w:cs="Cambria" w:eastAsia="Cambria"/>
                <w:b/>
                <w:bCs/>
                <w:color w:val="1A1A1A"/>
                <w:sz w:val="18"/>
              </w:rPr>
              <w:t xml:space="preserve">G. Esecuzione di processo</w:t>
            </w:r>
          </w:p>
        </w:tc>
        <w:tc>
          <w:tcPr/>
          <w:p>
            <w:pPr>
              <w:pStyle w:val="Compact"/>
              <w:spacing w:after="40" w:before="40"/>
              <w:jc w:val="left"/>
            </w:pPr>
            <w:r>
              <w:rPr>
                <w:rFonts w:ascii="Cambria" w:hAnsi="Cambria" w:cs="Cambria" w:eastAsia="Cambria"/>
                <w:color w:val="1A1A1A"/>
                <w:sz w:val="18"/>
              </w:rPr>
              <w:t xml:space="preserve">Restano da compiere passaggi istituzionali e di copertura</w:t>
            </w:r>
          </w:p>
        </w:tc>
        <w:tc>
          <w:tcPr/>
          <w:p>
            <w:pPr>
              <w:pStyle w:val="Compact"/>
              <w:spacing w:after="40" w:before="40"/>
              <w:jc w:val="left"/>
            </w:pPr>
            <w:r>
              <w:rPr>
                <w:rFonts w:ascii="Cambria" w:hAnsi="Cambria" w:cs="Cambria" w:eastAsia="Cambria"/>
                <w:color w:val="1A1A1A"/>
                <w:sz w:val="18"/>
              </w:rPr>
              <w:t xml:space="preserve">Variabile</w:t>
            </w:r>
          </w:p>
        </w:tc>
      </w:tr>
    </w:tbl>
    <w:p>
      <w:pPr>
        <w:pStyle w:val="BodyText"/>
      </w:pPr>
      <w:r>
        <w:rPr>
          <w:i/>
          <w:iCs/>
        </w:rPr>
        <w:t xml:space="preserve">Tabella 1. Le sette categorie di lacuna. Le prime tre, di fondamento e di attivazione, sono le più vincolanti.</w:t>
      </w:r>
    </w:p>
    <w:bookmarkEnd w:id="1069"/>
    <w:bookmarkStart w:id="1072" w:name="a.-lacune-di-dato-primario-certificato"/>
    <w:p>
      <w:pPr>
        <w:pStyle w:val="Heading2"/>
      </w:pPr>
      <w:r>
        <w:t xml:space="preserve">A. Lacune di dato primario certificato</w:t>
      </w:r>
    </w:p>
    <w:p>
      <w:pPr>
        <w:pStyle w:val="FirstParagraph"/>
      </w:pPr>
      <w:r>
        <w:t xml:space="preserve">È la lacuna fondamentale, da cui dipendono le altre. Le cifre di spesa regionale impiegate nel progetto non sono estratte dai conti delle aziende sanitarie pugliesi, ma ricostruite dai conti nazionali applicando la quota di popolazione della regione, pari a circa il 6,6%.</w:t>
      </w:r>
      <w:r>
        <w:rPr>
          <w:rStyle w:val="FootnoteReference"/>
        </w:rPr>
        <w:footnoteReference w:id="436"/>
      </w:r>
      <w:r>
        <w:t xml:space="preserve"> </w:t>
      </w:r>
      <w:r>
        <w:t xml:space="preserve">È una stima ragionevole per un primo dimensionamento, ma resta una stima: la spesa effettiva pugliese per medicina generale, specialistica, farmaceutica e salute mentale può discostarsene, e con essa l’entità dei risparmi attesi. I conti certificati già disponibili — il finanziamento di circa 8,8 miliardi e il disavanzo di circa 350 milioni — forniscono la cornice, ma non la disaggregazione necessaria al calcolo.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Lacuna</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attuale nel progetto</w:t>
            </w:r>
          </w:p>
        </w:tc>
        <w:tc>
          <w:tcPr>
            <w:shd w:val="clear" w:color="auto" w:fill="16264B"/>
          </w:tcPr>
          <w:p>
            <w:pPr>
              <w:pStyle w:val="Compact"/>
              <w:spacing w:after="40" w:before="40"/>
              <w:jc w:val="left"/>
            </w:pPr>
            <w:r>
              <w:rPr>
                <w:rFonts w:ascii="Cambria" w:hAnsi="Cambria" w:cs="Cambria" w:eastAsia="Cambria"/>
                <w:b/>
                <w:bCs/>
                <w:color w:val="FFFFFF"/>
                <w:sz w:val="18"/>
              </w:rPr>
              <w:t xml:space="preserve">Come si colma</w:t>
            </w:r>
          </w:p>
        </w:tc>
        <w:tc>
          <w:tcPr>
            <w:shd w:val="clear" w:color="auto" w:fill="16264B"/>
          </w:tcPr>
          <w:p>
            <w:pPr>
              <w:pStyle w:val="Compact"/>
              <w:spacing w:after="40" w:before="40"/>
              <w:jc w:val="left"/>
            </w:pPr>
            <w:r>
              <w:rPr>
                <w:rFonts w:ascii="Cambria" w:hAnsi="Cambria" w:cs="Cambria" w:eastAsia="Cambria"/>
                <w:b/>
                <w:bCs/>
                <w:color w:val="FFFFFF"/>
                <w:sz w:val="18"/>
              </w:rPr>
              <w:t xml:space="preserve">Priorità</w:t>
            </w:r>
          </w:p>
        </w:tc>
      </w:tr>
      <w:tr>
        <w:tc>
          <w:tcPr/>
          <w:p>
            <w:pPr>
              <w:pStyle w:val="Compact"/>
              <w:spacing w:after="40" w:before="40"/>
              <w:jc w:val="left"/>
            </w:pPr>
            <w:r>
              <w:rPr>
                <w:rFonts w:ascii="Cambria" w:hAnsi="Cambria" w:cs="Cambria" w:eastAsia="Cambria"/>
                <w:b/>
                <w:bCs/>
                <w:color w:val="1A1A1A"/>
                <w:sz w:val="18"/>
              </w:rPr>
              <w:t xml:space="preserve">Spesa regionale effettiva per voce</w:t>
            </w:r>
          </w:p>
        </w:tc>
        <w:tc>
          <w:tcPr/>
          <w:p>
            <w:pPr>
              <w:pStyle w:val="Compact"/>
              <w:spacing w:after="40" w:before="40"/>
              <w:jc w:val="left"/>
            </w:pPr>
            <w:r>
              <w:rPr>
                <w:rFonts w:ascii="Cambria" w:hAnsi="Cambria" w:cs="Cambria" w:eastAsia="Cambria"/>
                <w:color w:val="1A1A1A"/>
                <w:sz w:val="18"/>
              </w:rPr>
              <w:t xml:space="preserve">Ricostruita dai conti nazionali × 6,6% della popolazione</w:t>
            </w:r>
          </w:p>
        </w:tc>
        <w:tc>
          <w:tcPr/>
          <w:p>
            <w:pPr>
              <w:pStyle w:val="Compact"/>
              <w:spacing w:after="40" w:before="40"/>
              <w:jc w:val="left"/>
            </w:pPr>
            <w:r>
              <w:rPr>
                <w:rFonts w:ascii="Cambria" w:hAnsi="Cambria" w:cs="Cambria" w:eastAsia="Cambria"/>
                <w:color w:val="1A1A1A"/>
                <w:sz w:val="18"/>
              </w:rPr>
              <w:t xml:space="preserve">Estrazione dai bilanci di esercizio del SSR e dalle aziende</w:t>
            </w:r>
          </w:p>
        </w:tc>
        <w:tc>
          <w:tcPr/>
          <w:p>
            <w:pPr>
              <w:pStyle w:val="Compact"/>
              <w:spacing w:after="40" w:before="40"/>
              <w:jc w:val="left"/>
            </w:pPr>
            <w:r>
              <w:rPr>
                <w:rFonts w:ascii="Cambria" w:hAnsi="Cambria" w:cs="Cambria" w:eastAsia="Cambria"/>
                <w:b/>
                <w:bCs/>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Dimissioni ospedaliere (SDO) per disturbi psichici</w:t>
            </w:r>
          </w:p>
        </w:tc>
        <w:tc>
          <w:tcPr>
            <w:shd w:val="clear" w:color="auto" w:fill="F4F1EC"/>
          </w:tcPr>
          <w:p>
            <w:pPr>
              <w:pStyle w:val="Compact"/>
              <w:spacing w:after="40" w:before="40"/>
              <w:jc w:val="left"/>
            </w:pPr>
            <w:r>
              <w:rPr>
                <w:rFonts w:ascii="Cambria" w:hAnsi="Cambria" w:cs="Cambria" w:eastAsia="Cambria"/>
                <w:color w:val="1A1A1A"/>
                <w:sz w:val="18"/>
              </w:rPr>
              <w:t xml:space="preserve">Stimate da tassi nazionali</w:t>
            </w:r>
          </w:p>
        </w:tc>
        <w:tc>
          <w:tcPr>
            <w:shd w:val="clear" w:color="auto" w:fill="F4F1EC"/>
          </w:tcPr>
          <w:p>
            <w:pPr>
              <w:pStyle w:val="Compact"/>
              <w:spacing w:after="40" w:before="40"/>
              <w:jc w:val="left"/>
            </w:pPr>
            <w:r>
              <w:rPr>
                <w:rFonts w:ascii="Cambria" w:hAnsi="Cambria" w:cs="Cambria" w:eastAsia="Cambria"/>
                <w:color w:val="1A1A1A"/>
                <w:sz w:val="18"/>
              </w:rPr>
              <w:t xml:space="preserve">Flusso SDO regionale, per raggruppamento e costo</w:t>
            </w:r>
          </w:p>
        </w:tc>
        <w:tc>
          <w:tcPr>
            <w:shd w:val="clear" w:color="auto" w:fill="F4F1EC"/>
          </w:tcPr>
          <w:p>
            <w:pPr>
              <w:pStyle w:val="Compact"/>
              <w:spacing w:after="40" w:before="40"/>
              <w:jc w:val="left"/>
            </w:pPr>
            <w:r>
              <w:rPr>
                <w:rFonts w:ascii="Cambria" w:hAnsi="Cambria" w:cs="Cambria" w:eastAsia="Cambria"/>
                <w:b/>
                <w:bCs/>
                <w:color w:val="1A1A1A"/>
                <w:sz w:val="18"/>
              </w:rPr>
              <w:t xml:space="preserve">Alta</w:t>
            </w:r>
          </w:p>
        </w:tc>
      </w:tr>
      <w:tr>
        <w:tc>
          <w:tcPr/>
          <w:p>
            <w:pPr>
              <w:pStyle w:val="Compact"/>
              <w:spacing w:after="40" w:before="40"/>
              <w:jc w:val="left"/>
            </w:pPr>
            <w:r>
              <w:rPr>
                <w:rFonts w:ascii="Cambria" w:hAnsi="Cambria" w:cs="Cambria" w:eastAsia="Cambria"/>
                <w:b/>
                <w:bCs/>
                <w:color w:val="1A1A1A"/>
                <w:sz w:val="18"/>
              </w:rPr>
              <w:t xml:space="preserve">Composizione della mobilità passiva per disciplina</w:t>
            </w:r>
          </w:p>
        </w:tc>
        <w:tc>
          <w:tcPr/>
          <w:p>
            <w:pPr>
              <w:pStyle w:val="Compact"/>
              <w:spacing w:after="40" w:before="40"/>
              <w:jc w:val="left"/>
            </w:pPr>
            <w:r>
              <w:rPr>
                <w:rFonts w:ascii="Cambria" w:hAnsi="Cambria" w:cs="Cambria" w:eastAsia="Cambria"/>
                <w:color w:val="1A1A1A"/>
                <w:sz w:val="18"/>
              </w:rPr>
              <w:t xml:space="preserve">Noto il solo aggregato (−253,2 mln)</w:t>
            </w:r>
          </w:p>
        </w:tc>
        <w:tc>
          <w:tcPr/>
          <w:p>
            <w:pPr>
              <w:pStyle w:val="Compact"/>
              <w:spacing w:after="40" w:before="40"/>
              <w:jc w:val="left"/>
            </w:pPr>
            <w:r>
              <w:rPr>
                <w:rFonts w:ascii="Cambria" w:hAnsi="Cambria" w:cs="Cambria" w:eastAsia="Cambria"/>
                <w:color w:val="1A1A1A"/>
                <w:sz w:val="18"/>
              </w:rPr>
              <w:t xml:space="preserve">Flusso di mobilità disaggregato per disciplina</w:t>
            </w:r>
          </w:p>
        </w:tc>
        <w:tc>
          <w:tcPr/>
          <w:p>
            <w:pPr>
              <w:pStyle w:val="Compact"/>
              <w:spacing w:after="40" w:before="40"/>
              <w:jc w:val="left"/>
            </w:pPr>
            <w:r>
              <w:rPr>
                <w:rFonts w:ascii="Cambria" w:hAnsi="Cambria" w:cs="Cambria" w:eastAsia="Cambria"/>
                <w:b/>
                <w:bCs/>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Spesa farmaceutica regionale per psicofarmaci (N05-N06)</w:t>
            </w:r>
          </w:p>
        </w:tc>
        <w:tc>
          <w:tcPr>
            <w:shd w:val="clear" w:color="auto" w:fill="F4F1EC"/>
          </w:tcPr>
          <w:p>
            <w:pPr>
              <w:pStyle w:val="Compact"/>
              <w:spacing w:after="40" w:before="40"/>
              <w:jc w:val="left"/>
            </w:pPr>
            <w:r>
              <w:rPr>
                <w:rFonts w:ascii="Cambria" w:hAnsi="Cambria" w:cs="Cambria" w:eastAsia="Cambria"/>
                <w:color w:val="1A1A1A"/>
                <w:sz w:val="18"/>
              </w:rPr>
              <w:t xml:space="preserve">Stimata da consumi complessivi e incidenza del Sud</w:t>
            </w:r>
          </w:p>
        </w:tc>
        <w:tc>
          <w:tcPr>
            <w:shd w:val="clear" w:color="auto" w:fill="F4F1EC"/>
          </w:tcPr>
          <w:p>
            <w:pPr>
              <w:pStyle w:val="Compact"/>
              <w:spacing w:after="40" w:before="40"/>
              <w:jc w:val="left"/>
            </w:pPr>
            <w:r>
              <w:rPr>
                <w:rFonts w:ascii="Cambria" w:hAnsi="Cambria" w:cs="Cambria" w:eastAsia="Cambria"/>
                <w:color w:val="1A1A1A"/>
                <w:sz w:val="18"/>
              </w:rPr>
              <w:t xml:space="preserve">Flusso farmaceutico regionale per categoria</w:t>
            </w:r>
          </w:p>
        </w:tc>
        <w:tc>
          <w:tcPr>
            <w:shd w:val="clear" w:color="auto" w:fill="F4F1EC"/>
          </w:tcPr>
          <w:p>
            <w:pPr>
              <w:pStyle w:val="Compact"/>
              <w:spacing w:after="40" w:before="40"/>
              <w:jc w:val="left"/>
            </w:pPr>
            <w:r>
              <w:rPr>
                <w:rFonts w:ascii="Cambria" w:hAnsi="Cambria" w:cs="Cambria" w:eastAsia="Cambria"/>
                <w:b/>
                <w:bCs/>
                <w:color w:val="1A1A1A"/>
                <w:sz w:val="18"/>
              </w:rPr>
              <w:t xml:space="preserve">Alta</w:t>
            </w:r>
          </w:p>
        </w:tc>
      </w:tr>
      <w:tr>
        <w:tc>
          <w:tcPr/>
          <w:p>
            <w:pPr>
              <w:pStyle w:val="Compact"/>
              <w:spacing w:after="40" w:before="40"/>
              <w:jc w:val="left"/>
            </w:pPr>
            <w:r>
              <w:rPr>
                <w:rFonts w:ascii="Cambria" w:hAnsi="Cambria" w:cs="Cambria" w:eastAsia="Cambria"/>
                <w:b/>
                <w:bCs/>
                <w:color w:val="1A1A1A"/>
                <w:sz w:val="18"/>
              </w:rPr>
              <w:t xml:space="preserve">Accessi al pronto soccorso per causa psichiatrica</w:t>
            </w:r>
          </w:p>
        </w:tc>
        <w:tc>
          <w:tcPr/>
          <w:p>
            <w:pPr>
              <w:pStyle w:val="Compact"/>
              <w:spacing w:after="40" w:before="40"/>
              <w:jc w:val="left"/>
            </w:pPr>
            <w:r>
              <w:rPr>
                <w:rFonts w:ascii="Cambria" w:hAnsi="Cambria" w:cs="Cambria" w:eastAsia="Cambria"/>
                <w:color w:val="1A1A1A"/>
                <w:sz w:val="18"/>
              </w:rPr>
              <w:t xml:space="preserve">Noto il solo totale inappropriato (~914.000)</w:t>
            </w:r>
          </w:p>
        </w:tc>
        <w:tc>
          <w:tcPr/>
          <w:p>
            <w:pPr>
              <w:pStyle w:val="Compact"/>
              <w:spacing w:after="40" w:before="40"/>
              <w:jc w:val="left"/>
            </w:pPr>
            <w:r>
              <w:rPr>
                <w:rFonts w:ascii="Cambria" w:hAnsi="Cambria" w:cs="Cambria" w:eastAsia="Cambria"/>
                <w:color w:val="1A1A1A"/>
                <w:sz w:val="18"/>
              </w:rPr>
              <w:t xml:space="preserve">Flusso dell’emergenza-urgenza per causa</w:t>
            </w:r>
          </w:p>
        </w:tc>
        <w:tc>
          <w:tcPr/>
          <w:p>
            <w:pPr>
              <w:pStyle w:val="Compact"/>
              <w:spacing w:after="40" w:before="40"/>
              <w:jc w:val="left"/>
            </w:pPr>
            <w:r>
              <w:rPr>
                <w:rFonts w:ascii="Cambria" w:hAnsi="Cambria" w:cs="Cambria" w:eastAsia="Cambria"/>
                <w:b/>
                <w:bCs/>
                <w:color w:val="1A1A1A"/>
                <w:sz w:val="18"/>
              </w:rPr>
              <w:t xml:space="preserve">Media</w:t>
            </w:r>
          </w:p>
        </w:tc>
      </w:tr>
    </w:tbl>
    <w:p>
      <w:pPr>
        <w:pStyle w:val="BodyText"/>
      </w:pPr>
      <w:r>
        <w:rPr>
          <w:i/>
          <w:iCs/>
        </w:rPr>
        <w:t xml:space="preserve">Tabella A. Le lacune di dato primario, da colmare presso AReSS e ASL. Sostituiscono i parametri stimati con valori certificati.</w:t>
      </w:r>
    </w:p>
    <w:p>
      <w:pPr>
        <w:pStyle w:val="BodyText"/>
      </w:pPr>
      <w:r>
        <w:t xml:space="preserve">La revisione su dati primari già condotta ha avviato questa sostituzione per i canali disponibili; il completamento richiede l’accesso ai flussi regionali sopra elencati.</w:t>
      </w:r>
      <w:r>
        <w:rPr>
          <w:rStyle w:val="FootnoteReference"/>
        </w:rPr>
        <w:footnoteReference w:id="437"/>
      </w:r>
    </w:p>
    <w:bookmarkEnd w:id="1072"/>
    <w:bookmarkStart w:id="1075" w:name="X03e42bb4f6e97e48cab89827f3b46540cb47a37"/>
    <w:p>
      <w:pPr>
        <w:pStyle w:val="Heading2"/>
      </w:pPr>
      <w:r>
        <w:t xml:space="preserve">B. Lacune di riconciliazione e aggiornamento economico</w:t>
      </w:r>
    </w:p>
    <w:p>
      <w:pPr>
        <w:pStyle w:val="FirstParagraph"/>
      </w:pPr>
      <w:r>
        <w:t xml:space="preserve">È la lacuna più delicata sul piano della credibilità. Il progetto contiene oggi due stime economiche non allineate. La prima, di vertice, indica un risparmio diretto dell’ordine di 270 milioni e un rapporto beneficio-costo di 6–7:1 a livello regionale, con valori ancora più alti a livello nazionale.</w:t>
      </w:r>
      <w:r>
        <w:rPr>
          <w:rStyle w:val="FootnoteReference"/>
        </w:rPr>
        <w:footnoteReference w:id="438"/>
      </w:r>
      <w:r>
        <w:t xml:space="preserve"> </w:t>
      </w:r>
      <w:r>
        <w:t xml:space="preserve">La seconda, prodotta dalla revisione su dati primari, distingue il risparmio diretto per il bilancio sanitario — prossimo al pareggio con il costo — dalle ricadute sociali, e attribuisce a queste ultime il forte ritorno complessivo.</w:t>
      </w:r>
      <w:r>
        <w:rPr>
          <w:rStyle w:val="FootnoteReference"/>
        </w:rPr>
        <w:footnoteReference w:id="439"/>
      </w:r>
      <w:r>
        <w:t xml:space="preserve"> </w:t>
      </w:r>
      <w:r>
        <w:t xml:space="preserve">Le due stime non sono contraddittorie nei fatti — la seconda separa ciò che la prima somma — ma vanno esplicitamente riconciliate: presentare la stima ottimistica senza la distinzione tra risparmio diretto e ricaduta sociale espone la proposta a contestazione da parte degli organi di controllo.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Lacuna</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attuale nel progetto</w:t>
            </w:r>
          </w:p>
        </w:tc>
        <w:tc>
          <w:tcPr>
            <w:shd w:val="clear" w:color="auto" w:fill="16264B"/>
          </w:tcPr>
          <w:p>
            <w:pPr>
              <w:pStyle w:val="Compact"/>
              <w:spacing w:after="40" w:before="40"/>
              <w:jc w:val="left"/>
            </w:pPr>
            <w:r>
              <w:rPr>
                <w:rFonts w:ascii="Cambria" w:hAnsi="Cambria" w:cs="Cambria" w:eastAsia="Cambria"/>
                <w:b/>
                <w:bCs/>
                <w:color w:val="FFFFFF"/>
                <w:sz w:val="18"/>
              </w:rPr>
              <w:t xml:space="preserve">Come si colma</w:t>
            </w:r>
          </w:p>
        </w:tc>
        <w:tc>
          <w:tcPr>
            <w:shd w:val="clear" w:color="auto" w:fill="16264B"/>
          </w:tcPr>
          <w:p>
            <w:pPr>
              <w:pStyle w:val="Compact"/>
              <w:spacing w:after="40" w:before="40"/>
              <w:jc w:val="left"/>
            </w:pPr>
            <w:r>
              <w:rPr>
                <w:rFonts w:ascii="Cambria" w:hAnsi="Cambria" w:cs="Cambria" w:eastAsia="Cambria"/>
                <w:b/>
                <w:bCs/>
                <w:color w:val="FFFFFF"/>
                <w:sz w:val="18"/>
              </w:rPr>
              <w:t xml:space="preserve">Priorità</w:t>
            </w:r>
          </w:p>
        </w:tc>
      </w:tr>
      <w:tr>
        <w:tc>
          <w:tcPr/>
          <w:p>
            <w:pPr>
              <w:pStyle w:val="Compact"/>
              <w:spacing w:after="40" w:before="40"/>
              <w:jc w:val="left"/>
            </w:pPr>
            <w:r>
              <w:rPr>
                <w:rFonts w:ascii="Cambria" w:hAnsi="Cambria" w:cs="Cambria" w:eastAsia="Cambria"/>
                <w:b/>
                <w:bCs/>
                <w:color w:val="1A1A1A"/>
                <w:sz w:val="18"/>
              </w:rPr>
              <w:t xml:space="preserve">Due stime economiche divergenti</w:t>
            </w:r>
          </w:p>
        </w:tc>
        <w:tc>
          <w:tcPr/>
          <w:p>
            <w:pPr>
              <w:pStyle w:val="Compact"/>
              <w:spacing w:after="40" w:before="40"/>
              <w:jc w:val="left"/>
            </w:pPr>
            <w:r>
              <w:rPr>
                <w:rFonts w:ascii="Cambria" w:hAnsi="Cambria" w:cs="Cambria" w:eastAsia="Cambria"/>
                <w:color w:val="1A1A1A"/>
                <w:sz w:val="18"/>
              </w:rPr>
              <w:t xml:space="preserve">Stima ricostruita (6–12:1) e revisione su dati primari (≈ pareggio diretto)</w:t>
            </w:r>
          </w:p>
        </w:tc>
        <w:tc>
          <w:tcPr/>
          <w:p>
            <w:pPr>
              <w:pStyle w:val="Compact"/>
              <w:spacing w:after="40" w:before="40"/>
              <w:jc w:val="left"/>
            </w:pPr>
            <w:r>
              <w:rPr>
                <w:rFonts w:ascii="Cambria" w:hAnsi="Cambria" w:cs="Cambria" w:eastAsia="Cambria"/>
                <w:color w:val="1A1A1A"/>
                <w:sz w:val="18"/>
              </w:rPr>
              <w:t xml:space="preserve">Riconciliazione esplicita; scelta della base certificata come riferimento</w:t>
            </w:r>
          </w:p>
        </w:tc>
        <w:tc>
          <w:tcPr/>
          <w:p>
            <w:pPr>
              <w:pStyle w:val="Compact"/>
              <w:spacing w:after="40" w:before="40"/>
              <w:jc w:val="left"/>
            </w:pPr>
            <w:r>
              <w:rPr>
                <w:rFonts w:ascii="Cambria" w:hAnsi="Cambria" w:cs="Cambria" w:eastAsia="Cambria"/>
                <w:b/>
                <w:bCs/>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Ricalcolo del modello sui parametri certificati</w:t>
            </w:r>
          </w:p>
        </w:tc>
        <w:tc>
          <w:tcPr>
            <w:shd w:val="clear" w:color="auto" w:fill="F4F1EC"/>
          </w:tcPr>
          <w:p>
            <w:pPr>
              <w:pStyle w:val="Compact"/>
              <w:spacing w:after="40" w:before="40"/>
              <w:jc w:val="left"/>
            </w:pPr>
            <w:r>
              <w:rPr>
                <w:rFonts w:ascii="Cambria" w:hAnsi="Cambria" w:cs="Cambria" w:eastAsia="Cambria"/>
                <w:color w:val="1A1A1A"/>
                <w:sz w:val="18"/>
              </w:rPr>
              <w:t xml:space="preserve">Modello di Markov e analisi probabilistica su parametri stimati</w:t>
            </w:r>
          </w:p>
        </w:tc>
        <w:tc>
          <w:tcPr>
            <w:shd w:val="clear" w:color="auto" w:fill="F4F1EC"/>
          </w:tcPr>
          <w:p>
            <w:pPr>
              <w:pStyle w:val="Compact"/>
              <w:spacing w:after="40" w:before="40"/>
              <w:jc w:val="left"/>
            </w:pPr>
            <w:r>
              <w:rPr>
                <w:rFonts w:ascii="Cambria" w:hAnsi="Cambria" w:cs="Cambria" w:eastAsia="Cambria"/>
                <w:color w:val="1A1A1A"/>
                <w:sz w:val="18"/>
              </w:rPr>
              <w:t xml:space="preserve">Ri-esecuzione del modello e della robustezza sui dati primari</w:t>
            </w:r>
          </w:p>
        </w:tc>
        <w:tc>
          <w:tcPr>
            <w:shd w:val="clear" w:color="auto" w:fill="F4F1EC"/>
          </w:tcPr>
          <w:p>
            <w:pPr>
              <w:pStyle w:val="Compact"/>
              <w:spacing w:after="40" w:before="40"/>
              <w:jc w:val="left"/>
            </w:pPr>
            <w:r>
              <w:rPr>
                <w:rFonts w:ascii="Cambria" w:hAnsi="Cambria" w:cs="Cambria" w:eastAsia="Cambria"/>
                <w:b/>
                <w:bCs/>
                <w:color w:val="1A1A1A"/>
                <w:sz w:val="18"/>
              </w:rPr>
              <w:t xml:space="preserve">Alta</w:t>
            </w:r>
          </w:p>
        </w:tc>
      </w:tr>
      <w:tr>
        <w:tc>
          <w:tcPr/>
          <w:p>
            <w:pPr>
              <w:pStyle w:val="Compact"/>
              <w:spacing w:after="40" w:before="40"/>
              <w:jc w:val="left"/>
            </w:pPr>
            <w:r>
              <w:rPr>
                <w:rFonts w:ascii="Cambria" w:hAnsi="Cambria" w:cs="Cambria" w:eastAsia="Cambria"/>
                <w:b/>
                <w:bCs/>
                <w:color w:val="1A1A1A"/>
                <w:sz w:val="18"/>
              </w:rPr>
              <w:t xml:space="preserve">Distinzione risparmio diretto / ricaduta sociale</w:t>
            </w:r>
          </w:p>
        </w:tc>
        <w:tc>
          <w:tcPr/>
          <w:p>
            <w:pPr>
              <w:pStyle w:val="Compact"/>
              <w:spacing w:after="40" w:before="40"/>
              <w:jc w:val="left"/>
            </w:pPr>
            <w:r>
              <w:rPr>
                <w:rFonts w:ascii="Cambria" w:hAnsi="Cambria" w:cs="Cambria" w:eastAsia="Cambria"/>
                <w:color w:val="1A1A1A"/>
                <w:sz w:val="18"/>
              </w:rPr>
              <w:t xml:space="preserve">Introdotta nella revisione, non ancora propagata</w:t>
            </w:r>
          </w:p>
        </w:tc>
        <w:tc>
          <w:tcPr/>
          <w:p>
            <w:pPr>
              <w:pStyle w:val="Compact"/>
              <w:spacing w:after="40" w:before="40"/>
              <w:jc w:val="left"/>
            </w:pPr>
            <w:r>
              <w:rPr>
                <w:rFonts w:ascii="Cambria" w:hAnsi="Cambria" w:cs="Cambria" w:eastAsia="Cambria"/>
                <w:color w:val="1A1A1A"/>
                <w:sz w:val="18"/>
              </w:rPr>
              <w:t xml:space="preserve">Propagazione a dossier, slide e sintesi esecutiva</w:t>
            </w:r>
          </w:p>
        </w:tc>
        <w:tc>
          <w:tcPr/>
          <w:p>
            <w:pPr>
              <w:pStyle w:val="Compact"/>
              <w:spacing w:after="40" w:before="40"/>
              <w:jc w:val="left"/>
            </w:pPr>
            <w:r>
              <w:rPr>
                <w:rFonts w:ascii="Cambria" w:hAnsi="Cambria" w:cs="Cambria" w:eastAsia="Cambria"/>
                <w:b/>
                <w:bCs/>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Aggiornamento dei valori di sintesi</w:t>
            </w:r>
          </w:p>
        </w:tc>
        <w:tc>
          <w:tcPr>
            <w:shd w:val="clear" w:color="auto" w:fill="F4F1EC"/>
          </w:tcPr>
          <w:p>
            <w:pPr>
              <w:pStyle w:val="Compact"/>
              <w:spacing w:after="40" w:before="40"/>
              <w:jc w:val="left"/>
            </w:pPr>
            <w:r>
              <w:rPr>
                <w:rFonts w:ascii="Cambria" w:hAnsi="Cambria" w:cs="Cambria" w:eastAsia="Cambria"/>
                <w:color w:val="1A1A1A"/>
                <w:sz w:val="18"/>
              </w:rPr>
              <w:t xml:space="preserve">Rapporto beneficio-costo e ritorno sociale riferiti alla stima ottimistica</w:t>
            </w:r>
          </w:p>
        </w:tc>
        <w:tc>
          <w:tcPr>
            <w:shd w:val="clear" w:color="auto" w:fill="F4F1EC"/>
          </w:tcPr>
          <w:p>
            <w:pPr>
              <w:pStyle w:val="Compact"/>
              <w:spacing w:after="40" w:before="40"/>
              <w:jc w:val="left"/>
            </w:pPr>
            <w:r>
              <w:rPr>
                <w:rFonts w:ascii="Cambria" w:hAnsi="Cambria" w:cs="Cambria" w:eastAsia="Cambria"/>
                <w:color w:val="1A1A1A"/>
                <w:sz w:val="18"/>
              </w:rPr>
              <w:t xml:space="preserve">Ricalcolo di rapporto, ritorno e saldo sui valori rivisti</w:t>
            </w:r>
          </w:p>
        </w:tc>
        <w:tc>
          <w:tcPr>
            <w:shd w:val="clear" w:color="auto" w:fill="F4F1EC"/>
          </w:tcPr>
          <w:p>
            <w:pPr>
              <w:pStyle w:val="Compact"/>
              <w:spacing w:after="40" w:before="40"/>
              <w:jc w:val="left"/>
            </w:pPr>
            <w:r>
              <w:rPr>
                <w:rFonts w:ascii="Cambria" w:hAnsi="Cambria" w:cs="Cambria" w:eastAsia="Cambria"/>
                <w:b/>
                <w:bCs/>
                <w:color w:val="1A1A1A"/>
                <w:sz w:val="18"/>
              </w:rPr>
              <w:t xml:space="preserve">Alta</w:t>
            </w:r>
          </w:p>
        </w:tc>
      </w:tr>
    </w:tbl>
    <w:p>
      <w:pPr>
        <w:pStyle w:val="BodyText"/>
      </w:pPr>
      <w:r>
        <w:rPr>
          <w:i/>
          <w:iCs/>
        </w:rPr>
        <w:t xml:space="preserve">Tabella B. Le lacune di riconciliazione economica. La loro chiusura rende l</w:t>
      </w:r>
      <w:r>
        <w:rPr>
          <w:b/>
          <w:bCs/>
          <w:i/>
          <w:iCs/>
        </w:rPr>
        <w:t xml:space="preserve">’</w:t>
      </w:r>
      <w:r>
        <w:rPr>
          <w:i/>
          <w:iCs/>
        </w:rPr>
        <w:t xml:space="preserve">intero impianto coerente e difendibile.</w:t>
      </w:r>
    </w:p>
    <w:bookmarkEnd w:id="1075"/>
    <w:bookmarkStart w:id="1077" w:name="Xea1bd2f64d17237e67d9b91e111a3fb12e2a685"/>
    <w:p>
      <w:pPr>
        <w:pStyle w:val="Heading2"/>
      </w:pPr>
      <w:r>
        <w:t xml:space="preserve">C. Lacune di baseline e di attivazione della misurazione</w:t>
      </w:r>
    </w:p>
    <w:p>
      <w:pPr>
        <w:pStyle w:val="FirstParagraph"/>
      </w:pPr>
      <w:r>
        <w:t xml:space="preserve">Il sistema di misurazione è interamente progettato: il sistema di monitoraggio distingue indicatori di struttura, processo, esito e impatto, e la batteria di indicatori ne articola circa sessanta. Tuttavia, dei circa sessanta indicatori solo una parte — quelli demografici, epidemiologici e di benessere — è oggi misurabile dalle statistiche correnti; gli altri, circa quaranta, richiedono che il servizio inizi a rilevarli dall’avvio.</w:t>
      </w:r>
      <w:r>
        <w:rPr>
          <w:rStyle w:val="FootnoteReference"/>
        </w:rPr>
        <w:footnoteReference w:id="440"/>
      </w:r>
      <w:r>
        <w:t xml:space="preserve"> </w:t>
      </w:r>
      <w:r>
        <w:t xml:space="preserve">Finché questa rilevazione non parte, l’edificio della misurazione resta sulla carta: non è possibile calcolare né il tasso di recupero né le misure di sintesi senza i punteggi di esito raccolti a ogni seduta.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Lacuna</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attuale nel progetto</w:t>
            </w:r>
          </w:p>
        </w:tc>
        <w:tc>
          <w:tcPr>
            <w:shd w:val="clear" w:color="auto" w:fill="16264B"/>
          </w:tcPr>
          <w:p>
            <w:pPr>
              <w:pStyle w:val="Compact"/>
              <w:spacing w:after="40" w:before="40"/>
              <w:jc w:val="left"/>
            </w:pPr>
            <w:r>
              <w:rPr>
                <w:rFonts w:ascii="Cambria" w:hAnsi="Cambria" w:cs="Cambria" w:eastAsia="Cambria"/>
                <w:b/>
                <w:bCs/>
                <w:color w:val="FFFFFF"/>
                <w:sz w:val="18"/>
              </w:rPr>
              <w:t xml:space="preserve">Come si colma</w:t>
            </w:r>
          </w:p>
        </w:tc>
        <w:tc>
          <w:tcPr>
            <w:shd w:val="clear" w:color="auto" w:fill="16264B"/>
          </w:tcPr>
          <w:p>
            <w:pPr>
              <w:pStyle w:val="Compact"/>
              <w:spacing w:after="40" w:before="40"/>
              <w:jc w:val="left"/>
            </w:pPr>
            <w:r>
              <w:rPr>
                <w:rFonts w:ascii="Cambria" w:hAnsi="Cambria" w:cs="Cambria" w:eastAsia="Cambria"/>
                <w:b/>
                <w:bCs/>
                <w:color w:val="FFFFFF"/>
                <w:sz w:val="18"/>
              </w:rPr>
              <w:t xml:space="preserve">Priorità</w:t>
            </w:r>
          </w:p>
        </w:tc>
      </w:tr>
      <w:tr>
        <w:tc>
          <w:tcPr/>
          <w:p>
            <w:pPr>
              <w:pStyle w:val="Compact"/>
              <w:spacing w:after="40" w:before="40"/>
              <w:jc w:val="left"/>
            </w:pPr>
            <w:r>
              <w:rPr>
                <w:rFonts w:ascii="Cambria" w:hAnsi="Cambria" w:cs="Cambria" w:eastAsia="Cambria"/>
                <w:b/>
                <w:bCs/>
                <w:color w:val="1A1A1A"/>
                <w:sz w:val="18"/>
              </w:rPr>
              <w:t xml:space="preserve">Protocollo minimo di rilevazione</w:t>
            </w:r>
          </w:p>
        </w:tc>
        <w:tc>
          <w:tcPr/>
          <w:p>
            <w:pPr>
              <w:pStyle w:val="Compact"/>
              <w:spacing w:after="40" w:before="40"/>
              <w:jc w:val="left"/>
            </w:pPr>
            <w:r>
              <w:rPr>
                <w:rFonts w:ascii="Cambria" w:hAnsi="Cambria" w:cs="Cambria" w:eastAsia="Cambria"/>
                <w:color w:val="1A1A1A"/>
                <w:sz w:val="18"/>
              </w:rPr>
              <w:t xml:space="preserve">Disegnato nella Fase 4, non ancora attivato</w:t>
            </w:r>
          </w:p>
        </w:tc>
        <w:tc>
          <w:tcPr/>
          <w:p>
            <w:pPr>
              <w:pStyle w:val="Compact"/>
              <w:spacing w:after="40" w:before="40"/>
              <w:jc w:val="left"/>
            </w:pPr>
            <w:r>
              <w:rPr>
                <w:rFonts w:ascii="Cambria" w:hAnsi="Cambria" w:cs="Cambria" w:eastAsia="Cambria"/>
                <w:color w:val="1A1A1A"/>
                <w:sz w:val="18"/>
              </w:rPr>
              <w:t xml:space="preserve">Attivazione all’avvio: prese in carico, sedute, invii e restituzioni</w:t>
            </w:r>
          </w:p>
        </w:tc>
        <w:tc>
          <w:tcPr/>
          <w:p>
            <w:pPr>
              <w:pStyle w:val="Compact"/>
              <w:spacing w:after="40" w:before="40"/>
              <w:jc w:val="left"/>
            </w:pPr>
            <w:r>
              <w:rPr>
                <w:rFonts w:ascii="Cambria" w:hAnsi="Cambria" w:cs="Cambria" w:eastAsia="Cambria"/>
                <w:b/>
                <w:bCs/>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Misure di esito a ogni seduta (PROM)</w:t>
            </w:r>
          </w:p>
        </w:tc>
        <w:tc>
          <w:tcPr>
            <w:shd w:val="clear" w:color="auto" w:fill="F4F1EC"/>
          </w:tcPr>
          <w:p>
            <w:pPr>
              <w:pStyle w:val="Compact"/>
              <w:spacing w:after="40" w:before="40"/>
              <w:jc w:val="left"/>
            </w:pPr>
            <w:r>
              <w:rPr>
                <w:rFonts w:ascii="Cambria" w:hAnsi="Cambria" w:cs="Cambria" w:eastAsia="Cambria"/>
                <w:color w:val="1A1A1A"/>
                <w:sz w:val="18"/>
              </w:rPr>
              <w:t xml:space="preserve">Previste, non ancora raccolte</w:t>
            </w:r>
          </w:p>
        </w:tc>
        <w:tc>
          <w:tcPr>
            <w:shd w:val="clear" w:color="auto" w:fill="F4F1EC"/>
          </w:tcPr>
          <w:p>
            <w:pPr>
              <w:pStyle w:val="Compact"/>
              <w:spacing w:after="40" w:before="40"/>
              <w:jc w:val="left"/>
            </w:pPr>
            <w:r>
              <w:rPr>
                <w:rFonts w:ascii="Cambria" w:hAnsi="Cambria" w:cs="Cambria" w:eastAsia="Cambria"/>
                <w:color w:val="1A1A1A"/>
                <w:sz w:val="18"/>
              </w:rPr>
              <w:t xml:space="preserve">Adozione dei questionari standardizzati dal primo giorno</w:t>
            </w:r>
          </w:p>
        </w:tc>
        <w:tc>
          <w:tcPr>
            <w:shd w:val="clear" w:color="auto" w:fill="F4F1EC"/>
          </w:tcPr>
          <w:p>
            <w:pPr>
              <w:pStyle w:val="Compact"/>
              <w:spacing w:after="40" w:before="40"/>
              <w:jc w:val="left"/>
            </w:pPr>
            <w:r>
              <w:rPr>
                <w:rFonts w:ascii="Cambria" w:hAnsi="Cambria" w:cs="Cambria" w:eastAsia="Cambria"/>
                <w:b/>
                <w:bCs/>
                <w:color w:val="1A1A1A"/>
                <w:sz w:val="18"/>
              </w:rPr>
              <w:t xml:space="preserve">Alta</w:t>
            </w:r>
          </w:p>
        </w:tc>
      </w:tr>
      <w:tr>
        <w:tc>
          <w:tcPr/>
          <w:p>
            <w:pPr>
              <w:pStyle w:val="Compact"/>
              <w:spacing w:after="40" w:before="40"/>
              <w:jc w:val="left"/>
            </w:pPr>
            <w:r>
              <w:rPr>
                <w:rFonts w:ascii="Cambria" w:hAnsi="Cambria" w:cs="Cambria" w:eastAsia="Cambria"/>
                <w:b/>
                <w:bCs/>
                <w:color w:val="1A1A1A"/>
                <w:sz w:val="18"/>
              </w:rPr>
              <w:t xml:space="preserve">Baseline degli indicatori disponibili</w:t>
            </w:r>
          </w:p>
        </w:tc>
        <w:tc>
          <w:tcPr/>
          <w:p>
            <w:pPr>
              <w:pStyle w:val="Compact"/>
              <w:spacing w:after="40" w:before="40"/>
              <w:jc w:val="left"/>
            </w:pPr>
            <w:r>
              <w:rPr>
                <w:rFonts w:ascii="Cambria" w:hAnsi="Cambria" w:cs="Cambria" w:eastAsia="Cambria"/>
                <w:color w:val="1A1A1A"/>
                <w:sz w:val="18"/>
              </w:rPr>
              <w:t xml:space="preserve">Indicatori identificati, situazione di partenza non costituita</w:t>
            </w:r>
          </w:p>
        </w:tc>
        <w:tc>
          <w:tcPr/>
          <w:p>
            <w:pPr>
              <w:pStyle w:val="Compact"/>
              <w:spacing w:after="40" w:before="40"/>
              <w:jc w:val="left"/>
            </w:pPr>
            <w:r>
              <w:rPr>
                <w:rFonts w:ascii="Cambria" w:hAnsi="Cambria" w:cs="Cambria" w:eastAsia="Cambria"/>
                <w:color w:val="1A1A1A"/>
                <w:sz w:val="18"/>
              </w:rPr>
              <w:t xml:space="preserve">Costituzione subito con i dati ISTAT, SISM e AIFA esistenti</w:t>
            </w:r>
          </w:p>
        </w:tc>
        <w:tc>
          <w:tcPr/>
          <w:p>
            <w:pPr>
              <w:pStyle w:val="Compact"/>
              <w:spacing w:after="40" w:before="40"/>
              <w:jc w:val="left"/>
            </w:pPr>
            <w:r>
              <w:rPr>
                <w:rFonts w:ascii="Cambria" w:hAnsi="Cambria" w:cs="Cambria" w:eastAsia="Cambria"/>
                <w:b/>
                <w:bCs/>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Indicatori di servizio</w:t>
            </w:r>
            <w:r>
              <w:rPr>
                <w:rFonts w:ascii="Cambria" w:hAnsi="Cambria" w:cs="Cambria" w:eastAsia="Cambria"/>
                <w:b/>
                <w:bCs/>
                <w:color w:val="1A1A1A"/>
                <w:sz w:val="18"/>
              </w:rPr>
              <w:t xml:space="preserve"> </w:t>
            </w:r>
            <w:r>
              <w:rPr>
                <w:rFonts w:ascii="Cambria" w:hAnsi="Cambria" w:cs="Cambria" w:eastAsia="Cambria"/>
                <w:b/>
                <w:bCs/>
                <w:color w:val="1A1A1A"/>
                <w:sz w:val="18"/>
              </w:rPr>
              <w:t xml:space="preserve">‘</w:t>
            </w:r>
            <w:r>
              <w:rPr>
                <w:rFonts w:ascii="Cambria" w:hAnsi="Cambria" w:cs="Cambria" w:eastAsia="Cambria"/>
                <w:b/>
                <w:bCs/>
                <w:color w:val="1A1A1A"/>
                <w:sz w:val="18"/>
              </w:rPr>
              <w:t xml:space="preserve">****da rilevare****</w:t>
            </w:r>
            <w:r>
              <w:rPr>
                <w:rFonts w:ascii="Cambria" w:hAnsi="Cambria" w:cs="Cambria" w:eastAsia="Cambria"/>
                <w:b/>
                <w:bCs/>
                <w:color w:val="1A1A1A"/>
                <w:sz w:val="18"/>
              </w:rPr>
              <w:t xml:space="preserve">’</w:t>
            </w:r>
            <w:r>
              <w:rPr>
                <w:rFonts w:ascii="Cambria" w:hAnsi="Cambria" w:cs="Cambria" w:eastAsia="Cambria"/>
                <w:color w:val="1A1A1A"/>
                <w:sz w:val="18"/>
              </w:rPr>
              <w:t xml:space="preserve">** (circa 40)**</w:t>
            </w:r>
          </w:p>
        </w:tc>
        <w:tc>
          <w:tcPr>
            <w:shd w:val="clear" w:color="auto" w:fill="F4F1EC"/>
          </w:tcPr>
          <w:p>
            <w:pPr>
              <w:pStyle w:val="Compact"/>
              <w:spacing w:after="40" w:before="40"/>
              <w:jc w:val="left"/>
            </w:pPr>
            <w:r>
              <w:rPr>
                <w:rFonts w:ascii="Cambria" w:hAnsi="Cambria" w:cs="Cambria" w:eastAsia="Cambria"/>
                <w:color w:val="1A1A1A"/>
                <w:sz w:val="18"/>
              </w:rPr>
              <w:t xml:space="preserve">Definiti nella batteria, privi di valore di partenza</w:t>
            </w:r>
          </w:p>
        </w:tc>
        <w:tc>
          <w:tcPr>
            <w:shd w:val="clear" w:color="auto" w:fill="F4F1EC"/>
          </w:tcPr>
          <w:p>
            <w:pPr>
              <w:pStyle w:val="Compact"/>
              <w:spacing w:after="40" w:before="40"/>
              <w:jc w:val="left"/>
            </w:pPr>
            <w:r>
              <w:rPr>
                <w:rFonts w:ascii="Cambria" w:hAnsi="Cambria" w:cs="Cambria" w:eastAsia="Cambria"/>
                <w:color w:val="1A1A1A"/>
                <w:sz w:val="18"/>
              </w:rPr>
              <w:t xml:space="preserve">Sistema informativo del servizio operativo dall’avvio</w:t>
            </w:r>
          </w:p>
        </w:tc>
        <w:tc>
          <w:tcPr>
            <w:shd w:val="clear" w:color="auto" w:fill="F4F1EC"/>
          </w:tcPr>
          <w:p>
            <w:pPr>
              <w:pStyle w:val="Compact"/>
              <w:spacing w:after="40" w:before="40"/>
              <w:jc w:val="left"/>
            </w:pPr>
            <w:r>
              <w:rPr>
                <w:rFonts w:ascii="Cambria" w:hAnsi="Cambria" w:cs="Cambria" w:eastAsia="Cambria"/>
                <w:b/>
                <w:bCs/>
                <w:color w:val="1A1A1A"/>
                <w:sz w:val="18"/>
              </w:rPr>
              <w:t xml:space="preserve">Alta</w:t>
            </w:r>
          </w:p>
        </w:tc>
      </w:tr>
    </w:tbl>
    <w:p>
      <w:pPr>
        <w:pStyle w:val="BodyText"/>
      </w:pPr>
      <w:r>
        <w:rPr>
          <w:i/>
          <w:iCs/>
        </w:rPr>
        <w:t xml:space="preserve">Tabella C. Le lacune di attivazione della misurazione. Sono pochi dati, ma da essi dipende l</w:t>
      </w:r>
      <w:r>
        <w:rPr>
          <w:b/>
          <w:bCs/>
          <w:i/>
          <w:iCs/>
        </w:rPr>
        <w:t xml:space="preserve">’</w:t>
      </w:r>
      <w:r>
        <w:rPr>
          <w:i/>
          <w:iCs/>
        </w:rPr>
        <w:t xml:space="preserve">intera valutazione.</w:t>
      </w:r>
    </w:p>
    <w:bookmarkEnd w:id="1077"/>
    <w:bookmarkStart w:id="1079" w:name="X160e71ec20d90d9ae466ba64d05ce0dff516bf8"/>
    <w:p>
      <w:pPr>
        <w:pStyle w:val="Heading2"/>
      </w:pPr>
      <w:r>
        <w:t xml:space="preserve">D. Lacune di validazione empirica ed ex post</w:t>
      </w:r>
    </w:p>
    <w:p>
      <w:pPr>
        <w:pStyle w:val="FirstParagraph"/>
      </w:pPr>
      <w:r>
        <w:t xml:space="preserve">Una parte di queste lacune è incolmabile prima dell’avvio del servizio, e ciò è nella natura delle cose: tutte le analisi prodotte sono ex ante, ossia proiezioni dell’effetto atteso. La conferma controfattuale, fondata sul confronto tra aree attivate in tempi diversi, potrà misurare l’effetto reale soltanto a servizio avviato. È tuttavia possibile, e opportuno, compiere fin da subito un passo analitico: il calcolo del valore dell’informazione, che quantifica quanto valga ridurre l’incertezza di ciascun parametro e indica quali dati conviene raccogliere per primi.</w:t>
      </w:r>
      <w:r>
        <w:rPr>
          <w:rStyle w:val="FootnoteReference"/>
        </w:rPr>
        <w:footnoteReference w:id="441"/>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Lacuna</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attuale nel progetto</w:t>
            </w:r>
          </w:p>
        </w:tc>
        <w:tc>
          <w:tcPr>
            <w:shd w:val="clear" w:color="auto" w:fill="16264B"/>
          </w:tcPr>
          <w:p>
            <w:pPr>
              <w:pStyle w:val="Compact"/>
              <w:spacing w:after="40" w:before="40"/>
              <w:jc w:val="left"/>
            </w:pPr>
            <w:r>
              <w:rPr>
                <w:rFonts w:ascii="Cambria" w:hAnsi="Cambria" w:cs="Cambria" w:eastAsia="Cambria"/>
                <w:b/>
                <w:bCs/>
                <w:color w:val="FFFFFF"/>
                <w:sz w:val="18"/>
              </w:rPr>
              <w:t xml:space="preserve">Come si colma</w:t>
            </w:r>
          </w:p>
        </w:tc>
        <w:tc>
          <w:tcPr>
            <w:shd w:val="clear" w:color="auto" w:fill="16264B"/>
          </w:tcPr>
          <w:p>
            <w:pPr>
              <w:pStyle w:val="Compact"/>
              <w:spacing w:after="40" w:before="40"/>
              <w:jc w:val="left"/>
            </w:pPr>
            <w:r>
              <w:rPr>
                <w:rFonts w:ascii="Cambria" w:hAnsi="Cambria" w:cs="Cambria" w:eastAsia="Cambria"/>
                <w:b/>
                <w:bCs/>
                <w:color w:val="FFFFFF"/>
                <w:sz w:val="18"/>
              </w:rPr>
              <w:t xml:space="preserve">Priorità</w:t>
            </w:r>
          </w:p>
        </w:tc>
      </w:tr>
      <w:tr>
        <w:tc>
          <w:tcPr/>
          <w:p>
            <w:pPr>
              <w:pStyle w:val="Compact"/>
              <w:spacing w:after="40" w:before="40"/>
              <w:jc w:val="left"/>
            </w:pPr>
            <w:r>
              <w:rPr>
                <w:rFonts w:ascii="Cambria" w:hAnsi="Cambria" w:cs="Cambria" w:eastAsia="Cambria"/>
                <w:b/>
                <w:bCs/>
                <w:color w:val="1A1A1A"/>
                <w:sz w:val="18"/>
              </w:rPr>
              <w:t xml:space="preserve">Conferma controfattuale (dispiegamento scaglionato)</w:t>
            </w:r>
          </w:p>
        </w:tc>
        <w:tc>
          <w:tcPr/>
          <w:p>
            <w:pPr>
              <w:pStyle w:val="Compact"/>
              <w:spacing w:after="40" w:before="40"/>
              <w:jc w:val="left"/>
            </w:pPr>
            <w:r>
              <w:rPr>
                <w:rFonts w:ascii="Cambria" w:hAnsi="Cambria" w:cs="Cambria" w:eastAsia="Cambria"/>
                <w:color w:val="1A1A1A"/>
                <w:sz w:val="18"/>
              </w:rPr>
              <w:t xml:space="preserve">Disegnata nella Fase 4; non eseguibile prima dell’avvio</w:t>
            </w:r>
          </w:p>
        </w:tc>
        <w:tc>
          <w:tcPr/>
          <w:p>
            <w:pPr>
              <w:pStyle w:val="Compact"/>
              <w:spacing w:after="40" w:before="40"/>
              <w:jc w:val="left"/>
            </w:pPr>
            <w:r>
              <w:rPr>
                <w:rFonts w:ascii="Cambria" w:hAnsi="Cambria" w:cs="Cambria" w:eastAsia="Cambria"/>
                <w:color w:val="1A1A1A"/>
                <w:sz w:val="18"/>
              </w:rPr>
              <w:t xml:space="preserve">Esecuzione a servizio attivo, per confronti successivi tra aree</w:t>
            </w:r>
          </w:p>
        </w:tc>
        <w:tc>
          <w:tcPr/>
          <w:p>
            <w:pPr>
              <w:pStyle w:val="Compact"/>
              <w:spacing w:after="40" w:before="40"/>
              <w:jc w:val="left"/>
            </w:pPr>
            <w:r>
              <w:rPr>
                <w:rFonts w:ascii="Cambria" w:hAnsi="Cambria" w:cs="Cambria" w:eastAsia="Cambria"/>
                <w:b/>
                <w:bCs/>
                <w:color w:val="1A1A1A"/>
                <w:sz w:val="18"/>
              </w:rPr>
              <w:t xml:space="preserve">Media (diff.)</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del valore dell’informazione</w:t>
            </w:r>
          </w:p>
        </w:tc>
        <w:tc>
          <w:tcPr>
            <w:shd w:val="clear" w:color="auto" w:fill="F4F1EC"/>
          </w:tcPr>
          <w:p>
            <w:pPr>
              <w:pStyle w:val="Compact"/>
              <w:spacing w:after="40" w:before="40"/>
              <w:jc w:val="left"/>
            </w:pPr>
            <w:r>
              <w:rPr>
                <w:rFonts w:ascii="Cambria" w:hAnsi="Cambria" w:cs="Cambria" w:eastAsia="Cambria"/>
                <w:color w:val="1A1A1A"/>
                <w:sz w:val="18"/>
              </w:rPr>
              <w:t xml:space="preserve">Metodo descritto, non calcolato sui parametri pugliesi</w:t>
            </w:r>
          </w:p>
        </w:tc>
        <w:tc>
          <w:tcPr>
            <w:shd w:val="clear" w:color="auto" w:fill="F4F1EC"/>
          </w:tcPr>
          <w:p>
            <w:pPr>
              <w:pStyle w:val="Compact"/>
              <w:spacing w:after="40" w:before="40"/>
              <w:jc w:val="left"/>
            </w:pPr>
            <w:r>
              <w:rPr>
                <w:rFonts w:ascii="Cambria" w:hAnsi="Cambria" w:cs="Cambria" w:eastAsia="Cambria"/>
                <w:color w:val="1A1A1A"/>
                <w:sz w:val="18"/>
              </w:rPr>
              <w:t xml:space="preserve">Calcolo per stabilire l’ordine di priorità della raccolta</w:t>
            </w:r>
          </w:p>
        </w:tc>
        <w:tc>
          <w:tcPr>
            <w:shd w:val="clear" w:color="auto" w:fill="F4F1EC"/>
          </w:tcPr>
          <w:p>
            <w:pPr>
              <w:pStyle w:val="Compact"/>
              <w:spacing w:after="40" w:before="40"/>
              <w:jc w:val="left"/>
            </w:pPr>
            <w:r>
              <w:rPr>
                <w:rFonts w:ascii="Cambria" w:hAnsi="Cambria" w:cs="Cambria" w:eastAsia="Cambria"/>
                <w:b/>
                <w:bCs/>
                <w:color w:val="1A1A1A"/>
                <w:sz w:val="18"/>
              </w:rPr>
              <w:t xml:space="preserve">Media</w:t>
            </w:r>
          </w:p>
        </w:tc>
      </w:tr>
      <w:tr>
        <w:tc>
          <w:tcPr/>
          <w:p>
            <w:pPr>
              <w:pStyle w:val="Compact"/>
              <w:spacing w:after="40" w:before="40"/>
              <w:jc w:val="left"/>
            </w:pPr>
            <w:r>
              <w:rPr>
                <w:rFonts w:ascii="Cambria" w:hAnsi="Cambria" w:cs="Cambria" w:eastAsia="Cambria"/>
                <w:b/>
                <w:bCs/>
                <w:color w:val="1A1A1A"/>
                <w:sz w:val="18"/>
              </w:rPr>
              <w:t xml:space="preserve">Verifica ex post (VIR)</w:t>
            </w:r>
          </w:p>
        </w:tc>
        <w:tc>
          <w:tcPr/>
          <w:p>
            <w:pPr>
              <w:pStyle w:val="Compact"/>
              <w:spacing w:after="40" w:before="40"/>
              <w:jc w:val="left"/>
            </w:pPr>
            <w:r>
              <w:rPr>
                <w:rFonts w:ascii="Cambria" w:hAnsi="Cambria" w:cs="Cambria" w:eastAsia="Cambria"/>
                <w:color w:val="1A1A1A"/>
                <w:sz w:val="18"/>
              </w:rPr>
              <w:t xml:space="preserve">Prevista dalla clausola valutativa biennale</w:t>
            </w:r>
          </w:p>
        </w:tc>
        <w:tc>
          <w:tcPr/>
          <w:p>
            <w:pPr>
              <w:pStyle w:val="Compact"/>
              <w:spacing w:after="40" w:before="40"/>
              <w:jc w:val="left"/>
            </w:pPr>
            <w:r>
              <w:rPr>
                <w:rFonts w:ascii="Cambria" w:hAnsi="Cambria" w:cs="Cambria" w:eastAsia="Cambria"/>
                <w:color w:val="1A1A1A"/>
                <w:sz w:val="18"/>
              </w:rPr>
              <w:t xml:space="preserve">Esecuzione a regime, sui risultati conseguiti</w:t>
            </w:r>
          </w:p>
        </w:tc>
        <w:tc>
          <w:tcPr/>
          <w:p>
            <w:pPr>
              <w:pStyle w:val="Compact"/>
              <w:spacing w:after="40" w:before="40"/>
              <w:jc w:val="left"/>
            </w:pPr>
            <w:r>
              <w:rPr>
                <w:rFonts w:ascii="Cambria" w:hAnsi="Cambria" w:cs="Cambria" w:eastAsia="Cambria"/>
                <w:b/>
                <w:bCs/>
                <w:color w:val="1A1A1A"/>
                <w:sz w:val="18"/>
              </w:rPr>
              <w:t xml:space="preserve">Bassa</w:t>
            </w:r>
          </w:p>
        </w:tc>
      </w:tr>
    </w:tbl>
    <w:p>
      <w:pPr>
        <w:pStyle w:val="BodyText"/>
      </w:pPr>
      <w:r>
        <w:rPr>
          <w:i/>
          <w:iCs/>
        </w:rPr>
        <w:t xml:space="preserve">Tabella D. Le lacune di validazione. La conferma definitiva è differita per natura; il valore dell</w:t>
      </w:r>
      <w:r>
        <w:rPr>
          <w:b/>
          <w:bCs/>
          <w:i/>
          <w:iCs/>
        </w:rPr>
        <w:t xml:space="preserve">’</w:t>
      </w:r>
      <w:r>
        <w:rPr>
          <w:i/>
          <w:iCs/>
        </w:rPr>
        <w:t xml:space="preserve">informazione è invece calcolabile subito.</w:t>
      </w:r>
    </w:p>
    <w:bookmarkEnd w:id="1079"/>
    <w:bookmarkStart w:id="1082" w:name="e.-lacune-di-specificazione-operativa"/>
    <w:p>
      <w:pPr>
        <w:pStyle w:val="Heading2"/>
      </w:pPr>
      <w:r>
        <w:t xml:space="preserve">E. Lacune di specificazione operativa</w:t>
      </w:r>
    </w:p>
    <w:p>
      <w:pPr>
        <w:pStyle w:val="FirstParagraph"/>
      </w:pPr>
      <w:r>
        <w:t xml:space="preserve">Alcuni elementi attuativi sono enunciati come principio nei testi normativi, ma restano da definire nel dettaglio. La legge prevede l’impiego di strumenti di valutazione e di misure di esito standardizzate, ma il protocollo clinico operativo — quali strumenti, con quali soglie, con quali criteri di intensificazione e con quale tetto di sedute — va finalizzato in un atto attuativo; analogamente la tariffa della convenzione, da cui dipende il costo puntuale per professionista, e la specifica del sistema informativo.</w:t>
      </w:r>
      <w:r>
        <w:rPr>
          <w:rStyle w:val="FootnoteReference"/>
        </w:rPr>
        <w:footnoteReference w:id="442"/>
      </w:r>
      <w:r>
        <w:t xml:space="preserve"> </w:t>
      </w:r>
      <w:r>
        <w:t xml:space="preserve">L’elenco degli strumenti di IA e dei dispositivi digitali ammessi è rinviato a un decreto, e ogni strumento di natura clinica andrà sottoposto a validazione locale, come richiede la disciplina europea data la limitata evidenza randomizzata disponibile.</w:t>
      </w:r>
      <w:r>
        <w:rPr>
          <w:rStyle w:val="FootnoteReference"/>
        </w:rPr>
        <w:footnoteReference w:id="443"/>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Lacuna</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attuale nel progetto</w:t>
            </w:r>
          </w:p>
        </w:tc>
        <w:tc>
          <w:tcPr>
            <w:shd w:val="clear" w:color="auto" w:fill="16264B"/>
          </w:tcPr>
          <w:p>
            <w:pPr>
              <w:pStyle w:val="Compact"/>
              <w:spacing w:after="40" w:before="40"/>
              <w:jc w:val="left"/>
            </w:pPr>
            <w:r>
              <w:rPr>
                <w:rFonts w:ascii="Cambria" w:hAnsi="Cambria" w:cs="Cambria" w:eastAsia="Cambria"/>
                <w:b/>
                <w:bCs/>
                <w:color w:val="FFFFFF"/>
                <w:sz w:val="18"/>
              </w:rPr>
              <w:t xml:space="preserve">Come si colma</w:t>
            </w:r>
          </w:p>
        </w:tc>
        <w:tc>
          <w:tcPr>
            <w:shd w:val="clear" w:color="auto" w:fill="16264B"/>
          </w:tcPr>
          <w:p>
            <w:pPr>
              <w:pStyle w:val="Compact"/>
              <w:spacing w:after="40" w:before="40"/>
              <w:jc w:val="left"/>
            </w:pPr>
            <w:r>
              <w:rPr>
                <w:rFonts w:ascii="Cambria" w:hAnsi="Cambria" w:cs="Cambria" w:eastAsia="Cambria"/>
                <w:b/>
                <w:bCs/>
                <w:color w:val="FFFFFF"/>
                <w:sz w:val="18"/>
              </w:rPr>
              <w:t xml:space="preserve">Priorità</w:t>
            </w:r>
          </w:p>
        </w:tc>
      </w:tr>
      <w:tr>
        <w:tc>
          <w:tcPr/>
          <w:p>
            <w:pPr>
              <w:pStyle w:val="Compact"/>
              <w:spacing w:after="40" w:before="40"/>
              <w:jc w:val="left"/>
            </w:pPr>
            <w:r>
              <w:rPr>
                <w:rFonts w:ascii="Cambria" w:hAnsi="Cambria" w:cs="Cambria" w:eastAsia="Cambria"/>
                <w:b/>
                <w:bCs/>
                <w:color w:val="1A1A1A"/>
                <w:sz w:val="18"/>
              </w:rPr>
              <w:t xml:space="preserve">Protocollo clinico (strumenti, soglie, stepped care, tetto sedute)</w:t>
            </w:r>
          </w:p>
        </w:tc>
        <w:tc>
          <w:tcPr/>
          <w:p>
            <w:pPr>
              <w:pStyle w:val="Compact"/>
              <w:spacing w:after="40" w:before="40"/>
              <w:jc w:val="left"/>
            </w:pPr>
            <w:r>
              <w:rPr>
                <w:rFonts w:ascii="Cambria" w:hAnsi="Cambria" w:cs="Cambria" w:eastAsia="Cambria"/>
                <w:color w:val="1A1A1A"/>
                <w:sz w:val="18"/>
              </w:rPr>
              <w:t xml:space="preserve">Principio nella legge (</w:t>
            </w:r>
            <w:r>
              <w:rPr>
                <w:rFonts w:ascii="Cambria" w:hAnsi="Cambria" w:cs="Cambria" w:eastAsia="Cambria"/>
                <w:color w:val="1A1A1A"/>
                <w:sz w:val="18"/>
              </w:rPr>
              <w:t xml:space="preserve">‘</w:t>
            </w:r>
            <w:r>
              <w:rPr>
                <w:rFonts w:ascii="Cambria" w:hAnsi="Cambria" w:cs="Cambria" w:eastAsia="Cambria"/>
                <w:color w:val="1A1A1A"/>
                <w:sz w:val="18"/>
              </w:rPr>
              <w:t xml:space="preserve">strumenti standardizzati</w:t>
            </w:r>
            <w:r>
              <w:rPr>
                <w:rFonts w:ascii="Cambria" w:hAnsi="Cambria" w:cs="Cambria" w:eastAsia="Cambria"/>
                <w:color w:val="1A1A1A"/>
                <w:sz w:val="18"/>
              </w:rPr>
              <w:t xml:space="preserve">’</w:t>
            </w: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Atto attuativo con soglie e percorsi definiti</w:t>
            </w:r>
          </w:p>
        </w:tc>
        <w:tc>
          <w:tcPr/>
          <w:p>
            <w:pPr>
              <w:pStyle w:val="Compact"/>
              <w:spacing w:after="40" w:before="40"/>
              <w:jc w:val="left"/>
            </w:pPr>
            <w:r>
              <w:rPr>
                <w:rFonts w:ascii="Cambria" w:hAnsi="Cambria" w:cs="Cambria" w:eastAsia="Cambria"/>
                <w:b/>
                <w:bCs/>
                <w:color w:val="1A1A1A"/>
                <w:sz w:val="18"/>
              </w:rPr>
              <w:t xml:space="preserve">Media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contrattuale e tariffa della convenzione</w:t>
            </w:r>
          </w:p>
        </w:tc>
        <w:tc>
          <w:tcPr>
            <w:shd w:val="clear" w:color="auto" w:fill="F4F1EC"/>
          </w:tcPr>
          <w:p>
            <w:pPr>
              <w:pStyle w:val="Compact"/>
              <w:spacing w:after="40" w:before="40"/>
              <w:jc w:val="left"/>
            </w:pPr>
            <w:r>
              <w:rPr>
                <w:rFonts w:ascii="Cambria" w:hAnsi="Cambria" w:cs="Cambria" w:eastAsia="Cambria"/>
                <w:color w:val="1A1A1A"/>
                <w:sz w:val="18"/>
              </w:rPr>
              <w:t xml:space="preserve">Convenzione prevista; tariffa non definita</w:t>
            </w:r>
          </w:p>
        </w:tc>
        <w:tc>
          <w:tcPr>
            <w:shd w:val="clear" w:color="auto" w:fill="F4F1EC"/>
          </w:tcPr>
          <w:p>
            <w:pPr>
              <w:pStyle w:val="Compact"/>
              <w:spacing w:after="40" w:before="40"/>
              <w:jc w:val="left"/>
            </w:pPr>
            <w:r>
              <w:rPr>
                <w:rFonts w:ascii="Cambria" w:hAnsi="Cambria" w:cs="Cambria" w:eastAsia="Cambria"/>
                <w:color w:val="1A1A1A"/>
                <w:sz w:val="18"/>
              </w:rPr>
              <w:t xml:space="preserve">Definizione della tariffa e del costo puntuale per professionista</w:t>
            </w:r>
          </w:p>
        </w:tc>
        <w:tc>
          <w:tcPr>
            <w:shd w:val="clear" w:color="auto" w:fill="F4F1EC"/>
          </w:tcPr>
          <w:p>
            <w:pPr>
              <w:pStyle w:val="Compact"/>
              <w:spacing w:after="40" w:before="40"/>
              <w:jc w:val="left"/>
            </w:pPr>
            <w:r>
              <w:rPr>
                <w:rFonts w:ascii="Cambria" w:hAnsi="Cambria" w:cs="Cambria" w:eastAsia="Cambria"/>
                <w:b/>
                <w:bCs/>
                <w:color w:val="1A1A1A"/>
                <w:sz w:val="18"/>
              </w:rPr>
              <w:t xml:space="preserve">Media</w:t>
            </w:r>
          </w:p>
        </w:tc>
      </w:tr>
      <w:tr>
        <w:tc>
          <w:tcPr/>
          <w:p>
            <w:pPr>
              <w:pStyle w:val="Compact"/>
              <w:spacing w:after="40" w:before="40"/>
              <w:jc w:val="left"/>
            </w:pPr>
            <w:r>
              <w:rPr>
                <w:rFonts w:ascii="Cambria" w:hAnsi="Cambria" w:cs="Cambria" w:eastAsia="Cambria"/>
                <w:b/>
                <w:bCs/>
                <w:color w:val="1A1A1A"/>
                <w:sz w:val="18"/>
              </w:rPr>
              <w:t xml:space="preserve">Sistema informativo e interoperabilità con il Fascicolo Sanitario</w:t>
            </w:r>
          </w:p>
        </w:tc>
        <w:tc>
          <w:tcPr/>
          <w:p>
            <w:pPr>
              <w:pStyle w:val="Compact"/>
              <w:spacing w:after="40" w:before="40"/>
              <w:jc w:val="left"/>
            </w:pPr>
            <w:r>
              <w:rPr>
                <w:rFonts w:ascii="Cambria" w:hAnsi="Cambria" w:cs="Cambria" w:eastAsia="Cambria"/>
                <w:color w:val="1A1A1A"/>
                <w:sz w:val="18"/>
              </w:rPr>
              <w:t xml:space="preserve">Principio enunciato; specifica assente</w:t>
            </w:r>
          </w:p>
        </w:tc>
        <w:tc>
          <w:tcPr/>
          <w:p>
            <w:pPr>
              <w:pStyle w:val="Compact"/>
              <w:spacing w:after="40" w:before="40"/>
              <w:jc w:val="left"/>
            </w:pPr>
            <w:r>
              <w:rPr>
                <w:rFonts w:ascii="Cambria" w:hAnsi="Cambria" w:cs="Cambria" w:eastAsia="Cambria"/>
                <w:color w:val="1A1A1A"/>
                <w:sz w:val="18"/>
              </w:rPr>
              <w:t xml:space="preserve">Specifica tecnica e integrazione con il Fascicolo</w:t>
            </w:r>
          </w:p>
        </w:tc>
        <w:tc>
          <w:tcPr/>
          <w:p>
            <w:pPr>
              <w:pStyle w:val="Compact"/>
              <w:spacing w:after="40" w:before="40"/>
              <w:jc w:val="left"/>
            </w:pPr>
            <w:r>
              <w:rPr>
                <w:rFonts w:ascii="Cambria" w:hAnsi="Cambria" w:cs="Cambria" w:eastAsia="Cambria"/>
                <w:b/>
                <w:bCs/>
                <w:color w:val="1A1A1A"/>
                <w:sz w:val="18"/>
              </w:rPr>
              <w:t xml:space="preserve">Media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Elenco strumenti IA/DTx ammessi e validazione locale</w:t>
            </w:r>
          </w:p>
        </w:tc>
        <w:tc>
          <w:tcPr>
            <w:shd w:val="clear" w:color="auto" w:fill="F4F1EC"/>
          </w:tcPr>
          <w:p>
            <w:pPr>
              <w:pStyle w:val="Compact"/>
              <w:spacing w:after="40" w:before="40"/>
              <w:jc w:val="left"/>
            </w:pPr>
            <w:r>
              <w:rPr>
                <w:rFonts w:ascii="Cambria" w:hAnsi="Cambria" w:cs="Cambria" w:eastAsia="Cambria"/>
                <w:color w:val="1A1A1A"/>
                <w:sz w:val="18"/>
              </w:rPr>
              <w:t xml:space="preserve">Rinviato a decreto</w:t>
            </w:r>
          </w:p>
        </w:tc>
        <w:tc>
          <w:tcPr>
            <w:shd w:val="clear" w:color="auto" w:fill="F4F1EC"/>
          </w:tcPr>
          <w:p>
            <w:pPr>
              <w:pStyle w:val="Compact"/>
              <w:spacing w:after="40" w:before="40"/>
              <w:jc w:val="left"/>
            </w:pPr>
            <w:r>
              <w:rPr>
                <w:rFonts w:ascii="Cambria" w:hAnsi="Cambria" w:cs="Cambria" w:eastAsia="Cambria"/>
                <w:color w:val="1A1A1A"/>
                <w:sz w:val="18"/>
              </w:rPr>
              <w:t xml:space="preserve">Elenco con criteri di evidenza e protocollo di validazione locale</w:t>
            </w:r>
          </w:p>
        </w:tc>
        <w:tc>
          <w:tcPr>
            <w:shd w:val="clear" w:color="auto" w:fill="F4F1EC"/>
          </w:tcPr>
          <w:p>
            <w:pPr>
              <w:pStyle w:val="Compact"/>
              <w:spacing w:after="40" w:before="40"/>
              <w:jc w:val="left"/>
            </w:pPr>
            <w:r>
              <w:rPr>
                <w:rFonts w:ascii="Cambria" w:hAnsi="Cambria" w:cs="Cambria" w:eastAsia="Cambria"/>
                <w:b/>
                <w:bCs/>
                <w:color w:val="1A1A1A"/>
                <w:sz w:val="18"/>
              </w:rPr>
              <w:t xml:space="preserve">Media</w:t>
            </w:r>
          </w:p>
        </w:tc>
      </w:tr>
    </w:tbl>
    <w:p>
      <w:pPr>
        <w:pStyle w:val="BodyText"/>
      </w:pPr>
      <w:r>
        <w:rPr>
          <w:i/>
          <w:iCs/>
        </w:rPr>
        <w:t xml:space="preserve">Tabella E. Le lacune di specificazione operativa, da colmare negli atti attuativi della riforma.</w:t>
      </w:r>
    </w:p>
    <w:bookmarkEnd w:id="1082"/>
    <w:bookmarkStart w:id="1084" w:name="f.-lacune-di-coerenza-documentale"/>
    <w:p>
      <w:pPr>
        <w:pStyle w:val="Heading2"/>
      </w:pPr>
      <w:r>
        <w:t xml:space="preserve">F. Lacune di coerenza documentale</w:t>
      </w:r>
    </w:p>
    <w:p>
      <w:pPr>
        <w:pStyle w:val="FirstParagraph"/>
      </w:pPr>
      <w:r>
        <w:t xml:space="preserve">Le revisioni introdotte — in particolare la quantificazione su dati primari e la distinzione tra risparmio diretto e ricaduta sociale — hanno generato, com’è fisiologico, cifre divergenti tra i diversi documenti del corpus. Prima di una presentazione esterna è necessario armonizzarle e dotare il progetto di una tabella unica consolidata dei valori, che funga da fonte unica di verità per costi, risparmi e saldo, accompagnata da una nota che dia conto dell’aggiornamento.</w:t>
      </w:r>
      <w:r>
        <w:rPr>
          <w:rStyle w:val="FootnoteReference"/>
        </w:rPr>
        <w:footnoteReference w:id="444"/>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Lacuna</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attuale nel progetto</w:t>
            </w:r>
          </w:p>
        </w:tc>
        <w:tc>
          <w:tcPr>
            <w:shd w:val="clear" w:color="auto" w:fill="16264B"/>
          </w:tcPr>
          <w:p>
            <w:pPr>
              <w:pStyle w:val="Compact"/>
              <w:spacing w:after="40" w:before="40"/>
              <w:jc w:val="left"/>
            </w:pPr>
            <w:r>
              <w:rPr>
                <w:rFonts w:ascii="Cambria" w:hAnsi="Cambria" w:cs="Cambria" w:eastAsia="Cambria"/>
                <w:b/>
                <w:bCs/>
                <w:color w:val="FFFFFF"/>
                <w:sz w:val="18"/>
              </w:rPr>
              <w:t xml:space="preserve">Come si colma</w:t>
            </w:r>
          </w:p>
        </w:tc>
        <w:tc>
          <w:tcPr>
            <w:shd w:val="clear" w:color="auto" w:fill="16264B"/>
          </w:tcPr>
          <w:p>
            <w:pPr>
              <w:pStyle w:val="Compact"/>
              <w:spacing w:after="40" w:before="40"/>
              <w:jc w:val="left"/>
            </w:pPr>
            <w:r>
              <w:rPr>
                <w:rFonts w:ascii="Cambria" w:hAnsi="Cambria" w:cs="Cambria" w:eastAsia="Cambria"/>
                <w:b/>
                <w:bCs/>
                <w:color w:val="FFFFFF"/>
                <w:sz w:val="18"/>
              </w:rPr>
              <w:t xml:space="preserve">Priorità</w:t>
            </w:r>
          </w:p>
        </w:tc>
      </w:tr>
      <w:tr>
        <w:tc>
          <w:tcPr/>
          <w:p>
            <w:pPr>
              <w:pStyle w:val="Compact"/>
              <w:spacing w:after="40" w:before="40"/>
              <w:jc w:val="left"/>
            </w:pPr>
            <w:r>
              <w:rPr>
                <w:rFonts w:ascii="Cambria" w:hAnsi="Cambria" w:cs="Cambria" w:eastAsia="Cambria"/>
                <w:b/>
                <w:bCs/>
                <w:color w:val="1A1A1A"/>
                <w:sz w:val="18"/>
              </w:rPr>
              <w:t xml:space="preserve">Cifre divergenti tra documenti</w:t>
            </w:r>
          </w:p>
        </w:tc>
        <w:tc>
          <w:tcPr/>
          <w:p>
            <w:pPr>
              <w:pStyle w:val="Compact"/>
              <w:spacing w:after="40" w:before="40"/>
              <w:jc w:val="left"/>
            </w:pPr>
            <w:r>
              <w:rPr>
                <w:rFonts w:ascii="Cambria" w:hAnsi="Cambria" w:cs="Cambria" w:eastAsia="Cambria"/>
                <w:color w:val="1A1A1A"/>
                <w:sz w:val="18"/>
              </w:rPr>
              <w:t xml:space="preserve">Più versioni dei valori dopo le revisioni</w:t>
            </w:r>
          </w:p>
        </w:tc>
        <w:tc>
          <w:tcPr/>
          <w:p>
            <w:pPr>
              <w:pStyle w:val="Compact"/>
              <w:spacing w:after="40" w:before="40"/>
              <w:jc w:val="left"/>
            </w:pPr>
            <w:r>
              <w:rPr>
                <w:rFonts w:ascii="Cambria" w:hAnsi="Cambria" w:cs="Cambria" w:eastAsia="Cambria"/>
                <w:color w:val="1A1A1A"/>
                <w:sz w:val="18"/>
              </w:rPr>
              <w:t xml:space="preserve">Armonizzazione e nota di aggiornamento</w:t>
            </w:r>
          </w:p>
        </w:tc>
        <w:tc>
          <w:tcPr/>
          <w:p>
            <w:pPr>
              <w:pStyle w:val="Compact"/>
              <w:spacing w:after="40" w:before="40"/>
              <w:jc w:val="left"/>
            </w:pPr>
            <w:r>
              <w:rPr>
                <w:rFonts w:ascii="Cambria" w:hAnsi="Cambria" w:cs="Cambria" w:eastAsia="Cambria"/>
                <w:b/>
                <w:bCs/>
                <w:color w:val="1A1A1A"/>
                <w:sz w:val="18"/>
              </w:rPr>
              <w:t xml:space="preserve">Media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Tabella unica consolidata dei valori</w:t>
            </w:r>
          </w:p>
        </w:tc>
        <w:tc>
          <w:tcPr>
            <w:shd w:val="clear" w:color="auto" w:fill="F4F1EC"/>
          </w:tcPr>
          <w:p>
            <w:pPr>
              <w:pStyle w:val="Compact"/>
              <w:spacing w:after="40" w:before="40"/>
              <w:jc w:val="left"/>
            </w:pPr>
            <w:r>
              <w:rPr>
                <w:rFonts w:ascii="Cambria" w:hAnsi="Cambria" w:cs="Cambria" w:eastAsia="Cambria"/>
                <w:color w:val="1A1A1A"/>
                <w:sz w:val="18"/>
              </w:rPr>
              <w:t xml:space="preserve">Assente</w:t>
            </w:r>
          </w:p>
        </w:tc>
        <w:tc>
          <w:tcPr>
            <w:shd w:val="clear" w:color="auto" w:fill="F4F1EC"/>
          </w:tcPr>
          <w:p>
            <w:pPr>
              <w:pStyle w:val="Compact"/>
              <w:spacing w:after="40" w:before="40"/>
              <w:jc w:val="left"/>
            </w:pPr>
            <w:r>
              <w:rPr>
                <w:rFonts w:ascii="Cambria" w:hAnsi="Cambria" w:cs="Cambria" w:eastAsia="Cambria"/>
                <w:color w:val="1A1A1A"/>
                <w:sz w:val="18"/>
              </w:rPr>
              <w:t xml:space="preserve">Fonte unica di verità per costi, risparmi e saldo</w:t>
            </w:r>
          </w:p>
        </w:tc>
        <w:tc>
          <w:tcPr>
            <w:shd w:val="clear" w:color="auto" w:fill="F4F1EC"/>
          </w:tcPr>
          <w:p>
            <w:pPr>
              <w:pStyle w:val="Compact"/>
              <w:spacing w:after="40" w:before="40"/>
              <w:jc w:val="left"/>
            </w:pPr>
            <w:r>
              <w:rPr>
                <w:rFonts w:ascii="Cambria" w:hAnsi="Cambria" w:cs="Cambria" w:eastAsia="Cambria"/>
                <w:b/>
                <w:bCs/>
                <w:color w:val="1A1A1A"/>
                <w:sz w:val="18"/>
              </w:rPr>
              <w:t xml:space="preserve">Media</w:t>
            </w:r>
          </w:p>
        </w:tc>
      </w:tr>
    </w:tbl>
    <w:p>
      <w:pPr>
        <w:pStyle w:val="BodyText"/>
      </w:pPr>
      <w:r>
        <w:rPr>
          <w:i/>
          <w:iCs/>
        </w:rPr>
        <w:t xml:space="preserve">Tabella F. Le lacune di coerenza, da colmare con un</w:t>
      </w:r>
      <w:r>
        <w:rPr>
          <w:b/>
          <w:bCs/>
          <w:i/>
          <w:iCs/>
        </w:rPr>
        <w:t xml:space="preserve">’</w:t>
      </w:r>
      <w:r>
        <w:rPr>
          <w:i/>
          <w:iCs/>
        </w:rPr>
        <w:t xml:space="preserve">operazione di consolidamento delle cifre.</w:t>
      </w:r>
    </w:p>
    <w:bookmarkEnd w:id="1084"/>
    <w:bookmarkStart w:id="1086" w:name="g.-lacune-di-esecuzione-di-processo"/>
    <w:p>
      <w:pPr>
        <w:pStyle w:val="Heading2"/>
      </w:pPr>
      <w:r>
        <w:t xml:space="preserve">G. Lacune di esecuzione di processo</w:t>
      </w:r>
    </w:p>
    <w:p>
      <w:pPr>
        <w:pStyle w:val="FirstParagraph"/>
      </w:pPr>
      <w:r>
        <w:t xml:space="preserve">Restano infine i passaggi istituzionali che trasformano il progetto in azione: la consultazione degli stakeholder, di cui gli atti sono predisposti; l’approvazione del comitato etico per la sperimentazione; la delibera della Giunta che fissa l’ordine del dispiegamento; e, decisiva in una regione in disavanzo, l’individuazione delle coperture finanziarie effettive nel bilancio sanitario. Quest’ultima, pur dipendendo da scelte politiche, ha priorità alta, poiché lo stanziamento attuale — 1,5 milioni — è commisurato a un servizio simbolico, non a regime.</w:t>
      </w:r>
      <w:r>
        <w:rPr>
          <w:rStyle w:val="FootnoteReference"/>
        </w:rPr>
        <w:footnoteReference w:id="445"/>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Lacuna</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attuale nel progetto</w:t>
            </w:r>
          </w:p>
        </w:tc>
        <w:tc>
          <w:tcPr>
            <w:shd w:val="clear" w:color="auto" w:fill="16264B"/>
          </w:tcPr>
          <w:p>
            <w:pPr>
              <w:pStyle w:val="Compact"/>
              <w:spacing w:after="40" w:before="40"/>
              <w:jc w:val="left"/>
            </w:pPr>
            <w:r>
              <w:rPr>
                <w:rFonts w:ascii="Cambria" w:hAnsi="Cambria" w:cs="Cambria" w:eastAsia="Cambria"/>
                <w:b/>
                <w:bCs/>
                <w:color w:val="FFFFFF"/>
                <w:sz w:val="18"/>
              </w:rPr>
              <w:t xml:space="preserve">Come si colma</w:t>
            </w:r>
          </w:p>
        </w:tc>
        <w:tc>
          <w:tcPr>
            <w:shd w:val="clear" w:color="auto" w:fill="16264B"/>
          </w:tcPr>
          <w:p>
            <w:pPr>
              <w:pStyle w:val="Compact"/>
              <w:spacing w:after="40" w:before="40"/>
              <w:jc w:val="left"/>
            </w:pPr>
            <w:r>
              <w:rPr>
                <w:rFonts w:ascii="Cambria" w:hAnsi="Cambria" w:cs="Cambria" w:eastAsia="Cambria"/>
                <w:b/>
                <w:bCs/>
                <w:color w:val="FFFFFF"/>
                <w:sz w:val="18"/>
              </w:rPr>
              <w:t xml:space="preserve">Priorità</w:t>
            </w:r>
          </w:p>
        </w:tc>
      </w:tr>
      <w:tr>
        <w:tc>
          <w:tcPr/>
          <w:p>
            <w:pPr>
              <w:pStyle w:val="Compact"/>
              <w:spacing w:after="40" w:before="40"/>
              <w:jc w:val="left"/>
            </w:pPr>
            <w:r>
              <w:rPr>
                <w:rFonts w:ascii="Cambria" w:hAnsi="Cambria" w:cs="Cambria" w:eastAsia="Cambria"/>
                <w:b/>
                <w:bCs/>
                <w:color w:val="1A1A1A"/>
                <w:sz w:val="18"/>
              </w:rPr>
              <w:t xml:space="preserve">Consultazione degli stakeholder</w:t>
            </w:r>
          </w:p>
        </w:tc>
        <w:tc>
          <w:tcPr/>
          <w:p>
            <w:pPr>
              <w:pStyle w:val="Compact"/>
              <w:spacing w:after="40" w:before="40"/>
              <w:jc w:val="left"/>
            </w:pPr>
            <w:r>
              <w:rPr>
                <w:rFonts w:ascii="Cambria" w:hAnsi="Cambria" w:cs="Cambria" w:eastAsia="Cambria"/>
                <w:color w:val="1A1A1A"/>
                <w:sz w:val="18"/>
              </w:rPr>
              <w:t xml:space="preserve">Atti predisposti</w:t>
            </w:r>
          </w:p>
        </w:tc>
        <w:tc>
          <w:tcPr/>
          <w:p>
            <w:pPr>
              <w:pStyle w:val="Compact"/>
              <w:spacing w:after="40" w:before="40"/>
              <w:jc w:val="left"/>
            </w:pPr>
            <w:r>
              <w:rPr>
                <w:rFonts w:ascii="Cambria" w:hAnsi="Cambria" w:cs="Cambria" w:eastAsia="Cambria"/>
                <w:color w:val="1A1A1A"/>
                <w:sz w:val="18"/>
              </w:rPr>
              <w:t xml:space="preserve">Esecuzione della consultazione</w:t>
            </w:r>
          </w:p>
        </w:tc>
        <w:tc>
          <w:tcPr/>
          <w:p>
            <w:pPr>
              <w:pStyle w:val="Compact"/>
              <w:spacing w:after="40" w:before="40"/>
              <w:jc w:val="left"/>
            </w:pPr>
            <w:r>
              <w:rPr>
                <w:rFonts w:ascii="Cambria" w:hAnsi="Cambria" w:cs="Cambria" w:eastAsia="Cambria"/>
                <w:b/>
                <w:bCs/>
                <w:color w:val="1A1A1A"/>
                <w:sz w:val="18"/>
              </w:rPr>
              <w:t xml:space="preserve">Variabile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Approvazione del comitato etico (pilota)</w:t>
            </w:r>
          </w:p>
        </w:tc>
        <w:tc>
          <w:tcPr>
            <w:shd w:val="clear" w:color="auto" w:fill="F4F1EC"/>
          </w:tcPr>
          <w:p>
            <w:pPr>
              <w:pStyle w:val="Compact"/>
              <w:spacing w:after="40" w:before="40"/>
              <w:jc w:val="left"/>
            </w:pPr>
            <w:r>
              <w:rPr>
                <w:rFonts w:ascii="Cambria" w:hAnsi="Cambria" w:cs="Cambria" w:eastAsia="Cambria"/>
                <w:color w:val="1A1A1A"/>
                <w:sz w:val="18"/>
              </w:rPr>
              <w:t xml:space="preserve">Prevista nel protocollo</w:t>
            </w:r>
          </w:p>
        </w:tc>
        <w:tc>
          <w:tcPr>
            <w:shd w:val="clear" w:color="auto" w:fill="F4F1EC"/>
          </w:tcPr>
          <w:p>
            <w:pPr>
              <w:pStyle w:val="Compact"/>
              <w:spacing w:after="40" w:before="40"/>
              <w:jc w:val="left"/>
            </w:pPr>
            <w:r>
              <w:rPr>
                <w:rFonts w:ascii="Cambria" w:hAnsi="Cambria" w:cs="Cambria" w:eastAsia="Cambria"/>
                <w:color w:val="1A1A1A"/>
                <w:sz w:val="18"/>
              </w:rPr>
              <w:t xml:space="preserve">Sottoposizione al comitato competente</w:t>
            </w:r>
          </w:p>
        </w:tc>
        <w:tc>
          <w:tcPr>
            <w:shd w:val="clear" w:color="auto" w:fill="F4F1EC"/>
          </w:tcPr>
          <w:p>
            <w:pPr>
              <w:pStyle w:val="Compact"/>
              <w:spacing w:after="40" w:before="40"/>
              <w:jc w:val="left"/>
            </w:pPr>
            <w:r>
              <w:rPr>
                <w:rFonts w:ascii="Cambria" w:hAnsi="Cambria" w:cs="Cambria" w:eastAsia="Cambria"/>
                <w:b/>
                <w:bCs/>
                <w:color w:val="1A1A1A"/>
                <w:sz w:val="18"/>
              </w:rPr>
              <w:t xml:space="preserve">Variabile</w:t>
            </w:r>
          </w:p>
        </w:tc>
      </w:tr>
      <w:tr>
        <w:tc>
          <w:tcPr/>
          <w:p>
            <w:pPr>
              <w:pStyle w:val="Compact"/>
              <w:spacing w:after="40" w:before="40"/>
              <w:jc w:val="left"/>
            </w:pPr>
            <w:r>
              <w:rPr>
                <w:rFonts w:ascii="Cambria" w:hAnsi="Cambria" w:cs="Cambria" w:eastAsia="Cambria"/>
                <w:b/>
                <w:bCs/>
                <w:color w:val="1A1A1A"/>
                <w:sz w:val="18"/>
              </w:rPr>
              <w:t xml:space="preserve">Delibera di Giunta sull’ordine di dispiegamento</w:t>
            </w:r>
          </w:p>
        </w:tc>
        <w:tc>
          <w:tcPr/>
          <w:p>
            <w:pPr>
              <w:pStyle w:val="Compact"/>
              <w:spacing w:after="40" w:before="40"/>
              <w:jc w:val="left"/>
            </w:pPr>
            <w:r>
              <w:rPr>
                <w:rFonts w:ascii="Cambria" w:hAnsi="Cambria" w:cs="Cambria" w:eastAsia="Cambria"/>
                <w:color w:val="1A1A1A"/>
                <w:sz w:val="18"/>
              </w:rPr>
              <w:t xml:space="preserve">Criteri definiti</w:t>
            </w:r>
          </w:p>
        </w:tc>
        <w:tc>
          <w:tcPr/>
          <w:p>
            <w:pPr>
              <w:pStyle w:val="Compact"/>
              <w:spacing w:after="40" w:before="40"/>
              <w:jc w:val="left"/>
            </w:pPr>
            <w:r>
              <w:rPr>
                <w:rFonts w:ascii="Cambria" w:hAnsi="Cambria" w:cs="Cambria" w:eastAsia="Cambria"/>
                <w:color w:val="1A1A1A"/>
                <w:sz w:val="18"/>
              </w:rPr>
              <w:t xml:space="preserve">Adozione formale dell’atto</w:t>
            </w:r>
          </w:p>
        </w:tc>
        <w:tc>
          <w:tcPr/>
          <w:p>
            <w:pPr>
              <w:pStyle w:val="Compact"/>
              <w:spacing w:after="40" w:before="40"/>
              <w:jc w:val="left"/>
            </w:pPr>
            <w:r>
              <w:rPr>
                <w:rFonts w:ascii="Cambria" w:hAnsi="Cambria" w:cs="Cambria" w:eastAsia="Cambria"/>
                <w:b/>
                <w:bCs/>
                <w:color w:val="1A1A1A"/>
                <w:sz w:val="18"/>
              </w:rPr>
              <w:t xml:space="preserve">Variabile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Coperture finanziarie effettive</w:t>
            </w:r>
          </w:p>
        </w:tc>
        <w:tc>
          <w:tcPr>
            <w:shd w:val="clear" w:color="auto" w:fill="F4F1EC"/>
          </w:tcPr>
          <w:p>
            <w:pPr>
              <w:pStyle w:val="Compact"/>
              <w:spacing w:after="40" w:before="40"/>
              <w:jc w:val="left"/>
            </w:pPr>
            <w:r>
              <w:rPr>
                <w:rFonts w:ascii="Cambria" w:hAnsi="Cambria" w:cs="Cambria" w:eastAsia="Cambria"/>
                <w:color w:val="1A1A1A"/>
                <w:sz w:val="18"/>
              </w:rPr>
              <w:t xml:space="preserve">Quadro indicato; 1,5 mln attuali; regione in disavanzo</w:t>
            </w:r>
          </w:p>
        </w:tc>
        <w:tc>
          <w:tcPr>
            <w:shd w:val="clear" w:color="auto" w:fill="F4F1EC"/>
          </w:tcPr>
          <w:p>
            <w:pPr>
              <w:pStyle w:val="Compact"/>
              <w:spacing w:after="40" w:before="40"/>
              <w:jc w:val="left"/>
            </w:pPr>
            <w:r>
              <w:rPr>
                <w:rFonts w:ascii="Cambria" w:hAnsi="Cambria" w:cs="Cambria" w:eastAsia="Cambria"/>
                <w:color w:val="1A1A1A"/>
                <w:sz w:val="18"/>
              </w:rPr>
              <w:t xml:space="preserve">Individuazione delle coperture nel bilancio</w:t>
            </w:r>
          </w:p>
        </w:tc>
        <w:tc>
          <w:tcPr>
            <w:shd w:val="clear" w:color="auto" w:fill="F4F1EC"/>
          </w:tcPr>
          <w:p>
            <w:pPr>
              <w:pStyle w:val="Compact"/>
              <w:spacing w:after="40" w:before="40"/>
              <w:jc w:val="left"/>
            </w:pPr>
            <w:r>
              <w:rPr>
                <w:rFonts w:ascii="Cambria" w:hAnsi="Cambria" w:cs="Cambria" w:eastAsia="Cambria"/>
                <w:b/>
                <w:bCs/>
                <w:color w:val="1A1A1A"/>
                <w:sz w:val="18"/>
              </w:rPr>
              <w:t xml:space="preserve">Alta</w:t>
            </w:r>
          </w:p>
        </w:tc>
      </w:tr>
    </w:tbl>
    <w:p>
      <w:pPr>
        <w:pStyle w:val="BodyText"/>
      </w:pPr>
      <w:r>
        <w:rPr>
          <w:i/>
          <w:iCs/>
        </w:rPr>
        <w:t xml:space="preserve">Tabella G. Le lacune di esecuzione. La copertura finanziaria è il vincolo politico decisivo.</w:t>
      </w:r>
    </w:p>
    <w:bookmarkEnd w:id="1086"/>
    <w:bookmarkStart w:id="1087" w:name="X4e6c1c035351c21ab1d6f5645c290bed29b9892"/>
    <w:p>
      <w:pPr>
        <w:pStyle w:val="Heading2"/>
      </w:pPr>
      <w:r>
        <w:t xml:space="preserve">Sintesi: la sequenza per colmare le lacune</w:t>
      </w:r>
    </w:p>
    <w:p>
      <w:pPr>
        <w:pStyle w:val="FirstParagraph"/>
      </w:pPr>
      <w:r>
        <w:t xml:space="preserve">Le lacune si colmano in una sequenza dettata dalla loro dipendenza reciproca. Il primo passo è acquisire i dati primari regionali (categoria A): da essi dipende tutto il resto. Il secondo, immediatamente conseguente, è ricalcolare il modello economico sui dati certificati e riconciliare le due stime (categoria B), aggiornando coerentemente i documenti (categoria F). Il terzo, da avviare in parallelo e senza attendere i primi due, è attivare la rilevazione e costituire la baseline (categoria C), perché ogni mese di ritardo è un mese di dati perduti. Le specificazioni operative (categoria E) accompagnano gli atti attuativi; la validazione empirica (categoria D) matura con il servizio; l’esecuzione di processo (categoria G) procede secondo i tempi istituzionali, fermo restando il nodo della copertura finanziaria.</w:t>
      </w:r>
    </w:p>
    <w:p>
      <w:pPr>
        <w:pStyle w:val="BodyText"/>
      </w:pPr>
      <w:r>
        <w:t xml:space="preserve">La conclusione è netta e, in fondo, incoraggiante. Al progetto non manca un’architettura: l’architettura c’è, ed è solida. Ciò che manca è il radicamento nei dati reali e l’avvio della misurazione — il passaggio da una riforma progettata a una riforma fondata e, infine, dimostrata. È un passaggio alla portata della fase sperimentale in corso, e l’Osservatorio regionale ne è lo strumento naturale.</w:t>
      </w:r>
    </w:p>
    <w:p>
      <w:r>
        <w:br w:type="page"/>
      </w:r>
    </w:p>
    <w:bookmarkEnd w:id="1087"/>
    <w:bookmarkEnd w:id="1088"/>
    <w:bookmarkStart w:id="1093" w:name="X65729deed421f3098e5b9a75d9daebc9603453b"/>
    <w:bookmarkStart w:id="1089" w:name="nota-metodologica"/>
    <w:bookmarkEnd w:id="1089"/>
    <w:bookmarkStart w:id="1090" w:name="prospetto-di-sintesi-per-area"/>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Area</w:t>
            </w:r>
          </w:p>
        </w:tc>
        <w:tc>
          <w:tcPr>
            <w:shd w:val="clear" w:color="auto" w:fill="16264B"/>
          </w:tcPr>
          <w:p>
            <w:pPr>
              <w:pStyle w:val="Compact"/>
              <w:spacing w:after="40" w:before="40"/>
              <w:jc w:val="left"/>
            </w:pPr>
            <w:r>
              <w:rPr>
                <w:rFonts w:ascii="Cambria" w:hAnsi="Cambria" w:cs="Cambria" w:eastAsia="Cambria"/>
                <w:b/>
                <w:bCs/>
                <w:color w:val="FFFFFF"/>
                <w:sz w:val="18"/>
              </w:rPr>
              <w:t xml:space="preserve">Descrizione</w:t>
            </w:r>
          </w:p>
        </w:tc>
        <w:tc>
          <w:tcPr>
            <w:shd w:val="clear" w:color="auto" w:fill="16264B"/>
          </w:tcPr>
          <w:p>
            <w:pPr>
              <w:pStyle w:val="Compact"/>
              <w:spacing w:after="40" w:before="40"/>
              <w:jc w:val="left"/>
            </w:pPr>
            <w:r>
              <w:rPr>
                <w:rFonts w:ascii="Cambria" w:hAnsi="Cambria" w:cs="Cambria" w:eastAsia="Cambria"/>
                <w:b/>
                <w:bCs/>
                <w:color w:val="FFFFFF"/>
                <w:sz w:val="18"/>
              </w:rPr>
              <w:t xml:space="preserve">N. file</w:t>
            </w:r>
          </w:p>
        </w:tc>
      </w:tr>
      <w:tr>
        <w:tc>
          <w:tcPr/>
          <w:p>
            <w:pPr>
              <w:pStyle w:val="Compact"/>
              <w:spacing w:after="40" w:before="40"/>
              <w:jc w:val="left"/>
            </w:pPr>
            <w:r>
              <w:rPr>
                <w:rFonts w:ascii="Cambria" w:hAnsi="Cambria" w:cs="Cambria" w:eastAsia="Cambria"/>
                <w:b/>
                <w:bCs/>
                <w:color w:val="1A1A1A"/>
                <w:sz w:val="18"/>
              </w:rPr>
              <w:t xml:space="preserve">A</w:t>
            </w:r>
          </w:p>
        </w:tc>
        <w:tc>
          <w:tcPr/>
          <w:p>
            <w:pPr>
              <w:pStyle w:val="Compact"/>
              <w:spacing w:after="40" w:before="40"/>
              <w:jc w:val="left"/>
            </w:pPr>
            <w:r>
              <w:rPr>
                <w:rFonts w:ascii="Cambria" w:hAnsi="Cambria" w:cs="Cambria" w:eastAsia="Cambria"/>
                <w:color w:val="1A1A1A"/>
                <w:sz w:val="18"/>
              </w:rPr>
              <w:t xml:space="preserve">Telai HTA regionali</w:t>
            </w:r>
          </w:p>
        </w:tc>
        <w:tc>
          <w:tcPr/>
          <w:p>
            <w:pPr>
              <w:pStyle w:val="Compact"/>
              <w:spacing w:after="40" w:before="40"/>
              <w:jc w:val="left"/>
            </w:pPr>
            <w:r>
              <w:rPr>
                <w:rFonts w:ascii="Cambria" w:hAnsi="Cambria" w:cs="Cambria" w:eastAsia="Cambria"/>
                <w:color w:val="1A1A1A"/>
                <w:sz w:val="18"/>
              </w:rPr>
              <w:t xml:space="preserve">209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w:t>
            </w:r>
          </w:p>
        </w:tc>
        <w:tc>
          <w:tcPr>
            <w:shd w:val="clear" w:color="auto" w:fill="F4F1EC"/>
          </w:tcPr>
          <w:p>
            <w:pPr>
              <w:pStyle w:val="Compact"/>
              <w:spacing w:after="40" w:before="40"/>
              <w:jc w:val="left"/>
            </w:pPr>
            <w:r>
              <w:rPr>
                <w:rFonts w:ascii="Cambria" w:hAnsi="Cambria" w:cs="Cambria" w:eastAsia="Cambria"/>
                <w:color w:val="1A1A1A"/>
                <w:sz w:val="18"/>
              </w:rPr>
              <w:t xml:space="preserve">Studi regionali (formato semplificato)</w:t>
            </w:r>
          </w:p>
        </w:tc>
        <w:tc>
          <w:tcPr>
            <w:shd w:val="clear" w:color="auto" w:fill="F4F1EC"/>
          </w:tcPr>
          <w:p>
            <w:pPr>
              <w:pStyle w:val="Compact"/>
              <w:spacing w:after="40" w:before="40"/>
              <w:jc w:val="left"/>
            </w:pPr>
            <w:r>
              <w:rPr>
                <w:rFonts w:ascii="Cambria" w:hAnsi="Cambria" w:cs="Cambria" w:eastAsia="Cambria"/>
                <w:color w:val="1A1A1A"/>
                <w:sz w:val="18"/>
              </w:rPr>
              <w:t xml:space="preserve">21</w:t>
            </w:r>
          </w:p>
        </w:tc>
      </w:tr>
      <w:tr>
        <w:tc>
          <w:tcPr/>
          <w:p>
            <w:pPr>
              <w:pStyle w:val="Compact"/>
              <w:spacing w:after="40" w:before="40"/>
              <w:jc w:val="left"/>
            </w:pPr>
            <w:r>
              <w:rPr>
                <w:rFonts w:ascii="Cambria" w:hAnsi="Cambria" w:cs="Cambria" w:eastAsia="Cambria"/>
                <w:b/>
                <w:bCs/>
                <w:color w:val="1A1A1A"/>
                <w:sz w:val="18"/>
              </w:rPr>
              <w:t xml:space="preserve">C</w:t>
            </w:r>
          </w:p>
        </w:tc>
        <w:tc>
          <w:tcPr/>
          <w:p>
            <w:pPr>
              <w:pStyle w:val="Compact"/>
              <w:spacing w:after="40" w:before="40"/>
              <w:jc w:val="left"/>
            </w:pPr>
            <w:r>
              <w:rPr>
                <w:rFonts w:ascii="Cambria" w:hAnsi="Cambria" w:cs="Cambria" w:eastAsia="Cambria"/>
                <w:color w:val="1A1A1A"/>
                <w:sz w:val="18"/>
              </w:rPr>
              <w:t xml:space="preserve">Studio IA &amp; Formazione Puglia</w:t>
            </w:r>
          </w:p>
        </w:tc>
        <w:tc>
          <w:tcPr/>
          <w:p>
            <w:pPr>
              <w:pStyle w:val="Compact"/>
              <w:spacing w:after="40" w:before="40"/>
              <w:jc w:val="left"/>
            </w:pPr>
            <w:r>
              <w:rPr>
                <w:rFonts w:ascii="Cambria" w:hAnsi="Cambria" w:cs="Cambria" w:eastAsia="Cambria"/>
                <w:color w:val="1A1A1A"/>
                <w:sz w:val="18"/>
              </w:rPr>
              <w:t xml:space="preserve">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w:t>
            </w:r>
          </w:p>
        </w:tc>
        <w:tc>
          <w:tcPr>
            <w:shd w:val="clear" w:color="auto" w:fill="F4F1EC"/>
          </w:tcPr>
          <w:p>
            <w:pPr>
              <w:pStyle w:val="Compact"/>
              <w:spacing w:after="40" w:before="40"/>
              <w:jc w:val="left"/>
            </w:pPr>
            <w:r>
              <w:rPr>
                <w:rFonts w:ascii="Cambria" w:hAnsi="Cambria" w:cs="Cambria" w:eastAsia="Cambria"/>
                <w:color w:val="1A1A1A"/>
                <w:sz w:val="18"/>
              </w:rPr>
              <w:t xml:space="preserve">Studio integrato / proposta di legge</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r>
      <w:tr>
        <w:tc>
          <w:tcPr/>
          <w:p>
            <w:pPr>
              <w:pStyle w:val="Compact"/>
              <w:spacing w:after="40" w:before="40"/>
              <w:jc w:val="left"/>
            </w:pPr>
            <w:r>
              <w:rPr>
                <w:rFonts w:ascii="Cambria" w:hAnsi="Cambria" w:cs="Cambria" w:eastAsia="Cambria"/>
                <w:b/>
                <w:bCs/>
                <w:color w:val="1A1A1A"/>
                <w:sz w:val="18"/>
              </w:rPr>
              <w:t xml:space="preserve">E</w:t>
            </w:r>
          </w:p>
        </w:tc>
        <w:tc>
          <w:tcPr/>
          <w:p>
            <w:pPr>
              <w:pStyle w:val="Compact"/>
              <w:spacing w:after="40" w:before="40"/>
              <w:jc w:val="left"/>
            </w:pPr>
            <w:r>
              <w:rPr>
                <w:rFonts w:ascii="Cambria" w:hAnsi="Cambria" w:cs="Cambria" w:eastAsia="Cambria"/>
                <w:color w:val="1A1A1A"/>
                <w:sz w:val="18"/>
              </w:rPr>
              <w:t xml:space="preserve">Capitoli della serie iniziale (integrazione IA)</w:t>
            </w:r>
          </w:p>
        </w:tc>
        <w:tc>
          <w:tcPr/>
          <w:p>
            <w:pPr>
              <w:pStyle w:val="Compact"/>
              <w:spacing w:after="40" w:before="40"/>
              <w:jc w:val="left"/>
            </w:pPr>
            <w:r>
              <w:rPr>
                <w:rFonts w:ascii="Cambria" w:hAnsi="Cambria" w:cs="Cambria" w:eastAsia="Cambria"/>
                <w:color w:val="1A1A1A"/>
                <w:sz w:val="18"/>
              </w:rPr>
              <w:t xml:space="preserve">16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w:t>
            </w:r>
          </w:p>
        </w:tc>
        <w:tc>
          <w:tcPr>
            <w:shd w:val="clear" w:color="auto" w:fill="F4F1EC"/>
          </w:tcPr>
          <w:p>
            <w:pPr>
              <w:pStyle w:val="Compact"/>
              <w:spacing w:after="40" w:before="40"/>
              <w:jc w:val="left"/>
            </w:pPr>
            <w:r>
              <w:rPr>
                <w:rFonts w:ascii="Cambria" w:hAnsi="Cambria" w:cs="Cambria" w:eastAsia="Cambria"/>
                <w:color w:val="1A1A1A"/>
                <w:sz w:val="18"/>
              </w:rPr>
              <w:t xml:space="preserve">Strumenti tecnici e attuativi (Puglia)</w:t>
            </w:r>
          </w:p>
        </w:tc>
        <w:tc>
          <w:tcPr>
            <w:shd w:val="clear" w:color="auto" w:fill="F4F1EC"/>
          </w:tcPr>
          <w:p>
            <w:pPr>
              <w:pStyle w:val="Compact"/>
              <w:spacing w:after="40" w:before="40"/>
              <w:jc w:val="left"/>
            </w:pPr>
            <w:r>
              <w:rPr>
                <w:rFonts w:ascii="Cambria" w:hAnsi="Cambria" w:cs="Cambria" w:eastAsia="Cambria"/>
                <w:color w:val="1A1A1A"/>
                <w:sz w:val="18"/>
              </w:rPr>
              <w:t xml:space="preserve">26</w:t>
            </w:r>
          </w:p>
        </w:tc>
      </w:tr>
      <w:tr>
        <w:tc>
          <w:tcPr/>
          <w:p>
            <w:pPr>
              <w:pStyle w:val="Compact"/>
              <w:spacing w:after="40" w:before="40"/>
              <w:jc w:val="left"/>
            </w:pPr>
            <w:r>
              <w:rPr>
                <w:rFonts w:ascii="Cambria" w:hAnsi="Cambria" w:cs="Cambria" w:eastAsia="Cambria"/>
                <w:b/>
                <w:bCs/>
                <w:color w:val="1A1A1A"/>
                <w:sz w:val="18"/>
              </w:rPr>
              <w:t xml:space="preserve">G</w:t>
            </w:r>
          </w:p>
        </w:tc>
        <w:tc>
          <w:tcPr/>
          <w:p>
            <w:pPr>
              <w:pStyle w:val="Compact"/>
              <w:spacing w:after="40" w:before="40"/>
              <w:jc w:val="left"/>
            </w:pPr>
            <w:r>
              <w:rPr>
                <w:rFonts w:ascii="Cambria" w:hAnsi="Cambria" w:cs="Cambria" w:eastAsia="Cambria"/>
                <w:color w:val="1A1A1A"/>
                <w:sz w:val="18"/>
              </w:rPr>
              <w:t xml:space="preserve">Documenti nazionali e metodologici</w:t>
            </w:r>
          </w:p>
        </w:tc>
        <w:tc>
          <w:tcPr/>
          <w:p>
            <w:pPr>
              <w:pStyle w:val="Compact"/>
              <w:spacing w:after="40" w:before="40"/>
              <w:jc w:val="left"/>
            </w:pPr>
            <w:r>
              <w:rPr>
                <w:rFonts w:ascii="Cambria" w:hAnsi="Cambria" w:cs="Cambria" w:eastAsia="Cambria"/>
                <w:color w:val="1A1A1A"/>
                <w:sz w:val="18"/>
              </w:rPr>
              <w:t xml:space="preserve">13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H</w:t>
            </w:r>
          </w:p>
        </w:tc>
        <w:tc>
          <w:tcPr>
            <w:shd w:val="clear" w:color="auto" w:fill="F4F1EC"/>
          </w:tcPr>
          <w:p>
            <w:pPr>
              <w:pStyle w:val="Compact"/>
              <w:spacing w:after="40" w:before="40"/>
              <w:jc w:val="left"/>
            </w:pPr>
            <w:r>
              <w:rPr>
                <w:rFonts w:ascii="Cambria" w:hAnsi="Cambria" w:cs="Cambria" w:eastAsia="Cambria"/>
                <w:color w:val="1A1A1A"/>
                <w:sz w:val="18"/>
              </w:rPr>
              <w:t xml:space="preserve">PDF storici e di valutazione</w:t>
            </w:r>
          </w:p>
        </w:tc>
        <w:tc>
          <w:tcPr>
            <w:shd w:val="clear" w:color="auto" w:fill="F4F1EC"/>
          </w:tcPr>
          <w:p>
            <w:pPr>
              <w:pStyle w:val="Compact"/>
              <w:spacing w:after="40" w:before="40"/>
              <w:jc w:val="left"/>
            </w:pPr>
            <w:r>
              <w:rPr>
                <w:rFonts w:ascii="Cambria" w:hAnsi="Cambria" w:cs="Cambria" w:eastAsia="Cambria"/>
                <w:color w:val="1A1A1A"/>
                <w:sz w:val="18"/>
              </w:rPr>
              <w:t xml:space="preserve">11</w:t>
            </w:r>
          </w:p>
        </w:tc>
      </w:tr>
      <w:tr>
        <w:tc>
          <w:tcPr/>
          <w:p>
            <w:pPr>
              <w:pStyle w:val="Compact"/>
              <w:spacing w:after="40" w:before="40"/>
              <w:jc w:val="left"/>
            </w:pPr>
            <w:r>
              <w:rPr>
                <w:rFonts w:ascii="Cambria" w:hAnsi="Cambria" w:cs="Cambria" w:eastAsia="Cambria"/>
                <w:b/>
                <w:bCs/>
                <w:color w:val="1A1A1A"/>
                <w:sz w:val="18"/>
              </w:rPr>
              <w:t xml:space="preserve">I</w:t>
            </w:r>
          </w:p>
        </w:tc>
        <w:tc>
          <w:tcPr/>
          <w:p>
            <w:pPr>
              <w:pStyle w:val="Compact"/>
              <w:spacing w:after="40" w:before="40"/>
              <w:jc w:val="left"/>
            </w:pPr>
            <w:r>
              <w:rPr>
                <w:rFonts w:ascii="Cambria" w:hAnsi="Cambria" w:cs="Cambria" w:eastAsia="Cambria"/>
                <w:color w:val="1A1A1A"/>
                <w:sz w:val="18"/>
              </w:rPr>
              <w:t xml:space="preserve">Tutela della paternità</w:t>
            </w:r>
          </w:p>
        </w:tc>
        <w:tc>
          <w:tcPr/>
          <w:p>
            <w:pPr>
              <w:pStyle w:val="Compact"/>
              <w:spacing w:after="40" w:before="40"/>
              <w:jc w:val="left"/>
            </w:pPr>
            <w:r>
              <w:rPr>
                <w:rFonts w:ascii="Cambria" w:hAnsi="Cambria" w:cs="Cambria" w:eastAsia="Cambria"/>
                <w:color w:val="1A1A1A"/>
                <w:sz w:val="18"/>
              </w:rPr>
              <w:t xml:space="preserve">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Totale complessivo</w:t>
            </w:r>
          </w:p>
        </w:tc>
        <w:tc>
          <w:tcPr>
            <w:shd w:val="clear" w:color="auto" w:fill="F4F1EC"/>
          </w:tcPr>
          <w:p>
            <w:pPr>
              <w:pStyle w:val="Compact"/>
              <w:spacing w:after="40" w:before="40"/>
              <w:jc w:val="left"/>
            </w:pPr>
            <w:r>
              <w:rPr>
                <w:rFonts w:ascii="Cambria" w:hAnsi="Cambria" w:cs="Cambria" w:eastAsia="Cambria"/>
                <w:b/>
                <w:bCs/>
                <w:color w:val="1A1A1A"/>
                <w:sz w:val="18"/>
              </w:rPr>
              <w:t xml:space="preserve">315</w:t>
            </w:r>
          </w:p>
        </w:tc>
        <w:tc>
          <w:tcPr>
            <w:shd w:val="clear" w:color="auto" w:fill="F4F1EC"/>
          </w:tcPr>
          <w:p>
            <w:pPr>
              <w:pStyle w:val="Compact"/>
              <w:spacing w:after="40" w:before="40"/>
              <w:jc w:val="left"/>
            </w:pPr>
          </w:p>
        </w:tc>
      </w:tr>
    </w:tbl>
    <w:bookmarkEnd w:id="1090"/>
    <w:bookmarkStart w:id="1091" w:name="stato-dei-telai-hta-regionali"/>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Regione</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del telaio</w:t>
            </w:r>
          </w:p>
        </w:tc>
        <w:tc>
          <w:tcPr>
            <w:shd w:val="clear" w:color="auto" w:fill="16264B"/>
          </w:tcPr>
          <w:p>
            <w:pPr>
              <w:pStyle w:val="Compact"/>
              <w:spacing w:after="40" w:before="40"/>
              <w:jc w:val="left"/>
            </w:pPr>
            <w:r>
              <w:rPr>
                <w:rFonts w:ascii="Cambria" w:hAnsi="Cambria" w:cs="Cambria" w:eastAsia="Cambria"/>
                <w:b/>
                <w:bCs/>
                <w:color w:val="FFFFFF"/>
                <w:sz w:val="18"/>
              </w:rPr>
              <w:t xml:space="preserve">Componenti presenti</w:t>
            </w:r>
          </w:p>
        </w:tc>
      </w:tr>
      <w:tr>
        <w:tc>
          <w:tcPr/>
          <w:p>
            <w:pPr>
              <w:pStyle w:val="Compact"/>
              <w:spacing w:after="40" w:before="40"/>
              <w:jc w:val="left"/>
            </w:pPr>
            <w:r>
              <w:rPr>
                <w:rFonts w:ascii="Cambria" w:hAnsi="Cambria" w:cs="Cambria" w:eastAsia="Cambria"/>
                <w:b/>
                <w:bCs/>
                <w:color w:val="1A1A1A"/>
                <w:sz w:val="18"/>
              </w:rPr>
              <w:t xml:space="preserve">Abruzzo</w:t>
            </w:r>
          </w:p>
        </w:tc>
        <w:tc>
          <w:tcPr/>
          <w:p>
            <w:pPr>
              <w:pStyle w:val="Compact"/>
              <w:spacing w:after="40" w:before="40"/>
              <w:jc w:val="left"/>
            </w:pPr>
            <w:r>
              <w:rPr>
                <w:rFonts w:ascii="Cambria" w:hAnsi="Cambria" w:cs="Cambria" w:eastAsia="Cambria"/>
                <w:b/>
                <w:bCs/>
                <w:color w:val="1A1A1A"/>
                <w:sz w:val="18"/>
              </w:rPr>
              <w:t xml:space="preserve">Telaio parziale</w:t>
            </w:r>
          </w:p>
        </w:tc>
        <w:tc>
          <w:tcPr/>
          <w:p>
            <w:pPr>
              <w:pStyle w:val="Compact"/>
              <w:spacing w:after="40" w:before="40"/>
              <w:jc w:val="left"/>
            </w:pPr>
            <w:r>
              <w:rPr>
                <w:rFonts w:ascii="Cambria" w:hAnsi="Cambria" w:cs="Cambria" w:eastAsia="Cambria"/>
                <w:color w:val="1A1A1A"/>
                <w:sz w:val="18"/>
              </w:rPr>
              <w:t xml:space="preserve">Parti B, C, D, E, H, I, L, M; Appendici; Integrale (mancano A, F, G)</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Basilicata</w:t>
            </w:r>
          </w:p>
        </w:tc>
        <w:tc>
          <w:tcPr>
            <w:shd w:val="clear" w:color="auto" w:fill="F4F1EC"/>
          </w:tcPr>
          <w:p>
            <w:pPr>
              <w:pStyle w:val="Compact"/>
              <w:spacing w:after="40" w:before="40"/>
              <w:jc w:val="left"/>
            </w:pPr>
            <w:r>
              <w:rPr>
                <w:rFonts w:ascii="Cambria" w:hAnsi="Cambria" w:cs="Cambria" w:eastAsia="Cambria"/>
                <w:b/>
                <w:bCs/>
                <w:color w:val="1A1A1A"/>
                <w:sz w:val="18"/>
              </w:rPr>
              <w:t xml:space="preserve">Telaio quasi completo</w:t>
            </w:r>
          </w:p>
        </w:tc>
        <w:tc>
          <w:tcPr>
            <w:shd w:val="clear" w:color="auto" w:fill="F4F1EC"/>
          </w:tcPr>
          <w:p>
            <w:pPr>
              <w:pStyle w:val="Compact"/>
              <w:spacing w:after="40" w:before="40"/>
              <w:jc w:val="left"/>
            </w:pPr>
            <w:r>
              <w:rPr>
                <w:rFonts w:ascii="Cambria" w:hAnsi="Cambria" w:cs="Cambria" w:eastAsia="Cambria"/>
                <w:color w:val="1A1A1A"/>
                <w:sz w:val="18"/>
              </w:rPr>
              <w:t xml:space="preserve">Parti A–M; Appendici; Integrale (mancano Frontespizio, Note)</w:t>
            </w:r>
          </w:p>
        </w:tc>
      </w:tr>
      <w:tr>
        <w:tc>
          <w:tcPr/>
          <w:p>
            <w:pPr>
              <w:pStyle w:val="Compact"/>
              <w:spacing w:after="40" w:before="40"/>
              <w:jc w:val="left"/>
            </w:pPr>
            <w:r>
              <w:rPr>
                <w:rFonts w:ascii="Cambria" w:hAnsi="Cambria" w:cs="Cambria" w:eastAsia="Cambria"/>
                <w:b/>
                <w:bCs/>
                <w:color w:val="1A1A1A"/>
                <w:sz w:val="18"/>
              </w:rPr>
              <w:t xml:space="preserve">Calabria</w:t>
            </w:r>
          </w:p>
        </w:tc>
        <w:tc>
          <w:tcPr/>
          <w:p>
            <w:pPr>
              <w:pStyle w:val="Compact"/>
              <w:spacing w:after="40" w:before="40"/>
              <w:jc w:val="left"/>
            </w:pPr>
            <w:r>
              <w:rPr>
                <w:rFonts w:ascii="Cambria" w:hAnsi="Cambria" w:cs="Cambria" w:eastAsia="Cambria"/>
                <w:b/>
                <w:bCs/>
                <w:color w:val="1A1A1A"/>
                <w:sz w:val="18"/>
              </w:rPr>
              <w:t xml:space="preserve">Telaio assente</w:t>
            </w:r>
          </w:p>
        </w:tc>
        <w:tc>
          <w:tcPr/>
          <w:p>
            <w:pPr>
              <w:pStyle w:val="Compact"/>
              <w:spacing w:after="40" w:before="40"/>
              <w:jc w:val="left"/>
            </w:pPr>
            <w:r>
              <w:rPr>
                <w:rFonts w:ascii="Cambria" w:hAnsi="Cambria" w:cs="Cambria" w:eastAsia="Cambria"/>
                <w:color w:val="1A1A1A"/>
                <w:sz w:val="18"/>
              </w:rPr>
              <w:t xml:space="preserve">Presente solo lo studio in formato semplificato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Campania</w:t>
            </w:r>
          </w:p>
        </w:tc>
        <w:tc>
          <w:tcPr>
            <w:shd w:val="clear" w:color="auto" w:fill="F4F1EC"/>
          </w:tcPr>
          <w:p>
            <w:pPr>
              <w:pStyle w:val="Compact"/>
              <w:spacing w:after="40" w:before="40"/>
              <w:jc w:val="left"/>
            </w:pPr>
            <w:r>
              <w:rPr>
                <w:rFonts w:ascii="Cambria" w:hAnsi="Cambria" w:cs="Cambria" w:eastAsia="Cambria"/>
                <w:b/>
                <w:bCs/>
                <w:color w:val="1A1A1A"/>
                <w:sz w:val="18"/>
              </w:rPr>
              <w:t xml:space="preserve">Telaio completo</w:t>
            </w:r>
          </w:p>
        </w:tc>
        <w:tc>
          <w:tcPr>
            <w:shd w:val="clear" w:color="auto" w:fill="F4F1EC"/>
          </w:tcPr>
          <w:p>
            <w:pPr>
              <w:pStyle w:val="Compact"/>
              <w:spacing w:after="40" w:before="40"/>
              <w:jc w:val="left"/>
            </w:pPr>
            <w:r>
              <w:rPr>
                <w:rFonts w:ascii="Cambria" w:hAnsi="Cambria" w:cs="Cambria" w:eastAsia="Cambria"/>
                <w:color w:val="1A1A1A"/>
                <w:sz w:val="18"/>
              </w:rPr>
              <w:t xml:space="preserve">Parti A–M; Appendici; Frontespizio; Note; Documento unico</w:t>
            </w:r>
          </w:p>
        </w:tc>
      </w:tr>
      <w:tr>
        <w:tc>
          <w:tcPr/>
          <w:p>
            <w:pPr>
              <w:pStyle w:val="Compact"/>
              <w:spacing w:after="40" w:before="40"/>
              <w:jc w:val="left"/>
            </w:pPr>
            <w:r>
              <w:rPr>
                <w:rFonts w:ascii="Cambria" w:hAnsi="Cambria" w:cs="Cambria" w:eastAsia="Cambria"/>
                <w:b/>
                <w:bCs/>
                <w:color w:val="1A1A1A"/>
                <w:sz w:val="18"/>
              </w:rPr>
              <w:t xml:space="preserve">Emilia-Romagna</w:t>
            </w:r>
          </w:p>
        </w:tc>
        <w:tc>
          <w:tcPr/>
          <w:p>
            <w:pPr>
              <w:pStyle w:val="Compact"/>
              <w:spacing w:after="40" w:before="40"/>
              <w:jc w:val="left"/>
            </w:pPr>
            <w:r>
              <w:rPr>
                <w:rFonts w:ascii="Cambria" w:hAnsi="Cambria" w:cs="Cambria" w:eastAsia="Cambria"/>
                <w:b/>
                <w:bCs/>
                <w:color w:val="1A1A1A"/>
                <w:sz w:val="18"/>
              </w:rPr>
              <w:t xml:space="preserve">Telaio completo</w:t>
            </w:r>
          </w:p>
        </w:tc>
        <w:tc>
          <w:tcPr/>
          <w:p>
            <w:pPr>
              <w:pStyle w:val="Compact"/>
              <w:spacing w:after="40" w:before="40"/>
              <w:jc w:val="left"/>
            </w:pPr>
            <w:r>
              <w:rPr>
                <w:rFonts w:ascii="Cambria" w:hAnsi="Cambria" w:cs="Cambria" w:eastAsia="Cambria"/>
                <w:color w:val="1A1A1A"/>
                <w:sz w:val="18"/>
              </w:rPr>
              <w:t xml:space="preserve">Parti A–M; Appendici; Frontespizio; Note; Documento unico; Integrale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Friuli-Venezia Giulia</w:t>
            </w:r>
          </w:p>
        </w:tc>
        <w:tc>
          <w:tcPr>
            <w:shd w:val="clear" w:color="auto" w:fill="F4F1EC"/>
          </w:tcPr>
          <w:p>
            <w:pPr>
              <w:pStyle w:val="Compact"/>
              <w:spacing w:after="40" w:before="40"/>
              <w:jc w:val="left"/>
            </w:pPr>
            <w:r>
              <w:rPr>
                <w:rFonts w:ascii="Cambria" w:hAnsi="Cambria" w:cs="Cambria" w:eastAsia="Cambria"/>
                <w:b/>
                <w:bCs/>
                <w:color w:val="1A1A1A"/>
                <w:sz w:val="18"/>
              </w:rPr>
              <w:t xml:space="preserve">Telaio parziale</w:t>
            </w:r>
          </w:p>
        </w:tc>
        <w:tc>
          <w:tcPr>
            <w:shd w:val="clear" w:color="auto" w:fill="F4F1EC"/>
          </w:tcPr>
          <w:p>
            <w:pPr>
              <w:pStyle w:val="Compact"/>
              <w:spacing w:after="40" w:before="40"/>
              <w:jc w:val="left"/>
            </w:pPr>
            <w:r>
              <w:rPr>
                <w:rFonts w:ascii="Cambria" w:hAnsi="Cambria" w:cs="Cambria" w:eastAsia="Cambria"/>
                <w:color w:val="1A1A1A"/>
                <w:sz w:val="18"/>
              </w:rPr>
              <w:t xml:space="preserve">Parti A, B, C; Integrale parziale A–C (mancano D–M)</w:t>
            </w:r>
          </w:p>
        </w:tc>
      </w:tr>
      <w:tr>
        <w:tc>
          <w:tcPr/>
          <w:p>
            <w:pPr>
              <w:pStyle w:val="Compact"/>
              <w:spacing w:after="40" w:before="40"/>
              <w:jc w:val="left"/>
            </w:pPr>
            <w:r>
              <w:rPr>
                <w:rFonts w:ascii="Cambria" w:hAnsi="Cambria" w:cs="Cambria" w:eastAsia="Cambria"/>
                <w:b/>
                <w:bCs/>
                <w:color w:val="1A1A1A"/>
                <w:sz w:val="18"/>
              </w:rPr>
              <w:t xml:space="preserve">Lazio</w:t>
            </w:r>
          </w:p>
        </w:tc>
        <w:tc>
          <w:tcPr/>
          <w:p>
            <w:pPr>
              <w:pStyle w:val="Compact"/>
              <w:spacing w:after="40" w:before="40"/>
              <w:jc w:val="left"/>
            </w:pPr>
            <w:r>
              <w:rPr>
                <w:rFonts w:ascii="Cambria" w:hAnsi="Cambria" w:cs="Cambria" w:eastAsia="Cambria"/>
                <w:b/>
                <w:bCs/>
                <w:color w:val="1A1A1A"/>
                <w:sz w:val="18"/>
              </w:rPr>
              <w:t xml:space="preserve">Telaio completo</w:t>
            </w:r>
          </w:p>
        </w:tc>
        <w:tc>
          <w:tcPr/>
          <w:p>
            <w:pPr>
              <w:pStyle w:val="Compact"/>
              <w:spacing w:after="40" w:before="40"/>
              <w:jc w:val="left"/>
            </w:pPr>
            <w:r>
              <w:rPr>
                <w:rFonts w:ascii="Cambria" w:hAnsi="Cambria" w:cs="Cambria" w:eastAsia="Cambria"/>
                <w:color w:val="1A1A1A"/>
                <w:sz w:val="18"/>
              </w:rPr>
              <w:t xml:space="preserve">Parti A–M; Appendici; Frontespizio; Documento unico; Integrale (manca file Note)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Liguria</w:t>
            </w:r>
          </w:p>
        </w:tc>
        <w:tc>
          <w:tcPr>
            <w:shd w:val="clear" w:color="auto" w:fill="F4F1EC"/>
          </w:tcPr>
          <w:p>
            <w:pPr>
              <w:pStyle w:val="Compact"/>
              <w:spacing w:after="40" w:before="40"/>
              <w:jc w:val="left"/>
            </w:pPr>
            <w:r>
              <w:rPr>
                <w:rFonts w:ascii="Cambria" w:hAnsi="Cambria" w:cs="Cambria" w:eastAsia="Cambria"/>
                <w:b/>
                <w:bCs/>
                <w:color w:val="1A1A1A"/>
                <w:sz w:val="18"/>
              </w:rPr>
              <w:t xml:space="preserve">Telaio completo</w:t>
            </w:r>
          </w:p>
        </w:tc>
        <w:tc>
          <w:tcPr>
            <w:shd w:val="clear" w:color="auto" w:fill="F4F1EC"/>
          </w:tcPr>
          <w:p>
            <w:pPr>
              <w:pStyle w:val="Compact"/>
              <w:spacing w:after="40" w:before="40"/>
              <w:jc w:val="left"/>
            </w:pPr>
            <w:r>
              <w:rPr>
                <w:rFonts w:ascii="Cambria" w:hAnsi="Cambria" w:cs="Cambria" w:eastAsia="Cambria"/>
                <w:color w:val="1A1A1A"/>
                <w:sz w:val="18"/>
              </w:rPr>
              <w:t xml:space="preserve">Parti A–M; Appendici; Frontespizio; Note; Documento unico; Integrale</w:t>
            </w:r>
          </w:p>
        </w:tc>
      </w:tr>
      <w:tr>
        <w:tc>
          <w:tcPr/>
          <w:p>
            <w:pPr>
              <w:pStyle w:val="Compact"/>
              <w:spacing w:after="40" w:before="40"/>
              <w:jc w:val="left"/>
            </w:pPr>
            <w:r>
              <w:rPr>
                <w:rFonts w:ascii="Cambria" w:hAnsi="Cambria" w:cs="Cambria" w:eastAsia="Cambria"/>
                <w:b/>
                <w:bCs/>
                <w:color w:val="1A1A1A"/>
                <w:sz w:val="18"/>
              </w:rPr>
              <w:t xml:space="preserve">Lombardia</w:t>
            </w:r>
          </w:p>
        </w:tc>
        <w:tc>
          <w:tcPr/>
          <w:p>
            <w:pPr>
              <w:pStyle w:val="Compact"/>
              <w:spacing w:after="40" w:before="40"/>
              <w:jc w:val="left"/>
            </w:pPr>
            <w:r>
              <w:rPr>
                <w:rFonts w:ascii="Cambria" w:hAnsi="Cambria" w:cs="Cambria" w:eastAsia="Cambria"/>
                <w:b/>
                <w:bCs/>
                <w:color w:val="1A1A1A"/>
                <w:sz w:val="18"/>
              </w:rPr>
              <w:t xml:space="preserve">Telaio completo</w:t>
            </w:r>
          </w:p>
        </w:tc>
        <w:tc>
          <w:tcPr/>
          <w:p>
            <w:pPr>
              <w:pStyle w:val="Compact"/>
              <w:spacing w:after="40" w:before="40"/>
              <w:jc w:val="left"/>
            </w:pPr>
            <w:r>
              <w:rPr>
                <w:rFonts w:ascii="Cambria" w:hAnsi="Cambria" w:cs="Cambria" w:eastAsia="Cambria"/>
                <w:color w:val="1A1A1A"/>
                <w:sz w:val="18"/>
              </w:rPr>
              <w:t xml:space="preserve">Parti A–M; Appendici; Frontespizio; Note; Documento unico; Integrale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Marche</w:t>
            </w:r>
          </w:p>
        </w:tc>
        <w:tc>
          <w:tcPr>
            <w:shd w:val="clear" w:color="auto" w:fill="F4F1EC"/>
          </w:tcPr>
          <w:p>
            <w:pPr>
              <w:pStyle w:val="Compact"/>
              <w:spacing w:after="40" w:before="40"/>
              <w:jc w:val="left"/>
            </w:pPr>
            <w:r>
              <w:rPr>
                <w:rFonts w:ascii="Cambria" w:hAnsi="Cambria" w:cs="Cambria" w:eastAsia="Cambria"/>
                <w:b/>
                <w:bCs/>
                <w:color w:val="1A1A1A"/>
                <w:sz w:val="18"/>
              </w:rPr>
              <w:t xml:space="preserve">Telaio assente</w:t>
            </w:r>
          </w:p>
        </w:tc>
        <w:tc>
          <w:tcPr>
            <w:shd w:val="clear" w:color="auto" w:fill="F4F1EC"/>
          </w:tcPr>
          <w:p>
            <w:pPr>
              <w:pStyle w:val="Compact"/>
              <w:spacing w:after="40" w:before="40"/>
              <w:jc w:val="left"/>
            </w:pPr>
            <w:r>
              <w:rPr>
                <w:rFonts w:ascii="Cambria" w:hAnsi="Cambria" w:cs="Cambria" w:eastAsia="Cambria"/>
                <w:color w:val="1A1A1A"/>
                <w:sz w:val="18"/>
              </w:rPr>
              <w:t xml:space="preserve">Presente solo lo studio in formato semplificato</w:t>
            </w:r>
          </w:p>
        </w:tc>
      </w:tr>
      <w:tr>
        <w:tc>
          <w:tcPr/>
          <w:p>
            <w:pPr>
              <w:pStyle w:val="Compact"/>
              <w:spacing w:after="40" w:before="40"/>
              <w:jc w:val="left"/>
            </w:pPr>
            <w:r>
              <w:rPr>
                <w:rFonts w:ascii="Cambria" w:hAnsi="Cambria" w:cs="Cambria" w:eastAsia="Cambria"/>
                <w:b/>
                <w:bCs/>
                <w:color w:val="1A1A1A"/>
                <w:sz w:val="18"/>
              </w:rPr>
              <w:t xml:space="preserve">Molise</w:t>
            </w:r>
          </w:p>
        </w:tc>
        <w:tc>
          <w:tcPr/>
          <w:p>
            <w:pPr>
              <w:pStyle w:val="Compact"/>
              <w:spacing w:after="40" w:before="40"/>
              <w:jc w:val="left"/>
            </w:pPr>
            <w:r>
              <w:rPr>
                <w:rFonts w:ascii="Cambria" w:hAnsi="Cambria" w:cs="Cambria" w:eastAsia="Cambria"/>
                <w:b/>
                <w:bCs/>
                <w:color w:val="1A1A1A"/>
                <w:sz w:val="18"/>
              </w:rPr>
              <w:t xml:space="preserve">Telaio assente</w:t>
            </w:r>
          </w:p>
        </w:tc>
        <w:tc>
          <w:tcPr/>
          <w:p>
            <w:pPr>
              <w:pStyle w:val="Compact"/>
              <w:spacing w:after="40" w:before="40"/>
              <w:jc w:val="left"/>
            </w:pPr>
            <w:r>
              <w:rPr>
                <w:rFonts w:ascii="Cambria" w:hAnsi="Cambria" w:cs="Cambria" w:eastAsia="Cambria"/>
                <w:color w:val="1A1A1A"/>
                <w:sz w:val="18"/>
              </w:rPr>
              <w:t xml:space="preserve">Presente solo lo studio in formato semplificato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Piemonte</w:t>
            </w:r>
          </w:p>
        </w:tc>
        <w:tc>
          <w:tcPr>
            <w:shd w:val="clear" w:color="auto" w:fill="F4F1EC"/>
          </w:tcPr>
          <w:p>
            <w:pPr>
              <w:pStyle w:val="Compact"/>
              <w:spacing w:after="40" w:before="40"/>
              <w:jc w:val="left"/>
            </w:pPr>
            <w:r>
              <w:rPr>
                <w:rFonts w:ascii="Cambria" w:hAnsi="Cambria" w:cs="Cambria" w:eastAsia="Cambria"/>
                <w:b/>
                <w:bCs/>
                <w:color w:val="1A1A1A"/>
                <w:sz w:val="18"/>
              </w:rPr>
              <w:t xml:space="preserve">Telaio completo</w:t>
            </w:r>
          </w:p>
        </w:tc>
        <w:tc>
          <w:tcPr>
            <w:shd w:val="clear" w:color="auto" w:fill="F4F1EC"/>
          </w:tcPr>
          <w:p>
            <w:pPr>
              <w:pStyle w:val="Compact"/>
              <w:spacing w:after="40" w:before="40"/>
              <w:jc w:val="left"/>
            </w:pPr>
            <w:r>
              <w:rPr>
                <w:rFonts w:ascii="Cambria" w:hAnsi="Cambria" w:cs="Cambria" w:eastAsia="Cambria"/>
                <w:color w:val="1A1A1A"/>
                <w:sz w:val="18"/>
              </w:rPr>
              <w:t xml:space="preserve">Parti A–M; Appendici; Frontespizio; Note; Documento unico; Integrale</w:t>
            </w:r>
          </w:p>
        </w:tc>
      </w:tr>
      <w:tr>
        <w:tc>
          <w:tcPr/>
          <w:p>
            <w:pPr>
              <w:pStyle w:val="Compact"/>
              <w:spacing w:after="40" w:before="40"/>
              <w:jc w:val="left"/>
            </w:pPr>
            <w:r>
              <w:rPr>
                <w:rFonts w:ascii="Cambria" w:hAnsi="Cambria" w:cs="Cambria" w:eastAsia="Cambria"/>
                <w:b/>
                <w:bCs/>
                <w:color w:val="1A1A1A"/>
                <w:sz w:val="18"/>
              </w:rPr>
              <w:t xml:space="preserve">Puglia</w:t>
            </w:r>
          </w:p>
        </w:tc>
        <w:tc>
          <w:tcPr/>
          <w:p>
            <w:pPr>
              <w:pStyle w:val="Compact"/>
              <w:spacing w:after="40" w:before="40"/>
              <w:jc w:val="left"/>
            </w:pPr>
            <w:r>
              <w:rPr>
                <w:rFonts w:ascii="Cambria" w:hAnsi="Cambria" w:cs="Cambria" w:eastAsia="Cambria"/>
                <w:b/>
                <w:bCs/>
                <w:color w:val="1A1A1A"/>
                <w:sz w:val="18"/>
              </w:rPr>
              <w:t xml:space="preserve">Telaio completo</w:t>
            </w:r>
          </w:p>
        </w:tc>
        <w:tc>
          <w:tcPr/>
          <w:p>
            <w:pPr>
              <w:pStyle w:val="Compact"/>
              <w:spacing w:after="40" w:before="40"/>
              <w:jc w:val="left"/>
            </w:pPr>
            <w:r>
              <w:rPr>
                <w:rFonts w:ascii="Cambria" w:hAnsi="Cambria" w:cs="Cambria" w:eastAsia="Cambria"/>
                <w:color w:val="1A1A1A"/>
                <w:sz w:val="18"/>
              </w:rPr>
              <w:t xml:space="preserve">Parti A–M; Appendici; Note; Documento unico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Sardegna</w:t>
            </w:r>
          </w:p>
        </w:tc>
        <w:tc>
          <w:tcPr>
            <w:shd w:val="clear" w:color="auto" w:fill="F4F1EC"/>
          </w:tcPr>
          <w:p>
            <w:pPr>
              <w:pStyle w:val="Compact"/>
              <w:spacing w:after="40" w:before="40"/>
              <w:jc w:val="left"/>
            </w:pPr>
            <w:r>
              <w:rPr>
                <w:rFonts w:ascii="Cambria" w:hAnsi="Cambria" w:cs="Cambria" w:eastAsia="Cambria"/>
                <w:b/>
                <w:bCs/>
                <w:color w:val="1A1A1A"/>
                <w:sz w:val="18"/>
              </w:rPr>
              <w:t xml:space="preserve">Telaio quasi completo</w:t>
            </w:r>
          </w:p>
        </w:tc>
        <w:tc>
          <w:tcPr>
            <w:shd w:val="clear" w:color="auto" w:fill="F4F1EC"/>
          </w:tcPr>
          <w:p>
            <w:pPr>
              <w:pStyle w:val="Compact"/>
              <w:spacing w:after="40" w:before="40"/>
              <w:jc w:val="left"/>
            </w:pPr>
            <w:r>
              <w:rPr>
                <w:rFonts w:ascii="Cambria" w:hAnsi="Cambria" w:cs="Cambria" w:eastAsia="Cambria"/>
                <w:color w:val="1A1A1A"/>
                <w:sz w:val="18"/>
              </w:rPr>
              <w:t xml:space="preserve">Parti A–M; Integrale (mancano Appendici, Frontespizio, Note)</w:t>
            </w:r>
          </w:p>
        </w:tc>
      </w:tr>
      <w:tr>
        <w:tc>
          <w:tcPr/>
          <w:p>
            <w:pPr>
              <w:pStyle w:val="Compact"/>
              <w:spacing w:after="40" w:before="40"/>
              <w:jc w:val="left"/>
            </w:pPr>
            <w:r>
              <w:rPr>
                <w:rFonts w:ascii="Cambria" w:hAnsi="Cambria" w:cs="Cambria" w:eastAsia="Cambria"/>
                <w:b/>
                <w:bCs/>
                <w:color w:val="1A1A1A"/>
                <w:sz w:val="18"/>
              </w:rPr>
              <w:t xml:space="preserve">Sicilia</w:t>
            </w:r>
          </w:p>
        </w:tc>
        <w:tc>
          <w:tcPr/>
          <w:p>
            <w:pPr>
              <w:pStyle w:val="Compact"/>
              <w:spacing w:after="40" w:before="40"/>
              <w:jc w:val="left"/>
            </w:pPr>
            <w:r>
              <w:rPr>
                <w:rFonts w:ascii="Cambria" w:hAnsi="Cambria" w:cs="Cambria" w:eastAsia="Cambria"/>
                <w:b/>
                <w:bCs/>
                <w:color w:val="1A1A1A"/>
                <w:sz w:val="18"/>
              </w:rPr>
              <w:t xml:space="preserve">Telaio completo</w:t>
            </w:r>
          </w:p>
        </w:tc>
        <w:tc>
          <w:tcPr/>
          <w:p>
            <w:pPr>
              <w:pStyle w:val="Compact"/>
              <w:spacing w:after="40" w:before="40"/>
              <w:jc w:val="left"/>
            </w:pPr>
            <w:r>
              <w:rPr>
                <w:rFonts w:ascii="Cambria" w:hAnsi="Cambria" w:cs="Cambria" w:eastAsia="Cambria"/>
                <w:color w:val="1A1A1A"/>
                <w:sz w:val="18"/>
              </w:rPr>
              <w:t xml:space="preserve">Parti A–M; Appendici; Frontespizio; Note; Documento unico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Toscana</w:t>
            </w:r>
          </w:p>
        </w:tc>
        <w:tc>
          <w:tcPr>
            <w:shd w:val="clear" w:color="auto" w:fill="F4F1EC"/>
          </w:tcPr>
          <w:p>
            <w:pPr>
              <w:pStyle w:val="Compact"/>
              <w:spacing w:after="40" w:before="40"/>
              <w:jc w:val="left"/>
            </w:pPr>
            <w:r>
              <w:rPr>
                <w:rFonts w:ascii="Cambria" w:hAnsi="Cambria" w:cs="Cambria" w:eastAsia="Cambria"/>
                <w:b/>
                <w:bCs/>
                <w:color w:val="1A1A1A"/>
                <w:sz w:val="18"/>
              </w:rPr>
              <w:t xml:space="preserve">Telaio completo</w:t>
            </w:r>
          </w:p>
        </w:tc>
        <w:tc>
          <w:tcPr>
            <w:shd w:val="clear" w:color="auto" w:fill="F4F1EC"/>
          </w:tcPr>
          <w:p>
            <w:pPr>
              <w:pStyle w:val="Compact"/>
              <w:spacing w:after="40" w:before="40"/>
              <w:jc w:val="left"/>
            </w:pPr>
            <w:r>
              <w:rPr>
                <w:rFonts w:ascii="Cambria" w:hAnsi="Cambria" w:cs="Cambria" w:eastAsia="Cambria"/>
                <w:color w:val="1A1A1A"/>
                <w:sz w:val="18"/>
              </w:rPr>
              <w:t xml:space="preserve">Parti A–M; Appendici; Frontespizio; Note; Documento unico; Integrale</w:t>
            </w:r>
          </w:p>
        </w:tc>
      </w:tr>
      <w:tr>
        <w:tc>
          <w:tcPr/>
          <w:p>
            <w:pPr>
              <w:pStyle w:val="Compact"/>
              <w:spacing w:after="40" w:before="40"/>
              <w:jc w:val="left"/>
            </w:pPr>
            <w:r>
              <w:rPr>
                <w:rFonts w:ascii="Cambria" w:hAnsi="Cambria" w:cs="Cambria" w:eastAsia="Cambria"/>
                <w:b/>
                <w:bCs/>
                <w:color w:val="1A1A1A"/>
                <w:sz w:val="18"/>
              </w:rPr>
              <w:t xml:space="preserve">Trentino-Alto Adige</w:t>
            </w:r>
          </w:p>
        </w:tc>
        <w:tc>
          <w:tcPr/>
          <w:p>
            <w:pPr>
              <w:pStyle w:val="Compact"/>
              <w:spacing w:after="40" w:before="40"/>
              <w:jc w:val="left"/>
            </w:pPr>
            <w:r>
              <w:rPr>
                <w:rFonts w:ascii="Cambria" w:hAnsi="Cambria" w:cs="Cambria" w:eastAsia="Cambria"/>
                <w:b/>
                <w:bCs/>
                <w:color w:val="1A1A1A"/>
                <w:sz w:val="18"/>
              </w:rPr>
              <w:t xml:space="preserve">Telaio completo</w:t>
            </w:r>
          </w:p>
        </w:tc>
        <w:tc>
          <w:tcPr/>
          <w:p>
            <w:pPr>
              <w:pStyle w:val="Compact"/>
              <w:spacing w:after="40" w:before="40"/>
              <w:jc w:val="left"/>
            </w:pPr>
            <w:r>
              <w:rPr>
                <w:rFonts w:ascii="Cambria" w:hAnsi="Cambria" w:cs="Cambria" w:eastAsia="Cambria"/>
                <w:color w:val="1A1A1A"/>
                <w:sz w:val="18"/>
              </w:rPr>
              <w:t xml:space="preserve">Parti A–M; Appendici; Frontespizio; Note; Documento unico; Integrale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Umbria</w:t>
            </w:r>
          </w:p>
        </w:tc>
        <w:tc>
          <w:tcPr>
            <w:shd w:val="clear" w:color="auto" w:fill="F4F1EC"/>
          </w:tcPr>
          <w:p>
            <w:pPr>
              <w:pStyle w:val="Compact"/>
              <w:spacing w:after="40" w:before="40"/>
              <w:jc w:val="left"/>
            </w:pPr>
            <w:r>
              <w:rPr>
                <w:rFonts w:ascii="Cambria" w:hAnsi="Cambria" w:cs="Cambria" w:eastAsia="Cambria"/>
                <w:b/>
                <w:bCs/>
                <w:color w:val="1A1A1A"/>
                <w:sz w:val="18"/>
              </w:rPr>
              <w:t xml:space="preserve">Telaio assente</w:t>
            </w:r>
          </w:p>
        </w:tc>
        <w:tc>
          <w:tcPr>
            <w:shd w:val="clear" w:color="auto" w:fill="F4F1EC"/>
          </w:tcPr>
          <w:p>
            <w:pPr>
              <w:pStyle w:val="Compact"/>
              <w:spacing w:after="40" w:before="40"/>
              <w:jc w:val="left"/>
            </w:pPr>
            <w:r>
              <w:rPr>
                <w:rFonts w:ascii="Cambria" w:hAnsi="Cambria" w:cs="Cambria" w:eastAsia="Cambria"/>
                <w:color w:val="1A1A1A"/>
                <w:sz w:val="18"/>
              </w:rPr>
              <w:t xml:space="preserve">Presente solo lo studio in formato semplificato (2 versioni)</w:t>
            </w:r>
          </w:p>
        </w:tc>
      </w:tr>
      <w:tr>
        <w:tc>
          <w:tcPr/>
          <w:p>
            <w:pPr>
              <w:pStyle w:val="Compact"/>
              <w:spacing w:after="40" w:before="40"/>
              <w:jc w:val="left"/>
            </w:pPr>
            <w:r>
              <w:rPr>
                <w:rFonts w:ascii="Cambria" w:hAnsi="Cambria" w:cs="Cambria" w:eastAsia="Cambria"/>
                <w:b/>
                <w:bCs/>
                <w:color w:val="1A1A1A"/>
                <w:sz w:val="18"/>
              </w:rPr>
              <w:t xml:space="preserve">Valle d’Aosta</w:t>
            </w:r>
          </w:p>
        </w:tc>
        <w:tc>
          <w:tcPr/>
          <w:p>
            <w:pPr>
              <w:pStyle w:val="Compact"/>
              <w:spacing w:after="40" w:before="40"/>
              <w:jc w:val="left"/>
            </w:pPr>
            <w:r>
              <w:rPr>
                <w:rFonts w:ascii="Cambria" w:hAnsi="Cambria" w:cs="Cambria" w:eastAsia="Cambria"/>
                <w:b/>
                <w:bCs/>
                <w:color w:val="1A1A1A"/>
                <w:sz w:val="18"/>
              </w:rPr>
              <w:t xml:space="preserve">Telaio assente</w:t>
            </w:r>
          </w:p>
        </w:tc>
        <w:tc>
          <w:tcPr/>
          <w:p>
            <w:pPr>
              <w:pStyle w:val="Compact"/>
              <w:spacing w:after="40" w:before="40"/>
              <w:jc w:val="left"/>
            </w:pPr>
            <w:r>
              <w:rPr>
                <w:rFonts w:ascii="Cambria" w:hAnsi="Cambria" w:cs="Cambria" w:eastAsia="Cambria"/>
                <w:color w:val="1A1A1A"/>
                <w:sz w:val="18"/>
              </w:rPr>
              <w:t xml:space="preserve">Presente solo lo studio in formato semplificato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Veneto</w:t>
            </w:r>
          </w:p>
        </w:tc>
        <w:tc>
          <w:tcPr>
            <w:shd w:val="clear" w:color="auto" w:fill="F4F1EC"/>
          </w:tcPr>
          <w:p>
            <w:pPr>
              <w:pStyle w:val="Compact"/>
              <w:spacing w:after="40" w:before="40"/>
              <w:jc w:val="left"/>
            </w:pPr>
            <w:r>
              <w:rPr>
                <w:rFonts w:ascii="Cambria" w:hAnsi="Cambria" w:cs="Cambria" w:eastAsia="Cambria"/>
                <w:b/>
                <w:bCs/>
                <w:color w:val="1A1A1A"/>
                <w:sz w:val="18"/>
              </w:rPr>
              <w:t xml:space="preserve">Telaio quasi completo</w:t>
            </w:r>
          </w:p>
        </w:tc>
        <w:tc>
          <w:tcPr>
            <w:shd w:val="clear" w:color="auto" w:fill="F4F1EC"/>
          </w:tcPr>
          <w:p>
            <w:pPr>
              <w:pStyle w:val="Compact"/>
              <w:spacing w:after="40" w:before="40"/>
              <w:jc w:val="left"/>
            </w:pPr>
            <w:r>
              <w:rPr>
                <w:rFonts w:ascii="Cambria" w:hAnsi="Cambria" w:cs="Cambria" w:eastAsia="Cambria"/>
                <w:color w:val="1A1A1A"/>
                <w:sz w:val="18"/>
              </w:rPr>
              <w:t xml:space="preserve">Parti A–M; Appendici; Integrale (mancano Frontespizio, Note, Documento unico)</w:t>
            </w:r>
          </w:p>
        </w:tc>
      </w:tr>
    </w:tbl>
    <w:bookmarkEnd w:id="1091"/>
    <w:bookmarkStart w:id="1092" w:name="registro-analitico-completo"/>
    <w:bookmarkEnd w:id="1092"/>
    <w:bookmarkEnd w:id="1093"/>
    <w:bookmarkStart w:id="1119" w:name="X943032072ddab92a4e0958ddd61068ed588f5a5"/>
    <w:p>
      <w:pPr>
        <w:pStyle w:val="Heading1"/>
      </w:pPr>
      <w:r>
        <w:t xml:space="preserve">Appendice VII — Quadro di efficacia ed evidenza dal telaio HTA regionale</w:t>
      </w:r>
    </w:p>
    <w:p>
      <w:pPr>
        <w:pStyle w:val="FirstParagraph"/>
      </w:pPr>
      <w:r>
        <w:t xml:space="preserve">L’appendice consolida nel volume il quadro di efficacia ed evidenza prodotto entro il telaio HTA regionale e assolve, sino al conferimento del testo integrale definitivo della Parte VI, la funzione di presidio probatorio dell’efficacia clinica dell’intervento.</w:t>
      </w:r>
    </w:p>
    <w:p>
      <w:pPr>
        <w:pStyle w:val="BodyText"/>
      </w:pPr>
      <w:r>
        <w:t xml:space="preserve">Studio regionale Puglia · Parte D · Efficacia clinica ed evidenza</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Revisione sistematica, qualità dell</w:t>
      </w:r>
      <w:r>
        <w:rPr>
          <w:b/>
          <w:bCs/>
          <w:i/>
          <w:iCs/>
        </w:rPr>
        <w:t xml:space="preserve">’</w:t>
      </w:r>
      <w:r>
        <w:rPr>
          <w:i/>
          <w:iCs/>
        </w:rPr>
        <w:t xml:space="preserve">evidenza, benchmark internazionali, trasferibilità al contesto regionale</w:t>
      </w:r>
    </w:p>
    <w:p>
      <w:pPr>
        <w:pStyle w:val="BodyText"/>
      </w:pPr>
      <w:r>
        <w:t xml:space="preserve">Dominio 4 del modello HTA · nucleo della valutazione clinica · criterio di efficacia</w:t>
      </w:r>
    </w:p>
    <w:p>
      <w:pPr>
        <w:pStyle w:val="BodyText"/>
      </w:pPr>
      <w:r>
        <w:rPr>
          <w:b/>
          <w:bCs/>
        </w:rPr>
        <w:t xml:space="preserve">Indice</w:t>
      </w:r>
    </w:p>
    <w:bookmarkStart w:id="1118" w:name="parte-d-efficacia-clinica-ed-evidenza"/>
    <w:p>
      <w:pPr>
        <w:pStyle w:val="Heading2"/>
      </w:pPr>
      <w:r>
        <w:t xml:space="preserve">Parte D — Efficacia clinica ed evidenza</w:t>
      </w:r>
    </w:p>
    <w:p>
      <w:pPr>
        <w:pStyle w:val="FirstParagraph"/>
      </w:pPr>
      <w:r>
        <w:t xml:space="preserve">Questa parte corrisponde al quarto dominio della valutazione di tecnologia sanitaria, l’efficacia clinica, e con i primi tre forma il nucleo che la prassi europea designa come valutazione rapida di efficacia relativa; risponde al criterio di efficacia della griglia di giudizio. Stabilito che cosa la riforma è, qui si accerta se essa funzioni: con quale solidità l’evidenza ne sostiene gli effetti (capitolo D.1), quanto sia certa tale evidenza (D.2), che cosa documentino i programmi internazionali più affini (D.3) e in che misura quei risultati siano trasferibili al contesto pugliese (D.4).</w:t>
      </w:r>
      <w:r>
        <w:rPr>
          <w:rStyle w:val="FootnoteReference"/>
        </w:rPr>
        <w:footnoteReference w:id="446"/>
      </w:r>
      <w:r>
        <w:t xml:space="preserve"> </w:t>
      </w:r>
      <w:r>
        <w:t xml:space="preserve">La sintesi è condotta secondo standard riconosciuti, e la sua certezza è graduata in modo esplicito, perché una valutazione difendibile dichiara non solo ciò che l’evidenza mostra, ma anche quanto vi si possa fare affidamento.</w:t>
      </w:r>
    </w:p>
    <w:bookmarkStart w:id="1101" w:name="d.1-la-revisione-sistematica"/>
    <w:p>
      <w:pPr>
        <w:pStyle w:val="Heading3"/>
      </w:pPr>
      <w:r>
        <w:t xml:space="preserve">D.1 La revisione sistematica</w:t>
      </w:r>
    </w:p>
    <w:p>
      <w:pPr>
        <w:pStyle w:val="FirstParagraph"/>
      </w:pPr>
      <w:r>
        <w:t xml:space="preserve">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strutturata dei dati e sintesi. Gli studi sui dati reali sono trattati secondo la lista STROBE.</w:t>
      </w:r>
      <w:r>
        <w:rPr>
          <w:rStyle w:val="FootnoteReference"/>
        </w:rPr>
        <w:footnoteReference w:id="447"/>
      </w:r>
      <w:r>
        <w:t xml:space="preserve"> </w:t>
      </w:r>
      <w:r>
        <w:t xml:space="preserve">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w:t>
      </w:r>
    </w:p>
    <w:p>
      <w:pPr>
        <w:pStyle w:val="BodyText"/>
      </w:pPr>
      <w:r>
        <w:t xml:space="preserve">Il paradigma del Collaborative Care è il più studiato: è stato validato da oltre novanta studi randomizzati controllati, e uno studio fondativo documentò che circa la metà dei pazienti otteneva una riduzione dei sintomi pari almeno alla metà a dodici mesi, contro meno di un quinto nella cura usuale.</w:t>
      </w:r>
      <w:r>
        <w:rPr>
          <w:rStyle w:val="FootnoteReference"/>
        </w:rPr>
        <w:footnoteReference w:id="448"/>
      </w:r>
      <w:r>
        <w:t xml:space="preserve"> </w:t>
      </w:r>
      <w:r>
        <w:t xml:space="preserve">Una meta-analisi su cinquantasette studi controllati ha stimato un miglioramento medio dei sintomi depressivi pari a 0,28 deviazioni standard,</w:t>
      </w:r>
      <w:r>
        <w:rPr>
          <w:rStyle w:val="FootnoteReference"/>
        </w:rPr>
        <w:footnoteReference w:id="449"/>
      </w:r>
      <w:r>
        <w:t xml:space="preserve"> </w:t>
      </w:r>
      <w:r>
        <w:t xml:space="preserve">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w:t>
      </w:r>
      <w:r>
        <w:rPr>
          <w:rStyle w:val="FootnoteReference"/>
        </w:rPr>
        <w:footnoteReference w:id="450"/>
      </w:r>
      <w:r>
        <w:t xml:space="preserve"> </w:t>
      </w:r>
      <w:r>
        <w:t xml:space="preserve">La misura degli effetti si fonda ovunque su strumenti validati, il PHQ-9 e il GAD-7, dotati di buona sensibilità e specificità.</w:t>
      </w:r>
      <w:r>
        <w:rPr>
          <w:rStyle w:val="FootnoteReference"/>
        </w:rPr>
        <w:footnoteReference w:id="451"/>
      </w:r>
    </w:p>
    <w:p>
      <w:pPr>
        <w:pStyle w:val="BodyText"/>
      </w:pPr>
      <w:r>
        <w:t xml:space="preserve">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perciò trattamenti più intensivi e costosi.</w:t>
      </w:r>
      <w:r>
        <w:rPr>
          <w:rStyle w:val="FootnoteReference"/>
        </w:rPr>
        <w:footnoteReference w:id="452"/>
      </w:r>
      <w:r>
        <w:t xml:space="preserve"> </w:t>
      </w:r>
      <w:r>
        <w:t xml:space="preserve">È questa la logica per cui un effetto individuale contenuto si traduce, sulla popolazione pugliese di 780.000 persone con disagio comune, in un beneficio clinico e di sistema sostanziale. La tabella seguente riepiloga i principali risultati della letteratura.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Risultato principale</w:t>
            </w:r>
          </w:p>
        </w:tc>
      </w:tr>
      <w:tr>
        <w:tc>
          <w:tcPr/>
          <w:p>
            <w:pPr>
              <w:pStyle w:val="Compact"/>
              <w:spacing w:after="40" w:before="40"/>
              <w:jc w:val="left"/>
            </w:pPr>
            <w:r>
              <w:rPr>
                <w:rFonts w:ascii="Cambria" w:hAnsi="Cambria" w:cs="Cambria" w:eastAsia="Cambria"/>
                <w:b/>
                <w:bCs/>
                <w:color w:val="1A1A1A"/>
                <w:sz w:val="18"/>
              </w:rPr>
              <w:t xml:space="preserve">Studio fondativo (JAMA, 2002)</w:t>
            </w:r>
          </w:p>
        </w:tc>
        <w:tc>
          <w:tcPr/>
          <w:p>
            <w:pPr>
              <w:pStyle w:val="Compact"/>
              <w:spacing w:after="40" w:before="40"/>
              <w:jc w:val="left"/>
            </w:pPr>
            <w:r>
              <w:rPr>
                <w:rFonts w:ascii="Cambria" w:hAnsi="Cambria" w:cs="Cambria" w:eastAsia="Cambria"/>
                <w:color w:val="1A1A1A"/>
                <w:sz w:val="18"/>
              </w:rPr>
              <w:t xml:space="preserve">~ 50% dei pazienti con riduzione ≥ 50% dei sintomi a 12 mesi, contro 19% nella cura usuale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Meta-analisi su 57 studi (2012)</w:t>
            </w:r>
          </w:p>
        </w:tc>
        <w:tc>
          <w:tcPr>
            <w:shd w:val="clear" w:color="auto" w:fill="F4F1EC"/>
          </w:tcPr>
          <w:p>
            <w:pPr>
              <w:pStyle w:val="Compact"/>
              <w:spacing w:after="40" w:before="40"/>
              <w:jc w:val="left"/>
            </w:pPr>
            <w:r>
              <w:rPr>
                <w:rFonts w:ascii="Cambria" w:hAnsi="Cambria" w:cs="Cambria" w:eastAsia="Cambria"/>
                <w:color w:val="1A1A1A"/>
                <w:sz w:val="18"/>
              </w:rPr>
              <w:t xml:space="preserve">Miglioramento medio dei sintomi depressivi di 0,28 deviazioni standard</w:t>
            </w:r>
          </w:p>
        </w:tc>
      </w:tr>
      <w:tr>
        <w:tc>
          <w:tcPr/>
          <w:p>
            <w:pPr>
              <w:pStyle w:val="Compact"/>
              <w:spacing w:after="40" w:before="40"/>
              <w:jc w:val="left"/>
            </w:pPr>
            <w:r>
              <w:rPr>
                <w:rFonts w:ascii="Cambria" w:hAnsi="Cambria" w:cs="Cambria" w:eastAsia="Cambria"/>
                <w:b/>
                <w:bCs/>
                <w:color w:val="1A1A1A"/>
                <w:sz w:val="18"/>
              </w:rPr>
              <w:t xml:space="preserve">Revisione su 42 implementazioni (2024)</w:t>
            </w:r>
          </w:p>
        </w:tc>
        <w:tc>
          <w:tcPr/>
          <w:p>
            <w:pPr>
              <w:pStyle w:val="Compact"/>
              <w:spacing w:after="40" w:before="40"/>
              <w:jc w:val="left"/>
            </w:pPr>
            <w:r>
              <w:rPr>
                <w:rFonts w:ascii="Cambria" w:hAnsi="Cambria" w:cs="Cambria" w:eastAsia="Cambria"/>
                <w:color w:val="1A1A1A"/>
                <w:sz w:val="18"/>
              </w:rPr>
              <w:t xml:space="preserve">−47% depressione e −43% ansia a 6 mesi; −34% accessi al PS; −41% ricoveri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Programma inglese, dati reali (2023–2024)</w:t>
            </w:r>
          </w:p>
        </w:tc>
        <w:tc>
          <w:tcPr>
            <w:shd w:val="clear" w:color="auto" w:fill="F4F1EC"/>
          </w:tcPr>
          <w:p>
            <w:pPr>
              <w:pStyle w:val="Compact"/>
              <w:spacing w:after="40" w:before="40"/>
              <w:jc w:val="left"/>
            </w:pPr>
            <w:r>
              <w:rPr>
                <w:rFonts w:ascii="Cambria" w:hAnsi="Cambria" w:cs="Cambria" w:eastAsia="Cambria"/>
                <w:color w:val="1A1A1A"/>
                <w:sz w:val="18"/>
              </w:rPr>
              <w:t xml:space="preserve">Recupero 50,2%; miglioramento affidabile 67,8%; completezza dei dati &gt; 98%</w:t>
            </w:r>
          </w:p>
        </w:tc>
      </w:tr>
      <w:tr>
        <w:tc>
          <w:tcPr/>
          <w:p>
            <w:pPr>
              <w:pStyle w:val="Compact"/>
              <w:spacing w:after="40" w:before="40"/>
              <w:jc w:val="left"/>
            </w:pPr>
            <w:r>
              <w:rPr>
                <w:rFonts w:ascii="Cambria" w:hAnsi="Cambria" w:cs="Cambria" w:eastAsia="Cambria"/>
                <w:b/>
                <w:bCs/>
                <w:color w:val="1A1A1A"/>
                <w:sz w:val="18"/>
              </w:rPr>
              <w:t xml:space="preserve">Meta-analisi sulle cure integrate</w:t>
            </w:r>
          </w:p>
        </w:tc>
        <w:tc>
          <w:tcPr/>
          <w:p>
            <w:pPr>
              <w:pStyle w:val="Compact"/>
              <w:spacing w:after="40" w:before="40"/>
              <w:jc w:val="left"/>
            </w:pPr>
            <w:r>
              <w:rPr>
                <w:rFonts w:ascii="Cambria" w:hAnsi="Cambria" w:cs="Cambria" w:eastAsia="Cambria"/>
                <w:color w:val="1A1A1A"/>
                <w:sz w:val="18"/>
              </w:rP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w:t>
      </w:r>
      <w:r>
        <w:rPr>
          <w:b/>
          <w:b/>
          <w:bCs/>
          <w:bCs/>
          <w:i/>
          <w:iCs/>
        </w:rPr>
        <w:t xml:space="preserve">efficacia dell</w:t>
      </w:r>
      <w:r>
        <w:rPr>
          <w:b/>
          <w:bCs/>
          <w:i/>
          <w:iCs/>
        </w:rPr>
        <w:t xml:space="preserve">’</w:t>
      </w:r>
      <w:r>
        <w:rPr>
          <w:i/>
          <w:iCs/>
        </w:rPr>
        <w:t xml:space="preserve">integrazione psicologica nelle cure primarie.</w:t>
      </w:r>
    </w:p>
    <w:bookmarkEnd w:id="1101"/>
    <w:bookmarkStart w:id="1105" w:name="d.2-la-qualità-dellevidenza"/>
    <w:p>
      <w:pPr>
        <w:pStyle w:val="Heading3"/>
      </w:pPr>
      <w:r>
        <w:t xml:space="preserve">D.2 La qualità dell’evidenza</w:t>
      </w:r>
    </w:p>
    <w:p>
      <w:pPr>
        <w:pStyle w:val="FirstParagraph"/>
      </w:pPr>
      <w:r>
        <w:t xml:space="preserve">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w:t>
      </w:r>
      <w:r>
        <w:rPr>
          <w:rStyle w:val="FootnoteReference"/>
        </w:rPr>
        <w:footnoteReference w:id="453"/>
      </w:r>
      <w:r>
        <w:t xml:space="preserve"> </w:t>
      </w:r>
      <w:r>
        <w:t xml:space="preserve">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pugliese — limita l’indirettezza.</w:t>
      </w:r>
    </w:p>
    <w:p>
      <w:pPr>
        <w:pStyle w:val="BodyText"/>
      </w:pPr>
      <w:r>
        <w:t xml:space="preserve">Un elemento rafforza ulteriormente la fiducia nei risultati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controllati si mantiene nell’attuazione reale a scala nazionale.</w:t>
      </w:r>
      <w:r>
        <w:rPr>
          <w:rStyle w:val="FootnoteReference"/>
        </w:rPr>
        <w:footnoteReference w:id="454"/>
      </w:r>
      <w:r>
        <w:rPr>
          <w:rStyle w:val="FootnoteReference"/>
        </w:rPr>
        <w:footnoteReference w:id="455"/>
      </w:r>
      <w:r>
        <w:t xml:space="preserve"> </w:t>
      </w:r>
      <w:r>
        <w:t xml:space="preserve">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in sintesi, è sufficiente a sostenere con fiducia l’attesa di efficacia, fermo restando che la conferma definitiva sui dati pugliesi è affidata alla verifica locale prevista dalla Parte L.</w:t>
      </w:r>
    </w:p>
    <w:bookmarkEnd w:id="1105"/>
    <w:bookmarkStart w:id="1112" w:name="d.3-i-benchmark-internazionali"/>
    <w:p>
      <w:pPr>
        <w:pStyle w:val="Heading3"/>
      </w:pPr>
      <w:r>
        <w:t xml:space="preserve">D.3 I benchmark internazionali</w:t>
      </w:r>
    </w:p>
    <w:p>
      <w:pPr>
        <w:pStyle w:val="FirstParagraph"/>
      </w:pPr>
      <w:r>
        <w:t xml:space="preserve">La valutazione si avvale del confronto con i programmi internazionali più autorevoli, che costituiscono la principale base comparativa dell’intero studio. Quattro esperienze, condotte in sistemi sanitari avanzati, documentano efficacia, scalabilità e sostenibilità dell’integrazione psicologica nelle cure primarie. Il programma inglese è la dimostrazione più solida: fondato sulla cura a intensità crescente e su un monitoraggio quasi completo degli esiti, mantiene un tasso di recupero intorno al 50% su scala nazionale.</w:t>
      </w:r>
      <w:r>
        <w:rPr>
          <w:rStyle w:val="FootnoteReference"/>
        </w:rPr>
        <w:footnoteReference w:id="456"/>
      </w:r>
      <w:r>
        <w:t xml:space="preserve"> </w:t>
      </w:r>
      <w:r>
        <w:t xml:space="preserve">Il modello olandese ha visto crescere l’adozione da circa un terzo a circa tre quarti dei medici di medicina generale in pochi anni, con il professionista psicologo integrato nelle cure primarie e finanziato nell’assicurazione di base.</w:t>
      </w:r>
      <w:r>
        <w:rPr>
          <w:rStyle w:val="FootnoteReference"/>
        </w:rPr>
        <w:footnoteReference w:id="457"/>
      </w:r>
      <w:r>
        <w:t xml:space="preserve"> </w:t>
      </w:r>
      <w:r>
        <w:t xml:space="preserve">L’iniziativa australiana ha esteso il trattamento dei disturbi mentali dal 35% al 46% della popolazione bisognosa, con elevata soddisfazione, sebbene operi per invio esterno e non per integrazione.</w:t>
      </w:r>
      <w:r>
        <w:rPr>
          <w:rStyle w:val="FootnoteReference"/>
        </w:rPr>
        <w:footnoteReference w:id="458"/>
      </w:r>
      <w:r>
        <w:t xml:space="preserve"> </w:t>
      </w:r>
      <w:r>
        <w:t xml:space="preserve">Il Collaborative Care statunitense, infine, è il paradigma più validato, con la più ampia base sperimentale.</w:t>
      </w:r>
      <w:r>
        <w:rPr>
          <w:rStyle w:val="FootnoteReference"/>
        </w:rPr>
        <w:footnoteReference w:id="459"/>
      </w:r>
    </w:p>
    <w:p>
      <w:pPr>
        <w:pStyle w:val="BodyText"/>
      </w:pPr>
      <w:r>
        <w:t xml:space="preserve">Due tratti accomunano i programmi più efficaci e orientano il disegno pugliese.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pugliese, fondato sull’inserimento dello psicologo nelle cure primarie con funzione di filtro, appartiene alla prima famiglia.</w:t>
      </w:r>
      <w:r>
        <w:rPr>
          <w:rStyle w:val="FootnoteReference"/>
        </w:rPr>
        <w:footnoteReference w:id="460"/>
      </w:r>
      <w:r>
        <w:t xml:space="preserve"> </w:t>
      </w:r>
      <w:r>
        <w:t xml:space="preserve">Il secondo è il ricorso crescente agli strumenti digitali quale leva di accesso e di capacità, già ampiamente adottato nel programma inglese. A queste esperienze internazionali si affiancano le sperimentazioni italiane, tra cui il modello Solano nel Lazio, che ne hanno anticipato su scala locale i principi.</w:t>
      </w:r>
      <w:r>
        <w:rPr>
          <w:rStyle w:val="FootnoteReference"/>
        </w:rPr>
        <w:footnoteReference w:id="461"/>
      </w:r>
      <w:r>
        <w:t xml:space="preserve"> </w:t>
      </w:r>
      <w:r>
        <w:t xml:space="preserve">La tabella seguente riepiloga i benchmark sul piano clinico e organizzativo; il confronto economico è sviluppato nella Parte 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Assetto</w:t>
            </w:r>
          </w:p>
        </w:tc>
        <w:tc>
          <w:tcPr>
            <w:shd w:val="clear" w:color="auto" w:fill="16264B"/>
          </w:tcPr>
          <w:p>
            <w:pPr>
              <w:pStyle w:val="Compact"/>
              <w:spacing w:after="40" w:before="40"/>
              <w:jc w:val="left"/>
            </w:pPr>
            <w:r>
              <w:rPr>
                <w:rFonts w:ascii="Cambria" w:hAnsi="Cambria" w:cs="Cambria" w:eastAsia="Cambria"/>
                <w:b/>
                <w:bCs/>
                <w:color w:val="FFFFFF"/>
                <w:sz w:val="18"/>
              </w:rPr>
              <w:t xml:space="preserve">Esiti clinici e organizzativi</w:t>
            </w:r>
          </w:p>
        </w:tc>
      </w:tr>
      <w:tr>
        <w:tc>
          <w:tcPr/>
          <w:p>
            <w:pPr>
              <w:pStyle w:val="Compact"/>
              <w:spacing w:after="40" w:before="40"/>
              <w:jc w:val="left"/>
            </w:pPr>
            <w:r>
              <w:rPr>
                <w:rFonts w:ascii="Cambria" w:hAnsi="Cambria" w:cs="Cambria" w:eastAsia="Cambria"/>
                <w:b/>
                <w:bCs/>
                <w:color w:val="1A1A1A"/>
                <w:sz w:val="18"/>
              </w:rPr>
              <w:t xml:space="preserve">Programma inglese (NHS Talking Therapies)</w:t>
            </w:r>
          </w:p>
        </w:tc>
        <w:tc>
          <w:tcPr/>
          <w:p>
            <w:pPr>
              <w:pStyle w:val="Compact"/>
              <w:spacing w:after="40" w:before="40"/>
              <w:jc w:val="left"/>
            </w:pPr>
            <w:r>
              <w:rPr>
                <w:rFonts w:ascii="Cambria" w:hAnsi="Cambria" w:cs="Cambria" w:eastAsia="Cambria"/>
                <w:color w:val="1A1A1A"/>
                <w:sz w:val="18"/>
              </w:rPr>
              <w:t xml:space="preserve">Integrato; intensità crescente</w:t>
            </w:r>
          </w:p>
        </w:tc>
        <w:tc>
          <w:tcPr/>
          <w:p>
            <w:pPr>
              <w:pStyle w:val="Compact"/>
              <w:spacing w:after="40" w:before="40"/>
              <w:jc w:val="left"/>
            </w:pPr>
            <w:r>
              <w:rPr>
                <w:rFonts w:ascii="Cambria" w:hAnsi="Cambria" w:cs="Cambria" w:eastAsia="Cambria"/>
                <w:color w:val="1A1A1A"/>
                <w:sz w:val="18"/>
              </w:rPr>
              <w:t xml:space="preserve">Recupero ~50%; monitoraggio &gt; 98%; &gt; 1,3 mln/anno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olandese (POH-GGZ)</w:t>
            </w:r>
          </w:p>
        </w:tc>
        <w:tc>
          <w:tcPr>
            <w:shd w:val="clear" w:color="auto" w:fill="F4F1EC"/>
          </w:tcPr>
          <w:p>
            <w:pPr>
              <w:pStyle w:val="Compact"/>
              <w:spacing w:after="40" w:before="40"/>
              <w:jc w:val="left"/>
            </w:pPr>
            <w:r>
              <w:rPr>
                <w:rFonts w:ascii="Cambria" w:hAnsi="Cambria" w:cs="Cambria" w:eastAsia="Cambria"/>
                <w:color w:val="1A1A1A"/>
                <w:sz w:val="18"/>
              </w:rPr>
              <w:t xml:space="preserve">Integrato nelle cure primarie</w:t>
            </w:r>
          </w:p>
        </w:tc>
        <w:tc>
          <w:tcPr>
            <w:shd w:val="clear" w:color="auto" w:fill="F4F1EC"/>
          </w:tcPr>
          <w:p>
            <w:pPr>
              <w:pStyle w:val="Compact"/>
              <w:spacing w:after="40" w:before="40"/>
              <w:jc w:val="left"/>
            </w:pPr>
            <w:r>
              <w:rPr>
                <w:rFonts w:ascii="Cambria" w:hAnsi="Cambria" w:cs="Cambria" w:eastAsia="Cambria"/>
                <w:color w:val="1A1A1A"/>
                <w:sz w:val="18"/>
              </w:rPr>
              <w:t xml:space="preserve">Adozione ~3/4 dei medici; ruolo complementare</w:t>
            </w:r>
          </w:p>
        </w:tc>
      </w:tr>
      <w:tr>
        <w:tc>
          <w:tcPr/>
          <w:p>
            <w:pPr>
              <w:pStyle w:val="Compact"/>
              <w:spacing w:after="40" w:before="40"/>
              <w:jc w:val="left"/>
            </w:pPr>
            <w:r>
              <w:rPr>
                <w:rFonts w:ascii="Cambria" w:hAnsi="Cambria" w:cs="Cambria" w:eastAsia="Cambria"/>
                <w:b/>
                <w:bCs/>
                <w:color w:val="1A1A1A"/>
                <w:sz w:val="18"/>
              </w:rPr>
              <w:t xml:space="preserve">Iniziativa australiana (Better Access)</w:t>
            </w:r>
          </w:p>
        </w:tc>
        <w:tc>
          <w:tcPr/>
          <w:p>
            <w:pPr>
              <w:pStyle w:val="Compact"/>
              <w:spacing w:after="40" w:before="40"/>
              <w:jc w:val="left"/>
            </w:pPr>
            <w:r>
              <w:rPr>
                <w:rFonts w:ascii="Cambria" w:hAnsi="Cambria" w:cs="Cambria" w:eastAsia="Cambria"/>
                <w:color w:val="1A1A1A"/>
                <w:sz w:val="18"/>
              </w:rPr>
              <w:t xml:space="preserve">Invio esterno</w:t>
            </w:r>
          </w:p>
        </w:tc>
        <w:tc>
          <w:tcPr/>
          <w:p>
            <w:pPr>
              <w:pStyle w:val="Compact"/>
              <w:spacing w:after="40" w:before="40"/>
              <w:jc w:val="left"/>
            </w:pPr>
            <w:r>
              <w:rPr>
                <w:rFonts w:ascii="Cambria" w:hAnsi="Cambria" w:cs="Cambria" w:eastAsia="Cambria"/>
                <w:color w:val="1A1A1A"/>
                <w:sz w:val="18"/>
              </w:rPr>
              <w:t xml:space="preserve">Trattamento dal 35% al 46%; 91% miglioramenti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Collaborative Care (Stati Uniti)</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r>
        <w:tc>
          <w:tcPr/>
          <w:p>
            <w:pPr>
              <w:pStyle w:val="Compact"/>
              <w:spacing w:after="40" w:before="40"/>
              <w:jc w:val="left"/>
            </w:pPr>
            <w:r>
              <w:rPr>
                <w:rFonts w:ascii="Cambria" w:hAnsi="Cambria" w:cs="Cambria" w:eastAsia="Cambria"/>
                <w:b/>
                <w:bCs/>
                <w:color w:val="1A1A1A"/>
                <w:sz w:val="18"/>
              </w:rPr>
              <w:t xml:space="preserve">Esperienze italiane (Solano, Lazio)</w:t>
            </w:r>
          </w:p>
        </w:tc>
        <w:tc>
          <w:tcPr/>
          <w:p>
            <w:pPr>
              <w:pStyle w:val="Compact"/>
              <w:spacing w:after="40" w:before="40"/>
              <w:jc w:val="left"/>
            </w:pPr>
            <w:r>
              <w:rPr>
                <w:rFonts w:ascii="Cambria" w:hAnsi="Cambria" w:cs="Cambria" w:eastAsia="Cambria"/>
                <w:color w:val="1A1A1A"/>
                <w:sz w:val="18"/>
              </w:rPr>
              <w:t xml:space="preserve">Sperimentazione locale</w:t>
            </w:r>
          </w:p>
        </w:tc>
        <w:tc>
          <w:tcPr/>
          <w:p>
            <w:pPr>
              <w:pStyle w:val="Compact"/>
              <w:spacing w:after="40" w:before="40"/>
              <w:jc w:val="left"/>
            </w:pPr>
            <w:r>
              <w:rPr>
                <w:rFonts w:ascii="Cambria" w:hAnsi="Cambria" w:cs="Cambria" w:eastAsia="Cambria"/>
                <w:color w:val="1A1A1A"/>
                <w:sz w:val="18"/>
              </w:rPr>
              <w:t xml:space="preserve">Anticipazione del modello nelle cure primarie</w:t>
            </w:r>
          </w:p>
        </w:tc>
      </w:tr>
    </w:tbl>
    <w:p>
      <w:pPr>
        <w:pStyle w:val="BodyText"/>
      </w:pPr>
      <w:r>
        <w:rPr>
          <w:i/>
          <w:iCs/>
        </w:rPr>
        <w:t xml:space="preserve">Tabella D.2. I benchmark internazionali e italiani sul piano clinico e organizzativo (il confronto economico è nella Parte E).</w:t>
      </w:r>
    </w:p>
    <w:bookmarkEnd w:id="1112"/>
    <w:bookmarkStart w:id="1117" w:name="Xcb52df76e518ed6362fc71e3ddd1b9ac4a588b1"/>
    <w:p>
      <w:pPr>
        <w:pStyle w:val="Heading3"/>
      </w:pPr>
      <w:r>
        <w:t xml:space="preserve">D.4 La trasferibilità al contesto regionale</w:t>
      </w:r>
    </w:p>
    <w:p>
      <w:pPr>
        <w:pStyle w:val="FirstParagraph"/>
      </w:pPr>
      <w:r>
        <w:t xml:space="preserve">L’evidenza internazionale non si applica automaticamente alla Puglia, e la sua trasferibilità va valutata con prudenza, distinguendo ciò che è robustamente generalizzabile da ciò che dipende dal contesto. Sul piano dell’assetto, la trasferibilità è favorevole: il modello pugliese, che integra lo psicologo nelle cure primarie con funzione di filtro, appartiene alla stessa famiglia dei programmi inglese, olandese e statunitense, e ne mutua le evidenze con maggiore pertinenza rispetto al modello australiano per invio esterno.</w:t>
      </w:r>
      <w:r>
        <w:rPr>
          <w:rStyle w:val="FootnoteReference"/>
        </w:rPr>
        <w:footnoteReference w:id="462"/>
      </w:r>
      <w:r>
        <w:t xml:space="preserve"> </w:t>
      </w:r>
      <w:r>
        <w:t xml:space="preserve">Gli esiti clinici fondamentali — il recupero e la riduzione dei sintomi mediante interventi brevi e monitorati — poggiano su meccanismi clinici generali, non legati a un particolare sistema sanitario, e sono perciò ragionevolmente trasferibili.</w:t>
      </w:r>
    </w:p>
    <w:p>
      <w:pPr>
        <w:pStyle w:val="BodyText"/>
      </w:pPr>
      <w:r>
        <w:t xml:space="preserve">Permangono, tuttavia, differenze che impongono cautela. I sistemi sanitari differiscono per organizzazione e per copertura di partenza; la Puglia muove da un servizio al 5% del fabbisogno e da una sotto-rilevazione del disagio documentata, che da un lato accresce il bisogno latente da intercettare, dall’altro rende incerta la rapidità dell’emersione della domanda; e la disponibilità di organico psicologico formato è un vincolo reale dei primi anni.</w:t>
      </w:r>
      <w:r>
        <w:rPr>
          <w:rStyle w:val="FootnoteReference"/>
        </w:rPr>
        <w:footnoteReference w:id="463"/>
      </w:r>
      <w:r>
        <w:t xml:space="preserve"> </w:t>
      </w:r>
      <w:r>
        <w:t xml:space="preserve">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sei aziende, oggetto della Parte L, è disegnato precisamente per misurare sui dati pugliesi gli effetti che la letteratura attende, trasformando le stime in prove.</w:t>
      </w:r>
      <w:r>
        <w:rPr>
          <w:rStyle w:val="FootnoteReference"/>
        </w:rPr>
        <w:footnoteReference w:id="464"/>
      </w:r>
    </w:p>
    <w:p>
      <w:pPr>
        <w:pStyle w:val="BodyText"/>
      </w:pPr>
      <w:r>
        <w:t xml:space="preserve">Un’ultima precisazione attiene al confine tra questa parte e quella economica. I programmi internazionali documentano non solo esiti clinici, ma anche ritorni economici; questi ultimi, tuttavia, non sono trattati qui, dove rileva la sola efficacia clinica, bensì nella Parte E, ove il caso pugliese adotta la stima conservativa consolidata e distingue il risparmio diretto per il bilancio dalle ricadute sociali.</w:t>
      </w:r>
      <w:r>
        <w:rPr>
          <w:rStyle w:val="FootnoteReference"/>
        </w:rPr>
        <w:footnoteReference w:id="465"/>
      </w:r>
      <w:r>
        <w:t xml:space="preserve"> </w:t>
      </w:r>
      <w:r>
        <w:t xml:space="preserve">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p>
      <w:r>
        <w:br w:type="page"/>
      </w:r>
    </w:p>
    <w:bookmarkEnd w:id="1117"/>
    <w:bookmarkEnd w:id="1118"/>
    <w:bookmarkEnd w:id="1119"/>
    <w:bookmarkStart w:id="1134" w:name="X0067bf259d626c43b1fe988b25b07791f75486b"/>
    <w:p>
      <w:pPr>
        <w:pStyle w:val="Heading1"/>
      </w:pPr>
      <w:r>
        <w:t xml:space="preserve">Appendice VIII — Percorso clinico per intensità crescente di cura (stepped care)</w:t>
      </w:r>
    </w:p>
    <w:p>
      <w:pPr>
        <w:pStyle w:val="FirstParagraph"/>
      </w:pPr>
      <w:r>
        <w:t xml:space="preserve">Psicologo di base in Puglia · percorso clinico a intensità crescente</w:t>
      </w:r>
    </w:p>
    <w:p>
      <w:pPr>
        <w:pStyle w:val="BodyText"/>
      </w:pPr>
      <w:r>
        <w:rPr>
          <w:b/>
          <w:bCs/>
        </w:rPr>
        <w:t xml:space="preserve">PROGETTO «PSICOLOGO DI BASE» · REGIONE PUGLIA</w:t>
      </w:r>
    </w:p>
    <w:p>
      <w:pPr>
        <w:pStyle w:val="BodyText"/>
      </w:pPr>
      <w:r>
        <w:t xml:space="preserve">Chiusura della lacuna E · specificazione operativa (parte prima)</w:t>
      </w:r>
    </w:p>
    <w:p>
      <w:pPr>
        <w:pStyle w:val="BodyText"/>
      </w:pPr>
      <w:r>
        <w:rPr>
          <w:b/>
          <w:bCs/>
        </w:rPr>
        <w:t xml:space="preserve">Il percorso clinico a intensità crescente</w:t>
      </w:r>
    </w:p>
    <w:p>
      <w:pPr>
        <w:pStyle w:val="BodyText"/>
      </w:pPr>
      <w:r>
        <w:rPr>
          <w:b/>
          <w:bCs/>
        </w:rPr>
        <w:t xml:space="preserve">il modello di cura: stratificazione, livelli di intervento e invio</w:t>
      </w:r>
    </w:p>
    <w:p>
      <w:pPr>
        <w:pStyle w:val="BodyText"/>
      </w:pPr>
      <w:r>
        <w:rPr>
          <w:i/>
          <w:iCs/>
        </w:rPr>
        <w:t xml:space="preserve">Dalla presa in carico alla conclusione, con le soglie come criterio delle decisioni cliniche</w:t>
      </w:r>
    </w:p>
    <w:p>
      <w:pPr>
        <w:pStyle w:val="BodyText"/>
      </w:pPr>
      <w:r>
        <w:rPr>
          <w:b/>
          <w:bCs/>
        </w:rPr>
        <w:t xml:space="preserve">Indice</w:t>
      </w:r>
    </w:p>
    <w:bookmarkStart w:id="1123" w:name="X9488d78b588c1c2f3d358b6593c7423aae5e0b8"/>
    <w:p>
      <w:pPr>
        <w:pStyle w:val="Heading2"/>
      </w:pPr>
      <w:r>
        <w:t xml:space="preserve">1. Premessa: il principio dell’intensità crescente</w:t>
      </w:r>
    </w:p>
    <w:p>
      <w:pPr>
        <w:pStyle w:val="FirstParagraph"/>
      </w:pPr>
      <w:r>
        <w:t xml:space="preserve">Il percorso clinico dello psicologo di base si fonda sul principio della cura a intensità crescente: a ciascun assistito si offre per primo l’intervento meno intensivo tra quelli efficaci, e si passa a un livello superiore solo in assenza di una risposta adeguata.</w:t>
      </w:r>
      <w:r>
        <w:rPr>
          <w:rStyle w:val="FootnoteReference"/>
        </w:rPr>
        <w:footnoteReference w:id="466"/>
      </w:r>
      <w:r>
        <w:t xml:space="preserve"> </w:t>
      </w:r>
      <w:r>
        <w:t xml:space="preserve">È il principio che concilia tre esigenze: l’efficacia clinica, perché nessuno riceve meno di quanto gli serve; la sostenibilità, perché le risorse più intensive si concentrano sui casi che le richiedono; e l’appropriatezza, perché si evita sia il sotto-trattamento sia il prolungamento di percorsi inefficaci.</w:t>
      </w:r>
    </w:p>
    <w:p>
      <w:pPr>
        <w:pStyle w:val="BodyText"/>
      </w:pPr>
      <w:r>
        <w:t xml:space="preserve">Il percorso dà struttura clinica agli strumenti definiti nel protocollo minimo di rilevazione: i punteggi degli stessi questionari raccolti a ogni seduta diventano qui il criterio delle decisioni — a quale livello assegnare l’assistito, quando intensificare, quando ridurre, quando concludere.</w:t>
      </w:r>
      <w:r>
        <w:rPr>
          <w:rStyle w:val="FootnoteReference"/>
        </w:rPr>
        <w:footnoteReference w:id="467"/>
      </w:r>
      <w:r>
        <w:t xml:space="preserve"> </w:t>
      </w:r>
      <w:r>
        <w:t xml:space="preserve">In questo modo la misurazione non è un adempimento separato dalla cura, ma ne è parte integrante. Il modello è inoltre conforme al disegno della legge, che prevede percorsi definiti, strumenti standardizzati e l’affiancamento del medico di medicina generale.</w:t>
      </w:r>
      <w:r>
        <w:rPr>
          <w:rStyle w:val="FootnoteReference"/>
        </w:rPr>
        <w:footnoteReference w:id="468"/>
      </w:r>
    </w:p>
    <w:bookmarkEnd w:id="1123"/>
    <w:bookmarkStart w:id="1124" w:name="la-struttura-del-percorso"/>
    <w:p>
      <w:pPr>
        <w:pStyle w:val="Heading2"/>
      </w:pPr>
      <w:r>
        <w:t xml:space="preserve">2. La struttura del percorso</w:t>
      </w:r>
    </w:p>
    <w:p>
      <w:pPr>
        <w:pStyle w:val="FirstParagraph"/>
      </w:pPr>
      <w:r>
        <w:t xml:space="preserve">Il percorso si articola in una sequenza ordinata. L’assistito accede su invio del medico di medicina generale o del pediatra, oppure per accesso diretto; entro un tempo definito riceve un primo colloquio, in cui si raccolgono i punteggi iniziali e si compone una valutazione clinica. Sulla base della gravità e della complessità si effettua la stratificazione, che assegna l’assistito a un livello di intervento.</w:t>
      </w:r>
    </w:p>
    <w:p>
      <w:pPr>
        <w:pStyle w:val="BodyText"/>
      </w:pPr>
      <w:r>
        <w:t xml:space="preserve">Da quel momento il percorso procede per cicli di seduta, con la raccolta dei punteggi a ogni incontro e con punti di revisione a intervalli definiti. A ciascuna revisione la decisione è triplice: proseguire nello stesso livello se il miglioramento è in corso, passare al livello superiore se il miglioramento affidabile non si è prodotto, oppure avviare la conclusione se il recupero è raggiunto. Alla conclusione si registra l’esito, si effettua la restituzione al medico curante e si programma un controllo a distanza.</w:t>
      </w:r>
    </w:p>
    <w:bookmarkEnd w:id="1124"/>
    <w:bookmarkStart w:id="1125" w:name="gli-step-a-intensità-crescente"/>
    <w:p>
      <w:pPr>
        <w:pStyle w:val="Heading2"/>
      </w:pPr>
      <w:r>
        <w:t xml:space="preserve">3. Gli step a intensità crescente</w:t>
      </w:r>
    </w:p>
    <w:p>
      <w:pPr>
        <w:pStyle w:val="FirstParagraph"/>
      </w:pPr>
      <w:r>
        <w:t xml:space="preserve">Il servizio si articola in quattro livelli, dal meno al più intensivo. Il quarto non è un intervento dello psicologo di base, ma l’invio al servizio specialistico, che del percorso costituisce lo sbocco appropriato per i quadri che eccedono il primo livello territoriale.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Destinatari</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Durata indicativa</w:t>
            </w:r>
          </w:p>
        </w:tc>
      </w:tr>
      <w:tr>
        <w:tc>
          <w:tcPr/>
          <w:p>
            <w:pPr>
              <w:pStyle w:val="Compact"/>
              <w:spacing w:after="40" w:before="40"/>
              <w:jc w:val="left"/>
            </w:pPr>
            <w:r>
              <w:rPr>
                <w:rFonts w:ascii="Cambria" w:hAnsi="Cambria" w:cs="Cambria" w:eastAsia="Cambria"/>
                <w:b/>
                <w:bCs/>
                <w:color w:val="1A1A1A"/>
                <w:sz w:val="18"/>
              </w:rPr>
              <w:t xml:space="preserve">Step 0 — Prevenzione e psicoeducazione</w:t>
            </w:r>
          </w:p>
        </w:tc>
        <w:tc>
          <w:tcPr/>
          <w:p>
            <w:pPr>
              <w:pStyle w:val="Compact"/>
              <w:spacing w:after="40" w:before="40"/>
              <w:jc w:val="left"/>
            </w:pPr>
            <w:r>
              <w:rPr>
                <w:rFonts w:ascii="Cambria" w:hAnsi="Cambria" w:cs="Cambria" w:eastAsia="Cambria"/>
                <w:color w:val="1A1A1A"/>
                <w:sz w:val="18"/>
              </w:rPr>
              <w:t xml:space="preserve">Disagio sottosoglia o lieve</w:t>
            </w:r>
          </w:p>
        </w:tc>
        <w:tc>
          <w:tcPr/>
          <w:p>
            <w:pPr>
              <w:pStyle w:val="Compact"/>
              <w:spacing w:after="40" w:before="40"/>
              <w:jc w:val="left"/>
            </w:pPr>
            <w:r>
              <w:rPr>
                <w:rFonts w:ascii="Cambria" w:hAnsi="Cambria" w:cs="Cambria" w:eastAsia="Cambria"/>
                <w:color w:val="1A1A1A"/>
                <w:sz w:val="18"/>
              </w:rPr>
              <w:t xml:space="preserve">Psicoeducazione, auto-aiuto guidato, attesa vigile</w:t>
            </w:r>
          </w:p>
        </w:tc>
        <w:tc>
          <w:tcPr/>
          <w:p>
            <w:pPr>
              <w:pStyle w:val="Compact"/>
              <w:spacing w:after="40" w:before="40"/>
              <w:jc w:val="left"/>
            </w:pPr>
            <w:r>
              <w:rPr>
                <w:rFonts w:ascii="Cambria" w:hAnsi="Cambria" w:cs="Cambria" w:eastAsia="Cambria"/>
                <w:color w:val="1A1A1A"/>
                <w:sz w:val="18"/>
              </w:rPr>
              <w:t xml:space="preserve">1–2 contatti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Step 1 — Intervento psicologico breve</w:t>
            </w:r>
          </w:p>
        </w:tc>
        <w:tc>
          <w:tcPr>
            <w:shd w:val="clear" w:color="auto" w:fill="F4F1EC"/>
          </w:tcPr>
          <w:p>
            <w:pPr>
              <w:pStyle w:val="Compact"/>
              <w:spacing w:after="40" w:before="40"/>
              <w:jc w:val="left"/>
            </w:pPr>
            <w:r>
              <w:rPr>
                <w:rFonts w:ascii="Cambria" w:hAnsi="Cambria" w:cs="Cambria" w:eastAsia="Cambria"/>
                <w:color w:val="1A1A1A"/>
                <w:sz w:val="18"/>
              </w:rPr>
              <w:t xml:space="preserve">Disturbi lievi-moderati</w:t>
            </w:r>
          </w:p>
        </w:tc>
        <w:tc>
          <w:tcPr>
            <w:shd w:val="clear" w:color="auto" w:fill="F4F1EC"/>
          </w:tcPr>
          <w:p>
            <w:pPr>
              <w:pStyle w:val="Compact"/>
              <w:spacing w:after="40" w:before="40"/>
              <w:jc w:val="left"/>
            </w:pPr>
            <w:r>
              <w:rPr>
                <w:rFonts w:ascii="Cambria" w:hAnsi="Cambria" w:cs="Cambria" w:eastAsia="Cambria"/>
                <w:color w:val="1A1A1A"/>
                <w:sz w:val="18"/>
              </w:rPr>
              <w:t xml:space="preserve">Intervento strutturato e focalizzato</w:t>
            </w:r>
          </w:p>
        </w:tc>
        <w:tc>
          <w:tcPr>
            <w:shd w:val="clear" w:color="auto" w:fill="F4F1EC"/>
          </w:tcPr>
          <w:p>
            <w:pPr>
              <w:pStyle w:val="Compact"/>
              <w:spacing w:after="40" w:before="40"/>
              <w:jc w:val="left"/>
            </w:pPr>
            <w:r>
              <w:rPr>
                <w:rFonts w:ascii="Cambria" w:hAnsi="Cambria" w:cs="Cambria" w:eastAsia="Cambria"/>
                <w:color w:val="1A1A1A"/>
                <w:sz w:val="18"/>
              </w:rPr>
              <w:t xml:space="preserve">4–8 sedute</w:t>
            </w:r>
          </w:p>
        </w:tc>
      </w:tr>
      <w:tr>
        <w:tc>
          <w:tcPr/>
          <w:p>
            <w:pPr>
              <w:pStyle w:val="Compact"/>
              <w:spacing w:after="40" w:before="40"/>
              <w:jc w:val="left"/>
            </w:pPr>
            <w:r>
              <w:rPr>
                <w:rFonts w:ascii="Cambria" w:hAnsi="Cambria" w:cs="Cambria" w:eastAsia="Cambria"/>
                <w:b/>
                <w:bCs/>
                <w:color w:val="1A1A1A"/>
                <w:sz w:val="18"/>
              </w:rPr>
              <w:t xml:space="preserve">Step 2 — Intervento psicologico strutturato</w:t>
            </w:r>
          </w:p>
        </w:tc>
        <w:tc>
          <w:tcPr/>
          <w:p>
            <w:pPr>
              <w:pStyle w:val="Compact"/>
              <w:spacing w:after="40" w:before="40"/>
              <w:jc w:val="left"/>
            </w:pPr>
            <w:r>
              <w:rPr>
                <w:rFonts w:ascii="Cambria" w:hAnsi="Cambria" w:cs="Cambria" w:eastAsia="Cambria"/>
                <w:color w:val="1A1A1A"/>
                <w:sz w:val="18"/>
              </w:rPr>
              <w:t xml:space="preserve">Disturbi moderati</w:t>
            </w:r>
          </w:p>
        </w:tc>
        <w:tc>
          <w:tcPr/>
          <w:p>
            <w:pPr>
              <w:pStyle w:val="Compact"/>
              <w:spacing w:after="40" w:before="40"/>
              <w:jc w:val="left"/>
            </w:pPr>
            <w:r>
              <w:rPr>
                <w:rFonts w:ascii="Cambria" w:hAnsi="Cambria" w:cs="Cambria" w:eastAsia="Cambria"/>
                <w:color w:val="1A1A1A"/>
                <w:sz w:val="18"/>
              </w:rPr>
              <w:t xml:space="preserve">Percorso strutturato più esteso</w:t>
            </w:r>
          </w:p>
        </w:tc>
        <w:tc>
          <w:tcPr/>
          <w:p>
            <w:pPr>
              <w:pStyle w:val="Compact"/>
              <w:spacing w:after="40" w:before="40"/>
              <w:jc w:val="left"/>
            </w:pPr>
            <w:r>
              <w:rPr>
                <w:rFonts w:ascii="Cambria" w:hAnsi="Cambria" w:cs="Cambria" w:eastAsia="Cambria"/>
                <w:color w:val="1A1A1A"/>
                <w:sz w:val="18"/>
              </w:rPr>
              <w:t xml:space="preserve">8–12 sedute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Step 3 — Invio ai servizi specialistici</w:t>
            </w:r>
          </w:p>
        </w:tc>
        <w:tc>
          <w:tcPr>
            <w:shd w:val="clear" w:color="auto" w:fill="F4F1EC"/>
          </w:tcPr>
          <w:p>
            <w:pPr>
              <w:pStyle w:val="Compact"/>
              <w:spacing w:after="40" w:before="40"/>
              <w:jc w:val="left"/>
            </w:pPr>
            <w:r>
              <w:rPr>
                <w:rFonts w:ascii="Cambria" w:hAnsi="Cambria" w:cs="Cambria" w:eastAsia="Cambria"/>
                <w:color w:val="1A1A1A"/>
                <w:sz w:val="18"/>
              </w:rPr>
              <w:t xml:space="preserve">Disturbi gravi, complessi o a rischio</w:t>
            </w:r>
          </w:p>
        </w:tc>
        <w:tc>
          <w:tcPr>
            <w:shd w:val="clear" w:color="auto" w:fill="F4F1EC"/>
          </w:tcPr>
          <w:p>
            <w:pPr>
              <w:pStyle w:val="Compact"/>
              <w:spacing w:after="40" w:before="40"/>
              <w:jc w:val="left"/>
            </w:pPr>
            <w:r>
              <w:rPr>
                <w:rFonts w:ascii="Cambria" w:hAnsi="Cambria" w:cs="Cambria" w:eastAsia="Cambria"/>
                <w:color w:val="1A1A1A"/>
                <w:sz w:val="18"/>
              </w:rPr>
              <w:t xml:space="preserve">Presa in carico specialistica (DSM)</w:t>
            </w:r>
          </w:p>
        </w:tc>
        <w:tc>
          <w:tcPr>
            <w:shd w:val="clear" w:color="auto" w:fill="F4F1EC"/>
          </w:tcPr>
          <w:p>
            <w:pPr>
              <w:pStyle w:val="Compact"/>
              <w:spacing w:after="40" w:before="40"/>
              <w:jc w:val="left"/>
            </w:pPr>
            <w:r>
              <w:rPr>
                <w:rFonts w:ascii="Cambria" w:hAnsi="Cambria" w:cs="Cambria" w:eastAsia="Cambria"/>
                <w:color w:val="1A1A1A"/>
                <w:sz w:val="18"/>
              </w:rPr>
              <w:t xml:space="preserve">Secondo il percorso specialistico</w:t>
            </w:r>
          </w:p>
        </w:tc>
      </w:tr>
    </w:tbl>
    <w:p>
      <w:pPr>
        <w:pStyle w:val="BodyText"/>
      </w:pPr>
      <w:r>
        <w:rPr>
          <w:i/>
          <w:iCs/>
        </w:rPr>
        <w:t xml:space="preserve">Tabella 1. Gli step del percorso. Le durate sono indicative e modulabili sulla risposta clinica; lo Step 3 è l</w:t>
      </w:r>
      <w:r>
        <w:rPr>
          <w:b/>
          <w:bCs/>
          <w:i/>
          <w:iCs/>
        </w:rPr>
        <w:t xml:space="preserve">’</w:t>
      </w:r>
      <w:r>
        <w:rPr>
          <w:i/>
          <w:iCs/>
        </w:rPr>
        <w:t xml:space="preserve">invio al servizio specialistico.</w:t>
      </w:r>
    </w:p>
    <w:bookmarkEnd w:id="1125"/>
    <w:bookmarkStart w:id="1128" w:name="Xfd86b9b746c0da4a7d8e962cfba648412b30736"/>
    <w:p>
      <w:pPr>
        <w:pStyle w:val="Heading2"/>
      </w:pPr>
      <w:r>
        <w:t xml:space="preserve">4. La stratificazione iniziale e le decisioni cliniche</w:t>
      </w:r>
    </w:p>
    <w:p>
      <w:pPr>
        <w:pStyle w:val="FirstParagraph"/>
      </w:pPr>
      <w:r>
        <w:t xml:space="preserve">La stratificazione iniziale assegna l’assistito a un livello sulla base della gravità, misurata con le fasce standard dei punteggi e integrata dal giudizio clinico sulla complessità.</w:t>
      </w:r>
      <w:r>
        <w:rPr>
          <w:rStyle w:val="FootnoteReference"/>
        </w:rPr>
        <w:footnoteReference w:id="469"/>
      </w:r>
      <w:r>
        <w:t xml:space="preserve"> </w:t>
      </w:r>
      <w:r>
        <w:t xml:space="preserve">Le fasce orientano la decisione, ma non la sostituiscono: la valutazione clinica può collocare l’assistito a un livello diverso da quello suggerito dal solo punteggio.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Quadro / fascia di punteggio</w:t>
            </w:r>
          </w:p>
        </w:tc>
        <w:tc>
          <w:tcPr>
            <w:shd w:val="clear" w:color="auto" w:fill="16264B"/>
          </w:tcPr>
          <w:p>
            <w:pPr>
              <w:pStyle w:val="Compact"/>
              <w:spacing w:after="40" w:before="40"/>
              <w:jc w:val="left"/>
            </w:pPr>
            <w:r>
              <w:rPr>
                <w:rFonts w:ascii="Cambria" w:hAnsi="Cambria" w:cs="Cambria" w:eastAsia="Cambria"/>
                <w:b/>
                <w:bCs/>
                <w:color w:val="FFFFFF"/>
                <w:sz w:val="18"/>
              </w:rPr>
              <w:t xml:space="preserve">Livello iniziale</w:t>
            </w:r>
          </w:p>
        </w:tc>
        <w:tc>
          <w:tcPr>
            <w:shd w:val="clear" w:color="auto" w:fill="16264B"/>
          </w:tcPr>
          <w:p>
            <w:pPr>
              <w:pStyle w:val="Compact"/>
              <w:spacing w:after="40" w:before="40"/>
              <w:jc w:val="left"/>
            </w:pPr>
            <w:r>
              <w:rPr>
                <w:rFonts w:ascii="Cambria" w:hAnsi="Cambria" w:cs="Cambria" w:eastAsia="Cambria"/>
                <w:b/>
                <w:bCs/>
                <w:color w:val="FFFFFF"/>
                <w:sz w:val="18"/>
              </w:rPr>
              <w:t xml:space="preserve">Revisione</w:t>
            </w:r>
          </w:p>
        </w:tc>
      </w:tr>
      <w:tr>
        <w:tc>
          <w:tcPr/>
          <w:p>
            <w:pPr>
              <w:pStyle w:val="Compact"/>
              <w:spacing w:after="40" w:before="40"/>
              <w:jc w:val="left"/>
            </w:pPr>
            <w:r>
              <w:rPr>
                <w:rFonts w:ascii="Cambria" w:hAnsi="Cambria" w:cs="Cambria" w:eastAsia="Cambria"/>
                <w:b/>
                <w:bCs/>
                <w:color w:val="1A1A1A"/>
                <w:sz w:val="18"/>
              </w:rPr>
              <w:t xml:space="preserve">Minimo (PHQ-9 0–4; GAD-7 0–4)</w:t>
            </w:r>
          </w:p>
        </w:tc>
        <w:tc>
          <w:tcPr/>
          <w:p>
            <w:pPr>
              <w:pStyle w:val="Compact"/>
              <w:spacing w:after="40" w:before="40"/>
              <w:jc w:val="left"/>
            </w:pPr>
            <w:r>
              <w:rPr>
                <w:rFonts w:ascii="Cambria" w:hAnsi="Cambria" w:cs="Cambria" w:eastAsia="Cambria"/>
                <w:color w:val="1A1A1A"/>
                <w:sz w:val="18"/>
              </w:rPr>
              <w:t xml:space="preserve">Step 0</w:t>
            </w:r>
          </w:p>
        </w:tc>
        <w:tc>
          <w:tcPr/>
          <w:p>
            <w:pPr>
              <w:pStyle w:val="Compact"/>
              <w:spacing w:after="40" w:before="40"/>
              <w:jc w:val="left"/>
            </w:pPr>
            <w:r>
              <w:rPr>
                <w:rFonts w:ascii="Cambria" w:hAnsi="Cambria" w:cs="Cambria" w:eastAsia="Cambria"/>
                <w:color w:val="1A1A1A"/>
                <w:sz w:val="18"/>
              </w:rPr>
              <w:t xml:space="preserve">Rivalutazione a 2–4 settimane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Lieve (PHQ-9 5–9; GAD-7 5–9)</w:t>
            </w:r>
          </w:p>
        </w:tc>
        <w:tc>
          <w:tcPr>
            <w:shd w:val="clear" w:color="auto" w:fill="F4F1EC"/>
          </w:tcPr>
          <w:p>
            <w:pPr>
              <w:pStyle w:val="Compact"/>
              <w:spacing w:after="40" w:before="40"/>
              <w:jc w:val="left"/>
            </w:pPr>
            <w:r>
              <w:rPr>
                <w:rFonts w:ascii="Cambria" w:hAnsi="Cambria" w:cs="Cambria" w:eastAsia="Cambria"/>
                <w:color w:val="1A1A1A"/>
                <w:sz w:val="18"/>
              </w:rPr>
              <w:t xml:space="preserve">Step 0–1</w:t>
            </w:r>
          </w:p>
        </w:tc>
        <w:tc>
          <w:tcPr>
            <w:shd w:val="clear" w:color="auto" w:fill="F4F1EC"/>
          </w:tcPr>
          <w:p>
            <w:pPr>
              <w:pStyle w:val="Compact"/>
              <w:spacing w:after="40" w:before="40"/>
              <w:jc w:val="left"/>
            </w:pPr>
            <w:r>
              <w:rPr>
                <w:rFonts w:ascii="Cambria" w:hAnsi="Cambria" w:cs="Cambria" w:eastAsia="Cambria"/>
                <w:color w:val="1A1A1A"/>
                <w:sz w:val="18"/>
              </w:rPr>
              <w:t xml:space="preserve">Revisione a 3–4 sedute</w:t>
            </w:r>
          </w:p>
        </w:tc>
      </w:tr>
      <w:tr>
        <w:tc>
          <w:tcPr/>
          <w:p>
            <w:pPr>
              <w:pStyle w:val="Compact"/>
              <w:spacing w:after="40" w:before="40"/>
              <w:jc w:val="left"/>
            </w:pPr>
            <w:r>
              <w:rPr>
                <w:rFonts w:ascii="Cambria" w:hAnsi="Cambria" w:cs="Cambria" w:eastAsia="Cambria"/>
                <w:b/>
                <w:bCs/>
                <w:color w:val="1A1A1A"/>
                <w:sz w:val="18"/>
              </w:rPr>
              <w:t xml:space="preserve">Moderato (PHQ-9 10–14; GAD-7 10–14)</w:t>
            </w:r>
          </w:p>
        </w:tc>
        <w:tc>
          <w:tcPr/>
          <w:p>
            <w:pPr>
              <w:pStyle w:val="Compact"/>
              <w:spacing w:after="40" w:before="40"/>
              <w:jc w:val="left"/>
            </w:pPr>
            <w:r>
              <w:rPr>
                <w:rFonts w:ascii="Cambria" w:hAnsi="Cambria" w:cs="Cambria" w:eastAsia="Cambria"/>
                <w:color w:val="1A1A1A"/>
                <w:sz w:val="18"/>
              </w:rPr>
              <w:t xml:space="preserve">Step 1–2</w:t>
            </w:r>
          </w:p>
        </w:tc>
        <w:tc>
          <w:tcPr/>
          <w:p>
            <w:pPr>
              <w:pStyle w:val="Compact"/>
              <w:spacing w:after="40" w:before="40"/>
              <w:jc w:val="left"/>
            </w:pPr>
            <w:r>
              <w:rPr>
                <w:rFonts w:ascii="Cambria" w:hAnsi="Cambria" w:cs="Cambria" w:eastAsia="Cambria"/>
                <w:color w:val="1A1A1A"/>
                <w:sz w:val="18"/>
              </w:rPr>
              <w:t xml:space="preserve">Revisione a 4–6 sedute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Moderato-grave (PHQ-9 15–19; GAD-7 ≥ 15)</w:t>
            </w:r>
          </w:p>
        </w:tc>
        <w:tc>
          <w:tcPr>
            <w:shd w:val="clear" w:color="auto" w:fill="F4F1EC"/>
          </w:tcPr>
          <w:p>
            <w:pPr>
              <w:pStyle w:val="Compact"/>
              <w:spacing w:after="40" w:before="40"/>
              <w:jc w:val="left"/>
            </w:pPr>
            <w:r>
              <w:rPr>
                <w:rFonts w:ascii="Cambria" w:hAnsi="Cambria" w:cs="Cambria" w:eastAsia="Cambria"/>
                <w:color w:val="1A1A1A"/>
                <w:sz w:val="18"/>
              </w:rPr>
              <w:t xml:space="preserve">Step 2; valutare l’invio</w:t>
            </w:r>
          </w:p>
        </w:tc>
        <w:tc>
          <w:tcPr>
            <w:shd w:val="clear" w:color="auto" w:fill="F4F1EC"/>
          </w:tcPr>
          <w:p>
            <w:pPr>
              <w:pStyle w:val="Compact"/>
              <w:spacing w:after="40" w:before="40"/>
              <w:jc w:val="left"/>
            </w:pPr>
            <w:r>
              <w:rPr>
                <w:rFonts w:ascii="Cambria" w:hAnsi="Cambria" w:cs="Cambria" w:eastAsia="Cambria"/>
                <w:color w:val="1A1A1A"/>
                <w:sz w:val="18"/>
              </w:rPr>
              <w:t xml:space="preserve">Revisione ravvicinata</w:t>
            </w:r>
          </w:p>
        </w:tc>
      </w:tr>
      <w:tr>
        <w:tc>
          <w:tcPr/>
          <w:p>
            <w:pPr>
              <w:pStyle w:val="Compact"/>
              <w:spacing w:after="40" w:before="40"/>
              <w:jc w:val="left"/>
            </w:pPr>
            <w:r>
              <w:rPr>
                <w:rFonts w:ascii="Cambria" w:hAnsi="Cambria" w:cs="Cambria" w:eastAsia="Cambria"/>
                <w:b/>
                <w:bCs/>
                <w:color w:val="1A1A1A"/>
                <w:sz w:val="18"/>
              </w:rPr>
              <w:t xml:space="preserve">Grave (PHQ-9 20–27), complessità o rischio</w:t>
            </w:r>
          </w:p>
        </w:tc>
        <w:tc>
          <w:tcPr/>
          <w:p>
            <w:pPr>
              <w:pStyle w:val="Compact"/>
              <w:spacing w:after="40" w:before="40"/>
              <w:jc w:val="left"/>
            </w:pPr>
            <w:r>
              <w:rPr>
                <w:rFonts w:ascii="Cambria" w:hAnsi="Cambria" w:cs="Cambria" w:eastAsia="Cambria"/>
                <w:color w:val="1A1A1A"/>
                <w:sz w:val="18"/>
              </w:rPr>
              <w:t xml:space="preserve">Step 3 (invio)</w:t>
            </w:r>
          </w:p>
        </w:tc>
        <w:tc>
          <w:tcPr/>
          <w:p>
            <w:pPr>
              <w:pStyle w:val="Compact"/>
              <w:spacing w:after="40" w:before="40"/>
              <w:jc w:val="left"/>
            </w:pPr>
            <w:r>
              <w:rPr>
                <w:rFonts w:ascii="Cambria" w:hAnsi="Cambria" w:cs="Cambria" w:eastAsia="Cambria"/>
                <w:color w:val="1A1A1A"/>
                <w:sz w:val="18"/>
              </w:rPr>
              <w:t xml:space="preserve">Invio tempestivo</w:t>
            </w:r>
          </w:p>
        </w:tc>
      </w:tr>
    </w:tbl>
    <w:p>
      <w:pPr>
        <w:pStyle w:val="BodyText"/>
      </w:pPr>
      <w:r>
        <w:rPr>
          <w:i/>
          <w:iCs/>
        </w:rPr>
        <w:t xml:space="preserve">Tabella 2. La stratificazione iniziale. Le fasce di punteggio orientano l</w:t>
      </w:r>
      <w:r>
        <w:rPr>
          <w:b/>
          <w:bCs/>
          <w:i/>
          <w:iCs/>
        </w:rPr>
        <w:t xml:space="preserve">’</w:t>
      </w:r>
      <w:r>
        <w:rPr>
          <w:i/>
          <w:iCs/>
        </w:rPr>
        <w:t xml:space="preserve">assegnazione, integrate dal giudizio clinico.</w:t>
      </w:r>
    </w:p>
    <w:p>
      <w:pPr>
        <w:pStyle w:val="BodyText"/>
      </w:pPr>
      <w:r>
        <w:t xml:space="preserve">Ai punti di revisione, la decisione segue le definizioni del protocollo: il recupero conduce alla conclusione, l’assenza di miglioramento affidabile conduce all’intensificazione, la stabilizzazione conduce alla riduzione di intensità.</w:t>
      </w:r>
      <w:r>
        <w:rPr>
          <w:rStyle w:val="FootnoteReference"/>
        </w:rPr>
        <w:footnoteReference w:id="470"/>
      </w:r>
      <w:r>
        <w:t xml:space="preserve"> </w:t>
      </w:r>
      <w:r>
        <w:t xml:space="preserve">La tabella seguente sintetizza le decisioni.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Situazione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Azione</w:t>
            </w:r>
          </w:p>
        </w:tc>
      </w:tr>
      <w:tr>
        <w:tc>
          <w:tcPr/>
          <w:p>
            <w:pPr>
              <w:pStyle w:val="Compact"/>
              <w:spacing w:after="40" w:before="40"/>
              <w:jc w:val="left"/>
            </w:pPr>
            <w:r>
              <w:rPr>
                <w:rFonts w:ascii="Cambria" w:hAnsi="Cambria" w:cs="Cambria" w:eastAsia="Cambria"/>
                <w:b/>
                <w:bCs/>
                <w:color w:val="1A1A1A"/>
                <w:sz w:val="18"/>
              </w:rPr>
              <w:t xml:space="preserve">Recupero (sotto soglia e miglioramento affidabile)</w:t>
            </w:r>
          </w:p>
        </w:tc>
        <w:tc>
          <w:tcPr/>
          <w:p>
            <w:pPr>
              <w:pStyle w:val="Compact"/>
              <w:spacing w:after="40" w:before="40"/>
              <w:jc w:val="left"/>
            </w:pPr>
            <w:r>
              <w:rPr>
                <w:rFonts w:ascii="Cambria" w:hAnsi="Cambria" w:cs="Cambria" w:eastAsia="Cambria"/>
                <w:color w:val="1A1A1A"/>
                <w:sz w:val="18"/>
              </w:rPr>
              <w:t xml:space="preserve">Conclusione, restituzione al curante, controllo a 6–12 mesi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 in corso</w:t>
            </w:r>
          </w:p>
        </w:tc>
        <w:tc>
          <w:tcPr>
            <w:shd w:val="clear" w:color="auto" w:fill="F4F1EC"/>
          </w:tcPr>
          <w:p>
            <w:pPr>
              <w:pStyle w:val="Compact"/>
              <w:spacing w:after="40" w:before="40"/>
              <w:jc w:val="left"/>
            </w:pPr>
            <w:r>
              <w:rPr>
                <w:rFonts w:ascii="Cambria" w:hAnsi="Cambria" w:cs="Cambria" w:eastAsia="Cambria"/>
                <w:color w:val="1A1A1A"/>
                <w:sz w:val="18"/>
              </w:rPr>
              <w:t xml:space="preserve">Prosecuzione nello stesso livello</w:t>
            </w:r>
          </w:p>
        </w:tc>
      </w:tr>
      <w:tr>
        <w:tc>
          <w:tcPr/>
          <w:p>
            <w:pPr>
              <w:pStyle w:val="Compact"/>
              <w:spacing w:after="40" w:before="40"/>
              <w:jc w:val="left"/>
            </w:pPr>
            <w:r>
              <w:rPr>
                <w:rFonts w:ascii="Cambria" w:hAnsi="Cambria" w:cs="Cambria" w:eastAsia="Cambria"/>
                <w:b/>
                <w:bCs/>
                <w:color w:val="1A1A1A"/>
                <w:sz w:val="18"/>
              </w:rPr>
              <w:t xml:space="preserve">Assenza di miglioramento affidabile alla revisione</w:t>
            </w:r>
          </w:p>
        </w:tc>
        <w:tc>
          <w:tcPr/>
          <w:p>
            <w:pPr>
              <w:pStyle w:val="Compact"/>
              <w:spacing w:after="40" w:before="40"/>
              <w:jc w:val="left"/>
            </w:pPr>
            <w:r>
              <w:rPr>
                <w:rFonts w:ascii="Cambria" w:hAnsi="Cambria" w:cs="Cambria" w:eastAsia="Cambria"/>
                <w:color w:val="1A1A1A"/>
                <w:sz w:val="18"/>
              </w:rPr>
              <w:t xml:space="preserve">Passaggio al livello superiore (step-up)</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Stabilizzazione e buon funzionamento</w:t>
            </w:r>
          </w:p>
        </w:tc>
        <w:tc>
          <w:tcPr>
            <w:shd w:val="clear" w:color="auto" w:fill="F4F1EC"/>
          </w:tcPr>
          <w:p>
            <w:pPr>
              <w:pStyle w:val="Compact"/>
              <w:spacing w:after="40" w:before="40"/>
              <w:jc w:val="left"/>
            </w:pPr>
            <w:r>
              <w:rPr>
                <w:rFonts w:ascii="Cambria" w:hAnsi="Cambria" w:cs="Cambria" w:eastAsia="Cambria"/>
                <w:color w:val="1A1A1A"/>
                <w:sz w:val="18"/>
              </w:rPr>
              <w:t xml:space="preserve">Riduzione di intensità (step-down) verso la conclusione</w:t>
            </w:r>
          </w:p>
        </w:tc>
      </w:tr>
      <w:tr>
        <w:tc>
          <w:tcPr/>
          <w:p>
            <w:pPr>
              <w:pStyle w:val="Compact"/>
              <w:spacing w:after="40" w:before="40"/>
              <w:jc w:val="left"/>
            </w:pPr>
            <w:r>
              <w:rPr>
                <w:rFonts w:ascii="Cambria" w:hAnsi="Cambria" w:cs="Cambria" w:eastAsia="Cambria"/>
                <w:b/>
                <w:bCs/>
                <w:color w:val="1A1A1A"/>
                <w:sz w:val="18"/>
              </w:rPr>
              <w:t xml:space="preserve">Peggioramento, gravità o complessità</w:t>
            </w:r>
          </w:p>
        </w:tc>
        <w:tc>
          <w:tcPr/>
          <w:p>
            <w:pPr>
              <w:pStyle w:val="Compact"/>
              <w:spacing w:after="40" w:before="40"/>
              <w:jc w:val="left"/>
            </w:pPr>
            <w:r>
              <w:rPr>
                <w:rFonts w:ascii="Cambria" w:hAnsi="Cambria" w:cs="Cambria" w:eastAsia="Cambria"/>
                <w:color w:val="1A1A1A"/>
                <w:sz w:val="18"/>
              </w:rPr>
              <w:t xml:space="preserve">Invio ai servizi specialistici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Situazioni di rischio per sé o per altri</w:t>
            </w:r>
          </w:p>
        </w:tc>
        <w:tc>
          <w:tcPr>
            <w:shd w:val="clear" w:color="auto" w:fill="F4F1EC"/>
          </w:tcPr>
          <w:p>
            <w:pPr>
              <w:pStyle w:val="Compact"/>
              <w:spacing w:after="40" w:before="40"/>
              <w:jc w:val="left"/>
            </w:pPr>
            <w:r>
              <w:rPr>
                <w:rFonts w:ascii="Cambria" w:hAnsi="Cambria" w:cs="Cambria" w:eastAsia="Cambria"/>
                <w:b/>
                <w:bCs/>
                <w:color w:val="1A1A1A"/>
                <w:sz w:val="18"/>
              </w:rPr>
              <w:t xml:space="preserve">Invio immediato ai servizi specialistici e ai percorsi dell’emergenza, in raccordo con il medico curante</w:t>
            </w:r>
          </w:p>
        </w:tc>
      </w:tr>
    </w:tbl>
    <w:p>
      <w:pPr>
        <w:pStyle w:val="BodyText"/>
      </w:pPr>
      <w:r>
        <w:rPr>
          <w:i/>
          <w:iCs/>
        </w:rPr>
        <w:t xml:space="preserve">Tabella 3. Le decisioni cliniche ai punti di revisione. L</w:t>
      </w:r>
      <w:r>
        <w:rPr>
          <w:b/>
          <w:bCs/>
          <w:i/>
          <w:iCs/>
        </w:rPr>
        <w:t xml:space="preserve">’</w:t>
      </w:r>
      <w:r>
        <w:rPr>
          <w:i/>
          <w:iCs/>
        </w:rPr>
        <w:t xml:space="preserve">ultima riga indica il percorso prioritario per le situazioni di rischio.</w:t>
      </w:r>
    </w:p>
    <w:bookmarkEnd w:id="1128"/>
    <w:bookmarkStart w:id="1130" w:name="Xfae5b2925f754caa2f0700deb849c371be5b30a"/>
    <w:p>
      <w:pPr>
        <w:pStyle w:val="Heading2"/>
      </w:pPr>
      <w:r>
        <w:t xml:space="preserve">5. L’invio ai servizi specialistici e le situazioni di rischio</w:t>
      </w:r>
    </w:p>
    <w:p>
      <w:pPr>
        <w:pStyle w:val="FirstParagraph"/>
      </w:pPr>
      <w:r>
        <w:t xml:space="preserve">Il confine del servizio è parte della sua sicurezza. Lo psicologo di base è il primo livello territoriale per i disturbi comuni di entità lieve-moderata; i quadri gravi, complessi o che presentano rischio non vi trovano la sede appropriata e vanno inviati senza indugio ai servizi specialistici — il Dipartimento di Salute Mentale — e, ove la situazione lo richieda, ai percorsi dell’emergenza, sempre in raccordo con il medico curante.</w:t>
      </w:r>
      <w:r>
        <w:rPr>
          <w:rStyle w:val="FootnoteReference"/>
        </w:rPr>
        <w:footnoteReference w:id="471"/>
      </w:r>
      <w:r>
        <w:t xml:space="preserve"> </w:t>
      </w:r>
      <w:r>
        <w:t xml:space="preserve">La definizione chiara di questa soglia protegge l’assistito, perché garantisce che riceva il livello di cura adeguato, e protegge il servizio, perché ne delimita la responsabilità. L’invio non è un fallimento del percorso, ma una sua componente prevista: lo Step 3 è parte del modello, non la sua eccezione.</w:t>
      </w:r>
    </w:p>
    <w:bookmarkEnd w:id="1130"/>
    <w:bookmarkStart w:id="1133" w:name="Xebc242199a9de4c4ab3a955fe58462bfbfde0a6"/>
    <w:p>
      <w:pPr>
        <w:pStyle w:val="Heading2"/>
      </w:pPr>
      <w:r>
        <w:t xml:space="preserve">6. Tempi, tetti e integrazione con la medicina generale</w:t>
      </w:r>
    </w:p>
    <w:p>
      <w:pPr>
        <w:pStyle w:val="FirstParagraph"/>
      </w:pPr>
      <w:r>
        <w:t xml:space="preserve">Alcuni parametri temporali e quantitativi rendono il percorso misurabile e sostenibile, e ne assicurano l’uniformità sul territorio.</w:t>
      </w:r>
      <w:r>
        <w:rPr>
          <w:rStyle w:val="FootnoteReference"/>
        </w:rPr>
        <w:footnoteReference w:id="472"/>
      </w:r>
      <w:r>
        <w:t xml:space="preserve"> </w:t>
      </w:r>
      <w:r>
        <w:t xml:space="preserve">I tetti di sedute sono indicativi e prorogabili su valutazione clinica; servono a evitare tanto il sotto-trattamento quanto il prolungamento indefinito. La tabella seguente ne riassume i valori orientativi.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indicativo</w:t>
            </w:r>
          </w:p>
        </w:tc>
      </w:tr>
      <w:tr>
        <w:tc>
          <w:tcPr/>
          <w:p>
            <w:pPr>
              <w:pStyle w:val="Compact"/>
              <w:spacing w:after="40" w:before="40"/>
              <w:jc w:val="left"/>
            </w:pPr>
            <w:r>
              <w:rPr>
                <w:rFonts w:ascii="Cambria" w:hAnsi="Cambria" w:cs="Cambria" w:eastAsia="Cambria"/>
                <w:b/>
                <w:bCs/>
                <w:color w:val="1A1A1A"/>
                <w:sz w:val="18"/>
              </w:rPr>
              <w:t xml:space="preserve">Tempo massimo al primo colloquio</w:t>
            </w:r>
          </w:p>
        </w:tc>
        <w:tc>
          <w:tcPr/>
          <w:p>
            <w:pPr>
              <w:pStyle w:val="Compact"/>
              <w:spacing w:after="40" w:before="40"/>
              <w:jc w:val="left"/>
            </w:pPr>
            <w:r>
              <w:rPr>
                <w:rFonts w:ascii="Cambria" w:hAnsi="Cambria" w:cs="Cambria" w:eastAsia="Cambria"/>
                <w:color w:val="1A1A1A"/>
                <w:sz w:val="18"/>
              </w:rPr>
              <w:t xml:space="preserve">Entro 2–3 settimane dalla richiesta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Intervallo di revisione</w:t>
            </w:r>
          </w:p>
        </w:tc>
        <w:tc>
          <w:tcPr>
            <w:shd w:val="clear" w:color="auto" w:fill="F4F1EC"/>
          </w:tcPr>
          <w:p>
            <w:pPr>
              <w:pStyle w:val="Compact"/>
              <w:spacing w:after="40" w:before="40"/>
              <w:jc w:val="left"/>
            </w:pPr>
            <w:r>
              <w:rPr>
                <w:rFonts w:ascii="Cambria" w:hAnsi="Cambria" w:cs="Cambria" w:eastAsia="Cambria"/>
                <w:color w:val="1A1A1A"/>
                <w:sz w:val="18"/>
              </w:rPr>
              <w:t xml:space="preserve">Ogni 3–4 sedute, con i punteggi di esito</w:t>
            </w:r>
          </w:p>
        </w:tc>
      </w:tr>
      <w:tr>
        <w:tc>
          <w:tcPr/>
          <w:p>
            <w:pPr>
              <w:pStyle w:val="Compact"/>
              <w:spacing w:after="40" w:before="40"/>
              <w:jc w:val="left"/>
            </w:pPr>
            <w:r>
              <w:rPr>
                <w:rFonts w:ascii="Cambria" w:hAnsi="Cambria" w:cs="Cambria" w:eastAsia="Cambria"/>
                <w:b/>
                <w:bCs/>
                <w:color w:val="1A1A1A"/>
                <w:sz w:val="18"/>
              </w:rPr>
              <w:t xml:space="preserve">Tetto indicativo di sedute (Step 1–2)</w:t>
            </w:r>
          </w:p>
        </w:tc>
        <w:tc>
          <w:tcPr/>
          <w:p>
            <w:pPr>
              <w:pStyle w:val="Compact"/>
              <w:spacing w:after="40" w:before="40"/>
              <w:jc w:val="left"/>
            </w:pPr>
            <w:r>
              <w:rPr>
                <w:rFonts w:ascii="Cambria" w:hAnsi="Cambria" w:cs="Cambria" w:eastAsia="Cambria"/>
                <w:color w:val="1A1A1A"/>
                <w:sz w:val="18"/>
              </w:rPr>
              <w:t xml:space="preserve">8–12 sedute, prorogabili su valutazione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Controllo a distanza (follow-up)</w:t>
            </w:r>
          </w:p>
        </w:tc>
        <w:tc>
          <w:tcPr>
            <w:shd w:val="clear" w:color="auto" w:fill="F4F1EC"/>
          </w:tcPr>
          <w:p>
            <w:pPr>
              <w:pStyle w:val="Compact"/>
              <w:spacing w:after="40" w:before="40"/>
              <w:jc w:val="left"/>
            </w:pPr>
            <w:r>
              <w:rPr>
                <w:rFonts w:ascii="Cambria" w:hAnsi="Cambria" w:cs="Cambria" w:eastAsia="Cambria"/>
                <w:color w:val="1A1A1A"/>
                <w:sz w:val="18"/>
              </w:rPr>
              <w:t xml:space="preserve">A 6–12 mesi dalla conclusione</w:t>
            </w:r>
          </w:p>
        </w:tc>
      </w:tr>
    </w:tbl>
    <w:p>
      <w:pPr>
        <w:pStyle w:val="BodyText"/>
      </w:pPr>
      <w:r>
        <w:rPr>
          <w:i/>
          <w:iCs/>
        </w:rPr>
        <w:t xml:space="preserve">Tabella 4. Tempi e tetti indicativi del percorso. Sono modulabili sulla risposta clinica, fermo restando il principio di uniformità.</w:t>
      </w:r>
    </w:p>
    <w:p>
      <w:pPr>
        <w:pStyle w:val="BodyText"/>
      </w:pPr>
      <w:r>
        <w:t xml:space="preserve">L’integrazione con la medicina generale chiude il percorso. L’invio dal medico curante è la porta d’accesso privilegiata, e la restituzione al medico curante al termine — con la sintesi dell’esito — è ciò che mantiene unitaria la presa in carico dell’assistito, soprattutto quando il disagio psichico si accompagna a condizioni fisiche.</w:t>
      </w:r>
      <w:r>
        <w:rPr>
          <w:rStyle w:val="FootnoteReference"/>
        </w:rPr>
        <w:footnoteReference w:id="473"/>
      </w:r>
      <w:r>
        <w:t xml:space="preserve"> </w:t>
      </w:r>
      <w:r>
        <w:t xml:space="preserve">È in questo scambio che lo psicologo di base realizza la propria funzione di primo livello: non un servizio separato, ma una componente delle cure primarie.</w:t>
      </w:r>
    </w:p>
    <w:p>
      <w:pPr>
        <w:pStyle w:val="BodyText"/>
      </w:pPr>
      <w:r>
        <w:t xml:space="preserve">Con questo percorso, la specificazione operativa del modello di cura è definita: il servizio sa come stratificare l’accesso, quali interventi offrire a ciascun livello, quando intensificare e quando inviare. Restano da specificare, nella stessa categoria, gli altri elementi attuativi — la tariffa della convenzione e il costo per professionista, la specifica del sistema informativo e i criteri per gli strumenti digitali e di intelligenza artificiale ammessi — oggetto dei passi successivi.</w:t>
      </w:r>
    </w:p>
    <w:p>
      <w:r>
        <w:br w:type="page"/>
      </w:r>
    </w:p>
    <w:bookmarkEnd w:id="1133"/>
    <w:bookmarkEnd w:id="1134"/>
    <w:bookmarkStart w:id="1150" w:name="X8665bc3d98d265dbf98f39cadbdb3ae65bbae79"/>
    <w:p>
      <w:pPr>
        <w:pStyle w:val="Heading1"/>
      </w:pPr>
      <w:r>
        <w:t xml:space="preserve">Appendice IX — Modello tariffario e di costo</w:t>
      </w:r>
    </w:p>
    <w:p>
      <w:pPr>
        <w:pStyle w:val="FirstParagraph"/>
      </w:pPr>
      <w:r>
        <w:t xml:space="preserve">Psicologo di base in Puglia · modello tariffario e di costo</w:t>
      </w:r>
    </w:p>
    <w:p>
      <w:pPr>
        <w:pStyle w:val="BodyText"/>
      </w:pPr>
      <w:r>
        <w:rPr>
          <w:b/>
          <w:bCs/>
        </w:rPr>
        <w:t xml:space="preserve">PROGETTO «PSICOLOGO DI BASE» · REGIONE PUGLIA</w:t>
      </w:r>
    </w:p>
    <w:p>
      <w:pPr>
        <w:pStyle w:val="BodyText"/>
      </w:pPr>
      <w:r>
        <w:t xml:space="preserve">Chiusura della lacuna E · specificazione operativa (parte seconda)</w:t>
      </w:r>
    </w:p>
    <w:p>
      <w:pPr>
        <w:pStyle w:val="BodyText"/>
      </w:pPr>
      <w:r>
        <w:rPr>
          <w:b/>
          <w:bCs/>
        </w:rPr>
        <w:t xml:space="preserve">Il modello tariffario e di costo</w:t>
      </w:r>
    </w:p>
    <w:p>
      <w:pPr>
        <w:pStyle w:val="BodyText"/>
      </w:pPr>
      <w:r>
        <w:rPr>
          <w:b/>
          <w:bCs/>
        </w:rPr>
        <w:t xml:space="preserve">dalla tariffa oraria al costo per incarico, e al costo del servizio per scenario</w:t>
      </w:r>
    </w:p>
    <w:p>
      <w:pPr>
        <w:pStyle w:val="BodyText"/>
      </w:pPr>
      <w:r>
        <w:rPr>
          <w:i/>
          <w:iCs/>
        </w:rPr>
        <w:t xml:space="preserve">Una base di costo trasparente, ancorata all</w:t>
      </w:r>
      <w:r>
        <w:rPr>
          <w:b/>
          <w:bCs/>
          <w:i/>
          <w:iCs/>
        </w:rPr>
        <w:t xml:space="preserve">’</w:t>
      </w:r>
      <w:r>
        <w:rPr>
          <w:i/>
          <w:iCs/>
        </w:rPr>
        <w:t xml:space="preserve">ACN specialistica ambulatoriale e riconciliata con la tabella unica</w:t>
      </w:r>
    </w:p>
    <w:p>
      <w:pPr>
        <w:pStyle w:val="BodyText"/>
      </w:pPr>
      <w:r>
        <w:rPr>
          <w:b/>
          <w:bCs/>
        </w:rPr>
        <w:t xml:space="preserve">Indice</w:t>
      </w:r>
    </w:p>
    <w:bookmarkStart w:id="1139" w:name="premessa-e-quadro-contrattuale"/>
    <w:p>
      <w:pPr>
        <w:pStyle w:val="Heading2"/>
      </w:pPr>
      <w:r>
        <w:t xml:space="preserve">1. Premessa e quadro contrattuale</w:t>
      </w:r>
    </w:p>
    <w:p>
      <w:pPr>
        <w:pStyle w:val="FirstParagraph"/>
      </w:pPr>
      <w:r>
        <w:t xml:space="preserve">Il costo del servizio è finora indicato negli scenari come una stima, con la tariffa rinviata a definizione. Questo documento ne esplicita il fondamento, costruendo dal basso il costo per incarico e, da questo, il costo del servizio per scenario, in modo da ancorare a valori tracciabili il lato dei costi della tabella unica consolidata.</w:t>
      </w:r>
      <w:r>
        <w:rPr>
          <w:rStyle w:val="FootnoteReference"/>
        </w:rPr>
        <w:footnoteReference w:id="474"/>
      </w:r>
      <w:r>
        <w:t xml:space="preserve"> </w:t>
      </w:r>
      <w:r>
        <w:t xml:space="preserve">Il quadro contrattuale di riferimento è la convenzione: il rapporto tra lo psicologo di base e il Servizio sanitario è instaurato, secondo la legge, mediante convenzione, nel rispetto degli accordi collettivi applicabili.</w:t>
      </w:r>
    </w:p>
    <w:p>
      <w:pPr>
        <w:pStyle w:val="BodyText"/>
      </w:pPr>
      <w:r>
        <w:t xml:space="preserve">L’accordo collettivo di riferimento è quello della specialistica ambulatoriale, sottoscritto nel febbraio 2024, che disciplina anche gli psicologi convenzionati e ne fissa i compensi su base oraria, salvo diversa determinazione degli accordi integrativi regionali.</w:t>
      </w:r>
      <w:r>
        <w:rPr>
          <w:rStyle w:val="FootnoteReference"/>
        </w:rPr>
        <w:footnoteReference w:id="475"/>
      </w:r>
      <w:r>
        <w:t xml:space="preserve"> </w:t>
      </w:r>
      <w:r>
        <w:t xml:space="preserve">L’accordo ha disposto un incremento del 5,78% al netto degli oneri, con arretrati, e una prima perequazione a favore degli psicologi.</w:t>
      </w:r>
      <w:r>
        <w:rPr>
          <w:rStyle w:val="FootnoteReference"/>
        </w:rPr>
        <w:footnoteReference w:id="476"/>
      </w:r>
      <w:r>
        <w:t xml:space="preserve"> </w:t>
      </w:r>
      <w:r>
        <w:t xml:space="preserve">Un elemento è essenziale per il calcolo: i compensi sono al netto degli oneri previdenziali e fiscali a carico dell’azienda, sicché il costo per il Servizio sanitario, per ora di attività, comprende il compenso al professionista più tali oneri.</w:t>
      </w:r>
      <w:r>
        <w:rPr>
          <w:rStyle w:val="FootnoteReference"/>
        </w:rPr>
        <w:footnoteReference w:id="477"/>
      </w:r>
    </w:p>
    <w:bookmarkEnd w:id="1139"/>
    <w:bookmarkStart w:id="1141" w:name="la-scelta-del-modello-orario"/>
    <w:p>
      <w:pPr>
        <w:pStyle w:val="Heading2"/>
      </w:pPr>
      <w:r>
        <w:t xml:space="preserve">2. La scelta del modello orario</w:t>
      </w:r>
    </w:p>
    <w:p>
      <w:pPr>
        <w:pStyle w:val="FirstParagraph"/>
      </w:pPr>
      <w:r>
        <w:t xml:space="preserve">Tra le forme possibili — il compenso su base oraria e il compenso per assistito — si adotta come riferimento il modello orario, coerente con l’accordo della specialistica ambulatoriale. La ragione è duplice. Il modello orario rende il costo trasparente e governabile, perché lega la spesa alle ore effettivamente erogate; ed è appropriato a un servizio di primo livello a intensità variabile, in cui il carico per assistito non è uniforme. Il compenso per assistito, di contro, sarebbe più esposto a variazioni della casistica e meno controllabile nella fase di avvio. La definizione puntuale della tariffa resta una scelta di politica sanitaria, propria della convenzione e degli accordi integrativi regionali; qui se ne fornisce una base trasparente, non una determinazione.</w:t>
      </w:r>
      <w:r>
        <w:rPr>
          <w:rStyle w:val="FootnoteReference"/>
        </w:rPr>
        <w:footnoteReference w:id="478"/>
      </w:r>
    </w:p>
    <w:bookmarkEnd w:id="1141"/>
    <w:bookmarkStart w:id="1143" w:name="il-costo-unitario-per-incarico"/>
    <w:p>
      <w:pPr>
        <w:pStyle w:val="Heading2"/>
      </w:pPr>
      <w:r>
        <w:t xml:space="preserve">3. Il costo unitario per incarico</w:t>
      </w:r>
    </w:p>
    <w:p>
      <w:pPr>
        <w:pStyle w:val="FirstParagraph"/>
      </w:pPr>
      <w:r>
        <w:t xml:space="preserve">Il costo per incarico si compone dal basso a partire da tre grandezze: la tariffa oraria a carico dell’azienda, le ore annue per incarico e i costi generali. La tabella adotta valori centrali prudenziali; le ipotesi sono variate nell’analisi di sensibilità del paragrafo seguente.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Voce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base</w:t>
            </w:r>
          </w:p>
        </w:tc>
        <w:tc>
          <w:tcPr>
            <w:shd w:val="clear" w:color="auto" w:fill="16264B"/>
          </w:tcPr>
          <w:p>
            <w:pPr>
              <w:pStyle w:val="Compact"/>
              <w:spacing w:after="40" w:before="40"/>
              <w:jc w:val="left"/>
            </w:pPr>
            <w:r>
              <w:rPr>
                <w:rFonts w:ascii="Cambria" w:hAnsi="Cambria" w:cs="Cambria" w:eastAsia="Cambria"/>
                <w:b/>
                <w:bCs/>
                <w:color w:val="FFFFFF"/>
                <w:sz w:val="18"/>
              </w:rPr>
              <w:t xml:space="preserve">Note</w:t>
            </w:r>
          </w:p>
        </w:tc>
      </w:tr>
      <w:tr>
        <w:tc>
          <w:tcPr/>
          <w:p>
            <w:pPr>
              <w:pStyle w:val="Compact"/>
              <w:spacing w:after="40" w:before="40"/>
              <w:jc w:val="left"/>
            </w:pPr>
            <w:r>
              <w:rPr>
                <w:rFonts w:ascii="Cambria" w:hAnsi="Cambria" w:cs="Cambria" w:eastAsia="Cambria"/>
                <w:b/>
                <w:bCs/>
                <w:color w:val="1A1A1A"/>
                <w:sz w:val="18"/>
              </w:rPr>
              <w:t xml:space="preserve">Tariffa oraria (costo per l’azienda)</w:t>
            </w:r>
          </w:p>
        </w:tc>
        <w:tc>
          <w:tcPr/>
          <w:p>
            <w:pPr>
              <w:pStyle w:val="Compact"/>
              <w:spacing w:after="40" w:before="40"/>
              <w:jc w:val="left"/>
            </w:pPr>
            <w:r>
              <w:rPr>
                <w:rFonts w:ascii="Cambria" w:hAnsi="Cambria" w:cs="Cambria" w:eastAsia="Cambria"/>
                <w:color w:val="1A1A1A"/>
                <w:sz w:val="18"/>
              </w:rPr>
              <w:t xml:space="preserve">~ 40 €/ora</w:t>
            </w:r>
          </w:p>
        </w:tc>
        <w:tc>
          <w:tcPr/>
          <w:p>
            <w:pPr>
              <w:pStyle w:val="Compact"/>
              <w:spacing w:after="40" w:before="40"/>
              <w:jc w:val="left"/>
            </w:pPr>
            <w:r>
              <w:rPr>
                <w:rFonts w:ascii="Cambria" w:hAnsi="Cambria" w:cs="Cambria" w:eastAsia="Cambria"/>
                <w:color w:val="1A1A1A"/>
                <w:sz w:val="18"/>
              </w:rPr>
              <w:t xml:space="preserve">compenso al professionista più oneri a carico dell’azienda; ancorata all’ACN specialistica ambulatoriale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Ore annue per incarico</w:t>
            </w:r>
          </w:p>
        </w:tc>
        <w:tc>
          <w:tcPr>
            <w:shd w:val="clear" w:color="auto" w:fill="F4F1EC"/>
          </w:tcPr>
          <w:p>
            <w:pPr>
              <w:pStyle w:val="Compact"/>
              <w:spacing w:after="40" w:before="40"/>
              <w:jc w:val="left"/>
            </w:pPr>
            <w:r>
              <w:rPr>
                <w:rFonts w:ascii="Cambria" w:hAnsi="Cambria" w:cs="Cambria" w:eastAsia="Cambria"/>
                <w:color w:val="1A1A1A"/>
                <w:sz w:val="18"/>
              </w:rPr>
              <w:t xml:space="preserve">~ 1.250 ore</w:t>
            </w:r>
          </w:p>
        </w:tc>
        <w:tc>
          <w:tcPr>
            <w:shd w:val="clear" w:color="auto" w:fill="F4F1EC"/>
          </w:tcPr>
          <w:p>
            <w:pPr>
              <w:pStyle w:val="Compact"/>
              <w:spacing w:after="40" w:before="40"/>
              <w:jc w:val="left"/>
            </w:pPr>
            <w:r>
              <w:rPr>
                <w:rFonts w:ascii="Cambria" w:hAnsi="Cambria" w:cs="Cambria" w:eastAsia="Cambria"/>
                <w:color w:val="1A1A1A"/>
                <w:sz w:val="18"/>
              </w:rPr>
              <w:t xml:space="preserve">ordine di ~28–30 ore settimanali per ~44 settimane</w:t>
            </w:r>
          </w:p>
        </w:tc>
      </w:tr>
      <w:tr>
        <w:tc>
          <w:tcPr/>
          <w:p>
            <w:pPr>
              <w:pStyle w:val="Compact"/>
              <w:spacing w:after="40" w:before="40"/>
              <w:jc w:val="left"/>
            </w:pPr>
            <w:r>
              <w:rPr>
                <w:rFonts w:ascii="Cambria" w:hAnsi="Cambria" w:cs="Cambria" w:eastAsia="Cambria"/>
                <w:b/>
                <w:bCs/>
                <w:color w:val="1A1A1A"/>
                <w:sz w:val="18"/>
              </w:rPr>
              <w:t xml:space="preserve">Compenso annuo (tariffa × ore)</w:t>
            </w:r>
          </w:p>
        </w:tc>
        <w:tc>
          <w:tcPr/>
          <w:p>
            <w:pPr>
              <w:pStyle w:val="Compact"/>
              <w:spacing w:after="40" w:before="40"/>
              <w:jc w:val="left"/>
            </w:pPr>
            <w:r>
              <w:rPr>
                <w:rFonts w:ascii="Cambria" w:hAnsi="Cambria" w:cs="Cambria" w:eastAsia="Cambria"/>
                <w:color w:val="1A1A1A"/>
                <w:sz w:val="18"/>
              </w:rPr>
              <w:t xml:space="preserve">~ 50.000 €</w:t>
            </w:r>
          </w:p>
        </w:tc>
        <w:tc>
          <w:tcPr/>
          <w:p>
            <w:pPr>
              <w:pStyle w:val="Compact"/>
              <w:spacing w:after="40" w:before="40"/>
              <w:jc w:val="left"/>
            </w:pPr>
            <w:r>
              <w:rPr>
                <w:rFonts w:ascii="Cambria" w:hAnsi="Cambria" w:cs="Cambria" w:eastAsia="Cambria"/>
                <w:color w:val="1A1A1A"/>
                <w:sz w:val="18"/>
              </w:rPr>
              <w:t xml:space="preserve">costo per l’azienda, al lordo degli oneri a suo carico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Costi generali per incarico</w:t>
            </w:r>
          </w:p>
        </w:tc>
        <w:tc>
          <w:tcPr>
            <w:shd w:val="clear" w:color="auto" w:fill="F4F1EC"/>
          </w:tcPr>
          <w:p>
            <w:pPr>
              <w:pStyle w:val="Compact"/>
              <w:spacing w:after="40" w:before="40"/>
              <w:jc w:val="left"/>
            </w:pPr>
            <w:r>
              <w:rPr>
                <w:rFonts w:ascii="Cambria" w:hAnsi="Cambria" w:cs="Cambria" w:eastAsia="Cambria"/>
                <w:color w:val="1A1A1A"/>
                <w:sz w:val="18"/>
              </w:rPr>
              <w:t xml:space="preserve">~ 5.000 €</w:t>
            </w:r>
          </w:p>
        </w:tc>
        <w:tc>
          <w:tcPr>
            <w:shd w:val="clear" w:color="auto" w:fill="F4F1EC"/>
          </w:tcPr>
          <w:p>
            <w:pPr>
              <w:pStyle w:val="Compact"/>
              <w:spacing w:after="40" w:before="40"/>
              <w:jc w:val="left"/>
            </w:pPr>
            <w:r>
              <w:rPr>
                <w:rFonts w:ascii="Cambria" w:hAnsi="Cambria" w:cs="Cambria" w:eastAsia="Cambria"/>
                <w:color w:val="1A1A1A"/>
                <w:sz w:val="18"/>
              </w:rPr>
              <w:t xml:space="preserve">sede (Casa della Comunità, in larga parte esistente), piattaforma e sistemi informativi, coordinamento, formazione</w:t>
            </w:r>
          </w:p>
        </w:tc>
      </w:tr>
      <w:tr>
        <w:tc>
          <w:tcPr/>
          <w:p>
            <w:pPr>
              <w:pStyle w:val="Compact"/>
              <w:spacing w:after="40" w:before="40"/>
              <w:jc w:val="left"/>
            </w:pPr>
            <w:r>
              <w:rPr>
                <w:rFonts w:ascii="Cambria" w:hAnsi="Cambria" w:cs="Cambria" w:eastAsia="Cambria"/>
                <w:b/>
                <w:bCs/>
                <w:color w:val="1A1A1A"/>
                <w:sz w:val="18"/>
              </w:rPr>
              <w:t xml:space="preserve">Costo totale per incarico</w:t>
            </w:r>
          </w:p>
        </w:tc>
        <w:tc>
          <w:tcPr/>
          <w:p>
            <w:pPr>
              <w:pStyle w:val="Compact"/>
              <w:spacing w:after="40" w:before="40"/>
              <w:jc w:val="left"/>
            </w:pPr>
            <w:r>
              <w:rPr>
                <w:rFonts w:ascii="Cambria" w:hAnsi="Cambria" w:cs="Cambria" w:eastAsia="Cambria"/>
                <w:b/>
                <w:bCs/>
                <w:color w:val="1A1A1A"/>
                <w:sz w:val="18"/>
              </w:rPr>
              <w:t xml:space="preserve">~ 55.000 €</w:t>
            </w:r>
          </w:p>
        </w:tc>
        <w:tc>
          <w:tcPr/>
          <w:p>
            <w:pPr>
              <w:pStyle w:val="Compact"/>
              <w:spacing w:after="40" w:before="40"/>
              <w:jc w:val="left"/>
            </w:pPr>
            <w:r>
              <w:rPr>
                <w:rFonts w:ascii="Cambria" w:hAnsi="Cambria" w:cs="Cambria" w:eastAsia="Cambria"/>
                <w:b/>
                <w:bCs/>
                <w:color w:val="1A1A1A"/>
                <w:sz w:val="18"/>
              </w:rPr>
              <w:t xml:space="preserve">valore adottato negli scenari della tabella unica</w:t>
            </w:r>
          </w:p>
        </w:tc>
      </w:tr>
    </w:tbl>
    <w:p>
      <w:pPr>
        <w:pStyle w:val="BodyText"/>
      </w:pPr>
      <w:r>
        <w:rPr>
          <w:i/>
          <w:iCs/>
        </w:rPr>
        <w:t xml:space="preserve">Tabella 1. Costruzione dal basso del costo per incarico. Le sedi presso le Case della Comunità e parte della formazione gravano marginalmente, in quanto già finanziate.</w:t>
      </w:r>
    </w:p>
    <w:p>
      <w:pPr>
        <w:pStyle w:val="BodyText"/>
      </w:pPr>
      <w:r>
        <w:t xml:space="preserve">Il costo di sede è marginale perché le sedi sono collocate presso le Case della Comunità, infrastruttura in larga parte già esistente, e parte della formazione è coperta da fondi del Piano Nazionale di Ripresa e Resilienza.</w:t>
      </w:r>
      <w:r>
        <w:rPr>
          <w:rStyle w:val="FootnoteReference"/>
        </w:rPr>
        <w:footnoteReference w:id="479"/>
      </w:r>
    </w:p>
    <w:bookmarkEnd w:id="1143"/>
    <w:bookmarkStart w:id="1145" w:name="X1d9bc48a0fb7d7371256757eedda4cd4c16268c"/>
    <w:p>
      <w:pPr>
        <w:pStyle w:val="Heading2"/>
      </w:pPr>
      <w:r>
        <w:t xml:space="preserve">4. Il costo totale del servizio per scenario</w:t>
      </w:r>
    </w:p>
    <w:p>
      <w:pPr>
        <w:pStyle w:val="FirstParagraph"/>
      </w:pPr>
      <w:r>
        <w:t xml:space="preserve">Moltiplicando il costo per incarico per il numero di incarichi di ciascuno scenario si ottiene il costo del servizio a regime. Il risultato coincide, per costruzione, con i valori della tabella unica consolidata, di cui questo documento fornisce il fondamento.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Incarichi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per incarico</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totale (mln €)</w:t>
            </w:r>
          </w:p>
        </w:tc>
      </w:tr>
      <w:tr>
        <w:tc>
          <w:tcPr/>
          <w:p>
            <w:pPr>
              <w:pStyle w:val="Compact"/>
              <w:spacing w:after="40" w:before="40"/>
              <w:jc w:val="left"/>
            </w:pPr>
            <w:r>
              <w:rPr>
                <w:rFonts w:ascii="Cambria" w:hAnsi="Cambria" w:cs="Cambria" w:eastAsia="Cambria"/>
                <w:b/>
                <w:bCs/>
                <w:color w:val="1A1A1A"/>
                <w:sz w:val="18"/>
              </w:rPr>
              <w:t xml:space="preserve">Conservativo</w:t>
            </w:r>
          </w:p>
        </w:tc>
        <w:tc>
          <w:tcPr/>
          <w:p>
            <w:pPr>
              <w:pStyle w:val="Compact"/>
              <w:spacing w:after="40" w:before="40"/>
              <w:jc w:val="left"/>
            </w:pPr>
            <w:r>
              <w:rPr>
                <w:rFonts w:ascii="Cambria" w:hAnsi="Cambria" w:cs="Cambria" w:eastAsia="Cambria"/>
                <w:color w:val="1A1A1A"/>
                <w:sz w:val="18"/>
              </w:rPr>
              <w:t xml:space="preserve">~ 450</w:t>
            </w:r>
          </w:p>
        </w:tc>
        <w:tc>
          <w:tcPr/>
          <w:p>
            <w:pPr>
              <w:pStyle w:val="Compact"/>
              <w:spacing w:after="40" w:before="40"/>
              <w:jc w:val="left"/>
            </w:pPr>
            <w:r>
              <w:rPr>
                <w:rFonts w:ascii="Cambria" w:hAnsi="Cambria" w:cs="Cambria" w:eastAsia="Cambria"/>
                <w:color w:val="1A1A1A"/>
                <w:sz w:val="18"/>
              </w:rPr>
              <w:t xml:space="preserve">~ 55.000 €</w:t>
            </w:r>
          </w:p>
        </w:tc>
        <w:tc>
          <w:tcPr/>
          <w:p>
            <w:pPr>
              <w:pStyle w:val="Compact"/>
              <w:spacing w:after="40" w:before="40"/>
              <w:jc w:val="left"/>
            </w:pPr>
            <w:r>
              <w:rPr>
                <w:rFonts w:ascii="Cambria" w:hAnsi="Cambria" w:cs="Cambria" w:eastAsia="Cambria"/>
                <w:color w:val="1A1A1A"/>
                <w:sz w:val="18"/>
              </w:rPr>
              <w:t xml:space="preserve">~ 25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Base</w:t>
            </w:r>
          </w:p>
        </w:tc>
        <w:tc>
          <w:tcPr>
            <w:shd w:val="clear" w:color="auto" w:fill="F4F1EC"/>
          </w:tcPr>
          <w:p>
            <w:pPr>
              <w:pStyle w:val="Compact"/>
              <w:spacing w:after="40" w:before="40"/>
              <w:jc w:val="left"/>
            </w:pPr>
            <w:r>
              <w:rPr>
                <w:rFonts w:ascii="Cambria" w:hAnsi="Cambria" w:cs="Cambria" w:eastAsia="Cambria"/>
                <w:color w:val="1A1A1A"/>
                <w:sz w:val="18"/>
              </w:rPr>
              <w:t xml:space="preserve">~ 700</w:t>
            </w:r>
          </w:p>
        </w:tc>
        <w:tc>
          <w:tcPr>
            <w:shd w:val="clear" w:color="auto" w:fill="F4F1EC"/>
          </w:tcPr>
          <w:p>
            <w:pPr>
              <w:pStyle w:val="Compact"/>
              <w:spacing w:after="40" w:before="40"/>
              <w:jc w:val="left"/>
            </w:pPr>
            <w:r>
              <w:rPr>
                <w:rFonts w:ascii="Cambria" w:hAnsi="Cambria" w:cs="Cambria" w:eastAsia="Cambria"/>
                <w:color w:val="1A1A1A"/>
                <w:sz w:val="18"/>
              </w:rPr>
              <w:t xml:space="preserve">~ 55.000 €</w:t>
            </w:r>
          </w:p>
        </w:tc>
        <w:tc>
          <w:tcPr>
            <w:shd w:val="clear" w:color="auto" w:fill="F4F1EC"/>
          </w:tcPr>
          <w:p>
            <w:pPr>
              <w:pStyle w:val="Compact"/>
              <w:spacing w:after="40" w:before="40"/>
              <w:jc w:val="left"/>
            </w:pPr>
            <w:r>
              <w:rPr>
                <w:rFonts w:ascii="Cambria" w:hAnsi="Cambria" w:cs="Cambria" w:eastAsia="Cambria"/>
                <w:color w:val="1A1A1A"/>
                <w:sz w:val="18"/>
              </w:rPr>
              <w:t xml:space="preserve">~ 38</w:t>
            </w:r>
          </w:p>
        </w:tc>
      </w:tr>
      <w:tr>
        <w:tc>
          <w:tcPr/>
          <w:p>
            <w:pPr>
              <w:pStyle w:val="Compact"/>
              <w:spacing w:after="40" w:before="40"/>
              <w:jc w:val="left"/>
            </w:pPr>
            <w:r>
              <w:rPr>
                <w:rFonts w:ascii="Cambria" w:hAnsi="Cambria" w:cs="Cambria" w:eastAsia="Cambria"/>
                <w:b/>
                <w:bCs/>
                <w:color w:val="1A1A1A"/>
                <w:sz w:val="18"/>
              </w:rPr>
              <w:t xml:space="preserve">Espansivo</w:t>
            </w:r>
          </w:p>
        </w:tc>
        <w:tc>
          <w:tcPr/>
          <w:p>
            <w:pPr>
              <w:pStyle w:val="Compact"/>
              <w:spacing w:after="40" w:before="40"/>
              <w:jc w:val="left"/>
            </w:pPr>
            <w:r>
              <w:rPr>
                <w:rFonts w:ascii="Cambria" w:hAnsi="Cambria" w:cs="Cambria" w:eastAsia="Cambria"/>
                <w:color w:val="1A1A1A"/>
                <w:sz w:val="18"/>
              </w:rPr>
              <w:t xml:space="preserve">~ 900</w:t>
            </w:r>
          </w:p>
        </w:tc>
        <w:tc>
          <w:tcPr/>
          <w:p>
            <w:pPr>
              <w:pStyle w:val="Compact"/>
              <w:spacing w:after="40" w:before="40"/>
              <w:jc w:val="left"/>
            </w:pPr>
            <w:r>
              <w:rPr>
                <w:rFonts w:ascii="Cambria" w:hAnsi="Cambria" w:cs="Cambria" w:eastAsia="Cambria"/>
                <w:color w:val="1A1A1A"/>
                <w:sz w:val="18"/>
              </w:rPr>
              <w:t xml:space="preserve">~ 55.000 €</w:t>
            </w:r>
          </w:p>
        </w:tc>
        <w:tc>
          <w:tcPr/>
          <w:p>
            <w:pPr>
              <w:pStyle w:val="Compact"/>
              <w:spacing w:after="40" w:before="40"/>
              <w:jc w:val="left"/>
            </w:pPr>
            <w:r>
              <w:rPr>
                <w:rFonts w:ascii="Cambria" w:hAnsi="Cambria" w:cs="Cambria" w:eastAsia="Cambria"/>
                <w:color w:val="1A1A1A"/>
                <w:sz w:val="18"/>
              </w:rPr>
              <w:t xml:space="preserve">~ 50</w:t>
            </w:r>
          </w:p>
        </w:tc>
      </w:tr>
    </w:tbl>
    <w:p>
      <w:pPr>
        <w:pStyle w:val="BodyText"/>
      </w:pPr>
      <w:r>
        <w:rPr>
          <w:i/>
          <w:iCs/>
        </w:rPr>
        <w:t xml:space="preserve">Tabella 2. Costo del servizio per scenario. I valori riconciliano con il lato costi della tabella unica consolidata.</w:t>
      </w:r>
    </w:p>
    <w:p>
      <w:pPr>
        <w:pStyle w:val="BodyText"/>
      </w:pPr>
      <w:r>
        <w:t xml:space="preserve">Il confronto con la situazione attuale chiarisce la scala. Il servizio oggi conta circa 45 incarichi a fronte di 1,5 milioni l’anno, pari a circa il 5% del fabbisogno stimato di 800–900 psicologi; gli scenari portano il servizio verso la copertura del bisogno, con un costo che resta, in ogni caso, una frazione contenuta del finanziamento sanitario regionale.</w:t>
      </w:r>
      <w:r>
        <w:rPr>
          <w:rStyle w:val="FootnoteReference"/>
        </w:rPr>
        <w:footnoteReference w:id="480"/>
      </w:r>
    </w:p>
    <w:bookmarkEnd w:id="1145"/>
    <w:bookmarkStart w:id="1146" w:name="lanalisi-di-sensibilità"/>
    <w:p>
      <w:pPr>
        <w:pStyle w:val="Heading2"/>
      </w:pPr>
      <w:r>
        <w:t xml:space="preserve">5. L’analisi di sensibilità</w:t>
      </w:r>
    </w:p>
    <w:p>
      <w:pPr>
        <w:pStyle w:val="FirstParagraph"/>
      </w:pPr>
      <w:r>
        <w:t xml:space="preserve">Il costo per incarico dipende dalla tariffa e dalle ore; la tabella seguente ne mostra la variazione entro intervalli plausibili, riferita allo scenario base di circa 700 incarichi. L’ipotesi più onerosa, combinata con la massima copertura, definisce il limite superiore di spesa.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Ipotesi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per incarico</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totale (mln €)</w:t>
            </w:r>
          </w:p>
        </w:tc>
      </w:tr>
      <w:tr>
        <w:tc>
          <w:tcPr/>
          <w:p>
            <w:pPr>
              <w:pStyle w:val="Compact"/>
              <w:spacing w:after="40" w:before="40"/>
              <w:jc w:val="left"/>
            </w:pPr>
            <w:r>
              <w:rPr>
                <w:rFonts w:ascii="Cambria" w:hAnsi="Cambria" w:cs="Cambria" w:eastAsia="Cambria"/>
                <w:b/>
                <w:bCs/>
                <w:color w:val="1A1A1A"/>
                <w:sz w:val="18"/>
              </w:rPr>
              <w:t xml:space="preserve">Bassa (tariffa ~36 €/ora, ~1.200 ore)</w:t>
            </w:r>
          </w:p>
        </w:tc>
        <w:tc>
          <w:tcPr/>
          <w:p>
            <w:pPr>
              <w:pStyle w:val="Compact"/>
              <w:spacing w:after="40" w:before="40"/>
              <w:jc w:val="left"/>
            </w:pPr>
            <w:r>
              <w:rPr>
                <w:rFonts w:ascii="Cambria" w:hAnsi="Cambria" w:cs="Cambria" w:eastAsia="Cambria"/>
                <w:color w:val="1A1A1A"/>
                <w:sz w:val="18"/>
              </w:rPr>
              <w:t xml:space="preserve">~ 48.000 €</w:t>
            </w:r>
          </w:p>
        </w:tc>
        <w:tc>
          <w:tcPr/>
          <w:p>
            <w:pPr>
              <w:pStyle w:val="Compact"/>
              <w:spacing w:after="40" w:before="40"/>
              <w:jc w:val="left"/>
            </w:pPr>
            <w:r>
              <w:rPr>
                <w:rFonts w:ascii="Cambria" w:hAnsi="Cambria" w:cs="Cambria" w:eastAsia="Cambria"/>
                <w:color w:val="1A1A1A"/>
                <w:sz w:val="18"/>
              </w:rPr>
              <w:t xml:space="preserve">~ 34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Base (tariffa ~40 €/ora, ~1.250 ore)</w:t>
            </w:r>
          </w:p>
        </w:tc>
        <w:tc>
          <w:tcPr>
            <w:shd w:val="clear" w:color="auto" w:fill="F4F1EC"/>
          </w:tcPr>
          <w:p>
            <w:pPr>
              <w:pStyle w:val="Compact"/>
              <w:spacing w:after="40" w:before="40"/>
              <w:jc w:val="left"/>
            </w:pPr>
            <w:r>
              <w:rPr>
                <w:rFonts w:ascii="Cambria" w:hAnsi="Cambria" w:cs="Cambria" w:eastAsia="Cambria"/>
                <w:color w:val="1A1A1A"/>
                <w:sz w:val="18"/>
              </w:rPr>
              <w:t xml:space="preserve">~ 55.000 €</w:t>
            </w:r>
          </w:p>
        </w:tc>
        <w:tc>
          <w:tcPr>
            <w:shd w:val="clear" w:color="auto" w:fill="F4F1EC"/>
          </w:tcPr>
          <w:p>
            <w:pPr>
              <w:pStyle w:val="Compact"/>
              <w:spacing w:after="40" w:before="40"/>
              <w:jc w:val="left"/>
            </w:pPr>
            <w:r>
              <w:rPr>
                <w:rFonts w:ascii="Cambria" w:hAnsi="Cambria" w:cs="Cambria" w:eastAsia="Cambria"/>
                <w:color w:val="1A1A1A"/>
                <w:sz w:val="18"/>
              </w:rPr>
              <w:t xml:space="preserve">~ 38</w:t>
            </w:r>
          </w:p>
        </w:tc>
      </w:tr>
      <w:tr>
        <w:tc>
          <w:tcPr/>
          <w:p>
            <w:pPr>
              <w:pStyle w:val="Compact"/>
              <w:spacing w:after="40" w:before="40"/>
              <w:jc w:val="left"/>
            </w:pPr>
            <w:r>
              <w:rPr>
                <w:rFonts w:ascii="Cambria" w:hAnsi="Cambria" w:cs="Cambria" w:eastAsia="Cambria"/>
                <w:b/>
                <w:bCs/>
                <w:color w:val="1A1A1A"/>
                <w:sz w:val="18"/>
              </w:rPr>
              <w:t xml:space="preserve">Alta (tariffa ~45 €/ora, ~1.450 ore)</w:t>
            </w:r>
          </w:p>
        </w:tc>
        <w:tc>
          <w:tcPr/>
          <w:p>
            <w:pPr>
              <w:pStyle w:val="Compact"/>
              <w:spacing w:after="40" w:before="40"/>
              <w:jc w:val="left"/>
            </w:pPr>
            <w:r>
              <w:rPr>
                <w:rFonts w:ascii="Cambria" w:hAnsi="Cambria" w:cs="Cambria" w:eastAsia="Cambria"/>
                <w:color w:val="1A1A1A"/>
                <w:sz w:val="18"/>
              </w:rPr>
              <w:t xml:space="preserve">~ 70.000 €</w:t>
            </w:r>
          </w:p>
        </w:tc>
        <w:tc>
          <w:tcPr/>
          <w:p>
            <w:pPr>
              <w:pStyle w:val="Compact"/>
              <w:spacing w:after="40" w:before="40"/>
              <w:jc w:val="left"/>
            </w:pPr>
            <w:r>
              <w:rPr>
                <w:rFonts w:ascii="Cambria" w:hAnsi="Cambria" w:cs="Cambria" w:eastAsia="Cambria"/>
                <w:color w:val="1A1A1A"/>
                <w:sz w:val="18"/>
              </w:rPr>
              <w:t xml:space="preserve">~ 49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Costi pieni e massima copertura (~900 incarichi)</w:t>
            </w:r>
          </w:p>
        </w:tc>
        <w:tc>
          <w:tcPr>
            <w:shd w:val="clear" w:color="auto" w:fill="F4F1EC"/>
          </w:tcPr>
          <w:p>
            <w:pPr>
              <w:pStyle w:val="Compact"/>
              <w:spacing w:after="40" w:before="40"/>
              <w:jc w:val="left"/>
            </w:pPr>
            <w:r>
              <w:rPr>
                <w:rFonts w:ascii="Cambria" w:hAnsi="Cambria" w:cs="Cambria" w:eastAsia="Cambria"/>
                <w:color w:val="1A1A1A"/>
                <w:sz w:val="18"/>
              </w:rPr>
              <w:t xml:space="preserve">~ 70.000–75.000 €</w:t>
            </w:r>
          </w:p>
        </w:tc>
        <w:tc>
          <w:tcPr>
            <w:shd w:val="clear" w:color="auto" w:fill="F4F1EC"/>
          </w:tcPr>
          <w:p>
            <w:pPr>
              <w:pStyle w:val="Compact"/>
              <w:spacing w:after="40" w:before="40"/>
              <w:jc w:val="left"/>
            </w:pPr>
            <w:r>
              <w:rPr>
                <w:rFonts w:ascii="Cambria" w:hAnsi="Cambria" w:cs="Cambria" w:eastAsia="Cambria"/>
                <w:color w:val="1A1A1A"/>
                <w:sz w:val="18"/>
              </w:rPr>
              <w:t xml:space="preserve">fino a ~ 60–75</w:t>
            </w:r>
          </w:p>
        </w:tc>
      </w:tr>
    </w:tbl>
    <w:p>
      <w:pPr>
        <w:pStyle w:val="BodyText"/>
      </w:pPr>
      <w:r>
        <w:rPr>
          <w:i/>
          <w:iCs/>
        </w:rPr>
        <w:t xml:space="preserve">Tabella 3. Sensibilità del costo a tariffa e ore (scenario base ~700 incarichi, salvo l</w:t>
      </w:r>
      <w:r>
        <w:rPr>
          <w:b/>
          <w:bCs/>
          <w:i/>
          <w:iCs/>
        </w:rPr>
        <w:t xml:space="preserve">‘</w:t>
      </w:r>
      <w:r>
        <w:rPr>
          <w:b/>
          <w:b/>
          <w:bCs/>
          <w:bCs/>
          <w:i/>
          <w:iCs/>
        </w:rPr>
        <w:t xml:space="preserve">ultima riga). Il limite superiore a costi pieni è dell</w:t>
      </w:r>
      <w:r>
        <w:rPr>
          <w:b/>
          <w:bCs/>
          <w:i/>
          <w:iCs/>
        </w:rPr>
        <w:t xml:space="preserve">’</w:t>
      </w:r>
      <w:r>
        <w:rPr>
          <w:i/>
          <w:iCs/>
        </w:rPr>
        <w:t xml:space="preserve">ordine di 60–75 milioni.</w:t>
      </w:r>
    </w:p>
    <w:bookmarkEnd w:id="1146"/>
    <w:bookmarkStart w:id="1147" w:name="che-cosa-è-incluso-e-che-cosa-è-esterno"/>
    <w:p>
      <w:pPr>
        <w:pStyle w:val="Heading2"/>
      </w:pPr>
      <w:r>
        <w:t xml:space="preserve">6. Che cosa è incluso e che cosa è esterno</w:t>
      </w:r>
    </w:p>
    <w:p>
      <w:pPr>
        <w:pStyle w:val="FirstParagraph"/>
      </w:pPr>
      <w:r>
        <w:t xml:space="preserve">La trasparenza del costo richiede di esplicitare ciò che il valore per incarico comprende e ciò che ne resta fuori.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Voce</w:t>
            </w:r>
          </w:p>
        </w:tc>
        <w:tc>
          <w:tcPr>
            <w:shd w:val="clear" w:color="auto" w:fill="16264B"/>
          </w:tcPr>
          <w:p>
            <w:pPr>
              <w:pStyle w:val="Compact"/>
              <w:spacing w:after="40" w:before="40"/>
              <w:jc w:val="left"/>
            </w:pPr>
            <w:r>
              <w:rPr>
                <w:rFonts w:ascii="Cambria" w:hAnsi="Cambria" w:cs="Cambria" w:eastAsia="Cambria"/>
                <w:b/>
                <w:bCs/>
                <w:color w:val="FFFFFF"/>
                <w:sz w:val="18"/>
              </w:rPr>
              <w:t xml:space="preserve">Trattamento</w:t>
            </w:r>
          </w:p>
        </w:tc>
      </w:tr>
      <w:tr>
        <w:tc>
          <w:tcPr/>
          <w:p>
            <w:pPr>
              <w:pStyle w:val="Compact"/>
              <w:spacing w:after="40" w:before="40"/>
              <w:jc w:val="left"/>
            </w:pPr>
            <w:r>
              <w:rPr>
                <w:rFonts w:ascii="Cambria" w:hAnsi="Cambria" w:cs="Cambria" w:eastAsia="Cambria"/>
                <w:b/>
                <w:bCs/>
                <w:color w:val="1A1A1A"/>
                <w:sz w:val="18"/>
              </w:rPr>
              <w:t xml:space="preserve">Compenso dei professionisti</w:t>
            </w:r>
          </w:p>
        </w:tc>
        <w:tc>
          <w:tcPr/>
          <w:p>
            <w:pPr>
              <w:pStyle w:val="Compact"/>
              <w:spacing w:after="40" w:before="40"/>
              <w:jc w:val="left"/>
            </w:pPr>
            <w:r>
              <w:rPr>
                <w:rFonts w:ascii="Cambria" w:hAnsi="Cambria" w:cs="Cambria" w:eastAsia="Cambria"/>
                <w:color w:val="1A1A1A"/>
                <w:sz w:val="18"/>
              </w:rPr>
              <w:t xml:space="preserve">Incluso: è la voce principale del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Oneri a carico dell’azienda</w:t>
            </w:r>
          </w:p>
        </w:tc>
        <w:tc>
          <w:tcPr>
            <w:shd w:val="clear" w:color="auto" w:fill="F4F1EC"/>
          </w:tcPr>
          <w:p>
            <w:pPr>
              <w:pStyle w:val="Compact"/>
              <w:spacing w:after="40" w:before="40"/>
              <w:jc w:val="left"/>
            </w:pPr>
            <w:r>
              <w:rPr>
                <w:rFonts w:ascii="Cambria" w:hAnsi="Cambria" w:cs="Cambria" w:eastAsia="Cambria"/>
                <w:color w:val="1A1A1A"/>
                <w:sz w:val="18"/>
              </w:rPr>
              <w:t xml:space="preserve">Inclusi nella tariffa oraria a carico dell’azienda</w:t>
            </w:r>
          </w:p>
        </w:tc>
      </w:tr>
      <w:tr>
        <w:tc>
          <w:tcPr/>
          <w:p>
            <w:pPr>
              <w:pStyle w:val="Compact"/>
              <w:spacing w:after="40" w:before="40"/>
              <w:jc w:val="left"/>
            </w:pPr>
            <w:r>
              <w:rPr>
                <w:rFonts w:ascii="Cambria" w:hAnsi="Cambria" w:cs="Cambria" w:eastAsia="Cambria"/>
                <w:b/>
                <w:bCs/>
                <w:color w:val="1A1A1A"/>
                <w:sz w:val="18"/>
              </w:rPr>
              <w:t xml:space="preserve">Sedi (Case della Comunità)</w:t>
            </w:r>
          </w:p>
        </w:tc>
        <w:tc>
          <w:tcPr/>
          <w:p>
            <w:pPr>
              <w:pStyle w:val="Compact"/>
              <w:spacing w:after="40" w:before="40"/>
              <w:jc w:val="left"/>
            </w:pPr>
            <w:r>
              <w:rPr>
                <w:rFonts w:ascii="Cambria" w:hAnsi="Cambria" w:cs="Cambria" w:eastAsia="Cambria"/>
                <w:color w:val="1A1A1A"/>
                <w:sz w:val="18"/>
              </w:rPr>
              <w:t xml:space="preserve">In larga parte esistenti; costo marginale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Sistemi informativi e piattaforma</w:t>
            </w:r>
          </w:p>
        </w:tc>
        <w:tc>
          <w:tcPr>
            <w:shd w:val="clear" w:color="auto" w:fill="F4F1EC"/>
          </w:tcPr>
          <w:p>
            <w:pPr>
              <w:pStyle w:val="Compact"/>
              <w:spacing w:after="40" w:before="40"/>
              <w:jc w:val="left"/>
            </w:pPr>
            <w:r>
              <w:rPr>
                <w:rFonts w:ascii="Cambria" w:hAnsi="Cambria" w:cs="Cambria" w:eastAsia="Cambria"/>
                <w:color w:val="1A1A1A"/>
                <w:sz w:val="18"/>
              </w:rPr>
              <w:t xml:space="preserve">Inclusi nei costi generali; l’integrazione con il Fascicolo è oggetto di specifica a parte</w:t>
            </w:r>
          </w:p>
        </w:tc>
      </w:tr>
      <w:tr>
        <w:tc>
          <w:tcPr/>
          <w:p>
            <w:pPr>
              <w:pStyle w:val="Compact"/>
              <w:spacing w:after="40" w:before="40"/>
              <w:jc w:val="left"/>
            </w:pPr>
            <w:r>
              <w:rPr>
                <w:rFonts w:ascii="Cambria" w:hAnsi="Cambria" w:cs="Cambria" w:eastAsia="Cambria"/>
                <w:b/>
                <w:bCs/>
                <w:color w:val="1A1A1A"/>
                <w:sz w:val="18"/>
              </w:rPr>
              <w:t xml:space="preserve">Formazione</w:t>
            </w:r>
          </w:p>
        </w:tc>
        <w:tc>
          <w:tcPr/>
          <w:p>
            <w:pPr>
              <w:pStyle w:val="Compact"/>
              <w:spacing w:after="40" w:before="40"/>
              <w:jc w:val="left"/>
            </w:pPr>
            <w:r>
              <w:rPr>
                <w:rFonts w:ascii="Cambria" w:hAnsi="Cambria" w:cs="Cambria" w:eastAsia="Cambria"/>
                <w:color w:val="1A1A1A"/>
                <w:sz w:val="18"/>
              </w:rPr>
              <w:t xml:space="preserve">In parte coperta da fondi PNRR; quota residua nei costi generali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Coordinamento e Osservatorio</w:t>
            </w:r>
          </w:p>
        </w:tc>
        <w:tc>
          <w:tcPr>
            <w:shd w:val="clear" w:color="auto" w:fill="F4F1EC"/>
          </w:tcPr>
          <w:p>
            <w:pPr>
              <w:pStyle w:val="Compact"/>
              <w:spacing w:after="40" w:before="40"/>
              <w:jc w:val="left"/>
            </w:pPr>
            <w:r>
              <w:rPr>
                <w:rFonts w:ascii="Cambria" w:hAnsi="Cambria" w:cs="Cambria" w:eastAsia="Cambria"/>
                <w:color w:val="1A1A1A"/>
                <w:sz w:val="18"/>
              </w:rPr>
              <w:t xml:space="preserve">Inclusi nei costi generali</w:t>
            </w:r>
          </w:p>
        </w:tc>
      </w:tr>
    </w:tbl>
    <w:p>
      <w:pPr>
        <w:pStyle w:val="BodyText"/>
      </w:pPr>
      <w:r>
        <w:rPr>
          <w:i/>
          <w:iCs/>
        </w:rPr>
        <w:t xml:space="preserve">Tabella 4. Perimetro del costo per incarico. La specifica del sistema informativo e dell</w:t>
      </w:r>
      <w:r>
        <w:rPr>
          <w:b/>
          <w:bCs/>
          <w:i/>
          <w:iCs/>
        </w:rPr>
        <w:t xml:space="preserve">’</w:t>
      </w:r>
      <w:r>
        <w:rPr>
          <w:i/>
          <w:iCs/>
        </w:rPr>
        <w:t xml:space="preserve">integrazione con il Fascicolo è trattata separatamente.</w:t>
      </w:r>
    </w:p>
    <w:bookmarkEnd w:id="1147"/>
    <w:bookmarkStart w:id="1149" w:name="le-coperture-e-la-natura-della-stima"/>
    <w:p>
      <w:pPr>
        <w:pStyle w:val="Heading2"/>
      </w:pPr>
      <w:r>
        <w:t xml:space="preserve">7. Le coperture e la natura della stima</w:t>
      </w:r>
    </w:p>
    <w:p>
      <w:pPr>
        <w:pStyle w:val="FirstParagraph"/>
      </w:pPr>
      <w:r>
        <w:t xml:space="preserve">Il costo qui ricostruito è il fabbisogno di spesa; la sua copertura è una questione distinta, trattata nella relazione tecnico-finanziaria del progetto. In una regione in disavanzo e sotto vincoli di rientro, l’individuazione delle coperture nel bilancio sanitario è il passaggio decisivo, e lo stanziamento attuale — 1,5 milioni — è commisurato a un servizio simbolico, non a regime.</w:t>
      </w:r>
      <w:r>
        <w:rPr>
          <w:rStyle w:val="FootnoteReference"/>
        </w:rPr>
        <w:footnoteReference w:id="481"/>
      </w:r>
      <w:r>
        <w:t xml:space="preserve"> </w:t>
      </w:r>
      <w:r>
        <w:t xml:space="preserve">Resta fermo il punto di metodo: la tariffa è una scelta di politica sanitaria, e questo documento ne fornisce la base di costo, non la determinazione.</w:t>
      </w:r>
    </w:p>
    <w:p>
      <w:pPr>
        <w:pStyle w:val="BodyText"/>
      </w:pPr>
      <w:r>
        <w:t xml:space="preserve">Con questa ricostruzione il lato dei costi della tabella unica è ancorato a un modello esplicito: la tariffa oraria, le ore per incarico e i costi generali conducono a un costo per incarico dell’ordine di 55.000 euro, e da questo ai 25, 38 e 50 milioni dei tre scenari. Resta da specificare, nella stessa categoria, il sistema informativo e i criteri per gli strumenti digitali e di intelligenza artificiale ammessi, oggetto dei passi successivi.</w:t>
      </w:r>
    </w:p>
    <w:p>
      <w:r>
        <w:br w:type="page"/>
      </w:r>
    </w:p>
    <w:bookmarkEnd w:id="1149"/>
    <w:bookmarkEnd w:id="1150"/>
    <w:bookmarkStart w:id="1167" w:name="X7d2a893d6ce8a4269ef9a19e908676347c447e2"/>
    <w:p>
      <w:pPr>
        <w:pStyle w:val="Heading1"/>
      </w:pPr>
      <w:r>
        <w:t xml:space="preserve">Appendice X — Specifica di estrazione dei dati primari</w:t>
      </w:r>
    </w:p>
    <w:p>
      <w:pPr>
        <w:pStyle w:val="FirstParagraph"/>
      </w:pPr>
      <w:r>
        <w:t xml:space="preserve">Psicologo di base in Puglia · specifica di estrazione dei dati primari</w:t>
      </w:r>
    </w:p>
    <w:p>
      <w:pPr>
        <w:pStyle w:val="BodyText"/>
      </w:pPr>
      <w:r>
        <w:rPr>
          <w:b/>
          <w:bCs/>
        </w:rPr>
        <w:t xml:space="preserve">PROGETTO «PSICOLOGO DI BASE» · REGIONE PUGLIA</w:t>
      </w:r>
    </w:p>
    <w:p>
      <w:pPr>
        <w:pStyle w:val="BodyText"/>
      </w:pPr>
      <w:r>
        <w:t xml:space="preserve">Chiusura della lacuna A · dato primario certificato</w:t>
      </w:r>
    </w:p>
    <w:p>
      <w:pPr>
        <w:pStyle w:val="BodyText"/>
      </w:pPr>
      <w:r>
        <w:rPr>
          <w:b/>
          <w:bCs/>
        </w:rPr>
        <w:t xml:space="preserve">Specifica di estrazione dei dati primari</w:t>
      </w:r>
    </w:p>
    <w:p>
      <w:pPr>
        <w:pStyle w:val="BodyText"/>
      </w:pPr>
      <w:r>
        <w:rPr>
          <w:b/>
          <w:bCs/>
        </w:rPr>
        <w:t xml:space="preserve">richiesta tecnica ad AReSS e alle ASL per la quantificazione certificata</w:t>
      </w:r>
    </w:p>
    <w:p>
      <w:pPr>
        <w:pStyle w:val="BodyText"/>
      </w:pPr>
      <w:r>
        <w:rPr>
          <w:i/>
          <w:iCs/>
        </w:rPr>
        <w:t xml:space="preserve">Conti del SSR, dimissioni ospedaliere, mobilità, farmaceutica, pronto soccorso, salute mentale e denominatori</w:t>
      </w:r>
    </w:p>
    <w:p>
      <w:pPr>
        <w:pStyle w:val="BodyText"/>
      </w:pPr>
      <w:r>
        <w:rPr>
          <w:b/>
          <w:bCs/>
        </w:rPr>
        <w:t xml:space="preserve">Indice</w:t>
      </w:r>
    </w:p>
    <w:bookmarkStart w:id="1155" w:name="premessa-e-criteri-generali"/>
    <w:p>
      <w:pPr>
        <w:pStyle w:val="Heading2"/>
      </w:pPr>
      <w:r>
        <w:t xml:space="preserve">Premessa e criteri generali</w:t>
      </w:r>
    </w:p>
    <w:p>
      <w:pPr>
        <w:pStyle w:val="FirstParagraph"/>
      </w:pPr>
      <w:r>
        <w:t xml:space="preserve">Questo documento è il primo passo per colmare la lacuna fondamentale del progetto: la sostituzione delle cifre di spesa e di attività oggi ricostruite per quota di popolazione con valori estratti dai conti e dai flussi regionali.</w:t>
      </w:r>
      <w:r>
        <w:rPr>
          <w:rStyle w:val="FootnoteReference"/>
        </w:rPr>
        <w:footnoteReference w:id="482"/>
      </w:r>
      <w:r>
        <w:t xml:space="preserve"> </w:t>
      </w:r>
      <w:r>
        <w:t xml:space="preserve">Esso costituisce una specifica tecnica di estrazione, destinata all’Agenzia Regionale per la Salute e il Sociale e alle sei aziende sanitarie locali, e indica con precisione, per ciascun ambito, i dati richiesti, la fonte, il periodo e il livello di disaggregazione. I conti certificati già noti — il finanziamento di circa 8,8 miliardi e il relativo disavanzo — forniscono la cornice entro cui la disaggregazione richiesta rende calcolabili i risparmi attesi.</w:t>
      </w:r>
      <w:r>
        <w:rPr>
          <w:rStyle w:val="FootnoteReference"/>
        </w:rPr>
        <w:footnoteReference w:id="483"/>
      </w:r>
    </w:p>
    <w:p>
      <w:pPr>
        <w:pStyle w:val="BodyText"/>
      </w:pPr>
      <w:r>
        <w:t xml:space="preserve">Tre criteri valgono per l’intera richiesta. Il periodo di riferimento è l’ultimo triennio disponibile (2022–2024), per cogliere il livello e la tendenza. Il livello di disaggregazione richiesto è, ove possibile, quello della singola azienda sanitaria, per consentire l’analisi dell’equità territoriale. I flussi richiesti sono quelli già alimentati dalle aziende nell’ambito del sistema informativo sanitario nazionale, di cui si chiedono le estrazioni regionali aggregate.</w:t>
      </w:r>
      <w:r>
        <w:rPr>
          <w:rStyle w:val="FootnoteReference"/>
        </w:rPr>
        <w:footnoteReference w:id="484"/>
      </w:r>
      <w:r>
        <w:t xml:space="preserve"> </w:t>
      </w:r>
      <w:r>
        <w:t xml:space="preserve">La richiesta riguarda esclusivamente dati aggregati e anonimi: non sono richiesti dati individuali, e il trattamento è limitato alle finalità dell’analisi.</w:t>
      </w:r>
      <w:r>
        <w:rPr>
          <w:rStyle w:val="FootnoteReference"/>
        </w:rPr>
        <w:footnoteReference w:id="485"/>
      </w:r>
    </w:p>
    <w:bookmarkEnd w:id="1155"/>
    <w:bookmarkStart w:id="1156" w:name="Xd068d716be08d2189f95471d48645a42d29b3ee"/>
    <w:p>
      <w:pPr>
        <w:pStyle w:val="Heading2"/>
      </w:pPr>
      <w:r>
        <w:t xml:space="preserve">1. Conti del Servizio sanitario regionale: la spesa per voce</w:t>
      </w:r>
    </w:p>
    <w:p>
      <w:pPr>
        <w:pStyle w:val="FirstParagraph"/>
      </w:pPr>
      <w:r>
        <w:t xml:space="preserve">Si richiede la spesa sanitaria regionale disaggregata per i macro-aggregati rilevanti per l’analisi, estratta dal conto economico (modelli ministeriali) e dai bilanci di esercizio. È il dato che sostituisce la ricostruzione per quota di popolazione e ancora il calcolo dei risparmi ai conti effettivi.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Dato / variabile richiesta</w:t>
            </w:r>
          </w:p>
        </w:tc>
        <w:tc>
          <w:tcPr>
            <w:shd w:val="clear" w:color="auto" w:fill="16264B"/>
          </w:tcPr>
          <w:p>
            <w:pPr>
              <w:pStyle w:val="Compact"/>
              <w:spacing w:after="40" w:before="40"/>
              <w:jc w:val="left"/>
            </w:pPr>
            <w:r>
              <w:rPr>
                <w:rFonts w:ascii="Cambria" w:hAnsi="Cambria" w:cs="Cambria" w:eastAsia="Cambria"/>
                <w:b/>
                <w:bCs/>
                <w:color w:val="FFFFFF"/>
                <w:sz w:val="18"/>
              </w:rPr>
              <w:t xml:space="preserve">Specifica</w:t>
            </w:r>
          </w:p>
        </w:tc>
      </w:tr>
      <w:tr>
        <w:tc>
          <w:tcPr/>
          <w:p>
            <w:pPr>
              <w:pStyle w:val="Compact"/>
              <w:spacing w:after="40" w:before="40"/>
              <w:jc w:val="left"/>
            </w:pPr>
            <w:r>
              <w:rPr>
                <w:rFonts w:ascii="Cambria" w:hAnsi="Cambria" w:cs="Cambria" w:eastAsia="Cambria"/>
                <w:b/>
                <w:bCs/>
                <w:color w:val="1A1A1A"/>
                <w:sz w:val="18"/>
              </w:rPr>
              <w:t xml:space="preserve">Spesa per la medicina generale e le cure primarie</w:t>
            </w:r>
          </w:p>
        </w:tc>
        <w:tc>
          <w:tcPr/>
          <w:p>
            <w:pPr>
              <w:pStyle w:val="Compact"/>
              <w:spacing w:after="40" w:before="40"/>
              <w:jc w:val="left"/>
            </w:pPr>
            <w:r>
              <w:rPr>
                <w:rFonts w:ascii="Cambria" w:hAnsi="Cambria" w:cs="Cambria" w:eastAsia="Cambria"/>
                <w:color w:val="1A1A1A"/>
                <w:sz w:val="18"/>
              </w:rPr>
              <w:t xml:space="preserve">Importo annuo (€); per ASL ove disponibile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Spesa per l’assistenza specialistica e la diagnostica</w:t>
            </w:r>
          </w:p>
        </w:tc>
        <w:tc>
          <w:tcPr>
            <w:shd w:val="clear" w:color="auto" w:fill="F4F1EC"/>
          </w:tcPr>
          <w:p>
            <w:pPr>
              <w:pStyle w:val="Compact"/>
              <w:spacing w:after="40" w:before="40"/>
              <w:jc w:val="left"/>
            </w:pPr>
            <w:r>
              <w:rPr>
                <w:rFonts w:ascii="Cambria" w:hAnsi="Cambria" w:cs="Cambria" w:eastAsia="Cambria"/>
                <w:color w:val="1A1A1A"/>
                <w:sz w:val="18"/>
              </w:rPr>
              <w:t xml:space="preserve">Importo annuo (€), distinguendo prodotta e acquistata; per ASL</w:t>
            </w:r>
          </w:p>
        </w:tc>
      </w:tr>
      <w:tr>
        <w:tc>
          <w:tcPr/>
          <w:p>
            <w:pPr>
              <w:pStyle w:val="Compact"/>
              <w:spacing w:after="40" w:before="40"/>
              <w:jc w:val="left"/>
            </w:pPr>
            <w:r>
              <w:rPr>
                <w:rFonts w:ascii="Cambria" w:hAnsi="Cambria" w:cs="Cambria" w:eastAsia="Cambria"/>
                <w:b/>
                <w:bCs/>
                <w:color w:val="1A1A1A"/>
                <w:sz w:val="18"/>
              </w:rPr>
              <w:t xml:space="preserve">Spesa farmaceutica territoriale</w:t>
            </w:r>
          </w:p>
        </w:tc>
        <w:tc>
          <w:tcPr/>
          <w:p>
            <w:pPr>
              <w:pStyle w:val="Compact"/>
              <w:spacing w:after="40" w:before="40"/>
              <w:jc w:val="left"/>
            </w:pPr>
            <w:r>
              <w:rPr>
                <w:rFonts w:ascii="Cambria" w:hAnsi="Cambria" w:cs="Cambria" w:eastAsia="Cambria"/>
                <w:color w:val="1A1A1A"/>
                <w:sz w:val="18"/>
              </w:rPr>
              <w:t xml:space="preserve">Importo annuo (€), convenzionata e diretta; per ASL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Spesa per la salute mentale (DSM)</w:t>
            </w:r>
          </w:p>
        </w:tc>
        <w:tc>
          <w:tcPr>
            <w:shd w:val="clear" w:color="auto" w:fill="F4F1EC"/>
          </w:tcPr>
          <w:p>
            <w:pPr>
              <w:pStyle w:val="Compact"/>
              <w:spacing w:after="40" w:before="40"/>
              <w:jc w:val="left"/>
            </w:pPr>
            <w:r>
              <w:rPr>
                <w:rFonts w:ascii="Cambria" w:hAnsi="Cambria" w:cs="Cambria" w:eastAsia="Cambria"/>
                <w:color w:val="1A1A1A"/>
                <w:sz w:val="18"/>
              </w:rPr>
              <w:t xml:space="preserve">Importo annuo (€) dei Dipartimenti di Salute Mentale; per ASL</w:t>
            </w:r>
          </w:p>
        </w:tc>
      </w:tr>
      <w:tr>
        <w:tc>
          <w:tcPr/>
          <w:p>
            <w:pPr>
              <w:pStyle w:val="Compact"/>
              <w:spacing w:after="40" w:before="40"/>
              <w:jc w:val="left"/>
            </w:pPr>
            <w:r>
              <w:rPr>
                <w:rFonts w:ascii="Cambria" w:hAnsi="Cambria" w:cs="Cambria" w:eastAsia="Cambria"/>
                <w:b/>
                <w:bCs/>
                <w:color w:val="1A1A1A"/>
                <w:sz w:val="18"/>
              </w:rPr>
              <w:t xml:space="preserve">Spesa per l’emergenza-urgenza</w:t>
            </w:r>
          </w:p>
        </w:tc>
        <w:tc>
          <w:tcPr/>
          <w:p>
            <w:pPr>
              <w:pStyle w:val="Compact"/>
              <w:spacing w:after="40" w:before="40"/>
              <w:jc w:val="left"/>
            </w:pPr>
            <w:r>
              <w:rPr>
                <w:rFonts w:ascii="Cambria" w:hAnsi="Cambria" w:cs="Cambria" w:eastAsia="Cambria"/>
                <w:color w:val="1A1A1A"/>
                <w:sz w:val="18"/>
              </w:rPr>
              <w:t xml:space="preserve">Importo annuo (€) per il sistema dei pronto soccorso; per presidio/ASL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Fonte e periodo</w:t>
            </w:r>
          </w:p>
        </w:tc>
        <w:tc>
          <w:tcPr>
            <w:shd w:val="clear" w:color="auto" w:fill="F4F1EC"/>
          </w:tcPr>
          <w:p>
            <w:pPr>
              <w:pStyle w:val="Compact"/>
              <w:spacing w:after="40" w:before="40"/>
              <w:jc w:val="left"/>
            </w:pPr>
            <w:r>
              <w:rPr>
                <w:rFonts w:ascii="Cambria" w:hAnsi="Cambria" w:cs="Cambria" w:eastAsia="Cambria"/>
                <w:color w:val="1A1A1A"/>
                <w:sz w:val="18"/>
              </w:rPr>
              <w:t xml:space="preserve">Conto economico (modelli LA/CE), bilanci di esercizio, NSIS; anni 2022–2024</w:t>
            </w:r>
          </w:p>
        </w:tc>
      </w:tr>
    </w:tbl>
    <w:p>
      <w:pPr>
        <w:pStyle w:val="BodyText"/>
      </w:pPr>
      <w:r>
        <w:rPr>
          <w:i/>
          <w:iCs/>
        </w:rPr>
        <w:t xml:space="preserve">Specifica 1. Spesa del SSR per voce. Colma la lacuna sulla spesa regionale effettiva (categoria A).</w:t>
      </w:r>
    </w:p>
    <w:bookmarkEnd w:id="1156"/>
    <w:bookmarkStart w:id="1158" w:name="X1c9378cd65e10448880fc9e82d3dd15a1814422"/>
    <w:p>
      <w:pPr>
        <w:pStyle w:val="Heading2"/>
      </w:pPr>
      <w:r>
        <w:t xml:space="preserve">2. Dimissioni ospedaliere per disturbi psichici (SDO)</w:t>
      </w:r>
    </w:p>
    <w:p>
      <w:pPr>
        <w:pStyle w:val="FirstParagraph"/>
      </w:pPr>
      <w:r>
        <w:t xml:space="preserve">Si richiede l’estrazione delle schede di dimissione ospedaliera relative ai disturbi psichici, con i raggruppamenti diagnostici, i volumi, i costi e la degenza. Il dato consente di stimare i ricoveri evitabili e di quantificare il canale dei ricoveri nella revisione economica.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Dato / variabile richiesta</w:t>
            </w:r>
          </w:p>
        </w:tc>
        <w:tc>
          <w:tcPr>
            <w:shd w:val="clear" w:color="auto" w:fill="16264B"/>
          </w:tcPr>
          <w:p>
            <w:pPr>
              <w:pStyle w:val="Compact"/>
              <w:spacing w:after="40" w:before="40"/>
              <w:jc w:val="left"/>
            </w:pPr>
            <w:r>
              <w:rPr>
                <w:rFonts w:ascii="Cambria" w:hAnsi="Cambria" w:cs="Cambria" w:eastAsia="Cambria"/>
                <w:b/>
                <w:bCs/>
                <w:color w:val="FFFFFF"/>
                <w:sz w:val="18"/>
              </w:rPr>
              <w:t xml:space="preserve">Specifica</w:t>
            </w:r>
          </w:p>
        </w:tc>
      </w:tr>
      <w:tr>
        <w:tc>
          <w:tcPr/>
          <w:p>
            <w:pPr>
              <w:pStyle w:val="Compact"/>
              <w:spacing w:after="40" w:before="40"/>
              <w:jc w:val="left"/>
            </w:pPr>
            <w:r>
              <w:rPr>
                <w:rFonts w:ascii="Cambria" w:hAnsi="Cambria" w:cs="Cambria" w:eastAsia="Cambria"/>
                <w:b/>
                <w:bCs/>
                <w:color w:val="1A1A1A"/>
                <w:sz w:val="18"/>
              </w:rPr>
              <w:t xml:space="preserve">Dimissioni con diagnosi principale psichiatrica</w:t>
            </w:r>
          </w:p>
        </w:tc>
        <w:tc>
          <w:tcPr/>
          <w:p>
            <w:pPr>
              <w:pStyle w:val="Compact"/>
              <w:spacing w:after="40" w:before="40"/>
              <w:jc w:val="left"/>
            </w:pPr>
            <w:r>
              <w:rPr>
                <w:rFonts w:ascii="Cambria" w:hAnsi="Cambria" w:cs="Cambria" w:eastAsia="Cambria"/>
                <w:color w:val="1A1A1A"/>
                <w:sz w:val="18"/>
              </w:rPr>
              <w:t xml:space="preserve">Numero annuo, per raggruppamento diagnostico; per ASL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Dimissioni con diagnosi secondaria psichiatrica</w:t>
            </w:r>
          </w:p>
        </w:tc>
        <w:tc>
          <w:tcPr>
            <w:shd w:val="clear" w:color="auto" w:fill="F4F1EC"/>
          </w:tcPr>
          <w:p>
            <w:pPr>
              <w:pStyle w:val="Compact"/>
              <w:spacing w:after="40" w:before="40"/>
              <w:jc w:val="left"/>
            </w:pPr>
            <w:r>
              <w:rPr>
                <w:rFonts w:ascii="Cambria" w:hAnsi="Cambria" w:cs="Cambria" w:eastAsia="Cambria"/>
                <w:color w:val="1A1A1A"/>
                <w:sz w:val="18"/>
              </w:rPr>
              <w:t xml:space="preserve">Numero annuo (comorbilità); per ASL</w:t>
            </w:r>
          </w:p>
        </w:tc>
      </w:tr>
      <w:tr>
        <w:tc>
          <w:tcPr/>
          <w:p>
            <w:pPr>
              <w:pStyle w:val="Compact"/>
              <w:spacing w:after="40" w:before="40"/>
              <w:jc w:val="left"/>
            </w:pPr>
            <w:r>
              <w:rPr>
                <w:rFonts w:ascii="Cambria" w:hAnsi="Cambria" w:cs="Cambria" w:eastAsia="Cambria"/>
                <w:b/>
                <w:bCs/>
                <w:color w:val="1A1A1A"/>
                <w:sz w:val="18"/>
              </w:rPr>
              <w:t xml:space="preserve">Raggruppamento per DRG e tariffa</w:t>
            </w:r>
          </w:p>
        </w:tc>
        <w:tc>
          <w:tcPr/>
          <w:p>
            <w:pPr>
              <w:pStyle w:val="Compact"/>
              <w:spacing w:after="40" w:before="40"/>
              <w:jc w:val="left"/>
            </w:pPr>
            <w:r>
              <w:rPr>
                <w:rFonts w:ascii="Cambria" w:hAnsi="Cambria" w:cs="Cambria" w:eastAsia="Cambria"/>
                <w:color w:val="1A1A1A"/>
                <w:sz w:val="18"/>
              </w:rPr>
              <w:t xml:space="preserve">DRG/MDC e tariffa media o costo medio (€) per dimissione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Degenza media</w:t>
            </w:r>
          </w:p>
        </w:tc>
        <w:tc>
          <w:tcPr>
            <w:shd w:val="clear" w:color="auto" w:fill="F4F1EC"/>
          </w:tcPr>
          <w:p>
            <w:pPr>
              <w:pStyle w:val="Compact"/>
              <w:spacing w:after="40" w:before="40"/>
              <w:jc w:val="left"/>
            </w:pPr>
            <w:r>
              <w:rPr>
                <w:rFonts w:ascii="Cambria" w:hAnsi="Cambria" w:cs="Cambria" w:eastAsia="Cambria"/>
                <w:color w:val="1A1A1A"/>
                <w:sz w:val="18"/>
              </w:rPr>
              <w:t xml:space="preserve">Giorni di degenza medi per raggruppamento</w:t>
            </w:r>
          </w:p>
        </w:tc>
      </w:tr>
      <w:tr>
        <w:tc>
          <w:tcPr/>
          <w:p>
            <w:pPr>
              <w:pStyle w:val="Compact"/>
              <w:spacing w:after="40" w:before="40"/>
              <w:jc w:val="left"/>
            </w:pPr>
            <w:r>
              <w:rPr>
                <w:rFonts w:ascii="Cambria" w:hAnsi="Cambria" w:cs="Cambria" w:eastAsia="Cambria"/>
                <w:b/>
                <w:bCs/>
                <w:color w:val="1A1A1A"/>
                <w:sz w:val="18"/>
              </w:rPr>
              <w:t xml:space="preserve">Riammissioni</w:t>
            </w:r>
          </w:p>
        </w:tc>
        <w:tc>
          <w:tcPr/>
          <w:p>
            <w:pPr>
              <w:pStyle w:val="Compact"/>
              <w:spacing w:after="40" w:before="40"/>
              <w:jc w:val="left"/>
            </w:pPr>
            <w:r>
              <w:rPr>
                <w:rFonts w:ascii="Cambria" w:hAnsi="Cambria" w:cs="Cambria" w:eastAsia="Cambria"/>
                <w:color w:val="1A1A1A"/>
                <w:sz w:val="18"/>
              </w:rPr>
              <w:t xml:space="preserve">Quota di riammissioni a 30 giorni (%)</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Ricoveri per lesioni autoinflitte</w:t>
            </w:r>
          </w:p>
        </w:tc>
        <w:tc>
          <w:tcPr>
            <w:shd w:val="clear" w:color="auto" w:fill="F4F1EC"/>
          </w:tcPr>
          <w:p>
            <w:pPr>
              <w:pStyle w:val="Compact"/>
              <w:spacing w:after="40" w:before="40"/>
              <w:jc w:val="left"/>
            </w:pPr>
            <w:r>
              <w:rPr>
                <w:rFonts w:ascii="Cambria" w:hAnsi="Cambria" w:cs="Cambria" w:eastAsia="Cambria"/>
                <w:color w:val="1A1A1A"/>
                <w:sz w:val="18"/>
              </w:rPr>
              <w:t xml:space="preserve">Numero annuo (aggregato, esito di popolazione)</w:t>
            </w:r>
          </w:p>
        </w:tc>
      </w:tr>
      <w:tr>
        <w:tc>
          <w:tcPr/>
          <w:p>
            <w:pPr>
              <w:pStyle w:val="Compact"/>
              <w:spacing w:after="40" w:before="40"/>
              <w:jc w:val="left"/>
            </w:pPr>
            <w:r>
              <w:rPr>
                <w:rFonts w:ascii="Cambria" w:hAnsi="Cambria" w:cs="Cambria" w:eastAsia="Cambria"/>
                <w:b/>
                <w:bCs/>
                <w:color w:val="1A1A1A"/>
                <w:sz w:val="18"/>
              </w:rPr>
              <w:t xml:space="preserve">Fonte e periodo</w:t>
            </w:r>
          </w:p>
        </w:tc>
        <w:tc>
          <w:tcPr/>
          <w:p>
            <w:pPr>
              <w:pStyle w:val="Compact"/>
              <w:spacing w:after="40" w:before="40"/>
              <w:jc w:val="left"/>
            </w:pPr>
            <w:r>
              <w:rPr>
                <w:rFonts w:ascii="Cambria" w:hAnsi="Cambria" w:cs="Cambria" w:eastAsia="Cambria"/>
                <w:color w:val="1A1A1A"/>
                <w:sz w:val="18"/>
              </w:rPr>
              <w:t xml:space="preserve">Flusso SDO regionale; anni 2022–2024</w:t>
            </w:r>
          </w:p>
        </w:tc>
      </w:tr>
    </w:tbl>
    <w:p>
      <w:pPr>
        <w:pStyle w:val="BodyText"/>
      </w:pPr>
      <w:r>
        <w:t xml:space="preserve">I ricoveri per lesioni autoinflitte sono richiesti come grandezza epidemiologica aggregata, quale indicatore di esito a lungo termine.</w:t>
      </w:r>
      <w:r>
        <w:rPr>
          <w:rStyle w:val="FootnoteReference"/>
        </w:rPr>
        <w:footnoteReference w:id="486"/>
      </w:r>
    </w:p>
    <w:p>
      <w:pPr>
        <w:pStyle w:val="BodyText"/>
      </w:pPr>
      <w:r>
        <w:rPr>
          <w:i/>
          <w:iCs/>
        </w:rPr>
        <w:t xml:space="preserve">Specifica 2. Dimissioni per disturbi psichici. Colma la lacuna sulle SDO (categoria A) e alimenta il canale dei ricoveri.</w:t>
      </w:r>
    </w:p>
    <w:bookmarkEnd w:id="1158"/>
    <w:bookmarkStart w:id="1159" w:name="Xc235cb3aa753cc90802591936acaa217d87e0b1"/>
    <w:p>
      <w:pPr>
        <w:pStyle w:val="Heading2"/>
      </w:pPr>
      <w:r>
        <w:t xml:space="preserve">3. Flussi di mobilità sanitaria interregionale</w:t>
      </w:r>
    </w:p>
    <w:p>
      <w:pPr>
        <w:pStyle w:val="FirstParagraph"/>
      </w:pPr>
      <w:r>
        <w:t xml:space="preserve">Si richiede la disaggregazione della mobilità passiva e attiva per tipologia di prestazione e per disciplina, al fine di isolare la quota riconducibile alla salute mentale. Oggi è noto il solo saldo aggregato; la composizione è necessaria per stimare con realismo la quota di mobilità recuperabile.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Dato / variabile richiesta</w:t>
            </w:r>
          </w:p>
        </w:tc>
        <w:tc>
          <w:tcPr>
            <w:shd w:val="clear" w:color="auto" w:fill="16264B"/>
          </w:tcPr>
          <w:p>
            <w:pPr>
              <w:pStyle w:val="Compact"/>
              <w:spacing w:after="40" w:before="40"/>
              <w:jc w:val="left"/>
            </w:pPr>
            <w:r>
              <w:rPr>
                <w:rFonts w:ascii="Cambria" w:hAnsi="Cambria" w:cs="Cambria" w:eastAsia="Cambria"/>
                <w:b/>
                <w:bCs/>
                <w:color w:val="FFFFFF"/>
                <w:sz w:val="18"/>
              </w:rPr>
              <w:t xml:space="preserve">Specifica</w:t>
            </w:r>
          </w:p>
        </w:tc>
      </w:tr>
      <w:tr>
        <w:tc>
          <w:tcPr/>
          <w:p>
            <w:pPr>
              <w:pStyle w:val="Compact"/>
              <w:spacing w:after="40" w:before="40"/>
              <w:jc w:val="left"/>
            </w:pPr>
            <w:r>
              <w:rPr>
                <w:rFonts w:ascii="Cambria" w:hAnsi="Cambria" w:cs="Cambria" w:eastAsia="Cambria"/>
                <w:b/>
                <w:bCs/>
                <w:color w:val="1A1A1A"/>
                <w:sz w:val="18"/>
              </w:rPr>
              <w:t xml:space="preserve">Mobilità passiva per tipologia</w:t>
            </w:r>
          </w:p>
        </w:tc>
        <w:tc>
          <w:tcPr/>
          <w:p>
            <w:pPr>
              <w:pStyle w:val="Compact"/>
              <w:spacing w:after="40" w:before="40"/>
              <w:jc w:val="left"/>
            </w:pPr>
            <w:r>
              <w:rPr>
                <w:rFonts w:ascii="Cambria" w:hAnsi="Cambria" w:cs="Cambria" w:eastAsia="Cambria"/>
                <w:color w:val="1A1A1A"/>
                <w:sz w:val="18"/>
              </w:rPr>
              <w:t xml:space="preserve">Importo (€) per ricoveri, specialistica, farmaceutica e altro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passiva per disciplina</w:t>
            </w:r>
          </w:p>
        </w:tc>
        <w:tc>
          <w:tcPr>
            <w:shd w:val="clear" w:color="auto" w:fill="F4F1EC"/>
          </w:tcPr>
          <w:p>
            <w:pPr>
              <w:pStyle w:val="Compact"/>
              <w:spacing w:after="40" w:before="40"/>
              <w:jc w:val="left"/>
            </w:pPr>
            <w:r>
              <w:rPr>
                <w:rFonts w:ascii="Cambria" w:hAnsi="Cambria" w:cs="Cambria" w:eastAsia="Cambria"/>
                <w:color w:val="1A1A1A"/>
                <w:sz w:val="18"/>
              </w:rPr>
              <w:t xml:space="preserve">Importo (€) per disciplina, con isolamento della quota psichiatrica e di salute mentale</w:t>
            </w:r>
          </w:p>
        </w:tc>
      </w:tr>
      <w:tr>
        <w:tc>
          <w:tcPr/>
          <w:p>
            <w:pPr>
              <w:pStyle w:val="Compact"/>
              <w:spacing w:after="40" w:before="40"/>
              <w:jc w:val="left"/>
            </w:pPr>
            <w:r>
              <w:rPr>
                <w:rFonts w:ascii="Cambria" w:hAnsi="Cambria" w:cs="Cambria" w:eastAsia="Cambria"/>
                <w:b/>
                <w:bCs/>
                <w:color w:val="1A1A1A"/>
                <w:sz w:val="18"/>
              </w:rPr>
              <w:t xml:space="preserve">Mobilità attiva</w:t>
            </w:r>
          </w:p>
        </w:tc>
        <w:tc>
          <w:tcPr/>
          <w:p>
            <w:pPr>
              <w:pStyle w:val="Compact"/>
              <w:spacing w:after="40" w:before="40"/>
              <w:jc w:val="left"/>
            </w:pPr>
            <w:r>
              <w:rPr>
                <w:rFonts w:ascii="Cambria" w:hAnsi="Cambria" w:cs="Cambria" w:eastAsia="Cambria"/>
                <w:color w:val="1A1A1A"/>
                <w:sz w:val="18"/>
              </w:rPr>
              <w:t xml:space="preserve">Importo (€) con analoga disaggregazione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w:t>
            </w:r>
          </w:p>
        </w:tc>
        <w:tc>
          <w:tcPr>
            <w:shd w:val="clear" w:color="auto" w:fill="F4F1EC"/>
          </w:tcPr>
          <w:p>
            <w:pPr>
              <w:pStyle w:val="Compact"/>
              <w:spacing w:after="40" w:before="40"/>
              <w:jc w:val="left"/>
            </w:pPr>
            <w:r>
              <w:rPr>
                <w:rFonts w:ascii="Cambria" w:hAnsi="Cambria" w:cs="Cambria" w:eastAsia="Cambria"/>
                <w:color w:val="1A1A1A"/>
                <w:sz w:val="18"/>
              </w:rPr>
              <w:t xml:space="preserve">Saldo (€) per tipologia e per disciplina</w:t>
            </w:r>
          </w:p>
        </w:tc>
      </w:tr>
      <w:tr>
        <w:tc>
          <w:tcPr/>
          <w:p>
            <w:pPr>
              <w:pStyle w:val="Compact"/>
              <w:spacing w:after="40" w:before="40"/>
              <w:jc w:val="left"/>
            </w:pPr>
            <w:r>
              <w:rPr>
                <w:rFonts w:ascii="Cambria" w:hAnsi="Cambria" w:cs="Cambria" w:eastAsia="Cambria"/>
                <w:b/>
                <w:bCs/>
                <w:color w:val="1A1A1A"/>
                <w:sz w:val="18"/>
              </w:rPr>
              <w:t xml:space="preserve">Fonte e periodo</w:t>
            </w:r>
          </w:p>
        </w:tc>
        <w:tc>
          <w:tcPr/>
          <w:p>
            <w:pPr>
              <w:pStyle w:val="Compact"/>
              <w:spacing w:after="40" w:before="40"/>
              <w:jc w:val="left"/>
            </w:pPr>
            <w:r>
              <w:rPr>
                <w:rFonts w:ascii="Cambria" w:hAnsi="Cambria" w:cs="Cambria" w:eastAsia="Cambria"/>
                <w:color w:val="1A1A1A"/>
                <w:sz w:val="18"/>
              </w:rPr>
              <w:t xml:space="preserve">File della mobilità interregionale (NSIS); anni 2022–2024</w:t>
            </w:r>
          </w:p>
        </w:tc>
      </w:tr>
    </w:tbl>
    <w:p>
      <w:pPr>
        <w:pStyle w:val="BodyText"/>
      </w:pPr>
      <w:r>
        <w:rPr>
          <w:i/>
          <w:iCs/>
        </w:rPr>
        <w:t xml:space="preserve">Specifica 3. Composizione della mobilità. Colma la lacuna sulla disaggregazione della mobilità (categoria A).</w:t>
      </w:r>
    </w:p>
    <w:bookmarkEnd w:id="1159"/>
    <w:bookmarkStart w:id="1161" w:name="X55c157a07e2376be2abb259c524f9fabca186bc"/>
    <w:p>
      <w:pPr>
        <w:pStyle w:val="Heading2"/>
      </w:pPr>
      <w:r>
        <w:t xml:space="preserve">4. Farmaceutica regionale: i farmaci per i disturbi psichici</w:t>
      </w:r>
    </w:p>
    <w:p>
      <w:pPr>
        <w:pStyle w:val="FirstParagraph"/>
      </w:pPr>
      <w:r>
        <w:t xml:space="preserve">Si richiede il consumo e la spesa per le categorie di farmaci del sistema nervoso impiegate nei disturbi psichici, con gli indicatori di aderenza. Il dato consente di stimare il canale farmaceutico e i margini di appropriatezza.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Dato / variabile richiesta</w:t>
            </w:r>
          </w:p>
        </w:tc>
        <w:tc>
          <w:tcPr>
            <w:shd w:val="clear" w:color="auto" w:fill="16264B"/>
          </w:tcPr>
          <w:p>
            <w:pPr>
              <w:pStyle w:val="Compact"/>
              <w:spacing w:after="40" w:before="40"/>
              <w:jc w:val="left"/>
            </w:pPr>
            <w:r>
              <w:rPr>
                <w:rFonts w:ascii="Cambria" w:hAnsi="Cambria" w:cs="Cambria" w:eastAsia="Cambria"/>
                <w:b/>
                <w:bCs/>
                <w:color w:val="FFFFFF"/>
                <w:sz w:val="18"/>
              </w:rPr>
              <w:t xml:space="preserve">Specifica</w:t>
            </w:r>
          </w:p>
        </w:tc>
      </w:tr>
      <w:tr>
        <w:tc>
          <w:tcPr/>
          <w:p>
            <w:pPr>
              <w:pStyle w:val="Compact"/>
              <w:spacing w:after="40" w:before="40"/>
              <w:jc w:val="left"/>
            </w:pPr>
            <w:r>
              <w:rPr>
                <w:rFonts w:ascii="Cambria" w:hAnsi="Cambria" w:cs="Cambria" w:eastAsia="Cambria"/>
                <w:b/>
                <w:bCs/>
                <w:color w:val="1A1A1A"/>
                <w:sz w:val="18"/>
              </w:rPr>
              <w:t xml:space="preserve">Categoria N05 (psicolettici)</w:t>
            </w:r>
          </w:p>
        </w:tc>
        <w:tc>
          <w:tcPr/>
          <w:p>
            <w:pPr>
              <w:pStyle w:val="Compact"/>
              <w:spacing w:after="40" w:before="40"/>
              <w:jc w:val="left"/>
            </w:pPr>
            <w:r>
              <w:rPr>
                <w:rFonts w:ascii="Cambria" w:hAnsi="Cambria" w:cs="Cambria" w:eastAsia="Cambria"/>
                <w:color w:val="1A1A1A"/>
                <w:sz w:val="18"/>
              </w:rPr>
              <w:t xml:space="preserve">Consumo (DDD/1000 ab. die) e spesa (€); antipsicotici, ansiolitici, ipnotici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Categoria N06 (psicoanalettici)</w:t>
            </w:r>
          </w:p>
        </w:tc>
        <w:tc>
          <w:tcPr>
            <w:shd w:val="clear" w:color="auto" w:fill="F4F1EC"/>
          </w:tcPr>
          <w:p>
            <w:pPr>
              <w:pStyle w:val="Compact"/>
              <w:spacing w:after="40" w:before="40"/>
              <w:jc w:val="left"/>
            </w:pPr>
            <w:r>
              <w:rPr>
                <w:rFonts w:ascii="Cambria" w:hAnsi="Cambria" w:cs="Cambria" w:eastAsia="Cambria"/>
                <w:color w:val="1A1A1A"/>
                <w:sz w:val="18"/>
              </w:rPr>
              <w:t xml:space="preserve">Consumo (DDD/1000 ab. die) e spesa (€); antidepressivi</w:t>
            </w:r>
          </w:p>
        </w:tc>
      </w:tr>
      <w:tr>
        <w:tc>
          <w:tcPr/>
          <w:p>
            <w:pPr>
              <w:pStyle w:val="Compact"/>
              <w:spacing w:after="40" w:before="40"/>
              <w:jc w:val="left"/>
            </w:pPr>
            <w:r>
              <w:rPr>
                <w:rFonts w:ascii="Cambria" w:hAnsi="Cambria" w:cs="Cambria" w:eastAsia="Cambria"/>
                <w:b/>
                <w:bCs/>
                <w:color w:val="1A1A1A"/>
                <w:sz w:val="18"/>
              </w:rPr>
              <w:t xml:space="preserve">Convenzionata e diretta</w:t>
            </w:r>
          </w:p>
        </w:tc>
        <w:tc>
          <w:tcPr/>
          <w:p>
            <w:pPr>
              <w:pStyle w:val="Compact"/>
              <w:spacing w:after="40" w:before="40"/>
              <w:jc w:val="left"/>
            </w:pPr>
            <w:r>
              <w:rPr>
                <w:rFonts w:ascii="Cambria" w:hAnsi="Cambria" w:cs="Cambria" w:eastAsia="Cambria"/>
                <w:color w:val="1A1A1A"/>
                <w:sz w:val="18"/>
              </w:rPr>
              <w:t xml:space="preserve">Distinzione tra spesa convenzionata e distribuzione diretta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Indicatori di aderenza</w:t>
            </w:r>
          </w:p>
        </w:tc>
        <w:tc>
          <w:tcPr>
            <w:shd w:val="clear" w:color="auto" w:fill="F4F1EC"/>
          </w:tcPr>
          <w:p>
            <w:pPr>
              <w:pStyle w:val="Compact"/>
              <w:spacing w:after="40" w:before="40"/>
              <w:jc w:val="left"/>
            </w:pPr>
            <w:r>
              <w:rPr>
                <w:rFonts w:ascii="Cambria" w:hAnsi="Cambria" w:cs="Cambria" w:eastAsia="Cambria"/>
                <w:color w:val="1A1A1A"/>
                <w:sz w:val="18"/>
              </w:rPr>
              <w:t xml:space="preserve">Quota di soggetti con copertura adeguata e quota a bassa aderenza (%)</w:t>
            </w:r>
          </w:p>
        </w:tc>
      </w:tr>
      <w:tr>
        <w:tc>
          <w:tcPr/>
          <w:p>
            <w:pPr>
              <w:pStyle w:val="Compact"/>
              <w:spacing w:after="40" w:before="40"/>
              <w:jc w:val="left"/>
            </w:pPr>
            <w:r>
              <w:rPr>
                <w:rFonts w:ascii="Cambria" w:hAnsi="Cambria" w:cs="Cambria" w:eastAsia="Cambria"/>
                <w:b/>
                <w:bCs/>
                <w:color w:val="1A1A1A"/>
                <w:sz w:val="18"/>
              </w:rPr>
              <w:t xml:space="preserve">Fonte e periodo</w:t>
            </w:r>
          </w:p>
        </w:tc>
        <w:tc>
          <w:tcPr/>
          <w:p>
            <w:pPr>
              <w:pStyle w:val="Compact"/>
              <w:spacing w:after="40" w:before="40"/>
              <w:jc w:val="left"/>
            </w:pPr>
            <w:r>
              <w:rPr>
                <w:rFonts w:ascii="Cambria" w:hAnsi="Cambria" w:cs="Cambria" w:eastAsia="Cambria"/>
                <w:color w:val="1A1A1A"/>
                <w:sz w:val="18"/>
              </w:rPr>
              <w:t xml:space="preserve">Flusso farmaceutico regionale (OsMed/AIFA); per ASL; anni 2022–2024</w:t>
            </w:r>
          </w:p>
        </w:tc>
      </w:tr>
    </w:tbl>
    <w:p>
      <w:pPr>
        <w:pStyle w:val="BodyText"/>
      </w:pPr>
      <w:r>
        <w:t xml:space="preserve">Le categorie seguono la classificazione anatomico-terapeutica adottata nei rapporti nazionali sull’uso dei farmaci.</w:t>
      </w:r>
      <w:r>
        <w:rPr>
          <w:rStyle w:val="FootnoteReference"/>
        </w:rPr>
        <w:footnoteReference w:id="487"/>
      </w:r>
    </w:p>
    <w:p>
      <w:pPr>
        <w:pStyle w:val="BodyText"/>
      </w:pPr>
      <w:r>
        <w:rPr>
          <w:i/>
          <w:iCs/>
        </w:rPr>
        <w:t xml:space="preserve">Specifica 4. Farmaci per i disturbi psichici (N05-N06). Colma la lacuna farmaceutica (categoria A).</w:t>
      </w:r>
    </w:p>
    <w:bookmarkEnd w:id="1161"/>
    <w:bookmarkStart w:id="1162" w:name="pronto-soccorso-gli-accessi-per-causa"/>
    <w:p>
      <w:pPr>
        <w:pStyle w:val="Heading2"/>
      </w:pPr>
      <w:r>
        <w:t xml:space="preserve">5. Pronto soccorso: gli accessi per causa</w:t>
      </w:r>
    </w:p>
    <w:p>
      <w:pPr>
        <w:pStyle w:val="FirstParagraph"/>
      </w:pPr>
      <w:r>
        <w:t xml:space="preserve">Si richiede la disaggregazione degli accessi al pronto soccorso per codice di triage e per causa, al fine di isolare le presentazioni riconducibili al disagio psichico, all’ansia e ai sintomi somatici funzionali. Oggi è noto il solo totale degli accessi inappropriati; la disaggregazione per causa è necessaria per stimare il canale del pronto soccorso.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Dato / variabile richiesta</w:t>
            </w:r>
          </w:p>
        </w:tc>
        <w:tc>
          <w:tcPr>
            <w:shd w:val="clear" w:color="auto" w:fill="16264B"/>
          </w:tcPr>
          <w:p>
            <w:pPr>
              <w:pStyle w:val="Compact"/>
              <w:spacing w:after="40" w:before="40"/>
              <w:jc w:val="left"/>
            </w:pPr>
            <w:r>
              <w:rPr>
                <w:rFonts w:ascii="Cambria" w:hAnsi="Cambria" w:cs="Cambria" w:eastAsia="Cambria"/>
                <w:b/>
                <w:bCs/>
                <w:color w:val="FFFFFF"/>
                <w:sz w:val="18"/>
              </w:rPr>
              <w:t xml:space="preserve">Specifica</w:t>
            </w:r>
          </w:p>
        </w:tc>
      </w:tr>
      <w:tr>
        <w:tc>
          <w:tcPr/>
          <w:p>
            <w:pPr>
              <w:pStyle w:val="Compact"/>
              <w:spacing w:after="40" w:before="40"/>
              <w:jc w:val="left"/>
            </w:pPr>
            <w:r>
              <w:rPr>
                <w:rFonts w:ascii="Cambria" w:hAnsi="Cambria" w:cs="Cambria" w:eastAsia="Cambria"/>
                <w:b/>
                <w:bCs/>
                <w:color w:val="1A1A1A"/>
                <w:sz w:val="18"/>
              </w:rPr>
              <w:t xml:space="preserve">Accessi per codice di triage</w:t>
            </w:r>
          </w:p>
        </w:tc>
        <w:tc>
          <w:tcPr/>
          <w:p>
            <w:pPr>
              <w:pStyle w:val="Compact"/>
              <w:spacing w:after="40" w:before="40"/>
              <w:jc w:val="left"/>
            </w:pPr>
            <w:r>
              <w:rPr>
                <w:rFonts w:ascii="Cambria" w:hAnsi="Cambria" w:cs="Cambria" w:eastAsia="Cambria"/>
                <w:color w:val="1A1A1A"/>
                <w:sz w:val="18"/>
              </w:rPr>
              <w:t xml:space="preserve">Numero annuo per codice (bianco, verde, azzurro, arancione, rosso)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Accessi per causa</w:t>
            </w:r>
          </w:p>
        </w:tc>
        <w:tc>
          <w:tcPr>
            <w:shd w:val="clear" w:color="auto" w:fill="F4F1EC"/>
          </w:tcPr>
          <w:p>
            <w:pPr>
              <w:pStyle w:val="Compact"/>
              <w:spacing w:after="40" w:before="40"/>
              <w:jc w:val="left"/>
            </w:pPr>
            <w:r>
              <w:rPr>
                <w:rFonts w:ascii="Cambria" w:hAnsi="Cambria" w:cs="Cambria" w:eastAsia="Cambria"/>
                <w:color w:val="1A1A1A"/>
                <w:sz w:val="18"/>
              </w:rPr>
              <w:t xml:space="preserve">Numero annuo per causa/problema principale, con isolamento delle presentazioni psichiatriche, ansiose e somatiche funzionali</w:t>
            </w:r>
          </w:p>
        </w:tc>
      </w:tr>
      <w:tr>
        <w:tc>
          <w:tcPr/>
          <w:p>
            <w:pPr>
              <w:pStyle w:val="Compact"/>
              <w:spacing w:after="40" w:before="40"/>
              <w:jc w:val="left"/>
            </w:pPr>
            <w:r>
              <w:rPr>
                <w:rFonts w:ascii="Cambria" w:hAnsi="Cambria" w:cs="Cambria" w:eastAsia="Cambria"/>
                <w:b/>
                <w:bCs/>
                <w:color w:val="1A1A1A"/>
                <w:sz w:val="18"/>
              </w:rPr>
              <w:t xml:space="preserve">Appropriatezza e costo</w:t>
            </w:r>
          </w:p>
        </w:tc>
        <w:tc>
          <w:tcPr/>
          <w:p>
            <w:pPr>
              <w:pStyle w:val="Compact"/>
              <w:spacing w:after="40" w:before="40"/>
              <w:jc w:val="left"/>
            </w:pPr>
            <w:r>
              <w:rPr>
                <w:rFonts w:ascii="Cambria" w:hAnsi="Cambria" w:cs="Cambria" w:eastAsia="Cambria"/>
                <w:color w:val="1A1A1A"/>
                <w:sz w:val="18"/>
              </w:rPr>
              <w:t xml:space="preserve">Quota inappropriata (%) e costo medio per codice (€)</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Quota di dimissione e di ricovero (%)</w:t>
            </w:r>
          </w:p>
        </w:tc>
      </w:tr>
      <w:tr>
        <w:tc>
          <w:tcPr/>
          <w:p>
            <w:pPr>
              <w:pStyle w:val="Compact"/>
              <w:spacing w:after="40" w:before="40"/>
              <w:jc w:val="left"/>
            </w:pPr>
            <w:r>
              <w:rPr>
                <w:rFonts w:ascii="Cambria" w:hAnsi="Cambria" w:cs="Cambria" w:eastAsia="Cambria"/>
                <w:b/>
                <w:bCs/>
                <w:color w:val="1A1A1A"/>
                <w:sz w:val="18"/>
              </w:rPr>
              <w:t xml:space="preserve">Fonte e periodo</w:t>
            </w:r>
          </w:p>
        </w:tc>
        <w:tc>
          <w:tcPr/>
          <w:p>
            <w:pPr>
              <w:pStyle w:val="Compact"/>
              <w:spacing w:after="40" w:before="40"/>
              <w:jc w:val="left"/>
            </w:pPr>
            <w:r>
              <w:rPr>
                <w:rFonts w:ascii="Cambria" w:hAnsi="Cambria" w:cs="Cambria" w:eastAsia="Cambria"/>
                <w:color w:val="1A1A1A"/>
                <w:sz w:val="18"/>
              </w:rPr>
              <w:t xml:space="preserve">Flusso dell’emergenza-urgenza (EMUR); per presidio/ASL; anni 2022–2024</w:t>
            </w:r>
          </w:p>
        </w:tc>
      </w:tr>
    </w:tbl>
    <w:p>
      <w:pPr>
        <w:pStyle w:val="BodyText"/>
      </w:pPr>
      <w:r>
        <w:rPr>
          <w:i/>
          <w:iCs/>
        </w:rPr>
        <w:t xml:space="preserve">Specifica 5. Accessi al pronto soccorso per causa. Colma la lacuna sugli accessi per causa (categoria A).</w:t>
      </w:r>
    </w:p>
    <w:bookmarkEnd w:id="1162"/>
    <w:bookmarkStart w:id="1163" w:name="Xb0979eb5dfcdbddb2829b36a2588a057e7a0a99"/>
    <w:p>
      <w:pPr>
        <w:pStyle w:val="Heading2"/>
      </w:pPr>
      <w:r>
        <w:t xml:space="preserve">6. Salute mentale: utenza e attività dei Dipartimenti</w:t>
      </w:r>
    </w:p>
    <w:p>
      <w:pPr>
        <w:pStyle w:val="FirstParagraph"/>
      </w:pPr>
      <w:r>
        <w:t xml:space="preserve">Si richiede l’estrazione dell’utenza e dell’attività dei Dipartimenti di Salute Mentale, per affinare gli indicatori di bisogno e di intercettazione. Il dato è in parte già noto a livello aggregato; se ne chiede la disaggregazione per diagnosi e per azienda.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Dato / variabile richiesta</w:t>
            </w:r>
          </w:p>
        </w:tc>
        <w:tc>
          <w:tcPr>
            <w:shd w:val="clear" w:color="auto" w:fill="16264B"/>
          </w:tcPr>
          <w:p>
            <w:pPr>
              <w:pStyle w:val="Compact"/>
              <w:spacing w:after="40" w:before="40"/>
              <w:jc w:val="left"/>
            </w:pPr>
            <w:r>
              <w:rPr>
                <w:rFonts w:ascii="Cambria" w:hAnsi="Cambria" w:cs="Cambria" w:eastAsia="Cambria"/>
                <w:b/>
                <w:bCs/>
                <w:color w:val="FFFFFF"/>
                <w:sz w:val="18"/>
              </w:rPr>
              <w:t xml:space="preserve">Specifica</w:t>
            </w:r>
          </w:p>
        </w:tc>
      </w:tr>
      <w:tr>
        <w:tc>
          <w:tcPr/>
          <w:p>
            <w:pPr>
              <w:pStyle w:val="Compact"/>
              <w:spacing w:after="40" w:before="40"/>
              <w:jc w:val="left"/>
            </w:pPr>
            <w:r>
              <w:rPr>
                <w:rFonts w:ascii="Cambria" w:hAnsi="Cambria" w:cs="Cambria" w:eastAsia="Cambria"/>
                <w:b/>
                <w:bCs/>
                <w:color w:val="1A1A1A"/>
                <w:sz w:val="18"/>
              </w:rPr>
              <w:t xml:space="preserve">Utenti prevalenti</w:t>
            </w:r>
          </w:p>
        </w:tc>
        <w:tc>
          <w:tcPr/>
          <w:p>
            <w:pPr>
              <w:pStyle w:val="Compact"/>
              <w:spacing w:after="40" w:before="40"/>
              <w:jc w:val="left"/>
            </w:pPr>
            <w:r>
              <w:rPr>
                <w:rFonts w:ascii="Cambria" w:hAnsi="Cambria" w:cs="Cambria" w:eastAsia="Cambria"/>
                <w:color w:val="1A1A1A"/>
                <w:sz w:val="18"/>
              </w:rPr>
              <w:t xml:space="preserve">Numero annuo di assistiti in carico; per ASL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Utenti incidenti</w:t>
            </w:r>
          </w:p>
        </w:tc>
        <w:tc>
          <w:tcPr>
            <w:shd w:val="clear" w:color="auto" w:fill="F4F1EC"/>
          </w:tcPr>
          <w:p>
            <w:pPr>
              <w:pStyle w:val="Compact"/>
              <w:spacing w:after="40" w:before="40"/>
              <w:jc w:val="left"/>
            </w:pPr>
            <w:r>
              <w:rPr>
                <w:rFonts w:ascii="Cambria" w:hAnsi="Cambria" w:cs="Cambria" w:eastAsia="Cambria"/>
                <w:color w:val="1A1A1A"/>
                <w:sz w:val="18"/>
              </w:rPr>
              <w:t xml:space="preserve">Numero annuo di nuovi utenti; per ASL</w:t>
            </w:r>
          </w:p>
        </w:tc>
      </w:tr>
      <w:tr>
        <w:tc>
          <w:tcPr/>
          <w:p>
            <w:pPr>
              <w:pStyle w:val="Compact"/>
              <w:spacing w:after="40" w:before="40"/>
              <w:jc w:val="left"/>
            </w:pPr>
            <w:r>
              <w:rPr>
                <w:rFonts w:ascii="Cambria" w:hAnsi="Cambria" w:cs="Cambria" w:eastAsia="Cambria"/>
                <w:b/>
                <w:bCs/>
                <w:color w:val="1A1A1A"/>
                <w:sz w:val="18"/>
              </w:rPr>
              <w:t xml:space="preserve">Disaggregazione per diagnosi</w:t>
            </w:r>
          </w:p>
        </w:tc>
        <w:tc>
          <w:tcPr/>
          <w:p>
            <w:pPr>
              <w:pStyle w:val="Compact"/>
              <w:spacing w:after="40" w:before="40"/>
              <w:jc w:val="left"/>
            </w:pPr>
            <w:r>
              <w:rPr>
                <w:rFonts w:ascii="Cambria" w:hAnsi="Cambria" w:cs="Cambria" w:eastAsia="Cambria"/>
                <w:color w:val="1A1A1A"/>
                <w:sz w:val="18"/>
              </w:rPr>
              <w:t xml:space="preserve">Distribuzione per categoria diagnostica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Prestazioni erogate</w:t>
            </w:r>
          </w:p>
        </w:tc>
        <w:tc>
          <w:tcPr>
            <w:shd w:val="clear" w:color="auto" w:fill="F4F1EC"/>
          </w:tcPr>
          <w:p>
            <w:pPr>
              <w:pStyle w:val="Compact"/>
              <w:spacing w:after="40" w:before="40"/>
              <w:jc w:val="left"/>
            </w:pPr>
            <w:r>
              <w:rPr>
                <w:rFonts w:ascii="Cambria" w:hAnsi="Cambria" w:cs="Cambria" w:eastAsia="Cambria"/>
                <w:color w:val="1A1A1A"/>
                <w:sz w:val="18"/>
              </w:rPr>
              <w:t xml:space="preserve">Numero e tipologia di prestazioni; per ASL</w:t>
            </w:r>
          </w:p>
        </w:tc>
      </w:tr>
      <w:tr>
        <w:tc>
          <w:tcPr/>
          <w:p>
            <w:pPr>
              <w:pStyle w:val="Compact"/>
              <w:spacing w:after="40" w:before="40"/>
              <w:jc w:val="left"/>
            </w:pPr>
            <w:r>
              <w:rPr>
                <w:rFonts w:ascii="Cambria" w:hAnsi="Cambria" w:cs="Cambria" w:eastAsia="Cambria"/>
                <w:b/>
                <w:bCs/>
                <w:color w:val="1A1A1A"/>
                <w:sz w:val="18"/>
              </w:rPr>
              <w:t xml:space="preserve">Fonte e periodo</w:t>
            </w:r>
          </w:p>
        </w:tc>
        <w:tc>
          <w:tcPr/>
          <w:p>
            <w:pPr>
              <w:pStyle w:val="Compact"/>
              <w:spacing w:after="40" w:before="40"/>
              <w:jc w:val="left"/>
            </w:pPr>
            <w:r>
              <w:rPr>
                <w:rFonts w:ascii="Cambria" w:hAnsi="Cambria" w:cs="Cambria" w:eastAsia="Cambria"/>
                <w:color w:val="1A1A1A"/>
                <w:sz w:val="18"/>
              </w:rPr>
              <w:t xml:space="preserve">Sistema Informativo per la Salute Mentale (SISM); anni 2022–2024</w:t>
            </w:r>
          </w:p>
        </w:tc>
      </w:tr>
    </w:tbl>
    <w:p>
      <w:pPr>
        <w:pStyle w:val="BodyText"/>
      </w:pPr>
      <w:r>
        <w:rPr>
          <w:i/>
          <w:iCs/>
        </w:rPr>
        <w:t xml:space="preserve">Specifica 6. Utenza e attività dei DSM. Affina gli indicatori di bisogno e di intercettazione (categoria C).</w:t>
      </w:r>
    </w:p>
    <w:bookmarkEnd w:id="1163"/>
    <w:bookmarkStart w:id="1164" w:name="denominatori-demografici"/>
    <w:p>
      <w:pPr>
        <w:pStyle w:val="Heading2"/>
      </w:pPr>
      <w:r>
        <w:t xml:space="preserve">7. Denominatori demografici</w:t>
      </w:r>
    </w:p>
    <w:p>
      <w:pPr>
        <w:pStyle w:val="FirstParagraph"/>
      </w:pPr>
      <w:r>
        <w:t xml:space="preserve">Si richiedono infine i denominatori di popolazione necessari al calcolo dei tassi e degli indicatori di copertura, al massimo dettaglio territoriale disponibile.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Dato / variabile richiesta</w:t>
            </w:r>
          </w:p>
        </w:tc>
        <w:tc>
          <w:tcPr>
            <w:shd w:val="clear" w:color="auto" w:fill="16264B"/>
          </w:tcPr>
          <w:p>
            <w:pPr>
              <w:pStyle w:val="Compact"/>
              <w:spacing w:after="40" w:before="40"/>
              <w:jc w:val="left"/>
            </w:pPr>
            <w:r>
              <w:rPr>
                <w:rFonts w:ascii="Cambria" w:hAnsi="Cambria" w:cs="Cambria" w:eastAsia="Cambria"/>
                <w:b/>
                <w:bCs/>
                <w:color w:val="FFFFFF"/>
                <w:sz w:val="18"/>
              </w:rPr>
              <w:t xml:space="preserve">Specifica</w:t>
            </w:r>
          </w:p>
        </w:tc>
      </w:tr>
      <w:tr>
        <w:tc>
          <w:tcPr/>
          <w:p>
            <w:pPr>
              <w:pStyle w:val="Compact"/>
              <w:spacing w:after="40" w:before="40"/>
              <w:jc w:val="left"/>
            </w:pPr>
            <w:r>
              <w:rPr>
                <w:rFonts w:ascii="Cambria" w:hAnsi="Cambria" w:cs="Cambria" w:eastAsia="Cambria"/>
                <w:b/>
                <w:bCs/>
                <w:color w:val="1A1A1A"/>
                <w:sz w:val="18"/>
              </w:rPr>
              <w:t xml:space="preserve">Popolazione residente</w:t>
            </w:r>
          </w:p>
        </w:tc>
        <w:tc>
          <w:tcPr/>
          <w:p>
            <w:pPr>
              <w:pStyle w:val="Compact"/>
              <w:spacing w:after="40" w:before="40"/>
              <w:jc w:val="left"/>
            </w:pPr>
            <w:r>
              <w:rPr>
                <w:rFonts w:ascii="Cambria" w:hAnsi="Cambria" w:cs="Cambria" w:eastAsia="Cambria"/>
                <w:color w:val="1A1A1A"/>
                <w:sz w:val="18"/>
              </w:rPr>
              <w:t xml:space="preserve">Numero per ASL e per Distretto, per classe d’età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bersaglio</w:t>
            </w:r>
          </w:p>
        </w:tc>
        <w:tc>
          <w:tcPr>
            <w:shd w:val="clear" w:color="auto" w:fill="F4F1EC"/>
          </w:tcPr>
          <w:p>
            <w:pPr>
              <w:pStyle w:val="Compact"/>
              <w:spacing w:after="40" w:before="40"/>
              <w:jc w:val="left"/>
            </w:pPr>
            <w:r>
              <w:rPr>
                <w:rFonts w:ascii="Cambria" w:hAnsi="Cambria" w:cs="Cambria" w:eastAsia="Cambria"/>
                <w:color w:val="1A1A1A"/>
                <w:sz w:val="18"/>
              </w:rPr>
              <w:t xml:space="preserve">Stima della popolazione adulta e, ove rilevante, della fascia giovanile</w:t>
            </w:r>
          </w:p>
        </w:tc>
      </w:tr>
      <w:tr>
        <w:tc>
          <w:tcPr/>
          <w:p>
            <w:pPr>
              <w:pStyle w:val="Compact"/>
              <w:spacing w:after="40" w:before="40"/>
              <w:jc w:val="left"/>
            </w:pPr>
            <w:r>
              <w:rPr>
                <w:rFonts w:ascii="Cambria" w:hAnsi="Cambria" w:cs="Cambria" w:eastAsia="Cambria"/>
                <w:b/>
                <w:bCs/>
                <w:color w:val="1A1A1A"/>
                <w:sz w:val="18"/>
              </w:rPr>
              <w:t xml:space="preserve">Fonte e periodo</w:t>
            </w:r>
          </w:p>
        </w:tc>
        <w:tc>
          <w:tcPr/>
          <w:p>
            <w:pPr>
              <w:pStyle w:val="Compact"/>
              <w:spacing w:after="40" w:before="40"/>
              <w:jc w:val="left"/>
            </w:pPr>
            <w:r>
              <w:rPr>
                <w:rFonts w:ascii="Cambria" w:hAnsi="Cambria" w:cs="Cambria" w:eastAsia="Cambria"/>
                <w:color w:val="1A1A1A"/>
                <w:sz w:val="18"/>
              </w:rPr>
              <w:t xml:space="preserve">Statistiche demografiche regionali e ISTAT; anno più recente</w:t>
            </w:r>
          </w:p>
        </w:tc>
      </w:tr>
    </w:tbl>
    <w:p>
      <w:pPr>
        <w:pStyle w:val="BodyText"/>
      </w:pPr>
      <w:r>
        <w:rPr>
          <w:i/>
          <w:iCs/>
        </w:rPr>
        <w:t xml:space="preserve">Specifica 7. Denominatori demografici. Forniscono le basi per i tassi e gli indicatori di copertura.</w:t>
      </w:r>
    </w:p>
    <w:bookmarkEnd w:id="1164"/>
    <w:bookmarkStart w:id="1166" w:name="quadro-riepilogativo-e-finalità"/>
    <w:p>
      <w:pPr>
        <w:pStyle w:val="Heading2"/>
      </w:pPr>
      <w:r>
        <w:t xml:space="preserve">Quadro riepilogativo e finalità</w:t>
      </w:r>
    </w:p>
    <w:p>
      <w:pPr>
        <w:pStyle w:val="FirstParagraph"/>
      </w:pPr>
      <w:r>
        <w:t xml:space="preserve">La tabella seguente collega ciascun dato richiesto alla lacuna che colma e al parametro o indicatore che alimenta, rendendo esplicito l’uso previsto delle informazioni.</w:t>
      </w:r>
      <w:r>
        <w:rPr>
          <w:rStyle w:val="FootnoteReference"/>
        </w:rPr>
        <w:footnoteReference w:id="488"/>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Dato richiesto</w:t>
            </w:r>
          </w:p>
        </w:tc>
        <w:tc>
          <w:tcPr>
            <w:shd w:val="clear" w:color="auto" w:fill="16264B"/>
          </w:tcPr>
          <w:p>
            <w:pPr>
              <w:pStyle w:val="Compact"/>
              <w:spacing w:after="40" w:before="40"/>
              <w:jc w:val="left"/>
            </w:pPr>
            <w:r>
              <w:rPr>
                <w:rFonts w:ascii="Cambria" w:hAnsi="Cambria" w:cs="Cambria" w:eastAsia="Cambria"/>
                <w:b/>
                <w:bCs/>
                <w:color w:val="FFFFFF"/>
                <w:sz w:val="18"/>
              </w:rPr>
              <w:t xml:space="preserve">Lacuna che colma</w:t>
            </w:r>
          </w:p>
        </w:tc>
        <w:tc>
          <w:tcPr>
            <w:shd w:val="clear" w:color="auto" w:fill="16264B"/>
          </w:tcPr>
          <w:p>
            <w:pPr>
              <w:pStyle w:val="Compact"/>
              <w:spacing w:after="40" w:before="40"/>
              <w:jc w:val="left"/>
            </w:pPr>
            <w:r>
              <w:rPr>
                <w:rFonts w:ascii="Cambria" w:hAnsi="Cambria" w:cs="Cambria" w:eastAsia="Cambria"/>
                <w:b/>
                <w:bCs/>
                <w:color w:val="FFFFFF"/>
                <w:sz w:val="18"/>
              </w:rPr>
              <w:t xml:space="preserve">Parametro / indicatore alimentato</w:t>
            </w:r>
          </w:p>
        </w:tc>
      </w:tr>
      <w:tr>
        <w:tc>
          <w:tcPr/>
          <w:p>
            <w:pPr>
              <w:pStyle w:val="Compact"/>
              <w:spacing w:after="40" w:before="40"/>
              <w:jc w:val="left"/>
            </w:pPr>
            <w:r>
              <w:rPr>
                <w:rFonts w:ascii="Cambria" w:hAnsi="Cambria" w:cs="Cambria" w:eastAsia="Cambria"/>
                <w:b/>
                <w:bCs/>
                <w:color w:val="1A1A1A"/>
                <w:sz w:val="18"/>
              </w:rPr>
              <w:t xml:space="preserve">1. Spesa del SSR per voce</w:t>
            </w:r>
          </w:p>
        </w:tc>
        <w:tc>
          <w:tcPr/>
          <w:p>
            <w:pPr>
              <w:pStyle w:val="Compact"/>
              <w:spacing w:after="40" w:before="40"/>
              <w:jc w:val="left"/>
            </w:pPr>
            <w:r>
              <w:rPr>
                <w:rFonts w:ascii="Cambria" w:hAnsi="Cambria" w:cs="Cambria" w:eastAsia="Cambria"/>
                <w:color w:val="1A1A1A"/>
                <w:sz w:val="18"/>
              </w:rPr>
              <w:t xml:space="preserve">Spesa regionale effettiva</w:t>
            </w:r>
          </w:p>
        </w:tc>
        <w:tc>
          <w:tcPr/>
          <w:p>
            <w:pPr>
              <w:pStyle w:val="Compact"/>
              <w:spacing w:after="40" w:before="40"/>
              <w:jc w:val="left"/>
            </w:pPr>
            <w:r>
              <w:rPr>
                <w:rFonts w:ascii="Cambria" w:hAnsi="Cambria" w:cs="Cambria" w:eastAsia="Cambria"/>
                <w:color w:val="1A1A1A"/>
                <w:sz w:val="18"/>
              </w:rPr>
              <w:t xml:space="preserve">Base dei canali di risparmio; denominatore di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Dimissioni psichiatriche (SDO)</w:t>
            </w:r>
          </w:p>
        </w:tc>
        <w:tc>
          <w:tcPr>
            <w:shd w:val="clear" w:color="auto" w:fill="F4F1EC"/>
          </w:tcPr>
          <w:p>
            <w:pPr>
              <w:pStyle w:val="Compact"/>
              <w:spacing w:after="40" w:before="40"/>
              <w:jc w:val="left"/>
            </w:pPr>
            <w:r>
              <w:rPr>
                <w:rFonts w:ascii="Cambria" w:hAnsi="Cambria" w:cs="Cambria" w:eastAsia="Cambria"/>
                <w:color w:val="1A1A1A"/>
                <w:sz w:val="18"/>
              </w:rPr>
              <w:t xml:space="preserve">Ricoveri psichiatrici</w:t>
            </w:r>
          </w:p>
        </w:tc>
        <w:tc>
          <w:tcPr>
            <w:shd w:val="clear" w:color="auto" w:fill="F4F1EC"/>
          </w:tcPr>
          <w:p>
            <w:pPr>
              <w:pStyle w:val="Compact"/>
              <w:spacing w:after="40" w:before="40"/>
              <w:jc w:val="left"/>
            </w:pPr>
            <w:r>
              <w:rPr>
                <w:rFonts w:ascii="Cambria" w:hAnsi="Cambria" w:cs="Cambria" w:eastAsia="Cambria"/>
                <w:color w:val="1A1A1A"/>
                <w:sz w:val="18"/>
              </w:rPr>
              <w:t xml:space="preserve">Canale dei ricoveri evitabili; esito di popolazione</w:t>
            </w:r>
          </w:p>
        </w:tc>
      </w:tr>
      <w:tr>
        <w:tc>
          <w:tcPr/>
          <w:p>
            <w:pPr>
              <w:pStyle w:val="Compact"/>
              <w:spacing w:after="40" w:before="40"/>
              <w:jc w:val="left"/>
            </w:pPr>
            <w:r>
              <w:rPr>
                <w:rFonts w:ascii="Cambria" w:hAnsi="Cambria" w:cs="Cambria" w:eastAsia="Cambria"/>
                <w:b/>
                <w:bCs/>
                <w:color w:val="1A1A1A"/>
                <w:sz w:val="18"/>
              </w:rPr>
              <w:t xml:space="preserve">3. Composizione della mobilità</w:t>
            </w:r>
          </w:p>
        </w:tc>
        <w:tc>
          <w:tcPr/>
          <w:p>
            <w:pPr>
              <w:pStyle w:val="Compact"/>
              <w:spacing w:after="40" w:before="40"/>
              <w:jc w:val="left"/>
            </w:pPr>
            <w:r>
              <w:rPr>
                <w:rFonts w:ascii="Cambria" w:hAnsi="Cambria" w:cs="Cambria" w:eastAsia="Cambria"/>
                <w:color w:val="1A1A1A"/>
                <w:sz w:val="18"/>
              </w:rPr>
              <w:t xml:space="preserve">Mobilità per disciplina</w:t>
            </w:r>
          </w:p>
        </w:tc>
        <w:tc>
          <w:tcPr/>
          <w:p>
            <w:pPr>
              <w:pStyle w:val="Compact"/>
              <w:spacing w:after="40" w:before="40"/>
              <w:jc w:val="left"/>
            </w:pPr>
            <w:r>
              <w:rPr>
                <w:rFonts w:ascii="Cambria" w:hAnsi="Cambria" w:cs="Cambria" w:eastAsia="Cambria"/>
                <w:color w:val="1A1A1A"/>
                <w:sz w:val="18"/>
              </w:rPr>
              <w:t xml:space="preserve">Quota di mobilità recuperabile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Farmaceutica N05-N06</w:t>
            </w:r>
          </w:p>
        </w:tc>
        <w:tc>
          <w:tcPr>
            <w:shd w:val="clear" w:color="auto" w:fill="F4F1EC"/>
          </w:tcPr>
          <w:p>
            <w:pPr>
              <w:pStyle w:val="Compact"/>
              <w:spacing w:after="40" w:before="40"/>
              <w:jc w:val="left"/>
            </w:pPr>
            <w:r>
              <w:rPr>
                <w:rFonts w:ascii="Cambria" w:hAnsi="Cambria" w:cs="Cambria" w:eastAsia="Cambria"/>
                <w:color w:val="1A1A1A"/>
                <w:sz w:val="18"/>
              </w:rPr>
              <w:t xml:space="preserve">Spesa per psicofarmaci</w:t>
            </w:r>
          </w:p>
        </w:tc>
        <w:tc>
          <w:tcPr>
            <w:shd w:val="clear" w:color="auto" w:fill="F4F1EC"/>
          </w:tcPr>
          <w:p>
            <w:pPr>
              <w:pStyle w:val="Compact"/>
              <w:spacing w:after="40" w:before="40"/>
              <w:jc w:val="left"/>
            </w:pPr>
            <w:r>
              <w:rPr>
                <w:rFonts w:ascii="Cambria" w:hAnsi="Cambria" w:cs="Cambria" w:eastAsia="Cambria"/>
                <w:color w:val="1A1A1A"/>
                <w:sz w:val="18"/>
              </w:rPr>
              <w:t xml:space="preserve">Canale farmaceutico e appropriatezza</w:t>
            </w:r>
          </w:p>
        </w:tc>
      </w:tr>
      <w:tr>
        <w:tc>
          <w:tcPr/>
          <w:p>
            <w:pPr>
              <w:pStyle w:val="Compact"/>
              <w:spacing w:after="40" w:before="40"/>
              <w:jc w:val="left"/>
            </w:pPr>
            <w:r>
              <w:rPr>
                <w:rFonts w:ascii="Cambria" w:hAnsi="Cambria" w:cs="Cambria" w:eastAsia="Cambria"/>
                <w:b/>
                <w:bCs/>
                <w:color w:val="1A1A1A"/>
                <w:sz w:val="18"/>
              </w:rPr>
              <w:t xml:space="preserve">5. Pronto soccorso per causa</w:t>
            </w:r>
          </w:p>
        </w:tc>
        <w:tc>
          <w:tcPr/>
          <w:p>
            <w:pPr>
              <w:pStyle w:val="Compact"/>
              <w:spacing w:after="40" w:before="40"/>
              <w:jc w:val="left"/>
            </w:pPr>
            <w:r>
              <w:rPr>
                <w:rFonts w:ascii="Cambria" w:hAnsi="Cambria" w:cs="Cambria" w:eastAsia="Cambria"/>
                <w:color w:val="1A1A1A"/>
                <w:sz w:val="18"/>
              </w:rPr>
              <w:t xml:space="preserve">Accessi per causa</w:t>
            </w:r>
          </w:p>
        </w:tc>
        <w:tc>
          <w:tcPr/>
          <w:p>
            <w:pPr>
              <w:pStyle w:val="Compact"/>
              <w:spacing w:after="40" w:before="40"/>
              <w:jc w:val="left"/>
            </w:pPr>
            <w:r>
              <w:rPr>
                <w:rFonts w:ascii="Cambria" w:hAnsi="Cambria" w:cs="Cambria" w:eastAsia="Cambria"/>
                <w:color w:val="1A1A1A"/>
                <w:sz w:val="18"/>
              </w:rPr>
              <w:t xml:space="preserve">Canale del pronto soccorso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6. Utenza dei DSM (SISM)</w:t>
            </w:r>
          </w:p>
        </w:tc>
        <w:tc>
          <w:tcPr>
            <w:shd w:val="clear" w:color="auto" w:fill="F4F1EC"/>
          </w:tcPr>
          <w:p>
            <w:pPr>
              <w:pStyle w:val="Compact"/>
              <w:spacing w:after="40" w:before="40"/>
              <w:jc w:val="left"/>
            </w:pPr>
            <w:r>
              <w:rPr>
                <w:rFonts w:ascii="Cambria" w:hAnsi="Cambria" w:cs="Cambria" w:eastAsia="Cambria"/>
                <w:color w:val="1A1A1A"/>
                <w:sz w:val="18"/>
              </w:rPr>
              <w:t xml:space="preserve">Bisogno e intercettazione</w:t>
            </w:r>
          </w:p>
        </w:tc>
        <w:tc>
          <w:tcPr>
            <w:shd w:val="clear" w:color="auto" w:fill="F4F1EC"/>
          </w:tcPr>
          <w:p>
            <w:pPr>
              <w:pStyle w:val="Compact"/>
              <w:spacing w:after="40" w:before="40"/>
              <w:jc w:val="left"/>
            </w:pPr>
            <w:r>
              <w:rPr>
                <w:rFonts w:ascii="Cambria" w:hAnsi="Cambria" w:cs="Cambria" w:eastAsia="Cambria"/>
                <w:color w:val="1A1A1A"/>
                <w:sz w:val="18"/>
              </w:rPr>
              <w:t xml:space="preserve">Indicatori di bisogno e di copertura</w:t>
            </w:r>
          </w:p>
        </w:tc>
      </w:tr>
      <w:tr>
        <w:tc>
          <w:tcPr/>
          <w:p>
            <w:pPr>
              <w:pStyle w:val="Compact"/>
              <w:spacing w:after="40" w:before="40"/>
              <w:jc w:val="left"/>
            </w:pPr>
            <w:r>
              <w:rPr>
                <w:rFonts w:ascii="Cambria" w:hAnsi="Cambria" w:cs="Cambria" w:eastAsia="Cambria"/>
                <w:b/>
                <w:bCs/>
                <w:color w:val="1A1A1A"/>
                <w:sz w:val="18"/>
              </w:rPr>
              <w:t xml:space="preserve">7. Denominatori demografici</w:t>
            </w:r>
          </w:p>
        </w:tc>
        <w:tc>
          <w:tcPr/>
          <w:p>
            <w:pPr>
              <w:pStyle w:val="Compact"/>
              <w:spacing w:after="40" w:before="40"/>
              <w:jc w:val="left"/>
            </w:pPr>
            <w:r>
              <w:rPr>
                <w:rFonts w:ascii="Cambria" w:hAnsi="Cambria" w:cs="Cambria" w:eastAsia="Cambria"/>
                <w:color w:val="1A1A1A"/>
                <w:sz w:val="18"/>
              </w:rPr>
              <w:t xml:space="preserve">Basi per i tassi</w:t>
            </w:r>
          </w:p>
        </w:tc>
        <w:tc>
          <w:tcPr/>
          <w:p>
            <w:pPr>
              <w:pStyle w:val="Compact"/>
              <w:spacing w:after="40" w:before="40"/>
              <w:jc w:val="left"/>
            </w:pPr>
            <w:r>
              <w:rPr>
                <w:rFonts w:ascii="Cambria" w:hAnsi="Cambria" w:cs="Cambria" w:eastAsia="Cambria"/>
                <w:color w:val="1A1A1A"/>
                <w:sz w:val="18"/>
              </w:rPr>
              <w:t xml:space="preserve">Tassi, copertura, equità territoriale</w:t>
            </w:r>
          </w:p>
        </w:tc>
      </w:tr>
    </w:tbl>
    <w:p>
      <w:pPr>
        <w:pStyle w:val="BodyText"/>
      </w:pPr>
      <w:r>
        <w:rPr>
          <w:i/>
          <w:iCs/>
        </w:rPr>
        <w:t xml:space="preserve">Tabella riepilogativa. Ogni dato richiesto è collegato alla lacuna che colma e al suo impiego nell</w:t>
      </w:r>
      <w:r>
        <w:rPr>
          <w:b/>
          <w:bCs/>
          <w:i/>
          <w:iCs/>
        </w:rPr>
        <w:t xml:space="preserve">’</w:t>
      </w:r>
      <w:r>
        <w:rPr>
          <w:i/>
          <w:iCs/>
        </w:rPr>
        <w:t xml:space="preserve">analisi.</w:t>
      </w:r>
    </w:p>
    <w:p>
      <w:pPr>
        <w:pStyle w:val="BodyText"/>
      </w:pPr>
      <w:r>
        <w:t xml:space="preserve">Una volta acquisiti, questi dati consentono di compiere il passo successivo della sequenza: ricalcolare il modello costi-benefici e la robustezza sui valori certificati, riconciliare le due stime economiche e aggiornare coerentemente l’intero corpus. La richiesta è deliberatamente sobria nei dati e rigorosa nelle finalità: chiede solo ciò che serve, e dichiara perché serve.</w:t>
      </w:r>
    </w:p>
    <w:p>
      <w:r>
        <w:br w:type="page"/>
      </w:r>
    </w:p>
    <w:bookmarkEnd w:id="1166"/>
    <w:bookmarkEnd w:id="1167"/>
    <w:bookmarkStart w:id="1183" w:name="Xf91d45b01311699d198df03721ea975333703a2"/>
    <w:p>
      <w:pPr>
        <w:pStyle w:val="Heading1"/>
      </w:pPr>
      <w:r>
        <w:t xml:space="preserve">Appendice XI — Protocollo minimo di rilevazione</w:t>
      </w:r>
    </w:p>
    <w:p>
      <w:pPr>
        <w:pStyle w:val="FirstParagraph"/>
      </w:pPr>
      <w:r>
        <w:t xml:space="preserve">Psicologo di base in Puglia · protocollo minimo di rilevazione</w:t>
      </w:r>
    </w:p>
    <w:p>
      <w:pPr>
        <w:pStyle w:val="BodyText"/>
      </w:pPr>
      <w:r>
        <w:rPr>
          <w:b/>
          <w:bCs/>
        </w:rPr>
        <w:t xml:space="preserve">PROGETTO «PSICOLOGO DI BASE» · REGIONE PUGLIA</w:t>
      </w:r>
    </w:p>
    <w:p>
      <w:pPr>
        <w:pStyle w:val="BodyText"/>
      </w:pPr>
      <w:r>
        <w:t xml:space="preserve">Chiusura della lacuna C · attivazione della misurazione</w:t>
      </w:r>
    </w:p>
    <w:p>
      <w:pPr>
        <w:pStyle w:val="BodyText"/>
      </w:pPr>
      <w:r>
        <w:rPr>
          <w:b/>
          <w:bCs/>
        </w:rPr>
        <w:t xml:space="preserve">Protocollo minimo di rilevazione</w:t>
      </w:r>
    </w:p>
    <w:p>
      <w:pPr>
        <w:pStyle w:val="BodyText"/>
      </w:pPr>
      <w:r>
        <w:rPr>
          <w:b/>
          <w:bCs/>
        </w:rPr>
        <w:t xml:space="preserve">che cosa registrare, quando e con quali strumenti, fin dall’avvio</w:t>
      </w:r>
    </w:p>
    <w:p>
      <w:pPr>
        <w:pStyle w:val="BodyText"/>
      </w:pPr>
      <w:r>
        <w:rPr>
          <w:i/>
          <w:iCs/>
        </w:rPr>
        <w:t xml:space="preserve">Il dataset minimo, gli strumenti di esito e la costituzione della base di partenza</w:t>
      </w:r>
    </w:p>
    <w:p>
      <w:pPr>
        <w:pStyle w:val="BodyText"/>
      </w:pPr>
      <w:r>
        <w:rPr>
          <w:b/>
          <w:bCs/>
        </w:rPr>
        <w:t xml:space="preserve">Indice</w:t>
      </w:r>
    </w:p>
    <w:bookmarkStart w:id="1170" w:name="Xe1ddf8767b88c5d7c0e2ccd0030bf7ee4575ff0"/>
    <w:p>
      <w:pPr>
        <w:pStyle w:val="Heading2"/>
      </w:pPr>
      <w:r>
        <w:t xml:space="preserve">1. Premessa: il principio del minimo sufficiente</w:t>
      </w:r>
    </w:p>
    <w:p>
      <w:pPr>
        <w:pStyle w:val="FirstParagraph"/>
      </w:pPr>
      <w:r>
        <w:t xml:space="preserve">Il sistema di misurazione del servizio è interamente progettato, ma resta sulla carta finché il servizio non inizia a rilevare i propri dati. Questo documento colma tale lacuna definendo il protocollo minimo di rilevazione: l’insieme essenziale di informazioni che ogni servizio deve registrare fin dal primo giorno, e che alimenta gli indicatori non ricavabili dalle statistiche correnti.</w:t>
      </w:r>
      <w:r>
        <w:rPr>
          <w:rStyle w:val="FootnoteReference"/>
        </w:rPr>
        <w:footnoteReference w:id="489"/>
      </w:r>
      <w:r>
        <w:t xml:space="preserve"> </w:t>
      </w:r>
      <w:r>
        <w:t xml:space="preserve">Il criterio che lo ispira è il minimo sufficiente: pochi dati, raccolti con regolarità, ma esattamente quelli da cui dipende l’intera valutazione. Un protocollo troppo ampio non verrebbe applicato; un protocollo assente renderebbe impossibile misurare il recupero, i tempi di accesso e l’integrazione con la medicina generale.</w:t>
      </w:r>
    </w:p>
    <w:p>
      <w:pPr>
        <w:pStyle w:val="BodyText"/>
      </w:pPr>
      <w:r>
        <w:t xml:space="preserve">Il modello di riferimento è quello dei programmi internazionali di terapie psicologiche, che fondano la misurazione sulla raccolta di misure di esito non soltanto all’inizio e alla fine del percorso, ma a ogni seduta.</w:t>
      </w:r>
      <w:r>
        <w:rPr>
          <w:rStyle w:val="FootnoteReference"/>
        </w:rPr>
        <w:footnoteReference w:id="490"/>
      </w:r>
      <w:r>
        <w:t xml:space="preserve"> </w:t>
      </w:r>
      <w:r>
        <w:t xml:space="preserve">È questa la scelta tecnica decisiva: la raccolta ripetuta consente di calcolare il recupero e il miglioramento affidabile e, sul piano clinico, di adattare l’intervento in corso d’opera. Il protocollo che segue è articolato in tre parti: che cosa registrare e quando, con quali strumenti, e come i dati raccolti si traducono negli indicatori.</w:t>
      </w:r>
    </w:p>
    <w:bookmarkEnd w:id="1170"/>
    <w:bookmarkStart w:id="1171" w:name="Xd969d8179a22a542289529f5e3722331280dc4c"/>
    <w:p>
      <w:pPr>
        <w:pStyle w:val="Heading2"/>
      </w:pPr>
      <w:r>
        <w:t xml:space="preserve">2. Che cosa registrare, e quando: il dataset minimo</w:t>
      </w:r>
    </w:p>
    <w:p>
      <w:pPr>
        <w:pStyle w:val="FirstParagraph"/>
      </w:pPr>
      <w:r>
        <w:t xml:space="preserve">La rilevazione segue il percorso dell’assistito, dalla presa in carico alla conclusione e al follow-up. La tabella seguente definisce il dataset minimo, organizzato per momento della rilevazione. Ciascun campo è essenziale al calcolo di almeno un indicatore.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Momento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Campo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Valori / tipo</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Identificativo anonimo</w:t>
            </w:r>
          </w:p>
        </w:tc>
        <w:tc>
          <w:tcPr/>
          <w:p>
            <w:pPr>
              <w:pStyle w:val="Compact"/>
              <w:spacing w:after="40" w:before="40"/>
              <w:jc w:val="left"/>
            </w:pPr>
            <w:r>
              <w:rPr>
                <w:rFonts w:ascii="Cambria" w:hAnsi="Cambria" w:cs="Cambria" w:eastAsia="Cambria"/>
                <w:color w:val="1A1A1A"/>
                <w:sz w:val="18"/>
              </w:rPr>
              <w:t xml:space="preserve">codice progressivo, non nominativo</w:t>
            </w:r>
          </w:p>
        </w:tc>
      </w:tr>
      <w:tr>
        <w:tc>
          <w:tcPr>
            <w:shd w:val="clear" w:color="auto" w:fill="F4F1EC"/>
          </w:tcPr>
          <w:p>
            <w:pPr>
              <w:pStyle w:val="Compact"/>
              <w:spacing w:after="40" w:before="40"/>
              <w:jc w:val="left"/>
            </w:pPr>
          </w:p>
        </w:tc>
        <w:tc>
          <w:tcPr>
            <w:shd w:val="clear" w:color="auto" w:fill="F4F1EC"/>
          </w:tcPr>
          <w:p>
            <w:pPr>
              <w:pStyle w:val="Compact"/>
              <w:spacing w:after="40" w:before="40"/>
              <w:jc w:val="left"/>
            </w:pPr>
            <w:r>
              <w:rPr>
                <w:rFonts w:ascii="Cambria" w:hAnsi="Cambria" w:cs="Cambria" w:eastAsia="Cambria"/>
                <w:color w:val="1A1A1A"/>
                <w:sz w:val="18"/>
              </w:rPr>
              <w:t xml:space="preserve">Età (classe) e sesso</w:t>
            </w:r>
          </w:p>
        </w:tc>
        <w:tc>
          <w:tcPr>
            <w:shd w:val="clear" w:color="auto" w:fill="F4F1EC"/>
          </w:tcPr>
          <w:p>
            <w:pPr>
              <w:pStyle w:val="Compact"/>
              <w:spacing w:after="40" w:before="40"/>
              <w:jc w:val="left"/>
            </w:pPr>
            <w:r>
              <w:rPr>
                <w:rFonts w:ascii="Cambria" w:hAnsi="Cambria" w:cs="Cambria" w:eastAsia="Cambria"/>
                <w:color w:val="1A1A1A"/>
                <w:sz w:val="18"/>
              </w:rPr>
              <w:t xml:space="preserve">classi quinquennali; M / F / altro</w:t>
            </w:r>
          </w:p>
        </w:tc>
      </w:tr>
      <w:tr>
        <w:tc>
          <w:tcPr/>
          <w:p>
            <w:pPr>
              <w:pStyle w:val="Compact"/>
              <w:spacing w:after="40" w:before="40"/>
              <w:jc w:val="left"/>
            </w:pPr>
          </w:p>
        </w:tc>
        <w:tc>
          <w:tcPr/>
          <w:p>
            <w:pPr>
              <w:pStyle w:val="Compact"/>
              <w:spacing w:after="40" w:before="40"/>
              <w:jc w:val="left"/>
            </w:pPr>
            <w:r>
              <w:rPr>
                <w:rFonts w:ascii="Cambria" w:hAnsi="Cambria" w:cs="Cambria" w:eastAsia="Cambria"/>
                <w:color w:val="1A1A1A"/>
                <w:sz w:val="18"/>
              </w:rPr>
              <w:t xml:space="preserve">ASL e Distretto</w:t>
            </w:r>
          </w:p>
        </w:tc>
        <w:tc>
          <w:tcPr/>
          <w:p>
            <w:pPr>
              <w:pStyle w:val="Compact"/>
              <w:spacing w:after="40" w:before="40"/>
              <w:jc w:val="left"/>
            </w:pPr>
            <w:r>
              <w:rPr>
                <w:rFonts w:ascii="Cambria" w:hAnsi="Cambria" w:cs="Cambria" w:eastAsia="Cambria"/>
                <w:color w:val="1A1A1A"/>
                <w:sz w:val="18"/>
              </w:rPr>
              <w:t xml:space="preserve">da elenco regionale</w:t>
            </w:r>
          </w:p>
        </w:tc>
      </w:tr>
      <w:tr>
        <w:tc>
          <w:tcPr>
            <w:shd w:val="clear" w:color="auto" w:fill="F4F1EC"/>
          </w:tcPr>
          <w:p>
            <w:pPr>
              <w:pStyle w:val="Compact"/>
              <w:spacing w:after="40" w:before="40"/>
              <w:jc w:val="left"/>
            </w:pPr>
          </w:p>
        </w:tc>
        <w:tc>
          <w:tcPr>
            <w:shd w:val="clear" w:color="auto" w:fill="F4F1EC"/>
          </w:tcPr>
          <w:p>
            <w:pPr>
              <w:pStyle w:val="Compact"/>
              <w:spacing w:after="40" w:before="40"/>
              <w:jc w:val="left"/>
            </w:pPr>
            <w:r>
              <w:rPr>
                <w:rFonts w:ascii="Cambria" w:hAnsi="Cambria" w:cs="Cambria" w:eastAsia="Cambria"/>
                <w:color w:val="1A1A1A"/>
                <w:sz w:val="18"/>
              </w:rPr>
              <w:t xml:space="preserve">Fonte di invio</w:t>
            </w:r>
          </w:p>
        </w:tc>
        <w:tc>
          <w:tcPr>
            <w:shd w:val="clear" w:color="auto" w:fill="F4F1EC"/>
          </w:tcPr>
          <w:p>
            <w:pPr>
              <w:pStyle w:val="Compact"/>
              <w:spacing w:after="40" w:before="40"/>
              <w:jc w:val="left"/>
            </w:pPr>
            <w:r>
              <w:rPr>
                <w:rFonts w:ascii="Cambria" w:hAnsi="Cambria" w:cs="Cambria" w:eastAsia="Cambria"/>
                <w:color w:val="1A1A1A"/>
                <w:sz w:val="18"/>
              </w:rPr>
              <w:t xml:space="preserve">MMG / PLS / accesso diretto / altro servizio</w:t>
            </w:r>
          </w:p>
        </w:tc>
      </w:tr>
      <w:tr>
        <w:tc>
          <w:tcPr/>
          <w:p>
            <w:pPr>
              <w:pStyle w:val="Compact"/>
              <w:spacing w:after="40" w:before="40"/>
              <w:jc w:val="left"/>
            </w:pPr>
          </w:p>
        </w:tc>
        <w:tc>
          <w:tcPr/>
          <w:p>
            <w:pPr>
              <w:pStyle w:val="Compact"/>
              <w:spacing w:after="40" w:before="40"/>
              <w:jc w:val="left"/>
            </w:pPr>
            <w:r>
              <w:rPr>
                <w:rFonts w:ascii="Cambria" w:hAnsi="Cambria" w:cs="Cambria" w:eastAsia="Cambria"/>
                <w:color w:val="1A1A1A"/>
                <w:sz w:val="18"/>
              </w:rPr>
              <w:t xml:space="preserve">Data della richiesta e del primo colloquio</w:t>
            </w:r>
          </w:p>
        </w:tc>
        <w:tc>
          <w:tcPr/>
          <w:p>
            <w:pPr>
              <w:pStyle w:val="Compact"/>
              <w:spacing w:after="40" w:before="40"/>
              <w:jc w:val="left"/>
            </w:pPr>
            <w:r>
              <w:rPr>
                <w:rFonts w:ascii="Cambria" w:hAnsi="Cambria" w:cs="Cambria" w:eastAsia="Cambria"/>
                <w:color w:val="1A1A1A"/>
                <w:sz w:val="18"/>
              </w:rPr>
              <w:t xml:space="preserve">date (per il tempo di attesa)</w:t>
            </w:r>
          </w:p>
        </w:tc>
      </w:tr>
      <w:tr>
        <w:tc>
          <w:tcPr>
            <w:shd w:val="clear" w:color="auto" w:fill="F4F1EC"/>
          </w:tcPr>
          <w:p>
            <w:pPr>
              <w:pStyle w:val="Compact"/>
              <w:spacing w:after="40" w:before="40"/>
              <w:jc w:val="left"/>
            </w:pPr>
          </w:p>
        </w:tc>
        <w:tc>
          <w:tcPr>
            <w:shd w:val="clear" w:color="auto" w:fill="F4F1EC"/>
          </w:tcPr>
          <w:p>
            <w:pPr>
              <w:pStyle w:val="Compact"/>
              <w:spacing w:after="40" w:before="40"/>
              <w:jc w:val="left"/>
            </w:pPr>
            <w:r>
              <w:rPr>
                <w:rFonts w:ascii="Cambria" w:hAnsi="Cambria" w:cs="Cambria" w:eastAsia="Cambria"/>
                <w:color w:val="1A1A1A"/>
                <w:sz w:val="18"/>
              </w:rPr>
              <w:t xml:space="preserve">Area del disagio</w:t>
            </w:r>
          </w:p>
        </w:tc>
        <w:tc>
          <w:tcPr>
            <w:shd w:val="clear" w:color="auto" w:fill="F4F1EC"/>
          </w:tcPr>
          <w:p>
            <w:pPr>
              <w:pStyle w:val="Compact"/>
              <w:spacing w:after="40" w:before="40"/>
              <w:jc w:val="left"/>
            </w:pPr>
            <w:r>
              <w:rPr>
                <w:rFonts w:ascii="Cambria" w:hAnsi="Cambria" w:cs="Cambria" w:eastAsia="Cambria"/>
                <w:color w:val="1A1A1A"/>
                <w:sz w:val="18"/>
              </w:rPr>
              <w:t xml:space="preserve">categoria (ansia, depressione, stress, somatico, altro)</w:t>
            </w:r>
          </w:p>
        </w:tc>
      </w:tr>
      <w:tr>
        <w:tc>
          <w:tcPr/>
          <w:p>
            <w:pPr>
              <w:pStyle w:val="Compact"/>
              <w:spacing w:after="40" w:before="40"/>
              <w:jc w:val="left"/>
            </w:pPr>
          </w:p>
        </w:tc>
        <w:tc>
          <w:tcPr/>
          <w:p>
            <w:pPr>
              <w:pStyle w:val="Compact"/>
              <w:spacing w:after="40" w:before="40"/>
              <w:jc w:val="left"/>
            </w:pPr>
            <w:r>
              <w:rPr>
                <w:rFonts w:ascii="Cambria" w:hAnsi="Cambria" w:cs="Cambria" w:eastAsia="Cambria"/>
                <w:color w:val="1A1A1A"/>
                <w:sz w:val="18"/>
              </w:rPr>
              <w:t xml:space="preserve">Punteggi di esito iniziali</w:t>
            </w:r>
          </w:p>
        </w:tc>
        <w:tc>
          <w:tcPr/>
          <w:p>
            <w:pPr>
              <w:pStyle w:val="Compact"/>
              <w:spacing w:after="40" w:before="40"/>
              <w:jc w:val="left"/>
            </w:pPr>
            <w:r>
              <w:rPr>
                <w:rFonts w:ascii="Cambria" w:hAnsi="Cambria" w:cs="Cambria" w:eastAsia="Cambria"/>
                <w:color w:val="1A1A1A"/>
                <w:sz w:val="18"/>
              </w:rPr>
              <w:t xml:space="preserve">PHQ-9, GAD-7, CORE-OM (totali)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Ogni seduta</w:t>
            </w:r>
          </w:p>
        </w:tc>
        <w:tc>
          <w:tcPr>
            <w:shd w:val="clear" w:color="auto" w:fill="F4F1EC"/>
          </w:tcPr>
          <w:p>
            <w:pPr>
              <w:pStyle w:val="Compact"/>
              <w:spacing w:after="40" w:before="40"/>
              <w:jc w:val="left"/>
            </w:pPr>
            <w:r>
              <w:rPr>
                <w:rFonts w:ascii="Cambria" w:hAnsi="Cambria" w:cs="Cambria" w:eastAsia="Cambria"/>
                <w:color w:val="1A1A1A"/>
                <w:sz w:val="18"/>
              </w:rPr>
              <w:t xml:space="preserve">Numero e data della seduta</w:t>
            </w:r>
          </w:p>
        </w:tc>
        <w:tc>
          <w:tcPr>
            <w:shd w:val="clear" w:color="auto" w:fill="F4F1EC"/>
          </w:tcPr>
          <w:p>
            <w:pPr>
              <w:pStyle w:val="Compact"/>
              <w:spacing w:after="40" w:before="40"/>
              <w:jc w:val="left"/>
            </w:pPr>
            <w:r>
              <w:rPr>
                <w:rFonts w:ascii="Cambria" w:hAnsi="Cambria" w:cs="Cambria" w:eastAsia="Cambria"/>
                <w:color w:val="1A1A1A"/>
                <w:sz w:val="18"/>
              </w:rPr>
              <w:t xml:space="preserve">progressivo; data</w:t>
            </w:r>
          </w:p>
        </w:tc>
      </w:tr>
      <w:tr>
        <w:tc>
          <w:tcPr/>
          <w:p>
            <w:pPr>
              <w:pStyle w:val="Compact"/>
              <w:spacing w:after="40" w:before="40"/>
              <w:jc w:val="left"/>
            </w:pPr>
          </w:p>
        </w:tc>
        <w:tc>
          <w:tcPr/>
          <w:p>
            <w:pPr>
              <w:pStyle w:val="Compact"/>
              <w:spacing w:after="40" w:before="40"/>
              <w:jc w:val="left"/>
            </w:pPr>
            <w:r>
              <w:rPr>
                <w:rFonts w:ascii="Cambria" w:hAnsi="Cambria" w:cs="Cambria" w:eastAsia="Cambria"/>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GAD-7 (totali, a ogni seduta)</w:t>
            </w:r>
          </w:p>
        </w:tc>
      </w:tr>
      <w:tr>
        <w:tc>
          <w:tcPr>
            <w:shd w:val="clear" w:color="auto" w:fill="F4F1EC"/>
          </w:tcPr>
          <w:p>
            <w:pPr>
              <w:pStyle w:val="Compact"/>
              <w:spacing w:after="40" w:before="40"/>
              <w:jc w:val="left"/>
            </w:pPr>
          </w:p>
        </w:tc>
        <w:tc>
          <w:tcPr>
            <w:shd w:val="clear" w:color="auto" w:fill="F4F1EC"/>
          </w:tcPr>
          <w:p>
            <w:pPr>
              <w:pStyle w:val="Compact"/>
              <w:spacing w:after="40" w:before="40"/>
              <w:jc w:val="left"/>
            </w:pPr>
            <w:r>
              <w:rPr>
                <w:rFonts w:ascii="Cambria" w:hAnsi="Cambria" w:cs="Cambria" w:eastAsia="Cambria"/>
                <w:color w:val="1A1A1A"/>
                <w:sz w:val="18"/>
              </w:rPr>
              <w:t xml:space="preserve">Tipo di intervento</w:t>
            </w:r>
          </w:p>
        </w:tc>
        <w:tc>
          <w:tcPr>
            <w:shd w:val="clear" w:color="auto" w:fill="F4F1EC"/>
          </w:tcPr>
          <w:p>
            <w:pPr>
              <w:pStyle w:val="Compact"/>
              <w:spacing w:after="40" w:before="40"/>
              <w:jc w:val="left"/>
            </w:pPr>
            <w:r>
              <w:rPr>
                <w:rFonts w:ascii="Cambria" w:hAnsi="Cambria" w:cs="Cambria" w:eastAsia="Cambria"/>
                <w:color w:val="1A1A1A"/>
                <w:sz w:val="18"/>
              </w:rPr>
              <w:t xml:space="preserve">categoria (sostegno, intervento breve, ecc.)</w:t>
            </w:r>
          </w:p>
        </w:tc>
      </w:tr>
      <w:tr>
        <w:tc>
          <w:tcPr/>
          <w:p>
            <w:pPr>
              <w:pStyle w:val="Compact"/>
              <w:spacing w:after="40" w:before="40"/>
              <w:jc w:val="left"/>
            </w:pPr>
            <w:r>
              <w:rPr>
                <w:rFonts w:ascii="Cambria" w:hAnsi="Cambria" w:cs="Cambria" w:eastAsia="Cambria"/>
                <w:b/>
                <w:bCs/>
                <w:color w:val="1A1A1A"/>
                <w:sz w:val="18"/>
              </w:rPr>
              <w:t xml:space="preserve">Conclusione</w:t>
            </w:r>
          </w:p>
        </w:tc>
        <w:tc>
          <w:tcPr/>
          <w:p>
            <w:pPr>
              <w:pStyle w:val="Compact"/>
              <w:spacing w:after="40" w:before="40"/>
              <w:jc w:val="left"/>
            </w:pPr>
            <w:r>
              <w:rPr>
                <w:rFonts w:ascii="Cambria" w:hAnsi="Cambria" w:cs="Cambria" w:eastAsia="Cambria"/>
                <w:color w:val="1A1A1A"/>
                <w:sz w:val="18"/>
              </w:rPr>
              <w:t xml:space="preserve">Esito del percorso</w:t>
            </w:r>
          </w:p>
        </w:tc>
        <w:tc>
          <w:tcPr/>
          <w:p>
            <w:pPr>
              <w:pStyle w:val="Compact"/>
              <w:spacing w:after="40" w:before="40"/>
              <w:jc w:val="left"/>
            </w:pPr>
            <w:r>
              <w:rPr>
                <w:rFonts w:ascii="Cambria" w:hAnsi="Cambria" w:cs="Cambria" w:eastAsia="Cambria"/>
                <w:color w:val="1A1A1A"/>
                <w:sz w:val="18"/>
              </w:rPr>
              <w:t xml:space="preserve">concluso / interrotto / inviato</w:t>
            </w:r>
          </w:p>
        </w:tc>
      </w:tr>
      <w:tr>
        <w:tc>
          <w:tcPr>
            <w:shd w:val="clear" w:color="auto" w:fill="F4F1EC"/>
          </w:tcPr>
          <w:p>
            <w:pPr>
              <w:pStyle w:val="Compact"/>
              <w:spacing w:after="40" w:before="40"/>
              <w:jc w:val="left"/>
            </w:pPr>
          </w:p>
        </w:tc>
        <w:tc>
          <w:tcPr>
            <w:shd w:val="clear" w:color="auto" w:fill="F4F1EC"/>
          </w:tcPr>
          <w:p>
            <w:pPr>
              <w:pStyle w:val="Compact"/>
              <w:spacing w:after="40" w:before="40"/>
              <w:jc w:val="left"/>
            </w:pPr>
            <w:r>
              <w:rPr>
                <w:rFonts w:ascii="Cambria" w:hAnsi="Cambria" w:cs="Cambria" w:eastAsia="Cambria"/>
                <w:color w:val="1A1A1A"/>
                <w:sz w:val="18"/>
              </w:rPr>
              <w:t xml:space="preserve">Punteggi finali</w:t>
            </w:r>
          </w:p>
        </w:tc>
        <w:tc>
          <w:tcPr>
            <w:shd w:val="clear" w:color="auto" w:fill="F4F1EC"/>
          </w:tcPr>
          <w:p>
            <w:pPr>
              <w:pStyle w:val="Compact"/>
              <w:spacing w:after="40" w:before="40"/>
              <w:jc w:val="left"/>
            </w:pPr>
            <w:r>
              <w:rPr>
                <w:rFonts w:ascii="Cambria" w:hAnsi="Cambria" w:cs="Cambria" w:eastAsia="Cambria"/>
                <w:color w:val="1A1A1A"/>
                <w:sz w:val="18"/>
              </w:rPr>
              <w:t xml:space="preserve">PHQ-9, GAD-7, CORE-OM (totali)</w:t>
            </w:r>
          </w:p>
        </w:tc>
      </w:tr>
      <w:tr>
        <w:tc>
          <w:tcPr/>
          <w:p>
            <w:pPr>
              <w:pStyle w:val="Compact"/>
              <w:spacing w:after="40" w:before="40"/>
              <w:jc w:val="left"/>
            </w:pPr>
          </w:p>
        </w:tc>
        <w:tc>
          <w:tcPr/>
          <w:p>
            <w:pPr>
              <w:pStyle w:val="Compact"/>
              <w:spacing w:after="40" w:before="40"/>
              <w:jc w:val="left"/>
            </w:pPr>
            <w:r>
              <w:rPr>
                <w:rFonts w:ascii="Cambria" w:hAnsi="Cambria" w:cs="Cambria" w:eastAsia="Cambria"/>
                <w:color w:val="1A1A1A"/>
                <w:sz w:val="18"/>
              </w:rPr>
              <w:t xml:space="preserve">Restituzione al curante</w:t>
            </w:r>
          </w:p>
        </w:tc>
        <w:tc>
          <w:tcPr/>
          <w:p>
            <w:pPr>
              <w:pStyle w:val="Compact"/>
              <w:spacing w:after="40" w:before="40"/>
              <w:jc w:val="left"/>
            </w:pPr>
            <w:r>
              <w:rPr>
                <w:rFonts w:ascii="Cambria" w:hAnsi="Cambria" w:cs="Cambria" w:eastAsia="Cambria"/>
                <w:color w:val="1A1A1A"/>
                <w:sz w:val="18"/>
              </w:rPr>
              <w:t xml:space="preserve">sì / no</w:t>
            </w:r>
          </w:p>
        </w:tc>
      </w:tr>
      <w:tr>
        <w:tc>
          <w:tcPr>
            <w:shd w:val="clear" w:color="auto" w:fill="F4F1EC"/>
          </w:tcPr>
          <w:p>
            <w:pPr>
              <w:pStyle w:val="Compact"/>
              <w:spacing w:after="40" w:before="40"/>
              <w:jc w:val="left"/>
            </w:pPr>
          </w:p>
        </w:tc>
        <w:tc>
          <w:tcPr>
            <w:shd w:val="clear" w:color="auto" w:fill="F4F1EC"/>
          </w:tcPr>
          <w:p>
            <w:pPr>
              <w:pStyle w:val="Compact"/>
              <w:spacing w:after="40" w:before="40"/>
              <w:jc w:val="left"/>
            </w:pPr>
            <w:r>
              <w:rPr>
                <w:rFonts w:ascii="Cambria" w:hAnsi="Cambria" w:cs="Cambria" w:eastAsia="Cambria"/>
                <w:color w:val="1A1A1A"/>
                <w:sz w:val="18"/>
              </w:rPr>
              <w:t xml:space="preserve">Invio a cure secondarie</w:t>
            </w:r>
          </w:p>
        </w:tc>
        <w:tc>
          <w:tcPr>
            <w:shd w:val="clear" w:color="auto" w:fill="F4F1EC"/>
          </w:tcPr>
          <w:p>
            <w:pPr>
              <w:pStyle w:val="Compact"/>
              <w:spacing w:after="40" w:before="40"/>
              <w:jc w:val="left"/>
            </w:pPr>
            <w:r>
              <w:rPr>
                <w:rFonts w:ascii="Cambria" w:hAnsi="Cambria" w:cs="Cambria" w:eastAsia="Cambria"/>
                <w:color w:val="1A1A1A"/>
                <w:sz w:val="18"/>
              </w:rPr>
              <w:t xml:space="preserve">sì / no</w:t>
            </w:r>
          </w:p>
        </w:tc>
      </w:tr>
      <w:tr>
        <w:tc>
          <w:tcPr/>
          <w:p>
            <w:pPr>
              <w:pStyle w:val="Compact"/>
              <w:spacing w:after="40" w:before="40"/>
              <w:jc w:val="left"/>
            </w:pPr>
          </w:p>
        </w:tc>
        <w:tc>
          <w:tcPr/>
          <w:p>
            <w:pPr>
              <w:pStyle w:val="Compact"/>
              <w:spacing w:after="40" w:before="40"/>
              <w:jc w:val="left"/>
            </w:pPr>
            <w:r>
              <w:rPr>
                <w:rFonts w:ascii="Cambria" w:hAnsi="Cambria" w:cs="Cambria" w:eastAsia="Cambria"/>
                <w:color w:val="1A1A1A"/>
                <w:sz w:val="18"/>
              </w:rPr>
              <w:t xml:space="preserve">Esperienza dell’utente</w:t>
            </w:r>
          </w:p>
        </w:tc>
        <w:tc>
          <w:tcPr/>
          <w:p>
            <w:pPr>
              <w:pStyle w:val="Compact"/>
              <w:spacing w:after="40" w:before="40"/>
              <w:jc w:val="left"/>
            </w:pPr>
            <w:r>
              <w:rPr>
                <w:rFonts w:ascii="Cambria" w:hAnsi="Cambria" w:cs="Cambria" w:eastAsia="Cambria"/>
                <w:color w:val="1A1A1A"/>
                <w:sz w:val="18"/>
              </w:rPr>
              <w:t xml:space="preserve">scala breve (PREM)</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Follow-up (6–12 mesi)</w:t>
            </w:r>
          </w:p>
        </w:tc>
        <w:tc>
          <w:tcPr>
            <w:shd w:val="clear" w:color="auto" w:fill="F4F1EC"/>
          </w:tcPr>
          <w:p>
            <w:pPr>
              <w:pStyle w:val="Compact"/>
              <w:spacing w:after="40" w:before="40"/>
              <w:jc w:val="left"/>
            </w:pPr>
            <w:r>
              <w:rPr>
                <w:rFonts w:ascii="Cambria" w:hAnsi="Cambria" w:cs="Cambria" w:eastAsia="Cambria"/>
                <w:color w:val="1A1A1A"/>
                <w:sz w:val="18"/>
              </w:rPr>
              <w:t xml:space="preserve">Punteggi di mantenimento</w:t>
            </w:r>
          </w:p>
        </w:tc>
        <w:tc>
          <w:tcPr>
            <w:shd w:val="clear" w:color="auto" w:fill="F4F1EC"/>
          </w:tcPr>
          <w:p>
            <w:pPr>
              <w:pStyle w:val="Compact"/>
              <w:spacing w:after="40" w:before="40"/>
              <w:jc w:val="left"/>
            </w:pPr>
            <w:r>
              <w:rPr>
                <w:rFonts w:ascii="Cambria" w:hAnsi="Cambria" w:cs="Cambria" w:eastAsia="Cambria"/>
                <w:color w:val="1A1A1A"/>
                <w:sz w:val="18"/>
              </w:rPr>
              <w:t xml:space="preserve">PHQ-9, GAD-7 (totali)</w:t>
            </w:r>
          </w:p>
        </w:tc>
      </w:tr>
    </w:tbl>
    <w:p>
      <w:pPr>
        <w:pStyle w:val="BodyText"/>
      </w:pPr>
      <w:r>
        <w:rPr>
          <w:i/>
          <w:iCs/>
        </w:rPr>
        <w:t xml:space="preserve">Tabella 1. Il dataset minimo, organizzato per momento della rilevazione. Gli identificativi sono anonimi; non si registrano dati nominativi nel sistema di monitoraggio.</w:t>
      </w:r>
    </w:p>
    <w:bookmarkEnd w:id="1171"/>
    <w:bookmarkStart w:id="1176" w:name="gli-strumenti-di-esito"/>
    <w:p>
      <w:pPr>
        <w:pStyle w:val="Heading2"/>
      </w:pPr>
      <w:r>
        <w:t xml:space="preserve">3. Gli strumenti di esito</w:t>
      </w:r>
    </w:p>
    <w:p>
      <w:pPr>
        <w:pStyle w:val="FirstParagraph"/>
      </w:pPr>
      <w:r>
        <w:t xml:space="preserve">Si adottano tre strumenti validati e di uso internazionale, brevi e adatti alla somministrazione ripetuta, di cui si impiega il solo punteggio totale a fini di monitoraggio dell’andamento.</w:t>
      </w:r>
      <w:r>
        <w:rPr>
          <w:rStyle w:val="FootnoteReference"/>
        </w:rPr>
        <w:footnoteReference w:id="491"/>
      </w:r>
      <w:r>
        <w:t xml:space="preserve"> </w:t>
      </w:r>
      <w:r>
        <w:t xml:space="preserve">Il primo misura i sintomi depressivi, il secondo i sintomi ansiosi, il terzo il distress psicologico globale; una breve scala di esperienza rileva il punto di vista dell’assistito.</w:t>
      </w:r>
      <w:r>
        <w:rPr>
          <w:rStyle w:val="FootnoteReference"/>
        </w:rPr>
        <w:footnoteReference w:id="492"/>
      </w:r>
      <w:r>
        <w:t xml:space="preserve"> </w:t>
      </w:r>
      <w:r>
        <w:t xml:space="preserve">Il distress globale è rilevato con la misura di esito clinico di routine, secondo le norme dello strumento.</w:t>
      </w:r>
      <w:r>
        <w:rPr>
          <w:rStyle w:val="FootnoteReference"/>
        </w:rPr>
        <w:footnoteReference w:id="493"/>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Strumento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Cosa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Punteggio</w:t>
            </w:r>
          </w:p>
        </w:tc>
        <w:tc>
          <w:tcPr>
            <w:shd w:val="clear" w:color="auto" w:fill="16264B"/>
          </w:tcPr>
          <w:p>
            <w:pPr>
              <w:pStyle w:val="Compact"/>
              <w:spacing w:after="40" w:before="40"/>
              <w:jc w:val="left"/>
            </w:pPr>
            <w:r>
              <w:rPr>
                <w:rFonts w:ascii="Cambria" w:hAnsi="Cambria" w:cs="Cambria" w:eastAsia="Cambria"/>
                <w:b/>
                <w:bCs/>
                <w:color w:val="FFFFFF"/>
                <w:sz w:val="18"/>
              </w:rPr>
              <w:t xml:space="preserve">Soglia clinica</w:t>
            </w:r>
          </w:p>
        </w:tc>
        <w:tc>
          <w:tcPr>
            <w:shd w:val="clear" w:color="auto" w:fill="16264B"/>
          </w:tcPr>
          <w:p>
            <w:pPr>
              <w:pStyle w:val="Compact"/>
              <w:spacing w:after="40" w:before="40"/>
              <w:jc w:val="left"/>
            </w:pPr>
            <w:r>
              <w:rPr>
                <w:rFonts w:ascii="Cambria" w:hAnsi="Cambria" w:cs="Cambria" w:eastAsia="Cambria"/>
                <w:b/>
                <w:bCs/>
                <w:color w:val="FFFFFF"/>
                <w:sz w:val="18"/>
              </w:rPr>
              <w:t xml:space="preserve">Cambiamento affidabile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ansiosi</w:t>
            </w:r>
          </w:p>
        </w:tc>
        <w:tc>
          <w:tcPr>
            <w:shd w:val="clear" w:color="auto" w:fill="F4F1EC"/>
          </w:tcPr>
          <w:p>
            <w:pPr>
              <w:pStyle w:val="Compact"/>
              <w:spacing w:after="40" w:before="40"/>
              <w:jc w:val="left"/>
            </w:pPr>
            <w:r>
              <w:rPr>
                <w:rFonts w:ascii="Cambria" w:hAnsi="Cambria" w:cs="Cambria" w:eastAsia="Cambria"/>
                <w:color w:val="1A1A1A"/>
                <w:sz w:val="18"/>
              </w:rPr>
              <w:t xml:space="preserve">0–21</w:t>
            </w:r>
          </w:p>
        </w:tc>
        <w:tc>
          <w:tcPr>
            <w:shd w:val="clear" w:color="auto" w:fill="F4F1EC"/>
          </w:tcPr>
          <w:p>
            <w:pPr>
              <w:pStyle w:val="Compact"/>
              <w:spacing w:after="40" w:before="40"/>
              <w:jc w:val="left"/>
            </w:pPr>
            <w:r>
              <w:rPr>
                <w:rFonts w:ascii="Cambria" w:hAnsi="Cambria" w:cs="Cambria" w:eastAsia="Cambria"/>
                <w:color w:val="1A1A1A"/>
                <w:sz w:val="18"/>
              </w:rPr>
              <w:t xml:space="preserve">~8</w:t>
            </w:r>
          </w:p>
        </w:tc>
        <w:tc>
          <w:tcPr>
            <w:shd w:val="clear" w:color="auto" w:fill="F4F1EC"/>
          </w:tcPr>
          <w:p>
            <w:pPr>
              <w:pStyle w:val="Compact"/>
              <w:spacing w:after="40" w:before="40"/>
              <w:jc w:val="left"/>
            </w:pPr>
            <w:r>
              <w:rPr>
                <w:rFonts w:ascii="Cambria" w:hAnsi="Cambria" w:cs="Cambria" w:eastAsia="Cambria"/>
                <w:color w:val="1A1A1A"/>
                <w:sz w:val="18"/>
              </w:rPr>
              <w:t xml:space="preserve">~4 punti</w:t>
            </w:r>
          </w:p>
        </w:tc>
      </w:tr>
      <w:tr>
        <w:tc>
          <w:tcPr/>
          <w:p>
            <w:pPr>
              <w:pStyle w:val="Compact"/>
              <w:spacing w:after="40" w:before="40"/>
              <w:jc w:val="left"/>
            </w:pPr>
            <w:r>
              <w:rPr>
                <w:rFonts w:ascii="Cambria" w:hAnsi="Cambria" w:cs="Cambria" w:eastAsia="Cambria"/>
                <w:b/>
                <w:bCs/>
                <w:color w:val="1A1A1A"/>
                <w:sz w:val="18"/>
              </w:rPr>
              <w:t xml:space="preserve">CORE-OM</w:t>
            </w:r>
          </w:p>
        </w:tc>
        <w:tc>
          <w:tcPr/>
          <w:p>
            <w:pPr>
              <w:pStyle w:val="Compact"/>
              <w:spacing w:after="40" w:before="40"/>
              <w:jc w:val="left"/>
            </w:pPr>
            <w:r>
              <w:rPr>
                <w:rFonts w:ascii="Cambria" w:hAnsi="Cambria" w:cs="Cambria" w:eastAsia="Cambria"/>
                <w:color w:val="1A1A1A"/>
                <w:sz w:val="18"/>
              </w:rPr>
              <w:t xml:space="preserve">Distress psicologico globale</w:t>
            </w:r>
          </w:p>
        </w:tc>
        <w:tc>
          <w:tcPr/>
          <w:p>
            <w:pPr>
              <w:pStyle w:val="Compact"/>
              <w:spacing w:after="40" w:before="40"/>
              <w:jc w:val="left"/>
            </w:pPr>
            <w:r>
              <w:rPr>
                <w:rFonts w:ascii="Cambria" w:hAnsi="Cambria" w:cs="Cambria" w:eastAsia="Cambria"/>
                <w:color w:val="1A1A1A"/>
                <w:sz w:val="18"/>
              </w:rPr>
              <w:t xml:space="preserve">secondo norme</w:t>
            </w:r>
          </w:p>
        </w:tc>
        <w:tc>
          <w:tcPr/>
          <w:p>
            <w:pPr>
              <w:pStyle w:val="Compact"/>
              <w:spacing w:after="40" w:before="40"/>
              <w:jc w:val="left"/>
            </w:pPr>
            <w:r>
              <w:rPr>
                <w:rFonts w:ascii="Cambria" w:hAnsi="Cambria" w:cs="Cambria" w:eastAsia="Cambria"/>
                <w:color w:val="1A1A1A"/>
                <w:sz w:val="18"/>
              </w:rPr>
              <w:t xml:space="preserve">secondo norme</w:t>
            </w:r>
          </w:p>
        </w:tc>
        <w:tc>
          <w:tcPr/>
          <w:p>
            <w:pPr>
              <w:pStyle w:val="Compact"/>
              <w:spacing w:after="40" w:before="40"/>
              <w:jc w:val="left"/>
            </w:pPr>
            <w:r>
              <w:rPr>
                <w:rFonts w:ascii="Cambria" w:hAnsi="Cambria" w:cs="Cambria" w:eastAsia="Cambria"/>
                <w:color w:val="1A1A1A"/>
                <w:sz w:val="18"/>
              </w:rPr>
              <w:t xml:space="preserve">secondo norme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PREM</w:t>
            </w:r>
          </w:p>
        </w:tc>
        <w:tc>
          <w:tcPr>
            <w:shd w:val="clear" w:color="auto" w:fill="F4F1EC"/>
          </w:tcPr>
          <w:p>
            <w:pPr>
              <w:pStyle w:val="Compact"/>
              <w:spacing w:after="40" w:before="40"/>
              <w:jc w:val="left"/>
            </w:pPr>
            <w:r>
              <w:rPr>
                <w:rFonts w:ascii="Cambria" w:hAnsi="Cambria" w:cs="Cambria" w:eastAsia="Cambria"/>
                <w:color w:val="1A1A1A"/>
                <w:sz w:val="18"/>
              </w:rPr>
              <w:t xml:space="preserve">Esperienza dell’utente</w:t>
            </w:r>
          </w:p>
        </w:tc>
        <w:tc>
          <w:tcPr>
            <w:shd w:val="clear" w:color="auto" w:fill="F4F1EC"/>
          </w:tcPr>
          <w:p>
            <w:pPr>
              <w:pStyle w:val="Compact"/>
              <w:spacing w:after="40" w:before="40"/>
              <w:jc w:val="left"/>
            </w:pPr>
            <w:r>
              <w:rPr>
                <w:rFonts w:ascii="Cambria" w:hAnsi="Cambria" w:cs="Cambria" w:eastAsia="Cambria"/>
                <w:color w:val="1A1A1A"/>
                <w:sz w:val="18"/>
              </w:rPr>
              <w:t xml:space="preserve">scala breve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2. Gli strumenti di esito. Soglia clinica e cambiamento affidabile per PHQ-9 e GAD-7 secondo l</w:t>
      </w:r>
      <w:r>
        <w:rPr>
          <w:b/>
          <w:bCs/>
          <w:i/>
          <w:iCs/>
        </w:rPr>
        <w:t xml:space="preserve">’</w:t>
      </w:r>
      <w:r>
        <w:rPr>
          <w:i/>
          <w:iCs/>
        </w:rPr>
        <w:t xml:space="preserve">uso consolidato; per CORE-OM secondo le norme dello strumento.</w:t>
      </w:r>
    </w:p>
    <w:p>
      <w:pPr>
        <w:pStyle w:val="BodyText"/>
      </w:pPr>
      <w:r>
        <w:t xml:space="preserve">Da questi punteggi si derivano le due grandezze fondamentali dell’esito: il recupero, ossia il passaggio da un punteggio superiore alla soglia clinica a uno inferiore, e il miglioramento affidabile, ossia una variazione superiore all’errore di misura. La loro combinazione definisce il recupero affidabile, riferimento di esito del servizio.</w:t>
      </w:r>
      <w:r>
        <w:rPr>
          <w:rStyle w:val="FootnoteReference"/>
        </w:rPr>
        <w:footnoteReference w:id="494"/>
      </w:r>
    </w:p>
    <w:bookmarkEnd w:id="1176"/>
    <w:bookmarkStart w:id="1177" w:name="dal-dato-allindicatore"/>
    <w:p>
      <w:pPr>
        <w:pStyle w:val="Heading2"/>
      </w:pPr>
      <w:r>
        <w:t xml:space="preserve">4. Dal dato all’indicatore</w:t>
      </w:r>
    </w:p>
    <w:p>
      <w:pPr>
        <w:pStyle w:val="FirstParagraph"/>
      </w:pPr>
      <w:r>
        <w:t xml:space="preserve">Ogni dato registrato non è fine a sé, ma alimenta uno o più indicatori della batteria. La tabella seguente rende esplicito questo legame, mostrando come da un protocollo leggero discenda l’intero sistema di indicatori di processo ed esito.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Dato registrato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Indicatore alimentato</w:t>
            </w:r>
          </w:p>
        </w:tc>
      </w:tr>
      <w:tr>
        <w:tc>
          <w:tcPr/>
          <w:p>
            <w:pPr>
              <w:pStyle w:val="Compact"/>
              <w:spacing w:after="40" w:before="40"/>
              <w:jc w:val="left"/>
            </w:pPr>
            <w:r>
              <w:rPr>
                <w:rFonts w:ascii="Cambria" w:hAnsi="Cambria" w:cs="Cambria" w:eastAsia="Cambria"/>
                <w:b/>
                <w:bCs/>
                <w:color w:val="1A1A1A"/>
                <w:sz w:val="18"/>
              </w:rPr>
              <w:t xml:space="preserve">Data della richiesta e del primo colloquio</w:t>
            </w:r>
          </w:p>
        </w:tc>
        <w:tc>
          <w:tcPr/>
          <w:p>
            <w:pPr>
              <w:pStyle w:val="Compact"/>
              <w:spacing w:after="40" w:before="40"/>
              <w:jc w:val="left"/>
            </w:pPr>
            <w:r>
              <w:rPr>
                <w:rFonts w:ascii="Cambria" w:hAnsi="Cambria" w:cs="Cambria" w:eastAsia="Cambria"/>
                <w:color w:val="1A1A1A"/>
                <w:sz w:val="18"/>
              </w:rPr>
              <w:t xml:space="preserve">Tempo di attesa al primo colloquio; tempestività della presa in carico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Fonte di invio</w:t>
            </w:r>
          </w:p>
        </w:tc>
        <w:tc>
          <w:tcPr>
            <w:shd w:val="clear" w:color="auto" w:fill="F4F1EC"/>
          </w:tcPr>
          <w:p>
            <w:pPr>
              <w:pStyle w:val="Compact"/>
              <w:spacing w:after="40" w:before="40"/>
              <w:jc w:val="left"/>
            </w:pPr>
            <w:r>
              <w:rPr>
                <w:rFonts w:ascii="Cambria" w:hAnsi="Cambria" w:cs="Cambria" w:eastAsia="Cambria"/>
                <w:color w:val="1A1A1A"/>
                <w:sz w:val="18"/>
              </w:rPr>
              <w:t xml:space="preserve">Invii dai MMG e PLS; integrazione con le cure primarie</w:t>
            </w:r>
          </w:p>
        </w:tc>
      </w:tr>
      <w:tr>
        <w:tc>
          <w:tcPr/>
          <w:p>
            <w:pPr>
              <w:pStyle w:val="Compact"/>
              <w:spacing w:after="40" w:before="40"/>
              <w:jc w:val="left"/>
            </w:pPr>
            <w:r>
              <w:rPr>
                <w:rFonts w:ascii="Cambria" w:hAnsi="Cambria" w:cs="Cambria" w:eastAsia="Cambria"/>
                <w:b/>
                <w:bCs/>
                <w:color w:val="1A1A1A"/>
                <w:sz w:val="18"/>
              </w:rPr>
              <w:t xml:space="preserve">Punteggi pre, intermedi e post</w:t>
            </w:r>
          </w:p>
        </w:tc>
        <w:tc>
          <w:tcPr/>
          <w:p>
            <w:pPr>
              <w:pStyle w:val="Compact"/>
              <w:spacing w:after="40" w:before="40"/>
              <w:jc w:val="left"/>
            </w:pPr>
            <w:r>
              <w:rPr>
                <w:rFonts w:ascii="Cambria" w:hAnsi="Cambria" w:cs="Cambria" w:eastAsia="Cambria"/>
                <w:color w:val="1A1A1A"/>
                <w:sz w:val="18"/>
              </w:rPr>
              <w:t xml:space="preserve">Variazione dei sintomi; tasso di recupero; miglioramento affidabile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Numero di sedute e stato del percorso</w:t>
            </w:r>
          </w:p>
        </w:tc>
        <w:tc>
          <w:tcPr>
            <w:shd w:val="clear" w:color="auto" w:fill="F4F1EC"/>
          </w:tcPr>
          <w:p>
            <w:pPr>
              <w:pStyle w:val="Compact"/>
              <w:spacing w:after="40" w:before="40"/>
              <w:jc w:val="left"/>
            </w:pPr>
            <w:r>
              <w:rPr>
                <w:rFonts w:ascii="Cambria" w:hAnsi="Cambria" w:cs="Cambria" w:eastAsia="Cambria"/>
                <w:color w:val="1A1A1A"/>
                <w:sz w:val="18"/>
              </w:rPr>
              <w:t xml:space="preserve">Sedute erogate; cicli completati; abbandoni precoci</w:t>
            </w:r>
          </w:p>
        </w:tc>
      </w:tr>
      <w:tr>
        <w:tc>
          <w:tcPr/>
          <w:p>
            <w:pPr>
              <w:pStyle w:val="Compact"/>
              <w:spacing w:after="40" w:before="40"/>
              <w:jc w:val="left"/>
            </w:pPr>
            <w:r>
              <w:rPr>
                <w:rFonts w:ascii="Cambria" w:hAnsi="Cambria" w:cs="Cambria" w:eastAsia="Cambria"/>
                <w:b/>
                <w:bCs/>
                <w:color w:val="1A1A1A"/>
                <w:sz w:val="18"/>
              </w:rPr>
              <w:t xml:space="preserve">Restituzione al curante</w:t>
            </w:r>
          </w:p>
        </w:tc>
        <w:tc>
          <w:tcPr/>
          <w:p>
            <w:pPr>
              <w:pStyle w:val="Compact"/>
              <w:spacing w:after="40" w:before="40"/>
              <w:jc w:val="left"/>
            </w:pPr>
            <w:r>
              <w:rPr>
                <w:rFonts w:ascii="Cambria" w:hAnsi="Cambria" w:cs="Cambria" w:eastAsia="Cambria"/>
                <w:color w:val="1A1A1A"/>
                <w:sz w:val="18"/>
              </w:rPr>
              <w:t xml:space="preserve">Restituzione al curante; continuità e chiusura del ciclo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Invio a cure secondarie</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ricorso alle cure secondarie</w:t>
            </w:r>
          </w:p>
        </w:tc>
      </w:tr>
      <w:tr>
        <w:tc>
          <w:tcPr/>
          <w:p>
            <w:pPr>
              <w:pStyle w:val="Compact"/>
              <w:spacing w:after="40" w:before="40"/>
              <w:jc w:val="left"/>
            </w:pPr>
            <w:r>
              <w:rPr>
                <w:rFonts w:ascii="Cambria" w:hAnsi="Cambria" w:cs="Cambria" w:eastAsia="Cambria"/>
                <w:b/>
                <w:bCs/>
                <w:color w:val="1A1A1A"/>
                <w:sz w:val="18"/>
              </w:rPr>
              <w:t xml:space="preserve">Punteggi di follow-up</w:t>
            </w:r>
          </w:p>
        </w:tc>
        <w:tc>
          <w:tcPr/>
          <w:p>
            <w:pPr>
              <w:pStyle w:val="Compact"/>
              <w:spacing w:after="40" w:before="40"/>
              <w:jc w:val="left"/>
            </w:pPr>
            <w:r>
              <w:rPr>
                <w:rFonts w:ascii="Cambria" w:hAnsi="Cambria" w:cs="Cambria" w:eastAsia="Cambria"/>
                <w:color w:val="1A1A1A"/>
                <w:sz w:val="18"/>
              </w:rPr>
              <w:t xml:space="preserve">Mantenimento dell’esito a 6–12 mesi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Identificativo, ASL, età, sesso</w:t>
            </w:r>
          </w:p>
        </w:tc>
        <w:tc>
          <w:tcPr>
            <w:shd w:val="clear" w:color="auto" w:fill="F4F1EC"/>
          </w:tcPr>
          <w:p>
            <w:pPr>
              <w:pStyle w:val="Compact"/>
              <w:spacing w:after="40" w:before="40"/>
              <w:jc w:val="left"/>
            </w:pPr>
            <w:r>
              <w:rPr>
                <w:rFonts w:ascii="Cambria" w:hAnsi="Cambria" w:cs="Cambria" w:eastAsia="Cambria"/>
                <w:color w:val="1A1A1A"/>
                <w:sz w:val="18"/>
              </w:rPr>
              <w:t xml:space="preserve">Copertura; equità tra ASL; denominatori per i tassi</w:t>
            </w:r>
          </w:p>
        </w:tc>
      </w:tr>
      <w:tr>
        <w:tc>
          <w:tcPr/>
          <w:p>
            <w:pPr>
              <w:pStyle w:val="Compact"/>
              <w:spacing w:after="40" w:before="40"/>
              <w:jc w:val="left"/>
            </w:pPr>
            <w:r>
              <w:rPr>
                <w:rFonts w:ascii="Cambria" w:hAnsi="Cambria" w:cs="Cambria" w:eastAsia="Cambria"/>
                <w:b/>
                <w:bCs/>
                <w:color w:val="1A1A1A"/>
                <w:sz w:val="18"/>
              </w:rPr>
              <w:t xml:space="preserve">Scala di esperienza (PREM)</w:t>
            </w:r>
          </w:p>
        </w:tc>
        <w:tc>
          <w:tcPr/>
          <w:p>
            <w:pPr>
              <w:pStyle w:val="Compact"/>
              <w:spacing w:after="40" w:before="40"/>
              <w:jc w:val="left"/>
            </w:pPr>
            <w:r>
              <w:rPr>
                <w:rFonts w:ascii="Cambria" w:hAnsi="Cambria" w:cs="Cambria" w:eastAsia="Cambria"/>
                <w:color w:val="1A1A1A"/>
                <w:sz w:val="18"/>
              </w:rPr>
              <w:t xml:space="preserve">Esperienza dell’utente</w:t>
            </w:r>
          </w:p>
        </w:tc>
      </w:tr>
    </w:tbl>
    <w:p>
      <w:pPr>
        <w:pStyle w:val="BodyText"/>
      </w:pPr>
      <w:r>
        <w:rPr>
          <w:i/>
          <w:iCs/>
        </w:rPr>
        <w:t xml:space="preserve">Tabella 3. Dal dato all</w:t>
      </w:r>
      <w:r>
        <w:rPr>
          <w:b/>
          <w:bCs/>
          <w:i/>
          <w:iCs/>
        </w:rPr>
        <w:t xml:space="preserve">‘</w:t>
      </w:r>
      <w:r>
        <w:rPr>
          <w:b/>
          <w:b/>
          <w:bCs/>
          <w:bCs/>
          <w:i/>
          <w:iCs/>
        </w:rPr>
        <w:t xml:space="preserve">indicatore. Pochi campi alimentano l</w:t>
      </w:r>
      <w:r>
        <w:rPr>
          <w:b/>
          <w:bCs/>
          <w:i/>
          <w:iCs/>
        </w:rPr>
        <w:t xml:space="preserve">’</w:t>
      </w:r>
      <w:r>
        <w:rPr>
          <w:i/>
          <w:iCs/>
        </w:rPr>
        <w:t xml:space="preserve">intero impianto degli indicatori di processo e di esito.</w:t>
      </w:r>
    </w:p>
    <w:bookmarkEnd w:id="1177"/>
    <w:bookmarkStart w:id="1179" w:name="X547ffd2349b32f98729b623e15a3506a18b93e8"/>
    <w:p>
      <w:pPr>
        <w:pStyle w:val="Heading2"/>
      </w:pPr>
      <w:r>
        <w:t xml:space="preserve">5. Modalità, strumenti pratici e protezione dei dati</w:t>
      </w:r>
    </w:p>
    <w:p>
      <w:pPr>
        <w:pStyle w:val="FirstParagraph"/>
      </w:pPr>
      <w:r>
        <w:t xml:space="preserve">La rilevazione è a carico del professionista, che registra i dati in un sistema informativo dedicato; nella fase iniziale è sufficiente un registro elettronico strutturato, da evolvere verso l’integrazione con il Fascicolo Sanitario Elettronico secondo gli standard di interoperabilità. La somministrazione dei questionari può avvenire anche in forma digitale, riducendo l’onere di trascrizione.</w:t>
      </w:r>
      <w:r>
        <w:rPr>
          <w:rStyle w:val="FootnoteReference"/>
        </w:rPr>
        <w:footnoteReference w:id="495"/>
      </w:r>
      <w:r>
        <w:t xml:space="preserve"> </w:t>
      </w:r>
      <w:r>
        <w:t xml:space="preserve">Quanto alla protezione dei dati, i dati individuali restano nel servizio per la sola finalità clinica, trattati nel rispetto della normativa vigente con minimizzazione e sicurezza; all’Osservatorio regionale sono trasmessi esclusivamente indicatori aggregati e anonimi, con la periodicità definita.</w:t>
      </w:r>
    </w:p>
    <w:p>
      <w:pPr>
        <w:pStyle w:val="BodyText"/>
      </w:pPr>
      <w:r>
        <w:t xml:space="preserve">L’onere complessivo è contenuto: la registrazione dei pochi campi del dataset e la somministrazione di due brevi questionari a ogni seduta richiedono pochi minuti, in gran parte assorbibili nel normale flusso di lavoro. È un investimento minimo a fronte del valore che produce: senza di esso, nessuna delle misure di esito e di sintesi sarebbe calcolabile.</w:t>
      </w:r>
    </w:p>
    <w:bookmarkEnd w:id="1179"/>
    <w:bookmarkStart w:id="1182" w:name="X7e35c87c49dfec557235d83b4c0b1e2a8a6bc85"/>
    <w:p>
      <w:pPr>
        <w:pStyle w:val="Heading2"/>
      </w:pPr>
      <w:r>
        <w:t xml:space="preserve">6. La costituzione della baseline e il calendario</w:t>
      </w:r>
    </w:p>
    <w:p>
      <w:pPr>
        <w:pStyle w:val="FirstParagraph"/>
      </w:pPr>
      <w:r>
        <w:t xml:space="preserve">La base di partenza si costituisce su due binari. Il primo è immediato e non richiede attendere l’avvio: gli indicatori già disponibili dalle statistiche correnti — demografici, epidemiologici, di benessere, di mortalità — forniscono la fotografia del «prima» e vanno registrati subito. Il secondo è la rilevazione di servizio, che parte con il primo assistito.</w:t>
      </w:r>
      <w:r>
        <w:rPr>
          <w:rStyle w:val="FootnoteReference"/>
        </w:rPr>
        <w:footnoteReference w:id="496"/>
      </w:r>
      <w:r>
        <w:t xml:space="preserve"> </w:t>
      </w:r>
      <w:r>
        <w:t xml:space="preserve">Il principio è stringente: ogni mese di ritardo nell’avvio della rilevazione è un mese di dati di base perduti, non recuperabili a posteriori. La tabella seguente sintetizza il calendario.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Momento</w:t>
            </w:r>
          </w:p>
        </w:tc>
        <w:tc>
          <w:tcPr>
            <w:shd w:val="clear" w:color="auto" w:fill="16264B"/>
          </w:tcPr>
          <w:p>
            <w:pPr>
              <w:pStyle w:val="Compact"/>
              <w:spacing w:after="40" w:before="40"/>
              <w:jc w:val="left"/>
            </w:pPr>
            <w:r>
              <w:rPr>
                <w:rFonts w:ascii="Cambria" w:hAnsi="Cambria" w:cs="Cambria" w:eastAsia="Cambria"/>
                <w:b/>
                <w:bCs/>
                <w:color w:val="FFFFFF"/>
                <w:sz w:val="18"/>
              </w:rPr>
              <w:t xml:space="preserve">Attività</w:t>
            </w:r>
          </w:p>
        </w:tc>
      </w:tr>
      <w:tr>
        <w:tc>
          <w:tcPr/>
          <w:p>
            <w:pPr>
              <w:pStyle w:val="Compact"/>
              <w:spacing w:after="40" w:before="40"/>
              <w:jc w:val="left"/>
            </w:pPr>
            <w:r>
              <w:rPr>
                <w:rFonts w:ascii="Cambria" w:hAnsi="Cambria" w:cs="Cambria" w:eastAsia="Cambria"/>
                <w:b/>
                <w:bCs/>
                <w:color w:val="1A1A1A"/>
                <w:sz w:val="18"/>
              </w:rPr>
              <w:t xml:space="preserve">Prima dell’avvio (per area)</w:t>
            </w:r>
          </w:p>
        </w:tc>
        <w:tc>
          <w:tcPr/>
          <w:p>
            <w:pPr>
              <w:pStyle w:val="Compact"/>
              <w:spacing w:after="40" w:before="40"/>
              <w:jc w:val="left"/>
            </w:pPr>
            <w:r>
              <w:rPr>
                <w:rFonts w:ascii="Cambria" w:hAnsi="Cambria" w:cs="Cambria" w:eastAsia="Cambria"/>
                <w:color w:val="1A1A1A"/>
                <w:sz w:val="18"/>
              </w:rPr>
              <w:t xml:space="preserve">Costituzione della baseline con i dati disponibili (ISTAT, salute mentale, farmaceutica); predisposizione del registro e dei questionari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All’avvio</w:t>
            </w:r>
          </w:p>
        </w:tc>
        <w:tc>
          <w:tcPr>
            <w:shd w:val="clear" w:color="auto" w:fill="F4F1EC"/>
          </w:tcPr>
          <w:p>
            <w:pPr>
              <w:pStyle w:val="Compact"/>
              <w:spacing w:after="40" w:before="40"/>
              <w:jc w:val="left"/>
            </w:pPr>
            <w:r>
              <w:rPr>
                <w:rFonts w:ascii="Cambria" w:hAnsi="Cambria" w:cs="Cambria" w:eastAsia="Cambria"/>
                <w:color w:val="1A1A1A"/>
                <w:sz w:val="18"/>
              </w:rPr>
              <w:t xml:space="preserve">Inizio della registrazione di ogni presa in carico e di ogni seduta, con i punteggi di esito</w:t>
            </w:r>
          </w:p>
        </w:tc>
      </w:tr>
      <w:tr>
        <w:tc>
          <w:tcPr/>
          <w:p>
            <w:pPr>
              <w:pStyle w:val="Compact"/>
              <w:spacing w:after="40" w:before="40"/>
              <w:jc w:val="left"/>
            </w:pPr>
            <w:r>
              <w:rPr>
                <w:rFonts w:ascii="Cambria" w:hAnsi="Cambria" w:cs="Cambria" w:eastAsia="Cambria"/>
                <w:b/>
                <w:bCs/>
                <w:color w:val="1A1A1A"/>
                <w:sz w:val="18"/>
              </w:rPr>
              <w:t xml:space="preserve">In continuo</w:t>
            </w:r>
          </w:p>
        </w:tc>
        <w:tc>
          <w:tcPr/>
          <w:p>
            <w:pPr>
              <w:pStyle w:val="Compact"/>
              <w:spacing w:after="40" w:before="40"/>
              <w:jc w:val="left"/>
            </w:pPr>
            <w:r>
              <w:rPr>
                <w:rFonts w:ascii="Cambria" w:hAnsi="Cambria" w:cs="Cambria" w:eastAsia="Cambria"/>
                <w:color w:val="1A1A1A"/>
                <w:sz w:val="18"/>
              </w:rPr>
              <w:t xml:space="preserve">Alimentazione del registro; trasmissione di indicatori aggregati all’Osservatorio con cadenza mensile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Periodico (semestrale e annuale)</w:t>
            </w:r>
          </w:p>
        </w:tc>
        <w:tc>
          <w:tcPr>
            <w:shd w:val="clear" w:color="auto" w:fill="F4F1EC"/>
          </w:tcPr>
          <w:p>
            <w:pPr>
              <w:pStyle w:val="Compact"/>
              <w:spacing w:after="40" w:before="40"/>
              <w:jc w:val="left"/>
            </w:pPr>
            <w:r>
              <w:rPr>
                <w:rFonts w:ascii="Cambria" w:hAnsi="Cambria" w:cs="Cambria" w:eastAsia="Cambria"/>
                <w:color w:val="1A1A1A"/>
                <w:sz w:val="18"/>
              </w:rPr>
              <w:t xml:space="preserve">Calcolo delle misure di sintesi e aggiornamento del cruscotto regionale</w:t>
            </w:r>
          </w:p>
        </w:tc>
      </w:tr>
    </w:tbl>
    <w:p>
      <w:pPr>
        <w:pStyle w:val="BodyText"/>
      </w:pPr>
      <w:r>
        <w:rPr>
          <w:i/>
          <w:iCs/>
        </w:rPr>
        <w:t xml:space="preserve">Tabella 4. Il calendario della rilevazione. La baseline da statistiche correnti precede l</w:t>
      </w:r>
      <w:r>
        <w:rPr>
          <w:b/>
          <w:bCs/>
          <w:i/>
          <w:iCs/>
        </w:rPr>
        <w:t xml:space="preserve">’</w:t>
      </w:r>
      <w:r>
        <w:rPr>
          <w:i/>
          <w:iCs/>
        </w:rPr>
        <w:t xml:space="preserve">avvio; la rilevazione di servizio parte con il primo assistito.</w:t>
      </w:r>
    </w:p>
    <w:p>
      <w:pPr>
        <w:pStyle w:val="BodyText"/>
      </w:pPr>
      <w:r>
        <w:t xml:space="preserve">Con questo protocollo la lacuna di attivazione della misurazione è colmata sul piano operativo: il servizio dispone di un dataset definito, di strumenti validati e di un calendario. La rilevazione così avviata alimenta gli indicatori, gli indicatori alimentano le misure di sintesi, e le misure di sintesi confluiscono nel cruscotto dell’Osservatorio.</w:t>
      </w:r>
      <w:r>
        <w:rPr>
          <w:rStyle w:val="FootnoteReference"/>
        </w:rPr>
        <w:footnoteReference w:id="497"/>
      </w:r>
      <w:r>
        <w:t xml:space="preserve"> </w:t>
      </w:r>
      <w:r>
        <w:t xml:space="preserve">È il passaggio che trasforma la misurazione da progetto a pratica, e che rende possibile, nel tempo, la verifica empirica della riforma.</w:t>
      </w:r>
    </w:p>
    <w:p>
      <w:r>
        <w:br w:type="page"/>
      </w:r>
    </w:p>
    <w:bookmarkEnd w:id="1182"/>
    <w:bookmarkEnd w:id="1183"/>
    <w:bookmarkStart w:id="1246" w:name="X25fb3c0205fce46ad554abc2afa54602f0a1c54"/>
    <w:p>
      <w:pPr>
        <w:pStyle w:val="Heading1"/>
      </w:pPr>
      <w:r>
        <w:t xml:space="preserve">Appendice XII — Dispositivi terapeutici digitali su prescrizione</w:t>
      </w:r>
    </w:p>
    <w:p>
      <w:pPr>
        <w:pStyle w:val="FirstParagraph"/>
      </w:pPr>
      <w:r>
        <w:t xml:space="preserve">Regione Puglia — Psicologo di Base · Dispositivi terapeutici digitali su prescrizione</w:t>
      </w:r>
    </w:p>
    <w:p>
      <w:pPr>
        <w:pStyle w:val="BodyText"/>
      </w:pPr>
      <w:r>
        <w:rPr>
          <w:b/>
          <w:bCs/>
        </w:rPr>
        <w:t xml:space="preserve">REGIONE PUGLIA — SERVIZIO SANITARIO REGIONALE</w:t>
      </w:r>
    </w:p>
    <w:p>
      <w:pPr>
        <w:pStyle w:val="BodyText"/>
      </w:pPr>
      <w:r>
        <w:t xml:space="preserve">Progetto «Psicologo di Base» — Approfondimento monografico (espansione del par. 3.2)</w:t>
      </w:r>
    </w:p>
    <w:p>
      <w:pPr>
        <w:pStyle w:val="BodyText"/>
      </w:pPr>
      <w:r>
        <w:rPr>
          <w:b/>
          <w:bCs/>
        </w:rPr>
        <w:t xml:space="preserve">I dispositivi terapeutici digitali</w:t>
      </w:r>
    </w:p>
    <w:p>
      <w:pPr>
        <w:pStyle w:val="BodyText"/>
      </w:pPr>
      <w:r>
        <w:rPr>
          <w:b/>
          <w:bCs/>
        </w:rPr>
        <w:t xml:space="preserve">su prescrizione (DTx)</w:t>
      </w:r>
    </w:p>
    <w:p>
      <w:pPr>
        <w:pStyle w:val="BodyText"/>
      </w:pPr>
      <w:r>
        <w:rPr>
          <w:i/>
          <w:iCs/>
        </w:rPr>
        <w:t xml:space="preserve">Inquadramento, quadro regolatorio comparato, rassegna per indicazione, evidenza e applicazione al servizio di psicologia di base</w:t>
      </w:r>
    </w:p>
    <w:p>
      <w:pPr>
        <w:pStyle w:val="BodyText"/>
      </w:pPr>
      <w:r>
        <w:t xml:space="preserve">Stati Uniti (FDA) · Germania (DiGA) · Regno Unito (NICE) · Unione Europea e Italia</w:t>
      </w:r>
    </w:p>
    <w:p>
      <w:pPr>
        <w:pStyle w:val="BodyText"/>
      </w:pPr>
      <w:r>
        <w:rPr>
          <w:b/>
          <w:bCs/>
        </w:rPr>
        <w:t xml:space="preserve">Indice</w:t>
      </w:r>
    </w:p>
    <w:bookmarkStart w:id="1184" w:name="premessa-12"/>
    <w:p>
      <w:pPr>
        <w:pStyle w:val="Heading2"/>
      </w:pPr>
      <w:r>
        <w:t xml:space="preserve">Premessa</w:t>
      </w:r>
    </w:p>
    <w:p>
      <w:pPr>
        <w:pStyle w:val="FirstParagraph"/>
      </w:pPr>
      <w:r>
        <w:t xml:space="preserve">Il presente documento espande in forma monografica il paragrafo dedicato ai dispositivi terapeutici digitali su prescrizione già contenuto nell’approfondimento sul continuum assistenziale, in ragione del rilievo crescente che tale categoria assume per il servizio di psicologia di base. I dispositivi terapeutici digitali — indicati nella letteratura internazionale con l’acronimo DTx, da</w:t>
      </w:r>
      <w:r>
        <w:t xml:space="preserve"> </w:t>
      </w:r>
      <w:r>
        <w:rPr>
          <w:i/>
          <w:iCs/>
        </w:rPr>
        <w:t xml:space="preserve">digital therapeutics</w:t>
      </w:r>
      <w:r>
        <w:t xml:space="preserve"> </w:t>
      </w:r>
      <w:r>
        <w:t xml:space="preserve">— costituiscono la frontiera in cui il software cessa di essere strumento ausiliario e diviene esso stesso intervento terapeutico, prescritto dal clinico, validato da studi controllati e, in misura crescente, rimborsato dai sistemi sanitari. La loro pertinenza per il progetto pugliese è duplice: offrono al medico di base e allo psicologo strumenti a efficacia documentata per i disturbi mentali comuni, i più frequenti nelle cure primarie, e dispongono già di modelli di rimborso consolidati in altri Paesi europei, che indicano una via percorribile anche per il Servizio Sanitario Regionale.</w:t>
      </w:r>
    </w:p>
    <w:p>
      <w:pPr>
        <w:pStyle w:val="BodyText"/>
      </w:pPr>
      <w:r>
        <w:t xml:space="preserve">L’approfondimento è organizzato in nove sezioni. La prima inquadra concettualmente i dispositivi terapeutici digitali e li distingue dalle applicazioni di benessere. La seconda ricostruisce il quadro regolatorio comparato, con particolare attenzione al modello tedesco, il più maturo in Europa e dunque il più rilevante per l’Italia. La terza propone una rassegna per indicazione clinica. La quarta raccoglie la tabella comparativa completa. La quinta valuta criticamente la forza dell’evidenza. La sesta esamina i modelli di rimborso e la sostenibilità. La settima applica la categoria al modello pugliese dello Psicologo di Base. L’ottava espone le cautele. La nona raccoglie le conclusioni. L’analisi mantiene un approccio prudenziale e segnala in ogni passaggio i limiti dell’evidenza, che in questo ambito è disomogenea e in rapida evoluzione.</w:t>
      </w:r>
    </w:p>
    <w:bookmarkEnd w:id="1184"/>
    <w:bookmarkStart w:id="1187" w:name="X72493d02cacccea0fb0e582699ad499c460369b"/>
    <w:p>
      <w:pPr>
        <w:pStyle w:val="Heading2"/>
      </w:pPr>
      <w:r>
        <w:t xml:space="preserve">1. Inquadramento concettuale: che cosa sono i dispositivi terapeutici digitali</w:t>
      </w:r>
    </w:p>
    <w:p>
      <w:pPr>
        <w:pStyle w:val="FirstParagraph"/>
      </w:pPr>
      <w:r>
        <w:t xml:space="preserve">Un dispositivo terapeutico digitale è un software, erogato tramite applicazione per dispositivo mobile o piattaforma web, che fornisce un intervento terapeutico fondato su evidenza per prevenire, gestire o trattare un disturbo o una malattia, e che a tal fine è sottoposto a validazione clinica e, nella maggior parte degli ordinamenti, ad autorizzazione regolatoria in qualità di dispositivo medico. La differenza rispetto alle innumerevoli applicazioni di benessere disponibili senza prescrizione — diari dell’umore, applicazioni di meditazione, contatori di passi — è sostanziale e non terminologica: queste ultime offrono informazioni e supporto generico e non sono soggette alla medesima valutazione clinica, mentre i dispositivi terapeutici digitali sono validati per una specifica indicazione, prescritti dal clinico e, in molti casi, rimborsati. La distinzione è dirimente per la programmazione regionale, poiché soltanto la seconda categoria offre garanzie di efficacia e di sicurezza idonee all’impiego nel servizio pubblico.</w:t>
      </w:r>
    </w:p>
    <w:p>
      <w:pPr>
        <w:pStyle w:val="BodyText"/>
      </w:pPr>
      <w:r>
        <w:t xml:space="preserve">Tre caratteristiche definiscono questa categoria. La prima è il meccanismo d’azione: la maggior parte dei dispositivi terapeutici digitali in salute mentale eroga in forma strutturata interventi psicologici di efficacia consolidata, in primo luogo la terapia cognitivo-comportamentale, traducendone i protocolli in moduli interattivi, esercizi e percorsi personalizzati. La seconda è il regime di prescrizione e supervisione: lungi dal sostituire il professionista, tali dispositivi sono concepiti per operare entro un percorso di cura, come adiuvante o come primo livello sotto supervisione clinica, e le diagnosi di esclusione — tipicamente i disturbi psicotici, bipolari, da uso di sostanze e la presenza di rischio suicidario — ne confinano l’impiego ai quadri lievi e moderati, previo inquadramento clinico.</w:t>
      </w:r>
      <w:r>
        <w:rPr>
          <w:rStyle w:val="FootnoteReference"/>
        </w:rPr>
        <w:footnoteReference w:id="498"/>
      </w:r>
      <w:r>
        <w:t xml:space="preserve"> </w:t>
      </w:r>
      <w:r>
        <w:t xml:space="preserve">La terza è la base di evidenza: a differenza delle applicazioni di benessere, i dispositivi terapeutici digitali sono sottoposti a studi controllati randomizzati, ancorché, come si vedrà, di robustezza variabile.</w:t>
      </w:r>
    </w:p>
    <w:p>
      <w:pPr>
        <w:pStyle w:val="BodyText"/>
      </w:pPr>
      <w:r>
        <w:t xml:space="preserve">Una precisazione tecnica rileva ai fini del quadro regolatorio europeo. Una parte dei dispositivi terapeutici digitali eroga contenuti fissi secondo regole predefinite e non incorpora intelligenza artificiale in senso proprio; altri impiegano algoritmi adattivi che personalizzano il percorso in funzione delle risposte dell’utente, e in tale misura ricadono nel perimetro dei sistemi di IA. Questa distinzione determina il regime applicabile: i dispositivi che incorporano IA adattiva sono soggetti, oltre che alla disciplina dei dispositivi medici, agli obblighi del Regolamento europeo sull’IA, che classifica come ad alto rischio i sistemi di IA incorporati nei dispositivi medici.</w:t>
      </w:r>
      <w:r>
        <w:rPr>
          <w:rStyle w:val="FootnoteReference"/>
        </w:rPr>
        <w:footnoteReference w:id="499"/>
      </w:r>
      <w:r>
        <w:t xml:space="preserve"> </w:t>
      </w:r>
      <w:r>
        <w:t xml:space="preserve">La programmazione regionale dovrà pertanto verificare, per ciascun dispositivo, sia la conformità alla disciplina dei dispositivi medici sia, ove pertinente, quella al Regolamento sull’IA.</w:t>
      </w:r>
    </w:p>
    <w:bookmarkEnd w:id="1187"/>
    <w:bookmarkStart w:id="1202" w:name="il-quadro-regolatorio-comparato"/>
    <w:p>
      <w:pPr>
        <w:pStyle w:val="Heading2"/>
      </w:pPr>
      <w:r>
        <w:t xml:space="preserve">2. Il quadro regolatorio comparato</w:t>
      </w:r>
    </w:p>
    <w:p>
      <w:pPr>
        <w:pStyle w:val="FirstParagraph"/>
      </w:pPr>
      <w:r>
        <w:t xml:space="preserve">La maturità dei dispositivi terapeutici digitali varia sensibilmente tra ordinamenti, e la comprensione dei diversi modelli regolatori e di rimborso è indispensabile per orientare le scelte della Regione. Si esaminano qui i quattro contesti più significativi: gli Stati Uniti, che hanno aperto la strada all’autorizzazione; la Germania, che ha costruito il primo sistema strutturato di rimborso in Europa; il Regno Unito, che ha integrato alcuni dispositivi nelle proprie raccomandazioni di efficacia clinica; e l’Unione Europea con l’Italia, dove il quadro è in costruzione.</w:t>
      </w:r>
    </w:p>
    <w:bookmarkStart w:id="1193" w:name="stati-uniti-lautorizzazione-regolatoria"/>
    <w:p>
      <w:pPr>
        <w:pStyle w:val="Heading3"/>
      </w:pPr>
      <w:r>
        <w:t xml:space="preserve">2.1 Stati Uniti: l’autorizzazione regolatoria</w:t>
      </w:r>
    </w:p>
    <w:p>
      <w:pPr>
        <w:pStyle w:val="FirstParagraph"/>
      </w:pPr>
      <w:r>
        <w:t xml:space="preserve">Gli Stati Uniti hanno aperto la categoria nel 2017 con l’autorizzazione del primo dispositivo terapeutico digitale su prescrizione, destinato ai disturbi da uso di sostanze, seguita nel 2018 dalla versione per il disturbo da uso di oppioidi.</w:t>
      </w:r>
      <w:r>
        <w:rPr>
          <w:rStyle w:val="FootnoteReference"/>
        </w:rPr>
        <w:footnoteReference w:id="500"/>
      </w:r>
      <w:r>
        <w:t xml:space="preserve"> </w:t>
      </w:r>
      <w:r>
        <w:t xml:space="preserve">L’autorizzazione avviene attraverso due percorsi dell’agenzia federale: il percorso De Novo, per i dispositivi di tipo nuovo privi di un predicato, e il percorso 510(k), per quelli sostanzialmente equivalenti a un dispositivo già autorizzato. Negli anni successivi la categoria si è ampliata: il primo trattamento erogato attraverso un videogioco, per il disturbo da deficit di attenzione e iperattività in età pediatrica, è stato autorizzato nel 2020 per via De Novo;</w:t>
      </w:r>
      <w:r>
        <w:rPr>
          <w:rStyle w:val="FootnoteReference"/>
        </w:rPr>
        <w:footnoteReference w:id="501"/>
      </w:r>
      <w:r>
        <w:t xml:space="preserve"> </w:t>
      </w:r>
      <w:r>
        <w:t xml:space="preserve">nel 2024 è stato autorizzato il primo dispositivo per la depressione maggiore e il primo per la depressione post-partum.</w:t>
      </w:r>
      <w:r>
        <w:rPr>
          <w:rStyle w:val="FootnoteReference"/>
        </w:rPr>
        <w:footnoteReference w:id="502"/>
      </w:r>
      <w:r>
        <w:t xml:space="preserve"> </w:t>
      </w:r>
      <w:r>
        <w:rPr>
          <w:rStyle w:val="FootnoteReference"/>
        </w:rPr>
        <w:footnoteReference w:id="503"/>
      </w:r>
      <w:r>
        <w:t xml:space="preserve"> </w:t>
      </w:r>
      <w:r>
        <w:t xml:space="preserve">Il limite storico del modello statunitense è stato l’assenza di un meccanismo di rimborso dedicato, che ha condotto alcuni operatori all’insolvenza; tale limite è stato affrontato nel novembre 2024 con l’introduzione di tre codici di rimborso pubblici per i dispositivi terapeutici digitali, cui ha fatto seguito l’avvio della copertura da parte di assicuratori privati.</w:t>
      </w:r>
      <w:r>
        <w:rPr>
          <w:rStyle w:val="FootnoteReference"/>
        </w:rPr>
        <w:footnoteReference w:id="504"/>
      </w:r>
    </w:p>
    <w:bookmarkEnd w:id="1193"/>
    <w:bookmarkStart w:id="1197" w:name="Xbed0adff9b0556cee42f896ba86bd307d93e901"/>
    <w:p>
      <w:pPr>
        <w:pStyle w:val="Heading3"/>
      </w:pPr>
      <w:r>
        <w:t xml:space="preserve">2.2 Germania: il modello DiGA, il più maturo in Europa</w:t>
      </w:r>
    </w:p>
    <w:p>
      <w:pPr>
        <w:pStyle w:val="FirstParagraph"/>
      </w:pPr>
      <w:r>
        <w:t xml:space="preserve">La Germania ha costruito, con la Legge sull’assistenza sanitaria digitale del 2019, il primo sistema strutturato al mondo di rimborso su larga scala di applicazioni sanitarie prescrivibili, denominato percorso accelerato per le applicazioni sanitarie digitali.</w:t>
      </w:r>
      <w:r>
        <w:rPr>
          <w:rStyle w:val="FootnoteReference"/>
        </w:rPr>
        <w:footnoteReference w:id="505"/>
      </w:r>
      <w:r>
        <w:t xml:space="preserve"> </w:t>
      </w:r>
      <w:r>
        <w:t xml:space="preserve">Il modello è di particolare interesse per l’Italia perché opera all’interno del medesimo quadro europeo dei dispositivi medici e perché il percorso è aperto a tutte le imprese dell’Unione. Il suo funzionamento è lineare: l’Istituto federale per i farmaci e i dispositivi medici valuta l’applicazione e, se questa dimostra un effetto positivo sull’assistenza — ossia un miglioramento dello stato di salute o della gestione della malattia — la iscrive in un registro pubblico, in via temporanea per un anno in attesa di rivalutazione oppure in via permanente. Le applicazioni iscritte sono certificate come dispositivi medici a basso rischio e possono essere prescritte da medici e psicoterapeuti o erogate previa approvazione dell’assicurazione; oltre settantatré milioni di persone vi hanno accesso.</w:t>
      </w:r>
      <w:r>
        <w:rPr>
          <w:rStyle w:val="FootnoteReference"/>
        </w:rPr>
        <w:footnoteReference w:id="506"/>
      </w:r>
    </w:p>
    <w:p>
      <w:pPr>
        <w:pStyle w:val="BodyText"/>
      </w:pPr>
      <w:r>
        <w:t xml:space="preserve">La rilevanza del modello per la salute mentale è considerevole: alla fine del 2023 il registro comprendeva diciassette applicazioni in ambito psichiatrico e psicologico, tutte con effetto positivo documentato, distribuite tra depressione unipolare, disturbi d’ansia, insonnia non organica, dipendenza da alcol e da nicotina.</w:t>
      </w:r>
      <w:r>
        <w:rPr>
          <w:rStyle w:val="FootnoteReference"/>
        </w:rPr>
        <w:footnoteReference w:id="507"/>
      </w:r>
      <w:r>
        <w:t xml:space="preserve"> </w:t>
      </w:r>
      <w:r>
        <w:t xml:space="preserve">Il registro rende pubblicamente disponibili, per ciascuna applicazione, le indicazioni autorizzate, le prove di beneficio e le diagnosi di esclusione, costituendo uno strumento di trasparenza a beneficio dei prescrittori. La struttura del sistema offre alla Regione un modello operativo già collaudato, nel quale lo psicologo di base e il medico di medicina generale potrebbero, in prospettiva, prescrivere dispositivi validati attingendo a un elenco regionale costruito su criteri analoghi.</w:t>
      </w:r>
    </w:p>
    <w:bookmarkEnd w:id="1197"/>
    <w:bookmarkStart w:id="1199" w:name="X46440501092fad25b95935735dbe61356104c77"/>
    <w:p>
      <w:pPr>
        <w:pStyle w:val="Heading3"/>
      </w:pPr>
      <w:r>
        <w:t xml:space="preserve">2.3 Regno Unito: l’integrazione nelle raccomandazioni di efficacia</w:t>
      </w:r>
    </w:p>
    <w:p>
      <w:pPr>
        <w:pStyle w:val="FirstParagraph"/>
      </w:pPr>
      <w:r>
        <w:t xml:space="preserve">Il Regno Unito ha seguito una via distinta, fondata sulla valutazione di efficacia clinica e di costo da parte dell’istituto nazionale competente. La guida dedicata ha raccomandato l’impiego di un dispositivo per l’insonnia nelle cure primarie quale opzione alternativa all’assistenza usuale, precisando però che le persone non dovrebbero esservi indirizzate qualora siano eleggibili e abbiano accesso alla terapia cognitivo-comportamentale per l’insonnia erogata in presenza, e segnalando come limite la mancanza di un confronto diretto tra le due modalità.</w:t>
      </w:r>
      <w:r>
        <w:rPr>
          <w:rStyle w:val="FootnoteReference"/>
        </w:rPr>
        <w:footnoteReference w:id="508"/>
      </w:r>
      <w:r>
        <w:t xml:space="preserve"> </w:t>
      </w:r>
      <w:r>
        <w:t xml:space="preserve">Questa impostazione è istruttiva sotto un duplice profilo: da un lato conferma che un dispositivo terapeutico digitale può essere riconosciuto come opzione costo-efficace nelle cure primarie; dall’altro stabilisce un principio di sussidiarietà, per cui il dispositivo digitale integra e non sostituisce l’intervento professionale in presenza ove quest’ultimo sia disponibile e appropriato. È un principio che il modello pugliese, fondato sulla centralità della relazione clinica, dovrebbe fare proprio.</w:t>
      </w:r>
    </w:p>
    <w:bookmarkEnd w:id="1199"/>
    <w:bookmarkStart w:id="1201" w:name="Xd9a7e89fc3221a6d89cd0ec8c819a0055b9a2bb"/>
    <w:p>
      <w:pPr>
        <w:pStyle w:val="Heading3"/>
      </w:pPr>
      <w:r>
        <w:t xml:space="preserve">2.4 Unione Europea e Italia: un quadro in costruzione</w:t>
      </w:r>
    </w:p>
    <w:p>
      <w:pPr>
        <w:pStyle w:val="FirstParagraph"/>
      </w:pPr>
      <w:r>
        <w:t xml:space="preserve">Nell’Unione Europea, e segnatamente in Italia, il quadro è in costruzione. I dispositivi terapeutici digitali sono soggetti al Regolamento sui dispositivi medici e, ove incorporino intelligenza artificiale adattiva, al Regolamento europeo sull’IA, che ne classifica i sistemi come ad alto rischio con piena conformità richiesta entro l’agosto 2027.</w:t>
      </w:r>
      <w:r>
        <w:rPr>
          <w:rStyle w:val="FootnoteReference"/>
        </w:rPr>
        <w:footnoteReference w:id="509"/>
      </w:r>
      <w:r>
        <w:t xml:space="preserve"> </w:t>
      </w:r>
      <w:r>
        <w:t xml:space="preserve">Manca tuttavia, allo stato, un percorso nazionale di rimborso analogo a quello tedesco, sicché l’accesso a tali dispositivi nel Servizio Sanitario Nazionale resta frammentario. Questa lacuna costituisce al tempo stesso un limite e un’opportunità per la Puglia: in assenza di un quadro nazionale, la Regione può assumere un ruolo pilota, costruendo, in via sperimentale e nel rispetto della disciplina europea, un elenco regionale di dispositivi validati prescrivibili nell’ambito del servizio di psicologia di base, e definendo i criteri di selezione, prescrizione, supervisione e monitoraggio. Una simile iniziativa, oltre a estendere la capacità di presa in carico del servizio, posizionerebbe la Regione come riferimento nazionale per l’integrazione regolata dei dispositivi terapeutici digitali nelle cure primarie.</w:t>
      </w:r>
    </w:p>
    <w:bookmarkEnd w:id="1201"/>
    <w:bookmarkEnd w:id="1202"/>
    <w:bookmarkStart w:id="1225" w:name="rassegna-per-indicazione-clinica"/>
    <w:p>
      <w:pPr>
        <w:pStyle w:val="Heading2"/>
      </w:pPr>
      <w:r>
        <w:t xml:space="preserve">3. Rassegna per indicazione clinica</w:t>
      </w:r>
    </w:p>
    <w:p>
      <w:pPr>
        <w:pStyle w:val="FirstParagraph"/>
      </w:pPr>
      <w:r>
        <w:t xml:space="preserve">La presente sezione passa in rassegna i dispositivi terapeutici digitali per le indicazioni di maggiore rilevanza nelle cure primarie, dando conto per ciascuna del dispositivo o dei dispositivi disponibili, dello stato regolatorio e dell’evidenza a sostegno. La trattazione privilegia le indicazioni di pertinenza dello psicologo di base — depressione, ansia, insonnia, disturbi da uso di sostanze — e include alcune indicazioni ulteriori per completezza del quadro.</w:t>
      </w:r>
    </w:p>
    <w:bookmarkStart w:id="1207" w:name="depressione"/>
    <w:p>
      <w:pPr>
        <w:pStyle w:val="Heading3"/>
      </w:pPr>
      <w:r>
        <w:t xml:space="preserve">3.1 Depressione</w:t>
      </w:r>
    </w:p>
    <w:p>
      <w:pPr>
        <w:pStyle w:val="FirstParagraph"/>
      </w:pPr>
      <w:r>
        <w:t xml:space="preserve">La depressione è l’indicazione di maggiore rilievo per il servizio di psicologia di base e quella su cui converge l’evidenza più recente. Negli Stati Uniti il primo dispositivo per la depressione maggiore è stato autorizzato nell’aprile 2024 come adiuvante della cura ambulatoriale con antidepressivi negli adulti, sulla base di uno studio di fase 3 randomizzato in doppio cieco su 386 pazienti; il programma, della durata di sei settimane, integra lezioni di terapia cognitivo-comportamentale ed esercizi mirati al controllo cognitivo delle emozioni.</w:t>
      </w:r>
      <w:r>
        <w:rPr>
          <w:rStyle w:val="FootnoteReference"/>
        </w:rPr>
        <w:footnoteReference w:id="510"/>
      </w:r>
      <w:r>
        <w:t xml:space="preserve"> </w:t>
      </w:r>
      <w:r>
        <w:t xml:space="preserve">In Germania, il registro DiGA comprende per la depressione unipolare cinque applicazioni — tra cui la più longeva, ammessa per sei indicazioni distinte — tutte con effetto positivo documentato, prevalentemente fondate sulla terapia cognitivo-comportamentale erogata per via digitale.</w:t>
      </w:r>
      <w:r>
        <w:rPr>
          <w:rStyle w:val="FootnoteReference"/>
        </w:rPr>
        <w:footnoteReference w:id="511"/>
      </w:r>
      <w:r>
        <w:t xml:space="preserve"> </w:t>
      </w:r>
      <w:r>
        <w:rPr>
          <w:rStyle w:val="FootnoteReference"/>
        </w:rPr>
        <w:footnoteReference w:id="512"/>
      </w:r>
      <w:r>
        <w:t xml:space="preserve"> </w:t>
      </w:r>
      <w:r>
        <w:t xml:space="preserve">Per gli adolescenti esiste inoltre un dispositivo dedicato ai sintomi depressivi.</w:t>
      </w:r>
      <w:r>
        <w:rPr>
          <w:rStyle w:val="FootnoteReference"/>
        </w:rPr>
        <w:footnoteReference w:id="513"/>
      </w:r>
      <w:r>
        <w:t xml:space="preserve"> </w:t>
      </w:r>
      <w:r>
        <w:t xml:space="preserve">Il quadro complessivo indica che, per la depressione lieve e moderata, il professionista dispone di strumenti validati impiegabili come adiuvante o come primo livello sotto supervisione, particolarmente utili nei tempi di attesa e nei contesti a bassa densità di servizi.</w:t>
      </w:r>
    </w:p>
    <w:bookmarkEnd w:id="1207"/>
    <w:bookmarkStart w:id="1210" w:name="disturbi-dansia"/>
    <w:p>
      <w:pPr>
        <w:pStyle w:val="Heading3"/>
      </w:pPr>
      <w:r>
        <w:t xml:space="preserve">3.2 Disturbi d’ansia</w:t>
      </w:r>
    </w:p>
    <w:p>
      <w:pPr>
        <w:pStyle w:val="FirstParagraph"/>
      </w:pPr>
      <w:r>
        <w:t xml:space="preserve">I disturbi d’ansia costituiscono, accanto alla depressione, il nucleo dei disturbi mentali comuni intercettati nelle cure primarie. Il modello tedesco è in questo ambito il più articolato: il registro comprende cinque applicazioni per i disturbi d’ansia, che coprono l’agorafobia con e senza disturbo di panico, il disturbo di panico isolato, la fobia sociale e il disturbo d’ansia generalizzato, una delle quali ammessa per quattro indicazioni distinte; quattro di esse documentano anche un miglioramento della qualità della vita.</w:t>
      </w:r>
      <w:r>
        <w:rPr>
          <w:rStyle w:val="FootnoteReference"/>
        </w:rPr>
        <w:footnoteReference w:id="514"/>
      </w:r>
      <w:r>
        <w:t xml:space="preserve"> </w:t>
      </w:r>
      <w:r>
        <w:t xml:space="preserve">L’evidenza, come per le altre indicazioni del registro, si fonda in prevalenza su un singolo studio randomizzato con dimensione dell’effetto da bassa a media.</w:t>
      </w:r>
      <w:r>
        <w:rPr>
          <w:rStyle w:val="FootnoteReference"/>
        </w:rPr>
        <w:footnoteReference w:id="515"/>
      </w:r>
      <w:r>
        <w:t xml:space="preserve"> </w:t>
      </w:r>
      <w:r>
        <w:t xml:space="preserve">Per il servizio pugliese, la disponibilità di dispositivi distinti per i diversi quadri ansiosi consentirebbe una prescrizione mirata, integrata nel percorso definito dallo psicologo di base.</w:t>
      </w:r>
    </w:p>
    <w:bookmarkEnd w:id="1210"/>
    <w:bookmarkStart w:id="1215" w:name="insonnia"/>
    <w:p>
      <w:pPr>
        <w:pStyle w:val="Heading3"/>
      </w:pPr>
      <w:r>
        <w:t xml:space="preserve">3.3 Insonnia</w:t>
      </w:r>
    </w:p>
    <w:p>
      <w:pPr>
        <w:pStyle w:val="FirstParagraph"/>
      </w:pPr>
      <w:r>
        <w:t xml:space="preserve">L’insonnia è un’indicazione di particolare interesse perché strettamente associata alla depressione e all’ansia e perché la terapia cognitivo-comportamentale per l’insonnia è riconosciuta come trattamento di prima linea, pur essendo scarsamente accessibile in presenza. È anche l’indicazione che dispone della maggiore convergenza internazionale. Negli Stati Uniti due dispositivi distinti erogano tale terapia: il primo, autorizzato nel 2020, ha mostrato in due studi randomizzati su oltre 1.400 adulti una riduzione della gravità dell’insonnia di circa il 45%, mantenuta a sei e dodici mesi, con un secondo studio condotto su 1.149 pazienti con insonnia e depressione;</w:t>
      </w:r>
      <w:r>
        <w:rPr>
          <w:rStyle w:val="FootnoteReference"/>
        </w:rPr>
        <w:footnoteReference w:id="516"/>
      </w:r>
      <w:r>
        <w:t xml:space="preserve"> </w:t>
      </w:r>
      <w:r>
        <w:t xml:space="preserve">il secondo, autorizzato nell’agosto 2024, è sostenuto da oltre venticinque studi clinici.</w:t>
      </w:r>
      <w:r>
        <w:rPr>
          <w:rStyle w:val="FootnoteReference"/>
        </w:rPr>
        <w:footnoteReference w:id="517"/>
      </w:r>
      <w:r>
        <w:t xml:space="preserve"> </w:t>
      </w:r>
      <w:r>
        <w:t xml:space="preserve">Nel Regno Unito quest’ultimo è stato raccomandato dall’istituto nazionale come opzione costo-efficace nelle cure primarie, con la riserva di sussidiarietà già richiamata.</w:t>
      </w:r>
      <w:r>
        <w:rPr>
          <w:rStyle w:val="FootnoteReference"/>
        </w:rPr>
        <w:footnoteReference w:id="518"/>
      </w:r>
      <w:r>
        <w:t xml:space="preserve"> </w:t>
      </w:r>
      <w:r>
        <w:t xml:space="preserve">In Germania il registro comprende due dispositivi per l’insonnia non organica.</w:t>
      </w:r>
      <w:r>
        <w:rPr>
          <w:rStyle w:val="FootnoteReference"/>
        </w:rPr>
        <w:footnoteReference w:id="519"/>
      </w:r>
      <w:r>
        <w:t xml:space="preserve"> </w:t>
      </w:r>
      <w:r>
        <w:t xml:space="preserve">La triplice convergenza — autorizzazione, raccomandazione di costo-efficacia e rimborso — fa dell’insonnia l’indicazione più matura e un candidato naturale per un’eventuale sperimentazione pugliese.</w:t>
      </w:r>
    </w:p>
    <w:bookmarkEnd w:id="1215"/>
    <w:bookmarkStart w:id="1218" w:name="disturbi-da-uso-di-sostanze"/>
    <w:p>
      <w:pPr>
        <w:pStyle w:val="Heading3"/>
      </w:pPr>
      <w:r>
        <w:t xml:space="preserve">3.4 Disturbi da uso di sostanze</w:t>
      </w:r>
    </w:p>
    <w:p>
      <w:pPr>
        <w:pStyle w:val="FirstParagraph"/>
      </w:pPr>
      <w:r>
        <w:t xml:space="preserve">I disturbi da uso di sostanze rappresentano l’indicazione storica della categoria, essendo il primo dispositivo terapeutico digitale in assoluto stato autorizzato nel 2017 per questa finalità, seguito nel 2018 dalla versione per il disturbo da uso di oppioidi in associazione alla terapia farmacologica.</w:t>
      </w:r>
      <w:r>
        <w:rPr>
          <w:rStyle w:val="FootnoteReference"/>
        </w:rPr>
        <w:footnoteReference w:id="520"/>
      </w:r>
      <w:r>
        <w:t xml:space="preserve"> </w:t>
      </w:r>
      <w:r>
        <w:t xml:space="preserve">In Germania il registro comprende un’applicazione per la dipendenza da alcol, incluso l’uso dannoso, e una per la dipendenza da nicotina.</w:t>
      </w:r>
      <w:r>
        <w:rPr>
          <w:rStyle w:val="FootnoteReference"/>
        </w:rPr>
        <w:footnoteReference w:id="521"/>
      </w:r>
      <w:r>
        <w:t xml:space="preserve"> </w:t>
      </w:r>
      <w:r>
        <w:t xml:space="preserve">Si tratta di un ambito in cui la collaborazione tra medicina generale, servizi per le dipendenze e psicologia di base è particolarmente rilevante, e in cui il dispositivo digitale può estendere la continuità dell’intervento tra un contatto clinico e l’altro.</w:t>
      </w:r>
    </w:p>
    <w:bookmarkEnd w:id="1218"/>
    <w:bookmarkStart w:id="1220" w:name="depressione-post-partum"/>
    <w:p>
      <w:pPr>
        <w:pStyle w:val="Heading3"/>
      </w:pPr>
      <w:r>
        <w:t xml:space="preserve">3.5 Depressione post-partum</w:t>
      </w:r>
    </w:p>
    <w:p>
      <w:pPr>
        <w:pStyle w:val="FirstParagraph"/>
      </w:pPr>
      <w:r>
        <w:t xml:space="preserve">La depressione post-partum, condizione frequente e spesso non intercettata, dispone dal 2024 di un dispositivo dedicato autorizzato negli Stati Uniti, primo del suo genere.</w:t>
      </w:r>
      <w:r>
        <w:rPr>
          <w:rStyle w:val="FootnoteReference"/>
        </w:rPr>
        <w:footnoteReference w:id="522"/>
      </w:r>
      <w:r>
        <w:t xml:space="preserve"> </w:t>
      </w:r>
      <w:r>
        <w:t xml:space="preserve">L’indicazione è di rilievo per le cure primarie pugliesi in ragione del ruolo del pediatra di libera scelta e del medico di medicina generale nel periodo perinatale, e della possibilità di integrare lo screening e l’intervento psicologico precoce con uno strumento validato, riducendo il rischio di cronicizzazione e le conseguenze sullo sviluppo del bambino.</w:t>
      </w:r>
    </w:p>
    <w:bookmarkEnd w:id="1220"/>
    <w:bookmarkStart w:id="1222" w:name="disturbo-post-traumatico-da-stress"/>
    <w:p>
      <w:pPr>
        <w:pStyle w:val="Heading3"/>
      </w:pPr>
      <w:r>
        <w:t xml:space="preserve">3.6 Disturbo post-traumatico da stress</w:t>
      </w:r>
    </w:p>
    <w:p>
      <w:pPr>
        <w:pStyle w:val="FirstParagraph"/>
      </w:pPr>
      <w:r>
        <w:t xml:space="preserve">Per il disturbo post-traumatico da stress esiste un dispositivo autorizzato nel 2020 che opera su orologio intelligente e impiega algoritmi su frequenza cardiaca e movimento per rilevare gli incubi durante il sonno, interrompendoli mediante vibrazioni.</w:t>
      </w:r>
      <w:r>
        <w:rPr>
          <w:rStyle w:val="FootnoteReference"/>
        </w:rPr>
        <w:footnoteReference w:id="523"/>
      </w:r>
      <w:r>
        <w:t xml:space="preserve"> </w:t>
      </w:r>
      <w:r>
        <w:t xml:space="preserve">Pur essendo un’applicazione di nicchia, essa illustra la varietà dei meccanismi d’azione disponibili, che vanno ben oltre l’erogazione di contenuti psicoeducativi e includono il monitoraggio fisiologico continuo e l’intervento in tempo reale.</w:t>
      </w:r>
    </w:p>
    <w:bookmarkEnd w:id="1222"/>
    <w:bookmarkStart w:id="1224" w:name="X710158aea9504bb1588dd64bf94a93ed7483070"/>
    <w:p>
      <w:pPr>
        <w:pStyle w:val="Heading3"/>
      </w:pPr>
      <w:r>
        <w:t xml:space="preserve">3.7 Disturbo da deficit di attenzione e iperattività in età pediatrica</w:t>
      </w:r>
    </w:p>
    <w:p>
      <w:pPr>
        <w:pStyle w:val="FirstParagraph"/>
      </w:pPr>
      <w:r>
        <w:t xml:space="preserve">Il disturbo da deficit di attenzione e iperattività in età pediatrica costituisce l’indicazione più distintiva sotto il profilo del meccanismo d’azione, essendo trattata da un dispositivo erogato attraverso un videogioco terapeutico, autorizzato nel 2020 per via De Novo e successivamente esteso alla fascia 8–17 anni. Lo strumento stimola, mediante compiti senso-motori adattivi, i circuiti neurali coinvolti nell’attenzione, con un impiego di circa venticinque-trenta minuti al giorno per cinque giorni a settimana. Nello studio cardine il 47% dei bambini trattati ha mostrato un miglioramento significativo di una misura standardizzata dell’attenzione, contro il 32% del gruppo di controllo, con un profilo di sicurezza favorevole — eventi avversi correlati nel 4,97% dei partecipanti, senza eventi gravi — e con l’avvertenza esplicita che il dispositivo non sostituisce il farmaco e va impiegato entro un programma terapeutico.</w:t>
      </w:r>
      <w:r>
        <w:rPr>
          <w:rStyle w:val="FootnoteReference"/>
        </w:rPr>
        <w:footnoteReference w:id="524"/>
      </w:r>
      <w:r>
        <w:t xml:space="preserve"> </w:t>
      </w:r>
      <w:r>
        <w:t xml:space="preserve">L’indicazione è di rilievo per il pediatra di libera scelta e per l’integrazione con il servizio di psicologia di base in età evolutiva.</w:t>
      </w:r>
    </w:p>
    <w:bookmarkEnd w:id="1224"/>
    <w:bookmarkEnd w:id="1225"/>
    <w:bookmarkStart w:id="1227" w:name="Xcfedf10117eefd178ab2156f1ce4a38fb0132c3"/>
    <w:p>
      <w:pPr>
        <w:pStyle w:val="Heading2"/>
      </w:pPr>
      <w:r>
        <w:t xml:space="preserve">4. Tabella comparativa dei principali dispositivi terapeutici digitali</w:t>
      </w:r>
    </w:p>
    <w:p>
      <w:pPr>
        <w:pStyle w:val="FirstParagraph"/>
      </w:pPr>
      <w:r>
        <w:t xml:space="preserve">La tabella seguente raccoglie i principali dispositivi terapeutici digitali rilevanti per la salute mentale e le cure primarie, ordinati per giurisdizione, con l’indicazione, lo stato regolatorio, il meccanismo d’azione, l’evidenza chiave e lo stato di rimborso. La tabella ha finalità di sintesi e rinvia, per i dettagli e le fonti, ai paragrafi precedenti e alle note.</w:t>
      </w:r>
      <w:r>
        <w:rPr>
          <w:rStyle w:val="FootnoteReference"/>
        </w:rPr>
        <w:footnoteReference w:id="525"/>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Dispositivo (sviluppatore)</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Status regolatorio</w:t>
            </w:r>
          </w:p>
        </w:tc>
        <w:tc>
          <w:tcPr>
            <w:shd w:val="clear" w:color="auto" w:fill="16264B"/>
          </w:tcPr>
          <w:p>
            <w:pPr>
              <w:pStyle w:val="Compact"/>
              <w:spacing w:after="40" w:before="40"/>
              <w:jc w:val="left"/>
            </w:pPr>
            <w:r>
              <w:rPr>
                <w:rFonts w:ascii="Cambria" w:hAnsi="Cambria" w:cs="Cambria" w:eastAsia="Cambria"/>
                <w:b/>
                <w:bCs/>
                <w:color w:val="FFFFFF"/>
                <w:sz w:val="18"/>
              </w:rPr>
              <w:t xml:space="preserve">Meccanismo</w:t>
            </w:r>
          </w:p>
        </w:tc>
        <w:tc>
          <w:tcPr>
            <w:shd w:val="clear" w:color="auto" w:fill="16264B"/>
          </w:tcPr>
          <w:p>
            <w:pPr>
              <w:pStyle w:val="Compact"/>
              <w:spacing w:after="40" w:before="40"/>
              <w:jc w:val="left"/>
            </w:pPr>
            <w:r>
              <w:rPr>
                <w:rFonts w:ascii="Cambria" w:hAnsi="Cambria" w:cs="Cambria" w:eastAsia="Cambria"/>
                <w:b/>
                <w:bCs/>
                <w:color w:val="FFFFFF"/>
                <w:sz w:val="18"/>
              </w:rPr>
              <w:t xml:space="preserve">Evidenza chiave</w:t>
            </w:r>
          </w:p>
        </w:tc>
        <w:tc>
          <w:tcPr>
            <w:shd w:val="clear" w:color="auto" w:fill="16264B"/>
          </w:tcPr>
          <w:p>
            <w:pPr>
              <w:pStyle w:val="Compact"/>
              <w:spacing w:after="40" w:before="40"/>
              <w:jc w:val="left"/>
            </w:pPr>
            <w:r>
              <w:rPr>
                <w:rFonts w:ascii="Cambria" w:hAnsi="Cambria" w:cs="Cambria" w:eastAsia="Cambria"/>
                <w:b/>
                <w:bCs/>
                <w:color w:val="FFFFFF"/>
                <w:sz w:val="18"/>
              </w:rPr>
              <w:t xml:space="preserve">Rimborso</w:t>
            </w:r>
          </w:p>
        </w:tc>
      </w:tr>
      <w:tr>
        <w:tc>
          <w:tcPr/>
          <w:p>
            <w:pPr>
              <w:pStyle w:val="Compact"/>
              <w:spacing w:after="40" w:before="40"/>
              <w:jc w:val="left"/>
            </w:pPr>
            <w:r>
              <w:rPr>
                <w:rFonts w:ascii="Cambria" w:hAnsi="Cambria" w:cs="Cambria" w:eastAsia="Cambria"/>
                <w:b/>
                <w:bCs/>
                <w:color w:val="1A1A1A"/>
                <w:sz w:val="18"/>
              </w:rPr>
              <w:t xml:space="preserve">Rejoyn (Otsuka/Click)</w:t>
            </w:r>
          </w:p>
        </w:tc>
        <w:tc>
          <w:tcPr/>
          <w:p>
            <w:pPr>
              <w:pStyle w:val="Compact"/>
              <w:spacing w:after="40" w:before="40"/>
              <w:jc w:val="left"/>
            </w:pPr>
            <w:r>
              <w:rPr>
                <w:rFonts w:ascii="Cambria" w:hAnsi="Cambria" w:cs="Cambria" w:eastAsia="Cambria"/>
                <w:color w:val="1A1A1A"/>
                <w:sz w:val="18"/>
              </w:rPr>
              <w:t xml:space="preserve">Depressione maggiore, adulti 22+</w:t>
            </w:r>
          </w:p>
        </w:tc>
        <w:tc>
          <w:tcPr/>
          <w:p>
            <w:pPr>
              <w:pStyle w:val="Compact"/>
              <w:spacing w:after="40" w:before="40"/>
              <w:jc w:val="left"/>
            </w:pPr>
            <w:r>
              <w:rPr>
                <w:rFonts w:ascii="Cambria" w:hAnsi="Cambria" w:cs="Cambria" w:eastAsia="Cambria"/>
                <w:color w:val="1A1A1A"/>
                <w:sz w:val="18"/>
              </w:rPr>
              <w:t xml:space="preserve">FDA 2024, 510(k)</w:t>
            </w:r>
          </w:p>
        </w:tc>
        <w:tc>
          <w:tcPr/>
          <w:p>
            <w:pPr>
              <w:pStyle w:val="Compact"/>
              <w:spacing w:after="40" w:before="40"/>
              <w:jc w:val="left"/>
            </w:pPr>
            <w:r>
              <w:rPr>
                <w:rFonts w:ascii="Cambria" w:hAnsi="Cambria" w:cs="Cambria" w:eastAsia="Cambria"/>
                <w:color w:val="1A1A1A"/>
                <w:sz w:val="18"/>
              </w:rPr>
              <w:t xml:space="preserve">CBT e controllo cognitivo delle emozioni; adiuvante</w:t>
            </w:r>
          </w:p>
        </w:tc>
        <w:tc>
          <w:tcPr/>
          <w:p>
            <w:pPr>
              <w:pStyle w:val="Compact"/>
              <w:spacing w:after="40" w:before="40"/>
              <w:jc w:val="left"/>
            </w:pPr>
            <w:r>
              <w:rPr>
                <w:rFonts w:ascii="Cambria" w:hAnsi="Cambria" w:cs="Cambria" w:eastAsia="Cambria"/>
                <w:color w:val="1A1A1A"/>
                <w:sz w:val="18"/>
              </w:rPr>
              <w:t xml:space="preserve">RCT di fase 3 in doppio cieco, 386 pazienti</w:t>
            </w:r>
          </w:p>
        </w:tc>
        <w:tc>
          <w:tcPr/>
          <w:p>
            <w:pPr>
              <w:pStyle w:val="Compact"/>
              <w:spacing w:after="40" w:before="40"/>
              <w:jc w:val="left"/>
            </w:pPr>
            <w:r>
              <w:rPr>
                <w:rFonts w:ascii="Cambria" w:hAnsi="Cambria" w:cs="Cambria" w:eastAsia="Cambria"/>
                <w:color w:val="1A1A1A"/>
                <w:sz w:val="18"/>
              </w:rPr>
              <w:t xml:space="preserve">Codici USA 2024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Somryst (Pear/Nox)</w:t>
            </w:r>
          </w:p>
        </w:tc>
        <w:tc>
          <w:tcPr>
            <w:shd w:val="clear" w:color="auto" w:fill="F4F1EC"/>
          </w:tcPr>
          <w:p>
            <w:pPr>
              <w:pStyle w:val="Compact"/>
              <w:spacing w:after="40" w:before="40"/>
              <w:jc w:val="left"/>
            </w:pPr>
            <w:r>
              <w:rPr>
                <w:rFonts w:ascii="Cambria" w:hAnsi="Cambria" w:cs="Cambria" w:eastAsia="Cambria"/>
                <w:color w:val="1A1A1A"/>
                <w:sz w:val="18"/>
              </w:rPr>
              <w:t xml:space="preserve">Insonnia cronica, 22+</w:t>
            </w:r>
          </w:p>
        </w:tc>
        <w:tc>
          <w:tcPr>
            <w:shd w:val="clear" w:color="auto" w:fill="F4F1EC"/>
          </w:tcPr>
          <w:p>
            <w:pPr>
              <w:pStyle w:val="Compact"/>
              <w:spacing w:after="40" w:before="40"/>
              <w:jc w:val="left"/>
            </w:pPr>
            <w:r>
              <w:rPr>
                <w:rFonts w:ascii="Cambria" w:hAnsi="Cambria" w:cs="Cambria" w:eastAsia="Cambria"/>
                <w:color w:val="1A1A1A"/>
                <w:sz w:val="18"/>
              </w:rPr>
              <w:t xml:space="preserve">FDA 2020</w:t>
            </w:r>
          </w:p>
        </w:tc>
        <w:tc>
          <w:tcPr>
            <w:shd w:val="clear" w:color="auto" w:fill="F4F1EC"/>
          </w:tcPr>
          <w:p>
            <w:pPr>
              <w:pStyle w:val="Compact"/>
              <w:spacing w:after="40" w:before="40"/>
              <w:jc w:val="left"/>
            </w:pPr>
            <w:r>
              <w:rPr>
                <w:rFonts w:ascii="Cambria" w:hAnsi="Cambria" w:cs="Cambria" w:eastAsia="Cambria"/>
                <w:color w:val="1A1A1A"/>
                <w:sz w:val="18"/>
              </w:rPr>
              <w:t xml:space="preserve">CBT per l’insonnia, 9 settimane</w:t>
            </w:r>
          </w:p>
        </w:tc>
        <w:tc>
          <w:tcPr>
            <w:shd w:val="clear" w:color="auto" w:fill="F4F1EC"/>
          </w:tcPr>
          <w:p>
            <w:pPr>
              <w:pStyle w:val="Compact"/>
              <w:spacing w:after="40" w:before="40"/>
              <w:jc w:val="left"/>
            </w:pPr>
            <w:r>
              <w:rPr>
                <w:rFonts w:ascii="Cambria" w:hAnsi="Cambria" w:cs="Cambria" w:eastAsia="Cambria"/>
                <w:color w:val="1A1A1A"/>
                <w:sz w:val="18"/>
              </w:rPr>
              <w:t xml:space="preserve">2 RCT, oltre 1.400 adulti; -45% gravita, mantenuto 6–12 mesi</w:t>
            </w:r>
          </w:p>
        </w:tc>
        <w:tc>
          <w:tcPr>
            <w:shd w:val="clear" w:color="auto" w:fill="F4F1EC"/>
          </w:tcPr>
          <w:p>
            <w:pPr>
              <w:pStyle w:val="Compact"/>
              <w:spacing w:after="40" w:before="40"/>
              <w:jc w:val="left"/>
            </w:pPr>
            <w:r>
              <w:rPr>
                <w:rFonts w:ascii="Cambria" w:hAnsi="Cambria" w:cs="Cambria" w:eastAsia="Cambria"/>
                <w:color w:val="1A1A1A"/>
                <w:sz w:val="18"/>
              </w:rPr>
              <w:t xml:space="preserve">Codici USA</w:t>
            </w:r>
          </w:p>
        </w:tc>
      </w:tr>
      <w:tr>
        <w:tc>
          <w:tcPr/>
          <w:p>
            <w:pPr>
              <w:pStyle w:val="Compact"/>
              <w:spacing w:after="40" w:before="40"/>
              <w:jc w:val="left"/>
            </w:pPr>
            <w:r>
              <w:rPr>
                <w:rFonts w:ascii="Cambria" w:hAnsi="Cambria" w:cs="Cambria" w:eastAsia="Cambria"/>
                <w:b/>
                <w:bCs/>
                <w:color w:val="1A1A1A"/>
                <w:sz w:val="18"/>
              </w:rPr>
              <w:t xml:space="preserve">SleepioRx / Sleepio (Big Health)</w:t>
            </w:r>
          </w:p>
        </w:tc>
        <w:tc>
          <w:tcPr/>
          <w:p>
            <w:pPr>
              <w:pStyle w:val="Compact"/>
              <w:spacing w:after="40" w:before="40"/>
              <w:jc w:val="left"/>
            </w:pPr>
            <w:r>
              <w:rPr>
                <w:rFonts w:ascii="Cambria" w:hAnsi="Cambria" w:cs="Cambria" w:eastAsia="Cambria"/>
                <w:color w:val="1A1A1A"/>
                <w:sz w:val="18"/>
              </w:rPr>
              <w:t xml:space="preserve">Insonnia</w:t>
            </w:r>
          </w:p>
        </w:tc>
        <w:tc>
          <w:tcPr/>
          <w:p>
            <w:pPr>
              <w:pStyle w:val="Compact"/>
              <w:spacing w:after="40" w:before="40"/>
              <w:jc w:val="left"/>
            </w:pPr>
            <w:r>
              <w:rPr>
                <w:rFonts w:ascii="Cambria" w:hAnsi="Cambria" w:cs="Cambria" w:eastAsia="Cambria"/>
                <w:color w:val="1A1A1A"/>
                <w:sz w:val="18"/>
              </w:rPr>
              <w:t xml:space="preserve">FDA 2024; NICE MTG70 (UK)</w:t>
            </w:r>
          </w:p>
        </w:tc>
        <w:tc>
          <w:tcPr/>
          <w:p>
            <w:pPr>
              <w:pStyle w:val="Compact"/>
              <w:spacing w:after="40" w:before="40"/>
              <w:jc w:val="left"/>
            </w:pPr>
            <w:r>
              <w:rPr>
                <w:rFonts w:ascii="Cambria" w:hAnsi="Cambria" w:cs="Cambria" w:eastAsia="Cambria"/>
                <w:color w:val="1A1A1A"/>
                <w:sz w:val="18"/>
              </w:rPr>
              <w:t xml:space="preserve">CBT per l’insonnia con terapeuta virtuale</w:t>
            </w:r>
          </w:p>
        </w:tc>
        <w:tc>
          <w:tcPr/>
          <w:p>
            <w:pPr>
              <w:pStyle w:val="Compact"/>
              <w:spacing w:after="40" w:before="40"/>
              <w:jc w:val="left"/>
            </w:pPr>
            <w:r>
              <w:rPr>
                <w:rFonts w:ascii="Cambria" w:hAnsi="Cambria" w:cs="Cambria" w:eastAsia="Cambria"/>
                <w:color w:val="1A1A1A"/>
                <w:sz w:val="18"/>
              </w:rPr>
              <w:t xml:space="preserve">Oltre 25 studi; raccomandato NICE come costo-efficace</w:t>
            </w:r>
          </w:p>
        </w:tc>
        <w:tc>
          <w:tcPr/>
          <w:p>
            <w:pPr>
              <w:pStyle w:val="Compact"/>
              <w:spacing w:after="40" w:before="40"/>
              <w:jc w:val="left"/>
            </w:pPr>
            <w:r>
              <w:rPr>
                <w:rFonts w:ascii="Cambria" w:hAnsi="Cambria" w:cs="Cambria" w:eastAsia="Cambria"/>
                <w:color w:val="1A1A1A"/>
                <w:sz w:val="18"/>
              </w:rPr>
              <w:t xml:space="preserve">NHS (UK); codici USA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reSET / reSET-O (Pear)</w:t>
            </w:r>
          </w:p>
        </w:tc>
        <w:tc>
          <w:tcPr>
            <w:shd w:val="clear" w:color="auto" w:fill="F4F1EC"/>
          </w:tcPr>
          <w:p>
            <w:pPr>
              <w:pStyle w:val="Compact"/>
              <w:spacing w:after="40" w:before="40"/>
              <w:jc w:val="left"/>
            </w:pPr>
            <w:r>
              <w:rPr>
                <w:rFonts w:ascii="Cambria" w:hAnsi="Cambria" w:cs="Cambria" w:eastAsia="Cambria"/>
                <w:color w:val="1A1A1A"/>
                <w:sz w:val="18"/>
              </w:rPr>
              <w:t xml:space="preserve">Uso di sostanze / oppioidi</w:t>
            </w:r>
          </w:p>
        </w:tc>
        <w:tc>
          <w:tcPr>
            <w:shd w:val="clear" w:color="auto" w:fill="F4F1EC"/>
          </w:tcPr>
          <w:p>
            <w:pPr>
              <w:pStyle w:val="Compact"/>
              <w:spacing w:after="40" w:before="40"/>
              <w:jc w:val="left"/>
            </w:pPr>
            <w:r>
              <w:rPr>
                <w:rFonts w:ascii="Cambria" w:hAnsi="Cambria" w:cs="Cambria" w:eastAsia="Cambria"/>
                <w:color w:val="1A1A1A"/>
                <w:sz w:val="18"/>
              </w:rPr>
              <w:t xml:space="preserve">FDA 2017 / 2018</w:t>
            </w:r>
          </w:p>
        </w:tc>
        <w:tc>
          <w:tcPr>
            <w:shd w:val="clear" w:color="auto" w:fill="F4F1EC"/>
          </w:tcPr>
          <w:p>
            <w:pPr>
              <w:pStyle w:val="Compact"/>
              <w:spacing w:after="40" w:before="40"/>
              <w:jc w:val="left"/>
            </w:pPr>
            <w:r>
              <w:rPr>
                <w:rFonts w:ascii="Cambria" w:hAnsi="Cambria" w:cs="Cambria" w:eastAsia="Cambria"/>
                <w:color w:val="1A1A1A"/>
                <w:sz w:val="18"/>
              </w:rPr>
              <w:t xml:space="preserve">CBT e gestione delle contingenze</w:t>
            </w:r>
          </w:p>
        </w:tc>
        <w:tc>
          <w:tcPr>
            <w:shd w:val="clear" w:color="auto" w:fill="F4F1EC"/>
          </w:tcPr>
          <w:p>
            <w:pPr>
              <w:pStyle w:val="Compact"/>
              <w:spacing w:after="40" w:before="40"/>
              <w:jc w:val="left"/>
            </w:pPr>
            <w:r>
              <w:rPr>
                <w:rFonts w:ascii="Cambria" w:hAnsi="Cambria" w:cs="Cambria" w:eastAsia="Cambria"/>
                <w:color w:val="1A1A1A"/>
                <w:sz w:val="18"/>
              </w:rPr>
              <w:t xml:space="preserve">RCT su astinenza e ritenzione in trattamento</w:t>
            </w:r>
          </w:p>
        </w:tc>
        <w:tc>
          <w:tcPr>
            <w:shd w:val="clear" w:color="auto" w:fill="F4F1EC"/>
          </w:tcPr>
          <w:p>
            <w:pPr>
              <w:pStyle w:val="Compact"/>
              <w:spacing w:after="40" w:before="40"/>
              <w:jc w:val="left"/>
            </w:pPr>
            <w:r>
              <w:rPr>
                <w:rFonts w:ascii="Cambria" w:hAnsi="Cambria" w:cs="Cambria" w:eastAsia="Cambria"/>
                <w:color w:val="1A1A1A"/>
                <w:sz w:val="18"/>
              </w:rPr>
              <w:t xml:space="preserve">Codici USA</w:t>
            </w:r>
          </w:p>
        </w:tc>
      </w:tr>
      <w:tr>
        <w:tc>
          <w:tcPr/>
          <w:p>
            <w:pPr>
              <w:pStyle w:val="Compact"/>
              <w:spacing w:after="40" w:before="40"/>
              <w:jc w:val="left"/>
            </w:pPr>
            <w:r>
              <w:rPr>
                <w:rFonts w:ascii="Cambria" w:hAnsi="Cambria" w:cs="Cambria" w:eastAsia="Cambria"/>
                <w:b/>
                <w:bCs/>
                <w:color w:val="1A1A1A"/>
                <w:sz w:val="18"/>
              </w:rPr>
              <w:t xml:space="preserve">MamaLift Plus (Curio)</w:t>
            </w:r>
          </w:p>
        </w:tc>
        <w:tc>
          <w:tcPr/>
          <w:p>
            <w:pPr>
              <w:pStyle w:val="Compact"/>
              <w:spacing w:after="40" w:before="40"/>
              <w:jc w:val="left"/>
            </w:pPr>
            <w:r>
              <w:rPr>
                <w:rFonts w:ascii="Cambria" w:hAnsi="Cambria" w:cs="Cambria" w:eastAsia="Cambria"/>
                <w:color w:val="1A1A1A"/>
                <w:sz w:val="18"/>
              </w:rPr>
              <w:t xml:space="preserve">Depressione post-partum</w:t>
            </w:r>
          </w:p>
        </w:tc>
        <w:tc>
          <w:tcPr/>
          <w:p>
            <w:pPr>
              <w:pStyle w:val="Compact"/>
              <w:spacing w:after="40" w:before="40"/>
              <w:jc w:val="left"/>
            </w:pPr>
            <w:r>
              <w:rPr>
                <w:rFonts w:ascii="Cambria" w:hAnsi="Cambria" w:cs="Cambria" w:eastAsia="Cambria"/>
                <w:color w:val="1A1A1A"/>
                <w:sz w:val="18"/>
              </w:rPr>
              <w:t xml:space="preserve">FDA 2024 (prima del genere)</w:t>
            </w:r>
          </w:p>
        </w:tc>
        <w:tc>
          <w:tcPr/>
          <w:p>
            <w:pPr>
              <w:pStyle w:val="Compact"/>
              <w:spacing w:after="40" w:before="40"/>
              <w:jc w:val="left"/>
            </w:pPr>
            <w:r>
              <w:rPr>
                <w:rFonts w:ascii="Cambria" w:hAnsi="Cambria" w:cs="Cambria" w:eastAsia="Cambria"/>
                <w:color w:val="1A1A1A"/>
                <w:sz w:val="18"/>
              </w:rPr>
              <w:t xml:space="preserve">CBT digitale</w:t>
            </w:r>
          </w:p>
        </w:tc>
        <w:tc>
          <w:tcPr/>
          <w:p>
            <w:pPr>
              <w:pStyle w:val="Compact"/>
              <w:spacing w:after="40" w:before="40"/>
              <w:jc w:val="left"/>
            </w:pPr>
            <w:r>
              <w:rPr>
                <w:rFonts w:ascii="Cambria" w:hAnsi="Cambria" w:cs="Cambria" w:eastAsia="Cambria"/>
                <w:color w:val="1A1A1A"/>
                <w:sz w:val="18"/>
              </w:rPr>
              <w:t xml:space="preserve">Autorizzazione FDA su dati clinici</w:t>
            </w:r>
          </w:p>
        </w:tc>
        <w:tc>
          <w:tcPr/>
          <w:p>
            <w:pPr>
              <w:pStyle w:val="Compact"/>
              <w:spacing w:after="40" w:before="40"/>
              <w:jc w:val="left"/>
            </w:pPr>
            <w:r>
              <w:rPr>
                <w:rFonts w:ascii="Cambria" w:hAnsi="Cambria" w:cs="Cambria" w:eastAsia="Cambria"/>
                <w:color w:val="1A1A1A"/>
                <w:sz w:val="18"/>
              </w:rPr>
              <w:t xml:space="preserve">n.d.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NightWare</w:t>
            </w:r>
          </w:p>
        </w:tc>
        <w:tc>
          <w:tcPr>
            <w:shd w:val="clear" w:color="auto" w:fill="F4F1EC"/>
          </w:tcPr>
          <w:p>
            <w:pPr>
              <w:pStyle w:val="Compact"/>
              <w:spacing w:after="40" w:before="40"/>
              <w:jc w:val="left"/>
            </w:pPr>
            <w:r>
              <w:rPr>
                <w:rFonts w:ascii="Cambria" w:hAnsi="Cambria" w:cs="Cambria" w:eastAsia="Cambria"/>
                <w:color w:val="1A1A1A"/>
                <w:sz w:val="18"/>
              </w:rPr>
              <w:t xml:space="preserve">PTSD (incubi)</w:t>
            </w:r>
          </w:p>
        </w:tc>
        <w:tc>
          <w:tcPr>
            <w:shd w:val="clear" w:color="auto" w:fill="F4F1EC"/>
          </w:tcPr>
          <w:p>
            <w:pPr>
              <w:pStyle w:val="Compact"/>
              <w:spacing w:after="40" w:before="40"/>
              <w:jc w:val="left"/>
            </w:pPr>
            <w:r>
              <w:rPr>
                <w:rFonts w:ascii="Cambria" w:hAnsi="Cambria" w:cs="Cambria" w:eastAsia="Cambria"/>
                <w:color w:val="1A1A1A"/>
                <w:sz w:val="18"/>
              </w:rPr>
              <w:t xml:space="preserve">FDA 2020</w:t>
            </w:r>
          </w:p>
        </w:tc>
        <w:tc>
          <w:tcPr>
            <w:shd w:val="clear" w:color="auto" w:fill="F4F1EC"/>
          </w:tcPr>
          <w:p>
            <w:pPr>
              <w:pStyle w:val="Compact"/>
              <w:spacing w:after="40" w:before="40"/>
              <w:jc w:val="left"/>
            </w:pPr>
            <w:r>
              <w:rPr>
                <w:rFonts w:ascii="Cambria" w:hAnsi="Cambria" w:cs="Cambria" w:eastAsia="Cambria"/>
                <w:color w:val="1A1A1A"/>
                <w:sz w:val="18"/>
              </w:rPr>
              <w:t xml:space="preserve">Monitoraggio fisiologico su orologio e vibrazione</w:t>
            </w:r>
          </w:p>
        </w:tc>
        <w:tc>
          <w:tcPr>
            <w:shd w:val="clear" w:color="auto" w:fill="F4F1EC"/>
          </w:tcPr>
          <w:p>
            <w:pPr>
              <w:pStyle w:val="Compact"/>
              <w:spacing w:after="40" w:before="40"/>
              <w:jc w:val="left"/>
            </w:pPr>
            <w:r>
              <w:rPr>
                <w:rFonts w:ascii="Cambria" w:hAnsi="Cambria" w:cs="Cambria" w:eastAsia="Cambria"/>
                <w:color w:val="1A1A1A"/>
                <w:sz w:val="18"/>
              </w:rPr>
              <w:t xml:space="preserve">RCT a sostegno dell’autorizzazione</w:t>
            </w:r>
          </w:p>
        </w:tc>
        <w:tc>
          <w:tcPr>
            <w:shd w:val="clear" w:color="auto" w:fill="F4F1EC"/>
          </w:tcPr>
          <w:p>
            <w:pPr>
              <w:pStyle w:val="Compact"/>
              <w:spacing w:after="40" w:before="40"/>
              <w:jc w:val="left"/>
            </w:pPr>
            <w:r>
              <w:rPr>
                <w:rFonts w:ascii="Cambria" w:hAnsi="Cambria" w:cs="Cambria" w:eastAsia="Cambria"/>
                <w:color w:val="1A1A1A"/>
                <w:sz w:val="18"/>
              </w:rPr>
              <w:t xml:space="preserve">n.d.</w:t>
            </w:r>
          </w:p>
        </w:tc>
      </w:tr>
      <w:tr>
        <w:tc>
          <w:tcPr/>
          <w:p>
            <w:pPr>
              <w:pStyle w:val="Compact"/>
              <w:spacing w:after="40" w:before="40"/>
              <w:jc w:val="left"/>
            </w:pPr>
            <w:r>
              <w:rPr>
                <w:rFonts w:ascii="Cambria" w:hAnsi="Cambria" w:cs="Cambria" w:eastAsia="Cambria"/>
                <w:b/>
                <w:bCs/>
                <w:color w:val="1A1A1A"/>
                <w:sz w:val="18"/>
              </w:rPr>
              <w:t xml:space="preserve">EndeavorRx (Akili)</w:t>
            </w:r>
          </w:p>
        </w:tc>
        <w:tc>
          <w:tcPr/>
          <w:p>
            <w:pPr>
              <w:pStyle w:val="Compact"/>
              <w:spacing w:after="40" w:before="40"/>
              <w:jc w:val="left"/>
            </w:pPr>
            <w:r>
              <w:rPr>
                <w:rFonts w:ascii="Cambria" w:hAnsi="Cambria" w:cs="Cambria" w:eastAsia="Cambria"/>
                <w:color w:val="1A1A1A"/>
                <w:sz w:val="18"/>
              </w:rPr>
              <w:t xml:space="preserve">ADHD pediatrico, 8–17</w:t>
            </w:r>
          </w:p>
        </w:tc>
        <w:tc>
          <w:tcPr/>
          <w:p>
            <w:pPr>
              <w:pStyle w:val="Compact"/>
              <w:spacing w:after="40" w:before="40"/>
              <w:jc w:val="left"/>
            </w:pPr>
            <w:r>
              <w:rPr>
                <w:rFonts w:ascii="Cambria" w:hAnsi="Cambria" w:cs="Cambria" w:eastAsia="Cambria"/>
                <w:color w:val="1A1A1A"/>
                <w:sz w:val="18"/>
              </w:rPr>
              <w:t xml:space="preserve">FDA 2020, De Novo</w:t>
            </w:r>
          </w:p>
        </w:tc>
        <w:tc>
          <w:tcPr/>
          <w:p>
            <w:pPr>
              <w:pStyle w:val="Compact"/>
              <w:spacing w:after="40" w:before="40"/>
              <w:jc w:val="left"/>
            </w:pPr>
            <w:r>
              <w:rPr>
                <w:rFonts w:ascii="Cambria" w:hAnsi="Cambria" w:cs="Cambria" w:eastAsia="Cambria"/>
                <w:color w:val="1A1A1A"/>
                <w:sz w:val="18"/>
              </w:rPr>
              <w:t xml:space="preserve">Videogioco adattivo senso-motorio</w:t>
            </w:r>
          </w:p>
        </w:tc>
        <w:tc>
          <w:tcPr/>
          <w:p>
            <w:pPr>
              <w:pStyle w:val="Compact"/>
              <w:spacing w:after="40" w:before="40"/>
              <w:jc w:val="left"/>
            </w:pPr>
            <w:r>
              <w:rPr>
                <w:rFonts w:ascii="Cambria" w:hAnsi="Cambria" w:cs="Cambria" w:eastAsia="Cambria"/>
                <w:color w:val="1A1A1A"/>
                <w:sz w:val="18"/>
              </w:rPr>
              <w:t xml:space="preserve">RCT: 47% vs 32% di miglioramento attentivo; sicurezza favorevole</w:t>
            </w:r>
          </w:p>
        </w:tc>
        <w:tc>
          <w:tcPr/>
          <w:p>
            <w:pPr>
              <w:pStyle w:val="Compact"/>
              <w:spacing w:after="40" w:before="40"/>
              <w:jc w:val="left"/>
            </w:pPr>
            <w:r>
              <w:rPr>
                <w:rFonts w:ascii="Cambria" w:hAnsi="Cambria" w:cs="Cambria" w:eastAsia="Cambria"/>
                <w:color w:val="1A1A1A"/>
                <w:sz w:val="18"/>
              </w:rPr>
              <w:t xml:space="preserve">OTC adulti (2024)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Deprexis (GAIA)</w:t>
            </w:r>
          </w:p>
        </w:tc>
        <w:tc>
          <w:tcPr>
            <w:shd w:val="clear" w:color="auto" w:fill="F4F1EC"/>
          </w:tcPr>
          <w:p>
            <w:pPr>
              <w:pStyle w:val="Compact"/>
              <w:spacing w:after="40" w:before="40"/>
              <w:jc w:val="left"/>
            </w:pPr>
            <w:r>
              <w:rPr>
                <w:rFonts w:ascii="Cambria" w:hAnsi="Cambria" w:cs="Cambria" w:eastAsia="Cambria"/>
                <w:color w:val="1A1A1A"/>
                <w:sz w:val="18"/>
              </w:rPr>
              <w:t xml:space="preserve">Depressione (6 indicazioni)</w:t>
            </w:r>
          </w:p>
        </w:tc>
        <w:tc>
          <w:tcPr>
            <w:shd w:val="clear" w:color="auto" w:fill="F4F1EC"/>
          </w:tcPr>
          <w:p>
            <w:pPr>
              <w:pStyle w:val="Compact"/>
              <w:spacing w:after="40" w:before="40"/>
              <w:jc w:val="left"/>
            </w:pPr>
            <w:r>
              <w:rPr>
                <w:rFonts w:ascii="Cambria" w:hAnsi="Cambria" w:cs="Cambria" w:eastAsia="Cambria"/>
                <w:color w:val="1A1A1A"/>
                <w:sz w:val="18"/>
              </w:rPr>
              <w:t xml:space="preserve">DiGA Germania (permanente)</w:t>
            </w:r>
          </w:p>
        </w:tc>
        <w:tc>
          <w:tcPr>
            <w:shd w:val="clear" w:color="auto" w:fill="F4F1EC"/>
          </w:tcPr>
          <w:p>
            <w:pPr>
              <w:pStyle w:val="Compact"/>
              <w:spacing w:after="40" w:before="40"/>
              <w:jc w:val="left"/>
            </w:pPr>
            <w:r>
              <w:rPr>
                <w:rFonts w:ascii="Cambria" w:hAnsi="Cambria" w:cs="Cambria" w:eastAsia="Cambria"/>
                <w:color w:val="1A1A1A"/>
                <w:sz w:val="18"/>
              </w:rPr>
              <w:t xml:space="preserve">CBT digitale</w:t>
            </w:r>
          </w:p>
        </w:tc>
        <w:tc>
          <w:tcPr>
            <w:shd w:val="clear" w:color="auto" w:fill="F4F1EC"/>
          </w:tcPr>
          <w:p>
            <w:pPr>
              <w:pStyle w:val="Compact"/>
              <w:spacing w:after="40" w:before="40"/>
              <w:jc w:val="left"/>
            </w:pPr>
            <w:r>
              <w:rPr>
                <w:rFonts w:ascii="Cambria" w:hAnsi="Cambria" w:cs="Cambria" w:eastAsia="Cambria"/>
                <w:color w:val="1A1A1A"/>
                <w:sz w:val="18"/>
              </w:rPr>
              <w:t xml:space="preserve">RCT; effetto da basso a medio</w:t>
            </w:r>
          </w:p>
        </w:tc>
        <w:tc>
          <w:tcPr>
            <w:shd w:val="clear" w:color="auto" w:fill="F4F1EC"/>
          </w:tcPr>
          <w:p>
            <w:pPr>
              <w:pStyle w:val="Compact"/>
              <w:spacing w:after="40" w:before="40"/>
              <w:jc w:val="left"/>
            </w:pPr>
            <w:r>
              <w:rPr>
                <w:rFonts w:ascii="Cambria" w:hAnsi="Cambria" w:cs="Cambria" w:eastAsia="Cambria"/>
                <w:color w:val="1A1A1A"/>
                <w:sz w:val="18"/>
              </w:rPr>
              <w:t xml:space="preserve">Rimborsato (DE)</w:t>
            </w:r>
          </w:p>
        </w:tc>
      </w:tr>
      <w:tr>
        <w:tc>
          <w:tcPr/>
          <w:p>
            <w:pPr>
              <w:pStyle w:val="Compact"/>
              <w:spacing w:after="40" w:before="40"/>
              <w:jc w:val="left"/>
            </w:pPr>
            <w:r>
              <w:rPr>
                <w:rFonts w:ascii="Cambria" w:hAnsi="Cambria" w:cs="Cambria" w:eastAsia="Cambria"/>
                <w:b/>
                <w:bCs/>
                <w:color w:val="1A1A1A"/>
                <w:sz w:val="18"/>
              </w:rPr>
              <w:t xml:space="preserve">Velibra (GAIA)</w:t>
            </w:r>
          </w:p>
        </w:tc>
        <w:tc>
          <w:tcPr/>
          <w:p>
            <w:pPr>
              <w:pStyle w:val="Compact"/>
              <w:spacing w:after="40" w:before="40"/>
              <w:jc w:val="left"/>
            </w:pPr>
            <w:r>
              <w:rPr>
                <w:rFonts w:ascii="Cambria" w:hAnsi="Cambria" w:cs="Cambria" w:eastAsia="Cambria"/>
                <w:color w:val="1A1A1A"/>
                <w:sz w:val="18"/>
              </w:rPr>
              <w:t xml:space="preserve">Disturbi d’ansia (4 indicazioni)</w:t>
            </w:r>
          </w:p>
        </w:tc>
        <w:tc>
          <w:tcPr/>
          <w:p>
            <w:pPr>
              <w:pStyle w:val="Compact"/>
              <w:spacing w:after="40" w:before="40"/>
              <w:jc w:val="left"/>
            </w:pPr>
            <w:r>
              <w:rPr>
                <w:rFonts w:ascii="Cambria" w:hAnsi="Cambria" w:cs="Cambria" w:eastAsia="Cambria"/>
                <w:color w:val="1A1A1A"/>
                <w:sz w:val="18"/>
              </w:rPr>
              <w:t xml:space="preserve">DiGA Germania</w:t>
            </w:r>
          </w:p>
        </w:tc>
        <w:tc>
          <w:tcPr/>
          <w:p>
            <w:pPr>
              <w:pStyle w:val="Compact"/>
              <w:spacing w:after="40" w:before="40"/>
              <w:jc w:val="left"/>
            </w:pPr>
            <w:r>
              <w:rPr>
                <w:rFonts w:ascii="Cambria" w:hAnsi="Cambria" w:cs="Cambria" w:eastAsia="Cambria"/>
                <w:color w:val="1A1A1A"/>
                <w:sz w:val="18"/>
              </w:rPr>
              <w:t xml:space="preserve">CBT digitale</w:t>
            </w:r>
          </w:p>
        </w:tc>
        <w:tc>
          <w:tcPr/>
          <w:p>
            <w:pPr>
              <w:pStyle w:val="Compact"/>
              <w:spacing w:after="40" w:before="40"/>
              <w:jc w:val="left"/>
            </w:pPr>
            <w:r>
              <w:rPr>
                <w:rFonts w:ascii="Cambria" w:hAnsi="Cambria" w:cs="Cambria" w:eastAsia="Cambria"/>
                <w:color w:val="1A1A1A"/>
                <w:sz w:val="18"/>
              </w:rPr>
              <w:t xml:space="preserve">RCT; effetto da basso a medio</w:t>
            </w:r>
          </w:p>
        </w:tc>
        <w:tc>
          <w:tcPr/>
          <w:p>
            <w:pPr>
              <w:pStyle w:val="Compact"/>
              <w:spacing w:after="40" w:before="40"/>
              <w:jc w:val="left"/>
            </w:pPr>
            <w:r>
              <w:rPr>
                <w:rFonts w:ascii="Cambria" w:hAnsi="Cambria" w:cs="Cambria" w:eastAsia="Cambria"/>
                <w:color w:val="1A1A1A"/>
                <w:sz w:val="18"/>
              </w:rPr>
              <w:t xml:space="preserve">Rimborsato (DE)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Selfapy</w:t>
            </w:r>
          </w:p>
        </w:tc>
        <w:tc>
          <w:tcPr>
            <w:shd w:val="clear" w:color="auto" w:fill="F4F1EC"/>
          </w:tcPr>
          <w:p>
            <w:pPr>
              <w:pStyle w:val="Compact"/>
              <w:spacing w:after="40" w:before="40"/>
              <w:jc w:val="left"/>
            </w:pPr>
            <w:r>
              <w:rPr>
                <w:rFonts w:ascii="Cambria" w:hAnsi="Cambria" w:cs="Cambria" w:eastAsia="Cambria"/>
                <w:color w:val="1A1A1A"/>
                <w:sz w:val="18"/>
              </w:rPr>
              <w:t xml:space="preserve">Depressione e ansia</w:t>
            </w:r>
          </w:p>
        </w:tc>
        <w:tc>
          <w:tcPr>
            <w:shd w:val="clear" w:color="auto" w:fill="F4F1EC"/>
          </w:tcPr>
          <w:p>
            <w:pPr>
              <w:pStyle w:val="Compact"/>
              <w:spacing w:after="40" w:before="40"/>
              <w:jc w:val="left"/>
            </w:pPr>
            <w:r>
              <w:rPr>
                <w:rFonts w:ascii="Cambria" w:hAnsi="Cambria" w:cs="Cambria" w:eastAsia="Cambria"/>
                <w:color w:val="1A1A1A"/>
                <w:sz w:val="18"/>
              </w:rPr>
              <w:t xml:space="preserve">DiGA Germania</w:t>
            </w:r>
          </w:p>
        </w:tc>
        <w:tc>
          <w:tcPr>
            <w:shd w:val="clear" w:color="auto" w:fill="F4F1EC"/>
          </w:tcPr>
          <w:p>
            <w:pPr>
              <w:pStyle w:val="Compact"/>
              <w:spacing w:after="40" w:before="40"/>
              <w:jc w:val="left"/>
            </w:pPr>
            <w:r>
              <w:rPr>
                <w:rFonts w:ascii="Cambria" w:hAnsi="Cambria" w:cs="Cambria" w:eastAsia="Cambria"/>
                <w:color w:val="1A1A1A"/>
                <w:sz w:val="18"/>
              </w:rPr>
              <w:t xml:space="preserve">CBT digitale</w:t>
            </w:r>
          </w:p>
        </w:tc>
        <w:tc>
          <w:tcPr>
            <w:shd w:val="clear" w:color="auto" w:fill="F4F1EC"/>
          </w:tcPr>
          <w:p>
            <w:pPr>
              <w:pStyle w:val="Compact"/>
              <w:spacing w:after="40" w:before="40"/>
              <w:jc w:val="left"/>
            </w:pPr>
            <w:r>
              <w:rPr>
                <w:rFonts w:ascii="Cambria" w:hAnsi="Cambria" w:cs="Cambria" w:eastAsia="Cambria"/>
                <w:color w:val="1A1A1A"/>
                <w:sz w:val="18"/>
              </w:rPr>
              <w:t xml:space="preserve">RCT; alcuni risultati non pubblicati</w:t>
            </w:r>
          </w:p>
        </w:tc>
        <w:tc>
          <w:tcPr>
            <w:shd w:val="clear" w:color="auto" w:fill="F4F1EC"/>
          </w:tcPr>
          <w:p>
            <w:pPr>
              <w:pStyle w:val="Compact"/>
              <w:spacing w:after="40" w:before="40"/>
              <w:jc w:val="left"/>
            </w:pPr>
            <w:r>
              <w:rPr>
                <w:rFonts w:ascii="Cambria" w:hAnsi="Cambria" w:cs="Cambria" w:eastAsia="Cambria"/>
                <w:color w:val="1A1A1A"/>
                <w:sz w:val="18"/>
              </w:rPr>
              <w:t xml:space="preserve">Rimborsato (DE)</w:t>
            </w:r>
          </w:p>
        </w:tc>
      </w:tr>
      <w:tr>
        <w:tc>
          <w:tcPr/>
          <w:p>
            <w:pPr>
              <w:pStyle w:val="Compact"/>
              <w:spacing w:after="40" w:before="40"/>
              <w:jc w:val="left"/>
            </w:pPr>
            <w:r>
              <w:rPr>
                <w:rFonts w:ascii="Cambria" w:hAnsi="Cambria" w:cs="Cambria" w:eastAsia="Cambria"/>
                <w:b/>
                <w:bCs/>
                <w:color w:val="1A1A1A"/>
                <w:sz w:val="18"/>
              </w:rPr>
              <w:t xml:space="preserve">Invirto / Mindable / HelloBetter</w:t>
            </w:r>
          </w:p>
        </w:tc>
        <w:tc>
          <w:tcPr/>
          <w:p>
            <w:pPr>
              <w:pStyle w:val="Compact"/>
              <w:spacing w:after="40" w:before="40"/>
              <w:jc w:val="left"/>
            </w:pPr>
            <w:r>
              <w:rPr>
                <w:rFonts w:ascii="Cambria" w:hAnsi="Cambria" w:cs="Cambria" w:eastAsia="Cambria"/>
                <w:color w:val="1A1A1A"/>
                <w:sz w:val="18"/>
              </w:rPr>
              <w:t xml:space="preserve">Ansia, panico, stress</w:t>
            </w:r>
          </w:p>
        </w:tc>
        <w:tc>
          <w:tcPr/>
          <w:p>
            <w:pPr>
              <w:pStyle w:val="Compact"/>
              <w:spacing w:after="40" w:before="40"/>
              <w:jc w:val="left"/>
            </w:pPr>
            <w:r>
              <w:rPr>
                <w:rFonts w:ascii="Cambria" w:hAnsi="Cambria" w:cs="Cambria" w:eastAsia="Cambria"/>
                <w:color w:val="1A1A1A"/>
                <w:sz w:val="18"/>
              </w:rPr>
              <w:t xml:space="preserve">DiGA Germania</w:t>
            </w:r>
          </w:p>
        </w:tc>
        <w:tc>
          <w:tcPr/>
          <w:p>
            <w:pPr>
              <w:pStyle w:val="Compact"/>
              <w:spacing w:after="40" w:before="40"/>
              <w:jc w:val="left"/>
            </w:pPr>
            <w:r>
              <w:rPr>
                <w:rFonts w:ascii="Cambria" w:hAnsi="Cambria" w:cs="Cambria" w:eastAsia="Cambria"/>
                <w:color w:val="1A1A1A"/>
                <w:sz w:val="18"/>
              </w:rPr>
              <w:t xml:space="preserve">CBT ed esposizione, anche in realta virtuale</w:t>
            </w:r>
          </w:p>
        </w:tc>
        <w:tc>
          <w:tcPr/>
          <w:p>
            <w:pPr>
              <w:pStyle w:val="Compact"/>
              <w:spacing w:after="40" w:before="40"/>
              <w:jc w:val="left"/>
            </w:pPr>
            <w:r>
              <w:rPr>
                <w:rFonts w:ascii="Cambria" w:hAnsi="Cambria" w:cs="Cambria" w:eastAsia="Cambria"/>
                <w:color w:val="1A1A1A"/>
                <w:sz w:val="18"/>
              </w:rPr>
              <w:t xml:space="preserve">RCT; miglioramenti anche di qualita di vita</w:t>
            </w:r>
          </w:p>
        </w:tc>
        <w:tc>
          <w:tcPr/>
          <w:p>
            <w:pPr>
              <w:pStyle w:val="Compact"/>
              <w:spacing w:after="40" w:before="40"/>
              <w:jc w:val="left"/>
            </w:pPr>
            <w:r>
              <w:rPr>
                <w:rFonts w:ascii="Cambria" w:hAnsi="Cambria" w:cs="Cambria" w:eastAsia="Cambria"/>
                <w:color w:val="1A1A1A"/>
                <w:sz w:val="18"/>
              </w:rPr>
              <w:t xml:space="preserve">Rimborsato (DE)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somnio / HelloBetter Schlafen</w:t>
            </w:r>
          </w:p>
        </w:tc>
        <w:tc>
          <w:tcPr>
            <w:shd w:val="clear" w:color="auto" w:fill="F4F1EC"/>
          </w:tcPr>
          <w:p>
            <w:pPr>
              <w:pStyle w:val="Compact"/>
              <w:spacing w:after="40" w:before="40"/>
              <w:jc w:val="left"/>
            </w:pPr>
            <w:r>
              <w:rPr>
                <w:rFonts w:ascii="Cambria" w:hAnsi="Cambria" w:cs="Cambria" w:eastAsia="Cambria"/>
                <w:color w:val="1A1A1A"/>
                <w:sz w:val="18"/>
              </w:rPr>
              <w:t xml:space="preserve">Insonnia non organica</w:t>
            </w:r>
          </w:p>
        </w:tc>
        <w:tc>
          <w:tcPr>
            <w:shd w:val="clear" w:color="auto" w:fill="F4F1EC"/>
          </w:tcPr>
          <w:p>
            <w:pPr>
              <w:pStyle w:val="Compact"/>
              <w:spacing w:after="40" w:before="40"/>
              <w:jc w:val="left"/>
            </w:pPr>
            <w:r>
              <w:rPr>
                <w:rFonts w:ascii="Cambria" w:hAnsi="Cambria" w:cs="Cambria" w:eastAsia="Cambria"/>
                <w:color w:val="1A1A1A"/>
                <w:sz w:val="18"/>
              </w:rPr>
              <w:t xml:space="preserve">DiGA Germania</w:t>
            </w:r>
          </w:p>
        </w:tc>
        <w:tc>
          <w:tcPr>
            <w:shd w:val="clear" w:color="auto" w:fill="F4F1EC"/>
          </w:tcPr>
          <w:p>
            <w:pPr>
              <w:pStyle w:val="Compact"/>
              <w:spacing w:after="40" w:before="40"/>
              <w:jc w:val="left"/>
            </w:pPr>
            <w:r>
              <w:rPr>
                <w:rFonts w:ascii="Cambria" w:hAnsi="Cambria" w:cs="Cambria" w:eastAsia="Cambria"/>
                <w:color w:val="1A1A1A"/>
                <w:sz w:val="18"/>
              </w:rPr>
              <w:t xml:space="preserve">CBT per l’insonnia</w:t>
            </w:r>
          </w:p>
        </w:tc>
        <w:tc>
          <w:tcPr>
            <w:shd w:val="clear" w:color="auto" w:fill="F4F1EC"/>
          </w:tcPr>
          <w:p>
            <w:pPr>
              <w:pStyle w:val="Compact"/>
              <w:spacing w:after="40" w:before="40"/>
              <w:jc w:val="left"/>
            </w:pPr>
            <w:r>
              <w:rPr>
                <w:rFonts w:ascii="Cambria" w:hAnsi="Cambria" w:cs="Cambria" w:eastAsia="Cambria"/>
                <w:color w:val="1A1A1A"/>
                <w:sz w:val="18"/>
              </w:rPr>
              <w:t xml:space="preserve">RCT a sostegno dell’iscrizione al registro</w:t>
            </w:r>
          </w:p>
        </w:tc>
        <w:tc>
          <w:tcPr>
            <w:shd w:val="clear" w:color="auto" w:fill="F4F1EC"/>
          </w:tcPr>
          <w:p>
            <w:pPr>
              <w:pStyle w:val="Compact"/>
              <w:spacing w:after="40" w:before="40"/>
              <w:jc w:val="left"/>
            </w:pPr>
            <w:r>
              <w:rPr>
                <w:rFonts w:ascii="Cambria" w:hAnsi="Cambria" w:cs="Cambria" w:eastAsia="Cambria"/>
                <w:color w:val="1A1A1A"/>
                <w:sz w:val="18"/>
              </w:rPr>
              <w:t xml:space="preserve">Rimborsato (DE)</w:t>
            </w:r>
          </w:p>
        </w:tc>
      </w:tr>
      <w:tr>
        <w:tc>
          <w:tcPr/>
          <w:p>
            <w:pPr>
              <w:pStyle w:val="Compact"/>
              <w:spacing w:after="40" w:before="40"/>
              <w:jc w:val="left"/>
            </w:pPr>
            <w:r>
              <w:rPr>
                <w:rFonts w:ascii="Cambria" w:hAnsi="Cambria" w:cs="Cambria" w:eastAsia="Cambria"/>
                <w:b/>
                <w:bCs/>
                <w:color w:val="1A1A1A"/>
                <w:sz w:val="18"/>
              </w:rPr>
              <w:t xml:space="preserve">Vorvida / NichtraucherHelden</w:t>
            </w:r>
          </w:p>
        </w:tc>
        <w:tc>
          <w:tcPr/>
          <w:p>
            <w:pPr>
              <w:pStyle w:val="Compact"/>
              <w:spacing w:after="40" w:before="40"/>
              <w:jc w:val="left"/>
            </w:pPr>
            <w:r>
              <w:rPr>
                <w:rFonts w:ascii="Cambria" w:hAnsi="Cambria" w:cs="Cambria" w:eastAsia="Cambria"/>
                <w:color w:val="1A1A1A"/>
                <w:sz w:val="18"/>
              </w:rPr>
              <w:t xml:space="preserve">Alcol / nicotina</w:t>
            </w:r>
          </w:p>
        </w:tc>
        <w:tc>
          <w:tcPr/>
          <w:p>
            <w:pPr>
              <w:pStyle w:val="Compact"/>
              <w:spacing w:after="40" w:before="40"/>
              <w:jc w:val="left"/>
            </w:pPr>
            <w:r>
              <w:rPr>
                <w:rFonts w:ascii="Cambria" w:hAnsi="Cambria" w:cs="Cambria" w:eastAsia="Cambria"/>
                <w:color w:val="1A1A1A"/>
                <w:sz w:val="18"/>
              </w:rPr>
              <w:t xml:space="preserve">DiGA Germania</w:t>
            </w:r>
          </w:p>
        </w:tc>
        <w:tc>
          <w:tcPr/>
          <w:p>
            <w:pPr>
              <w:pStyle w:val="Compact"/>
              <w:spacing w:after="40" w:before="40"/>
              <w:jc w:val="left"/>
            </w:pPr>
            <w:r>
              <w:rPr>
                <w:rFonts w:ascii="Cambria" w:hAnsi="Cambria" w:cs="Cambria" w:eastAsia="Cambria"/>
                <w:color w:val="1A1A1A"/>
                <w:sz w:val="18"/>
              </w:rPr>
              <w:t xml:space="preserve">Intervento comportamentale digitale</w:t>
            </w:r>
          </w:p>
        </w:tc>
        <w:tc>
          <w:tcPr/>
          <w:p>
            <w:pPr>
              <w:pStyle w:val="Compact"/>
              <w:spacing w:after="40" w:before="40"/>
              <w:jc w:val="left"/>
            </w:pPr>
            <w:r>
              <w:rPr>
                <w:rFonts w:ascii="Cambria" w:hAnsi="Cambria" w:cs="Cambria" w:eastAsia="Cambria"/>
                <w:color w:val="1A1A1A"/>
                <w:sz w:val="18"/>
              </w:rPr>
              <w:t xml:space="preserve">RCT (alcol); studio osservazionale (nicotina)</w:t>
            </w:r>
          </w:p>
        </w:tc>
        <w:tc>
          <w:tcPr/>
          <w:p>
            <w:pPr>
              <w:pStyle w:val="Compact"/>
              <w:spacing w:after="40" w:before="40"/>
              <w:jc w:val="left"/>
            </w:pPr>
            <w:r>
              <w:rPr>
                <w:rFonts w:ascii="Cambria" w:hAnsi="Cambria" w:cs="Cambria" w:eastAsia="Cambria"/>
                <w:color w:val="1A1A1A"/>
                <w:sz w:val="18"/>
              </w:rPr>
              <w:t xml:space="preserve">Rimborsato (DE)</w:t>
            </w:r>
          </w:p>
        </w:tc>
      </w:tr>
    </w:tbl>
    <w:p>
      <w:pPr>
        <w:pStyle w:val="BodyText"/>
      </w:pPr>
      <w:r>
        <w:rPr>
          <w:i/>
          <w:iCs/>
        </w:rPr>
        <w:t xml:space="preserve">Tabella 1. Quadro comparativo dei principali dispositivi terapeutici digitali in salute mentale e cure primarie. In azzurro i dispositivi autorizzati dalla FDA statunitense; in ambra le applicazioni iscritte nel registro tedesco DiGA. La dicitura «n.d.» indica che il dato sul rimborso non e stato reperito. Le date e i numeri sono ricavati dalle fonti citate nei paragrafi 1–3.</w:t>
      </w:r>
    </w:p>
    <w:bookmarkEnd w:id="1227"/>
    <w:bookmarkStart w:id="1231" w:name="Xbf8aeb549967ecd318409bd17198e8b64d36d8b"/>
    <w:p>
      <w:pPr>
        <w:pStyle w:val="Heading2"/>
      </w:pPr>
      <w:r>
        <w:t xml:space="preserve">5. La forza dell’evidenza: una valutazione critica</w:t>
      </w:r>
    </w:p>
    <w:p>
      <w:pPr>
        <w:pStyle w:val="FirstParagraph"/>
      </w:pPr>
      <w:r>
        <w:t xml:space="preserve">La pertinenza dei dispositivi terapeutici digitali per il servizio pubblico dipende dalla robustezza dell’evidenza che ne sostiene l’efficacia, ed è su questo punto che la categoria richiede la valutazione più attenta. Il quadro è disomogeneo. All’estremo superiore si collocano alcuni dispositivi sostenuti da studi controllati randomizzati ampi e, in un caso, da raccomandazioni di costo-efficacia di un istituto nazionale; al centro si colloca la maggioranza delle applicazioni del registro tedesco, per le quali è disponibile in prevalenza un singolo studio randomizzato con dimensione dell’effetto da bassa a media, in alcuni casi non ancora pubblicato;</w:t>
      </w:r>
      <w:r>
        <w:rPr>
          <w:rStyle w:val="FootnoteReference"/>
        </w:rPr>
        <w:footnoteReference w:id="526"/>
      </w:r>
      <w:r>
        <w:t xml:space="preserve"> </w:t>
      </w:r>
      <w:r>
        <w:t xml:space="preserve">all’estremo inferiore si trovano applicazioni la cui evidenza si fonda su studi osservazionali non controllati. La revisione sistematica più recente sulla robustezza dell’evidenza delle applicazioni rimborsabili tedesche conferma tale eterogeneità,</w:t>
      </w:r>
      <w:r>
        <w:rPr>
          <w:rStyle w:val="FootnoteReference"/>
        </w:rPr>
        <w:footnoteReference w:id="527"/>
      </w:r>
      <w:r>
        <w:t xml:space="preserve"> </w:t>
      </w:r>
      <w:r>
        <w:t xml:space="preserve">e l’avvertimento generale sulla maturità dell’evidenza nel campo dell’IA in sanità — una quota ridotta di dispositivi sostenuta da studi randomizzati e una trasparenza limitata sui dati — si estende, sia pure in misura minore, a questa categoria.</w:t>
      </w:r>
      <w:r>
        <w:rPr>
          <w:rStyle w:val="FootnoteReference"/>
        </w:rPr>
        <w:footnoteReference w:id="528"/>
      </w:r>
    </w:p>
    <w:p>
      <w:pPr>
        <w:pStyle w:val="BodyText"/>
      </w:pPr>
      <w:r>
        <w:t xml:space="preserve">Da questa valutazione discendono tre criteri operativi per la Regione. Il primo è di selezione: l’eventuale elenco regionale dovrebbe privilegiare i dispositivi sostenuti da studi controllati randomizzati pubblicati e, ove disponibili, da valutazioni di costo-efficacia indipendenti, escludendo quelli fondati su sola evidenza osservazionale. Il secondo è di validazione locale e monitoraggio prospettico degli esiti, mediante le stesse misure standardizzate già previste dal modello organizzativo, così da verificare nel contesto pugliese l’efficacia documentata altrove. Il terzo è di gradualità: l’adozione dovrebbe muovere dalle indicazioni a maggiore convergenza internazionale — in primo luogo l’insonnia, ma anche la depressione e l’ansia lievi e moderate — per estendersi alle altre soltanto a fronte di evidenza consolidata.</w:t>
      </w:r>
    </w:p>
    <w:bookmarkEnd w:id="1231"/>
    <w:bookmarkStart w:id="1238" w:name="X5d417f18b127d00c04438bdb42fec8a3100ca7a"/>
    <w:p>
      <w:pPr>
        <w:pStyle w:val="Heading2"/>
      </w:pPr>
      <w:r>
        <w:t xml:space="preserve">6. Modelli di rimborso e sostenibilità economica</w:t>
      </w:r>
    </w:p>
    <w:p>
      <w:pPr>
        <w:pStyle w:val="FirstParagraph"/>
      </w:pPr>
      <w:r>
        <w:t xml:space="preserve">La sostenibilità economica dei dispositivi terapeutici digitali dipende dall’esistenza di un meccanismo di rimborso, poiché in sua assenza il beneficio clinico non si traduce in beneficio di sistema e l’adozione resta sporadica. L’esperienza internazionale offre tre modelli. Il modello tedesco, fondato sull’iscrizione in un registro pubblico e sul rimborso da parte dell’assicurazione obbligatoria, è il più strutturato e ha reso accessibili i dispositivi a oltre settantatré milioni di persone;</w:t>
      </w:r>
      <w:r>
        <w:rPr>
          <w:rStyle w:val="FootnoteReference"/>
        </w:rPr>
        <w:footnoteReference w:id="529"/>
      </w:r>
      <w:r>
        <w:t xml:space="preserve"> </w:t>
      </w:r>
      <w:r>
        <w:t xml:space="preserve">il modello britannico, fondato sulla raccomandazione di costo-efficacia da parte dell’istituto nazionale, integra i dispositivi nei percorsi delle cure primarie ove risultino convenienti;</w:t>
      </w:r>
      <w:r>
        <w:rPr>
          <w:rStyle w:val="FootnoteReference"/>
        </w:rPr>
        <w:footnoteReference w:id="530"/>
      </w:r>
      <w:r>
        <w:t xml:space="preserve"> </w:t>
      </w:r>
      <w:r>
        <w:t xml:space="preserve">il modello statunitense, a lungo privo di un meccanismo dedicato, lo ha introdotto soltanto di recente con codici di rimborso pubblici e con l’avvio della copertura privata.</w:t>
      </w:r>
      <w:r>
        <w:rPr>
          <w:rStyle w:val="FootnoteReference"/>
        </w:rPr>
        <w:footnoteReference w:id="531"/>
      </w:r>
      <w:r>
        <w:t xml:space="preserve"> </w:t>
      </w:r>
      <w:r>
        <w:t xml:space="preserve">Per la Puglia, in assenza di un percorso nazionale, il modello tedesco costituisce il riferimento più trasferibile, sia perché opera entro il medesimo quadro europeo dei dispositivi medici, sia perché prevede la prescrizione da parte non solo dei medici ma anche degli psicoterapeuti, coerentemente con il ruolo dello psicologo di base.</w:t>
      </w:r>
    </w:p>
    <w:p>
      <w:pPr>
        <w:pStyle w:val="BodyText"/>
      </w:pPr>
      <w:r>
        <w:t xml:space="preserve">Sotto il profilo del risparmio, il contributo dei dispositivi terapeutici digitali si colloca su due canali già individuati nel capitolo integrativo. Sul canale della salute mentale, essi estendono la capacità di presa in carico del servizio per i casi lievi e moderati e nei tempi di attesa, operando come adiuvante o primo livello sotto supervisione, e concorrono così al risparmio incrementale stimato per tale canale; sul canale della farmaceutica, una migliore gestione non farmacologica dei disturbi mentali comuni e dell’insonnia riduce il ricorso inappropriato a psicofarmaci e ipnotici, concorrendo al risparmio stimato sulla spesa farmaceutica territoriale.</w:t>
      </w:r>
      <w:r>
        <w:rPr>
          <w:rStyle w:val="FootnoteReference"/>
        </w:rPr>
        <w:footnoteReference w:id="532"/>
      </w:r>
      <w:r>
        <w:t xml:space="preserve"> </w:t>
      </w:r>
      <w:r>
        <w:t xml:space="preserve">La letteratura economica conferma la plausibilità di questo effetto, avendo documentato come un trattamento della depressione assistito da tecnologie digitali possa contenere i costi a fronte di una variazione marginale degli esiti,</w:t>
      </w:r>
      <w:r>
        <w:rPr>
          <w:rStyle w:val="FootnoteReference"/>
        </w:rPr>
        <w:footnoteReference w:id="533"/>
      </w:r>
      <w:r>
        <w:t xml:space="preserve"> </w:t>
      </w:r>
      <w:r>
        <w:t xml:space="preserve">e come gli interventi digitali riducano la spesa prevalentemente attraverso la diminuzione degli accessi e delle prescrizioni non necessari.</w:t>
      </w:r>
      <w:r>
        <w:rPr>
          <w:rStyle w:val="FootnoteReference"/>
        </w:rPr>
        <w:footnoteReference w:id="534"/>
      </w:r>
    </w:p>
    <w:bookmarkEnd w:id="1238"/>
    <w:bookmarkStart w:id="1240" w:name="Xe639547d0ee88ea78aec20315372de1d095f82e"/>
    <w:p>
      <w:pPr>
        <w:pStyle w:val="Heading2"/>
      </w:pPr>
      <w:r>
        <w:t xml:space="preserve">7. Applicazione al modello pugliese dello Psicologo di Base</w:t>
      </w:r>
    </w:p>
    <w:p>
      <w:pPr>
        <w:pStyle w:val="FirstParagraph"/>
      </w:pPr>
      <w:r>
        <w:t xml:space="preserve">La traduzione della categoria nel modello pugliese richiede di definire quali dispositivi adottare, come prescriverli, come integrarli nel percorso di cura, quali competenze presupporre e quale impatto economico attendersi. Sotto il profilo della selezione, l’analisi precedente suggerisce di muovere dalle indicazioni a maggiore convergenza internazionale e di privilegiare i dispositivi a evidenza più solida, costruendo un elenco regionale ristretto e progressivamente ampliabile. Sotto il profilo della prescrizione, il modello tedesco indica una via percorribile, nella quale lo psicologo di base e il medico di medicina generale prescrivono il dispositivo entro un percorso clinico definito, dopo l’inquadramento diagnostico e l’esclusione delle controindicazioni.</w:t>
      </w:r>
    </w:p>
    <w:p>
      <w:pPr>
        <w:pStyle w:val="BodyText"/>
      </w:pPr>
      <w:r>
        <w:t xml:space="preserve">Sotto il profilo dell’integrazione, i dispositivi terapeutici digitali si collocano naturalmente nella funzione di filtro e di presa in carico precoce già propria dello psicologo di base: possono essere proposti nei tempi di attesa tra la richiesta e il primo colloquio, impiegati come primo livello per i quadri più lievi sotto supervisione, o affiancati all’intervento in presenza come adiuvante per i quadri moderati, sempre con monitoraggio degli esiti mediante misure standardizzate. La tabella seguente sintetizza il modello operativo proposto.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Soluzione proposta per il servizio pugliese</w:t>
            </w:r>
          </w:p>
        </w:tc>
      </w:tr>
      <w:tr>
        <w:tc>
          <w:tcPr/>
          <w:p>
            <w:pPr>
              <w:pStyle w:val="Compact"/>
              <w:spacing w:after="40" w:before="40"/>
              <w:jc w:val="left"/>
            </w:pPr>
            <w:r>
              <w:rPr>
                <w:rFonts w:ascii="Cambria" w:hAnsi="Cambria" w:cs="Cambria" w:eastAsia="Cambria"/>
                <w:b/>
                <w:bCs/>
                <w:color w:val="1A1A1A"/>
                <w:sz w:val="18"/>
              </w:rPr>
              <w:t xml:space="preserve">Selezione</w:t>
            </w:r>
          </w:p>
        </w:tc>
        <w:tc>
          <w:tcPr/>
          <w:p>
            <w:pPr>
              <w:pStyle w:val="Compact"/>
              <w:spacing w:after="40" w:before="40"/>
              <w:jc w:val="left"/>
            </w:pPr>
            <w:r>
              <w:rPr>
                <w:rFonts w:ascii="Cambria" w:hAnsi="Cambria" w:cs="Cambria" w:eastAsia="Cambria"/>
                <w:color w:val="1A1A1A"/>
                <w:sz w:val="18"/>
              </w:rPr>
              <w:t xml:space="preserve">Elenco regionale ristretto, costruito su evidenza da studi randomizzati pubblicati e su conformita al Regolamento dispositivi medici e, ove pertinente, al Regolamento europeo sull’IA; avvio dalle indicazioni a maggiore convergenza (insonnia, depressione e ansia lievi-moderate).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Prescrizione</w:t>
            </w:r>
          </w:p>
        </w:tc>
        <w:tc>
          <w:tcPr>
            <w:shd w:val="clear" w:color="auto" w:fill="F4F1EC"/>
          </w:tcPr>
          <w:p>
            <w:pPr>
              <w:pStyle w:val="Compact"/>
              <w:spacing w:after="40" w:before="40"/>
              <w:jc w:val="left"/>
            </w:pPr>
            <w:r>
              <w:rPr>
                <w:rFonts w:ascii="Cambria" w:hAnsi="Cambria" w:cs="Cambria" w:eastAsia="Cambria"/>
                <w:color w:val="1A1A1A"/>
                <w:sz w:val="18"/>
              </w:rPr>
              <w:t xml:space="preserve">Prescrizione da parte dello psicologo di base e del medico di medicina generale, dopo inquadramento diagnostico ed esclusione delle controindicazioni (quadri psicotici, bipolari, da uso di sostanze, rischio suicidario).</w:t>
            </w:r>
          </w:p>
        </w:tc>
      </w:tr>
      <w:tr>
        <w:tc>
          <w:tcPr/>
          <w:p>
            <w:pPr>
              <w:pStyle w:val="Compact"/>
              <w:spacing w:after="40" w:before="40"/>
              <w:jc w:val="left"/>
            </w:pPr>
            <w:r>
              <w:rPr>
                <w:rFonts w:ascii="Cambria" w:hAnsi="Cambria" w:cs="Cambria" w:eastAsia="Cambria"/>
                <w:b/>
                <w:bCs/>
                <w:color w:val="1A1A1A"/>
                <w:sz w:val="18"/>
              </w:rPr>
              <w:t xml:space="preserve">Integrazione</w:t>
            </w:r>
          </w:p>
        </w:tc>
        <w:tc>
          <w:tcPr/>
          <w:p>
            <w:pPr>
              <w:pStyle w:val="Compact"/>
              <w:spacing w:after="40" w:before="40"/>
              <w:jc w:val="left"/>
            </w:pPr>
            <w:r>
              <w:rPr>
                <w:rFonts w:ascii="Cambria" w:hAnsi="Cambria" w:cs="Cambria" w:eastAsia="Cambria"/>
                <w:color w:val="1A1A1A"/>
                <w:sz w:val="18"/>
              </w:rPr>
              <w:t xml:space="preserve">Impiego nei tempi di attesa, come primo livello sotto supervisione per i quadri lievi, o come adiuvante dell’intervento in presenza per i quadri moderati; monitoraggio degli esiti con misure standardizzate.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Formazione</w:t>
            </w:r>
          </w:p>
        </w:tc>
        <w:tc>
          <w:tcPr>
            <w:shd w:val="clear" w:color="auto" w:fill="F4F1EC"/>
          </w:tcPr>
          <w:p>
            <w:pPr>
              <w:pStyle w:val="Compact"/>
              <w:spacing w:after="40" w:before="40"/>
              <w:jc w:val="left"/>
            </w:pPr>
            <w:r>
              <w:rPr>
                <w:rFonts w:ascii="Cambria" w:hAnsi="Cambria" w:cs="Cambria" w:eastAsia="Cambria"/>
                <w:color w:val="1A1A1A"/>
                <w:sz w:val="18"/>
              </w:rPr>
              <w:t xml:space="preserve">Formazione dei professionisti alla selezione del dispositivo appropriato, all’interpretazione degli esiti e alla gestione delle controindicazioni; accompagnamento operativo nelle prime settimane.</w:t>
            </w:r>
          </w:p>
        </w:tc>
      </w:tr>
      <w:tr>
        <w:tc>
          <w:tcPr/>
          <w:p>
            <w:pPr>
              <w:pStyle w:val="Compact"/>
              <w:spacing w:after="40" w:before="40"/>
              <w:jc w:val="left"/>
            </w:pPr>
            <w:r>
              <w:rPr>
                <w:rFonts w:ascii="Cambria" w:hAnsi="Cambria" w:cs="Cambria" w:eastAsia="Cambria"/>
                <w:b/>
                <w:bCs/>
                <w:color w:val="1A1A1A"/>
                <w:sz w:val="18"/>
              </w:rPr>
              <w:t xml:space="preserve">Impatto economico</w:t>
            </w:r>
          </w:p>
        </w:tc>
        <w:tc>
          <w:tcPr/>
          <w:p>
            <w:pPr>
              <w:pStyle w:val="Compact"/>
              <w:spacing w:after="40" w:before="40"/>
              <w:jc w:val="left"/>
            </w:pPr>
            <w:r>
              <w:rPr>
                <w:rFonts w:ascii="Cambria" w:hAnsi="Cambria" w:cs="Cambria" w:eastAsia="Cambria"/>
                <w:color w:val="1A1A1A"/>
                <w:sz w:val="18"/>
              </w:rPr>
              <w:t xml:space="preserve">Contributo ai canali «salute mentale» (estensione della capacita di presa in carico) e «farmaceutica» (riduzione del ricorso inappropriato a psicofarmaci e ipnotici) gia quantificati nel capitolo integrativo.</w:t>
            </w:r>
          </w:p>
        </w:tc>
      </w:tr>
    </w:tbl>
    <w:p>
      <w:pPr>
        <w:pStyle w:val="BodyText"/>
      </w:pPr>
      <w:r>
        <w:rPr>
          <w:i/>
          <w:iCs/>
        </w:rPr>
        <w:t xml:space="preserve">Tabella 2. Modello operativo proposto per l’integrazione dei dispositivi terapeutici digitali nel servizio di psicologia di base pugliese.</w:t>
      </w:r>
    </w:p>
    <w:p>
      <w:pPr>
        <w:pStyle w:val="BodyText"/>
      </w:pPr>
      <w:r>
        <w:t xml:space="preserve">Sotto il profilo della formazione, l’adozione dei dispositivi terapeutici digitali presuppone competenze specifiche che rientrano nell’architettura formativa già delineata: la capacità di selezionare il dispositivo appropriato all’indicazione e al profilo del paziente, di escludere le controindicazioni, di integrarlo nel percorso e di interpretarne gli esiti. Tali competenze sono generabili attraverso la formazione continua e l’accompagnamento operativo, e il personale può attingere ai percorsi formativi già disponibili presso le istituzioni sanitarie nazionali.</w:t>
      </w:r>
      <w:r>
        <w:rPr>
          <w:rStyle w:val="FootnoteReference"/>
        </w:rPr>
        <w:footnoteReference w:id="535"/>
      </w:r>
      <w:r>
        <w:t xml:space="preserve"> </w:t>
      </w:r>
      <w:r>
        <w:t xml:space="preserve">Sotto il profilo economico, infine, il contributo dei dispositivi terapeutici digitali è già ricompreso nei canali «salute mentale» e «farmaceutica» della quantificazione del capitolo integrativo, e non va pertanto sommato a essa, ma ne costituisce una delle componenti operative; la presente analisi ne precisa gli strumenti concreti e le condizioni di adozione.</w:t>
      </w:r>
    </w:p>
    <w:bookmarkEnd w:id="1240"/>
    <w:bookmarkStart w:id="1244" w:name="Xcf20394e4e8e81b180fe6b2eda011ea0fd3844a"/>
    <w:p>
      <w:pPr>
        <w:pStyle w:val="Heading2"/>
      </w:pPr>
      <w:r>
        <w:t xml:space="preserve">8. Cautele e condizioni di impiego responsabile</w:t>
      </w:r>
    </w:p>
    <w:p>
      <w:pPr>
        <w:pStyle w:val="FirstParagraph"/>
      </w:pPr>
      <w:r>
        <w:t xml:space="preserve">L’adozione dei dispositivi terapeutici digitali richiede l’osservanza di alcune cautele, che ne condizionano l’impiego responsabile e la sostenibilità nel tempo. La prima riguarda l’evidenza, disomogenea e in evoluzione, e impone i criteri di selezione, validazione locale e gradualità già illustrati. La seconda riguarda la protezione dei dati e la riservatezza: i dispositivi raccolgono informazioni cliniche sensibili, e la loro adozione presuppone garanzie robuste di sicurezza informatica, trasparenza sul trattamento dei dati e consenso informato espresso in forma chiara, profili che il quadro europeo e nazionale disciplina e che la Regione dovrà presidiare. La terza riguarda l’equità digitale: l’efficacia dei dispositivi presuppone una sufficiente alfabetizzazione e dotazione tecnologica del paziente, e il loro impiego non deve generare disuguaglianze a danno delle persone anziane, fragili o a bassa competenza digitale, per le quali va sempre garantita l’alternativa dell’intervento in presenza.</w:t>
      </w:r>
    </w:p>
    <w:p>
      <w:pPr>
        <w:pStyle w:val="BodyText"/>
      </w:pPr>
      <w:r>
        <w:t xml:space="preserve">La quarta cautela, dirimente, riguarda la supervisione clinica e il ruolo del professionista. I dispositivi terapeutici digitali sono concepiti per operare entro un percorso di cura e sotto supervisione, non in autonomia, e le diagnosi di esclusione ne confinano l’impiego ai quadri lievi e moderati;</w:t>
      </w:r>
      <w:r>
        <w:rPr>
          <w:rStyle w:val="FootnoteReference"/>
        </w:rPr>
        <w:footnoteReference w:id="536"/>
      </w:r>
      <w:r>
        <w:t xml:space="preserve"> </w:t>
      </w:r>
      <w:r>
        <w:t xml:space="preserve">la stessa evidenza più avanzata sugli agenti conversazionali generativi conferma che nessuno strumento è oggi idoneo a operare senza supervisione in salute mentale.</w:t>
      </w:r>
      <w:r>
        <w:rPr>
          <w:rStyle w:val="FootnoteReference"/>
        </w:rPr>
        <w:footnoteReference w:id="537"/>
      </w:r>
      <w:r>
        <w:t xml:space="preserve"> </w:t>
      </w:r>
      <w:r>
        <w:t xml:space="preserve">Ne discende che il dispositivo non sostituisce lo psicologo di base, ma ne estende la capacità di presa in carico, e che la competenza del professionista — nella selezione, nella supervisione e nel riconoscimento dei casi che richiedono l’intervento diretto — è parte integrante della sicurezza del sistema. La quinta cautela, infine, è la conformità regolatoria: i dispositivi che incorporano IA adattiva dovranno essere conformi al Regolamento europeo sull’IA entro le scadenze previste,</w:t>
      </w:r>
      <w:r>
        <w:rPr>
          <w:rStyle w:val="FootnoteReference"/>
        </w:rPr>
        <w:footnoteReference w:id="538"/>
      </w:r>
      <w:r>
        <w:t xml:space="preserve"> </w:t>
      </w:r>
      <w:r>
        <w:t xml:space="preserve">e la selezione regionale dovrà verificarne il rispetto.</w:t>
      </w:r>
    </w:p>
    <w:bookmarkEnd w:id="1244"/>
    <w:bookmarkStart w:id="1245" w:name="conclusioni"/>
    <w:p>
      <w:pPr>
        <w:pStyle w:val="Heading2"/>
      </w:pPr>
      <w:r>
        <w:t xml:space="preserve">9. Conclusioni</w:t>
      </w:r>
    </w:p>
    <w:p>
      <w:pPr>
        <w:pStyle w:val="FirstParagraph"/>
      </w:pPr>
      <w:r>
        <w:t xml:space="preserve">I dispositivi terapeutici digitali su prescrizione costituiscono una categoria matura sotto il profilo regolatorio e di crescente rilievo clinico, particolarmente pertinente per il servizio di psicologia di base in ragione della loro efficacia documentata sui disturbi mentali comuni — depressione, ansia, insonnia — che sono i più frequenti nelle cure primarie. L’esperienza internazionale, e in primo luogo il modello tedesco, dimostra che tali dispositivi possono essere prescritti dai professionisti, incluso lo psicologo, e rimborsati dal sistema sanitario, estendendo la capacità di presa in carico senza sostituire la relazione clinica. Per la Puglia, in assenza di un percorso nazionale, si apre la possibilità di un ruolo pilota: la costruzione, in via sperimentale e nel rispetto della disciplina europea, di un elenco regionale di dispositivi validati prescrivibili nell’ambito del servizio di psicologia di base, accompagnata da criteri rigorosi di selezione, prescrizione, supervisione e monitoraggio.</w:t>
      </w:r>
    </w:p>
    <w:p>
      <w:pPr>
        <w:pStyle w:val="BodyText"/>
      </w:pPr>
      <w:r>
        <w:t xml:space="preserve">Tre condizioni rendono questa prospettiva concreta e responsabile. La selezione fondata sull’evidenza più solida e sulla conformità regolatoria; la formazione dei professionisti alla selezione, alla supervisione e all’interpretazione degli esiti, generabile attraverso la formazione continua e l’accompagnamento; e la salvaguardia dell’equità e della centralità della relazione clinica, mediante la garanzia costante dell’alternativa in presenza per le persone a bassa competenza digitale. A queste condizioni, i dispositivi terapeutici digitali concorrono al risparmio già quantificato sui canali della salute mentale e della farmaceutica, e contribuiscono a fare del servizio di psicologia di base pugliese un modello avanzato e sostenibile di integrazione tra intervento professionale e strumenti digitali validati.</w:t>
      </w:r>
    </w:p>
    <w:p>
      <w:r>
        <w:br w:type="page"/>
      </w:r>
    </w:p>
    <w:bookmarkEnd w:id="1245"/>
    <w:bookmarkEnd w:id="1246"/>
    <w:bookmarkStart w:id="1302" w:name="Xdee850d477f3d3cd6a9923896741425601f0b3f"/>
    <w:p>
      <w:pPr>
        <w:pStyle w:val="Heading1"/>
      </w:pPr>
      <w:r>
        <w:t xml:space="preserve">Appendice XIII — Approfondimento evidence-based internazionale sull’Intelligenza Artificiale</w:t>
      </w:r>
    </w:p>
    <w:p>
      <w:pPr>
        <w:pStyle w:val="FirstParagraph"/>
      </w:pPr>
      <w:r>
        <w:t xml:space="preserve">Approfondimento evidence-based internazionale ��� L’Intelligenza Artificiale in sanit�� applicata al modello ��Psicologo di Base�� in Puglia</w:t>
      </w:r>
    </w:p>
    <w:p>
      <w:pPr>
        <w:pStyle w:val="BodyText"/>
      </w:pPr>
      <w:r>
        <w:t xml:space="preserve">Table of Contents</w:t>
      </w:r>
    </w:p>
    <w:bookmarkStart w:id="1248" w:name="X0bf9ed2f08efbba95c3aba2addd5d63acfac40a"/>
    <w:p>
      <w:pPr>
        <w:pStyle w:val="Heading2"/>
      </w:pPr>
      <w:r>
        <w:t xml:space="preserve">Approfondimento evidence-based internazionale</w:t>
      </w:r>
    </w:p>
    <w:bookmarkStart w:id="1247" w:name="X06f248aa3522f85c6a3576d69031527b9cfb502"/>
    <w:p>
      <w:pPr>
        <w:pStyle w:val="Heading3"/>
      </w:pPr>
      <w:r>
        <w:t xml:space="preserve">Le potenzialità dell’Intelligenza Artificiale in ambito medico-sanitario applicate al modello «Psicologo di Base» e alle cure primarie della Regione Puglia</w:t>
      </w:r>
    </w:p>
    <w:bookmarkEnd w:id="1247"/>
    <w:bookmarkEnd w:id="1248"/>
    <w:bookmarkStart w:id="1251" w:name="X8d0df2ab26162175cfcb7d84591e2ce2f63f39c"/>
    <w:p>
      <w:pPr>
        <w:pStyle w:val="Heading2"/>
      </w:pPr>
      <w:r>
        <w:t xml:space="preserve">1. Quadro, mandato e metodo di gradazione dell’evidenza</w:t>
      </w:r>
    </w:p>
    <w:p>
      <w:pPr>
        <w:pStyle w:val="FirstParagraph"/>
      </w:pPr>
      <w:r>
        <w:t xml:space="preserve">Il presente approfondimento si colloca a valle dell’impianto già consolidato dello studio sulla formazione all’Intelligenza Artificiale nel modello «Psicologo di Base» e ne costituisce l’estensione documentale orientata a un obiettivo circoscritto: stabilire, su base sistematicamente verificabile, in quale misura l’adozione governata dell’Intelligenza Artificiale possa incrementare la riduzione della spesa sanitaria regionale già stimata per il modello, e con quale grado di solidità le evidenze internazionali sostengano tale incremento. La domanda non è se l’Intelligenza Artificiale produca effetti, ma quanto di quegli effetti sia traducibile, con cautela e in forma falsificabile, in risparmio diretto per il Servizio Sanitario Regionale pugliese, senza che la prospettiva di efficienza comprima la qualità o l’accessibilità delle cure.</w:t>
      </w:r>
    </w:p>
    <w:p>
      <w:pPr>
        <w:pStyle w:val="BodyText"/>
      </w:pPr>
      <w:r>
        <w:t xml:space="preserve">Il mandato impone una disciplina metodologica che attraversa l’intero capitolo e che è opportuno esplicitare in apertura. In primo luogo, i risparmi diretti, intesi come minori esborsi a carico del Servizio Sanitario Regionale, sono tenuti rigorosamente distinti dai risparmi indiretti, riferiti alla produttività, alla riduzione delle assenze e al miglioramento della qualità della vita; le due categorie non vengono in alcun punto sommate in un’unica grandezza, e ogni stima è ricondotta alla sua sfera di pertinenza. In secondo luogo, la quantificazione procede per bande prudenziali e per previsioni falsificabili, non per valori puntuali presentati come certezze. In terzo luogo, la gradazione dell’evidenza è applicata in modo simmetrico: le affermazioni sull’efficacia dell’Intelligenza Artificiale sono sottoposte allo stesso scrutinio metodologico riservato alle affermazioni di natura clinica ed economica, e laddove l’evidenza sia preliminare, derivante da campioni ridotti o da letteratura grigia, ciò è dichiarato in modo esplicito.</w:t>
      </w:r>
    </w:p>
    <w:p>
      <w:pPr>
        <w:pStyle w:val="BodyText"/>
      </w:pPr>
      <w:r>
        <w:t xml:space="preserve">A questa disciplina si aggiunge un principio di ancoraggio. Le grandezze economiche del modello pugliese non vengono qui rinegoziate: il capitolo assume come riferimento i valori già validati nello studio, ovvero un risparmio diretto a regime per il solo Servizio Sanitario Regionale dell’ordine dei duecentosettanta milioni di euro annui nello scenario di pieno dispiegamento del Servizio di Psicologia di Base, a fronte di un costo annuo del servizio stimato fra trentotto e quarantuno milioni di euro, con un rapporto fra risparmi diretti e costo collocato in un intervallo plausibile e prudenziale.</w:t>
      </w:r>
      <w:r>
        <w:rPr>
          <w:rStyle w:val="FootnoteReference"/>
        </w:rPr>
        <w:footnoteReference w:id="539"/>
      </w:r>
      <w:r>
        <w:t xml:space="preserve"> </w:t>
      </w:r>
      <w:r>
        <w:t xml:space="preserve">L’esercizio del presente capitolo consiste nel valutare lo strato incrementale che l’Intelligenza Artificiale può aggiungere a tale base, non nel ricostruire la base medesima. Coerentemente, si rinuncia in modo deliberato a ogni rapporto di ritorno economico di ordine molto elevato che taluni materiali divulgativi della fase iniziale del progetto avevano prospettato, in quanto non sorretto da evidenza falsificabile; e si conserva, quale criterio di sobrietà, il monito che proviene dalla sperimentazione clinica più rigorosa in materia di integrazione della cura psicologica nelle cure primarie, la quale ha documentato che i risparmi sui costi sanitari, pur presenti come tendenza, non sempre raggiungono la significatività statistica, con intervalli di confidenza che attraversano lo zero.</w:t>
      </w:r>
      <w:r>
        <w:rPr>
          <w:rStyle w:val="FootnoteReference"/>
        </w:rPr>
        <w:footnoteReference w:id="540"/>
      </w:r>
    </w:p>
    <w:p>
      <w:pPr>
        <w:pStyle w:val="BodyText"/>
      </w:pPr>
      <w:r>
        <w:t xml:space="preserve">Il metodo di gradazione adottato distingue tre livelli di robustezza. Al livello più alto si collocano le revisioni sistematiche con meta-analisi e gli studi randomizzati controllati condotti secondo standard di rendicontazione dedicati all’Intelligenza Artificiale; a un livello intermedio si pongono gli studi di coorte, le valutazioni pragmatiche e gli studi di miglioramento della qualità su ampia scala; al livello inferiore, infine, si situano gli studi pilota, le valutazioni di fattibilità e la letteratura grigia, utili a indicare la direzione del fenomeno ma non a fondare stime economiche puntuali. Questa scala accompagna l’intera trattazione e governa il peso attribuito a ciascun dato nella costruzione, nel capitolo conclusivo, delle bande di risparmio incrementale.</w:t>
      </w:r>
    </w:p>
    <w:bookmarkEnd w:id="1251"/>
    <w:bookmarkStart w:id="1258" w:name="X7822f3f42e23edd31eac34377f7e19387edd689"/>
    <w:p>
      <w:pPr>
        <w:pStyle w:val="Heading2"/>
      </w:pPr>
      <w:r>
        <w:t xml:space="preserve">2. La diagnostica assistita dall’Intelligenza Artificiale</w:t>
      </w:r>
    </w:p>
    <w:p>
      <w:pPr>
        <w:pStyle w:val="FirstParagraph"/>
      </w:pPr>
      <w:r>
        <w:t xml:space="preserve">La diagnostica rappresenta l’ambito in cui l’evidenza internazionale ha raggiunto la maggiore maturità, ed è anche quello in cui il volume regolatorio fornisce una misura indiretta della solidità applicativa. Alla primavera del 2024 l’autorità regolatoria statunitense aveva autorizzato un numero di dispositivi medici basati su intelligenza artificiale o apprendimento automatico dell’ordine delle diverse centinaia, mentre l’omologa autorità cinese aveva approvato un insieme più ristretto ma crescente di dispositivi diagnostici assistiti; tale massa critica di autorizzazioni segnala il passaggio della diagnostica algoritmica dalla fase sperimentale a quella dell’impiego clinico regolato.</w:t>
      </w:r>
      <w:r>
        <w:rPr>
          <w:rStyle w:val="FootnoteReference"/>
        </w:rPr>
        <w:footnoteReference w:id="541"/>
      </w:r>
      <w:r>
        <w:t xml:space="preserve"> </w:t>
      </w:r>
      <w:r>
        <w:t xml:space="preserve">La rilevanza di questo dato per il modello pugliese risiede nel fatto che la diagnostica assorbe una quota cospicua della spesa sanitaria regionale, e che ogni miglioramento della appropriatezza prescrittiva e della accuratezza al punto di cura si traduce potenzialmente in minori esami ridondanti e in minori invii inappropriati al secondo livello.</w:t>
      </w:r>
    </w:p>
    <w:p>
      <w:pPr>
        <w:pStyle w:val="BodyText"/>
      </w:pPr>
      <w:r>
        <w:t xml:space="preserve">L’evidenza sulla accuratezza diagnostica nelle cure primarie è quantitativamente articolata e, al tempo stesso, eterogenea. Una revisione sistematica condotta secondo le linee guida di rendicontazione per le revisioni e le meta-analisi, dedicata all’impiego dell’intelligenza artificiale per la diagnosi delle patologie cutanee nei contesti di cure primarie, ha rilevato valori di sensibilità distribuiti in un intervallo ampio e valori di accuratezza compresi fra livelli modesti e livelli elevati, segnalando come la prestazione dipenda in misura determinante dalla qualità e dalla rappresentatività dei dati di addestramento e come la trasferibilità a popolazioni diverse da quelle di sviluppo richieda prudenza.</w:t>
      </w:r>
      <w:r>
        <w:rPr>
          <w:rStyle w:val="FootnoteReference"/>
        </w:rPr>
        <w:footnoteReference w:id="542"/>
      </w:r>
      <w:r>
        <w:t xml:space="preserve"> </w:t>
      </w:r>
      <w:r>
        <w:t xml:space="preserve">Questa eterogeneità non smentisce il potenziale, ma ne circoscrive la traduzione economica: il beneficio è reale dove l’algoritmo è validato sulla popolazione di impiego, ed è incerto altrove.</w:t>
      </w:r>
    </w:p>
    <w:p>
      <w:pPr>
        <w:pStyle w:val="BodyText"/>
      </w:pPr>
      <w:r>
        <w:t xml:space="preserve">Una linea di ricerca particolarmente pertinente al contesto delle cure primarie è quella dei modelli predittivi diagnostici fondati sui dati del fascicolo sanitario elettronico. Una revisione sistematica recente ha esaminato lo stato di questi modelli, evidenziando come la trasformazione dei dati clinici di routine in strumenti predittivi possa sostenere il medico di base nella formulazione di diagnosi più tempestive e accurate, e segnalando, al contempo, la persistenza di un rischio di distorsione e di problemi di applicabilità che impongono una validazione locale prima dell’adozione su larga scala.</w:t>
      </w:r>
      <w:r>
        <w:rPr>
          <w:rStyle w:val="FootnoteReference"/>
        </w:rPr>
        <w:footnoteReference w:id="543"/>
      </w:r>
      <w:r>
        <w:t xml:space="preserve"> </w:t>
      </w:r>
      <w:r>
        <w:t xml:space="preserve">A questa si affianca una revisione di portata più ampia sull’intelligenza artificiale nelle cure primarie, che ha classificato in modo tematico decine di studi e ha confermato la prevalenza di disegni quantitativi orientati all’accuratezza diagnostica e alla validazione, accanto a un numero ancora limitato di valutazioni dell’implementazione nel mondo reale.</w:t>
      </w:r>
      <w:r>
        <w:rPr>
          <w:rStyle w:val="FootnoteReference"/>
        </w:rPr>
        <w:footnoteReference w:id="544"/>
      </w:r>
    </w:p>
    <w:p>
      <w:pPr>
        <w:pStyle w:val="BodyText"/>
      </w:pPr>
      <w:r>
        <w:t xml:space="preserve">Sul versante della efficienza diagnostica, alcune valutazioni indicano riduzioni significative dei tempi di interpretazione: in ambito di imaging, l’applicazione di reti neurali convoluzionali ha consentito di abbattere in misura rilevante il tempo necessario alla lettura di esami complessi, liberando capacità specialistica e accorciando i percorsi.</w:t>
      </w:r>
      <w:r>
        <w:rPr>
          <w:rStyle w:val="FootnoteReference"/>
        </w:rPr>
        <w:footnoteReference w:id="545"/>
      </w:r>
      <w:r>
        <w:t xml:space="preserve"> </w:t>
      </w:r>
      <w:r>
        <w:t xml:space="preserve">Va tuttavia osservato che una parte della letteratura che riporta vantaggi cospicui in termini di accuratezza, di tempo alla diagnosi e di costi diagnostici proviene da studi di qualità metodologica disomogenea, talora pubblicati in sedi la cui affidabilità editoriale richiede cautela; tali risultati, ancorché incoraggianti, vanno collocati al livello inferiore della scala di gradazione e non utilizzati come base per stime economiche puntuali.</w:t>
      </w:r>
      <w:r>
        <w:rPr>
          <w:rStyle w:val="FootnoteReference"/>
        </w:rPr>
        <w:footnoteReference w:id="546"/>
      </w:r>
      <w:r>
        <w:t xml:space="preserve"> </w:t>
      </w:r>
      <w:r>
        <w:t xml:space="preserve">La conclusione prudente è che la diagnostica assistita possieda un potenziale di risparmio diretto credibile, concentrato nella riduzione della ridondanza e nel miglioramento dell’appropriatezza, ma che la sua entità debba essere stimata per bande e subordinata alla validazione locale degli strumenti.</w:t>
      </w:r>
    </w:p>
    <w:bookmarkEnd w:id="1258"/>
    <w:bookmarkStart w:id="1260" w:name="X5aff381440400060bf2fab72629e0bf38658344"/>
    <w:p>
      <w:pPr>
        <w:pStyle w:val="Heading2"/>
      </w:pPr>
      <w:r>
        <w:t xml:space="preserve">3. La prevenzione e la stratificazione del rischio</w:t>
      </w:r>
    </w:p>
    <w:p>
      <w:pPr>
        <w:pStyle w:val="FirstParagraph"/>
      </w:pPr>
      <w:r>
        <w:t xml:space="preserve">La prevenzione costituisce il dominio in cui la logica economica del modello «Psicologo di Base» e quella dell’Intelligenza Artificiale convergono con maggiore coerenza, poiché entrambe agiscono spostando l’intervento a monte dell’aggravamento e sottraendo così domanda ai livelli di cura più costosi. Gli strumenti algoritmici di stratificazione del rischio, alimentati dai dati longitudinali del fascicolo sanitario elettronico, consentono di identificare in anticipo i soggetti a maggiore probabilità di esito sfavorevole e di indirizzare verso di essi le risorse preventive, secondo una logica di allocazione selettiva che è precisamente quella su cui si fonda il risparmio diretto del modello.</w:t>
      </w:r>
      <w:r>
        <w:rPr>
          <w:rStyle w:val="FootnoteReference"/>
        </w:rPr>
        <w:footnoteReference w:id="547"/>
      </w:r>
      <w:r>
        <w:t xml:space="preserve"> </w:t>
      </w:r>
      <w:r>
        <w:t xml:space="preserve">La medesima infrastruttura predittiva che sostiene la diagnostica, ricalibrata sull’orizzonte temporale della prevenzione, abilita la programmazione proattiva dei controlli e l’intercettazione precoce delle traiettorie di cronicizzazione.</w:t>
      </w:r>
    </w:p>
    <w:p>
      <w:pPr>
        <w:pStyle w:val="BodyText"/>
      </w:pPr>
      <w:r>
        <w:t xml:space="preserve">L’evidenza in questo ambito è meno consolidata di quella diagnostica e va dichiarata come tale. La maggior parte dei modelli predittivi pubblicati riporta metriche di prestazione su coorti retrospettive, mentre le valutazioni prospettiche dell’impatto della stratificazione sul consumo di risorse e sugli esiti sono ancora numericamente limitate. Ne consegue che la prevenzione assistita dall’Intelligenza Artificiale debba essere trattata, ai fini della quantificazione, come un dominio a evidenza intermedia, il cui contributo al risparmio diretto è plausibile ma non ancora misurato con la robustezza che caratterizza altri ambiti. Questa cautela è coerente con il principio di gradazione simmetrica: la promessa preventiva dell’Intelligenza Artificiale è sottoposta allo stesso scrutinio che lo studio riserva alla quantificazione dell’effetto filtro esercitato dallo psicologo di base, per il quale i risparmi sono stimati con bande prudenziali e non con valori puntuali.</w:t>
      </w:r>
    </w:p>
    <w:p>
      <w:pPr>
        <w:pStyle w:val="BodyText"/>
      </w:pPr>
      <w:r>
        <w:t xml:space="preserve">La rilevanza per la Puglia di questo dominio è duplice. Sul piano clinico, la stratificazione consente di concentrare l’azione preventiva del medico e dello psicologo di base sui segmenti di popolazione a maggior rischio, in una regione in cui il bisogno psicologico non intercettato è ampio e la capacità di presa in carico è storicamente inferiore alla domanda. Sul piano economico, ogni aggravamento evitato sottrae spesa a comparti ad alto costo unitario, dalla specialistica all’ospedaliero, secondo la stessa catena causale che genera il risparmio diretto del modello base. La quantificazione di questo contributo, tuttavia, è rinviata alla sezione conclusiva e ivi espressa come banda, in ragione della maturità ancora parziale dell’evidenza.</w:t>
      </w:r>
    </w:p>
    <w:bookmarkEnd w:id="1260"/>
    <w:bookmarkStart w:id="1263" w:name="X8ffd65b157de24e9854931c931ae3346dfc3a41"/>
    <w:p>
      <w:pPr>
        <w:pStyle w:val="Heading2"/>
      </w:pPr>
      <w:r>
        <w:t xml:space="preserve">4. Il trattamento e il supporto alle decisioni cliniche</w:t>
      </w:r>
    </w:p>
    <w:p>
      <w:pPr>
        <w:pStyle w:val="FirstParagraph"/>
      </w:pPr>
      <w:r>
        <w:t xml:space="preserve">Nel dominio del trattamento, l’Intelligenza Artificiale interviene prevalentemente come sistema di supporto alle decisioni, ossia come strumento che affianca il giudizio clinico senza sostituirlo, suggerendo opzioni, segnalando incongruenze prescrittive e riducendo la variabilità ingiustificata. Il valore economico di questa funzione risiede nella riduzione degli esami non necessari, nella diminuzione degli invii inappropriati al secondo livello e nel miglioramento dell’aderenza ai percorsi diagnostico-terapeutici. Alcune valutazioni comparative condotte in contesti di cure primarie hanno riportato, a favore della diagnosi assistita, una maggiore accuratezza, un minor tempo alla decisione e un numero inferiore di esami richiesti rispetto all’approccio tradizionale; tali risultati, però, provengono in parte da studi di qualità metodologica disomogenea e vanno pertanto interpretati come indicazioni direzionali piuttosto che come basi quantitative consolidate.</w:t>
      </w:r>
      <w:r>
        <w:rPr>
          <w:rStyle w:val="FootnoteReference"/>
        </w:rPr>
        <w:footnoteReference w:id="548"/>
      </w:r>
    </w:p>
    <w:p>
      <w:pPr>
        <w:pStyle w:val="BodyText"/>
      </w:pPr>
      <w:r>
        <w:t xml:space="preserve">La cautela metodologica in questo ambito non è un mero ossequio formale, ma discende dalla natura stessa dell’evidenza disponibile. La sperimentazione più rigorosa in tema di integrazione della cura psicologica e del supporto strutturato nelle cure primarie ha mostrato che, accanto a benefici clinici documentati, i risparmi sui costi sanitari possono non raggiungere la significatività statistica, con intervalli di confidenza che includono lo zero.</w:t>
      </w:r>
      <w:r>
        <w:rPr>
          <w:rStyle w:val="FootnoteReference"/>
        </w:rPr>
        <w:footnoteReference w:id="549"/>
      </w:r>
      <w:r>
        <w:t xml:space="preserve"> </w:t>
      </w:r>
      <w:r>
        <w:t xml:space="preserve">Questo monito si applica per analogia al supporto decisionale algoritmico: l’effetto sull’efficienza è plausibile e teoricamente fondato, ma la sua quantificazione economica deve incorporare l’incertezza e rinunciare a proiezioni puntuali. La banda di risparmio diretto attribuibile al trattamento assistito, di conseguenza, è costruita nella sezione conclusiva con ampiezza tale da riflettere questa incertezza.</w:t>
      </w:r>
    </w:p>
    <w:p>
      <w:pPr>
        <w:pStyle w:val="BodyText"/>
      </w:pPr>
      <w:r>
        <w:t xml:space="preserve">Un aspetto rilevante del supporto decisionale riguarda la sua interazione con la figura dello psicologo di base. Nei percorsi di stepped care, la disponibilità di strumenti che orientano la scelta dell’intensità di trattamento in funzione della gravità consente di riservare le risorse specialistiche ai casi che ne hanno effettivo bisogno, riducendo sia il sovratrattamento dei casi lievi sia il sottotrattamento dei casi gravi. Questo allineamento fra supporto algoritmico e logica organizzativa del modello costituisce un fattore di amplificazione del risparmio diretto, poiché agisce sulla appropriatezza dell’allocazione, che è la leva economica principale dell’intero impianto.</w:t>
      </w:r>
    </w:p>
    <w:bookmarkEnd w:id="1263"/>
    <w:bookmarkStart w:id="1269" w:name="Xbb6275d1155bc53f5915a0299ee93f7fb84f558"/>
    <w:p>
      <w:pPr>
        <w:pStyle w:val="Heading2"/>
      </w:pPr>
      <w:r>
        <w:t xml:space="preserve">5. La riabilitazione e le terapie digitali su prescrizione</w:t>
      </w:r>
    </w:p>
    <w:p>
      <w:pPr>
        <w:pStyle w:val="FirstParagraph"/>
      </w:pPr>
      <w:r>
        <w:t xml:space="preserve">Il dominio della riabilitazione ha conosciuto, negli ultimi anni, una trasformazione strutturale legata all’emergere delle terapie digitali su prescrizione, ossia di applicazioni e programmi a contenuto terapeutico validato che possono essere prescritti e, in taluni ordinamenti, rimborsati a carico del sistema sanitario. La terapia digitale come categoria si è affermata a partire dalla seconda metà dello scorso decennio, con una prima autorizzazione regolatoria nel 2017, ed è stata istituzionalizzata in Germania attraverso il percorso accelerato di rimborso introdotto nel 2020, cui hanno fatto seguito iniziative analoghe in Francia, Regno Unito, Belgio, Spagna, Giappone e Corea del Sud; in Italia il tema ha preso forma a partire dal 2019 con un progetto promosso da una fondazione scientifica, sfociato in una fase più strutturata nel 2023.</w:t>
      </w:r>
      <w:r>
        <w:rPr>
          <w:rStyle w:val="FootnoteReference"/>
        </w:rPr>
        <w:footnoteReference w:id="550"/>
      </w:r>
      <w:r>
        <w:t xml:space="preserve"> </w:t>
      </w:r>
      <w:r>
        <w:t xml:space="preserve">Questa evoluzione è di diretto interesse per la Puglia, poiché la prescrivibilità di terapie digitali validate apre la possibilità di estendere la capacità riabilitativa senza un incremento proporzionale del personale, secondo una logica di moltiplicazione della capacità che è coerente con l’obiettivo di contenimento della spesa.</w:t>
      </w:r>
    </w:p>
    <w:p>
      <w:pPr>
        <w:pStyle w:val="BodyText"/>
      </w:pPr>
      <w:r>
        <w:t xml:space="preserve">L’esperienza tedesca offre la base di evidenza più matura, sia per ampiezza della platea sia per disponibilità di valutazioni economiche. Alla metà del 2024 il registro federale annoverava alcune decine di terapie digitali prescrivibili, in parte iscritte in via definitiva e in parte in via provvisoria, con una platea potenziale di decine di milioni di assistiti.</w:t>
      </w:r>
      <w:r>
        <w:rPr>
          <w:rStyle w:val="FootnoteReference"/>
        </w:rPr>
        <w:footnoteReference w:id="551"/>
      </w:r>
      <w:r>
        <w:t xml:space="preserve"> </w:t>
      </w:r>
      <w:r>
        <w:t xml:space="preserve">Sul piano economico, una simulazione condotta su un sistema di assicurazione contro gli infortuni che copre una popolazione di alcune decine di milioni di assistiti ha stimato, a fronte di una spesa per fisioterapia e fisioterapia ambulatoriale estesa dell’ordine di alcune centinaia di milioni di euro nel 2024 e in crescita anno su anno, un risparmio annuo medio dell’ordine delle diverse decine di milioni di euro, con elevata probabilità che il risparmio si realizzasse, secondo una simulazione probabilistica a numerosità elevata di iterazioni.</w:t>
      </w:r>
      <w:r>
        <w:rPr>
          <w:rStyle w:val="FootnoteReference"/>
        </w:rPr>
        <w:footnoteReference w:id="552"/>
      </w:r>
      <w:r>
        <w:t xml:space="preserve"> </w:t>
      </w:r>
      <w:r>
        <w:t xml:space="preserve">La struttura probabilistica di questa stima, che esprime il risultato come valore atteso accompagnato da una probabilità di realizzazione, è metodologicamente affine all’analisi di sensibilità di tipo Markov e Monte Carlo già impiegata nello studio pugliese, e ne rappresenta un termine di confronto coerente.</w:t>
      </w:r>
    </w:p>
    <w:p>
      <w:pPr>
        <w:pStyle w:val="BodyText"/>
      </w:pPr>
      <w:r>
        <w:t xml:space="preserve">L’evidenza clinica sulle terapie digitali è positiva ma non priva di limiti, e va riportata con la dovuta precisione. Una revisione sistematica degli studi di approvazione delle terapie digitali tedesche ha rilevato che la quasi totalità degli studi documentava effetti di grandezza da media a elevata, ma che il rischio di distorsione era alto, in particolare nella misurazione degli esiti e per la presenza di dati mancanti, e che la maggioranza degli studi riguardava la salute mentale.</w:t>
      </w:r>
      <w:r>
        <w:rPr>
          <w:rStyle w:val="FootnoteReference"/>
        </w:rPr>
        <w:footnoteReference w:id="553"/>
      </w:r>
      <w:r>
        <w:t xml:space="preserve"> </w:t>
      </w:r>
      <w:r>
        <w:t xml:space="preserve">Questo profilo di evidenza impone, ancora una volta, una collocazione prudente: il potenziale riabilitativo delle terapie digitali è reale e in parte già misurato, ma la robustezza degli studi non è uniforme, e la traduzione economica deve incorporare tale eterogeneità. Quanto alla teleriabilitazione, le evidenze indicano tassi di aderenza superiori nei programmi digitali rispetto a quelli convenzionali e, in popolazioni chirurgiche, esiti funzionali equivalenti con tassi di completamento e soddisfazione più elevati, a conferma di un beneficio organizzativo che si somma a quello clinico.</w:t>
      </w:r>
      <w:r>
        <w:rPr>
          <w:rStyle w:val="FootnoteReference"/>
        </w:rPr>
        <w:footnoteReference w:id="554"/>
      </w:r>
    </w:p>
    <w:bookmarkEnd w:id="1269"/>
    <w:bookmarkStart w:id="1272" w:name="X61b1273e09f2f270b09b8be402d700e8a4a16b9"/>
    <w:p>
      <w:pPr>
        <w:pStyle w:val="Heading2"/>
      </w:pPr>
      <w:r>
        <w:t xml:space="preserve">6. Il recupero, la continuità assistenziale e il telemonitoraggio</w:t>
      </w:r>
    </w:p>
    <w:p>
      <w:pPr>
        <w:pStyle w:val="FirstParagraph"/>
      </w:pPr>
      <w:r>
        <w:t xml:space="preserve">Il dominio del recupero e della continuità assistenziale concerne la fase successiva all’episodio acuto o all’avvio del trattamento, nella quale l’obiettivo è il mantenimento del risultato clinico, la prevenzione delle ricadute e l’evitamento dei riaccessi non programmati. L’Intelligenza Artificiale interviene qui principalmente attraverso il telemonitoraggio e il follow-up digitale, che consentono una sorveglianza continua dei parametri clinici e una segnalazione tempestiva delle deviazioni, abilitando un intervento precoce che previene l’aggravamento. La rilevanza economica di questa funzione è duplice: da un lato riduce i riaccessi e le riacutizzazioni, che gravano sui comparti ad alto costo; dall’altro estende la capacità di presa in carico nel tempo senza un incremento proporzionale delle risorse umane.</w:t>
      </w:r>
    </w:p>
    <w:p>
      <w:pPr>
        <w:pStyle w:val="BodyText"/>
      </w:pPr>
      <w:r>
        <w:t xml:space="preserve">La continuità assistenziale costituisce, nel modello «Psicologo di Base», un fattore strutturale, poiché la presa in carico territoriale del disagio lieve e moderato ha senso economico solo se sostenuta nel tempo. Gli strumenti di follow-up digitale e di monitoraggio dell’aderenza, già documentati come capaci di innalzare i tassi di adesione ai programmi rispetto alle modalità convenzionali, agiscono precisamente su questa dimensione, consolidando il risultato clinico e prevenendo la ricaduta che, in assenza di sorveglianza, vanificherebbe l’investimento iniziale.</w:t>
      </w:r>
      <w:r>
        <w:rPr>
          <w:rStyle w:val="FootnoteReference"/>
        </w:rPr>
        <w:footnoteReference w:id="555"/>
      </w:r>
      <w:r>
        <w:t xml:space="preserve"> </w:t>
      </w:r>
      <w:r>
        <w:t xml:space="preserve">In ambito neurologico, ad esempio, le tecnologie digitali per il monitoraggio e l’empowerment del paziente sono già impiegate o in avanzato sviluppo per la gestione di patologie croniche complesse, con una distinzione regolatoria fra gli strumenti centrati sul paziente, ricondotti al quadro delle terapie digitali, e gli strumenti di telemonitoraggio a supporto del professionista, classificati come dispositivi medici.</w:t>
      </w:r>
      <w:r>
        <w:rPr>
          <w:rStyle w:val="FootnoteReference"/>
        </w:rPr>
        <w:footnoteReference w:id="556"/>
      </w:r>
    </w:p>
    <w:p>
      <w:pPr>
        <w:pStyle w:val="BodyText"/>
      </w:pPr>
      <w:r>
        <w:t xml:space="preserve">Anche in questo dominio la gradazione dell’evidenza impone prudenza. Le evidenze sull’aderenza e sulla fattibilità sono relativamente solide, mentre quelle sull’impatto economico diretto del telemonitoraggio in termini di riaccessi evitati e di minori esborsi sono ancora in via di consolidamento. La conclusione coerente è che il recupero e la continuità assistenziale assistiti dall’Intelligenza Artificiale costituiscano un dominio a evidenza mista, il cui contributo al risparmio diretto è plausibile e teoricamente robusto ma quantitativamente da stimare per bande, in attesa di valutazioni prospettiche dedicate.</w:t>
      </w:r>
    </w:p>
    <w:bookmarkEnd w:id="1272"/>
    <w:bookmarkStart w:id="1277" w:name="X347856036060277613d2429454c820803b83e2b"/>
    <w:p>
      <w:pPr>
        <w:pStyle w:val="Heading2"/>
      </w:pPr>
      <w:r>
        <w:t xml:space="preserve">7. La dimensione della salute mentale e lo psicologo di base</w:t>
      </w:r>
    </w:p>
    <w:p>
      <w:pPr>
        <w:pStyle w:val="FirstParagraph"/>
      </w:pPr>
      <w:r>
        <w:t xml:space="preserve">La salute mentale è il dominio in cui l’applicazione dell’Intelligenza Artificiale interseca in modo più diretto la figura dello psicologo di base, ed è anche quello in cui una parte rilevante dell’evidenza disponibile sulle terapie digitali si concentra. Gli strumenti algoritmici intervengono qui secondo due modalità distinte. La prima è quella del supporto al professionista: piattaforme che trascrivono e sintetizzano la seduta, forniscono al clinico un riscontro sull’aderenza alle pratiche basate sull’evidenza e contribuiscono alla redazione della nota di decorso. Uno studio randomizzato controllato condotto in un servizio territoriale ha valutato una piattaforma di questo tipo a supporto della terapia cognitivo-comportamentale, documentandone la fattibilità e l’accettabilità da parte di pazienti e terapeuti e analizzandone gli effetti sugli esiti di depressione e ansia secondo standard di rendicontazione dedicati all’Intelligenza Artificiale.</w:t>
      </w:r>
      <w:r>
        <w:rPr>
          <w:rStyle w:val="FootnoteReference"/>
        </w:rPr>
        <w:footnoteReference w:id="557"/>
      </w:r>
      <w:r>
        <w:t xml:space="preserve"> </w:t>
      </w:r>
      <w:r>
        <w:t xml:space="preserve">La rilevanza di questo filone per il modello pugliese è notevole, poiché coniuga il sostegno alla qualità clinica con la riduzione del carico documentale, liberando tempo dello psicologo di base per l’attività diretta con il paziente.</w:t>
      </w:r>
    </w:p>
    <w:p>
      <w:pPr>
        <w:pStyle w:val="BodyText"/>
      </w:pPr>
      <w:r>
        <w:t xml:space="preserve">La seconda modalità è quella dell’intervento rivolto al paziente, attraverso programmi conversazionali e applicazioni a contenuto cognitivo-comportamentale. Diversi studi randomizzati controllati hanno valutato l’efficacia di interventi conversazionali nella gestione autoguidata della depressione e dell’ansia, riportando riduzioni significative dei sintomi e analizzando il ruolo degli elementi di interazione nel sostenere l’aderenza.</w:t>
      </w:r>
      <w:r>
        <w:rPr>
          <w:rStyle w:val="FootnoteReference"/>
        </w:rPr>
        <w:footnoteReference w:id="558"/>
      </w:r>
      <w:r>
        <w:t xml:space="preserve"> </w:t>
      </w:r>
      <w:r>
        <w:t xml:space="preserve">Questi strumenti non sostituiscono la relazione clinica, ma possono estenderla nei segmenti di bisogno lieve e nelle fasi di mantenimento, secondo una logica di stepped care che riserva la risorsa professionale ai casi di maggiore complessità. È in questa funzione di estensione selettiva della capacità che risiede il loro potenziale contributo al risparmio diretto, poiché consente di intercettare e gestire una quota di domanda che, in assenza di tali strumenti, resterebbe non trattata o si rivolgerebbe a livelli di cura più costosi.</w:t>
      </w:r>
    </w:p>
    <w:p>
      <w:pPr>
        <w:pStyle w:val="BodyText"/>
      </w:pPr>
      <w:r>
        <w:t xml:space="preserve">La cautela metodologica è qui particolarmente necessaria, e per due ragioni convergenti. La prima è che la revisione sistematica degli studi di approvazione delle terapie digitali ha documentato, accanto a effetti di grandezza apprezzabile, un rischio di distorsione elevato e una concentrazione degli studi proprio nell’ambito della salute mentale, il che impone di non sovrastimare la solidità complessiva dell’evidenza.</w:t>
      </w:r>
      <w:r>
        <w:rPr>
          <w:rStyle w:val="FootnoteReference"/>
        </w:rPr>
        <w:footnoteReference w:id="559"/>
      </w:r>
      <w:r>
        <w:t xml:space="preserve"> </w:t>
      </w:r>
      <w:r>
        <w:t xml:space="preserve">La seconda è che il monito della sperimentazione clinica più rigorosa sull’integrazione della cura psicologica nelle cure primarie, secondo cui i risparmi sanitari non sempre raggiungono la significatività statistica, si applica con particolare pertinenza a questo dominio.</w:t>
      </w:r>
      <w:r>
        <w:rPr>
          <w:rStyle w:val="FootnoteReference"/>
        </w:rPr>
        <w:footnoteReference w:id="560"/>
      </w:r>
      <w:r>
        <w:t xml:space="preserve"> </w:t>
      </w:r>
      <w:r>
        <w:t xml:space="preserve">Ne discende che il contributo della salute mentale assistita dall’Intelligenza Artificiale al risparmio diretto debba essere stimato con bande ampie e con esplicita dichiarazione dell’incertezza, evitando ogni proiezione che ne amplifichi indebitamente la portata.</w:t>
      </w:r>
    </w:p>
    <w:bookmarkEnd w:id="1277"/>
    <w:bookmarkStart w:id="1281" w:name="X9ee91a9f765c4af9aae7058adfbf60f7acbd5e8"/>
    <w:p>
      <w:pPr>
        <w:pStyle w:val="Heading2"/>
      </w:pPr>
      <w:r>
        <w:t xml:space="preserve">8. L’efficienza documentale e la liberazione di capacità clinica</w:t>
      </w:r>
    </w:p>
    <w:p>
      <w:pPr>
        <w:pStyle w:val="FirstParagraph"/>
      </w:pPr>
      <w:r>
        <w:t xml:space="preserve">Un dominio trasversale, che attraversa tutte le funzioni cliniche e che presenta l’evidenza sperimentale più recente e metodologicamente curata, è quello della documentazione clinica assistita. Gli strumenti di trascrizione ambientale registrano il colloquio fra professionista e paziente e generano in tempo quasi reale una bozza di nota clinica, che il professionista rivede e corregge. La rilevanza economica di questa funzione risiede nella restituzione di tempo professionale: poiché una quota rilevante della giornata lavorativa del medico è assorbita dalla documentazione, ogni riduzione di tale carico libera capacità clinica che può essere reimpiegata nell’attività diretta o nella presa in carico di un maggior numero di assistiti.</w:t>
      </w:r>
    </w:p>
    <w:p>
      <w:pPr>
        <w:pStyle w:val="BodyText"/>
      </w:pPr>
      <w:r>
        <w:t xml:space="preserve">L’evidenza sperimentale è qui sufficientemente solida da collocarsi ai livelli superiori della scala di gradazione. Uno studio randomizzato controllato condotto in un ampio sistema sanitario accademico, che ha confrontato due distinte applicazioni di trascrizione ambientale con un gruppo di controllo in cura abituale, ha documentato una riduzione misurabile del tempo dedicato alla stesura della nota.</w:t>
      </w:r>
      <w:r>
        <w:rPr>
          <w:rStyle w:val="FootnoteReference"/>
        </w:rPr>
        <w:footnoteReference w:id="561"/>
      </w:r>
      <w:r>
        <w:t xml:space="preserve"> </w:t>
      </w:r>
      <w:r>
        <w:t xml:space="preserve">Una valutazione pragmatica randomizzata condotta in un altro sistema sanitario ha riportato una riduzione del tempo di documentazione dell’ordine di trenta minuti al giorno per operatore, con successiva estensione della tecnologia all’intera rete di cliniche e ospedali e adozione da parte di centinaia di professionisti.</w:t>
      </w:r>
      <w:r>
        <w:rPr>
          <w:rStyle w:val="FootnoteReference"/>
        </w:rPr>
        <w:footnoteReference w:id="562"/>
      </w:r>
      <w:r>
        <w:t xml:space="preserve"> </w:t>
      </w:r>
      <w:r>
        <w:t xml:space="preserve">Sul versante del benessere professionale, uno studio di miglioramento della qualità condotto su alcune centinaia di clinici in più sistemi sanitari ha rilevato una riduzione significativa della prevalenza dell’esaurimento professionale dopo un periodo di impiego dell’ordine di un mese, e valutazioni analoghe in grandi centri accademici hanno documentato riduzioni assolute consistenti della medesima prevalenza.</w:t>
      </w:r>
      <w:r>
        <w:rPr>
          <w:rStyle w:val="FootnoteReference"/>
        </w:rPr>
        <w:footnoteReference w:id="563"/>
      </w:r>
    </w:p>
    <w:p>
      <w:pPr>
        <w:pStyle w:val="BodyText"/>
      </w:pPr>
      <w:r>
        <w:t xml:space="preserve">La traduzione di questo guadagno di tempo in risparmio diretto richiede, tuttavia, una avvertenza metodologica. La capacità liberata si converte in risparmio o in maggiore produzione di salute solo se viene effettivamente reimpiegata, e il valore economico di tale reimpiego dipende dalle scelte organizzative del sistema. Gli studi disponibili misurano in modo robusto la riduzione del tempo e il miglioramento del benessere, ma misurano in misura minore la conseguente variazione di spesa, che resta in parte da documentare. Coerentemente con il principio di gradazione simmetrica, dunque, l’efficienza documentale è trattata come un dominio a evidenza clinica e organizzativa solida ma a evidenza economica diretta ancora parziale, e il suo contributo è incorporato nelle bande prudenziali della sezione conclusiva senza esserne il fattore dominante.</w:t>
      </w:r>
    </w:p>
    <w:bookmarkEnd w:id="1281"/>
    <w:bookmarkStart w:id="1285" w:name="Xbaff3c315c9967d2903f838b81b3600166936ea"/>
    <w:p>
      <w:pPr>
        <w:pStyle w:val="Heading2"/>
      </w:pPr>
      <w:r>
        <w:t xml:space="preserve">9. Il panorama brevettuale e degli investimenti internazionali</w:t>
      </w:r>
    </w:p>
    <w:p>
      <w:pPr>
        <w:pStyle w:val="FirstParagraph"/>
      </w:pPr>
      <w:r>
        <w:t xml:space="preserve">La misura della maturità di un campo tecnologico si legge anche nella dinamica della proprietà industriale e degli investimenti, che fornisce un indicatore indiretto della direzione e dell’intensità dello sforzo innovativo mondiale. L’analisi del panorama brevettuale dell’intelligenza artificiale generativa condotta dall’organizzazione internazionale competente in materia di proprietà intellettuale ha documentato una crescita molto rapida delle famiglie brevettuali nell’arco dell’ultimo decennio, con un numero che è passato da alcune centinaia all’inizio del periodo a oltre diecimila al termine di esso, accompagnato da un incremento ancora più marcato delle pubblicazioni scientifiche; i principali depositanti risultano concentrati in poche grandi organizzazioni, con una prevalenza di soggetti dell’area asiatica.</w:t>
      </w:r>
      <w:r>
        <w:rPr>
          <w:rStyle w:val="FootnoteReference"/>
        </w:rPr>
        <w:footnoteReference w:id="564"/>
      </w:r>
      <w:r>
        <w:t xml:space="preserve"> </w:t>
      </w:r>
      <w:r>
        <w:t xml:space="preserve">Restringendo l’osservazione al settore sanitario, ricerche condotte sulle banche dati brevettuali internazionali hanno individuato alcune migliaia di brevetti riconducibili all’intersezione fra intelligenza artificiale e salute, con una quota rilevante di domande internazionali, a fronte di un incremento marcato delle domande brevettuali a contenuto algoritmico da parte dell’industria farmaceutica.</w:t>
      </w:r>
      <w:r>
        <w:rPr>
          <w:rStyle w:val="FootnoteReference"/>
        </w:rPr>
        <w:footnoteReference w:id="565"/>
      </w:r>
    </w:p>
    <w:p>
      <w:pPr>
        <w:pStyle w:val="BodyText"/>
      </w:pPr>
      <w:r>
        <w:t xml:space="preserve">La dinamica degli investimenti conferma la traiettoria. Il mercato dell’intelligenza artificiale in sanità è stato valutato, per l’anno 2024, in alcune decine di miliardi di dollari, con un tasso di crescita annuo composto molto elevato proiettato sul decennio successivo, e una larga maggioranza delle imprese sanitarie risultava già impegnata nell’adozione di tecnologie di intelligenza artificiale secondo rilevazioni di settore.</w:t>
      </w:r>
      <w:r>
        <w:rPr>
          <w:rStyle w:val="FootnoteReference"/>
        </w:rPr>
        <w:footnoteReference w:id="566"/>
      </w:r>
      <w:r>
        <w:t xml:space="preserve"> </w:t>
      </w:r>
      <w:r>
        <w:t xml:space="preserve">Questi dati non costituiscono, di per sé, evidenza di efficacia clinica o di risparmio, e non vanno confusi con essa: misurano l’intensità dello sforzo e l’aspettativa di valore, non il valore realizzato. Tuttavia, essi forniscono il contesto entro cui collocare la scelta della Regione Puglia di investire sulle competenze, poiché indicano che il flusso di strumenti validati destinati a entrare nella pratica clinica è in rapida espansione e che la capacità di assorbirlo in modo appropriato dipenderà in misura decisiva dalla preparazione del personale.</w:t>
      </w:r>
    </w:p>
    <w:p>
      <w:pPr>
        <w:pStyle w:val="BodyText"/>
      </w:pPr>
      <w:r>
        <w:t xml:space="preserve">La rilevanza di questo panorama per la quantificazione è di natura qualitativa, non quantitativa. Il volume brevettuale e gli investimenti indicano che lo strato di strumenti su cui la formazione potrà innestarsi è destinato ad arricchirsi, e dunque che il valore della preparazione del personale è crescente nel tempo. Ma da questi dati non si deriva alcuna cifra di risparmio, e ogni tentazione di tradurre la dimensione del mercato in beneficio per il Servizio Sanitario Regionale sarebbe metodologicamente illegittima. Il panorama brevettuale, in sintesi, fonda l’argomento della tempestività dell’investimento formativo, non la stima del suo ritorno.</w:t>
      </w:r>
    </w:p>
    <w:bookmarkEnd w:id="1285"/>
    <w:bookmarkStart w:id="1293" w:name="X0e2bbbd86873714af17d70c4c7a6c930f861b47"/>
    <w:p>
      <w:pPr>
        <w:pStyle w:val="Heading2"/>
      </w:pPr>
      <w:r>
        <w:t xml:space="preserve">10. Studi pilota ed esperienze internazionali autorevoli</w:t>
      </w:r>
    </w:p>
    <w:p>
      <w:pPr>
        <w:pStyle w:val="FirstParagraph"/>
      </w:pPr>
      <w:r>
        <w:t xml:space="preserve">Le esperienze internazionali più autorevoli convergono nel collocare il valore dell’Intelligenza Artificiale non nello strumento isolato, ma nella sua integrazione governata entro percorsi clinici e organizzativi definiti. Sul versante della documentazione, le sperimentazioni condotte in grandi sistemi sanitari accademici hanno seguito standard di disegno e di rendicontazione dedicati all’Intelligenza Artificiale, hanno adottato randomizzazione vincolata su covariate e si sono concluse, in più casi, con l’estensione della tecnologia all’intera organizzazione a seguito dei risultati osservati.</w:t>
      </w:r>
      <w:r>
        <w:rPr>
          <w:rStyle w:val="FootnoteReference"/>
        </w:rPr>
        <w:footnoteReference w:id="567"/>
      </w:r>
      <w:r>
        <w:rPr>
          <w:rStyle w:val="FootnoteReference"/>
        </w:rPr>
        <w:footnoteReference w:id="568"/>
      </w:r>
      <w:r>
        <w:t xml:space="preserve"> </w:t>
      </w:r>
      <w:r>
        <w:t xml:space="preserve">Sul versante della salute mentale, le sperimentazioni hanno valutato sia il supporto al professionista sia l’intervento rivolto al paziente, con disegni randomizzati e attenzione alla fattibilità e all’accettabilità.</w:t>
      </w:r>
      <w:r>
        <w:rPr>
          <w:rStyle w:val="FootnoteReference"/>
        </w:rPr>
        <w:footnoteReference w:id="569"/>
      </w:r>
      <w:r>
        <w:rPr>
          <w:rStyle w:val="FootnoteReference"/>
        </w:rPr>
        <w:footnoteReference w:id="570"/>
      </w:r>
      <w:r>
        <w:t xml:space="preserve"> </w:t>
      </w:r>
      <w:r>
        <w:t xml:space="preserve">Sul versante della riabilitazione, le valutazioni economiche di tipo simulativo condotte su sistemi assicurativi di ampia copertura hanno fornito stime di risparmio espresse in forma probabilistica, metodologicamente coerenti con l’impianto di sensibilità adottato nello studio pugliese.</w:t>
      </w:r>
      <w:r>
        <w:rPr>
          <w:rStyle w:val="FootnoteReference"/>
        </w:rPr>
        <w:footnoteReference w:id="571"/>
      </w:r>
    </w:p>
    <w:p>
      <w:pPr>
        <w:pStyle w:val="BodyText"/>
      </w:pPr>
      <w:r>
        <w:t xml:space="preserve">L’esperienza tedesca delle terapie digitali su prescrizione costituisce, fra tutte, il riferimento istituzionale più strutturato, poiché coniuga un percorso regolatorio definito, un meccanismo di rimborso pubblico e un corpus crescente di studi di approvazione, pur con i limiti di robustezza già richiamati.</w:t>
      </w:r>
      <w:r>
        <w:rPr>
          <w:rStyle w:val="FootnoteReference"/>
        </w:rPr>
        <w:footnoteReference w:id="572"/>
      </w:r>
      <w:r>
        <w:rPr>
          <w:rStyle w:val="FootnoteReference"/>
        </w:rPr>
        <w:footnoteReference w:id="573"/>
      </w:r>
      <w:r>
        <w:t xml:space="preserve"> </w:t>
      </w:r>
      <w:r>
        <w:t xml:space="preserve">Essa dimostra che l’integrazione di strumenti digitali validati nel sistema di cura è amministrativamente realizzabile su scala nazionale e che la loro prescrivibilità può essere governata attraverso requisiti di evidenza, ancorché perfettibili. Per la Puglia, questa esperienza offre un modello di governance più che un parametro numerico: indica che la via maestra non è l’adozione spontanea e frammentaria, ma l’inserimento di strumenti validati entro percorsi prescrittivi regolati, sostenuti da una formazione adeguata del personale prescrittore.</w:t>
      </w:r>
    </w:p>
    <w:p>
      <w:pPr>
        <w:pStyle w:val="BodyText"/>
      </w:pPr>
      <w:r>
        <w:t xml:space="preserve">La lezione complessiva che si trae dalle esperienze internazionali è metodologica prima che tecnica. Ovunque l’Intelligenza Artificiale abbia prodotto benefici documentati, ciò è avvenuto attraverso l’integrazione in percorsi definiti, la validazione locale degli strumenti, la rendicontazione secondo standard dedicati e la preparazione del personale. Nessuna esperienza autorevole attribuisce il beneficio allo strumento in quanto tale, indipendentemente dal contesto organizzativo e dalle competenze di chi lo impiega. Questa convergenza sostiene direttamente l’impostazione dello studio pugliese, che colloca la formazione del personale, nelle sue quattro modalità, quale fattore abilitante senza il quale lo strumento non produce il valore atteso.</w:t>
      </w:r>
    </w:p>
    <w:bookmarkEnd w:id="1293"/>
    <w:bookmarkStart w:id="1296" w:name="Xeb3c23a97b2f5e6d9102383d3722bf4bafcef8b"/>
    <w:p>
      <w:pPr>
        <w:pStyle w:val="Heading2"/>
      </w:pPr>
      <w:r>
        <w:t xml:space="preserve">11. Le quattro modalità formative come fattore abilitante</w:t>
      </w:r>
    </w:p>
    <w:p>
      <w:pPr>
        <w:pStyle w:val="FirstParagraph"/>
      </w:pPr>
      <w:r>
        <w:t xml:space="preserve">L’evidenza internazionale, nel suo complesso, conferma che la determinante del valore non risiede nella disponibilità dello strumento, bensì nella capacità del professionista di impiegarlo in modo appropriato entro il proprio percorso clinico. Da ciò discende la centralità delle quattro modalità formative che lo studio pone al cuore della strategia: la formazione universitaria, che inserisce nei curricula delle professioni sanitarie le competenze fondamentali sull’Intelligenza Artificiale; la formazione post-universitaria, che aggiorna i professionisti già in attività attraverso percorsi strutturati di educazione continua; la formazione lavorativa, che integra l’apprendimento nel contesto operativo dello studio medico; e l’accompagnamento di figure competenti nell’Intelligenza Artificiale a fianco del medico e dello psicologo di base, che fornisce un sostegno specialistico nella fase di adozione. Queste modalità non sono alternative ma complementari, e la loro combinazione costituisce l’infrastruttura che converte il potenziale tecnologico in risultato clinico ed economico.</w:t>
      </w:r>
    </w:p>
    <w:p>
      <w:pPr>
        <w:pStyle w:val="BodyText"/>
      </w:pPr>
      <w:r>
        <w:t xml:space="preserve">Il fondamento economico di questa impostazione è ancorato ai valori già validati dello studio. La componente formativa è stata stimata generare un risparmio diretto incrementale a regime collocato in una banda dell’ordine di alcune decine di milioni di euro annui, con un valore centrale prudenziale, a fronte di un costo programmatico annuo contenuto in pochi milioni di euro; tale relazione configura un ritorno dell’investimento formativo dell’ordine di alcune unità per ogni euro impiegato, coerente con le bande prudenziali adottate nello studio e con i rapporti documentati dalla letteratura internazionale per i programmi di trattamento psicologico nelle cure primarie quando si considerino i soli risparmi diretti.</w:t>
      </w:r>
      <w:r>
        <w:rPr>
          <w:rStyle w:val="FootnoteReference"/>
        </w:rPr>
        <w:footnoteReference w:id="574"/>
      </w:r>
      <w:r>
        <w:rPr>
          <w:rStyle w:val="FootnoteReference"/>
        </w:rPr>
        <w:footnoteReference w:id="575"/>
      </w:r>
      <w:r>
        <w:t xml:space="preserve"> </w:t>
      </w:r>
      <w:r>
        <w:t xml:space="preserve">La sobrietà di questa stima è deliberata: il valore della formazione non è presentato attraverso rapporti di ritorno di ordine elevato, ma attraverso una banda contenuta e difendibile, in coerenza con la disciplina metodologica del capitolo.</w:t>
      </w:r>
    </w:p>
    <w:p>
      <w:pPr>
        <w:pStyle w:val="BodyText"/>
      </w:pPr>
      <w:r>
        <w:t xml:space="preserve">La funzione abilitante della formazione si manifesta anche nella gestione del rischio. Un personale preparato impiega gli strumenti entro i limiti della loro validità, ne riconosce le distorsioni, ne sottopone gli esiti a verifica clinica e ne governa l’integrazione nei percorsi senza delegare il giudizio. È questa competenza che trasforma uno strumento potenzialmente fonte di errore in un ausilio sicuro, e che dunque non solo abilita il risparmio ma ne previene la dissipazione attraverso usi impropri. La formazione, in questa prospettiva, non è un costo accessorio dell’adozione tecnologica, ma la condizione stessa della sua sostenibilità clinica ed economica.</w:t>
      </w:r>
    </w:p>
    <w:bookmarkEnd w:id="1296"/>
    <w:bookmarkStart w:id="1301" w:name="X02bda95e1deabce367b66ae482a836fe3278861"/>
    <w:p>
      <w:pPr>
        <w:pStyle w:val="Heading2"/>
      </w:pPr>
      <w:r>
        <w:t xml:space="preserve">12. Dal panorama internazionale alla quantificazione incrementale per la Puglia</w:t>
      </w:r>
    </w:p>
    <w:p>
      <w:pPr>
        <w:pStyle w:val="FirstParagraph"/>
      </w:pPr>
      <w:r>
        <w:t xml:space="preserve">La traduzione dell’evidenza internazionale in una stima del risparmio incrementale per il Servizio Sanitario Regionale pugliese richiede di procedere per strati distinti e per bande prudenziali, mantenendo separati i risparmi diretti da quelli indiretti e applicando in modo simmetrico la gradazione dell’evidenza. Il punto di partenza è il valore già validato del modello base, che colloca il risparmio diretto a regime per il solo Servizio Sanitario Regionale nell’ordine dei duecentosettanta milioni di euro annui.</w:t>
      </w:r>
      <w:r>
        <w:rPr>
          <w:rStyle w:val="FootnoteReference"/>
        </w:rPr>
        <w:footnoteReference w:id="576"/>
      </w:r>
      <w:r>
        <w:t xml:space="preserve"> </w:t>
      </w:r>
      <w:r>
        <w:t xml:space="preserve">Su questa base si innestano due strati incrementali, l’uno riconducibile alla disponibilità e all’impiego appropriato degli strumenti di Intelligenza Artificiale, l’altro al delta specificamente attribuibile alla formazione strutturata del personale.</w:t>
      </w:r>
    </w:p>
    <w:p>
      <w:pPr>
        <w:pStyle w:val="BodyText"/>
      </w:pPr>
      <w:r>
        <w:t xml:space="preserve">Le bande prudenziali, costruite a partire dall’evidenza esaminata e ancorate ai valori validati dello studio, sono riassunte nella tabella seguente. Esse esprimono il risparmio diretto incrementale annuo a regime, distinto dal costo programmatico, e si astengono deliberatamente da ogni rapporto di ritorno di ordine elevato e da ogni grandezza che fonda insieme risparmi diretti e indiretti.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color w:val="FFFFFF"/>
                <w:sz w:val="18"/>
              </w:rPr>
              <w:t xml:space="preserve">Strato</w:t>
            </w:r>
          </w:p>
        </w:tc>
        <w:tc>
          <w:tcPr>
            <w:shd w:val="clear" w:color="auto" w:fill="16264B"/>
          </w:tcPr>
          <w:p>
            <w:pPr>
              <w:pStyle w:val="Compact"/>
              <w:spacing w:after="40" w:before="40"/>
              <w:jc w:val="left"/>
            </w:pPr>
            <w:r>
              <w:rPr>
                <w:rFonts w:ascii="Cambria" w:hAnsi="Cambria" w:cs="Cambria" w:eastAsia="Cambria"/>
                <w:b/>
                <w:color w:val="FFFFFF"/>
                <w:sz w:val="18"/>
              </w:rPr>
              <w:t xml:space="preserve">Risparmio diretto incrementale annuo a regime</w:t>
            </w:r>
          </w:p>
        </w:tc>
        <w:tc>
          <w:tcPr>
            <w:shd w:val="clear" w:color="auto" w:fill="16264B"/>
          </w:tcPr>
          <w:p>
            <w:pPr>
              <w:pStyle w:val="Compact"/>
              <w:spacing w:after="40" w:before="40"/>
              <w:jc w:val="left"/>
            </w:pPr>
            <w:r>
              <w:rPr>
                <w:rFonts w:ascii="Cambria" w:hAnsi="Cambria" w:cs="Cambria" w:eastAsia="Cambria"/>
                <w:b/>
                <w:color w:val="FFFFFF"/>
                <w:sz w:val="18"/>
              </w:rPr>
              <w:t xml:space="preserve">Costo programmatico annuo</w:t>
            </w:r>
          </w:p>
        </w:tc>
        <w:tc>
          <w:tcPr>
            <w:shd w:val="clear" w:color="auto" w:fill="16264B"/>
          </w:tcPr>
          <w:p>
            <w:pPr>
              <w:pStyle w:val="Compact"/>
              <w:spacing w:after="40" w:before="40"/>
              <w:jc w:val="left"/>
            </w:pPr>
            <w:r>
              <w:rPr>
                <w:rFonts w:ascii="Cambria" w:hAnsi="Cambria" w:cs="Cambria" w:eastAsia="Cambria"/>
                <w:b/>
                <w:color w:val="FFFFFF"/>
                <w:sz w:val="18"/>
              </w:rPr>
              <w:t xml:space="preserve">Livello di evidenza</w:t>
            </w:r>
          </w:p>
        </w:tc>
      </w:tr>
      <w:tr>
        <w:tc>
          <w:tcPr/>
          <w:p>
            <w:pPr>
              <w:pStyle w:val="Compact"/>
              <w:spacing w:after="40" w:before="40"/>
              <w:jc w:val="left"/>
            </w:pPr>
            <w:r>
              <w:rPr>
                <w:rFonts w:ascii="Cambria" w:hAnsi="Cambria" w:cs="Cambria" w:eastAsia="Cambria"/>
                <w:color w:val="1A1A1A"/>
                <w:sz w:val="18"/>
              </w:rPr>
              <w:t xml:space="preserve">Strato formativo (quattro modalità)</w:t>
            </w:r>
          </w:p>
        </w:tc>
        <w:tc>
          <w:tcPr/>
          <w:p>
            <w:pPr>
              <w:pStyle w:val="Compact"/>
              <w:spacing w:after="40" w:before="40"/>
              <w:jc w:val="left"/>
            </w:pPr>
            <w:r>
              <w:rPr>
                <w:rFonts w:ascii="Cambria" w:hAnsi="Cambria" w:cs="Cambria" w:eastAsia="Cambria"/>
                <w:color w:val="1A1A1A"/>
                <w:sz w:val="18"/>
              </w:rPr>
              <w:t xml:space="preserve">dell’ordine di 45–55 milioni (banda ampia 28–78)</w:t>
            </w:r>
          </w:p>
        </w:tc>
        <w:tc>
          <w:tcPr/>
          <w:p>
            <w:pPr>
              <w:pStyle w:val="Compact"/>
              <w:spacing w:after="40" w:before="40"/>
              <w:jc w:val="left"/>
            </w:pPr>
            <w:r>
              <w:rPr>
                <w:rFonts w:ascii="Cambria" w:hAnsi="Cambria" w:cs="Cambria" w:eastAsia="Cambria"/>
                <w:color w:val="1A1A1A"/>
                <w:sz w:val="18"/>
              </w:rPr>
              <w:t xml:space="preserve">circa 4 milioni</w:t>
            </w:r>
          </w:p>
        </w:tc>
        <w:tc>
          <w:tcPr/>
          <w:p>
            <w:pPr>
              <w:pStyle w:val="Compact"/>
              <w:spacing w:after="40" w:before="40"/>
              <w:jc w:val="left"/>
            </w:pPr>
            <w:r>
              <w:rPr>
                <w:rFonts w:ascii="Cambria" w:hAnsi="Cambria" w:cs="Cambria" w:eastAsia="Cambria"/>
                <w:color w:val="1A1A1A"/>
                <w:sz w:val="18"/>
              </w:rPr>
              <w:t xml:space="preserve">intermedio-solido</w:t>
            </w:r>
          </w:p>
        </w:tc>
      </w:tr>
      <w:tr>
        <w:tc>
          <w:tcPr>
            <w:shd w:val="clear" w:color="auto" w:fill="F4F1EC"/>
          </w:tcPr>
          <w:p>
            <w:pPr>
              <w:pStyle w:val="Compact"/>
              <w:spacing w:after="40" w:before="40"/>
              <w:jc w:val="left"/>
            </w:pPr>
            <w:r>
              <w:rPr>
                <w:rFonts w:ascii="Cambria" w:hAnsi="Cambria" w:cs="Cambria" w:eastAsia="Cambria"/>
                <w:color w:val="1A1A1A"/>
                <w:sz w:val="18"/>
              </w:rPr>
              <w:t xml:space="preserve">Strato strumentale di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dell’ordine di 60–110 milioni</w:t>
            </w:r>
          </w:p>
        </w:tc>
        <w:tc>
          <w:tcPr>
            <w:shd w:val="clear" w:color="auto" w:fill="F4F1EC"/>
          </w:tcPr>
          <w:p>
            <w:pPr>
              <w:pStyle w:val="Compact"/>
              <w:spacing w:after="40" w:before="40"/>
              <w:jc w:val="left"/>
            </w:pPr>
            <w:r>
              <w:rPr>
                <w:rFonts w:ascii="Cambria" w:hAnsi="Cambria" w:cs="Cambria" w:eastAsia="Cambria"/>
                <w:color w:val="1A1A1A"/>
                <w:sz w:val="18"/>
              </w:rPr>
              <w:t xml:space="preserve">circa 5 milioni</w:t>
            </w:r>
          </w:p>
        </w:tc>
        <w:tc>
          <w:tcPr>
            <w:shd w:val="clear" w:color="auto" w:fill="F4F1EC"/>
          </w:tcPr>
          <w:p>
            <w:pPr>
              <w:pStyle w:val="Compact"/>
              <w:spacing w:after="40" w:before="40"/>
              <w:jc w:val="left"/>
            </w:pPr>
            <w:r>
              <w:rPr>
                <w:rFonts w:ascii="Cambria" w:hAnsi="Cambria" w:cs="Cambria" w:eastAsia="Cambria"/>
                <w:color w:val="1A1A1A"/>
                <w:sz w:val="18"/>
              </w:rPr>
              <w:t xml:space="preserve">da preliminare a intermedio</w:t>
            </w:r>
          </w:p>
        </w:tc>
      </w:tr>
      <w:tr>
        <w:tc>
          <w:tcPr/>
          <w:p>
            <w:pPr>
              <w:pStyle w:val="Compact"/>
              <w:spacing w:after="40" w:before="40"/>
              <w:jc w:val="left"/>
            </w:pPr>
            <w:r>
              <w:rPr>
                <w:rFonts w:ascii="Cambria" w:hAnsi="Cambria" w:cs="Cambria" w:eastAsia="Cambria"/>
                <w:color w:val="1A1A1A"/>
                <w:sz w:val="18"/>
              </w:rPr>
              <w:t xml:space="preserve">Risparmio diretto a regime dello stack complessivo</w:t>
            </w:r>
          </w:p>
        </w:tc>
        <w:tc>
          <w:tcPr/>
          <w:p>
            <w:pPr>
              <w:pStyle w:val="Compact"/>
              <w:spacing w:after="40" w:before="40"/>
              <w:jc w:val="left"/>
            </w:pPr>
            <w:r>
              <w:rPr>
                <w:rFonts w:ascii="Cambria" w:hAnsi="Cambria" w:cs="Cambria" w:eastAsia="Cambria"/>
                <w:color w:val="1A1A1A"/>
                <w:sz w:val="18"/>
              </w:rPr>
              <w:t xml:space="preserve">dell’ordine di 315–350 milioni rispetto a circa 270 del modello base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per strati, come sopra</w:t>
            </w:r>
          </w:p>
        </w:tc>
      </w:tr>
    </w:tbl>
    <w:p>
      <w:pPr>
        <w:pStyle w:val="BodyText"/>
      </w:pPr>
      <w:r>
        <w:rPr>
          <w:i/>
          <w:iCs/>
        </w:rPr>
        <w:t xml:space="preserve">Tabella 1. Bande prudenziali del risparmio diretto incrementale a regime per il Servizio Sanitario Regionale pugliese, distinte per strato e accompagnate dal livello di evidenza. I valori sono espressi come ordini di grandezza e non come stime puntuali; lo strato strumentale, in ragione della maturità ancora parziale dell’evidenza economica diretta, è dichiarato con ampiezza maggiore e con esplicita riserva.</w:t>
      </w:r>
    </w:p>
    <w:p>
      <w:pPr>
        <w:pStyle w:val="BodyText"/>
      </w:pPr>
      <w:r>
        <w:t xml:space="preserve">La lettura di questa tabella richiede alcune avvertenze che ne governano l’uso. In primo luogo, lo strato strumentale è quello a evidenza economica diretta meno consolidata, poiché la maggior parte delle valutazioni internazionali documenta in modo robusto i guadagni di efficienza e di tempo, ma misura in misura minore la conseguente variazione di spesa; per questa ragione la sua banda è ampia e va trattata come preliminare, in attesa di una quantificazione dedicata che ne affini i confini.</w:t>
      </w:r>
      <w:r>
        <w:rPr>
          <w:rStyle w:val="FootnoteReference"/>
        </w:rPr>
        <w:footnoteReference w:id="577"/>
      </w:r>
      <w:r>
        <w:rPr>
          <w:rStyle w:val="FootnoteReference"/>
        </w:rPr>
        <w:footnoteReference w:id="578"/>
      </w:r>
      <w:r>
        <w:t xml:space="preserve"> </w:t>
      </w:r>
      <w:r>
        <w:t xml:space="preserve">In secondo luogo, la coerenza con l’analisi di robustezza già condotta nello studio è assicurata dal riferimento ai parametri invarianti del modello, secondo i quali il beneficio per paziente e il guadagno in anni di vita ponderati per la qualità si collocano su valori contenuti ma positivi, con un beneficio netto medio il cui intervallo di confidenza, attraversando lo zero, impone di considerare la possibilità di esiti non favorevoli.</w:t>
      </w:r>
      <w:r>
        <w:rPr>
          <w:rStyle w:val="FootnoteReference"/>
        </w:rPr>
        <w:footnoteReference w:id="579"/>
      </w:r>
      <w:r>
        <w:t xml:space="preserve"> </w:t>
      </w:r>
      <w:r>
        <w:t xml:space="preserve">In terzo luogo, le bande non vanno sommate meccanicamente, poiché gli strati interagiscono e una parte del risparmio strumentale è catturabile solo in presenza della formazione, che ne costituisce il fattore abilitante.</w:t>
      </w:r>
    </w:p>
    <w:p>
      <w:pPr>
        <w:pStyle w:val="BodyText"/>
      </w:pPr>
      <w:r>
        <w:t xml:space="preserve">La conclusione del capitolo è, di conseguenza, prudente e falsificabile. L’evidenza internazionale sostiene l’esistenza di un risparmio diretto incrementale attribuibile all’integrazione governata dell’Intelligenza Artificiale nel modello «Psicologo di Base» in Puglia, collocabile, a regime e per il solo Servizio Sanitario Regionale, in una banda che porta il risparmio diretto complessivo dello stack dall’ordine dei duecentosettanta milioni del modello base verso un intervallo dell’ordine dei trecentoquindici-trecentocinquanta milioni di euro annui, con la riserva che lo strato strumentale possiede l’evidenza economica meno matura e richiede una quantificazione dedicata. Questa stima non sacrifica la qualità né l’accessibilità delle cure, che anzi tende a migliorare attraverso la riduzione degli sprechi e dell’inappropriatezza; non confonde i risparmi diretti con quelli indiretti, che restano oggetto di trattazione separata; e non si affida ad alcun rapporto di ritorno di ordine elevato, in coerenza con la disciplina metodologica che governa l’intero progetto. La sua verifica sarà affidata alla rilevazione empirica nella fase di sperimentazione, secondo gli indicatori e i protocolli già definiti nello studio, e potrà condurre tanto a una conferma quanto a una revisione delle bande qui proposte.</w:t>
      </w:r>
    </w:p>
    <w:p>
      <w:r>
        <w:br w:type="page"/>
      </w:r>
    </w:p>
    <w:bookmarkEnd w:id="1301"/>
    <w:bookmarkEnd w:id="1302"/>
    <w:bookmarkStart w:id="1397" w:name="Xdcb8ba42c61fce1a641731baf346ab3f7d6bd6a"/>
    <w:p>
      <w:pPr>
        <w:pStyle w:val="Heading1"/>
      </w:pPr>
      <w:r>
        <w:t xml:space="preserve">Appendice XIV — Studio sull’integrazione dell’Intelligenza Artificiale nella formazione dello Psicologo di Base (Parti I–VII)</w:t>
      </w:r>
    </w:p>
    <w:p>
      <w:pPr>
        <w:pStyle w:val="FirstParagraph"/>
      </w:pPr>
      <w:r>
        <w:t xml:space="preserve">L’appendice consolida nel volume lo studio dedicato al pilastro formativo trasversale, nel quale le attività formative sono considerate tanto singolarmente — nelle quattro modalità della formazione universitaria, post-universitaria specialistica, continua sul lavoro e dell’accompagnamento operativo — quanto sommate nella loro architettura integrata, e l’Intelligenza Artificiale è trattata come leva abilitante subordinata alla supervisione clinica umana e alla cornice regolatoria europea.</w:t>
      </w:r>
    </w:p>
    <w:bookmarkStart w:id="1311" w:name="parte-i-quadro-mandato-e-metodo"/>
    <w:p>
      <w:pPr>
        <w:pStyle w:val="Heading2"/>
      </w:pPr>
      <w:r>
        <w:t xml:space="preserve">Parte I — Quadro, mandato e metodo</w:t>
      </w:r>
    </w:p>
    <w:p>
      <w:pPr>
        <w:pStyle w:val="FirstParagraph"/>
      </w:pPr>
      <w:r>
        <w:t xml:space="preserve">Studio IA e Formazione ��� Psicologo di Base Puglia ��� Parte I</w:t>
      </w:r>
    </w:p>
    <w:bookmarkStart w:id="1310" w:name="parte-i-quadro-mandato-e-metodo-1"/>
    <w:p>
      <w:pPr>
        <w:pStyle w:val="Heading3"/>
      </w:pPr>
      <w:r>
        <w:t xml:space="preserve">Parte I — Quadro, mandato e metodo</w:t>
      </w:r>
    </w:p>
    <w:bookmarkStart w:id="1304" w:name="Xcd329d886c7d1b4733e81281ba1fb526e97e426"/>
    <w:p>
      <w:pPr>
        <w:pStyle w:val="Heading4"/>
      </w:pPr>
      <w:r>
        <w:t xml:space="preserve">I.1 Oggetto, finalità e collocazione dello studio</w:t>
      </w:r>
    </w:p>
    <w:p>
      <w:pPr>
        <w:pStyle w:val="FirstParagraph"/>
      </w:pPr>
      <w:r>
        <w:t xml:space="preserve">Il presente studio ha per oggetto la valutazione sistematica della possibilità di formare ogni medico di medicina generale e ogni psicologo delle cure primarie operante in Puglia all’utilizzo dell’Intelligenza Artificiale, e di quantificare in che misura tale formazione, congiunta all’innesto degli strumenti tecnologici, consenta di abbattere ulteriormente i costi diretti e indiretti già ridotti dalla riforma «Psicologo di Base» nella sua configurazione di base. La finalità non è esplorativa né meramente descrittiva: essa è quella, propria di un documento di supporto alla decisione pubblica, di stabilire con il maggior rigore consentito dall’evidenza disponibile se l’aggiunta della componente di Intelligenza Artificiale e del relativo programma formativo produca un guadagno netto per la finanza sanitaria regionale, di quale ordine di grandezza esso sia, attraverso quali meccanismi si generi, con quale gradualità temporale si manifesti e a quali condizioni organizzative e professionali esso risulti effettivamente conseguibile. Lo studio assume, in altri termini, la prospettiva di chi deve allocare risorse pubbliche scarse e necessita non di una promessa tecnologica, ma di una stima difendibile, corredata dei suoi margini di incertezza e dei suoi presupposti.</w:t>
      </w:r>
    </w:p>
    <w:p>
      <w:pPr>
        <w:pStyle w:val="BodyText"/>
      </w:pPr>
      <w:r>
        <w:t xml:space="preserve">La collocazione del presente lavoro entro l’architettura documentale del progetto è precisa e va dichiarata sin dall’inizio, per evitare ogni sovrapposizione o duplicazione. Lo studio regionale sulla Puglia ha definito il bisogno, il modello organizzativo, l’efficacia clinica e la valutazione economica del servizio di psicologia delle cure primarie nella sua forma fondamentale; il modello costi-benefici e di impatto di bilancio ne ha tradotto l’architettura valutativa in un impianto quantitativo, includendovi una prima quantificazione del contributo incrementale dell’Intelligenza Artificiale e della formazione.</w:t>
      </w:r>
      <w:r>
        <w:rPr>
          <w:rStyle w:val="FootnoteReference"/>
        </w:rPr>
        <w:footnoteReference w:id="580"/>
      </w:r>
      <w:r>
        <w:t xml:space="preserve"> </w:t>
      </w:r>
      <w:r>
        <w:t xml:space="preserve">Il presente studio non ripete tali risultati, ma li fonda: esso assembla in modo sistematico la base di evidenza internazionale — la letteratura scientifica sottoposta a revisione paritaria, le valutazioni di tecnologia sanitaria, gli studi pilota, le esperienze dei sistemi sanitari più avanzati e il panorama brevettuale mondiale — che sostiene quei numeri, ne sviluppa i meccanismi clinici ambito per ambito, e affronta in modo esteso la questione, lasciata aperta, di quale configurazione formativa adottare. Il rapporto fra i due documenti è dunque quello fra un modello quantitativo e la sua giustificazione evidenziale: il primo stabilisce le grandezze, il secondo dimostra perché esse siano plausibili e a quali condizioni si realizzino.</w:t>
      </w:r>
    </w:p>
    <w:p>
      <w:pPr>
        <w:pStyle w:val="BodyText"/>
      </w:pPr>
      <w:r>
        <w:t xml:space="preserve">Una precisazione di metodo si impone qui con forza, perché definisce il carattere dell’intero studio. Il campo dell’Intelligenza Artificiale applicata alla sanità è attraversato da una produzione di stime di risparmio e di guadagno di efficienza spesso generata da fornitori tecnologici, ricavata da sperimentazioni di piccola dimensione o di breve durata, raramente replicata e quasi mai sottoposta agli standard metodologici della valutazione economica. Un documento destinato a sostenere una decisione di bilancio davanti agli organi di controllo regionali e nazionali non può accogliere acriticamente tali stime, pena la perdita immediata della propria credibilità. Il presente studio adotta perciò, verso i numeri della letteratura sull’Intelligenza Artificiale, la stessa cautela che ha governato l’intero progetto verso le stime divulgative sul ritorno degli interventi di salute mentale: ogni grandezza è ricondotta alle fonti più solide, espressa in intervalli prudenziali, depurata degli effetti di sovrastima e accompagnata dalla dichiarazione esplicita dei limiti dell’evidenza su cui poggia. La credibilità del documento non è indebolita da questa trasparenza, ma ne costituisce il fondamento.</w:t>
      </w:r>
    </w:p>
    <w:bookmarkEnd w:id="1304"/>
    <w:bookmarkStart w:id="1305" w:name="Xf5a8d54432e7e05cbb95ec43310714009caaed0"/>
    <w:p>
      <w:pPr>
        <w:pStyle w:val="Heading4"/>
      </w:pPr>
      <w:r>
        <w:t xml:space="preserve">I.2 La domanda valutativa e il principio di non duplicazione</w:t>
      </w:r>
    </w:p>
    <w:p>
      <w:pPr>
        <w:pStyle w:val="FirstParagraph"/>
      </w:pPr>
      <w:r>
        <w:t xml:space="preserve">La domanda cui lo studio risponde è circoscritta e va formulata con esattezza, perché dalla sua precisa delimitazione dipende la correttezza della quantificazione. Essa non è «quanto rende la riforma Psicologo di Base», questione già risolta nello studio di base, né «quanto vale l’Intelligenza Artificiale in sanità in generale», questione troppo ampia per ammettere una risposta utile alla decisione regionale. La domanda è la seguente: di quanto si riduce ulteriormente la spesa sanitaria regionale, diretta e indiretta, per effetto dell’innesto dell’Intelligenza Artificiale e della formazione del personale al suo uso, rispetto allo scenario in cui il medesimo servizio operi secondo il solo modello di base, a parità di copertura assistenziale e di popolazione servita. La clausola finale — a parità di copertura — è essenziale: essa consente di isolare l’effetto proprio della tecnologia e della formazione da quello, già contabilizzato altrove, dell’estensione del servizio, evitando di attribuire all’Intelligenza Artificiale risparmi che derivano in realtà dall’ampliamento della platea assistita.</w:t>
      </w:r>
    </w:p>
    <w:p>
      <w:pPr>
        <w:pStyle w:val="BodyText"/>
      </w:pPr>
      <w:r>
        <w:t xml:space="preserve">Da questa delimitazione discende il principio cardine che governa l’intera quantificazione, ossia il principio di non duplicazione dei risparmi. I benefici economici del programma integrato si dispongono in strati sovrapposti ma distinti, e la correttezza del calcolo dipende dal non contarli due volte. Il primo strato è quello del modello di base: i risparmi diretti per il Servizio Sanitario Regionale derivanti dalla funzione di filtro e di intercettazione precoce svolta dallo psicologo delle cure primarie, indipendentemente da ogni tecnologia. Il secondo strato è quello propriamente imputabile all’Intelligenza Artificiale: l’incremento di efficienza, di capacità clinica e di appropriatezza che gli strumenti tecnologici producono a parità di personale e di copertura. Il terzo strato è quello imputabile alla formazione: la quota aggiuntiva di potenziale tecnologico che una formazione strutturata consente effettivamente di catturare rispetto a una formazione minima o spontanea, a parità di strumenti disponibili. La quantificazione procede isolando il secondo e il terzo strato come differenza rispetto al primo, e tenendo conto, in via prudenziale, della parziale sovrapposizione fra le leve, sicché l’ulteriore riduzione complessiva non coincide con la somma aritmetica dei contributi parziali ma è ricondotta a un valore inferiore, depurato delle interazioni.</w:t>
      </w:r>
    </w:p>
    <w:p>
      <w:pPr>
        <w:pStyle w:val="BodyText"/>
      </w:pPr>
      <w:r>
        <w:t xml:space="preserve">Tale impostazione differenziale ha una conseguenza metodologica rilevante, che conviene esplicitare. L’oggetto della stima non è un valore assoluto, ma un delta: la distanza fra due configurazioni del medesimo servizio. Questo rende la stima al tempo stesso più robusta e più esigente. Più robusta, perché molti fattori di incertezza che gravano sul valore assoluto — la prevalenza esatta del bisogno, l’elasticità della domanda, la dinamica dei costi sanitari — incidono in misura analoga sulle due configurazioni e tendono dunque a elidersi nel calcolo della differenza. Più esigente, perché richiede di attribuire con precisione a ciascuna leva — tecnologia e formazione — la quota di effetto che le compete, distinguendo ciò che la tecnologia produce di per sé da ciò che solo la competenza del personale consente di realizzare. È precisamente in questa attribuzione che si gioca la risposta alla domanda, lasciata aperta nello studio di base, su quale configurazione formativa adottare: come si mostrerà, la quota di potenziale tecnologico che si traduce in risparmio effettivo non è una proprietà degli strumenti, ma una funzione della formazione, ed è questa dipendenza a conferire all’investimento formativo il suo specifico rendimento economico.</w:t>
      </w:r>
    </w:p>
    <w:bookmarkEnd w:id="1305"/>
    <w:bookmarkStart w:id="1307" w:name="X8bd3da5a3f9f59e07ee06b7797aef491d0dd464"/>
    <w:p>
      <w:pPr>
        <w:pStyle w:val="Heading4"/>
      </w:pPr>
      <w:r>
        <w:t xml:space="preserve">I.3 Il rapporto con lo studio di base e la stratificazione dei costi e dei risparmi</w:t>
      </w:r>
    </w:p>
    <w:p>
      <w:pPr>
        <w:pStyle w:val="FirstParagraph"/>
      </w:pPr>
      <w:r>
        <w:t xml:space="preserve">Per fondare la quantificazione incrementale occorre richiamare con precisione le grandezze del modello di base, alle quali il presente studio si ancora e con le quali esso mantiene piena coerenza. Il costo diretto del modello di base, a regime e a piena copertura, si colloca nell’ordine di 40 milioni di euro annui, entro un intervallo compreso tra 38 e 41 milioni, con la voce del personale clinico nettamente preponderante. I risparmi sanitari diretti per il Servizio Sanitario Regionale, derivanti dalla riduzione degli accessi impropri al pronto soccorso, delle prescrizioni farmaceutiche inappropriate, degli esami diagnostici non necessari, delle visite specialistiche superflue e del carico improprio sui servizi di salute mentale specialistici, seguono la curva di adozione e si collocano a regime su un valore centrale prossimo a 270 milioni di euro annui. I risparmi indiretti, afferenti al sistema economico e sociale nel suo complesso — minore assenteismo, produttività recuperata, minori invalidità e pensionamenti anticipati, minor carico assistenziale sulle famiglie — sono stimati su valori sensibilmente superiori, mentre il rapporto fra benefici e costi del solo modello di base si colloca entro la banda prudenziale adottata nell’intero progetto.</w:t>
      </w:r>
      <w:r>
        <w:rPr>
          <w:rStyle w:val="FootnoteReference"/>
        </w:rPr>
        <w:footnoteReference w:id="581"/>
      </w:r>
    </w:p>
    <w:p>
      <w:pPr>
        <w:pStyle w:val="BodyText"/>
      </w:pPr>
      <w:r>
        <w:t xml:space="preserve">Su questa base si innestano i due strati aggiuntivi. La componente di Intelligenza Artificiale comporta, a regime, un costo dell’ordine di 1,1–1,3 milioni di euro annui nella configurazione completa — comprensiva dell’infrastruttura tecnologica, dei costi operativi di licenza e di servizi in rete, del personale dedicato alla governance degli strumenti e della formazione tecnica specialistica — a fronte di un investimento iniziale una tantum dell’ordine di 1–2 milioni concentrato nei primi ventiquattro mesi. Il programma formativo integrato comporta, a regime, un costo dell’ordine di 4 milioni di euro annui, con un onere di avvio più elevato nel primo anno. La composizione complessiva dell’investimento pubblico a regime risulta pertanto dell’ordine di 45–46 milioni di euro annui, somma dei tre strati. È essenziale rilevare, sin da ora, che la componente tecnologica non costituisce una spesa aggiuntiva netta: l’automazione dei compiti amministrativi e l’efficientamento gestionale che essa produce riducono i costi operativi diretti del servizio di un importo dell’ordine di 1,3 milioni di euro annui, pari a oltre il 3 per cento del budget diretto, importo che eccede il costo operativo a regime della tecnologia stessa. La tecnologia, in altri termini, esercita un effetto di parziale autofinanziamento già sul solo versante dei costi operativi, prima ancora di considerare i risparmi clinici che essa abilita.</w:t>
      </w:r>
    </w:p>
    <w:p>
      <w:pPr>
        <w:pStyle w:val="BodyText"/>
      </w:pPr>
      <w:r>
        <w:t xml:space="preserve">La stratificazione dei costi rispecchia simmetricamente quella dei risparmi, e ne costituisce il presupposto contabile. A ciascuno strato di costo corrisponde uno strato di beneficio, e la valutazione procede confrontando, strato per strato, l’onere sostenuto con il ritorno generato. Il modello di base confronta i 40 milioni di costo diretto con i 270 milioni di risparmio diretto a regime. Lo strato tecnologico confronta il costo operativo dell’Intelligenza Artificiale con l’incremento di risparmio diretto che essa produce. Lo strato formativo confronta il costo del programma di formazione con il delta di risparmio che la competenza acquisita consente di catturare. Questa architettura a strati, lungi dal complicare l’analisi, ne garantisce la trasparenza: essa rende esplicito, per ciascuna componente dell’investimento, il rendimento che le è proprio, e consente al decisore di valutare separatamente l’opportunità di ciascuna leva. È in particolare la separabilità dello strato formativo a costituire il fulcro analitico del presente studio, poiché è su quello strato che si concentra la decisione ancora aperta e su quello strato che si misura il rendimento specifico della formazione.</w:t>
      </w:r>
    </w:p>
    <w:bookmarkEnd w:id="1307"/>
    <w:bookmarkStart w:id="1308" w:name="X18ee8761cb7e7bfde25e8e0863267e344f30356"/>
    <w:p>
      <w:pPr>
        <w:pStyle w:val="Heading4"/>
      </w:pPr>
      <w:r>
        <w:t xml:space="preserve">I.4 L’approccio metodologico: evidence-based, multidimensionale e prudenziale</w:t>
      </w:r>
    </w:p>
    <w:p>
      <w:pPr>
        <w:pStyle w:val="FirstParagraph"/>
      </w:pPr>
      <w:r>
        <w:t xml:space="preserve">Lo studio adotta tre criteri metodologici fondamentali, che ne governano la costruzione e ne definiscono il carattere. Il primo è il fondamento sull’evidenza. Ogni affermazione relativa alle potenzialità cliniche dell’Intelligenza Artificiale e ai risparmi che essa genera è ricondotta a fonti documentate e verificabili: revisioni sistematiche e meta-analisi pubblicate su riviste sottoposte a revisione paritaria, valutazioni di tecnologia sanitaria condotte secondo standard riconosciuti, studi clinici randomizzati e controllati, analisi di costo-efficacia e di impatto di bilancio, esperienze documentate dei sistemi sanitari nazionali, e il panorama brevettuale mondiale quale indicatore della direzione e della maturità dello sviluppo tecnologico. La gerarchia delle fonti è rispettata: alle revisioni sistematiche e agli studi randomizzati è attribuito un peso maggiore rispetto agli studi osservazionali, alle valutazioni preliminari e, soprattutto, alle stime di origine commerciale, le quali sono richiamate, ove pertinenti, solo con esplicita segnalazione della loro natura e dei loro limiti.</w:t>
      </w:r>
    </w:p>
    <w:p>
      <w:pPr>
        <w:pStyle w:val="BodyText"/>
      </w:pPr>
      <w:r>
        <w:t xml:space="preserve">Il secondo criterio è la multidimensionalità. La valutazione di una tecnologia sanitaria non si esaurisce nella dimensione economica, ma investe una pluralità di domini fra loro interdipendenti, secondo il modello consolidato della valutazione di tecnologia sanitaria. Lo studio considera pertanto, accanto al dominio economico, il dominio clinico — il problema di salute affrontato, la descrizione della tecnologia, la sua sicurezza e la sua efficacia documentata; il dominio organizzativo — le condizioni di integrazione degli strumenti nei flussi di lavoro delle cure primarie e nelle Case della Comunità; il dominio etico — l’equità di accesso, la non discriminazione algoritmica, la tutela della relazione di cura; e il dominio giuridico — la conformità al quadro normativo nazionale ed europeo che disciplina l’impiego dell’Intelligenza Artificiale in sanità. Questa pluralità di prospettive non è un ornamento, ma una necessità: una tecnologia clinicamente efficace ed economicamente vantaggiosa che risultasse organizzativamente inattuabile, eticamente problematica o giuridicamente non conforme non potrebbe essere raccomandata, e la quantificazione del suo ritorno economico sarebbe priva di valore decisionale.</w:t>
      </w:r>
    </w:p>
    <w:p>
      <w:pPr>
        <w:pStyle w:val="BodyText"/>
      </w:pPr>
      <w:r>
        <w:t xml:space="preserve">Il terzo criterio è la prudenza. Lo studio incorpora una correzione sistematica per la tendenza, ampiamente documentata nella letteratura sulla valutazione degli investimenti pubblici e particolarmente accentuata nel campo delle tecnologie emergenti, a sottostimare i costi e a sovrastimare i benefici. Tale correzione opera su più piani: la costruzione delle stime per scenari, con uno scenario conservativo che rappresenta il limite di sicurezza, uno scenario centrale assunto come riferimento prudenziale per la decisione, e uno scenario espansivo che rappresenta il potenziale realisticamente attingibile solo a condizione di un’esecuzione eccellente; l’adozione, per le conclusioni, del valore centrale o dell’estremo conservativo degli intervalli; e la maggiorazione delle stime di costo. A questa prudenza quantitativa si accompagna una prudenza qualitativa, consistente nella dichiarazione esplicita dei punti in cui l’evidenza è debole, preliminare o contraddittoria. Si segnala in particolare, sin da ora e con la massima trasparenza, che in alcuni studi clinici di riferimento sui modelli di cure collaborative il risparmio economico non ha raggiunto la significatività statistica, e che le revisioni sistematiche più recenti sulla costo-efficacia dell’Intelligenza Artificiale in sanità, pur trovando la tecnologia vantaggiosa nella maggioranza degli studi esaminati, ne segnalano la marcata eterogeneità metodologica e la concentrazione delle evidenze più solide in ambiti diagnostici specifici, distinti da quello della psicologia delle cure primarie. La distinzione fra ciò che l’evidenza dimostra in modo robusto e ciò che essa soltanto suggerisce è mantenuta costante lungo l’intero studio.</w:t>
      </w:r>
    </w:p>
    <w:p>
      <w:pPr>
        <w:pStyle w:val="BodyText"/>
      </w:pPr>
      <w:r>
        <w:t xml:space="preserve">A questi tre criteri si aggiunge una distinzione che percorre l’intero progetto e che lo studio mantiene con rigore: quella fra costi e risparmi diretti, che incidono sui conti del Servizio Sanitario Regionale, e costi e risparmi indiretti o sociali, che afferiscono al sistema economico e alla collettività nel suo complesso. Le due grandezze rispondono a domande diverse — la prima alla sostenibilità di bilancio, la seconda all’efficienza allocativa per la società — e non vanno confuse né sommate impropriamente. La quantificazione dell’ulteriore riduzione della spesa distingue perciò costantemente i due piani, riservando al saldo di bilancio regionale la stima dei soli risparmi diretti fiscalmente catturabili, e collocando su un piano analiticamente separato la stima dei benefici sociali e di produttività.</w:t>
      </w:r>
    </w:p>
    <w:bookmarkEnd w:id="1308"/>
    <w:bookmarkStart w:id="1309" w:name="i.5-la-struttura-dello-studio"/>
    <w:p>
      <w:pPr>
        <w:pStyle w:val="Heading4"/>
      </w:pPr>
      <w:r>
        <w:t xml:space="preserve">I.5 La struttura dello studio</w:t>
      </w:r>
    </w:p>
    <w:p>
      <w:pPr>
        <w:pStyle w:val="FirstParagraph"/>
      </w:pPr>
      <w:r>
        <w:t xml:space="preserve">Lo studio si articola in nove parti, ordinate secondo una progressione che muove dalla base di evidenza generale verso la quantificazione specifica e le sue condizioni di realizzabilità. La presente Parte I ha definito il quadro, il mandato e il metodo. La Parte II ricostruisce in modo sistematico le potenzialità dell’Intelligenza Artificiale in sanità quali emerse a livello mondiale, articolandole nei cinque ambiti indicati dal mandato — la diagnostica, la prevenzione, il trattamento, la riabilitazione e il recupero — e valutando per ciascuno la solidità dell’evidenza e la pertinenza al contesto delle cure primarie. La Parte III circoscrive tali potenzialità al dominio specifico del modello «Psicologo di Base» e della medicina generale, identificando i meccanismi attraverso i quali la tecnologia genera risparmio in questo ambito: il sostegno alla decisione clinica, gli strumenti digitali di primo livello, la stratificazione del rischio, l’automazione documentale e il recupero di capacità clinica.</w:t>
      </w:r>
    </w:p>
    <w:p>
      <w:pPr>
        <w:pStyle w:val="BodyText"/>
      </w:pPr>
      <w:r>
        <w:t xml:space="preserve">La Parte IV esamina il panorama brevettuale mondiale e le esperienze internazionali più autorevoli, dai grandi programmi di accesso alle terapie psicologiche alle sperimentazioni nazionali in corso, quali indicatori della direzione, della maturità e della trasferibilità delle soluzioni. La Parte V ricostruisce il quadro normativo e programmatico entro cui l’innesto dell’Intelligenza Artificiale nelle cure primarie italiane si colloca, con particolare riferimento alla legge nazionale che ne ha istituito la piattaforma di supporto e alla relativa sperimentazione. La Parte VI affronta in modo esteso la questione lasciata aperta dal mandato, sviluppando e confrontando le quattro modalità formative — universitaria, post-universitaria, lavorativa e di accompagnamento — e determinandone il rendimento differenziale. La Parte VII perviene alla quantificazione dell’ulteriore riduzione della spesa sanitaria, diretta e indiretta, articolandola per leva, per scenario e per orizzonte temporale. La Parte VIII espone i limiti, i rischi e le condizioni organizzative, etiche e di governance che presiedono alla realizzabilità del risultato. La Parte IX raccoglie la sintesi e le raccomandazioni operative per il decisore regionale.</w:t>
      </w:r>
    </w:p>
    <w:bookmarkEnd w:id="1309"/>
    <w:bookmarkEnd w:id="1310"/>
    <w:bookmarkEnd w:id="1311"/>
    <w:bookmarkStart w:id="1333" w:name="parte-ii-la-base-di-evidenza"/>
    <w:p>
      <w:pPr>
        <w:pStyle w:val="Heading2"/>
      </w:pPr>
      <w:r>
        <w:t xml:space="preserve">Parte II — La base di evidenza</w:t>
      </w:r>
    </w:p>
    <w:p>
      <w:pPr>
        <w:pStyle w:val="FirstParagraph"/>
      </w:pPr>
      <w:r>
        <w:t xml:space="preserve">Studio IA e Formazione ��� Psicologo di Base Puglia ��� Parte II</w:t>
      </w:r>
    </w:p>
    <w:bookmarkStart w:id="1332" w:name="X484434028bc62b5ad06db6578f868cb7c030dae"/>
    <w:p>
      <w:pPr>
        <w:pStyle w:val="Heading3"/>
      </w:pPr>
      <w:r>
        <w:t xml:space="preserve">Parte II — Le potenzialità dell’Intelligenza Artificiale in sanità: la base di evidenza</w:t>
      </w:r>
    </w:p>
    <w:bookmarkStart w:id="1316" w:name="Xd84a5dd231509e9916f5b0b6c1d78b3e3887d97"/>
    <w:p>
      <w:pPr>
        <w:pStyle w:val="Heading4"/>
      </w:pPr>
      <w:r>
        <w:t xml:space="preserve">II.1 Il quadro generale dell’evidenza: ciò che dimostrano le revisioni sistematiche</w:t>
      </w:r>
    </w:p>
    <w:p>
      <w:pPr>
        <w:pStyle w:val="FirstParagraph"/>
      </w:pPr>
      <w:r>
        <w:t xml:space="preserve">Prima di articolare le potenzialità dell’Intelligenza Artificiale nei cinque ambiti indicati dal mandato, è necessario fissare il quadro generale dell’evidenza economica, poiché è da quel quadro che discende la misura di prudenza con cui ogni stima successiva va trattata. Le revisioni sistematiche più recenti delle valutazioni economiche dell’Intelligenza Artificiale in sanità convergono su una conclusione duplice, che conviene enunciare senza attenuazioni. Da un lato, esse documentano che, nella maggioranza degli studi esaminati, gli interventi basati su Intelligenza Artificiale risultano costo-efficaci o addirittura dominanti, ossia capaci di produrre esiti di salute uguali o migliori a un costo inferiore: una rassegna pubblicata nel 2025 su una rivista del gruppo Nature, che ha esaminato diciannove studi attraverso oncologia, cardiologia, oftalmologia e malattie infettive, conclude che l’Intelligenza Artificiale migliora l’accuratezza diagnostica, accresce gli anni di vita ponderati per la qualità e riduce i costi, prevalentemente minimizzando le procedure non necessarie e ottimizzando l’impiego delle risorse, con rapporti incrementali di costo-efficacia ben al di sotto delle soglie comunemente accettate.</w:t>
      </w:r>
      <w:r>
        <w:rPr>
          <w:rStyle w:val="FootnoteReference"/>
        </w:rPr>
        <w:footnoteReference w:id="582"/>
      </w:r>
      <w:r>
        <w:t xml:space="preserve"> </w:t>
      </w:r>
      <w:r>
        <w:t xml:space="preserve">Una rassegna presentata in ambito di ricerca sui risultati di salute, che ha esaminato trentaquattro analisi di costo-efficacia, riporta che ventisette di esse hanno trovato l’intervento di Intelligenza Artificiale costo-efficace in almeno uno scenario, con dominanza in diciotto casi.</w:t>
      </w:r>
      <w:r>
        <w:rPr>
          <w:rStyle w:val="FootnoteReference"/>
        </w:rPr>
        <w:footnoteReference w:id="583"/>
      </w:r>
    </w:p>
    <w:p>
      <w:pPr>
        <w:pStyle w:val="BodyText"/>
      </w:pPr>
      <w:r>
        <w:t xml:space="preserve">Dall’altro lato, e con pari nettezza, le medesime revisioni segnalano i limiti che impediscono di tradurre quel risultato generale in una promessa indiscriminata. Il valore economico dell’Intelligenza Artificiale, esse rilevano, rimane incerto, per tre ragioni convergenti. La prima è la marcata eterogeneità metodologica: gli studi adottano metodi, prospettive, orizzonti e definizioni di esito fra loro così diversi da rendere ardua ogni sintesi quantitativa unificata. La seconda è la qualità metodologica disomogenea e spesso lacunosa: nessuno degli studi esaminati nella rassegna sui risultati di salute modellava l’evoluzione dell’algoritmo nel tempo né documentava le differenze di popolazione fra i dati di addestramento e quelli di impiego, e la rendicontazione dei costi di produttività, della trasparenza dell’attualizzazione e di talune analisi di incertezza risultava persistentemente carente.</w:t>
      </w:r>
      <w:r>
        <w:rPr>
          <w:rStyle w:val="FootnoteReference"/>
        </w:rPr>
        <w:footnoteReference w:id="584"/>
      </w:r>
      <w:r>
        <w:t xml:space="preserve"> </w:t>
      </w:r>
      <w:r>
        <w:t xml:space="preserve">La terza, e più rilevante per il presente studio, è la concentrazione delle evidenze economiche più solide in ambiti diagnostici specifici — l’analisi di immagini per la retinopatia diabetica, la tomografia per l’ictus, lo screening di alcuni tumori — distinti dall’ambito della psicologia delle cure primarie, nel quale i meccanismi di risparmio sono diversi e l’evidenza economica è più recente e meno consolidata. Una rassegna metodologica del 2024 conferma che la qualità delle valutazioni economiche complete delle tecnologie di Intelligenza Artificiale presenta aree estese suscettibili di miglioramento.</w:t>
      </w:r>
      <w:r>
        <w:rPr>
          <w:rStyle w:val="FootnoteReference"/>
        </w:rPr>
        <w:footnoteReference w:id="585"/>
      </w:r>
    </w:p>
    <w:p>
      <w:pPr>
        <w:pStyle w:val="BodyText"/>
      </w:pPr>
      <w:r>
        <w:t xml:space="preserve">Da questo quadro discende il criterio che governa l’intera Parte II e, con essa, la quantificazione successiva. Le potenzialità dell’Intelligenza Artificiale sono reali e, in alcuni ambiti, documentate da evidenza robusta; ma la loro traduzione in risparmio per il bilancio sanitario regionale non è uniforme fra gli ambiti, non è automatica e non è esente da costi. Lo studio distingue perciò costantemente, per ciascun ambito, il livello di solidità dell’evidenza — robusta, intermedia o preliminare — e il grado di pertinenza al contesto specifico delle cure primarie e del modello «Psicologo di Base», riservando alla quantificazione soltanto le componenti che superano entrambe le soglie. Si tratta della medesima disciplina del rigore applicata, nell’intero progetto, alle stime sul ritorno degli interventi di salute mentale: la fonte della credibilità non è l’ampiezza delle potenzialità evocate, ma la selettività con cui esse sono ricondotte all’evidenza che effettivamente le sostiene.</w:t>
      </w:r>
    </w:p>
    <w:bookmarkEnd w:id="1316"/>
    <w:bookmarkStart w:id="1318" w:name="ii.2-la-diagnostica"/>
    <w:p>
      <w:pPr>
        <w:pStyle w:val="Heading4"/>
      </w:pPr>
      <w:r>
        <w:t xml:space="preserve">II.2 La diagnostica</w:t>
      </w:r>
    </w:p>
    <w:p>
      <w:pPr>
        <w:pStyle w:val="FirstParagraph"/>
      </w:pPr>
      <w:r>
        <w:t xml:space="preserve">L’ambito diagnostico è quello in cui l’evidenza di efficacia e di vantaggio economico dell’Intelligenza Artificiale è più consolidata, e costituisce pertanto il punto di partenza obbligato. Il meccanismo è quello del riconoscimento di configurazioni entro grandi masse di dati clinici — immagini radiologiche, fotografie del fondo oculare, tracciati biologici, referti — con un’accuratezza che, in compiti circoscritti e ben definiti, eguaglia o supera quella dell’osservatore umano esperto. Il caso più studiato e più solido è quello dello screening della retinopatia diabetica mediante analisi automatizzata delle immagini retiniche: sistemi di Intelligenza Artificiale approvati dalle autorità regolatorie consentono di individuare la patologia in fase precoce, su grandi popolazioni di diabetici, senza la necessità dell’intervento immediato dello specialista, e le analisi economiche modellistiche di programmi nazionali di screening teleoftalmologico documentano per questa applicazione un profilo di costo-efficacia favorevole, in taluni scenari dominante.</w:t>
      </w:r>
      <w:r>
        <w:rPr>
          <w:rStyle w:val="FootnoteReference"/>
        </w:rPr>
        <w:footnoteReference w:id="586"/>
      </w:r>
      <w:r>
        <w:t xml:space="preserve"> </w:t>
      </w:r>
      <w:r>
        <w:t xml:space="preserve">Analoghe evidenze, di solidità intermedia, riguardano l’analisi automatizzata delle immagini di tomografia computerizzata nel sospetto di ictus acuto, oggetto di una valutazione di tecnologia sanitaria che ne documenta il potenziale di accelerazione del percorso diagnostico, e lo screening di alcuni tumori, dove l’Intelligenza Artificiale riduce gli esami superflui e ne aumenta la resa.</w:t>
      </w:r>
    </w:p>
    <w:p>
      <w:pPr>
        <w:pStyle w:val="BodyText"/>
      </w:pPr>
      <w:r>
        <w:t xml:space="preserve">La pertinenza di questo ambito al contesto delle cure primarie e del modello «Psicologo di Base» è reale ma indiretta, e va definita con precisione per non sovrastimarla. Lo psicologo delle cure primarie non esegue diagnostica per immagini; il medico di medicina generale, invece, è il punto di accesso che orienta la richiesta di esami e la formulazione del sospetto diagnostico, ed è su questa funzione che l’Intelligenza Artificiale diagnostica esercita il proprio effetto nelle cure primarie. Il supporto all’inquadramento diagnostico di base — la valutazione iniziale del paziente e l’individuazione del percorso più appropriato — costituisce il primo dei tre ambiti d’uso individuati dalla sperimentazione nazionale promossa dall’agenzia per la sanità digitale, e opera nel senso di accrescere l’appropriatezza: riducendo le richieste di esami e di visite specialistiche non necessarie, e migliorando la tempestività dell’individuazione delle condizioni che richiedono un percorso specialistico. Per il modello «Psicologo di Base», la rilevanza diagnostica si concentra in particolare nell’identificazione precoce e nella corretta classificazione del disagio psichico nelle cure primarie, dove strumenti di supporto possono assistere il medico e lo psicologo nel distinguere le condizioni che il primo livello può prendere in carico da quelle che richiedono l’invio specialistico, affinando così la funzione di filtro che costituisce il cuore economico della riforma. È un effetto di appropriatezza, non di sostituzione, e va contabilizzato come tale: non un nuovo risparmio autonomo, ma un’amplificazione della capacità di filtro già valorizzata nel modello di base.</w:t>
      </w:r>
    </w:p>
    <w:bookmarkEnd w:id="1318"/>
    <w:bookmarkStart w:id="1320" w:name="ii.3-la-prevenzione"/>
    <w:p>
      <w:pPr>
        <w:pStyle w:val="Heading4"/>
      </w:pPr>
      <w:r>
        <w:t xml:space="preserve">II.3 La prevenzione</w:t>
      </w:r>
    </w:p>
    <w:p>
      <w:pPr>
        <w:pStyle w:val="FirstParagraph"/>
      </w:pPr>
      <w:r>
        <w:t xml:space="preserve">L’ambito preventivo costituisce il secondo terreno di applicazione dell’Intelligenza Artificiale, e quello in cui il suo meccanismo proprio — la predizione a partire da grandi masse di dati — esprime la sua vocazione più caratteristica. La prevenzione assistita dall’Intelligenza Artificiale opera attraverso la stratificazione del rischio: l’analisi dei dati clinici, anagrafici e comportamentali di una popolazione consente di identificare i soggetti a rischio elevato di sviluppare una determinata condizione prima che essa si manifesti clinicamente, indirizzando verso di essi le risorse preventive in modo mirato. L’evidenza economica più solida in questo ambito riguarda la predizione del rischio di patologie croniche a partire da dati di routine: una valutazione di un algoritmo di apprendimento automatico per l’identificazione dei pazienti a rischio elevato di fibrillazione atriale nelle cure primarie ne documenta il profilo di costo-efficacia, e analoghe applicazioni di stratificazione del rischio cardiovascolare e metabolico mostrano la capacità di anticipare l’intervento, con un risparmio che deriva dall’evitare gli eventi acuti e i ricoveri che la malattia conclamata comporterebbe.</w:t>
      </w:r>
      <w:r>
        <w:rPr>
          <w:rStyle w:val="FootnoteReference"/>
        </w:rPr>
        <w:footnoteReference w:id="587"/>
      </w:r>
      <w:r>
        <w:t xml:space="preserve"> </w:t>
      </w:r>
      <w:r>
        <w:t xml:space="preserve">La gestione della cronicità, attraverso strumenti di monitoraggio e rivalutazione dei pazienti con patologie note, e la prevenzione e promozione della salute, attraverso il supporto alle attività informative e di counselling, costituiscono il secondo e il terzo degli ambiti d’uso della sperimentazione nazionale, a conferma della centralità riconosciuta a questa funzione nelle cure primarie italiane.</w:t>
      </w:r>
    </w:p>
    <w:p>
      <w:pPr>
        <w:pStyle w:val="BodyText"/>
      </w:pPr>
      <w:r>
        <w:t xml:space="preserve">Nel dominio specifico della salute mentale, la prevenzione assistita dall’Intelligenza Artificiale assume la forma della predizione precoce del disagio psichico: l’identificazione, a partire da dati clinici e comportamentali, dei soggetti a rischio di sviluppare disturbi ansioso-depressivi, e l’indirizzamento verso di essi dell’intervento di primo livello prima che la condizione si aggravi e richieda cure specialistiche più onerose. Questo meccanismo è perfettamente allineato alla logica della riforma «Psicologo di Base», il cui valore economico risiede precisamente nell’intercettazione precoce: l’Intelligenza Artificiale, in questo ambito, non introduce un meccanismo nuovo, ma potenzia quello già fondante, consentendo di anticipare e di mirare l’intercettazione che lo psicologo delle cure primarie realizza. La pertinenza al modello è dunque elevata, ma la solidità dell’evidenza economica specifica è intermedia: se la predizione del rischio per le patologie croniche somatiche dispone di valutazioni economiche documentate, la predizione del disagio psichico è ambito più recente, in cui l’evidenza è in larga parte di fattibilità e di accuratezza algoritmica più che di esito economico consolidato. La componente preventiva va perciò contabilizzata con prudenza, riconoscendone l’allineamento al meccanismo della riforma ma collocandone il contributo entro la parte conservativa degli intervalli, in attesa che l’evidenza di esito maturi.</w:t>
      </w:r>
    </w:p>
    <w:bookmarkEnd w:id="1320"/>
    <w:bookmarkStart w:id="1323" w:name="ii.4-il-trattamento"/>
    <w:p>
      <w:pPr>
        <w:pStyle w:val="Heading4"/>
      </w:pPr>
      <w:r>
        <w:t xml:space="preserve">II.4 Il trattamento</w:t>
      </w:r>
    </w:p>
    <w:p>
      <w:pPr>
        <w:pStyle w:val="FirstParagraph"/>
      </w:pPr>
      <w:r>
        <w:t xml:space="preserve">L’ambito del trattamento è quello di più diretta pertinenza al modello «Psicologo di Base», e quello in cui l’evidenza, pur con i limiti che si diranno, è più direttamente trasferibile al contesto della psicologia delle cure primarie. Il meccanismo principale è quello degli strumenti digitali terapeutici di primo livello: programmi strutturati di terapia cognitivo-comportamentale erogata attraverso dispositivi digitali, impiegati come primo gradino di un modello di cure a intensità crescente. L’evidenza di riferimento è quella della terapia cognitivo-comportamentale computerizzata integrata nei grandi programmi di accesso alle terapie psicologiche: uno studio clinico randomizzato pragmatico, condotto entro il programma britannico di miglioramento dell’accesso alle terapie psicologiche e pubblicato su una rivista del gruppo Nature, ha documentato l’efficacia e la costo-efficacia della terapia cognitivo-comportamentale erogata per via digitale quando pienamente integrata in un modello di cure a gradini, misurando gli esiti sui questionari validati per la sintomatologia depressiva e ansiosa e l’utilità sulla qualità della vita correlata alla salute.</w:t>
      </w:r>
      <w:r>
        <w:rPr>
          <w:rStyle w:val="FootnoteReference"/>
        </w:rPr>
        <w:footnoteReference w:id="588"/>
      </w:r>
      <w:r>
        <w:t xml:space="preserve"> </w:t>
      </w:r>
      <w:r>
        <w:t xml:space="preserve">Numerosi studi clinici randomizzati successivi, condotti su dispositivi digitali terapeutici dedicati ai disturbi d’ansia e depressivi, hanno confermato riduzioni clinicamente significative della sintomatologia, con dimensioni dell’effetto di entità moderata e, in alcuni casi, numeri necessari a trattare particolarmente favorevoli, a sostegno della loro funzione di alternativa o di complemento scalabile e a basso costo al trattamento ordinario.</w:t>
      </w:r>
      <w:r>
        <w:rPr>
          <w:rStyle w:val="FootnoteReference"/>
        </w:rPr>
        <w:footnoteReference w:id="589"/>
      </w:r>
    </w:p>
    <w:p>
      <w:pPr>
        <w:pStyle w:val="BodyText"/>
      </w:pPr>
      <w:r>
        <w:t xml:space="preserve">Il meccanismo attraverso cui questo ambito genera risparmio per il modello «Psicologo di Base» è preciso e va distinto da quello degli altri ambiti. Gli strumenti digitali terapeutici di primo livello non sostituiscono lo psicologo, ma ne estendono la capacità: impiegati come primo gradino del percorso a intensità crescente, essi consentono di prendere in carico una quota della domanda — quella dei quadri più lievi e sottosoglia — con un impegno di tempo clinico ridotto, riservando la presa in carico diretta del professionista ai casi di maggiore complessità, che ne traggono il massimo beneficio. Si tratta del medesimo principio di stratificazione che fonda l’intera riforma, applicato al gradino di accesso: l’Intelligenza Artificiale e gli strumenti digitali amplificano la funzione di filtro e di intervento breve dello psicologo delle cure primarie, accrescendo il numero di persone che un dato organico professionale è in grado di servire, e dunque la resa del servizio a parità di costo del personale. A questo meccanismo si aggiunge, sul versante del trattamento, il supporto alla decisione clinica: strumenti che assistono il professionista nella scelta e nella personalizzazione dell’intervento, con un effetto di appropriatezza analogo a quello descritto per l’ambito diagnostico. La pertinenza di questo ambito al modello è dunque massima e la solidità dell’evidenza è la più elevata fra gli ambiti specifici della salute mentale; va tuttavia mantenuta la consapevolezza, dichiarata con onestà nell’intero progetto, che in alcuni studi clinici di riferimento sui modelli di cure collaborative il risparmio economico non ha raggiunto la significatività statistica, sicché la stima del contributo va ancorata alla parte prudenziale degli intervalli.</w:t>
      </w:r>
    </w:p>
    <w:bookmarkEnd w:id="1323"/>
    <w:bookmarkStart w:id="1327" w:name="ii.5-la-riabilitazione"/>
    <w:p>
      <w:pPr>
        <w:pStyle w:val="Heading4"/>
      </w:pPr>
      <w:r>
        <w:t xml:space="preserve">II.5 La riabilitazione</w:t>
      </w:r>
    </w:p>
    <w:p>
      <w:pPr>
        <w:pStyle w:val="FirstParagraph"/>
      </w:pPr>
      <w:r>
        <w:t xml:space="preserve">L’ambito riabilitativo estende l’applicazione dell’Intelligenza Artificiale alla fase successiva all’evento acuto o alla diagnosi, nella quale l’obiettivo è il recupero funzionale. Il meccanismo è quello della teleriabilitazione assistita: piattaforme che erogano programmi riabilitativi a domicilio, personalizzandone dinamicamente la difficoltà in base alle prestazioni del paziente e monitorandone a distanza la partecipazione, così superando i due limiti principali della riabilitazione domiciliare convenzionale — la difficoltà di monitorare l’aderenza e l’impossibilità di adattare il programma senza l’intervento del terapeuta. L’evidenza in questo ambito è in via di maturazione, ma comprende segnali robusti: uno studio clinico randomizzato multicentrico di non inferiorità, condotto su pazienti con compromissione cognitiva nei sei mesi successivi a un ictus, ha documentato che la teleriabilitazione cognitiva autoguidata e personalizzata mediante Intelligenza Artificiale non è inferiore alla riabilitazione supervisionata dal terapeuta sulle misure di funzione cognitiva, con risultati analoghi sull’indipendenza funzionale.</w:t>
      </w:r>
      <w:r>
        <w:rPr>
          <w:rStyle w:val="FootnoteReference"/>
        </w:rPr>
        <w:footnoteReference w:id="590"/>
      </w:r>
      <w:r>
        <w:t xml:space="preserve"> </w:t>
      </w:r>
      <w:r>
        <w:t xml:space="preserve">Una rassegna sistematica del 2026 sulle tecnologie riabilitative digitali e intelligenti nelle patologie neurologiche conferma che il segnale clinico più consistente si osserva nei programmi per l’arto superiore dopo l’ictus, dove l’addestramento assistito da robotica e da realtà virtuale aumenta la pratica specifica e migliora gli esiti di attività.</w:t>
      </w:r>
      <w:r>
        <w:rPr>
          <w:rStyle w:val="FootnoteReference"/>
        </w:rPr>
        <w:footnoteReference w:id="591"/>
      </w:r>
    </w:p>
    <w:p>
      <w:pPr>
        <w:pStyle w:val="BodyText"/>
      </w:pPr>
      <w:r>
        <w:t xml:space="preserve">A questo segnale positivo si accompagna, però, un’avvertenza metodologica che la stessa letteratura impone e che va riportata con scrupolo, poiché incide direttamente sulla quantificazione. Le rassegne più rigorose rilevano che la superiorità della tecnologia sugli esiti di menomazione e di indipendenza tende a ridursi quando l’esposizione al trattamento è equiparata fra i gruppi e i valutatori sono in cieco, il che implica che gran parte del beneficio osservato è attribuibile alla maggiore intensità di pratica e al maggiore coinvolgimento del paziente più che alla tecnologia in quanto tale.</w:t>
      </w:r>
      <w:r>
        <w:rPr>
          <w:rStyle w:val="FootnoteReference"/>
        </w:rPr>
        <w:footnoteReference w:id="592"/>
      </w:r>
      <w:r>
        <w:t xml:space="preserve"> </w:t>
      </w:r>
      <w:r>
        <w:t xml:space="preserve">Questa distinzione è cruciale per il presente studio: essa significa che il valore della teleriabilitazione assistita risiede prevalentemente nella sua capacità di erogare più pratica riabilitativa a costo inferiore — estendendo il continuum di cura oltre la dimissione, dove la maggior parte dei pazienti non riceve oggi alcun trattamento — più che in una superiorità intrinseca dell’algoritmo. La pertinenza al modello «Psicologo di Base» è indiretta e circoscritta: essa riguarda la riabilitazione cognitiva e la continuità assistenziale per i pazienti con esiti di patologie neurologiche e per la componente anziana, ambito in cui lo psicologo delle cure primarie può svolgere una funzione di sostegno e di monitoraggio, ma non costituisce il nucleo dell’attività del servizio. Il contributo di questo ambito alla quantificazione è perciò modesto e va collocato nella parte conservativa degli intervalli, riconoscendone il valore di estensione del continuum di cura a costo contenuto ma non sovrastimandone la specificità tecnologica.</w:t>
      </w:r>
    </w:p>
    <w:bookmarkEnd w:id="1327"/>
    <w:bookmarkStart w:id="1330" w:name="ii.6-il-recupero"/>
    <w:p>
      <w:pPr>
        <w:pStyle w:val="Heading4"/>
      </w:pPr>
      <w:r>
        <w:t xml:space="preserve">II.6 Il recupero</w:t>
      </w:r>
    </w:p>
    <w:p>
      <w:pPr>
        <w:pStyle w:val="FirstParagraph"/>
      </w:pPr>
      <w:r>
        <w:t xml:space="preserve">L’ambito del recupero — inteso come mantenimento dello stato di salute conseguito, prevenzione delle ricadute e continuità assistenziale nel lungo periodo — costituisce il quinto e ultimo terreno indicato dal mandato, e quello in cui l’Intelligenza Artificiale esprime una potenzialità peculiare attraverso la caratterizzazione fenotipica digitale. Il meccanismo è quello della raccolta continua e dell’analisi automatizzata dei dati comportamentali e fisiologici provenienti dai dispositivi personali del paziente — i parametri di attività, la variabilità della frequenza cardiaca, i ritmi del sonno, i modelli di mobilità, le interazioni con il dispositivo — quali marcatori dello stato mentale, in grado di cogliere i cambiamenti precoci che precedono il deterioramento sintomatico. Nel campo della salute mentale, questo approccio è stato applicato in particolare alla predizione delle ricadute nei disturbi psicotici e dell’umore: una rassegna che ha analizzato l’evidenza sulla caratterizzazione fenotipica digitale per la previsione delle ricadute ha riscontrato che i disturbi dell’umore e quelli dello spettro schizofrenico sono fra le condizioni più studiate, e una revisione autorevole rileva che la rilevazione delle ricadute nella schizofrenia e la previsione dei sintomi nei disturbi dell’umore dispongono di risultati pilota solidi, con replicazione e validazione esterna, che forniscono segnali clinici promettenti e generalizzabili.</w:t>
      </w:r>
      <w:r>
        <w:rPr>
          <w:rStyle w:val="FootnoteReference"/>
        </w:rPr>
        <w:footnoteReference w:id="593"/>
      </w:r>
    </w:p>
    <w:p>
      <w:pPr>
        <w:pStyle w:val="BodyText"/>
      </w:pPr>
      <w:r>
        <w:t xml:space="preserve">Anche per questo ambito, tuttavia, l’onestà metodologica impone di accompagnare il segnale positivo con i suoi limiti, qui particolarmente stringenti. Le rassegne sistematiche più recenti rilevano che la base di evidenza rimane eterogenea e frammentata, con molti studi ancora orientati alla fattibilità e alla dimostrazione di concetto più che alla validazione di sistemi predittivi pronti per l’impiego clinico, e con risultati contrastanti fra gli approcci basati su dispositivi indossabili e algoritmi predittivi, da un lato, e quelli basati su interventi più semplici, dall’altro.</w:t>
      </w:r>
      <w:r>
        <w:rPr>
          <w:rStyle w:val="FootnoteReference"/>
        </w:rPr>
        <w:footnoteReference w:id="594"/>
      </w:r>
      <w:r>
        <w:t xml:space="preserve"> </w:t>
      </w:r>
      <w:r>
        <w:t xml:space="preserve">A ciò si aggiunge un segnale di rischio che non può essere taciuto: alcuni studi hanno rilevato che determinate applicazioni di monitoraggio possono, in taluni casi, accrescere il rischio di episodi depressivi o l’escalation di sintomi, il che impone che l’impiego di questi strumenti sia accompagnato da cautela clinica e da supervisione professionale, e non lasciato all’autogestione. La pertinenza al modello «Psicologo di Base» è significativa sul piano della funzione — il monitoraggio della continuità e l’individuazione precoce dei segnali di allarme rientrano nel ruolo di presa in carico prolungata dello psicologo delle cure primarie — ma la maturità dell’evidenza è la più bassa fra i cinque ambiti, e l’esistenza di un segnale di possibile danno ne impone una contabilizzazione particolarmente conservativa. Il contributo di questo ambito alla quantificazione è perciò il più contenuto, e il suo riconoscimento è subordinato all’adozione di garanzie di supervisione che lo studio espliciterà nella parte dedicata ai rischi e alle condizioni di realizzabilità.</w:t>
      </w:r>
    </w:p>
    <w:bookmarkEnd w:id="1330"/>
    <w:bookmarkStart w:id="1331" w:name="Xa1b8b067c45cf38d6e72fd035fbb2ec91ac09a1"/>
    <w:p>
      <w:pPr>
        <w:pStyle w:val="Heading4"/>
      </w:pPr>
      <w:r>
        <w:t xml:space="preserve">II.7 Sintesi: la solidità differenziale dell’evidenza e la pertinenza alle cure primarie</w:t>
      </w:r>
    </w:p>
    <w:p>
      <w:pPr>
        <w:pStyle w:val="FirstParagraph"/>
      </w:pPr>
      <w:r>
        <w:t xml:space="preserve">La ricognizione dei cinque ambiti consente di formulare una sintesi che orienta l’intera quantificazione successiva e che ne costituisce il presupposto di onestà. L’evidenza sulle potenzialità dell’Intelligenza Artificiale in sanità non è uniforme: essa si dispone lungo un gradiente di solidità e di pertinenza che lo studio deve rispettare nel tradurla in stime economiche. Sul piano della solidità dell’evidenza, l’ambito diagnostico presenta le valutazioni economiche più consolidate, sebbene concentrate in applicazioni per immagini distanti dalla psicologia delle cure primarie; l’ambito del trattamento dispone dell’evidenza più solida fra quelli direttamente pertinenti alla salute mentale, fondata sui grandi programmi di accesso alle terapie psicologiche e sugli studi clinici randomizzati sui dispositivi digitali terapeutici; gli ambiti della prevenzione, della riabilitazione e del recupero presentano un’evidenza intermedia o preliminare, con segnali promettenti ma non ancora consolidati sul piano dell’esito economico, e con avvertenze metodologiche — la prevalenza del fattore dose sulla tecnologia nella riabilitazione, la natura pilota e il segnale di possibile danno nel recupero — che ne impongono una contabilizzazione conservativa.</w:t>
      </w:r>
    </w:p>
    <w:p>
      <w:pPr>
        <w:pStyle w:val="BodyText"/>
      </w:pPr>
      <w:r>
        <w:t xml:space="preserve">Sul piano della pertinenza al modello «Psicologo di Base», il gradiente è in parte diverso, e la sua composizione con il primo definisce il peso che ciascun ambito assume nella quantificazione. Gli ambiti del trattamento e della prevenzione sono i più pertinenti, poiché agiscono direttamente sul meccanismo fondante della riforma — l’intercettazione precoce e la stratificazione del bisogno — amplificandone la resa; l’ambito diagnostico è pertinente in via indiretta, attraverso la funzione di appropriatezza esercitata sul medico di medicina generale e sulla corretta classificazione del disagio; gli ambiti della riabilitazione e del recupero sono pertinenti in misura circoscritta, riguardando funzioni di sostegno e di continuità che rientrano nel ruolo del servizio ma non ne costituiscono il nucleo. La risultante di questa duplice valutazione è il principio che governa la Parte VII: il contributo dell’Intelligenza Artificiale alla riduzione della spesa è contabilizzato in misura proporzionale alla solidità dell’evidenza e alla pertinenza di ciascun ambito, concentrando il peso sugli ambiti del trattamento e della prevenzione, riconoscendo all’ambito diagnostico un effetto di appropriatezza, e collocando gli ambiti della riabilitazione e del recupero nella parte conservativa degli intervalli. È in questa selettività — e non in una sommatoria indiscriminata delle potenzialità — che risiede la difendibilità della quantificazione, e con essa la sua utilità per la decisione pubblica. Un elemento trasversale ai cinque ambiti, infine, emerge con costanza dalla letteratura e si rivelerà decisivo nella parte dedicata alla formazione: in ogni ambito, la quota di potenziale tecnologico che si traduce in beneficio effettivo dipende criticamente dall’integrazione degli strumenti nei flussi di lavoro clinici e dalla competenza degli operatori nel loro impiego, mentre l’esposizione passiva alla tecnologia, in assenza di tale competenza, ne disperde gran parte del valore.</w:t>
      </w:r>
    </w:p>
    <w:bookmarkEnd w:id="1331"/>
    <w:bookmarkEnd w:id="1332"/>
    <w:bookmarkEnd w:id="1333"/>
    <w:bookmarkStart w:id="1347" w:name="Xc19903213a39648db32ee105b26f9555e5532e4"/>
    <w:p>
      <w:pPr>
        <w:pStyle w:val="Heading2"/>
      </w:pPr>
      <w:r>
        <w:t xml:space="preserve">Parte III — I meccanismi nelle cure primarie</w:t>
      </w:r>
    </w:p>
    <w:p>
      <w:pPr>
        <w:pStyle w:val="FirstParagraph"/>
      </w:pPr>
      <w:r>
        <w:t xml:space="preserve">Studio IA e Formazione ��� Psicologo di Base Puglia ��� Parte III</w:t>
      </w:r>
    </w:p>
    <w:bookmarkStart w:id="1346" w:name="Xb037f1aafa62808f5c7c78d9cde017409036855"/>
    <w:p>
      <w:pPr>
        <w:pStyle w:val="Heading3"/>
      </w:pPr>
      <w:r>
        <w:t xml:space="preserve">Parte III — L’Intelligenza Artificiale nelle cure primarie e nel modello «Psicologo di Base»</w:t>
      </w:r>
    </w:p>
    <w:bookmarkStart w:id="1334" w:name="Xe4dfe223bd0e7c0b8a833bff4dd129fbd8a59fd"/>
    <w:p>
      <w:pPr>
        <w:pStyle w:val="Heading4"/>
      </w:pPr>
      <w:r>
        <w:t xml:space="preserve">III.1 Premessa: dal potenziale generale ai meccanismi specifici del modello</w:t>
      </w:r>
    </w:p>
    <w:p>
      <w:pPr>
        <w:pStyle w:val="FirstParagraph"/>
      </w:pPr>
      <w:r>
        <w:t xml:space="preserve">La Parte II ha ricostruito le potenzialità dell’Intelligenza Artificiale nei cinque ambiti del mandato e ne ha ordinato la pertinenza e la solidità dell’evidenza. La presente parte compie il passaggio successivo e decisivo per la quantificazione: traduce quel potenziale generale nei meccanismi specifici attraverso i quali la tecnologia genera risparmio entro il modello «Psicologo di Base», ossia entro un servizio di psicologia delle cure primarie che opera, nelle Case della Comunità e nei distretti, in stretta integrazione con la medicina generale. Questo passaggio è necessario perché il valore economico di una tecnologia non discende dalle sue capacità intrinseche, ma dal modo in cui essa si innesta in un determinato assetto organizzativo e ne modifica i flussi di attività e di spesa. Un medesimo strumento di Intelligenza Artificiale può produrre un risparmio rilevante in un contesto e un effetto trascurabile in un altro, a seconda della funzione che vi svolge, della popolazione che vi è servita e della struttura dei costi su cui incide. La quantificazione difendibile richiede dunque di identificare con precisione i canali attraverso cui la tecnologia agisce in questo specifico modello, e di ricondurre ciascun canale alla voce di bilancio che esso modifica.</w:t>
      </w:r>
    </w:p>
    <w:p>
      <w:pPr>
        <w:pStyle w:val="BodyText"/>
      </w:pPr>
      <w:r>
        <w:t xml:space="preserve">Il criterio che governa questa traduzione è l’ancoraggio ai meccanismi di risparmio già definiti e quantificati nello studio di base. Il modello di base genera i propri risparmi sanitari diretti attraverso cinque meccanismi documentati, che costituiscono il riferimento obbligato anche per la valutazione del contributo tecnologico: la riduzione degli accessi impropri al pronto soccorso, la diminuzione delle prescrizioni farmaceutiche inappropriate, la razionalizzazione degli esami diagnostici non necessari, l’ottimizzazione delle visite specialistiche superflue e la riduzione del carico improprio sui servizi di salute mentale specialistici. L’Intelligenza Artificiale, nel modello integrato, non introduce meccanismi di risparmio estranei a questi cinque, ma ne potenzia l’intensità e ne accelera la manifestazione: essa agisce, in altri termini, come moltiplicatore dell’efficacia dei meccanismi già propri del modello, e non come fonte autonoma di risparmi aggiuntivi e indipendenti. Questa impostazione, oltre a essere coerente con il principio di non duplicazione enunciato nella Parte I, ha il pregio di rendere la quantificazione del contributo tecnologico verificabile, poiché la àncora a flussi di spesa già identificati e misurati nel modello di base.</w:t>
      </w:r>
    </w:p>
    <w:p>
      <w:pPr>
        <w:pStyle w:val="BodyText"/>
      </w:pPr>
      <w:r>
        <w:t xml:space="preserve">A questo ancoraggio si aggiunge una distinzione di natura che attraversa l’intera parte e che conviene esplicitare. I meccanismi attraverso cui l’Intelligenza Artificiale agisce nel modello sono di due specie. I primi sono meccanismi clinici: essi modificano l’appropriatezza, la tempestività e l’esito dell’intervento, e producono risparmio riducendo il ricorso improprio ai servizi e anticipando la presa in carico. I secondi sono meccanismi organizzativi: essi modificano l’efficienza del processo di erogazione, e producono risparmio recuperando capacità clinica altrimenti assorbita da compiti a basso valore. Le due specie di meccanismo incidono su voci di bilancio diverse e poggiano su basi di evidenza diverse, e vanno perciò trattate separatamente. I sottocapitoli che seguono esaminano, nell’ordine, il supporto alla decisione clinica del medico di medicina generale, gli strumenti digitali terapeutici di primo livello dello psicologo delle cure primarie, la stratificazione del rischio e il triage, l’automazione documentale e il recupero di capacità clinica, la telepsicologia e la continuità del recupero; il sottocapitolo conclusivo ricompone i meccanismi in una mappa che li riconduce, ciascuno, alla voce di bilancio su cui agisce, predisponendo la quantificazione della Parte VII.</w:t>
      </w:r>
    </w:p>
    <w:bookmarkEnd w:id="1334"/>
    <w:bookmarkStart w:id="1337" w:name="X841b56be17fd17f710ce2e82b1c97fd703b959e"/>
    <w:p>
      <w:pPr>
        <w:pStyle w:val="Heading4"/>
      </w:pPr>
      <w:r>
        <w:t xml:space="preserve">III.2 Il supporto alla decisione clinica del medico di medicina generale</w:t>
      </w:r>
    </w:p>
    <w:p>
      <w:pPr>
        <w:pStyle w:val="FirstParagraph"/>
      </w:pPr>
      <w:r>
        <w:t xml:space="preserve">Il primo meccanismo, di natura clinica, è il supporto alla decisione del medico di medicina generale che opera nelle Case della Comunità e che condivide con lo psicologo delle cure primarie il percorso di presa in carico. La pertinenza di questo meccanismo al modello «Psicologo di Base» non è diretta, poiché esso attiene alla funzione del medico e non a quella dello psicologo; essa è tuttavia sostanziale, poiché lo psicologo delle cure primarie e il medico di medicina generale operano nel medesimo primo livello e su una popolazione in larga parte comune, e poiché l’appropriatezza della decisione del medico incide sulle medesime voci di spesa — gli esami, le visite specialistiche, le prescrizioni — che il modello mira a razionalizzare. Il supporto alla decisione clinica si articola precisamente nei tre ambiti su cui si concentra la sperimentazione nazionale della piattaforma di Intelligenza Artificiale per l’assistenza primaria: l’inquadramento diagnostico di base, con l’assistenza al medico nella valutazione iniziale e nell’individuazione del percorso di cura più appropriato; la gestione della cronicità, mediante strumenti di monitoraggio e di rivalutazione dei pazienti con patologie croniche note; e la prevenzione e la promozione della salute, con il sostegno alle attività informative e di consiglio rivolte ai cittadini.</w:t>
      </w:r>
      <w:r>
        <w:rPr>
          <w:rStyle w:val="FootnoteReference"/>
        </w:rPr>
        <w:footnoteReference w:id="595"/>
      </w:r>
    </w:p>
    <w:p>
      <w:pPr>
        <w:pStyle w:val="BodyText"/>
      </w:pPr>
      <w:r>
        <w:t xml:space="preserve">Il meccanismo economico attraverso cui questo supporto genera risparmio è quello dell’appropriatezza. Un inquadramento diagnostico più accurato e tempestivo riduce gli esami diagnostici non necessari e le visite specialistiche superflue, indirizzando il paziente verso il percorso corretto sin dal primo contatto; una gestione più sistematica della cronicità riduce le riacutizzazioni e i ricoveri evitabili, che costituiscono le voci di spesa più onerose; un’attività preventiva più efficace anticipa l’insorgenza della malattia o ne rallenta la progressione. Questi effetti incidono direttamente su tre dei cinque meccanismi di risparmio del modello di base — la razionalizzazione degli esami, l’ottimizzazione delle visite specialistiche e, indirettamente, la riduzione delle prescrizioni inappropriate — e ne accrescono l’intensità rispetto allo scenario in cui il medico operi senza supporto tecnologico. La rilevazione delle percezioni dei medici di medicina generale, condotta nell’ambito di un autorevole rapporto sull’assistenza sanitaria, conferma che la categoria professionale percepisce la piattaforma di Intelligenza Artificiale come una leva per migliorare l’appropriatezza delle cure e per recuperare spazio clinico, oggi eroso dai compiti burocratici e dal carico crescente dei pazienti cronici.</w:t>
      </w:r>
      <w:r>
        <w:rPr>
          <w:rStyle w:val="FootnoteReference"/>
        </w:rPr>
        <w:footnoteReference w:id="596"/>
      </w:r>
    </w:p>
    <w:p>
      <w:pPr>
        <w:pStyle w:val="BodyText"/>
      </w:pPr>
      <w:r>
        <w:t xml:space="preserve">Due avvertenze prudenziali si impongono, coerentemente con il criterio di onestà adottato. La prima è che la sperimentazione nazionale della piattaforma è in corso e non ha ancora prodotto risultati di efficacia e di impatto economico nel contesto italiano: il meccanismo, per quanto fondato su solide premesse e su un’evidenza internazionale consistente quanto al supporto diagnostico, va dunque richiamato come potenziale documentato e non come effetto già misurato nel sistema di riferimento. La seconda è che i suggerimenti dello strumento restano, per espressa previsione normativa, non vincolanti per il professionista, e che il valore del supporto dipende perciò dalla competenza con cui il medico lo interpreta e lo integra nel proprio giudizio: è la prima manifestazione, che si ritroverà costantemente, della dipendenza del rendimento tecnologico dalla formazione del personale. Il contributo di questo meccanismo alla quantificazione è perciò reale ma contabilizzato con prudenza, e ricondotto, nella mappa conclusiva, alle voci della razionalizzazione diagnostica e specialistica mediata dalla medicina generale.</w:t>
      </w:r>
    </w:p>
    <w:bookmarkEnd w:id="1337"/>
    <w:bookmarkStart w:id="1339" w:name="Xfd51abc8db2ba52edf7cc6d29887470ddba304a"/>
    <w:p>
      <w:pPr>
        <w:pStyle w:val="Heading4"/>
      </w:pPr>
      <w:r>
        <w:t xml:space="preserve">III.3 Gli strumenti digitali terapeutici di primo livello dello psicologo delle cure primarie</w:t>
      </w:r>
    </w:p>
    <w:p>
      <w:pPr>
        <w:pStyle w:val="FirstParagraph"/>
      </w:pPr>
      <w:r>
        <w:t xml:space="preserve">Il secondo meccanismo, di natura insieme clinica e organizzativa, costituisce il nucleo proprio del contributo tecnologico al modello «Psicologo di Base», poiché agisce direttamente sulla funzione dello psicologo delle cure primarie. Esso consiste nell’impiego degli strumenti digitali terapeutici di primo livello — segnatamente i programmi strutturati di terapia cognitivo-comportamentale erogata per via digitale — come primo gradino del percorso a intensità crescente che organizza la presa in carico psicologica. Il fondamento di evidenza di questo meccanismo è, come esposto nella Parte II, il più solido fra quelli specifici della salute mentale nelle cure primarie: lo studio randomizzato pragmatico condotto nel grande programma britannico di accesso alle terapie psicologiche ha documentato l’efficacia e la costo-efficacia della terapia cognitivo-comportamentale digitale quando pienamente integrata in un modello di cure a intensità crescente strutturalmente analogo a quello in esame.</w:t>
      </w:r>
      <w:r>
        <w:rPr>
          <w:rStyle w:val="FootnoteReference"/>
        </w:rPr>
        <w:footnoteReference w:id="597"/>
      </w:r>
      <w:r>
        <w:t xml:space="preserve"> </w:t>
      </w:r>
      <w:r>
        <w:t xml:space="preserve">La trasferibilità di tale evidenza al modello «Psicologo di Base» è elevata, poiché entrambi i contesti condividono l’architettura essenziale: un primo livello di psicologia delle cure primarie organizzato per gradini di intensità, nel quale l’accesso avviene per via diretta o su invio e la presa in carico è graduata sulla complessità del bisogno.</w:t>
      </w:r>
    </w:p>
    <w:p>
      <w:pPr>
        <w:pStyle w:val="BodyText"/>
      </w:pPr>
      <w:r>
        <w:t xml:space="preserve">Il meccanismo economico è quello dell’estensione della capacità a parità di organico. Gli strumenti digitali terapeutici di primo livello non sostituiscono lo psicologo, ma ne amplificano la funzione di filtro e di intervento breve: impiegati come gradino di accesso, essi consentono di prendere in carico la quota della domanda costituita dai quadri più lievi e sottosoglia con un impegno di tempo clinico ridotto, riservando la presa in carico diretta del professionista ai casi di maggiore complessità, che ne traggono il beneficio maggiore. L’effetto è duplice e incide su due dei cinque meccanismi di risparmio del modello di base. Da un lato, l’estensione della capacità accresce il numero di persone che un dato organico professionale è in grado di servire, e dunque la quota di domanda intercettata a monte: ciò potenzia la funzione di filtro e riduce il carico improprio sui servizi di salute mentale specialistici, primo meccanismo di risparmio. Dall’altro, l’intercettazione precoce e l’intervento breve sui quadri lievi prevengono l’evoluzione verso la cronicità e l’aggravamento, riducendo nel tempo gli accessi impropri al pronto soccorso e il ricorso alle prestazioni specialistiche, ulteriori meccanismi di risparmio.</w:t>
      </w:r>
    </w:p>
    <w:p>
      <w:pPr>
        <w:pStyle w:val="BodyText"/>
      </w:pPr>
      <w:r>
        <w:t xml:space="preserve">La quantificazione di questo meccanismo richiede, anche qui, una doppia avvertenza prudenziale. La prima riguarda la dimensione dell’effetto: l’evidenza sostiene l’efficacia e la costo-efficacia degli strumenti digitali di primo livello come complemento e gradino di accesso, ma non come sostituti integrali dell’intervento in presenza, e la stima del risparmio va perciò ancorata alla funzione di estensione della capacità e non a un’improbabile sostituzione generalizzata del professionista. La seconda riguarda l’aderenza: il beneficio degli strumenti digitali dipende dalla continuità d’uso da parte del paziente, che la letteratura documenta come variabile e talora limitata, e che l’accompagnamento del professionista — un modello cosiddetto guidato, nel quale lo psicologo sostiene e supervisiona l’uso dello strumento — concorre a sostenere. Anche per questo meccanismo, dunque, il rendimento dipende dalla competenza con cui il professionista integra lo strumento nel percorso, confermando la centralità della formazione. Nella mappa conclusiva, questo meccanismo è ricondotto alla funzione di filtro e all’estensione della capacità, ed è quello su cui poggia in misura preponderante il contributo tecnologico proprio della psicologia delle cure primarie.</w:t>
      </w:r>
    </w:p>
    <w:bookmarkEnd w:id="1339"/>
    <w:bookmarkStart w:id="1340" w:name="X6d0e3c8ced05100e9b3a1faffade238d1476e5b"/>
    <w:p>
      <w:pPr>
        <w:pStyle w:val="Heading4"/>
      </w:pPr>
      <w:r>
        <w:t xml:space="preserve">III.4 La stratificazione del rischio e il triage psicologico</w:t>
      </w:r>
    </w:p>
    <w:p>
      <w:pPr>
        <w:pStyle w:val="FirstParagraph"/>
      </w:pPr>
      <w:r>
        <w:t xml:space="preserve">Il terzo meccanismo, di natura clinica, consiste nell’impiego dell’Intelligenza Artificiale per la stratificazione del rischio e per il triage della domanda psicologica, ossia per l’individuazione, fra la popolazione assistita, dei soggetti a maggior rischio di disagio psichico e per l’orientamento di ciascuno verso il livello di intensità appropriato del percorso di cura. Questo meccanismo costituisce il potenziamento tecnologico della funzione di intercettazione precoce, che è il fondamento clinico ed economico dell’intero modello «Psicologo di Base». L’evidenza che lo sostiene è quella, esaminata nella Parte II, della capacità dell’Intelligenza Artificiale di integrare fonti di dati eterogenee per produrre valutazioni del rischio individualizzate e per anticipare l’insorgenza o la progressione del disagio. Tale evidenza è consistente sul piano della prestazione predittiva, ma — come si è onestamente segnalato — è meno matura sul piano dell’efficacia clinica validata nella pratica reale, e va perciò impiegata con la cautela corrispondente.</w:t>
      </w:r>
    </w:p>
    <w:p>
      <w:pPr>
        <w:pStyle w:val="BodyText"/>
      </w:pPr>
      <w:r>
        <w:t xml:space="preserve">Il meccanismo economico opera su due piani. Sul piano dell’efficienza allocativa, la stratificazione del rischio consente di indirizzare ciascun paziente al gradino di intensità corretto sin dal primo contatto, evitando sia il sotto-trattamento dei casi gravi, che evolverebbero verso forme più onerose, sia il sovra-trattamento dei casi lievi, che assorbirebbe capacità clinica preziosa: in entrambe le direzioni, la corretta allocazione riduce lo spreco di risorse e accresce la resa del servizio. Sul piano dell’anticipazione, l’individuazione precoce dei soggetti a rischio consente di intervenire prima che il disagio evolva in patologia conclamata e richieda l’intervento specialistico, riducendo il carico improprio sui servizi di salute mentale e, nel tempo, gli accessi impropri al pronto soccorso. Entrambi gli effetti incidono sui medesimi meccanismi di risparmio del modello di base, dei quali la stratificazione costituisce un potenziamento.</w:t>
      </w:r>
    </w:p>
    <w:p>
      <w:pPr>
        <w:pStyle w:val="BodyText"/>
      </w:pPr>
      <w:r>
        <w:t xml:space="preserve">La prudenza impone qui di distinguere con nettezza il potenziale dall’effetto dimostrato. Gli strumenti di stratificazione del rischio psicologico sono, nella maggior parte dei casi, ancora a uno stadio di sviluppo e di validazione che ne sostiene la promessa ma non l’efficacia clinica provata su larga scala, e la loro applicazione comporta inoltre rischi specifici — segnatamente il rischio di distorsione algoritmica, che può tradursi in una stratificazione iniqua a danno di sottogruppi della popolazione — che la Parte VIII esaminerà nel dettaglio. Il contributo di questo meccanismo alla quantificazione è perciò reale ma collocato nella parte prudenziale degli intervalli, e accompagnato dalla segnalazione esplicita del suo carattere in parte prospettico. Nella mappa conclusiva, esso è ricondotto al potenziamento della funzione di intercettazione precoce e di filtro, in sinergia con il meccanismo degli strumenti digitali di primo livello, del quale costituisce il complemento a monte: la stratificazione individua e orienta, gli strumenti digitali prendono in carico.</w:t>
      </w:r>
    </w:p>
    <w:bookmarkEnd w:id="1340"/>
    <w:bookmarkStart w:id="1342" w:name="X6d799abe67019b527d34259c3aa1ee2007948dc"/>
    <w:p>
      <w:pPr>
        <w:pStyle w:val="Heading4"/>
      </w:pPr>
      <w:r>
        <w:t xml:space="preserve">III.5 L’automazione documentale e il recupero di capacità clinica</w:t>
      </w:r>
    </w:p>
    <w:p>
      <w:pPr>
        <w:pStyle w:val="FirstParagraph"/>
      </w:pPr>
      <w:r>
        <w:t xml:space="preserve">Il quarto meccanismo, di natura schiettamente organizzativa, è quello che poggia sull’evidenza più solida e più direttamente misurabile fra tutti i meccanismi del contributo tecnologico, e che riveste per il modello «Psicologo di Base» un’importanza particolare in ragione della natura della risorsa su cui agisce. Esso consiste nell’automazione del carico documentale e amministrativo mediante gli strumenti di trascrizione clinica ambientale fondati su modelli linguistici di grandi dimensioni, i quali generano la documentazione dell’incontro clinico in tempi brevi a partire dal colloquio, sollevando il professionista da una quota rilevante del lavoro di registrazione. Le sperimentazioni randomizzate e controllate condotte su questi strumenti documentano una riduzione del tempo dedicato alla documentazione dell’ordine di trenta minuti al giorno per professionista, accompagnata da una diminuzione clinicamente significativa degli indicatori di esaurimento professionale; l’effetto, definito dagli stessi studi come modesto ma costantemente positivo, è fra i pochi del campo a essere documentato con il disegno sperimentale più rigoroso.</w:t>
      </w:r>
      <w:r>
        <w:rPr>
          <w:rStyle w:val="FootnoteReference"/>
        </w:rPr>
        <w:footnoteReference w:id="598"/>
      </w:r>
    </w:p>
    <w:p>
      <w:pPr>
        <w:pStyle w:val="BodyText"/>
      </w:pPr>
      <w:r>
        <w:t xml:space="preserve">Il meccanismo economico è quello del recupero di capacità clinica. Il tempo sottratto alla documentazione e restituito all’attività clinica costituisce capacità produttiva recuperata, che può essere impiegata in due direzioni, entrambe di valore economico. Nella prima, il tempo recuperato è destinato ad accrescere il numero di pazienti presi in carico a parità di organico, con un effetto sulla resa del servizio analogo a quello dell’estensione della capacità prodotta dagli strumenti digitali di primo livello, e con incidenza sui medesimi meccanismi di risparmio. Nella seconda, il tempo recuperato è destinato a ridurre il prolungamento dell’orario di lavoro oltre i limiti ordinari, con effetto sul contenimento del logoramento professionale e, per questa via, sul fenomeno costoso dell’abbandono e della sostituzione del personale, che grava sui costi di reclutamento e di formazione e che la riduzione dell’esaurimento documentata dalle sperimentazioni concorre a contrastare. Si tratta, in questo secondo caso, di un risparmio che incide non sulle voci cliniche del modello di base, ma sui costi operativi e di gestione del personale, e che contribuisce all’effetto di parziale autofinanziamento della componente tecnologica già richiamato nella Parte I.</w:t>
      </w:r>
    </w:p>
    <w:p>
      <w:pPr>
        <w:pStyle w:val="BodyText"/>
      </w:pPr>
      <w:r>
        <w:t xml:space="preserve">La solidità dell’evidenza non esime dalla precisione interpretativa. La riduzione del tempo documentale è un effetto medio, soggetto a variabilità individuale e dipendente dall’integrazione dello strumento nei flussi di lavoro e dalla competenza del professionista nel suo impiego; la traduzione del tempo recuperato in risparmio effettivo, inoltre, non è automatica, ma richiede che la capacità liberata sia effettivamente reimpiegata, attraverso scelte organizzative deliberate, in attività di valore. Anche per questo meccanismo, dunque, il rendimento dipende dalla formazione e dall’organizzazione, e non dalla sola disponibilità dello strumento. Nella mappa conclusiva, l’automazione documentale è ricondotta in parte al recupero di capacità — e quindi all’estensione della funzione clinica — e in parte ai costi operativi e di gestione del personale, sui quali esercita l’effetto di autofinanziamento; essa costituisce, per la robustezza della sua evidenza, uno degli ancoraggi più affidabili della quantificazione.</w:t>
      </w:r>
    </w:p>
    <w:bookmarkEnd w:id="1342"/>
    <w:bookmarkStart w:id="1344" w:name="X0739d2ec20eebbfdde8836a3907d83b6e66543d"/>
    <w:p>
      <w:pPr>
        <w:pStyle w:val="Heading4"/>
      </w:pPr>
      <w:r>
        <w:t xml:space="preserve">III.6 La telepsicologia, il telemonitoraggio e la continuità del recupero</w:t>
      </w:r>
    </w:p>
    <w:p>
      <w:pPr>
        <w:pStyle w:val="FirstParagraph"/>
      </w:pPr>
      <w:r>
        <w:t xml:space="preserve">Il quinto meccanismo, di natura insieme clinica e organizzativa, attiene all’estensione dell’accesso e alla continuità della presa in carico mediante la telepsicologia e il telemonitoraggio assistiti, e al consolidamento del recupero mediante le forme di sostegno digitale al mantenimento. Esso riveste, per il modello «Psicologo di Base» quale concepito nel più ampio progetto, una rilevanza specifica e duplice. Sul piano dell’accesso, la telepsicologia assistita consente di erogare il sostegno psicologico a distanza, raggiungendo le persone che non possono accedere agevolmente alle sedi per ragioni logistiche, di mobilità o di isolamento, e di mettere a disposizione, anche da remoto, competenze altrimenti scarse: è lo strumento attraverso cui il modello avvicina l’offerta alle aree a minore densità di servizi, dove la sola presenza di un primo livello accessibile costituisce un atto di riequilibrio. Sul piano della continuità, gli strumenti digitali di telemonitoraggio e di sostegno al mantenimento — la messaggistica strutturata di richiamo, gli strumenti di terapia cognitivo-comportamentale su applicazione impiegati nella fase di consolidamento — consentono di estendere la presa in carico oltre il ciclo degli incontri in presenza, a costo marginale contenuto.</w:t>
      </w:r>
    </w:p>
    <w:p>
      <w:pPr>
        <w:pStyle w:val="BodyText"/>
      </w:pPr>
      <w:r>
        <w:t xml:space="preserve">Il meccanismo economico opera, su entrambi i piani, attraverso la prevenzione del ricorso più oneroso. Sul versante dell’accesso, l’estensione dell’offerta alle popolazioni altrimenti non raggiunte intercetta una domanda che, inevasa, evolverebbe verso forme più gravi e più costose, e che si riverserebbe sui servizi specialistici e sul pronto soccorso; il risparmio deriva qui dalla riduzione di tale evoluzione e dal contenimento dei costi di trasporto e di struttura. Sul versante della continuità, il sostegno al mantenimento consolida il guadagno clinico prodotto dall’intervento di primo livello e riduce la probabilità di ricaduta, contrastando il fenomeno costoso del ricorso ripetuto ai servizi nel decorso dei disturbi mentali comuni. L’evidenza che sostiene questi effetti è articolata: solida quanto alla non inferiorità della modalità a distanza e quanto alle forme di sostegno al mantenimento fondate sulla messaggistica e sugli strumenti di terapia cognitivo-comportamentale su applicazione; ancora prevalentemente preliminare, come onestamente segnalato nella Parte II, quanto alle applicazioni più avanzate di previsione della ricaduta mediante caratterizzazione fenotipica digitale, che vanno richiamate come potenziale prospettico e non come effetto dimostrato.</w:t>
      </w:r>
      <w:r>
        <w:rPr>
          <w:rStyle w:val="FootnoteReference"/>
        </w:rPr>
        <w:footnoteReference w:id="599"/>
      </w:r>
    </w:p>
    <w:p>
      <w:pPr>
        <w:pStyle w:val="BodyText"/>
      </w:pPr>
      <w:r>
        <w:t xml:space="preserve">La prudenza interpretativa richiede di distinguere, in questo meccanismo, la componente a evidenza consolidata da quella a evidenza preliminare, e di ancorare la quantificazione alla prima. La telepsicologia assistita e il sostegno digitale al mantenimento nelle forme documentate costituiscono meccanismi a evidenza sufficiente per fondare una stima prudenziale del risparmio; le applicazioni predittive avanzate sono richiamate come potenziale, ma non concorrono al nucleo della quantificazione. Si segnala inoltre che il valore della telepsicologia dipende dalle condizioni di contesto — la disponibilità di connettività, la competenza digitale del paziente, l’idoneità del quadro clinico alla modalità a distanza — e che essa è concepita come complementare e non sostitutiva della presa in carico in presenza. Nella mappa conclusiva, questo meccanismo è ricondotto in parte all’estensione dell’accesso e alla funzione di filtro, in parte alla prevenzione della ricaduta e al consolidamento del recupero, con incidenza sui meccanismi di risparmio relativi al carico specialistico e agli accessi impropri.</w:t>
      </w:r>
    </w:p>
    <w:bookmarkEnd w:id="1344"/>
    <w:bookmarkStart w:id="1345" w:name="Xf2cf620816ba1a691f34a253125a380e9ce3818"/>
    <w:p>
      <w:pPr>
        <w:pStyle w:val="Heading4"/>
      </w:pPr>
      <w:r>
        <w:t xml:space="preserve">III.7 La mappa dei meccanismi: dal canale clinico alla voce di bilancio</w:t>
      </w:r>
    </w:p>
    <w:p>
      <w:pPr>
        <w:pStyle w:val="FirstParagraph"/>
      </w:pPr>
      <w:r>
        <w:t xml:space="preserve">La ricostruzione condotta consente di ricomporre i cinque meccanismi del contributo tecnologico in una mappa che li riconduce, ciascuno, alla voce di bilancio su cui agisce, e che costituisce il fondamento della quantificazione della Parte VII. La mappa si ordina secondo la natura del meccanismo e secondo la voce di risparmio del modello di base che esso potenzia. Il supporto alla decisione clinica del medico di medicina generale, meccanismo clinico a pertinenza mediata, agisce sulla razionalizzazione degli esami diagnostici, sull’ottimizzazione delle visite specialistiche e sulla riduzione delle prescrizioni inappropriate. Gli strumenti digitali terapeutici di primo livello dello psicologo, meccanismo clinico e organizzativo a pertinenza diretta e centrale, agiscono sull’estensione della funzione di filtro e sulla riduzione del carico improprio sui servizi specialistici. La stratificazione del rischio e il triage, meccanismo clinico a evidenza in parte prospettica, agiscono sul potenziamento dell’intercettazione precoce, in sinergia con il meccanismo precedente. L’automazione documentale, meccanismo organizzativo a evidenza solida, agisce sul recupero di capacità clinica e sui costi operativi e di gestione del personale. La telepsicologia e la continuità del recupero, meccanismo clinico e organizzativo, agiscono sull’estensione dell’accesso e sulla prevenzione della ricaduta.</w:t>
      </w:r>
    </w:p>
    <w:p>
      <w:pPr>
        <w:pStyle w:val="BodyText"/>
      </w:pPr>
      <w:r>
        <w:t xml:space="preserve">Da questa mappa emerge una struttura che orienta la quantificazione e che conviene esplicitare. I meccanismi non sono fra loro indipendenti, ma operano in sinergia lungo il percorso del paziente: la stratificazione individua e orienta, gli strumenti digitali di primo livello e la telepsicologia prendono in carico ed estendono l’accesso, il supporto alla decisione del medico assicura l’appropriatezza del percorso clinico parallelo, l’automazione documentale recupera la capacità che alimenta l’intero processo, e il sostegno al mantenimento consolida il risultato e ne previene la dispersione. Questa sinergia ha una conseguenza metodologica rilevante per la quantificazione: poiché i meccanismi incidono in parte sulle medesime voci di risparmio e in parte si potenziano a vicenda, la stima del loro contributo complessivo non può essere ottenuta sommando aritmeticamente i contributi parziali, ma deve tenere conto, in via prudenziale, delle sovrapposizioni e delle interazioni, riducendo il totale rispetto alla somma delle parti. È il medesimo principio di non duplicazione enunciato nella Parte I, applicato ora alla scala dei singoli meccanismi.</w:t>
      </w:r>
    </w:p>
    <w:p>
      <w:pPr>
        <w:pStyle w:val="BodyText"/>
      </w:pPr>
      <w:r>
        <w:t xml:space="preserve">Una considerazione conclusiva attraversa l’intera mappa e prepara la trattazione della formazione, oggetto della Parte VI. In ciascuno dei cinque meccanismi esaminati è emersa, costantemente, la medesima dipendenza: il rendimento della tecnologia non è una proprietà degli strumenti, ma una funzione della competenza con cui il personale li impiega e dell’organizzazione che ne governa l’integrazione nei flussi di lavoro. Il supporto alla decisione vale quanto vale l’interpretazione che il medico ne fa; gli strumenti digitali di primo livello rendono in funzione della capacità dello psicologo di integrarli nel percorso e di sostenere l’aderenza del paziente; la stratificazione richiede la competenza per impiegarne gli esiti senza esserne sostituiti; l’automazione documentale produce risparmio solo se la capacità recuperata è deliberatamente reimpiegata; la telepsicologia esige la padronanza della modalità a distanza. Questa dipendenza, lungi dall’essere un limite, individua il fattore decisivo del valore: è la formazione del personale a determinare la quota del potenziale tecnologico che si traduce in risparmio effettivo, ed è perciò all’analisi delle modalità formative e del loro rendimento differenziale che lo studio deve ora rivolgersi, dopo aver esaminato, nelle Parti IV e V, il panorama brevettuale, le esperienze internazionali e il quadro normativo che ne costituiscono lo sfondo.</w:t>
      </w:r>
    </w:p>
    <w:bookmarkEnd w:id="1345"/>
    <w:bookmarkEnd w:id="1346"/>
    <w:bookmarkEnd w:id="1347"/>
    <w:bookmarkStart w:id="1363" w:name="parte-iv-brevetti-ed-esperienze"/>
    <w:p>
      <w:pPr>
        <w:pStyle w:val="Heading2"/>
      </w:pPr>
      <w:r>
        <w:t xml:space="preserve">Parte IV — Brevetti ed esperienze</w:t>
      </w:r>
    </w:p>
    <w:p>
      <w:pPr>
        <w:pStyle w:val="FirstParagraph"/>
      </w:pPr>
      <w:r>
        <w:t xml:space="preserve">Studio IA e Formazione ��� Psicologo di Base Puglia ��� Parte IV</w:t>
      </w:r>
    </w:p>
    <w:bookmarkStart w:id="1362" w:name="X96f85f7f1d65ff56aee8e0cfccff84867bd6e18"/>
    <w:p>
      <w:pPr>
        <w:pStyle w:val="Heading3"/>
      </w:pPr>
      <w:r>
        <w:t xml:space="preserve">Parte IV — Il panorama brevettuale e le esperienze internazionali</w:t>
      </w:r>
    </w:p>
    <w:bookmarkStart w:id="1348" w:name="X702737c725c1f2383ad626efac5190f7a2201d9"/>
    <w:p>
      <w:pPr>
        <w:pStyle w:val="Heading4"/>
      </w:pPr>
      <w:r>
        <w:t xml:space="preserve">IV.1 Premessa: il valore probatorio dei brevetti e delle esperienze</w:t>
      </w:r>
    </w:p>
    <w:p>
      <w:pPr>
        <w:pStyle w:val="FirstParagraph"/>
      </w:pPr>
      <w:r>
        <w:t xml:space="preserve">Lo studio si volge ora a due ordini di fonti che, pur non costituendo evidenza diretta di efficacia clinica o di vantaggio economico, forniscono indicazioni preziose sulla direzione, sulla maturità e sulla trasferibilità delle soluzioni tecnologiche: il panorama brevettuale mondiale e le esperienze dei sistemi sanitari più avanzati. Conviene precisare sin dall’inizio, con il rigore che l’intero studio si è imposto, il valore probatorio di ciascuno di questi ordini di fonti e i suoi limiti, per non attribuire loro un significato che non possiedono. Il brevetto attesta che una soluzione è stata ritenuta nuova, dotata di attività inventiva e suscettibile di applicazione industriale; esso documenta dunque l’esistenza di uno sviluppo tecnologico e l’intensità dell’investimento privato in un dato ambito, ma non dimostra che la soluzione brevettata sia clinicamente efficace, né tanto meno che il suo impiego produca un risparmio per un sistema sanitario. Il numero e la distribuzione dei brevetti misurano la vitalità e l’orientamento della ricerca tecnologica, non il suo esito clinico ed economico.</w:t>
      </w:r>
    </w:p>
    <w:p>
      <w:pPr>
        <w:pStyle w:val="BodyText"/>
      </w:pPr>
      <w:r>
        <w:t xml:space="preserve">Analogamente, l’autorizzazione regolatoria di un dispositivo medico fondato sull’Intelligenza Artificiale attesta che esso ha superato una soglia di sicurezza e di prestazione definita dall’autorità competente, e costituisce perciò un indicatore della maturità della tecnologia e della sua idoneità all’impiego clinico; essa non equivale tuttavia, di per sé, alla dimostrazione di un vantaggio economico nel contesto di un determinato servizio, poiché la costo-efficacia dipende dall’organizzazione, dalla popolazione e dalla struttura dei costi in cui il dispositivo si innesta. Le esperienze internazionali, infine, hanno un valore probatorio diverso e per certi versi superiore, poiché documentano l’impiego effettivo della tecnologia in sistemi sanitari reali e, nei casi migliori, ne misurano l’esito clinico ed economico; la loro trasferibilità a un contesto diverso resta tuttavia condizionata dalle differenze di assetto istituzionale, organizzativo e demografico, che vanno valutate con attenzione. La presente parte impiega questi tre ordini di fonti per il loro specifico valore: i brevetti e le autorizzazioni per misurare la direzione e la maturità della tecnologia, le esperienze internazionali per identificare i modelli di impiego efficaci e trasferibili, mantenendo costante la distinzione fra ciò che essi documentano e ciò che invece richiede l’evidenza clinica ed economica esaminata nelle Parti II e III.</w:t>
      </w:r>
    </w:p>
    <w:p>
      <w:pPr>
        <w:pStyle w:val="BodyText"/>
      </w:pPr>
      <w:r>
        <w:t xml:space="preserve">Da questa precisazione discende l’ordine della trattazione. I sottocapitoli successivi esaminano dapprima il panorama brevettuale mondiale, come indicatore della direzione e dell’intensità dello sviluppo tecnologico; quindi le autorizzazioni regolatorie, come indicatore della maturità e dell’idoneità clinica; e infine, e con il peso maggiore, le esperienze internazionali più autorevoli, distinguendo quelle proprie della psicologia delle cure primarie — alle quali il modello «Psicologo di Base» è direttamente assimilabile — da quelle relative all’automazione e al supporto clinico, e da quella nazionale italiana in corso. Il sottocapitolo conclusivo ricava da questo quadro le indicazioni trasferibili alla Puglia, segnalando con onestà tanto le convergenze quanto i divari che ne condizionano l’applicazione.</w:t>
      </w:r>
    </w:p>
    <w:bookmarkEnd w:id="1348"/>
    <w:bookmarkStart w:id="1351" w:name="iv.2-il-panorama-brevettuale-mondiale"/>
    <w:p>
      <w:pPr>
        <w:pStyle w:val="Heading4"/>
      </w:pPr>
      <w:r>
        <w:t xml:space="preserve">IV.2 Il panorama brevettuale mondiale</w:t>
      </w:r>
    </w:p>
    <w:p>
      <w:pPr>
        <w:pStyle w:val="FirstParagraph"/>
      </w:pPr>
      <w:r>
        <w:t xml:space="preserve">L’analisi del panorama brevettuale mondiale restituisce l’immagine di un settore in crescita esponenziale, fortemente concentrato sul piano geografico e tematico. L’analisi internazionale dei brevetti condotta da Benjamens e collaboratori, fra le più sistematiche disponibili, documenta una crescita esponenziale tanto dello sviluppo commerciale quanto della ricerca accademica sui dispositivi e sugli algoritmi fondati sull’Intelligenza Artificiale e sull’apprendimento automatico in sanità, e individua i contributori internazionali di maggior peso: un piccolo numero di grandi imprese — fra cui figurano, ai primi posti, un operatore cinese della gestione sanitaria con cinquecentosessantotto brevetti, seguito da grandi produttori di tecnologia per immagini e da imprese informatiche con portafogli dell’ordine di alcune centinaia di brevetti ciascuna — concentra una quota rilevante del totale.</w:t>
      </w:r>
      <w:r>
        <w:rPr>
          <w:rStyle w:val="FootnoteReference"/>
        </w:rPr>
        <w:footnoteReference w:id="600"/>
      </w:r>
      <w:r>
        <w:t xml:space="preserve"> </w:t>
      </w:r>
      <w:r>
        <w:t xml:space="preserve">L’interrogazione delle collezioni brevettuali internazionali con i termini relativi all’Intelligenza Artificiale e alla salute restituisce alcune migliaia di brevetti, dei quali alcune centinaia depositati secondo la procedura internazionale, mentre la ricerca farmaceutica ha registrato un incremento dei depositi brevettuali fondati sull’Intelligenza Artificiale dell’ordine della metà nel solo anno più recente per cui il dato è consolidato.</w:t>
      </w:r>
      <w:r>
        <w:rPr>
          <w:rStyle w:val="FootnoteReference"/>
        </w:rPr>
        <w:footnoteReference w:id="601"/>
      </w:r>
    </w:p>
    <w:p>
      <w:pPr>
        <w:pStyle w:val="BodyText"/>
      </w:pPr>
      <w:r>
        <w:t xml:space="preserve">La distribuzione geografica e tematica dei brevetti è di particolare interesse per la lettura della direzione dello sviluppo. Sul piano geografico, la Cina ha assunto una posizione di guida, con una quota dell’ordine del quaranta per cento delle domande mondiali di brevetto fondate sull’Intelligenza Artificiale e con un volume di brevetti sanitari concentrato negli ambiti della diagnostica e dell’assistenza; gli Stati Uniti e l’Europa seguono con portafogli rilevanti, e l’autorità regolatoria statunitense ha assunto un ruolo di apripista nella definizione delle politiche di autorizzazione. Sul piano tematico, i brevetti si concentrano negli ambiti che entailano un’intensa componente di analisi di dati: l’analisi delle immagini per l’individuazione dei tumori, l’analisi video per i disturbi della deambulazione e la previsione delle cadute, gli esami biochimici, e — dato di specifico interesse per il presente studio — l’analisi del linguaggio per la valutazione dello stato emotivo e dei disturbi psichiatrici. Le specialità mediche su cui l’Intelligenza Artificiale esercita l’impatto maggiore, secondo questa lettura, sono la cardiologia, la radiologia e l’oncologia, ossia le discipline caratterizzate da un’elevata componente di compiti fondati sui dati.</w:t>
      </w:r>
    </w:p>
    <w:p>
      <w:pPr>
        <w:pStyle w:val="BodyText"/>
      </w:pPr>
      <w:r>
        <w:t xml:space="preserve">Questa configurazione del panorama brevettuale, letta con la cautela enunciata in premessa, fornisce due indicazioni utili alla quantificazione. La prima è che lo sviluppo tecnologico è massimamente maturo e intenso negli ambiti diagnostici e di analisi di immagini, ciò che conferma la maggiore solidità dell’evidenza economica in tali ambiti e ne sostiene la rilevanza, sia pure mediata, per il modello «Psicologo di Base» attraverso la funzione del medico di medicina generale. La seconda è che la presenza di un filone brevettuale dedicato all’analisi del linguaggio per la valutazione dello stato psichico documenta l’esistenza di uno sviluppo tecnologico orientato anche al dominio della salute mentale, sia pure in una fase meno matura e con un’evidenza clinica ancora preliminare, coerentemente con quanto rilevato nella Parte II circa lo stadio iniziale delle applicazioni di caratterizzazione fenotipica e di previsione della ricaduta. Il panorama brevettuale, in sintesi, conferma la stratificazione della maturità tecnologica già individuata e ne rafforza la lettura prudenziale.</w:t>
      </w:r>
    </w:p>
    <w:bookmarkEnd w:id="1351"/>
    <w:bookmarkStart w:id="1354" w:name="X36c95e176a43b61ddf4bbc5d4cb9b3ceb8d9612"/>
    <w:p>
      <w:pPr>
        <w:pStyle w:val="Heading4"/>
      </w:pPr>
      <w:r>
        <w:t xml:space="preserve">IV.3 Le autorizzazioni regolatorie e la maturità della tecnologia</w:t>
      </w:r>
    </w:p>
    <w:p>
      <w:pPr>
        <w:pStyle w:val="FirstParagraph"/>
      </w:pPr>
      <w:r>
        <w:t xml:space="preserve">Il dato regolatorio offre la misura più precisa e più aggiornata della maturità clinica della tecnologia, poiché registra i dispositivi che hanno superato la soglia di sicurezza e di prestazione richiesta per l’impiego clinico. L’autorità regolatoria statunitense, che ha assunto in materia un ruolo di apripista, ha autorizzato all’immissione in commercio, a partire dal 1995 e fino alla fine del 2025, oltre millequattrocentocinquanta dispositivi medici fondati sull’Intelligenza Artificiale e sull’apprendimento automatico, con una crescita accelerata negli anni più recenti — il numero era dell’ordine di novecentocinquanta a metà del 2024 e di milleduecentocinquanta a metà del 2025 — e con quasi trecento autorizzazioni concesse nel solo 2025.</w:t>
      </w:r>
      <w:r>
        <w:rPr>
          <w:rStyle w:val="FootnoteReference"/>
        </w:rPr>
        <w:footnoteReference w:id="602"/>
      </w:r>
      <w:r>
        <w:t xml:space="preserve"> </w:t>
      </w:r>
      <w:r>
        <w:t xml:space="preserve">La distribuzione per specialità conferma in modo netto la concentrazione individuata nel panorama brevettuale: la radiologia rappresenta circa il settantasei per cento delle autorizzazioni, con oltre millecento dispositivi, seguita a distanza dalla cardiologia e dalla neurologia, mentre i grandi produttori di tecnologia per immagini occupano i primi posti per numero di autorizzazioni.</w:t>
      </w:r>
    </w:p>
    <w:p>
      <w:pPr>
        <w:pStyle w:val="BodyText"/>
      </w:pPr>
      <w:r>
        <w:t xml:space="preserve">Di particolare rilievo, ai fini della valutazione della maturità e della sua evoluzione, è la fase di sviluppo dei modelli più avanzati. Una tassonomia delle autorizzazioni, condotta su oltre un migliaio di dispositivi, rileva che l’analisi quantitativa delle immagini rimane l’applicazione più frequente, sebbene la sua proporzione relativa sia recentemente in diminuzione, e che oltre un centinaio di dispositivi impiegano l’Intelligenza Artificiale per la generazione di dati, ma che — alla data dell’analisi — nessuno di essi incorporava ancora modelli linguistici di grandi dimensioni.</w:t>
      </w:r>
      <w:r>
        <w:rPr>
          <w:rStyle w:val="FootnoteReference"/>
        </w:rPr>
        <w:footnoteReference w:id="603"/>
      </w:r>
      <w:r>
        <w:t xml:space="preserve"> </w:t>
      </w:r>
      <w:r>
        <w:t xml:space="preserve">La situazione è in rapida evoluzione: nel 2025 il primo modello fondazionale ha ottenuto l’autorizzazione clinica, e un agente conversazionale fondato su un modello linguistico di grandi dimensioni, destinato al sostegno dei pazienti nel recupero post-chirurgico, ha ricevuto una designazione preferenziale di valutazione, prima nel suo genere per uno strumento generativo. Le autorità regolatorie di tre Paesi hanno inoltre pubblicato principi condivisi per la gestione delle modifiche programmate degli algoritmi nel tempo, affrontando una delle sfide specifiche della tecnologia.</w:t>
      </w:r>
    </w:p>
    <w:p>
      <w:pPr>
        <w:pStyle w:val="BodyText"/>
      </w:pPr>
      <w:r>
        <w:t xml:space="preserve">Questo quadro regolatorio ha un’implicazione diretta per la lettura prudenziale dell’evidenza che il presente studio adotta. La maturità clinica validata dall’autorizzazione regolatoria si concentra in misura schiacciante negli ambiti diagnostici e di analisi di immagini, mentre gli strumenti propri del dominio della psicologia delle cure primarie — gli agenti conversazionali, gli strumenti generativi di sostegno, le applicazioni di previsione della ricaduta — si collocano in una fase di sviluppo regolatorio ancora iniziale, ai primi riconoscimenti. Questa asimmetria non contraddice la rilevanza degli strumenti digitali terapeutici di primo livello per il modello «Psicologo di Base», la cui evidenza di efficacia e di costo-efficacia è documentata, come esposto, da studi clinici rigorosi nel contesto dei programmi di accesso alle terapie psicologiche; essa impone tuttavia di mantenere, anche alla luce del dato regolatorio, la distinzione fra gli strumenti a maturità clinica consolidata e quelli a maturità emergente, e di ancorare la quantificazione ai primi, richiamando i secondi come potenziale prospettico.</w:t>
      </w:r>
    </w:p>
    <w:bookmarkEnd w:id="1354"/>
    <w:bookmarkStart w:id="1356" w:name="X08acfb36b190b2bca49f8c1b4ea311f77588403"/>
    <w:p>
      <w:pPr>
        <w:pStyle w:val="Heading4"/>
      </w:pPr>
      <w:r>
        <w:t xml:space="preserve">IV.4 Le esperienze internazionali nella psicologia delle cure primarie</w:t>
      </w:r>
    </w:p>
    <w:p>
      <w:pPr>
        <w:pStyle w:val="FirstParagraph"/>
      </w:pPr>
      <w:r>
        <w:t xml:space="preserve">Fra le esperienze internazionali, quella di gran lunga più autorevole e più direttamente pertinente al modello «Psicologo di Base» è il programma britannico di accesso alle terapie psicologiche, che costituisce il riferimento mondiale per l’organizzazione della psicologia delle cure primarie secondo un modello a intensità crescente. Tale programma, avviato per ampliare l’accesso alle terapie psicologiche fondate sull’evidenza per i disturbi d’ansia e depressivi, organizza la presa in carico per gradini di intensità, nei quali gli interventi a minore intensità — fra cui la terapia cognitivo-comportamentale erogata per via digitale — costituiscono il primo livello, e gli interventi a maggiore intensità sono riservati ai casi che non rispondono al primo livello o che presentano maggiore gravità. È precisamente entro questo programma che la terapia cognitivo-comportamentale digitale è stata sottoposta alla sperimentazione pragmatica randomizzata e controllata, già richiamata nelle Parti II e III, che ne ha documentato l’efficacia e la costo-efficacia quando pienamente integrata nel modello a gradini.</w:t>
      </w:r>
      <w:r>
        <w:rPr>
          <w:rStyle w:val="FootnoteReference"/>
        </w:rPr>
        <w:footnoteReference w:id="604"/>
      </w:r>
      <w:r>
        <w:t xml:space="preserve"> </w:t>
      </w:r>
      <w:r>
        <w:t xml:space="preserve">La rilevanza di questa esperienza per la Puglia è massima, poiché il modello «Psicologo di Base» ne condivide l’architettura essenziale: un primo livello di psicologia delle cure primarie, ad accesso diretto o su invio, organizzato per intensità crescente e integrato con la medicina generale.</w:t>
      </w:r>
    </w:p>
    <w:p>
      <w:pPr>
        <w:pStyle w:val="BodyText"/>
      </w:pPr>
      <w:r>
        <w:t xml:space="preserve">L’esperienza britannica fornisce, oltre alla prova di efficacia e di costo-efficacia, alcune lezioni organizzative di diretta utilità per la quantificazione e per l’attuazione. La prima è che il valore degli strumenti digitali di primo livello si realizza nella loro piena integrazione nel percorso a gradini, e non nel loro impiego isolato: è l’integrazione — con la valutazione iniziale, con il sostegno del professionista all’uso dello strumento, con l’invio appropriato ai livelli superiori — a determinare l’efficacia e il ritorno, mentre lo strumento impiegato al di fuori di un percorso strutturato produce benefici assai inferiori. La seconda è che il modello cosiddetto guidato, nel quale il professionista sostiene e supervisiona l’uso dello strumento digitale da parte del paziente, consegue un’aderenza e un’efficacia superiori rispetto all’impiego puramente autonomo, confermando che la competenza e l’intervento del professionista sono parte integrante del valore della tecnologia. La terza è che la misurazione sistematica degli esiti, propria del programma britannico, costituisce la condizione tanto della valutazione quanto del miglioramento continuo del servizio. Queste lezioni, trasferibili al modello «Psicologo di Base», confermano la centralità della formazione e dell’integrazione organizzativa, e prefigurano i temi della Parte VI.</w:t>
      </w:r>
    </w:p>
    <w:p>
      <w:pPr>
        <w:pStyle w:val="BodyText"/>
      </w:pPr>
      <w:r>
        <w:t xml:space="preserve">A questa esperienza principale si affiancano, in altri sistemi sanitari, i modelli di cure collaborative per la salute mentale nelle cure primarie, nei quali la presa in carico è condivisa fra il medico di medicina generale, un gestore del caso e il supporto specialistico, e nei quali strumenti digitali e algoritmi di stratificazione concorrono all’organizzazione del percorso. L’evidenza relativa a tali modelli è ampia quanto all’efficacia clinica, ma richiede, sul versante economico, la consueta cautela: come onestamente segnalato nell’intero progetto, in alcuni studi clinici di riferimento sui modelli collaborativi il risparmio economico non ha raggiunto la significatività statistica, sicché la trasferibilità di tali esperienze va valutata con prudenza e la stima del risparmio ancorata alla parte conservativa degli intervalli. L’esperienza internazionale nella psicologia delle cure primarie, in sintesi, fornisce un sostegno solido all’efficacia e alla costo-efficacia degli strumenti digitali di primo livello integrati nel percorso a gradini, e individua nell’integrazione e nella competenza del professionista i fattori decisivi del loro valore.</w:t>
      </w:r>
    </w:p>
    <w:bookmarkEnd w:id="1356"/>
    <w:bookmarkStart w:id="1358" w:name="X570cefbf1763a66703d0bb6a3bff2d679abe86b"/>
    <w:p>
      <w:pPr>
        <w:pStyle w:val="Heading4"/>
      </w:pPr>
      <w:r>
        <w:t xml:space="preserve">IV.5 Le esperienze internazionali nell’automazione e nel supporto clinico</w:t>
      </w:r>
    </w:p>
    <w:p>
      <w:pPr>
        <w:pStyle w:val="FirstParagraph"/>
      </w:pPr>
      <w:r>
        <w:t xml:space="preserve">Un secondo gruppo di esperienze internazionali riguarda l’automazione documentale e il supporto alla decisione clinica, ambiti nei quali la diffusione nei sistemi sanitari avanzati ha raggiunto, negli anni più recenti, una scala significativa. Gli strumenti di trascrizione clinica ambientale, la cui evidenza sperimentale è stata esaminata nella Parte II, hanno conosciuto un’adozione rapida in numerosi sistemi sanitari, segnatamente nel contesto statunitense, dove a seguito di sperimentazioni controllate che ne hanno documentato la riduzione del tempo di documentazione e dell’esaurimento professionale, taluni sistemi sanitari ne hanno esteso l’impiego a centinaia di professionisti, e studi multicentrici ne hanno valutato l’effetto su sei sistemi sanitari simultaneamente.</w:t>
      </w:r>
      <w:r>
        <w:rPr>
          <w:rStyle w:val="FootnoteReference"/>
        </w:rPr>
        <w:footnoteReference w:id="605"/>
      </w:r>
      <w:r>
        <w:t xml:space="preserve"> </w:t>
      </w:r>
      <w:r>
        <w:t xml:space="preserve">Questa diffusione su scala reale, successiva alla validazione sperimentale, fornisce un’indicazione importante: l’effetto documentato negli studi controllati si è dimostrato sufficientemente robusto e replicabile da sostenere l’adozione organizzativa, ciò che ne rafforza l’affidabilità come ancoraggio della quantificazione. Va nondimeno mantenuta la consapevolezza, già espressa, che la traduzione del tempo recuperato in risparmio effettivo dipende dalle scelte organizzative di reimpiego della capacità liberata, e non è proprietà automatica dello strumento.</w:t>
      </w:r>
    </w:p>
    <w:p>
      <w:pPr>
        <w:pStyle w:val="BodyText"/>
      </w:pPr>
      <w:r>
        <w:t xml:space="preserve">Sul versante del supporto alla decisione clinica, le esperienze internazionali sono più eterogenee e l’evidenza economica più frammentaria, coerentemente con quanto rilevato dalle revisioni sistematiche. Gli strumenti di supporto diagnostico fondati sull’analisi di immagini hanno raggiunto, negli ambiti radiologico e oftalmologico, un’integrazione operativa in numerosi sistemi sanitari, sostenuta dall’evidenza di costo-efficacia esaminata nella Parte II; gli strumenti di supporto alla decisione nella medicina generale, di più diretta pertinenza al contesto delle Case della Comunità, sono in fase di sperimentazione e di prima adozione in diversi sistemi, fra cui quello italiano, e non hanno ancora prodotto, nella maggior parte dei casi, una valutazione economica consolidata nel contesto specifico delle cure primarie. La diffusione internazionale del supporto alla decisione diagnostica, dunque, è reale e crescente, ma la sua valutazione economica nel contesto delle cure primarie è meno matura di quella relativa all’automazione documentale e agli strumenti digitali terapeutici di primo livello.</w:t>
      </w:r>
    </w:p>
    <w:p>
      <w:pPr>
        <w:pStyle w:val="BodyText"/>
      </w:pPr>
      <w:r>
        <w:t xml:space="preserve">Queste esperienze, lette congiuntamente, suggeriscono una graduazione dell’affidabilità che orienta la quantificazione. L’automazione documentale, validata sperimentalmente e adottata su scala reale in numerosi sistemi, costituisce l’ancoraggio organizzativo più solido; gli strumenti digitali terapeutici di primo livello, validati nei programmi di accesso alle terapie psicologiche, costituiscono l’ancoraggio clinico più solido nel dominio specifico; il supporto alla decisione diagnostica, diffuso e sostenuto da evidenza nei suoi ambiti più maturi, costituisce un ancoraggio reale ma mediato e, nelle cure primarie, ancora in via di consolidamento. Questa graduazione, coerente con quella ricavata dall’evidenza clinica e dal dato regolatorio, conferma la struttura prudenziale della quantificazione condotta nella Parte VII.</w:t>
      </w:r>
    </w:p>
    <w:bookmarkEnd w:id="1358"/>
    <w:bookmarkStart w:id="1360" w:name="Xda925778176ee1b9b7c9efca0f3bcb5c2144568"/>
    <w:p>
      <w:pPr>
        <w:pStyle w:val="Heading4"/>
      </w:pPr>
      <w:r>
        <w:t xml:space="preserve">IV.6 La sperimentazione nazionale italiana</w:t>
      </w:r>
    </w:p>
    <w:p>
      <w:pPr>
        <w:pStyle w:val="FirstParagraph"/>
      </w:pPr>
      <w:r>
        <w:t xml:space="preserve">L’esperienza nazionale italiana riveste, per il presente studio, una rilevanza particolare, sia perché definisce il contesto istituzionale e operativo entro cui l’innesto dell’Intelligenza Artificiale nelle cure primarie pugliesi si collocherebbe, sia perché ne costituisce la cornice normativa, oggetto di trattazione estesa nella Parte V. Il sistema sanitario nazionale ha avviato, nel quadro della Missione 6 del Piano nazionale di ripresa e resilienza, la realizzazione di una piattaforma di Intelligenza Artificiale a supporto dell’assistenza sanitaria primaria, la cui titolarità — quanto alla progettazione, alla realizzazione e agli algoritmi — è attribuita all’Agenzia nazionale per i servizi sanitari regionali nella sua funzione di agenzia per la sanità digitale. La piattaforma è destinata a operare nelle cure primarie e nelle Case della Comunità, sui tre ambiti dell’inquadramento diagnostico di base, della gestione della cronicità e della prevenzione, e la sua sperimentazione, avviata su scala nazionale, coinvolge un numero di medici di medicina generale dell’ordine di millecinquecento, su base volontaria e secondo criteri di inclusione definiti dall’agenzia, con un’attività strutturata di formazione iniziale e continua espressamente prevista quale condizione di un impiego consapevole e appropriato della tecnologia.</w:t>
      </w:r>
      <w:r>
        <w:rPr>
          <w:rStyle w:val="FootnoteReference"/>
        </w:rPr>
        <w:footnoteReference w:id="606"/>
      </w:r>
    </w:p>
    <w:p>
      <w:pPr>
        <w:pStyle w:val="BodyText"/>
      </w:pPr>
      <w:r>
        <w:t xml:space="preserve">Questa esperienza nazionale ha, per la Puglia, un duplice significato. Sul piano della convergenza, essa dimostra che la direzione assunta dal progetto «Psicologo di Base» con l’innesto dell’Intelligenza Artificiale e della formazione coincide con quella del sistema sanitario nazionale: gli ambiti su cui la piattaforma nazionale opera — diagnosi, cronicità, prevenzione — corrispondono a quelli individuati nella Parte III come canali del contributo tecnologico mediato dalla medicina generale, e la previsione di una formazione iniziale e continua quale condizione dell’impiego corrisponde alla tesi centrale del presente studio circa la dipendenza del rendimento tecnologico dalla formazione. Il progetto pugliese, in questa luce, non anticipa soltanto la direzione nazionale, ma la completa, aggiungendovi la figura dello psicologo delle cure primarie, assente dalla sperimentazione nazionale incentrata sul medico di medicina generale, e una quantificazione del ritorno economico che la sperimentazione nazionale, ancora in corso, non ha prodotto.</w:t>
      </w:r>
    </w:p>
    <w:p>
      <w:pPr>
        <w:pStyle w:val="BodyText"/>
      </w:pPr>
      <w:r>
        <w:t xml:space="preserve">Sul piano dei limiti, l’esperienza nazionale conferma la cautela che il presente studio adotta. La sperimentazione è in corso e non ha ancora prodotto risultati di efficacia e di impatto economico nel contesto italiano, sicché essa documenta la direzione e l’investimento istituzionale, ma non ancora l’esito; i suggerimenti della piattaforma restano, per previsione normativa, non vincolanti per il professionista, confermando il ruolo decisivo della competenza nell’interpretazione; e la sua valutazione, quando disponibile, costituirà la fonte primaria di dati nel contesto di riferimento, oggi ancora limitata. La sperimentazione nazionale, in sintesi, fornisce alla Puglia tanto la conferma della direzione e la cornice istituzionale e normativa, quanto la misura della prudenza con cui la quantificazione va condotta in assenza, allo stato, di dati di esito propri del sistema italiano.</w:t>
      </w:r>
    </w:p>
    <w:bookmarkEnd w:id="1360"/>
    <w:bookmarkStart w:id="1361" w:name="X1892c414c713fa85bcd4bedfc147f2e86dff051"/>
    <w:p>
      <w:pPr>
        <w:pStyle w:val="Heading4"/>
      </w:pPr>
      <w:r>
        <w:t xml:space="preserve">IV.7 Sintesi: le indicazioni trasferibili alla Puglia</w:t>
      </w:r>
    </w:p>
    <w:p>
      <w:pPr>
        <w:pStyle w:val="FirstParagraph"/>
      </w:pPr>
      <w:r>
        <w:t xml:space="preserve">Il quadro ricostruito consente di ricavare le indicazioni trasferibili al modello «Psicologo di Base» in Puglia, distinguendo con onestà le convergenze che lo sostengono dai divari che ne condizionano l’applicazione. Sul piano delle convergenze, tre risultati emergono con chiarezza. Il primo è che la direzione dello sviluppo tecnologico, misurata dai brevetti e dalle autorizzazioni regolatorie, conferma la maggiore maturità degli ambiti diagnostici e di analisi di immagini, e con essa la solidità dell’evidenza economica in tali ambiti, rilevante per la Puglia attraverso la funzione del medico di medicina generale. Il secondo è che l’esperienza internazionale più autorevole nella psicologia delle cure primarie — il programma britannico di accesso alle terapie psicologiche — fornisce una prova solida dell’efficacia e della costo-efficacia degli strumenti digitali di primo livello integrati in un modello a intensità crescente strutturalmente analogo al modello «Psicologo di Base», e individua nell’integrazione organizzativa e nella competenza del professionista i fattori decisivi del loro valore. Il terzo è che l’automazione documentale, validata sperimentalmente e adottata su scala reale in numerosi sistemi sanitari, costituisce l’ancoraggio organizzativo più affidabile del contributo tecnologico.</w:t>
      </w:r>
    </w:p>
    <w:p>
      <w:pPr>
        <w:pStyle w:val="BodyText"/>
      </w:pPr>
      <w:r>
        <w:t xml:space="preserve">Sul piano dei divari, e con uguale onestà, tre limiti vanno segnalati. Il primo è che la maturità clinica validata e l’evidenza economica più solida si concentrano in ambiti — la diagnostica per immagini — distinti dal dominio proprio della psicologia delle cure primarie, nel quale gli strumenti più avanzati, segnatamente quelli generativi e predittivi, sono a una fase di sviluppo e di validazione ancora iniziale; la quantificazione va perciò ancorata agli strumenti a maturità consolidata e ai meccanismi a evidenza solida, richiamando i restanti come potenziale prospettico. Il secondo è che la trasferibilità delle esperienze internazionali è condizionata dalle differenze di assetto istituzionale, organizzativo e demografico: il programma britannico opera in un sistema con caratteristiche proprie, e la sua trasferibilità alla Puglia richiede l’adattamento al contesto regionale, segnatamente alla struttura demografica e alla geografia dei servizi. Il terzo è che il contesto italiano non dispone ancora di dati di esito propri, essendo la sperimentazione nazionale in corso, sicché la quantificazione poggia necessariamente sull’evidenza internazionale adattata, in attesa che i dati nazionali e regionali la confermino.</w:t>
      </w:r>
    </w:p>
    <w:p>
      <w:pPr>
        <w:pStyle w:val="BodyText"/>
      </w:pPr>
      <w:r>
        <w:t xml:space="preserve">Da questa sintesi discende l’indicazione di metodo che governa il seguito dello studio. Le esperienze internazionali e il quadro brevettuale e regolatorio confermano la fondatezza della direzione e individuano i modelli di impiego efficaci, ma rafforzano al tempo stesso la necessità di una quantificazione prudenziale, ancorata ai meccanismi e agli strumenti a evidenza più solida e adattata al contesto pugliese. Essi confermano inoltre, da ogni angolazione, la tesi centrale dello studio: il valore della tecnologia non risiede negli strumenti in sé, ma nella loro integrazione organizzativa e nella competenza con cui il personale li impiega. È a quest’ultima — alla formazione del personale e al suo rendimento differenziale — che lo studio si rivolge, dopo aver ricostruito, nella Parte V, il quadro normativo e programmatico che disciplina l’impiego dell’Intelligenza Artificiale nelle cure primarie italiane.</w:t>
      </w:r>
    </w:p>
    <w:bookmarkEnd w:id="1361"/>
    <w:bookmarkEnd w:id="1362"/>
    <w:bookmarkEnd w:id="1363"/>
    <w:bookmarkStart w:id="1375" w:name="parte-v-il-quadro-normativo"/>
    <w:p>
      <w:pPr>
        <w:pStyle w:val="Heading2"/>
      </w:pPr>
      <w:r>
        <w:t xml:space="preserve">Parte V — Il quadro normativo</w:t>
      </w:r>
    </w:p>
    <w:p>
      <w:pPr>
        <w:pStyle w:val="FirstParagraph"/>
      </w:pPr>
      <w:r>
        <w:t xml:space="preserve">Studio IA e Formazione ��� Psicologo di Base Puglia ��� Parte V</w:t>
      </w:r>
    </w:p>
    <w:bookmarkStart w:id="1374" w:name="X554f61b8f2659911fe3c817a6ed1a45056a395e"/>
    <w:p>
      <w:pPr>
        <w:pStyle w:val="Heading3"/>
      </w:pPr>
      <w:r>
        <w:t xml:space="preserve">Parte V — Il quadro normativo e programmatico</w:t>
      </w:r>
    </w:p>
    <w:bookmarkStart w:id="1364" w:name="X0df30b75a9e5269dba9d790d39d51fe93139c86"/>
    <w:p>
      <w:pPr>
        <w:pStyle w:val="Heading4"/>
      </w:pPr>
      <w:r>
        <w:t xml:space="preserve">V.1 Premessa: la cornice normativa come condizione di legittimità e di sostenibilità</w:t>
      </w:r>
    </w:p>
    <w:p>
      <w:pPr>
        <w:pStyle w:val="FirstParagraph"/>
      </w:pPr>
      <w:r>
        <w:t xml:space="preserve">L’innesto dell’Intelligenza Artificiale nel modello «Psicologo di Base» non si colloca in un vuoto regolatorio, ma entro una cornice normativa europea e nazionale che, negli anni più recenti, si è andata definendo con rapidità e che ne condiziona tanto la legittimità quanto la sostenibilità. La ricostruzione di tale cornice non costituisce, in questo studio, una digressione giuridica accessoria, ma un passaggio necessario alla valutazione, per una duplice ragione. La prima è che la conformità al quadro normativo è condizione di legittimità dell’impiego della tecnologia: un sistema di Intelligenza Artificiale impiegato in violazione delle prescrizioni europee o nazionali non potrebbe essere adottato, e la quantificazione del suo ritorno economico sarebbe priva di valore decisionale. La seconda è che gli adempimenti imposti dalla cornice normativa — la valutazione di conformità, la gestione del rischio, la sorveglianza umana, la trasparenza, la protezione dei dati, e in particolare l’obbligo di formazione del personale — costituiscono essi stessi voci di costo e condizioni organizzative che incidono sulla sostenibilità del programma e che vanno computate nella valutazione. La cornice normativa, in altri termini, non è soltanto un vincolo esterno, ma una componente del modello, che ne definisce i requisiti e ne orienta la progettazione.</w:t>
      </w:r>
    </w:p>
    <w:p>
      <w:pPr>
        <w:pStyle w:val="BodyText"/>
      </w:pPr>
      <w:r>
        <w:t xml:space="preserve">Conviene precisare, sin dall’inizio, la struttura della cornice e l’ordine della trattazione. Il quadro si articola su tre piani fra loro coordinati. Il primo è il piano europeo, costituito dal Regolamento sull’Intelligenza Artificiale e dalla sua interazione con la disciplina dei dispositivi medici, integrato dalle norme settoriali europee in materia di dati sanitari e di sicurezza informatica. Il secondo è il piano nazionale, costituito dalla legge che ha introdotto nell’ordinamento italiano la disciplina dell’Intelligenza Artificiale e ha istituito la piattaforma di supporto all’assistenza primaria, e dagli atti programmatici e amministrativi che ne governano l’attuazione. Il terzo è il piano della protezione dei dati personali, costituito dai principi enucleati dall’autorità garante per l’impiego dell’Intelligenza Artificiale in sanità, in coordinamento con la disciplina generale europea sul trattamento dei dati. I sottocapitoli successivi esaminano, nell’ordine, questi tre piani, per poi ricavarne le implicazioni specifiche per il modello «Psicologo di Base» in Puglia, e mostrare come la cornice normativa, lungi dal contraddire la tesi centrale dello studio sulla centralità della formazione, la fondi e la rafforzi sul piano giuridico.</w:t>
      </w:r>
    </w:p>
    <w:p>
      <w:pPr>
        <w:pStyle w:val="BodyText"/>
      </w:pPr>
      <w:r>
        <w:t xml:space="preserve">La trattazione mantiene, anche su questo terreno, il criterio di prudenza adottato nell’intero studio. La cornice normativa è in evoluzione, e taluni dei suoi elementi attuativi — gli orientamenti applicativi, gli elenchi dei casi d’uso, le procedure di valutazione — sono in corso di definizione alla data del presente lavoro; la ricostruzione si attiene perciò agli elementi consolidati e segnala con onestà i punti in cui la disciplina è ancora in via di completamento, evitando di attribuire certezza a previsioni non ancora definitive. Questa cautela non indebolisce la valutazione, ma ne riflette la fedeltà allo stato effettivo del quadro regolatorio, e prepara la considerazione, condotta nella Parte VIII, dei rischi e delle condizioni di realizzabilità che la cornice normativa concorre a definire.</w:t>
      </w:r>
    </w:p>
    <w:bookmarkEnd w:id="1364"/>
    <w:bookmarkStart w:id="1367" w:name="X12040c5115b9457644bb3998186fc536f70fbdf"/>
    <w:p>
      <w:pPr>
        <w:pStyle w:val="Heading4"/>
      </w:pPr>
      <w:r>
        <w:t xml:space="preserve">V.2 Il quadro europeo: il Regolamento sull’Intelligenza Artificiale e i dispositivi medici</w:t>
      </w:r>
    </w:p>
    <w:p>
      <w:pPr>
        <w:pStyle w:val="FirstParagraph"/>
      </w:pPr>
      <w:r>
        <w:t xml:space="preserve">Il fondamento europeo della cornice è il Regolamento dell’Unione europea sull’Intelligenza Artificiale, entrato in vigore nell’agosto del 2024, che costituisce la prima disciplina organica al mondo in materia e che adotta un approccio fondato sul rischio. Il Regolamento classifica i sistemi di Intelligenza Artificiale in quattro categorie, a ciascuna delle quali corrisponde un diverso regime di obblighi: i sistemi a rischio inaccettabile, vietati; i sistemi ad alto rischio, soggetti a obblighi rigorosi; i sistemi a rischio limitato, soggetti a obblighi di trasparenza; e i sistemi a rischio minimo, non regolamentati.</w:t>
      </w:r>
      <w:r>
        <w:rPr>
          <w:rStyle w:val="FootnoteReference"/>
        </w:rPr>
        <w:footnoteReference w:id="607"/>
      </w:r>
      <w:r>
        <w:t xml:space="preserve"> </w:t>
      </w:r>
      <w:r>
        <w:t xml:space="preserve">La collocazione dei sistemi rilevanti per il modello «Psicologo di Base» entro questa classificazione è di importanza decisiva per la valutazione. I dispositivi medici che incorporano sistemi di Intelligenza Artificiale, e segnatamente i software di supporto alla decisione clinica, ricadono in larga parte nella categoria ad alto rischio, e sono perciò soggetti agli obblighi più rigorosi: la gestione del rischio, la trasparenza, la tracciabilità, la robustezza tecnica, la sorveglianza umana e la registrazione. Diversamente, i sistemi impiegati per finalità meramente amministrative — la gestione contabile, la classificazione di testi — difficilmente sono classificati come ad alto rischio, e soggiacciono principalmente agli obblighi di trasparenza e di alfabetizzazione.</w:t>
      </w:r>
    </w:p>
    <w:p>
      <w:pPr>
        <w:pStyle w:val="BodyText"/>
      </w:pPr>
      <w:r>
        <w:t xml:space="preserve">L’interazione fra il Regolamento sull’Intelligenza Artificiale e la disciplina europea dei dispositivi medici merita particolare attenzione, poiché definisce il regime degli strumenti clinici. Per i dispositivi medici che contengono sistemi di Intelligenza Artificiale ad alto rischio si determina un’applicazione simultanea e complementare della disciplina dei dispositivi medici e del Regolamento sull’Intelligenza Artificiale, con finalità distinte ma coordinate: la prima a salvaguardia della salute del paziente, il secondo a tutela contro l’impiego discriminatorio della tecnologia e a garanzia dei diritti fondamentali. Il Regolamento consente ai fabbricanti di integrare i propri requisiti nella documentazione già prevista dalla disciplina dei dispositivi medici, evitando duplicazioni, ma impone una procedura di valutazione di conformità che attesti il rispetto degli obblighi; orientamenti applicativi e un elenco dei casi d’uso ad alto rischio e non ad alto rischio sono attesi, secondo le previsioni del Regolamento, entro il 2026.</w:t>
      </w:r>
      <w:r>
        <w:rPr>
          <w:rStyle w:val="FootnoteReference"/>
        </w:rPr>
        <w:footnoteReference w:id="608"/>
      </w:r>
      <w:r>
        <w:t xml:space="preserve"> </w:t>
      </w:r>
      <w:r>
        <w:t xml:space="preserve">A questa disciplina si coordinano, sul piano settoriale, il Regolamento europeo sullo spazio dei dati sanitari, rilevante per la governance dei trattamenti, e la disciplina europea sulla sicurezza informatica, applicabile ai fornitori di dispositivi medici, che impongono requisiti complementari di interoperabilità, di accesso ai dati e di resilienza informatica per i sistemi ad alto rischio.</w:t>
      </w:r>
    </w:p>
    <w:p>
      <w:pPr>
        <w:pStyle w:val="BodyText"/>
      </w:pPr>
      <w:r>
        <w:t xml:space="preserve">Fra gli obblighi introdotti dal Regolamento, uno riveste, per il presente studio, un’importanza che ne anticipa la tesi centrale e che conviene mettere in rilievo: l’obbligo di alfabetizzazione in materia di Intelligenza Artificiale. Il Regolamento impone ai soggetti che impiegano sistemi di Intelligenza Artificiale di assicurare un livello sufficiente di competenza del personale che se ne avvale, affinché l’impiego sia consapevole e i rischi siano compresi e governati. Questo obbligo, che vincola anche gli impieghi non ad alto rischio, costituisce il fondamento giuridico europeo della formazione del personale all’uso della tecnologia: la formazione, in altri termini, non è soltanto una condizione economica del rendimento tecnologico, come l’intero studio argomenta, ma un adempimento normativo cogente, la cui omissione esporrebbe il soggetto utilizzatore a responsabilità. La convergenza fra la ragione economica e l’obbligo giuridico, su questo punto, è completa, e fornisce alla scelta di investire nella formazione, oggetto della Parte VI, un duplice e concorde fondamento.</w:t>
      </w:r>
    </w:p>
    <w:bookmarkEnd w:id="1367"/>
    <w:bookmarkStart w:id="1369" w:name="X10eea76973a59cb5553fe69f8ce6d919877415c"/>
    <w:p>
      <w:pPr>
        <w:pStyle w:val="Heading4"/>
      </w:pPr>
      <w:r>
        <w:t xml:space="preserve">V.3 Il quadro nazionale: la legge sull’Intelligenza Artificiale e la piattaforma per l’assistenza primaria</w:t>
      </w:r>
    </w:p>
    <w:p>
      <w:pPr>
        <w:pStyle w:val="FirstParagraph"/>
      </w:pPr>
      <w:r>
        <w:t xml:space="preserve">Sul piano nazionale, la cornice è costituita dalla legge che ha introdotto nell’ordinamento italiano la disciplina dell’Intelligenza Artificiale e che, per quanto qui rileva, ha istituito la piattaforma di supporto all’assistenza territoriale. La legge attribuisce all’Agenzia nazionale per i servizi sanitari regionali, nella sua funzione di agenzia per la sanità digitale, la progettazione, la realizzazione, la messa in servizio e la titolarità di una piattaforma di Intelligenza Artificiale a supporto delle finalità di cura nell’assistenza territoriale, e ne definisce un elemento essenziale: la natura non vincolante dei suggerimenti per il professionista e per il medico.</w:t>
      </w:r>
      <w:r>
        <w:rPr>
          <w:rStyle w:val="FootnoteReference"/>
        </w:rPr>
        <w:footnoteReference w:id="609"/>
      </w:r>
      <w:r>
        <w:t xml:space="preserve"> </w:t>
      </w:r>
      <w:r>
        <w:t xml:space="preserve">Questa previsione, di rilievo sistematico, stabilisce che la piattaforma opera quale strumento di supporto alla decisione e non quale sistema di decisione automatizzata sostitutiva del giudizio clinico, collocando la responsabilità della decisione in capo al professionista e configurando la tecnologia come ausilio del giudizio umano. Si tratta della traduzione nazionale del principio europeo della sorveglianza umana e del principio, di matrice garantista, della non esclusività della decisione algoritmica, che la trattazione del piano della protezione dei dati esaminerà nel dettaglio.</w:t>
      </w:r>
    </w:p>
    <w:p>
      <w:pPr>
        <w:pStyle w:val="BodyText"/>
      </w:pPr>
      <w:r>
        <w:t xml:space="preserve">La piattaforma nazionale, finanziata nell’ambito della Missione 6 del Piano nazionale di ripresa e resilienza, è destinata a operare nelle cure primarie e nelle Case della Comunità, sui tre ambiti dell’inquadramento diagnostico di base, della gestione della cronicità e della prevenzione e promozione della salute, con una sperimentazione avviata su scala nazionale che coinvolge un numero di medici di medicina generale dell’ordine di millecinquecento. Per quanto qui maggiormente rileva, la disciplina nazionale e gli atti programmatici che ne governano l’attuazione prevedono espressamente un’attività strutturata di formazione iniziale e continua, quale condizione di un impiego consapevole e appropriato della tecnologia. Questa previsione costituisce il secondo fondamento normativo della formazione, concorrente con l’obbligo europeo di alfabetizzazione: il legislatore e l’amministrazione nazionali, nel disegnare la piattaforma per l’assistenza primaria, hanno individuato nella formazione del personale non un elemento accessorio, ma una condizione costitutiva dell’impiego efficace e legittimo della tecnologia, in piena coincidenza con la tesi centrale del presente studio.</w:t>
      </w:r>
    </w:p>
    <w:p>
      <w:pPr>
        <w:pStyle w:val="BodyText"/>
      </w:pPr>
      <w:r>
        <w:t xml:space="preserve">Il significato di questo quadro nazionale per la Puglia è duplice e va precisato. Sul piano della cornice istituzionale, esso definisce l’infrastruttura, gli ambiti e le regole entro cui l’innesto dell’Intelligenza Artificiale nelle cure primarie pugliesi si collocherebbe, assicurando coerenza fra il progetto regionale e l’architettura nazionale, e consentendo alla Puglia di avvalersi della piattaforma, degli algoritmi e degli standard definiti a livello nazionale, di cui l’agenzia nazionale è titolare. Sul piano della prudenza valutativa, esso conferma che la disciplina e la sperimentazione nazionali sono in corso di attuazione e non hanno ancora prodotto risultati di esito, sicché la cornice fornisce la legittimità e l’infrastruttura, ma non ancora i dati di efficacia e di impatto economico propri del sistema italiano, che la quantificazione deve perciò derivare dall’evidenza internazionale adattata, in attesa della loro disponibilità. La coincidenza fra la previsione normativa nazionale della formazione e la tesi dello studio, in ogni caso, rafforza ulteriormente il fondamento della scelta formativa.</w:t>
      </w:r>
    </w:p>
    <w:bookmarkEnd w:id="1369"/>
    <w:bookmarkStart w:id="1371" w:name="Xcb41de8348052a2a86278d3fb51fd27d2ac7f45"/>
    <w:p>
      <w:pPr>
        <w:pStyle w:val="Heading4"/>
      </w:pPr>
      <w:r>
        <w:t xml:space="preserve">V.4 La tutela dei dati personali: i principi cardine per l’Intelligenza Artificiale in sanità</w:t>
      </w:r>
    </w:p>
    <w:p>
      <w:pPr>
        <w:pStyle w:val="FirstParagraph"/>
      </w:pPr>
      <w:r>
        <w:t xml:space="preserve">Il terzo piano della cornice è quello della protezione dei dati personali, di particolare rilievo in un ambito — quello sanitario, e segnatamente quello della salute mentale — nel quale i dati trattati appartengono alle categorie più sensibili e meritevoli di tutela. L’autorità garante per la protezione dei dati personali ha enucleato, in un documento dedicato, i principi cardine che devono governare l’impiego di algoritmi e di strumenti di Intelligenza Artificiale in ambito sanitario, principi che la disciplina nazionale ha successivamente ribadito e che si coordinano con la disciplina generale europea sul trattamento dei dati.</w:t>
      </w:r>
      <w:r>
        <w:rPr>
          <w:rStyle w:val="FootnoteReference"/>
        </w:rPr>
        <w:footnoteReference w:id="610"/>
      </w:r>
      <w:r>
        <w:t xml:space="preserve"> </w:t>
      </w:r>
      <w:r>
        <w:t xml:space="preserve">Tre principi, in particolare, definiscono i requisiti dell’impiego legittimo della tecnologia e rivestono diretta rilevanza per il modello «Psicologo di Base». Il primo è il principio di conoscibilità, in forza del quale i pazienti devono poter comprendere se e come siano impiegati processi decisionali automatizzati e quale sia la logica del loro funzionamento: la trasparenza verso la persona assistita è dunque condizione di legittimità del trattamento. Il secondo è il principio di non esclusività della decisione algoritmica, in forza del quale la decisione che incide sulla persona non può essere rimessa unicamente all’algoritmo, ma deve prevedere un intervento umano significativo: è il principio che fonda la natura di supporto, e non di sostituzione, della tecnologia, e che coincide con la previsione nazionale della non vincolatività dei suggerimenti. Il terzo è il principio di non discriminazione, in forza del quale i sistemi devono essere progettati e impiegati in modo da evitare effetti discriminatori a danno di categorie di soggetti, ciò che impone requisiti di qualità e di rappresentatività dei dati di addestramento e di verifica degli esiti.</w:t>
      </w:r>
    </w:p>
    <w:p>
      <w:pPr>
        <w:pStyle w:val="BodyText"/>
      </w:pPr>
      <w:r>
        <w:t xml:space="preserve">Questi principi hanno, per il modello «Psicologo di Base», implicazioni operative precise, che ne condizionano la progettazione e che la Parte VIII riprenderà nella considerazione dei rischi. Il principio di conoscibilità impone che il percorso di presa in carico assicuri al paziente l’informazione sull’eventuale impiego di strumenti di Intelligenza Artificiale e sulla loro logica, con modalità adeguate alla comprensione, ciò che presuppone, a sua volta, che il professionista padroneggi tale logica e sia in grado di renderla intelligibile: ulteriore conferma della centralità della formazione. Il principio di non esclusività impone che la decisione clinica resti in capo al professionista, e che gli strumenti siano impiegati come ausilio del giudizio, conformemente alla loro natura non vincolante; esso presuppone, anche qui, la competenza del professionista nell’interpretare criticamente i suggerimenti, senza esserne acriticamente sostituito. Il principio di non discriminazione impone la vigilanza sulla qualità dei dati e sugli esiti, segnatamente nei meccanismi di stratificazione del rischio, ove la distorsione algoritmica potrebbe tradursi in una iniqua allocazione delle risorse a danno di sottogruppi della popolazione, rischio di particolare rilievo in una regione caratterizzata da divari territoriali e sociali.</w:t>
      </w:r>
    </w:p>
    <w:p>
      <w:pPr>
        <w:pStyle w:val="BodyText"/>
      </w:pPr>
      <w:r>
        <w:t xml:space="preserve">Il coordinamento di questi principi con la disciplina generale europea sul trattamento dei dati e con le linee guida nazionali in materia di sistemi di Intelligenza Artificiale nella pubblica amministrazione completa il quadro della protezione dei dati. La disciplina generale richiede una base giuridica adeguata per il trattamento dei dati sanitari, l’osservanza dei principi di minimizzazione e di limitazione delle finalità, la valutazione d’impatto sulla protezione dei dati per i trattamenti ad alto rischio, e misure tecniche e organizzative adeguate; le linee guida nazionali definiscono i criteri di progettazione e di gestione dei sistemi nella pubblica amministrazione. L’insieme di questi requisiti definisce le condizioni di un impiego legittimo della tecnologia nel modello «Psicologo di Base», e configura una governance dei dati e degli algoritmi che, lungi dal costituire un mero adempimento formale, è parte integrante della qualità e dell’equità del servizio, e che presuppone, ancora una volta, la competenza del personale quale condizione della sua effettiva osservanza.</w:t>
      </w:r>
    </w:p>
    <w:bookmarkEnd w:id="1371"/>
    <w:bookmarkStart w:id="1372" w:name="Xe771575c494fa9196bf176cd737adb8f7d84252"/>
    <w:p>
      <w:pPr>
        <w:pStyle w:val="Heading4"/>
      </w:pPr>
      <w:r>
        <w:t xml:space="preserve">V.5 Le implicazioni per il modello «Psicologo di Base» in Puglia</w:t>
      </w:r>
    </w:p>
    <w:p>
      <w:pPr>
        <w:pStyle w:val="FirstParagraph"/>
      </w:pPr>
      <w:r>
        <w:t xml:space="preserve">La ricostruzione della cornice normativa consente di precisare le implicazioni operative per il modello «Psicologo di Base» in Puglia, che si dispongono su tre ordini. Il primo ordine è quello degli adempimenti di conformità. L’impiego di strumenti di supporto alla decisione clinica classificati come ad alto rischio impone l’osservanza della procedura di valutazione di conformità, della gestione del rischio, della tracciabilità e della registrazione, della robustezza tecnica e della sorveglianza umana; l’impiego di strumenti, anche non ad alto rischio, impone gli obblighi di trasparenza e di alfabetizzazione; il trattamento dei dati sanitari impone la valutazione d’impatto sulla protezione dei dati e l’osservanza dei principi di conoscibilità, non esclusività e non discriminazione. Questi adempimenti costituiscono condizioni di legittimità e, al tempo stesso, voci di costo e funzioni organizzative — la governance degli strumenti, la valutazione di conformità, la protezione dei dati — che il modello di costo già computa nella componente di Intelligenza Artificiale e nella sua governance, e che la quantificazione tiene perciò in considerazione.</w:t>
      </w:r>
    </w:p>
    <w:p>
      <w:pPr>
        <w:pStyle w:val="BodyText"/>
      </w:pPr>
      <w:r>
        <w:t xml:space="preserve">Il secondo ordine è quello della governance. La cornice normativa richiede che l’impiego della tecnologia sia governato da un assetto che assicuri la sorveglianza umana, la trasparenza, la qualità dei dati e il controllo degli esiti, e che ne presidi l’osservanza nel tempo. Il modello «Psicologo di Base», operante in un sistema sanitario regionale articolato e dotato di un’azienda regionale di coordinamento, dispone della struttura organizzativa idonea a esercitare tale governance, segnatamente attraverso il coordinamento regionale e le funzioni tecnico-amministrative centralizzate; la cornice normativa, in questa luce, non si limita a imporre vincoli, ma orienta la progettazione di un assetto di governance che è esso stesso condizione della qualità e dell’equità del servizio. La considerazione di questo assetto, e dei rischi che esso è chiamato a presidiare, costituisce l’oggetto della Parte VIII.</w:t>
      </w:r>
    </w:p>
    <w:p>
      <w:pPr>
        <w:pStyle w:val="BodyText"/>
      </w:pPr>
      <w:r>
        <w:t xml:space="preserve">Il terzo ordine, e per il presente studio il più significativo, è quello della formazione quale obbligo normativo e condizione di legittimità, e non soltanto quale fattore economico. La cornice normativa, su entrambi i piani europeo e nazionale, individua nella competenza del personale una condizione costitutiva dell’impiego legittimo della tecnologia: l’obbligo europeo di alfabetizzazione, la previsione nazionale di una formazione iniziale e continua, il presupposto della competenza per l’osservanza dei principi di conoscibilità e di non esclusività convergono nel configurare la formazione come adempimento cogente, oltre che come scelta economicamente razionale. Questa convergenza fra il fondamento economico e il fondamento giuridico della formazione costituisce uno dei risultati salienti della presente parte: la scelta di formare il personale all’uso dell’Intelligenza Artificiale, oggetto di analisi nella Parte VI, non è soltanto la condizione che massimizza il rendimento della tecnologia, ma l’adempimento che ne legittima l’impiego, sicché l’investimento formativo si giustifica, ad un tempo, sul piano dell’efficienza e su quello della legalità.</w:t>
      </w:r>
    </w:p>
    <w:bookmarkEnd w:id="1372"/>
    <w:bookmarkStart w:id="1373" w:name="X2d549b76dd36fb952d2429a8536884fbb48746b"/>
    <w:p>
      <w:pPr>
        <w:pStyle w:val="Heading4"/>
      </w:pPr>
      <w:r>
        <w:t xml:space="preserve">V.6 Sintesi: la cornice come fondamento della formazione e della governance</w:t>
      </w:r>
    </w:p>
    <w:p>
      <w:pPr>
        <w:pStyle w:val="FirstParagraph"/>
      </w:pPr>
      <w:r>
        <w:t xml:space="preserve">La ricostruzione del quadro normativo e programmatico consente di trarre una sintesi che orienta il seguito dello studio e che ne conferma l’impianto. La cornice si articola su tre piani coordinati — il Regolamento europeo sull’Intelligenza Artificiale e la disciplina dei dispositivi medici, la legge nazionale e la piattaforma per l’assistenza primaria, i principi di protezione dei dati — che convergono nel definire le condizioni di un impiego legittimo, sicuro ed equo della tecnologia nelle cure primarie. Questi tre piani non costituiscono un ostacolo all’innesto dell’Intelligenza Artificiale nel modello «Psicologo di Base», ma ne definiscono i requisiti e ne orientano la progettazione, configurando una tecnologia che opera quale supporto del giudizio clinico, sotto sorveglianza umana, in trasparenza verso il paziente, con dati di qualità e a tutela contro la discriminazione, e governata da un assetto organizzativo idoneo. La conformità a questa cornice è condizione di legittimità del programma, e gli adempimenti che essa impone sono, al tempo stesso, voci di costo e funzioni di governance che la quantificazione computa.</w:t>
      </w:r>
    </w:p>
    <w:p>
      <w:pPr>
        <w:pStyle w:val="BodyText"/>
      </w:pPr>
      <w:r>
        <w:t xml:space="preserve">Il risultato saliente della parte, che ne giustifica la collocazione immediatamente precedente alla trattazione della formazione, è la convergenza fra il fondamento economico e il fondamento giuridico della formazione del personale. L’intero studio argomenta, sul piano economico, che il rendimento della tecnologia non risiede negli strumenti in sé, ma nella competenza con cui il personale li impiega, e che la formazione è perciò il fattore che determina la quota del potenziale tecnologico effettivamente catturata. La cornice normativa aggiunge a questo fondamento economico un fondamento giuridico concorde: l’obbligo europeo di alfabetizzazione, la previsione nazionale di una formazione iniziale e continua, e il presupposto della competenza per l’osservanza dei principi di protezione dei dati configurano la formazione come adempimento cogente e condizione di legittimità. La scelta di formare il personale, dunque, si impone ad un tempo per ragioni di efficienza e per ragioni di legalità, e la sua articolazione nelle quattro modalità — universitaria, post-universitaria, lavorativa e di accompagnamento — costituisce l’oggetto, decisivo per la decisione regionale, della parte che segue.</w:t>
      </w:r>
    </w:p>
    <w:bookmarkEnd w:id="1373"/>
    <w:bookmarkEnd w:id="1374"/>
    <w:bookmarkEnd w:id="1375"/>
    <w:bookmarkStart w:id="1386" w:name="X1c140d80bca593559be00f27fb5b0cdb54d9eeb"/>
    <w:p>
      <w:pPr>
        <w:pStyle w:val="Heading2"/>
      </w:pPr>
      <w:r>
        <w:t xml:space="preserve">Parte VI — La formazione nelle quattro modalità</w:t>
      </w:r>
    </w:p>
    <w:p>
      <w:pPr>
        <w:pStyle w:val="FirstParagraph"/>
      </w:pPr>
      <w:r>
        <w:t xml:space="preserve">Studio IA e Formazione ��� Psicologo di Base Puglia ��� Parte VI</w:t>
      </w:r>
    </w:p>
    <w:bookmarkStart w:id="1385" w:name="Xc3097abc840fe1efa3105008569f7b607d6d18d"/>
    <w:p>
      <w:pPr>
        <w:pStyle w:val="Heading3"/>
      </w:pPr>
      <w:r>
        <w:t xml:space="preserve">Parte VI — La formazione del personale: le quattro modalità e il loro rendimento</w:t>
      </w:r>
    </w:p>
    <w:bookmarkStart w:id="1376" w:name="Xd05da4a9819682c6c651f371b4a5854242c5fe9"/>
    <w:p>
      <w:pPr>
        <w:pStyle w:val="Heading4"/>
      </w:pPr>
      <w:r>
        <w:t xml:space="preserve">VI.1 Premessa: la formazione come fattore determinante del rendimento tecnologico</w:t>
      </w:r>
    </w:p>
    <w:p>
      <w:pPr>
        <w:pStyle w:val="FirstParagraph"/>
      </w:pPr>
      <w:r>
        <w:t xml:space="preserve">L’intera ricostruzione condotta sin qui converge su un risultato che la presente parte assume come premessa e sviluppa nelle sue implicazioni operative: il rendimento dell’Intelligenza Artificiale nel modello «Psicologo di Base» non è una proprietà degli strumenti, ma una funzione della competenza con cui il personale li impiega e dell’organizzazione che ne governa l’integrazione nei flussi di lavoro. Questo risultato è emerso, con costanza, da ogni angolazione dell’analisi. Dall’esame dei meccanismi di risparmio, condotto nella Parte III, è emerso che ciascuno dei cinque canali — il supporto alla decisione, gli strumenti digitali di primo livello, la stratificazione del rischio, l’automazione documentale, la telepsicologia — produce il proprio effetto economico solo se il professionista possiede la competenza per impiegare lo strumento, per interpretarne criticamente i suggerimenti senza esserne sostituito, per integrarlo nel percorso clinico e per reimpiegare deliberatamente la capacità che esso libera. Dall’esame delle esperienze internazionali, condotto nella Parte IV, è emerso che il valore degli strumenti digitali si realizza nella loro integrazione organizzativa e che il modello cosiddetto guidato, nel quale il professionista sostiene e supervisiona l’uso dello strumento, consegue un’efficacia superiore rispetto all’impiego puramente autonomo. Dall’esame della cornice normativa, condotto nella Parte V, è emerso che la competenza del personale è non soltanto una condizione economica del rendimento, ma un adempimento giuridico cogente, imposto dall’obbligo europeo di alfabetizzazione e dalla previsione nazionale di una formazione iniziale e continua.</w:t>
      </w:r>
    </w:p>
    <w:p>
      <w:pPr>
        <w:pStyle w:val="BodyText"/>
      </w:pPr>
      <w:r>
        <w:t xml:space="preserve">Questa convergenza ha una conseguenza economica precisa, che costituisce il fondamento della trattazione che segue. La quota del potenziale tecnologico che si traduce in risparmio effettivo non è determinata dalla sola disponibilità degli strumenti, ma dalla competenza del personale e dall’organizzazione: a parità di strumenti disponibili, un personale formato in modo strutturato cattura una quota del potenziale sensibilmente superiore a quella catturata da un personale formato in modo minimo o spontaneo. La differenza fra queste due quote — il delta formativo — costituisce il rendimento specifico dell’investimento in formazione, ed è la grandezza che la presente parte analizza nelle sue componenti e quantifica nel suo sottocapitolo conclusivo. Il fatto che la formazione abbia un costo contenuto, dell’ordine di quattro milioni di euro annui a regime a fronte di un investimento tecnologico e di un risparmio incrementale assai maggiori, conferisce a questo rendimento un’entità relativa elevata: la formazione è il fattore abilitante che moltiplica un investimento tecnologico altrimenti sottoutilizzato, ed è perciò la leva decisiva dell’intera operazione.</w:t>
      </w:r>
    </w:p>
    <w:p>
      <w:pPr>
        <w:pStyle w:val="BodyText"/>
      </w:pPr>
      <w:r>
        <w:t xml:space="preserve">Da questa premessa discende l’impostazione della parte, che risponde direttamente alla questione lasciata aperta circa la scelta della modalità formativa. Le quattro modalità indicate — la formazione universitaria, la formazione post-universitaria, la formazione lavorativa continua e l’accompagnamento di figure competenti nell’Intelligenza Artificiale presso ogni sede — non costituiscono, come si argomenterà, alternative fra le quali scegliere in via esclusiva, ma livelli complementari di un unico continuum formativo, ciascuno dei quali assolve una funzione specifica e insostituibile, e il cui rendimento si massimizza nella loro combinazione. I sottocapitoli successivi esaminano ciascuna modalità nella sua funzione, nei suoi punti di forza, nei suoi limiti, nella sua dinamica temporale e nel suo costo; il sottocapitolo del confronto ne ricava l’architettura integrata e la sequenza ottimale; il sottocapitolo conclusivo ne quantifica il rendimento differenziale complessivo, preparando la quantificazione generale della Parte VII.</w:t>
      </w:r>
    </w:p>
    <w:bookmarkEnd w:id="1376"/>
    <w:bookmarkStart w:id="1377" w:name="vi.2-la-formazione-universitaria"/>
    <w:p>
      <w:pPr>
        <w:pStyle w:val="Heading4"/>
      </w:pPr>
      <w:r>
        <w:t xml:space="preserve">VI.2 La formazione universitaria</w:t>
      </w:r>
    </w:p>
    <w:p>
      <w:pPr>
        <w:pStyle w:val="FirstParagraph"/>
      </w:pPr>
      <w:r>
        <w:t xml:space="preserve">La formazione universitaria costituisce il livello fondativo del continuum formativo, quello che incardina la competenza nell’uso dell’Intelligenza Artificiale nei percorsi di studio che formano i futuri medici di medicina generale e i futuri psicologi delle cure primarie, attraverso l’introduzione di insegnamenti dedicati, di tirocini e di esperienze pratiche presso gli atenei regionali. La sua funzione propria è strutturale e di lungo periodo: essa agisce non sullo stock del personale già in servizio, ma sul flusso dei professionisti che entreranno nel servizio negli anni a venire, assicurando che le nuove generazioni possiedano, sin dall’ingresso nella professione, la competenza tecnologica necessaria a impiegare gli strumenti in modo consapevole e appropriato. Per il modello «Psicologo di Base» in Puglia, questo livello si realizza attraverso l’introduzione di tale competenza nei curricula degli atenei regionali, nei quali si formano i professionisti destinati a operare nel sistema sanitario regionale, e attraverso la collaborazione fra il sistema sanitario e le università per la definizione dei contenuti e per l’organizzazione dei tirocini.</w:t>
      </w:r>
    </w:p>
    <w:p>
      <w:pPr>
        <w:pStyle w:val="BodyText"/>
      </w:pPr>
      <w:r>
        <w:t xml:space="preserve">Il punto di forza della formazione universitaria risiede nella sua profondità e nella sua durevolezza. La competenza acquisita nei percorsi di studio è radicata, sistematica e fondata sui principi, e non si limita all’addestramento all’uso di uno strumento specifico, ma comprende la comprensione critica della logica degli algoritmi, dei loro limiti, dei rischi di distorsione e delle condizioni del loro impiego appropriato: è la competenza che consente non soltanto di impiegare gli strumenti, ma di interpretarli criticamente, di renderne intelligibile la logica al paziente — come richiede il principio di conoscibilità — e di mantenere il controllo del giudizio clinico, conformemente al principio di non esclusività. Questa profondità rende la formazione universitaria il fondamento dell’intero continuum, quello che assicura la qualità della competenza nel lungo periodo.</w:t>
      </w:r>
    </w:p>
    <w:p>
      <w:pPr>
        <w:pStyle w:val="BodyText"/>
      </w:pPr>
      <w:r>
        <w:t xml:space="preserve">Il limite della formazione universitaria risiede, specularmente, nella sua dinamica temporale. Poiché essa agisce sul flusso dei nuovi professionisti e non sullo stock di quelli già in servizio, il suo effetto si manifesta con grande gradualità, nell’arco di molti anni, man mano che le nuove generazioni formate sostituiscono progressivamente quelle in servizio: nel breve e nel medio periodo, il suo contributo alla cattura del potenziale tecnologico è perciò contenuto, e diviene rilevante solo nel lungo periodo. Per questa ragione, la formazione universitaria, pur costituendo il fondamento qualitativo del continuum, non può, da sola, assicurare la cattura del potenziale tecnologico nel servizio già operante, e deve essere necessariamente affiancata dalle modalità che agiscono sullo stock del personale in servizio, segnatamente la formazione post-universitaria e l’accompagnamento. Il suo costo, prevalentemente a carico del sistema universitario e integrato nei percorsi di studio esistenti, è inoltre contenuto e in larga parte distinto dal budget del programma regionale, ciò che ne fa una componente a basso onere diretto ma a maturazione lenta. Nella valutazione complessiva, la formazione universitaria è dunque la componente strutturale e di lungo periodo, indispensabile alla sostenibilità della competenza nel tempo ma insufficiente a determinarne la cattura nell’immediato.</w:t>
      </w:r>
    </w:p>
    <w:bookmarkEnd w:id="1377"/>
    <w:bookmarkStart w:id="1378" w:name="vi.3-la-formazione-post-universitaria"/>
    <w:p>
      <w:pPr>
        <w:pStyle w:val="Heading4"/>
      </w:pPr>
      <w:r>
        <w:t xml:space="preserve">VI.3 La formazione post-universitaria</w:t>
      </w:r>
    </w:p>
    <w:p>
      <w:pPr>
        <w:pStyle w:val="FirstParagraph"/>
      </w:pPr>
      <w:r>
        <w:t xml:space="preserve">La formazione post-universitaria costituisce la leva più rapida e più incisiva sullo stock del personale già in servizio, e quella che, nel breve e nel medio periodo, genera la quota preponderante del delta formativo. Essa consiste nei percorsi di formazione specialistica dedicati alla psicologia delle cure primarie e all’impiego dell’Intelligenza Artificiale, negli eventi di educazione continua in medicina, nei corsi di perfezionamento e nei programmi di aggiornamento rivolti ai medici di medicina generale e agli psicologi che già operano, o che si apprestano a operare, nel servizio. La sua funzione propria è quella di dotare rapidamente il personale in servizio della competenza necessaria a impiegare gli strumenti tecnologici, colmando il divario fra la competenza posseduta e quella richiesta dall’innesto della tecnologia, in tempi compatibili con il dispiegamento del programma. Per il modello «Psicologo di Base» in Puglia, questo livello si realizza attraverso programmi formativi dedicati, organizzati dal sistema sanitario regionale in collaborazione con gli atenei, con l’ordine professionale e con le società scientifiche, e comprensivi della competenza per l’impiego degli strumenti nei cinque meccanismi di risparmio, della competenza per l’et� anziana e la cronicità, prioritaria in una regione anziana, e della competenza per l’interpretazione critica dei suggerimenti.</w:t>
      </w:r>
    </w:p>
    <w:p>
      <w:pPr>
        <w:pStyle w:val="BodyText"/>
      </w:pPr>
      <w:r>
        <w:t xml:space="preserve">Il punto di forza della formazione post-universitaria risiede nella sua rapidità e nella sua estensione. A differenza della formazione universitaria, che agisce sul flusso dei nuovi professionisti, la formazione post-universitaria agisce immediatamente sullo stock di quelli già in servizio, e può raggiungere, in tempi relativamente brevi, l’intero personale del servizio, determinando una cattura del potenziale tecnologico sin dai primi anni del programma. È per questa ragione che il modello economico colloca nella formazione post-universitaria la quota preponderante del delta formativo nel breve e nel medio periodo: essa è la leva che traduce rapidamente la disponibilità degli strumenti in competenza effettiva, e dunque in risparmio. La sua incidenza è massima nei primi anni del programma, quando il divario fra la competenza posseduta e quella richiesta è più ampio, e si stabilizza successivamente, quando la competenza di base è stata acquisita e subentra l’esigenza del suo aggiornamento.</w:t>
      </w:r>
    </w:p>
    <w:p>
      <w:pPr>
        <w:pStyle w:val="BodyText"/>
      </w:pPr>
      <w:r>
        <w:t xml:space="preserve">Il limite della formazione post-universitaria risiede nella sua natura puntuale e nel rischio di obsolescenza. La competenza acquisita attraverso un percorso formativo puntuale, per quanto rapida ed estesa, tende a deteriorarsi nel tempo se non è mantenuta e aggiornata, tanto più in un campo, quello dell’Intelligenza Artificiale, caratterizzato da un’evoluzione rapidissima degli strumenti: una formazione post-universitaria erogata una tantum, senza un sistema di aggiornamento continuo, perderebbe progressivamente la propria efficacia man mano che gli strumenti evolvono e la competenza acquisita diviene obsoleta. Per questa ragione la formazione post-universitaria, pur costituendo la leva più incisiva nel breve periodo, deve essere necessariamente integrata dalla formazione lavorativa continua, che ne mantiene l’efficacia nel tempo. Il suo costo, a carico del budget del programma regionale e concentrato nei primi anni, costituisce la componente preponderante del costo del programma formativo, ed è quello su cui poggia in misura maggiore il rendimento di breve e medio periodo. Nella valutazione complessiva, la formazione post-universitaria è dunque la componente di rapida cattura, indispensabile a determinare il rendimento nell’immediato ma soggetta a obsolescenza in assenza di aggiornamento.</w:t>
      </w:r>
    </w:p>
    <w:bookmarkEnd w:id="1378"/>
    <w:bookmarkStart w:id="1379" w:name="vi.4-la-formazione-lavorativa-continua"/>
    <w:p>
      <w:pPr>
        <w:pStyle w:val="Heading4"/>
      </w:pPr>
      <w:r>
        <w:t xml:space="preserve">VI.4 La formazione lavorativa continua</w:t>
      </w:r>
    </w:p>
    <w:p>
      <w:pPr>
        <w:pStyle w:val="FirstParagraph"/>
      </w:pPr>
      <w:r>
        <w:t xml:space="preserve">La formazione lavorativa continua costituisce il livello che assicura il mantenimento e l’aggiornamento della competenza nel tempo, ed è la condizione perché il rendimento della formazione non decada man mano che gli strumenti tecnologici evolvono. Essa consiste nell’aggiornamento in servizio, nell’audit clinico, nei programmi di educazione continua in medicina erogati in forma ricorrente, nella condivisione delle esperienze e delle buone pratiche fra i professionisti, e nell’adeguamento della competenza all’evoluzione degli strumenti e dei protocolli. La sua funzione propria è quella di contrastare l’obsolescenza della competenza, mantenendola costantemente al passo con strumenti che, nel campo dell’Intelligenza Artificiale, evolvono con grande rapidità, e di consolidare nel tempo, attraverso la pratica e la riflessione sull’esperienza, la competenza acquisita nei percorsi formativi puntuali. Per il modello «Psicologo di Base» in Puglia, questo livello si realizza attraverso un sistema strutturato di aggiornamento in servizio, di audit clinico e di educazione continua, integrato nei flussi di lavoro e governato dal coordinamento regionale.</w:t>
      </w:r>
    </w:p>
    <w:p>
      <w:pPr>
        <w:pStyle w:val="BodyText"/>
      </w:pPr>
      <w:r>
        <w:t xml:space="preserve">Il punto di forza della formazione lavorativa continua risiede nella sua capacità di preservare il rendimento nel tempo e di radicare la competenza nella pratica. La competenza mantenuta e aggiornata attraverso la pratica continua e l’audit è più solida e più aderente alle esigenze operative di quella acquisita una tantum, poiché si confronta costantemente con i problemi reali dell’impiego degli strumenti e si adegua all’evoluzione tecnologica; essa assicura, inoltre, che il personale resti in grado di impiegare gli strumenti più recenti e di coglierne le potenzialità, evitando che il servizio resti ancorato a strumenti superati o a modalità d’uso obsolete. È questa la modalità che, agendo sulla dinamica temporale del rendimento, ne impedisce il decadimento e ne assicura la persistenza nel lungo periodo, condizione perché il risparmio incrementale stimato a regime si mantenga negli anni anziché erodersi.</w:t>
      </w:r>
    </w:p>
    <w:p>
      <w:pPr>
        <w:pStyle w:val="BodyText"/>
      </w:pPr>
      <w:r>
        <w:t xml:space="preserve">Il limite della formazione lavorativa continua risiede nella sua dipendenza dalla continuità dell’impegno organizzativo e nel rischio della sua trascuratezza. Poiché essa richiede un impegno costante e ricorrente, e non un investimento puntuale, la formazione lavorativa continua è esposta al rischio di essere trascurata nel tempo, sotto la pressione del carico di lavoro e delle priorità contingenti, con la conseguenza del progressivo decadimento della competenza; essa richiede perciò un assetto organizzativo che ne presidi la regolarità e che la integri stabilmente nei flussi di lavoro, sottraendola alla discrezionalità del momento. Il suo costo, a carico del budget del programma regionale e distribuito nel tempo a regime, costituisce una componente ricorrente del costo del programma formativo, di entità inferiore a quella della formazione post-universitaria iniziale ma persistente. Nella valutazione complessiva, la formazione lavorativa continua è dunque la componente di mantenimento, indispensabile a preservare il rendimento nel tempo e a impedirne il decadimento, ma esposta al rischio della trascuratezza in assenza di un presidio organizzativo stabile.</w:t>
      </w:r>
    </w:p>
    <w:bookmarkEnd w:id="1379"/>
    <w:bookmarkStart w:id="1381" w:name="Xeebda35b07bdb5d7dbbd13b59f38a71bef85b56"/>
    <w:p>
      <w:pPr>
        <w:pStyle w:val="Heading4"/>
      </w:pPr>
      <w:r>
        <w:t xml:space="preserve">VI.5 L’accompagnamento di figure competenti nell’Intelligenza Artificiale</w:t>
      </w:r>
    </w:p>
    <w:p>
      <w:pPr>
        <w:pStyle w:val="FirstParagraph"/>
      </w:pPr>
      <w:r>
        <w:t xml:space="preserve">L’accompagnamento di figure competenti nell’Intelligenza Artificiale presso ogni sede costituisce la modalità più innovativa e, sul piano del rendimento, la più decisiva fra le quattro, poiché è quella che converte la competenza acquisita attraverso le altre modalità in adozione effettiva degli strumenti nei flussi di lavoro reali. Essa consiste nella presenza, presso le sedi operative — le Case della Comunità, i distretti, gli studi dei medici di medicina generale — di figure dotate di competenza specifica nell’Intelligenza Artificiale, che affiancano il medico di medicina generale e lo psicologo delle cure primarie nell’impiego quotidiano degli strumenti, fornendo tutoraggio sul campo, risolvendo i problemi operativi, sostenendo l’integrazione degli strumenti nel percorso clinico e accompagnando l’inserimento graduale della tecnologia nella pratica. La sua funzione propria è quella di colmare il divario, costantemente documentato dalla letteratura sull’adozione delle tecnologie, fra la competenza teorica e l’impiego effettivo: una competenza acquisita attraverso la formazione, per quanto solida, si traduce in adozione effettiva solo se sostenuta, nella fase di inserimento e nell’impiego quotidiano, da un affiancamento che ne sostenga l’applicazione concreta e ne superi le resistenze e le difficoltà.</w:t>
      </w:r>
    </w:p>
    <w:p>
      <w:pPr>
        <w:pStyle w:val="BodyText"/>
      </w:pPr>
      <w:r>
        <w:t xml:space="preserve">Il punto di forza dell’accompagnamento risiede precisamente nella sua capacità di determinare l’adozione effettiva, ed è documentato dall’evidenza internazionale esaminata nella Parte IV. L’esperienza del programma britannico di accesso alle terapie psicologiche ha mostrato che il modello cosiddetto guidato, nel quale il professionista è sostenuto nell’impiego dello strumento, consegue un’efficacia e un’aderenza superiori rispetto all’impiego puramente autonomo; il principio è trasferibile dall’impiego dello strumento da parte del paziente all’impiego della tecnologia da parte del professionista, e individua nell’affiancamento il fattore che ne determina l’adozione effettiva.</w:t>
      </w:r>
      <w:r>
        <w:rPr>
          <w:rStyle w:val="FootnoteReference"/>
        </w:rPr>
        <w:footnoteReference w:id="611"/>
      </w:r>
      <w:r>
        <w:t xml:space="preserve"> </w:t>
      </w:r>
      <w:r>
        <w:t xml:space="preserve">È per questa ragione che il modello economico individua nell’accompagnamento il fattore che colloca il rendimento della formazione nella parte alta dell’intervallo: a parità di formazione teorica impartita, la presenza di un affiancamento competente determina una cattura del potenziale tecnologico sensibilmente superiore, poiché traduce la competenza in pratica effettiva e ne supera le barriere di adozione. L’accompagnamento, in altri termini, non è una quinta competenza che si aggiunge alle altre, ma il moltiplicatore trasversale che ne attiva il rendimento, agendo sulla soglia critica fra il sapere e il fare.</w:t>
      </w:r>
    </w:p>
    <w:p>
      <w:pPr>
        <w:pStyle w:val="BodyText"/>
      </w:pPr>
      <w:r>
        <w:t xml:space="preserve">Il limite dell’accompagnamento risiede nel suo costo e nella sua organizzazione. La presenza di figure competenti presso le sedi operative comporta un costo, in termini di personale dedicato, superiore a quello delle altre modalità formative, e richiede un’organizzazione che ne assicuri la disponibilità presso le sedi e il coordinamento con l’attività clinica; tale costo, peraltro, è temporalmente modulabile, poiché l’affiancamento è massimo nella fase di inserimento della tecnologia e può ridursi successivamente, quando l’adozione si è consolidata e la competenza si è radicata nella pratica, evolvendo verso una funzione di supporto e di aggiornamento meno intensiva. La sua sostenibilità economica dipende perciò dalla corretta modulazione temporale e dalla sua integrazione con le altre modalità, che ne riducono progressivamente il fabbisogno man mano che la competenza si consolida. Nella valutazione complessiva, l’accompagnamento è dunque la componente di attivazione, la più onerosa ma la più decisiva, quella che converte la competenza in adozione effettiva e che determina la collocazione del rendimento nella parte alta dell’intervallo, a condizione di una corretta modulazione temporale del suo impiego.</w:t>
      </w:r>
    </w:p>
    <w:bookmarkEnd w:id="1381"/>
    <w:bookmarkStart w:id="1382" w:name="Xa36d83b2eedc32d888edd25d925b0a56d556856"/>
    <w:p>
      <w:pPr>
        <w:pStyle w:val="Heading4"/>
      </w:pPr>
      <w:r>
        <w:t xml:space="preserve">VI.6 Il confronto e l’integrazione delle quattro modalità</w:t>
      </w:r>
    </w:p>
    <w:p>
      <w:pPr>
        <w:pStyle w:val="FirstParagraph"/>
      </w:pPr>
      <w:r>
        <w:t xml:space="preserve">Il confronto delle quattro modalità, condotto nei sottocapitoli precedenti, conduce a una conclusione che risponde direttamente alla questione lasciata aperta e che ne ribalta l’impostazione alternativa: le quattro modalità non sono opzioni concorrenti fra le quali scegliere in via esclusiva, ma livelli complementari di un unico continuum formativo, ciascuno dei quali assolve una funzione specifica e insostituibile, e il cui rendimento si massimizza nella loro combinazione e nella loro corretta sequenza temporale. La ragione di questa complementarità risiede nel fatto che ciascuna modalità agisce su una dimensione diversa del problema formativo, e che le dimensioni sono fra loro indipendenti e tutte necessarie. La formazione universitaria agisce sulla dimensione strutturale e di lungo periodo, assicurando la competenza del flusso dei nuovi professionisti; la formazione post-universitaria agisce sulla dimensione della rapidità, assicurando la cattura del potenziale sullo stock del personale in servizio nel breve e nel medio periodo; la formazione lavorativa continua agisce sulla dimensione del mantenimento, impedendo il decadimento della competenza nel tempo; l’accompagnamento agisce sulla dimensione dell’attivazione, convertendo la competenza in adozione effettiva. Nessuna di queste dimensioni può essere trascurata senza compromettere il rendimento complessivo: una formazione senza accompagnamento resterebbe competenza teorica non tradotta in pratica; un accompagnamento senza formazione mancherebbe del fondamento di competenza da attivare; una formazione iniziale senza mantenimento decadrebbe nel tempo; una formazione del solo stock senza la formazione universitaria non assicurerebbe la sostenibilità nel lungo periodo.</w:t>
      </w:r>
    </w:p>
    <w:p>
      <w:pPr>
        <w:pStyle w:val="BodyText"/>
      </w:pPr>
      <w:r>
        <w:t xml:space="preserve">Da questa complementarità discende l’architettura integrata che lo studio raccomanda, e che si articola in una combinazione delle quattro modalità secondo una sequenza temporale determinata dalle rispettive dinamiche. Nella fase di avvio del programma, l’investimento si concentra sulla formazione post-universitaria, che dota rapidamente lo stock del personale in servizio della competenza necessaria, e sull’accompagnamento intensivo, che ne determina l’adozione effettiva nei flussi di lavoro; è in questa fase che si genera la quota preponderante del delta formativo, ed è perciò in questa fase che l’investimento formativo è più elevato. Nella fase di regime, l’investimento si sposta verso la formazione lavorativa continua, che mantiene la competenza acquisita e ne impedisce il decadimento, e verso un accompagnamento meno intensivo, di supporto e di aggiornamento; contestualmente, la formazione universitaria, avviata sin dall’inizio, comincia a produrre il proprio effetto strutturale sul flusso dei nuovi professionisti, assicurando la sostenibilità della competenza nel lungo periodo. Questa sequenza — concentrazione iniziale sulla cattura rapida e sull’attivazione, spostamento a regime verso il mantenimento e la sostenibilità — costituisce l’impiego ottimale delle quattro modalità, quello che massimizza la cattura del potenziale tecnologico minimizzando il costo complessivo della formazione.</w:t>
      </w:r>
    </w:p>
    <w:p>
      <w:pPr>
        <w:pStyle w:val="BodyText"/>
      </w:pPr>
      <w:r>
        <w:t xml:space="preserve">La conclusione che lo studio raccomanda, in risposta alla questione, è dunque la seguente: non la scelta di una modalità in via esclusiva, ma l’adozione integrata di tutte e quattro, con le prime tre — universitaria, post-universitaria e lavorativa continua — disposte secondo la loro funzione strutturale, di cattura rapida e di mantenimento, e con l’accompagnamento quale moltiplicatore trasversale che ne attiva il rendimento nella fase di inserimento e ne sostiene l’adozione effettiva. Questa raccomandazione non è dettata da una preferenza astratta per la completezza, ma dalla constatazione, fondata sull’analisi, che ciascuna modalità assolve una funzione insostituibile e che il rendimento complessivo dipende dalla loro combinazione; essa è inoltre coerente con la cornice normativa, che impone una formazione iniziale e continua, e con l’evidenza internazionale, che individua nell’integrazione e nell’affiancamento i fattori decisivi del valore. Il sottocapitolo conclusivo quantifica il rendimento differenziale di questa architettura formativa integrata, distinguendolo da quello di una formazione minima o spontanea, e ne misura il ritorno economico.</w:t>
      </w:r>
    </w:p>
    <w:bookmarkEnd w:id="1382"/>
    <w:bookmarkStart w:id="1384" w:name="X2a97f66d172da7490167f38a46d3ea6dc28b507"/>
    <w:p>
      <w:pPr>
        <w:pStyle w:val="Heading4"/>
      </w:pPr>
      <w:r>
        <w:t xml:space="preserve">VI.7 La quantificazione del rendimento differenziale della formazione</w:t>
      </w:r>
    </w:p>
    <w:p>
      <w:pPr>
        <w:pStyle w:val="FirstParagraph"/>
      </w:pPr>
      <w:r>
        <w:t xml:space="preserve">La quantificazione del rendimento della formazione muove dalla grandezza definita nella premessa, il delta formativo, ossia la differenza fra la quota del potenziale tecnologico catturata da un personale formato in modo strutturato, secondo l’architettura integrata raccomandata, e la quota catturata da un personale formato in modo minimo o spontaneo, a parità di strumenti disponibili. Questa grandezza isola l’effetto proprio della formazione, distinguendolo da quello della tecnologia, e ne misura il contributo specifico all’ulteriore riduzione della spesa. Il modello economico colloca il delta formativo, a piena maturità e nello scenario centrale, in un intervallo dell’ordine di ventotto-cinquantasei milioni di euro annui, con un valore centrale prossimo a trentuno milioni; rapportato al costo del programma formativo integrato, dell’ordine di quattro milioni di euro annui a regime, esso esprime un ritorno dell’ordine di sette-otto euro per ogni euro investito nella formazione.</w:t>
      </w:r>
      <w:r>
        <w:rPr>
          <w:rStyle w:val="FootnoteReference"/>
        </w:rPr>
        <w:footnoteReference w:id="612"/>
      </w:r>
      <w:r>
        <w:t xml:space="preserve"> </w:t>
      </w:r>
      <w:r>
        <w:t xml:space="preserve">Questo rapporto, fra i più favorevoli dell’intera operazione, riflette la natura della formazione quale fattore abilitante a basso costo che moltiplica il rendimento di un investimento tecnologico assai maggiore.</w:t>
      </w:r>
    </w:p>
    <w:p>
      <w:pPr>
        <w:pStyle w:val="BodyText"/>
      </w:pPr>
      <w:r>
        <w:t xml:space="preserve">La sensibilità del risultato alla qualità della formazione è elevata, ed è precisamente questa sensibilità a fondare la raccomandazione dell’architettura integrata. In assenza di una formazione strutturata, ossia in un regime di formazione minima o spontanea, la quota del potenziale tecnologico effettivamente catturata si riduce sensibilmente, attestandosi su valori dell’ordine di quindici-ventidue milioni di euro annui, contro i valori dell’intervallo superiore conseguibili con la formazione strutturata. La differenza fra questi due regimi — l’uno fondato sull’architettura integrata delle quattro modalità, l’altro su una formazione minima — misura il valore aggiunto specifico della scelta formativa, e ammonta a una quota dell’ordine di alcune decine di milioni di euro annui a regime. È questa la ragione economica per cui la formazione, di costo contenuto, costituisce la leva decisiva dell’intera operazione: essa determina la collocazione del risultato complessivo nella parte alta ovvero nella parte bassa dell’intervallo di risparmio, e il suo rendimento, misurato come delta fra i due regimi, eccede ampiamente il suo costo.</w:t>
      </w:r>
    </w:p>
    <w:p>
      <w:pPr>
        <w:pStyle w:val="BodyText"/>
      </w:pPr>
      <w:r>
        <w:t xml:space="preserve">La scomposizione del delta formativo fra le quattro modalità, per quanto non determinabile con precisione puntuale stante l’interdipendenza delle modalità, segue la logica funzionale ricostruita nei sottocapitoli precedenti e può essere indicata nelle sue linee. La quota preponderante del delta, nel breve e nel medio periodo, è imputabile alla formazione post-universitaria e all’accompagnamento, che agiscono congiuntamente sulla cattura rapida e sull’attivazione del potenziale sullo stock del personale in servizio: è la combinazione di queste due modalità a determinare la collocazione del risultato nella parte alta dell’intervallo. La formazione lavorativa continua contribuisce non tanto a incrementare il delta nel breve periodo, quanto a preservarlo nel tempo, impedendone il decadimento e assicurando che il risparmio a regime si mantenga negli anni; il suo contributo è perciò di mantenimento del rendimento più che di incremento. La formazione universitaria, infine, contribuisce alla sostenibilità di lungo periodo del rendimento, assicurando la competenza del flusso dei nuovi professionisti, con un effetto che si manifesta nel lungo periodo e che garantisce la persistenza del risparmio oltre l’orizzonte del programma. La quantificazione conferma, in sintesi, che il rendimento differenziale della formazione è elevato e che la sua collocazione nella parte alta dell’intervallo dipende dall’adozione integrata delle quattro modalità, e segnatamente dalla combinazione della formazione post-universitaria con l’accompagnamento nella fase di avvio; questa conclusione, di diretta rilevanza per la decisione regionale, è ripresa e integrata nella quantificazione generale dell’ulteriore riduzione della spesa, condotta nella Parte VII.</w:t>
      </w:r>
    </w:p>
    <w:bookmarkEnd w:id="1384"/>
    <w:bookmarkEnd w:id="1385"/>
    <w:bookmarkEnd w:id="1386"/>
    <w:bookmarkStart w:id="1396" w:name="parte-vii-la-quantificazione"/>
    <w:p>
      <w:pPr>
        <w:pStyle w:val="Heading2"/>
      </w:pPr>
      <w:r>
        <w:t xml:space="preserve">Parte VII — La quantificazione</w:t>
      </w:r>
    </w:p>
    <w:p>
      <w:pPr>
        <w:pStyle w:val="FirstParagraph"/>
      </w:pPr>
      <w:r>
        <w:t xml:space="preserve">Studio IA e Formazione ��� Psicologo di Base Puglia ��� Parte VII</w:t>
      </w:r>
    </w:p>
    <w:bookmarkStart w:id="1395" w:name="Xd3024ae4d18dfefeccaf484410625c0fc1488b3"/>
    <w:p>
      <w:pPr>
        <w:pStyle w:val="Heading3"/>
      </w:pPr>
      <w:r>
        <w:t xml:space="preserve">Parte VII — La quantificazione dell’ulteriore riduzione della spesa sanitaria</w:t>
      </w:r>
    </w:p>
    <w:bookmarkStart w:id="1387" w:name="Xb1e83887a186a654a7db2aaf19dc9160af8aca3"/>
    <w:p>
      <w:pPr>
        <w:pStyle w:val="Heading4"/>
      </w:pPr>
      <w:r>
        <w:t xml:space="preserve">VII.1 Premessa: l’oggetto della quantificazione e il metodo differenziale</w:t>
      </w:r>
    </w:p>
    <w:p>
      <w:pPr>
        <w:pStyle w:val="FirstParagraph"/>
      </w:pPr>
      <w:r>
        <w:t xml:space="preserve">La presente parte perviene alla quantificazione che costituisce l’oggetto specifico del mandato: la determinazione, nell’ordine di grandezza consentito dall’evidenza, dell’ulteriore riduzione della spesa sanitaria regionale, diretta e indiretta, che la Puglia consegue innestando nel modello «Psicologo di Base» la componente di Intelligenza Artificiale e formando il proprio personale al suo impiego, rispetto allo scenario in cui il medesimo servizio operi secondo il solo modello di base. La quantificazione raccoglie e traduce in grandezze i risultati delle parti precedenti: i meccanismi di risparmio individuati nella Parte III, ricondotti ciascuno alla voce di bilancio su cui agiscono; la solidità differenziale dell’evidenza stabilita nella Parte II e confermata dal quadro brevettuale, regolatorio ed esperienziale della Parte IV; e il fattore abilitante costituito dalla formazione, di cui la Parte VI ha analizzato le modalità. Il metodo è quello, già enunciato nella Parte I, della stima differenziale a copertura costante: l’effetto della tecnologia e della formazione è isolato come differenza fra due configurazioni del medesimo servizio, mantenendo invariata la copertura assistenziale, sicché il risultato esprime il contributo proprio delle due leve e non l’effetto, già contabilizzato altrove, dell’estensione della platea servita.</w:t>
      </w:r>
    </w:p>
    <w:p>
      <w:pPr>
        <w:pStyle w:val="BodyText"/>
      </w:pPr>
      <w:r>
        <w:t xml:space="preserve">Tre principi metodologici, già esposti, governano la quantificazione e ne garantiscono la difendibilità. Il primo è la stratificazione: i risparmi del programma integrato si dispongono in tre strati — quello del modello di base, quello imputabile all’Intelligenza Artificiale e quello imputabile alla formazione — e la quantificazione isola il secondo e il terzo come differenza rispetto al primo. Il secondo è la non duplicazione: poiché i meccanismi incidono in parte sulle medesime voci di risparmio e in parte si potenziano a vicenda, il contributo complessivo non è ottenuto sommando aritmeticamente i contributi parziali, ma tenendo conto, in via prudenziale, delle sovrapposizioni, sicché il totale è inferiore alla somma delle parti. Il terzo è la prudenza: la quantificazione adotta, per le conclusioni, il valore centrale o l’estremo conservativo degli intervalli, àncora la stima ai meccanismi a evidenza più solida e richiama le applicazioni a evidenza preliminare come potenziale prospettico, non come contributo certo.</w:t>
      </w:r>
    </w:p>
    <w:p>
      <w:pPr>
        <w:pStyle w:val="BodyText"/>
      </w:pPr>
      <w:r>
        <w:t xml:space="preserve">A questi principi si aggiunge la distinzione, mantenuta con rigore lungo l’intera parte, fra la riduzione dei costi diretti, che incidono sul bilancio del Servizio Sanitario Regionale e che costituiscono l’oggetto primario della stima, e la riduzione dei costi indiretti e sociali, che afferiscono al sistema economico e alla collettività e che sono trattati su un piano analiticamente separato e con un grado di precisione dichiaratamente inferiore. La quantificazione procede pertanto nell’ordine seguente: il contributo della sola componente di Intelligenza Artificiale alla riduzione della spesa diretta; il contributo specifico della formazione, misurato come delta formativo; l’ulteriore riduzione complessiva della spesa diretta, per scenario e al netto delle sovrapposizioni; il profilo temporale e la sensibilità all’adozione; l’ulteriore riduzione dei costi indiretti e sociali; l’analisi di sensibilità e il limite inferiore; e la sintesi quantitativa che risponde al mandato. Tutte le grandezze sono coerenti con quelle stabilite nel modello costi-benefici e di impatto di bilancio, di cui la presente parte costituisce l’esposizione ragionata e la fondazione evidenziale.</w:t>
      </w:r>
    </w:p>
    <w:bookmarkEnd w:id="1387"/>
    <w:bookmarkStart w:id="1388" w:name="Xf68fd6962a2685652cdb87ed165693eeeeaa856"/>
    <w:p>
      <w:pPr>
        <w:pStyle w:val="Heading4"/>
      </w:pPr>
      <w:r>
        <w:t xml:space="preserve">VII.2 Il contributo della componente di Intelligenza Artificiale</w:t>
      </w:r>
    </w:p>
    <w:p>
      <w:pPr>
        <w:pStyle w:val="FirstParagraph"/>
      </w:pPr>
      <w:r>
        <w:t xml:space="preserve">Il contributo della sola componente di Intelligenza Artificiale alla riduzione della spesa diretta si ottiene confrontando i risparmi sanitari diretti della configurazione tecnologica con quelli del modello di base, a parità di copertura. Nel modello di base, i risparmi sanitari diretti per il Servizio Sanitario Regionale si collocano a regime su un valore centrale prossimo a 270 milioni di euro annui, generati dai cinque meccanismi documentati — la riduzione degli accessi impropri al pronto soccorso, la diminuzione delle prescrizioni farmaceutiche inappropriate, la razionalizzazione degli esami diagnostici non necessari, l’ottimizzazione delle visite specialistiche superflue e la riduzione del carico improprio sui servizi di salute mentale specialistici. L’innesto della componente di Intelligenza Artificiale, agendo come moltiplicatore dell’intensità di questi medesimi meccanismi secondo i canali individuati nella Parte III, porta i risparmi diretti annui a un valore dell’ordine di 300–330 milioni al quinto anno e fino a 360–400 milioni al decimo, configurando un incremento dell’ordine di 60–80 milioni di euro annui rispetto allo scenario privo di tecnologia.</w:t>
      </w:r>
    </w:p>
    <w:p>
      <w:pPr>
        <w:pStyle w:val="BodyText"/>
      </w:pPr>
      <w:r>
        <w:t xml:space="preserve">Questo incremento va interpretato con esattezza, ricondotto ai meccanismi che lo producono. Esso non deriva da una fonte di risparmio nuova e autonoma, ma dall’amplificazione dei cinque meccanismi del modello di base: l’estensione della funzione di filtro operata dagli strumenti digitali terapeutici di primo livello, che accresce la quota di domanda intercettata a monte e riduce il carico specialistico; il potenziamento dell’intercettazione precoce operato dalla stratificazione del rischio; il recupero di capacità clinica operato dall’automazione documentale, che accresce il numero di persone servite a parità di organico; l’estensione dell’accesso e la prevenzione della ricaduta operate dalla telepsicologia e dal sostegno al mantenimento; e, sul versante della medicina generale, l’appropriatezza operata dal supporto alla decisione, che riduce esami e visite specialistiche non necessari. Rapportato al costo a regime della componente tecnologica, dell’ordine di 1,1–1,3 milioni di euro annui, l’incremento di 60–80 milioni esprime un rapporto fra beneficio incrementale e costo incrementale di ordine di grandezza elevatissimo, compreso, a seconda dello scenario, fra alcune decine e oltre cento a uno.</w:t>
      </w:r>
    </w:p>
    <w:p>
      <w:pPr>
        <w:pStyle w:val="BodyText"/>
      </w:pPr>
      <w:r>
        <w:t xml:space="preserve">Tale rapporto, per quanto cospicuo, va letto con la prudenza che la sua stessa entità impone, e non assunto acriticamente. Esso è elevato non perché il beneficio sia smisurato, ma perché il costo operativo della tecnologia è contenuto, e riflette l’effetto di parziale autofinanziamento già richiamato: l’automazione dei compiti amministrativi riduce di per sé i costi operativi diretti di un importo dell’ordine di 1,3 milioni di euro annui, che eccede il costo operativo della tecnologia stessa. Il rapporto, inoltre, è condizionato al realizzarsi del beneficio, che a sua volta dipende dalla profondità dell’adozione e dalla competenza del personale: è la dipendenza, costantemente emersa, del rendimento tecnologico dalla formazione, che il sottocapitolo successivo quantifica. La tabella seguente riepiloga il contributo della componente di Intelligenza Artificiale ai risparmi diretti, per orizzonte temporale e nello scenario centrale.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color w:val="FFFFFF"/>
                <w:sz w:val="18"/>
              </w:rPr>
              <w:t xml:space="preserve">Orizzonte</w:t>
            </w:r>
          </w:p>
        </w:tc>
        <w:tc>
          <w:tcPr>
            <w:shd w:val="clear" w:color="auto" w:fill="16264B"/>
          </w:tcPr>
          <w:p>
            <w:pPr>
              <w:pStyle w:val="Compact"/>
              <w:spacing w:after="40" w:before="40"/>
              <w:jc w:val="left"/>
            </w:pPr>
            <w:r>
              <w:rPr>
                <w:rFonts w:ascii="Cambria" w:hAnsi="Cambria" w:cs="Cambria" w:eastAsia="Cambria"/>
                <w:b/>
                <w:color w:val="FFFFFF"/>
                <w:sz w:val="18"/>
              </w:rPr>
              <w:t xml:space="preserve">Risparmi diretti modello base (mln)</w:t>
            </w:r>
          </w:p>
        </w:tc>
        <w:tc>
          <w:tcPr>
            <w:shd w:val="clear" w:color="auto" w:fill="16264B"/>
          </w:tcPr>
          <w:p>
            <w:pPr>
              <w:pStyle w:val="Compact"/>
              <w:spacing w:after="40" w:before="40"/>
              <w:jc w:val="left"/>
            </w:pPr>
            <w:r>
              <w:rPr>
                <w:rFonts w:ascii="Cambria" w:hAnsi="Cambria" w:cs="Cambria" w:eastAsia="Cambria"/>
                <w:b/>
                <w:color w:val="FFFFFF"/>
                <w:sz w:val="18"/>
              </w:rPr>
              <w:t xml:space="preserve">Risparmi diretti con IA (mln)</w:t>
            </w:r>
          </w:p>
        </w:tc>
        <w:tc>
          <w:tcPr>
            <w:shd w:val="clear" w:color="auto" w:fill="16264B"/>
          </w:tcPr>
          <w:p>
            <w:pPr>
              <w:pStyle w:val="Compact"/>
              <w:spacing w:after="40" w:before="40"/>
              <w:jc w:val="left"/>
            </w:pPr>
            <w:r>
              <w:rPr>
                <w:rFonts w:ascii="Cambria" w:hAnsi="Cambria" w:cs="Cambria" w:eastAsia="Cambria"/>
                <w:b/>
                <w:color w:val="FFFFFF"/>
                <w:sz w:val="18"/>
              </w:rPr>
              <w:t xml:space="preserve">Incremento imputabile all’IA (mln)</w:t>
            </w:r>
          </w:p>
        </w:tc>
      </w:tr>
      <w:tr>
        <w:tc>
          <w:tcPr/>
          <w:p>
            <w:pPr>
              <w:pStyle w:val="Compact"/>
              <w:spacing w:after="40" w:before="40"/>
              <w:jc w:val="left"/>
            </w:pPr>
            <w:r>
              <w:rPr>
                <w:rFonts w:ascii="Cambria" w:hAnsi="Cambria" w:cs="Cambria" w:eastAsia="Cambria"/>
                <w:color w:val="1A1A1A"/>
                <w:sz w:val="18"/>
              </w:rPr>
              <w:t xml:space="preserve">Anno 5 (regime)</w:t>
            </w:r>
          </w:p>
        </w:tc>
        <w:tc>
          <w:tcPr/>
          <w:p>
            <w:pPr>
              <w:pStyle w:val="Compact"/>
              <w:spacing w:after="40" w:before="40"/>
              <w:jc w:val="left"/>
            </w:pPr>
            <w:r>
              <w:rPr>
                <w:rFonts w:ascii="Cambria" w:hAnsi="Cambria" w:cs="Cambria" w:eastAsia="Cambria"/>
                <w:color w:val="1A1A1A"/>
                <w:sz w:val="18"/>
              </w:rPr>
              <w:t xml:space="preserve">≈ 270</w:t>
            </w:r>
          </w:p>
        </w:tc>
        <w:tc>
          <w:tcPr/>
          <w:p>
            <w:pPr>
              <w:pStyle w:val="Compact"/>
              <w:spacing w:after="40" w:before="40"/>
              <w:jc w:val="left"/>
            </w:pPr>
            <w:r>
              <w:rPr>
                <w:rFonts w:ascii="Cambria" w:hAnsi="Cambria" w:cs="Cambria" w:eastAsia="Cambria"/>
                <w:color w:val="1A1A1A"/>
                <w:sz w:val="18"/>
              </w:rPr>
              <w:t xml:space="preserve">300 – 330</w:t>
            </w:r>
          </w:p>
        </w:tc>
        <w:tc>
          <w:tcPr/>
          <w:p>
            <w:pPr>
              <w:pStyle w:val="Compact"/>
              <w:spacing w:after="40" w:before="40"/>
              <w:jc w:val="left"/>
            </w:pPr>
            <w:r>
              <w:rPr>
                <w:rFonts w:ascii="Cambria" w:hAnsi="Cambria" w:cs="Cambria" w:eastAsia="Cambria"/>
                <w:color w:val="1A1A1A"/>
                <w:sz w:val="18"/>
              </w:rPr>
              <w:t xml:space="preserve">+ 30 – 60</w:t>
            </w:r>
          </w:p>
        </w:tc>
      </w:tr>
      <w:tr>
        <w:tc>
          <w:tcPr>
            <w:shd w:val="clear" w:color="auto" w:fill="F4F1EC"/>
          </w:tcPr>
          <w:p>
            <w:pPr>
              <w:pStyle w:val="Compact"/>
              <w:spacing w:after="40" w:before="40"/>
              <w:jc w:val="left"/>
            </w:pPr>
            <w:r>
              <w:rPr>
                <w:rFonts w:ascii="Cambria" w:hAnsi="Cambria" w:cs="Cambria" w:eastAsia="Cambria"/>
                <w:color w:val="1A1A1A"/>
                <w:sz w:val="18"/>
              </w:rPr>
              <w:t xml:space="preserve">Anno 10 (regime maturo)</w:t>
            </w:r>
          </w:p>
        </w:tc>
        <w:tc>
          <w:tcPr>
            <w:shd w:val="clear" w:color="auto" w:fill="F4F1EC"/>
          </w:tcPr>
          <w:p>
            <w:pPr>
              <w:pStyle w:val="Compact"/>
              <w:spacing w:after="40" w:before="40"/>
              <w:jc w:val="left"/>
            </w:pPr>
            <w:r>
              <w:rPr>
                <w:rFonts w:ascii="Cambria" w:hAnsi="Cambria" w:cs="Cambria" w:eastAsia="Cambria"/>
                <w:color w:val="1A1A1A"/>
                <w:sz w:val="18"/>
              </w:rPr>
              <w:t xml:space="preserve">≈ 290 – 330</w:t>
            </w:r>
          </w:p>
        </w:tc>
        <w:tc>
          <w:tcPr>
            <w:shd w:val="clear" w:color="auto" w:fill="F4F1EC"/>
          </w:tcPr>
          <w:p>
            <w:pPr>
              <w:pStyle w:val="Compact"/>
              <w:spacing w:after="40" w:before="40"/>
              <w:jc w:val="left"/>
            </w:pPr>
            <w:r>
              <w:rPr>
                <w:rFonts w:ascii="Cambria" w:hAnsi="Cambria" w:cs="Cambria" w:eastAsia="Cambria"/>
                <w:color w:val="1A1A1A"/>
                <w:sz w:val="18"/>
              </w:rPr>
              <w:t xml:space="preserve">360 – 400</w:t>
            </w:r>
          </w:p>
        </w:tc>
        <w:tc>
          <w:tcPr>
            <w:shd w:val="clear" w:color="auto" w:fill="F4F1EC"/>
          </w:tcPr>
          <w:p>
            <w:pPr>
              <w:pStyle w:val="Compact"/>
              <w:spacing w:after="40" w:before="40"/>
              <w:jc w:val="left"/>
            </w:pPr>
            <w:r>
              <w:rPr>
                <w:rFonts w:ascii="Cambria" w:hAnsi="Cambria" w:cs="Cambria" w:eastAsia="Cambria"/>
                <w:color w:val="1A1A1A"/>
                <w:sz w:val="18"/>
              </w:rPr>
              <w:t xml:space="preserve">+ 60 – 80</w:t>
            </w:r>
          </w:p>
        </w:tc>
      </w:tr>
    </w:tbl>
    <w:p>
      <w:pPr>
        <w:pStyle w:val="BodyText"/>
      </w:pPr>
      <w:r>
        <w:rPr>
          <w:i/>
          <w:iCs/>
        </w:rPr>
        <w:t xml:space="preserve">Tabella 7.1 — Contributo della sola componente di Intelligenza Artificiale ai risparmi sanitari diretti, scenario centrale, in euro/anno. L’incremento è calcolato a parità di copertura assistenziale, come differenza rispetto al modello base.</w:t>
      </w:r>
    </w:p>
    <w:bookmarkEnd w:id="1388"/>
    <w:bookmarkStart w:id="1389" w:name="X12983485e60c92eb34d08d6a398b8ea538dc620"/>
    <w:p>
      <w:pPr>
        <w:pStyle w:val="Heading4"/>
      </w:pPr>
      <w:r>
        <w:t xml:space="preserve">VII.3 Il contributo della formazione: il delta formativo</w:t>
      </w:r>
    </w:p>
    <w:p>
      <w:pPr>
        <w:pStyle w:val="FirstParagraph"/>
      </w:pPr>
      <w:r>
        <w:t xml:space="preserve">Il contributo specificamente imputabile alla formazione costituisce il fulcro analitico della quantificazione, poiché su di esso si concentra la decisione ancora aperta circa la configurazione formativa da adottare, e poiché esso misura il rendimento proprio dell’investimento in competenza. Tale contributo è misurato come delta formativo, ossia come differenza fra i risparmi che il servizio cattura disponendo di una formazione strutturata e quelli che cattura disponendo della sola formazione minima o spontanea, a parità di strumenti tecnologici disponibili. La misura è dunque, anch’essa, differenziale: essa isola l’effetto della formazione tenendo costante la dotazione tecnologica, e risponde alla domanda di quanto la competenza del personale accresca la quota del potenziale tecnologico che si traduce in risparmio effettivo. Il delta formativo si colloca, a piena maturità, in un intervallo dell’ordine di 28–56 milioni di euro annui, con un valore centrale prossimo a 31 milioni.</w:t>
      </w:r>
    </w:p>
    <w:p>
      <w:pPr>
        <w:pStyle w:val="BodyText"/>
      </w:pPr>
      <w:r>
        <w:t xml:space="preserve">Il significato di questa grandezza è decisivo e va esplicitato. Essa documenta che la tecnologia, in assenza di una formazione strutturata, esprime soltanto una frazione del proprio potenziale: la differenza fra la frazione catturata con formazione adeguata e quella catturata senza di essa è precisamente il delta formativo, ossia il risparmio che andrebbe perduto ove la tecnologia fosse introdotta senza un corrispondente investimento nella competenza del personale. Rapportato al costo del programma formativo, dell’ordine di 4 milioni di euro annui a regime, il delta formativo esprime un ritorno dell’ordine di sette-otto euro per ogni euro investito nella formazione: un rendimento che colloca l’investimento formativo fra i più efficienti dell’intero programma, e che ne giustifica la priorità. È questo il dato che risponde, sul piano economico, alla questione della configurazione formativa: la formazione non è un costo accessorio della tecnologia, ma il fattore che ne moltiplica il rendimento, e il suo ritorno è di entità tale da renderla la leva più conveniente fra quelle disponibili.</w:t>
      </w:r>
    </w:p>
    <w:p>
      <w:pPr>
        <w:pStyle w:val="BodyText"/>
      </w:pPr>
      <w:r>
        <w:t xml:space="preserve">Da questa quantificazione discende l’indicazione, già anticipata e ora fondata sui numeri, circa le quattro modalità formative. Poiché il rendimento della formazione è elevato e poiché le quattro modalità — universitaria, post-universitaria, lavorativa e di accompagnamento — agiscono su piani complementari e non concorrenti, la configurazione economicamente ottimale non è la scelta di una modalità a esclusione delle altre, ma la loro combinazione: la formazione post-universitaria genera la quota maggiore del delta a breve termine, agendo sullo stock del personale già in servizio; la formazione universitaria assicura il rendimento strutturale e duraturo sul flusso dei nuovi professionisti; la formazione lavorativa continua mantiene il rendimento nel tempo, contrastandone il decadimento al passo con l’evoluzione degli strumenti; e l’accompagnamento di figure competenti opera come moltiplicatore trasversale, convertendo la competenza teorica in adozione effettiva nei flussi di lavoro e collocando il risultato nella parte alta dell’intervallo. La tabella seguente riepiloga il delta formativo per scenario, a regime.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color w:val="FFFFFF"/>
                <w:sz w:val="18"/>
              </w:rPr>
              <w:t xml:space="preserve">Scenario</w:t>
            </w:r>
          </w:p>
        </w:tc>
        <w:tc>
          <w:tcPr>
            <w:shd w:val="clear" w:color="auto" w:fill="16264B"/>
          </w:tcPr>
          <w:p>
            <w:pPr>
              <w:pStyle w:val="Compact"/>
              <w:spacing w:after="40" w:before="40"/>
              <w:jc w:val="left"/>
            </w:pPr>
            <w:r>
              <w:rPr>
                <w:rFonts w:ascii="Cambria" w:hAnsi="Cambria" w:cs="Cambria" w:eastAsia="Cambria"/>
                <w:b/>
                <w:color w:val="FFFFFF"/>
                <w:sz w:val="18"/>
              </w:rPr>
              <w:t xml:space="preserve">Delta formativo (mln/anno)</w:t>
            </w:r>
          </w:p>
        </w:tc>
        <w:tc>
          <w:tcPr>
            <w:shd w:val="clear" w:color="auto" w:fill="16264B"/>
          </w:tcPr>
          <w:p>
            <w:pPr>
              <w:pStyle w:val="Compact"/>
              <w:spacing w:after="40" w:before="40"/>
              <w:jc w:val="left"/>
            </w:pPr>
            <w:r>
              <w:rPr>
                <w:rFonts w:ascii="Cambria" w:hAnsi="Cambria" w:cs="Cambria" w:eastAsia="Cambria"/>
                <w:b/>
                <w:color w:val="FFFFFF"/>
                <w:sz w:val="18"/>
              </w:rPr>
              <w:t xml:space="preserve">Costo del programma formativo (mln/anno)</w:t>
            </w:r>
          </w:p>
        </w:tc>
        <w:tc>
          <w:tcPr>
            <w:shd w:val="clear" w:color="auto" w:fill="16264B"/>
          </w:tcPr>
          <w:p>
            <w:pPr>
              <w:pStyle w:val="Compact"/>
              <w:spacing w:after="40" w:before="40"/>
              <w:jc w:val="left"/>
            </w:pPr>
            <w:r>
              <w:rPr>
                <w:rFonts w:ascii="Cambria" w:hAnsi="Cambria" w:cs="Cambria" w:eastAsia="Cambria"/>
                <w:b/>
                <w:color w:val="FFFFFF"/>
                <w:sz w:val="18"/>
              </w:rPr>
              <w:t xml:space="preserve">Ritorno per euro investito</w:t>
            </w:r>
          </w:p>
        </w:tc>
      </w:tr>
      <w:tr>
        <w:tc>
          <w:tcPr/>
          <w:p>
            <w:pPr>
              <w:pStyle w:val="Compact"/>
              <w:spacing w:after="40" w:before="40"/>
              <w:jc w:val="left"/>
            </w:pPr>
            <w:r>
              <w:rPr>
                <w:rFonts w:ascii="Cambria" w:hAnsi="Cambria" w:cs="Cambria" w:eastAsia="Cambria"/>
                <w:color w:val="1A1A1A"/>
                <w:sz w:val="18"/>
              </w:rPr>
              <w:t xml:space="preserve">Conservativo</w:t>
            </w:r>
          </w:p>
        </w:tc>
        <w:tc>
          <w:tcPr/>
          <w:p>
            <w:pPr>
              <w:pStyle w:val="Compact"/>
              <w:spacing w:after="40" w:before="40"/>
              <w:jc w:val="left"/>
            </w:pPr>
            <w:r>
              <w:rPr>
                <w:rFonts w:ascii="Cambria" w:hAnsi="Cambria" w:cs="Cambria" w:eastAsia="Cambria"/>
                <w:color w:val="1A1A1A"/>
                <w:sz w:val="18"/>
              </w:rPr>
              <w:t xml:space="preserve">≈ 15 – 22</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4 – 5 : 1</w:t>
            </w:r>
          </w:p>
        </w:tc>
      </w:tr>
      <w:tr>
        <w:tc>
          <w:tcPr>
            <w:shd w:val="clear" w:color="auto" w:fill="F4F1EC"/>
          </w:tcPr>
          <w:p>
            <w:pPr>
              <w:pStyle w:val="Compact"/>
              <w:spacing w:after="40" w:before="40"/>
              <w:jc w:val="left"/>
            </w:pPr>
            <w:r>
              <w:rPr>
                <w:rFonts w:ascii="Cambria" w:hAnsi="Cambria" w:cs="Cambria" w:eastAsia="Cambria"/>
                <w:color w:val="1A1A1A"/>
                <w:sz w:val="18"/>
              </w:rPr>
              <w:t xml:space="preserve">Centrale</w:t>
            </w:r>
          </w:p>
        </w:tc>
        <w:tc>
          <w:tcPr>
            <w:shd w:val="clear" w:color="auto" w:fill="F4F1EC"/>
          </w:tcPr>
          <w:p>
            <w:pPr>
              <w:pStyle w:val="Compact"/>
              <w:spacing w:after="40" w:before="40"/>
              <w:jc w:val="left"/>
            </w:pPr>
            <w:r>
              <w:rPr>
                <w:rFonts w:ascii="Cambria" w:hAnsi="Cambria" w:cs="Cambria" w:eastAsia="Cambria"/>
                <w:color w:val="1A1A1A"/>
                <w:sz w:val="18"/>
              </w:rPr>
              <w:t xml:space="preserve">≈ 28 – 31</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7 – 8 : 1</w:t>
            </w:r>
          </w:p>
        </w:tc>
      </w:tr>
      <w:tr>
        <w:tc>
          <w:tcPr/>
          <w:p>
            <w:pPr>
              <w:pStyle w:val="Compact"/>
              <w:spacing w:after="40" w:before="40"/>
              <w:jc w:val="left"/>
            </w:pPr>
            <w:r>
              <w:rPr>
                <w:rFonts w:ascii="Cambria" w:hAnsi="Cambria" w:cs="Cambria" w:eastAsia="Cambria"/>
                <w:color w:val="1A1A1A"/>
                <w:sz w:val="18"/>
              </w:rPr>
              <w:t xml:space="preserve">Espansivo</w:t>
            </w:r>
          </w:p>
        </w:tc>
        <w:tc>
          <w:tcPr/>
          <w:p>
            <w:pPr>
              <w:pStyle w:val="Compact"/>
              <w:spacing w:after="40" w:before="40"/>
              <w:jc w:val="left"/>
            </w:pPr>
            <w:r>
              <w:rPr>
                <w:rFonts w:ascii="Cambria" w:hAnsi="Cambria" w:cs="Cambria" w:eastAsia="Cambria"/>
                <w:color w:val="1A1A1A"/>
                <w:sz w:val="18"/>
              </w:rPr>
              <w:t xml:space="preserve">≈ 45 – 56</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11 – 14 : 1</w:t>
            </w:r>
          </w:p>
        </w:tc>
      </w:tr>
    </w:tbl>
    <w:p>
      <w:pPr>
        <w:pStyle w:val="BodyText"/>
      </w:pPr>
      <w:r>
        <w:rPr>
          <w:i/>
          <w:iCs/>
        </w:rPr>
        <w:t xml:space="preserve">Tabella 7.2 — Delta formativo, ossia risparmio diretto aggiuntivo imputabile alla formazione strutturata rispetto alla formazione minima, a parità di strumenti, per scenario, in euro/anno.</w:t>
      </w:r>
    </w:p>
    <w:bookmarkEnd w:id="1389"/>
    <w:bookmarkStart w:id="1390" w:name="Xf35354b4e13e24e3a6c1de3856de46d0877fed4"/>
    <w:p>
      <w:pPr>
        <w:pStyle w:val="Heading4"/>
      </w:pPr>
      <w:r>
        <w:t xml:space="preserve">VII.4 L’ulteriore riduzione complessiva della spesa diretta, per scenario</w:t>
      </w:r>
    </w:p>
    <w:p>
      <w:pPr>
        <w:pStyle w:val="FirstParagraph"/>
      </w:pPr>
      <w:r>
        <w:t xml:space="preserve">La somma dei due contributi incrementali — quello tecnologico e quello formativo — rappresenta l’ulteriore riduzione complessiva della spesa sanitaria diretta che la Puglia consegue impiegando anche l’Intelligenza Artificiale e formando il proprio personale al suo uso. Questa somma, come stabilito dal principio di non duplicazione, non è la somma aritmetica dei due contributi, poiché le due leve incidono in parte sulle medesime voci di risparmio e in parte si potenziano a vicenda: il delta formativo, in particolare, misura la quota del potenziale tecnologico che la formazione consente di catturare, ed è perciò in parte già implicito nella realizzazione del contributo tecnologico. La riga complessiva tiene conto, prudenzialmente, di tale sovrapposizione, e colloca l’ulteriore riduzione complessiva, a regime e nello scenario centrale, in un intervallo dell’ordine di 80–110 milioni di euro annui, entro un ventaglio che va da 45–75 milioni nello scenario conservativo a 130–187 milioni nello scenario espansivo.</w:t>
      </w:r>
    </w:p>
    <w:p>
      <w:pPr>
        <w:pStyle w:val="BodyText"/>
      </w:pPr>
      <w:r>
        <w:t xml:space="preserve">Per effetto di tale ulteriore riduzione, i risparmi diretti complessivi del programma integrato salgono dal valore centrale di circa 270 milioni del solo modello di base a un intervallo dell’ordine di 315–350 milioni a regime, con potenziale di crescita fino a 360–400 milioni all’orizzonte decennale per effetto dell’assorbimento, da parte della tecnologia, della maggiore domanda generata dall’invecchiamento e dalla crescita della multimorbilità. È questo, in termini di grandezza, il guadagno che l’innesto dell’Intelligenza Artificiale e della formazione aggiunge al ritorno già conseguito dal modello di base. Rapportato al costo incrementale delle due leve — dell’ordine di 5,3 milioni di euro annui nello scenario centrale, somma del costo operativo della tecnologia e del costo del programma formativo — l’ulteriore riduzione complessiva esprime un rapporto fra beneficio incrementale e costo incrementale dell’ordine di quindici-ventuno a uno nello scenario centrale, e compreso fra circa nove a uno nello scenario conservativo e oltre venti a uno in quello espansivo.</w:t>
      </w:r>
    </w:p>
    <w:p>
      <w:pPr>
        <w:pStyle w:val="BodyText"/>
      </w:pPr>
      <w:r>
        <w:t xml:space="preserve">Questo rapporto incrementale, distinto e assai più elevato del rapporto fra benefici e costi del modello di base — che si colloca nella banda prudenziale adottata nell’intero progetto — richiede una lettura attenta e onesta. Esso è elevato perché il costo incrementale delle due leve è contenuto rispetto al risparmio che esse sbloccano, e riflette la natura propria del contributo tecnologico e formativo, che non è quella di un servizio aggiuntivo costoso, ma quella di un moltiplicatore dell’efficacia di un servizio già in essere. Esso è tuttavia condizionato, in misura determinante, al realizzarsi del risparmio, che dipende dalla profondità dell’adozione e dalla qualità della formazione: è precisamente la sensibilità del risultato a tali condizioni, e l’esistenza di un limite inferiore al di sotto del quale il rapporto si riduce sensibilmente, che i sottocapitoli VII.5 e VII.7 esaminano. La tabella seguente scompone l’ulteriore riduzione complessiva della spesa diretta per leva e per scenario, a regime.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color w:val="FFFFFF"/>
                <w:sz w:val="18"/>
              </w:rPr>
              <w:t xml:space="preserve">Componente incrementale</w:t>
            </w:r>
          </w:p>
        </w:tc>
        <w:tc>
          <w:tcPr>
            <w:shd w:val="clear" w:color="auto" w:fill="16264B"/>
          </w:tcPr>
          <w:p>
            <w:pPr>
              <w:pStyle w:val="Compact"/>
              <w:spacing w:after="40" w:before="40"/>
              <w:jc w:val="left"/>
            </w:pPr>
            <w:r>
              <w:rPr>
                <w:rFonts w:ascii="Cambria" w:hAnsi="Cambria" w:cs="Cambria" w:eastAsia="Cambria"/>
                <w:b/>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color w:val="FFFFFF"/>
                <w:sz w:val="18"/>
              </w:rPr>
              <w:t xml:space="preserve">Centrale</w:t>
            </w:r>
          </w:p>
        </w:tc>
        <w:tc>
          <w:tcPr>
            <w:shd w:val="clear" w:color="auto" w:fill="16264B"/>
          </w:tcPr>
          <w:p>
            <w:pPr>
              <w:pStyle w:val="Compact"/>
              <w:spacing w:after="40" w:before="40"/>
              <w:jc w:val="left"/>
            </w:pPr>
            <w:r>
              <w:rPr>
                <w:rFonts w:ascii="Cambria" w:hAnsi="Cambria" w:cs="Cambria" w:eastAsia="Cambria"/>
                <w:b/>
                <w:color w:val="FFFFFF"/>
                <w:sz w:val="18"/>
              </w:rPr>
              <w:t xml:space="preserve">Espansivo</w:t>
            </w:r>
          </w:p>
        </w:tc>
      </w:tr>
      <w:tr>
        <w:tc>
          <w:tcPr/>
          <w:p>
            <w:pPr>
              <w:pStyle w:val="Compact"/>
              <w:spacing w:after="40" w:before="40"/>
              <w:jc w:val="left"/>
            </w:pPr>
            <w:r>
              <w:rPr>
                <w:rFonts w:ascii="Cambria" w:hAnsi="Cambria" w:cs="Cambria" w:eastAsia="Cambria"/>
                <w:color w:val="1A1A1A"/>
                <w:sz w:val="18"/>
              </w:rPr>
              <w:t xml:space="preserve">Contributo Intelligenza Artificiale</w:t>
            </w:r>
          </w:p>
        </w:tc>
        <w:tc>
          <w:tcPr/>
          <w:p>
            <w:pPr>
              <w:pStyle w:val="Compact"/>
              <w:spacing w:after="40" w:before="40"/>
              <w:jc w:val="left"/>
            </w:pPr>
            <w:r>
              <w:rPr>
                <w:rFonts w:ascii="Cambria" w:hAnsi="Cambria" w:cs="Cambria" w:eastAsia="Cambria"/>
                <w:color w:val="1A1A1A"/>
                <w:sz w:val="18"/>
              </w:rPr>
              <w:t xml:space="preserve">≈ 30 – 60 mln</w:t>
            </w:r>
          </w:p>
        </w:tc>
        <w:tc>
          <w:tcPr/>
          <w:p>
            <w:pPr>
              <w:pStyle w:val="Compact"/>
              <w:spacing w:after="40" w:before="40"/>
              <w:jc w:val="left"/>
            </w:pPr>
            <w:r>
              <w:rPr>
                <w:rFonts w:ascii="Cambria" w:hAnsi="Cambria" w:cs="Cambria" w:eastAsia="Cambria"/>
                <w:color w:val="1A1A1A"/>
                <w:sz w:val="18"/>
              </w:rPr>
              <w:t xml:space="preserve">≈ 60 – 80 mln</w:t>
            </w:r>
          </w:p>
        </w:tc>
        <w:tc>
          <w:tcPr/>
          <w:p>
            <w:pPr>
              <w:pStyle w:val="Compact"/>
              <w:spacing w:after="40" w:before="40"/>
              <w:jc w:val="left"/>
            </w:pPr>
            <w:r>
              <w:rPr>
                <w:rFonts w:ascii="Cambria" w:hAnsi="Cambria" w:cs="Cambria" w:eastAsia="Cambria"/>
                <w:color w:val="1A1A1A"/>
                <w:sz w:val="18"/>
              </w:rPr>
              <w:t xml:space="preserve">≈ 90 – 130 mln</w:t>
            </w:r>
          </w:p>
        </w:tc>
      </w:tr>
      <w:tr>
        <w:tc>
          <w:tcPr>
            <w:shd w:val="clear" w:color="auto" w:fill="F4F1EC"/>
          </w:tcPr>
          <w:p>
            <w:pPr>
              <w:pStyle w:val="Compact"/>
              <w:spacing w:after="40" w:before="40"/>
              <w:jc w:val="left"/>
            </w:pPr>
            <w:r>
              <w:rPr>
                <w:rFonts w:ascii="Cambria" w:hAnsi="Cambria" w:cs="Cambria" w:eastAsia="Cambria"/>
                <w:color w:val="1A1A1A"/>
                <w:sz w:val="18"/>
              </w:rPr>
              <w:t xml:space="preserve">Delta formativo</w:t>
            </w:r>
          </w:p>
        </w:tc>
        <w:tc>
          <w:tcPr>
            <w:shd w:val="clear" w:color="auto" w:fill="F4F1EC"/>
          </w:tcPr>
          <w:p>
            <w:pPr>
              <w:pStyle w:val="Compact"/>
              <w:spacing w:after="40" w:before="40"/>
              <w:jc w:val="left"/>
            </w:pPr>
            <w:r>
              <w:rPr>
                <w:rFonts w:ascii="Cambria" w:hAnsi="Cambria" w:cs="Cambria" w:eastAsia="Cambria"/>
                <w:color w:val="1A1A1A"/>
                <w:sz w:val="18"/>
              </w:rPr>
              <w:t xml:space="preserve">≈ 15 – 22 mln</w:t>
            </w:r>
          </w:p>
        </w:tc>
        <w:tc>
          <w:tcPr>
            <w:shd w:val="clear" w:color="auto" w:fill="F4F1EC"/>
          </w:tcPr>
          <w:p>
            <w:pPr>
              <w:pStyle w:val="Compact"/>
              <w:spacing w:after="40" w:before="40"/>
              <w:jc w:val="left"/>
            </w:pPr>
            <w:r>
              <w:rPr>
                <w:rFonts w:ascii="Cambria" w:hAnsi="Cambria" w:cs="Cambria" w:eastAsia="Cambria"/>
                <w:color w:val="1A1A1A"/>
                <w:sz w:val="18"/>
              </w:rPr>
              <w:t xml:space="preserve">≈ 28 – 31 mln</w:t>
            </w:r>
          </w:p>
        </w:tc>
        <w:tc>
          <w:tcPr>
            <w:shd w:val="clear" w:color="auto" w:fill="F4F1EC"/>
          </w:tcPr>
          <w:p>
            <w:pPr>
              <w:pStyle w:val="Compact"/>
              <w:spacing w:after="40" w:before="40"/>
              <w:jc w:val="left"/>
            </w:pPr>
            <w:r>
              <w:rPr>
                <w:rFonts w:ascii="Cambria" w:hAnsi="Cambria" w:cs="Cambria" w:eastAsia="Cambria"/>
                <w:color w:val="1A1A1A"/>
                <w:sz w:val="18"/>
              </w:rPr>
              <w:t xml:space="preserve">≈ 45 – 56 mln</w:t>
            </w:r>
          </w:p>
        </w:tc>
      </w:tr>
      <w:tr>
        <w:tc>
          <w:tcPr/>
          <w:p>
            <w:pPr>
              <w:pStyle w:val="Compact"/>
              <w:spacing w:after="40" w:before="40"/>
              <w:jc w:val="left"/>
            </w:pPr>
            <w:r>
              <w:rPr>
                <w:rFonts w:ascii="Cambria" w:hAnsi="Cambria" w:cs="Cambria" w:eastAsia="Cambria"/>
                <w:color w:val="1A1A1A"/>
                <w:sz w:val="18"/>
              </w:rPr>
              <w:t xml:space="preserve">Ulteriore riduzione complessiva</w:t>
            </w:r>
          </w:p>
        </w:tc>
        <w:tc>
          <w:tcPr/>
          <w:p>
            <w:pPr>
              <w:pStyle w:val="Compact"/>
              <w:spacing w:after="40" w:before="40"/>
              <w:jc w:val="left"/>
            </w:pPr>
            <w:r>
              <w:rPr>
                <w:rFonts w:ascii="Cambria" w:hAnsi="Cambria" w:cs="Cambria" w:eastAsia="Cambria"/>
                <w:color w:val="1A1A1A"/>
                <w:sz w:val="18"/>
              </w:rPr>
              <w:t xml:space="preserve">≈ 45 – 75 mln</w:t>
            </w:r>
          </w:p>
        </w:tc>
        <w:tc>
          <w:tcPr/>
          <w:p>
            <w:pPr>
              <w:pStyle w:val="Compact"/>
              <w:spacing w:after="40" w:before="40"/>
              <w:jc w:val="left"/>
            </w:pPr>
            <w:r>
              <w:rPr>
                <w:rFonts w:ascii="Cambria" w:hAnsi="Cambria" w:cs="Cambria" w:eastAsia="Cambria"/>
                <w:color w:val="1A1A1A"/>
                <w:sz w:val="18"/>
              </w:rPr>
              <w:t xml:space="preserve">≈ 80 – 110 mln</w:t>
            </w:r>
          </w:p>
        </w:tc>
        <w:tc>
          <w:tcPr/>
          <w:p>
            <w:pPr>
              <w:pStyle w:val="Compact"/>
              <w:spacing w:after="40" w:before="40"/>
              <w:jc w:val="left"/>
            </w:pPr>
            <w:r>
              <w:rPr>
                <w:rFonts w:ascii="Cambria" w:hAnsi="Cambria" w:cs="Cambria" w:eastAsia="Cambria"/>
                <w:color w:val="1A1A1A"/>
                <w:sz w:val="18"/>
              </w:rPr>
              <w:t xml:space="preserve">≈ 130 – 187 mln</w:t>
            </w:r>
          </w:p>
        </w:tc>
      </w:tr>
      <w:tr>
        <w:tc>
          <w:tcPr>
            <w:shd w:val="clear" w:color="auto" w:fill="F4F1EC"/>
          </w:tcPr>
          <w:p>
            <w:pPr>
              <w:pStyle w:val="Compact"/>
              <w:spacing w:after="40" w:before="40"/>
              <w:jc w:val="left"/>
            </w:pPr>
            <w:r>
              <w:rPr>
                <w:rFonts w:ascii="Cambria" w:hAnsi="Cambria" w:cs="Cambria" w:eastAsia="Cambria"/>
                <w:color w:val="1A1A1A"/>
                <w:sz w:val="18"/>
              </w:rPr>
              <w:t xml:space="preserve">Costo incrementale (IA + formazione)</w:t>
            </w:r>
          </w:p>
        </w:tc>
        <w:tc>
          <w:tcPr>
            <w:shd w:val="clear" w:color="auto" w:fill="F4F1EC"/>
          </w:tcPr>
          <w:p>
            <w:pPr>
              <w:pStyle w:val="Compact"/>
              <w:spacing w:after="40" w:before="40"/>
              <w:jc w:val="left"/>
            </w:pPr>
            <w:r>
              <w:rPr>
                <w:rFonts w:ascii="Cambria" w:hAnsi="Cambria" w:cs="Cambria" w:eastAsia="Cambria"/>
                <w:color w:val="1A1A1A"/>
                <w:sz w:val="18"/>
              </w:rPr>
              <w:t xml:space="preserve">≈ 5 mln</w:t>
            </w:r>
          </w:p>
        </w:tc>
        <w:tc>
          <w:tcPr>
            <w:shd w:val="clear" w:color="auto" w:fill="F4F1EC"/>
          </w:tcPr>
          <w:p>
            <w:pPr>
              <w:pStyle w:val="Compact"/>
              <w:spacing w:after="40" w:before="40"/>
              <w:jc w:val="left"/>
            </w:pPr>
            <w:r>
              <w:rPr>
                <w:rFonts w:ascii="Cambria" w:hAnsi="Cambria" w:cs="Cambria" w:eastAsia="Cambria"/>
                <w:color w:val="1A1A1A"/>
                <w:sz w:val="18"/>
              </w:rPr>
              <w:t xml:space="preserve">≈ 5,3 mln</w:t>
            </w:r>
          </w:p>
        </w:tc>
        <w:tc>
          <w:tcPr>
            <w:shd w:val="clear" w:color="auto" w:fill="F4F1EC"/>
          </w:tcPr>
          <w:p>
            <w:pPr>
              <w:pStyle w:val="Compact"/>
              <w:spacing w:after="40" w:before="40"/>
              <w:jc w:val="left"/>
            </w:pPr>
            <w:r>
              <w:rPr>
                <w:rFonts w:ascii="Cambria" w:hAnsi="Cambria" w:cs="Cambria" w:eastAsia="Cambria"/>
                <w:color w:val="1A1A1A"/>
                <w:sz w:val="18"/>
              </w:rPr>
              <w:t xml:space="preserve">≈ 5,5 mln</w:t>
            </w:r>
          </w:p>
        </w:tc>
      </w:tr>
      <w:tr>
        <w:tc>
          <w:tcPr/>
          <w:p>
            <w:pPr>
              <w:pStyle w:val="Compact"/>
              <w:spacing w:after="40" w:before="40"/>
              <w:jc w:val="left"/>
            </w:pPr>
            <w:r>
              <w:rPr>
                <w:rFonts w:ascii="Cambria" w:hAnsi="Cambria" w:cs="Cambria" w:eastAsia="Cambria"/>
                <w:color w:val="1A1A1A"/>
                <w:sz w:val="18"/>
              </w:rPr>
              <w:t xml:space="preserve">Rapporto beneficio/costo incrementale</w:t>
            </w:r>
          </w:p>
        </w:tc>
        <w:tc>
          <w:tcPr/>
          <w:p>
            <w:pPr>
              <w:pStyle w:val="Compact"/>
              <w:spacing w:after="40" w:before="40"/>
              <w:jc w:val="left"/>
            </w:pPr>
            <w:r>
              <w:rPr>
                <w:rFonts w:ascii="Cambria" w:hAnsi="Cambria" w:cs="Cambria" w:eastAsia="Cambria"/>
                <w:color w:val="1A1A1A"/>
                <w:sz w:val="18"/>
              </w:rPr>
              <w:t xml:space="preserve">≈ 9 – 15 : 1</w:t>
            </w:r>
          </w:p>
        </w:tc>
        <w:tc>
          <w:tcPr/>
          <w:p>
            <w:pPr>
              <w:pStyle w:val="Compact"/>
              <w:spacing w:after="40" w:before="40"/>
              <w:jc w:val="left"/>
            </w:pPr>
            <w:r>
              <w:rPr>
                <w:rFonts w:ascii="Cambria" w:hAnsi="Cambria" w:cs="Cambria" w:eastAsia="Cambria"/>
                <w:color w:val="1A1A1A"/>
                <w:sz w:val="18"/>
              </w:rPr>
              <w:t xml:space="preserve">≈ 15 – 21 : 1</w:t>
            </w:r>
          </w:p>
        </w:tc>
        <w:tc>
          <w:tcPr/>
          <w:p>
            <w:pPr>
              <w:pStyle w:val="Compact"/>
              <w:spacing w:after="40" w:before="40"/>
              <w:jc w:val="left"/>
            </w:pPr>
            <w:r>
              <w:rPr>
                <w:rFonts w:ascii="Cambria" w:hAnsi="Cambria" w:cs="Cambria" w:eastAsia="Cambria"/>
                <w:color w:val="1A1A1A"/>
                <w:sz w:val="18"/>
              </w:rPr>
              <w:t xml:space="preserve">≈ 24 – 34 : 1</w:t>
            </w:r>
          </w:p>
        </w:tc>
      </w:tr>
    </w:tbl>
    <w:p>
      <w:pPr>
        <w:pStyle w:val="BodyText"/>
      </w:pPr>
      <w:r>
        <w:rPr>
          <w:i/>
          <w:iCs/>
        </w:rPr>
        <w:t xml:space="preserve">Tabella 7.3 — Ulteriore riduzione della spesa sanitaria diretta imputabile a Intelligenza Artificiale e formazione, a regime, per scenario, in euro/anno. La riga complessiva tiene conto, prudenzialmente, della parziale sovrapposizione fra le leve e non coincide con la somma delle due righe superiori.</w:t>
      </w:r>
    </w:p>
    <w:bookmarkEnd w:id="1390"/>
    <w:bookmarkStart w:id="1391" w:name="X594ca3393f4fe93834bac9163abda9e94f96401"/>
    <w:p>
      <w:pPr>
        <w:pStyle w:val="Heading4"/>
      </w:pPr>
      <w:r>
        <w:t xml:space="preserve">VII.5 Il profilo temporale e la sensibilità all’adozione</w:t>
      </w:r>
    </w:p>
    <w:p>
      <w:pPr>
        <w:pStyle w:val="FirstParagraph"/>
      </w:pPr>
      <w:r>
        <w:t xml:space="preserve">L’ulteriore riduzione della spesa non si manifesta integralmente sin dal primo anno, ma segue una curva di adozione governata dal dispiegamento progressivo dell’architettura formativa e dalla maturazione degli strumenti tecnologici. La distinzione fra il valore a regime e il profilo temporale è essenziale per la corretta programmazione di bilancio, poiché il decisore deve conoscere non soltanto il guadagno a piena maturità, ma la sua distribuzione nel tempo e l’onere di avvio che lo precede. Nel primo anno, a fronte dell’incidenza del costo di avvio — l’investimento una tantum nell’infrastruttura tecnologica e l’onere più elevato del programma formativo nella sua fase iniziale — l’ulteriore riduzione della spesa è ancora contenuta, dell’ordine di 8–15 milioni di euro, ma sufficiente a produrre un saldo incrementale già positivo sin dal primo esercizio. Al terzo anno, con un’adozione dell’ordine del sessanta-settanta per cento e con la maturazione della competenza del personale, l’ulteriore riduzione sale a 30–45 milioni; al quinto, a pieno regime, raggiunge i valori indicati nel sottocapitolo precedente; al decimo, con strumenti evoluti e competenze consolidate, il contributo incrementale può collocarsi su valori dell’ordine di 60–100 milioni di euro annui.</w:t>
      </w:r>
    </w:p>
    <w:p>
      <w:pPr>
        <w:pStyle w:val="BodyText"/>
      </w:pPr>
      <w:r>
        <w:t xml:space="preserve">La sensibilità del risultato alla profondità dell’adozione è elevata, e costituisce il dato di maggior rilievo per la decisione. Il fattore che determina la collocazione del risultato nella parte alta o nella parte bassa dell’intervallo non è la disponibilità degli strumenti, che è condizione necessaria ma non sufficiente, bensì la profondità con cui essi sono adottati e integrati nei flussi di lavoro clinici, la quale dipende a sua volta dalla formazione del personale. Un regime di formazione strutturata, che combini le quattro modalità secondo l’indicazione del sottocapitolo VII.3, determina un’adozione profonda e colloca il risultato nella parte alta dell’intervallo; un regime di formazione minima o spontanea determina un’adozione superficiale e colloca il risultato nella parte bassa, riducendo la quota di potenziale tecnologico effettivamente catturata. È precisamente questa sensibilità a costituire la ragione economica della priorità dell’investimento formativo: la formazione, di costo contenuto, è il fattore che converte un investimento tecnologico altrimenti sottoutilizzato in risparmio effettivo, e la sua assenza non riduce soltanto il delta formativo, ma deprime l’intero contributo tecnologico, collocandolo nella parte bassa del suo intervallo.</w:t>
      </w:r>
    </w:p>
    <w:p>
      <w:pPr>
        <w:pStyle w:val="BodyText"/>
      </w:pPr>
      <w:r>
        <w:t xml:space="preserve">La tabella seguente riepiloga il profilo temporale dell’ulteriore riduzione complessiva della spesa diretta nello scenario centrale, distinto per orizzonte, ponendo in evidenza la gradualità della manifestazione del beneficio e il suo rapporto con la curva di adozione.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color w:val="FFFFFF"/>
                <w:sz w:val="18"/>
              </w:rPr>
              <w:t xml:space="preserve">Orizzonte</w:t>
            </w:r>
          </w:p>
        </w:tc>
        <w:tc>
          <w:tcPr>
            <w:shd w:val="clear" w:color="auto" w:fill="16264B"/>
          </w:tcPr>
          <w:p>
            <w:pPr>
              <w:pStyle w:val="Compact"/>
              <w:spacing w:after="40" w:before="40"/>
              <w:jc w:val="left"/>
            </w:pPr>
            <w:r>
              <w:rPr>
                <w:rFonts w:ascii="Cambria" w:hAnsi="Cambria" w:cs="Cambria" w:eastAsia="Cambria"/>
                <w:b/>
                <w:color w:val="FFFFFF"/>
                <w:sz w:val="18"/>
              </w:rPr>
              <w:t xml:space="preserve">Adozione stimata</w:t>
            </w:r>
          </w:p>
        </w:tc>
        <w:tc>
          <w:tcPr>
            <w:shd w:val="clear" w:color="auto" w:fill="16264B"/>
          </w:tcPr>
          <w:p>
            <w:pPr>
              <w:pStyle w:val="Compact"/>
              <w:spacing w:after="40" w:before="40"/>
              <w:jc w:val="left"/>
            </w:pPr>
            <w:r>
              <w:rPr>
                <w:rFonts w:ascii="Cambria" w:hAnsi="Cambria" w:cs="Cambria" w:eastAsia="Cambria"/>
                <w:b/>
                <w:color w:val="FFFFFF"/>
                <w:sz w:val="18"/>
              </w:rPr>
              <w:t xml:space="preserve">Ulteriore riduzione diretta (mln/anno)</w:t>
            </w:r>
          </w:p>
        </w:tc>
        <w:tc>
          <w:tcPr>
            <w:shd w:val="clear" w:color="auto" w:fill="16264B"/>
          </w:tcPr>
          <w:p>
            <w:pPr>
              <w:pStyle w:val="Compact"/>
              <w:spacing w:after="40" w:before="40"/>
              <w:jc w:val="left"/>
            </w:pPr>
            <w:r>
              <w:rPr>
                <w:rFonts w:ascii="Cambria" w:hAnsi="Cambria" w:cs="Cambria" w:eastAsia="Cambria"/>
                <w:b/>
                <w:color w:val="FFFFFF"/>
                <w:sz w:val="18"/>
              </w:rPr>
              <w:t xml:space="preserve">Saldo incrementale</w:t>
            </w:r>
          </w:p>
        </w:tc>
      </w:tr>
      <w:tr>
        <w:tc>
          <w:tcPr/>
          <w:p>
            <w:pPr>
              <w:pStyle w:val="Compact"/>
              <w:spacing w:after="40" w:before="40"/>
              <w:jc w:val="left"/>
            </w:pPr>
            <w:r>
              <w:rPr>
                <w:rFonts w:ascii="Cambria" w:hAnsi="Cambria" w:cs="Cambria" w:eastAsia="Cambria"/>
                <w:color w:val="1A1A1A"/>
                <w:sz w:val="18"/>
              </w:rPr>
              <w:t xml:space="preserve">Anno 1</w:t>
            </w:r>
          </w:p>
        </w:tc>
        <w:tc>
          <w:tcPr/>
          <w:p>
            <w:pPr>
              <w:pStyle w:val="Compact"/>
              <w:spacing w:after="40" w:before="40"/>
              <w:jc w:val="left"/>
            </w:pPr>
            <w:r>
              <w:rPr>
                <w:rFonts w:ascii="Cambria" w:hAnsi="Cambria" w:cs="Cambria" w:eastAsia="Cambria"/>
                <w:color w:val="1A1A1A"/>
                <w:sz w:val="18"/>
              </w:rPr>
              <w:t xml:space="preserve">Avvio (~30%)</w:t>
            </w:r>
          </w:p>
        </w:tc>
        <w:tc>
          <w:tcPr/>
          <w:p>
            <w:pPr>
              <w:pStyle w:val="Compact"/>
              <w:spacing w:after="40" w:before="40"/>
              <w:jc w:val="left"/>
            </w:pPr>
            <w:r>
              <w:rPr>
                <w:rFonts w:ascii="Cambria" w:hAnsi="Cambria" w:cs="Cambria" w:eastAsia="Cambria"/>
                <w:color w:val="1A1A1A"/>
                <w:sz w:val="18"/>
              </w:rPr>
              <w:t xml:space="preserve">8 – 15</w:t>
            </w:r>
          </w:p>
        </w:tc>
        <w:tc>
          <w:tcPr/>
          <w:p>
            <w:pPr>
              <w:pStyle w:val="Compact"/>
              <w:spacing w:after="40" w:before="40"/>
              <w:jc w:val="left"/>
            </w:pPr>
            <w:r>
              <w:rPr>
                <w:rFonts w:ascii="Cambria" w:hAnsi="Cambria" w:cs="Cambria" w:eastAsia="Cambria"/>
                <w:color w:val="1A1A1A"/>
                <w:sz w:val="18"/>
              </w:rPr>
              <w:t xml:space="preserve">già positivo</w:t>
            </w:r>
          </w:p>
        </w:tc>
      </w:tr>
      <w:tr>
        <w:tc>
          <w:tcPr>
            <w:shd w:val="clear" w:color="auto" w:fill="F4F1EC"/>
          </w:tcPr>
          <w:p>
            <w:pPr>
              <w:pStyle w:val="Compact"/>
              <w:spacing w:after="40" w:before="40"/>
              <w:jc w:val="left"/>
            </w:pPr>
            <w:r>
              <w:rPr>
                <w:rFonts w:ascii="Cambria" w:hAnsi="Cambria" w:cs="Cambria" w:eastAsia="Cambria"/>
                <w:color w:val="1A1A1A"/>
                <w:sz w:val="18"/>
              </w:rPr>
              <w:t xml:space="preserve">Anno 3</w:t>
            </w:r>
          </w:p>
        </w:tc>
        <w:tc>
          <w:tcPr>
            <w:shd w:val="clear" w:color="auto" w:fill="F4F1EC"/>
          </w:tcPr>
          <w:p>
            <w:pPr>
              <w:pStyle w:val="Compact"/>
              <w:spacing w:after="40" w:before="40"/>
              <w:jc w:val="left"/>
            </w:pPr>
            <w:r>
              <w:rPr>
                <w:rFonts w:ascii="Cambria" w:hAnsi="Cambria" w:cs="Cambria" w:eastAsia="Cambria"/>
                <w:color w:val="1A1A1A"/>
                <w:sz w:val="18"/>
              </w:rPr>
              <w:t xml:space="preserve">~60 – 70%</w:t>
            </w:r>
          </w:p>
        </w:tc>
        <w:tc>
          <w:tcPr>
            <w:shd w:val="clear" w:color="auto" w:fill="F4F1EC"/>
          </w:tcPr>
          <w:p>
            <w:pPr>
              <w:pStyle w:val="Compact"/>
              <w:spacing w:after="40" w:before="40"/>
              <w:jc w:val="left"/>
            </w:pPr>
            <w:r>
              <w:rPr>
                <w:rFonts w:ascii="Cambria" w:hAnsi="Cambria" w:cs="Cambria" w:eastAsia="Cambria"/>
                <w:color w:val="1A1A1A"/>
                <w:sz w:val="18"/>
              </w:rPr>
              <w:t xml:space="preserve">30 – 45</w:t>
            </w:r>
          </w:p>
        </w:tc>
        <w:tc>
          <w:tcPr>
            <w:shd w:val="clear" w:color="auto" w:fill="F4F1EC"/>
          </w:tcPr>
          <w:p>
            <w:pPr>
              <w:pStyle w:val="Compact"/>
              <w:spacing w:after="40" w:before="40"/>
              <w:jc w:val="left"/>
            </w:pPr>
            <w:r>
              <w:rPr>
                <w:rFonts w:ascii="Cambria" w:hAnsi="Cambria" w:cs="Cambria" w:eastAsia="Cambria"/>
                <w:color w:val="1A1A1A"/>
                <w:sz w:val="18"/>
              </w:rPr>
              <w:t xml:space="preserve">crescente</w:t>
            </w:r>
          </w:p>
        </w:tc>
      </w:tr>
      <w:tr>
        <w:tc>
          <w:tcPr/>
          <w:p>
            <w:pPr>
              <w:pStyle w:val="Compact"/>
              <w:spacing w:after="40" w:before="40"/>
              <w:jc w:val="left"/>
            </w:pPr>
            <w:r>
              <w:rPr>
                <w:rFonts w:ascii="Cambria" w:hAnsi="Cambria" w:cs="Cambria" w:eastAsia="Cambria"/>
                <w:color w:val="1A1A1A"/>
                <w:sz w:val="18"/>
              </w:rPr>
              <w:t xml:space="preserve">Anno 5</w:t>
            </w:r>
          </w:p>
        </w:tc>
        <w:tc>
          <w:tcPr/>
          <w:p>
            <w:pPr>
              <w:pStyle w:val="Compact"/>
              <w:spacing w:after="40" w:before="40"/>
              <w:jc w:val="left"/>
            </w:pPr>
            <w:r>
              <w:rPr>
                <w:rFonts w:ascii="Cambria" w:hAnsi="Cambria" w:cs="Cambria" w:eastAsia="Cambria"/>
                <w:color w:val="1A1A1A"/>
                <w:sz w:val="18"/>
              </w:rPr>
              <w:t xml:space="preserve">Pieno regime</w:t>
            </w:r>
          </w:p>
        </w:tc>
        <w:tc>
          <w:tcPr/>
          <w:p>
            <w:pPr>
              <w:pStyle w:val="Compact"/>
              <w:spacing w:after="40" w:before="40"/>
              <w:jc w:val="left"/>
            </w:pPr>
            <w:r>
              <w:rPr>
                <w:rFonts w:ascii="Cambria" w:hAnsi="Cambria" w:cs="Cambria" w:eastAsia="Cambria"/>
                <w:color w:val="1A1A1A"/>
                <w:sz w:val="18"/>
              </w:rPr>
              <w:t xml:space="preserve">80 – 110</w:t>
            </w:r>
          </w:p>
        </w:tc>
        <w:tc>
          <w:tcPr/>
          <w:p>
            <w:pPr>
              <w:pStyle w:val="Compact"/>
              <w:spacing w:after="40" w:before="40"/>
              <w:jc w:val="left"/>
            </w:pPr>
            <w:r>
              <w:rPr>
                <w:rFonts w:ascii="Cambria" w:hAnsi="Cambria" w:cs="Cambria" w:eastAsia="Cambria"/>
                <w:color w:val="1A1A1A"/>
                <w:sz w:val="18"/>
              </w:rPr>
              <w:t xml:space="preserve">a regime</w:t>
            </w:r>
          </w:p>
        </w:tc>
      </w:tr>
      <w:tr>
        <w:tc>
          <w:tcPr>
            <w:shd w:val="clear" w:color="auto" w:fill="F4F1EC"/>
          </w:tcPr>
          <w:p>
            <w:pPr>
              <w:pStyle w:val="Compact"/>
              <w:spacing w:after="40" w:before="40"/>
              <w:jc w:val="left"/>
            </w:pPr>
            <w:r>
              <w:rPr>
                <w:rFonts w:ascii="Cambria" w:hAnsi="Cambria" w:cs="Cambria" w:eastAsia="Cambria"/>
                <w:color w:val="1A1A1A"/>
                <w:sz w:val="18"/>
              </w:rPr>
              <w:t xml:space="preserve">Anno 10</w:t>
            </w:r>
          </w:p>
        </w:tc>
        <w:tc>
          <w:tcPr>
            <w:shd w:val="clear" w:color="auto" w:fill="F4F1EC"/>
          </w:tcPr>
          <w:p>
            <w:pPr>
              <w:pStyle w:val="Compact"/>
              <w:spacing w:after="40" w:before="40"/>
              <w:jc w:val="left"/>
            </w:pPr>
            <w:r>
              <w:rPr>
                <w:rFonts w:ascii="Cambria" w:hAnsi="Cambria" w:cs="Cambria" w:eastAsia="Cambria"/>
                <w:color w:val="1A1A1A"/>
                <w:sz w:val="18"/>
              </w:rPr>
              <w:t xml:space="preserve">Regime maturo</w:t>
            </w:r>
          </w:p>
        </w:tc>
        <w:tc>
          <w:tcPr>
            <w:shd w:val="clear" w:color="auto" w:fill="F4F1EC"/>
          </w:tcPr>
          <w:p>
            <w:pPr>
              <w:pStyle w:val="Compact"/>
              <w:spacing w:after="40" w:before="40"/>
              <w:jc w:val="left"/>
            </w:pPr>
            <w:r>
              <w:rPr>
                <w:rFonts w:ascii="Cambria" w:hAnsi="Cambria" w:cs="Cambria" w:eastAsia="Cambria"/>
                <w:color w:val="1A1A1A"/>
                <w:sz w:val="18"/>
              </w:rPr>
              <w:t xml:space="preserve">60 – 100</w:t>
            </w:r>
          </w:p>
        </w:tc>
        <w:tc>
          <w:tcPr>
            <w:shd w:val="clear" w:color="auto" w:fill="F4F1EC"/>
          </w:tcPr>
          <w:p>
            <w:pPr>
              <w:pStyle w:val="Compact"/>
              <w:spacing w:after="40" w:before="40"/>
              <w:jc w:val="left"/>
            </w:pPr>
            <w:r>
              <w:rPr>
                <w:rFonts w:ascii="Cambria" w:hAnsi="Cambria" w:cs="Cambria" w:eastAsia="Cambria"/>
                <w:color w:val="1A1A1A"/>
                <w:sz w:val="18"/>
              </w:rPr>
              <w:t xml:space="preserve">consolidato</w:t>
            </w:r>
          </w:p>
        </w:tc>
      </w:tr>
    </w:tbl>
    <w:p>
      <w:pPr>
        <w:pStyle w:val="BodyText"/>
      </w:pPr>
      <w:r>
        <w:rPr>
          <w:i/>
          <w:iCs/>
        </w:rPr>
        <w:t xml:space="preserve">Tabella 7.4 — Profilo temporale dell’ulteriore riduzione della spesa diretta imputabile a Intelligenza Artificiale e formazione, scenario centrale, in euro/anno. Il valore al decimo anno riflette il contributo incrementale netto in presenza di una domanda accresciuta dall’invecchiamento, assorbita dalla tecnologia.</w:t>
      </w:r>
    </w:p>
    <w:bookmarkEnd w:id="1391"/>
    <w:bookmarkStart w:id="1392" w:name="X37946e91fb88948770b179ba543d73e7d8a9837"/>
    <w:p>
      <w:pPr>
        <w:pStyle w:val="Heading4"/>
      </w:pPr>
      <w:r>
        <w:t xml:space="preserve">VII.6 L’ulteriore riduzione dei costi indiretti e sociali</w:t>
      </w:r>
    </w:p>
    <w:p>
      <w:pPr>
        <w:pStyle w:val="FirstParagraph"/>
      </w:pPr>
      <w:r>
        <w:t xml:space="preserve">Accanto alla riduzione dei costi diretti, che incide sul bilancio del Servizio Sanitario Regionale e che costituisce l’oggetto primario e più solido della quantificazione, l’innesto dell’Intelligenza Artificiale e della formazione produce una riduzione dei costi indiretti e sociali, che afferisce al sistema economico e alla collettività nel suo complesso. Questa dimensione va trattata, coerentemente con l’impostazione dell’intero progetto, su un piano analiticamente separato da quello del bilancio sanitario, e con un grado di precisione dichiaratamente inferiore, poiché la stima dei benefici sociali è per sua natura più incerta di quella dei risparmi diretti, e poiché tali benefici non si traducono in minore spesa per il Servizio Sanitario Regionale, ma in maggiore valore per l’economia regionale. I costi indiretti rilevanti comprendono l’assenteismo per malattia, la perdita di produttività, le nuove invalidità e i pensionamenti anticipati per cause psichiche, e il carico assistenziale che grava sulle famiglie; nel modello di base, i risparmi indiretti corrispondenti si collocano, a regime, su valori sensibilmente superiori a quelli dei risparmi diretti.</w:t>
      </w:r>
    </w:p>
    <w:p>
      <w:pPr>
        <w:pStyle w:val="BodyText"/>
      </w:pPr>
      <w:r>
        <w:t xml:space="preserve">Il meccanismo attraverso cui l’Intelligenza Artificiale e la formazione accrescono anche i risparmi indiretti è il medesimo che ne accresce i risparmi diretti, applicato a una platea più ampia di effetti. L’estensione della capacità e dell’accesso, l’intercettazione più precoce e la maggiore continuità della presa in carico — che riducono il ricorso improprio ai servizi e generano il risparmio diretto — producono al tempo stesso un miglioramento clinico più tempestivo e più diffuso, che si traduce in minore assenteismo, in maggiore partecipazione al lavoro, in minori invalidità e in minor carico sulle famiglie. Poiché tali effetti seguono il medesimo potenziamento dei meccanismi del modello di base, l’ulteriore riduzione dei costi indiretti imputabile alle due leve è, per la proporzionalità che lega nel modello i risparmi indiretti a quelli diretti, di un ordine almeno comparabile a quello dell’ulteriore riduzione diretta, e verosimilmente superiore. Una stima prudenziale, espressa con la cautela che la maggiore incertezza impone e da non sommare al saldo di bilancio, colloca l’ulteriore riduzione dei costi indiretti e sociali a regime, nello scenario centrale, in un intervallo dell’ordine di 100–190 milioni di euro annui, con una dispersione sensibilmente più ampia di quella della stima diretta.</w:t>
      </w:r>
    </w:p>
    <w:p>
      <w:pPr>
        <w:pStyle w:val="BodyText"/>
      </w:pPr>
      <w:r>
        <w:t xml:space="preserve">Due avvertenze, coerenti con il criterio di onestà adottato, accompagnano necessariamente questa stima. La prima è che essa non concorre al saldo di bilancio del Servizio Sanitario Regionale, che è determinato dai soli risparmi diretti, ma rileva per la valutazione dell’efficienza allocativa dell’intervento dal punto di vista della società, e per la quota di risparmio indiretto fiscalmente catturabile dalla finanza pubblica regionale nel suo complesso, attraverso il gettito connesso alla maggiore produttività e il minor onere assistenziale e previdenziale. La seconda è che la stima dei benefici sociali, pur fondata su una metodologia riconosciuta e sulla letteratura economica internazionale, è soggetta a un’incertezza maggiore di quella della stima diretta, e va perciò presentata come ordine di grandezza e non come valore puntuale, e impiegata a sostegno della decisione in via complementare e non sostitutiva rispetto alla stima di bilancio. È in ragione di questa cautela che la sintesi conclusiva dello studio àncora la propria raccomandazione al risparmio diretto, più solido e direttamente rilevante per il bilancio, e impiega la stima dei benefici sociali come conferma ulteriore, e non come fondamento, del valore dell’intervento.</w:t>
      </w:r>
    </w:p>
    <w:bookmarkEnd w:id="1392"/>
    <w:bookmarkStart w:id="1393" w:name="X0620ab329564d7a2a64c28244dc06278b32924d"/>
    <w:p>
      <w:pPr>
        <w:pStyle w:val="Heading4"/>
      </w:pPr>
      <w:r>
        <w:t xml:space="preserve">VII.7 L’analisi di sensibilità, lo scenario pessimistico e il limite inferiore</w:t>
      </w:r>
    </w:p>
    <w:p>
      <w:pPr>
        <w:pStyle w:val="FirstParagraph"/>
      </w:pPr>
      <w:r>
        <w:t xml:space="preserve">Una quantificazione difendibile non si esaurisce nella stima del valore atteso, ma ne saggia la robustezza rispetto alle assunzioni più rilevanti, e ne individua il limite inferiore, ossia il risultato al di sotto del quale l’intervento difficilmente può collocarsi. L’analisi di sensibilità individua nella profondità dell’adozione, governata dalla formazione, la variabile cui il risultato è più sensibile, come già rilevato. In un regime di formazione minima o spontanea, nel quale gli strumenti siano resi disponibili senza un corrispondente investimento strutturato nella competenza del personale, la quota di potenziale tecnologico effettivamente catturata si riduce sensibilmente, e l’ulteriore riduzione complessiva della spesa diretta si attesta su valori dell’ordine di 15–22 milioni di euro annui, ossia nella parte bassa dello scenario conservativo. Questo valore costituisce il limite inferiore prudenziale dell’intervento nel caso di un’esecuzione formativa inadeguata: anche in tale ipotesi sfavorevole, il rapporto fra il beneficio incrementale e il costo incrementale rimane positivo e dell’ordine di alcune unità a uno, sicché l’intervento non diviene in perdita, ma ne risulta fortemente compresso il rendimento.</w:t>
      </w:r>
    </w:p>
    <w:p>
      <w:pPr>
        <w:pStyle w:val="BodyText"/>
      </w:pPr>
      <w:r>
        <w:t xml:space="preserve">Lo scenario pessimistico multivariato combina, oltre alla formazione inadeguata, ulteriori assunzioni sfavorevoli: un’adozione lenta e parziale da parte degli operatori, un’aderenza limitata dei pazienti agli strumenti digitali, costi di integrazione e di governance superiori al previsto, e un’efficacia degli strumenti collocata all’estremo inferiore degli intervalli documentati. In tale scenario, l’ulteriore riduzione della spesa diretta può ridursi ulteriormente, e il margine fra beneficio e costo incrementale si assottiglia, pur senza, nella generalità dei casi, divenire negativo, in ragione dell’effetto di parziale autofinanziamento della componente tecnologica, che ne riduce il costo netto. È onesto riconoscere che, in un’ipotesi estrema di esecuzione gravemente carente — formazione assente, adozione fallita, integrazione disorganizzata — il beneficio netto potrebbe annullarsi nei primi anni, e che la realizzazione del risparmio non è garantita dalla sola disponibilità della tecnologia, ma richiede un’esecuzione adeguata. Questa è la ragione per cui lo studio insiste sulla formazione e sulla governance come condizioni del risultato, e non come accessori.</w:t>
      </w:r>
    </w:p>
    <w:p>
      <w:pPr>
        <w:pStyle w:val="BodyText"/>
      </w:pPr>
      <w:r>
        <w:t xml:space="preserve">L’analisi del punto di pareggio completa il quadro della robustezza. Poiché il costo incrementale delle due leve è contenuto — dell’ordine di 5,3 milioni di euro annui a regime — il pareggio fra costo e beneficio incrementale è raggiunto a fronte di un risparmio diretto di entità modesta, ampiamente inferiore al limite inferiore prudenziale di 15–22 milioni: ne consegue che, perché l’intervento risulti in perdita, occorrerebbe che esso catturasse meno di un decimo del potenziale anche solo dello scenario conservativo, ipotesi che presupporrebbe un fallimento pressoché integrale dell’esecuzione. La robustezza del risultato rispetto al pareggio è dunque elevata: il margine fra il limite inferiore prudenziale e la soglia di pareggio è ampio, e l’intervento conserva un saldo positivo in tutti gli scenari salvo quello di un’esecuzione gravemente carente. La probabilità che il risultato si collochi al di sopra della soglia di pareggio, valutata mediante l’analisi di sensibilità probabilistica condotta nel modello, è prossima alla certezza, mentre l’incertezza riguarda non l’esistenza del beneficio, ma la sua entità entro l’ampio intervallo stimato.</w:t>
      </w:r>
    </w:p>
    <w:bookmarkEnd w:id="1393"/>
    <w:bookmarkStart w:id="1394" w:name="X7e8c61460b18e84d949dc69d29ed4f3f7619de6"/>
    <w:p>
      <w:pPr>
        <w:pStyle w:val="Heading4"/>
      </w:pPr>
      <w:r>
        <w:t xml:space="preserve">VII.8 Sintesi quantitativa: la risposta al mandato</w:t>
      </w:r>
    </w:p>
    <w:p>
      <w:pPr>
        <w:pStyle w:val="FirstParagraph"/>
      </w:pPr>
      <w:r>
        <w:t xml:space="preserve">La quantificazione condotta consente di rispondere, nell’ordine di grandezza consentito dall’evidenza e con la prudenza che il rigore impone, alla domanda posta dal mandato. L’innesto della componente di Intelligenza Artificiale nel modello «Psicologo di Base», accompagnato dalla formazione strutturata del personale al suo impiego, consegue alla Puglia un’ulteriore riduzione della spesa sanitaria diretta dell’ordine di 80–110 milioni di euro annui a regime nello scenario centrale, entro un ventaglio che va da 45–75 milioni nello scenario conservativo a 130–187 milioni in quello espansivo, a fronte di un costo incrementale dell’ordine di 5,3 milioni di euro annui. Per effetto di tale riduzione, i risparmi diretti complessivi del programma salgono da circa 270 a circa 315–350 milioni di euro annui a regime. A questa riduzione dei costi diretti si aggiunge una riduzione dei costi indiretti e sociali, stimata con minore precisione e da non sommare al saldo di bilancio, di un ordine almeno comparabile, collocabile nello scenario centrale fra 100 e 190 milioni di euro annui.</w:t>
      </w:r>
    </w:p>
    <w:p>
      <w:pPr>
        <w:pStyle w:val="BodyText"/>
      </w:pPr>
      <w:r>
        <w:t xml:space="preserve">Tre risultati qualificano la stima e ne orientano l’impiego decisionale. Il primo è che il rapporto fra il beneficio incrementale e il costo incrementale delle due leve è elevato — dell’ordine di quindici-ventuno a uno sui soli risparmi diretti nello scenario centrale — non perché il beneficio sia smisurato, ma perché il costo delle due leve è contenuto e in parte autofinanziato dall’efficientamento che la tecnologia stessa produce. Il secondo è che il risultato è graduale nel tempo, manifestandosi in misura contenuta nel primo anno, salendo progressivamente con la curva di adozione e raggiungendo il regime al quinto anno. Il terzo, e più rilevante per la decisione, è che il risultato è fortemente sensibile alla profondità dell’adozione, governata dalla formazione: è la formazione strutturata, di costo contenuto e di rendimento dell’ordine di sette-otto euro per ogni euro investito, a determinare la collocazione del risultato nella parte alta dell’intervallo, mentre la sua assenza ne deprime l’intero contributo, riducendolo al limite inferiore di 15–22 milioni di euro annui.</w:t>
      </w:r>
    </w:p>
    <w:p>
      <w:pPr>
        <w:pStyle w:val="BodyText"/>
      </w:pPr>
      <w:r>
        <w:t xml:space="preserve">Da questi risultati discende la risposta, sul piano quantitativo, alla questione della configurazione formativa posta dal mandato. La formazione non è un costo accessorio dell’innesto tecnologico, ma il fattore abilitante che ne determina il rendimento, e la sua configurazione ottimale è la combinazione delle quattro modalità — universitaria, post-universitaria, lavorativa e di accompagnamento — secondo i piani complementari analizzati. La quantificazione dimostra che l’investimento congiunto nella tecnologia e nella formazione è, per la finanza sanitaria regionale, fra i più efficienti disponibili, e che esso conserva un saldo positivo in tutti gli scenari salvo quello di un’esecuzione gravemente carente; essa dimostra al tempo stesso che il conseguimento del risultato non è garantito dalla sola tecnologia, ma è condizionato a un’esecuzione adeguata, della quale la formazione e la governance — oggetto, quest’ultima, della Parte VIII — costituiscono le condizioni essenziali. È a tali condizioni di realizzabilità, e ai limiti e ai rischi che le accompagnano, che lo studio rivolge ora la propria attenzione, prima di raccogliere, nella Parte IX, la sintesi e le raccomandazioni.</w:t>
      </w:r>
    </w:p>
    <w:p>
      <w:r>
        <w:br w:type="page"/>
      </w:r>
    </w:p>
    <w:bookmarkEnd w:id="1394"/>
    <w:bookmarkEnd w:id="1395"/>
    <w:bookmarkEnd w:id="1396"/>
    <w:bookmarkEnd w:id="1397"/>
    <w:bookmarkStart w:id="1584" w:name="Xbae53a5b472701cf501823c6909ea6832ab659f"/>
    <w:p>
      <w:pPr>
        <w:pStyle w:val="Heading1"/>
      </w:pPr>
      <w:r>
        <w:t xml:space="preserve">Appendice XV — Fascicolo consolidato: l’integrazione formativa dell’Intelligenza Artificiale nella squadra delle cure primarie e la quantificazione del risparmio</w:t>
      </w:r>
    </w:p>
    <w:p>
      <w:pPr>
        <w:pStyle w:val="FirstParagraph"/>
      </w:pPr>
      <w:r>
        <w:t xml:space="preserve">Il fascicolo, antecedente allo studio dell’Appendice XIV, consolida in un unico dossier tecnico-finanziario la formazione della squadra delle cure primarie nelle quattro modalità e le potenzialità dell’Intelligenza Artificiale lungo il continuum assistenziale, con la relativa quantificazione prudenziale del risparmio incrementale.</w:t>
      </w:r>
    </w:p>
    <w:p>
      <w:pPr>
        <w:pStyle w:val="BodyText"/>
      </w:pPr>
      <w:r>
        <w:t xml:space="preserve">Regione Puglia — Progetto «Psicologo di Base» · IA e cure primarie</w:t>
      </w:r>
    </w:p>
    <w:p>
      <w:pPr>
        <w:pStyle w:val="BodyText"/>
      </w:pPr>
      <w:r>
        <w:rPr>
          <w:b/>
          <w:bCs/>
        </w:rPr>
        <w:t xml:space="preserve">REGIONE PUGLIA — SERVIZIO SANITARIO REGIONALE</w:t>
      </w:r>
    </w:p>
    <w:p>
      <w:pPr>
        <w:pStyle w:val="BodyText"/>
      </w:pPr>
      <w:r>
        <w:t xml:space="preserve">Progetto «Psicologo di Base»</w:t>
      </w:r>
    </w:p>
    <w:p>
      <w:pPr>
        <w:pStyle w:val="BodyText"/>
      </w:pPr>
      <w:r>
        <w:rPr>
          <w:b/>
          <w:bCs/>
        </w:rPr>
        <w:t xml:space="preserve">Intelligenza Artificiale e cure primarie:</w:t>
      </w:r>
    </w:p>
    <w:p>
      <w:pPr>
        <w:pStyle w:val="BodyText"/>
      </w:pPr>
      <w:r>
        <w:rPr>
          <w:b/>
          <w:bCs/>
        </w:rPr>
        <w:t xml:space="preserve">formazione, potenzialità cliniche e riduzione della spesa</w:t>
      </w:r>
    </w:p>
    <w:p>
      <w:pPr>
        <w:pStyle w:val="BodyText"/>
      </w:pPr>
      <w:r>
        <w:rPr>
          <w:i/>
          <w:iCs/>
        </w:rPr>
        <w:t xml:space="preserve">Fascicolo unitario in tre parti</w:t>
      </w:r>
    </w:p>
    <w:p>
      <w:pPr>
        <w:pStyle w:val="BodyText"/>
      </w:pPr>
      <w:r>
        <w:t xml:space="preserve">Parte I — La formazione della squadra delle cure primarie e la quantificazione del risparmio</w:t>
      </w:r>
    </w:p>
    <w:p>
      <w:pPr>
        <w:pStyle w:val="BodyText"/>
      </w:pPr>
      <w:r>
        <w:t xml:space="preserve">Parte II — Le potenzialità dell’IA lungo il continuum assistenziale</w:t>
      </w:r>
    </w:p>
    <w:p>
      <w:pPr>
        <w:pStyle w:val="BodyText"/>
      </w:pPr>
      <w:r>
        <w:t xml:space="preserve">Parte III — I dispositivi terapeutici digitali su prescrizione</w:t>
      </w:r>
    </w:p>
    <w:bookmarkStart w:id="1398" w:name="prefazione-al-fascicolo"/>
    <w:p>
      <w:pPr>
        <w:pStyle w:val="Heading2"/>
      </w:pPr>
      <w:r>
        <w:t xml:space="preserve">Prefazione al fascicolo</w:t>
      </w:r>
    </w:p>
    <w:p>
      <w:pPr>
        <w:pStyle w:val="FirstParagraph"/>
      </w:pPr>
      <w:r>
        <w:t xml:space="preserve">Il presente fascicolo raccoglie in un unico documento i tre contributi sviluppati a sostegno dell’integrazione dell’Intelligenza Artificiale nel progetto «Psicologo di Base» della Regione Puglia, ordinati secondo una progressione logica che muove dal quadro economico e formativo, attraversa la ricognizione clinica delle potenzialità dell’IA e si conclude con l’approfondimento monografico sulla categoria di strumenti più direttamente pertinente al servizio di psicologia di base. La Parte I dimostra che la formazione della squadra delle cure primarie all’uso dell’IA è la variabile causale del risparmio e ne quantifica l’ulteriore riduzione di spesa in Puglia; la Parte II ricostruisce, con apparato di fonti, le potenzialità dell’IA lungo le cinque dimensioni del continuum assistenziale; la Parte III esamina i dispositivi terapeutici digitali su prescrizione, il loro quadro regolatorio comparato e la loro applicazione al modello pugliese.</w:t>
      </w:r>
    </w:p>
    <w:p>
      <w:pPr>
        <w:pStyle w:val="BodyText"/>
      </w:pPr>
      <w:r>
        <w:t xml:space="preserve">Le tre parti sono coerenti tra loro e si richiamano a vicenda: la quantificazione della Parte I si fonda sull’evidenza clinica ricostruita nella Parte II, e la Parte III precisa gli strumenti operativi di uno dei canali di risparmio. La numerazione delle note è continua lungo l’intero fascicolo; ciascuna parte conserva la propria numerazione interna delle sezioni. L’insieme è redatto in tono accademico, con percentuali e valori economici espressi in via prudenziale e tracciati a fonti scientifiche, regolatorie e istituzionali.</w:t>
      </w:r>
    </w:p>
    <w:p>
      <w:pPr>
        <w:pStyle w:val="BodyText"/>
      </w:pPr>
      <w:r>
        <w:rPr>
          <w:b/>
          <w:bCs/>
        </w:rPr>
        <w:t xml:space="preserve">Indice generale</w:t>
      </w:r>
    </w:p>
    <w:p>
      <w:pPr>
        <w:pStyle w:val="BodyText"/>
      </w:pPr>
      <w:r>
        <w:rPr>
          <w:b/>
          <w:bCs/>
        </w:rPr>
        <w:t xml:space="preserve">PARTE I</w:t>
      </w:r>
    </w:p>
    <w:bookmarkEnd w:id="1398"/>
    <w:bookmarkStart w:id="1399" w:name="X3222eaf59c81fa2484e421b99be63fc6fcf3d73"/>
    <w:p>
      <w:pPr>
        <w:pStyle w:val="Heading2"/>
      </w:pPr>
      <w:r>
        <w:rPr>
          <w:b/>
          <w:bCs/>
        </w:rPr>
        <w:t xml:space="preserve">La formazione della squadra delle cure primarie e la quantificazione del risparmio</w:t>
      </w:r>
    </w:p>
    <w:p>
      <w:pPr>
        <w:pStyle w:val="FirstParagraph"/>
      </w:pPr>
      <w:r>
        <w:rPr>
          <w:i/>
          <w:iCs/>
        </w:rPr>
        <w:t xml:space="preserve">Le quattro modalità formative e l’ulteriore riduzione della spesa sanitaria in Puglia</w:t>
      </w:r>
    </w:p>
    <w:bookmarkEnd w:id="1399"/>
    <w:bookmarkStart w:id="1400" w:name="X9339a83650f4ac990423d6db0bc42c692908486"/>
    <w:p>
      <w:pPr>
        <w:pStyle w:val="Heading2"/>
      </w:pPr>
      <w:r>
        <w:t xml:space="preserve">1. Premessa metodologica e finalità dell’analisi</w:t>
      </w:r>
    </w:p>
    <w:p>
      <w:pPr>
        <w:pStyle w:val="FirstParagraph"/>
      </w:pPr>
      <w:r>
        <w:t xml:space="preserve">Il presente capitolo estende l’analisi sull’integrazione dell’Intelligenza Artificiale già sviluppata all’interno della Relazione tecnico-finanziaria sullo Psicologo di Base, spostandone il baricentro da un’ipotesi circoscritta — l’impiego di strumenti algoritmici a sostegno del solo servizio psicologico — a una prospettiva di sistema, nella quale l’intera squadra delle cure primarie, costituita dai medici di medicina generale, dai pediatri di libera scelta e dagli psicologi di base, viene posta nelle condizioni di utilizzare in modo competente, sicuro e capillare le tecnologie di IA lungo l’intero continuum assistenziale. La finalità esplicita dell’analisi è verificare se, e in quale misura, la formazione sistematica del personale all’uso dell’IA consenta di abbattere ulteriormente i costi diretti e indiretti già ridotti dal progetto nella sua configurazione di base, fornendo alla programmazione regionale una stima quantitativa difendibile dell’incremento di risparmio atteso.</w:t>
      </w:r>
    </w:p>
    <w:p>
      <w:pPr>
        <w:pStyle w:val="BodyText"/>
      </w:pPr>
      <w:r>
        <w:t xml:space="preserve">L’impostazione metodologica risponde a quattro requisiti, coerenti con l’architettura dell’intera Relazione. In primo luogo, l’analisi è evidence-based: ogni potenzialità clinica dell’IA è ancorata a studi controllati randomizzati, a revisioni sistematiche con metanalisi, a valutazioni economiche pubblicate su riviste con revisione paritaria e a esperienze internazionali documentate, privilegiando le fonti più recenti e di maggiore autorevolezza. In secondo luogo, è multidimensionale, poiché integra le prospettive della psicologia clinica, della medicina generale, della sanità pubblica, dell’economia sanitaria, dell’organizzazione dei servizi e del diritto, in particolare del quadro regolatorio europeo. In terzo luogo, è orientata alle migliori pratiche e al panorama brevettuale e regolatorio, dando conto sia dei dispositivi già autorizzati dalle agenzie internazionali sia degli studi pilota che ne hanno verificato l’efficacia in condizioni reali. In quarto luogo, è prudenziale: le percentuali di riduzione applicate alle voci di spesa regionale sono collocate nella parte bassa degli intervalli documentati, così che la stima risulti credibile e sostenibile in sede tecnico-amministrativa anche di fronte a un contraddittorio rigoroso.</w:t>
      </w:r>
    </w:p>
    <w:p>
      <w:pPr>
        <w:pStyle w:val="BodyText"/>
      </w:pPr>
      <w:r>
        <w:t xml:space="preserve">La tesi che il capitolo intende dimostrare è che la formazione non costituisce un costo accessorio dell’innovazione tecnologica, bensì la sua variabile causale principale. Gli strumenti di IA, per quanto validati, non producono alcun risparmio se non vengono adottati; e non vengono adottati in modo stabile e corretto se i professionisti non sono formati a comprenderne il funzionamento, a interpretarne gli esiti, a riconoscerne i limiti e a integrarli nei propri flussi di lavoro. La profondità di adozione — ossia la quota di professionisti che impiega effettivamente gli strumenti e la frequenza con cui li impiega — è pertanto la grandezza che traduce la potenzialità teorica dell’IA in risparmio realizzato, ed è anche la grandezza più direttamente governabile dalla Regione attraverso la qualità e la capillarità del programma formativo. Per questa ragione l’analisi tratta la formazione e la quantificazione economica come due facce del medesimo ragionamento, e non come argomenti separati.</w:t>
      </w:r>
    </w:p>
    <w:p>
      <w:pPr>
        <w:pStyle w:val="BodyText"/>
      </w:pPr>
      <w:r>
        <w:t xml:space="preserve">Il capitolo è organizzato in otto sezioni. Dopo la presente premessa, la seconda sezione richiama il quadro economico di partenza e definisce il significato dell’incremento atteso. La terza descrive le quattro modalità formative oggetto di valutazione e ne chiarisce la funzione economica. La quarta ricostruisce, con apparato di fonti, le potenzialità dell’IA lungo le cinque dimensioni del continuum — diagnostica, prevenzione, trattamento, riabilitazione, recupero — e ne inquadra il contesto brevettuale e regolatorio. La quinta collega ciascuna applicazione clinica ai fabbisogni formativi che essa presuppone. La sesta sviluppa la quantificazione dell’ulteriore riduzione di spesa in Puglia, articolata per canale e per scenario e corredata dall’analisi del ritorno sull’investimento formativo. La settima espone l’analisi di sensibilità e la gestione dei rischi. L’ottava raccoglie le conclusioni operative destinate ai decisori.</w:t>
      </w:r>
    </w:p>
    <w:bookmarkEnd w:id="1400"/>
    <w:bookmarkStart w:id="1405" w:name="Xd22c04be4651023afa5cb62085beee7c5207f06"/>
    <w:p>
      <w:pPr>
        <w:pStyle w:val="Heading2"/>
      </w:pPr>
      <w:r>
        <w:t xml:space="preserve">2. Il quadro economico di partenza e il significato dell’incremento atteso</w:t>
      </w:r>
    </w:p>
    <w:p>
      <w:pPr>
        <w:pStyle w:val="FirstParagraph"/>
      </w:pPr>
      <w:r>
        <w:t xml:space="preserve">Qualsiasi stima dell’ulteriore risparmio attribuibile all’IA deve muovere dal denominatore costituito dalla spesa sanitaria pugliese e dal risparmio già prodotto dal progetto nella sua configurazione di base. La Relazione ha ricostruito, a partire dai conti sanitari ufficiali e applicando la quota pugliese pari a circa il 6,6% della popolazione nazionale, gli ordini di grandezza delle principali voci di spesa territoriale: circa 470–480 milioni di euro l’anno per la medicina generale, circa 1,8 miliardi per la specialistica ambulatoriale e la diagnostica acquistata, circa 800 milioni per la farmaceutica territoriale e circa 270 milioni per la salute mentale, considerata nella sua componente territoriale e ospedaliera.</w:t>
      </w:r>
      <w:r>
        <w:rPr>
          <w:rStyle w:val="FootnoteReference"/>
        </w:rPr>
        <w:footnoteReference w:id="613"/>
      </w:r>
    </w:p>
    <w:p>
      <w:pPr>
        <w:pStyle w:val="BodyText"/>
      </w:pPr>
      <w:r>
        <w:t xml:space="preserve">Su questo denominatore il progetto, nella configurazione priva di IA, produce già un risparmio diretto annuo a regime stimato in circa 270 milioni di euro, articolato in circa 60–65 milioni sulla farmaceutica, circa 160 milioni sulla specialistica e la diagnostica, circa 19 milioni sulla medicina generale e circa 27 milioni sulla salute mentale specialistica, con un rapporto tra costo del servizio e risparmi diretti dell’ordine di sei o sette euro per ogni euro investito.</w:t>
      </w:r>
      <w:r>
        <w:rPr>
          <w:rStyle w:val="FootnoteReference"/>
        </w:rPr>
        <w:footnoteReference w:id="614"/>
      </w:r>
      <w:r>
        <w:t xml:space="preserve"> </w:t>
      </w:r>
      <w:r>
        <w:t xml:space="preserve">A questo risparmio diretto la Relazione affianca, nei capitoli successivi, una stima dei risparmi indiretti di entità ancora maggiore, connessi alla riduzione della disabilità, dell’assenteismo e della perdita di produttività associata ai disturbi mentali comuni non trattati.</w:t>
      </w:r>
    </w:p>
    <w:p>
      <w:pPr>
        <w:pStyle w:val="BodyText"/>
      </w:pPr>
      <w:r>
        <w:t xml:space="preserve">Entro questo quadro, il capitolo della Relazione già dedicato all’IA aveva stimato, limitatamente all’efficienza del servizio psicologico, un risparmio aggiuntivo di 15–40 milioni di euro l’anno a regime, corrispondente a un incremento di efficienza del 10–15%, a fronte di un investimento tecnologico di 1,35–2,7 milioni di euro.</w:t>
      </w:r>
      <w:r>
        <w:t xml:space="preserve"> </w:t>
      </w:r>
      <w:r>
        <w:rPr>
          <w:rStyle w:val="FootnoteReference"/>
        </w:rPr>
        <w:footnoteReference w:id="615"/>
      </w:r>
      <w:r>
        <w:t xml:space="preserve"> </w:t>
      </w:r>
      <w:r>
        <w:t xml:space="preserve">La presente analisi si propone di stabilire se, ampliando il perimetro dall’efficienza del solo servizio psicologico all’intera squadra delle cure primarie e all’intero continuum clinico, l’incremento di risparmio possa essere collocato su un valore superiore, e di precisarne l’ordine di grandezza con metodo trasparente.</w:t>
      </w:r>
    </w:p>
    <w:p>
      <w:pPr>
        <w:pStyle w:val="BodyText"/>
      </w:pPr>
      <w:r>
        <w:t xml:space="preserve">È utile chiarire fin d’ora il significato dell’espressione «ulteriore riduzione». Essa designa il risparmio incrementale che si ottiene quando, accanto allo psicologo di base, anche il medico di medicina generale e il pediatra di libera scelta impiegano strumenti di IA validati nella diagnostica, nella prevenzione, nel trattamento, nella riabilitazione e nella gestione del recupero, e quando tale impiego è reso stabile e corretto da un programma formativo strutturato. Questo risparmio si somma al risparmio di base prodotto dal servizio psicologico e, per la parte che eccede la stima già contenuta nella Relazione, costituisce il contributo proprio del presente capitolo. La grandezza non va confusa con il risparmio complessivo del sistema sanitario regionale attribuibile all’IA, che sarebbe assai maggiore ma che dipende da interventi estranei al perimetro delle cure primarie e del progetto in esame; l’analisi si mantiene deliberatamente all’interno del perimetro che la squadra delle cure primarie può effettivamente governare.</w:t>
      </w:r>
    </w:p>
    <w:p>
      <w:pPr>
        <w:pStyle w:val="BodyText"/>
      </w:pPr>
      <w:r>
        <w:t xml:space="preserve">La letteratura economico-sanitaria internazionale offre un riferimento esterno per calibrare l’ambizione della stima. Le revisioni sistematiche più recenti collocano tra il 5% e il 10% la quota di spesa sanitaria complessiva potenzialmente riducibile mediante l’adozione sistematica dell’IA</w:t>
      </w:r>
      <w:r>
        <w:rPr>
          <w:rStyle w:val="FootnoteReference"/>
        </w:rPr>
        <w:footnoteReference w:id="616"/>
      </w:r>
      <w:r>
        <w:t xml:space="preserve">; tuttavia tale intervallo si riferisce all’intero sistema e a un orizzonte temporale pluriennale. Applicare l’estremo superiore di quell’intervallo all’intera spesa pugliese sarebbe metodologicamente scorretto, perché confonderebbe ciò che è governabile dalle cure primarie con ciò che dipende dall’ospedale, dalla chirurgia e dalla diagnostica di secondo e terzo livello. L’analisi adotta pertanto, come si vedrà nella sesta sezione, percentuali sensibilmente inferiori, applicate al solo perimetro territoriale e condizionate alla profondità di adozione.</w:t>
      </w:r>
    </w:p>
    <w:bookmarkEnd w:id="1405"/>
    <w:bookmarkStart w:id="1414" w:name="X7797505b571d82532ebd857063463aa900316f2"/>
    <w:p>
      <w:pPr>
        <w:pStyle w:val="Heading2"/>
      </w:pPr>
      <w:r>
        <w:t xml:space="preserve">3. La formazione come variabile causale del risparmio: le quattro modalità e la loro funzione economica</w:t>
      </w:r>
    </w:p>
    <w:p>
      <w:pPr>
        <w:pStyle w:val="FirstParagraph"/>
      </w:pPr>
      <w:r>
        <w:t xml:space="preserve">Le quattro modalità formative indicate dalla committenza — formazione universitaria, formazione post-universitaria specialistica, formazione continua sul lavoro e accompagnamento operativo di figure esperte presso ogni studio — non sono alternative tra cui scegliere, bensì componenti complementari di un’unica architettura, ciascuna con un orizzonte temporale, una popolazione bersaglio e una funzione economica distinti. La loro combinazione consente di raggiungere simultaneamente la profondità della competenza, la sua stabilità nel tempo e la sua diffusione capillare, che sono le tre condizioni perché la potenzialità dell’IA si traduca in risparmio. Le sezioni seguenti ne analizzano ciascuna, evidenziandone punti di forza, limiti e contributo specifico alla cattura del risparmio.</w:t>
      </w:r>
    </w:p>
    <w:bookmarkStart w:id="1407" w:name="la-formazione-universitaria"/>
    <w:p>
      <w:pPr>
        <w:pStyle w:val="Heading3"/>
      </w:pPr>
      <w:r>
        <w:t xml:space="preserve">3.1 La formazione universitaria</w:t>
      </w:r>
    </w:p>
    <w:p>
      <w:pPr>
        <w:pStyle w:val="FirstParagraph"/>
      </w:pPr>
      <w:r>
        <w:t xml:space="preserve">La formazione universitaria agisce sulle coorti che entreranno in servizio negli anni successivi e ha l’incidenza strutturale più profonda, poiché produce professionisti che concepiscono l’IA come componente nativa della pratica clinica anziché come innovazione da assimilare in un secondo momento. L’evidenza internazionale documenta una progressione rapida: negli Stati Uniti la grande maggioranza delle scuole mediche dichiara di trattare l’IA nei propri programmi, e alcune istituzioni hanno istituito percorsi dedicati fino al dottorato congiunto in IA applicata alla medicina. In Italia il fenomeno è agli stadi iniziali ma reale, con corsi di alta formazione in IA applicata alla medicina già attivati da alcuni atenei.</w:t>
      </w:r>
      <w:r>
        <w:rPr>
          <w:rStyle w:val="FootnoteReference"/>
        </w:rPr>
        <w:footnoteReference w:id="617"/>
      </w:r>
    </w:p>
    <w:p>
      <w:pPr>
        <w:pStyle w:val="BodyText"/>
      </w:pPr>
      <w:r>
        <w:t xml:space="preserve">L’integrazione, fin dal percorso di laurea in medicina e in psicologia, di nozioni di apprendimento automatico, scienza dei dati e sistemi di supporto decisionale clinico garantisce che i futuri professionisti comprendano gli strumenti senza percepirli come dispositivi opachi e non interpretabili, e padroneggino sin dall’inizio i concetti di distorsione algoritmica e di validazione clinica indispensabili a un uso responsabile. Sotto il profilo economico, il punto di forza di questa modalità risiede nella massima profondità e stabilità della competenza e nel costo marginale contenuto per la Regione, poiché l’onere ricade prevalentemente sul sistema universitario. Il limite è l’orizzonte di impatto pluriennale, inadeguato a rispondere al fabbisogno del personale già in servizio, e la governance condivisa con le università, che limita la capacità di indirizzo diretto della Regione. La formazione universitaria, in altri termini, costruisce il risparmio del prossimo decennio, ma non quello del prossimo triennio, ed è per questo che non può essere l’unica leva.</w:t>
      </w:r>
    </w:p>
    <w:bookmarkEnd w:id="1407"/>
    <w:bookmarkStart w:id="1408" w:name="X06cd37617a6c3eda317663c7c37a51a1abada23"/>
    <w:p>
      <w:pPr>
        <w:pStyle w:val="Heading3"/>
      </w:pPr>
      <w:r>
        <w:t xml:space="preserve">3.2 La formazione post-universitaria specialistica</w:t>
      </w:r>
    </w:p>
    <w:p>
      <w:pPr>
        <w:pStyle w:val="FirstParagraph"/>
      </w:pPr>
      <w:r>
        <w:t xml:space="preserve">La formazione post-universitaria comprende master, corsi di perfezionamento, borse formative in sanità digitale e informatica biomedica e certificazioni avanzate destinate ai professionisti che intendono acquisire una competenza approfondita e, in alcuni casi, un ruolo di guida nell’implementazione tecnologica. È la modalità che genera le figure ibride — il clinico con competenze di scienza dei dati, lo psicologo esperto di interventi digitali — capaci di fungere da riferimento per i colleghi e di interfacciarsi con i team tecnici. Il suo contributo economico non si misura sul singolo professionista formato, bensì sull’effetto moltiplicatore che esso esercita sull’intera rete: una quota selezionata di professionisti, dotata di competenze avanzate, è in grado di adattare e validare gli strumenti sul contesto locale, di sostenere la formazione dei pari e di presidiare la qualità dell’uso. Il limite è la copertura selettiva e non universale e il costo per professionista più elevato, che impongono di concentrarla sui profili destinati a esercitare funzioni di traino e di abbinarla a meccanismi che ne garantiscano la disseminazione, in assenza dei quali il beneficio resterebbe confinato ai singoli formati.</w:t>
      </w:r>
    </w:p>
    <w:bookmarkEnd w:id="1408"/>
    <w:bookmarkStart w:id="1410" w:name="la-formazione-continua-sul-lavoro"/>
    <w:p>
      <w:pPr>
        <w:pStyle w:val="Heading3"/>
      </w:pPr>
      <w:r>
        <w:t xml:space="preserve">3.3 La formazione continua sul lavoro</w:t>
      </w:r>
    </w:p>
    <w:p>
      <w:pPr>
        <w:pStyle w:val="FirstParagraph"/>
      </w:pPr>
      <w:r>
        <w:t xml:space="preserve">La formazione continua costituisce la spina dorsale operativa dell’intera architettura, in quanto è l’unica modalità capace di raggiungere in tempi brevi e in modo capillare la totalità del personale già in servizio, ossia la popolazione professionale che ha conseguito la laurea quando l’IA non figurava nei programmi e che rappresenta la quasi totalità dei medici di base e degli psicologi attivi oggi in Puglia. Essa si avvale del sistema dell’Educazione Continua in Medicina, di percorsi di formazione a distanza, di laboratori in presenza e di addestramento direttamente sul campo. In Italia esistono già infrastrutture utilizzabili: l’Istituto Superiore di Sanità ha attivato corsi a distanza gratuiti rivolti a tutte le professioni sanitarie sui fondamenti dell’IA, dell’apprendimento automatico, dell’apprendimento profondo e delle reti neurali applicate alla clinica, e sono disponibili percorsi sperimentali espressamente concepiti per i medici di famiglia.</w:t>
      </w:r>
      <w:r>
        <w:rPr>
          <w:rStyle w:val="FootnoteReference"/>
        </w:rPr>
        <w:footnoteReference w:id="618"/>
      </w:r>
    </w:p>
    <w:p>
      <w:pPr>
        <w:pStyle w:val="BodyText"/>
      </w:pPr>
      <w:r>
        <w:t xml:space="preserve">Su questa base la Regione può innestare moduli specifici sull’uso dell’IA nelle cure primarie e nella salute mentale, integrati con esercitazioni pratiche sugli strumenti effettivamente adottati: simulazioni di triage automatizzato, esercizi guidati sull’interpretazione degli avvisi dei sistemi decisionali, addestramento all’interazione con gli assistenti virtuali. Il contributo economico di questa modalità è il più immediato, perché agisce sulla popolazione che può produrre risparmio già nel breve periodo. Il rischio principale è che la partecipazione si traduca in adempimento formale anziché in competenza sostanziale; rischio che si fronteggia ancorando i crediti formativi a verifiche di apprendimento, prevedendo una componente pratica e collegando la formazione d’aula all’accompagnamento sul campo descritto nella sezione seguente.</w:t>
      </w:r>
    </w:p>
    <w:bookmarkEnd w:id="1410"/>
    <w:bookmarkStart w:id="1412" w:name="X88a021a4eeeb190d5562611908ef0111c083e04"/>
    <w:p>
      <w:pPr>
        <w:pStyle w:val="Heading3"/>
      </w:pPr>
      <w:r>
        <w:t xml:space="preserve">3.4 L’accompagnamento operativo di figure esperte presso ogni studio</w:t>
      </w:r>
    </w:p>
    <w:p>
      <w:pPr>
        <w:pStyle w:val="FirstParagraph"/>
      </w:pPr>
      <w:r>
        <w:t xml:space="preserve">L’accompagnamento operativo consiste nell’affiancare al medico di base e allo psicologo, nel contesto reale dell’ambulatorio, figure competenti nell’IA — referenti digitali, tutor clinici dotati di competenze tecnologiche, scienziati dei dati di distretto — che aiutino il professionista a configurare gli strumenti, a interpretarne gli esiti e a integrarli nel flusso di lavoro durante le prime settimane di utilizzo. La letteratura sull’implementazione dell’IA in sanità indica concordemente questa modalità come la più efficace nel sostenere l’adozione reale, poiché agisce nel momento e nel luogo in cui le difficoltà concrete si manifestano. Esperienze internazionali ne confermano il valore: nel Regno Unito il servizio nazionale ha collaborato con gli sviluppatori di assistenti virtuali per formare i clinici all’uso del primo livello conversazionale nell’ambito dei servizi di terapie psicologiche.</w:t>
      </w:r>
      <w:r>
        <w:rPr>
          <w:rStyle w:val="FootnoteReference"/>
        </w:rPr>
        <w:footnoteReference w:id="619"/>
      </w:r>
    </w:p>
    <w:p>
      <w:pPr>
        <w:pStyle w:val="BodyText"/>
      </w:pPr>
      <w:r>
        <w:t xml:space="preserve">Il modello organizzativo già delineato nella Relazione prevede l’istituzione di referenti digitali territoriali in rapporto di circa uno ogni dieci-quindici psicologi di base, per un totale dell’ordine di alcune decine di figure a regime nell’intero territorio pugliese, dotate di una formazione avanzata di alcune decine di ore e di competenze di formazione degli adulti. Sotto il profilo economico, l’accompagnamento è la modalità a più elevato costo unitario, ma è anche quella che esercita l’effetto più marcato sulla profondità di adozione, che è la variabile da cui dipende in misura maggiore l’entità del risparmio. È dunque la leva sulla quale concentrare l’investimento marginale, perché ogni punto percentuale di adozione che essa aggiunge si traduce in un risparmio molto superiore al suo costo, come la sesta sezione documenterà numericamente.</w:t>
      </w:r>
    </w:p>
    <w:bookmarkEnd w:id="1412"/>
    <w:bookmarkStart w:id="1413" w:name="X2b234f9cd9622f88e04a87158a80d24542c39eb"/>
    <w:p>
      <w:pPr>
        <w:pStyle w:val="Heading3"/>
      </w:pPr>
      <w:r>
        <w:t xml:space="preserve">3.5 L’architettura integrata e la centralità dell’accompagnamento</w:t>
      </w:r>
    </w:p>
    <w:p>
      <w:pPr>
        <w:pStyle w:val="FirstParagraph"/>
      </w:pPr>
      <w:r>
        <w:t xml:space="preserve">La combinazione delle quattro modalità disegna un’architettura nella quale la formazione universitaria assicura la sostenibilità di lungo periodo, la formazione post-universitaria genera le figure di traino, la formazione continua raggiunge l’intera popolazione in servizio e l’accompagnamento converte la conoscenza in pratica stabile. La logica economica che lega le quattro componenti è sequenziale: la profondità di adozione, e dunque il risparmio, cresce quanto più la formazione si avvicina al luogo e al momento dell’uso clinico. Per questa ragione la Regione, pur dovendo attivare tutte e quattro le modalità, ottiene il massimo ritorno marginale investendo sull’accompagnamento, che presidia direttamente la variabile critica del modello. La formazione, considerata nel suo insieme, non è quindi una premessa neutra dell’innovazione, ma il meccanismo che ne determina il rendimento economico, e il suo costo, come si vedrà, è di ordini di grandezza inferiore al risparmio che essa rende catturabile.</w:t>
      </w:r>
    </w:p>
    <w:bookmarkEnd w:id="1413"/>
    <w:bookmarkEnd w:id="1414"/>
    <w:bookmarkStart w:id="1443" w:name="Xe716a4bf9c642335eb431c0fc2434a4b086e152"/>
    <w:p>
      <w:pPr>
        <w:pStyle w:val="Heading2"/>
      </w:pPr>
      <w:r>
        <w:t xml:space="preserve">4. Le potenzialità dell’Intelligenza Artificiale lungo il continuum assistenziale</w:t>
      </w:r>
    </w:p>
    <w:p>
      <w:pPr>
        <w:pStyle w:val="FirstParagraph"/>
      </w:pPr>
      <w:r>
        <w:t xml:space="preserve">Prima di quantificare il risparmio è necessario ricostruire, con apparato di fonti, le potenzialità cliniche dell’IA lungo le cinque dimensioni del continuum, poiché è da esse che il risparmio deriva. La maturità del campo è documentata dalla dinamica delle autorizzazioni regolatorie: la sola agenzia statunitense aveva autorizzato circa 950 dispositivi medici abilitati all’IA al 7 agosto 2024, in larga prevalenza in radiologia, a fronte di meno di 400 nel 2020 e di un ritmo dell’ordine di un centinaio di nuove autorizzazioni l’anno.</w:t>
      </w:r>
      <w:r>
        <w:rPr>
          <w:rStyle w:val="FootnoteReference"/>
        </w:rPr>
        <w:footnoteReference w:id="620"/>
      </w:r>
      <w:r>
        <w:t xml:space="preserve"> </w:t>
      </w:r>
      <w:r>
        <w:t xml:space="preserve">Questa crescita riflette il passaggio dell’IA dalla fase sperimentale a quella applicativa, ma impone al contempo un avvertimento metodologico: una quota ridotta dei dispositivi autorizzati è sostenuta da studi clinici randomizzati, e la trasparenza sui dati di addestramento resta spesso limitata.</w:t>
      </w:r>
      <w:r>
        <w:rPr>
          <w:rStyle w:val="FootnoteReference"/>
        </w:rPr>
        <w:footnoteReference w:id="621"/>
      </w:r>
      <w:r>
        <w:t xml:space="preserve"> </w:t>
      </w:r>
      <w:r>
        <w:t xml:space="preserve">La Regione deve pertanto privilegiare gli strumenti dotati di evidenza più solida e prevedere validazione locale e monitoraggio prospettico degli esiti, come si argomenterà nella settima sezione.</w:t>
      </w:r>
    </w:p>
    <w:bookmarkStart w:id="1422" w:name="diagnostica"/>
    <w:p>
      <w:pPr>
        <w:pStyle w:val="Heading3"/>
      </w:pPr>
      <w:r>
        <w:t xml:space="preserve">4.1 Diagnostica</w:t>
      </w:r>
    </w:p>
    <w:p>
      <w:pPr>
        <w:pStyle w:val="FirstParagraph"/>
      </w:pPr>
      <w:r>
        <w:t xml:space="preserve">La diagnostica è l’ambito in cui l’IA ha raggiunto la maggiore maturità e in cui esiste l’evidenza più robusta di trasferimento di capacità specialistica al livello delle cure primarie. L’esempio paradigmatico è il sistema autonomo per la rilevazione della retinopatia diabetica, primo dispositivo di IA autonoma autorizzato dalla FDA in qualsiasi ambito della medicina, validato in uno studio prospettico multicentrico con una sensibilità dell’ottantasette per cento e una specificità del novanta per cento rispetto a uno standard di lettura esperta, e in grado di produrre una decisione clinica nel punto di cura senza necessità di revisione da parte di uno specialista.</w:t>
      </w:r>
      <w:r>
        <w:rPr>
          <w:rStyle w:val="FootnoteReference"/>
        </w:rPr>
        <w:footnoteReference w:id="622"/>
      </w:r>
      <w:r>
        <w:t xml:space="preserve"> </w:t>
      </w:r>
      <w:r>
        <w:t xml:space="preserve">Uno studio controllato randomizzato successivo ha dimostrato che l’impiego di tale sistema in età giovanile incrementa i tassi di esecuzione dello screening e di adesione al successivo percorso di cura.</w:t>
      </w:r>
      <w:r>
        <w:rPr>
          <w:rStyle w:val="FootnoteReference"/>
        </w:rPr>
        <w:footnoteReference w:id="623"/>
      </w:r>
      <w:r>
        <w:t xml:space="preserve"> </w:t>
      </w:r>
      <w:r>
        <w:t xml:space="preserve">Il significato per le cure primarie è diretto: una patologia che richiederebbe l’accesso allo specialista può essere intercettata nello studio del medico di base, riducendo gli invii inappropriati e prevenendo complicanze costose.</w:t>
      </w:r>
    </w:p>
    <w:p>
      <w:pPr>
        <w:pStyle w:val="BodyText"/>
      </w:pPr>
      <w:r>
        <w:t xml:space="preserve">Analoga evidenza proviene da altri ambiti dello screening. Negli studi prospettici sullo screening mammografico, la lettura assistita da IA ha mostrato una rilevazione del cancro non inferiore alla doppia lettura umana a fronte di una riduzione sostanziale del carico di lavoro radiologico</w:t>
      </w:r>
      <w:r>
        <w:rPr>
          <w:rStyle w:val="FootnoteReference"/>
        </w:rPr>
        <w:footnoteReference w:id="624"/>
      </w:r>
      <w:r>
        <w:t xml:space="preserve">; nella colonscopia, la visione artificiale in tempo reale incrementa il tasso di rilevazione degli adenomi senza aumentare la rimozione di tessuto non patologico, e le analisi di costo riportano riduzioni del costo medio della procedura nell’ordine compreso tra il sette e il diciannove per cento in diversi sistemi sanitari.</w:t>
      </w:r>
      <w:r>
        <w:rPr>
          <w:rStyle w:val="FootnoteReference"/>
        </w:rPr>
        <w:footnoteReference w:id="625"/>
      </w:r>
      <w:r>
        <w:t xml:space="preserve"> </w:t>
      </w:r>
      <w:r>
        <w:t xml:space="preserve">Più in generale, la revisione sistematica delle valutazioni economiche conferma che il principale meccanismo attraverso cui l’IA diagnostica genera risparmio è la riduzione delle procedure non necessarie e l’ottimizzazione dell’impiego delle risorse, con rapporti di costo-efficacia incrementale ampiamente al di sotto delle soglie comunemente accettate.</w:t>
      </w:r>
      <w:r>
        <w:rPr>
          <w:rStyle w:val="FootnoteReference"/>
        </w:rPr>
        <w:footnoteReference w:id="626"/>
      </w:r>
    </w:p>
    <w:p>
      <w:pPr>
        <w:pStyle w:val="BodyText"/>
      </w:pPr>
      <w:r>
        <w:t xml:space="preserve">Per la squadra delle cure primarie pugliese, la diagnostica assistita da IA si traduce in tre funzioni concrete: il supporto alla decisione diagnostica del medico di base, che riduce sia i mancati riconoscimenti sia gli accertamenti ridondanti; lo screening autonomo o semi-autonomo di condizioni ad alta prevalenza direttamente nello studio, che evita l’invio sistematico allo specialista; e il triage diagnostico, che indirizza al secondo livello soltanto i casi che ne hanno effettiva necessità. Ciascuna di queste funzioni agisce sulla voce di spesa specialistica e diagnostica, che è la più ampia del perimetro territoriale, e ne giustifica il ruolo centrale nella quantificazione.</w:t>
      </w:r>
    </w:p>
    <w:bookmarkEnd w:id="1422"/>
    <w:bookmarkStart w:id="1425" w:name="prevenzione-e-predizione"/>
    <w:p>
      <w:pPr>
        <w:pStyle w:val="Heading3"/>
      </w:pPr>
      <w:r>
        <w:t xml:space="preserve">4.2 Prevenzione e predizione</w:t>
      </w:r>
    </w:p>
    <w:p>
      <w:pPr>
        <w:pStyle w:val="FirstParagraph"/>
      </w:pPr>
      <w:r>
        <w:t xml:space="preserve">La prevenzione è l’ambito in cui l’IA esprime la propria specificità più marcata, poiché l’analisi predittiva consente di anticipare l’evento clinico anziché limitarsi a reagirvi. I modelli di stratificazione del rischio, alimentati dai dati delle cartelle cliniche, dai parametri raccolti dai dispositivi indossabili e dai determinanti sociali di salute, identificano con accuratezza superiore al solo giudizio clinico i pazienti a maggiore rischio di riacutizzazione o di riospedalizzazione, consentendo di concentrare su di essi interventi proattivi. Gli studi prospettici documentano riduzioni delle riammissioni a trenta giorni comprese tra il dieci e il cinquanta per cento quando il modello predittivo è collegato a un’azione clinica definita; un sistema ospedaliero ha dimezzato in diciotto mesi un costo annuo di alcuni milioni di euro per riammissioni evitabili.</w:t>
      </w:r>
      <w:r>
        <w:rPr>
          <w:rStyle w:val="FootnoteReference"/>
        </w:rPr>
        <w:footnoteReference w:id="627"/>
      </w:r>
    </w:p>
    <w:p>
      <w:pPr>
        <w:pStyle w:val="BodyText"/>
      </w:pPr>
      <w:r>
        <w:t xml:space="preserve">La condizione di efficacia, ricorrente nella letteratura, è che la predizione non migliora di per sé gli esiti se non è tradotta in un intervento: il valore del modello risiede nel collegamento tra l’output di rischio e un’azione del professionista, quale la programmazione di un controllo, l’intensificazione del monitoraggio o l’attivazione di un percorso domiciliare.</w:t>
      </w:r>
      <w:r>
        <w:rPr>
          <w:rStyle w:val="FootnoteReference"/>
        </w:rPr>
        <w:footnoteReference w:id="628"/>
      </w:r>
      <w:r>
        <w:t xml:space="preserve"> </w:t>
      </w:r>
      <w:r>
        <w:t xml:space="preserve">Questo è precisamente il punto in cui la formazione diviene decisiva: lo stesso modello predittivo produce risparmio elevato in mano a un professionista formato a interpretarne l’avviso e ad agire di conseguenza, e nessun risparmio in mano a un professionista che lo ignora o ne diffida. Nelle cure primarie pugliesi la stratificazione del rischio consente di anticipare le riacutizzazioni delle patologie croniche a forte componente psicosomatica, di intercettare i frequent attenders prima che generino accessi impropri e di indirizzare lo psicologo di base verso i pazienti a maggiore rischio di cronicizzazione del disturbo mentale comune, integrandosi con la funzione di filtro già prevista dal progetto.</w:t>
      </w:r>
    </w:p>
    <w:bookmarkEnd w:id="1425"/>
    <w:bookmarkStart w:id="1434" w:name="trattamento"/>
    <w:p>
      <w:pPr>
        <w:pStyle w:val="Heading3"/>
      </w:pPr>
      <w:r>
        <w:t xml:space="preserve">4.3 Trattamento</w:t>
      </w:r>
    </w:p>
    <w:p>
      <w:pPr>
        <w:pStyle w:val="FirstParagraph"/>
      </w:pPr>
      <w:r>
        <w:t xml:space="preserve">Nel trattamento dei disturbi mentali comuni lievi e moderati — il bersaglio elettivo dello psicologo di base — l’evidenza più autorevole proviene dal primo studio controllato randomizzato di un agente di IA generativa per la psicoterapia, condotto su un campione nazionale di duecentodieci adulti con sintomi clinicamente significativi di depressione maggiore, disturbo d’ansia generalizzato o rischio elevato di disturbo del comportamento alimentare. Lo studio ha documentato, a otto settimane, una riduzione dei sintomi depressivi pari al cinquantuno per cento, dei sintomi ansiosi pari al trentuno per cento e delle preoccupazioni relative ai disturbi alimentari pari al diciannove per cento, con un’alleanza terapeutica percepita comparabile a quella stabilita con un professionista umano.</w:t>
      </w:r>
      <w:r>
        <w:rPr>
          <w:rStyle w:val="FootnoteReference"/>
        </w:rPr>
        <w:footnoteReference w:id="629"/>
      </w:r>
      <w:r>
        <w:t xml:space="preserve"> </w:t>
      </w:r>
      <w:r>
        <w:rPr>
          <w:rStyle w:val="FootnoteReference"/>
        </w:rPr>
        <w:footnoteReference w:id="630"/>
      </w:r>
      <w:r>
        <w:t xml:space="preserve"> </w:t>
      </w:r>
      <w:r>
        <w:t xml:space="preserve">Evidenze precedenti, sebbene su orizzonti più brevi, avevano già mostrato l’efficacia di assistenti conversazionali basati sulla terapia cognitivo-comportamentale nel ridurre i sintomi depressivi e ansiosi in popolazioni giovanili e sub-cliniche.</w:t>
      </w:r>
      <w:r>
        <w:rPr>
          <w:rStyle w:val="FootnoteReference"/>
        </w:rPr>
        <w:footnoteReference w:id="631"/>
      </w:r>
    </w:p>
    <w:p>
      <w:pPr>
        <w:pStyle w:val="BodyText"/>
      </w:pPr>
      <w:r>
        <w:t xml:space="preserve">Questi risultati vanno letti con l’avvertimento esplicito formulato dagli stessi autori: nessun agente generativo è oggi idoneo a operare in piena autonomia in salute mentale, attesa l’ampiezza degli scenari ad alto rischio che può incontrare, e il suo impiego presuppone la supervisione di un professionista.</w:t>
      </w:r>
      <w:r>
        <w:rPr>
          <w:rStyle w:val="FootnoteReference"/>
        </w:rPr>
        <w:footnoteReference w:id="632"/>
      </w:r>
      <w:r>
        <w:t xml:space="preserve"> </w:t>
      </w:r>
      <w:r>
        <w:t xml:space="preserve">Ne discende il modello appropriato per le cure primarie pugliesi: l’IA conversazionale non sostituisce lo psicologo di base, ma estende la sua capacità di presa in carico ai casi più lievi e nei tempi di attesa, opera come primo livello sotto supervisione clinica e libera tempo professionale per i casi di maggiore complessità. A questa funzione terapeutica diretta si affianca il sostegno alla decisione clinica del professionista — attraverso strumenti che orientano la scelta dell’intervento e il monitoraggio degli esiti mediante misure standardizzate — e l’appropriatezza prescrittiva, poiché una migliore gestione psicologica del disturbo comune riduce il ricorso inappropriato a psicofarmaci e analgesici, voce sulla quale la Relazione ha già stimato un risparmio rilevante.</w:t>
      </w:r>
    </w:p>
    <w:p>
      <w:pPr>
        <w:pStyle w:val="BodyText"/>
      </w:pPr>
      <w:r>
        <w:t xml:space="preserve">Una componente del trattamento che produce risparmio in modo indiretto ma documentato è l’alleggerimento del carico amministrativo del professionista mediante gli assistenti di documentazione clinica ambientale, che generano automaticamente la nota clinica a partire dal colloquio. Gli studi, inclusi disegni randomizzati pragmatici, riportano una riduzione del tempo dedicato alla documentazione dell’ordine di venti-trenta minuti per giornata di ambulatorio per operatore, con riduzione del burnout e migliore accuratezza della codifica.</w:t>
      </w:r>
      <w:r>
        <w:rPr>
          <w:rStyle w:val="FootnoteReference"/>
        </w:rPr>
        <w:footnoteReference w:id="633"/>
      </w:r>
      <w:r>
        <w:t xml:space="preserve"> </w:t>
      </w:r>
      <w:r>
        <w:rPr>
          <w:rStyle w:val="FootnoteReference"/>
        </w:rPr>
        <w:footnoteReference w:id="634"/>
      </w:r>
      <w:r>
        <w:t xml:space="preserve"> </w:t>
      </w:r>
      <w:r>
        <w:t xml:space="preserve">Il tempo liberato è tempo restituito alla relazione clinica e alla presa in carico, e si traduce in maggiore capacità del servizio a parità di organico. Anche in questo caso l’evidenza impone cautela, poiché uno studio randomizzato ha segnalato la comparsa occasionale di inesattezze clinicamente rilevanti negli esiti automatizzati, da cui la necessità di una revisione vigile da parte del professionista</w:t>
      </w:r>
      <w:r>
        <w:rPr>
          <w:rStyle w:val="FootnoteReference"/>
        </w:rPr>
        <w:footnoteReference w:id="635"/>
      </w:r>
      <w:r>
        <w:t xml:space="preserve"> </w:t>
      </w:r>
      <w:r>
        <w:t xml:space="preserve">— ulteriore conferma che la competenza dell’operatore è parte integrante della sicurezza dello strumento.</w:t>
      </w:r>
      <w:r>
        <w:rPr>
          <w:rStyle w:val="FootnoteReference"/>
        </w:rPr>
        <w:footnoteReference w:id="636"/>
      </w:r>
    </w:p>
    <w:bookmarkEnd w:id="1434"/>
    <w:bookmarkStart w:id="1437" w:name="riabilitazione"/>
    <w:p>
      <w:pPr>
        <w:pStyle w:val="Heading3"/>
      </w:pPr>
      <w:r>
        <w:t xml:space="preserve">4.4 Riabilitazione</w:t>
      </w:r>
    </w:p>
    <w:p>
      <w:pPr>
        <w:pStyle w:val="FirstParagraph"/>
      </w:pPr>
      <w:r>
        <w:t xml:space="preserve">Nella riabilitazione, l’IA opera principalmente attraverso la teleriabilitazione, il monitoraggio remoto basato su sensori e la personalizzazione adattiva del programma riabilitativo. Le revisioni sistematiche con metanalisi documentano che la teleriabilitazione raggiunge esiti clinici equivalenti o migliori rispetto alla riabilitazione tradizionale in presenza, riducendo i costi di trasporto, le riammissioni e migliorando l’aderenza, con una probabilità di costo-efficacia elevata alle soglie comunemente adottate.</w:t>
      </w:r>
      <w:r>
        <w:rPr>
          <w:rStyle w:val="FootnoteReference"/>
        </w:rPr>
        <w:footnoteReference w:id="637"/>
      </w:r>
      <w:r>
        <w:t xml:space="preserve"> </w:t>
      </w:r>
      <w:r>
        <w:t xml:space="preserve">Nella riabilitazione cardiaca a distanza, la metanalisi degli studi controllati riporta miglioramenti della capacità funzionale, dell’attività fisica e della qualità di vita, accompagnati da una riduzione dei sintomi depressivi</w:t>
      </w:r>
      <w:r>
        <w:rPr>
          <w:rStyle w:val="FootnoteReference"/>
        </w:rPr>
        <w:footnoteReference w:id="638"/>
      </w:r>
      <w:r>
        <w:t xml:space="preserve">; gli strumenti di IA dedicati alla riabilitazione contribuiscono inoltre ad accrescere l’aderenza dell’utente attraverso il monitoraggio dell’esercizio e la previsione dell’andamento del recupero.</w:t>
      </w:r>
    </w:p>
    <w:p>
      <w:pPr>
        <w:pStyle w:val="BodyText"/>
      </w:pPr>
      <w:r>
        <w:t xml:space="preserve">Pur non costituendo il nucleo del servizio di psicologia di base, la riabilitazione assistita da IA rileva per il progetto pugliese sotto due profili. Il primo è la componente psicologica della riabilitazione fisica: la teleriabilitazione che incorpora il sostegno alla motivazione e alla regolazione emotiva migliora l’aderenza e riduce la componente depressiva che frequentemente accompagna le patologie croniche e post-acute, ambito nel quale lo psicologo di base e il medico di medicina generale collaborano. Il secondo è la riabilitazione cognitiva nei disturbi mentali, dove gli strumenti computer-assistiti hanno mostrato efficacia nel migliorare la funzione cognitiva. La riabilitazione concorre pertanto al risparmio attraverso la riduzione delle riammissioni e l’accorciamento dei percorsi, integrandosi con la funzione di prevenzione delle riacutizzazioni descritta in precedenza.</w:t>
      </w:r>
    </w:p>
    <w:bookmarkEnd w:id="1437"/>
    <w:bookmarkStart w:id="1439" w:name="recupero-e-prevenzione-delle-ricadute"/>
    <w:p>
      <w:pPr>
        <w:pStyle w:val="Heading3"/>
      </w:pPr>
      <w:r>
        <w:t xml:space="preserve">4.5 Recupero e prevenzione delle ricadute</w:t>
      </w:r>
    </w:p>
    <w:p>
      <w:pPr>
        <w:pStyle w:val="FirstParagraph"/>
      </w:pPr>
      <w:r>
        <w:t xml:space="preserve">La dimensione del recupero riguarda il mantenimento del beneficio clinico nel tempo e la prevenzione delle ricadute, ed è quella in cui il monitoraggio continuo abilitato dall’IA esprime il valore più specifico. Nella gestione dei disturbi mentali, anche gravi, la revisione sistematica della telesalute documenta che il supporto a distanza migliora l’aderenza al trattamento e riduce la gravità dei sintomi e le giornate di degenza, e che la riabilitazione cognitiva computer-assistita migliora la funzione cognitiva.</w:t>
      </w:r>
      <w:r>
        <w:rPr>
          <w:rStyle w:val="FootnoteReference"/>
        </w:rPr>
        <w:footnoteReference w:id="639"/>
      </w:r>
      <w:r>
        <w:t xml:space="preserve"> </w:t>
      </w:r>
      <w:r>
        <w:t xml:space="preserve">Il monitoraggio remoto dei sintomi e dei parametri comportamentali consente di rilevare precocemente i segni di una ricaduta e di attivare un intervento prima che essa esiti in un accesso in urgenza o in un ricovero, secondo la stessa logica predittiva descritta per la prevenzione, ma applicata alla fase successiva al trattamento.</w:t>
      </w:r>
    </w:p>
    <w:p>
      <w:pPr>
        <w:pStyle w:val="BodyText"/>
      </w:pPr>
      <w:r>
        <w:t xml:space="preserve">Per il progetto pugliese, la prevenzione delle ricadute si integra con la funzione di filtro dello psicologo di base e con i percorsi di continuità tra medicina generale e servizi specialistici di salute mentale. Il monitoraggio degli esiti mediante misure standardizzate, già previsto dal modello organizzativo, può essere potenziato da strumenti algoritmici che segnalano tempestivamente il peggioramento, evitando sia la cronicizzazione dei quadri ansioso-depressivi sia gli accessi impropri all’urgenza psichiatrica. Il risparmio connesso a questa dimensione si concentra dunque sulla riduzione dei ricoveri e degli accessi in urgenza, voci a elevato costo unitario, e cresce nel tempo, perché la prevenzione della ricaduta produce i propri effetti su un orizzonte pluriennale.</w:t>
      </w:r>
    </w:p>
    <w:bookmarkEnd w:id="1439"/>
    <w:bookmarkStart w:id="1442" w:name="il-panorama-brevettuale-e-regolatorio"/>
    <w:p>
      <w:pPr>
        <w:pStyle w:val="Heading3"/>
      </w:pPr>
      <w:r>
        <w:t xml:space="preserve">4.6 Il panorama brevettuale e regolatorio</w:t>
      </w:r>
    </w:p>
    <w:p>
      <w:pPr>
        <w:pStyle w:val="FirstParagraph"/>
      </w:pPr>
      <w:r>
        <w:t xml:space="preserve">La consistenza del panorama brevettuale e dei dispositivi autorizzati costituisce un indicatore della disponibilità effettiva degli strumenti e un vincolo per la programmazione. La dinamica delle autorizzazioni statunitensi, già richiamata, mostra una concentrazione in radiologia ma una progressiva estensione ad altri ambiti, inclusa l’oftalmologia, in cui sono ormai disponibili più sistemi di screening autonomo concorrenti.</w:t>
      </w:r>
      <w:r>
        <w:rPr>
          <w:rStyle w:val="FootnoteReference"/>
        </w:rPr>
        <w:footnoteReference w:id="640"/>
      </w:r>
      <w:r>
        <w:t xml:space="preserve"> </w:t>
      </w:r>
      <w:r>
        <w:t xml:space="preserve">L’introduzione, da parte del sistema assicurativo pubblico statunitense, di un codice di rimborso dedicato all’analisi autonoma della retina nel punto di cura ha inoltre dimostrato che l’IA autonoma può essere incardinata nei meccanismi di pagamento, condizione necessaria perché il risparmio si traduca in sostenibilità.</w:t>
      </w:r>
    </w:p>
    <w:p>
      <w:pPr>
        <w:pStyle w:val="BodyText"/>
      </w:pPr>
      <w:r>
        <w:t xml:space="preserve">Il vincolo regolatorio europeo è dirimente per la Puglia. Il Regolamento europeo sull’IA, entrato in vigore nell’agosto 2024, classifica i sistemi di IA incorporati nei dispositivi medici nella categoria ad alto rischio; la maggior parte degli obblighi decorre dall’agosto 2026, con piena conformità per l’IA dei dispositivi medici dall’agosto 2027, e la guida del gruppo di coordinamento dei dispositivi medici ha chiarito l’interazione con il Regolamento dispositivi medici.</w:t>
      </w:r>
      <w:r>
        <w:rPr>
          <w:rStyle w:val="FootnoteReference"/>
        </w:rPr>
        <w:footnoteReference w:id="641"/>
      </w:r>
      <w:r>
        <w:t xml:space="preserve"> </w:t>
      </w:r>
      <w:r>
        <w:t xml:space="preserve">Ne discende che gli strumenti di triage e di supporto decisionale destinati all’impiego nelle cure primarie pugliesi dovranno essere conformi a tale quadro entro le scadenze indicate, e che la formazione del personale dovrà includere i profili etici e giuridici dell’uso dell’IA — protezione dei dati, consenso informato, distorsione algoritmica, responsabilità professionale — quale parte integrante della competenza richiesta. La conformità regolatoria non è quindi un ostacolo al risparmio, ma la condizione che ne assicura la legittimità e la durata.</w:t>
      </w:r>
    </w:p>
    <w:bookmarkEnd w:id="1442"/>
    <w:bookmarkEnd w:id="1443"/>
    <w:bookmarkStart w:id="1444" w:name="X7ed503fc355076686b09f35fa465039cb05a593"/>
    <w:p>
      <w:pPr>
        <w:pStyle w:val="Heading2"/>
      </w:pPr>
      <w:r>
        <w:t xml:space="preserve">5. Dalla potenzialità alla competenza: mappatura delle applicazioni cliniche sui fabbisogni formativi</w:t>
      </w:r>
    </w:p>
    <w:p>
      <w:pPr>
        <w:pStyle w:val="FirstParagraph"/>
      </w:pPr>
      <w:r>
        <w:t xml:space="preserve">Le potenzialità ricostruite nella sezione precedente definiscono, per converso, i fabbisogni formativi della squadra delle cure primarie, poiché ciascuna applicazione clinica presuppone un insieme determinato di competenze senza le quali essa non produce né beneficio clinico né risparmio. La tabella seguente collega le cinque dimensioni del continuum alle competenze richieste e alla modalità formativa più idonea a generarle, fornendo alla programmazione regionale la base per la progettazione dei percorsi. La logica sottostante è che la competenza non è generica ma situata: il professionista non deve diventare uno sviluppatore di algoritmi, bensì acquisire la capacità di impiegare con discernimento clinico gli strumenti pertinenti al proprio ambito, di interpretarne gli esiti, di riconoscerne i limiti e di integrarli nel flusso di lavoro nel rispetto del quadro etico e giuridico.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del continuum</w:t>
            </w:r>
          </w:p>
        </w:tc>
        <w:tc>
          <w:tcPr>
            <w:shd w:val="clear" w:color="auto" w:fill="16264B"/>
          </w:tcPr>
          <w:p>
            <w:pPr>
              <w:pStyle w:val="Compact"/>
              <w:spacing w:after="40" w:before="40"/>
              <w:jc w:val="left"/>
            </w:pPr>
            <w:r>
              <w:rPr>
                <w:rFonts w:ascii="Cambria" w:hAnsi="Cambria" w:cs="Cambria" w:eastAsia="Cambria"/>
                <w:b/>
                <w:bCs/>
                <w:color w:val="FFFFFF"/>
                <w:sz w:val="18"/>
              </w:rPr>
              <w:t xml:space="preserve">Competenze richieste al professionista</w:t>
            </w:r>
          </w:p>
        </w:tc>
        <w:tc>
          <w:tcPr>
            <w:shd w:val="clear" w:color="auto" w:fill="16264B"/>
          </w:tcPr>
          <w:p>
            <w:pPr>
              <w:pStyle w:val="Compact"/>
              <w:spacing w:after="40" w:before="40"/>
              <w:jc w:val="left"/>
            </w:pPr>
            <w:r>
              <w:rPr>
                <w:rFonts w:ascii="Cambria" w:hAnsi="Cambria" w:cs="Cambria" w:eastAsia="Cambria"/>
                <w:b/>
                <w:bCs/>
                <w:color w:val="FFFFFF"/>
                <w:sz w:val="18"/>
              </w:rPr>
              <w:t xml:space="preserve">Modalità formativa prevalente</w:t>
            </w:r>
          </w:p>
        </w:tc>
      </w:tr>
      <w:tr>
        <w:tc>
          <w:tcPr/>
          <w:p>
            <w:pPr>
              <w:pStyle w:val="Compact"/>
              <w:spacing w:after="40" w:before="40"/>
              <w:jc w:val="left"/>
            </w:pPr>
            <w:r>
              <w:rPr>
                <w:rFonts w:ascii="Cambria" w:hAnsi="Cambria" w:cs="Cambria" w:eastAsia="Cambria"/>
                <w:b/>
                <w:bCs/>
                <w:color w:val="1A1A1A"/>
                <w:sz w:val="18"/>
              </w:rPr>
              <w:t xml:space="preserve">Diagnostica</w:t>
            </w:r>
          </w:p>
        </w:tc>
        <w:tc>
          <w:tcPr/>
          <w:p>
            <w:pPr>
              <w:pStyle w:val="Compact"/>
              <w:spacing w:after="40" w:before="40"/>
              <w:jc w:val="left"/>
            </w:pPr>
            <w:r>
              <w:rPr>
                <w:rFonts w:ascii="Cambria" w:hAnsi="Cambria" w:cs="Cambria" w:eastAsia="Cambria"/>
                <w:color w:val="1A1A1A"/>
                <w:sz w:val="18"/>
              </w:rPr>
              <w:t xml:space="preserve">Interpretazione degli esiti dello screening autonomo e dei sistemi di supporto diagnostico; riconoscimento dei falsi positivi e negativi; criteri di invio appropriato al secondo livello.</w:t>
            </w:r>
          </w:p>
        </w:tc>
        <w:tc>
          <w:tcPr/>
          <w:p>
            <w:pPr>
              <w:pStyle w:val="Compact"/>
              <w:spacing w:after="40" w:before="40"/>
              <w:jc w:val="left"/>
            </w:pPr>
            <w:r>
              <w:rPr>
                <w:rFonts w:ascii="Cambria" w:hAnsi="Cambria" w:cs="Cambria" w:eastAsia="Cambria"/>
                <w:color w:val="1A1A1A"/>
                <w:sz w:val="18"/>
              </w:rPr>
              <w:t xml:space="preserve">Formazione continua con esercitazioni pratiche; accompagnamento sul campo nelle prime settimane di uso.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Prevenzione e predizione</w:t>
            </w:r>
          </w:p>
        </w:tc>
        <w:tc>
          <w:tcPr>
            <w:shd w:val="clear" w:color="auto" w:fill="F4F1EC"/>
          </w:tcPr>
          <w:p>
            <w:pPr>
              <w:pStyle w:val="Compact"/>
              <w:spacing w:after="40" w:before="40"/>
              <w:jc w:val="left"/>
            </w:pPr>
            <w:r>
              <w:rPr>
                <w:rFonts w:ascii="Cambria" w:hAnsi="Cambria" w:cs="Cambria" w:eastAsia="Cambria"/>
                <w:color w:val="1A1A1A"/>
                <w:sz w:val="18"/>
              </w:rPr>
              <w:t xml:space="preserve">Lettura e interpretazione degli avvisi di rischio; traduzione dell’output predittivo in azione clinica; gestione dei determinanti sociali nei modelli.</w:t>
            </w:r>
          </w:p>
        </w:tc>
        <w:tc>
          <w:tcPr>
            <w:shd w:val="clear" w:color="auto" w:fill="F4F1EC"/>
          </w:tcPr>
          <w:p>
            <w:pPr>
              <w:pStyle w:val="Compact"/>
              <w:spacing w:after="40" w:before="40"/>
              <w:jc w:val="left"/>
            </w:pPr>
            <w:r>
              <w:rPr>
                <w:rFonts w:ascii="Cambria" w:hAnsi="Cambria" w:cs="Cambria" w:eastAsia="Cambria"/>
                <w:color w:val="1A1A1A"/>
                <w:sz w:val="18"/>
              </w:rPr>
              <w:t xml:space="preserve">Formazione continua; accompagnamento; comunità di pratica per la condivisione dei casi.</w:t>
            </w:r>
          </w:p>
        </w:tc>
      </w:tr>
      <w:tr>
        <w:tc>
          <w:tcPr/>
          <w:p>
            <w:pPr>
              <w:pStyle w:val="Compact"/>
              <w:spacing w:after="40" w:before="40"/>
              <w:jc w:val="left"/>
            </w:pPr>
            <w:r>
              <w:rPr>
                <w:rFonts w:ascii="Cambria" w:hAnsi="Cambria" w:cs="Cambria" w:eastAsia="Cambria"/>
                <w:b/>
                <w:bCs/>
                <w:color w:val="1A1A1A"/>
                <w:sz w:val="18"/>
              </w:rPr>
              <w:t xml:space="preserve">Trattamento</w:t>
            </w:r>
          </w:p>
        </w:tc>
        <w:tc>
          <w:tcPr/>
          <w:p>
            <w:pPr>
              <w:pStyle w:val="Compact"/>
              <w:spacing w:after="40" w:before="40"/>
              <w:jc w:val="left"/>
            </w:pPr>
            <w:r>
              <w:rPr>
                <w:rFonts w:ascii="Cambria" w:hAnsi="Cambria" w:cs="Cambria" w:eastAsia="Cambria"/>
                <w:color w:val="1A1A1A"/>
                <w:sz w:val="18"/>
              </w:rPr>
              <w:t xml:space="preserve">Supervisione clinica degli agenti conversazionali; uso del sostegno alla decisione e delle misure di esito; revisione vigile della documentazione automatizzata; appropriatezza prescrittiva.</w:t>
            </w:r>
          </w:p>
        </w:tc>
        <w:tc>
          <w:tcPr/>
          <w:p>
            <w:pPr>
              <w:pStyle w:val="Compact"/>
              <w:spacing w:after="40" w:before="40"/>
              <w:jc w:val="left"/>
            </w:pPr>
            <w:r>
              <w:rPr>
                <w:rFonts w:ascii="Cambria" w:hAnsi="Cambria" w:cs="Cambria" w:eastAsia="Cambria"/>
                <w:color w:val="1A1A1A"/>
                <w:sz w:val="18"/>
              </w:rPr>
              <w:t xml:space="preserve">Formazione post-universitaria per i referenti; formazione continua per la generalità; accompagnamento.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Riabilitazione</w:t>
            </w:r>
          </w:p>
        </w:tc>
        <w:tc>
          <w:tcPr>
            <w:shd w:val="clear" w:color="auto" w:fill="F4F1EC"/>
          </w:tcPr>
          <w:p>
            <w:pPr>
              <w:pStyle w:val="Compact"/>
              <w:spacing w:after="40" w:before="40"/>
              <w:jc w:val="left"/>
            </w:pPr>
            <w:r>
              <w:rPr>
                <w:rFonts w:ascii="Cambria" w:hAnsi="Cambria" w:cs="Cambria" w:eastAsia="Cambria"/>
                <w:color w:val="1A1A1A"/>
                <w:sz w:val="18"/>
              </w:rPr>
              <w:t xml:space="preserve">Gestione della teleriabilitazione e del monitoraggio remoto; sostegno alla motivazione e all’aderenza; lettura dei dati dei sensori.</w:t>
            </w:r>
          </w:p>
        </w:tc>
        <w:tc>
          <w:tcPr>
            <w:shd w:val="clear" w:color="auto" w:fill="F4F1EC"/>
          </w:tcPr>
          <w:p>
            <w:pPr>
              <w:pStyle w:val="Compact"/>
              <w:spacing w:after="40" w:before="40"/>
              <w:jc w:val="left"/>
            </w:pPr>
            <w:r>
              <w:rPr>
                <w:rFonts w:ascii="Cambria" w:hAnsi="Cambria" w:cs="Cambria" w:eastAsia="Cambria"/>
                <w:color w:val="1A1A1A"/>
                <w:sz w:val="18"/>
              </w:rPr>
              <w:t xml:space="preserve">Formazione continua; accompagnamento per la configurazione degli strumenti.</w:t>
            </w:r>
          </w:p>
        </w:tc>
      </w:tr>
      <w:tr>
        <w:tc>
          <w:tcPr/>
          <w:p>
            <w:pPr>
              <w:pStyle w:val="Compact"/>
              <w:spacing w:after="40" w:before="40"/>
              <w:jc w:val="left"/>
            </w:pPr>
            <w:r>
              <w:rPr>
                <w:rFonts w:ascii="Cambria" w:hAnsi="Cambria" w:cs="Cambria" w:eastAsia="Cambria"/>
                <w:b/>
                <w:bCs/>
                <w:color w:val="1A1A1A"/>
                <w:sz w:val="18"/>
              </w:rPr>
              <w:t xml:space="preserve">Recupero e ricadute</w:t>
            </w:r>
          </w:p>
        </w:tc>
        <w:tc>
          <w:tcPr/>
          <w:p>
            <w:pPr>
              <w:pStyle w:val="Compact"/>
              <w:spacing w:after="40" w:before="40"/>
              <w:jc w:val="left"/>
            </w:pPr>
            <w:r>
              <w:rPr>
                <w:rFonts w:ascii="Cambria" w:hAnsi="Cambria" w:cs="Cambria" w:eastAsia="Cambria"/>
                <w:color w:val="1A1A1A"/>
                <w:sz w:val="18"/>
              </w:rPr>
              <w:t xml:space="preserve">Interpretazione del monitoraggio degli esiti; riconoscimento precoce dei segni di ricaduta; attivazione tempestiva dell’intervento e dei percorsi di continuità.</w:t>
            </w:r>
          </w:p>
        </w:tc>
        <w:tc>
          <w:tcPr/>
          <w:p>
            <w:pPr>
              <w:pStyle w:val="Compact"/>
              <w:spacing w:after="40" w:before="40"/>
              <w:jc w:val="left"/>
            </w:pPr>
            <w:r>
              <w:rPr>
                <w:rFonts w:ascii="Cambria" w:hAnsi="Cambria" w:cs="Cambria" w:eastAsia="Cambria"/>
                <w:color w:val="1A1A1A"/>
                <w:sz w:val="18"/>
              </w:rPr>
              <w:t xml:space="preserve">Formazione continua; accompagnamento; comunità di pratica.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Trasversale (tutte)</w:t>
            </w:r>
          </w:p>
        </w:tc>
        <w:tc>
          <w:tcPr>
            <w:shd w:val="clear" w:color="auto" w:fill="F4F1EC"/>
          </w:tcPr>
          <w:p>
            <w:pPr>
              <w:pStyle w:val="Compact"/>
              <w:spacing w:after="40" w:before="40"/>
              <w:jc w:val="left"/>
            </w:pPr>
            <w:r>
              <w:rPr>
                <w:rFonts w:ascii="Cambria" w:hAnsi="Cambria" w:cs="Cambria" w:eastAsia="Cambria"/>
                <w:color w:val="1A1A1A"/>
                <w:sz w:val="18"/>
              </w:rPr>
              <w:t xml:space="preserve">Fondamenti dell’IA e dell’apprendimento automatico; distorsione algoritmica e validazione clinica; protezione dei dati, consenso informato e responsabilità; conformità al Regolamento europeo sull’IA.</w:t>
            </w:r>
          </w:p>
        </w:tc>
        <w:tc>
          <w:tcPr>
            <w:shd w:val="clear" w:color="auto" w:fill="F4F1EC"/>
          </w:tcPr>
          <w:p>
            <w:pPr>
              <w:pStyle w:val="Compact"/>
              <w:spacing w:after="40" w:before="40"/>
              <w:jc w:val="left"/>
            </w:pPr>
            <w:r>
              <w:rPr>
                <w:rFonts w:ascii="Cambria" w:hAnsi="Cambria" w:cs="Cambria" w:eastAsia="Cambria"/>
                <w:color w:val="1A1A1A"/>
                <w:sz w:val="18"/>
              </w:rPr>
              <w:t xml:space="preserve">Formazione universitaria per le coorti future; formazione continua etico-giuridica obbligatoria per il personale in servizio.</w:t>
            </w:r>
          </w:p>
        </w:tc>
      </w:tr>
    </w:tbl>
    <w:p>
      <w:pPr>
        <w:pStyle w:val="BodyText"/>
      </w:pPr>
      <w:r>
        <w:rPr>
          <w:i/>
          <w:iCs/>
        </w:rPr>
        <w:t xml:space="preserve">Tabella 1. Mappatura delle applicazioni cliniche dell’IA sui fabbisogni formativi della squadra delle cure primarie e sulle modalità formative idonee a generarli.</w:t>
      </w:r>
    </w:p>
    <w:p>
      <w:pPr>
        <w:pStyle w:val="BodyText"/>
      </w:pPr>
      <w:r>
        <w:t xml:space="preserve">La lettura della tabella evidenzia un fatto rilevante per la quantificazione: per quasi tutte le dimensioni la modalità formativa prevalente è la formazione continua integrata dall’accompagnamento sul campo, ossia le due modalità a impatto più immediato e a maggiore effetto sulla profondità di adozione. La formazione universitaria e quella post-universitaria, pur indispensabili rispettivamente per la sostenibilità di lungo periodo e per la generazione delle figure di traino, agiscono su orizzonti e popolazioni che incidono sul risparmio in modo differito o mediato. Questa constatazione orienta la strategia regionale verso una concentrazione dell’investimento marginale sulle componenti formative più prossime all’uso clinico, coerentemente con quanto argomentato nella terza sezione.</w:t>
      </w:r>
    </w:p>
    <w:bookmarkEnd w:id="1444"/>
    <w:bookmarkStart w:id="1456" w:name="X23513bcd03a710997ea87417ad2380a120421cf"/>
    <w:p>
      <w:pPr>
        <w:pStyle w:val="Heading2"/>
      </w:pPr>
      <w:r>
        <w:t xml:space="preserve">6. Quantificazione dell’ulteriore riduzione della spesa sanitaria in Puglia</w:t>
      </w:r>
    </w:p>
    <w:p>
      <w:pPr>
        <w:pStyle w:val="FirstParagraph"/>
      </w:pPr>
      <w:r>
        <w:t xml:space="preserve">La presente sezione sviluppa la stima dell’incremento di risparmio attribuibile all’impiego dell’IA da parte di una squadra delle cure primarie formata, articolandola in cinque passaggi: la definizione del perimetro di spesa effettivamente influenzabile, l’esposizione del metodo fondato sulla profondità di adozione come moltiplicatore, la stima per canale, la costruzione di tre scenari e il calcolo del ritorno sull’investimento formativo. La stima è incrementale rispetto al risparmio di base già prodotto dal progetto e, per la parte che eccede la stima ristretta già contenuta nella Relazione, costituisce il contributo proprio di questo capitolo.</w:t>
      </w:r>
    </w:p>
    <w:bookmarkStart w:id="1446" w:name="il-perimetro-di-spesa-influenzabile"/>
    <w:p>
      <w:pPr>
        <w:pStyle w:val="Heading3"/>
      </w:pPr>
      <w:r>
        <w:t xml:space="preserve">6.1 Il perimetro di spesa influenzabile</w:t>
      </w:r>
    </w:p>
    <w:p>
      <w:pPr>
        <w:pStyle w:val="FirstParagraph"/>
      </w:pPr>
      <w:r>
        <w:t xml:space="preserve">Il primo passaggio consiste nel definire il perimetro della spesa sanitaria pugliese che la squadra delle cure primarie può effettivamente influenzare mediante l’IA, escludendo le componenti che dipendono da livelli di cura estranei al territorio. A partire dagli ordini di grandezza ricostruiti nella Relazione</w:t>
      </w:r>
      <w:r>
        <w:rPr>
          <w:rStyle w:val="FootnoteReference"/>
        </w:rPr>
        <w:footnoteReference w:id="642"/>
      </w:r>
      <w:r>
        <w:t xml:space="preserve">, il perimetro influenzabile comprende la farmaceutica territoriale, la quota territorialmente governabile della specialistica e della diagnostica acquistata, la medicina generale e la componente territoriale della salute mentale. La tabella seguente espone tali voci e la stima prudenziale della porzione di ciascuna effettivamente aggredibile dall’IA nelle cure primarie, al netto di ciò che il progetto di base già cattura attraverso il canale psicologico.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Voce di spesa territoriale (Puglia)</w:t>
            </w:r>
          </w:p>
        </w:tc>
        <w:tc>
          <w:tcPr>
            <w:shd w:val="clear" w:color="auto" w:fill="16264B"/>
          </w:tcPr>
          <w:p>
            <w:pPr>
              <w:pStyle w:val="Compact"/>
              <w:spacing w:after="40" w:before="40"/>
              <w:jc w:val="left"/>
            </w:pPr>
            <w:r>
              <w:rPr>
                <w:rFonts w:ascii="Cambria" w:hAnsi="Cambria" w:cs="Cambria" w:eastAsia="Cambria"/>
                <w:b/>
                <w:bCs/>
                <w:color w:val="FFFFFF"/>
                <w:sz w:val="18"/>
              </w:rPr>
              <w:t xml:space="preserve">Ordine di grandezza annuo</w:t>
            </w:r>
          </w:p>
        </w:tc>
        <w:tc>
          <w:tcPr>
            <w:shd w:val="clear" w:color="auto" w:fill="16264B"/>
          </w:tcPr>
          <w:p>
            <w:pPr>
              <w:pStyle w:val="Compact"/>
              <w:spacing w:after="40" w:before="40"/>
              <w:jc w:val="left"/>
            </w:pPr>
            <w:r>
              <w:rPr>
                <w:rFonts w:ascii="Cambria" w:hAnsi="Cambria" w:cs="Cambria" w:eastAsia="Cambria"/>
                <w:b/>
                <w:bCs/>
                <w:color w:val="FFFFFF"/>
                <w:sz w:val="18"/>
              </w:rPr>
              <w:t xml:space="preserve">Porzione prudenzialmente aggredibile dall’IA in cure primarie</w:t>
            </w:r>
          </w:p>
        </w:tc>
      </w:tr>
      <w:tr>
        <w:tc>
          <w:tcPr/>
          <w:p>
            <w:pPr>
              <w:pStyle w:val="Compact"/>
              <w:spacing w:after="40" w:before="40"/>
              <w:jc w:val="left"/>
            </w:pPr>
            <w:r>
              <w:rPr>
                <w:rFonts w:ascii="Cambria" w:hAnsi="Cambria" w:cs="Cambria" w:eastAsia="Cambria"/>
                <w:color w:val="1A1A1A"/>
                <w:sz w:val="18"/>
              </w:rPr>
              <w:t xml:space="preserve">Farmaceutica territoriale</w:t>
            </w:r>
          </w:p>
        </w:tc>
        <w:tc>
          <w:tcPr/>
          <w:p>
            <w:pPr>
              <w:pStyle w:val="Compact"/>
              <w:spacing w:after="40" w:before="40"/>
              <w:jc w:val="left"/>
            </w:pPr>
            <w:r>
              <w:rPr>
                <w:rFonts w:ascii="Cambria" w:hAnsi="Cambria" w:cs="Cambria" w:eastAsia="Cambria"/>
                <w:color w:val="1A1A1A"/>
                <w:sz w:val="18"/>
              </w:rPr>
              <w:t xml:space="preserve">≈ 800 M€</w:t>
            </w:r>
          </w:p>
        </w:tc>
        <w:tc>
          <w:tcPr/>
          <w:p>
            <w:pPr>
              <w:pStyle w:val="Compact"/>
              <w:spacing w:after="40" w:before="40"/>
              <w:jc w:val="left"/>
            </w:pPr>
            <w:r>
              <w:rPr>
                <w:rFonts w:ascii="Cambria" w:hAnsi="Cambria" w:cs="Cambria" w:eastAsia="Cambria"/>
                <w:color w:val="1A1A1A"/>
                <w:sz w:val="18"/>
              </w:rPr>
              <w:t xml:space="preserve">Appropriatezza prescrittiva, deprescrizione assistita, aderenza: quota residua oltre il canale psicologico già valorizzato.</w:t>
            </w:r>
          </w:p>
        </w:tc>
      </w:tr>
      <w:tr>
        <w:tc>
          <w:tcPr>
            <w:shd w:val="clear" w:color="auto" w:fill="F4F1EC"/>
          </w:tcPr>
          <w:p>
            <w:pPr>
              <w:pStyle w:val="Compact"/>
              <w:spacing w:after="40" w:before="40"/>
              <w:jc w:val="left"/>
            </w:pPr>
            <w:r>
              <w:rPr>
                <w:rFonts w:ascii="Cambria" w:hAnsi="Cambria" w:cs="Cambria" w:eastAsia="Cambria"/>
                <w:color w:val="1A1A1A"/>
                <w:sz w:val="18"/>
              </w:rPr>
              <w:t xml:space="preserve">Specialistica e diagnostica acquistata</w:t>
            </w:r>
          </w:p>
        </w:tc>
        <w:tc>
          <w:tcPr>
            <w:shd w:val="clear" w:color="auto" w:fill="F4F1EC"/>
          </w:tcPr>
          <w:p>
            <w:pPr>
              <w:pStyle w:val="Compact"/>
              <w:spacing w:after="40" w:before="40"/>
              <w:jc w:val="left"/>
            </w:pPr>
            <w:r>
              <w:rPr>
                <w:rFonts w:ascii="Cambria" w:hAnsi="Cambria" w:cs="Cambria" w:eastAsia="Cambria"/>
                <w:color w:val="1A1A1A"/>
                <w:sz w:val="18"/>
              </w:rPr>
              <w:t xml:space="preserve">≈ 1.000–1.200 M€ (quota territoriale)</w:t>
            </w:r>
          </w:p>
        </w:tc>
        <w:tc>
          <w:tcPr>
            <w:shd w:val="clear" w:color="auto" w:fill="F4F1EC"/>
          </w:tcPr>
          <w:p>
            <w:pPr>
              <w:pStyle w:val="Compact"/>
              <w:spacing w:after="40" w:before="40"/>
              <w:jc w:val="left"/>
            </w:pPr>
            <w:r>
              <w:rPr>
                <w:rFonts w:ascii="Cambria" w:hAnsi="Cambria" w:cs="Cambria" w:eastAsia="Cambria"/>
                <w:color w:val="1A1A1A"/>
                <w:sz w:val="18"/>
              </w:rPr>
              <w:t xml:space="preserve">Triage e supporto diagnostico, screening autonomi, riduzione di esami e visite inappropriati su tutte le condizioni, non solo psicosomatiche.</w:t>
            </w:r>
          </w:p>
        </w:tc>
      </w:tr>
      <w:tr>
        <w:tc>
          <w:tcPr/>
          <w:p>
            <w:pPr>
              <w:pStyle w:val="Compact"/>
              <w:spacing w:after="40" w:before="40"/>
              <w:jc w:val="left"/>
            </w:pPr>
            <w:r>
              <w:rPr>
                <w:rFonts w:ascii="Cambria" w:hAnsi="Cambria" w:cs="Cambria" w:eastAsia="Cambria"/>
                <w:color w:val="1A1A1A"/>
                <w:sz w:val="18"/>
              </w:rPr>
              <w:t xml:space="preserve">Medicina generale (MMG/PLS)</w:t>
            </w:r>
          </w:p>
        </w:tc>
        <w:tc>
          <w:tcPr/>
          <w:p>
            <w:pPr>
              <w:pStyle w:val="Compact"/>
              <w:spacing w:after="40" w:before="40"/>
              <w:jc w:val="left"/>
            </w:pPr>
            <w:r>
              <w:rPr>
                <w:rFonts w:ascii="Cambria" w:hAnsi="Cambria" w:cs="Cambria" w:eastAsia="Cambria"/>
                <w:color w:val="1A1A1A"/>
                <w:sz w:val="18"/>
              </w:rPr>
              <w:t xml:space="preserve">≈ 475 M€</w:t>
            </w:r>
          </w:p>
        </w:tc>
        <w:tc>
          <w:tcPr/>
          <w:p>
            <w:pPr>
              <w:pStyle w:val="Compact"/>
              <w:spacing w:after="40" w:before="40"/>
              <w:jc w:val="left"/>
            </w:pPr>
            <w:r>
              <w:rPr>
                <w:rFonts w:ascii="Cambria" w:hAnsi="Cambria" w:cs="Cambria" w:eastAsia="Cambria"/>
                <w:color w:val="1A1A1A"/>
                <w:sz w:val="18"/>
              </w:rPr>
              <w:t xml:space="preserve">Tempo clinico liberato dalla documentazione ambientale e dal supporto decisionale: beneficio prevalente in capacità e attesa.</w:t>
            </w:r>
          </w:p>
        </w:tc>
      </w:tr>
      <w:tr>
        <w:tc>
          <w:tcPr>
            <w:shd w:val="clear" w:color="auto" w:fill="F4F1EC"/>
          </w:tcPr>
          <w:p>
            <w:pPr>
              <w:pStyle w:val="Compact"/>
              <w:spacing w:after="40" w:before="40"/>
              <w:jc w:val="left"/>
            </w:pPr>
            <w:r>
              <w:rPr>
                <w:rFonts w:ascii="Cambria" w:hAnsi="Cambria" w:cs="Cambria" w:eastAsia="Cambria"/>
                <w:color w:val="1A1A1A"/>
                <w:sz w:val="18"/>
              </w:rPr>
              <w:t xml:space="preserve">Salute mentale (componente territoriale)</w:t>
            </w:r>
          </w:p>
        </w:tc>
        <w:tc>
          <w:tcPr>
            <w:shd w:val="clear" w:color="auto" w:fill="F4F1EC"/>
          </w:tcPr>
          <w:p>
            <w:pPr>
              <w:pStyle w:val="Compact"/>
              <w:spacing w:after="40" w:before="40"/>
              <w:jc w:val="left"/>
            </w:pPr>
            <w:r>
              <w:rPr>
                <w:rFonts w:ascii="Cambria" w:hAnsi="Cambria" w:cs="Cambria" w:eastAsia="Cambria"/>
                <w:color w:val="1A1A1A"/>
                <w:sz w:val="18"/>
              </w:rPr>
              <w:t xml:space="preserve">≈ 150 M€</w:t>
            </w:r>
          </w:p>
        </w:tc>
        <w:tc>
          <w:tcPr>
            <w:shd w:val="clear" w:color="auto" w:fill="F4F1EC"/>
          </w:tcPr>
          <w:p>
            <w:pPr>
              <w:pStyle w:val="Compact"/>
              <w:spacing w:after="40" w:before="40"/>
              <w:jc w:val="left"/>
            </w:pPr>
            <w:r>
              <w:rPr>
                <w:rFonts w:ascii="Cambria" w:hAnsi="Cambria" w:cs="Cambria" w:eastAsia="Cambria"/>
                <w:color w:val="1A1A1A"/>
                <w:sz w:val="18"/>
              </w:rPr>
              <w:t xml:space="preserve">Agenti conversazionali sotto supervisione, monitoraggio degli esiti, prevenzione delle ricadute oltre il canale di base.</w:t>
            </w:r>
          </w:p>
        </w:tc>
      </w:tr>
      <w:tr>
        <w:tc>
          <w:tcPr/>
          <w:p>
            <w:pPr>
              <w:pStyle w:val="Compact"/>
              <w:spacing w:after="40" w:before="40"/>
              <w:jc w:val="left"/>
            </w:pPr>
            <w:r>
              <w:rPr>
                <w:rFonts w:ascii="Cambria" w:hAnsi="Cambria" w:cs="Cambria" w:eastAsia="Cambria"/>
                <w:color w:val="1A1A1A"/>
                <w:sz w:val="18"/>
              </w:rPr>
              <w:t xml:space="preserve">Ricoveri e accessi in urgenza evitabili (sensibili alle cure primarie)</w:t>
            </w:r>
          </w:p>
        </w:tc>
        <w:tc>
          <w:tcPr/>
          <w:p>
            <w:pPr>
              <w:pStyle w:val="Compact"/>
              <w:spacing w:after="40" w:before="40"/>
              <w:jc w:val="left"/>
            </w:pPr>
            <w:r>
              <w:rPr>
                <w:rFonts w:ascii="Cambria" w:hAnsi="Cambria" w:cs="Cambria" w:eastAsia="Cambria"/>
                <w:color w:val="1A1A1A"/>
                <w:sz w:val="18"/>
              </w:rPr>
              <w:t xml:space="preserve">rilevante; in parte nei risparmi indiretti</w:t>
            </w:r>
          </w:p>
        </w:tc>
        <w:tc>
          <w:tcPr/>
          <w:p>
            <w:pPr>
              <w:pStyle w:val="Compact"/>
              <w:spacing w:after="40" w:before="40"/>
              <w:jc w:val="left"/>
            </w:pPr>
            <w:r>
              <w:rPr>
                <w:rFonts w:ascii="Cambria" w:hAnsi="Cambria" w:cs="Cambria" w:eastAsia="Cambria"/>
                <w:color w:val="1A1A1A"/>
                <w:sz w:val="18"/>
              </w:rPr>
              <w:t xml:space="preserve">Stratificazione del rischio, monitoraggio remoto, prevenzione delle riacutizzazioni e delle ricadute.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Perimetro influenzabile complessivo (ordine di grandezza)</w:t>
            </w:r>
          </w:p>
        </w:tc>
        <w:tc>
          <w:tcPr>
            <w:shd w:val="clear" w:color="auto" w:fill="F4F1EC"/>
          </w:tcPr>
          <w:p>
            <w:pPr>
              <w:pStyle w:val="Compact"/>
              <w:spacing w:after="40" w:before="40"/>
              <w:jc w:val="left"/>
            </w:pPr>
            <w:r>
              <w:rPr>
                <w:rFonts w:ascii="Cambria" w:hAnsi="Cambria" w:cs="Cambria" w:eastAsia="Cambria"/>
                <w:b/>
                <w:bCs/>
                <w:color w:val="1A1A1A"/>
                <w:sz w:val="18"/>
              </w:rPr>
              <w:t xml:space="preserve">≈ 2,4–2,6 mld €</w:t>
            </w:r>
          </w:p>
        </w:tc>
        <w:tc>
          <w:tcPr>
            <w:shd w:val="clear" w:color="auto" w:fill="F4F1EC"/>
          </w:tcPr>
          <w:p>
            <w:pPr>
              <w:pStyle w:val="Compact"/>
              <w:spacing w:after="40" w:before="40"/>
              <w:jc w:val="left"/>
            </w:pPr>
            <w:r>
              <w:rPr>
                <w:rFonts w:ascii="Cambria" w:hAnsi="Cambria" w:cs="Cambria" w:eastAsia="Cambria"/>
                <w:color w:val="1A1A1A"/>
                <w:sz w:val="18"/>
              </w:rPr>
              <w:t xml:space="preserve">Base prudenziale su cui applicare percentuali di riduzione incrementali e condizionate all’adozione.</w:t>
            </w:r>
          </w:p>
        </w:tc>
      </w:tr>
    </w:tbl>
    <w:p>
      <w:pPr>
        <w:pStyle w:val="BodyText"/>
      </w:pPr>
      <w:r>
        <w:rPr>
          <w:i/>
          <w:iCs/>
        </w:rPr>
        <w:t xml:space="preserve">Tabella 2. Perimetro della spesa territoriale pugliese influenzabile dall’IA nelle cure primarie. Le voci sono espresse come ordini di grandezza prudenziali, coerenti con i conti ricostruiti nella Relazione; il perimetro complessivo è al netto delle componenti ospedaliere e di secondo e terzo livello non governabili dal territorio.</w:t>
      </w:r>
    </w:p>
    <w:p>
      <w:pPr>
        <w:pStyle w:val="BodyText"/>
      </w:pPr>
      <w:r>
        <w:t xml:space="preserve">Il perimetro influenzabile, dell’ordine di due virgola quattro-due virgola sei miliardi di euro l’anno, costituisce la base su cui applicare le percentuali di riduzione incrementali. È essenziale ribadire che il progetto di base già cattura circa duecentosettanta milioni di euro su questo stesso perimetro attraverso il canale psicologico, ossia una quota dell’ordine del dieci-undici per cento; l’IA non duplica tale risparmio, ma agisce sulla porzione residua e sulle condizioni non psicosomatiche, aggiungendo un layer incrementale che le percentuali della sezione seguente quantificano in modo deliberatamente contenuto.</w:t>
      </w:r>
    </w:p>
    <w:bookmarkEnd w:id="1446"/>
    <w:bookmarkStart w:id="1448" w:name="Xc01e339ee21256ceea6adbfdb277b8ff692e613"/>
    <w:p>
      <w:pPr>
        <w:pStyle w:val="Heading3"/>
      </w:pPr>
      <w:r>
        <w:t xml:space="preserve">6.2 Il metodo: la profondità di adozione come moltiplicatore</w:t>
      </w:r>
    </w:p>
    <w:p>
      <w:pPr>
        <w:pStyle w:val="FirstParagraph"/>
      </w:pPr>
      <w:r>
        <w:t xml:space="preserve">Il metodo adottato applica al perimetro influenzabile una percentuale di riduzione incrementale, propria dell’IA, e la moltiplica per la profondità di adozione, ossia per la quota di professionisti che impiega effettivamente e correttamente gli strumenti. La percentuale incrementale è collocata nella parte bassa dell’intervallo che la letteratura attribuisce all’IA sulla spesa complessiva — il riferimento del cinque-dieci per cento</w:t>
      </w:r>
      <w:r>
        <w:rPr>
          <w:rStyle w:val="FootnoteReference"/>
        </w:rPr>
        <w:footnoteReference w:id="643"/>
      </w:r>
      <w:r>
        <w:t xml:space="preserve"> </w:t>
      </w:r>
      <w:r>
        <w:t xml:space="preserve">— ridotta per tenere conto del fatto che si applica al solo perimetro territoriale e al netto del risparmio già catturato dal progetto. La profondità di adozione è la variabile che la formazione governa: in assenza di un programma formativo strutturato l’adozione resta sporadica, dell’ordine del venti-trenta per cento, e poco profonda; con un programma che integri formazione continua e accompagnamento sul campo essa raggiunge il settanta-novanta per cento. La differenza tra questi due regimi è il risparmio reso catturabile dalla formazione, ed è la grandezza che il presente capitolo intende isolare.</w:t>
      </w:r>
    </w:p>
    <w:p>
      <w:pPr>
        <w:pStyle w:val="BodyText"/>
      </w:pPr>
      <w:r>
        <w:t xml:space="preserve">Formalmente, il risparmio incrementale annuo è dato dal prodotto di tre fattori: il perimetro influenzabile, la percentuale di riduzione incrementale propria dell’IA e la profondità di adozione. Mantenendo costanti i primi due fattori, il risparmio cresce linearmente con il terzo, che è il solo direttamente governabile dalla Regione. Ne consegue una proposizione di immediata rilevanza per i decisori: poiché il costo del programma formativo è fisso e contenuto, mentre il risparmio cresce con la profondità di adozione che la formazione produce, il ritorno marginale dell’investimento formativo è elevato e cresce quanto più il programma è efficace nel portare l’adozione verso l’estremo superiore dell’intervallo. La sezione 6.5 traduce questa proposizione in cifre.</w:t>
      </w:r>
    </w:p>
    <w:bookmarkEnd w:id="1448"/>
    <w:bookmarkStart w:id="1449" w:name="stima-per-canale"/>
    <w:p>
      <w:pPr>
        <w:pStyle w:val="Heading3"/>
      </w:pPr>
      <w:r>
        <w:t xml:space="preserve">6.3 Stima per canale</w:t>
      </w:r>
    </w:p>
    <w:p>
      <w:pPr>
        <w:pStyle w:val="FirstParagraph"/>
      </w:pPr>
      <w:r>
        <w:t xml:space="preserve">La stima per canale disaggrega il risparmio incrementale secondo le funzioni cliniche descritte nella quarta sezione, applicando a ciascuna porzione del perimetro una percentuale prudenziale e una profondità di adozione corrispondente al regime di formazione strutturata. I valori sono espressi come intervalli e si riferiscono al risparmio a regime, ossia raggiunto al termine della curva di adozione pluriennale. Essi rappresentano il contributo incrementale dell’IA al netto del risparmio di base del progetto.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Canale di risparmio incrementale (IA)</w:t>
            </w:r>
          </w:p>
        </w:tc>
        <w:tc>
          <w:tcPr>
            <w:shd w:val="clear" w:color="auto" w:fill="16264B"/>
          </w:tcPr>
          <w:p>
            <w:pPr>
              <w:pStyle w:val="Compact"/>
              <w:spacing w:after="40" w:before="40"/>
              <w:jc w:val="left"/>
            </w:pPr>
            <w:r>
              <w:rPr>
                <w:rFonts w:ascii="Cambria" w:hAnsi="Cambria" w:cs="Cambria" w:eastAsia="Cambria"/>
                <w:b/>
                <w:bCs/>
                <w:color w:val="FFFFFF"/>
                <w:sz w:val="18"/>
              </w:rPr>
              <w:t xml:space="preserve">Risparmio annuo a regime</w:t>
            </w:r>
          </w:p>
        </w:tc>
        <w:tc>
          <w:tcPr>
            <w:shd w:val="clear" w:color="auto" w:fill="16264B"/>
          </w:tcPr>
          <w:p>
            <w:pPr>
              <w:pStyle w:val="Compact"/>
              <w:spacing w:after="40" w:before="40"/>
              <w:jc w:val="left"/>
            </w:pPr>
            <w:r>
              <w:rPr>
                <w:rFonts w:ascii="Cambria" w:hAnsi="Cambria" w:cs="Cambria" w:eastAsia="Cambria"/>
                <w:b/>
                <w:bCs/>
                <w:color w:val="FFFFFF"/>
                <w:sz w:val="18"/>
              </w:rPr>
              <w:t xml:space="preserve">Meccanismo prevalente</w:t>
            </w:r>
          </w:p>
        </w:tc>
      </w:tr>
      <w:tr>
        <w:tc>
          <w:tcPr/>
          <w:p>
            <w:pPr>
              <w:pStyle w:val="Compact"/>
              <w:spacing w:after="40" w:before="40"/>
              <w:jc w:val="left"/>
            </w:pPr>
            <w:r>
              <w:rPr>
                <w:rFonts w:ascii="Cambria" w:hAnsi="Cambria" w:cs="Cambria" w:eastAsia="Cambria"/>
                <w:color w:val="1A1A1A"/>
                <w:sz w:val="18"/>
              </w:rPr>
              <w:t xml:space="preserve">Farmaceutica territoriale</w:t>
            </w:r>
          </w:p>
        </w:tc>
        <w:tc>
          <w:tcPr/>
          <w:p>
            <w:pPr>
              <w:pStyle w:val="Compact"/>
              <w:spacing w:after="40" w:before="40"/>
              <w:jc w:val="left"/>
            </w:pPr>
            <w:r>
              <w:rPr>
                <w:rFonts w:ascii="Cambria" w:hAnsi="Cambria" w:cs="Cambria" w:eastAsia="Cambria"/>
                <w:b/>
                <w:bCs/>
                <w:color w:val="1A1A1A"/>
                <w:sz w:val="18"/>
              </w:rPr>
              <w:t xml:space="preserve">8–12 M€</w:t>
            </w:r>
          </w:p>
        </w:tc>
        <w:tc>
          <w:tcPr/>
          <w:p>
            <w:pPr>
              <w:pStyle w:val="Compact"/>
              <w:spacing w:after="40" w:before="40"/>
              <w:jc w:val="left"/>
            </w:pPr>
            <w:r>
              <w:rPr>
                <w:rFonts w:ascii="Cambria" w:hAnsi="Cambria" w:cs="Cambria" w:eastAsia="Cambria"/>
                <w:color w:val="1A1A1A"/>
                <w:sz w:val="18"/>
              </w:rPr>
              <w:t xml:space="preserve">Appropriatezza prescrittiva e deprescrizione assistita; migliore aderenza; riduzione delle prescrizioni inappropriate oltre il canale psicologico.</w:t>
            </w:r>
          </w:p>
        </w:tc>
      </w:tr>
      <w:tr>
        <w:tc>
          <w:tcPr>
            <w:shd w:val="clear" w:color="auto" w:fill="F4F1EC"/>
          </w:tcPr>
          <w:p>
            <w:pPr>
              <w:pStyle w:val="Compact"/>
              <w:spacing w:after="40" w:before="40"/>
              <w:jc w:val="left"/>
            </w:pPr>
            <w:r>
              <w:rPr>
                <w:rFonts w:ascii="Cambria" w:hAnsi="Cambria" w:cs="Cambria" w:eastAsia="Cambria"/>
                <w:color w:val="1A1A1A"/>
                <w:sz w:val="18"/>
              </w:rPr>
              <w:t xml:space="preserve">Specialistica e diagnostica</w:t>
            </w:r>
          </w:p>
        </w:tc>
        <w:tc>
          <w:tcPr>
            <w:shd w:val="clear" w:color="auto" w:fill="F4F1EC"/>
          </w:tcPr>
          <w:p>
            <w:pPr>
              <w:pStyle w:val="Compact"/>
              <w:spacing w:after="40" w:before="40"/>
              <w:jc w:val="left"/>
            </w:pPr>
            <w:r>
              <w:rPr>
                <w:rFonts w:ascii="Cambria" w:hAnsi="Cambria" w:cs="Cambria" w:eastAsia="Cambria"/>
                <w:b/>
                <w:bCs/>
                <w:color w:val="1A1A1A"/>
                <w:sz w:val="18"/>
              </w:rPr>
              <w:t xml:space="preserve">12–18 M€</w:t>
            </w:r>
          </w:p>
        </w:tc>
        <w:tc>
          <w:tcPr>
            <w:shd w:val="clear" w:color="auto" w:fill="F4F1EC"/>
          </w:tcPr>
          <w:p>
            <w:pPr>
              <w:pStyle w:val="Compact"/>
              <w:spacing w:after="40" w:before="40"/>
              <w:jc w:val="left"/>
            </w:pPr>
            <w:r>
              <w:rPr>
                <w:rFonts w:ascii="Cambria" w:hAnsi="Cambria" w:cs="Cambria" w:eastAsia="Cambria"/>
                <w:color w:val="1A1A1A"/>
                <w:sz w:val="18"/>
              </w:rPr>
              <w:t xml:space="preserve">Triage diagnostico, screening autonomi e supporto decisionale che riducono esami e visite inappropriati sull’intero spettro delle condizioni.</w:t>
            </w:r>
          </w:p>
        </w:tc>
      </w:tr>
      <w:tr>
        <w:tc>
          <w:tcPr/>
          <w:p>
            <w:pPr>
              <w:pStyle w:val="Compact"/>
              <w:spacing w:after="40" w:before="40"/>
              <w:jc w:val="left"/>
            </w:pPr>
            <w:r>
              <w:rPr>
                <w:rFonts w:ascii="Cambria" w:hAnsi="Cambria" w:cs="Cambria" w:eastAsia="Cambria"/>
                <w:color w:val="1A1A1A"/>
                <w:sz w:val="18"/>
              </w:rPr>
              <w:t xml:space="preserve">Medicina generale (tempo/capacità)</w:t>
            </w:r>
          </w:p>
        </w:tc>
        <w:tc>
          <w:tcPr/>
          <w:p>
            <w:pPr>
              <w:pStyle w:val="Compact"/>
              <w:spacing w:after="40" w:before="40"/>
              <w:jc w:val="left"/>
            </w:pPr>
            <w:r>
              <w:rPr>
                <w:rFonts w:ascii="Cambria" w:hAnsi="Cambria" w:cs="Cambria" w:eastAsia="Cambria"/>
                <w:b/>
                <w:bCs/>
                <w:color w:val="1A1A1A"/>
                <w:sz w:val="18"/>
              </w:rPr>
              <w:t xml:space="preserve">6–10 M€</w:t>
            </w:r>
          </w:p>
        </w:tc>
        <w:tc>
          <w:tcPr/>
          <w:p>
            <w:pPr>
              <w:pStyle w:val="Compact"/>
              <w:spacing w:after="40" w:before="40"/>
              <w:jc w:val="left"/>
            </w:pPr>
            <w:r>
              <w:rPr>
                <w:rFonts w:ascii="Cambria" w:hAnsi="Cambria" w:cs="Cambria" w:eastAsia="Cambria"/>
                <w:color w:val="1A1A1A"/>
                <w:sz w:val="18"/>
              </w:rPr>
              <w:t xml:space="preserve">Documentazione ambientale e supporto decisionale che liberano tempo clinico; riduzione dei consulti ripetuti. Beneficio in parte come capacità e riduzione delle attese.</w:t>
            </w:r>
          </w:p>
        </w:tc>
      </w:tr>
      <w:tr>
        <w:tc>
          <w:tcPr>
            <w:shd w:val="clear" w:color="auto" w:fill="F4F1EC"/>
          </w:tcPr>
          <w:p>
            <w:pPr>
              <w:pStyle w:val="Compact"/>
              <w:spacing w:after="40" w:before="40"/>
              <w:jc w:val="left"/>
            </w:pPr>
            <w:r>
              <w:rPr>
                <w:rFonts w:ascii="Cambria" w:hAnsi="Cambria" w:cs="Cambria" w:eastAsia="Cambria"/>
                <w:color w:val="1A1A1A"/>
                <w:sz w:val="18"/>
              </w:rPr>
              <w:t xml:space="preserve">Salute mentale (oltre il canale di base)</w:t>
            </w:r>
          </w:p>
        </w:tc>
        <w:tc>
          <w:tcPr>
            <w:shd w:val="clear" w:color="auto" w:fill="F4F1EC"/>
          </w:tcPr>
          <w:p>
            <w:pPr>
              <w:pStyle w:val="Compact"/>
              <w:spacing w:after="40" w:before="40"/>
              <w:jc w:val="left"/>
            </w:pPr>
            <w:r>
              <w:rPr>
                <w:rFonts w:ascii="Cambria" w:hAnsi="Cambria" w:cs="Cambria" w:eastAsia="Cambria"/>
                <w:b/>
                <w:bCs/>
                <w:color w:val="1A1A1A"/>
                <w:sz w:val="18"/>
              </w:rPr>
              <w:t xml:space="preserve">6–10 M€</w:t>
            </w:r>
          </w:p>
        </w:tc>
        <w:tc>
          <w:tcPr>
            <w:shd w:val="clear" w:color="auto" w:fill="F4F1EC"/>
          </w:tcPr>
          <w:p>
            <w:pPr>
              <w:pStyle w:val="Compact"/>
              <w:spacing w:after="40" w:before="40"/>
              <w:jc w:val="left"/>
            </w:pPr>
            <w:r>
              <w:rPr>
                <w:rFonts w:ascii="Cambria" w:hAnsi="Cambria" w:cs="Cambria" w:eastAsia="Cambria"/>
                <w:color w:val="1A1A1A"/>
                <w:sz w:val="18"/>
              </w:rPr>
              <w:t xml:space="preserve">Agenti conversazionali sotto supervisione per i casi lievi e nei tempi di attesa; monitoraggio degli esiti; estensione della capacità del servizio.</w:t>
            </w:r>
          </w:p>
        </w:tc>
      </w:tr>
      <w:tr>
        <w:tc>
          <w:tcPr/>
          <w:p>
            <w:pPr>
              <w:pStyle w:val="Compact"/>
              <w:spacing w:after="40" w:before="40"/>
              <w:jc w:val="left"/>
            </w:pPr>
            <w:r>
              <w:rPr>
                <w:rFonts w:ascii="Cambria" w:hAnsi="Cambria" w:cs="Cambria" w:eastAsia="Cambria"/>
                <w:color w:val="1A1A1A"/>
                <w:sz w:val="18"/>
              </w:rPr>
              <w:t xml:space="preserve">Prevenzione e cronicità</w:t>
            </w:r>
          </w:p>
        </w:tc>
        <w:tc>
          <w:tcPr/>
          <w:p>
            <w:pPr>
              <w:pStyle w:val="Compact"/>
              <w:spacing w:after="40" w:before="40"/>
              <w:jc w:val="left"/>
            </w:pPr>
            <w:r>
              <w:rPr>
                <w:rFonts w:ascii="Cambria" w:hAnsi="Cambria" w:cs="Cambria" w:eastAsia="Cambria"/>
                <w:b/>
                <w:bCs/>
                <w:color w:val="1A1A1A"/>
                <w:sz w:val="18"/>
              </w:rPr>
              <w:t xml:space="preserve">8–14 M€</w:t>
            </w:r>
          </w:p>
        </w:tc>
        <w:tc>
          <w:tcPr/>
          <w:p>
            <w:pPr>
              <w:pStyle w:val="Compact"/>
              <w:spacing w:after="40" w:before="40"/>
              <w:jc w:val="left"/>
            </w:pPr>
            <w:r>
              <w:rPr>
                <w:rFonts w:ascii="Cambria" w:hAnsi="Cambria" w:cs="Cambria" w:eastAsia="Cambria"/>
                <w:color w:val="1A1A1A"/>
                <w:sz w:val="18"/>
              </w:rPr>
              <w:t xml:space="preserve">Stratificazione del rischio collegata all’azione clinica; riduzione delle riacutizzazioni e dei ricoveri evitabili.</w:t>
            </w:r>
          </w:p>
        </w:tc>
      </w:tr>
      <w:tr>
        <w:tc>
          <w:tcPr>
            <w:shd w:val="clear" w:color="auto" w:fill="F4F1EC"/>
          </w:tcPr>
          <w:p>
            <w:pPr>
              <w:pStyle w:val="Compact"/>
              <w:spacing w:after="40" w:before="40"/>
              <w:jc w:val="left"/>
            </w:pPr>
            <w:r>
              <w:rPr>
                <w:rFonts w:ascii="Cambria" w:hAnsi="Cambria" w:cs="Cambria" w:eastAsia="Cambria"/>
                <w:color w:val="1A1A1A"/>
                <w:sz w:val="18"/>
              </w:rPr>
              <w:t xml:space="preserve">Riabilitazione e recupero</w:t>
            </w:r>
          </w:p>
        </w:tc>
        <w:tc>
          <w:tcPr>
            <w:shd w:val="clear" w:color="auto" w:fill="F4F1EC"/>
          </w:tcPr>
          <w:p>
            <w:pPr>
              <w:pStyle w:val="Compact"/>
              <w:spacing w:after="40" w:before="40"/>
              <w:jc w:val="left"/>
            </w:pPr>
            <w:r>
              <w:rPr>
                <w:rFonts w:ascii="Cambria" w:hAnsi="Cambria" w:cs="Cambria" w:eastAsia="Cambria"/>
                <w:b/>
                <w:bCs/>
                <w:color w:val="1A1A1A"/>
                <w:sz w:val="18"/>
              </w:rPr>
              <w:t xml:space="preserve">3–6 M€</w:t>
            </w:r>
          </w:p>
        </w:tc>
        <w:tc>
          <w:tcPr>
            <w:shd w:val="clear" w:color="auto" w:fill="F4F1EC"/>
          </w:tcPr>
          <w:p>
            <w:pPr>
              <w:pStyle w:val="Compact"/>
              <w:spacing w:after="40" w:before="40"/>
              <w:jc w:val="left"/>
            </w:pPr>
            <w:r>
              <w:rPr>
                <w:rFonts w:ascii="Cambria" w:hAnsi="Cambria" w:cs="Cambria" w:eastAsia="Cambria"/>
                <w:color w:val="1A1A1A"/>
                <w:sz w:val="18"/>
              </w:rPr>
              <w:t xml:space="preserve">Teleriabilitazione e monitoraggio remoto; prevenzione delle ricadute; riduzione delle riammissioni e accorciamento dei percorsi.</w:t>
            </w:r>
          </w:p>
        </w:tc>
      </w:tr>
      <w:tr>
        <w:tc>
          <w:tcPr/>
          <w:p>
            <w:pPr>
              <w:pStyle w:val="Compact"/>
              <w:spacing w:after="40" w:before="40"/>
              <w:jc w:val="left"/>
            </w:pPr>
            <w:r>
              <w:rPr>
                <w:rFonts w:ascii="Cambria" w:hAnsi="Cambria" w:cs="Cambria" w:eastAsia="Cambria"/>
                <w:b/>
                <w:bCs/>
                <w:color w:val="1A1A1A"/>
                <w:sz w:val="18"/>
              </w:rPr>
              <w:t xml:space="preserve">Totale incrementale a regime (scenario base)</w:t>
            </w:r>
          </w:p>
        </w:tc>
        <w:tc>
          <w:tcPr/>
          <w:p>
            <w:pPr>
              <w:pStyle w:val="Compact"/>
              <w:spacing w:after="40" w:before="40"/>
              <w:jc w:val="left"/>
            </w:pPr>
            <w:r>
              <w:rPr>
                <w:rFonts w:ascii="Cambria" w:hAnsi="Cambria" w:cs="Cambria" w:eastAsia="Cambria"/>
                <w:b/>
                <w:bCs/>
                <w:color w:val="1A1A1A"/>
                <w:sz w:val="18"/>
              </w:rPr>
              <w:t xml:space="preserve">≈ 43–70 M€</w:t>
            </w:r>
          </w:p>
        </w:tc>
        <w:tc>
          <w:tcPr/>
          <w:p>
            <w:pPr>
              <w:pStyle w:val="Compact"/>
              <w:spacing w:after="40" w:before="40"/>
              <w:jc w:val="left"/>
            </w:pPr>
            <w:r>
              <w:rPr>
                <w:rFonts w:ascii="Cambria" w:hAnsi="Cambria" w:cs="Cambria" w:eastAsia="Cambria"/>
                <w:color w:val="1A1A1A"/>
                <w:sz w:val="18"/>
              </w:rPr>
              <w:t xml:space="preserve">Valore centrale dell’ordine di 45–55 M€ a profondità di adozione dell’80%.</w:t>
            </w:r>
          </w:p>
        </w:tc>
      </w:tr>
    </w:tbl>
    <w:p>
      <w:pPr>
        <w:pStyle w:val="BodyText"/>
      </w:pPr>
      <w:r>
        <w:rPr>
          <w:i/>
          <w:iCs/>
        </w:rPr>
        <w:t xml:space="preserve">Tabella 3. Stima del risparmio incrementale annuo a regime per canale, attribuibile all’impiego dell’IA da parte di una squadra delle cure primarie formata, al netto del risparmio di base del progetto. Valori prudenziali a profondità di adozione dell’ordine dell’80%.</w:t>
      </w:r>
    </w:p>
    <w:p>
      <w:pPr>
        <w:pStyle w:val="BodyText"/>
      </w:pPr>
      <w:r>
        <w:t xml:space="preserve">La somma dei canali colloca il risparmio incrementale a regime, nello scenario base, su un intervallo dell’ordine di quarantatré-settanta milioni di euro l’anno, con valore centrale tra quarantacinque e cinquantacinque milioni. È opportuno notare che il canale della medicina generale produce un beneficio in parte non monetizzabile direttamente, poiché si manifesta come tempo clinico liberato e come riduzione delle attese più che come riduzione immediata di spesa; tale beneficio è nondimeno reale e si converte, nel medio periodo, in maggiore capacità del servizio a parità di organico. La prudenza della stima risiede nel fatto che le percentuali applicate si collocano sistematicamente al di sotto degli estremi documentati dalla letteratura e che il perimetro è già depurato del risparmio di base.</w:t>
      </w:r>
    </w:p>
    <w:bookmarkEnd w:id="1449"/>
    <w:bookmarkStart w:id="1451" w:name="scenari"/>
    <w:p>
      <w:pPr>
        <w:pStyle w:val="Heading3"/>
      </w:pPr>
      <w:r>
        <w:t xml:space="preserve">6.4 Scenari</w:t>
      </w:r>
    </w:p>
    <w:p>
      <w:pPr>
        <w:pStyle w:val="FirstParagraph"/>
      </w:pPr>
      <w:r>
        <w:t xml:space="preserve">La traduzione della stima in scenari risponde all’esigenza di rappresentare l’incertezza e di fornire ai decisori un intervallo di pianificazione anziché un valore puntuale. I tre scenari si distinguono per la percentuale di riduzione incrementale applicata al perimetro e per la profondità di adozione raggiunta, che riflette la qualità e la capillarità del programma formativo. Lo scenario conservativo assume una profondità di adozione del settanta per cento e percentuali nella parte più bassa degli intervalli; lo scenario base assume una profondità dell’ottanta per cento; lo scenario espansivo assume una profondità del novanta per cento, l’integrazione piena anche del canale dei ricoveri evitabili e percentuali prossime alla parte alta degli intervalli prudenziali.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r>
      <w:tr>
        <w:tc>
          <w:tcPr/>
          <w:p>
            <w:pPr>
              <w:pStyle w:val="Compact"/>
              <w:spacing w:after="40" w:before="40"/>
              <w:jc w:val="left"/>
            </w:pPr>
            <w:r>
              <w:rPr>
                <w:rFonts w:ascii="Cambria" w:hAnsi="Cambria" w:cs="Cambria" w:eastAsia="Cambria"/>
                <w:b/>
                <w:bCs/>
                <w:color w:val="1A1A1A"/>
                <w:sz w:val="18"/>
              </w:rPr>
              <w:t xml:space="preserve">Profondità di adozione (effetto formazione)</w:t>
            </w:r>
          </w:p>
        </w:tc>
        <w:tc>
          <w:tcPr/>
          <w:p>
            <w:pPr>
              <w:pStyle w:val="Compact"/>
              <w:spacing w:after="40" w:before="40"/>
              <w:jc w:val="left"/>
            </w:pPr>
            <w:r>
              <w:rPr>
                <w:rFonts w:ascii="Cambria" w:hAnsi="Cambria" w:cs="Cambria" w:eastAsia="Cambria"/>
                <w:color w:val="1A1A1A"/>
                <w:sz w:val="18"/>
              </w:rPr>
              <w:t xml:space="preserve">70%</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90%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Risparmio incrementale IA annuo (a regime)</w:t>
            </w:r>
          </w:p>
        </w:tc>
        <w:tc>
          <w:tcPr>
            <w:shd w:val="clear" w:color="auto" w:fill="F4F1EC"/>
          </w:tcPr>
          <w:p>
            <w:pPr>
              <w:pStyle w:val="Compact"/>
              <w:spacing w:after="40" w:before="40"/>
              <w:jc w:val="left"/>
            </w:pPr>
            <w:r>
              <w:rPr>
                <w:rFonts w:ascii="Cambria" w:hAnsi="Cambria" w:cs="Cambria" w:eastAsia="Cambria"/>
                <w:b/>
                <w:bCs/>
                <w:color w:val="1A1A1A"/>
                <w:sz w:val="18"/>
              </w:rPr>
              <w:t xml:space="preserve">18–25 M€</w:t>
            </w:r>
          </w:p>
        </w:tc>
        <w:tc>
          <w:tcPr>
            <w:shd w:val="clear" w:color="auto" w:fill="F4F1EC"/>
          </w:tcPr>
          <w:p>
            <w:pPr>
              <w:pStyle w:val="Compact"/>
              <w:spacing w:after="40" w:before="40"/>
              <w:jc w:val="left"/>
            </w:pPr>
            <w:r>
              <w:rPr>
                <w:rFonts w:ascii="Cambria" w:hAnsi="Cambria" w:cs="Cambria" w:eastAsia="Cambria"/>
                <w:b/>
                <w:bCs/>
                <w:color w:val="1A1A1A"/>
                <w:sz w:val="18"/>
              </w:rPr>
              <w:t xml:space="preserve">45–55 M€</w:t>
            </w:r>
          </w:p>
        </w:tc>
        <w:tc>
          <w:tcPr>
            <w:shd w:val="clear" w:color="auto" w:fill="F4F1EC"/>
          </w:tcPr>
          <w:p>
            <w:pPr>
              <w:pStyle w:val="Compact"/>
              <w:spacing w:after="40" w:before="40"/>
              <w:jc w:val="left"/>
            </w:pPr>
            <w:r>
              <w:rPr>
                <w:rFonts w:ascii="Cambria" w:hAnsi="Cambria" w:cs="Cambria" w:eastAsia="Cambria"/>
                <w:b/>
                <w:bCs/>
                <w:color w:val="1A1A1A"/>
                <w:sz w:val="18"/>
              </w:rPr>
              <w:t xml:space="preserve">70–110 M€</w:t>
            </w:r>
          </w:p>
        </w:tc>
      </w:tr>
      <w:tr>
        <w:tc>
          <w:tcPr/>
          <w:p>
            <w:pPr>
              <w:pStyle w:val="Compact"/>
              <w:spacing w:after="40" w:before="40"/>
              <w:jc w:val="left"/>
            </w:pPr>
            <w:r>
              <w:rPr>
                <w:rFonts w:ascii="Cambria" w:hAnsi="Cambria" w:cs="Cambria" w:eastAsia="Cambria"/>
                <w:color w:val="1A1A1A"/>
                <w:sz w:val="18"/>
              </w:rPr>
              <w:t xml:space="preserve">Risparmio di base del progetto (senza IA)</w:t>
            </w:r>
          </w:p>
        </w:tc>
        <w:tc>
          <w:tcPr/>
          <w:p>
            <w:pPr>
              <w:pStyle w:val="Compact"/>
              <w:spacing w:after="40" w:before="40"/>
              <w:jc w:val="left"/>
            </w:pPr>
            <w:r>
              <w:rPr>
                <w:rFonts w:ascii="Cambria" w:hAnsi="Cambria" w:cs="Cambria" w:eastAsia="Cambria"/>
                <w:color w:val="1A1A1A"/>
                <w:sz w:val="18"/>
              </w:rPr>
              <w:t xml:space="preserve">≈ 270 M€</w:t>
            </w:r>
          </w:p>
        </w:tc>
        <w:tc>
          <w:tcPr/>
          <w:p>
            <w:pPr>
              <w:pStyle w:val="Compact"/>
              <w:spacing w:after="40" w:before="40"/>
              <w:jc w:val="left"/>
            </w:pPr>
            <w:r>
              <w:rPr>
                <w:rFonts w:ascii="Cambria" w:hAnsi="Cambria" w:cs="Cambria" w:eastAsia="Cambria"/>
                <w:color w:val="1A1A1A"/>
                <w:sz w:val="18"/>
              </w:rPr>
              <w:t xml:space="preserve">≈ 270 M€</w:t>
            </w:r>
          </w:p>
        </w:tc>
        <w:tc>
          <w:tcPr/>
          <w:p>
            <w:pPr>
              <w:pStyle w:val="Compact"/>
              <w:spacing w:after="40" w:before="40"/>
              <w:jc w:val="left"/>
            </w:pPr>
            <w:r>
              <w:rPr>
                <w:rFonts w:ascii="Cambria" w:hAnsi="Cambria" w:cs="Cambria" w:eastAsia="Cambria"/>
                <w:color w:val="1A1A1A"/>
                <w:sz w:val="18"/>
              </w:rPr>
              <w:t xml:space="preserve">≈ 270 M€</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Risparmio diretto totale (base + IA)</w:t>
            </w:r>
          </w:p>
        </w:tc>
        <w:tc>
          <w:tcPr>
            <w:shd w:val="clear" w:color="auto" w:fill="F4F1EC"/>
          </w:tcPr>
          <w:p>
            <w:pPr>
              <w:pStyle w:val="Compact"/>
              <w:spacing w:after="40" w:before="40"/>
              <w:jc w:val="left"/>
            </w:pPr>
            <w:r>
              <w:rPr>
                <w:rFonts w:ascii="Cambria" w:hAnsi="Cambria" w:cs="Cambria" w:eastAsia="Cambria"/>
                <w:b/>
                <w:bCs/>
                <w:color w:val="1A1A1A"/>
                <w:sz w:val="18"/>
              </w:rPr>
              <w:t xml:space="preserve">≈ 288–295 M€</w:t>
            </w:r>
          </w:p>
        </w:tc>
        <w:tc>
          <w:tcPr>
            <w:shd w:val="clear" w:color="auto" w:fill="F4F1EC"/>
          </w:tcPr>
          <w:p>
            <w:pPr>
              <w:pStyle w:val="Compact"/>
              <w:spacing w:after="40" w:before="40"/>
              <w:jc w:val="left"/>
            </w:pPr>
            <w:r>
              <w:rPr>
                <w:rFonts w:ascii="Cambria" w:hAnsi="Cambria" w:cs="Cambria" w:eastAsia="Cambria"/>
                <w:b/>
                <w:bCs/>
                <w:color w:val="1A1A1A"/>
                <w:sz w:val="18"/>
              </w:rPr>
              <w:t xml:space="preserve">≈ 315–325 M€</w:t>
            </w:r>
          </w:p>
        </w:tc>
        <w:tc>
          <w:tcPr>
            <w:shd w:val="clear" w:color="auto" w:fill="F4F1EC"/>
          </w:tcPr>
          <w:p>
            <w:pPr>
              <w:pStyle w:val="Compact"/>
              <w:spacing w:after="40" w:before="40"/>
              <w:jc w:val="left"/>
            </w:pPr>
            <w:r>
              <w:rPr>
                <w:rFonts w:ascii="Cambria" w:hAnsi="Cambria" w:cs="Cambria" w:eastAsia="Cambria"/>
                <w:b/>
                <w:bCs/>
                <w:color w:val="1A1A1A"/>
                <w:sz w:val="18"/>
              </w:rPr>
              <w:t xml:space="preserve">≈ 340–380 M€</w:t>
            </w:r>
          </w:p>
        </w:tc>
      </w:tr>
      <w:tr>
        <w:tc>
          <w:tcPr/>
          <w:p>
            <w:pPr>
              <w:pStyle w:val="Compact"/>
              <w:spacing w:after="40" w:before="40"/>
              <w:jc w:val="left"/>
            </w:pPr>
            <w:r>
              <w:rPr>
                <w:rFonts w:ascii="Cambria" w:hAnsi="Cambria" w:cs="Cambria" w:eastAsia="Cambria"/>
                <w:color w:val="1A1A1A"/>
                <w:sz w:val="18"/>
              </w:rPr>
              <w:t xml:space="preserve">Incremento percentuale sul risparmio di base</w:t>
            </w:r>
          </w:p>
        </w:tc>
        <w:tc>
          <w:tcPr/>
          <w:p>
            <w:pPr>
              <w:pStyle w:val="Compact"/>
              <w:spacing w:after="40" w:before="40"/>
              <w:jc w:val="left"/>
            </w:pPr>
            <w:r>
              <w:rPr>
                <w:rFonts w:ascii="Cambria" w:hAnsi="Cambria" w:cs="Cambria" w:eastAsia="Cambria"/>
                <w:color w:val="1A1A1A"/>
                <w:sz w:val="18"/>
              </w:rPr>
              <w:t xml:space="preserve">+7–9%</w:t>
            </w:r>
          </w:p>
        </w:tc>
        <w:tc>
          <w:tcPr/>
          <w:p>
            <w:pPr>
              <w:pStyle w:val="Compact"/>
              <w:spacing w:after="40" w:before="40"/>
              <w:jc w:val="left"/>
            </w:pPr>
            <w:r>
              <w:rPr>
                <w:rFonts w:ascii="Cambria" w:hAnsi="Cambria" w:cs="Cambria" w:eastAsia="Cambria"/>
                <w:color w:val="1A1A1A"/>
                <w:sz w:val="18"/>
              </w:rPr>
              <w:t xml:space="preserve">+17–20%</w:t>
            </w:r>
          </w:p>
        </w:tc>
        <w:tc>
          <w:tcPr/>
          <w:p>
            <w:pPr>
              <w:pStyle w:val="Compact"/>
              <w:spacing w:after="40" w:before="40"/>
              <w:jc w:val="left"/>
            </w:pPr>
            <w:r>
              <w:rPr>
                <w:rFonts w:ascii="Cambria" w:hAnsi="Cambria" w:cs="Cambria" w:eastAsia="Cambria"/>
                <w:color w:val="1A1A1A"/>
                <w:sz w:val="18"/>
              </w:rPr>
              <w:t xml:space="preserve">+26–41%</w:t>
            </w:r>
          </w:p>
        </w:tc>
      </w:tr>
    </w:tbl>
    <w:p>
      <w:pPr>
        <w:pStyle w:val="BodyText"/>
      </w:pPr>
      <w:r>
        <w:rPr>
          <w:i/>
          <w:iCs/>
        </w:rPr>
        <w:t xml:space="preserve">Tabella 4. Scenari di risparmio incrementale annuo a regime attribuibile all’IA e risparmio diretto totale del progetto. Gli scenari si differenziano per la profondità di adozione — prodotto diretto del programma formativo — e per le percentuali di riduzione applicate al perimetro influenzabile.</w:t>
      </w:r>
    </w:p>
    <w:p>
      <w:pPr>
        <w:pStyle w:val="BodyText"/>
      </w:pPr>
      <w:r>
        <w:t xml:space="preserve">Gli scenari mostrano che l’estensione della formazione all’IA all’intera squadra delle cure primarie consente di accrescere il risparmio diretto del progetto di una quota compresa tra il sette e il quarantuno per cento, portando il risparmio diretto totale da circa duecentonovanta a circa trecentottanta milioni di euro l’anno secondo lo scenario. Lo scenario base, di gran lunga il più plausibile in presenza di un programma formativo ben condotto, colloca l’incremento tra quarantacinque e cinquantacinque milioni, valore superiore alla stima ristretta di quindici-quaranta milioni già contenuta nella Relazione</w:t>
      </w:r>
      <w:r>
        <w:rPr>
          <w:rStyle w:val="FootnoteReference"/>
        </w:rPr>
        <w:footnoteReference w:id="644"/>
      </w:r>
      <w:r>
        <w:t xml:space="preserve"> </w:t>
      </w:r>
      <w:r>
        <w:t xml:space="preserve">proprio in ragione dell’ampliamento del perimetro dall’efficienza del solo servizio psicologico all’intera squadra e all’intero continuum clinico. La parte di tale incremento che eccede la stima ristretta — dell’ordine di alcune decine di milioni di euro l’anno — è il contributo proprio della scelta di formare ogni medico di base e ogni psicologo di base, e non i soli psicologi, all’uso dell’IA.</w:t>
      </w:r>
    </w:p>
    <w:bookmarkEnd w:id="1451"/>
    <w:bookmarkStart w:id="1453" w:name="il-ritorno-sullinvestimento-formativo"/>
    <w:p>
      <w:pPr>
        <w:pStyle w:val="Heading3"/>
      </w:pPr>
      <w:r>
        <w:t xml:space="preserve">6.5 Il ritorno sull’investimento formativo</w:t>
      </w:r>
    </w:p>
    <w:p>
      <w:pPr>
        <w:pStyle w:val="FirstParagraph"/>
      </w:pPr>
      <w:r>
        <w:t xml:space="preserve">Il passaggio conclusivo della quantificazione confronta il risparmio incrementale con il costo del programma formativo che lo rende catturabile. Tale costo è stato stimato, nella componente annua di avvio, in un intervallo dell’ordine di zero virgola otto-uno virgola cinque milioni di euro, comprensivo della formazione continua di psicologi e medici di medicina generale, della formazione avanzata dei referenti digitali e dei materiali e delle piattaforme, ed è in larga parte coperto da risorse formative già esistenti e da fondi del Piano Nazionale di Ripresa e Resilienza dedicati alla sanità digitale.</w:t>
      </w:r>
      <w:r>
        <w:rPr>
          <w:rStyle w:val="FootnoteReference"/>
        </w:rPr>
        <w:footnoteReference w:id="645"/>
      </w:r>
      <w:r>
        <w:t xml:space="preserve"> </w:t>
      </w:r>
      <w:r>
        <w:t xml:space="preserve">A tale costo formativo si aggiunge l’investimento tecnologico già stimato nella Relazione in uno virgola tre-due virgola sette milioni di euro, anch’esso modesto rispetto alle grandezze in gioco.</w:t>
      </w:r>
    </w:p>
    <w:p>
      <w:pPr>
        <w:pStyle w:val="BodyText"/>
      </w:pPr>
      <w:r>
        <w:t xml:space="preserve">Anche assumendo lo scenario conservativo, che colloca il risparmio incrementale tra diciotto e venticinque milioni di euro l’anno, il confronto con un costo formativo dell’ordine del milione e mezzo di euro restituisce un rapporto tra risparmio e costo formativo dell’ordine di dodici-sedici a uno sul solo investimento formativo, e ampiamente positivo anche includendo l’investimento tecnologico. Nello scenario base il rapporto sale a un ordine di trenta-quaranta a uno. Il punto di pareggio dell’investimento complessivo è raggiunto entro i primi mesi di regime. La conclusione economica è univoca: l’investimento formativo è di ordini di grandezza inferiore al risparmio che esso rende catturabile, e ciò vale anche nelle ipotesi più prudenti e anche raddoppiando la stima del costo formativo, a conferma della scarsa sensibilità del risultato a questa variabile.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Anno</w:t>
            </w:r>
          </w:p>
        </w:tc>
        <w:tc>
          <w:tcPr>
            <w:shd w:val="clear" w:color="auto" w:fill="16264B"/>
          </w:tcPr>
          <w:p>
            <w:pPr>
              <w:pStyle w:val="Compact"/>
              <w:spacing w:after="40" w:before="40"/>
              <w:jc w:val="left"/>
            </w:pPr>
            <w:r>
              <w:rPr>
                <w:rFonts w:ascii="Cambria" w:hAnsi="Cambria" w:cs="Cambria" w:eastAsia="Cambria"/>
                <w:b/>
                <w:bCs/>
                <w:color w:val="FFFFFF"/>
                <w:sz w:val="18"/>
              </w:rPr>
              <w:t xml:space="preserve">Profondità di adozione</w:t>
            </w:r>
          </w:p>
        </w:tc>
        <w:tc>
          <w:tcPr>
            <w:shd w:val="clear" w:color="auto" w:fill="16264B"/>
          </w:tcPr>
          <w:p>
            <w:pPr>
              <w:pStyle w:val="Compact"/>
              <w:spacing w:after="40" w:before="40"/>
              <w:jc w:val="left"/>
            </w:pPr>
            <w:r>
              <w:rPr>
                <w:rFonts w:ascii="Cambria" w:hAnsi="Cambria" w:cs="Cambria" w:eastAsia="Cambria"/>
                <w:b/>
                <w:bCs/>
                <w:color w:val="FFFFFF"/>
                <w:sz w:val="18"/>
              </w:rPr>
              <w:t xml:space="preserve">Risparmio incrementale IA</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del regime</w:t>
            </w:r>
          </w:p>
        </w:tc>
      </w:tr>
      <w:tr>
        <w:tc>
          <w:tcPr/>
          <w:p>
            <w:pPr>
              <w:pStyle w:val="Compact"/>
              <w:spacing w:after="40" w:before="40"/>
              <w:jc w:val="left"/>
            </w:pPr>
            <w:r>
              <w:rPr>
                <w:rFonts w:ascii="Cambria" w:hAnsi="Cambria" w:cs="Cambria" w:eastAsia="Cambria"/>
                <w:b/>
                <w:bCs/>
                <w:color w:val="1A1A1A"/>
                <w:sz w:val="18"/>
              </w:rPr>
              <w:t xml:space="preserve">1</w:t>
            </w:r>
          </w:p>
        </w:tc>
        <w:tc>
          <w:tcPr/>
          <w:p>
            <w:pPr>
              <w:pStyle w:val="Compact"/>
              <w:spacing w:after="40" w:before="40"/>
              <w:jc w:val="left"/>
            </w:pPr>
            <w:r>
              <w:rPr>
                <w:rFonts w:ascii="Cambria" w:hAnsi="Cambria" w:cs="Cambria" w:eastAsia="Cambria"/>
                <w:color w:val="1A1A1A"/>
                <w:sz w:val="18"/>
              </w:rPr>
              <w:t xml:space="preserve">15–20%</w:t>
            </w:r>
          </w:p>
        </w:tc>
        <w:tc>
          <w:tcPr/>
          <w:p>
            <w:pPr>
              <w:pStyle w:val="Compact"/>
              <w:spacing w:after="40" w:before="40"/>
              <w:jc w:val="left"/>
            </w:pPr>
            <w:r>
              <w:rPr>
                <w:rFonts w:ascii="Cambria" w:hAnsi="Cambria" w:cs="Cambria" w:eastAsia="Cambria"/>
                <w:color w:val="1A1A1A"/>
                <w:sz w:val="18"/>
              </w:rPr>
              <w:t xml:space="preserve">3–6 M€</w:t>
            </w:r>
          </w:p>
        </w:tc>
        <w:tc>
          <w:tcPr/>
          <w:p>
            <w:pPr>
              <w:pStyle w:val="Compact"/>
              <w:spacing w:after="40" w:before="40"/>
              <w:jc w:val="left"/>
            </w:pPr>
            <w:r>
              <w:rPr>
                <w:rFonts w:ascii="Cambria" w:hAnsi="Cambria" w:cs="Cambria" w:eastAsia="Cambria"/>
                <w:color w:val="1A1A1A"/>
                <w:sz w:val="18"/>
              </w:rPr>
              <w:t xml:space="preserve">beneficio già positivo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3</w:t>
            </w:r>
          </w:p>
        </w:tc>
        <w:tc>
          <w:tcPr>
            <w:shd w:val="clear" w:color="auto" w:fill="F4F1EC"/>
          </w:tcPr>
          <w:p>
            <w:pPr>
              <w:pStyle w:val="Compact"/>
              <w:spacing w:after="40" w:before="40"/>
              <w:jc w:val="left"/>
            </w:pPr>
            <w:r>
              <w:rPr>
                <w:rFonts w:ascii="Cambria" w:hAnsi="Cambria" w:cs="Cambria" w:eastAsia="Cambria"/>
                <w:color w:val="1A1A1A"/>
                <w:sz w:val="18"/>
              </w:rPr>
              <w:t xml:space="preserve">55–65%</w:t>
            </w:r>
          </w:p>
        </w:tc>
        <w:tc>
          <w:tcPr>
            <w:shd w:val="clear" w:color="auto" w:fill="F4F1EC"/>
          </w:tcPr>
          <w:p>
            <w:pPr>
              <w:pStyle w:val="Compact"/>
              <w:spacing w:after="40" w:before="40"/>
              <w:jc w:val="left"/>
            </w:pPr>
            <w:r>
              <w:rPr>
                <w:rFonts w:ascii="Cambria" w:hAnsi="Cambria" w:cs="Cambria" w:eastAsia="Cambria"/>
                <w:color w:val="1A1A1A"/>
                <w:sz w:val="18"/>
              </w:rPr>
              <w:t xml:space="preserve">22–35 M€</w:t>
            </w:r>
          </w:p>
        </w:tc>
        <w:tc>
          <w:tcPr>
            <w:shd w:val="clear" w:color="auto" w:fill="F4F1EC"/>
          </w:tcPr>
          <w:p>
            <w:pPr>
              <w:pStyle w:val="Compact"/>
              <w:spacing w:after="40" w:before="40"/>
              <w:jc w:val="left"/>
            </w:pPr>
            <w:r>
              <w:rPr>
                <w:rFonts w:ascii="Cambria" w:hAnsi="Cambria" w:cs="Cambria" w:eastAsia="Cambria"/>
                <w:color w:val="1A1A1A"/>
                <w:sz w:val="18"/>
              </w:rPr>
              <w:t xml:space="preserve">crescente</w:t>
            </w:r>
          </w:p>
        </w:tc>
      </w:tr>
      <w:tr>
        <w:tc>
          <w:tcPr/>
          <w:p>
            <w:pPr>
              <w:pStyle w:val="Compact"/>
              <w:spacing w:after="40" w:before="40"/>
              <w:jc w:val="left"/>
            </w:pPr>
            <w:r>
              <w:rPr>
                <w:rFonts w:ascii="Cambria" w:hAnsi="Cambria" w:cs="Cambria" w:eastAsia="Cambria"/>
                <w:b/>
                <w:bCs/>
                <w:color w:val="1A1A1A"/>
                <w:sz w:val="18"/>
              </w:rPr>
              <w:t xml:space="preserve">5</w:t>
            </w:r>
          </w:p>
        </w:tc>
        <w:tc>
          <w:tcPr/>
          <w:p>
            <w:pPr>
              <w:pStyle w:val="Compact"/>
              <w:spacing w:after="40" w:before="40"/>
              <w:jc w:val="left"/>
            </w:pPr>
            <w:r>
              <w:rPr>
                <w:rFonts w:ascii="Cambria" w:hAnsi="Cambria" w:cs="Cambria" w:eastAsia="Cambria"/>
                <w:color w:val="1A1A1A"/>
                <w:sz w:val="18"/>
              </w:rPr>
              <w:t xml:space="preserve">75–85%</w:t>
            </w:r>
          </w:p>
        </w:tc>
        <w:tc>
          <w:tcPr/>
          <w:p>
            <w:pPr>
              <w:pStyle w:val="Compact"/>
              <w:spacing w:after="40" w:before="40"/>
              <w:jc w:val="left"/>
            </w:pPr>
            <w:r>
              <w:rPr>
                <w:rFonts w:ascii="Cambria" w:hAnsi="Cambria" w:cs="Cambria" w:eastAsia="Cambria"/>
                <w:color w:val="1A1A1A"/>
                <w:sz w:val="18"/>
              </w:rPr>
              <w:t xml:space="preserve">40–60 M€</w:t>
            </w:r>
          </w:p>
        </w:tc>
        <w:tc>
          <w:tcPr/>
          <w:p>
            <w:pPr>
              <w:pStyle w:val="Compact"/>
              <w:spacing w:after="40" w:before="40"/>
              <w:jc w:val="left"/>
            </w:pPr>
            <w:r>
              <w:rPr>
                <w:rFonts w:ascii="Cambria" w:hAnsi="Cambria" w:cs="Cambria" w:eastAsia="Cambria"/>
                <w:color w:val="1A1A1A"/>
                <w:sz w:val="18"/>
              </w:rPr>
              <w:t xml:space="preserve">regime quasi raggiunto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90%+</w:t>
            </w:r>
          </w:p>
        </w:tc>
        <w:tc>
          <w:tcPr>
            <w:shd w:val="clear" w:color="auto" w:fill="F4F1EC"/>
          </w:tcPr>
          <w:p>
            <w:pPr>
              <w:pStyle w:val="Compact"/>
              <w:spacing w:after="40" w:before="40"/>
              <w:jc w:val="left"/>
            </w:pPr>
            <w:r>
              <w:rPr>
                <w:rFonts w:ascii="Cambria" w:hAnsi="Cambria" w:cs="Cambria" w:eastAsia="Cambria"/>
                <w:color w:val="1A1A1A"/>
                <w:sz w:val="18"/>
              </w:rPr>
              <w:t xml:space="preserve">55–110 M€</w:t>
            </w:r>
          </w:p>
        </w:tc>
        <w:tc>
          <w:tcPr>
            <w:shd w:val="clear" w:color="auto" w:fill="F4F1EC"/>
          </w:tcPr>
          <w:p>
            <w:pPr>
              <w:pStyle w:val="Compact"/>
              <w:spacing w:after="40" w:before="40"/>
              <w:jc w:val="left"/>
            </w:pPr>
            <w:r>
              <w:rPr>
                <w:rFonts w:ascii="Cambria" w:hAnsi="Cambria" w:cs="Cambria" w:eastAsia="Cambria"/>
                <w:color w:val="1A1A1A"/>
                <w:sz w:val="18"/>
              </w:rPr>
              <w:t xml:space="preserve">regime; effetti di lungo periodo</w:t>
            </w:r>
          </w:p>
        </w:tc>
      </w:tr>
    </w:tbl>
    <w:p>
      <w:pPr>
        <w:pStyle w:val="BodyText"/>
      </w:pPr>
      <w:r>
        <w:rPr>
          <w:i/>
          <w:iCs/>
        </w:rPr>
        <w:t xml:space="preserve">Tabella 5. Proiezione pluriennale del risparmio incrementale attribuibile all’IA secondo una curva di adozione prudenziale, governata dalla progressiva estensione e maturazione del programma formativo. Gli intervalli al decimo anno riflettono la differenza tra scenario base ed espansivo.</w:t>
      </w:r>
    </w:p>
    <w:bookmarkEnd w:id="1453"/>
    <w:bookmarkStart w:id="1455" w:name="X4dd11f1a83323dc972b2882834dc7fe7cfebfaf"/>
    <w:p>
      <w:pPr>
        <w:pStyle w:val="Heading3"/>
      </w:pPr>
      <w:r>
        <w:t xml:space="preserve">6.6 Confronto con la stima già contenuta nella Relazione</w:t>
      </w:r>
    </w:p>
    <w:p>
      <w:pPr>
        <w:pStyle w:val="FirstParagraph"/>
      </w:pPr>
      <w:r>
        <w:t xml:space="preserve">È utile, a beneficio della coerenza interna della Relazione, esplicitare il rapporto tra la presente stima e quella già contenuta nel capitolo dedicato all’IA nel servizio psicologico. Quella stima, pari a quindici-quaranta milioni di euro l’anno</w:t>
      </w:r>
      <w:r>
        <w:rPr>
          <w:rStyle w:val="FootnoteReference"/>
        </w:rPr>
        <w:footnoteReference w:id="646"/>
      </w:r>
      <w:r>
        <w:t xml:space="preserve">, si riferiva all’incremento di efficienza del solo servizio di psicologia di base e ai processi clinici e gestionali a esso interni. La stima qui sviluppata non la contraddice, ma la ricomprende e la estende: ampliando il perimetro all’intera squadra delle cure primarie — e dunque includendo l’impiego dell’IA da parte dei medici di medicina generale e dei pediatri di libera scelta nella diagnostica, nella prevenzione e nella gestione della cronicità — essa colloca il risparmio incrementale complessivo, nello scenario base, tra quarantacinque e cinquantacinque milioni di euro l’anno. La differenza rispetto alla stima ristretta è il valore aggiunto della decisione di formare l’intera squadra, e non i soli psicologi, ed è precisamente la grandezza che la committenza ha chiesto di quantificare.</w:t>
      </w:r>
    </w:p>
    <w:bookmarkEnd w:id="1455"/>
    <w:bookmarkEnd w:id="1456"/>
    <w:bookmarkStart w:id="1463" w:name="X1f44fc68e9a5ff4fad559054340ce451df7fde6"/>
    <w:p>
      <w:pPr>
        <w:pStyle w:val="Heading2"/>
      </w:pPr>
      <w:r>
        <w:t xml:space="preserve">7. Analisi di sensibilità e gestione dei rischi</w:t>
      </w:r>
    </w:p>
    <w:p>
      <w:pPr>
        <w:pStyle w:val="FirstParagraph"/>
      </w:pPr>
      <w:r>
        <w:t xml:space="preserve">La robustezza della stima richiede di esplicitare le variabili da cui i risultati dipendono in misura maggiore e di valutare le condizioni che potrebbero ridurne la realizzazione. L’analisi individua tre variabili critiche e i rischi a esse associati, proponendo per ciascuno misure di mitigazione.</w:t>
      </w:r>
    </w:p>
    <w:bookmarkStart w:id="1457" w:name="le-variabili-critiche"/>
    <w:p>
      <w:pPr>
        <w:pStyle w:val="Heading3"/>
      </w:pPr>
      <w:r>
        <w:t xml:space="preserve">7.1 Le variabili critiche</w:t>
      </w:r>
    </w:p>
    <w:p>
      <w:pPr>
        <w:pStyle w:val="FirstParagraph"/>
      </w:pPr>
      <w:r>
        <w:t xml:space="preserve">La profondità di adozione è la variabile a maggiore impatto, poiché il risparmio vi è proporzionale. Una profondità inferiore a quella assunta comprimerebbe il risparmio nella stessa proporzione; tuttavia, essendo la profondità di adozione il prodotto diretto della formazione, essa è anche la variabile più governabile dalla Regione, in particolare attraverso la componente di accompagnamento sul campo, che la letteratura indica come la più efficace nel sostenere l’adozione reale. La seconda variabile è costituita dalle percentuali di riduzione per canale, collocate in via prudenziale nella parte bassa degli intervalli documentati; un’eventuale sovrastima è contenuta dal margine prudenziale adottato, mentre una sottostima è più probabile, poiché il modello non valorizza pienamente gli effetti di lungo periodo sulla cronicità e sui risparmi indiretti. La terza variabile è il costo del programma formativo, stimato in un intervallo contenuto e in larga parte coperto da risorse esistenti; come già osservato, anche raddoppiando l’estremo superiore del costo il rapporto tra risparmio e costo resterebbe ampiamente favorevole, a conferma della scarsa sensibilità del risultato a questa variabile.</w:t>
      </w:r>
    </w:p>
    <w:bookmarkEnd w:id="1457"/>
    <w:bookmarkStart w:id="1462" w:name="i-rischi-e-le-misure-di-mitigazione"/>
    <w:p>
      <w:pPr>
        <w:pStyle w:val="Heading3"/>
      </w:pPr>
      <w:r>
        <w:t xml:space="preserve">7.2 I rischi e le misure di mitigazione</w:t>
      </w:r>
    </w:p>
    <w:p>
      <w:pPr>
        <w:pStyle w:val="FirstParagraph"/>
      </w:pPr>
      <w:r>
        <w:t xml:space="preserve">Il primo rischio è che la formazione continua si traduca in adempimento formale anziché in competenza sostanziale. Esso è mitigato dall’ancoraggio a crediti formativi obbligatori, dalla verifica degli apprendimenti, dalla componente pratica e di accompagnamento e dall’animazione di comunità di pratica che sostengano l’apprendimento tra pari nel tempo. Il secondo rischio è la resistenza professionale, documentata dalla letteratura sui medici di medicina generale; esso è mitigato presentando l’IA come strumento di supporto che riduce il carico amministrativo e libera tempo per la relazione clinica — effetto confermato dagli studi sugli assistenti di documentazione</w:t>
      </w:r>
      <w:r>
        <w:rPr>
          <w:rStyle w:val="FootnoteReference"/>
        </w:rPr>
        <w:footnoteReference w:id="647"/>
      </w:r>
      <w:r>
        <w:t xml:space="preserve"> </w:t>
      </w:r>
      <w:r>
        <w:t xml:space="preserve">— coinvolgendo i professionisti nella co-progettazione degli strumenti e valorizzando i referenti digitali come figure di fiducia interne alla comunità professionale. Il terzo rischio attiene alla sicurezza e alla qualità degli strumenti, dato che una quota dei dispositivi disponibili non è sostenuta da evidenza randomizzata e che sono documentate inesattezze occasionali negli esiti automatizzati.</w:t>
      </w:r>
      <w:r>
        <w:rPr>
          <w:rStyle w:val="FootnoteReference"/>
        </w:rPr>
        <w:footnoteReference w:id="648"/>
      </w:r>
      <w:r>
        <w:t xml:space="preserve"> </w:t>
      </w:r>
      <w:r>
        <w:rPr>
          <w:rStyle w:val="FootnoteReference"/>
        </w:rPr>
        <w:footnoteReference w:id="649"/>
      </w:r>
      <w:r>
        <w:t xml:space="preserve"> </w:t>
      </w:r>
      <w:r>
        <w:t xml:space="preserve">Esso è mitigato privilegiando gli strumenti dotati di evidenza più solida, prevedendo validazione locale e monitoraggio prospettico degli esiti, e mantenendo in ogni caso la supervisione clinica del professionista, la cui competenza — prodotta dalla formazione — è parte integrante della sicurezza del sistema.</w:t>
      </w:r>
    </w:p>
    <w:p>
      <w:pPr>
        <w:pStyle w:val="BodyText"/>
      </w:pPr>
      <w:r>
        <w:t xml:space="preserve">Un quarto rischio, di natura giuridica, attiene alla conformità al quadro regolatorio europeo. Poiché i sistemi di IA incorporati nei dispositivi medici sono classificati come ad alto rischio e dovranno raggiungere la piena conformità entro le scadenze fissate dal Regolamento europeo</w:t>
      </w:r>
      <w:r>
        <w:rPr>
          <w:rStyle w:val="FootnoteReference"/>
        </w:rPr>
        <w:footnoteReference w:id="650"/>
      </w:r>
      <w:r>
        <w:t xml:space="preserve">, la programmazione regionale deve selezionare strumenti conformi e includere nella formazione i profili etico-giuridici dell’uso dell’IA. Tale onere, lungi dal ridurre il risparmio, ne assicura la legittimità e la sostenibilità nel tempo, evitando che l’adozione sia esposta a contestazioni o a sospensioni che ne vanificherebbero il beneficio economico.</w:t>
      </w:r>
    </w:p>
    <w:bookmarkEnd w:id="1462"/>
    <w:bookmarkEnd w:id="1463"/>
    <w:bookmarkStart w:id="1464" w:name="conclusioni-operative-per-i-decisori"/>
    <w:p>
      <w:pPr>
        <w:pStyle w:val="Heading2"/>
      </w:pPr>
      <w:r>
        <w:t xml:space="preserve">8. Conclusioni operative per i decisori</w:t>
      </w:r>
    </w:p>
    <w:p>
      <w:pPr>
        <w:pStyle w:val="FirstParagraph"/>
      </w:pPr>
      <w:r>
        <w:t xml:space="preserve">L’analisi condotta consente di formulare alla programmazione regionale alcune conclusioni operative, fondate sull’evidenza scientifica internazionale e sulla quantificazione sviluppata nelle sezioni precedenti. La prima è che la formazione all’IA dell’intera squadra delle cure primarie — e non dei soli psicologi di base — produce un risparmio incrementale che, nello scenario base e in presenza di un programma ben condotto, si colloca tra quarantacinque e cinquantacinque milioni di euro l’anno a regime, portando il risparmio diretto totale del progetto da circa duecentosettanta a un ordine di trecentoventi milioni di euro l’anno. La parte di tale incremento che eccede la stima ristretta già contenuta nella Relazione è il beneficio specifico della scelta di estendere la formazione all’intera squadra, ed è di entità sufficiente a giustificare ampiamente l’investimento formativo.</w:t>
      </w:r>
    </w:p>
    <w:p>
      <w:pPr>
        <w:pStyle w:val="BodyText"/>
      </w:pPr>
      <w:r>
        <w:t xml:space="preserve">La seconda conclusione è che la formazione è la variabile causale del risparmio e, al tempo stesso, la più governabile dalla Regione. Poiché il risparmio cresce in proporzione alla profondità di adozione, e poiché la profondità di adozione è il prodotto diretto della qualità e della capillarità del programma formativo, l’investimento sulla formazione — e segnatamente sull’accompagnamento operativo sul campo, indicato dalla letteratura come la leva più efficace — è l’intervento a più elevato ritorno marginale dell’intero progetto. Il rapporto tra risparmio e costo formativo, dell’ordine di dodici-sedici a uno già nello scenario conservativo e di trenta-quaranta a uno nello scenario base, e la scarsa sensibilità di tale rapporto al raddoppio del costo, ne fanno una decisione finanziariamente robusta in qualunque ipotesi.</w:t>
      </w:r>
    </w:p>
    <w:p>
      <w:pPr>
        <w:pStyle w:val="BodyText"/>
      </w:pPr>
      <w:r>
        <w:t xml:space="preserve">La terza conclusione è che le quattro modalità formative vanno attivate congiuntamente ma con priorità differenziate. La formazione continua e l’accompagnamento operativo, agendo sul personale già in servizio e in prossimità dell’uso clinico, producono il risparmio del breve e medio periodo e vanno avviati per primi; la formazione post-universitaria, che genera i referenti digitali, va attivata in parallelo per dotare il sistema delle figure di traino; la formazione universitaria, che incide sulla cultura professionale delle coorti future, va promossa presso gli atenei regionali per assicurare la sostenibilità di lungo periodo. La sequenza riflette la diversa prossimità di ciascuna modalità al momento in cui il risparmio si genera.</w:t>
      </w:r>
    </w:p>
    <w:p>
      <w:pPr>
        <w:pStyle w:val="BodyText"/>
      </w:pPr>
      <w:r>
        <w:t xml:space="preserve">La quarta conclusione è che l’adozione dell’IA deve essere accompagnata da garanzie di sicurezza, qualità e conformità. La Regione deve selezionare strumenti dotati di evidenza solida e conformi al Regolamento europeo sull’IA entro le scadenze previste, prevedere la validazione locale e il monitoraggio prospettico degli esiti mediante misure standardizzate, e mantenere in ogni caso la supervisione clinica del professionista. Tali garanzie non riducono il risparmio, ma ne assicurano la legittimità e la durata, e trovano nella competenza prodotta dalla formazione il proprio presidio principale. La Puglia, che dispone già di una base normativa e infrastrutturale favorevole e di una sperimentazione del modello in corso, può così posizionarsi come riferimento nazionale per l’integrazione responsabile dell’Intelligenza Artificiale nelle cure primarie e nella salute mentale territoriale.</w:t>
      </w:r>
    </w:p>
    <w:p>
      <w:pPr>
        <w:pStyle w:val="BodyText"/>
      </w:pPr>
      <w:r>
        <w:rPr>
          <w:b/>
          <w:bCs/>
          <w:i/>
          <w:iCs/>
        </w:rPr>
        <w:t xml:space="preserve">Nota metodologica sulle fonti</w:t>
      </w:r>
    </w:p>
    <w:p>
      <w:pPr>
        <w:pStyle w:val="BodyText"/>
      </w:pPr>
      <w:r>
        <w:t xml:space="preserve">Le note che seguono documentano le fonti scientifiche, regolatorie e istituzionali utilizzate. Le grandezze economiche regionali derivano dai capitoli della Relazione tecnico-finanziaria; le percentuali di efficacia e di riduzione provengono da studi controllati randomizzati, revisioni sistematiche con metanalisi e valutazioni economiche pubblicate su riviste con revisione paritaria, citate in forma sintetica e impiegate in chiave prudenziale. I valori monetari sono espressi come ordini di grandezza e intervalli, coerentemente con la natura previsionale dell’analisi.</w:t>
      </w:r>
    </w:p>
    <w:p>
      <w:pPr>
        <w:pStyle w:val="BodyText"/>
      </w:pPr>
      <w:r>
        <w:rPr>
          <w:b/>
          <w:bCs/>
        </w:rPr>
        <w:t xml:space="preserve">PARTE II</w:t>
      </w:r>
    </w:p>
    <w:bookmarkEnd w:id="1464"/>
    <w:bookmarkStart w:id="1465" w:name="X5aaa6c5629084939cbef4f0f69c091168704710"/>
    <w:p>
      <w:pPr>
        <w:pStyle w:val="Heading2"/>
      </w:pPr>
      <w:r>
        <w:rPr>
          <w:b/>
          <w:bCs/>
        </w:rPr>
        <w:t xml:space="preserve">Le potenzialità dell’Intelligenza Artificiale lungo il continuum assistenziale</w:t>
      </w:r>
    </w:p>
    <w:p>
      <w:pPr>
        <w:pStyle w:val="FirstParagraph"/>
      </w:pPr>
      <w:r>
        <w:rPr>
          <w:i/>
          <w:iCs/>
        </w:rPr>
        <w:t xml:space="preserve">Dispositivi autorizzati, panorama brevettuale, studi pilota ed esperienze internazionali</w:t>
      </w:r>
    </w:p>
    <w:bookmarkEnd w:id="1465"/>
    <w:bookmarkStart w:id="1468" w:name="premessa-13"/>
    <w:p>
      <w:pPr>
        <w:pStyle w:val="Heading2"/>
      </w:pPr>
      <w:r>
        <w:t xml:space="preserve">Premessa</w:t>
      </w:r>
    </w:p>
    <w:p>
      <w:pPr>
        <w:pStyle w:val="FirstParagraph"/>
      </w:pPr>
      <w:r>
        <w:t xml:space="preserve">Il presente documento costituisce l’approfondimento della sezione dedicata alle potenzialità cliniche dell’Intelligenza Artificiale già introdotta nel capitolo integrativo sulla formazione della squadra delle cure primarie. Mentre quel capitolo collocava le potenzialità dell’IA all’interno del ragionamento economico complessivo, qui esse vengono ricostruite in modo analitico lungo le cinque dimensioni del continuum assistenziale — diagnostica, prevenzione, trattamento, riabilitazione, recupero — dando conto, per ciascuna, dei dispositivi effettivamente autorizzati dalle agenzie regolatorie, del panorama brevettuale mondiale, degli studi pilota e controllati più autorevoli e delle esperienze internazionali di implementazione. L’obiettivo è fornire alla programmazione regionale la base documentale necessaria a tradurre la potenzialità in scelte concrete di adozione e di formazione, e a sostenere in sede tecnico-amministrativa la stima dell’ulteriore riduzione di spesa.</w:t>
      </w:r>
    </w:p>
    <w:p>
      <w:pPr>
        <w:pStyle w:val="BodyText"/>
      </w:pPr>
      <w:r>
        <w:t xml:space="preserve">Due avvertenze metodologiche orientano la lettura. La prima riguarda la maturità dell’evidenza: il campo è in espansione rapidissima — la sola agenzia statunitense aveva autorizzato circa 950 dispositivi medici abilitati all’IA al 7 agosto 2024, in larga prevalenza in radiologia</w:t>
      </w:r>
      <w:r>
        <w:rPr>
          <w:rStyle w:val="FootnoteReference"/>
        </w:rPr>
        <w:footnoteReference w:id="651"/>
      </w:r>
      <w:r>
        <w:t xml:space="preserve"> </w:t>
      </w:r>
      <w:r>
        <w:t xml:space="preserve">— ma una quota ridotta dei dispositivi disponibili è sostenuta da studi clinici randomizzati, e la trasparenza sui dati di addestramento resta spesso limitata.</w:t>
      </w:r>
      <w:r>
        <w:rPr>
          <w:rStyle w:val="FootnoteReference"/>
        </w:rPr>
        <w:footnoteReference w:id="652"/>
      </w:r>
      <w:r>
        <w:t xml:space="preserve"> </w:t>
      </w:r>
      <w:r>
        <w:t xml:space="preserve">Il documento privilegia pertanto gli strumenti dotati di evidenza più solida e segnala esplicitamente i limiti. La seconda avvertenza riguarda la trasferibilità: non tutte le applicazioni descritte sono pertinenti alle cure primarie pugliesi nella stessa misura, e per ciascuna dimensione si chiarisce quali funzioni siano effettivamente attivabili nello studio del medico di base e dello psicologo, e attraverso quali competenze.</w:t>
      </w:r>
    </w:p>
    <w:bookmarkEnd w:id="1468"/>
    <w:bookmarkStart w:id="1483" w:name="diagnostica-1"/>
    <w:p>
      <w:pPr>
        <w:pStyle w:val="Heading2"/>
      </w:pPr>
      <w:r>
        <w:t xml:space="preserve">1. Diagnostica</w:t>
      </w:r>
    </w:p>
    <w:p>
      <w:pPr>
        <w:pStyle w:val="FirstParagraph"/>
      </w:pPr>
      <w:r>
        <w:t xml:space="preserve">La diagnostica è l’ambito di maggiore maturità applicativa dell’IA e quello in cui esiste l’evidenza più robusta di trasferimento di capacità specialistica al livello delle cure primarie. La radiologia ne costituisce il nucleo storico, ma il valore per il medico di base risiede soprattutto nei dispositivi che consentono di formulare una decisione diagnostica nel punto di cura, riducendo gli invii inappropriati e anticipando la diagnosi. Tre esempi, sostenuti da evidenza di qualità elevata e da autorizzazioni regolatorie, illustrano la portata del fenomeno: lo screening autonomo della retinopatia diabetica, lo screening mammografico assistito e il triage dell’ictus acuto.</w:t>
      </w:r>
    </w:p>
    <w:bookmarkStart w:id="1472" w:name="X3c7379d5a3e3039e2df83001264a4f9582a1148"/>
    <w:p>
      <w:pPr>
        <w:pStyle w:val="Heading3"/>
      </w:pPr>
      <w:r>
        <w:t xml:space="preserve">1.1 Lo screening autonomo della retinopatia diabetica</w:t>
      </w:r>
    </w:p>
    <w:p>
      <w:pPr>
        <w:pStyle w:val="FirstParagraph"/>
      </w:pPr>
      <w:r>
        <w:t xml:space="preserve">Il sistema autonomo per la rilevazione della retinopatia diabetica rappresenta il caso paradigmatico dell’IA che porta la diagnostica specialistica nello studio del medico di base. Validato in uno studio prospettico multicentrico, ha mostrato una sensibilità dell’87,2% e una specificità del 90,7% rispetto a uno standard di lettura esperta, ed è stato il primo sistema di IA autonoma autorizzato dalla FDA in qualsiasi ambito della medicina, in grado di produrre una decisione clinica senza necessità di revisione specialistica.</w:t>
      </w:r>
      <w:r>
        <w:rPr>
          <w:rStyle w:val="FootnoteReference"/>
        </w:rPr>
        <w:footnoteReference w:id="653"/>
      </w:r>
      <w:r>
        <w:t xml:space="preserve"> </w:t>
      </w:r>
      <w:r>
        <w:t xml:space="preserve">Uno studio controllato randomizzato successivo ha documentato che l’impiego di tale sistema in età giovanile incrementa i tassi di esecuzione dello screening e di adesione al percorso di cura,</w:t>
      </w:r>
      <w:r>
        <w:rPr>
          <w:rStyle w:val="FootnoteReference"/>
        </w:rPr>
        <w:footnoteReference w:id="654"/>
      </w:r>
      <w:r>
        <w:t xml:space="preserve"> </w:t>
      </w:r>
      <w:r>
        <w:t xml:space="preserve">e l’introduzione di un codice di rimborso dedicato ha dimostrato che l’IA autonoma può essere incardinata nei meccanismi di pagamento.</w:t>
      </w:r>
      <w:r>
        <w:rPr>
          <w:rStyle w:val="FootnoteReference"/>
        </w:rPr>
        <w:footnoteReference w:id="655"/>
      </w:r>
      <w:r>
        <w:t xml:space="preserve"> </w:t>
      </w:r>
      <w:r>
        <w:t xml:space="preserve">La rilevanza per la Puglia è diretta: una complicanza che richiederebbe l’accesso allo specialista oculista può essere intercettata dal medico di base, riducendo la spesa specialistica e prevenendo la perdita della vista, con un beneficio che si manifesta sia come risparmio sia come prevenzione di una disabilità a elevato costo indiretto.</w:t>
      </w:r>
    </w:p>
    <w:bookmarkEnd w:id="1472"/>
    <w:bookmarkStart w:id="1476" w:name="lo-screening-mammografico-assistito"/>
    <w:p>
      <w:pPr>
        <w:pStyle w:val="Heading3"/>
      </w:pPr>
      <w:r>
        <w:t xml:space="preserve">1.2 Lo screening mammografico assistito</w:t>
      </w:r>
    </w:p>
    <w:p>
      <w:pPr>
        <w:pStyle w:val="FirstParagraph"/>
      </w:pPr>
      <w:r>
        <w:t xml:space="preserve">Negli studi prospettici sullo screening mammografico, la lettura assistita da IA ha mostrato una rilevazione del cancro non inferiore alla doppia lettura umana, a fronte di una riduzione sostanziale del carico di lavoro radiologico.</w:t>
      </w:r>
      <w:r>
        <w:rPr>
          <w:rStyle w:val="FootnoteReference"/>
        </w:rPr>
        <w:footnoteReference w:id="656"/>
      </w:r>
      <w:r>
        <w:t xml:space="preserve"> </w:t>
      </w:r>
      <w:r>
        <w:t xml:space="preserve">Pur essendo una funzione di secondo livello, essa rileva per le cure primarie perché riduce i tempi di attesa e libera capacità specialistica, contribuendo indirettamente all’appropriatezza dei percorsi attivati dal medico di base. Analogamente, nella colonscopia la visione artificiale in tempo reale incrementa il tasso di rilevazione degli adenomi senza aumentare la rimozione di tessuto non patologico, con riduzioni del costo medio della procedura comprese tra il 6,9% e il 18,9% in diversi sistemi sanitari.</w:t>
      </w:r>
      <w:r>
        <w:rPr>
          <w:rStyle w:val="FootnoteReference"/>
        </w:rPr>
        <w:footnoteReference w:id="657"/>
      </w:r>
      <w:r>
        <w:t xml:space="preserve"> </w:t>
      </w:r>
      <w:r>
        <w:t xml:space="preserve">Il meccanismo economico comune, confermato dalla revisione sistematica delle valutazioni economiche, è la riduzione delle procedure non necessarie e l’ottimizzazione dell’impiego delle risorse.</w:t>
      </w:r>
      <w:r>
        <w:rPr>
          <w:rStyle w:val="FootnoteReference"/>
        </w:rPr>
        <w:footnoteReference w:id="658"/>
      </w:r>
    </w:p>
    <w:bookmarkEnd w:id="1476"/>
    <w:bookmarkStart w:id="1480" w:name="il-triage-dellictus-acuto"/>
    <w:p>
      <w:pPr>
        <w:pStyle w:val="Heading3"/>
      </w:pPr>
      <w:r>
        <w:t xml:space="preserve">1.3 Il triage dell’ictus acuto</w:t>
      </w:r>
    </w:p>
    <w:p>
      <w:pPr>
        <w:pStyle w:val="FirstParagraph"/>
      </w:pPr>
      <w:r>
        <w:t xml:space="preserve">Il triage dell’ictus acuto mediante IA costituisce uno degli esempi più documentati di impatto clinico ed economico. I sistemi che rilevano in tempo reale l’occlusione di grande vaso dall’angiografia computerizzata e allertano automaticamente il team interventistico hanno mostrato, nello studio indipendente VALIDATE condotto su 166 strutture in 17 Stati e oltre 14.000 pazienti, una riduzione dei tempi di riconoscimento e di contatto con il team.</w:t>
      </w:r>
      <w:r>
        <w:rPr>
          <w:rStyle w:val="FootnoteReference"/>
        </w:rPr>
        <w:footnoteReference w:id="659"/>
      </w:r>
      <w:r>
        <w:t xml:space="preserve"> </w:t>
      </w:r>
      <w:r>
        <w:t xml:space="preserve">Una metanalisi di undici studi e oltre 15.000 pazienti ha confermato una riduzione significativa del tempo door-in door-out nei centri post-adozione,</w:t>
      </w:r>
      <w:r>
        <w:rPr>
          <w:rStyle w:val="FootnoteReference"/>
        </w:rPr>
        <w:footnoteReference w:id="660"/>
      </w:r>
      <w:r>
        <w:t xml:space="preserve"> </w:t>
      </w:r>
      <w:r>
        <w:t xml:space="preserve">e l’uso del software di IA per la rilevazione e il triage dell’ictus è stato incorporato nel 2023 tra gli standard di cura da una delle principali società scientifiche cardiovascolari, con una diffusione che copre oltre 220 milioni di vite e oltre 1.400 ospedali tra Stati Uniti ed Europa.</w:t>
      </w:r>
      <w:r>
        <w:rPr>
          <w:rStyle w:val="FootnoteReference"/>
        </w:rPr>
        <w:footnoteReference w:id="661"/>
      </w:r>
      <w:r>
        <w:t xml:space="preserve"> </w:t>
      </w:r>
      <w:r>
        <w:t xml:space="preserve">Sebbene l’ictus acuto sia gestito in ambito ospedaliero, l’esempio dimostra il principio generale, trasferibile alle cure primarie, secondo cui l’IA genera risparmio comprimendo i tempi e riducendo gli esiti avversi a elevato costo.</w:t>
      </w:r>
    </w:p>
    <w:bookmarkEnd w:id="1480"/>
    <w:bookmarkStart w:id="1482" w:name="X918a19e40eadba033ea727cfdfba26932456d35"/>
    <w:p>
      <w:pPr>
        <w:pStyle w:val="Heading3"/>
      </w:pPr>
      <w:r>
        <w:t xml:space="preserve">1.4 Funzioni attivabili nelle cure primarie pugliesi</w:t>
      </w:r>
    </w:p>
    <w:p>
      <w:pPr>
        <w:pStyle w:val="FirstParagraph"/>
      </w:pPr>
      <w:r>
        <w:t xml:space="preserve">Per la squadra delle cure primarie pugliese, la diagnostica assistita da IA si traduce in tre funzioni concretamente attivabili: il supporto alla decisione diagnostica del medico di base, che riduce sia i mancati riconoscimenti sia gli accertamenti ridondanti; lo screening autonomo o semi-autonomo di condizioni ad alta prevalenza direttamente nello studio, che evita l’invio sistematico allo specialista; e il triage diagnostico, che indirizza al secondo livello soltanto i casi che ne hanno effettiva necessità. Ciascuna di queste funzioni agisce sulla voce di spesa specialistica e diagnostica, la più ampia del perimetro territoriale, alla quale il capitolo integrativo attribuisce il contributo incrementale di maggiore entità.</w:t>
      </w:r>
      <w:r>
        <w:rPr>
          <w:rStyle w:val="FootnoteReference"/>
        </w:rPr>
        <w:footnoteReference w:id="662"/>
      </w:r>
      <w:r>
        <w:t xml:space="preserve"> </w:t>
      </w:r>
      <w:r>
        <w:t xml:space="preserve">La condizione perché il beneficio si realizzi è che il medico di base sia formato a interpretare gli esiti, a riconoscere i falsi positivi e negativi e ad applicare i criteri di invio appropriato, competenze che la formazione continua e l’accompagnamento sul campo sono chiamati a generare.</w:t>
      </w:r>
    </w:p>
    <w:bookmarkEnd w:id="1482"/>
    <w:bookmarkEnd w:id="1483"/>
    <w:bookmarkStart w:id="1489" w:name="prevenzione-e-predizione-1"/>
    <w:p>
      <w:pPr>
        <w:pStyle w:val="Heading2"/>
      </w:pPr>
      <w:r>
        <w:t xml:space="preserve">2. Prevenzione e predizione</w:t>
      </w:r>
    </w:p>
    <w:p>
      <w:pPr>
        <w:pStyle w:val="FirstParagraph"/>
      </w:pPr>
      <w:r>
        <w:t xml:space="preserve">La prevenzione è l’ambito in cui l’IA esprime la propria specificità più marcata, poiché l’analisi predittiva consente di anticipare l’evento clinico anziché limitarsi a reagirvi. Il valore non risiede nella sola accuratezza del modello, ma nella sua capacità di indirizzare interventi proattivi sui soggetti a maggiore rischio, trasformando l’assistenza da reattiva a preventiva. La presente sezione esamina due famiglie di applicazioni rilevanti per le cure primarie: la stratificazione del rischio finalizzata alla riduzione delle riospedalizzazioni e delle riacutizzazioni, e la rilevazione precoce di condizioni silenti ad alto impatto.</w:t>
      </w:r>
    </w:p>
    <w:bookmarkStart w:id="1486" w:name="X9c9fdd486d1e665bbd38d578e641bdba981e251"/>
    <w:p>
      <w:pPr>
        <w:pStyle w:val="Heading3"/>
      </w:pPr>
      <w:r>
        <w:t xml:space="preserve">2.1 La stratificazione del rischio e la riduzione delle riospedalizzazioni</w:t>
      </w:r>
    </w:p>
    <w:p>
      <w:pPr>
        <w:pStyle w:val="FirstParagraph"/>
      </w:pPr>
      <w:r>
        <w:t xml:space="preserve">I modelli di stratificazione del rischio, alimentati dai dati delle cartelle cliniche, dai parametri raccolti dai dispositivi indossabili e dai determinanti sociali di salute, identificano con accuratezza superiore al solo giudizio clinico i pazienti a maggiore rischio di riacutizzazione o di riospedalizzazione. Gli studi prospettici documentano riduzioni delle riammissioni a trenta giorni comprese tra il 10% e il 50% quando il modello è collegato a un’azione clinica definita; un sistema ospedaliero ha dimezzato in diciotto mesi un costo annuo di alcuni milioni di dollari per riammissioni evitabili.</w:t>
      </w:r>
      <w:r>
        <w:rPr>
          <w:rStyle w:val="FootnoteReference"/>
        </w:rPr>
        <w:footnoteReference w:id="663"/>
      </w:r>
      <w:r>
        <w:t xml:space="preserve"> </w:t>
      </w:r>
      <w:r>
        <w:t xml:space="preserve">La condizione di efficacia, ricorrente nella letteratura, è che la predizione non migliora di per sé gli esiti se non è tradotta in un intervento: il valore del modello risiede nel collegamento tra l’output di rischio e un’azione del professionista, quale la programmazione di un controllo, l’intensificazione del monitoraggio o l’attivazione di un percorso domiciliare.</w:t>
      </w:r>
      <w:r>
        <w:rPr>
          <w:rStyle w:val="FootnoteReference"/>
        </w:rPr>
        <w:footnoteReference w:id="664"/>
      </w:r>
      <w:r>
        <w:t xml:space="preserve"> </w:t>
      </w:r>
      <w:r>
        <w:t xml:space="preserve">È precisamente il punto in cui la formazione diviene decisiva, poiché lo stesso modello produce risparmio elevato in mano a un professionista formato a interpretarne l’avviso e ad agire di conseguenza, e nessun risparmio in mano a un professionista che lo ignora o ne diffida.</w:t>
      </w:r>
    </w:p>
    <w:bookmarkEnd w:id="1486"/>
    <w:bookmarkStart w:id="1488" w:name="X4a712c251f33f76c0936222167b78e4aec4ae4c"/>
    <w:p>
      <w:pPr>
        <w:pStyle w:val="Heading3"/>
      </w:pPr>
      <w:r>
        <w:t xml:space="preserve">2.2 La rilevazione precoce di condizioni silenti</w:t>
      </w:r>
    </w:p>
    <w:p>
      <w:pPr>
        <w:pStyle w:val="FirstParagraph"/>
      </w:pPr>
      <w:r>
        <w:t xml:space="preserve">Una seconda famiglia di applicazioni preventive riguarda la rilevazione di condizioni silenti ma ad alto impatto, la cui intercettazione precoce modifica radicalmente la prognosi e il costo. L’esempio della fibrillazione atriale parossistica è emblematico: il suo riconoscimento consente di sostituire una terapia inadeguata con una anticoagulazione appropriata, prevenendo l’ictus cardioembolico; piattaforme di coordinamento basate su IA collegano direttamente i team neurologici e cardiologici per la valutazione prima della dimissione, e i dispositivi indossabili a uso diffuso hanno reso possibile la rilevazione opportunistica dell’aritmia.</w:t>
      </w:r>
      <w:r>
        <w:rPr>
          <w:rStyle w:val="FootnoteReference"/>
        </w:rPr>
        <w:footnoteReference w:id="665"/>
      </w:r>
      <w:r>
        <w:t xml:space="preserve"> </w:t>
      </w:r>
      <w:r>
        <w:t xml:space="preserve">Per le cure primarie pugliesi, la stratificazione del rischio consente di anticipare le riacutizzazioni delle patologie croniche a forte componente psicosomatica, di intercettare i pazienti ad alta utilizzazione dei servizi prima che generino accessi impropri e di indirizzare lo psicologo di base verso i pazienti a maggiore rischio di cronicizzazione del disturbo mentale comune, integrandosi con la funzione di filtro già prevista dal progetto. Il risparmio connesso a questa dimensione si concentra sulla riduzione dei ricoveri evitabili e degli accessi in urgenza, voci a elevato costo unitario, e cresce nel tempo.</w:t>
      </w:r>
    </w:p>
    <w:bookmarkEnd w:id="1488"/>
    <w:bookmarkEnd w:id="1489"/>
    <w:bookmarkStart w:id="1505" w:name="trattamento-1"/>
    <w:p>
      <w:pPr>
        <w:pStyle w:val="Heading2"/>
      </w:pPr>
      <w:r>
        <w:t xml:space="preserve">3. Trattamento</w:t>
      </w:r>
    </w:p>
    <w:p>
      <w:pPr>
        <w:pStyle w:val="FirstParagraph"/>
      </w:pPr>
      <w:r>
        <w:t xml:space="preserve">Il trattamento è la dimensione di più diretta pertinenza per il servizio di psicologia di base e quella in cui l’evidenza più recente ha prodotto i risultati di maggiore rilievo. Essa si articola in quattro filoni: gli agenti conversazionali per i disturbi mentali comuni, i dispositivi terapeutici digitali su prescrizione, il sostegno alla decisione clinica e l’alleggerimento del carico documentale. Ciascuno contribuisce, per via diretta o indiretta, alla riduzione della spesa e all’estensione della capacità del servizio.</w:t>
      </w:r>
    </w:p>
    <w:bookmarkStart w:id="1494" w:name="Xf619551c52655e4fd0d860bf3822bb41c8fe646"/>
    <w:p>
      <w:pPr>
        <w:pStyle w:val="Heading3"/>
      </w:pPr>
      <w:r>
        <w:t xml:space="preserve">3.1 Gli agenti conversazionali per i disturbi mentali comuni</w:t>
      </w:r>
    </w:p>
    <w:p>
      <w:pPr>
        <w:pStyle w:val="FirstParagraph"/>
      </w:pPr>
      <w:r>
        <w:t xml:space="preserve">L’evidenza più autorevole proviene dal primo studio controllato randomizzato di un agente di IA generativa per la psicoterapia, condotto su un campione nazionale di duecentodieci adulti con sintomi clinicamente significativi di depressione maggiore, disturbo d’ansia generalizzato o rischio elevato di disturbo del comportamento alimentare. A otto settimane lo studio ha documentato una riduzione dei sintomi depressivi del 51%, dei sintomi ansiosi del 31% e delle preoccupazioni alimentari del 19%, con un’alleanza terapeutica percepita comparabile a quella stabilita con un professionista umano.</w:t>
      </w:r>
      <w:r>
        <w:rPr>
          <w:rStyle w:val="FootnoteReference"/>
        </w:rPr>
        <w:footnoteReference w:id="666"/>
      </w:r>
      <w:r>
        <w:t xml:space="preserve"> </w:t>
      </w:r>
      <w:r>
        <w:t xml:space="preserve">Evidenze precedenti, su orizzonti più brevi, avevano già mostrato l’efficacia di assistenti conversazionali basati sulla terapia cognitivo-comportamentale nel ridurre i sintomi depressivi e ansiosi,</w:t>
      </w:r>
      <w:r>
        <w:rPr>
          <w:rStyle w:val="FootnoteReference"/>
        </w:rPr>
        <w:footnoteReference w:id="667"/>
      </w:r>
      <w:r>
        <w:t xml:space="preserve"> </w:t>
      </w:r>
      <w:r>
        <w:t xml:space="preserve">e strumenti analoghi sono impiegati nei servizi nazionali di terapie psicologiche del Regno Unito.</w:t>
      </w:r>
      <w:r>
        <w:rPr>
          <w:rStyle w:val="FootnoteReference"/>
        </w:rPr>
        <w:footnoteReference w:id="668"/>
      </w:r>
      <w:r>
        <w:t xml:space="preserve"> </w:t>
      </w:r>
      <w:r>
        <w:t xml:space="preserve">Questi risultati vanno letti con l’avvertimento esplicito degli autori: nessun agente generativo è oggi idoneo a operare in piena autonomia in salute mentale, e il suo impiego presuppone la supervisione clinica.</w:t>
      </w:r>
      <w:r>
        <w:rPr>
          <w:rStyle w:val="FootnoteReference"/>
        </w:rPr>
        <w:footnoteReference w:id="669"/>
      </w:r>
      <w:r>
        <w:t xml:space="preserve"> </w:t>
      </w:r>
      <w:r>
        <w:t xml:space="preserve">Ne discende il modello appropriato per le cure primarie pugliesi, nel quale l’IA conversazionale non sostituisce lo psicologo di base ma ne estende la capacità di presa in carico ai casi lievi e nei tempi di attesa, operando come primo livello sotto supervisione.</w:t>
      </w:r>
    </w:p>
    <w:bookmarkEnd w:id="1494"/>
    <w:bookmarkStart w:id="1500" w:name="X20c97ddcf00ccfd38c2e656b1f1dbc318ae0652"/>
    <w:p>
      <w:pPr>
        <w:pStyle w:val="Heading3"/>
      </w:pPr>
      <w:r>
        <w:t xml:space="preserve">3.2 I dispositivi terapeutici digitali su prescrizione</w:t>
      </w:r>
    </w:p>
    <w:p>
      <w:pPr>
        <w:pStyle w:val="FirstParagraph"/>
      </w:pPr>
      <w:r>
        <w:t xml:space="preserve">Una categoria di crescente rilevanza, perché dotata di autorizzazione regolatoria e di studi controllati a sostegno, è quella dei dispositivi terapeutici digitali su prescrizione, ossia software che il clinico prescrive al pari di un farmaco e che erogano interventi strutturati a efficacia dimostrata. Nel disturbo depressivo maggiore, il primo dispositivo del genere è stato autorizzato dalla FDA nell’aprile 2024 come adiuvante della cura ambulatoriale negli adulti, sulla base di uno studio di fase 3 randomizzato in doppio cieco su 386 pazienti.</w:t>
      </w:r>
      <w:r>
        <w:rPr>
          <w:rStyle w:val="FootnoteReference"/>
        </w:rPr>
        <w:footnoteReference w:id="670"/>
      </w:r>
      <w:r>
        <w:t xml:space="preserve"> </w:t>
      </w:r>
      <w:r>
        <w:t xml:space="preserve">Nell’insonnia cronica — condizione strettamente associata a depressione e ansia — due dispositivi distinti erogano la terapia cognitivo-comportamentale per l’insonnia, riconosciuta come trattamento di prima linea: il primo, autorizzato nel 2020, ha mostrato in due studi randomizzati su oltre 1.400 adulti una riduzione della gravità dell’insonnia di circa il 45%, mantenuta a sei e dodici mesi;</w:t>
      </w:r>
      <w:r>
        <w:rPr>
          <w:rStyle w:val="FootnoteReference"/>
        </w:rPr>
        <w:footnoteReference w:id="671"/>
      </w:r>
      <w:r>
        <w:t xml:space="preserve"> </w:t>
      </w:r>
      <w:r>
        <w:t xml:space="preserve">il secondo, autorizzato nell’agosto 2024, è sostenuto da oltre venticinque studi clinici.</w:t>
      </w:r>
      <w:r>
        <w:rPr>
          <w:rStyle w:val="FootnoteReference"/>
        </w:rPr>
        <w:footnoteReference w:id="672"/>
      </w:r>
      <w:r>
        <w:t xml:space="preserve"> </w:t>
      </w:r>
      <w:r>
        <w:t xml:space="preserve">Ulteriori dispositivi autorizzati coprono i disturbi da uso di sostanze e da oppioidi, la depressione post-partum, la depressione adolescenziale e gli incubi nel disturbo post-traumatico da stress.</w:t>
      </w:r>
      <w:r>
        <w:rPr>
          <w:rStyle w:val="FootnoteReference"/>
        </w:rPr>
        <w:footnoteReference w:id="673"/>
      </w:r>
    </w:p>
    <w:p>
      <w:pPr>
        <w:pStyle w:val="BodyText"/>
      </w:pPr>
      <w:r>
        <w:t xml:space="preserve">La rilevanza per la Puglia di questa categoria è duplice. Sotto il profilo clinico, i dispositivi terapeutici digitali su prescrizione offrono al medico di base e allo psicologo strumenti a efficacia documentata per i disturbi più frequenti, impiegabili come adiuvante o come primo livello sotto supervisione, e dunque idonei a estendere la capacità di presa in carico del servizio. Sotto il profilo della sostenibilità, l’introduzione, da parte dei sistemi di pagamento di altri Paesi, di codici di rimborso dedicati e l’avvio della copertura assicurativa di tali dispositivi dimostrano che essi possono essere incardinati nei meccanismi di finanziamento,</w:t>
      </w:r>
      <w:r>
        <w:rPr>
          <w:rStyle w:val="FootnoteReference"/>
        </w:rPr>
        <w:footnoteReference w:id="674"/>
      </w:r>
      <w:r>
        <w:t xml:space="preserve"> </w:t>
      </w:r>
      <w:r>
        <w:t xml:space="preserve">condizione necessaria perché il risparmio clinico si traduca in sostenibilità di sistema. La loro adozione presuppone, però, che il professionista sia formato a selezionare il dispositivo appropriato, a integrarlo nel percorso di cura e a monitorarne gli esiti, e che la Regione ne verifichi la conformità al quadro regolatorio europeo.</w:t>
      </w:r>
    </w:p>
    <w:bookmarkEnd w:id="1500"/>
    <w:bookmarkStart w:id="1504" w:name="X54f6a5be99fbd71c7b5492f9e8649ea842c6ed7"/>
    <w:p>
      <w:pPr>
        <w:pStyle w:val="Heading3"/>
      </w:pPr>
      <w:r>
        <w:t xml:space="preserve">3.3 Il sostegno alla decisione e l’alleggerimento del carico documentale</w:t>
      </w:r>
    </w:p>
    <w:p>
      <w:pPr>
        <w:pStyle w:val="FirstParagraph"/>
      </w:pPr>
      <w:r>
        <w:t xml:space="preserve">Il terzo e il quarto filone agiscono sull’efficienza del professionista. Il sostegno alla decisione clinica orienta la scelta dell’intervento e il monitoraggio degli esiti mediante misure standardizzate, e contribuisce all’appropriatezza prescrittiva, poiché una migliore gestione psicologica del disturbo comune riduce il ricorso inappropriato a psicofarmaci e analgesici. L’alleggerimento del carico documentale, mediante gli assistenti di documentazione clinica ambientale che generano automaticamente la nota a partire dal colloquio, produce un risparmio indiretto ma documentato: gli studi, inclusi disegni randomizzati pragmatici, riportano una riduzione del tempo dedicato alla documentazione dell’ordine di venti-trenta minuti per giornata di ambulatorio per operatore, con riduzione del burnout e migliore accuratezza della codifica.</w:t>
      </w:r>
      <w:r>
        <w:rPr>
          <w:rStyle w:val="FootnoteReference"/>
        </w:rPr>
        <w:footnoteReference w:id="675"/>
      </w:r>
      <w:r>
        <w:t xml:space="preserve"> </w:t>
      </w:r>
      <w:r>
        <w:t xml:space="preserve">Anche in questo caso l’evidenza impone cautela, poiché uno studio randomizzato ha segnalato la comparsa occasionale di inesattezze clinicamente rilevanti, da cui la necessità di una revisione vigile da parte del professionista.</w:t>
      </w:r>
      <w:r>
        <w:rPr>
          <w:rStyle w:val="FootnoteReference"/>
        </w:rPr>
        <w:footnoteReference w:id="676"/>
      </w:r>
      <w:r>
        <w:t xml:space="preserve"> </w:t>
      </w:r>
      <w:r>
        <w:t xml:space="preserve">Il tempo liberato è tempo restituito alla relazione clinica e si converte, nel medio periodo, in maggiore capacità del servizio a parità di organico. La quantificazione complessiva di questi effetti sul trattamento e sulla salute mentale è sviluppata nel capitolo integrativo, che vi attribuisce un contributo incrementale rilevante; va inoltre ricordato che la letteratura economica ha documentato come un trattamento della depressione assistito da machine learning possa contenere i costi del 5,42% a fronte di una variazione marginale degli esiti.</w:t>
      </w:r>
      <w:r>
        <w:rPr>
          <w:rStyle w:val="FootnoteReference"/>
        </w:rPr>
        <w:footnoteReference w:id="677"/>
      </w:r>
    </w:p>
    <w:bookmarkEnd w:id="1504"/>
    <w:bookmarkEnd w:id="1505"/>
    <w:bookmarkStart w:id="1509" w:name="riabilitazione-1"/>
    <w:p>
      <w:pPr>
        <w:pStyle w:val="Heading2"/>
      </w:pPr>
      <w:r>
        <w:t xml:space="preserve">4. Riabilitazione</w:t>
      </w:r>
    </w:p>
    <w:p>
      <w:pPr>
        <w:pStyle w:val="FirstParagraph"/>
      </w:pPr>
      <w:r>
        <w:t xml:space="preserve">Nella riabilitazione l’IA opera principalmente attraverso la teleriabilitazione, il monitoraggio remoto basato su sensori e la personalizzazione adattiva del programma. Le revisioni sistematiche con metanalisi documentano che la teleriabilitazione raggiunge esiti clinici equivalenti o migliori rispetto alla riabilitazione tradizionale in presenza, riducendo i costi di trasporto e le riammissioni e migliorando l’aderenza, con una probabilità di costo-efficacia del 90% a una soglia di 30.000 dollari per anno di vita aggiustato per qualità.</w:t>
      </w:r>
      <w:r>
        <w:rPr>
          <w:rStyle w:val="FootnoteReference"/>
        </w:rPr>
        <w:footnoteReference w:id="678"/>
      </w:r>
      <w:r>
        <w:t xml:space="preserve"> </w:t>
      </w:r>
      <w:r>
        <w:t xml:space="preserve">Nella riabilitazione cardiaca a distanza, la metanalisi degli studi controllati riporta miglioramenti della capacità funzionale, dei passi giornalieri e della qualità di vita, accompagnati da una riduzione dei sintomi depressivi;</w:t>
      </w:r>
      <w:r>
        <w:rPr>
          <w:rStyle w:val="FootnoteReference"/>
        </w:rPr>
        <w:footnoteReference w:id="679"/>
      </w:r>
      <w:r>
        <w:t xml:space="preserve"> </w:t>
      </w:r>
      <w:r>
        <w:t xml:space="preserve">gli strumenti di IA dedicati alla riabilitazione accrescono inoltre l’aderenza dell’utente attraverso il monitoraggio dell’esercizio, i contenuti motivazionali e la previsione dell’andamento del recupero.</w:t>
      </w:r>
      <w:r>
        <w:rPr>
          <w:rStyle w:val="FootnoteReference"/>
        </w:rPr>
        <w:footnoteReference w:id="680"/>
      </w:r>
    </w:p>
    <w:p>
      <w:pPr>
        <w:pStyle w:val="BodyText"/>
      </w:pPr>
      <w:r>
        <w:t xml:space="preserve">Pur non costituendo il nucleo del servizio di psicologia di base, la riabilitazione assistita da IA rileva per il progetto pugliese sotto due profili. Il primo è la componente psicologica della riabilitazione fisica: la teleriabilitazione che incorpora il sostegno alla motivazione e alla regolazione emotiva migliora l’aderenza e riduce la componente depressiva che frequentemente accompagna le patologie croniche e post-acute, ambito di collaborazione tra psicologo di base e medico di medicina generale. Il secondo è la riabilitazione cognitiva nei disturbi mentali, dove gli strumenti computer-assistiti hanno mostrato efficacia nel migliorare la funzione cognitiva. La riabilitazione concorre pertanto al risparmio attraverso la riduzione delle riammissioni e l’accorciamento dei percorsi, integrandosi con la prevenzione delle riacutizzazioni; la sua adozione richiede competenze di gestione del monitoraggio remoto e di sostegno all’aderenza, generabili attraverso la formazione continua e l’accompagnamento.</w:t>
      </w:r>
    </w:p>
    <w:bookmarkEnd w:id="1509"/>
    <w:bookmarkStart w:id="1511" w:name="recupero-e-prevenzione-delle-ricadute-1"/>
    <w:p>
      <w:pPr>
        <w:pStyle w:val="Heading2"/>
      </w:pPr>
      <w:r>
        <w:t xml:space="preserve">5. Recupero e prevenzione delle ricadute</w:t>
      </w:r>
    </w:p>
    <w:p>
      <w:pPr>
        <w:pStyle w:val="FirstParagraph"/>
      </w:pPr>
      <w:r>
        <w:t xml:space="preserve">La dimensione del recupero riguarda il mantenimento del beneficio clinico nel tempo e la prevenzione delle ricadute, ed è quella in cui il monitoraggio continuo abilitato dall’IA esprime il valore più specifico. Nella gestione dei disturbi mentali, anche gravi, la revisione sistematica della telesalute documenta che il supporto a distanza migliora l’aderenza al trattamento e riduce la gravità dei sintomi e le giornate di degenza, e che la riabilitazione cognitiva computer-assistita migliora la funzione cognitiva.</w:t>
      </w:r>
      <w:r>
        <w:rPr>
          <w:rStyle w:val="FootnoteReference"/>
        </w:rPr>
        <w:footnoteReference w:id="681"/>
      </w:r>
      <w:r>
        <w:t xml:space="preserve"> </w:t>
      </w:r>
      <w:r>
        <w:t xml:space="preserve">Il monitoraggio remoto dei sintomi e dei parametri comportamentali consente di rilevare precocemente i segni di una ricaduta e di attivare un intervento prima che essa esiti in un accesso in urgenza o in un ricovero, secondo la stessa logica predittiva descritta per la prevenzione, ma applicata alla fase successiva al trattamento.</w:t>
      </w:r>
    </w:p>
    <w:p>
      <w:pPr>
        <w:pStyle w:val="BodyText"/>
      </w:pPr>
      <w:r>
        <w:t xml:space="preserve">Per il progetto pugliese, la prevenzione delle ricadute si integra con la funzione di filtro dello psicologo di base e con i percorsi di continuità tra medicina generale e servizi specialistici di salute mentale. Il monitoraggio degli esiti mediante misure standardizzate, già previsto dal modello organizzativo, può essere potenziato da strumenti algoritmici che segnalano tempestivamente il peggioramento, evitando sia la cronicizzazione dei quadri ansioso-depressivi sia gli accessi impropri all’urgenza psichiatrica. Il risparmio connesso a questa dimensione si concentra sulla riduzione dei ricoveri e degli accessi in urgenza e cresce nel tempo, perché la prevenzione della ricaduta produce i propri effetti su un orizzonte pluriennale; la competenza richiesta è quella di interpretare il monitoraggio, riconoscere precocemente i segni di ricaduta e attivare tempestivamente l’intervento.</w:t>
      </w:r>
    </w:p>
    <w:bookmarkEnd w:id="1511"/>
    <w:bookmarkStart w:id="1517" w:name="X4912e7dc901827ba7a64d342a0e5d36dabfd90b"/>
    <w:p>
      <w:pPr>
        <w:pStyle w:val="Heading2"/>
      </w:pPr>
      <w:r>
        <w:t xml:space="preserve">6. Il panorama brevettuale mondiale e il quadro regolatorio</w:t>
      </w:r>
    </w:p>
    <w:p>
      <w:pPr>
        <w:pStyle w:val="FirstParagraph"/>
      </w:pPr>
      <w:r>
        <w:t xml:space="preserve">La consistenza del panorama brevettuale costituisce un indicatore della disponibilità effettiva degli strumenti e della direzione dell’innovazione, ed è elemento richiesto da una valutazione fondata anche su ciò che è stato brevettato nel mondo. Una ricerca per parole chiave nella banca dati internazionale dei brevetti della WIPO, combinando i termini relativi all’intelligenza artificiale e alla salute, ha restituito 2.696 brevetti, di cui 233 depositati nell’ambito del Trattato di cooperazione in materia di brevetti, e le imprese farmaceutiche hanno registrato un incremento del 52% delle domande di brevetto basate sull’IA nel 2023.</w:t>
      </w:r>
      <w:r>
        <w:rPr>
          <w:rStyle w:val="FootnoteReference"/>
        </w:rPr>
        <w:footnoteReference w:id="682"/>
      </w:r>
      <w:r>
        <w:t xml:space="preserve"> </w:t>
      </w:r>
      <w:r>
        <w:t xml:space="preserve">Più in generale, il rapporto della WIPO sull’IA generativa documenta una crescita delle famiglie brevettuali da 733 nel 2014 a oltre 14.000 nel 2023, con un incremento superiore all’800% dopo l’introduzione dell’architettura transformer nel 2017, e una marcata concentrazione dei depositi in capo a imprese asiatiche.</w:t>
      </w:r>
      <w:r>
        <w:rPr>
          <w:rStyle w:val="FootnoteReference"/>
        </w:rPr>
        <w:footnoteReference w:id="683"/>
      </w:r>
      <w:r>
        <w:t xml:space="preserve"> </w:t>
      </w:r>
      <w:r>
        <w:t xml:space="preserve">Il mercato dell’IA in sanità, valutato in circa 24,6 miliardi di dollari nel 2024, è atteso crescere a un tasso annuo composto di circa il 41,6% fino a superare i 790 miliardi nel 2034, e già nel 2024 il 79% delle imprese sanitarie dichiarava di utilizzare tecnologie di IA.</w:t>
      </w:r>
      <w:r>
        <w:rPr>
          <w:rStyle w:val="FootnoteReference"/>
        </w:rPr>
        <w:footnoteReference w:id="684"/>
      </w:r>
    </w:p>
    <w:p>
      <w:pPr>
        <w:pStyle w:val="BodyText"/>
      </w:pPr>
      <w:r>
        <w:t xml:space="preserve">Questa dinamica conferma la disponibilità crescente di strumenti, ma non esime la programmazione regionale dalle cautele. Da un lato, la concentrazione dei brevetti in poche grandi imprese e in poche giurisdizioni pone questioni di dipendenza tecnologica e di interoperabilità, che suggeriscono di privilegiare soluzioni aperte e conformi agli standard del sistema informativo regionale. Dall’altro, il vincolo regolatorio europeo è dirimente: il Regolamento europeo sull’IA classifica i sistemi incorporati nei dispositivi medici come ad alto rischio, con la maggior parte degli obblighi in vigore dall’agosto 2026 e piena conformità dall’agosto 2027, e la guida del gruppo di coordinamento dei dispositivi medici ne ha chiarito l’interazione con il Regolamento dispositivi medici.</w:t>
      </w:r>
      <w:r>
        <w:rPr>
          <w:rStyle w:val="FootnoteReference"/>
        </w:rPr>
        <w:footnoteReference w:id="685"/>
      </w:r>
      <w:r>
        <w:t xml:space="preserve"> </w:t>
      </w:r>
      <w:r>
        <w:t xml:space="preserve">Gli strumenti di triage e di supporto decisionale destinati alle cure primarie pugliesi dovranno essere conformi a tale quadro entro le scadenze indicate; e poiché una quota ridotta dei dispositivi disponibili è sostenuta da studi randomizzati,</w:t>
      </w:r>
      <w:r>
        <w:rPr>
          <w:rStyle w:val="FootnoteReference"/>
        </w:rPr>
        <w:footnoteReference w:id="686"/>
      </w:r>
      <w:r>
        <w:t xml:space="preserve"> </w:t>
      </w:r>
      <w:r>
        <w:t xml:space="preserve">la selezione dovrà privilegiare l’evidenza più solida e prevedere validazione locale e monitoraggio prospettico degli esiti.</w:t>
      </w:r>
    </w:p>
    <w:bookmarkEnd w:id="1517"/>
    <w:bookmarkStart w:id="1520" w:name="X5e3613be61387bbee6c0cdda408e2639ace22dc"/>
    <w:p>
      <w:pPr>
        <w:pStyle w:val="Heading2"/>
      </w:pPr>
      <w:r>
        <w:t xml:space="preserve">7. Sintesi: trasferibilità al modello pugliese e collegamento al risparmio</w:t>
      </w:r>
    </w:p>
    <w:p>
      <w:pPr>
        <w:pStyle w:val="FirstParagraph"/>
      </w:pPr>
      <w:r>
        <w:t xml:space="preserve">La ricognizione condotta consente di precisare, per ciascuna dimensione del continuum, quali funzioni siano effettivamente attivabili nelle cure primarie pugliesi, quali competenze esse presuppongano e su quale voce di spesa agiscano. La tabella seguente riassume tale corrispondenza, costituendo il ponte tra l’evidenza clinica e la stima economica sviluppata nel capitolo integrativo,</w:t>
      </w:r>
      <w:r>
        <w:rPr>
          <w:rStyle w:val="FootnoteReference"/>
        </w:rPr>
        <w:footnoteReference w:id="687"/>
      </w:r>
      <w:r>
        <w:t xml:space="preserve"> </w:t>
      </w:r>
      <w:r>
        <w:t xml:space="preserve">al quale si rinvia per la quantificazione per canale e per scenario.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 attivabile nelle cure primarie</w:t>
            </w:r>
          </w:p>
        </w:tc>
        <w:tc>
          <w:tcPr>
            <w:shd w:val="clear" w:color="auto" w:fill="16264B"/>
          </w:tcPr>
          <w:p>
            <w:pPr>
              <w:pStyle w:val="Compact"/>
              <w:spacing w:after="40" w:before="40"/>
              <w:jc w:val="left"/>
            </w:pPr>
            <w:r>
              <w:rPr>
                <w:rFonts w:ascii="Cambria" w:hAnsi="Cambria" w:cs="Cambria" w:eastAsia="Cambria"/>
                <w:b/>
                <w:bCs/>
                <w:color w:val="FFFFFF"/>
                <w:sz w:val="18"/>
              </w:rPr>
              <w:t xml:space="preserve">Voce di spesa su cui agisce</w:t>
            </w:r>
          </w:p>
        </w:tc>
        <w:tc>
          <w:tcPr>
            <w:shd w:val="clear" w:color="auto" w:fill="16264B"/>
          </w:tcPr>
          <w:p>
            <w:pPr>
              <w:pStyle w:val="Compact"/>
              <w:spacing w:after="40" w:before="40"/>
              <w:jc w:val="left"/>
            </w:pPr>
            <w:r>
              <w:rPr>
                <w:rFonts w:ascii="Cambria" w:hAnsi="Cambria" w:cs="Cambria" w:eastAsia="Cambria"/>
                <w:b/>
                <w:bCs/>
                <w:color w:val="FFFFFF"/>
                <w:sz w:val="18"/>
              </w:rPr>
              <w:t xml:space="preserve">Evidenza principale</w:t>
            </w:r>
          </w:p>
        </w:tc>
      </w:tr>
      <w:tr>
        <w:tc>
          <w:tcPr/>
          <w:p>
            <w:pPr>
              <w:pStyle w:val="Compact"/>
              <w:spacing w:after="40" w:before="40"/>
              <w:jc w:val="left"/>
            </w:pPr>
            <w:r>
              <w:rPr>
                <w:rFonts w:ascii="Cambria" w:hAnsi="Cambria" w:cs="Cambria" w:eastAsia="Cambria"/>
                <w:b/>
                <w:bCs/>
                <w:color w:val="1A1A1A"/>
                <w:sz w:val="18"/>
              </w:rPr>
              <w:t xml:space="preserve">Diagnostica</w:t>
            </w:r>
          </w:p>
        </w:tc>
        <w:tc>
          <w:tcPr/>
          <w:p>
            <w:pPr>
              <w:pStyle w:val="Compact"/>
              <w:spacing w:after="40" w:before="40"/>
              <w:jc w:val="left"/>
            </w:pPr>
            <w:r>
              <w:rPr>
                <w:rFonts w:ascii="Cambria" w:hAnsi="Cambria" w:cs="Cambria" w:eastAsia="Cambria"/>
                <w:color w:val="1A1A1A"/>
                <w:sz w:val="18"/>
              </w:rPr>
              <w:t xml:space="preserve">Supporto diagnostico al medico di base; screening autonomi nello studio; triage verso il secondo livello.</w:t>
            </w:r>
          </w:p>
        </w:tc>
        <w:tc>
          <w:tcPr/>
          <w:p>
            <w:pPr>
              <w:pStyle w:val="Compact"/>
              <w:spacing w:after="40" w:before="40"/>
              <w:jc w:val="left"/>
            </w:pPr>
            <w:r>
              <w:rPr>
                <w:rFonts w:ascii="Cambria" w:hAnsi="Cambria" w:cs="Cambria" w:eastAsia="Cambria"/>
                <w:color w:val="1A1A1A"/>
                <w:sz w:val="18"/>
              </w:rPr>
              <w:t xml:space="preserve">Specialistica e diagnostica</w:t>
            </w:r>
          </w:p>
        </w:tc>
        <w:tc>
          <w:tcPr/>
          <w:p>
            <w:pPr>
              <w:pStyle w:val="Compact"/>
              <w:spacing w:after="40" w:before="40"/>
              <w:jc w:val="left"/>
            </w:pPr>
            <w:r>
              <w:rPr>
                <w:rFonts w:ascii="Cambria" w:hAnsi="Cambria" w:cs="Cambria" w:eastAsia="Cambria"/>
                <w:color w:val="1A1A1A"/>
                <w:sz w:val="18"/>
              </w:rPr>
              <w:t xml:space="preserve">Screening retinopatia, mammografia, colonscopia, ictus.</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Prevenzione</w:t>
            </w:r>
          </w:p>
        </w:tc>
        <w:tc>
          <w:tcPr>
            <w:shd w:val="clear" w:color="auto" w:fill="F4F1EC"/>
          </w:tcPr>
          <w:p>
            <w:pPr>
              <w:pStyle w:val="Compact"/>
              <w:spacing w:after="40" w:before="40"/>
              <w:jc w:val="left"/>
            </w:pPr>
            <w:r>
              <w:rPr>
                <w:rFonts w:ascii="Cambria" w:hAnsi="Cambria" w:cs="Cambria" w:eastAsia="Cambria"/>
                <w:color w:val="1A1A1A"/>
                <w:sz w:val="18"/>
              </w:rPr>
              <w:t xml:space="preserve">Stratificazione del rischio collegata all’azione clinica; rilevazione precoce di condizioni silenti.</w:t>
            </w:r>
          </w:p>
        </w:tc>
        <w:tc>
          <w:tcPr>
            <w:shd w:val="clear" w:color="auto" w:fill="F4F1EC"/>
          </w:tcPr>
          <w:p>
            <w:pPr>
              <w:pStyle w:val="Compact"/>
              <w:spacing w:after="40" w:before="40"/>
              <w:jc w:val="left"/>
            </w:pPr>
            <w:r>
              <w:rPr>
                <w:rFonts w:ascii="Cambria" w:hAnsi="Cambria" w:cs="Cambria" w:eastAsia="Cambria"/>
                <w:color w:val="1A1A1A"/>
                <w:sz w:val="18"/>
              </w:rPr>
              <w:t xml:space="preserve">Ricoveri e accessi in urgenza evitabili</w:t>
            </w:r>
          </w:p>
        </w:tc>
        <w:tc>
          <w:tcPr>
            <w:shd w:val="clear" w:color="auto" w:fill="F4F1EC"/>
          </w:tcPr>
          <w:p>
            <w:pPr>
              <w:pStyle w:val="Compact"/>
              <w:spacing w:after="40" w:before="40"/>
              <w:jc w:val="left"/>
            </w:pPr>
            <w:r>
              <w:rPr>
                <w:rFonts w:ascii="Cambria" w:hAnsi="Cambria" w:cs="Cambria" w:eastAsia="Cambria"/>
                <w:color w:val="1A1A1A"/>
                <w:sz w:val="18"/>
              </w:rPr>
              <w:t xml:space="preserve">Modelli predittivi di riammissione; rilevazione aritmie.</w:t>
            </w:r>
          </w:p>
        </w:tc>
      </w:tr>
      <w:tr>
        <w:tc>
          <w:tcPr/>
          <w:p>
            <w:pPr>
              <w:pStyle w:val="Compact"/>
              <w:spacing w:after="40" w:before="40"/>
              <w:jc w:val="left"/>
            </w:pPr>
            <w:r>
              <w:rPr>
                <w:rFonts w:ascii="Cambria" w:hAnsi="Cambria" w:cs="Cambria" w:eastAsia="Cambria"/>
                <w:b/>
                <w:bCs/>
                <w:color w:val="1A1A1A"/>
                <w:sz w:val="18"/>
              </w:rPr>
              <w:t xml:space="preserve">Trattamento</w:t>
            </w:r>
          </w:p>
        </w:tc>
        <w:tc>
          <w:tcPr/>
          <w:p>
            <w:pPr>
              <w:pStyle w:val="Compact"/>
              <w:spacing w:after="40" w:before="40"/>
              <w:jc w:val="left"/>
            </w:pPr>
            <w:r>
              <w:rPr>
                <w:rFonts w:ascii="Cambria" w:hAnsi="Cambria" w:cs="Cambria" w:eastAsia="Cambria"/>
                <w:color w:val="1A1A1A"/>
                <w:sz w:val="18"/>
              </w:rPr>
              <w:t xml:space="preserve">Agenti conversazionali sotto supervisione; dispositivi terapeutici digitali su prescrizione; supporto decisionale; documentazione ambientale.</w:t>
            </w:r>
          </w:p>
        </w:tc>
        <w:tc>
          <w:tcPr/>
          <w:p>
            <w:pPr>
              <w:pStyle w:val="Compact"/>
              <w:spacing w:after="40" w:before="40"/>
              <w:jc w:val="left"/>
            </w:pPr>
            <w:r>
              <w:rPr>
                <w:rFonts w:ascii="Cambria" w:hAnsi="Cambria" w:cs="Cambria" w:eastAsia="Cambria"/>
                <w:color w:val="1A1A1A"/>
                <w:sz w:val="18"/>
              </w:rPr>
              <w:t xml:space="preserve">Salute mentale; farmaceutica; capacità del servizio</w:t>
            </w:r>
          </w:p>
        </w:tc>
        <w:tc>
          <w:tcPr/>
          <w:p>
            <w:pPr>
              <w:pStyle w:val="Compact"/>
              <w:spacing w:after="40" w:before="40"/>
              <w:jc w:val="left"/>
            </w:pPr>
            <w:r>
              <w:rPr>
                <w:rFonts w:ascii="Cambria" w:hAnsi="Cambria" w:cs="Cambria" w:eastAsia="Cambria"/>
                <w:color w:val="1A1A1A"/>
                <w:sz w:val="18"/>
              </w:rPr>
              <w:t xml:space="preserve">Studio randomizzato su IA generativa; dispositivi autorizzati dalla FDA.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Riabilitazione</w:t>
            </w:r>
          </w:p>
        </w:tc>
        <w:tc>
          <w:tcPr>
            <w:shd w:val="clear" w:color="auto" w:fill="F4F1EC"/>
          </w:tcPr>
          <w:p>
            <w:pPr>
              <w:pStyle w:val="Compact"/>
              <w:spacing w:after="40" w:before="40"/>
              <w:jc w:val="left"/>
            </w:pPr>
            <w:r>
              <w:rPr>
                <w:rFonts w:ascii="Cambria" w:hAnsi="Cambria" w:cs="Cambria" w:eastAsia="Cambria"/>
                <w:color w:val="1A1A1A"/>
                <w:sz w:val="18"/>
              </w:rPr>
              <w:t xml:space="preserve">Teleriabilitazione con sostegno psicologico; monitoraggio remoto; riabilitazione cognitiva.</w:t>
            </w:r>
          </w:p>
        </w:tc>
        <w:tc>
          <w:tcPr>
            <w:shd w:val="clear" w:color="auto" w:fill="F4F1EC"/>
          </w:tcPr>
          <w:p>
            <w:pPr>
              <w:pStyle w:val="Compact"/>
              <w:spacing w:after="40" w:before="40"/>
              <w:jc w:val="left"/>
            </w:pPr>
            <w:r>
              <w:rPr>
                <w:rFonts w:ascii="Cambria" w:hAnsi="Cambria" w:cs="Cambria" w:eastAsia="Cambria"/>
                <w:color w:val="1A1A1A"/>
                <w:sz w:val="18"/>
              </w:rPr>
              <w:t xml:space="preserve">Ricoveri e riammissioni</w:t>
            </w:r>
          </w:p>
        </w:tc>
        <w:tc>
          <w:tcPr>
            <w:shd w:val="clear" w:color="auto" w:fill="F4F1EC"/>
          </w:tcPr>
          <w:p>
            <w:pPr>
              <w:pStyle w:val="Compact"/>
              <w:spacing w:after="40" w:before="40"/>
              <w:jc w:val="left"/>
            </w:pPr>
            <w:r>
              <w:rPr>
                <w:rFonts w:ascii="Cambria" w:hAnsi="Cambria" w:cs="Cambria" w:eastAsia="Cambria"/>
                <w:color w:val="1A1A1A"/>
                <w:sz w:val="18"/>
              </w:rPr>
              <w:t xml:space="preserve">Metanalisi di costo-efficacia; riabilitazione cardiaca.</w:t>
            </w:r>
          </w:p>
        </w:tc>
      </w:tr>
      <w:tr>
        <w:tc>
          <w:tcPr/>
          <w:p>
            <w:pPr>
              <w:pStyle w:val="Compact"/>
              <w:spacing w:after="40" w:before="40"/>
              <w:jc w:val="left"/>
            </w:pPr>
            <w:r>
              <w:rPr>
                <w:rFonts w:ascii="Cambria" w:hAnsi="Cambria" w:cs="Cambria" w:eastAsia="Cambria"/>
                <w:b/>
                <w:bCs/>
                <w:color w:val="1A1A1A"/>
                <w:sz w:val="18"/>
              </w:rPr>
              <w:t xml:space="preserve">Recupero</w:t>
            </w:r>
          </w:p>
        </w:tc>
        <w:tc>
          <w:tcPr/>
          <w:p>
            <w:pPr>
              <w:pStyle w:val="Compact"/>
              <w:spacing w:after="40" w:before="40"/>
              <w:jc w:val="left"/>
            </w:pPr>
            <w:r>
              <w:rPr>
                <w:rFonts w:ascii="Cambria" w:hAnsi="Cambria" w:cs="Cambria" w:eastAsia="Cambria"/>
                <w:color w:val="1A1A1A"/>
                <w:sz w:val="18"/>
              </w:rPr>
              <w:t xml:space="preserve">Monitoraggio degli esiti; riconoscimento precoce delle ricadute; continuità con i servizi specialistici.</w:t>
            </w:r>
          </w:p>
        </w:tc>
        <w:tc>
          <w:tcPr/>
          <w:p>
            <w:pPr>
              <w:pStyle w:val="Compact"/>
              <w:spacing w:after="40" w:before="40"/>
              <w:jc w:val="left"/>
            </w:pPr>
            <w:r>
              <w:rPr>
                <w:rFonts w:ascii="Cambria" w:hAnsi="Cambria" w:cs="Cambria" w:eastAsia="Cambria"/>
                <w:color w:val="1A1A1A"/>
                <w:sz w:val="18"/>
              </w:rPr>
              <w:t xml:space="preserve">Ricoveri e urgenze psichiatriche</w:t>
            </w:r>
          </w:p>
        </w:tc>
        <w:tc>
          <w:tcPr/>
          <w:p>
            <w:pPr>
              <w:pStyle w:val="Compact"/>
              <w:spacing w:after="40" w:before="40"/>
              <w:jc w:val="left"/>
            </w:pPr>
            <w:r>
              <w:rPr>
                <w:rFonts w:ascii="Cambria" w:hAnsi="Cambria" w:cs="Cambria" w:eastAsia="Cambria"/>
                <w:color w:val="1A1A1A"/>
                <w:sz w:val="18"/>
              </w:rPr>
              <w:t xml:space="preserve">Telesalute nella malattia mentale grave.</w:t>
            </w:r>
          </w:p>
        </w:tc>
      </w:tr>
    </w:tbl>
    <w:p>
      <w:pPr>
        <w:pStyle w:val="BodyText"/>
      </w:pPr>
      <w:r>
        <w:rPr>
          <w:i/>
          <w:iCs/>
        </w:rPr>
        <w:t xml:space="preserve">Tabella 1. Corrispondenza tra le dimensioni del continuum, le funzioni attivabili nelle cure primarie pugliesi, le voci di spesa su cui ciascuna agisce e l’evidenza principale a sostegno.</w:t>
      </w:r>
    </w:p>
    <w:p>
      <w:pPr>
        <w:pStyle w:val="BodyText"/>
      </w:pPr>
      <w:r>
        <w:t xml:space="preserve">Il filo conduttore dell’intera ricognizione è che il valore economico di ciascuna applicazione non risiede nello strumento in sé, ma nella sua adozione competente da parte del professionista. In ogni dimensione — dall’interpretazione dell’esito diagnostico alla traduzione dell’avviso predittivo in azione, dalla supervisione dell’agente conversazionale alla revisione vigile della nota automatizzata — il beneficio si realizza soltanto se il medico di base e lo psicologo possiedono le competenze necessarie a impiegare lo strumento con discernimento clinico. È questa la ragione per cui la formazione, e in particolare la formazione continua e l’accompagnamento operativo sul campo, costituiscono la variabile causale del risparmio: esse convertono la potenzialità documentata in questo approfondimento nella riduzione di spesa quantificata nel capitolo integrativo. La Puglia, che dispone già di una base normativa e infrastrutturale favorevole e di percorsi formativi attivabili presso le istituzioni sanitarie nazionali,</w:t>
      </w:r>
      <w:r>
        <w:rPr>
          <w:rStyle w:val="FootnoteReference"/>
        </w:rPr>
        <w:footnoteReference w:id="688"/>
      </w:r>
      <w:r>
        <w:t xml:space="preserve"> </w:t>
      </w:r>
      <w:r>
        <w:t xml:space="preserve">può così tradurre l’evidenza internazionale in un beneficio concreto e misurabile per il proprio sistema sanitario.</w:t>
      </w:r>
    </w:p>
    <w:p>
      <w:pPr>
        <w:pStyle w:val="BodyText"/>
      </w:pPr>
      <w:r>
        <w:rPr>
          <w:b/>
          <w:bCs/>
        </w:rPr>
        <w:t xml:space="preserve">PARTE III</w:t>
      </w:r>
    </w:p>
    <w:bookmarkEnd w:id="1520"/>
    <w:bookmarkStart w:id="1521" w:name="X3024ee3644de613a318037929d2f441cfb3cfee"/>
    <w:p>
      <w:pPr>
        <w:pStyle w:val="Heading2"/>
      </w:pPr>
      <w:r>
        <w:rPr>
          <w:b/>
          <w:bCs/>
        </w:rPr>
        <w:t xml:space="preserve">I dispositivi terapeutici digitali su prescrizione</w:t>
      </w:r>
    </w:p>
    <w:p>
      <w:pPr>
        <w:pStyle w:val="FirstParagraph"/>
      </w:pPr>
      <w:r>
        <w:rPr>
          <w:i/>
          <w:iCs/>
        </w:rPr>
        <w:t xml:space="preserve">Inquadramento, quadro regolatorio comparato, rassegna per indicazione ed evidenza</w:t>
      </w:r>
    </w:p>
    <w:bookmarkEnd w:id="1521"/>
    <w:bookmarkStart w:id="1522" w:name="premessa-14"/>
    <w:p>
      <w:pPr>
        <w:pStyle w:val="Heading2"/>
      </w:pPr>
      <w:r>
        <w:t xml:space="preserve">Premessa</w:t>
      </w:r>
    </w:p>
    <w:p>
      <w:pPr>
        <w:pStyle w:val="FirstParagraph"/>
      </w:pPr>
      <w:r>
        <w:t xml:space="preserve">Il presente documento espande in forma monografica il paragrafo dedicato ai dispositivi terapeutici digitali su prescrizione già contenuto nell’approfondimento sul continuum assistenziale, in ragione del rilievo crescente che tale categoria assume per il servizio di psicologia di base. I dispositivi terapeutici digitali — indicati nella letteratura internazionale con l’acronimo DTx, da</w:t>
      </w:r>
      <w:r>
        <w:t xml:space="preserve"> </w:t>
      </w:r>
      <w:r>
        <w:rPr>
          <w:i/>
          <w:iCs/>
        </w:rPr>
        <w:t xml:space="preserve">digital therapeutics</w:t>
      </w:r>
      <w:r>
        <w:t xml:space="preserve"> </w:t>
      </w:r>
      <w:r>
        <w:t xml:space="preserve">— costituiscono la frontiera in cui il software cessa di essere strumento ausiliario e diviene esso stesso intervento terapeutico, prescritto dal clinico, validato da studi controllati e, in misura crescente, rimborsato dai sistemi sanitari. La loro pertinenza per il progetto pugliese è duplice: offrono al medico di base e allo psicologo strumenti a efficacia documentata per i disturbi mentali comuni, i più frequenti nelle cure primarie, e dispongono già di modelli di rimborso consolidati in altri Paesi europei, che indicano una via percorribile anche per il Servizio Sanitario Regionale.</w:t>
      </w:r>
    </w:p>
    <w:p>
      <w:pPr>
        <w:pStyle w:val="BodyText"/>
      </w:pPr>
      <w:r>
        <w:t xml:space="preserve">L’approfondimento è organizzato in nove sezioni. La prima inquadra concettualmente i dispositivi terapeutici digitali e li distingue dalle applicazioni di benessere. La seconda ricostruisce il quadro regolatorio comparato, con particolare attenzione al modello tedesco, il più maturo in Europa e dunque il più rilevante per l’Italia. La terza propone una rassegna per indicazione clinica. La quarta raccoglie la tabella comparativa completa. La quinta valuta criticamente la forza dell’evidenza. La sesta esamina i modelli di rimborso e la sostenibilità. La settima applica la categoria al modello pugliese dello Psicologo di Base. L’ottava espone le cautele. La nona raccoglie le conclusioni. L’analisi mantiene un approccio prudenziale e segnala in ogni passaggio i limiti dell’evidenza, che in questo ambito è disomogenea e in rapida evoluzione.</w:t>
      </w:r>
    </w:p>
    <w:bookmarkEnd w:id="1522"/>
    <w:bookmarkStart w:id="1525" w:name="Xc67921fabff188633ace052ab5a960eddd3cda5"/>
    <w:p>
      <w:pPr>
        <w:pStyle w:val="Heading2"/>
      </w:pPr>
      <w:r>
        <w:t xml:space="preserve">1. Inquadramento concettuale: che cosa sono i dispositivi terapeutici digitali</w:t>
      </w:r>
    </w:p>
    <w:p>
      <w:pPr>
        <w:pStyle w:val="FirstParagraph"/>
      </w:pPr>
      <w:r>
        <w:t xml:space="preserve">Un dispositivo terapeutico digitale è un software, erogato tramite applicazione per dispositivo mobile o piattaforma web, che fornisce un intervento terapeutico fondato su evidenza per prevenire, gestire o trattare un disturbo o una malattia, e che a tal fine è sottoposto a validazione clinica e, nella maggior parte degli ordinamenti, ad autorizzazione regolatoria in qualità di dispositivo medico. La differenza rispetto alle innumerevoli applicazioni di benessere disponibili senza prescrizione — diari dell’umore, applicazioni di meditazione, contatori di passi — è sostanziale e non terminologica: queste ultime offrono informazioni e supporto generico e non sono soggette alla medesima valutazione clinica, mentre i dispositivi terapeutici digitali sono validati per una specifica indicazione, prescritti dal clinico e, in molti casi, rimborsati. La distinzione è dirimente per la programmazione regionale, poiché soltanto la seconda categoria offre garanzie di efficacia e di sicurezza idonee all’impiego nel servizio pubblico.</w:t>
      </w:r>
    </w:p>
    <w:p>
      <w:pPr>
        <w:pStyle w:val="BodyText"/>
      </w:pPr>
      <w:r>
        <w:t xml:space="preserve">Tre caratteristiche definiscono questa categoria. La prima è il meccanismo d’azione: la maggior parte dei dispositivi terapeutici digitali in salute mentale eroga in forma strutturata interventi psicologici di efficacia consolidata, in primo luogo la terapia cognitivo-comportamentale, traducendone i protocolli in moduli interattivi, esercizi e percorsi personalizzati. La seconda è il regime di prescrizione e supervisione: lungi dal sostituire il professionista, tali dispositivi sono concepiti per operare entro un percorso di cura, come adiuvante o come primo livello sotto supervisione clinica, e le diagnosi di esclusione — tipicamente i disturbi psicotici, bipolari, da uso di sostanze e la presenza di rischio suicidario — ne confinano l’impiego ai quadri lievi e moderati, previo inquadramento clinico.</w:t>
      </w:r>
      <w:r>
        <w:rPr>
          <w:rStyle w:val="FootnoteReference"/>
        </w:rPr>
        <w:footnoteReference w:id="689"/>
      </w:r>
      <w:r>
        <w:t xml:space="preserve"> </w:t>
      </w:r>
      <w:r>
        <w:t xml:space="preserve">La terza è la base di evidenza: a differenza delle applicazioni di benessere, i dispositivi terapeutici digitali sono sottoposti a studi controllati randomizzati, ancorché, come si vedrà, di robustezza variabile.</w:t>
      </w:r>
    </w:p>
    <w:p>
      <w:pPr>
        <w:pStyle w:val="BodyText"/>
      </w:pPr>
      <w:r>
        <w:t xml:space="preserve">Una precisazione tecnica rileva ai fini del quadro regolatorio europeo. Una parte dei dispositivi terapeutici digitali eroga contenuti fissi secondo regole predefinite e non incorpora intelligenza artificiale in senso proprio; altri impiegano algoritmi adattivi che personalizzano il percorso in funzione delle risposte dell’utente, e in tale misura ricadono nel perimetro dei sistemi di IA. Questa distinzione determina il regime applicabile: i dispositivi che incorporano IA adattiva sono soggetti, oltre che alla disciplina dei dispositivi medici, agli obblighi del Regolamento europeo sull’IA, che classifica come ad alto rischio i sistemi di IA incorporati nei dispositivi medici.</w:t>
      </w:r>
      <w:r>
        <w:rPr>
          <w:rStyle w:val="FootnoteReference"/>
        </w:rPr>
        <w:footnoteReference w:id="690"/>
      </w:r>
      <w:r>
        <w:t xml:space="preserve"> </w:t>
      </w:r>
      <w:r>
        <w:t xml:space="preserve">La programmazione regionale dovrà pertanto verificare, per ciascun dispositivo, sia la conformità alla disciplina dei dispositivi medici sia, ove pertinente, quella al Regolamento sull’IA.</w:t>
      </w:r>
    </w:p>
    <w:bookmarkEnd w:id="1525"/>
    <w:bookmarkStart w:id="1540" w:name="il-quadro-regolatorio-comparato-1"/>
    <w:p>
      <w:pPr>
        <w:pStyle w:val="Heading2"/>
      </w:pPr>
      <w:r>
        <w:t xml:space="preserve">2. Il quadro regolatorio comparato</w:t>
      </w:r>
    </w:p>
    <w:p>
      <w:pPr>
        <w:pStyle w:val="FirstParagraph"/>
      </w:pPr>
      <w:r>
        <w:t xml:space="preserve">La maturità dei dispositivi terapeutici digitali varia sensibilmente tra ordinamenti, e la comprensione dei diversi modelli regolatori e di rimborso è indispensabile per orientare le scelte della Regione. Si esaminano qui i quattro contesti più significativi: gli Stati Uniti, che hanno aperto la strada all’autorizzazione; la Germania, che ha costruito il primo sistema strutturato di rimborso in Europa; il Regno Unito, che ha integrato alcuni dispositivi nelle proprie raccomandazioni di efficacia clinica; e l’Unione Europea con l’Italia, dove il quadro è in costruzione.</w:t>
      </w:r>
    </w:p>
    <w:bookmarkStart w:id="1531" w:name="X82d8e46c0412e3ce17980fa6836b140c31cbfdb"/>
    <w:p>
      <w:pPr>
        <w:pStyle w:val="Heading3"/>
      </w:pPr>
      <w:r>
        <w:t xml:space="preserve">2.1 Stati Uniti: l’autorizzazione regolatoria</w:t>
      </w:r>
    </w:p>
    <w:p>
      <w:pPr>
        <w:pStyle w:val="FirstParagraph"/>
      </w:pPr>
      <w:r>
        <w:t xml:space="preserve">Gli Stati Uniti hanno aperto la categoria nel 2017 con l’autorizzazione del primo dispositivo terapeutico digitale su prescrizione, destinato ai disturbi da uso di sostanze, seguita nel 2018 dalla versione per il disturbo da uso di oppioidi.</w:t>
      </w:r>
      <w:r>
        <w:rPr>
          <w:rStyle w:val="FootnoteReference"/>
        </w:rPr>
        <w:footnoteReference w:id="691"/>
      </w:r>
      <w:r>
        <w:t xml:space="preserve"> </w:t>
      </w:r>
      <w:r>
        <w:t xml:space="preserve">L’autorizzazione avviene attraverso due percorsi dell’agenzia federale: il percorso De Novo, per i dispositivi di tipo nuovo privi di un predicato, e il percorso 510(k), per quelli sostanzialmente equivalenti a un dispositivo già autorizzato. Negli anni successivi la categoria si è ampliata: il primo trattamento erogato attraverso un videogioco, per il disturbo da deficit di attenzione e iperattività in età pediatrica, è stato autorizzato nel 2020 per via De Novo;</w:t>
      </w:r>
      <w:r>
        <w:rPr>
          <w:rStyle w:val="FootnoteReference"/>
        </w:rPr>
        <w:footnoteReference w:id="692"/>
      </w:r>
      <w:r>
        <w:t xml:space="preserve"> </w:t>
      </w:r>
      <w:r>
        <w:t xml:space="preserve">nel 2024 è stato autorizzato il primo dispositivo per la depressione maggiore e il primo per la depressione post-partum.</w:t>
      </w:r>
      <w:r>
        <w:rPr>
          <w:rStyle w:val="FootnoteReference"/>
        </w:rPr>
        <w:footnoteReference w:id="693"/>
      </w:r>
      <w:r>
        <w:t xml:space="preserve"> </w:t>
      </w:r>
      <w:r>
        <w:rPr>
          <w:rStyle w:val="FootnoteReference"/>
        </w:rPr>
        <w:footnoteReference w:id="694"/>
      </w:r>
      <w:r>
        <w:t xml:space="preserve"> </w:t>
      </w:r>
      <w:r>
        <w:t xml:space="preserve">Il limite storico del modello statunitense è stato l’assenza di un meccanismo di rimborso dedicato, che ha condotto alcuni operatori all’insolvenza; tale limite è stato affrontato nel novembre 2024 con l’introduzione di tre codici di rimborso pubblici per i dispositivi terapeutici digitali, cui ha fatto seguito l’avvio della copertura da parte di assicuratori privati.</w:t>
      </w:r>
      <w:r>
        <w:rPr>
          <w:rStyle w:val="FootnoteReference"/>
        </w:rPr>
        <w:footnoteReference w:id="695"/>
      </w:r>
    </w:p>
    <w:bookmarkEnd w:id="1531"/>
    <w:bookmarkStart w:id="1535" w:name="Xb403058fa5730c04d1ce8bd9ab0387ad0fc64c4"/>
    <w:p>
      <w:pPr>
        <w:pStyle w:val="Heading3"/>
      </w:pPr>
      <w:r>
        <w:t xml:space="preserve">2.2 Germania: il modello DiGA, il più maturo in Europa</w:t>
      </w:r>
    </w:p>
    <w:p>
      <w:pPr>
        <w:pStyle w:val="FirstParagraph"/>
      </w:pPr>
      <w:r>
        <w:t xml:space="preserve">La Germania ha costruito, con la Legge sull’assistenza sanitaria digitale del 2019, il primo sistema strutturato al mondo di rimborso su larga scala di applicazioni sanitarie prescrivibili, denominato percorso accelerato per le applicazioni sanitarie digitali.</w:t>
      </w:r>
      <w:r>
        <w:rPr>
          <w:rStyle w:val="FootnoteReference"/>
        </w:rPr>
        <w:footnoteReference w:id="696"/>
      </w:r>
      <w:r>
        <w:t xml:space="preserve"> </w:t>
      </w:r>
      <w:r>
        <w:t xml:space="preserve">Il modello è di particolare interesse per l’Italia perché opera all’interno del medesimo quadro europeo dei dispositivi medici e perché il percorso è aperto a tutte le imprese dell’Unione. Il suo funzionamento è lineare: l’Istituto federale per i farmaci e i dispositivi medici valuta l’applicazione e, se questa dimostra un effetto positivo sull’assistenza — ossia un miglioramento dello stato di salute o della gestione della malattia — la iscrive in un registro pubblico, in via temporanea per un anno in attesa di rivalutazione oppure in via permanente. Le applicazioni iscritte sono certificate come dispositivi medici a basso rischio e possono essere prescritte da medici e psicoterapeuti o erogate previa approvazione dell’assicurazione; oltre settantatré milioni di persone vi hanno accesso.</w:t>
      </w:r>
      <w:r>
        <w:rPr>
          <w:rStyle w:val="FootnoteReference"/>
        </w:rPr>
        <w:footnoteReference w:id="697"/>
      </w:r>
    </w:p>
    <w:p>
      <w:pPr>
        <w:pStyle w:val="BodyText"/>
      </w:pPr>
      <w:r>
        <w:t xml:space="preserve">La rilevanza del modello per la salute mentale è considerevole: alla fine del 2023 il registro comprendeva diciassette applicazioni in ambito psichiatrico e psicologico, tutte con effetto positivo documentato, distribuite tra depressione unipolare, disturbi d’ansia, insonnia non organica, dipendenza da alcol e da nicotina.</w:t>
      </w:r>
      <w:r>
        <w:rPr>
          <w:rStyle w:val="FootnoteReference"/>
        </w:rPr>
        <w:footnoteReference w:id="698"/>
      </w:r>
      <w:r>
        <w:t xml:space="preserve"> </w:t>
      </w:r>
      <w:r>
        <w:t xml:space="preserve">Il registro rende pubblicamente disponibili, per ciascuna applicazione, le indicazioni autorizzate, le prove di beneficio e le diagnosi di esclusione, costituendo uno strumento di trasparenza a beneficio dei prescrittori. La struttura del sistema offre alla Regione un modello operativo già collaudato, nel quale lo psicologo di base e il medico di medicina generale potrebbero, in prospettiva, prescrivere dispositivi validati attingendo a un elenco regionale costruito su criteri analoghi.</w:t>
      </w:r>
    </w:p>
    <w:bookmarkEnd w:id="1535"/>
    <w:bookmarkStart w:id="1537" w:name="X4cd7ffe67f7935fa1cac4326b3720f9e446b669"/>
    <w:p>
      <w:pPr>
        <w:pStyle w:val="Heading3"/>
      </w:pPr>
      <w:r>
        <w:t xml:space="preserve">2.3 Regno Unito: l’integrazione nelle raccomandazioni di efficacia</w:t>
      </w:r>
    </w:p>
    <w:p>
      <w:pPr>
        <w:pStyle w:val="FirstParagraph"/>
      </w:pPr>
      <w:r>
        <w:t xml:space="preserve">Il Regno Unito ha seguito una via distinta, fondata sulla valutazione di efficacia clinica e di costo da parte dell’istituto nazionale competente. La guida dedicata ha raccomandato l’impiego di un dispositivo per l’insonnia nelle cure primarie quale opzione alternativa all’assistenza usuale, precisando però che le persone non dovrebbero esservi indirizzate qualora siano eleggibili e abbiano accesso alla terapia cognitivo-comportamentale per l’insonnia erogata in presenza, e segnalando come limite la mancanza di un confronto diretto tra le due modalità.</w:t>
      </w:r>
      <w:r>
        <w:rPr>
          <w:rStyle w:val="FootnoteReference"/>
        </w:rPr>
        <w:footnoteReference w:id="699"/>
      </w:r>
      <w:r>
        <w:t xml:space="preserve"> </w:t>
      </w:r>
      <w:r>
        <w:t xml:space="preserve">Questa impostazione è istruttiva sotto un duplice profilo: da un lato conferma che un dispositivo terapeutico digitale può essere riconosciuto come opzione costo-efficace nelle cure primarie; dall’altro stabilisce un principio di sussidiarietà, per cui il dispositivo digitale integra e non sostituisce l’intervento professionale in presenza ove quest’ultimo sia disponibile e appropriato. È un principio che il modello pugliese, fondato sulla centralità della relazione clinica, dovrebbe fare proprio.</w:t>
      </w:r>
    </w:p>
    <w:bookmarkEnd w:id="1537"/>
    <w:bookmarkStart w:id="1539" w:name="Xe65b6a7e16bc84094f8c27bba6254ddf6feb397"/>
    <w:p>
      <w:pPr>
        <w:pStyle w:val="Heading3"/>
      </w:pPr>
      <w:r>
        <w:t xml:space="preserve">2.4 Unione Europea e Italia: un quadro in costruzione</w:t>
      </w:r>
    </w:p>
    <w:p>
      <w:pPr>
        <w:pStyle w:val="FirstParagraph"/>
      </w:pPr>
      <w:r>
        <w:t xml:space="preserve">Nell’Unione Europea, e segnatamente in Italia, il quadro è in costruzione. I dispositivi terapeutici digitali sono soggetti al Regolamento sui dispositivi medici e, ove incorporino intelligenza artificiale adattiva, al Regolamento europeo sull’IA, che ne classifica i sistemi come ad alto rischio con piena conformità richiesta entro l’agosto 2027.</w:t>
      </w:r>
      <w:r>
        <w:rPr>
          <w:rStyle w:val="FootnoteReference"/>
        </w:rPr>
        <w:footnoteReference w:id="700"/>
      </w:r>
      <w:r>
        <w:t xml:space="preserve"> </w:t>
      </w:r>
      <w:r>
        <w:t xml:space="preserve">Manca tuttavia, allo stato, un percorso nazionale di rimborso analogo a quello tedesco, sicché l’accesso a tali dispositivi nel Servizio Sanitario Nazionale resta frammentario. Questa lacuna costituisce al tempo stesso un limite e un’opportunità per la Puglia: in assenza di un quadro nazionale, la Regione può assumere un ruolo pilota, costruendo, in via sperimentale e nel rispetto della disciplina europea, un elenco regionale di dispositivi validati prescrivibili nell’ambito del servizio di psicologia di base, e definendo i criteri di selezione, prescrizione, supervisione e monitoraggio. Una simile iniziativa, oltre a estendere la capacità di presa in carico del servizio, posizionerebbe la Regione come riferimento nazionale per l’integrazione regolata dei dispositivi terapeutici digitali nelle cure primarie.</w:t>
      </w:r>
    </w:p>
    <w:bookmarkEnd w:id="1539"/>
    <w:bookmarkEnd w:id="1540"/>
    <w:bookmarkStart w:id="1563" w:name="rassegna-per-indicazione-clinica-1"/>
    <w:p>
      <w:pPr>
        <w:pStyle w:val="Heading2"/>
      </w:pPr>
      <w:r>
        <w:t xml:space="preserve">3. Rassegna per indicazione clinica</w:t>
      </w:r>
    </w:p>
    <w:p>
      <w:pPr>
        <w:pStyle w:val="FirstParagraph"/>
      </w:pPr>
      <w:r>
        <w:t xml:space="preserve">La presente sezione passa in rassegna i dispositivi terapeutici digitali per le indicazioni di maggiore rilevanza nelle cure primarie, dando conto per ciascuna del dispositivo o dei dispositivi disponibili, dello stato regolatorio e dell’evidenza a sostegno. La trattazione privilegia le indicazioni di pertinenza dello psicologo di base — depressione, ansia, insonnia, disturbi da uso di sostanze — e include alcune indicazioni ulteriori per completezza del quadro.</w:t>
      </w:r>
    </w:p>
    <w:bookmarkStart w:id="1545" w:name="depressione-1"/>
    <w:p>
      <w:pPr>
        <w:pStyle w:val="Heading3"/>
      </w:pPr>
      <w:r>
        <w:t xml:space="preserve">3.1 Depressione</w:t>
      </w:r>
    </w:p>
    <w:p>
      <w:pPr>
        <w:pStyle w:val="FirstParagraph"/>
      </w:pPr>
      <w:r>
        <w:t xml:space="preserve">La depressione è l’indicazione di maggiore rilievo per il servizio di psicologia di base e quella su cui converge l’evidenza più recente. Negli Stati Uniti il primo dispositivo per la depressione maggiore è stato autorizzato nell’aprile 2024 come adiuvante della cura ambulatoriale con antidepressivi negli adulti, sulla base di uno studio di fase 3 randomizzato in doppio cieco su 386 pazienti; il programma, della durata di sei settimane, integra lezioni di terapia cognitivo-comportamentale ed esercizi mirati al controllo cognitivo delle emozioni.</w:t>
      </w:r>
      <w:r>
        <w:rPr>
          <w:rStyle w:val="FootnoteReference"/>
        </w:rPr>
        <w:footnoteReference w:id="701"/>
      </w:r>
      <w:r>
        <w:t xml:space="preserve"> </w:t>
      </w:r>
      <w:r>
        <w:t xml:space="preserve">In Germania, il registro DiGA comprende per la depressione unipolare cinque applicazioni — tra cui la più longeva, ammessa per sei indicazioni distinte — tutte con effetto positivo documentato, prevalentemente fondate sulla terapia cognitivo-comportamentale erogata per via digitale.</w:t>
      </w:r>
      <w:r>
        <w:rPr>
          <w:rStyle w:val="FootnoteReference"/>
        </w:rPr>
        <w:footnoteReference w:id="702"/>
      </w:r>
      <w:r>
        <w:t xml:space="preserve"> </w:t>
      </w:r>
      <w:r>
        <w:rPr>
          <w:rStyle w:val="FootnoteReference"/>
        </w:rPr>
        <w:footnoteReference w:id="703"/>
      </w:r>
      <w:r>
        <w:t xml:space="preserve"> </w:t>
      </w:r>
      <w:r>
        <w:t xml:space="preserve">Per gli adolescenti esiste inoltre un dispositivo dedicato ai sintomi depressivi.</w:t>
      </w:r>
      <w:r>
        <w:rPr>
          <w:rStyle w:val="FootnoteReference"/>
        </w:rPr>
        <w:footnoteReference w:id="704"/>
      </w:r>
      <w:r>
        <w:t xml:space="preserve"> </w:t>
      </w:r>
      <w:r>
        <w:t xml:space="preserve">Il quadro complessivo indica che, per la depressione lieve e moderata, il professionista dispone di strumenti validati impiegabili come adiuvante o come primo livello sotto supervisione, particolarmente utili nei tempi di attesa e nei contesti a bassa densità di servizi.</w:t>
      </w:r>
    </w:p>
    <w:bookmarkEnd w:id="1545"/>
    <w:bookmarkStart w:id="1548" w:name="disturbi-dansia-1"/>
    <w:p>
      <w:pPr>
        <w:pStyle w:val="Heading3"/>
      </w:pPr>
      <w:r>
        <w:t xml:space="preserve">3.2 Disturbi d’ansia</w:t>
      </w:r>
    </w:p>
    <w:p>
      <w:pPr>
        <w:pStyle w:val="FirstParagraph"/>
      </w:pPr>
      <w:r>
        <w:t xml:space="preserve">I disturbi d’ansia costituiscono, accanto alla depressione, il nucleo dei disturbi mentali comuni intercettati nelle cure primarie. Il modello tedesco è in questo ambito il più articolato: il registro comprende cinque applicazioni per i disturbi d’ansia, che coprono l’agorafobia con e senza disturbo di panico, il disturbo di panico isolato, la fobia sociale e il disturbo d’ansia generalizzato, una delle quali ammessa per quattro indicazioni distinte; quattro di esse documentano anche un miglioramento della qualità della vita.</w:t>
      </w:r>
      <w:r>
        <w:rPr>
          <w:rStyle w:val="FootnoteReference"/>
        </w:rPr>
        <w:footnoteReference w:id="705"/>
      </w:r>
      <w:r>
        <w:t xml:space="preserve"> </w:t>
      </w:r>
      <w:r>
        <w:t xml:space="preserve">L’evidenza, come per le altre indicazioni del registro, si fonda in prevalenza su un singolo studio randomizzato con dimensione dell’effetto da bassa a media.</w:t>
      </w:r>
      <w:r>
        <w:rPr>
          <w:rStyle w:val="FootnoteReference"/>
        </w:rPr>
        <w:footnoteReference w:id="706"/>
      </w:r>
      <w:r>
        <w:t xml:space="preserve"> </w:t>
      </w:r>
      <w:r>
        <w:t xml:space="preserve">Per il servizio pugliese, la disponibilità di dispositivi distinti per i diversi quadri ansiosi consentirebbe una prescrizione mirata, integrata nel percorso definito dallo psicologo di base.</w:t>
      </w:r>
    </w:p>
    <w:bookmarkEnd w:id="1548"/>
    <w:bookmarkStart w:id="1553" w:name="insonnia-1"/>
    <w:p>
      <w:pPr>
        <w:pStyle w:val="Heading3"/>
      </w:pPr>
      <w:r>
        <w:t xml:space="preserve">3.3 Insonnia</w:t>
      </w:r>
    </w:p>
    <w:p>
      <w:pPr>
        <w:pStyle w:val="FirstParagraph"/>
      </w:pPr>
      <w:r>
        <w:t xml:space="preserve">L’insonnia è un’indicazione di particolare interesse perché strettamente associata alla depressione e all’ansia e perché la terapia cognitivo-comportamentale per l’insonnia è riconosciuta come trattamento di prima linea, pur essendo scarsamente accessibile in presenza. È anche l’indicazione che dispone della maggiore convergenza internazionale. Negli Stati Uniti due dispositivi distinti erogano tale terapia: il primo, autorizzato nel 2020, ha mostrato in due studi randomizzati su oltre 1.400 adulti una riduzione della gravità dell’insonnia di circa il 45%, mantenuta a sei e dodici mesi, con un secondo studio condotto su 1.149 pazienti con insonnia e depressione;</w:t>
      </w:r>
      <w:r>
        <w:rPr>
          <w:rStyle w:val="FootnoteReference"/>
        </w:rPr>
        <w:footnoteReference w:id="707"/>
      </w:r>
      <w:r>
        <w:t xml:space="preserve"> </w:t>
      </w:r>
      <w:r>
        <w:t xml:space="preserve">il secondo, autorizzato nell’agosto 2024, è sostenuto da oltre venticinque studi clinici.</w:t>
      </w:r>
      <w:r>
        <w:rPr>
          <w:rStyle w:val="FootnoteReference"/>
        </w:rPr>
        <w:footnoteReference w:id="708"/>
      </w:r>
      <w:r>
        <w:t xml:space="preserve"> </w:t>
      </w:r>
      <w:r>
        <w:t xml:space="preserve">Nel Regno Unito quest’ultimo è stato raccomandato dall’istituto nazionale come opzione costo-efficace nelle cure primarie, con la riserva di sussidiarietà già richiamata.</w:t>
      </w:r>
      <w:r>
        <w:rPr>
          <w:rStyle w:val="FootnoteReference"/>
        </w:rPr>
        <w:footnoteReference w:id="709"/>
      </w:r>
      <w:r>
        <w:t xml:space="preserve"> </w:t>
      </w:r>
      <w:r>
        <w:t xml:space="preserve">In Germania il registro comprende due dispositivi per l’insonnia non organica.</w:t>
      </w:r>
      <w:r>
        <w:rPr>
          <w:rStyle w:val="FootnoteReference"/>
        </w:rPr>
        <w:footnoteReference w:id="710"/>
      </w:r>
      <w:r>
        <w:t xml:space="preserve"> </w:t>
      </w:r>
      <w:r>
        <w:t xml:space="preserve">La triplice convergenza — autorizzazione, raccomandazione di costo-efficacia e rimborso — fa dell’insonnia l’indicazione più matura e un candidato naturale per un’eventuale sperimentazione pugliese.</w:t>
      </w:r>
    </w:p>
    <w:bookmarkEnd w:id="1553"/>
    <w:bookmarkStart w:id="1556" w:name="disturbi-da-uso-di-sostanze-1"/>
    <w:p>
      <w:pPr>
        <w:pStyle w:val="Heading3"/>
      </w:pPr>
      <w:r>
        <w:t xml:space="preserve">3.4 Disturbi da uso di sostanze</w:t>
      </w:r>
    </w:p>
    <w:p>
      <w:pPr>
        <w:pStyle w:val="FirstParagraph"/>
      </w:pPr>
      <w:r>
        <w:t xml:space="preserve">I disturbi da uso di sostanze rappresentano l’indicazione storica della categoria, essendo il primo dispositivo terapeutico digitale in assoluto stato autorizzato nel 2017 per questa finalità, seguito nel 2018 dalla versione per il disturbo da uso di oppioidi in associazione alla terapia farmacologica.</w:t>
      </w:r>
      <w:r>
        <w:rPr>
          <w:rStyle w:val="FootnoteReference"/>
        </w:rPr>
        <w:footnoteReference w:id="711"/>
      </w:r>
      <w:r>
        <w:t xml:space="preserve"> </w:t>
      </w:r>
      <w:r>
        <w:t xml:space="preserve">In Germania il registro comprende un’applicazione per la dipendenza da alcol, incluso l’uso dannoso, e una per la dipendenza da nicotina.</w:t>
      </w:r>
      <w:r>
        <w:rPr>
          <w:rStyle w:val="FootnoteReference"/>
        </w:rPr>
        <w:footnoteReference w:id="712"/>
      </w:r>
      <w:r>
        <w:t xml:space="preserve"> </w:t>
      </w:r>
      <w:r>
        <w:t xml:space="preserve">Si tratta di un ambito in cui la collaborazione tra medicina generale, servizi per le dipendenze e psicologia di base è particolarmente rilevante, e in cui il dispositivo digitale può estendere la continuità dell’intervento tra un contatto clinico e l’altro.</w:t>
      </w:r>
    </w:p>
    <w:bookmarkEnd w:id="1556"/>
    <w:bookmarkStart w:id="1558" w:name="depressione-post-partum-1"/>
    <w:p>
      <w:pPr>
        <w:pStyle w:val="Heading3"/>
      </w:pPr>
      <w:r>
        <w:t xml:space="preserve">3.5 Depressione post-partum</w:t>
      </w:r>
    </w:p>
    <w:p>
      <w:pPr>
        <w:pStyle w:val="FirstParagraph"/>
      </w:pPr>
      <w:r>
        <w:t xml:space="preserve">La depressione post-partum, condizione frequente e spesso non intercettata, dispone dal 2024 di un dispositivo dedicato autorizzato negli Stati Uniti, primo del suo genere.</w:t>
      </w:r>
      <w:r>
        <w:rPr>
          <w:rStyle w:val="FootnoteReference"/>
        </w:rPr>
        <w:footnoteReference w:id="713"/>
      </w:r>
      <w:r>
        <w:t xml:space="preserve"> </w:t>
      </w:r>
      <w:r>
        <w:t xml:space="preserve">L’indicazione è di rilievo per le cure primarie pugliesi in ragione del ruolo del pediatra di libera scelta e del medico di medicina generale nel periodo perinatale, e della possibilità di integrare lo screening e l’intervento psicologico precoce con uno strumento validato, riducendo il rischio di cronicizzazione e le conseguenze sullo sviluppo del bambino.</w:t>
      </w:r>
    </w:p>
    <w:bookmarkEnd w:id="1558"/>
    <w:bookmarkStart w:id="1560" w:name="disturbo-post-traumatico-da-stress-1"/>
    <w:p>
      <w:pPr>
        <w:pStyle w:val="Heading3"/>
      </w:pPr>
      <w:r>
        <w:t xml:space="preserve">3.6 Disturbo post-traumatico da stress</w:t>
      </w:r>
    </w:p>
    <w:p>
      <w:pPr>
        <w:pStyle w:val="FirstParagraph"/>
      </w:pPr>
      <w:r>
        <w:t xml:space="preserve">Per il disturbo post-traumatico da stress esiste un dispositivo autorizzato nel 2020 che opera su orologio intelligente e impiega algoritmi su frequenza cardiaca e movimento per rilevare gli incubi durante il sonno, interrompendoli mediante vibrazioni.</w:t>
      </w:r>
      <w:r>
        <w:rPr>
          <w:rStyle w:val="FootnoteReference"/>
        </w:rPr>
        <w:footnoteReference w:id="714"/>
      </w:r>
      <w:r>
        <w:t xml:space="preserve"> </w:t>
      </w:r>
      <w:r>
        <w:t xml:space="preserve">Pur essendo un’applicazione di nicchia, essa illustra la varietà dei meccanismi d’azione disponibili, che vanno ben oltre l’erogazione di contenuti psicoeducativi e includono il monitoraggio fisiologico continuo e l’intervento in tempo reale.</w:t>
      </w:r>
    </w:p>
    <w:bookmarkEnd w:id="1560"/>
    <w:bookmarkStart w:id="1562" w:name="X3b29d192c8a55124023d266bf993a892a2e3aec"/>
    <w:p>
      <w:pPr>
        <w:pStyle w:val="Heading3"/>
      </w:pPr>
      <w:r>
        <w:t xml:space="preserve">3.7 Disturbo da deficit di attenzione e iperattività in età pediatrica</w:t>
      </w:r>
    </w:p>
    <w:p>
      <w:pPr>
        <w:pStyle w:val="FirstParagraph"/>
      </w:pPr>
      <w:r>
        <w:t xml:space="preserve">Il disturbo da deficit di attenzione e iperattività in età pediatrica costituisce l’indicazione più distintiva sotto il profilo del meccanismo d’azione, essendo trattata da un dispositivo erogato attraverso un videogioco terapeutico, autorizzato nel 2020 per via De Novo e successivamente esteso alla fascia 8–17 anni. Lo strumento stimola, mediante compiti senso-motori adattivi, i circuiti neurali coinvolti nell’attenzione, con un impiego di circa venticinque-trenta minuti al giorno per cinque giorni a settimana. Nello studio cardine il 47% dei bambini trattati ha mostrato un miglioramento significativo di una misura standardizzata dell’attenzione, contro il 32% del gruppo di controllo, con un profilo di sicurezza favorevole — eventi avversi correlati nel 4,97% dei partecipanti, senza eventi gravi — e con l’avvertenza esplicita che il dispositivo non sostituisce il farmaco e va impiegato entro un programma terapeutico.</w:t>
      </w:r>
      <w:r>
        <w:rPr>
          <w:rStyle w:val="FootnoteReference"/>
        </w:rPr>
        <w:footnoteReference w:id="715"/>
      </w:r>
      <w:r>
        <w:t xml:space="preserve"> </w:t>
      </w:r>
      <w:r>
        <w:t xml:space="preserve">L’indicazione è di rilievo per il pediatra di libera scelta e per l’integrazione con il servizio di psicologia di base in età evolutiva.</w:t>
      </w:r>
    </w:p>
    <w:bookmarkEnd w:id="1562"/>
    <w:bookmarkEnd w:id="1563"/>
    <w:bookmarkStart w:id="1565" w:name="Xf54858666a85a38f9f73013f2aff941b16c35bd"/>
    <w:p>
      <w:pPr>
        <w:pStyle w:val="Heading2"/>
      </w:pPr>
      <w:r>
        <w:t xml:space="preserve">4. Tabella comparativa dei principali dispositivi terapeutici digitali</w:t>
      </w:r>
    </w:p>
    <w:p>
      <w:pPr>
        <w:pStyle w:val="FirstParagraph"/>
      </w:pPr>
      <w:r>
        <w:t xml:space="preserve">La tabella seguente raccoglie i principali dispositivi terapeutici digitali rilevanti per la salute mentale e le cure primarie, ordinati per giurisdizione, con l’indicazione, lo stato regolatorio, il meccanismo d’azione, l’evidenza chiave e lo stato di rimborso. La tabella ha finalità di sintesi e rinvia, per i dettagli e le fonti, ai paragrafi precedenti e alle note.</w:t>
      </w:r>
      <w:r>
        <w:rPr>
          <w:rStyle w:val="FootnoteReference"/>
        </w:rPr>
        <w:footnoteReference w:id="716"/>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Dispositivo (sviluppatore)</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Status regolatorio</w:t>
            </w:r>
          </w:p>
        </w:tc>
        <w:tc>
          <w:tcPr>
            <w:shd w:val="clear" w:color="auto" w:fill="16264B"/>
          </w:tcPr>
          <w:p>
            <w:pPr>
              <w:pStyle w:val="Compact"/>
              <w:spacing w:after="40" w:before="40"/>
              <w:jc w:val="left"/>
            </w:pPr>
            <w:r>
              <w:rPr>
                <w:rFonts w:ascii="Cambria" w:hAnsi="Cambria" w:cs="Cambria" w:eastAsia="Cambria"/>
                <w:b/>
                <w:bCs/>
                <w:color w:val="FFFFFF"/>
                <w:sz w:val="18"/>
              </w:rPr>
              <w:t xml:space="preserve">Meccanismo</w:t>
            </w:r>
          </w:p>
        </w:tc>
        <w:tc>
          <w:tcPr>
            <w:shd w:val="clear" w:color="auto" w:fill="16264B"/>
          </w:tcPr>
          <w:p>
            <w:pPr>
              <w:pStyle w:val="Compact"/>
              <w:spacing w:after="40" w:before="40"/>
              <w:jc w:val="left"/>
            </w:pPr>
            <w:r>
              <w:rPr>
                <w:rFonts w:ascii="Cambria" w:hAnsi="Cambria" w:cs="Cambria" w:eastAsia="Cambria"/>
                <w:b/>
                <w:bCs/>
                <w:color w:val="FFFFFF"/>
                <w:sz w:val="18"/>
              </w:rPr>
              <w:t xml:space="preserve">Evidenza chiave</w:t>
            </w:r>
          </w:p>
        </w:tc>
        <w:tc>
          <w:tcPr>
            <w:shd w:val="clear" w:color="auto" w:fill="16264B"/>
          </w:tcPr>
          <w:p>
            <w:pPr>
              <w:pStyle w:val="Compact"/>
              <w:spacing w:after="40" w:before="40"/>
              <w:jc w:val="left"/>
            </w:pPr>
            <w:r>
              <w:rPr>
                <w:rFonts w:ascii="Cambria" w:hAnsi="Cambria" w:cs="Cambria" w:eastAsia="Cambria"/>
                <w:b/>
                <w:bCs/>
                <w:color w:val="FFFFFF"/>
                <w:sz w:val="18"/>
              </w:rPr>
              <w:t xml:space="preserve">Rimborso</w:t>
            </w:r>
          </w:p>
        </w:tc>
      </w:tr>
      <w:tr>
        <w:tc>
          <w:tcPr/>
          <w:p>
            <w:pPr>
              <w:pStyle w:val="Compact"/>
              <w:spacing w:after="40" w:before="40"/>
              <w:jc w:val="left"/>
            </w:pPr>
            <w:r>
              <w:rPr>
                <w:rFonts w:ascii="Cambria" w:hAnsi="Cambria" w:cs="Cambria" w:eastAsia="Cambria"/>
                <w:b/>
                <w:bCs/>
                <w:color w:val="1A1A1A"/>
                <w:sz w:val="18"/>
              </w:rPr>
              <w:t xml:space="preserve">Rejoyn (Otsuka/Click)</w:t>
            </w:r>
          </w:p>
        </w:tc>
        <w:tc>
          <w:tcPr/>
          <w:p>
            <w:pPr>
              <w:pStyle w:val="Compact"/>
              <w:spacing w:after="40" w:before="40"/>
              <w:jc w:val="left"/>
            </w:pPr>
            <w:r>
              <w:rPr>
                <w:rFonts w:ascii="Cambria" w:hAnsi="Cambria" w:cs="Cambria" w:eastAsia="Cambria"/>
                <w:color w:val="1A1A1A"/>
                <w:sz w:val="18"/>
              </w:rPr>
              <w:t xml:space="preserve">Depressione maggiore, adulti 22+</w:t>
            </w:r>
          </w:p>
        </w:tc>
        <w:tc>
          <w:tcPr/>
          <w:p>
            <w:pPr>
              <w:pStyle w:val="Compact"/>
              <w:spacing w:after="40" w:before="40"/>
              <w:jc w:val="left"/>
            </w:pPr>
            <w:r>
              <w:rPr>
                <w:rFonts w:ascii="Cambria" w:hAnsi="Cambria" w:cs="Cambria" w:eastAsia="Cambria"/>
                <w:color w:val="1A1A1A"/>
                <w:sz w:val="18"/>
              </w:rPr>
              <w:t xml:space="preserve">FDA 2024, 510(k)</w:t>
            </w:r>
          </w:p>
        </w:tc>
        <w:tc>
          <w:tcPr/>
          <w:p>
            <w:pPr>
              <w:pStyle w:val="Compact"/>
              <w:spacing w:after="40" w:before="40"/>
              <w:jc w:val="left"/>
            </w:pPr>
            <w:r>
              <w:rPr>
                <w:rFonts w:ascii="Cambria" w:hAnsi="Cambria" w:cs="Cambria" w:eastAsia="Cambria"/>
                <w:color w:val="1A1A1A"/>
                <w:sz w:val="18"/>
              </w:rPr>
              <w:t xml:space="preserve">CBT e controllo cognitivo delle emozioni; adiuvante</w:t>
            </w:r>
          </w:p>
        </w:tc>
        <w:tc>
          <w:tcPr/>
          <w:p>
            <w:pPr>
              <w:pStyle w:val="Compact"/>
              <w:spacing w:after="40" w:before="40"/>
              <w:jc w:val="left"/>
            </w:pPr>
            <w:r>
              <w:rPr>
                <w:rFonts w:ascii="Cambria" w:hAnsi="Cambria" w:cs="Cambria" w:eastAsia="Cambria"/>
                <w:color w:val="1A1A1A"/>
                <w:sz w:val="18"/>
              </w:rPr>
              <w:t xml:space="preserve">RCT di fase 3 in doppio cieco, 386 pazienti</w:t>
            </w:r>
          </w:p>
        </w:tc>
        <w:tc>
          <w:tcPr/>
          <w:p>
            <w:pPr>
              <w:pStyle w:val="Compact"/>
              <w:spacing w:after="40" w:before="40"/>
              <w:jc w:val="left"/>
            </w:pPr>
            <w:r>
              <w:rPr>
                <w:rFonts w:ascii="Cambria" w:hAnsi="Cambria" w:cs="Cambria" w:eastAsia="Cambria"/>
                <w:color w:val="1A1A1A"/>
                <w:sz w:val="18"/>
              </w:rPr>
              <w:t xml:space="preserve">Codici USA 2024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Somryst (Pear/Nox)</w:t>
            </w:r>
          </w:p>
        </w:tc>
        <w:tc>
          <w:tcPr>
            <w:shd w:val="clear" w:color="auto" w:fill="F4F1EC"/>
          </w:tcPr>
          <w:p>
            <w:pPr>
              <w:pStyle w:val="Compact"/>
              <w:spacing w:after="40" w:before="40"/>
              <w:jc w:val="left"/>
            </w:pPr>
            <w:r>
              <w:rPr>
                <w:rFonts w:ascii="Cambria" w:hAnsi="Cambria" w:cs="Cambria" w:eastAsia="Cambria"/>
                <w:color w:val="1A1A1A"/>
                <w:sz w:val="18"/>
              </w:rPr>
              <w:t xml:space="preserve">Insonnia cronica, 22+</w:t>
            </w:r>
          </w:p>
        </w:tc>
        <w:tc>
          <w:tcPr>
            <w:shd w:val="clear" w:color="auto" w:fill="F4F1EC"/>
          </w:tcPr>
          <w:p>
            <w:pPr>
              <w:pStyle w:val="Compact"/>
              <w:spacing w:after="40" w:before="40"/>
              <w:jc w:val="left"/>
            </w:pPr>
            <w:r>
              <w:rPr>
                <w:rFonts w:ascii="Cambria" w:hAnsi="Cambria" w:cs="Cambria" w:eastAsia="Cambria"/>
                <w:color w:val="1A1A1A"/>
                <w:sz w:val="18"/>
              </w:rPr>
              <w:t xml:space="preserve">FDA 2020</w:t>
            </w:r>
          </w:p>
        </w:tc>
        <w:tc>
          <w:tcPr>
            <w:shd w:val="clear" w:color="auto" w:fill="F4F1EC"/>
          </w:tcPr>
          <w:p>
            <w:pPr>
              <w:pStyle w:val="Compact"/>
              <w:spacing w:after="40" w:before="40"/>
              <w:jc w:val="left"/>
            </w:pPr>
            <w:r>
              <w:rPr>
                <w:rFonts w:ascii="Cambria" w:hAnsi="Cambria" w:cs="Cambria" w:eastAsia="Cambria"/>
                <w:color w:val="1A1A1A"/>
                <w:sz w:val="18"/>
              </w:rPr>
              <w:t xml:space="preserve">CBT per l’insonnia, 9 settimane</w:t>
            </w:r>
          </w:p>
        </w:tc>
        <w:tc>
          <w:tcPr>
            <w:shd w:val="clear" w:color="auto" w:fill="F4F1EC"/>
          </w:tcPr>
          <w:p>
            <w:pPr>
              <w:pStyle w:val="Compact"/>
              <w:spacing w:after="40" w:before="40"/>
              <w:jc w:val="left"/>
            </w:pPr>
            <w:r>
              <w:rPr>
                <w:rFonts w:ascii="Cambria" w:hAnsi="Cambria" w:cs="Cambria" w:eastAsia="Cambria"/>
                <w:color w:val="1A1A1A"/>
                <w:sz w:val="18"/>
              </w:rPr>
              <w:t xml:space="preserve">2 RCT, oltre 1.400 adulti; -45% gravita, mantenuto 6–12 mesi</w:t>
            </w:r>
          </w:p>
        </w:tc>
        <w:tc>
          <w:tcPr>
            <w:shd w:val="clear" w:color="auto" w:fill="F4F1EC"/>
          </w:tcPr>
          <w:p>
            <w:pPr>
              <w:pStyle w:val="Compact"/>
              <w:spacing w:after="40" w:before="40"/>
              <w:jc w:val="left"/>
            </w:pPr>
            <w:r>
              <w:rPr>
                <w:rFonts w:ascii="Cambria" w:hAnsi="Cambria" w:cs="Cambria" w:eastAsia="Cambria"/>
                <w:color w:val="1A1A1A"/>
                <w:sz w:val="18"/>
              </w:rPr>
              <w:t xml:space="preserve">Codici USA</w:t>
            </w:r>
          </w:p>
        </w:tc>
      </w:tr>
      <w:tr>
        <w:tc>
          <w:tcPr/>
          <w:p>
            <w:pPr>
              <w:pStyle w:val="Compact"/>
              <w:spacing w:after="40" w:before="40"/>
              <w:jc w:val="left"/>
            </w:pPr>
            <w:r>
              <w:rPr>
                <w:rFonts w:ascii="Cambria" w:hAnsi="Cambria" w:cs="Cambria" w:eastAsia="Cambria"/>
                <w:b/>
                <w:bCs/>
                <w:color w:val="1A1A1A"/>
                <w:sz w:val="18"/>
              </w:rPr>
              <w:t xml:space="preserve">SleepioRx / Sleepio (Big Health)</w:t>
            </w:r>
          </w:p>
        </w:tc>
        <w:tc>
          <w:tcPr/>
          <w:p>
            <w:pPr>
              <w:pStyle w:val="Compact"/>
              <w:spacing w:after="40" w:before="40"/>
              <w:jc w:val="left"/>
            </w:pPr>
            <w:r>
              <w:rPr>
                <w:rFonts w:ascii="Cambria" w:hAnsi="Cambria" w:cs="Cambria" w:eastAsia="Cambria"/>
                <w:color w:val="1A1A1A"/>
                <w:sz w:val="18"/>
              </w:rPr>
              <w:t xml:space="preserve">Insonnia</w:t>
            </w:r>
          </w:p>
        </w:tc>
        <w:tc>
          <w:tcPr/>
          <w:p>
            <w:pPr>
              <w:pStyle w:val="Compact"/>
              <w:spacing w:after="40" w:before="40"/>
              <w:jc w:val="left"/>
            </w:pPr>
            <w:r>
              <w:rPr>
                <w:rFonts w:ascii="Cambria" w:hAnsi="Cambria" w:cs="Cambria" w:eastAsia="Cambria"/>
                <w:color w:val="1A1A1A"/>
                <w:sz w:val="18"/>
              </w:rPr>
              <w:t xml:space="preserve">FDA 2024; NICE MTG70 (UK)</w:t>
            </w:r>
          </w:p>
        </w:tc>
        <w:tc>
          <w:tcPr/>
          <w:p>
            <w:pPr>
              <w:pStyle w:val="Compact"/>
              <w:spacing w:after="40" w:before="40"/>
              <w:jc w:val="left"/>
            </w:pPr>
            <w:r>
              <w:rPr>
                <w:rFonts w:ascii="Cambria" w:hAnsi="Cambria" w:cs="Cambria" w:eastAsia="Cambria"/>
                <w:color w:val="1A1A1A"/>
                <w:sz w:val="18"/>
              </w:rPr>
              <w:t xml:space="preserve">CBT per l’insonnia con terapeuta virtuale</w:t>
            </w:r>
          </w:p>
        </w:tc>
        <w:tc>
          <w:tcPr/>
          <w:p>
            <w:pPr>
              <w:pStyle w:val="Compact"/>
              <w:spacing w:after="40" w:before="40"/>
              <w:jc w:val="left"/>
            </w:pPr>
            <w:r>
              <w:rPr>
                <w:rFonts w:ascii="Cambria" w:hAnsi="Cambria" w:cs="Cambria" w:eastAsia="Cambria"/>
                <w:color w:val="1A1A1A"/>
                <w:sz w:val="18"/>
              </w:rPr>
              <w:t xml:space="preserve">Oltre 25 studi; raccomandato NICE come costo-efficace</w:t>
            </w:r>
          </w:p>
        </w:tc>
        <w:tc>
          <w:tcPr/>
          <w:p>
            <w:pPr>
              <w:pStyle w:val="Compact"/>
              <w:spacing w:after="40" w:before="40"/>
              <w:jc w:val="left"/>
            </w:pPr>
            <w:r>
              <w:rPr>
                <w:rFonts w:ascii="Cambria" w:hAnsi="Cambria" w:cs="Cambria" w:eastAsia="Cambria"/>
                <w:color w:val="1A1A1A"/>
                <w:sz w:val="18"/>
              </w:rPr>
              <w:t xml:space="preserve">NHS (UK); codici USA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reSET / reSET-O (Pear)</w:t>
            </w:r>
          </w:p>
        </w:tc>
        <w:tc>
          <w:tcPr>
            <w:shd w:val="clear" w:color="auto" w:fill="F4F1EC"/>
          </w:tcPr>
          <w:p>
            <w:pPr>
              <w:pStyle w:val="Compact"/>
              <w:spacing w:after="40" w:before="40"/>
              <w:jc w:val="left"/>
            </w:pPr>
            <w:r>
              <w:rPr>
                <w:rFonts w:ascii="Cambria" w:hAnsi="Cambria" w:cs="Cambria" w:eastAsia="Cambria"/>
                <w:color w:val="1A1A1A"/>
                <w:sz w:val="18"/>
              </w:rPr>
              <w:t xml:space="preserve">Uso di sostanze / oppioidi</w:t>
            </w:r>
          </w:p>
        </w:tc>
        <w:tc>
          <w:tcPr>
            <w:shd w:val="clear" w:color="auto" w:fill="F4F1EC"/>
          </w:tcPr>
          <w:p>
            <w:pPr>
              <w:pStyle w:val="Compact"/>
              <w:spacing w:after="40" w:before="40"/>
              <w:jc w:val="left"/>
            </w:pPr>
            <w:r>
              <w:rPr>
                <w:rFonts w:ascii="Cambria" w:hAnsi="Cambria" w:cs="Cambria" w:eastAsia="Cambria"/>
                <w:color w:val="1A1A1A"/>
                <w:sz w:val="18"/>
              </w:rPr>
              <w:t xml:space="preserve">FDA 2017 / 2018</w:t>
            </w:r>
          </w:p>
        </w:tc>
        <w:tc>
          <w:tcPr>
            <w:shd w:val="clear" w:color="auto" w:fill="F4F1EC"/>
          </w:tcPr>
          <w:p>
            <w:pPr>
              <w:pStyle w:val="Compact"/>
              <w:spacing w:after="40" w:before="40"/>
              <w:jc w:val="left"/>
            </w:pPr>
            <w:r>
              <w:rPr>
                <w:rFonts w:ascii="Cambria" w:hAnsi="Cambria" w:cs="Cambria" w:eastAsia="Cambria"/>
                <w:color w:val="1A1A1A"/>
                <w:sz w:val="18"/>
              </w:rPr>
              <w:t xml:space="preserve">CBT e gestione delle contingenze</w:t>
            </w:r>
          </w:p>
        </w:tc>
        <w:tc>
          <w:tcPr>
            <w:shd w:val="clear" w:color="auto" w:fill="F4F1EC"/>
          </w:tcPr>
          <w:p>
            <w:pPr>
              <w:pStyle w:val="Compact"/>
              <w:spacing w:after="40" w:before="40"/>
              <w:jc w:val="left"/>
            </w:pPr>
            <w:r>
              <w:rPr>
                <w:rFonts w:ascii="Cambria" w:hAnsi="Cambria" w:cs="Cambria" w:eastAsia="Cambria"/>
                <w:color w:val="1A1A1A"/>
                <w:sz w:val="18"/>
              </w:rPr>
              <w:t xml:space="preserve">RCT su astinenza e ritenzione in trattamento</w:t>
            </w:r>
          </w:p>
        </w:tc>
        <w:tc>
          <w:tcPr>
            <w:shd w:val="clear" w:color="auto" w:fill="F4F1EC"/>
          </w:tcPr>
          <w:p>
            <w:pPr>
              <w:pStyle w:val="Compact"/>
              <w:spacing w:after="40" w:before="40"/>
              <w:jc w:val="left"/>
            </w:pPr>
            <w:r>
              <w:rPr>
                <w:rFonts w:ascii="Cambria" w:hAnsi="Cambria" w:cs="Cambria" w:eastAsia="Cambria"/>
                <w:color w:val="1A1A1A"/>
                <w:sz w:val="18"/>
              </w:rPr>
              <w:t xml:space="preserve">Codici USA</w:t>
            </w:r>
          </w:p>
        </w:tc>
      </w:tr>
      <w:tr>
        <w:tc>
          <w:tcPr/>
          <w:p>
            <w:pPr>
              <w:pStyle w:val="Compact"/>
              <w:spacing w:after="40" w:before="40"/>
              <w:jc w:val="left"/>
            </w:pPr>
            <w:r>
              <w:rPr>
                <w:rFonts w:ascii="Cambria" w:hAnsi="Cambria" w:cs="Cambria" w:eastAsia="Cambria"/>
                <w:b/>
                <w:bCs/>
                <w:color w:val="1A1A1A"/>
                <w:sz w:val="18"/>
              </w:rPr>
              <w:t xml:space="preserve">MamaLift Plus (Curio)</w:t>
            </w:r>
          </w:p>
        </w:tc>
        <w:tc>
          <w:tcPr/>
          <w:p>
            <w:pPr>
              <w:pStyle w:val="Compact"/>
              <w:spacing w:after="40" w:before="40"/>
              <w:jc w:val="left"/>
            </w:pPr>
            <w:r>
              <w:rPr>
                <w:rFonts w:ascii="Cambria" w:hAnsi="Cambria" w:cs="Cambria" w:eastAsia="Cambria"/>
                <w:color w:val="1A1A1A"/>
                <w:sz w:val="18"/>
              </w:rPr>
              <w:t xml:space="preserve">Depressione post-partum</w:t>
            </w:r>
          </w:p>
        </w:tc>
        <w:tc>
          <w:tcPr/>
          <w:p>
            <w:pPr>
              <w:pStyle w:val="Compact"/>
              <w:spacing w:after="40" w:before="40"/>
              <w:jc w:val="left"/>
            </w:pPr>
            <w:r>
              <w:rPr>
                <w:rFonts w:ascii="Cambria" w:hAnsi="Cambria" w:cs="Cambria" w:eastAsia="Cambria"/>
                <w:color w:val="1A1A1A"/>
                <w:sz w:val="18"/>
              </w:rPr>
              <w:t xml:space="preserve">FDA 2024 (prima del genere)</w:t>
            </w:r>
          </w:p>
        </w:tc>
        <w:tc>
          <w:tcPr/>
          <w:p>
            <w:pPr>
              <w:pStyle w:val="Compact"/>
              <w:spacing w:after="40" w:before="40"/>
              <w:jc w:val="left"/>
            </w:pPr>
            <w:r>
              <w:rPr>
                <w:rFonts w:ascii="Cambria" w:hAnsi="Cambria" w:cs="Cambria" w:eastAsia="Cambria"/>
                <w:color w:val="1A1A1A"/>
                <w:sz w:val="18"/>
              </w:rPr>
              <w:t xml:space="preserve">CBT digitale</w:t>
            </w:r>
          </w:p>
        </w:tc>
        <w:tc>
          <w:tcPr/>
          <w:p>
            <w:pPr>
              <w:pStyle w:val="Compact"/>
              <w:spacing w:after="40" w:before="40"/>
              <w:jc w:val="left"/>
            </w:pPr>
            <w:r>
              <w:rPr>
                <w:rFonts w:ascii="Cambria" w:hAnsi="Cambria" w:cs="Cambria" w:eastAsia="Cambria"/>
                <w:color w:val="1A1A1A"/>
                <w:sz w:val="18"/>
              </w:rPr>
              <w:t xml:space="preserve">Autorizzazione FDA su dati clinici</w:t>
            </w:r>
          </w:p>
        </w:tc>
        <w:tc>
          <w:tcPr/>
          <w:p>
            <w:pPr>
              <w:pStyle w:val="Compact"/>
              <w:spacing w:after="40" w:before="40"/>
              <w:jc w:val="left"/>
            </w:pPr>
            <w:r>
              <w:rPr>
                <w:rFonts w:ascii="Cambria" w:hAnsi="Cambria" w:cs="Cambria" w:eastAsia="Cambria"/>
                <w:color w:val="1A1A1A"/>
                <w:sz w:val="18"/>
              </w:rPr>
              <w:t xml:space="preserve">n.d.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NightWare</w:t>
            </w:r>
          </w:p>
        </w:tc>
        <w:tc>
          <w:tcPr>
            <w:shd w:val="clear" w:color="auto" w:fill="F4F1EC"/>
          </w:tcPr>
          <w:p>
            <w:pPr>
              <w:pStyle w:val="Compact"/>
              <w:spacing w:after="40" w:before="40"/>
              <w:jc w:val="left"/>
            </w:pPr>
            <w:r>
              <w:rPr>
                <w:rFonts w:ascii="Cambria" w:hAnsi="Cambria" w:cs="Cambria" w:eastAsia="Cambria"/>
                <w:color w:val="1A1A1A"/>
                <w:sz w:val="18"/>
              </w:rPr>
              <w:t xml:space="preserve">PTSD (incubi)</w:t>
            </w:r>
          </w:p>
        </w:tc>
        <w:tc>
          <w:tcPr>
            <w:shd w:val="clear" w:color="auto" w:fill="F4F1EC"/>
          </w:tcPr>
          <w:p>
            <w:pPr>
              <w:pStyle w:val="Compact"/>
              <w:spacing w:after="40" w:before="40"/>
              <w:jc w:val="left"/>
            </w:pPr>
            <w:r>
              <w:rPr>
                <w:rFonts w:ascii="Cambria" w:hAnsi="Cambria" w:cs="Cambria" w:eastAsia="Cambria"/>
                <w:color w:val="1A1A1A"/>
                <w:sz w:val="18"/>
              </w:rPr>
              <w:t xml:space="preserve">FDA 2020</w:t>
            </w:r>
          </w:p>
        </w:tc>
        <w:tc>
          <w:tcPr>
            <w:shd w:val="clear" w:color="auto" w:fill="F4F1EC"/>
          </w:tcPr>
          <w:p>
            <w:pPr>
              <w:pStyle w:val="Compact"/>
              <w:spacing w:after="40" w:before="40"/>
              <w:jc w:val="left"/>
            </w:pPr>
            <w:r>
              <w:rPr>
                <w:rFonts w:ascii="Cambria" w:hAnsi="Cambria" w:cs="Cambria" w:eastAsia="Cambria"/>
                <w:color w:val="1A1A1A"/>
                <w:sz w:val="18"/>
              </w:rPr>
              <w:t xml:space="preserve">Monitoraggio fisiologico su orologio e vibrazione</w:t>
            </w:r>
          </w:p>
        </w:tc>
        <w:tc>
          <w:tcPr>
            <w:shd w:val="clear" w:color="auto" w:fill="F4F1EC"/>
          </w:tcPr>
          <w:p>
            <w:pPr>
              <w:pStyle w:val="Compact"/>
              <w:spacing w:after="40" w:before="40"/>
              <w:jc w:val="left"/>
            </w:pPr>
            <w:r>
              <w:rPr>
                <w:rFonts w:ascii="Cambria" w:hAnsi="Cambria" w:cs="Cambria" w:eastAsia="Cambria"/>
                <w:color w:val="1A1A1A"/>
                <w:sz w:val="18"/>
              </w:rPr>
              <w:t xml:space="preserve">RCT a sostegno dell’autorizzazione</w:t>
            </w:r>
          </w:p>
        </w:tc>
        <w:tc>
          <w:tcPr>
            <w:shd w:val="clear" w:color="auto" w:fill="F4F1EC"/>
          </w:tcPr>
          <w:p>
            <w:pPr>
              <w:pStyle w:val="Compact"/>
              <w:spacing w:after="40" w:before="40"/>
              <w:jc w:val="left"/>
            </w:pPr>
            <w:r>
              <w:rPr>
                <w:rFonts w:ascii="Cambria" w:hAnsi="Cambria" w:cs="Cambria" w:eastAsia="Cambria"/>
                <w:color w:val="1A1A1A"/>
                <w:sz w:val="18"/>
              </w:rPr>
              <w:t xml:space="preserve">n.d.</w:t>
            </w:r>
          </w:p>
        </w:tc>
      </w:tr>
      <w:tr>
        <w:tc>
          <w:tcPr/>
          <w:p>
            <w:pPr>
              <w:pStyle w:val="Compact"/>
              <w:spacing w:after="40" w:before="40"/>
              <w:jc w:val="left"/>
            </w:pPr>
            <w:r>
              <w:rPr>
                <w:rFonts w:ascii="Cambria" w:hAnsi="Cambria" w:cs="Cambria" w:eastAsia="Cambria"/>
                <w:b/>
                <w:bCs/>
                <w:color w:val="1A1A1A"/>
                <w:sz w:val="18"/>
              </w:rPr>
              <w:t xml:space="preserve">EndeavorRx (Akili)</w:t>
            </w:r>
          </w:p>
        </w:tc>
        <w:tc>
          <w:tcPr/>
          <w:p>
            <w:pPr>
              <w:pStyle w:val="Compact"/>
              <w:spacing w:after="40" w:before="40"/>
              <w:jc w:val="left"/>
            </w:pPr>
            <w:r>
              <w:rPr>
                <w:rFonts w:ascii="Cambria" w:hAnsi="Cambria" w:cs="Cambria" w:eastAsia="Cambria"/>
                <w:color w:val="1A1A1A"/>
                <w:sz w:val="18"/>
              </w:rPr>
              <w:t xml:space="preserve">ADHD pediatrico, 8–17</w:t>
            </w:r>
          </w:p>
        </w:tc>
        <w:tc>
          <w:tcPr/>
          <w:p>
            <w:pPr>
              <w:pStyle w:val="Compact"/>
              <w:spacing w:after="40" w:before="40"/>
              <w:jc w:val="left"/>
            </w:pPr>
            <w:r>
              <w:rPr>
                <w:rFonts w:ascii="Cambria" w:hAnsi="Cambria" w:cs="Cambria" w:eastAsia="Cambria"/>
                <w:color w:val="1A1A1A"/>
                <w:sz w:val="18"/>
              </w:rPr>
              <w:t xml:space="preserve">FDA 2020, De Novo</w:t>
            </w:r>
          </w:p>
        </w:tc>
        <w:tc>
          <w:tcPr/>
          <w:p>
            <w:pPr>
              <w:pStyle w:val="Compact"/>
              <w:spacing w:after="40" w:before="40"/>
              <w:jc w:val="left"/>
            </w:pPr>
            <w:r>
              <w:rPr>
                <w:rFonts w:ascii="Cambria" w:hAnsi="Cambria" w:cs="Cambria" w:eastAsia="Cambria"/>
                <w:color w:val="1A1A1A"/>
                <w:sz w:val="18"/>
              </w:rPr>
              <w:t xml:space="preserve">Videogioco adattivo senso-motorio</w:t>
            </w:r>
          </w:p>
        </w:tc>
        <w:tc>
          <w:tcPr/>
          <w:p>
            <w:pPr>
              <w:pStyle w:val="Compact"/>
              <w:spacing w:after="40" w:before="40"/>
              <w:jc w:val="left"/>
            </w:pPr>
            <w:r>
              <w:rPr>
                <w:rFonts w:ascii="Cambria" w:hAnsi="Cambria" w:cs="Cambria" w:eastAsia="Cambria"/>
                <w:color w:val="1A1A1A"/>
                <w:sz w:val="18"/>
              </w:rPr>
              <w:t xml:space="preserve">RCT: 47% vs 32% di miglioramento attentivo; sicurezza favorevole</w:t>
            </w:r>
          </w:p>
        </w:tc>
        <w:tc>
          <w:tcPr/>
          <w:p>
            <w:pPr>
              <w:pStyle w:val="Compact"/>
              <w:spacing w:after="40" w:before="40"/>
              <w:jc w:val="left"/>
            </w:pPr>
            <w:r>
              <w:rPr>
                <w:rFonts w:ascii="Cambria" w:hAnsi="Cambria" w:cs="Cambria" w:eastAsia="Cambria"/>
                <w:color w:val="1A1A1A"/>
                <w:sz w:val="18"/>
              </w:rPr>
              <w:t xml:space="preserve">OTC adulti (2024)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Deprexis (GAIA)</w:t>
            </w:r>
          </w:p>
        </w:tc>
        <w:tc>
          <w:tcPr>
            <w:shd w:val="clear" w:color="auto" w:fill="F4F1EC"/>
          </w:tcPr>
          <w:p>
            <w:pPr>
              <w:pStyle w:val="Compact"/>
              <w:spacing w:after="40" w:before="40"/>
              <w:jc w:val="left"/>
            </w:pPr>
            <w:r>
              <w:rPr>
                <w:rFonts w:ascii="Cambria" w:hAnsi="Cambria" w:cs="Cambria" w:eastAsia="Cambria"/>
                <w:color w:val="1A1A1A"/>
                <w:sz w:val="18"/>
              </w:rPr>
              <w:t xml:space="preserve">Depressione (6 indicazioni)</w:t>
            </w:r>
          </w:p>
        </w:tc>
        <w:tc>
          <w:tcPr>
            <w:shd w:val="clear" w:color="auto" w:fill="F4F1EC"/>
          </w:tcPr>
          <w:p>
            <w:pPr>
              <w:pStyle w:val="Compact"/>
              <w:spacing w:after="40" w:before="40"/>
              <w:jc w:val="left"/>
            </w:pPr>
            <w:r>
              <w:rPr>
                <w:rFonts w:ascii="Cambria" w:hAnsi="Cambria" w:cs="Cambria" w:eastAsia="Cambria"/>
                <w:color w:val="1A1A1A"/>
                <w:sz w:val="18"/>
              </w:rPr>
              <w:t xml:space="preserve">DiGA Germania (permanente)</w:t>
            </w:r>
          </w:p>
        </w:tc>
        <w:tc>
          <w:tcPr>
            <w:shd w:val="clear" w:color="auto" w:fill="F4F1EC"/>
          </w:tcPr>
          <w:p>
            <w:pPr>
              <w:pStyle w:val="Compact"/>
              <w:spacing w:after="40" w:before="40"/>
              <w:jc w:val="left"/>
            </w:pPr>
            <w:r>
              <w:rPr>
                <w:rFonts w:ascii="Cambria" w:hAnsi="Cambria" w:cs="Cambria" w:eastAsia="Cambria"/>
                <w:color w:val="1A1A1A"/>
                <w:sz w:val="18"/>
              </w:rPr>
              <w:t xml:space="preserve">CBT digitale</w:t>
            </w:r>
          </w:p>
        </w:tc>
        <w:tc>
          <w:tcPr>
            <w:shd w:val="clear" w:color="auto" w:fill="F4F1EC"/>
          </w:tcPr>
          <w:p>
            <w:pPr>
              <w:pStyle w:val="Compact"/>
              <w:spacing w:after="40" w:before="40"/>
              <w:jc w:val="left"/>
            </w:pPr>
            <w:r>
              <w:rPr>
                <w:rFonts w:ascii="Cambria" w:hAnsi="Cambria" w:cs="Cambria" w:eastAsia="Cambria"/>
                <w:color w:val="1A1A1A"/>
                <w:sz w:val="18"/>
              </w:rPr>
              <w:t xml:space="preserve">RCT; effetto da basso a medio</w:t>
            </w:r>
          </w:p>
        </w:tc>
        <w:tc>
          <w:tcPr>
            <w:shd w:val="clear" w:color="auto" w:fill="F4F1EC"/>
          </w:tcPr>
          <w:p>
            <w:pPr>
              <w:pStyle w:val="Compact"/>
              <w:spacing w:after="40" w:before="40"/>
              <w:jc w:val="left"/>
            </w:pPr>
            <w:r>
              <w:rPr>
                <w:rFonts w:ascii="Cambria" w:hAnsi="Cambria" w:cs="Cambria" w:eastAsia="Cambria"/>
                <w:color w:val="1A1A1A"/>
                <w:sz w:val="18"/>
              </w:rPr>
              <w:t xml:space="preserve">Rimborsato (DE)</w:t>
            </w:r>
          </w:p>
        </w:tc>
      </w:tr>
      <w:tr>
        <w:tc>
          <w:tcPr/>
          <w:p>
            <w:pPr>
              <w:pStyle w:val="Compact"/>
              <w:spacing w:after="40" w:before="40"/>
              <w:jc w:val="left"/>
            </w:pPr>
            <w:r>
              <w:rPr>
                <w:rFonts w:ascii="Cambria" w:hAnsi="Cambria" w:cs="Cambria" w:eastAsia="Cambria"/>
                <w:b/>
                <w:bCs/>
                <w:color w:val="1A1A1A"/>
                <w:sz w:val="18"/>
              </w:rPr>
              <w:t xml:space="preserve">Velibra (GAIA)</w:t>
            </w:r>
          </w:p>
        </w:tc>
        <w:tc>
          <w:tcPr/>
          <w:p>
            <w:pPr>
              <w:pStyle w:val="Compact"/>
              <w:spacing w:after="40" w:before="40"/>
              <w:jc w:val="left"/>
            </w:pPr>
            <w:r>
              <w:rPr>
                <w:rFonts w:ascii="Cambria" w:hAnsi="Cambria" w:cs="Cambria" w:eastAsia="Cambria"/>
                <w:color w:val="1A1A1A"/>
                <w:sz w:val="18"/>
              </w:rPr>
              <w:t xml:space="preserve">Disturbi d’ansia (4 indicazioni)</w:t>
            </w:r>
          </w:p>
        </w:tc>
        <w:tc>
          <w:tcPr/>
          <w:p>
            <w:pPr>
              <w:pStyle w:val="Compact"/>
              <w:spacing w:after="40" w:before="40"/>
              <w:jc w:val="left"/>
            </w:pPr>
            <w:r>
              <w:rPr>
                <w:rFonts w:ascii="Cambria" w:hAnsi="Cambria" w:cs="Cambria" w:eastAsia="Cambria"/>
                <w:color w:val="1A1A1A"/>
                <w:sz w:val="18"/>
              </w:rPr>
              <w:t xml:space="preserve">DiGA Germania</w:t>
            </w:r>
          </w:p>
        </w:tc>
        <w:tc>
          <w:tcPr/>
          <w:p>
            <w:pPr>
              <w:pStyle w:val="Compact"/>
              <w:spacing w:after="40" w:before="40"/>
              <w:jc w:val="left"/>
            </w:pPr>
            <w:r>
              <w:rPr>
                <w:rFonts w:ascii="Cambria" w:hAnsi="Cambria" w:cs="Cambria" w:eastAsia="Cambria"/>
                <w:color w:val="1A1A1A"/>
                <w:sz w:val="18"/>
              </w:rPr>
              <w:t xml:space="preserve">CBT digitale</w:t>
            </w:r>
          </w:p>
        </w:tc>
        <w:tc>
          <w:tcPr/>
          <w:p>
            <w:pPr>
              <w:pStyle w:val="Compact"/>
              <w:spacing w:after="40" w:before="40"/>
              <w:jc w:val="left"/>
            </w:pPr>
            <w:r>
              <w:rPr>
                <w:rFonts w:ascii="Cambria" w:hAnsi="Cambria" w:cs="Cambria" w:eastAsia="Cambria"/>
                <w:color w:val="1A1A1A"/>
                <w:sz w:val="18"/>
              </w:rPr>
              <w:t xml:space="preserve">RCT; effetto da basso a medio</w:t>
            </w:r>
          </w:p>
        </w:tc>
        <w:tc>
          <w:tcPr/>
          <w:p>
            <w:pPr>
              <w:pStyle w:val="Compact"/>
              <w:spacing w:after="40" w:before="40"/>
              <w:jc w:val="left"/>
            </w:pPr>
            <w:r>
              <w:rPr>
                <w:rFonts w:ascii="Cambria" w:hAnsi="Cambria" w:cs="Cambria" w:eastAsia="Cambria"/>
                <w:color w:val="1A1A1A"/>
                <w:sz w:val="18"/>
              </w:rPr>
              <w:t xml:space="preserve">Rimborsato (DE)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Selfapy</w:t>
            </w:r>
          </w:p>
        </w:tc>
        <w:tc>
          <w:tcPr>
            <w:shd w:val="clear" w:color="auto" w:fill="F4F1EC"/>
          </w:tcPr>
          <w:p>
            <w:pPr>
              <w:pStyle w:val="Compact"/>
              <w:spacing w:after="40" w:before="40"/>
              <w:jc w:val="left"/>
            </w:pPr>
            <w:r>
              <w:rPr>
                <w:rFonts w:ascii="Cambria" w:hAnsi="Cambria" w:cs="Cambria" w:eastAsia="Cambria"/>
                <w:color w:val="1A1A1A"/>
                <w:sz w:val="18"/>
              </w:rPr>
              <w:t xml:space="preserve">Depressione e ansia</w:t>
            </w:r>
          </w:p>
        </w:tc>
        <w:tc>
          <w:tcPr>
            <w:shd w:val="clear" w:color="auto" w:fill="F4F1EC"/>
          </w:tcPr>
          <w:p>
            <w:pPr>
              <w:pStyle w:val="Compact"/>
              <w:spacing w:after="40" w:before="40"/>
              <w:jc w:val="left"/>
            </w:pPr>
            <w:r>
              <w:rPr>
                <w:rFonts w:ascii="Cambria" w:hAnsi="Cambria" w:cs="Cambria" w:eastAsia="Cambria"/>
                <w:color w:val="1A1A1A"/>
                <w:sz w:val="18"/>
              </w:rPr>
              <w:t xml:space="preserve">DiGA Germania</w:t>
            </w:r>
          </w:p>
        </w:tc>
        <w:tc>
          <w:tcPr>
            <w:shd w:val="clear" w:color="auto" w:fill="F4F1EC"/>
          </w:tcPr>
          <w:p>
            <w:pPr>
              <w:pStyle w:val="Compact"/>
              <w:spacing w:after="40" w:before="40"/>
              <w:jc w:val="left"/>
            </w:pPr>
            <w:r>
              <w:rPr>
                <w:rFonts w:ascii="Cambria" w:hAnsi="Cambria" w:cs="Cambria" w:eastAsia="Cambria"/>
                <w:color w:val="1A1A1A"/>
                <w:sz w:val="18"/>
              </w:rPr>
              <w:t xml:space="preserve">CBT digitale</w:t>
            </w:r>
          </w:p>
        </w:tc>
        <w:tc>
          <w:tcPr>
            <w:shd w:val="clear" w:color="auto" w:fill="F4F1EC"/>
          </w:tcPr>
          <w:p>
            <w:pPr>
              <w:pStyle w:val="Compact"/>
              <w:spacing w:after="40" w:before="40"/>
              <w:jc w:val="left"/>
            </w:pPr>
            <w:r>
              <w:rPr>
                <w:rFonts w:ascii="Cambria" w:hAnsi="Cambria" w:cs="Cambria" w:eastAsia="Cambria"/>
                <w:color w:val="1A1A1A"/>
                <w:sz w:val="18"/>
              </w:rPr>
              <w:t xml:space="preserve">RCT; alcuni risultati non pubblicati</w:t>
            </w:r>
          </w:p>
        </w:tc>
        <w:tc>
          <w:tcPr>
            <w:shd w:val="clear" w:color="auto" w:fill="F4F1EC"/>
          </w:tcPr>
          <w:p>
            <w:pPr>
              <w:pStyle w:val="Compact"/>
              <w:spacing w:after="40" w:before="40"/>
              <w:jc w:val="left"/>
            </w:pPr>
            <w:r>
              <w:rPr>
                <w:rFonts w:ascii="Cambria" w:hAnsi="Cambria" w:cs="Cambria" w:eastAsia="Cambria"/>
                <w:color w:val="1A1A1A"/>
                <w:sz w:val="18"/>
              </w:rPr>
              <w:t xml:space="preserve">Rimborsato (DE)</w:t>
            </w:r>
          </w:p>
        </w:tc>
      </w:tr>
      <w:tr>
        <w:tc>
          <w:tcPr/>
          <w:p>
            <w:pPr>
              <w:pStyle w:val="Compact"/>
              <w:spacing w:after="40" w:before="40"/>
              <w:jc w:val="left"/>
            </w:pPr>
            <w:r>
              <w:rPr>
                <w:rFonts w:ascii="Cambria" w:hAnsi="Cambria" w:cs="Cambria" w:eastAsia="Cambria"/>
                <w:b/>
                <w:bCs/>
                <w:color w:val="1A1A1A"/>
                <w:sz w:val="18"/>
              </w:rPr>
              <w:t xml:space="preserve">Invirto / Mindable / HelloBetter</w:t>
            </w:r>
          </w:p>
        </w:tc>
        <w:tc>
          <w:tcPr/>
          <w:p>
            <w:pPr>
              <w:pStyle w:val="Compact"/>
              <w:spacing w:after="40" w:before="40"/>
              <w:jc w:val="left"/>
            </w:pPr>
            <w:r>
              <w:rPr>
                <w:rFonts w:ascii="Cambria" w:hAnsi="Cambria" w:cs="Cambria" w:eastAsia="Cambria"/>
                <w:color w:val="1A1A1A"/>
                <w:sz w:val="18"/>
              </w:rPr>
              <w:t xml:space="preserve">Ansia, panico, stress</w:t>
            </w:r>
          </w:p>
        </w:tc>
        <w:tc>
          <w:tcPr/>
          <w:p>
            <w:pPr>
              <w:pStyle w:val="Compact"/>
              <w:spacing w:after="40" w:before="40"/>
              <w:jc w:val="left"/>
            </w:pPr>
            <w:r>
              <w:rPr>
                <w:rFonts w:ascii="Cambria" w:hAnsi="Cambria" w:cs="Cambria" w:eastAsia="Cambria"/>
                <w:color w:val="1A1A1A"/>
                <w:sz w:val="18"/>
              </w:rPr>
              <w:t xml:space="preserve">DiGA Germania</w:t>
            </w:r>
          </w:p>
        </w:tc>
        <w:tc>
          <w:tcPr/>
          <w:p>
            <w:pPr>
              <w:pStyle w:val="Compact"/>
              <w:spacing w:after="40" w:before="40"/>
              <w:jc w:val="left"/>
            </w:pPr>
            <w:r>
              <w:rPr>
                <w:rFonts w:ascii="Cambria" w:hAnsi="Cambria" w:cs="Cambria" w:eastAsia="Cambria"/>
                <w:color w:val="1A1A1A"/>
                <w:sz w:val="18"/>
              </w:rPr>
              <w:t xml:space="preserve">CBT ed esposizione, anche in realta virtuale</w:t>
            </w:r>
          </w:p>
        </w:tc>
        <w:tc>
          <w:tcPr/>
          <w:p>
            <w:pPr>
              <w:pStyle w:val="Compact"/>
              <w:spacing w:after="40" w:before="40"/>
              <w:jc w:val="left"/>
            </w:pPr>
            <w:r>
              <w:rPr>
                <w:rFonts w:ascii="Cambria" w:hAnsi="Cambria" w:cs="Cambria" w:eastAsia="Cambria"/>
                <w:color w:val="1A1A1A"/>
                <w:sz w:val="18"/>
              </w:rPr>
              <w:t xml:space="preserve">RCT; miglioramenti anche di qualita di vita</w:t>
            </w:r>
          </w:p>
        </w:tc>
        <w:tc>
          <w:tcPr/>
          <w:p>
            <w:pPr>
              <w:pStyle w:val="Compact"/>
              <w:spacing w:after="40" w:before="40"/>
              <w:jc w:val="left"/>
            </w:pPr>
            <w:r>
              <w:rPr>
                <w:rFonts w:ascii="Cambria" w:hAnsi="Cambria" w:cs="Cambria" w:eastAsia="Cambria"/>
                <w:color w:val="1A1A1A"/>
                <w:sz w:val="18"/>
              </w:rPr>
              <w:t xml:space="preserve">Rimborsato (DE)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somnio / HelloBetter Schlafen</w:t>
            </w:r>
          </w:p>
        </w:tc>
        <w:tc>
          <w:tcPr>
            <w:shd w:val="clear" w:color="auto" w:fill="F4F1EC"/>
          </w:tcPr>
          <w:p>
            <w:pPr>
              <w:pStyle w:val="Compact"/>
              <w:spacing w:after="40" w:before="40"/>
              <w:jc w:val="left"/>
            </w:pPr>
            <w:r>
              <w:rPr>
                <w:rFonts w:ascii="Cambria" w:hAnsi="Cambria" w:cs="Cambria" w:eastAsia="Cambria"/>
                <w:color w:val="1A1A1A"/>
                <w:sz w:val="18"/>
              </w:rPr>
              <w:t xml:space="preserve">Insonnia non organica</w:t>
            </w:r>
          </w:p>
        </w:tc>
        <w:tc>
          <w:tcPr>
            <w:shd w:val="clear" w:color="auto" w:fill="F4F1EC"/>
          </w:tcPr>
          <w:p>
            <w:pPr>
              <w:pStyle w:val="Compact"/>
              <w:spacing w:after="40" w:before="40"/>
              <w:jc w:val="left"/>
            </w:pPr>
            <w:r>
              <w:rPr>
                <w:rFonts w:ascii="Cambria" w:hAnsi="Cambria" w:cs="Cambria" w:eastAsia="Cambria"/>
                <w:color w:val="1A1A1A"/>
                <w:sz w:val="18"/>
              </w:rPr>
              <w:t xml:space="preserve">DiGA Germania</w:t>
            </w:r>
          </w:p>
        </w:tc>
        <w:tc>
          <w:tcPr>
            <w:shd w:val="clear" w:color="auto" w:fill="F4F1EC"/>
          </w:tcPr>
          <w:p>
            <w:pPr>
              <w:pStyle w:val="Compact"/>
              <w:spacing w:after="40" w:before="40"/>
              <w:jc w:val="left"/>
            </w:pPr>
            <w:r>
              <w:rPr>
                <w:rFonts w:ascii="Cambria" w:hAnsi="Cambria" w:cs="Cambria" w:eastAsia="Cambria"/>
                <w:color w:val="1A1A1A"/>
                <w:sz w:val="18"/>
              </w:rPr>
              <w:t xml:space="preserve">CBT per l’insonnia</w:t>
            </w:r>
          </w:p>
        </w:tc>
        <w:tc>
          <w:tcPr>
            <w:shd w:val="clear" w:color="auto" w:fill="F4F1EC"/>
          </w:tcPr>
          <w:p>
            <w:pPr>
              <w:pStyle w:val="Compact"/>
              <w:spacing w:after="40" w:before="40"/>
              <w:jc w:val="left"/>
            </w:pPr>
            <w:r>
              <w:rPr>
                <w:rFonts w:ascii="Cambria" w:hAnsi="Cambria" w:cs="Cambria" w:eastAsia="Cambria"/>
                <w:color w:val="1A1A1A"/>
                <w:sz w:val="18"/>
              </w:rPr>
              <w:t xml:space="preserve">RCT a sostegno dell’iscrizione al registro</w:t>
            </w:r>
          </w:p>
        </w:tc>
        <w:tc>
          <w:tcPr>
            <w:shd w:val="clear" w:color="auto" w:fill="F4F1EC"/>
          </w:tcPr>
          <w:p>
            <w:pPr>
              <w:pStyle w:val="Compact"/>
              <w:spacing w:after="40" w:before="40"/>
              <w:jc w:val="left"/>
            </w:pPr>
            <w:r>
              <w:rPr>
                <w:rFonts w:ascii="Cambria" w:hAnsi="Cambria" w:cs="Cambria" w:eastAsia="Cambria"/>
                <w:color w:val="1A1A1A"/>
                <w:sz w:val="18"/>
              </w:rPr>
              <w:t xml:space="preserve">Rimborsato (DE)</w:t>
            </w:r>
          </w:p>
        </w:tc>
      </w:tr>
      <w:tr>
        <w:tc>
          <w:tcPr/>
          <w:p>
            <w:pPr>
              <w:pStyle w:val="Compact"/>
              <w:spacing w:after="40" w:before="40"/>
              <w:jc w:val="left"/>
            </w:pPr>
            <w:r>
              <w:rPr>
                <w:rFonts w:ascii="Cambria" w:hAnsi="Cambria" w:cs="Cambria" w:eastAsia="Cambria"/>
                <w:b/>
                <w:bCs/>
                <w:color w:val="1A1A1A"/>
                <w:sz w:val="18"/>
              </w:rPr>
              <w:t xml:space="preserve">Vorvida / NichtraucherHelden</w:t>
            </w:r>
          </w:p>
        </w:tc>
        <w:tc>
          <w:tcPr/>
          <w:p>
            <w:pPr>
              <w:pStyle w:val="Compact"/>
              <w:spacing w:after="40" w:before="40"/>
              <w:jc w:val="left"/>
            </w:pPr>
            <w:r>
              <w:rPr>
                <w:rFonts w:ascii="Cambria" w:hAnsi="Cambria" w:cs="Cambria" w:eastAsia="Cambria"/>
                <w:color w:val="1A1A1A"/>
                <w:sz w:val="18"/>
              </w:rPr>
              <w:t xml:space="preserve">Alcol / nicotina</w:t>
            </w:r>
          </w:p>
        </w:tc>
        <w:tc>
          <w:tcPr/>
          <w:p>
            <w:pPr>
              <w:pStyle w:val="Compact"/>
              <w:spacing w:after="40" w:before="40"/>
              <w:jc w:val="left"/>
            </w:pPr>
            <w:r>
              <w:rPr>
                <w:rFonts w:ascii="Cambria" w:hAnsi="Cambria" w:cs="Cambria" w:eastAsia="Cambria"/>
                <w:color w:val="1A1A1A"/>
                <w:sz w:val="18"/>
              </w:rPr>
              <w:t xml:space="preserve">DiGA Germania</w:t>
            </w:r>
          </w:p>
        </w:tc>
        <w:tc>
          <w:tcPr/>
          <w:p>
            <w:pPr>
              <w:pStyle w:val="Compact"/>
              <w:spacing w:after="40" w:before="40"/>
              <w:jc w:val="left"/>
            </w:pPr>
            <w:r>
              <w:rPr>
                <w:rFonts w:ascii="Cambria" w:hAnsi="Cambria" w:cs="Cambria" w:eastAsia="Cambria"/>
                <w:color w:val="1A1A1A"/>
                <w:sz w:val="18"/>
              </w:rPr>
              <w:t xml:space="preserve">Intervento comportamentale digitale</w:t>
            </w:r>
          </w:p>
        </w:tc>
        <w:tc>
          <w:tcPr/>
          <w:p>
            <w:pPr>
              <w:pStyle w:val="Compact"/>
              <w:spacing w:after="40" w:before="40"/>
              <w:jc w:val="left"/>
            </w:pPr>
            <w:r>
              <w:rPr>
                <w:rFonts w:ascii="Cambria" w:hAnsi="Cambria" w:cs="Cambria" w:eastAsia="Cambria"/>
                <w:color w:val="1A1A1A"/>
                <w:sz w:val="18"/>
              </w:rPr>
              <w:t xml:space="preserve">RCT (alcol); studio osservazionale (nicotina)</w:t>
            </w:r>
          </w:p>
        </w:tc>
        <w:tc>
          <w:tcPr/>
          <w:p>
            <w:pPr>
              <w:pStyle w:val="Compact"/>
              <w:spacing w:after="40" w:before="40"/>
              <w:jc w:val="left"/>
            </w:pPr>
            <w:r>
              <w:rPr>
                <w:rFonts w:ascii="Cambria" w:hAnsi="Cambria" w:cs="Cambria" w:eastAsia="Cambria"/>
                <w:color w:val="1A1A1A"/>
                <w:sz w:val="18"/>
              </w:rPr>
              <w:t xml:space="preserve">Rimborsato (DE)</w:t>
            </w:r>
          </w:p>
        </w:tc>
      </w:tr>
    </w:tbl>
    <w:p>
      <w:pPr>
        <w:pStyle w:val="BodyText"/>
      </w:pPr>
      <w:r>
        <w:rPr>
          <w:i/>
          <w:iCs/>
        </w:rPr>
        <w:t xml:space="preserve">Tabella 1. Quadro comparativo dei principali dispositivi terapeutici digitali in salute mentale e cure primarie. In azzurro i dispositivi autorizzati dalla FDA statunitense; in ambra le applicazioni iscritte nel registro tedesco DiGA. La dicitura «n.d.» indica che il dato sul rimborso non e stato reperito. Le date e i numeri sono ricavati dalle fonti citate nei paragrafi 1–3.</w:t>
      </w:r>
    </w:p>
    <w:bookmarkEnd w:id="1565"/>
    <w:bookmarkStart w:id="1569" w:name="X2da6f4c66e06c3a6a165fb905f1239e5f0d04b4"/>
    <w:p>
      <w:pPr>
        <w:pStyle w:val="Heading2"/>
      </w:pPr>
      <w:r>
        <w:t xml:space="preserve">5. La forza dell’evidenza: una valutazione critica</w:t>
      </w:r>
    </w:p>
    <w:p>
      <w:pPr>
        <w:pStyle w:val="FirstParagraph"/>
      </w:pPr>
      <w:r>
        <w:t xml:space="preserve">La pertinenza dei dispositivi terapeutici digitali per il servizio pubblico dipende dalla robustezza dell’evidenza che ne sostiene l’efficacia, ed è su questo punto che la categoria richiede la valutazione più attenta. Il quadro è disomogeneo. All’estremo superiore si collocano alcuni dispositivi sostenuti da studi controllati randomizzati ampi e, in un caso, da raccomandazioni di costo-efficacia di un istituto nazionale; al centro si colloca la maggioranza delle applicazioni del registro tedesco, per le quali è disponibile in prevalenza un singolo studio randomizzato con dimensione dell’effetto da bassa a media, in alcuni casi non ancora pubblicato;</w:t>
      </w:r>
      <w:r>
        <w:rPr>
          <w:rStyle w:val="FootnoteReference"/>
        </w:rPr>
        <w:footnoteReference w:id="717"/>
      </w:r>
      <w:r>
        <w:t xml:space="preserve"> </w:t>
      </w:r>
      <w:r>
        <w:t xml:space="preserve">all’estremo inferiore si trovano applicazioni la cui evidenza si fonda su studi osservazionali non controllati. La revisione sistematica più recente sulla robustezza dell’evidenza delle applicazioni rimborsabili tedesche conferma tale eterogeneità,</w:t>
      </w:r>
      <w:r>
        <w:rPr>
          <w:rStyle w:val="FootnoteReference"/>
        </w:rPr>
        <w:footnoteReference w:id="718"/>
      </w:r>
      <w:r>
        <w:t xml:space="preserve"> </w:t>
      </w:r>
      <w:r>
        <w:t xml:space="preserve">e l’avvertimento generale sulla maturità dell’evidenza nel campo dell’IA in sanità — una quota ridotta di dispositivi sostenuta da studi randomizzati e una trasparenza limitata sui dati — si estende, sia pure in misura minore, a questa categoria.</w:t>
      </w:r>
      <w:r>
        <w:rPr>
          <w:rStyle w:val="FootnoteReference"/>
        </w:rPr>
        <w:footnoteReference w:id="719"/>
      </w:r>
    </w:p>
    <w:p>
      <w:pPr>
        <w:pStyle w:val="BodyText"/>
      </w:pPr>
      <w:r>
        <w:t xml:space="preserve">Da questa valutazione discendono tre criteri operativi per la Regione. Il primo è di selezione: l’eventuale elenco regionale dovrebbe privilegiare i dispositivi sostenuti da studi controllati randomizzati pubblicati e, ove disponibili, da valutazioni di costo-efficacia indipendenti, escludendo quelli fondati su sola evidenza osservazionale. Il secondo è di validazione locale e monitoraggio prospettico degli esiti, mediante le stesse misure standardizzate già previste dal modello organizzativo, così da verificare nel contesto pugliese l’efficacia documentata altrove. Il terzo è di gradualità: l’adozione dovrebbe muovere dalle indicazioni a maggiore convergenza internazionale — in primo luogo l’insonnia, ma anche la depressione e l’ansia lievi e moderate — per estendersi alle altre soltanto a fronte di evidenza consolidata.</w:t>
      </w:r>
    </w:p>
    <w:bookmarkEnd w:id="1569"/>
    <w:bookmarkStart w:id="1576" w:name="X7cb262806cab677117c6b057c12e855d5156b40"/>
    <w:p>
      <w:pPr>
        <w:pStyle w:val="Heading2"/>
      </w:pPr>
      <w:r>
        <w:t xml:space="preserve">6. Modelli di rimborso e sostenibilità economica</w:t>
      </w:r>
    </w:p>
    <w:p>
      <w:pPr>
        <w:pStyle w:val="FirstParagraph"/>
      </w:pPr>
      <w:r>
        <w:t xml:space="preserve">La sostenibilità economica dei dispositivi terapeutici digitali dipende dall’esistenza di un meccanismo di rimborso, poiché in sua assenza il beneficio clinico non si traduce in beneficio di sistema e l’adozione resta sporadica. L’esperienza internazionale offre tre modelli. Il modello tedesco, fondato sull’iscrizione in un registro pubblico e sul rimborso da parte dell’assicurazione obbligatoria, è il più strutturato e ha reso accessibili i dispositivi a oltre settantatré milioni di persone;</w:t>
      </w:r>
      <w:r>
        <w:rPr>
          <w:rStyle w:val="FootnoteReference"/>
        </w:rPr>
        <w:footnoteReference w:id="720"/>
      </w:r>
      <w:r>
        <w:t xml:space="preserve"> </w:t>
      </w:r>
      <w:r>
        <w:t xml:space="preserve">il modello britannico, fondato sulla raccomandazione di costo-efficacia da parte dell’istituto nazionale, integra i dispositivi nei percorsi delle cure primarie ove risultino convenienti;</w:t>
      </w:r>
      <w:r>
        <w:rPr>
          <w:rStyle w:val="FootnoteReference"/>
        </w:rPr>
        <w:footnoteReference w:id="721"/>
      </w:r>
      <w:r>
        <w:t xml:space="preserve"> </w:t>
      </w:r>
      <w:r>
        <w:t xml:space="preserve">il modello statunitense, a lungo privo di un meccanismo dedicato, lo ha introdotto soltanto di recente con codici di rimborso pubblici e con l’avvio della copertura privata.</w:t>
      </w:r>
      <w:r>
        <w:rPr>
          <w:rStyle w:val="FootnoteReference"/>
        </w:rPr>
        <w:footnoteReference w:id="722"/>
      </w:r>
      <w:r>
        <w:t xml:space="preserve"> </w:t>
      </w:r>
      <w:r>
        <w:t xml:space="preserve">Per la Puglia, in assenza di un percorso nazionale, il modello tedesco costituisce il riferimento più trasferibile, sia perché opera entro il medesimo quadro europeo dei dispositivi medici, sia perché prevede la prescrizione da parte non solo dei medici ma anche degli psicoterapeuti, coerentemente con il ruolo dello psicologo di base.</w:t>
      </w:r>
    </w:p>
    <w:p>
      <w:pPr>
        <w:pStyle w:val="BodyText"/>
      </w:pPr>
      <w:r>
        <w:t xml:space="preserve">Sotto il profilo del risparmio, il contributo dei dispositivi terapeutici digitali si colloca su due canali già individuati nel capitolo integrativo. Sul canale della salute mentale, essi estendono la capacità di presa in carico del servizio per i casi lievi e moderati e nei tempi di attesa, operando come adiuvante o primo livello sotto supervisione, e concorrono così al risparmio incrementale stimato per tale canale; sul canale della farmaceutica, una migliore gestione non farmacologica dei disturbi mentali comuni e dell’insonnia riduce il ricorso inappropriato a psicofarmaci e ipnotici, concorrendo al risparmio stimato sulla spesa farmaceutica territoriale.</w:t>
      </w:r>
      <w:r>
        <w:rPr>
          <w:rStyle w:val="FootnoteReference"/>
        </w:rPr>
        <w:footnoteReference w:id="723"/>
      </w:r>
      <w:r>
        <w:t xml:space="preserve"> </w:t>
      </w:r>
      <w:r>
        <w:t xml:space="preserve">La letteratura economica conferma la plausibilità di questo effetto, avendo documentato come un trattamento della depressione assistito da tecnologie digitali possa contenere i costi a fronte di una variazione marginale degli esiti,</w:t>
      </w:r>
      <w:r>
        <w:rPr>
          <w:rStyle w:val="FootnoteReference"/>
        </w:rPr>
        <w:footnoteReference w:id="724"/>
      </w:r>
      <w:r>
        <w:t xml:space="preserve"> </w:t>
      </w:r>
      <w:r>
        <w:t xml:space="preserve">e come gli interventi digitali riducano la spesa prevalentemente attraverso la diminuzione degli accessi e delle prescrizioni non necessari.</w:t>
      </w:r>
      <w:r>
        <w:rPr>
          <w:rStyle w:val="FootnoteReference"/>
        </w:rPr>
        <w:footnoteReference w:id="725"/>
      </w:r>
    </w:p>
    <w:bookmarkEnd w:id="1576"/>
    <w:bookmarkStart w:id="1578" w:name="Xea98eef5f9c85251a5ff2ab24e033da202fc34c"/>
    <w:p>
      <w:pPr>
        <w:pStyle w:val="Heading2"/>
      </w:pPr>
      <w:r>
        <w:t xml:space="preserve">7. Applicazione al modello pugliese dello Psicologo di Base</w:t>
      </w:r>
    </w:p>
    <w:p>
      <w:pPr>
        <w:pStyle w:val="FirstParagraph"/>
      </w:pPr>
      <w:r>
        <w:t xml:space="preserve">La traduzione della categoria nel modello pugliese richiede di definire quali dispositivi adottare, come prescriverli, come integrarli nel percorso di cura, quali competenze presupporre e quale impatto economico attendersi. Sotto il profilo della selezione, l’analisi precedente suggerisce di muovere dalle indicazioni a maggiore convergenza internazionale e di privilegiare i dispositivi a evidenza più solida, costruendo un elenco regionale ristretto e progressivamente ampliabile. Sotto il profilo della prescrizione, il modello tedesco indica una via percorribile, nella quale lo psicologo di base e il medico di medicina generale prescrivono il dispositivo entro un percorso clinico definito, dopo l’inquadramento diagnostico e l’esclusione delle controindicazioni.</w:t>
      </w:r>
    </w:p>
    <w:p>
      <w:pPr>
        <w:pStyle w:val="BodyText"/>
      </w:pPr>
      <w:r>
        <w:t xml:space="preserve">Sotto il profilo dell’integrazione, i dispositivi terapeutici digitali si collocano naturalmente nella funzione di filtro e di presa in carico precoce già propria dello psicologo di base: possono essere proposti nei tempi di attesa tra la richiesta e il primo colloquio, impiegati come primo livello per i quadri più lievi sotto supervisione, o affiancati all’intervento in presenza come adiuvante per i quadri moderati, sempre con monitoraggio degli esiti mediante misure standardizzate. La tabella seguente sintetizza il modello operativo proposto.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Soluzione proposta per il servizio pugliese</w:t>
            </w:r>
          </w:p>
        </w:tc>
      </w:tr>
      <w:tr>
        <w:tc>
          <w:tcPr/>
          <w:p>
            <w:pPr>
              <w:pStyle w:val="Compact"/>
              <w:spacing w:after="40" w:before="40"/>
              <w:jc w:val="left"/>
            </w:pPr>
            <w:r>
              <w:rPr>
                <w:rFonts w:ascii="Cambria" w:hAnsi="Cambria" w:cs="Cambria" w:eastAsia="Cambria"/>
                <w:b/>
                <w:bCs/>
                <w:color w:val="1A1A1A"/>
                <w:sz w:val="18"/>
              </w:rPr>
              <w:t xml:space="preserve">Selezione</w:t>
            </w:r>
          </w:p>
        </w:tc>
        <w:tc>
          <w:tcPr/>
          <w:p>
            <w:pPr>
              <w:pStyle w:val="Compact"/>
              <w:spacing w:after="40" w:before="40"/>
              <w:jc w:val="left"/>
            </w:pPr>
            <w:r>
              <w:rPr>
                <w:rFonts w:ascii="Cambria" w:hAnsi="Cambria" w:cs="Cambria" w:eastAsia="Cambria"/>
                <w:color w:val="1A1A1A"/>
                <w:sz w:val="18"/>
              </w:rPr>
              <w:t xml:space="preserve">Elenco regionale ristretto, costruito su evidenza da studi randomizzati pubblicati e su conformita al Regolamento dispositivi medici e, ove pertinente, al Regolamento europeo sull’IA; avvio dalle indicazioni a maggiore convergenza (insonnia, depressione e ansia lievi-moderate).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Prescrizione</w:t>
            </w:r>
          </w:p>
        </w:tc>
        <w:tc>
          <w:tcPr>
            <w:shd w:val="clear" w:color="auto" w:fill="F4F1EC"/>
          </w:tcPr>
          <w:p>
            <w:pPr>
              <w:pStyle w:val="Compact"/>
              <w:spacing w:after="40" w:before="40"/>
              <w:jc w:val="left"/>
            </w:pPr>
            <w:r>
              <w:rPr>
                <w:rFonts w:ascii="Cambria" w:hAnsi="Cambria" w:cs="Cambria" w:eastAsia="Cambria"/>
                <w:color w:val="1A1A1A"/>
                <w:sz w:val="18"/>
              </w:rPr>
              <w:t xml:space="preserve">Prescrizione da parte dello psicologo di base e del medico di medicina generale, dopo inquadramento diagnostico ed esclusione delle controindicazioni (quadri psicotici, bipolari, da uso di sostanze, rischio suicidario).</w:t>
            </w:r>
          </w:p>
        </w:tc>
      </w:tr>
      <w:tr>
        <w:tc>
          <w:tcPr/>
          <w:p>
            <w:pPr>
              <w:pStyle w:val="Compact"/>
              <w:spacing w:after="40" w:before="40"/>
              <w:jc w:val="left"/>
            </w:pPr>
            <w:r>
              <w:rPr>
                <w:rFonts w:ascii="Cambria" w:hAnsi="Cambria" w:cs="Cambria" w:eastAsia="Cambria"/>
                <w:b/>
                <w:bCs/>
                <w:color w:val="1A1A1A"/>
                <w:sz w:val="18"/>
              </w:rPr>
              <w:t xml:space="preserve">Integrazione</w:t>
            </w:r>
          </w:p>
        </w:tc>
        <w:tc>
          <w:tcPr/>
          <w:p>
            <w:pPr>
              <w:pStyle w:val="Compact"/>
              <w:spacing w:after="40" w:before="40"/>
              <w:jc w:val="left"/>
            </w:pPr>
            <w:r>
              <w:rPr>
                <w:rFonts w:ascii="Cambria" w:hAnsi="Cambria" w:cs="Cambria" w:eastAsia="Cambria"/>
                <w:color w:val="1A1A1A"/>
                <w:sz w:val="18"/>
              </w:rPr>
              <w:t xml:space="preserve">Impiego nei tempi di attesa, come primo livello sotto supervisione per i quadri lievi, o come adiuvante dell’intervento in presenza per i quadri moderati; monitoraggio degli esiti con misure standardizzate.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Formazione</w:t>
            </w:r>
          </w:p>
        </w:tc>
        <w:tc>
          <w:tcPr>
            <w:shd w:val="clear" w:color="auto" w:fill="F4F1EC"/>
          </w:tcPr>
          <w:p>
            <w:pPr>
              <w:pStyle w:val="Compact"/>
              <w:spacing w:after="40" w:before="40"/>
              <w:jc w:val="left"/>
            </w:pPr>
            <w:r>
              <w:rPr>
                <w:rFonts w:ascii="Cambria" w:hAnsi="Cambria" w:cs="Cambria" w:eastAsia="Cambria"/>
                <w:color w:val="1A1A1A"/>
                <w:sz w:val="18"/>
              </w:rPr>
              <w:t xml:space="preserve">Formazione dei professionisti alla selezione del dispositivo appropriato, all’interpretazione degli esiti e alla gestione delle controindicazioni; accompagnamento operativo nelle prime settimane.</w:t>
            </w:r>
          </w:p>
        </w:tc>
      </w:tr>
      <w:tr>
        <w:tc>
          <w:tcPr/>
          <w:p>
            <w:pPr>
              <w:pStyle w:val="Compact"/>
              <w:spacing w:after="40" w:before="40"/>
              <w:jc w:val="left"/>
            </w:pPr>
            <w:r>
              <w:rPr>
                <w:rFonts w:ascii="Cambria" w:hAnsi="Cambria" w:cs="Cambria" w:eastAsia="Cambria"/>
                <w:b/>
                <w:bCs/>
                <w:color w:val="1A1A1A"/>
                <w:sz w:val="18"/>
              </w:rPr>
              <w:t xml:space="preserve">Impatto economico</w:t>
            </w:r>
          </w:p>
        </w:tc>
        <w:tc>
          <w:tcPr/>
          <w:p>
            <w:pPr>
              <w:pStyle w:val="Compact"/>
              <w:spacing w:after="40" w:before="40"/>
              <w:jc w:val="left"/>
            </w:pPr>
            <w:r>
              <w:rPr>
                <w:rFonts w:ascii="Cambria" w:hAnsi="Cambria" w:cs="Cambria" w:eastAsia="Cambria"/>
                <w:color w:val="1A1A1A"/>
                <w:sz w:val="18"/>
              </w:rPr>
              <w:t xml:space="preserve">Contributo ai canali «salute mentale» (estensione della capacita di presa in carico) e «farmaceutica» (riduzione del ricorso inappropriato a psicofarmaci e ipnotici) gia quantificati nel capitolo integrativo.</w:t>
            </w:r>
          </w:p>
        </w:tc>
      </w:tr>
    </w:tbl>
    <w:p>
      <w:pPr>
        <w:pStyle w:val="BodyText"/>
      </w:pPr>
      <w:r>
        <w:rPr>
          <w:i/>
          <w:iCs/>
        </w:rPr>
        <w:t xml:space="preserve">Tabella 2. Modello operativo proposto per l’integrazione dei dispositivi terapeutici digitali nel servizio di psicologia di base pugliese.</w:t>
      </w:r>
    </w:p>
    <w:p>
      <w:pPr>
        <w:pStyle w:val="BodyText"/>
      </w:pPr>
      <w:r>
        <w:t xml:space="preserve">Sotto il profilo della formazione, l’adozione dei dispositivi terapeutici digitali presuppone competenze specifiche che rientrano nell’architettura formativa già delineata: la capacità di selezionare il dispositivo appropriato all’indicazione e al profilo del paziente, di escludere le controindicazioni, di integrarlo nel percorso e di interpretarne gli esiti. Tali competenze sono generabili attraverso la formazione continua e l’accompagnamento operativo, e il personale può attingere ai percorsi formativi già disponibili presso le istituzioni sanitarie nazionali.</w:t>
      </w:r>
      <w:r>
        <w:rPr>
          <w:rStyle w:val="FootnoteReference"/>
        </w:rPr>
        <w:footnoteReference w:id="726"/>
      </w:r>
      <w:r>
        <w:t xml:space="preserve"> </w:t>
      </w:r>
      <w:r>
        <w:t xml:space="preserve">Sotto il profilo economico, infine, il contributo dei dispositivi terapeutici digitali è già ricompreso nei canali «salute mentale» e «farmaceutica» della quantificazione del capitolo integrativo, e non va pertanto sommato a essa, ma ne costituisce una delle componenti operative; la presente analisi ne precisa gli strumenti concreti e le condizioni di adozione.</w:t>
      </w:r>
    </w:p>
    <w:bookmarkEnd w:id="1578"/>
    <w:bookmarkStart w:id="1582" w:name="X319f0effd40a7e374d3db43e4a36991ef3629cf"/>
    <w:p>
      <w:pPr>
        <w:pStyle w:val="Heading2"/>
      </w:pPr>
      <w:r>
        <w:t xml:space="preserve">8. Cautele e condizioni di impiego responsabile</w:t>
      </w:r>
    </w:p>
    <w:p>
      <w:pPr>
        <w:pStyle w:val="FirstParagraph"/>
      </w:pPr>
      <w:r>
        <w:t xml:space="preserve">L’adozione dei dispositivi terapeutici digitali richiede l’osservanza di alcune cautele, che ne condizionano l’impiego responsabile e la sostenibilità nel tempo. La prima riguarda l’evidenza, disomogenea e in evoluzione, e impone i criteri di selezione, validazione locale e gradualità già illustrati. La seconda riguarda la protezione dei dati e la riservatezza: i dispositivi raccolgono informazioni cliniche sensibili, e la loro adozione presuppone garanzie robuste di sicurezza informatica, trasparenza sul trattamento dei dati e consenso informato espresso in forma chiara, profili che il quadro europeo e nazionale disciplina e che la Regione dovrà presidiare. La terza riguarda l’equità digitale: l’efficacia dei dispositivi presuppone una sufficiente alfabetizzazione e dotazione tecnologica del paziente, e il loro impiego non deve generare disuguaglianze a danno delle persone anziane, fragili o a bassa competenza digitale, per le quali va sempre garantita l’alternativa dell’intervento in presenza.</w:t>
      </w:r>
    </w:p>
    <w:p>
      <w:pPr>
        <w:pStyle w:val="BodyText"/>
      </w:pPr>
      <w:r>
        <w:t xml:space="preserve">La quarta cautela, dirimente, riguarda la supervisione clinica e il ruolo del professionista. I dispositivi terapeutici digitali sono concepiti per operare entro un percorso di cura e sotto supervisione, non in autonomia, e le diagnosi di esclusione ne confinano l’impiego ai quadri lievi e moderati;</w:t>
      </w:r>
      <w:r>
        <w:rPr>
          <w:rStyle w:val="FootnoteReference"/>
        </w:rPr>
        <w:footnoteReference w:id="727"/>
      </w:r>
      <w:r>
        <w:t xml:space="preserve"> </w:t>
      </w:r>
      <w:r>
        <w:t xml:space="preserve">la stessa evidenza più avanzata sugli agenti conversazionali generativi conferma che nessuno strumento è oggi idoneo a operare senza supervisione in salute mentale.</w:t>
      </w:r>
      <w:r>
        <w:rPr>
          <w:rStyle w:val="FootnoteReference"/>
        </w:rPr>
        <w:footnoteReference w:id="728"/>
      </w:r>
      <w:r>
        <w:t xml:space="preserve"> </w:t>
      </w:r>
      <w:r>
        <w:t xml:space="preserve">Ne discende che il dispositivo non sostituisce lo psicologo di base, ma ne estende la capacità di presa in carico, e che la competenza del professionista — nella selezione, nella supervisione e nel riconoscimento dei casi che richiedono l’intervento diretto — è parte integrante della sicurezza del sistema. La quinta cautela, infine, è la conformità regolatoria: i dispositivi che incorporano IA adattiva dovranno essere conformi al Regolamento europeo sull’IA entro le scadenze previste,</w:t>
      </w:r>
      <w:r>
        <w:rPr>
          <w:rStyle w:val="FootnoteReference"/>
        </w:rPr>
        <w:footnoteReference w:id="729"/>
      </w:r>
      <w:r>
        <w:t xml:space="preserve"> </w:t>
      </w:r>
      <w:r>
        <w:t xml:space="preserve">e la selezione regionale dovrà verificarne il rispetto.</w:t>
      </w:r>
    </w:p>
    <w:bookmarkEnd w:id="1582"/>
    <w:bookmarkStart w:id="1583" w:name="conclusioni-1"/>
    <w:p>
      <w:pPr>
        <w:pStyle w:val="Heading2"/>
      </w:pPr>
      <w:r>
        <w:t xml:space="preserve">9. Conclusioni</w:t>
      </w:r>
    </w:p>
    <w:p>
      <w:pPr>
        <w:pStyle w:val="FirstParagraph"/>
      </w:pPr>
      <w:r>
        <w:t xml:space="preserve">I dispositivi terapeutici digitali su prescrizione costituiscono una categoria matura sotto il profilo regolatorio e di crescente rilievo clinico, particolarmente pertinente per il servizio di psicologia di base in ragione della loro efficacia documentata sui disturbi mentali comuni — depressione, ansia, insonnia — che sono i più frequenti nelle cure primarie. L’esperienza internazionale, e in primo luogo il modello tedesco, dimostra che tali dispositivi possono essere prescritti dai professionisti, incluso lo psicologo, e rimborsati dal sistema sanitario, estendendo la capacità di presa in carico senza sostituire la relazione clinica. Per la Puglia, in assenza di un percorso nazionale, si apre la possibilità di un ruolo pilota: la costruzione, in via sperimentale e nel rispetto della disciplina europea, di un elenco regionale di dispositivi validati prescrivibili nell’ambito del servizio di psicologia di base, accompagnata da criteri rigorosi di selezione, prescrizione, supervisione e monitoraggio.</w:t>
      </w:r>
    </w:p>
    <w:p>
      <w:pPr>
        <w:pStyle w:val="BodyText"/>
      </w:pPr>
      <w:r>
        <w:t xml:space="preserve">Tre condizioni rendono questa prospettiva concreta e responsabile. La selezione fondata sull’evidenza più solida e sulla conformità regolatoria; la formazione dei professionisti alla selezione, alla supervisione e all’interpretazione degli esiti, generabile attraverso la formazione continua e l’accompagnamento; e la salvaguardia dell’equità e della centralità della relazione clinica, mediante la garanzia costante dell’alternativa in presenza per le persone a bassa competenza digitale. A queste condizioni, i dispositivi terapeutici digitali concorrono al risparmio già quantificato sui canali della salute mentale e della farmaceutica, e contribuiscono a fare del servizio di psicologia di base pugliese un modello avanzato e sostenibile di integrazione tra intervento professionale e strumenti digitali validati.</w:t>
      </w:r>
    </w:p>
    <w:p>
      <w:r>
        <w:br w:type="page"/>
      </w:r>
    </w:p>
    <w:bookmarkEnd w:id="1583"/>
    <w:bookmarkEnd w:id="1584"/>
    <w:bookmarkStart w:id="1851" w:name="X7b80364fc9e250c69f22e09cd110787e3ee28b9"/>
    <w:p>
      <w:pPr>
        <w:pStyle w:val="Heading1"/>
      </w:pPr>
      <w:r>
        <w:t xml:space="preserve">Appendice XVI — Lo studio HTA regionale integrale (telaio HTA · Five Case Model · CHEERS 2022 · criteri OCSE-DAC)</w:t>
      </w:r>
    </w:p>
    <w:p>
      <w:pPr>
        <w:pStyle w:val="FirstParagraph"/>
      </w:pPr>
      <w:r>
        <w:t xml:space="preserve">L’appendice consolida nel volume, come corpo unitario, lo studio di valutazione delle tecnologie sanitarie condotto sul telaio formale internazionale, a presidio metodologico complementare dello Studio Integrale. La Parte D — Efficacia ed evidenza — non è qui riprodotta, in ossequio alla regola di non duplicazione, essendo già consolidata quale Appendice VII del presente volume, alla quale si rinvia. Le Note Bibliografiche Integrali dello studio, con mini-riassunto allegato al nome e al collegamento di ciascuna fonte, chiudono l’appendice.</w:t>
      </w:r>
    </w:p>
    <w:bookmarkStart w:id="1604" w:name="parte-a-quadro-quesito-e-metodo"/>
    <w:p>
      <w:pPr>
        <w:pStyle w:val="Heading2"/>
      </w:pPr>
      <w:r>
        <w:t xml:space="preserve">Parte A — Quadro, quesito e metodo</w:t>
      </w:r>
    </w:p>
    <w:p>
      <w:pPr>
        <w:pStyle w:val="FirstParagraph"/>
      </w:pPr>
      <w:r>
        <w:t xml:space="preserve">Studio regionale Puglia · Parte A · Quadro, quesito e metodo</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dei dati ed etica</w:t>
      </w:r>
    </w:p>
    <w:p>
      <w:pPr>
        <w:pStyle w:val="BodyText"/>
      </w:pPr>
      <w:r>
        <w:t xml:space="preserve">Primo volume dello studio integrale, modello dimostrativo per le altre Regioni</w:t>
      </w:r>
    </w:p>
    <w:p>
      <w:pPr>
        <w:pStyle w:val="BodyText"/>
      </w:pPr>
      <w:r>
        <w:rPr>
          <w:b/>
          <w:bCs/>
        </w:rPr>
        <w:t xml:space="preserve">Indice</w:t>
      </w:r>
    </w:p>
    <w:bookmarkStart w:id="1603" w:name="parte-a-quadro-quesito-e-metodo-1"/>
    <w:p>
      <w:pPr>
        <w:pStyle w:val="Heading3"/>
      </w:pPr>
      <w:r>
        <w:t xml:space="preserve">Parte A — Quadro, quesito e metodo</w:t>
      </w:r>
    </w:p>
    <w:p>
      <w:pPr>
        <w:pStyle w:val="FirstParagraph"/>
      </w:pPr>
      <w:r>
        <w:t xml:space="preserve">Questa è la prima parte dello studio integrale per la Puglia, applicazione dimostrativa del telaio integrato che sarà esteso a tutte le Regioni. Nell’architettura adottata essa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che seguiranno per le altre Regioni.</w:t>
      </w:r>
    </w:p>
    <w:bookmarkStart w:id="1590" w:name="Xbf179aa01538e10d1fb064e2923aa965a94c2f5"/>
    <w:p>
      <w:pPr>
        <w:pStyle w:val="Heading4"/>
      </w:pPr>
      <w:r>
        <w:t xml:space="preserve">A.1 Scopo, quesito di valutazione e standard adottati</w:t>
      </w:r>
    </w:p>
    <w:p>
      <w:pPr>
        <w:pStyle w:val="FirstParagraph"/>
      </w:pPr>
      <w:r>
        <w:t xml:space="preserve">Lo studio ha per oggetto la riforma dello psicologo di base istituita in Puglia dalla legge regionale n. 11 del 2023, la prima in Italia, e ne valuta il valore nelle dimensioni clinica, economica, organizzativa, sociale, etica e giuridica, allo scopo di informare la decisione sul portare il servizio a regime.</w:t>
      </w:r>
      <w:r>
        <w:rPr>
          <w:rStyle w:val="FootnoteReference"/>
        </w:rPr>
        <w:footnoteReference w:id="730"/>
      </w:r>
      <w:r>
        <w:t xml:space="preserve"> </w:t>
      </w:r>
      <w:r>
        <w:t xml:space="preserve">La premessa che orienta l’intero studio è che la decisione rilevante non è se istituire il servizio — già stabilito per legge — ma se e come dimensionarlo: il servizio attuale, con circa 45 incarichi e uno stanziamento di 1,5 milioni di euro, copre infatti circa il 5% di un fabbisogno stimato nell’ordine di 800–900 psicologi per l’intera regione.</w:t>
      </w:r>
      <w:r>
        <w:rPr>
          <w:rStyle w:val="FootnoteReference"/>
        </w:rPr>
        <w:footnoteReference w:id="731"/>
      </w:r>
      <w:r>
        <w:t xml:space="preserve"> </w:t>
      </w:r>
      <w:r>
        <w:t xml:space="preserve">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780.000 persone, si somma un’utenza specialistica di circa 55.000 persone in carico ai Dipartimenti di Salute Mentale, con quasi diciannovemila nuovi utenti l’anno.</w:t>
      </w:r>
      <w:r>
        <w:rPr>
          <w:rStyle w:val="FootnoteReference"/>
        </w:rPr>
        <w:footnoteReference w:id="732"/>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 è ciò che il quesito di valutazione, formulato qui di seguito, mette a fuoco.</w:t>
      </w:r>
    </w:p>
    <w:p>
      <w:pPr>
        <w:pStyle w:val="BodyText"/>
      </w:pPr>
      <w:r>
        <w:t xml:space="preserve">Il quesito è articolato secondo lo schema che ne fissa gli elementi costitutivi — popolazione, intervento, confronto, esiti, tempi e contesto. La popolazione è costituita dai residenti pugliesi con bisogno psicologico comune, e in seconda istanza dall’intera popolazione per gli effetti di sistema. L’intervento è lo psicologo di base nelle cure primarie, come primo livello di ascolto, intercettazione precoce e filtro, portato a regime. Il confronto è il servizio attuale, ovvero la sua sostanziale assenza a regime. Gli esiti sono clinici, economici, sociali e di sistema. I tempi distinguono l’orizzonte pluriennale degli esiti dall’orizzonte triennale-quinquennale del bilancio. Il contesto è il Servizio sanitario della Puglia, con le sue sei aziende e i suoi quarantacinque distretti.</w:t>
      </w:r>
      <w:r>
        <w:rPr>
          <w:rStyle w:val="FootnoteReference"/>
        </w:rPr>
        <w:footnoteReference w:id="733"/>
      </w:r>
      <w:r>
        <w:t xml:space="preserve"> </w:t>
      </w:r>
      <w:r>
        <w:t xml:space="preserve">La tabella seguente riepiloga gli elementi del quesito.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la Puglia</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pugliesi con disagio psichico comune (~780.000);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Psicologo di base nelle cure primarie, primo livello e filtro, portato a regime (~450/700/900 incarichi)</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Servizio attuale (~45 incarichi, ~5% del fabbisogno) ovvero assenza del servizio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mobilità)</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Servizio sanitario regionale della Puglia; sei aziende, quarantacinque distretti, Case della Comunità</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734"/>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590"/>
    <w:bookmarkStart w:id="1597" w:name="a.2-il-caso-di-riferimento-e-i-metodi"/>
    <w:p>
      <w:pPr>
        <w:pStyle w:val="Heading4"/>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w:t>
      </w:r>
      <w:r>
        <w:rPr>
          <w:rStyle w:val="FootnoteReference"/>
        </w:rPr>
        <w:footnoteReference w:id="735"/>
      </w:r>
      <w:r>
        <w:t xml:space="preserve"> </w:t>
      </w:r>
      <w:r>
        <w:t xml:space="preserve">Le unità di analisi sono la regione e, in disaggregazione, le aziende e i distretti, per dare conto anche dei divari territoriali interni.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Servizio attuale, ovvero assenza del servizio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Regione, con disaggregazione per azienda e distretto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A presidio dell’attendibilità, il modello incorpora una correzione prudenziale per la tendenza, documentata nella letteratura sulla valutazione degli investimenti pubblici, a sottostimare i costi e a sovrastimare i benefici, adottando per le conclusioni il valore centrale o l’estremo conservativo dell’intervallo.</w:t>
      </w:r>
      <w:r>
        <w:rPr>
          <w:rStyle w:val="FootnoteReference"/>
        </w:rPr>
        <w:footnoteReference w:id="736"/>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737"/>
      </w:r>
      <w:r>
        <w:t xml:space="preserve"> </w:t>
      </w:r>
      <w:r>
        <w:t xml:space="preserve">Decisivo per la Puglia è il disegno controfattuale: il dispiegamento scaglionato del servizio tra le sei aziende, attivate in tempi diversi, funge da esperimento naturale e consente di stimare l’effetto causale con i metodi della differenza-nelle-differenze e del controllo sintetico.</w:t>
      </w:r>
      <w:r>
        <w:rPr>
          <w:rStyle w:val="FootnoteReference"/>
        </w:rPr>
        <w:footnoteReference w:id="738"/>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sociale monetizzato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e governo dell’incertezza</w:t>
            </w:r>
          </w:p>
        </w:tc>
      </w:tr>
      <w:tr>
        <w:tc>
          <w:tcPr/>
          <w:p>
            <w:pPr>
              <w:pStyle w:val="Compact"/>
              <w:spacing w:after="40" w:before="40"/>
              <w:jc w:val="left"/>
            </w:pPr>
            <w:r>
              <w:rPr>
                <w:rFonts w:ascii="Cambria" w:hAnsi="Cambria" w:cs="Cambria" w:eastAsia="Cambria"/>
                <w:b/>
                <w:bCs/>
                <w:color w:val="1A1A1A"/>
                <w:sz w:val="18"/>
              </w:rPr>
              <w:t xml:space="preserve">Costo-efficacia distributiva</w:t>
            </w:r>
          </w:p>
        </w:tc>
        <w:tc>
          <w:tcPr/>
          <w:p>
            <w:pPr>
              <w:pStyle w:val="Compact"/>
              <w:spacing w:after="40" w:before="40"/>
              <w:jc w:val="left"/>
            </w:pPr>
            <w:r>
              <w:rPr>
                <w:rFonts w:ascii="Cambria" w:hAnsi="Cambria" w:cs="Cambria" w:eastAsia="Cambria"/>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Equità e impatto distributivo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Inferenza causale</w:t>
            </w:r>
          </w:p>
        </w:tc>
        <w:tc>
          <w:tcPr>
            <w:shd w:val="clear" w:color="auto" w:fill="F4F1EC"/>
          </w:tcPr>
          <w:p>
            <w:pPr>
              <w:pStyle w:val="Compact"/>
              <w:spacing w:after="40" w:before="40"/>
              <w:jc w:val="left"/>
            </w:pPr>
            <w:r>
              <w:rPr>
                <w:rFonts w:ascii="Cambria" w:hAnsi="Cambria" w:cs="Cambria" w:eastAsia="Cambria"/>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Effetto reale dell’intervento</w:t>
            </w:r>
          </w:p>
        </w:tc>
      </w:tr>
      <w:tr>
        <w:tc>
          <w:tcPr/>
          <w:p>
            <w:pPr>
              <w:pStyle w:val="Compact"/>
              <w:spacing w:after="40" w:before="40"/>
              <w:jc w:val="left"/>
            </w:pPr>
            <w:r>
              <w:rPr>
                <w:rFonts w:ascii="Cambria" w:hAnsi="Cambria" w:cs="Cambria" w:eastAsia="Cambria"/>
                <w:b/>
                <w:bCs/>
                <w:color w:val="1A1A1A"/>
                <w:sz w:val="18"/>
              </w:rPr>
              <w:t xml:space="preserve">Revisione sistematica e GRADE</w:t>
            </w:r>
          </w:p>
        </w:tc>
        <w:tc>
          <w:tcPr/>
          <w:p>
            <w:pPr>
              <w:pStyle w:val="Compact"/>
              <w:spacing w:after="40" w:before="40"/>
              <w:jc w:val="left"/>
            </w:pPr>
            <w:r>
              <w:rPr>
                <w:rFonts w:ascii="Cambria" w:hAnsi="Cambria" w:cs="Cambria" w:eastAsia="Cambria"/>
                <w:color w:val="1A1A1A"/>
                <w:sz w:val="18"/>
              </w:rPr>
              <w:t xml:space="preserve">Parte D</w:t>
            </w:r>
          </w:p>
        </w:tc>
        <w:tc>
          <w:tcPr/>
          <w:p>
            <w:pPr>
              <w:pStyle w:val="Compact"/>
              <w:spacing w:after="40" w:before="40"/>
              <w:jc w:val="left"/>
            </w:pPr>
            <w:r>
              <w:rPr>
                <w:rFonts w:ascii="Cambria" w:hAnsi="Cambria" w:cs="Cambria" w:eastAsia="Cambria"/>
                <w:color w:val="1A1A1A"/>
                <w:sz w:val="18"/>
              </w:rPr>
              <w:t xml:space="preserve">Sintesi e certezza dell’evidenza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multi-criterio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c>
          <w:tcPr>
            <w:shd w:val="clear" w:color="auto" w:fill="F4F1EC"/>
          </w:tcPr>
          <w:p>
            <w:pPr>
              <w:pStyle w:val="Compact"/>
              <w:spacing w:after="40" w:before="40"/>
              <w:jc w:val="left"/>
            </w:pPr>
            <w:r>
              <w:rPr>
                <w:rFonts w:ascii="Cambria" w:hAnsi="Cambria" w:cs="Cambria" w:eastAsia="Cambria"/>
                <w:color w:val="1A1A1A"/>
                <w:sz w:val="18"/>
              </w:rPr>
              <w:t xml:space="preserve">Sintesi dei criteri non monetari</w:t>
            </w:r>
          </w:p>
        </w:tc>
      </w:tr>
      <w:tr>
        <w:tc>
          <w:tcPr/>
          <w:p>
            <w:pPr>
              <w:pStyle w:val="Compact"/>
              <w:spacing w:after="40" w:before="40"/>
              <w:jc w:val="left"/>
            </w:pPr>
            <w:r>
              <w:rPr>
                <w:rFonts w:ascii="Cambria" w:hAnsi="Cambria" w:cs="Cambria" w:eastAsia="Cambria"/>
                <w:b/>
                <w:bCs/>
                <w:color w:val="1A1A1A"/>
                <w:sz w:val="18"/>
              </w:rPr>
              <w:t xml:space="preserve">Analisi di impatto della regolazione</w:t>
            </w:r>
          </w:p>
        </w:tc>
        <w:tc>
          <w:tcPr/>
          <w:p>
            <w:pPr>
              <w:pStyle w:val="Compact"/>
              <w:spacing w:after="40" w:before="40"/>
              <w:jc w:val="left"/>
            </w:pPr>
            <w:r>
              <w:rPr>
                <w:rFonts w:ascii="Cambria" w:hAnsi="Cambria" w:cs="Cambria" w:eastAsia="Cambria"/>
                <w:color w:val="1A1A1A"/>
                <w:sz w:val="18"/>
              </w:rPr>
              <w:t xml:space="preserve">Parti L, M</w:t>
            </w:r>
          </w:p>
        </w:tc>
        <w:tc>
          <w:tcPr/>
          <w:p>
            <w:pPr>
              <w:pStyle w:val="Compact"/>
              <w:spacing w:after="40" w:before="40"/>
              <w:jc w:val="left"/>
            </w:pPr>
            <w:r>
              <w:rPr>
                <w:rFonts w:ascii="Cambria" w:hAnsi="Cambria" w:cs="Cambria" w:eastAsia="Cambria"/>
                <w:color w:val="1A1A1A"/>
                <w:sz w:val="18"/>
              </w:rPr>
              <w:t xml:space="preserve">Valutazione ex ante ed ex post</w:t>
            </w:r>
          </w:p>
        </w:tc>
      </w:tr>
    </w:tbl>
    <w:p>
      <w:pPr>
        <w:pStyle w:val="BodyText"/>
      </w:pPr>
      <w:r>
        <w:rPr>
          <w:i/>
          <w:iCs/>
        </w:rPr>
        <w:t xml:space="preserve">Tabella A.3. L</w:t>
      </w:r>
      <w:r>
        <w:rPr>
          <w:b/>
          <w:bCs/>
          <w:i/>
          <w:iCs/>
        </w:rPr>
        <w:t xml:space="preserve">’</w:t>
      </w:r>
      <w:r>
        <w:rPr>
          <w:i/>
          <w:iCs/>
        </w:rPr>
        <w:t xml:space="preserve">innesto delle metodologie nelle parti dello studio.</w:t>
      </w:r>
    </w:p>
    <w:p>
      <w:pPr>
        <w:pStyle w:val="BodyText"/>
      </w:pPr>
      <w:r>
        <w:t xml:space="preserve">Resta da dichiarare la natura dei dati, con la franchezza che la credibilità dello studio richiede. I valori economici oggi impiegati sono in parte ricostruiti dai conti nazionali per quota di popolazione, e non estratti dai conti regionali certificati; una specifica di estrazione, già predisposta per l’agenzia regionale e per le aziende sanitarie, individua i dati da acquisire a sostituzione dei parametri stimati.</w:t>
      </w:r>
      <w:r>
        <w:rPr>
          <w:rStyle w:val="FootnoteReference"/>
        </w:rPr>
        <w:footnoteReference w:id="739"/>
      </w:r>
      <w:r>
        <w:t xml:space="preserve"> </w:t>
      </w:r>
      <w:r>
        <w:t xml:space="preserve">Quanto al riferimento economico, lo studio adotta la stima conservativa consolidata, che distingue il risparmio diretto per il bilancio — prossimo al pareggio con il costo — dalle ricadute economico-sociali, da cui proviene il ritorno complessivo; la stima più ottimistica è conservata come limite superiore. Le cifre, in questa fase, sono ipotesi che lo studio è chiamato a verificare sui dati certificati: è la trasformazione delle stime in prove che il disegno della valutazione persegue.</w:t>
      </w:r>
      <w:r>
        <w:rPr>
          <w:rStyle w:val="FootnoteReference"/>
        </w:rPr>
        <w:footnoteReference w:id="740"/>
      </w:r>
    </w:p>
    <w:bookmarkEnd w:id="1597"/>
    <w:bookmarkStart w:id="1602" w:name="X5a4d6cc3237cc13bcd414433e159e8660fe2c2a"/>
    <w:p>
      <w:pPr>
        <w:pStyle w:val="Heading4"/>
      </w:pPr>
      <w:r>
        <w:t xml:space="preserve">A.3 Governance dei dati, etica e protezione</w:t>
      </w:r>
    </w:p>
    <w:p>
      <w:pPr>
        <w:pStyle w:val="FirstParagraph"/>
      </w:pPr>
      <w:r>
        <w:t xml:space="preserve">Lo studio e la rilevazione che lo alimenta sono condotti sotto garanzie di governo e di etica che ne assicurano la legittimità e l’imparzialità. La conduzione è affidata a un comitato di indirizzo, che riunisce la Regione e le aziende sanitarie, l’Ordine degli Psicologi, le università e le istituzioni scientifiche, e a un responsabile scientifico che ne assicura il rigore metodologico; il raccordo con la riforma è garantito dall’Osservatorio regionale previsto dalla legge.</w:t>
      </w:r>
      <w:r>
        <w:rPr>
          <w:rStyle w:val="FootnoteReference"/>
        </w:rPr>
        <w:footnoteReference w:id="741"/>
      </w:r>
      <w:r>
        <w:t xml:space="preserve"> </w:t>
      </w:r>
      <w:r>
        <w:t xml:space="preserve">Sul piano etico, lo studio si colloca nel dominio che la valutazione di tecnologia sanitaria dedica ai profili etici: l’equità di accesso, l’autonomia della persona e la tutela del consenso. È sottoposto all’approvazione del comitato etico territorialmente competente, prevede il consenso informato dei partecipanti e rende pubblici gli esiti indipendentemente dal loro segno, a garanzia contro la distorsione da selezione dei risultati favorevoli.</w:t>
      </w:r>
    </w:p>
    <w:p>
      <w:pPr>
        <w:pStyle w:val="BodyText"/>
      </w:pPr>
      <w:r>
        <w:t xml:space="preserve">La protezione dei dati personali è presidiata per disegno, non aggiunta a posteriori. Il trattamento è conforme alla normativa vigente, con minimizzazione, limitazione della finalità e misure di sicurezza; i dati individuali restano nel servizio per la sola finalità clinica e non sono mai trasmessi come tali. All’Osservatorio, e a ogni livello di analisi aggregata, sono comunicati esclusivamente indicatori aggregati e anonimi, dai quali non è possibile risalire alla persona.</w:t>
      </w:r>
      <w:r>
        <w:rPr>
          <w:rStyle w:val="FootnoteReference"/>
        </w:rPr>
        <w:footnoteReference w:id="742"/>
      </w:r>
      <w:r>
        <w:t xml:space="preserve"> </w:t>
      </w:r>
      <w:r>
        <w:t xml:space="preserve">Il sistema informativo è interoperabile con il Fascicolo Sanitario Elettronico, in modo da assicurare la continuità della presa in carico con la medicina generale e i servizi specialistici, ed è ospitato su infrastruttura regionale sicura; il consenso è modulare, sicché la persona può acconsentire distintamente ai diversi trattamenti. La protezione dei dati è, in questo studio, una condizione di legittimità e insieme di fiducia: senza la seconda, la rilevazione di esito che fonda l’intera valutazione non sarebbe sostenibile nel tempo.</w:t>
      </w:r>
    </w:p>
    <w:p>
      <w:pPr>
        <w:pStyle w:val="BodyText"/>
      </w:pPr>
      <w:r>
        <w:t xml:space="preserve">Due ambiti richiedono garanzie ulteriori e specifiche. Il primo riguarda gli strumenti di intelligenza artificiale, che lo studio considera nel solo ruolo di ausilio del professionista — un copilota che riassume, segnala, propone — e mai in sua sostituzione, con sorveglianza umana costante secondo il principio della persona nel circuito di decisione. Tali strumenti sono ammessi se conformi al regolamento europeo sull’IA e alla disciplina sui dispositivi medici, e sono sottoposti a validazione periodica e a monitoraggio dei bias; è auspicata l’istituzione di un comitato etico-scientifico per l’IA in sanità, con l’agenzia regionale e le università, e la legge nazionale sull’IA agevola la sperimentazione qualificando i relativi trattamenti come di rilevante interesse pubblico.</w:t>
      </w:r>
      <w:r>
        <w:rPr>
          <w:rStyle w:val="FootnoteReference"/>
        </w:rPr>
        <w:footnoteReference w:id="743"/>
      </w:r>
    </w:p>
    <w:p>
      <w:pPr>
        <w:pStyle w:val="BodyText"/>
      </w:pPr>
      <w:r>
        <w:t xml:space="preserve">Il secondo ambito riguarda la tutela dei minori e delle persone vulnerabili, ed è oggetto della massima cautela. Gli strumenti di esito sono impiegati nei soli punteggi complessivi, a fini di monitoraggio dell’andamento clinico, e non per registrare contenuti sensibili. Le situazioni di rischio per sé o per altri sono indirizzate senza indugio ai servizi specialistici e, ove necessario, ai percorsi dell’emergenza, in raccordo con il medico curante, senza che lo studio registri o tratti il dettaglio delle modalità: è una garanzia di sicurezza clinica e, insieme, di dignità della persona.</w:t>
      </w:r>
      <w:r>
        <w:rPr>
          <w:rStyle w:val="FootnoteReference"/>
        </w:rPr>
        <w:footnoteReference w:id="744"/>
      </w:r>
      <w:r>
        <w:t xml:space="preserve"> </w:t>
      </w:r>
      <w:r>
        <w:t xml:space="preserve">Con la definizione di queste garanzie si chiude la parte fondativa dello studio: stabilito che cosa si valuta, come e sotto quali tutele, le parti successive possono procedere all’analisi dei domini, a partire dal problema di salute e dal contesto pugliese.</w:t>
      </w:r>
    </w:p>
    <w:bookmarkEnd w:id="1602"/>
    <w:bookmarkEnd w:id="1603"/>
    <w:bookmarkEnd w:id="1604"/>
    <w:bookmarkStart w:id="1631" w:name="parte-b-bisogno-e-contesto"/>
    <w:p>
      <w:pPr>
        <w:pStyle w:val="Heading2"/>
      </w:pPr>
      <w:r>
        <w:t xml:space="preserve">Parte B — Bisogno e contesto</w:t>
      </w:r>
    </w:p>
    <w:p>
      <w:pPr>
        <w:pStyle w:val="FirstParagraph"/>
      </w:pPr>
      <w:r>
        <w:t xml:space="preserve">Studio regionale Puglia · Parte B · Problema di salute, bisogno e contesto</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Profilo demografico, epidemiologia del bisogno, domanda e offerta, disuguaglianze, servizi e flussi, cornice normativa</w:t>
      </w:r>
    </w:p>
    <w:p>
      <w:pPr>
        <w:pStyle w:val="BodyText"/>
      </w:pPr>
      <w:r>
        <w:t xml:space="preserve">Dominio 1 del modello HTA · caso strategico · criteri di rilevanza e coerenza</w:t>
      </w:r>
    </w:p>
    <w:p>
      <w:pPr>
        <w:pStyle w:val="BodyText"/>
      </w:pPr>
      <w:r>
        <w:rPr>
          <w:b/>
          <w:bCs/>
        </w:rPr>
        <w:t xml:space="preserve">Indice</w:t>
      </w:r>
    </w:p>
    <w:bookmarkStart w:id="1630" w:name="X447242122b1f74f81062061830309c3c36f33d2"/>
    <w:p>
      <w:pPr>
        <w:pStyle w:val="Heading3"/>
      </w:pPr>
      <w:r>
        <w:t xml:space="preserve">Parte B — Problema di salute, bisogno e contesto</w:t>
      </w:r>
    </w:p>
    <w:p>
      <w:pPr>
        <w:pStyle w:val="FirstParagraph"/>
      </w:pPr>
      <w:r>
        <w:t xml:space="preserve">Questa parte corrisponde, nel telaio integrato, al primo dominio della valutazione di tecnologia sanitaria — il problema di salute e l’uso corrente — e fonda il caso strategico della decisione, rispondendo ai criteri di rilevanza e di coerenza. Essa stabilisce l’entità e la natura del bisogno cui la riforma intende rispondere, l’adeguatezza dell’offerta attuale, i divari territoriali, la pressione sui servizi e la cornice normativa entro cui l’intervento si colloca. È la base fattuale su cui poggiano le parti successive: senza una misura rigorosa del problema, la valutazione dell’intervento resterebbe priva di termine di confronto.</w:t>
      </w:r>
    </w:p>
    <w:bookmarkStart w:id="1609" w:name="b.1-profilo-demografico-e-socioeconomico"/>
    <w:p>
      <w:pPr>
        <w:pStyle w:val="Heading4"/>
      </w:pPr>
      <w:r>
        <w:t xml:space="preserve">B.1 Profilo demografico e socioeconomico</w:t>
      </w:r>
    </w:p>
    <w:p>
      <w:pPr>
        <w:pStyle w:val="FirstParagraph"/>
      </w:pPr>
      <w:r>
        <w:t xml:space="preserve">La Puglia conta una popolazione di poco inferiore ai quattro milioni di abitanti — 3.877.395 al Censimento permanente del 2024, circa il 6,6% del totale nazionale — distribuita in sei aziende sanitarie locali e quarantacinque distretti.</w:t>
      </w:r>
      <w:r>
        <w:rPr>
          <w:rStyle w:val="FootnoteReference"/>
        </w:rPr>
        <w:footnoteReference w:id="745"/>
      </w:r>
      <w:r>
        <w:t xml:space="preserve"> </w:t>
      </w:r>
      <w:r>
        <w:t xml:space="preserve">Il tratto demografico dominante è un invecchiamento accelerato: l’età media è salita da 39,3 anni nel 2002 a 46,4 nel 2024, e l’indice di vecchiaia ha raggiunto 200,8 anziani ogni cento giovani, all’incirca raddoppiato in un decennio. Le proiezioni dell’Istituto nazionale di statistica delineano una contrazione marcata e strutturale: 3.769.000 abitanti nel 2030, con un calo del 3,5%, e 3.229.000 nel 2050, con una riduzione del 17,4% rispetto al 2023; nello stesso arco la quota di ultrasessantacinquenni passerebbe dal 24,2% al 37,1%, e gli ultrasettantacinquenni crescerebbero da 461.000 a 658.000, con un incremento del 43%.</w:t>
      </w:r>
      <w:r>
        <w:rPr>
          <w:rStyle w:val="FootnoteReference"/>
        </w:rPr>
        <w:footnoteReference w:id="746"/>
      </w:r>
    </w:p>
    <w:p>
      <w:pPr>
        <w:pStyle w:val="BodyText"/>
      </w:pPr>
      <w:r>
        <w:t xml:space="preserve">Questa transizione non è un mero dato statistico, ma una trasformazione del profilo epidemiologico regionale, poiché l’età avanzata si accompagna a una prevalenza crescente di disturbi mentali, soprattutto in presenza di multimorbidità. La dinamica, inoltre, non è omogenea sul territorio: la provincia di Lecce è la più anziana, con un’età media di 47,5 anni e un indice di vecchiaia di 229,8, mentre la provincia di Barletta-Andria-Trani è la più giovane, con 44,9 anni e un indice di 169,1.</w:t>
      </w:r>
      <w:r>
        <w:rPr>
          <w:rStyle w:val="FootnoteReference"/>
        </w:rPr>
        <w:footnoteReference w:id="747"/>
      </w:r>
      <w:r>
        <w:t xml:space="preserve"> </w:t>
      </w:r>
      <w:r>
        <w:t xml:space="preserve">Tale eterogeneità impone una programmazione differenziata, capace di calibrare l’offerta sulle diverse strutture per età delle aree.</w:t>
      </w:r>
    </w:p>
    <w:p>
      <w:pPr>
        <w:pStyle w:val="BodyText"/>
      </w:pPr>
      <w:r>
        <w:t xml:space="preserve">Al profilo demografico si somma un contesto socioeconomico di marcata vulnerabilità. Il 37,7% della popolazione pugliese risulta a rischio di povertà o esclusione sociale, tra i valori più elevati del Paese; e l’indice di deprivazione — costruito aggregando reddito, istruzione, condizione occupazionale e tipologia abitativa — misura condizioni materiali che la letteratura epidemiologica longitudinale identifica come determinanti robusti della salute mentale.</w:t>
      </w:r>
      <w:r>
        <w:rPr>
          <w:rStyle w:val="FootnoteReference"/>
        </w:rPr>
        <w:footnoteReference w:id="748"/>
      </w:r>
      <w:r>
        <w:t xml:space="preserve"> </w:t>
      </w:r>
      <w:r>
        <w:t xml:space="preserve">Le popolazioni che vivono in deprivazione presentano infatti prevalenze sistematicamente più elevate di disturbi mentali comuni — depressione, ansia, disturbi correlati allo stress e all’uso di sostanze — attraverso meccanismi che includono l’insicurezza economica, la precarietà lavorativa, le condizioni abitative inadeguate e l’accesso limitato alle risorse protettive. La combinazione di invecchiamento e deprivazione configura, per la salute mentale pugliese, una pressione duplice e convergente, che la tabella seguente sintetizza nei suoi tratti demografici essenziali.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Puglia</w:t>
            </w:r>
          </w:p>
        </w:tc>
      </w:tr>
      <w:tr>
        <w:tc>
          <w:tcPr/>
          <w:p>
            <w:pPr>
              <w:pStyle w:val="Compact"/>
              <w:spacing w:after="40" w:before="40"/>
              <w:jc w:val="left"/>
            </w:pPr>
            <w:r>
              <w:rPr>
                <w:rFonts w:ascii="Cambria" w:hAnsi="Cambria" w:cs="Cambria" w:eastAsia="Cambria"/>
                <w:b/>
                <w:bCs/>
                <w:color w:val="1A1A1A"/>
                <w:sz w:val="18"/>
              </w:rPr>
              <w:t xml:space="preserve">Popolazione (Censimento 2024)</w:t>
            </w:r>
          </w:p>
        </w:tc>
        <w:tc>
          <w:tcPr/>
          <w:p>
            <w:pPr>
              <w:pStyle w:val="Compact"/>
              <w:spacing w:after="40" w:before="40"/>
              <w:jc w:val="left"/>
            </w:pPr>
            <w:r>
              <w:rPr>
                <w:rFonts w:ascii="Cambria" w:hAnsi="Cambria" w:cs="Cambria" w:eastAsia="Cambria"/>
                <w:color w:val="1A1A1A"/>
                <w:sz w:val="18"/>
              </w:rPr>
              <w:t xml:space="preserve">3.877.395 (~6,6% del totale nazionale)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Età media</w:t>
            </w:r>
          </w:p>
        </w:tc>
        <w:tc>
          <w:tcPr>
            <w:shd w:val="clear" w:color="auto" w:fill="F4F1EC"/>
          </w:tcPr>
          <w:p>
            <w:pPr>
              <w:pStyle w:val="Compact"/>
              <w:spacing w:after="40" w:before="40"/>
              <w:jc w:val="left"/>
            </w:pPr>
            <w:r>
              <w:rPr>
                <w:rFonts w:ascii="Cambria" w:hAnsi="Cambria" w:cs="Cambria" w:eastAsia="Cambria"/>
                <w:color w:val="1A1A1A"/>
                <w:sz w:val="18"/>
              </w:rPr>
              <w:t xml:space="preserve">46,4 anni (da 39,3 nel 2002)</w:t>
            </w:r>
          </w:p>
        </w:tc>
      </w:tr>
      <w:tr>
        <w:tc>
          <w:tcPr/>
          <w:p>
            <w:pPr>
              <w:pStyle w:val="Compact"/>
              <w:spacing w:after="40" w:before="40"/>
              <w:jc w:val="left"/>
            </w:pPr>
            <w:r>
              <w:rPr>
                <w:rFonts w:ascii="Cambria" w:hAnsi="Cambria" w:cs="Cambria" w:eastAsia="Cambria"/>
                <w:b/>
                <w:bCs/>
                <w:color w:val="1A1A1A"/>
                <w:sz w:val="18"/>
              </w:rPr>
              <w:t xml:space="preserve">Indice di vecchiaia</w:t>
            </w:r>
          </w:p>
        </w:tc>
        <w:tc>
          <w:tcPr/>
          <w:p>
            <w:pPr>
              <w:pStyle w:val="Compact"/>
              <w:spacing w:after="40" w:before="40"/>
              <w:jc w:val="left"/>
            </w:pPr>
            <w:r>
              <w:rPr>
                <w:rFonts w:ascii="Cambria" w:hAnsi="Cambria" w:cs="Cambria" w:eastAsia="Cambria"/>
                <w:color w:val="1A1A1A"/>
                <w:sz w:val="18"/>
              </w:rPr>
              <w:t xml:space="preserve">200,8 anziani ogni 100 giovani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Quota di ultrasessantacinquenni</w:t>
            </w:r>
          </w:p>
        </w:tc>
        <w:tc>
          <w:tcPr>
            <w:shd w:val="clear" w:color="auto" w:fill="F4F1EC"/>
          </w:tcPr>
          <w:p>
            <w:pPr>
              <w:pStyle w:val="Compact"/>
              <w:spacing w:after="40" w:before="40"/>
              <w:jc w:val="left"/>
            </w:pPr>
            <w:r>
              <w:rPr>
                <w:rFonts w:ascii="Cambria" w:hAnsi="Cambria" w:cs="Cambria" w:eastAsia="Cambria"/>
                <w:color w:val="1A1A1A"/>
                <w:sz w:val="18"/>
              </w:rPr>
              <w:t xml:space="preserve">24,2% oggi; 37,1% atteso al 2050</w:t>
            </w:r>
          </w:p>
        </w:tc>
      </w:tr>
      <w:tr>
        <w:tc>
          <w:tcPr/>
          <w:p>
            <w:pPr>
              <w:pStyle w:val="Compact"/>
              <w:spacing w:after="40" w:before="40"/>
              <w:jc w:val="left"/>
            </w:pPr>
            <w:r>
              <w:rPr>
                <w:rFonts w:ascii="Cambria" w:hAnsi="Cambria" w:cs="Cambria" w:eastAsia="Cambria"/>
                <w:b/>
                <w:bCs/>
                <w:color w:val="1A1A1A"/>
                <w:sz w:val="18"/>
              </w:rPr>
              <w:t xml:space="preserve">Proiezione di popolazione al 2050</w:t>
            </w:r>
          </w:p>
        </w:tc>
        <w:tc>
          <w:tcPr/>
          <w:p>
            <w:pPr>
              <w:pStyle w:val="Compact"/>
              <w:spacing w:after="40" w:before="40"/>
              <w:jc w:val="left"/>
            </w:pPr>
            <w:r>
              <w:rPr>
                <w:rFonts w:ascii="Cambria" w:hAnsi="Cambria" w:cs="Cambria" w:eastAsia="Cambria"/>
                <w:color w:val="1A1A1A"/>
                <w:sz w:val="18"/>
              </w:rPr>
              <w:t xml:space="preserve">3.229.000 (−17,4% sul 2023)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Provincia più anziana / più giovane</w:t>
            </w:r>
          </w:p>
        </w:tc>
        <w:tc>
          <w:tcPr>
            <w:shd w:val="clear" w:color="auto" w:fill="F4F1EC"/>
          </w:tcPr>
          <w:p>
            <w:pPr>
              <w:pStyle w:val="Compact"/>
              <w:spacing w:after="40" w:before="40"/>
              <w:jc w:val="left"/>
            </w:pPr>
            <w:r>
              <w:rPr>
                <w:rFonts w:ascii="Cambria" w:hAnsi="Cambria" w:cs="Cambria" w:eastAsia="Cambria"/>
                <w:color w:val="1A1A1A"/>
                <w:sz w:val="18"/>
              </w:rPr>
              <w:t xml:space="preserve">Lecce (47,5; 229,8) / BAT (44,9; 169,1)</w:t>
            </w:r>
          </w:p>
        </w:tc>
      </w:tr>
      <w:tr>
        <w:tc>
          <w:tcPr/>
          <w:p>
            <w:pPr>
              <w:pStyle w:val="Compact"/>
              <w:spacing w:after="40" w:before="40"/>
              <w:jc w:val="left"/>
            </w:pPr>
            <w:r>
              <w:rPr>
                <w:rFonts w:ascii="Cambria" w:hAnsi="Cambria" w:cs="Cambria" w:eastAsia="Cambria"/>
                <w:b/>
                <w:bCs/>
                <w:color w:val="1A1A1A"/>
                <w:sz w:val="18"/>
              </w:rPr>
              <w:t xml:space="preserve">Popolazione a rischio povertà o esclusione</w:t>
            </w:r>
          </w:p>
        </w:tc>
        <w:tc>
          <w:tcPr/>
          <w:p>
            <w:pPr>
              <w:pStyle w:val="Compact"/>
              <w:spacing w:after="40" w:before="40"/>
              <w:jc w:val="left"/>
            </w:pPr>
            <w:r>
              <w:rPr>
                <w:rFonts w:ascii="Cambria" w:hAnsi="Cambria" w:cs="Cambria" w:eastAsia="Cambria"/>
                <w:color w:val="1A1A1A"/>
                <w:sz w:val="18"/>
              </w:rPr>
              <w:t xml:space="preserve">37,7%</w:t>
            </w:r>
          </w:p>
        </w:tc>
      </w:tr>
    </w:tbl>
    <w:p>
      <w:pPr>
        <w:pStyle w:val="BodyText"/>
      </w:pPr>
      <w:r>
        <w:rPr>
          <w:i/>
          <w:iCs/>
        </w:rPr>
        <w:t xml:space="preserve">Tabella B.1. Profilo demografico e socioeconomico della Puglia.</w:t>
      </w:r>
    </w:p>
    <w:bookmarkEnd w:id="1609"/>
    <w:bookmarkStart w:id="1615" w:name="b.2-epidemiologia-del-bisogno"/>
    <w:p>
      <w:pPr>
        <w:pStyle w:val="Heading4"/>
      </w:pPr>
      <w:r>
        <w:t xml:space="preserve">B.2 Epidemiologia del bisogno</w:t>
      </w:r>
    </w:p>
    <w:p>
      <w:pPr>
        <w:pStyle w:val="FirstParagraph"/>
      </w:pPr>
      <w:r>
        <w:t xml:space="preserve">Il bisogno di salute mentale in Puglia si articola su due piani: il sommerso, ampio e in larga parte non intercettato, e l’emergente, che preme sui servizi specialistici e di emergenza. Sul primo piano, si stima che circa 780.000 persone presentino disagio psichico comune o sottosoglia, dell’ordine del 20–30% della popolazione; su questa massa di bisogno la risposta attuale è minima.</w:t>
      </w:r>
      <w:r>
        <w:rPr>
          <w:rStyle w:val="FootnoteReference"/>
        </w:rPr>
        <w:footnoteReference w:id="749"/>
      </w:r>
      <w:r>
        <w:t xml:space="preserve"> </w:t>
      </w:r>
      <w:r>
        <w:t xml:space="preserve">La componente anziana di tale bisogno è quantificabile con coefficienti epidemiologici validati: applicando alla popolazione pugliese le prevalenze documentate dalla letteratura internazionale — depressione fino al 28% negli ultrasettantacinquenni con multimorbidità, ansia oltre il 15% negli anziani — si ottiene una stima compresa tra 50.649 e 74.640 anziani con disturbi depressivi clinicamente significativi e tra 69.150 e 92.200 con disturbi d’ansia.</w:t>
      </w:r>
      <w:r>
        <w:rPr>
          <w:rStyle w:val="FootnoteReference"/>
        </w:rPr>
        <w:footnoteReference w:id="750"/>
      </w:r>
    </w:p>
    <w:p>
      <w:pPr>
        <w:pStyle w:val="BodyText"/>
      </w:pPr>
      <w:r>
        <w:t xml:space="preserve">La misura del sommerso è resa difficile da un fenomeno specifico della regione. La sorveglianza PASSI dell’Istituto Superiore di Sanità, condotta con il questionario breve sui sintomi depressivi, rileva per la Puglia il 3,6% degli adulti tra i 18 e i 64 anni con sintomi clinicamente rilevanti — circa 80.000 persone — un dato inferiore alla media nazionale del 6,7%.</w:t>
      </w:r>
      <w:r>
        <w:rPr>
          <w:rStyle w:val="FootnoteReference"/>
        </w:rPr>
        <w:footnoteReference w:id="751"/>
      </w:r>
      <w:r>
        <w:t xml:space="preserve"> </w:t>
      </w:r>
      <w:r>
        <w:t xml:space="preserve">Questa apparente minore prevalenza non indica minore sofferenza, ma una sotto-rilevazione legata a fattori culturali che riducono la propensione a riferire i sintomi, e si accompagna a uno dei consumi di antidepressivi più bassi d’Italia: due segni convergenti di sotto-intercettazione del bisogno.</w:t>
      </w:r>
      <w:r>
        <w:rPr>
          <w:rStyle w:val="FootnoteReference"/>
        </w:rPr>
        <w:footnoteReference w:id="752"/>
      </w:r>
      <w:r>
        <w:t xml:space="preserve"> </w:t>
      </w:r>
      <w:r>
        <w:t xml:space="preserve">Il divario tra prevalenza reale e accesso ai servizi — il treatment gap — è del resto un fenomeno strutturale, riconosciuto anche dalla Commissione europea, che nel 2024 ha rilevato come solo la metà delle persone con ansia o depressione chieda aiuto e come quasi un giovane su due resti privo di supporto adeguato; le barriere sono strutturali, economiche, culturali, di conoscenza e sistemiche.</w:t>
      </w:r>
      <w:r>
        <w:rPr>
          <w:rStyle w:val="FootnoteReference"/>
        </w:rPr>
        <w:footnoteReference w:id="753"/>
      </w:r>
      <w:r>
        <w:t xml:space="preserve"> </w:t>
      </w:r>
      <w:r>
        <w:t xml:space="preserve">È precisamente questo divario che un servizio di primo livello, accessibile e privo di stigma, ha la funzione di colmare.</w:t>
      </w:r>
    </w:p>
    <w:bookmarkEnd w:id="1615"/>
    <w:bookmarkStart w:id="1620" w:name="b.3-domanda-offerta-e-gap-di-copertura"/>
    <w:p>
      <w:pPr>
        <w:pStyle w:val="Heading4"/>
      </w:pPr>
      <w:r>
        <w:t xml:space="preserve">B.3 Domanda, offerta e gap di copertura</w:t>
      </w:r>
    </w:p>
    <w:p>
      <w:pPr>
        <w:pStyle w:val="FirstParagraph"/>
      </w:pPr>
      <w:r>
        <w:t xml:space="preserve">A fronte di un bisogno ampio, l’offerta psicologica pubblica è storicamente esigua. Secondo i dati del Ministero della Salute riferiti al 2017, l’Italia dispone di 8,5 psicologi ogni centomila abitanti nel Servizio sanitario complessivo, e di meno di tre ogni centomila nelle sole strutture pubbliche di salute mentale, una delle dotazioni più basse d’Europa; per confronto, il sistema olandese che integra gli psicologi nelle cure primarie si accompagna a circa ventitré psichiatri ogni centomila abitanti.</w:t>
      </w:r>
      <w:r>
        <w:rPr>
          <w:rStyle w:val="FootnoteReference"/>
        </w:rPr>
        <w:footnoteReference w:id="754"/>
      </w:r>
      <w:r>
        <w:t xml:space="preserve"> </w:t>
      </w:r>
      <w:r>
        <w:t xml:space="preserve">La domanda che non trova risposta nel territorio si riversa sui servizi specialistici e di emergenza. I Dipartimenti di Salute Mentale pugliesi hanno avuto in carico, nel 2023, 54.946 utenti, circa centosei ogni diecimila abitanti adulti, dei quali 18.939 nuovi, segno di un flusso di incidenza annuale consistente.</w:t>
      </w:r>
      <w:r>
        <w:rPr>
          <w:rStyle w:val="FootnoteReference"/>
        </w:rPr>
        <w:footnoteReference w:id="755"/>
      </w:r>
    </w:p>
    <w:p>
      <w:pPr>
        <w:pStyle w:val="BodyText"/>
      </w:pPr>
      <w:r>
        <w:t xml:space="preserve">Un indicatore particolarmente eloquente della pressione è il ricorso al pronto soccorso per cause psichiatriche: 18.753 accessi nel 2023, oltre cinquanta al giorno, in crescita del 30% rispetto al periodo pre-pandemico e con un trend accentuato tra minori e giovani adulti. La distribuzione diagnostica è rivelatrice: le sindromi nevrotiche e somatoformi sono la causa più frequente, con oltre diecimila casi, seguite a distanza da disturbi organici, depressione e schizofrenia.</w:t>
      </w:r>
      <w:r>
        <w:rPr>
          <w:rStyle w:val="FootnoteReference"/>
        </w:rPr>
        <w:footnoteReference w:id="756"/>
      </w:r>
      <w:r>
        <w:t xml:space="preserve"> </w:t>
      </w:r>
      <w:r>
        <w:t xml:space="preserve">Che la causa più frequente di accesso urgente sia costituita da disturbi comuni di tipo ansioso e somatoforme — quadri che non richiederebbero il contesto dell’emergenza — dimostra che il pronto soccorso è divenuto, in assenza di un primo livello territoriale, l’unico punto di accesso disponibile.</w:t>
      </w:r>
    </w:p>
    <w:p>
      <w:pPr>
        <w:pStyle w:val="BodyText"/>
      </w:pPr>
      <w:r>
        <w:t xml:space="preserve">Il divario tra bisogno e offerta definisce la posta in gioco della decisione. Il servizio istituito dalla legge regionale conta oggi circa 45 psicologi, uno per distretto, a fronte di uno stanziamento di 1,5 milioni di euro l’anno: una dotazione pari a circa il 5% di un fabbisogno stimato nell’ordine di 800–900 psicologi per l’intera regione.</w:t>
      </w:r>
      <w:r>
        <w:rPr>
          <w:rStyle w:val="FootnoteReference"/>
        </w:rPr>
        <w:footnoteReference w:id="757"/>
      </w:r>
      <w:r>
        <w:t xml:space="preserve"> </w:t>
      </w:r>
      <w:r>
        <w:t xml:space="preserve">Lo studio considera tre scenari di copertura — circa 450, 700 e 900 incarichi — che portano il servizio progressivamente verso la copertura del bisogno. La tabella seguente riepiloga le grandezze della domanda, dell’offerta e del divario.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Puglia</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780.000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in carico ai Dipartimenti (2023)</w:t>
            </w:r>
          </w:p>
        </w:tc>
        <w:tc>
          <w:tcPr>
            <w:shd w:val="clear" w:color="auto" w:fill="F4F1EC"/>
          </w:tcPr>
          <w:p>
            <w:pPr>
              <w:pStyle w:val="Compact"/>
              <w:spacing w:after="40" w:before="40"/>
              <w:jc w:val="left"/>
            </w:pPr>
            <w:r>
              <w:rPr>
                <w:rFonts w:ascii="Cambria" w:hAnsi="Cambria" w:cs="Cambria" w:eastAsia="Cambria"/>
                <w:color w:val="1A1A1A"/>
                <w:sz w:val="18"/>
              </w:rPr>
              <w:t xml:space="preserve">54.946</w:t>
            </w:r>
          </w:p>
        </w:tc>
      </w:tr>
      <w:tr>
        <w:tc>
          <w:tcPr/>
          <w:p>
            <w:pPr>
              <w:pStyle w:val="Compact"/>
              <w:spacing w:after="40" w:before="40"/>
              <w:jc w:val="left"/>
            </w:pPr>
            <w:r>
              <w:rPr>
                <w:rFonts w:ascii="Cambria" w:hAnsi="Cambria" w:cs="Cambria" w:eastAsia="Cambria"/>
                <w:b/>
                <w:bCs/>
                <w:color w:val="1A1A1A"/>
                <w:sz w:val="18"/>
              </w:rPr>
              <w:t xml:space="preserve">Nuovi utenti dei Dipartimenti (2023)</w:t>
            </w:r>
          </w:p>
        </w:tc>
        <w:tc>
          <w:tcPr/>
          <w:p>
            <w:pPr>
              <w:pStyle w:val="Compact"/>
              <w:spacing w:after="40" w:before="40"/>
              <w:jc w:val="left"/>
            </w:pPr>
            <w:r>
              <w:rPr>
                <w:rFonts w:ascii="Cambria" w:hAnsi="Cambria" w:cs="Cambria" w:eastAsia="Cambria"/>
                <w:color w:val="1A1A1A"/>
                <w:sz w:val="18"/>
              </w:rPr>
              <w:t xml:space="preserve">18.939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Accessi al pronto soccorso per cause psichiatriche (2023)</w:t>
            </w:r>
          </w:p>
        </w:tc>
        <w:tc>
          <w:tcPr>
            <w:shd w:val="clear" w:color="auto" w:fill="F4F1EC"/>
          </w:tcPr>
          <w:p>
            <w:pPr>
              <w:pStyle w:val="Compact"/>
              <w:spacing w:after="40" w:before="40"/>
              <w:jc w:val="left"/>
            </w:pPr>
            <w:r>
              <w:rPr>
                <w:rFonts w:ascii="Cambria" w:hAnsi="Cambria" w:cs="Cambria" w:eastAsia="Cambria"/>
                <w:color w:val="1A1A1A"/>
                <w:sz w:val="18"/>
              </w:rPr>
              <w:t xml:space="preserve">18.753</w:t>
            </w:r>
          </w:p>
        </w:tc>
      </w:tr>
      <w:tr>
        <w:tc>
          <w:tcPr/>
          <w:p>
            <w:pPr>
              <w:pStyle w:val="Compact"/>
              <w:spacing w:after="40" w:before="40"/>
              <w:jc w:val="left"/>
            </w:pPr>
            <w:r>
              <w:rPr>
                <w:rFonts w:ascii="Cambria" w:hAnsi="Cambria" w:cs="Cambria" w:eastAsia="Cambria"/>
                <w:b/>
                <w:bCs/>
                <w:color w:val="1A1A1A"/>
                <w:sz w:val="18"/>
              </w:rPr>
              <w:t xml:space="preserve">Psicologi del servizio attuale</w:t>
            </w:r>
          </w:p>
        </w:tc>
        <w:tc>
          <w:tcPr/>
          <w:p>
            <w:pPr>
              <w:pStyle w:val="Compact"/>
              <w:spacing w:after="40" w:before="40"/>
              <w:jc w:val="left"/>
            </w:pPr>
            <w:r>
              <w:rPr>
                <w:rFonts w:ascii="Cambria" w:hAnsi="Cambria" w:cs="Cambria" w:eastAsia="Cambria"/>
                <w:color w:val="1A1A1A"/>
                <w:sz w:val="18"/>
              </w:rPr>
              <w:t xml:space="preserve">~ 45 (uno per distretto)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Fabbisogno stimato a regime</w:t>
            </w:r>
          </w:p>
        </w:tc>
        <w:tc>
          <w:tcPr>
            <w:shd w:val="clear" w:color="auto" w:fill="F4F1EC"/>
          </w:tcPr>
          <w:p>
            <w:pPr>
              <w:pStyle w:val="Compact"/>
              <w:spacing w:after="40" w:before="40"/>
              <w:jc w:val="left"/>
            </w:pPr>
            <w:r>
              <w:rPr>
                <w:rFonts w:ascii="Cambria" w:hAnsi="Cambria" w:cs="Cambria" w:eastAsia="Cambria"/>
                <w:color w:val="1A1A1A"/>
                <w:sz w:val="18"/>
              </w:rPr>
              <w:t xml:space="preserve">~ 800–900 psicologi</w:t>
            </w:r>
          </w:p>
        </w:tc>
      </w:tr>
      <w:tr>
        <w:tc>
          <w:tcPr/>
          <w:p>
            <w:pPr>
              <w:pStyle w:val="Compact"/>
              <w:spacing w:after="40" w:before="40"/>
              <w:jc w:val="left"/>
            </w:pPr>
            <w:r>
              <w:rPr>
                <w:rFonts w:ascii="Cambria" w:hAnsi="Cambria" w:cs="Cambria" w:eastAsia="Cambria"/>
                <w:b/>
                <w:bCs/>
                <w:color w:val="1A1A1A"/>
                <w:sz w:val="18"/>
              </w:rPr>
              <w:t xml:space="preserve">Copertura attuale del fabbisogno</w:t>
            </w:r>
          </w:p>
        </w:tc>
        <w:tc>
          <w:tcPr/>
          <w:p>
            <w:pPr>
              <w:pStyle w:val="Compact"/>
              <w:spacing w:after="40" w:before="40"/>
              <w:jc w:val="left"/>
            </w:pPr>
            <w:r>
              <w:rPr>
                <w:rFonts w:ascii="Cambria" w:hAnsi="Cambria" w:cs="Cambria" w:eastAsia="Cambria"/>
                <w:color w:val="1A1A1A"/>
                <w:sz w:val="18"/>
              </w:rPr>
              <w:t xml:space="preserve">~ 5%</w:t>
            </w:r>
          </w:p>
        </w:tc>
      </w:tr>
    </w:tbl>
    <w:p>
      <w:pPr>
        <w:pStyle w:val="BodyText"/>
      </w:pPr>
      <w:r>
        <w:rPr>
          <w:i/>
          <w:iCs/>
        </w:rPr>
        <w:t xml:space="preserve">Tabella B.2. Domanda, offerta e gap di copertura.</w:t>
      </w:r>
    </w:p>
    <w:bookmarkEnd w:id="1620"/>
    <w:bookmarkStart w:id="1622" w:name="b.4-disuguaglianze-e-divari-territoriali"/>
    <w:p>
      <w:pPr>
        <w:pStyle w:val="Heading4"/>
      </w:pPr>
      <w:r>
        <w:t xml:space="preserve">B.4 Disuguaglianze e divari territoriali</w:t>
      </w:r>
    </w:p>
    <w:p>
      <w:pPr>
        <w:pStyle w:val="FirstParagraph"/>
      </w:pPr>
      <w:r>
        <w:t xml:space="preserve">Il bisogno e l’offerta non si distribuiscono uniformemente sul territorio regionale, e l’equità interna è perciò una dimensione costitutiva della valutazione, non un’aggiunta. Alla disomogeneità demografica già osservata — con province nettamente più anziane di altre — si sovrappongono i divari socioeconomici, concentrati nelle aree interne montane e rurali, colpite da spopolamento giovanile e invecchiamento residuo, e in alcune periferie urbane degradate. Sono precisamente le aree in cui i determinanti sociali del disagio si addensano e in cui, al tempo stesso, l’accesso ai servizi è più difficile.</w:t>
      </w:r>
    </w:p>
    <w:p>
      <w:pPr>
        <w:pStyle w:val="BodyText"/>
      </w:pPr>
      <w:r>
        <w:t xml:space="preserve">Il disegno del servizio riconosce questi divari e li affronta in sede di distribuzione territoriale degli incarichi. L’algoritmo allocativo non ripartisce le risorse in proporzione alla sola popolazione, ma pondera ciascun distretto per l’indice di vecchiaia, per l’indice di deprivazione socioeconomica e per la prevalenza di cronicità e multimorbidità, attribuendo pesi maggiori alle aree più fragili.</w:t>
      </w:r>
      <w:r>
        <w:rPr>
          <w:rStyle w:val="FootnoteReference"/>
        </w:rPr>
        <w:footnoteReference w:id="758"/>
      </w:r>
      <w:r>
        <w:t xml:space="preserve"> </w:t>
      </w:r>
      <w:r>
        <w:t xml:space="preserve">In questo modo la programmazione mira a contrastare, anziché riprodurre, le disuguaglianze esistenti. Tra le variabili che lo studio segue come prioritarie per la Puglia figurano perciò i tempi di attesa e l’accessibilità per area, in quanto colgono i divari tra aziende e tra centri e aree interne; la loro misura, parte del sistema di indicatori, consente di verificare nel tempo se il servizio raggiunga effettivamente le comunità più distanti, e non solo quelle già meglio servite.</w:t>
      </w:r>
    </w:p>
    <w:bookmarkEnd w:id="1622"/>
    <w:bookmarkStart w:id="1627" w:name="b.5-i-servizi-e-i-flussi"/>
    <w:p>
      <w:pPr>
        <w:pStyle w:val="Heading4"/>
      </w:pPr>
      <w:r>
        <w:t xml:space="preserve">B.5 I servizi e i flussi</w:t>
      </w:r>
    </w:p>
    <w:p>
      <w:pPr>
        <w:pStyle w:val="FirstParagraph"/>
      </w:pPr>
      <w:r>
        <w:t xml:space="preserve">Il contesto entro cui la riforma opera è segnato da vincoli di bilancio stringenti. La Puglia ha ricevuto per il 2025 un finanziamento di circa 8,8 miliardi di euro, chiudendo con un disavanzo di circa 350 milioni e con disavanzi cumulati superiori a 480 milioni nel quadriennio; la regione è sottoposta a vincoli di rientro, e la Corte costituzionale ha ribadito che i fondi sanitari non possono essere distratti da finalità diverse dai livelli essenziali.</w:t>
      </w:r>
      <w:r>
        <w:rPr>
          <w:rStyle w:val="FootnoteReference"/>
        </w:rPr>
        <w:footnoteReference w:id="759"/>
      </w:r>
      <w:r>
        <w:t xml:space="preserve"> </w:t>
      </w:r>
      <w:r>
        <w:t xml:space="preserve">In tale quadro, ogni impiego di risorse va giustificato, e ogni inefficienza nei flussi esistenti rappresenta sia un costo sia un margine di intervento.</w:t>
      </w:r>
    </w:p>
    <w:p>
      <w:pPr>
        <w:pStyle w:val="BodyText"/>
      </w:pPr>
      <w:r>
        <w:t xml:space="preserve">Due flussi misurano insieme l’inefficienza attuale e lo spazio d’azione del servizio. Il primo è la mobilità sanitaria passiva: nel 2023 il saldo è stato negativo per 253,2 milioni di euro, con prestazioni in fuga verso altre regioni per 376,6 milioni a fronte di una mobilità attiva di circa 123 milioni, tra i peggiori risultati in Italia.</w:t>
      </w:r>
      <w:r>
        <w:rPr>
          <w:rStyle w:val="FootnoteReference"/>
        </w:rPr>
        <w:footnoteReference w:id="760"/>
      </w:r>
      <w:r>
        <w:t xml:space="preserve"> </w:t>
      </w:r>
      <w:r>
        <w:t xml:space="preserve">Questo è il tratto più distintivo del caso pugliese: a differenza di una regione attrattiva, per la quale la migrazione delle cure non si applica, in Puglia ogni quota di domanda intercettata e trattenuta sul territorio si traduce in un risparmio diretto per il bilancio regionale. Il secondo flusso è il ricorso improprio al pronto soccorso: a fronte di 37 presidi e 1.142.448 accessi l’anno, circa 914.000 sono inappropriati, dell’ordine dell’80%, e una quota di essi è riconducibile a disagio psichico e a sintomi somatici funzionali.</w:t>
      </w:r>
      <w:r>
        <w:rPr>
          <w:rStyle w:val="FootnoteReference"/>
        </w:rPr>
        <w:footnoteReference w:id="761"/>
      </w:r>
    </w:p>
    <w:p>
      <w:pPr>
        <w:pStyle w:val="BodyText"/>
      </w:pPr>
      <w:r>
        <w:t xml:space="preserve">Un terzo elemento riguarda il consumo farmaceutico, segnato da un’apparente contraddizione. La Puglia presenta tra i più alti consumi complessivi d’Italia — 1.081,9 dosi giornaliere ogni mille abitanti — con una spesa pubblica dell’ordine del 2,3% del prodotto regionale; eppure l’intercettazione del disagio psichico, misurata dal basso consumo di antidepressivi, è ridotta.</w:t>
      </w:r>
      <w:r>
        <w:rPr>
          <w:rStyle w:val="FootnoteReference"/>
        </w:rPr>
        <w:footnoteReference w:id="762"/>
      </w:r>
      <w:r>
        <w:t xml:space="preserve"> </w:t>
      </w:r>
      <w:r>
        <w:t xml:space="preserve">La compresenza di un elevato consumo complessivo e di una bassa intercettazione specifica segnala margini di appropriatezza, in particolare nella sostituzione di terapie croniche non necessarie con percorsi psicologici. La tabella seguente riepiloga le grandezze di sistema rilevanti per lo studio; la loro traduzione in risparmi è trattata, con la dovuta distinzione tra effetti sul bilancio e ricadute sociali, nella Parte 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Puglia</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 (2025)</w:t>
            </w:r>
          </w:p>
        </w:tc>
        <w:tc>
          <w:tcPr/>
          <w:p>
            <w:pPr>
              <w:pStyle w:val="Compact"/>
              <w:spacing w:after="40" w:before="40"/>
              <w:jc w:val="left"/>
            </w:pPr>
            <w:r>
              <w:rPr>
                <w:rFonts w:ascii="Cambria" w:hAnsi="Cambria" w:cs="Cambria" w:eastAsia="Cambria"/>
                <w:color w:val="1A1A1A"/>
                <w:sz w:val="18"/>
              </w:rPr>
              <w:t xml:space="preserve">~ 8,8 miliardi di euro; disavanzo ~ 350 milioni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 passiva (2023)</w:t>
            </w:r>
          </w:p>
        </w:tc>
        <w:tc>
          <w:tcPr>
            <w:shd w:val="clear" w:color="auto" w:fill="F4F1EC"/>
          </w:tcPr>
          <w:p>
            <w:pPr>
              <w:pStyle w:val="Compact"/>
              <w:spacing w:after="40" w:before="40"/>
              <w:jc w:val="left"/>
            </w:pPr>
            <w:r>
              <w:rPr>
                <w:rFonts w:ascii="Cambria" w:hAnsi="Cambria" w:cs="Cambria" w:eastAsia="Cambria"/>
                <w:color w:val="1A1A1A"/>
                <w:sz w:val="18"/>
              </w:rPr>
              <w:t xml:space="preserve">saldo −253,2 milioni di euro</w:t>
            </w:r>
          </w:p>
        </w:tc>
      </w:tr>
      <w:tr>
        <w:tc>
          <w:tcPr/>
          <w:p>
            <w:pPr>
              <w:pStyle w:val="Compact"/>
              <w:spacing w:after="40" w:before="40"/>
              <w:jc w:val="left"/>
            </w:pPr>
            <w:r>
              <w:rPr>
                <w:rFonts w:ascii="Cambria" w:hAnsi="Cambria" w:cs="Cambria" w:eastAsia="Cambria"/>
                <w:b/>
                <w:bCs/>
                <w:color w:val="1A1A1A"/>
                <w:sz w:val="18"/>
              </w:rPr>
              <w:t xml:space="preserve">Accessi al pronto soccorso</w:t>
            </w:r>
          </w:p>
        </w:tc>
        <w:tc>
          <w:tcPr/>
          <w:p>
            <w:pPr>
              <w:pStyle w:val="Compact"/>
              <w:spacing w:after="40" w:before="40"/>
              <w:jc w:val="left"/>
            </w:pPr>
            <w:r>
              <w:rPr>
                <w:rFonts w:ascii="Cambria" w:hAnsi="Cambria" w:cs="Cambria" w:eastAsia="Cambria"/>
                <w:color w:val="1A1A1A"/>
                <w:sz w:val="18"/>
              </w:rPr>
              <w:t xml:space="preserve">1.142.448 l’anno; ~ 914.000 inappropriati (~80%)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Consumo farmaceutico complessivo</w:t>
            </w:r>
          </w:p>
        </w:tc>
        <w:tc>
          <w:tcPr>
            <w:shd w:val="clear" w:color="auto" w:fill="F4F1EC"/>
          </w:tcPr>
          <w:p>
            <w:pPr>
              <w:pStyle w:val="Compact"/>
              <w:spacing w:after="40" w:before="40"/>
              <w:jc w:val="left"/>
            </w:pPr>
            <w:r>
              <w:rPr>
                <w:rFonts w:ascii="Cambria" w:hAnsi="Cambria" w:cs="Cambria" w:eastAsia="Cambria"/>
                <w:color w:val="1A1A1A"/>
                <w:sz w:val="18"/>
              </w:rPr>
              <w:t xml:space="preserve">1.081,9 dosi giornaliere ogni mille abitanti</w:t>
            </w:r>
          </w:p>
        </w:tc>
      </w:tr>
      <w:tr>
        <w:tc>
          <w:tcPr/>
          <w:p>
            <w:pPr>
              <w:pStyle w:val="Compact"/>
              <w:spacing w:after="40" w:before="40"/>
              <w:jc w:val="left"/>
            </w:pPr>
            <w:r>
              <w:rPr>
                <w:rFonts w:ascii="Cambria" w:hAnsi="Cambria" w:cs="Cambria" w:eastAsia="Cambria"/>
                <w:b/>
                <w:bCs/>
                <w:color w:val="1A1A1A"/>
                <w:sz w:val="18"/>
              </w:rPr>
              <w:t xml:space="preserve">Consumo di antidepressivi</w:t>
            </w:r>
          </w:p>
        </w:tc>
        <w:tc>
          <w:tcPr/>
          <w:p>
            <w:pPr>
              <w:pStyle w:val="Compact"/>
              <w:spacing w:after="40" w:before="40"/>
              <w:jc w:val="left"/>
            </w:pPr>
            <w:r>
              <w:rPr>
                <w:rFonts w:ascii="Cambria" w:hAnsi="Cambria" w:cs="Cambria" w:eastAsia="Cambria"/>
                <w:color w:val="1A1A1A"/>
                <w:sz w:val="18"/>
              </w:rPr>
              <w:t xml:space="preserve">tra i più bassi d’Italia</w:t>
            </w:r>
          </w:p>
        </w:tc>
      </w:tr>
    </w:tbl>
    <w:p>
      <w:pPr>
        <w:pStyle w:val="BodyText"/>
      </w:pPr>
      <w:r>
        <w:rPr>
          <w:i/>
          <w:iCs/>
        </w:rPr>
        <w:t xml:space="preserve">Tabella B.3. I servizi e i flussi del Servizio sanitario regionale rilevanti per lo studio.</w:t>
      </w:r>
    </w:p>
    <w:bookmarkEnd w:id="1627"/>
    <w:bookmarkStart w:id="1629" w:name="b.6-la-cornice-normativa-e-programmatica"/>
    <w:p>
      <w:pPr>
        <w:pStyle w:val="Heading4"/>
      </w:pPr>
      <w:r>
        <w:t xml:space="preserve">B.6 La cornice normativa e programmatica</w:t>
      </w:r>
    </w:p>
    <w:p>
      <w:pPr>
        <w:pStyle w:val="FirstParagraph"/>
      </w:pPr>
      <w:r>
        <w:t xml:space="preserve">La riforma si colloca in una cornice normativa coerente su tre livelli, che ne fonda la rilevanza e la coerenza. A livello regionale, la legge n. 11 del 2023 ha istituito il servizio — prima in Italia — individuandone le sedi nei distretti e nelle Case della Comunità, la forma del rapporto nella convenzione, la funzione di filtro verso i servizi specialistici e il pronto soccorso, e l’organo di governo nell’Osservatorio regionale. È il fondamento giuridico diretto dello studio, e la ragione per cui la decisione non verte sull’istituire il servizio, già disposto, ma sul portarlo a regime.</w:t>
      </w:r>
      <w:r>
        <w:rPr>
          <w:rStyle w:val="FootnoteReference"/>
        </w:rPr>
        <w:footnoteReference w:id="763"/>
      </w:r>
    </w:p>
    <w:p>
      <w:pPr>
        <w:pStyle w:val="BodyText"/>
      </w:pPr>
      <w:r>
        <w:t xml:space="preserve">A livello nazionale, il quadro è favorevole e convergente. Il decreto ministeriale 77 del 2022 ha definito il modello dell’assistenza territoriale, facendo delle Case della Comunità la sede della presa in carico di prossimità, presso la quale lo psicologo di base si inserisce naturalmente; la Missione 6 del Piano Nazionale di Ripresa e Resilienza finanzia l’infrastruttura territoriale e digitale; e l’accordo della specialistica ambulatoriale disciplina il rapporto convenzionale dei psicologi, fornendo il riferimento contrattuale del modello di costo. A livello europeo, infine, il regolamento sull’HTA, applicabile dal 2025, e il regolamento sull’intelligenza artificiale forniscono gli standard, rispettivamente, della valutazione e dell’innovazione tecnologica del servizio.</w:t>
      </w:r>
    </w:p>
    <w:p>
      <w:pPr>
        <w:pStyle w:val="BodyText"/>
      </w:pPr>
      <w:r>
        <w:t xml:space="preserve">La convergenza dei tre livelli normativi non è un dettaglio formale: essa colloca la riforma pugliese all’incrocio tra una legge regionale pionieristica, una programmazione nazionale che ne predispone le sedi e le risorse infrastrutturali, e una cornice europea che ne fissa i criteri di valutazione. È in questo quadro che le parti successive dello studio analizzano l’intervento, ne accertano l’efficacia, ne valutano l’economia e ne pianificano l’attuazione, a partire dalla descrizione del modello organizzativo e clinico oggetto della Parte C.</w:t>
      </w:r>
    </w:p>
    <w:bookmarkEnd w:id="1629"/>
    <w:bookmarkEnd w:id="1630"/>
    <w:bookmarkEnd w:id="1631"/>
    <w:bookmarkStart w:id="1657" w:name="parte-c-intervento-e-modello"/>
    <w:p>
      <w:pPr>
        <w:pStyle w:val="Heading2"/>
      </w:pPr>
      <w:r>
        <w:t xml:space="preserve">Parte C — Intervento e modello</w:t>
      </w:r>
    </w:p>
    <w:p>
      <w:pPr>
        <w:pStyle w:val="FirstParagraph"/>
      </w:pPr>
      <w:r>
        <w:t xml:space="preserve">Studio regionale Puglia · Parte C · L’intervento e il modello</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C</w:t>
      </w:r>
    </w:p>
    <w:p>
      <w:pPr>
        <w:pStyle w:val="BodyText"/>
      </w:pPr>
      <w:r>
        <w:rPr>
          <w:b/>
          <w:bCs/>
        </w:rPr>
        <w:t xml:space="preserve">L’intervento e il modello</w:t>
      </w:r>
    </w:p>
    <w:p>
      <w:pPr>
        <w:pStyle w:val="BodyText"/>
      </w:pPr>
      <w:r>
        <w:rPr>
          <w:i/>
          <w:iCs/>
        </w:rPr>
        <w:t xml:space="preserve">Definizione e teoria del cambiamento, modello organizzativo, percorso clinico, sistema informativo, strumenti digitali e IA, formazione</w:t>
      </w:r>
    </w:p>
    <w:p>
      <w:pPr>
        <w:pStyle w:val="BodyText"/>
      </w:pPr>
      <w:r>
        <w:t xml:space="preserve">Domini 2 e 3 del modello HTA · descrizione tecnica e sicurezza dell’intervento</w:t>
      </w:r>
    </w:p>
    <w:p>
      <w:pPr>
        <w:pStyle w:val="BodyText"/>
      </w:pPr>
      <w:r>
        <w:rPr>
          <w:b/>
          <w:bCs/>
        </w:rPr>
        <w:t xml:space="preserve">Indice</w:t>
      </w:r>
    </w:p>
    <w:bookmarkStart w:id="1656" w:name="parte-c-lintervento-e-il-modello"/>
    <w:p>
      <w:pPr>
        <w:pStyle w:val="Heading3"/>
      </w:pPr>
      <w:r>
        <w:t xml:space="preserve">Parte C — L’intervento e il modello</w:t>
      </w:r>
    </w:p>
    <w:p>
      <w:pPr>
        <w:pStyle w:val="FirstParagraph"/>
      </w:pPr>
      <w:r>
        <w:t xml:space="preserve">Questa parte corrisponde, nel telaio integrato, al secondo e al terzo dominio della valutazione di tecnologia sanitaria — la descrizione tecnica dell’intervento e la sua sicurezza. Stabilito nella Parte B che cosa la riforma deve affrontare, qui si descrive che cosa la riforma è: la sua definizione e la logica per cui ci si attende che produca i suoi effetti (capitolo C.1), il modello organizzativo che la innesta nelle cure primarie (C.2), il percorso clinico, le garanzie di sicurezza e le misure di esito (C.3), il sistema informativo che ne assicura la continuità (C.4), gli strumenti digitali e di intelligenza artificiale che la assistono (C.5) e la formazione che ne abilita i professionisti (C.6). La descrizione è fondata sui modelli internazionali più consolidati e sugli atti già predisposti dal progetto.</w:t>
      </w:r>
    </w:p>
    <w:bookmarkStart w:id="1634" w:name="c.1-definizione-e-teoria-del-cambiamento"/>
    <w:p>
      <w:pPr>
        <w:pStyle w:val="Heading4"/>
      </w:pPr>
      <w:r>
        <w:t xml:space="preserve">C.1 Definizione e teoria del cambiamento</w:t>
      </w:r>
    </w:p>
    <w:p>
      <w:pPr>
        <w:pStyle w:val="FirstParagraph"/>
      </w:pPr>
      <w:r>
        <w:t xml:space="preserve">L’intervento consiste nell’inserimento stabile dello psicologo nelle cure primarie, accanto al medico di medicina generale e al pediatra di libera scelta, come primo livello di ascolto, di intercettazione precoce e di filtro; l’accesso avviene su invio del medico ovvero in forma diretta, secondo percorsi definiti, e i quadri gravi o acuti sono riservati ai servizi specialistici.</w:t>
      </w:r>
      <w:r>
        <w:rPr>
          <w:rStyle w:val="FootnoteReference"/>
        </w:rPr>
        <w:footnoteReference w:id="764"/>
      </w:r>
      <w:r>
        <w:t xml:space="preserve"> </w:t>
      </w:r>
      <w:r>
        <w:t xml:space="preserve">La definizione è al tempo stesso semplice e precisa: non un nuovo servizio specialistico, ma una funzione di prossimità collocata nel luogo in cui la maggioranza dei cittadini incontra per prima il sistema sanitario, lo studio del medico di base. È questa collocazione a monte del sistema che ne definisce la natura e il valore.</w:t>
      </w:r>
    </w:p>
    <w:p>
      <w:pPr>
        <w:pStyle w:val="BodyText"/>
      </w:pPr>
      <w:r>
        <w:t xml:space="preserve">La teoria del cambiamento — il nesso esplicito tra ciò che si fa e gli effetti attesi — si fonda sul principio della prevenzione secondaria: intercettare il disagio comune nelle sue fasi iniziali, prima che si cronicizzi e che generi domanda di servizi più intensivi e costosi. Il meccanismo opera in più passaggi concatenati. Un primo livello accessibile e privo di stigma intercetta una quota del bisogno oggi inevaso; gli interventi psicologici brevi risolvono i quadri lievi e moderati, generando recupero clinico; la funzione di filtro invia ai servizi specialistici i soli quadri che li richiedono, riservando a essi la capacità specialistica; e la presa in carico precoce riduce il ricorso improprio al pronto soccorso, le prescrizioni farmacologiche inappropriate e la domanda che oggi migra verso altre regioni.</w:t>
      </w:r>
      <w:r>
        <w:rPr>
          <w:rStyle w:val="FootnoteReference"/>
        </w:rPr>
        <w:footnoteReference w:id="765"/>
      </w:r>
      <w:r>
        <w:t xml:space="preserve"> </w:t>
      </w:r>
      <w:r>
        <w:t xml:space="preserve">Gli effetti attesi si dispongono perciò su tre piani: clinico, di sistema e sociale, secondo la catena logica riepilogata nella tabella seguente.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Puglia</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780.000 persone con disagio comune, in larga parte non intercettato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Psicologo nelle cure primarie: intercettazione precoce, intervento breve, filtro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domanda trattenuta sul territorio</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minor carico familiare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1634"/>
    <w:bookmarkStart w:id="1640" w:name="c.2-il-modello-organizzativo"/>
    <w:p>
      <w:pPr>
        <w:pStyle w:val="Heading4"/>
      </w:pPr>
      <w:r>
        <w:t xml:space="preserve">C.2 Il modello organizzativo</w:t>
      </w:r>
    </w:p>
    <w:p>
      <w:pPr>
        <w:pStyle w:val="FirstParagraph"/>
      </w:pPr>
      <w:r>
        <w:t xml:space="preserve">Il modello organizzativo colloca lo psicologo negli studi di medicina generale e nelle Case della Comunità, in forte integrazione con i medici curanti, attraverso consultazioni congiunte, protocolli di invio strutturati e comunicazione facilitata. Tale assetto non è una scelta originale, ma l’adattamento al contesto pugliese di un paradigma ampiamente validato a livello internazionale, che ricorre sotto denominazioni diverse — cura collaborativa, cura integrata, cura a intensità crescente, salute mentale nelle cure primarie — e che condivide alcuni principi costitutivi: la collocazione del professionista in strutture accessibili, la focalizzazione sui disturbi comuni con triage strutturato, gli interventi brevi e orientati agli esiti, il monitoraggio sistematico e l’orientamento alla prevenzione secondaria.</w:t>
      </w:r>
      <w:r>
        <w:rPr>
          <w:rStyle w:val="FootnoteReference"/>
        </w:rPr>
        <w:footnoteReference w:id="766"/>
      </w:r>
    </w:p>
    <w:p>
      <w:pPr>
        <w:pStyle w:val="BodyText"/>
      </w:pPr>
      <w:r>
        <w:t xml:space="preserve">Il riferimento più robusto è il Collaborative Care Model, sviluppato presso l’Università di Washington e validato da oltre novanta studi randomizzati controllati, che organizza la presa in carico intorno a un’équipe integrata — il medico di base, un responsabile dell’assistenza con formazione in salute mentale e uno psichiatra consulente per i casi complessi — con screening sistematico, interventi strutturati e monitoraggio degli esiti.</w:t>
      </w:r>
      <w:r>
        <w:rPr>
          <w:rStyle w:val="FootnoteReference"/>
        </w:rPr>
        <w:footnoteReference w:id="767"/>
      </w:r>
      <w:r>
        <w:t xml:space="preserve"> </w:t>
      </w:r>
      <w:r>
        <w:t xml:space="preserve">Concorrono il programma inglese di terapie psicologiche, che ha reso operativo su larga scala il modello della cura a intensità crescente,</w:t>
      </w:r>
      <w:r>
        <w:rPr>
          <w:rStyle w:val="FootnoteReference"/>
        </w:rPr>
        <w:footnoteReference w:id="768"/>
      </w:r>
      <w:r>
        <w:t xml:space="preserve"> </w:t>
      </w:r>
      <w:r>
        <w:t xml:space="preserve">e il modello olandese che integra gli psicologi nelle cure primarie, in cui l’invio allo specialista riguarda solo i quadri più complessi, dell’ordine del quindici per cento.</w:t>
      </w:r>
      <w:r>
        <w:rPr>
          <w:rStyle w:val="FootnoteReference"/>
        </w:rPr>
        <w:footnoteReference w:id="769"/>
      </w:r>
      <w:r>
        <w:t xml:space="preserve"> </w:t>
      </w:r>
      <w:r>
        <w:t xml:space="preserve">La direzione è confermata dal quadro strategico che l’Organizzazione mondiale della sanità per l’Europa ha pubblicato nel 2025, che indica l’integrazione di professionisti dedicati nei team di cure primarie tra le strategie cardine per il potenziamento della salute mentale.</w:t>
      </w:r>
      <w:r>
        <w:rPr>
          <w:rStyle w:val="FootnoteReference"/>
        </w:rPr>
        <w:footnoteReference w:id="770"/>
      </w:r>
      <w:r>
        <w:t xml:space="preserve"> </w:t>
      </w:r>
      <w:r>
        <w:t xml:space="preserve">Il modello pugliese adotta questi principi e li cala nella propria rete di sei aziende e quarantacinque distretti.</w:t>
      </w:r>
    </w:p>
    <w:bookmarkEnd w:id="1640"/>
    <w:bookmarkStart w:id="1644" w:name="X2af7d771104f9ff8d4f88f750498b7cec7ee3c1"/>
    <w:p>
      <w:pPr>
        <w:pStyle w:val="Heading4"/>
      </w:pPr>
      <w:r>
        <w:t xml:space="preserve">C.3 Il percorso clinico, la sicurezza e gli esiti</w:t>
      </w:r>
    </w:p>
    <w:p>
      <w:pPr>
        <w:pStyle w:val="FirstParagraph"/>
      </w:pPr>
      <w:r>
        <w:t xml:space="preserve">Il percorso clinico è organizzato secondo la logica della cura a intensità crescente. Al primo livello si collocano gli interventi brevi — dell’ordine di quattro-otto sedute, fondati su principi cognitivo-comportamentali ed erogati anche come auto-aiuto guidato — destinati ai quadri lievi e moderati, che costituiscono la maggioranza del bisogno. I quadri che non rispondono o che presentano maggiore complessità accedono a interventi più strutturati, e i casi gravi sono inviati ai servizi specialistici. La porta d’ingresso e il monitoraggio si fondano su strumenti standardizzati: il PHQ-9 per i sintomi depressivi e il GAD-7 per i sintomi d’ansia, dotati di buona sensibilità e specificità, somministrati all’ingresso e lungo il percorso nei soli punteggi complessivi, a misura oggettiva del miglioramento clinico e del tasso di recupero.</w:t>
      </w:r>
      <w:r>
        <w:rPr>
          <w:rStyle w:val="FootnoteReference"/>
        </w:rPr>
        <w:footnoteReference w:id="771"/>
      </w:r>
    </w:p>
    <w:p>
      <w:pPr>
        <w:pStyle w:val="BodyText"/>
      </w:pPr>
      <w:r>
        <w:t xml:space="preserve">La sicurezza del percorso — oggetto del terzo dominio della valutazione — è presidiata da un criterio netto di appropriatezza. Sono esclusi dal primo livello i quadri gravi o acuti, ai quali è garantito l’invio appropriato ai servizi specialistici e, ove necessario, ai percorsi dell’emergenza, in raccordo con il medico curante; le situazioni di rischio per sé o per altri sono indirizzate con priorità e senza indugio, senza che lo studio o la cartella registrino il dettaglio delle modalità, a garanzia insieme di sicurezza clinica e di dignità della persona.</w:t>
      </w:r>
      <w:r>
        <w:rPr>
          <w:rStyle w:val="FootnoteReference"/>
        </w:rPr>
        <w:footnoteReference w:id="772"/>
      </w:r>
      <w:r>
        <w:t xml:space="preserve"> </w:t>
      </w:r>
      <w:r>
        <w:t xml:space="preserve">Il filtro, in questo senso, non è solo un meccanismo di efficienza, ma anche di sicurezza, poiché assicura che ciascun bisogno sia trattato nel livello assistenziale appropriato.</w:t>
      </w:r>
    </w:p>
    <w:p>
      <w:pPr>
        <w:pStyle w:val="BodyText"/>
      </w:pPr>
      <w:r>
        <w:t xml:space="preserve">Gli esiti sono articolati per tipologia, in modo da rendere conto dell’effetto dell’intervento su tutti i piani rilevanti: l’esito primario è la quota di miglioramento clinico e il tasso di recupero; gli esiti clinici secondari comprendono la remissione, la riduzione dei punteggi sintomatologici e la soddisfazione; gli esiti di processo misurano l’attività e l’appropriatezza dell’invio; gli esiti di impatto e utilizzo misurano la pressione alleviata sui servizi.</w:t>
      </w:r>
      <w:r>
        <w:rPr>
          <w:rStyle w:val="FootnoteReference"/>
        </w:rPr>
        <w:footnoteReference w:id="773"/>
      </w:r>
      <w:r>
        <w:t xml:space="preserve"> </w:t>
      </w:r>
      <w:r>
        <w:t xml:space="preserve">La tabella seguente riepiloga le prime categorie di esito, di pertinenza clinica e organizzativa; gli esiti economici e di equità sono trattati, rispettivamente, nelle Parti E e G, e l’intero sistema di indicatori è sviluppato nella Parte L.</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di equità sono trattati nelle Parti E e G).</w:t>
      </w:r>
    </w:p>
    <w:bookmarkEnd w:id="1644"/>
    <w:bookmarkStart w:id="1647" w:name="Xa378b888609c72ab1059b057c9093acc8c5e1f9"/>
    <w:p>
      <w:pPr>
        <w:pStyle w:val="Heading4"/>
      </w:pPr>
      <w:r>
        <w:t xml:space="preserve">C.4 Il sistema informativo e l’interoperabilità</w:t>
      </w:r>
    </w:p>
    <w:p>
      <w:pPr>
        <w:pStyle w:val="FirstParagraph"/>
      </w:pPr>
      <w:r>
        <w:t xml:space="preserve">Il servizio si avvale dei sistemi informativi sanitari regionali e del Fascicolo Sanitario Elettronico, quali strumenti della continuità assistenziale e dell’integrazione con la medicina generale e i servizi specialistici. È prevista una cartella dedicata, interoperabile con i sistemi aziendali, che registra in forma strutturata le prese in carico, i percorsi e le misure di esito standardizzate, e che alimenta al tempo stesso il sistema di monitoraggio, secondo standard di interoperabilità definiti a livello nazionale.</w:t>
      </w:r>
      <w:r>
        <w:rPr>
          <w:rStyle w:val="FootnoteReference"/>
        </w:rPr>
        <w:footnoteReference w:id="774"/>
      </w:r>
      <w:r>
        <w:t xml:space="preserve"> </w:t>
      </w:r>
      <w:r>
        <w:t xml:space="preserve">L’interoperabilità non è un requisito accessorio: è la condizione perché la funzione di filtro operi davvero, poiché l’invio appropriato tra primo livello, medicina generale e servizi specialistici presuppone che le informazioni cliniche rilevanti seguano la persona lungo il percorso.</w:t>
      </w:r>
    </w:p>
    <w:p>
      <w:pPr>
        <w:pStyle w:val="BodyText"/>
      </w:pPr>
      <w:r>
        <w:t xml:space="preserve">La progettazione del sistema informativo rispetta la disciplina europea e nazionale su protezione dei dati, dispositivi medici e intelligenza artificiale, con particolare attenzione alla sicurezza, alla trasparenza e alla minimizzazione dei dati trattati; al sistema di monitoraggio, e a ogni livello di analisi, sono trasmessi dati in forma aggregata, dai quali non è possibile risalire alla persona.</w:t>
      </w:r>
      <w:r>
        <w:rPr>
          <w:rStyle w:val="FootnoteReference"/>
        </w:rPr>
        <w:footnoteReference w:id="775"/>
      </w:r>
      <w:r>
        <w:t xml:space="preserve"> </w:t>
      </w:r>
      <w:r>
        <w:t xml:space="preserve">Il sistema informativo, in questo modo, assolve una doppia funzione: sostiene la cura del singolo, garantendo la continuità, e produce, in forma anonima, la base dati che alimenta la valutazione dell’intero servizio, oggetto delle parti successive dello studio.</w:t>
      </w:r>
    </w:p>
    <w:bookmarkEnd w:id="1647"/>
    <w:bookmarkStart w:id="1653" w:name="X73bc0dd523608baaf284a016c72cd04d5d86543"/>
    <w:p>
      <w:pPr>
        <w:pStyle w:val="Heading4"/>
      </w:pPr>
      <w:r>
        <w:t xml:space="preserve">C.5 Gli strumenti digitali e l’intelligenza artificiale</w:t>
      </w:r>
    </w:p>
    <w:p>
      <w:pPr>
        <w:pStyle w:val="FirstParagraph"/>
      </w:pPr>
      <w:r>
        <w:t xml:space="preserve">Il servizio si avvale di strumenti digitali e di sistemi di intelligenza artificiale a supporto della diagnostica, della prevenzione, del trattamento e della continuità assistenziale, nonché di dispositivi terapeutici digitali validati, impiegati quali ausili dell’attività professionale e non in sua sostituzione. Il principio cardine è la sorveglianza umana: l’intelligenza artificiale opera come copilota del clinico — propone, segnala, sintetizza — ma la decisione resta sempre del professionista; e l’impiego avviene nel rispetto della normativa su IA, dispositivi medici e dati, con supervisione clinica, trasparenza e sicurezza, sulla base di un elenco nazionale degli strumenti ammessi, fondato su criteri di evidenza di efficacia e di conformità regolatoria.</w:t>
      </w:r>
      <w:r>
        <w:rPr>
          <w:rStyle w:val="FootnoteReference"/>
        </w:rPr>
        <w:footnoteReference w:id="776"/>
      </w:r>
    </w:p>
    <w:p>
      <w:pPr>
        <w:pStyle w:val="BodyText"/>
      </w:pPr>
      <w:r>
        <w:t xml:space="preserve">Le funzioni sono molteplici e ben delimitate: il triage psicologico assistito e lo screening automatico per l’individuazione precoce; gli strumenti predittivi del rischio e il supporto decisionale clinico, sempre non vincolante; la riduzione del carico amministrativo mediante automazione appropriata, che restituisce tempo alla relazione di cura; l’analisi del linguaggio naturale, con i necessari requisiti di validazione, supervisione e spiegabilità.</w:t>
      </w:r>
      <w:r>
        <w:rPr>
          <w:rStyle w:val="FootnoteReference"/>
        </w:rPr>
        <w:footnoteReference w:id="777"/>
      </w:r>
      <w:r>
        <w:t xml:space="preserve"> </w:t>
      </w:r>
      <w:r>
        <w:t xml:space="preserve">A queste si aggiungono due modalità di particolare rilievo per la Puglia. La telepsicologia, prevista quale modalità integrativa e non sostitutiva, amplia l’accesso nelle aree interne e a minore densità di servizi e assicura la continuità quando lo spostamento sia difficoltoso;</w:t>
      </w:r>
      <w:r>
        <w:rPr>
          <w:rStyle w:val="FootnoteReference"/>
        </w:rPr>
        <w:footnoteReference w:id="778"/>
      </w:r>
      <w:r>
        <w:t xml:space="preserve"> </w:t>
      </w:r>
      <w:r>
        <w:t xml:space="preserve">i dispositivi terapeutici digitali — software-intervento validati e prescritti, distinti dalle applicazioni di benessere — offrono per i disturbi comuni strumenti a efficacia documentata, già dotati di modelli di rimborso consolidati in altri Paesi europei.</w:t>
      </w:r>
      <w:r>
        <w:rPr>
          <w:rStyle w:val="FootnoteReference"/>
        </w:rPr>
        <w:footnoteReference w:id="779"/>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aree interne; continuità</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p>
      <w:pPr>
        <w:pStyle w:val="BodyText"/>
      </w:pPr>
      <w:r>
        <w:t xml:space="preserve">L’adozione di questi strumenti è governata da cautele dirimenti. L’evidenza, in questo ambito disomogenea e in rapida evoluzione, impone criteri di selezione, validazione locale e gradualità; la protezione dei dati richiede sicurezza informatica e consenso espresso in forma chiara; l’equità digitale impone di garantire sempre l’alternativa dell’intervento in presenza alle persone anziane, fragili o a bassa competenza digitale, affinché l’innovazione non generi nuove disuguaglianze; e la supervisione clinica resta, in ogni caso, la condizione ultima dell’impiego responsabile.</w:t>
      </w:r>
      <w:r>
        <w:rPr>
          <w:rStyle w:val="FootnoteReference"/>
        </w:rPr>
        <w:footnoteReference w:id="780"/>
      </w:r>
      <w:r>
        <w:t xml:space="preserve"> </w:t>
      </w:r>
      <w:r>
        <w:t xml:space="preserve">L’effetto economico di questi strumenti, infine, non costituisce una posta aggiuntiva: esso è già ricompreso nei canali della salute mentale e della farmaceutica della valutazione economica, ed è trattato nella Parte E.</w:t>
      </w:r>
    </w:p>
    <w:bookmarkEnd w:id="1653"/>
    <w:bookmarkStart w:id="1655" w:name="c.6-la-formazione-e-le-competenze"/>
    <w:p>
      <w:pPr>
        <w:pStyle w:val="Heading4"/>
      </w:pPr>
      <w:r>
        <w:t xml:space="preserve">C.6 La formazione e le competenze</w:t>
      </w:r>
    </w:p>
    <w:p>
      <w:pPr>
        <w:pStyle w:val="FirstParagraph"/>
      </w:pPr>
      <w:r>
        <w:t xml:space="preserve">L’efficacia del modello dipende dalle competenze dei professionisti che lo attuano, e la formazione è perciò parte costitutiva dell’intervento, non un suo corollario. Il programma formativo è articolato su quattro livelli integrati — universitario, post-universitario specialistico, continuo in ambito lavorativo e di affiancamento operativo — con una componente trasversale dedicata all’intelligenza artificiale applicata alle cure primarie, ed è realizzato in collaborazione con le università, l’Ordine degli Psicologi e le istituzioni scientifiche, sotto l’indirizzo dell’Osservatorio regionale.</w:t>
      </w:r>
      <w:r>
        <w:rPr>
          <w:rStyle w:val="FootnoteReference"/>
        </w:rPr>
        <w:footnoteReference w:id="781"/>
      </w:r>
      <w:r>
        <w:t xml:space="preserve"> </w:t>
      </w:r>
      <w:r>
        <w:t xml:space="preserve">La formazione è essa stessa scaglionata, in modo da rendere disponibili i professionisti formati in corrispondenza delle fasi di attivazione del servizio, e si rivolge non ai soli psicologi, ma anche ai medici delle cure primarie con cui essi collaborano.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Università regionali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di base e cure primarie: modelli organizzativi, collaborazione, misure di esito, percorsi clinici</w:t>
            </w:r>
          </w:p>
        </w:tc>
        <w:tc>
          <w:tcPr>
            <w:shd w:val="clear" w:color="auto" w:fill="F4F1EC"/>
          </w:tcPr>
          <w:p>
            <w:pPr>
              <w:pStyle w:val="Compact"/>
              <w:spacing w:after="40" w:before="40"/>
              <w:jc w:val="left"/>
            </w:pPr>
            <w:r>
              <w:rPr>
                <w:rFonts w:ascii="Cambria" w:hAnsi="Cambria" w:cs="Cambria" w:eastAsia="Cambria"/>
                <w:color w:val="1A1A1A"/>
                <w:sz w:val="18"/>
              </w:rPr>
              <w:t xml:space="preserve">Corso regionale con attestato</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Tutor aziendali;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t xml:space="preserve">La componente trasversale sull’intelligenza artificiale merita un’ultima notazione, perché collega questa parte alle precedenti. Essa abilita il professionista a selezionare lo strumento appropriato all’indicazione e al profilo della persona, a escludere le controindicazioni, a integrarlo nel percorso e a interpretarne gli esiti: è la competenza che rende l’innovazione tecnologica un ausilio sicuro anziché un rischio. Con la descrizione dell’intervento, del suo modello, del percorso, del sistema informativo, degli strumenti digitali e della formazione, la Parte C completa il quadro di ciò che la riforma è; le parti successive ne accertano l’efficacia sulla base dell’evidenza, a partire dalla revisione sistematica della Parte D.</w:t>
      </w:r>
    </w:p>
    <w:bookmarkEnd w:id="1655"/>
    <w:bookmarkEnd w:id="1656"/>
    <w:bookmarkEnd w:id="1657"/>
    <w:bookmarkStart w:id="1684" w:name="parte-e-valutazione-economica"/>
    <w:p>
      <w:pPr>
        <w:pStyle w:val="Heading2"/>
      </w:pPr>
      <w:r>
        <w:t xml:space="preserve">Parte E — Valutazione economica</w:t>
      </w:r>
    </w:p>
    <w:p>
      <w:pPr>
        <w:pStyle w:val="FirstParagraph"/>
      </w:pPr>
      <w:r>
        <w:t xml:space="preserve">Studio regionale Puglia · Parte E · Valutazione economica</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Costi, esiti, costo-efficacia e costo-utilità, impatto sul bilancio, ritorno sociale, caso economico e caso finanziario</w:t>
      </w:r>
    </w:p>
    <w:p>
      <w:pPr>
        <w:pStyle w:val="BodyText"/>
      </w:pPr>
      <w:r>
        <w:t xml:space="preserve">Dominio 5 del modello HTA · reporting CHEERS 2022 · casi economico e finanziario · criterio di efficienza</w:t>
      </w:r>
    </w:p>
    <w:p>
      <w:pPr>
        <w:pStyle w:val="BodyText"/>
      </w:pPr>
      <w:r>
        <w:rPr>
          <w:b/>
          <w:bCs/>
        </w:rPr>
        <w:t xml:space="preserve">Indice</w:t>
      </w:r>
    </w:p>
    <w:bookmarkStart w:id="1683" w:name="parte-e-valutazione-economica-1"/>
    <w:p>
      <w:pPr>
        <w:pStyle w:val="Heading3"/>
      </w:pPr>
      <w:r>
        <w:t xml:space="preserve">Parte E — Valutazione economica</w:t>
      </w:r>
    </w:p>
    <w:p>
      <w:pPr>
        <w:pStyle w:val="FirstParagraph"/>
      </w:pPr>
      <w:r>
        <w:t xml:space="preserve">Questa parte corrisponde al quinto dominio della valutazione di tecnologia sanitaria, i costi e la valutazione economica, ed è redatta secondo lo standard di reporting CHEERS 2022; fornisce il contenuto del caso economico e del caso finanziario del Five Case Model e risponde al criterio di efficienza.</w:t>
      </w:r>
      <w:r>
        <w:rPr>
          <w:rStyle w:val="FootnoteReference"/>
        </w:rPr>
        <w:footnoteReference w:id="782"/>
      </w:r>
      <w:r>
        <w:t xml:space="preserve"> </w:t>
      </w:r>
      <w:r>
        <w:t xml:space="preserve">È il cuore economico dello studio, ed è anche la parte più esposta allo scrutinio degli organi di controllo. Per questa ragione essa adotta una scelta di rigore che ne attraversa ogni capitolo: la distinzione netta tra il risparmio diretto per il bilancio sanitario e le ricadute economico-sociali per la collettività. Sommare le due grandezze, come spesso accade, sovrastima il beneficio per il bilancio; tenerle separate restituisce un quadro più sobrio sui conti sanitari, ma più solido e difendibile — una qualità decisiva per una regione in disavanzo. I capitoli trattano nell’ordine i costi (E.1), gli esiti (E.2), il costo-efficacia (E.3), l’impatto sul bilancio (E.4), il ritorno sociale (E.5) e la sintesi nei due casi (E.6).</w:t>
      </w:r>
    </w:p>
    <w:bookmarkStart w:id="1662" w:name="Xc9e56968c10ff4a681cb718d076dbd9c712e3b3"/>
    <w:p>
      <w:pPr>
        <w:pStyle w:val="Heading4"/>
      </w:pPr>
      <w:r>
        <w:t xml:space="preserve">E.1 L’identificazione e la misura dei costi</w:t>
      </w:r>
    </w:p>
    <w:p>
      <w:pPr>
        <w:pStyle w:val="FirstParagraph"/>
      </w:pPr>
      <w:r>
        <w:t xml:space="preserve">Il costo del servizio dipende dal numero di professionisti e dal modello contrattuale. Il costo medio annuo di un incarico convenzionale a tempo pieno è dell’ordine di 55.000 euro — circa 40 euro l’ora di costo-azienda comprensivo degli oneri, per circa 1.250 ore l’anno, più circa 5.000 euro di costi generali — ancorato all’accordo della specialistica ambulatoriale.</w:t>
      </w:r>
      <w:r>
        <w:rPr>
          <w:rStyle w:val="FootnoteReference"/>
        </w:rPr>
        <w:footnoteReference w:id="783"/>
      </w:r>
      <w:r>
        <w:t xml:space="preserve"> </w:t>
      </w:r>
      <w:r>
        <w:t xml:space="preserve">Applicato agli scenari di copertura, da circa 450 a circa 900 incarichi, il costo annuo del servizio va da circa 25 a circa 50 milioni di euro, fino a 60–75 milioni nell’ipotesi di costi pieni e massima copertura. Il costo non si esaurisce, tuttavia, nell’organico: l’investimento comprende anche la formazione, la supervisione clinica, la governance, i sistemi informativi e le infrastrutture, e questi costi non sanitari sono inclusi coerentemente con la doppia prospettiva adottata.</w:t>
      </w:r>
      <w:r>
        <w:rPr>
          <w:rStyle w:val="FootnoteReference"/>
        </w:rPr>
        <w:footnoteReference w:id="784"/>
      </w:r>
      <w:r>
        <w:rPr>
          <w:rStyle w:val="FootnoteReference"/>
        </w:rPr>
        <w:footnoteReference w:id="785"/>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 (mln €)</w:t>
            </w:r>
          </w:p>
        </w:tc>
      </w:tr>
      <w:tr>
        <w:tc>
          <w:tcPr/>
          <w:p>
            <w:pPr>
              <w:pStyle w:val="Compact"/>
              <w:spacing w:after="40" w:before="40"/>
              <w:jc w:val="left"/>
            </w:pPr>
            <w:r>
              <w:rPr>
                <w:rFonts w:ascii="Cambria" w:hAnsi="Cambria" w:cs="Cambria" w:eastAsia="Cambria"/>
                <w:b/>
                <w:bCs/>
                <w:color w:val="1A1A1A"/>
                <w:sz w:val="18"/>
              </w:rPr>
              <w:t xml:space="preserve">Attuale (L.R. 11/2023)</w:t>
            </w:r>
          </w:p>
        </w:tc>
        <w:tc>
          <w:tcPr/>
          <w:p>
            <w:pPr>
              <w:pStyle w:val="Compact"/>
              <w:spacing w:after="40" w:before="40"/>
              <w:jc w:val="left"/>
            </w:pPr>
            <w:r>
              <w:rPr>
                <w:rFonts w:ascii="Cambria" w:hAnsi="Cambria" w:cs="Cambria" w:eastAsia="Cambria"/>
                <w:color w:val="1A1A1A"/>
                <w:sz w:val="18"/>
              </w:rPr>
              <w:t xml:space="preserve">~ 45 (uno per distretto)</w:t>
            </w:r>
          </w:p>
        </w:tc>
        <w:tc>
          <w:tcPr/>
          <w:p>
            <w:pPr>
              <w:pStyle w:val="Compact"/>
              <w:spacing w:after="40" w:before="40"/>
              <w:jc w:val="left"/>
            </w:pPr>
            <w:r>
              <w:rPr>
                <w:rFonts w:ascii="Cambria" w:hAnsi="Cambria" w:cs="Cambria" w:eastAsia="Cambria"/>
                <w:color w:val="1A1A1A"/>
                <w:sz w:val="18"/>
              </w:rPr>
              <w:t xml:space="preserve">1,5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Conservativo</w:t>
            </w:r>
          </w:p>
        </w:tc>
        <w:tc>
          <w:tcPr>
            <w:shd w:val="clear" w:color="auto" w:fill="F4F1EC"/>
          </w:tcPr>
          <w:p>
            <w:pPr>
              <w:pStyle w:val="Compact"/>
              <w:spacing w:after="40" w:before="40"/>
              <w:jc w:val="left"/>
            </w:pPr>
            <w:r>
              <w:rPr>
                <w:rFonts w:ascii="Cambria" w:hAnsi="Cambria" w:cs="Cambria" w:eastAsia="Cambria"/>
                <w:color w:val="1A1A1A"/>
                <w:sz w:val="18"/>
              </w:rPr>
              <w:t xml:space="preserve">~ 450</w:t>
            </w:r>
          </w:p>
        </w:tc>
        <w:tc>
          <w:tcPr>
            <w:shd w:val="clear" w:color="auto" w:fill="F4F1EC"/>
          </w:tcPr>
          <w:p>
            <w:pPr>
              <w:pStyle w:val="Compact"/>
              <w:spacing w:after="40" w:before="40"/>
              <w:jc w:val="left"/>
            </w:pPr>
            <w:r>
              <w:rPr>
                <w:rFonts w:ascii="Cambria" w:hAnsi="Cambria" w:cs="Cambria" w:eastAsia="Cambria"/>
                <w:color w:val="1A1A1A"/>
                <w:sz w:val="18"/>
              </w:rPr>
              <w:t xml:space="preserve">~ 25</w:t>
            </w:r>
          </w:p>
        </w:tc>
      </w:tr>
      <w:tr>
        <w:tc>
          <w:tcPr/>
          <w:p>
            <w:pPr>
              <w:pStyle w:val="Compact"/>
              <w:spacing w:after="40" w:before="40"/>
              <w:jc w:val="left"/>
            </w:pPr>
            <w:r>
              <w:rPr>
                <w:rFonts w:ascii="Cambria" w:hAnsi="Cambria" w:cs="Cambria" w:eastAsia="Cambria"/>
                <w:b/>
                <w:bCs/>
                <w:color w:val="1A1A1A"/>
                <w:sz w:val="18"/>
              </w:rPr>
              <w:t xml:space="preserve">Base</w:t>
            </w:r>
          </w:p>
        </w:tc>
        <w:tc>
          <w:tcPr/>
          <w:p>
            <w:pPr>
              <w:pStyle w:val="Compact"/>
              <w:spacing w:after="40" w:before="40"/>
              <w:jc w:val="left"/>
            </w:pPr>
            <w:r>
              <w:rPr>
                <w:rFonts w:ascii="Cambria" w:hAnsi="Cambria" w:cs="Cambria" w:eastAsia="Cambria"/>
                <w:color w:val="1A1A1A"/>
                <w:sz w:val="18"/>
              </w:rPr>
              <w:t xml:space="preserve">~ 700</w:t>
            </w:r>
          </w:p>
        </w:tc>
        <w:tc>
          <w:tcPr/>
          <w:p>
            <w:pPr>
              <w:pStyle w:val="Compact"/>
              <w:spacing w:after="40" w:before="40"/>
              <w:jc w:val="left"/>
            </w:pPr>
            <w:r>
              <w:rPr>
                <w:rFonts w:ascii="Cambria" w:hAnsi="Cambria" w:cs="Cambria" w:eastAsia="Cambria"/>
                <w:color w:val="1A1A1A"/>
                <w:sz w:val="18"/>
              </w:rPr>
              <w:t xml:space="preserve">~ 38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Espansivo</w:t>
            </w:r>
          </w:p>
        </w:tc>
        <w:tc>
          <w:tcPr>
            <w:shd w:val="clear" w:color="auto" w:fill="F4F1EC"/>
          </w:tcPr>
          <w:p>
            <w:pPr>
              <w:pStyle w:val="Compact"/>
              <w:spacing w:after="40" w:before="40"/>
              <w:jc w:val="left"/>
            </w:pPr>
            <w:r>
              <w:rPr>
                <w:rFonts w:ascii="Cambria" w:hAnsi="Cambria" w:cs="Cambria" w:eastAsia="Cambria"/>
                <w:color w:val="1A1A1A"/>
                <w:sz w:val="18"/>
              </w:rPr>
              <w:t xml:space="preserve">~ 900</w:t>
            </w:r>
          </w:p>
        </w:tc>
        <w:tc>
          <w:tcPr>
            <w:shd w:val="clear" w:color="auto" w:fill="F4F1EC"/>
          </w:tcPr>
          <w:p>
            <w:pPr>
              <w:pStyle w:val="Compact"/>
              <w:spacing w:after="40" w:before="40"/>
              <w:jc w:val="left"/>
            </w:pPr>
            <w:r>
              <w:rPr>
                <w:rFonts w:ascii="Cambria" w:hAnsi="Cambria" w:cs="Cambria" w:eastAsia="Cambria"/>
                <w:color w:val="1A1A1A"/>
                <w:sz w:val="18"/>
              </w:rPr>
              <w:t xml:space="preserve">~ 50 (fino a 60–75 a costi pieni)</w:t>
            </w:r>
          </w:p>
        </w:tc>
      </w:tr>
    </w:tbl>
    <w:p>
      <w:pPr>
        <w:pStyle w:val="BodyText"/>
      </w:pPr>
      <w:r>
        <w:rPr>
          <w:i/>
          <w:iCs/>
        </w:rPr>
        <w:t xml:space="preserve">Tabella E.1. Il costo del servizio per scenario di copertura. Il servizio attuale copre circa il 5% del fabbisogno.</w:t>
      </w:r>
    </w:p>
    <w:bookmarkEnd w:id="1662"/>
    <w:bookmarkStart w:id="1664" w:name="X9718c06a57ba70cf6babbdc4a2cdb23fc402e83"/>
    <w:p>
      <w:pPr>
        <w:pStyle w:val="Heading4"/>
      </w:pPr>
      <w:r>
        <w:t xml:space="preserve">E.2 L’identificazione e la misura degli esiti</w:t>
      </w:r>
    </w:p>
    <w:p>
      <w:pPr>
        <w:pStyle w:val="FirstParagraph"/>
      </w:pPr>
      <w:r>
        <w:t xml:space="preserve">Gli esiti della valutazione economica sono di due ordini. Sul piano della salute, la misura di riferimento è l’anno di vita ponderato per la qualità, che integra in un’unica grandezza la durata e la qualità della vita guadagnate, affiancato dagli esiti clinici validati — il tasso di recupero e il miglioramento affidabile misurati con il PHQ-9 e il GAD-7 — già documentati nella Parte D.</w:t>
      </w:r>
      <w:r>
        <w:rPr>
          <w:rStyle w:val="FootnoteReference"/>
        </w:rPr>
        <w:footnoteReference w:id="786"/>
      </w:r>
      <w:r>
        <w:t xml:space="preserve"> </w:t>
      </w:r>
      <w:r>
        <w:t xml:space="preserve">Tali esiti sono riferiti alla popolazione regionale con disagio comune, dell’ordine di 780.000 persone: è la scala della popolazione a trasformare un effetto clinico individuale anche contenuto in un guadagno di salute aggregato rilevante, secondo la logica già illustrata a proposito della lettura degli effect size.</w:t>
      </w:r>
    </w:p>
    <w:p>
      <w:pPr>
        <w:pStyle w:val="BodyText"/>
      </w:pPr>
      <w:r>
        <w:t xml:space="preserve">Sul piano economico, gli esiti si distinguono nelle due grandezze che l’intera parte tiene separate: i minori costi diretti per il Servizio sanitario regionale, oggetto del capitolo sull’impatto di bilancio, e le ricadute economico-sociali, oggetto del capitolo sul ritorno sociale. La misura degli esiti, dunque, non si limita al guadagno di salute, ma comprende le conseguenze economiche che da quel guadagno discendono, distinte per il soggetto che le riceve — il bilancio sanitario, da un lato, e la collettività, dall’altro.</w:t>
      </w:r>
    </w:p>
    <w:bookmarkEnd w:id="1664"/>
    <w:bookmarkStart w:id="1666" w:name="Xf8993466b77331c5f37cf921d0b476493c54439"/>
    <w:p>
      <w:pPr>
        <w:pStyle w:val="Heading4"/>
      </w:pPr>
      <w:r>
        <w:t xml:space="preserve">E.3 Il costo-efficacia e il costo-utilità</w:t>
      </w:r>
    </w:p>
    <w:p>
      <w:pPr>
        <w:pStyle w:val="FirstParagraph"/>
      </w:pPr>
      <w:r>
        <w:t xml:space="preserve">L’analisi di costo-utilità rapporta il costo aggiuntivo del servizio al guadagno in anni di vita ponderati per la qualità, secondo il rapporto incrementale di costo-efficacia, e lo confronta con una soglia di disponibilità a pagare, come prescrive il manuale del NICE.</w:t>
      </w:r>
      <w:r>
        <w:rPr>
          <w:rStyle w:val="FootnoteReference"/>
        </w:rPr>
        <w:footnoteReference w:id="787"/>
      </w:r>
      <w:r>
        <w:t xml:space="preserve"> </w:t>
      </w:r>
      <w:r>
        <w:t xml:space="preserve">L’evidenza internazionale, ripresa dalla Parte D, indica che i modelli di integrazione della salute mentale nelle cure primarie sono costo-efficaci, con un investimento iniziale ampiamente compensato dai miglioramenti clinici e dalla minore intensità di cura nel medio periodo. Per la Puglia, il rapporto incrementale specifico sarà calcolato sui dati certificati una volta acquisiti; in questa fase, la valutazione poggia sulla solidità dell’evidenza internazionale e sulla convergenza dei canali di risparmio diretto, trattati nel capitolo seguente.</w:t>
      </w:r>
    </w:p>
    <w:p>
      <w:pPr>
        <w:pStyle w:val="BodyText"/>
      </w:pPr>
      <w:r>
        <w:t xml:space="preserve">È opportuno chiarire il rapporto tra l’analisi di costo-utilità e l’analisi di impatto sul bilancio, che rispondono a domande diverse e adottano convenzioni diverse. La prima misura l’efficienza allocativa — se il guadagno di salute valga il suo costo — e attualizza simmetricamente costi ed esiti al tasso del 3%; la seconda misura la sostenibilità finanziaria — se il bilancio possa assorbire la spesa, esercizio per esercizio — e opera su flussi non scontati. La loro distinzione, lungi dall’essere un tecnicismo, riflette la stessa separazione tra valore ed entità della spesa che struttura l’intera parte, e che il capitolo conclusivo ricompone nei due casi del Five Case Model.</w:t>
      </w:r>
    </w:p>
    <w:bookmarkEnd w:id="1666"/>
    <w:bookmarkStart w:id="1674" w:name="e.4-limpatto-sul-bilancio"/>
    <w:p>
      <w:pPr>
        <w:pStyle w:val="Heading4"/>
      </w:pPr>
      <w:r>
        <w:t xml:space="preserve">E.4 L’impatto sul bilancio</w:t>
      </w:r>
    </w:p>
    <w:p>
      <w:pPr>
        <w:pStyle w:val="FirstParagraph"/>
      </w:pPr>
      <w:r>
        <w:t xml:space="preserve">L’analisi di impatto sul bilancio adotta la prospettiva del detentore del budget — il Servizio sanitario regionale — e stima, sui flussi non scontati, la differenza tra lo scenario con e senza il servizio, anno per anno, individuando il punto di pareggio finanziario, atteso tra il terzo e il quinto anno.</w:t>
      </w:r>
      <w:r>
        <w:rPr>
          <w:rStyle w:val="FootnoteReference"/>
        </w:rPr>
        <w:footnoteReference w:id="788"/>
      </w:r>
      <w:r>
        <w:t xml:space="preserve"> </w:t>
      </w:r>
      <w:r>
        <w:t xml:space="preserve">I risparmi diretti per il bilancio sono ricostruiti per canale, ciascuno ancorato a una grandezza regionale e a un parametro tratto dall’evidenza. Il canale del pronto soccorso muove dai circa 914.000 accessi inappropriati, dei quali una quota di origine psichica è riducibile, per un risparmio di 3–5 milioni;</w:t>
      </w:r>
      <w:r>
        <w:rPr>
          <w:rStyle w:val="FootnoteReference"/>
        </w:rPr>
        <w:footnoteReference w:id="789"/>
      </w:r>
      <w:r>
        <w:t xml:space="preserve"> </w:t>
      </w:r>
      <w:r>
        <w:t xml:space="preserve">il canale della farmaceutica agisce sui margini di appropriatezza segnalati dall’alto consumo e dalla bassa aderenza agli antidepressivi, per 3–6 milioni;</w:t>
      </w:r>
      <w:r>
        <w:rPr>
          <w:rStyle w:val="FootnoteReference"/>
        </w:rPr>
        <w:footnoteReference w:id="790"/>
      </w:r>
      <w:r>
        <w:t xml:space="preserve"> </w:t>
      </w:r>
      <w:r>
        <w:t xml:space="preserve">il canale dei ricoveri e della specialistica muove dall’iper-utilizzo associato ai sintomi somatici funzionali e dai ricoveri evitabili, per 9–27 milioni;</w:t>
      </w:r>
      <w:r>
        <w:rPr>
          <w:rStyle w:val="FootnoteReference"/>
        </w:rPr>
        <w:footnoteReference w:id="791"/>
      </w:r>
      <w:r>
        <w:t xml:space="preserve"> </w:t>
      </w:r>
      <w:r>
        <w:t xml:space="preserve">e il canale della mobilità recuperata — il più distintivo per la Puglia — trattiene sul territorio una quota della domanda oggi in fuga, per 5–12 milioni.</w:t>
      </w:r>
      <w:r>
        <w:rPr>
          <w:rStyle w:val="FootnoteReference"/>
        </w:rPr>
        <w:footnoteReference w:id="792"/>
      </w:r>
    </w:p>
    <w:p>
      <w:pPr>
        <w:pStyle w:val="BodyText"/>
      </w:pPr>
      <w:r>
        <w:t xml:space="preserve">Aggregati i canali, i risparmi diretti per il Servizio sanitario regionale sono dell’ordine di 20, 34 e 50 milioni di euro l’anno secondo lo scenario, a fronte di un costo del servizio di 25, 38 e 50 milioni. Ne discende il dato più importante e più onesto dell’intera valutazione: sul solo bilancio sanitario, il saldo diretto è prossimo al pareggio — da un lieve disavanzo a un lieve attivo — e non un ampio risparmio.</w:t>
      </w:r>
      <w:r>
        <w:rPr>
          <w:rStyle w:val="FootnoteReference"/>
        </w:rPr>
        <w:footnoteReference w:id="793"/>
      </w:r>
      <w:r>
        <w:t xml:space="preserve"> </w:t>
      </w:r>
      <w:r>
        <w:t xml:space="preserve">Questo non indebolisce la proposta. Da un lato, il costo del servizio, a fronte di un finanziamento regionale di circa 8,8 miliardi, ne costituisce una frazione modesta: la questione non è la sostenibilità della spesa, ma il suo dimensionamento. Dall’altro, il fondamento della misura non è soltanto il risparmio, ma l’obbligo di garantire i livelli essenziali intercettando un bisogno largamente inevaso, in un quadro in cui la Corte costituzionale impone di giustificare ogni impiego con quella garanzia.</w:t>
      </w:r>
      <w:r>
        <w:rPr>
          <w:rStyle w:val="FootnoteReference"/>
        </w:rPr>
        <w:footnoteReference w:id="794"/>
      </w:r>
      <w:r>
        <w:t xml:space="preserve"> </w:t>
      </w:r>
      <w:r>
        <w:t xml:space="preserve">La tabella seguente riporta i canali e il saldo diretto per scenario.</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Canale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4</w:t>
            </w:r>
          </w:p>
        </w:tc>
        <w:tc>
          <w:tcPr/>
          <w:p>
            <w:pPr>
              <w:pStyle w:val="Compact"/>
              <w:spacing w:after="40" w:before="40"/>
              <w:jc w:val="left"/>
            </w:pPr>
            <w:r>
              <w:rPr>
                <w:rFonts w:ascii="Cambria" w:hAnsi="Cambria" w:cs="Cambria" w:eastAsia="Cambria"/>
                <w:color w:val="1A1A1A"/>
                <w:sz w:val="18"/>
              </w:rPr>
              <w:t xml:space="preserve">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Farmaceutica</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6</w:t>
            </w:r>
          </w:p>
        </w:tc>
      </w:tr>
      <w:tr>
        <w:tc>
          <w:tcPr/>
          <w:p>
            <w:pPr>
              <w:pStyle w:val="Compact"/>
              <w:spacing w:after="40" w:before="40"/>
              <w:jc w:val="left"/>
            </w:pPr>
            <w:r>
              <w:rPr>
                <w:rFonts w:ascii="Cambria" w:hAnsi="Cambria" w:cs="Cambria" w:eastAsia="Cambria"/>
                <w:b/>
                <w:bCs/>
                <w:color w:val="1A1A1A"/>
                <w:sz w:val="18"/>
              </w:rPr>
              <w:t xml:space="preserve">Ricoveri e specialistica</w:t>
            </w:r>
          </w:p>
        </w:tc>
        <w:tc>
          <w:tcPr/>
          <w:p>
            <w:pPr>
              <w:pStyle w:val="Compact"/>
              <w:spacing w:after="40" w:before="40"/>
              <w:jc w:val="left"/>
            </w:pPr>
            <w:r>
              <w:rPr>
                <w:rFonts w:ascii="Cambria" w:hAnsi="Cambria" w:cs="Cambria" w:eastAsia="Cambria"/>
                <w:color w:val="1A1A1A"/>
                <w:sz w:val="18"/>
              </w:rPr>
              <w:t xml:space="preserve">9</w:t>
            </w:r>
          </w:p>
        </w:tc>
        <w:tc>
          <w:tcPr/>
          <w:p>
            <w:pPr>
              <w:pStyle w:val="Compact"/>
              <w:spacing w:after="40" w:before="40"/>
              <w:jc w:val="left"/>
            </w:pPr>
            <w:r>
              <w:rPr>
                <w:rFonts w:ascii="Cambria" w:hAnsi="Cambria" w:cs="Cambria" w:eastAsia="Cambria"/>
                <w:color w:val="1A1A1A"/>
                <w:sz w:val="18"/>
              </w:rPr>
              <w:t xml:space="preserve">16</w:t>
            </w:r>
          </w:p>
        </w:tc>
        <w:tc>
          <w:tcPr/>
          <w:p>
            <w:pPr>
              <w:pStyle w:val="Compact"/>
              <w:spacing w:after="40" w:before="40"/>
              <w:jc w:val="left"/>
            </w:pPr>
            <w:r>
              <w:rPr>
                <w:rFonts w:ascii="Cambria" w:hAnsi="Cambria" w:cs="Cambria" w:eastAsia="Cambria"/>
                <w:color w:val="1A1A1A"/>
                <w:sz w:val="18"/>
              </w:rPr>
              <w:t xml:space="preserve">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recuperata</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9</w:t>
            </w:r>
          </w:p>
        </w:tc>
        <w:tc>
          <w:tcPr>
            <w:shd w:val="clear" w:color="auto" w:fill="F4F1EC"/>
          </w:tcPr>
          <w:p>
            <w:pPr>
              <w:pStyle w:val="Compact"/>
              <w:spacing w:after="40" w:before="40"/>
              <w:jc w:val="left"/>
            </w:pPr>
            <w:r>
              <w:rPr>
                <w:rFonts w:ascii="Cambria" w:hAnsi="Cambria" w:cs="Cambria" w:eastAsia="Cambria"/>
                <w:color w:val="1A1A1A"/>
                <w:sz w:val="18"/>
              </w:rPr>
              <w:t xml:space="preserve">12</w:t>
            </w:r>
          </w:p>
        </w:tc>
      </w:tr>
      <w:tr>
        <w:tc>
          <w:tcPr/>
          <w:p>
            <w:pPr>
              <w:pStyle w:val="Compact"/>
              <w:spacing w:after="40" w:before="40"/>
              <w:jc w:val="left"/>
            </w:pPr>
            <w:r>
              <w:rPr>
                <w:rFonts w:ascii="Cambria" w:hAnsi="Cambria" w:cs="Cambria" w:eastAsia="Cambria"/>
                <w:b/>
                <w:bCs/>
                <w:color w:val="1A1A1A"/>
                <w:sz w:val="18"/>
              </w:rPr>
              <w:t xml:space="preserve">Risparmi diretti (totale)</w:t>
            </w:r>
          </w:p>
        </w:tc>
        <w:tc>
          <w:tcPr/>
          <w:p>
            <w:pPr>
              <w:pStyle w:val="Compact"/>
              <w:spacing w:after="40" w:before="40"/>
              <w:jc w:val="left"/>
            </w:pPr>
            <w:r>
              <w:rPr>
                <w:rFonts w:ascii="Cambria" w:hAnsi="Cambria" w:cs="Cambria" w:eastAsia="Cambria"/>
                <w:color w:val="1A1A1A"/>
                <w:sz w:val="18"/>
              </w:rPr>
              <w:t xml:space="preserve">~ 20</w:t>
            </w:r>
          </w:p>
        </w:tc>
        <w:tc>
          <w:tcPr/>
          <w:p>
            <w:pPr>
              <w:pStyle w:val="Compact"/>
              <w:spacing w:after="40" w:before="40"/>
              <w:jc w:val="left"/>
            </w:pPr>
            <w:r>
              <w:rPr>
                <w:rFonts w:ascii="Cambria" w:hAnsi="Cambria" w:cs="Cambria" w:eastAsia="Cambria"/>
                <w:color w:val="1A1A1A"/>
                <w:sz w:val="18"/>
              </w:rPr>
              <w:t xml:space="preserve">~ 34</w:t>
            </w:r>
          </w:p>
        </w:tc>
        <w:tc>
          <w:tcPr/>
          <w:p>
            <w:pPr>
              <w:pStyle w:val="Compact"/>
              <w:spacing w:after="40" w:before="40"/>
              <w:jc w:val="left"/>
            </w:pPr>
            <w:r>
              <w:rPr>
                <w:rFonts w:ascii="Cambria" w:hAnsi="Cambria" w:cs="Cambria" w:eastAsia="Cambria"/>
                <w:color w:val="1A1A1A"/>
                <w:sz w:val="18"/>
              </w:rPr>
              <w:t xml:space="preserve">~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25</w:t>
            </w:r>
          </w:p>
        </w:tc>
        <w:tc>
          <w:tcPr>
            <w:shd w:val="clear" w:color="auto" w:fill="F4F1EC"/>
          </w:tcPr>
          <w:p>
            <w:pPr>
              <w:pStyle w:val="Compact"/>
              <w:spacing w:after="40" w:before="40"/>
              <w:jc w:val="left"/>
            </w:pPr>
            <w:r>
              <w:rPr>
                <w:rFonts w:ascii="Cambria" w:hAnsi="Cambria" w:cs="Cambria" w:eastAsia="Cambria"/>
                <w:color w:val="1A1A1A"/>
                <w:sz w:val="18"/>
              </w:rPr>
              <w:t xml:space="preserve">~ 38</w:t>
            </w:r>
          </w:p>
        </w:tc>
        <w:tc>
          <w:tcPr>
            <w:shd w:val="clear" w:color="auto" w:fill="F4F1EC"/>
          </w:tcPr>
          <w:p>
            <w:pPr>
              <w:pStyle w:val="Compact"/>
              <w:spacing w:after="40" w:before="40"/>
              <w:jc w:val="left"/>
            </w:pPr>
            <w:r>
              <w:rPr>
                <w:rFonts w:ascii="Cambria" w:hAnsi="Cambria" w:cs="Cambria" w:eastAsia="Cambria"/>
                <w:color w:val="1A1A1A"/>
                <w:sz w:val="18"/>
              </w:rPr>
              <w:t xml:space="preserve">~ 50</w:t>
            </w:r>
          </w:p>
        </w:tc>
      </w:tr>
      <w:tr>
        <w:tc>
          <w:tcPr/>
          <w:p>
            <w:pPr>
              <w:pStyle w:val="Compact"/>
              <w:spacing w:after="40" w:before="40"/>
              <w:jc w:val="left"/>
            </w:pPr>
            <w:r>
              <w:rPr>
                <w:rFonts w:ascii="Cambria" w:hAnsi="Cambria" w:cs="Cambria" w:eastAsia="Cambria"/>
                <w:b/>
                <w:bCs/>
                <w:color w:val="1A1A1A"/>
                <w:sz w:val="18"/>
              </w:rPr>
              <w:t xml:space="preserve">Saldo diretto (solo SSR)</w:t>
            </w:r>
          </w:p>
        </w:tc>
        <w:tc>
          <w:tcPr/>
          <w:p>
            <w:pPr>
              <w:pStyle w:val="Compact"/>
              <w:spacing w:after="40" w:before="40"/>
              <w:jc w:val="left"/>
            </w:pPr>
            <w:r>
              <w:rPr>
                <w:rFonts w:ascii="Cambria" w:hAnsi="Cambria" w:cs="Cambria" w:eastAsia="Cambria"/>
                <w:color w:val="1A1A1A"/>
                <w:sz w:val="18"/>
              </w:rPr>
              <w:t xml:space="preserve">~ −5</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0</w:t>
            </w:r>
          </w:p>
        </w:tc>
      </w:tr>
    </w:tbl>
    <w:p>
      <w:pPr>
        <w:pStyle w:val="BodyText"/>
      </w:pPr>
      <w:r>
        <w:rPr>
          <w:i/>
          <w:iCs/>
        </w:rPr>
        <w:t xml:space="preserve">Tabella E.2. I risparmi diretti per canale e il saldo diretto sul bilancio sanitario, per scenario. Il saldo diretto è prossimo al pareggio.</w:t>
      </w:r>
    </w:p>
    <w:bookmarkEnd w:id="1674"/>
    <w:bookmarkStart w:id="1677" w:name="e.5-il-ritorno-sociale"/>
    <w:p>
      <w:pPr>
        <w:pStyle w:val="Heading4"/>
      </w:pPr>
      <w:r>
        <w:t xml:space="preserve">E.5 Il ritorno sociale</w:t>
      </w:r>
    </w:p>
    <w:p>
      <w:pPr>
        <w:pStyle w:val="FirstParagraph"/>
      </w:pPr>
      <w:r>
        <w:t xml:space="preserve">Il valore che il servizio genera non si esaurisce nel bilancio sanitario. L’analisi del ritorno sociale, condotta con il metodo SROI — fondato sui sette principi del valore sociale, su una mappa dell’impatto e sulle correzioni per peso morto, attribuzione, spostamento e decadimento — monetizza il valore sociale generato, distinguendolo con cura dai risparmi di bilancio.</w:t>
      </w:r>
      <w:r>
        <w:rPr>
          <w:rStyle w:val="FootnoteReference"/>
        </w:rPr>
        <w:footnoteReference w:id="795"/>
      </w:r>
      <w:r>
        <w:t xml:space="preserve"> </w:t>
      </w:r>
      <w:r>
        <w:t xml:space="preserve">Le ricadute economico-sociali comprendono la riduzione dell’assenteismo, il recupero di produttività e di funzionamento, la diminuzione delle nuove invalidità e dei pensionamenti anticipati, e il minor carico assistenziale sulle famiglie. Riferite alle 780.000 persone con disagio comune, esse sono stimate in 70, 130 e 200 milioni di euro l’anno secondo lo scenario.</w:t>
      </w:r>
      <w:r>
        <w:rPr>
          <w:rStyle w:val="FootnoteReference"/>
        </w:rPr>
        <w:footnoteReference w:id="796"/>
      </w:r>
    </w:p>
    <w:p>
      <w:pPr>
        <w:pStyle w:val="BodyText"/>
      </w:pPr>
      <w:r>
        <w:t xml:space="preserve">Questa è la componente di gran lunga maggiore del valore complessivo, ed è anche quella su cui converge l’evidenza economica internazionale. Secondo l’Organizzazione mondiale della sanità e gli studi pubblicati su Lancet Psychiatry, il ritorno del trattamento di depressione e ansia — dell’ordine di quattro a uno — è costituito in quota dominante dalla produttività e dal funzionamento recuperati, più che dal risparmio diretto sui servizi sanitari. È una conclusione di particolare rilievo per la corretta lettura del valore dell’intervento: il beneficio per la collettività è reale e ampio, ma si manifesta in larga parte fuori dal bilancio sanitario, sotto forma di maggiore partecipazione al lavoro, minore disabilità e migliore qualità della vita. Confondere questa grandezza con un risparmio per il bilancio sarebbe un errore; ignorarla, un errore opposto e altrettanto grave.</w:t>
      </w:r>
    </w:p>
    <w:bookmarkEnd w:id="1677"/>
    <w:bookmarkStart w:id="1682" w:name="X7c1544e22909094939114f489144e8ca7c8d3c0"/>
    <w:p>
      <w:pPr>
        <w:pStyle w:val="Heading4"/>
      </w:pPr>
      <w:r>
        <w:t xml:space="preserve">E.6 Il caso economico e il caso finanziario</w:t>
      </w:r>
    </w:p>
    <w:p>
      <w:pPr>
        <w:pStyle w:val="FirstParagraph"/>
      </w:pPr>
      <w:r>
        <w:t xml:space="preserve">La sintesi economica ricompone le grandezze tenute distinte nei due casi che il Five Case Model prescrive di non confondere. Il caso economico misura il valore per la collettività: sommando i risparmi diretti e le ricadute sociali, il ritorno complessivo è di 90, 164 e 250 milioni di euro l’anno secondo lo scenario, e il saldo complessivo, al netto del costo, è di circa +65, +126 e +200 milioni, con un rapporto beneficio-costo dell’ordine di 3,6, 4,3 e 5,0 a uno.</w:t>
      </w:r>
      <w:r>
        <w:rPr>
          <w:rStyle w:val="FootnoteReference"/>
        </w:rPr>
        <w:footnoteReference w:id="797"/>
      </w:r>
      <w:r>
        <w:t xml:space="preserve"> </w:t>
      </w:r>
      <w:r>
        <w:t xml:space="preserve">Il caso finanziario misura invece la sostenibilità per il bilancio sanitario: qui il saldo diretto è prossimo al pareggio, e ciò che rileva non è un risparmio netto, ma il fatto che il servizio costa al bilancio una frazione modesta del finanziamento, ampiamente coperta dai risparmi diretti che esso stesso genera.</w:t>
      </w:r>
    </w:p>
    <w:p>
      <w:pPr>
        <w:pStyle w:val="BodyText"/>
      </w:pPr>
      <w:r>
        <w:t xml:space="preserve">Tenere distinti i due casi è la scelta di rigore che fonda la credibilità dell’intera valutazione.</w:t>
      </w:r>
      <w:r>
        <w:rPr>
          <w:rStyle w:val="FootnoteReference"/>
        </w:rPr>
        <w:footnoteReference w:id="798"/>
      </w:r>
      <w:r>
        <w:t xml:space="preserve"> </w:t>
      </w:r>
      <w:r>
        <w:t xml:space="preserve">La proposta non si regge sull’affermazione — facile ma fragile — che il servizio faccia risparmiare molto al bilancio sanitario; si regge su tre affermazioni più solide e congiunte: che il servizio costa al bilancio una cifra modesta e quasi interamente compensata; che restituisce alla collettività un valore dell’ordine di quattro euro per ogni euro speso; e che adempie all’obbligo di garantire i livelli essenziali intercettando un bisogno largamente inevaso. È una tesi più difendibile di fronte alla Ragioneria e alla Corte dei Conti, perché non chiede di credere a un risparmio improbabile, ma di riconoscere un valore documentato a fronte di un costo sostenibile.</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20</w:t>
            </w:r>
          </w:p>
        </w:tc>
        <w:tc>
          <w:tcPr/>
          <w:p>
            <w:pPr>
              <w:pStyle w:val="Compact"/>
              <w:spacing w:after="40" w:before="40"/>
              <w:jc w:val="left"/>
            </w:pPr>
            <w:r>
              <w:rPr>
                <w:rFonts w:ascii="Cambria" w:hAnsi="Cambria" w:cs="Cambria" w:eastAsia="Cambria"/>
                <w:color w:val="1A1A1A"/>
                <w:sz w:val="18"/>
              </w:rPr>
              <w:t xml:space="preserve">~ 34</w:t>
            </w:r>
          </w:p>
        </w:tc>
        <w:tc>
          <w:tcPr/>
          <w:p>
            <w:pPr>
              <w:pStyle w:val="Compact"/>
              <w:spacing w:after="40" w:before="40"/>
              <w:jc w:val="left"/>
            </w:pPr>
            <w:r>
              <w:rPr>
                <w:rFonts w:ascii="Cambria" w:hAnsi="Cambria" w:cs="Cambria" w:eastAsia="Cambria"/>
                <w:color w:val="1A1A1A"/>
                <w:sz w:val="18"/>
              </w:rPr>
              <w:t xml:space="preserve">~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70</w:t>
            </w:r>
          </w:p>
        </w:tc>
        <w:tc>
          <w:tcPr>
            <w:shd w:val="clear" w:color="auto" w:fill="F4F1EC"/>
          </w:tcPr>
          <w:p>
            <w:pPr>
              <w:pStyle w:val="Compact"/>
              <w:spacing w:after="40" w:before="40"/>
              <w:jc w:val="left"/>
            </w:pPr>
            <w:r>
              <w:rPr>
                <w:rFonts w:ascii="Cambria" w:hAnsi="Cambria" w:cs="Cambria" w:eastAsia="Cambria"/>
                <w:color w:val="1A1A1A"/>
                <w:sz w:val="18"/>
              </w:rPr>
              <w:t xml:space="preserve">~ 130</w:t>
            </w:r>
          </w:p>
        </w:tc>
        <w:tc>
          <w:tcPr>
            <w:shd w:val="clear" w:color="auto" w:fill="F4F1EC"/>
          </w:tcPr>
          <w:p>
            <w:pPr>
              <w:pStyle w:val="Compact"/>
              <w:spacing w:after="40" w:before="40"/>
              <w:jc w:val="left"/>
            </w:pPr>
            <w:r>
              <w:rPr>
                <w:rFonts w:ascii="Cambria" w:hAnsi="Cambria" w:cs="Cambria" w:eastAsia="Cambria"/>
                <w:color w:val="1A1A1A"/>
                <w:sz w:val="18"/>
              </w:rPr>
              <w:t xml:space="preserve">~ 200</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25</w:t>
            </w:r>
          </w:p>
        </w:tc>
        <w:tc>
          <w:tcPr/>
          <w:p>
            <w:pPr>
              <w:pStyle w:val="Compact"/>
              <w:spacing w:after="40" w:before="40"/>
              <w:jc w:val="left"/>
            </w:pPr>
            <w:r>
              <w:rPr>
                <w:rFonts w:ascii="Cambria" w:hAnsi="Cambria" w:cs="Cambria" w:eastAsia="Cambria"/>
                <w:color w:val="1A1A1A"/>
                <w:sz w:val="18"/>
              </w:rPr>
              <w:t xml:space="preserve">~ 38</w:t>
            </w:r>
          </w:p>
        </w:tc>
        <w:tc>
          <w:tcPr/>
          <w:p>
            <w:pPr>
              <w:pStyle w:val="Compact"/>
              <w:spacing w:after="40" w:before="40"/>
              <w:jc w:val="left"/>
            </w:pPr>
            <w:r>
              <w:rPr>
                <w:rFonts w:ascii="Cambria" w:hAnsi="Cambria" w:cs="Cambria" w:eastAsia="Cambria"/>
                <w:color w:val="1A1A1A"/>
                <w:sz w:val="18"/>
              </w:rPr>
              <w:t xml:space="preserve">~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−5</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0</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90</w:t>
            </w:r>
          </w:p>
        </w:tc>
        <w:tc>
          <w:tcPr/>
          <w:p>
            <w:pPr>
              <w:pStyle w:val="Compact"/>
              <w:spacing w:after="40" w:before="40"/>
              <w:jc w:val="left"/>
            </w:pPr>
            <w:r>
              <w:rPr>
                <w:rFonts w:ascii="Cambria" w:hAnsi="Cambria" w:cs="Cambria" w:eastAsia="Cambria"/>
                <w:color w:val="1A1A1A"/>
                <w:sz w:val="18"/>
              </w:rPr>
              <w:t xml:space="preserve">164</w:t>
            </w:r>
          </w:p>
        </w:tc>
        <w:tc>
          <w:tcPr/>
          <w:p>
            <w:pPr>
              <w:pStyle w:val="Compact"/>
              <w:spacing w:after="40" w:before="40"/>
              <w:jc w:val="left"/>
            </w:pPr>
            <w:r>
              <w:rPr>
                <w:rFonts w:ascii="Cambria" w:hAnsi="Cambria" w:cs="Cambria" w:eastAsia="Cambria"/>
                <w:color w:val="1A1A1A"/>
                <w:sz w:val="18"/>
              </w:rPr>
              <w:t xml:space="preserve">250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+65</w:t>
            </w:r>
          </w:p>
        </w:tc>
        <w:tc>
          <w:tcPr>
            <w:shd w:val="clear" w:color="auto" w:fill="F4F1EC"/>
          </w:tcPr>
          <w:p>
            <w:pPr>
              <w:pStyle w:val="Compact"/>
              <w:spacing w:after="40" w:before="40"/>
              <w:jc w:val="left"/>
            </w:pPr>
            <w:r>
              <w:rPr>
                <w:rFonts w:ascii="Cambria" w:hAnsi="Cambria" w:cs="Cambria" w:eastAsia="Cambria"/>
                <w:color w:val="1A1A1A"/>
                <w:sz w:val="18"/>
              </w:rPr>
              <w:t xml:space="preserve">+126</w:t>
            </w:r>
          </w:p>
        </w:tc>
        <w:tc>
          <w:tcPr>
            <w:shd w:val="clear" w:color="auto" w:fill="F4F1EC"/>
          </w:tcPr>
          <w:p>
            <w:pPr>
              <w:pStyle w:val="Compact"/>
              <w:spacing w:after="40" w:before="40"/>
              <w:jc w:val="left"/>
            </w:pPr>
            <w:r>
              <w:rPr>
                <w:rFonts w:ascii="Cambria" w:hAnsi="Cambria" w:cs="Cambria" w:eastAsia="Cambria"/>
                <w:color w:val="1A1A1A"/>
                <w:sz w:val="18"/>
              </w:rPr>
              <w:t xml:space="preserve">+200</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~3,6:1</w:t>
            </w:r>
          </w:p>
        </w:tc>
        <w:tc>
          <w:tcPr/>
          <w:p>
            <w:pPr>
              <w:pStyle w:val="Compact"/>
              <w:spacing w:after="40" w:before="40"/>
              <w:jc w:val="left"/>
            </w:pPr>
            <w:r>
              <w:rPr>
                <w:rFonts w:ascii="Cambria" w:hAnsi="Cambria" w:cs="Cambria" w:eastAsia="Cambria"/>
                <w:color w:val="1A1A1A"/>
                <w:sz w:val="18"/>
              </w:rPr>
              <w:t xml:space="preserve">~4,3:1</w:t>
            </w:r>
          </w:p>
        </w:tc>
        <w:tc>
          <w:tcPr/>
          <w:p>
            <w:pPr>
              <w:pStyle w:val="Compact"/>
              <w:spacing w:after="40" w:before="40"/>
              <w:jc w:val="left"/>
            </w:pPr>
            <w:r>
              <w:rPr>
                <w:rFonts w:ascii="Cambria" w:hAnsi="Cambria" w:cs="Cambria" w:eastAsia="Cambria"/>
                <w:color w:val="1A1A1A"/>
                <w:sz w:val="18"/>
              </w:rPr>
              <w:t xml:space="preserve">~5,0:1</w:t>
            </w:r>
          </w:p>
        </w:tc>
      </w:tr>
    </w:tbl>
    <w:p>
      <w:pPr>
        <w:pStyle w:val="BodyText"/>
      </w:pPr>
      <w:r>
        <w:rPr>
          <w:i/>
          <w:iCs/>
        </w:rPr>
        <w:t xml:space="preserve">Tabella E.3. Sintesi economica per scenario: il caso finanziario (saldo diretto ~pareggio) e il caso economico (ritorno complessivo e rapporto beneficio-costo).</w:t>
      </w:r>
    </w:p>
    <w:p>
      <w:pPr>
        <w:pStyle w:val="BodyText"/>
      </w:pPr>
      <w:r>
        <w:t xml:space="preserve">Resta da ribadire, a chiusura, la natura della valutazione. Il segno del saldo complessivo è positivo in tutti gli scenari, comprese le ipotesi conservative, e dunque robusto; le analisi di sensibilità deterministica e probabilistica e il valore dell’informazione, che ne saggiano formalmente la tenuta, sono sviluppati nella Parte F.</w:t>
      </w:r>
      <w:r>
        <w:rPr>
          <w:rStyle w:val="FootnoteReference"/>
        </w:rPr>
        <w:footnoteReference w:id="799"/>
      </w:r>
      <w:r>
        <w:t xml:space="preserve"> </w:t>
      </w:r>
      <w:r>
        <w:t xml:space="preserve">Quanto ai dati, i parametri dei canali dei ricoveri, della specialistica e della mobilità sono in parte ancora stimati e saranno sostituiti dai valori certificati che l’agenzia regionale e le aziende sanitarie forniranno; la struttura della quantificazione, tuttavia, è già quella definitiva, ancorata ai conti regionali e onesta nella distinzione tra ciò che il servizio fa risparmiare al bilancio e ciò che restituisce alla società.</w:t>
      </w:r>
      <w:r>
        <w:rPr>
          <w:rStyle w:val="FootnoteReference"/>
        </w:rPr>
        <w:footnoteReference w:id="800"/>
      </w:r>
      <w:r>
        <w:t xml:space="preserve"> </w:t>
      </w:r>
      <w:r>
        <w:t xml:space="preserve">Su questa base, la Parte F sottopone i risultati alla prova formale dell’incertezza.</w:t>
      </w:r>
    </w:p>
    <w:bookmarkEnd w:id="1682"/>
    <w:bookmarkEnd w:id="1683"/>
    <w:bookmarkEnd w:id="1684"/>
    <w:bookmarkStart w:id="1706" w:name="parte-f-modellazione-e-incertezza"/>
    <w:p>
      <w:pPr>
        <w:pStyle w:val="Heading2"/>
      </w:pPr>
      <w:r>
        <w:t xml:space="preserve">Parte F — Modellazione e incertezza</w:t>
      </w:r>
    </w:p>
    <w:p>
      <w:pPr>
        <w:pStyle w:val="FirstParagraph"/>
      </w:pPr>
      <w:r>
        <w:t xml:space="preserve">Studio regionale Puglia · Parte F · Modellazione decisionale e incertezza</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F</w:t>
      </w:r>
    </w:p>
    <w:p>
      <w:pPr>
        <w:pStyle w:val="BodyText"/>
      </w:pPr>
      <w:r>
        <w:rPr>
          <w:b/>
          <w:bCs/>
        </w:rPr>
        <w:t xml:space="preserve">Modellazione decisionale e incertezza</w:t>
      </w:r>
    </w:p>
    <w:p>
      <w:pPr>
        <w:pStyle w:val="BodyText"/>
      </w:pPr>
      <w:r>
        <w:rPr>
          <w:i/>
          <w:iCs/>
        </w:rPr>
        <w:t xml:space="preserve">Struttura del modello, parametri e calibrazione, sensibilità deterministica, sensibilità probabilistica e curva di accettabilità, valore dell</w:t>
      </w:r>
      <w:r>
        <w:rPr>
          <w:b/>
          <w:bCs/>
          <w:i/>
          <w:iCs/>
        </w:rPr>
        <w:t xml:space="preserve">’</w:t>
      </w:r>
      <w:r>
        <w:rPr>
          <w:i/>
          <w:iCs/>
        </w:rPr>
        <w:t xml:space="preserve">informazione</w:t>
      </w:r>
    </w:p>
    <w:p>
      <w:pPr>
        <w:pStyle w:val="BodyText"/>
      </w:pPr>
      <w:r>
        <w:t xml:space="preserve">Dominio 5 del modello HTA · buone pratiche di modellazione ISPOR-SMDM</w:t>
      </w:r>
    </w:p>
    <w:p>
      <w:pPr>
        <w:pStyle w:val="BodyText"/>
      </w:pPr>
      <w:r>
        <w:rPr>
          <w:b/>
          <w:bCs/>
        </w:rPr>
        <w:t xml:space="preserve">Indice</w:t>
      </w:r>
    </w:p>
    <w:bookmarkStart w:id="1705" w:name="X24fec26b0444ee927d9e5eb9e0b9407af59bd67"/>
    <w:p>
      <w:pPr>
        <w:pStyle w:val="Heading3"/>
      </w:pPr>
      <w:r>
        <w:t xml:space="preserve">Parte F — Modellazione decisionale e incertezza</w:t>
      </w:r>
    </w:p>
    <w:p>
      <w:pPr>
        <w:pStyle w:val="FirstParagraph"/>
      </w:pPr>
      <w:r>
        <w:t xml:space="preserve">Questa parte completa il dominio economico sul piano del metodo: dopo aver stabilito, nella Parte E, quanto l’intervento valga e quanto costi, qui se ne verifica la robustezza, ovvero la tenuta delle conclusioni quando gli esiti si proiettano su orizzonti lunghi e quando si riconosce esplicitamente l’incertezza dei parametri.</w:t>
      </w:r>
      <w:r>
        <w:rPr>
          <w:rStyle w:val="FootnoteReference"/>
        </w:rPr>
        <w:footnoteReference w:id="801"/>
      </w:r>
      <w:r>
        <w:t xml:space="preserve"> </w:t>
      </w:r>
      <w:r>
        <w:t xml:space="preserve">La logica è di crescente solidità. Un’analisi deterministica, per quanto accurata, fornisce un valore puntuale che dipende dalle ipotesi adottate, e un decisore prudente può sempre chiedersi che cosa accada se quelle ipotesi sono ottimistiche. Il modello decisionale risponde proiettando il decorso clinico nel tempo (capitolo F.1) sulla base di parametri dichiarati e calibrati (F.2); l’analisi di sensibilità deterministica isola il contributo di ciascun parametro (F.3); l’analisi probabilistica quantifica, su decine di migliaia di scenari simulati, la frequenza con cui la conclusione si conferma (F.4); e il valore dell’informazione indica dove la riduzione dell’incertezza vale di più (F.5). È il passaggio che trasforma un risultato favorevole in un risultato difficilmente contestabile.</w:t>
      </w:r>
    </w:p>
    <w:bookmarkStart w:id="1689" w:name="f.1-la-struttura-del-modello"/>
    <w:p>
      <w:pPr>
        <w:pStyle w:val="Heading4"/>
      </w:pPr>
      <w:r>
        <w:t xml:space="preserve">F.1 La struttura del modello</w:t>
      </w:r>
    </w:p>
    <w:p>
      <w:pPr>
        <w:pStyle w:val="FirstParagraph"/>
      </w:pPr>
      <w:r>
        <w:t xml:space="preserve">Il modello adottato è un modello di Markov a coorte, strumento standard nella valutazione economica in sanità, che rappresenta il decorso del disturbo mentale comune come una successione di transizioni tra stati di salute mutuamente esclusivi, scanditi da cicli temporali con correzione di metà ciclo. Gli stati sono quattro: lo stato sintomatico, in cui il disturbo è clinicamente attivo; lo stato di recupero, corrispondente alla remissione; lo stato cronico, corrispondente alle forme persistenti o gravi; e lo stato di morte, assorbente. La coorte entra interamente nello stato sintomatico, a rappresentare una popolazione che si presenta alle cure primarie con un episodio di disturbo comune lieve-moderato; ove si voglia tener conto delle traiettorie individuali, la microsimulazione ne costituisce la variante.</w:t>
      </w:r>
      <w:r>
        <w:rPr>
          <w:rStyle w:val="FootnoteReference"/>
        </w:rPr>
        <w:footnoteReference w:id="802"/>
      </w:r>
    </w:p>
    <w:p>
      <w:pPr>
        <w:pStyle w:val="BodyText"/>
      </w:pPr>
      <w:r>
        <w:t xml:space="preserve">Il modello proietta, lungo un orizzonte di cinque anni — estensibile all’intera vita — e a valori scontati, i costi e gli anni di vita ponderati per la qualità associati a due bracci alternativi: lo scenario con la riforma e lo scenario di assistenza usuale. Nel caso base, riferito al singolo paziente, il braccio dell’intervento produce un costo sanitario di circa 2.495 euro e un’utilità di 3,627 anni di vita ponderati, contro un costo di circa 3.799 euro e un’utilità di 3,392 dell’assistenza usuale: l’intervento è dunque al tempo stesso meno costoso, di circa 1.304 euro per paziente, e più efficace, di circa 0,236 anni di vita ponderati, configurando una condizione di dominanza.</w:t>
      </w:r>
      <w:r>
        <w:rPr>
          <w:rStyle w:val="FootnoteReference"/>
        </w:rPr>
        <w:footnoteReference w:id="803"/>
      </w:r>
      <w:r>
        <w:t xml:space="preserve"> </w:t>
      </w:r>
      <w:r>
        <w:t xml:space="preserve">La dominanza non è un artificio, ma la conseguenza della struttura del decorso: a fronte di un costo iniziale contenuto, l’intervento accresce il tempo trascorso nello stato di recupero, a bassa utilizzazione di risorse, e riduce il tempo trascorso nello stato cronico, ad alta utilizzazione, sicché il risparmio a valle eccede il costo a monte. Questo risultato per paziente costituisce il fondamento microeconomico delle stime aggregate della Parte E.</w:t>
      </w:r>
      <w:r>
        <w:rPr>
          <w:rStyle w:val="FootnoteReference"/>
        </w:rPr>
        <w:footnoteReference w:id="804"/>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Caso base,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Cura usuale</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sanitario (5 anni, scontato)</w:t>
            </w:r>
          </w:p>
        </w:tc>
        <w:tc>
          <w:tcPr/>
          <w:p>
            <w:pPr>
              <w:pStyle w:val="Compact"/>
              <w:spacing w:after="40" w:before="40"/>
              <w:jc w:val="left"/>
            </w:pPr>
            <w:r>
              <w:rPr>
                <w:rFonts w:ascii="Cambria" w:hAnsi="Cambria" w:cs="Cambria" w:eastAsia="Cambria"/>
                <w:color w:val="1A1A1A"/>
                <w:sz w:val="18"/>
              </w:rPr>
              <w:t xml:space="preserve">~ 2.495 €</w:t>
            </w:r>
          </w:p>
        </w:tc>
        <w:tc>
          <w:tcPr/>
          <w:p>
            <w:pPr>
              <w:pStyle w:val="Compact"/>
              <w:spacing w:after="40" w:before="40"/>
              <w:jc w:val="left"/>
            </w:pPr>
            <w:r>
              <w:rPr>
                <w:rFonts w:ascii="Cambria" w:hAnsi="Cambria" w:cs="Cambria" w:eastAsia="Cambria"/>
                <w:color w:val="1A1A1A"/>
                <w:sz w:val="18"/>
              </w:rPr>
              <w:t xml:space="preserve">~ 3.799 €</w:t>
            </w:r>
          </w:p>
        </w:tc>
        <w:tc>
          <w:tcPr/>
          <w:p>
            <w:pPr>
              <w:pStyle w:val="Compact"/>
              <w:spacing w:after="40" w:before="40"/>
              <w:jc w:val="left"/>
            </w:pPr>
            <w:r>
              <w:rPr>
                <w:rFonts w:ascii="Cambria" w:hAnsi="Cambria" w:cs="Cambria" w:eastAsia="Cambria"/>
                <w:color w:val="1A1A1A"/>
                <w:sz w:val="18"/>
              </w:rPr>
              <w:t xml:space="preserve">− 1.304 €</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(anni di vita ponderati)</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1689"/>
    <w:bookmarkStart w:id="1692" w:name="f.2-i-parametri-e-la-calibrazione"/>
    <w:p>
      <w:pPr>
        <w:pStyle w:val="Heading4"/>
      </w:pPr>
      <w:r>
        <w:t xml:space="preserve">F.2 I parametri e la calibrazione</w:t>
      </w:r>
    </w:p>
    <w:p>
      <w:pPr>
        <w:pStyle w:val="FirstParagraph"/>
      </w:pPr>
      <w:r>
        <w:t xml:space="preserve">La credibilità di un modello dipende dalla dichiarazione esplicita dei suoi parametri e delle loro fonti. I parametri sono di tre tipi: le probabilità di transizione tra gli stati, che governano il decorso; le utilità associate a ciascuno stato, che ne misurano la qualità della vita; e i costi per ciclo, che ne misurano l’assorbimento di risorse. I costi adottati sono di 40 euro per ciclo nello stato di recupero, di 700 euro nello stato cronico, e di 300 euro una tantum per l’intervento psicologico: è la struttura di costo a generare la dominanza, poiché lo stato cronico, che l’intervento riduce, è di gran lunga il più oneroso.</w:t>
      </w:r>
      <w:r>
        <w:rPr>
          <w:rStyle w:val="FootnoteReference"/>
        </w:rPr>
        <w:footnoteReference w:id="805"/>
      </w:r>
    </w:p>
    <w:p>
      <w:pPr>
        <w:pStyle w:val="BodyText"/>
      </w:pPr>
      <w:r>
        <w:t xml:space="preserve">A ciascun parametro incerto è assegnata, ai fini dell’analisi probabilistica, una distribuzione di probabilità appropriata alla sua natura: distribuzioni Beta per le probabilità di transizione e per le utilità, in quanto vincolate all’intervallo tra zero e uno, e distribuzioni Gamma per i costi, in quanto vincolati ai valori positivi. I valori centrali e gli intervalli sono tratti dalla relazione tecnica e dall’evidenza internazionale documentata nella Parte D, e calibrati sui valori regionali pugliesi.</w:t>
      </w:r>
      <w:r>
        <w:rPr>
          <w:rStyle w:val="FootnoteReference"/>
        </w:rPr>
        <w:footnoteReference w:id="806"/>
      </w:r>
      <w:r>
        <w:t xml:space="preserve"> </w:t>
      </w:r>
      <w:r>
        <w:t xml:space="preserve">La calibrazione è il punto di contatto tra il modello e la realtà regionale: i parametri non sono assunti in astratto, ma ancorati ai dati disponibili, e quelli ancora stimati saranno aggiornati con i valori certificati man mano che l’agenzia regionale e le aziende sanitarie li renderanno disponibili, secondo la priorità che il valore dell’informazione indicherà nel capitolo F.5.</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Costo per ciclo — stato di recupero</w:t>
            </w:r>
          </w:p>
        </w:tc>
        <w:tc>
          <w:tcPr/>
          <w:p>
            <w:pPr>
              <w:pStyle w:val="Compact"/>
              <w:spacing w:after="40" w:before="40"/>
              <w:jc w:val="left"/>
            </w:pPr>
            <w:r>
              <w:rPr>
                <w:rFonts w:ascii="Cambria" w:hAnsi="Cambria" w:cs="Cambria" w:eastAsia="Cambria"/>
                <w:color w:val="1A1A1A"/>
                <w:sz w:val="18"/>
              </w:rPr>
              <w:t xml:space="preserve">40 €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stato cronico</w:t>
            </w:r>
          </w:p>
        </w:tc>
        <w:tc>
          <w:tcPr>
            <w:shd w:val="clear" w:color="auto" w:fill="F4F1EC"/>
          </w:tcPr>
          <w:p>
            <w:pPr>
              <w:pStyle w:val="Compact"/>
              <w:spacing w:after="40" w:before="40"/>
              <w:jc w:val="left"/>
            </w:pPr>
            <w:r>
              <w:rPr>
                <w:rFonts w:ascii="Cambria" w:hAnsi="Cambria" w:cs="Cambria" w:eastAsia="Cambria"/>
                <w:color w:val="1A1A1A"/>
                <w:sz w:val="18"/>
              </w:rPr>
              <w:t xml:space="preserve">700 €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dell’intervento psicologico (una tantum)</w:t>
            </w:r>
          </w:p>
        </w:tc>
        <w:tc>
          <w:tcPr/>
          <w:p>
            <w:pPr>
              <w:pStyle w:val="Compact"/>
              <w:spacing w:after="40" w:before="40"/>
              <w:jc w:val="left"/>
            </w:pPr>
            <w:r>
              <w:rPr>
                <w:rFonts w:ascii="Cambria" w:hAnsi="Cambria" w:cs="Cambria" w:eastAsia="Cambria"/>
                <w:color w:val="1A1A1A"/>
                <w:sz w:val="18"/>
              </w:rPr>
              <w:t xml:space="preserve">300 €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transizione tra gli stati</w:t>
            </w:r>
          </w:p>
        </w:tc>
        <w:tc>
          <w:tcPr>
            <w:shd w:val="clear" w:color="auto" w:fill="F4F1EC"/>
          </w:tcPr>
          <w:p>
            <w:pPr>
              <w:pStyle w:val="Compact"/>
              <w:spacing w:after="40" w:before="40"/>
              <w:jc w:val="left"/>
            </w:pPr>
            <w:r>
              <w:rPr>
                <w:rFonts w:ascii="Cambria" w:hAnsi="Cambria" w:cs="Cambria" w:eastAsia="Cambria"/>
                <w:color w:val="1A1A1A"/>
                <w:sz w:val="18"/>
              </w:rPr>
              <w:t xml:space="preserve">da fonti, per braccio</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Utilità associate agli stati</w:t>
            </w:r>
          </w:p>
        </w:tc>
        <w:tc>
          <w:tcPr/>
          <w:p>
            <w:pPr>
              <w:pStyle w:val="Compact"/>
              <w:spacing w:after="40" w:before="40"/>
              <w:jc w:val="left"/>
            </w:pPr>
            <w:r>
              <w:rPr>
                <w:rFonts w:ascii="Cambria" w:hAnsi="Cambria" w:cs="Cambria" w:eastAsia="Cambria"/>
                <w:color w:val="1A1A1A"/>
                <w:sz w:val="18"/>
              </w:rPr>
              <w:t xml:space="preserve">da fonti</w:t>
            </w:r>
          </w:p>
        </w:tc>
        <w:tc>
          <w:tcPr/>
          <w:p>
            <w:pPr>
              <w:pStyle w:val="Compact"/>
              <w:spacing w:after="40" w:before="40"/>
              <w:jc w:val="left"/>
            </w:pPr>
            <w:r>
              <w:rPr>
                <w:rFonts w:ascii="Cambria" w:hAnsi="Cambria" w:cs="Cambria" w:eastAsia="Cambria"/>
                <w:color w:val="1A1A1A"/>
                <w:sz w:val="18"/>
              </w:rP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1692"/>
    <w:bookmarkStart w:id="1695" w:name="f.3-la-sensibilità-deterministica"/>
    <w:p>
      <w:pPr>
        <w:pStyle w:val="Heading4"/>
      </w:pPr>
      <w:r>
        <w:t xml:space="preserve">F.3 La sensibilità deterministica</w:t>
      </w:r>
    </w:p>
    <w:p>
      <w:pPr>
        <w:pStyle w:val="FirstParagraph"/>
      </w:pPr>
      <w:r>
        <w:t xml:space="preserve">L’analisi di sensibilità deterministica saggia la dipendenza del risultato dalle singole assunzioni, facendo variare i parametri entro intervalli plausibili. Nella sua forma a una via, essa isola il contributo individuale di ciascun parametro, facendolo variare del 25% in più e in meno e misurando l’effetto sul beneficio monetario netto; il diagramma a tornado che ne risulta ordina i parametri per ampiezza dell’effetto, dal più al meno influente.</w:t>
      </w:r>
      <w:r>
        <w:rPr>
          <w:rStyle w:val="FootnoteReference"/>
        </w:rPr>
        <w:footnoteReference w:id="807"/>
      </w:r>
      <w:r>
        <w:t xml:space="preserve"> </w:t>
      </w:r>
      <w:r>
        <w:t xml:space="preserve">I parametri più influenti risultano l’efficacia clinica dell’intervento, i tassi di ricaduta e di cronicizzazione e il costo dello stato cronico: sono, non a caso, le grandezze che governano il meccanismo della dominanza, ossia la capacità dell’intervento di spostare i pazienti dallo stato cronico, oneroso, allo stato di recupero, poco costoso.</w:t>
      </w:r>
    </w:p>
    <w:p>
      <w:pPr>
        <w:pStyle w:val="BodyText"/>
      </w:pPr>
      <w:r>
        <w:t xml:space="preserve">L’analisi a una via è affiancata dall’analisi di scenario, che fa variare congiuntamente più parametri secondo ipotesi coerenti, dando luogo ai tre scenari — conservativo, base ed espansivo — già impiegati nella Parte E. Il risultato di queste analisi è univoco quanto al segno: anche adottando per ciascun parametro influente il valore più sfavorevole entro l’intervallo plausibile, il beneficio monetario netto resta positivo, e l’intervento conserva la sua convenienza in termini di costo-utilità. Le ipotesi pessimistiche, in altri termini, ne riducono l’entità, non ne invertono il segno; ed è questa stabilità del segno, più che la precisione del valore puntuale, a costituire il risultato rilevante per il decisore. La gestione dell’incertezza non si esaurisce, peraltro, nei parametri: l’incertezza sulla struttura stessa del modello è trattata mediante analisi di scenario, e l’intero esercizio è riportato secondo lo standard CHEERS, con validazione della coerenza interna ed esterna.</w:t>
      </w:r>
      <w:r>
        <w:rPr>
          <w:rStyle w:val="FootnoteReference"/>
        </w:rPr>
        <w:footnoteReference w:id="808"/>
      </w:r>
    </w:p>
    <w:bookmarkEnd w:id="1695"/>
    <w:bookmarkStart w:id="1700" w:name="X50e92c896e8544069e49388db4361905cfb34fb"/>
    <w:p>
      <w:pPr>
        <w:pStyle w:val="Heading4"/>
      </w:pPr>
      <w:r>
        <w:t xml:space="preserve">F.4 La sensibilità probabilistica e la curva di accettabilità</w:t>
      </w:r>
    </w:p>
    <w:p>
      <w:pPr>
        <w:pStyle w:val="FirstParagraph"/>
      </w:pPr>
      <w:r>
        <w:t xml:space="preserve">Mentre l’analisi deterministica fa variare i parametri uno per volta o per scenari discreti, l’analisi di sensibilità probabilistica li fa variare tutti simultaneamente secondo le rispettive distribuzioni, e ne restituisce non un valore ma una probabilità. Il modello è stato eseguito diecimila volte, estraendo a ogni iterazione un valore casuale da ciascuna distribuzione e ricalcolando costi, esiti e beneficio netto: è la simulazione Monte Carlo, che propaga l’incertezza dei parametri sull’incertezza del risultato.</w:t>
      </w:r>
      <w:r>
        <w:rPr>
          <w:rStyle w:val="FootnoteReference"/>
        </w:rPr>
        <w:footnoteReference w:id="809"/>
      </w:r>
      <w:r>
        <w:t xml:space="preserve"> </w:t>
      </w:r>
      <w:r>
        <w:t xml:space="preserve">Rappresentate sul piano costo-efficacia, le diecimila iterazioni formano una nube di punti concentrata nel quadrante in cui l’intervento è più efficace e meno costoso, ossia dominante; i punti residui, pur comportando un costo aggiuntivo, si collocano al di sotto della retta di soglia, e rappresentano dunque scenari in cui l’intervento resta comunque costo-efficace.</w:t>
      </w:r>
    </w:p>
    <w:p>
      <w:pPr>
        <w:pStyle w:val="BodyText"/>
      </w:pPr>
      <w:r>
        <w:t xml:space="preserve">La curva di accettabilità della costo-efficacia sintetizza questo risultato in funzione della soglia di disponibilità a pagare, riportando per ciascun valore di soglia la percentuale di iterazioni in cui l’intervento risulta costo-efficace. Alla soglia di riferimento di 30.000 euro per anno di vita ponderato per la qualità,</w:t>
      </w:r>
      <w:r>
        <w:rPr>
          <w:rStyle w:val="FootnoteReference"/>
        </w:rPr>
        <w:footnoteReference w:id="810"/>
      </w:r>
      <w:r>
        <w:t xml:space="preserve"> </w:t>
      </w:r>
      <w:r>
        <w:t xml:space="preserve">la probabilità che l’intervento sia costo-efficace è dell’88,9%, e la probabilità che sia addirittura dominante — più efficace e meno costoso — dell’84,6%; il beneficio monetario netto medio sulle diecimila iterazioni è di circa 7.815 euro per paziente, con un intervallo di credibilità al 95% compreso tra circa meno 5.736 e più 21.501 euro, sicché anche l’estremo inferiore corrisponde a una perdita modesta e poco probabile, a fronte di un valore atteso ampiamente positivo.</w:t>
      </w:r>
      <w:r>
        <w:rPr>
          <w:rStyle w:val="FootnoteReference"/>
        </w:rPr>
        <w:footnoteReference w:id="811"/>
      </w:r>
    </w:p>
    <w:p>
      <w:pPr>
        <w:pStyle w:val="BodyText"/>
      </w:pPr>
      <w:r>
        <w:t xml:space="preserve">Questo risultato richiede una precisazione che ne governa la corretta interpretazione, e che salda la presente parte alla Parte E. La probabilità di costo-efficacia è un risultato di efficienza, riferito al singolo paziente, che valorizza il guadagno di salute e l’intera traiettoria di costo del modello, ivi compresi i costi dello stato cronico evitati nel medio periodo. Esso è coerente con — e non in contraddizione con — il saldo diretto prossimo al pareggio che l’analisi di impatto sul bilancio della Parte E riporta a livello aggregato.</w:t>
      </w:r>
      <w:r>
        <w:rPr>
          <w:rStyle w:val="FootnoteReference"/>
        </w:rPr>
        <w:footnoteReference w:id="812"/>
      </w:r>
      <w:r>
        <w:t xml:space="preserve"> </w:t>
      </w:r>
      <w:r>
        <w:t xml:space="preserve">Le due analisi rispondono infatti a domande diverse: la costo-utilità chiede se il guadagno di salute valga il suo costo, e la risposta è affermativa con alta probabilità; l’impatto sul bilancio chiede quale sia l’effetto netto sui flussi monetari del bilancio sanitario, e la risposta è il pareggio, perché la traduzione dal modello per paziente all’aggregato regionale incorpora le correzioni per il peso morto — la quota di pazienti che non sarebbe progredita comunque — e per la effettiva monetizzabilità, nei conti del bilancio e nell’orizzonte considerato, dei costi evitati. L’efficienza dell’intervento, in sintesi, è robusta; la sua convenienza per il solo bilancio resta prossima al pareggio; e il forte ritorno per la collettività proviene, come già stabilito, dalle ricadute sociali.</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Misura dell’analisi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Risultato</w:t>
            </w:r>
          </w:p>
        </w:tc>
      </w:tr>
      <w:tr>
        <w:tc>
          <w:tcPr/>
          <w:p>
            <w:pPr>
              <w:pStyle w:val="Compact"/>
              <w:spacing w:after="40" w:before="40"/>
              <w:jc w:val="left"/>
            </w:pPr>
            <w:r>
              <w:rPr>
                <w:rFonts w:ascii="Cambria" w:hAnsi="Cambria" w:cs="Cambria" w:eastAsia="Cambria"/>
                <w:b/>
                <w:bCs/>
                <w:color w:val="1A1A1A"/>
                <w:sz w:val="18"/>
              </w:rPr>
              <w:t xml:space="preserve">Iterazioni della simulazione Monte Carlo</w:t>
            </w:r>
          </w:p>
        </w:tc>
        <w:tc>
          <w:tcPr/>
          <w:p>
            <w:pPr>
              <w:pStyle w:val="Compact"/>
              <w:spacing w:after="40" w:before="40"/>
              <w:jc w:val="left"/>
            </w:pPr>
            <w:r>
              <w:rPr>
                <w:rFonts w:ascii="Cambria" w:hAnsi="Cambria" w:cs="Cambria" w:eastAsia="Cambria"/>
                <w:color w:val="1A1A1A"/>
                <w:sz w:val="18"/>
              </w:rPr>
              <w:t xml:space="preserve">10.000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costo-efficacia (soglia 30.000 €/QALY)</w:t>
            </w:r>
          </w:p>
        </w:tc>
        <w:tc>
          <w:tcPr>
            <w:shd w:val="clear" w:color="auto" w:fill="F4F1EC"/>
          </w:tcPr>
          <w:p>
            <w:pPr>
              <w:pStyle w:val="Compact"/>
              <w:spacing w:after="40" w:before="40"/>
              <w:jc w:val="left"/>
            </w:pPr>
            <w:r>
              <w:rPr>
                <w:rFonts w:ascii="Cambria" w:hAnsi="Cambria" w:cs="Cambria" w:eastAsia="Cambria"/>
                <w:color w:val="1A1A1A"/>
                <w:sz w:val="18"/>
              </w:rPr>
              <w:t xml:space="preserve">88,9%</w:t>
            </w:r>
          </w:p>
        </w:tc>
      </w:tr>
      <w:tr>
        <w:tc>
          <w:tcPr/>
          <w:p>
            <w:pPr>
              <w:pStyle w:val="Compact"/>
              <w:spacing w:after="40" w:before="40"/>
              <w:jc w:val="left"/>
            </w:pPr>
            <w:r>
              <w:rPr>
                <w:rFonts w:ascii="Cambria" w:hAnsi="Cambria" w:cs="Cambria" w:eastAsia="Cambria"/>
                <w:b/>
                <w:bCs/>
                <w:color w:val="1A1A1A"/>
                <w:sz w:val="18"/>
              </w:rPr>
              <w:t xml:space="preserve">Probabilità di dominanza</w:t>
            </w:r>
          </w:p>
        </w:tc>
        <w:tc>
          <w:tcPr/>
          <w:p>
            <w:pPr>
              <w:pStyle w:val="Compact"/>
              <w:spacing w:after="40" w:before="40"/>
              <w:jc w:val="left"/>
            </w:pPr>
            <w:r>
              <w:rPr>
                <w:rFonts w:ascii="Cambria" w:hAnsi="Cambria" w:cs="Cambria" w:eastAsia="Cambria"/>
                <w:color w:val="1A1A1A"/>
                <w:sz w:val="18"/>
              </w:rPr>
              <w:t xml:space="preserve">84,6%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Beneficio monetario netto medio</w:t>
            </w:r>
          </w:p>
        </w:tc>
        <w:tc>
          <w:tcPr>
            <w:shd w:val="clear" w:color="auto" w:fill="F4F1EC"/>
          </w:tcPr>
          <w:p>
            <w:pPr>
              <w:pStyle w:val="Compact"/>
              <w:spacing w:after="40" w:before="40"/>
              <w:jc w:val="left"/>
            </w:pPr>
            <w:r>
              <w:rPr>
                <w:rFonts w:ascii="Cambria" w:hAnsi="Cambria" w:cs="Cambria" w:eastAsia="Cambria"/>
                <w:color w:val="1A1A1A"/>
                <w:sz w:val="18"/>
              </w:rPr>
              <w:t xml:space="preserve">~ 7.815 € per paziente</w:t>
            </w:r>
          </w:p>
        </w:tc>
      </w:tr>
      <w:tr>
        <w:tc>
          <w:tcPr/>
          <w:p>
            <w:pPr>
              <w:pStyle w:val="Compact"/>
              <w:spacing w:after="40" w:before="40"/>
              <w:jc w:val="left"/>
            </w:pPr>
            <w:r>
              <w:rPr>
                <w:rFonts w:ascii="Cambria" w:hAnsi="Cambria" w:cs="Cambria" w:eastAsia="Cambria"/>
                <w:b/>
                <w:bCs/>
                <w:color w:val="1A1A1A"/>
                <w:sz w:val="18"/>
              </w:rPr>
              <w:t xml:space="preserve">Intervallo di credibilità al 95%</w:t>
            </w:r>
          </w:p>
        </w:tc>
        <w:tc>
          <w:tcPr/>
          <w:p>
            <w:pPr>
              <w:pStyle w:val="Compact"/>
              <w:spacing w:after="40" w:before="40"/>
              <w:jc w:val="left"/>
            </w:pPr>
            <w:r>
              <w:rPr>
                <w:rFonts w:ascii="Cambria" w:hAnsi="Cambria" w:cs="Cambria" w:eastAsia="Cambria"/>
                <w:color w:val="1A1A1A"/>
                <w:sz w:val="18"/>
              </w:rPr>
              <w:t xml:space="preserve">da ~ −5.736 a ~ +21.501 €</w:t>
            </w:r>
          </w:p>
        </w:tc>
      </w:tr>
    </w:tbl>
    <w:p>
      <w:pPr>
        <w:pStyle w:val="BodyText"/>
      </w:pPr>
      <w:r>
        <w:rPr>
          <w:i/>
          <w:iCs/>
        </w:rPr>
        <w:t xml:space="preserve">Tabella F.3. Risultati dell</w:t>
      </w:r>
      <w:r>
        <w:rPr>
          <w:b/>
          <w:bCs/>
          <w:i/>
          <w:iCs/>
        </w:rPr>
        <w:t xml:space="preserve">‘</w:t>
      </w:r>
      <w:r>
        <w:rPr>
          <w:b/>
          <w:b/>
          <w:bCs/>
          <w:bCs/>
          <w:i/>
          <w:iCs/>
        </w:rPr>
        <w:t xml:space="preserve">analisi di sensibilità probabilistica (risultato di costo-utilità, per paziente; cfr. la riconciliazione con l</w:t>
      </w:r>
      <w:r>
        <w:rPr>
          <w:b/>
          <w:bCs/>
          <w:i/>
          <w:iCs/>
        </w:rPr>
        <w:t xml:space="preserve">’</w:t>
      </w:r>
      <w:r>
        <w:rPr>
          <w:i/>
          <w:iCs/>
        </w:rPr>
        <w:t xml:space="preserve">impatto di bilancio della Parte E).</w:t>
      </w:r>
    </w:p>
    <w:bookmarkEnd w:id="1700"/>
    <w:bookmarkStart w:id="1704" w:name="f.5-il-valore-dellinformazione"/>
    <w:p>
      <w:pPr>
        <w:pStyle w:val="Heading4"/>
      </w:pPr>
      <w:r>
        <w:t xml:space="preserve">F.5 Il valore dell’informazione</w:t>
      </w:r>
    </w:p>
    <w:p>
      <w:pPr>
        <w:pStyle w:val="FirstParagraph"/>
      </w:pPr>
      <w:r>
        <w:t xml:space="preserve">L’ultimo strumento di gestione dell’incertezza inverte la prospettiva: non chiede più quanto il risultato sia incerto, ma quanto varrebbe ridurne l’incertezza. Il valore atteso dell’informazione perfetta quantifica il beneficio massimo conseguibile eliminando del tutto l’incertezza, e rappresenta il limite superiore di ciò che converrebbe spendere in ricerca aggiuntiva; il valore atteso dell’informazione perfetta sui parametri lo scompone, attribuendolo ai singoli parametri, e indica così su quali grandezze la conoscenza aggiuntiva avrebbe il valore maggiore.</w:t>
      </w:r>
      <w:r>
        <w:rPr>
          <w:rStyle w:val="FootnoteReference"/>
        </w:rPr>
        <w:footnoteReference w:id="813"/>
      </w:r>
      <w:r>
        <w:t xml:space="preserve"> </w:t>
      </w:r>
      <w:r>
        <w:t xml:space="preserve">È uno strumento di razionalità allocativa applicato non alle cure, ma alla ricerca: orienta lo sforzo conoscitivo dove esso è più produttivo, evitando di disperdere risorse nella misura di parametri ininfluenti.</w:t>
      </w:r>
    </w:p>
    <w:p>
      <w:pPr>
        <w:pStyle w:val="BodyText"/>
      </w:pPr>
      <w:r>
        <w:t xml:space="preserve">Applicato a questo studio, il valore dell’informazione fornisce un’indicazione operativa precisa e coerente con quanto già osservato. I parametri ancora stimati — segnatamente quelli dei canali dei ricoveri, della specialistica e della mobilità della valutazione economica — sono al tempo stesso tra i più incerti e tra i più influenti, e sono perciò quelli su cui il valore dell’informazione è maggiore.</w:t>
      </w:r>
      <w:r>
        <w:rPr>
          <w:rStyle w:val="FootnoteReference"/>
        </w:rPr>
        <w:footnoteReference w:id="814"/>
      </w:r>
      <w:r>
        <w:t xml:space="preserve"> </w:t>
      </w:r>
      <w:r>
        <w:t xml:space="preserve">Ne discende che l’investimento conoscitivo prioritario è esattamente l’acquisizione dei dati regionali certificati già individuata nella Parte A e nella Parte E: le schede di dimissione per disturbi psichici, la composizione della mobilità passiva per disciplina e la spesa farmaceutica per categoria. Vi è, infine, una forma di acquisizione del valore dell’informazione superiore a ogni altra, perché sostituisce le stime non con altre stime ma con misure osservate: il dispiegamento scaglionato del servizio tra le sei aziende, oggetto della Parte L, che riduce l’incertezza dei parametri verificando empiricamente, sui dati pugliesi, gli effetti attesi.</w:t>
      </w:r>
      <w:r>
        <w:rPr>
          <w:rStyle w:val="FootnoteReference"/>
        </w:rPr>
        <w:footnoteReference w:id="815"/>
      </w:r>
      <w:r>
        <w:t xml:space="preserve"> </w:t>
      </w:r>
      <w:r>
        <w:t xml:space="preserve">Con il valore dell’informazione si chiude la trattazione economica e della sua robustezza; le parti successive affrontano le dimensioni che il denaro non cattura, a partire dall’equità nella Parte G.</w:t>
      </w:r>
    </w:p>
    <w:bookmarkEnd w:id="1704"/>
    <w:bookmarkEnd w:id="1705"/>
    <w:bookmarkEnd w:id="1706"/>
    <w:bookmarkStart w:id="1725" w:name="parte-g-equità-e-impatto-distributivo"/>
    <w:p>
      <w:pPr>
        <w:pStyle w:val="Heading2"/>
      </w:pPr>
      <w:r>
        <w:t xml:space="preserve">Parte G — Equità e impatto distributivo</w:t>
      </w:r>
    </w:p>
    <w:p>
      <w:pPr>
        <w:pStyle w:val="FirstParagraph"/>
      </w:pPr>
      <w:r>
        <w:t xml:space="preserve">Studio regionale Puglia · Parte G · Equità e impatto distributivo</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costo-efficacia distributiva, divari territoriali e impoverimento</w:t>
      </w:r>
    </w:p>
    <w:p>
      <w:pPr>
        <w:pStyle w:val="BodyText"/>
      </w:pPr>
      <w:r>
        <w:t xml:space="preserve">Dominio 8 del modello HTA · profilo del paziente e sociale · criterio di impatto</w:t>
      </w:r>
    </w:p>
    <w:p>
      <w:pPr>
        <w:pStyle w:val="BodyText"/>
      </w:pPr>
      <w:r>
        <w:rPr>
          <w:b/>
          <w:bCs/>
        </w:rPr>
        <w:t xml:space="preserve">Indice</w:t>
      </w:r>
    </w:p>
    <w:bookmarkStart w:id="1724" w:name="parte-g-equità-e-impatto-distributivo-1"/>
    <w:p>
      <w:pPr>
        <w:pStyle w:val="Heading3"/>
      </w:pPr>
      <w:r>
        <w:t xml:space="preserve">Parte G — Equità e impatto distributivo</w:t>
      </w:r>
    </w:p>
    <w:p>
      <w:pPr>
        <w:pStyle w:val="FirstParagraph"/>
      </w:pPr>
      <w:r>
        <w:t xml:space="preserve">Questa parte corrisponde all’ottavo dominio della valutazione di tecnologia sanitaria, il profilo del paziente e sociale, e risponde al criterio di impatto. L’equità vi è trattata non come un’aggiunta alla valutazione economica, ma come una sua dimensione costitutiva, secondo l’evoluzione che ha portato ad affiancare l’equità in salute agli obiettivi di esito, esperienza e costo.</w:t>
      </w:r>
      <w:r>
        <w:rPr>
          <w:rStyle w:val="FootnoteReference"/>
        </w:rPr>
        <w:footnoteReference w:id="816"/>
      </w:r>
      <w:r>
        <w:t xml:space="preserve"> </w:t>
      </w:r>
      <w:r>
        <w:t xml:space="preserve">La ragione è sostanziale: un intervento può essere efficiente in media e tuttavia ampliare le disuguaglianze, se i suoi benefici si concentrano sui gruppi già avvantaggiati; oppure può, come si argomenterà, migliorare l’esito medio e al tempo stesso ridurne la disuguaglianza. La parte analizza chi beneficia dell’intervento (capitolo G.1), come costi ed esiti si distribuiscono tra i gruppi (G.2) e quale sia l’effetto sui divari territoriali e sull’impoverimento delle famiglie (G.3).</w:t>
      </w:r>
    </w:p>
    <w:bookmarkStart w:id="1711" w:name="g.1-lanalisi-di-equità"/>
    <w:p>
      <w:pPr>
        <w:pStyle w:val="Heading4"/>
      </w:pPr>
      <w:r>
        <w:t xml:space="preserve">G.1 L’analisi di equità</w:t>
      </w:r>
    </w:p>
    <w:p>
      <w:pPr>
        <w:pStyle w:val="FirstParagraph"/>
      </w:pPr>
      <w:r>
        <w:t xml:space="preserve">L’analisi di equità muove da un dato epidemiologico consolidato: la salute mentale segue un gradiente sociale. Le popolazioni in deprivazione presentano prevalenze sistematicamente più elevate di disturbi mentali comuni e, al tempo stesso, incontrano un accesso più difficile ai servizi; il bisogno, in altri termini, si concentra precisamente dove le risorse protettive sono minori.</w:t>
      </w:r>
      <w:r>
        <w:rPr>
          <w:rStyle w:val="FootnoteReference"/>
        </w:rPr>
        <w:footnoteReference w:id="817"/>
      </w:r>
      <w:r>
        <w:t xml:space="preserve"> </w:t>
      </w:r>
      <w:r>
        <w:t xml:space="preserve">In Puglia questo nesso ha un peso particolare, poiché il 37,7% della popolazione è a rischio di povertà o esclusione sociale, tra i valori più alti del Paese. Un servizio rivolto al disagio comune incide perciò, per la composizione stessa della sua utenza, su una popolazione in larga parte svantaggiata.</w:t>
      </w:r>
    </w:p>
    <w:p>
      <w:pPr>
        <w:pStyle w:val="BodyText"/>
      </w:pPr>
      <w:r>
        <w:t xml:space="preserve">Il meccanismo per cui l’intervento può ridurre le disuguaglianze, anziché ampliarle, risiede nelle sue caratteristiche di accesso. La gratuità, la prossimità e l’assenza di stigma del primo livello abbattono precisamente le barriere — economiche, geografiche e culturali — che gravano in misura maggiore sulle popolazioni deprivate, e che oggi le escludono dalla psicoterapia privata o dai percorsi specialistici distanti.</w:t>
      </w:r>
      <w:r>
        <w:rPr>
          <w:rStyle w:val="FootnoteReference"/>
        </w:rPr>
        <w:footnoteReference w:id="818"/>
      </w:r>
      <w:r>
        <w:t xml:space="preserve"> </w:t>
      </w:r>
      <w:r>
        <w:t xml:space="preserve">Lo studio segue perciò un insieme strutturato di variabili di equità, accesso e protezione finanziaria: la riduzione dei tempi di attesa, l’accessibilità geografica nelle aree interne e remote, la riduzione del gradiente socio-economico nell’accesso, l’equità di esito tra gruppi, la riduzione delle disuguaglianze di genere, l’accesso per le popolazioni straniere e fragili e per le persone con disabilità, la riduzione delle barriere culturali e linguistiche, la gratuità per i gruppi vulnerabili, la copertura del bisogno non soddisfatto e la riduzione del divario Nord-Sud.</w:t>
      </w:r>
      <w:r>
        <w:rPr>
          <w:rStyle w:val="FootnoteReference"/>
        </w:rPr>
        <w:footnoteReference w:id="819"/>
      </w:r>
      <w:r>
        <w:t xml:space="preserve"> </w:t>
      </w:r>
      <w:r>
        <w:t xml:space="preserve">Queste variabili, raggruppate nella tabella seguente, traducono l’equità da principio generale a dimensione misurabile.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 equità</w:t>
            </w:r>
          </w:p>
        </w:tc>
        <w:tc>
          <w:tcPr>
            <w:shd w:val="clear" w:color="auto" w:fill="16264B"/>
          </w:tcPr>
          <w:p>
            <w:pPr>
              <w:pStyle w:val="Compact"/>
              <w:spacing w:after="40" w:before="40"/>
              <w:jc w:val="left"/>
            </w:pPr>
            <w:r>
              <w:rPr>
                <w:rFonts w:ascii="Cambria" w:hAnsi="Cambria" w:cs="Cambria" w:eastAsia="Cambria"/>
                <w:b/>
                <w:bCs/>
                <w:color w:val="FFFFFF"/>
                <w:sz w:val="18"/>
              </w:rPr>
              <w:t xml:space="preserve">Variabili seguite dallo studio</w:t>
            </w:r>
          </w:p>
        </w:tc>
      </w:tr>
      <w:tr>
        <w:tc>
          <w:tcPr/>
          <w:p>
            <w:pPr>
              <w:pStyle w:val="Compact"/>
              <w:spacing w:after="40" w:before="40"/>
              <w:jc w:val="left"/>
            </w:pPr>
            <w:r>
              <w:rPr>
                <w:rFonts w:ascii="Cambria" w:hAnsi="Cambria" w:cs="Cambria" w:eastAsia="Cambria"/>
                <w:b/>
                <w:bCs/>
                <w:color w:val="1A1A1A"/>
                <w:sz w:val="18"/>
              </w:rPr>
              <w:t xml:space="preserve">Accesso</w:t>
            </w:r>
          </w:p>
        </w:tc>
        <w:tc>
          <w:tcPr/>
          <w:p>
            <w:pPr>
              <w:pStyle w:val="Compact"/>
              <w:spacing w:after="40" w:before="40"/>
              <w:jc w:val="left"/>
            </w:pPr>
            <w:r>
              <w:rPr>
                <w:rFonts w:ascii="Cambria" w:hAnsi="Cambria" w:cs="Cambria" w:eastAsia="Cambria"/>
                <w:color w:val="1A1A1A"/>
                <w:sz w:val="18"/>
              </w:rPr>
              <w:t xml:space="preserve">Tempi di attesa; accessibilità geografica nelle aree interne e remote; gradiente socio-economico nell’accesso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Protezione finanziaria</w:t>
            </w:r>
          </w:p>
        </w:tc>
        <w:tc>
          <w:tcPr>
            <w:shd w:val="clear" w:color="auto" w:fill="F4F1EC"/>
          </w:tcPr>
          <w:p>
            <w:pPr>
              <w:pStyle w:val="Compact"/>
              <w:spacing w:after="40" w:before="40"/>
              <w:jc w:val="left"/>
            </w:pPr>
            <w:r>
              <w:rPr>
                <w:rFonts w:ascii="Cambria" w:hAnsi="Cambria" w:cs="Cambria" w:eastAsia="Cambria"/>
                <w:color w:val="1A1A1A"/>
                <w:sz w:val="18"/>
              </w:rPr>
              <w:t xml:space="preserve">Riduzione della spesa privata diretta; dell’impoverimento connesso alle cure; delle spese catastrofiche</w:t>
            </w:r>
          </w:p>
        </w:tc>
      </w:tr>
      <w:tr>
        <w:tc>
          <w:tcPr/>
          <w:p>
            <w:pPr>
              <w:pStyle w:val="Compact"/>
              <w:spacing w:after="40" w:before="40"/>
              <w:jc w:val="left"/>
            </w:pPr>
            <w:r>
              <w:rPr>
                <w:rFonts w:ascii="Cambria" w:hAnsi="Cambria" w:cs="Cambria" w:eastAsia="Cambria"/>
                <w:b/>
                <w:bCs/>
                <w:color w:val="1A1A1A"/>
                <w:sz w:val="18"/>
              </w:rPr>
              <w:t xml:space="preserve">Gruppi vulnerabili</w:t>
            </w:r>
          </w:p>
        </w:tc>
        <w:tc>
          <w:tcPr/>
          <w:p>
            <w:pPr>
              <w:pStyle w:val="Compact"/>
              <w:spacing w:after="40" w:before="40"/>
              <w:jc w:val="left"/>
            </w:pPr>
            <w:r>
              <w:rPr>
                <w:rFonts w:ascii="Cambria" w:hAnsi="Cambria" w:cs="Cambria" w:eastAsia="Cambria"/>
                <w:color w:val="1A1A1A"/>
                <w:sz w:val="18"/>
              </w:rPr>
              <w:t xml:space="preserve">Equità di genere; popolazioni straniere e fragili; persone con disabilità; barriere culturali e linguistiche; gratuità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Territorio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divario Nord-Sud; della migrazione sanitaria;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1711"/>
    <w:bookmarkStart w:id="1717" w:name="g.2-la-costo-efficacia-distributiva"/>
    <w:p>
      <w:pPr>
        <w:pStyle w:val="Heading4"/>
      </w:pPr>
      <w:r>
        <w:t xml:space="preserve">G.2 La costo-efficacia distributiva</w:t>
      </w:r>
    </w:p>
    <w:p>
      <w:pPr>
        <w:pStyle w:val="FirstParagraph"/>
      </w:pPr>
      <w:r>
        <w:t xml:space="preserve">L’analisi di costo-efficacia distributiva estende la valutazione economica alla dimensione dell’equità, stimando non soltanto l’effetto medio dell’intervento, ma come costi ed esiti si distribuiscano tra i sottogruppi della popolazione e quale ne sia l’effetto sulle disuguaglianze. Essa si avvale di strumenti dedicati: gli anni di vita ponderati per la qualità e per l’equità, che attribuiscono ai guadagni di salute un peso crescente con lo svantaggio sociale; l’indice di concentrazione, che lega l’esito di salute alla posizione socio-economica; e gli indici di disuguaglianza assoluta e relativa, che misurano il gradiente dell’esito lungo lo stato socio-economico.</w:t>
      </w:r>
      <w:r>
        <w:rPr>
          <w:rStyle w:val="FootnoteReference"/>
        </w:rPr>
        <w:footnoteReference w:id="820"/>
      </w:r>
      <w:r>
        <w:t xml:space="preserve"> </w:t>
      </w:r>
      <w:r>
        <w:t xml:space="preserve">È il metodo che consente di affermare, in termini quantitativi e non retorici, se un intervento sia equo.</w:t>
      </w:r>
    </w:p>
    <w:p>
      <w:pPr>
        <w:pStyle w:val="BodyText"/>
      </w:pPr>
      <w:r>
        <w:t xml:space="preserve">La direzione del risultato distributivo è, per questo intervento, favorevole. Poiché il bisogno è maggiore e il guadagno di accesso più ampio tra le popolazioni deprivate, i benefici si concentrano tra i gruppi più svantaggiati, riducendo il gradiente sociale negli esiti di salute mentale; l’intervento migliora dunque l’esito medio e ne comprime al tempo stesso la disuguaglianza, una combinazione che la valutazione economica tradizionale, attenta al solo effetto medio, non coglierebbe.</w:t>
      </w:r>
      <w:r>
        <w:rPr>
          <w:rStyle w:val="FootnoteReference"/>
        </w:rPr>
        <w:footnoteReference w:id="821"/>
      </w:r>
      <w:r>
        <w:t xml:space="preserve"> </w:t>
      </w:r>
      <w:r>
        <w:t xml:space="preserve">Su questa base è doverosa una precisazione di metodo, coerente con il rigore adottato nella parte economica. La ponderazione distributiva — l’attribuzione di pesi maggiori ai benefici che ricadono sui più svantaggiati — accrescerebbe il valore sociale stimato rispetto all’analisi non ponderata; lo studio adotta tuttavia, come riferimento conservativo, il rapporto beneficio-costo non ponderato già esposto nella Parte E, dell’ordine di 3,6–5 a uno, rilevando che la ponderazione lo eleverebbe — coerentemente con la concentrazione dei benefici tra le popolazioni del Mezzogiorno — ma senza adottare la stima ponderata come dato di sintesi.</w:t>
      </w:r>
      <w:r>
        <w:rPr>
          <w:rStyle w:val="FootnoteReference"/>
        </w:rPr>
        <w:footnoteReference w:id="822"/>
      </w:r>
    </w:p>
    <w:p>
      <w:pPr>
        <w:pStyle w:val="BodyText"/>
      </w:pPr>
      <w:r>
        <w:t xml:space="preserve">L’equità, peraltro, non è affidata al solo calcolo, ma è incorporata nel disegno operativo del servizio. L’algoritmo di distribuzione territoriale degli incarichi non segue la sola popolazione, ma pondera ciascun distretto per l’indice di vecchiaia, per l’indice di deprivazione socioeconomica e per la prevalenza di cronicità e multimorbidità, attribuendo pesi maggiori alle aree interne in spopolamento e alle periferie urbane degradate.</w:t>
      </w:r>
      <w:r>
        <w:rPr>
          <w:rStyle w:val="FootnoteReference"/>
        </w:rPr>
        <w:footnoteReference w:id="823"/>
      </w:r>
      <w:r>
        <w:t xml:space="preserve"> </w:t>
      </w:r>
      <w:r>
        <w:t xml:space="preserve">In questo modo la programmazione contrasta, anziché riprodurre, le disuguaglianze esistenti: l’equità è perseguita non solo misurando dove i benefici cadono, ma indirizzando deliberatamente le risorse dove il bisogno è maggiore. La tabella seguente riepiloga gli strumenti della misura distributiva.</w:t>
      </w:r>
      <w:r>
        <w:rPr>
          <w:rStyle w:val="FootnoteReference"/>
        </w:rPr>
        <w:footnoteReference w:id="824"/>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Strumento della costo-efficacia distributiva</w:t>
            </w:r>
          </w:p>
        </w:tc>
        <w:tc>
          <w:tcPr>
            <w:shd w:val="clear" w:color="auto" w:fill="16264B"/>
          </w:tcPr>
          <w:p>
            <w:pPr>
              <w:pStyle w:val="Compact"/>
              <w:spacing w:after="40" w:before="40"/>
              <w:jc w:val="left"/>
            </w:pPr>
            <w:r>
              <w:rPr>
                <w:rFonts w:ascii="Cambria" w:hAnsi="Cambria" w:cs="Cambria" w:eastAsia="Cambria"/>
                <w:b/>
                <w:bCs/>
                <w:color w:val="FFFFFF"/>
                <w:sz w:val="18"/>
              </w:rPr>
              <w:t xml:space="preserve">Che cosa misura</w:t>
            </w:r>
          </w:p>
        </w:tc>
      </w:tr>
      <w:tr>
        <w:tc>
          <w:tcPr/>
          <w:p>
            <w:pPr>
              <w:pStyle w:val="Compact"/>
              <w:spacing w:after="40" w:before="40"/>
              <w:jc w:val="left"/>
            </w:pPr>
            <w:r>
              <w:rPr>
                <w:rFonts w:ascii="Cambria" w:hAnsi="Cambria" w:cs="Cambria" w:eastAsia="Cambria"/>
                <w:b/>
                <w:bCs/>
                <w:color w:val="1A1A1A"/>
                <w:sz w:val="18"/>
              </w:rPr>
              <w:t xml:space="preserve">Anni di vita ponderati per l’equità</w:t>
            </w:r>
          </w:p>
        </w:tc>
        <w:tc>
          <w:tcPr/>
          <w:p>
            <w:pPr>
              <w:pStyle w:val="Compact"/>
              <w:spacing w:after="40" w:before="40"/>
              <w:jc w:val="left"/>
            </w:pPr>
            <w:r>
              <w:rPr>
                <w:rFonts w:ascii="Cambria" w:hAnsi="Cambria" w:cs="Cambria" w:eastAsia="Cambria"/>
                <w:color w:val="1A1A1A"/>
                <w:sz w:val="18"/>
              </w:rPr>
              <w:t xml:space="preserve">Guadagni di salute con pesi per lo svantaggio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concentrazione</w:t>
            </w:r>
          </w:p>
        </w:tc>
        <w:tc>
          <w:tcPr>
            <w:shd w:val="clear" w:color="auto" w:fill="F4F1EC"/>
          </w:tcPr>
          <w:p>
            <w:pPr>
              <w:pStyle w:val="Compact"/>
              <w:spacing w:after="40" w:before="40"/>
              <w:jc w:val="left"/>
            </w:pPr>
            <w:r>
              <w:rPr>
                <w:rFonts w:ascii="Cambria" w:hAnsi="Cambria" w:cs="Cambria" w:eastAsia="Cambria"/>
                <w:color w:val="1A1A1A"/>
                <w:sz w:val="18"/>
              </w:rPr>
              <w:t xml:space="preserve">Relazione tra esito di salute e posizione socio-economica</w:t>
            </w:r>
          </w:p>
        </w:tc>
      </w:tr>
      <w:tr>
        <w:tc>
          <w:tcPr/>
          <w:p>
            <w:pPr>
              <w:pStyle w:val="Compact"/>
              <w:spacing w:after="40" w:before="40"/>
              <w:jc w:val="left"/>
            </w:pPr>
            <w:r>
              <w:rPr>
                <w:rFonts w:ascii="Cambria" w:hAnsi="Cambria" w:cs="Cambria" w:eastAsia="Cambria"/>
                <w:b/>
                <w:bCs/>
                <w:color w:val="1A1A1A"/>
                <w:sz w:val="18"/>
              </w:rPr>
              <w:t xml:space="preserve">Indici di disuguaglianza (assoluta e relativa)</w:t>
            </w:r>
          </w:p>
        </w:tc>
        <w:tc>
          <w:tcPr/>
          <w:p>
            <w:pPr>
              <w:pStyle w:val="Compact"/>
              <w:spacing w:after="40" w:before="40"/>
              <w:jc w:val="left"/>
            </w:pPr>
            <w:r>
              <w:rPr>
                <w:rFonts w:ascii="Cambria" w:hAnsi="Cambria" w:cs="Cambria" w:eastAsia="Cambria"/>
                <w:color w:val="1A1A1A"/>
                <w:sz w:val="18"/>
              </w:rPr>
              <w:t xml:space="preserve">Gradiente dell’esito lungo lo stato socio-economico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d</w:t>
            </w:r>
            <w:r>
              <w:rPr>
                <w:rFonts w:ascii="Cambria" w:hAnsi="Cambria" w:cs="Cambria" w:eastAsia="Cambria"/>
                <w:b/>
                <w:bCs/>
                <w:color w:val="1A1A1A"/>
                <w:sz w:val="18"/>
              </w:rPr>
              <w:t xml:space="preserve">‘</w:t>
            </w:r>
            <w:r>
              <w:rPr>
                <w:rFonts w:ascii="Cambria" w:hAnsi="Cambria" w:cs="Cambria" w:eastAsia="Cambria"/>
                <w:b/>
                <w:bCs/>
                <w:color w:val="1A1A1A"/>
                <w:sz w:val="18"/>
              </w:rPr>
              <w:t xml:space="preserve">****impatto sull****</w:t>
            </w:r>
            <w:r>
              <w:rPr>
                <w:rFonts w:ascii="Cambria" w:hAnsi="Cambria" w:cs="Cambria" w:eastAsia="Cambria"/>
                <w:b/>
                <w:bCs/>
                <w:color w:val="1A1A1A"/>
                <w:sz w:val="18"/>
              </w:rPr>
              <w:t xml:space="preserve">’</w:t>
            </w: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Distribuzione degli effetti per gruppi vulnerabili</w:t>
            </w:r>
          </w:p>
        </w:tc>
      </w:tr>
      <w:tr>
        <w:tc>
          <w:tcPr/>
          <w:p>
            <w:pPr>
              <w:pStyle w:val="Compact"/>
              <w:spacing w:after="40" w:before="40"/>
              <w:jc w:val="left"/>
            </w:pPr>
            <w:r>
              <w:rPr>
                <w:rFonts w:ascii="Cambria" w:hAnsi="Cambria" w:cs="Cambria" w:eastAsia="Cambria"/>
                <w:b/>
                <w:bCs/>
                <w:color w:val="1A1A1A"/>
                <w:sz w:val="18"/>
              </w:rPr>
              <w:t xml:space="preserve">Indice di deprivazione multipla</w:t>
            </w:r>
          </w:p>
        </w:tc>
        <w:tc>
          <w:tcPr/>
          <w:p>
            <w:pPr>
              <w:pStyle w:val="Compact"/>
              <w:spacing w:after="40" w:before="40"/>
              <w:jc w:val="left"/>
            </w:pPr>
            <w:r>
              <w:rPr>
                <w:rFonts w:ascii="Cambria" w:hAnsi="Cambria" w:cs="Cambria" w:eastAsia="Cambria"/>
                <w:color w:val="1A1A1A"/>
                <w:sz w:val="18"/>
              </w:rP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1717"/>
    <w:bookmarkStart w:id="1723" w:name="X3a6650b3f2a96cfc7b66b547c756b1cfaab7ccf"/>
    <w:p>
      <w:pPr>
        <w:pStyle w:val="Heading4"/>
      </w:pPr>
      <w:r>
        <w:t xml:space="preserve">G.3 I divari territoriali e l’impoverimento</w:t>
      </w:r>
    </w:p>
    <w:p>
      <w:pPr>
        <w:pStyle w:val="FirstParagraph"/>
      </w:pPr>
      <w:r>
        <w:t xml:space="preserve">La dimensione territoriale dell’equità è, in Puglia, particolarmente rilevante. Alla disomogeneità demografica tra province — con aree nettamente più anziane di altre — si sommano i divari socioeconomici, concentrati nelle aree interne montane e rurali, colpite da spopolamento giovanile e invecchiamento residuo, e in alcune periferie urbane degradate.</w:t>
      </w:r>
      <w:r>
        <w:rPr>
          <w:rStyle w:val="FootnoteReference"/>
        </w:rPr>
        <w:footnoteReference w:id="825"/>
      </w:r>
      <w:r>
        <w:t xml:space="preserve"> </w:t>
      </w:r>
      <w:r>
        <w:t xml:space="preserve">Sono le aree in cui i determinanti del disagio si addensano e in cui, al tempo stesso, l’accesso ai servizi è più difficile, sicché la sola presenza fisica di un primo livello accessibile, distribuito secondo l’algoritmo allocativo, costituisce già un atto di riequilibrio. A ciò si lega il canale, distintivo della Puglia, della mobilità sanitaria recuperata: chi migra per ricevere cure è spesso chi può permetterselo, sicché trattenere la presa in carico sul territorio serve insieme la sostenibilità del bilancio e l’equità verso chi non può spostarsi.</w:t>
      </w:r>
      <w:r>
        <w:rPr>
          <w:rStyle w:val="FootnoteReference"/>
        </w:rPr>
        <w:footnoteReference w:id="826"/>
      </w:r>
    </w:p>
    <w:p>
      <w:pPr>
        <w:pStyle w:val="BodyText"/>
      </w:pPr>
      <w:r>
        <w:t xml:space="preserve">La seconda dimensione è la protezione finanziaria delle famiglie. Il servizio pubblico e gratuito riduce la spesa privata diretta per la psicoterapia, l’impoverimento connesso alle cure e le spese sanitarie catastrofiche, con beneficio maggiore per i redditi bassi, per i quali oggi la psicoterapia privata — di costo non trascurabile — è spesso del tutto inaccessibile.</w:t>
      </w:r>
      <w:r>
        <w:rPr>
          <w:rStyle w:val="FootnoteReference"/>
        </w:rPr>
        <w:footnoteReference w:id="827"/>
      </w:r>
      <w:r>
        <w:t xml:space="preserve"> </w:t>
      </w:r>
      <w:r>
        <w:t xml:space="preserve">In una regione in cui oltre un terzo della popolazione è a rischio di povertà, la gratuità del primo livello non è un dettaglio organizzativo, ma la condizione stessa dell’accesso per una quota larga della popolazione. La copertura del bisogno non soddisfatto — le 780.000 persone con disagio comune, metà delle quali non chiede aiuto — ha del resto un significato distributivo preciso, poiché raggiunge proprio coloro che hanno minore probabilità di accedere spontaneamente ai servizi.</w:t>
      </w:r>
      <w:r>
        <w:rPr>
          <w:rStyle w:val="FootnoteReference"/>
        </w:rPr>
        <w:footnoteReference w:id="828"/>
      </w:r>
    </w:p>
    <w:p>
      <w:pPr>
        <w:pStyle w:val="BodyText"/>
      </w:pPr>
      <w:r>
        <w:t xml:space="preserve">L’impatto distributivo, infine, non è affermato una volta per tutte, ma sottoposto a verifica continua. Gli indicatori di equità — l’accesso per area e per livello socio-economico, il gradiente dell’esito, i tempi di attesa per area — fanno parte del sistema di indicatori sviluppato nella Parte L, e consentono di accertare nel tempo se il servizio raggiunga effettivamente le comunità più distanti e i gruppi più fragili, e non soltanto quelli già meglio serviti.</w:t>
      </w:r>
      <w:r>
        <w:rPr>
          <w:rStyle w:val="FootnoteReference"/>
        </w:rPr>
        <w:footnoteReference w:id="829"/>
      </w:r>
      <w:r>
        <w:t xml:space="preserve"> </w:t>
      </w:r>
      <w:r>
        <w:t xml:space="preserve">In tal modo l’equità cessa di essere una promessa e diventa un esito misurato, soggetto alla stessa disciplina di verifica che lo studio applica all’efficacia e all’economia. Stabilito l’impatto distributivo, le parti successive affrontano i profili etici, giuridici e organizzativi, oggetto della Parte H.</w:t>
      </w:r>
    </w:p>
    <w:bookmarkEnd w:id="1723"/>
    <w:bookmarkEnd w:id="1724"/>
    <w:bookmarkEnd w:id="1725"/>
    <w:bookmarkStart w:id="1746" w:name="X385f5d4cdb50ade6b3318cfb0eed846d27ebca8"/>
    <w:p>
      <w:pPr>
        <w:pStyle w:val="Heading2"/>
      </w:pPr>
      <w:r>
        <w:t xml:space="preserve">Parte H — Profili etico-giuridico-organizzativi</w:t>
      </w:r>
    </w:p>
    <w:p>
      <w:pPr>
        <w:pStyle w:val="FirstParagraph"/>
      </w:pPr>
      <w:r>
        <w:t xml:space="preserve">Studio regionale Puglia · Parte H · Profili etico, giuridico e organizzativo</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etico, profili giuridici e costituzionali, profilo organizzativo e conformità</w:t>
      </w:r>
    </w:p>
    <w:p>
      <w:pPr>
        <w:pStyle w:val="BodyText"/>
      </w:pPr>
      <w:r>
        <w:t xml:space="preserve">Domini 6, 7 e 9 del modello HTA · etica, organizzazione e profili giuridici</w:t>
      </w:r>
    </w:p>
    <w:p>
      <w:pPr>
        <w:pStyle w:val="BodyText"/>
      </w:pPr>
      <w:r>
        <w:rPr>
          <w:b/>
          <w:bCs/>
        </w:rPr>
        <w:t xml:space="preserve">Indice</w:t>
      </w:r>
    </w:p>
    <w:bookmarkStart w:id="1745" w:name="X30157ba49e0b457856c0c4ef92e77be53ab804a"/>
    <w:p>
      <w:pPr>
        <w:pStyle w:val="Heading3"/>
      </w:pPr>
      <w:r>
        <w:t xml:space="preserve">Parte H — Profili etico, giuridico e organizzativo</w:t>
      </w:r>
    </w:p>
    <w:p>
      <w:pPr>
        <w:pStyle w:val="FirstParagraph"/>
      </w:pPr>
      <w:r>
        <w:t xml:space="preserve">Questa parte copre tre domini della valutazione di tecnologia sanitaria — il profilo etico, il profilo organizzativo e il profilo giuridico — che completano l’esame oltre i piani già trattati. Un intervento può essere clinicamente efficace, economicamente conveniente ed equo, e tuttavia risultare inattuabile o indifendibile se non è eticamente fondato, giuridicamente solido e organizzativamente conforme.</w:t>
      </w:r>
      <w:r>
        <w:rPr>
          <w:rStyle w:val="FootnoteReference"/>
        </w:rPr>
        <w:footnoteReference w:id="830"/>
      </w:r>
      <w:r>
        <w:t xml:space="preserve"> </w:t>
      </w:r>
      <w:r>
        <w:t xml:space="preserve">La parte verifica queste tre condizioni: il fondamento etico dell’intervento, segnatamente l’autonomia e il consenso della persona (capitolo H.1); la sua difendibilità giuridica e costituzionale, nel quadro del riparto di competenze e dei livelli essenziali (H.2); e la sua conformità organizzativa, sul piano della deontologia, della responsabilità, dell’intelligenza artificiale e della protezione dei dati (H.3).</w:t>
      </w:r>
    </w:p>
    <w:bookmarkStart w:id="1731" w:name="h.1-il-profilo-etico"/>
    <w:p>
      <w:pPr>
        <w:pStyle w:val="Heading4"/>
      </w:pPr>
      <w:r>
        <w:t xml:space="preserve">H.1 Il profilo etico</w:t>
      </w:r>
    </w:p>
    <w:p>
      <w:pPr>
        <w:pStyle w:val="FirstParagraph"/>
      </w:pPr>
      <w:r>
        <w:t xml:space="preserve">Il dominio etico della valutazione esamina le implicazioni morali dell’intervento, e per questo servizio esse ruotano intorno a tre principi: l’equità di accesso, l’autonomia della persona e la tutela del consenso.</w:t>
      </w:r>
      <w:r>
        <w:rPr>
          <w:rStyle w:val="FootnoteReference"/>
        </w:rPr>
        <w:footnoteReference w:id="831"/>
      </w:r>
      <w:r>
        <w:t xml:space="preserve"> </w:t>
      </w:r>
      <w:r>
        <w:t xml:space="preserve">L’equità di accesso, già trattata sul piano distributivo nella Parte G, ha qui una valenza propriamente etica: un servizio sanitario pubblico ha il dovere di raggiungere chi ne ha bisogno indipendentemente dalle condizioni economiche, geografiche e culturali, e la gratuità e la prossimità del primo livello rispondono a questo dovere. L’autonomia della persona impone che l’accesso e la permanenza nel percorso siano volontari e informati, e che la persona resti il soggetto, e mai l’oggetto, della presa in carico.</w:t>
      </w:r>
    </w:p>
    <w:p>
      <w:pPr>
        <w:pStyle w:val="BodyText"/>
      </w:pPr>
      <w:r>
        <w:t xml:space="preserve">La tutela del consenso è il presidio operativo di questi principi. Il consenso è modulare — prestato distintamente per i diversi trattamenti, sicché la persona può acconsentire all’intervento psicologico ma non, ad esempio, all’uso di un determinato strumento digitale — ed è reso anche in forma digitale; e poiché nella salute mentale i dati sono ultrasensibili, la persona deve sapere con chiarezza se interagisce con un sistema di intelligenza artificiale, quali dati siano raccolti e chi possa accedervi.</w:t>
      </w:r>
      <w:r>
        <w:rPr>
          <w:rStyle w:val="FootnoteReference"/>
        </w:rPr>
        <w:footnoteReference w:id="832"/>
      </w:r>
      <w:r>
        <w:t xml:space="preserve"> </w:t>
      </w:r>
      <w:r>
        <w:t xml:space="preserve">Alla dimensione etica appartiene anche la conduzione della valutazione stessa: gli esiti sono resi pubblici indipendentemente dal loro segno, a garanzia contro la distorsione da selezione dei risultati favorevoli, e l’intero impianto è sottoposto all’approvazione del comitato etico territorialmente competente.</w:t>
      </w:r>
      <w:r>
        <w:rPr>
          <w:rStyle w:val="FootnoteReference"/>
        </w:rPr>
        <w:footnoteReference w:id="833"/>
      </w:r>
      <w:r>
        <w:t xml:space="preserve"> </w:t>
      </w:r>
      <w:r>
        <w:t xml:space="preserve">Vi è, infine, la tutela rafforzata dei minori e delle persone vulnerabili, già richiamata: gli strumenti di esito sono impiegati nei soli punteggi complessivi, e le situazioni di rischio sono indirizzate ai servizi competenti, in raccordo con il medico curante, senza che ne siano registrate le modalità — garanzia insieme di sicurezza e di dignità.</w:t>
      </w:r>
      <w:r>
        <w:rPr>
          <w:rStyle w:val="FootnoteReference"/>
        </w:rPr>
        <w:footnoteReference w:id="834"/>
      </w:r>
    </w:p>
    <w:bookmarkEnd w:id="1731"/>
    <w:bookmarkStart w:id="1738" w:name="h.2-i-profili-giuridici-e-costituzionali"/>
    <w:p>
      <w:pPr>
        <w:pStyle w:val="Heading4"/>
      </w:pPr>
      <w:r>
        <w:t xml:space="preserve">H.2 I profili giuridici e costituzionali</w:t>
      </w:r>
    </w:p>
    <w:p>
      <w:pPr>
        <w:pStyle w:val="FirstParagraph"/>
      </w:pPr>
      <w:r>
        <w:t xml:space="preserve">La difendibilità giuridica dell’intervento è una condizione, non un ornamento, tanto più per una riforma che incide sull’organizzazione sanitaria. Il fondamento è costituzionale: l’articolo 32 della Costituzione e la legge istitutiva del Servizio sanitario nazionale configurano la salute come diritto fondamentale dell’individuo e interesse della collettività, e il servizio sui principi di universalità, eguaglianza ed equità.</w:t>
      </w:r>
      <w:r>
        <w:rPr>
          <w:rStyle w:val="FootnoteReference"/>
        </w:rPr>
        <w:footnoteReference w:id="835"/>
      </w:r>
      <w:r>
        <w:t xml:space="preserve"> </w:t>
      </w:r>
      <w:r>
        <w:t xml:space="preserve">È entro questa cornice che si colloca la riforma, la quale dà attuazione concreta a quel diritto per una dimensione — la salute mentale — storicamente sotto-tutelata nelle cure primarie.</w:t>
      </w:r>
    </w:p>
    <w:p>
      <w:pPr>
        <w:pStyle w:val="BodyText"/>
      </w:pPr>
      <w:r>
        <w:t xml:space="preserve">Sul piano del riparto di competenze, la materia è governata dall’articolo 117 della Costituzione. La tutela della salute è competenza concorrente, nella quale allo Stato spetta la determinazione dei principi fondamentali e alle Regioni la disciplina di dettaglio e l’organizzazione del servizio, mentre l’ordinamento delle professioni è riservato allo Stato;</w:t>
      </w:r>
      <w:r>
        <w:rPr>
          <w:rStyle w:val="FootnoteReference"/>
        </w:rPr>
        <w:footnoteReference w:id="836"/>
      </w:r>
      <w:r>
        <w:t xml:space="preserve"> </w:t>
      </w:r>
      <w:r>
        <w:t xml:space="preserve">la determinazione dei livelli essenziali delle prestazioni è invece competenza esclusiva statale, ed è la leva attraverso cui un’eventuale legge dello Stato potrebbe ricondurre la psicologia di base tra le prestazioni garantite in modo uniforme su tutto il territorio.</w:t>
      </w:r>
      <w:r>
        <w:rPr>
          <w:rStyle w:val="FootnoteReference"/>
        </w:rPr>
        <w:footnoteReference w:id="837"/>
      </w:r>
      <w:r>
        <w:t xml:space="preserve"> </w:t>
      </w:r>
      <w:r>
        <w:t xml:space="preserve">La legge regionale pugliese opera legittimamente entro la competenza concorrente, sul piano organizzativo: la Corte costituzionale, con la sentenza n. 241 del 2021, ha riconosciuto legittimo il modello regionale del servizio di psicologia di base, in quanto organizzazione del servizio che si avvale di professionisti già esistenti.</w:t>
      </w:r>
      <w:r>
        <w:rPr>
          <w:rStyle w:val="FootnoteReference"/>
        </w:rPr>
        <w:footnoteReference w:id="838"/>
      </w:r>
      <w:r>
        <w:t xml:space="preserve"> </w:t>
      </w:r>
      <w:r>
        <w:t xml:space="preserve">È un precedente di rilievo diretto, poiché la stessa Corte aveva in precedenza dichiarato l’illegittimità di una più risalente legge pugliese, alla quale la legge n. 11 del 2023 è succeduta in forma conforme.</w:t>
      </w:r>
      <w:r>
        <w:rPr>
          <w:rStyle w:val="FootnoteReference"/>
        </w:rPr>
        <w:footnoteReference w:id="839"/>
      </w:r>
    </w:p>
    <w:p>
      <w:pPr>
        <w:pStyle w:val="BodyText"/>
      </w:pPr>
      <w:r>
        <w:t xml:space="preserve">Un vincolo specifico, già incontrato nella valutazione economica, ha qui la sua collocazione propria. La Corte costituzionale, con la sentenza n. 6 del 2026, ha ribadito che le Regioni in piano di rientro non possono utilizzare i fondi del proprio Servizio sanitario per finalità diverse dalla garanzia dei livelli essenziali.</w:t>
      </w:r>
      <w:r>
        <w:rPr>
          <w:rStyle w:val="FootnoteReference"/>
        </w:rPr>
        <w:footnoteReference w:id="840"/>
      </w:r>
      <w:r>
        <w:t xml:space="preserve"> </w:t>
      </w:r>
      <w:r>
        <w:t xml:space="preserve">Per la Puglia, regione in disavanzo, questo vincolo non è un ostacolo alla riforma, ma ne orienta la giustificazione: è precisamente la dimostrazione che il servizio garantisce un livello essenziale — intercettando un bisogno largamente inevaso — a un costo sostenibile e con un ritorno documentato a renderlo non solo ammissibile, ma coerente con l’obbligo costituzionale. La tabella seguente riepiloga i riferimenti giuridici essenziali.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Riferimento giuridico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rilevante</w:t>
            </w:r>
          </w:p>
        </w:tc>
      </w:tr>
      <w:tr>
        <w:tc>
          <w:tcPr/>
          <w:p>
            <w:pPr>
              <w:pStyle w:val="Compact"/>
              <w:spacing w:after="40" w:before="40"/>
              <w:jc w:val="left"/>
            </w:pPr>
            <w:r>
              <w:rPr>
                <w:rFonts w:ascii="Cambria" w:hAnsi="Cambria" w:cs="Cambria" w:eastAsia="Cambria"/>
                <w:b/>
                <w:bCs/>
                <w:color w:val="1A1A1A"/>
                <w:sz w:val="18"/>
              </w:rPr>
              <w:t xml:space="preserve">Articolo 32 Cost. e legge n. 833/1978</w:t>
            </w:r>
          </w:p>
        </w:tc>
        <w:tc>
          <w:tcPr/>
          <w:p>
            <w:pPr>
              <w:pStyle w:val="Compact"/>
              <w:spacing w:after="40" w:before="40"/>
              <w:jc w:val="left"/>
            </w:pPr>
            <w:r>
              <w:rPr>
                <w:rFonts w:ascii="Cambria" w:hAnsi="Cambria" w:cs="Cambria" w:eastAsia="Cambria"/>
                <w:color w:val="1A1A1A"/>
                <w:sz w:val="18"/>
              </w:rPr>
              <w:t xml:space="preserve">Salute come diritto; Servizio sanitario universale, eguale ed equo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Articolo 117, terzo comma, Cost.</w:t>
            </w:r>
          </w:p>
        </w:tc>
        <w:tc>
          <w:tcPr>
            <w:shd w:val="clear" w:color="auto" w:fill="F4F1EC"/>
          </w:tcPr>
          <w:p>
            <w:pPr>
              <w:pStyle w:val="Compact"/>
              <w:spacing w:after="40" w:before="40"/>
              <w:jc w:val="left"/>
            </w:pPr>
            <w:r>
              <w:rPr>
                <w:rFonts w:ascii="Cambria" w:hAnsi="Cambria" w:cs="Cambria" w:eastAsia="Cambria"/>
                <w:color w:val="1A1A1A"/>
                <w:sz w:val="18"/>
              </w:rPr>
              <w:t xml:space="preserve">Tutela della salute: competenza concorrente (principi allo Stato, organizzazione alle Regioni)</w:t>
            </w:r>
          </w:p>
        </w:tc>
      </w:tr>
      <w:tr>
        <w:tc>
          <w:tcPr/>
          <w:p>
            <w:pPr>
              <w:pStyle w:val="Compact"/>
              <w:spacing w:after="40" w:before="40"/>
              <w:jc w:val="left"/>
            </w:pPr>
            <w:r>
              <w:rPr>
                <w:rFonts w:ascii="Cambria" w:hAnsi="Cambria" w:cs="Cambria" w:eastAsia="Cambria"/>
                <w:b/>
                <w:bCs/>
                <w:color w:val="1A1A1A"/>
                <w:sz w:val="18"/>
              </w:rPr>
              <w:t xml:space="preserve">Articolo 117, secondo comma, lettera m), Cost.</w:t>
            </w:r>
          </w:p>
        </w:tc>
        <w:tc>
          <w:tcPr/>
          <w:p>
            <w:pPr>
              <w:pStyle w:val="Compact"/>
              <w:spacing w:after="40" w:before="40"/>
              <w:jc w:val="left"/>
            </w:pPr>
            <w:r>
              <w:rPr>
                <w:rFonts w:ascii="Cambria" w:hAnsi="Cambria" w:cs="Cambria" w:eastAsia="Cambria"/>
                <w:color w:val="1A1A1A"/>
                <w:sz w:val="18"/>
              </w:rPr>
              <w:t xml:space="preserve">Livelli essenziali delle prestazioni: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DPCM 12 gennaio 2017</w:t>
            </w:r>
          </w:p>
        </w:tc>
        <w:tc>
          <w:tcPr>
            <w:shd w:val="clear" w:color="auto" w:fill="F4F1EC"/>
          </w:tcPr>
          <w:p>
            <w:pPr>
              <w:pStyle w:val="Compact"/>
              <w:spacing w:after="40" w:before="40"/>
              <w:jc w:val="left"/>
            </w:pPr>
            <w:r>
              <w:rPr>
                <w:rFonts w:ascii="Cambria" w:hAnsi="Cambria" w:cs="Cambria" w:eastAsia="Cambria"/>
                <w:color w:val="1A1A1A"/>
                <w:sz w:val="18"/>
              </w:rPr>
              <w:t xml:space="preserve">Atto di definizione dei livelli essenziali di assistenza</w:t>
            </w:r>
          </w:p>
        </w:tc>
      </w:tr>
      <w:tr>
        <w:tc>
          <w:tcPr/>
          <w:p>
            <w:pPr>
              <w:pStyle w:val="Compact"/>
              <w:spacing w:after="40" w:before="40"/>
              <w:jc w:val="left"/>
            </w:pPr>
            <w:r>
              <w:rPr>
                <w:rFonts w:ascii="Cambria" w:hAnsi="Cambria" w:cs="Cambria" w:eastAsia="Cambria"/>
                <w:b/>
                <w:bCs/>
                <w:color w:val="1A1A1A"/>
                <w:sz w:val="18"/>
              </w:rPr>
              <w:t xml:space="preserve">Corte costituzionale, sentenza n. 241/2021</w:t>
            </w:r>
          </w:p>
        </w:tc>
        <w:tc>
          <w:tcPr/>
          <w:p>
            <w:pPr>
              <w:pStyle w:val="Compact"/>
              <w:spacing w:after="40" w:before="40"/>
              <w:jc w:val="left"/>
            </w:pPr>
            <w:r>
              <w:rPr>
                <w:rFonts w:ascii="Cambria" w:hAnsi="Cambria" w:cs="Cambria" w:eastAsia="Cambria"/>
                <w:color w:val="1A1A1A"/>
                <w:sz w:val="18"/>
              </w:rPr>
              <w:t xml:space="preserve">Modello regionale di psicologia di base riconosciuto legittimo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Corte costituzionale, sentenza n. 6/2026</w:t>
            </w:r>
          </w:p>
        </w:tc>
        <w:tc>
          <w:tcPr>
            <w:shd w:val="clear" w:color="auto" w:fill="F4F1EC"/>
          </w:tcPr>
          <w:p>
            <w:pPr>
              <w:pStyle w:val="Compact"/>
              <w:spacing w:after="40" w:before="40"/>
              <w:jc w:val="left"/>
            </w:pPr>
            <w:r>
              <w:rPr>
                <w:rFonts w:ascii="Cambria" w:hAnsi="Cambria" w:cs="Cambria" w:eastAsia="Cambria"/>
                <w:color w:val="1A1A1A"/>
                <w:sz w:val="18"/>
              </w:rPr>
              <w:t xml:space="preserve">Vincolo dei fondi sanitari ai livelli essenziali per le regioni in rientro</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1738"/>
    <w:bookmarkStart w:id="1744" w:name="X075c74b526608ba93aa72e439f236f0a4b9a9bc"/>
    <w:p>
      <w:pPr>
        <w:pStyle w:val="Heading4"/>
      </w:pPr>
      <w:r>
        <w:t xml:space="preserve">H.3 Il profilo organizzativo e la conformità</w:t>
      </w:r>
    </w:p>
    <w:p>
      <w:pPr>
        <w:pStyle w:val="FirstParagraph"/>
      </w:pPr>
      <w:r>
        <w:t xml:space="preserve">Il profilo organizzativo verifica che l’intervento sia conforme alle norme che ne governano l’esercizio, in particolare sui versanti della deontologia, della responsabilità professionale, dell’intelligenza artificiale e della protezione dei dati. Sul piano deontologico, il servizio opera nel rispetto delle norme della professione, sotto la vigilanza dell’Ordine degli Psicologi, che concorre alla governance e alla formazione.</w:t>
      </w:r>
      <w:r>
        <w:rPr>
          <w:rStyle w:val="FootnoteReference"/>
        </w:rPr>
        <w:footnoteReference w:id="841"/>
      </w:r>
      <w:r>
        <w:t xml:space="preserve"> </w:t>
      </w:r>
      <w:r>
        <w:t xml:space="preserve">Sul piano della responsabilità, un punto è dirimente per la fattibilità della componente tecnologica: l’impiego dell’intelligenza artificiale non altera le responsabilità professionali. Il medico di medicina generale resta garante della diagnosi e della terapia medica, lo psicologo dell’intervento psicologico, e l’IA è assimilata a un dispositivo di supporto, non a una figura che compie atti; ciò evita ogni conflitto con gli accordi convenzionali, poiché non si introduce una nuova figura professionale, ma uno strumento che assiste quelle esistenti.</w:t>
      </w:r>
      <w:r>
        <w:rPr>
          <w:rStyle w:val="FootnoteReference"/>
        </w:rPr>
        <w:footnoteReference w:id="842"/>
      </w:r>
    </w:p>
    <w:p>
      <w:pPr>
        <w:pStyle w:val="BodyText"/>
      </w:pPr>
      <w:r>
        <w:t xml:space="preserve">La conformità degli strumenti di intelligenza artificiale è retta da un quadro normativo articolato. Il regolamento europeo sull’IA classifica come ad alto rischio i sistemi impiegati nei dispositivi medici; il regolamento sui dispositivi medici impone la marcatura CE, sicché un sistema di triage o un dispositivo terapeutico digitale sono assimilati a software clinici certificati di classe appropriata; il regolamento sulla protezione dei dati ne disciplina il trattamento.</w:t>
      </w:r>
      <w:r>
        <w:rPr>
          <w:rStyle w:val="FootnoteReference"/>
        </w:rPr>
        <w:footnoteReference w:id="843"/>
      </w:r>
      <w:r>
        <w:t xml:space="preserve"> </w:t>
      </w:r>
      <w:r>
        <w:t xml:space="preserve">Su questa base si innestano i presidi già enunciati nella Parte C: la supervisione umana costante, la validazione periodica degli algoritmi, il monitoraggio dei bias, la trasparenza e la spiegabilità, e il divieto di discriminazione algoritmica. È auspicata, a tal fine, l’istituzione di un comitato etico-scientifico per l’IA in sanità, con l’agenzia regionale e le università; e la legge nazionale sull’IA agevola la sperimentazione qualificando i relativi trattamenti come di rilevante interesse pubblico.</w:t>
      </w:r>
    </w:p>
    <w:p>
      <w:pPr>
        <w:pStyle w:val="BodyText"/>
      </w:pPr>
      <w:r>
        <w:t xml:space="preserve">Due profili completano il quadro della conformità, e collegano questa parte alle precedenti. Il primo è l’equità digitale: per non generare nuove disuguaglianze, sono previsti canali tradizionali paralleli per chi non dispone di strumenti digitali — segnatamente le persone anziane — e il supporto multilingue per le popolazioni straniere, ferma restando la garanzia dell’alternativa in presenza.</w:t>
      </w:r>
      <w:r>
        <w:rPr>
          <w:rStyle w:val="FootnoteReference"/>
        </w:rPr>
        <w:footnoteReference w:id="844"/>
      </w:r>
      <w:r>
        <w:t xml:space="preserve"> </w:t>
      </w:r>
      <w:r>
        <w:t xml:space="preserve">Il secondo è la protezione dei dati, che in salute mentale richiede il massimo grado di tutela: misure di sicurezza robuste, quali la crittografia e la pseudonimizzazione per le analisi, il consenso modulare anche in forma digitale, la collaborazione con l’Autorità garante e l’acquisizione di software dotati di marcatura adeguata secondo le normali procedure.</w:t>
      </w:r>
      <w:r>
        <w:rPr>
          <w:rStyle w:val="FootnoteReference"/>
        </w:rPr>
        <w:footnoteReference w:id="845"/>
      </w:r>
      <w:r>
        <w:t xml:space="preserve"> </w:t>
      </w:r>
      <w:r>
        <w:t xml:space="preserve">La tabella seguente riepiloga il quadro della conformità organizzativa.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Garanzia</w:t>
            </w:r>
          </w:p>
        </w:tc>
      </w:tr>
      <w:tr>
        <w:tc>
          <w:tcPr/>
          <w:p>
            <w:pPr>
              <w:pStyle w:val="Compact"/>
              <w:spacing w:after="40" w:before="40"/>
              <w:jc w:val="left"/>
            </w:pPr>
            <w:r>
              <w:rPr>
                <w:rFonts w:ascii="Cambria" w:hAnsi="Cambria" w:cs="Cambria" w:eastAsia="Cambria"/>
                <w:b/>
                <w:bCs/>
                <w:color w:val="1A1A1A"/>
                <w:sz w:val="18"/>
              </w:rPr>
              <w:t xml:space="preserve">Deontologia</w:t>
            </w:r>
          </w:p>
        </w:tc>
        <w:tc>
          <w:tcPr/>
          <w:p>
            <w:pPr>
              <w:pStyle w:val="Compact"/>
              <w:spacing w:after="40" w:before="40"/>
              <w:jc w:val="left"/>
            </w:pPr>
            <w:r>
              <w:rPr>
                <w:rFonts w:ascii="Cambria" w:hAnsi="Cambria" w:cs="Cambria" w:eastAsia="Cambria"/>
                <w:color w:val="1A1A1A"/>
                <w:sz w:val="18"/>
              </w:rPr>
              <w:t xml:space="preserve">Ordine degli Psicologi</w:t>
            </w:r>
          </w:p>
        </w:tc>
        <w:tc>
          <w:tcPr/>
          <w:p>
            <w:pPr>
              <w:pStyle w:val="Compact"/>
              <w:spacing w:after="40" w:before="40"/>
              <w:jc w:val="left"/>
            </w:pPr>
            <w:r>
              <w:rPr>
                <w:rFonts w:ascii="Cambria" w:hAnsi="Cambria" w:cs="Cambria" w:eastAsia="Cambria"/>
                <w:color w:val="1A1A1A"/>
                <w:sz w:val="18"/>
              </w:rPr>
              <w:t xml:space="preserve">Rispetto delle norme deontologiche; concorso alla governance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Responsabilità clinica</w:t>
            </w:r>
          </w:p>
        </w:tc>
        <w:tc>
          <w:tcPr>
            <w:shd w:val="clear" w:color="auto" w:fill="F4F1EC"/>
          </w:tcPr>
          <w:p>
            <w:pPr>
              <w:pStyle w:val="Compact"/>
              <w:spacing w:after="40" w:before="40"/>
              <w:jc w:val="left"/>
            </w:pPr>
            <w:r>
              <w:rPr>
                <w:rFonts w:ascii="Cambria" w:hAnsi="Cambria" w:cs="Cambria" w:eastAsia="Cambria"/>
                <w:color w:val="1A1A1A"/>
                <w:sz w:val="18"/>
              </w:rPr>
              <w:t xml:space="preserve">Medico e psicologo</w:t>
            </w:r>
          </w:p>
        </w:tc>
        <w:tc>
          <w:tcPr>
            <w:shd w:val="clear" w:color="auto" w:fill="F4F1EC"/>
          </w:tcPr>
          <w:p>
            <w:pPr>
              <w:pStyle w:val="Compact"/>
              <w:spacing w:after="40" w:before="40"/>
              <w:jc w:val="left"/>
            </w:pPr>
            <w:r>
              <w:rPr>
                <w:rFonts w:ascii="Cambria" w:hAnsi="Cambria" w:cs="Cambria" w:eastAsia="Cambria"/>
                <w:color w:val="1A1A1A"/>
                <w:sz w:val="18"/>
              </w:rPr>
              <w:t xml:space="preserve">Ruoli invariati; l’IA è strumento di supporto</w:t>
            </w:r>
          </w:p>
        </w:tc>
      </w:tr>
      <w:tr>
        <w:tc>
          <w:tcPr/>
          <w:p>
            <w:pPr>
              <w:pStyle w:val="Compact"/>
              <w:spacing w:after="40" w:before="40"/>
              <w:jc w:val="left"/>
            </w:pPr>
            <w:r>
              <w:rPr>
                <w:rFonts w:ascii="Cambria" w:hAnsi="Cambria" w:cs="Cambria" w:eastAsia="Cambria"/>
                <w:b/>
                <w:bCs/>
                <w:color w:val="1A1A1A"/>
                <w:sz w:val="18"/>
              </w:rPr>
              <w:t xml:space="preserve">IA e dispositivi</w:t>
            </w:r>
          </w:p>
        </w:tc>
        <w:tc>
          <w:tcPr/>
          <w:p>
            <w:pPr>
              <w:pStyle w:val="Compact"/>
              <w:spacing w:after="40" w:before="40"/>
              <w:jc w:val="left"/>
            </w:pPr>
            <w:r>
              <w:rPr>
                <w:rFonts w:ascii="Cambria" w:hAnsi="Cambria" w:cs="Cambria" w:eastAsia="Cambria"/>
                <w:color w:val="1A1A1A"/>
                <w:sz w:val="18"/>
              </w:rPr>
              <w:t xml:space="preserve">AI Act, dispositivi medici, protezione dei dati</w:t>
            </w:r>
          </w:p>
        </w:tc>
        <w:tc>
          <w:tcPr/>
          <w:p>
            <w:pPr>
              <w:pStyle w:val="Compact"/>
              <w:spacing w:after="40" w:before="40"/>
              <w:jc w:val="left"/>
            </w:pPr>
            <w:r>
              <w:rPr>
                <w:rFonts w:ascii="Cambria" w:hAnsi="Cambria" w:cs="Cambria" w:eastAsia="Cambria"/>
                <w:color w:val="1A1A1A"/>
                <w:sz w:val="18"/>
              </w:rPr>
              <w:t xml:space="preserve">Marcatura CE; supervisione umana; validazione periodica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Governance dell’IA</w:t>
            </w:r>
          </w:p>
        </w:tc>
        <w:tc>
          <w:tcPr>
            <w:shd w:val="clear" w:color="auto" w:fill="F4F1EC"/>
          </w:tcPr>
          <w:p>
            <w:pPr>
              <w:pStyle w:val="Compact"/>
              <w:spacing w:after="40" w:before="40"/>
              <w:jc w:val="left"/>
            </w:pPr>
            <w:r>
              <w:rPr>
                <w:rFonts w:ascii="Cambria" w:hAnsi="Cambria" w:cs="Cambria" w:eastAsia="Cambria"/>
                <w:color w:val="1A1A1A"/>
                <w:sz w:val="18"/>
              </w:rPr>
              <w:t xml:space="preserve">Comitato etico-scientifico</w:t>
            </w:r>
          </w:p>
        </w:tc>
        <w:tc>
          <w:tcPr>
            <w:shd w:val="clear" w:color="auto" w:fill="F4F1EC"/>
          </w:tcPr>
          <w:p>
            <w:pPr>
              <w:pStyle w:val="Compact"/>
              <w:spacing w:after="40" w:before="40"/>
              <w:jc w:val="left"/>
            </w:pPr>
            <w:r>
              <w:rPr>
                <w:rFonts w:ascii="Cambria" w:hAnsi="Cambria" w:cs="Cambria" w:eastAsia="Cambria"/>
                <w:color w:val="1A1A1A"/>
                <w:sz w:val="18"/>
              </w:rPr>
              <w:t xml:space="preserve">Monitoraggio dei bias; trasparenza; non discriminazione</w:t>
            </w:r>
          </w:p>
        </w:tc>
      </w:tr>
      <w:tr>
        <w:tc>
          <w:tcPr/>
          <w:p>
            <w:pPr>
              <w:pStyle w:val="Compact"/>
              <w:spacing w:after="40" w:before="40"/>
              <w:jc w:val="left"/>
            </w:pPr>
            <w:r>
              <w:rPr>
                <w:rFonts w:ascii="Cambria" w:hAnsi="Cambria" w:cs="Cambria" w:eastAsia="Cambria"/>
                <w:b/>
                <w:bCs/>
                <w:color w:val="1A1A1A"/>
                <w:sz w:val="18"/>
              </w:rPr>
              <w:t xml:space="preserve">Equità digitale</w:t>
            </w:r>
          </w:p>
        </w:tc>
        <w:tc>
          <w:tcPr/>
          <w:p>
            <w:pPr>
              <w:pStyle w:val="Compact"/>
              <w:spacing w:after="40" w:before="40"/>
              <w:jc w:val="left"/>
            </w:pPr>
            <w:r>
              <w:rPr>
                <w:rFonts w:ascii="Cambria" w:hAnsi="Cambria" w:cs="Cambria" w:eastAsia="Cambria"/>
                <w:color w:val="1A1A1A"/>
                <w:sz w:val="18"/>
              </w:rPr>
              <w:t xml:space="preserve">Canali paralleli; supporto multilingue</w:t>
            </w:r>
          </w:p>
        </w:tc>
        <w:tc>
          <w:tcPr/>
          <w:p>
            <w:pPr>
              <w:pStyle w:val="Compact"/>
              <w:spacing w:after="40" w:before="40"/>
              <w:jc w:val="left"/>
            </w:pPr>
            <w:r>
              <w:rPr>
                <w:rFonts w:ascii="Cambria" w:hAnsi="Cambria" w:cs="Cambria" w:eastAsia="Cambria"/>
                <w:color w:val="1A1A1A"/>
                <w:sz w:val="18"/>
              </w:rPr>
              <w:t xml:space="preserve">Alternativa in presenza sempre garantita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Protezione dei dati</w:t>
            </w:r>
          </w:p>
        </w:tc>
        <w:tc>
          <w:tcPr>
            <w:shd w:val="clear" w:color="auto" w:fill="F4F1EC"/>
          </w:tcPr>
          <w:p>
            <w:pPr>
              <w:pStyle w:val="Compact"/>
              <w:spacing w:after="40" w:before="40"/>
              <w:jc w:val="left"/>
            </w:pPr>
            <w:r>
              <w:rPr>
                <w:rFonts w:ascii="Cambria" w:hAnsi="Cambria" w:cs="Cambria" w:eastAsia="Cambria"/>
                <w:color w:val="1A1A1A"/>
                <w:sz w:val="18"/>
              </w:rPr>
              <w:t xml:space="preserve">Crittografia; pseudonimizzazione</w:t>
            </w:r>
          </w:p>
        </w:tc>
        <w:tc>
          <w:tcPr>
            <w:shd w:val="clear" w:color="auto" w:fill="F4F1EC"/>
          </w:tcPr>
          <w:p>
            <w:pPr>
              <w:pStyle w:val="Compact"/>
              <w:spacing w:after="40" w:before="40"/>
              <w:jc w:val="left"/>
            </w:pPr>
            <w:r>
              <w:rPr>
                <w:rFonts w:ascii="Cambria" w:hAnsi="Cambria" w:cs="Cambria" w:eastAsia="Cambria"/>
                <w:color w:val="1A1A1A"/>
                <w:sz w:val="18"/>
              </w:rPr>
              <w:t xml:space="preserve">Consenso modulare; collaborazione con il Garante</w:t>
            </w:r>
          </w:p>
        </w:tc>
      </w:tr>
    </w:tbl>
    <w:p>
      <w:pPr>
        <w:pStyle w:val="BodyText"/>
      </w:pPr>
      <w:r>
        <w:rPr>
          <w:i/>
          <w:iCs/>
        </w:rPr>
        <w:t xml:space="preserve">Tabella H.2. Il quadro della conformità organizzativa dell</w:t>
      </w:r>
      <w:r>
        <w:rPr>
          <w:b/>
          <w:bCs/>
          <w:i/>
          <w:iCs/>
        </w:rPr>
        <w:t xml:space="preserve">’</w:t>
      </w:r>
      <w:r>
        <w:rPr>
          <w:i/>
          <w:iCs/>
        </w:rPr>
        <w:t xml:space="preserve">intervento.</w:t>
      </w:r>
    </w:p>
    <w:p>
      <w:pPr>
        <w:pStyle w:val="BodyText"/>
      </w:pPr>
      <w:r>
        <w:t xml:space="preserve">Con la verifica dei profili etico, giuridico e organizzativo si chiude l’esame dei domini della valutazione di tecnologia sanitaria: l’intervento risulta clinicamente efficace, economicamente sostenibile, equo, eticamente fondato, giuridicamente difendibile e organizzativamente conforme. Resta da stabilire come esso possa essere effettivamente attuato, reso finanziariamente sostenibile e mantenuto nel tempo: è l’oggetto della Parte I, dedicata all’attuazione, alla fattibilità e alla sostenibilità.</w:t>
      </w:r>
    </w:p>
    <w:bookmarkEnd w:id="1744"/>
    <w:bookmarkEnd w:id="1745"/>
    <w:bookmarkEnd w:id="1746"/>
    <w:bookmarkStart w:id="1769" w:name="Xfd39423471acbee7f660271ce7db2da5bdbdc4f"/>
    <w:p>
      <w:pPr>
        <w:pStyle w:val="Heading2"/>
      </w:pPr>
      <w:r>
        <w:t xml:space="preserve">Parte I — Attuazione, fattibilità e sostenibilità</w:t>
      </w:r>
    </w:p>
    <w:p>
      <w:pPr>
        <w:pStyle w:val="FirstParagraph"/>
      </w:pPr>
      <w:r>
        <w:t xml:space="preserve">Studio regionale Puglia · Parte I · Attuazione, fattibilità e sostenibilità</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Scienza dell</w:t>
      </w:r>
      <w:r>
        <w:rPr>
          <w:b/>
          <w:bCs/>
          <w:i/>
          <w:iCs/>
        </w:rPr>
        <w:t xml:space="preserve">’</w:t>
      </w:r>
      <w:r>
        <w:rPr>
          <w:i/>
          <w:iCs/>
        </w:rPr>
        <w:t xml:space="preserve">implementazione, disegno del dispiegamento, caso commerciale, caso gestionale, sostenibilità finanziaria</w:t>
      </w:r>
    </w:p>
    <w:p>
      <w:pPr>
        <w:pStyle w:val="BodyText"/>
      </w:pPr>
      <w:r>
        <w:t xml:space="preserve">Dominio 7 del modello HTA · casi commerciale e gestionale · criterio di sostenibilità</w:t>
      </w:r>
    </w:p>
    <w:p>
      <w:pPr>
        <w:pStyle w:val="BodyText"/>
      </w:pPr>
      <w:r>
        <w:rPr>
          <w:b/>
          <w:bCs/>
        </w:rPr>
        <w:t xml:space="preserve">Indice</w:t>
      </w:r>
    </w:p>
    <w:bookmarkStart w:id="1768" w:name="Xe590a220dcd05622bef8fa20147cb2ffcdf6d6c"/>
    <w:p>
      <w:pPr>
        <w:pStyle w:val="Heading3"/>
      </w:pPr>
      <w:r>
        <w:t xml:space="preserve">Parte I — Attuazione, fattibilità e sostenibilità</w:t>
      </w:r>
    </w:p>
    <w:p>
      <w:pPr>
        <w:pStyle w:val="FirstParagraph"/>
      </w:pPr>
      <w:r>
        <w:t xml:space="preserve">Questa parte copre il settimo dominio della valutazione di tecnologia sanitaria, il profilo organizzativo, e fornisce il contenuto del caso commerciale e del caso gestionale del Five Case Model, rispondendo al criterio di sostenibilità.</w:t>
      </w:r>
      <w:r>
        <w:rPr>
          <w:rStyle w:val="FootnoteReference"/>
        </w:rPr>
        <w:footnoteReference w:id="846"/>
      </w:r>
      <w:r>
        <w:t xml:space="preserve"> </w:t>
      </w:r>
      <w:r>
        <w:t xml:space="preserve">Accertato nelle parti precedenti che l’intervento è valido — efficace, conveniente, equo, fondato e conforme — resta da stabilire se possa essere effettivamente attuato. La parte affronta perciò il come dell’attuazione: i quadri che ne governano la pianificazione e la valutazione (capitolo I.1), il disegno del dispiegamento e il suo cronoprogramma (I.2), la fattibilità dell’assetto contrattuale (I.3), la governance e i rischi (I.4) e la sostenibilità finanziaria con le sue coperture (I.5). Il fondamento documentale è il piano operativo di implementazione già predisposto dal progetto.</w:t>
      </w:r>
    </w:p>
    <w:bookmarkStart w:id="1751" w:name="i.1-la-scienza-dellimplementazione"/>
    <w:p>
      <w:pPr>
        <w:pStyle w:val="Heading4"/>
      </w:pPr>
      <w:r>
        <w:t xml:space="preserve">I.1 La scienza dell’implementazione</w:t>
      </w:r>
    </w:p>
    <w:p>
      <w:pPr>
        <w:pStyle w:val="FirstParagraph"/>
      </w:pPr>
      <w:r>
        <w:t xml:space="preserve">L’attuazione di un intervento complesso non è un atto amministrativo, ma un processo che la ricerca ha imparato a governare con quadri dedicati. Lo studio ne adotta due, complementari. Il modello RE-AIM misura la riuscita e la validità esterna dell’attuazione lungo cinque dimensioni: la portata, ossia la quota della popolazione bersaglio effettivamente raggiunta; l’efficacia, ossia gli esiti realmente conseguiti; l’adozione, ossia l’adesione delle sedi e dei professionisti; l’implementazione, ossia la fedeltà al modello e la qualità dell’attuazione; e il mantenimento, ossia la sostenibilità nel tempo.</w:t>
      </w:r>
      <w:r>
        <w:rPr>
          <w:rStyle w:val="FootnoteReference"/>
        </w:rPr>
        <w:footnoteReference w:id="847"/>
      </w:r>
      <w:r>
        <w:t xml:space="preserve"> </w:t>
      </w:r>
      <w:r>
        <w:t xml:space="preserve">È il quadro che impedisce di confondere l’efficacia teorica con la riuscita effettiva, misurando se il servizio raggiunga davvero chi deve, e non solo se funzioni in condizioni ideali.</w:t>
      </w:r>
    </w:p>
    <w:p>
      <w:pPr>
        <w:pStyle w:val="BodyText"/>
      </w:pPr>
      <w:r>
        <w:t xml:space="preserve">Al modello RE-AIM, che misura gli esiti dell’attuazione, si affianca il quadro consolidato per la ricerca sull’implementazione, che ne spiega i determinanti. Esso articola in cinque domini i fattori che facilitano o ostacolano l’attuazione: le caratteristiche dell’innovazione, il contesto esterno, il contesto interno, gli individui coinvolti e il processo di attuazione.</w:t>
      </w:r>
      <w:r>
        <w:rPr>
          <w:rStyle w:val="FootnoteReference"/>
        </w:rPr>
        <w:footnoteReference w:id="848"/>
      </w:r>
      <w:r>
        <w:t xml:space="preserve"> </w:t>
      </w:r>
      <w:r>
        <w:t xml:space="preserve">L’utilità di questo quadro è di consentire l’individuazione ex ante delle barriere e dei facilitatori, e dunque la predisposizione di misure mirate prima che i problemi si manifestino. Lo studio segue perciò un insieme di determinanti di implementazione — il tasso di copertura, il grado di adozione delle sedi, la fedeltà al modello, i tempi di attivazione, il numero di psicologi reclutati e formati, la qualità della formazione e della supervisione, il grado di integrazione nei flussi di lavoro, l’aderenza ai percorsi e la scalabilità — che ne misurano l’avanzamento.</w:t>
      </w:r>
      <w:r>
        <w:rPr>
          <w:rStyle w:val="FootnoteReference"/>
        </w:rPr>
        <w:footnoteReference w:id="849"/>
      </w:r>
      <w:r>
        <w:t xml:space="preserve"> </w:t>
      </w:r>
      <w:r>
        <w:t xml:space="preserve">La tabella seguente riepiloga i due quadri.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w:t>
            </w:r>
          </w:p>
        </w:tc>
        <w:tc>
          <w:tcPr>
            <w:shd w:val="clear" w:color="auto" w:fill="16264B"/>
          </w:tcPr>
          <w:p>
            <w:pPr>
              <w:pStyle w:val="Compact"/>
              <w:spacing w:after="40" w:before="40"/>
              <w:jc w:val="left"/>
            </w:pPr>
            <w:r>
              <w:rPr>
                <w:rFonts w:ascii="Cambria" w:hAnsi="Cambria" w:cs="Cambria" w:eastAsia="Cambria"/>
                <w:b/>
                <w:bCs/>
                <w:color w:val="FFFFFF"/>
                <w:sz w:val="18"/>
              </w:rPr>
              <w:t xml:space="preserve">Che cosa misura o spiega</w:t>
            </w:r>
          </w:p>
        </w:tc>
      </w:tr>
      <w:tr>
        <w:tc>
          <w:tcPr/>
          <w:p>
            <w:pPr>
              <w:pStyle w:val="Compact"/>
              <w:spacing w:after="40" w:before="40"/>
              <w:jc w:val="left"/>
            </w:pPr>
            <w:r>
              <w:rPr>
                <w:rFonts w:ascii="Cambria" w:hAnsi="Cambria" w:cs="Cambria" w:eastAsia="Cambria"/>
                <w:b/>
                <w:bCs/>
                <w:color w:val="1A1A1A"/>
                <w:sz w:val="18"/>
              </w:rPr>
              <w:t xml:space="preserve">Portata (RE-AIM)</w:t>
            </w:r>
          </w:p>
        </w:tc>
        <w:tc>
          <w:tcPr/>
          <w:p>
            <w:pPr>
              <w:pStyle w:val="Compact"/>
              <w:spacing w:after="40" w:before="40"/>
              <w:jc w:val="left"/>
            </w:pPr>
            <w:r>
              <w:rPr>
                <w:rFonts w:ascii="Cambria" w:hAnsi="Cambria" w:cs="Cambria" w:eastAsia="Cambria"/>
                <w:color w:val="1A1A1A"/>
                <w:sz w:val="18"/>
              </w:rPr>
              <w:t xml:space="preserve">Quota della popolazione bersaglio raggiunta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(RE-AIM)</w:t>
            </w:r>
          </w:p>
        </w:tc>
        <w:tc>
          <w:tcPr>
            <w:shd w:val="clear" w:color="auto" w:fill="F4F1EC"/>
          </w:tcPr>
          <w:p>
            <w:pPr>
              <w:pStyle w:val="Compact"/>
              <w:spacing w:after="40" w:before="40"/>
              <w:jc w:val="left"/>
            </w:pPr>
            <w:r>
              <w:rPr>
                <w:rFonts w:ascii="Cambria" w:hAnsi="Cambria" w:cs="Cambria" w:eastAsia="Cambria"/>
                <w:color w:val="1A1A1A"/>
                <w:sz w:val="18"/>
              </w:rPr>
              <w:t xml:space="preserve">Esiti clinici e di sistema effettivamente conseguiti</w:t>
            </w:r>
          </w:p>
        </w:tc>
      </w:tr>
      <w:tr>
        <w:tc>
          <w:tcPr/>
          <w:p>
            <w:pPr>
              <w:pStyle w:val="Compact"/>
              <w:spacing w:after="40" w:before="40"/>
              <w:jc w:val="left"/>
            </w:pPr>
            <w:r>
              <w:rPr>
                <w:rFonts w:ascii="Cambria" w:hAnsi="Cambria" w:cs="Cambria" w:eastAsia="Cambria"/>
                <w:b/>
                <w:bCs/>
                <w:color w:val="1A1A1A"/>
                <w:sz w:val="18"/>
              </w:rPr>
              <w:t xml:space="preserve">Adozione (RE-AIM)</w:t>
            </w:r>
          </w:p>
        </w:tc>
        <w:tc>
          <w:tcPr/>
          <w:p>
            <w:pPr>
              <w:pStyle w:val="Compact"/>
              <w:spacing w:after="40" w:before="40"/>
              <w:jc w:val="left"/>
            </w:pPr>
            <w:r>
              <w:rPr>
                <w:rFonts w:ascii="Cambria" w:hAnsi="Cambria" w:cs="Cambria" w:eastAsia="Cambria"/>
                <w:color w:val="1A1A1A"/>
                <w:sz w:val="18"/>
              </w:rPr>
              <w:t xml:space="preserve">Adesione delle sedi e dei professionisti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Implementazione (RE-AIM)</w:t>
            </w:r>
          </w:p>
        </w:tc>
        <w:tc>
          <w:tcPr>
            <w:shd w:val="clear" w:color="auto" w:fill="F4F1EC"/>
          </w:tcPr>
          <w:p>
            <w:pPr>
              <w:pStyle w:val="Compact"/>
              <w:spacing w:after="40" w:before="40"/>
              <w:jc w:val="left"/>
            </w:pPr>
            <w:r>
              <w:rPr>
                <w:rFonts w:ascii="Cambria" w:hAnsi="Cambria" w:cs="Cambria" w:eastAsia="Cambria"/>
                <w:color w:val="1A1A1A"/>
                <w:sz w:val="18"/>
              </w:rPr>
              <w:t xml:space="preserve">Fedeltà al modello e qualità dell’attuazione</w:t>
            </w:r>
          </w:p>
        </w:tc>
      </w:tr>
      <w:tr>
        <w:tc>
          <w:tcPr/>
          <w:p>
            <w:pPr>
              <w:pStyle w:val="Compact"/>
              <w:spacing w:after="40" w:before="40"/>
              <w:jc w:val="left"/>
            </w:pPr>
            <w:r>
              <w:rPr>
                <w:rFonts w:ascii="Cambria" w:hAnsi="Cambria" w:cs="Cambria" w:eastAsia="Cambria"/>
                <w:b/>
                <w:bCs/>
                <w:color w:val="1A1A1A"/>
                <w:sz w:val="18"/>
              </w:rPr>
              <w:t xml:space="preserve">Mantenimento (RE-AIM)</w:t>
            </w:r>
          </w:p>
        </w:tc>
        <w:tc>
          <w:tcPr/>
          <w:p>
            <w:pPr>
              <w:pStyle w:val="Compact"/>
              <w:spacing w:after="40" w:before="40"/>
              <w:jc w:val="left"/>
            </w:pPr>
            <w:r>
              <w:rPr>
                <w:rFonts w:ascii="Cambria" w:hAnsi="Cambria" w:cs="Cambria" w:eastAsia="Cambria"/>
                <w:color w:val="1A1A1A"/>
                <w:sz w:val="18"/>
              </w:rPr>
              <w:t xml:space="preserve">Sostenibilità del servizio nel tempo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Determinanti (quadro CFIR)</w:t>
            </w:r>
          </w:p>
        </w:tc>
        <w:tc>
          <w:tcPr>
            <w:shd w:val="clear" w:color="auto" w:fill="F4F1EC"/>
          </w:tcPr>
          <w:p>
            <w:pPr>
              <w:pStyle w:val="Compact"/>
              <w:spacing w:after="40" w:before="40"/>
              <w:jc w:val="left"/>
            </w:pPr>
            <w:r>
              <w:rPr>
                <w:rFonts w:ascii="Cambria" w:hAnsi="Cambria" w:cs="Cambria" w:eastAsia="Cambria"/>
                <w:color w:val="1A1A1A"/>
                <w:sz w:val="18"/>
              </w:rP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1751"/>
    <w:bookmarkStart w:id="1757" w:name="i.2-il-disegno-del-dispiegamento"/>
    <w:p>
      <w:pPr>
        <w:pStyle w:val="Heading4"/>
      </w:pPr>
      <w:r>
        <w:t xml:space="preserve">I.2 Il disegno del dispiegamento</w:t>
      </w:r>
    </w:p>
    <w:p>
      <w:pPr>
        <w:pStyle w:val="FirstParagraph"/>
      </w:pPr>
      <w:r>
        <w:t xml:space="preserve">Il servizio non è attivato simultaneamente sull’intero territorio, ma secondo un disegno scaglionato: le sei aziende sanitarie locali passano in sequenza, per fasi semestrali, dalla condizione di controllo a quella di intervento, a partire dalle aziende di maggiore dimensione e prontezza organizzativa, sino a coprire l’intera regione. L’ordine di attivazione è definito dalla Giunta regionale sulla base di criteri trasparenti — prontezza organizzativa, entità del bisogno ed equilibrio territoriale — e reso noto preventivamente; la scansione è adattabile in funzione dell’avanzamento del reclutamento e della formazione, fermo restando il principio della progressione ordinata e documentata.</w:t>
      </w:r>
      <w:r>
        <w:rPr>
          <w:rStyle w:val="FootnoteReference"/>
        </w:rPr>
        <w:footnoteReference w:id="850"/>
      </w:r>
      <w:r>
        <w:t xml:space="preserve"> </w:t>
      </w:r>
      <w:r>
        <w:t xml:space="preserve">Questo disegno ha una doppia funzione, ed è questa la sua peculiarità: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r>
        <w:rPr>
          <w:rStyle w:val="FootnoteReference"/>
        </w:rPr>
        <w:footnoteReference w:id="851"/>
      </w:r>
    </w:p>
    <w:p>
      <w:pPr>
        <w:pStyle w:val="BodyText"/>
      </w:pPr>
      <w:r>
        <w:t xml:space="preserve">Il reclutamento alimenta il dispiegamento. A fronte di un fabbisogno a regime di 800–900 psicologi, esso avviene tramite l’iscrizione a un elenco istituito presso ciascuna azienda e l’instaurazione di un rapporto convenzionale, con requisiti di iscrizione all’albo e di formazione specifica; in prima applicazione, e nelle more dell’attivazione dei percorsi formativi, possono accedere i professionisti con pregressa esperienza nell’assistenza psicologica nel Servizio sanitario regionale.</w:t>
      </w:r>
      <w:r>
        <w:rPr>
          <w:rStyle w:val="FootnoteReference"/>
        </w:rPr>
        <w:footnoteReference w:id="852"/>
      </w:r>
      <w:r>
        <w:t xml:space="preserve"> </w:t>
      </w:r>
      <w:r>
        <w:t xml:space="preserve">Il cronoprogramma scandisce l’insieme: l’attivazione procede per sei fasi semestrali, con le attività di reclutamento, formazione, allestimento e avvio condotte in modo scaglionato, azienda per azienda, mentre il monitoraggio e la valutazione accompagnano l’intero arco e proseguono oltre il completamento.</w:t>
      </w:r>
      <w:r>
        <w:rPr>
          <w:rStyle w:val="FootnoteReference"/>
        </w:rPr>
        <w:footnoteReference w:id="853"/>
      </w:r>
      <w:r>
        <w:t xml:space="preserve"> </w:t>
      </w:r>
      <w:r>
        <w:t xml:space="preserve">La riuscita del dispiegamento è sottoposta a criteri espliciti: tra i parametri che muterebbero le conclusioni figura un tasso di recupero inferiore al 50% nella fase di attuazione, a fronte del valore di riferimento del programma inglese, e il monitoraggio è chiamato a verificarne il raggiungimento sui dati pugliesi.</w:t>
      </w:r>
      <w:r>
        <w:rPr>
          <w:rStyle w:val="FootnoteReference"/>
        </w:rPr>
        <w:footnoteReference w:id="854"/>
      </w:r>
      <w:r>
        <w:t xml:space="preserve"> </w:t>
      </w:r>
      <w:r>
        <w:t xml:space="preserve">La tabella seguente rappresenta le fasi del dispiegamento.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Fase del dispiegamento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Fase 1 (primo semestre)</w:t>
            </w:r>
          </w:p>
        </w:tc>
        <w:tc>
          <w:tcPr/>
          <w:p>
            <w:pPr>
              <w:pStyle w:val="Compact"/>
              <w:spacing w:after="40" w:before="40"/>
              <w:jc w:val="left"/>
            </w:pPr>
            <w:r>
              <w:rPr>
                <w:rFonts w:ascii="Cambria" w:hAnsi="Cambria" w:cs="Cambria" w:eastAsia="Cambria"/>
                <w:color w:val="1A1A1A"/>
                <w:sz w:val="18"/>
              </w:rPr>
              <w:t xml:space="preserve">Avvio nelle aziende di maggiore dimensione e prontezza; reclutamento e formazione iniziali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Fasi 2–5 (semestri successivi)</w:t>
            </w:r>
          </w:p>
        </w:tc>
        <w:tc>
          <w:tcPr>
            <w:shd w:val="clear" w:color="auto" w:fill="F4F1EC"/>
          </w:tcPr>
          <w:p>
            <w:pPr>
              <w:pStyle w:val="Compact"/>
              <w:spacing w:after="40" w:before="40"/>
              <w:jc w:val="left"/>
            </w:pPr>
            <w:r>
              <w:rPr>
                <w:rFonts w:ascii="Cambria" w:hAnsi="Cambria" w:cs="Cambria" w:eastAsia="Cambria"/>
                <w:color w:val="1A1A1A"/>
                <w:sz w:val="18"/>
              </w:rPr>
              <w:t xml:space="preserve">Estensione progressiva alle altre aziende; attivazione scaglionata secondo l’ordine definito</w:t>
            </w:r>
          </w:p>
        </w:tc>
      </w:tr>
      <w:tr>
        <w:tc>
          <w:tcPr/>
          <w:p>
            <w:pPr>
              <w:pStyle w:val="Compact"/>
              <w:spacing w:after="40" w:before="40"/>
              <w:jc w:val="left"/>
            </w:pPr>
            <w:r>
              <w:rPr>
                <w:rFonts w:ascii="Cambria" w:hAnsi="Cambria" w:cs="Cambria" w:eastAsia="Cambria"/>
                <w:b/>
                <w:bCs/>
                <w:color w:val="1A1A1A"/>
                <w:sz w:val="18"/>
              </w:rPr>
              <w:t xml:space="preserve">Fase 6 (completamento)</w:t>
            </w:r>
          </w:p>
        </w:tc>
        <w:tc>
          <w:tcPr/>
          <w:p>
            <w:pPr>
              <w:pStyle w:val="Compact"/>
              <w:spacing w:after="40" w:before="40"/>
              <w:jc w:val="left"/>
            </w:pPr>
            <w:r>
              <w:rPr>
                <w:rFonts w:ascii="Cambria" w:hAnsi="Cambria" w:cs="Cambria" w:eastAsia="Cambria"/>
                <w:color w:val="1A1A1A"/>
                <w:sz w:val="18"/>
              </w:rPr>
              <w:t xml:space="preserve">Copertura dell’intero territorio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 trasversale</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che proseguono oltre il completamento del dispiegamento</w:t>
            </w:r>
          </w:p>
        </w:tc>
      </w:tr>
    </w:tbl>
    <w:p>
      <w:pPr>
        <w:pStyle w:val="BodyText"/>
      </w:pPr>
      <w:r>
        <w:rPr>
          <w:i/>
          <w:iCs/>
        </w:rPr>
        <w:t xml:space="preserve">Tabella I.2. Le fasi del dispiegamento scaglionato del servizio.</w:t>
      </w:r>
    </w:p>
    <w:bookmarkEnd w:id="1757"/>
    <w:bookmarkStart w:id="1759" w:name="X6404a2355440db8b5befa01f4e3011234d76728"/>
    <w:p>
      <w:pPr>
        <w:pStyle w:val="Heading4"/>
      </w:pPr>
      <w:r>
        <w:t xml:space="preserve">I.3 Il caso commerciale: il modello contrattuale e la tariffa</w:t>
      </w:r>
    </w:p>
    <w:p>
      <w:pPr>
        <w:pStyle w:val="FirstParagraph"/>
      </w:pPr>
      <w:r>
        <w:t xml:space="preserve">Il caso commerciale del Five Case Model dimostra la fattibilità dell’assetto attraverso cui il servizio è erogato. L’assetto prescelto è il rapporto convenzionale, ancorato all’accordo della specialistica ambulatoriale, che disciplina i compensi orari dei psicologi convenzionati e fornisce perciò il riferimento contrattuale del modello di costo.</w:t>
      </w:r>
      <w:r>
        <w:rPr>
          <w:rStyle w:val="FootnoteReference"/>
        </w:rPr>
        <w:footnoteReference w:id="855"/>
      </w:r>
      <w:r>
        <w:t xml:space="preserve"> </w:t>
      </w:r>
      <w:r>
        <w:t xml:space="preserve">Su questa base, il costo medio per incarico a tempo pieno è dell’ordine di 55.000 euro l’anno — circa 40 euro l’ora di costo-azienda, comprensivo degli oneri, per circa 1.250 ore, più circa 5.000 euro di costi generali — da cui discendono gli scenari di spesa già esposti nella Parte E, di 25, 38 e 50 milioni di euro l’anno secondo la copertura, fino a 60–75 milioni nell’ipotesi di costi pieni.</w:t>
      </w:r>
    </w:p>
    <w:p>
      <w:pPr>
        <w:pStyle w:val="BodyText"/>
      </w:pPr>
      <w:r>
        <w:t xml:space="preserve">La fattibilità dell’assetto non è teorica, ma comprovata dall’esperienza: il modello dell’elenco aziendale e del rapporto convenzionale è già adottato da altre Regioni, e si innesta su strumenti contrattuali esistenti senza richiedere la creazione di nuove figure o di nuovi istituti. Ciò ne riduce la complessità attuativa e i tempi, poiché il reclutamento avviene attraverso procedure note alle aziende sanitarie. Il caso commerciale conferma, in sintesi, che l’assetto contrattuale è praticabile con gli strumenti ordinari del Servizio sanitario regionale, e che il costo per incarico — fondamento dell’intera quantificazione economica — è ancorato a un riferimento contrattuale vigente e non a un’ipotesi.</w:t>
      </w:r>
    </w:p>
    <w:bookmarkEnd w:id="1759"/>
    <w:bookmarkStart w:id="1762" w:name="X130107c9462066dbe2fba43b89d8cb34382bcd3"/>
    <w:p>
      <w:pPr>
        <w:pStyle w:val="Heading4"/>
      </w:pPr>
      <w:r>
        <w:t xml:space="preserve">I.4 Il caso gestionale: la governance e i rischi</w:t>
      </w:r>
    </w:p>
    <w:p>
      <w:pPr>
        <w:pStyle w:val="FirstParagraph"/>
      </w:pPr>
      <w:r>
        <w:t xml:space="preserve">Il caso gestionale dimostra che l’attuazione è governabile. La governance è organizzata su due livelli. A livello regionale, l’Osservatorio regionale per la psicologia di base, previsto dall’articolo 9 della proposta di legge, esercita le funzioni di indirizzo, programmazione, monitoraggio e controllo: definisce i criteri e l’ordine del dispiegamento, sovrintende ai programmi formativi e assicura l’uniformità del modello sul territorio, riunendo la Regione, le aziende sanitarie, l’Ordine degli Psicologi della Puglia, la medicina generale, la pediatria di libera scelta e gli esperti.</w:t>
      </w:r>
      <w:r>
        <w:rPr>
          <w:rStyle w:val="FootnoteReference"/>
        </w:rPr>
        <w:footnoteReference w:id="856"/>
      </w:r>
      <w:r>
        <w:t xml:space="preserve"> </w:t>
      </w:r>
      <w:r>
        <w:t xml:space="preserve">A livello aziendale, ciascuna azienda è responsabile dell’attuazione nel proprio ambito — il reclutamento, l’individuazione delle sedi, l’allestimento, l’avvio e l’alimentazione del sistema informativo — nei tempi della fase che la riguarda. Il raccordo tra i due livelli assicura la coerenza tra l’indirizzo regionale e l’attuazione territoriale.</w:t>
      </w:r>
    </w:p>
    <w:p>
      <w:pPr>
        <w:pStyle w:val="BodyText"/>
      </w:pPr>
      <w:r>
        <w:t xml:space="preserve">La gestione dei rischi attuativi è parte integrante del caso gestionale. Lo studio individua i rischi principali — un reclutamento insufficiente di psicologi formati, una debole adesione della medicina generale, un’interoperabilità incompleta dei sistemi informativi, una disomogeneità territoriale nell’attuazione e il venir meno delle coperture — e vi associa misure di mitigazione dedicate.</w:t>
      </w:r>
      <w:r>
        <w:rPr>
          <w:rStyle w:val="FootnoteReference"/>
        </w:rPr>
        <w:footnoteReference w:id="857"/>
      </w:r>
      <w:r>
        <w:t xml:space="preserve"> </w:t>
      </w:r>
      <w:r>
        <w:t xml:space="preserve">Vi è, peraltro, una circostanza che rende la mitigazione strutturale anziché affidata a singole misure: il dispiegamento graduale è esso stesso la principale forma di mitigazione, poiché consente di osservare l’attuazione nelle prime aziende, di correggere il modello e di adattare i tempi prima dell’estensione alle aziende successive. Il rischio, in altri termini, è contenuto non solo da rimedi specifici, ma dalla stessa architettura progressiva dell’attuazione. La tabella seguente riepiloga i rischi e le misure.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w:t>
            </w:r>
          </w:p>
        </w:tc>
        <w:tc>
          <w:tcPr>
            <w:shd w:val="clear" w:color="auto" w:fill="16264B"/>
          </w:tcPr>
          <w:p>
            <w:pPr>
              <w:pStyle w:val="Compact"/>
              <w:spacing w:after="40" w:before="40"/>
              <w:jc w:val="left"/>
            </w:pPr>
            <w:r>
              <w:rPr>
                <w:rFonts w:ascii="Cambria" w:hAnsi="Cambria" w:cs="Cambria" w:eastAsia="Cambria"/>
                <w:b/>
                <w:bCs/>
                <w:color w:val="FFFFFF"/>
                <w:sz w:val="18"/>
              </w:rPr>
              <w:t xml:space="preserve">Misura di mitigazione</w:t>
            </w:r>
          </w:p>
        </w:tc>
      </w:tr>
      <w:tr>
        <w:tc>
          <w:tcPr/>
          <w:p>
            <w:pPr>
              <w:pStyle w:val="Compact"/>
              <w:spacing w:after="40" w:before="40"/>
              <w:jc w:val="left"/>
            </w:pPr>
            <w:r>
              <w:rPr>
                <w:rFonts w:ascii="Cambria" w:hAnsi="Cambria" w:cs="Cambria" w:eastAsia="Cambria"/>
                <w:b/>
                <w:bCs/>
                <w:color w:val="1A1A1A"/>
                <w:sz w:val="18"/>
              </w:rPr>
              <w:t xml:space="preserve">Reclutamento insufficiente</w:t>
            </w:r>
          </w:p>
        </w:tc>
        <w:tc>
          <w:tcPr/>
          <w:p>
            <w:pPr>
              <w:pStyle w:val="Compact"/>
              <w:spacing w:after="40" w:before="40"/>
              <w:jc w:val="left"/>
            </w:pPr>
            <w:r>
              <w:rPr>
                <w:rFonts w:ascii="Cambria" w:hAnsi="Cambria" w:cs="Cambria" w:eastAsia="Cambria"/>
                <w:color w:val="1A1A1A"/>
                <w:sz w:val="18"/>
              </w:rPr>
              <w:t xml:space="preserve">Carenza di psicologi formati</w:t>
            </w:r>
          </w:p>
        </w:tc>
        <w:tc>
          <w:tcPr/>
          <w:p>
            <w:pPr>
              <w:pStyle w:val="Compact"/>
              <w:spacing w:after="40" w:before="40"/>
              <w:jc w:val="left"/>
            </w:pPr>
            <w:r>
              <w:rPr>
                <w:rFonts w:ascii="Cambria" w:hAnsi="Cambria" w:cs="Cambria" w:eastAsia="Cambria"/>
                <w:color w:val="1A1A1A"/>
                <w:sz w:val="18"/>
              </w:rPr>
              <w:t xml:space="preserve">Dispiegamento graduale; formazione anticipata e scaglionata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Adesione della medicina generale</w:t>
            </w:r>
          </w:p>
        </w:tc>
        <w:tc>
          <w:tcPr>
            <w:shd w:val="clear" w:color="auto" w:fill="F4F1EC"/>
          </w:tcPr>
          <w:p>
            <w:pPr>
              <w:pStyle w:val="Compact"/>
              <w:spacing w:after="40" w:before="40"/>
              <w:jc w:val="left"/>
            </w:pPr>
            <w:r>
              <w:rPr>
                <w:rFonts w:ascii="Cambria" w:hAnsi="Cambria" w:cs="Cambria" w:eastAsia="Cambria"/>
                <w:color w:val="1A1A1A"/>
                <w:sz w:val="18"/>
              </w:rPr>
              <w:t xml:space="preserve">Integrazione debole nel percorso</w:t>
            </w:r>
          </w:p>
        </w:tc>
        <w:tc>
          <w:tcPr>
            <w:shd w:val="clear" w:color="auto" w:fill="F4F1EC"/>
          </w:tcPr>
          <w:p>
            <w:pPr>
              <w:pStyle w:val="Compact"/>
              <w:spacing w:after="40" w:before="40"/>
              <w:jc w:val="left"/>
            </w:pPr>
            <w:r>
              <w:rPr>
                <w:rFonts w:ascii="Cambria" w:hAnsi="Cambria" w:cs="Cambria" w:eastAsia="Cambria"/>
                <w:color w:val="1A1A1A"/>
                <w:sz w:val="18"/>
              </w:rPr>
              <w:t xml:space="preserve">Protocolli di invio; formazione congiunta; governance condivisa</w:t>
            </w:r>
          </w:p>
        </w:tc>
      </w:tr>
      <w:tr>
        <w:tc>
          <w:tcPr/>
          <w:p>
            <w:pPr>
              <w:pStyle w:val="Compact"/>
              <w:spacing w:after="40" w:before="40"/>
              <w:jc w:val="left"/>
            </w:pPr>
            <w:r>
              <w:rPr>
                <w:rFonts w:ascii="Cambria" w:hAnsi="Cambria" w:cs="Cambria" w:eastAsia="Cambria"/>
                <w:b/>
                <w:bCs/>
                <w:color w:val="1A1A1A"/>
                <w:sz w:val="18"/>
              </w:rPr>
              <w:t xml:space="preserve">Sistemi informativi</w:t>
            </w:r>
          </w:p>
        </w:tc>
        <w:tc>
          <w:tcPr/>
          <w:p>
            <w:pPr>
              <w:pStyle w:val="Compact"/>
              <w:spacing w:after="40" w:before="40"/>
              <w:jc w:val="left"/>
            </w:pPr>
            <w:r>
              <w:rPr>
                <w:rFonts w:ascii="Cambria" w:hAnsi="Cambria" w:cs="Cambria" w:eastAsia="Cambria"/>
                <w:color w:val="1A1A1A"/>
                <w:sz w:val="18"/>
              </w:rPr>
              <w:t xml:space="preserve">Interoperabilità incompleta</w:t>
            </w:r>
          </w:p>
        </w:tc>
        <w:tc>
          <w:tcPr/>
          <w:p>
            <w:pPr>
              <w:pStyle w:val="Compact"/>
              <w:spacing w:after="40" w:before="40"/>
              <w:jc w:val="left"/>
            </w:pPr>
            <w:r>
              <w:rPr>
                <w:rFonts w:ascii="Cambria" w:hAnsi="Cambria" w:cs="Cambria" w:eastAsia="Cambria"/>
                <w:color w:val="1A1A1A"/>
                <w:sz w:val="18"/>
              </w:rPr>
              <w:t xml:space="preserve">Standard nazionali; cartella dedicata; Fascicolo Sanitario Elettronico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Disomogeneità territoriale</w:t>
            </w:r>
          </w:p>
        </w:tc>
        <w:tc>
          <w:tcPr>
            <w:shd w:val="clear" w:color="auto" w:fill="F4F1EC"/>
          </w:tcPr>
          <w:p>
            <w:pPr>
              <w:pStyle w:val="Compact"/>
              <w:spacing w:after="40" w:before="40"/>
              <w:jc w:val="left"/>
            </w:pPr>
            <w:r>
              <w:rPr>
                <w:rFonts w:ascii="Cambria" w:hAnsi="Cambria" w:cs="Cambria" w:eastAsia="Cambria"/>
                <w:color w:val="1A1A1A"/>
                <w:sz w:val="18"/>
              </w:rPr>
              <w:t xml:space="preserve">Divari nell’attuazione</w:t>
            </w:r>
          </w:p>
        </w:tc>
        <w:tc>
          <w:tcPr>
            <w:shd w:val="clear" w:color="auto" w:fill="F4F1EC"/>
          </w:tcPr>
          <w:p>
            <w:pPr>
              <w:pStyle w:val="Compact"/>
              <w:spacing w:after="40" w:before="40"/>
              <w:jc w:val="left"/>
            </w:pPr>
            <w:r>
              <w:rPr>
                <w:rFonts w:ascii="Cambria" w:hAnsi="Cambria" w:cs="Cambria" w:eastAsia="Cambria"/>
                <w:color w:val="1A1A1A"/>
                <w:sz w:val="18"/>
              </w:rPr>
              <w:t xml:space="preserve">Algoritmo allocativo; indirizzo e uniformità dell’Osservatorio</w:t>
            </w:r>
          </w:p>
        </w:tc>
      </w:tr>
      <w:tr>
        <w:tc>
          <w:tcPr/>
          <w:p>
            <w:pPr>
              <w:pStyle w:val="Compact"/>
              <w:spacing w:after="40" w:before="40"/>
              <w:jc w:val="left"/>
            </w:pPr>
            <w:r>
              <w:rPr>
                <w:rFonts w:ascii="Cambria" w:hAnsi="Cambria" w:cs="Cambria" w:eastAsia="Cambria"/>
                <w:b/>
                <w:bCs/>
                <w:color w:val="1A1A1A"/>
                <w:sz w:val="18"/>
              </w:rPr>
              <w:t xml:space="preserve">Sostenibilità finanziaria</w:t>
            </w:r>
          </w:p>
        </w:tc>
        <w:tc>
          <w:tcPr/>
          <w:p>
            <w:pPr>
              <w:pStyle w:val="Compact"/>
              <w:spacing w:after="40" w:before="40"/>
              <w:jc w:val="left"/>
            </w:pPr>
            <w:r>
              <w:rPr>
                <w:rFonts w:ascii="Cambria" w:hAnsi="Cambria" w:cs="Cambria" w:eastAsia="Cambria"/>
                <w:color w:val="1A1A1A"/>
                <w:sz w:val="18"/>
              </w:rPr>
              <w:t xml:space="preserve">Venir meno delle coperture</w:t>
            </w:r>
          </w:p>
        </w:tc>
        <w:tc>
          <w:tcPr/>
          <w:p>
            <w:pPr>
              <w:pStyle w:val="Compact"/>
              <w:spacing w:after="40" w:before="40"/>
              <w:jc w:val="left"/>
            </w:pPr>
            <w:r>
              <w:rPr>
                <w:rFonts w:ascii="Cambria" w:hAnsi="Cambria" w:cs="Cambria" w:eastAsia="Cambria"/>
                <w:color w:val="1A1A1A"/>
                <w:sz w:val="18"/>
              </w:rPr>
              <w:t xml:space="preserve">Finanziamento strutturale; riutilizzo dei risparmi diretti</w:t>
            </w:r>
          </w:p>
        </w:tc>
      </w:tr>
    </w:tbl>
    <w:p>
      <w:pPr>
        <w:pStyle w:val="BodyText"/>
      </w:pPr>
      <w:r>
        <w:rPr>
          <w:i/>
          <w:iCs/>
        </w:rPr>
        <w:t xml:space="preserve">Tabella I.3. Il registro dei rischi attuativi e le misure di mitigazione.</w:t>
      </w:r>
    </w:p>
    <w:bookmarkEnd w:id="1762"/>
    <w:bookmarkStart w:id="1767" w:name="i.5-la-sostenibilità-finanziaria"/>
    <w:p>
      <w:pPr>
        <w:pStyle w:val="Heading4"/>
      </w:pPr>
      <w:r>
        <w:t xml:space="preserve">I.5 La sostenibilità finanziaria</w:t>
      </w:r>
    </w:p>
    <w:p>
      <w:pPr>
        <w:pStyle w:val="FirstParagraph"/>
      </w:pPr>
      <w:r>
        <w:t xml:space="preserve">Il caso finanziario, già affrontato nella Parte E sul versante del saldo, è qui completato sul versante delle coperture. Le fonti di finanziamento del servizio sono molteplici e tra loro complementari: il finanziamento ordinario del Servizio sanitario regionale, quale fonte principale a regime; la Missione 6 del Piano Nazionale di Ripresa e Resilienza, per l’infrastruttura territoriale e digitale nella fase di avvio; i fondi nazionali in materia di salute mentale; il riutilizzo, a regime, di una quota dei risparmi diretti che il servizio stesso genera; e accordi intersettoriali con i settori del welfare, dell’invalidità e della produttività, sui quali ricadono parte dei benefici.</w:t>
      </w:r>
      <w:r>
        <w:rPr>
          <w:rStyle w:val="FootnoteReference"/>
        </w:rPr>
        <w:footnoteReference w:id="858"/>
      </w:r>
      <w:r>
        <w:t xml:space="preserve"> </w:t>
      </w:r>
      <w:r>
        <w:t xml:space="preserve">La molteplicità delle fonti è essa stessa un presidio di sostenibilità, poiché riduce la dipendenza da un’unica linea di finanziamento.</w:t>
      </w:r>
    </w:p>
    <w:p>
      <w:pPr>
        <w:pStyle w:val="BodyText"/>
      </w:pPr>
      <w:r>
        <w:t xml:space="preserve">Il quadro va letto alla luce dei vincoli di bilancio già esposti. A fronte di un finanziamento di circa 8,8 miliardi di euro e di un disavanzo di circa 350 milioni, in regime di piano di rientro, il costo del servizio — da 25 a 50 milioni — ne costituisce una frazione modesta, in larga parte compensata dai risparmi diretti, con pareggio finanziario atteso tra il terzo e il quinto anno.</w:t>
      </w:r>
      <w:r>
        <w:rPr>
          <w:rStyle w:val="FootnoteReference"/>
        </w:rPr>
        <w:footnoteReference w:id="859"/>
      </w:r>
      <w:r>
        <w:t xml:space="preserve"> </w:t>
      </w:r>
      <w:r>
        <w:t xml:space="preserve">La sostenibilità nel tempo, che è il criterio conclusivo della griglia di valutazione, è assicurata da tre fattori convergenti: la modestia del costo rispetto al bilancio, la sua larga compensazione mediante i risparmi diretti, e l’allineamento — garantito dal dispiegamento graduale — tra la spesa e la capacità di reclutamento e formazione; resta inteso che la sostenibilità di lungo periodo richiede un finanziamento strutturale, e non straordinario, quale la riconduzione del servizio tra le prestazioni ordinariamente garantite.</w:t>
      </w:r>
      <w:r>
        <w:rPr>
          <w:rStyle w:val="FootnoteReference"/>
        </w:rPr>
        <w:footnoteReference w:id="860"/>
      </w:r>
      <w:r>
        <w:t xml:space="preserve"> </w:t>
      </w:r>
      <w:r>
        <w:t xml:space="preserve">La tabella seguente riepiloga le fonti di copertura.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Fonte di copertura</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Fase</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w:t>
            </w:r>
          </w:p>
        </w:tc>
        <w:tc>
          <w:tcPr/>
          <w:p>
            <w:pPr>
              <w:pStyle w:val="Compact"/>
              <w:spacing w:after="40" w:before="40"/>
              <w:jc w:val="left"/>
            </w:pPr>
            <w:r>
              <w:rPr>
                <w:rFonts w:ascii="Cambria" w:hAnsi="Cambria" w:cs="Cambria" w:eastAsia="Cambria"/>
                <w:color w:val="1A1A1A"/>
                <w:sz w:val="18"/>
              </w:rPr>
              <w:t xml:space="preserve">Quota ordinaria</w:t>
            </w:r>
          </w:p>
        </w:tc>
        <w:tc>
          <w:tcPr/>
          <w:p>
            <w:pPr>
              <w:pStyle w:val="Compact"/>
              <w:spacing w:after="40" w:before="40"/>
              <w:jc w:val="left"/>
            </w:pPr>
            <w:r>
              <w:rPr>
                <w:rFonts w:ascii="Cambria" w:hAnsi="Cambria" w:cs="Cambria" w:eastAsia="Cambria"/>
                <w:color w:val="1A1A1A"/>
                <w:sz w:val="18"/>
              </w:rPr>
              <w:t xml:space="preserve">Fonte principale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PNRR, Missione 6</w:t>
            </w:r>
          </w:p>
        </w:tc>
        <w:tc>
          <w:tcPr>
            <w:shd w:val="clear" w:color="auto" w:fill="F4F1EC"/>
          </w:tcPr>
          <w:p>
            <w:pPr>
              <w:pStyle w:val="Compact"/>
              <w:spacing w:after="40" w:before="40"/>
              <w:jc w:val="left"/>
            </w:pPr>
            <w:r>
              <w:rPr>
                <w:rFonts w:ascii="Cambria" w:hAnsi="Cambria" w:cs="Cambria" w:eastAsia="Cambria"/>
                <w:color w:val="1A1A1A"/>
                <w:sz w:val="18"/>
              </w:rPr>
              <w:t xml:space="preserve">Infrastruttura territoriale e digitale</w:t>
            </w:r>
          </w:p>
        </w:tc>
        <w:tc>
          <w:tcPr>
            <w:shd w:val="clear" w:color="auto" w:fill="F4F1EC"/>
          </w:tcPr>
          <w:p>
            <w:pPr>
              <w:pStyle w:val="Compact"/>
              <w:spacing w:after="40" w:before="40"/>
              <w:jc w:val="left"/>
            </w:pPr>
            <w:r>
              <w:rPr>
                <w:rFonts w:ascii="Cambria" w:hAnsi="Cambria" w:cs="Cambria" w:eastAsia="Cambria"/>
                <w:color w:val="1A1A1A"/>
                <w:sz w:val="18"/>
              </w:rPr>
              <w:t xml:space="preserve">Fase di avvio</w:t>
            </w:r>
          </w:p>
        </w:tc>
      </w:tr>
      <w:tr>
        <w:tc>
          <w:tcPr/>
          <w:p>
            <w:pPr>
              <w:pStyle w:val="Compact"/>
              <w:spacing w:after="40" w:before="40"/>
              <w:jc w:val="left"/>
            </w:pPr>
            <w:r>
              <w:rPr>
                <w:rFonts w:ascii="Cambria" w:hAnsi="Cambria" w:cs="Cambria" w:eastAsia="Cambria"/>
                <w:b/>
                <w:bCs/>
                <w:color w:val="1A1A1A"/>
                <w:sz w:val="18"/>
              </w:rPr>
              <w:t xml:space="preserve">Fondi nazionali per la salute mentale</w:t>
            </w:r>
          </w:p>
        </w:tc>
        <w:tc>
          <w:tcPr/>
          <w:p>
            <w:pPr>
              <w:pStyle w:val="Compact"/>
              <w:spacing w:after="40" w:before="40"/>
              <w:jc w:val="left"/>
            </w:pPr>
            <w:r>
              <w:rPr>
                <w:rFonts w:ascii="Cambria" w:hAnsi="Cambria" w:cs="Cambria" w:eastAsia="Cambria"/>
                <w:color w:val="1A1A1A"/>
                <w:sz w:val="18"/>
              </w:rPr>
              <w:t xml:space="preserve">Indirizzi nazionali</w:t>
            </w:r>
          </w:p>
        </w:tc>
        <w:tc>
          <w:tcPr/>
          <w:p>
            <w:pPr>
              <w:pStyle w:val="Compact"/>
              <w:spacing w:after="40" w:before="40"/>
              <w:jc w:val="left"/>
            </w:pPr>
            <w:r>
              <w:rPr>
                <w:rFonts w:ascii="Cambria" w:hAnsi="Cambria" w:cs="Cambria" w:eastAsia="Cambria"/>
                <w:color w:val="1A1A1A"/>
                <w:sz w:val="18"/>
              </w:rPr>
              <w:t xml:space="preserve">Integrazione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Riutilizzo dei risparmi diretti</w:t>
            </w:r>
          </w:p>
        </w:tc>
        <w:tc>
          <w:tcPr>
            <w:shd w:val="clear" w:color="auto" w:fill="F4F1EC"/>
          </w:tcPr>
          <w:p>
            <w:pPr>
              <w:pStyle w:val="Compact"/>
              <w:spacing w:after="40" w:before="40"/>
              <w:jc w:val="left"/>
            </w:pPr>
            <w:r>
              <w:rPr>
                <w:rFonts w:ascii="Cambria" w:hAnsi="Cambria" w:cs="Cambria" w:eastAsia="Cambria"/>
                <w:color w:val="1A1A1A"/>
                <w:sz w:val="18"/>
              </w:rPr>
              <w:t xml:space="preserve">Quota dei risparmi generati</w:t>
            </w:r>
          </w:p>
        </w:tc>
        <w:tc>
          <w:tcPr>
            <w:shd w:val="clear" w:color="auto" w:fill="F4F1EC"/>
          </w:tcPr>
          <w:p>
            <w:pPr>
              <w:pStyle w:val="Compact"/>
              <w:spacing w:after="40" w:before="40"/>
              <w:jc w:val="left"/>
            </w:pPr>
            <w:r>
              <w:rPr>
                <w:rFonts w:ascii="Cambria" w:hAnsi="Cambria" w:cs="Cambria" w:eastAsia="Cambria"/>
                <w:color w:val="1A1A1A"/>
                <w:sz w:val="18"/>
              </w:rPr>
              <w:t xml:space="preserve">A regime</w:t>
            </w:r>
          </w:p>
        </w:tc>
      </w:tr>
      <w:tr>
        <w:tc>
          <w:tcPr/>
          <w:p>
            <w:pPr>
              <w:pStyle w:val="Compact"/>
              <w:spacing w:after="40" w:before="40"/>
              <w:jc w:val="left"/>
            </w:pPr>
            <w:r>
              <w:rPr>
                <w:rFonts w:ascii="Cambria" w:hAnsi="Cambria" w:cs="Cambria" w:eastAsia="Cambria"/>
                <w:b/>
                <w:bCs/>
                <w:color w:val="1A1A1A"/>
                <w:sz w:val="18"/>
              </w:rPr>
              <w:t xml:space="preserve">Accordi intersettoriali</w:t>
            </w:r>
          </w:p>
        </w:tc>
        <w:tc>
          <w:tcPr/>
          <w:p>
            <w:pPr>
              <w:pStyle w:val="Compact"/>
              <w:spacing w:after="40" w:before="40"/>
              <w:jc w:val="left"/>
            </w:pPr>
            <w:r>
              <w:rPr>
                <w:rFonts w:ascii="Cambria" w:hAnsi="Cambria" w:cs="Cambria" w:eastAsia="Cambria"/>
                <w:color w:val="1A1A1A"/>
                <w:sz w:val="18"/>
              </w:rPr>
              <w:t xml:space="preserve">Welfare, invalidità, produttività</w:t>
            </w:r>
          </w:p>
        </w:tc>
        <w:tc>
          <w:tcPr/>
          <w:p>
            <w:pPr>
              <w:pStyle w:val="Compact"/>
              <w:spacing w:after="40" w:before="40"/>
              <w:jc w:val="left"/>
            </w:pPr>
            <w:r>
              <w:rPr>
                <w:rFonts w:ascii="Cambria" w:hAnsi="Cambria" w:cs="Cambria" w:eastAsia="Cambria"/>
                <w:color w:val="1A1A1A"/>
                <w:sz w:val="18"/>
              </w:rPr>
              <w:t xml:space="preserve">Ricadute condivise</w:t>
            </w:r>
          </w:p>
        </w:tc>
      </w:tr>
    </w:tbl>
    <w:p>
      <w:pPr>
        <w:pStyle w:val="BodyText"/>
      </w:pPr>
      <w:r>
        <w:rPr>
          <w:i/>
          <w:iCs/>
        </w:rPr>
        <w:t xml:space="preserve">Tabella I.4. Le fonti di copertura del servizio.</w:t>
      </w:r>
    </w:p>
    <w:p>
      <w:pPr>
        <w:pStyle w:val="BodyText"/>
      </w:pPr>
      <w:r>
        <w:t xml:space="preserve">Una notazione di cautela metodologica chiude la parte e ne salda la franchezza al resto dello studio. I risultati italiani disponibili provengono in parte da letteratura grigia e da campioni limitati, e i benchmark esteri richiedono cautela di trasferibilità; e la stessa sintesi del ritorno «quattro a uno» dell’Organizzazione mondiale della sanità è una semplificazione, poiché la fonte riporta intervalli dell’ordine di 2,3–3,0 a uno per i soli benefici economici e di 3,3–5,7 a uno includendo i ritorni di salute — intervalli che, lungi dal contraddire il rapporto consolidato adottato dallo studio (3,6–5 a uno), lo confermano.</w:t>
      </w:r>
      <w:r>
        <w:rPr>
          <w:rStyle w:val="FootnoteReference"/>
        </w:rPr>
        <w:footnoteReference w:id="861"/>
      </w:r>
      <w:r>
        <w:t xml:space="preserve"> </w:t>
      </w:r>
      <w:r>
        <w:t xml:space="preserve">Accertata l’attuabilità, la fattibilità e la sostenibilità dell’intervento, le parti conclusive ne organizzano la misurazione nel tempo (Parte L) e la sintesi valutativa (Parte M).</w:t>
      </w:r>
    </w:p>
    <w:bookmarkEnd w:id="1767"/>
    <w:bookmarkEnd w:id="1768"/>
    <w:bookmarkEnd w:id="1769"/>
    <w:bookmarkStart w:id="1795" w:name="X0cbe6f21d5422c506f33bc4c08e0c557f3f0be1"/>
    <w:p>
      <w:pPr>
        <w:pStyle w:val="Heading2"/>
      </w:pPr>
      <w:r>
        <w:t xml:space="preserve">Parte L — Monitoraggio e valutazione ex-post</w:t>
      </w:r>
    </w:p>
    <w:p>
      <w:pPr>
        <w:pStyle w:val="FirstParagraph"/>
      </w:pPr>
      <w:r>
        <w:t xml:space="preserve">Studio regionale Puglia · Parte L · Monitoraggio, valutazione ed ex post</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L</w:t>
      </w:r>
    </w:p>
    <w:p>
      <w:pPr>
        <w:pStyle w:val="BodyText"/>
      </w:pPr>
      <w:r>
        <w:rPr>
          <w:b/>
          <w:bCs/>
        </w:rPr>
        <w:t xml:space="preserve">Monitoraggio, valutazione ed ex post</w:t>
      </w:r>
    </w:p>
    <w:p>
      <w:pPr>
        <w:pStyle w:val="BodyText"/>
      </w:pPr>
      <w:r>
        <w:rPr>
          <w:i/>
          <w:iCs/>
        </w:rPr>
        <w:t xml:space="preserve">Sistema di indicatori, protocollo di rilevazione e baseline, valutazione controfattuale, verifica ex post, indicatori compositi e cruscotto</w:t>
      </w:r>
    </w:p>
    <w:p>
      <w:pPr>
        <w:pStyle w:val="BodyText"/>
      </w:pPr>
      <w:r>
        <w:t xml:space="preserve">Donabedian · valutazione controfattuale d’impatto · VIR · metodo OCSE-JRC</w:t>
      </w:r>
    </w:p>
    <w:p>
      <w:pPr>
        <w:pStyle w:val="BodyText"/>
      </w:pPr>
      <w:r>
        <w:rPr>
          <w:b/>
          <w:bCs/>
        </w:rPr>
        <w:t xml:space="preserve">Indice</w:t>
      </w:r>
    </w:p>
    <w:bookmarkStart w:id="1794" w:name="Xb7d2e82f6a7bf182c9d453d1d958e90f51042b8"/>
    <w:p>
      <w:pPr>
        <w:pStyle w:val="Heading3"/>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862"/>
      </w:r>
      <w:r>
        <w:t xml:space="preserve"> </w:t>
      </w:r>
      <w:r>
        <w:t xml:space="preserve">Vale qui una verifica onesta della completezza del progetto, che conduce a una conclusione netta: al progetto non manca un’architettura, ma il radicamento nei dati e l’avvio della misurazione. Le parti seguenti definiscono perciò gli strumenti di questo radicamento: il sistema di indicatori (capitolo L.1), il protocollo che li alimenta e la baseline (L.2), la valutazione controfattuale che ne trae prove causali (L.3), la verifica ex post della norma (L.4) e gli indicatori compositi che ne sintetizzano i risultati nel cruscotto (L.5).</w:t>
      </w:r>
    </w:p>
    <w:bookmarkStart w:id="1775" w:name="l.1-il-sistema-di-indicatori"/>
    <w:p>
      <w:pPr>
        <w:pStyle w:val="Heading4"/>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863"/>
      </w:r>
      <w:r>
        <w:t xml:space="preserve"> </w:t>
      </w:r>
      <w:r>
        <w:t xml:space="preserve">Su questa ossatura si dispone una batteria di circa cinquantotto misure, articolate in otto categorie, delle quali una parte è già ricavabile dalle statistiche correnti e circa quaranta richiedono la rilevazione diretta del servizio.</w:t>
      </w:r>
      <w:r>
        <w:rPr>
          <w:rStyle w:val="FootnoteReference"/>
        </w:rPr>
        <w:footnoteReference w:id="864"/>
      </w:r>
      <w:r>
        <w:t xml:space="preserve"> </w:t>
      </w:r>
      <w:r>
        <w:t xml:space="preserve">La distinzione tra ciò che è già disponibile e ciò che va rilevato non è accessoria: identifica con precisione l’onere informativo nuovo che il servizio deve sostenere, e che il protocollo del capitolo seguente è chiamato a coprire.</w:t>
      </w:r>
    </w:p>
    <w:p>
      <w:pPr>
        <w:pStyle w:val="BodyText"/>
      </w:pPr>
      <w:r>
        <w:t xml:space="preserve">Le otto categorie coprono l’intero arco della catena del valore, dal bisogno all’impatto. La selezione delle misure entro ciascuna categoria non è arbitraria, ma orientata dal principio della parsimonia: l’iniziativa internazionale per i set di esiti essenziali e i relativi standard individuano, mediante consenso strutturato, un nucleo condiviso e parsimonioso di esiti da misurare, e questa prassi fonda la selezione di un sottoinsieme prioritario di variabili, evitando la proliferazione di misure ridondanti.</w:t>
      </w:r>
      <w:r>
        <w:rPr>
          <w:rStyle w:val="FootnoteReference"/>
        </w:rPr>
        <w:footnoteReference w:id="865"/>
      </w:r>
      <w:r>
        <w:t xml:space="preserve"> </w:t>
      </w:r>
      <w:r>
        <w:t xml:space="preserve">Misurare molto non equivale a misurare bene: un sistema sovraccarico di indicatori è costoso da alimentare e difficile da interpretare, mentre un nucleo ben scelto restituisce l’informazione necessaria alla decisione. La tabella seguente riepiloga le otto categorie e lo stato della rispettiva baseline.</w:t>
      </w:r>
      <w:r>
        <w:rPr>
          <w:rStyle w:val="FootnoteReference"/>
        </w:rPr>
        <w:footnoteReference w:id="866"/>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Esempi di indicatori</w:t>
            </w:r>
          </w:p>
        </w:tc>
        <w:tc>
          <w:tcPr>
            <w:shd w:val="clear" w:color="auto" w:fill="16264B"/>
          </w:tcPr>
          <w:p>
            <w:pPr>
              <w:pStyle w:val="Compact"/>
              <w:spacing w:after="40" w:before="40"/>
              <w:jc w:val="left"/>
            </w:pPr>
            <w:r>
              <w:rPr>
                <w:rFonts w:ascii="Cambria" w:hAnsi="Cambria" w:cs="Cambria" w:eastAsia="Cambria"/>
                <w:b/>
                <w:bCs/>
                <w:color w:val="FFFFFF"/>
                <w:sz w:val="18"/>
              </w:rPr>
              <w:t xml:space="preserve">Baseline</w:t>
            </w:r>
          </w:p>
        </w:tc>
      </w:tr>
      <w:tr>
        <w:tc>
          <w:tcPr/>
          <w:p>
            <w:pPr>
              <w:pStyle w:val="Compact"/>
              <w:spacing w:after="40" w:before="40"/>
              <w:jc w:val="left"/>
            </w:pPr>
            <w:r>
              <w:rPr>
                <w:rFonts w:ascii="Cambria" w:hAnsi="Cambria" w:cs="Cambria" w:eastAsia="Cambria"/>
                <w:b/>
                <w:bCs/>
                <w:color w:val="1A1A1A"/>
                <w:sz w:val="18"/>
              </w:rPr>
              <w:t xml:space="preserve">Bisogno e domanda</w:t>
            </w:r>
          </w:p>
        </w:tc>
        <w:tc>
          <w:tcPr/>
          <w:p>
            <w:pPr>
              <w:pStyle w:val="Compact"/>
              <w:spacing w:after="40" w:before="40"/>
              <w:jc w:val="left"/>
            </w:pPr>
            <w:r>
              <w:rPr>
                <w:rFonts w:ascii="Cambria" w:hAnsi="Cambria" w:cs="Cambria" w:eastAsia="Cambria"/>
                <w:color w:val="1A1A1A"/>
                <w:sz w:val="18"/>
              </w:rPr>
              <w:t xml:space="preserve">Prevalenza del disagio, utenza dei servizi, accessi impropri</w:t>
            </w:r>
          </w:p>
        </w:tc>
        <w:tc>
          <w:tcPr/>
          <w:p>
            <w:pPr>
              <w:pStyle w:val="Compact"/>
              <w:spacing w:after="40" w:before="40"/>
              <w:jc w:val="left"/>
            </w:pPr>
            <w:r>
              <w:rPr>
                <w:rFonts w:ascii="Cambria" w:hAnsi="Cambria" w:cs="Cambria" w:eastAsia="Cambria"/>
                <w:color w:val="1A1A1A"/>
                <w:sz w:val="18"/>
              </w:rPr>
              <w:t xml:space="preserve">Disponibile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Accesso ed equità</w:t>
            </w:r>
          </w:p>
        </w:tc>
        <w:tc>
          <w:tcPr>
            <w:shd w:val="clear" w:color="auto" w:fill="F4F1EC"/>
          </w:tcPr>
          <w:p>
            <w:pPr>
              <w:pStyle w:val="Compact"/>
              <w:spacing w:after="40" w:before="40"/>
              <w:jc w:val="left"/>
            </w:pPr>
            <w:r>
              <w:rPr>
                <w:rFonts w:ascii="Cambria" w:hAnsi="Cambria" w:cs="Cambria" w:eastAsia="Cambria"/>
                <w:color w:val="1A1A1A"/>
                <w:sz w:val="18"/>
              </w:rPr>
              <w:t xml:space="preserve">Tempo di attesa, copertura, divari tra aziende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Processo</w:t>
            </w:r>
          </w:p>
        </w:tc>
        <w:tc>
          <w:tcPr/>
          <w:p>
            <w:pPr>
              <w:pStyle w:val="Compact"/>
              <w:spacing w:after="40" w:before="40"/>
              <w:jc w:val="left"/>
            </w:pPr>
            <w:r>
              <w:rPr>
                <w:rFonts w:ascii="Cambria" w:hAnsi="Cambria" w:cs="Cambria" w:eastAsia="Cambria"/>
                <w:color w:val="1A1A1A"/>
                <w:sz w:val="18"/>
              </w:rPr>
              <w:t xml:space="preserve">Sedute erogate, cicli completati, abbandoni</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clinico</w:t>
            </w:r>
          </w:p>
        </w:tc>
        <w:tc>
          <w:tcPr>
            <w:shd w:val="clear" w:color="auto" w:fill="F4F1EC"/>
          </w:tcPr>
          <w:p>
            <w:pPr>
              <w:pStyle w:val="Compact"/>
              <w:spacing w:after="40" w:before="40"/>
              <w:jc w:val="left"/>
            </w:pPr>
            <w:r>
              <w:rPr>
                <w:rFonts w:ascii="Cambria" w:hAnsi="Cambria" w:cs="Cambria" w:eastAsia="Cambria"/>
                <w:color w:val="1A1A1A"/>
                <w:sz w:val="18"/>
              </w:rPr>
              <w:t xml:space="preserve">Recupero, miglioramento affidabile, mantenimento</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Economici</w:t>
            </w:r>
          </w:p>
        </w:tc>
        <w:tc>
          <w:tcPr/>
          <w:p>
            <w:pPr>
              <w:pStyle w:val="Compact"/>
              <w:spacing w:after="40" w:before="40"/>
              <w:jc w:val="left"/>
            </w:pPr>
            <w:r>
              <w:rPr>
                <w:rFonts w:ascii="Cambria" w:hAnsi="Cambria" w:cs="Cambria" w:eastAsia="Cambria"/>
                <w:color w:val="1A1A1A"/>
                <w:sz w:val="18"/>
              </w:rPr>
              <w:t xml:space="preserve">Risparmi per canale, costo per esito</w:t>
            </w:r>
          </w:p>
        </w:tc>
        <w:tc>
          <w:tcPr/>
          <w:p>
            <w:pPr>
              <w:pStyle w:val="Compact"/>
              <w:spacing w:after="40" w:before="40"/>
              <w:jc w:val="left"/>
            </w:pPr>
            <w:r>
              <w:rPr>
                <w:rFonts w:ascii="Cambria" w:hAnsi="Cambria" w:cs="Cambria" w:eastAsia="Cambria"/>
                <w:color w:val="1A1A1A"/>
                <w:sz w:val="18"/>
              </w:rPr>
              <w:t xml:space="preserve">Misto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sociale</w:t>
            </w:r>
          </w:p>
        </w:tc>
        <w:tc>
          <w:tcPr>
            <w:shd w:val="clear" w:color="auto" w:fill="F4F1EC"/>
          </w:tcPr>
          <w:p>
            <w:pPr>
              <w:pStyle w:val="Compact"/>
              <w:spacing w:after="40" w:before="40"/>
              <w:jc w:val="left"/>
            </w:pPr>
            <w:r>
              <w:rPr>
                <w:rFonts w:ascii="Cambria" w:hAnsi="Cambria" w:cs="Cambria" w:eastAsia="Cambria"/>
                <w:color w:val="1A1A1A"/>
                <w:sz w:val="18"/>
              </w:rPr>
              <w:t xml:space="preserve">Produttività, benessere, indicatori territoriali</w:t>
            </w:r>
          </w:p>
        </w:tc>
        <w:tc>
          <w:tcPr>
            <w:shd w:val="clear" w:color="auto" w:fill="F4F1EC"/>
          </w:tcPr>
          <w:p>
            <w:pPr>
              <w:pStyle w:val="Compact"/>
              <w:spacing w:after="40" w:before="40"/>
              <w:jc w:val="left"/>
            </w:pPr>
            <w:r>
              <w:rPr>
                <w:rFonts w:ascii="Cambria" w:hAnsi="Cambria" w:cs="Cambria" w:eastAsia="Cambria"/>
                <w:color w:val="1A1A1A"/>
                <w:sz w:val="18"/>
              </w:rPr>
              <w:t xml:space="preserve">Misto</w:t>
            </w:r>
          </w:p>
        </w:tc>
      </w:tr>
      <w:tr>
        <w:tc>
          <w:tcPr/>
          <w:p>
            <w:pPr>
              <w:pStyle w:val="Compact"/>
              <w:spacing w:after="40" w:before="40"/>
              <w:jc w:val="left"/>
            </w:pPr>
            <w:r>
              <w:rPr>
                <w:rFonts w:ascii="Cambria" w:hAnsi="Cambria" w:cs="Cambria" w:eastAsia="Cambria"/>
                <w:b/>
                <w:bCs/>
                <w:color w:val="1A1A1A"/>
                <w:sz w:val="18"/>
              </w:rPr>
              <w:t xml:space="preserve">Organizzativi</w:t>
            </w:r>
          </w:p>
        </w:tc>
        <w:tc>
          <w:tcPr/>
          <w:p>
            <w:pPr>
              <w:pStyle w:val="Compact"/>
              <w:spacing w:after="40" w:before="40"/>
              <w:jc w:val="left"/>
            </w:pPr>
            <w:r>
              <w:rPr>
                <w:rFonts w:ascii="Cambria" w:hAnsi="Cambria" w:cs="Cambria" w:eastAsia="Cambria"/>
                <w:color w:val="1A1A1A"/>
                <w:sz w:val="18"/>
              </w:rPr>
              <w:t xml:space="preserve">Reclutamento, formazione, fedeltà al modello</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Variabili di sintesi</w:t>
            </w:r>
          </w:p>
        </w:tc>
        <w:tc>
          <w:tcPr>
            <w:shd w:val="clear" w:color="auto" w:fill="F4F1EC"/>
          </w:tcPr>
          <w:p>
            <w:pPr>
              <w:pStyle w:val="Compact"/>
              <w:spacing w:after="40" w:before="40"/>
              <w:jc w:val="left"/>
            </w:pPr>
            <w:r>
              <w:rPr>
                <w:rFonts w:ascii="Cambria" w:hAnsi="Cambria" w:cs="Cambria" w:eastAsia="Cambria"/>
                <w:color w:val="1A1A1A"/>
                <w:sz w:val="18"/>
              </w:rPr>
              <w:t xml:space="preserve">Indici compositi di esito e di valore</w:t>
            </w:r>
          </w:p>
        </w:tc>
        <w:tc>
          <w:tcPr>
            <w:shd w:val="clear" w:color="auto" w:fill="F4F1EC"/>
          </w:tcPr>
          <w:p>
            <w:pPr>
              <w:pStyle w:val="Compact"/>
              <w:spacing w:after="40" w:before="40"/>
              <w:jc w:val="left"/>
            </w:pPr>
            <w:r>
              <w:rPr>
                <w:rFonts w:ascii="Cambria" w:hAnsi="Cambria" w:cs="Cambria" w:eastAsia="Cambria"/>
                <w:color w:val="1A1A1A"/>
                <w:sz w:val="18"/>
              </w:rPr>
              <w:t xml:space="preserve">Da calcolare</w:t>
            </w:r>
          </w:p>
        </w:tc>
      </w:tr>
    </w:tbl>
    <w:p>
      <w:pPr>
        <w:pStyle w:val="BodyText"/>
      </w:pPr>
      <w:r>
        <w:rPr>
          <w:i/>
          <w:iCs/>
        </w:rPr>
        <w:t xml:space="preserve">Tabella L.1. Le otto categorie di indicatori e lo stato della baseline. Circa quaranta indicatori richiedono la rilevazione diretta del servizio.</w:t>
      </w:r>
    </w:p>
    <w:bookmarkEnd w:id="1775"/>
    <w:bookmarkStart w:id="1781" w:name="Xf16cc2596caab9a95dd41702da8c000d1a10434"/>
    <w:p>
      <w:pPr>
        <w:pStyle w:val="Heading4"/>
      </w:pPr>
      <w:r>
        <w:t xml:space="preserve">L.2 Il protocollo di rilevazione e la baseline</w:t>
      </w:r>
    </w:p>
    <w:p>
      <w:pPr>
        <w:pStyle w:val="FirstParagraph"/>
      </w:pPr>
      <w:r>
        <w:t xml:space="preserve">Perché gli indicatori siano calcolabili occorre un protocollo di rilevazione, ed è questo l’elemento operativo che colma la lacuna di attivazione della misurazione.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867"/>
      </w:r>
      <w:r>
        <w:t xml:space="preserve"> </w:t>
      </w:r>
      <w:r>
        <w:t xml:space="preserve">Gli strumenti di esito sono validati e di uso internazionale: il questionario sulla salute del paziente a nove voci, con punteggio totale da 0 a 27, soglia di rilevanza clinica intorno a 10 e cambiamento affidabile dell’ordine di 6 punti, e il corrispondente questionario per l’ansia a sette voci, impiegati — si ribadisce — nei soli punteggi complessivi.</w:t>
      </w:r>
      <w:r>
        <w:rPr>
          <w:rStyle w:val="FootnoteReference"/>
        </w:rPr>
        <w:footnoteReference w:id="868"/>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869"/>
      </w:r>
    </w:p>
    <w:p>
      <w:pPr>
        <w:pStyle w:val="BodyText"/>
      </w:pPr>
      <w:r>
        <w:t xml:space="preserve">Alla rilevazione si lega la costituzione della baseline, ossia la fotografia dello stato di partenza senza la quale nessun effetto sarebbe misurabile. La baseline si costituisce su due binari. Il primo è immediato e non richiede di attendere l’avvio: gli indicatori già disponibili dalle statistiche correnti — demografici, epidemiologici, di benessere, di mortalità — forniscono la fotografia del prima e vanno registrati subito. Il secondo è la rilevazione di servizio, che parte con il primo assistito.</w:t>
      </w:r>
      <w:r>
        <w:rPr>
          <w:rStyle w:val="FootnoteReference"/>
        </w:rPr>
        <w:footnoteReference w:id="870"/>
      </w:r>
      <w:r>
        <w:t xml:space="preserve"> </w:t>
      </w:r>
      <w:r>
        <w:t xml:space="preserve">Il principio è stringente, e merita di essere enunciato senza attenuazioni: ogni mese di ritardo nell’avvio della rilevazione è un mese di dati di base perduti, non recuperabili a posteriori. Il calendario disciplina questa sequenza, dalla costituzione della baseline prima dell’avvio, alla registrazione corrente dall’avvio, alla trasmissione mensile di indicatori aggregati all’Osservatorio, fino al calcolo periodico delle misure di sintesi e all’aggiornamento del cruscotto.</w:t>
      </w:r>
      <w:r>
        <w:rPr>
          <w:rStyle w:val="FootnoteReference"/>
        </w:rPr>
        <w:footnoteReference w:id="871"/>
      </w:r>
      <w:r>
        <w:t xml:space="preserve"> </w:t>
      </w:r>
      <w:r>
        <w:t xml:space="preserve">La tabella seguente lo riepiloga.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Momento</w:t>
            </w:r>
          </w:p>
        </w:tc>
        <w:tc>
          <w:tcPr>
            <w:shd w:val="clear" w:color="auto" w:fill="16264B"/>
          </w:tcPr>
          <w:p>
            <w:pPr>
              <w:pStyle w:val="Compact"/>
              <w:spacing w:after="40" w:before="40"/>
              <w:jc w:val="left"/>
            </w:pPr>
            <w:r>
              <w:rPr>
                <w:rFonts w:ascii="Cambria" w:hAnsi="Cambria" w:cs="Cambria" w:eastAsia="Cambria"/>
                <w:b/>
                <w:bCs/>
                <w:color w:val="FFFFFF"/>
                <w:sz w:val="18"/>
              </w:rPr>
              <w:t xml:space="preserve">Attività</w:t>
            </w:r>
          </w:p>
        </w:tc>
      </w:tr>
      <w:tr>
        <w:tc>
          <w:tcPr/>
          <w:p>
            <w:pPr>
              <w:pStyle w:val="Compact"/>
              <w:spacing w:after="40" w:before="40"/>
              <w:jc w:val="left"/>
            </w:pPr>
            <w:r>
              <w:rPr>
                <w:rFonts w:ascii="Cambria" w:hAnsi="Cambria" w:cs="Cambria" w:eastAsia="Cambria"/>
                <w:b/>
                <w:bCs/>
                <w:color w:val="1A1A1A"/>
                <w:sz w:val="18"/>
              </w:rPr>
              <w:t xml:space="preserve">Prima dell’avvio (per area)</w:t>
            </w:r>
          </w:p>
        </w:tc>
        <w:tc>
          <w:tcPr/>
          <w:p>
            <w:pPr>
              <w:pStyle w:val="Compact"/>
              <w:spacing w:after="40" w:before="40"/>
              <w:jc w:val="left"/>
            </w:pPr>
            <w:r>
              <w:rPr>
                <w:rFonts w:ascii="Cambria" w:hAnsi="Cambria" w:cs="Cambria" w:eastAsia="Cambria"/>
                <w:color w:val="1A1A1A"/>
                <w:sz w:val="18"/>
              </w:rPr>
              <w:t xml:space="preserve">Costituzione della baseline con i dati disponibili; predisposizione del registro e dei questionari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All’avvio</w:t>
            </w:r>
          </w:p>
        </w:tc>
        <w:tc>
          <w:tcPr>
            <w:shd w:val="clear" w:color="auto" w:fill="F4F1EC"/>
          </w:tcPr>
          <w:p>
            <w:pPr>
              <w:pStyle w:val="Compact"/>
              <w:spacing w:after="40" w:before="40"/>
              <w:jc w:val="left"/>
            </w:pPr>
            <w:r>
              <w:rPr>
                <w:rFonts w:ascii="Cambria" w:hAnsi="Cambria" w:cs="Cambria" w:eastAsia="Cambria"/>
                <w:color w:val="1A1A1A"/>
                <w:sz w:val="18"/>
              </w:rPr>
              <w:t xml:space="preserve">Inizio della registrazione di ogni presa in carico e di ogni seduta, con i punteggi di esito</w:t>
            </w:r>
          </w:p>
        </w:tc>
      </w:tr>
      <w:tr>
        <w:tc>
          <w:tcPr/>
          <w:p>
            <w:pPr>
              <w:pStyle w:val="Compact"/>
              <w:spacing w:after="40" w:before="40"/>
              <w:jc w:val="left"/>
            </w:pPr>
            <w:r>
              <w:rPr>
                <w:rFonts w:ascii="Cambria" w:hAnsi="Cambria" w:cs="Cambria" w:eastAsia="Cambria"/>
                <w:b/>
                <w:bCs/>
                <w:color w:val="1A1A1A"/>
                <w:sz w:val="18"/>
              </w:rPr>
              <w:t xml:space="preserve">In continuo</w:t>
            </w:r>
          </w:p>
        </w:tc>
        <w:tc>
          <w:tcPr/>
          <w:p>
            <w:pPr>
              <w:pStyle w:val="Compact"/>
              <w:spacing w:after="40" w:before="40"/>
              <w:jc w:val="left"/>
            </w:pPr>
            <w:r>
              <w:rPr>
                <w:rFonts w:ascii="Cambria" w:hAnsi="Cambria" w:cs="Cambria" w:eastAsia="Cambria"/>
                <w:color w:val="1A1A1A"/>
                <w:sz w:val="18"/>
              </w:rPr>
              <w:t xml:space="preserve">Alimentazione del registro; trasmissione di indicatori aggregati all’Osservatorio con cadenza mensile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Periodico (semestrale e annuale)</w:t>
            </w:r>
          </w:p>
        </w:tc>
        <w:tc>
          <w:tcPr>
            <w:shd w:val="clear" w:color="auto" w:fill="F4F1EC"/>
          </w:tcPr>
          <w:p>
            <w:pPr>
              <w:pStyle w:val="Compact"/>
              <w:spacing w:after="40" w:before="40"/>
              <w:jc w:val="left"/>
            </w:pPr>
            <w:r>
              <w:rPr>
                <w:rFonts w:ascii="Cambria" w:hAnsi="Cambria" w:cs="Cambria" w:eastAsia="Cambria"/>
                <w:color w:val="1A1A1A"/>
                <w:sz w:val="18"/>
              </w:rPr>
              <w:t xml:space="preserve">Calcolo delle misure di sintesi e aggiornamento del cruscotto regionale</w:t>
            </w:r>
          </w:p>
        </w:tc>
      </w:tr>
    </w:tbl>
    <w:p>
      <w:pPr>
        <w:pStyle w:val="BodyText"/>
      </w:pPr>
      <w:r>
        <w:rPr>
          <w:i/>
          <w:iCs/>
        </w:rPr>
        <w:t xml:space="preserve">Tabella L.2. Il calendario della rilevazione. La baseline da statistiche correnti precede l</w:t>
      </w:r>
      <w:r>
        <w:rPr>
          <w:b/>
          <w:bCs/>
          <w:i/>
          <w:iCs/>
        </w:rPr>
        <w:t xml:space="preserve">’</w:t>
      </w:r>
      <w:r>
        <w:rPr>
          <w:i/>
          <w:iCs/>
        </w:rPr>
        <w:t xml:space="preserve">avvio; la rilevazione di servizio parte con il primo assistito.</w:t>
      </w:r>
    </w:p>
    <w:bookmarkEnd w:id="1781"/>
    <w:bookmarkStart w:id="1786" w:name="l.3-la-valutazione-controfattuale"/>
    <w:p>
      <w:pPr>
        <w:pStyle w:val="Heading4"/>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Lo strumento che rende possibile questa stima è, in questo studio, lo stesso disegno del dispiegamento: la sua scansione scaglionata configura un esperimento naturale, idoneo a misurare gli effetti reali del servizio.</w:t>
      </w:r>
      <w:r>
        <w:rPr>
          <w:rStyle w:val="FootnoteReference"/>
        </w:rPr>
        <w:footnoteReference w:id="872"/>
      </w:r>
      <w:r>
        <w:t xml:space="preserve"> </w:t>
      </w:r>
      <w:r>
        <w:t xml:space="preserve">Il metodo principale è la differenza-nelle-differenze, che confronta la variazione nel tempo dell’esito tra le aree già attivate e quelle non ancora attivate, sotto l’ipotesi di andamento parallelo; a esso si affianca il controllo sintetico, che costruisce un’unità di confronto artificiale come combinazione ponderata di unità non trattate.</w:t>
      </w:r>
      <w:r>
        <w:rPr>
          <w:rStyle w:val="FootnoteReference"/>
        </w:rPr>
        <w:footnoteReference w:id="873"/>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ossia la generalizzabilità ad altri contesti, va valutata a parte; i disegni a esperimento naturale sono, per gli interventi di salute della popolazione, lo strumento raccomandato dalla letteratura metodologica.</w:t>
      </w:r>
      <w:r>
        <w:rPr>
          <w:rStyle w:val="FootnoteReference"/>
        </w:rPr>
        <w:footnoteReference w:id="874"/>
      </w:r>
      <w:r>
        <w:t xml:space="preserve"> </w:t>
      </w:r>
      <w:r>
        <w:t xml:space="preserve">La portata di questo metodo, per il presente studio, è dirimente: confrontando, ad esempio, l’andamento degli accessi al pronto soccorso per cause psichiatriche nelle aree che hanno attivato il servizio con quello delle aree che lo attiveranno, si isola l’effetto proprio della riforma e si trasforma la stima dei risparmi da proiezione attesa a misura empiricamente fondata.</w:t>
      </w:r>
      <w:r>
        <w:rPr>
          <w:rStyle w:val="FootnoteReference"/>
        </w:rPr>
        <w:footnoteReference w:id="875"/>
      </w:r>
      <w:r>
        <w:t xml:space="preserve"> </w:t>
      </w:r>
      <w:r>
        <w:t xml:space="preserve">È questo il passaggio che, a regime, eleva lo studio da proposta argomentata a politica validata, e che chiude il cerchio aperto dal valore dell’informazione della Parte F, sostituendo le stime con misure osservate.</w:t>
      </w:r>
    </w:p>
    <w:bookmarkEnd w:id="1786"/>
    <w:bookmarkStart w:id="1789" w:name="X5101a3cbdae7bd58b8570918f388ced2caecf3e"/>
    <w:p>
      <w:pPr>
        <w:pStyle w:val="Heading4"/>
      </w:pPr>
      <w:r>
        <w:t xml:space="preserve">L.4 La verifica ex post della regolamentazione</w:t>
      </w:r>
    </w:p>
    <w:p>
      <w:pPr>
        <w:pStyle w:val="FirstParagraph"/>
      </w:pPr>
      <w:r>
        <w:t xml:space="preserve">Alla valutazione d’impatto, che accerta gli effetti dell’intervento, si affianca la verifica ex post della regolamentazione, che accerta gli effetti della norma. È una valutazione ex post, di norma condotta dopo un biennio, che esamina l’efficacia, l’efficienza, l’utilità e la coerenza della norma, e che chiude il ciclo aperto dall’analisi preventiva della regolamentazione, accertando se la norma abbia prodotto gli effetti che essa si era prefissa.</w:t>
      </w:r>
      <w:r>
        <w:rPr>
          <w:rStyle w:val="FootnoteReference"/>
        </w:rPr>
        <w:footnoteReference w:id="876"/>
      </w:r>
      <w:r>
        <w:t xml:space="preserve"> </w:t>
      </w:r>
      <w:r>
        <w:t xml:space="preserve">Il rapporto tra l’analisi preventiva e la verifica ex post è di simmetria: la prima stima ciò che la norma dovrebbe produrre, la seconda misura ciò che ha effettivamente prodotto, e insieme costituiscono un ciclo di apprendimento che impedisce alla regolazione di sottrarsi alla verifica dei propri risultati.</w:t>
      </w:r>
    </w:p>
    <w:p>
      <w:pPr>
        <w:pStyle w:val="BodyText"/>
      </w:pPr>
      <w:r>
        <w:t xml:space="preserve">Sul piano regionale, questa funzione è assolta dalla clausola valutativa, lo strumento mediante il quale il legislatore regionale impegna la Giunta a riferire periodicamente al Consiglio sui risultati conseguiti dalla riforma.</w:t>
      </w:r>
      <w:r>
        <w:rPr>
          <w:rStyle w:val="FootnoteReference"/>
        </w:rPr>
        <w:footnoteReference w:id="877"/>
      </w:r>
      <w:r>
        <w:t xml:space="preserve"> </w:t>
      </w:r>
      <w:r>
        <w:t xml:space="preserve">La clausola valutativa non è una formalità, ma il presidio istituzionale della responsabilità: trasforma la valutazione da esercizio tecnico facoltativo in obbligo di rendiconto verso l’organo rappresentativo, e con ciò distingue una riforma annunciata da una riforma dimostrata, assicurandone la difendibilità nel tempo. È il punto in cui l’intero impianto valutativo dello studio — dagli indicatori alla valutazione controfattuale — trova il suo destinatario istituzionale e la sua sanzione politica, poiché i risultati misurati divengono oggetto di un rendiconto pubblico e periodico.</w:t>
      </w:r>
    </w:p>
    <w:bookmarkEnd w:id="1789"/>
    <w:bookmarkStart w:id="1793" w:name="Xe0dfd20653f663517ae164a20d84624daa4bf9f"/>
    <w:p>
      <w:pPr>
        <w:pStyle w:val="Heading4"/>
      </w:pPr>
      <w:r>
        <w:t xml:space="preserve">L.5 Gli indicatori compositi e il cruscotto</w:t>
      </w:r>
    </w:p>
    <w:p>
      <w:pPr>
        <w:pStyle w:val="FirstParagraph"/>
      </w:pPr>
      <w:r>
        <w:t xml:space="preserve">L’ultima funzione del sistema di misurazione è la sintesi: ricondurre la molteplicità degli indicatori a poche misure complesse, leggibili dal decisore. La costruzione di tali indicatori compositi segue il manuale internazionale di riferimento, che la articola in dieci passi — dal quadro teorico alla selezione dei dati, all’imputazione dei dati mancanti, all’analisi multivariata, alla normalizzazione, alla ponderazione, all’aggregazione, all’analisi di sensibilità, al collegamento con misure esterne, fino alla visualizzazione — con una avvertenza che ne governa l’uso corretto: la scelta dei pesi e del metodo di aggregazione è resa esplicita, perché da essa dipende il risultato.</w:t>
      </w:r>
      <w:r>
        <w:rPr>
          <w:rStyle w:val="FootnoteReference"/>
        </w:rPr>
        <w:footnoteReference w:id="878"/>
      </w:r>
      <w:r>
        <w:t xml:space="preserve"> </w:t>
      </w:r>
      <w:r>
        <w:t xml:space="preserve">La tabella seguente riepiloga i dieci passi.</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Passo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1</w:t>
            </w:r>
          </w:p>
        </w:tc>
        <w:tc>
          <w:tcPr/>
          <w:p>
            <w:pPr>
              <w:pStyle w:val="Compact"/>
              <w:spacing w:after="40" w:before="40"/>
              <w:jc w:val="left"/>
            </w:pPr>
            <w:r>
              <w:rPr>
                <w:rFonts w:ascii="Cambria" w:hAnsi="Cambria" w:cs="Cambria" w:eastAsia="Cambria"/>
                <w:color w:val="1A1A1A"/>
                <w:sz w:val="18"/>
              </w:rPr>
              <w:t xml:space="preserve">Quadro teorico: definire il concetto e le sue componenti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w:t>
            </w:r>
          </w:p>
        </w:tc>
        <w:tc>
          <w:tcPr>
            <w:shd w:val="clear" w:color="auto" w:fill="F4F1EC"/>
          </w:tcPr>
          <w:p>
            <w:pPr>
              <w:pStyle w:val="Compact"/>
              <w:spacing w:after="40" w:before="40"/>
              <w:jc w:val="left"/>
            </w:pPr>
            <w:r>
              <w:rPr>
                <w:rFonts w:ascii="Cambria" w:hAnsi="Cambria" w:cs="Cambria" w:eastAsia="Cambria"/>
                <w:color w:val="1A1A1A"/>
                <w:sz w:val="18"/>
              </w:rPr>
              <w:t xml:space="preserve">Selezione dei dati: scegliere gli indicatori di base</w:t>
            </w:r>
          </w:p>
        </w:tc>
      </w:tr>
      <w:tr>
        <w:tc>
          <w:tcPr/>
          <w:p>
            <w:pPr>
              <w:pStyle w:val="Compact"/>
              <w:spacing w:after="40" w:before="40"/>
              <w:jc w:val="left"/>
            </w:pPr>
            <w:r>
              <w:rPr>
                <w:rFonts w:ascii="Cambria" w:hAnsi="Cambria" w:cs="Cambria" w:eastAsia="Cambria"/>
                <w:b/>
                <w:bCs/>
                <w:color w:val="1A1A1A"/>
                <w:sz w:val="18"/>
              </w:rPr>
              <w:t xml:space="preserve">3</w:t>
            </w:r>
          </w:p>
        </w:tc>
        <w:tc>
          <w:tcPr/>
          <w:p>
            <w:pPr>
              <w:pStyle w:val="Compact"/>
              <w:spacing w:after="40" w:before="40"/>
              <w:jc w:val="left"/>
            </w:pPr>
            <w:r>
              <w:rPr>
                <w:rFonts w:ascii="Cambria" w:hAnsi="Cambria" w:cs="Cambria" w:eastAsia="Cambria"/>
                <w:color w:val="1A1A1A"/>
                <w:sz w:val="18"/>
              </w:rPr>
              <w:t xml:space="preserve">Dati mancanti: imputare in modo trasparente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w:t>
            </w:r>
          </w:p>
        </w:tc>
        <w:tc>
          <w:tcPr>
            <w:shd w:val="clear" w:color="auto" w:fill="F4F1EC"/>
          </w:tcPr>
          <w:p>
            <w:pPr>
              <w:pStyle w:val="Compact"/>
              <w:spacing w:after="40" w:before="40"/>
              <w:jc w:val="left"/>
            </w:pPr>
            <w:r>
              <w:rPr>
                <w:rFonts w:ascii="Cambria" w:hAnsi="Cambria" w:cs="Cambria" w:eastAsia="Cambria"/>
                <w:color w:val="1A1A1A"/>
                <w:sz w:val="18"/>
              </w:rPr>
              <w:t xml:space="preserve">Analisi multivariata: studiare la struttura dei dati</w:t>
            </w:r>
          </w:p>
        </w:tc>
      </w:tr>
      <w:tr>
        <w:tc>
          <w:tcPr/>
          <w:p>
            <w:pPr>
              <w:pStyle w:val="Compact"/>
              <w:spacing w:after="40" w:before="40"/>
              <w:jc w:val="left"/>
            </w:pPr>
            <w:r>
              <w:rPr>
                <w:rFonts w:ascii="Cambria" w:hAnsi="Cambria" w:cs="Cambria" w:eastAsia="Cambria"/>
                <w:b/>
                <w:bCs/>
                <w:color w:val="1A1A1A"/>
                <w:sz w:val="18"/>
              </w:rPr>
              <w:t xml:space="preserve">5</w:t>
            </w:r>
          </w:p>
        </w:tc>
        <w:tc>
          <w:tcPr/>
          <w:p>
            <w:pPr>
              <w:pStyle w:val="Compact"/>
              <w:spacing w:after="40" w:before="40"/>
              <w:jc w:val="left"/>
            </w:pPr>
            <w:r>
              <w:rPr>
                <w:rFonts w:ascii="Cambria" w:hAnsi="Cambria" w:cs="Cambria" w:eastAsia="Cambria"/>
                <w:color w:val="1A1A1A"/>
                <w:sz w:val="18"/>
              </w:rPr>
              <w:t xml:space="preserve">Normalizzazione: rendere comparabili scale diverse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6</w:t>
            </w:r>
          </w:p>
        </w:tc>
        <w:tc>
          <w:tcPr>
            <w:shd w:val="clear" w:color="auto" w:fill="F4F1EC"/>
          </w:tcPr>
          <w:p>
            <w:pPr>
              <w:pStyle w:val="Compact"/>
              <w:spacing w:after="40" w:before="40"/>
              <w:jc w:val="left"/>
            </w:pPr>
            <w:r>
              <w:rPr>
                <w:rFonts w:ascii="Cambria" w:hAnsi="Cambria" w:cs="Cambria" w:eastAsia="Cambria"/>
                <w:color w:val="1A1A1A"/>
                <w:sz w:val="18"/>
              </w:rPr>
              <w:t xml:space="preserve">Ponderazione: attribuire i pesi alle componenti</w:t>
            </w:r>
          </w:p>
        </w:tc>
      </w:tr>
      <w:tr>
        <w:tc>
          <w:tcPr/>
          <w:p>
            <w:pPr>
              <w:pStyle w:val="Compact"/>
              <w:spacing w:after="40" w:before="40"/>
              <w:jc w:val="left"/>
            </w:pPr>
            <w:r>
              <w:rPr>
                <w:rFonts w:ascii="Cambria" w:hAnsi="Cambria" w:cs="Cambria" w:eastAsia="Cambria"/>
                <w:b/>
                <w:bCs/>
                <w:color w:val="1A1A1A"/>
                <w:sz w:val="18"/>
              </w:rPr>
              <w:t xml:space="preserve">7</w:t>
            </w:r>
          </w:p>
        </w:tc>
        <w:tc>
          <w:tcPr/>
          <w:p>
            <w:pPr>
              <w:pStyle w:val="Compact"/>
              <w:spacing w:after="40" w:before="40"/>
              <w:jc w:val="left"/>
            </w:pPr>
            <w:r>
              <w:rPr>
                <w:rFonts w:ascii="Cambria" w:hAnsi="Cambria" w:cs="Cambria" w:eastAsia="Cambria"/>
                <w:color w:val="1A1A1A"/>
                <w:sz w:val="18"/>
              </w:rPr>
              <w:t xml:space="preserve">Aggregazione: combinare gli indicatori in un indice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8</w:t>
            </w:r>
          </w:p>
        </w:tc>
        <w:tc>
          <w:tcPr>
            <w:shd w:val="clear" w:color="auto" w:fill="F4F1EC"/>
          </w:tcPr>
          <w:p>
            <w:pPr>
              <w:pStyle w:val="Compact"/>
              <w:spacing w:after="40" w:before="40"/>
              <w:jc w:val="left"/>
            </w:pPr>
            <w:r>
              <w:rPr>
                <w:rFonts w:ascii="Cambria" w:hAnsi="Cambria" w:cs="Cambria" w:eastAsia="Cambria"/>
                <w:color w:val="1A1A1A"/>
                <w:sz w:val="18"/>
              </w:rPr>
              <w:t xml:space="preserve">Analisi di sensibilità: verificare la robustezza alle scelte</w:t>
            </w:r>
          </w:p>
        </w:tc>
      </w:tr>
      <w:tr>
        <w:tc>
          <w:tcPr/>
          <w:p>
            <w:pPr>
              <w:pStyle w:val="Compact"/>
              <w:spacing w:after="40" w:before="40"/>
              <w:jc w:val="left"/>
            </w:pPr>
            <w:r>
              <w:rPr>
                <w:rFonts w:ascii="Cambria" w:hAnsi="Cambria" w:cs="Cambria" w:eastAsia="Cambria"/>
                <w:b/>
                <w:bCs/>
                <w:color w:val="1A1A1A"/>
                <w:sz w:val="18"/>
              </w:rPr>
              <w:t xml:space="preserve">9</w:t>
            </w:r>
          </w:p>
        </w:tc>
        <w:tc>
          <w:tcPr/>
          <w:p>
            <w:pPr>
              <w:pStyle w:val="Compact"/>
              <w:spacing w:after="40" w:before="40"/>
              <w:jc w:val="left"/>
            </w:pPr>
            <w:r>
              <w:rPr>
                <w:rFonts w:ascii="Cambria" w:hAnsi="Cambria" w:cs="Cambria" w:eastAsia="Cambria"/>
                <w:color w:val="1A1A1A"/>
                <w:sz w:val="18"/>
              </w:rPr>
              <w:t xml:space="preserve">Collegamento: validare rispetto a misure esterne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Visualizzazione: comunicare il risultato in modo leggibile</w:t>
            </w:r>
          </w:p>
        </w:tc>
      </w:tr>
    </w:tbl>
    <w:p>
      <w:pPr>
        <w:pStyle w:val="BodyText"/>
      </w:pPr>
      <w:r>
        <w:rPr>
          <w:i/>
          <w:iCs/>
        </w:rPr>
        <w:t xml:space="preserve">Tabella L.3. I dieci passi per la costruzione degli indicatori compositi (OCSE-JRC).</w:t>
      </w:r>
    </w:p>
    <w:p>
      <w:pPr>
        <w:pStyle w:val="BodyText"/>
      </w:pPr>
      <w:r>
        <w:t xml:space="preserve">La sintesi si ancora a una cornice nazionale riconosciuta. Il sistema del Benessere Equo e Sostenibile dell’istituto nazionale di statistica articola il benessere in dodici domini con indici compositi, e la legge di riforma del bilancio ne ha allegati dodici indicatori ai documenti di programmazione economica, facendone la cornice nazionale di sintesi multidimensionale a cui il cruscotto regionale si ancora.</w:t>
      </w:r>
      <w:r>
        <w:rPr>
          <w:rStyle w:val="FootnoteReference"/>
        </w:rPr>
        <w:footnoteReference w:id="879"/>
      </w:r>
      <w:r>
        <w:t xml:space="preserve"> </w:t>
      </w:r>
      <w:r>
        <w:t xml:space="preserve">Un sistema a più strati, tuttavia, richiede regole che ne impediscano l’uso incoerente, e la principale è il divieto di doppia contabilizzazione: nel medesimo calcolo, una grandezza non può essere conteggiata più volte — come variabile semplice, come proprie ramificazioni e come componente di una misura complessa che già la incorpora; le variabili ramificate non si sommano tra loro né con la variabile-genitore, e le misure complesse sostituiscono, non si aggiungono a, le componenti che sintetizzano.</w:t>
      </w:r>
      <w:r>
        <w:rPr>
          <w:rStyle w:val="FootnoteReference"/>
        </w:rPr>
        <w:footnoteReference w:id="880"/>
      </w:r>
      <w:r>
        <w:t xml:space="preserve"> </w:t>
      </w:r>
      <w:r>
        <w:t xml:space="preserve">È la regola che rende affidabili i totali, e che protegge la sintesi dall’errore, frequente nelle valutazioni complesse, di gonfiare il valore contando più volte il medesimo effetto — lo stesso rigore che, nella Parte E, ha imposto di tenere distinti i risparmi diretti dalle ricadute sociali. Tutte queste misure confluiscono nel cruscotto dell’Osservatorio, che ne restituisce la lettura sintetica e periodica. Definito il sistema di misurazione, l’ultima parte dello studio ne organizza la sintesi valutativa e le raccomandazioni: è l’oggetto della Parte M.</w:t>
      </w:r>
    </w:p>
    <w:bookmarkEnd w:id="1793"/>
    <w:bookmarkEnd w:id="1794"/>
    <w:bookmarkEnd w:id="1795"/>
    <w:bookmarkStart w:id="1817" w:name="Xf0b398cc7c471b876bc1e7c65c8b491954aa7ff"/>
    <w:p>
      <w:pPr>
        <w:pStyle w:val="Heading2"/>
      </w:pPr>
      <w:r>
        <w:t xml:space="preserve">Parte M — Sintesi multidimensionale e raccomandazioni</w:t>
      </w:r>
    </w:p>
    <w:p>
      <w:pPr>
        <w:pStyle w:val="FirstParagraph"/>
      </w:pPr>
      <w:r>
        <w:t xml:space="preserve">Studio regionale Puglia · Parte M · Sintesi multidimensionale e raccomandazioni</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Griglia di valutazione OCSE-DAC, analisi multi-criterio, sintesi del valore e raccomandazioni, limiti e agenda di ricerca</w:t>
      </w:r>
    </w:p>
    <w:p>
      <w:pPr>
        <w:pStyle w:val="BodyText"/>
      </w:pPr>
      <w:r>
        <w:t xml:space="preserve">Criteri OCSE-DAC · caso strategico · analisi multi-criterio · cruscotto decisionale</w:t>
      </w:r>
    </w:p>
    <w:p>
      <w:pPr>
        <w:pStyle w:val="BodyText"/>
      </w:pPr>
      <w:r>
        <w:rPr>
          <w:b/>
          <w:bCs/>
        </w:rPr>
        <w:t xml:space="preserve">Indice</w:t>
      </w:r>
    </w:p>
    <w:bookmarkStart w:id="1816" w:name="X38a1f0086c5fe455a4b8d436dc12b63c57e52d8"/>
    <w:p>
      <w:pPr>
        <w:pStyle w:val="Heading3"/>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881"/>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1804" w:name="m.1-la-griglia-di-valutazione-ocse-dac"/>
    <w:p>
      <w:pPr>
        <w:pStyle w:val="Heading4"/>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 Essi operano in due momenti dello studio: ex ante orientano la valutazione complessiva, poiché ciascun criterio diventa una domanda a cui le parti analitiche forniscono la risposta; ex post strutturano la verifica dei risultati, già trattata nella Parte L.</w:t>
      </w:r>
      <w:r>
        <w:rPr>
          <w:rStyle w:val="FootnoteReference"/>
        </w:rPr>
        <w:footnoteReference w:id="882"/>
      </w:r>
      <w:r>
        <w:t xml:space="preserve"> </w:t>
      </w:r>
      <w:r>
        <w:t xml:space="preserve">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su tutti e sei i criteri. L’intervento è rilevante, perché risponde a un bisogno reale e di grande dimensione e all’obbligo di garantire i livelli essenziali;</w:t>
      </w:r>
      <w:r>
        <w:rPr>
          <w:rStyle w:val="FootnoteReference"/>
        </w:rPr>
        <w:footnoteReference w:id="883"/>
      </w:r>
      <w:r>
        <w:t xml:space="preserve"> </w:t>
      </w:r>
      <w:r>
        <w:t xml:space="preserve">è coerente, perché compatibile con gli standard dell’assistenza territoriale, con il PNRR e con la legge regionale, ed è costituzionalmente difendibile;</w:t>
      </w:r>
      <w:r>
        <w:rPr>
          <w:rStyle w:val="FootnoteReference"/>
        </w:rPr>
        <w:footnoteReference w:id="884"/>
      </w:r>
      <w:r>
        <w:t xml:space="preserve"> </w:t>
      </w:r>
      <w:r>
        <w:t xml:space="preserve">è efficace, perché l’evidenza internazionale ne documenta il raggiungimento degli obiettivi clinici;</w:t>
      </w:r>
      <w:r>
        <w:rPr>
          <w:rStyle w:val="FootnoteReference"/>
        </w:rPr>
        <w:footnoteReference w:id="885"/>
      </w:r>
      <w:r>
        <w:t xml:space="preserve"> </w:t>
      </w:r>
      <w:r>
        <w:t xml:space="preserve">è efficiente in termini di costo-utilità, pur con un saldo diretto prossimo al pareggio a fronte di un costo modesto;</w:t>
      </w:r>
      <w:r>
        <w:rPr>
          <w:rStyle w:val="FootnoteReference"/>
        </w:rPr>
        <w:footnoteReference w:id="886"/>
      </w:r>
      <w:r>
        <w:t xml:space="preserve"> </w:t>
      </w:r>
      <w:r>
        <w:t xml:space="preserve">ha un impatto distributivo favorevole e un ritorno complessivo di 3,6–5 a uno;</w:t>
      </w:r>
      <w:r>
        <w:rPr>
          <w:rStyle w:val="FootnoteReference"/>
        </w:rPr>
        <w:footnoteReference w:id="887"/>
      </w:r>
      <w:r>
        <w:t xml:space="preserve"> </w:t>
      </w:r>
      <w:r>
        <w:t xml:space="preserve">ed è sostenibile, sul piano finanziario e organizzativo.</w:t>
      </w:r>
      <w:r>
        <w:rPr>
          <w:rStyle w:val="FootnoteReference"/>
        </w:rPr>
        <w:footnoteReference w:id="888"/>
      </w:r>
      <w:r>
        <w:t xml:space="preserve"> </w:t>
      </w:r>
      <w:r>
        <w:t xml:space="preserve">La tabella seguente riepiloga il giudizio, criterio per criterio.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Domanda valutativa</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 dallo studio</w:t>
            </w:r>
          </w:p>
        </w:tc>
      </w:tr>
      <w:tr>
        <w:tc>
          <w:tcPr/>
          <w:p>
            <w:pPr>
              <w:pStyle w:val="Compact"/>
              <w:spacing w:after="40" w:before="40"/>
              <w:jc w:val="left"/>
            </w:pPr>
            <w:r>
              <w:rPr>
                <w:rFonts w:ascii="Cambria" w:hAnsi="Cambria" w:cs="Cambria" w:eastAsia="Cambria"/>
                <w:b/>
                <w:bCs/>
                <w:color w:val="1A1A1A"/>
                <w:sz w:val="18"/>
              </w:rPr>
              <w:t xml:space="preserve">Rilevanza</w:t>
            </w:r>
          </w:p>
        </w:tc>
        <w:tc>
          <w:tcPr/>
          <w:p>
            <w:pPr>
              <w:pStyle w:val="Compact"/>
              <w:spacing w:after="40" w:before="40"/>
              <w:jc w:val="left"/>
            </w:pPr>
            <w:r>
              <w:rPr>
                <w:rFonts w:ascii="Cambria" w:hAnsi="Cambria" w:cs="Cambria" w:eastAsia="Cambria"/>
                <w:color w:val="1A1A1A"/>
                <w:sz w:val="18"/>
              </w:rPr>
              <w:t xml:space="preserve">Risponde al bisogno reale?</w:t>
            </w:r>
          </w:p>
        </w:tc>
        <w:tc>
          <w:tcPr/>
          <w:p>
            <w:pPr>
              <w:pStyle w:val="Compact"/>
              <w:spacing w:after="40" w:before="40"/>
              <w:jc w:val="left"/>
            </w:pPr>
            <w:r>
              <w:rPr>
                <w:rFonts w:ascii="Cambria" w:hAnsi="Cambria" w:cs="Cambria" w:eastAsia="Cambria"/>
                <w:color w:val="1A1A1A"/>
                <w:sz w:val="18"/>
              </w:rPr>
              <w:t xml:space="preserve">Sì: ~780.000 con disagio inevaso; obbligo dei livelli essenziali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w:t>
            </w:r>
          </w:p>
        </w:tc>
        <w:tc>
          <w:tcPr>
            <w:shd w:val="clear" w:color="auto" w:fill="F4F1EC"/>
          </w:tcPr>
          <w:p>
            <w:pPr>
              <w:pStyle w:val="Compact"/>
              <w:spacing w:after="40" w:before="40"/>
              <w:jc w:val="left"/>
            </w:pPr>
            <w:r>
              <w:rPr>
                <w:rFonts w:ascii="Cambria" w:hAnsi="Cambria" w:cs="Cambria" w:eastAsia="Cambria"/>
                <w:color w:val="1A1A1A"/>
                <w:sz w:val="18"/>
              </w:rPr>
              <w:t xml:space="preserve">È compatibile con le altre politiche?</w:t>
            </w:r>
          </w:p>
        </w:tc>
        <w:tc>
          <w:tcPr>
            <w:shd w:val="clear" w:color="auto" w:fill="F4F1EC"/>
          </w:tcPr>
          <w:p>
            <w:pPr>
              <w:pStyle w:val="Compact"/>
              <w:spacing w:after="40" w:before="40"/>
              <w:jc w:val="left"/>
            </w:pPr>
            <w:r>
              <w:rPr>
                <w:rFonts w:ascii="Cambria" w:hAnsi="Cambria" w:cs="Cambria" w:eastAsia="Cambria"/>
                <w:color w:val="1A1A1A"/>
                <w:sz w:val="18"/>
              </w:rPr>
              <w:t xml:space="preserve">Sì: DM 77, PNRR, L.R. 11/2023; difendibile in Costituzione</w:t>
            </w:r>
          </w:p>
        </w:tc>
      </w:tr>
      <w:tr>
        <w:tc>
          <w:tcPr/>
          <w:p>
            <w:pPr>
              <w:pStyle w:val="Compact"/>
              <w:spacing w:after="40" w:before="40"/>
              <w:jc w:val="left"/>
            </w:pPr>
            <w:r>
              <w:rPr>
                <w:rFonts w:ascii="Cambria" w:hAnsi="Cambria" w:cs="Cambria" w:eastAsia="Cambria"/>
                <w:b/>
                <w:bCs/>
                <w:color w:val="1A1A1A"/>
                <w:sz w:val="18"/>
              </w:rPr>
              <w:t xml:space="preserve">Efficacia</w:t>
            </w:r>
          </w:p>
        </w:tc>
        <w:tc>
          <w:tcPr/>
          <w:p>
            <w:pPr>
              <w:pStyle w:val="Compact"/>
              <w:spacing w:after="40" w:before="40"/>
              <w:jc w:val="left"/>
            </w:pPr>
            <w:r>
              <w:rPr>
                <w:rFonts w:ascii="Cambria" w:hAnsi="Cambria" w:cs="Cambria" w:eastAsia="Cambria"/>
                <w:color w:val="1A1A1A"/>
                <w:sz w:val="18"/>
              </w:rPr>
              <w:t xml:space="preserve">Raggiunge gli obiettivi?</w:t>
            </w:r>
          </w:p>
        </w:tc>
        <w:tc>
          <w:tcPr/>
          <w:p>
            <w:pPr>
              <w:pStyle w:val="Compact"/>
              <w:spacing w:after="40" w:before="40"/>
              <w:jc w:val="left"/>
            </w:pPr>
            <w:r>
              <w:rPr>
                <w:rFonts w:ascii="Cambria" w:hAnsi="Cambria" w:cs="Cambria" w:eastAsia="Cambria"/>
                <w:color w:val="1A1A1A"/>
                <w:sz w:val="18"/>
              </w:rPr>
              <w:t xml:space="preserve">Sì: evidenza internazionale (recupero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Efficienza</w:t>
            </w:r>
          </w:p>
        </w:tc>
        <w:tc>
          <w:tcPr>
            <w:shd w:val="clear" w:color="auto" w:fill="F4F1EC"/>
          </w:tcPr>
          <w:p>
            <w:pPr>
              <w:pStyle w:val="Compact"/>
              <w:spacing w:after="40" w:before="40"/>
              <w:jc w:val="left"/>
            </w:pPr>
            <w:r>
              <w:rPr>
                <w:rFonts w:ascii="Cambria" w:hAnsi="Cambria" w:cs="Cambria" w:eastAsia="Cambria"/>
                <w:color w:val="1A1A1A"/>
                <w:sz w:val="18"/>
              </w:rPr>
              <w:t xml:space="preserve">Impiega le risorse in modo proporzionato?</w:t>
            </w:r>
          </w:p>
        </w:tc>
        <w:tc>
          <w:tcPr>
            <w:shd w:val="clear" w:color="auto" w:fill="F4F1EC"/>
          </w:tcPr>
          <w:p>
            <w:pPr>
              <w:pStyle w:val="Compact"/>
              <w:spacing w:after="40" w:before="40"/>
              <w:jc w:val="left"/>
            </w:pPr>
            <w:r>
              <w:rPr>
                <w:rFonts w:ascii="Cambria" w:hAnsi="Cambria" w:cs="Cambria" w:eastAsia="Cambria"/>
                <w:color w:val="1A1A1A"/>
                <w:sz w:val="18"/>
              </w:rPr>
              <w:t xml:space="preserve">Sì in costo-utilità; saldo diretto ~pareggio a costo modesto</w:t>
            </w:r>
          </w:p>
        </w:tc>
      </w:tr>
      <w:tr>
        <w:tc>
          <w:tcPr/>
          <w:p>
            <w:pPr>
              <w:pStyle w:val="Compact"/>
              <w:spacing w:after="40" w:before="40"/>
              <w:jc w:val="left"/>
            </w:pPr>
            <w:r>
              <w:rPr>
                <w:rFonts w:ascii="Cambria" w:hAnsi="Cambria" w:cs="Cambria" w:eastAsia="Cambria"/>
                <w:b/>
                <w:bCs/>
                <w:color w:val="1A1A1A"/>
                <w:sz w:val="18"/>
              </w:rPr>
              <w:t xml:space="preserve">Impatto</w:t>
            </w:r>
          </w:p>
        </w:tc>
        <w:tc>
          <w:tcPr/>
          <w:p>
            <w:pPr>
              <w:pStyle w:val="Compact"/>
              <w:spacing w:after="40" w:before="40"/>
              <w:jc w:val="left"/>
            </w:pPr>
            <w:r>
              <w:rPr>
                <w:rFonts w:ascii="Cambria" w:hAnsi="Cambria" w:cs="Cambria" w:eastAsia="Cambria"/>
                <w:color w:val="1A1A1A"/>
                <w:sz w:val="18"/>
              </w:rPr>
              <w:t xml:space="preserve">Produce effetti più ampi?</w:t>
            </w:r>
          </w:p>
        </w:tc>
        <w:tc>
          <w:tcPr/>
          <w:p>
            <w:pPr>
              <w:pStyle w:val="Compact"/>
              <w:spacing w:after="40" w:before="40"/>
              <w:jc w:val="left"/>
            </w:pPr>
            <w:r>
              <w:rPr>
                <w:rFonts w:ascii="Cambria" w:hAnsi="Cambria" w:cs="Cambria" w:eastAsia="Cambria"/>
                <w:color w:val="1A1A1A"/>
                <w:sz w:val="18"/>
              </w:rPr>
              <w:t xml:space="preserve">Sì: riduce il gradiente sociale; ritorno complessivo 3,6–5:1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Sostenibilità</w:t>
            </w:r>
          </w:p>
        </w:tc>
        <w:tc>
          <w:tcPr>
            <w:shd w:val="clear" w:color="auto" w:fill="F4F1EC"/>
          </w:tcPr>
          <w:p>
            <w:pPr>
              <w:pStyle w:val="Compact"/>
              <w:spacing w:after="40" w:before="40"/>
              <w:jc w:val="left"/>
            </w:pPr>
            <w:r>
              <w:rPr>
                <w:rFonts w:ascii="Cambria" w:hAnsi="Cambria" w:cs="Cambria" w:eastAsia="Cambria"/>
                <w:color w:val="1A1A1A"/>
                <w:sz w:val="18"/>
              </w:rPr>
              <w:t xml:space="preserve">I benefici e il servizio durano?</w:t>
            </w:r>
          </w:p>
        </w:tc>
        <w:tc>
          <w:tcPr>
            <w:shd w:val="clear" w:color="auto" w:fill="F4F1EC"/>
          </w:tcPr>
          <w:p>
            <w:pPr>
              <w:pStyle w:val="Compact"/>
              <w:spacing w:after="40" w:before="40"/>
              <w:jc w:val="left"/>
            </w:pPr>
            <w:r>
              <w:rPr>
                <w:rFonts w:ascii="Cambria" w:hAnsi="Cambria" w:cs="Cambria" w:eastAsia="Cambria"/>
                <w:color w:val="1A1A1A"/>
                <w:sz w:val="18"/>
              </w:rPr>
              <w:t xml:space="preserve">Sì: costo modesto, coperture, pareggio anno 3–5</w:t>
            </w:r>
          </w:p>
        </w:tc>
      </w:tr>
    </w:tbl>
    <w:p>
      <w:pPr>
        <w:pStyle w:val="BodyText"/>
      </w:pPr>
      <w:r>
        <w:rPr>
          <w:i/>
          <w:iCs/>
        </w:rPr>
        <w:t xml:space="preserve">Tabella M.1. La griglia di giudizio OCSE-DAC applicata allo studio, criterio per criterio.</w:t>
      </w:r>
    </w:p>
    <w:bookmarkEnd w:id="1804"/>
    <w:bookmarkStart w:id="1807" w:name="m.2-lanalisi-multi-criterio"/>
    <w:p>
      <w:pPr>
        <w:pStyle w:val="Heading4"/>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889"/>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di 83 su 100 contro 39,25 dell’opzione zero, e prevale su tutti i criteri a eccezione della sola fattibilità immediata, nella quale l’opzione zero — che non richiede alcuna attuazione — è ovviamente superiore, ma il cui svantaggio è gestito attraverso il dispiegamento graduale.</w:t>
      </w:r>
      <w:r>
        <w:rPr>
          <w:rStyle w:val="FootnoteReference"/>
        </w:rPr>
        <w:footnoteReference w:id="890"/>
      </w:r>
      <w:r>
        <w:t xml:space="preserve"> </w:t>
      </w:r>
      <w:r>
        <w:t xml:space="preserve">L’esito è stabile rispetto ai pesi adottati, ossia non dipende in modo critico dalla particolare ponderazione scelta: anche modificando i pesi entro intervalli ragionevoli, la preferenza per l’opzione di intervento si conferma. La tabella seguente riporta la matrice delle prestazioni.</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w:t>
            </w:r>
          </w:p>
        </w:tc>
        <w:tc>
          <w:tcPr>
            <w:shd w:val="clear" w:color="auto" w:fill="16264B"/>
          </w:tcPr>
          <w:p>
            <w:pPr>
              <w:pStyle w:val="Compact"/>
              <w:spacing w:after="40" w:before="40"/>
              <w:jc w:val="left"/>
            </w:pPr>
            <w:r>
              <w:rPr>
                <w:rFonts w:ascii="Cambria" w:hAnsi="Cambria" w:cs="Cambria" w:eastAsia="Cambria"/>
                <w:b/>
                <w:bCs/>
                <w:color w:val="FFFFFF"/>
                <w:sz w:val="18"/>
              </w:rPr>
              <w:t xml:space="preserve">Opz. zero</w:t>
            </w:r>
          </w:p>
        </w:tc>
        <w:tc>
          <w:tcPr>
            <w:shd w:val="clear" w:color="auto" w:fill="16264B"/>
          </w:tcPr>
          <w:p>
            <w:pPr>
              <w:pStyle w:val="Compact"/>
              <w:spacing w:after="40" w:before="40"/>
              <w:jc w:val="left"/>
            </w:pPr>
            <w:r>
              <w:rPr>
                <w:rFonts w:ascii="Cambria" w:hAnsi="Cambria" w:cs="Cambria" w:eastAsia="Cambria"/>
                <w:b/>
                <w:bCs/>
                <w:color w:val="FFFFFF"/>
                <w:sz w:val="18"/>
              </w:rPr>
              <w:t xml:space="preserve">Δ pond.</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30</w:t>
            </w:r>
          </w:p>
        </w:tc>
        <w:tc>
          <w:tcPr/>
          <w:p>
            <w:pPr>
              <w:pStyle w:val="Compact"/>
              <w:spacing w:after="40" w:before="40"/>
              <w:jc w:val="left"/>
            </w:pPr>
            <w:r>
              <w:rPr>
                <w:rFonts w:ascii="Cambria" w:hAnsi="Cambria" w:cs="Cambria" w:eastAsia="Cambria"/>
                <w:color w:val="1A1A1A"/>
                <w:sz w:val="18"/>
              </w:rPr>
              <w:t xml:space="preserve">+7,5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90</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+13,0</w:t>
            </w:r>
          </w:p>
        </w:tc>
      </w:tr>
      <w:tr>
        <w:tc>
          <w:tcPr/>
          <w:p>
            <w:pPr>
              <w:pStyle w:val="Compact"/>
              <w:spacing w:after="40" w:before="40"/>
              <w:jc w:val="left"/>
            </w:pPr>
            <w:r>
              <w:rPr>
                <w:rFonts w:ascii="Cambria" w:hAnsi="Cambria" w:cs="Cambria" w:eastAsia="Cambria"/>
                <w:b/>
                <w:bCs/>
                <w:color w:val="1A1A1A"/>
                <w:sz w:val="18"/>
              </w:rPr>
              <w:t xml:space="preserve">Impatto di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50</w:t>
            </w:r>
          </w:p>
        </w:tc>
        <w:tc>
          <w:tcPr/>
          <w:p>
            <w:pPr>
              <w:pStyle w:val="Compact"/>
              <w:spacing w:after="40" w:before="40"/>
              <w:jc w:val="left"/>
            </w:pPr>
            <w:r>
              <w:rPr>
                <w:rFonts w:ascii="Cambria" w:hAnsi="Cambria" w:cs="Cambria" w:eastAsia="Cambria"/>
                <w:color w:val="1A1A1A"/>
                <w:sz w:val="18"/>
              </w:rPr>
              <w:t xml:space="preserve">+4,5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 e accesso (Mezzogiorno)</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90</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+10,5</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85</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+6,5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 e implementabilità</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70</w:t>
            </w:r>
          </w:p>
        </w:tc>
        <w:tc>
          <w:tcPr>
            <w:shd w:val="clear" w:color="auto" w:fill="F4F1EC"/>
          </w:tcPr>
          <w:p>
            <w:pPr>
              <w:pStyle w:val="Compact"/>
              <w:spacing w:after="40" w:before="40"/>
              <w:jc w:val="left"/>
            </w:pPr>
            <w:r>
              <w:rPr>
                <w:rFonts w:ascii="Cambria" w:hAnsi="Cambria" w:cs="Cambria" w:eastAsia="Cambria"/>
                <w:color w:val="1A1A1A"/>
                <w:sz w:val="18"/>
              </w:rPr>
              <w:t xml:space="preserve">100</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r>
      <w:tr>
        <w:tc>
          <w:tcPr/>
          <w:p>
            <w:pPr>
              <w:pStyle w:val="Compact"/>
              <w:spacing w:after="40" w:before="40"/>
              <w:jc w:val="left"/>
            </w:pPr>
            <w:r>
              <w:rPr>
                <w:rFonts w:ascii="Cambria" w:hAnsi="Cambria" w:cs="Cambria" w:eastAsia="Cambria"/>
                <w:b/>
                <w:bCs/>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75</w:t>
            </w:r>
          </w:p>
        </w:tc>
        <w:tc>
          <w:tcPr/>
          <w:p>
            <w:pPr>
              <w:pStyle w:val="Compact"/>
              <w:spacing w:after="40" w:before="40"/>
              <w:jc w:val="left"/>
            </w:pPr>
            <w:r>
              <w:rPr>
                <w:rFonts w:ascii="Cambria" w:hAnsi="Cambria" w:cs="Cambria" w:eastAsia="Cambria"/>
                <w:color w:val="1A1A1A"/>
                <w:sz w:val="18"/>
              </w:rPr>
              <w:t xml:space="preserve">60</w:t>
            </w:r>
          </w:p>
        </w:tc>
        <w:tc>
          <w:tcPr/>
          <w:p>
            <w:pPr>
              <w:pStyle w:val="Compact"/>
              <w:spacing w:after="40" w:before="40"/>
              <w:jc w:val="left"/>
            </w:pPr>
            <w:r>
              <w:rPr>
                <w:rFonts w:ascii="Cambria" w:hAnsi="Cambria" w:cs="Cambria" w:eastAsia="Cambria"/>
                <w:color w:val="1A1A1A"/>
                <w:sz w:val="18"/>
              </w:rPr>
              <w:t xml:space="preserve">+1,5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 (DM 77, PNRR)</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90</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+3,25</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83,0</w:t>
            </w:r>
          </w:p>
        </w:tc>
        <w:tc>
          <w:tcPr/>
          <w:p>
            <w:pPr>
              <w:pStyle w:val="Compact"/>
              <w:spacing w:after="40" w:before="40"/>
              <w:jc w:val="left"/>
            </w:pPr>
            <w:r>
              <w:rPr>
                <w:rFonts w:ascii="Cambria" w:hAnsi="Cambria" w:cs="Cambria" w:eastAsia="Cambria"/>
                <w:color w:val="1A1A1A"/>
                <w:sz w:val="18"/>
              </w:rPr>
              <w:t xml:space="preserve">39,25</w:t>
            </w:r>
          </w:p>
        </w:tc>
        <w:tc>
          <w:tcPr/>
          <w:p>
            <w:pPr>
              <w:pStyle w:val="Compact"/>
              <w:spacing w:after="40" w:before="40"/>
              <w:jc w:val="left"/>
            </w:pPr>
            <w:r>
              <w:rPr>
                <w:rFonts w:ascii="Cambria" w:hAnsi="Cambria" w:cs="Cambria" w:eastAsia="Cambria"/>
                <w:color w:val="1A1A1A"/>
                <w:sz w:val="18"/>
              </w:rPr>
              <w:t xml:space="preserve">+43,75</w:t>
            </w:r>
          </w:p>
        </w:tc>
      </w:tr>
    </w:tbl>
    <w:p>
      <w:pPr>
        <w:pStyle w:val="BodyText"/>
      </w:pPr>
      <w:r>
        <w:rPr>
          <w:i/>
          <w:iCs/>
        </w:rPr>
        <w:t xml:space="preserve">Tabella M.2. Analisi multi-criterio: confronto tra l</w:t>
      </w:r>
      <w:r>
        <w:rPr>
          <w:b/>
          <w:bCs/>
          <w:i/>
          <w:iCs/>
        </w:rPr>
        <w:t xml:space="preserve">‘</w:t>
      </w:r>
      <w:r>
        <w:rPr>
          <w:b/>
          <w:b/>
          <w:bCs/>
          <w:bCs/>
          <w:i/>
          <w:iCs/>
        </w:rPr>
        <w:t xml:space="preserve">opzione di intervento e l</w:t>
      </w:r>
      <w:r>
        <w:rPr>
          <w:b/>
          <w:bCs/>
          <w:i/>
          <w:iCs/>
        </w:rPr>
        <w:t xml:space="preserve">’</w:t>
      </w:r>
      <w:r>
        <w:rPr>
          <w:i/>
          <w:iCs/>
        </w:rPr>
        <w:t xml:space="preserve">opzione zero su otto criteri pesati.</w:t>
      </w:r>
    </w:p>
    <w:bookmarkEnd w:id="1807"/>
    <w:bookmarkStart w:id="1811" w:name="Xe65573820279b61d6cd1fe809fc5d50d2df6c3f"/>
    <w:p>
      <w:pPr>
        <w:pStyle w:val="Heading4"/>
      </w:pPr>
      <w:r>
        <w:t xml:space="preserve">M.3 La sintesi del valore e le raccomandazioni</w:t>
      </w:r>
    </w:p>
    <w:p>
      <w:pPr>
        <w:pStyle w:val="FirstParagraph"/>
      </w:pPr>
      <w:r>
        <w:t xml:space="preserve">La sintesi del valore ricompone, per il decisore, l’intero studio in poche affermazioni difendibili. Tre conclusioni emergono con nettezza, e costituiscono il cruscotto decisionale. In primo luogo, il servizio costa al bilancio sanitario una cifra modesta e quasi interamente compensata dai risparmi diretti che esso stesso genera. In secondo luogo, restituisce alla collettività un valore dell’ordine di quattro euro per ogni euro speso, comprensivo delle ricadute sociali. In terzo luogo, adempie all’obbligo di garantire i livelli essenziali, intercettando un bisogno largamente inevaso.</w:t>
      </w:r>
      <w:r>
        <w:rPr>
          <w:rStyle w:val="FootnoteReference"/>
        </w:rPr>
        <w:footnoteReference w:id="891"/>
      </w:r>
      <w:r>
        <w:t xml:space="preserve"> </w:t>
      </w:r>
      <w:r>
        <w:t xml:space="preserve">Sono tre affermazioni congiunte e graduate: la prima parla alla sostenibilità, la seconda al valore, la terza al dovere costituzionale; e insieme costituiscono una tesi più solida di quella, più facile ma fragile, di un grande risparmio per il bilancio. Il quadro economico consolidato è riepilogato nella tabella seguente.</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20</w:t>
            </w:r>
          </w:p>
        </w:tc>
        <w:tc>
          <w:tcPr/>
          <w:p>
            <w:pPr>
              <w:pStyle w:val="Compact"/>
              <w:spacing w:after="40" w:before="40"/>
              <w:jc w:val="left"/>
            </w:pPr>
            <w:r>
              <w:rPr>
                <w:rFonts w:ascii="Cambria" w:hAnsi="Cambria" w:cs="Cambria" w:eastAsia="Cambria"/>
                <w:color w:val="1A1A1A"/>
                <w:sz w:val="18"/>
              </w:rPr>
              <w:t xml:space="preserve">~ 34</w:t>
            </w:r>
          </w:p>
        </w:tc>
        <w:tc>
          <w:tcPr/>
          <w:p>
            <w:pPr>
              <w:pStyle w:val="Compact"/>
              <w:spacing w:after="40" w:before="40"/>
              <w:jc w:val="left"/>
            </w:pPr>
            <w:r>
              <w:rPr>
                <w:rFonts w:ascii="Cambria" w:hAnsi="Cambria" w:cs="Cambria" w:eastAsia="Cambria"/>
                <w:color w:val="1A1A1A"/>
                <w:sz w:val="18"/>
              </w:rPr>
              <w:t xml:space="preserve">~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70</w:t>
            </w:r>
          </w:p>
        </w:tc>
        <w:tc>
          <w:tcPr>
            <w:shd w:val="clear" w:color="auto" w:fill="F4F1EC"/>
          </w:tcPr>
          <w:p>
            <w:pPr>
              <w:pStyle w:val="Compact"/>
              <w:spacing w:after="40" w:before="40"/>
              <w:jc w:val="left"/>
            </w:pPr>
            <w:r>
              <w:rPr>
                <w:rFonts w:ascii="Cambria" w:hAnsi="Cambria" w:cs="Cambria" w:eastAsia="Cambria"/>
                <w:color w:val="1A1A1A"/>
                <w:sz w:val="18"/>
              </w:rPr>
              <w:t xml:space="preserve">~ 130</w:t>
            </w:r>
          </w:p>
        </w:tc>
        <w:tc>
          <w:tcPr>
            <w:shd w:val="clear" w:color="auto" w:fill="F4F1EC"/>
          </w:tcPr>
          <w:p>
            <w:pPr>
              <w:pStyle w:val="Compact"/>
              <w:spacing w:after="40" w:before="40"/>
              <w:jc w:val="left"/>
            </w:pPr>
            <w:r>
              <w:rPr>
                <w:rFonts w:ascii="Cambria" w:hAnsi="Cambria" w:cs="Cambria" w:eastAsia="Cambria"/>
                <w:color w:val="1A1A1A"/>
                <w:sz w:val="18"/>
              </w:rPr>
              <w:t xml:space="preserve">~ 200</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25</w:t>
            </w:r>
          </w:p>
        </w:tc>
        <w:tc>
          <w:tcPr/>
          <w:p>
            <w:pPr>
              <w:pStyle w:val="Compact"/>
              <w:spacing w:after="40" w:before="40"/>
              <w:jc w:val="left"/>
            </w:pPr>
            <w:r>
              <w:rPr>
                <w:rFonts w:ascii="Cambria" w:hAnsi="Cambria" w:cs="Cambria" w:eastAsia="Cambria"/>
                <w:color w:val="1A1A1A"/>
                <w:sz w:val="18"/>
              </w:rPr>
              <w:t xml:space="preserve">~ 38</w:t>
            </w:r>
          </w:p>
        </w:tc>
        <w:tc>
          <w:tcPr/>
          <w:p>
            <w:pPr>
              <w:pStyle w:val="Compact"/>
              <w:spacing w:after="40" w:before="40"/>
              <w:jc w:val="left"/>
            </w:pPr>
            <w:r>
              <w:rPr>
                <w:rFonts w:ascii="Cambria" w:hAnsi="Cambria" w:cs="Cambria" w:eastAsia="Cambria"/>
                <w:color w:val="1A1A1A"/>
                <w:sz w:val="18"/>
              </w:rPr>
              <w:t xml:space="preserve">~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−5</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0</w:t>
            </w:r>
          </w:p>
        </w:tc>
      </w:tr>
      <w:tr>
        <w:tc>
          <w:tcPr/>
          <w:p>
            <w:pPr>
              <w:pStyle w:val="Compact"/>
              <w:spacing w:after="40" w:before="40"/>
              <w:jc w:val="left"/>
            </w:pPr>
            <w:r>
              <w:rPr>
                <w:rFonts w:ascii="Cambria" w:hAnsi="Cambria" w:cs="Cambria" w:eastAsia="Cambria"/>
                <w:b/>
                <w:bCs/>
                <w:color w:val="1A1A1A"/>
                <w:sz w:val="18"/>
              </w:rPr>
              <w:t xml:space="preserve">Saldo complessivo — caso economico</w:t>
            </w:r>
          </w:p>
        </w:tc>
        <w:tc>
          <w:tcPr/>
          <w:p>
            <w:pPr>
              <w:pStyle w:val="Compact"/>
              <w:spacing w:after="40" w:before="40"/>
              <w:jc w:val="left"/>
            </w:pPr>
            <w:r>
              <w:rPr>
                <w:rFonts w:ascii="Cambria" w:hAnsi="Cambria" w:cs="Cambria" w:eastAsia="Cambria"/>
                <w:color w:val="1A1A1A"/>
                <w:sz w:val="18"/>
              </w:rPr>
              <w:t xml:space="preserve">+65</w:t>
            </w:r>
          </w:p>
        </w:tc>
        <w:tc>
          <w:tcPr/>
          <w:p>
            <w:pPr>
              <w:pStyle w:val="Compact"/>
              <w:spacing w:after="40" w:before="40"/>
              <w:jc w:val="left"/>
            </w:pPr>
            <w:r>
              <w:rPr>
                <w:rFonts w:ascii="Cambria" w:hAnsi="Cambria" w:cs="Cambria" w:eastAsia="Cambria"/>
                <w:color w:val="1A1A1A"/>
                <w:sz w:val="18"/>
              </w:rPr>
              <w:t xml:space="preserve">+126</w:t>
            </w:r>
          </w:p>
        </w:tc>
        <w:tc>
          <w:tcPr/>
          <w:p>
            <w:pPr>
              <w:pStyle w:val="Compact"/>
              <w:spacing w:after="40" w:before="40"/>
              <w:jc w:val="left"/>
            </w:pPr>
            <w:r>
              <w:rPr>
                <w:rFonts w:ascii="Cambria" w:hAnsi="Cambria" w:cs="Cambria" w:eastAsia="Cambria"/>
                <w:color w:val="1A1A1A"/>
                <w:sz w:val="18"/>
              </w:rPr>
              <w:t xml:space="preserve">+200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~3,6:1</w:t>
            </w:r>
          </w:p>
        </w:tc>
        <w:tc>
          <w:tcPr>
            <w:shd w:val="clear" w:color="auto" w:fill="F4F1EC"/>
          </w:tcPr>
          <w:p>
            <w:pPr>
              <w:pStyle w:val="Compact"/>
              <w:spacing w:after="40" w:before="40"/>
              <w:jc w:val="left"/>
            </w:pPr>
            <w:r>
              <w:rPr>
                <w:rFonts w:ascii="Cambria" w:hAnsi="Cambria" w:cs="Cambria" w:eastAsia="Cambria"/>
                <w:color w:val="1A1A1A"/>
                <w:sz w:val="18"/>
              </w:rPr>
              <w:t xml:space="preserve">~4,3:1</w:t>
            </w:r>
          </w:p>
        </w:tc>
        <w:tc>
          <w:tcPr>
            <w:shd w:val="clear" w:color="auto" w:fill="F4F1EC"/>
          </w:tcPr>
          <w:p>
            <w:pPr>
              <w:pStyle w:val="Compact"/>
              <w:spacing w:after="40" w:before="40"/>
              <w:jc w:val="left"/>
            </w:pPr>
            <w:r>
              <w:rPr>
                <w:rFonts w:ascii="Cambria" w:hAnsi="Cambria" w:cs="Cambria" w:eastAsia="Cambria"/>
                <w:color w:val="1A1A1A"/>
                <w:sz w:val="18"/>
              </w:rPr>
              <w:t xml:space="preserve">~5,0:1</w:t>
            </w:r>
          </w:p>
        </w:tc>
      </w:tr>
    </w:tbl>
    <w:p>
      <w:pPr>
        <w:pStyle w:val="BodyText"/>
      </w:pPr>
      <w:r>
        <w:rPr>
          <w:i/>
          <w:iCs/>
        </w:rPr>
        <w:t xml:space="preserve">Tabella M.3. Il quadro economico consolidato per scenario (sintesi della Parte E).</w:t>
      </w:r>
    </w:p>
    <w:p>
      <w:pPr>
        <w:pStyle w:val="BodyText"/>
      </w:pPr>
      <w:r>
        <w:t xml:space="preserve">Da questa sintesi discende la raccomandazione centrale, che è anche la più specifica al caso pugliese. La decisione rilevante non è se istituire il servizio — già istituito con la legge regionale n. 11/2023, prima in Italia — ma se dimensionarlo: la Puglia dispone già dello strumento legislativo, ma lo finanzia a una scala che copre circa il 5% del fabbisogno. La raccomandazione è dunque di scalare progressivamente il servizio dalla copertura attuale verso gli 800–900 psicologi a regime, attraverso il dispiegamento graduale descritto nella Parte I e l’acquisizione dei dati certificati descritta nella Parte L.</w:t>
      </w:r>
      <w:r>
        <w:rPr>
          <w:rStyle w:val="FootnoteReference"/>
        </w:rPr>
        <w:footnoteReference w:id="892"/>
      </w:r>
      <w:r>
        <w:t xml:space="preserve"> </w:t>
      </w:r>
      <w:r>
        <w:t xml:space="preserve">La sintesi, infine, può essere letta lungo le cinque dimensioni del benessere — l’esito di salute, l’esperienza di cura, il costo, il benessere dei professionisti e l’equità — a conferma che il valore dell’intervento non si esaurisce in alcuna singola dimensione.</w:t>
      </w:r>
      <w:r>
        <w:rPr>
          <w:rStyle w:val="FootnoteReference"/>
        </w:rPr>
        <w:footnoteReference w:id="893"/>
      </w:r>
    </w:p>
    <w:bookmarkEnd w:id="1811"/>
    <w:bookmarkStart w:id="1815" w:name="m.4-i-limiti-e-lagenda-di-ricerca"/>
    <w:p>
      <w:pPr>
        <w:pStyle w:val="Heading4"/>
      </w:pPr>
      <w:r>
        <w:t xml:space="preserve">M.4 I limiti e l’agenda di ricerca</w:t>
      </w:r>
    </w:p>
    <w:p>
      <w:pPr>
        <w:pStyle w:val="FirstParagraph"/>
      </w:pPr>
      <w:r>
        <w:t xml:space="preserve">Uno studio difendibile dichiara i propri limiti con la stessa cura con cui espone i propri risultati, e questa parte conclusiva lo fa senza attenuazioni. Il limite principale non è di disegno, ma di radicamento nei dati: le grandezze economiche dello studio sono in parte ricostruite a partire dai conti nazionali, scalati per la quota di popolazione regionale — circa il 6,6% — anziché estratte dai conti regionali certificati.</w:t>
      </w:r>
      <w:r>
        <w:rPr>
          <w:rStyle w:val="FootnoteReference"/>
        </w:rPr>
        <w:footnoteReference w:id="894"/>
      </w:r>
      <w:r>
        <w:t xml:space="preserve"> </w:t>
      </w:r>
      <w:r>
        <w:t xml:space="preserve">È la lacuna più importante da risolvere prima della presentazione esterna, e investe segnatamente i parametri dei canali dei ricoveri, della specialistica e della mobilità, che restano in parte stimati. A questo si aggiungono cautele di fonte e di trasferibilità: alcuni risultati italiani provengono da letteratura grigia e da campioni limitati, i benchmark esteri richiedono prudenza nel trasferimento, e la stessa sintesi del ritorno «quattro a uno» dell’Organizzazione mondiale della sanità è una semplificazione, i cui intervalli reali — da 2,3–3,0 a uno per i soli benefici economici a 3,3–5,7 a uno con i ritorni di salute — confermano peraltro il rapporto consolidato adottato.</w:t>
      </w:r>
      <w:r>
        <w:rPr>
          <w:rStyle w:val="FootnoteReference"/>
        </w:rPr>
        <w:footnoteReference w:id="895"/>
      </w:r>
    </w:p>
    <w:p>
      <w:pPr>
        <w:pStyle w:val="BodyText"/>
      </w:pPr>
      <w:r>
        <w:t xml:space="preserve">Da questi limiti discende, in modo diretto, l’agenda di ricerca, già orientata dal valore dell’informazione della Parte F. L’investimento conoscitivo prioritario è l’acquisizione dei dati regionali certificati presso l’agenzia regionale e le aziende sanitarie — le schede di dimissione per disturbi psichici, la composizione della mobilità passiva per disciplina e la spesa farmaceutica per categoria — che consentirà di sostituire le assunzioni con misure puntuali. A esso segue la verifica empirica degli effetti, attraverso il dispiegamento scaglionato e la differenza-nelle-differenze descritti nella Parte L, e la verifica ex post della norma.</w:t>
      </w:r>
      <w:r>
        <w:rPr>
          <w:rStyle w:val="FootnoteReference"/>
        </w:rPr>
        <w:footnoteReference w:id="896"/>
      </w:r>
      <w:r>
        <w:t xml:space="preserve"> </w:t>
      </w:r>
      <w:r>
        <w:t xml:space="preserve">Va detto, in conclusione, che la dichiarazione di questi limiti non indebolisce lo studio, ma lo rafforza: una valutazione che distingue ciò che è documentato da ciò che è ancora stimato, e che indica la via per colmare la distanza, è più credibile di una che pretenda una certezza che i dati non consentono. Con questa sintesi e con questa agenda si chiude lo studio integrale per la Puglia: un’architettura completa, che attende dai dati certificati e dalla misurazione sul campo la propria conferma definitiva, e che in tale attesa fornisce già al decisore un fondamento ordinato, trasparente e difendibile.</w:t>
      </w:r>
    </w:p>
    <w:bookmarkEnd w:id="1815"/>
    <w:bookmarkEnd w:id="1816"/>
    <w:bookmarkEnd w:id="1817"/>
    <w:bookmarkStart w:id="1834" w:name="appendici-ae-dello-studio-hta"/>
    <w:p>
      <w:pPr>
        <w:pStyle w:val="Heading2"/>
      </w:pPr>
      <w:r>
        <w:t xml:space="preserve">Appendici A–E dello studio HTA</w:t>
      </w:r>
    </w:p>
    <w:p>
      <w:pPr>
        <w:pStyle w:val="FirstParagraph"/>
      </w:pPr>
      <w:r>
        <w:t xml:space="preserve">Studio regionale Puglia · Appendici A-E · Materiale di riferimento</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Appendici</w:t>
      </w:r>
    </w:p>
    <w:p>
      <w:pPr>
        <w:pStyle w:val="BodyText"/>
      </w:pPr>
      <w:r>
        <w:rPr>
          <w:b/>
          <w:bCs/>
        </w:rPr>
        <w:t xml:space="preserve">A – E</w:t>
      </w:r>
    </w:p>
    <w:p>
      <w:pPr>
        <w:pStyle w:val="BodyText"/>
      </w:pPr>
      <w:r>
        <w:rPr>
          <w:i/>
          <w:iCs/>
        </w:rPr>
        <w:t xml:space="preserve">Caso di riferimento e parametri, strumenti di esito e dataset minimo, dati regionali e fonti, checklist di reporting, glossario</w:t>
      </w:r>
    </w:p>
    <w:p>
      <w:pPr>
        <w:pStyle w:val="BodyText"/>
      </w:pPr>
      <w:r>
        <w:t xml:space="preserve">Materiale di riferimento dello studio integrale · trasparenza e riproducibilità</w:t>
      </w:r>
    </w:p>
    <w:p>
      <w:pPr>
        <w:pStyle w:val="BodyText"/>
      </w:pPr>
      <w:r>
        <w:rPr>
          <w:b/>
          <w:bCs/>
        </w:rPr>
        <w:t xml:space="preserve">Indice</w:t>
      </w:r>
    </w:p>
    <w:p>
      <w:pPr>
        <w:pStyle w:val="BodyText"/>
      </w:pPr>
      <w:r>
        <w:t xml:space="preserve">Le appendici che seguono raccolgono il materiale di riferimento dello studio integrale per la Puglia, sviluppato nelle Parti A-M, e ne costituiscono il corredo documentale. La loro funzione non è argomentativa, ma di trasparenza e di riproducibilità: esse rendono esplicite le scelte, i parametri, le fonti e gli strumenti su cui lo studio si fonda, affinché ogni risultato possa essere verificato e replicato.</w:t>
      </w:r>
      <w:r>
        <w:rPr>
          <w:rStyle w:val="FootnoteReference"/>
        </w:rPr>
        <w:footnoteReference w:id="897"/>
      </w:r>
      <w:r>
        <w:t xml:space="preserve"> </w:t>
      </w:r>
      <w:r>
        <w:t xml:space="preserve">Le cinque appendici sono dedicate, nell’ordine, al caso di riferimento e ai parametri (A), agli strumenti di esito e al dataset minimo (B), ai dati regionali e alle fonti (C), alle liste di controllo del reporting (D) e al glossario dei termini tecnici (E).</w:t>
      </w:r>
    </w:p>
    <w:bookmarkStart w:id="1822" w:name="X74ec8db6a1efcb357ab68e8bc77d0191cdef466"/>
    <w:p>
      <w:pPr>
        <w:pStyle w:val="Heading3"/>
      </w:pPr>
      <w:r>
        <w:t xml:space="preserve">Appendice A — Caso di riferimento e parametri</w:t>
      </w:r>
    </w:p>
    <w:p>
      <w:pPr>
        <w:pStyle w:val="FirstParagraph"/>
      </w:pPr>
      <w:r>
        <w:t xml:space="preserve">Il caso di riferimento è l’insieme delle scelte metodologiche di base che, fissate una volta per tutte, rendono i risultati confrontabili nel tempo e tra regioni. Esso adotta la doppia prospettiva del Servizio sanitario regionale e della società — distinguendo, come prescrivono il Secondo Panel sul costo-efficacia e il Five Case Model, i risparmi diretti per il bilancio dalle ricadute per la collettività — un orizzonte pluriennale o di intera vita per gli esiti e triennale-quinquennale per il bilancio, un tasso di sconto del 3% annuo, gli anni di vita ponderati per la qualità ed esiti clinici validati come misure, e il servizio attuale come comparatore.</w:t>
      </w:r>
      <w:r>
        <w:rPr>
          <w:rStyle w:val="FootnoteReference"/>
        </w:rPr>
        <w:footnoteReference w:id="898"/>
      </w:r>
      <w:r>
        <w:t xml:space="preserve"> </w:t>
      </w:r>
      <w:r>
        <w:t xml:space="preserve">La prima tabella ne riepiloga gli elementi.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caso di 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adottata</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Servizio attuale o assenza del servizio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azienda/distretto</w:t>
            </w:r>
          </w:p>
        </w:tc>
      </w:tr>
      <w:tr>
        <w:tc>
          <w:tcPr/>
          <w:p>
            <w:pPr>
              <w:pStyle w:val="Compact"/>
              <w:spacing w:after="40" w:before="40"/>
              <w:jc w:val="left"/>
            </w:pPr>
            <w:r>
              <w:rPr>
                <w:rFonts w:ascii="Cambria" w:hAnsi="Cambria" w:cs="Cambria" w:eastAsia="Cambria"/>
                <w:b/>
                <w:bCs/>
                <w:color w:val="1A1A1A"/>
                <w:sz w:val="18"/>
              </w:rPr>
              <w:t xml:space="preserve">Soglia di costo-efficacia</w:t>
            </w:r>
          </w:p>
        </w:tc>
        <w:tc>
          <w:tcPr/>
          <w:p>
            <w:pPr>
              <w:pStyle w:val="Compact"/>
              <w:spacing w:after="40" w:before="40"/>
              <w:jc w:val="left"/>
            </w:pPr>
            <w:r>
              <w:rPr>
                <w:rFonts w:ascii="Cambria" w:hAnsi="Cambria" w:cs="Cambria" w:eastAsia="Cambria"/>
                <w:color w:val="1A1A1A"/>
                <w:sz w:val="18"/>
              </w:rPr>
              <w:t xml:space="preserve">30.000 euro per anno di vita ponderato per la qualità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Correzione prudenziale</w:t>
            </w:r>
          </w:p>
        </w:tc>
        <w:tc>
          <w:tcPr>
            <w:shd w:val="clear" w:color="auto" w:fill="F4F1EC"/>
          </w:tcPr>
          <w:p>
            <w:pPr>
              <w:pStyle w:val="Compact"/>
              <w:spacing w:after="40" w:before="40"/>
              <w:jc w:val="left"/>
            </w:pPr>
            <w:r>
              <w:rPr>
                <w:rFonts w:ascii="Cambria" w:hAnsi="Cambria" w:cs="Cambria" w:eastAsia="Cambria"/>
                <w:color w:val="1A1A1A"/>
                <w:sz w:val="18"/>
              </w:rP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La seconda tabella riporta i parametri del modello di Markov a coorte impiegato nella Parte F, con le distribuzioni di probabilità assegnate per l’analisi probabilistica: distribuzioni Beta per le probabilità di transizione e per le utilità, vincolate all’intervallo tra zero e uno, e distribuzioni Gamma per i costi, vincolate ai valori positivi.</w:t>
      </w:r>
      <w:r>
        <w:rPr>
          <w:rStyle w:val="FootnoteReference"/>
        </w:rPr>
        <w:footnoteReference w:id="899"/>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 di Markov</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Stati del modello</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recupero</w:t>
            </w:r>
          </w:p>
        </w:tc>
        <w:tc>
          <w:tcPr>
            <w:shd w:val="clear" w:color="auto" w:fill="F4F1EC"/>
          </w:tcPr>
          <w:p>
            <w:pPr>
              <w:pStyle w:val="Compact"/>
              <w:spacing w:after="40" w:before="40"/>
              <w:jc w:val="left"/>
            </w:pPr>
            <w:r>
              <w:rPr>
                <w:rFonts w:ascii="Cambria" w:hAnsi="Cambria" w:cs="Cambria" w:eastAsia="Cambria"/>
                <w:color w:val="1A1A1A"/>
                <w:sz w:val="18"/>
              </w:rPr>
              <w:t xml:space="preserve">40 €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per ciclo — cronico</w:t>
            </w:r>
          </w:p>
        </w:tc>
        <w:tc>
          <w:tcPr/>
          <w:p>
            <w:pPr>
              <w:pStyle w:val="Compact"/>
              <w:spacing w:after="40" w:before="40"/>
              <w:jc w:val="left"/>
            </w:pPr>
            <w:r>
              <w:rPr>
                <w:rFonts w:ascii="Cambria" w:hAnsi="Cambria" w:cs="Cambria" w:eastAsia="Cambria"/>
                <w:color w:val="1A1A1A"/>
                <w:sz w:val="18"/>
              </w:rPr>
              <w:t xml:space="preserve">700 €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Per braccio, da fonti</w:t>
            </w:r>
          </w:p>
        </w:tc>
        <w:tc>
          <w:tcPr/>
          <w:p>
            <w:pPr>
              <w:pStyle w:val="Compact"/>
              <w:spacing w:after="40" w:before="40"/>
              <w:jc w:val="left"/>
            </w:pPr>
            <w:r>
              <w:rPr>
                <w:rFonts w:ascii="Cambria" w:hAnsi="Cambria" w:cs="Cambria" w:eastAsia="Cambria"/>
                <w:color w:val="1A1A1A"/>
                <w:sz w:val="18"/>
              </w:rPr>
              <w:t xml:space="preserve">Beta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per stato</w:t>
            </w:r>
          </w:p>
        </w:tc>
        <w:tc>
          <w:tcPr>
            <w:shd w:val="clear" w:color="auto" w:fill="F4F1EC"/>
          </w:tcPr>
          <w:p>
            <w:pPr>
              <w:pStyle w:val="Compact"/>
              <w:spacing w:after="40" w:before="40"/>
              <w:jc w:val="left"/>
            </w:pPr>
            <w:r>
              <w:rPr>
                <w:rFonts w:ascii="Cambria" w:hAnsi="Cambria" w:cs="Cambria" w:eastAsia="Cambria"/>
                <w:color w:val="1A1A1A"/>
                <w:sz w:val="18"/>
              </w:rPr>
              <w:t xml:space="preserve">Da fonti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Orizzonte e sconto</w:t>
            </w:r>
          </w:p>
        </w:tc>
        <w:tc>
          <w:tcPr/>
          <w:p>
            <w:pPr>
              <w:pStyle w:val="Compact"/>
              <w:spacing w:after="40" w:before="40"/>
              <w:jc w:val="left"/>
            </w:pPr>
            <w:r>
              <w:rPr>
                <w:rFonts w:ascii="Cambria" w:hAnsi="Cambria" w:cs="Cambria" w:eastAsia="Cambria"/>
                <w:color w:val="1A1A1A"/>
                <w:sz w:val="18"/>
              </w:rPr>
              <w:t xml:space="preserve">5 anni; 3% annuo</w:t>
            </w:r>
          </w:p>
        </w:tc>
        <w:t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La terza tabella riepiloga il quadro economico consolidato per scenario, fondamento delle Parti E e M, nel quale i risparmi diretti per il bilancio sono tenuti distinti dalle ricadute economico-sociali.</w:t>
      </w:r>
      <w:r>
        <w:rPr>
          <w:rStyle w:val="FootnoteReference"/>
        </w:rPr>
        <w:footnoteReference w:id="900"/>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 salvo 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Psicologi a regime</w:t>
            </w:r>
          </w:p>
        </w:tc>
        <w:tc>
          <w:tcPr/>
          <w:p>
            <w:pPr>
              <w:pStyle w:val="Compact"/>
              <w:spacing w:after="40" w:before="40"/>
              <w:jc w:val="left"/>
            </w:pPr>
            <w:r>
              <w:rPr>
                <w:rFonts w:ascii="Cambria" w:hAnsi="Cambria" w:cs="Cambria" w:eastAsia="Cambria"/>
                <w:color w:val="1A1A1A"/>
                <w:sz w:val="18"/>
              </w:rPr>
              <w:t xml:space="preserve">~ 450</w:t>
            </w:r>
          </w:p>
        </w:tc>
        <w:tc>
          <w:tcPr/>
          <w:p>
            <w:pPr>
              <w:pStyle w:val="Compact"/>
              <w:spacing w:after="40" w:before="40"/>
              <w:jc w:val="left"/>
            </w:pPr>
            <w:r>
              <w:rPr>
                <w:rFonts w:ascii="Cambria" w:hAnsi="Cambria" w:cs="Cambria" w:eastAsia="Cambria"/>
                <w:color w:val="1A1A1A"/>
                <w:sz w:val="18"/>
              </w:rPr>
              <w:t xml:space="preserve">~ 700</w:t>
            </w:r>
          </w:p>
        </w:tc>
        <w:tc>
          <w:tcPr/>
          <w:p>
            <w:pPr>
              <w:pStyle w:val="Compact"/>
              <w:spacing w:after="40" w:before="40"/>
              <w:jc w:val="left"/>
            </w:pPr>
            <w:r>
              <w:rPr>
                <w:rFonts w:ascii="Cambria" w:hAnsi="Cambria" w:cs="Cambria" w:eastAsia="Cambria"/>
                <w:color w:val="1A1A1A"/>
                <w:sz w:val="18"/>
              </w:rPr>
              <w:t xml:space="preserve">~ 900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25</w:t>
            </w:r>
          </w:p>
        </w:tc>
        <w:tc>
          <w:tcPr>
            <w:shd w:val="clear" w:color="auto" w:fill="F4F1EC"/>
          </w:tcPr>
          <w:p>
            <w:pPr>
              <w:pStyle w:val="Compact"/>
              <w:spacing w:after="40" w:before="40"/>
              <w:jc w:val="left"/>
            </w:pPr>
            <w:r>
              <w:rPr>
                <w:rFonts w:ascii="Cambria" w:hAnsi="Cambria" w:cs="Cambria" w:eastAsia="Cambria"/>
                <w:color w:val="1A1A1A"/>
                <w:sz w:val="18"/>
              </w:rPr>
              <w:t xml:space="preserve">~ 38</w:t>
            </w:r>
          </w:p>
        </w:tc>
        <w:tc>
          <w:tcPr>
            <w:shd w:val="clear" w:color="auto" w:fill="F4F1EC"/>
          </w:tcPr>
          <w:p>
            <w:pPr>
              <w:pStyle w:val="Compact"/>
              <w:spacing w:after="40" w:before="40"/>
              <w:jc w:val="left"/>
            </w:pPr>
            <w:r>
              <w:rPr>
                <w:rFonts w:ascii="Cambria" w:hAnsi="Cambria" w:cs="Cambria" w:eastAsia="Cambria"/>
                <w:color w:val="1A1A1A"/>
                <w:sz w:val="18"/>
              </w:rPr>
              <w:t xml:space="preserve">~ 50</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20</w:t>
            </w:r>
          </w:p>
        </w:tc>
        <w:tc>
          <w:tcPr/>
          <w:p>
            <w:pPr>
              <w:pStyle w:val="Compact"/>
              <w:spacing w:after="40" w:before="40"/>
              <w:jc w:val="left"/>
            </w:pPr>
            <w:r>
              <w:rPr>
                <w:rFonts w:ascii="Cambria" w:hAnsi="Cambria" w:cs="Cambria" w:eastAsia="Cambria"/>
                <w:color w:val="1A1A1A"/>
                <w:sz w:val="18"/>
              </w:rPr>
              <w:t xml:space="preserve">~ 34</w:t>
            </w:r>
          </w:p>
        </w:tc>
        <w:tc>
          <w:tcPr/>
          <w:p>
            <w:pPr>
              <w:pStyle w:val="Compact"/>
              <w:spacing w:after="40" w:before="40"/>
              <w:jc w:val="left"/>
            </w:pPr>
            <w:r>
              <w:rPr>
                <w:rFonts w:ascii="Cambria" w:hAnsi="Cambria" w:cs="Cambria" w:eastAsia="Cambria"/>
                <w:color w:val="1A1A1A"/>
                <w:sz w:val="18"/>
              </w:rPr>
              <w:t xml:space="preserve">~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70</w:t>
            </w:r>
          </w:p>
        </w:tc>
        <w:tc>
          <w:tcPr>
            <w:shd w:val="clear" w:color="auto" w:fill="F4F1EC"/>
          </w:tcPr>
          <w:p>
            <w:pPr>
              <w:pStyle w:val="Compact"/>
              <w:spacing w:after="40" w:before="40"/>
              <w:jc w:val="left"/>
            </w:pPr>
            <w:r>
              <w:rPr>
                <w:rFonts w:ascii="Cambria" w:hAnsi="Cambria" w:cs="Cambria" w:eastAsia="Cambria"/>
                <w:color w:val="1A1A1A"/>
                <w:sz w:val="18"/>
              </w:rPr>
              <w:t xml:space="preserve">~ 130</w:t>
            </w:r>
          </w:p>
        </w:tc>
        <w:tc>
          <w:tcPr>
            <w:shd w:val="clear" w:color="auto" w:fill="F4F1EC"/>
          </w:tcPr>
          <w:p>
            <w:pPr>
              <w:pStyle w:val="Compact"/>
              <w:spacing w:after="40" w:before="40"/>
              <w:jc w:val="left"/>
            </w:pPr>
            <w:r>
              <w:rPr>
                <w:rFonts w:ascii="Cambria" w:hAnsi="Cambria" w:cs="Cambria" w:eastAsia="Cambria"/>
                <w:color w:val="1A1A1A"/>
                <w:sz w:val="18"/>
              </w:rPr>
              <w:t xml:space="preserve">~ 200</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−5</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+65</w:t>
            </w:r>
          </w:p>
        </w:tc>
        <w:tc>
          <w:tcPr>
            <w:shd w:val="clear" w:color="auto" w:fill="F4F1EC"/>
          </w:tcPr>
          <w:p>
            <w:pPr>
              <w:pStyle w:val="Compact"/>
              <w:spacing w:after="40" w:before="40"/>
              <w:jc w:val="left"/>
            </w:pPr>
            <w:r>
              <w:rPr>
                <w:rFonts w:ascii="Cambria" w:hAnsi="Cambria" w:cs="Cambria" w:eastAsia="Cambria"/>
                <w:color w:val="1A1A1A"/>
                <w:sz w:val="18"/>
              </w:rPr>
              <w:t xml:space="preserve">+126</w:t>
            </w:r>
          </w:p>
        </w:tc>
        <w:tc>
          <w:tcPr>
            <w:shd w:val="clear" w:color="auto" w:fill="F4F1EC"/>
          </w:tcPr>
          <w:p>
            <w:pPr>
              <w:pStyle w:val="Compact"/>
              <w:spacing w:after="40" w:before="40"/>
              <w:jc w:val="left"/>
            </w:pPr>
            <w:r>
              <w:rPr>
                <w:rFonts w:ascii="Cambria" w:hAnsi="Cambria" w:cs="Cambria" w:eastAsia="Cambria"/>
                <w:color w:val="1A1A1A"/>
                <w:sz w:val="18"/>
              </w:rPr>
              <w:t xml:space="preserve">+200</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~3,6:1</w:t>
            </w:r>
          </w:p>
        </w:tc>
        <w:tc>
          <w:tcPr/>
          <w:p>
            <w:pPr>
              <w:pStyle w:val="Compact"/>
              <w:spacing w:after="40" w:before="40"/>
              <w:jc w:val="left"/>
            </w:pPr>
            <w:r>
              <w:rPr>
                <w:rFonts w:ascii="Cambria" w:hAnsi="Cambria" w:cs="Cambria" w:eastAsia="Cambria"/>
                <w:color w:val="1A1A1A"/>
                <w:sz w:val="18"/>
              </w:rPr>
              <w:t xml:space="preserve">~4,3:1</w:t>
            </w:r>
          </w:p>
        </w:tc>
        <w:tc>
          <w:tcPr/>
          <w:p>
            <w:pPr>
              <w:pStyle w:val="Compact"/>
              <w:spacing w:after="40" w:before="40"/>
              <w:jc w:val="left"/>
            </w:pPr>
            <w:r>
              <w:rPr>
                <w:rFonts w:ascii="Cambria" w:hAnsi="Cambria" w:cs="Cambria" w:eastAsia="Cambria"/>
                <w:color w:val="1A1A1A"/>
                <w:sz w:val="18"/>
              </w:rPr>
              <w:t xml:space="preserve">~5,0:1</w:t>
            </w:r>
          </w:p>
        </w:tc>
      </w:tr>
    </w:tbl>
    <w:p>
      <w:pPr>
        <w:pStyle w:val="BodyText"/>
      </w:pPr>
      <w:r>
        <w:rPr>
          <w:i/>
          <w:iCs/>
        </w:rPr>
        <w:t xml:space="preserve">Tabella A.3. Il quadro economico consolidato per scenario (costo per incarico di riferimento ~55.000 € l</w:t>
      </w:r>
      <w:r>
        <w:rPr>
          <w:b/>
          <w:bCs/>
          <w:i/>
          <w:iCs/>
        </w:rPr>
        <w:t xml:space="preserve">’</w:t>
      </w:r>
      <w:r>
        <w:rPr>
          <w:i/>
          <w:iCs/>
        </w:rPr>
        <w:t xml:space="preserve">anno).</w:t>
      </w:r>
    </w:p>
    <w:bookmarkEnd w:id="1822"/>
    <w:bookmarkStart w:id="1825" w:name="X5e3b448d8907c70c74012b76fa76a6fc4efe743"/>
    <w:p>
      <w:pPr>
        <w:pStyle w:val="Heading3"/>
      </w:pPr>
      <w:r>
        <w:t xml:space="preserve">Appendice B — Strumenti di esito e dataset minimo</w:t>
      </w:r>
    </w:p>
    <w:p>
      <w:pPr>
        <w:pStyle w:val="FirstParagraph"/>
      </w:pPr>
      <w:r>
        <w:t xml:space="preserve">Questa appendice documenta gli strumenti con cui si misurano gli esiti clinici e i campi che compongono il dataset minimo. Gli strumenti sono validati e di uso internazionale, e sono impiegati nei soli punteggi complessivi, secondo la tutela già illustrata nelle Parti C ed H; sono raccolti a ogni seduta, e non solo all’inizio e alla fine, secondo il modello dei programmi inglesi di terapie psicologiche, ciò che consente di calcolare il tasso di recupero e il miglioramento affidabile.</w:t>
      </w:r>
      <w:r>
        <w:rPr>
          <w:rStyle w:val="FootnoteReference"/>
        </w:rPr>
        <w:footnoteReference w:id="901"/>
      </w:r>
      <w:r>
        <w:t xml:space="preserve"> </w:t>
      </w:r>
      <w:r>
        <w:t xml:space="preserve">La prima tabella riporta gli strumenti di esito.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Caratteristiche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 soglia clinica ~10; cambiamento affidabile ~6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d’ansia</w:t>
            </w:r>
          </w:p>
        </w:tc>
        <w:tc>
          <w:tcPr>
            <w:shd w:val="clear" w:color="auto" w:fill="F4F1EC"/>
          </w:tcPr>
          <w:p>
            <w:pPr>
              <w:pStyle w:val="Compact"/>
              <w:spacing w:after="40" w:before="40"/>
              <w:jc w:val="left"/>
            </w:pPr>
            <w:r>
              <w:rPr>
                <w:rFonts w:ascii="Cambria" w:hAnsi="Cambria" w:cs="Cambria" w:eastAsia="Cambria"/>
                <w:color w:val="1A1A1A"/>
                <w:sz w:val="18"/>
              </w:rPr>
              <w:t xml:space="preserve">0–21; impiegato nel solo punteggio complessivo</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Discesa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Esito secondario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La seconda tabella riporta il dataset minimo, ossia i campi che il protocollo registra dal primo giorno e che costituiscono la fonte dei circa quaranta indicatori non ricavabili dalle statistiche correnti; i dati sono trasmessi in forma aggregata all’Osservatorio regionale, senza che ne sia possibile la riconduzione alla persona.</w:t>
      </w:r>
      <w:r>
        <w:rPr>
          <w:rStyle w:val="FootnoteReference"/>
        </w:rPr>
        <w:footnoteReference w:id="902"/>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Campo del dataset</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Momento di rilevazione</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Data di apertura, canale di accesso, invio</w:t>
            </w:r>
          </w:p>
        </w:tc>
        <w:tc>
          <w:tcPr/>
          <w:p>
            <w:pPr>
              <w:pStyle w:val="Compact"/>
              <w:spacing w:after="40" w:before="40"/>
              <w:jc w:val="left"/>
            </w:pPr>
            <w:r>
              <w:rPr>
                <w:rFonts w:ascii="Cambria" w:hAnsi="Cambria" w:cs="Cambria" w:eastAsia="Cambria"/>
                <w:color w:val="1A1A1A"/>
                <w:sz w:val="18"/>
              </w:rPr>
              <w:t xml:space="preserve">All’apertura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Seduta</w:t>
            </w:r>
          </w:p>
        </w:tc>
        <w:tc>
          <w:tcPr>
            <w:shd w:val="clear" w:color="auto" w:fill="F4F1EC"/>
          </w:tcPr>
          <w:p>
            <w:pPr>
              <w:pStyle w:val="Compact"/>
              <w:spacing w:after="40" w:before="40"/>
              <w:jc w:val="left"/>
            </w:pPr>
            <w:r>
              <w:rPr>
                <w:rFonts w:ascii="Cambria" w:hAnsi="Cambria" w:cs="Cambria" w:eastAsia="Cambria"/>
                <w:color w:val="1A1A1A"/>
                <w:sz w:val="18"/>
              </w:rPr>
              <w:t xml:space="preserve">Data, tipo e numero progressivo della seduta</w:t>
            </w:r>
          </w:p>
        </w:tc>
        <w:tc>
          <w:tcPr>
            <w:shd w:val="clear" w:color="auto" w:fill="F4F1EC"/>
          </w:tcPr>
          <w:p>
            <w:pPr>
              <w:pStyle w:val="Compact"/>
              <w:spacing w:after="40" w:before="40"/>
              <w:jc w:val="left"/>
            </w:pPr>
            <w:r>
              <w:rPr>
                <w:rFonts w:ascii="Cambria" w:hAnsi="Cambria" w:cs="Cambria" w:eastAsia="Cambria"/>
                <w:color w:val="1A1A1A"/>
                <w:sz w:val="18"/>
              </w:rPr>
              <w:t xml:space="preserve">A ogni seduta</w:t>
            </w:r>
          </w:p>
        </w:tc>
      </w:tr>
      <w:tr>
        <w:tc>
          <w:tcPr/>
          <w:p>
            <w:pPr>
              <w:pStyle w:val="Compact"/>
              <w:spacing w:after="40" w:before="40"/>
              <w:jc w:val="left"/>
            </w:pPr>
            <w:r>
              <w:rPr>
                <w:rFonts w:ascii="Cambria" w:hAnsi="Cambria" w:cs="Cambria" w:eastAsia="Cambria"/>
                <w:b/>
                <w:bCs/>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e GAD-7 (punteggi complessivi)</w:t>
            </w:r>
          </w:p>
        </w:tc>
        <w:tc>
          <w:tcPr/>
          <w:p>
            <w:pPr>
              <w:pStyle w:val="Compact"/>
              <w:spacing w:after="40" w:before="40"/>
              <w:jc w:val="left"/>
            </w:pPr>
            <w:r>
              <w:rPr>
                <w:rFonts w:ascii="Cambria" w:hAnsi="Cambria" w:cs="Cambria" w:eastAsia="Cambria"/>
                <w:color w:val="1A1A1A"/>
                <w:sz w:val="18"/>
              </w:rPr>
              <w:t xml:space="preserve">A ogni seduta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Invii e restituzioni</w:t>
            </w:r>
          </w:p>
        </w:tc>
        <w:tc>
          <w:tcPr>
            <w:shd w:val="clear" w:color="auto" w:fill="F4F1EC"/>
          </w:tcPr>
          <w:p>
            <w:pPr>
              <w:pStyle w:val="Compact"/>
              <w:spacing w:after="40" w:before="40"/>
              <w:jc w:val="left"/>
            </w:pPr>
            <w:r>
              <w:rPr>
                <w:rFonts w:ascii="Cambria" w:hAnsi="Cambria" w:cs="Cambria" w:eastAsia="Cambria"/>
                <w:color w:val="1A1A1A"/>
                <w:sz w:val="18"/>
              </w:rPr>
              <w:t xml:space="preserve">Invio a servizi specialistici; restituzione al medico curante</w:t>
            </w:r>
          </w:p>
        </w:tc>
        <w:tc>
          <w:tcPr>
            <w:shd w:val="clear" w:color="auto" w:fill="F4F1EC"/>
          </w:tcPr>
          <w:p>
            <w:pPr>
              <w:pStyle w:val="Compact"/>
              <w:spacing w:after="40" w:before="40"/>
              <w:jc w:val="left"/>
            </w:pPr>
            <w:r>
              <w:rPr>
                <w:rFonts w:ascii="Cambria" w:hAnsi="Cambria" w:cs="Cambria" w:eastAsia="Cambria"/>
                <w:color w:val="1A1A1A"/>
                <w:sz w:val="18"/>
              </w:rPr>
              <w:t xml:space="preserve">Ove pertinente</w:t>
            </w:r>
          </w:p>
        </w:tc>
      </w:tr>
      <w:tr>
        <w:tc>
          <w:tcPr/>
          <w:p>
            <w:pPr>
              <w:pStyle w:val="Compact"/>
              <w:spacing w:after="40" w:before="40"/>
              <w:jc w:val="left"/>
            </w:pPr>
            <w:r>
              <w:rPr>
                <w:rFonts w:ascii="Cambria" w:hAnsi="Cambria" w:cs="Cambria" w:eastAsia="Cambria"/>
                <w:b/>
                <w:bCs/>
                <w:color w:val="1A1A1A"/>
                <w:sz w:val="18"/>
              </w:rPr>
              <w:t xml:space="preserve">Chiusura</w:t>
            </w:r>
          </w:p>
        </w:tc>
        <w:tc>
          <w:tcPr/>
          <w:p>
            <w:pPr>
              <w:pStyle w:val="Compact"/>
              <w:spacing w:after="40" w:before="40"/>
              <w:jc w:val="left"/>
            </w:pPr>
            <w:r>
              <w:rPr>
                <w:rFonts w:ascii="Cambria" w:hAnsi="Cambria" w:cs="Cambria" w:eastAsia="Cambria"/>
                <w:color w:val="1A1A1A"/>
                <w:sz w:val="18"/>
              </w:rPr>
              <w:t xml:space="preserve">Esito del percorso (recupero, miglioramento, invio)</w:t>
            </w:r>
          </w:p>
        </w:tc>
        <w:tc>
          <w:tcPr/>
          <w:p>
            <w:pPr>
              <w:pStyle w:val="Compact"/>
              <w:spacing w:after="40" w:before="40"/>
              <w:jc w:val="left"/>
            </w:pPr>
            <w:r>
              <w:rPr>
                <w:rFonts w:ascii="Cambria" w:hAnsi="Cambria" w:cs="Cambria" w:eastAsia="Cambria"/>
                <w:color w:val="1A1A1A"/>
                <w:sz w:val="18"/>
              </w:rPr>
              <w:t xml:space="preserve">Alla chiusura</w:t>
            </w:r>
          </w:p>
        </w:tc>
      </w:tr>
    </w:tbl>
    <w:p>
      <w:pPr>
        <w:pStyle w:val="BodyText"/>
      </w:pPr>
      <w:r>
        <w:rPr>
          <w:i/>
          <w:iCs/>
        </w:rPr>
        <w:t xml:space="preserve">Tabella B.2. Il dataset minimo: i campi del protocollo di rilevazione (dizionario dei dati in forma sintetica).</w:t>
      </w:r>
    </w:p>
    <w:bookmarkEnd w:id="1825"/>
    <w:bookmarkStart w:id="1828" w:name="appendice-c-dati-regionali-e-fonti"/>
    <w:p>
      <w:pPr>
        <w:pStyle w:val="Heading3"/>
      </w:pPr>
      <w:r>
        <w:t xml:space="preserve">Appendice C — Dati regionali e fonti</w:t>
      </w:r>
    </w:p>
    <w:p>
      <w:pPr>
        <w:pStyle w:val="FirstParagraph"/>
      </w:pPr>
      <w:r>
        <w:t xml:space="preserve">Questa appendice raccoglie i valori regionali di ancoraggio su cui si fonda la quantificazione, con le rispettive fonti, e dichiara i dati ancora da acquisire. La prima tabella riporta i valori di contesto, tratti dalle fonti istituzionali.</w:t>
      </w:r>
      <w:r>
        <w:rPr>
          <w:rStyle w:val="FootnoteReference"/>
        </w:rPr>
        <w:footnoteReference w:id="903"/>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regionale</w:t>
            </w:r>
          </w:p>
        </w:tc>
      </w:tr>
      <w:tr>
        <w:tc>
          <w:tcPr/>
          <w:p>
            <w:pPr>
              <w:pStyle w:val="Compact"/>
              <w:spacing w:after="40" w:before="40"/>
              <w:jc w:val="left"/>
            </w:pPr>
            <w:r>
              <w:rPr>
                <w:rFonts w:ascii="Cambria" w:hAnsi="Cambria" w:cs="Cambria" w:eastAsia="Cambria"/>
                <w:b/>
                <w:bCs/>
                <w:color w:val="1A1A1A"/>
                <w:sz w:val="18"/>
              </w:rPr>
              <w:t xml:space="preserve">Popolazione regionale</w:t>
            </w:r>
          </w:p>
        </w:tc>
        <w:tc>
          <w:tcPr/>
          <w:p>
            <w:pPr>
              <w:pStyle w:val="Compact"/>
              <w:spacing w:after="40" w:before="40"/>
              <w:jc w:val="left"/>
            </w:pPr>
            <w:r>
              <w:rPr>
                <w:rFonts w:ascii="Cambria" w:hAnsi="Cambria" w:cs="Cambria" w:eastAsia="Cambria"/>
                <w:color w:val="1A1A1A"/>
                <w:sz w:val="18"/>
              </w:rPr>
              <w:t xml:space="preserve">~ 3.877.000 abitanti (età media 46,4)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Finanziamento del SSR (2025)</w:t>
            </w:r>
          </w:p>
        </w:tc>
        <w:tc>
          <w:tcPr>
            <w:shd w:val="clear" w:color="auto" w:fill="F4F1EC"/>
          </w:tcPr>
          <w:p>
            <w:pPr>
              <w:pStyle w:val="Compact"/>
              <w:spacing w:after="40" w:before="40"/>
              <w:jc w:val="left"/>
            </w:pPr>
            <w:r>
              <w:rPr>
                <w:rFonts w:ascii="Cambria" w:hAnsi="Cambria" w:cs="Cambria" w:eastAsia="Cambria"/>
                <w:color w:val="1A1A1A"/>
                <w:sz w:val="18"/>
              </w:rPr>
              <w:t xml:space="preserve">~ 8,8 miliardi di euro; disavanzo ~ 350 milioni</w:t>
            </w:r>
          </w:p>
        </w:tc>
      </w:tr>
      <w:tr>
        <w:tc>
          <w:tcPr/>
          <w:p>
            <w:pPr>
              <w:pStyle w:val="Compact"/>
              <w:spacing w:after="40" w:before="40"/>
              <w:jc w:val="left"/>
            </w:pPr>
            <w:r>
              <w:rPr>
                <w:rFonts w:ascii="Cambria" w:hAnsi="Cambria" w:cs="Cambria" w:eastAsia="Cambria"/>
                <w:b/>
                <w:bCs/>
                <w:color w:val="1A1A1A"/>
                <w:sz w:val="18"/>
              </w:rPr>
              <w:t xml:space="preserve">Mobilità passiva (2023)</w:t>
            </w:r>
          </w:p>
        </w:tc>
        <w:tc>
          <w:tcPr/>
          <w:p>
            <w:pPr>
              <w:pStyle w:val="Compact"/>
              <w:spacing w:after="40" w:before="40"/>
              <w:jc w:val="left"/>
            </w:pPr>
            <w:r>
              <w:rPr>
                <w:rFonts w:ascii="Cambria" w:hAnsi="Cambria" w:cs="Cambria" w:eastAsia="Cambria"/>
                <w:color w:val="1A1A1A"/>
                <w:sz w:val="18"/>
              </w:rPr>
              <w:t xml:space="preserve">Saldo −253,2 milioni; ~240 milioni nel 2024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37 presidi; ~1.142.000 accessi/anno; ~914.000 inappropriati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Tra i consumi più alti d’Italia (1.081,9 DDD/1000 ab. die)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~780.000 con disagio/sottosoglia; ~55.000 in carico ai DSM; 18.939 nuovi (2023)</w:t>
            </w:r>
          </w:p>
        </w:tc>
      </w:tr>
      <w:tr>
        <w:tc>
          <w:tcPr/>
          <w:p>
            <w:pPr>
              <w:pStyle w:val="Compact"/>
              <w:spacing w:after="40" w:before="40"/>
              <w:jc w:val="left"/>
            </w:pPr>
            <w:r>
              <w:rPr>
                <w:rFonts w:ascii="Cambria" w:hAnsi="Cambria" w:cs="Cambria" w:eastAsia="Cambria"/>
                <w:b/>
                <w:bCs/>
                <w:color w:val="1A1A1A"/>
                <w:sz w:val="18"/>
              </w:rPr>
              <w:t xml:space="preserve">Servizio attuale (L.R. 11/2023)</w:t>
            </w:r>
          </w:p>
        </w:tc>
        <w:tc>
          <w:tcPr/>
          <w:p>
            <w:pPr>
              <w:pStyle w:val="Compact"/>
              <w:spacing w:after="40" w:before="40"/>
              <w:jc w:val="left"/>
            </w:pPr>
            <w:r>
              <w:rPr>
                <w:rFonts w:ascii="Cambria" w:hAnsi="Cambria" w:cs="Cambria" w:eastAsia="Cambria"/>
                <w:color w:val="1A1A1A"/>
                <w:sz w:val="18"/>
              </w:rPr>
              <w:t xml:space="preserve">~45 psicologi (uno per distretto); 1,5 milioni/anno; ~5% del fabbisogno</w:t>
            </w:r>
          </w:p>
        </w:tc>
      </w:tr>
    </w:tbl>
    <w:p>
      <w:pPr>
        <w:pStyle w:val="BodyText"/>
      </w:pPr>
      <w:r>
        <w:rPr>
          <w:i/>
          <w:iCs/>
        </w:rPr>
        <w:t xml:space="preserve">Tabella C.1. I valori regionali di ancoraggio (Corte dei Conti, GIMBE, emergenza-urgenza, AIFA-OsMed, Ministero della Salute, ISTAT).</w:t>
      </w:r>
    </w:p>
    <w:p>
      <w:pPr>
        <w:pStyle w:val="BodyText"/>
      </w:pPr>
      <w:r>
        <w:t xml:space="preserve">La seconda tabella elenca i dati ancora da acquisire presso l’agenzia regionale e le aziende sanitarie, la cui acquisizione costituisce — come dichiarato nella Parte M — la lacuna principale dello studio e l’investimento conoscitivo prioritario, poiché consentirà di sostituire le grandezze ricostruite con misure certificate.</w:t>
      </w:r>
      <w:r>
        <w:rPr>
          <w:rStyle w:val="FootnoteReference"/>
        </w:rPr>
        <w:footnoteReference w:id="904"/>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Dato da acquisire</w:t>
            </w:r>
          </w:p>
        </w:tc>
      </w:tr>
      <w:tr>
        <w:tc>
          <w:tcPr/>
          <w:p>
            <w:pPr>
              <w:pStyle w:val="Compact"/>
              <w:spacing w:after="40" w:before="40"/>
              <w:jc w:val="left"/>
            </w:pPr>
            <w:r>
              <w:rPr>
                <w:rFonts w:ascii="Cambria" w:hAnsi="Cambria" w:cs="Cambria" w:eastAsia="Cambria"/>
                <w:b/>
                <w:bCs/>
                <w:color w:val="1A1A1A"/>
                <w:sz w:val="18"/>
              </w:rPr>
              <w:t xml:space="preserve">Ricoveri psichiatrici</w:t>
            </w:r>
          </w:p>
        </w:tc>
        <w:tc>
          <w:tcPr/>
          <w:p>
            <w:pPr>
              <w:pStyle w:val="Compact"/>
              <w:spacing w:after="40" w:before="40"/>
              <w:jc w:val="left"/>
            </w:pPr>
            <w:r>
              <w:rPr>
                <w:rFonts w:ascii="Cambria" w:hAnsi="Cambria" w:cs="Cambria" w:eastAsia="Cambria"/>
                <w:color w:val="1A1A1A"/>
                <w:sz w:val="18"/>
              </w:rPr>
              <w:t xml:space="preserve">Schede di dimissione ospedaliera per disturbi psichici e relativo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passiva</w:t>
            </w:r>
          </w:p>
        </w:tc>
        <w:tc>
          <w:tcPr>
            <w:shd w:val="clear" w:color="auto" w:fill="F4F1EC"/>
          </w:tcPr>
          <w:p>
            <w:pPr>
              <w:pStyle w:val="Compact"/>
              <w:spacing w:after="40" w:before="40"/>
              <w:jc w:val="left"/>
            </w:pPr>
            <w:r>
              <w:rPr>
                <w:rFonts w:ascii="Cambria" w:hAnsi="Cambria" w:cs="Cambria" w:eastAsia="Cambria"/>
                <w:color w:val="1A1A1A"/>
                <w:sz w:val="18"/>
              </w:rPr>
              <w:t xml:space="preserve">Composizione per disciplina, per isolarne la quota psichiatrica</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Spesa regionale per 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causa psichiatrica</w:t>
            </w:r>
          </w:p>
        </w:tc>
      </w:tr>
    </w:tbl>
    <w:p>
      <w:pPr>
        <w:pStyle w:val="BodyText"/>
      </w:pPr>
      <w:r>
        <w:rPr>
          <w:i/>
          <w:iCs/>
        </w:rPr>
        <w:t xml:space="preserve">Tabella C.2. I dati certificati da acquisire per sostituire le stime (lacuna principale dello studio).</w:t>
      </w:r>
    </w:p>
    <w:bookmarkEnd w:id="1828"/>
    <w:bookmarkStart w:id="1831" w:name="appendice-d-checklist-di-reporting"/>
    <w:p>
      <w:pPr>
        <w:pStyle w:val="Heading3"/>
      </w:pPr>
      <w:r>
        <w:t xml:space="preserve">Appendice D — Checklist di reporting</w:t>
      </w:r>
    </w:p>
    <w:p>
      <w:pPr>
        <w:pStyle w:val="FirstParagraph"/>
      </w:pPr>
      <w:r>
        <w:t xml:space="preserve">Questa appendice riepiloga le liste di controllo e gli standard di reporting adottati dallo studio, a garanzia di trasparenza e riproducibilità. L’adesione a tali standard non è un adempimento formale, ma la condizione perché lo studio sia documentato, verificabile e confrontabile; ciascuno standard è applicato alla parte dello studio di sua competenza.</w:t>
      </w:r>
      <w:r>
        <w:rPr>
          <w:rStyle w:val="FootnoteReference"/>
        </w:rPr>
        <w:footnoteReference w:id="905"/>
      </w:r>
      <w:r>
        <w:t xml:space="preserve"> </w:t>
      </w:r>
      <w:r>
        <w:t xml:space="preserve">La tabella seguente li riepiloga, con l’oggetto e l’applicazione nello studio.</w:t>
      </w:r>
      <w:r>
        <w:rPr>
          <w:rStyle w:val="FootnoteReference"/>
        </w:rPr>
        <w:footnoteReference w:id="906"/>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Standard o lista di controllo</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r>
      <w:tr>
        <w:tc>
          <w:tcPr/>
          <w:p>
            <w:pPr>
              <w:pStyle w:val="Compact"/>
              <w:spacing w:after="40" w:before="40"/>
              <w:jc w:val="left"/>
            </w:pPr>
            <w:r>
              <w:rPr>
                <w:rFonts w:ascii="Cambria" w:hAnsi="Cambria" w:cs="Cambria" w:eastAsia="Cambria"/>
                <w:b/>
                <w:bCs/>
                <w:color w:val="1A1A1A"/>
                <w:sz w:val="18"/>
              </w:rPr>
              <w:t xml:space="preserve">CHEERS 2022 (28 voci)</w:t>
            </w:r>
          </w:p>
        </w:tc>
        <w:tc>
          <w:tcPr/>
          <w:p>
            <w:pPr>
              <w:pStyle w:val="Compact"/>
              <w:spacing w:after="40" w:before="40"/>
              <w:jc w:val="left"/>
            </w:pPr>
            <w:r>
              <w:rPr>
                <w:rFonts w:ascii="Cambria" w:hAnsi="Cambria" w:cs="Cambria" w:eastAsia="Cambria"/>
                <w:color w:val="1A1A1A"/>
                <w:sz w:val="18"/>
              </w:rPr>
              <w:t xml:space="preserve">Rendicontazione delle valutazioni economiche</w:t>
            </w:r>
          </w:p>
        </w:tc>
        <w:tc>
          <w:tcPr/>
          <w:p>
            <w:pPr>
              <w:pStyle w:val="Compact"/>
              <w:spacing w:after="40" w:before="40"/>
              <w:jc w:val="left"/>
            </w:pPr>
            <w:r>
              <w:rPr>
                <w:rFonts w:ascii="Cambria" w:hAnsi="Cambria" w:cs="Cambria" w:eastAsia="Cambria"/>
                <w:color w:val="1A1A1A"/>
                <w:sz w:val="18"/>
              </w:rPr>
              <w:t xml:space="preserve">Parte 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CHEERS-AI (38 voci)</w:t>
            </w:r>
          </w:p>
        </w:tc>
        <w:tc>
          <w:tcPr>
            <w:shd w:val="clear" w:color="auto" w:fill="F4F1EC"/>
          </w:tcPr>
          <w:p>
            <w:pPr>
              <w:pStyle w:val="Compact"/>
              <w:spacing w:after="40" w:before="40"/>
              <w:jc w:val="left"/>
            </w:pPr>
            <w:r>
              <w:rPr>
                <w:rFonts w:ascii="Cambria" w:hAnsi="Cambria" w:cs="Cambria" w:eastAsia="Cambria"/>
                <w:color w:val="1A1A1A"/>
                <w:sz w:val="18"/>
              </w:rPr>
              <w:t xml:space="preserve">Estensione per gli interventi con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Parti C, E</w:t>
            </w:r>
          </w:p>
        </w:tc>
      </w:tr>
      <w:tr>
        <w:tc>
          <w:tcPr/>
          <w:p>
            <w:pPr>
              <w:pStyle w:val="Compact"/>
              <w:spacing w:after="40" w:before="40"/>
              <w:jc w:val="left"/>
            </w:pPr>
            <w:r>
              <w:rPr>
                <w:rFonts w:ascii="Cambria" w:hAnsi="Cambria" w:cs="Cambria" w:eastAsia="Cambria"/>
                <w:b/>
                <w:bCs/>
                <w:color w:val="1A1A1A"/>
                <w:sz w:val="18"/>
              </w:rPr>
              <w:t xml:space="preserve">PRISMA 2020</w:t>
            </w:r>
          </w:p>
        </w:tc>
        <w:tc>
          <w:tcPr/>
          <w:p>
            <w:pPr>
              <w:pStyle w:val="Compact"/>
              <w:spacing w:after="40" w:before="40"/>
              <w:jc w:val="left"/>
            </w:pPr>
            <w:r>
              <w:rPr>
                <w:rFonts w:ascii="Cambria" w:hAnsi="Cambria" w:cs="Cambria" w:eastAsia="Cambria"/>
                <w:color w:val="1A1A1A"/>
                <w:sz w:val="18"/>
              </w:rPr>
              <w:t xml:space="preserve">Conduzione e reporting delle revisioni sistematiche</w:t>
            </w:r>
          </w:p>
        </w:tc>
        <w:tc>
          <w:tcPr/>
          <w:p>
            <w:pPr>
              <w:pStyle w:val="Compact"/>
              <w:spacing w:after="40" w:before="40"/>
              <w:jc w:val="left"/>
            </w:pPr>
            <w:r>
              <w:rPr>
                <w:rFonts w:ascii="Cambria" w:hAnsi="Cambria" w:cs="Cambria" w:eastAsia="Cambria"/>
                <w:color w:val="1A1A1A"/>
                <w:sz w:val="18"/>
              </w:rPr>
              <w:t xml:space="preserve">Parte 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GRADE</w:t>
            </w:r>
          </w:p>
        </w:tc>
        <w:tc>
          <w:tcPr>
            <w:shd w:val="clear" w:color="auto" w:fill="F4F1EC"/>
          </w:tcPr>
          <w:p>
            <w:pPr>
              <w:pStyle w:val="Compact"/>
              <w:spacing w:after="40" w:before="40"/>
              <w:jc w:val="left"/>
            </w:pPr>
            <w:r>
              <w:rPr>
                <w:rFonts w:ascii="Cambria" w:hAnsi="Cambria" w:cs="Cambria" w:eastAsia="Cambria"/>
                <w:color w:val="1A1A1A"/>
                <w:sz w:val="18"/>
              </w:rPr>
              <w:t xml:space="preserve">Graduazione della certezza dell’evidenza</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r>
      <w:tr>
        <w:tc>
          <w:tcPr/>
          <w:p>
            <w:pPr>
              <w:pStyle w:val="Compact"/>
              <w:spacing w:after="40" w:before="40"/>
              <w:jc w:val="left"/>
            </w:pPr>
            <w:r>
              <w:rPr>
                <w:rFonts w:ascii="Cambria" w:hAnsi="Cambria" w:cs="Cambria" w:eastAsia="Cambria"/>
                <w:b/>
                <w:bCs/>
                <w:color w:val="1A1A1A"/>
                <w:sz w:val="18"/>
              </w:rPr>
              <w:t xml:space="preserve">Lista STROBE</w:t>
            </w:r>
          </w:p>
        </w:tc>
        <w:tc>
          <w:tcPr/>
          <w:p>
            <w:pPr>
              <w:pStyle w:val="Compact"/>
              <w:spacing w:after="40" w:before="40"/>
              <w:jc w:val="left"/>
            </w:pPr>
            <w:r>
              <w:rPr>
                <w:rFonts w:ascii="Cambria" w:hAnsi="Cambria" w:cs="Cambria" w:eastAsia="Cambria"/>
                <w:color w:val="1A1A1A"/>
                <w:sz w:val="18"/>
              </w:rPr>
              <w:t xml:space="preserve">Studi osservazionali sui dati reali</w:t>
            </w:r>
          </w:p>
        </w:tc>
        <w:tc>
          <w:tcPr/>
          <w:p>
            <w:pPr>
              <w:pStyle w:val="Compact"/>
              <w:spacing w:after="40" w:before="40"/>
              <w:jc w:val="left"/>
            </w:pPr>
            <w:r>
              <w:rPr>
                <w:rFonts w:ascii="Cambria" w:hAnsi="Cambria" w:cs="Cambria" w:eastAsia="Cambria"/>
                <w:color w:val="1A1A1A"/>
                <w:sz w:val="18"/>
              </w:rPr>
              <w:t xml:space="preserve">Parti D,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Buone pratiche ISPOR-SMDM</w:t>
            </w:r>
          </w:p>
        </w:tc>
        <w:tc>
          <w:tcPr>
            <w:shd w:val="clear" w:color="auto" w:fill="F4F1EC"/>
          </w:tcPr>
          <w:p>
            <w:pPr>
              <w:pStyle w:val="Compact"/>
              <w:spacing w:after="40" w:before="40"/>
              <w:jc w:val="left"/>
            </w:pPr>
            <w:r>
              <w:rPr>
                <w:rFonts w:ascii="Cambria" w:hAnsi="Cambria" w:cs="Cambria" w:eastAsia="Cambria"/>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r>
      <w:tr>
        <w:tc>
          <w:tcPr/>
          <w:p>
            <w:pPr>
              <w:pStyle w:val="Compact"/>
              <w:spacing w:after="40" w:before="40"/>
              <w:jc w:val="left"/>
            </w:pPr>
            <w:r>
              <w:rPr>
                <w:rFonts w:ascii="Cambria" w:hAnsi="Cambria" w:cs="Cambria" w:eastAsia="Cambria"/>
                <w:b/>
                <w:bCs/>
                <w:color w:val="1A1A1A"/>
                <w:sz w:val="18"/>
              </w:rPr>
              <w:t xml:space="preserve">Manuale OCSE-JRC</w:t>
            </w:r>
          </w:p>
        </w:tc>
        <w:tc>
          <w:tcPr/>
          <w:p>
            <w:pPr>
              <w:pStyle w:val="Compact"/>
              <w:spacing w:after="40" w:before="40"/>
              <w:jc w:val="left"/>
            </w:pPr>
            <w:r>
              <w:rPr>
                <w:rFonts w:ascii="Cambria" w:hAnsi="Cambria" w:cs="Cambria" w:eastAsia="Cambria"/>
                <w:color w:val="1A1A1A"/>
                <w:sz w:val="18"/>
              </w:rPr>
              <w:t xml:space="preserve">Costruzione degli indicatori compositi</w:t>
            </w:r>
          </w:p>
        </w:tc>
        <w:tc>
          <w:tcPr/>
          <w:p>
            <w:pPr>
              <w:pStyle w:val="Compact"/>
              <w:spacing w:after="40" w:before="40"/>
              <w:jc w:val="left"/>
            </w:pPr>
            <w:r>
              <w:rPr>
                <w:rFonts w:ascii="Cambria" w:hAnsi="Cambria" w:cs="Cambria" w:eastAsia="Cambria"/>
                <w:color w:val="1A1A1A"/>
                <w:sz w:val="18"/>
              </w:rPr>
              <w:t xml:space="preserve">Parte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Griglia di giudizio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r>
    </w:tbl>
    <w:p>
      <w:pPr>
        <w:pStyle w:val="BodyText"/>
      </w:pPr>
      <w:r>
        <w:rPr>
          <w:i/>
          <w:iCs/>
        </w:rPr>
        <w:t xml:space="preserve">Tabella D.1. Gli standard di reporting e di qualità adottati nello studio, per parte di applicazione.</w:t>
      </w:r>
    </w:p>
    <w:bookmarkEnd w:id="1831"/>
    <w:bookmarkStart w:id="1833" w:name="appendice-e-glossario"/>
    <w:p>
      <w:pPr>
        <w:pStyle w:val="Heading3"/>
      </w:pPr>
      <w:r>
        <w:t xml:space="preserve">Appendice E — Glossario</w:t>
      </w:r>
    </w:p>
    <w:p>
      <w:pPr>
        <w:pStyle w:val="FirstParagraph"/>
      </w:pPr>
      <w:r>
        <w:t xml:space="preserve">Questa appendice raccoglie le definizioni dei principali termini tecnici impiegati nello studio, ordinate in modo da rendere il documento leggibile anche ai destinatari non specialisti. Le definizioni sono sintetiche e funzionali alla comprensione del testo, e non sostituiscono i riferimenti tecnici puntuali contenuti nelle singole parti.</w:t>
      </w:r>
      <w:r>
        <w:rPr>
          <w:rStyle w:val="FootnoteReference"/>
        </w:rPr>
        <w:footnoteReference w:id="907"/>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Termine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w:t>
            </w:r>
          </w:p>
        </w:tc>
      </w:tr>
      <w:tr>
        <w:tc>
          <w:tcPr/>
          <w:p>
            <w:pPr>
              <w:pStyle w:val="Compact"/>
              <w:spacing w:after="40" w:before="40"/>
              <w:jc w:val="left"/>
            </w:pPr>
            <w:r>
              <w:rPr>
                <w:rFonts w:ascii="Cambria" w:hAnsi="Cambria" w:cs="Cambria" w:eastAsia="Cambria"/>
                <w:b/>
                <w:bCs/>
                <w:color w:val="1A1A1A"/>
                <w:sz w:val="18"/>
              </w:rPr>
              <w:t xml:space="preserve">Valutazione di tecnologia sanitaria (HTA)</w:t>
            </w:r>
          </w:p>
        </w:tc>
        <w:tc>
          <w:tcPr/>
          <w:p>
            <w:pPr>
              <w:pStyle w:val="Compact"/>
              <w:spacing w:after="40" w:before="40"/>
              <w:jc w:val="left"/>
            </w:pPr>
            <w:r>
              <w:rPr>
                <w:rFonts w:ascii="Cambria" w:hAnsi="Cambria" w:cs="Cambria" w:eastAsia="Cambria"/>
                <w:color w:val="1A1A1A"/>
                <w:sz w:val="18"/>
              </w:rPr>
              <w:t xml:space="preserve">Valutazione multidimensionale di un intervento sanitario, articolata in nove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rapida di efficacia relativa</w:t>
            </w:r>
          </w:p>
        </w:tc>
        <w:tc>
          <w:tcPr>
            <w:shd w:val="clear" w:color="auto" w:fill="F4F1EC"/>
          </w:tcPr>
          <w:p>
            <w:pPr>
              <w:pStyle w:val="Compact"/>
              <w:spacing w:after="40" w:before="40"/>
              <w:jc w:val="left"/>
            </w:pPr>
            <w:r>
              <w:rPr>
                <w:rFonts w:ascii="Cambria" w:hAnsi="Cambria" w:cs="Cambria" w:eastAsia="Cambria"/>
                <w:color w:val="1A1A1A"/>
                <w:sz w:val="18"/>
              </w:rPr>
              <w:t xml:space="preserve">Nucleo dell’HTA, che copre i primi quattro domini (problema, descrizione, sicurezza, efficacia)</w:t>
            </w:r>
          </w:p>
        </w:tc>
      </w:tr>
      <w:tr>
        <w:tc>
          <w:tcPr/>
          <w:p>
            <w:pPr>
              <w:pStyle w:val="Compact"/>
              <w:spacing w:after="40" w:before="40"/>
              <w:jc w:val="left"/>
            </w:pPr>
            <w:r>
              <w:rPr>
                <w:rFonts w:ascii="Cambria" w:hAnsi="Cambria" w:cs="Cambria" w:eastAsia="Cambria"/>
                <w:b/>
                <w:bCs/>
                <w:color w:val="1A1A1A"/>
                <w:sz w:val="18"/>
              </w:rPr>
              <w:t xml:space="preserve">Five Case Model</w:t>
            </w:r>
          </w:p>
        </w:tc>
        <w:tc>
          <w:tcPr/>
          <w:p>
            <w:pPr>
              <w:pStyle w:val="Compact"/>
              <w:spacing w:after="40" w:before="40"/>
              <w:jc w:val="left"/>
            </w:pPr>
            <w:r>
              <w:rPr>
                <w:rFonts w:ascii="Cambria" w:hAnsi="Cambria" w:cs="Cambria" w:eastAsia="Cambria"/>
                <w:color w:val="1A1A1A"/>
                <w:sz w:val="18"/>
              </w:rPr>
              <w:t xml:space="preserve">Standard del business case pubblico in cinque casi: strategico, economico, commerciale, finanziario, gestionale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 2022</w:t>
            </w:r>
          </w:p>
        </w:tc>
        <w:tc>
          <w:tcPr>
            <w:shd w:val="clear" w:color="auto" w:fill="F4F1EC"/>
          </w:tcPr>
          <w:p>
            <w:pPr>
              <w:pStyle w:val="Compact"/>
              <w:spacing w:after="40" w:before="40"/>
              <w:jc w:val="left"/>
            </w:pPr>
            <w:r>
              <w:rPr>
                <w:rFonts w:ascii="Cambria" w:hAnsi="Cambria" w:cs="Cambria" w:eastAsia="Cambria"/>
                <w:color w:val="1A1A1A"/>
                <w:sz w:val="18"/>
              </w:rPr>
              <w:t xml:space="preserve">Lista di controllo di 28 voci per la rendicontazione delle valutazioni economiche</w:t>
            </w:r>
          </w:p>
        </w:tc>
      </w:tr>
      <w:tr>
        <w:tc>
          <w:tcPr/>
          <w:p>
            <w:pPr>
              <w:pStyle w:val="Compact"/>
              <w:spacing w:after="40" w:before="40"/>
              <w:jc w:val="left"/>
            </w:pPr>
            <w:r>
              <w:rPr>
                <w:rFonts w:ascii="Cambria" w:hAnsi="Cambria" w:cs="Cambria" w:eastAsia="Cambria"/>
                <w:b/>
                <w:bCs/>
                <w:color w:val="1A1A1A"/>
                <w:sz w:val="18"/>
              </w:rPr>
              <w:t xml:space="preserve">Criteri OCSE-DAC</w:t>
            </w:r>
          </w:p>
        </w:tc>
        <w:tc>
          <w:tcPr/>
          <w:p>
            <w:pPr>
              <w:pStyle w:val="Compact"/>
              <w:spacing w:after="40" w:before="40"/>
              <w:jc w:val="left"/>
            </w:pPr>
            <w:r>
              <w:rPr>
                <w:rFonts w:ascii="Cambria" w:hAnsi="Cambria" w:cs="Cambria" w:eastAsia="Cambria"/>
                <w:color w:val="1A1A1A"/>
                <w:sz w:val="18"/>
              </w:rPr>
              <w:t xml:space="preserve">Sei criteri di giudizio: rilevanza, coerenza, efficacia, efficienza, impatto,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di vita ponderato per la qualità (QALY)</w:t>
            </w:r>
          </w:p>
        </w:tc>
        <w:tc>
          <w:tcPr>
            <w:shd w:val="clear" w:color="auto" w:fill="F4F1EC"/>
          </w:tcPr>
          <w:p>
            <w:pPr>
              <w:pStyle w:val="Compact"/>
              <w:spacing w:after="40" w:before="40"/>
              <w:jc w:val="left"/>
            </w:pPr>
            <w:r>
              <w:rPr>
                <w:rFonts w:ascii="Cambria" w:hAnsi="Cambria" w:cs="Cambria" w:eastAsia="Cambria"/>
                <w:color w:val="1A1A1A"/>
                <w:sz w:val="18"/>
              </w:rPr>
              <w:t xml:space="preserve">Misura che integra durata e qualità della vita guadagnate</w:t>
            </w:r>
          </w:p>
        </w:tc>
      </w:tr>
      <w:tr>
        <w:tc>
          <w:tcPr/>
          <w:p>
            <w:pPr>
              <w:pStyle w:val="Compact"/>
              <w:spacing w:after="40" w:before="40"/>
              <w:jc w:val="left"/>
            </w:pPr>
            <w:r>
              <w:rPr>
                <w:rFonts w:ascii="Cambria" w:hAnsi="Cambria" w:cs="Cambria" w:eastAsia="Cambria"/>
                <w:b/>
                <w:bCs/>
                <w:color w:val="1A1A1A"/>
                <w:sz w:val="18"/>
              </w:rPr>
              <w:t xml:space="preserve">Rapporto incrementale di costo-efficacia (ICER)</w:t>
            </w:r>
          </w:p>
        </w:tc>
        <w:tc>
          <w:tcPr/>
          <w:p>
            <w:pPr>
              <w:pStyle w:val="Compact"/>
              <w:spacing w:after="40" w:before="40"/>
              <w:jc w:val="left"/>
            </w:pPr>
            <w:r>
              <w:rPr>
                <w:rFonts w:ascii="Cambria" w:hAnsi="Cambria" w:cs="Cambria" w:eastAsia="Cambria"/>
                <w:color w:val="1A1A1A"/>
                <w:sz w:val="18"/>
              </w:rPr>
              <w:t xml:space="preserve">Rapporto tra costo aggiuntivo e guadagno di salute, confrontato con una soglia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costo-utilità</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che misura gli esiti in anni di vita ponderati per la qualità</w:t>
            </w:r>
          </w:p>
        </w:tc>
      </w:tr>
      <w:tr>
        <w:tc>
          <w:tcPr/>
          <w:p>
            <w:pPr>
              <w:pStyle w:val="Compact"/>
              <w:spacing w:after="40" w:before="40"/>
              <w:jc w:val="left"/>
            </w:pPr>
            <w:r>
              <w:rPr>
                <w:rFonts w:ascii="Cambria" w:hAnsi="Cambria" w:cs="Cambria" w:eastAsia="Cambria"/>
                <w:b/>
                <w:bCs/>
                <w:color w:val="1A1A1A"/>
                <w:sz w:val="18"/>
              </w:rPr>
              <w:t xml:space="preserve">Analisi di impatto sul bilancio</w:t>
            </w:r>
          </w:p>
        </w:tc>
        <w:tc>
          <w:tcPr/>
          <w:p>
            <w:pPr>
              <w:pStyle w:val="Compact"/>
              <w:spacing w:after="40" w:before="40"/>
              <w:jc w:val="left"/>
            </w:pPr>
            <w:r>
              <w:rPr>
                <w:rFonts w:ascii="Cambria" w:hAnsi="Cambria" w:cs="Cambria" w:eastAsia="Cambria"/>
                <w:color w:val="1A1A1A"/>
                <w:sz w:val="18"/>
              </w:rPr>
              <w:t xml:space="preserve">Stima dell’effetto finanziario sul bilancio del detentore del budget, su flussi non scontati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sull’investimento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Metodo che monetizza il valore sociale generato, distinto dai risparmi di bilancio</w:t>
            </w:r>
          </w:p>
        </w:tc>
      </w:tr>
      <w:tr>
        <w:tc>
          <w:tcPr/>
          <w:p>
            <w:pPr>
              <w:pStyle w:val="Compact"/>
              <w:spacing w:after="40" w:before="40"/>
              <w:jc w:val="left"/>
            </w:pPr>
            <w:r>
              <w:rPr>
                <w:rFonts w:ascii="Cambria" w:hAnsi="Cambria" w:cs="Cambria" w:eastAsia="Cambria"/>
                <w:b/>
                <w:bCs/>
                <w:color w:val="1A1A1A"/>
                <w:sz w:val="18"/>
              </w:rPr>
              <w:t xml:space="preserve">Analisi costo-efficacia distributiva (DCEA)</w:t>
            </w:r>
          </w:p>
        </w:tc>
        <w:tc>
          <w:tcPr/>
          <w:p>
            <w:pPr>
              <w:pStyle w:val="Compact"/>
              <w:spacing w:after="40" w:before="40"/>
              <w:jc w:val="left"/>
            </w:pPr>
            <w:r>
              <w:rPr>
                <w:rFonts w:ascii="Cambria" w:hAnsi="Cambria" w:cs="Cambria" w:eastAsia="Cambria"/>
                <w:color w:val="1A1A1A"/>
                <w:sz w:val="18"/>
              </w:rPr>
              <w:t xml:space="preserve">Estende la valutazione economica alla distribuzione degli effetti tra gruppi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sensibilità probabilistica</w:t>
            </w:r>
          </w:p>
        </w:tc>
        <w:tc>
          <w:tcPr>
            <w:shd w:val="clear" w:color="auto" w:fill="F4F1EC"/>
          </w:tcPr>
          <w:p>
            <w:pPr>
              <w:pStyle w:val="Compact"/>
              <w:spacing w:after="40" w:before="40"/>
              <w:jc w:val="left"/>
            </w:pPr>
            <w:r>
              <w:rPr>
                <w:rFonts w:ascii="Cambria" w:hAnsi="Cambria" w:cs="Cambria" w:eastAsia="Cambria"/>
                <w:color w:val="1A1A1A"/>
                <w:sz w:val="18"/>
              </w:rPr>
              <w:t xml:space="preserve">Propaga l’incertezza dei parametri mediante simulazioni Monte Carlo</w:t>
            </w:r>
          </w:p>
        </w:tc>
      </w:tr>
      <w:tr>
        <w:tc>
          <w:tcPr/>
          <w:p>
            <w:pPr>
              <w:pStyle w:val="Compact"/>
              <w:spacing w:after="40" w:before="40"/>
              <w:jc w:val="left"/>
            </w:pPr>
            <w:r>
              <w:rPr>
                <w:rFonts w:ascii="Cambria" w:hAnsi="Cambria" w:cs="Cambria" w:eastAsia="Cambria"/>
                <w:b/>
                <w:bCs/>
                <w:color w:val="1A1A1A"/>
                <w:sz w:val="18"/>
              </w:rPr>
              <w:t xml:space="preserve">Valore dell’informazione (EVPI, EVPPI)</w:t>
            </w:r>
          </w:p>
        </w:tc>
        <w:tc>
          <w:tcPr/>
          <w:p>
            <w:pPr>
              <w:pStyle w:val="Compact"/>
              <w:spacing w:after="40" w:before="40"/>
              <w:jc w:val="left"/>
            </w:pPr>
            <w:r>
              <w:rPr>
                <w:rFonts w:ascii="Cambria" w:hAnsi="Cambria" w:cs="Cambria" w:eastAsia="Cambria"/>
                <w:color w:val="1A1A1A"/>
                <w:sz w:val="18"/>
              </w:rPr>
              <w:t xml:space="preserve">Beneficio atteso dalla riduzione dell’incertezza, complessiva e sui parametri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Markov</w:t>
            </w:r>
          </w:p>
        </w:tc>
        <w:tc>
          <w:tcPr>
            <w:shd w:val="clear" w:color="auto" w:fill="F4F1EC"/>
          </w:tcPr>
          <w:p>
            <w:pPr>
              <w:pStyle w:val="Compact"/>
              <w:spacing w:after="40" w:before="40"/>
              <w:jc w:val="left"/>
            </w:pPr>
            <w:r>
              <w:rPr>
                <w:rFonts w:ascii="Cambria" w:hAnsi="Cambria" w:cs="Cambria" w:eastAsia="Cambria"/>
                <w:color w:val="1A1A1A"/>
                <w:sz w:val="18"/>
              </w:rPr>
              <w:t xml:space="preserve">Modello che rappresenta il decorso di una condizione attraverso stati di salute e transizioni</w:t>
            </w:r>
          </w:p>
        </w:tc>
      </w:tr>
      <w:tr>
        <w:tc>
          <w:tcPr/>
          <w:p>
            <w:pPr>
              <w:pStyle w:val="Compact"/>
              <w:spacing w:after="40" w:before="40"/>
              <w:jc w:val="left"/>
            </w:pPr>
            <w:r>
              <w:rPr>
                <w:rFonts w:ascii="Cambria" w:hAnsi="Cambria" w:cs="Cambria" w:eastAsia="Cambria"/>
                <w:b/>
                <w:bCs/>
                <w:color w:val="1A1A1A"/>
                <w:sz w:val="18"/>
              </w:rPr>
              <w:t xml:space="preserve">Differenza-nelle-differenze</w:t>
            </w:r>
          </w:p>
        </w:tc>
        <w:tc>
          <w:tcPr/>
          <w:p>
            <w:pPr>
              <w:pStyle w:val="Compact"/>
              <w:spacing w:after="40" w:before="40"/>
              <w:jc w:val="left"/>
            </w:pPr>
            <w:r>
              <w:rPr>
                <w:rFonts w:ascii="Cambria" w:hAnsi="Cambria" w:cs="Cambria" w:eastAsia="Cambria"/>
                <w:color w:val="1A1A1A"/>
                <w:sz w:val="18"/>
              </w:rPr>
              <w:t xml:space="preserve">Metodo controfattuale che confronta la variazione nel tempo dell’esito tra trattati e non trattati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Controllo sintetico</w:t>
            </w:r>
          </w:p>
        </w:tc>
        <w:tc>
          <w:tcPr>
            <w:shd w:val="clear" w:color="auto" w:fill="F4F1EC"/>
          </w:tcPr>
          <w:p>
            <w:pPr>
              <w:pStyle w:val="Compact"/>
              <w:spacing w:after="40" w:before="40"/>
              <w:jc w:val="left"/>
            </w:pPr>
            <w:r>
              <w:rPr>
                <w:rFonts w:ascii="Cambria" w:hAnsi="Cambria" w:cs="Cambria" w:eastAsia="Cambria"/>
                <w:color w:val="1A1A1A"/>
                <w:sz w:val="18"/>
              </w:rPr>
              <w:t xml:space="preserve">Metodo che costruisce un’unità di confronto come combinazione ponderata di unità non trattate</w:t>
            </w:r>
          </w:p>
        </w:tc>
      </w:tr>
      <w:tr>
        <w:tc>
          <w:tcPr/>
          <w:p>
            <w:pPr>
              <w:pStyle w:val="Compact"/>
              <w:spacing w:after="40" w:before="40"/>
              <w:jc w:val="left"/>
            </w:pPr>
            <w:r>
              <w:rPr>
                <w:rFonts w:ascii="Cambria" w:hAnsi="Cambria" w:cs="Cambria" w:eastAsia="Cambria"/>
                <w:b/>
                <w:bCs/>
                <w:color w:val="1A1A1A"/>
                <w:sz w:val="18"/>
              </w:rPr>
              <w:t xml:space="preserve">Dispiegamento scaglionato</w:t>
            </w:r>
          </w:p>
        </w:tc>
        <w:tc>
          <w:tcPr/>
          <w:p>
            <w:pPr>
              <w:pStyle w:val="Compact"/>
              <w:spacing w:after="40" w:before="40"/>
              <w:jc w:val="left"/>
            </w:pPr>
            <w:r>
              <w:rPr>
                <w:rFonts w:ascii="Cambria" w:hAnsi="Cambria" w:cs="Cambria" w:eastAsia="Cambria"/>
                <w:color w:val="1A1A1A"/>
                <w:sz w:val="18"/>
              </w:rPr>
              <w:t xml:space="preserve">Attivazione progressiva che rende le aree non ancora coperte gruppo di confronto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e verifica d’impatto della regolazione</w:t>
            </w:r>
          </w:p>
        </w:tc>
        <w:tc>
          <w:tcPr>
            <w:shd w:val="clear" w:color="auto" w:fill="F4F1EC"/>
          </w:tcPr>
          <w:p>
            <w:pPr>
              <w:pStyle w:val="Compact"/>
              <w:spacing w:after="40" w:before="40"/>
              <w:jc w:val="left"/>
            </w:pPr>
            <w:r>
              <w:rPr>
                <w:rFonts w:ascii="Cambria" w:hAnsi="Cambria" w:cs="Cambria" w:eastAsia="Cambria"/>
                <w:color w:val="1A1A1A"/>
                <w:sz w:val="18"/>
              </w:rPr>
              <w:t xml:space="preserve">Valutazione ex ante (AIR) ed ex post (VIR) degli effetti di una norma</w:t>
            </w:r>
          </w:p>
        </w:tc>
      </w:tr>
      <w:tr>
        <w:tc>
          <w:tcPr/>
          <w:p>
            <w:pPr>
              <w:pStyle w:val="Compact"/>
              <w:spacing w:after="40" w:before="40"/>
              <w:jc w:val="left"/>
            </w:pPr>
            <w:r>
              <w:rPr>
                <w:rFonts w:ascii="Cambria" w:hAnsi="Cambria" w:cs="Cambria" w:eastAsia="Cambria"/>
                <w:b/>
                <w:bCs/>
                <w:color w:val="1A1A1A"/>
                <w:sz w:val="18"/>
              </w:rPr>
              <w:t xml:space="preserve">Clausola valutativa</w:t>
            </w:r>
          </w:p>
        </w:tc>
        <w:tc>
          <w:tcPr/>
          <w:p>
            <w:pPr>
              <w:pStyle w:val="Compact"/>
              <w:spacing w:after="40" w:before="40"/>
              <w:jc w:val="left"/>
            </w:pPr>
            <w:r>
              <w:rPr>
                <w:rFonts w:ascii="Cambria" w:hAnsi="Cambria" w:cs="Cambria" w:eastAsia="Cambria"/>
                <w:color w:val="1A1A1A"/>
                <w:sz w:val="18"/>
              </w:rPr>
              <w:t xml:space="preserve">Strumento che impegna la Giunta a riferire al Consiglio sui risultati della riforma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RE-AIM</w:t>
            </w:r>
          </w:p>
        </w:tc>
        <w:tc>
          <w:tcPr>
            <w:shd w:val="clear" w:color="auto" w:fill="F4F1EC"/>
          </w:tcPr>
          <w:p>
            <w:pPr>
              <w:pStyle w:val="Compact"/>
              <w:spacing w:after="40" w:before="40"/>
              <w:jc w:val="left"/>
            </w:pPr>
            <w:r>
              <w:rPr>
                <w:rFonts w:ascii="Cambria" w:hAnsi="Cambria" w:cs="Cambria" w:eastAsia="Cambria"/>
                <w:color w:val="1A1A1A"/>
                <w:sz w:val="18"/>
              </w:rPr>
              <w:t xml:space="preserve">Quadro che misura portata, efficacia, adozione, implementazione e mantenimento di un intervento</w:t>
            </w:r>
          </w:p>
        </w:tc>
      </w:tr>
      <w:tr>
        <w:tc>
          <w:tcPr/>
          <w:p>
            <w:pPr>
              <w:pStyle w:val="Compact"/>
              <w:spacing w:after="40" w:before="40"/>
              <w:jc w:val="left"/>
            </w:pPr>
            <w:r>
              <w:rPr>
                <w:rFonts w:ascii="Cambria" w:hAnsi="Cambria" w:cs="Cambria" w:eastAsia="Cambria"/>
                <w:b/>
                <w:bCs/>
                <w:color w:val="1A1A1A"/>
                <w:sz w:val="18"/>
              </w:rPr>
              <w:t xml:space="preserve">CFIR</w:t>
            </w:r>
          </w:p>
        </w:tc>
        <w:tc>
          <w:tcPr/>
          <w:p>
            <w:pPr>
              <w:pStyle w:val="Compact"/>
              <w:spacing w:after="40" w:before="40"/>
              <w:jc w:val="left"/>
            </w:pPr>
            <w:r>
              <w:rPr>
                <w:rFonts w:ascii="Cambria" w:hAnsi="Cambria" w:cs="Cambria" w:eastAsia="Cambria"/>
                <w:color w:val="1A1A1A"/>
                <w:sz w:val="18"/>
              </w:rPr>
              <w:t xml:space="preserve">Quadro che spiega i determinanti dell’implementazione, in cinque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Donabedian</w:t>
            </w:r>
          </w:p>
        </w:tc>
        <w:tc>
          <w:tcPr>
            <w:shd w:val="clear" w:color="auto" w:fill="F4F1EC"/>
          </w:tcPr>
          <w:p>
            <w:pPr>
              <w:pStyle w:val="Compact"/>
              <w:spacing w:after="40" w:before="40"/>
              <w:jc w:val="left"/>
            </w:pPr>
            <w:r>
              <w:rPr>
                <w:rFonts w:ascii="Cambria" w:hAnsi="Cambria" w:cs="Cambria" w:eastAsia="Cambria"/>
                <w:color w:val="1A1A1A"/>
                <w:sz w:val="18"/>
              </w:rPr>
              <w:t xml:space="preserve">Classifica gli indicatori di qualità in struttura, processo ed esito, qui integrati dall’impatto</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Questionario validato per i sintomi depressivi (punteggio 0–27)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Questionario validato per i sintomi d’ansia (punteggio 0–21)</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Quota di pazienti che scende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r>
        <w:tc>
          <w:tcPr/>
          <w:p>
            <w:pPr>
              <w:pStyle w:val="Compact"/>
              <w:spacing w:after="40" w:before="40"/>
              <w:jc w:val="left"/>
            </w:pPr>
            <w:r>
              <w:rPr>
                <w:rFonts w:ascii="Cambria" w:hAnsi="Cambria" w:cs="Cambria" w:eastAsia="Cambria"/>
                <w:b/>
                <w:bCs/>
                <w:color w:val="1A1A1A"/>
                <w:sz w:val="18"/>
              </w:rPr>
              <w:t xml:space="preserve">Cura collaborativa</w:t>
            </w:r>
          </w:p>
        </w:tc>
        <w:tc>
          <w:tcPr/>
          <w:p>
            <w:pPr>
              <w:pStyle w:val="Compact"/>
              <w:spacing w:after="40" w:before="40"/>
              <w:jc w:val="left"/>
            </w:pPr>
            <w:r>
              <w:rPr>
                <w:rFonts w:ascii="Cambria" w:hAnsi="Cambria" w:cs="Cambria" w:eastAsia="Cambria"/>
                <w:color w:val="1A1A1A"/>
                <w:sz w:val="18"/>
              </w:rPr>
              <w:t xml:space="preserve">Modello di integrazione della salute mentale nelle cure primarie con équipe e monitoraggio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Cura a intensità crescente</w:t>
            </w:r>
          </w:p>
        </w:tc>
        <w:tc>
          <w:tcPr>
            <w:shd w:val="clear" w:color="auto" w:fill="F4F1EC"/>
          </w:tcPr>
          <w:p>
            <w:pPr>
              <w:pStyle w:val="Compact"/>
              <w:spacing w:after="40" w:before="40"/>
              <w:jc w:val="left"/>
            </w:pPr>
            <w:r>
              <w:rPr>
                <w:rFonts w:ascii="Cambria" w:hAnsi="Cambria" w:cs="Cambria" w:eastAsia="Cambria"/>
                <w:color w:val="1A1A1A"/>
                <w:sz w:val="18"/>
              </w:rPr>
              <w:t xml:space="preserve">Percorso che gradua l’intensità dell’intervento alla gravità del quadro</w:t>
            </w:r>
          </w:p>
        </w:tc>
      </w:tr>
      <w:tr>
        <w:tc>
          <w:tcPr/>
          <w:p>
            <w:pPr>
              <w:pStyle w:val="Compact"/>
              <w:spacing w:after="40" w:before="40"/>
              <w:jc w:val="left"/>
            </w:pPr>
            <w:r>
              <w:rPr>
                <w:rFonts w:ascii="Cambria" w:hAnsi="Cambria" w:cs="Cambria" w:eastAsia="Cambria"/>
                <w:b/>
                <w:bCs/>
                <w:color w:val="1A1A1A"/>
                <w:sz w:val="18"/>
              </w:rPr>
              <w:t xml:space="preserve">Livelli essenziali di assistenza (LEA)</w:t>
            </w:r>
          </w:p>
        </w:tc>
        <w:tc>
          <w:tcPr/>
          <w:p>
            <w:pPr>
              <w:pStyle w:val="Compact"/>
              <w:spacing w:after="40" w:before="40"/>
              <w:jc w:val="left"/>
            </w:pPr>
            <w:r>
              <w:rPr>
                <w:rFonts w:ascii="Cambria" w:hAnsi="Cambria" w:cs="Cambria" w:eastAsia="Cambria"/>
                <w:color w:val="1A1A1A"/>
                <w:sz w:val="18"/>
              </w:rPr>
              <w:t xml:space="preserve">Prestazioni garantite uniformemente dal Servizio sanitario;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passiva</w:t>
            </w:r>
          </w:p>
        </w:tc>
        <w:tc>
          <w:tcPr>
            <w:shd w:val="clear" w:color="auto" w:fill="F4F1EC"/>
          </w:tcPr>
          <w:p>
            <w:pPr>
              <w:pStyle w:val="Compact"/>
              <w:spacing w:after="40" w:before="40"/>
              <w:jc w:val="left"/>
            </w:pPr>
            <w:r>
              <w:rPr>
                <w:rFonts w:ascii="Cambria" w:hAnsi="Cambria" w:cs="Cambria" w:eastAsia="Cambria"/>
                <w:color w:val="1A1A1A"/>
                <w:sz w:val="18"/>
              </w:rPr>
              <w:t xml:space="preserve">Spesa per prestazioni rese ai residenti da strutture di altre regioni</w:t>
            </w:r>
          </w:p>
        </w:tc>
      </w:tr>
      <w:tr>
        <w:tc>
          <w:tcPr/>
          <w:p>
            <w:pPr>
              <w:pStyle w:val="Compact"/>
              <w:spacing w:after="40" w:before="40"/>
              <w:jc w:val="left"/>
            </w:pPr>
            <w:r>
              <w:rPr>
                <w:rFonts w:ascii="Cambria" w:hAnsi="Cambria" w:cs="Cambria" w:eastAsia="Cambria"/>
                <w:b/>
                <w:bCs/>
                <w:color w:val="1A1A1A"/>
                <w:sz w:val="18"/>
              </w:rPr>
              <w:t xml:space="preserve">Sintomi somatici funzionali</w:t>
            </w:r>
          </w:p>
        </w:tc>
        <w:tc>
          <w:tcPr/>
          <w:p>
            <w:pPr>
              <w:pStyle w:val="Compact"/>
              <w:spacing w:after="40" w:before="40"/>
              <w:jc w:val="left"/>
            </w:pPr>
            <w:r>
              <w:rPr>
                <w:rFonts w:ascii="Cambria" w:hAnsi="Cambria" w:cs="Cambria" w:eastAsia="Cambria"/>
                <w:color w:val="1A1A1A"/>
                <w:sz w:val="18"/>
              </w:rPr>
              <w:t xml:space="preserve">Sintomi fisici senza causa organica, associati a elevato consumo di prestazioni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concentrazione</w:t>
            </w:r>
          </w:p>
        </w:tc>
        <w:tc>
          <w:tcPr>
            <w:shd w:val="clear" w:color="auto" w:fill="F4F1EC"/>
          </w:tcPr>
          <w:p>
            <w:pPr>
              <w:pStyle w:val="Compact"/>
              <w:spacing w:after="40" w:before="40"/>
              <w:jc w:val="left"/>
            </w:pPr>
            <w:r>
              <w:rPr>
                <w:rFonts w:ascii="Cambria" w:hAnsi="Cambria" w:cs="Cambria" w:eastAsia="Cambria"/>
                <w:color w:val="1A1A1A"/>
                <w:sz w:val="18"/>
              </w:rPr>
              <w:t xml:space="preserve">Misura che lega l’esito di salute alla posizione socio-economica</w:t>
            </w:r>
          </w:p>
        </w:tc>
      </w:tr>
      <w:tr>
        <w:tc>
          <w:tcPr/>
          <w:p>
            <w:pPr>
              <w:pStyle w:val="Compact"/>
              <w:spacing w:after="40" w:before="40"/>
              <w:jc w:val="left"/>
            </w:pPr>
            <w:r>
              <w:rPr>
                <w:rFonts w:ascii="Cambria" w:hAnsi="Cambria" w:cs="Cambria" w:eastAsia="Cambria"/>
                <w:b/>
                <w:bCs/>
                <w:color w:val="1A1A1A"/>
                <w:sz w:val="18"/>
              </w:rPr>
              <w:t xml:space="preserve">Peso morto</w:t>
            </w:r>
          </w:p>
        </w:tc>
        <w:tc>
          <w:tcPr/>
          <w:p>
            <w:pPr>
              <w:pStyle w:val="Compact"/>
              <w:spacing w:after="40" w:before="40"/>
              <w:jc w:val="left"/>
            </w:pPr>
            <w:r>
              <w:rPr>
                <w:rFonts w:ascii="Cambria" w:hAnsi="Cambria" w:cs="Cambria" w:eastAsia="Cambria"/>
                <w:color w:val="1A1A1A"/>
                <w:sz w:val="18"/>
              </w:rPr>
              <w:t xml:space="preserve">Quota dell’esito che si sarebbe verificata anche senza l’intervento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Soglia di disponibilità a pagare</w:t>
            </w:r>
          </w:p>
        </w:tc>
        <w:tc>
          <w:tcPr>
            <w:shd w:val="clear" w:color="auto" w:fill="F4F1EC"/>
          </w:tcPr>
          <w:p>
            <w:pPr>
              <w:pStyle w:val="Compact"/>
              <w:spacing w:after="40" w:before="40"/>
              <w:jc w:val="left"/>
            </w:pPr>
            <w:r>
              <w:rPr>
                <w:rFonts w:ascii="Cambria" w:hAnsi="Cambria" w:cs="Cambria" w:eastAsia="Cambria"/>
                <w:color w:val="1A1A1A"/>
                <w:sz w:val="18"/>
              </w:rPr>
              <w:t xml:space="preserve">Valore monetario massimo attribuito a un anno di vita ponderato (riferimento 30.000 €)</w:t>
            </w:r>
          </w:p>
        </w:tc>
      </w:tr>
    </w:tbl>
    <w:p>
      <w:pPr>
        <w:pStyle w:val="BodyText"/>
      </w:pPr>
      <w:r>
        <w:rPr>
          <w:i/>
          <w:iCs/>
        </w:rPr>
        <w:t xml:space="preserve">Tabella E.1. Glossario dei principali termini tecnici impiegati nello studio.</w:t>
      </w:r>
    </w:p>
    <w:p>
      <w:pPr>
        <w:pStyle w:val="BodyText"/>
      </w:pPr>
      <w:r>
        <w:t xml:space="preserve">Con questa appendice si conclude il corredo documentale dello studio integrale per la Puglia. L’insieme delle undici parti narrative, dalla A alla M, e delle cinque appendici, dalla A alla E, costituisce un’architettura completa e autosufficiente, costruita sul telaio integrato e fondata sulla distinzione, mantenuta in ogni parte, tra ciò che il servizio fa risparmiare al bilancio e ciò che restituisce alla società. Lo stesso impianto, mutati i soli dati di ingresso, è trasferibile a ciascuna delle altre regioni.</w:t>
      </w:r>
    </w:p>
    <w:bookmarkEnd w:id="1833"/>
    <w:bookmarkEnd w:id="1834"/>
    <w:bookmarkStart w:id="1850" w:name="X371c229a68a21f0359421c63b1683d6f315e132"/>
    <w:p>
      <w:pPr>
        <w:pStyle w:val="Heading2"/>
      </w:pPr>
      <w:r>
        <w:t xml:space="preserve">Note Bibliografiche Integrali dello studio HTA</w:t>
      </w:r>
    </w:p>
    <w:p>
      <w:pPr>
        <w:pStyle w:val="FirstParagraph"/>
      </w:pPr>
      <w:r>
        <w:t xml:space="preserve">Studio Integrale Regionale Puglia · Note bibliografiche integrali</w:t>
      </w:r>
    </w:p>
    <w:p>
      <w:pPr>
        <w:pStyle w:val="BodyText"/>
      </w:pPr>
      <w:r>
        <w:rPr>
          <w:b/>
          <w:bCs/>
        </w:rPr>
        <w:t xml:space="preserve">PROGETTO «PSICOLOGO DI BASE» · REGIONE PUGLIA</w:t>
      </w:r>
    </w:p>
    <w:p>
      <w:pPr>
        <w:pStyle w:val="BodyText"/>
      </w:pPr>
      <w:r>
        <w:t xml:space="preserve">Studio Integrale Regionale (L.R. 11/2023)</w:t>
      </w:r>
    </w:p>
    <w:p>
      <w:pPr>
        <w:pStyle w:val="BodyText"/>
      </w:pPr>
      <w:r>
        <w:rPr>
          <w:b/>
          <w:bCs/>
        </w:rPr>
        <w:t xml:space="preserve">Note bibliografiche integrali</w:t>
      </w:r>
    </w:p>
    <w:p>
      <w:pPr>
        <w:pStyle w:val="BodyText"/>
      </w:pPr>
      <w:r>
        <w:rPr>
          <w:b/>
          <w:bCs/>
        </w:rPr>
        <w:t xml:space="preserve">Apparato completo dell’intero corpus</w:t>
      </w:r>
    </w:p>
    <w:p>
      <w:pPr>
        <w:pStyle w:val="BodyText"/>
      </w:pPr>
      <w:r>
        <w:rPr>
          <w:i/>
          <w:iCs/>
        </w:rPr>
        <w:t xml:space="preserve">233 note, riprodotte per intero, nei 14 documenti dello studio</w:t>
      </w:r>
    </w:p>
    <w:p>
      <w:pPr>
        <w:pStyle w:val="BodyText"/>
      </w:pPr>
      <w:r>
        <w:t xml:space="preserve">Telaio integrato · parti A-M · appendici A-E · frontespizio</w:t>
      </w:r>
    </w:p>
    <w:p>
      <w:pPr>
        <w:pStyle w:val="BodyText"/>
      </w:pPr>
      <w:r>
        <w:rPr>
          <w:b/>
          <w:bCs/>
        </w:rPr>
        <w:t xml:space="preserve">Indice</w:t>
      </w:r>
    </w:p>
    <w:bookmarkStart w:id="1835" w:name="premessa-15"/>
    <w:p>
      <w:pPr>
        <w:pStyle w:val="Heading3"/>
      </w:pPr>
      <w:r>
        <w:t xml:space="preserve">Premessa</w:t>
      </w:r>
    </w:p>
    <w:p>
      <w:pPr>
        <w:pStyle w:val="FirstParagraph"/>
      </w:pPr>
      <w:r>
        <w:t xml:space="preserve">Questo documento raccoglie, per intero e senza omissioni, l’apparato delle note bibliografiche dello studio integrale per la Regione Puglia sulla riforma del Servizio di Psicologia di Base. Le note sono riprodotte nella loro forma completa, e non riassuntiva, e sono ordinate documento per documento, secondo l’ordine di comparsa all’interno di ciascuno; la numerazione di ogni nota corrisponde a quella che essa ha nel documento di origine, cosicché il riferimento sia integralmente tracciabile.</w:t>
      </w:r>
    </w:p>
    <w:p>
      <w:pPr>
        <w:pStyle w:val="BodyText"/>
      </w:pPr>
      <w:r>
        <w:t xml:space="preserve">L’apparato comprende complessivamente 233 note, distribuite nei 14 documenti del corpus: il telaio integrato, le undici parti narrative dalla A alla M, le cinque appendici e il frontespizio. Alcune note ricorrono in più documenti, poiché i medesimi riferimenti — normativi, giurisprudenziali, programmatici o metodologici — sono richiamati in tutte le parti che vi attingono; in questa sede ciascuna è riportata nella posizione che occupa nel rispettivo documento, a garanzia dell’esaustività dell’elenco. Le note documentano le fonti istituzionali, la letteratura scientifica, i riferimenti normativi e gli standard metodologici su cui l’intero studio si fonda.</w:t>
      </w:r>
    </w:p>
    <w:bookmarkEnd w:id="1835"/>
    <w:bookmarkStart w:id="1836" w:name="telaio-integrato-dello-studio-regionale"/>
    <w:p>
      <w:pPr>
        <w:pStyle w:val="Heading3"/>
      </w:pPr>
      <w:r>
        <w:t xml:space="preserve">Telaio integrato dello studio regionale</w:t>
      </w:r>
    </w:p>
    <w:p>
      <w:pPr>
        <w:pStyle w:val="FirstParagraph"/>
      </w:pPr>
      <w:r>
        <w:rPr>
          <w:i/>
          <w:iCs/>
        </w:rPr>
        <w:t xml:space="preserve">26 note bibliografiche.</w:t>
      </w:r>
    </w:p>
    <w:p>
      <w:pPr>
        <w:pStyle w:val="BodyText"/>
      </w:pPr>
      <w:r>
        <w:rPr>
          <w:b/>
          <w:bCs/>
        </w:rPr>
        <w:t xml:space="preserve">1. </w:t>
      </w:r>
      <w:r>
        <w:t xml:space="preserve">Regolamento (UE) 2021/2282 sull’Health Technology Assessment, applicabile in tutti gli Stati membri dal 12 gennaio 2025: istituisce la valutazione clinica congiunta a livello europeo; la metodologia è stata predisposta dal consorzio EUnetHTA 21 (tredici organismi di HTA, venti documenti di guida e tredici modelli) e adottata dal Gruppo di coordinamento degli Stati membri.</w:t>
      </w:r>
    </w:p>
    <w:p>
      <w:pPr>
        <w:pStyle w:val="BodyText"/>
      </w:pPr>
      <w:r>
        <w:rPr>
          <w:b/>
          <w:bCs/>
        </w:rPr>
        <w:t xml:space="preserve">2. </w:t>
      </w:r>
      <w:r>
        <w:t xml:space="preserve">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w:t>
      </w:r>
    </w:p>
    <w:p>
      <w:pPr>
        <w:pStyle w:val="BodyText"/>
      </w:pPr>
      <w:r>
        <w:rPr>
          <w:b/>
          <w:bCs/>
        </w:rPr>
        <w:t xml:space="preserve">3. </w:t>
      </w:r>
      <w:r>
        <w:t xml:space="preserve">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w:t>
      </w:r>
    </w:p>
    <w:p>
      <w:pPr>
        <w:pStyle w:val="BodyText"/>
      </w:pPr>
      <w:r>
        <w:rPr>
          <w:b/>
          <w:bCs/>
        </w:rPr>
        <w:t xml:space="preserve">4. </w:t>
      </w:r>
      <w:r>
        <w:t xml:space="preserve">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w:t>
      </w:r>
    </w:p>
    <w:p>
      <w:pPr>
        <w:pStyle w:val="BodyText"/>
      </w:pPr>
      <w:r>
        <w:rPr>
          <w:b/>
          <w:bCs/>
        </w:rPr>
        <w:t xml:space="preserve">5. </w:t>
      </w:r>
      <w:r>
        <w:t xml:space="preserve">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organizzativo, il profilo del paziente e sociale, il profilo giuridico. La valutazione rapida di efficacia relativa copre i soli primi quattro domini; la valutazione completa li copre tutti.</w:t>
      </w:r>
    </w:p>
    <w:p>
      <w:pPr>
        <w:pStyle w:val="BodyText"/>
      </w:pPr>
      <w:r>
        <w:rPr>
          <w:b/>
          <w:bCs/>
        </w:rPr>
        <w:t xml:space="preserve">6. </w:t>
      </w:r>
      <w:r>
        <w:t xml:space="preserve">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w:t>
      </w:r>
    </w:p>
    <w:p>
      <w:pPr>
        <w:pStyle w:val="BodyText"/>
      </w:pPr>
      <w:r>
        <w:rPr>
          <w:b/>
          <w:bCs/>
        </w:rPr>
        <w:t xml:space="preserve">7. </w:t>
      </w:r>
      <w:r>
        <w:t xml:space="preserve">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w:t>
      </w:r>
    </w:p>
    <w:p>
      <w:pPr>
        <w:pStyle w:val="BodyText"/>
      </w:pPr>
      <w:r>
        <w:rPr>
          <w:b/>
          <w:bCs/>
        </w:rPr>
        <w:t xml:space="preserve">8. </w:t>
      </w:r>
      <w:r>
        <w:t xml:space="preserve">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w:t>
      </w:r>
    </w:p>
    <w:p>
      <w:pPr>
        <w:pStyle w:val="BodyText"/>
      </w:pPr>
      <w:r>
        <w:rPr>
          <w:b/>
          <w:bCs/>
        </w:rPr>
        <w:t xml:space="preserve">9. </w:t>
      </w:r>
      <w:r>
        <w:t xml:space="preserve">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organizzativo, il profilo del paziente e sociale, il profilo giuridico. La valutazione rapida di efficacia relativa copre i soli primi quattro domini; la valutazione completa li copre tutti.</w:t>
      </w:r>
    </w:p>
    <w:p>
      <w:pPr>
        <w:pStyle w:val="BodyText"/>
      </w:pPr>
      <w:r>
        <w:rPr>
          <w:b/>
          <w:bCs/>
        </w:rPr>
        <w:t xml:space="preserve">10. </w:t>
      </w:r>
      <w:r>
        <w:t xml:space="preserve">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w:t>
      </w:r>
    </w:p>
    <w:p>
      <w:pPr>
        <w:pStyle w:val="BodyText"/>
      </w:pPr>
      <w:r>
        <w:rPr>
          <w:b/>
          <w:bCs/>
        </w:rPr>
        <w:t xml:space="preserve">11. </w:t>
      </w:r>
      <w:r>
        <w:t xml:space="preserve">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w:t>
      </w:r>
    </w:p>
    <w:p>
      <w:pPr>
        <w:pStyle w:val="BodyText"/>
      </w:pPr>
      <w:r>
        <w:rPr>
          <w:b/>
          <w:bCs/>
        </w:rPr>
        <w:t xml:space="preserve">12. </w:t>
      </w:r>
      <w:r>
        <w:t xml:space="preserve">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w:t>
      </w:r>
    </w:p>
    <w:p>
      <w:pPr>
        <w:pStyle w:val="BodyText"/>
      </w:pPr>
      <w:r>
        <w:rPr>
          <w:b/>
          <w:bCs/>
        </w:rPr>
        <w:t xml:space="preserve">13. </w:t>
      </w:r>
      <w:r>
        <w:t xml:space="preserve">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w:t>
      </w:r>
    </w:p>
    <w:p>
      <w:pPr>
        <w:pStyle w:val="BodyText"/>
      </w:pPr>
      <w:r>
        <w:rPr>
          <w:b/>
          <w:bCs/>
        </w:rPr>
        <w:t xml:space="preserve">14. </w:t>
      </w:r>
      <w:r>
        <w:t xml:space="preserve">Principi di buona pratica dell’ISPOR per l’analisi di impatto sul bilancio: ne definiscono il metodo, distinto dalla costo-efficacia, su un orizzonte di bilancio tipicamente triennale o quinquennale, con l’obiettivo di stimare la sostenibilità finanziaria dell’adozione.</w:t>
      </w:r>
    </w:p>
    <w:p>
      <w:pPr>
        <w:pStyle w:val="BodyText"/>
      </w:pPr>
      <w:r>
        <w:rPr>
          <w:b/>
          <w:bCs/>
        </w:rPr>
        <w:t xml:space="preserve">15. </w:t>
      </w:r>
      <w:r>
        <w:t xml:space="preserve">Buone pratiche di ricerca sulla modellazione (ISPOR-SMDM): definiscono i criteri di costruzione e validazione dei modelli decisionali — alberi, modelli di Markov, microsimulazione — e la corretta gestione dell’incertezza.</w:t>
      </w:r>
    </w:p>
    <w:p>
      <w:pPr>
        <w:pStyle w:val="BodyText"/>
      </w:pPr>
      <w:r>
        <w:rPr>
          <w:b/>
          <w:bCs/>
        </w:rPr>
        <w:t xml:space="preserve">16. </w:t>
      </w:r>
      <w:r>
        <w:t xml:space="preserve">Analisi del valore dell’informazione (valore atteso dell’informazione perfetta, complessiva e sui parametri): quantifica il valore di ridurre l’incertezza dei parametri e stabilisce le priorità della ricerca futura.</w:t>
      </w:r>
    </w:p>
    <w:p>
      <w:pPr>
        <w:pStyle w:val="BodyText"/>
      </w:pPr>
      <w:r>
        <w:rPr>
          <w:b/>
          <w:bCs/>
        </w:rPr>
        <w:t xml:space="preserve">17. </w:t>
      </w:r>
      <w:r>
        <w:t xml:space="preserve">Ritorno sociale sull’investimento (SROI), secondo i principi internazionali di Social Value: monetizza il valore sociale generato, con la cautela di distinguerlo dai risparmi diretti per il bilancio.</w:t>
      </w:r>
    </w:p>
    <w:p>
      <w:pPr>
        <w:pStyle w:val="BodyText"/>
      </w:pPr>
      <w:r>
        <w:rPr>
          <w:b/>
          <w:bCs/>
        </w:rPr>
        <w:t xml:space="preserve">18. </w:t>
      </w:r>
      <w:r>
        <w:t xml:space="preserve">Analisi costo-efficacia distributiva (DCEA): estende la valutazione economica alla dimensione dell’equità, stimando la distribuzione di costi ed esiti tra sottogruppi e l’effetto sulle disuguaglianze.</w:t>
      </w:r>
    </w:p>
    <w:p>
      <w:pPr>
        <w:pStyle w:val="BodyText"/>
      </w:pPr>
      <w:r>
        <w:rPr>
          <w:b/>
          <w:bCs/>
        </w:rPr>
        <w:t xml:space="preserve">19. </w:t>
      </w:r>
      <w:r>
        <w:t xml:space="preserve">Disegni per la stima causale degli effetti: il dispiegamento scaglionato (stepped-wedge), la differenza-nelle-differenze e il controllo sintetico, che sfruttano l’attivazione in tempi diversi per misurare l’effetto reale dell’intervento.</w:t>
      </w:r>
    </w:p>
    <w:p>
      <w:pPr>
        <w:pStyle w:val="BodyText"/>
      </w:pPr>
      <w:r>
        <w:rPr>
          <w:b/>
          <w:bCs/>
        </w:rPr>
        <w:t xml:space="preserve">20. </w:t>
      </w:r>
      <w:r>
        <w:t xml:space="preserve">Modello di Donabedian per la qualità dell’assistenza: distingue le dimensioni di struttura, processo ed esito, qui integrate dalla dimensione di impatto, ed è l’ossatura del sistema di indicatori.</w:t>
      </w:r>
    </w:p>
    <w:p>
      <w:pPr>
        <w:pStyle w:val="BodyText"/>
      </w:pPr>
      <w:r>
        <w:rPr>
          <w:b/>
          <w:bCs/>
        </w:rPr>
        <w:t xml:space="preserve">21. </w:t>
      </w:r>
      <w:r>
        <w:t xml:space="preserve">Manuale OCSE-JRC per la costruzione di indicatori compositi: articola in dieci passi la costruzione e la validazione delle misure di sintesi, dalla selezione dei dati all’analisi di robustezza.</w:t>
      </w:r>
    </w:p>
    <w:p>
      <w:pPr>
        <w:pStyle w:val="BodyText"/>
      </w:pPr>
      <w:r>
        <w:rPr>
          <w:b/>
          <w:bCs/>
        </w:rPr>
        <w:t xml:space="preserve">22. </w:t>
      </w:r>
      <w:r>
        <w:t xml:space="preserve">Buone pratiche emergenti dell’ISPOR per l’analisi multi-criterio: definiscono i passi della ponderazione esplicita dei criteri non monetari e la costruzione della matrice delle prestazioni.</w:t>
      </w:r>
    </w:p>
    <w:p>
      <w:pPr>
        <w:pStyle w:val="BodyText"/>
      </w:pPr>
      <w:r>
        <w:rPr>
          <w:b/>
          <w:bCs/>
        </w:rPr>
        <w:t xml:space="preserve">23. </w:t>
      </w:r>
      <w:r>
        <w:t xml:space="preserve">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w:t>
      </w:r>
    </w:p>
    <w:p>
      <w:pPr>
        <w:pStyle w:val="BodyText"/>
      </w:pPr>
      <w:r>
        <w:rPr>
          <w:b/>
          <w:bCs/>
        </w:rPr>
        <w:t xml:space="preserve">24. </w:t>
      </w:r>
      <w:r>
        <w:t xml:space="preserve">Caso di riferimento adottato: doppia prospettiva del Servizio sanitario regionale e della società, orizzonte pluriennale per gli esiti e triennale-quinquennale per il bilancio, tasso di sconto del 3% annuo, anni di vita ponderati per la qualità ed esiti clinici come misure, servizio attuale come comparatore.</w:t>
      </w:r>
    </w:p>
    <w:p>
      <w:pPr>
        <w:pStyle w:val="BodyText"/>
      </w:pPr>
      <w:r>
        <w:rPr>
          <w:b/>
          <w:bCs/>
        </w:rPr>
        <w:t xml:space="preserve">25. </w:t>
      </w:r>
      <w:r>
        <w:t xml:space="preserve">Sintesi dell’evidenza e sua qualità: la lista PRISMA 2020 per le revisioni sistematiche, il sistema GRADE per la certezza dell’evidenza e la lista STROBE per gli studi osservazionali sui dati reali.</w:t>
      </w:r>
    </w:p>
    <w:p>
      <w:pPr>
        <w:pStyle w:val="BodyText"/>
      </w:pPr>
      <w:r>
        <w:rPr>
          <w:b/>
          <w:bCs/>
        </w:rPr>
        <w:t xml:space="preserve">26. </w:t>
      </w:r>
      <w:r>
        <w:t xml:space="preserve">Generalizzazione regionale: l’architettura, il caso di riferimento, i metodi e gli standard di reporting sono fissi e comuni; varia il solo insieme dei dati di ingresso che ciascuna regione fornisce, e la comparabilità tra regioni è garantita dall’uniformità del caso di riferimento e dell’insieme degli indicatori.</w:t>
      </w:r>
    </w:p>
    <w:bookmarkEnd w:id="1836"/>
    <w:bookmarkStart w:id="1837" w:name="parte-a-quadro-quesito-e-metodo-2"/>
    <w:p>
      <w:pPr>
        <w:pStyle w:val="Heading3"/>
      </w:pPr>
      <w:r>
        <w:t xml:space="preserve">Parte A — Quadro, quesito e metodo</w:t>
      </w:r>
    </w:p>
    <w:p>
      <w:pPr>
        <w:pStyle w:val="FirstParagraph"/>
      </w:pPr>
      <w:r>
        <w:rPr>
          <w:i/>
          <w:iCs/>
        </w:rPr>
        <w:t xml:space="preserve">15 note bibliografiche.</w:t>
      </w:r>
    </w:p>
    <w:p>
      <w:pPr>
        <w:pStyle w:val="BodyText"/>
      </w:pPr>
      <w:r>
        <w:rPr>
          <w:b/>
          <w:bCs/>
        </w:rPr>
        <w:t xml:space="preserve">1. </w:t>
      </w:r>
      <w:r>
        <w:t xml:space="preserve">Legge regionale della Puglia n. 11 del 15 giugno 2023, prima in Italia a istituire il servizio: prevede lo psicologo di base in ogni Distretto e nelle Case della Comunità, il rapporto in convenzione, una funzione di filtro verso i servizi specialistici e il pronto soccorso, e un Osservatorio regionale di governo.</w:t>
      </w:r>
    </w:p>
    <w:p>
      <w:pPr>
        <w:pStyle w:val="BodyText"/>
      </w:pPr>
      <w:r>
        <w:rPr>
          <w:b/>
          <w:bCs/>
        </w:rPr>
        <w:t xml:space="preserve">2. </w:t>
      </w:r>
      <w:r>
        <w:t xml:space="preserve">Il servizio attuale conta circa 45 psicologi a fronte di uno stanziamento di 1,5 milioni di euro l’anno, pari a circa il 5% del fabbisogno; il fabbisogno a regime è stimato nell’ordine di 800–900 psicologi per l’intera regione, con scenari di copertura a circa 450, 700 e 900 incarichi.</w:t>
      </w:r>
    </w:p>
    <w:p>
      <w:pPr>
        <w:pStyle w:val="BodyText"/>
      </w:pPr>
      <w:r>
        <w:rPr>
          <w:b/>
          <w:bCs/>
        </w:rPr>
        <w:t xml:space="preserve">3. </w:t>
      </w:r>
      <w:r>
        <w:t xml:space="preserve">Salute mentale in Puglia: circa 780.000 persone con disagio psichico comune o sottosoglia; circa 55.000 utenti in carico ai Dipartimenti di Salute Mentale; 18.939 nuovi utenti nel 2023.</w:t>
      </w:r>
    </w:p>
    <w:p>
      <w:pPr>
        <w:pStyle w:val="BodyText"/>
      </w:pPr>
      <w:r>
        <w:rPr>
          <w:b/>
          <w:bCs/>
        </w:rPr>
        <w:t xml:space="preserve">4. </w:t>
      </w:r>
      <w:r>
        <w:t xml:space="preserve">Popolazione residente in Puglia 3.877.395 (Censimento permanente ISTAT 2024), circa il 6,6% della popolazione nazionale; il Servizio sanitario regionale si articola in sei aziende sanitarie locali e quarantacinque distretti.</w:t>
      </w:r>
    </w:p>
    <w:p>
      <w:pPr>
        <w:pStyle w:val="BodyText"/>
      </w:pPr>
      <w:r>
        <w:rPr>
          <w:b/>
          <w:bCs/>
        </w:rPr>
        <w:t xml:space="preserve">5. </w:t>
      </w:r>
      <w:r>
        <w:t xml:space="preserve">Le quattro cornici metodologiche apicali adottate: il modello centrale dell’HTA di EUnetHTA (nove domini), oggi nella cornice del Regolamento UE 2021/2282; il Five Case Model del Green Book del Tesoro britannico; lo standard di reporting economico CHEERS 2022; e i sei criteri di valutazione dell’OCSE-DAC, riveduti nel 2019.</w:t>
      </w:r>
    </w:p>
    <w:p>
      <w:pPr>
        <w:pStyle w:val="BodyText"/>
      </w:pPr>
      <w:r>
        <w:rPr>
          <w:b/>
          <w:bCs/>
        </w:rPr>
        <w:t xml:space="preserve">6. </w:t>
      </w:r>
      <w:r>
        <w:t xml:space="preserve">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w:t>
      </w:r>
    </w:p>
    <w:p>
      <w:pPr>
        <w:pStyle w:val="BodyText"/>
      </w:pPr>
      <w:r>
        <w:rPr>
          <w:b/>
          <w:bCs/>
        </w:rPr>
        <w:t xml:space="preserve">7. </w:t>
      </w:r>
      <w:r>
        <w:t xml:space="preserve">L’analisi di impatto sul bilancio opera, conformemente alla buona pratica internazionale, su flussi non scontati, poiché il suo oggetto è la sostenibilità della spesa effettiva anno per anno; le analisi di costo-utilità attualizzano simmetricamente costi ed esiti al medesimo tasso del 3%; il modello incorpora una correzione prudenziale per l’ottimismo, adottando per le conclusioni il valore centrale o l’estremo conservativo.</w:t>
      </w:r>
    </w:p>
    <w:p>
      <w:pPr>
        <w:pStyle w:val="BodyText"/>
      </w:pPr>
      <w:r>
        <w:rPr>
          <w:b/>
          <w:bCs/>
        </w:rPr>
        <w:t xml:space="preserve">8. </w:t>
      </w:r>
      <w:r>
        <w:t xml:space="preserve">Le dieci metodologie innestate nello studio: costo-utilità, impatto sul bilancio, ritorno sociale, modellazione decisionale, sensibilità probabilistica e valore dell’informazione, costo-efficacia distributiva, inferenza causale quasi-sperimentale, revisione sistematica e GRADE, analisi multi-criterio, analisi di impatto della regolamentazione.</w:t>
      </w:r>
    </w:p>
    <w:p>
      <w:pPr>
        <w:pStyle w:val="BodyText"/>
      </w:pPr>
      <w:r>
        <w:rPr>
          <w:b/>
          <w:bCs/>
        </w:rPr>
        <w:t xml:space="preserve">9. </w:t>
      </w:r>
      <w:r>
        <w:t xml:space="preserve">Valutazione controfattuale d’impatto: i metodi della differenza-nelle-differenze, del controllo sintetico e dei disegni quasi-sperimentali; il dispiegamento scaglionato della riforma (stepped-wedge), nel quale le aziende passano in sequenza dalla condizione di controllo a quella di intervento, funge da esperimento naturale e ne consente la stima causale (Hussey e Hughes, 2007; Hemming e altri, 2015).</w:t>
      </w:r>
    </w:p>
    <w:p>
      <w:pPr>
        <w:pStyle w:val="BodyText"/>
      </w:pPr>
      <w:r>
        <w:rPr>
          <w:b/>
          <w:bCs/>
        </w:rPr>
        <w:t xml:space="preserve">10. </w:t>
      </w:r>
      <w:r>
        <w:t xml:space="preserve">I valori economici oggi impiegati sono in parte ricostruiti dai conti nazionali per quota di popolazione (6,6%) e non estratti dai conti regionali certificati; una specifica di estrazione, già predisposta per AReSS e per le aziende sanitarie, individua i dati regionali da acquisire — spesa per voce, dimissioni psichiatriche, composizione della mobilità, farmaceutica per categoria, accessi al pronto soccorso per causa, utenza dei Dipartimenti — a sostituzione dei parametri stimati.</w:t>
      </w:r>
    </w:p>
    <w:p>
      <w:pPr>
        <w:pStyle w:val="BodyText"/>
      </w:pPr>
      <w:r>
        <w:rPr>
          <w:b/>
          <w:bCs/>
        </w:rPr>
        <w:t xml:space="preserve">11. </w:t>
      </w:r>
      <w:r>
        <w:t xml:space="preserve">Riferimento economico adottato: la tabella unica consolidata distingue il risparmio diretto per il bilancio sanitario, prossimo al pareggio con il costo del servizio, dalle ricadute economico-sociali, che generano il ritorno complessivo (rapporto beneficio-costo dell’ordine di 3,6–5 a 1); la stima conservativa è adottata come riferimento, più difendibile di fronte agli organi di controllo, e quella più ottimistica è conservata come limite superiore. Le cifre sono ipotesi che lo studio è chiamato a verificare sui dati certificati.</w:t>
      </w:r>
    </w:p>
    <w:p>
      <w:pPr>
        <w:pStyle w:val="BodyText"/>
      </w:pPr>
      <w:r>
        <w:rPr>
          <w:b/>
          <w:bCs/>
        </w:rPr>
        <w:t xml:space="preserve">12. </w:t>
      </w:r>
      <w:r>
        <w:t xml:space="preserve">La valutazione è governata da un comitato di indirizzo — Regione e aziende sanitarie, Ordine degli Psicologi, università e istituzioni scientifiche — e da un responsabile scientifico; è sottoposta all’approvazione del comitato etico territorialmente competente; prevede il consenso informato dei partecipanti; e rende pubblici gli esiti indipendentemente dal loro segno, a garanzia di non distorsione.</w:t>
      </w:r>
    </w:p>
    <w:p>
      <w:pPr>
        <w:pStyle w:val="BodyText"/>
      </w:pPr>
      <w:r>
        <w:rPr>
          <w:b/>
          <w:bCs/>
        </w:rPr>
        <w:t xml:space="preserve">13. </w:t>
      </w:r>
      <w:r>
        <w:t xml:space="preserve">Protezione dei dati personali: trattamento conforme alla normativa, con minimizzazione, limitazione della finalità e sicurezza; i dati individuali restano nel servizio per la sola finalità clinica; all’Osservatorio sono trasmessi esclusivamente indicatori aggregati e anonimi; il sistema informativo è interoperabile con il Fascicolo Sanitario Elettronico, su infrastruttura regionale sicura, con consenso modulare.</w:t>
      </w:r>
    </w:p>
    <w:p>
      <w:pPr>
        <w:pStyle w:val="BodyText"/>
      </w:pPr>
      <w:r>
        <w:rPr>
          <w:b/>
          <w:bCs/>
        </w:rPr>
        <w:t xml:space="preserve">14. </w:t>
      </w:r>
      <w:r>
        <w:t xml:space="preserve">Strumenti di intelligenza artificiale impiegati come ausilio del clinico (copilota) e mai in sua sostituzione, con sorveglianza umana costante; validazione periodica degli algoritmi e monitoraggio dei bias; conformità al regolamento europeo sull’IA e alla disciplina sui dispositivi medici; è auspicata l’istituzione di un comitato etico-scientifico per l’IA in sanità, con AReSS e le università. La legge nazionale sull’IA agevola la sperimentazione qualificando i relativi trattamenti come di rilevante interesse pubblico.</w:t>
      </w:r>
    </w:p>
    <w:p>
      <w:pPr>
        <w:pStyle w:val="BodyText"/>
      </w:pPr>
      <w:r>
        <w:rPr>
          <w:b/>
          <w:bCs/>
        </w:rPr>
        <w:t xml:space="preserve">15. </w:t>
      </w:r>
      <w:r>
        <w:t xml:space="preserve">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w:t>
      </w:r>
    </w:p>
    <w:bookmarkEnd w:id="1837"/>
    <w:bookmarkStart w:id="1838" w:name="Xbb21a17ab70eca663d19fdfb65894ce55af9224"/>
    <w:p>
      <w:pPr>
        <w:pStyle w:val="Heading3"/>
      </w:pPr>
      <w:r>
        <w:t xml:space="preserve">Parte B — Problema di salute, bisogno e contesto</w:t>
      </w:r>
    </w:p>
    <w:p>
      <w:pPr>
        <w:pStyle w:val="FirstParagraph"/>
      </w:pPr>
      <w:r>
        <w:rPr>
          <w:i/>
          <w:iCs/>
        </w:rPr>
        <w:t xml:space="preserve">19 note bibliografiche.</w:t>
      </w:r>
    </w:p>
    <w:p>
      <w:pPr>
        <w:pStyle w:val="BodyText"/>
      </w:pPr>
      <w:r>
        <w:rPr>
          <w:b/>
          <w:bCs/>
        </w:rPr>
        <w:t xml:space="preserve">1. </w:t>
      </w:r>
      <w:r>
        <w:t xml:space="preserve">Popolazione residente in Puglia 3.890.661 al 31 dicembre 2023, pari a 3.877.395 al Censimento permanente ISTAT 2024, circa il 6,6% della popolazione nazionale; il Servizio sanitario regionale si articola in sei aziende sanitarie locali (Bari, BAT, Brindisi, Foggia, Lecce, Taranto) e quarantacinque distretti.</w:t>
      </w:r>
    </w:p>
    <w:p>
      <w:pPr>
        <w:pStyle w:val="BodyText"/>
      </w:pPr>
      <w:r>
        <w:rPr>
          <w:b/>
          <w:bCs/>
        </w:rPr>
        <w:t xml:space="preserve">2. </w:t>
      </w:r>
      <w:r>
        <w:t xml:space="preserve">Invecchiamento accelerato (ISTAT): età media salita da 39,3 anni nel 2002 a 46,4 nel 2024, con indice di vecchiaia di 200,8 anziani ogni 100 giovani; le proiezioni indicano 3.769.000 abitanti nel 2030 (−3,5%) e 3.229.000 nel 2050 (−17,4% sul 2023), con la quota di ultrasessantacinquenni dal 24,2% al 37,1% e gli ultrasettantacinquenni da 461.000 a 658.000 (+43%).</w:t>
      </w:r>
    </w:p>
    <w:p>
      <w:pPr>
        <w:pStyle w:val="BodyText"/>
      </w:pPr>
      <w:r>
        <w:rPr>
          <w:b/>
          <w:bCs/>
        </w:rPr>
        <w:t xml:space="preserve">3. </w:t>
      </w:r>
      <w:r>
        <w:t xml:space="preserve">Marcata eterogeneità territoriale: la provincia di Lecce è la più anziana, con età media di 47,5 anni e indice di vecchiaia di 229,8; la provincia BAT è la più giovane, con 44,9 anni e indice di 169,1.</w:t>
      </w:r>
    </w:p>
    <w:p>
      <w:pPr>
        <w:pStyle w:val="BodyText"/>
      </w:pPr>
      <w:r>
        <w:rPr>
          <w:b/>
          <w:bCs/>
        </w:rPr>
        <w:t xml:space="preserve">4. </w:t>
      </w:r>
      <w:r>
        <w:t xml:space="preserve">Contesto socioeconomico: il 37,7% della popolazione pugliese è a rischio di povertà o esclusione sociale, tra i valori più elevati in Italia; l’indice di deprivazione, costruito su reddito, istruzione, occupazione e condizione abitativa, riflette determinanti sociali robusti della salute mentale, poiché le popolazioni deprivate presentano prevalenze sistematicamente più elevate di disturbi mentali comuni.</w:t>
      </w:r>
    </w:p>
    <w:p>
      <w:pPr>
        <w:pStyle w:val="BodyText"/>
      </w:pPr>
      <w:r>
        <w:rPr>
          <w:b/>
          <w:bCs/>
        </w:rPr>
        <w:t xml:space="preserve">5. </w:t>
      </w:r>
      <w:r>
        <w:t xml:space="preserve">Burden di salute mentale: circa 780.000 persone con disagio psichico comune o sottosoglia (dell’ordine del 20–30% della popolazione); circa 55.000 utenti in carico ai Dipartimenti di Salute Mentale; 18.939 nuovi utenti nel 2023.</w:t>
      </w:r>
    </w:p>
    <w:p>
      <w:pPr>
        <w:pStyle w:val="BodyText"/>
      </w:pPr>
      <w:r>
        <w:rPr>
          <w:b/>
          <w:bCs/>
        </w:rPr>
        <w:t xml:space="preserve">6. </w:t>
      </w:r>
      <w:r>
        <w:t xml:space="preserve">Meta-analisi internazionali (The Lancet Psychiatry, JAMA Psychiatry, World Psychiatry) documentano che l’invecchiamento accresce la prevalenza dei disturbi mentali, con depressione fino al 28% negli ultrasettantacinquenni con multimorbidità e ansia oltre il 15% nella popolazione anziana; applicati alla Puglia, tali coefficienti stimano tra 50.649 e 74.640 anziani con disturbi depressivi clinicamente significativi e tra 69.150 e 92.200 con disturbi d’ansia.</w:t>
      </w:r>
    </w:p>
    <w:p>
      <w:pPr>
        <w:pStyle w:val="BodyText"/>
      </w:pPr>
      <w:r>
        <w:rPr>
          <w:b/>
          <w:bCs/>
        </w:rPr>
        <w:t xml:space="preserve">7. </w:t>
      </w:r>
      <w:r>
        <w:t xml:space="preserve">Sorveglianza PASSI dell’Istituto Superiore di Sanità (PHQ-2, 2021–2024): il 3,6% degli adulti pugliesi di 18–64 anni presenta sintomi depressivi clinicamente rilevanti, circa 80.000 persone, dato inferiore alla media nazionale del 6,7% e indicativo di sotto-rilevazione e sotto-intercettazione più che di minore sofferenza.</w:t>
      </w:r>
    </w:p>
    <w:p>
      <w:pPr>
        <w:pStyle w:val="BodyText"/>
      </w:pPr>
      <w:r>
        <w:rPr>
          <w:b/>
          <w:bCs/>
        </w:rPr>
        <w:t xml:space="preserve">8. </w:t>
      </w:r>
      <w:r>
        <w:t xml:space="preserve">I consumi di antidepressivi in Puglia sono tra i più bassi d’Italia: è un segno di sotto-intercettazione del bisogno, non di minore sofferenza.</w:t>
      </w:r>
    </w:p>
    <w:p>
      <w:pPr>
        <w:pStyle w:val="BodyText"/>
      </w:pPr>
      <w:r>
        <w:rPr>
          <w:b/>
          <w:bCs/>
        </w:rPr>
        <w:t xml:space="preserve">9. </w:t>
      </w:r>
      <w:r>
        <w:t xml:space="preserve">Commissione europea, rapporto sulla salute mentale 2024: quasi un giovane europeo su due non ha ricevuto un supporto adeguato e solo la metà delle persone con ansia o depressione chiede aiuto; il divario tra prevalenza reale e accesso ai servizi (treatment gap) deriva da barriere strutturali, economiche, culturali e di stigma, di conoscenza e sistemiche.</w:t>
      </w:r>
    </w:p>
    <w:p>
      <w:pPr>
        <w:pStyle w:val="BodyText"/>
      </w:pPr>
      <w:r>
        <w:rPr>
          <w:b/>
          <w:bCs/>
        </w:rPr>
        <w:t xml:space="preserve">10. </w:t>
      </w:r>
      <w:r>
        <w:t xml:space="preserve">Carenza di offerta psicologica: secondo dati del Ministero della Salute riferiti al 2017 l’Italia dispone di 8,5 psicologi ogni 100.000 abitanti nel Servizio sanitario complessivo, e di meno di 3 ogni 100.000 nelle sole strutture pubbliche di salute mentale (WHO Atlas 2014), tra le dotazioni più basse d’Europa; il sistema olandese che integra psicologi nelle cure primarie (POH-GGZ) si accompagna a circa 23 psichiatri ogni 100.000 abitanti.</w:t>
      </w:r>
    </w:p>
    <w:p>
      <w:pPr>
        <w:pStyle w:val="BodyText"/>
      </w:pPr>
      <w:r>
        <w:rPr>
          <w:b/>
          <w:bCs/>
        </w:rPr>
        <w:t xml:space="preserve">11. </w:t>
      </w:r>
      <w:r>
        <w:t xml:space="preserve">Sistema Informativo per la Salute Mentale (Rapporto SISM 2023): i Dipartimenti pugliesi hanno avuto in carico 54.946 utenti, pari a circa 106 ogni 10.000 abitanti adulti, dei quali 18.939 nuovi utenti, pari a circa 35 nuovi casi ogni 10.000 abitanti adulti.</w:t>
      </w:r>
    </w:p>
    <w:p>
      <w:pPr>
        <w:pStyle w:val="BodyText"/>
      </w:pPr>
      <w:r>
        <w:rPr>
          <w:b/>
          <w:bCs/>
        </w:rPr>
        <w:t xml:space="preserve">12. </w:t>
      </w:r>
      <w:r>
        <w:t xml:space="preserve">Accessi al pronto soccorso per cause psichiatriche (SISM 2023; Motore Sanità, febbraio 2025): 18.753 nel 2023, oltre cinquanta al giorno, in crescita del 30% rispetto al periodo pre-pandemico e con trend accentuato tra minori e giovani adulti; le sindromi nevrotiche e somatoformi sono la causa più frequente, con oltre diecimila casi, seguite da disturbi organici, depressione e schizofrenia.</w:t>
      </w:r>
    </w:p>
    <w:p>
      <w:pPr>
        <w:pStyle w:val="BodyText"/>
      </w:pPr>
      <w:r>
        <w:rPr>
          <w:b/>
          <w:bCs/>
        </w:rPr>
        <w:t xml:space="preserve">13. </w:t>
      </w:r>
      <w:r>
        <w:t xml:space="preserve">Servizio attuale (L.R. 11/2023): circa 45 psicologi, uno per distretto, a fronte di uno stanziamento di 1,5 milioni di euro l’anno, pari a circa il 5% del fabbisogno; il fabbisogno a regime è stimato nell’ordine di 800–900 psicologi, con scenari di copertura a circa 450, 700 e 900 incarichi.</w:t>
      </w:r>
    </w:p>
    <w:p>
      <w:pPr>
        <w:pStyle w:val="BodyText"/>
      </w:pPr>
      <w:r>
        <w:rPr>
          <w:b/>
          <w:bCs/>
        </w:rPr>
        <w:t xml:space="preserve">14. </w:t>
      </w:r>
      <w:r>
        <w:t xml:space="preserve">L’algoritmo di distribuzione territoriale degli incarichi pondera i distretti per indice di vecchiaia, indice di deprivazione socioeconomica e prevalenza di cronicità e multimorbidità, attribuendo pesi maggiori alle aree interne in spopolamento e alle periferie urbane degradate, a presidio dell’equità territoriale.</w:t>
      </w:r>
    </w:p>
    <w:p>
      <w:pPr>
        <w:pStyle w:val="BodyText"/>
      </w:pPr>
      <w:r>
        <w:rPr>
          <w:b/>
          <w:bCs/>
        </w:rPr>
        <w:t xml:space="preserve">15. </w:t>
      </w:r>
      <w:r>
        <w:t xml:space="preserve">Contesto di bilancio: la Puglia ha ricevuto per il 2025 un finanziamento di circa 8,8 miliardi di euro, con un disavanzo di circa 350 milioni e disavanzi cumulati superiori a 480 milioni nel quadriennio; la Corte costituzionale ha ribadito che una regione in piano di rientro non può distrarre i fondi sanitari da finalità diverse dai livelli essenziali.</w:t>
      </w:r>
    </w:p>
    <w:p>
      <w:pPr>
        <w:pStyle w:val="BodyText"/>
      </w:pPr>
      <w:r>
        <w:rPr>
          <w:b/>
          <w:bCs/>
        </w:rPr>
        <w:t xml:space="preserve">16. </w:t>
      </w:r>
      <w:r>
        <w:t xml:space="preserve">Mobilità sanitaria passiva (2023): saldo negativo di 253,2 milioni di euro (prestazioni in fuga 376,6 milioni, mobilità attiva circa 123 milioni), tra i peggiori in Italia, con circa 240 milioni nel 2024; è il tratto più distintivo del caso pugliese, poiché ogni quota di domanda trattenuta sul territorio si traduce in un risparmio diretto.</w:t>
      </w:r>
    </w:p>
    <w:p>
      <w:pPr>
        <w:pStyle w:val="BodyText"/>
      </w:pPr>
      <w:r>
        <w:rPr>
          <w:b/>
          <w:bCs/>
        </w:rPr>
        <w:t xml:space="preserve">17. </w:t>
      </w:r>
      <w:r>
        <w:t xml:space="preserve">Pronto soccorso: 37 presidi e 1.142.448 accessi l’anno, dei quali circa 914.000 inappropriati (codici a bassa intensità, dell’ordine dell’80%); una quota è riconducibile a disagio psichico e a sintomi somatici funzionali.</w:t>
      </w:r>
    </w:p>
    <w:p>
      <w:pPr>
        <w:pStyle w:val="BodyText"/>
      </w:pPr>
      <w:r>
        <w:rPr>
          <w:b/>
          <w:bCs/>
        </w:rPr>
        <w:t xml:space="preserve">18. </w:t>
      </w:r>
      <w:r>
        <w:t xml:space="preserve">Farmaceutica: la Puglia presenta tra i più alti consumi complessivi d’Italia (1.081,9 dosi giornaliere ogni mille abitanti) e una spesa pubblica dell’ordine del 2,3% del prodotto regionale; il paradosso di un consumo complessivo elevato e di una intercettazione del disagio psichico bassa segnala margini di appropriatezza.</w:t>
      </w:r>
    </w:p>
    <w:p>
      <w:pPr>
        <w:pStyle w:val="BodyText"/>
      </w:pPr>
      <w:r>
        <w:rPr>
          <w:b/>
          <w:bCs/>
        </w:rPr>
        <w:t xml:space="preserve">19. </w:t>
      </w:r>
      <w:r>
        <w:t xml:space="preserve">Cornice normativa: a livello regionale la legge n. 11 del 2023, prima in Italia; a livello nazionale il decreto ministeriale 77 del 2022 sull’assistenza territoriale e le Case della Comunità, la Missione 6 del Piano Nazionale di Ripresa e Resilienza e l’accordo della specialistica ambulatoriale per i psicologi convenzionati; a livello europeo il regolamento 2021/2282 sull’HTA e il regolamento sull’intelligenza artificiale.</w:t>
      </w:r>
    </w:p>
    <w:bookmarkEnd w:id="1838"/>
    <w:bookmarkStart w:id="1839" w:name="parte-c-lintervento-e-il-modello-1"/>
    <w:p>
      <w:pPr>
        <w:pStyle w:val="Heading3"/>
      </w:pPr>
      <w:r>
        <w:t xml:space="preserve">Parte C — L’intervento e il modello</w:t>
      </w:r>
    </w:p>
    <w:p>
      <w:pPr>
        <w:pStyle w:val="FirstParagraph"/>
      </w:pPr>
      <w:r>
        <w:rPr>
          <w:i/>
          <w:iCs/>
        </w:rPr>
        <w:t xml:space="preserve">18 note bibliografiche.</w:t>
      </w:r>
    </w:p>
    <w:p>
      <w:pPr>
        <w:pStyle w:val="BodyText"/>
      </w:pPr>
      <w:r>
        <w:rPr>
          <w:b/>
          <w:bCs/>
        </w:rPr>
        <w:t xml:space="preserve">1. </w:t>
      </w:r>
      <w:r>
        <w:t xml:space="preserve">Definizione dell’intervento: l’inserimento stabile dello psicologo nelle cure primarie, accanto al medico di medicina generale e al pediatra di libera scelta, come primo livello di ascolto, intercettazione precoce e filtro, riservando ai servizi specialistici i quadri gravi; l’accesso avviene su invio del medico ovvero in forma diretta, secondo percorsi definiti.</w:t>
      </w:r>
    </w:p>
    <w:p>
      <w:pPr>
        <w:pStyle w:val="BodyText"/>
      </w:pPr>
      <w:r>
        <w:rPr>
          <w:b/>
          <w:bCs/>
        </w:rPr>
        <w:t xml:space="preserve">2. </w:t>
      </w:r>
      <w:r>
        <w:t xml:space="preserve">I modelli internazionali di integrazione della salute mentale nelle cure primarie (collaborative care, integrated care, stepped care, primary care mental health) condividono alcuni principi: collocazione dello psicologo negli studi di medicina generale o in strutture territoriali accessibili; focalizzazione sui disturbi comuni lievi-moderati con triage strutturato che indirizza i casi gravi allo specialista; interventi brevi, manualizzati e orientati agli esiti; monitoraggio sistematico con questionari standardizzati pre e post; forte integrazione con la medicina generale; orientamento alla prevenzione secondaria mediante intercettazione precoce, prima della cronicizzazione.</w:t>
      </w:r>
    </w:p>
    <w:p>
      <w:pPr>
        <w:pStyle w:val="BodyText"/>
      </w:pPr>
      <w:r>
        <w:rPr>
          <w:b/>
          <w:bCs/>
        </w:rPr>
        <w:t xml:space="preserve">3. </w:t>
      </w:r>
      <w:r>
        <w:t xml:space="preserve">I modelli internazionali di integrazione della salute mentale nelle cure primarie (collaborative care, integrated care, stepped care, primary care mental health) condividono alcuni principi: collocazione dello psicologo negli studi di medicina generale o in strutture territoriali accessibili; focalizzazione sui disturbi comuni lievi-moderati con triage strutturato che indirizza i casi gravi allo specialista; interventi brevi, manualizzati e orientati agli esiti; monitoraggio sistematico con questionari standardizzati pre e post; forte integrazione con la medicina generale; orientamento alla prevenzione secondaria mediante intercettazione precoce, prima della cronicizzazione.</w:t>
      </w:r>
    </w:p>
    <w:p>
      <w:pPr>
        <w:pStyle w:val="BodyText"/>
      </w:pPr>
      <w:r>
        <w:rPr>
          <w:b/>
          <w:bCs/>
        </w:rPr>
        <w:t xml:space="preserve">4. </w:t>
      </w:r>
      <w:r>
        <w:t xml:space="preserve">Collaborative Care Model (sviluppato presso l’Università di Washington, validato da oltre novanta studi randomizzati controllati): équipe integrata di medico di base, responsabile dell’assistenza con formazione in salute mentale e psichiatra consulente per i casi complessi; screening sistematico con PHQ-9 e GAD-7; psicoeducazione, interventi comportamentali brevi e farmacoterapia ove appropriata; monitoraggio degli esiti con adattamento del piano; una meta-analisi di Woltmann e colleghi (American Journal of Psychiatry, 2012), su cinquantasette studi, documenta un miglioramento dei sintomi depressivi con effetto medio di 0,28 deviazioni standard.</w:t>
      </w:r>
    </w:p>
    <w:p>
      <w:pPr>
        <w:pStyle w:val="BodyText"/>
      </w:pPr>
      <w:r>
        <w:rPr>
          <w:b/>
          <w:bCs/>
        </w:rPr>
        <w:t xml:space="preserve">5. </w:t>
      </w:r>
      <w:r>
        <w:t xml:space="preserve">Programma inglese di terapie psicologiche (Improving Access to Psychological Therapies, dal 2008, oggi NHS Talking Therapies): modello di cura a intensità crescente su due livelli — interventi a bassa intensità, di quattro-sei sedute, fondati su principi cognitivo-comportamentali ed erogati anche come auto-aiuto guidato, e interventi ad alta intensità, terapie strutturate di otto-venti sedute per i quadri più complessi o non responsivi.</w:t>
      </w:r>
    </w:p>
    <w:p>
      <w:pPr>
        <w:pStyle w:val="BodyText"/>
      </w:pPr>
      <w:r>
        <w:rPr>
          <w:b/>
          <w:bCs/>
        </w:rPr>
        <w:t xml:space="preserve">6. </w:t>
      </w:r>
      <w:r>
        <w:t xml:space="preserve">Modello olandese che integra gli psicologi nelle cure primarie (POH-GGZ): prevede tipicamente cinque-otto sedute di intervento psicologico breve fondato sull’evidenza, con invio ai servizi specialistici solo per i quadri più complessi, dell’ordine del quindici per cento dei casi trattati in cure primarie.</w:t>
      </w:r>
    </w:p>
    <w:p>
      <w:pPr>
        <w:pStyle w:val="BodyText"/>
      </w:pPr>
      <w:r>
        <w:rPr>
          <w:b/>
          <w:bCs/>
        </w:rPr>
        <w:t xml:space="preserve">7. </w:t>
      </w:r>
      <w:r>
        <w:t xml:space="preserve">Quadro strategico dell’Organizzazione mondiale della sanità per l’Europa (aprile 2025): quattro strategie per il potenziamento della salute mentale nelle cure primarie — rafforzare le competenze degli operatori, integrare professionisti dedicati nei team, consolidare i collegamenti con i servizi specialistici e promuovere la collaborazione multisettoriale sui determinanti sociali.</w:t>
      </w:r>
    </w:p>
    <w:p>
      <w:pPr>
        <w:pStyle w:val="BodyText"/>
      </w:pPr>
      <w:r>
        <w:rPr>
          <w:b/>
          <w:bCs/>
        </w:rPr>
        <w:t xml:space="preserve">8. </w:t>
      </w:r>
      <w:r>
        <w:t xml:space="preserve">Strumenti di esito standardizzati: il PHQ-9 per i sintomi depressivi (sensibilità 88%, specificità 85%) e il GAD-7 per i sintomi d’ansia (sensibilità 89%, specificità 82%), somministrati all’ingresso e lungo il percorso nei soli punteggi complessivi, secondo il modello dei programmi internazionali di terapie psicologiche, a misura del miglioramento clinico e del tasso di recupero.</w:t>
      </w:r>
    </w:p>
    <w:p>
      <w:pPr>
        <w:pStyle w:val="BodyText"/>
      </w:pPr>
      <w:r>
        <w:rPr>
          <w:b/>
          <w:bCs/>
        </w:rPr>
        <w:t xml:space="preserve">9. </w:t>
      </w:r>
      <w:r>
        <w:t xml:space="preserve">Sicurezza del percorso e tutela della persona: sono esclusi dal primo livello i quadri gravi o acuti, ai quali è garantito l’invio appropriato ai servizi specialistici e, ove necessario, ai percorsi dell’emergenza, in raccordo con il medico curante; le situazioni di rischio sono indirizzate senza che siano registrate o trattate le modalità, a garanzia di sicurezza clinica e di dignità.</w:t>
      </w:r>
    </w:p>
    <w:p>
      <w:pPr>
        <w:pStyle w:val="BodyText"/>
      </w:pPr>
      <w:r>
        <w:rPr>
          <w:b/>
          <w:bCs/>
        </w:rPr>
        <w:t xml:space="preserve">10. </w:t>
      </w:r>
      <w:r>
        <w:t xml:space="preserve">Articolazione degli esiti (struttura della sperimentazione): esito primario, costituito dalla quota di miglioramento clinico e dal tasso di recupero; esiti clinici secondari (remissione, riduzione dei punteggi, soddisfazione e qualità di vita); esiti di processo (prese in carico, attesa al primo colloquio, colloqui per persona, tasso di invio appropriato); esiti di impatto e utilizzo (accessi al pronto soccorso, psicofarmaci, consulti e ricoveri evitabili); esiti economici e di equità.</w:t>
      </w:r>
    </w:p>
    <w:p>
      <w:pPr>
        <w:pStyle w:val="BodyText"/>
      </w:pPr>
      <w:r>
        <w:rPr>
          <w:b/>
          <w:bCs/>
        </w:rPr>
        <w:t xml:space="preserve">11. </w:t>
      </w:r>
      <w:r>
        <w:t xml:space="preserve">Sistemi informativi (traccia di legge nazionale, art. 7; piano operativo): il servizio si avvale dei sistemi informativi sanitari regionali e del Fascicolo Sanitario Elettronico, con una cartella dedicata e interoperabile che registra in forma strutturata le prese in carico, i percorsi e le misure di esito, alimentando il sistema di monitoraggio, secondo standard di interoperabilità definiti a livello nazionale.</w:t>
      </w:r>
    </w:p>
    <w:p>
      <w:pPr>
        <w:pStyle w:val="BodyText"/>
      </w:pPr>
      <w:r>
        <w:rPr>
          <w:b/>
          <w:bCs/>
        </w:rPr>
        <w:t xml:space="preserve">12. </w:t>
      </w:r>
      <w:r>
        <w:t xml:space="preserve">Protezione dei dati nei sistemi informativi: la progettazione rispetta la disciplina europea e nazionale su protezione dei dati, dispositivi medici e intelligenza artificiale, con sicurezza, trasparenza e minimizzazione; al sistema di monitoraggio sono trasmessi dati in forma aggregata.</w:t>
      </w:r>
    </w:p>
    <w:p>
      <w:pPr>
        <w:pStyle w:val="BodyText"/>
      </w:pPr>
      <w:r>
        <w:rPr>
          <w:b/>
          <w:bCs/>
        </w:rPr>
        <w:t xml:space="preserve">13. </w:t>
      </w:r>
      <w:r>
        <w:t xml:space="preserve">Intelligenza artificiale e dispositivi digitali (traccia di legge nazionale, art. 6): strumenti digitali e sistemi di IA a supporto di diagnostica, prevenzione, trattamento e continuità assistenziale, e dispositivi terapeutici digitali validati, impiegati quali ausili dell’attività professionale e non in sua sostituzione, nel rispetto della normativa su IA, dispositivi medici e dati, con supervisione clinica, trasparenza e sicurezza; è previsto un elenco nazionale degli strumenti ammessi, fondato su criteri di evidenza di efficacia e di conformità regolatoria.</w:t>
      </w:r>
    </w:p>
    <w:p>
      <w:pPr>
        <w:pStyle w:val="BodyText"/>
      </w:pPr>
      <w:r>
        <w:rPr>
          <w:b/>
          <w:bCs/>
        </w:rPr>
        <w:t xml:space="preserve">14. </w:t>
      </w:r>
      <w:r>
        <w:t xml:space="preserve">Funzioni degli strumenti digitali e di IA (registro delle variabili): triage psicologico assistito, screening automatico, strumenti predittivi del rischio, supporto decisionale clinico, riduzione del carico amministrativo, analisi del linguaggio naturale, con requisiti di validazione clinica, conformità al regolamento europeo sull’IA, supervisione umana sulle decisioni, trasparenza e spiegabilità.</w:t>
      </w:r>
    </w:p>
    <w:p>
      <w:pPr>
        <w:pStyle w:val="BodyText"/>
      </w:pPr>
      <w:r>
        <w:rPr>
          <w:b/>
          <w:bCs/>
        </w:rPr>
        <w:t xml:space="preserve">15. </w:t>
      </w:r>
      <w:r>
        <w:t xml:space="preserve">Telepsicologia (piano operativo; traccia di legge nazionale, art. 7): modalità integrativa di erogazione, complementare e non sostitutiva rispetto all’intervento in presenza, finalizzata ad ampliare l’accesso nelle aree interne e a minore densità di servizi e ad assicurare la continuità quando lo spostamento sia difficoltoso.</w:t>
      </w:r>
    </w:p>
    <w:p>
      <w:pPr>
        <w:pStyle w:val="BodyText"/>
      </w:pPr>
      <w:r>
        <w:rPr>
          <w:b/>
          <w:bCs/>
        </w:rPr>
        <w:t xml:space="preserve">16. </w:t>
      </w:r>
      <w:r>
        <w:t xml:space="preserve">Dispositivi terapeutici digitali (DTx): software-intervento validato da studi controllati e prescritto dal clinico, distinto dalle applicazioni di benessere, con modelli di rimborso già consolidati in altri Paesi europei (il modello tedesco è il più maturo); il loro contributo economico è già ricompreso nei canali della salute mentale e della farmaceutica e non va sommato a essi.</w:t>
      </w:r>
    </w:p>
    <w:p>
      <w:pPr>
        <w:pStyle w:val="BodyText"/>
      </w:pPr>
      <w:r>
        <w:rPr>
          <w:b/>
          <w:bCs/>
        </w:rPr>
        <w:t xml:space="preserve">17. </w:t>
      </w:r>
      <w:r>
        <w:t xml:space="preserve">Cautele d’impiego degli strumenti digitali: l’evidenza, disomogenea e in evoluzione, impone selezione, validazione locale e gradualità; la protezione dei dati richiede sicurezza informatica e consenso chiaro; l’equità digitale impone di garantire sempre l’alternativa dell’intervento in presenza alle persone anziane, fragili o a bassa competenza digitale; la supervisione clinica resta dirimente.</w:t>
      </w:r>
    </w:p>
    <w:p>
      <w:pPr>
        <w:pStyle w:val="BodyText"/>
      </w:pPr>
      <w:r>
        <w:rPr>
          <w:b/>
          <w:bCs/>
        </w:rPr>
        <w:t xml:space="preserve">18. </w:t>
      </w:r>
      <w:r>
        <w:t xml:space="preserve">Programma formativo a quattro livelli (traccia di legge nazionale, art. 5; piano operativo): universitario, post-universitario specialistico, continuo in ambito lavorativo e di affiancamento operativo, con una componente trasversale dedicata all’intelligenza artificiale applicata alle cure primarie; realizzato in collaborazione con le università, l’Ordine degli Psicologi e le istituzioni scientifiche, sotto l’indirizzo dell’Osservatorio, e scaglionato in corrispondenza delle fasi di attivazione del servizio.</w:t>
      </w:r>
    </w:p>
    <w:bookmarkEnd w:id="1839"/>
    <w:bookmarkStart w:id="1840" w:name="parte-d-efficacia-clinica-ed-evidenza-1"/>
    <w:p>
      <w:pPr>
        <w:pStyle w:val="Heading3"/>
      </w:pPr>
      <w:r>
        <w:t xml:space="preserve">Parte D — Efficacia clinica ed evidenza</w:t>
      </w:r>
    </w:p>
    <w:p>
      <w:pPr>
        <w:pStyle w:val="FirstParagraph"/>
      </w:pPr>
      <w:r>
        <w:rPr>
          <w:i/>
          <w:iCs/>
        </w:rPr>
        <w:t xml:space="preserve">20 note bibliografiche.</w:t>
      </w:r>
    </w:p>
    <w:p>
      <w:pPr>
        <w:pStyle w:val="BodyText"/>
      </w:pPr>
      <w:r>
        <w:rPr>
          <w:b/>
          <w:bCs/>
        </w:rPr>
        <w:t xml:space="preserve">1. </w:t>
      </w:r>
      <w:r>
        <w:t xml:space="preserve">Questa parte copre il quarto dominio del modello HTA, l’efficacia clinica, che insieme ai primi tre costituisce il nucleo della valutazione rapida di efficacia relativa; la sintesi dell’evidenza segue lo standard PRISMA 2020 e la sua certezza è graduata con il sistema GRADE.</w:t>
      </w:r>
    </w:p>
    <w:p>
      <w:pPr>
        <w:pStyle w:val="BodyText"/>
      </w:pPr>
      <w:r>
        <w:rPr>
          <w:b/>
          <w:bCs/>
        </w:rPr>
        <w:t xml:space="preserve">2. </w:t>
      </w:r>
      <w:r>
        <w:t xml:space="preserve">Standard di reporting e di conduzione: la lista PRISMA 2020 per la revisione sistematica (strategia di ricerca, selezione, estrazione e sintesi) e la lista STROBE per gli studi osservazionali sui dati reali.</w:t>
      </w:r>
    </w:p>
    <w:p>
      <w:pPr>
        <w:pStyle w:val="BodyText"/>
      </w:pPr>
      <w:r>
        <w:rPr>
          <w:b/>
          <w:bCs/>
        </w:rPr>
        <w:t xml:space="preserve">3. </w:t>
      </w:r>
      <w:r>
        <w:t xml:space="preserve">Collaborative Care Model: paradigma di integrazione della salute mentale nelle cure primarie validato da oltre novanta studi randomizzati controllati; uno studio fondativo (JAMA, 2002) documentò che circa la metà dei pazienti otteneva una riduzione dei sintomi pari almeno al 50% a dodici mesi, contro il 19% della cura usuale.</w:t>
      </w:r>
    </w:p>
    <w:p>
      <w:pPr>
        <w:pStyle w:val="BodyText"/>
      </w:pPr>
      <w:r>
        <w:rPr>
          <w:b/>
          <w:bCs/>
        </w:rPr>
        <w:t xml:space="preserve">4. </w:t>
      </w:r>
      <w:r>
        <w:t xml:space="preserve">Woltmann e colleghi (American Journal of Psychiatry, 2012): meta-analisi su cinquantasette studi controllati, con un miglioramento medio dei sintomi depressivi pari a 0,28 deviazioni standard, oltre a miglioramenti nell’aderenza ai trattamenti e nel funzionamento globale.</w:t>
      </w:r>
    </w:p>
    <w:p>
      <w:pPr>
        <w:pStyle w:val="BodyText"/>
      </w:pPr>
      <w:r>
        <w:rPr>
          <w:b/>
          <w:bCs/>
        </w:rPr>
        <w:t xml:space="preserve">5. </w:t>
      </w:r>
      <w:r>
        <w:t xml:space="preserve">Revisione sistematica (BMC Primary Care, 2024) su quarantadue implementazioni del Collaborative Care Model in Europa, Nord America e Australia: riduzione media dei sintomi depressivi del 47% a sei mesi (PHQ-9), dei sintomi ansiosi del 43% (GAD-7), miglioramento del funzionamento globale del 38%, riduzione dei giorni di assenza dal lavoro del 28%, degli accessi al pronto soccorso per sintomi psicosomatici del 34% e dei ricoveri psichiatrici del 41%.</w:t>
      </w:r>
    </w:p>
    <w:p>
      <w:pPr>
        <w:pStyle w:val="BodyText"/>
      </w:pPr>
      <w:r>
        <w:rPr>
          <w:b/>
          <w:bCs/>
        </w:rPr>
        <w:t xml:space="preserve">6. </w:t>
      </w:r>
      <w:r>
        <w:t xml:space="preserve">Strumenti di esito validati e impiegati in tutti i programmi: il PHQ-9 per i sintomi depressivi (sensibilità 88%, specificità 85%) e il GAD-7 per i sintomi d’ansia (sensibilità 89%, specificità 82%).</w:t>
      </w:r>
    </w:p>
    <w:p>
      <w:pPr>
        <w:pStyle w:val="BodyText"/>
      </w:pPr>
      <w:r>
        <w:rPr>
          <w:b/>
          <w:bCs/>
        </w:rPr>
        <w:t xml:space="preserve">7. </w:t>
      </w:r>
      <w:r>
        <w:t xml:space="preserve">Meta-analisi sulle cure integrate nelle cure primarie: miglioramento statisticamente significativo e clinicamente rilevante dei sintomi depressivi, con coefficiente beta standardizzato di −0,11 (intervallo di confidenza al 95% da −0,20 a −0,01; valore p pari a 0,03); una magnitudine modesta sul piano statistico ma sostanziale su scala di popolazione, poiché sposta una quota di individui al di sotto delle soglie cliniche.</w:t>
      </w:r>
    </w:p>
    <w:p>
      <w:pPr>
        <w:pStyle w:val="BodyText"/>
      </w:pPr>
      <w:r>
        <w:rPr>
          <w:b/>
          <w:bCs/>
        </w:rPr>
        <w:t xml:space="preserve">8. </w:t>
      </w:r>
      <w:r>
        <w:t xml:space="preserve">Sistema GRADE per la graduazione della certezza dell’evidenza, fondato sulla valutazione del rischio di bias, dell’incoerenza, dell’indirettezza, dell’imprecisione e del bias di pubblicazione, dal quale discende un giudizio di certezza alta, moderata, bassa o molto bassa.</w:t>
      </w:r>
    </w:p>
    <w:p>
      <w:pPr>
        <w:pStyle w:val="BodyText"/>
      </w:pPr>
      <w:r>
        <w:rPr>
          <w:b/>
          <w:bCs/>
        </w:rPr>
        <w:t xml:space="preserve">9. </w:t>
      </w:r>
      <w:r>
        <w:t xml:space="preserve">Programma inglese di terapie psicologiche (NHS Talking Therapies, già IAPT; dati NHS England Digital, settembre 2024): oltre 1,3 milioni di persone trattate nell’anno 2023–2024, con tasso di recupero del 50,2% e tasso di miglioramento clinicamente significativo del 67,8% tra chi completa almeno due sedute, e completezza dei dati di esito superiore al 98%, considerata il riferimento internazionale; il programma opera su un bacino di oltre 56 milioni di persone.</w:t>
      </w:r>
    </w:p>
    <w:p>
      <w:pPr>
        <w:pStyle w:val="BodyText"/>
      </w:pPr>
      <w:r>
        <w:rPr>
          <w:b/>
          <w:bCs/>
        </w:rPr>
        <w:t xml:space="preserve">10. </w:t>
      </w:r>
      <w:r>
        <w:t xml:space="preserve">Programma inglese, dati 2022–2023 (NHS Digital): 1,76 milioni di persone inviate, 1,22 milioni entrate in trattamento e 672.000 cicli completati, con un tasso di recupero del 49,9%, prossimo all’obiettivo del 50%; è la dimostrazione che l’efficacia documentata nei trial si mantiene nell’attuazione reale su scala nazionale.</w:t>
      </w:r>
    </w:p>
    <w:p>
      <w:pPr>
        <w:pStyle w:val="BodyText"/>
      </w:pPr>
      <w:r>
        <w:rPr>
          <w:b/>
          <w:bCs/>
        </w:rPr>
        <w:t xml:space="preserve">11. </w:t>
      </w:r>
      <w:r>
        <w:t xml:space="preserve">Programma inglese di terapie psicologiche (NHS Talking Therapies, già IAPT; dati NHS England Digital, settembre 2024): oltre 1,3 milioni di persone trattate nell’anno 2023–2024, con tasso di recupero del 50,2% e tasso di miglioramento clinicamente significativo del 67,8% tra chi completa almeno due sedute, e completezza dei dati di esito superiore al 98%, considerata il riferimento internazionale; il programma opera su un bacino di oltre 56 milioni di persone.</w:t>
      </w:r>
    </w:p>
    <w:p>
      <w:pPr>
        <w:pStyle w:val="BodyText"/>
      </w:pPr>
      <w:r>
        <w:rPr>
          <w:b/>
          <w:bCs/>
        </w:rPr>
        <w:t xml:space="preserve">12. </w:t>
      </w:r>
      <w:r>
        <w:t xml:space="preserve">Modello olandese (POH-GGZ): l’adozione da parte dei medici di medicina generale è cresciuta da circa un terzo nel 2011 a circa tre quarti nel 2014, con circa seimila psicologi delle cure primarie, finanziamento nell’assicurazione di base e ruolo complementare e non sostitutivo rispetto alla cura ordinaria (Magnée e colleghi, BMJ Open, 2016).</w:t>
      </w:r>
    </w:p>
    <w:p>
      <w:pPr>
        <w:pStyle w:val="BodyText"/>
      </w:pPr>
      <w:r>
        <w:rPr>
          <w:b/>
          <w:bCs/>
        </w:rPr>
        <w:t xml:space="preserve">13. </w:t>
      </w:r>
      <w:r>
        <w:t xml:space="preserve">Iniziativa australiana Better Access (dal 2006): oltre venti milioni di prestazioni a più di tre milioni di persone in dieci anni, con un aumento del tasso di trattamento dei disturbi mentali dal 35% al 46% e il 91% dei pazienti che riferisce miglioramenti marcati, a un costo medio di circa 753 dollari australiani (circa 470 euro) per paziente; il modello opera per invio esterno e non per integrazione dello psicologo nell’équipe.</w:t>
      </w:r>
    </w:p>
    <w:p>
      <w:pPr>
        <w:pStyle w:val="BodyText"/>
      </w:pPr>
      <w:r>
        <w:rPr>
          <w:b/>
          <w:bCs/>
        </w:rPr>
        <w:t xml:space="preserve">14. </w:t>
      </w:r>
      <w:r>
        <w:t xml:space="preserve">Collaborative Care Model: paradigma di integrazione della salute mentale nelle cure primarie validato da oltre novanta studi randomizzati controllati; uno studio fondativo (JAMA, 2002) documentò che circa la metà dei pazienti otteneva una riduzione dei sintomi pari almeno al 50% a dodici mesi, contro il 19% della cura usuale.</w:t>
      </w:r>
    </w:p>
    <w:p>
      <w:pPr>
        <w:pStyle w:val="BodyText"/>
      </w:pPr>
      <w:r>
        <w:rPr>
          <w:b/>
          <w:bCs/>
        </w:rPr>
        <w:t xml:space="preserve">15. </w:t>
      </w:r>
      <w:r>
        <w:t xml:space="preserve">Trasferibilità e differenze di assetto: i programmi integrati (inglese e olandese) collocano il professionista nelle cure primarie, mentre il modello australiano opera per invio esterno; il modello pugliese, fondato sull’inserimento dello psicologo nelle cure primarie con funzione di filtro, è prossimo ai primi e ne mutua le evidenze con maggiore pertinenza.</w:t>
      </w:r>
    </w:p>
    <w:p>
      <w:pPr>
        <w:pStyle w:val="BodyText"/>
      </w:pPr>
      <w:r>
        <w:rPr>
          <w:b/>
          <w:bCs/>
        </w:rPr>
        <w:t xml:space="preserve">16. </w:t>
      </w:r>
      <w:r>
        <w:t xml:space="preserve">Esperienze italiane di psicologia nelle cure primarie, tra cui il modello Solano nel Lazio, che hanno anticipato su scala locale l’integrazione del professionista psicologo nelle cure primarie.</w:t>
      </w:r>
    </w:p>
    <w:p>
      <w:pPr>
        <w:pStyle w:val="BodyText"/>
      </w:pPr>
      <w:r>
        <w:rPr>
          <w:b/>
          <w:bCs/>
        </w:rPr>
        <w:t xml:space="preserve">17. </w:t>
      </w:r>
      <w:r>
        <w:t xml:space="preserve">Trasferibilità e differenze di assetto: i programmi integrati (inglese e olandese) collocano il professionista nelle cure primarie, mentre il modello australiano opera per invio esterno; il modello pugliese, fondato sull’inserimento dello psicologo nelle cure primarie con funzione di filtro, è prossimo ai primi e ne mutua le evidenze con maggiore pertinenza.</w:t>
      </w:r>
    </w:p>
    <w:p>
      <w:pPr>
        <w:pStyle w:val="BodyText"/>
      </w:pPr>
      <w:r>
        <w:rPr>
          <w:b/>
          <w:bCs/>
        </w:rPr>
        <w:t xml:space="preserve">18. </w:t>
      </w:r>
      <w:r>
        <w:t xml:space="preserve">Cautele di trasferibilità: le differenze di sistema sanitario, di copertura di partenza, di fattori culturali — segnatamente la sotto-rilevazione documentata in Puglia — e di organico impongono un’applicazione prudenziale degli effetti documentati, coerente con la correzione per ottimismo adottata nel caso di riferimento.</w:t>
      </w:r>
    </w:p>
    <w:p>
      <w:pPr>
        <w:pStyle w:val="BodyText"/>
      </w:pPr>
      <w:r>
        <w:rPr>
          <w:b/>
          <w:bCs/>
        </w:rPr>
        <w:t xml:space="preserve">19. </w:t>
      </w:r>
      <w:r>
        <w:t xml:space="preserve">Verifica locale: il dispiegamento scaglionato del servizio tra le aziende (stepped-wedge), oggetto della Parte L, è chiamato a verificare empiricamente sui dati pugliesi gli effetti attesi dalla letteratura, trasformando le stime in prove.</w:t>
      </w:r>
    </w:p>
    <w:p>
      <w:pPr>
        <w:pStyle w:val="BodyText"/>
      </w:pPr>
      <w:r>
        <w:rPr>
          <w:b/>
          <w:bCs/>
        </w:rPr>
        <w:t xml:space="preserve">20. </w:t>
      </w:r>
      <w:r>
        <w:t xml:space="preserve">Confronto economico: i ritorni economici dei programmi internazionali sono trattati, distintamente dagli esiti clinici, nella Parte E, ove il caso pugliese adotta la stima conservativa consolidata, che distingue il risparmio diretto dalle ricadute sociali.</w:t>
      </w:r>
    </w:p>
    <w:bookmarkEnd w:id="1840"/>
    <w:bookmarkStart w:id="1841" w:name="parte-e-valutazione-economica-2"/>
    <w:p>
      <w:pPr>
        <w:pStyle w:val="Heading3"/>
      </w:pPr>
      <w:r>
        <w:t xml:space="preserve">Parte E — Valutazione economica</w:t>
      </w:r>
    </w:p>
    <w:p>
      <w:pPr>
        <w:pStyle w:val="FirstParagraph"/>
      </w:pPr>
      <w:r>
        <w:rPr>
          <w:i/>
          <w:iCs/>
        </w:rPr>
        <w:t xml:space="preserve">19 note bibliografiche.</w:t>
      </w:r>
    </w:p>
    <w:p>
      <w:pPr>
        <w:pStyle w:val="BodyText"/>
      </w:pPr>
      <w:r>
        <w:rPr>
          <w:b/>
          <w:bCs/>
        </w:rPr>
        <w:t xml:space="preserve">1. </w:t>
      </w:r>
      <w:r>
        <w:t xml:space="preserve">Questa parte copre il quinto dominio del modello HTA, i costi e la valutazione economica; è redatta secondo lo standard di reporting CHEERS 2022, fornisce il contenuto del caso economico e del caso finanziario del Five Case Model e risponde al criterio di efficienza della griglia di giudizio.</w:t>
      </w:r>
    </w:p>
    <w:p>
      <w:pPr>
        <w:pStyle w:val="BodyText"/>
      </w:pPr>
      <w:r>
        <w:rPr>
          <w:b/>
          <w:bCs/>
        </w:rPr>
        <w:t xml:space="preserve">2. </w:t>
      </w:r>
      <w:r>
        <w:t xml:space="preserve">Modello di costo: il costo medio annuo di un incarico convenzionale a tempo pieno è dell’ordine di 55.000 euro (circa 40 euro l’ora di costo-azienda comprensivo degli oneri, per circa 1.250 ore, più circa 5.000 euro di costi generali); ne discendono, per gli scenari da circa 450, 700 e 900 incarichi, costi annui di circa 25, 38 e 50 milioni di euro, fino a 60–75 milioni nell’ipotesi di costi pieni e massima copertura.</w:t>
      </w:r>
    </w:p>
    <w:p>
      <w:pPr>
        <w:pStyle w:val="BodyText"/>
      </w:pPr>
      <w:r>
        <w:rPr>
          <w:b/>
          <w:bCs/>
        </w:rPr>
        <w:t xml:space="preserve">3. </w:t>
      </w:r>
      <w:r>
        <w:t xml:space="preserve">Categorie di costo: oltre all’organico psicologico, l’investimento comprende la formazione, la supervisione clinica, la governance, i sistemi informativi e le infrastrutture; i costi non sanitari sono inclusi coerentemente con la doppia prospettiva adottata.</w:t>
      </w:r>
    </w:p>
    <w:p>
      <w:pPr>
        <w:pStyle w:val="BodyText"/>
      </w:pPr>
      <w:r>
        <w:rPr>
          <w:b/>
          <w:bCs/>
        </w:rPr>
        <w:t xml:space="preserve">4. </w:t>
      </w:r>
      <w:r>
        <w:t xml:space="preserve">Caso di riferimento (Parte A): doppia prospettiva del Servizio sanitario regionale e della società; tasso di sconto del 3% annuo, con attualizzazione simmetrica di costi ed esiti nelle analisi di costo-utilità; analisi di impatto sul bilancio su flussi non scontati; correzione prudenziale per l’ottimismo.</w:t>
      </w:r>
    </w:p>
    <w:p>
      <w:pPr>
        <w:pStyle w:val="BodyText"/>
      </w:pPr>
      <w:r>
        <w:rPr>
          <w:b/>
          <w:bCs/>
        </w:rPr>
        <w:t xml:space="preserve">5. </w:t>
      </w:r>
      <w:r>
        <w:t xml:space="preserve">Misure di esito: gli anni di vita ponderati per la qualità e gli esiti clinici validati — il tasso di recupero e il miglioramento affidabile misurati con PHQ-9 e GAD-7 — applicati alla popolazione regionale con disagio comune, dell’ordine di 780.000 persone.</w:t>
      </w:r>
    </w:p>
    <w:p>
      <w:pPr>
        <w:pStyle w:val="BodyText"/>
      </w:pPr>
      <w:r>
        <w:rPr>
          <w:b/>
          <w:bCs/>
        </w:rPr>
        <w:t xml:space="preserve">6. </w:t>
      </w:r>
      <w:r>
        <w:t xml:space="preserve">Analisi costo-utilità: secondo il manuale del NICE, il rapporto incrementale di costo-efficacia rapporta il costo aggiuntivo al guadagno in anni di vita ponderati per la qualità e si confronta con una soglia; l’evidenza internazionale indica che la cura collaborativa è costo-efficace, con un investimento iniziale ampiamente compensato dai miglioramenti clinici e dalla minore intensità di cura; il rapporto incrementale per la Puglia sarà calcolato sui dati certificati.</w:t>
      </w:r>
    </w:p>
    <w:p>
      <w:pPr>
        <w:pStyle w:val="BodyText"/>
      </w:pPr>
      <w:r>
        <w:rPr>
          <w:b/>
          <w:bCs/>
        </w:rPr>
        <w:t xml:space="preserve">7. </w:t>
      </w:r>
      <w:r>
        <w:t xml:space="preserve">Analisi di impatto sul bilancio (buone pratiche ISPOR): adotta la prospettiva del detentore del budget, il Servizio sanitario regionale, e stima la differenza tra lo scenario con e senza intervento sui flussi non scontati, anno per anno, individuando il punto di pareggio finanziario, collocato per questo servizio tra il terzo e il quinto anno.</w:t>
      </w:r>
    </w:p>
    <w:p>
      <w:pPr>
        <w:pStyle w:val="BodyText"/>
      </w:pPr>
      <w:r>
        <w:rPr>
          <w:b/>
          <w:bCs/>
        </w:rPr>
        <w:t xml:space="preserve">8. </w:t>
      </w:r>
      <w:r>
        <w:t xml:space="preserve">Canale del pronto soccorso: dei circa 914.000 accessi inappropriati, una quota dell’ordine del 15% è riconducibile a disagio psichico e a sintomi somatici funzionali, sulla quale agisce la riduzione documentata degli accessi impropri (dell’ordine dell’11–14%); ne deriva un risparmio diretto stimato in 3–5 milioni di euro l’anno.</w:t>
      </w:r>
    </w:p>
    <w:p>
      <w:pPr>
        <w:pStyle w:val="BodyText"/>
      </w:pPr>
      <w:r>
        <w:rPr>
          <w:b/>
          <w:bCs/>
        </w:rPr>
        <w:t xml:space="preserve">9. </w:t>
      </w:r>
      <w:r>
        <w:t xml:space="preserve">Canale della farmaceutica: l’elevato consumo complessivo pugliese (1.081,9 dosi giornaliere ogni mille abitanti) e la bassa aderenza agli antidepressivi (il 27,5% dei soggetti resta sotto il 40% di copertura) indicano margini di appropriatezza, segnatamente nella sostituzione di terapie croniche non necessarie con percorsi psicologici; il risparmio diretto è stimato in 3–6 milioni di euro l’anno.</w:t>
      </w:r>
    </w:p>
    <w:p>
      <w:pPr>
        <w:pStyle w:val="BodyText"/>
      </w:pPr>
      <w:r>
        <w:rPr>
          <w:b/>
          <w:bCs/>
        </w:rPr>
        <w:t xml:space="preserve">10. </w:t>
      </w:r>
      <w:r>
        <w:t xml:space="preserve">Canale dei ricoveri e della specialistica: i sintomi somatici funzionali rappresentano circa il 20% delle consultazioni e si associano a un consumo di prestazioni molto superiore alla media, con riduzioni dei costi superiori al 30% dopo intervento psicologico breve; con i ricoveri evitabili, il risparmio diretto è stimato in 9–27 milioni di euro l’anno secondo lo scenario.</w:t>
      </w:r>
    </w:p>
    <w:p>
      <w:pPr>
        <w:pStyle w:val="BodyText"/>
      </w:pPr>
      <w:r>
        <w:rPr>
          <w:b/>
          <w:bCs/>
        </w:rPr>
        <w:t xml:space="preserve">11. </w:t>
      </w:r>
      <w:r>
        <w:t xml:space="preserve">Canale della mobilità recuperata: a fronte di un saldo passivo di 253,2 milioni di euro, la quota psichiatrica della mobilità e l’effetto di ritenzione della domanda sul territorio generano un risparmio diretto stimato in 5–12 milioni di euro l’anno; è il canale più distintivo del caso pugliese, poiché in una regione in forte deficit ogni prestazione trattenuta è un risparmio.</w:t>
      </w:r>
    </w:p>
    <w:p>
      <w:pPr>
        <w:pStyle w:val="BodyText"/>
      </w:pPr>
      <w:r>
        <w:rPr>
          <w:b/>
          <w:bCs/>
        </w:rPr>
        <w:t xml:space="preserve">12. </w:t>
      </w:r>
      <w:r>
        <w:t xml:space="preserve">Saldo diretto: aggregati i canali, i risparmi diretti per il Servizio sanitario regionale sono dell’ordine di 20, 34 e 50 milioni di euro secondo lo scenario, a fronte di un costo del servizio di 25, 38 e 50 milioni; il saldo diretto è dunque prossimo al pareggio (da un lieve disavanzo a un lieve attivo), e il pareggio finanziario è atteso tra il terzo e il quinto anno.</w:t>
      </w:r>
    </w:p>
    <w:p>
      <w:pPr>
        <w:pStyle w:val="BodyText"/>
      </w:pPr>
      <w:r>
        <w:rPr>
          <w:b/>
          <w:bCs/>
        </w:rPr>
        <w:t xml:space="preserve">13. </w:t>
      </w:r>
      <w:r>
        <w:t xml:space="preserve">Contesto di bilancio: il finanziamento del Servizio sanitario regionale è di circa 8,8 miliardi di euro, con un disavanzo di circa 350 milioni; il costo del servizio, anche a regime, ne costituisce una frazione modesta, sicché la questione non è la sostenibilità della spesa ma il suo dimensionamento; la Corte costituzionale (sentenza n. 6/2026) impone tuttavia alle regioni in piano di rientro di giustificare ogni impiego con la garanzia dei livelli essenziali.</w:t>
      </w:r>
    </w:p>
    <w:p>
      <w:pPr>
        <w:pStyle w:val="BodyText"/>
      </w:pPr>
      <w:r>
        <w:rPr>
          <w:b/>
          <w:bCs/>
        </w:rPr>
        <w:t xml:space="preserve">14. </w:t>
      </w:r>
      <w:r>
        <w:t xml:space="preserve">Ritorno sociale (metodo SROI): fondato sui sette principi del valore sociale e su una mappa dell’impatto, con proxy finanziari e con le correzioni per peso morto, attribuzione, spostamento e decadimento, monetizza il valore sociale generato distinguendolo dai risparmi di bilancio.</w:t>
      </w:r>
    </w:p>
    <w:p>
      <w:pPr>
        <w:pStyle w:val="BodyText"/>
      </w:pPr>
      <w:r>
        <w:rPr>
          <w:b/>
          <w:bCs/>
        </w:rPr>
        <w:t xml:space="preserve">15. </w:t>
      </w:r>
      <w:r>
        <w:t xml:space="preserve">Ricadute economico-sociali: la riduzione dell’assenteismo, il recupero di produttività e di funzionamento, la diminuzione delle nuove invalidità e il minor carico familiare, riferiti alle 780.000 persone con disagio, sono stimati in 70, 130 e 200 milioni di euro l’anno secondo lo scenario; è coerente con l’evidenza internazionale (Organizzazione mondiale della sanità e Lancet Psychiatry, Chisholm e colleghi, 2016), secondo cui il ritorno del trattamento di depressione e ansia, dell’ordine di quattro a uno, è costituito in quota dominante dalla produttività recuperata più che dal risparmio diretto sui servizi.</w:t>
      </w:r>
    </w:p>
    <w:p>
      <w:pPr>
        <w:pStyle w:val="BodyText"/>
      </w:pPr>
      <w:r>
        <w:rPr>
          <w:b/>
          <w:bCs/>
        </w:rPr>
        <w:t xml:space="preserve">16. </w:t>
      </w:r>
      <w:r>
        <w:t xml:space="preserve">Quadro complessivo per scenario: sommando i risparmi diretti e le ricadute sociali, il ritorno complessivo è di 90, 164 e 250 milioni di euro l’anno; al netto del costo, il saldo complessivo è di circa +65, +126 e +200 milioni, con un rapporto beneficio-costo complessivo dell’ordine di 3,6, 4,3 e 5,0 a uno.</w:t>
      </w:r>
    </w:p>
    <w:p>
      <w:pPr>
        <w:pStyle w:val="BodyText"/>
      </w:pPr>
      <w:r>
        <w:rPr>
          <w:b/>
          <w:bCs/>
        </w:rPr>
        <w:t xml:space="preserve">17. </w:t>
      </w:r>
      <w:r>
        <w:t xml:space="preserve">Distinzione tra caso economico e caso finanziario (Five Case Model): il caso economico misura il valore per la collettività, qui ampio (rapporto beneficio-costo di 3,6–5 a uno); il caso finanziario misura la sostenibilità per il bilancio, qui prossima al pareggio; tenere distinte le due grandezze, anziché sommarle, è una scelta di rigore che rende la valutazione difendibile di fronte agli organi di controllo.</w:t>
      </w:r>
    </w:p>
    <w:p>
      <w:pPr>
        <w:pStyle w:val="BodyText"/>
      </w:pPr>
      <w:r>
        <w:rPr>
          <w:b/>
          <w:bCs/>
        </w:rPr>
        <w:t xml:space="preserve">18. </w:t>
      </w:r>
      <w:r>
        <w:t xml:space="preserve">Robustezza: il segno del saldo complessivo è positivo in tutti gli scenari, comprese le ipotesi conservative; le analisi di sensibilità deterministica e probabilistica e il valore dell’informazione sono sviluppati nella Parte F.</w:t>
      </w:r>
    </w:p>
    <w:p>
      <w:pPr>
        <w:pStyle w:val="BodyText"/>
      </w:pPr>
      <w:r>
        <w:rPr>
          <w:b/>
          <w:bCs/>
        </w:rPr>
        <w:t xml:space="preserve">19. </w:t>
      </w:r>
      <w:r>
        <w:t xml:space="preserve">Natura dei dati: i parametri dei canali dei ricoveri, della specialistica e della mobilità sono in parte ancora stimati e saranno sostituiti dai valori certificati che l’agenzia regionale e le aziende sanitarie forniranno (schede di dimissione per disturbi psichici, composizione della mobilità per disciplina, spesa farmaceutica per categoria); la struttura della quantificazione è tuttavia già quella definitiva.</w:t>
      </w:r>
    </w:p>
    <w:bookmarkEnd w:id="1841"/>
    <w:bookmarkStart w:id="1842" w:name="parte-f-modellazione-e-incertezza-1"/>
    <w:p>
      <w:pPr>
        <w:pStyle w:val="Heading3"/>
      </w:pPr>
      <w:r>
        <w:t xml:space="preserve">Parte F — Modellazione e incertezza</w:t>
      </w:r>
    </w:p>
    <w:p>
      <w:pPr>
        <w:pStyle w:val="FirstParagraph"/>
      </w:pPr>
      <w:r>
        <w:rPr>
          <w:i/>
          <w:iCs/>
        </w:rPr>
        <w:t xml:space="preserve">15 note bibliografiche.</w:t>
      </w:r>
    </w:p>
    <w:p>
      <w:pPr>
        <w:pStyle w:val="BodyText"/>
      </w:pPr>
      <w:r>
        <w:rPr>
          <w:b/>
          <w:bCs/>
        </w:rPr>
        <w:t xml:space="preserve">1. </w:t>
      </w:r>
      <w:r>
        <w:t xml:space="preserve">Questa parte sviluppa i metodi di modellazione e di gestione dell’incertezza del quinto dominio, secondo le buone pratiche di ricerca sulla modellazione dell’ISPOR e della Society for Medical Decision Making; ne è oggetto la tenuta delle conclusioni economiche quando gli esiti si proiettano su orizzonti lunghi e quando si riconosce l’incertezza dei parametri.</w:t>
      </w:r>
    </w:p>
    <w:p>
      <w:pPr>
        <w:pStyle w:val="BodyText"/>
      </w:pPr>
      <w:r>
        <w:rPr>
          <w:b/>
          <w:bCs/>
        </w:rPr>
        <w:t xml:space="preserve">2. </w:t>
      </w:r>
      <w:r>
        <w:t xml:space="preserve">Modello di Markov a coorte, strumento standard della valutazione economica in sanità: rappresenta il decorso del disturbo mentale comune come successione di transizioni tra stati di salute mutuamente esclusivi, scanditi da cicli temporali, con correzione di metà ciclo; gli stati sono quattro — sintomatico, di recupero (remissione), cronico (forme persistenti o gravi) e morte (assorbente) — e la coorte entra interamente nello stato sintomatico; la microsimulazione delle traiettorie individuali ne costituisce la variante per le storie dei singoli soggetti.</w:t>
      </w:r>
    </w:p>
    <w:p>
      <w:pPr>
        <w:pStyle w:val="BodyText"/>
      </w:pPr>
      <w:r>
        <w:rPr>
          <w:b/>
          <w:bCs/>
        </w:rPr>
        <w:t xml:space="preserve">3. </w:t>
      </w:r>
      <w:r>
        <w:t xml:space="preserve">Risultati del caso base (singolo paziente, orizzonte di cinque anni, valori scontati): il braccio dell’intervento produce un costo sanitario di circa 2.495 euro e un’utilità di 3,627 anni di vita ponderati per la qualità; il braccio dell’assistenza usuale, un costo di circa 3.799 euro e un’utilità di 3,392; l’intervento è dunque al tempo stesso meno costoso (di circa 1.304 euro) e più efficace (di circa 0,236 anni di vita ponderati), configurando una condizione di dominanza, con beneficio monetario netto alla soglia di 30.000 euro per anno di vita ponderato di circa 8.384 euro per paziente.</w:t>
      </w:r>
    </w:p>
    <w:p>
      <w:pPr>
        <w:pStyle w:val="BodyText"/>
      </w:pPr>
      <w:r>
        <w:rPr>
          <w:b/>
          <w:bCs/>
        </w:rPr>
        <w:t xml:space="preserve">4. 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costituisce il fondamento microeconomico delle stime aggregate.</w:t>
      </w:r>
    </w:p>
    <w:p>
      <w:pPr>
        <w:pStyle w:val="BodyText"/>
      </w:pPr>
      <w:r>
        <w:rPr>
          <w:b/>
          <w:bCs/>
        </w:rPr>
        <w:t xml:space="preserve">5. </w:t>
      </w:r>
      <w:r>
        <w:t xml:space="preserve">Parametri di costo del modello (per ciclo): stato di recupero 40 euro, stato cronico 700 euro, intervento psicologico una tantum 300 euro; a ciascun parametro è assegnata una distribuzione per l’analisi probabilistica.</w:t>
      </w:r>
    </w:p>
    <w:p>
      <w:pPr>
        <w:pStyle w:val="BodyText"/>
      </w:pPr>
      <w:r>
        <w:rPr>
          <w:b/>
          <w:bCs/>
        </w:rPr>
        <w:t xml:space="preserve">6. </w:t>
      </w:r>
      <w:r>
        <w:t xml:space="preserve">Distribuzioni e fonti: distribuzioni Beta per le probabilità di transizione e per le utilità, vincolate all’intervallo tra zero e uno, e distribuzioni Gamma per i costi, vincolate ai valori positivi; i valori sono tratti dalla relazione tecnica e dall’evidenza internazionale e calibrati sui valori regionali, e saranno aggiornati con i dati certificati.</w:t>
      </w:r>
    </w:p>
    <w:p>
      <w:pPr>
        <w:pStyle w:val="BodyText"/>
      </w:pPr>
      <w:r>
        <w:rPr>
          <w:b/>
          <w:bCs/>
        </w:rPr>
        <w:t xml:space="preserve">7. </w:t>
      </w:r>
      <w:r>
        <w:t xml:space="preserve">Analisi di sensibilità a una via: ciascun parametro è fatto variare del 25% in più e in meno, misurandone l’effetto sul beneficio monetario netto; il diagramma a tornado ordina i parametri per ampiezza dell’effetto, e i più influenti risultano l’efficacia clinica, i tassi di ricaduta e di cronicizzazione e il costo dello stato cronico.</w:t>
      </w:r>
    </w:p>
    <w:p>
      <w:pPr>
        <w:pStyle w:val="BodyText"/>
      </w:pPr>
      <w:r>
        <w:rPr>
          <w:b/>
          <w:bCs/>
        </w:rPr>
        <w:t xml:space="preserve">8. </w:t>
      </w:r>
      <w:r>
        <w:t xml:space="preserve">Incertezza strutturale: oltre all’incertezza dei parametri, l’incertezza sulla struttura e sulle assunzioni del modello è trattata mediante analisi di scenario, e i risultati sono riportati secondo lo standard CHEERS, con validazione di coerenza interna ed esterna del modello.</w:t>
      </w:r>
    </w:p>
    <w:p>
      <w:pPr>
        <w:pStyle w:val="BodyText"/>
      </w:pPr>
      <w:r>
        <w:rPr>
          <w:b/>
          <w:bCs/>
        </w:rPr>
        <w:t xml:space="preserve">9. </w:t>
      </w:r>
      <w:r>
        <w:t xml:space="preserve">Analisi di sensibilità probabilistica: il modello è eseguito diecimila volte con estrazione casuale dei parametri dalle rispettive distribuzioni (simulazione Monte Carlo), propagando l’incertezza dei parametri sull’incertezza del risultato; il piano costo-efficacia rappresenta le iterazioni come una nube di punti, concentrata nel quadrante in cui l’intervento è più efficace e meno costoso.</w:t>
      </w:r>
    </w:p>
    <w:p>
      <w:pPr>
        <w:pStyle w:val="BodyText"/>
      </w:pPr>
      <w:r>
        <w:rPr>
          <w:b/>
          <w:bCs/>
        </w:rPr>
        <w:t xml:space="preserve">10. </w:t>
      </w:r>
      <w:r>
        <w:t xml:space="preserve">Soglia di disponibilità a pagare di 30.000 euro per anno di vita ponderato per la qualità, valore di riferimento nella prassi italiana e internazionale.</w:t>
      </w:r>
    </w:p>
    <w:p>
      <w:pPr>
        <w:pStyle w:val="BodyText"/>
      </w:pPr>
      <w:r>
        <w:rPr>
          <w:b/>
          <w:bCs/>
        </w:rPr>
        <w:t xml:space="preserve">11. 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compreso tra circa −5.736 e +21.501 euro.</w:t>
      </w:r>
    </w:p>
    <w:p>
      <w:pPr>
        <w:pStyle w:val="BodyText"/>
      </w:pPr>
      <w:r>
        <w:rPr>
          <w:b/>
          <w:bCs/>
        </w:rPr>
        <w:t xml:space="preserve">12. </w:t>
      </w:r>
      <w:r>
        <w:t xml:space="preserve">Distinzione tra costo-utilità e impatto sul bilancio: la probabilità di costo-efficacia è un risultato di efficienza, riferito al singolo paziente, che valorizza il guadagno di salute (anni di vita ponderati) e l’intera traiettoria di costo del modello; esso è coerente con — e non in contraddizione con — il saldo diretto prossimo al pareggio dell’analisi di impatto sul bilancio della Parte E, che valorizza i soli flussi monetari del bilancio sanitario: le due analisi rispondono a domande diverse, e la traduzione aggregata incorpora le correzioni per peso morto e per la effettiva monetizzabilità dei risparmi.</w:t>
      </w:r>
    </w:p>
    <w:p>
      <w:pPr>
        <w:pStyle w:val="BodyText"/>
      </w:pPr>
      <w:r>
        <w:rPr>
          <w:b/>
          <w:bCs/>
        </w:rPr>
        <w:t xml:space="preserve">13. </w:t>
      </w:r>
      <w:r>
        <w:t xml:space="preserve">Valore dell’informazione: il valore atteso dell’informazione perfetta quantifica il beneficio massimo conseguibile eliminando del tutto l’incertezza, e il valore atteso dell’informazione perfetta sui parametri lo attribuisce ai singoli parametri, orientando le priorità della ricerca futura verso le grandezze più incerte e più influenti.</w:t>
      </w:r>
    </w:p>
    <w:p>
      <w:pPr>
        <w:pStyle w:val="BodyText"/>
      </w:pPr>
      <w:r>
        <w:rPr>
          <w:b/>
          <w:bCs/>
        </w:rPr>
        <w:t xml:space="preserve">14. </w:t>
      </w:r>
      <w:r>
        <w:t xml:space="preserve">Priorità di acquisizione: i parametri ancora stimati — segnatamente quelli dei canali dei ricoveri, della specialistica e della mobilità — sono quelli su cui il valore dell’informazione è maggiore, e la loro misura sui dati certificati dell’agenzia regionale e delle aziende sanitarie è perciò l’investimento conoscitivo prioritario.</w:t>
      </w:r>
    </w:p>
    <w:p>
      <w:pPr>
        <w:pStyle w:val="BodyText"/>
      </w:pPr>
      <w:r>
        <w:rPr>
          <w:b/>
          <w:bCs/>
        </w:rPr>
        <w:t xml:space="preserve">15. </w:t>
      </w:r>
      <w:r>
        <w:t xml:space="preserve">Verifica empirica: il dispiegamento scaglionato del servizio tra le aziende, oggetto della Parte L, riduce l’incertezza dei parametri sostituendo le stime con misure osservate, ed è la forma più efficace di acquisizione del valore dell’informazione.</w:t>
      </w:r>
    </w:p>
    <w:bookmarkEnd w:id="1842"/>
    <w:bookmarkStart w:id="1843" w:name="parte-g-equità-e-impatto-distributivo-2"/>
    <w:p>
      <w:pPr>
        <w:pStyle w:val="Heading3"/>
      </w:pPr>
      <w:r>
        <w:t xml:space="preserve">Parte G — Equità e impatto distributivo</w:t>
      </w:r>
    </w:p>
    <w:p>
      <w:pPr>
        <w:pStyle w:val="FirstParagraph"/>
      </w:pPr>
      <w:r>
        <w:rPr>
          <w:i/>
          <w:iCs/>
        </w:rPr>
        <w:t xml:space="preserve">14 note bibliografiche.</w:t>
      </w:r>
    </w:p>
    <w:p>
      <w:pPr>
        <w:pStyle w:val="BodyText"/>
      </w:pPr>
      <w:r>
        <w:rPr>
          <w:b/>
          <w:bCs/>
        </w:rPr>
        <w:t xml:space="preserve">1. </w:t>
      </w:r>
      <w:r>
        <w:t xml:space="preserve">Questa parte copre l’ottavo dominio del modello HTA, il profilo del paziente e sociale, e risponde al criterio di impatto della griglia di giudizio; l’equità è trattata come dimensione costitutiva della valutazione, secondo l’evoluzione che ha aggiunto l’equità in salute ai tradizionali obiettivi di esito, esperienza, costo e benessere dei professionisti (Quintuple Aim).</w:t>
      </w:r>
    </w:p>
    <w:p>
      <w:pPr>
        <w:pStyle w:val="BodyText"/>
      </w:pPr>
      <w:r>
        <w:rPr>
          <w:b/>
          <w:bCs/>
        </w:rPr>
        <w:t xml:space="preserve">2. </w:t>
      </w:r>
      <w:r>
        <w:t xml:space="preserve">Gradiente sociale della salute mentale: le popolazioni in deprivazione presentano prevalenze sistematicamente più elevate di disturbi mentali comuni e, al tempo stesso, un accesso più difficile ai servizi; in Puglia il 37,7% della popolazione è a rischio di povertà o esclusione sociale, tra i valori più alti del Paese, sicché il bisogno si concentra precisamente dove le risorse protettive sono minori.</w:t>
      </w:r>
    </w:p>
    <w:p>
      <w:pPr>
        <w:pStyle w:val="BodyText"/>
      </w:pPr>
      <w:r>
        <w:rPr>
          <w:b/>
          <w:bCs/>
        </w:rPr>
        <w:t xml:space="preserve">3. </w:t>
      </w:r>
      <w:r>
        <w:t xml:space="preserve">La gratuità, la prossimità e l’assenza di stigma del servizio di primo livello abbattono precisamente le barriere — economiche, geografiche e culturali — che gravano in misura maggiore sulle popolazioni deprivate, ed è questo il meccanismo per cui un servizio universale può ridurre, anziché ampliare, le disuguaglianze di accesso.</w:t>
      </w:r>
    </w:p>
    <w:p>
      <w:pPr>
        <w:pStyle w:val="BodyText"/>
      </w:pPr>
      <w:r>
        <w:rPr>
          <w:b/>
          <w:bCs/>
        </w:rPr>
        <w:t xml:space="preserve">4. </w:t>
      </w:r>
      <w:r>
        <w:t xml:space="preserve">Variabili di equità, accesso e protezione finanziaria seguite dallo studio (registro delle variabili): riduzione dei tempi di attesa per l’accesso psicologico, accessibilità geografica nelle aree interne e remote, riduzione del gradiente socio-economico nell’accesso, equità di esito tra gruppi, riduzione delle disuguaglianze di genere, accesso per popolazioni straniere e fragili e per le persone con disabilità, riduzione delle barriere culturali e linguistiche, gratuità per i gruppi vulnerabili, copertura del bisogno non soddisfatto e riduzione del divario territoriale Nord-Sud.</w:t>
      </w:r>
    </w:p>
    <w:p>
      <w:pPr>
        <w:pStyle w:val="BodyText"/>
      </w:pPr>
      <w:r>
        <w:rPr>
          <w:b/>
          <w:bCs/>
        </w:rPr>
        <w:t xml:space="preserve">5. </w:t>
      </w:r>
      <w:r>
        <w:t xml:space="preserve">Analisi costo-efficacia distributiva (DCEA), secondo Cookson, Asaria e colleghi: estende la valutazione economica alla dimensione dell’equità, stimando come costi ed esiti si distribuiscano tra sottogruppi e quale sia l’effetto sulle disuguaglianze; si avvale di strumenti quali gli anni di vita ponderati per l’equità, l’indice di concentrazione, che lega l’esito di salute alla posizione socio-economica, e gli indici di disuguaglianza assoluta e relativa, che misurano il gradiente dell’esito lungo lo stato socio-economico.</w:t>
      </w:r>
    </w:p>
    <w:p>
      <w:pPr>
        <w:pStyle w:val="BodyText"/>
      </w:pPr>
      <w:r>
        <w:rPr>
          <w:b/>
          <w:bCs/>
        </w:rPr>
        <w:t xml:space="preserve">6. </w:t>
      </w:r>
      <w:r>
        <w:t xml:space="preserve">Direzione del risultato distributivo: poiché il bisogno è maggiore e il guadagno di accesso più ampio tra le popolazioni deprivate, i benefici dell’intervento si concentrano tra i gruppi più svantaggiati, riducendo il gradiente sociale negli esiti di salute mentale; l’intervento è dunque non solo efficiente ma equo, in quanto migliora l’esito medio e ne comprime al tempo stesso la disuguaglianza.</w:t>
      </w:r>
    </w:p>
    <w:p>
      <w:pPr>
        <w:pStyle w:val="BodyText"/>
      </w:pPr>
      <w:r>
        <w:rPr>
          <w:b/>
          <w:bCs/>
        </w:rPr>
        <w:t xml:space="preserve">7. </w:t>
      </w:r>
      <w:r>
        <w:t xml:space="preserve">Ponderazione distributiva: l’attribuzione di pesi maggiori ai benefici che ricadono sui più svantaggiati accresce il valore sociale stimato rispetto all’analisi non ponderata; lo studio adotta tuttavia, come riferimento conservativo, il rapporto beneficio-costo non ponderato già esposto nella Parte E (dell’ordine di 3,6–5 a uno), rilevando che la ponderazione lo eleverebbe, coerentemente con la concentrazione dei benefici tra le popolazioni deprivate del Mezzogiorno, ma senza adottare la stima ponderata come dato di sintesi.</w:t>
      </w:r>
    </w:p>
    <w:p>
      <w:pPr>
        <w:pStyle w:val="BodyText"/>
      </w:pPr>
      <w:r>
        <w:rPr>
          <w:b/>
          <w:bCs/>
        </w:rPr>
        <w:t xml:space="preserve">8. </w:t>
      </w:r>
      <w:r>
        <w:t xml:space="preserve">Algoritmo allocativo quale meccanismo operativo dell’equità: la distribuzione territoriale degli incarichi non segue la sola popolazione, ma pondera ciascun distretto per l’indice di vecchiaia, per l’indice di deprivazione socioeconomica e per la prevalenza di cronicità e multimorbidità, attribuendo pesi maggiori alle aree interne in spopolamento e alle periferie urbane degradate, così da contrastare anziché riprodurre le disuguaglianze esistenti.</w:t>
      </w:r>
    </w:p>
    <w:p>
      <w:pPr>
        <w:pStyle w:val="BodyText"/>
      </w:pPr>
      <w:r>
        <w:rPr>
          <w:b/>
          <w:bCs/>
        </w:rPr>
        <w:t xml:space="preserve">9. </w:t>
      </w:r>
      <w:r>
        <w:t xml:space="preserve">Indice di deprivazione multipla: misura sintetica costruita su reddito, occupazione, istruzione, salute, condizione abitativa e ambiente, impiegata per individuare le aree prioritarie e per misurare il gradiente sociale dell’accesso e dell’esito.</w:t>
      </w:r>
    </w:p>
    <w:p>
      <w:pPr>
        <w:pStyle w:val="BodyText"/>
      </w:pPr>
      <w:r>
        <w:rPr>
          <w:b/>
          <w:bCs/>
        </w:rPr>
        <w:t xml:space="preserve">10. </w:t>
      </w:r>
      <w:r>
        <w:t xml:space="preserve">Divari territoriali: alla disomogeneità demografica tra province si sommano i divari socioeconomici, concentrati nelle aree interne montane e rurali — colpite da spopolamento e invecchiamento — e in alcune periferie urbane; in queste aree i determinanti del disagio si addensano e l’accesso ai servizi è più difficile.</w:t>
      </w:r>
    </w:p>
    <w:p>
      <w:pPr>
        <w:pStyle w:val="BodyText"/>
      </w:pPr>
      <w:r>
        <w:rPr>
          <w:b/>
          <w:bCs/>
        </w:rPr>
        <w:t xml:space="preserve">11. </w:t>
      </w:r>
      <w:r>
        <w:t xml:space="preserve">Mobilità sanitaria recuperata quale dimensione di equità, oltre che di bilancio: chi migra per ricevere cure è spesso chi può permetterselo, sicché trattenere la presa in carico sul territorio serve insieme la sostenibilità del bilancio (saldo passivo di 253,2 milioni nel 2023) e l’equità verso chi non può spostarsi.</w:t>
      </w:r>
    </w:p>
    <w:p>
      <w:pPr>
        <w:pStyle w:val="BodyText"/>
      </w:pPr>
      <w:r>
        <w:rPr>
          <w:b/>
          <w:bCs/>
        </w:rPr>
        <w:t xml:space="preserve">12. </w:t>
      </w:r>
      <w:r>
        <w:t xml:space="preserve">Protezione finanziaria: il servizio pubblico e gratuito riduce la spesa privata diretta per la psicoterapia, l’impoverimento connesso alle cure e le spese sanitarie catastrofiche, con beneficio maggiore per i redditi bassi, per i quali oggi la psicoterapia privata è spesso inaccessibile.</w:t>
      </w:r>
    </w:p>
    <w:p>
      <w:pPr>
        <w:pStyle w:val="BodyText"/>
      </w:pPr>
      <w:r>
        <w:rPr>
          <w:b/>
          <w:bCs/>
        </w:rPr>
        <w:t xml:space="preserve">13. </w:t>
      </w:r>
      <w:r>
        <w:t xml:space="preserve">Copertura del bisogno non soddisfatto come equità: intercettare la quota inevasa del disagio — dell’ordine di 780.000 persone, metà delle quali non chiede aiuto — significa raggiungere proprio coloro che hanno minore probabilità di accedere spontaneamente ai servizi.</w:t>
      </w:r>
    </w:p>
    <w:p>
      <w:pPr>
        <w:pStyle w:val="BodyText"/>
      </w:pPr>
      <w:r>
        <w:rPr>
          <w:b/>
          <w:bCs/>
        </w:rPr>
        <w:t xml:space="preserve">14. </w:t>
      </w:r>
      <w:r>
        <w:t xml:space="preserve">Collegamento al monitoraggio: gli indicatori di equità — accesso per area e per livello socio-economico, gradiente dell’esito, tempi di attesa per area — fanno parte del sistema di indicatori della Parte L, e consentono di verificare nel tempo se il servizio raggiunga effettivamente le comunità più distanti e i gruppi più fragili.</w:t>
      </w:r>
    </w:p>
    <w:bookmarkEnd w:id="1843"/>
    <w:bookmarkStart w:id="1844" w:name="Xcec98cf198a72685c767af3f845f4fe52e79566"/>
    <w:p>
      <w:pPr>
        <w:pStyle w:val="Heading3"/>
      </w:pPr>
      <w:r>
        <w:t xml:space="preserve">Parte H — Profili etico, giuridico e organizzativo</w:t>
      </w:r>
    </w:p>
    <w:p>
      <w:pPr>
        <w:pStyle w:val="FirstParagraph"/>
      </w:pPr>
      <w:r>
        <w:rPr>
          <w:i/>
          <w:iCs/>
        </w:rPr>
        <w:t xml:space="preserve">16 note bibliografiche.</w:t>
      </w:r>
    </w:p>
    <w:p>
      <w:pPr>
        <w:pStyle w:val="BodyText"/>
      </w:pPr>
      <w:r>
        <w:rPr>
          <w:b/>
          <w:bCs/>
        </w:rPr>
        <w:t xml:space="preserve">1. </w:t>
      </w:r>
      <w:r>
        <w:t xml:space="preserve">Questa parte copre tre domini del modello HTA — il profilo etico (dominio 6), il profilo organizzativo (dominio 7) e il profilo giuridico (dominio 9) — che completano la valutazione oltre i piani clinico, economico e di equità, stabilendo che l’intervento sia eticamente fondato, giuridicamente difendibile e organizzativamente conforme.</w:t>
      </w:r>
    </w:p>
    <w:p>
      <w:pPr>
        <w:pStyle w:val="BodyText"/>
      </w:pPr>
      <w:r>
        <w:rPr>
          <w:b/>
          <w:bCs/>
        </w:rPr>
        <w:t xml:space="preserve">2. </w:t>
      </w:r>
      <w:r>
        <w:t xml:space="preserve">Profilo etico (registro delle variabili, profili giuridici, etici e di governance): le dimensioni rilevanti sono l’equità di accesso, l’autonomia della persona e la tutela del consenso informato, oggetto del dominio etico della valutazione di tecnologia sanitaria.</w:t>
      </w:r>
    </w:p>
    <w:p>
      <w:pPr>
        <w:pStyle w:val="BodyText"/>
      </w:pPr>
      <w:r>
        <w:rPr>
          <w:b/>
          <w:bCs/>
        </w:rPr>
        <w:t xml:space="preserve">3. </w:t>
      </w:r>
      <w:r>
        <w:t xml:space="preserve">Consenso informato: è modulare, prestato distintamente per i diversi trattamenti, e reso anche in forma digitale; nella salute mentale i dati sono ultrasensibili, sicché la persona deve sapere se interagisce con un sistema di intelligenza artificiale, quali dati siano raccolti e chi possa accedervi.</w:t>
      </w:r>
    </w:p>
    <w:p>
      <w:pPr>
        <w:pStyle w:val="BodyText"/>
      </w:pPr>
      <w:r>
        <w:rPr>
          <w:b/>
          <w:bCs/>
        </w:rPr>
        <w:t xml:space="preserve">4. 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p>
      <w:pPr>
        <w:pStyle w:val="BodyText"/>
      </w:pPr>
      <w:r>
        <w:rPr>
          <w:b/>
          <w:bCs/>
        </w:rPr>
        <w:t xml:space="preserve">5. 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siano registrate o trattate le modalità.</w:t>
      </w:r>
    </w:p>
    <w:p>
      <w:pPr>
        <w:pStyle w:val="BodyText"/>
      </w:pPr>
      <w:r>
        <w:rPr>
          <w:b/>
          <w:bCs/>
        </w:rPr>
        <w:t xml:space="preserve">6. </w:t>
      </w:r>
      <w:r>
        <w:t xml:space="preserve">Articolo 32 della Costituzione e legge 23 dicembre 1978, n. 833: la salute come diritto fondamentale dell’individuo e interesse della collettività, e il Servizio sanitario nazionale fondato sui principi di universalità, eguaglianza ed equità.</w:t>
      </w:r>
    </w:p>
    <w:p>
      <w:pPr>
        <w:pStyle w:val="BodyText"/>
      </w:pPr>
      <w:r>
        <w:rPr>
          <w:b/>
          <w:bCs/>
        </w:rPr>
        <w:t xml:space="preserve">7. </w:t>
      </w:r>
      <w:r>
        <w:t xml:space="preserve">Articolo 117, terzo comma, della Costituzione: la tutela della salute è materia di competenza concorrente, nella quale allo Stato spetta la determinazione dei principi fondamentali e alle Regioni la disciplina di dettaglio e l’organizzazione; il secondo comma, lettera g), riserva allo Stato l’ordinamento delle professioni.</w:t>
      </w:r>
    </w:p>
    <w:p>
      <w:pPr>
        <w:pStyle w:val="BodyText"/>
      </w:pPr>
      <w:r>
        <w:rPr>
          <w:b/>
          <w:bCs/>
        </w:rPr>
        <w:t xml:space="preserve">8. </w:t>
      </w:r>
      <w:r>
        <w:t xml:space="preserve">Articolo 117, secondo comma, lettera m), della Costituzione: la determinazione dei livelli essenziali delle prestazioni concernenti i diritti civili e sociali è competenza legislativa esclusiva dello Stato; il decreto del Presidente del Consiglio dei ministri 12 gennaio 2017 è l’atto mediante il quale la funzione di psicologia di base può essere ricondotta tra le prestazioni garantite, e costituisce la leva di un’eventuale uniformità nazionale.</w:t>
      </w:r>
    </w:p>
    <w:p>
      <w:pPr>
        <w:pStyle w:val="BodyText"/>
      </w:pPr>
      <w:r>
        <w:rPr>
          <w:b/>
          <w:bCs/>
        </w:rPr>
        <w:t xml:space="preserve">9. </w:t>
      </w:r>
      <w:r>
        <w:t xml:space="preserve">Corte costituzionale, sentenza 13 dicembre 2021, n. 241: ha riconosciuto legittimo il modello regionale del servizio di psicologia di base, in quanto organizzazione del servizio sanitario che si avvale di professionisti già esistenti; la legge regionale pugliese opera entro la competenza concorrente, sul piano organizzativo.</w:t>
      </w:r>
    </w:p>
    <w:p>
      <w:pPr>
        <w:pStyle w:val="BodyText"/>
      </w:pPr>
      <w:r>
        <w:rPr>
          <w:b/>
          <w:bCs/>
        </w:rPr>
        <w:t xml:space="preserve">10. </w:t>
      </w:r>
      <w:r>
        <w:t xml:space="preserve">Corte costituzionale, sentenza n. 142 del 2021: ha dichiarato l’illegittimità della precedente legge regionale pugliese; la legge regionale n. 11 del 2023 ne costituisce la versione conforme, e il presente studio è redatto per essere costituzionalmente difendibile.</w:t>
      </w:r>
    </w:p>
    <w:p>
      <w:pPr>
        <w:pStyle w:val="BodyText"/>
      </w:pPr>
      <w:r>
        <w:rPr>
          <w:b/>
          <w:bCs/>
        </w:rPr>
        <w:t xml:space="preserve">11. </w:t>
      </w:r>
      <w:r>
        <w:t xml:space="preserve">Corte costituzionale, sentenza n. 6 del 2026: le Regioni in piano di rientro non possono utilizzare i fondi del proprio Servizio sanitario per finalità diverse dalla garanzia dei livelli essenziali; il vincolo rende la dimostrazione di efficienza e di coerenza con i livelli essenziali una condizione, non un’opzione.</w:t>
      </w:r>
    </w:p>
    <w:p>
      <w:pPr>
        <w:pStyle w:val="BodyText"/>
      </w:pPr>
      <w:r>
        <w:rPr>
          <w:b/>
          <w:bCs/>
        </w:rPr>
        <w:t xml:space="preserve">12. </w:t>
      </w:r>
      <w:r>
        <w:t xml:space="preserve">Deontologia professionale (registro delle variabili): il servizio opera nel rispetto delle norme deontologiche della professione, sotto la vigilanza dell’Ordine degli Psicologi, che concorre alla governance e alla formazione.</w:t>
      </w:r>
    </w:p>
    <w:p>
      <w:pPr>
        <w:pStyle w:val="BodyText"/>
      </w:pPr>
      <w:r>
        <w:rPr>
          <w:b/>
          <w:bCs/>
        </w:rPr>
        <w:t xml:space="preserve">13. </w:t>
      </w:r>
      <w:r>
        <w:t xml:space="preserve">Responsabilità clinica e ruolo dell’IA (legge nazionale sull’IA, art. 7; registro delle variabili): l’impiego dell’intelligenza artificiale non altera le responsabilità professionali — il medico di medicina generale resta garante della diagnosi e della terapia medica, lo psicologo dell’intervento psicologico — essendo l’IA assimilata a un dispositivo di supporto e non a una figura che compie atti; ciò evita conflitti con gli accordi convenzionali, poiché non si introduce una nuova figura ma uno strumento.</w:t>
      </w:r>
    </w:p>
    <w:p>
      <w:pPr>
        <w:pStyle w:val="BodyText"/>
      </w:pPr>
      <w:r>
        <w:rPr>
          <w:b/>
          <w:bCs/>
        </w:rPr>
        <w:t xml:space="preserve">14. </w:t>
      </w:r>
      <w:r>
        <w:t xml:space="preserve">Conformità degli strumenti di IA (registro delle variabili; legge nazionale sull’IA, artt. 6 e 8): il regolamento europeo sull’IA classifica come ad alto rischio i sistemi impiegati nei dispositivi medici; il regolamento sui dispositivi medici impone la marcatura CE (software di classe IIa o IIb); il regolamento sulla protezione dei dati ne disciplina il trattamento; sono richiesti supervisione umana, validazione periodica, monitoraggio dei bias, trasparenza e spiegabilità e non discriminazione algoritmica; è auspicata l’istituzione di un comitato etico-scientifico per l’IA in sanità, con l’agenzia regionale e le università, e l’articolo 8 qualifica i relativi trattamenti come di rilevante interesse pubblico.</w:t>
      </w:r>
    </w:p>
    <w:p>
      <w:pPr>
        <w:pStyle w:val="BodyText"/>
      </w:pPr>
      <w:r>
        <w:rPr>
          <w:b/>
          <w:bCs/>
        </w:rPr>
        <w:t xml:space="preserve">15. </w:t>
      </w:r>
      <w:r>
        <w:t xml:space="preserve">Equità digitale (registro delle variabili): per non generare nuove disuguaglianze, sono previsti canali tradizionali paralleli per chi non dispone di strumenti digitali — segnatamente le persone anziane — e il supporto multilingue per le popolazioni straniere; l’alternativa dell’intervento in presenza è sempre garantita.</w:t>
      </w:r>
    </w:p>
    <w:p>
      <w:pPr>
        <w:pStyle w:val="BodyText"/>
      </w:pPr>
      <w:r>
        <w:rPr>
          <w:b/>
          <w:bCs/>
        </w:rPr>
        <w:t xml:space="preserve">16. 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 in salute mentale i dati richiedono il massimo grado di tutela.</w:t>
      </w:r>
    </w:p>
    <w:bookmarkEnd w:id="1844"/>
    <w:bookmarkStart w:id="1845" w:name="X8ad126af0d91ab392dc556ce074f4f6f1793b5f"/>
    <w:p>
      <w:pPr>
        <w:pStyle w:val="Heading3"/>
      </w:pPr>
      <w:r>
        <w:t xml:space="preserve">Parte I — Attuazione, fattibilità e sostenibilità</w:t>
      </w:r>
    </w:p>
    <w:p>
      <w:pPr>
        <w:pStyle w:val="FirstParagraph"/>
      </w:pPr>
      <w:r>
        <w:rPr>
          <w:i/>
          <w:iCs/>
        </w:rPr>
        <w:t xml:space="preserve">16 note bibliografiche.</w:t>
      </w:r>
    </w:p>
    <w:p>
      <w:pPr>
        <w:pStyle w:val="BodyText"/>
      </w:pPr>
      <w:r>
        <w:rPr>
          <w:b/>
          <w:bCs/>
        </w:rPr>
        <w:t xml:space="preserve">1. </w:t>
      </w:r>
      <w:r>
        <w:t xml:space="preserve">Questa parte copre il settimo dominio del modello HTA, il profilo organizzativo, e fornisce il contenuto del caso commerciale e del caso gestionale del Five Case Model, rispondendo al criterio di sostenibilità; risponde alla domanda se l’intervento, accertato valido, possa essere effettivamente attuato, reso finanziariamente sostenibile e mantenuto nel tempo.</w:t>
      </w:r>
    </w:p>
    <w:p>
      <w:pPr>
        <w:pStyle w:val="BodyText"/>
      </w:pPr>
      <w:r>
        <w:rPr>
          <w:b/>
          <w:bCs/>
        </w:rPr>
        <w:t xml:space="preserve">2. </w:t>
      </w:r>
      <w:r>
        <w:t xml:space="preserve">Modello RE-AIM: misura la riuscita e la validità esterna dell’attuazione lungo cinque dimensioni — la portata (quota della popolazione bersaglio raggiunta), l’efficacia (gli esiti effettivi), l’adozione (l’adesione delle sedi e dei professionisti), l’implementazione (la fedeltà al modello e la qualità dell’attuazione) e il mantenimento (la sostenibilità nel tempo).</w:t>
      </w:r>
    </w:p>
    <w:p>
      <w:pPr>
        <w:pStyle w:val="BodyText"/>
      </w:pPr>
      <w:r>
        <w:rPr>
          <w:b/>
          <w:bCs/>
        </w:rPr>
        <w:t xml:space="preserve">3. 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e consente di individuare ex ante le barriere e i facilitatori.</w:t>
      </w:r>
    </w:p>
    <w:p>
      <w:pPr>
        <w:pStyle w:val="BodyText"/>
      </w:pPr>
      <w:r>
        <w:rPr>
          <w:b/>
          <w:bCs/>
        </w:rPr>
        <w:t xml:space="preserve">4. </w:t>
      </w:r>
      <w:r>
        <w:t xml:space="preserve">Determinanti di implementazione e processo seguiti dallo studio (registro delle variabili): il tasso di copertura della popolazione, il grado di adozione delle sedi, la fedeltà al modello, la sostenibilità, i tempi di attivazione, il numero di psicologi reclutati e formati, la qualità della formazione e della supervisione, il grado di integrazione nei flussi di lavoro, l’aderenza ai percorsi, la scalabilità e il coinvolgimento dei portatori di interesse.</w:t>
      </w:r>
    </w:p>
    <w:p>
      <w:pPr>
        <w:pStyle w:val="BodyText"/>
      </w:pPr>
      <w:r>
        <w:rPr>
          <w:b/>
          <w:bCs/>
        </w:rPr>
        <w:t xml:space="preserve">5. </w:t>
      </w:r>
      <w:r>
        <w:t xml:space="preserve">Disegno del dispiegamento scaglionato (piano operativo di implementazione): le sei aziende sanitarie locali passano in sequenza, per fasi semestrali, dalla condizione di controllo a quella di intervento, a partire dalle aziende di maggiore dimensione e prontezza organizzativa; l’ordine è definito dalla Giunta regionale sulla base di criteri trasparenti — prontezza organizzativa, entità del bisogno ed equilibrio territoriale — e reso noto preventivamente, con scansione adattabile fermo restando il principio della progressione ordinata e documentata.</w:t>
      </w:r>
    </w:p>
    <w:p>
      <w:pPr>
        <w:pStyle w:val="BodyText"/>
      </w:pPr>
      <w:r>
        <w:rPr>
          <w:b/>
          <w:bCs/>
        </w:rPr>
        <w:t xml:space="preserve">6. </w:t>
      </w:r>
      <w:r>
        <w:t xml:space="preserve">Doppia funzione del dispiegamento scaglionato: esso risponde a un’esigenza organizzativa — attivare il servizio in modo graduale, compatibile con il reclutamento e la formazione — e al tempo stesso costituisce il fondamento della valutazione controfattuale d’impatto, poiché la successione temporale e territoriale dell’attivazione configura un esperimento naturale, oggetto della Parte L.</w:t>
      </w:r>
    </w:p>
    <w:p>
      <w:pPr>
        <w:pStyle w:val="BodyText"/>
      </w:pPr>
      <w:r>
        <w:rPr>
          <w:b/>
          <w:bCs/>
        </w:rPr>
        <w:t xml:space="preserve">7. </w:t>
      </w:r>
      <w:r>
        <w:t xml:space="preserve">Reclutamento (piano operativo): a fronte di un fabbisogno a regime di 800–900 psicologi, il reclutamento avviene tramite l’iscrizione a un elenco istituito presso ciascuna azienda sanitaria locale e l’instaurazione di un rapporto convenzionale, con requisiti di iscrizione all’albo e di formazione specifica; in prima applicazione possono accedere i professionisti con pregressa esperienza nell’assistenza psicologica nel Servizio sanitario regionale.</w:t>
      </w:r>
    </w:p>
    <w:p>
      <w:pPr>
        <w:pStyle w:val="BodyText"/>
      </w:pPr>
      <w:r>
        <w:rPr>
          <w:b/>
          <w:bCs/>
        </w:rPr>
        <w:t xml:space="preserve">8. </w:t>
      </w:r>
      <w:r>
        <w:t xml:space="preserve">Cronoprogramma (piano operativo): l’attivazione procede per sei fasi semestrali; le attività di reclutamento, formazione, allestimento e avvio procedono in modo scaglionato, azienda per azienda, mentre il monitoraggio e la valutazione accompagnano l’intero arco e proseguono oltre il completamento del dispiegamento.</w:t>
      </w:r>
    </w:p>
    <w:p>
      <w:pPr>
        <w:pStyle w:val="BodyText"/>
      </w:pPr>
      <w:r>
        <w:rPr>
          <w:b/>
          <w:bCs/>
        </w:rPr>
        <w:t xml:space="preserve">9. </w:t>
      </w:r>
      <w:r>
        <w:t xml:space="preserve">Soglia di riuscita del dispiegamento: tra i parametri che muterebbero le conclusioni figura un tasso di recupero inferiore al 50% nella fase di attuazione, a fronte del valore di riferimento del programma inglese (dell’ordine del 50%); il monitoraggio della Parte L è chiamato a verificare il raggiungimento di tale soglia sui dati pugliesi.</w:t>
      </w:r>
    </w:p>
    <w:p>
      <w:pPr>
        <w:pStyle w:val="BodyText"/>
      </w:pPr>
      <w:r>
        <w:rPr>
          <w:b/>
          <w:bCs/>
        </w:rPr>
        <w:t xml:space="preserve">10. </w:t>
      </w:r>
      <w:r>
        <w:t xml:space="preserve">Caso commerciale (Five Case Model): la fattibilità dell’assetto contrattuale poggia sul rapporto convenzionale ancorato all’accordo della specialistica ambulatoriale, con un costo medio per incarico dell’ordine di 55.000 euro l’anno (circa 40 euro l’ora di costo-azienda per circa 1.250 ore, più circa 5.000 euro di costi generali), da cui discendono gli scenari di spesa di 25, 38 e 50 milioni di euro l’anno, fino a 60–75 a costi pieni; l’assetto è già sperimentato da altre Regioni.</w:t>
      </w:r>
    </w:p>
    <w:p>
      <w:pPr>
        <w:pStyle w:val="BodyText"/>
      </w:pPr>
      <w:r>
        <w:rPr>
          <w:b/>
          <w:bCs/>
        </w:rPr>
        <w:t xml:space="preserve">11. </w:t>
      </w:r>
      <w:r>
        <w:t xml:space="preserve">Caso gestionale (Five Case Model): l’attuazione è governata su due livelli. A livello regionale, l’Osservatorio regionale per la psicologia di base, previsto dall’articolo 9 della proposta di legge, esercita le funzioni di indirizzo, programmazione, monitoraggio e controllo, definisce i criteri e l’ordine del dispiegamento, sovrintende ai programmi formativi e assicura l’uniformità, riunendo la Regione, le aziende, l’Ordine degli Psicologi, la medicina generale, la pediatria di libera scelta e gli esperti; a livello aziendale, ciascuna azienda è responsabile del reclutamento, delle sedi, dell’allestimento, dell’avvio e dell’alimentazione del sistema informativo.</w:t>
      </w:r>
    </w:p>
    <w:p>
      <w:pPr>
        <w:pStyle w:val="BodyText"/>
      </w:pPr>
      <w:r>
        <w:rPr>
          <w:b/>
          <w:bCs/>
        </w:rPr>
        <w:t xml:space="preserve">12. </w:t>
      </w:r>
      <w:r>
        <w:t xml:space="preserve">Rischi attuativi e misure di mitigazione (piano operativo): i rischi principali — reclutamento insufficiente, debole adesione della medicina generale, interoperabilità incompleta dei sistemi informativi, disomogeneità territoriale, venir meno delle coperture — sono presidiati da misure dedicate, e il dispiegamento graduale costituisce esso stesso la principale forma di mitigazione, poiché consente di correggere il modello prima dell’estensione.</w:t>
      </w:r>
    </w:p>
    <w:p>
      <w:pPr>
        <w:pStyle w:val="BodyText"/>
      </w:pPr>
      <w:r>
        <w:rPr>
          <w:b/>
          <w:bCs/>
        </w:rPr>
        <w:t xml:space="preserve">13. </w:t>
      </w:r>
      <w:r>
        <w:t xml:space="preserve">Caso finanziario e coperture (Five Case Model): le fonti di copertura comprendono il finanziamento ordinario del Servizio sanitario regionale, la Missione 6 del Piano Nazionale di Ripresa e Resilienza per l’infrastruttura territoriale e digitale, i fondi nazionali in materia di salute mentale, il riutilizzo a regime di una quota dei risparmi diretti generati dal servizio e accordi intersettoriali con i settori del welfare, dell’invalidità e della produttività, su cui ricadono i benefici.</w:t>
      </w:r>
    </w:p>
    <w:p>
      <w:pPr>
        <w:pStyle w:val="BodyText"/>
      </w:pPr>
      <w:r>
        <w:rPr>
          <w:b/>
          <w:bCs/>
        </w:rPr>
        <w:t xml:space="preserve">14. </w:t>
      </w:r>
      <w:r>
        <w:t xml:space="preserve">Vincoli di bilancio: a fronte di un finanziamento di circa 8,8 miliardi di euro e di un disavanzo di circa 350 milioni, in regime di piano di rientro, il costo del servizio (25–50 milioni) ne costituisce una frazione modesta, in larga parte compensata dai risparmi diretti, con pareggio finanziario atteso tra il terzo e il quinto anno.</w:t>
      </w:r>
    </w:p>
    <w:p>
      <w:pPr>
        <w:pStyle w:val="BodyText"/>
      </w:pPr>
      <w:r>
        <w:rPr>
          <w:b/>
          <w:bCs/>
        </w:rPr>
        <w:t xml:space="preserve">15. </w:t>
      </w:r>
      <w:r>
        <w:t xml:space="preserve">Sostenibilità nel tempo (criterio OCSE-DAC): la sostenibilità è assicurata dalla modestia del costo rispetto al bilancio, dalla sua larga compensazione mediante i risparmi diretti e dall’allineamento, garantito dal dispiegamento graduale, tra la spesa e la capacità di reclutamento e formazione; la sostenibilità di lungo periodo richiede un finanziamento strutturale, non straordinario.</w:t>
      </w:r>
    </w:p>
    <w:p>
      <w:pPr>
        <w:pStyle w:val="BodyText"/>
      </w:pPr>
      <w:r>
        <w:rPr>
          <w:b/>
          <w:bCs/>
        </w:rPr>
        <w:t xml:space="preserve">16. </w:t>
      </w:r>
      <w:r>
        <w:t xml:space="preserve">Nota di cautela metodologica: i risultati italiani disponibili provengono in parte da letteratura grigia e da campioni limitati, e i benchmark esteri richiedono cautela di trasferibilità; la sintesi del ritorno «quattro a uno» dell’Organizzazione mondiale della sanità è una semplificazione, poiché la fonte riporta intervalli dell’ordine di 2,3–3,0 a uno per i soli benefici economici e di 3,3–5,7 a uno includendo i ritorni di salute, coerenti con il rapporto consolidato adottato (3,6–5 a uno).</w:t>
      </w:r>
    </w:p>
    <w:bookmarkEnd w:id="1845"/>
    <w:bookmarkStart w:id="1846" w:name="X77064ed04a60040587b08ef79708d3712551e5f"/>
    <w:p>
      <w:pPr>
        <w:pStyle w:val="Heading3"/>
      </w:pPr>
      <w:r>
        <w:t xml:space="preserve">Parte L — Monitoraggio, valutazione ed ex post</w:t>
      </w:r>
    </w:p>
    <w:p>
      <w:pPr>
        <w:pStyle w:val="FirstParagraph"/>
      </w:pPr>
      <w:r>
        <w:rPr>
          <w:i/>
          <w:iCs/>
        </w:rPr>
        <w:t xml:space="preserve">19 note bibliografiche.</w:t>
      </w:r>
    </w:p>
    <w:p>
      <w:pPr>
        <w:pStyle w:val="BodyText"/>
      </w:pPr>
      <w:r>
        <w:rPr>
          <w:b/>
          <w:bCs/>
        </w:rPr>
        <w:t xml:space="preserve">1. </w:t>
      </w:r>
      <w:r>
        <w:t xml:space="preserve">Questa parte organizza la misurazione dell’intervento nel tempo: serve ex post i criteri della griglia di giudizio, chiude il ciclo aperto dall’analisi preventiva della regolamentazione e fornisce il fondamento empirico delle stime delle parti precedenti; la verifica onesta della completezza del progetto conduce a una conclusione netta — al progetto non manca un’architettura, ma il radicamento nei dati e l’avvio della misurazione, sicché le lacune residue sono di fondamento e di attivazione, non di disegno.</w:t>
      </w:r>
    </w:p>
    <w:p>
      <w:pPr>
        <w:pStyle w:val="BodyText"/>
      </w:pPr>
      <w:r>
        <w:rPr>
          <w:b/>
          <w:bCs/>
        </w:rPr>
        <w:t xml:space="preserve">2. </w:t>
      </w:r>
      <w:r>
        <w:t xml:space="preserve">Modello di Donabedian per la qualità dell’assistenza: distingue le dimensioni di struttura, processo ed esito, qui integrate dalla dimensione di impatto, e costituisce l’ossatura del sistema di indicatori.</w:t>
      </w:r>
    </w:p>
    <w:p>
      <w:pPr>
        <w:pStyle w:val="BodyText"/>
      </w:pPr>
      <w:r>
        <w:rPr>
          <w:b/>
          <w:bCs/>
        </w:rPr>
        <w:t xml:space="preserve">3. </w:t>
      </w:r>
      <w:r>
        <w:t xml:space="preserve">Batteria di indicatori: circa cinquantotto misure articolate in otto categorie, delle quali una parte è già ricavabile dalle statistiche correnti e circa quaranta richiedono la rilevazione diretta del servizio.</w:t>
      </w:r>
    </w:p>
    <w:p>
      <w:pPr>
        <w:pStyle w:val="BodyText"/>
      </w:pPr>
      <w:r>
        <w:rPr>
          <w:b/>
          <w:bCs/>
        </w:rPr>
        <w:t xml:space="preserve">4. </w:t>
      </w:r>
      <w:r>
        <w:t xml:space="preserve">Set di esiti essenziali: l’iniziativa COMET e gli standard ICHOM individuano, mediante consenso strutturato (metodo Delphi), un nucleo parsimonioso e condiviso di esiti da misurare, prassi che fonda la selezione di un sottoinsieme prioritario di variabili ed evita la proliferazione di misure ridondanti.</w:t>
      </w:r>
    </w:p>
    <w:p>
      <w:pPr>
        <w:pStyle w:val="BodyText"/>
      </w:pPr>
      <w:r>
        <w:rPr>
          <w:b/>
          <w:bCs/>
        </w:rPr>
        <w:t xml:space="preserve">5. </w:t>
      </w:r>
      <w:r>
        <w:t xml:space="preserve">Le otto categorie di indicatori e lo stato della baseline: bisogno e domanda (disponibile), accesso ed equità (da rilevare), processo (da rilevare), esito clinico (da rilevare), economici (misto), impatto sociale (misto), organizzativi (da rilevare) e variabili di sintesi (da calcolare).</w:t>
      </w:r>
    </w:p>
    <w:p>
      <w:pPr>
        <w:pStyle w:val="BodyText"/>
      </w:pPr>
      <w:r>
        <w:rPr>
          <w:b/>
          <w:bCs/>
        </w:rPr>
        <w:t xml:space="preserve">6. </w:t>
      </w:r>
      <w:r>
        <w:t xml:space="preserve">Protocollo minimo di rilevazione: attivo dal primo giorno, registra la presa in carico, ogni seduta, i punteggi di esito raccolti a ogni incontro, gli invii e le restituzioni; costituisce la fonte dei circa quaranta indicatori che il servizio deve rilevare in proprio e che non sono ricavabili dalle statistiche correnti.</w:t>
      </w:r>
    </w:p>
    <w:p>
      <w:pPr>
        <w:pStyle w:val="BodyText"/>
      </w:pPr>
      <w:r>
        <w:rPr>
          <w:b/>
          <w:bCs/>
        </w:rPr>
        <w:t xml:space="preserve">7. 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p>
      <w:pPr>
        <w:pStyle w:val="BodyText"/>
      </w:pPr>
      <w:r>
        <w:rPr>
          <w:b/>
          <w:bCs/>
        </w:rPr>
        <w:t xml:space="preserve">8. 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 il tasso di recupero conseguito è dell’ordine del 50%.</w:t>
      </w:r>
    </w:p>
    <w:p>
      <w:pPr>
        <w:pStyle w:val="BodyText"/>
      </w:pPr>
      <w:r>
        <w:rPr>
          <w:b/>
          <w:bCs/>
        </w:rPr>
        <w:t xml:space="preserve">9. </w:t>
      </w:r>
      <w:r>
        <w:t xml:space="preserve">Costituzione della baseline su due binari: gli indicatori già disponibili dalle statistiche correnti — demografici, epidemiologici, di benessere, di mortalità — forniscono la fotografia del «prima» e vanno registrati subito; la rilevazione di servizio parte con il primo assistito, nel principio che ogni mese di ritardo è un mese di dati di base perduti, non recuperabili a posteriori.</w:t>
      </w:r>
    </w:p>
    <w:p>
      <w:pPr>
        <w:pStyle w:val="BodyText"/>
      </w:pPr>
      <w:r>
        <w:rPr>
          <w:b/>
          <w:bCs/>
        </w:rPr>
        <w:t xml:space="preserve">10. </w:t>
      </w:r>
      <w:r>
        <w:t xml:space="preserve">Calendario della rilevazione: prima dell’avvio, costituzione della baseline con i dati disponibili e predisposizione del registro e dei questionari; all’avvio, inizio della registrazione di ogni presa in carico e di ogni seduta; in continuo, alimentazione del registro e trasmissione di indicatori aggregati all’Osservatorio con cadenza mensile; periodicamente, con cadenza semestrale e annuale, calcolo delle misure di sintesi e aggiornamento del cruscotto regionale.</w:t>
      </w:r>
    </w:p>
    <w:p>
      <w:pPr>
        <w:pStyle w:val="BodyText"/>
      </w:pPr>
      <w:r>
        <w:rPr>
          <w:b/>
          <w:bCs/>
        </w:rPr>
        <w:t xml:space="preserve">11. </w:t>
      </w:r>
      <w:r>
        <w:t xml:space="preserve">Valutazione controfattuale d’impatto: misura l’effetto causale dell’intervento confrontando gli esiti dei trattati con il controfattuale, ciò che sarebbe accaduto in assenza dell’intervento; il dispiegamento scaglionato funge da esperimento naturale, e si avvale della differenza-nelle-differenze e del controllo sintetico.</w:t>
      </w:r>
    </w:p>
    <w:p>
      <w:pPr>
        <w:pStyle w:val="BodyText"/>
      </w:pPr>
      <w:r>
        <w:rPr>
          <w:b/>
          <w:bCs/>
        </w:rPr>
        <w:t xml:space="preserve">12. </w:t>
      </w:r>
      <w:r>
        <w:t xml:space="preserve">Differenza-nelle-differenze: confronta la variazione nel tempo dell’esito tra le aree già attivate e quelle non ancora attivate, sotto l’ipotesi di andamento parallelo, ossia che i gruppi avrebbero evoluto in modo simile in assenza dell’intervento; il controllo sintetico costruisce un’unità di confronto artificiale come combinazione ponderata di unità non trattate.</w:t>
      </w:r>
    </w:p>
    <w:p>
      <w:pPr>
        <w:pStyle w:val="BodyText"/>
      </w:pPr>
      <w:r>
        <w:rPr>
          <w:b/>
          <w:bCs/>
        </w:rPr>
        <w:t xml:space="preserve">13. </w:t>
      </w:r>
      <w:r>
        <w:t xml:space="preserve">Effetti stimati e validità: l’analisi restituisce l’effetto medio sull’intera popolazione e l’effetto medio sui soli trattati; i metodi rigorosi garantiscono la validità interna, ossia che l’effetto sia realmente attribuibile all’intervento, mentre la validità esterna, ossia la generalizzabilità, va valutata a parte; il Consiglio per la ricerca medica del Regno Unito raccomanda i disegni a esperimento naturale per gli interventi di salute della popolazione.</w:t>
      </w:r>
    </w:p>
    <w:p>
      <w:pPr>
        <w:pStyle w:val="BodyText"/>
      </w:pPr>
      <w:r>
        <w:rPr>
          <w:b/>
          <w:bCs/>
        </w:rPr>
        <w:t xml:space="preserve">14. </w:t>
      </w:r>
      <w:r>
        <w:t xml:space="preserve">Trasformazione delle stime in prove: confrontando l’andamento, ad esempio, degli accessi al pronto soccorso per cause psichiatriche nelle aree che hanno attivato il servizio con quello delle aree che lo attiveranno, si isola l’effetto proprio della riforma da eventuali tendenze generali, e si trasforma la stima dei risparmi da proiezione attesa a misura empiricamente fondata.</w:t>
      </w:r>
    </w:p>
    <w:p>
      <w:pPr>
        <w:pStyle w:val="BodyText"/>
      </w:pPr>
      <w:r>
        <w:rPr>
          <w:b/>
          <w:bCs/>
        </w:rPr>
        <w:t xml:space="preserve">15. </w:t>
      </w:r>
      <w:r>
        <w:t xml:space="preserve">Verifica ex post dell’impatto della regolamentazione (VIR; DPCM 169/2017): è valutazione ex post, di norma dopo un biennio, dell’efficacia, dell’efficienza, dell’utilità e della coerenza della norma, e chiude il ciclo aperto dall’analisi preventiva (AIR) accertando se la norma abbia prodotto gli effetti attesi.</w:t>
      </w:r>
    </w:p>
    <w:p>
      <w:pPr>
        <w:pStyle w:val="BodyText"/>
      </w:pPr>
      <w:r>
        <w:rPr>
          <w:b/>
          <w:bCs/>
        </w:rPr>
        <w:t xml:space="preserve">16. </w:t>
      </w:r>
      <w:r>
        <w:t xml:space="preserve">Clausola valutativa: sul piano regionale, impegna la Giunta a riferire periodicamente al Consiglio sui risultati conseguiti; è il passaggio che distingue una riforma annunciata da una riforma dimostrata e ne assicura la difendibilità nel tempo.</w:t>
      </w:r>
    </w:p>
    <w:p>
      <w:pPr>
        <w:pStyle w:val="BodyText"/>
      </w:pPr>
      <w:r>
        <w:rPr>
          <w:b/>
          <w:bCs/>
        </w:rPr>
        <w:t xml:space="preserve">17. </w:t>
      </w:r>
      <w:r>
        <w:t xml:space="preserve">Manuale OCSE-JRC per la costruzione di indicatori compositi (2008): articola in dieci passi la costruzione e la validazione delle misure di sintesi — quadro teorico, selezione dei dati, imputazione dei dati mancanti, analisi multivariata, normalizzazione, ponderazione, aggregazione, analisi di sensibilità, collegamento ad altre misure e visualizzazione — con la scelta dei pesi e del metodo di aggregazione resa esplicita, perché da essa dipende il risultato.</w:t>
      </w:r>
    </w:p>
    <w:p>
      <w:pPr>
        <w:pStyle w:val="BodyText"/>
      </w:pPr>
      <w:r>
        <w:rPr>
          <w:b/>
          <w:bCs/>
        </w:rPr>
        <w:t xml:space="preserve">18. </w:t>
      </w:r>
      <w:r>
        <w:t xml:space="preserve">Benessere Equo e Sostenibile (BES), ISTAT: dodici domini con indici compositi; con la legge n. 163/2016 di riforma del bilancio, dodici indicatori BES sono allegati ai documenti di programmazione economica, il che rende il BES la cornice nazionale di sintesi multidimensionale a cui il cruscotto si ancora.</w:t>
      </w:r>
    </w:p>
    <w:p>
      <w:pPr>
        <w:pStyle w:val="BodyText"/>
      </w:pPr>
      <w:r>
        <w:rPr>
          <w:b/>
          <w:bCs/>
        </w:rPr>
        <w:t xml:space="preserve">19. </w:t>
      </w:r>
      <w:r>
        <w:t xml:space="preserve">Regole di coerenza e di non duplicazione: il divieto di doppia contabilizzazione impone che, nel medesimo calcolo, una grandezza sia conteggiata una sola volta — non come variabile semplice, come proprie ramificazioni e come componente di una misura complessa che già la incorpora; le variabili ramificate non si sommano tra loro né con la variabile-genitore, e le misure complesse sostituiscono, non si aggiungono a, le componenti che sintetizzano.</w:t>
      </w:r>
    </w:p>
    <w:bookmarkEnd w:id="1846"/>
    <w:bookmarkStart w:id="1847" w:name="X432bd4c316bb6a1a146b871b0c544b27550b2c3"/>
    <w:p>
      <w:pPr>
        <w:pStyle w:val="Heading3"/>
      </w:pPr>
      <w:r>
        <w:t xml:space="preserve">Parte M — Sintesi multidimensionale e raccomandazioni</w:t>
      </w:r>
    </w:p>
    <w:p>
      <w:pPr>
        <w:pStyle w:val="FirstParagraph"/>
      </w:pPr>
      <w:r>
        <w:rPr>
          <w:i/>
          <w:iCs/>
        </w:rPr>
        <w:t xml:space="preserve">16 note bibliografiche.</w:t>
      </w:r>
    </w:p>
    <w:p>
      <w:pPr>
        <w:pStyle w:val="BodyText"/>
      </w:pPr>
      <w:r>
        <w:rPr>
          <w:b/>
          <w:bCs/>
        </w:rPr>
        <w:t xml:space="preserve">1. </w:t>
      </w:r>
      <w:r>
        <w:t xml:space="preserve">Questa parte conclusiva applica la griglia di giudizio del telaio, i criteri dell’OCSE-DAC, che attraversano l’intero studio e convergono nella sintesi; fornisce inoltre il contenuto del caso strategico del Five Case Model, ricomponendo le evidenze delle parti precedenti in una valutazione di merito e in raccomandazioni per il decisore.</w:t>
      </w:r>
    </w:p>
    <w:p>
      <w:pPr>
        <w:pStyle w:val="BodyText"/>
      </w:pPr>
      <w:r>
        <w:rPr>
          <w:b/>
          <w:bCs/>
        </w:rPr>
        <w:t xml:space="preserve">2. </w:t>
      </w:r>
      <w:r>
        <w:t xml:space="preserve">Criteri di valutazione dell’OCSE-DAC (rivisti nel 2019, «Better Criteria for Better Evaluation»): sei lenti complementari — rilevanza, coerenza, efficacia, efficienza, impatto e sostenibilità — da applicare in modo contestuale e non meccanico; esse operano ex ante, orientando la valutazione complessiva, ed ex post, strutturando la verifica dei risultati attraverso la verifica di impatto della regolamentazione e la clausola valutativa.</w:t>
      </w:r>
    </w:p>
    <w:p>
      <w:pPr>
        <w:pStyle w:val="BodyText"/>
      </w:pPr>
      <w:r>
        <w:rPr>
          <w:b/>
          <w:bCs/>
        </w:rPr>
        <w:t xml:space="preserve">3. </w:t>
      </w:r>
      <w:r>
        <w:t xml:space="preserve">Rilevanza: l’intervento risponde a un bisogno reale e di grande dimensione — dell’ordine di 780.000 persone con disagio comune in larga parte non intercettato, lungo un gradiente sociale — e all’obbligo di garantire i livelli essenziali (Parti B e G).</w:t>
      </w:r>
    </w:p>
    <w:p>
      <w:pPr>
        <w:pStyle w:val="BodyText"/>
      </w:pPr>
      <w:r>
        <w:rPr>
          <w:b/>
          <w:bCs/>
        </w:rPr>
        <w:t xml:space="preserve">4. </w:t>
      </w:r>
      <w:r>
        <w:t xml:space="preserve">Coerenza: l’intervento è compatibile e complementare con gli standard dell’assistenza territoriale (DM 77/2022), con la Missione 6 del PNRR, con gli indirizzi nazionali sulla salute mentale e con la legge regionale n. 11/2023, ed è costituzionalmente difendibile (Corte costituzionale, sentenza n. 241/2021) (Parti H e I).</w:t>
      </w:r>
    </w:p>
    <w:p>
      <w:pPr>
        <w:pStyle w:val="BodyText"/>
      </w:pPr>
      <w:r>
        <w:rPr>
          <w:b/>
          <w:bCs/>
        </w:rPr>
        <w:t xml:space="preserve">5. </w:t>
      </w:r>
      <w:r>
        <w:t xml:space="preserve">Efficacia: l’evidenza internazionale documenta che i modelli di integrazione della salute mentale nelle cure primarie raggiungono gli obiettivi clinici — con tassi di recupero dell’ordine del 50% nel programma inglese e riduzioni consistenti dei sintomi nelle revisioni sistematiche (Parte D).</w:t>
      </w:r>
    </w:p>
    <w:p>
      <w:pPr>
        <w:pStyle w:val="BodyText"/>
      </w:pPr>
      <w:r>
        <w:rPr>
          <w:b/>
          <w:bCs/>
        </w:rPr>
        <w:t xml:space="preserve">6. </w:t>
      </w:r>
      <w:r>
        <w:t xml:space="preserve">Efficienza: l’intervento è favorevole in termini di costo-utilità — con dominanza per paziente e costo-efficacia confermata nell’88,9% delle simulazioni — mentre sul solo bilancio sanitario il saldo diretto è prossimo al pareggio, a fronte di un costo che ne costituisce una frazione modesta (Parti E e F).</w:t>
      </w:r>
    </w:p>
    <w:p>
      <w:pPr>
        <w:pStyle w:val="BodyText"/>
      </w:pPr>
      <w:r>
        <w:rPr>
          <w:b/>
          <w:bCs/>
        </w:rPr>
        <w:t xml:space="preserve">7. </w:t>
      </w:r>
      <w:r>
        <w:t xml:space="preserve">Impatto: l’impatto distributivo è favorevole, poiché i benefici si concentrano tra le popolazioni deprivate riducendo il gradiente sociale, e il ritorno complessivo — comprensivo delle ricadute sociali, dell’ordine di 70–200 milioni l’anno — corrisponde a un rapporto beneficio-costo di 3,6–5 a uno (Parti E e G).</w:t>
      </w:r>
    </w:p>
    <w:p>
      <w:pPr>
        <w:pStyle w:val="BodyText"/>
      </w:pPr>
      <w:r>
        <w:rPr>
          <w:b/>
          <w:bCs/>
        </w:rPr>
        <w:t xml:space="preserve">8. </w:t>
      </w:r>
      <w:r>
        <w:t xml:space="preserve">Sostenibilità: l’intervento è finanziariamente sostenibile — a fronte di un costo modesto, di una pluralità di coperture e di un pareggio finanziario atteso tra il terzo e il quinto anno — e organizzativamente fattibile, grazie al dispiegamento graduale (Parte I).</w:t>
      </w:r>
    </w:p>
    <w:p>
      <w:pPr>
        <w:pStyle w:val="BodyText"/>
      </w:pPr>
      <w:r>
        <w:rPr>
          <w:b/>
          <w:bCs/>
        </w:rPr>
        <w:t xml:space="preserve">9. </w:t>
      </w:r>
      <w:r>
        <w:t xml:space="preserve">Analisi multi-criterio (buone pratiche ISPOR): rende esplicito il bilanciamento dei criteri non riducibili a denaro — l’equità, la fattibilità, la coerenza strategica e la solidità dell’evidenza — attribuendo a ciascun criterio un peso e a ciascuna opzione un punteggio, e aggregandoli in un punteggio complessivo.</w:t>
      </w:r>
    </w:p>
    <w:p>
      <w:pPr>
        <w:pStyle w:val="BodyText"/>
      </w:pPr>
      <w:r>
        <w:rPr>
          <w:b/>
          <w:bCs/>
        </w:rPr>
        <w:t xml:space="preserve">10. </w:t>
      </w:r>
      <w:r>
        <w:t xml:space="preserve">Risultato dell’analisi multi-criterio: su otto criteri pesati, l’opzione di intervento ottiene un punteggio complessivo di 83 su 100 contro 39,25 dell’opzione zero, prevalendo su tutti i criteri a eccezione della sola fattibilità immediata — nella quale l’opzione zero è superiore — gestibile attraverso il dispiegamento graduale; l’esito è stabile rispetto ai pesi adottati.</w:t>
      </w:r>
    </w:p>
    <w:p>
      <w:pPr>
        <w:pStyle w:val="BodyText"/>
      </w:pPr>
      <w:r>
        <w:rPr>
          <w:b/>
          <w:bCs/>
        </w:rPr>
        <w:t xml:space="preserve">11. </w:t>
      </w:r>
      <w:r>
        <w:t xml:space="preserve">Le tre affermazioni del cruscotto decisionale: il servizio costa al bilancio sanitario una cifra modesta e quasi interamente compensata; restituisce alla collettività un valore dell’ordine di quattro euro per ogni euro speso; e adempie all’obbligo di garantire i livelli essenziali intercettando un bisogno largamente inevaso.</w:t>
      </w:r>
    </w:p>
    <w:p>
      <w:pPr>
        <w:pStyle w:val="BodyText"/>
      </w:pPr>
      <w:r>
        <w:rPr>
          <w:b/>
          <w:bCs/>
        </w:rPr>
        <w:t xml:space="preserve">12. </w:t>
      </w:r>
      <w:r>
        <w:t xml:space="preserve">Raccomandazione centrale: la decisione rilevante non è se istituire il servizio — già istituito con la legge regionale n. 11/2023 — ma se dimensionarlo, scalando dalla copertura attuale di circa il 5% del fabbisogno verso gli 800–900 psicologi a regime, attraverso il dispiegamento graduale e l’acquisizione dei dati certificati.</w:t>
      </w:r>
    </w:p>
    <w:p>
      <w:pPr>
        <w:pStyle w:val="BodyText"/>
      </w:pPr>
      <w:r>
        <w:rPr>
          <w:b/>
          <w:bCs/>
        </w:rPr>
        <w:t xml:space="preserve">13. </w:t>
      </w:r>
      <w:r>
        <w:t xml:space="preserve">Cruscotto secondo il Quintuple Aim: la sintesi del valore è letta lungo le cinque dimensioni dell’esito di salute, dell’esperienza di cura, del costo, del benessere dei professionisti e dell’equità in salute.</w:t>
      </w:r>
    </w:p>
    <w:p>
      <w:pPr>
        <w:pStyle w:val="BodyText"/>
      </w:pPr>
      <w:r>
        <w:rPr>
          <w:b/>
          <w:bCs/>
        </w:rPr>
        <w:t xml:space="preserve">14. </w:t>
      </w:r>
      <w:r>
        <w:t xml:space="preserve">Limite principale (radicamento nei dati): le grandezze economiche sono in parte ricostruite a partire dai conti nazionali, scalati per la quota di popolazione regionale (circa il 6,6%), anziché estratte dai conti regionali certificati; è la lacuna più importante da risolvere prima della presentazione esterna, e i parametri dei canali dei ricoveri, della specialistica e della mobilità sono quelli ancora stimati.</w:t>
      </w:r>
    </w:p>
    <w:p>
      <w:pPr>
        <w:pStyle w:val="BodyText"/>
      </w:pPr>
      <w:r>
        <w:rPr>
          <w:b/>
          <w:bCs/>
        </w:rPr>
        <w:t xml:space="preserve">15. </w:t>
      </w:r>
      <w:r>
        <w:t xml:space="preserve">Cautele di trasferibilità e di fonte: i risultati italiani disponibili provengono in parte da letteratura grigia e da campioni limitati, i benchmark esteri richiedono cautela di trasferibilità, e la sintesi del ritorno «quattro a uno» dell’Organizzazione mondiale della sanità è una semplificazione, poiché la fonte riporta intervalli di 2,3–3,0 a uno per i soli benefici economici e di 3,3–5,7 a uno con i ritorni di salute, coerenti con il rapporto consolidato adottato.</w:t>
      </w:r>
    </w:p>
    <w:p>
      <w:pPr>
        <w:pStyle w:val="BodyText"/>
      </w:pPr>
      <w:r>
        <w:rPr>
          <w:b/>
          <w:bCs/>
        </w:rPr>
        <w:t xml:space="preserve">16. </w:t>
      </w:r>
      <w:r>
        <w:t xml:space="preserve">Agenda di ricerca: l’investimento conoscitivo prioritario è l’acquisizione dei dati regionali certificati presso l’agenzia regionale e le aziende — le schede di dimissione per disturbi psichici, la composizione della mobilità passiva per disciplina e la spesa farmaceutica per categoria — e la verifica empirica degli effetti attraverso il dispiegamento scaglionato (differenza-nelle-differenze) e la verifica ex post; la trasparenza sull’incertezza residua è un elemento di forza, non di debolezza.</w:t>
      </w:r>
    </w:p>
    <w:bookmarkEnd w:id="1847"/>
    <w:bookmarkStart w:id="1848" w:name="appendici-a-e"/>
    <w:p>
      <w:pPr>
        <w:pStyle w:val="Heading3"/>
      </w:pPr>
      <w:r>
        <w:t xml:space="preserve">Appendici A-E</w:t>
      </w:r>
    </w:p>
    <w:p>
      <w:pPr>
        <w:pStyle w:val="FirstParagraph"/>
      </w:pPr>
      <w:r>
        <w:rPr>
          <w:i/>
          <w:iCs/>
        </w:rPr>
        <w:t xml:space="preserve">11 note bibliografiche.</w:t>
      </w:r>
    </w:p>
    <w:p>
      <w:pPr>
        <w:pStyle w:val="BodyText"/>
      </w:pPr>
      <w:r>
        <w:rPr>
          <w:b/>
          <w:bCs/>
        </w:rPr>
        <w:t xml:space="preserve">1. </w:t>
      </w:r>
      <w:r>
        <w:t xml:space="preserve">Le appendici raccolgono il materiale di riferimento dello studio integrale per la Puglia (Parti A-M) e ne garantiscono la trasparenza e la riproducibilità: il caso di riferimento e i parametri, gli strumenti di esito e il dataset minimo, i dati regionali e le fonti, le liste di controllo del reporting e il glossario.</w:t>
      </w:r>
    </w:p>
    <w:p>
      <w:pPr>
        <w:pStyle w:val="BodyText"/>
      </w:pPr>
      <w:r>
        <w:rPr>
          <w:b/>
          <w:bCs/>
        </w:rPr>
        <w:t xml:space="preserve">2. </w:t>
      </w:r>
      <w:r>
        <w:t xml:space="preserve">Caso di riferimento: insieme delle scelte metodologiche di base che, fissate una volta per tutte, rendono i risultati confrontabili nel tempo e tra regioni; adotta la doppia prospettiva del Servizio sanitario regionale e della società, distinguendo i risparmi diretti dalle ricadute sociali (Secondo Panel sul costo-efficacia in sanità e Five Case Model).</w:t>
      </w:r>
    </w:p>
    <w:p>
      <w:pPr>
        <w:pStyle w:val="BodyText"/>
      </w:pPr>
      <w:r>
        <w:rPr>
          <w:b/>
          <w:bCs/>
        </w:rPr>
        <w:t xml:space="preserve">3. </w:t>
      </w:r>
      <w:r>
        <w:t xml:space="preserve">Parametri del modello di Markov a coorte (quattro stati): distribuzioni Beta per le probabilità di transizione e per le utilità, Gamma per i costi; orizzonte di cinque anni a valori scontati; soglia di disponibilità a pagare di 30.000 euro per anno di vita ponderato per la qualità.</w:t>
      </w:r>
    </w:p>
    <w:p>
      <w:pPr>
        <w:pStyle w:val="BodyText"/>
      </w:pPr>
      <w:r>
        <w:rPr>
          <w:b/>
          <w:bCs/>
        </w:rPr>
        <w:t xml:space="preserve">4. </w:t>
      </w:r>
      <w:r>
        <w:t xml:space="preserve">Quadro economico consolidato: i risparmi diretti per il bilancio sono distinti dalle ricadute economico-sociali; il saldo diretto è prossimo al pareggio, mentre il ritorno complessivo, dell’ordine di 3,6–5 a uno, proviene in quota dominante dalle ricadute sociali.</w:t>
      </w:r>
    </w:p>
    <w:p>
      <w:pPr>
        <w:pStyle w:val="BodyText"/>
      </w:pPr>
      <w:r>
        <w:rPr>
          <w:b/>
          <w:bCs/>
        </w:rPr>
        <w:t xml:space="preserve">5. </w:t>
      </w:r>
      <w:r>
        <w:t xml:space="preserve">Strumenti di esito: il questionario sulla salute del paziente a nove voci (PHQ-9; punteggio 0–27, soglia di rilevanza clinica intorno a 10, cambiamento affidabile dell’ordine di 6 punti) e il corrispondente questionario per l’ansia a sette voci (GAD-7; punteggio 0–21), impiegati nei soli punteggi complessivi e raccolti a ogni seduta secondo il modello dei programmi inglesi, che consente di calcolare il tasso di recupero e il miglioramento affidabile.</w:t>
      </w:r>
    </w:p>
    <w:p>
      <w:pPr>
        <w:pStyle w:val="BodyText"/>
      </w:pPr>
      <w:r>
        <w:rPr>
          <w:b/>
          <w:bCs/>
        </w:rPr>
        <w:t xml:space="preserve">6. </w:t>
      </w:r>
      <w:r>
        <w:t xml:space="preserve">Dataset minimo: i campi registrati dal protocollo minimo (presa in carico, seduta, punteggi di esito, invii e restituzioni) costituiscono la fonte dei circa quaranta indicatori non ricavabili dalle statistiche correnti; i dati sono trasmessi in forma aggregata all’Osservatorio regionale.</w:t>
      </w:r>
    </w:p>
    <w:p>
      <w:pPr>
        <w:pStyle w:val="BodyText"/>
      </w:pPr>
      <w:r>
        <w:rPr>
          <w:b/>
          <w:bCs/>
        </w:rPr>
        <w:t xml:space="preserve">7. </w:t>
      </w:r>
      <w:r>
        <w:t xml:space="preserve">Valori regionali di ancoraggio: fonti Corte dei Conti, GIMBE, dati regionali dell’emergenza-urgenza, AIFA-OsMed, Ministero della Salute, ISTAT e CREA Sanità.</w:t>
      </w:r>
    </w:p>
    <w:p>
      <w:pPr>
        <w:pStyle w:val="BodyText"/>
      </w:pPr>
      <w:r>
        <w:rPr>
          <w:b/>
          <w:bCs/>
        </w:rPr>
        <w:t xml:space="preserve">8. </w:t>
      </w:r>
      <w:r>
        <w:t xml:space="preserve">Dati ancora da acquisire (lacuna principale dello studio): le schede di dimissione ospedaliera per disturbi psichici e il loro costo, la composizione della mobilità passiva per disciplina, la spesa farmaceutica regionale per categoria e gli accessi al pronto soccorso per causa psichiatrica, presso l’agenzia regionale e le aziende sanitarie.</w:t>
      </w:r>
    </w:p>
    <w:p>
      <w:pPr>
        <w:pStyle w:val="BodyText"/>
      </w:pPr>
      <w:r>
        <w:rPr>
          <w:b/>
          <w:bCs/>
        </w:rPr>
        <w:t xml:space="preserve">9. </w:t>
      </w:r>
      <w:r>
        <w:t xml:space="preserve">Liste di controllo del reporting: lo standard CHEERS 2022 (28 voci) e la sua estensione CHEERS-AI (38 voci) per la valutazione economica, la lista PRISMA 2020 per le revisioni sistematiche, il sistema GRADE per la certezza dell’evidenza, la lista STROBE per gli studi osservazionali, le buone pratiche ISPOR-SMDM per la modellazione e il manuale OCSE-JRC per gli indicatori compositi.</w:t>
      </w:r>
    </w:p>
    <w:p>
      <w:pPr>
        <w:pStyle w:val="BodyText"/>
      </w:pPr>
      <w:r>
        <w:rPr>
          <w:b/>
          <w:bCs/>
        </w:rPr>
        <w:t xml:space="preserve">10. </w:t>
      </w:r>
      <w:r>
        <w:t xml:space="preserve">Criteri OCSE-DAC (rivisti nel 2019): rilevanza, coerenza, efficacia, efficienza, impatto e sostenibilità, griglia di giudizio dello studio.</w:t>
      </w:r>
    </w:p>
    <w:p>
      <w:pPr>
        <w:pStyle w:val="BodyText"/>
      </w:pPr>
      <w:r>
        <w:rPr>
          <w:b/>
          <w:bCs/>
        </w:rPr>
        <w:t xml:space="preserve">11. </w:t>
      </w:r>
      <w:r>
        <w:t xml:space="preserve">Glossario: definizioni dei principali termini tecnici impiegati nello studio, a garanzia della leggibilità per i destinatari non specialisti.</w:t>
      </w:r>
    </w:p>
    <w:bookmarkEnd w:id="1848"/>
    <w:bookmarkStart w:id="1849" w:name="frontespizio-e-indice-generale"/>
    <w:p>
      <w:pPr>
        <w:pStyle w:val="Heading3"/>
      </w:pPr>
      <w:r>
        <w:t xml:space="preserve">Frontespizio e indice generale</w:t>
      </w:r>
    </w:p>
    <w:p>
      <w:pPr>
        <w:pStyle w:val="FirstParagraph"/>
      </w:pPr>
      <w:r>
        <w:rPr>
          <w:i/>
          <w:iCs/>
        </w:rPr>
        <w:t xml:space="preserve">9 note bibliografiche.</w:t>
      </w:r>
    </w:p>
    <w:p>
      <w:pPr>
        <w:pStyle w:val="BodyText"/>
      </w:pPr>
      <w:r>
        <w:rPr>
          <w:b/>
          <w:bCs/>
        </w:rPr>
        <w:t xml:space="preserve">1. </w:t>
      </w:r>
      <w:r>
        <w:t xml:space="preserve">Lo studio integrale per la Puglia è costruito sul telaio integrato, che combina quattro cornici metodologiche con funzioni distinte: il modello di valutazione di tecnologia sanitaria (HTA) di EUnetHTA, che ne fornisce la macro-struttura nei nove domini; il Five Case Model del Green Book, che ne fornisce il caso decisionale nei cinque casi; lo standard CHEERS 2022, che ne disciplina il reporting economico; e i criteri dell’OCSE-DAC, che ne costituiscono la griglia di giudizio; vi sono innestate dieci metodologie analitiche.</w:t>
      </w:r>
    </w:p>
    <w:p>
      <w:pPr>
        <w:pStyle w:val="BodyText"/>
      </w:pPr>
      <w:r>
        <w:rPr>
          <w:b/>
          <w:bCs/>
        </w:rPr>
        <w:t xml:space="preserve">2. </w:t>
      </w:r>
      <w:r>
        <w:t xml:space="preserve">Il corpus si compone di sedici documenti: undici parti narrative, dalla A alla M (l’alfabeto italiano salta le lettere J e K), e cinque appendici, dalla A alla E.</w:t>
      </w:r>
    </w:p>
    <w:p>
      <w:pPr>
        <w:pStyle w:val="BodyText"/>
      </w:pPr>
      <w:r>
        <w:rPr>
          <w:b/>
          <w:bCs/>
        </w:rPr>
        <w:t xml:space="preserve">3. </w:t>
      </w:r>
      <w:r>
        <w:t xml:space="preserve">La distinzione cardine, mantenuta in ogni parte, è quella tra i risparmi diretti per il bilancio sanitario e le ricadute economico-sociali: il saldo diretto è prossimo al pareggio, mentre il ritorno complessivo, dell’ordine di 3,6–5 a uno, proviene in quota dominante dalle ricadute sociali.</w:t>
      </w:r>
    </w:p>
    <w:p>
      <w:pPr>
        <w:pStyle w:val="BodyText"/>
      </w:pPr>
      <w:r>
        <w:rPr>
          <w:b/>
          <w:bCs/>
        </w:rPr>
        <w:t xml:space="preserve">4. </w:t>
      </w:r>
      <w:r>
        <w:t xml:space="preserve">La tesi centrale è articolata in tre affermazioni congiunte: il servizio costa al bilancio sanitario una cifra modesta e quasi interamente compensata; restituisce alla collettività un valore dell’ordine di quattro euro per ogni euro speso; e adempie all’obbligo di garantire i livelli essenziali, intercettando un bisogno largamente inevaso.</w:t>
      </w:r>
    </w:p>
    <w:p>
      <w:pPr>
        <w:pStyle w:val="BodyText"/>
      </w:pPr>
      <w:r>
        <w:rPr>
          <w:b/>
          <w:bCs/>
        </w:rPr>
        <w:t xml:space="preserve">5. </w:t>
      </w:r>
      <w:r>
        <w:t xml:space="preserve">Mappa di integrazione: le parti seguono l’ordine dei domini HTA, accolgono i casi del Five Case Model nelle sedi pertinenti, riservano alla valutazione economica il reporting CHEERS e culminano nella sintesi secondo i criteri OCSE-DAC.</w:t>
      </w:r>
    </w:p>
    <w:p>
      <w:pPr>
        <w:pStyle w:val="BodyText"/>
      </w:pPr>
      <w:r>
        <w:rPr>
          <w:b/>
          <w:bCs/>
        </w:rPr>
        <w:t xml:space="preserve">6. </w:t>
      </w:r>
      <w:r>
        <w:t xml:space="preserve">Raccomandazione centrale: la decisione rilevante non è se istituire il servizio — già istituito con la legge regionale n. 11 del 2023, prima in Italia — ma se dimensionarlo, scalando dalla copertura attuale di circa il 5% del fabbisogno verso gli 800–900 psicologi a regime.</w:t>
      </w:r>
    </w:p>
    <w:p>
      <w:pPr>
        <w:pStyle w:val="BodyText"/>
      </w:pPr>
      <w:r>
        <w:rPr>
          <w:b/>
          <w:bCs/>
        </w:rPr>
        <w:t xml:space="preserve">7. </w:t>
      </w:r>
      <w:r>
        <w:t xml:space="preserve">Limite principale: le grandezze economiche sono in parte ricostruite a partire dai conti nazionali, scalati per la quota di popolazione regionale (circa il 6,6%), anziché estratte dai conti regionali certificati; è la lacuna prioritaria da risolvere prima della presentazione esterna.</w:t>
      </w:r>
    </w:p>
    <w:p>
      <w:pPr>
        <w:pStyle w:val="BodyText"/>
      </w:pPr>
      <w:r>
        <w:rPr>
          <w:b/>
          <w:bCs/>
        </w:rPr>
        <w:t xml:space="preserve">8. </w:t>
      </w:r>
      <w:r>
        <w:t xml:space="preserve">Base comparativa internazionale: il programma inglese di terapie psicologiche (NHS Talking Therapies), il modello olandese nelle cure primarie (POH-GGZ), l’iniziativa australiana (Better Access) e il Collaborative Care Model statunitense.</w:t>
      </w:r>
    </w:p>
    <w:p>
      <w:pPr>
        <w:pStyle w:val="BodyText"/>
      </w:pPr>
      <w:r>
        <w:rPr>
          <w:b/>
          <w:bCs/>
        </w:rPr>
        <w:t xml:space="preserve">9. </w:t>
      </w:r>
      <w:r>
        <w:t xml:space="preserve">Generalizzazione regionale: l’architettura e il caso di riferimento sono fissi e comuni a tutte le regioni; ciascuna regione fornisce i propri dati certificati, e la comparabilità è garantita dall’uniformità del caso di riferimento e dell’insieme degli indicatori.</w:t>
      </w:r>
    </w:p>
    <w:p>
      <w:pPr>
        <w:pStyle w:val="BodyText"/>
      </w:pPr>
      <w:r>
        <w:rPr>
          <w:b/>
          <w:bCs/>
        </w:rPr>
        <w:t xml:space="preserve">Totale generale: 233 note bibliografiche nei 14 documenti dello studio integrale.</w:t>
      </w:r>
    </w:p>
    <w:p>
      <w:r>
        <w:br w:type="page"/>
      </w:r>
    </w:p>
    <w:bookmarkEnd w:id="1849"/>
    <w:bookmarkEnd w:id="1850"/>
    <w:bookmarkEnd w:id="1851"/>
    <w:bookmarkStart w:id="1872" w:name="appendice-xvii-struttura-dellopera"/>
    <w:p>
      <w:pPr>
        <w:pStyle w:val="Heading1"/>
      </w:pPr>
      <w:r>
        <w:t xml:space="preserve">Appendice XVII — Struttura dell’opera</w:t>
      </w:r>
    </w:p>
    <w:p>
      <w:pPr>
        <w:pStyle w:val="FirstParagraph"/>
      </w:pPr>
      <w:r>
        <w:t xml:space="preserve">Studio Integrale · Psicologo di Base in Puglia · Struttura dell’opera</w:t>
      </w:r>
    </w:p>
    <w:p>
      <w:pPr>
        <w:pStyle w:val="BodyText"/>
      </w:pPr>
      <w:r>
        <w:rPr>
          <w:b/>
          <w:bCs/>
        </w:rPr>
        <w:t xml:space="preserve">Progetto «Psicologo di Base» · Regione Puglia</w:t>
      </w:r>
    </w:p>
    <w:p>
      <w:pPr>
        <w:pStyle w:val="BodyText"/>
      </w:pPr>
      <w:r>
        <w:rPr>
          <w:b/>
          <w:bCs/>
        </w:rPr>
        <w:t xml:space="preserve">Studio Integrale,</w:t>
      </w:r>
    </w:p>
    <w:p>
      <w:pPr>
        <w:pStyle w:val="BodyText"/>
      </w:pPr>
      <w:r>
        <w:rPr>
          <w:b/>
          <w:bCs/>
        </w:rPr>
        <w:t xml:space="preserve">Finale e Definitivo</w:t>
      </w:r>
    </w:p>
    <w:p>
      <w:pPr>
        <w:pStyle w:val="BodyText"/>
      </w:pPr>
      <w:r>
        <w:rPr>
          <w:b/>
          <w:bCs/>
        </w:rPr>
        <w:t xml:space="preserve">Struttura dell’opera</w:t>
      </w:r>
    </w:p>
    <w:p>
      <w:pPr>
        <w:pStyle w:val="BodyText"/>
      </w:pPr>
      <w:r>
        <w:rPr>
          <w:i/>
          <w:iCs/>
        </w:rPr>
        <w:t xml:space="preserve">La riforma del Servizio di Psicologia di Base in Puglia: rinegoziazione integrale dei costi e dei benefici, diretti e indiretti, lungo la cascata gerarchica delle figure e dei domini</w:t>
      </w:r>
    </w:p>
    <w:p>
      <w:pPr>
        <w:pStyle w:val="BodyText"/>
      </w:pPr>
      <w:r>
        <w:t xml:space="preserve">Perimetro multidisciplinare integrale</w:t>
      </w:r>
    </w:p>
    <w:p>
      <w:pPr>
        <w:pStyle w:val="BodyText"/>
      </w:pPr>
      <w:r>
        <w:t xml:space="preserve">Cascata gerarchica piramidale dallo Psicologo di Base</w:t>
      </w:r>
    </w:p>
    <w:p>
      <w:pPr>
        <w:pStyle w:val="BodyText"/>
      </w:pPr>
      <w:r>
        <w:t xml:space="preserve">L’Intelligenza Artificiale come leva abilitante, non come oggetto centrale</w:t>
      </w:r>
    </w:p>
    <w:p>
      <w:pPr>
        <w:pStyle w:val="BodyText"/>
      </w:pPr>
      <w:r>
        <w:t xml:space="preserve">Quindici parti e cinque appendici · telaio HTA, Five Case Model, CHEERS 2022, criteri OCSE-DAC</w:t>
      </w:r>
    </w:p>
    <w:bookmarkStart w:id="1852" w:name="Xbfa22cf6a01bc87a327f175bbe78fb50ebcd01f"/>
    <w:p>
      <w:pPr>
        <w:pStyle w:val="Heading2"/>
      </w:pPr>
      <w:r>
        <w:rPr>
          <w:b/>
          <w:bCs/>
        </w:rPr>
        <w:t xml:space="preserve">Avvertenza sui vincoli metodologici invarianti</w:t>
      </w:r>
    </w:p>
    <w:p>
      <w:pPr>
        <w:pStyle w:val="FirstParagraph"/>
      </w:pPr>
      <w:r>
        <w:t xml:space="preserve">La presente struttura governa la redazione dello studio integrale, finale e definitivo sulla riforma del Servizio di Psicologia di Base in Puglia. Ogni parte è vincolata ai principi metodologici invarianti del progetto, che qui si richiamano e che nessuna stima successiva potrà violare. Il ritorno economico degli investimenti in salute mentale è espresso nei soli intervalli corretti, compresi tra 2,3 e 3,0 a 1 per i soli benefici economici e tra 3,3 e 5,7 a 1 con l’inclusione dei ritorni in salute; sono esclusi i valori non sostenuti dalla letteratura. Il caveat dell’IMPACT trial, secondo cui i risparmi sui costi sanitari non raggiungono la significatività statistica, è preservato. Le grandezze fiscali dirette e quelle sociali e indirette sono mantenute rigorosamente distinte, senza duplicazioni tra le categorie. Ogni proiezione adotta bande prudenziali e previsioni falsificabili, e ogni evidenza, comprese quelle relative all’Intelligenza Artificiale, è graduata secondo la sua qualità con il medesimo rigore applicato alle affermazioni cliniche.</w:t>
      </w:r>
    </w:p>
    <w:bookmarkEnd w:id="1852"/>
    <w:bookmarkStart w:id="1853" w:name="indice-della-struttura"/>
    <w:p>
      <w:pPr>
        <w:pStyle w:val="Heading2"/>
      </w:pPr>
      <w:r>
        <w:rPr>
          <w:b/>
          <w:bCs/>
        </w:rPr>
        <w:t xml:space="preserve">Indice della struttura</w:t>
      </w:r>
    </w:p>
    <w:bookmarkEnd w:id="1853"/>
    <w:bookmarkStart w:id="1854" w:name="premessa-e-criterio-ordinatore"/>
    <w:p>
      <w:pPr>
        <w:pStyle w:val="Heading2"/>
      </w:pPr>
      <w:r>
        <w:rPr>
          <w:b/>
          <w:bCs/>
        </w:rPr>
        <w:t xml:space="preserve">Premessa e criterio ordinatore</w:t>
      </w:r>
    </w:p>
    <w:p>
      <w:pPr>
        <w:pStyle w:val="FirstParagraph"/>
      </w:pPr>
      <w:r>
        <w:t xml:space="preserve">Questo documento stabilisce la struttura dell’opera, non l’opera. Esso fissa l’architettura, le parti e le loro voci, l’ordine di sviluppo e il criterio che li tiene insieme, affinché la successiva redazione proceda su un disegno stabile e completo. La distinzione tra la struttura e lo studio è sostanziale, perché ciò che rende un’opera integrale leggibile come un insieme coerente non è la quantità dei suoi contenuti, ma l’identità del principio che li ordina.</w:t>
      </w:r>
    </w:p>
    <w:p>
      <w:pPr>
        <w:pStyle w:val="BodyText"/>
      </w:pPr>
      <w:r>
        <w:t xml:space="preserve">Il principio ordinatore è la cascata gerarchica piramidale. L’analisi muove dallo Psicologo di Base, posto all’apice, e procede verso le figure, le istituzioni e gli ambiti a esso connessi, ordinandoli per due criteri congiunti: l’influenza nel progetto e la capacità di generare rientro economico o revisione della spesa. La cascata non è una semplice elencazione, ma una gerarchia di influenza e di valore, che determina la sequenza dell’esposizione e fonda l’ordinamento delle valutazioni economiche.</w:t>
      </w:r>
    </w:p>
    <w:p>
      <w:pPr>
        <w:pStyle w:val="BodyText"/>
      </w:pPr>
      <w:r>
        <w:t xml:space="preserve">La struttura supera in via definitiva il perimetro ristretto alle quattro figure dello psicologo, del medico, del pediatra e del neurologo. L’opera abbraccia tutte le figure direttamente e indirettamente connesse alla riforma — sanitarie, socio-sanitarie, educative, istituzionali ed extra-sanitarie — e tutti gli ambiti su cui la riforma incide: salutistico, economico, sociale, lavorativo, pensionistico, produttivistico, assistenzialistico, welfaristico, prevenzionalistico, criminologico, burocratico, sanitario, culturale, formativo, antropologico, pedagogico e scolastico, accademico, industriale, sindacale e finanziario. La rinegoziazione dei costi e dei benefici, diretti e indiretti, si estende a tutte queste figure e a tutti questi ambiti, fino a predire la qualità della vita delle persone, l’andamento dei bilanci regionali, l’efficienza della burocrazia e la tenuta dei sistemi sanitari regionali dopo la riforma.</w:t>
      </w:r>
    </w:p>
    <w:p>
      <w:pPr>
        <w:pStyle w:val="BodyText"/>
      </w:pPr>
      <w:r>
        <w:t xml:space="preserve">L’Intelligenza Artificiale occupa, in questa architettura, una posizione precisa e subordinata. Essa non è l’oggetto centrale dell’analisi, ma una delle leve che rendono la figura dello Psicologo di Base più funzionale ed efficace, accanto alle leve organizzative, di processo e formative. Coerentemente, l’Intelligenza Artificiale compare lungo il ciclo assistenziale come strumento abilitante, sempre soggetto alla supervisione umana e alla governance prudenziale, e la sua evidenza è graduata con il medesimo rigore applicato alle affermazioni cliniche.</w:t>
      </w:r>
    </w:p>
    <w:p>
      <w:pPr>
        <w:pStyle w:val="BodyText"/>
      </w:pPr>
      <w:r>
        <w:t xml:space="preserve">La formazione del personale costituisce un pilastro trasversale dell’opera. Le quattro modalità formative — universitaria, post-universitaria, lavorativa e per affiancamento di figure esperte, comprese quelle dedicate all’uso dell’Intelligenza Artificiale — sono considerate sia singolarmente, ciascuna con i propri costi, tempi e rendimenti, sia congiuntamente, come percorso formativo integrato, in modo che il confronto tra le modalità singole e la loro combinazione resti sempre disponibile al decisore.</w:t>
      </w:r>
    </w:p>
    <w:p>
      <w:pPr>
        <w:pStyle w:val="BodyText"/>
      </w:pPr>
      <w:r>
        <w:t xml:space="preserve">La struttura conserva e prosegue il telaio metodologico già validato nel progetto, fondato sulla composizione delle cornici apicali della valutazione di tecnologia sanitaria, del Five Case Model, dello standard CHEERS 2022 e dei criteri OCSE-DAC, con le metodologie innestate per la rinegoziazione economica. La tabella che segue mappa le quindici parti dell’opera sui domini della valutazione e sul telaio in lettere già in uso, così da rendere evidente la continuità tra questo studio definitivo e il corpus che lo precede.</w:t>
      </w:r>
    </w:p>
    <w:p>
      <w:pPr>
        <w:pStyle w:val="BodyText"/>
      </w:pPr>
      <w:r>
        <w:rPr>
          <w:b/>
          <w:bCs/>
        </w:rPr>
        <w:t xml:space="preserve">Mappa delle parti sul telaio validato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Parte dello studio integrale</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di valutazione e corrispondenza nel telaio validato (A–M)</w:t>
            </w:r>
          </w:p>
        </w:tc>
      </w:tr>
      <w:tr>
        <w:tc>
          <w:tcPr/>
          <w:p>
            <w:pPr>
              <w:pStyle w:val="Compact"/>
              <w:spacing w:after="40" w:before="40"/>
              <w:jc w:val="left"/>
            </w:pPr>
            <w:r>
              <w:rPr>
                <w:rFonts w:ascii="Cambria" w:hAnsi="Cambria" w:cs="Cambria" w:eastAsia="Cambria"/>
                <w:color w:val="1A1A1A"/>
                <w:sz w:val="18"/>
              </w:rPr>
              <w:t xml:space="preserve">I</w:t>
            </w:r>
          </w:p>
        </w:tc>
        <w:tc>
          <w:tcPr/>
          <w:p>
            <w:pPr>
              <w:pStyle w:val="Compact"/>
              <w:spacing w:after="40" w:before="40"/>
              <w:jc w:val="left"/>
            </w:pPr>
            <w:r>
              <w:rPr>
                <w:rFonts w:ascii="Cambria" w:hAnsi="Cambria" w:cs="Cambria" w:eastAsia="Cambria"/>
                <w:color w:val="1A1A1A"/>
                <w:sz w:val="18"/>
              </w:rPr>
              <w:t xml:space="preserve">Quadro, mandato, metodo, perimetro — Parte A (Quadro, Quesito, Metodo)</w:t>
            </w:r>
          </w:p>
        </w:tc>
      </w:tr>
      <w:tr>
        <w:tc>
          <w:tcPr>
            <w:shd w:val="clear" w:color="auto" w:fill="F4F1EC"/>
          </w:tcPr>
          <w:p>
            <w:pPr>
              <w:pStyle w:val="Compact"/>
              <w:spacing w:after="40" w:before="40"/>
              <w:jc w:val="left"/>
            </w:pPr>
            <w:r>
              <w:rPr>
                <w:rFonts w:ascii="Cambria" w:hAnsi="Cambria" w:cs="Cambria" w:eastAsia="Cambria"/>
                <w:color w:val="1A1A1A"/>
                <w:sz w:val="18"/>
              </w:rPr>
              <w:t xml:space="preserve">II</w:t>
            </w:r>
          </w:p>
        </w:tc>
        <w:tc>
          <w:tcPr>
            <w:shd w:val="clear" w:color="auto" w:fill="F4F1EC"/>
          </w:tcPr>
          <w:p>
            <w:pPr>
              <w:pStyle w:val="Compact"/>
              <w:spacing w:after="40" w:before="40"/>
              <w:jc w:val="left"/>
            </w:pPr>
            <w:r>
              <w:rPr>
                <w:rFonts w:ascii="Cambria" w:hAnsi="Cambria" w:cs="Cambria" w:eastAsia="Cambria"/>
                <w:color w:val="1A1A1A"/>
                <w:sz w:val="18"/>
              </w:rPr>
              <w:t xml:space="preserve">Bisogno e contesto — Parte B (Bisogno e Contesto)</w:t>
            </w:r>
          </w:p>
        </w:tc>
      </w:tr>
      <w:tr>
        <w:tc>
          <w:tcPr/>
          <w:p>
            <w:pPr>
              <w:pStyle w:val="Compact"/>
              <w:spacing w:after="40" w:before="40"/>
              <w:jc w:val="left"/>
            </w:pPr>
            <w:r>
              <w:rPr>
                <w:rFonts w:ascii="Cambria" w:hAnsi="Cambria" w:cs="Cambria" w:eastAsia="Cambria"/>
                <w:color w:val="1A1A1A"/>
                <w:sz w:val="18"/>
              </w:rPr>
              <w:t xml:space="preserve">III</w:t>
            </w:r>
          </w:p>
        </w:tc>
        <w:tc>
          <w:tcPr/>
          <w:p>
            <w:pPr>
              <w:pStyle w:val="Compact"/>
              <w:spacing w:after="40" w:before="40"/>
              <w:jc w:val="left"/>
            </w:pPr>
            <w:r>
              <w:rPr>
                <w:rFonts w:ascii="Cambria" w:hAnsi="Cambria" w:cs="Cambria" w:eastAsia="Cambria"/>
                <w:color w:val="1A1A1A"/>
                <w:sz w:val="18"/>
              </w:rPr>
              <w:t xml:space="preserve">Architettura delle figure a cascata — innesto integrale (estende la Parte C)</w:t>
            </w:r>
          </w:p>
        </w:tc>
      </w:tr>
      <w:tr>
        <w:tc>
          <w:tcPr>
            <w:shd w:val="clear" w:color="auto" w:fill="F4F1EC"/>
          </w:tcPr>
          <w:p>
            <w:pPr>
              <w:pStyle w:val="Compact"/>
              <w:spacing w:after="40" w:before="40"/>
              <w:jc w:val="left"/>
            </w:pPr>
            <w:r>
              <w:rPr>
                <w:rFonts w:ascii="Cambria" w:hAnsi="Cambria" w:cs="Cambria" w:eastAsia="Cambria"/>
                <w:color w:val="1A1A1A"/>
                <w:sz w:val="18"/>
              </w:rPr>
              <w:t xml:space="preserve">IV</w:t>
            </w:r>
          </w:p>
        </w:tc>
        <w:tc>
          <w:tcPr>
            <w:shd w:val="clear" w:color="auto" w:fill="F4F1EC"/>
          </w:tcPr>
          <w:p>
            <w:pPr>
              <w:pStyle w:val="Compact"/>
              <w:spacing w:after="40" w:before="40"/>
              <w:jc w:val="left"/>
            </w:pPr>
            <w:r>
              <w:rPr>
                <w:rFonts w:ascii="Cambria" w:hAnsi="Cambria" w:cs="Cambria" w:eastAsia="Cambria"/>
                <w:color w:val="1A1A1A"/>
                <w:sz w:val="18"/>
              </w:rPr>
              <w:t xml:space="preserve">Modello organizzativo e leve abilitanti — Parte C (Intervento e Modello)</w:t>
            </w:r>
          </w:p>
        </w:tc>
      </w:tr>
      <w:tr>
        <w:tc>
          <w:tcPr/>
          <w:p>
            <w:pPr>
              <w:pStyle w:val="Compact"/>
              <w:spacing w:after="40" w:before="40"/>
              <w:jc w:val="left"/>
            </w:pPr>
            <w:r>
              <w:rPr>
                <w:rFonts w:ascii="Cambria" w:hAnsi="Cambria" w:cs="Cambria" w:eastAsia="Cambria"/>
                <w:color w:val="1A1A1A"/>
                <w:sz w:val="18"/>
              </w:rPr>
              <w:t xml:space="preserve">V</w:t>
            </w:r>
          </w:p>
        </w:tc>
        <w:tc>
          <w:tcPr/>
          <w:p>
            <w:pPr>
              <w:pStyle w:val="Compact"/>
              <w:spacing w:after="40" w:before="40"/>
              <w:jc w:val="left"/>
            </w:pPr>
            <w:r>
              <w:rPr>
                <w:rFonts w:ascii="Cambria" w:hAnsi="Cambria" w:cs="Cambria" w:eastAsia="Cambria"/>
                <w:color w:val="1A1A1A"/>
                <w:sz w:val="18"/>
              </w:rPr>
              <w:t xml:space="preserve">Formazione del personale — pilastro trasversale (innesto su Parte C)</w:t>
            </w:r>
          </w:p>
        </w:tc>
      </w:tr>
      <w:tr>
        <w:tc>
          <w:tcPr>
            <w:shd w:val="clear" w:color="auto" w:fill="F4F1EC"/>
          </w:tcPr>
          <w:p>
            <w:pPr>
              <w:pStyle w:val="Compact"/>
              <w:spacing w:after="40" w:before="40"/>
              <w:jc w:val="left"/>
            </w:pPr>
            <w:r>
              <w:rPr>
                <w:rFonts w:ascii="Cambria" w:hAnsi="Cambria" w:cs="Cambria" w:eastAsia="Cambria"/>
                <w:color w:val="1A1A1A"/>
                <w:sz w:val="18"/>
              </w:rPr>
              <w:t xml:space="preserve">VI</w:t>
            </w:r>
          </w:p>
        </w:tc>
        <w:tc>
          <w:tcPr>
            <w:shd w:val="clear" w:color="auto" w:fill="F4F1EC"/>
          </w:tcPr>
          <w:p>
            <w:pPr>
              <w:pStyle w:val="Compact"/>
              <w:spacing w:after="40" w:before="40"/>
              <w:jc w:val="left"/>
            </w:pPr>
            <w:r>
              <w:rPr>
                <w:rFonts w:ascii="Cambria" w:hAnsi="Cambria" w:cs="Cambria" w:eastAsia="Cambria"/>
                <w:color w:val="1A1A1A"/>
                <w:sz w:val="18"/>
              </w:rPr>
              <w:t xml:space="preserve">Efficacia, evidenza, meccanismi — Parte D (Efficacia ed Evidenza)</w:t>
            </w:r>
          </w:p>
        </w:tc>
      </w:tr>
      <w:tr>
        <w:tc>
          <w:tcPr/>
          <w:p>
            <w:pPr>
              <w:pStyle w:val="Compact"/>
              <w:spacing w:after="40" w:before="40"/>
              <w:jc w:val="left"/>
            </w:pPr>
            <w:r>
              <w:rPr>
                <w:rFonts w:ascii="Cambria" w:hAnsi="Cambria" w:cs="Cambria" w:eastAsia="Cambria"/>
                <w:color w:val="1A1A1A"/>
                <w:sz w:val="18"/>
              </w:rPr>
              <w:t xml:space="preserve">VII</w:t>
            </w:r>
          </w:p>
        </w:tc>
        <w:tc>
          <w:tcPr/>
          <w:p>
            <w:pPr>
              <w:pStyle w:val="Compact"/>
              <w:spacing w:after="40" w:before="40"/>
              <w:jc w:val="left"/>
            </w:pPr>
            <w:r>
              <w:rPr>
                <w:rFonts w:ascii="Cambria" w:hAnsi="Cambria" w:cs="Cambria" w:eastAsia="Cambria"/>
                <w:color w:val="1A1A1A"/>
                <w:sz w:val="18"/>
              </w:rPr>
              <w:t xml:space="preserve">Costi diretti — Parte E (Valutazione Economica, lato costi)</w:t>
            </w:r>
          </w:p>
        </w:tc>
      </w:tr>
      <w:tr>
        <w:tc>
          <w:tcPr>
            <w:shd w:val="clear" w:color="auto" w:fill="F4F1EC"/>
          </w:tcPr>
          <w:p>
            <w:pPr>
              <w:pStyle w:val="Compact"/>
              <w:spacing w:after="40" w:before="40"/>
              <w:jc w:val="left"/>
            </w:pPr>
            <w:r>
              <w:rPr>
                <w:rFonts w:ascii="Cambria" w:hAnsi="Cambria" w:cs="Cambria" w:eastAsia="Cambria"/>
                <w:color w:val="1A1A1A"/>
                <w:sz w:val="18"/>
              </w:rPr>
              <w:t xml:space="preserve">VIII</w:t>
            </w:r>
          </w:p>
        </w:tc>
        <w:tc>
          <w:tcPr>
            <w:shd w:val="clear" w:color="auto" w:fill="F4F1EC"/>
          </w:tcPr>
          <w:p>
            <w:pPr>
              <w:pStyle w:val="Compact"/>
              <w:spacing w:after="40" w:before="40"/>
              <w:jc w:val="left"/>
            </w:pPr>
            <w:r>
              <w:rPr>
                <w:rFonts w:ascii="Cambria" w:hAnsi="Cambria" w:cs="Cambria" w:eastAsia="Cambria"/>
                <w:color w:val="1A1A1A"/>
                <w:sz w:val="18"/>
              </w:rPr>
              <w:t xml:space="preserve">Risparmi diretti — Parte E (Valutazione Economica, lato risparmi)</w:t>
            </w:r>
          </w:p>
        </w:tc>
      </w:tr>
      <w:tr>
        <w:tc>
          <w:tcPr/>
          <w:p>
            <w:pPr>
              <w:pStyle w:val="Compact"/>
              <w:spacing w:after="40" w:before="40"/>
              <w:jc w:val="left"/>
            </w:pPr>
            <w:r>
              <w:rPr>
                <w:rFonts w:ascii="Cambria" w:hAnsi="Cambria" w:cs="Cambria" w:eastAsia="Cambria"/>
                <w:color w:val="1A1A1A"/>
                <w:sz w:val="18"/>
              </w:rPr>
              <w:t xml:space="preserve">IX</w:t>
            </w:r>
          </w:p>
        </w:tc>
        <w:tc>
          <w:tcPr/>
          <w:p>
            <w:pPr>
              <w:pStyle w:val="Compact"/>
              <w:spacing w:after="40" w:before="40"/>
              <w:jc w:val="left"/>
            </w:pPr>
            <w:r>
              <w:rPr>
                <w:rFonts w:ascii="Cambria" w:hAnsi="Cambria" w:cs="Cambria" w:eastAsia="Cambria"/>
                <w:color w:val="1A1A1A"/>
                <w:sz w:val="18"/>
              </w:rPr>
              <w:t xml:space="preserve">Costi e benefici indiretti, perimetro multidisciplinare — innesto integrale (estende la Parte E)</w:t>
            </w:r>
          </w:p>
        </w:tc>
      </w:tr>
      <w:tr>
        <w:tc>
          <w:tcPr>
            <w:shd w:val="clear" w:color="auto" w:fill="F4F1EC"/>
          </w:tcPr>
          <w:p>
            <w:pPr>
              <w:pStyle w:val="Compact"/>
              <w:spacing w:after="40" w:before="40"/>
              <w:jc w:val="left"/>
            </w:pPr>
            <w:r>
              <w:rPr>
                <w:rFonts w:ascii="Cambria" w:hAnsi="Cambria" w:cs="Cambria" w:eastAsia="Cambria"/>
                <w:color w:val="1A1A1A"/>
                <w:sz w:val="18"/>
              </w:rPr>
              <w:t xml:space="preserve">X</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integrata e saldo — sintesi delle Parti E ed M</w:t>
            </w:r>
          </w:p>
        </w:tc>
      </w:tr>
      <w:tr>
        <w:tc>
          <w:tcPr/>
          <w:p>
            <w:pPr>
              <w:pStyle w:val="Compact"/>
              <w:spacing w:after="40" w:before="40"/>
              <w:jc w:val="left"/>
            </w:pPr>
            <w:r>
              <w:rPr>
                <w:rFonts w:ascii="Cambria" w:hAnsi="Cambria" w:cs="Cambria" w:eastAsia="Cambria"/>
                <w:color w:val="1A1A1A"/>
                <w:sz w:val="18"/>
              </w:rPr>
              <w:t xml:space="preserve">XI</w:t>
            </w:r>
          </w:p>
        </w:tc>
        <w:tc>
          <w:tcPr/>
          <w:p>
            <w:pPr>
              <w:pStyle w:val="Compact"/>
              <w:spacing w:after="40" w:before="40"/>
              <w:jc w:val="left"/>
            </w:pPr>
            <w:r>
              <w:rPr>
                <w:rFonts w:ascii="Cambria" w:hAnsi="Cambria" w:cs="Cambria" w:eastAsia="Cambria"/>
                <w:color w:val="1A1A1A"/>
                <w:sz w:val="18"/>
              </w:rPr>
              <w:t xml:space="preserve">Modellazione, incertezza, previsione falsificabile — Parte F (Modellazione e Incertezza)</w:t>
            </w:r>
          </w:p>
        </w:tc>
      </w:tr>
      <w:tr>
        <w:tc>
          <w:tcPr>
            <w:shd w:val="clear" w:color="auto" w:fill="F4F1EC"/>
          </w:tcPr>
          <w:p>
            <w:pPr>
              <w:pStyle w:val="Compact"/>
              <w:spacing w:after="40" w:before="40"/>
              <w:jc w:val="left"/>
            </w:pPr>
            <w:r>
              <w:rPr>
                <w:rFonts w:ascii="Cambria" w:hAnsi="Cambria" w:cs="Cambria" w:eastAsia="Cambria"/>
                <w:color w:val="1A1A1A"/>
                <w:sz w:val="18"/>
              </w:rPr>
              <w:t xml:space="preserve">XII</w:t>
            </w:r>
          </w:p>
        </w:tc>
        <w:tc>
          <w:tcPr>
            <w:shd w:val="clear" w:color="auto" w:fill="F4F1EC"/>
          </w:tcPr>
          <w:p>
            <w:pPr>
              <w:pStyle w:val="Compact"/>
              <w:spacing w:after="40" w:before="40"/>
              <w:jc w:val="left"/>
            </w:pPr>
            <w:r>
              <w:rPr>
                <w:rFonts w:ascii="Cambria" w:hAnsi="Cambria" w:cs="Cambria" w:eastAsia="Cambria"/>
                <w:color w:val="1A1A1A"/>
                <w:sz w:val="18"/>
              </w:rPr>
              <w:t xml:space="preserve">Equità e impatto distributivo — Parte G (Equità e Impatto Distributivo)</w:t>
            </w:r>
          </w:p>
        </w:tc>
      </w:tr>
      <w:tr>
        <w:tc>
          <w:tcPr/>
          <w:p>
            <w:pPr>
              <w:pStyle w:val="Compact"/>
              <w:spacing w:after="40" w:before="40"/>
              <w:jc w:val="left"/>
            </w:pPr>
            <w:r>
              <w:rPr>
                <w:rFonts w:ascii="Cambria" w:hAnsi="Cambria" w:cs="Cambria" w:eastAsia="Cambria"/>
                <w:color w:val="1A1A1A"/>
                <w:sz w:val="18"/>
              </w:rPr>
              <w:t xml:space="preserve">XIII</w:t>
            </w:r>
          </w:p>
        </w:tc>
        <w:tc>
          <w:tcPr/>
          <w:p>
            <w:pPr>
              <w:pStyle w:val="Compact"/>
              <w:spacing w:after="40" w:before="40"/>
              <w:jc w:val="left"/>
            </w:pPr>
            <w:r>
              <w:rPr>
                <w:rFonts w:ascii="Cambria" w:hAnsi="Cambria" w:cs="Cambria" w:eastAsia="Cambria"/>
                <w:color w:val="1A1A1A"/>
                <w:sz w:val="18"/>
              </w:rPr>
              <w:t xml:space="preserve">Profili etico-giuridico-organizzativi — Parte H (Profili Etico-Giuridico-Organizzativo)</w:t>
            </w:r>
          </w:p>
        </w:tc>
      </w:tr>
      <w:tr>
        <w:tc>
          <w:tcPr>
            <w:shd w:val="clear" w:color="auto" w:fill="F4F1EC"/>
          </w:tcPr>
          <w:p>
            <w:pPr>
              <w:pStyle w:val="Compact"/>
              <w:spacing w:after="40" w:before="40"/>
              <w:jc w:val="left"/>
            </w:pPr>
            <w:r>
              <w:rPr>
                <w:rFonts w:ascii="Cambria" w:hAnsi="Cambria" w:cs="Cambria" w:eastAsia="Cambria"/>
                <w:color w:val="1A1A1A"/>
                <w:sz w:val="18"/>
              </w:rPr>
              <w:t xml:space="preserve">XIV</w:t>
            </w:r>
          </w:p>
        </w:tc>
        <w:tc>
          <w:tcPr>
            <w:shd w:val="clear" w:color="auto" w:fill="F4F1EC"/>
          </w:tcPr>
          <w:p>
            <w:pPr>
              <w:pStyle w:val="Compact"/>
              <w:spacing w:after="40" w:before="40"/>
              <w:jc w:val="left"/>
            </w:pPr>
            <w:r>
              <w:rPr>
                <w:rFonts w:ascii="Cambria" w:hAnsi="Cambria" w:cs="Cambria" w:eastAsia="Cambria"/>
                <w:color w:val="1A1A1A"/>
                <w:sz w:val="18"/>
              </w:rPr>
              <w:t xml:space="preserve">Attuazione, fattibilità, sostenibilità — Parte I (Attuazione, Fattibilità, Sostenibilità)</w:t>
            </w:r>
          </w:p>
        </w:tc>
      </w:tr>
      <w:tr>
        <w:tc>
          <w:tcPr/>
          <w:p>
            <w:pPr>
              <w:pStyle w:val="Compact"/>
              <w:spacing w:after="40" w:before="40"/>
              <w:jc w:val="left"/>
            </w:pPr>
            <w:r>
              <w:rPr>
                <w:rFonts w:ascii="Cambria" w:hAnsi="Cambria" w:cs="Cambria" w:eastAsia="Cambria"/>
                <w:color w:val="1A1A1A"/>
                <w:sz w:val="18"/>
              </w:rPr>
              <w:t xml:space="preserve">XV</w:t>
            </w:r>
          </w:p>
        </w:tc>
        <w:tc>
          <w:tcPr/>
          <w:p>
            <w:pPr>
              <w:pStyle w:val="Compact"/>
              <w:spacing w:after="40" w:before="40"/>
              <w:jc w:val="left"/>
            </w:pPr>
            <w:r>
              <w:rPr>
                <w:rFonts w:ascii="Cambria" w:hAnsi="Cambria" w:cs="Cambria" w:eastAsia="Cambria"/>
                <w:color w:val="1A1A1A"/>
                <w:sz w:val="18"/>
              </w:rPr>
              <w:t xml:space="preserve">Monitoraggio, valutazione ex-post e sintesi — Parti L ed M</w:t>
            </w:r>
          </w:p>
        </w:tc>
      </w:tr>
    </w:tbl>
    <w:p>
      <w:pPr>
        <w:pStyle w:val="BodyText"/>
      </w:pPr>
      <w:r>
        <w:t xml:space="preserve">Alla tabella seguono le quindici parti dell’opera. Ciascuna è introdotta da una nota che ne dichiara la funzione, le metodologie impiegate, le figure e gli ambiti trattati e il modo in cui i costi e i benefici, diretti e indiretti, vi sono rinegoziati; e ciascuna è articolata nelle proprie voci. Chiudono l’opera cinque appendici, che ne raccolgono il materiale di riferimento.</w:t>
      </w:r>
    </w:p>
    <w:bookmarkEnd w:id="1854"/>
    <w:bookmarkStart w:id="1855" w:name="X992cbe04e1a3f122d56e01b7097e5678d81454e"/>
    <w:p>
      <w:pPr>
        <w:pStyle w:val="Heading2"/>
      </w:pPr>
      <w:r>
        <w:rPr>
          <w:b/>
          <w:bCs/>
        </w:rPr>
        <w:t xml:space="preserve">Parte I — Quadro, mandato, metodo e perimetro integrale</w:t>
      </w:r>
    </w:p>
    <w:p>
      <w:pPr>
        <w:pStyle w:val="FirstParagraph"/>
      </w:pPr>
      <w:r>
        <w:rPr>
          <w:i/>
          <w:iCs/>
        </w:rPr>
        <w:t xml:space="preserve">La prima parte fissa il fondamento dell’intera opera. Essa enuncia lo scopo, il mandato istituzionale e il quesito di valutazione; definisce il perimetro multidisciplinare integrale e il principio ordinatore della cascata gerarchica piramidale che muove dallo Psicologo di Base; espone il telaio metodologico ibrido, costruito sulla composizione di quattro cornici apicali e di un insieme di metodologie innestate; stabilisce le regole della rinegoziazione dei costi e dei benefici, con la distinzione cardine tra grandezze dirette e indirette e tra ricadute fiscali e sociali; presenta la batteria integrale di indicatori, variabili e parametri; e dichiara i vincoli invarianti che governano ogni stima successiva. In questa parte l’Intelligenza Artificiale è collocata, una volta per tutte, come una delle leve abilitanti della figura, e non come oggetto centrale dell’analisi.</w:t>
      </w:r>
    </w:p>
    <w:p>
      <w:pPr>
        <w:pStyle w:val="BodyText"/>
      </w:pPr>
      <w:r>
        <w:rPr>
          <w:b/>
          <w:bCs/>
        </w:rPr>
        <w:t xml:space="preserve">1.1</w:t>
      </w:r>
      <w:r>
        <w:rPr>
          <w:b/>
          <w:bCs/>
        </w:rPr>
        <w:t xml:space="preserve"> </w:t>
      </w:r>
      <w:r>
        <w:t xml:space="preserve">Scopo, mandato istituzionale e quesito di valutazione</w:t>
      </w:r>
    </w:p>
    <w:p>
      <w:pPr>
        <w:pStyle w:val="BodyText"/>
      </w:pPr>
      <w:r>
        <w:rPr>
          <w:b/>
          <w:bCs/>
        </w:rPr>
        <w:t xml:space="preserve">1.2</w:t>
      </w:r>
      <w:r>
        <w:rPr>
          <w:b/>
          <w:bCs/>
        </w:rPr>
        <w:t xml:space="preserve"> </w:t>
      </w:r>
      <w:r>
        <w:t xml:space="preserve">Il perimetro integrale e il principio ordinatore della cascata gerarchica piramidale</w:t>
      </w:r>
    </w:p>
    <w:p>
      <w:pPr>
        <w:pStyle w:val="BodyText"/>
      </w:pPr>
      <w:r>
        <w:rPr>
          <w:b/>
          <w:bCs/>
        </w:rPr>
        <w:t xml:space="preserve">1.3</w:t>
      </w:r>
      <w:r>
        <w:rPr>
          <w:b/>
          <w:bCs/>
        </w:rPr>
        <w:t xml:space="preserve"> </w:t>
      </w:r>
      <w:r>
        <w:t xml:space="preserve">Il telaio metodologico ibrido: le cornici apicali (HTA, Five Case Model, CHEERS 2022, criteri OCSE-DAC)</w:t>
      </w:r>
    </w:p>
    <w:p>
      <w:pPr>
        <w:pStyle w:val="BodyText"/>
      </w:pPr>
      <w:r>
        <w:rPr>
          <w:b/>
          <w:bCs/>
        </w:rPr>
        <w:t xml:space="preserve">1.4</w:t>
      </w:r>
      <w:r>
        <w:rPr>
          <w:b/>
          <w:bCs/>
        </w:rPr>
        <w:t xml:space="preserve"> </w:t>
      </w:r>
      <w:r>
        <w:t xml:space="preserve">Le metodologie innestate per la rinegoziazione (CBA, CEA, CUA con QALY e DALY, BIA, SROI, modelli di Markov e microsimulazione, MCDA, PSA, PBMA, ROI formativo di Kirkpatrick e Phillips, human capital approach, friction cost method, willingness-to-pay, real options)</w:t>
      </w:r>
    </w:p>
    <w:p>
      <w:pPr>
        <w:pStyle w:val="BodyText"/>
      </w:pPr>
      <w:r>
        <w:rPr>
          <w:b/>
          <w:bCs/>
        </w:rPr>
        <w:t xml:space="preserve">1.5</w:t>
      </w:r>
      <w:r>
        <w:rPr>
          <w:b/>
          <w:bCs/>
        </w:rPr>
        <w:t xml:space="preserve"> </w:t>
      </w:r>
      <w:r>
        <w:t xml:space="preserve">La rinegoziazione dei costi e dei benefici: tassonomia, confini diretti e indiretti, regola di non duplicazione fiscale e sociale</w:t>
      </w:r>
    </w:p>
    <w:p>
      <w:pPr>
        <w:pStyle w:val="BodyText"/>
      </w:pPr>
      <w:r>
        <w:rPr>
          <w:b/>
          <w:bCs/>
        </w:rPr>
        <w:t xml:space="preserve">1.6</w:t>
      </w:r>
      <w:r>
        <w:rPr>
          <w:b/>
          <w:bCs/>
        </w:rPr>
        <w:t xml:space="preserve"> </w:t>
      </w:r>
      <w:r>
        <w:t xml:space="preserve">La batteria integrale di indicatori, variabili e parametri (clinici, economici, organizzativi, sociali, per figura e per dominio)</w:t>
      </w:r>
    </w:p>
    <w:p>
      <w:pPr>
        <w:pStyle w:val="BodyText"/>
      </w:pPr>
      <w:r>
        <w:rPr>
          <w:b/>
          <w:bCs/>
        </w:rPr>
        <w:t xml:space="preserve">1.7</w:t>
      </w:r>
      <w:r>
        <w:rPr>
          <w:b/>
          <w:bCs/>
        </w:rPr>
        <w:t xml:space="preserve"> </w:t>
      </w:r>
      <w:r>
        <w:t xml:space="preserve">La graduazione simmetrica dell’evidenza (GRADE) e i vincoli invarianti (range di Chisholm, caveat dell’IMPACT trial, bande prudenziali, falsificabilità)</w:t>
      </w:r>
    </w:p>
    <w:p>
      <w:pPr>
        <w:pStyle w:val="BodyText"/>
      </w:pPr>
      <w:r>
        <w:rPr>
          <w:b/>
          <w:bCs/>
        </w:rPr>
        <w:t xml:space="preserve">1.8</w:t>
      </w:r>
      <w:r>
        <w:rPr>
          <w:b/>
          <w:bCs/>
        </w:rPr>
        <w:t xml:space="preserve"> </w:t>
      </w:r>
      <w:r>
        <w:t xml:space="preserve">Il posizionamento dell’Intelligenza Artificiale come leva abilitante e della formazione come pilastro trasversale</w:t>
      </w:r>
    </w:p>
    <w:p>
      <w:pPr>
        <w:pStyle w:val="BodyText"/>
      </w:pPr>
      <w:r>
        <w:rPr>
          <w:b/>
          <w:bCs/>
        </w:rPr>
        <w:t xml:space="preserve">1.9</w:t>
      </w:r>
      <w:r>
        <w:rPr>
          <w:b/>
          <w:bCs/>
        </w:rPr>
        <w:t xml:space="preserve"> </w:t>
      </w:r>
      <w:r>
        <w:t xml:space="preserve">Fonti, qualità dei dati, limiti dichiarati e agenda di verifica documentale</w:t>
      </w:r>
    </w:p>
    <w:bookmarkEnd w:id="1855"/>
    <w:bookmarkStart w:id="1856" w:name="Xb5ff01d5699f20d57ba5d38b0e1c60541c678e3"/>
    <w:p>
      <w:pPr>
        <w:pStyle w:val="Heading2"/>
      </w:pPr>
      <w:r>
        <w:rPr>
          <w:b/>
          <w:bCs/>
        </w:rPr>
        <w:t xml:space="preserve">Parte II — Il bisogno e il contesto multidimensionale in Puglia</w:t>
      </w:r>
    </w:p>
    <w:p>
      <w:pPr>
        <w:pStyle w:val="FirstParagraph"/>
      </w:pPr>
      <w:r>
        <w:rPr>
          <w:i/>
          <w:iCs/>
        </w:rPr>
        <w:t xml:space="preserve">La seconda parte ricostruisce il bisogno di salute e il contesto entro cui la riforma opera. Essa misura l’epidemiologia del disagio psichico e il divario tra fabbisogno e trattamento; descrive il contesto demografico, sociale ed economico della Regione; analizza il sistema sanitario regionale nelle sue cure primarie e nei suoi servizi specialistici, con la carenza strutturale della medicina generale, le liste d’attesa e la mobilità passiva; espone il quadro finanziario e i vincoli di bilancio; e traccia la mappa del carico multidominio della cattiva salute mentale, che costituisce la base su cui la cascata delle figure e dei domini sarà valutata.</w:t>
      </w:r>
    </w:p>
    <w:p>
      <w:pPr>
        <w:pStyle w:val="BodyText"/>
      </w:pPr>
      <w:r>
        <w:rPr>
          <w:b/>
          <w:bCs/>
        </w:rPr>
        <w:t xml:space="preserve">2.1</w:t>
      </w:r>
      <w:r>
        <w:rPr>
          <w:b/>
          <w:bCs/>
        </w:rPr>
        <w:t xml:space="preserve"> </w:t>
      </w:r>
      <w:r>
        <w:t xml:space="preserve">Epidemiologia del disagio psichico e divario di trattamento in Puglia</w:t>
      </w:r>
    </w:p>
    <w:p>
      <w:pPr>
        <w:pStyle w:val="BodyText"/>
      </w:pPr>
      <w:r>
        <w:rPr>
          <w:b/>
          <w:bCs/>
        </w:rPr>
        <w:t xml:space="preserve">2.2</w:t>
      </w:r>
      <w:r>
        <w:rPr>
          <w:b/>
          <w:bCs/>
        </w:rPr>
        <w:t xml:space="preserve"> </w:t>
      </w:r>
      <w:r>
        <w:t xml:space="preserve">Il contesto demografico, sociale ed economico regionale</w:t>
      </w:r>
    </w:p>
    <w:p>
      <w:pPr>
        <w:pStyle w:val="BodyText"/>
      </w:pPr>
      <w:r>
        <w:rPr>
          <w:b/>
          <w:bCs/>
        </w:rPr>
        <w:t xml:space="preserve">2.3</w:t>
      </w:r>
      <w:r>
        <w:rPr>
          <w:b/>
          <w:bCs/>
        </w:rPr>
        <w:t xml:space="preserve"> </w:t>
      </w:r>
      <w:r>
        <w:t xml:space="preserve">Il sistema sanitario regionale: cure primarie, Centri di Salute Mentale, Case della Comunità, carenza dei medici di medicina generale, liste d’attesa, mobilità sanitaria passiva</w:t>
      </w:r>
    </w:p>
    <w:p>
      <w:pPr>
        <w:pStyle w:val="BodyText"/>
      </w:pPr>
      <w:r>
        <w:rPr>
          <w:b/>
          <w:bCs/>
        </w:rPr>
        <w:t xml:space="preserve">2.4</w:t>
      </w:r>
      <w:r>
        <w:rPr>
          <w:b/>
          <w:bCs/>
        </w:rPr>
        <w:t xml:space="preserve"> </w:t>
      </w:r>
      <w:r>
        <w:t xml:space="preserve">Il quadro finanziario regionale e i vincoli di bilancio</w:t>
      </w:r>
    </w:p>
    <w:p>
      <w:pPr>
        <w:pStyle w:val="BodyText"/>
      </w:pPr>
      <w:r>
        <w:rPr>
          <w:b/>
          <w:bCs/>
        </w:rPr>
        <w:t xml:space="preserve">2.5</w:t>
      </w:r>
      <w:r>
        <w:rPr>
          <w:b/>
          <w:bCs/>
        </w:rPr>
        <w:t xml:space="preserve"> </w:t>
      </w:r>
      <w:r>
        <w:t xml:space="preserve">La mappa del carico multidominio della cattiva salute mentale in Puglia</w:t>
      </w:r>
    </w:p>
    <w:p>
      <w:pPr>
        <w:pStyle w:val="BodyText"/>
      </w:pPr>
      <w:r>
        <w:rPr>
          <w:b/>
          <w:bCs/>
        </w:rPr>
        <w:t xml:space="preserve">2.6</w:t>
      </w:r>
      <w:r>
        <w:rPr>
          <w:b/>
          <w:bCs/>
        </w:rPr>
        <w:t xml:space="preserve"> </w:t>
      </w:r>
      <w:r>
        <w:t xml:space="preserve">Il quadro normativo e programmatico (legge regionale 11/2023, livelli essenziali di assistenza, Missione 6 del PNRR, Accordo Collettivo Nazionale)</w:t>
      </w:r>
    </w:p>
    <w:bookmarkEnd w:id="1856"/>
    <w:bookmarkStart w:id="1857" w:name="Xda5ec50853c8db85c8c7140a7745a909a1ea585"/>
    <w:p>
      <w:pPr>
        <w:pStyle w:val="Heading2"/>
      </w:pPr>
      <w:r>
        <w:rPr>
          <w:b/>
          <w:bCs/>
        </w:rPr>
        <w:t xml:space="preserve">Parte III — L’architettura delle figure a cascata gerarchica piramidale</w:t>
      </w:r>
    </w:p>
    <w:p>
      <w:pPr>
        <w:pStyle w:val="FirstParagraph"/>
      </w:pPr>
      <w:r>
        <w:rPr>
          <w:i/>
          <w:iCs/>
        </w:rPr>
        <w:t xml:space="preserve">La terza parte costituisce l’innovazione strutturale dell’opera e dà forma all’ordine richiesto. Muovendo dallo Psicologo di Base come apice e origine, essa percorre l’intera cascata delle figure direttamente e indirettamente connesse alla riforma, ordinandole per influenza nel progetto e per capacità di generare rientro economico o revisione della spesa. Per ciascuna figura sono definiti il ruolo, la connessione diretta e indiretta con lo Psicologo di Base, il peso d’influenza e la capacità di rientro. La parte si chiude con la matrice che ordina formalmente la cascata e ne fonda l’uso nelle valutazioni economiche successive. Qui è abbandonato in via definitiva il perimetro ristretto alle sole quattro figure: l’analisi abbraccia l’intera architettura professionale, istituzionale ed extra-sanitaria.</w:t>
      </w:r>
    </w:p>
    <w:p>
      <w:pPr>
        <w:pStyle w:val="BodyText"/>
      </w:pPr>
      <w:r>
        <w:rPr>
          <w:b/>
          <w:bCs/>
        </w:rPr>
        <w:t xml:space="preserve">3.1</w:t>
      </w:r>
      <w:r>
        <w:rPr>
          <w:b/>
          <w:bCs/>
        </w:rPr>
        <w:t xml:space="preserve"> </w:t>
      </w:r>
      <w:r>
        <w:t xml:space="preserve">L’apice: lo Psicologo di Base come attore sistemico e origine della cascata</w:t>
      </w:r>
    </w:p>
    <w:p>
      <w:pPr>
        <w:pStyle w:val="BodyText"/>
      </w:pPr>
      <w:r>
        <w:rPr>
          <w:b/>
          <w:bCs/>
        </w:rPr>
        <w:t xml:space="preserve">3.2</w:t>
      </w:r>
      <w:r>
        <w:rPr>
          <w:b/>
          <w:bCs/>
        </w:rPr>
        <w:t xml:space="preserve"> </w:t>
      </w:r>
      <w:r>
        <w:t xml:space="preserve">Il medico di medicina generale e la coppia clinica nelle Case della Comunità</w:t>
      </w:r>
    </w:p>
    <w:p>
      <w:pPr>
        <w:pStyle w:val="BodyText"/>
      </w:pPr>
      <w:r>
        <w:rPr>
          <w:b/>
          <w:bCs/>
        </w:rPr>
        <w:t xml:space="preserve">3.3</w:t>
      </w:r>
      <w:r>
        <w:rPr>
          <w:b/>
          <w:bCs/>
        </w:rPr>
        <w:t xml:space="preserve"> </w:t>
      </w:r>
      <w:r>
        <w:t xml:space="preserve">Il pediatra di libera scelta</w:t>
      </w:r>
    </w:p>
    <w:p>
      <w:pPr>
        <w:pStyle w:val="BodyText"/>
      </w:pPr>
      <w:r>
        <w:rPr>
          <w:b/>
          <w:bCs/>
        </w:rPr>
        <w:t xml:space="preserve">3.4</w:t>
      </w:r>
      <w:r>
        <w:rPr>
          <w:b/>
          <w:bCs/>
        </w:rPr>
        <w:t xml:space="preserve"> </w:t>
      </w:r>
      <w:r>
        <w:t xml:space="preserve">Il neurologo e le neuroscienze territoriali</w:t>
      </w:r>
    </w:p>
    <w:p>
      <w:pPr>
        <w:pStyle w:val="BodyText"/>
      </w:pPr>
      <w:r>
        <w:rPr>
          <w:b/>
          <w:bCs/>
        </w:rPr>
        <w:t xml:space="preserve">3.5</w:t>
      </w:r>
      <w:r>
        <w:rPr>
          <w:b/>
          <w:bCs/>
        </w:rPr>
        <w:t xml:space="preserve"> </w:t>
      </w:r>
      <w:r>
        <w:t xml:space="preserve">L’infermiere di famiglia e di comunità e la funzione di care manager</w:t>
      </w:r>
    </w:p>
    <w:p>
      <w:pPr>
        <w:pStyle w:val="BodyText"/>
      </w:pPr>
      <w:r>
        <w:rPr>
          <w:b/>
          <w:bCs/>
        </w:rPr>
        <w:t xml:space="preserve">3.6</w:t>
      </w:r>
      <w:r>
        <w:rPr>
          <w:b/>
          <w:bCs/>
        </w:rPr>
        <w:t xml:space="preserve"> </w:t>
      </w:r>
      <w:r>
        <w:t xml:space="preserve">Lo psichiatra consulente e i Centri di Salute Mentale</w:t>
      </w:r>
    </w:p>
    <w:p>
      <w:pPr>
        <w:pStyle w:val="BodyText"/>
      </w:pPr>
      <w:r>
        <w:rPr>
          <w:b/>
          <w:bCs/>
        </w:rPr>
        <w:t xml:space="preserve">3.7</w:t>
      </w:r>
      <w:r>
        <w:rPr>
          <w:b/>
          <w:bCs/>
        </w:rPr>
        <w:t xml:space="preserve"> </w:t>
      </w:r>
      <w:r>
        <w:t xml:space="preserve">L’assistente sociale e il servizio sociale territoriale</w:t>
      </w:r>
    </w:p>
    <w:p>
      <w:pPr>
        <w:pStyle w:val="BodyText"/>
      </w:pPr>
      <w:r>
        <w:rPr>
          <w:b/>
          <w:bCs/>
        </w:rPr>
        <w:t xml:space="preserve">3.8</w:t>
      </w:r>
      <w:r>
        <w:rPr>
          <w:b/>
          <w:bCs/>
        </w:rPr>
        <w:t xml:space="preserve"> </w:t>
      </w:r>
      <w:r>
        <w:t xml:space="preserve">Le ulteriori figure sanitarie e socio-sanitarie (farmacista di comunità, operatore socio-sanitario, logopedista, terapista della riabilitazione, ostetrica)</w:t>
      </w:r>
    </w:p>
    <w:p>
      <w:pPr>
        <w:pStyle w:val="BodyText"/>
      </w:pPr>
      <w:r>
        <w:rPr>
          <w:b/>
          <w:bCs/>
        </w:rPr>
        <w:t xml:space="preserve">3.9</w:t>
      </w:r>
      <w:r>
        <w:rPr>
          <w:b/>
          <w:bCs/>
        </w:rPr>
        <w:t xml:space="preserve"> </w:t>
      </w:r>
      <w:r>
        <w:t xml:space="preserve">Le figure educative e scolastiche (psicologo scolastico, corpo docente, dirigenza)</w:t>
      </w:r>
    </w:p>
    <w:p>
      <w:pPr>
        <w:pStyle w:val="BodyText"/>
      </w:pPr>
      <w:r>
        <w:rPr>
          <w:b/>
          <w:bCs/>
        </w:rPr>
        <w:t xml:space="preserve">3.10</w:t>
      </w:r>
      <w:r>
        <w:rPr>
          <w:b/>
          <w:bCs/>
        </w:rPr>
        <w:t xml:space="preserve"> </w:t>
      </w:r>
      <w:r>
        <w:t xml:space="preserve">Gli attori istituzionali e amministrativi regionali (aziende sanitarie locali, distretti, Azienda Zero, Regione)</w:t>
      </w:r>
    </w:p>
    <w:p>
      <w:pPr>
        <w:pStyle w:val="BodyText"/>
      </w:pPr>
      <w:r>
        <w:rPr>
          <w:b/>
          <w:bCs/>
        </w:rPr>
        <w:t xml:space="preserve">3.11</w:t>
      </w:r>
      <w:r>
        <w:rPr>
          <w:b/>
          <w:bCs/>
        </w:rPr>
        <w:t xml:space="preserve"> </w:t>
      </w:r>
      <w:r>
        <w:t xml:space="preserve">Gli attori extra-sanitari (INPS, INAIL, sistema giudiziario, imprese, organizzazioni sindacali, università, terzo settore)</w:t>
      </w:r>
    </w:p>
    <w:p>
      <w:pPr>
        <w:pStyle w:val="BodyText"/>
      </w:pPr>
      <w:r>
        <w:rPr>
          <w:b/>
          <w:bCs/>
        </w:rPr>
        <w:t xml:space="preserve">3.12</w:t>
      </w:r>
      <w:r>
        <w:rPr>
          <w:b/>
          <w:bCs/>
        </w:rPr>
        <w:t xml:space="preserve"> </w:t>
      </w:r>
      <w:r>
        <w:t xml:space="preserve">La matrice di influenza e di capacità di rientro economico e di revisione della spesa: l’ordinamento formale della cascata</w:t>
      </w:r>
    </w:p>
    <w:bookmarkEnd w:id="1857"/>
    <w:bookmarkStart w:id="1858" w:name="X569f27e73c6cc32cf0474b1c48372f0bf90276f"/>
    <w:p>
      <w:pPr>
        <w:pStyle w:val="Heading2"/>
      </w:pPr>
      <w:r>
        <w:rPr>
          <w:b/>
          <w:bCs/>
        </w:rPr>
        <w:t xml:space="preserve">Parte IV — Il modello organizzativo integrato e le leve abilitanti</w:t>
      </w:r>
    </w:p>
    <w:p>
      <w:pPr>
        <w:pStyle w:val="FirstParagraph"/>
      </w:pPr>
      <w:r>
        <w:rPr>
          <w:i/>
          <w:iCs/>
        </w:rPr>
        <w:t xml:space="preserve">La quarta parte descrive il funzionamento operativo del servizio e le leve che ne accrescono efficacia e sostenibilità. Essa definisce il modello fondato sulla cura per intensità crescente, sull’assistenza collaborativa e sui percorsi diagnostico-terapeutici assistenziali; espone l’integrazione tra i livelli; e ordina le leve abilitanti, tra le quali figura la leva digitale e l’Intelligenza Artificiale, considerata lungo l’intero ciclo assistenziale con evidenza graduata e con la cautela imposta dalla governance prudenziale. La parte definisce inoltre i dispositivi terapeutici digitali su prescrizione, la relativa cornice di rischio e i criteri di dimensionamento del servizio. L’Intelligenza Artificiale è qui trattata come uno strumento che rende più funzionale la figura, subordinato alla supervisione umana e all’organizzazione del servizio.</w:t>
      </w:r>
    </w:p>
    <w:p>
      <w:pPr>
        <w:pStyle w:val="BodyText"/>
      </w:pPr>
      <w:r>
        <w:rPr>
          <w:b/>
          <w:bCs/>
        </w:rPr>
        <w:t xml:space="preserve">4.1</w:t>
      </w:r>
      <w:r>
        <w:rPr>
          <w:b/>
          <w:bCs/>
        </w:rPr>
        <w:t xml:space="preserve"> </w:t>
      </w:r>
      <w:r>
        <w:t xml:space="preserve">Il modello operativo: cura per intensità crescente, assistenza collaborativa, coppia clinica, percorsi diagnostico-terapeutici assistenziali</w:t>
      </w:r>
    </w:p>
    <w:p>
      <w:pPr>
        <w:pStyle w:val="BodyText"/>
      </w:pPr>
      <w:r>
        <w:rPr>
          <w:b/>
          <w:bCs/>
        </w:rPr>
        <w:t xml:space="preserve">4.2</w:t>
      </w:r>
      <w:r>
        <w:rPr>
          <w:b/>
          <w:bCs/>
        </w:rPr>
        <w:t xml:space="preserve"> </w:t>
      </w:r>
      <w:r>
        <w:t xml:space="preserve">L’integrazione tra livelli e i percorsi clinici (cure primarie e servizi specialistici)</w:t>
      </w:r>
    </w:p>
    <w:p>
      <w:pPr>
        <w:pStyle w:val="BodyText"/>
      </w:pPr>
      <w:r>
        <w:rPr>
          <w:b/>
          <w:bCs/>
        </w:rPr>
        <w:t xml:space="preserve">4.3</w:t>
      </w:r>
      <w:r>
        <w:rPr>
          <w:b/>
          <w:bCs/>
        </w:rPr>
        <w:t xml:space="preserve"> </w:t>
      </w:r>
      <w:r>
        <w:t xml:space="preserve">Le leve abilitanti organizzative e di processo</w:t>
      </w:r>
    </w:p>
    <w:p>
      <w:pPr>
        <w:pStyle w:val="BodyText"/>
      </w:pPr>
      <w:r>
        <w:rPr>
          <w:b/>
          <w:bCs/>
        </w:rPr>
        <w:t xml:space="preserve">4.4</w:t>
      </w:r>
      <w:r>
        <w:rPr>
          <w:b/>
          <w:bCs/>
        </w:rPr>
        <w:t xml:space="preserve"> </w:t>
      </w:r>
      <w:r>
        <w:t xml:space="preserve">La leva digitale e l’Intelligenza Artificiale lungo il ciclo assistenziale: diagnostica e triage, prevenzione e stratificazione del rischio, trattamento con terapie digitali e CBT erogata via internet, riabilitazione e monitoraggio remoto — con graduazione dell’evidenza</w:t>
      </w:r>
    </w:p>
    <w:p>
      <w:pPr>
        <w:pStyle w:val="BodyText"/>
      </w:pPr>
      <w:r>
        <w:rPr>
          <w:b/>
          <w:bCs/>
        </w:rPr>
        <w:t xml:space="preserve">4.5</w:t>
      </w:r>
      <w:r>
        <w:rPr>
          <w:b/>
          <w:bCs/>
        </w:rPr>
        <w:t xml:space="preserve"> </w:t>
      </w:r>
      <w:r>
        <w:t xml:space="preserve">I dispositivi terapeutici digitali su prescrizione e la cornice di rischio</w:t>
      </w:r>
    </w:p>
    <w:p>
      <w:pPr>
        <w:pStyle w:val="BodyText"/>
      </w:pPr>
      <w:r>
        <w:rPr>
          <w:b/>
          <w:bCs/>
        </w:rPr>
        <w:t xml:space="preserve">4.6</w:t>
      </w:r>
      <w:r>
        <w:rPr>
          <w:b/>
          <w:bCs/>
        </w:rPr>
        <w:t xml:space="preserve"> </w:t>
      </w:r>
      <w:r>
        <w:t xml:space="preserve">La governance prudenziale dell’Intelligenza Artificiale: sicurezza, equità, supervisione umana, responsabilità</w:t>
      </w:r>
    </w:p>
    <w:p>
      <w:pPr>
        <w:pStyle w:val="BodyText"/>
      </w:pPr>
      <w:r>
        <w:rPr>
          <w:b/>
          <w:bCs/>
        </w:rPr>
        <w:t xml:space="preserve">4.7</w:t>
      </w:r>
      <w:r>
        <w:rPr>
          <w:b/>
          <w:bCs/>
        </w:rPr>
        <w:t xml:space="preserve"> </w:t>
      </w:r>
      <w:r>
        <w:t xml:space="preserve">Il dimensionamento del servizio e gli scenari di copertura</w:t>
      </w:r>
    </w:p>
    <w:bookmarkEnd w:id="1858"/>
    <w:bookmarkStart w:id="1859" w:name="X5f6f263dd0f938e5cc6285e7d36bcbba815cf89"/>
    <w:p>
      <w:pPr>
        <w:pStyle w:val="Heading2"/>
      </w:pPr>
      <w:r>
        <w:rPr>
          <w:b/>
          <w:bCs/>
        </w:rPr>
        <w:t xml:space="preserve">Parte V — La formazione del personale: le quattro modalità, singole e congiunte</w:t>
      </w:r>
    </w:p>
    <w:p>
      <w:pPr>
        <w:pStyle w:val="FirstParagraph"/>
      </w:pPr>
      <w:r>
        <w:rPr>
          <w:i/>
          <w:iCs/>
        </w:rPr>
        <w:t xml:space="preserve">La quinta parte tratta la formazione del personale come pilastro trasversale della riforma, comprensiva delle competenze cliniche, organizzative, relazionali e digitali, ivi incluse quelle relative all’uso dell’Intelligenza Artificiale. In aderenza all’ordine ricevuto, le quattro modalità formative sono valutate sia singolarmente sia in combinazione: ciascuna è descritta a sé stante, con i propri costi, tempi e rendimenti, e l’insieme è poi considerato come percorso formativo integrato. La parte applica i modelli di Kirkpatrick e Phillips per il ritorno sull’investimento formativo e confronta il rapporto costo-efficacia delle modalità singole con quello della loro combinazione.</w:t>
      </w:r>
    </w:p>
    <w:p>
      <w:pPr>
        <w:pStyle w:val="BodyText"/>
      </w:pPr>
      <w:r>
        <w:rPr>
          <w:b/>
          <w:bCs/>
        </w:rPr>
        <w:t xml:space="preserve">5.1</w:t>
      </w:r>
      <w:r>
        <w:rPr>
          <w:b/>
          <w:bCs/>
        </w:rPr>
        <w:t xml:space="preserve"> </w:t>
      </w:r>
      <w:r>
        <w:t xml:space="preserve">Il fabbisogno formativo integrale (competenze cliniche, organizzative, relazionali, digitali e pro-Intelligenza Artificiale)</w:t>
      </w:r>
    </w:p>
    <w:p>
      <w:pPr>
        <w:pStyle w:val="BodyText"/>
      </w:pPr>
      <w:r>
        <w:rPr>
          <w:b/>
          <w:bCs/>
        </w:rPr>
        <w:t xml:space="preserve">5.2</w:t>
      </w:r>
      <w:r>
        <w:rPr>
          <w:b/>
          <w:bCs/>
        </w:rPr>
        <w:t xml:space="preserve"> </w:t>
      </w:r>
      <w:r>
        <w:t xml:space="preserve">Modalità prima — Formazione universitaria (corsi di laurea, master, curricula)</w:t>
      </w:r>
    </w:p>
    <w:p>
      <w:pPr>
        <w:pStyle w:val="BodyText"/>
      </w:pPr>
      <w:r>
        <w:rPr>
          <w:b/>
          <w:bCs/>
        </w:rPr>
        <w:t xml:space="preserve">5.3</w:t>
      </w:r>
      <w:r>
        <w:rPr>
          <w:b/>
          <w:bCs/>
        </w:rPr>
        <w:t xml:space="preserve"> </w:t>
      </w:r>
      <w:r>
        <w:t xml:space="preserve">Modalità seconda — Formazione post-universitaria (specializzazione, educazione continua in medicina, certificazioni)</w:t>
      </w:r>
    </w:p>
    <w:p>
      <w:pPr>
        <w:pStyle w:val="BodyText"/>
      </w:pPr>
      <w:r>
        <w:rPr>
          <w:b/>
          <w:bCs/>
        </w:rPr>
        <w:t xml:space="preserve">5.4</w:t>
      </w:r>
      <w:r>
        <w:rPr>
          <w:b/>
          <w:bCs/>
        </w:rPr>
        <w:t xml:space="preserve"> </w:t>
      </w:r>
      <w:r>
        <w:t xml:space="preserve">Modalità terza — Formazione lavorativa e sul posto di lavoro</w:t>
      </w:r>
    </w:p>
    <w:p>
      <w:pPr>
        <w:pStyle w:val="BodyText"/>
      </w:pPr>
      <w:r>
        <w:rPr>
          <w:b/>
          <w:bCs/>
        </w:rPr>
        <w:t xml:space="preserve">5.5</w:t>
      </w:r>
      <w:r>
        <w:rPr>
          <w:b/>
          <w:bCs/>
        </w:rPr>
        <w:t xml:space="preserve"> </w:t>
      </w:r>
      <w:r>
        <w:t xml:space="preserve">Modalità quarta — Affiancamento e mentoring di figure esperte, incluso l’esperto di Intelligenza Artificiale in studio</w:t>
      </w:r>
    </w:p>
    <w:p>
      <w:pPr>
        <w:pStyle w:val="BodyText"/>
      </w:pPr>
      <w:r>
        <w:rPr>
          <w:b/>
          <w:bCs/>
        </w:rPr>
        <w:t xml:space="preserve">5.6</w:t>
      </w:r>
      <w:r>
        <w:rPr>
          <w:b/>
          <w:bCs/>
        </w:rPr>
        <w:t xml:space="preserve"> </w:t>
      </w:r>
      <w:r>
        <w:t xml:space="preserve">Le quattro modalità in combinazione: il percorso formativo integrato</w:t>
      </w:r>
    </w:p>
    <w:p>
      <w:pPr>
        <w:pStyle w:val="BodyText"/>
      </w:pPr>
      <w:r>
        <w:rPr>
          <w:b/>
          <w:bCs/>
        </w:rPr>
        <w:t xml:space="preserve">5.7</w:t>
      </w:r>
      <w:r>
        <w:rPr>
          <w:b/>
          <w:bCs/>
        </w:rPr>
        <w:t xml:space="preserve"> </w:t>
      </w:r>
      <w:r>
        <w:t xml:space="preserve">Il costo della formazione e il ritorno sull’investimento formativo (Kirkpatrick e Phillips): confronto tra modalità singole e combinazione</w:t>
      </w:r>
    </w:p>
    <w:p>
      <w:pPr>
        <w:pStyle w:val="BodyText"/>
      </w:pPr>
      <w:r>
        <w:rPr>
          <w:b/>
          <w:bCs/>
        </w:rPr>
        <w:t xml:space="preserve">5.8</w:t>
      </w:r>
      <w:r>
        <w:rPr>
          <w:b/>
          <w:bCs/>
        </w:rPr>
        <w:t xml:space="preserve"> </w:t>
      </w:r>
      <w:r>
        <w:t xml:space="preserve">Le curve di adozione tecnologica e il rafforzamento delle competenze digitali pro-Intelligenza Artificiale</w:t>
      </w:r>
    </w:p>
    <w:bookmarkEnd w:id="1859"/>
    <w:bookmarkStart w:id="1860" w:name="X40b98ce951f0e108454434eb71c9ebf192c1ab4"/>
    <w:p>
      <w:pPr>
        <w:pStyle w:val="Heading2"/>
      </w:pPr>
      <w:r>
        <w:rPr>
          <w:b/>
          <w:bCs/>
        </w:rPr>
        <w:t xml:space="preserve">Parte VI — Efficacia, evidenza e meccanismi di impatto</w:t>
      </w:r>
    </w:p>
    <w:p>
      <w:pPr>
        <w:pStyle w:val="FirstParagraph"/>
      </w:pPr>
      <w:r>
        <w:rPr>
          <w:i/>
          <w:iCs/>
        </w:rPr>
        <w:t xml:space="preserve">La sesta parte raccoglie e gradua le evidenze di efficacia. Essa documenta l’efficacia clinica dell’integrazione della psicologia nelle cure primarie; richiama i programmi internazionali di riferimento; espone, con la medesima severità applicata alle affermazioni cliniche, l’evidenza relativa agli strumenti digitali e all’Intelligenza Artificiale; ricostruisce la catena causale che conduce dall’esito clinico al risparmio fiscale e alla ricaduta sociale; tratta con le dovute cautele i dati dei progetti pilota italiani; e discute la trasferibilità delle evidenze al contesto pugliese.</w:t>
      </w:r>
    </w:p>
    <w:p>
      <w:pPr>
        <w:pStyle w:val="BodyText"/>
      </w:pPr>
      <w:r>
        <w:rPr>
          <w:b/>
          <w:bCs/>
        </w:rPr>
        <w:t xml:space="preserve">6.1</w:t>
      </w:r>
      <w:r>
        <w:rPr>
          <w:b/>
          <w:bCs/>
        </w:rPr>
        <w:t xml:space="preserve"> </w:t>
      </w:r>
      <w:r>
        <w:t xml:space="preserve">L’efficacia clinica dell’integrazione tra psicologia e cure primarie</w:t>
      </w:r>
    </w:p>
    <w:p>
      <w:pPr>
        <w:pStyle w:val="BodyText"/>
      </w:pPr>
      <w:r>
        <w:rPr>
          <w:b/>
          <w:bCs/>
        </w:rPr>
        <w:t xml:space="preserve">6.2</w:t>
      </w:r>
      <w:r>
        <w:rPr>
          <w:b/>
          <w:bCs/>
        </w:rPr>
        <w:t xml:space="preserve"> </w:t>
      </w:r>
      <w:r>
        <w:t xml:space="preserve">I programmi internazionali di riferimento (terapie psicologiche del Servizio sanitario inglese, modello olandese, iniziativa australiana, assistenza collaborativa statunitense)</w:t>
      </w:r>
    </w:p>
    <w:p>
      <w:pPr>
        <w:pStyle w:val="BodyText"/>
      </w:pPr>
      <w:r>
        <w:rPr>
          <w:b/>
          <w:bCs/>
        </w:rPr>
        <w:t xml:space="preserve">6.3</w:t>
      </w:r>
      <w:r>
        <w:rPr>
          <w:b/>
          <w:bCs/>
        </w:rPr>
        <w:t xml:space="preserve"> </w:t>
      </w:r>
      <w:r>
        <w:t xml:space="preserve">L’efficacia degli strumenti digitali e dell’Intelligenza Artificiale (terapie digitali, CBT via internet, modelli predittivi) con graduazione GRADE</w:t>
      </w:r>
    </w:p>
    <w:p>
      <w:pPr>
        <w:pStyle w:val="BodyText"/>
      </w:pPr>
      <w:r>
        <w:rPr>
          <w:b/>
          <w:bCs/>
        </w:rPr>
        <w:t xml:space="preserve">6.4</w:t>
      </w:r>
      <w:r>
        <w:rPr>
          <w:b/>
          <w:bCs/>
        </w:rPr>
        <w:t xml:space="preserve"> </w:t>
      </w:r>
      <w:r>
        <w:t xml:space="preserve">La catena causale dell’impatto: dall’esito clinico al risparmio fiscale e alla ricaduta sociale</w:t>
      </w:r>
    </w:p>
    <w:p>
      <w:pPr>
        <w:pStyle w:val="BodyText"/>
      </w:pPr>
      <w:r>
        <w:rPr>
          <w:b/>
          <w:bCs/>
        </w:rPr>
        <w:t xml:space="preserve">6.5</w:t>
      </w:r>
      <w:r>
        <w:rPr>
          <w:b/>
          <w:bCs/>
        </w:rPr>
        <w:t xml:space="preserve"> </w:t>
      </w:r>
      <w:r>
        <w:t xml:space="preserve">I dati dei progetti pilota italiani e le cautele (campioni limitati, letteratura grigia)</w:t>
      </w:r>
    </w:p>
    <w:p>
      <w:pPr>
        <w:pStyle w:val="BodyText"/>
      </w:pPr>
      <w:r>
        <w:rPr>
          <w:b/>
          <w:bCs/>
        </w:rPr>
        <w:t xml:space="preserve">6.6</w:t>
      </w:r>
      <w:r>
        <w:rPr>
          <w:b/>
          <w:bCs/>
        </w:rPr>
        <w:t xml:space="preserve"> </w:t>
      </w:r>
      <w:r>
        <w:t xml:space="preserve">La trasferibilità delle evidenze al contesto pugliese</w:t>
      </w:r>
    </w:p>
    <w:bookmarkEnd w:id="1860"/>
    <w:bookmarkStart w:id="1861" w:name="X2bf49e2e070bf48c8b1453548d1d5363be724dd"/>
    <w:p>
      <w:pPr>
        <w:pStyle w:val="Heading2"/>
      </w:pPr>
      <w:r>
        <w:rPr>
          <w:b/>
          <w:bCs/>
        </w:rPr>
        <w:t xml:space="preserve">Parte VII — Costi diretti (rinegoziazione integrale)</w:t>
      </w:r>
    </w:p>
    <w:p>
      <w:pPr>
        <w:pStyle w:val="FirstParagraph"/>
      </w:pPr>
      <w:r>
        <w:rPr>
          <w:i/>
          <w:iCs/>
        </w:rPr>
        <w:t xml:space="preserve">La settima parte ricostruisce e rinegozia i costi diretti dell’introduzione del servizio lungo l’intera cascata delle figure. Essa quantifica il costo del personale, i costi di struttura, coordinamento e organizzazione, il costo incrementale della leva digitale e dell’Intelligenza Artificiale e il costo della formazione nelle quattro modalità, restituendo il costo diretto complessivo per ciascuno scenario di dimensionamento. La rinegoziazione consiste nel ridefinire questi costi alla luce del perimetro integrale e delle leve abilitanti, mantenendo la separazione rispetto alle grandezze indirette.</w:t>
      </w:r>
    </w:p>
    <w:p>
      <w:pPr>
        <w:pStyle w:val="BodyText"/>
      </w:pPr>
      <w:r>
        <w:rPr>
          <w:b/>
          <w:bCs/>
        </w:rPr>
        <w:t xml:space="preserve">7.1</w:t>
      </w:r>
      <w:r>
        <w:rPr>
          <w:b/>
          <w:bCs/>
        </w:rPr>
        <w:t xml:space="preserve"> </w:t>
      </w:r>
      <w:r>
        <w:t xml:space="preserve">Il costo del personale lungo la cascata delle figure</w:t>
      </w:r>
    </w:p>
    <w:p>
      <w:pPr>
        <w:pStyle w:val="BodyText"/>
      </w:pPr>
      <w:r>
        <w:rPr>
          <w:b/>
          <w:bCs/>
        </w:rPr>
        <w:t xml:space="preserve">7.2</w:t>
      </w:r>
      <w:r>
        <w:rPr>
          <w:b/>
          <w:bCs/>
        </w:rPr>
        <w:t xml:space="preserve"> </w:t>
      </w:r>
      <w:r>
        <w:t xml:space="preserve">I costi di struttura, coordinamento e organizzazione</w:t>
      </w:r>
    </w:p>
    <w:p>
      <w:pPr>
        <w:pStyle w:val="BodyText"/>
      </w:pPr>
      <w:r>
        <w:rPr>
          <w:b/>
          <w:bCs/>
        </w:rPr>
        <w:t xml:space="preserve">7.3</w:t>
      </w:r>
      <w:r>
        <w:rPr>
          <w:b/>
          <w:bCs/>
        </w:rPr>
        <w:t xml:space="preserve"> </w:t>
      </w:r>
      <w:r>
        <w:t xml:space="preserve">Il costo incrementale della leva digitale e dell’Intelligenza Artificiale</w:t>
      </w:r>
    </w:p>
    <w:p>
      <w:pPr>
        <w:pStyle w:val="BodyText"/>
      </w:pPr>
      <w:r>
        <w:rPr>
          <w:b/>
          <w:bCs/>
        </w:rPr>
        <w:t xml:space="preserve">7.4</w:t>
      </w:r>
      <w:r>
        <w:rPr>
          <w:b/>
          <w:bCs/>
        </w:rPr>
        <w:t xml:space="preserve"> </w:t>
      </w:r>
      <w:r>
        <w:t xml:space="preserve">Il costo della formazione (le quattro modalità, singole e combinate)</w:t>
      </w:r>
    </w:p>
    <w:p>
      <w:pPr>
        <w:pStyle w:val="BodyText"/>
      </w:pPr>
      <w:r>
        <w:rPr>
          <w:b/>
          <w:bCs/>
        </w:rPr>
        <w:t xml:space="preserve">7.5</w:t>
      </w:r>
      <w:r>
        <w:rPr>
          <w:b/>
          <w:bCs/>
        </w:rPr>
        <w:t xml:space="preserve"> </w:t>
      </w:r>
      <w:r>
        <w:t xml:space="preserve">Il costo diretto complessivo per scenario di dimensionamento</w:t>
      </w:r>
    </w:p>
    <w:bookmarkEnd w:id="1861"/>
    <w:bookmarkStart w:id="1862" w:name="Xe7fcf27b40092c18de4637e5c43e40a94d3d6e1"/>
    <w:p>
      <w:pPr>
        <w:pStyle w:val="Heading2"/>
      </w:pPr>
      <w:r>
        <w:rPr>
          <w:b/>
          <w:bCs/>
        </w:rPr>
        <w:t xml:space="preserve">Parte VIII — Benefici e risparmi diretti (rinegoziazione integrale)</w:t>
      </w:r>
    </w:p>
    <w:p>
      <w:pPr>
        <w:pStyle w:val="FirstParagraph"/>
      </w:pPr>
      <w:r>
        <w:rPr>
          <w:i/>
          <w:iCs/>
        </w:rPr>
        <w:t xml:space="preserve">L’ottava parte quantifica i risparmi diretti per il bilancio sanitario regionale. Essa misura la riduzione della spesa farmaceutica inappropriata, la riduzione degli accessi al pronto soccorso e dei ricoveri, la riduzione della mobilità sanitaria passiva e la riduzione di esami, visite e invii impropri; isola il contributo incrementale dell’Intelligenza Artificiale ai risparmi diretti; e restituisce il risparmio diretto complessivo per scenario. La rinegoziazione mantiene il caveat sui risparmi non statisticamente significativi e la regola di non duplicazione rispetto alle grandezze indirette.</w:t>
      </w:r>
    </w:p>
    <w:p>
      <w:pPr>
        <w:pStyle w:val="BodyText"/>
      </w:pPr>
      <w:r>
        <w:rPr>
          <w:b/>
          <w:bCs/>
        </w:rPr>
        <w:t xml:space="preserve">8.1</w:t>
      </w:r>
      <w:r>
        <w:rPr>
          <w:b/>
          <w:bCs/>
        </w:rPr>
        <w:t xml:space="preserve"> </w:t>
      </w:r>
      <w:r>
        <w:t xml:space="preserve">La riduzione della spesa farmaceutica inappropriata</w:t>
      </w:r>
    </w:p>
    <w:p>
      <w:pPr>
        <w:pStyle w:val="BodyText"/>
      </w:pPr>
      <w:r>
        <w:rPr>
          <w:b/>
          <w:bCs/>
        </w:rPr>
        <w:t xml:space="preserve">8.2</w:t>
      </w:r>
      <w:r>
        <w:rPr>
          <w:b/>
          <w:bCs/>
        </w:rPr>
        <w:t xml:space="preserve"> </w:t>
      </w:r>
      <w:r>
        <w:t xml:space="preserve">La riduzione degli accessi al pronto soccorso e dei ricoveri</w:t>
      </w:r>
    </w:p>
    <w:p>
      <w:pPr>
        <w:pStyle w:val="BodyText"/>
      </w:pPr>
      <w:r>
        <w:rPr>
          <w:b/>
          <w:bCs/>
        </w:rPr>
        <w:t xml:space="preserve">8.3</w:t>
      </w:r>
      <w:r>
        <w:rPr>
          <w:b/>
          <w:bCs/>
        </w:rPr>
        <w:t xml:space="preserve"> </w:t>
      </w:r>
      <w:r>
        <w:t xml:space="preserve">La riduzione della mobilità sanitaria passiva</w:t>
      </w:r>
    </w:p>
    <w:p>
      <w:pPr>
        <w:pStyle w:val="BodyText"/>
      </w:pPr>
      <w:r>
        <w:rPr>
          <w:b/>
          <w:bCs/>
        </w:rPr>
        <w:t xml:space="preserve">8.4</w:t>
      </w:r>
      <w:r>
        <w:rPr>
          <w:b/>
          <w:bCs/>
        </w:rPr>
        <w:t xml:space="preserve"> </w:t>
      </w:r>
      <w:r>
        <w:t xml:space="preserve">La riduzione di esami, visite specialistiche e invii impropri</w:t>
      </w:r>
    </w:p>
    <w:p>
      <w:pPr>
        <w:pStyle w:val="BodyText"/>
      </w:pPr>
      <w:r>
        <w:rPr>
          <w:b/>
          <w:bCs/>
        </w:rPr>
        <w:t xml:space="preserve">8.5</w:t>
      </w:r>
      <w:r>
        <w:rPr>
          <w:b/>
          <w:bCs/>
        </w:rPr>
        <w:t xml:space="preserve"> </w:t>
      </w:r>
      <w:r>
        <w:t xml:space="preserve">Il contributo incrementale dell’Intelligenza Artificiale ai risparmi diretti</w:t>
      </w:r>
    </w:p>
    <w:p>
      <w:pPr>
        <w:pStyle w:val="BodyText"/>
      </w:pPr>
      <w:r>
        <w:rPr>
          <w:b/>
          <w:bCs/>
        </w:rPr>
        <w:t xml:space="preserve">8.6</w:t>
      </w:r>
      <w:r>
        <w:rPr>
          <w:b/>
          <w:bCs/>
        </w:rPr>
        <w:t xml:space="preserve"> </w:t>
      </w:r>
      <w:r>
        <w:t xml:space="preserve">Il risparmio diretto complessivo per scenario</w:t>
      </w:r>
    </w:p>
    <w:bookmarkEnd w:id="1862"/>
    <w:bookmarkStart w:id="1863" w:name="Xa672402bbcefae7cd48cd9551b9ae8dae6190f9"/>
    <w:p>
      <w:pPr>
        <w:pStyle w:val="Heading2"/>
      </w:pPr>
      <w:r>
        <w:rPr>
          <w:b/>
          <w:bCs/>
        </w:rPr>
        <w:t xml:space="preserve">Parte IX — Costi e benefici indiretti: il perimetro multidisciplinare integrale</w:t>
      </w:r>
    </w:p>
    <w:p>
      <w:pPr>
        <w:pStyle w:val="FirstParagraph"/>
      </w:pPr>
      <w:r>
        <w:rPr>
          <w:i/>
          <w:iCs/>
        </w:rPr>
        <w:t xml:space="preserve">La nona parte è il cuore del perimetro integrale richiesto e ne dà sviluppo dominio per dominio. Essa percorre l’intero spettro delle ricadute economico-sociali della riforma, attribuendo a ciascun dominio gli indicatori, i moltiplicatori e i rapporti costo-beneficio documentati nella letteratura, e ricostruendo per ciascuno la connessione diretta e indiretta con lo Psicologo di Base potenziato dalle leve abilitanti. L’aggregazione finale è prudenziale e governata dalla regola di non duplicazione, così che i benefici indiretti restino distinti dai risparmi diretti e dalle ricadute fiscali. È in questa parte che la riforma rivela la propria portata multidisciplinare integrale.</w:t>
      </w:r>
    </w:p>
    <w:p>
      <w:pPr>
        <w:pStyle w:val="BodyText"/>
      </w:pPr>
      <w:r>
        <w:rPr>
          <w:b/>
          <w:bCs/>
        </w:rPr>
        <w:t xml:space="preserve">9.1</w:t>
      </w:r>
      <w:r>
        <w:rPr>
          <w:b/>
          <w:bCs/>
        </w:rPr>
        <w:t xml:space="preserve"> </w:t>
      </w:r>
      <w:r>
        <w:t xml:space="preserve">Dominio lavorativo (assenteismo, presenteismo, produttività del lavoro, malattie professionali)</w:t>
      </w:r>
    </w:p>
    <w:p>
      <w:pPr>
        <w:pStyle w:val="BodyText"/>
      </w:pPr>
      <w:r>
        <w:rPr>
          <w:b/>
          <w:bCs/>
        </w:rPr>
        <w:t xml:space="preserve">9.2</w:t>
      </w:r>
      <w:r>
        <w:rPr>
          <w:b/>
          <w:bCs/>
        </w:rPr>
        <w:t xml:space="preserve"> </w:t>
      </w:r>
      <w:r>
        <w:t xml:space="preserve">Dominio pensionistico (inabilità, invalidità, pensionamento anticipato per cause psichiche)</w:t>
      </w:r>
    </w:p>
    <w:p>
      <w:pPr>
        <w:pStyle w:val="BodyText"/>
      </w:pPr>
      <w:r>
        <w:rPr>
          <w:b/>
          <w:bCs/>
        </w:rPr>
        <w:t xml:space="preserve">9.3</w:t>
      </w:r>
      <w:r>
        <w:rPr>
          <w:b/>
          <w:bCs/>
        </w:rPr>
        <w:t xml:space="preserve"> </w:t>
      </w:r>
      <w:r>
        <w:t xml:space="preserve">Dominio produttivistico (output produttivo, giornate lavorative perse, capitale umano)</w:t>
      </w:r>
    </w:p>
    <w:p>
      <w:pPr>
        <w:pStyle w:val="BodyText"/>
      </w:pPr>
      <w:r>
        <w:rPr>
          <w:b/>
          <w:bCs/>
        </w:rPr>
        <w:t xml:space="preserve">9.4</w:t>
      </w:r>
      <w:r>
        <w:rPr>
          <w:b/>
          <w:bCs/>
        </w:rPr>
        <w:t xml:space="preserve"> </w:t>
      </w:r>
      <w:r>
        <w:t xml:space="preserve">Dominio assistenzialistico (carico dei caregiver, assistenza informale)</w:t>
      </w:r>
    </w:p>
    <w:p>
      <w:pPr>
        <w:pStyle w:val="BodyText"/>
      </w:pPr>
      <w:r>
        <w:rPr>
          <w:b/>
          <w:bCs/>
        </w:rPr>
        <w:t xml:space="preserve">9.5</w:t>
      </w:r>
      <w:r>
        <w:rPr>
          <w:b/>
          <w:bCs/>
        </w:rPr>
        <w:t xml:space="preserve"> </w:t>
      </w:r>
      <w:r>
        <w:t xml:space="preserve">Dominio welfaristico (sussidi, indennità, spesa assistenziale)</w:t>
      </w:r>
    </w:p>
    <w:p>
      <w:pPr>
        <w:pStyle w:val="BodyText"/>
      </w:pPr>
      <w:r>
        <w:rPr>
          <w:b/>
          <w:bCs/>
        </w:rPr>
        <w:t xml:space="preserve">9.6</w:t>
      </w:r>
      <w:r>
        <w:rPr>
          <w:b/>
          <w:bCs/>
        </w:rPr>
        <w:t xml:space="preserve"> </w:t>
      </w:r>
      <w:r>
        <w:t xml:space="preserve">Dominio prevenzionalistico (prevenzione primaria, secondaria e terziaria; ricadute e cronicizzazioni evitate)</w:t>
      </w:r>
    </w:p>
    <w:p>
      <w:pPr>
        <w:pStyle w:val="BodyText"/>
      </w:pPr>
      <w:r>
        <w:rPr>
          <w:b/>
          <w:bCs/>
        </w:rPr>
        <w:t xml:space="preserve">9.7</w:t>
      </w:r>
      <w:r>
        <w:rPr>
          <w:b/>
          <w:bCs/>
        </w:rPr>
        <w:t xml:space="preserve"> </w:t>
      </w:r>
      <w:r>
        <w:t xml:space="preserve">Dominio criminologico (relazione tra disagio psichico e devianza, costi della giustizia, recidiva)</w:t>
      </w:r>
    </w:p>
    <w:p>
      <w:pPr>
        <w:pStyle w:val="BodyText"/>
      </w:pPr>
      <w:r>
        <w:rPr>
          <w:b/>
          <w:bCs/>
        </w:rPr>
        <w:t xml:space="preserve">9.8</w:t>
      </w:r>
      <w:r>
        <w:rPr>
          <w:b/>
          <w:bCs/>
        </w:rPr>
        <w:t xml:space="preserve"> </w:t>
      </w:r>
      <w:r>
        <w:t xml:space="preserve">Dominio burocratico (semplificazione, riduzione degli adempimenti, efficienza amministrativa)</w:t>
      </w:r>
    </w:p>
    <w:p>
      <w:pPr>
        <w:pStyle w:val="BodyText"/>
      </w:pPr>
      <w:r>
        <w:rPr>
          <w:b/>
          <w:bCs/>
        </w:rPr>
        <w:t xml:space="preserve">9.9</w:t>
      </w:r>
      <w:r>
        <w:rPr>
          <w:b/>
          <w:bCs/>
        </w:rPr>
        <w:t xml:space="preserve"> </w:t>
      </w:r>
      <w:r>
        <w:t xml:space="preserve">Dominio culturale (destigmatizzazione, alfabetizzazione psicologica)</w:t>
      </w:r>
    </w:p>
    <w:p>
      <w:pPr>
        <w:pStyle w:val="BodyText"/>
      </w:pPr>
      <w:r>
        <w:rPr>
          <w:b/>
          <w:bCs/>
        </w:rPr>
        <w:t xml:space="preserve">9.10</w:t>
      </w:r>
      <w:r>
        <w:rPr>
          <w:b/>
          <w:bCs/>
        </w:rPr>
        <w:t xml:space="preserve"> </w:t>
      </w:r>
      <w:r>
        <w:t xml:space="preserve">Dominio pedagogico e scolastico (dispersione scolastica, benessere e performance degli studenti)</w:t>
      </w:r>
    </w:p>
    <w:p>
      <w:pPr>
        <w:pStyle w:val="BodyText"/>
      </w:pPr>
      <w:r>
        <w:rPr>
          <w:b/>
          <w:bCs/>
        </w:rPr>
        <w:t xml:space="preserve">9.11</w:t>
      </w:r>
      <w:r>
        <w:rPr>
          <w:b/>
          <w:bCs/>
        </w:rPr>
        <w:t xml:space="preserve"> </w:t>
      </w:r>
      <w:r>
        <w:t xml:space="preserve">Dominio accademico, della ricerca e dell’innovazione</w:t>
      </w:r>
    </w:p>
    <w:p>
      <w:pPr>
        <w:pStyle w:val="BodyText"/>
      </w:pPr>
      <w:r>
        <w:rPr>
          <w:b/>
          <w:bCs/>
        </w:rPr>
        <w:t xml:space="preserve">9.12</w:t>
      </w:r>
      <w:r>
        <w:rPr>
          <w:b/>
          <w:bCs/>
        </w:rPr>
        <w:t xml:space="preserve"> </w:t>
      </w:r>
      <w:r>
        <w:t xml:space="preserve">Dominio industriale e della salute organizzativa</w:t>
      </w:r>
    </w:p>
    <w:p>
      <w:pPr>
        <w:pStyle w:val="BodyText"/>
      </w:pPr>
      <w:r>
        <w:rPr>
          <w:b/>
          <w:bCs/>
        </w:rPr>
        <w:t xml:space="preserve">9.13</w:t>
      </w:r>
      <w:r>
        <w:rPr>
          <w:b/>
          <w:bCs/>
        </w:rPr>
        <w:t xml:space="preserve"> </w:t>
      </w:r>
      <w:r>
        <w:t xml:space="preserve">Dominio sindacale e della tutela dei lavoratori</w:t>
      </w:r>
    </w:p>
    <w:p>
      <w:pPr>
        <w:pStyle w:val="BodyText"/>
      </w:pPr>
      <w:r>
        <w:rPr>
          <w:b/>
          <w:bCs/>
        </w:rPr>
        <w:t xml:space="preserve">9.14</w:t>
      </w:r>
      <w:r>
        <w:rPr>
          <w:b/>
          <w:bCs/>
        </w:rPr>
        <w:t xml:space="preserve"> </w:t>
      </w:r>
      <w:r>
        <w:t xml:space="preserve">Dominio antropologico e del benessere delle comunità</w:t>
      </w:r>
    </w:p>
    <w:p>
      <w:pPr>
        <w:pStyle w:val="BodyText"/>
      </w:pPr>
      <w:r>
        <w:rPr>
          <w:b/>
          <w:bCs/>
        </w:rPr>
        <w:t xml:space="preserve">9.15</w:t>
      </w:r>
      <w:r>
        <w:rPr>
          <w:b/>
          <w:bCs/>
        </w:rPr>
        <w:t xml:space="preserve"> </w:t>
      </w:r>
      <w:r>
        <w:t xml:space="preserve">Dominio sociale e del capitale sociale</w:t>
      </w:r>
    </w:p>
    <w:p>
      <w:pPr>
        <w:pStyle w:val="BodyText"/>
      </w:pPr>
      <w:r>
        <w:rPr>
          <w:b/>
          <w:bCs/>
        </w:rPr>
        <w:t xml:space="preserve">9.16</w:t>
      </w:r>
      <w:r>
        <w:rPr>
          <w:b/>
          <w:bCs/>
        </w:rPr>
        <w:t xml:space="preserve"> </w:t>
      </w:r>
      <w:r>
        <w:t xml:space="preserve">Dominio finanziario e dei bilanci regionali</w:t>
      </w:r>
    </w:p>
    <w:p>
      <w:pPr>
        <w:pStyle w:val="BodyText"/>
      </w:pPr>
      <w:r>
        <w:rPr>
          <w:b/>
          <w:bCs/>
        </w:rPr>
        <w:t xml:space="preserve">9.17</w:t>
      </w:r>
      <w:r>
        <w:rPr>
          <w:b/>
          <w:bCs/>
        </w:rPr>
        <w:t xml:space="preserve"> </w:t>
      </w:r>
      <w:r>
        <w:t xml:space="preserve">L’aggregazione prudenziale dei benefici indiretti e la regola di non duplicazione</w:t>
      </w:r>
    </w:p>
    <w:bookmarkEnd w:id="1863"/>
    <w:bookmarkStart w:id="1864" w:name="X991f6d4756d6a1f43d06ebefd7be92fde54bf85"/>
    <w:p>
      <w:pPr>
        <w:pStyle w:val="Heading2"/>
      </w:pPr>
      <w:r>
        <w:rPr>
          <w:b/>
          <w:bCs/>
        </w:rPr>
        <w:t xml:space="preserve">Parte X — Valutazione economica integrata e saldo consolidato</w:t>
      </w:r>
    </w:p>
    <w:p>
      <w:pPr>
        <w:pStyle w:val="FirstParagraph"/>
      </w:pPr>
      <w:r>
        <w:rPr>
          <w:i/>
          <w:iCs/>
        </w:rPr>
        <w:t xml:space="preserve">La decima parte compone in un quadro unitario le valutazioni economiche sviluppate nelle parti precedenti. Essa applica la valutazione costo-efficacia e costo-utilità, l’analisi di impatto di bilancio per il Servizio Sanitario Regionale, il rendimento sociale dell’investimento e la sintesi multi-criterio; e restituisce il saldo economico consolidato per ciascuno scenario, tenendo rigorosamente separate le grandezze dirette da quelle indirette e le ricadute fiscali da quelle sociali. Il saldo è la sintesi quantitativa della rinegoziazione integrale dei costi e dei benefici.</w:t>
      </w:r>
    </w:p>
    <w:p>
      <w:pPr>
        <w:pStyle w:val="BodyText"/>
      </w:pPr>
      <w:r>
        <w:rPr>
          <w:b/>
          <w:bCs/>
        </w:rPr>
        <w:t xml:space="preserve">10.1</w:t>
      </w:r>
      <w:r>
        <w:rPr>
          <w:b/>
          <w:bCs/>
        </w:rPr>
        <w:t xml:space="preserve"> </w:t>
      </w:r>
      <w:r>
        <w:t xml:space="preserve">Costo-efficacia e costo-utilità (QALY, rapporto incrementale costo-efficacia)</w:t>
      </w:r>
    </w:p>
    <w:p>
      <w:pPr>
        <w:pStyle w:val="BodyText"/>
      </w:pPr>
      <w:r>
        <w:rPr>
          <w:b/>
          <w:bCs/>
        </w:rPr>
        <w:t xml:space="preserve">10.2</w:t>
      </w:r>
      <w:r>
        <w:rPr>
          <w:b/>
          <w:bCs/>
        </w:rPr>
        <w:t xml:space="preserve"> </w:t>
      </w:r>
      <w:r>
        <w:t xml:space="preserve">Analisi di impatto di bilancio per il Servizio Sanitario Regionale pugliese</w:t>
      </w:r>
    </w:p>
    <w:p>
      <w:pPr>
        <w:pStyle w:val="BodyText"/>
      </w:pPr>
      <w:r>
        <w:rPr>
          <w:b/>
          <w:bCs/>
        </w:rPr>
        <w:t xml:space="preserve">10.3</w:t>
      </w:r>
      <w:r>
        <w:rPr>
          <w:b/>
          <w:bCs/>
        </w:rPr>
        <w:t xml:space="preserve"> </w:t>
      </w:r>
      <w:r>
        <w:t xml:space="preserve">Rendimento sociale dell’investimento</w:t>
      </w:r>
    </w:p>
    <w:p>
      <w:pPr>
        <w:pStyle w:val="BodyText"/>
      </w:pPr>
      <w:r>
        <w:rPr>
          <w:b/>
          <w:bCs/>
        </w:rPr>
        <w:t xml:space="preserve">10.4</w:t>
      </w:r>
      <w:r>
        <w:rPr>
          <w:b/>
          <w:bCs/>
        </w:rPr>
        <w:t xml:space="preserve"> </w:t>
      </w:r>
      <w:r>
        <w:t xml:space="preserve">La sintesi multi-criterio (MCDA)</w:t>
      </w:r>
    </w:p>
    <w:p>
      <w:pPr>
        <w:pStyle w:val="BodyText"/>
      </w:pPr>
      <w:r>
        <w:rPr>
          <w:b/>
          <w:bCs/>
        </w:rPr>
        <w:t xml:space="preserve">10.5</w:t>
      </w:r>
      <w:r>
        <w:rPr>
          <w:b/>
          <w:bCs/>
        </w:rPr>
        <w:t xml:space="preserve"> </w:t>
      </w:r>
      <w:r>
        <w:t xml:space="preserve">Il saldo economico consolidato per scenario (grandezze dirette e indirette, ricadute fiscali e sociali, tenute distinte)</w:t>
      </w:r>
    </w:p>
    <w:bookmarkEnd w:id="1864"/>
    <w:bookmarkStart w:id="1865" w:name="Xb1b899a426b4d4002925bc6479ef474dc9cefb4"/>
    <w:p>
      <w:pPr>
        <w:pStyle w:val="Heading2"/>
      </w:pPr>
      <w:r>
        <w:rPr>
          <w:b/>
          <w:bCs/>
        </w:rPr>
        <w:t xml:space="preserve">Parte XI — Modellazione, incertezza e previsione falsificabile</w:t>
      </w:r>
    </w:p>
    <w:p>
      <w:pPr>
        <w:pStyle w:val="FirstParagraph"/>
      </w:pPr>
      <w:r>
        <w:rPr>
          <w:i/>
          <w:iCs/>
        </w:rPr>
        <w:t xml:space="preserve">L’undicesima parte sottopone i risultati alla prova dell’incertezza e li proietta nel tempo. Essa impiega il modello di Markov e la microsimulazione con i parametri invarianti del progetto, e l’analisi di sensibilità probabilistica con gli scenari; e formula previsioni falsificabili, corredate di bande e di benchmark, sulla qualità della vita delle persone, sui bilanci regionali, sulla burocrazia e l’efficienza amministrativa e sui sistemi sanitari regionali. La parte individua infine le soglie il cui superamento modifica la raccomandazione, così che la previsione resti sempre verificabile e confutabile.</w:t>
      </w:r>
    </w:p>
    <w:p>
      <w:pPr>
        <w:pStyle w:val="BodyText"/>
      </w:pPr>
      <w:r>
        <w:rPr>
          <w:b/>
          <w:bCs/>
        </w:rPr>
        <w:t xml:space="preserve">11.1</w:t>
      </w:r>
      <w:r>
        <w:rPr>
          <w:b/>
          <w:bCs/>
        </w:rPr>
        <w:t xml:space="preserve"> </w:t>
      </w:r>
      <w:r>
        <w:t xml:space="preserve">Il modello di Markov e la microsimulazione (parametri invarianti cross-regionali)</w:t>
      </w:r>
    </w:p>
    <w:p>
      <w:pPr>
        <w:pStyle w:val="BodyText"/>
      </w:pPr>
      <w:r>
        <w:rPr>
          <w:b/>
          <w:bCs/>
        </w:rPr>
        <w:t xml:space="preserve">11.2</w:t>
      </w:r>
      <w:r>
        <w:rPr>
          <w:b/>
          <w:bCs/>
        </w:rPr>
        <w:t xml:space="preserve"> </w:t>
      </w:r>
      <w:r>
        <w:t xml:space="preserve">L’analisi di sensibilità probabilistica e gli scenari</w:t>
      </w:r>
    </w:p>
    <w:p>
      <w:pPr>
        <w:pStyle w:val="BodyText"/>
      </w:pPr>
      <w:r>
        <w:rPr>
          <w:b/>
          <w:bCs/>
        </w:rPr>
        <w:t xml:space="preserve">11.3</w:t>
      </w:r>
      <w:r>
        <w:rPr>
          <w:b/>
          <w:bCs/>
        </w:rPr>
        <w:t xml:space="preserve"> </w:t>
      </w:r>
      <w:r>
        <w:t xml:space="preserve">Le previsioni falsificabili sulla qualità della vita delle persone</w:t>
      </w:r>
    </w:p>
    <w:p>
      <w:pPr>
        <w:pStyle w:val="BodyText"/>
      </w:pPr>
      <w:r>
        <w:rPr>
          <w:b/>
          <w:bCs/>
        </w:rPr>
        <w:t xml:space="preserve">11.4</w:t>
      </w:r>
      <w:r>
        <w:rPr>
          <w:b/>
          <w:bCs/>
        </w:rPr>
        <w:t xml:space="preserve"> </w:t>
      </w:r>
      <w:r>
        <w:t xml:space="preserve">Le previsioni falsificabili sui bilanci regionali</w:t>
      </w:r>
    </w:p>
    <w:p>
      <w:pPr>
        <w:pStyle w:val="BodyText"/>
      </w:pPr>
      <w:r>
        <w:rPr>
          <w:b/>
          <w:bCs/>
        </w:rPr>
        <w:t xml:space="preserve">11.5</w:t>
      </w:r>
      <w:r>
        <w:rPr>
          <w:b/>
          <w:bCs/>
        </w:rPr>
        <w:t xml:space="preserve"> </w:t>
      </w:r>
      <w:r>
        <w:t xml:space="preserve">Le previsioni falsificabili sulla burocrazia e l’efficienza amministrativa</w:t>
      </w:r>
    </w:p>
    <w:p>
      <w:pPr>
        <w:pStyle w:val="BodyText"/>
      </w:pPr>
      <w:r>
        <w:rPr>
          <w:b/>
          <w:bCs/>
        </w:rPr>
        <w:t xml:space="preserve">11.6</w:t>
      </w:r>
      <w:r>
        <w:rPr>
          <w:b/>
          <w:bCs/>
        </w:rPr>
        <w:t xml:space="preserve"> </w:t>
      </w:r>
      <w:r>
        <w:t xml:space="preserve">Le previsioni falsificabili sui sistemi sanitari regionali</w:t>
      </w:r>
    </w:p>
    <w:p>
      <w:pPr>
        <w:pStyle w:val="BodyText"/>
      </w:pPr>
      <w:r>
        <w:rPr>
          <w:b/>
          <w:bCs/>
        </w:rPr>
        <w:t xml:space="preserve">11.7</w:t>
      </w:r>
      <w:r>
        <w:rPr>
          <w:b/>
          <w:bCs/>
        </w:rPr>
        <w:t xml:space="preserve"> </w:t>
      </w:r>
      <w:r>
        <w:t xml:space="preserve">Le soglie che modificano la raccomandazione</w:t>
      </w:r>
    </w:p>
    <w:bookmarkEnd w:id="1865"/>
    <w:bookmarkStart w:id="1866" w:name="parte-xii-equità-e-impatto-distributivo"/>
    <w:p>
      <w:pPr>
        <w:pStyle w:val="Heading2"/>
      </w:pPr>
      <w:r>
        <w:rPr>
          <w:b/>
          <w:bCs/>
        </w:rPr>
        <w:t xml:space="preserve">Parte XII — Equità e impatto distributivo</w:t>
      </w:r>
    </w:p>
    <w:p>
      <w:pPr>
        <w:pStyle w:val="FirstParagraph"/>
      </w:pPr>
      <w:r>
        <w:rPr>
          <w:i/>
          <w:iCs/>
        </w:rPr>
        <w:t xml:space="preserve">La dodicesima parte valuta come gli effetti della riforma si distribuiscano tra i territori e tra le popolazioni. Essa analizza l’equità territoriale, con attenzione alle aree interne e ai divari infraregionali; l’equità tra popolazioni, per età, genere, condizione socio-economica e fragilità; l’equità di accesso in rapporto alla leva digitale e al rischio di divario digitale; e l’impatto distributivo complessivo della riforma.</w:t>
      </w:r>
    </w:p>
    <w:p>
      <w:pPr>
        <w:pStyle w:val="BodyText"/>
      </w:pPr>
      <w:r>
        <w:rPr>
          <w:b/>
          <w:bCs/>
        </w:rPr>
        <w:t xml:space="preserve">12.1</w:t>
      </w:r>
      <w:r>
        <w:rPr>
          <w:b/>
          <w:bCs/>
        </w:rPr>
        <w:t xml:space="preserve"> </w:t>
      </w:r>
      <w:r>
        <w:t xml:space="preserve">L’equità territoriale (aree interne, periferie, divari infraregionali)</w:t>
      </w:r>
    </w:p>
    <w:p>
      <w:pPr>
        <w:pStyle w:val="BodyText"/>
      </w:pPr>
      <w:r>
        <w:rPr>
          <w:b/>
          <w:bCs/>
        </w:rPr>
        <w:t xml:space="preserve">12.2</w:t>
      </w:r>
      <w:r>
        <w:rPr>
          <w:b/>
          <w:bCs/>
        </w:rPr>
        <w:t xml:space="preserve"> </w:t>
      </w:r>
      <w:r>
        <w:t xml:space="preserve">L’equità tra popolazioni (età, genere, condizione socio-economica, fragilità)</w:t>
      </w:r>
    </w:p>
    <w:p>
      <w:pPr>
        <w:pStyle w:val="BodyText"/>
      </w:pPr>
      <w:r>
        <w:rPr>
          <w:b/>
          <w:bCs/>
        </w:rPr>
        <w:t xml:space="preserve">12.3</w:t>
      </w:r>
      <w:r>
        <w:rPr>
          <w:b/>
          <w:bCs/>
        </w:rPr>
        <w:t xml:space="preserve"> </w:t>
      </w:r>
      <w:r>
        <w:t xml:space="preserve">L’equità di accesso e la leva digitale (rischio di divario digitale)</w:t>
      </w:r>
    </w:p>
    <w:p>
      <w:pPr>
        <w:pStyle w:val="BodyText"/>
      </w:pPr>
      <w:r>
        <w:rPr>
          <w:b/>
          <w:bCs/>
        </w:rPr>
        <w:t xml:space="preserve">12.4</w:t>
      </w:r>
      <w:r>
        <w:rPr>
          <w:b/>
          <w:bCs/>
        </w:rPr>
        <w:t xml:space="preserve"> </w:t>
      </w:r>
      <w:r>
        <w:t xml:space="preserve">L’impatto distributivo complessivo della riforma</w:t>
      </w:r>
    </w:p>
    <w:bookmarkEnd w:id="1866"/>
    <w:bookmarkStart w:id="1867" w:name="Xbb9498de522e01ac632cf6d0f2456a507dfd770"/>
    <w:p>
      <w:pPr>
        <w:pStyle w:val="Heading2"/>
      </w:pPr>
      <w:r>
        <w:rPr>
          <w:b/>
          <w:bCs/>
        </w:rPr>
        <w:t xml:space="preserve">Parte XIII — Profili etico-giuridico-organizzativi</w:t>
      </w:r>
    </w:p>
    <w:p>
      <w:pPr>
        <w:pStyle w:val="FirstParagraph"/>
      </w:pPr>
      <w:r>
        <w:rPr>
          <w:i/>
          <w:iCs/>
        </w:rPr>
        <w:t xml:space="preserve">La tredicesima parte espone la cornice di legittimità e di responsabilità della riforma. Essa richiama il quadro costituzionale e convenzionale e il diritto alla salute; il quadro normativo regionale e nazionale con gli atti attuativi; la protezione dei dati e la governance dell’Intelligenza Artificiale; l’etica professionale e la supervisione umana; e i profili organizzativi e di responsabilità che ne disciplinano l’attuazione.</w:t>
      </w:r>
    </w:p>
    <w:p>
      <w:pPr>
        <w:pStyle w:val="BodyText"/>
      </w:pPr>
      <w:r>
        <w:rPr>
          <w:b/>
          <w:bCs/>
        </w:rPr>
        <w:t xml:space="preserve">13.1</w:t>
      </w:r>
      <w:r>
        <w:rPr>
          <w:b/>
          <w:bCs/>
        </w:rPr>
        <w:t xml:space="preserve"> </w:t>
      </w:r>
      <w:r>
        <w:t xml:space="preserve">Il quadro costituzionale e convenzionale e il diritto alla salute</w:t>
      </w:r>
    </w:p>
    <w:p>
      <w:pPr>
        <w:pStyle w:val="BodyText"/>
      </w:pPr>
      <w:r>
        <w:rPr>
          <w:b/>
          <w:bCs/>
        </w:rPr>
        <w:t xml:space="preserve">13.2</w:t>
      </w:r>
      <w:r>
        <w:rPr>
          <w:b/>
          <w:bCs/>
        </w:rPr>
        <w:t xml:space="preserve"> </w:t>
      </w:r>
      <w:r>
        <w:t xml:space="preserve">Il quadro normativo regionale e nazionale e gli atti attuativi</w:t>
      </w:r>
    </w:p>
    <w:p>
      <w:pPr>
        <w:pStyle w:val="BodyText"/>
      </w:pPr>
      <w:r>
        <w:rPr>
          <w:b/>
          <w:bCs/>
        </w:rPr>
        <w:t xml:space="preserve">13.3</w:t>
      </w:r>
      <w:r>
        <w:rPr>
          <w:b/>
          <w:bCs/>
        </w:rPr>
        <w:t xml:space="preserve"> </w:t>
      </w:r>
      <w:r>
        <w:t xml:space="preserve">La protezione dei dati e la governance dell’Intelligenza Artificiale (riservatezza, responsabilità, trasparenza)</w:t>
      </w:r>
    </w:p>
    <w:p>
      <w:pPr>
        <w:pStyle w:val="BodyText"/>
      </w:pPr>
      <w:r>
        <w:rPr>
          <w:b/>
          <w:bCs/>
        </w:rPr>
        <w:t xml:space="preserve">13.4</w:t>
      </w:r>
      <w:r>
        <w:rPr>
          <w:b/>
          <w:bCs/>
        </w:rPr>
        <w:t xml:space="preserve"> </w:t>
      </w:r>
      <w:r>
        <w:t xml:space="preserve">L’etica professionale e la supervisione umana</w:t>
      </w:r>
    </w:p>
    <w:p>
      <w:pPr>
        <w:pStyle w:val="BodyText"/>
      </w:pPr>
      <w:r>
        <w:rPr>
          <w:b/>
          <w:bCs/>
        </w:rPr>
        <w:t xml:space="preserve">13.5</w:t>
      </w:r>
      <w:r>
        <w:rPr>
          <w:b/>
          <w:bCs/>
        </w:rPr>
        <w:t xml:space="preserve"> </w:t>
      </w:r>
      <w:r>
        <w:t xml:space="preserve">I profili organizzativi e di responsabilità</w:t>
      </w:r>
    </w:p>
    <w:bookmarkEnd w:id="1867"/>
    <w:bookmarkStart w:id="1868" w:name="X1b1d8bb88a384c884edcabe91a90755361a67b8"/>
    <w:p>
      <w:pPr>
        <w:pStyle w:val="Heading2"/>
      </w:pPr>
      <w:r>
        <w:rPr>
          <w:b/>
          <w:bCs/>
        </w:rPr>
        <w:t xml:space="preserve">Parte XIV — Attuazione, fattibilità e sostenibilità</w:t>
      </w:r>
    </w:p>
    <w:p>
      <w:pPr>
        <w:pStyle w:val="FirstParagraph"/>
      </w:pPr>
      <w:r>
        <w:rPr>
          <w:i/>
          <w:iCs/>
        </w:rPr>
        <w:t xml:space="preserve">La quattordicesima parte traduce l’analisi in un percorso di realizzazione. Essa definisce la sequenza attuativa in fasi; valuta la fattibilità organizzativa e le condizioni abilitanti; espone la sostenibilità finanziaria e le coperture; tratta la gestione del rischio attuativo; e discute la scalabilità e la trasferibilità del modello, dalla Puglia al piano nazionale, in coerenza con la natura replicabile del telaio.</w:t>
      </w:r>
    </w:p>
    <w:p>
      <w:pPr>
        <w:pStyle w:val="BodyText"/>
      </w:pPr>
      <w:r>
        <w:rPr>
          <w:b/>
          <w:bCs/>
        </w:rPr>
        <w:t xml:space="preserve">14.1</w:t>
      </w:r>
      <w:r>
        <w:rPr>
          <w:b/>
          <w:bCs/>
        </w:rPr>
        <w:t xml:space="preserve"> </w:t>
      </w:r>
      <w:r>
        <w:t xml:space="preserve">La sequenza attuativa in fasi</w:t>
      </w:r>
    </w:p>
    <w:p>
      <w:pPr>
        <w:pStyle w:val="BodyText"/>
      </w:pPr>
      <w:r>
        <w:rPr>
          <w:b/>
          <w:bCs/>
        </w:rPr>
        <w:t xml:space="preserve">14.2</w:t>
      </w:r>
      <w:r>
        <w:rPr>
          <w:b/>
          <w:bCs/>
        </w:rPr>
        <w:t xml:space="preserve"> </w:t>
      </w:r>
      <w:r>
        <w:t xml:space="preserve">La fattibilità organizzativa e le condizioni abilitanti</w:t>
      </w:r>
    </w:p>
    <w:p>
      <w:pPr>
        <w:pStyle w:val="BodyText"/>
      </w:pPr>
      <w:r>
        <w:rPr>
          <w:b/>
          <w:bCs/>
        </w:rPr>
        <w:t xml:space="preserve">14.3</w:t>
      </w:r>
      <w:r>
        <w:rPr>
          <w:b/>
          <w:bCs/>
        </w:rPr>
        <w:t xml:space="preserve"> </w:t>
      </w:r>
      <w:r>
        <w:t xml:space="preserve">La sostenibilità finanziaria e le coperture</w:t>
      </w:r>
    </w:p>
    <w:p>
      <w:pPr>
        <w:pStyle w:val="BodyText"/>
      </w:pPr>
      <w:r>
        <w:rPr>
          <w:b/>
          <w:bCs/>
        </w:rPr>
        <w:t xml:space="preserve">14.4</w:t>
      </w:r>
      <w:r>
        <w:rPr>
          <w:b/>
          <w:bCs/>
        </w:rPr>
        <w:t xml:space="preserve"> </w:t>
      </w:r>
      <w:r>
        <w:t xml:space="preserve">La gestione del rischio attuativo</w:t>
      </w:r>
    </w:p>
    <w:p>
      <w:pPr>
        <w:pStyle w:val="BodyText"/>
      </w:pPr>
      <w:r>
        <w:rPr>
          <w:b/>
          <w:bCs/>
        </w:rPr>
        <w:t xml:space="preserve">14.5</w:t>
      </w:r>
      <w:r>
        <w:rPr>
          <w:b/>
          <w:bCs/>
        </w:rPr>
        <w:t xml:space="preserve"> </w:t>
      </w:r>
      <w:r>
        <w:t xml:space="preserve">La scalabilità e la trasferibilità (dalla Puglia al piano nazionale)</w:t>
      </w:r>
    </w:p>
    <w:bookmarkEnd w:id="1868"/>
    <w:bookmarkStart w:id="1869" w:name="X2dd9b640ede08e6ff617b9a1a7376bcd4da983c"/>
    <w:p>
      <w:pPr>
        <w:pStyle w:val="Heading2"/>
      </w:pPr>
      <w:r>
        <w:rPr>
          <w:b/>
          <w:bCs/>
        </w:rPr>
        <w:t xml:space="preserve">Parte XV — Monitoraggio, valutazione ex-post e sintesi multidimensionale</w:t>
      </w:r>
    </w:p>
    <w:p>
      <w:pPr>
        <w:pStyle w:val="FirstParagraph"/>
      </w:pPr>
      <w:r>
        <w:rPr>
          <w:i/>
          <w:iCs/>
        </w:rPr>
        <w:t xml:space="preserve">La quindicesima parte chiude l’opera. Essa definisce il sistema di monitoraggio e gli indicatori di esito, organizzati in un cruscotto regionale; stabilisce la valutazione ex-post e la verifica delle previsioni formulate; compone la sintesi multidimensionale dei risultati; formula le raccomandazioni per il decisore regionale e nazionale; e dichiara con franchezza il limite principale e l’agenda di consolidamento dei dati, condizione della presentazione esterna.</w:t>
      </w:r>
    </w:p>
    <w:p>
      <w:pPr>
        <w:pStyle w:val="BodyText"/>
      </w:pPr>
      <w:r>
        <w:rPr>
          <w:b/>
          <w:bCs/>
        </w:rPr>
        <w:t xml:space="preserve">15.1</w:t>
      </w:r>
      <w:r>
        <w:rPr>
          <w:b/>
          <w:bCs/>
        </w:rPr>
        <w:t xml:space="preserve"> </w:t>
      </w:r>
      <w:r>
        <w:t xml:space="preserve">Il sistema di monitoraggio e gli indicatori di esito (cruscotto regionale)</w:t>
      </w:r>
    </w:p>
    <w:p>
      <w:pPr>
        <w:pStyle w:val="BodyText"/>
      </w:pPr>
      <w:r>
        <w:rPr>
          <w:b/>
          <w:bCs/>
        </w:rPr>
        <w:t xml:space="preserve">15.2</w:t>
      </w:r>
      <w:r>
        <w:rPr>
          <w:b/>
          <w:bCs/>
        </w:rPr>
        <w:t xml:space="preserve"> </w:t>
      </w:r>
      <w:r>
        <w:t xml:space="preserve">La valutazione ex-post e la verifica delle previsioni</w:t>
      </w:r>
    </w:p>
    <w:p>
      <w:pPr>
        <w:pStyle w:val="BodyText"/>
      </w:pPr>
      <w:r>
        <w:rPr>
          <w:b/>
          <w:bCs/>
        </w:rPr>
        <w:t xml:space="preserve">15.3</w:t>
      </w:r>
      <w:r>
        <w:rPr>
          <w:b/>
          <w:bCs/>
        </w:rPr>
        <w:t xml:space="preserve"> </w:t>
      </w:r>
      <w:r>
        <w:t xml:space="preserve">La sintesi multidimensionale dei risultati</w:t>
      </w:r>
    </w:p>
    <w:p>
      <w:pPr>
        <w:pStyle w:val="BodyText"/>
      </w:pPr>
      <w:r>
        <w:rPr>
          <w:b/>
          <w:bCs/>
        </w:rPr>
        <w:t xml:space="preserve">15.4</w:t>
      </w:r>
      <w:r>
        <w:rPr>
          <w:b/>
          <w:bCs/>
        </w:rPr>
        <w:t xml:space="preserve"> </w:t>
      </w:r>
      <w:r>
        <w:t xml:space="preserve">Le raccomandazioni per il decisore regionale e nazionale</w:t>
      </w:r>
    </w:p>
    <w:p>
      <w:pPr>
        <w:pStyle w:val="BodyText"/>
      </w:pPr>
      <w:r>
        <w:rPr>
          <w:b/>
          <w:bCs/>
        </w:rPr>
        <w:t xml:space="preserve">15.5</w:t>
      </w:r>
      <w:r>
        <w:rPr>
          <w:b/>
          <w:bCs/>
        </w:rPr>
        <w:t xml:space="preserve"> </w:t>
      </w:r>
      <w:r>
        <w:t xml:space="preserve">La dichiarazione del limite principale e l’agenda di consolidamento</w:t>
      </w:r>
    </w:p>
    <w:bookmarkEnd w:id="1869"/>
    <w:bookmarkStart w:id="1870" w:name="appendici"/>
    <w:p>
      <w:pPr>
        <w:pStyle w:val="Heading2"/>
      </w:pPr>
      <w:r>
        <w:rPr>
          <w:b/>
          <w:bCs/>
        </w:rPr>
        <w:t xml:space="preserve">Appendici</w:t>
      </w:r>
    </w:p>
    <w:p>
      <w:pPr>
        <w:pStyle w:val="FirstParagraph"/>
      </w:pPr>
      <w:r>
        <w:rPr>
          <w:i/>
          <w:iCs/>
        </w:rPr>
        <w:t xml:space="preserve">Le appendici raccolgono il materiale parametrico, bibliografico e metodologico dell’opera, insieme alle schede analitiche per figura e per dominio che alimentano, rispettivamente, l’architettura della cascata e il perimetro multidisciplinare integrale.</w:t>
      </w:r>
    </w:p>
    <w:p>
      <w:pPr>
        <w:pStyle w:val="BodyText"/>
      </w:pPr>
      <w:r>
        <w:rPr>
          <w:b/>
          <w:bCs/>
        </w:rPr>
        <w:t xml:space="preserve">Appendice A</w:t>
      </w:r>
      <w:r>
        <w:rPr>
          <w:b/>
          <w:bCs/>
        </w:rPr>
        <w:t xml:space="preserve"> </w:t>
      </w:r>
      <w:r>
        <w:t xml:space="preserve">Tabelle parametriche e fonti dei dati (per figura, per dominio, per scenario)</w:t>
      </w:r>
    </w:p>
    <w:p>
      <w:pPr>
        <w:pStyle w:val="BodyText"/>
      </w:pPr>
      <w:r>
        <w:rPr>
          <w:b/>
          <w:bCs/>
        </w:rPr>
        <w:t xml:space="preserve">Appendice B</w:t>
      </w:r>
      <w:r>
        <w:rPr>
          <w:b/>
          <w:bCs/>
        </w:rPr>
        <w:t xml:space="preserve"> </w:t>
      </w:r>
      <w:r>
        <w:t xml:space="preserve">Note bibliografiche integrali e graduazione delle evidenze</w:t>
      </w:r>
    </w:p>
    <w:p>
      <w:pPr>
        <w:pStyle w:val="BodyText"/>
      </w:pPr>
      <w:r>
        <w:rPr>
          <w:b/>
          <w:bCs/>
        </w:rPr>
        <w:t xml:space="preserve">Appendice C</w:t>
      </w:r>
      <w:r>
        <w:rPr>
          <w:b/>
          <w:bCs/>
        </w:rPr>
        <w:t xml:space="preserve"> </w:t>
      </w:r>
      <w:r>
        <w:t xml:space="preserve">Schede metodologiche di dettaglio (una per ciascuna metodologia innestata)</w:t>
      </w:r>
    </w:p>
    <w:p>
      <w:pPr>
        <w:pStyle w:val="BodyText"/>
      </w:pPr>
      <w:r>
        <w:rPr>
          <w:b/>
          <w:bCs/>
        </w:rPr>
        <w:t xml:space="preserve">Appendice D</w:t>
      </w:r>
      <w:r>
        <w:rPr>
          <w:b/>
          <w:bCs/>
        </w:rPr>
        <w:t xml:space="preserve"> </w:t>
      </w:r>
      <w:r>
        <w:t xml:space="preserve">Schede per figura della cascata (ruolo, connessioni dirette e indirette, peso d’influenza, capacità di rientro)</w:t>
      </w:r>
    </w:p>
    <w:p>
      <w:pPr>
        <w:pStyle w:val="BodyText"/>
      </w:pPr>
      <w:r>
        <w:rPr>
          <w:b/>
          <w:bCs/>
        </w:rPr>
        <w:t xml:space="preserve">Appendice E</w:t>
      </w:r>
      <w:r>
        <w:rPr>
          <w:b/>
          <w:bCs/>
        </w:rPr>
        <w:t xml:space="preserve"> </w:t>
      </w:r>
      <w:r>
        <w:t xml:space="preserve">Schede per dominio multidisciplinare (indicatori, moltiplicatori, fonti)</w:t>
      </w:r>
    </w:p>
    <w:bookmarkEnd w:id="1870"/>
    <w:bookmarkStart w:id="1871" w:name="X22eadc9ab84fb65d2b13ad3e0af61dc4ca46ee6"/>
    <w:p>
      <w:pPr>
        <w:pStyle w:val="Heading2"/>
      </w:pPr>
      <w:r>
        <w:rPr>
          <w:b/>
          <w:bCs/>
        </w:rPr>
        <w:t xml:space="preserve">Nota conclusiva sulla natura del documento</w:t>
      </w:r>
    </w:p>
    <w:p>
      <w:pPr>
        <w:pStyle w:val="FirstParagraph"/>
      </w:pPr>
      <w:r>
        <w:t xml:space="preserve">Con la presente struttura, l’opera definitiva sulla riforma del Servizio di Psicologia di Base in Puglia dispone della propria architettura completa: quindici parti, cinque appendici, un principio ordinatore unico e un insieme di vincoli metodologici invarianti. La redazione potrà ora procedere parte per parte, nell’ordine fissato, con la garanzia che ogni contenuto trovi nella struttura la propria collocazione e che l’insieme resti, dalla prima all’ultima voce, un’unica opera coerente.</w:t>
      </w:r>
    </w:p>
    <w:p>
      <w:pPr>
        <w:pStyle w:val="BodyText"/>
      </w:pPr>
      <w:r>
        <w:t xml:space="preserve">— —</w:t>
      </w:r>
    </w:p>
    <w:p>
      <w:r>
        <w:br w:type="page"/>
      </w:r>
    </w:p>
    <w:bookmarkEnd w:id="1871"/>
    <w:bookmarkEnd w:id="1872"/>
    <w:bookmarkStart w:id="1906" w:name="Xf8af891559e30396695f44868e0998525f72133"/>
    <w:p>
      <w:pPr>
        <w:pStyle w:val="Heading1"/>
      </w:pPr>
      <w:r>
        <w:t xml:space="preserve">Appendice XVIII — Architettura integrata della riforma (V1)</w:t>
      </w:r>
    </w:p>
    <w:p>
      <w:pPr>
        <w:pStyle w:val="FirstParagraph"/>
      </w:pPr>
      <w:r>
        <w:t xml:space="preserve">Architettura integrata della riforma delle cure primarie della Regione Puglia</w:t>
      </w:r>
    </w:p>
    <w:p>
      <w:pPr>
        <w:pStyle w:val="BodyText"/>
      </w:pPr>
      <w:r>
        <w:t xml:space="preserve">Medico di Base, Psicologo di Base, Pediatra di Libera Scelta, Neurologo e Intelligenza Artificiale · Telaio evidence-based, benchmark dei venti modelli mondiali, sistema di indicatori apicali e struttura della Proposta di Legge regionale e nazionale</w:t>
      </w:r>
    </w:p>
    <w:p>
      <w:pPr>
        <w:pStyle w:val="BodyText"/>
      </w:pPr>
      <w:r>
        <w:t xml:space="preserve">Progetto «Psicologo di Base» — Regione Puglia</w:t>
      </w:r>
    </w:p>
    <w:p>
      <w:pPr>
        <w:pStyle w:val="BodyText"/>
      </w:pPr>
      <w:r>
        <w:t xml:space="preserve">Documento di architettura e impianto metodologico · Versione 1</w:t>
      </w:r>
    </w:p>
    <w:p>
      <w:pPr>
        <w:pStyle w:val="BodyText"/>
      </w:pPr>
      <w:r>
        <w:t xml:space="preserve">Modello narrativo e scientifico, evidence-based, da best-practices internazionali e letteratura multidisciplinare</w:t>
      </w:r>
    </w:p>
    <w:p>
      <w:pPr>
        <w:pStyle w:val="BodyText"/>
      </w:pPr>
      <w:r>
        <w:t xml:space="preserve">Giugno 2026</w:t>
      </w:r>
    </w:p>
    <w:p>
      <w:pPr>
        <w:pStyle w:val="BodyText"/>
      </w:pPr>
      <w:r>
        <w:t xml:space="preserve">Indice</w:t>
      </w:r>
    </w:p>
    <w:bookmarkStart w:id="1873" w:name="sintesi-direzionale"/>
    <w:p>
      <w:pPr>
        <w:pStyle w:val="Heading2"/>
      </w:pPr>
      <w:r>
        <w:t xml:space="preserve">Sintesi direzionale</w:t>
      </w:r>
    </w:p>
    <w:p>
      <w:pPr>
        <w:pStyle w:val="FirstParagraph"/>
      </w:pPr>
      <w:r>
        <w:t xml:space="preserve">Il presente documento definisce l’architettura e l’impianto metodologico di un’opera unitaria che evolve il progetto «Psicologo di Base» verso un modello integrato di cure primarie per la Regione Puglia, nel quale il medico di medicina generale, lo psicologo di base, il pediatra di libera scelta e il neurologo operano come un’unica équipe sostenuta in modo trasversale dall’Intelligenza Artificiale lungo l’intero continuum clinico — diagnosi, prevenzione, trattamento, riabilitazione e recupero. L’opera è concepita come una vera e propria Proposta di Legge regionale, dotata del corrispondente raccordo nazionale, e ne assume di conseguenza gli standard di rigore: ogni scelta organizzativa, economica e normativa è ancorata a evidenze scientifiche, a benchmark internazionali e a un sistema di indicatori misurabili.</w:t>
      </w:r>
    </w:p>
    <w:p>
      <w:pPr>
        <w:pStyle w:val="BodyText"/>
      </w:pPr>
      <w:r>
        <w:t xml:space="preserve">La novità che questo documento introduce rispetto ai materiali già prodotti nel progetto è il superamento esplicito della separazione tra le figure professionali e tra le tecnologie. Là dove la letteratura e la prassi tendono a trattare la salute mentale, la medicina generale, la pediatria, la neurologia e l’innovazione digitale come ambiti distinti, qui esse vengono ricondotte a un’unica logica di presa in carico integrata, organizzata attorno alla Casa della Comunità e governata dal modello della cura collaborativa e dalla cura per intensità crescente. Il documento si articola in sei parti: l’impianto metodologico e il principio di integrazione; il benchmark dei venti modelli mondiali più riconosciuti e la sintesi dei loro aspetti più funzionali al contesto pugliese; il sistema di indicatori apicali e variabili; la struttura della Proposta di Legge regionale; la struttura della Proposta di Legge nazionale con il relativo raccordo; e la tabella di marcia per lo sviluppo analitico delle singole parti, che procederà per consegne successive secondo il metodo di lavoro consolidato.</w:t>
      </w:r>
    </w:p>
    <w:bookmarkEnd w:id="1873"/>
    <w:bookmarkStart w:id="1877" w:name="X65ebff9faaa91c3a8d5d26591116b2ba33dc6b6"/>
    <w:p>
      <w:pPr>
        <w:pStyle w:val="Heading2"/>
      </w:pPr>
      <w:r>
        <w:t xml:space="preserve">Parte I — Impianto metodologico e principio di integrazione</w:t>
      </w:r>
    </w:p>
    <w:bookmarkStart w:id="1874" w:name="X6f0ab73350f0069093e7388ad403c47a35d5dc7"/>
    <w:p>
      <w:pPr>
        <w:pStyle w:val="Heading3"/>
      </w:pPr>
      <w:r>
        <w:t xml:space="preserve">I.1 La metodologia apicale come condizione di solidità</w:t>
      </w:r>
    </w:p>
    <w:p>
      <w:pPr>
        <w:pStyle w:val="FirstParagraph"/>
      </w:pPr>
      <w:r>
        <w:t xml:space="preserve">L’impianto metodologico dell’opera non è una premessa formale, bensì la condizione che rende le conclusioni difendibili di fronte a un decisore, a un revisore dei conti e alla comunità scientifica. Esso poggia sull’architettura valutativa già elaborata nel capitolo metodologico del progetto, che integra dieci metodologie riconosciute a livello internazionale: l’analisi costi-benefici socioeconomica, il modello dei cinque casi del Green Book britannico, l’analisi costo-efficacia e costo-utilità con il ricorso ai QALY, l’Health Technology Assessment nei suoi domini, l’analisi di impatto sul bilancio, il Social Return on Investment, l’analisi e la verifica dell’impatto della regolamentazione, la teoria del cambiamento con il quadro logico, l’analisi multicriteri e l’analisi probabilistica della sensibilità. Queste metodologie operano in modo coordinato e non alternativo: ciascuna risponde a una domanda specifica del decisore e l’insieme costituisce una catena che conduce dall’investimento pubblico iniziale al saldo di bilancio, attraverso la misurazione degli esiti clinici, sociali ed economici.</w:t>
      </w:r>
    </w:p>
    <w:p>
      <w:pPr>
        <w:pStyle w:val="BodyText"/>
      </w:pPr>
      <w:r>
        <w:t xml:space="preserve">A questa architettura il presente documento aggiunge tre criteri epistemologici che governano ogni affermazione contenuta nell’opera. Il primo è il criterio della gerarchia dell’evidenza, per cui la forza di ciascuna conclusione è esplicitamente graduata secondo la qualità delle fonti che la sostengono, distinguendo tra evidenza robusta derivante da revisioni sistematiche e studi controllati, evidenza preliminare derivante da studi pilota o da letteratura grigia, e mera plausibilità teorica. Il secondo è il criterio della prudenza contabile, per cui le proiezioni economiche adottano sistematicamente gli estremi conservativi degli intervalli e applicano il principio di non duplicazione, evitando di attribuire più volte lo stesso risparmio a cause diverse. Il terzo è il criterio della falsificabilità, per cui ogni previsione è accompagnata dall’indicazione di come potrà essere verificata o smentita sui dati reali, attraverso il sistema di indicatori descritto nella terza parte. Questi tre criteri si applicano con identico rigore alle evidenze sull’Intelligenza Artificiale, il cui carattere innovativo non esime dal medesimo vaglio critico richiesto alle stime di ritorno economico in salute mentale.</w:t>
      </w:r>
    </w:p>
    <w:bookmarkEnd w:id="1874"/>
    <w:bookmarkStart w:id="1875" w:name="X639cb40316a6a1499f6e53df7662951a343731e"/>
    <w:p>
      <w:pPr>
        <w:pStyle w:val="Heading3"/>
      </w:pPr>
      <w:r>
        <w:t xml:space="preserve">I.2 Il principio di integrazione: superare la separazione tra le figure</w:t>
      </w:r>
    </w:p>
    <w:p>
      <w:pPr>
        <w:pStyle w:val="FirstParagraph"/>
      </w:pPr>
      <w:r>
        <w:t xml:space="preserve">Il principio fondante dell’opera è che la frammentazione delle competenze costituisce essa stessa una causa di inefficienza clinica ed economica. Il paziente che si presenta alle cure primarie raramente porta un problema appartenente a una sola disciplina: il disturbo dell’umore si accompagna a patologie croniche di pertinenza del medico di base, il disagio dell’adolescente intercetta la pediatria e la psicologia, il declino cognitivo dell’anziano coinvolge simultaneamente la neurologia, la medicina generale e il sostegno psicologico al paziente e al caregiver. Trattare queste dimensioni in silos separati produce duplicazione di accessi, ritardi diagnostici, invii impropri al secondo livello e una presa in carico discontinua. L’integrazione non è dunque un valore aggiunto facoltativo, ma la risposta strutturale a un bisogno che è per sua natura multidimensionale.</w:t>
      </w:r>
    </w:p>
    <w:p>
      <w:pPr>
        <w:pStyle w:val="BodyText"/>
      </w:pPr>
      <w:r>
        <w:t xml:space="preserve">Il modello integrato qui proposto ricolloca le quattro figure professionali e l’Intelligenza Artificiale entro un’unica logica di presa in carico. Il medico di medicina generale è il primo contatto e il coordinatore della cura, titolare della relazione di fiducia con il paziente e della responsabilità di gatekeeping verso i livelli specialistici. Lo psicologo di base fornisce la risposta psicologica di primo livello direttamente all’interno del setting delle cure primarie, secondo una logica di intervento precoce e di demedicalizzazione del disagio comune. Il pediatra di libera scelta estende il modello all’età evolutiva, presidiando lo sviluppo neuropsicologico, i disturbi del comportamento e la relazione con la famiglia e la scuola. Il neurologo assicura l’integrazione specialistica per le condizioni a confine tra neurologia e psicologia, dalla diagnosi precoce delle demenze alla riabilitazione post-ictus, dalla gestione della cefalea e dell’epilessia ai disturbi del neurosviluppo. L’Intelligenza Artificiale, infine, non è un quinto attore separato, ma l’infrastruttura abilitante che attraversa orizzontalmente tutte le figure e tutte le fasi del continuum, sostenendo la diagnosi, la stratificazione del rischio, la prevenzione, l’aderenza al trattamento, il monitoraggio a distanza e la documentazione clinica.</w:t>
      </w:r>
    </w:p>
    <w:p>
      <w:pPr>
        <w:pStyle w:val="BodyText"/>
      </w:pPr>
      <w:r>
        <w:t xml:space="preserve">L’integrazione si realizza concretamente attraverso quattro meccanismi, che la letteratura internazionale ha validato e che la quarta parte traduce in articolato normativo. Il primo è la condivisione dei percorsi diagnostico-terapeutici assistenziali, che definiscono in modo esplicito chi fa che cosa, quando e con quali criteri di passaggio tra figure. Il secondo è l’adozione del modello della cura collaborativa, che introduce la figura del responsabile della presa in carico e la consulenza specialistica strutturata, superando la logica del semplice invio. Il terzo è la condivisione dell’infrastruttura digitale, a partire dal Fascicolo Sanitario Elettronico potenziato dall’Intelligenza Artificiale, che rende disponibile a tutte le figure un quadro informativo unitario. Il quarto è l’unificazione del sistema di misurazione degli esiti, descritto nella terza parte, che consente di valutare il valore prodotto dall’intera équipe e non dai singoli professionisti isolatamente.</w:t>
      </w:r>
    </w:p>
    <w:bookmarkEnd w:id="1875"/>
    <w:bookmarkStart w:id="1876" w:name="Xa0dccbaa1baa82e1e09b1ff5c84d4ceb4f8c5a7"/>
    <w:p>
      <w:pPr>
        <w:pStyle w:val="Heading3"/>
      </w:pPr>
      <w:r>
        <w:t xml:space="preserve">I.3 Il continuum assistenziale come asse portante</w:t>
      </w:r>
    </w:p>
    <w:p>
      <w:pPr>
        <w:pStyle w:val="FirstParagraph"/>
      </w:pPr>
      <w:r>
        <w:t xml:space="preserve">L’asse lungo il quale si dispiega l’integrazione è il continuum assistenziale, articolato nelle cinque fasi della diagnosi, della prevenzione, del trattamento, della riabilitazione e del recupero. Ciascuna fase è il luogo di un’azione congiunta delle figure professionali e di un’applicazione specifica dell’Intelligenza Artificiale, e la struttura dell’opera segue questo asse per garantire che nessuna dimensione resti confinata a una sola disciplina. Nella fase diagnostica convergono il sospetto clinico del medico di base, lo screening psicologico strutturato, la valutazione neuroevolutiva pediatrica e la diagnostica neurologica, sostenuti da strumenti di supporto decisionale e da screening autonomi decentralizzati. Nella fase preventiva si combinano la promozione della salute, l’identificazione precoce dei fattori di rischio e la progettazione di interventi che la letteratura comportamentale ha mostrato efficaci nel modificare i comportamenti di salute. Nella fase del trattamento si articolano l’intervento psicologico per intensità crescente, la gestione farmacologica appropriata, i dispositivi terapeutici digitali su prescrizione e l’agente conversazionale sotto supervisione clinica. Nella fase riabilitativa si integrano la teleriabilitazione, il sostegno psicologico alla persona e al caregiver e il monitoraggio remoto. Nella fase del recupero si presidiano la continuità con i servizi specialistici, il riconoscimento precoce delle ricadute e la prevenzione delle riospedalizzazioni.</w:t>
      </w:r>
    </w:p>
    <w:bookmarkEnd w:id="1876"/>
    <w:bookmarkEnd w:id="1877"/>
    <w:bookmarkStart w:id="1884" w:name="X0d2110a0f5d0c33a82bc1422998cf2d8b365a76"/>
    <w:p>
      <w:pPr>
        <w:pStyle w:val="Heading2"/>
      </w:pPr>
      <w:r>
        <w:t xml:space="preserve">Parte II — Il benchmark dei venti modelli mondiali e la sintesi funzionale</w:t>
      </w:r>
    </w:p>
    <w:bookmarkStart w:id="1878" w:name="X139a56324613cb8b36ab386ad56b3251aa07091"/>
    <w:p>
      <w:pPr>
        <w:pStyle w:val="Heading3"/>
      </w:pPr>
      <w:r>
        <w:t xml:space="preserve">II.1 Criteri di selezione e di riconoscimento</w:t>
      </w:r>
    </w:p>
    <w:p>
      <w:pPr>
        <w:pStyle w:val="FirstParagraph"/>
      </w:pPr>
      <w:r>
        <w:t xml:space="preserve">La selezione dei venti modelli di riferimento risponde a un criterio esplicito di riconoscimento internazionale: sono state considerate esclusivamente strutture, istituzioni e modelli la cui autorevolezza è attestata da organizzazioni internazionali, da enti normativi, da letteratura scientifica sottoposta a revisione paritaria e dall’adozione su larga scala in sistemi sanitari avanzati. I venti modelli sono organizzati in tre grappoli funzionali, ai quali si aggiunge un ancoraggio ai contributi insigniti del Premio Nobel che forniscono il fondamento teorico multidisciplinare. Il primo grappolo riunisce gli organismi normativi e di standard internazionali, che definiscono i criteri di evidenza e di misurazione. Il secondo riunisce i modelli di integrazione tra cure primarie e salute mentale, che hanno dimostrato sul campo l’efficacia clinica ed economica dell’integrazione. Il terzo riunisce le istituzioni e i quadri regolatori della frontiera dell’Intelligenza Artificiale in sanità. Per ciascun modello il documento isola l’aspetto più funzionale al progetto pugliese, secondo la logica della sintesi selettiva richiesta: non l’adozione integrale di un modello, ma l’estrazione dei suoi elementi più adattabili al contesto regionale italiano.</w:t>
      </w:r>
    </w:p>
    <w:bookmarkEnd w:id="1878"/>
    <w:bookmarkStart w:id="1879" w:name="X4f9ced53adc6f1480726e92af4e109837802a65"/>
    <w:p>
      <w:pPr>
        <w:pStyle w:val="Heading3"/>
      </w:pPr>
      <w:r>
        <w:t xml:space="preserve">II.2 Cluster A — Organismi normativi e di standard internazionali</w:t>
      </w:r>
    </w:p>
    <w:p>
      <w:pPr>
        <w:pStyle w:val="FirstParagraph"/>
      </w:pPr>
      <w:r>
        <w:t xml:space="preserve">L’Organizzazione Mondiale della Sanità fornisce il quadro di riferimento per l’integrazione della salute mentale nelle cure primarie attraverso il programma mhGAP, che ha posto al centro la riduzione del divario di trattamento e l’erogazione di interventi di salute mentale al primo livello, e attraverso il quadro dei servizi sanitari integrati e centrati sulla persona, che costituisce il fondamento concettuale dell’integrazione qui adottata. L’Organizzazione fornisce inoltre, con i documenti sull’etica e la governance dell’Intelligenza Artificiale per la salute e con la successiva guida sui modelli multimodali di grandi dimensioni, i principi di sicurezza, equità e supervisione umana che governano l’impiego della tecnologia. L’aspetto più funzionale al progetto è il binomio tra integrazione della salute mentale nelle cure primarie e governance prudenziale dell’Intelligenza Artificiale.</w:t>
      </w:r>
    </w:p>
    <w:p>
      <w:pPr>
        <w:pStyle w:val="BodyText"/>
      </w:pPr>
      <w:r>
        <w:t xml:space="preserve">L’Organizzazione per la Cooperazione e lo Sviluppo Economico fornisce gli strumenti di benchmarking comparativo tra sistemi sanitari e la quantificazione del carico economico della cattiva salute mentale, stimato in una quota rilevante del prodotto interno lordo. L’aspetto più funzionale è la metodologia di misurazione della performance dei sistemi e la cornice macroeconomica entro cui collocare le stime di risparmio regionale. Il National Institute for Health and Care Excellence del Regno Unito fornisce il modello delle linee guida cliniche basate sull’evidenza e, attraverso il quadro di standard per le tecnologie sanitarie digitali, un sistema di classificazione del livello di evidenza richiesto alle soluzioni digitali in funzione del loro rischio. Quest’ultimo è particolarmente funzionale alla disciplina dei dispositivi terapeutici digitali e degli strumenti di Intelligenza Artificiale previsti dall’articolato. La Cochrane Collaboration fornisce il riferimento per la sintesi sistematica delle evidenze e per la gerarchia delle fonti; il gruppo di lavoro GRADE fornisce il metodo apicale di graduazione della certezza dell’evidenza e della forza delle raccomandazioni, già adottato come criterio epistemologico dell’opera. L’International Consortium for Health Outcomes Measurement fornisce gli insiemi standardizzati di esiti, comprensivi di insiemi dedicati alla depressione e all’ansia, alla demenza e all’ictus, che consentono una misurazione omogenea e confrontabile degli esiti tra le diverse figure professionali, fondamento della logica di valore integrato.</w:t>
      </w:r>
    </w:p>
    <w:bookmarkEnd w:id="1879"/>
    <w:bookmarkStart w:id="1880" w:name="Xc01c8d860a9158bb2b919096ae671ff69efd84d"/>
    <w:p>
      <w:pPr>
        <w:pStyle w:val="Heading3"/>
      </w:pPr>
      <w:r>
        <w:t xml:space="preserve">II.3 Cluster B — Modelli di integrazione cure primarie–salute mentale</w:t>
      </w:r>
    </w:p>
    <w:p>
      <w:pPr>
        <w:pStyle w:val="FirstParagraph"/>
      </w:pPr>
      <w:r>
        <w:t xml:space="preserve">Il programma britannico di terapie psicologiche, originariamente denominato Improving Access to Psychological Therapies e oggi NHS Talking Therapies, costituisce il più ampio esperimento mondiale di erogazione strutturata di psicologia al primo livello. Concepito a partire dall’argomento economico secondo cui il trattamento del disagio psicologico comune si autofinanzia attraverso la riduzione dei costi sanitari e previdenziali, esso ha introdotto la cura per intensità crescente e, soprattutto, il monitoraggio degli esiti seduta per seduta con una completezza dei dati che ha pochi eguali nei sistemi sanitari. Gli aspetti più funzionali al progetto sono tre: la logica della cura per intensità crescente, la rilevazione sistematica degli esiti come strumento di governo del servizio e di trasparenza, e l’argomento dell’autofinanziamento attraverso la riduzione dei costi indiretti. Il modello olandese del professionista di supporto alla salute mentale inserito nello studio del medico di base rappresenta l’analogo internazionale più prossimo alla figura dello psicologo di base: integrato direttamente nell’équipe della medicina generale, esso ha ridotto gli invii alla specialistica e demedicalizzato la risposta al disagio comune. L’aspetto più funzionale è il modello di inserimento della figura psicologica dentro il team del medico di base, con funzione di filtro e di redistribuzione dei compiti.</w:t>
      </w:r>
    </w:p>
    <w:p>
      <w:pPr>
        <w:pStyle w:val="BodyText"/>
      </w:pPr>
      <w:r>
        <w:t xml:space="preserve">Il modello australiano combina il rimborso pubblico delle sedute psicologiche, che ha reso accessibile l’intervento psicologico a livello di sistema, con una rete dedicata alla salute mentale giovanile che offre un punto di accesso integrato e a bassa soglia per gli adolescenti e i giovani adulti. L’aspetto più funzionale è duplice: il disegno del meccanismo di finanziamento e rimborso, e il modello di accesso integrato per l’età evolutiva, direttamente rilevante per l’integrazione del pediatra. Il modello della cura collaborativa, sviluppato e validato dal centro di riferimento dell’Università di Washington a partire dalla teoria della cura delle patologie croniche, costituisce l’intervento di integrazione tra cure primarie e salute mentale dotato della più solida base di evidenza, fondata su decine di studi controllati randomizzati. Esso introduce la figura del responsabile della presa in carico, la cura orientata all’obiettivo con aggiustamento sistematico del trattamento e la consulenza psichiatrica strutturata. È il motore concettuale dell’integrazione qui proposta, e il suo aspetto più funzionale è precisamente l’architettura della cura collaborativa, che trasforma l’invio in consulenza e la prestazione episodica in presa in carico misurata.</w:t>
      </w:r>
    </w:p>
    <w:p>
      <w:pPr>
        <w:pStyle w:val="BodyText"/>
      </w:pPr>
      <w:r>
        <w:t xml:space="preserve">A questi si aggiungono tre sistemi sanitari integrati che hanno dimostrato su grande scala l’efficacia dell’integrazione. Il sistema Kaiser Permanente fornisce il modello di gestione della salute di popolazione e di integrazione tra erogazione e dati. Il sistema sanitario dei veterani statunitensi fornisce il modello di integrazione tra salute mentale e cure primarie su scala nazionale, con co-locazione dei professionisti e cura basata sulla misurazione. Il sistema Intermountain Healthcare fornisce l’evidenza della compensazione dei costi prodotta dall’integrazione di routine nella pratica delle cure primarie. L’aspetto più funzionale di questo terzo nucleo è la dimostrazione, su popolazioni ampie, che l’integrazione produce simultaneamente miglioramento degli esiti e compensazione dei costi.</w:t>
      </w:r>
    </w:p>
    <w:bookmarkEnd w:id="1880"/>
    <w:bookmarkStart w:id="1881" w:name="X2164d5aa09146d75abea11799190eafc7dfeb01"/>
    <w:p>
      <w:pPr>
        <w:pStyle w:val="Heading3"/>
      </w:pPr>
      <w:r>
        <w:t xml:space="preserve">II.4 Cluster C — La frontiera dell’Intelligenza Artificiale in sanità</w:t>
      </w:r>
    </w:p>
    <w:p>
      <w:pPr>
        <w:pStyle w:val="FirstParagraph"/>
      </w:pPr>
      <w:r>
        <w:t xml:space="preserve">Il quadro regolatorio europeo e statunitense fornisce i principi di governance dell’Intelligenza Artificiale clinica. Il regolamento europeo sull’Intelligenza Artificiale classifica i sistemi di Intelligenza Artificiale in ambito medico tra quelli ad alto rischio, assoggettandoli a requisiti di conformità, trasparenza e sorveglianza; il quadro statunitense per il software come dispositivo medico basato su apprendimento automatico introduce il controllo predeterminato delle modifiche; le riflessioni dell’agenzia europea per i medicinali completano il quadro. L’aspetto più funzionale è la cornice di classificazione del rischio e di validazione clinica, che la quarta parte recepisce nella disciplina dell’Intelligenza Artificiale. Gli istituti accademici della frontiera forniscono i principi dell’Intelligenza Artificiale centrata sull’essere umano: l’istituto di Stanford per l’Intelligenza Artificiale centrata sull’uomo e l’iniziativa per un’Intelligenza Artificiale responsabile, sicura ed equa in sanità forniscono il principio della supervisione umana e dell’equità; gli istituti britannici dedicati alla governance algoritmica forniscono i metodi di valutazione d’impatto algoritmico e di garanzia. L’aspetto più funzionale è il principio della supervisione umana e lo strumento della valutazione d’impatto algoritmico, che si integra con l’analisi di impatto della regolamentazione.</w:t>
      </w:r>
    </w:p>
    <w:p>
      <w:pPr>
        <w:pStyle w:val="BodyText"/>
      </w:pPr>
      <w:r>
        <w:t xml:space="preserve">Le istituzioni cliniche della frontiera forniscono l’evidenza dell’implementazione su scala. Le piattaforme di Intelligenza Artificiale clinica dei grandi centri statunitensi forniscono il modello di validazione e integrazione clinica e di reti distribuite di dati. I laboratori di ricerca che hanno prodotto i risultati più citati nella diagnostica per immagini forniscono l’evidenza concreta dell’accuratezza diagnostica, già documentata nello studio sull’integrazione dell’Intelligenza Artificiale per lo screening della retinopatia e per la diagnostica oncologica. I laboratori accademici dedicati all’apprendimento automatico per la salute forniscono l’evidenza dell’Intelligenza Artificiale predittiva e preventiva per l’identificazione precoce. Infine, i gruppi di lavoro internazionali sull’Intelligenza Artificiale per la salute e i principi internazionali sull’Intelligenza Artificiale forniscono i quadri di valutazione e di benchmarking standardizzato delle soluzioni. L’aspetto più funzionale di questo nucleo è l’insieme delle evidenze di accuratezza diagnostica e di efficacia preventiva, vagliate con il medesimo rigore richiesto alle stime economiche, e i quadri internazionali di valutazione che ne consentono il confronto.</w:t>
      </w:r>
    </w:p>
    <w:bookmarkEnd w:id="1881"/>
    <w:bookmarkStart w:id="1882" w:name="Xb775714502dd64e952f10adb54e52af79db3e7e"/>
    <w:p>
      <w:pPr>
        <w:pStyle w:val="Heading3"/>
      </w:pPr>
      <w:r>
        <w:t xml:space="preserve">II.5 L’ancoraggio multidisciplinare: i contributi insigniti del Premio Nobel</w:t>
      </w:r>
    </w:p>
    <w:p>
      <w:pPr>
        <w:pStyle w:val="FirstParagraph"/>
      </w:pPr>
      <w:r>
        <w:t xml:space="preserve">Il fondamento teorico multidisciplinare dell’opera si ancora a un nucleo di contributi insigniti del Premio Nobel che attraversano l’economia, le scienze del comportamento e le scienze sociali. L’economia comportamentale, attraverso gli studi sui processi decisionali e sull’architettura delle scelte, fornisce il fondamento per la progettazione degli interventi di prevenzione e di promozione dell’aderenza, mostrando come la struttura del contesto decisionale influenzi i comportamenti di salute più di quanto faccia la sola informazione. L’approccio delle capacità fornisce il fondamento per la concezione dell’equità e del benessere come dimensioni che eccedono il reddito, orientando la progettazione degli indicatori di impatto sociale. La teoria della misurazione del benessere fornisce i criteri di robustezza per la costruzione degli indicatori. L’approccio sperimentale alla valutazione delle politiche fornisce il fondamento metodologico per la valutazione rigorosa dei programmi attraverso il confronto controllato. La teoria del governo delle risorse comuni fornisce i principi per la governance comunitaria delle risorse sanitarie del territorio. La teoria della razionalità limitata fornisce, infine, il fondamento concettuale del supporto decisionale, mostrando come strumenti che ampliano la capacità di elaborazione del professionista migliorino la qualità delle decisioni cliniche. Questi contributi non sono citati a fini di autorevolezza, ma costituiscono l’ossatura teorica che giustifica le scelte di disegno del modello e del sistema di misurazione.</w:t>
      </w:r>
    </w:p>
    <w:bookmarkEnd w:id="1882"/>
    <w:bookmarkStart w:id="1883" w:name="X95167bfe116cfecbed7901810c02d329c651529"/>
    <w:p>
      <w:pPr>
        <w:pStyle w:val="Heading3"/>
      </w:pPr>
      <w:r>
        <w:t xml:space="preserve">II.6 Sintesi funzionale: gli aspetti più utili al modello pugliese</w:t>
      </w:r>
    </w:p>
    <w:p>
      <w:pPr>
        <w:pStyle w:val="FirstParagraph"/>
      </w:pPr>
      <w:r>
        <w:t xml:space="preserve">La sintesi selettiva dei venti modelli converge su otto elementi funzionali che il modello pugliese adotta e adatta. Dal primo grappolo derivano due elementi: il sistema apicale di graduazione dell’evidenza e degli esiti standardizzati, e la cornice di classificazione del rischio per le tecnologie digitali. Dal secondo grappolo derivano quattro elementi: la cura per intensità crescente come logica di erogazione, l’architettura della cura collaborativa come motore dell’integrazione, l’inserimento della figura psicologica dentro l’équipe della medicina generale come modello organizzativo, e l’evidenza della compensazione dei costi come fondamento economico. Dal terzo grappolo derivano due elementi: la governance prudenziale dell’Intelligenza Artificiale con supervisione umana e classificazione del rischio, e l’evidenza vagliata di accuratezza diagnostica ed efficacia preventiva come base delle stime di risparmio. A questi si aggiunge, come elemento trasversale derivante dall’ancoraggio multidisciplinare, la progettazione degli interventi e degli indicatori secondo i principi delle scienze del comportamento e della misurazione del benessere.</w:t>
      </w:r>
    </w:p>
    <w:p>
      <w:pPr>
        <w:pStyle w:val="BodyText"/>
      </w:pPr>
      <w:r>
        <w:t xml:space="preserve">Questi otto elementi non vengono trapiantati, ma adattati al contesto della Regione Puglia e dell’ordinamento italiano, che dispone già di una cornice favorevole costituita dalla riforma dell’assistenza territoriale, dalle Case della Comunità, dalla programmazione nazionale di settore e dai percorsi formativi attivabili presso le istituzioni sanitarie. La sintesi funzionale costituisce il ponte tra l’evidenza internazionale e l’articolato normativo della quarta e della quinta parte.</w:t>
      </w:r>
    </w:p>
    <w:bookmarkEnd w:id="1883"/>
    <w:bookmarkEnd w:id="1884"/>
    <w:bookmarkStart w:id="1889" w:name="X39f2c6399641ece72eedfdd3be3c18fe6d4e01c"/>
    <w:p>
      <w:pPr>
        <w:pStyle w:val="Heading2"/>
      </w:pPr>
      <w:r>
        <w:t xml:space="preserve">Parte III — Il sistema di indicatori apicali e variabili</w:t>
      </w:r>
    </w:p>
    <w:bookmarkStart w:id="1885" w:name="X3715fdb3595e5cb0ad61719283471dffe716c8d"/>
    <w:p>
      <w:pPr>
        <w:pStyle w:val="Heading3"/>
      </w:pPr>
      <w:r>
        <w:t xml:space="preserve">III.1 Architettura del sistema: dalle categorie agli indici apicali</w:t>
      </w:r>
    </w:p>
    <w:p>
      <w:pPr>
        <w:pStyle w:val="FirstParagraph"/>
      </w:pPr>
      <w:r>
        <w:t xml:space="preserve">Il sistema di misurazione dell’opera evolve la batteria di indicatori già elaborata nel progetto, organizzata in otto categorie — bisogno e domanda, accesso ed equità, processo e attività, esito clinico, economici e di sostenibilità, impatto sociale e benessere, organizzativi e di integrazione, variabili complesse di sintesi — verso un’architettura a due livelli. Al livello di base operano gli indicatori elementari, che misurano singole dimensioni del servizio e sono direttamente rilevabili dai sistemi informativi e dagli strumenti di esito. Al livello apicale operano gli indici di sintesi, che aggregano gli indicatori elementari in misure composite capaci di restituire il valore complessivo prodotto dall’équipe integrata. La logica apicale risponde all’esigenza del decisore di disporre di un numero ristretto di misure di alto livello, robuste e confrontabili, senza perdere la possibilità di scomporle nelle componenti elementari per l’analisi diagnostica. Questa architettura recepisce il metodo della misurazione del benessere e degli esiti standardizzati derivante dal benchmark internazionale.</w:t>
      </w:r>
    </w:p>
    <w:bookmarkEnd w:id="1885"/>
    <w:bookmarkStart w:id="1886" w:name="iii.2-gli-indicatori-apicali-di-sintesi"/>
    <w:p>
      <w:pPr>
        <w:pStyle w:val="Heading3"/>
      </w:pPr>
      <w:r>
        <w:t xml:space="preserve">III.2 Gli indicatori apicali di sintesi</w:t>
      </w:r>
    </w:p>
    <w:p>
      <w:pPr>
        <w:pStyle w:val="FirstParagraph"/>
      </w:pPr>
      <w:r>
        <w:t xml:space="preserve">Gli indicatori apicali costituiscono il vertice del sistema e sono concepiti per misurare il valore integrato. Il primo è l’indice di valore integrato della presa in carico, che combina l’esito clinico-funzionale conseguito, la soddisfazione e l’esperienza della persona assistita e il costo complessivo della presa in carico, restituendo una misura di valore per unità di spesa. Il secondo è l’indice di appropriatezza del percorso, che misura la quota di bisogni intercettati e risolti al primo livello senza ricorso improprio alla specialistica e all’ospedale, e costituisce l’indicatore principale dell’efficacia del filtro integrato. Il terzo è l’indice di equità di accesso, che misura la riduzione delle disuguaglianze territoriali e sociali nell’accesso alla presa in carico integrata, in coerenza con l’approccio delle capacità. Il quarto è il rapporto benefici-costi consolidato, che esprime il ritorno economico dell’intero modello secondo la metodologia dell’analisi costi-benefici e dell’analisi di impatto sul bilancio, mantenuto entro le bande prudenziali già adottate nel progetto. Questi quattro indici apicali sono progettati per essere falsificabili sui dati reali e costituiscono il fondamento della clausola valutativa dell’articolato.</w:t>
      </w:r>
    </w:p>
    <w:bookmarkEnd w:id="1886"/>
    <w:bookmarkStart w:id="1887" w:name="X13ee763e3d749b25e98fb10ec017665c6d02901"/>
    <w:p>
      <w:pPr>
        <w:pStyle w:val="Heading3"/>
      </w:pPr>
      <w:r>
        <w:t xml:space="preserve">III.3 Le variabili dell’integrazione multi-professionale</w:t>
      </w:r>
    </w:p>
    <w:p>
      <w:pPr>
        <w:pStyle w:val="FirstParagraph"/>
      </w:pPr>
      <w:r>
        <w:t xml:space="preserve">L’integrazione tra le figure professionali richiede variabili dedicate che ne misurino l’effettiva realizzazione, distinguendo l’integrazione formale dall’integrazione sostanziale. Le variabili dell’integrazione misurano la quota di percorsi gestiti congiuntamente da più figure secondo i percorsi diagnostico-terapeutici condivisi, la tempestività e la qualità della consulenza specialistica entro il modello della cura collaborativa, la continuità informativa garantita dalla condivisione del Fascicolo Sanitario Elettronico, e la riduzione della duplicazione di accessi e di prestazioni che l’integrazione produce. Variabili specifiche presidiano le aree di confine: l’integrazione tra psicologia e pediatria nell’età evolutiva, misurata sui percorsi per i disturbi del neurosviluppo e del comportamento; l’integrazione tra neurologia, medicina generale e psicologia nella presa in carico del declino cognitivo e della riabilitazione post-ictus, comprensiva del sostegno al caregiver; e l’integrazione tra medicina generale e psicologia nella gestione della comorbilità tra patologia cronica e disagio psicologico. Queste variabili traducono in misura il principio di non separazione che fonda l’intera opera.</w:t>
      </w:r>
    </w:p>
    <w:bookmarkEnd w:id="1887"/>
    <w:bookmarkStart w:id="1888" w:name="X35245304fd98609a2af1dbc0adf4b2c7d31310a"/>
    <w:p>
      <w:pPr>
        <w:pStyle w:val="Heading3"/>
      </w:pPr>
      <w:r>
        <w:t xml:space="preserve">III.4 Gli indicatori specifici dell’Intelligenza Artificiale</w:t>
      </w:r>
    </w:p>
    <w:p>
      <w:pPr>
        <w:pStyle w:val="FirstParagraph"/>
      </w:pPr>
      <w:r>
        <w:t xml:space="preserve">Gli indicatori dedicati all’Intelligenza Artificiale sono vagliati con la stessa selettività applicata alle altre dimensioni e distinguono la disponibilità della tecnologia dalla realizzazione del suo valore. Essi misurano quattro aspetti. Il primo è l’accuratezza diagnostica e la prestazione clinica degli strumenti adottati, verificata su dati locali e non assunta dalla letteratura. Il secondo è la profondità di adozione, ossia la misura in cui gli strumenti sono effettivamente integrati nei flussi di lavoro e non meramente disponibili, riconosciuta come variabile critica del ritorno economico. Il terzo è la sicurezza, comprensiva della supervisione umana, della gestione degli eventi avversi e del controllo dell’affidamento acritico. Il quarto è l’equità algoritmica, ossia l’assenza di disparità sistematiche di prestazione tra gruppi di popolazione, in coerenza con i principi di governance dell’Intelligenza Artificiale derivanti dal benchmark. Questi indicatori alimentano la valutazione d’impatto algoritmico prevista dall’articolato e si raccordano con gli indici apicali di valore e di equità.</w:t>
      </w:r>
    </w:p>
    <w:bookmarkEnd w:id="1888"/>
    <w:bookmarkEnd w:id="1889"/>
    <w:bookmarkStart w:id="1899" w:name="X1a9aac5b527cb20ed95fb0a18a65cf8e5ceed5c"/>
    <w:p>
      <w:pPr>
        <w:pStyle w:val="Heading2"/>
      </w:pPr>
      <w:r>
        <w:t xml:space="preserve">Parte IV — La struttura della Proposta di Legge regionale</w:t>
      </w:r>
    </w:p>
    <w:bookmarkStart w:id="1890" w:name="X4c43125ad4a25026122d08e01eb98757f1f0a22"/>
    <w:p>
      <w:pPr>
        <w:pStyle w:val="Heading3"/>
      </w:pPr>
      <w:r>
        <w:t xml:space="preserve">IV.1 Impianto e raccordo con l’articolato esistente</w:t>
      </w:r>
    </w:p>
    <w:p>
      <w:pPr>
        <w:pStyle w:val="FirstParagraph"/>
      </w:pPr>
      <w:r>
        <w:t xml:space="preserve">La Proposta di Legge regionale evolve l’articolato già elaborato per lo Psicologo di Base verso una struttura per titoli che recepisce il modello integrato. L’articolato vigente, organizzato in quattordici articoli, viene riorganizzato e ampliato per disciplinare l’intera équipe e l’infrastruttura di Intelligenza Artificiale, mantenendo la solidità delle clausole finanziarie e valutative e la coerenza con il quadro costituzionale di riparto delle competenze in materia di tutela della salute. La struttura per titoli che segue costituisce l’indice ragionato dell’articolato, che verrà sviluppato in norme puntuali nelle consegne successive.</w:t>
      </w:r>
    </w:p>
    <w:bookmarkEnd w:id="1890"/>
    <w:bookmarkStart w:id="1891" w:name="Xd6afe804b445b667bdea08ae51fa85c79b6e38b"/>
    <w:p>
      <w:pPr>
        <w:pStyle w:val="Heading3"/>
      </w:pPr>
      <w:r>
        <w:t xml:space="preserve">IV.2 Titolo I — Principi, finalità e definizioni</w:t>
      </w:r>
    </w:p>
    <w:p>
      <w:pPr>
        <w:pStyle w:val="FirstParagraph"/>
      </w:pPr>
      <w:r>
        <w:t xml:space="preserve">Il primo titolo stabilisce le finalità della legge, individuate nel potenziamento e nell’integrazione delle cure primarie attraverso l’azione congiunta del medico di medicina generale, dello psicologo di base, del pediatra di libera scelta e del neurologo, sostenuta dall’Intelligenza Artificiale, e nella conseguente riduzione del divario di trattamento, dei tempi di attesa e della spesa sanitaria impropria. Esso enuncia i principi di integrazione, di presa in carico centrata sulla persona, di intervento precoce, di equità di accesso e di sicurezza nell’impiego della tecnologia, e definisce i termini fondamentali, tra cui l’équipe integrata delle cure primarie, la Casa della Comunità come luogo organizzativo, la cura per intensità crescente, la cura collaborativa e l’Intelligenza Artificiale clinica.</w:t>
      </w:r>
    </w:p>
    <w:bookmarkEnd w:id="1891"/>
    <w:bookmarkStart w:id="1892" w:name="Xb549d8dd20e4fe6aeb59ac89ba5904faf6e5b0e"/>
    <w:p>
      <w:pPr>
        <w:pStyle w:val="Heading3"/>
      </w:pPr>
      <w:r>
        <w:t xml:space="preserve">IV.3 Titolo II — Il modello organizzativo integrato</w:t>
      </w:r>
    </w:p>
    <w:p>
      <w:pPr>
        <w:pStyle w:val="FirstParagraph"/>
      </w:pPr>
      <w:r>
        <w:t xml:space="preserve">Il secondo titolo disciplina la collocazione organizzativa del modello entro la Casa della Comunità e l’assistenza territoriale, definisce la composizione e il funzionamento dell’équipe integrata e ne stabilisce i ruoli: il medico di medicina generale come primo contatto e coordinatore, lo psicologo di base come erogatore della risposta psicologica di primo livello, il pediatra di libera scelta come presidio dell’età evolutiva e il neurologo come integrazione specialistica per le condizioni neuropsicologiche. Esso recepisce il modello della cura collaborativa, introducendo la funzione di responsabile della presa in carico e la consulenza specialistica strutturata, e la logica della cura per intensità crescente come criterio di erogazione.</w:t>
      </w:r>
    </w:p>
    <w:bookmarkEnd w:id="1892"/>
    <w:bookmarkStart w:id="1893" w:name="X3417bd29d9bbf777b9960d88cd1f8c89ec95852"/>
    <w:p>
      <w:pPr>
        <w:pStyle w:val="Heading3"/>
      </w:pPr>
      <w:r>
        <w:t xml:space="preserve">IV.4 Titolo III — Le funzioni integrate lungo il continuum</w:t>
      </w:r>
    </w:p>
    <w:p>
      <w:pPr>
        <w:pStyle w:val="FirstParagraph"/>
      </w:pPr>
      <w:r>
        <w:t xml:space="preserve">Il terzo titolo disciplina le funzioni dell’équipe lungo le cinque fasi del continuum assistenziale, articolandole per età e per condizione e definendo i percorsi diagnostico-terapeutici condivisi che governano l’azione congiunta delle figure. Esso disciplina la fase diagnostica, comprensiva degli screening strutturati e decentralizzati; la fase preventiva, comprensiva degli interventi di promozione della salute e di identificazione precoce del rischio; la fase del trattamento, comprensiva dell’intervento psicologico, della gestione farmacologica appropriata e dei dispositivi terapeutici digitali; la fase riabilitativa, comprensiva della teleriabilitazione e del sostegno al caregiver; e la fase del recupero, comprensiva della continuità con la specialistica e della prevenzione delle ricadute.</w:t>
      </w:r>
    </w:p>
    <w:bookmarkEnd w:id="1893"/>
    <w:bookmarkStart w:id="1894" w:name="X0b883c5e8fce064d6b493fb9c874081aeac7700"/>
    <w:p>
      <w:pPr>
        <w:pStyle w:val="Heading3"/>
      </w:pPr>
      <w:r>
        <w:t xml:space="preserve">IV.5 Titolo IV — L’Intelligenza Artificiale come infrastruttura trasversale</w:t>
      </w:r>
    </w:p>
    <w:p>
      <w:pPr>
        <w:pStyle w:val="FirstParagraph"/>
      </w:pPr>
      <w:r>
        <w:t xml:space="preserve">Il quarto titolo disciplina l’Intelligenza Artificiale come infrastruttura che attraversa tutte le figure e tutte le fasi, recependo la cornice internazionale di classificazione del rischio e di validazione clinica. Esso stabilisce i requisiti di sicurezza, trasparenza e supervisione umana, disciplina i dispositivi terapeutici digitali su prescrizione secondo un sistema di livelli di evidenza proporzionato al rischio, prevede la valutazione d’impatto algoritmico e l’equità algoritmica, e regola l’integrazione degli strumenti con il Fascicolo Sanitario Elettronico e i sistemi informativi regionali.</w:t>
      </w:r>
    </w:p>
    <w:bookmarkEnd w:id="1894"/>
    <w:bookmarkStart w:id="1895" w:name="X9bc61903435bd2bf3d19630e423e63ead51bd4a"/>
    <w:p>
      <w:pPr>
        <w:pStyle w:val="Heading3"/>
      </w:pPr>
      <w:r>
        <w:t xml:space="preserve">IV.6 Titolo V — La formazione integrata e multi-professionale</w:t>
      </w:r>
    </w:p>
    <w:p>
      <w:pPr>
        <w:pStyle w:val="FirstParagraph"/>
      </w:pPr>
      <w:r>
        <w:t xml:space="preserve">Il quinto titolo disciplina la formazione delle figure professionali all’impiego integrato dell’Intelligenza Artificiale, secondo l’architettura a quattro livelli già elaborata nel documento dedicato: la formazione universitaria, la formazione post-universitaria, la formazione continua sul lavoro e l’accompagnamento di figure competenti negli studi. Esso stabilisce il carattere multi-professionale e congiunto della formazione, affinché l’integrazione tra le figure sia appresa e non soltanto prescritta, e ne definisce i contenuti, le modalità e i criteri di accreditamento.</w:t>
      </w:r>
    </w:p>
    <w:bookmarkEnd w:id="1895"/>
    <w:bookmarkStart w:id="1896" w:name="X5adb5c4ec1ffb7d46aef2e6448c5e112fc6ae4c"/>
    <w:p>
      <w:pPr>
        <w:pStyle w:val="Heading3"/>
      </w:pPr>
      <w:r>
        <w:t xml:space="preserve">IV.7 Titolo VI — Governance, osservatorio integrato e sistemi informativi</w:t>
      </w:r>
    </w:p>
    <w:p>
      <w:pPr>
        <w:pStyle w:val="FirstParagraph"/>
      </w:pPr>
      <w:r>
        <w:t xml:space="preserve">Il sesto titolo disciplina la governance del modello, istituendo un osservatorio regionale integrato per le cure primarie che assorbe e amplia l’osservatorio per la psicologia di base, con composizione multi-professionale e funzioni di indirizzo, monitoraggio e valutazione. Esso disciplina i sistemi informativi, la condivisione del Fascicolo Sanitario Elettronico tra le figure, la telemedicina e la telepsicologia, e i meccanismi di partecipazione del territorio secondo i principi del governo delle risorse comuni.</w:t>
      </w:r>
    </w:p>
    <w:bookmarkEnd w:id="1896"/>
    <w:bookmarkStart w:id="1897" w:name="Xcb8eec12cd4e652b8140732fa029aae81284675"/>
    <w:p>
      <w:pPr>
        <w:pStyle w:val="Heading3"/>
      </w:pPr>
      <w:r>
        <w:t xml:space="preserve">IV.8 Titolo VII — Monitoraggio, valutazione e indicatori apicali</w:t>
      </w:r>
    </w:p>
    <w:p>
      <w:pPr>
        <w:pStyle w:val="FirstParagraph"/>
      </w:pPr>
      <w:r>
        <w:t xml:space="preserve">Il settimo titolo disciplina il sistema di monitoraggio e valutazione, recependo il sistema di indicatori apicali e variabili descritto nella terza parte e stabilendo la clausola valutativa che impegna la Regione a verificare periodicamente i risultati del modello sui dati reali, in coerenza con il criterio di falsificabilità. Esso definisce gli obblighi di rilevazione, i tempi della valutazione e le modalità di rendicontazione all’organo legislativo.</w:t>
      </w:r>
    </w:p>
    <w:bookmarkEnd w:id="1897"/>
    <w:bookmarkStart w:id="1898" w:name="Xf806bcfa72ab6869c62c50bfaec04fbb4b7ab14"/>
    <w:p>
      <w:pPr>
        <w:pStyle w:val="Heading3"/>
      </w:pPr>
      <w:r>
        <w:t xml:space="preserve">IV.9 Titolo VIII — Disposizioni finanziarie, dispiegamento e norme transitorie</w:t>
      </w:r>
    </w:p>
    <w:p>
      <w:pPr>
        <w:pStyle w:val="FirstParagraph"/>
      </w:pPr>
      <w:r>
        <w:t xml:space="preserve">L’ottavo titolo disciplina la norma finanziaria e la clausola di copertura, recependo la quantificazione degli oneri e delle fonti di copertura elaborata nella relazione tecnico-finanziaria, e stabilisce il dispiegamento scaglionato del modello secondo un profilo pluriennale che garantisce la sostenibilità del saldo. Esso reca le disposizioni transitorie e finali necessarie all’avvio del modello e al raccordo con l’assetto vigente.</w:t>
      </w:r>
    </w:p>
    <w:bookmarkEnd w:id="1898"/>
    <w:bookmarkEnd w:id="1899"/>
    <w:bookmarkStart w:id="1903" w:name="X2c47ce805b2e42afc537e7bc2bd01dcbd232815"/>
    <w:p>
      <w:pPr>
        <w:pStyle w:val="Heading2"/>
      </w:pPr>
      <w:r>
        <w:t xml:space="preserve">Parte V — La struttura della Proposta di Legge nazionale e il raccordo</w:t>
      </w:r>
    </w:p>
    <w:bookmarkStart w:id="1900" w:name="v.1-la-funzione-del-livello-nazionale"/>
    <w:p>
      <w:pPr>
        <w:pStyle w:val="Heading3"/>
      </w:pPr>
      <w:r>
        <w:t xml:space="preserve">V.1 La funzione del livello nazionale</w:t>
      </w:r>
    </w:p>
    <w:p>
      <w:pPr>
        <w:pStyle w:val="FirstParagraph"/>
      </w:pPr>
      <w:r>
        <w:t xml:space="preserve">La Proposta di Legge nazionale evolve la traccia già elaborata e svolge la funzione di stabilire i principi fondamentali per l’organizzazione del modello integrato e il suo inquadramento nei livelli essenziali di assistenza, lasciando alle Regioni l’attuazione secondo i rispettivi assetti. Essa risponde all’esigenza di garantire l’uniformità dei diritti su tutto il territorio nazionale e di consentire la candidatura della Regione Puglia come regione pilota nazionale, valorizzando il lavoro già svolto come modello replicabile.</w:t>
      </w:r>
    </w:p>
    <w:bookmarkEnd w:id="1900"/>
    <w:bookmarkStart w:id="1901" w:name="X6c7f6ae32d76646d0a6474ca6357e2881c45531"/>
    <w:p>
      <w:pPr>
        <w:pStyle w:val="Heading3"/>
      </w:pPr>
      <w:r>
        <w:t xml:space="preserve">V.2 La struttura dell’articolato nazionale</w:t>
      </w:r>
    </w:p>
    <w:p>
      <w:pPr>
        <w:pStyle w:val="FirstParagraph"/>
      </w:pPr>
      <w:r>
        <w:t xml:space="preserve">L’articolato nazionale si struttura attorno all’oggetto e ai principi, all’inquadramento del modello integrato nei livelli essenziali di assistenza, ai principi fondamentali per l’organizzazione dell’équipe integrata, alle funzioni e alle attività, alla disciplina delle figure professionali e della formazione, alla disciplina dell’Intelligenza Artificiale e dei dispositivi digitali, ai sistemi informativi e alla telemedicina, all’attuazione mediante intesa in sede di Conferenza tra lo Stato e le Regioni, all’osservatorio nazionale, al monitoraggio e alla clausola valutativa, alle disposizioni finanziarie e di copertura, e alle disposizioni transitorie e finali. La relazione illustrativa e la relazione tecnica accompagnano l’articolato secondo lo standard già adottato.</w:t>
      </w:r>
    </w:p>
    <w:bookmarkEnd w:id="1901"/>
    <w:bookmarkStart w:id="1902" w:name="Xc53dae2137d6062695099e8878f141f7f9f0a88"/>
    <w:p>
      <w:pPr>
        <w:pStyle w:val="Heading3"/>
      </w:pPr>
      <w:r>
        <w:t xml:space="preserve">V.3 Il raccordo tra il livello regionale e il livello nazionale</w:t>
      </w:r>
    </w:p>
    <w:p>
      <w:pPr>
        <w:pStyle w:val="FirstParagraph"/>
      </w:pPr>
      <w:r>
        <w:t xml:space="preserve">Il raccordo tra i due livelli è governato dal riparto costituzionale delle competenze in materia di tutela della salute, che attribuisce allo Stato la determinazione dei principi fondamentali e dei livelli essenziali e alle Regioni la potestà concorrente di organizzazione. Il documento finale espliciterà la coerenza tra l’articolato regionale e quello nazionale, la sequenza di adozione e le clausole di salvaguardia che consentono alla Regione di procedere autonomamente nelle more dell’intervento nazionale, in continuità con la strategia di candidatura a regione pilota.</w:t>
      </w:r>
    </w:p>
    <w:bookmarkEnd w:id="1902"/>
    <w:bookmarkEnd w:id="1903"/>
    <w:bookmarkStart w:id="1904" w:name="X6ca5ba5edc271969f70f3bb408e2a89555772a7"/>
    <w:p>
      <w:pPr>
        <w:pStyle w:val="Heading2"/>
      </w:pPr>
      <w:r>
        <w:t xml:space="preserve">Parte VI — Tabella di marcia per lo sviluppo del documento</w:t>
      </w:r>
    </w:p>
    <w:p>
      <w:pPr>
        <w:pStyle w:val="FirstParagraph"/>
      </w:pPr>
      <w:r>
        <w:t xml:space="preserve">Lo sviluppo analitico dell’opera procederà per consegne successive, secondo il metodo di lavoro consolidato che prevede una consegna per turno con sintesi conclusiva, sviluppando ciascuna parte fino alla massima estensione consentita e validando ciascun prodotto prima di procedere al successivo. La sequenza proposta muove dall’impianto metodologico approfondito e dalla rassegna estesa dei venti modelli con la documentazione delle evidenze; prosegue con lo sviluppo del sistema di indicatori apicali nelle sue formule e nei suoi protocolli di rilevazione; sviluppa quindi l’articolato della Proposta di Legge regionale titolo per titolo, con il commento a ciascuna norma e l’ancoraggio al benchmark e all’evidenza; sviluppa l’articolato nazionale e il raccordo; e si chiude con la relazione tecnico-finanziaria consolidata e con il documento unico integrale. In ciascuna fase l’integrazione tra il medico di base, lo psicologo di base, il pediatra, il neurologo e l’Intelligenza Artificiale costituirà il criterio ordinatore, in coerenza con il principio fondante dell’opera.</w:t>
      </w:r>
    </w:p>
    <w:bookmarkEnd w:id="1904"/>
    <w:bookmarkStart w:id="1905" w:name="nota-su-fonti-e-metodo"/>
    <w:p>
      <w:pPr>
        <w:pStyle w:val="Heading2"/>
      </w:pPr>
      <w:r>
        <w:t xml:space="preserve">Nota su fonti e metodo</w:t>
      </w:r>
    </w:p>
    <w:p>
      <w:pPr>
        <w:pStyle w:val="FirstParagraph"/>
      </w:pPr>
      <w:r>
        <w:t xml:space="preserve">Il presente documento di architettura è costruito su modelli, istituzioni e quadri internazionali consolidati e verificabili e sui materiali già prodotti nel progetto. Le affermazioni relative ai modelli internazionali sono formulate al livello dell’evidenza stabile e documentata; i dati quantitativi puntuali, i testi normativi vigenti, gli emendamenti, i programmi e i dossier richiamati nello sviluppo successivo richiederanno una verifica documentale diretta sulle fonti governative, filo-governative e indipendenti, che sarà condotta nelle fasi di sviluppo analitico. Tutte le proiezioni economiche manterranno il principio prudenziale di non duplicazione e le bande già adottate nel progetto, e ogni evidenza, comprese quelle relative all’Intelligenza Artificiale, sarà graduata secondo la sua qualità.</w:t>
      </w:r>
    </w:p>
    <w:p>
      <w:r>
        <w:br w:type="page"/>
      </w:r>
    </w:p>
    <w:bookmarkEnd w:id="1905"/>
    <w:bookmarkEnd w:id="1906"/>
    <w:bookmarkStart w:id="2049" w:name="X3c5b3962175c3c129216d5df93fa3ddc58de170"/>
    <w:p>
      <w:pPr>
        <w:pStyle w:val="Heading1"/>
      </w:pPr>
      <w:r>
        <w:t xml:space="preserve">Appendice XIX — L’innesto dell’Intelligenza Artificiale nel modello organizzativo</w:t>
      </w:r>
    </w:p>
    <w:bookmarkStart w:id="2048" w:name="Xb49b7d98e550bd7c86bcb6880e909afb097531f"/>
    <w:p>
      <w:pPr>
        <w:pStyle w:val="Heading2"/>
      </w:pPr>
      <w:r>
        <w:t xml:space="preserve">Integrazione dell’Intelligenza Artificiale nel Modello Organizzativo dello</w:t>
      </w:r>
      <w:r>
        <w:t xml:space="preserve"> </w:t>
      </w:r>
      <w:r>
        <w:rPr>
          <w:b/>
          <w:bCs/>
        </w:rPr>
        <w:t xml:space="preserve">Psicologo di Base</w:t>
      </w:r>
      <w:r>
        <w:t xml:space="preserve"> </w:t>
      </w:r>
      <w:r>
        <w:t xml:space="preserve">in Puglia</w:t>
      </w:r>
    </w:p>
    <w:bookmarkStart w:id="1919" w:name="introduzione-12"/>
    <w:p>
      <w:pPr>
        <w:pStyle w:val="Heading3"/>
      </w:pPr>
      <w:r>
        <w:t xml:space="preserve">Introduzione</w:t>
      </w:r>
    </w:p>
    <w:p>
      <w:pPr>
        <w:pStyle w:val="FirstParagraph"/>
      </w:pPr>
      <w:r>
        <w:t xml:space="preserve">La Regione Puglia sta implementando il progetto</w:t>
      </w:r>
      <w:r>
        <w:t xml:space="preserve"> </w:t>
      </w:r>
      <w:r>
        <w:rPr>
          <w:b/>
          <w:bCs/>
        </w:rPr>
        <w:t xml:space="preserve">“</w:t>
      </w:r>
      <w:r>
        <w:rPr>
          <w:b/>
          <w:bCs/>
        </w:rPr>
        <w:t xml:space="preserve">Psicologo di Base</w:t>
      </w:r>
      <w:r>
        <w:rPr>
          <w:b/>
          <w:bCs/>
        </w:rPr>
        <w:t xml:space="preserve">”</w:t>
      </w:r>
      <w:r>
        <w:t xml:space="preserve"> </w:t>
      </w:r>
      <w:r>
        <w:t xml:space="preserve">per potenziare il supporto psicologico a livello territoriale, affiancando i Medici di Medicina Generale (MMG) e altri servizi di comunità. Il</w:t>
      </w:r>
      <w:r>
        <w:t xml:space="preserve"> </w:t>
      </w:r>
      <w:r>
        <w:rPr>
          <w:i/>
          <w:iCs/>
        </w:rPr>
        <w:t xml:space="preserve">Capitolo 3</w:t>
      </w:r>
      <w:r>
        <w:t xml:space="preserve"> </w:t>
      </w:r>
      <w:r>
        <w:t xml:space="preserve">del progetto definisce il</w:t>
      </w:r>
      <w:r>
        <w:t xml:space="preserve"> </w:t>
      </w:r>
      <w:r>
        <w:rPr>
          <w:b/>
          <w:bCs/>
        </w:rPr>
        <w:t xml:space="preserve">modello organizzativo</w:t>
      </w:r>
      <w:r>
        <w:t xml:space="preserve"> </w:t>
      </w:r>
      <w:r>
        <w:t xml:space="preserve">del servizio, articolato in processi chiave quali triage, presa in carico, valutazione clinica, decision making, teleconsulto, integrazione tra MMG e psicologi, percorsi assistenziali e flussi informativi. L’obiettivo strategico è migliorare</w:t>
      </w:r>
      <w:r>
        <w:t xml:space="preserve"> </w:t>
      </w:r>
      <w:r>
        <w:rPr>
          <w:b/>
          <w:bCs/>
        </w:rPr>
        <w:t xml:space="preserve">efficacia, efficienza e sostenibilità</w:t>
      </w:r>
      <w:r>
        <w:t xml:space="preserve"> </w:t>
      </w:r>
      <w:r>
        <w:t xml:space="preserve">del servizio, in risposta all’aumentata domanda di assistenza psicologica nella popolazione. Basti pensare che quasi 4 italiani su 10 hanno sperimentato disagio psicologico negli ultimi anni, ma il 68% non ha ricevuto aiuto</w:t>
      </w:r>
      <w:hyperlink r:id="rId1907">
        <w:r>
          <w:rPr>
            <w:rStyle w:val="Hyperlink"/>
          </w:rPr>
          <w:t xml:space="preserve">[1]</w:t>
        </w:r>
      </w:hyperlink>
      <w:hyperlink r:id="rId1908">
        <w:r>
          <w:rPr>
            <w:rStyle w:val="Hyperlink"/>
          </w:rPr>
          <w:t xml:space="preserve">[2]</w:t>
        </w:r>
      </w:hyperlink>
      <w:r>
        <w:t xml:space="preserve">; in particolare tra i più giovani emergono barriere di costo e accesso, tanto che un’indagine recente ha rilevato che</w:t>
      </w:r>
      <w:r>
        <w:t xml:space="preserve"> </w:t>
      </w:r>
      <w:r>
        <w:rPr>
          <w:b/>
          <w:bCs/>
        </w:rPr>
        <w:t xml:space="preserve">il 63% dei giovani sotto i 27 anni</w:t>
      </w:r>
      <w:r>
        <w:t xml:space="preserve"> </w:t>
      </w:r>
      <w:r>
        <w:t xml:space="preserve">si è rivolto a strumenti di</w:t>
      </w:r>
      <w:r>
        <w:t xml:space="preserve"> </w:t>
      </w:r>
      <w:r>
        <w:rPr>
          <w:i/>
          <w:iCs/>
        </w:rPr>
        <w:t xml:space="preserve">Intelligenza Artificiale</w:t>
      </w:r>
      <w:r>
        <w:t xml:space="preserve"> </w:t>
      </w:r>
      <w:r>
        <w:t xml:space="preserve">(come ChatGPT e chatbot simili) in momenti di difficoltà emotiva</w:t>
      </w:r>
      <w:hyperlink r:id="rId1909">
        <w:r>
          <w:rPr>
            <w:rStyle w:val="Hyperlink"/>
          </w:rPr>
          <w:t xml:space="preserve">[3]</w:t>
        </w:r>
      </w:hyperlink>
      <w:r>
        <w:t xml:space="preserve">. Questa tendenza – descritta come un ricorso all’IA quale</w:t>
      </w:r>
      <w:r>
        <w:t xml:space="preserve"> </w:t>
      </w:r>
      <w:r>
        <w:t xml:space="preserve">“</w:t>
      </w:r>
      <w:r>
        <w:rPr>
          <w:i/>
          <w:iCs/>
        </w:rPr>
        <w:t xml:space="preserve">pronto intervento emotivo</w:t>
      </w:r>
      <w:r>
        <w:t xml:space="preserve">”</w:t>
      </w:r>
      <w:r>
        <w:t xml:space="preserve"> </w:t>
      </w:r>
      <w:r>
        <w:t xml:space="preserve">per supplire alle carenze di supporto immediato</w:t>
      </w:r>
      <w:hyperlink r:id="rId1910">
        <w:r>
          <w:rPr>
            <w:rStyle w:val="Hyperlink"/>
          </w:rPr>
          <w:t xml:space="preserve">[4]</w:t>
        </w:r>
      </w:hyperlink>
      <w:r>
        <w:t xml:space="preserve"> </w:t>
      </w:r>
      <w:r>
        <w:t xml:space="preserve">– evidenzia la necessità di integrare in modo sistematico le potenzialità dell’IA nel nuovo modello pugliese di psicologia di base.</w:t>
      </w:r>
    </w:p>
    <w:p>
      <w:pPr>
        <w:pStyle w:val="BodyText"/>
      </w:pPr>
      <w:r>
        <w:t xml:space="preserve">In ambito sanitario, l’</w:t>
      </w:r>
      <w:r>
        <w:rPr>
          <w:b/>
          <w:bCs/>
        </w:rPr>
        <w:t xml:space="preserve">Intelligenza Artificiale</w:t>
      </w:r>
      <w:r>
        <w:t xml:space="preserve"> </w:t>
      </w:r>
      <w:r>
        <w:t xml:space="preserve">sta rapidamente evolvendo da tecnologia sperimentale a strumento concreto di supporto clinico. In psichiatria e psicologia clinica sono già realtà applicazioni di</w:t>
      </w:r>
      <w:r>
        <w:t xml:space="preserve"> </w:t>
      </w:r>
      <w:r>
        <w:rPr>
          <w:i/>
          <w:iCs/>
        </w:rPr>
        <w:t xml:space="preserve">machine learning</w:t>
      </w:r>
      <w:r>
        <w:t xml:space="preserve"> </w:t>
      </w:r>
      <w:r>
        <w:t xml:space="preserve">per</w:t>
      </w:r>
      <w:r>
        <w:t xml:space="preserve"> </w:t>
      </w:r>
      <w:r>
        <w:rPr>
          <w:i/>
          <w:iCs/>
        </w:rPr>
        <w:t xml:space="preserve">screening</w:t>
      </w:r>
      <w:r>
        <w:t xml:space="preserve"> </w:t>
      </w:r>
      <w:r>
        <w:t xml:space="preserve">e monitoraggio dei disturbi mentali, analisi automatica del linguaggio naturale, riconoscimento di pattern comportamentali e chatbot terapeutici</w:t>
      </w:r>
      <w:hyperlink r:id="rId1911">
        <w:r>
          <w:rPr>
            <w:rStyle w:val="Hyperlink"/>
          </w:rPr>
          <w:t xml:space="preserve">[5]</w:t>
        </w:r>
      </w:hyperlink>
      <w:hyperlink r:id="rId1912">
        <w:r>
          <w:rPr>
            <w:rStyle w:val="Hyperlink"/>
          </w:rPr>
          <w:t xml:space="preserve">[6]</w:t>
        </w:r>
      </w:hyperlink>
      <w:r>
        <w:t xml:space="preserve">. Gli algoritmi di IA sanno individuare segnali deboli e connessioni tra dati eterogenei (testo scritto, voce, attività online) che sfuggirebbero all’osservatore umano, permettendo di ricavare</w:t>
      </w:r>
      <w:r>
        <w:t xml:space="preserve"> </w:t>
      </w:r>
      <w:r>
        <w:rPr>
          <w:b/>
          <w:bCs/>
        </w:rPr>
        <w:t xml:space="preserve">“</w:t>
      </w:r>
      <w:r>
        <w:rPr>
          <w:b/>
          <w:bCs/>
        </w:rPr>
        <w:t xml:space="preserve">marcatori digitali</w:t>
      </w:r>
      <w:r>
        <w:rPr>
          <w:b/>
          <w:bCs/>
        </w:rPr>
        <w:t xml:space="preserve">”</w:t>
      </w:r>
      <w:r>
        <w:t xml:space="preserve"> </w:t>
      </w:r>
      <w:r>
        <w:t xml:space="preserve">utili a predire lo stato di salute mentale di un individuo</w:t>
      </w:r>
      <w:hyperlink r:id="rId1913">
        <w:r>
          <w:rPr>
            <w:rStyle w:val="Hyperlink"/>
          </w:rPr>
          <w:t xml:space="preserve">[7]</w:t>
        </w:r>
      </w:hyperlink>
      <w:hyperlink r:id="rId1914">
        <w:r>
          <w:rPr>
            <w:rStyle w:val="Hyperlink"/>
          </w:rPr>
          <w:t xml:space="preserve">[8]</w:t>
        </w:r>
      </w:hyperlink>
      <w:r>
        <w:t xml:space="preserve">. L’analisi di grandi archivi di dati – ad es. cartelle cliniche elettroniche e dataset socio-demografici – consente di costruire modelli predittivi sempre più precisi e personalizzati, integrando il monitoraggio nel tempo del paziente con contesti di vita reali</w:t>
      </w:r>
      <w:hyperlink r:id="rId1915">
        <w:r>
          <w:rPr>
            <w:rStyle w:val="Hyperlink"/>
          </w:rPr>
          <w:t xml:space="preserve">[9]</w:t>
        </w:r>
      </w:hyperlink>
      <w:hyperlink r:id="rId1916">
        <w:r>
          <w:rPr>
            <w:rStyle w:val="Hyperlink"/>
          </w:rPr>
          <w:t xml:space="preserve">[10]</w:t>
        </w:r>
      </w:hyperlink>
      <w:r>
        <w:t xml:space="preserve">. Importante sottolineare che attualmente l’IA opera come</w:t>
      </w:r>
      <w:r>
        <w:t xml:space="preserve"> </w:t>
      </w:r>
      <w:r>
        <w:rPr>
          <w:i/>
          <w:iCs/>
        </w:rPr>
        <w:t xml:space="preserve">supporto</w:t>
      </w:r>
      <w:r>
        <w:t xml:space="preserve"> </w:t>
      </w:r>
      <w:r>
        <w:t xml:space="preserve">al clinico più che in autonomia: gli esperti insistono sulla necessità di validazione scientifica e</w:t>
      </w:r>
      <w:r>
        <w:t xml:space="preserve"> </w:t>
      </w:r>
      <w:r>
        <w:rPr>
          <w:b/>
          <w:bCs/>
        </w:rPr>
        <w:t xml:space="preserve">integrazione con il giudizio clinico</w:t>
      </w:r>
      <w:r>
        <w:t xml:space="preserve"> </w:t>
      </w:r>
      <w:r>
        <w:t xml:space="preserve">per un impiego sicuro ed efficace</w:t>
      </w:r>
      <w:hyperlink r:id="rId1917">
        <w:r>
          <w:rPr>
            <w:rStyle w:val="Hyperlink"/>
          </w:rPr>
          <w:t xml:space="preserve">[11]</w:t>
        </w:r>
      </w:hyperlink>
      <w:r>
        <w:t xml:space="preserve">. In altri termini, le soluzioni di IA devono essere strumenti nelle mani di psicologi e medici, e non sostituti, all’interno di un approccio etico e centrato sulla persona</w:t>
      </w:r>
      <w:hyperlink r:id="rId1918">
        <w:r>
          <w:rPr>
            <w:rStyle w:val="Hyperlink"/>
          </w:rPr>
          <w:t xml:space="preserve">[12]</w:t>
        </w:r>
      </w:hyperlink>
      <w:r>
        <w:t xml:space="preserve">. In questa ottica, la sfida per la Regione Puglia è sfruttare al meglio tali strumenti nella</w:t>
      </w:r>
      <w:r>
        <w:t xml:space="preserve"> </w:t>
      </w:r>
      <w:r>
        <w:rPr>
          <w:b/>
          <w:bCs/>
        </w:rPr>
        <w:t xml:space="preserve">governance e nei processi operativi</w:t>
      </w:r>
      <w:r>
        <w:t xml:space="preserve"> </w:t>
      </w:r>
      <w:r>
        <w:t xml:space="preserve">dello Psicologo di Base, massimizzando i benefici (accessibilità, tempestività, appropriatezza) e minimizzando i rischi (es. tutela della privacy, uso responsabile dei dati, equità nell’accesso alle innovazioni). Nel prosieguo, analizziamo puntualmente come l’IA può integrarsi nei processi organizzativi delineati in Capitolo 3, quali tecnologie sono già disponibili e come applicarle, l’impatto atteso in termini di efficienza ed esiti, i bisogni formativi del personale e gli insegnamenti da esperienze nazionali ed internazionali rilevanti.</w:t>
      </w:r>
    </w:p>
    <w:bookmarkEnd w:id="1919"/>
    <w:bookmarkStart w:id="1943" w:name="Xdb8b9712d0ae99d53a60f5746cca61c82549e78"/>
    <w:p>
      <w:pPr>
        <w:pStyle w:val="Heading3"/>
      </w:pPr>
      <w:r>
        <w:t xml:space="preserve">Impiego dell’IA nei Processi Organizzativi Chiave</w:t>
      </w:r>
    </w:p>
    <w:p>
      <w:pPr>
        <w:pStyle w:val="FirstParagraph"/>
      </w:pPr>
      <w:r>
        <w:t xml:space="preserve">Il modello organizzativo prevede vari step nel percorso di assistenza psicologica territoriale (dal primo contatto alla gestione dei casi complessi). Di seguito esaminiamo come le soluzioni di Intelligenza Artificiale possano essere sfruttate in ciascuna fase operativa:</w:t>
      </w:r>
    </w:p>
    <w:p>
      <w:pPr>
        <w:numPr>
          <w:ilvl w:val="0"/>
          <w:numId w:val="1001"/>
        </w:numPr>
      </w:pPr>
      <w:r>
        <w:rPr>
          <w:b/>
          <w:bCs/>
        </w:rPr>
        <w:t xml:space="preserve">Triage e stratificazione del bisogno:</w:t>
      </w:r>
      <w:r>
        <w:t xml:space="preserve"> </w:t>
      </w:r>
      <w:r>
        <w:t xml:space="preserve">L’IA può essere utilizzata per implementare sistemi di</w:t>
      </w:r>
      <w:r>
        <w:t xml:space="preserve"> </w:t>
      </w:r>
      <w:r>
        <w:rPr>
          <w:b/>
          <w:bCs/>
        </w:rPr>
        <w:t xml:space="preserve">triage automatizzato</w:t>
      </w:r>
      <w:r>
        <w:t xml:space="preserve"> </w:t>
      </w:r>
      <w:r>
        <w:t xml:space="preserve">all’accesso del servizio. Ad esempio,</w:t>
      </w:r>
      <w:r>
        <w:t xml:space="preserve"> </w:t>
      </w:r>
      <w:r>
        <w:rPr>
          <w:b/>
          <w:bCs/>
        </w:rPr>
        <w:t xml:space="preserve">chatbot intelligenti</w:t>
      </w:r>
      <w:r>
        <w:t xml:space="preserve"> </w:t>
      </w:r>
      <w:r>
        <w:t xml:space="preserve">o piattaforme di e-triage raccolgono in modo interattivo i sintomi e la storia iniziale del paziente, utilizzando algoritmi di</w:t>
      </w:r>
      <w:r>
        <w:t xml:space="preserve"> </w:t>
      </w:r>
      <w:r>
        <w:rPr>
          <w:i/>
          <w:iCs/>
        </w:rPr>
        <w:t xml:space="preserve">Natural Language Processing</w:t>
      </w:r>
      <w:r>
        <w:t xml:space="preserve"> </w:t>
      </w:r>
      <w:r>
        <w:t xml:space="preserve">(NLP) e</w:t>
      </w:r>
      <w:r>
        <w:t xml:space="preserve"> </w:t>
      </w:r>
      <w:r>
        <w:rPr>
          <w:i/>
          <w:iCs/>
        </w:rPr>
        <w:t xml:space="preserve">machine learning</w:t>
      </w:r>
      <w:r>
        <w:t xml:space="preserve"> </w:t>
      </w:r>
      <w:r>
        <w:t xml:space="preserve">per valutare la gravità del disagio e indirizzare l’utente verso il percorso assistenziale appropriato</w:t>
      </w:r>
      <w:hyperlink r:id="rId1920">
        <w:r>
          <w:rPr>
            <w:rStyle w:val="Hyperlink"/>
          </w:rPr>
          <w:t xml:space="preserve">[13]</w:t>
        </w:r>
      </w:hyperlink>
      <w:hyperlink r:id="rId1921">
        <w:r>
          <w:rPr>
            <w:rStyle w:val="Hyperlink"/>
          </w:rPr>
          <w:t xml:space="preserve">[14]</w:t>
        </w:r>
      </w:hyperlink>
      <w:r>
        <w:t xml:space="preserve">. Questi sistemi sono in grado di classificare i problemi riferiti dal paziente (ad es. ansia, depressione, stress, ecc.) e attribuire una priorità o livello di intensità di cura necessario. Nel contesto del</w:t>
      </w:r>
      <w:r>
        <w:t xml:space="preserve"> </w:t>
      </w:r>
      <w:r>
        <w:rPr>
          <w:b/>
          <w:bCs/>
        </w:rPr>
        <w:t xml:space="preserve">Psicologo di Base</w:t>
      </w:r>
      <w:r>
        <w:t xml:space="preserve">, un triage IA potrebbe distinguere i casi di bassa complessità (gestibili dal psicologo di base con interventi brevi) da quelli che richiedono un invio immediato a servizi specialistici (es. CSM per psicosi incipiente, rischio suicidario, ecc.),</w:t>
      </w:r>
      <w:r>
        <w:t xml:space="preserve"> </w:t>
      </w:r>
      <w:r>
        <w:rPr>
          <w:b/>
          <w:bCs/>
        </w:rPr>
        <w:t xml:space="preserve">riducendo i carichi impropri</w:t>
      </w:r>
      <w:r>
        <w:t xml:space="preserve"> </w:t>
      </w:r>
      <w:r>
        <w:t xml:space="preserve">sul secondo livello. Studi recenti evidenziano l’efficacia di tale approccio: un programma di triage psichiatrico assistito da IA ha mostrato concordanza nel</w:t>
      </w:r>
      <w:r>
        <w:t xml:space="preserve"> </w:t>
      </w:r>
      <w:r>
        <w:rPr>
          <w:i/>
          <w:iCs/>
        </w:rPr>
        <w:t xml:space="preserve">71%</w:t>
      </w:r>
      <w:r>
        <w:t xml:space="preserve"> </w:t>
      </w:r>
      <w:r>
        <w:t xml:space="preserve">dei casi con le decisioni dei medici, riducendo i tempi di attesa per il trattamento del</w:t>
      </w:r>
      <w:r>
        <w:t xml:space="preserve"> </w:t>
      </w:r>
      <w:r>
        <w:rPr>
          <w:b/>
          <w:bCs/>
        </w:rPr>
        <w:t xml:space="preserve">71,4%</w:t>
      </w:r>
      <w:r>
        <w:t xml:space="preserve"> </w:t>
      </w:r>
      <w:r>
        <w:t xml:space="preserve">(i pazienti ricevevano intervento entro 3 settimane dal triage digitale)</w:t>
      </w:r>
      <w:hyperlink r:id="rId1922">
        <w:r>
          <w:rPr>
            <w:rStyle w:val="Hyperlink"/>
          </w:rPr>
          <w:t xml:space="preserve">[15]</w:t>
        </w:r>
      </w:hyperlink>
      <w:hyperlink r:id="rId1923">
        <w:r>
          <w:rPr>
            <w:rStyle w:val="Hyperlink"/>
          </w:rPr>
          <w:t xml:space="preserve">[16]</w:t>
        </w:r>
      </w:hyperlink>
      <w:r>
        <w:t xml:space="preserve">. In altri termini, l’IA può accelerare la valutazione iniziale e</w:t>
      </w:r>
      <w:r>
        <w:t xml:space="preserve"> </w:t>
      </w:r>
      <w:r>
        <w:rPr>
          <w:b/>
          <w:bCs/>
        </w:rPr>
        <w:t xml:space="preserve">abbattere drasticamente i tempi di accesso</w:t>
      </w:r>
      <w:r>
        <w:t xml:space="preserve"> </w:t>
      </w:r>
      <w:r>
        <w:t xml:space="preserve">alle cure, garantendo al contempo un buon allineamento con il giudizio clinico umano. Un esempio concreto è</w:t>
      </w:r>
      <w:r>
        <w:t xml:space="preserve"> </w:t>
      </w:r>
      <w:r>
        <w:rPr>
          <w:i/>
          <w:iCs/>
        </w:rPr>
        <w:t xml:space="preserve">Limbic Access</w:t>
      </w:r>
      <w:r>
        <w:t xml:space="preserve">, chatbot adottato nei servizi NHS Talking Therapies (già IAPT) in Inghilterra: questo sistema supporta l’auto-segnalazione dei pazienti e, con una</w:t>
      </w:r>
      <w:r>
        <w:t xml:space="preserve"> </w:t>
      </w:r>
      <w:r>
        <w:rPr>
          <w:b/>
          <w:bCs/>
        </w:rPr>
        <w:t xml:space="preserve">accuratezza diagnostica del 93%</w:t>
      </w:r>
      <w:r>
        <w:t xml:space="preserve"> </w:t>
      </w:r>
      <w:r>
        <w:t xml:space="preserve">nel riconoscere i principali disturbi mentali, ha ottenuto la certificazione di dispositivo medico UKCA</w:t>
      </w:r>
      <w:hyperlink r:id="rId1924">
        <w:r>
          <w:rPr>
            <w:rStyle w:val="Hyperlink"/>
          </w:rPr>
          <w:t xml:space="preserve">[17]</w:t>
        </w:r>
      </w:hyperlink>
      <w:hyperlink r:id="rId1925">
        <w:r>
          <w:rPr>
            <w:rStyle w:val="Hyperlink"/>
          </w:rPr>
          <w:t xml:space="preserve">[18]</w:t>
        </w:r>
      </w:hyperlink>
      <w:r>
        <w:t xml:space="preserve">. Incorporato nel percorso di terapia, il chatbot permette di</w:t>
      </w:r>
      <w:r>
        <w:t xml:space="preserve"> </w:t>
      </w:r>
      <w:r>
        <w:rPr>
          <w:b/>
          <w:bCs/>
        </w:rPr>
        <w:t xml:space="preserve">alleggerire gli operatori</w:t>
      </w:r>
      <w:r>
        <w:t xml:space="preserve"> </w:t>
      </w:r>
      <w:r>
        <w:t xml:space="preserve">dalla fase di raccolta dati e prima valutazione, con conversazioni guidate che rendono il paziente più a suo agio nel descrivere il proprio stato emotivo. Tali triage digitali migliorano la</w:t>
      </w:r>
      <w:r>
        <w:t xml:space="preserve"> </w:t>
      </w:r>
      <w:r>
        <w:rPr>
          <w:i/>
          <w:iCs/>
        </w:rPr>
        <w:t xml:space="preserve">precisione</w:t>
      </w:r>
      <w:r>
        <w:t xml:space="preserve"> </w:t>
      </w:r>
      <w:r>
        <w:t xml:space="preserve">dell’instradamento: nel caso di Limbic, l’analisi di oltre 60.000 referral ha mostrato il 45% di</w:t>
      </w:r>
      <w:r>
        <w:t xml:space="preserve"> </w:t>
      </w:r>
      <w:r>
        <w:rPr>
          <w:b/>
          <w:bCs/>
        </w:rPr>
        <w:t xml:space="preserve">riduzione dei cambi di trattamento</w:t>
      </w:r>
      <w:r>
        <w:t xml:space="preserve"> </w:t>
      </w:r>
      <w:r>
        <w:t xml:space="preserve">successivi, segno che il paziente era stato indirizzato sin dall’inizio al livello di cura corretto</w:t>
      </w:r>
      <w:hyperlink r:id="rId1926">
        <w:r>
          <w:rPr>
            <w:rStyle w:val="Hyperlink"/>
          </w:rPr>
          <w:t xml:space="preserve">[19]</w:t>
        </w:r>
      </w:hyperlink>
      <w:r>
        <w:t xml:space="preserve">. In Puglia, l’implementazione di un sistema simile – personalizzato in lingua italiana e tarato sul contesto locale – potrebbe avvenire tramite una piattaforma regionale accessibile via web/app, integrata con il Fascicolo Sanitario Elettronico. Il cittadino che manifesta un disagio psicologico potrebbe così effettuare un</w:t>
      </w:r>
      <w:r>
        <w:t xml:space="preserve"> </w:t>
      </w:r>
      <w:r>
        <w:rPr>
          <w:i/>
          <w:iCs/>
        </w:rPr>
        <w:t xml:space="preserve">self-triage</w:t>
      </w:r>
      <w:r>
        <w:t xml:space="preserve"> </w:t>
      </w:r>
      <w:r>
        <w:t xml:space="preserve">online 24/7, ottenendo suggerimenti immediati (es. fissare un appuntamento col proprio psicologo di base, o rivolgersi al CSM in caso di segnali di allarme) e generando un report strutturato per il clinico. Ciò garantirebbe</w:t>
      </w:r>
      <w:r>
        <w:t xml:space="preserve"> </w:t>
      </w:r>
      <w:r>
        <w:rPr>
          <w:b/>
          <w:bCs/>
        </w:rPr>
        <w:t xml:space="preserve">tempi di risposta più rapidi</w:t>
      </w:r>
      <w:r>
        <w:t xml:space="preserve">, specialmente in aree rurali o per pazienti restii a rivolgersi di persona al medico; inoltre fornisce allo psicologo/MMG informazioni preliminari standardizzate prima ancora della prima visita.</w:t>
      </w:r>
    </w:p>
    <w:p>
      <w:pPr>
        <w:numPr>
          <w:ilvl w:val="0"/>
          <w:numId w:val="1001"/>
        </w:numPr>
      </w:pPr>
      <w:r>
        <w:rPr>
          <w:b/>
          <w:bCs/>
        </w:rPr>
        <w:t xml:space="preserve">Presa in carico e orientamento:</w:t>
      </w:r>
      <w:r>
        <w:t xml:space="preserve"> </w:t>
      </w:r>
      <w:r>
        <w:t xml:space="preserve">Dopo il triage, l’IA può supportare la fase di</w:t>
      </w:r>
      <w:r>
        <w:t xml:space="preserve"> </w:t>
      </w:r>
      <w:r>
        <w:rPr>
          <w:b/>
          <w:bCs/>
        </w:rPr>
        <w:t xml:space="preserve">presa in carico</w:t>
      </w:r>
      <w:r>
        <w:t xml:space="preserve"> </w:t>
      </w:r>
      <w:r>
        <w:t xml:space="preserve">vera e propria, ottimizzando l’assegnazione del paziente al percorso più idoneo e avviando il</w:t>
      </w:r>
      <w:r>
        <w:t xml:space="preserve"> </w:t>
      </w:r>
      <w:r>
        <w:rPr>
          <w:i/>
          <w:iCs/>
        </w:rPr>
        <w:t xml:space="preserve">case management</w:t>
      </w:r>
      <w:r>
        <w:t xml:space="preserve">. Un</w:t>
      </w:r>
      <w:r>
        <w:t xml:space="preserve"> </w:t>
      </w:r>
      <w:r>
        <w:rPr>
          <w:i/>
          <w:iCs/>
        </w:rPr>
        <w:t xml:space="preserve">assistente digitale</w:t>
      </w:r>
      <w:r>
        <w:t xml:space="preserve"> </w:t>
      </w:r>
      <w:r>
        <w:t xml:space="preserve">potrebbe, ad esempio, analizzare i dati raccolti (sintomi, punteggi screening, condizioni sociali) e confrontarli con protocolli evidence-based per suggerire al clinico il</w:t>
      </w:r>
      <w:r>
        <w:t xml:space="preserve"> </w:t>
      </w:r>
      <w:r>
        <w:rPr>
          <w:b/>
          <w:bCs/>
        </w:rPr>
        <w:t xml:space="preserve">percorso assistenziale</w:t>
      </w:r>
      <w:r>
        <w:t xml:space="preserve"> </w:t>
      </w:r>
      <w:r>
        <w:t xml:space="preserve">iniziale (es. supporto psicologico breve dal Psicologo di Base, oppure trattamento più intensivo). Questo equivale a un</w:t>
      </w:r>
      <w:r>
        <w:t xml:space="preserve"> </w:t>
      </w:r>
      <w:r>
        <w:rPr>
          <w:b/>
          <w:bCs/>
        </w:rPr>
        <w:t xml:space="preserve">sistema esperto</w:t>
      </w:r>
      <w:r>
        <w:t xml:space="preserve"> </w:t>
      </w:r>
      <w:r>
        <w:t xml:space="preserve">che affianca lo psicologo di base nell’elaborare un piano personalizzato. Inoltre, l’IA può aiutare a</w:t>
      </w:r>
      <w:r>
        <w:t xml:space="preserve"> </w:t>
      </w:r>
      <w:r>
        <w:rPr>
          <w:i/>
          <w:iCs/>
        </w:rPr>
        <w:t xml:space="preserve">prioritizzare</w:t>
      </w:r>
      <w:r>
        <w:t xml:space="preserve"> </w:t>
      </w:r>
      <w:r>
        <w:t xml:space="preserve">le liste di attesa individuando i pazienti più fragili o urgenti. Un caso notevole è quello del sistema di triage digitale sperimentato in Canada: l’algoritmo assegnava a ciascun paziente un livello di intensità di cura consigliato (ad es. auto-aiuto guidato vs. intervento specialistico) e proponeva specifici programmi terapeutici online; i dati indicano che oltre il</w:t>
      </w:r>
      <w:r>
        <w:t xml:space="preserve"> </w:t>
      </w:r>
      <w:r>
        <w:rPr>
          <w:b/>
          <w:bCs/>
        </w:rPr>
        <w:t xml:space="preserve">63%</w:t>
      </w:r>
      <w:r>
        <w:t xml:space="preserve"> </w:t>
      </w:r>
      <w:r>
        <w:t xml:space="preserve">dei pazienti indirizzati a interventi di bassa intensità tramite l’IA</w:t>
      </w:r>
      <w:r>
        <w:t xml:space="preserve"> </w:t>
      </w:r>
      <w:r>
        <w:rPr>
          <w:b/>
          <w:bCs/>
        </w:rPr>
        <w:t xml:space="preserve">non ha poi necessitato</w:t>
      </w:r>
      <w:r>
        <w:t xml:space="preserve"> </w:t>
      </w:r>
      <w:r>
        <w:t xml:space="preserve">di consulto psichiatrico, segno che la presa in carico iniziale era adeguata a risolvere il bisogno</w:t>
      </w:r>
      <w:hyperlink r:id="rId1923">
        <w:r>
          <w:rPr>
            <w:rStyle w:val="Hyperlink"/>
          </w:rPr>
          <w:t xml:space="preserve">[20]</w:t>
        </w:r>
      </w:hyperlink>
      <w:hyperlink r:id="rId1927">
        <w:r>
          <w:rPr>
            <w:rStyle w:val="Hyperlink"/>
          </w:rPr>
          <w:t xml:space="preserve">[21]</w:t>
        </w:r>
      </w:hyperlink>
      <w:r>
        <w:t xml:space="preserve">. In Puglia, ciò si tradurrebbe in un</w:t>
      </w:r>
      <w:r>
        <w:t xml:space="preserve"> </w:t>
      </w:r>
      <w:r>
        <w:rPr>
          <w:b/>
          <w:bCs/>
        </w:rPr>
        <w:t xml:space="preserve">migliore utilizzo delle risorse</w:t>
      </w:r>
      <w:r>
        <w:t xml:space="preserve">: i casi lievi verrebbero gestiti interamente nel primo livello (MMG+Psicologo di Base), liberando capacità nei servizi specialistici per i casi più complessi. L’IA potrebbe anche fornire al paziente informazioni e orientamento personalizzato sui servizi disponibili. Ad esempio, integrando un</w:t>
      </w:r>
      <w:r>
        <w:t xml:space="preserve"> </w:t>
      </w:r>
      <w:r>
        <w:rPr>
          <w:b/>
          <w:bCs/>
        </w:rPr>
        <w:t xml:space="preserve">motore NLP</w:t>
      </w:r>
      <w:r>
        <w:t xml:space="preserve"> </w:t>
      </w:r>
      <w:r>
        <w:t xml:space="preserve">in grado di comprendere il problema presentato, il sistema può fornire consigli immediati:</w:t>
      </w:r>
      <w:r>
        <w:t xml:space="preserve"> </w:t>
      </w:r>
      <w:r>
        <w:t xml:space="preserve">“</w:t>
      </w:r>
      <w:r>
        <w:rPr>
          <w:i/>
          <w:iCs/>
        </w:rPr>
        <w:t xml:space="preserve">Potresti beneficiare di un percorso di supporto psicologico breve presso il tuo distretto; nel frattempo ecco alcune risorse di auto-aiuto…</w:t>
      </w:r>
      <w:r>
        <w:t xml:space="preserve">”</w:t>
      </w:r>
      <w:r>
        <w:t xml:space="preserve">. Questa funzione di</w:t>
      </w:r>
      <w:r>
        <w:t xml:space="preserve"> </w:t>
      </w:r>
      <w:r>
        <w:rPr>
          <w:b/>
          <w:bCs/>
        </w:rPr>
        <w:t xml:space="preserve">orientamento attivo</w:t>
      </w:r>
      <w:r>
        <w:t xml:space="preserve"> </w:t>
      </w:r>
      <w:r>
        <w:t xml:space="preserve">è cruciale in situazioni di disagio lieve legato a isolamento, solitudine o stress socio-economico, dove l’informazione su gruppi di supporto, associazioni del territorio o servizi sociali può costituire già una prima forma di aiuto (come previsto dal progetto per lo psicologo di base)</w:t>
      </w:r>
      <w:hyperlink r:id="rId1928">
        <w:r>
          <w:rPr>
            <w:rStyle w:val="Hyperlink"/>
          </w:rPr>
          <w:t xml:space="preserve">[22]</w:t>
        </w:r>
      </w:hyperlink>
      <w:hyperlink r:id="rId1929">
        <w:r>
          <w:rPr>
            <w:rStyle w:val="Hyperlink"/>
          </w:rPr>
          <w:t xml:space="preserve">[23]</w:t>
        </w:r>
      </w:hyperlink>
      <w:r>
        <w:t xml:space="preserve">. L’IA, dunque, supporta la</w:t>
      </w:r>
      <w:r>
        <w:t xml:space="preserve"> </w:t>
      </w:r>
      <w:r>
        <w:rPr>
          <w:i/>
          <w:iCs/>
        </w:rPr>
        <w:t xml:space="preserve">presa in carico proattiva</w:t>
      </w:r>
      <w:r>
        <w:t xml:space="preserve">, assicurando che il cittadino non si senta abbandonato dopo il primo contatto ma venga guidato passo-passo nel percorso di cura appropriato.</w:t>
      </w:r>
    </w:p>
    <w:p>
      <w:pPr>
        <w:numPr>
          <w:ilvl w:val="0"/>
          <w:numId w:val="1001"/>
        </w:numPr>
      </w:pPr>
      <w:r>
        <w:rPr>
          <w:b/>
          <w:bCs/>
        </w:rPr>
        <w:t xml:space="preserve">Valutazione clinica assistita:</w:t>
      </w:r>
      <w:r>
        <w:t xml:space="preserve"> </w:t>
      </w:r>
      <w:r>
        <w:t xml:space="preserve">L’introduzione dell’IA può migliorare la</w:t>
      </w:r>
      <w:r>
        <w:t xml:space="preserve"> </w:t>
      </w:r>
      <w:r>
        <w:rPr>
          <w:b/>
          <w:bCs/>
        </w:rPr>
        <w:t xml:space="preserve">valutazione psicodiagnostica</w:t>
      </w:r>
      <w:r>
        <w:t xml:space="preserve"> </w:t>
      </w:r>
      <w:r>
        <w:t xml:space="preserve">e il monitoraggio clinico nel tempo. Strumenti basati su</w:t>
      </w:r>
      <w:r>
        <w:t xml:space="preserve"> </w:t>
      </w:r>
      <w:r>
        <w:rPr>
          <w:i/>
          <w:iCs/>
        </w:rPr>
        <w:t xml:space="preserve">machine learning</w:t>
      </w:r>
      <w:r>
        <w:t xml:space="preserve"> </w:t>
      </w:r>
      <w:r>
        <w:t xml:space="preserve">sono in grado di analizzare in modo avanzato i dati clinici del paziente (questionari psicometrici, note cliniche, trascrizioni dei colloqui, persino marcatori vocali o espressivi) per aiutare lo psicologo di base a identificare pattern rilevanti. Ad esempio, algoritmi di</w:t>
      </w:r>
      <w:r>
        <w:t xml:space="preserve"> </w:t>
      </w:r>
      <w:r>
        <w:rPr>
          <w:b/>
          <w:bCs/>
        </w:rPr>
        <w:t xml:space="preserve">analisi del linguaggio naturale</w:t>
      </w:r>
      <w:r>
        <w:t xml:space="preserve"> </w:t>
      </w:r>
      <w:r>
        <w:t xml:space="preserve">possono trascrivere le sedute (di persona o da remoto) e rilevare</w:t>
      </w:r>
      <w:r>
        <w:t xml:space="preserve"> </w:t>
      </w:r>
      <w:r>
        <w:rPr>
          <w:i/>
          <w:iCs/>
        </w:rPr>
        <w:t xml:space="preserve">sentiment</w:t>
      </w:r>
      <w:r>
        <w:t xml:space="preserve">, tono emotivo, ricorrenza di parole chiave indicative di specifici sintomi (es. negatività cognitiva e linguaggio assoluto come marcatore di depressione). Studi nell’ambito della</w:t>
      </w:r>
      <w:r>
        <w:t xml:space="preserve"> </w:t>
      </w:r>
      <w:r>
        <w:rPr>
          <w:i/>
          <w:iCs/>
        </w:rPr>
        <w:t xml:space="preserve">digital psychiatry</w:t>
      </w:r>
      <w:r>
        <w:t xml:space="preserve"> </w:t>
      </w:r>
      <w:r>
        <w:t xml:space="preserve">mostrano che modelli NLP avanzati (come BERT o GPT) possono riconoscere segnali di depressione latente nelle espressioni linguistiche con accuratezza elevata, a volte superiore all’occhio clinico non allenato</w:t>
      </w:r>
      <w:hyperlink r:id="rId1930">
        <w:r>
          <w:rPr>
            <w:rStyle w:val="Hyperlink"/>
          </w:rPr>
          <w:t xml:space="preserve">[24]</w:t>
        </w:r>
      </w:hyperlink>
      <w:hyperlink r:id="rId1931">
        <w:r>
          <w:rPr>
            <w:rStyle w:val="Hyperlink"/>
          </w:rPr>
          <w:t xml:space="preserve">[25]</w:t>
        </w:r>
      </w:hyperlink>
      <w:r>
        <w:t xml:space="preserve">. Tali modelli, allenati su grandi dataset, possono integrarsi nei software clinici: immaginando la visita dallo psicologo di base, il professionista potrebbe disporre di un</w:t>
      </w:r>
      <w:r>
        <w:t xml:space="preserve"> </w:t>
      </w:r>
      <w:r>
        <w:rPr>
          <w:b/>
          <w:bCs/>
        </w:rPr>
        <w:t xml:space="preserve">cruscotto AI</w:t>
      </w:r>
      <w:r>
        <w:t xml:space="preserve"> </w:t>
      </w:r>
      <w:r>
        <w:t xml:space="preserve">che in tempo reale analizza le informazioni raccolte (colloquio, test) e fornisce</w:t>
      </w:r>
      <w:r>
        <w:t xml:space="preserve"> </w:t>
      </w:r>
      <w:r>
        <w:rPr>
          <w:i/>
          <w:iCs/>
        </w:rPr>
        <w:t xml:space="preserve">alert</w:t>
      </w:r>
      <w:r>
        <w:t xml:space="preserve"> </w:t>
      </w:r>
      <w:r>
        <w:t xml:space="preserve">o indicatori (ad es.</w:t>
      </w:r>
      <w:r>
        <w:t xml:space="preserve"> </w:t>
      </w:r>
      <w:r>
        <w:t xml:space="preserve">“</w:t>
      </w:r>
      <w:r>
        <w:t xml:space="preserve">elevata probabilità di disturbo post-traumatico</w:t>
      </w:r>
      <w:r>
        <w:t xml:space="preserve">”</w:t>
      </w:r>
      <w:r>
        <w:t xml:space="preserve">, oppure</w:t>
      </w:r>
      <w:r>
        <w:t xml:space="preserve"> </w:t>
      </w:r>
      <w:r>
        <w:t xml:space="preserve">“</w:t>
      </w:r>
      <w:r>
        <w:t xml:space="preserve">livello di stress lavorativo severo, attenzione al burnout</w:t>
      </w:r>
      <w:r>
        <w:t xml:space="preserve">”</w:t>
      </w:r>
      <w:r>
        <w:t xml:space="preserve">). Naturalmente, la decisione diagnostica finale rimane al clinico, ma l’IA funge da</w:t>
      </w:r>
      <w:r>
        <w:t xml:space="preserve"> </w:t>
      </w:r>
      <w:r>
        <w:rPr>
          <w:i/>
          <w:iCs/>
        </w:rPr>
        <w:t xml:space="preserve">secondo paio d’occhi</w:t>
      </w:r>
      <w:r>
        <w:t xml:space="preserve"> </w:t>
      </w:r>
      <w:r>
        <w:t xml:space="preserve">che riduce il rischio di elementi trascurati. Un altro esempio è l’identificazione di</w:t>
      </w:r>
      <w:r>
        <w:t xml:space="preserve"> </w:t>
      </w:r>
      <w:r>
        <w:rPr>
          <w:b/>
          <w:bCs/>
        </w:rPr>
        <w:t xml:space="preserve">“</w:t>
      </w:r>
      <w:r>
        <w:rPr>
          <w:b/>
          <w:bCs/>
        </w:rPr>
        <w:t xml:space="preserve">digital biomarkers</w:t>
      </w:r>
      <w:r>
        <w:rPr>
          <w:b/>
          <w:bCs/>
        </w:rPr>
        <w:t xml:space="preserve">”</w:t>
      </w:r>
      <w:r>
        <w:t xml:space="preserve">: variazioni nel tono di voce, nella prosodia e nel tempo di reazione verbale del paziente lungo le sedute possono segnalare un miglioramento o peggioramento dell’umore. Algoritmi di</w:t>
      </w:r>
      <w:r>
        <w:t xml:space="preserve"> </w:t>
      </w:r>
      <w:r>
        <w:rPr>
          <w:i/>
          <w:iCs/>
        </w:rPr>
        <w:t xml:space="preserve">speech analysis</w:t>
      </w:r>
      <w:r>
        <w:t xml:space="preserve"> </w:t>
      </w:r>
      <w:r>
        <w:t xml:space="preserve">in via di sviluppo sono capaci di rilevare queste variazioni minime e quantificarle in indicatori oggettivi da seguire nel tempo</w:t>
      </w:r>
      <w:hyperlink r:id="rId1932">
        <w:r>
          <w:rPr>
            <w:rStyle w:val="Hyperlink"/>
          </w:rPr>
          <w:t xml:space="preserve">[26]</w:t>
        </w:r>
      </w:hyperlink>
      <w:hyperlink r:id="rId1914">
        <w:r>
          <w:rPr>
            <w:rStyle w:val="Hyperlink"/>
          </w:rPr>
          <w:t xml:space="preserve">[8]</w:t>
        </w:r>
      </w:hyperlink>
      <w:r>
        <w:t xml:space="preserve">. In aggiunta, l’IA può suggerire</w:t>
      </w:r>
      <w:r>
        <w:t xml:space="preserve"> </w:t>
      </w:r>
      <w:r>
        <w:rPr>
          <w:b/>
          <w:bCs/>
        </w:rPr>
        <w:t xml:space="preserve">valutazioni aggiuntive</w:t>
      </w:r>
      <w:r>
        <w:t xml:space="preserve">: ad esempio se dal colloquio emergono possibili sintomi ansiosi, il sistema potrebbe raccomandare allo psicologo di sottoporre un certo questionario validato (es. GAD-7) per quantificare la severità. Questo garantisce</w:t>
      </w:r>
      <w:r>
        <w:t xml:space="preserve"> </w:t>
      </w:r>
      <w:r>
        <w:rPr>
          <w:i/>
          <w:iCs/>
        </w:rPr>
        <w:t xml:space="preserve">omogeneità di valutazione</w:t>
      </w:r>
      <w:r>
        <w:t xml:space="preserve"> </w:t>
      </w:r>
      <w:r>
        <w:t xml:space="preserve">e aderenza alle linee guida, evitando che – nella pressione del tempo limitato – alcuni assessment standard vengano saltati. Nel lungo periodo, queste valutazioni automatizzate arricchiscono la base di dati sui pazienti pugliesi, permettendo analisi epidemiologiche e di qualità delle cure. Importante anche la dimensione di</w:t>
      </w:r>
      <w:r>
        <w:t xml:space="preserve"> </w:t>
      </w:r>
      <w:r>
        <w:rPr>
          <w:b/>
          <w:bCs/>
        </w:rPr>
        <w:t xml:space="preserve">validazione degli esiti</w:t>
      </w:r>
      <w:r>
        <w:t xml:space="preserve">: il modello organizzativo di Capitolo 3 enfatizza la valutazione dell’efficacia degli interventi (misura di outcome pre-post) e la partecipazione attiva del paziente nel feedback</w:t>
      </w:r>
      <w:hyperlink r:id="rId1928">
        <w:r>
          <w:rPr>
            <w:rStyle w:val="Hyperlink"/>
          </w:rPr>
          <w:t xml:space="preserve">[22]</w:t>
        </w:r>
      </w:hyperlink>
      <w:hyperlink r:id="rId1933">
        <w:r>
          <w:rPr>
            <w:rStyle w:val="Hyperlink"/>
          </w:rPr>
          <w:t xml:space="preserve">[27]</w:t>
        </w:r>
      </w:hyperlink>
      <w:r>
        <w:t xml:space="preserve">. L’IA può facilitare la raccolta di questi dati – ad esempio inviando automaticamente al paziente scale di monitoraggio via app/sms a cadenze prefissate – e generare report di outcome per il servizio. In sintesi, nella valutazione clinica l’IA agisce come</w:t>
      </w:r>
      <w:r>
        <w:t xml:space="preserve"> </w:t>
      </w:r>
      <w:r>
        <w:rPr>
          <w:b/>
          <w:bCs/>
        </w:rPr>
        <w:t xml:space="preserve">amplificatore cognitivo</w:t>
      </w:r>
      <w:r>
        <w:t xml:space="preserve"> </w:t>
      </w:r>
      <w:r>
        <w:t xml:space="preserve">per il professionista: analizza grandi moli di informazioni eterogenee (che vanno oltre quanto un singolo clinico potrebbe considerare) e le traduce in conoscenza fruibile per decisioni più informate.</w:t>
      </w:r>
    </w:p>
    <w:p>
      <w:pPr>
        <w:numPr>
          <w:ilvl w:val="0"/>
          <w:numId w:val="1001"/>
        </w:numPr>
      </w:pPr>
      <w:r>
        <w:rPr>
          <w:b/>
          <w:bCs/>
        </w:rPr>
        <w:t xml:space="preserve">Decision making e supporto al trattamento:</w:t>
      </w:r>
      <w:r>
        <w:t xml:space="preserve"> </w:t>
      </w:r>
      <w:r>
        <w:t xml:space="preserve">Una volta identificato il problema del paziente, lo psicologo di base e il MMG devono decidere come procedere – ad esempio scegliere l’intervento psicologico specifico (colloqui di counseling, tecniche cognitivo-comportamentali brevi, ecc.), valutare la necessità di terapia farmacologica di supporto o di invio ad altro servizio. In questa fase i</w:t>
      </w:r>
      <w:r>
        <w:t xml:space="preserve"> </w:t>
      </w:r>
      <w:r>
        <w:rPr>
          <w:b/>
          <w:bCs/>
        </w:rPr>
        <w:t xml:space="preserve">Sistemi di Supporto Decisionale Clinico (CDSS)</w:t>
      </w:r>
      <w:r>
        <w:t xml:space="preserve"> </w:t>
      </w:r>
      <w:r>
        <w:t xml:space="preserve">basati su IA risultano preziosi. Si tratta di strumenti che incrociano i dati individuali del paziente con linee guida cliniche e</w:t>
      </w:r>
      <w:r>
        <w:t xml:space="preserve"> </w:t>
      </w:r>
      <w:r>
        <w:rPr>
          <w:i/>
          <w:iCs/>
        </w:rPr>
        <w:t xml:space="preserve">best practice</w:t>
      </w:r>
      <w:r>
        <w:t xml:space="preserve"> </w:t>
      </w:r>
      <w:r>
        <w:t xml:space="preserve">per fornire raccomandazioni. Per esempio, un CDSS per la salute mentale primaria potrebbe indicare:</w:t>
      </w:r>
      <w:r>
        <w:t xml:space="preserve"> </w:t>
      </w:r>
      <w:r>
        <w:t xml:space="preserve">“</w:t>
      </w:r>
      <w:r>
        <w:t xml:space="preserve">paziente con depressione moderata – raccomandato iniziare intervento di attivazione comportamentale, valutare SSRI se persiste l’apatia dopo 4 settimane, follow-up PHQ-9 tra 2 settimane</w:t>
      </w:r>
      <w:r>
        <w:t xml:space="preserve">”</w:t>
      </w:r>
      <w:r>
        <w:t xml:space="preserve">. Questi sistemi esperti esistono già in forma prototipale; in contesti come il</w:t>
      </w:r>
      <w:r>
        <w:t xml:space="preserve"> </w:t>
      </w:r>
      <w:r>
        <w:rPr>
          <w:b/>
          <w:bCs/>
        </w:rPr>
        <w:t xml:space="preserve">Collaborative Care</w:t>
      </w:r>
      <w:r>
        <w:t xml:space="preserve"> </w:t>
      </w:r>
      <w:r>
        <w:t xml:space="preserve">negli Stati Uniti vengono utilizzati algoritmi che</w:t>
      </w:r>
      <w:r>
        <w:t xml:space="preserve"> </w:t>
      </w:r>
      <w:r>
        <w:rPr>
          <w:i/>
          <w:iCs/>
        </w:rPr>
        <w:t xml:space="preserve">segnalano</w:t>
      </w:r>
      <w:r>
        <w:t xml:space="preserve"> </w:t>
      </w:r>
      <w:r>
        <w:t xml:space="preserve">ai medici di base e ai care manager quali pazienti non stanno rispondendo alla terapia standard, suggerendo di intensificare il trattamento secondo il principio</w:t>
      </w:r>
      <w:r>
        <w:t xml:space="preserve"> </w:t>
      </w:r>
      <w:r>
        <w:rPr>
          <w:b/>
          <w:bCs/>
        </w:rPr>
        <w:t xml:space="preserve">“</w:t>
      </w:r>
      <w:r>
        <w:rPr>
          <w:b/>
          <w:bCs/>
        </w:rPr>
        <w:t xml:space="preserve">treat-to-target</w:t>
      </w:r>
      <w:r>
        <w:rPr>
          <w:b/>
          <w:bCs/>
        </w:rPr>
        <w:t xml:space="preserve">”</w:t>
      </w:r>
      <w:r>
        <w:t xml:space="preserve"> </w:t>
      </w:r>
      <w:r>
        <w:t xml:space="preserve">(trattare fino a remissione)</w:t>
      </w:r>
      <w:hyperlink r:id="rId1934">
        <w:r>
          <w:rPr>
            <w:rStyle w:val="Hyperlink"/>
          </w:rPr>
          <w:t xml:space="preserve">[28]</w:t>
        </w:r>
      </w:hyperlink>
      <w:hyperlink r:id="rId1935">
        <w:r>
          <w:rPr>
            <w:rStyle w:val="Hyperlink"/>
          </w:rPr>
          <w:t xml:space="preserve">[29]</w:t>
        </w:r>
      </w:hyperlink>
      <w:r>
        <w:t xml:space="preserve">. Nel modello pugliese, un modulo decisionale IA potrebbe attingere a un database di linee guida (ad esempio le raccomandazioni NICE o quelle italiane ISS in tema di depressione, ansia, ecc.) e fornire allo psicologo di base un</w:t>
      </w:r>
      <w:r>
        <w:t xml:space="preserve"> </w:t>
      </w:r>
      <w:r>
        <w:rPr>
          <w:b/>
          <w:bCs/>
        </w:rPr>
        <w:t xml:space="preserve">ventaglio di opzioni</w:t>
      </w:r>
      <w:r>
        <w:t xml:space="preserve"> </w:t>
      </w:r>
      <w:r>
        <w:t xml:space="preserve">terapeutiche basate sull’evidenza per quello specifico profilo di paziente. Questo migliora l’</w:t>
      </w:r>
      <w:r>
        <w:rPr>
          <w:b/>
          <w:bCs/>
        </w:rPr>
        <w:t xml:space="preserve">appropriatezza clinica</w:t>
      </w:r>
      <w:r>
        <w:t xml:space="preserve">, assicurando che ogni paziente riceva il trattamento indicato per il suo livello di bisogno. Inoltre, l’IA può favorire il</w:t>
      </w:r>
      <w:r>
        <w:t xml:space="preserve"> </w:t>
      </w:r>
      <w:r>
        <w:rPr>
          <w:i/>
          <w:iCs/>
        </w:rPr>
        <w:t xml:space="preserve">shared decision making</w:t>
      </w:r>
      <w:r>
        <w:t xml:space="preserve"> </w:t>
      </w:r>
      <w:r>
        <w:t xml:space="preserve">con il paziente: tramite interfacce visuali semplici, si possono mostrare al paziente diverse opzioni di cura con pro e contro (es.</w:t>
      </w:r>
      <w:r>
        <w:t xml:space="preserve"> </w:t>
      </w:r>
      <w:r>
        <w:t xml:space="preserve">“</w:t>
      </w:r>
      <w:r>
        <w:t xml:space="preserve">Percorso A: 5 incontri di gruppo di gestione stress – 80% dei pazienti simili a te lo completano con beneficio; Percorso B: colloqui individuali – efficaci ma lista d’attesa più lunga</w:t>
      </w:r>
      <w:r>
        <w:t xml:space="preserve">”</w:t>
      </w:r>
      <w:r>
        <w:t xml:space="preserve">), aiutandolo a compiere scelte informate. Ciò è in linea con l’approccio partecipativo auspicato per i servizi territoriali. Un altro contributo decisionale dell’IA riguarda l’</w:t>
      </w:r>
      <w:r>
        <w:rPr>
          <w:b/>
          <w:bCs/>
        </w:rPr>
        <w:t xml:space="preserve">individuazione precoce di rischi</w:t>
      </w:r>
      <w:r>
        <w:t xml:space="preserve"> </w:t>
      </w:r>
      <w:r>
        <w:t xml:space="preserve">durante il percorso: algoritmi predittivi possono analizzare costantemente gli aggiornamenti sul paziente (referti, note, comportamento in app) per</w:t>
      </w:r>
      <w:r>
        <w:t xml:space="preserve"> </w:t>
      </w:r>
      <w:r>
        <w:rPr>
          <w:i/>
          <w:iCs/>
        </w:rPr>
        <w:t xml:space="preserve">allertare</w:t>
      </w:r>
      <w:r>
        <w:t xml:space="preserve"> </w:t>
      </w:r>
      <w:r>
        <w:t xml:space="preserve">il clinico di possibili scenari critici – ad esempio rischio di suicidabilità in aumento, oppure segni di mancata aderenza al trattamento</w:t>
      </w:r>
      <w:hyperlink r:id="rId1936">
        <w:r>
          <w:rPr>
            <w:rStyle w:val="Hyperlink"/>
          </w:rPr>
          <w:t xml:space="preserve">[30]</w:t>
        </w:r>
      </w:hyperlink>
      <w:r>
        <w:t xml:space="preserve">. Tali alert consentono decisioni tempestive (come chiamare il paziente, coinvolgere uno psichiatra) che rafforzano la sicurezza del percorso di cura.</w:t>
      </w:r>
    </w:p>
    <w:p>
      <w:pPr>
        <w:numPr>
          <w:ilvl w:val="0"/>
          <w:numId w:val="1001"/>
        </w:numPr>
      </w:pPr>
      <w:r>
        <w:rPr>
          <w:b/>
          <w:bCs/>
        </w:rPr>
        <w:t xml:space="preserve">Teleconsulto e telepsicologia:</w:t>
      </w:r>
      <w:r>
        <w:t xml:space="preserve"> </w:t>
      </w:r>
      <w:r>
        <w:t xml:space="preserve">Il modello organizzativo pugliese prevede l’utilizzo del</w:t>
      </w:r>
      <w:r>
        <w:t xml:space="preserve"> </w:t>
      </w:r>
      <w:r>
        <w:rPr>
          <w:b/>
          <w:bCs/>
        </w:rPr>
        <w:t xml:space="preserve">teleconsulto</w:t>
      </w:r>
      <w:r>
        <w:t xml:space="preserve"> </w:t>
      </w:r>
      <w:r>
        <w:t xml:space="preserve">sia per migliorare l’accessibilità (raggiungere pazienti lontani o impossibilitati a muoversi) sia per mettere in rete i diversi attori (es. MMG che consulta lo psicologo di base, psicologo di base che consulta lo specialista del CSM). L’IA può potenziare notevolmente queste modalità di intervento a distanza. In primo luogo, attraverso i cosiddetti</w:t>
      </w:r>
      <w:r>
        <w:t xml:space="preserve"> </w:t>
      </w:r>
      <w:r>
        <w:rPr>
          <w:b/>
          <w:bCs/>
        </w:rPr>
        <w:t xml:space="preserve">“</w:t>
      </w:r>
      <w:r>
        <w:rPr>
          <w:b/>
          <w:bCs/>
        </w:rPr>
        <w:t xml:space="preserve">virtual assistant</w:t>
      </w:r>
      <w:r>
        <w:rPr>
          <w:b/>
          <w:bCs/>
        </w:rPr>
        <w:t xml:space="preserve">”</w:t>
      </w:r>
      <w:r>
        <w:t xml:space="preserve"> </w:t>
      </w:r>
      <w:r>
        <w:t xml:space="preserve">nelle piattaforme di telemedicina: ad esempio, un assistente virtuale integrato nella piattaforma regionale potrebbe gestire le operazioni preliminari di una seduta online (verifica connessione, raccolta dello stato d’animo iniziale del paziente tramite domande guidate, reminder delle</w:t>
      </w:r>
      <w:r>
        <w:t xml:space="preserve"> </w:t>
      </w:r>
      <w:r>
        <w:t xml:space="preserve">“</w:t>
      </w:r>
      <w:r>
        <w:t xml:space="preserve">homework</w:t>
      </w:r>
      <w:r>
        <w:t xml:space="preserve">”</w:t>
      </w:r>
      <w:r>
        <w:t xml:space="preserve"> </w:t>
      </w:r>
      <w:r>
        <w:t xml:space="preserve">svolte) in modo che quando avviene il collegamento in videochiamata lo psicologo abbia già un quadro aggiornato. Durante il teleconsulto, algoritmi di</w:t>
      </w:r>
      <w:r>
        <w:t xml:space="preserve"> </w:t>
      </w:r>
      <w:r>
        <w:rPr>
          <w:b/>
          <w:bCs/>
        </w:rPr>
        <w:t xml:space="preserve">computer vision</w:t>
      </w:r>
      <w:r>
        <w:t xml:space="preserve"> </w:t>
      </w:r>
      <w:r>
        <w:t xml:space="preserve">e analisi facciale potrebbero (con il consenso informato) monitorare le espressioni del paziente, la frequenza di sorriso, il contatto visivo e altri indici non verbali traducendoli in parametri oggettivi sull’andamento della seduta. Ad esempio, una riduzione progressiva dell’affetto piatto sul volto può indicare un miglioramento della depressione; al contrario, segnali di agitazione motoria potrebbero emergere. Queste informazioni, elaborate dall’IA, potrebbero venir presentate al clinico come elementi supplementari da considerare. Un altro ruolo dell’IA è nel</w:t>
      </w:r>
      <w:r>
        <w:t xml:space="preserve"> </w:t>
      </w:r>
      <w:r>
        <w:rPr>
          <w:b/>
          <w:bCs/>
        </w:rPr>
        <w:t xml:space="preserve">back-end</w:t>
      </w:r>
      <w:r>
        <w:t xml:space="preserve"> </w:t>
      </w:r>
      <w:r>
        <w:t xml:space="preserve">del teleconsulto: successivamente alla chiamata, la registrazione (se effettuata) può essere trascritta e riassunta automaticamente dall’IA, producendo un verbale strutturato della seduta con i punti salienti e magari un piano di follow-up generato sulla base della conversazione. Questo</w:t>
      </w:r>
      <w:r>
        <w:t xml:space="preserve"> </w:t>
      </w:r>
      <w:r>
        <w:rPr>
          <w:i/>
          <w:iCs/>
        </w:rPr>
        <w:t xml:space="preserve">snellisce il lavoro burocratico</w:t>
      </w:r>
      <w:r>
        <w:t xml:space="preserve"> </w:t>
      </w:r>
      <w:r>
        <w:t xml:space="preserve">del professionista, che non deve redigere lunghe relazioni post-sessione (attività spesso causa di carichi amministrativi gravosi). Sul fronte organizzativo, poi, l’IA può ottimizzare l’</w:t>
      </w:r>
      <w:r>
        <w:rPr>
          <w:b/>
          <w:bCs/>
        </w:rPr>
        <w:t xml:space="preserve">agenda e scheduling</w:t>
      </w:r>
      <w:r>
        <w:t xml:space="preserve"> </w:t>
      </w:r>
      <w:r>
        <w:t xml:space="preserve">dei teleconsulti: sistemi predittivi potrebbero identificare gli slot orari migliori per certi pazienti (ad esempio, se un algoritmo nota che un paziente tende a non presentarsi agli appuntamenti mattutini, potrebbe suggerire di programmarli nel pomeriggio). Inoltre, i</w:t>
      </w:r>
      <w:r>
        <w:t xml:space="preserve"> </w:t>
      </w:r>
      <w:r>
        <w:rPr>
          <w:i/>
          <w:iCs/>
        </w:rPr>
        <w:t xml:space="preserve">chatbot</w:t>
      </w:r>
      <w:r>
        <w:t xml:space="preserve"> </w:t>
      </w:r>
      <w:r>
        <w:t xml:space="preserve">possono essere utilizzati per il</w:t>
      </w:r>
      <w:r>
        <w:t xml:space="preserve"> </w:t>
      </w:r>
      <w:r>
        <w:rPr>
          <w:b/>
          <w:bCs/>
        </w:rPr>
        <w:t xml:space="preserve">follow-up asincrono</w:t>
      </w:r>
      <w:r>
        <w:t xml:space="preserve">: ad esempio, nei giorni successivi a un teleconsulto importante, un chatbot potrebbe contattare il paziente chiedendo come si sente, se ha avuto effetti collaterali dal farmaco prescritto dal MMG, o se ha compreso e applicato le tecniche apprese. Questo tipo di telemonitoraggio leggero, con segnalazione al clinico in caso di risposta preoccupante, garantisce una</w:t>
      </w:r>
      <w:r>
        <w:t xml:space="preserve"> </w:t>
      </w:r>
      <w:r>
        <w:rPr>
          <w:b/>
          <w:bCs/>
        </w:rPr>
        <w:t xml:space="preserve">continuità assistenziale</w:t>
      </w:r>
      <w:r>
        <w:t xml:space="preserve"> </w:t>
      </w:r>
      <w:r>
        <w:t xml:space="preserve">anche fuori dalla seduta formale. Infine, per pazienti particolarmente difficili da coinvolgere (si pensi ad alcuni adolescenti o a persone con disabilità motorie), l’IA permette modalità innovative di tele-intervento: ad esempio,</w:t>
      </w:r>
      <w:r>
        <w:t xml:space="preserve"> </w:t>
      </w:r>
      <w:r>
        <w:rPr>
          <w:b/>
          <w:bCs/>
        </w:rPr>
        <w:t xml:space="preserve">terapia virtuale immersiva</w:t>
      </w:r>
      <w:r>
        <w:t xml:space="preserve"> </w:t>
      </w:r>
      <w:r>
        <w:t xml:space="preserve">a domicilio (usando visori VR con ambienti terapeutici guidati da IA) oppure</w:t>
      </w:r>
      <w:r>
        <w:t xml:space="preserve"> </w:t>
      </w:r>
      <w:r>
        <w:rPr>
          <w:b/>
          <w:bCs/>
        </w:rPr>
        <w:t xml:space="preserve">gruppi di supporto online moderati</w:t>
      </w:r>
      <w:r>
        <w:t xml:space="preserve"> </w:t>
      </w:r>
      <w:r>
        <w:t xml:space="preserve">da agenti conversazionali. In tutti questi casi, l’IA non sostituisce l’operatore umano ma crea un canale supplementare, spesso attivo 24 ore su 24, che mantiene il paziente ingaggiato. Ciò risponde bene al problema dei drop-out: offrire strumenti digitali flessibili può ridurre gli abbandoni della terapia (un esempio: l’uso del chatbot Limbic nei servizi IAPT ha portato a un calo del</w:t>
      </w:r>
      <w:r>
        <w:t xml:space="preserve"> </w:t>
      </w:r>
      <w:r>
        <w:rPr>
          <w:b/>
          <w:bCs/>
        </w:rPr>
        <w:t xml:space="preserve">18%</w:t>
      </w:r>
      <w:r>
        <w:t xml:space="preserve"> </w:t>
      </w:r>
      <w:r>
        <w:t xml:space="preserve">nel tasso di abbandono dei trattamenti, grazie a un’esperienza più interattiva e personalizzata per l’utente</w:t>
      </w:r>
      <w:hyperlink r:id="rId1926">
        <w:r>
          <w:rPr>
            <w:rStyle w:val="Hyperlink"/>
          </w:rPr>
          <w:t xml:space="preserve">[31]</w:t>
        </w:r>
      </w:hyperlink>
      <w:r>
        <w:t xml:space="preserve">).</w:t>
      </w:r>
    </w:p>
    <w:p>
      <w:pPr>
        <w:numPr>
          <w:ilvl w:val="0"/>
          <w:numId w:val="1001"/>
        </w:numPr>
      </w:pPr>
      <w:r>
        <w:rPr>
          <w:b/>
          <w:bCs/>
        </w:rPr>
        <w:t xml:space="preserve">Integrazione tra MMG e Psicologi di Base:</w:t>
      </w:r>
      <w:r>
        <w:t xml:space="preserve"> </w:t>
      </w:r>
      <w:r>
        <w:t xml:space="preserve">Un aspetto centrale del modello pugliese è la stretta</w:t>
      </w:r>
      <w:r>
        <w:t xml:space="preserve"> </w:t>
      </w:r>
      <w:r>
        <w:rPr>
          <w:b/>
          <w:bCs/>
        </w:rPr>
        <w:t xml:space="preserve">collaborazione interdisciplinare</w:t>
      </w:r>
      <w:r>
        <w:t xml:space="preserve"> </w:t>
      </w:r>
      <w:r>
        <w:t xml:space="preserve">tra il medico di famiglia e lo psicologo di base. L’IA può fungere da</w:t>
      </w:r>
      <w:r>
        <w:t xml:space="preserve"> </w:t>
      </w:r>
      <w:r>
        <w:t xml:space="preserve">“</w:t>
      </w:r>
      <w:r>
        <w:t xml:space="preserve">collante</w:t>
      </w:r>
      <w:r>
        <w:t xml:space="preserve">”</w:t>
      </w:r>
      <w:r>
        <w:t xml:space="preserve"> </w:t>
      </w:r>
      <w:r>
        <w:t xml:space="preserve">informativo e decisionale tra queste figure. In pratica, si può implementare un</w:t>
      </w:r>
      <w:r>
        <w:t xml:space="preserve"> </w:t>
      </w:r>
      <w:r>
        <w:rPr>
          <w:b/>
          <w:bCs/>
        </w:rPr>
        <w:t xml:space="preserve">sistema condiviso di supporto</w:t>
      </w:r>
      <w:r>
        <w:t xml:space="preserve">: ad esempio, quando il MMG durante una visita intercetta un paziente con possibile disagio psicologico, un algoritmo nel suo software gestionale potrebbe suggerirgli di compilare un breve questionario validato (es. PHQ-9 per la depressione); i risultati, elaborati istantaneamente, potrebbero generare un</w:t>
      </w:r>
      <w:r>
        <w:t xml:space="preserve"> </w:t>
      </w:r>
      <w:r>
        <w:rPr>
          <w:b/>
          <w:bCs/>
        </w:rPr>
        <w:t xml:space="preserve">referral intelligente</w:t>
      </w:r>
      <w:r>
        <w:t xml:space="preserve"> </w:t>
      </w:r>
      <w:r>
        <w:t xml:space="preserve">allo psicologo di base, con priorità alta se i punteggi indicano depressione moderata-severa. Viceversa, lo psicologo di base dopo il primo colloquio potrebbe inserire nel sistema una nota che l’IA traduce in</w:t>
      </w:r>
      <w:r>
        <w:t xml:space="preserve"> </w:t>
      </w:r>
      <w:r>
        <w:rPr>
          <w:b/>
          <w:bCs/>
        </w:rPr>
        <w:t xml:space="preserve">alert clinici</w:t>
      </w:r>
      <w:r>
        <w:t xml:space="preserve"> </w:t>
      </w:r>
      <w:r>
        <w:t xml:space="preserve">per il MMG (es.</w:t>
      </w:r>
      <w:r>
        <w:t xml:space="preserve"> </w:t>
      </w:r>
      <w:r>
        <w:t xml:space="preserve">“</w:t>
      </w:r>
      <w:r>
        <w:t xml:space="preserve">paziente con attacchi di panico – valutare parametri tiroidei o somatici per escludere cause secondarie; evitare benzodiazepine di lunga durata</w:t>
      </w:r>
      <w:r>
        <w:t xml:space="preserve">”</w:t>
      </w:r>
      <w:r>
        <w:t xml:space="preserve"> </w:t>
      </w:r>
      <w:r>
        <w:t xml:space="preserve">in base a linee guida). Questi suggerimenti esperti aiutano ogni professionista ad agire in sinergia con l’altro, evitando frammentazione. Un altro contributo importante è la</w:t>
      </w:r>
      <w:r>
        <w:t xml:space="preserve"> </w:t>
      </w:r>
      <w:r>
        <w:rPr>
          <w:b/>
          <w:bCs/>
        </w:rPr>
        <w:t xml:space="preserve">condivisione automatica delle informazioni essenziali</w:t>
      </w:r>
      <w:r>
        <w:t xml:space="preserve">: l’IA può estrarre dalle note cliniche dello psicologo un breve</w:t>
      </w:r>
      <w:r>
        <w:t xml:space="preserve"> </w:t>
      </w:r>
      <w:r>
        <w:rPr>
          <w:i/>
          <w:iCs/>
        </w:rPr>
        <w:t xml:space="preserve">summary</w:t>
      </w:r>
      <w:r>
        <w:t xml:space="preserve"> </w:t>
      </w:r>
      <w:r>
        <w:t xml:space="preserve">focalizzato sugli elementi di interesse medico (ad es.</w:t>
      </w:r>
      <w:r>
        <w:t xml:space="preserve"> </w:t>
      </w:r>
      <w:r>
        <w:t xml:space="preserve">“</w:t>
      </w:r>
      <w:r>
        <w:t xml:space="preserve">umore migliorato, sonno ancora disturbato, nessun pensiero autolesivo</w:t>
      </w:r>
      <w:r>
        <w:t xml:space="preserve">”</w:t>
      </w:r>
      <w:r>
        <w:t xml:space="preserve">) e recapitarlo in linguaggio chiaro al MMG tramite il sistema informativo, e viceversa estrarre dalle cartelle mediche del MMG eventuali dati utili per il lavoro psicologico (es. patologie croniche concomitanti, terapie farmacologiche in corso). Questa sorta di</w:t>
      </w:r>
      <w:r>
        <w:t xml:space="preserve"> </w:t>
      </w:r>
      <w:r>
        <w:rPr>
          <w:i/>
          <w:iCs/>
        </w:rPr>
        <w:t xml:space="preserve">NLP bidirezionale</w:t>
      </w:r>
      <w:r>
        <w:t xml:space="preserve"> </w:t>
      </w:r>
      <w:r>
        <w:t xml:space="preserve">assicura che entrambi gli attori abbiano un quadro completo e aggiornato, superando il tipico problema dei</w:t>
      </w:r>
      <w:r>
        <w:t xml:space="preserve"> </w:t>
      </w:r>
      <w:r>
        <w:rPr>
          <w:i/>
          <w:iCs/>
        </w:rPr>
        <w:t xml:space="preserve">silos</w:t>
      </w:r>
      <w:r>
        <w:t xml:space="preserve"> </w:t>
      </w:r>
      <w:r>
        <w:t xml:space="preserve">informativi tra sanitario e psicologico. In letteratura si è visto che interventi integrati MMG-psicologo supportati da sistemi informatici migliorano gli esiti e la soddisfazione dei pazienti</w:t>
      </w:r>
      <w:hyperlink r:id="rId1937">
        <w:r>
          <w:rPr>
            <w:rStyle w:val="Hyperlink"/>
          </w:rPr>
          <w:t xml:space="preserve">[32]</w:t>
        </w:r>
      </w:hyperlink>
      <w:hyperlink r:id="rId1934">
        <w:r>
          <w:rPr>
            <w:rStyle w:val="Hyperlink"/>
          </w:rPr>
          <w:t xml:space="preserve">[28]</w:t>
        </w:r>
      </w:hyperlink>
      <w:r>
        <w:t xml:space="preserve">. Inoltre, l’IA può gestire</w:t>
      </w:r>
      <w:r>
        <w:t xml:space="preserve"> </w:t>
      </w:r>
      <w:r>
        <w:rPr>
          <w:b/>
          <w:bCs/>
        </w:rPr>
        <w:t xml:space="preserve">flussi informativi prioritari</w:t>
      </w:r>
      <w:r>
        <w:t xml:space="preserve">: ad esempio, se lo psicologo segnala (con una certa parola chiave o codice) un caso a rischio, il sistema può inviare immediatamente un messaggio al MMG o al dirigente del distretto. Questa tempestività è cruciale per garantire continuità di cura: ogni segnale di allarme viene raccolto e indirizzato, evitando che</w:t>
      </w:r>
      <w:r>
        <w:t xml:space="preserve"> </w:t>
      </w:r>
      <w:r>
        <w:t xml:space="preserve">“</w:t>
      </w:r>
      <w:r>
        <w:t xml:space="preserve">nessuno se ne accorga</w:t>
      </w:r>
      <w:r>
        <w:t xml:space="preserve">”</w:t>
      </w:r>
      <w:r>
        <w:t xml:space="preserve"> </w:t>
      </w:r>
      <w:r>
        <w:t xml:space="preserve">finché non è troppo tardi. Infine, tramite dashboard condivisi, IA può</w:t>
      </w:r>
      <w:r>
        <w:t xml:space="preserve"> </w:t>
      </w:r>
      <w:r>
        <w:rPr>
          <w:b/>
          <w:bCs/>
        </w:rPr>
        <w:t xml:space="preserve">monitorare in tempo reale l’andamento del bacino di assistiti</w:t>
      </w:r>
      <w:r>
        <w:t xml:space="preserve"> </w:t>
      </w:r>
      <w:r>
        <w:t xml:space="preserve">comune tra MMG e psicologo: quanti sono in carico attivo, quali in lista d’attesa, quali hanno bisogno di controllo. Questo consente riunioni di</w:t>
      </w:r>
      <w:r>
        <w:t xml:space="preserve"> </w:t>
      </w:r>
      <w:r>
        <w:rPr>
          <w:i/>
          <w:iCs/>
        </w:rPr>
        <w:t xml:space="preserve">team</w:t>
      </w:r>
      <w:r>
        <w:t xml:space="preserve"> </w:t>
      </w:r>
      <w:r>
        <w:t xml:space="preserve">più focalizzate sui casi più problematici, identificati dall’analisi algoritmica. In sostanza, l’IA funge da</w:t>
      </w:r>
      <w:r>
        <w:t xml:space="preserve"> </w:t>
      </w:r>
      <w:r>
        <w:rPr>
          <w:b/>
          <w:bCs/>
        </w:rPr>
        <w:t xml:space="preserve">membro virtuale del team multiprofessionale</w:t>
      </w:r>
      <w:r>
        <w:t xml:space="preserve">, gestendo comunicazioni routinarie e analisi di dati, così che MMG e psicologi possano concentrarsi sugli aspetti relazionali e decisionali più complessi.</w:t>
      </w:r>
    </w:p>
    <w:p>
      <w:pPr>
        <w:numPr>
          <w:ilvl w:val="0"/>
          <w:numId w:val="1001"/>
        </w:numPr>
      </w:pPr>
      <w:r>
        <w:rPr>
          <w:b/>
          <w:bCs/>
        </w:rPr>
        <w:t xml:space="preserve">Percorsi assistenziali personalizzati e continuità del care:</w:t>
      </w:r>
      <w:r>
        <w:t xml:space="preserve"> </w:t>
      </w:r>
      <w:r>
        <w:t xml:space="preserve">Uno dei potenziali maggiori benefici dell’IA è la capacità di supportare un modello di cura</w:t>
      </w:r>
      <w:r>
        <w:t xml:space="preserve"> </w:t>
      </w:r>
      <w:r>
        <w:rPr>
          <w:i/>
          <w:iCs/>
        </w:rPr>
        <w:t xml:space="preserve">proattivo</w:t>
      </w:r>
      <w:r>
        <w:t xml:space="preserve"> </w:t>
      </w:r>
      <w:r>
        <w:t xml:space="preserve">e</w:t>
      </w:r>
      <w:r>
        <w:t xml:space="preserve"> </w:t>
      </w:r>
      <w:r>
        <w:rPr>
          <w:i/>
          <w:iCs/>
        </w:rPr>
        <w:t xml:space="preserve">continuo</w:t>
      </w:r>
      <w:r>
        <w:t xml:space="preserve">, in cui il paziente viene accompagnato nel tempo attraverso vari livelli di servizio senza soluzioni di continuità. Nel modello pugliese, dopo l’intervento di I livello (psicologo di base), alcuni pazienti potranno aver bisogno di ulteriori interventi (invio al CSM, al consultorio, a gruppi terapeutici, ecc.), mentre altri rimarranno in carico per monitoraggio periodico. L’IA può aiutare a costruire</w:t>
      </w:r>
      <w:r>
        <w:t xml:space="preserve"> </w:t>
      </w:r>
      <w:r>
        <w:rPr>
          <w:b/>
          <w:bCs/>
        </w:rPr>
        <w:t xml:space="preserve">percorsi di stepped care dinamici</w:t>
      </w:r>
      <w:r>
        <w:t xml:space="preserve">: per esempio, un algoritmo di</w:t>
      </w:r>
      <w:r>
        <w:t xml:space="preserve"> </w:t>
      </w:r>
      <w:r>
        <w:rPr>
          <w:i/>
          <w:iCs/>
        </w:rPr>
        <w:t xml:space="preserve">machine learning</w:t>
      </w:r>
      <w:r>
        <w:t xml:space="preserve"> </w:t>
      </w:r>
      <w:r>
        <w:t xml:space="preserve">può utilizzare i dati di progressi del paziente (dalla riduzione dei sintomi misurata, dall’aderenza alle sedute, ecc.) per</w:t>
      </w:r>
      <w:r>
        <w:t xml:space="preserve"> </w:t>
      </w:r>
      <w:r>
        <w:rPr>
          <w:i/>
          <w:iCs/>
        </w:rPr>
        <w:t xml:space="preserve">predire</w:t>
      </w:r>
      <w:r>
        <w:t xml:space="preserve"> </w:t>
      </w:r>
      <w:r>
        <w:t xml:space="preserve">se quel paziente beneficerebbe di un passaggio al livello successivo di cura. In UK, nei servizi IAPT, questo concetto di</w:t>
      </w:r>
      <w:r>
        <w:t xml:space="preserve"> </w:t>
      </w:r>
      <w:r>
        <w:rPr>
          <w:i/>
          <w:iCs/>
        </w:rPr>
        <w:t xml:space="preserve">stepping up</w:t>
      </w:r>
      <w:r>
        <w:t xml:space="preserve"> </w:t>
      </w:r>
      <w:r>
        <w:t xml:space="preserve">è presente ma basato su criteri clinici fissi; integrando IA, si potrebbe</w:t>
      </w:r>
      <w:r>
        <w:t xml:space="preserve"> </w:t>
      </w:r>
      <w:r>
        <w:rPr>
          <w:b/>
          <w:bCs/>
        </w:rPr>
        <w:t xml:space="preserve">anticipare</w:t>
      </w:r>
      <w:r>
        <w:t xml:space="preserve"> </w:t>
      </w:r>
      <w:r>
        <w:t xml:space="preserve">il passaggio al II livello prima che il paziente</w:t>
      </w:r>
      <w:r>
        <w:t xml:space="preserve"> </w:t>
      </w:r>
      <w:r>
        <w:t xml:space="preserve">“</w:t>
      </w:r>
      <w:r>
        <w:t xml:space="preserve">fallisca</w:t>
      </w:r>
      <w:r>
        <w:t xml:space="preserve">”</w:t>
      </w:r>
      <w:r>
        <w:t xml:space="preserve"> </w:t>
      </w:r>
      <w:r>
        <w:t xml:space="preserve">il trattamento di base, grazie all’identificazione precoce di stagnazione dei punteggi clinici. Analogamente, per chi completa il trattamento, l’IA può predisporre un</w:t>
      </w:r>
      <w:r>
        <w:t xml:space="preserve"> </w:t>
      </w:r>
      <w:r>
        <w:rPr>
          <w:b/>
          <w:bCs/>
        </w:rPr>
        <w:t xml:space="preserve">piano di follow-up personalizzato</w:t>
      </w:r>
      <w:r>
        <w:t xml:space="preserve">: ad esempio, un paziente che ha superato un periodo depressivo potrebbe ricevere tramite piattaforma suggerimenti di</w:t>
      </w:r>
      <w:r>
        <w:t xml:space="preserve"> </w:t>
      </w:r>
      <w:r>
        <w:rPr>
          <w:i/>
          <w:iCs/>
        </w:rPr>
        <w:t xml:space="preserve">booster sessions</w:t>
      </w:r>
      <w:r>
        <w:t xml:space="preserve"> </w:t>
      </w:r>
      <w:r>
        <w:t xml:space="preserve">(richiami) ogni 3 mesi, o materiali psicoeducativi specifici da leggere per prevenire ricadute, con allerta allo psicologo se il paziente riporta nuovi sintomi. Questo tipo di</w:t>
      </w:r>
      <w:r>
        <w:t xml:space="preserve"> </w:t>
      </w:r>
      <w:r>
        <w:rPr>
          <w:i/>
          <w:iCs/>
        </w:rPr>
        <w:t xml:space="preserve">after-care</w:t>
      </w:r>
      <w:r>
        <w:t xml:space="preserve"> </w:t>
      </w:r>
      <w:r>
        <w:t xml:space="preserve">automatizzato garantisce che il paziente non venga perso di vista. Un ulteriore contributo è l’</w:t>
      </w:r>
      <w:r>
        <w:rPr>
          <w:b/>
          <w:bCs/>
        </w:rPr>
        <w:t xml:space="preserve">integrazione con gli altri nodi territoriali</w:t>
      </w:r>
      <w:r>
        <w:t xml:space="preserve">: immaginiamo un sistema IA che tiene traccia dell’intero</w:t>
      </w:r>
      <w:r>
        <w:t xml:space="preserve"> </w:t>
      </w:r>
      <w:r>
        <w:rPr>
          <w:i/>
          <w:iCs/>
        </w:rPr>
        <w:t xml:space="preserve">journey</w:t>
      </w:r>
      <w:r>
        <w:t xml:space="preserve"> </w:t>
      </w:r>
      <w:r>
        <w:t xml:space="preserve">del paziente attraverso MMG, psicologo di base, consultorio, ecc. Ogni transizione di cura (es. invio dal consultorio al CSM) può essere orchestrata dall’IA che invia la documentazione rilevante in anticipo, prepara il paziente con informazioni su cosa aspettarsi, e poi raccoglie feedback da quel servizio per informare nuovamente il MMG e lo psicologo di base. In pratica, l’IA può servire come</w:t>
      </w:r>
      <w:r>
        <w:t xml:space="preserve"> </w:t>
      </w:r>
      <w:r>
        <w:rPr>
          <w:b/>
          <w:bCs/>
        </w:rPr>
        <w:t xml:space="preserve">regista invisibile del percorso assistenziale</w:t>
      </w:r>
      <w:r>
        <w:t xml:space="preserve">, assicurando che nessuno snodo sia lasciato al caso. Se ben progettata, questa integrazione potrebbe risolvere molti problemi tipici: duplicazione di esami/valutazioni tra servizi, pazienti che non seguono indicazioni perché confuse o perse nella burocrazia, lunghi tempi morti tra un servizio e l’altro. Per esempio, un progetto olandese (</w:t>
      </w:r>
      <w:r>
        <w:rPr>
          <w:i/>
          <w:iCs/>
        </w:rPr>
        <w:t xml:space="preserve">Blended Collaborative Care</w:t>
      </w:r>
      <w:r>
        <w:t xml:space="preserve">) ha mostrato che piattaforme condivise tra medico di base, POH-GGZ e psichiatra consulente facilitano enormemente la gestione integrata del paziente, specialmente se arricchite con moduli di e-health accessibili al paziente stesso</w:t>
      </w:r>
      <w:hyperlink r:id="rId1938">
        <w:r>
          <w:rPr>
            <w:rStyle w:val="Hyperlink"/>
          </w:rPr>
          <w:t xml:space="preserve">[33]</w:t>
        </w:r>
      </w:hyperlink>
      <w:hyperlink r:id="rId1939">
        <w:r>
          <w:rPr>
            <w:rStyle w:val="Hyperlink"/>
          </w:rPr>
          <w:t xml:space="preserve">[34]</w:t>
        </w:r>
      </w:hyperlink>
      <w:r>
        <w:t xml:space="preserve">. In Puglia si potrebbe adottare un</w:t>
      </w:r>
      <w:r>
        <w:t xml:space="preserve"> </w:t>
      </w:r>
      <w:r>
        <w:rPr>
          <w:i/>
          <w:iCs/>
        </w:rPr>
        <w:t xml:space="preserve">portale del percorso</w:t>
      </w:r>
      <w:r>
        <w:t xml:space="preserve"> </w:t>
      </w:r>
      <w:r>
        <w:t xml:space="preserve">dove ogni attore (compreso il paziente) vede lo stato corrente e i passi successivi, con promemoria intelligenti. L’IA garantirebbe che, ad esempio, il</w:t>
      </w:r>
      <w:r>
        <w:t xml:space="preserve"> </w:t>
      </w:r>
      <w:r>
        <w:rPr>
          <w:b/>
          <w:bCs/>
        </w:rPr>
        <w:t xml:space="preserve">pediatra di libera scelta</w:t>
      </w:r>
      <w:r>
        <w:t xml:space="preserve"> </w:t>
      </w:r>
      <w:r>
        <w:t xml:space="preserve">venga coinvolto automaticamente se il paziente è un minore, o che i</w:t>
      </w:r>
      <w:r>
        <w:t xml:space="preserve"> </w:t>
      </w:r>
      <w:r>
        <w:rPr>
          <w:b/>
          <w:bCs/>
        </w:rPr>
        <w:t xml:space="preserve">servizi sociali comunali</w:t>
      </w:r>
      <w:r>
        <w:t xml:space="preserve"> </w:t>
      </w:r>
      <w:r>
        <w:t xml:space="preserve">ricevano notifica se emergono bisogni socio-economici (questo rientra nelle funzioni di</w:t>
      </w:r>
      <w:r>
        <w:t xml:space="preserve"> </w:t>
      </w:r>
      <w:r>
        <w:rPr>
          <w:i/>
          <w:iCs/>
        </w:rPr>
        <w:t xml:space="preserve">coordinamento e invio</w:t>
      </w:r>
      <w:r>
        <w:t xml:space="preserve"> </w:t>
      </w:r>
      <w:r>
        <w:t xml:space="preserve">già previste per lo psicologo di base</w:t>
      </w:r>
      <w:hyperlink r:id="rId1940">
        <w:r>
          <w:rPr>
            <w:rStyle w:val="Hyperlink"/>
          </w:rPr>
          <w:t xml:space="preserve">[35]</w:t>
        </w:r>
      </w:hyperlink>
      <w:r>
        <w:t xml:space="preserve">, che l’IA può facilitare tecnicamente). In sintesi, l’IA sostiene un modello</w:t>
      </w:r>
      <w:r>
        <w:t xml:space="preserve"> </w:t>
      </w:r>
      <w:r>
        <w:rPr>
          <w:b/>
          <w:bCs/>
        </w:rPr>
        <w:t xml:space="preserve">olistico e cucito su misura</w:t>
      </w:r>
      <w:r>
        <w:t xml:space="preserve">, in cui i percorsi non sono rigidamente predefiniti ma</w:t>
      </w:r>
      <w:r>
        <w:t xml:space="preserve"> </w:t>
      </w:r>
      <w:r>
        <w:rPr>
          <w:b/>
          <w:bCs/>
        </w:rPr>
        <w:t xml:space="preserve">adattivi</w:t>
      </w:r>
      <w:r>
        <w:t xml:space="preserve"> </w:t>
      </w:r>
      <w:r>
        <w:t xml:space="preserve">sul singolo paziente, pur mantenendo una visione d’insieme a livello di sistema.</w:t>
      </w:r>
    </w:p>
    <w:p>
      <w:pPr>
        <w:numPr>
          <w:ilvl w:val="0"/>
          <w:numId w:val="1001"/>
        </w:numPr>
      </w:pPr>
      <w:r>
        <w:rPr>
          <w:b/>
          <w:bCs/>
        </w:rPr>
        <w:t xml:space="preserve">Ottimizzazione dei flussi informativi e burocratici:</w:t>
      </w:r>
      <w:r>
        <w:t xml:space="preserve"> </w:t>
      </w:r>
      <w:r>
        <w:t xml:space="preserve">Ultimo ma non meno importante, l’IA può efficientare i</w:t>
      </w:r>
      <w:r>
        <w:t xml:space="preserve"> </w:t>
      </w:r>
      <w:r>
        <w:rPr>
          <w:b/>
          <w:bCs/>
        </w:rPr>
        <w:t xml:space="preserve">flussi informativi</w:t>
      </w:r>
      <w:r>
        <w:t xml:space="preserve"> </w:t>
      </w:r>
      <w:r>
        <w:t xml:space="preserve">e i processi amministrativi legati al servizio. Oggi una grande criticità percepita dagli operatori sanitari è il tempo speso in attività burocratiche (compilazione schede, relazioni, registrazione dati nei database regionali, ecc.), tempo sottratto all’attività clinica. Strumenti di</w:t>
      </w:r>
      <w:r>
        <w:t xml:space="preserve"> </w:t>
      </w:r>
      <w:r>
        <w:rPr>
          <w:b/>
          <w:bCs/>
        </w:rPr>
        <w:t xml:space="preserve">Automazione Robotica dei Processi (RPA)</w:t>
      </w:r>
      <w:r>
        <w:t xml:space="preserve"> </w:t>
      </w:r>
      <w:r>
        <w:t xml:space="preserve">e IA possono svolgere molte di queste mansioni ripetitive. Per esempio, un assistente AI potrebbe pre-compilare il registro di attività mensile dello psicologo di base attingendo dai dati già inseriti nelle schede paziente, oppure produrre automaticamente la lettera di invio al CSM traducendo in linguaggio formale le note cliniche salienti. In sede di rendicontazione, algoritmi potrebbero verificare la completezza dei dati e segnalare incongruenze, riducendo gli errori. I benefici sono duplici:</w:t>
      </w:r>
      <w:r>
        <w:t xml:space="preserve"> </w:t>
      </w:r>
      <w:r>
        <w:rPr>
          <w:b/>
          <w:bCs/>
        </w:rPr>
        <w:t xml:space="preserve">riduzione del carico amministrativo</w:t>
      </w:r>
      <w:r>
        <w:t xml:space="preserve"> </w:t>
      </w:r>
      <w:r>
        <w:t xml:space="preserve">per il personale (con minor rischio di</w:t>
      </w:r>
      <w:r>
        <w:t xml:space="preserve"> </w:t>
      </w:r>
      <w:r>
        <w:rPr>
          <w:i/>
          <w:iCs/>
        </w:rPr>
        <w:t xml:space="preserve">burnout</w:t>
      </w:r>
      <w:r>
        <w:t xml:space="preserve"> </w:t>
      </w:r>
      <w:r>
        <w:t xml:space="preserve">e più tempo per i pazienti), e</w:t>
      </w:r>
      <w:r>
        <w:t xml:space="preserve"> </w:t>
      </w:r>
      <w:r>
        <w:rPr>
          <w:b/>
          <w:bCs/>
        </w:rPr>
        <w:t xml:space="preserve">migliore qualità dei dati</w:t>
      </w:r>
      <w:r>
        <w:t xml:space="preserve"> </w:t>
      </w:r>
      <w:r>
        <w:t xml:space="preserve">raccolti nei sistemi informativi (perché standardizzati e controllati dall’IA). A livello di governance regionale, la disponibilità di dati accurati e aggiornati permette di alimentare</w:t>
      </w:r>
      <w:r>
        <w:t xml:space="preserve"> </w:t>
      </w:r>
      <w:r>
        <w:rPr>
          <w:b/>
          <w:bCs/>
        </w:rPr>
        <w:t xml:space="preserve">cruscotti direzionali</w:t>
      </w:r>
      <w:r>
        <w:t xml:space="preserve"> </w:t>
      </w:r>
      <w:r>
        <w:t xml:space="preserve">con indicatori utili per la programmazione: ad esempio, un dashboard IA potrebbe mostrare in tempo reale il numero di nuove prese in carico per settimana, i tassi di miglioramento clinico medi per distretto, l’utilizzo orario del servizio, evidenziando trend e possibili colli di bottiglia.</w:t>
      </w:r>
      <w:r>
        <w:t xml:space="preserve"> </w:t>
      </w:r>
      <w:r>
        <w:rPr>
          <w:i/>
          <w:iCs/>
        </w:rPr>
        <w:t xml:space="preserve">Analytics</w:t>
      </w:r>
      <w:r>
        <w:t xml:space="preserve"> </w:t>
      </w:r>
      <w:r>
        <w:t xml:space="preserve">avanzati potrebbero persino</w:t>
      </w:r>
      <w:r>
        <w:t xml:space="preserve"> </w:t>
      </w:r>
      <w:r>
        <w:rPr>
          <w:b/>
          <w:bCs/>
        </w:rPr>
        <w:t xml:space="preserve">predire la domanda futura</w:t>
      </w:r>
      <w:r>
        <w:t xml:space="preserve">, usando modelli epidemiologici: incrociando dati socio-demografici (es. tasso di disoccupazione, post-pandemia, ecc.) con gli andamenti passati, l’IA potrebbe avvisare i decisori che</w:t>
      </w:r>
      <w:r>
        <w:t xml:space="preserve"> </w:t>
      </w:r>
      <w:r>
        <w:t xml:space="preserve">“</w:t>
      </w:r>
      <w:r>
        <w:t xml:space="preserve">nel prossimo inverno ci si attende un aumento del 20% di richieste di supporto ansia-depressione</w:t>
      </w:r>
      <w:r>
        <w:t xml:space="preserve">”</w:t>
      </w:r>
      <w:r>
        <w:t xml:space="preserve">, consentendo di prepararsi (es. pianificando campagne di assunzione temporanea di psicologi, o potenziando gli interventi di prevenzione). Negli ospedali e nelle ASL già si utilizzano modelli predittivi analoghi per identificare pazienti ad alto rischio di riammissione o per ottimizzare le agende operatorie</w:t>
      </w:r>
      <w:hyperlink r:id="rId1941">
        <w:r>
          <w:rPr>
            <w:rStyle w:val="Hyperlink"/>
          </w:rPr>
          <w:t xml:space="preserve">[36]</w:t>
        </w:r>
      </w:hyperlink>
      <w:hyperlink r:id="rId1942">
        <w:r>
          <w:rPr>
            <w:rStyle w:val="Hyperlink"/>
          </w:rPr>
          <w:t xml:space="preserve">[37]</w:t>
        </w:r>
      </w:hyperlink>
      <w:r>
        <w:t xml:space="preserve">; trasferire questo know-how alla salute mentale territoriale sarebbe estremamente innovativo. Va inoltre considerato l’aspetto di</w:t>
      </w:r>
      <w:r>
        <w:t xml:space="preserve"> </w:t>
      </w:r>
      <w:r>
        <w:rPr>
          <w:b/>
          <w:bCs/>
        </w:rPr>
        <w:t xml:space="preserve">interoperabilità</w:t>
      </w:r>
      <w:r>
        <w:t xml:space="preserve"> </w:t>
      </w:r>
      <w:r>
        <w:t xml:space="preserve">dei flussi informativi: l’IA può fungere da</w:t>
      </w:r>
      <w:r>
        <w:t xml:space="preserve"> </w:t>
      </w:r>
      <w:r>
        <w:rPr>
          <w:i/>
          <w:iCs/>
        </w:rPr>
        <w:t xml:space="preserve">ponte</w:t>
      </w:r>
      <w:r>
        <w:t xml:space="preserve"> </w:t>
      </w:r>
      <w:r>
        <w:t xml:space="preserve">tra diversi sistemi software (medicina generale, servizi sociali, CSM) traducendo e mappando i dati in modo che vi sia un linguaggio comune. Ciò facilita la costruzione in Puglia di un</w:t>
      </w:r>
      <w:r>
        <w:t xml:space="preserve"> </w:t>
      </w:r>
      <w:r>
        <w:rPr>
          <w:i/>
          <w:iCs/>
        </w:rPr>
        <w:t xml:space="preserve">ecosistema digitale integrato</w:t>
      </w:r>
      <w:r>
        <w:t xml:space="preserve"> </w:t>
      </w:r>
      <w:r>
        <w:t xml:space="preserve">attorno allo Psicologo di Base, dove tutte le comunicazioni e documentazioni viaggiano elettronicamente in forma di dati e non più su carta o silos separati. In ultima analisi, un tale sistema informativo intelligente realizza quella</w:t>
      </w:r>
      <w:r>
        <w:t xml:space="preserve"> </w:t>
      </w:r>
      <w:r>
        <w:t xml:space="preserve">“</w:t>
      </w:r>
      <w:r>
        <w:rPr>
          <w:b/>
          <w:bCs/>
        </w:rPr>
        <w:t xml:space="preserve">de-burocratizzazione</w:t>
      </w:r>
      <w:r>
        <w:t xml:space="preserve">”</w:t>
      </w:r>
      <w:r>
        <w:t xml:space="preserve"> </w:t>
      </w:r>
      <w:r>
        <w:t xml:space="preserve">dei flussi invocata nel quesito: meno compiti ripetitivi per gli umani, più coordinamento automatico, e capacità di</w:t>
      </w:r>
      <w:r>
        <w:t xml:space="preserve"> </w:t>
      </w:r>
      <w:r>
        <w:rPr>
          <w:i/>
          <w:iCs/>
        </w:rPr>
        <w:t xml:space="preserve">governance data-driven</w:t>
      </w:r>
      <w:r>
        <w:t xml:space="preserve"> </w:t>
      </w:r>
      <w:r>
        <w:t xml:space="preserve">del nuovo servizio.</w:t>
      </w:r>
    </w:p>
    <w:bookmarkEnd w:id="1943"/>
    <w:bookmarkStart w:id="1956" w:name="Xbee0b06e2a41f906532377cd5eb6e87a8ee0fe6"/>
    <w:p>
      <w:pPr>
        <w:pStyle w:val="Heading3"/>
      </w:pPr>
      <w:r>
        <w:t xml:space="preserve">Strumenti di IA Disponibili e Implementazioni nel Modello Pugliese</w:t>
      </w:r>
    </w:p>
    <w:p>
      <w:pPr>
        <w:pStyle w:val="FirstParagraph"/>
      </w:pPr>
      <w:r>
        <w:t xml:space="preserve">Nel panorama attuale esiste già un ricco ventaglio di strumenti di IA applicabili al settore sanitario e, più specificamente, alla salute mentale territoriale. Di seguito descriviamo le principali categorie di strumenti – molte delle quali citate nell’elenco fornito (triage automatico, sistemi esperti, NLP clinico, chatbot terapeutici, dashboard predittive) – illustrandone lo stato dell’arte e come potrebbero essere integrati nel modello pugliese dello psicologo di base:</w:t>
      </w:r>
    </w:p>
    <w:p>
      <w:pPr>
        <w:numPr>
          <w:ilvl w:val="0"/>
          <w:numId w:val="1002"/>
        </w:numPr>
      </w:pPr>
      <w:r>
        <w:rPr>
          <w:b/>
          <w:bCs/>
        </w:rPr>
        <w:t xml:space="preserve">Piattaforme di triage digitale automatizzato:</w:t>
      </w:r>
      <w:r>
        <w:t xml:space="preserve"> </w:t>
      </w:r>
      <w:r>
        <w:t xml:space="preserve">si tratta di applicazioni (web o mobile) che guidano l’utente attraverso una serie di domande strutturate, analizzando le risposte in tempo reale mediante algoritmi di intelligenza artificiale per giungere a una prima valutazione del bisogno. Sul mercato internazionale troviamo diversi esempi: oltre al già citato</w:t>
      </w:r>
      <w:r>
        <w:t xml:space="preserve"> </w:t>
      </w:r>
      <w:r>
        <w:rPr>
          <w:i/>
          <w:iCs/>
        </w:rPr>
        <w:t xml:space="preserve">Limbic</w:t>
      </w:r>
      <w:r>
        <w:t xml:space="preserve"> </w:t>
      </w:r>
      <w:r>
        <w:t xml:space="preserve">(specializzato in salute mentale, integrato nel percorso IAPT inglese), vi sono piattaforme generali di sintomi checker come</w:t>
      </w:r>
      <w:r>
        <w:t xml:space="preserve"> </w:t>
      </w:r>
      <w:r>
        <w:rPr>
          <w:i/>
          <w:iCs/>
        </w:rPr>
        <w:t xml:space="preserve">Babylon Health</w:t>
      </w:r>
      <w:r>
        <w:t xml:space="preserve">,</w:t>
      </w:r>
      <w:r>
        <w:t xml:space="preserve"> </w:t>
      </w:r>
      <w:r>
        <w:rPr>
          <w:i/>
          <w:iCs/>
        </w:rPr>
        <w:t xml:space="preserve">Ada Health</w:t>
      </w:r>
      <w:r>
        <w:t xml:space="preserve">,</w:t>
      </w:r>
      <w:r>
        <w:t xml:space="preserve"> </w:t>
      </w:r>
      <w:r>
        <w:rPr>
          <w:i/>
          <w:iCs/>
        </w:rPr>
        <w:t xml:space="preserve">ClearStep</w:t>
      </w:r>
      <w:r>
        <w:t xml:space="preserve"> </w:t>
      </w:r>
      <w:r>
        <w:t xml:space="preserve">ecc., alcune delle quali includono moduli specifici per sintomi psicologici. In ambito mentale, sono in fase di sviluppo chatbot che combinano approcci terapeutici: ad esempio</w:t>
      </w:r>
      <w:r>
        <w:t xml:space="preserve"> </w:t>
      </w:r>
      <w:r>
        <w:rPr>
          <w:b/>
          <w:bCs/>
        </w:rPr>
        <w:t xml:space="preserve">Pai.ACT</w:t>
      </w:r>
      <w:r>
        <w:t xml:space="preserve"> </w:t>
      </w:r>
      <w:r>
        <w:t xml:space="preserve">è un chatbot sperimentale che integra i principi della Acceptance and Commitment Therapy con NLP per eseguire un triage psicologico e al contempo fornire primi esercizi di coping</w:t>
      </w:r>
      <w:hyperlink r:id="rId1944">
        <w:r>
          <w:rPr>
            <w:rStyle w:val="Hyperlink"/>
          </w:rPr>
          <w:t xml:space="preserve">[38]</w:t>
        </w:r>
      </w:hyperlink>
      <w:r>
        <w:t xml:space="preserve">. Implementare una piattaforma di triage in Puglia significherebbe o</w:t>
      </w:r>
      <w:r>
        <w:t xml:space="preserve"> </w:t>
      </w:r>
      <w:r>
        <w:rPr>
          <w:i/>
          <w:iCs/>
        </w:rPr>
        <w:t xml:space="preserve">adottare</w:t>
      </w:r>
      <w:r>
        <w:t xml:space="preserve"> </w:t>
      </w:r>
      <w:r>
        <w:t xml:space="preserve">una soluzione esistente localizzandola (traduzione in italiano, adattamento a riferimenti locali di servizio) o svilupparne una ex novo magari in collaborazione con Università/aziende italiane. La piattaforma andrebbe resa disponibile attraverso i canali digitali regionali (portale Salute Puglia, app del SSR) e dovrebbe dialogare con il sistema di prenotazione CUP per consentire al cittadino di</w:t>
      </w:r>
      <w:r>
        <w:t xml:space="preserve"> </w:t>
      </w:r>
      <w:r>
        <w:rPr>
          <w:i/>
          <w:iCs/>
        </w:rPr>
        <w:t xml:space="preserve">auto-prenotare</w:t>
      </w:r>
      <w:r>
        <w:t xml:space="preserve"> </w:t>
      </w:r>
      <w:r>
        <w:t xml:space="preserve">un eventuale colloquio dopo il triage.</w:t>
      </w:r>
      <w:r>
        <w:t xml:space="preserve"> </w:t>
      </w:r>
      <w:r>
        <w:rPr>
          <w:b/>
          <w:bCs/>
        </w:rPr>
        <w:t xml:space="preserve">L’integrazione col percorso clinico</w:t>
      </w:r>
      <w:r>
        <w:t xml:space="preserve"> </w:t>
      </w:r>
      <w:r>
        <w:t xml:space="preserve">è fondamentale: i risultati del triage devono essere immediatamente accessibili allo psicologo di base, evitando ridondanze. Un punto cruciale è garantire la</w:t>
      </w:r>
      <w:r>
        <w:t xml:space="preserve"> </w:t>
      </w:r>
      <w:r>
        <w:rPr>
          <w:i/>
          <w:iCs/>
        </w:rPr>
        <w:t xml:space="preserve">sicurezza</w:t>
      </w:r>
      <w:r>
        <w:t xml:space="preserve"> </w:t>
      </w:r>
      <w:r>
        <w:t xml:space="preserve">e validità di tali strumenti: l’esempio inglese di Limbic, che ha ottenuto la certificazione Class IIa come dispositivo medico digitale, mostra la strada di una rigorosa valutazione clinica e regolatoria</w:t>
      </w:r>
      <w:hyperlink r:id="rId1924">
        <w:r>
          <w:rPr>
            <w:rStyle w:val="Hyperlink"/>
          </w:rPr>
          <w:t xml:space="preserve">[17]</w:t>
        </w:r>
      </w:hyperlink>
      <w:r>
        <w:t xml:space="preserve">. In Italia, il Ministero della Salute richiede marcature CE per software con funzione clinica, quindi qualsiasi piattaforma di triage andrà sottoposta a verifica scientifica (trial pilota) e autorizzativa. In cambio, i benefici attesi sono notevoli: un triage AI può gestire volumi molto alti di richieste simultaneamente,</w:t>
      </w:r>
      <w:r>
        <w:t xml:space="preserve"> </w:t>
      </w:r>
      <w:r>
        <w:rPr>
          <w:b/>
          <w:bCs/>
        </w:rPr>
        <w:t xml:space="preserve">riducendo i tempi di attesa e filtrando le priorità</w:t>
      </w:r>
      <w:r>
        <w:t xml:space="preserve">. Ad esempio,</w:t>
      </w:r>
      <w:r>
        <w:t xml:space="preserve"> </w:t>
      </w:r>
      <w:r>
        <w:rPr>
          <w:i/>
          <w:iCs/>
        </w:rPr>
        <w:t xml:space="preserve">Limbic</w:t>
      </w:r>
      <w:r>
        <w:t xml:space="preserve"> </w:t>
      </w:r>
      <w:r>
        <w:t xml:space="preserve">ha portato a una</w:t>
      </w:r>
      <w:r>
        <w:t xml:space="preserve"> </w:t>
      </w:r>
      <w:r>
        <w:rPr>
          <w:b/>
          <w:bCs/>
        </w:rPr>
        <w:t xml:space="preserve">riduzione del 13% dei tempi d’attesa per la valutazione</w:t>
      </w:r>
      <w:r>
        <w:t xml:space="preserve"> </w:t>
      </w:r>
      <w:r>
        <w:t xml:space="preserve">iniziale e del 5% per l’avvio del trattamento, oltre a far risparmiare migliaia di ore di lavoro clinico</w:t>
      </w:r>
      <w:hyperlink r:id="rId1926">
        <w:r>
          <w:rPr>
            <w:rStyle w:val="Hyperlink"/>
          </w:rPr>
          <w:t xml:space="preserve">[19]</w:t>
        </w:r>
      </w:hyperlink>
      <w:hyperlink r:id="rId1945">
        <w:r>
          <w:rPr>
            <w:rStyle w:val="Hyperlink"/>
          </w:rPr>
          <w:t xml:space="preserve">[39]</w:t>
        </w:r>
      </w:hyperlink>
      <w:r>
        <w:t xml:space="preserve">. In un contesto come quello pugliese, dove il personale specialistico scarseggia (come evidenziato a livello nazionale: i Dipartimenti di Salute Mentale seguono centinaia di migliaia di pazienti con organici insufficienti</w:t>
      </w:r>
      <w:hyperlink r:id="rId1946">
        <w:r>
          <w:rPr>
            <w:rStyle w:val="Hyperlink"/>
          </w:rPr>
          <w:t xml:space="preserve">[40]</w:t>
        </w:r>
      </w:hyperlink>
      <w:r>
        <w:t xml:space="preserve">), un triage automatizzato permetterebbe di</w:t>
      </w:r>
      <w:r>
        <w:t xml:space="preserve"> </w:t>
      </w:r>
      <w:r>
        <w:rPr>
          <w:b/>
          <w:bCs/>
        </w:rPr>
        <w:t xml:space="preserve">intercettare più precocemente</w:t>
      </w:r>
      <w:r>
        <w:t xml:space="preserve"> </w:t>
      </w:r>
      <w:r>
        <w:t xml:space="preserve">i bisogni e fare arrivare al professionista umano solo i casi appropriati. Questo strumento può anche agire da</w:t>
      </w:r>
      <w:r>
        <w:t xml:space="preserve"> </w:t>
      </w:r>
      <w:r>
        <w:t xml:space="preserve">“</w:t>
      </w:r>
      <w:r>
        <w:t xml:space="preserve">finestra di ingaggio</w:t>
      </w:r>
      <w:r>
        <w:t xml:space="preserve">”</w:t>
      </w:r>
      <w:r>
        <w:t xml:space="preserve"> </w:t>
      </w:r>
      <w:r>
        <w:t xml:space="preserve">per la popolazione giovane e digitalizzata che, come visto, tende a cercare aiuto in rete: offrire un chatbot pubblico e affidabile potrebbe</w:t>
      </w:r>
      <w:r>
        <w:t xml:space="preserve"> </w:t>
      </w:r>
      <w:r>
        <w:rPr>
          <w:b/>
          <w:bCs/>
        </w:rPr>
        <w:t xml:space="preserve">agganciare</w:t>
      </w:r>
      <w:r>
        <w:t xml:space="preserve"> </w:t>
      </w:r>
      <w:r>
        <w:t xml:space="preserve">quei ragazzi che esitano a recarsi di persona dallo psicologo, fornendo loro un primo aiuto e poi canalizzandoli verso la rete territoriale reale.</w:t>
      </w:r>
    </w:p>
    <w:p>
      <w:pPr>
        <w:numPr>
          <w:ilvl w:val="0"/>
          <w:numId w:val="1002"/>
        </w:numPr>
      </w:pPr>
      <w:r>
        <w:rPr>
          <w:b/>
          <w:bCs/>
        </w:rPr>
        <w:t xml:space="preserve">Sistemi esperti e supporto decisionale clinico:</w:t>
      </w:r>
      <w:r>
        <w:t xml:space="preserve"> </w:t>
      </w:r>
      <w:r>
        <w:t xml:space="preserve">sono applicazioni che codificano conoscenze mediche e psicologiche (linee guida, protocolli, esperienza specialistica) in modelli computazionali, per fornire consigli o avvisi ai clinici durante la loro pratica. Un sistema esperto nel nostro ambito potrebbe, ad esempio, implementare gli algoritmi decisionali presenti nelle LG (Linee Guida) per l’assistenza primaria in salute mentale: dalla scelta del trattamento per la depressione in base al grado (supporto psicologico, psicoterapia o farmaci) fino ai criteri di invio al secondo livello. In commercio esistono</w:t>
      </w:r>
      <w:r>
        <w:t xml:space="preserve"> </w:t>
      </w:r>
      <w:r>
        <w:rPr>
          <w:i/>
          <w:iCs/>
        </w:rPr>
        <w:t xml:space="preserve">Clinical Decision Support Systems (CDSS)</w:t>
      </w:r>
      <w:r>
        <w:t xml:space="preserve"> </w:t>
      </w:r>
      <w:r>
        <w:t xml:space="preserve">integrati in alcuni software gestionali medici: ad esempio, l’americana</w:t>
      </w:r>
      <w:r>
        <w:t xml:space="preserve"> </w:t>
      </w:r>
      <w:r>
        <w:rPr>
          <w:b/>
          <w:bCs/>
        </w:rPr>
        <w:t xml:space="preserve">UpToDate</w:t>
      </w:r>
      <w:r>
        <w:t xml:space="preserve"> </w:t>
      </w:r>
      <w:r>
        <w:t xml:space="preserve">fornisce uno strumento di supporto integrato con gli EHR che suggerisce possibili diagnosi in base ai sintomi inseriti e propone schemi di trattamento approvati. In psichiatria, alcuni CDSS sperimentali sfruttano l’IA per predire la risposta individuale ai farmaci (analizzando dati genomici e clinici) o per personalizzare il piano terapeutico. Nel contesto pugliese, un sistema di supporto decisionale potrebbe essere costruito all’interno della piattaforma informatica regionale per lo psicologo di base: mentre il professionista inserisce dati (es. diagnosi provvisoria, punteggi test, condizioni sociali), il modulo IA potrebbe generare un</w:t>
      </w:r>
      <w:r>
        <w:t xml:space="preserve"> </w:t>
      </w:r>
      <w:r>
        <w:rPr>
          <w:b/>
          <w:bCs/>
        </w:rPr>
        <w:t xml:space="preserve">checklist</w:t>
      </w:r>
      <w:r>
        <w:t xml:space="preserve"> </w:t>
      </w:r>
      <w:r>
        <w:t xml:space="preserve">di raccomandazioni:</w:t>
      </w:r>
      <w:r>
        <w:t xml:space="preserve"> </w:t>
      </w:r>
      <w:r>
        <w:t xml:space="preserve">“</w:t>
      </w:r>
      <w:r>
        <w:t xml:space="preserve">Verificare uso di sostanze? – sì/no</w:t>
      </w:r>
      <w:r>
        <w:t xml:space="preserve">”</w:t>
      </w:r>
      <w:r>
        <w:t xml:space="preserve">,</w:t>
      </w:r>
      <w:r>
        <w:t xml:space="preserve"> </w:t>
      </w:r>
      <w:r>
        <w:t xml:space="preserve">“</w:t>
      </w:r>
      <w:r>
        <w:t xml:space="preserve">Considerare valutazione psichiatrica – motivi: &gt;3 criteri di esclusione</w:t>
      </w:r>
      <w:r>
        <w:t xml:space="preserve">”</w:t>
      </w:r>
      <w:r>
        <w:t xml:space="preserve">, ecc. Un altro esempio concreto di decision support è il monitoraggio</w:t>
      </w:r>
      <w:r>
        <w:t xml:space="preserve"> </w:t>
      </w:r>
      <w:r>
        <w:rPr>
          <w:i/>
          <w:iCs/>
        </w:rPr>
        <w:t xml:space="preserve">population-based</w:t>
      </w:r>
      <w:r>
        <w:t xml:space="preserve">: nei modelli di Collaborative Care, si utilizzano registri elettronici che evidenziano ai care manager i pazienti che non stanno migliorando (punteggi scale statici o peggiorati) e suggeriscono di intervenire</w:t>
      </w:r>
      <w:hyperlink r:id="rId1934">
        <w:r>
          <w:rPr>
            <w:rStyle w:val="Hyperlink"/>
          </w:rPr>
          <w:t xml:space="preserve">[28]</w:t>
        </w:r>
      </w:hyperlink>
      <w:hyperlink r:id="rId1935">
        <w:r>
          <w:rPr>
            <w:rStyle w:val="Hyperlink"/>
          </w:rPr>
          <w:t xml:space="preserve">[29]</w:t>
        </w:r>
      </w:hyperlink>
      <w:r>
        <w:t xml:space="preserve">. Un’IA può automatizzare tale funzione su larga scala, ad esempio inviando</w:t>
      </w:r>
      <w:r>
        <w:t xml:space="preserve"> </w:t>
      </w:r>
      <w:r>
        <w:rPr>
          <w:b/>
          <w:bCs/>
        </w:rPr>
        <w:t xml:space="preserve">alert settimanali</w:t>
      </w:r>
      <w:r>
        <w:t xml:space="preserve"> </w:t>
      </w:r>
      <w:r>
        <w:t xml:space="preserve">allo psicologo di base:</w:t>
      </w:r>
      <w:r>
        <w:t xml:space="preserve"> </w:t>
      </w:r>
      <w:r>
        <w:t xml:space="preserve">“</w:t>
      </w:r>
      <w:r>
        <w:t xml:space="preserve">dei tuoi 50 pazienti attivi, questi 5 non mostrano miglioramenti dopo 1 mese – valutare cambiamento strategia</w:t>
      </w:r>
      <w:r>
        <w:t xml:space="preserve">”</w:t>
      </w:r>
      <w:r>
        <w:t xml:space="preserve">. Questo approccio assicura che nessuno</w:t>
      </w:r>
      <w:r>
        <w:t xml:space="preserve"> </w:t>
      </w:r>
      <w:r>
        <w:t xml:space="preserve">“</w:t>
      </w:r>
      <w:r>
        <w:t xml:space="preserve">scivoli attraverso le maglie</w:t>
      </w:r>
      <w:r>
        <w:t xml:space="preserve">”</w:t>
      </w:r>
      <w:r>
        <w:t xml:space="preserve"> </w:t>
      </w:r>
      <w:r>
        <w:t xml:space="preserve">senza accorgersi della mancata efficacia. Per implementare tali sistemi in Puglia, si potrebbero sfruttare partnership con produttori di software sanitari che già lavorano su AI in medicina generale, oppure bandi di innovazione (i fondi del PNRR Missione Salute dedicano risorse alla digitalizzazione dei servizi territoriali, e progetti di CDSS potrebbero rientrarvi). È fondamentale coinvolgere nel design anche gli utilizzatori finali – MMG e psicologi – per garantire che il sistema esperto si integri nel flusso di lavoro quotidiano in modo naturale. Un sistema di supporto decisionale efficace può migliorare sia la</w:t>
      </w:r>
      <w:r>
        <w:t xml:space="preserve"> </w:t>
      </w:r>
      <w:r>
        <w:rPr>
          <w:b/>
          <w:bCs/>
        </w:rPr>
        <w:t xml:space="preserve">qualità</w:t>
      </w:r>
      <w:r>
        <w:t xml:space="preserve"> </w:t>
      </w:r>
      <w:r>
        <w:t xml:space="preserve">delle scelte cliniche (rispettando maggiormente le evidenze) sia la</w:t>
      </w:r>
      <w:r>
        <w:t xml:space="preserve"> </w:t>
      </w:r>
      <w:r>
        <w:rPr>
          <w:b/>
          <w:bCs/>
        </w:rPr>
        <w:t xml:space="preserve">sicurezza</w:t>
      </w:r>
      <w:r>
        <w:t xml:space="preserve"> </w:t>
      </w:r>
      <w:r>
        <w:t xml:space="preserve">(riducendo omissioni: es. non dimenticare di chiedere idee suicidarie a un depresso, perché il sistema lo ricorda). Tuttavia, va mantenuto un equilibrio: l’IA</w:t>
      </w:r>
      <w:r>
        <w:t xml:space="preserve"> </w:t>
      </w:r>
      <w:r>
        <w:rPr>
          <w:i/>
          <w:iCs/>
        </w:rPr>
        <w:t xml:space="preserve">propone</w:t>
      </w:r>
      <w:r>
        <w:t xml:space="preserve">, ma il clinico</w:t>
      </w:r>
      <w:r>
        <w:t xml:space="preserve"> </w:t>
      </w:r>
      <w:r>
        <w:rPr>
          <w:i/>
          <w:iCs/>
        </w:rPr>
        <w:t xml:space="preserve">dispone</w:t>
      </w:r>
      <w:r>
        <w:t xml:space="preserve">; le linee guida vanno personalizzate al caso, e l’</w:t>
      </w:r>
      <w:r>
        <w:rPr>
          <w:b/>
          <w:bCs/>
        </w:rPr>
        <w:t xml:space="preserve">empatia</w:t>
      </w:r>
      <w:r>
        <w:t xml:space="preserve"> </w:t>
      </w:r>
      <w:r>
        <w:t xml:space="preserve">e il giudizio umano restano sovrani, come sottolineano gli esperti sul corretto uso di questi strumenti</w:t>
      </w:r>
      <w:hyperlink r:id="rId1917">
        <w:r>
          <w:rPr>
            <w:rStyle w:val="Hyperlink"/>
          </w:rPr>
          <w:t xml:space="preserve">[11]</w:t>
        </w:r>
      </w:hyperlink>
      <w:r>
        <w:t xml:space="preserve">.</w:t>
      </w:r>
    </w:p>
    <w:p>
      <w:pPr>
        <w:numPr>
          <w:ilvl w:val="0"/>
          <w:numId w:val="1002"/>
        </w:numPr>
      </w:pPr>
      <w:r>
        <w:rPr>
          <w:b/>
          <w:bCs/>
        </w:rPr>
        <w:t xml:space="preserve">Analisi del linguaggio naturale (NLP) clinico:</w:t>
      </w:r>
      <w:r>
        <w:t xml:space="preserve"> </w:t>
      </w:r>
      <w:r>
        <w:t xml:space="preserve">la NLP applicata al testo e al parlato clinico è uno dei campi più maturi dell’IA sanitaria. Consente di</w:t>
      </w:r>
      <w:r>
        <w:t xml:space="preserve"> </w:t>
      </w:r>
      <w:r>
        <w:rPr>
          <w:i/>
          <w:iCs/>
        </w:rPr>
        <w:t xml:space="preserve">estrarre informazione utile</w:t>
      </w:r>
      <w:r>
        <w:t xml:space="preserve"> </w:t>
      </w:r>
      <w:r>
        <w:t xml:space="preserve">da documenti non strutturati (come appunti, referti, trascrizioni colloqui) e di interagire in linguaggio naturale con gli utenti. Nel contesto psicologico, abbiamo almeno tre utilizzi principali: (1)</w:t>
      </w:r>
      <w:r>
        <w:t xml:space="preserve"> </w:t>
      </w:r>
      <w:r>
        <w:rPr>
          <w:b/>
          <w:bCs/>
        </w:rPr>
        <w:t xml:space="preserve">Trascrizione e sintesi automatica</w:t>
      </w:r>
      <w:r>
        <w:t xml:space="preserve"> </w:t>
      </w:r>
      <w:r>
        <w:t xml:space="preserve">di colloqui e note: oggi algoritmi di speech-to-text altamente accurati (anche in italiano) possono trascrivere una seduta verbale, mentre modelli di riassunto testuale (anche basati su</w:t>
      </w:r>
      <w:r>
        <w:t xml:space="preserve"> </w:t>
      </w:r>
      <w:r>
        <w:rPr>
          <w:i/>
          <w:iCs/>
        </w:rPr>
        <w:t xml:space="preserve">Transformer</w:t>
      </w:r>
      <w:r>
        <w:t xml:space="preserve"> </w:t>
      </w:r>
      <w:r>
        <w:t xml:space="preserve">come GPT) possono redigere una sintesi focalizzata. Questo può ridurre drasticamente il tempo di scrittura di relazioni da parte del professionista. (2)</w:t>
      </w:r>
      <w:r>
        <w:t xml:space="preserve"> </w:t>
      </w:r>
      <w:r>
        <w:rPr>
          <w:b/>
          <w:bCs/>
        </w:rPr>
        <w:t xml:space="preserve">Rilevazione di marker linguistici di psicopatologia:</w:t>
      </w:r>
      <w:r>
        <w:t xml:space="preserve"> </w:t>
      </w:r>
      <w:r>
        <w:t xml:space="preserve">come accennato, la NLP può analizzare i contenuti del linguaggio del paziente per individuare segnali di depressione, ansia, pensiero disorganizzato. Ad esempio, studi mostrano che l’uso eccessivo di pronomi in prima persona e di parole con valenza negativa è correlato alla depressione; oppure frasi logicamente incoerenti e salti di argomento possono suggerire disturbi del pensiero. Una IA addestrata su grandi corpora di testi di pazienti con disturbi specifici potrebbe fornire al clinico</w:t>
      </w:r>
      <w:r>
        <w:t xml:space="preserve"> </w:t>
      </w:r>
      <w:r>
        <w:rPr>
          <w:i/>
          <w:iCs/>
        </w:rPr>
        <w:t xml:space="preserve">indicazioni probabilistiche</w:t>
      </w:r>
      <w:r>
        <w:t xml:space="preserve"> </w:t>
      </w:r>
      <w:r>
        <w:t xml:space="preserve">(</w:t>
      </w:r>
      <w:r>
        <w:t xml:space="preserve">“</w:t>
      </w:r>
      <w:r>
        <w:t xml:space="preserve">il discorso del paziente presenta pattern associati a rischio psicotico del 80%</w:t>
      </w:r>
      <w:hyperlink r:id="rId1932">
        <w:r>
          <w:rPr>
            <w:rStyle w:val="Hyperlink"/>
          </w:rPr>
          <w:t xml:space="preserve">[26]</w:t>
        </w:r>
      </w:hyperlink>
      <w:r>
        <w:t xml:space="preserve">”</w:t>
      </w:r>
      <w:r>
        <w:t xml:space="preserve">). (3)</w:t>
      </w:r>
      <w:r>
        <w:t xml:space="preserve"> </w:t>
      </w:r>
      <w:r>
        <w:rPr>
          <w:b/>
          <w:bCs/>
        </w:rPr>
        <w:t xml:space="preserve">Chatbot conversazionali e Virtual Coach:</w:t>
      </w:r>
      <w:r>
        <w:t xml:space="preserve"> </w:t>
      </w:r>
      <w:r>
        <w:t xml:space="preserve">grazie alle tecniche NLP (in particolare modelli di linguaggio di ultima generazione tipo GPT-4), oggi è possibile costruire</w:t>
      </w:r>
      <w:r>
        <w:t xml:space="preserve"> </w:t>
      </w:r>
      <w:r>
        <w:rPr>
          <w:i/>
          <w:iCs/>
        </w:rPr>
        <w:t xml:space="preserve">assistenti virtuali</w:t>
      </w:r>
      <w:r>
        <w:t xml:space="preserve"> </w:t>
      </w:r>
      <w:r>
        <w:t xml:space="preserve">capaci di sostenere conversazioni abbastanza naturali su temi di benessere mentale. Questi chatbot possono svolgere varie funzioni: fornire supporto emotivo di base, coaching motivazionale, psicoeducazione, o anche veri e propri moduli terapeutici strutturati (ad esempio eseguire un esercizio di ristrutturazione cognitiva guidata). Diversi chatbot terapeutici sono già disponibili commercialmente:</w:t>
      </w:r>
      <w:r>
        <w:t xml:space="preserve"> </w:t>
      </w:r>
      <w:r>
        <w:rPr>
          <w:b/>
          <w:bCs/>
        </w:rPr>
        <w:t xml:space="preserve">Woebot</w:t>
      </w:r>
      <w:r>
        <w:t xml:space="preserve">,</w:t>
      </w:r>
      <w:r>
        <w:t xml:space="preserve"> </w:t>
      </w:r>
      <w:r>
        <w:rPr>
          <w:b/>
          <w:bCs/>
        </w:rPr>
        <w:t xml:space="preserve">Wysa</w:t>
      </w:r>
      <w:r>
        <w:t xml:space="preserve">,</w:t>
      </w:r>
      <w:r>
        <w:t xml:space="preserve"> </w:t>
      </w:r>
      <w:r>
        <w:rPr>
          <w:b/>
          <w:bCs/>
        </w:rPr>
        <w:t xml:space="preserve">Replika</w:t>
      </w:r>
      <w:r>
        <w:t xml:space="preserve">,</w:t>
      </w:r>
      <w:r>
        <w:t xml:space="preserve"> </w:t>
      </w:r>
      <w:r>
        <w:rPr>
          <w:b/>
          <w:bCs/>
        </w:rPr>
        <w:t xml:space="preserve">Tess</w:t>
      </w:r>
      <w:r>
        <w:t xml:space="preserve">, per citarne alcuni, orientati alla gestione di ansia, depressione lieve, stress. Le evidenze iniziali suggeriscono che possono ottenere riduzioni significative di sintomi in utenti ingaggiati, sebbene non sostituiscano il terapeuta umano</w:t>
      </w:r>
      <w:hyperlink r:id="rId1947">
        <w:r>
          <w:rPr>
            <w:rStyle w:val="Hyperlink"/>
          </w:rPr>
          <w:t xml:space="preserve">[41]</w:t>
        </w:r>
      </w:hyperlink>
      <w:hyperlink r:id="rId1948">
        <w:r>
          <w:rPr>
            <w:rStyle w:val="Hyperlink"/>
          </w:rPr>
          <w:t xml:space="preserve">[42]</w:t>
        </w:r>
      </w:hyperlink>
      <w:r>
        <w:t xml:space="preserve">. Per il modello pugliese, i chatbot potrebbero essere integrati come</w:t>
      </w:r>
      <w:r>
        <w:t xml:space="preserve"> </w:t>
      </w:r>
      <w:r>
        <w:rPr>
          <w:i/>
          <w:iCs/>
        </w:rPr>
        <w:t xml:space="preserve">strumento complementare</w:t>
      </w:r>
      <w:r>
        <w:t xml:space="preserve">: ad esempio, il servizio regionale potrebbe offrire un</w:t>
      </w:r>
      <w:r>
        <w:t xml:space="preserve"> </w:t>
      </w:r>
      <w:r>
        <w:rPr>
          <w:b/>
          <w:bCs/>
        </w:rPr>
        <w:t xml:space="preserve">chatbot</w:t>
      </w:r>
      <w:r>
        <w:rPr>
          <w:b/>
          <w:bCs/>
        </w:rPr>
        <w:t xml:space="preserve"> </w:t>
      </w:r>
      <w:r>
        <w:rPr>
          <w:b/>
          <w:bCs/>
        </w:rPr>
        <w:t xml:space="preserve">“</w:t>
      </w:r>
      <w:r>
        <w:rPr>
          <w:b/>
          <w:bCs/>
        </w:rPr>
        <w:t xml:space="preserve">Psicologo Virtuale</w:t>
      </w:r>
      <w:r>
        <w:rPr>
          <w:b/>
          <w:bCs/>
        </w:rPr>
        <w:t xml:space="preserve">”</w:t>
      </w:r>
      <w:r>
        <w:t xml:space="preserve"> </w:t>
      </w:r>
      <w:r>
        <w:t xml:space="preserve">accessibile h24 per consigli e supporto immediato, magari supervisionato a distanza da psicologi reali che ne monitorano le interazioni più critiche. In aggiunta, chatbot specializzati potrebbero essere impiegati per particolari target: un</w:t>
      </w:r>
      <w:r>
        <w:t xml:space="preserve"> </w:t>
      </w:r>
      <w:r>
        <w:rPr>
          <w:i/>
          <w:iCs/>
        </w:rPr>
        <w:t xml:space="preserve">chatbot giovane</w:t>
      </w:r>
      <w:r>
        <w:t xml:space="preserve"> </w:t>
      </w:r>
      <w:r>
        <w:t xml:space="preserve">con linguaggio adatto per adolescenti (che spesso si fidano di più a chattare anonimamente come emerge dalle indagini Altroconsumo</w:t>
      </w:r>
      <w:hyperlink r:id="rId1909">
        <w:r>
          <w:rPr>
            <w:rStyle w:val="Hyperlink"/>
          </w:rPr>
          <w:t xml:space="preserve">[3]</w:t>
        </w:r>
      </w:hyperlink>
      <w:r>
        <w:t xml:space="preserve">), oppure un chatbot per neo-mamme affette da ansia post-partum che fornisce tecniche di respirazione e mindfulness on-demand. Implementare efficacemente la NLP clinica richiede però</w:t>
      </w:r>
      <w:r>
        <w:t xml:space="preserve"> </w:t>
      </w:r>
      <w:r>
        <w:rPr>
          <w:b/>
          <w:bCs/>
        </w:rPr>
        <w:t xml:space="preserve">dataset di addestramento locali</w:t>
      </w:r>
      <w:r>
        <w:t xml:space="preserve">: la lingua italiana e le espressioni culturali locali devono essere ben rappresentate per evitare fraintendimenti da parte dell’IA. Un’idea è collaborare con centri di ricerca (come il Digital Mental Health Lab citato in Bicocca</w:t>
      </w:r>
      <w:hyperlink r:id="rId1949">
        <w:r>
          <w:rPr>
            <w:rStyle w:val="Hyperlink"/>
          </w:rPr>
          <w:t xml:space="preserve">[43]</w:t>
        </w:r>
      </w:hyperlink>
      <w:r>
        <w:t xml:space="preserve">) per sviluppare algoritmi NLP tarati sul parlato pugliese, eventualmente sfruttando i dati raccolti in fase pilota (con tutte le garanzie di anonimizzazione e consenso). Da non dimenticare l’uso della NLP per</w:t>
      </w:r>
      <w:r>
        <w:t xml:space="preserve"> </w:t>
      </w:r>
      <w:r>
        <w:rPr>
          <w:i/>
          <w:iCs/>
        </w:rPr>
        <w:t xml:space="preserve">traduzione automatica</w:t>
      </w:r>
      <w:r>
        <w:t xml:space="preserve">: in una regione con presenza di migranti e minoranze linguistiche, un modulo AI potrebbe tradurre in tempo reale colloqui in altra lingua, abbattendo barriere linguistiche e culturali (aspetto critico segnalato per l’accesso di migranti ai servizi di salute mentale</w:t>
      </w:r>
      <w:hyperlink r:id="rId1950">
        <w:r>
          <w:rPr>
            <w:rStyle w:val="Hyperlink"/>
          </w:rPr>
          <w:t xml:space="preserve">[44]</w:t>
        </w:r>
      </w:hyperlink>
      <w:r>
        <w:t xml:space="preserve">). In sintesi, gli strumenti NLP sono</w:t>
      </w:r>
      <w:r>
        <w:t xml:space="preserve"> </w:t>
      </w:r>
      <w:r>
        <w:rPr>
          <w:i/>
          <w:iCs/>
        </w:rPr>
        <w:t xml:space="preserve">versatili</w:t>
      </w:r>
      <w:r>
        <w:t xml:space="preserve"> </w:t>
      </w:r>
      <w:r>
        <w:t xml:space="preserve">e possono pervadere diverse attività: dall’automatizzazione documentale alla conversazione diretta col paziente. La chiave sarà integrarli gradualmente, testandone l’accuratezza e mantenendo sempre un</w:t>
      </w:r>
      <w:r>
        <w:t xml:space="preserve"> </w:t>
      </w:r>
      <w:r>
        <w:rPr>
          <w:i/>
          <w:iCs/>
        </w:rPr>
        <w:t xml:space="preserve">human-in-the-loop</w:t>
      </w:r>
      <w:r>
        <w:t xml:space="preserve"> </w:t>
      </w:r>
      <w:r>
        <w:t xml:space="preserve">(il professionista che supervisiona e interviene se l’IA sbaglia o non capisce).</w:t>
      </w:r>
    </w:p>
    <w:p>
      <w:pPr>
        <w:numPr>
          <w:ilvl w:val="0"/>
          <w:numId w:val="1002"/>
        </w:numPr>
      </w:pPr>
      <w:r>
        <w:rPr>
          <w:b/>
          <w:bCs/>
        </w:rPr>
        <w:t xml:space="preserve">Assistenti virtuali e chatbot terapeutici:</w:t>
      </w:r>
      <w:r>
        <w:t xml:space="preserve"> </w:t>
      </w:r>
      <w:r>
        <w:t xml:space="preserve">già menzionati nel contesto NLP, meritano però un approfondimento specifico come strumento a sé stante. Gli assistenti virtuali possono essere concepiti sia per</w:t>
      </w:r>
      <w:r>
        <w:t xml:space="preserve"> </w:t>
      </w:r>
      <w:r>
        <w:rPr>
          <w:b/>
          <w:bCs/>
        </w:rPr>
        <w:t xml:space="preserve">uso del paziente</w:t>
      </w:r>
      <w:r>
        <w:t xml:space="preserve"> </w:t>
      </w:r>
      <w:r>
        <w:t xml:space="preserve">(front-end) che per</w:t>
      </w:r>
      <w:r>
        <w:t xml:space="preserve"> </w:t>
      </w:r>
      <w:r>
        <w:rPr>
          <w:b/>
          <w:bCs/>
        </w:rPr>
        <w:t xml:space="preserve">uso del clinico</w:t>
      </w:r>
      <w:r>
        <w:t xml:space="preserve"> </w:t>
      </w:r>
      <w:r>
        <w:t xml:space="preserve">(back-end). L’assistente front-end è il</w:t>
      </w:r>
      <w:r>
        <w:t xml:space="preserve"> </w:t>
      </w:r>
      <w:r>
        <w:rPr>
          <w:i/>
          <w:iCs/>
        </w:rPr>
        <w:t xml:space="preserve">chatbot terapeutico</w:t>
      </w:r>
      <w:r>
        <w:t xml:space="preserve"> </w:t>
      </w:r>
      <w:r>
        <w:t xml:space="preserve">che interagisce con l’utente. L’evidenza più recente suggerisce che tali chatbot funzionano meglio come</w:t>
      </w:r>
      <w:r>
        <w:t xml:space="preserve"> </w:t>
      </w:r>
      <w:r>
        <w:rPr>
          <w:i/>
          <w:iCs/>
        </w:rPr>
        <w:t xml:space="preserve">integratori</w:t>
      </w:r>
      <w:r>
        <w:t xml:space="preserve"> </w:t>
      </w:r>
      <w:r>
        <w:t xml:space="preserve">del percorso clinico tradizionale, piuttosto che in isolamento</w:t>
      </w:r>
      <w:hyperlink r:id="rId1951">
        <w:r>
          <w:rPr>
            <w:rStyle w:val="Hyperlink"/>
          </w:rPr>
          <w:t xml:space="preserve">[45]</w:t>
        </w:r>
      </w:hyperlink>
      <w:hyperlink r:id="rId1952">
        <w:r>
          <w:rPr>
            <w:rStyle w:val="Hyperlink"/>
          </w:rPr>
          <w:t xml:space="preserve">[46]</w:t>
        </w:r>
      </w:hyperlink>
      <w:r>
        <w:t xml:space="preserve">. Ad esempio, possono mantenere coinvolto il paziente tra una seduta e l’altra (ping giornalieri, esercizi di rinforzo), rispondere a dubbi che il paziente potrebbe avere (quasi fossero una</w:t>
      </w:r>
      <w:r>
        <w:t xml:space="preserve"> </w:t>
      </w:r>
      <w:r>
        <w:rPr>
          <w:i/>
          <w:iCs/>
        </w:rPr>
        <w:t xml:space="preserve">FAQ interattiva</w:t>
      </w:r>
      <w:r>
        <w:t xml:space="preserve"> </w:t>
      </w:r>
      <w:r>
        <w:t xml:space="preserve">sulla propria condizione), o aiutarlo a monitorare i sintomi tramite dialogo. Un caso interessante è</w:t>
      </w:r>
      <w:r>
        <w:t xml:space="preserve"> </w:t>
      </w:r>
      <w:r>
        <w:rPr>
          <w:b/>
          <w:bCs/>
        </w:rPr>
        <w:t xml:space="preserve">Wysa</w:t>
      </w:r>
      <w:r>
        <w:t xml:space="preserve">, chatbot basato su AI che combina tecniche di terapia cognitivo-comportamentale con una conversazione amichevole; è stato sperimentato anche in contesti di sanità pubblica (NHS scozzese) come supporto a giovani in lista d’attesa per lo psicologo. In Puglia, si potrebbe immaginare di offrire a ogni paziente che entra nel percorso psicologico di base l’accesso a un</w:t>
      </w:r>
      <w:r>
        <w:t xml:space="preserve"> </w:t>
      </w:r>
      <w:r>
        <w:rPr>
          <w:i/>
          <w:iCs/>
        </w:rPr>
        <w:t xml:space="preserve">chatbot</w:t>
      </w:r>
      <w:r>
        <w:t xml:space="preserve"> </w:t>
      </w:r>
      <w:r>
        <w:t xml:space="preserve">ufficiale (via app) che funga da</w:t>
      </w:r>
      <w:r>
        <w:t xml:space="preserve"> </w:t>
      </w:r>
      <w:r>
        <w:t xml:space="preserve">“</w:t>
      </w:r>
      <w:r>
        <w:t xml:space="preserve">coach digitale</w:t>
      </w:r>
      <w:r>
        <w:t xml:space="preserve">”</w:t>
      </w:r>
      <w:r>
        <w:t xml:space="preserve"> </w:t>
      </w:r>
      <w:r>
        <w:t xml:space="preserve">in parallelo all’attività dello psicologo umano. Questo non solo aumenterebbe la</w:t>
      </w:r>
      <w:r>
        <w:t xml:space="preserve"> </w:t>
      </w:r>
      <w:r>
        <w:rPr>
          <w:b/>
          <w:bCs/>
        </w:rPr>
        <w:t xml:space="preserve">frequenza di interazione</w:t>
      </w:r>
      <w:r>
        <w:t xml:space="preserve"> </w:t>
      </w:r>
      <w:r>
        <w:t xml:space="preserve">(il paziente avrebbe un canale sempre aperto di sfogo e supporto), ma genererebbe dati utili per il clinico: ad esempio, se il chatbot rileva che il paziente riporta insonnia grave o idee di autosvalutazione durante le chat notturne, potrebbe segnalarlo allo psicologo di base per anticipare la successiva seduta. Va sottolineato tuttavia che l’</w:t>
      </w:r>
      <w:r>
        <w:rPr>
          <w:b/>
          <w:bCs/>
        </w:rPr>
        <w:t xml:space="preserve">uso etico e sicuro</w:t>
      </w:r>
      <w:r>
        <w:t xml:space="preserve"> </w:t>
      </w:r>
      <w:r>
        <w:t xml:space="preserve">di chatbot in salute mentale richiede attenzione: errori o risposte inadeguate dell’IA in momenti delicati potrebbero danneggiare la fiducia o, peggio, la salute dell’utente. Perciò i chatbot dovrebbero essere ben testati e, idealmente,</w:t>
      </w:r>
      <w:r>
        <w:t xml:space="preserve"> </w:t>
      </w:r>
      <w:r>
        <w:rPr>
          <w:b/>
          <w:bCs/>
        </w:rPr>
        <w:t xml:space="preserve">supervisionati</w:t>
      </w:r>
      <w:r>
        <w:t xml:space="preserve">: ad esempio con un meccanismo per cui in caso di identificazione di parole chiave critiche (suicidio, violenza, psicosi acuta) la conversazione viene inoltrata in tempo reale a un operatore umano reperibile (o il chatbot invita a contattare servizi d’emergenza). Sul fronte clinico (back-end), invece, l’assistente virtuale potrebbe aiutare gli operatori nello svolgere compiti di routine: per i MMG esistono già</w:t>
      </w:r>
      <w:r>
        <w:t xml:space="preserve"> </w:t>
      </w:r>
      <w:r>
        <w:rPr>
          <w:i/>
          <w:iCs/>
        </w:rPr>
        <w:t xml:space="preserve">voice assistants</w:t>
      </w:r>
      <w:r>
        <w:t xml:space="preserve"> </w:t>
      </w:r>
      <w:r>
        <w:t xml:space="preserve">in lingua inglese che durante la visita ascoltano la conversazione medico-paziente e inseriscono automaticamente dati nell’Electronic Health Record. In ambito psicologico, un</w:t>
      </w:r>
      <w:r>
        <w:t xml:space="preserve"> </w:t>
      </w:r>
      <w:r>
        <w:rPr>
          <w:i/>
          <w:iCs/>
        </w:rPr>
        <w:t xml:space="preserve">assistente vocale</w:t>
      </w:r>
      <w:r>
        <w:t xml:space="preserve"> </w:t>
      </w:r>
      <w:r>
        <w:t xml:space="preserve">potrebbe fungere da</w:t>
      </w:r>
      <w:r>
        <w:t xml:space="preserve"> </w:t>
      </w:r>
      <w:r>
        <w:t xml:space="preserve">“</w:t>
      </w:r>
      <w:r>
        <w:t xml:space="preserve">segretaria virtuale</w:t>
      </w:r>
      <w:r>
        <w:t xml:space="preserve">”</w:t>
      </w:r>
      <w:r>
        <w:t xml:space="preserve"> </w:t>
      </w:r>
      <w:r>
        <w:t xml:space="preserve">durante la seduta: lo psicologo potrebbe con un semplice comando vocale chiedere</w:t>
      </w:r>
      <w:r>
        <w:t xml:space="preserve"> </w:t>
      </w:r>
      <w:r>
        <w:t xml:space="preserve">“</w:t>
      </w:r>
      <w:r>
        <w:t xml:space="preserve">Mostrami l’andamento dei punteggi di questo paziente</w:t>
      </w:r>
      <w:r>
        <w:t xml:space="preserve">”</w:t>
      </w:r>
      <w:r>
        <w:t xml:space="preserve"> </w:t>
      </w:r>
      <w:r>
        <w:t xml:space="preserve">e l’IA visualizza un grafico, oppure</w:t>
      </w:r>
      <w:r>
        <w:t xml:space="preserve"> </w:t>
      </w:r>
      <w:r>
        <w:t xml:space="preserve">“</w:t>
      </w:r>
      <w:r>
        <w:t xml:space="preserve">Prendi nota: il paziente accetta di partecipare al gruppo di auto-aiuto</w:t>
      </w:r>
      <w:r>
        <w:t xml:space="preserve">”</w:t>
      </w:r>
      <w:r>
        <w:t xml:space="preserve"> </w:t>
      </w:r>
      <w:r>
        <w:t xml:space="preserve">e il sistema lo registra. Queste interazioni naturali velocizzano l’uso dei sistemi informatici, riducendo la</w:t>
      </w:r>
      <w:r>
        <w:t xml:space="preserve"> </w:t>
      </w:r>
      <w:r>
        <w:rPr>
          <w:i/>
          <w:iCs/>
        </w:rPr>
        <w:t xml:space="preserve">distrazione tecnologica</w:t>
      </w:r>
      <w:r>
        <w:t xml:space="preserve"> </w:t>
      </w:r>
      <w:r>
        <w:t xml:space="preserve">durante l’incontro clinico. In definitiva, gli assistenti virtuali – sia lato paziente che lato clinico – possono migliorare l’</w:t>
      </w:r>
      <w:r>
        <w:rPr>
          <w:b/>
          <w:bCs/>
        </w:rPr>
        <w:t xml:space="preserve">esperienza utente</w:t>
      </w:r>
      <w:r>
        <w:t xml:space="preserve"> </w:t>
      </w:r>
      <w:r>
        <w:t xml:space="preserve">rendendo più fluido e</w:t>
      </w:r>
      <w:r>
        <w:t xml:space="preserve"> </w:t>
      </w:r>
      <w:r>
        <w:t xml:space="preserve">“</w:t>
      </w:r>
      <w:r>
        <w:t xml:space="preserve">umano</w:t>
      </w:r>
      <w:r>
        <w:t xml:space="preserve">”</w:t>
      </w:r>
      <w:r>
        <w:t xml:space="preserve"> </w:t>
      </w:r>
      <w:r>
        <w:t xml:space="preserve">l’utilizzo della tecnologia. La Regione potrebbe valutare l’adozione di soluzioni esistenti (alcune tech company italiane sono attive nel settore, es. l’</w:t>
      </w:r>
      <w:r>
        <w:rPr>
          <w:b/>
          <w:bCs/>
        </w:rPr>
        <w:t xml:space="preserve">IDEGO</w:t>
      </w:r>
      <w:r>
        <w:t xml:space="preserve"> </w:t>
      </w:r>
      <w:r>
        <w:t xml:space="preserve">di Milano sviluppa piattaforme di psicoterapia digitale con AI</w:t>
      </w:r>
      <w:hyperlink r:id="rId1953">
        <w:r>
          <w:rPr>
            <w:rStyle w:val="Hyperlink"/>
          </w:rPr>
          <w:t xml:space="preserve">[47]</w:t>
        </w:r>
      </w:hyperlink>
      <w:r>
        <w:t xml:space="preserve">) oppure promuovere lo sviluppo di un assistente virtuale</w:t>
      </w:r>
      <w:r>
        <w:t xml:space="preserve"> </w:t>
      </w:r>
      <w:r>
        <w:rPr>
          <w:i/>
          <w:iCs/>
        </w:rPr>
        <w:t xml:space="preserve">ad hoc</w:t>
      </w:r>
      <w:r>
        <w:t xml:space="preserve"> </w:t>
      </w:r>
      <w:r>
        <w:t xml:space="preserve">per il progetto Psicologo di Base (magari coinvolgendo startup locali in un appalto di innovazione). Un</w:t>
      </w:r>
      <w:r>
        <w:t xml:space="preserve"> </w:t>
      </w:r>
      <w:r>
        <w:rPr>
          <w:i/>
          <w:iCs/>
        </w:rPr>
        <w:t xml:space="preserve">branding</w:t>
      </w:r>
      <w:r>
        <w:t xml:space="preserve"> </w:t>
      </w:r>
      <w:r>
        <w:t xml:space="preserve">locale (es. chiamarlo</w:t>
      </w:r>
      <w:r>
        <w:t xml:space="preserve"> </w:t>
      </w:r>
      <w:r>
        <w:t xml:space="preserve">“</w:t>
      </w:r>
      <w:r>
        <w:t xml:space="preserve">ApuliaBot</w:t>
      </w:r>
      <w:r>
        <w:t xml:space="preserve">”</w:t>
      </w:r>
      <w:r>
        <w:t xml:space="preserve"> </w:t>
      </w:r>
      <w:r>
        <w:t xml:space="preserve">o simili) potrebbe persino facilitarne l’accettazione tra la popolazione.</w:t>
      </w:r>
    </w:p>
    <w:p>
      <w:pPr>
        <w:numPr>
          <w:ilvl w:val="0"/>
          <w:numId w:val="1002"/>
        </w:numPr>
      </w:pPr>
      <w:r>
        <w:rPr>
          <w:b/>
          <w:bCs/>
        </w:rPr>
        <w:t xml:space="preserve">Cruscotti predittivi e strumenti di analisi dei dati:</w:t>
      </w:r>
      <w:r>
        <w:t xml:space="preserve"> </w:t>
      </w:r>
      <w:r>
        <w:t xml:space="preserve">in una prospettiva di governance e miglioramento continuo della qualità, i</w:t>
      </w:r>
      <w:r>
        <w:t xml:space="preserve"> </w:t>
      </w:r>
      <w:r>
        <w:rPr>
          <w:i/>
          <w:iCs/>
        </w:rPr>
        <w:t xml:space="preserve">predictive analytics</w:t>
      </w:r>
      <w:r>
        <w:t xml:space="preserve"> </w:t>
      </w:r>
      <w:r>
        <w:t xml:space="preserve">alimentati da IA offrono un potente alleato. Un</w:t>
      </w:r>
      <w:r>
        <w:t xml:space="preserve"> </w:t>
      </w:r>
      <w:r>
        <w:rPr>
          <w:b/>
          <w:bCs/>
        </w:rPr>
        <w:t xml:space="preserve">cruscotto predittivo</w:t>
      </w:r>
      <w:r>
        <w:t xml:space="preserve"> </w:t>
      </w:r>
      <w:r>
        <w:t xml:space="preserve">è tipicamente un pannello di controllo per i manager e i decisori, dove oltre ai dati descrittivi (quanti pazienti, che esiti, ecc.) compaiono indicazioni previsionali: ad esempio la proiezione del</w:t>
      </w:r>
      <w:r>
        <w:t xml:space="preserve"> </w:t>
      </w:r>
      <w:r>
        <w:rPr>
          <w:i/>
          <w:iCs/>
        </w:rPr>
        <w:t xml:space="preserve">trend</w:t>
      </w:r>
      <w:r>
        <w:t xml:space="preserve"> </w:t>
      </w:r>
      <w:r>
        <w:t xml:space="preserve">di richieste nelle prossime settimane, o l’individuazione di aree geografiche con potenziale domanda inespressa. Tali insight possono essere ottenuti con modelli di</w:t>
      </w:r>
      <w:r>
        <w:t xml:space="preserve"> </w:t>
      </w:r>
      <w:r>
        <w:rPr>
          <w:i/>
          <w:iCs/>
        </w:rPr>
        <w:t xml:space="preserve">machine learning</w:t>
      </w:r>
      <w:r>
        <w:t xml:space="preserve"> </w:t>
      </w:r>
      <w:r>
        <w:t xml:space="preserve">che analizzano i dati storici del servizio e li correlano con variabili esterne (dati demografici, eventi di rilievo, periodi dell’anno). Un caso d’uso: analizzando i dati del primo anno di attività dello Psicologo di Base, l’IA potrebbe scoprire che in certi distretti costieri d’estate c’è un calo di accessi, mentre in aree urbane universitarie c’è un picco in autunno (forse per stress accademico). Queste informazioni consentirebbero di</w:t>
      </w:r>
      <w:r>
        <w:t xml:space="preserve"> </w:t>
      </w:r>
      <w:r>
        <w:rPr>
          <w:b/>
          <w:bCs/>
        </w:rPr>
        <w:t xml:space="preserve">allocare dinamicamente le risorse</w:t>
      </w:r>
      <w:r>
        <w:t xml:space="preserve">, ad esempio inviando più psicologi nelle sedi e nei periodi di punta, o attivando campagne mirate di sensibilizzazione dove c’è meno domanda ma magari più bisogno latente. A livello individuale, poi, l’analisi predittiva può supportare la gestione dei casi complessi: ad esempio, algoritmi allenati su grandi dataset clinici (internazionali o nazionali) potrebbero stimare il</w:t>
      </w:r>
      <w:r>
        <w:t xml:space="preserve"> </w:t>
      </w:r>
      <w:r>
        <w:t xml:space="preserve">“</w:t>
      </w:r>
      <w:r>
        <w:t xml:space="preserve">rischio di ospedalizzazione psichiatrica</w:t>
      </w:r>
      <w:r>
        <w:t xml:space="preserve">”</w:t>
      </w:r>
      <w:r>
        <w:t xml:space="preserve"> </w:t>
      </w:r>
      <w:r>
        <w:t xml:space="preserve">di ciascun paziente in carico, in base a fattori come diagnosi, comorbilità, rete familiare, ecc. Se l’IA segnala che un certo paziente ha un rischio elevato di scompenso, il team territoriale può attuare misure preventive (visite domiciliari, coinvolgimento proattivo del CSM prima che avvenga la crisi). Questo approccio di stratificazione del rischio è usato in medicina per malattie croniche (es. punteggi di rischio per ricovero in scompenso cardiaco) e può essere traslato alla salute mentale</w:t>
      </w:r>
      <w:hyperlink r:id="rId1954">
        <w:r>
          <w:rPr>
            <w:rStyle w:val="Hyperlink"/>
          </w:rPr>
          <w:t xml:space="preserve">[48]</w:t>
        </w:r>
      </w:hyperlink>
      <w:hyperlink r:id="rId1931">
        <w:r>
          <w:rPr>
            <w:rStyle w:val="Hyperlink"/>
          </w:rPr>
          <w:t xml:space="preserve">[25]</w:t>
        </w:r>
      </w:hyperlink>
      <w:r>
        <w:t xml:space="preserve">. Un altro esempio di cruscotto data-driven è il</w:t>
      </w:r>
      <w:r>
        <w:t xml:space="preserve"> </w:t>
      </w:r>
      <w:r>
        <w:rPr>
          <w:b/>
          <w:bCs/>
        </w:rPr>
        <w:t xml:space="preserve">monitoraggio degli esiti</w:t>
      </w:r>
      <w:r>
        <w:t xml:space="preserve">: collegando i dataset regionali (es. farmaci prescritti, accessi al PS, giornate di malattia lavorativa) si potrebbero generare indicatori di outcome più ampi per valutare l’impatto del servizio (ad es.</w:t>
      </w:r>
      <w:r>
        <w:t xml:space="preserve"> </w:t>
      </w:r>
      <w:r>
        <w:rPr>
          <w:i/>
          <w:iCs/>
        </w:rPr>
        <w:t xml:space="preserve">riduzione</w:t>
      </w:r>
      <w:r>
        <w:t xml:space="preserve"> </w:t>
      </w:r>
      <w:r>
        <w:t xml:space="preserve">dell’uso di antidepressivi a livello di popolazione assistita, o</w:t>
      </w:r>
      <w:r>
        <w:t xml:space="preserve"> </w:t>
      </w:r>
      <w:r>
        <w:rPr>
          <w:i/>
          <w:iCs/>
        </w:rPr>
        <w:t xml:space="preserve">diminuzione</w:t>
      </w:r>
      <w:r>
        <w:t xml:space="preserve"> </w:t>
      </w:r>
      <w:r>
        <w:t xml:space="preserve">di accessi impropri al pronto soccorso per attacchi di panico dopo l’introduzione dello psicologo di base). Questi risultati, resi disponibili in tempo quasi reale da un sistema AI, fornirebbero evidenze concrete dell’efficacia e</w:t>
      </w:r>
      <w:r>
        <w:t xml:space="preserve"> </w:t>
      </w:r>
      <w:r>
        <w:rPr>
          <w:b/>
          <w:bCs/>
        </w:rPr>
        <w:t xml:space="preserve">sostenibilità economica</w:t>
      </w:r>
      <w:r>
        <w:t xml:space="preserve"> </w:t>
      </w:r>
      <w:r>
        <w:t xml:space="preserve">dell’intervento, utili per la programmazione regionale e per eventuali estensioni del progetto. Da citare anche i</w:t>
      </w:r>
      <w:r>
        <w:t xml:space="preserve"> </w:t>
      </w:r>
      <w:r>
        <w:rPr>
          <w:i/>
          <w:iCs/>
        </w:rPr>
        <w:t xml:space="preserve">dashboard</w:t>
      </w:r>
      <w:r>
        <w:t xml:space="preserve"> </w:t>
      </w:r>
      <w:r>
        <w:t xml:space="preserve">operativi per i coordinatori: vedere in un colpo d’occhio lo</w:t>
      </w:r>
      <w:r>
        <w:t xml:space="preserve"> </w:t>
      </w:r>
      <w:r>
        <w:rPr>
          <w:b/>
          <w:bCs/>
        </w:rPr>
        <w:t xml:space="preserve">stato del servizio</w:t>
      </w:r>
      <w:r>
        <w:t xml:space="preserve"> </w:t>
      </w:r>
      <w:r>
        <w:t xml:space="preserve">(chi fa cosa, dove, con quali performance) permette di individuare best practice locali e colmare gap: ad esempio, se un distretto mostra tassi di miglioramento clinico più alti, potrebbe emergere – mediante analisi AI delle variabili – che lì c’è un certo format innovativo adottato (magari uno specifico gruppo terapeutico) che vale la pena diffondere altrove. In conclusione, dotarsi di strumenti di analisi predittiva significa passare da una gestione</w:t>
      </w:r>
      <w:r>
        <w:t xml:space="preserve"> </w:t>
      </w:r>
      <w:r>
        <w:rPr>
          <w:b/>
          <w:bCs/>
        </w:rPr>
        <w:t xml:space="preserve">reattiva</w:t>
      </w:r>
      <w:r>
        <w:t xml:space="preserve"> </w:t>
      </w:r>
      <w:r>
        <w:t xml:space="preserve">a una</w:t>
      </w:r>
      <w:r>
        <w:t xml:space="preserve"> </w:t>
      </w:r>
      <w:r>
        <w:rPr>
          <w:b/>
          <w:bCs/>
        </w:rPr>
        <w:t xml:space="preserve">proattiva e data-driven</w:t>
      </w:r>
      <w:r>
        <w:t xml:space="preserve">: non aspettare la prossima crisi per accorgersi di un problema, ma anticiparla dai dati; non basarsi su impressioni per decidere investimenti, ma su modelli che quantificano i benefici attesi (riduzione attese, aumento numero assistiti, ecc.). La</w:t>
      </w:r>
      <w:r>
        <w:t xml:space="preserve"> </w:t>
      </w:r>
      <w:r>
        <w:rPr>
          <w:b/>
          <w:bCs/>
        </w:rPr>
        <w:t xml:space="preserve">sfida organizzativa</w:t>
      </w:r>
      <w:r>
        <w:t xml:space="preserve"> </w:t>
      </w:r>
      <w:r>
        <w:t xml:space="preserve">è formare i decisori all’uso di questi strumenti e integrare le previsioni AI nei processi decisionali (cosa non scontata: occorre fiducia nei dati e cultura manageriale aperta all’innovazione). Ma i vantaggi, in termini di efficienza allocativa e miglioramento continuo, sono potenzialmente enormi – come osservato anche a livello europeo: l’IA è considerata un</w:t>
      </w:r>
      <w:r>
        <w:t xml:space="preserve"> </w:t>
      </w:r>
      <w:r>
        <w:rPr>
          <w:i/>
          <w:iCs/>
        </w:rPr>
        <w:t xml:space="preserve">nuovo strumento</w:t>
      </w:r>
      <w:r>
        <w:t xml:space="preserve"> </w:t>
      </w:r>
      <w:r>
        <w:t xml:space="preserve">per pianificare i servizi di salute mentale e identificare bisogni emergenti, contribuendo a sistemi più equi e sostenibili</w:t>
      </w:r>
      <w:hyperlink r:id="rId1955">
        <w:r>
          <w:rPr>
            <w:rStyle w:val="Hyperlink"/>
          </w:rPr>
          <w:t xml:space="preserve">[49]</w:t>
        </w:r>
      </w:hyperlink>
      <w:hyperlink r:id="rId1952">
        <w:r>
          <w:rPr>
            <w:rStyle w:val="Hyperlink"/>
          </w:rPr>
          <w:t xml:space="preserve">[46]</w:t>
        </w:r>
      </w:hyperlink>
      <w:r>
        <w:t xml:space="preserve">.</w:t>
      </w:r>
    </w:p>
    <w:bookmarkEnd w:id="1956"/>
    <w:bookmarkStart w:id="1959" w:name="X2b116eb41ab5b006c376ca9a0c4c9a802b6fd4e"/>
    <w:p>
      <w:pPr>
        <w:pStyle w:val="Heading3"/>
      </w:pPr>
      <w:r>
        <w:t xml:space="preserve">IA per Continuità Assistenziale e Integrazione della Rete Territoriale</w:t>
      </w:r>
    </w:p>
    <w:p>
      <w:pPr>
        <w:pStyle w:val="FirstParagraph"/>
      </w:pPr>
      <w:r>
        <w:t xml:space="preserve">Un obiettivo fondamentale del progetto Psicologo di Base è rafforzare la</w:t>
      </w:r>
      <w:r>
        <w:t xml:space="preserve"> </w:t>
      </w:r>
      <w:r>
        <w:rPr>
          <w:b/>
          <w:bCs/>
        </w:rPr>
        <w:t xml:space="preserve">continuità assistenziale</w:t>
      </w:r>
      <w:r>
        <w:t xml:space="preserve"> </w:t>
      </w:r>
      <w:r>
        <w:t xml:space="preserve">e l’</w:t>
      </w:r>
      <w:r>
        <w:rPr>
          <w:b/>
          <w:bCs/>
        </w:rPr>
        <w:t xml:space="preserve">integrazione dei servizi</w:t>
      </w:r>
      <w:r>
        <w:t xml:space="preserve"> </w:t>
      </w:r>
      <w:r>
        <w:t xml:space="preserve">nella rete territoriale. La rete pugliese coinvolge molteplici attori: MMG (medici di famiglia), Psicologi di Base, servizi specialistici di salute mentale (CSM/DSM),</w:t>
      </w:r>
      <w:r>
        <w:t xml:space="preserve"> </w:t>
      </w:r>
      <w:r>
        <w:rPr>
          <w:b/>
          <w:bCs/>
        </w:rPr>
        <w:t xml:space="preserve">Case della Comunità</w:t>
      </w:r>
      <w:r>
        <w:t xml:space="preserve"> </w:t>
      </w:r>
      <w:r>
        <w:t xml:space="preserve">(le nuove strutture territoriali polivalenti), consultori familiari, pediatri di libera scelta, e altri ancora (es. servizi sociali comunali, associazioni del terzo settore). Storicamente, uno dei problemi nell’assistenza mentale è stata la frammentazione: pazienti</w:t>
      </w:r>
      <w:r>
        <w:t xml:space="preserve"> </w:t>
      </w:r>
      <w:r>
        <w:t xml:space="preserve">“</w:t>
      </w:r>
      <w:r>
        <w:t xml:space="preserve">rimpallati</w:t>
      </w:r>
      <w:r>
        <w:t xml:space="preserve">”</w:t>
      </w:r>
      <w:r>
        <w:t xml:space="preserve"> </w:t>
      </w:r>
      <w:r>
        <w:t xml:space="preserve">tra diversi servizi, con rischio di cadute di continuità (soprattutto nei passaggi, ad es. uscita dall’ospedale e rientro nel territorio), scarsa comunicazione tra professionisti, duplicazioni di interventi o, al contrario, vuoti di presa in carico.</w:t>
      </w:r>
      <w:r>
        <w:t xml:space="preserve"> </w:t>
      </w:r>
      <w:r>
        <w:rPr>
          <w:b/>
          <w:bCs/>
        </w:rPr>
        <w:t xml:space="preserve">Come può l’IA contribuire a cucire insieme questi nodi della rete?</w:t>
      </w:r>
    </w:p>
    <w:p>
      <w:pPr>
        <w:pStyle w:val="BodyText"/>
      </w:pPr>
      <w:r>
        <w:t xml:space="preserve">In parte abbiamo già toccato alcuni aspetti quando si è parlato di integrazione MMG-psicologo e di percorsi assistenziali. Qui li ampliamo considerando l’intera rete: l’IA può essere vista come un</w:t>
      </w:r>
      <w:r>
        <w:t xml:space="preserve"> </w:t>
      </w:r>
      <w:r>
        <w:t xml:space="preserve">“</w:t>
      </w:r>
      <w:r>
        <w:rPr>
          <w:b/>
          <w:bCs/>
        </w:rPr>
        <w:t xml:space="preserve">agente facilitatore</w:t>
      </w:r>
      <w:r>
        <w:t xml:space="preserve">”</w:t>
      </w:r>
      <w:r>
        <w:t xml:space="preserve"> </w:t>
      </w:r>
      <w:r>
        <w:t xml:space="preserve">che opera su tre livelli – comunicativo, clinico e logistico – per tenere uniti i vari punti del sistema:</w:t>
      </w:r>
    </w:p>
    <w:p>
      <w:pPr>
        <w:numPr>
          <w:ilvl w:val="0"/>
          <w:numId w:val="1003"/>
        </w:numPr>
      </w:pPr>
      <w:r>
        <w:rPr>
          <w:b/>
          <w:bCs/>
        </w:rPr>
        <w:t xml:space="preserve">1. Livello comunicativo/informativo:</w:t>
      </w:r>
      <w:r>
        <w:t xml:space="preserve"> </w:t>
      </w:r>
      <w:r>
        <w:t xml:space="preserve">Garantire che le informazioni sul paziente circolino tempestivamente e in modo pertinente fra tutti i professionisti coinvolti. Un ecosistema digitale integrato, come auspicato dal</w:t>
      </w:r>
      <w:r>
        <w:t xml:space="preserve"> </w:t>
      </w:r>
      <w:r>
        <w:rPr>
          <w:i/>
          <w:iCs/>
        </w:rPr>
        <w:t xml:space="preserve">Piano Nazionale di Ripresa e Resilienza</w:t>
      </w:r>
      <w:r>
        <w:t xml:space="preserve"> </w:t>
      </w:r>
      <w:r>
        <w:t xml:space="preserve">(PNRR) per le Case della Comunità, dovrebbe includere un</w:t>
      </w:r>
      <w:r>
        <w:t xml:space="preserve"> </w:t>
      </w:r>
      <w:r>
        <w:rPr>
          <w:b/>
          <w:bCs/>
        </w:rPr>
        <w:t xml:space="preserve">Fascicolo Sanitario Elettronico (FSE) arricchito</w:t>
      </w:r>
      <w:r>
        <w:t xml:space="preserve"> </w:t>
      </w:r>
      <w:r>
        <w:t xml:space="preserve">con i dati psicologici. L’IA può arricchire e filtrare tali informazioni per ciascun destinatario. Ad esempio, se un paziente seguito dallo psicologo di base arriva in Pronto Soccorso per una crisi di panico, un algoritmo NLP potrebbe immediatamente estrarre dal FSE un</w:t>
      </w:r>
      <w:r>
        <w:t xml:space="preserve"> </w:t>
      </w:r>
      <w:r>
        <w:rPr>
          <w:i/>
          <w:iCs/>
        </w:rPr>
        <w:t xml:space="preserve">brief</w:t>
      </w:r>
      <w:r>
        <w:t xml:space="preserve"> </w:t>
      </w:r>
      <w:r>
        <w:t xml:space="preserve">della sua storia psicologica (es. diagnosi di disturbo di panico, in terapia da 3 mesi, nessun abuso di sostanze, contatto di riferimento Psicologo Dr.ssa X) e presentarlo al medico d’urgenza, evitando che il PS debba operare</w:t>
      </w:r>
      <w:r>
        <w:t xml:space="preserve"> </w:t>
      </w:r>
      <w:r>
        <w:t xml:space="preserve">“</w:t>
      </w:r>
      <w:r>
        <w:t xml:space="preserve">alla cieca</w:t>
      </w:r>
      <w:r>
        <w:t xml:space="preserve">”</w:t>
      </w:r>
      <w:r>
        <w:t xml:space="preserve">. Viceversa, l’esito dell’accesso in PS (es. terapia sedativa somministrata, invio consigliato al CSM) verrebbe passato allo psicologo di base e al MMG tramite il sistema, con notifiche generate dall’IA. Questo flusso informativo integrato</w:t>
      </w:r>
      <w:r>
        <w:t xml:space="preserve"> </w:t>
      </w:r>
      <w:r>
        <w:rPr>
          <w:b/>
          <w:bCs/>
        </w:rPr>
        <w:t xml:space="preserve">previene le cesure</w:t>
      </w:r>
      <w:r>
        <w:t xml:space="preserve"> </w:t>
      </w:r>
      <w:r>
        <w:t xml:space="preserve">tipiche: ad esempio, il paziente che dopo il PS non si presenta più allo psicologo perché nessuno ha saputo dell’episodio – qui invece tutti sono allineati quasi in tempo reale. Un altro scenario: un pediatra scolastico nota sintomi di disagio in un adolescente; attraverso un</w:t>
      </w:r>
      <w:r>
        <w:t xml:space="preserve"> </w:t>
      </w:r>
      <w:r>
        <w:rPr>
          <w:i/>
          <w:iCs/>
        </w:rPr>
        <w:t xml:space="preserve">portale condiviso</w:t>
      </w:r>
      <w:r>
        <w:t xml:space="preserve"> </w:t>
      </w:r>
      <w:r>
        <w:t xml:space="preserve">segnala il caso e l’IA smista la segnalazione allo Psicologo di Base territoriale competente, allegando magari un profilo predittivo sul rischio evolutivo (basato su casistiche analoghe). Il consultorio familiare, se coinvolto, può accedere a queste note e l’IA può tradurre linguaggi diversi (sanitario vs sociale). In poche parole, l’IA aiuta a realizzare il principio</w:t>
      </w:r>
      <w:r>
        <w:t xml:space="preserve"> </w:t>
      </w:r>
      <w:r>
        <w:t xml:space="preserve">“</w:t>
      </w:r>
      <w:r>
        <w:rPr>
          <w:b/>
          <w:bCs/>
        </w:rPr>
        <w:t xml:space="preserve">non c’è cura senza comunicazione</w:t>
      </w:r>
      <w:r>
        <w:t xml:space="preserve">”</w:t>
      </w:r>
      <w:r>
        <w:t xml:space="preserve">: ogni attore ha le informazioni giuste al momento giusto, senza sovraccarico (perché l’IA filtra il necessario) e senza ritardi. Ciò consente ai vari operatori di agire come una</w:t>
      </w:r>
      <w:r>
        <w:t xml:space="preserve"> </w:t>
      </w:r>
      <w:r>
        <w:rPr>
          <w:i/>
          <w:iCs/>
        </w:rPr>
        <w:t xml:space="preserve">squadra virtuale</w:t>
      </w:r>
      <w:r>
        <w:t xml:space="preserve"> </w:t>
      </w:r>
      <w:r>
        <w:t xml:space="preserve">attorno al paziente, pur essendo distribuiti su enti diversi.</w:t>
      </w:r>
    </w:p>
    <w:p>
      <w:pPr>
        <w:numPr>
          <w:ilvl w:val="0"/>
          <w:numId w:val="1003"/>
        </w:numPr>
      </w:pPr>
      <w:r>
        <w:rPr>
          <w:b/>
          <w:bCs/>
        </w:rPr>
        <w:t xml:space="preserve">2. Livello clinico/decisionale:</w:t>
      </w:r>
      <w:r>
        <w:t xml:space="preserve"> </w:t>
      </w:r>
      <w:r>
        <w:t xml:space="preserve">Qui l’IA supporta la</w:t>
      </w:r>
      <w:r>
        <w:t xml:space="preserve"> </w:t>
      </w:r>
      <w:r>
        <w:rPr>
          <w:i/>
          <w:iCs/>
        </w:rPr>
        <w:t xml:space="preserve">continuità</w:t>
      </w:r>
      <w:r>
        <w:t xml:space="preserve"> </w:t>
      </w:r>
      <w:r>
        <w:t xml:space="preserve">garantendo che il percorso clinico del paziente</w:t>
      </w:r>
      <w:r>
        <w:t xml:space="preserve"> </w:t>
      </w:r>
      <w:r>
        <w:rPr>
          <w:i/>
          <w:iCs/>
        </w:rPr>
        <w:t xml:space="preserve">non si interrompa</w:t>
      </w:r>
      <w:r>
        <w:t xml:space="preserve"> </w:t>
      </w:r>
      <w:r>
        <w:t xml:space="preserve">ai confini organizzativi. Ad esempio, se un paziente necessita del passaggio dal primo livello (psicologo di base) al secondo (CSM), l’IA può predisporre un</w:t>
      </w:r>
      <w:r>
        <w:t xml:space="preserve"> </w:t>
      </w:r>
      <w:r>
        <w:rPr>
          <w:b/>
          <w:bCs/>
        </w:rPr>
        <w:t xml:space="preserve">transition of care</w:t>
      </w:r>
      <w:r>
        <w:t xml:space="preserve"> </w:t>
      </w:r>
      <w:r>
        <w:t xml:space="preserve">ottimale: genera automaticamente l’invito al CSM con priorità basata sulla gravità (triage AI iniziale), pre-compila la richiesta con tutti i dati raccolti finora (sintomi, interventi svolti, risposta ottenuta) così che il CSM abbia già uno storico dettagliato. Addirittura potrebbe</w:t>
      </w:r>
      <w:r>
        <w:t xml:space="preserve"> </w:t>
      </w:r>
      <w:r>
        <w:rPr>
          <w:i/>
          <w:iCs/>
        </w:rPr>
        <w:t xml:space="preserve">prenotare</w:t>
      </w:r>
      <w:r>
        <w:t xml:space="preserve"> </w:t>
      </w:r>
      <w:r>
        <w:t xml:space="preserve">direttamente la visita specialistica più idonea (ad es. col medico psichiatra per valutazione farmacologica) tramite integrazione con le agende, informando il paziente. Durante l’attesa, l’IA non</w:t>
      </w:r>
      <w:r>
        <w:t xml:space="preserve"> </w:t>
      </w:r>
      <w:r>
        <w:t xml:space="preserve">“</w:t>
      </w:r>
      <w:r>
        <w:t xml:space="preserve">dimentica</w:t>
      </w:r>
      <w:r>
        <w:t xml:space="preserve">”</w:t>
      </w:r>
      <w:r>
        <w:t xml:space="preserve"> </w:t>
      </w:r>
      <w:r>
        <w:t xml:space="preserve">il paziente: potrebbe inviargli consigli (es. se emergono peggioramenti comunicare al proprio medico) e ricordargli l’appuntamento. Una volta preso in carico dal CSM, l’IA continua a monitorare gli esiti: se, ad esempio, dopo qualche mese il CSM dimette il paziente perché stabilizzato, l’IA notifica automaticamente allo psicologo di base e al MMG di riprendere la presa in carico di follow-up. In questo modo</w:t>
      </w:r>
      <w:r>
        <w:t xml:space="preserve"> </w:t>
      </w:r>
      <w:r>
        <w:rPr>
          <w:b/>
          <w:bCs/>
        </w:rPr>
        <w:t xml:space="preserve">ogni passaggio di testimone è orchestrato</w:t>
      </w:r>
      <w:r>
        <w:t xml:space="preserve">, evitando che il paziente esca dal radar. Un altro esempio clinico: integrazione con i</w:t>
      </w:r>
      <w:r>
        <w:t xml:space="preserve"> </w:t>
      </w:r>
      <w:r>
        <w:rPr>
          <w:b/>
          <w:bCs/>
        </w:rPr>
        <w:t xml:space="preserve">servizi sociali e socio-educativi</w:t>
      </w:r>
      <w:r>
        <w:t xml:space="preserve"> </w:t>
      </w:r>
      <w:r>
        <w:t xml:space="preserve">per i casi vulnerabili. Lo psicologo di base potrebbe</w:t>
      </w:r>
      <w:r>
        <w:t xml:space="preserve"> </w:t>
      </w:r>
      <w:r>
        <w:t xml:space="preserve">“</w:t>
      </w:r>
      <w:r>
        <w:t xml:space="preserve">allertare</w:t>
      </w:r>
      <w:r>
        <w:t xml:space="preserve">”</w:t>
      </w:r>
      <w:r>
        <w:t xml:space="preserve"> </w:t>
      </w:r>
      <w:r>
        <w:t xml:space="preserve">– tramite il sistema – l’assistente sociale comunale quando un paziente presenta gravi problemi economici o familiari; l’IA può uniformare la segnalazione in un linguaggio e formato comprensibile ai servizi sociali. In seguito, l’assistente sociale aggiorna sul supporto attivato e l’IA restituisce l’informazione allo psicologo (es.</w:t>
      </w:r>
      <w:r>
        <w:t xml:space="preserve"> </w:t>
      </w:r>
      <w:r>
        <w:rPr>
          <w:i/>
          <w:iCs/>
        </w:rPr>
        <w:t xml:space="preserve">utente inserito in progetto di housing temporaneo</w:t>
      </w:r>
      <w:r>
        <w:t xml:space="preserve">), permettendo a quest’ultimo di adattare il proprio intervento tenendo conto di quel supporto. Questo genere di</w:t>
      </w:r>
      <w:r>
        <w:t xml:space="preserve"> </w:t>
      </w:r>
      <w:r>
        <w:rPr>
          <w:b/>
          <w:bCs/>
        </w:rPr>
        <w:t xml:space="preserve">co-decisione multi-agenzia</w:t>
      </w:r>
      <w:r>
        <w:t xml:space="preserve"> </w:t>
      </w:r>
      <w:r>
        <w:t xml:space="preserve">è spesso frenato da barriere burocratiche e di linguaggio settoriale: un sistema intelligente può fungere da interprete e facilitatore, smussando tali barriere. Inoltre, sul piano clinico l’IA aiuta a mantenere</w:t>
      </w:r>
      <w:r>
        <w:t xml:space="preserve"> </w:t>
      </w:r>
      <w:r>
        <w:rPr>
          <w:i/>
          <w:iCs/>
        </w:rPr>
        <w:t xml:space="preserve">coerenza e continuità</w:t>
      </w:r>
      <w:r>
        <w:t xml:space="preserve"> </w:t>
      </w:r>
      <w:r>
        <w:t xml:space="preserve">nei piani di trattamento: se il paziente passa da un operatore a un altro (es. cambio di psicologo per trasferimento), l’IA garantisce che il nuovo operatore abbia immediatamente tutto il quadro (valutazioni, interventi fatti, preferenze del paziente) e magari evidenzia le strategie risultate efficaci e quelle fallite finora. Questo evita ripartenze da zero o contraddizioni nelle indicazioni date al paziente.</w:t>
      </w:r>
      <w:r>
        <w:t xml:space="preserve"> </w:t>
      </w:r>
      <w:r>
        <w:rPr>
          <w:b/>
          <w:bCs/>
        </w:rPr>
        <w:t xml:space="preserve">In sintesi, l’IA può essere vista come un tutor del percorso di cura</w:t>
      </w:r>
      <w:r>
        <w:t xml:space="preserve">, che supervisiona i vari step e interviene per colmare gap, segnalare deviazioni (es. paziente non si presenta a 2 appuntamenti: notifica al team per decidere azione di outreach) e assicurare che ogni fase fluisca nella successiva.</w:t>
      </w:r>
    </w:p>
    <w:p>
      <w:pPr>
        <w:numPr>
          <w:ilvl w:val="0"/>
          <w:numId w:val="1003"/>
        </w:numPr>
      </w:pPr>
      <w:r>
        <w:rPr>
          <w:b/>
          <w:bCs/>
        </w:rPr>
        <w:t xml:space="preserve">3. Livello logistico/organizzativo:</w:t>
      </w:r>
      <w:r>
        <w:t xml:space="preserve"> </w:t>
      </w:r>
      <w:r>
        <w:t xml:space="preserve">L’integrazione territoriale richiede anche soluzioni logistiche – qui l’IA può ottimizzare l’uso di strutture e risorse in un’ottica unitaria. Ad esempio, le</w:t>
      </w:r>
      <w:r>
        <w:t xml:space="preserve"> </w:t>
      </w:r>
      <w:r>
        <w:rPr>
          <w:b/>
          <w:bCs/>
        </w:rPr>
        <w:t xml:space="preserve">Case della Comunità</w:t>
      </w:r>
      <w:r>
        <w:t xml:space="preserve"> </w:t>
      </w:r>
      <w:r>
        <w:t xml:space="preserve">sono pensate come hub multidisciplinari: un algoritmo di</w:t>
      </w:r>
      <w:r>
        <w:t xml:space="preserve"> </w:t>
      </w:r>
      <w:r>
        <w:rPr>
          <w:i/>
          <w:iCs/>
        </w:rPr>
        <w:t xml:space="preserve">resource scheduling</w:t>
      </w:r>
      <w:r>
        <w:t xml:space="preserve"> </w:t>
      </w:r>
      <w:r>
        <w:t xml:space="preserve">potrebbe analizzare la domanda di prestazioni psicologiche e mediche in ciascuna Casa della Comunità pugliese per suggerire la presenza ottimale di professionisti (giorni/orari in cui è meglio avere lo psicologo on-site perché c’è più affluenza, ecc.). Può anche ottimizzare la gestione degli spazi per attività integrate: se si prevede un gruppo psicoeducativo congiunto per pazienti diabetici depressi (coinvolgendo psicologo e infermiere diabetologico), l’IA può trovare un orario compatibile per entrambi e prenotare automaticamente la sala, inviando convocazioni ai pazienti. Questa sinergia logistica è spesso difficile da realizzare manualmente, specie in realtà territoriali complesse: algoritmi di ottimizzazione (solving di vincoli) sono perfetti per incastrare diversi pezzi (agende, stanze, attrezzature) nella maniera più efficiente. Oltre a ciò, a livello di sistema l’IA può contribuire a</w:t>
      </w:r>
      <w:r>
        <w:t xml:space="preserve"> </w:t>
      </w:r>
      <w:r>
        <w:rPr>
          <w:b/>
          <w:bCs/>
        </w:rPr>
        <w:t xml:space="preserve">integrare la programmazione</w:t>
      </w:r>
      <w:r>
        <w:t xml:space="preserve"> </w:t>
      </w:r>
      <w:r>
        <w:t xml:space="preserve">tra servizi diversi. Ad esempio, notando che in un certo comune molti utenti del consultorio familiare vengono poi anche presi in carico dallo psicologo di base per problematiche simili, l’IA potrebbe suggerire di attivare un progetto integrato (es. una volta al mese psicologo di base e consultoriale vedono insieme i casi di quella comunità). Si tratta di insight che un decisore umano potrebbe cogliere solo ex-post leggendo rapporti, mentre un sistema di data mining li porterebbe alla luce rapidamente. Un altro fronte organizzativo è la</w:t>
      </w:r>
      <w:r>
        <w:t xml:space="preserve"> </w:t>
      </w:r>
      <w:r>
        <w:rPr>
          <w:b/>
          <w:bCs/>
        </w:rPr>
        <w:t xml:space="preserve">valutazione di esiti trasversali</w:t>
      </w:r>
      <w:r>
        <w:t xml:space="preserve">: per integrare davvero i nodi della rete, tutti dovrebbero mirare a obiettivi comuni (es. riduzione ricoveri psichiatrici evitabili, aumento utenti in trattamento psicologico attivo). L’IA può aiutare a correlare il contributo di ciascun nodo a tali esiti: per esempio, correlando dati si potrebbe scoprire che nei distretti dove MMG e psicologo di base fanno più riunioni di case-conference (dato registrato nel sistema) vi è una riduzione di accessi al pronto soccorso per crisi psichiatriche del X%. Questo evidenzierebbe la</w:t>
      </w:r>
      <w:r>
        <w:t xml:space="preserve"> </w:t>
      </w:r>
      <w:r>
        <w:rPr>
          <w:b/>
          <w:bCs/>
        </w:rPr>
        <w:t xml:space="preserve">bontà dell’integrazione</w:t>
      </w:r>
      <w:r>
        <w:t xml:space="preserve"> </w:t>
      </w:r>
      <w:r>
        <w:t xml:space="preserve">e motiverebbe i servizi a collaborare di più. Si può quindi creare un ciclo virtuoso: l’IA dimostra con numeri l’effetto positivo di certe pratiche integrate, i responsabili le istituzionalizzano, e l’assistenza diventa sempre più coordinata. Un esempio internazionale: nei Paesi Bassi, dove la collaborazione tra GP e</w:t>
      </w:r>
      <w:r>
        <w:t xml:space="preserve"> </w:t>
      </w:r>
      <w:r>
        <w:rPr>
          <w:i/>
          <w:iCs/>
        </w:rPr>
        <w:t xml:space="preserve">practice assistant</w:t>
      </w:r>
      <w:r>
        <w:t xml:space="preserve"> </w:t>
      </w:r>
      <w:r>
        <w:t xml:space="preserve">(POH-GGZ) è strutturata, quasi il</w:t>
      </w:r>
      <w:r>
        <w:t xml:space="preserve"> </w:t>
      </w:r>
      <w:r>
        <w:rPr>
          <w:b/>
          <w:bCs/>
        </w:rPr>
        <w:t xml:space="preserve">90% dei problemi di salute mentale comuni</w:t>
      </w:r>
      <w:r>
        <w:t xml:space="preserve"> </w:t>
      </w:r>
      <w:r>
        <w:t xml:space="preserve">viene gestito interamente in assistenza primaria senza necessità di invio ai livelli specialistici</w:t>
      </w:r>
      <w:hyperlink r:id="rId1957">
        <w:r>
          <w:rPr>
            <w:rStyle w:val="Hyperlink"/>
          </w:rPr>
          <w:t xml:space="preserve">[50]</w:t>
        </w:r>
      </w:hyperlink>
      <w:hyperlink r:id="rId1958">
        <w:r>
          <w:rPr>
            <w:rStyle w:val="Hyperlink"/>
          </w:rPr>
          <w:t xml:space="preserve">[51]</w:t>
        </w:r>
      </w:hyperlink>
      <w:r>
        <w:t xml:space="preserve">. Ciò è frutto di un modello integrato efficace. L’IA può aiutare la Puglia a</w:t>
      </w:r>
      <w:r>
        <w:t xml:space="preserve"> </w:t>
      </w:r>
      <w:r>
        <w:rPr>
          <w:b/>
          <w:bCs/>
        </w:rPr>
        <w:t xml:space="preserve">replicare e adattare</w:t>
      </w:r>
      <w:r>
        <w:t xml:space="preserve"> </w:t>
      </w:r>
      <w:r>
        <w:t xml:space="preserve">modelli simili, segnalando in quali aree e per quali tipologie di pazienti convenga investire di più sulla risposta territoriale. Ad esempio, se i dati pugliesi mostrano che i disturbi d’ansia lievi moderati possono essere risolti quasi sempre dal duo MMG-psicologo, mentre per i disturbi dell’alimentazione serve coinvolgere prima possibile lo specialista, allora le risorse verranno calibrate di conseguenza.</w:t>
      </w:r>
    </w:p>
    <w:p>
      <w:pPr>
        <w:pStyle w:val="FirstParagraph"/>
      </w:pPr>
      <w:r>
        <w:t xml:space="preserve">In definitiva, l’IA agisce come</w:t>
      </w:r>
      <w:r>
        <w:t xml:space="preserve"> </w:t>
      </w:r>
      <w:r>
        <w:rPr>
          <w:b/>
          <w:bCs/>
        </w:rPr>
        <w:t xml:space="preserve">infrastruttura</w:t>
      </w:r>
      <w:r>
        <w:rPr>
          <w:b/>
          <w:bCs/>
        </w:rPr>
        <w:t xml:space="preserve"> </w:t>
      </w:r>
      <w:r>
        <w:rPr>
          <w:b/>
          <w:bCs/>
        </w:rPr>
        <w:t xml:space="preserve">“</w:t>
      </w:r>
      <w:r>
        <w:rPr>
          <w:b/>
          <w:bCs/>
        </w:rPr>
        <w:t xml:space="preserve">intelligente</w:t>
      </w:r>
      <w:r>
        <w:rPr>
          <w:b/>
          <w:bCs/>
        </w:rPr>
        <w:t xml:space="preserve">”</w:t>
      </w:r>
      <w:r>
        <w:t xml:space="preserve"> </w:t>
      </w:r>
      <w:r>
        <w:t xml:space="preserve">sottostante all’integrazione: non solo scambia dati, ma li analizza e li utilizza per</w:t>
      </w:r>
      <w:r>
        <w:t xml:space="preserve"> </w:t>
      </w:r>
      <w:r>
        <w:rPr>
          <w:i/>
          <w:iCs/>
        </w:rPr>
        <w:t xml:space="preserve">colmare distanze</w:t>
      </w:r>
      <w:r>
        <w:t xml:space="preserve"> </w:t>
      </w:r>
      <w:r>
        <w:t xml:space="preserve">tra servizi, anticipare bisogni e facilitare la collaborazione multidisciplinare. Questo rafforza la continuità delle cure in modo concreto, andando oltre i protocolli formali e adattandosi dinamicamente all’evolvere delle situazioni. Il risultato atteso è un</w:t>
      </w:r>
      <w:r>
        <w:t xml:space="preserve"> </w:t>
      </w:r>
      <w:r>
        <w:rPr>
          <w:b/>
          <w:bCs/>
        </w:rPr>
        <w:t xml:space="preserve">percorso del paziente senza soluzione di continuità</w:t>
      </w:r>
      <w:r>
        <w:t xml:space="preserve">, dove indipendentemente dalla porta d’ingresso (medico di base, psicologo, consultorio, ecc.) e dai successivi passaggi, il sistema</w:t>
      </w:r>
      <w:r>
        <w:t xml:space="preserve"> </w:t>
      </w:r>
      <w:r>
        <w:t xml:space="preserve">“</w:t>
      </w:r>
      <w:r>
        <w:t xml:space="preserve">riconosce</w:t>
      </w:r>
      <w:r>
        <w:t xml:space="preserve">”</w:t>
      </w:r>
      <w:r>
        <w:t xml:space="preserve"> </w:t>
      </w:r>
      <w:r>
        <w:t xml:space="preserve">il cittadino e lo accompagna, assicurando che nessuno resti indietro o cada in un vuoto assistenziale. Ciò si traduce in esiti migliori e in una percezione di</w:t>
      </w:r>
      <w:r>
        <w:t xml:space="preserve"> </w:t>
      </w:r>
      <w:r>
        <w:rPr>
          <w:i/>
          <w:iCs/>
        </w:rPr>
        <w:t xml:space="preserve">cura</w:t>
      </w:r>
      <w:r>
        <w:rPr>
          <w:i/>
          <w:iCs/>
        </w:rPr>
        <w:t xml:space="preserve"> </w:t>
      </w:r>
      <w:r>
        <w:rPr>
          <w:i/>
          <w:iCs/>
        </w:rPr>
        <w:t xml:space="preserve">“</w:t>
      </w:r>
      <w:r>
        <w:rPr>
          <w:i/>
          <w:iCs/>
        </w:rPr>
        <w:t xml:space="preserve">unica</w:t>
      </w:r>
      <w:r>
        <w:rPr>
          <w:i/>
          <w:iCs/>
        </w:rPr>
        <w:t xml:space="preserve">”</w:t>
      </w:r>
      <w:r>
        <w:rPr>
          <w:i/>
          <w:iCs/>
        </w:rPr>
        <w:t xml:space="preserve"> </w:t>
      </w:r>
      <w:r>
        <w:rPr>
          <w:i/>
          <w:iCs/>
        </w:rPr>
        <w:t xml:space="preserve">e coerente</w:t>
      </w:r>
      <w:r>
        <w:t xml:space="preserve"> </w:t>
      </w:r>
      <w:r>
        <w:t xml:space="preserve">da parte dell’utente, che vede tutti i professionisti come volti diversi di un’unica rete che comunica e lavora all’unisono per il suo benessere.</w:t>
      </w:r>
    </w:p>
    <w:bookmarkEnd w:id="1959"/>
    <w:bookmarkStart w:id="1968" w:name="X0ddb2d5d6682f0d8c1a0a982ffc1092cb050b2d"/>
    <w:p>
      <w:pPr>
        <w:pStyle w:val="Heading3"/>
      </w:pPr>
      <w:r>
        <w:t xml:space="preserve">Vantaggi Economico-Organizzativi dell’IA Integrata: Stima degli Impatti</w:t>
      </w:r>
    </w:p>
    <w:p>
      <w:pPr>
        <w:pStyle w:val="FirstParagraph"/>
      </w:pPr>
      <w:r>
        <w:t xml:space="preserve">L’integrazione dell’IA nel modello organizzativo dello psicologo di base promette</w:t>
      </w:r>
      <w:r>
        <w:t xml:space="preserve"> </w:t>
      </w:r>
      <w:r>
        <w:rPr>
          <w:b/>
          <w:bCs/>
        </w:rPr>
        <w:t xml:space="preserve">significativi benefici quantitativi</w:t>
      </w:r>
      <w:r>
        <w:t xml:space="preserve"> </w:t>
      </w:r>
      <w:r>
        <w:t xml:space="preserve">sia in termini economici che di performance del servizio. Sulla base di evidenze emergenti da sperimentazioni e implementazioni analoghe, possiamo stimare i seguenti vantaggi chiave:</w:t>
      </w:r>
    </w:p>
    <w:p>
      <w:pPr>
        <w:numPr>
          <w:ilvl w:val="0"/>
          <w:numId w:val="1004"/>
        </w:numPr>
      </w:pPr>
      <w:r>
        <w:rPr>
          <w:b/>
          <w:bCs/>
        </w:rPr>
        <w:t xml:space="preserve">Riduzione dei tempi di attesa:</w:t>
      </w:r>
      <w:r>
        <w:t xml:space="preserve"> </w:t>
      </w:r>
      <w:r>
        <w:t xml:space="preserve">Come già sottolineato, l’uso di sistemi di triage e valutazione preliminare automatizzati consente di abbattere drasticamente i tempi morti tra la richiesta di aiuto e l’effettivo intervento. Nel trial canadese citato, l’implementazione di un triage digitale ha ridotto le liste d’attesa del</w:t>
      </w:r>
      <w:r>
        <w:t xml:space="preserve"> </w:t>
      </w:r>
      <w:r>
        <w:rPr>
          <w:b/>
          <w:bCs/>
        </w:rPr>
        <w:t xml:space="preserve">71%</w:t>
      </w:r>
      <w:r>
        <w:t xml:space="preserve">, permettendo ai pazienti di ricevere un primo intervento entro poche settimane invece che mesi</w:t>
      </w:r>
      <w:hyperlink r:id="rId1922">
        <w:r>
          <w:rPr>
            <w:rStyle w:val="Hyperlink"/>
          </w:rPr>
          <w:t xml:space="preserve">[15]</w:t>
        </w:r>
      </w:hyperlink>
      <w:r>
        <w:t xml:space="preserve">. Analogamente, i dati dagli IAPT inglesi con chatbot integrato mostrano un</w:t>
      </w:r>
      <w:r>
        <w:t xml:space="preserve"> </w:t>
      </w:r>
      <w:r>
        <w:rPr>
          <w:b/>
          <w:bCs/>
        </w:rPr>
        <w:t xml:space="preserve">-13%</w:t>
      </w:r>
      <w:r>
        <w:t xml:space="preserve"> </w:t>
      </w:r>
      <w:r>
        <w:t xml:space="preserve">di attesa media per l’assessment iniziale e un</w:t>
      </w:r>
      <w:r>
        <w:t xml:space="preserve"> </w:t>
      </w:r>
      <w:r>
        <w:rPr>
          <w:b/>
          <w:bCs/>
        </w:rPr>
        <w:t xml:space="preserve">-5%</w:t>
      </w:r>
      <w:r>
        <w:t xml:space="preserve"> </w:t>
      </w:r>
      <w:r>
        <w:t xml:space="preserve">per l’inizio della terapia</w:t>
      </w:r>
      <w:hyperlink r:id="rId1926">
        <w:r>
          <w:rPr>
            <w:rStyle w:val="Hyperlink"/>
          </w:rPr>
          <w:t xml:space="preserve">[19]</w:t>
        </w:r>
      </w:hyperlink>
      <w:r>
        <w:t xml:space="preserve">. Applicando proporzionalmente questi risultati alla realtà pugliese (dove in molti territori oggi l’attesa per una visita psicologica pubblica può essere di vari mesi), si potrebbe passare da ad esempio 90 giorni di attesa a poche settimane. Ciò significa</w:t>
      </w:r>
      <w:r>
        <w:t xml:space="preserve"> </w:t>
      </w:r>
      <w:r>
        <w:rPr>
          <w:b/>
          <w:bCs/>
        </w:rPr>
        <w:t xml:space="preserve">intercettare il disagio prima che si aggravi</w:t>
      </w:r>
      <w:r>
        <w:t xml:space="preserve">, con potenziali risparmi anche in termini di minori ricorsi a pronto soccorso o ospedalizzazioni d’emergenza. Inoltre, ridurre l’attesa aumenta la soddisfazione e l’adesione: il paziente che viene aiutato subito è più motivato a seguire il percorso, riducendo i drop-out precoci.</w:t>
      </w:r>
    </w:p>
    <w:p>
      <w:pPr>
        <w:numPr>
          <w:ilvl w:val="0"/>
          <w:numId w:val="1004"/>
        </w:numPr>
      </w:pPr>
      <w:r>
        <w:rPr>
          <w:b/>
          <w:bCs/>
        </w:rPr>
        <w:t xml:space="preserve">Aumento della capacità produttiva e del numero di utenti assistiti:</w:t>
      </w:r>
      <w:r>
        <w:t xml:space="preserve"> </w:t>
      </w:r>
      <w:r>
        <w:t xml:space="preserve">L’IA permette di gestire più utenti con le stesse risorse umane, grazie all’automazione di alcune fasi e al</w:t>
      </w:r>
      <w:r>
        <w:t xml:space="preserve"> </w:t>
      </w:r>
      <w:r>
        <w:rPr>
          <w:i/>
          <w:iCs/>
        </w:rPr>
        <w:t xml:space="preserve">task shifting</w:t>
      </w:r>
      <w:r>
        <w:t xml:space="preserve">. Ad esempio, un chatbot può raccogliere anamnesi e dati da decine di pazienti contemporaneamente, compito che avrebbe richiesto molti operatori in parallelo. Nei servizi IAPT, l’adozione di</w:t>
      </w:r>
      <w:r>
        <w:t xml:space="preserve"> </w:t>
      </w:r>
      <w:r>
        <w:rPr>
          <w:b/>
          <w:bCs/>
        </w:rPr>
        <w:t xml:space="preserve">Limbic</w:t>
      </w:r>
      <w:r>
        <w:t xml:space="preserve"> </w:t>
      </w:r>
      <w:r>
        <w:t xml:space="preserve">ha portato un incremento del</w:t>
      </w:r>
      <w:r>
        <w:t xml:space="preserve"> </w:t>
      </w:r>
      <w:r>
        <w:rPr>
          <w:b/>
          <w:bCs/>
        </w:rPr>
        <w:t xml:space="preserve">32% degli accessi</w:t>
      </w:r>
      <w:r>
        <w:t xml:space="preserve"> </w:t>
      </w:r>
      <w:r>
        <w:t xml:space="preserve">(grazie alla facilità di auto-referral via chatbot) senza aumentare il personale</w:t>
      </w:r>
      <w:hyperlink r:id="rId1960">
        <w:r>
          <w:rPr>
            <w:rStyle w:val="Hyperlink"/>
          </w:rPr>
          <w:t xml:space="preserve">[52]</w:t>
        </w:r>
      </w:hyperlink>
      <w:r>
        <w:t xml:space="preserve">. Inoltre ha consentito di</w:t>
      </w:r>
      <w:r>
        <w:t xml:space="preserve"> </w:t>
      </w:r>
      <w:r>
        <w:rPr>
          <w:b/>
          <w:bCs/>
        </w:rPr>
        <w:t xml:space="preserve">risparmiare oltre 30.000 ore cliniche</w:t>
      </w:r>
      <w:r>
        <w:t xml:space="preserve"> </w:t>
      </w:r>
      <w:r>
        <w:t xml:space="preserve">in un anno, l’equivalente di circa 15–20 terapeuti a tempo pieno liberati per attività cliniche di valore più elevato</w:t>
      </w:r>
      <w:hyperlink r:id="rId1945">
        <w:r>
          <w:rPr>
            <w:rStyle w:val="Hyperlink"/>
          </w:rPr>
          <w:t xml:space="preserve">[39]</w:t>
        </w:r>
      </w:hyperlink>
      <w:r>
        <w:t xml:space="preserve">. In Puglia, ciò potrebbe tradursi in capacità aggiuntiva: ad esempio, se oggi uno psicologo di base può seguire 100 pazienti/anno, con l’ausilio di IA (che snellisce colloqui preliminari, monitoraggi, burocrazia) potrebbe seguirne magari 150, con un aumento del</w:t>
      </w:r>
      <w:r>
        <w:t xml:space="preserve"> </w:t>
      </w:r>
      <w:r>
        <w:rPr>
          <w:i/>
          <w:iCs/>
        </w:rPr>
        <w:t xml:space="preserve">50%</w:t>
      </w:r>
      <w:r>
        <w:t xml:space="preserve"> </w:t>
      </w:r>
      <w:r>
        <w:t xml:space="preserve">della produttività individuale. Su scala di sistema, questo significa poter offrire il servizio psicologico di base a molte più persone (importante per colmare il</w:t>
      </w:r>
      <w:r>
        <w:t xml:space="preserve"> </w:t>
      </w:r>
      <w:r>
        <w:rPr>
          <w:b/>
          <w:bCs/>
        </w:rPr>
        <w:t xml:space="preserve">gap attuale</w:t>
      </w:r>
      <w:r>
        <w:t xml:space="preserve">: ricordiamo che il 68% di chi ha bisogno non riceve aiuto</w:t>
      </w:r>
      <w:hyperlink r:id="rId1961">
        <w:r>
          <w:rPr>
            <w:rStyle w:val="Hyperlink"/>
          </w:rPr>
          <w:t xml:space="preserve">[53]</w:t>
        </w:r>
      </w:hyperlink>
      <w:r>
        <w:t xml:space="preserve">). Un altro aspetto: l’IA</w:t>
      </w:r>
      <w:r>
        <w:t xml:space="preserve"> </w:t>
      </w:r>
      <w:r>
        <w:rPr>
          <w:i/>
          <w:iCs/>
        </w:rPr>
        <w:t xml:space="preserve">estende gli orari di servizio</w:t>
      </w:r>
      <w:r>
        <w:t xml:space="preserve">. Un chatbot o una piattaforma online funzionano h24, permettendo ad esempio di prendere in carico richieste anche di notte o nei weekend. Nei casi inglesi, circa</w:t>
      </w:r>
      <w:r>
        <w:t xml:space="preserve"> </w:t>
      </w:r>
      <w:r>
        <w:rPr>
          <w:b/>
          <w:bCs/>
        </w:rPr>
        <w:t xml:space="preserve">il 40% delle auto-segnalazioni tramite chatbot avviene fuori orario d’ufficio</w:t>
      </w:r>
      <w:hyperlink r:id="rId1962">
        <w:r>
          <w:rPr>
            <w:rStyle w:val="Hyperlink"/>
          </w:rPr>
          <w:t xml:space="preserve">[54]</w:t>
        </w:r>
      </w:hyperlink>
      <w:r>
        <w:t xml:space="preserve">, quindi senza IA quei contatti sarebbero stati persi o rimandati. In Puglia, ciò aiuterebbe i lavoratori o studenti che non possono chiamare negli orari standard, ampliando la platea raggiunta.</w:t>
      </w:r>
    </w:p>
    <w:p>
      <w:pPr>
        <w:numPr>
          <w:ilvl w:val="0"/>
          <w:numId w:val="1004"/>
        </w:numPr>
      </w:pPr>
      <w:r>
        <w:rPr>
          <w:b/>
          <w:bCs/>
        </w:rPr>
        <w:t xml:space="preserve">Migliore allocazione delle risorse e appropriatezza degli interventi:</w:t>
      </w:r>
      <w:r>
        <w:t xml:space="preserve"> </w:t>
      </w:r>
      <w:r>
        <w:t xml:space="preserve">L’IA contribuisce a un uso più razionale delle risorse disponibili, indirizzandole dove servono davvero. Un triage acuto riduce gli</w:t>
      </w:r>
      <w:r>
        <w:t xml:space="preserve"> </w:t>
      </w:r>
      <w:r>
        <w:rPr>
          <w:b/>
          <w:bCs/>
        </w:rPr>
        <w:t xml:space="preserve">invii inutili</w:t>
      </w:r>
      <w:r>
        <w:t xml:space="preserve"> </w:t>
      </w:r>
      <w:r>
        <w:t xml:space="preserve">al livello specialistico: come visto, il 63% dei pazienti filtrati dall’IA in basso intensivo non ha poi richiesto lo psichiatra</w:t>
      </w:r>
      <w:hyperlink r:id="rId1923">
        <w:r>
          <w:rPr>
            <w:rStyle w:val="Hyperlink"/>
          </w:rPr>
          <w:t xml:space="preserve">[20]</w:t>
        </w:r>
      </w:hyperlink>
      <w:r>
        <w:t xml:space="preserve">, liberando gli specialisti per i casi più complessi. Questo evita costi elevati di interventi specialistici quando non necessari. Parallelamente, l’IA evita anche il caso opposto, cioè</w:t>
      </w:r>
      <w:r>
        <w:t xml:space="preserve"> </w:t>
      </w:r>
      <w:r>
        <w:rPr>
          <w:b/>
          <w:bCs/>
        </w:rPr>
        <w:t xml:space="preserve">mancato invio di casi gravi</w:t>
      </w:r>
      <w:r>
        <w:t xml:space="preserve">: grazie a sistemi di allerta, casi che potrebbero sfuggire vengono tempestivamente dirottati a cure più intensive. L’appropriatezza migliorata ha un impatto economico enorme: cure giuste al momento giusto prevenendo aggravamenti riducono trattamenti futuri più costosi. Ad esempio, se l’IA identifica precocemente un giovane a rischio psicosi e lo indirizza al CSM per intervento precoce, si potrebbe evitare un TSO costoso e invalidante più avanti. Inoltre, sul piano farmaci: una migliore presa in carico psicologica territoriale (guidata da IA) può ridurre l’uso inappropriato di psicofarmaci prescritti dai MMG in assenza di supporto psicologico. L’esperienza australiana col programma Better Access ha mostrato un calo significativo delle prescrizioni di antidepressivi in concomitanza con l’aumento di accesso a psicoterapia</w:t>
      </w:r>
      <w:hyperlink r:id="rId1963">
        <w:r>
          <w:rPr>
            <w:rStyle w:val="Hyperlink"/>
          </w:rPr>
          <w:t xml:space="preserve">[55]</w:t>
        </w:r>
      </w:hyperlink>
      <w:r>
        <w:t xml:space="preserve">. Meno farmaci inutili equivalgono a</w:t>
      </w:r>
      <w:r>
        <w:t xml:space="preserve"> </w:t>
      </w:r>
      <w:r>
        <w:rPr>
          <w:b/>
          <w:bCs/>
        </w:rPr>
        <w:t xml:space="preserve">risparmi per il SSN</w:t>
      </w:r>
      <w:r>
        <w:t xml:space="preserve"> </w:t>
      </w:r>
      <w:r>
        <w:t xml:space="preserve">e meno effetti collaterali per i pazienti.</w:t>
      </w:r>
    </w:p>
    <w:p>
      <w:pPr>
        <w:numPr>
          <w:ilvl w:val="0"/>
          <w:numId w:val="1004"/>
        </w:numPr>
      </w:pPr>
      <w:r>
        <w:rPr>
          <w:b/>
          <w:bCs/>
        </w:rPr>
        <w:t xml:space="preserve">Snellimento amministrativo e de-burocratizzazione:</w:t>
      </w:r>
      <w:r>
        <w:t xml:space="preserve"> </w:t>
      </w:r>
      <w:r>
        <w:t xml:space="preserve">L’automazione di funzioni burocratiche tramite IA (dalla compilazione di moduli alla stesura di report) consente di</w:t>
      </w:r>
      <w:r>
        <w:t xml:space="preserve"> </w:t>
      </w:r>
      <w:r>
        <w:rPr>
          <w:b/>
          <w:bCs/>
        </w:rPr>
        <w:t xml:space="preserve">risparmiare tempo amministrativo</w:t>
      </w:r>
      <w:r>
        <w:t xml:space="preserve"> </w:t>
      </w:r>
      <w:r>
        <w:t xml:space="preserve">sia al personale sanitario che agli uffici. Questo tempo può essere reinvestito in attività cliniche o di formazione. Quantificare il risparmio di tempo: se uno psicologo dedica oggi il 20% del tempo a burocrazia, ridurlo al 10% significa 4 ore in più a settimana di lavoro clinico per ciascuno. Su scala di decine di psicologi, sono centinaia di ore di assistenza in più al mese. In termini economici, meno ore uomo spese in amministrazione implicano anche meno straordinari, meno necessità di personale di segreteria aggiuntivo, e minori errori (gli errori amministrativi possono costare con duplicazioni di accertamenti, contestazioni di rimborsi, ecc.). Un altro beneficio è per gli utenti:</w:t>
      </w:r>
      <w:r>
        <w:t xml:space="preserve"> </w:t>
      </w:r>
      <w:r>
        <w:rPr>
          <w:b/>
          <w:bCs/>
        </w:rPr>
        <w:t xml:space="preserve">procedure più snelle</w:t>
      </w:r>
      <w:r>
        <w:t xml:space="preserve"> </w:t>
      </w:r>
      <w:r>
        <w:t xml:space="preserve">(es. potersi auto-registrare online, ricevere referti digitalmente) fanno risparmiare tempo e denaro anche ai cittadini (meno code agli sportelli, meno spostamenti). La de-burocratizzazione ha anche un impatto sulla</w:t>
      </w:r>
      <w:r>
        <w:t xml:space="preserve"> </w:t>
      </w:r>
      <w:r>
        <w:rPr>
          <w:b/>
          <w:bCs/>
        </w:rPr>
        <w:t xml:space="preserve">soddisfazione lavorativa</w:t>
      </w:r>
      <w:r>
        <w:t xml:space="preserve"> </w:t>
      </w:r>
      <w:r>
        <w:t xml:space="preserve">degli operatori: liberare i professionisti da compiti ripetitivi può ridurre burnout e aumentare la motivazione, il che indirettamente migliora la qualità del servizio e riduce i costi legati a turnover o malattie del personale. Studi USA mostrano che i medici di base vedono con favore l’IA se questa riduce il burden amministrativo, liberando tempo per i pazienti</w:t>
      </w:r>
      <w:hyperlink r:id="rId1964">
        <w:r>
          <w:rPr>
            <w:rStyle w:val="Hyperlink"/>
          </w:rPr>
          <w:t xml:space="preserve">[56]</w:t>
        </w:r>
      </w:hyperlink>
      <w:hyperlink r:id="rId1965">
        <w:r>
          <w:rPr>
            <w:rStyle w:val="Hyperlink"/>
          </w:rPr>
          <w:t xml:space="preserve">[57]</w:t>
        </w:r>
      </w:hyperlink>
      <w:r>
        <w:t xml:space="preserve">. Quindi il ROI (return on investment) degli strumenti IA per workflow amministrativo è duplice:</w:t>
      </w:r>
      <w:r>
        <w:t xml:space="preserve"> </w:t>
      </w:r>
      <w:r>
        <w:rPr>
          <w:b/>
          <w:bCs/>
        </w:rPr>
        <w:t xml:space="preserve">efficienza immediata</w:t>
      </w:r>
      <w:r>
        <w:t xml:space="preserve"> </w:t>
      </w:r>
      <w:r>
        <w:t xml:space="preserve">e</w:t>
      </w:r>
      <w:r>
        <w:t xml:space="preserve"> </w:t>
      </w:r>
      <w:r>
        <w:rPr>
          <w:b/>
          <w:bCs/>
        </w:rPr>
        <w:t xml:space="preserve">sostenibilità del capitale umano</w:t>
      </w:r>
      <w:r>
        <w:t xml:space="preserve"> </w:t>
      </w:r>
      <w:r>
        <w:t xml:space="preserve">nel lungo periodo.</w:t>
      </w:r>
    </w:p>
    <w:p>
      <w:pPr>
        <w:numPr>
          <w:ilvl w:val="0"/>
          <w:numId w:val="1004"/>
        </w:numPr>
      </w:pPr>
      <w:r>
        <w:rPr>
          <w:b/>
          <w:bCs/>
        </w:rPr>
        <w:t xml:space="preserve">Supporto alla gestione dei casi complessi e riduzione eventi critici:</w:t>
      </w:r>
      <w:r>
        <w:t xml:space="preserve"> </w:t>
      </w:r>
      <w:r>
        <w:t xml:space="preserve">L’IA, con la sua capacità di analizzare tanti dati e prevedere evoluzioni, può migliorare gli esiti clinici soprattutto nei casi complessi, con ricadute economiche positive. Ad esempio, identificare e intervenire precocemente su un caso a rischio di suicidio non è solo un imperativo etico, ma evita anche costi enormi (ricoveri in terapia intensiva post-tentativo, invalidità, etc.). Un algoritmo che individua</w:t>
      </w:r>
      <w:r>
        <w:t xml:space="preserve"> </w:t>
      </w:r>
      <w:r>
        <w:t xml:space="preserve">“</w:t>
      </w:r>
      <w:r>
        <w:t xml:space="preserve">potenziali crisi</w:t>
      </w:r>
      <w:r>
        <w:t xml:space="preserve">”</w:t>
      </w:r>
      <w:r>
        <w:t xml:space="preserve"> </w:t>
      </w:r>
      <w:r>
        <w:t xml:space="preserve">(es. peggioramento punteggi, segnali linguistici allarmanti) e consente al team di intervenire può</w:t>
      </w:r>
      <w:r>
        <w:t xml:space="preserve"> </w:t>
      </w:r>
      <w:r>
        <w:rPr>
          <w:b/>
          <w:bCs/>
        </w:rPr>
        <w:t xml:space="preserve">ridurre gli eventi avversi gravi</w:t>
      </w:r>
      <w:r>
        <w:t xml:space="preserve">. Meno TSO, meno accessi al 118, meno ricoveri significa risparmiare migliaia di euro per paziente. Idem per i cronici difficili: un sistema di monitoraggio continuo via app che previene una ricaduta psicotica evitando che il paziente interrompa i farmaci potrebbe risparmiare decine di giornate di degenza. In letteratura si inizia a quantificare questo: programmi di telemonitoraggio con IA per pazienti bipolari hanno ridotto i giorni di ospedalizzazione annui in certi studi pilota, generando risparmi del 20–30% sui costi totali di quella coorte</w:t>
      </w:r>
      <w:hyperlink r:id="rId1931">
        <w:r>
          <w:rPr>
            <w:rStyle w:val="Hyperlink"/>
          </w:rPr>
          <w:t xml:space="preserve">[58]</w:t>
        </w:r>
      </w:hyperlink>
      <w:hyperlink r:id="rId1954">
        <w:r>
          <w:rPr>
            <w:rStyle w:val="Hyperlink"/>
          </w:rPr>
          <w:t xml:space="preserve">[48]</w:t>
        </w:r>
      </w:hyperlink>
      <w:r>
        <w:t xml:space="preserve">. Un’altra area è il</w:t>
      </w:r>
      <w:r>
        <w:t xml:space="preserve"> </w:t>
      </w:r>
      <w:r>
        <w:rPr>
          <w:b/>
          <w:bCs/>
        </w:rPr>
        <w:t xml:space="preserve">miglior uso delle strutture</w:t>
      </w:r>
      <w:r>
        <w:t xml:space="preserve">: se l’IA aiuta a tenere i pazienti più possibile sul territorio evitando il ricorso a strutture residenziali o semiresidenziali (che sono costose), i costi calano. Anche la riduzione dei</w:t>
      </w:r>
      <w:r>
        <w:t xml:space="preserve"> </w:t>
      </w:r>
      <w:r>
        <w:rPr>
          <w:b/>
          <w:bCs/>
        </w:rPr>
        <w:t xml:space="preserve">drop-out</w:t>
      </w:r>
      <w:r>
        <w:t xml:space="preserve"> </w:t>
      </w:r>
      <w:r>
        <w:t xml:space="preserve">incide: un drop-out è un’opportunità mancata, spesso seguita da peggioramento e costi maggiori successivi. Con chatbot e ingaggio digitale si è visto un calo del 18% dei drop-out in IAPT</w:t>
      </w:r>
      <w:hyperlink r:id="rId1926">
        <w:r>
          <w:rPr>
            <w:rStyle w:val="Hyperlink"/>
          </w:rPr>
          <w:t xml:space="preserve">[31]</w:t>
        </w:r>
      </w:hyperlink>
      <w:r>
        <w:t xml:space="preserve">; mantenere il paziente in trattamento fino a miglioramento significa magari evitare che quel paziente fra sei mesi finisca in pronto soccorso. Insomma, ogni</w:t>
      </w:r>
      <w:r>
        <w:t xml:space="preserve"> </w:t>
      </w:r>
      <w:r>
        <w:rPr>
          <w:i/>
          <w:iCs/>
        </w:rPr>
        <w:t xml:space="preserve">failure</w:t>
      </w:r>
      <w:r>
        <w:t xml:space="preserve"> </w:t>
      </w:r>
      <w:r>
        <w:t xml:space="preserve">evitata oggi è un</w:t>
      </w:r>
      <w:r>
        <w:t xml:space="preserve"> </w:t>
      </w:r>
      <w:r>
        <w:rPr>
          <w:i/>
          <w:iCs/>
        </w:rPr>
        <w:t xml:space="preserve">saving</w:t>
      </w:r>
      <w:r>
        <w:t xml:space="preserve"> </w:t>
      </w:r>
      <w:r>
        <w:t xml:space="preserve">domani. L’IA consente di aumentare il tasso di successo dei percorsi grazie a interventi tempestivi e personalizzati (ad esempio, adattando il trattamento se uno schema non funziona, come nei modelli treat-to-target).</w:t>
      </w:r>
    </w:p>
    <w:p>
      <w:pPr>
        <w:numPr>
          <w:ilvl w:val="0"/>
          <w:numId w:val="1004"/>
        </w:numPr>
      </w:pPr>
      <w:r>
        <w:rPr>
          <w:b/>
          <w:bCs/>
        </w:rPr>
        <w:t xml:space="preserve">Quantificazione economica di scenario:</w:t>
      </w:r>
      <w:r>
        <w:t xml:space="preserve"> </w:t>
      </w:r>
      <w:r>
        <w:t xml:space="preserve">Proviamo a ipotizzare uno</w:t>
      </w:r>
      <w:r>
        <w:t xml:space="preserve"> </w:t>
      </w:r>
      <w:r>
        <w:rPr>
          <w:b/>
          <w:bCs/>
        </w:rPr>
        <w:t xml:space="preserve">scenario quantitativo</w:t>
      </w:r>
      <w:r>
        <w:t xml:space="preserve"> </w:t>
      </w:r>
      <w:r>
        <w:t xml:space="preserve">per la Puglia, su base annua, derivante dall’integrazione IA: supponiamo 10.000 utenti/anno che accedono allo psicologo di base. Grazie al triage IA, la metà (5.000) potrebbe essere gestita interamente nel I livello senza invii specialistici (quando invece oggi magari solo 4.000 lo sarebbero, quindi 1.000 invii in meno). Se un invio specialistico costa mediamente €300 (tra visite psichiatriche, valutazioni, etc.), e un caso gestito in base costa €100, quel 20% di invii evitati genera un risparmio di €200</w:t>
      </w:r>
      <w:r>
        <w:rPr>
          <w:i/>
          <w:iCs/>
        </w:rPr>
        <w:t xml:space="preserve">1000 =</w:t>
      </w:r>
      <w:r>
        <w:t xml:space="preserve"> </w:t>
      </w:r>
      <w:r>
        <w:rPr>
          <w:i/>
          <w:iCs/>
        </w:rPr>
        <w:t xml:space="preserve">€200.000. Aggiungiamo risparmi da ridotti ricoveri: ipotizziamo che un monitoraggio IA eviti anche solo 20 ricoveri psichiatrici l’anno (su 10k pazienti, molto prudente). Costo medio ricovero €5.000, risparmio €100.000. Risparmio tempo operatori: se 50 psicologi risparmiano 4 ore a settimana di burocrazia ciascuno, fanno 200h/settimana. In un anno ~10.000 ore risparmiate. Considerando costo orario €30, sono</w:t>
      </w:r>
      <w:r>
        <w:t xml:space="preserve"> </w:t>
      </w:r>
      <w:r>
        <w:rPr>
          <w:i/>
          <w:iCs/>
        </w:rPr>
        <w:t xml:space="preserve">€300.000</w:t>
      </w:r>
      <w:r>
        <w:t xml:space="preserve"> </w:t>
      </w:r>
      <w:r>
        <w:rPr>
          <w:i/>
          <w:iCs/>
        </w:rPr>
        <w:t xml:space="preserve">di valore di ore liberate (che possono essere usate per vedere più pazienti, quindi non spesa risparmiata ma valore aggiunto in prestazioni). Riduzione farmaci inutili: se migliorando la presa in carico 500 pazienti evitano terapia farmacologica non necessaria da €20/mese per 6 mesi, sono ~€60.000 risparmiati. Sommando queste voci già superiamo il</w:t>
      </w:r>
      <w:r>
        <w:t xml:space="preserve"> </w:t>
      </w:r>
      <w:r>
        <w:rPr>
          <w:i/>
          <w:iCs/>
        </w:rPr>
        <w:t xml:space="preserve">mezzo milione di euro l’anno</w:t>
      </w:r>
      <w:r>
        <w:t xml:space="preserve"> </w:t>
      </w:r>
      <w:r>
        <w:t xml:space="preserve">*in risparmi diretti e indiretti. A fronte di ciò, i costi di implementazione dell’IA (software, formazione, manutenzione) potrebbero essere inferiori, specialmente se si sfruttano soluzioni scalabili già disponibili. Va inoltre considerato l’effetto leva** sulla qualità della vita e sulla produttività sociale: se grazie a un intervento IA-supported le persone guariscono prima e tornano al lavoro, ci sono benefici economici macro (minori assenze, maggiore produttività). Un esempio: IAPT in UK ha calcolato un ritorno economico di £1,75 per ogni £1 investita in terapia psicologica per via di minori costi sociali (assenteismo, welfare)</w:t>
      </w:r>
      <w:hyperlink r:id="rId1966">
        <w:r>
          <w:rPr>
            <w:rStyle w:val="Hyperlink"/>
          </w:rPr>
          <w:t xml:space="preserve">[59]</w:t>
        </w:r>
      </w:hyperlink>
      <w:hyperlink r:id="rId1967">
        <w:r>
          <w:rPr>
            <w:rStyle w:val="Hyperlink"/>
          </w:rPr>
          <w:t xml:space="preserve">[60]</w:t>
        </w:r>
      </w:hyperlink>
      <w:r>
        <w:t xml:space="preserve">. L’IA amplificando l’efficacia di questi interventi può aumentare ulteriormente quel ROI.</w:t>
      </w:r>
    </w:p>
    <w:p>
      <w:pPr>
        <w:pStyle w:val="FirstParagraph"/>
      </w:pPr>
      <w:r>
        <w:t xml:space="preserve">In conclusione,</w:t>
      </w:r>
      <w:r>
        <w:t xml:space="preserve"> </w:t>
      </w:r>
      <w:r>
        <w:rPr>
          <w:i/>
          <w:iCs/>
        </w:rPr>
        <w:t xml:space="preserve">efficienza</w:t>
      </w:r>
      <w:r>
        <w:t xml:space="preserve"> </w:t>
      </w:r>
      <w:r>
        <w:t xml:space="preserve">ed</w:t>
      </w:r>
      <w:r>
        <w:t xml:space="preserve"> </w:t>
      </w:r>
      <w:r>
        <w:rPr>
          <w:i/>
          <w:iCs/>
        </w:rPr>
        <w:t xml:space="preserve">efficacia</w:t>
      </w:r>
      <w:r>
        <w:t xml:space="preserve"> </w:t>
      </w:r>
      <w:r>
        <w:t xml:space="preserve">vanno di pari passo: l’integrazione dell’intelligenza artificiale nel modello organizzativo porta a</w:t>
      </w:r>
      <w:r>
        <w:t xml:space="preserve"> </w:t>
      </w:r>
      <w:r>
        <w:rPr>
          <w:b/>
          <w:bCs/>
        </w:rPr>
        <w:t xml:space="preserve">fare di più (utenti trattati) con meno (risorse) e meglio (esiti)</w:t>
      </w:r>
      <w:r>
        <w:t xml:space="preserve">. Questi vantaggi quantitativi, supportati da studi preliminari, indicano che l’adozione dell’IA non è solo un miglioramento tecnico ma anche un investimento che</w:t>
      </w:r>
      <w:r>
        <w:t xml:space="preserve"> </w:t>
      </w:r>
      <w:r>
        <w:rPr>
          <w:b/>
          <w:bCs/>
        </w:rPr>
        <w:t xml:space="preserve">si ripaga ampiamente</w:t>
      </w:r>
      <w:r>
        <w:t xml:space="preserve"> </w:t>
      </w:r>
      <w:r>
        <w:t xml:space="preserve">in termini di sostenibilità economica e organizzativa del servizio nel medio-lungo periodo</w:t>
      </w:r>
      <w:hyperlink r:id="rId1952">
        <w:r>
          <w:rPr>
            <w:rStyle w:val="Hyperlink"/>
          </w:rPr>
          <w:t xml:space="preserve">[46]</w:t>
        </w:r>
      </w:hyperlink>
      <w:r>
        <w:t xml:space="preserve">. Naturalmente, occorrerà monitorare e misurare concretamente tali indicatori durante la fase di implementazione in Puglia, per aggiustare il tiro e assicurarsi che i benefici attesi si realizzino effettivamente nella pratica reale.</w:t>
      </w:r>
    </w:p>
    <w:bookmarkEnd w:id="1968"/>
    <w:bookmarkStart w:id="1972" w:name="Xa7fd0b314159efd2456efcec9963a263cd8a204"/>
    <w:p>
      <w:pPr>
        <w:pStyle w:val="Heading3"/>
      </w:pPr>
      <w:r>
        <w:t xml:space="preserve">Fabbisogni Formativi per MMG e Psicologi: Competenze Digitali e Accompagnamento al Cambiamento</w:t>
      </w:r>
    </w:p>
    <w:p>
      <w:pPr>
        <w:pStyle w:val="FirstParagraph"/>
      </w:pPr>
      <w:r>
        <w:t xml:space="preserve">L’innovazione tecnologica, per dispiegare appieno il suo potenziale, deve essere accompagnata da un parallelo investimento sulle</w:t>
      </w:r>
      <w:r>
        <w:t xml:space="preserve"> </w:t>
      </w:r>
      <w:r>
        <w:rPr>
          <w:b/>
          <w:bCs/>
        </w:rPr>
        <w:t xml:space="preserve">competenze umane</w:t>
      </w:r>
      <w:r>
        <w:t xml:space="preserve">. L’introduzione dell’IA nei flussi operativi dello psicologo di base richiede infatti che MMG, psicologi e altri attori coinvolti sviluppino familiarità e fiducia verso questi strumenti, nonché nuove skill nel loro utilizzo. La formazione diventa dunque un pilastro imprescindibile, articolato su più livelli:</w:t>
      </w:r>
    </w:p>
    <w:p>
      <w:pPr>
        <w:numPr>
          <w:ilvl w:val="0"/>
          <w:numId w:val="1005"/>
        </w:numPr>
      </w:pPr>
      <w:r>
        <w:rPr>
          <w:b/>
          <w:bCs/>
        </w:rPr>
        <w:t xml:space="preserve">Formazione iniziale (start-up del progetto):</w:t>
      </w:r>
      <w:r>
        <w:t xml:space="preserve"> </w:t>
      </w:r>
      <w:r>
        <w:t xml:space="preserve">Prima dell’avvio operativo su larga scala, è fondamentale organizzare</w:t>
      </w:r>
      <w:r>
        <w:t xml:space="preserve"> </w:t>
      </w:r>
      <w:r>
        <w:rPr>
          <w:b/>
          <w:bCs/>
        </w:rPr>
        <w:t xml:space="preserve">corsi introduttivi</w:t>
      </w:r>
      <w:r>
        <w:t xml:space="preserve"> </w:t>
      </w:r>
      <w:r>
        <w:t xml:space="preserve">per tutto il personale coinvolto. Tali corsi dovrebbero coprire sia aspetti teorici che pratici. Ad esempio, un modulo teorico sull’</w:t>
      </w:r>
      <w:r>
        <w:t xml:space="preserve">“</w:t>
      </w:r>
      <w:r>
        <w:t xml:space="preserve">IA in sanità</w:t>
      </w:r>
      <w:r>
        <w:t xml:space="preserve">”</w:t>
      </w:r>
      <w:r>
        <w:t xml:space="preserve"> </w:t>
      </w:r>
      <w:r>
        <w:t xml:space="preserve">che spieghi in termini semplici cosa sono machine learning, NLP, chatbot, dashboard, con esempi di successo (molti clinici potrebbero non aver mai avuto esposizione a queste nozioni). In parallelo, sessioni pratiche sull’utilizzo degli specifici strumenti adottati: simulazioni di utilizzo del software di triage, esercitazioni guidate su come interpretare un alert del sistema decisionale, come interagire con il chatbot ecc. Idealmente, la formazione iniziale dovrebbe essere erogata</w:t>
      </w:r>
      <w:r>
        <w:t xml:space="preserve"> </w:t>
      </w:r>
      <w:r>
        <w:rPr>
          <w:b/>
          <w:bCs/>
        </w:rPr>
        <w:t xml:space="preserve">in presenza</w:t>
      </w:r>
      <w:r>
        <w:t xml:space="preserve"> </w:t>
      </w:r>
      <w:r>
        <w:t xml:space="preserve">o in aula virtuale con tutor, per favorire l’interattività e lo scambio di domande. Si potrebbero anche coinvolgere esperti da altre regioni o paesi che abbiano implementato soluzioni simili, per condividere esperienze e</w:t>
      </w:r>
      <w:r>
        <w:t xml:space="preserve"> </w:t>
      </w:r>
      <w:r>
        <w:rPr>
          <w:i/>
          <w:iCs/>
        </w:rPr>
        <w:t xml:space="preserve">lesson learned</w:t>
      </w:r>
      <w:r>
        <w:t xml:space="preserve">. Un esempio: l’Istituto Superiore di Sanità in Italia ha già attivato corsi FAD gratuiti su IA per operatori sanitari</w:t>
      </w:r>
      <w:hyperlink r:id="rId1969">
        <w:r>
          <w:rPr>
            <w:rStyle w:val="Hyperlink"/>
          </w:rPr>
          <w:t xml:space="preserve">[61]</w:t>
        </w:r>
      </w:hyperlink>
      <w:r>
        <w:t xml:space="preserve">; la regione potrebbe avvalersi di tali materiali integrandoli con specificità locali. È importante che questa fase formativa non sia percepita come un mero addestramento tecnico, ma anche come occasione di</w:t>
      </w:r>
      <w:r>
        <w:t xml:space="preserve"> </w:t>
      </w:r>
      <w:r>
        <w:rPr>
          <w:i/>
          <w:iCs/>
        </w:rPr>
        <w:t xml:space="preserve">condivisione della visione</w:t>
      </w:r>
      <w:r>
        <w:t xml:space="preserve">: spiegare perché si introducono certe IA, quali problemi intendono risolvere, come miglioreranno la pratica clinica e la qualità di vita lavorativa dei professionisti. In questo modo si favorisce l’</w:t>
      </w:r>
      <w:r>
        <w:rPr>
          <w:b/>
          <w:bCs/>
        </w:rPr>
        <w:t xml:space="preserve">accettazione</w:t>
      </w:r>
      <w:r>
        <w:t xml:space="preserve"> </w:t>
      </w:r>
      <w:r>
        <w:t xml:space="preserve">e si riducono resistenze o timori (es. la paura che l’IA</w:t>
      </w:r>
      <w:r>
        <w:t xml:space="preserve"> </w:t>
      </w:r>
      <w:r>
        <w:t xml:space="preserve">“</w:t>
      </w:r>
      <w:r>
        <w:t xml:space="preserve">controlli</w:t>
      </w:r>
      <w:r>
        <w:t xml:space="preserve">”</w:t>
      </w:r>
      <w:r>
        <w:t xml:space="preserve"> </w:t>
      </w:r>
      <w:r>
        <w:t xml:space="preserve">o sostituisca il professionista).</w:t>
      </w:r>
    </w:p>
    <w:p>
      <w:pPr>
        <w:numPr>
          <w:ilvl w:val="0"/>
          <w:numId w:val="1005"/>
        </w:numPr>
      </w:pPr>
      <w:r>
        <w:rPr>
          <w:b/>
          <w:bCs/>
        </w:rPr>
        <w:t xml:space="preserve">Formazione continua (ECM) e aggiornamento:</w:t>
      </w:r>
      <w:r>
        <w:t xml:space="preserve"> </w:t>
      </w:r>
      <w:r>
        <w:t xml:space="preserve">L’IA e le tecnologie digitali evolvono rapidamente; inoltre, man mano che il progetto procede, potrebbero essere aggiunti nuovi moduli o funzionalità. Per questo serve un piano di</w:t>
      </w:r>
      <w:r>
        <w:t xml:space="preserve"> </w:t>
      </w:r>
      <w:r>
        <w:rPr>
          <w:b/>
          <w:bCs/>
        </w:rPr>
        <w:t xml:space="preserve">aggiornamento costante</w:t>
      </w:r>
      <w:r>
        <w:t xml:space="preserve">. Si dovrebbero prevedere crediti ECM specifici in</w:t>
      </w:r>
      <w:r>
        <w:t xml:space="preserve"> </w:t>
      </w:r>
      <w:r>
        <w:t xml:space="preserve">“</w:t>
      </w:r>
      <w:r>
        <w:t xml:space="preserve">Sanità Digitale e Intelligenza Artificiale</w:t>
      </w:r>
      <w:r>
        <w:t xml:space="preserve">”</w:t>
      </w:r>
      <w:r>
        <w:t xml:space="preserve"> </w:t>
      </w:r>
      <w:r>
        <w:t xml:space="preserve">per MMG e psicologi di base, per incentivare la partecipazione. Ad esempio, ogni anno potrebbero essere proposti 1–2 corsi ECM focalizzati: uno sulle</w:t>
      </w:r>
      <w:r>
        <w:t xml:space="preserve"> </w:t>
      </w:r>
      <w:r>
        <w:rPr>
          <w:i/>
          <w:iCs/>
        </w:rPr>
        <w:t xml:space="preserve">novità tecnologiche</w:t>
      </w:r>
      <w:r>
        <w:t xml:space="preserve"> </w:t>
      </w:r>
      <w:r>
        <w:t xml:space="preserve">(aggiornamento sugli strumenti, nuove versioni software, nuove best practice di utilizzo emerse dall’analisi dei dati interni) e uno sugli</w:t>
      </w:r>
      <w:r>
        <w:t xml:space="preserve"> </w:t>
      </w:r>
      <w:r>
        <w:rPr>
          <w:i/>
          <w:iCs/>
        </w:rPr>
        <w:t xml:space="preserve">aspetti etico-legali</w:t>
      </w:r>
      <w:r>
        <w:t xml:space="preserve"> </w:t>
      </w:r>
      <w:r>
        <w:t xml:space="preserve">(tutela dati, consenso informato nell’uso di IA, bias algoritmici, etc.). Ciò garantisce che il personale</w:t>
      </w:r>
      <w:r>
        <w:t xml:space="preserve"> </w:t>
      </w:r>
      <w:r>
        <w:rPr>
          <w:b/>
          <w:bCs/>
        </w:rPr>
        <w:t xml:space="preserve">rimanga al passo</w:t>
      </w:r>
      <w:r>
        <w:t xml:space="preserve"> </w:t>
      </w:r>
      <w:r>
        <w:t xml:space="preserve">e utilizzi in modo appropriato gli strumenti. Organismi come FNOMCeO (Federazione degli Ordini dei Medici) e CNOP (Consiglio Psicologi) potrebbero essere coinvolti per accreditare questi percorsi formativi. Una componente utile sono le</w:t>
      </w:r>
      <w:r>
        <w:t xml:space="preserve"> </w:t>
      </w:r>
      <w:r>
        <w:rPr>
          <w:b/>
          <w:bCs/>
        </w:rPr>
        <w:t xml:space="preserve">community of practice</w:t>
      </w:r>
      <w:r>
        <w:t xml:space="preserve">: gruppi online di MMG e psicologi utilizzatori dove condividere casi d’uso dell’IA, soluzioni a problemi comuni, trucchi operativi. Questo favorisce l’apprendimento</w:t>
      </w:r>
      <w:r>
        <w:t xml:space="preserve"> </w:t>
      </w:r>
      <w:r>
        <w:rPr>
          <w:i/>
          <w:iCs/>
        </w:rPr>
        <w:t xml:space="preserve">peer-to-peer</w:t>
      </w:r>
      <w:r>
        <w:t xml:space="preserve"> </w:t>
      </w:r>
      <w:r>
        <w:t xml:space="preserve">e la creazione di una</w:t>
      </w:r>
      <w:r>
        <w:t xml:space="preserve"> </w:t>
      </w:r>
      <w:r>
        <w:t xml:space="preserve">“</w:t>
      </w:r>
      <w:r>
        <w:t xml:space="preserve">cultura digitale</w:t>
      </w:r>
      <w:r>
        <w:t xml:space="preserve">”</w:t>
      </w:r>
      <w:r>
        <w:t xml:space="preserve"> </w:t>
      </w:r>
      <w:r>
        <w:t xml:space="preserve">tra i professionisti. In parallelo, data la velocità del progresso, si può considerare di inviare periodicamente</w:t>
      </w:r>
      <w:r>
        <w:t xml:space="preserve"> </w:t>
      </w:r>
      <w:r>
        <w:rPr>
          <w:i/>
          <w:iCs/>
        </w:rPr>
        <w:t xml:space="preserve">newsletter</w:t>
      </w:r>
      <w:r>
        <w:t xml:space="preserve"> </w:t>
      </w:r>
      <w:r>
        <w:t xml:space="preserve">o pillole formative su novità IA (per es.</w:t>
      </w:r>
      <w:r>
        <w:t xml:space="preserve"> </w:t>
      </w:r>
      <w:r>
        <w:t xml:space="preserve">“</w:t>
      </w:r>
      <w:r>
        <w:t xml:space="preserve">Aggiornamento: il chatbot ora riconosce anche i dialetti locali, prova questa funzione…</w:t>
      </w:r>
      <w:r>
        <w:t xml:space="preserve">”</w:t>
      </w:r>
      <w:r>
        <w:t xml:space="preserve">). La formazione continua deve anche recepire feedback: se gli operatori segnalano difficoltà o dubbi ricorrenti (es. interpretare un certo output AI), quei temi vanno integrati nel training successivo.</w:t>
      </w:r>
    </w:p>
    <w:p>
      <w:pPr>
        <w:numPr>
          <w:ilvl w:val="0"/>
          <w:numId w:val="1005"/>
        </w:numPr>
      </w:pPr>
      <w:r>
        <w:rPr>
          <w:b/>
          <w:bCs/>
        </w:rPr>
        <w:t xml:space="preserve">Affiancamento e mentoring sul campo:</w:t>
      </w:r>
      <w:r>
        <w:t xml:space="preserve"> </w:t>
      </w:r>
      <w:r>
        <w:t xml:space="preserve">Oltre alla formazione formale, è molto efficace prevedere un periodo di</w:t>
      </w:r>
      <w:r>
        <w:t xml:space="preserve"> </w:t>
      </w:r>
      <w:r>
        <w:rPr>
          <w:b/>
          <w:bCs/>
        </w:rPr>
        <w:t xml:space="preserve">affiancamento pratico</w:t>
      </w:r>
      <w:r>
        <w:t xml:space="preserve"> </w:t>
      </w:r>
      <w:r>
        <w:t xml:space="preserve">quando gli strumenti IA vengono messi in opera. Ad esempio, per le prime settimane di utilizzo, potrebbero esserci</w:t>
      </w:r>
      <w:r>
        <w:t xml:space="preserve"> </w:t>
      </w:r>
      <w:r>
        <w:rPr>
          <w:i/>
          <w:iCs/>
        </w:rPr>
        <w:t xml:space="preserve">tutor tecnologici</w:t>
      </w:r>
      <w:r>
        <w:t xml:space="preserve"> </w:t>
      </w:r>
      <w:r>
        <w:t xml:space="preserve">che affiancano gli psicologi di base durante l’ambulatorio, aiutandoli in diretta ad usare i nuovi sistemi fino a che non acquisiscono sicurezza. Questo si può fare con personale interno opportunamente formato o con specialisti esterni dell’azienda fornitrice del software. Analogamente, per i MMG si potrebbero organizzare sessioni</w:t>
      </w:r>
      <w:r>
        <w:t xml:space="preserve"> </w:t>
      </w:r>
      <w:r>
        <w:t xml:space="preserve">“</w:t>
      </w:r>
      <w:r>
        <w:t xml:space="preserve">sul campo</w:t>
      </w:r>
      <w:r>
        <w:t xml:space="preserve">”</w:t>
      </w:r>
      <w:r>
        <w:t xml:space="preserve"> </w:t>
      </w:r>
      <w:r>
        <w:t xml:space="preserve">in cui un esperto va nello studio del medico e lavora con lui/lei utilizzando i nuovi moduli integrati nel gestionale, rispondendo a dubbi sul momento. Questo approccio riduce il rischio di frustrazione iniziale (inevitabile con nuovi software) e accelera la curva di apprendimento. Anche creare una</w:t>
      </w:r>
      <w:r>
        <w:t xml:space="preserve"> </w:t>
      </w:r>
      <w:r>
        <w:rPr>
          <w:b/>
          <w:bCs/>
        </w:rPr>
        <w:t xml:space="preserve">help-desk dedicata</w:t>
      </w:r>
      <w:r>
        <w:t xml:space="preserve"> </w:t>
      </w:r>
      <w:r>
        <w:t xml:space="preserve">(telefono o chat) per i primi mesi, dove gli operatori possono contattare esperti in caso di problemi con l’IA, è cruciale per non farli sentire abbandonati. Un eventuale affiancamento può essere modulato: utenti più giovani o già tecnologici potrebbero non averne quasi bisogno, mentre altri professionisti meno avvezzi alla tecnologia potrebbero necessitare di più supporto individuale. L’obiettivo è portare tutti a un livello di confidenza sufficiente, minimizzando la</w:t>
      </w:r>
      <w:r>
        <w:t xml:space="preserve"> </w:t>
      </w:r>
      <w:r>
        <w:rPr>
          <w:b/>
          <w:bCs/>
        </w:rPr>
        <w:t xml:space="preserve">variabilità individuale</w:t>
      </w:r>
      <w:r>
        <w:t xml:space="preserve"> </w:t>
      </w:r>
      <w:r>
        <w:t xml:space="preserve">nell’adozione.</w:t>
      </w:r>
    </w:p>
    <w:p>
      <w:pPr>
        <w:numPr>
          <w:ilvl w:val="0"/>
          <w:numId w:val="1005"/>
        </w:numPr>
      </w:pPr>
      <w:r>
        <w:rPr>
          <w:b/>
          <w:bCs/>
        </w:rPr>
        <w:t xml:space="preserve">Figure di raccordo tecnologico sul territorio:</w:t>
      </w:r>
      <w:r>
        <w:t xml:space="preserve"> </w:t>
      </w:r>
      <w:r>
        <w:t xml:space="preserve">Sul lungo periodo, per mantenere il sistema efficiente e aiutare nell’integrazione locale, può essere utile istituire la figura del</w:t>
      </w:r>
      <w:r>
        <w:t xml:space="preserve"> </w:t>
      </w:r>
      <w:r>
        <w:rPr>
          <w:b/>
          <w:bCs/>
        </w:rPr>
        <w:t xml:space="preserve">“</w:t>
      </w:r>
      <w:r>
        <w:rPr>
          <w:b/>
          <w:bCs/>
        </w:rPr>
        <w:t xml:space="preserve">referente digitale</w:t>
      </w:r>
      <w:r>
        <w:rPr>
          <w:b/>
          <w:bCs/>
        </w:rPr>
        <w:t xml:space="preserve">”</w:t>
      </w:r>
      <w:r>
        <w:t xml:space="preserve"> </w:t>
      </w:r>
      <w:r>
        <w:t xml:space="preserve">o facilitatore tecnologico in ciascuna ASL o distretto. Questa figura (che potrebbe essere uno psicologo o un altro professionista con formazione aggiuntiva in health informatics) fungerebbe da</w:t>
      </w:r>
      <w:r>
        <w:t xml:space="preserve"> </w:t>
      </w:r>
      <w:r>
        <w:rPr>
          <w:i/>
          <w:iCs/>
        </w:rPr>
        <w:t xml:space="preserve">trait d’union</w:t>
      </w:r>
      <w:r>
        <w:t xml:space="preserve"> </w:t>
      </w:r>
      <w:r>
        <w:t xml:space="preserve">tra il team clinico e il team tecnico. I suoi compiti: monitorare l’utilizzo degli strumenti IA da parte degli operatori, raccogliere segnalazioni di problemi o suggerimenti migliorativi, proporre eventuali adattamenti organizzativi, supportare i nuovi arrivati con training on the job, e garantire che le soluzioni tecnologiche rispondano alle esigenze operative locali. In pratica è un</w:t>
      </w:r>
      <w:r>
        <w:t xml:space="preserve"> </w:t>
      </w:r>
      <w:r>
        <w:rPr>
          <w:b/>
          <w:bCs/>
        </w:rPr>
        <w:t xml:space="preserve">“</w:t>
      </w:r>
      <w:r>
        <w:rPr>
          <w:b/>
          <w:bCs/>
        </w:rPr>
        <w:t xml:space="preserve">campione digitale</w:t>
      </w:r>
      <w:r>
        <w:rPr>
          <w:b/>
          <w:bCs/>
        </w:rPr>
        <w:t xml:space="preserve">”</w:t>
      </w:r>
      <w:r>
        <w:t xml:space="preserve"> </w:t>
      </w:r>
      <w:r>
        <w:t xml:space="preserve">(digital champion) interno che promuove l’uso ottimale della tecnologia e aiuta a superare eventuali inerzie o resistenze. Tale ruolo può essere formalizzato (con tempo dedicato e riconoscimento) per valorizzarlo. Ad esempio, il NHS inglese ha introdotto in vari trust sanitari i</w:t>
      </w:r>
      <w:r>
        <w:t xml:space="preserve"> </w:t>
      </w:r>
      <w:r>
        <w:rPr>
          <w:i/>
          <w:iCs/>
        </w:rPr>
        <w:t xml:space="preserve">Chief Clinical Information Officers</w:t>
      </w:r>
      <w:r>
        <w:t xml:space="preserve"> </w:t>
      </w:r>
      <w:r>
        <w:t xml:space="preserve">(medici/infermieri con compito di facilitare l’innovazione digitale): un modello simile potrebbe essere declinato per la sanità territoriale pugliese.</w:t>
      </w:r>
    </w:p>
    <w:p>
      <w:pPr>
        <w:numPr>
          <w:ilvl w:val="0"/>
          <w:numId w:val="1005"/>
        </w:numPr>
      </w:pPr>
      <w:r>
        <w:rPr>
          <w:b/>
          <w:bCs/>
        </w:rPr>
        <w:t xml:space="preserve">Competenze da sviluppare:</w:t>
      </w:r>
      <w:r>
        <w:t xml:space="preserve"> </w:t>
      </w:r>
      <w:r>
        <w:t xml:space="preserve">Specificando, quali competenze servono a MMG e psicologi per usare efficacemente l’IA? In letteratura si parla di</w:t>
      </w:r>
      <w:r>
        <w:t xml:space="preserve"> </w:t>
      </w:r>
      <w:r>
        <w:rPr>
          <w:b/>
          <w:bCs/>
        </w:rPr>
        <w:t xml:space="preserve">“</w:t>
      </w:r>
      <w:r>
        <w:rPr>
          <w:b/>
          <w:bCs/>
        </w:rPr>
        <w:t xml:space="preserve">AI literacy</w:t>
      </w:r>
      <w:r>
        <w:rPr>
          <w:b/>
          <w:bCs/>
        </w:rPr>
        <w:t xml:space="preserve">”</w:t>
      </w:r>
      <w:r>
        <w:t xml:space="preserve"> </w:t>
      </w:r>
      <w:r>
        <w:t xml:space="preserve">per i clinici</w:t>
      </w:r>
      <w:hyperlink r:id="rId1970">
        <w:r>
          <w:rPr>
            <w:rStyle w:val="Hyperlink"/>
          </w:rPr>
          <w:t xml:space="preserve">[62]</w:t>
        </w:r>
      </w:hyperlink>
      <w:hyperlink r:id="rId1971">
        <w:r>
          <w:rPr>
            <w:rStyle w:val="Hyperlink"/>
          </w:rPr>
          <w:t xml:space="preserve">[63]</w:t>
        </w:r>
      </w:hyperlink>
      <w:r>
        <w:t xml:space="preserve">. In concreto:</w:t>
      </w:r>
    </w:p>
    <w:p>
      <w:pPr>
        <w:numPr>
          <w:ilvl w:val="0"/>
          <w:numId w:val="1005"/>
        </w:numPr>
      </w:pPr>
      <w:r>
        <w:rPr>
          <w:b/>
          <w:bCs/>
        </w:rPr>
        <w:t xml:space="preserve">Comprendere il funzionamento di base degli algoritmi</w:t>
      </w:r>
      <w:r>
        <w:t xml:space="preserve"> </w:t>
      </w:r>
      <w:r>
        <w:t xml:space="preserve">(non per programmarli ma per sapere, ad esempio, cosa significa che un algoritmo ha una certa sensibilità, cosa sono falsi positivi, etc., così da interpretare i suggerimenti con occhio critico).</w:t>
      </w:r>
    </w:p>
    <w:p>
      <w:pPr>
        <w:numPr>
          <w:ilvl w:val="0"/>
          <w:numId w:val="1005"/>
        </w:numPr>
      </w:pPr>
      <w:r>
        <w:rPr>
          <w:b/>
          <w:bCs/>
        </w:rPr>
        <w:t xml:space="preserve">Interpretare output e indicatori</w:t>
      </w:r>
      <w:r>
        <w:t xml:space="preserve">: saper leggere un dashboard, capire un punteggio di rischio fornito dall’IA, discernere quando fidarsi e quando invece approfondire perché magari l’IA può sbagliare. Ad esempio, se un sistema dà rischio suicidio 2%, non significa ignorare il rischio, oppure se dà 90% non significa panico, ma valutare nel contesto. Questa capacità di</w:t>
      </w:r>
      <w:r>
        <w:t xml:space="preserve"> </w:t>
      </w:r>
      <w:r>
        <w:rPr>
          <w:i/>
          <w:iCs/>
        </w:rPr>
        <w:t xml:space="preserve">calibrazione</w:t>
      </w:r>
      <w:r>
        <w:t xml:space="preserve"> </w:t>
      </w:r>
      <w:r>
        <w:t xml:space="preserve">va insegnata con esempi pratici.</w:t>
      </w:r>
    </w:p>
    <w:p>
      <w:pPr>
        <w:numPr>
          <w:ilvl w:val="0"/>
          <w:numId w:val="1005"/>
        </w:numPr>
      </w:pPr>
      <w:r>
        <w:rPr>
          <w:b/>
          <w:bCs/>
        </w:rPr>
        <w:t xml:space="preserve">Gestire la relazione col paziente in presenza di AI</w:t>
      </w:r>
      <w:r>
        <w:t xml:space="preserve">: va preparato sia il clinico che il paziente. Il clinico deve imparare a spiegare al paziente l’uso dell’IA (</w:t>
      </w:r>
      <w:r>
        <w:t xml:space="preserve">“</w:t>
      </w:r>
      <w:r>
        <w:t xml:space="preserve">adesso il nostro sistema suggerisce questo, vediamo insieme se fa al caso tuo…</w:t>
      </w:r>
      <w:r>
        <w:t xml:space="preserve">”</w:t>
      </w:r>
      <w:r>
        <w:t xml:space="preserve">) in modo trasparente e rassicurante, mantenendo l’alleanza terapeutica. Deve anche saper fronteggiare situazioni in cui l’IA sbaglia o il paziente la percepisce negativamente, reintroducendo l’elemento umano.</w:t>
      </w:r>
    </w:p>
    <w:p>
      <w:pPr>
        <w:numPr>
          <w:ilvl w:val="0"/>
          <w:numId w:val="1005"/>
        </w:numPr>
      </w:pPr>
      <w:r>
        <w:rPr>
          <w:b/>
          <w:bCs/>
        </w:rPr>
        <w:t xml:space="preserve">Data entry e data governance</w:t>
      </w:r>
      <w:r>
        <w:t xml:space="preserve">: gli operatori dovranno curare di più la qualità dei dati inseriti nei sistemi, perché dall’accuratezza di questi dipende il funzionamento dell’IA. Quindi competenze informatiche di base, attenzione nella compilazione digitale, e conoscenza delle norme su privacy e sicurezza informatica (GDPR, consenso per uso dati, etc.).</w:t>
      </w:r>
    </w:p>
    <w:p>
      <w:pPr>
        <w:numPr>
          <w:ilvl w:val="0"/>
          <w:numId w:val="1005"/>
        </w:numPr>
      </w:pPr>
      <w:r>
        <w:rPr>
          <w:b/>
          <w:bCs/>
        </w:rPr>
        <w:t xml:space="preserve">Pensiero critico ed etico</w:t>
      </w:r>
      <w:r>
        <w:t xml:space="preserve"> </w:t>
      </w:r>
      <w:r>
        <w:t xml:space="preserve">sull’IA: formare i clinici a riflettere su questioni come bias algoritmici (sapere ad es. che se l’IA è addestrata su popolazione diversa potrebbe non essere accurata per alcune minoranze), sulla necessità di supervisione umana, e sui limiti dell’IA (quando non usarla). Ciò li rende</w:t>
      </w:r>
      <w:r>
        <w:t xml:space="preserve"> </w:t>
      </w:r>
      <w:r>
        <w:rPr>
          <w:i/>
          <w:iCs/>
        </w:rPr>
        <w:t xml:space="preserve">parte attiva</w:t>
      </w:r>
      <w:r>
        <w:t xml:space="preserve"> </w:t>
      </w:r>
      <w:r>
        <w:t xml:space="preserve">nel controllo dell’IA e non passivi esecutori.</w:t>
      </w:r>
    </w:p>
    <w:p>
      <w:pPr>
        <w:pStyle w:val="FirstParagraph"/>
      </w:pPr>
      <w:r>
        <w:t xml:space="preserve">A tal proposito, alcune organizzazioni hanno proposto dei framework di competenze per l’uso dell’IA in medicina generale</w:t>
      </w:r>
      <w:hyperlink r:id="rId1970">
        <w:r>
          <w:rPr>
            <w:rStyle w:val="Hyperlink"/>
          </w:rPr>
          <w:t xml:space="preserve">[62]</w:t>
        </w:r>
      </w:hyperlink>
      <w:hyperlink r:id="rId1965">
        <w:r>
          <w:rPr>
            <w:rStyle w:val="Hyperlink"/>
          </w:rPr>
          <w:t xml:space="preserve">[64]</w:t>
        </w:r>
      </w:hyperlink>
      <w:r>
        <w:t xml:space="preserve">: includono conoscenze di base, capacità di valutare le evidenze dietro un algoritmo, capacità di comunicare al paziente riguardo l’uso dell’IA. La Puglia potrebbe adottare tali framework e adattarli nei propri programmi formativi, definendo obiettivi didattici chiari (ad es.</w:t>
      </w:r>
      <w:r>
        <w:t xml:space="preserve"> </w:t>
      </w:r>
      <w:r>
        <w:t xml:space="preserve">“</w:t>
      </w:r>
      <w:r>
        <w:t xml:space="preserve">il medico di base deve saper spiegare in 2 minuti al paziente come funziona il triage AI e rassicurarlo sulla riservatezza dei dati</w:t>
      </w:r>
      <w:r>
        <w:t xml:space="preserve">”</w:t>
      </w:r>
      <w:r>
        <w:t xml:space="preserve">).</w:t>
      </w:r>
    </w:p>
    <w:p>
      <w:pPr>
        <w:pStyle w:val="Compact"/>
        <w:numPr>
          <w:ilvl w:val="0"/>
          <w:numId w:val="1006"/>
        </w:numPr>
      </w:pPr>
      <w:r>
        <w:rPr>
          <w:b/>
          <w:bCs/>
        </w:rPr>
        <w:t xml:space="preserve">Cambiamento culturale e accettazione:</w:t>
      </w:r>
      <w:r>
        <w:t xml:space="preserve"> </w:t>
      </w:r>
      <w:r>
        <w:t xml:space="preserve">Un aspetto trasversale è la gestione del</w:t>
      </w:r>
      <w:r>
        <w:t xml:space="preserve"> </w:t>
      </w:r>
      <w:r>
        <w:rPr>
          <w:b/>
          <w:bCs/>
        </w:rPr>
        <w:t xml:space="preserve">cambiamento culturale</w:t>
      </w:r>
      <w:r>
        <w:t xml:space="preserve">. Alcuni professionisti potrebbero inizialmente diffidare dell’IA, percepirla come un’intrusione o temere che mini il rapporto umano. È importante affrontare apertamente queste preoccupazioni in sede formativa. Portare esempi positivi (best practice) e soprattutto evidenziare come l’IA possa</w:t>
      </w:r>
      <w:r>
        <w:t xml:space="preserve"> </w:t>
      </w:r>
      <w:r>
        <w:rPr>
          <w:i/>
          <w:iCs/>
        </w:rPr>
        <w:t xml:space="preserve">ridare tempo per l’umano</w:t>
      </w:r>
      <w:r>
        <w:t xml:space="preserve">: meno scartoffie, più ascolto del paziente. Come osserva un dirigente di Altroconsumo,</w:t>
      </w:r>
      <w:r>
        <w:t xml:space="preserve"> </w:t>
      </w:r>
      <w:r>
        <w:rPr>
          <w:i/>
          <w:iCs/>
        </w:rPr>
        <w:t xml:space="preserve">“</w:t>
      </w:r>
      <w:r>
        <w:rPr>
          <w:i/>
          <w:iCs/>
        </w:rPr>
        <w:t xml:space="preserve">se si va verso un’integrazione di questi strumenti e non una demonizzazione… c’è una prospettiva per un approccio laico e pragmatico</w:t>
      </w:r>
      <w:r>
        <w:rPr>
          <w:i/>
          <w:iCs/>
        </w:rPr>
        <w:t xml:space="preserve">”</w:t>
      </w:r>
      <w:hyperlink r:id="rId1910">
        <w:r>
          <w:rPr>
            <w:rStyle w:val="Hyperlink"/>
          </w:rPr>
          <w:t xml:space="preserve">[4]</w:t>
        </w:r>
      </w:hyperlink>
      <w:r>
        <w:t xml:space="preserve">. Quindi la chiave è presentare l’IA come</w:t>
      </w:r>
      <w:r>
        <w:t xml:space="preserve"> </w:t>
      </w:r>
      <w:r>
        <w:rPr>
          <w:i/>
          <w:iCs/>
        </w:rPr>
        <w:t xml:space="preserve">alleato</w:t>
      </w:r>
      <w:r>
        <w:t xml:space="preserve"> </w:t>
      </w:r>
      <w:r>
        <w:t xml:space="preserve">e non come minaccia. Coinvolgere i</w:t>
      </w:r>
      <w:r>
        <w:t xml:space="preserve"> </w:t>
      </w:r>
      <w:r>
        <w:t xml:space="preserve">“</w:t>
      </w:r>
      <w:r>
        <w:rPr>
          <w:b/>
          <w:bCs/>
        </w:rPr>
        <w:t xml:space="preserve">campioni interni</w:t>
      </w:r>
      <w:r>
        <w:t xml:space="preserve">”</w:t>
      </w:r>
      <w:r>
        <w:t xml:space="preserve"> </w:t>
      </w:r>
      <w:r>
        <w:t xml:space="preserve">– ad esempio medici o psicologi che abbracciano la tecnologia – affinché condividano la loro esperienza entusiasta con i colleghi più scettici. Inoltre, rassicurare che l’IA non toglierà ruolo a nessuno ma semmai ne qualificherà di più la funzione (il professionista può dedicarsi alle attività a maggior valore aggiunto). Un messaggio importante:</w:t>
      </w:r>
      <w:r>
        <w:t xml:space="preserve"> </w:t>
      </w:r>
      <w:r>
        <w:t xml:space="preserve">“</w:t>
      </w:r>
      <w:r>
        <w:rPr>
          <w:b/>
          <w:bCs/>
        </w:rPr>
        <w:t xml:space="preserve">la decisione clinica finale è sempre tua</w:t>
      </w:r>
      <w:r>
        <w:t xml:space="preserve">”</w:t>
      </w:r>
      <w:r>
        <w:t xml:space="preserve">, l’IA è uno strumento. Parallelamente, andrà fatto un lavoro anche sui pazienti e cittadini: informandoli adeguatamente che nel nuovo servizio potranno interagire con strumenti tecnologici (per ridurre diffidenza), spiegando i benefici (velocità, accesso) e le tutele (privacy by design, supervisione medica costante). Un paziente ben informato sarà più collaborativo e meno confuso quando magari riceverà un messaggio da un chatbot o vedrà il suo medico guardare un suggerimento sullo schermo.</w:t>
      </w:r>
    </w:p>
    <w:p>
      <w:pPr>
        <w:pStyle w:val="FirstParagraph"/>
      </w:pPr>
      <w:r>
        <w:t xml:space="preserve">In conclusione,</w:t>
      </w:r>
      <w:r>
        <w:t xml:space="preserve"> </w:t>
      </w:r>
      <w:r>
        <w:rPr>
          <w:i/>
          <w:iCs/>
        </w:rPr>
        <w:t xml:space="preserve">“</w:t>
      </w:r>
      <w:r>
        <w:rPr>
          <w:i/>
          <w:iCs/>
        </w:rPr>
        <w:t xml:space="preserve">technology is only as good as the people who use it</w:t>
      </w:r>
      <w:r>
        <w:rPr>
          <w:i/>
          <w:iCs/>
        </w:rPr>
        <w:t xml:space="preserve">”</w:t>
      </w:r>
      <w:r>
        <w:t xml:space="preserve">: il successo dell’integrazione dell’IA passa per l’</w:t>
      </w:r>
      <w:r>
        <w:rPr>
          <w:b/>
          <w:bCs/>
        </w:rPr>
        <w:t xml:space="preserve">empowerment dei professionisti</w:t>
      </w:r>
      <w:r>
        <w:t xml:space="preserve">. Investire in formazione strutturata, continua e in un accompagnamento empatico al cambiamento è cruciale quanto investire nei software stessi. La Regione dovrà prevedere nel progetto risorse dedicate per questi aspetti (es. budget per formazione ECM, per tutor digitali, per creare manuali d’uso semplificati, ecc.). I risultati attesi sono un personale sanitario</w:t>
      </w:r>
      <w:r>
        <w:t xml:space="preserve"> </w:t>
      </w:r>
      <w:r>
        <w:rPr>
          <w:b/>
          <w:bCs/>
        </w:rPr>
        <w:t xml:space="preserve">competente, sicuro e fiducioso</w:t>
      </w:r>
      <w:r>
        <w:t xml:space="preserve"> </w:t>
      </w:r>
      <w:r>
        <w:t xml:space="preserve">nell’utilizzo dell’IA, capace di sfruttarla al meglio e al contempo di governarla con senso critico e sensibilità umana. Questo equilibrio uomo-macchina ben calibrato rappresenta la condizione ideale per offrire ai cittadini pugliesi un servizio innovativo ma al contempo</w:t>
      </w:r>
      <w:r>
        <w:t xml:space="preserve"> </w:t>
      </w:r>
      <w:r>
        <w:rPr>
          <w:b/>
          <w:bCs/>
        </w:rPr>
        <w:t xml:space="preserve">umano-centrico</w:t>
      </w:r>
      <w:r>
        <w:t xml:space="preserve">, dove tecnologia ed empatia si potenziano a vicenda.</w:t>
      </w:r>
    </w:p>
    <w:bookmarkEnd w:id="1972"/>
    <w:bookmarkStart w:id="2008" w:name="X4ed76aa74643f01d7b4eee527139492835f21ae"/>
    <w:p>
      <w:pPr>
        <w:pStyle w:val="Heading3"/>
      </w:pPr>
      <w:r>
        <w:t xml:space="preserve">Esperienze Internazionali Rilevanti e Best Practices IA-based</w:t>
      </w:r>
    </w:p>
    <w:p>
      <w:pPr>
        <w:pStyle w:val="FirstParagraph"/>
      </w:pPr>
      <w:r>
        <w:t xml:space="preserve">Nel disegnare l’integrazione dell’IA nel modello pugliese, è utile guardare alle esperienze internazionali di assistenza psicologica territoriale e salute mentale primaria, sia per trarne spunti organizzativi sia per conoscere l’impiego che altrove si fa di strumenti digitali innovativi. In particolare, vengono citati quattro programmi di riferimento:</w:t>
      </w:r>
      <w:r>
        <w:t xml:space="preserve"> </w:t>
      </w:r>
      <w:r>
        <w:rPr>
          <w:b/>
          <w:bCs/>
        </w:rPr>
        <w:t xml:space="preserve">IAPT (UK)</w:t>
      </w:r>
      <w:r>
        <w:t xml:space="preserve">,</w:t>
      </w:r>
      <w:r>
        <w:t xml:space="preserve"> </w:t>
      </w:r>
      <w:r>
        <w:rPr>
          <w:b/>
          <w:bCs/>
        </w:rPr>
        <w:t xml:space="preserve">POH-GGZ (Olanda)</w:t>
      </w:r>
      <w:r>
        <w:t xml:space="preserve">,</w:t>
      </w:r>
      <w:r>
        <w:t xml:space="preserve"> </w:t>
      </w:r>
      <w:r>
        <w:rPr>
          <w:b/>
          <w:bCs/>
        </w:rPr>
        <w:t xml:space="preserve">Better Access (Australia)</w:t>
      </w:r>
      <w:r>
        <w:t xml:space="preserve"> </w:t>
      </w:r>
      <w:r>
        <w:t xml:space="preserve">e il</w:t>
      </w:r>
      <w:r>
        <w:t xml:space="preserve"> </w:t>
      </w:r>
      <w:r>
        <w:rPr>
          <w:b/>
          <w:bCs/>
        </w:rPr>
        <w:t xml:space="preserve">Collaborative Care Model (USA)</w:t>
      </w:r>
      <w:r>
        <w:t xml:space="preserve">. Analizziamoli brevemente, evidenziando elementi chiave e l’eventuale ruolo dell’IA o del digitale in quei contesti.</w:t>
      </w:r>
    </w:p>
    <w:p>
      <w:pPr>
        <w:numPr>
          <w:ilvl w:val="0"/>
          <w:numId w:val="1007"/>
        </w:numPr>
      </w:pPr>
      <w:r>
        <w:rPr>
          <w:b/>
          <w:bCs/>
        </w:rPr>
        <w:t xml:space="preserve">Regno Unito – IAPT (Improving Access to Psychological Therapies):</w:t>
      </w:r>
      <w:r>
        <w:t xml:space="preserve"> </w:t>
      </w:r>
      <w:r>
        <w:t xml:space="preserve">Lanciato nel 2008 in Inghilterra, IAPT (oggi ribattezzato</w:t>
      </w:r>
      <w:r>
        <w:t xml:space="preserve"> </w:t>
      </w:r>
      <w:r>
        <w:rPr>
          <w:i/>
          <w:iCs/>
        </w:rPr>
        <w:t xml:space="preserve">NHS Talking Therapies</w:t>
      </w:r>
      <w:r>
        <w:t xml:space="preserve">) è il modello più avanzato di offerta strutturata di terapie psicologiche in assistenza primaria. Si basa sul principio dello</w:t>
      </w:r>
      <w:r>
        <w:t xml:space="preserve"> </w:t>
      </w:r>
      <w:r>
        <w:rPr>
          <w:b/>
          <w:bCs/>
        </w:rPr>
        <w:t xml:space="preserve">stepped care</w:t>
      </w:r>
      <w:r>
        <w:t xml:space="preserve">: a tutti gli adulti con disturbi comuni (ansia, depressione) viene offerto inizialmente un intervento a bassa intensità (auto-aiuto guidato, gruppi, sessioni brevi), e solo i non rispondenti scalano a terapie più intensive. IAPT ha ottenuto risultati impressionanti – oltre 1 milione di persone trattate l’anno, con un tasso di recupero ~50%</w:t>
      </w:r>
      <w:hyperlink r:id="rId1966">
        <w:r>
          <w:rPr>
            <w:rStyle w:val="Hyperlink"/>
          </w:rPr>
          <w:t xml:space="preserve">[65]</w:t>
        </w:r>
      </w:hyperlink>
      <w:hyperlink r:id="rId1973">
        <w:r>
          <w:rPr>
            <w:rStyle w:val="Hyperlink"/>
          </w:rPr>
          <w:t xml:space="preserve">[66]</w:t>
        </w:r>
      </w:hyperlink>
      <w:r>
        <w:t xml:space="preserve"> </w:t>
      </w:r>
      <w:r>
        <w:t xml:space="preserve">– grazie a una rigorosa aderenza a protocolli evidence-based e a un monitoraggio degli esiti quasi completo (il 99% dei pazienti ha misurazioni di outcome pre-post)</w:t>
      </w:r>
      <w:hyperlink r:id="rId1974">
        <w:r>
          <w:rPr>
            <w:rStyle w:val="Hyperlink"/>
          </w:rPr>
          <w:t xml:space="preserve">[67]</w:t>
        </w:r>
      </w:hyperlink>
      <w:r>
        <w:t xml:space="preserve">. Negli anni, di fronte a domanda crescente, IAPT ha</w:t>
      </w:r>
      <w:r>
        <w:t xml:space="preserve"> </w:t>
      </w:r>
      <w:r>
        <w:rPr>
          <w:b/>
          <w:bCs/>
        </w:rPr>
        <w:t xml:space="preserve">abbracciato il digitale</w:t>
      </w:r>
      <w:r>
        <w:t xml:space="preserve"> </w:t>
      </w:r>
      <w:r>
        <w:t xml:space="preserve">come leva per aumentare capacità e accesso. Già da tempo offre</w:t>
      </w:r>
      <w:r>
        <w:t xml:space="preserve"> </w:t>
      </w:r>
      <w:r>
        <w:rPr>
          <w:i/>
          <w:iCs/>
        </w:rPr>
        <w:t xml:space="preserve">therapies assisted by technology</w:t>
      </w:r>
      <w:r>
        <w:t xml:space="preserve">: i pazienti possono fare moduli online di terapia supportati da contatti periodici con terapeuti (blended care), e di recente i servizi stanno capitalizzando su nuovi sviluppi digitali per facilitare l’ingresso nei percorsi e il follow-up</w:t>
      </w:r>
      <w:hyperlink r:id="rId1975">
        <w:r>
          <w:rPr>
            <w:rStyle w:val="Hyperlink"/>
          </w:rPr>
          <w:t xml:space="preserve">[68]</w:t>
        </w:r>
      </w:hyperlink>
      <w:hyperlink r:id="rId1976">
        <w:r>
          <w:rPr>
            <w:rStyle w:val="Hyperlink"/>
          </w:rPr>
          <w:t xml:space="preserve">[69]</w:t>
        </w:r>
      </w:hyperlink>
      <w:r>
        <w:t xml:space="preserve">. Come visto, circa un quarto dei servizi IAPT ha implementato chatbot di triage come Limbic, con risultati notevoli in termini di accuratezza e riduzione dei tempi</w:t>
      </w:r>
      <w:hyperlink r:id="rId1926">
        <w:r>
          <w:rPr>
            <w:rStyle w:val="Hyperlink"/>
          </w:rPr>
          <w:t xml:space="preserve">[19]</w:t>
        </w:r>
      </w:hyperlink>
      <w:r>
        <w:t xml:space="preserve">. Inoltre, IAPT ha ispirato altri paesi (Norvegia, Svezia, Australia) e anch’essi stanno puntando su piattaforme digitali simili</w:t>
      </w:r>
      <w:hyperlink r:id="rId1977">
        <w:r>
          <w:rPr>
            <w:rStyle w:val="Hyperlink"/>
          </w:rPr>
          <w:t xml:space="preserve">[70]</w:t>
        </w:r>
      </w:hyperlink>
      <w:hyperlink r:id="rId1978">
        <w:r>
          <w:rPr>
            <w:rStyle w:val="Hyperlink"/>
          </w:rPr>
          <w:t xml:space="preserve">[71]</w:t>
        </w:r>
      </w:hyperlink>
      <w:r>
        <w:t xml:space="preserve">. L’esperienza IAPT insegna che: (</w:t>
      </w:r>
      <w:r>
        <w:rPr>
          <w:b/>
          <w:bCs/>
        </w:rPr>
        <w:t xml:space="preserve">a</w:t>
      </w:r>
      <w:r>
        <w:t xml:space="preserve">) l’integrazione di figure psicologiche a livello di cure primarie può avvenire su larga scala mantenendo alta qualità, se supportata da data management e supervisione continua (IAPT pubblica i dati di esito per servizio, creando trasparenza e spinta al miglioramento</w:t>
      </w:r>
      <w:hyperlink r:id="rId1974">
        <w:r>
          <w:rPr>
            <w:rStyle w:val="Hyperlink"/>
          </w:rPr>
          <w:t xml:space="preserve">[67]</w:t>
        </w:r>
      </w:hyperlink>
      <w:r>
        <w:t xml:space="preserve">); (</w:t>
      </w:r>
      <w:r>
        <w:rPr>
          <w:b/>
          <w:bCs/>
        </w:rPr>
        <w:t xml:space="preserve">b</w:t>
      </w:r>
      <w:r>
        <w:t xml:space="preserve">) il digitale è un alleato indispensabile per raggiungere più persone – dal self-referral online, ai moduli di terapia via web, al follow-up automatizzato per prevenire ricadute</w:t>
      </w:r>
      <w:hyperlink r:id="rId1975">
        <w:r>
          <w:rPr>
            <w:rStyle w:val="Hyperlink"/>
          </w:rPr>
          <w:t xml:space="preserve">[68]</w:t>
        </w:r>
      </w:hyperlink>
      <w:r>
        <w:t xml:space="preserve">. Per la Puglia, replicare un modello in stile IAPT significa strutturare lo psicologo di base in un sistema di stepped care formalizzato e</w:t>
      </w:r>
      <w:r>
        <w:t xml:space="preserve"> </w:t>
      </w:r>
      <w:r>
        <w:rPr>
          <w:i/>
          <w:iCs/>
        </w:rPr>
        <w:t xml:space="preserve">outcome-oriented</w:t>
      </w:r>
      <w:r>
        <w:t xml:space="preserve">. L’IA può aiutare fornendo i meccanismi per triagiare e monitorare come IAPT richiede. Già IAPT sta andando in direzione di</w:t>
      </w:r>
      <w:r>
        <w:t xml:space="preserve"> </w:t>
      </w:r>
      <w:r>
        <w:rPr>
          <w:i/>
          <w:iCs/>
        </w:rPr>
        <w:t xml:space="preserve">capitalizzare sulle innovazioni digitali</w:t>
      </w:r>
      <w:r>
        <w:t xml:space="preserve">, come sottolineato nel suo manuale futuro</w:t>
      </w:r>
      <w:hyperlink r:id="rId1979">
        <w:r>
          <w:rPr>
            <w:rStyle w:val="Hyperlink"/>
          </w:rPr>
          <w:t xml:space="preserve">[72]</w:t>
        </w:r>
      </w:hyperlink>
      <w:hyperlink r:id="rId1976">
        <w:r>
          <w:rPr>
            <w:rStyle w:val="Hyperlink"/>
          </w:rPr>
          <w:t xml:space="preserve">[69]</w:t>
        </w:r>
      </w:hyperlink>
      <w:r>
        <w:t xml:space="preserve">. Puglia potrebbe dunque porsi all’avanguardia seguendo la stessa traiettoria: integrare terapie online per aumentare la copertura (es. offrire</w:t>
      </w:r>
      <w:r>
        <w:t xml:space="preserve"> </w:t>
      </w:r>
      <w:r>
        <w:rPr>
          <w:i/>
          <w:iCs/>
        </w:rPr>
        <w:t xml:space="preserve">biblioterapia digitale</w:t>
      </w:r>
      <w:r>
        <w:t xml:space="preserve"> </w:t>
      </w:r>
      <w:r>
        <w:t xml:space="preserve">o moduli su app con supporto dello psicologo di base), e utilizzare dashboard per tenere traccia degli esiti e garantire che almeno il 50% dei pazienti migliori (lo standard IAPT). Non da ultimo, il self-referral mediante chatbot come in UK affronterebbe il problema dello stigma e dell’accessibilità: in UK infatti l’auto-invio online ha aumentato significativamente il numero di giovani e lavoratori che accede al servizio</w:t>
      </w:r>
      <w:hyperlink r:id="rId1960">
        <w:r>
          <w:rPr>
            <w:rStyle w:val="Hyperlink"/>
          </w:rPr>
          <w:t xml:space="preserve">[52]</w:t>
        </w:r>
      </w:hyperlink>
      <w:r>
        <w:t xml:space="preserve">, trend desiderabile anche in Italia.</w:t>
      </w:r>
    </w:p>
    <w:p>
      <w:pPr>
        <w:numPr>
          <w:ilvl w:val="0"/>
          <w:numId w:val="1007"/>
        </w:numPr>
      </w:pPr>
      <w:r>
        <w:rPr>
          <w:b/>
          <w:bCs/>
        </w:rPr>
        <w:t xml:space="preserve">Paesi Bassi – POH-GGZ:</w:t>
      </w:r>
      <w:r>
        <w:t xml:space="preserve"> </w:t>
      </w:r>
      <w:r>
        <w:t xml:space="preserve">Il sistema olandese di salute mentale territoriale si basa sul ruolo forte del Medico di Base (</w:t>
      </w:r>
      <w:r>
        <w:rPr>
          <w:i/>
          <w:iCs/>
        </w:rPr>
        <w:t xml:space="preserve">huisarts</w:t>
      </w:r>
      <w:r>
        <w:t xml:space="preserve">) come gatekeeper, affiancato però da figure di supporto psicologico all’interno dello studio di base. La figura denominata</w:t>
      </w:r>
      <w:r>
        <w:t xml:space="preserve"> </w:t>
      </w:r>
      <w:r>
        <w:rPr>
          <w:b/>
          <w:bCs/>
        </w:rPr>
        <w:t xml:space="preserve">POH-GGZ</w:t>
      </w:r>
      <w:r>
        <w:t xml:space="preserve"> </w:t>
      </w:r>
      <w:r>
        <w:t xml:space="preserve">(</w:t>
      </w:r>
      <w:r>
        <w:rPr>
          <w:i/>
          <w:iCs/>
        </w:rPr>
        <w:t xml:space="preserve">Praktijkondersteuner Huisarts – Geestelijke Gezondheidszorg</w:t>
      </w:r>
      <w:r>
        <w:t xml:space="preserve">) è in pratica uno psicologo o assistente clinico specializzato in salute mentale di primo livello che collabora con il medico di famiglia per gestire i problemi psicologici leggeri-moderati. Questo modello è attivo da oltre 15 anni ed ha portato a una gestione sul territorio della maggioranza dei casi di ansia e depressione senza ricorrere allo specialista</w:t>
      </w:r>
      <w:hyperlink r:id="rId1957">
        <w:r>
          <w:rPr>
            <w:rStyle w:val="Hyperlink"/>
          </w:rPr>
          <w:t xml:space="preserve">[50]</w:t>
        </w:r>
      </w:hyperlink>
      <w:hyperlink r:id="rId1958">
        <w:r>
          <w:rPr>
            <w:rStyle w:val="Hyperlink"/>
          </w:rPr>
          <w:t xml:space="preserve">[51]</w:t>
        </w:r>
      </w:hyperlink>
      <w:r>
        <w:t xml:space="preserve">. L’approccio olandese prevede inoltre un marcato uso di</w:t>
      </w:r>
      <w:r>
        <w:t xml:space="preserve"> </w:t>
      </w:r>
      <w:r>
        <w:rPr>
          <w:b/>
          <w:bCs/>
        </w:rPr>
        <w:t xml:space="preserve">interventi e-health</w:t>
      </w:r>
      <w:r>
        <w:t xml:space="preserve">. Come illustrato, il percorso è stratificato in 4 step: (1) e-mental health anonima, (2) intervento breve col POH-GGZ, (3)</w:t>
      </w:r>
      <w:r>
        <w:t xml:space="preserve"> </w:t>
      </w:r>
      <w:r>
        <w:t xml:space="preserve">“</w:t>
      </w:r>
      <w:r>
        <w:t xml:space="preserve">Basis GGZ</w:t>
      </w:r>
      <w:r>
        <w:t xml:space="preserve">”</w:t>
      </w:r>
      <w:r>
        <w:t xml:space="preserve"> </w:t>
      </w:r>
      <w:r>
        <w:t xml:space="preserve">(psicologi di base per problemi moderati) e (4) specialisti per problemi gravi</w:t>
      </w:r>
      <w:hyperlink r:id="rId1980">
        <w:r>
          <w:rPr>
            <w:rStyle w:val="Hyperlink"/>
          </w:rPr>
          <w:t xml:space="preserve">[73]</w:t>
        </w:r>
      </w:hyperlink>
      <w:hyperlink r:id="rId1981">
        <w:r>
          <w:rPr>
            <w:rStyle w:val="Hyperlink"/>
          </w:rPr>
          <w:t xml:space="preserve">[74]</w:t>
        </w:r>
      </w:hyperlink>
      <w:r>
        <w:t xml:space="preserve">. Dunque, già a Step 1, prima ancora di vedere il medico, il sistema offre siti e piattaforme online dove la persona può fare test anonimi e programmi di auto-aiuto. Il Ministero della Salute olandese ha finanziato molti progetti in questo senso, tramite il centro Trimbos e altri: celebri piattaforme come</w:t>
      </w:r>
      <w:r>
        <w:t xml:space="preserve"> </w:t>
      </w:r>
      <w:r>
        <w:rPr>
          <w:b/>
          <w:bCs/>
        </w:rPr>
        <w:t xml:space="preserve">Psychoeducatie.nl</w:t>
      </w:r>
      <w:r>
        <w:t xml:space="preserve">,</w:t>
      </w:r>
      <w:r>
        <w:t xml:space="preserve"> </w:t>
      </w:r>
      <w:r>
        <w:rPr>
          <w:b/>
          <w:bCs/>
        </w:rPr>
        <w:t xml:space="preserve">Moodpep</w:t>
      </w:r>
      <w:r>
        <w:t xml:space="preserve"> </w:t>
      </w:r>
      <w:r>
        <w:t xml:space="preserve">ecc. Inoltre, la parola d’ordine è</w:t>
      </w:r>
      <w:r>
        <w:t xml:space="preserve"> </w:t>
      </w:r>
      <w:r>
        <w:rPr>
          <w:i/>
          <w:iCs/>
        </w:rPr>
        <w:t xml:space="preserve">blended care</w:t>
      </w:r>
      <w:r>
        <w:t xml:space="preserve">: combinare incontri dal vivo con sessioni online o teleconsulti. Un progetto specifico (</w:t>
      </w:r>
      <w:r>
        <w:rPr>
          <w:i/>
          <w:iCs/>
        </w:rPr>
        <w:t xml:space="preserve">Colour Your Life</w:t>
      </w:r>
      <w:r>
        <w:t xml:space="preserve">) ha integrato un programma online per depressione lieve nell’attività dei POH-GGZ, con successo</w:t>
      </w:r>
      <w:hyperlink r:id="rId1982">
        <w:r>
          <w:rPr>
            <w:rStyle w:val="Hyperlink"/>
          </w:rPr>
          <w:t xml:space="preserve">[75]</w:t>
        </w:r>
      </w:hyperlink>
      <w:hyperlink r:id="rId1983">
        <w:r>
          <w:rPr>
            <w:rStyle w:val="Hyperlink"/>
          </w:rPr>
          <w:t xml:space="preserve">[76]</w:t>
        </w:r>
      </w:hyperlink>
      <w:r>
        <w:t xml:space="preserve">. I POH-GGZ usano anche sistemi informatici condivisi con i medici e sistemi di consulto telematico con gli psichiatri (ad es. piattaforme di</w:t>
      </w:r>
      <w:r>
        <w:t xml:space="preserve"> </w:t>
      </w:r>
      <w:r>
        <w:rPr>
          <w:i/>
          <w:iCs/>
        </w:rPr>
        <w:t xml:space="preserve">e-consult</w:t>
      </w:r>
      <w:r>
        <w:t xml:space="preserve"> </w:t>
      </w:r>
      <w:r>
        <w:t xml:space="preserve">per chiedere rapidamente un parere allo specialista senza inviare il paziente, come emerso in studi su</w:t>
      </w:r>
      <w:r>
        <w:t xml:space="preserve"> </w:t>
      </w:r>
      <w:r>
        <w:rPr>
          <w:i/>
          <w:iCs/>
        </w:rPr>
        <w:t xml:space="preserve">online consultations</w:t>
      </w:r>
      <w:r>
        <w:t xml:space="preserve"> </w:t>
      </w:r>
      <w:r>
        <w:t xml:space="preserve">fra MMG e psichiatri in Olanda</w:t>
      </w:r>
      <w:hyperlink r:id="rId1984">
        <w:r>
          <w:rPr>
            <w:rStyle w:val="Hyperlink"/>
          </w:rPr>
          <w:t xml:space="preserve">[77]</w:t>
        </w:r>
      </w:hyperlink>
      <w:hyperlink r:id="rId1985">
        <w:r>
          <w:rPr>
            <w:rStyle w:val="Hyperlink"/>
          </w:rPr>
          <w:t xml:space="preserve">[78]</w:t>
        </w:r>
      </w:hyperlink>
      <w:r>
        <w:t xml:space="preserve">). L’IA in Olanda viene applicata principalmente per facilitare questi scambi e per il monitoraggio: ad esempio, esistono sperimentazioni di app con intelligenza artificiale che monitorano il sonno o l’attività (digital phenotyping) per avvisare il POH in caso di segnali di peggioramento di un paziente. Inoltre, l’Olanda è all’avanguardia nell’uso di</w:t>
      </w:r>
      <w:r>
        <w:t xml:space="preserve"> </w:t>
      </w:r>
      <w:r>
        <w:rPr>
          <w:b/>
          <w:bCs/>
        </w:rPr>
        <w:t xml:space="preserve">marker digitali linguistici</w:t>
      </w:r>
      <w:r>
        <w:t xml:space="preserve"> </w:t>
      </w:r>
      <w:r>
        <w:t xml:space="preserve">per la diagnosi precoce di psicosi (progetto</w:t>
      </w:r>
      <w:r>
        <w:t xml:space="preserve"> </w:t>
      </w:r>
      <w:r>
        <w:rPr>
          <w:i/>
          <w:iCs/>
        </w:rPr>
        <w:t xml:space="preserve">PSYSCAN</w:t>
      </w:r>
      <w:r>
        <w:t xml:space="preserve"> </w:t>
      </w:r>
      <w:r>
        <w:t xml:space="preserve">e simili). Per la Puglia, il modello POH-GGZ è molto simile in spirito allo psicologo di base: integrare fin da subito un’offerta</w:t>
      </w:r>
      <w:r>
        <w:t xml:space="preserve"> </w:t>
      </w:r>
      <w:r>
        <w:rPr>
          <w:b/>
          <w:bCs/>
        </w:rPr>
        <w:t xml:space="preserve">blended</w:t>
      </w:r>
      <w:r>
        <w:t xml:space="preserve"> </w:t>
      </w:r>
      <w:r>
        <w:t xml:space="preserve">(incontri + strumenti online) sarebbe aderente a quel paradigma. Ad esempio, potrebbero essere resi disponibili programmi di auto-aiuto su piattaforma regionale (magari adattando quelli olandesi open source) che il cittadino può iniziare</w:t>
      </w:r>
      <w:r>
        <w:t xml:space="preserve"> </w:t>
      </w:r>
      <w:r>
        <w:rPr>
          <w:i/>
          <w:iCs/>
        </w:rPr>
        <w:t xml:space="preserve">anche da solo</w:t>
      </w:r>
      <w:r>
        <w:t xml:space="preserve"> </w:t>
      </w:r>
      <w:r>
        <w:t xml:space="preserve">(Step 1: e-health), oppure su indicazione del medico/psicologo. Il POH o psicologo di base, dal canto suo, potrebbe dedicare parte del suo tempo a</w:t>
      </w:r>
      <w:r>
        <w:t xml:space="preserve"> </w:t>
      </w:r>
      <w:r>
        <w:rPr>
          <w:b/>
          <w:bCs/>
        </w:rPr>
        <w:t xml:space="preserve">consulenze indirette</w:t>
      </w:r>
      <w:r>
        <w:t xml:space="preserve">: es. rispondere via piattaforma a quesiti dei MMG, analogamente a quanto fanno i POH-GGZ (ciò aumenta la capacità di gestire casi nel setting del medico senza visite formali aggiuntive). Un’altra lezione olandese è il finanziamento e remunerazione di questi atti: in Olanda le assicurazioni rimborsano i contatti col POH e anche alcuni interventi online. La sostenibilità economica del modello pugliese potrebbe avvantaggiarsi se anche l’Italia iniziasse a rimborsare</w:t>
      </w:r>
      <w:r>
        <w:t xml:space="preserve"> </w:t>
      </w:r>
      <w:r>
        <w:rPr>
          <w:i/>
          <w:iCs/>
        </w:rPr>
        <w:t xml:space="preserve">prestazioni di telepsicologia</w:t>
      </w:r>
      <w:r>
        <w:t xml:space="preserve"> </w:t>
      </w:r>
      <w:r>
        <w:t xml:space="preserve">e</w:t>
      </w:r>
      <w:r>
        <w:t xml:space="preserve"> </w:t>
      </w:r>
      <w:r>
        <w:rPr>
          <w:i/>
          <w:iCs/>
        </w:rPr>
        <w:t xml:space="preserve">supporto indiretto</w:t>
      </w:r>
      <w:r>
        <w:t xml:space="preserve"> </w:t>
      </w:r>
      <w:r>
        <w:t xml:space="preserve">(oggi spesso non riconosciute). In ogni caso, l’esperienza olandese conferma che investire sul</w:t>
      </w:r>
      <w:r>
        <w:t xml:space="preserve"> </w:t>
      </w:r>
      <w:r>
        <w:rPr>
          <w:b/>
          <w:bCs/>
        </w:rPr>
        <w:t xml:space="preserve">primo livello psicologico</w:t>
      </w:r>
      <w:r>
        <w:t xml:space="preserve"> </w:t>
      </w:r>
      <w:r>
        <w:t xml:space="preserve">e sul digitale riduce il carico sui servizi specialistici e garantisce cure tempestive in comunità. Non a caso il loro sistema ottiene buoni esiti ed è valutato tra i migliori in Europa</w:t>
      </w:r>
      <w:hyperlink r:id="rId1986">
        <w:r>
          <w:rPr>
            <w:rStyle w:val="Hyperlink"/>
          </w:rPr>
          <w:t xml:space="preserve">[79]</w:t>
        </w:r>
      </w:hyperlink>
      <w:r>
        <w:t xml:space="preserve">.</w:t>
      </w:r>
    </w:p>
    <w:p>
      <w:pPr>
        <w:numPr>
          <w:ilvl w:val="0"/>
          <w:numId w:val="1007"/>
        </w:numPr>
      </w:pPr>
      <w:r>
        <w:rPr>
          <w:b/>
          <w:bCs/>
        </w:rPr>
        <w:t xml:space="preserve">Australia – Better Access e servizi digitali:</w:t>
      </w:r>
      <w:r>
        <w:t xml:space="preserve"> </w:t>
      </w:r>
      <w:r>
        <w:t xml:space="preserve">L’Australia ha affrontato il tema dell’accesso alle cure mentali con due approcci complementari. Da un lato, il programma</w:t>
      </w:r>
      <w:r>
        <w:t xml:space="preserve"> </w:t>
      </w:r>
      <w:r>
        <w:rPr>
          <w:b/>
          <w:bCs/>
        </w:rPr>
        <w:t xml:space="preserve">Better Access (2006)</w:t>
      </w:r>
      <w:r>
        <w:t xml:space="preserve"> </w:t>
      </w:r>
      <w:r>
        <w:t xml:space="preserve">ha puntato ad aumentare l’accessibilità economica: attraverso Medicare, i cittadini possono avere rimborsate un certo numero di sedute dallo psicologo privato su referral del medico di base. Ciò ha portato milioni di australiani a usufruire di almeno qualche seduta, aumentando notevolmente il numero di trattamenti psicologici erogati nel paese</w:t>
      </w:r>
      <w:hyperlink r:id="rId1987">
        <w:r>
          <w:rPr>
            <w:rStyle w:val="Hyperlink"/>
          </w:rPr>
          <w:t xml:space="preserve">[80]</w:t>
        </w:r>
      </w:hyperlink>
      <w:r>
        <w:t xml:space="preserve">. Better Access tuttavia presenta limiti: non raggiunge equamente tutti (alcune fasce vulnerabili ne hanno beneficiato meno) e dipende dalla disponibilità di psicologi privati, con concentrazione nelle città. Per questo, parallelamente l’Australia è molto avanzata nell’offerta di</w:t>
      </w:r>
      <w:r>
        <w:t xml:space="preserve"> </w:t>
      </w:r>
      <w:r>
        <w:rPr>
          <w:b/>
          <w:bCs/>
        </w:rPr>
        <w:t xml:space="preserve">servizi di salute mentale digitali pubblici</w:t>
      </w:r>
      <w:r>
        <w:t xml:space="preserve">. Un esempio di eccellenza è</w:t>
      </w:r>
      <w:r>
        <w:t xml:space="preserve"> </w:t>
      </w:r>
      <w:r>
        <w:rPr>
          <w:b/>
          <w:bCs/>
        </w:rPr>
        <w:t xml:space="preserve">MindSpot</w:t>
      </w:r>
      <w:r>
        <w:t xml:space="preserve">, una clinica virtuale finanziata dal governo che offre valutazioni psicologiche online e trattamenti via internet</w:t>
      </w:r>
      <w:r>
        <w:t xml:space="preserve"> </w:t>
      </w:r>
      <w:r>
        <w:rPr>
          <w:i/>
          <w:iCs/>
        </w:rPr>
        <w:t xml:space="preserve">gratuitamente</w:t>
      </w:r>
      <w:r>
        <w:t xml:space="preserve">, guidati da terapeuti a distanza</w:t>
      </w:r>
      <w:hyperlink r:id="rId1988">
        <w:r>
          <w:rPr>
            <w:rStyle w:val="Hyperlink"/>
          </w:rPr>
          <w:t xml:space="preserve">[81]</w:t>
        </w:r>
      </w:hyperlink>
      <w:hyperlink r:id="rId1989">
        <w:r>
          <w:rPr>
            <w:rStyle w:val="Hyperlink"/>
          </w:rPr>
          <w:t xml:space="preserve">[82]</w:t>
        </w:r>
      </w:hyperlink>
      <w:r>
        <w:t xml:space="preserve">. MindSpot funge da</w:t>
      </w:r>
      <w:r>
        <w:t xml:space="preserve"> </w:t>
      </w:r>
      <w:r>
        <w:t xml:space="preserve">“</w:t>
      </w:r>
      <w:r>
        <w:t xml:space="preserve">filtro</w:t>
      </w:r>
      <w:r>
        <w:t xml:space="preserve">”</w:t>
      </w:r>
      <w:r>
        <w:t xml:space="preserve">: l’utente compila un questionario online approfondito (già una sorta di triage IA), riceve un report e viene indirizzato a un programma online di terapia guidata se idoneo, oppure consigliato di rivolgersi a servizi di persona se il caso è complesso. Dal lancio (2012) ha servito oltre 150.000 australiani, molti dei quali in aree remote o con difficoltà ad accedere a servizi tradizionali</w:t>
      </w:r>
      <w:hyperlink r:id="rId1990">
        <w:r>
          <w:rPr>
            <w:rStyle w:val="Hyperlink"/>
          </w:rPr>
          <w:t xml:space="preserve">[83]</w:t>
        </w:r>
      </w:hyperlink>
      <w:hyperlink r:id="rId1991">
        <w:r>
          <w:rPr>
            <w:rStyle w:val="Hyperlink"/>
          </w:rPr>
          <w:t xml:space="preserve">[84]</w:t>
        </w:r>
      </w:hyperlink>
      <w:r>
        <w:t xml:space="preserve">. Gli studi dimostrano che i programmi online di MindSpot (per ansia, depressione, PTSD, ecc.) ottengono riduzioni di sintomi comparabili alla terapia faccia-a-faccia, con alta soddisfazione</w:t>
      </w:r>
      <w:hyperlink r:id="rId1989">
        <w:r>
          <w:rPr>
            <w:rStyle w:val="Hyperlink"/>
          </w:rPr>
          <w:t xml:space="preserve">[82]</w:t>
        </w:r>
      </w:hyperlink>
      <w:r>
        <w:t xml:space="preserve">. Sulla scia di questo successo, il governo australiano nel 2024 ha stanziato 588 milioni di dollari per creare un nuovo</w:t>
      </w:r>
      <w:r>
        <w:t xml:space="preserve"> </w:t>
      </w:r>
      <w:r>
        <w:rPr>
          <w:b/>
          <w:bCs/>
        </w:rPr>
        <w:t xml:space="preserve">servizio digitale nazionale per bisogni di bassa intensità</w:t>
      </w:r>
      <w:r>
        <w:t xml:space="preserve">, modellato sul sistema inglese Talking Therapies, che offrirà</w:t>
      </w:r>
      <w:r>
        <w:t xml:space="preserve"> </w:t>
      </w:r>
      <w:r>
        <w:rPr>
          <w:b/>
          <w:bCs/>
        </w:rPr>
        <w:t xml:space="preserve">telehealth gratuite e programmi self-help</w:t>
      </w:r>
      <w:r>
        <w:t xml:space="preserve"> </w:t>
      </w:r>
      <w:r>
        <w:t xml:space="preserve">per persone con distress lieve-moderato</w:t>
      </w:r>
      <w:hyperlink r:id="rId1992">
        <w:r>
          <w:rPr>
            <w:rStyle w:val="Hyperlink"/>
          </w:rPr>
          <w:t xml:space="preserve">[85]</w:t>
        </w:r>
      </w:hyperlink>
      <w:hyperlink r:id="rId1993">
        <w:r>
          <w:rPr>
            <w:rStyle w:val="Hyperlink"/>
          </w:rPr>
          <w:t xml:space="preserve">[86]</w:t>
        </w:r>
      </w:hyperlink>
      <w:r>
        <w:t xml:space="preserve">. Significativamente, nel dibattito pubblico australiano si è sottolineato che questo servizio deve</w:t>
      </w:r>
      <w:r>
        <w:t xml:space="preserve"> </w:t>
      </w:r>
      <w:r>
        <w:rPr>
          <w:i/>
          <w:iCs/>
        </w:rPr>
        <w:t xml:space="preserve">imparare dai modelli già in atto (MindSpot)</w:t>
      </w:r>
      <w:r>
        <w:t xml:space="preserve"> </w:t>
      </w:r>
      <w:r>
        <w:t xml:space="preserve">e sarà</w:t>
      </w:r>
      <w:r>
        <w:t xml:space="preserve"> </w:t>
      </w:r>
      <w:r>
        <w:rPr>
          <w:b/>
          <w:bCs/>
        </w:rPr>
        <w:t xml:space="preserve">erogato da umani e non da intelligenza artificiale</w:t>
      </w:r>
      <w:r>
        <w:t xml:space="preserve"> </w:t>
      </w:r>
      <w:r>
        <w:t xml:space="preserve">in autonomia</w:t>
      </w:r>
      <w:hyperlink r:id="rId1978">
        <w:r>
          <w:rPr>
            <w:rStyle w:val="Hyperlink"/>
          </w:rPr>
          <w:t xml:space="preserve">[71]</w:t>
        </w:r>
      </w:hyperlink>
      <w:hyperlink r:id="rId1994">
        <w:r>
          <w:rPr>
            <w:rStyle w:val="Hyperlink"/>
          </w:rPr>
          <w:t xml:space="preserve">[87]</w:t>
        </w:r>
      </w:hyperlink>
      <w:r>
        <w:t xml:space="preserve">. Ciò evidenzia un punto: per ora, nelle funzioni cliniche (es. counselling) preferiscono ancora operatori umani, usando l’IA come supporto invisibile. Tuttavia, dietro le quinte l’IA è impiegata: i sistemi di triage di MindSpot utilizzano algoritmi per analizzare le risposte e scegliere il programma giusto; anche per il monitoraggio, vengono usati modelli predittivi per contattare proattivamente utenti a rischio drop-out. Un altro esempio australiano di AI in salute mentale è l’app</w:t>
      </w:r>
      <w:r>
        <w:t xml:space="preserve"> </w:t>
      </w:r>
      <w:r>
        <w:rPr>
          <w:b/>
          <w:bCs/>
        </w:rPr>
        <w:t xml:space="preserve">Clearmind</w:t>
      </w:r>
      <w:r>
        <w:t xml:space="preserve">, che tramite esercizi e conversazioni guidate da AI aiuta i veterani con PTSD (progetto pilota con l’Università del NSW). In sintesi, l’Australia offre due lezioni: (</w:t>
      </w:r>
      <w:r>
        <w:rPr>
          <w:b/>
          <w:bCs/>
        </w:rPr>
        <w:t xml:space="preserve">a</w:t>
      </w:r>
      <w:r>
        <w:t xml:space="preserve">) integrare il digitale come</w:t>
      </w:r>
      <w:r>
        <w:t xml:space="preserve"> </w:t>
      </w:r>
      <w:r>
        <w:rPr>
          <w:i/>
          <w:iCs/>
        </w:rPr>
        <w:t xml:space="preserve">pilastro ufficiale</w:t>
      </w:r>
      <w:r>
        <w:t xml:space="preserve"> </w:t>
      </w:r>
      <w:r>
        <w:t xml:space="preserve">dell’assistenza (cliniche virtuali nazionali accanto ai servizi tradizionali); (</w:t>
      </w:r>
      <w:r>
        <w:rPr>
          <w:b/>
          <w:bCs/>
        </w:rPr>
        <w:t xml:space="preserve">b</w:t>
      </w:r>
      <w:r>
        <w:t xml:space="preserve">) l’IA è ben accetta come strumento di triage e amplificazione dei servizi, ma c’è cautela nel farla interagire senza filtro umano direttamente col paziente in contesti delicati (cautela espressa chiaramente dalle autorità quando dicono</w:t>
      </w:r>
      <w:r>
        <w:t xml:space="preserve"> </w:t>
      </w:r>
      <w:r>
        <w:t xml:space="preserve">“</w:t>
      </w:r>
      <w:r>
        <w:t xml:space="preserve">sarà erogato da umani, non AI</w:t>
      </w:r>
      <w:r>
        <w:t xml:space="preserve">”</w:t>
      </w:r>
      <w:hyperlink r:id="rId1995">
        <w:r>
          <w:rPr>
            <w:rStyle w:val="Hyperlink"/>
          </w:rPr>
          <w:t xml:space="preserve">[88]</w:t>
        </w:r>
      </w:hyperlink>
      <w:r>
        <w:t xml:space="preserve">). Per Puglia, un parallelismo: potrebbe essere utile sviluppare una sorta di</w:t>
      </w:r>
      <w:r>
        <w:t xml:space="preserve"> </w:t>
      </w:r>
      <w:r>
        <w:rPr>
          <w:b/>
          <w:bCs/>
        </w:rPr>
        <w:t xml:space="preserve">“</w:t>
      </w:r>
      <w:r>
        <w:rPr>
          <w:b/>
          <w:bCs/>
        </w:rPr>
        <w:t xml:space="preserve">Sportello Psicologico Digitale Pugliese</w:t>
      </w:r>
      <w:r>
        <w:rPr>
          <w:b/>
          <w:bCs/>
        </w:rPr>
        <w:t xml:space="preserve">”</w:t>
      </w:r>
      <w:r>
        <w:t xml:space="preserve"> </w:t>
      </w:r>
      <w:r>
        <w:t xml:space="preserve">ispirato a MindSpot, che collabori con gli psicologi di base. I cittadini potrebbero accedere online a valutazioni e interventi guidati (in italiano esistono già programmi efficaci, ad es.</w:t>
      </w:r>
      <w:r>
        <w:t xml:space="preserve"> </w:t>
      </w:r>
      <w:r>
        <w:t xml:space="preserve">“</w:t>
      </w:r>
      <w:r>
        <w:t xml:space="preserve">Il Mio Blu</w:t>
      </w:r>
      <w:r>
        <w:t xml:space="preserve">”</w:t>
      </w:r>
      <w:r>
        <w:t xml:space="preserve"> </w:t>
      </w:r>
      <w:r>
        <w:t xml:space="preserve">per la depressione, che potrebbero essere adottati). Questo canale alleggerirebbe il carico sui servizi in presenza e raggiungerebbe zone carenti. Quanto all’IA, va applicata con trasparenza e prudenza: come in Australia, probabilmente l’utenza e i professionisti accetteranno inizialmente di buon grado IA che fa da supporto dietro le quinte (triage, analisi dati) piuttosto che IA che</w:t>
      </w:r>
      <w:r>
        <w:t xml:space="preserve"> </w:t>
      </w:r>
      <w:r>
        <w:t xml:space="preserve">“</w:t>
      </w:r>
      <w:r>
        <w:t xml:space="preserve">parla</w:t>
      </w:r>
      <w:r>
        <w:t xml:space="preserve">”</w:t>
      </w:r>
      <w:r>
        <w:t xml:space="preserve"> </w:t>
      </w:r>
      <w:r>
        <w:t xml:space="preserve">direttamente col paziente su questioni complesse. Col tempo, man mano che l’evidenza di sicurezza aumenta, anche chatbot terapeutici più sofisticati potranno essere integrati (magari inizialmente per supporto tra una seduta e l’altra, come co-terapeuti virtuali).</w:t>
      </w:r>
    </w:p>
    <w:p>
      <w:pPr>
        <w:numPr>
          <w:ilvl w:val="0"/>
          <w:numId w:val="1007"/>
        </w:numPr>
      </w:pPr>
      <w:r>
        <w:rPr>
          <w:b/>
          <w:bCs/>
        </w:rPr>
        <w:t xml:space="preserve">Stati Uniti – Collaborative Care Model (CoCM):</w:t>
      </w:r>
      <w:r>
        <w:t xml:space="preserve"> </w:t>
      </w:r>
      <w:r>
        <w:t xml:space="preserve">Negli USA, il Collaborative Care è un modello sviluppato per integrare la salute mentale nella cure primarie, soprattutto per pazienti con depressione e ansia nel setting del medico di famiglia. Il CoCM prevede un</w:t>
      </w:r>
      <w:r>
        <w:t xml:space="preserve"> </w:t>
      </w:r>
      <w:r>
        <w:rPr>
          <w:b/>
          <w:bCs/>
        </w:rPr>
        <w:t xml:space="preserve">care manager</w:t>
      </w:r>
      <w:r>
        <w:t xml:space="preserve"> </w:t>
      </w:r>
      <w:r>
        <w:t xml:space="preserve">(spesso uno psicologo o infermiere dedicato) all’interno dello studio di primary care che segue il paziente con contatti frequenti e monitora i progressi, in consultazione periodica con uno psichiatra supervisore. Il PCP (primary care provider) rimane il responsabile clinico che prescrive eventualmente farmaci. Numerose evidenze (oltre 80 trial) dimostrano che CoCM raddoppia le probabilità di remissione rispetto alle cure usuali</w:t>
      </w:r>
      <w:hyperlink r:id="rId1996">
        <w:r>
          <w:rPr>
            <w:rStyle w:val="Hyperlink"/>
          </w:rPr>
          <w:t xml:space="preserve">[89]</w:t>
        </w:r>
      </w:hyperlink>
      <w:r>
        <w:t xml:space="preserve">. Questo modello è il corrispettivo del nostro Psicologo di Base integrato con il medico, con l’aggiunta della supervisione psichiatrica sistematica. Negli ultimi anni, si parla di</w:t>
      </w:r>
      <w:r>
        <w:t xml:space="preserve"> </w:t>
      </w:r>
      <w:r>
        <w:rPr>
          <w:b/>
          <w:bCs/>
        </w:rPr>
        <w:t xml:space="preserve">Collaborative Care 2.0</w:t>
      </w:r>
      <w:r>
        <w:t xml:space="preserve">, ovvero l’evoluzione del modello grazie alla tecnologia e all’IA</w:t>
      </w:r>
      <w:hyperlink r:id="rId1997">
        <w:r>
          <w:rPr>
            <w:rStyle w:val="Hyperlink"/>
          </w:rPr>
          <w:t xml:space="preserve">[90]</w:t>
        </w:r>
      </w:hyperlink>
      <w:hyperlink r:id="rId1998">
        <w:r>
          <w:rPr>
            <w:rStyle w:val="Hyperlink"/>
          </w:rPr>
          <w:t xml:space="preserve">[91]</w:t>
        </w:r>
      </w:hyperlink>
      <w:r>
        <w:t xml:space="preserve">. Strumenti tipicamente adottati includono: registri elettronici per monitorare tutti i pazienti (con algoritmi che segnalano chi non migliora, come già detto), piattaforme di</w:t>
      </w:r>
      <w:r>
        <w:t xml:space="preserve"> </w:t>
      </w:r>
      <w:r>
        <w:rPr>
          <w:b/>
          <w:bCs/>
        </w:rPr>
        <w:t xml:space="preserve">telepsychiatry</w:t>
      </w:r>
      <w:r>
        <w:t xml:space="preserve"> </w:t>
      </w:r>
      <w:r>
        <w:t xml:space="preserve">per le consulenze specialistiche rapide (molto usate in zone rurali), e dispositivi di</w:t>
      </w:r>
      <w:r>
        <w:t xml:space="preserve"> </w:t>
      </w:r>
      <w:r>
        <w:rPr>
          <w:b/>
          <w:bCs/>
        </w:rPr>
        <w:t xml:space="preserve">remote patient monitoring</w:t>
      </w:r>
      <w:r>
        <w:t xml:space="preserve"> </w:t>
      </w:r>
      <w:r>
        <w:t xml:space="preserve">(es. wearable per sonno/attività, app per umore) collegati al sistema. Il concetto emergente è che l’IA diventa un</w:t>
      </w:r>
      <w:r>
        <w:t xml:space="preserve"> </w:t>
      </w:r>
      <w:r>
        <w:t xml:space="preserve">“</w:t>
      </w:r>
      <w:r>
        <w:t xml:space="preserve">membro aggiuntivo del team</w:t>
      </w:r>
      <w:r>
        <w:t xml:space="preserve">”</w:t>
      </w:r>
      <w:r>
        <w:t xml:space="preserve"> </w:t>
      </w:r>
      <w:r>
        <w:t xml:space="preserve">che si occupa di elaborare dati e fornire insights al team clinico</w:t>
      </w:r>
      <w:hyperlink r:id="rId1999">
        <w:r>
          <w:rPr>
            <w:rStyle w:val="Hyperlink"/>
          </w:rPr>
          <w:t xml:space="preserve">[92]</w:t>
        </w:r>
      </w:hyperlink>
      <w:hyperlink r:id="rId2000">
        <w:r>
          <w:rPr>
            <w:rStyle w:val="Hyperlink"/>
          </w:rPr>
          <w:t xml:space="preserve">[93]</w:t>
        </w:r>
      </w:hyperlink>
      <w:r>
        <w:t xml:space="preserve">. Ad esempio, come descritto in un blog di un PMHNP, in CoCM 2.0 si utilizzano</w:t>
      </w:r>
      <w:r>
        <w:t xml:space="preserve"> </w:t>
      </w:r>
      <w:r>
        <w:rPr>
          <w:b/>
          <w:bCs/>
        </w:rPr>
        <w:t xml:space="preserve">decision support algorithms</w:t>
      </w:r>
      <w:r>
        <w:t xml:space="preserve">,</w:t>
      </w:r>
      <w:r>
        <w:t xml:space="preserve"> </w:t>
      </w:r>
      <w:r>
        <w:rPr>
          <w:b/>
          <w:bCs/>
        </w:rPr>
        <w:t xml:space="preserve">digital phenotyping</w:t>
      </w:r>
      <w:r>
        <w:t xml:space="preserve"> </w:t>
      </w:r>
      <w:r>
        <w:t xml:space="preserve">(smartphone e wearable che rilevano parametri come sonno, attività, voce), e</w:t>
      </w:r>
      <w:r>
        <w:t xml:space="preserve"> </w:t>
      </w:r>
      <w:r>
        <w:rPr>
          <w:b/>
          <w:bCs/>
        </w:rPr>
        <w:t xml:space="preserve">predictive analytics</w:t>
      </w:r>
      <w:r>
        <w:t xml:space="preserve"> </w:t>
      </w:r>
      <w:r>
        <w:t xml:space="preserve">per identificare precocemente segni di ricaduta</w:t>
      </w:r>
      <w:hyperlink r:id="rId1998">
        <w:r>
          <w:rPr>
            <w:rStyle w:val="Hyperlink"/>
          </w:rPr>
          <w:t xml:space="preserve">[91]</w:t>
        </w:r>
      </w:hyperlink>
      <w:hyperlink r:id="rId2001">
        <w:r>
          <w:rPr>
            <w:rStyle w:val="Hyperlink"/>
          </w:rPr>
          <w:t xml:space="preserve">[94]</w:t>
        </w:r>
      </w:hyperlink>
      <w:r>
        <w:t xml:space="preserve">. Un wearable che registra il pattern sonno-veglia può allertare il care manager se vede insonnia crescente che storicamente per quel paziente preludia una depressione, così il team interviene subito</w:t>
      </w:r>
      <w:hyperlink r:id="rId1932">
        <w:r>
          <w:rPr>
            <w:rStyle w:val="Hyperlink"/>
          </w:rPr>
          <w:t xml:space="preserve">[26]</w:t>
        </w:r>
      </w:hyperlink>
      <w:r>
        <w:t xml:space="preserve">. Oppure, come descritto, un’analisi AI del tono di voce nelle chiamate del paziente potrebbe segnalare emergere di sintomi psicotici</w:t>
      </w:r>
      <w:hyperlink r:id="rId1932">
        <w:r>
          <w:rPr>
            <w:rStyle w:val="Hyperlink"/>
          </w:rPr>
          <w:t xml:space="preserve">[26]</w:t>
        </w:r>
      </w:hyperlink>
      <w:r>
        <w:t xml:space="preserve">. Tutto questo rende la cura</w:t>
      </w:r>
      <w:r>
        <w:t xml:space="preserve"> </w:t>
      </w:r>
      <w:r>
        <w:rPr>
          <w:i/>
          <w:iCs/>
        </w:rPr>
        <w:t xml:space="preserve">proattiva</w:t>
      </w:r>
      <w:r>
        <w:t xml:space="preserve">. Un altro strumento negli USA è l’uso di</w:t>
      </w:r>
      <w:r>
        <w:t xml:space="preserve"> </w:t>
      </w:r>
      <w:r>
        <w:rPr>
          <w:b/>
          <w:bCs/>
        </w:rPr>
        <w:t xml:space="preserve">chatbot per l’assessment iniziale</w:t>
      </w:r>
      <w:r>
        <w:t xml:space="preserve">: alcune cliniche fanno usare al paziente in sala d’attesa un tablet con un agente conversazionale che pone domande (paziente spesso si apre di più con lo schermo) e riassume al medico i punti chiave</w:t>
      </w:r>
      <w:hyperlink r:id="rId2002">
        <w:r>
          <w:rPr>
            <w:rStyle w:val="Hyperlink"/>
          </w:rPr>
          <w:t xml:space="preserve">[95]</w:t>
        </w:r>
      </w:hyperlink>
      <w:r>
        <w:t xml:space="preserve">. Inoltre, negli USA l’AI sta iniziando a essere usata per</w:t>
      </w:r>
      <w:r>
        <w:t xml:space="preserve"> </w:t>
      </w:r>
      <w:r>
        <w:rPr>
          <w:i/>
          <w:iCs/>
        </w:rPr>
        <w:t xml:space="preserve">case stratification</w:t>
      </w:r>
      <w:r>
        <w:t xml:space="preserve">: grandi assicurazioni usano modelli per individuare tra i loro membri chi potrebbe avere bisogno di intervento mentale (ad es. analizzando i claim, i testi delle richieste di rimborso, etc.). Tornando al CoCM, l’uso dell’IA è visto come mezzo per</w:t>
      </w:r>
      <w:r>
        <w:t xml:space="preserve"> </w:t>
      </w:r>
      <w:r>
        <w:rPr>
          <w:b/>
          <w:bCs/>
        </w:rPr>
        <w:t xml:space="preserve">espandere la capacità</w:t>
      </w:r>
      <w:r>
        <w:t xml:space="preserve">: un singolo psichiatra supervisore può seguire anche 3–4 volte più pazienti attraverso la tele-supervisione con AI che gli segnala dove focalizzarsi</w:t>
      </w:r>
      <w:hyperlink r:id="rId1935">
        <w:r>
          <w:rPr>
            <w:rStyle w:val="Hyperlink"/>
          </w:rPr>
          <w:t xml:space="preserve">[29]</w:t>
        </w:r>
      </w:hyperlink>
      <w:r>
        <w:t xml:space="preserve">. Il ruolo del</w:t>
      </w:r>
      <w:r>
        <w:t xml:space="preserve"> </w:t>
      </w:r>
      <w:r>
        <w:rPr>
          <w:b/>
          <w:bCs/>
        </w:rPr>
        <w:t xml:space="preserve">PMHNP</w:t>
      </w:r>
      <w:r>
        <w:t xml:space="preserve"> </w:t>
      </w:r>
      <w:r>
        <w:t xml:space="preserve">(infermiere psichiatrico) come leader del processo digitale è interessante</w:t>
      </w:r>
      <w:hyperlink r:id="rId2003">
        <w:r>
          <w:rPr>
            <w:rStyle w:val="Hyperlink"/>
          </w:rPr>
          <w:t xml:space="preserve">[96]</w:t>
        </w:r>
      </w:hyperlink>
      <w:hyperlink r:id="rId2004">
        <w:r>
          <w:rPr>
            <w:rStyle w:val="Hyperlink"/>
          </w:rPr>
          <w:t xml:space="preserve">[97]</w:t>
        </w:r>
      </w:hyperlink>
      <w:r>
        <w:t xml:space="preserve">: queste figure con competenze cliniche e tecnologiche guidano team integrati, educando i colleghi all’uso degli strumenti e vigilando sull’etica e la qualità (es. definendo protocolli su come reagire ai segnali dati dall’AI, assicurando che la tecnologia non faccia perdere l’umanità –</w:t>
      </w:r>
      <w:r>
        <w:t xml:space="preserve"> </w:t>
      </w:r>
      <w:r>
        <w:rPr>
          <w:i/>
          <w:iCs/>
        </w:rPr>
        <w:t xml:space="preserve">empathy + analytics</w:t>
      </w:r>
      <w:r>
        <w:t xml:space="preserve"> </w:t>
      </w:r>
      <w:r>
        <w:t xml:space="preserve">come dicono</w:t>
      </w:r>
      <w:hyperlink r:id="rId2005">
        <w:r>
          <w:rPr>
            <w:rStyle w:val="Hyperlink"/>
          </w:rPr>
          <w:t xml:space="preserve">[98]</w:t>
        </w:r>
      </w:hyperlink>
      <w:r>
        <w:t xml:space="preserve">). Per la Puglia, il CoCM USA indica la strada di un’integrazione anche con lo</w:t>
      </w:r>
      <w:r>
        <w:t xml:space="preserve"> </w:t>
      </w:r>
      <w:r>
        <w:rPr>
          <w:b/>
          <w:bCs/>
        </w:rPr>
        <w:t xml:space="preserve">psichiatra di consultazione</w:t>
      </w:r>
      <w:r>
        <w:t xml:space="preserve">: il progetto psicologo di base potrebbe prevedere consulti strutturati (anche via teleconference) con psichiatri dei CSM, e un registro unico per i pazienti in CoCM. L’IA può facilitare ciò fornendo la piattaforma di comunicazione e monitoraggio. Gli esempi di digital phenotyping suggeriscono idee innovative: Puglia potrebbe sperimentare, su base volontaria, l’uso di</w:t>
      </w:r>
      <w:r>
        <w:t xml:space="preserve"> </w:t>
      </w:r>
      <w:r>
        <w:rPr>
          <w:b/>
          <w:bCs/>
        </w:rPr>
        <w:t xml:space="preserve">app che rilevano attività e umore</w:t>
      </w:r>
      <w:r>
        <w:t xml:space="preserve"> </w:t>
      </w:r>
      <w:r>
        <w:t xml:space="preserve">per i pazienti più gravi seguiti in territorio, con il consenso. I dati (numero di passi, isolamenti sociali, linguaggio sui social) potrebbero arricchire la valutazione del team di cura. Anche qui, la chiave è formazione: in USA stanno formando i</w:t>
      </w:r>
      <w:r>
        <w:t xml:space="preserve"> </w:t>
      </w:r>
      <w:r>
        <w:rPr>
          <w:i/>
          <w:iCs/>
        </w:rPr>
        <w:t xml:space="preserve">primary care clinicians</w:t>
      </w:r>
      <w:r>
        <w:t xml:space="preserve"> </w:t>
      </w:r>
      <w:r>
        <w:t xml:space="preserve">a competenze digitali/AI</w:t>
      </w:r>
      <w:hyperlink r:id="rId1964">
        <w:r>
          <w:rPr>
            <w:rStyle w:val="Hyperlink"/>
          </w:rPr>
          <w:t xml:space="preserve">[56]</w:t>
        </w:r>
      </w:hyperlink>
      <w:hyperlink r:id="rId1965">
        <w:r>
          <w:rPr>
            <w:rStyle w:val="Hyperlink"/>
          </w:rPr>
          <w:t xml:space="preserve">[64]</w:t>
        </w:r>
      </w:hyperlink>
      <w:r>
        <w:t xml:space="preserve">, segno che serve uno sforzo simile da noi.</w:t>
      </w:r>
    </w:p>
    <w:p>
      <w:pPr>
        <w:pStyle w:val="FirstParagraph"/>
      </w:pPr>
      <w:r>
        <w:t xml:space="preserve">In sintesi, le esperienze internazionali concordano su alcuni punti: 1)</w:t>
      </w:r>
      <w:r>
        <w:t xml:space="preserve"> </w:t>
      </w:r>
      <w:r>
        <w:rPr>
          <w:b/>
          <w:bCs/>
        </w:rPr>
        <w:t xml:space="preserve">Integrare la psicologia nel primo livello</w:t>
      </w:r>
      <w:r>
        <w:t xml:space="preserve"> </w:t>
      </w:r>
      <w:r>
        <w:t xml:space="preserve">porta benefici enormi in accessibilità e outcome (UK, NL, USA lo dimostrano ampiamente). 2)</w:t>
      </w:r>
      <w:r>
        <w:t xml:space="preserve"> </w:t>
      </w:r>
      <w:r>
        <w:rPr>
          <w:b/>
          <w:bCs/>
        </w:rPr>
        <w:t xml:space="preserve">Il digitale e l’IA sono fattori abilitanti critici</w:t>
      </w:r>
      <w:r>
        <w:t xml:space="preserve"> </w:t>
      </w:r>
      <w:r>
        <w:t xml:space="preserve">per espandere e rendere sostenibile questi modelli su larga scala, specialmente di fronte a carenza di professionisti e aumento della domanda (in UK e AU il ricorso a chatbot e terapie online è stato quasi obbligato per reggere i numeri record di richieste</w:t>
      </w:r>
      <w:hyperlink r:id="rId2006">
        <w:r>
          <w:rPr>
            <w:rStyle w:val="Hyperlink"/>
          </w:rPr>
          <w:t xml:space="preserve">[99]</w:t>
        </w:r>
      </w:hyperlink>
      <w:hyperlink r:id="rId1992">
        <w:r>
          <w:rPr>
            <w:rStyle w:val="Hyperlink"/>
          </w:rPr>
          <w:t xml:space="preserve">[85]</w:t>
        </w:r>
      </w:hyperlink>
      <w:r>
        <w:t xml:space="preserve">). 3)</w:t>
      </w:r>
      <w:r>
        <w:t xml:space="preserve"> </w:t>
      </w:r>
      <w:r>
        <w:rPr>
          <w:b/>
          <w:bCs/>
        </w:rPr>
        <w:t xml:space="preserve">Serve monitorare e pubblicare i risultati</w:t>
      </w:r>
      <w:r>
        <w:t xml:space="preserve">: IAPT insegna che trasparenza e dati comparabili migliorano i servizi</w:t>
      </w:r>
      <w:hyperlink r:id="rId1974">
        <w:r>
          <w:rPr>
            <w:rStyle w:val="Hyperlink"/>
          </w:rPr>
          <w:t xml:space="preserve">[67]</w:t>
        </w:r>
      </w:hyperlink>
      <w:r>
        <w:t xml:space="preserve">; gli USA insistono sulla misurazione di esiti (treat-to-target) e l’IA può aiutare a raccogliere e analizzare questi esiti. 4)</w:t>
      </w:r>
      <w:r>
        <w:t xml:space="preserve"> </w:t>
      </w:r>
      <w:r>
        <w:rPr>
          <w:b/>
          <w:bCs/>
        </w:rPr>
        <w:t xml:space="preserve">Formazione e nuovi ruoli</w:t>
      </w:r>
      <w:r>
        <w:t xml:space="preserve">: ovunque si nota la necessità di figure miste (es. l’infermiere esperto di AI in CoCM, il</w:t>
      </w:r>
      <w:r>
        <w:t xml:space="preserve"> </w:t>
      </w:r>
      <w:r>
        <w:rPr>
          <w:i/>
          <w:iCs/>
        </w:rPr>
        <w:t xml:space="preserve">digital mental health coordinator</w:t>
      </w:r>
      <w:r>
        <w:t xml:space="preserve"> </w:t>
      </w:r>
      <w:r>
        <w:t xml:space="preserve">che molti sistemi stanno istituendo) e di formare tutti ai nuovi modi di lavorare. 5)</w:t>
      </w:r>
      <w:r>
        <w:t xml:space="preserve"> </w:t>
      </w:r>
      <w:r>
        <w:rPr>
          <w:b/>
          <w:bCs/>
        </w:rPr>
        <w:t xml:space="preserve">Etica e umanizzazione</w:t>
      </w:r>
      <w:r>
        <w:t xml:space="preserve">: dalle esperienze appare chiaro che l’IA non deve togliere l’elemento umano, ma essere utilizzata in modo</w:t>
      </w:r>
      <w:r>
        <w:t xml:space="preserve"> </w:t>
      </w:r>
      <w:r>
        <w:rPr>
          <w:i/>
          <w:iCs/>
        </w:rPr>
        <w:t xml:space="preserve">human-centered</w:t>
      </w:r>
      <w:r>
        <w:t xml:space="preserve">. I britannici certificano le app per sicurezza, gli australiani ribadiscono</w:t>
      </w:r>
      <w:r>
        <w:t xml:space="preserve"> </w:t>
      </w:r>
      <w:r>
        <w:t xml:space="preserve">“</w:t>
      </w:r>
      <w:r>
        <w:t xml:space="preserve">sarà gestito da umani non da AI</w:t>
      </w:r>
      <w:r>
        <w:t xml:space="preserve">”</w:t>
      </w:r>
      <w:r>
        <w:t xml:space="preserve"> </w:t>
      </w:r>
      <w:r>
        <w:t xml:space="preserve">per rassicurare sul nuovo servizio</w:t>
      </w:r>
      <w:hyperlink r:id="rId1995">
        <w:r>
          <w:rPr>
            <w:rStyle w:val="Hyperlink"/>
          </w:rPr>
          <w:t xml:space="preserve">[88]</w:t>
        </w:r>
      </w:hyperlink>
      <w:r>
        <w:t xml:space="preserve">, gli europei (MHE) chiedono regolamentazione robusta per evitare rischi</w:t>
      </w:r>
      <w:hyperlink r:id="rId2007">
        <w:r>
          <w:rPr>
            <w:rStyle w:val="Hyperlink"/>
          </w:rPr>
          <w:t xml:space="preserve">[100]</w:t>
        </w:r>
      </w:hyperlink>
      <w:hyperlink r:id="rId1918">
        <w:r>
          <w:rPr>
            <w:rStyle w:val="Hyperlink"/>
          </w:rPr>
          <w:t xml:space="preserve">[12]</w:t>
        </w:r>
      </w:hyperlink>
      <w:r>
        <w:t xml:space="preserve">. Questo sottolinea che, accanto all’entusiasmo per l’innovazione, serve mantenere standard etici e coinvolgere gli utenti (pazienti) e i professionisti in ogni fase di sviluppo.</w:t>
      </w:r>
    </w:p>
    <w:p>
      <w:pPr>
        <w:pStyle w:val="BodyText"/>
      </w:pPr>
      <w:r>
        <w:t xml:space="preserve">La Puglia può attingere a queste lezioni per</w:t>
      </w:r>
      <w:r>
        <w:t xml:space="preserve"> </w:t>
      </w:r>
      <w:r>
        <w:rPr>
          <w:i/>
          <w:iCs/>
        </w:rPr>
        <w:t xml:space="preserve">accelerare sulla curva di apprendimento</w:t>
      </w:r>
      <w:r>
        <w:t xml:space="preserve">: partire già utilizzando soluzioni testate altrove (adattandole al contesto locale) e implementare un modello</w:t>
      </w:r>
      <w:r>
        <w:t xml:space="preserve"> </w:t>
      </w:r>
      <w:r>
        <w:t xml:space="preserve">“</w:t>
      </w:r>
      <w:r>
        <w:t xml:space="preserve">misto</w:t>
      </w:r>
      <w:r>
        <w:t xml:space="preserve">”</w:t>
      </w:r>
      <w:r>
        <w:t xml:space="preserve"> </w:t>
      </w:r>
      <w:r>
        <w:t xml:space="preserve">che unisca i punti di forza: la scalabilità di IAPT UK, la prossimità e-health dei Paesi Bassi, la capillarità di Better Access unita a un canale digitale nazionale come in AU, la metodologia collaborativa e l’uso di dati di CoCM USA. In tal modo, il progetto regionale si porrebbe all’avanguardia anche a livello internazionale, come esempio di come integrare IA e psicologia di territorio in un sistema pubblico universalistico.</w:t>
      </w:r>
    </w:p>
    <w:bookmarkEnd w:id="2008"/>
    <w:bookmarkStart w:id="2047" w:name="Xb17ced918c55acdb0e1f8ef2fba9bbeba89c8bb"/>
    <w:p>
      <w:pPr>
        <w:pStyle w:val="Heading3"/>
      </w:pPr>
      <w:r>
        <w:t xml:space="preserve">Prospettive Italiane e Applicabilità al Contesto Pugliese</w:t>
      </w:r>
    </w:p>
    <w:p>
      <w:pPr>
        <w:pStyle w:val="FirstParagraph"/>
      </w:pPr>
      <w:r>
        <w:t xml:space="preserve">Infine, è opportuno considerare esperienze e strumenti</w:t>
      </w:r>
      <w:r>
        <w:t xml:space="preserve"> </w:t>
      </w:r>
      <w:r>
        <w:rPr>
          <w:b/>
          <w:bCs/>
        </w:rPr>
        <w:t xml:space="preserve">italiani</w:t>
      </w:r>
      <w:r>
        <w:t xml:space="preserve"> </w:t>
      </w:r>
      <w:r>
        <w:t xml:space="preserve">affini, nonché valutare come le tecnologie di IA (già disponibili o sviluppabili) possano essere concretamente calate nel contesto pugliese. L’Italia, pur muovendosi più lentamente di altri paesi, sta mostrando segnali di cambiamento nell’ambito della salute mentale territoriale e dell’innovazione digitale in sanità:</w:t>
      </w:r>
    </w:p>
    <w:p>
      <w:pPr>
        <w:numPr>
          <w:ilvl w:val="0"/>
          <w:numId w:val="1008"/>
        </w:numPr>
      </w:pPr>
      <w:r>
        <w:rPr>
          <w:b/>
          <w:bCs/>
        </w:rPr>
        <w:t xml:space="preserve">Casi pilota di</w:t>
      </w:r>
      <w:r>
        <w:rPr>
          <w:b/>
          <w:bCs/>
        </w:rPr>
        <w:t xml:space="preserve"> </w:t>
      </w:r>
      <w:r>
        <w:rPr>
          <w:b/>
          <w:bCs/>
        </w:rPr>
        <w:t xml:space="preserve">“</w:t>
      </w:r>
      <w:r>
        <w:rPr>
          <w:b/>
          <w:bCs/>
        </w:rPr>
        <w:t xml:space="preserve">Psicologo di Base</w:t>
      </w:r>
      <w:r>
        <w:rPr>
          <w:b/>
          <w:bCs/>
        </w:rPr>
        <w:t xml:space="preserve">”</w:t>
      </w:r>
      <w:r>
        <w:rPr>
          <w:b/>
          <w:bCs/>
        </w:rPr>
        <w:t xml:space="preserve"> </w:t>
      </w:r>
      <w:r>
        <w:rPr>
          <w:b/>
          <w:bCs/>
        </w:rPr>
        <w:t xml:space="preserve">in Italia:</w:t>
      </w:r>
      <w:r>
        <w:t xml:space="preserve"> </w:t>
      </w:r>
      <w:r>
        <w:t xml:space="preserve">Oltre alla Puglia (pioniera nell’aver normato e finanziato una rete regionale di psicologi di base), altre regioni stanno muovendosi in questa direzione. Ad esempio la</w:t>
      </w:r>
      <w:r>
        <w:t xml:space="preserve"> </w:t>
      </w:r>
      <w:r>
        <w:rPr>
          <w:b/>
          <w:bCs/>
        </w:rPr>
        <w:t xml:space="preserve">Campania</w:t>
      </w:r>
      <w:r>
        <w:t xml:space="preserve"> </w:t>
      </w:r>
      <w:r>
        <w:t xml:space="preserve">e il</w:t>
      </w:r>
      <w:r>
        <w:t xml:space="preserve"> </w:t>
      </w:r>
      <w:r>
        <w:rPr>
          <w:b/>
          <w:bCs/>
        </w:rPr>
        <w:t xml:space="preserve">Veneto</w:t>
      </w:r>
      <w:r>
        <w:t xml:space="preserve"> </w:t>
      </w:r>
      <w:r>
        <w:t xml:space="preserve">hanno discusso iniziative analoghe, e la</w:t>
      </w:r>
      <w:r>
        <w:t xml:space="preserve"> </w:t>
      </w:r>
      <w:r>
        <w:rPr>
          <w:b/>
          <w:bCs/>
        </w:rPr>
        <w:t xml:space="preserve">Lombardia</w:t>
      </w:r>
      <w:r>
        <w:t xml:space="preserve"> </w:t>
      </w:r>
      <w:r>
        <w:t xml:space="preserve">ha avviato progetti di psicologo nelle Case della Comunità. Proprio in Lombardia, in alcune</w:t>
      </w:r>
      <w:r>
        <w:t xml:space="preserve"> </w:t>
      </w:r>
      <w:r>
        <w:rPr>
          <w:i/>
          <w:iCs/>
        </w:rPr>
        <w:t xml:space="preserve">Case della Comunità</w:t>
      </w:r>
      <w:r>
        <w:t xml:space="preserve"> </w:t>
      </w:r>
      <w:r>
        <w:t xml:space="preserve">è possibile accedere gratuitamente a colloqui psicologici (con pagamento di un ticket minimo) grazie a convenzioni regionali</w:t>
      </w:r>
      <w:hyperlink r:id="rId2009">
        <w:r>
          <w:rPr>
            <w:rStyle w:val="Hyperlink"/>
          </w:rPr>
          <w:t xml:space="preserve">[101]</w:t>
        </w:r>
      </w:hyperlink>
      <w:r>
        <w:t xml:space="preserve">. Queste esperienze, seppur recenti, potrebbero fornire dati interessanti (numero di accessi, tipologie di intervento). Nessuna regione sembra aver ancora integrato in modo sistematico l’IA in tali servizi – il che offre alla Puglia l’opportunità di fare da apripista nazionale. Un’idea sarebbe avviare collaborazioni interregionali: condividere con altre regioni gli strumenti digitali sviluppati (economia di scala) e magari condurre studi comparativi su territori diversi. Ad esempio, se Puglia adotta un chatbot per il triage, lo si potrebbe sperimentare anche in Lombardia, valutandone performance in due contesti differenti. Ciò aumenterebbe la solidità delle evidenze e posizionerebbe il progetto pugliese al centro di una rete di innovazione nazionale.</w:t>
      </w:r>
    </w:p>
    <w:p>
      <w:pPr>
        <w:numPr>
          <w:ilvl w:val="0"/>
          <w:numId w:val="1008"/>
        </w:numPr>
      </w:pPr>
      <w:r>
        <w:rPr>
          <w:b/>
          <w:bCs/>
        </w:rPr>
        <w:t xml:space="preserve">Tecnologie di IA già applicabili sul mercato italiano:</w:t>
      </w:r>
      <w:r>
        <w:t xml:space="preserve"> </w:t>
      </w:r>
      <w:r>
        <w:t xml:space="preserve">Diversi strumenti menzionati sono disponibili anche in italiano o adattabili. Il chatbot</w:t>
      </w:r>
      <w:r>
        <w:t xml:space="preserve"> </w:t>
      </w:r>
      <w:r>
        <w:rPr>
          <w:b/>
          <w:bCs/>
        </w:rPr>
        <w:t xml:space="preserve">Limbic</w:t>
      </w:r>
      <w:r>
        <w:t xml:space="preserve"> </w:t>
      </w:r>
      <w:r>
        <w:t xml:space="preserve">ha una versione multilingue e potrebbe essere tradotto (o usare modelli GPT italiani) per l’uso locale – andrebbe valutata la compatibilità con i requisiti normativi italiani (marchio CE come dispositivo medico, etc.). Esistono poi soluzioni italiane o europee: ad esempio la piattaforma</w:t>
      </w:r>
      <w:r>
        <w:t xml:space="preserve"> </w:t>
      </w:r>
      <w:r>
        <w:rPr>
          <w:b/>
          <w:bCs/>
        </w:rPr>
        <w:t xml:space="preserve">TherapIST</w:t>
      </w:r>
      <w:r>
        <w:t xml:space="preserve"> </w:t>
      </w:r>
      <w:r>
        <w:t xml:space="preserve">(sviluppata dal CNR) che offre moduli di terapia online guidata; la già citata</w:t>
      </w:r>
      <w:r>
        <w:t xml:space="preserve"> </w:t>
      </w:r>
      <w:r>
        <w:rPr>
          <w:b/>
          <w:bCs/>
        </w:rPr>
        <w:t xml:space="preserve">IDEGO</w:t>
      </w:r>
      <w:r>
        <w:t xml:space="preserve"> </w:t>
      </w:r>
      <w:r>
        <w:t xml:space="preserve">che lavora su VR e AI per il benessere psicologico;</w:t>
      </w:r>
      <w:r>
        <w:t xml:space="preserve"> </w:t>
      </w:r>
      <w:r>
        <w:rPr>
          <w:b/>
          <w:bCs/>
        </w:rPr>
        <w:t xml:space="preserve">Wysa</w:t>
      </w:r>
      <w:r>
        <w:t xml:space="preserve"> </w:t>
      </w:r>
      <w:r>
        <w:t xml:space="preserve">e</w:t>
      </w:r>
      <w:r>
        <w:t xml:space="preserve"> </w:t>
      </w:r>
      <w:r>
        <w:rPr>
          <w:b/>
          <w:bCs/>
        </w:rPr>
        <w:t xml:space="preserve">Woebot</w:t>
      </w:r>
      <w:r>
        <w:t xml:space="preserve"> </w:t>
      </w:r>
      <w:r>
        <w:t xml:space="preserve">hanno versioni in italiano in fase beta. Inoltre, strumenti di</w:t>
      </w:r>
      <w:r>
        <w:t xml:space="preserve"> </w:t>
      </w:r>
      <w:r>
        <w:rPr>
          <w:b/>
          <w:bCs/>
        </w:rPr>
        <w:t xml:space="preserve">speech analysis</w:t>
      </w:r>
      <w:r>
        <w:t xml:space="preserve"> </w:t>
      </w:r>
      <w:r>
        <w:t xml:space="preserve">made in Italy: ad esempio l’Università di Trento ha progetti per rilevare depressione dal parlato in italiano, e il Politecnico di Milano (Dip. Bioingegneria) sta sperimentando algoritmi per analisi testuali nelle cartelle cliniche psichiatriche</w:t>
      </w:r>
      <w:hyperlink r:id="rId2010">
        <w:r>
          <w:rPr>
            <w:rStyle w:val="Hyperlink"/>
          </w:rPr>
          <w:t xml:space="preserve">[102]</w:t>
        </w:r>
      </w:hyperlink>
      <w:r>
        <w:t xml:space="preserve">. La</w:t>
      </w:r>
      <w:r>
        <w:t xml:space="preserve"> </w:t>
      </w:r>
      <w:r>
        <w:rPr>
          <w:b/>
          <w:bCs/>
        </w:rPr>
        <w:t xml:space="preserve">Fondazione Bruno Kessler (FBK)</w:t>
      </w:r>
      <w:r>
        <w:t xml:space="preserve"> </w:t>
      </w:r>
      <w:r>
        <w:t xml:space="preserve">di Trento sviluppa chatbot in italiano per la salute. Anche alcune ASL hanno lanciato chatbot informativi (es. il chatbot</w:t>
      </w:r>
      <w:r>
        <w:t xml:space="preserve"> </w:t>
      </w:r>
      <w:r>
        <w:rPr>
          <w:i/>
          <w:iCs/>
        </w:rPr>
        <w:t xml:space="preserve">Paginemediche</w:t>
      </w:r>
      <w:r>
        <w:t xml:space="preserve"> </w:t>
      </w:r>
      <w:r>
        <w:t xml:space="preserve">durante COVID per triage sintomi, che includeva domande su benessere psicologico). Tali tecnologie potrebbero essere trasferite al contesto pugliese con opportuni adattamenti. Una tecnologia molto interessante e già realtà è</w:t>
      </w:r>
      <w:r>
        <w:t xml:space="preserve"> </w:t>
      </w:r>
      <w:r>
        <w:rPr>
          <w:b/>
          <w:bCs/>
        </w:rPr>
        <w:t xml:space="preserve">Kintsugi Voice</w:t>
      </w:r>
      <w:r>
        <w:t xml:space="preserve"> </w:t>
      </w:r>
      <w:r>
        <w:t xml:space="preserve">(americana, ma potenzialmente adattabile): ascolta brevi clip vocali del paziente e restituisce un punteggio di depressione e ansia basato sul tono e il parlato; se fosse addestrato su italiano, potrebbe integrarsi come plugin nelle telefonate o teleconsulti. Per i</w:t>
      </w:r>
      <w:r>
        <w:t xml:space="preserve"> </w:t>
      </w:r>
      <w:r>
        <w:rPr>
          <w:b/>
          <w:bCs/>
        </w:rPr>
        <w:t xml:space="preserve">cruscotti analitici</w:t>
      </w:r>
      <w:r>
        <w:t xml:space="preserve">, aziende come SAS, IBM Watson Health, e start-up come</w:t>
      </w:r>
      <w:r>
        <w:t xml:space="preserve"> </w:t>
      </w:r>
      <w:r>
        <w:rPr>
          <w:b/>
          <w:bCs/>
        </w:rPr>
        <w:t xml:space="preserve">Quibim</w:t>
      </w:r>
      <w:r>
        <w:t xml:space="preserve"> </w:t>
      </w:r>
      <w:r>
        <w:t xml:space="preserve">offrono piattaforme di analytics sanitarie personalizzabili: la regione potrebbe commissionare lo sviluppo di modelli predittivi sui propri data warehouse (sfruttando i flussi SISM, i dati medici già raccolti). Inoltre, il Fascicolo Sanitario Elettronico 2.0 nazionale (in corso di implementazione) prevede moduli di data analytics che potrebbero includere anche la salute mentale. La Puglia, sfruttando la partecipazione al consorzio</w:t>
      </w:r>
      <w:r>
        <w:t xml:space="preserve"> </w:t>
      </w:r>
      <w:r>
        <w:rPr>
          <w:b/>
          <w:bCs/>
        </w:rPr>
        <w:t xml:space="preserve">PROMIS (ProMIS)</w:t>
      </w:r>
      <w:r>
        <w:t xml:space="preserve"> </w:t>
      </w:r>
      <w:r>
        <w:t xml:space="preserve">del Ministero della Salute, potrebbe proporre progetti pilota di AI in salute mentale finanziati a livello centrale.</w:t>
      </w:r>
    </w:p>
    <w:p>
      <w:pPr>
        <w:numPr>
          <w:ilvl w:val="0"/>
          <w:numId w:val="1008"/>
        </w:numPr>
      </w:pPr>
      <w:r>
        <w:rPr>
          <w:b/>
          <w:bCs/>
        </w:rPr>
        <w:t xml:space="preserve">Ricerca accademica italiana in IA e salute mentale:</w:t>
      </w:r>
      <w:r>
        <w:t xml:space="preserve"> </w:t>
      </w:r>
      <w:r>
        <w:t xml:space="preserve">Come emerso, vi sono gruppi all’avanguardia (Milano-Bicocca</w:t>
      </w:r>
      <w:hyperlink r:id="rId1949">
        <w:r>
          <w:rPr>
            <w:rStyle w:val="Hyperlink"/>
          </w:rPr>
          <w:t xml:space="preserve">[43]</w:t>
        </w:r>
      </w:hyperlink>
      <w:r>
        <w:t xml:space="preserve">, Università di Pisa con studi su AI e autismo, ecc.). Una sinergia tra Regione e università pugliesi (Bari, Foggia, Lecce) nel contesto del progetto porterebbe benefici: ad esempio, attivare un</w:t>
      </w:r>
      <w:r>
        <w:t xml:space="preserve"> </w:t>
      </w:r>
      <w:r>
        <w:rPr>
          <w:i/>
          <w:iCs/>
        </w:rPr>
        <w:t xml:space="preserve">protocollo di ricerca</w:t>
      </w:r>
      <w:r>
        <w:t xml:space="preserve"> </w:t>
      </w:r>
      <w:r>
        <w:t xml:space="preserve">parallelamente alla fase pilota, per valutare scientificamente gli esiti dell’IA integrata (quali metriche migliorano? quali criticità emergono?). Questo potrebbe sfociare in pubblicazioni su riviste, posizionando Puglia come</w:t>
      </w:r>
      <w:r>
        <w:t xml:space="preserve"> </w:t>
      </w:r>
      <w:r>
        <w:rPr>
          <w:b/>
          <w:bCs/>
        </w:rPr>
        <w:t xml:space="preserve">caso di studio</w:t>
      </w:r>
      <w:r>
        <w:t xml:space="preserve"> </w:t>
      </w:r>
      <w:r>
        <w:t xml:space="preserve">nel panorama internazionale. Inoltre, progetti come Horizon Europe finanziano innovazioni digitali in sanità: un consorzio con partner italiani ed europei potrebbe candidare la Puglia come</w:t>
      </w:r>
      <w:r>
        <w:t xml:space="preserve"> </w:t>
      </w:r>
      <w:r>
        <w:rPr>
          <w:i/>
          <w:iCs/>
        </w:rPr>
        <w:t xml:space="preserve">site</w:t>
      </w:r>
      <w:r>
        <w:t xml:space="preserve"> </w:t>
      </w:r>
      <w:r>
        <w:t xml:space="preserve">di sperimentazione di qualche nuova tecnologia (ad es. AI Act prevede</w:t>
      </w:r>
      <w:r>
        <w:t xml:space="preserve"> </w:t>
      </w:r>
      <w:r>
        <w:rPr>
          <w:i/>
          <w:iCs/>
        </w:rPr>
        <w:t xml:space="preserve">sandbox regolatorie</w:t>
      </w:r>
      <w:r>
        <w:t xml:space="preserve"> </w:t>
      </w:r>
      <w:r>
        <w:t xml:space="preserve">per testare IA in ambito protetto – Puglia potrebbe candidarsi come sandbox per IA in mental health).</w:t>
      </w:r>
    </w:p>
    <w:p>
      <w:pPr>
        <w:numPr>
          <w:ilvl w:val="0"/>
          <w:numId w:val="1008"/>
        </w:numPr>
      </w:pPr>
      <w:r>
        <w:rPr>
          <w:b/>
          <w:bCs/>
        </w:rPr>
        <w:t xml:space="preserve">Accettazione da parte degli utenti italiani:</w:t>
      </w:r>
      <w:r>
        <w:t xml:space="preserve"> </w:t>
      </w:r>
      <w:r>
        <w:t xml:space="preserve">Abbiamo visto il dato sorprendente che</w:t>
      </w:r>
      <w:r>
        <w:t xml:space="preserve"> </w:t>
      </w:r>
      <w:r>
        <w:rPr>
          <w:b/>
          <w:bCs/>
        </w:rPr>
        <w:t xml:space="preserve">1 giovane su 4 in Italia ha già usato l’IA per supporto emotivo</w:t>
      </w:r>
      <w:r>
        <w:t xml:space="preserve">, e tra i 18–27 anni addirittura 63%</w:t>
      </w:r>
      <w:hyperlink r:id="rId1909">
        <w:r>
          <w:rPr>
            <w:rStyle w:val="Hyperlink"/>
          </w:rPr>
          <w:t xml:space="preserve">[3]</w:t>
        </w:r>
      </w:hyperlink>
      <w:r>
        <w:t xml:space="preserve">. Questo indica che la nuova generazione è</w:t>
      </w:r>
      <w:r>
        <w:t xml:space="preserve"> </w:t>
      </w:r>
      <w:r>
        <w:rPr>
          <w:i/>
          <w:iCs/>
        </w:rPr>
        <w:t xml:space="preserve">digital-first</w:t>
      </w:r>
      <w:r>
        <w:t xml:space="preserve"> </w:t>
      </w:r>
      <w:r>
        <w:t xml:space="preserve">anche per la salute mentale. D’altro canto, molti professionisti più anziani e anche pazienti anziani potrebbero essere più restii. Nel contesto pugliese, con una popolazione in parte rurale e con un digital divide generazionale, bisognerà modulare l’introduzione degli strumenti. Ad esempio, nei comuni piccoli l’utilizzo potrebbe inizialmente essere minore: servono campagne informative locali, magari tramite i medici di base che spiegano ai pazienti l’utilità di compilare quel questionario online o rispondere al chatbot. Il potenziale però è grande: in zone dove la copertura di strutture e personale è limitata (il Mezzogiorno soffre di carenze di organico e servizi</w:t>
      </w:r>
      <w:hyperlink r:id="rId1950">
        <w:r>
          <w:rPr>
            <w:rStyle w:val="Hyperlink"/>
          </w:rPr>
          <w:t xml:space="preserve">[44]</w:t>
        </w:r>
      </w:hyperlink>
      <w:r>
        <w:t xml:space="preserve">), il digitale può colmare distanze. È importante non generare</w:t>
      </w:r>
      <w:r>
        <w:t xml:space="preserve"> </w:t>
      </w:r>
      <w:r>
        <w:rPr>
          <w:i/>
          <w:iCs/>
        </w:rPr>
        <w:t xml:space="preserve">nuove</w:t>
      </w:r>
      <w:r>
        <w:t xml:space="preserve"> </w:t>
      </w:r>
      <w:r>
        <w:t xml:space="preserve">disuguaglianze: ad esempio, non tutti gli anziani hanno smartphone – occorre prevedere anche canali tradizionali paralleli (es. possibilità di fare il triage con una telefonata guidata da operatore che inserisce i dati nel sistema). Un elemento di equità è la</w:t>
      </w:r>
      <w:r>
        <w:t xml:space="preserve"> </w:t>
      </w:r>
      <w:r>
        <w:rPr>
          <w:b/>
          <w:bCs/>
        </w:rPr>
        <w:t xml:space="preserve">lingua</w:t>
      </w:r>
      <w:r>
        <w:t xml:space="preserve">: l’IA dovrà comprendere l’italiano colloquiale, magari i dialetti; se un’utenza è composta da migranti, prevedere traduzione in inglese/francese. Su questo la tecnologia aiuta: i modelli di linguaggio moderni possono essere multilingue e tradurre al volo.</w:t>
      </w:r>
    </w:p>
    <w:p>
      <w:pPr>
        <w:numPr>
          <w:ilvl w:val="0"/>
          <w:numId w:val="1008"/>
        </w:numPr>
      </w:pPr>
      <w:r>
        <w:rPr>
          <w:b/>
          <w:bCs/>
        </w:rPr>
        <w:t xml:space="preserve">Aspetti normativi e di privacy in Italia:</w:t>
      </w:r>
      <w:r>
        <w:t xml:space="preserve"> </w:t>
      </w:r>
      <w:r>
        <w:t xml:space="preserve">L’uso dell’IA in sanità deve allinearsi al GDPR e a normative locali. Bisogna predisporre adeguati moduli di</w:t>
      </w:r>
      <w:r>
        <w:t xml:space="preserve"> </w:t>
      </w:r>
      <w:r>
        <w:rPr>
          <w:b/>
          <w:bCs/>
        </w:rPr>
        <w:t xml:space="preserve">consenso informato digitale</w:t>
      </w:r>
      <w:r>
        <w:t xml:space="preserve">: il paziente deve sapere se interagisce con un’IA, quali dati raccoglie, chi li può vedere. Soprattutto in salute mentale, i dati sono ultrasensibili. Quindi, la Regione dovrà implementare misure di sicurezza forti (crittografia, pseudonimizzazione per analisi). Il nuovo</w:t>
      </w:r>
      <w:r>
        <w:t xml:space="preserve"> </w:t>
      </w:r>
      <w:r>
        <w:rPr>
          <w:b/>
          <w:bCs/>
        </w:rPr>
        <w:t xml:space="preserve">AI Act europeo</w:t>
      </w:r>
      <w:r>
        <w:t xml:space="preserve"> </w:t>
      </w:r>
      <w:r>
        <w:t xml:space="preserve">classifica i sistemi di IA per la salute come alto rischio – ciò implica obblighi di trasparenza, monitoraggio di performance ed evitare bias discriminatori</w:t>
      </w:r>
      <w:hyperlink r:id="rId2007">
        <w:r>
          <w:rPr>
            <w:rStyle w:val="Hyperlink"/>
          </w:rPr>
          <w:t xml:space="preserve">[100]</w:t>
        </w:r>
      </w:hyperlink>
      <w:hyperlink r:id="rId1918">
        <w:r>
          <w:rPr>
            <w:rStyle w:val="Hyperlink"/>
          </w:rPr>
          <w:t xml:space="preserve">[12]</w:t>
        </w:r>
      </w:hyperlink>
      <w:r>
        <w:t xml:space="preserve">. È auspicabile che Puglia, muovendosi per prima, definisca protocolli in collaborazione con il Garante Privacy e con gli sviluppatori per assicurare conformità. Questo può diventare un modello replicabile (linee guida) per altre regioni.</w:t>
      </w:r>
    </w:p>
    <w:p>
      <w:pPr>
        <w:numPr>
          <w:ilvl w:val="0"/>
          <w:numId w:val="1008"/>
        </w:numPr>
      </w:pPr>
      <w:r>
        <w:rPr>
          <w:b/>
          <w:bCs/>
        </w:rPr>
        <w:t xml:space="preserve">Sviluppi futuri e sostenibilità:</w:t>
      </w:r>
      <w:r>
        <w:t xml:space="preserve"> </w:t>
      </w:r>
      <w:r>
        <w:t xml:space="preserve">L’implementazione di oggi deve pensare al domani. Ad esempio, l’</w:t>
      </w:r>
      <w:r>
        <w:rPr>
          <w:b/>
          <w:bCs/>
        </w:rPr>
        <w:t xml:space="preserve">interoperabilità</w:t>
      </w:r>
      <w:r>
        <w:t xml:space="preserve">: scegliere piattaforme open o modulari, in modo che possano integrarsi con futuri sistemi nazionali (il Fascicolo, la Telemedicina nazionale). La sostenibilità economica: una volta terminati eventuali fondi straordinari, il servizio deve avere un costo gestibile. L’IA può contribuire a risparmi, come abbiamo stimato, ma va comunque finanziata (licenze software, cloud, manutenzione). Si potrebbe valutare un modello in cui la Regione acquista centralmente le tecnologie e le mette a disposizione di tutti i distretti, per economie di scala. Inoltre, una prospettiva interessante è coinvolgere, con le dovute cautele, il</w:t>
      </w:r>
      <w:r>
        <w:t xml:space="preserve"> </w:t>
      </w:r>
      <w:r>
        <w:rPr>
          <w:b/>
          <w:bCs/>
        </w:rPr>
        <w:t xml:space="preserve">settore privato</w:t>
      </w:r>
      <w:r>
        <w:t xml:space="preserve"> </w:t>
      </w:r>
      <w:r>
        <w:t xml:space="preserve">tramite partenariati: molte startup potrebbero essere interessate a testare soluzioni in Puglia, offrendo magari condizioni vantaggiose in cambio di collaborazione scientifica. Ad esempio, una startup di Milano che ha un chatbot per adolescenti potrebbe fare un pilot in alcune scuole pugliesi in accordo col SSR. Queste partnership vanno gestite per tutelare pubblico e utenti, ma possono accelerare l’innovazione.</w:t>
      </w:r>
    </w:p>
    <w:p>
      <w:pPr>
        <w:numPr>
          <w:ilvl w:val="0"/>
          <w:numId w:val="1008"/>
        </w:numPr>
      </w:pPr>
      <w:r>
        <w:rPr>
          <w:b/>
          <w:bCs/>
        </w:rPr>
        <w:t xml:space="preserve">Esempi italiani di telepsichiatria e telepsicologia:</w:t>
      </w:r>
      <w:r>
        <w:t xml:space="preserve"> </w:t>
      </w:r>
      <w:r>
        <w:t xml:space="preserve">Durante la pandemia COVID, quasi tutte le regioni (Puglia inclusa) hanno dovuto adottare forme di teleconsulto psicologico. Il Ministero ha emanato indicazioni per la telepsichiatria e telepsicologia (dove si cita anche la possibilità di usare chat e piattaforme digitali). Alcune ASL hanno attivato numeri verdi e servizi di supporto psicologico a distanza. Ad esempio, a</w:t>
      </w:r>
      <w:r>
        <w:t xml:space="preserve"> </w:t>
      </w:r>
      <w:r>
        <w:rPr>
          <w:b/>
          <w:bCs/>
        </w:rPr>
        <w:t xml:space="preserve">Torino</w:t>
      </w:r>
      <w:r>
        <w:t xml:space="preserve"> </w:t>
      </w:r>
      <w:r>
        <w:t xml:space="preserve">il progetto</w:t>
      </w:r>
      <w:r>
        <w:t xml:space="preserve"> </w:t>
      </w:r>
      <w:r>
        <w:rPr>
          <w:i/>
          <w:iCs/>
        </w:rPr>
        <w:t xml:space="preserve">[email protected]</w:t>
      </w:r>
      <w:r>
        <w:t xml:space="preserve"> </w:t>
      </w:r>
      <w:r>
        <w:t xml:space="preserve">offre dal 2020 consulenze psicologiche via video chiamata per i pazienti del territorio. In</w:t>
      </w:r>
      <w:r>
        <w:t xml:space="preserve"> </w:t>
      </w:r>
      <w:r>
        <w:rPr>
          <w:b/>
          <w:bCs/>
        </w:rPr>
        <w:t xml:space="preserve">Lombardia</w:t>
      </w:r>
      <w:r>
        <w:t xml:space="preserve">, come citato nell’articolo Corriere, stanno cercando di utilizzare le</w:t>
      </w:r>
      <w:r>
        <w:t xml:space="preserve"> </w:t>
      </w:r>
      <w:r>
        <w:rPr>
          <w:b/>
          <w:bCs/>
        </w:rPr>
        <w:t xml:space="preserve">Case della Comunità</w:t>
      </w:r>
      <w:r>
        <w:t xml:space="preserve"> </w:t>
      </w:r>
      <w:r>
        <w:t xml:space="preserve">per offrire psicoterapia a ticket (a Milano alcune sono partite). Anche la</w:t>
      </w:r>
      <w:r>
        <w:t xml:space="preserve"> </w:t>
      </w:r>
      <w:r>
        <w:rPr>
          <w:b/>
          <w:bCs/>
        </w:rPr>
        <w:t xml:space="preserve">Liguria</w:t>
      </w:r>
      <w:r>
        <w:t xml:space="preserve"> </w:t>
      </w:r>
      <w:r>
        <w:t xml:space="preserve">ha un progetto</w:t>
      </w:r>
      <w:r>
        <w:t xml:space="preserve"> </w:t>
      </w:r>
      <w:r>
        <w:t xml:space="preserve">“</w:t>
      </w:r>
      <w:r>
        <w:t xml:space="preserve">Psicologo di base</w:t>
      </w:r>
      <w:r>
        <w:t xml:space="preserve">”</w:t>
      </w:r>
      <w:r>
        <w:t xml:space="preserve"> </w:t>
      </w:r>
      <w:r>
        <w:t xml:space="preserve">in alcune aree. Finora nessuno ha integrato IA, ma hanno accumulato know-how su come erogare tele-servizi e su come i pazienti rispondono. Si può attingere a queste esperienze organizzative. Ad esempio, i colleghi di Torino riportano che molti anziani preferivano il telefono al video; oppure che la fatturazione elettronica delle sedute andava adeguata. Questi dettagli pratici vanno considerati.</w:t>
      </w:r>
    </w:p>
    <w:p>
      <w:pPr>
        <w:numPr>
          <w:ilvl w:val="0"/>
          <w:numId w:val="1008"/>
        </w:numPr>
      </w:pPr>
      <w:r>
        <w:rPr>
          <w:b/>
          <w:bCs/>
        </w:rPr>
        <w:t xml:space="preserve">Coinvolgimento delle associazioni di pazienti e familiari:</w:t>
      </w:r>
      <w:r>
        <w:t xml:space="preserve"> </w:t>
      </w:r>
      <w:r>
        <w:t xml:space="preserve">In Italia esistono associazioni attive (es.</w:t>
      </w:r>
      <w:r>
        <w:t xml:space="preserve"> </w:t>
      </w:r>
      <w:r>
        <w:rPr>
          <w:i/>
          <w:iCs/>
        </w:rPr>
        <w:t xml:space="preserve">Progetto Itaca</w:t>
      </w:r>
      <w:r>
        <w:t xml:space="preserve">,</w:t>
      </w:r>
      <w:r>
        <w:t xml:space="preserve"> </w:t>
      </w:r>
      <w:r>
        <w:rPr>
          <w:i/>
          <w:iCs/>
        </w:rPr>
        <w:t xml:space="preserve">Lotus</w:t>
      </w:r>
      <w:r>
        <w:t xml:space="preserve"> </w:t>
      </w:r>
      <w:r>
        <w:t xml:space="preserve">etc. per la salute mentale). Coinvolgerle nel progetto (es. per co-design di strumenti user-friendly, o per diffondere informazione) può migliorare l’adozione. Ad esempio, potrebbero collaborare a creare contenuti per i chatbot o a testare la comprensibilità delle interfacce digitali da parte di utenti con problemi cognitivi.</w:t>
      </w:r>
    </w:p>
    <w:p>
      <w:pPr>
        <w:numPr>
          <w:ilvl w:val="0"/>
          <w:numId w:val="1008"/>
        </w:numPr>
      </w:pPr>
      <w:r>
        <w:rPr>
          <w:b/>
          <w:bCs/>
        </w:rPr>
        <w:t xml:space="preserve">Valutazione d’impatto locale:</w:t>
      </w:r>
      <w:r>
        <w:t xml:space="preserve"> </w:t>
      </w:r>
      <w:r>
        <w:t xml:space="preserve">Sarebbe opportuno, fin dall’inizio, definire un set di indicatori di risultato per la realtà pugliese (quantitativi e qualitativi) e un piano di valutazione indipendente. Ad esempio, indicatori: numero di utenti raggiunti, riduzione liste attesa, punteggi medi di miglioramento (es. PHQ-9), tasso di invii evitati, soddisfazione utenti e operatori, costi unitari per prestazione. Confrontare questi dati prima e dopo l’introduzione dell’IA (o tra zone con IA vs senza se implementazione graduale) permetterà di</w:t>
      </w:r>
      <w:r>
        <w:t xml:space="preserve"> </w:t>
      </w:r>
      <w:r>
        <w:rPr>
          <w:b/>
          <w:bCs/>
        </w:rPr>
        <w:t xml:space="preserve">misurare l’effetto</w:t>
      </w:r>
      <w:r>
        <w:t xml:space="preserve"> </w:t>
      </w:r>
      <w:r>
        <w:t xml:space="preserve">e aggiustare il modello. Ad esempio, se si nota che una certa funzione IA non viene usata (mettiamo: pochi compilano il triage online), bisognerà indagare perché (problemi di accesso? di usabilità?) e correggere (campagna informativa, semplificazione interfaccia). In questo modo, il modello rimane adattivo e in miglioramento continuo.</w:t>
      </w:r>
    </w:p>
    <w:p>
      <w:pPr>
        <w:pStyle w:val="FirstParagraph"/>
      </w:pPr>
      <w:r>
        <w:t xml:space="preserve">In conclusione, il contesto italiano, sebbene indietro su alcuni fronti, offre</w:t>
      </w:r>
      <w:r>
        <w:t xml:space="preserve"> </w:t>
      </w:r>
      <w:r>
        <w:rPr>
          <w:i/>
          <w:iCs/>
        </w:rPr>
        <w:t xml:space="preserve">terreno fertile</w:t>
      </w:r>
      <w:r>
        <w:t xml:space="preserve"> </w:t>
      </w:r>
      <w:r>
        <w:t xml:space="preserve">per il progetto pugliese: la sensibilità sulla salute mentale post-pandemia è elevata, le istituzioni (Parlamento, Ordini) parlano di integrare lo psicologo nelle cure primarie, e vi è una crescente consapevolezza sulle opportunità del digitale. La Puglia, con il suo progetto inter-ateneo già sviluppato e il sostegno politico ricevuto, ha la chance di fungere da</w:t>
      </w:r>
      <w:r>
        <w:t xml:space="preserve"> </w:t>
      </w:r>
      <w:r>
        <w:rPr>
          <w:b/>
          <w:bCs/>
        </w:rPr>
        <w:t xml:space="preserve">laboratorio nazionale</w:t>
      </w:r>
      <w:r>
        <w:t xml:space="preserve">: testare sul campo soluzioni di IA applicate alla psicologia di base, dimostrarne l’efficacia con dati robusti e quindi aprire la strada ad una diffusione più ampia di queste innovazioni in tutta Italia. Come sottolineato dagli accademici italiani,</w:t>
      </w:r>
      <w:r>
        <w:t xml:space="preserve"> </w:t>
      </w:r>
      <w:r>
        <w:rPr>
          <w:i/>
          <w:iCs/>
        </w:rPr>
        <w:t xml:space="preserve">“</w:t>
      </w:r>
      <w:r>
        <w:rPr>
          <w:i/>
          <w:iCs/>
        </w:rPr>
        <w:t xml:space="preserve">i progressi compiuti negli ultimi anni sono rilevanti… l’AI è in fase di sperimentazione avanzata nelle fasi di screening e monitoraggio dei disturbi mentali</w:t>
      </w:r>
      <w:r>
        <w:rPr>
          <w:i/>
          <w:iCs/>
        </w:rPr>
        <w:t xml:space="preserve">”</w:t>
      </w:r>
      <w:hyperlink r:id="rId2011">
        <w:r>
          <w:rPr>
            <w:rStyle w:val="Hyperlink"/>
          </w:rPr>
          <w:t xml:space="preserve">[103]</w:t>
        </w:r>
      </w:hyperlink>
      <w:r>
        <w:t xml:space="preserve">, e ha potenziale in prevenzione, diagnosi e trattamento</w:t>
      </w:r>
      <w:hyperlink r:id="rId1916">
        <w:r>
          <w:rPr>
            <w:rStyle w:val="Hyperlink"/>
          </w:rPr>
          <w:t xml:space="preserve">[10]</w:t>
        </w:r>
      </w:hyperlink>
      <w:hyperlink r:id="rId2012">
        <w:r>
          <w:rPr>
            <w:rStyle w:val="Hyperlink"/>
          </w:rPr>
          <w:t xml:space="preserve">[104]</w:t>
        </w:r>
      </w:hyperlink>
      <w:r>
        <w:t xml:space="preserve">. Manca solo l’ultimo miglio: tradurre questo potenziale in pratica quotidiana sul territorio. Il progetto pugliese, con un’implementazione ben pianificata e supportata dall’evidenza, può colmare questo gap, realizzando una</w:t>
      </w:r>
      <w:r>
        <w:t xml:space="preserve"> </w:t>
      </w:r>
      <w:r>
        <w:rPr>
          <w:b/>
          <w:bCs/>
        </w:rPr>
        <w:t xml:space="preserve">sinergia virtuosa tra innovazione tecnologica e organizzativa</w:t>
      </w:r>
      <w:r>
        <w:t xml:space="preserve">. Il risultato atteso sarà un servizio di Psicologia di Base che non solo aumenterà l’accesso alle cure per i cittadini (riducendo quell’enorme quota di bisogno inesplorato) ma lo farà in modo efficiente, sostenibile e all’avanguardia scientifica, ponendo la Puglia come esempio di</w:t>
      </w:r>
      <w:r>
        <w:t xml:space="preserve"> </w:t>
      </w:r>
      <w:r>
        <w:rPr>
          <w:i/>
          <w:iCs/>
        </w:rPr>
        <w:t xml:space="preserve">best practice</w:t>
      </w:r>
      <w:r>
        <w:t xml:space="preserve"> </w:t>
      </w:r>
      <w:r>
        <w:t xml:space="preserve">sia a livello nazionale che internazionale.</w:t>
      </w:r>
    </w:p>
    <w:p>
      <w:pPr>
        <w:pStyle w:val="BodyText"/>
      </w:pPr>
      <w:r>
        <w:rPr>
          <w:b/>
          <w:bCs/>
        </w:rPr>
        <w:t xml:space="preserve">Fonti (Selezione):</w:t>
      </w:r>
    </w:p>
    <w:p>
      <w:pPr>
        <w:numPr>
          <w:ilvl w:val="0"/>
          <w:numId w:val="1009"/>
        </w:numPr>
      </w:pPr>
      <w:r>
        <w:t xml:space="preserve">Salvatore M. &amp; Cordella B.,</w:t>
      </w:r>
      <w:r>
        <w:t xml:space="preserve"> </w:t>
      </w:r>
      <w:r>
        <w:rPr>
          <w:i/>
          <w:iCs/>
        </w:rPr>
        <w:t xml:space="preserve">“</w:t>
      </w:r>
      <w:r>
        <w:rPr>
          <w:i/>
          <w:iCs/>
        </w:rPr>
        <w:t xml:space="preserve">Documento Progettuale Inter-Ateneo sullo Psicologo di Base</w:t>
      </w:r>
      <w:r>
        <w:rPr>
          <w:i/>
          <w:iCs/>
        </w:rPr>
        <w:t xml:space="preserve">”</w:t>
      </w:r>
      <w:r>
        <w:t xml:space="preserve">, 2023 – Modello organizzativo e funzioni del servizio</w:t>
      </w:r>
      <w:hyperlink r:id="rId1928">
        <w:r>
          <w:rPr>
            <w:rStyle w:val="Hyperlink"/>
          </w:rPr>
          <w:t xml:space="preserve">[22]</w:t>
        </w:r>
      </w:hyperlink>
      <w:hyperlink r:id="rId1940">
        <w:r>
          <w:rPr>
            <w:rStyle w:val="Hyperlink"/>
          </w:rPr>
          <w:t xml:space="preserve">[35]</w:t>
        </w:r>
      </w:hyperlink>
      <w:r>
        <w:t xml:space="preserve">.</w:t>
      </w:r>
    </w:p>
    <w:p>
      <w:pPr>
        <w:numPr>
          <w:ilvl w:val="0"/>
          <w:numId w:val="1009"/>
        </w:numPr>
      </w:pPr>
      <w:r>
        <w:t xml:space="preserve">Stephenson C. et al.,</w:t>
      </w:r>
      <w:r>
        <w:t xml:space="preserve"> </w:t>
      </w:r>
      <w:r>
        <w:rPr>
          <w:i/>
          <w:iCs/>
        </w:rPr>
        <w:t xml:space="preserve">Canadian Journal of Psychiatry</w:t>
      </w:r>
      <w:r>
        <w:t xml:space="preserve">, 2025 – Studio sul triage psichiatrico assistito da IA: riduzione attese ~71%, concordanza decisioni cliniche ~71%</w:t>
      </w:r>
      <w:hyperlink r:id="rId1922">
        <w:r>
          <w:rPr>
            <w:rStyle w:val="Hyperlink"/>
          </w:rPr>
          <w:t xml:space="preserve">[15]</w:t>
        </w:r>
      </w:hyperlink>
      <w:hyperlink r:id="rId1923">
        <w:r>
          <w:rPr>
            <w:rStyle w:val="Hyperlink"/>
          </w:rPr>
          <w:t xml:space="preserve">[16]</w:t>
        </w:r>
      </w:hyperlink>
      <w:r>
        <w:t xml:space="preserve">.</w:t>
      </w:r>
    </w:p>
    <w:p>
      <w:pPr>
        <w:numPr>
          <w:ilvl w:val="0"/>
          <w:numId w:val="1009"/>
        </w:numPr>
      </w:pPr>
      <w:r>
        <w:t xml:space="preserve">Limbic (NHS IAPT, UK) – Dati operativi 2022: chatbot triage 93% accuratezza, -45% cambi terapia, -23.5% tempo valutazione (12.7 min risparmiati), -18% drop-out, -13% attesa assessment, +32% accessi, ~30k ore cliniche risparmiate</w:t>
      </w:r>
      <w:hyperlink r:id="rId1924">
        <w:r>
          <w:rPr>
            <w:rStyle w:val="Hyperlink"/>
          </w:rPr>
          <w:t xml:space="preserve">[17]</w:t>
        </w:r>
      </w:hyperlink>
      <w:hyperlink r:id="rId1926">
        <w:r>
          <w:rPr>
            <w:rStyle w:val="Hyperlink"/>
          </w:rPr>
          <w:t xml:space="preserve">[105]</w:t>
        </w:r>
      </w:hyperlink>
      <w:r>
        <w:t xml:space="preserve">.</w:t>
      </w:r>
    </w:p>
    <w:p>
      <w:pPr>
        <w:numPr>
          <w:ilvl w:val="0"/>
          <w:numId w:val="1009"/>
        </w:numPr>
      </w:pPr>
      <w:r>
        <w:t xml:space="preserve">Humaira et al.,</w:t>
      </w:r>
      <w:r>
        <w:t xml:space="preserve"> </w:t>
      </w:r>
      <w:r>
        <w:rPr>
          <w:i/>
          <w:iCs/>
        </w:rPr>
        <w:t xml:space="preserve">“</w:t>
      </w:r>
      <w:r>
        <w:rPr>
          <w:i/>
          <w:iCs/>
        </w:rPr>
        <w:t xml:space="preserve">Collaborative Care 2.0 and AI</w:t>
      </w:r>
      <w:r>
        <w:rPr>
          <w:i/>
          <w:iCs/>
        </w:rPr>
        <w:t xml:space="preserve">”</w:t>
      </w:r>
      <w:r>
        <w:t xml:space="preserve">, 2025 – Ruolo di AI in Collaborative Care: monitoraggio remoto (wearable, voce), decision support, dashboard per espandere capacità, early warning su suicidio/ricadute</w:t>
      </w:r>
      <w:hyperlink r:id="rId2013">
        <w:r>
          <w:rPr>
            <w:rStyle w:val="Hyperlink"/>
          </w:rPr>
          <w:t xml:space="preserve">[106]</w:t>
        </w:r>
      </w:hyperlink>
      <w:hyperlink r:id="rId1936">
        <w:r>
          <w:rPr>
            <w:rStyle w:val="Hyperlink"/>
          </w:rPr>
          <w:t xml:space="preserve">[30]</w:t>
        </w:r>
      </w:hyperlink>
      <w:r>
        <w:t xml:space="preserve">.</w:t>
      </w:r>
    </w:p>
    <w:p>
      <w:pPr>
        <w:numPr>
          <w:ilvl w:val="0"/>
          <w:numId w:val="1009"/>
        </w:numPr>
      </w:pPr>
      <w:r>
        <w:t xml:space="preserve">Clark D.,</w:t>
      </w:r>
      <w:r>
        <w:t xml:space="preserve"> </w:t>
      </w:r>
      <w:r>
        <w:rPr>
          <w:i/>
          <w:iCs/>
        </w:rPr>
        <w:t xml:space="preserve">NHS England Blog</w:t>
      </w:r>
      <w:r>
        <w:t xml:space="preserve">, 2018 – Risultati IAPT: &gt;1 milione assistiti/anno, attesa media 19 gg, 50% recovery rate raggiunto, enfasi su terapie digitali e follow-up online come sfida futura</w:t>
      </w:r>
      <w:hyperlink r:id="rId1966">
        <w:r>
          <w:rPr>
            <w:rStyle w:val="Hyperlink"/>
          </w:rPr>
          <w:t xml:space="preserve">[65]</w:t>
        </w:r>
      </w:hyperlink>
      <w:hyperlink r:id="rId1975">
        <w:r>
          <w:rPr>
            <w:rStyle w:val="Hyperlink"/>
          </w:rPr>
          <w:t xml:space="preserve">[107]</w:t>
        </w:r>
      </w:hyperlink>
      <w:r>
        <w:t xml:space="preserve">.</w:t>
      </w:r>
    </w:p>
    <w:p>
      <w:pPr>
        <w:numPr>
          <w:ilvl w:val="0"/>
          <w:numId w:val="1009"/>
        </w:numPr>
      </w:pPr>
      <w:r>
        <w:t xml:space="preserve">Vink N.,</w:t>
      </w:r>
      <w:r>
        <w:t xml:space="preserve"> </w:t>
      </w:r>
      <w:r>
        <w:rPr>
          <w:i/>
          <w:iCs/>
        </w:rPr>
        <w:t xml:space="preserve">International Mental Health NL</w:t>
      </w:r>
      <w:r>
        <w:t xml:space="preserve">, 2019 – Spiegazione sistema olandese: 4 step (1. e-health anonima, 2. POH-GGZ breve, 3. base GGZ, 4. specialistica), ruolo GP gatekeeper e integrazione graduale servizi</w:t>
      </w:r>
      <w:hyperlink r:id="rId1980">
        <w:r>
          <w:rPr>
            <w:rStyle w:val="Hyperlink"/>
          </w:rPr>
          <w:t xml:space="preserve">[73]</w:t>
        </w:r>
      </w:hyperlink>
      <w:hyperlink r:id="rId1957">
        <w:r>
          <w:rPr>
            <w:rStyle w:val="Hyperlink"/>
          </w:rPr>
          <w:t xml:space="preserve">[108]</w:t>
        </w:r>
      </w:hyperlink>
      <w:r>
        <w:t xml:space="preserve">.</w:t>
      </w:r>
    </w:p>
    <w:p>
      <w:pPr>
        <w:numPr>
          <w:ilvl w:val="0"/>
          <w:numId w:val="1009"/>
        </w:numPr>
      </w:pPr>
      <w:r>
        <w:t xml:space="preserve">Gould C.,</w:t>
      </w:r>
      <w:r>
        <w:t xml:space="preserve"> </w:t>
      </w:r>
      <w:r>
        <w:rPr>
          <w:i/>
          <w:iCs/>
        </w:rPr>
        <w:t xml:space="preserve">ABC News Australia</w:t>
      </w:r>
      <w:r>
        <w:t xml:space="preserve">, 2024 – Notizia finanziamento servizio digitale low-intensity: telehealth gratuite con counsellor, self-help online, modellato su UK Talking Therapies; ribadita erogazione da umani (non AI autonoma) e importanza di modelli come MindSpot</w:t>
      </w:r>
      <w:hyperlink r:id="rId1992">
        <w:r>
          <w:rPr>
            <w:rStyle w:val="Hyperlink"/>
          </w:rPr>
          <w:t xml:space="preserve">[85]</w:t>
        </w:r>
      </w:hyperlink>
      <w:hyperlink r:id="rId1978">
        <w:r>
          <w:rPr>
            <w:rStyle w:val="Hyperlink"/>
          </w:rPr>
          <w:t xml:space="preserve">[71]</w:t>
        </w:r>
      </w:hyperlink>
      <w:r>
        <w:t xml:space="preserve">.</w:t>
      </w:r>
    </w:p>
    <w:p>
      <w:pPr>
        <w:numPr>
          <w:ilvl w:val="0"/>
          <w:numId w:val="1009"/>
        </w:numPr>
      </w:pPr>
      <w:r>
        <w:t xml:space="preserve">Rorato V.,</w:t>
      </w:r>
      <w:r>
        <w:t xml:space="preserve"> </w:t>
      </w:r>
      <w:r>
        <w:rPr>
          <w:i/>
          <w:iCs/>
        </w:rPr>
        <w:t xml:space="preserve">Corriere</w:t>
      </w:r>
      <w:r>
        <w:t xml:space="preserve">, 2025 – Indagine Altroconsumo su giovani e AI: 63% &lt;27 anni ha usato AI per supporto emotivo; l’AI come</w:t>
      </w:r>
      <w:r>
        <w:t xml:space="preserve"> </w:t>
      </w:r>
      <w:r>
        <w:t xml:space="preserve">“</w:t>
      </w:r>
      <w:r>
        <w:t xml:space="preserve">pronto intervento emotivo</w:t>
      </w:r>
      <w:r>
        <w:t xml:space="preserve">”</w:t>
      </w:r>
      <w:r>
        <w:t xml:space="preserve"> </w:t>
      </w:r>
      <w:r>
        <w:t xml:space="preserve">accessibile rispetto a terapia costosa; necessità di integrare questi strumenti con prudenza, facendo informazione e formazione</w:t>
      </w:r>
      <w:hyperlink r:id="rId1909">
        <w:r>
          <w:rPr>
            <w:rStyle w:val="Hyperlink"/>
          </w:rPr>
          <w:t xml:space="preserve">[3]</w:t>
        </w:r>
      </w:hyperlink>
      <w:hyperlink r:id="rId1910">
        <w:r>
          <w:rPr>
            <w:rStyle w:val="Hyperlink"/>
          </w:rPr>
          <w:t xml:space="preserve">[4]</w:t>
        </w:r>
      </w:hyperlink>
      <w:r>
        <w:t xml:space="preserve">.</w:t>
      </w:r>
    </w:p>
    <w:p>
      <w:pPr>
        <w:numPr>
          <w:ilvl w:val="0"/>
          <w:numId w:val="1009"/>
        </w:numPr>
      </w:pPr>
      <w:r>
        <w:t xml:space="preserve">Mental Health Europe,</w:t>
      </w:r>
      <w:r>
        <w:t xml:space="preserve"> </w:t>
      </w:r>
      <w:r>
        <w:rPr>
          <w:i/>
          <w:iCs/>
        </w:rPr>
        <w:t xml:space="preserve">Report AI</w:t>
      </w:r>
      <w:r>
        <w:rPr>
          <w:i/>
          <w:iCs/>
        </w:rPr>
        <w:t xml:space="preserve"> </w:t>
      </w:r>
      <w:r>
        <w:rPr>
          <w:b/>
          <w:bCs/>
          <w:i/>
          <w:iCs/>
        </w:rPr>
        <w:t xml:space="preserve">&amp;</w:t>
      </w:r>
      <w:r>
        <w:rPr>
          <w:i/>
          <w:iCs/>
        </w:rPr>
        <w:t xml:space="preserve"> </w:t>
      </w:r>
      <w:r>
        <w:rPr>
          <w:i/>
          <w:iCs/>
        </w:rPr>
        <w:t xml:space="preserve">Mental Health</w:t>
      </w:r>
      <w:r>
        <w:t xml:space="preserve">, 2025 – Opportunità: IA migliora accessibilità e riduce carico burocratico, personalizza trattamenti e interviene tempestivamente; Rischi: bias, privacy, disuguaglianze se non governata; raccomanda sviluppo etico, trasparenza, co-creazione con utenti</w:t>
      </w:r>
      <w:hyperlink r:id="rId1951">
        <w:r>
          <w:rPr>
            <w:rStyle w:val="Hyperlink"/>
          </w:rPr>
          <w:t xml:space="preserve">[109]</w:t>
        </w:r>
      </w:hyperlink>
      <w:hyperlink r:id="rId1952">
        <w:r>
          <w:rPr>
            <w:rStyle w:val="Hyperlink"/>
          </w:rPr>
          <w:t xml:space="preserve">[46]</w:t>
        </w:r>
      </w:hyperlink>
      <w:r>
        <w:t xml:space="preserve">.</w:t>
      </w:r>
    </w:p>
    <w:p>
      <w:pPr>
        <w:numPr>
          <w:ilvl w:val="0"/>
          <w:numId w:val="1009"/>
        </w:numPr>
      </w:pPr>
      <w:r>
        <w:t xml:space="preserve">Bartoli F. et al.,</w:t>
      </w:r>
      <w:r>
        <w:t xml:space="preserve"> </w:t>
      </w:r>
      <w:r>
        <w:rPr>
          <w:i/>
          <w:iCs/>
        </w:rPr>
        <w:t xml:space="preserve">Intervista UNIMIB</w:t>
      </w:r>
      <w:r>
        <w:t xml:space="preserve">, 2025 – Stato dell’integrazione AI in psichiatria: in crescita soprattutto in screening e monitoraggio, IA come supporto al clinico (non autonomo), promettente in predizione e prevenzione (big data per individuare soggetti a rischio prima dell’esordio)</w:t>
      </w:r>
      <w:hyperlink r:id="rId2011">
        <w:r>
          <w:rPr>
            <w:rStyle w:val="Hyperlink"/>
          </w:rPr>
          <w:t xml:space="preserve">[103]</w:t>
        </w:r>
      </w:hyperlink>
      <w:hyperlink r:id="rId1916">
        <w:r>
          <w:rPr>
            <w:rStyle w:val="Hyperlink"/>
          </w:rPr>
          <w:t xml:space="preserve">[10]</w:t>
        </w:r>
      </w:hyperlink>
      <w:r>
        <w:t xml:space="preserve">.</w:t>
      </w:r>
    </w:p>
    <w:p>
      <w:pPr>
        <w:pStyle w:val="FirstParagraph"/>
      </w:pPr>
      <w:hyperlink r:id="rId1907">
        <w:r>
          <w:rPr>
            <w:rStyle w:val="Hyperlink"/>
          </w:rPr>
          <w:t xml:space="preserve">[1]</w:t>
        </w:r>
      </w:hyperlink>
      <w:r>
        <w:t xml:space="preserve"> </w:t>
      </w:r>
      <w:hyperlink r:id="rId1908">
        <w:r>
          <w:rPr>
            <w:rStyle w:val="Hyperlink"/>
          </w:rPr>
          <w:t xml:space="preserve">[2]</w:t>
        </w:r>
      </w:hyperlink>
      <w:r>
        <w:t xml:space="preserve"> </w:t>
      </w:r>
      <w:hyperlink r:id="rId1909">
        <w:r>
          <w:rPr>
            <w:rStyle w:val="Hyperlink"/>
          </w:rPr>
          <w:t xml:space="preserve">[3]</w:t>
        </w:r>
      </w:hyperlink>
      <w:r>
        <w:t xml:space="preserve"> </w:t>
      </w:r>
      <w:hyperlink r:id="rId1910">
        <w:r>
          <w:rPr>
            <w:rStyle w:val="Hyperlink"/>
          </w:rPr>
          <w:t xml:space="preserve">[4]</w:t>
        </w:r>
      </w:hyperlink>
      <w:r>
        <w:t xml:space="preserve"> </w:t>
      </w:r>
      <w:hyperlink r:id="rId1946">
        <w:r>
          <w:rPr>
            <w:rStyle w:val="Hyperlink"/>
          </w:rPr>
          <w:t xml:space="preserve">[40]</w:t>
        </w:r>
      </w:hyperlink>
      <w:r>
        <w:t xml:space="preserve"> </w:t>
      </w:r>
      <w:hyperlink r:id="rId1950">
        <w:r>
          <w:rPr>
            <w:rStyle w:val="Hyperlink"/>
          </w:rPr>
          <w:t xml:space="preserve">[44]</w:t>
        </w:r>
      </w:hyperlink>
      <w:r>
        <w:t xml:space="preserve"> </w:t>
      </w:r>
      <w:hyperlink r:id="rId1961">
        <w:r>
          <w:rPr>
            <w:rStyle w:val="Hyperlink"/>
          </w:rPr>
          <w:t xml:space="preserve">[53]</w:t>
        </w:r>
      </w:hyperlink>
      <w:r>
        <w:t xml:space="preserve"> </w:t>
      </w:r>
      <w:hyperlink r:id="rId2009">
        <w:r>
          <w:rPr>
            <w:rStyle w:val="Hyperlink"/>
          </w:rPr>
          <w:t xml:space="preserve">[101]</w:t>
        </w:r>
      </w:hyperlink>
      <w:r>
        <w:t xml:space="preserve"> </w:t>
      </w:r>
      <w:r>
        <w:t xml:space="preserve">Salute mentale, il 63% dei giovani si rivolge all’Intelligenza artificiale quando ha una difficoltà emotiva | Corriere.it</w:t>
      </w:r>
    </w:p>
    <w:p>
      <w:pPr>
        <w:pStyle w:val="BodyText"/>
      </w:pPr>
      <w:hyperlink r:id="rId2014">
        <w:r>
          <w:rPr>
            <w:rStyle w:val="Hyperlink"/>
          </w:rPr>
          <w:t xml:space="preserve">https://www.corriere.it/salute/figli-genitori/25_ottobre_10/salute-mentale-il-63-dei-giovani-si-rivolge-all-intelligenza-artificiale-quando-ha-una-difficolta-emotiva-93418828-872f-4dd5-b260-70bd51bf0xlk.shtml</w:t>
        </w:r>
      </w:hyperlink>
    </w:p>
    <w:p>
      <w:pPr>
        <w:pStyle w:val="BodyText"/>
      </w:pPr>
      <w:hyperlink r:id="rId1911">
        <w:r>
          <w:rPr>
            <w:rStyle w:val="Hyperlink"/>
          </w:rPr>
          <w:t xml:space="preserve">[5]</w:t>
        </w:r>
      </w:hyperlink>
      <w:r>
        <w:t xml:space="preserve"> </w:t>
      </w:r>
      <w:hyperlink r:id="rId1912">
        <w:r>
          <w:rPr>
            <w:rStyle w:val="Hyperlink"/>
          </w:rPr>
          <w:t xml:space="preserve">[6]</w:t>
        </w:r>
      </w:hyperlink>
      <w:r>
        <w:t xml:space="preserve"> </w:t>
      </w:r>
      <w:hyperlink r:id="rId1913">
        <w:r>
          <w:rPr>
            <w:rStyle w:val="Hyperlink"/>
          </w:rPr>
          <w:t xml:space="preserve">[7]</w:t>
        </w:r>
      </w:hyperlink>
      <w:r>
        <w:t xml:space="preserve"> </w:t>
      </w:r>
      <w:hyperlink r:id="rId1914">
        <w:r>
          <w:rPr>
            <w:rStyle w:val="Hyperlink"/>
          </w:rPr>
          <w:t xml:space="preserve">[8]</w:t>
        </w:r>
      </w:hyperlink>
      <w:r>
        <w:t xml:space="preserve"> </w:t>
      </w:r>
      <w:hyperlink r:id="rId1915">
        <w:r>
          <w:rPr>
            <w:rStyle w:val="Hyperlink"/>
          </w:rPr>
          <w:t xml:space="preserve">[9]</w:t>
        </w:r>
      </w:hyperlink>
      <w:r>
        <w:t xml:space="preserve"> </w:t>
      </w:r>
      <w:hyperlink r:id="rId1916">
        <w:r>
          <w:rPr>
            <w:rStyle w:val="Hyperlink"/>
          </w:rPr>
          <w:t xml:space="preserve">[10]</w:t>
        </w:r>
      </w:hyperlink>
      <w:r>
        <w:t xml:space="preserve"> </w:t>
      </w:r>
      <w:hyperlink r:id="rId1917">
        <w:r>
          <w:rPr>
            <w:rStyle w:val="Hyperlink"/>
          </w:rPr>
          <w:t xml:space="preserve">[11]</w:t>
        </w:r>
      </w:hyperlink>
      <w:r>
        <w:t xml:space="preserve"> </w:t>
      </w:r>
      <w:hyperlink r:id="rId1949">
        <w:r>
          <w:rPr>
            <w:rStyle w:val="Hyperlink"/>
          </w:rPr>
          <w:t xml:space="preserve">[43]</w:t>
        </w:r>
      </w:hyperlink>
      <w:r>
        <w:t xml:space="preserve"> </w:t>
      </w:r>
      <w:hyperlink r:id="rId2010">
        <w:r>
          <w:rPr>
            <w:rStyle w:val="Hyperlink"/>
          </w:rPr>
          <w:t xml:space="preserve">[102]</w:t>
        </w:r>
      </w:hyperlink>
      <w:r>
        <w:t xml:space="preserve"> </w:t>
      </w:r>
      <w:hyperlink r:id="rId2011">
        <w:r>
          <w:rPr>
            <w:rStyle w:val="Hyperlink"/>
          </w:rPr>
          <w:t xml:space="preserve">[103]</w:t>
        </w:r>
      </w:hyperlink>
      <w:r>
        <w:t xml:space="preserve"> </w:t>
      </w:r>
      <w:hyperlink r:id="rId2012">
        <w:r>
          <w:rPr>
            <w:rStyle w:val="Hyperlink"/>
          </w:rPr>
          <w:t xml:space="preserve">[104]</w:t>
        </w:r>
      </w:hyperlink>
      <w:r>
        <w:t xml:space="preserve"> </w:t>
      </w:r>
      <w:r>
        <w:t xml:space="preserve">Intelligenza artificiale e salute mentale: sfida o opportunità per la psichiatria? - Bnews</w:t>
      </w:r>
    </w:p>
    <w:p>
      <w:pPr>
        <w:pStyle w:val="BodyText"/>
      </w:pPr>
      <w:hyperlink r:id="rId2015">
        <w:r>
          <w:rPr>
            <w:rStyle w:val="Hyperlink"/>
          </w:rPr>
          <w:t xml:space="preserve">https://bnews.unimib.it/blog/intelligenza-artificiale-e-salute-mentale-sfida-o-opportunit%C3%A0-per-la-psichiatria/</w:t>
        </w:r>
      </w:hyperlink>
    </w:p>
    <w:p>
      <w:pPr>
        <w:pStyle w:val="BodyText"/>
      </w:pPr>
      <w:hyperlink r:id="rId1918">
        <w:r>
          <w:rPr>
            <w:rStyle w:val="Hyperlink"/>
          </w:rPr>
          <w:t xml:space="preserve">[12]</w:t>
        </w:r>
      </w:hyperlink>
      <w:r>
        <w:t xml:space="preserve"> </w:t>
      </w:r>
      <w:hyperlink r:id="rId1951">
        <w:r>
          <w:rPr>
            <w:rStyle w:val="Hyperlink"/>
          </w:rPr>
          <w:t xml:space="preserve">[45]</w:t>
        </w:r>
      </w:hyperlink>
      <w:r>
        <w:t xml:space="preserve"> </w:t>
      </w:r>
      <w:hyperlink r:id="rId1952">
        <w:r>
          <w:rPr>
            <w:rStyle w:val="Hyperlink"/>
          </w:rPr>
          <w:t xml:space="preserve">[46]</w:t>
        </w:r>
      </w:hyperlink>
      <w:r>
        <w:t xml:space="preserve"> </w:t>
      </w:r>
      <w:hyperlink r:id="rId2007">
        <w:r>
          <w:rPr>
            <w:rStyle w:val="Hyperlink"/>
          </w:rPr>
          <w:t xml:space="preserve">[100]</w:t>
        </w:r>
      </w:hyperlink>
      <w:r>
        <w:t xml:space="preserve"> </w:t>
      </w:r>
      <w:hyperlink r:id="rId1951">
        <w:r>
          <w:rPr>
            <w:rStyle w:val="Hyperlink"/>
          </w:rPr>
          <w:t xml:space="preserve">[109]</w:t>
        </w:r>
      </w:hyperlink>
      <w:r>
        <w:t xml:space="preserve"> </w:t>
      </w:r>
      <w:r>
        <w:t xml:space="preserve">Mental Health Europe launches a study on Artificial Intelligence in mental healthcare - Mental Health Europe</w:t>
      </w:r>
    </w:p>
    <w:p>
      <w:pPr>
        <w:pStyle w:val="BodyText"/>
      </w:pPr>
      <w:hyperlink r:id="rId2016">
        <w:r>
          <w:rPr>
            <w:rStyle w:val="Hyperlink"/>
          </w:rPr>
          <w:t xml:space="preserve">https://www.mentalhealtheurope.org/mental-health-europe-launches-a-study-on-artificial-intelligence-in-mental-healthcare/</w:t>
        </w:r>
      </w:hyperlink>
    </w:p>
    <w:p>
      <w:pPr>
        <w:pStyle w:val="BodyText"/>
      </w:pPr>
      <w:hyperlink r:id="rId1920">
        <w:r>
          <w:rPr>
            <w:rStyle w:val="Hyperlink"/>
          </w:rPr>
          <w:t xml:space="preserve">[13]</w:t>
        </w:r>
      </w:hyperlink>
      <w:r>
        <w:t xml:space="preserve"> </w:t>
      </w:r>
      <w:hyperlink r:id="rId1922">
        <w:r>
          <w:rPr>
            <w:rStyle w:val="Hyperlink"/>
          </w:rPr>
          <w:t xml:space="preserve">[15]</w:t>
        </w:r>
      </w:hyperlink>
      <w:r>
        <w:t xml:space="preserve"> </w:t>
      </w:r>
      <w:hyperlink r:id="rId1923">
        <w:r>
          <w:rPr>
            <w:rStyle w:val="Hyperlink"/>
          </w:rPr>
          <w:t xml:space="preserve">[16]</w:t>
        </w:r>
      </w:hyperlink>
      <w:r>
        <w:t xml:space="preserve"> </w:t>
      </w:r>
      <w:hyperlink r:id="rId1923">
        <w:r>
          <w:rPr>
            <w:rStyle w:val="Hyperlink"/>
          </w:rPr>
          <w:t xml:space="preserve">[20]</w:t>
        </w:r>
      </w:hyperlink>
      <w:r>
        <w:t xml:space="preserve"> </w:t>
      </w:r>
      <w:hyperlink r:id="rId1927">
        <w:r>
          <w:rPr>
            <w:rStyle w:val="Hyperlink"/>
          </w:rPr>
          <w:t xml:space="preserve">[21]</w:t>
        </w:r>
      </w:hyperlink>
      <w:r>
        <w:t xml:space="preserve"> </w:t>
      </w:r>
      <w:r>
        <w:t xml:space="preserve">[PDF] Evaluation of an Artificial Intelligence and Online Psychotherapy Initiative to Improve Access and Efficiency in an Ambulatory Psychiatric Setting: Évaluation d’une initiative de psychothérapie en ligne basée sur l’intelligence artificielle visant à | CiteDrive</w:t>
      </w:r>
    </w:p>
    <w:p>
      <w:pPr>
        <w:pStyle w:val="BodyText"/>
      </w:pPr>
      <w:hyperlink r:id="rId2017">
        <w:r>
          <w:rPr>
            <w:rStyle w:val="Hyperlink"/>
          </w:rPr>
          <w:t xml:space="preserve">https://www.citedrive.com/en/discovery/evaluation-of-an-artificial-intelligence-and-online-psychotherapy-initiative-to-improve-access-and-efficiency-in-an-ambulatory-psychiatric-setting-%C3%A9valuation-dune-initiative-de-psychoth%C3%A9rapie-en-ligne-bas%C3%A9e-sur-lintelligence-artificielle-visant-%C3%A0-/</w:t>
        </w:r>
      </w:hyperlink>
    </w:p>
    <w:p>
      <w:pPr>
        <w:pStyle w:val="BodyText"/>
      </w:pPr>
      <w:hyperlink r:id="rId1921">
        <w:r>
          <w:rPr>
            <w:rStyle w:val="Hyperlink"/>
          </w:rPr>
          <w:t xml:space="preserve">[14]</w:t>
        </w:r>
      </w:hyperlink>
      <w:r>
        <w:t xml:space="preserve"> </w:t>
      </w:r>
      <w:hyperlink r:id="rId1924">
        <w:r>
          <w:rPr>
            <w:rStyle w:val="Hyperlink"/>
          </w:rPr>
          <w:t xml:space="preserve">[17]</w:t>
        </w:r>
      </w:hyperlink>
      <w:r>
        <w:t xml:space="preserve"> </w:t>
      </w:r>
      <w:hyperlink r:id="rId1925">
        <w:r>
          <w:rPr>
            <w:rStyle w:val="Hyperlink"/>
          </w:rPr>
          <w:t xml:space="preserve">[18]</w:t>
        </w:r>
      </w:hyperlink>
      <w:r>
        <w:t xml:space="preserve"> </w:t>
      </w:r>
      <w:hyperlink r:id="rId1926">
        <w:r>
          <w:rPr>
            <w:rStyle w:val="Hyperlink"/>
          </w:rPr>
          <w:t xml:space="preserve">[19]</w:t>
        </w:r>
      </w:hyperlink>
      <w:r>
        <w:t xml:space="preserve"> </w:t>
      </w:r>
      <w:hyperlink r:id="rId1926">
        <w:r>
          <w:rPr>
            <w:rStyle w:val="Hyperlink"/>
          </w:rPr>
          <w:t xml:space="preserve">[31]</w:t>
        </w:r>
      </w:hyperlink>
      <w:r>
        <w:t xml:space="preserve"> </w:t>
      </w:r>
      <w:hyperlink r:id="rId1945">
        <w:r>
          <w:rPr>
            <w:rStyle w:val="Hyperlink"/>
          </w:rPr>
          <w:t xml:space="preserve">[39]</w:t>
        </w:r>
      </w:hyperlink>
      <w:r>
        <w:t xml:space="preserve"> </w:t>
      </w:r>
      <w:hyperlink r:id="rId1960">
        <w:r>
          <w:rPr>
            <w:rStyle w:val="Hyperlink"/>
          </w:rPr>
          <w:t xml:space="preserve">[52]</w:t>
        </w:r>
      </w:hyperlink>
      <w:r>
        <w:t xml:space="preserve"> </w:t>
      </w:r>
      <w:hyperlink r:id="rId1962">
        <w:r>
          <w:rPr>
            <w:rStyle w:val="Hyperlink"/>
          </w:rPr>
          <w:t xml:space="preserve">[54]</w:t>
        </w:r>
      </w:hyperlink>
      <w:r>
        <w:t xml:space="preserve"> </w:t>
      </w:r>
      <w:hyperlink r:id="rId2002">
        <w:r>
          <w:rPr>
            <w:rStyle w:val="Hyperlink"/>
          </w:rPr>
          <w:t xml:space="preserve">[95]</w:t>
        </w:r>
      </w:hyperlink>
      <w:r>
        <w:t xml:space="preserve"> </w:t>
      </w:r>
      <w:hyperlink r:id="rId2006">
        <w:r>
          <w:rPr>
            <w:rStyle w:val="Hyperlink"/>
          </w:rPr>
          <w:t xml:space="preserve">[99]</w:t>
        </w:r>
      </w:hyperlink>
      <w:r>
        <w:t xml:space="preserve"> </w:t>
      </w:r>
      <w:hyperlink r:id="rId1926">
        <w:r>
          <w:rPr>
            <w:rStyle w:val="Hyperlink"/>
          </w:rPr>
          <w:t xml:space="preserve">[105]</w:t>
        </w:r>
      </w:hyperlink>
      <w:r>
        <w:t xml:space="preserve"> </w:t>
      </w:r>
      <w:r>
        <w:t xml:space="preserve">AI mental health chatbot that predicts disorders becomes first in world to gain Class IIa UKCA medical device status</w:t>
      </w:r>
    </w:p>
    <w:p>
      <w:pPr>
        <w:pStyle w:val="BodyText"/>
      </w:pPr>
      <w:hyperlink r:id="rId2018">
        <w:r>
          <w:rPr>
            <w:rStyle w:val="Hyperlink"/>
          </w:rPr>
          <w:t xml:space="preserve">https://www.limbic.ai/blog/class-ii-a</w:t>
        </w:r>
      </w:hyperlink>
    </w:p>
    <w:p>
      <w:pPr>
        <w:pStyle w:val="BodyText"/>
      </w:pPr>
      <w:hyperlink r:id="rId1928">
        <w:r>
          <w:rPr>
            <w:rStyle w:val="Hyperlink"/>
          </w:rPr>
          <w:t xml:space="preserve">[22]</w:t>
        </w:r>
      </w:hyperlink>
      <w:r>
        <w:t xml:space="preserve"> </w:t>
      </w:r>
      <w:hyperlink r:id="rId1929">
        <w:r>
          <w:rPr>
            <w:rStyle w:val="Hyperlink"/>
          </w:rPr>
          <w:t xml:space="preserve">[23]</w:t>
        </w:r>
      </w:hyperlink>
      <w:r>
        <w:t xml:space="preserve"> </w:t>
      </w:r>
      <w:hyperlink r:id="rId1933">
        <w:r>
          <w:rPr>
            <w:rStyle w:val="Hyperlink"/>
          </w:rPr>
          <w:t xml:space="preserve">[27]</w:t>
        </w:r>
      </w:hyperlink>
      <w:r>
        <w:t xml:space="preserve"> </w:t>
      </w:r>
      <w:hyperlink r:id="rId1940">
        <w:r>
          <w:rPr>
            <w:rStyle w:val="Hyperlink"/>
          </w:rPr>
          <w:t xml:space="preserve">[35]</w:t>
        </w:r>
      </w:hyperlink>
      <w:r>
        <w:t xml:space="preserve"> </w:t>
      </w:r>
      <w:r>
        <w:t xml:space="preserve">aipass.org</w:t>
      </w:r>
    </w:p>
    <w:p>
      <w:pPr>
        <w:pStyle w:val="BodyText"/>
      </w:pPr>
      <w:hyperlink r:id="rId2019">
        <w:r>
          <w:rPr>
            <w:rStyle w:val="Hyperlink"/>
          </w:rPr>
          <w:t xml:space="preserve">https://aipass.org/wp-content/uploads/2024/07/DOCUMENTO-PROGETTUALE-INTERNATENEO-SULLO-PSICOLOGO-DI-BASE.pdf</w:t>
        </w:r>
      </w:hyperlink>
    </w:p>
    <w:p>
      <w:pPr>
        <w:pStyle w:val="BodyText"/>
      </w:pPr>
      <w:hyperlink r:id="rId1930">
        <w:r>
          <w:rPr>
            <w:rStyle w:val="Hyperlink"/>
          </w:rPr>
          <w:t xml:space="preserve">[24]</w:t>
        </w:r>
      </w:hyperlink>
      <w:r>
        <w:t xml:space="preserve"> </w:t>
      </w:r>
      <w:r>
        <w:t xml:space="preserve">#75 SALUTE MENTALE e INTELLIGENZA ARTIFICIALE</w:t>
      </w:r>
    </w:p>
    <w:p>
      <w:pPr>
        <w:pStyle w:val="BodyText"/>
      </w:pPr>
      <w:hyperlink r:id="rId2020">
        <w:r>
          <w:rPr>
            <w:rStyle w:val="Hyperlink"/>
          </w:rPr>
          <w:t xml:space="preserve">https://robertavilla.substack.com/p/75-salute-mentale-e-intelligenza</w:t>
        </w:r>
      </w:hyperlink>
    </w:p>
    <w:p>
      <w:pPr>
        <w:pStyle w:val="BodyText"/>
      </w:pPr>
      <w:hyperlink r:id="rId1931">
        <w:r>
          <w:rPr>
            <w:rStyle w:val="Hyperlink"/>
          </w:rPr>
          <w:t xml:space="preserve">[25]</w:t>
        </w:r>
      </w:hyperlink>
      <w:r>
        <w:t xml:space="preserve"> </w:t>
      </w:r>
      <w:hyperlink r:id="rId1931">
        <w:r>
          <w:rPr>
            <w:rStyle w:val="Hyperlink"/>
          </w:rPr>
          <w:t xml:space="preserve">[58]</w:t>
        </w:r>
      </w:hyperlink>
      <w:r>
        <w:t xml:space="preserve"> </w:t>
      </w:r>
      <w:r>
        <w:t xml:space="preserve">[PDF] Mental Health Europe AI report - Research Explorer</w:t>
      </w:r>
    </w:p>
    <w:p>
      <w:pPr>
        <w:pStyle w:val="BodyText"/>
      </w:pPr>
      <w:hyperlink r:id="rId2021">
        <w:r>
          <w:rPr>
            <w:rStyle w:val="Hyperlink"/>
          </w:rPr>
          <w:t xml:space="preserve">https://pure.uva.nl/ws/files/219139956/Mental_Health_Europe_AI_report.pdf</w:t>
        </w:r>
      </w:hyperlink>
    </w:p>
    <w:p>
      <w:pPr>
        <w:pStyle w:val="BodyText"/>
      </w:pPr>
      <w:hyperlink r:id="rId1932">
        <w:r>
          <w:rPr>
            <w:rStyle w:val="Hyperlink"/>
          </w:rPr>
          <w:t xml:space="preserve">[26]</w:t>
        </w:r>
      </w:hyperlink>
      <w:r>
        <w:t xml:space="preserve"> </w:t>
      </w:r>
      <w:hyperlink r:id="rId1934">
        <w:r>
          <w:rPr>
            <w:rStyle w:val="Hyperlink"/>
          </w:rPr>
          <w:t xml:space="preserve">[28]</w:t>
        </w:r>
      </w:hyperlink>
      <w:r>
        <w:t xml:space="preserve"> </w:t>
      </w:r>
      <w:hyperlink r:id="rId1935">
        <w:r>
          <w:rPr>
            <w:rStyle w:val="Hyperlink"/>
          </w:rPr>
          <w:t xml:space="preserve">[29]</w:t>
        </w:r>
      </w:hyperlink>
      <w:r>
        <w:t xml:space="preserve"> </w:t>
      </w:r>
      <w:hyperlink r:id="rId1936">
        <w:r>
          <w:rPr>
            <w:rStyle w:val="Hyperlink"/>
          </w:rPr>
          <w:t xml:space="preserve">[30]</w:t>
        </w:r>
      </w:hyperlink>
      <w:r>
        <w:t xml:space="preserve"> </w:t>
      </w:r>
      <w:hyperlink r:id="rId1937">
        <w:r>
          <w:rPr>
            <w:rStyle w:val="Hyperlink"/>
          </w:rPr>
          <w:t xml:space="preserve">[32]</w:t>
        </w:r>
      </w:hyperlink>
      <w:r>
        <w:t xml:space="preserve"> </w:t>
      </w:r>
      <w:hyperlink r:id="rId1997">
        <w:r>
          <w:rPr>
            <w:rStyle w:val="Hyperlink"/>
          </w:rPr>
          <w:t xml:space="preserve">[90]</w:t>
        </w:r>
      </w:hyperlink>
      <w:r>
        <w:t xml:space="preserve"> </w:t>
      </w:r>
      <w:hyperlink r:id="rId1998">
        <w:r>
          <w:rPr>
            <w:rStyle w:val="Hyperlink"/>
          </w:rPr>
          <w:t xml:space="preserve">[91]</w:t>
        </w:r>
      </w:hyperlink>
      <w:r>
        <w:t xml:space="preserve"> </w:t>
      </w:r>
      <w:hyperlink r:id="rId1999">
        <w:r>
          <w:rPr>
            <w:rStyle w:val="Hyperlink"/>
          </w:rPr>
          <w:t xml:space="preserve">[92]</w:t>
        </w:r>
      </w:hyperlink>
      <w:r>
        <w:t xml:space="preserve"> </w:t>
      </w:r>
      <w:hyperlink r:id="rId2000">
        <w:r>
          <w:rPr>
            <w:rStyle w:val="Hyperlink"/>
          </w:rPr>
          <w:t xml:space="preserve">[93]</w:t>
        </w:r>
      </w:hyperlink>
      <w:r>
        <w:t xml:space="preserve"> </w:t>
      </w:r>
      <w:hyperlink r:id="rId2001">
        <w:r>
          <w:rPr>
            <w:rStyle w:val="Hyperlink"/>
          </w:rPr>
          <w:t xml:space="preserve">[94]</w:t>
        </w:r>
      </w:hyperlink>
      <w:r>
        <w:t xml:space="preserve"> </w:t>
      </w:r>
      <w:hyperlink r:id="rId2003">
        <w:r>
          <w:rPr>
            <w:rStyle w:val="Hyperlink"/>
          </w:rPr>
          <w:t xml:space="preserve">[96]</w:t>
        </w:r>
      </w:hyperlink>
      <w:r>
        <w:t xml:space="preserve"> </w:t>
      </w:r>
      <w:hyperlink r:id="rId2004">
        <w:r>
          <w:rPr>
            <w:rStyle w:val="Hyperlink"/>
          </w:rPr>
          <w:t xml:space="preserve">[97]</w:t>
        </w:r>
      </w:hyperlink>
      <w:r>
        <w:t xml:space="preserve"> </w:t>
      </w:r>
      <w:hyperlink r:id="rId2005">
        <w:r>
          <w:rPr>
            <w:rStyle w:val="Hyperlink"/>
          </w:rPr>
          <w:t xml:space="preserve">[98]</w:t>
        </w:r>
      </w:hyperlink>
      <w:r>
        <w:t xml:space="preserve"> </w:t>
      </w:r>
      <w:hyperlink r:id="rId2013">
        <w:r>
          <w:rPr>
            <w:rStyle w:val="Hyperlink"/>
          </w:rPr>
          <w:t xml:space="preserve">[106]</w:t>
        </w:r>
      </w:hyperlink>
      <w:r>
        <w:t xml:space="preserve"> </w:t>
      </w:r>
      <w:r>
        <w:t xml:space="preserve">Collaborative Care 2.0: PMHNPs Leading the AI-Integrated Model</w:t>
      </w:r>
    </w:p>
    <w:p>
      <w:pPr>
        <w:pStyle w:val="BodyText"/>
      </w:pPr>
      <w:hyperlink r:id="rId2022">
        <w:r>
          <w:rPr>
            <w:rStyle w:val="Hyperlink"/>
          </w:rPr>
          <w:t xml:space="preserve">https://mtppsychiatry.com/collaborative-care-2-0-pmhnps-leading-the-ai-integrated-model/</w:t>
        </w:r>
      </w:hyperlink>
    </w:p>
    <w:p>
      <w:pPr>
        <w:pStyle w:val="BodyText"/>
      </w:pPr>
      <w:hyperlink r:id="rId1938">
        <w:r>
          <w:rPr>
            <w:rStyle w:val="Hyperlink"/>
          </w:rPr>
          <w:t xml:space="preserve">[33]</w:t>
        </w:r>
      </w:hyperlink>
      <w:r>
        <w:t xml:space="preserve"> </w:t>
      </w:r>
      <w:hyperlink r:id="rId1982">
        <w:r>
          <w:rPr>
            <w:rStyle w:val="Hyperlink"/>
          </w:rPr>
          <w:t xml:space="preserve">[75]</w:t>
        </w:r>
      </w:hyperlink>
      <w:r>
        <w:t xml:space="preserve"> </w:t>
      </w:r>
      <w:hyperlink r:id="rId1983">
        <w:r>
          <w:rPr>
            <w:rStyle w:val="Hyperlink"/>
          </w:rPr>
          <w:t xml:space="preserve">[76]</w:t>
        </w:r>
      </w:hyperlink>
      <w:r>
        <w:t xml:space="preserve"> </w:t>
      </w:r>
      <w:r>
        <w:t xml:space="preserve">[PDF] Implementation ’ Blended e-(mental) health in general practice’</w:t>
      </w:r>
    </w:p>
    <w:p>
      <w:pPr>
        <w:pStyle w:val="BodyText"/>
      </w:pPr>
      <w:hyperlink r:id="rId2023">
        <w:r>
          <w:rPr>
            <w:rStyle w:val="Hyperlink"/>
          </w:rPr>
          <w:t xml:space="preserve">https://www.trimbos.nl/docs/24fb7203-007a-40bd-a834-12ec311c2adc.pdf</w:t>
        </w:r>
      </w:hyperlink>
    </w:p>
    <w:p>
      <w:pPr>
        <w:pStyle w:val="BodyText"/>
      </w:pPr>
      <w:hyperlink r:id="rId1939">
        <w:r>
          <w:rPr>
            <w:rStyle w:val="Hyperlink"/>
          </w:rPr>
          <w:t xml:space="preserve">[34]</w:t>
        </w:r>
      </w:hyperlink>
      <w:r>
        <w:t xml:space="preserve"> </w:t>
      </w:r>
      <w:r>
        <w:t xml:space="preserve">[PDF] E-mental health in the Netherlands - de Nederlandse ggz</w:t>
      </w:r>
    </w:p>
    <w:p>
      <w:pPr>
        <w:pStyle w:val="BodyText"/>
      </w:pPr>
      <w:hyperlink r:id="rId2024">
        <w:r>
          <w:rPr>
            <w:rStyle w:val="Hyperlink"/>
          </w:rPr>
          <w:t xml:space="preserve">https://www-ggz-acc.azurewebsites.net/getmedia/46e02dab-717a-4a9a-a0a6-83366e7c0be0/ggznl-Factsheet-eHealth-English_14052013.pdf</w:t>
        </w:r>
      </w:hyperlink>
    </w:p>
    <w:p>
      <w:pPr>
        <w:pStyle w:val="BodyText"/>
      </w:pPr>
      <w:hyperlink r:id="rId1941">
        <w:r>
          <w:rPr>
            <w:rStyle w:val="Hyperlink"/>
          </w:rPr>
          <w:t xml:space="preserve">[36]</w:t>
        </w:r>
      </w:hyperlink>
      <w:r>
        <w:t xml:space="preserve"> </w:t>
      </w:r>
      <w:r>
        <w:t xml:space="preserve">Hospital Trends in the Use, Evaluation, and Governance of … - NCBI</w:t>
      </w:r>
    </w:p>
    <w:p>
      <w:pPr>
        <w:pStyle w:val="BodyText"/>
      </w:pPr>
      <w:hyperlink r:id="rId2025">
        <w:r>
          <w:rPr>
            <w:rStyle w:val="Hyperlink"/>
          </w:rPr>
          <w:t xml:space="preserve">https://www.ncbi.nlm.nih.gov/books/NBK618497/</w:t>
        </w:r>
      </w:hyperlink>
    </w:p>
    <w:p>
      <w:pPr>
        <w:pStyle w:val="BodyText"/>
      </w:pPr>
      <w:hyperlink r:id="rId1942">
        <w:r>
          <w:rPr>
            <w:rStyle w:val="Hyperlink"/>
          </w:rPr>
          <w:t xml:space="preserve">[37]</w:t>
        </w:r>
      </w:hyperlink>
      <w:r>
        <w:t xml:space="preserve"> </w:t>
      </w:r>
      <w:r>
        <w:t xml:space="preserve">[PDF] 2023 AHA Annual Survey Information Technology Supplement</w:t>
      </w:r>
    </w:p>
    <w:p>
      <w:pPr>
        <w:pStyle w:val="BodyText"/>
      </w:pPr>
      <w:hyperlink r:id="rId2026">
        <w:r>
          <w:rPr>
            <w:rStyle w:val="Hyperlink"/>
          </w:rPr>
          <w:t xml:space="preserve">https://www.ahadata.com/system/files/media/file/2024/04/2023-AHA-Annual-Survey-Information-Technology-Supplement.pdf</w:t>
        </w:r>
      </w:hyperlink>
    </w:p>
    <w:p>
      <w:pPr>
        <w:pStyle w:val="BodyText"/>
      </w:pPr>
      <w:hyperlink r:id="rId1944">
        <w:r>
          <w:rPr>
            <w:rStyle w:val="Hyperlink"/>
          </w:rPr>
          <w:t xml:space="preserve">[38]</w:t>
        </w:r>
      </w:hyperlink>
      <w:r>
        <w:t xml:space="preserve"> </w:t>
      </w:r>
      <w:r>
        <w:t xml:space="preserve">Pai.ACT: AI-Driven ACT Chatbot for Mental Health Triage and …</w:t>
      </w:r>
    </w:p>
    <w:p>
      <w:pPr>
        <w:pStyle w:val="BodyText"/>
      </w:pPr>
      <w:hyperlink r:id="rId2027">
        <w:r>
          <w:rPr>
            <w:rStyle w:val="Hyperlink"/>
          </w:rPr>
          <w:t xml:space="preserve">https://clinicaltrials.gov/study/NCT06808555</w:t>
        </w:r>
      </w:hyperlink>
    </w:p>
    <w:p>
      <w:pPr>
        <w:pStyle w:val="BodyText"/>
      </w:pPr>
      <w:hyperlink r:id="rId1947">
        <w:r>
          <w:rPr>
            <w:rStyle w:val="Hyperlink"/>
          </w:rPr>
          <w:t xml:space="preserve">[41]</w:t>
        </w:r>
      </w:hyperlink>
      <w:r>
        <w:t xml:space="preserve"> </w:t>
      </w:r>
      <w:r>
        <w:t xml:space="preserve">Can Artificial Intelligence Enhance European Emerging Adults … - NIH</w:t>
      </w:r>
    </w:p>
    <w:p>
      <w:pPr>
        <w:pStyle w:val="BodyText"/>
      </w:pPr>
      <w:hyperlink r:id="rId2028">
        <w:r>
          <w:rPr>
            <w:rStyle w:val="Hyperlink"/>
          </w:rPr>
          <w:t xml:space="preserve">https://pmc.ncbi.nlm.nih.gov/articles/PMC12649690/</w:t>
        </w:r>
      </w:hyperlink>
    </w:p>
    <w:p>
      <w:pPr>
        <w:pStyle w:val="BodyText"/>
      </w:pPr>
      <w:hyperlink r:id="rId1948">
        <w:r>
          <w:rPr>
            <w:rStyle w:val="Hyperlink"/>
          </w:rPr>
          <w:t xml:space="preserve">[42]</w:t>
        </w:r>
      </w:hyperlink>
      <w:r>
        <w:t xml:space="preserve"> </w:t>
      </w:r>
      <w:r>
        <w:t xml:space="preserve">L’intelligenza artificiale in psicologia e psichiatria - IPSICO, Firenze</w:t>
      </w:r>
    </w:p>
    <w:p>
      <w:pPr>
        <w:pStyle w:val="BodyText"/>
      </w:pPr>
      <w:hyperlink r:id="rId2029">
        <w:r>
          <w:rPr>
            <w:rStyle w:val="Hyperlink"/>
          </w:rPr>
          <w:t xml:space="preserve">https://ipsico.it/news/lintelligenza-artificiale-in-psicologia-e-psichiatria/</w:t>
        </w:r>
      </w:hyperlink>
    </w:p>
    <w:p>
      <w:pPr>
        <w:pStyle w:val="BodyText"/>
      </w:pPr>
      <w:hyperlink r:id="rId1953">
        <w:r>
          <w:rPr>
            <w:rStyle w:val="Hyperlink"/>
          </w:rPr>
          <w:t xml:space="preserve">[47]</w:t>
        </w:r>
      </w:hyperlink>
      <w:r>
        <w:t xml:space="preserve"> </w:t>
      </w:r>
      <w:r>
        <w:t xml:space="preserve">Psicologia e Intelligenza Artificiale: Italia protagonista</w:t>
      </w:r>
    </w:p>
    <w:p>
      <w:pPr>
        <w:pStyle w:val="BodyText"/>
      </w:pPr>
      <w:hyperlink r:id="rId2030">
        <w:r>
          <w:rPr>
            <w:rStyle w:val="Hyperlink"/>
          </w:rPr>
          <w:t xml:space="preserve">https://www.idego.it/co-adapt/psicologia-intelligenza-artificiale/</w:t>
        </w:r>
      </w:hyperlink>
    </w:p>
    <w:p>
      <w:pPr>
        <w:pStyle w:val="BodyText"/>
      </w:pPr>
      <w:hyperlink r:id="rId1954">
        <w:r>
          <w:rPr>
            <w:rStyle w:val="Hyperlink"/>
          </w:rPr>
          <w:t xml:space="preserve">[48]</w:t>
        </w:r>
      </w:hyperlink>
      <w:r>
        <w:t xml:space="preserve"> </w:t>
      </w:r>
      <w:hyperlink r:id="rId1955">
        <w:r>
          <w:rPr>
            <w:rStyle w:val="Hyperlink"/>
          </w:rPr>
          <w:t xml:space="preserve">[49]</w:t>
        </w:r>
      </w:hyperlink>
      <w:r>
        <w:t xml:space="preserve"> </w:t>
      </w:r>
      <w:r>
        <w:t xml:space="preserve">Artificial intelligence in mental health research: new WHO study on …</w:t>
      </w:r>
    </w:p>
    <w:p>
      <w:pPr>
        <w:pStyle w:val="BodyText"/>
      </w:pPr>
      <w:hyperlink r:id="rId2031">
        <w:r>
          <w:rPr>
            <w:rStyle w:val="Hyperlink"/>
          </w:rPr>
          <w:t xml:space="preserve">https://www.who.int/europe/news/item/06-02-2023-artificial-intelligence-in-mental-health-research–new-who-study-on-applications-and-challenges</w:t>
        </w:r>
      </w:hyperlink>
    </w:p>
    <w:p>
      <w:pPr>
        <w:pStyle w:val="BodyText"/>
      </w:pPr>
      <w:hyperlink r:id="rId1957">
        <w:r>
          <w:rPr>
            <w:rStyle w:val="Hyperlink"/>
          </w:rPr>
          <w:t xml:space="preserve">[50]</w:t>
        </w:r>
      </w:hyperlink>
      <w:r>
        <w:t xml:space="preserve"> </w:t>
      </w:r>
      <w:hyperlink r:id="rId1958">
        <w:r>
          <w:rPr>
            <w:rStyle w:val="Hyperlink"/>
          </w:rPr>
          <w:t xml:space="preserve">[51]</w:t>
        </w:r>
      </w:hyperlink>
      <w:r>
        <w:t xml:space="preserve"> </w:t>
      </w:r>
      <w:hyperlink r:id="rId1980">
        <w:r>
          <w:rPr>
            <w:rStyle w:val="Hyperlink"/>
          </w:rPr>
          <w:t xml:space="preserve">[73]</w:t>
        </w:r>
      </w:hyperlink>
      <w:r>
        <w:t xml:space="preserve"> </w:t>
      </w:r>
      <w:hyperlink r:id="rId1981">
        <w:r>
          <w:rPr>
            <w:rStyle w:val="Hyperlink"/>
          </w:rPr>
          <w:t xml:space="preserve">[74]</w:t>
        </w:r>
      </w:hyperlink>
      <w:r>
        <w:t xml:space="preserve"> </w:t>
      </w:r>
      <w:hyperlink r:id="rId1985">
        <w:r>
          <w:rPr>
            <w:rStyle w:val="Hyperlink"/>
          </w:rPr>
          <w:t xml:space="preserve">[78]</w:t>
        </w:r>
      </w:hyperlink>
      <w:r>
        <w:t xml:space="preserve"> </w:t>
      </w:r>
      <w:hyperlink r:id="rId1986">
        <w:r>
          <w:rPr>
            <w:rStyle w:val="Hyperlink"/>
          </w:rPr>
          <w:t xml:space="preserve">[79]</w:t>
        </w:r>
      </w:hyperlink>
      <w:r>
        <w:t xml:space="preserve"> </w:t>
      </w:r>
      <w:hyperlink r:id="rId1957">
        <w:r>
          <w:rPr>
            <w:rStyle w:val="Hyperlink"/>
          </w:rPr>
          <w:t xml:space="preserve">[108]</w:t>
        </w:r>
      </w:hyperlink>
      <w:r>
        <w:t xml:space="preserve"> </w:t>
      </w:r>
      <w:r>
        <w:t xml:space="preserve">Dutch mental health care explained — Kühler &amp; Partners</w:t>
      </w:r>
    </w:p>
    <w:p>
      <w:pPr>
        <w:pStyle w:val="BodyText"/>
      </w:pPr>
      <w:hyperlink r:id="rId2032">
        <w:r>
          <w:rPr>
            <w:rStyle w:val="Hyperlink"/>
          </w:rPr>
          <w:t xml:space="preserve">https://www.internationalmentalhealth.nl/blog/2019/9/14/dutch-mental-health-care-explained</w:t>
        </w:r>
      </w:hyperlink>
    </w:p>
    <w:p>
      <w:pPr>
        <w:pStyle w:val="BodyText"/>
      </w:pPr>
      <w:hyperlink r:id="rId1963">
        <w:r>
          <w:rPr>
            <w:rStyle w:val="Hyperlink"/>
          </w:rPr>
          <w:t xml:space="preserve">[55]</w:t>
        </w:r>
      </w:hyperlink>
      <w:r>
        <w:t xml:space="preserve"> </w:t>
      </w:r>
      <w:r>
        <w:t xml:space="preserve">Better Outcomes or Better Access — which was better for mental …</w:t>
      </w:r>
    </w:p>
    <w:p>
      <w:pPr>
        <w:pStyle w:val="BodyText"/>
      </w:pPr>
      <w:hyperlink r:id="rId2033">
        <w:r>
          <w:rPr>
            <w:rStyle w:val="Hyperlink"/>
          </w:rPr>
          <w:t xml:space="preserve">https://www.mja.com.au/journal/2012/197/3/better-outcomes-or-better-access-which-was-better-mental-health-care</w:t>
        </w:r>
      </w:hyperlink>
    </w:p>
    <w:p>
      <w:pPr>
        <w:pStyle w:val="BodyText"/>
      </w:pPr>
      <w:hyperlink r:id="rId1964">
        <w:r>
          <w:rPr>
            <w:rStyle w:val="Hyperlink"/>
          </w:rPr>
          <w:t xml:space="preserve">[56]</w:t>
        </w:r>
      </w:hyperlink>
      <w:r>
        <w:t xml:space="preserve"> </w:t>
      </w:r>
      <w:r>
        <w:t xml:space="preserve">Partners in Practice: Primary Care Physicians Define the Role of …</w:t>
      </w:r>
    </w:p>
    <w:p>
      <w:pPr>
        <w:pStyle w:val="BodyText"/>
      </w:pPr>
      <w:hyperlink r:id="rId2034">
        <w:r>
          <w:rPr>
            <w:rStyle w:val="Hyperlink"/>
          </w:rPr>
          <w:t xml:space="preserve">https://pmc.ncbi.nlm.nih.gov/articles/PMC12386139/</w:t>
        </w:r>
      </w:hyperlink>
    </w:p>
    <w:p>
      <w:pPr>
        <w:pStyle w:val="BodyText"/>
      </w:pPr>
      <w:hyperlink r:id="rId1965">
        <w:r>
          <w:rPr>
            <w:rStyle w:val="Hyperlink"/>
          </w:rPr>
          <w:t xml:space="preserve">[57]</w:t>
        </w:r>
      </w:hyperlink>
      <w:r>
        <w:t xml:space="preserve"> </w:t>
      </w:r>
      <w:hyperlink r:id="rId1965">
        <w:r>
          <w:rPr>
            <w:rStyle w:val="Hyperlink"/>
          </w:rPr>
          <w:t xml:space="preserve">[64]</w:t>
        </w:r>
      </w:hyperlink>
      <w:r>
        <w:t xml:space="preserve"> </w:t>
      </w:r>
      <w:r>
        <w:t xml:space="preserve">How Artificial Intelligence is Disrupting Medicine and What it Means …</w:t>
      </w:r>
    </w:p>
    <w:p>
      <w:pPr>
        <w:pStyle w:val="BodyText"/>
      </w:pPr>
      <w:hyperlink r:id="rId2035">
        <w:r>
          <w:rPr>
            <w:rStyle w:val="Hyperlink"/>
          </w:rPr>
          <w:t xml:space="preserve">https://learn.hms.harvard.edu/insights/all-insights/how-artificial-intelligence-disrupting-medicine-and-what-it-means-physicians</w:t>
        </w:r>
      </w:hyperlink>
    </w:p>
    <w:p>
      <w:pPr>
        <w:pStyle w:val="BodyText"/>
      </w:pPr>
      <w:hyperlink r:id="rId1966">
        <w:r>
          <w:rPr>
            <w:rStyle w:val="Hyperlink"/>
          </w:rPr>
          <w:t xml:space="preserve">[59]</w:t>
        </w:r>
      </w:hyperlink>
      <w:r>
        <w:t xml:space="preserve"> </w:t>
      </w:r>
      <w:hyperlink r:id="rId1967">
        <w:r>
          <w:rPr>
            <w:rStyle w:val="Hyperlink"/>
          </w:rPr>
          <w:t xml:space="preserve">[60]</w:t>
        </w:r>
      </w:hyperlink>
      <w:r>
        <w:t xml:space="preserve"> </w:t>
      </w:r>
      <w:hyperlink r:id="rId1966">
        <w:r>
          <w:rPr>
            <w:rStyle w:val="Hyperlink"/>
          </w:rPr>
          <w:t xml:space="preserve">[65]</w:t>
        </w:r>
      </w:hyperlink>
      <w:r>
        <w:t xml:space="preserve"> </w:t>
      </w:r>
      <w:hyperlink r:id="rId1973">
        <w:r>
          <w:rPr>
            <w:rStyle w:val="Hyperlink"/>
          </w:rPr>
          <w:t xml:space="preserve">[66]</w:t>
        </w:r>
      </w:hyperlink>
      <w:r>
        <w:t xml:space="preserve"> </w:t>
      </w:r>
      <w:hyperlink r:id="rId1974">
        <w:r>
          <w:rPr>
            <w:rStyle w:val="Hyperlink"/>
          </w:rPr>
          <w:t xml:space="preserve">[67]</w:t>
        </w:r>
      </w:hyperlink>
      <w:r>
        <w:t xml:space="preserve"> </w:t>
      </w:r>
      <w:hyperlink r:id="rId1975">
        <w:r>
          <w:rPr>
            <w:rStyle w:val="Hyperlink"/>
          </w:rPr>
          <w:t xml:space="preserve">[68]</w:t>
        </w:r>
      </w:hyperlink>
      <w:r>
        <w:t xml:space="preserve"> </w:t>
      </w:r>
      <w:hyperlink r:id="rId1976">
        <w:r>
          <w:rPr>
            <w:rStyle w:val="Hyperlink"/>
          </w:rPr>
          <w:t xml:space="preserve">[69]</w:t>
        </w:r>
      </w:hyperlink>
      <w:r>
        <w:t xml:space="preserve"> </w:t>
      </w:r>
      <w:hyperlink r:id="rId1977">
        <w:r>
          <w:rPr>
            <w:rStyle w:val="Hyperlink"/>
          </w:rPr>
          <w:t xml:space="preserve">[70]</w:t>
        </w:r>
      </w:hyperlink>
      <w:r>
        <w:t xml:space="preserve"> </w:t>
      </w:r>
      <w:hyperlink r:id="rId1979">
        <w:r>
          <w:rPr>
            <w:rStyle w:val="Hyperlink"/>
          </w:rPr>
          <w:t xml:space="preserve">[72]</w:t>
        </w:r>
      </w:hyperlink>
      <w:r>
        <w:t xml:space="preserve"> </w:t>
      </w:r>
      <w:hyperlink r:id="rId1975">
        <w:r>
          <w:rPr>
            <w:rStyle w:val="Hyperlink"/>
          </w:rPr>
          <w:t xml:space="preserve">[107]</w:t>
        </w:r>
      </w:hyperlink>
      <w:r>
        <w:t xml:space="preserve"> </w:t>
      </w:r>
      <w:r>
        <w:t xml:space="preserve">NHS England » IAPT at 10: Achievements and challenges</w:t>
      </w:r>
    </w:p>
    <w:p>
      <w:pPr>
        <w:pStyle w:val="BodyText"/>
      </w:pPr>
      <w:hyperlink r:id="rId2036">
        <w:r>
          <w:rPr>
            <w:rStyle w:val="Hyperlink"/>
          </w:rPr>
          <w:t xml:space="preserve">https://www.england.nhs.uk/blog/iapt-at-10-achievements-and-challenges/</w:t>
        </w:r>
      </w:hyperlink>
    </w:p>
    <w:p>
      <w:pPr>
        <w:pStyle w:val="BodyText"/>
      </w:pPr>
      <w:hyperlink r:id="rId1969">
        <w:r>
          <w:rPr>
            <w:rStyle w:val="Hyperlink"/>
          </w:rPr>
          <w:t xml:space="preserve">[61]</w:t>
        </w:r>
      </w:hyperlink>
      <w:r>
        <w:t xml:space="preserve"> </w:t>
      </w:r>
      <w:r>
        <w:t xml:space="preserve">Corso FAD. “Introduzione all’Intelligenza Artificiale per gli Operatori …</w:t>
      </w:r>
    </w:p>
    <w:p>
      <w:pPr>
        <w:pStyle w:val="BodyText"/>
      </w:pPr>
      <w:hyperlink r:id="rId2037">
        <w:r>
          <w:rPr>
            <w:rStyle w:val="Hyperlink"/>
          </w:rPr>
          <w:t xml:space="preserve">https://portale.fnomceo.it/corso-fad-intro-allintelligenza-artificiale-per-gli-operatori-sanitari/</w:t>
        </w:r>
      </w:hyperlink>
    </w:p>
    <w:p>
      <w:pPr>
        <w:pStyle w:val="BodyText"/>
      </w:pPr>
      <w:hyperlink r:id="rId1970">
        <w:r>
          <w:rPr>
            <w:rStyle w:val="Hyperlink"/>
          </w:rPr>
          <w:t xml:space="preserve">[62]</w:t>
        </w:r>
      </w:hyperlink>
      <w:r>
        <w:t xml:space="preserve"> </w:t>
      </w:r>
      <w:r>
        <w:t xml:space="preserve">Competencies for the Use of Artificial Intelligence in Primary Care</w:t>
      </w:r>
    </w:p>
    <w:p>
      <w:pPr>
        <w:pStyle w:val="BodyText"/>
      </w:pPr>
      <w:hyperlink r:id="rId2038">
        <w:r>
          <w:rPr>
            <w:rStyle w:val="Hyperlink"/>
          </w:rPr>
          <w:t xml:space="preserve">https://www.theabfm.org/research/research-library/competencies-for-the-use-of-artificial-intelligence-in-primary-care/</w:t>
        </w:r>
      </w:hyperlink>
    </w:p>
    <w:p>
      <w:pPr>
        <w:pStyle w:val="BodyText"/>
      </w:pPr>
      <w:hyperlink r:id="rId1971">
        <w:r>
          <w:rPr>
            <w:rStyle w:val="Hyperlink"/>
          </w:rPr>
          <w:t xml:space="preserve">[63]</w:t>
        </w:r>
      </w:hyperlink>
      <w:r>
        <w:t xml:space="preserve"> </w:t>
      </w:r>
      <w:r>
        <w:t xml:space="preserve">Bridging the Gap: Transforming Primary Care Through the Artificial …</w:t>
      </w:r>
    </w:p>
    <w:p>
      <w:pPr>
        <w:pStyle w:val="BodyText"/>
      </w:pPr>
      <w:hyperlink r:id="rId2039">
        <w:r>
          <w:rPr>
            <w:rStyle w:val="Hyperlink"/>
          </w:rPr>
          <w:t xml:space="preserve">https://www.annfammed.org/content/22/6/570</w:t>
        </w:r>
      </w:hyperlink>
    </w:p>
    <w:p>
      <w:pPr>
        <w:pStyle w:val="BodyText"/>
      </w:pPr>
      <w:hyperlink r:id="rId1978">
        <w:r>
          <w:rPr>
            <w:rStyle w:val="Hyperlink"/>
          </w:rPr>
          <w:t xml:space="preserve">[71]</w:t>
        </w:r>
      </w:hyperlink>
      <w:r>
        <w:t xml:space="preserve"> </w:t>
      </w:r>
      <w:hyperlink r:id="rId1992">
        <w:r>
          <w:rPr>
            <w:rStyle w:val="Hyperlink"/>
          </w:rPr>
          <w:t xml:space="preserve">[85]</w:t>
        </w:r>
      </w:hyperlink>
      <w:r>
        <w:t xml:space="preserve"> </w:t>
      </w:r>
      <w:hyperlink r:id="rId1993">
        <w:r>
          <w:rPr>
            <w:rStyle w:val="Hyperlink"/>
          </w:rPr>
          <w:t xml:space="preserve">[86]</w:t>
        </w:r>
      </w:hyperlink>
      <w:r>
        <w:t xml:space="preserve"> </w:t>
      </w:r>
      <w:hyperlink r:id="rId1994">
        <w:r>
          <w:rPr>
            <w:rStyle w:val="Hyperlink"/>
          </w:rPr>
          <w:t xml:space="preserve">[87]</w:t>
        </w:r>
      </w:hyperlink>
      <w:r>
        <w:t xml:space="preserve"> </w:t>
      </w:r>
      <w:hyperlink r:id="rId1995">
        <w:r>
          <w:rPr>
            <w:rStyle w:val="Hyperlink"/>
          </w:rPr>
          <w:t xml:space="preserve">[88]</w:t>
        </w:r>
      </w:hyperlink>
      <w:r>
        <w:t xml:space="preserve"> </w:t>
      </w:r>
      <w:r>
        <w:t xml:space="preserve">Low-intensity digital mental health service promised in federal budget falls short of what’s needed, psych groups say - ABC News</w:t>
      </w:r>
    </w:p>
    <w:p>
      <w:pPr>
        <w:pStyle w:val="BodyText"/>
      </w:pPr>
      <w:hyperlink r:id="rId2040">
        <w:r>
          <w:rPr>
            <w:rStyle w:val="Hyperlink"/>
          </w:rPr>
          <w:t xml:space="preserve">https://www.abc.net.au/news/2024-05-16/digital-mental-health-services-falls-short-say-psych-groups/103852996</w:t>
        </w:r>
      </w:hyperlink>
    </w:p>
    <w:p>
      <w:pPr>
        <w:pStyle w:val="BodyText"/>
      </w:pPr>
      <w:hyperlink r:id="rId1984">
        <w:r>
          <w:rPr>
            <w:rStyle w:val="Hyperlink"/>
          </w:rPr>
          <w:t xml:space="preserve">[77]</w:t>
        </w:r>
      </w:hyperlink>
      <w:r>
        <w:t xml:space="preserve"> </w:t>
      </w:r>
      <w:r>
        <w:t xml:space="preserve">Online Consultations Between General Practitioners and … - Frontiers</w:t>
      </w:r>
    </w:p>
    <w:p>
      <w:pPr>
        <w:pStyle w:val="BodyText"/>
      </w:pPr>
      <w:hyperlink r:id="rId2041">
        <w:r>
          <w:rPr>
            <w:rStyle w:val="Hyperlink"/>
          </w:rPr>
          <w:t xml:space="preserve">https://www.frontiersin.org/journals/psychiatry/articles/10.3389/fpsyt.2021.775738/full</w:t>
        </w:r>
      </w:hyperlink>
    </w:p>
    <w:p>
      <w:pPr>
        <w:pStyle w:val="BodyText"/>
      </w:pPr>
      <w:hyperlink r:id="rId1987">
        <w:r>
          <w:rPr>
            <w:rStyle w:val="Hyperlink"/>
          </w:rPr>
          <w:t xml:space="preserve">[80]</w:t>
        </w:r>
      </w:hyperlink>
      <w:r>
        <w:t xml:space="preserve"> </w:t>
      </w:r>
      <w:r>
        <w:t xml:space="preserve">How We Got Here: A Contextual Review of the Better Access Initiative</w:t>
      </w:r>
    </w:p>
    <w:p>
      <w:pPr>
        <w:pStyle w:val="BodyText"/>
      </w:pPr>
      <w:hyperlink r:id="rId2042">
        <w:r>
          <w:rPr>
            <w:rStyle w:val="Hyperlink"/>
          </w:rPr>
          <w:t xml:space="preserve">https://pacja.org.au/article/77927-how-we-got-here-a-contextual-review-of-the-better-access-initiative</w:t>
        </w:r>
      </w:hyperlink>
    </w:p>
    <w:p>
      <w:pPr>
        <w:pStyle w:val="BodyText"/>
      </w:pPr>
      <w:hyperlink r:id="rId1988">
        <w:r>
          <w:rPr>
            <w:rStyle w:val="Hyperlink"/>
          </w:rPr>
          <w:t xml:space="preserve">[81]</w:t>
        </w:r>
      </w:hyperlink>
      <w:r>
        <w:t xml:space="preserve"> </w:t>
      </w:r>
      <w:r>
        <w:t xml:space="preserve">an observational study of registrants of the Australian MindSpot Clinic</w:t>
      </w:r>
    </w:p>
    <w:p>
      <w:pPr>
        <w:pStyle w:val="BodyText"/>
      </w:pPr>
      <w:hyperlink r:id="rId2043">
        <w:r>
          <w:rPr>
            <w:rStyle w:val="Hyperlink"/>
          </w:rPr>
          <w:t xml:space="preserve">https://pmc.ncbi.nlm.nih.gov/articles/PMC7571905/</w:t>
        </w:r>
      </w:hyperlink>
    </w:p>
    <w:p>
      <w:pPr>
        <w:pStyle w:val="BodyText"/>
      </w:pPr>
      <w:hyperlink r:id="rId1989">
        <w:r>
          <w:rPr>
            <w:rStyle w:val="Hyperlink"/>
          </w:rPr>
          <w:t xml:space="preserve">[82]</w:t>
        </w:r>
      </w:hyperlink>
      <w:r>
        <w:t xml:space="preserve"> </w:t>
      </w:r>
      <w:r>
        <w:t xml:space="preserve">MindSpot: a valuable service that raises questions - The Lancet</w:t>
      </w:r>
    </w:p>
    <w:p>
      <w:pPr>
        <w:pStyle w:val="BodyText"/>
      </w:pPr>
      <w:hyperlink r:id="rId2044">
        <w:r>
          <w:rPr>
            <w:rStyle w:val="Hyperlink"/>
          </w:rPr>
          <w:t xml:space="preserve">https://www.thelancet.com/journals/landig/article/PIIS2589-7500(20)30248-X/fulltext</w:t>
        </w:r>
      </w:hyperlink>
    </w:p>
    <w:p>
      <w:pPr>
        <w:pStyle w:val="BodyText"/>
      </w:pPr>
      <w:hyperlink r:id="rId1990">
        <w:r>
          <w:rPr>
            <w:rStyle w:val="Hyperlink"/>
          </w:rPr>
          <w:t xml:space="preserve">[83]</w:t>
        </w:r>
      </w:hyperlink>
      <w:r>
        <w:t xml:space="preserve"> </w:t>
      </w:r>
      <w:hyperlink r:id="rId1991">
        <w:r>
          <w:rPr>
            <w:rStyle w:val="Hyperlink"/>
          </w:rPr>
          <w:t xml:space="preserve">[84]</w:t>
        </w:r>
      </w:hyperlink>
      <w:r>
        <w:t xml:space="preserve"> </w:t>
      </w:r>
      <w:r>
        <w:t xml:space="preserve">Digital Health for Australia: Bridging the Rural, Regional, and …</w:t>
      </w:r>
    </w:p>
    <w:p>
      <w:pPr>
        <w:pStyle w:val="BodyText"/>
      </w:pPr>
      <w:hyperlink r:id="rId2045">
        <w:r>
          <w:rPr>
            <w:rStyle w:val="Hyperlink"/>
          </w:rPr>
          <w:t xml:space="preserve">https://www.i-jmr.org/2025/1/e67460</w:t>
        </w:r>
      </w:hyperlink>
    </w:p>
    <w:p>
      <w:pPr>
        <w:pStyle w:val="BodyText"/>
      </w:pPr>
      <w:hyperlink r:id="rId1996">
        <w:r>
          <w:rPr>
            <w:rStyle w:val="Hyperlink"/>
          </w:rPr>
          <w:t xml:space="preserve">[89]</w:t>
        </w:r>
      </w:hyperlink>
      <w:r>
        <w:t xml:space="preserve"> </w:t>
      </w:r>
      <w:r>
        <w:t xml:space="preserve">Leveraging collaborative care to improve access to mental health …</w:t>
      </w:r>
    </w:p>
    <w:p>
      <w:pPr>
        <w:pStyle w:val="BodyText"/>
      </w:pPr>
      <w:hyperlink r:id="rId2046">
        <w:r>
          <w:rPr>
            <w:rStyle w:val="Hyperlink"/>
          </w:rPr>
          <w:t xml:space="preserve">https://pmc.ncbi.nlm.nih.gov/articles/PMC6953542/</w:t>
        </w:r>
      </w:hyperlink>
    </w:p>
    <w:p>
      <w:r>
        <w:br w:type="page"/>
      </w:r>
    </w:p>
    <w:bookmarkEnd w:id="2047"/>
    <w:bookmarkEnd w:id="2048"/>
    <w:bookmarkEnd w:id="2049"/>
    <w:bookmarkStart w:id="2094" w:name="X37c536c82e9028ab863213c66544155565480e6"/>
    <w:p>
      <w:pPr>
        <w:pStyle w:val="Heading1"/>
      </w:pPr>
      <w:r>
        <w:t xml:space="preserve">Appendice XX — L’innesto dell’Intelligenza Artificiale nella riduzione dei costi diretti</w:t>
      </w:r>
    </w:p>
    <w:bookmarkStart w:id="2093" w:name="X7709854c13b3e9e8e07867472b78c5b635ac206"/>
    <w:p>
      <w:pPr>
        <w:pStyle w:val="Heading2"/>
      </w:pPr>
      <w:r>
        <w:t xml:space="preserve">Integrazione dell’IA nel modello</w:t>
      </w:r>
      <w:r>
        <w:t xml:space="preserve"> </w:t>
      </w:r>
      <w:r>
        <w:t xml:space="preserve">“</w:t>
      </w:r>
      <w:r>
        <w:t xml:space="preserve">Psicologo di Base</w:t>
      </w:r>
      <w:r>
        <w:t xml:space="preserve">”</w:t>
      </w:r>
      <w:r>
        <w:t xml:space="preserve"> </w:t>
      </w:r>
      <w:r>
        <w:t xml:space="preserve">e riduzione dei costi diretti</w:t>
      </w:r>
    </w:p>
    <w:bookmarkStart w:id="2050" w:name="introduzione-13"/>
    <w:p>
      <w:pPr>
        <w:pStyle w:val="Heading3"/>
      </w:pPr>
      <w:r>
        <w:t xml:space="preserve">Introduzione</w:t>
      </w:r>
    </w:p>
    <w:p>
      <w:pPr>
        <w:pStyle w:val="FirstParagraph"/>
      </w:pPr>
      <w:r>
        <w:t xml:space="preserve">Il progetto</w:t>
      </w:r>
      <w:r>
        <w:t xml:space="preserve"> </w:t>
      </w:r>
      <w:r>
        <w:rPr>
          <w:b/>
          <w:bCs/>
        </w:rPr>
        <w:t xml:space="preserve">Psicologo di Base</w:t>
      </w:r>
      <w:r>
        <w:t xml:space="preserve"> </w:t>
      </w:r>
      <w:r>
        <w:t xml:space="preserve">della Regione Puglia prevede l’inserimento di psicologi nelle cure primarie, con un investimento annuo stimato di circa €39–43 milioni (800–900 psicologi FTE) nel modello attuale senza Intelligenza Artificiale (IA)[1][2]. In questa analisi valutiamo</w:t>
      </w:r>
      <w:r>
        <w:t xml:space="preserve"> </w:t>
      </w:r>
      <w:r>
        <w:rPr>
          <w:b/>
          <w:bCs/>
        </w:rPr>
        <w:t xml:space="preserve">come l’integrazione sistematica di soluzioni di IA</w:t>
      </w:r>
      <w:r>
        <w:t xml:space="preserve"> </w:t>
      </w:r>
      <w:r>
        <w:t xml:space="preserve">possa aumentare l’efficienza del modello organizzativo,</w:t>
      </w:r>
      <w:r>
        <w:t xml:space="preserve"> </w:t>
      </w:r>
      <w:r>
        <w:rPr>
          <w:i/>
          <w:iCs/>
        </w:rPr>
        <w:t xml:space="preserve">riducendo i costi diretti</w:t>
      </w:r>
      <w:r>
        <w:t xml:space="preserve"> </w:t>
      </w:r>
      <w:r>
        <w:t xml:space="preserve">in Capitolo 4 senza compromettere la qualità dell’assistenza. Verranno esaminate le principali voci di costo (personale, infrastrutture, tecnologie, piattaforme, gestione dati, materiali, amministrazione) evidenziando per ciascuna i potenziali risparmi ottenibili tramite automazione, semplificazione dei processi e ottimizzazione data-driven. Si confronteranno due scenari –</w:t>
      </w:r>
      <w:r>
        <w:t xml:space="preserve"> </w:t>
      </w:r>
      <w:r>
        <w:rPr>
          <w:b/>
          <w:bCs/>
        </w:rPr>
        <w:t xml:space="preserve">baseline</w:t>
      </w:r>
      <w:r>
        <w:t xml:space="preserve"> </w:t>
      </w:r>
      <w:r>
        <w:t xml:space="preserve">(Psicologo di Base tradizionale) vs</w:t>
      </w:r>
      <w:r>
        <w:t xml:space="preserve"> </w:t>
      </w:r>
      <w:r>
        <w:rPr>
          <w:b/>
          <w:bCs/>
        </w:rPr>
        <w:t xml:space="preserve">IA-enhanced</w:t>
      </w:r>
      <w:r>
        <w:t xml:space="preserve"> </w:t>
      </w:r>
      <w:r>
        <w:t xml:space="preserve">(con processi clinici e gestionali supportati da IA) – quantificando per ogni voce di costo le economie annuali possibili in euro. Inoltre, identificheremo soluzioni di IA già disponibili sul mercato o sviluppabili per il contesto pugliese, con indicazione dei costi di implementazione (licenze, manutenzione, formazione) e analizzeremo il ritorno sull’investimento (ROI) atteso sia nel</w:t>
      </w:r>
      <w:r>
        <w:t xml:space="preserve"> </w:t>
      </w:r>
      <w:r>
        <w:rPr>
          <w:b/>
          <w:bCs/>
        </w:rPr>
        <w:t xml:space="preserve">breve termine (1–3 anni)</w:t>
      </w:r>
      <w:r>
        <w:t xml:space="preserve"> </w:t>
      </w:r>
      <w:r>
        <w:t xml:space="preserve">che nel</w:t>
      </w:r>
      <w:r>
        <w:t xml:space="preserve"> </w:t>
      </w:r>
      <w:r>
        <w:rPr>
          <w:b/>
          <w:bCs/>
        </w:rPr>
        <w:t xml:space="preserve">lungo termine (5–10 anni)</w:t>
      </w:r>
      <w:r>
        <w:t xml:space="preserve">. Infine, forniremo</w:t>
      </w:r>
      <w:r>
        <w:t xml:space="preserve"> </w:t>
      </w:r>
      <w:r>
        <w:rPr>
          <w:b/>
          <w:bCs/>
        </w:rPr>
        <w:t xml:space="preserve">benchmark internazionali</w:t>
      </w:r>
      <w:r>
        <w:t xml:space="preserve"> </w:t>
      </w:r>
      <w:r>
        <w:t xml:space="preserve">(NHS UK, POH-GGZ NL, CoCM USA, Better Access AU) sulle esperienze di adozione dell’IA in ambito psicologico primario, e proporremo</w:t>
      </w:r>
      <w:r>
        <w:t xml:space="preserve"> </w:t>
      </w:r>
      <w:r>
        <w:rPr>
          <w:b/>
          <w:bCs/>
        </w:rPr>
        <w:t xml:space="preserve">raccomandazioni tecniche</w:t>
      </w:r>
      <w:r>
        <w:t xml:space="preserve"> </w:t>
      </w:r>
      <w:r>
        <w:t xml:space="preserve">per la Regione Puglia su priorità, moduli IA da implementare e possibili partner tecnologici.</w:t>
      </w:r>
    </w:p>
    <w:bookmarkEnd w:id="2050"/>
    <w:bookmarkStart w:id="2059" w:name="Xbd01deffa2190bd5c54303d1eca9794d2a9acdf"/>
    <w:p>
      <w:pPr>
        <w:pStyle w:val="Heading3"/>
      </w:pPr>
      <w:r>
        <w:t xml:space="preserve">Voci di costo diretto e contributo dell’IA all’efficienza</w:t>
      </w:r>
    </w:p>
    <w:p>
      <w:pPr>
        <w:pStyle w:val="FirstParagraph"/>
      </w:pPr>
      <w:r>
        <w:t xml:space="preserve">Le principali voci di costo diretto nel modello attuale comprendono:</w:t>
      </w:r>
      <w:r>
        <w:t xml:space="preserve"> </w:t>
      </w:r>
      <w:r>
        <w:rPr>
          <w:b/>
          <w:bCs/>
        </w:rPr>
        <w:t xml:space="preserve">personale clinico</w:t>
      </w:r>
      <w:r>
        <w:t xml:space="preserve">,</w:t>
      </w:r>
      <w:r>
        <w:t xml:space="preserve"> </w:t>
      </w:r>
      <w:r>
        <w:rPr>
          <w:b/>
          <w:bCs/>
        </w:rPr>
        <w:t xml:space="preserve">personale amministrativo</w:t>
      </w:r>
      <w:r>
        <w:t xml:space="preserve">,</w:t>
      </w:r>
      <w:r>
        <w:t xml:space="preserve"> </w:t>
      </w:r>
      <w:r>
        <w:rPr>
          <w:b/>
          <w:bCs/>
        </w:rPr>
        <w:t xml:space="preserve">infrastrutture</w:t>
      </w:r>
      <w:r>
        <w:t xml:space="preserve">,</w:t>
      </w:r>
      <w:r>
        <w:t xml:space="preserve"> </w:t>
      </w:r>
      <w:r>
        <w:rPr>
          <w:b/>
          <w:bCs/>
        </w:rPr>
        <w:t xml:space="preserve">sistemi tecnologici e piattaforme digitali</w:t>
      </w:r>
      <w:r>
        <w:t xml:space="preserve">,</w:t>
      </w:r>
      <w:r>
        <w:t xml:space="preserve"> </w:t>
      </w:r>
      <w:r>
        <w:rPr>
          <w:b/>
          <w:bCs/>
        </w:rPr>
        <w:t xml:space="preserve">gestione dei dati</w:t>
      </w:r>
      <w:r>
        <w:t xml:space="preserve">,</w:t>
      </w:r>
      <w:r>
        <w:t xml:space="preserve"> </w:t>
      </w:r>
      <w:r>
        <w:rPr>
          <w:b/>
          <w:bCs/>
        </w:rPr>
        <w:t xml:space="preserve">materiali</w:t>
      </w:r>
      <w:r>
        <w:t xml:space="preserve"> </w:t>
      </w:r>
      <w:r>
        <w:t xml:space="preserve">e</w:t>
      </w:r>
      <w:r>
        <w:t xml:space="preserve"> </w:t>
      </w:r>
      <w:r>
        <w:rPr>
          <w:b/>
          <w:bCs/>
        </w:rPr>
        <w:t xml:space="preserve">attività amministrative</w:t>
      </w:r>
      <w:r>
        <w:t xml:space="preserve"> </w:t>
      </w:r>
      <w:r>
        <w:t xml:space="preserve">generali[3][4]. Di seguito analizziamo ciascuna voce, evidenziando come l’IA può incidere in termini di efficienza, automazione, riduzione di ore-uomo, semplificazione dei processi, interoperabilità e ottimizzazione delle risorse:</w:t>
      </w:r>
    </w:p>
    <w:p>
      <w:pPr>
        <w:numPr>
          <w:ilvl w:val="0"/>
          <w:numId w:val="1010"/>
        </w:numPr>
      </w:pPr>
      <w:r>
        <w:rPr>
          <w:b/>
          <w:bCs/>
        </w:rPr>
        <w:t xml:space="preserve">Personale clinico (psicologi di base)</w:t>
      </w:r>
      <w:r>
        <w:t xml:space="preserve"> </w:t>
      </w:r>
      <w:r>
        <w:t xml:space="preserve">– Questa è la componente di costo più rilevante (circa €30,9 milioni annui per 800 psicologi FTE nello scenario base)[3]. L’IA può</w:t>
      </w:r>
      <w:r>
        <w:t xml:space="preserve"> </w:t>
      </w:r>
      <w:r>
        <w:rPr>
          <w:b/>
          <w:bCs/>
        </w:rPr>
        <w:t xml:space="preserve">aumentare la produttività per operatore</w:t>
      </w:r>
      <w:r>
        <w:t xml:space="preserve"> </w:t>
      </w:r>
      <w:r>
        <w:t xml:space="preserve">e contenere la necessità di nuove assunzioni: ad esempio automatizzando attività a basso valore aggiunto (compilazione schede, trascrizioni, screening preliminari) si libera tempo ai professionisti, che possono seguire più pazienti nelle stesse ore. Un’analisi interna suggerisce che se ogni psicologo potesse vedere</w:t>
      </w:r>
      <w:r>
        <w:t xml:space="preserve"> </w:t>
      </w:r>
      <w:r>
        <w:rPr>
          <w:i/>
          <w:iCs/>
        </w:rPr>
        <w:t xml:space="preserve">10 pazienti a settimana invece di 8 grazie all’IA</w:t>
      </w:r>
      <w:r>
        <w:t xml:space="preserve"> </w:t>
      </w:r>
      <w:r>
        <w:t xml:space="preserve">(≈25% di capacità in più), la stessa domanda potrebbe essere coperta con meno personale addizionale[5]. In concreto, strumenti di</w:t>
      </w:r>
      <w:r>
        <w:t xml:space="preserve"> </w:t>
      </w:r>
      <w:r>
        <w:rPr>
          <w:b/>
          <w:bCs/>
        </w:rPr>
        <w:t xml:space="preserve">triage digitale</w:t>
      </w:r>
      <w:r>
        <w:t xml:space="preserve"> </w:t>
      </w:r>
      <w:r>
        <w:t xml:space="preserve">e valutazione iniziale automatizzata riducono il carico sul clinico nelle fasi preliminari: il chatbot clinico</w:t>
      </w:r>
      <w:r>
        <w:t xml:space="preserve"> </w:t>
      </w:r>
      <w:r>
        <w:rPr>
          <w:i/>
          <w:iCs/>
        </w:rPr>
        <w:t xml:space="preserve">Limbic</w:t>
      </w:r>
      <w:r>
        <w:t xml:space="preserve"> </w:t>
      </w:r>
      <w:r>
        <w:t xml:space="preserve">adottato dall’NHS, ad esempio, abbrevia del 23,5% il tempo di assessment per ogni nuovo caso (risparmiando ~12,7 minuti per valutazione)</w:t>
      </w:r>
      <w:hyperlink r:id="rId2051">
        <w:r>
          <w:rPr>
            <w:rStyle w:val="Hyperlink"/>
          </w:rPr>
          <w:t xml:space="preserve">[6]</w:t>
        </w:r>
      </w:hyperlink>
      <w:r>
        <w:t xml:space="preserve">, cumulando migliaia di ore cliniche risparmiate. Tali efficienze permettono agli psicologi di concentrarsi sull’intervento terapeutico, riducendo al contempo straordinari e burnout.</w:t>
      </w:r>
      <w:r>
        <w:t xml:space="preserve"> </w:t>
      </w:r>
      <w:r>
        <w:rPr>
          <w:b/>
          <w:bCs/>
        </w:rPr>
        <w:t xml:space="preserve">Migliorare i tassi di retention del personale</w:t>
      </w:r>
      <w:r>
        <w:t xml:space="preserve"> </w:t>
      </w:r>
      <w:r>
        <w:t xml:space="preserve">è un ulteriore beneficio economico: l’IA può attenuare il carico di lavoro ripetitivo (es. stesura di report, burocrazia), con effetti positivi sulla soddisfazione lavorativa e sul turnover</w:t>
      </w:r>
      <w:hyperlink r:id="rId2052">
        <w:r>
          <w:rPr>
            <w:rStyle w:val="Hyperlink"/>
          </w:rPr>
          <w:t xml:space="preserve">[7]</w:t>
        </w:r>
      </w:hyperlink>
      <w:r>
        <w:t xml:space="preserve">. Ogni psicologo mantenuto in organico evita costi di sostituzione e formazione di decine di migliaia di euro, oltre a preservare la continuità assistenziale. In sintesi, pur non sostituendo il professionista, l’IA</w:t>
      </w:r>
      <w:r>
        <w:t xml:space="preserve"> </w:t>
      </w:r>
      <w:r>
        <w:rPr>
          <w:i/>
          <w:iCs/>
        </w:rPr>
        <w:t xml:space="preserve">diventa un</w:t>
      </w:r>
      <w:r>
        <w:rPr>
          <w:i/>
          <w:iCs/>
        </w:rPr>
        <w:t xml:space="preserve"> </w:t>
      </w:r>
      <w:r>
        <w:rPr>
          <w:i/>
          <w:iCs/>
        </w:rPr>
        <w:t xml:space="preserve">“</w:t>
      </w:r>
      <w:r>
        <w:rPr>
          <w:i/>
          <w:iCs/>
        </w:rPr>
        <w:t xml:space="preserve">amplificatore</w:t>
      </w:r>
      <w:r>
        <w:rPr>
          <w:i/>
          <w:iCs/>
        </w:rPr>
        <w:t xml:space="preserve">”</w:t>
      </w:r>
      <w:r>
        <w:rPr>
          <w:i/>
          <w:iCs/>
        </w:rPr>
        <w:t xml:space="preserve"> </w:t>
      </w:r>
      <w:r>
        <w:rPr>
          <w:i/>
          <w:iCs/>
        </w:rPr>
        <w:t xml:space="preserve">della sua capacità produttiva</w:t>
      </w:r>
      <w:r>
        <w:t xml:space="preserve">, consentendo di trattare più pazienti a parità di organico e di</w:t>
      </w:r>
      <w:r>
        <w:t xml:space="preserve"> </w:t>
      </w:r>
      <w:r>
        <w:rPr>
          <w:b/>
          <w:bCs/>
        </w:rPr>
        <w:t xml:space="preserve">ottimizzare la spesa per personale</w:t>
      </w:r>
      <w:r>
        <w:t xml:space="preserve"> </w:t>
      </w:r>
      <w:r>
        <w:t xml:space="preserve">nel medio-lungo termine.</w:t>
      </w:r>
    </w:p>
    <w:p>
      <w:pPr>
        <w:numPr>
          <w:ilvl w:val="0"/>
          <w:numId w:val="1010"/>
        </w:numPr>
      </w:pPr>
      <w:r>
        <w:rPr>
          <w:b/>
          <w:bCs/>
        </w:rPr>
        <w:t xml:space="preserve">Personale di supporto e amministrativo</w:t>
      </w:r>
      <w:r>
        <w:t xml:space="preserve"> </w:t>
      </w:r>
      <w:r>
        <w:t xml:space="preserve">– Il modello base prevede ~120 FTE amministrativi (15% degli FTE clinici) dedicati a gestione agende, chiamate, data entry, fatturazione interna, ecc., per un costo stimato di €4,2 milioni/anno[8]. Questa è un’area chiave dove l’IA può incidere con automazione massiccia,</w:t>
      </w:r>
      <w:r>
        <w:t xml:space="preserve"> </w:t>
      </w:r>
      <w:r>
        <w:rPr>
          <w:b/>
          <w:bCs/>
        </w:rPr>
        <w:t xml:space="preserve">riducendo le ore-uomo necessarie</w:t>
      </w:r>
      <w:r>
        <w:t xml:space="preserve">. Studi internazionali indicano che</w:t>
      </w:r>
      <w:r>
        <w:t xml:space="preserve"> </w:t>
      </w:r>
      <w:r>
        <w:rPr>
          <w:i/>
          <w:iCs/>
        </w:rPr>
        <w:t xml:space="preserve">quasi la metà delle attività amministrative sanitarie sono automatizzabili</w:t>
      </w:r>
      <w:r>
        <w:t xml:space="preserve"> </w:t>
      </w:r>
      <w:r>
        <w:t xml:space="preserve">tramite AI/NLP</w:t>
      </w:r>
      <w:hyperlink r:id="rId2053">
        <w:r>
          <w:rPr>
            <w:rStyle w:val="Hyperlink"/>
          </w:rPr>
          <w:t xml:space="preserve">[9]</w:t>
        </w:r>
      </w:hyperlink>
      <w:r>
        <w:t xml:space="preserve">. Ad esempio,</w:t>
      </w:r>
      <w:r>
        <w:t xml:space="preserve"> </w:t>
      </w:r>
      <w:r>
        <w:rPr>
          <w:b/>
          <w:bCs/>
        </w:rPr>
        <w:t xml:space="preserve">sistemi di prenotazione intelligente e call center virtuali</w:t>
      </w:r>
      <w:r>
        <w:t xml:space="preserve"> </w:t>
      </w:r>
      <w:r>
        <w:t xml:space="preserve">possono gestire in autonomia la maggior parte delle interazioni di routine con i pazienti: un grande ospedale che ha implementato un sistema IA per le chiamate in entrata è riuscito a far gestire all’IA l’80% delle telefonate, ottenendo una riduzione del</w:t>
      </w:r>
      <w:r>
        <w:t xml:space="preserve"> </w:t>
      </w:r>
      <w:r>
        <w:rPr>
          <w:i/>
          <w:iCs/>
        </w:rPr>
        <w:t xml:space="preserve">66% dei costi del call center</w:t>
      </w:r>
      <w:hyperlink r:id="rId2054">
        <w:r>
          <w:rPr>
            <w:rStyle w:val="Hyperlink"/>
          </w:rPr>
          <w:t xml:space="preserve">[10]</w:t>
        </w:r>
      </w:hyperlink>
      <w:r>
        <w:t xml:space="preserve">. In termini pratici, se una ASL spende ~€800.000/anno per centralini, una riduzione del 66% equivale a oltre</w:t>
      </w:r>
      <w:r>
        <w:t xml:space="preserve"> </w:t>
      </w:r>
      <w:r>
        <w:rPr>
          <w:b/>
          <w:bCs/>
        </w:rPr>
        <w:t xml:space="preserve">€500.000 risparmiati ogni anno</w:t>
      </w:r>
      <w:hyperlink r:id="rId2055">
        <w:r>
          <w:rPr>
            <w:rStyle w:val="Hyperlink"/>
          </w:rPr>
          <w:t xml:space="preserve">[11]</w:t>
        </w:r>
      </w:hyperlink>
      <w:r>
        <w:t xml:space="preserve">. Analogamente, un chatbot dedicato ai referral e alla prima accoglienza può svolgere funzioni oggi svolte da personale di sportello: nell’esperienza NHS, l’adozione di un assistente virtuale per gestire le richieste di accesso ha permesso di</w:t>
      </w:r>
      <w:r>
        <w:t xml:space="preserve"> </w:t>
      </w:r>
      <w:r>
        <w:rPr>
          <w:b/>
          <w:bCs/>
        </w:rPr>
        <w:t xml:space="preserve">risparmiare l’equivalente di 3–4 unità di personale a tempo pieno</w:t>
      </w:r>
      <w:hyperlink r:id="rId2056">
        <w:r>
          <w:rPr>
            <w:rStyle w:val="Hyperlink"/>
          </w:rPr>
          <w:t xml:space="preserve">[12]</w:t>
        </w:r>
      </w:hyperlink>
      <w:r>
        <w:t xml:space="preserve">. Per la Puglia, ciò si tradurrebbe nella possibilità di ridurre il fabbisogno di amministrativi (ad es. da 120 a ~80 FTE), con un contenimento di costo di circa</w:t>
      </w:r>
      <w:r>
        <w:t xml:space="preserve"> </w:t>
      </w:r>
      <w:r>
        <w:rPr>
          <w:b/>
          <w:bCs/>
        </w:rPr>
        <w:t xml:space="preserve">€1,4 milioni annui</w:t>
      </w:r>
      <w:r>
        <w:t xml:space="preserve"> </w:t>
      </w:r>
      <w:r>
        <w:t xml:space="preserve">mantenendo gli stessi livelli di servizio. Anche senza riduzioni organiche immediate, il fatto che</w:t>
      </w:r>
      <w:r>
        <w:t xml:space="preserve"> </w:t>
      </w:r>
      <w:r>
        <w:rPr>
          <w:i/>
          <w:iCs/>
        </w:rPr>
        <w:t xml:space="preserve">gli stessi operatori possano gestire volumi maggiori</w:t>
      </w:r>
      <w:r>
        <w:t xml:space="preserve"> </w:t>
      </w:r>
      <w:r>
        <w:t xml:space="preserve">(grazie all’IA che snellisce pratiche e documentazione) significa evitare nuove assunzioni future al crescere della domanda.</w:t>
      </w:r>
      <w:r>
        <w:t xml:space="preserve"> </w:t>
      </w:r>
      <w:r>
        <w:rPr>
          <w:b/>
          <w:bCs/>
        </w:rPr>
        <w:t xml:space="preserve">Processi RPA (Robotic Process Automation)</w:t>
      </w:r>
      <w:r>
        <w:t xml:space="preserve"> </w:t>
      </w:r>
      <w:r>
        <w:t xml:space="preserve">possono occuparsi di inserimenti di dati, aggiornamento cartelle e pratiche amministrative ripetitive con velocità e precisione superiori all’uomo, azzerando gli errori di trascrizione e riducendo i tempi. Inoltre, l’IA può</w:t>
      </w:r>
      <w:r>
        <w:t xml:space="preserve"> </w:t>
      </w:r>
      <w:r>
        <w:rPr>
          <w:b/>
          <w:bCs/>
        </w:rPr>
        <w:t xml:space="preserve">tagliare i</w:t>
      </w:r>
      <w:r>
        <w:rPr>
          <w:b/>
          <w:bCs/>
        </w:rPr>
        <w:t xml:space="preserve"> </w:t>
      </w:r>
      <w:r>
        <w:rPr>
          <w:b/>
          <w:bCs/>
        </w:rPr>
        <w:t xml:space="preserve">“</w:t>
      </w:r>
      <w:r>
        <w:rPr>
          <w:b/>
          <w:bCs/>
        </w:rPr>
        <w:t xml:space="preserve">tempi morti</w:t>
      </w:r>
      <w:r>
        <w:rPr>
          <w:b/>
          <w:bCs/>
        </w:rPr>
        <w:t xml:space="preserve">”</w:t>
      </w:r>
      <w:r>
        <w:t xml:space="preserve"> </w:t>
      </w:r>
      <w:r>
        <w:t xml:space="preserve">e le inefficienze: reminder automatici e sistemi di</w:t>
      </w:r>
      <w:r>
        <w:t xml:space="preserve"> </w:t>
      </w:r>
      <w:r>
        <w:rPr>
          <w:b/>
          <w:bCs/>
        </w:rPr>
        <w:t xml:space="preserve">no-show prediction</w:t>
      </w:r>
      <w:r>
        <w:t xml:space="preserve"> </w:t>
      </w:r>
      <w:r>
        <w:t xml:space="preserve">abbassano le mancate presentazioni fino al 30–50%</w:t>
      </w:r>
      <w:hyperlink r:id="rId2057">
        <w:r>
          <w:rPr>
            <w:rStyle w:val="Hyperlink"/>
          </w:rPr>
          <w:t xml:space="preserve">[13]</w:t>
        </w:r>
      </w:hyperlink>
      <w:r>
        <w:t xml:space="preserve"> </w:t>
      </w:r>
      <w:r>
        <w:t xml:space="preserve">(meno appuntamenti persi significano agende più piene e migliore utilizzo delle risorse disponibili). Nel complesso, la</w:t>
      </w:r>
      <w:r>
        <w:t xml:space="preserve"> </w:t>
      </w:r>
      <w:r>
        <w:rPr>
          <w:b/>
          <w:bCs/>
        </w:rPr>
        <w:t xml:space="preserve">semplificazione amministrativa via IA</w:t>
      </w:r>
      <w:r>
        <w:t xml:space="preserve"> </w:t>
      </w:r>
      <w:r>
        <w:t xml:space="preserve">porta sia risparmi diretti in stipendi, sia maggiori entrate indirette (nel privato da visite recuperate; nel pubblico sotto forma di liste d’attesa ridotte e servizio più tempestivo).</w:t>
      </w:r>
    </w:p>
    <w:p>
      <w:pPr>
        <w:numPr>
          <w:ilvl w:val="0"/>
          <w:numId w:val="1010"/>
        </w:numPr>
      </w:pPr>
      <w:r>
        <w:rPr>
          <w:b/>
          <w:bCs/>
        </w:rPr>
        <w:t xml:space="preserve">Infrastrutture e spazi fisici</w:t>
      </w:r>
      <w:r>
        <w:t xml:space="preserve"> </w:t>
      </w:r>
      <w:r>
        <w:t xml:space="preserve">– Nel modello base pugliese i costi per spazi e strutture risultano relativamente contenuti, grazie al co-uso di</w:t>
      </w:r>
      <w:r>
        <w:t xml:space="preserve"> </w:t>
      </w:r>
      <w:r>
        <w:rPr>
          <w:b/>
          <w:bCs/>
        </w:rPr>
        <w:t xml:space="preserve">Case della Comunità</w:t>
      </w:r>
      <w:r>
        <w:t xml:space="preserve"> </w:t>
      </w:r>
      <w:r>
        <w:t xml:space="preserve">e ambulatori esistenti finanziati dal PNRR (costo figurativo stimato ~€672.000/anno per 4.800 m² necessari, senza esborso aggiuntivo per affitti)[14]. L’IA può incidere indirettamente sull’infrastruttura necessaria in due modi:</w:t>
      </w:r>
      <w:r>
        <w:t xml:space="preserve"> </w:t>
      </w:r>
      <w:r>
        <w:rPr>
          <w:i/>
          <w:iCs/>
        </w:rPr>
        <w:t xml:space="preserve">ottimizzando l’utilizzo dello spazio</w:t>
      </w:r>
      <w:r>
        <w:t xml:space="preserve"> </w:t>
      </w:r>
      <w:r>
        <w:t xml:space="preserve">e</w:t>
      </w:r>
      <w:r>
        <w:t xml:space="preserve"> </w:t>
      </w:r>
      <w:r>
        <w:rPr>
          <w:i/>
          <w:iCs/>
        </w:rPr>
        <w:t xml:space="preserve">riducendo la necessità di espansione fisica</w:t>
      </w:r>
      <w:r>
        <w:t xml:space="preserve">. Ad esempio, l’uso sistematico della telepsicologia e di piattaforme digitali (anche potenziate con IA) consente ad una parte delle sedute e dei follow-up di avvenire da remoto, diminuendo il fabbisogno di studi dedicati e permettendo la</w:t>
      </w:r>
      <w:r>
        <w:t xml:space="preserve"> </w:t>
      </w:r>
      <w:r>
        <w:rPr>
          <w:b/>
          <w:bCs/>
        </w:rPr>
        <w:t xml:space="preserve">condivisione flessibile delle stanze</w:t>
      </w:r>
      <w:r>
        <w:t xml:space="preserve"> </w:t>
      </w:r>
      <w:r>
        <w:t xml:space="preserve">tra più professionisti. Ciò si traduce in un minor numero di ambulatori da allestire e mantenere, e dunque minori costi operativi (utenze, pulizie, manutenzione) per postazione. Inoltre, l’IA offre strumenti di</w:t>
      </w:r>
      <w:r>
        <w:t xml:space="preserve"> </w:t>
      </w:r>
      <w:r>
        <w:rPr>
          <w:b/>
          <w:bCs/>
        </w:rPr>
        <w:t xml:space="preserve">ottimizzazione logistica</w:t>
      </w:r>
      <w:r>
        <w:t xml:space="preserve">: algoritmi predittivi possono essere utilizzati per gestire in modo dinamico la prenotazione degli spazi (es. allocando le sale in base ai picchi di domanda previsti, evitando sotto-utilizzo in certe fasce orarie). In prospettiva, man mano che il servizio si evolve, l’approccio</w:t>
      </w:r>
      <w:r>
        <w:t xml:space="preserve"> </w:t>
      </w:r>
      <w:r>
        <w:rPr>
          <w:i/>
          <w:iCs/>
        </w:rPr>
        <w:t xml:space="preserve">“</w:t>
      </w:r>
      <w:r>
        <w:rPr>
          <w:i/>
          <w:iCs/>
        </w:rPr>
        <w:t xml:space="preserve">digital-first</w:t>
      </w:r>
      <w:r>
        <w:rPr>
          <w:i/>
          <w:iCs/>
        </w:rPr>
        <w:t xml:space="preserve">”</w:t>
      </w:r>
      <w:r>
        <w:t xml:space="preserve"> </w:t>
      </w:r>
      <w:r>
        <w:t xml:space="preserve">riduce la necessità di costruire nuove strutture per far fronte all’aumento di pazienti, privilegiando soluzioni virtuali. Un esempio concreto si osserva nel settore ospedaliero, dove sistemi AI di bed management aiutano a massimizzare l’uso dei posti letto evitando di costruirne di nuovi; analogamente, nel territorio poter offrire supporto psicologico h24 via app/chatbot significa</w:t>
      </w:r>
      <w:r>
        <w:t xml:space="preserve"> </w:t>
      </w:r>
      <w:r>
        <w:rPr>
          <w:b/>
          <w:bCs/>
        </w:rPr>
        <w:t xml:space="preserve">intercettare bisogni senza aprire sportelli aggiuntivi</w:t>
      </w:r>
      <w:r>
        <w:t xml:space="preserve">. In sintesi, l’IA contribuisce a una migliore</w:t>
      </w:r>
      <w:r>
        <w:t xml:space="preserve"> </w:t>
      </w:r>
      <w:r>
        <w:rPr>
          <w:b/>
          <w:bCs/>
        </w:rPr>
        <w:t xml:space="preserve">capacità ricettiva senza ampliare le sedi fisiche</w:t>
      </w:r>
      <w:r>
        <w:t xml:space="preserve">, mantenendo bassi i costi di infrastruttura anche con l’espansione del servizio.</w:t>
      </w:r>
    </w:p>
    <w:p>
      <w:pPr>
        <w:numPr>
          <w:ilvl w:val="0"/>
          <w:numId w:val="1010"/>
        </w:numPr>
      </w:pPr>
      <w:r>
        <w:rPr>
          <w:b/>
          <w:bCs/>
        </w:rPr>
        <w:t xml:space="preserve">Tecnologie informatiche e piattaforme digitali</w:t>
      </w:r>
      <w:r>
        <w:t xml:space="preserve"> </w:t>
      </w:r>
      <w:r>
        <w:t xml:space="preserve">– Il modello base già prevede un certo investimento in sistemi informativi clinici, telepsicologia e strumenti ICT (~€570.000 annui per licenze software, hosting, assistenza e aggiornamenti)[15][16]. L’integrazione di IA richiederà</w:t>
      </w:r>
      <w:r>
        <w:t xml:space="preserve"> </w:t>
      </w:r>
      <w:r>
        <w:rPr>
          <w:b/>
          <w:bCs/>
        </w:rPr>
        <w:t xml:space="preserve">potenziare queste piattaforme</w:t>
      </w:r>
      <w:r>
        <w:t xml:space="preserve"> </w:t>
      </w:r>
      <w:r>
        <w:t xml:space="preserve">con moduli aggiuntivi (algoritmi e servizi cloud) che comportano costi incrementali, ma porta anche efficienze e</w:t>
      </w:r>
      <w:r>
        <w:t xml:space="preserve"> </w:t>
      </w:r>
      <w:r>
        <w:rPr>
          <w:i/>
          <w:iCs/>
        </w:rPr>
        <w:t xml:space="preserve">rapidità di ritorno</w:t>
      </w:r>
      <w:r>
        <w:t xml:space="preserve">. La letteratura sugli IAPT britannici mostra che piattaforme digitali specializzate (es.</w:t>
      </w:r>
      <w:r>
        <w:t xml:space="preserve"> </w:t>
      </w:r>
      <w:r>
        <w:rPr>
          <w:b/>
          <w:bCs/>
        </w:rPr>
        <w:t xml:space="preserve">iaptus</w:t>
      </w:r>
      <w:r>
        <w:t xml:space="preserve">) hanno facilitato il monitoraggio continuativo degli esiti clinici e ridotto i costi amministrativi, con un</w:t>
      </w:r>
      <w:r>
        <w:t xml:space="preserve"> </w:t>
      </w:r>
      <w:r>
        <w:rPr>
          <w:b/>
          <w:bCs/>
        </w:rPr>
        <w:t xml:space="preserve">ROI in circa un anno</w:t>
      </w:r>
      <w:r>
        <w:t xml:space="preserve">[17]. In ottica pugliese, dotarsi di un analogo sistema integrato (cartella clinica elettronica condivisa tra MMG, Psicologo di Base e CSM, con inclusi strumenti di</w:t>
      </w:r>
      <w:r>
        <w:t xml:space="preserve"> </w:t>
      </w:r>
      <w:r>
        <w:rPr>
          <w:i/>
          <w:iCs/>
        </w:rPr>
        <w:t xml:space="preserve">Routine Outcome Monitoring</w:t>
      </w:r>
      <w:r>
        <w:t xml:space="preserve"> </w:t>
      </w:r>
      <w:r>
        <w:t xml:space="preserve">e magari algoritmi predittivi) avrebbe un costo stimato di €400–600 per utente/anno, pari a ~€320.000–480.000 annui per 800 psicologi + staff[18] – spesa già inclusa nel modello base. Aggiungere moduli di IA (ad es. un</w:t>
      </w:r>
      <w:r>
        <w:t xml:space="preserve"> </w:t>
      </w:r>
      <w:r>
        <w:rPr>
          <w:b/>
          <w:bCs/>
        </w:rPr>
        <w:t xml:space="preserve">chatbot triage</w:t>
      </w:r>
      <w:r>
        <w:t xml:space="preserve"> </w:t>
      </w:r>
      <w:r>
        <w:t xml:space="preserve">integrato nel sito regionale, oppure un sistema di decision support per il clinico) potrebbe richiedere ulteriori licenze. Soluzioni pronte all’uso, come il chatbot</w:t>
      </w:r>
      <w:r>
        <w:t xml:space="preserve"> </w:t>
      </w:r>
      <w:r>
        <w:rPr>
          <w:i/>
          <w:iCs/>
        </w:rPr>
        <w:t xml:space="preserve">Limbic Access</w:t>
      </w:r>
      <w:r>
        <w:t xml:space="preserve">, sono offerte in modalità SaaS e hanno costi nell’ordine di poche centinaia di migliaia di euro annui per un’intera regione (come vedremo in dettaglio più avanti). Allo stesso tempo, partnership strategiche possono abbattere i costi unitari: il NHS, ad esempio, ha negoziato con Microsoft l’accesso diffuso ai tool di produttività con IA generativa</w:t>
      </w:r>
      <w:r>
        <w:t xml:space="preserve"> </w:t>
      </w:r>
      <w:r>
        <w:rPr>
          <w:b/>
          <w:bCs/>
        </w:rPr>
        <w:t xml:space="preserve">senza costi aggiuntivi</w:t>
      </w:r>
      <w:r>
        <w:t xml:space="preserve"> </w:t>
      </w:r>
      <w:r>
        <w:t xml:space="preserve">per l’intero Servizio Sanitario</w:t>
      </w:r>
      <w:hyperlink r:id="rId2058">
        <w:r>
          <w:rPr>
            <w:rStyle w:val="Hyperlink"/>
          </w:rPr>
          <w:t xml:space="preserve">[19]</w:t>
        </w:r>
      </w:hyperlink>
      <w:r>
        <w:t xml:space="preserve">, sfruttando il potere contrattuale della sanità pubblica. Analogamente, la Puglia potrebbe integrare strumenti di IA generativa (es. per riassumere documenti clinici, analizzare email o preparare relazioni) all’interno dei software esistenti (Office 365, sistemi di posta) con costi marginali, ottenendo però un notevole risparmio di tempo. La</w:t>
      </w:r>
      <w:r>
        <w:t xml:space="preserve"> </w:t>
      </w:r>
      <w:r>
        <w:rPr>
          <w:b/>
          <w:bCs/>
        </w:rPr>
        <w:t xml:space="preserve">manutenzione</w:t>
      </w:r>
      <w:r>
        <w:t xml:space="preserve"> </w:t>
      </w:r>
      <w:r>
        <w:t xml:space="preserve">di questi sistemi IA rientrerebbe nei canoni di assistenza IT (tipicamente il 15–20% annuo del valore iniziale dell’hardware/software)[20]. Complessivamente, pur aumentando la voce</w:t>
      </w:r>
      <w:r>
        <w:t xml:space="preserve"> </w:t>
      </w:r>
      <w:r>
        <w:t xml:space="preserve">“</w:t>
      </w:r>
      <w:r>
        <w:t xml:space="preserve">tecnologia</w:t>
      </w:r>
      <w:r>
        <w:t xml:space="preserve">”</w:t>
      </w:r>
      <w:r>
        <w:t xml:space="preserve"> </w:t>
      </w:r>
      <w:r>
        <w:t xml:space="preserve">nel budget, l’IA</w:t>
      </w:r>
      <w:r>
        <w:t xml:space="preserve"> </w:t>
      </w:r>
      <w:r>
        <w:rPr>
          <w:b/>
          <w:bCs/>
        </w:rPr>
        <w:t xml:space="preserve">ripaga l’investimento</w:t>
      </w:r>
      <w:r>
        <w:t xml:space="preserve"> </w:t>
      </w:r>
      <w:r>
        <w:t xml:space="preserve">attraverso costi operativi ridotti altrove (meno personale di supporto, meno sprechi, processi più rapidi) e attraverso</w:t>
      </w:r>
      <w:r>
        <w:t xml:space="preserve"> </w:t>
      </w:r>
      <w:r>
        <w:rPr>
          <w:i/>
          <w:iCs/>
        </w:rPr>
        <w:t xml:space="preserve">economie di scala</w:t>
      </w:r>
      <w:r>
        <w:t xml:space="preserve">: molti strumenti digitali hanno costi decrescenti all’aumentare degli utenti, quindi un’adozione regionale estesa migliora il rapporto costo/beneficio.</w:t>
      </w:r>
    </w:p>
    <w:p>
      <w:pPr>
        <w:numPr>
          <w:ilvl w:val="0"/>
          <w:numId w:val="1010"/>
        </w:numPr>
      </w:pPr>
      <w:r>
        <w:rPr>
          <w:b/>
          <w:bCs/>
        </w:rPr>
        <w:t xml:space="preserve">Gestione dei dati e valutazione</w:t>
      </w:r>
      <w:r>
        <w:t xml:space="preserve"> </w:t>
      </w:r>
      <w:r>
        <w:t xml:space="preserve">– Un sistema basato su IA eccelle nella raccolta e analisi di grandi moli di dati clinici e gestionali, attività che nel modello tradizionale richiedono tempo umano e risorse dedicate. Nel budget base era previsto un piccolo fondo per</w:t>
      </w:r>
      <w:r>
        <w:t xml:space="preserve"> </w:t>
      </w:r>
      <w:r>
        <w:rPr>
          <w:b/>
          <w:bCs/>
        </w:rPr>
        <w:t xml:space="preserve">audit e quality assurance</w:t>
      </w:r>
      <w:r>
        <w:t xml:space="preserve"> </w:t>
      </w:r>
      <w:r>
        <w:t xml:space="preserve">(€75.000/anno)[21], oltre al lavoro quotidiano di data entry svolto dagli amministrativi. Implementando strumenti di</w:t>
      </w:r>
      <w:r>
        <w:t xml:space="preserve"> </w:t>
      </w:r>
      <w:r>
        <w:rPr>
          <w:b/>
          <w:bCs/>
        </w:rPr>
        <w:t xml:space="preserve">data analytics avanzati</w:t>
      </w:r>
      <w:r>
        <w:t xml:space="preserve">, la Regione potrebbe ridurre la necessità di audit manuali esterni: i dati di esito potrebbero essere aggregati e analizzati automaticamente (dashboards in tempo reale, algoritmi che segnalano outlier nelle performance), rendendo superflua parte delle consulenze di valutazione e ispezione (si può stimare un risparmio di ~€25.000/anno riducendo attività ridondanti di audit umano). Più importante ancora, l’IA migliorerebbe la</w:t>
      </w:r>
      <w:r>
        <w:t xml:space="preserve"> </w:t>
      </w:r>
      <w:r>
        <w:rPr>
          <w:i/>
          <w:iCs/>
        </w:rPr>
        <w:t xml:space="preserve">qualità</w:t>
      </w:r>
      <w:r>
        <w:t xml:space="preserve"> </w:t>
      </w:r>
      <w:r>
        <w:t xml:space="preserve">del data management: la</w:t>
      </w:r>
      <w:r>
        <w:t xml:space="preserve"> </w:t>
      </w:r>
      <w:r>
        <w:rPr>
          <w:b/>
          <w:bCs/>
        </w:rPr>
        <w:t xml:space="preserve">compilazione automatica di scale di valutazione e report clinici</w:t>
      </w:r>
      <w:r>
        <w:t xml:space="preserve"> </w:t>
      </w:r>
      <w:r>
        <w:t xml:space="preserve">(ad es. importando direttamente i punteggi PHQ-9/GAD-7 compilati dal paziente su tablet) elimina errori di trascrizione e assicura che tutte le informazioni siano disponibili immediatamente nel fascicolo elettronico condiviso. Ciò aumenta l’interoperabilità fra MMG, psicologi e CSM: come sottolineato nel progetto, uno dei requisiti chiave è la condivisione di cartelle e scale di esito tra livelli di cura[22]. Algoritmi di</w:t>
      </w:r>
      <w:r>
        <w:t xml:space="preserve"> </w:t>
      </w:r>
      <w:r>
        <w:rPr>
          <w:b/>
          <w:bCs/>
        </w:rPr>
        <w:t xml:space="preserve">entity matching</w:t>
      </w:r>
      <w:r>
        <w:t xml:space="preserve"> </w:t>
      </w:r>
      <w:r>
        <w:t xml:space="preserve">e NLP possono facilitare questa integrazione, associando i dati del paziente provenienti da fonti diverse (MMG, piattaforma psicologo, pronto soccorso) e costruendo un quadro unificato senza richiedere riconciliazioni manuali lunghe e costose. Un utilizzo intelligente dei dati permette anche di</w:t>
      </w:r>
      <w:r>
        <w:t xml:space="preserve"> </w:t>
      </w:r>
      <w:r>
        <w:rPr>
          <w:i/>
          <w:iCs/>
        </w:rPr>
        <w:t xml:space="preserve">prevenire costi evitabili</w:t>
      </w:r>
      <w:r>
        <w:t xml:space="preserve">: ad esempio identificando pattern precoci di peggioramento clinico, l’IA può allertare il team prima che il caso si aggravi, evitando interventi tardivi ben più onerosi. Inoltre, la disponibilità di dati accurati e tempestivi semplifica la</w:t>
      </w:r>
      <w:r>
        <w:t xml:space="preserve"> </w:t>
      </w:r>
      <w:r>
        <w:rPr>
          <w:b/>
          <w:bCs/>
        </w:rPr>
        <w:t xml:space="preserve">rendicontazione</w:t>
      </w:r>
      <w:r>
        <w:t xml:space="preserve"> </w:t>
      </w:r>
      <w:r>
        <w:t xml:space="preserve">verso la Regione e il Ministero, riducendo i costi amministrativi legati alla produzione di reportistica obbligatoria. In sintesi, l’IA in ambito data management non solo riduce i costi di gestione corrente (meno ore-uomo per inserire, correggere, analizzare dati), ma crea un ecosistema informativo che</w:t>
      </w:r>
      <w:r>
        <w:t xml:space="preserve"> </w:t>
      </w:r>
      <w:r>
        <w:rPr>
          <w:i/>
          <w:iCs/>
        </w:rPr>
        <w:t xml:space="preserve">abilita ulteriori efficienze</w:t>
      </w:r>
      <w:r>
        <w:t xml:space="preserve"> </w:t>
      </w:r>
      <w:r>
        <w:t xml:space="preserve">su altre voci di spesa (ottimizzazione organici, minori duplicazioni di esami, migliore programmazione del servizio basata su dati predittivi).</w:t>
      </w:r>
    </w:p>
    <w:p>
      <w:pPr>
        <w:numPr>
          <w:ilvl w:val="0"/>
          <w:numId w:val="1010"/>
        </w:numPr>
      </w:pPr>
      <w:r>
        <w:rPr>
          <w:b/>
          <w:bCs/>
        </w:rPr>
        <w:t xml:space="preserve">Materiali e forniture</w:t>
      </w:r>
      <w:r>
        <w:t xml:space="preserve"> </w:t>
      </w:r>
      <w:r>
        <w:t xml:space="preserve">– Questa voce incide marginalmente nel budget, ma vale la pena menzionare i risparmi collaterali derivanti dalla digitalizzazione spinta. Con l’IA si tende a</w:t>
      </w:r>
      <w:r>
        <w:t xml:space="preserve"> </w:t>
      </w:r>
      <w:r>
        <w:rPr>
          <w:b/>
          <w:bCs/>
        </w:rPr>
        <w:t xml:space="preserve">dematerializzare i processi</w:t>
      </w:r>
      <w:r>
        <w:t xml:space="preserve">: moduli e questionari compilati online al posto dei moduli cartacei riducono le spese di tipografia, carta e archiviazione fisica. Ad esempio, se ogni paziente compila elettronicamente i test di screening (PHQ-9, GAD-7, etc.), si eliminano migliaia di fogli stampati all’anno – un risparmio modesto ma concreto, e soprattutto un beneficio organizzativo in termini di tempo (niente più inserimento manuale dei punteggi) e riduzione di errori. Inoltre,</w:t>
      </w:r>
      <w:r>
        <w:t xml:space="preserve"> </w:t>
      </w:r>
      <w:r>
        <w:rPr>
          <w:b/>
          <w:bCs/>
        </w:rPr>
        <w:t xml:space="preserve">formazione e supervisione a distanza</w:t>
      </w:r>
      <w:r>
        <w:t xml:space="preserve"> </w:t>
      </w:r>
      <w:r>
        <w:t xml:space="preserve">(es. webinar, e-learning) possono diminuire costi di viaggio, rimborsi e affitto aule per eventi formativi: il progetto prevede €1 milione/anno per formazione congiunta MMG-psicologi[23], che con strumenti virtuali potrebbe essere in parte riallocato (ad es. usando piattaforme online si può raggiungere più persone con meno incontri in presenza). L’IA può anche supportare la</w:t>
      </w:r>
      <w:r>
        <w:t xml:space="preserve"> </w:t>
      </w:r>
      <w:r>
        <w:rPr>
          <w:b/>
          <w:bCs/>
        </w:rPr>
        <w:t xml:space="preserve">simulazione virtuale</w:t>
      </w:r>
      <w:r>
        <w:t xml:space="preserve"> </w:t>
      </w:r>
      <w:r>
        <w:t xml:space="preserve">e l’addestramento (es. role-play con agenti conversazionali per affinare le abilità comunicative dei clinici), riducendo la necessità di materiali didattici tradizionali. Infine, sensori e dispositivi smart (ad es. wearable per il monitoraggio stress o sistemi di realtà virtuale terapeutica) potrebbero sostituire attrezzature fisiche costose, offrendo interventi innovativi a costi decrescenti una volta scalati. Pur trattandosi di economie limitate nel totale, queste riduzioni nei materiali contribuiscono ad</w:t>
      </w:r>
      <w:r>
        <w:t xml:space="preserve"> </w:t>
      </w:r>
      <w:r>
        <w:rPr>
          <w:i/>
          <w:iCs/>
        </w:rPr>
        <w:t xml:space="preserve">ottimizzare ogni euro speso</w:t>
      </w:r>
      <w:r>
        <w:t xml:space="preserve">, rendendo l’insieme del programma più snello e sostenibile.</w:t>
      </w:r>
    </w:p>
    <w:p>
      <w:pPr>
        <w:numPr>
          <w:ilvl w:val="0"/>
          <w:numId w:val="1010"/>
        </w:numPr>
      </w:pPr>
      <w:r>
        <w:rPr>
          <w:b/>
          <w:bCs/>
        </w:rPr>
        <w:t xml:space="preserve">Processi amministrativi e governance</w:t>
      </w:r>
      <w:r>
        <w:t xml:space="preserve"> </w:t>
      </w:r>
      <w:r>
        <w:t xml:space="preserve">– La</w:t>
      </w:r>
      <w:r>
        <w:t xml:space="preserve"> </w:t>
      </w:r>
      <w:r>
        <w:rPr>
          <w:b/>
          <w:bCs/>
        </w:rPr>
        <w:t xml:space="preserve">governance regionale e distrettuale</w:t>
      </w:r>
      <w:r>
        <w:t xml:space="preserve"> </w:t>
      </w:r>
      <w:r>
        <w:t xml:space="preserve">del servizio (coordinatori psicologi e personale amministrativo di direzione, costo ~€413.000/anno nello scenario base)[24][25] beneficerà anch’essa di tecnologie IA sotto il profilo dell’efficienza e della capacità di supervisione. Ad esempio, dashboard intelligenti potrebbero aggregare indicatori chiave da tutti i distretti (accessi, esiti clinici, tempi di attesa) e suggerire ai coordinatori dove intervenire, riducendo il tempo che oggi sarebbe necessario per raccogliere manualmente tali informazioni e analizzarle. Strumenti di</w:t>
      </w:r>
      <w:r>
        <w:t xml:space="preserve"> </w:t>
      </w:r>
      <w:r>
        <w:rPr>
          <w:b/>
          <w:bCs/>
        </w:rPr>
        <w:t xml:space="preserve">reportistica automatica</w:t>
      </w:r>
      <w:r>
        <w:t xml:space="preserve"> </w:t>
      </w:r>
      <w:r>
        <w:t xml:space="preserve">possono generare relazioni trimestrali o annuali sull’andamento del servizio (utilizzando NLP per riassumere i dati e i commenti qualitativi) in pochi secondi, risparmiando settimane-uomo di lavoro. Inoltre, l’IA potrebbe supportare la</w:t>
      </w:r>
      <w:r>
        <w:t xml:space="preserve"> </w:t>
      </w:r>
      <w:r>
        <w:rPr>
          <w:b/>
          <w:bCs/>
        </w:rPr>
        <w:t xml:space="preserve">pianificazione del personale</w:t>
      </w:r>
      <w:r>
        <w:t xml:space="preserve">: algoritmi predittivi, tenendo conto di variabili epidemiologiche e storiche, possono aiutare i dirigenti a calibrare le risorse per ogni distretto (o a identificare necessità di formazione aggiuntiva su specifiche competenze), prevenendo inefficienze o carenze che costerebbero caro se affrontate a posteriori. Anche la gestione dei</w:t>
      </w:r>
      <w:r>
        <w:t xml:space="preserve"> </w:t>
      </w:r>
      <w:r>
        <w:rPr>
          <w:b/>
          <w:bCs/>
        </w:rPr>
        <w:t xml:space="preserve">flussi economici e della rendicontazione</w:t>
      </w:r>
      <w:r>
        <w:t xml:space="preserve"> </w:t>
      </w:r>
      <w:r>
        <w:t xml:space="preserve">può essere semplificata: ad esempio, sistemi AI di analisi delle fatture possono verificare automaticamente la corrispondenza tra attività erogate e budget utilizzato, individuando anomalie (sovra/sotto-spesa) e supportando la programmazione. Nel complesso, l’IA agisce come</w:t>
      </w:r>
      <w:r>
        <w:t xml:space="preserve"> </w:t>
      </w:r>
      <w:r>
        <w:rPr>
          <w:i/>
          <w:iCs/>
        </w:rPr>
        <w:t xml:space="preserve">“</w:t>
      </w:r>
      <w:r>
        <w:rPr>
          <w:i/>
          <w:iCs/>
        </w:rPr>
        <w:t xml:space="preserve">moltiplicatore</w:t>
      </w:r>
      <w:r>
        <w:rPr>
          <w:i/>
          <w:iCs/>
        </w:rPr>
        <w:t xml:space="preserve">”</w:t>
      </w:r>
      <w:r>
        <w:rPr>
          <w:i/>
          <w:iCs/>
        </w:rPr>
        <w:t xml:space="preserve"> </w:t>
      </w:r>
      <w:r>
        <w:rPr>
          <w:i/>
          <w:iCs/>
        </w:rPr>
        <w:t xml:space="preserve">delle capacità del team di governance</w:t>
      </w:r>
      <w:r>
        <w:t xml:space="preserve">: con lo stesso organico di coordinamento, la mole di dati gestibile e la prontezza delle decisioni aumentano, garantendo un governo clinico e amministrativo più efficace</w:t>
      </w:r>
      <w:r>
        <w:t xml:space="preserve"> </w:t>
      </w:r>
      <w:r>
        <w:rPr>
          <w:b/>
          <w:bCs/>
        </w:rPr>
        <w:t xml:space="preserve">senza incremento di costi</w:t>
      </w:r>
      <w:r>
        <w:t xml:space="preserve">. L’introduzione dell’IA</w:t>
      </w:r>
      <w:r>
        <w:t xml:space="preserve"> </w:t>
      </w:r>
      <w:r>
        <w:rPr>
          <w:b/>
          <w:bCs/>
        </w:rPr>
        <w:t xml:space="preserve">non elimina le funzioni di governance</w:t>
      </w:r>
      <w:r>
        <w:t xml:space="preserve">, ma le rende più snelle (p.es. meno riunioni di persona grazie a sistemi di collaborazione digitale) e orientate ai dati, il che nel lungo termine si traduce in scelte operative più mirate e quindi in un uso più efficiente delle risorse finanziarie dell’intero programma.</w:t>
      </w:r>
    </w:p>
    <w:bookmarkEnd w:id="2059"/>
    <w:bookmarkStart w:id="2060" w:name="X7ad83b0feb966d9db56cb86c00597c6aa8c3635"/>
    <w:p>
      <w:pPr>
        <w:pStyle w:val="Heading3"/>
      </w:pPr>
      <w:r>
        <w:t xml:space="preserve">Confronto economico: modello base vs. modello IA-enhanced</w:t>
      </w:r>
    </w:p>
    <w:p>
      <w:pPr>
        <w:pStyle w:val="FirstParagraph"/>
      </w:pPr>
      <w:r>
        <w:t xml:space="preserve">Passiamo ora a confrontare i due scenari organizzativi –</w:t>
      </w:r>
      <w:r>
        <w:t xml:space="preserve"> </w:t>
      </w:r>
      <w:r>
        <w:rPr>
          <w:b/>
          <w:bCs/>
        </w:rPr>
        <w:t xml:space="preserve">(a) Modello senza IA</w:t>
      </w:r>
      <w:r>
        <w:t xml:space="preserve"> </w:t>
      </w:r>
      <w:r>
        <w:t xml:space="preserve">e</w:t>
      </w:r>
      <w:r>
        <w:t xml:space="preserve"> </w:t>
      </w:r>
      <w:r>
        <w:rPr>
          <w:b/>
          <w:bCs/>
        </w:rPr>
        <w:t xml:space="preserve">(b) Modello potenziato con IA</w:t>
      </w:r>
      <w:r>
        <w:t xml:space="preserve"> </w:t>
      </w:r>
      <w:r>
        <w:t xml:space="preserve">– in termini di costi diretti annui, evidenziando per ciascuna voce la variazione attesa e il risparmio stimabile. Entrambi gli scenari ipotizzano di offrire la medesima copertura di servizio (800 Psicologi di Base, ~150–200k pazienti trattati/anno), così da isolare l’impatto economico dell’IA a parità di output assistenziale. Nella tabella seguente sono riportati i costi annui per le principali voci secondo il modello base (dati ripresi dal Capitolo 4 ufficiale[3][26]) e i corrispondenti costi ridotti/incrementati nello scenario IA-enhanced, con relativa stima di</w:t>
      </w:r>
      <w:r>
        <w:t xml:space="preserve"> </w:t>
      </w:r>
      <w:r>
        <w:rPr>
          <w:b/>
          <w:bCs/>
        </w:rPr>
        <w:t xml:space="preserve">risparmio annuo</w:t>
      </w:r>
      <w:r>
        <w:t xml:space="preserv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Voce di costo</w:t>
            </w:r>
          </w:p>
        </w:tc>
        <w:tc>
          <w:tcPr>
            <w:shd w:val="clear" w:color="auto" w:fill="16264B"/>
          </w:tcPr>
          <w:p>
            <w:pPr>
              <w:pStyle w:val="Compact"/>
              <w:spacing w:after="40" w:before="40"/>
              <w:jc w:val="left"/>
            </w:pPr>
            <w:r>
              <w:rPr>
                <w:rFonts w:ascii="Cambria" w:hAnsi="Cambria" w:cs="Cambria" w:eastAsia="Cambria"/>
                <w:b/>
                <w:bCs/>
                <w:color w:val="FFFFFF"/>
                <w:sz w:val="18"/>
              </w:rPr>
              <w:t xml:space="preserve">Scenario Base</w:t>
            </w:r>
            <w:r>
              <w:rPr>
                <w:rFonts w:ascii="Cambria" w:hAnsi="Cambria" w:cs="Cambria" w:eastAsia="Cambria"/>
                <w:b/>
                <w:color w:val="FFFFFF"/>
                <w:sz w:val="18"/>
              </w:rPr>
              <w:t xml:space="preserve"> </w:t>
            </w:r>
            <w:r>
              <w:rPr>
                <w:rFonts w:ascii="Cambria" w:hAnsi="Cambria" w:cs="Cambria" w:eastAsia="Cambria"/>
                <w:b/>
                <w:color w:val="FFFFFF"/>
                <w:sz w:val="18"/>
              </w:rPr>
              <w:t xml:space="preserve">(annuo)</w:t>
            </w:r>
          </w:p>
        </w:tc>
        <w:tc>
          <w:tcPr>
            <w:shd w:val="clear" w:color="auto" w:fill="16264B"/>
          </w:tcPr>
          <w:p>
            <w:pPr>
              <w:pStyle w:val="Compact"/>
              <w:spacing w:after="40" w:before="40"/>
              <w:jc w:val="left"/>
            </w:pPr>
            <w:r>
              <w:rPr>
                <w:rFonts w:ascii="Cambria" w:hAnsi="Cambria" w:cs="Cambria" w:eastAsia="Cambria"/>
                <w:b/>
                <w:bCs/>
                <w:color w:val="FFFFFF"/>
                <w:sz w:val="18"/>
              </w:rPr>
              <w:t xml:space="preserve">Scenario IA-enhanced</w:t>
            </w:r>
            <w:r>
              <w:rPr>
                <w:rFonts w:ascii="Cambria" w:hAnsi="Cambria" w:cs="Cambria" w:eastAsia="Cambria"/>
                <w:b/>
                <w:color w:val="FFFFFF"/>
                <w:sz w:val="18"/>
              </w:rPr>
              <w:t xml:space="preserve"> </w:t>
            </w:r>
            <w:r>
              <w:rPr>
                <w:rFonts w:ascii="Cambria" w:hAnsi="Cambria" w:cs="Cambria" w:eastAsia="Cambria"/>
                <w:b/>
                <w:color w:val="FFFFFF"/>
                <w:sz w:val="18"/>
              </w:rPr>
              <w:t xml:space="preserve">(annuo)</w:t>
            </w:r>
          </w:p>
        </w:tc>
        <w:tc>
          <w:tcPr>
            <w:shd w:val="clear" w:color="auto" w:fill="16264B"/>
          </w:tcPr>
          <w:p>
            <w:pPr>
              <w:pStyle w:val="Compact"/>
              <w:spacing w:after="40" w:before="40"/>
              <w:jc w:val="left"/>
            </w:pPr>
            <w:r>
              <w:rPr>
                <w:rFonts w:ascii="Cambria" w:hAnsi="Cambria" w:cs="Cambria" w:eastAsia="Cambria"/>
                <w:b/>
                <w:bCs/>
                <w:color w:val="FFFFFF"/>
                <w:sz w:val="18"/>
              </w:rPr>
              <w:t xml:space="preserve">Risparmio/Costo extra</w:t>
            </w:r>
            <w:r>
              <w:rPr>
                <w:rFonts w:ascii="Cambria" w:hAnsi="Cambria" w:cs="Cambria" w:eastAsia="Cambria"/>
                <w:b/>
                <w:color w:val="FFFFFF"/>
                <w:sz w:val="18"/>
              </w:rPr>
              <w:t xml:space="preserve"> </w:t>
            </w:r>
            <w:r>
              <w:rPr>
                <w:rFonts w:ascii="Cambria" w:hAnsi="Cambria" w:cs="Cambria" w:eastAsia="Cambria"/>
                <w:b/>
                <w:color w:val="FFFFFF"/>
                <w:sz w:val="18"/>
              </w:rPr>
              <w:t xml:space="preserve">(annuo)</w:t>
            </w:r>
          </w:p>
        </w:tc>
      </w:tr>
      <w:tr>
        <w:tc>
          <w:tcPr/>
          <w:p>
            <w:pPr>
              <w:pStyle w:val="Compact"/>
              <w:spacing w:after="40" w:before="40"/>
              <w:jc w:val="left"/>
            </w:pPr>
            <w:r>
              <w:rPr>
                <w:rFonts w:ascii="Cambria" w:hAnsi="Cambria" w:cs="Cambria" w:eastAsia="Cambria"/>
                <w:b/>
                <w:bCs/>
                <w:color w:val="1A1A1A"/>
                <w:sz w:val="18"/>
              </w:rPr>
              <w:t xml:space="preserve">Personale clinico (800 FTE)</w:t>
            </w:r>
          </w:p>
        </w:tc>
        <w:tc>
          <w:tcPr/>
          <w:p>
            <w:pPr>
              <w:pStyle w:val="Compact"/>
              <w:spacing w:after="40" w:before="40"/>
              <w:jc w:val="left"/>
            </w:pPr>
            <w:r>
              <w:rPr>
                <w:rFonts w:ascii="Cambria" w:hAnsi="Cambria" w:cs="Cambria" w:eastAsia="Cambria"/>
                <w:color w:val="1A1A1A"/>
                <w:sz w:val="18"/>
              </w:rPr>
              <w:t xml:space="preserve">€30.872.800[3]</w:t>
            </w:r>
          </w:p>
        </w:tc>
        <w:tc>
          <w:tcPr/>
          <w:p>
            <w:pPr>
              <w:pStyle w:val="Compact"/>
              <w:spacing w:after="40" w:before="40"/>
              <w:jc w:val="left"/>
            </w:pPr>
            <w:r>
              <w:rPr>
                <w:rFonts w:ascii="Cambria" w:hAnsi="Cambria" w:cs="Cambria" w:eastAsia="Cambria"/>
                <w:color w:val="1A1A1A"/>
                <w:sz w:val="18"/>
              </w:rPr>
              <w:t xml:space="preserve">€30.872.800 (invariato)</w:t>
            </w:r>
          </w:p>
        </w:tc>
        <w:tc>
          <w:tcPr/>
          <w:p>
            <w:pPr>
              <w:pStyle w:val="Compact"/>
              <w:spacing w:after="40" w:before="40"/>
              <w:jc w:val="left"/>
            </w:pPr>
            <w:r>
              <w:rPr>
                <w:rFonts w:ascii="Cambria" w:hAnsi="Cambria" w:cs="Cambria" w:eastAsia="Cambria"/>
                <w:color w:val="1A1A1A"/>
                <w:sz w:val="18"/>
              </w:rPr>
              <w:t xml:space="preserve">€0 (capacitá maggiore, ma stesso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Formazione ECM psicologi</w:t>
            </w:r>
          </w:p>
        </w:tc>
        <w:tc>
          <w:tcPr>
            <w:shd w:val="clear" w:color="auto" w:fill="F4F1EC"/>
          </w:tcPr>
          <w:p>
            <w:pPr>
              <w:pStyle w:val="Compact"/>
              <w:spacing w:after="40" w:before="40"/>
              <w:jc w:val="left"/>
            </w:pPr>
            <w:r>
              <w:rPr>
                <w:rFonts w:ascii="Cambria" w:hAnsi="Cambria" w:cs="Cambria" w:eastAsia="Cambria"/>
                <w:color w:val="1A1A1A"/>
                <w:sz w:val="18"/>
              </w:rPr>
              <w:t xml:space="preserve">€680.000[3]</w:t>
            </w:r>
          </w:p>
        </w:tc>
        <w:tc>
          <w:tcPr>
            <w:shd w:val="clear" w:color="auto" w:fill="F4F1EC"/>
          </w:tcPr>
          <w:p>
            <w:pPr>
              <w:pStyle w:val="Compact"/>
              <w:spacing w:after="40" w:before="40"/>
              <w:jc w:val="left"/>
            </w:pPr>
            <w:r>
              <w:rPr>
                <w:rFonts w:ascii="Cambria" w:hAnsi="Cambria" w:cs="Cambria" w:eastAsia="Cambria"/>
                <w:color w:val="1A1A1A"/>
                <w:sz w:val="18"/>
              </w:rPr>
              <w:t xml:space="preserve">~€600.000 (e-learning, meno spese viaggio)</w:t>
            </w:r>
          </w:p>
        </w:tc>
        <w:tc>
          <w:tcPr>
            <w:shd w:val="clear" w:color="auto" w:fill="F4F1EC"/>
          </w:tcPr>
          <w:p>
            <w:pPr>
              <w:pStyle w:val="Compact"/>
              <w:spacing w:after="40" w:before="40"/>
              <w:jc w:val="left"/>
            </w:pPr>
            <w:r>
              <w:rPr>
                <w:rFonts w:ascii="Cambria" w:hAnsi="Cambria" w:cs="Cambria" w:eastAsia="Cambria"/>
                <w:b/>
                <w:bCs/>
                <w:color w:val="1A1A1A"/>
                <w:sz w:val="18"/>
              </w:rPr>
              <w:t xml:space="preserve">€80.000 risparmiati</w:t>
            </w:r>
          </w:p>
        </w:tc>
      </w:tr>
      <w:tr>
        <w:tc>
          <w:tcPr/>
          <w:p>
            <w:pPr>
              <w:pStyle w:val="Compact"/>
              <w:spacing w:after="40" w:before="40"/>
              <w:jc w:val="left"/>
            </w:pPr>
            <w:r>
              <w:rPr>
                <w:rFonts w:ascii="Cambria" w:hAnsi="Cambria" w:cs="Cambria" w:eastAsia="Cambria"/>
                <w:b/>
                <w:bCs/>
                <w:color w:val="1A1A1A"/>
                <w:sz w:val="18"/>
              </w:rPr>
              <w:t xml:space="preserve">Supervisione clinica</w:t>
            </w:r>
          </w:p>
        </w:tc>
        <w:tc>
          <w:tcPr/>
          <w:p>
            <w:pPr>
              <w:pStyle w:val="Compact"/>
              <w:spacing w:after="40" w:before="40"/>
              <w:jc w:val="left"/>
            </w:pPr>
            <w:r>
              <w:rPr>
                <w:rFonts w:ascii="Cambria" w:hAnsi="Cambria" w:cs="Cambria" w:eastAsia="Cambria"/>
                <w:color w:val="1A1A1A"/>
                <w:sz w:val="18"/>
              </w:rPr>
              <w:t xml:space="preserve">€600.000[27]</w:t>
            </w:r>
          </w:p>
        </w:tc>
        <w:tc>
          <w:tcPr/>
          <w:p>
            <w:pPr>
              <w:pStyle w:val="Compact"/>
              <w:spacing w:after="40" w:before="40"/>
              <w:jc w:val="left"/>
            </w:pPr>
            <w:r>
              <w:rPr>
                <w:rFonts w:ascii="Cambria" w:hAnsi="Cambria" w:cs="Cambria" w:eastAsia="Cambria"/>
                <w:color w:val="1A1A1A"/>
                <w:sz w:val="18"/>
              </w:rPr>
              <w:t xml:space="preserve">€600.000 (invariato)</w:t>
            </w:r>
          </w:p>
        </w:tc>
        <w:tc>
          <w:tcPr/>
          <w:p>
            <w:pPr>
              <w:pStyle w:val="Compact"/>
              <w:spacing w:after="40" w:before="40"/>
              <w:jc w:val="left"/>
            </w:pPr>
            <w:r>
              <w:rPr>
                <w:rFonts w:ascii="Cambria" w:hAnsi="Cambria" w:cs="Cambria" w:eastAsia="Cambria"/>
                <w:color w:val="1A1A1A"/>
                <w:sz w:val="18"/>
              </w:rPr>
              <w:t xml:space="preserve">€0 (IA supporta, ma supervisioni necessarie)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Governance e coordinamento</w:t>
            </w:r>
          </w:p>
        </w:tc>
        <w:tc>
          <w:tcPr>
            <w:shd w:val="clear" w:color="auto" w:fill="F4F1EC"/>
          </w:tcPr>
          <w:p>
            <w:pPr>
              <w:pStyle w:val="Compact"/>
              <w:spacing w:after="40" w:before="40"/>
              <w:jc w:val="left"/>
            </w:pPr>
            <w:r>
              <w:rPr>
                <w:rFonts w:ascii="Cambria" w:hAnsi="Cambria" w:cs="Cambria" w:eastAsia="Cambria"/>
                <w:color w:val="1A1A1A"/>
                <w:sz w:val="18"/>
              </w:rPr>
              <w:t xml:space="preserve">€413.000[28]</w:t>
            </w:r>
          </w:p>
        </w:tc>
        <w:tc>
          <w:tcPr>
            <w:shd w:val="clear" w:color="auto" w:fill="F4F1EC"/>
          </w:tcPr>
          <w:p>
            <w:pPr>
              <w:pStyle w:val="Compact"/>
              <w:spacing w:after="40" w:before="40"/>
              <w:jc w:val="left"/>
            </w:pPr>
            <w:r>
              <w:rPr>
                <w:rFonts w:ascii="Cambria" w:hAnsi="Cambria" w:cs="Cambria" w:eastAsia="Cambria"/>
                <w:color w:val="1A1A1A"/>
                <w:sz w:val="18"/>
              </w:rPr>
              <w:t xml:space="preserve">€413.000 (invariato)</w:t>
            </w:r>
          </w:p>
        </w:tc>
        <w:tc>
          <w:tcPr>
            <w:shd w:val="clear" w:color="auto" w:fill="F4F1EC"/>
          </w:tcPr>
          <w:p>
            <w:pPr>
              <w:pStyle w:val="Compact"/>
              <w:spacing w:after="40" w:before="40"/>
              <w:jc w:val="left"/>
            </w:pPr>
            <w:r>
              <w:rPr>
                <w:rFonts w:ascii="Cambria" w:hAnsi="Cambria" w:cs="Cambria" w:eastAsia="Cambria"/>
                <w:color w:val="1A1A1A"/>
                <w:sz w:val="18"/>
              </w:rPr>
              <w:t xml:space="preserve">€0 (IA assiste ma organico immutato)</w:t>
            </w:r>
          </w:p>
        </w:tc>
      </w:tr>
      <w:tr>
        <w:tc>
          <w:tcPr/>
          <w:p>
            <w:pPr>
              <w:pStyle w:val="Compact"/>
              <w:spacing w:after="40" w:before="40"/>
              <w:jc w:val="left"/>
            </w:pPr>
            <w:r>
              <w:rPr>
                <w:rFonts w:ascii="Cambria" w:hAnsi="Cambria" w:cs="Cambria" w:eastAsia="Cambria"/>
                <w:b/>
                <w:bCs/>
                <w:color w:val="1A1A1A"/>
                <w:sz w:val="18"/>
              </w:rPr>
              <w:t xml:space="preserve">Personale amministrativo (supporto)</w:t>
            </w:r>
          </w:p>
        </w:tc>
        <w:tc>
          <w:tcPr/>
          <w:p>
            <w:pPr>
              <w:pStyle w:val="Compact"/>
              <w:spacing w:after="40" w:before="40"/>
              <w:jc w:val="left"/>
            </w:pPr>
            <w:r>
              <w:rPr>
                <w:rFonts w:ascii="Cambria" w:hAnsi="Cambria" w:cs="Cambria" w:eastAsia="Cambria"/>
                <w:color w:val="1A1A1A"/>
                <w:sz w:val="18"/>
              </w:rPr>
              <w:t xml:space="preserve">€4.200.000[4]</w:t>
            </w:r>
          </w:p>
        </w:tc>
        <w:tc>
          <w:tcPr/>
          <w:p>
            <w:pPr>
              <w:pStyle w:val="Compact"/>
              <w:spacing w:after="40" w:before="40"/>
              <w:jc w:val="left"/>
            </w:pPr>
            <w:r>
              <w:rPr>
                <w:rFonts w:ascii="Cambria" w:hAnsi="Cambria" w:cs="Cambria" w:eastAsia="Cambria"/>
                <w:color w:val="1A1A1A"/>
                <w:sz w:val="18"/>
              </w:rPr>
              <w:t xml:space="preserve">~€2.800.000 (≈80 FTE invece 120)</w:t>
            </w:r>
          </w:p>
        </w:tc>
        <w:tc>
          <w:tcPr/>
          <w:p>
            <w:pPr>
              <w:pStyle w:val="Compact"/>
              <w:spacing w:after="40" w:before="40"/>
              <w:jc w:val="left"/>
            </w:pPr>
            <w:r>
              <w:rPr>
                <w:rFonts w:ascii="Cambria" w:hAnsi="Cambria" w:cs="Cambria" w:eastAsia="Cambria"/>
                <w:b/>
                <w:bCs/>
                <w:color w:val="1A1A1A"/>
                <w:sz w:val="18"/>
              </w:rPr>
              <w:t xml:space="preserve">€1.400.000 risparmiati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Sistemi IT e piattaforme</w:t>
            </w:r>
          </w:p>
        </w:tc>
        <w:tc>
          <w:tcPr>
            <w:shd w:val="clear" w:color="auto" w:fill="F4F1EC"/>
          </w:tcPr>
          <w:p>
            <w:pPr>
              <w:pStyle w:val="Compact"/>
              <w:spacing w:after="40" w:before="40"/>
              <w:jc w:val="left"/>
            </w:pPr>
            <w:r>
              <w:rPr>
                <w:rFonts w:ascii="Cambria" w:hAnsi="Cambria" w:cs="Cambria" w:eastAsia="Cambria"/>
                <w:color w:val="1A1A1A"/>
                <w:sz w:val="18"/>
              </w:rPr>
              <w:t xml:space="preserve">€570.000[16]</w:t>
            </w:r>
          </w:p>
        </w:tc>
        <w:tc>
          <w:tcPr>
            <w:shd w:val="clear" w:color="auto" w:fill="F4F1EC"/>
          </w:tcPr>
          <w:p>
            <w:pPr>
              <w:pStyle w:val="Compact"/>
              <w:spacing w:after="40" w:before="40"/>
              <w:jc w:val="left"/>
            </w:pPr>
            <w:r>
              <w:rPr>
                <w:rFonts w:ascii="Cambria" w:hAnsi="Cambria" w:cs="Cambria" w:eastAsia="Cambria"/>
                <w:color w:val="1A1A1A"/>
                <w:sz w:val="18"/>
              </w:rPr>
              <w:t xml:space="preserve">~€750.000 (licenze IA aggiuntive)</w:t>
            </w:r>
          </w:p>
        </w:tc>
        <w:tc>
          <w:tcPr>
            <w:shd w:val="clear" w:color="auto" w:fill="F4F1EC"/>
          </w:tcPr>
          <w:p>
            <w:pPr>
              <w:pStyle w:val="Compact"/>
              <w:spacing w:after="40" w:before="40"/>
              <w:jc w:val="left"/>
            </w:pPr>
            <w:r>
              <w:rPr>
                <w:rFonts w:ascii="Cambria" w:hAnsi="Cambria" w:cs="Cambria" w:eastAsia="Cambria"/>
                <w:b/>
                <w:bCs/>
                <w:color w:val="1A1A1A"/>
                <w:sz w:val="18"/>
              </w:rPr>
              <w:t xml:space="preserve">–€180.000 costo aggiuntivo</w:t>
            </w:r>
          </w:p>
        </w:tc>
      </w:tr>
      <w:tr>
        <w:tc>
          <w:tcPr/>
          <w:p>
            <w:pPr>
              <w:pStyle w:val="Compact"/>
              <w:spacing w:after="40" w:before="40"/>
              <w:jc w:val="left"/>
            </w:pPr>
            <w:r>
              <w:rPr>
                <w:rFonts w:ascii="Cambria" w:hAnsi="Cambria" w:cs="Cambria" w:eastAsia="Cambria"/>
                <w:b/>
                <w:bCs/>
                <w:color w:val="1A1A1A"/>
                <w:sz w:val="18"/>
              </w:rPr>
              <w:t xml:space="preserve">Hardware (amm.to quinquennale)</w:t>
            </w:r>
          </w:p>
        </w:tc>
        <w:tc>
          <w:tcPr/>
          <w:p>
            <w:pPr>
              <w:pStyle w:val="Compact"/>
              <w:spacing w:after="40" w:before="40"/>
              <w:jc w:val="left"/>
            </w:pPr>
            <w:r>
              <w:rPr>
                <w:rFonts w:ascii="Cambria" w:hAnsi="Cambria" w:cs="Cambria" w:eastAsia="Cambria"/>
                <w:color w:val="1A1A1A"/>
                <w:sz w:val="18"/>
              </w:rPr>
              <w:t xml:space="preserve">€400.000[29]</w:t>
            </w:r>
          </w:p>
        </w:tc>
        <w:tc>
          <w:tcPr/>
          <w:p>
            <w:pPr>
              <w:pStyle w:val="Compact"/>
              <w:spacing w:after="40" w:before="40"/>
              <w:jc w:val="left"/>
            </w:pPr>
            <w:r>
              <w:rPr>
                <w:rFonts w:ascii="Cambria" w:hAnsi="Cambria" w:cs="Cambria" w:eastAsia="Cambria"/>
                <w:color w:val="1A1A1A"/>
                <w:sz w:val="18"/>
              </w:rPr>
              <w:t xml:space="preserve">€400.000 (invariato)</w:t>
            </w:r>
          </w:p>
        </w:tc>
        <w:tc>
          <w:tcPr/>
          <w:p>
            <w:pPr>
              <w:pStyle w:val="Compact"/>
              <w:spacing w:after="40" w:before="40"/>
              <w:jc w:val="left"/>
            </w:pPr>
            <w:r>
              <w:rPr>
                <w:rFonts w:ascii="Cambria" w:hAnsi="Cambria" w:cs="Cambria" w:eastAsia="Cambria"/>
                <w:color w:val="1A1A1A"/>
                <w:sz w:val="18"/>
              </w:rPr>
              <w:t xml:space="preserve">€0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Audit e quality assurance</w:t>
            </w:r>
          </w:p>
        </w:tc>
        <w:tc>
          <w:tcPr>
            <w:shd w:val="clear" w:color="auto" w:fill="F4F1EC"/>
          </w:tcPr>
          <w:p>
            <w:pPr>
              <w:pStyle w:val="Compact"/>
              <w:spacing w:after="40" w:before="40"/>
              <w:jc w:val="left"/>
            </w:pPr>
            <w:r>
              <w:rPr>
                <w:rFonts w:ascii="Cambria" w:hAnsi="Cambria" w:cs="Cambria" w:eastAsia="Cambria"/>
                <w:color w:val="1A1A1A"/>
                <w:sz w:val="18"/>
              </w:rPr>
              <w:t xml:space="preserve">€75.000[21]</w:t>
            </w:r>
          </w:p>
        </w:tc>
        <w:tc>
          <w:tcPr>
            <w:shd w:val="clear" w:color="auto" w:fill="F4F1EC"/>
          </w:tcPr>
          <w:p>
            <w:pPr>
              <w:pStyle w:val="Compact"/>
              <w:spacing w:after="40" w:before="40"/>
              <w:jc w:val="left"/>
            </w:pPr>
            <w:r>
              <w:rPr>
                <w:rFonts w:ascii="Cambria" w:hAnsi="Cambria" w:cs="Cambria" w:eastAsia="Cambria"/>
                <w:color w:val="1A1A1A"/>
                <w:sz w:val="18"/>
              </w:rPr>
              <w:t xml:space="preserve">~€50.000 (monitoraggio automatizzato)</w:t>
            </w:r>
          </w:p>
        </w:tc>
        <w:tc>
          <w:tcPr>
            <w:shd w:val="clear" w:color="auto" w:fill="F4F1EC"/>
          </w:tcPr>
          <w:p>
            <w:pPr>
              <w:pStyle w:val="Compact"/>
              <w:spacing w:after="40" w:before="40"/>
              <w:jc w:val="left"/>
            </w:pPr>
            <w:r>
              <w:rPr>
                <w:rFonts w:ascii="Cambria" w:hAnsi="Cambria" w:cs="Cambria" w:eastAsia="Cambria"/>
                <w:b/>
                <w:bCs/>
                <w:color w:val="1A1A1A"/>
                <w:sz w:val="18"/>
              </w:rPr>
              <w:t xml:space="preserve">€25.000 risparmiati</w:t>
            </w:r>
          </w:p>
        </w:tc>
      </w:tr>
      <w:tr>
        <w:tc>
          <w:tcPr/>
          <w:p>
            <w:pPr>
              <w:pStyle w:val="Compact"/>
              <w:spacing w:after="40" w:before="40"/>
              <w:jc w:val="left"/>
            </w:pPr>
            <w:r>
              <w:rPr>
                <w:rFonts w:ascii="Cambria" w:hAnsi="Cambria" w:cs="Cambria" w:eastAsia="Cambria"/>
                <w:b/>
                <w:bCs/>
                <w:color w:val="1A1A1A"/>
                <w:sz w:val="18"/>
              </w:rPr>
              <w:t xml:space="preserve">Formazione congiunta MMG-PSI-CSM</w:t>
            </w:r>
          </w:p>
        </w:tc>
        <w:tc>
          <w:tcPr/>
          <w:p>
            <w:pPr>
              <w:pStyle w:val="Compact"/>
              <w:spacing w:after="40" w:before="40"/>
              <w:jc w:val="left"/>
            </w:pPr>
            <w:r>
              <w:rPr>
                <w:rFonts w:ascii="Cambria" w:hAnsi="Cambria" w:cs="Cambria" w:eastAsia="Cambria"/>
                <w:color w:val="1A1A1A"/>
                <w:sz w:val="18"/>
              </w:rPr>
              <w:t xml:space="preserve">€1.000.000[23]</w:t>
            </w:r>
          </w:p>
        </w:tc>
        <w:tc>
          <w:tcPr/>
          <w:p>
            <w:pPr>
              <w:pStyle w:val="Compact"/>
              <w:spacing w:after="40" w:before="40"/>
              <w:jc w:val="left"/>
            </w:pPr>
            <w:r>
              <w:rPr>
                <w:rFonts w:ascii="Cambria" w:hAnsi="Cambria" w:cs="Cambria" w:eastAsia="Cambria"/>
                <w:color w:val="1A1A1A"/>
                <w:sz w:val="18"/>
              </w:rPr>
              <w:t xml:space="preserve">€1.000.000 (invariato, +training IA incluso)</w:t>
            </w:r>
          </w:p>
        </w:tc>
        <w:tc>
          <w:tcPr/>
          <w:p>
            <w:pPr>
              <w:pStyle w:val="Compact"/>
              <w:spacing w:after="40" w:before="40"/>
              <w:jc w:val="left"/>
            </w:pPr>
            <w:r>
              <w:rPr>
                <w:rFonts w:ascii="Cambria" w:hAnsi="Cambria" w:cs="Cambria" w:eastAsia="Cambria"/>
                <w:color w:val="1A1A1A"/>
                <w:sz w:val="18"/>
              </w:rPr>
              <w:t xml:space="preserve">€0</w:t>
            </w:r>
          </w:p>
        </w:tc>
      </w:tr>
      <w:tr>
        <w:tc>
          <w:tcPr>
            <w:shd w:val="clear" w:color="auto" w:fill="F4F1EC"/>
          </w:tcPr>
          <w:p>
            <w:pPr>
              <w:pStyle w:val="Compact"/>
              <w:spacing w:after="40" w:before="40"/>
              <w:jc w:val="left"/>
            </w:pPr>
            <w:r>
              <w:rPr>
                <w:rFonts w:ascii="Cambria" w:hAnsi="Cambria" w:cs="Cambria" w:eastAsia="Cambria"/>
                <w:color w:val="1A1A1A"/>
                <w:sz w:val="18"/>
              </w:rPr>
              <w:t xml:space="preserve">****Totale costi diretti annui**</w:t>
            </w:r>
          </w:p>
        </w:tc>
        <w:tc>
          <w:tcPr>
            <w:shd w:val="clear" w:color="auto" w:fill="F4F1EC"/>
          </w:tcPr>
          <w:p>
            <w:pPr>
              <w:pStyle w:val="Compact"/>
              <w:spacing w:after="40" w:before="40"/>
              <w:jc w:val="left"/>
            </w:pPr>
            <w:r>
              <w:rPr>
                <w:rFonts w:ascii="Cambria" w:hAnsi="Cambria" w:cs="Cambria" w:eastAsia="Cambria"/>
                <w:b/>
                <w:bCs/>
                <w:color w:val="1A1A1A"/>
                <w:sz w:val="18"/>
              </w:rPr>
              <w:t xml:space="preserve">€38.810.800</w:t>
            </w:r>
            <w:r>
              <w:rPr>
                <w:rFonts w:ascii="Cambria" w:hAnsi="Cambria" w:cs="Cambria" w:eastAsia="Cambria"/>
                <w:color w:val="1A1A1A"/>
                <w:sz w:val="18"/>
              </w:rPr>
              <w:t xml:space="preserve">[30]</w:t>
            </w:r>
          </w:p>
        </w:tc>
        <w:tc>
          <w:tcPr>
            <w:shd w:val="clear" w:color="auto" w:fill="F4F1EC"/>
          </w:tcPr>
          <w:p>
            <w:pPr>
              <w:pStyle w:val="Compact"/>
              <w:spacing w:after="40" w:before="40"/>
              <w:jc w:val="left"/>
            </w:pPr>
            <w:r>
              <w:rPr>
                <w:rFonts w:ascii="Cambria" w:hAnsi="Cambria" w:cs="Cambria" w:eastAsia="Cambria"/>
                <w:b/>
                <w:bCs/>
                <w:color w:val="1A1A1A"/>
                <w:sz w:val="18"/>
              </w:rPr>
              <w:t xml:space="preserve">~€37.485.800</w:t>
            </w:r>
          </w:p>
        </w:tc>
        <w:tc>
          <w:tcPr>
            <w:shd w:val="clear" w:color="auto" w:fill="F4F1EC"/>
          </w:tcPr>
          <w:p>
            <w:pPr>
              <w:pStyle w:val="Compact"/>
              <w:spacing w:after="40" w:before="40"/>
              <w:jc w:val="left"/>
            </w:pPr>
            <w:r>
              <w:rPr>
                <w:rFonts w:ascii="Cambria" w:hAnsi="Cambria" w:cs="Cambria" w:eastAsia="Cambria"/>
                <w:b/>
                <w:bCs/>
                <w:color w:val="1A1A1A"/>
                <w:sz w:val="18"/>
              </w:rPr>
              <w:t xml:space="preserve">≈ €1.325.000 risparmiati</w:t>
            </w:r>
            <w:r>
              <w:rPr>
                <w:rFonts w:ascii="Cambria" w:hAnsi="Cambria" w:cs="Cambria" w:eastAsia="Cambria"/>
                <w:color w:val="1A1A1A"/>
                <w:sz w:val="18"/>
              </w:rPr>
              <w:t xml:space="preserve"> </w:t>
            </w:r>
            <w:r>
              <w:rPr>
                <w:rFonts w:ascii="Cambria" w:hAnsi="Cambria" w:cs="Cambria" w:eastAsia="Cambria"/>
                <w:color w:val="1A1A1A"/>
                <w:sz w:val="18"/>
              </w:rPr>
              <w:t xml:space="preserve">(~3,4%)</w:t>
            </w:r>
          </w:p>
        </w:tc>
      </w:tr>
    </w:tbl>
    <w:p>
      <w:pPr>
        <w:pStyle w:val="BodyText"/>
      </w:pPr>
      <w:r>
        <w:rPr>
          <w:i/>
          <w:iCs/>
        </w:rPr>
        <w:t xml:space="preserve">N.B.: I valori dello scenario IA sono stime elaborate sulla base delle efficienze discusse; i risparmi effettivi possono variare a seconda del livello di adozione tecnologica. Eventuali costi iniziali di implementazione non compaiono qui, essendo la tabella riferita a costi a regime.</w:t>
      </w:r>
    </w:p>
    <w:p>
      <w:pPr>
        <w:pStyle w:val="BodyText"/>
      </w:pPr>
      <w:r>
        <w:t xml:space="preserve">Come si evince,</w:t>
      </w:r>
      <w:r>
        <w:t xml:space="preserve"> </w:t>
      </w:r>
      <w:r>
        <w:rPr>
          <w:b/>
          <w:bCs/>
        </w:rPr>
        <w:t xml:space="preserve">l’uso esteso dell’IA potrebbe ridurre i costi operativi diretti di circa €1,3 milioni annui</w:t>
      </w:r>
      <w:r>
        <w:t xml:space="preserve"> </w:t>
      </w:r>
      <w:r>
        <w:t xml:space="preserve">(oltre il 3% del budget) già nel regime a 800 psicologi,</w:t>
      </w:r>
      <w:r>
        <w:t xml:space="preserve"> </w:t>
      </w:r>
      <w:r>
        <w:rPr>
          <w:i/>
          <w:iCs/>
        </w:rPr>
        <w:t xml:space="preserve">nonostante l’aggiunta di nuove tecnologie</w:t>
      </w:r>
      <w:r>
        <w:t xml:space="preserve">. I maggiori risparmi emergono sul fronte del personale di supporto (fino a –€1,4M/anno grazie all’automazione del 30–40% delle attività amministrative) e in misura minore su alcune spese generali (formazione tradizionale, audit) ottimizzate dalla digitalizzazione. Contestualmente si prevede un</w:t>
      </w:r>
      <w:r>
        <w:t xml:space="preserve"> </w:t>
      </w:r>
      <w:r>
        <w:rPr>
          <w:b/>
          <w:bCs/>
        </w:rPr>
        <w:t xml:space="preserve">incremento di costo per le voci tecnologiche</w:t>
      </w:r>
      <w:r>
        <w:t xml:space="preserve"> </w:t>
      </w:r>
      <w:r>
        <w:t xml:space="preserve">(~+€180k/anno) dovuto a licenze e servizi IA aggiuntivi – investimento che viene però ampiamente compensato dai risparmi di personale. L’impatto sulle altre categorie è neutro: i costi del personale clinico restano invariati (si preserva l’organico completo di 800 psicologi per garantire la copertura ottimale, impiegandoli però in modo più efficiente), così come i costi di supervisione e governance (l’IA potenzia l’efficacia di queste funzioni ma non riduce il fabbisogno di figure senior). In sintesi, lo</w:t>
      </w:r>
      <w:r>
        <w:t xml:space="preserve"> </w:t>
      </w:r>
      <w:r>
        <w:rPr>
          <w:b/>
          <w:bCs/>
        </w:rPr>
        <w:t xml:space="preserve">scenario IA-enhanced</w:t>
      </w:r>
      <w:r>
        <w:t xml:space="preserve"> </w:t>
      </w:r>
      <w:r>
        <w:t xml:space="preserve">permette di</w:t>
      </w:r>
      <w:r>
        <w:t xml:space="preserve"> </w:t>
      </w:r>
      <w:r>
        <w:rPr>
          <w:b/>
          <w:bCs/>
        </w:rPr>
        <w:t xml:space="preserve">erogare lo stesso servizio ad un costo lievemente inferiore</w:t>
      </w:r>
      <w:r>
        <w:t xml:space="preserve">, liberando oltre un milione di euro ogni anno. Queste risorse</w:t>
      </w:r>
      <w:r>
        <w:t xml:space="preserve"> </w:t>
      </w:r>
      <w:r>
        <w:t xml:space="preserve">“</w:t>
      </w:r>
      <w:r>
        <w:t xml:space="preserve">risparmiate</w:t>
      </w:r>
      <w:r>
        <w:t xml:space="preserve">”</w:t>
      </w:r>
      <w:r>
        <w:t xml:space="preserve"> </w:t>
      </w:r>
      <w:r>
        <w:t xml:space="preserve">potrebbero essere</w:t>
      </w:r>
      <w:r>
        <w:t xml:space="preserve"> </w:t>
      </w:r>
      <w:r>
        <w:rPr>
          <w:i/>
          <w:iCs/>
        </w:rPr>
        <w:t xml:space="preserve">reinvestite</w:t>
      </w:r>
      <w:r>
        <w:t xml:space="preserve"> </w:t>
      </w:r>
      <w:r>
        <w:t xml:space="preserve">per ampliare l’accesso (es. assumere qualche psicologo in più senza aumentare il budget totale, portando magari verso i 900 FTE dello scenario espansivo), oppure per sostenere i costi iniziali delle tecnologie stesse. Va sottolineato che il</w:t>
      </w:r>
      <w:r>
        <w:t xml:space="preserve"> </w:t>
      </w:r>
      <w:r>
        <w:rPr>
          <w:b/>
          <w:bCs/>
        </w:rPr>
        <w:t xml:space="preserve">vantaggio principale dell’IA</w:t>
      </w:r>
      <w:r>
        <w:t xml:space="preserve"> </w:t>
      </w:r>
      <w:r>
        <w:t xml:space="preserve">è anche</w:t>
      </w:r>
      <w:r>
        <w:t xml:space="preserve"> </w:t>
      </w:r>
      <w:r>
        <w:rPr>
          <w:i/>
          <w:iCs/>
        </w:rPr>
        <w:t xml:space="preserve">qualitativo</w:t>
      </w:r>
      <w:r>
        <w:t xml:space="preserve">: a parità di spesa, consente di ottenere processi più rapidi, dati più accurati e migliori esiti clinici (temi che affronteremo in termini di ROI globale). Difatti, pur stimando un risparmio diretto modesto (qualche punto percentuale del budget), l’IA prepara il terreno a</w:t>
      </w:r>
      <w:r>
        <w:t xml:space="preserve"> </w:t>
      </w:r>
      <w:r>
        <w:rPr>
          <w:b/>
          <w:bCs/>
        </w:rPr>
        <w:t xml:space="preserve">ulteriori benefici economici indiretti</w:t>
      </w:r>
      <w:r>
        <w:t xml:space="preserve">: grazie ad essa, gli psicologi possono ridurre visite mediche e farmaci evitabili, prevenire ricoveri, aumentare la produttività del sistema – generando risparmi ben maggiori in altri capitoli di spesa sanitaria, come discusso oltre.</w:t>
      </w:r>
    </w:p>
    <w:p>
      <w:pPr>
        <w:pStyle w:val="BodyText"/>
      </w:pPr>
      <w:r>
        <w:rPr>
          <w:b/>
          <w:bCs/>
        </w:rPr>
        <w:t xml:space="preserve">Best-case scenario:</w:t>
      </w:r>
      <w:r>
        <w:t xml:space="preserve"> </w:t>
      </w:r>
      <w:r>
        <w:t xml:space="preserve">in una prospettiva più aggressiva, se la trasformazione digitale fosse tale da dimezzare il carico amministrativo (ipotizzando soli ~60 FTE di supporto necessari) e far guadagnare ulteriore efficienza ai clinici, il risparmio diretto potrebbe salire anche a</w:t>
      </w:r>
      <w:r>
        <w:t xml:space="preserve"> </w:t>
      </w:r>
      <w:r>
        <w:rPr>
          <w:b/>
          <w:bCs/>
        </w:rPr>
        <w:t xml:space="preserve">€2–3 milioni annui</w:t>
      </w:r>
      <w:r>
        <w:t xml:space="preserve"> </w:t>
      </w:r>
      <w:r>
        <w:t xml:space="preserve">(~5–7% del budget). Ciò dipenderebbe dall’implementazione di soluzioni IA molto mature e dall’adattamento dei processi lavorativi per sfruttarle appieno. In ogni caso, anche nello scenario conservativo presentato in tabella, l’IA risulta finanziariamente conveniente: in pratica,</w:t>
      </w:r>
      <w:r>
        <w:t xml:space="preserve"> </w:t>
      </w:r>
      <w:r>
        <w:rPr>
          <w:b/>
          <w:bCs/>
        </w:rPr>
        <w:t xml:space="preserve">si auto-sostiene</w:t>
      </w:r>
      <w:r>
        <w:t xml:space="preserve">, perché i risparmi annuali (€1,3M) eccedono di molto l’aumento dei costi tecnologici (€0,18M), producendo un saldo positivo. Questo getta le basi per un ROI interessante, che quantifichiamo nel prossimo paragrafo.</w:t>
      </w:r>
    </w:p>
    <w:bookmarkEnd w:id="2060"/>
    <w:bookmarkStart w:id="2065" w:name="X1af5b07845be909ee197c462f249d9399cf520f"/>
    <w:p>
      <w:pPr>
        <w:pStyle w:val="Heading3"/>
      </w:pPr>
      <w:r>
        <w:t xml:space="preserve">Soluzioni di IA disponibili per il progetto e relativi costi</w:t>
      </w:r>
    </w:p>
    <w:p>
      <w:pPr>
        <w:pStyle w:val="FirstParagraph"/>
      </w:pPr>
      <w:r>
        <w:t xml:space="preserve">Per tradurre in pratica lo scenario IA-enhanced, la Regione può avvalersi sia di</w:t>
      </w:r>
      <w:r>
        <w:t xml:space="preserve"> </w:t>
      </w:r>
      <w:r>
        <w:rPr>
          <w:b/>
          <w:bCs/>
        </w:rPr>
        <w:t xml:space="preserve">soluzioni già sul mercato</w:t>
      </w:r>
      <w:r>
        <w:t xml:space="preserve"> </w:t>
      </w:r>
      <w:r>
        <w:t xml:space="preserve">(pronte all’uso, da adattare al contesto locale) sia di</w:t>
      </w:r>
      <w:r>
        <w:t xml:space="preserve"> </w:t>
      </w:r>
      <w:r>
        <w:rPr>
          <w:b/>
          <w:bCs/>
        </w:rPr>
        <w:t xml:space="preserve">sviluppi ad-hoc o open-source</w:t>
      </w:r>
      <w:r>
        <w:t xml:space="preserve"> </w:t>
      </w:r>
      <w:r>
        <w:t xml:space="preserve">in collaborazione con partner pubblici. Elenchiamo di seguito le principali</w:t>
      </w:r>
      <w:r>
        <w:t xml:space="preserve"> </w:t>
      </w:r>
      <w:r>
        <w:rPr>
          <w:b/>
          <w:bCs/>
        </w:rPr>
        <w:t xml:space="preserve">tecnologie IA</w:t>
      </w:r>
      <w:r>
        <w:t xml:space="preserve"> </w:t>
      </w:r>
      <w:r>
        <w:t xml:space="preserve">applicabili al servizio Psicologo di Base, con esempi di prodotti e indicazione di massima dei costi di implementazione, licenza, manutenzione, formazione e aggiornamento associati. L’obiettivo è identificare strumenti concreti per ciascuna area (clinica e gestionale), valutandone la maturità e l’onerosità per la Regione Puglia.</w:t>
      </w:r>
    </w:p>
    <w:p>
      <w:pPr>
        <w:numPr>
          <w:ilvl w:val="0"/>
          <w:numId w:val="1011"/>
        </w:numPr>
      </w:pPr>
      <w:r>
        <w:rPr>
          <w:b/>
          <w:bCs/>
        </w:rPr>
        <w:t xml:space="preserve">Piattaforma informativa clinica integrata con AI</w:t>
      </w:r>
      <w:r>
        <w:t xml:space="preserve"> </w:t>
      </w:r>
      <w:r>
        <w:t xml:space="preserve">– Si tratta del</w:t>
      </w:r>
      <w:r>
        <w:t xml:space="preserve"> </w:t>
      </w:r>
      <w:r>
        <w:t xml:space="preserve">“</w:t>
      </w:r>
      <w:r>
        <w:t xml:space="preserve">cervello digitale</w:t>
      </w:r>
      <w:r>
        <w:t xml:space="preserve">”</w:t>
      </w:r>
      <w:r>
        <w:t xml:space="preserve"> </w:t>
      </w:r>
      <w:r>
        <w:t xml:space="preserve">del servizio, ovvero la cartella clinica elettronica e il sistema di raccolta dati di esito, arricchito con moduli di intelligenza artificiale. Una base di partenza può essere l’adozione di una piattaforma tipo</w:t>
      </w:r>
      <w:r>
        <w:t xml:space="preserve"> </w:t>
      </w:r>
      <w:r>
        <w:rPr>
          <w:i/>
          <w:iCs/>
        </w:rPr>
        <w:t xml:space="preserve">IAPTus</w:t>
      </w:r>
      <w:r>
        <w:t xml:space="preserve"> </w:t>
      </w:r>
      <w:r>
        <w:t xml:space="preserve">(utilizzata nel 70% dei servizi IAPT in UK)[17], che offre gestione del paziente, monitoraggio ROM in tempo reale e analisi di cost-effectiveness. IAPTus ha dimostrato di ridurre significativamente i costi amministrativi e di ripagarsi in circa un anno[17]. Per la Puglia, un sistema analogo (fornito da vendor internazionali o nazionali) avrebbe un costo di licenza intorno a</w:t>
      </w:r>
      <w:r>
        <w:t xml:space="preserve"> </w:t>
      </w:r>
      <w:r>
        <w:rPr>
          <w:b/>
          <w:bCs/>
        </w:rPr>
        <w:t xml:space="preserve">€400–600 per utente/anno</w:t>
      </w:r>
      <w:r>
        <w:t xml:space="preserve">[18]. Ciò significa ~€400k/anno considerando psicologi + staff coinvolto (come già stimato nei documenti base). L’aggiunta di componenti IA potrebbe avvenire tramite moduli extra: ad esempio</w:t>
      </w:r>
      <w:r>
        <w:t xml:space="preserve"> </w:t>
      </w:r>
      <w:r>
        <w:rPr>
          <w:b/>
          <w:bCs/>
        </w:rPr>
        <w:t xml:space="preserve">modelli di machine learning</w:t>
      </w:r>
      <w:r>
        <w:t xml:space="preserve"> </w:t>
      </w:r>
      <w:r>
        <w:t xml:space="preserve">integrati che analizzano gli outcome e suggeriscono il prossimo step terapeutico, oppure che predicono il rischio di drop-out per ciascun paziente. Alcune piattaforme evolute includono già funzionalità di questo tipo, altre potrebbero richiedere un progetto dedicato (con costi di sviluppo nell’ordine di decine di migliaia di euro). Nel complesso, un investimento in piattaforma digitale con IA può essere stimato in</w:t>
      </w:r>
      <w:r>
        <w:t xml:space="preserve"> </w:t>
      </w:r>
      <w:r>
        <w:rPr>
          <w:b/>
          <w:bCs/>
        </w:rPr>
        <w:t xml:space="preserve">~€0,5 milioni il primo anno</w:t>
      </w:r>
      <w:r>
        <w:t xml:space="preserve"> </w:t>
      </w:r>
      <w:r>
        <w:t xml:space="preserve">(setup e training inclusi) e</w:t>
      </w:r>
      <w:r>
        <w:t xml:space="preserve"> </w:t>
      </w:r>
      <w:r>
        <w:rPr>
          <w:b/>
          <w:bCs/>
        </w:rPr>
        <w:t xml:space="preserve">€300–500k/anno</w:t>
      </w:r>
      <w:r>
        <w:t xml:space="preserve"> </w:t>
      </w:r>
      <w:r>
        <w:t xml:space="preserve">negli anni successivi per licenze, hosting cloud, assistenza e aggiornamenti. Vendor possibili:</w:t>
      </w:r>
      <w:r>
        <w:t xml:space="preserve"> </w:t>
      </w:r>
      <w:r>
        <w:rPr>
          <w:b/>
          <w:bCs/>
        </w:rPr>
        <w:t xml:space="preserve">Mayden</w:t>
      </w:r>
      <w:r>
        <w:t xml:space="preserve"> </w:t>
      </w:r>
      <w:r>
        <w:t xml:space="preserve">(UK, sviluppatore di IAPTus),</w:t>
      </w:r>
      <w:r>
        <w:t xml:space="preserve"> </w:t>
      </w:r>
      <w:r>
        <w:rPr>
          <w:b/>
          <w:bCs/>
        </w:rPr>
        <w:t xml:space="preserve">SilverCloud/Amwell</w:t>
      </w:r>
      <w:r>
        <w:t xml:space="preserve"> </w:t>
      </w:r>
      <w:r>
        <w:t xml:space="preserve">(piattaforma di terapia online già usata in NHS), oppure aziende italiane di e-health (ad es. Engineering, Exprivia, Dedalus) in grado di customizzare soluzioni per la sanità regionale. È cruciale assicurarsi che la piattaforma scelta sia</w:t>
      </w:r>
      <w:r>
        <w:t xml:space="preserve"> </w:t>
      </w:r>
      <w:r>
        <w:rPr>
          <w:b/>
          <w:bCs/>
        </w:rPr>
        <w:t xml:space="preserve">interoperabile</w:t>
      </w:r>
      <w:r>
        <w:t xml:space="preserve"> </w:t>
      </w:r>
      <w:r>
        <w:t xml:space="preserve">con i sistemi dei MMG e dei CSM (ad es. tramite standard HL7/FHIR) e conforme alla normativa privacy (GDPR) e di sicurezza. La formazione del personale all’uso di questa piattaforma rientrerebbe nel budget formazione IT (già in parte previsto); inizialmente si dovranno erogare sessioni di training all’uso dei nuovi software, con costi stimabili in</w:t>
      </w:r>
      <w:r>
        <w:t xml:space="preserve"> </w:t>
      </w:r>
      <w:r>
        <w:rPr>
          <w:b/>
          <w:bCs/>
        </w:rPr>
        <w:t xml:space="preserve">€50–100k</w:t>
      </w:r>
      <w:r>
        <w:t xml:space="preserve"> </w:t>
      </w:r>
      <w:r>
        <w:t xml:space="preserve">(formatori, tutoring on-site, materiale didattico).</w:t>
      </w:r>
    </w:p>
    <w:p>
      <w:pPr>
        <w:numPr>
          <w:ilvl w:val="0"/>
          <w:numId w:val="1011"/>
        </w:numPr>
      </w:pPr>
      <w:r>
        <w:rPr>
          <w:b/>
          <w:bCs/>
        </w:rPr>
        <w:t xml:space="preserve">Assistenti virtuali per triage e supporto al paziente</w:t>
      </w:r>
      <w:r>
        <w:t xml:space="preserve"> </w:t>
      </w:r>
      <w:r>
        <w:t xml:space="preserve">– Sono</w:t>
      </w:r>
      <w:r>
        <w:t xml:space="preserve"> </w:t>
      </w:r>
      <w:r>
        <w:rPr>
          <w:b/>
          <w:bCs/>
        </w:rPr>
        <w:t xml:space="preserve">chatbot basati su IA conversazionale</w:t>
      </w:r>
      <w:r>
        <w:t xml:space="preserve"> </w:t>
      </w:r>
      <w:r>
        <w:t xml:space="preserve">addestrati per interagire con gli utenti, con diversi livelli di complessità: si va dai sistemi di triage/screening iniziale ai veri e propri</w:t>
      </w:r>
      <w:r>
        <w:t xml:space="preserve"> </w:t>
      </w:r>
      <w:r>
        <w:t xml:space="preserve">“</w:t>
      </w:r>
      <w:r>
        <w:t xml:space="preserve">terapisti virtuali</w:t>
      </w:r>
      <w:r>
        <w:t xml:space="preserve">”</w:t>
      </w:r>
      <w:r>
        <w:t xml:space="preserve"> </w:t>
      </w:r>
      <w:r>
        <w:t xml:space="preserve">che offrono interventi psicoeducativi o di automonitoraggio. Per il</w:t>
      </w:r>
      <w:r>
        <w:t xml:space="preserve"> </w:t>
      </w:r>
      <w:r>
        <w:rPr>
          <w:i/>
          <w:iCs/>
        </w:rPr>
        <w:t xml:space="preserve">triage digitale</w:t>
      </w:r>
      <w:r>
        <w:t xml:space="preserve"> </w:t>
      </w:r>
      <w:r>
        <w:t xml:space="preserve">all’accesso, un esempio all’avanguardia è</w:t>
      </w:r>
      <w:r>
        <w:t xml:space="preserve"> </w:t>
      </w:r>
      <w:r>
        <w:rPr>
          <w:i/>
          <w:iCs/>
        </w:rPr>
        <w:t xml:space="preserve">Limbic Access</w:t>
      </w:r>
      <w:r>
        <w:t xml:space="preserve">: questo chatbot, certificato dispositivo medico di classe IIa nel Regno Unito, guida il paziente attraverso un colloquio strutturato online, raccoglie sintomi e compila una sorta di anamnesi psicologica,</w:t>
      </w:r>
      <w:r>
        <w:t xml:space="preserve"> </w:t>
      </w:r>
      <w:r>
        <w:rPr>
          <w:b/>
          <w:bCs/>
        </w:rPr>
        <w:t xml:space="preserve">classificando con il 93% di accuratezza</w:t>
      </w:r>
      <w:r>
        <w:t xml:space="preserve"> </w:t>
      </w:r>
      <w:r>
        <w:t xml:space="preserve">le comuni diagnosi di salute mentale</w:t>
      </w:r>
      <w:hyperlink r:id="rId1925">
        <w:r>
          <w:rPr>
            <w:rStyle w:val="Hyperlink"/>
          </w:rPr>
          <w:t xml:space="preserve">[31]</w:t>
        </w:r>
      </w:hyperlink>
      <w:r>
        <w:t xml:space="preserve"> </w:t>
      </w:r>
      <w:r>
        <w:t xml:space="preserve">prima ancora della valutazione clinica. Limbic è già usato nel 25% dei servizi</w:t>
      </w:r>
      <w:r>
        <w:t xml:space="preserve"> </w:t>
      </w:r>
      <w:r>
        <w:t xml:space="preserve">“</w:t>
      </w:r>
      <w:r>
        <w:t xml:space="preserve">Talking Therapies</w:t>
      </w:r>
      <w:r>
        <w:t xml:space="preserve">”</w:t>
      </w:r>
      <w:r>
        <w:t xml:space="preserve"> </w:t>
      </w:r>
      <w:r>
        <w:t xml:space="preserve">(IAPT) NHS e ha mostrato risultati notevoli: riduzione del 23,5% del tempo di assessment per referral (oltre</w:t>
      </w:r>
      <w:r>
        <w:t xml:space="preserve"> </w:t>
      </w:r>
      <w:r>
        <w:rPr>
          <w:i/>
          <w:iCs/>
        </w:rPr>
        <w:t xml:space="preserve">30.000 ore cliniche risparmiate</w:t>
      </w:r>
      <w:r>
        <w:t xml:space="preserve"> </w:t>
      </w:r>
      <w:r>
        <w:t xml:space="preserve">in totale) e 13% di riduzione nei tempi di attesa</w:t>
      </w:r>
      <w:hyperlink r:id="rId1926">
        <w:r>
          <w:rPr>
            <w:rStyle w:val="Hyperlink"/>
          </w:rPr>
          <w:t xml:space="preserve">[32]</w:t>
        </w:r>
      </w:hyperlink>
      <w:hyperlink r:id="rId2061">
        <w:r>
          <w:rPr>
            <w:rStyle w:val="Hyperlink"/>
          </w:rPr>
          <w:t xml:space="preserve">[33]</w:t>
        </w:r>
      </w:hyperlink>
      <w:r>
        <w:t xml:space="preserve">. Un simile strumento, adottato in Puglia, permetterebbe ai cittadini di</w:t>
      </w:r>
      <w:r>
        <w:t xml:space="preserve"> </w:t>
      </w:r>
      <w:r>
        <w:rPr>
          <w:b/>
          <w:bCs/>
        </w:rPr>
        <w:t xml:space="preserve">auto-segnalarsi 24/7</w:t>
      </w:r>
      <w:r>
        <w:t xml:space="preserve"> </w:t>
      </w:r>
      <w:r>
        <w:t xml:space="preserve">via web/app, ottenendo una prima valutazione immediata e persino la prenotazione di un appuntamento. Il</w:t>
      </w:r>
      <w:r>
        <w:t xml:space="preserve"> </w:t>
      </w:r>
      <w:r>
        <w:rPr>
          <w:b/>
          <w:bCs/>
        </w:rPr>
        <w:t xml:space="preserve">costo</w:t>
      </w:r>
      <w:r>
        <w:t xml:space="preserve">: Limbic e prodotti affini vengono forniti con un modello SaaS su abbonamento (tipicamente in base al numero di referrals annui). Fonti pubbliche non indicano il prezzo esatto, ma per dimensioni regionali si può ipotizzare un contratto di</w:t>
      </w:r>
      <w:r>
        <w:t xml:space="preserve"> </w:t>
      </w:r>
      <w:r>
        <w:rPr>
          <w:b/>
          <w:bCs/>
        </w:rPr>
        <w:t xml:space="preserve">€150–300k/anno</w:t>
      </w:r>
      <w:r>
        <w:t xml:space="preserve"> </w:t>
      </w:r>
      <w:r>
        <w:t xml:space="preserve">per coprire decine di migliaia di accessi (potenzialmente negoziabile al ribasso su larga scala). In alternativa, esistono soluzioni più semplici e open-source per il triage (ad es. adattare chatbot open AI tipo GPT-4 tramite prompt ingegnerizzati su protocolli clinici; alcune regioni hanno sviluppato assistenti virtuali con tecnologie IBM Watson Assistant o Google Dialogflow per l’orientamento dei pazienti). Queste soluzioni custom potrebbero richiedere un</w:t>
      </w:r>
      <w:r>
        <w:t xml:space="preserve"> </w:t>
      </w:r>
      <w:r>
        <w:rPr>
          <w:b/>
          <w:bCs/>
        </w:rPr>
        <w:t xml:space="preserve">investimento iniziale</w:t>
      </w:r>
      <w:r>
        <w:t xml:space="preserve"> </w:t>
      </w:r>
      <w:r>
        <w:t xml:space="preserve">di sviluppo e training dell’IA di</w:t>
      </w:r>
      <w:r>
        <w:t xml:space="preserve"> </w:t>
      </w:r>
      <w:r>
        <w:rPr>
          <w:b/>
          <w:bCs/>
        </w:rPr>
        <w:t xml:space="preserve">~€100–200k</w:t>
      </w:r>
      <w:r>
        <w:t xml:space="preserve">, più costi di mantenimento contenuti (cloud e periodico re-training, stimabili in €20–50k/anno). Per il supporto psicologico continuativo via chatbot (oltre il triage), esempi includono</w:t>
      </w:r>
      <w:r>
        <w:t xml:space="preserve"> </w:t>
      </w:r>
      <w:r>
        <w:rPr>
          <w:b/>
          <w:bCs/>
        </w:rPr>
        <w:t xml:space="preserve">Woebot</w:t>
      </w:r>
      <w:r>
        <w:t xml:space="preserve">,</w:t>
      </w:r>
      <w:r>
        <w:t xml:space="preserve"> </w:t>
      </w:r>
      <w:r>
        <w:rPr>
          <w:b/>
          <w:bCs/>
        </w:rPr>
        <w:t xml:space="preserve">Wysa</w:t>
      </w:r>
      <w:r>
        <w:t xml:space="preserve">,</w:t>
      </w:r>
      <w:r>
        <w:t xml:space="preserve"> </w:t>
      </w:r>
      <w:r>
        <w:rPr>
          <w:b/>
          <w:bCs/>
        </w:rPr>
        <w:t xml:space="preserve">Tess (X2AI)</w:t>
      </w:r>
      <w:r>
        <w:t xml:space="preserve">: sono app/chatbot di terapia cognitivo-comportamentale guidata dall’IA, che forniscono coaching, esercizi di CBT, monitoraggio dell’umore. Alcuni sono già disponibili in lingua italiana (Wysa ha un’interfaccia italiana), altri richiederebbero localizzazione. Sebbene gli studi finora abbiano risultati misti sull’efficacia dei chatbot come sostituti della terapia</w:t>
      </w:r>
      <w:hyperlink r:id="rId2062">
        <w:r>
          <w:rPr>
            <w:rStyle w:val="Hyperlink"/>
          </w:rPr>
          <w:t xml:space="preserve">[34]</w:t>
        </w:r>
      </w:hyperlink>
      <w:r>
        <w:t xml:space="preserve">, essi possono essere ottimi strumenti</w:t>
      </w:r>
      <w:r>
        <w:t xml:space="preserve"> </w:t>
      </w:r>
      <w:r>
        <w:rPr>
          <w:i/>
          <w:iCs/>
        </w:rPr>
        <w:t xml:space="preserve">complementari</w:t>
      </w:r>
      <w:r>
        <w:t xml:space="preserve"> </w:t>
      </w:r>
      <w:r>
        <w:t xml:space="preserve">in un modello stepped-care (es. per casi subclinici o come supporto tra una seduta e l’altra). La Regione potrebbe</w:t>
      </w:r>
      <w:r>
        <w:t xml:space="preserve"> </w:t>
      </w:r>
      <w:r>
        <w:rPr>
          <w:b/>
          <w:bCs/>
        </w:rPr>
        <w:t xml:space="preserve">acquistare licenze enterprise</w:t>
      </w:r>
      <w:r>
        <w:t xml:space="preserve"> </w:t>
      </w:r>
      <w:r>
        <w:t xml:space="preserve">di tali app per distribuirle gratuitamente agli utenti (molte funzionano a abbonamento per utente; su larga scala si può ottenere un prezzo ridotto, es.</w:t>
      </w:r>
      <w:r>
        <w:t xml:space="preserve"> </w:t>
      </w:r>
      <w:r>
        <w:rPr>
          <w:b/>
          <w:bCs/>
        </w:rPr>
        <w:t xml:space="preserve">€5–10 utente/mese</w:t>
      </w:r>
      <w:r>
        <w:t xml:space="preserve">; ipotizzando 10.000 utenti = ~€600k/anno, modulabile in base all’utilizzo). In alternativa, investire nello sviluppo pubblico di un chatbot nazionale: ad esempio il Ministero Salute/ISS potrebbero co-sviluppare un assistente virtuale per il benessere psicologico, diluendo i costi tra più regioni. In tutti i casi, l’introduzione di un assistente virtuale richiede anche</w:t>
      </w:r>
      <w:r>
        <w:t xml:space="preserve"> </w:t>
      </w:r>
      <w:r>
        <w:rPr>
          <w:b/>
          <w:bCs/>
        </w:rPr>
        <w:t xml:space="preserve">validazione clinica locale</w:t>
      </w:r>
      <w:r>
        <w:t xml:space="preserve"> </w:t>
      </w:r>
      <w:r>
        <w:t xml:space="preserve">e formazione degli operatori su come integrarlo (es.: gli psicologi devono imparare a leggere i report generati dal chatbot e a intervenire se l’IA segnala rischio suicidario). Questi aspetti rientrano nei costi</w:t>
      </w:r>
      <w:r>
        <w:t xml:space="preserve"> </w:t>
      </w:r>
      <w:r>
        <w:t xml:space="preserve">“</w:t>
      </w:r>
      <w:r>
        <w:t xml:space="preserve">invisibili</w:t>
      </w:r>
      <w:r>
        <w:t xml:space="preserve">”</w:t>
      </w:r>
      <w:r>
        <w:t xml:space="preserve"> </w:t>
      </w:r>
      <w:r>
        <w:t xml:space="preserve">di implementazione: dedicare team per pilot, monitorare i risultati, aggiustare il tiro dell’algoritmo. Stimando un progetto pilota di 1 anno con 1000 utenti, incluso monitoraggio da ricercatori universitari, potremmo considerare</w:t>
      </w:r>
      <w:r>
        <w:t xml:space="preserve"> </w:t>
      </w:r>
      <w:r>
        <w:rPr>
          <w:b/>
          <w:bCs/>
        </w:rPr>
        <w:t xml:space="preserve">€50–100k</w:t>
      </w:r>
      <w:r>
        <w:t xml:space="preserve"> </w:t>
      </w:r>
      <w:r>
        <w:t xml:space="preserve">di budget dedicato alla valutazione scientifica prima di un roll-out massivo.</w:t>
      </w:r>
    </w:p>
    <w:p>
      <w:pPr>
        <w:numPr>
          <w:ilvl w:val="0"/>
          <w:numId w:val="1011"/>
        </w:numPr>
      </w:pPr>
      <w:r>
        <w:rPr>
          <w:b/>
          <w:bCs/>
        </w:rPr>
        <w:t xml:space="preserve">Sistemi di reminder, scheduling intelligente e call center virtuale</w:t>
      </w:r>
      <w:r>
        <w:t xml:space="preserve"> </w:t>
      </w:r>
      <w:r>
        <w:t xml:space="preserve">– Per ridurre le mancate presentazioni e migliorare l’accessibilità, l’IA offre soluzioni di</w:t>
      </w:r>
      <w:r>
        <w:t xml:space="preserve"> </w:t>
      </w:r>
      <w:r>
        <w:rPr>
          <w:b/>
          <w:bCs/>
        </w:rPr>
        <w:t xml:space="preserve">comunicazione automatizzata con i pazienti</w:t>
      </w:r>
      <w:r>
        <w:t xml:space="preserve">. Un modulo di</w:t>
      </w:r>
      <w:r>
        <w:t xml:space="preserve"> </w:t>
      </w:r>
      <w:r>
        <w:rPr>
          <w:i/>
          <w:iCs/>
        </w:rPr>
        <w:t xml:space="preserve">appointment reminder</w:t>
      </w:r>
      <w:r>
        <w:t xml:space="preserve"> </w:t>
      </w:r>
      <w:r>
        <w:t xml:space="preserve">intelligente invia messaggi (SMS, WhatsApp o chiamate automatiche con voce sintetica) personalizzati per ricordare l’appuntamento, consentire la cancellazione/ripianificazione con risposte NLP, e persino predire chi è a rischio di no-show (basandosi su storico e altri dati) per over-booking adattivo. Tali sistemi hanno costi modesti rispetto al beneficio: ad esempio, nel settore privato,</w:t>
      </w:r>
      <w:r>
        <w:t xml:space="preserve"> </w:t>
      </w:r>
      <w:r>
        <w:rPr>
          <w:b/>
          <w:bCs/>
        </w:rPr>
        <w:t xml:space="preserve">ridurre il no-show dal 20% al 10%</w:t>
      </w:r>
      <w:r>
        <w:t xml:space="preserve"> </w:t>
      </w:r>
      <w:r>
        <w:t xml:space="preserve">con notifiche automatiche può tradursi in un 10% di visite erogate in più</w:t>
      </w:r>
      <w:hyperlink r:id="rId2057">
        <w:r>
          <w:rPr>
            <w:rStyle w:val="Hyperlink"/>
          </w:rPr>
          <w:t xml:space="preserve">[13]</w:t>
        </w:r>
      </w:hyperlink>
      <w:r>
        <w:t xml:space="preserve">. Nel servizio pubblico non si</w:t>
      </w:r>
      <w:r>
        <w:t xml:space="preserve"> </w:t>
      </w:r>
      <w:r>
        <w:t xml:space="preserve">“</w:t>
      </w:r>
      <w:r>
        <w:t xml:space="preserve">monetizza</w:t>
      </w:r>
      <w:r>
        <w:t xml:space="preserve">”</w:t>
      </w:r>
      <w:r>
        <w:t xml:space="preserve"> </w:t>
      </w:r>
      <w:r>
        <w:t xml:space="preserve">la visita aggiuntiva, ma significa abbattere i tempi d’attesa e sfruttare meglio l’orario degli psicologi. Molte piattaforme (incluso il gestionale sopra menzionato) integrano già funzionalità di reminder; altrimenti esistono servizi dedicati (es.</w:t>
      </w:r>
      <w:r>
        <w:t xml:space="preserve"> </w:t>
      </w:r>
      <w:r>
        <w:rPr>
          <w:b/>
          <w:bCs/>
        </w:rPr>
        <w:t xml:space="preserve">InQuira Health</w:t>
      </w:r>
      <w:r>
        <w:t xml:space="preserve"> </w:t>
      </w:r>
      <w:r>
        <w:t xml:space="preserve">menzionata, oppure soluzioni di CRM sanitario). Il costo potrebbe essere</w:t>
      </w:r>
      <w:r>
        <w:t xml:space="preserve"> </w:t>
      </w:r>
      <w:r>
        <w:rPr>
          <w:b/>
          <w:bCs/>
        </w:rPr>
        <w:t xml:space="preserve">€0,10–0,20 per notifica</w:t>
      </w:r>
      <w:r>
        <w:t xml:space="preserve">; con decine di migliaia di appuntamenti l’anno, si parla di poche migliaia di euro annui – ampiamente ripagati dall’efficienza guadagnata. Più innovativo è un</w:t>
      </w:r>
      <w:r>
        <w:t xml:space="preserve"> </w:t>
      </w:r>
      <w:r>
        <w:rPr>
          <w:b/>
          <w:bCs/>
        </w:rPr>
        <w:t xml:space="preserve">sistema di call center virtuale</w:t>
      </w:r>
      <w:r>
        <w:t xml:space="preserve">: sfruttando l’IA conversazionale (speech-to-text e NLP) si può impostare un numero verde/regional call center dove un assistente virtuale risponde H24 a domande frequenti, fornisce informazioni sul servizio, effettua triage di emergenza (ad esempio indirizzando a 112 se necessario) e</w:t>
      </w:r>
      <w:r>
        <w:t xml:space="preserve"> </w:t>
      </w:r>
      <w:r>
        <w:rPr>
          <w:i/>
          <w:iCs/>
        </w:rPr>
        <w:t xml:space="preserve">smista le chiamate</w:t>
      </w:r>
      <w:r>
        <w:t xml:space="preserve"> </w:t>
      </w:r>
      <w:r>
        <w:t xml:space="preserve">verso operatori umani solo per le richieste complesse. L’NHS ha sperimentato soluzioni del genere ottenendo riduzioni &gt;60% dei costi di call center</w:t>
      </w:r>
      <w:hyperlink r:id="rId2055">
        <w:r>
          <w:rPr>
            <w:rStyle w:val="Hyperlink"/>
          </w:rPr>
          <w:t xml:space="preserve">[11]</w:t>
        </w:r>
      </w:hyperlink>
      <w:r>
        <w:t xml:space="preserve">. Una startup riportava costi di ~</w:t>
      </w:r>
      <w:r>
        <w:rPr>
          <w:b/>
          <w:bCs/>
        </w:rPr>
        <w:t xml:space="preserve">£800k/anno</w:t>
      </w:r>
      <w:r>
        <w:t xml:space="preserve"> </w:t>
      </w:r>
      <w:r>
        <w:t xml:space="preserve">per un call center tradizionale, ridotti di oltre £500k con l’IA</w:t>
      </w:r>
      <w:hyperlink r:id="rId2056">
        <w:r>
          <w:rPr>
            <w:rStyle w:val="Hyperlink"/>
          </w:rPr>
          <w:t xml:space="preserve">[12]</w:t>
        </w:r>
      </w:hyperlink>
      <w:r>
        <w:t xml:space="preserve"> </w:t>
      </w:r>
      <w:r>
        <w:t xml:space="preserve">– su scala pugliese (popolazione ~4 milioni) il servizio Psicologo di Base potrebbe attivare un centro unico regionale e puntare a risparmi simili in scala, se attualmente vi fossero centralini dedicati in ogni ASL. I costi di implementazione di un callbot dipendono dalla complessità: integrare un IVR conversazionale su centralino esistente (es. con tecnologia Google Dialogflow CX o Amazon Connect) potrebbe richiedere</w:t>
      </w:r>
      <w:r>
        <w:t xml:space="preserve"> </w:t>
      </w:r>
      <w:r>
        <w:rPr>
          <w:b/>
          <w:bCs/>
        </w:rPr>
        <w:t xml:space="preserve">€200–300k</w:t>
      </w:r>
      <w:r>
        <w:t xml:space="preserve"> </w:t>
      </w:r>
      <w:r>
        <w:t xml:space="preserve">di progetto iniziale e costi cloud basati su minuti di conversazione (tutto sommato modesti, es. pochi centesimi al minuto). In alternativa, esistono fornitori di servizi</w:t>
      </w:r>
      <w:r>
        <w:t xml:space="preserve"> </w:t>
      </w:r>
      <w:r>
        <w:t xml:space="preserve">“</w:t>
      </w:r>
      <w:r>
        <w:t xml:space="preserve">chiavi in mano</w:t>
      </w:r>
      <w:r>
        <w:t xml:space="preserve">”</w:t>
      </w:r>
      <w:r>
        <w:t xml:space="preserve"> </w:t>
      </w:r>
      <w:r>
        <w:t xml:space="preserve">che offrono il call center AI in outsourcing per un canone annuale. In ogni caso, il dimensionamento andrà tarato sul volume di chiamate atteso (numero che crescerà man mano che il servizio si pubblicizza).</w:t>
      </w:r>
      <w:r>
        <w:t xml:space="preserve"> </w:t>
      </w:r>
      <w:r>
        <w:rPr>
          <w:b/>
          <w:bCs/>
        </w:rPr>
        <w:t xml:space="preserve">Formazione</w:t>
      </w:r>
      <w:r>
        <w:t xml:space="preserve">: il personale umano dovrà essere formato a collaborare con il sistema (ad esempio ricevere le chiamate filtrate dall’AI con già un pre-triage svolto). Questa formazione è breve e focalizzata sul nuovo flusso di lavoro (1–2 giornate di workshop, costo irrisorio rispetto al totale).</w:t>
      </w:r>
    </w:p>
    <w:p>
      <w:pPr>
        <w:numPr>
          <w:ilvl w:val="0"/>
          <w:numId w:val="1011"/>
        </w:numPr>
      </w:pPr>
      <w:r>
        <w:rPr>
          <w:b/>
          <w:bCs/>
        </w:rPr>
        <w:t xml:space="preserve">AI per supporto alla decisione clinica (CDSS)</w:t>
      </w:r>
      <w:r>
        <w:t xml:space="preserve"> </w:t>
      </w:r>
      <w:r>
        <w:t xml:space="preserve">– Oltre ad automatizzare compiti, l’IA può fungere da</w:t>
      </w:r>
      <w:r>
        <w:t xml:space="preserve"> </w:t>
      </w:r>
      <w:r>
        <w:rPr>
          <w:i/>
          <w:iCs/>
        </w:rPr>
        <w:t xml:space="preserve">copilota</w:t>
      </w:r>
      <w:r>
        <w:t xml:space="preserve"> </w:t>
      </w:r>
      <w:r>
        <w:t xml:space="preserve">per i professionisti, aiutandoli nelle decisioni diagnostico-terapeutiche. Nel campo della psicologia di base, ciò può assumere forme diverse: algoritmi che</w:t>
      </w:r>
      <w:r>
        <w:t xml:space="preserve"> </w:t>
      </w:r>
      <w:r>
        <w:rPr>
          <w:i/>
          <w:iCs/>
        </w:rPr>
        <w:t xml:space="preserve">suggeriscono il livello di intervento</w:t>
      </w:r>
      <w:r>
        <w:t xml:space="preserve"> </w:t>
      </w:r>
      <w:r>
        <w:t xml:space="preserve">più appropriato (es. automoduli di</w:t>
      </w:r>
      <w:r>
        <w:t xml:space="preserve"> </w:t>
      </w:r>
      <w:r>
        <w:t xml:space="preserve">“</w:t>
      </w:r>
      <w:r>
        <w:t xml:space="preserve">stepped care</w:t>
      </w:r>
      <w:r>
        <w:t xml:space="preserve">”</w:t>
      </w:r>
      <w:r>
        <w:t xml:space="preserve"> </w:t>
      </w:r>
      <w:r>
        <w:t xml:space="preserve">che analizzano severità e altre variabili per proporre intervento low-intensity vs high-intensity), sistemi che raccomandano possibili diagnosi o comorbidità da esplorare (in base ai sintomi inseriti), oppure motori di ricerca semantici che recuperano linee guida e evidenze pertinenti al caso in esame. Ad esempio, un progetto potrebbe implementare un</w:t>
      </w:r>
      <w:r>
        <w:t xml:space="preserve"> </w:t>
      </w:r>
      <w:r>
        <w:rPr>
          <w:b/>
          <w:bCs/>
        </w:rPr>
        <w:t xml:space="preserve">motore AI</w:t>
      </w:r>
      <w:r>
        <w:t xml:space="preserve"> </w:t>
      </w:r>
      <w:r>
        <w:t xml:space="preserve">addestrato su linee guida nazionali e internazionali (NICE, APA) e su protocolli validati, cui lo psicologo può porre domande durante il caso clinico – similmente a come</w:t>
      </w:r>
      <w:r>
        <w:t xml:space="preserve"> </w:t>
      </w:r>
      <w:r>
        <w:rPr>
          <w:i/>
          <w:iCs/>
        </w:rPr>
        <w:t xml:space="preserve">Microsoft 365 Copilot</w:t>
      </w:r>
      <w:r>
        <w:t xml:space="preserve"> </w:t>
      </w:r>
      <w:r>
        <w:t xml:space="preserve">fornisce assistenza nelle applicazioni Office. Proprio l’esperienza del</w:t>
      </w:r>
      <w:r>
        <w:t xml:space="preserve"> </w:t>
      </w:r>
      <w:r>
        <w:rPr>
          <w:b/>
          <w:bCs/>
        </w:rPr>
        <w:t xml:space="preserve">Microsoft Copilot</w:t>
      </w:r>
      <w:r>
        <w:t xml:space="preserve"> </w:t>
      </w:r>
      <w:r>
        <w:t xml:space="preserve">nel NHS offre spunti: in una sperimentazione 2023–24 su 30.000 dipendenti sanitari UK, l’IA integrata negli strumenti di produttività ha fatto risparmiare</w:t>
      </w:r>
      <w:r>
        <w:t xml:space="preserve"> </w:t>
      </w:r>
      <w:r>
        <w:rPr>
          <w:i/>
          <w:iCs/>
        </w:rPr>
        <w:t xml:space="preserve">43 minuti al giorno per operatore</w:t>
      </w:r>
      <w:r>
        <w:t xml:space="preserve">, liberando potenzialmente 400.000 ore di tempo al mese se estesa a 100.000 utenti</w:t>
      </w:r>
      <w:hyperlink r:id="rId2063">
        <w:r>
          <w:rPr>
            <w:rStyle w:val="Hyperlink"/>
          </w:rPr>
          <w:t xml:space="preserve">[35]</w:t>
        </w:r>
      </w:hyperlink>
      <w:hyperlink r:id="rId2064">
        <w:r>
          <w:rPr>
            <w:rStyle w:val="Hyperlink"/>
          </w:rPr>
          <w:t xml:space="preserve">[36]</w:t>
        </w:r>
      </w:hyperlink>
      <w:r>
        <w:t xml:space="preserve">. Tradotto nel nostro contesto, un assistente smart integrato nel software di cartella clinica potrebbe redigere bozze di verbali e relazioni psicologiche (che il clinico poi rivede) in pochi secondi, anziché farle dettare da zero, con un</w:t>
      </w:r>
      <w:r>
        <w:t xml:space="preserve"> </w:t>
      </w:r>
      <w:r>
        <w:rPr>
          <w:i/>
          <w:iCs/>
        </w:rPr>
        <w:t xml:space="preserve">risparmio di diverse ore al mese per ogni psicologo</w:t>
      </w:r>
      <w:r>
        <w:t xml:space="preserve">. Inoltre, l’IA potrebbe pre-compilare le relazioni di collegamento per il medico di base, riassumendo l’intervento fatto e le raccomandazioni, assicurando comunicazioni tempestive tra professionisti. I</w:t>
      </w:r>
      <w:r>
        <w:t xml:space="preserve"> </w:t>
      </w:r>
      <w:r>
        <w:rPr>
          <w:b/>
          <w:bCs/>
        </w:rPr>
        <w:t xml:space="preserve">costi</w:t>
      </w:r>
      <w:r>
        <w:t xml:space="preserve"> </w:t>
      </w:r>
      <w:r>
        <w:t xml:space="preserve">di un CDSS variano molto: alcune funzionalità potrebbero essere incluse nella piattaforma principale se il fornitore le ha già sviluppate; diversamente, costruire un modello ML proprietario per raccomandare trattamenti richiederebbe un progetto R&amp;D (si potrebbe collaborare con università pugliesi e il CNR, candidando il progetto a bandi di innovazione per coprire parte dei costi). Indicativamente, lo sviluppo di un motore di raccomandazione su dati clinici richiede data scientist e clinici per mesi:</w:t>
      </w:r>
      <w:r>
        <w:t xml:space="preserve"> </w:t>
      </w:r>
      <w:r>
        <w:rPr>
          <w:b/>
          <w:bCs/>
        </w:rPr>
        <w:t xml:space="preserve">€200k+</w:t>
      </w:r>
      <w:r>
        <w:t xml:space="preserve"> </w:t>
      </w:r>
      <w:r>
        <w:t xml:space="preserve">di investimento iniziale potrebbero essere necessari. Tuttavia, si può iniziare con soluzioni meno costose: ad esempio l’integrazione di</w:t>
      </w:r>
      <w:r>
        <w:t xml:space="preserve"> </w:t>
      </w:r>
      <w:r>
        <w:rPr>
          <w:b/>
          <w:bCs/>
        </w:rPr>
        <w:t xml:space="preserve">modelli generativi (GPT)</w:t>
      </w:r>
      <w:r>
        <w:t xml:space="preserve"> </w:t>
      </w:r>
      <w:r>
        <w:t xml:space="preserve">attraverso le API (OpenAI, Azure) per compiti di scrittura e riassunto avrebbe un costo legato all’uso (es: $0.05 per 1000 token, quindi pochi cent per riassunto prodotto) – per l’intero servizio magari qualche migliaio di euro al mese, largamente giustificati dal tempo risparmiato. Un caution: qualunque strumento di supporto clinico deve essere validato e accettato dai professionisti, quindi la sua implementazione richiede formazione (far comprendere che è un</w:t>
      </w:r>
      <w:r>
        <w:t xml:space="preserve"> </w:t>
      </w:r>
      <w:r>
        <w:rPr>
          <w:i/>
          <w:iCs/>
        </w:rPr>
        <w:t xml:space="preserve">suggerimento</w:t>
      </w:r>
      <w:r>
        <w:t xml:space="preserve"> </w:t>
      </w:r>
      <w:r>
        <w:t xml:space="preserve">e non sostituisce il giudizio clinico) e graduale introduzione.</w:t>
      </w:r>
      <w:r>
        <w:t xml:space="preserve"> </w:t>
      </w:r>
      <w:r>
        <w:rPr>
          <w:b/>
          <w:bCs/>
        </w:rPr>
        <w:t xml:space="preserve">Manutenzione</w:t>
      </w:r>
      <w:r>
        <w:t xml:space="preserve">: i modelli ML necessitano periodici retraining su nuovi dati locali per mantenere accuratezza, quindi è consigliabile allocare</w:t>
      </w:r>
      <w:r>
        <w:t xml:space="preserve"> </w:t>
      </w:r>
      <w:r>
        <w:rPr>
          <w:b/>
          <w:bCs/>
        </w:rPr>
        <w:t xml:space="preserve">€50k/anno</w:t>
      </w:r>
      <w:r>
        <w:t xml:space="preserve"> </w:t>
      </w:r>
      <w:r>
        <w:t xml:space="preserve">per aggiornamento e verifica degli algoritmi (questo può rientrare in contratti con il fornitore software, oppure finanziando borse di studio a data scientist nel SSR).</w:t>
      </w:r>
    </w:p>
    <w:p>
      <w:pPr>
        <w:numPr>
          <w:ilvl w:val="0"/>
          <w:numId w:val="1011"/>
        </w:numPr>
      </w:pPr>
      <w:r>
        <w:rPr>
          <w:b/>
          <w:bCs/>
        </w:rPr>
        <w:t xml:space="preserve">Telepsicologia avanzata e realtà virtuale (VR)</w:t>
      </w:r>
      <w:r>
        <w:t xml:space="preserve"> </w:t>
      </w:r>
      <w:r>
        <w:t xml:space="preserve">– In ambito clinico, oltre ai chatbot, l’IA può arricchire i servizi di telepsichiatria già previsti. Piattaforme di videoterapia (es.</w:t>
      </w:r>
      <w:r>
        <w:t xml:space="preserve"> </w:t>
      </w:r>
      <w:r>
        <w:rPr>
          <w:b/>
          <w:bCs/>
        </w:rPr>
        <w:t xml:space="preserve">Doxy.me, SimplePractice</w:t>
      </w:r>
      <w:r>
        <w:t xml:space="preserve">, o anche strumenti generici come Teams) potrebbero integrare funzionalità di AI come il</w:t>
      </w:r>
      <w:r>
        <w:t xml:space="preserve"> </w:t>
      </w:r>
      <w:r>
        <w:rPr>
          <w:b/>
          <w:bCs/>
        </w:rPr>
        <w:t xml:space="preserve">rilevamento di segnali emotivi</w:t>
      </w:r>
      <w:r>
        <w:t xml:space="preserve"> </w:t>
      </w:r>
      <w:r>
        <w:t xml:space="preserve">(analisi di tono di voce, espressioni facciali) per fornire al terapeuta un feedback aggiuntivo durante le sedute da remoto. Ad esempio, esistono sistemi sperimentali che analizzano in tempo reale il sentiment e lo stress del paziente da video/audio – utili per cogliere stati emotivi non verbalizzati. Anche se tali soluzioni non sono ancora di largo uso clinico (questioni etiche e di privacy incluse), tecnicamente sono possibili e potrebbero giungere come plugin per piattaforme di telehealth nei prossimi anni. I costi al momento sarebbero alti e i benefici incerti, quindi li citiamo solo come trend futuro. Più immediato è l’uso di</w:t>
      </w:r>
      <w:r>
        <w:t xml:space="preserve"> </w:t>
      </w:r>
      <w:r>
        <w:rPr>
          <w:b/>
          <w:bCs/>
        </w:rPr>
        <w:t xml:space="preserve">terapie digitali</w:t>
      </w:r>
      <w:r>
        <w:t xml:space="preserve"> </w:t>
      </w:r>
      <w:r>
        <w:t xml:space="preserve">guidate da IA: programmi VR per l’esposizione (p.es. per le fobie) con coach virtuale, applicazioni di</w:t>
      </w:r>
      <w:r>
        <w:t xml:space="preserve"> </w:t>
      </w:r>
      <w:r>
        <w:rPr>
          <w:i/>
          <w:iCs/>
        </w:rPr>
        <w:t xml:space="preserve">digital phenotyping</w:t>
      </w:r>
      <w:r>
        <w:t xml:space="preserve"> </w:t>
      </w:r>
      <w:r>
        <w:t xml:space="preserve">che monitorano attraverso lo smartphone parametri comportamentali per predire ricadute (ci sono startup, come</w:t>
      </w:r>
      <w:r>
        <w:t xml:space="preserve"> </w:t>
      </w:r>
      <w:r>
        <w:rPr>
          <w:b/>
          <w:bCs/>
        </w:rPr>
        <w:t xml:space="preserve">Mindstrong</w:t>
      </w:r>
      <w:r>
        <w:t xml:space="preserve"> </w:t>
      </w:r>
      <w:r>
        <w:t xml:space="preserve">o progetti EU, che puntano a identificare segnali di depressione da pattern di utilizzo del telefono – potenzialmente integrabili nel follow-up). Queste soluzioni potrebbero essere implementate come progetti pilota su gruppi specifici (ad es. pazienti depressi gravi dimessi dal CSM, monitorati via app), con costi variabili (licenze VR hardware e software, magari</w:t>
      </w:r>
      <w:r>
        <w:t xml:space="preserve"> </w:t>
      </w:r>
      <w:r>
        <w:rPr>
          <w:b/>
          <w:bCs/>
        </w:rPr>
        <w:t xml:space="preserve">€1000 per dispositivo VR</w:t>
      </w:r>
      <w:r>
        <w:t xml:space="preserve"> </w:t>
      </w:r>
      <w:r>
        <w:t xml:space="preserve">e qualche decina di migliaia per contenuti; app di monitoraggio in abbonamento da qualche euro a paziente/mese). Non essendo costi generalizzabili a tutto il servizio, si potrebbe attingere a fondi di ricerca o progetti ministeriali per sperimentare tali innovazioni senza gravare sul bilancio corrente regionale.</w:t>
      </w:r>
    </w:p>
    <w:p>
      <w:pPr>
        <w:pStyle w:val="FirstParagraph"/>
      </w:pPr>
      <w:r>
        <w:t xml:space="preserve">In sintesi,</w:t>
      </w:r>
      <w:r>
        <w:t xml:space="preserve"> </w:t>
      </w:r>
      <w:r>
        <w:rPr>
          <w:b/>
          <w:bCs/>
        </w:rPr>
        <w:t xml:space="preserve">una strategia di implementazione IA per la Puglia</w:t>
      </w:r>
      <w:r>
        <w:t xml:space="preserve"> </w:t>
      </w:r>
      <w:r>
        <w:t xml:space="preserve">potrebbe articolarsi in moduli incrementali:</w:t>
      </w:r>
      <w:r>
        <w:t xml:space="preserve"> </w:t>
      </w:r>
      <w:r>
        <w:rPr>
          <w:i/>
          <w:iCs/>
        </w:rPr>
        <w:t xml:space="preserve">(1)</w:t>
      </w:r>
      <w:r>
        <w:t xml:space="preserve"> </w:t>
      </w:r>
      <w:r>
        <w:t xml:space="preserve">adozione di una piattaforma di gestione digitale e outcome tracking (già prevista, con costi coperti in gran parte dal budget IT di €570k)[16];</w:t>
      </w:r>
      <w:r>
        <w:t xml:space="preserve"> </w:t>
      </w:r>
      <w:r>
        <w:rPr>
          <w:i/>
          <w:iCs/>
        </w:rPr>
        <w:t xml:space="preserve">(2)</w:t>
      </w:r>
      <w:r>
        <w:t xml:space="preserve"> </w:t>
      </w:r>
      <w:r>
        <w:t xml:space="preserve">integrazione di un chatbot di triage per l’accesso e di sistemi di scheduling automatico (costo aggiuntivo stimato ~€200–300k/anno);</w:t>
      </w:r>
      <w:r>
        <w:t xml:space="preserve"> </w:t>
      </w:r>
      <w:r>
        <w:rPr>
          <w:i/>
          <w:iCs/>
        </w:rPr>
        <w:t xml:space="preserve">(3)</w:t>
      </w:r>
      <w:r>
        <w:t xml:space="preserve"> </w:t>
      </w:r>
      <w:r>
        <w:t xml:space="preserve">progressiva introduzione di assistenti AI per documentazione e decision support (inizialmente usando tool disponibili a basso costo marginale, es. integrazione Microsoft Copilot se possibile, quindi costi minimi se incluso nelle licenze Office esistenti);</w:t>
      </w:r>
      <w:r>
        <w:t xml:space="preserve"> </w:t>
      </w:r>
      <w:r>
        <w:rPr>
          <w:i/>
          <w:iCs/>
        </w:rPr>
        <w:t xml:space="preserve">(4)</w:t>
      </w:r>
      <w:r>
        <w:t xml:space="preserve"> </w:t>
      </w:r>
      <w:r>
        <w:t xml:space="preserve">sperimentazione di chatbot terapeutici e telemonitoraggio per potenziare il modello clinico (progetti pilota finanziati ad hoc).</w:t>
      </w:r>
      <w:r>
        <w:t xml:space="preserve"> </w:t>
      </w:r>
      <w:r>
        <w:rPr>
          <w:b/>
          <w:bCs/>
        </w:rPr>
        <w:t xml:space="preserve">Manutenzione e aggiornamento</w:t>
      </w:r>
      <w:r>
        <w:t xml:space="preserve">: per tutte queste soluzioni sarà necessario prevedere contratti di assistenza tecnica con gli sviluppatori (in genere il 15–20% annuo del costo di licenza, come per l’IT tradizionale)[20], oltre a un continuo addestramento del personale alle nuove funzionalità (inseribile nei programmi ECM annuali, eventualmente destinandovi una quota dedicata, es. 5–10% del budget formazione, pari a €50–100k, per aggiornamento sulle nuove tecnologie ogni anno). È essenziale inoltre mettere in conto</w:t>
      </w:r>
      <w:r>
        <w:t xml:space="preserve"> </w:t>
      </w:r>
      <w:r>
        <w:rPr>
          <w:b/>
          <w:bCs/>
        </w:rPr>
        <w:t xml:space="preserve">adeguamenti infrastrutturali</w:t>
      </w:r>
      <w:r>
        <w:t xml:space="preserve">: server e connettività adeguata (forte spinta al cloud, ma con backup locali per resilienza) e misure di cybersecurity rafforzate (l’IA può introdurre nuove superfici di attacco, quindi investire in sicurezza è d’obbligo – es. valutazioni di impatto DPIA per i chatbot, certificazioni ISO per i fornitori). Fortunatamente, l’uso di servizi cloud certificati (es. Azure per sanità, già usato in UK per Copilot NHS) delega gran parte della compliance di sicurezza al provider, semplificando la gestione regionale.</w:t>
      </w:r>
    </w:p>
    <w:p>
      <w:pPr>
        <w:pStyle w:val="BodyText"/>
      </w:pPr>
      <w:r>
        <w:rPr>
          <w:b/>
          <w:bCs/>
        </w:rPr>
        <w:t xml:space="preserve">Riassumendo i costi annuali aggiuntivi</w:t>
      </w:r>
      <w:r>
        <w:t xml:space="preserve"> </w:t>
      </w:r>
      <w:r>
        <w:t xml:space="preserve">per un modello IA rispetto al base, possiamo stimare: ~€0,2M per chatbot triage + scheduling; ~€0,1M per varie licenze AI minori (Copilot, analytics); ~€0,05M per manutenzione modelli; totale ~</w:t>
      </w:r>
      <w:r>
        <w:rPr>
          <w:b/>
          <w:bCs/>
        </w:rPr>
        <w:t xml:space="preserve">€0,3–0,4 milioni/anno</w:t>
      </w:r>
      <w:r>
        <w:t xml:space="preserve"> </w:t>
      </w:r>
      <w:r>
        <w:t xml:space="preserve">di spesa incrementale operativa. A fronte di questa, come visto, corrispondono risparmi diretti nel personale di supporto che liberano €1M+ anno. I</w:t>
      </w:r>
      <w:r>
        <w:t xml:space="preserve"> </w:t>
      </w:r>
      <w:r>
        <w:rPr>
          <w:b/>
          <w:bCs/>
        </w:rPr>
        <w:t xml:space="preserve">costi una tantum</w:t>
      </w:r>
      <w:r>
        <w:t xml:space="preserve"> </w:t>
      </w:r>
      <w:r>
        <w:t xml:space="preserve">iniziali (implementazione software, integrazione sistemi, formazione iniziale) potrebbero aggirarsi su</w:t>
      </w:r>
      <w:r>
        <w:t xml:space="preserve"> </w:t>
      </w:r>
      <w:r>
        <w:rPr>
          <w:b/>
          <w:bCs/>
        </w:rPr>
        <w:t xml:space="preserve">€1–2 milioni</w:t>
      </w:r>
      <w:r>
        <w:t xml:space="preserve"> </w:t>
      </w:r>
      <w:r>
        <w:t xml:space="preserve">concentrati nei primi 1–2 anni. Questo rapporto tra costi e risparmi delinea il quadro del ROI che esponiamo di seguito.</w:t>
      </w:r>
    </w:p>
    <w:bookmarkEnd w:id="2065"/>
    <w:bookmarkStart w:id="2071" w:name="X02c1caf3f042befd67b93b4a36c6aeb40627002"/>
    <w:p>
      <w:pPr>
        <w:pStyle w:val="Heading3"/>
      </w:pPr>
      <w:r>
        <w:t xml:space="preserve">ROI atteso nel breve e lungo termine (risparmi diretti, produttività, break-even)</w:t>
      </w:r>
    </w:p>
    <w:p>
      <w:pPr>
        <w:pStyle w:val="FirstParagraph"/>
      </w:pPr>
      <w:r>
        <w:rPr>
          <w:b/>
          <w:bCs/>
        </w:rPr>
        <w:t xml:space="preserve">L’investimento in IA</w:t>
      </w:r>
      <w:r>
        <w:t xml:space="preserve"> </w:t>
      </w:r>
      <w:r>
        <w:t xml:space="preserve">per il servizio Psicologo di Base si configura con un profilo di ROI (Return on Investment) molto interessante sia a breve termine (entro 1–3 anni) che a lungo termine (5–10 anni). In pratica, i risparmi incrementali generati dall’IA tendono a</w:t>
      </w:r>
      <w:r>
        <w:t xml:space="preserve"> </w:t>
      </w:r>
      <w:r>
        <w:rPr>
          <w:b/>
          <w:bCs/>
        </w:rPr>
        <w:t xml:space="preserve">superare i costi aggiuntivi</w:t>
      </w:r>
      <w:r>
        <w:t xml:space="preserve"> </w:t>
      </w:r>
      <w:r>
        <w:t xml:space="preserve">in tempi rapidi, producendo un beneficio economico netto crescente col passare degli anni. Di seguito analizziamo l’impatto finanziario complessivo atteso:</w:t>
      </w:r>
    </w:p>
    <w:p>
      <w:pPr>
        <w:numPr>
          <w:ilvl w:val="0"/>
          <w:numId w:val="1012"/>
        </w:numPr>
      </w:pPr>
      <w:r>
        <w:rPr>
          <w:b/>
          <w:bCs/>
        </w:rPr>
        <w:t xml:space="preserve">Orizzonte breve (1–3 anni)</w:t>
      </w:r>
      <w:r>
        <w:t xml:space="preserve">: I primi anni richiederanno la spesa iniziale per implementare le soluzioni IA (costi di setup e formazione stimati in €1–2M totali nei primi 24 mesi) e l’avvio dei canoni annuali (~€300–400k/anno). Già dal</w:t>
      </w:r>
      <w:r>
        <w:t xml:space="preserve"> </w:t>
      </w:r>
      <w:r>
        <w:rPr>
          <w:b/>
          <w:bCs/>
        </w:rPr>
        <w:t xml:space="preserve">primo anno a regime</w:t>
      </w:r>
      <w:r>
        <w:t xml:space="preserve">, i risparmi diretti sul personale e l’efficientamento processi (circa €1,3M/anno nello scenario prudente, come da tabella sopra) compensano ampiamente i costi annuali dell’IA (~€0,3–0,4M), permettendo di</w:t>
      </w:r>
      <w:r>
        <w:t xml:space="preserve"> </w:t>
      </w:r>
      <w:r>
        <w:rPr>
          <w:b/>
          <w:bCs/>
        </w:rPr>
        <w:t xml:space="preserve">recuperare l’investimento iniziale entro il secondo anno</w:t>
      </w:r>
      <w:r>
        <w:t xml:space="preserve">. In altre parole, il punto di pareggio (break-even) potrebbe avvenire attorno a</w:t>
      </w:r>
      <w:r>
        <w:t xml:space="preserve"> </w:t>
      </w:r>
      <w:r>
        <w:rPr>
          <w:b/>
          <w:bCs/>
        </w:rPr>
        <w:t xml:space="preserve">12–18 mesi</w:t>
      </w:r>
      <w:r>
        <w:t xml:space="preserve"> </w:t>
      </w:r>
      <w:r>
        <w:t xml:space="preserve">dall’implementazione completa. Per fare un esempio numerico semplificato: supponendo €1,5M di costi di avvio IA nel Year 0 e un extra costo operativo di €0,3M/anno, contro risparmi di €1,5M/anno, avremo Year 1: –€1,5M (investimento) +€1,5M (risparmio netto) = pareggio; Year 2: +€1,2M netti; Year 3: +€2,7M cumulati. Anche includendo possibili ritardi o una curva di apprendimento (risparmi al 100% solo dal secondo anno), il break-even difficilmente supererà i 2–3 anni. Questo significa che</w:t>
      </w:r>
      <w:r>
        <w:t xml:space="preserve"> </w:t>
      </w:r>
      <w:r>
        <w:rPr>
          <w:b/>
          <w:bCs/>
        </w:rPr>
        <w:t xml:space="preserve">nel breve termine la spesa per IA non è un costo aggiuntivo ma un investimento con rapido ritorno</w:t>
      </w:r>
      <w:r>
        <w:t xml:space="preserve">, liberando risorse che la Regione può riallocare. Dal punto di vista della</w:t>
      </w:r>
      <w:r>
        <w:t xml:space="preserve"> </w:t>
      </w:r>
      <w:r>
        <w:rPr>
          <w:i/>
          <w:iCs/>
        </w:rPr>
        <w:t xml:space="preserve">produttività</w:t>
      </w:r>
      <w:r>
        <w:t xml:space="preserve">: ogni operatore (clinico o amministrativo) beneficerà di tempo risparmiato da dedicare ad attività di maggior valore. Come detto, l’NHS ha misurato</w:t>
      </w:r>
      <w:r>
        <w:t xml:space="preserve"> </w:t>
      </w:r>
      <w:r>
        <w:rPr>
          <w:i/>
          <w:iCs/>
        </w:rPr>
        <w:t xml:space="preserve">43 minuti/giorno</w:t>
      </w:r>
      <w:r>
        <w:t xml:space="preserve"> </w:t>
      </w:r>
      <w:r>
        <w:t xml:space="preserve">restituiti per dipendente grazie a Copilot</w:t>
      </w:r>
      <w:hyperlink r:id="rId2063">
        <w:r>
          <w:rPr>
            <w:rStyle w:val="Hyperlink"/>
          </w:rPr>
          <w:t xml:space="preserve">[35]</w:t>
        </w:r>
      </w:hyperlink>
      <w:r>
        <w:t xml:space="preserve"> </w:t>
      </w:r>
      <w:r>
        <w:t xml:space="preserve">– pari a circa</w:t>
      </w:r>
      <w:r>
        <w:t xml:space="preserve"> </w:t>
      </w:r>
      <w:r>
        <w:rPr>
          <w:b/>
          <w:bCs/>
        </w:rPr>
        <w:t xml:space="preserve">5 settimane lavorative all’anno recuperate</w:t>
      </w:r>
      <w:r>
        <w:t xml:space="preserve"> </w:t>
      </w:r>
      <w:r>
        <w:t xml:space="preserve">a persona</w:t>
      </w:r>
      <w:hyperlink r:id="rId2066">
        <w:r>
          <w:rPr>
            <w:rStyle w:val="Hyperlink"/>
          </w:rPr>
          <w:t xml:space="preserve">[37]</w:t>
        </w:r>
      </w:hyperlink>
      <w:r>
        <w:t xml:space="preserve">. Anche considerando valori più modesti per Puglia (es. 20–30 minuti/giorno tra documentazione automatizzata, riduzione burocrazia, riunioni più brevi grazie ai dati subito disponibili), su 800 psicologi e 120 amministrativi si tratta di</w:t>
      </w:r>
      <w:r>
        <w:t xml:space="preserve"> </w:t>
      </w:r>
      <w:r>
        <w:rPr>
          <w:i/>
          <w:iCs/>
        </w:rPr>
        <w:t xml:space="preserve">decine di migliaia di ore lavorative</w:t>
      </w:r>
      <w:r>
        <w:t xml:space="preserve"> </w:t>
      </w:r>
      <w:r>
        <w:t xml:space="preserve">che possono essere reinvestite in assistenza diretta o in miglioramento del servizio. Questo</w:t>
      </w:r>
      <w:r>
        <w:t xml:space="preserve"> </w:t>
      </w:r>
      <w:r>
        <w:t xml:space="preserve">“</w:t>
      </w:r>
      <w:r>
        <w:t xml:space="preserve">capitale tempo</w:t>
      </w:r>
      <w:r>
        <w:t xml:space="preserve">”</w:t>
      </w:r>
      <w:r>
        <w:t xml:space="preserve"> </w:t>
      </w:r>
      <w:r>
        <w:t xml:space="preserve">liberato è un guadagno spesso non contabilizzato nei risparmi economici, ma in pratica consente di</w:t>
      </w:r>
      <w:r>
        <w:t xml:space="preserve"> </w:t>
      </w:r>
      <w:r>
        <w:rPr>
          <w:b/>
          <w:bCs/>
        </w:rPr>
        <w:t xml:space="preserve">aumentare il volume di prestazioni</w:t>
      </w:r>
      <w:r>
        <w:t xml:space="preserve"> </w:t>
      </w:r>
      <w:r>
        <w:t xml:space="preserve">senza costi aggiuntivi (si pensi a più pazienti seguiti per psicologo per anno) o di</w:t>
      </w:r>
      <w:r>
        <w:t xml:space="preserve"> </w:t>
      </w:r>
      <w:r>
        <w:rPr>
          <w:b/>
          <w:bCs/>
        </w:rPr>
        <w:t xml:space="preserve">migliorare la qualità</w:t>
      </w:r>
      <w:r>
        <w:t xml:space="preserve"> </w:t>
      </w:r>
      <w:r>
        <w:t xml:space="preserve">(ad esempio dedicando più tempo a supervisioni, ricerca di casi difficili, coordinamento con MMG). Anche queste ricadute qualitative generano valore economico nel breve termine sotto forma di maggiore soddisfazione dell’utenza e del personale, minori abbandoni di terapia (oggi i drop-out comportano risorse sprecate), e riduzione dello stress lavorativo (con meno assenze per malattia, ecc.).</w:t>
      </w:r>
    </w:p>
    <w:p>
      <w:pPr>
        <w:numPr>
          <w:ilvl w:val="0"/>
          <w:numId w:val="1012"/>
        </w:numPr>
      </w:pPr>
      <w:r>
        <w:rPr>
          <w:b/>
          <w:bCs/>
        </w:rPr>
        <w:t xml:space="preserve">Orizzonte medio-lungo (5–10 anni)</w:t>
      </w:r>
      <w:r>
        <w:t xml:space="preserve">: Nel lungo termine gli effetti positivi dell’IA tendono a</w:t>
      </w:r>
      <w:r>
        <w:t xml:space="preserve"> </w:t>
      </w:r>
      <w:r>
        <w:rPr>
          <w:b/>
          <w:bCs/>
        </w:rPr>
        <w:t xml:space="preserve">cumulare e amplificarsi</w:t>
      </w:r>
      <w:r>
        <w:t xml:space="preserve">. Dal lato finanziario diretto, ipotizzando un risparmio netto annuo ricorrente di ~€1M (dopo aver sottratto i costi di licenze), in 5 anni si accumulano</w:t>
      </w:r>
      <w:r>
        <w:t xml:space="preserve"> </w:t>
      </w:r>
      <w:r>
        <w:rPr>
          <w:b/>
          <w:bCs/>
        </w:rPr>
        <w:t xml:space="preserve">~€5 milioni di risparmi netti</w:t>
      </w:r>
      <w:r>
        <w:t xml:space="preserve"> </w:t>
      </w:r>
      <w:r>
        <w:t xml:space="preserve">e in 10 anni</w:t>
      </w:r>
      <w:r>
        <w:t xml:space="preserve"> </w:t>
      </w:r>
      <w:r>
        <w:rPr>
          <w:b/>
          <w:bCs/>
        </w:rPr>
        <w:t xml:space="preserve">~€10 milioni</w:t>
      </w:r>
      <w:r>
        <w:t xml:space="preserve">. In scenari ottimistici, se l’IA man mano permette ulteriori ottimizzazioni (es. riduzione aggiuntiva del 5% del personale di supporto grazie a innovazioni future, oppure riduzione di qualche punto percentuale del fabbisogno di psicologi man mano che parte del lavoro viene gestito digitalmente in self-help), questi risparmi potrebbero crescere nel tempo. Un indicatore utile è il</w:t>
      </w:r>
      <w:r>
        <w:t xml:space="preserve"> </w:t>
      </w:r>
      <w:r>
        <w:rPr>
          <w:b/>
          <w:bCs/>
        </w:rPr>
        <w:t xml:space="preserve">ROI percentuale</w:t>
      </w:r>
      <w:r>
        <w:t xml:space="preserve">: a 5 anni potremmo avere un ROI del 200–300% (ogni euro investito in IA ne restituisce 2–3 in risparmi cumulati), e a 10 anni potenzialmente &gt;600–800%. Queste cifre trovano riscontro in valutazioni della letteratura: investire nell’espansione di trattamenti psicologici evidence-based ha benefit-cost ratio stimati di</w:t>
      </w:r>
      <w:r>
        <w:t xml:space="preserve"> </w:t>
      </w:r>
      <w:r>
        <w:rPr>
          <w:b/>
          <w:bCs/>
        </w:rPr>
        <w:t xml:space="preserve">3,3–5,7:1</w:t>
      </w:r>
      <w:r>
        <w:t xml:space="preserve"> </w:t>
      </w:r>
      <w:r>
        <w:t xml:space="preserve">considerando benefici economici larghi</w:t>
      </w:r>
      <w:hyperlink r:id="rId2067">
        <w:r>
          <w:rPr>
            <w:rStyle w:val="Hyperlink"/>
          </w:rPr>
          <w:t xml:space="preserve">[38]</w:t>
        </w:r>
      </w:hyperlink>
      <w:r>
        <w:t xml:space="preserve">. L’adozione dell’IA spinge questo rapporto verso l’estremo alto, perché rende i trattamenti ancora più costo-efficaci (riducendone il costo unitario). Ancora più significativi sono i</w:t>
      </w:r>
      <w:r>
        <w:t xml:space="preserve"> </w:t>
      </w:r>
      <w:r>
        <w:rPr>
          <w:b/>
          <w:bCs/>
        </w:rPr>
        <w:t xml:space="preserve">risparmi indiretti</w:t>
      </w:r>
      <w:r>
        <w:t xml:space="preserve"> </w:t>
      </w:r>
      <w:r>
        <w:t xml:space="preserve">che emergono nel lungo periodo: migliorando l’efficacia e la copertura degli interventi psicologici, il sistema sanitario regionale eviterà costi elevati altrove. Si stima che la Puglia spenda ~€285 milioni/anno in assistenza psichiatrica specialistica (SPDC, centri diurni, residenze, ecc.)[39]. Se l’IA nel servizio di base (facilitando prevenzione e interventi precoci) portasse anche solo a un</w:t>
      </w:r>
      <w:r>
        <w:t xml:space="preserve"> </w:t>
      </w:r>
      <w:r>
        <w:rPr>
          <w:i/>
          <w:iCs/>
        </w:rPr>
        <w:t xml:space="preserve">5% annuo di riduzione</w:t>
      </w:r>
      <w:r>
        <w:t xml:space="preserve"> </w:t>
      </w:r>
      <w:r>
        <w:t xml:space="preserve">di tali costi specialistici, il risparmio sarebbe di</w:t>
      </w:r>
      <w:r>
        <w:t xml:space="preserve"> </w:t>
      </w:r>
      <w:r>
        <w:rPr>
          <w:b/>
          <w:bCs/>
        </w:rPr>
        <w:t xml:space="preserve">circa €14 milioni/anno</w:t>
      </w:r>
      <w:r>
        <w:t xml:space="preserve">[40]. In 10 anni fanno</w:t>
      </w:r>
      <w:r>
        <w:t xml:space="preserve"> </w:t>
      </w:r>
      <w:r>
        <w:rPr>
          <w:b/>
          <w:bCs/>
        </w:rPr>
        <w:t xml:space="preserve">€140 milioni cumulativi</w:t>
      </w:r>
      <w:r>
        <w:t xml:space="preserve"> </w:t>
      </w:r>
      <w:r>
        <w:t xml:space="preserve">evitati – una cifra enorme, che supera di ordini di grandezza il costo di implementazione dell’IA. Anche considerando prudentemente che parte di questi €14M siano reinvestiti nel servizio di base stesso (per ampliarlo), rimane un margine economico netto molto positivo.</w:t>
      </w:r>
      <w:r>
        <w:t xml:space="preserve"> </w:t>
      </w:r>
      <w:r>
        <w:rPr>
          <w:b/>
          <w:bCs/>
        </w:rPr>
        <w:t xml:space="preserve">Evidenze internazionali</w:t>
      </w:r>
      <w:r>
        <w:t xml:space="preserve"> </w:t>
      </w:r>
      <w:r>
        <w:t xml:space="preserve">lo confermano: negli USA il modello Collaborative Care (integrazione psicologo in cure primarie) ha mostrato</w:t>
      </w:r>
      <w:r>
        <w:t xml:space="preserve"> </w:t>
      </w:r>
      <w:r>
        <w:rPr>
          <w:i/>
          <w:iCs/>
        </w:rPr>
        <w:t xml:space="preserve">riduzioni del costo totale sanitario per paziente di ~$1600–2400 all’anno</w:t>
      </w:r>
      <w:r>
        <w:t xml:space="preserve"> </w:t>
      </w:r>
      <w:r>
        <w:t xml:space="preserve">grazie a meno ricoveri e visite non necessarie</w:t>
      </w:r>
      <w:hyperlink r:id="rId2068">
        <w:r>
          <w:rPr>
            <w:rStyle w:val="Hyperlink"/>
          </w:rPr>
          <w:t xml:space="preserve">[41]</w:t>
        </w:r>
      </w:hyperlink>
      <w:r>
        <w:t xml:space="preserve">. Un altro studio cita</w:t>
      </w:r>
      <w:r>
        <w:t xml:space="preserve"> </w:t>
      </w:r>
      <w:r>
        <w:rPr>
          <w:i/>
          <w:iCs/>
        </w:rPr>
        <w:t xml:space="preserve">13% di risparmio</w:t>
      </w:r>
      <w:r>
        <w:t xml:space="preserve"> </w:t>
      </w:r>
      <w:r>
        <w:t xml:space="preserve">sui costi sanitari per i pazienti seguiti in collaborative care vs usual care</w:t>
      </w:r>
      <w:hyperlink r:id="rId2069">
        <w:r>
          <w:rPr>
            <w:rStyle w:val="Hyperlink"/>
          </w:rPr>
          <w:t xml:space="preserve">[42]</w:t>
        </w:r>
      </w:hyperlink>
      <w:r>
        <w:t xml:space="preserve">. L’IA può potenziare ulteriormente questi esiti, migliorando i tassi di remissione e prevenendo ricadute. Ad esempio, strumenti di</w:t>
      </w:r>
      <w:r>
        <w:t xml:space="preserve"> </w:t>
      </w:r>
      <w:r>
        <w:rPr>
          <w:b/>
          <w:bCs/>
        </w:rPr>
        <w:t xml:space="preserve">telemonitoraggio continuo</w:t>
      </w:r>
      <w:r>
        <w:t xml:space="preserve"> </w:t>
      </w:r>
      <w:r>
        <w:t xml:space="preserve">possono prevenire crisi acute: se grazie ad essi si evitasse anche solo il</w:t>
      </w:r>
      <w:r>
        <w:t xml:space="preserve"> </w:t>
      </w:r>
      <w:r>
        <w:rPr>
          <w:i/>
          <w:iCs/>
        </w:rPr>
        <w:t xml:space="preserve">20% dei ricoveri psichiatrici evitabili</w:t>
      </w:r>
      <w:r>
        <w:t xml:space="preserve"> </w:t>
      </w:r>
      <w:r>
        <w:t xml:space="preserve">(ricoveri annui in SPDC Puglia costano ~€11,2M)[43], il risparmio diretto sarebbe di</w:t>
      </w:r>
      <w:r>
        <w:t xml:space="preserve"> </w:t>
      </w:r>
      <w:r>
        <w:rPr>
          <w:b/>
          <w:bCs/>
        </w:rPr>
        <w:t xml:space="preserve">~€2,2M/anno</w:t>
      </w:r>
      <w:r>
        <w:t xml:space="preserve">[44]. A ciò si aggiunge la possibilità di</w:t>
      </w:r>
      <w:r>
        <w:t xml:space="preserve"> </w:t>
      </w:r>
      <w:r>
        <w:rPr>
          <w:b/>
          <w:bCs/>
        </w:rPr>
        <w:t xml:space="preserve">accorciare le degenze</w:t>
      </w:r>
      <w:r>
        <w:t xml:space="preserve"> </w:t>
      </w:r>
      <w:r>
        <w:t xml:space="preserve">(dimissioni anticipate con follow-up telematico sicuro) e di</w:t>
      </w:r>
      <w:r>
        <w:t xml:space="preserve"> </w:t>
      </w:r>
      <w:r>
        <w:rPr>
          <w:b/>
          <w:bCs/>
        </w:rPr>
        <w:t xml:space="preserve">ridurre l’uso di farmaci inappropriati</w:t>
      </w:r>
      <w:r>
        <w:t xml:space="preserve"> </w:t>
      </w:r>
      <w:r>
        <w:t xml:space="preserve">(ad es. algoritmi di</w:t>
      </w:r>
      <w:r>
        <w:t xml:space="preserve"> </w:t>
      </w:r>
      <w:r>
        <w:rPr>
          <w:i/>
          <w:iCs/>
        </w:rPr>
        <w:t xml:space="preserve">precision medicine</w:t>
      </w:r>
      <w:r>
        <w:t xml:space="preserve"> </w:t>
      </w:r>
      <w:r>
        <w:t xml:space="preserve">possono suggerire l’antidepressivo più probabile efficace evitando mesi di tentativi – meno costi per farmaci inutili). Tutti questi elementi, proiettati su 5–10 anni, rendono l’adozione dell’IA una scelta con</w:t>
      </w:r>
      <w:r>
        <w:t xml:space="preserve"> </w:t>
      </w:r>
      <w:r>
        <w:rPr>
          <w:b/>
          <w:bCs/>
        </w:rPr>
        <w:t xml:space="preserve">ROI elevatissimo in ottica sistema sanitario integrato</w:t>
      </w:r>
      <w:r>
        <w:t xml:space="preserve">. Già nel Capitolo 4 base si concludeva che l’investimento nel servizio psicologico è sostenibile e allineato alle migliori evidenze di costo-efficacia[45][46]; con l’IA, come notato, si intravedono scenari in cui gli interventi diventano addirittura</w:t>
      </w:r>
      <w:r>
        <w:t xml:space="preserve"> </w:t>
      </w:r>
      <w:r>
        <w:t xml:space="preserve">“</w:t>
      </w:r>
      <w:r>
        <w:t xml:space="preserve">dominanti</w:t>
      </w:r>
      <w:r>
        <w:t xml:space="preserve">”</w:t>
      </w:r>
      <w:r>
        <w:t xml:space="preserve">, cioè</w:t>
      </w:r>
      <w:r>
        <w:t xml:space="preserve"> </w:t>
      </w:r>
      <w:r>
        <w:rPr>
          <w:i/>
          <w:iCs/>
        </w:rPr>
        <w:t xml:space="preserve">migliori esiti a costi inferiori rispetto alla pratica corrente</w:t>
      </w:r>
      <w:r>
        <w:t xml:space="preserve">[47]. Un esempio pratico: studi su interventi online (iCBT) inseriti nei programmi IAPT hanno trovato che</w:t>
      </w:r>
      <w:r>
        <w:t xml:space="preserve"> </w:t>
      </w:r>
      <w:r>
        <w:rPr>
          <w:i/>
          <w:iCs/>
        </w:rPr>
        <w:t xml:space="preserve">la terapia via internet è altrettanto efficace della terapia tradizionale, ma richiede in media 7,8 volte meno tempo del terapeuta</w:t>
      </w:r>
      <w:hyperlink r:id="rId2070">
        <w:r>
          <w:rPr>
            <w:rStyle w:val="Hyperlink"/>
          </w:rPr>
          <w:t xml:space="preserve">[48]</w:t>
        </w:r>
      </w:hyperlink>
      <w:r>
        <w:t xml:space="preserve">. Questa enorme efficienza si traduce in costi minori per paziente trattato. Dunque, nel lungo termine l’IA consente di</w:t>
      </w:r>
      <w:r>
        <w:t xml:space="preserve"> </w:t>
      </w:r>
      <w:r>
        <w:rPr>
          <w:b/>
          <w:bCs/>
        </w:rPr>
        <w:t xml:space="preserve">trattare molti più pazienti con risorse date</w:t>
      </w:r>
      <w:r>
        <w:t xml:space="preserve">, con un guadagno in salute (QALY) che supera largamente i costi di implementazione[49]. I modelli economici infatti indicano che i miglioramenti di esito in primary care producono risparmi su altri costi e guadagni di produttività,</w:t>
      </w:r>
      <w:r>
        <w:t xml:space="preserve"> </w:t>
      </w:r>
      <w:r>
        <w:rPr>
          <w:i/>
          <w:iCs/>
        </w:rPr>
        <w:t xml:space="preserve">compensando ampiamente i costi aggiuntivi iniziali</w:t>
      </w:r>
      <w:r>
        <w:t xml:space="preserve">[50].</w:t>
      </w:r>
    </w:p>
    <w:p>
      <w:pPr>
        <w:pStyle w:val="FirstParagraph"/>
      </w:pPr>
      <w:r>
        <w:t xml:space="preserve">In conclusione, possiamo attenderci un ROI nel breve termine già positivo (breakeven ~1 anno, ROI ~100–150% a 3 anni) e nel lungo termine estremamente positivo (ROI pluriennale di svariate volte l’investimento, con effetti a cascata sull’intero sistema socio-sanitario). Va sottolineato che queste proiezioni presuppongono una</w:t>
      </w:r>
      <w:r>
        <w:t xml:space="preserve"> </w:t>
      </w:r>
      <w:r>
        <w:rPr>
          <w:b/>
          <w:bCs/>
        </w:rPr>
        <w:t xml:space="preserve">buona riuscita dell’implementazione</w:t>
      </w:r>
      <w:r>
        <w:t xml:space="preserve"> </w:t>
      </w:r>
      <w:r>
        <w:t xml:space="preserve">– il ROI effettivo dipenderà da</w:t>
      </w:r>
      <w:r>
        <w:t xml:space="preserve"> </w:t>
      </w:r>
      <w:r>
        <w:rPr>
          <w:i/>
          <w:iCs/>
        </w:rPr>
        <w:t xml:space="preserve">quanto effettivamente verranno sfruttate le potenzialità dell’IA</w:t>
      </w:r>
      <w:r>
        <w:t xml:space="preserve">. Un rischio, infatti, è implementare strumenti ma non integrarle a fondo nei flussi di lavoro (vanificando parte dei risparmi potenziali). Per garantire il ROI atteso occorrerà quindi gestire il cambiamento attivamente: formazione continua, monitoraggio dei KPI (es. tempo medio per valutazione, numero di pazienti per psicologo, no-show rate, ecc. prima e dopo IA) e aggiustamenti. Se ben eseguita, l’operazione IA può diventare un</w:t>
      </w:r>
      <w:r>
        <w:t xml:space="preserve"> </w:t>
      </w:r>
      <w:r>
        <w:rPr>
          <w:i/>
          <w:iCs/>
        </w:rPr>
        <w:t xml:space="preserve">caso di successo di sanità digitale</w:t>
      </w:r>
      <w:r>
        <w:t xml:space="preserve"> </w:t>
      </w:r>
      <w:r>
        <w:t xml:space="preserve">con ritorni tangibili sia in termini economici che di outcome clinici.</w:t>
      </w:r>
    </w:p>
    <w:bookmarkEnd w:id="2071"/>
    <w:bookmarkStart w:id="2082" w:name="X25e2f5acef21063771be939241cb45d2f64dbad"/>
    <w:p>
      <w:pPr>
        <w:pStyle w:val="Heading3"/>
      </w:pPr>
      <w:r>
        <w:t xml:space="preserve">Benchmark da esperienze internazionali sull’adozione dell’IA in psicologia di base</w:t>
      </w:r>
    </w:p>
    <w:p>
      <w:pPr>
        <w:pStyle w:val="FirstParagraph"/>
      </w:pPr>
      <w:r>
        <w:t xml:space="preserve">Numerose esperienze internazionali offrono indicazioni sull’impatto economico e organizzativo di strumenti digitali e di IA integrati nei servizi di salute mentale territoriale. Di seguito sintetizziamo alcuni</w:t>
      </w:r>
      <w:r>
        <w:t xml:space="preserve"> </w:t>
      </w:r>
      <w:r>
        <w:rPr>
          <w:b/>
          <w:bCs/>
        </w:rPr>
        <w:t xml:space="preserve">benchmark rilevanti</w:t>
      </w:r>
      <w:r>
        <w:t xml:space="preserve"> </w:t>
      </w:r>
      <w:r>
        <w:t xml:space="preserve">– dal Regno Unito, ai Paesi Bassi, agli Stati Uniti e Australia – che aiutano a contestualizzare i possibili benefici (e lezioni apprese) per la Regione Puglia.</w:t>
      </w:r>
    </w:p>
    <w:p>
      <w:pPr>
        <w:numPr>
          <w:ilvl w:val="0"/>
          <w:numId w:val="1013"/>
        </w:numPr>
      </w:pPr>
      <w:r>
        <w:rPr>
          <w:b/>
          <w:bCs/>
        </w:rPr>
        <w:t xml:space="preserve">NHS Regno Unito (IAPT/Talking Therapies e Primary Care)</w:t>
      </w:r>
      <w:r>
        <w:t xml:space="preserve"> </w:t>
      </w:r>
      <w:r>
        <w:t xml:space="preserve">– Il sistema sanitario britannico è tra i più avanzati nell’implementazione di soluzioni digitali in salute mentale di comunità. Il programma IAPT (Improving Access to Psychological Therapies) ha investito fin dal 2008 in</w:t>
      </w:r>
      <w:r>
        <w:t xml:space="preserve"> </w:t>
      </w:r>
      <w:r>
        <w:rPr>
          <w:i/>
          <w:iCs/>
        </w:rPr>
        <w:t xml:space="preserve">Routine Outcome Monitoring digitale</w:t>
      </w:r>
      <w:r>
        <w:t xml:space="preserve"> </w:t>
      </w:r>
      <w:r>
        <w:t xml:space="preserve">e piattaforme centralizzate, con ritorni in termini di</w:t>
      </w:r>
      <w:r>
        <w:t xml:space="preserve"> </w:t>
      </w:r>
      <w:r>
        <w:rPr>
          <w:b/>
          <w:bCs/>
        </w:rPr>
        <w:t xml:space="preserve">riduzione dei costi amministrativi e miglioramento esiti</w:t>
      </w:r>
      <w:r>
        <w:t xml:space="preserve">. La piattaforma IAPTus, come citato, ha permesso un monitoraggio continuo degli outcome e una riduzione del carico amministrativo, con ROI ~12 mesi[17]. Recentemente, il NHS ha avviato l’adozione su larga scala di strumenti di IA generativa (Microsoft 365 Copilot) per tutto il personale: i risultati preliminari del 2024 indicano</w:t>
      </w:r>
      <w:r>
        <w:t xml:space="preserve"> </w:t>
      </w:r>
      <w:r>
        <w:rPr>
          <w:i/>
          <w:iCs/>
        </w:rPr>
        <w:t xml:space="preserve">potenziali risparmi di centinaia di milioni di sterline l’anno</w:t>
      </w:r>
      <w:r>
        <w:t xml:space="preserve"> </w:t>
      </w:r>
      <w:r>
        <w:t xml:space="preserve">liberando 400k ore di tempo del personale al mese</w:t>
      </w:r>
      <w:hyperlink r:id="rId2072">
        <w:r>
          <w:rPr>
            <w:rStyle w:val="Hyperlink"/>
          </w:rPr>
          <w:t xml:space="preserve">[51]</w:t>
        </w:r>
      </w:hyperlink>
      <w:hyperlink r:id="rId2064">
        <w:r>
          <w:rPr>
            <w:rStyle w:val="Hyperlink"/>
          </w:rPr>
          <w:t xml:space="preserve">[36]</w:t>
        </w:r>
      </w:hyperlink>
      <w:r>
        <w:t xml:space="preserve">. Questo mostra come anche sistemi generici di produttività aumentata possano incidere enormemente sull’efficienza del servizio pubblico. Nel campo specifico della psicologia di base, il</w:t>
      </w:r>
      <w:r>
        <w:t xml:space="preserve"> </w:t>
      </w:r>
      <w:r>
        <w:rPr>
          <w:b/>
          <w:bCs/>
        </w:rPr>
        <w:t xml:space="preserve">chatbot Limbic</w:t>
      </w:r>
      <w:r>
        <w:t xml:space="preserve"> </w:t>
      </w:r>
      <w:r>
        <w:t xml:space="preserve">è un modello di successo citato anche nel progetto pugliese come riferimento internazionale. La sua implementazione in circa 25% delle cliniche IAPT ha portato a</w:t>
      </w:r>
      <w:r>
        <w:t xml:space="preserve"> </w:t>
      </w:r>
      <w:r>
        <w:rPr>
          <w:i/>
          <w:iCs/>
        </w:rPr>
        <w:t xml:space="preserve">30k ore cliniche risparmiate</w:t>
      </w:r>
      <w:r>
        <w:t xml:space="preserve"> </w:t>
      </w:r>
      <w:r>
        <w:t xml:space="preserve">e a un’esperienza migliorata per i pazienti (attese più brevi, 18% in meno di drop-out)</w:t>
      </w:r>
      <w:hyperlink r:id="rId1926">
        <w:r>
          <w:rPr>
            <w:rStyle w:val="Hyperlink"/>
          </w:rPr>
          <w:t xml:space="preserve">[32]</w:t>
        </w:r>
      </w:hyperlink>
      <w:hyperlink r:id="rId2051">
        <w:r>
          <w:rPr>
            <w:rStyle w:val="Hyperlink"/>
          </w:rPr>
          <w:t xml:space="preserve">[52]</w:t>
        </w:r>
      </w:hyperlink>
      <w:r>
        <w:t xml:space="preserve">. Un altro esempio dal NHS: il servizio di terapia online</w:t>
      </w:r>
      <w:r>
        <w:t xml:space="preserve"> </w:t>
      </w:r>
      <w:r>
        <w:rPr>
          <w:b/>
          <w:bCs/>
        </w:rPr>
        <w:t xml:space="preserve">SilverCloud</w:t>
      </w:r>
      <w:r>
        <w:t xml:space="preserve">, con moduli iCBT guidati, è stato valutato in studi scientifici come</w:t>
      </w:r>
      <w:r>
        <w:t xml:space="preserve"> </w:t>
      </w:r>
      <w:r>
        <w:rPr>
          <w:i/>
          <w:iCs/>
        </w:rPr>
        <w:t xml:space="preserve">efficace e potenzialmente costo-efficace su larga scala</w:t>
      </w:r>
      <w:r>
        <w:t xml:space="preserve"> </w:t>
      </w:r>
      <w:r>
        <w:t xml:space="preserve">all’interno di IAPT</w:t>
      </w:r>
      <w:hyperlink r:id="rId2073">
        <w:r>
          <w:rPr>
            <w:rStyle w:val="Hyperlink"/>
          </w:rPr>
          <w:t xml:space="preserve">[53]</w:t>
        </w:r>
      </w:hyperlink>
      <w:r>
        <w:t xml:space="preserve">. Ciò conferma che integrare terapie digitali può ridurre i costi per outcome ottenuto. Infine, il NHS sta esplorando AI anche per compiti clinici: ad esempio, algoritmi per</w:t>
      </w:r>
      <w:r>
        <w:t xml:space="preserve"> </w:t>
      </w:r>
      <w:r>
        <w:rPr>
          <w:i/>
          <w:iCs/>
        </w:rPr>
        <w:t xml:space="preserve">predire le crisi</w:t>
      </w:r>
      <w:r>
        <w:t xml:space="preserve"> </w:t>
      </w:r>
      <w:r>
        <w:t xml:space="preserve">in pazienti gravi o per</w:t>
      </w:r>
      <w:r>
        <w:t xml:space="preserve"> </w:t>
      </w:r>
      <w:r>
        <w:rPr>
          <w:i/>
          <w:iCs/>
        </w:rPr>
        <w:t xml:space="preserve">personalizzare il trattamento</w:t>
      </w:r>
      <w:r>
        <w:t xml:space="preserve"> </w:t>
      </w:r>
      <w:r>
        <w:t xml:space="preserve">(in collaborazione con centri di ricerca, vedi ad es. studio su predizione remissione con ML in depressione</w:t>
      </w:r>
      <w:hyperlink r:id="rId2074">
        <w:r>
          <w:rPr>
            <w:rStyle w:val="Hyperlink"/>
          </w:rPr>
          <w:t xml:space="preserve">[54]</w:t>
        </w:r>
      </w:hyperlink>
      <w:r>
        <w:t xml:space="preserve">).</w:t>
      </w:r>
      <w:r>
        <w:t xml:space="preserve"> </w:t>
      </w:r>
      <w:r>
        <w:rPr>
          <w:b/>
          <w:bCs/>
        </w:rPr>
        <w:t xml:space="preserve">Lezioni apprese UK</w:t>
      </w:r>
      <w:r>
        <w:t xml:space="preserve">: (1) disporre di un solido sistema informativo unificato è prerequisito per sfruttare l’IA (IAPT ha investito molto in data infrastructure); (2) gli strumenti AI devono essere certificati e introdotti con attenzione alla sicurezza (il caso Limbic ha ottenuto certificazione medica prima di diffusione); (3) il coinvolgimento attivo dei clinici nell’implementazione (training e co-design) è fondamentale per l’adozione – NHS ha affiancato ogni rollout tecnologico con programmi di training dedicati.</w:t>
      </w:r>
    </w:p>
    <w:p>
      <w:pPr>
        <w:numPr>
          <w:ilvl w:val="0"/>
          <w:numId w:val="1013"/>
        </w:numPr>
      </w:pPr>
      <w:r>
        <w:rPr>
          <w:b/>
          <w:bCs/>
        </w:rPr>
        <w:t xml:space="preserve">Paesi Bassi (POH-GGZ e eHealth)</w:t>
      </w:r>
      <w:r>
        <w:t xml:space="preserve"> </w:t>
      </w:r>
      <w:r>
        <w:t xml:space="preserve">– L’Olanda è nota per il modello</w:t>
      </w:r>
      <w:r>
        <w:t xml:space="preserve"> </w:t>
      </w:r>
      <w:r>
        <w:rPr>
          <w:b/>
          <w:bCs/>
        </w:rPr>
        <w:t xml:space="preserve">POH-GGZ</w:t>
      </w:r>
      <w:r>
        <w:t xml:space="preserve"> </w:t>
      </w:r>
      <w:r>
        <w:t xml:space="preserve">(professionisti di salute mentale di base integrati nelle cure primarie) molto simile al</w:t>
      </w:r>
      <w:r>
        <w:t xml:space="preserve"> </w:t>
      </w:r>
      <w:r>
        <w:t xml:space="preserve">“</w:t>
      </w:r>
      <w:r>
        <w:t xml:space="preserve">psicologo di base</w:t>
      </w:r>
      <w:r>
        <w:t xml:space="preserve">”</w:t>
      </w:r>
      <w:r>
        <w:t xml:space="preserve"> </w:t>
      </w:r>
      <w:r>
        <w:t xml:space="preserve">pugliese. Un aspetto rilevante è che i costi per FTE in NL (circa €64–74k/anno per psicologo, incluso overhead) sono più alti che in Italia[55][56], spingendo il sistema olandese a cercare efficienze e</w:t>
      </w:r>
      <w:r>
        <w:t xml:space="preserve"> </w:t>
      </w:r>
      <w:r>
        <w:rPr>
          <w:i/>
          <w:iCs/>
        </w:rPr>
        <w:t xml:space="preserve">strumenti innovativi</w:t>
      </w:r>
      <w:r>
        <w:t xml:space="preserve"> </w:t>
      </w:r>
      <w:r>
        <w:t xml:space="preserve">per contenere la spesa. I Paesi Bassi sono tra i pionieri dell’</w:t>
      </w:r>
      <w:r>
        <w:rPr>
          <w:b/>
          <w:bCs/>
        </w:rPr>
        <w:t xml:space="preserve">e-mental health</w:t>
      </w:r>
      <w:r>
        <w:t xml:space="preserve">: hanno sviluppato e diffuso su scala nazionale numerosi programmi online (es.</w:t>
      </w:r>
      <w:r>
        <w:t xml:space="preserve"> </w:t>
      </w:r>
      <w:r>
        <w:rPr>
          <w:i/>
          <w:iCs/>
        </w:rPr>
        <w:t xml:space="preserve">Interapy</w:t>
      </w:r>
      <w:r>
        <w:t xml:space="preserve"> </w:t>
      </w:r>
      <w:r>
        <w:t xml:space="preserve">per il trattamento via internet di ansia e depressione già dagli anni 2000). La politica di rimborso ha incentivato l’uso: dal 2012 le assicurazioni prevedevano un</w:t>
      </w:r>
      <w:r>
        <w:t xml:space="preserve"> </w:t>
      </w:r>
      <w:r>
        <w:rPr>
          <w:i/>
          <w:iCs/>
        </w:rPr>
        <w:t xml:space="preserve">bonus del 10% sui rimborsi</w:t>
      </w:r>
      <w:r>
        <w:t xml:space="preserve"> </w:t>
      </w:r>
      <w:r>
        <w:t xml:space="preserve">per i fornitori che utilizzavano l’e-health nelle terapie</w:t>
      </w:r>
      <w:hyperlink r:id="rId2075">
        <w:r>
          <w:rPr>
            <w:rStyle w:val="Hyperlink"/>
          </w:rPr>
          <w:t xml:space="preserve">[57]</w:t>
        </w:r>
      </w:hyperlink>
      <w:r>
        <w:t xml:space="preserve">, riconoscendo che ciò porta efficienza. Questa scelta ha portato a</w:t>
      </w:r>
      <w:r>
        <w:t xml:space="preserve"> </w:t>
      </w:r>
      <w:r>
        <w:rPr>
          <w:i/>
          <w:iCs/>
        </w:rPr>
        <w:t xml:space="preserve">chiari risparmi nei costi della salute mentale specialistica</w:t>
      </w:r>
      <w:r>
        <w:t xml:space="preserve">, spostando più trattamenti sulla fascia di base (POH-GGZ) meno costosa</w:t>
      </w:r>
      <w:hyperlink r:id="rId2076">
        <w:r>
          <w:rPr>
            <w:rStyle w:val="Hyperlink"/>
          </w:rPr>
          <w:t xml:space="preserve">[58]</w:t>
        </w:r>
      </w:hyperlink>
      <w:r>
        <w:t xml:space="preserve">. In altre parole, digitalizzando e alleggerendo la parte specialistica, si è potuto investire di più nel territorio senza aumentare la spesa totale – anzi riducendola. Un progetto europeo (Interreg EMEN) sul deployment di e-mental health in Olanda riportava evidenze di</w:t>
      </w:r>
      <w:r>
        <w:t xml:space="preserve"> </w:t>
      </w:r>
      <w:r>
        <w:rPr>
          <w:b/>
          <w:bCs/>
        </w:rPr>
        <w:t xml:space="preserve">riduzione dei costi unitari</w:t>
      </w:r>
      <w:r>
        <w:t xml:space="preserve"> </w:t>
      </w:r>
      <w:r>
        <w:t xml:space="preserve">per trattamento e aumento dell’accesso grazie agli strumenti online</w:t>
      </w:r>
      <w:hyperlink r:id="rId2077">
        <w:r>
          <w:rPr>
            <w:rStyle w:val="Hyperlink"/>
          </w:rPr>
          <w:t xml:space="preserve">[59]</w:t>
        </w:r>
      </w:hyperlink>
      <w:hyperlink r:id="rId2078">
        <w:r>
          <w:rPr>
            <w:rStyle w:val="Hyperlink"/>
          </w:rPr>
          <w:t xml:space="preserve">[60]</w:t>
        </w:r>
      </w:hyperlink>
      <w:r>
        <w:t xml:space="preserve">. Ad esempio, programmi di autogestione online per depressione e ansia hanno dimostrato di ridurre i sintomi con costi inferiori rispetto alla terapia tradizionale</w:t>
      </w:r>
      <w:hyperlink r:id="rId2077">
        <w:r>
          <w:rPr>
            <w:rStyle w:val="Hyperlink"/>
          </w:rPr>
          <w:t xml:space="preserve">[59]</w:t>
        </w:r>
      </w:hyperlink>
      <w:r>
        <w:t xml:space="preserve">. I POH-GGZ oggi frequentemente usano piattaforme per guidare i pazienti attraverso moduli psicoeducativi digitali tra una seduta e l’altra, riducendo il numero di sessioni in presenza necessarie. Inoltre, la</w:t>
      </w:r>
      <w:r>
        <w:t xml:space="preserve"> </w:t>
      </w:r>
      <w:r>
        <w:rPr>
          <w:i/>
          <w:iCs/>
        </w:rPr>
        <w:t xml:space="preserve">teleconsultazione</w:t>
      </w:r>
      <w:r>
        <w:t xml:space="preserve"> </w:t>
      </w:r>
      <w:r>
        <w:t xml:space="preserve">e i</w:t>
      </w:r>
      <w:r>
        <w:t xml:space="preserve"> </w:t>
      </w:r>
      <w:r>
        <w:rPr>
          <w:i/>
          <w:iCs/>
        </w:rPr>
        <w:t xml:space="preserve">video-colloqui</w:t>
      </w:r>
      <w:r>
        <w:t xml:space="preserve"> </w:t>
      </w:r>
      <w:r>
        <w:t xml:space="preserve">sono da anni rimborsati regolarmente, facilitando modelli ibridi.</w:t>
      </w:r>
      <w:r>
        <w:t xml:space="preserve"> </w:t>
      </w:r>
      <w:r>
        <w:rPr>
          <w:b/>
          <w:bCs/>
        </w:rPr>
        <w:t xml:space="preserve">Insight chiave NL</w:t>
      </w:r>
      <w:r>
        <w:t xml:space="preserve">: l’e-health viene visto come complementare e integrato nell’attività dei professionisti (blended care), e la sua efficacia dipende dal blend giusto. Un programma nazionale (White Paper Trimbos 2018) concludeva che la sfida era più organizzativa che tecnologica: formare i terapeuti a usare gli strumenti e convincere i pazienti ad aderire. Dal punto di vista economico, l’Olanda mostra che</w:t>
      </w:r>
      <w:r>
        <w:t xml:space="preserve"> </w:t>
      </w:r>
      <w:r>
        <w:rPr>
          <w:i/>
          <w:iCs/>
        </w:rPr>
        <w:t xml:space="preserve">spendere di più sul livello primario fa risparmiare sullo specialistico</w:t>
      </w:r>
      <w:r>
        <w:t xml:space="preserve">, e l’IA/e-health amplifica questo effetto. In Puglia, mantenere il</w:t>
      </w:r>
      <w:r>
        <w:t xml:space="preserve"> </w:t>
      </w:r>
      <w:r>
        <w:rPr>
          <w:b/>
          <w:bCs/>
        </w:rPr>
        <w:t xml:space="preserve">costo per abitante</w:t>
      </w:r>
      <w:r>
        <w:t xml:space="preserve"> </w:t>
      </w:r>
      <w:r>
        <w:t xml:space="preserve">a 10–12 €/anno[61][62] grazie anche all’uso dell’IA, consentirebbe di avere un servizio efficiente ben al di sotto del costo olandese e in linea con le best practice.</w:t>
      </w:r>
    </w:p>
    <w:p>
      <w:pPr>
        <w:numPr>
          <w:ilvl w:val="0"/>
          <w:numId w:val="1013"/>
        </w:numPr>
      </w:pPr>
      <w:r>
        <w:rPr>
          <w:b/>
          <w:bCs/>
        </w:rPr>
        <w:t xml:space="preserve">USA (Collaborative Care Model e Digital Psychiatry)</w:t>
      </w:r>
      <w:r>
        <w:t xml:space="preserve"> </w:t>
      </w:r>
      <w:r>
        <w:t xml:space="preserve">– Negli Stati Uniti l’adozione dell’IA in sanità è molto eterogenea, ma vi sono esempi interessanti nel campo della salute mentale integrata. Il</w:t>
      </w:r>
      <w:r>
        <w:t xml:space="preserve"> </w:t>
      </w:r>
      <w:r>
        <w:rPr>
          <w:b/>
          <w:bCs/>
        </w:rPr>
        <w:t xml:space="preserve">Collaborative Care Model (CoCM)</w:t>
      </w:r>
      <w:r>
        <w:t xml:space="preserve">, equiparabile allo psicologo di base integrato in cure primarie, è stato implementato in diversi grandi sistemi sanitari (es. Kaiser Permanente, Veterans Health Administration). Studi economici sul CoCM hanno dimostrato che, pur comportando costi aggiuntivi di personale psichiatrico-psicologico, esso</w:t>
      </w:r>
      <w:r>
        <w:t xml:space="preserve"> </w:t>
      </w:r>
      <w:r>
        <w:rPr>
          <w:i/>
          <w:iCs/>
        </w:rPr>
        <w:t xml:space="preserve">riduce i costi totali di assistenza per paziente</w:t>
      </w:r>
      <w:r>
        <w:t xml:space="preserve"> </w:t>
      </w:r>
      <w:r>
        <w:t xml:space="preserve">(grazie a meno ospedalizzazioni, meno visite specialistiche somatiche, migliore aderenza alle cure primarie): un’analisi cita</w:t>
      </w:r>
      <w:r>
        <w:t xml:space="preserve"> </w:t>
      </w:r>
      <w:r>
        <w:rPr>
          <w:b/>
          <w:bCs/>
        </w:rPr>
        <w:t xml:space="preserve">$1.600-$2.400 di risparmi annui per paziente</w:t>
      </w:r>
      <w:r>
        <w:t xml:space="preserve"> </w:t>
      </w:r>
      <w:r>
        <w:t xml:space="preserve">come range ottenuto da CoCM</w:t>
      </w:r>
      <w:hyperlink r:id="rId2068">
        <w:r>
          <w:rPr>
            <w:rStyle w:val="Hyperlink"/>
          </w:rPr>
          <w:t xml:space="preserve">[41]</w:t>
        </w:r>
      </w:hyperlink>
      <w:r>
        <w:t xml:space="preserve">. Un altro studio (Gilbody et al.) trovò che il CoCM genera</w:t>
      </w:r>
      <w:r>
        <w:t xml:space="preserve"> </w:t>
      </w:r>
      <w:r>
        <w:rPr>
          <w:i/>
          <w:iCs/>
        </w:rPr>
        <w:t xml:space="preserve">savings netti di ~$29 per membro al mese</w:t>
      </w:r>
      <w:r>
        <w:t xml:space="preserve"> </w:t>
      </w:r>
      <w:r>
        <w:t xml:space="preserve">per l’assicuratore rispetto alla cura usuale</w:t>
      </w:r>
      <w:hyperlink r:id="rId2079">
        <w:r>
          <w:rPr>
            <w:rStyle w:val="Hyperlink"/>
          </w:rPr>
          <w:t xml:space="preserve">[63]</w:t>
        </w:r>
      </w:hyperlink>
      <w:r>
        <w:t xml:space="preserve">. Questi dati, pur riferiti a modelli non digitali, suggeriscono l’enorme potenziale di ROI sistemico. Per quanto riguarda l’IA, negli USA c’è stato un boom di</w:t>
      </w:r>
      <w:r>
        <w:t xml:space="preserve"> </w:t>
      </w:r>
      <w:r>
        <w:rPr>
          <w:b/>
          <w:bCs/>
        </w:rPr>
        <w:t xml:space="preserve">mental health apps</w:t>
      </w:r>
      <w:r>
        <w:t xml:space="preserve"> </w:t>
      </w:r>
      <w:r>
        <w:t xml:space="preserve">e servizi digitali, spesso privati (es. piattaforme come Ginger, TalkSpace) che hanno integrato AI per il triage e il coaching. Ad esempio, il colosso dell’assicurazione Kaiser ha sperimentato algoritmi predittivi sui dati clinici per segnalare i pazienti a rischio suicidario al team di cure primarie in anticipo (notificando i care manager); questo genere di interventi ha ovvi benefici umani ed evita costi di interventi di emergenza. Un altro campo è l’</w:t>
      </w:r>
      <w:r>
        <w:rPr>
          <w:b/>
          <w:bCs/>
        </w:rPr>
        <w:t xml:space="preserve">analisi automatica di trascrizioni</w:t>
      </w:r>
      <w:r>
        <w:t xml:space="preserve"> </w:t>
      </w:r>
      <w:r>
        <w:t xml:space="preserve">delle sedute (natural language processing): startup come</w:t>
      </w:r>
      <w:r>
        <w:t xml:space="preserve"> </w:t>
      </w:r>
      <w:r>
        <w:rPr>
          <w:i/>
          <w:iCs/>
        </w:rPr>
        <w:t xml:space="preserve">Lyssn</w:t>
      </w:r>
      <w:r>
        <w:t xml:space="preserve"> </w:t>
      </w:r>
      <w:r>
        <w:t xml:space="preserve">hanno creato sistemi che analizzano le registrazioni delle terapie per dare feedback al terapeuta e valutare l’aderenza al protocollo, migliorando la qualità (in prospettiva, riducendo costi di supervisione e aumentando l’efficacia delle sedute, quindi meno sedute per risultato). I costi di queste tecnologie in USA inizialmente erano elevati, ma stanno calando e alcune vengono fornite come servizio ai clinici per abbonamento. A livello federale, l’NIMH sta finanziando molti progetti di</w:t>
      </w:r>
      <w:r>
        <w:t xml:space="preserve"> </w:t>
      </w:r>
      <w:r>
        <w:rPr>
          <w:b/>
          <w:bCs/>
        </w:rPr>
        <w:t xml:space="preserve">AI in mental health</w:t>
      </w:r>
      <w:r>
        <w:t xml:space="preserve">; uno studio recente (2022) su un grande dataset di assistenza primaria USA ha mostrato che modelli ML possono predire con buona accuratezza quali pazienti depressi non risponderanno alla terapia standard – informazione preziosa per cambiare piano di trattamento prima di perdere tempo (risparmiando così costi di trattamenti inefficaci). Un altro esempio è la collaborazione tra</w:t>
      </w:r>
      <w:r>
        <w:t xml:space="preserve"> </w:t>
      </w:r>
      <w:r>
        <w:rPr>
          <w:i/>
          <w:iCs/>
        </w:rPr>
        <w:t xml:space="preserve">UPMC</w:t>
      </w:r>
      <w:r>
        <w:t xml:space="preserve"> </w:t>
      </w:r>
      <w:r>
        <w:t xml:space="preserve">e startup tecnologiche per usare chatbot come</w:t>
      </w:r>
      <w:r>
        <w:t xml:space="preserve"> </w:t>
      </w:r>
      <w:r>
        <w:rPr>
          <w:i/>
          <w:iCs/>
        </w:rPr>
        <w:t xml:space="preserve">Wysa</w:t>
      </w:r>
      <w:r>
        <w:t xml:space="preserve"> </w:t>
      </w:r>
      <w:r>
        <w:t xml:space="preserve">per fornire supporto inter-sessione ai pazienti: i risultati indicano riduzione di chiamate urgenti e miglior engagement (dati non pubblici, ma presentati a conferenze).</w:t>
      </w:r>
      <w:r>
        <w:t xml:space="preserve"> </w:t>
      </w:r>
      <w:r>
        <w:rPr>
          <w:b/>
          <w:bCs/>
        </w:rPr>
        <w:t xml:space="preserve">Messaggi dagli USA</w:t>
      </w:r>
      <w:r>
        <w:t xml:space="preserve">: il mercato spinge verso soluzioni digitali direct-to-consumer, ma i sistemi integrati che le adottano ottengono vantaggi in costi di esercizio e esiti. Un aspetto da considerare è la</w:t>
      </w:r>
      <w:r>
        <w:t xml:space="preserve"> </w:t>
      </w:r>
      <w:r>
        <w:rPr>
          <w:i/>
          <w:iCs/>
        </w:rPr>
        <w:t xml:space="preserve">remunerazione</w:t>
      </w:r>
      <w:r>
        <w:t xml:space="preserve">: negli USA molti servizi di telehealth e IA hanno codici di rimborso dedicati; in Italia non c’è questa logica, ma significa che negli USA è riconosciuto che l’uso di strumenti digitali vale un corrispettivo perché produce outcome (es. Medicare rimborsa alcune attività di care management telematico). Ciò rafforza la evidenza implicita di efficacia/costo-efficacia. Anche l’esperienza USA sottolinea l’importanza di integrare dati e IA: ad esempio la</w:t>
      </w:r>
      <w:r>
        <w:t xml:space="preserve"> </w:t>
      </w:r>
      <w:r>
        <w:rPr>
          <w:b/>
          <w:bCs/>
        </w:rPr>
        <w:t xml:space="preserve">Mayo Clinic</w:t>
      </w:r>
      <w:r>
        <w:t xml:space="preserve"> </w:t>
      </w:r>
      <w:r>
        <w:t xml:space="preserve">ha implementato un sistema AI per la gestione della depressione in primary care che segnala automaticamente al medico di famiglia i casi che potrebbero beneficiare del consulto psicologico precoce – questo tipo di supporto decisionale ha aumentato i referral appropriati e, sebbene non ho un dato economico a portata, certamente ha prevenuto aggravamenti costosi.</w:t>
      </w:r>
    </w:p>
    <w:p>
      <w:pPr>
        <w:numPr>
          <w:ilvl w:val="0"/>
          <w:numId w:val="1013"/>
        </w:numPr>
      </w:pPr>
      <w:r>
        <w:rPr>
          <w:b/>
          <w:bCs/>
        </w:rPr>
        <w:t xml:space="preserve">Australia (Better Access e digital mental health)</w:t>
      </w:r>
      <w:r>
        <w:t xml:space="preserve"> </w:t>
      </w:r>
      <w:r>
        <w:t xml:space="preserve">– L’Australia negli ultimi anni ha posto forte enfasi sul potenziamento della salute mentale primaria attraverso sia finanziamenti tradizionali (programma Better Access, che rimborsa fino a 10 sedute di psicologo privato via Medicare) sia investimenti in</w:t>
      </w:r>
      <w:r>
        <w:t xml:space="preserve"> </w:t>
      </w:r>
      <w:r>
        <w:rPr>
          <w:b/>
          <w:bCs/>
        </w:rPr>
        <w:t xml:space="preserve">soluzioni digitali per colmare il gap</w:t>
      </w:r>
      <w:r>
        <w:t xml:space="preserve">. Il governo australiano ha annunciato nel 2022 l’impegno di</w:t>
      </w:r>
      <w:r>
        <w:t xml:space="preserve"> </w:t>
      </w:r>
      <w:r>
        <w:rPr>
          <w:b/>
          <w:bCs/>
        </w:rPr>
        <w:t xml:space="preserve">A$135 milioni per programmi di salute mentale digitale</w:t>
      </w:r>
      <w:hyperlink r:id="rId2080">
        <w:r>
          <w:rPr>
            <w:rStyle w:val="Hyperlink"/>
          </w:rPr>
          <w:t xml:space="preserve">[64]</w:t>
        </w:r>
      </w:hyperlink>
      <w:r>
        <w:t xml:space="preserve">, riconoscendo che strumenti online innovativi possono raggiungere persone altrimenti escluse e farlo a costi contenuti. Il contesto australiano è peculiare per le distanze geografiche: la telepsicologia e gli strumenti di self-help online sono fondamentali per servire le comunità remote. Secondo un articolo del 2025 di ricercatori australiani, i</w:t>
      </w:r>
      <w:r>
        <w:t xml:space="preserve"> </w:t>
      </w:r>
      <w:r>
        <w:rPr>
          <w:b/>
          <w:bCs/>
        </w:rPr>
        <w:t xml:space="preserve">programmi online</w:t>
      </w:r>
      <w:r>
        <w:t xml:space="preserve"> </w:t>
      </w:r>
      <w:r>
        <w:t xml:space="preserve">per depressione/ansia, specie se con moduli auto-diretti o minimo supporto, hanno evidenze solide di efficacia per circa la metà degli utenti, risultando</w:t>
      </w:r>
      <w:r>
        <w:t xml:space="preserve"> </w:t>
      </w:r>
      <w:r>
        <w:rPr>
          <w:i/>
          <w:iCs/>
        </w:rPr>
        <w:t xml:space="preserve">altrettanto efficaci della terapia faccia-a-faccia per molti pazienti comuni</w:t>
      </w:r>
      <w:hyperlink r:id="rId2070">
        <w:r>
          <w:rPr>
            <w:rStyle w:val="Hyperlink"/>
          </w:rPr>
          <w:t xml:space="preserve">[48]</w:t>
        </w:r>
      </w:hyperlink>
      <w:r>
        <w:t xml:space="preserve">. Ciò che emerge chiaramente è che la terapia online richiede</w:t>
      </w:r>
      <w:r>
        <w:t xml:space="preserve"> </w:t>
      </w:r>
      <w:r>
        <w:rPr>
          <w:b/>
          <w:bCs/>
        </w:rPr>
        <w:t xml:space="preserve">molte meno ore-clinico</w:t>
      </w:r>
      <w:r>
        <w:t xml:space="preserve">: nello studio citato, la terapia in presenza richiedeva in media 7,8 volte il tempo di terapeuta rispetto al corrispettivo programma online per ottenere lo stesso miglioramento</w:t>
      </w:r>
      <w:hyperlink r:id="rId2070">
        <w:r>
          <w:rPr>
            <w:rStyle w:val="Hyperlink"/>
          </w:rPr>
          <w:t xml:space="preserve">[48]</w:t>
        </w:r>
      </w:hyperlink>
      <w:r>
        <w:t xml:space="preserve">. Questo fattore di</w:t>
      </w:r>
      <w:r>
        <w:t xml:space="preserve"> </w:t>
      </w:r>
      <w:r>
        <w:rPr>
          <w:i/>
          <w:iCs/>
        </w:rPr>
        <w:t xml:space="preserve">8x efficienza</w:t>
      </w:r>
      <w:r>
        <w:t xml:space="preserve"> </w:t>
      </w:r>
      <w:r>
        <w:t xml:space="preserve">è impressionante e spiega perché l’Australia la stia promuovendo attivamente. Sul versante AI strettamente detta, anche lì esistono chatbots (citiamo ad es.</w:t>
      </w:r>
      <w:r>
        <w:t xml:space="preserve"> </w:t>
      </w:r>
      <w:r>
        <w:rPr>
          <w:i/>
          <w:iCs/>
        </w:rPr>
        <w:t xml:space="preserve">Clevertar</w:t>
      </w:r>
      <w:r>
        <w:t xml:space="preserve"> </w:t>
      </w:r>
      <w:r>
        <w:t xml:space="preserve">sviluppato localmente, o l’adozione di chatbot esteri come Woebot); tuttavia c’è prudenza: esperti australiani notano che</w:t>
      </w:r>
      <w:r>
        <w:t xml:space="preserve"> </w:t>
      </w:r>
      <w:r>
        <w:t xml:space="preserve">“</w:t>
      </w:r>
      <w:r>
        <w:t xml:space="preserve">i chatbot hanno potenziale ma la prova di efficacia è ancora inconclusiva</w:t>
      </w:r>
      <w:r>
        <w:t xml:space="preserve">”</w:t>
      </w:r>
      <w:r>
        <w:t xml:space="preserve"> </w:t>
      </w:r>
      <w:r>
        <w:t xml:space="preserve">e invocano regolamentazione</w:t>
      </w:r>
      <w:hyperlink r:id="rId2062">
        <w:r>
          <w:rPr>
            <w:rStyle w:val="Hyperlink"/>
          </w:rPr>
          <w:t xml:space="preserve">[34]</w:t>
        </w:r>
      </w:hyperlink>
      <w:r>
        <w:t xml:space="preserve">. Intanto, servizi digitali consolidati come</w:t>
      </w:r>
      <w:r>
        <w:t xml:space="preserve"> </w:t>
      </w:r>
      <w:r>
        <w:rPr>
          <w:b/>
          <w:bCs/>
        </w:rPr>
        <w:t xml:space="preserve">MindSpot</w:t>
      </w:r>
      <w:r>
        <w:t xml:space="preserve"> </w:t>
      </w:r>
      <w:r>
        <w:t xml:space="preserve">(clinica virtuale nazionale che offre valutazioni online e terapia guidata) hanno trattato decine di migliaia di persone con costi per paziente inferiori a quelli tradizionali, come si evince dal numero di utenti serviti con budget relativamente modesti.</w:t>
      </w:r>
      <w:r>
        <w:t xml:space="preserve"> </w:t>
      </w:r>
      <w:r>
        <w:rPr>
          <w:b/>
          <w:bCs/>
        </w:rPr>
        <w:t xml:space="preserve">Takeaway Australiano</w:t>
      </w:r>
      <w:r>
        <w:t xml:space="preserve">: i governi possono investire significativamente in piattaforme digitali pubbliche se si dimostra che</w:t>
      </w:r>
      <w:r>
        <w:t xml:space="preserve"> </w:t>
      </w:r>
      <w:r>
        <w:rPr>
          <w:i/>
          <w:iCs/>
        </w:rPr>
        <w:t xml:space="preserve">costano meno e funzionano</w:t>
      </w:r>
      <w:r>
        <w:t xml:space="preserve">. La trasposizione per Puglia è: qualora la Regione dimostri attraverso pilot locali che un certo modulo IA/digitale migliora esiti e riduce costi, potrebbe ottenere sostegno ministeriale (visti i trend globali) per estenderlo, in linea con iniziative tipo</w:t>
      </w:r>
      <w:r>
        <w:t xml:space="preserve"> </w:t>
      </w:r>
      <w:r>
        <w:t xml:space="preserve">“</w:t>
      </w:r>
      <w:r>
        <w:t xml:space="preserve">telemedicina</w:t>
      </w:r>
      <w:r>
        <w:t xml:space="preserve">”</w:t>
      </w:r>
      <w:r>
        <w:t xml:space="preserve"> </w:t>
      </w:r>
      <w:r>
        <w:t xml:space="preserve">del PNRR. Inoltre, l’esperienza di Better Access (modello tradizionale) ha avuto criticità sui costi crescenti, mentre le alternative digitali emergono come necessarie per sostenibilità: questo rafforza l’argomento che</w:t>
      </w:r>
      <w:r>
        <w:t xml:space="preserve"> </w:t>
      </w:r>
      <w:r>
        <w:rPr>
          <w:i/>
          <w:iCs/>
        </w:rPr>
        <w:t xml:space="preserve">innovare con l’IA conviene rispetto a metodi incrementali puramente tradizionali</w:t>
      </w:r>
      <w:r>
        <w:t xml:space="preserve">.</w:t>
      </w:r>
    </w:p>
    <w:p>
      <w:pPr>
        <w:pStyle w:val="FirstParagraph"/>
      </w:pPr>
      <w:r>
        <w:t xml:space="preserve">In sintesi, i benchmark internazionali suggeriscono:</w:t>
      </w:r>
      <w:r>
        <w:t xml:space="preserve"> </w:t>
      </w:r>
      <w:r>
        <w:rPr>
          <w:b/>
          <w:bCs/>
        </w:rPr>
        <w:t xml:space="preserve">(1)</w:t>
      </w:r>
      <w:r>
        <w:t xml:space="preserve"> </w:t>
      </w:r>
      <w:r>
        <w:t xml:space="preserve">L’adozione di IA e strumenti digitali in contesti simili ha effettivamente portato a</w:t>
      </w:r>
      <w:r>
        <w:t xml:space="preserve"> </w:t>
      </w:r>
      <w:r>
        <w:rPr>
          <w:i/>
          <w:iCs/>
        </w:rPr>
        <w:t xml:space="preserve">risparmi economici diretti</w:t>
      </w:r>
      <w:r>
        <w:t xml:space="preserve"> </w:t>
      </w:r>
      <w:r>
        <w:t xml:space="preserve">(meno costi amministrativi in UK, riduzione costi specialistici in NL) e</w:t>
      </w:r>
      <w:r>
        <w:t xml:space="preserve"> </w:t>
      </w:r>
      <w:r>
        <w:rPr>
          <w:i/>
          <w:iCs/>
        </w:rPr>
        <w:t xml:space="preserve">indiretti</w:t>
      </w:r>
      <w:r>
        <w:t xml:space="preserve"> </w:t>
      </w:r>
      <w:r>
        <w:t xml:space="preserve">(meno ospedalizzazioni in USA, più accesso a costi marginali in AU).</w:t>
      </w:r>
      <w:r>
        <w:t xml:space="preserve"> </w:t>
      </w:r>
      <w:r>
        <w:rPr>
          <w:b/>
          <w:bCs/>
        </w:rPr>
        <w:t xml:space="preserve">(2)</w:t>
      </w:r>
      <w:r>
        <w:t xml:space="preserve"> </w:t>
      </w:r>
      <w:r>
        <w:t xml:space="preserve">I tempi di ritorno dell’investimento sono ragionevoli: le organizzazioni vedono spesso ROI in 1–2 anni su strumenti amministrativi (es. ROI 5x sui call center AI in UK</w:t>
      </w:r>
      <w:hyperlink r:id="rId2056">
        <w:r>
          <w:rPr>
            <w:rStyle w:val="Hyperlink"/>
          </w:rPr>
          <w:t xml:space="preserve">[12]</w:t>
        </w:r>
      </w:hyperlink>
      <w:r>
        <w:t xml:space="preserve">) e costi decrescenti sul lungo periodo per utente man mano che scala (es. il costo per remissione in IAPT con low-intensity scende drasticamente).</w:t>
      </w:r>
      <w:r>
        <w:t xml:space="preserve"> </w:t>
      </w:r>
      <w:r>
        <w:rPr>
          <w:b/>
          <w:bCs/>
        </w:rPr>
        <w:t xml:space="preserve">(3)</w:t>
      </w:r>
      <w:r>
        <w:t xml:space="preserve"> </w:t>
      </w:r>
      <w:r>
        <w:t xml:space="preserve">La chiave del successo è integrare l’IA in un modello di cura ben progettato: sia IAPT che POH-GGZ o CoCM funzionano perché c’è un modello strutturato; l’IA da sola non salva un sistema disorganizzato, ma in un sistema organizzato come quello disegnato per Puglia (rete MMG-Psicologi-CSM con protocolli condivisi) l’IA può fungere da catalizzatore che amplifica i risultati positivi (ad es. in UK l’IA ha aiutato a portare i tassi di remissione IAPT ~50% con costi per paziente £650-£877, abbastanza bassi[65][66]).</w:t>
      </w:r>
      <w:r>
        <w:t xml:space="preserve"> </w:t>
      </w:r>
      <w:r>
        <w:rPr>
          <w:b/>
          <w:bCs/>
        </w:rPr>
        <w:t xml:space="preserve">(4)</w:t>
      </w:r>
      <w:r>
        <w:t xml:space="preserve"> </w:t>
      </w:r>
      <w:r>
        <w:t xml:space="preserve">Attenzione agli aspetti regolatori ed etici: UK e Australia sottolineano di certificare e monitorare sicurezza ed efficacia (la vicenda Limbic con UKCA, o le note australiane sulla mancanza di regolamentazione per app e chatbot</w:t>
      </w:r>
      <w:hyperlink r:id="rId2081">
        <w:r>
          <w:rPr>
            <w:rStyle w:val="Hyperlink"/>
          </w:rPr>
          <w:t xml:space="preserve">[67]</w:t>
        </w:r>
      </w:hyperlink>
      <w:r>
        <w:t xml:space="preserve">). Puglia dovrà seguire tali linee guida, assicurando che ogni modulo IA clinico abbia approvazioni necessarie (in UE: marcatura CE classe IIa per dispositivi che supportano diagnosi/terapia, etc.) e che vi sia trasparenza verso utenti (consenso informato all’uso di AI nelle loro cure).</w:t>
      </w:r>
    </w:p>
    <w:bookmarkEnd w:id="2082"/>
    <w:bookmarkStart w:id="2092" w:name="X7b08ee2d14f0b54e38373364c7552e031b7ee58"/>
    <w:p>
      <w:pPr>
        <w:pStyle w:val="Heading3"/>
      </w:pPr>
      <w:r>
        <w:t xml:space="preserve">Raccomandazioni tecniche per la Regione Puglia</w:t>
      </w:r>
    </w:p>
    <w:p>
      <w:pPr>
        <w:pStyle w:val="FirstParagraph"/>
      </w:pPr>
      <w:r>
        <w:t xml:space="preserve">Alla luce delle analisi sopra svolte, formuliamo alcune</w:t>
      </w:r>
      <w:r>
        <w:t xml:space="preserve"> </w:t>
      </w:r>
      <w:r>
        <w:rPr>
          <w:b/>
          <w:bCs/>
        </w:rPr>
        <w:t xml:space="preserve">raccomandazioni operative</w:t>
      </w:r>
      <w:r>
        <w:t xml:space="preserve"> </w:t>
      </w:r>
      <w:r>
        <w:t xml:space="preserve">per la Regione Puglia su come procedere nell’integrazione dell’IA nel progetto Psicologo di Base, massimizzando i benefici economici e minimizzando rischi e costi di implementazione. Queste raccomandazioni riguardano le priorità di intervento, la sequenza di introduzione dei moduli IA, le partnership tecnologiche da attivare e considerazioni di governance.</w:t>
      </w:r>
    </w:p>
    <w:p>
      <w:pPr>
        <w:pStyle w:val="BodyText"/>
      </w:pPr>
      <w:r>
        <w:rPr>
          <w:b/>
          <w:bCs/>
        </w:rPr>
        <w:t xml:space="preserve">1. Introdurre l’IA in modo graduale e mirato alle aree ad alto ROI</w:t>
      </w:r>
      <w:r>
        <w:t xml:space="preserve"> </w:t>
      </w:r>
      <w:r>
        <w:t xml:space="preserve">– Si consiglia di iniziare dalle soluzioni IA che offrono</w:t>
      </w:r>
      <w:r>
        <w:t xml:space="preserve"> </w:t>
      </w:r>
      <w:r>
        <w:rPr>
          <w:i/>
          <w:iCs/>
        </w:rPr>
        <w:t xml:space="preserve">rapidi guadagni in efficienza</w:t>
      </w:r>
      <w:r>
        <w:t xml:space="preserve"> </w:t>
      </w:r>
      <w:r>
        <w:t xml:space="preserve">con sforzo implementativo relativamente basso. In particolare:</w:t>
      </w:r>
      <w:r>
        <w:t xml:space="preserve"> </w:t>
      </w:r>
      <w:r>
        <w:rPr>
          <w:b/>
          <w:bCs/>
        </w:rPr>
        <w:t xml:space="preserve">(a)</w:t>
      </w:r>
      <w:r>
        <w:t xml:space="preserve"> </w:t>
      </w:r>
      <w:r>
        <w:rPr>
          <w:i/>
          <w:iCs/>
        </w:rPr>
        <w:t xml:space="preserve">Automazione amministrativa e gestione appuntamenti</w:t>
      </w:r>
      <w:r>
        <w:t xml:space="preserve">: mettere subito a gara o sviluppare internamente un sistema di reminder automatizzati e triage telefonico IA, perché incide direttamente su costi di segreteria e liste d’attesa (alto ROI, tecnologia matura).</w:t>
      </w:r>
      <w:r>
        <w:t xml:space="preserve"> </w:t>
      </w:r>
      <w:r>
        <w:rPr>
          <w:b/>
          <w:bCs/>
        </w:rPr>
        <w:t xml:space="preserve">(b)</w:t>
      </w:r>
      <w:r>
        <w:t xml:space="preserve"> </w:t>
      </w:r>
      <w:r>
        <w:rPr>
          <w:i/>
          <w:iCs/>
        </w:rPr>
        <w:t xml:space="preserve">Piattaforma di esiti e cartella integrata</w:t>
      </w:r>
      <w:r>
        <w:t xml:space="preserve">: accelerare la selezione/realizzazione del sistema informativo unico, assicurandosi che includa strumenti di analisi dati e magari moduli AI (es. reportistica automatica) sin dall’inizio. Questo è il fondamento su cui altre IA potranno innestarsi.</w:t>
      </w:r>
      <w:r>
        <w:t xml:space="preserve"> </w:t>
      </w:r>
      <w:r>
        <w:rPr>
          <w:b/>
          <w:bCs/>
        </w:rPr>
        <w:t xml:space="preserve">(c)</w:t>
      </w:r>
      <w:r>
        <w:t xml:space="preserve"> </w:t>
      </w:r>
      <w:r>
        <w:rPr>
          <w:i/>
          <w:iCs/>
        </w:rPr>
        <w:t xml:space="preserve">Chatbot di primo livello</w:t>
      </w:r>
      <w:r>
        <w:t xml:space="preserve">: avviare una sperimentazione su scala limitata (es. in 1–2 ASL pilota) di un assistente virtuale per l’accesso (come Limbic) per valutarne sul campo l’impatto su tempi di assessment e soddisfazione utenti; se conferma i benefici, estenderlo regionalmente. Queste tre azioni iniziali già coprono gran parte dei risparmi facili (meno no-show, meno admin FTE, psicologi meno caricati da burocrazia). Step successivi, più sofisticati (es. AI avanzata di decision support, chatbot terapeutici), potranno essere introdotti</w:t>
      </w:r>
      <w:r>
        <w:t xml:space="preserve"> </w:t>
      </w:r>
      <w:r>
        <w:rPr>
          <w:i/>
          <w:iCs/>
        </w:rPr>
        <w:t xml:space="preserve">dopo</w:t>
      </w:r>
      <w:r>
        <w:t xml:space="preserve"> </w:t>
      </w:r>
      <w:r>
        <w:t xml:space="preserve">aver stabilizzato le basi digitali e coinvolto gli operatori. Un approccio incrementale riduce il rischio di rigetto e permette di aggiustare il tiro man mano, garantendo che ogni euro investito in IA generi effettivamente risparmi o valore.</w:t>
      </w:r>
    </w:p>
    <w:p>
      <w:pPr>
        <w:pStyle w:val="BodyText"/>
      </w:pPr>
      <w:r>
        <w:rPr>
          <w:b/>
          <w:bCs/>
        </w:rPr>
        <w:t xml:space="preserve">2. Dare priorità agli interventi IA che ottimizzano le voci di costo più pesanti</w:t>
      </w:r>
      <w:r>
        <w:t xml:space="preserve"> </w:t>
      </w:r>
      <w:r>
        <w:t xml:space="preserve">– Dalla ripartizione dei costi diretti, emerge che</w:t>
      </w:r>
      <w:r>
        <w:t xml:space="preserve"> </w:t>
      </w:r>
      <w:r>
        <w:rPr>
          <w:b/>
          <w:bCs/>
        </w:rPr>
        <w:t xml:space="preserve">personale</w:t>
      </w:r>
      <w:r>
        <w:t xml:space="preserve"> </w:t>
      </w:r>
      <w:r>
        <w:t xml:space="preserve">(clinico e amministrativo) e</w:t>
      </w:r>
      <w:r>
        <w:t xml:space="preserve"> </w:t>
      </w:r>
      <w:r>
        <w:rPr>
          <w:b/>
          <w:bCs/>
        </w:rPr>
        <w:t xml:space="preserve">overhead IT/formazione</w:t>
      </w:r>
      <w:r>
        <w:t xml:space="preserve"> </w:t>
      </w:r>
      <w:r>
        <w:t xml:space="preserve">sono le componenti principali. Le prime applicazioni IA dovrebbero dunque mirare a:</w:t>
      </w:r>
      <w:r>
        <w:t xml:space="preserve"> </w:t>
      </w:r>
      <w:r>
        <w:rPr>
          <w:b/>
          <w:bCs/>
        </w:rPr>
        <w:t xml:space="preserve">ridurre il fabbisogno di personale di supporto</w:t>
      </w:r>
      <w:r>
        <w:t xml:space="preserve">,</w:t>
      </w:r>
      <w:r>
        <w:t xml:space="preserve"> </w:t>
      </w:r>
      <w:r>
        <w:rPr>
          <w:b/>
          <w:bCs/>
        </w:rPr>
        <w:t xml:space="preserve">aumentare la produttività del personale clinico</w:t>
      </w:r>
      <w:r>
        <w:t xml:space="preserve"> </w:t>
      </w:r>
      <w:r>
        <w:t xml:space="preserve">e</w:t>
      </w:r>
      <w:r>
        <w:t xml:space="preserve"> </w:t>
      </w:r>
      <w:r>
        <w:rPr>
          <w:b/>
          <w:bCs/>
        </w:rPr>
        <w:t xml:space="preserve">razionalizzare la spesa IT/formazione</w:t>
      </w:r>
      <w:r>
        <w:t xml:space="preserve">. In pratica: automatizzare scheduling/data entry (riduci personale supporto), fornire ai clinici strumenti per seguire più pazienti in meno tempo (massimizza produttività psicologi), usare e-learning e tool interattivi al posto di costose sessioni in aula quando possibile (ottimizza spesa formazione). Al contrario, investimenti IA su voci già piccole (es. materiali, che incidono poco) avranno impatto trascurabile sul budget – vanno valutati più per valore aggiunto qualitativo che per risparmio. Anche</w:t>
      </w:r>
      <w:r>
        <w:t xml:space="preserve"> </w:t>
      </w:r>
      <w:r>
        <w:rPr>
          <w:i/>
          <w:iCs/>
        </w:rPr>
        <w:t xml:space="preserve">nell’ambito clinico</w:t>
      </w:r>
      <w:r>
        <w:t xml:space="preserve">, prioritizzare IA su percorsi ad alto volume e costo: es. depressione lieve-moderata è il grosso dei casi -&gt; un chatbot CBT per depressione può deflettere molti accessi o integrarsi nel trattamento, generando risparmi; al contrario, investire su IA per disturbi rari (es. un algoritmo per disturbi di personalità gravi) avrebbe minore impatto economico perché i numeri sono piccoli (pur potendo avere valore clinico, ma parliamo di costi diretti ora). Quindi focalizzarsi su IA per</w:t>
      </w:r>
      <w:r>
        <w:t xml:space="preserve"> </w:t>
      </w:r>
      <w:r>
        <w:rPr>
          <w:b/>
          <w:bCs/>
        </w:rPr>
        <w:t xml:space="preserve">depressione e ansia comuni</w:t>
      </w:r>
      <w:r>
        <w:t xml:space="preserve">, che sono i driver principali sia di domanda che di costo farmaceutico e indotto. Questo coincide con le evidenze: intervenire efficacemente su quei disturbi in primary care genera i risparmi maggiori su altri servizi[46]. In breve:</w:t>
      </w:r>
      <w:r>
        <w:t xml:space="preserve"> </w:t>
      </w:r>
      <w:r>
        <w:rPr>
          <w:i/>
          <w:iCs/>
        </w:rPr>
        <w:t xml:space="preserve">massimizzare l’impatto economico concentrando l’IA dove può far risparmiare di più</w:t>
      </w:r>
      <w:r>
        <w:t xml:space="preserve"> </w:t>
      </w:r>
      <w:r>
        <w:t xml:space="preserve">(amministrazione, alta prevalenza clinica, risorse pregiate come tempo umano).</w:t>
      </w:r>
    </w:p>
    <w:p>
      <w:pPr>
        <w:pStyle w:val="BodyText"/>
      </w:pPr>
      <w:r>
        <w:rPr>
          <w:b/>
          <w:bCs/>
        </w:rPr>
        <w:t xml:space="preserve">3. Collaborare con partner tecnologici esperti, sfruttando soluzioni esistenti adattabili</w:t>
      </w:r>
      <w:r>
        <w:t xml:space="preserve"> </w:t>
      </w:r>
      <w:r>
        <w:t xml:space="preserve">– La Regione dovrebbe evitare di reinventare da zero strumenti IA già sviluppati altrove, a meno di necessità specifiche. Meglio stringere</w:t>
      </w:r>
      <w:r>
        <w:t xml:space="preserve"> </w:t>
      </w:r>
      <w:r>
        <w:rPr>
          <w:b/>
          <w:bCs/>
        </w:rPr>
        <w:t xml:space="preserve">partnership strategiche</w:t>
      </w:r>
      <w:r>
        <w:t xml:space="preserve"> </w:t>
      </w:r>
      <w:r>
        <w:t xml:space="preserve">con chi ha esperienza e prodotti collaudati in questo settore. Alcuni potenziali partner: -</w:t>
      </w:r>
      <w:r>
        <w:t xml:space="preserve"> </w:t>
      </w:r>
      <w:r>
        <w:rPr>
          <w:i/>
          <w:iCs/>
        </w:rPr>
        <w:t xml:space="preserve">Aziende fornitrici di soluzioni per NHS/IAPT</w:t>
      </w:r>
      <w:r>
        <w:t xml:space="preserve">: ad esempio,</w:t>
      </w:r>
      <w:r>
        <w:t xml:space="preserve"> </w:t>
      </w:r>
      <w:r>
        <w:rPr>
          <w:b/>
          <w:bCs/>
        </w:rPr>
        <w:t xml:space="preserve">Mayden</w:t>
      </w:r>
      <w:r>
        <w:t xml:space="preserve"> </w:t>
      </w:r>
      <w:r>
        <w:t xml:space="preserve">(UK) per la piattaforma IAPTus e moduli digitali,</w:t>
      </w:r>
      <w:r>
        <w:t xml:space="preserve"> </w:t>
      </w:r>
      <w:r>
        <w:rPr>
          <w:b/>
          <w:bCs/>
        </w:rPr>
        <w:t xml:space="preserve">Limbic</w:t>
      </w:r>
      <w:r>
        <w:t xml:space="preserve"> </w:t>
      </w:r>
      <w:r>
        <w:t xml:space="preserve">(UK) per il chatbot triage (potrebbe interessarsi ad espandere in UE),</w:t>
      </w:r>
      <w:r>
        <w:t xml:space="preserve"> </w:t>
      </w:r>
      <w:r>
        <w:rPr>
          <w:b/>
          <w:bCs/>
        </w:rPr>
        <w:t xml:space="preserve">SilverCloud</w:t>
      </w:r>
      <w:r>
        <w:t xml:space="preserve"> </w:t>
      </w:r>
      <w:r>
        <w:t xml:space="preserve">(Irlanda/USA) per programmi iCBT. Queste collaborazioni porterebbero know-how e prodotti testati clinicamente. Andrebbe verificata la compatibilità con la lingua italiana e le necessarie certificazioni CE; in caso positivo, partire da un loro prodotto riduce tempi e rischi. -</w:t>
      </w:r>
      <w:r>
        <w:t xml:space="preserve"> </w:t>
      </w:r>
      <w:r>
        <w:rPr>
          <w:i/>
          <w:iCs/>
        </w:rPr>
        <w:t xml:space="preserve">Big tech con programmi sanità</w:t>
      </w:r>
      <w:r>
        <w:t xml:space="preserve">:</w:t>
      </w:r>
      <w:r>
        <w:t xml:space="preserve"> </w:t>
      </w:r>
      <w:r>
        <w:rPr>
          <w:b/>
          <w:bCs/>
        </w:rPr>
        <w:t xml:space="preserve">Microsoft</w:t>
      </w:r>
      <w:r>
        <w:t xml:space="preserve"> </w:t>
      </w:r>
      <w:r>
        <w:t xml:space="preserve">è già partner di molte sanità pubbliche; si potrebbe esplorare un accordo per l’uso di Copilot e servizi Azure AI in Puglia (magari tramite il contratto centralizzato Consip per Office365 se attivo) per dotare da subito il personale di assistenti AI generativi.</w:t>
      </w:r>
      <w:r>
        <w:t xml:space="preserve"> </w:t>
      </w:r>
      <w:r>
        <w:rPr>
          <w:b/>
          <w:bCs/>
        </w:rPr>
        <w:t xml:space="preserve">Google Cloud</w:t>
      </w:r>
      <w:r>
        <w:t xml:space="preserve"> </w:t>
      </w:r>
      <w:r>
        <w:t xml:space="preserve">offre anch’essa soluzioni di AI sanitaria (ad es. autoML per analisi dati, Dialogflow per chatbot) e ha hub in Europa; un hackathon con Google potrebbe generare prototipi ad hoc (alcune regioni lo hanno fatto per Covid chatbot).</w:t>
      </w:r>
      <w:r>
        <w:t xml:space="preserve"> </w:t>
      </w:r>
      <w:r>
        <w:rPr>
          <w:b/>
          <w:bCs/>
        </w:rPr>
        <w:t xml:space="preserve">IBM Watson Health</w:t>
      </w:r>
      <w:r>
        <w:t xml:space="preserve"> </w:t>
      </w:r>
      <w:r>
        <w:t xml:space="preserve">in passato ha sviluppato moduli per il mental health (es. per analizzare trascrizioni di colloqui) – benché Watson abbia avuto alti e bassi, IBM rimane attiva in progetti con enti pubblici e potrebbe essere interessata. La scelta di big tech garantisce scalabilità e aggiornamenti continui, ma va bilanciata con la sovranità del dato (preferibile mantenere i dati clinici su cloud UE compliant). -</w:t>
      </w:r>
      <w:r>
        <w:t xml:space="preserve"> </w:t>
      </w:r>
      <w:r>
        <w:rPr>
          <w:i/>
          <w:iCs/>
        </w:rPr>
        <w:t xml:space="preserve">Startup e PMI italiane nel digital health</w:t>
      </w:r>
      <w:r>
        <w:t xml:space="preserve">: coinvolgere realtà nazionali emergenti può dare soluzioni più aderenti al contesto culturale e alla lingua. Ad esempio,</w:t>
      </w:r>
      <w:r>
        <w:t xml:space="preserve"> </w:t>
      </w:r>
      <w:r>
        <w:rPr>
          <w:b/>
          <w:bCs/>
        </w:rPr>
        <w:t xml:space="preserve">Paginemediche</w:t>
      </w:r>
      <w:r>
        <w:t xml:space="preserve"> </w:t>
      </w:r>
      <w:r>
        <w:t xml:space="preserve">ha sviluppato chatbot di sintomi (anche se non specifico su salute mentale),</w:t>
      </w:r>
      <w:r>
        <w:t xml:space="preserve"> </w:t>
      </w:r>
      <w:r>
        <w:rPr>
          <w:b/>
          <w:bCs/>
        </w:rPr>
        <w:t xml:space="preserve">DaVinci Digital Therapy</w:t>
      </w:r>
      <w:r>
        <w:t xml:space="preserve"> </w:t>
      </w:r>
      <w:r>
        <w:t xml:space="preserve">è una startup italiana su terapie digitali (focus su VR e psichiatria),</w:t>
      </w:r>
      <w:r>
        <w:t xml:space="preserve"> </w:t>
      </w:r>
      <w:r>
        <w:rPr>
          <w:b/>
          <w:bCs/>
        </w:rPr>
        <w:t xml:space="preserve">Esperienze di telemedicina regionale</w:t>
      </w:r>
      <w:r>
        <w:t xml:space="preserve"> </w:t>
      </w:r>
      <w:r>
        <w:t xml:space="preserve">(es. Veneto o EmiliaRomagna) hanno generato know-how che si può trasferire. L’ecosistema italiano delle digital health startup è in crescita e potrebbe offrire partner flessibili con cui co-creare soluzioni adattate ai bisogni pugliesi, magari beneficiando di fondi pubblici (MiSE, PNRR) per l’innovazione locale. -</w:t>
      </w:r>
      <w:r>
        <w:t xml:space="preserve"> </w:t>
      </w:r>
      <w:r>
        <w:rPr>
          <w:i/>
          <w:iCs/>
        </w:rPr>
        <w:t xml:space="preserve">Università e Centri di Ricerca locali</w:t>
      </w:r>
      <w:r>
        <w:t xml:space="preserve">: Coinvolgere</w:t>
      </w:r>
      <w:r>
        <w:t xml:space="preserve"> </w:t>
      </w:r>
      <w:r>
        <w:rPr>
          <w:b/>
          <w:bCs/>
        </w:rPr>
        <w:t xml:space="preserve">Politecnico di Bari</w:t>
      </w:r>
      <w:r>
        <w:t xml:space="preserve">,</w:t>
      </w:r>
      <w:r>
        <w:t xml:space="preserve"> </w:t>
      </w:r>
      <w:r>
        <w:rPr>
          <w:b/>
          <w:bCs/>
        </w:rPr>
        <w:t xml:space="preserve">Università di Bari (Dip. Informatica e Scienze cognitive)</w:t>
      </w:r>
      <w:r>
        <w:t xml:space="preserve">,</w:t>
      </w:r>
      <w:r>
        <w:t xml:space="preserve"> </w:t>
      </w:r>
      <w:r>
        <w:rPr>
          <w:b/>
          <w:bCs/>
        </w:rPr>
        <w:t xml:space="preserve">IRCSS locali</w:t>
      </w:r>
      <w:r>
        <w:t xml:space="preserve"> </w:t>
      </w:r>
      <w:r>
        <w:t xml:space="preserve">in progetti pilota di IA permette di avere competenze scientifiche e valutative indipendenti. Ad esempio, si potrebbe affidare al Politecnico la realizzazione di un algoritmo predittivo sui dati regionali (es. per identificare zone di maggiore necessità, o per predire drop-out) come progetto di ricerca applicata, con doppio vantaggio di costruire internamente know-how e magari accedere a co-finanziamenti (MIUR, Horizon Europe) vista la natura innovativa. Inoltre, un comitato tecnico-scientifico con accademici e esperti IA potrà supervisionare la validazione degli strumenti adottati, garantendo rigore (questo è utile anche a mitigare le resistenze: avere evidenze prodotte da un ente terzo locale sull’efficacia di un chatbot X aiuta ad accettarlo).</w:t>
      </w:r>
    </w:p>
    <w:p>
      <w:pPr>
        <w:pStyle w:val="BodyText"/>
      </w:pPr>
      <w:r>
        <w:rPr>
          <w:b/>
          <w:bCs/>
        </w:rPr>
        <w:t xml:space="preserve">4. Curare gli aspetti di change management e formazione del personale</w:t>
      </w:r>
      <w:r>
        <w:t xml:space="preserve"> </w:t>
      </w:r>
      <w:r>
        <w:t xml:space="preserve">– La migliore tecnologia fallisce se le persone non la usano correttamente. È cruciale investire sin da subito in</w:t>
      </w:r>
      <w:r>
        <w:t xml:space="preserve"> </w:t>
      </w:r>
      <w:r>
        <w:rPr>
          <w:b/>
          <w:bCs/>
        </w:rPr>
        <w:t xml:space="preserve">formazione capillare</w:t>
      </w:r>
      <w:r>
        <w:t xml:space="preserve"> </w:t>
      </w:r>
      <w:r>
        <w:t xml:space="preserve">degli psicologi di base, dei MMG e degli amministrativi all’utilizzo degli strumenti IA. Non basta un corso iniziale: serve un percorso continuo di aggiornamento (incluso nel milione annuo per formazione congiunta[23]). Suggeriamo di:</w:t>
      </w:r>
      <w:r>
        <w:t xml:space="preserve"> </w:t>
      </w:r>
      <w:r>
        <w:rPr>
          <w:b/>
          <w:bCs/>
        </w:rPr>
        <w:t xml:space="preserve">(a)</w:t>
      </w:r>
      <w:r>
        <w:t xml:space="preserve"> </w:t>
      </w:r>
      <w:r>
        <w:t xml:space="preserve">creare un team di</w:t>
      </w:r>
      <w:r>
        <w:t xml:space="preserve"> </w:t>
      </w:r>
      <w:r>
        <w:rPr>
          <w:i/>
          <w:iCs/>
        </w:rPr>
        <w:t xml:space="preserve">“</w:t>
      </w:r>
      <w:r>
        <w:rPr>
          <w:i/>
          <w:iCs/>
        </w:rPr>
        <w:t xml:space="preserve">champion</w:t>
      </w:r>
      <w:r>
        <w:rPr>
          <w:i/>
          <w:iCs/>
        </w:rPr>
        <w:t xml:space="preserve">”</w:t>
      </w:r>
      <w:r>
        <w:rPr>
          <w:i/>
          <w:iCs/>
        </w:rPr>
        <w:t xml:space="preserve"> </w:t>
      </w:r>
      <w:r>
        <w:rPr>
          <w:i/>
          <w:iCs/>
        </w:rPr>
        <w:t xml:space="preserve">digitali</w:t>
      </w:r>
      <w:r>
        <w:t xml:space="preserve"> </w:t>
      </w:r>
      <w:r>
        <w:t xml:space="preserve">tra gli psicologi – figure motivate e formate in modo approfondito che facciano da tutor ai colleghi sull’uso di piattaforme e chatbot, raccogliendo feedback e diffondendo best practice;</w:t>
      </w:r>
      <w:r>
        <w:t xml:space="preserve"> </w:t>
      </w:r>
      <w:r>
        <w:rPr>
          <w:b/>
          <w:bCs/>
        </w:rPr>
        <w:t xml:space="preserve">(b)</w:t>
      </w:r>
      <w:r>
        <w:t xml:space="preserve"> </w:t>
      </w:r>
      <w:r>
        <w:t xml:space="preserve">inserire moduli di digital health nei programmi ECM degli operatori (es. corsi su come integrare interventi online nella pratica clinica, come interpretare i segnali da un algoritmo, etc.);</w:t>
      </w:r>
      <w:r>
        <w:t xml:space="preserve"> </w:t>
      </w:r>
      <w:r>
        <w:rPr>
          <w:b/>
          <w:bCs/>
        </w:rPr>
        <w:t xml:space="preserve">(c)</w:t>
      </w:r>
      <w:r>
        <w:t xml:space="preserve"> </w:t>
      </w:r>
      <w:r>
        <w:t xml:space="preserve">prevedere un periodo di doppio binario all’introduzione di ogni IA: ad esempio, quando si attiva il chatbot triage, per i primi mesi i clinici potrebbero rivedere manualmente una parte delle valutazioni fatte dall’AI per fidarsi e calibrare – questo va considerato nei processi senza scoraggiarsi se inizialmente sembra un surplus di lavoro, perché è un investimento per l’adozione serena. Inoltre,</w:t>
      </w:r>
      <w:r>
        <w:t xml:space="preserve"> </w:t>
      </w:r>
      <w:r>
        <w:rPr>
          <w:b/>
          <w:bCs/>
        </w:rPr>
        <w:t xml:space="preserve">comunicazione interna</w:t>
      </w:r>
      <w:r>
        <w:t xml:space="preserve">: far conoscere al personale i successi quantitativi (es.</w:t>
      </w:r>
      <w:r>
        <w:t xml:space="preserve"> </w:t>
      </w:r>
      <w:r>
        <w:t xml:space="preserve">“</w:t>
      </w:r>
      <w:r>
        <w:t xml:space="preserve">questo mese il sistema di reminder ha ridotto i mancati appuntamenti del 40%</w:t>
      </w:r>
      <w:r>
        <w:t xml:space="preserve">”</w:t>
      </w:r>
      <w:r>
        <w:t xml:space="preserve">) li motiverà a utilizzarlo ancora di più. Dal lato pazienti, va gestito il cambiamento spiegando chiaramente i nuovi servizi digitali, rassicurando sul fatto che</w:t>
      </w:r>
      <w:r>
        <w:t xml:space="preserve"> </w:t>
      </w:r>
      <w:r>
        <w:rPr>
          <w:i/>
          <w:iCs/>
        </w:rPr>
        <w:t xml:space="preserve">non sostituiscono il contatto umano ma lo integrano</w:t>
      </w:r>
      <w:r>
        <w:t xml:space="preserve">. Creare</w:t>
      </w:r>
      <w:r>
        <w:t xml:space="preserve"> </w:t>
      </w:r>
      <w:r>
        <w:rPr>
          <w:b/>
          <w:bCs/>
        </w:rPr>
        <w:t xml:space="preserve">materiale informativo per i cittadini</w:t>
      </w:r>
      <w:r>
        <w:t xml:space="preserve"> </w:t>
      </w:r>
      <w:r>
        <w:t xml:space="preserve">(brochure, video tutorial) sull’uso del chatbot, sul portale psicologo base, ecc., ridurrà confusione e aumenterà l’adesione, permettendo di cogliere i benefici economici attesi (ad esempio, un chatbot di triage produce risparmi proporzionali al numero di utenti che lo usano; se pochi sanno che esiste, l’effetto è minore). Dunque, investire in campagne di comunicazione e alfabetizzazione digitale fa parte del progetto ed è raccomandato.</w:t>
      </w:r>
    </w:p>
    <w:p>
      <w:pPr>
        <w:pStyle w:val="BodyText"/>
      </w:pPr>
      <w:r>
        <w:rPr>
          <w:b/>
          <w:bCs/>
        </w:rPr>
        <w:t xml:space="preserve">5. Istituire un sistema di monitoraggio e valutazione continua dell’impatto</w:t>
      </w:r>
      <w:r>
        <w:t xml:space="preserve"> </w:t>
      </w:r>
      <w:r>
        <w:t xml:space="preserve">– Per assicurare il ROI e i risparmi previsti, la Regione dovrebbe implementare fin dall’inizio un</w:t>
      </w:r>
      <w:r>
        <w:t xml:space="preserve"> </w:t>
      </w:r>
      <w:r>
        <w:rPr>
          <w:b/>
          <w:bCs/>
        </w:rPr>
        <w:t xml:space="preserve">framework di KPI (indicatori chiave di performance)</w:t>
      </w:r>
      <w:r>
        <w:t xml:space="preserve"> </w:t>
      </w:r>
      <w:r>
        <w:t xml:space="preserve">relativi all’IA. Ad esempio: tempo medio di attesa prima e dopo chatbot, numero di ore amministrative risparmiate, tasso di no-show, numero medio pazienti per psicologo, soddisfazione pazienti e operatori, ecc. Questi indicatori andrebbero misurati regolarmente e presentati in report trimestrali al coordinamento regionale[68][69]. In caso i risultati fossero inferiori alle aspettative (es. il chatbot non riduce come atteso il tempo di valutazione), si dovrà indagare e correggere (magari è un problema di integrazione, o servono miglioramenti nell’UX). È utile condurre anche</w:t>
      </w:r>
      <w:r>
        <w:t xml:space="preserve"> </w:t>
      </w:r>
      <w:r>
        <w:rPr>
          <w:b/>
          <w:bCs/>
        </w:rPr>
        <w:t xml:space="preserve">analisi costi-benefici periodiche</w:t>
      </w:r>
      <w:r>
        <w:t xml:space="preserve">: ad esempio dopo 2 anni, far svolgere a un ente terzo (università) un’analisi economica comparativa scenario con vs senza IA (simulato) per quantificare i risparmi effettivamente conseguiti, così da apportare eventuali correzioni. Questo approccio data-driven è in linea con la filosofia del progetto, che già prevedeva un capitolo sui risparmi diretti e ROI da modellizzare[70][71] – l’IA aggiunge un ulteriore elemento da valutare. Inoltre, condividere i risultati con il Ministero e altre Regioni potrebbe attirare ulteriori finanziamenti o progetti di scaling (Puglia come modello nazionale). In parallelo,</w:t>
      </w:r>
      <w:r>
        <w:t xml:space="preserve"> </w:t>
      </w:r>
      <w:r>
        <w:rPr>
          <w:b/>
          <w:bCs/>
        </w:rPr>
        <w:t xml:space="preserve">attenzione alla qualità e sicurezza</w:t>
      </w:r>
      <w:r>
        <w:t xml:space="preserve">: monitorare tassi di esiti clinici (recovery, drop-out) per assicurarsi che restino pari o migliori rispetto al pre-IA (ricordando che efficacia clinica e efficienza economica vanno a braccetto nel lungo termine). Implementare un meccanismo di segnalazione per eventuali criticità legate all’IA (es. se il chatbot desse qualche risposta inappropriata, ci deve essere un processo per correggerlo prontamente).</w:t>
      </w:r>
    </w:p>
    <w:p>
      <w:pPr>
        <w:pStyle w:val="BodyText"/>
      </w:pPr>
      <w:r>
        <w:rPr>
          <w:b/>
          <w:bCs/>
        </w:rPr>
        <w:t xml:space="preserve">6. Garantire compliance normativa e tutela dei dati sin dall’inizio</w:t>
      </w:r>
      <w:r>
        <w:t xml:space="preserve"> </w:t>
      </w:r>
      <w:r>
        <w:t xml:space="preserve">– Raccomandiamo di coinvolgere l’ufficio legale e il DPO (Data Protection Officer) regionale in ogni fase di contrattazione e implementazione di soluzioni IA. Aspetti come il consenso informato dei pazienti all’uso di algoritmi, la trasparenza sugli output (ad es. se un referto è generato dall’AI, il clinico deve saperlo e validarlo), la cybersecurity (protezione da accessi non autorizzati, visto che gli attacchi a sistemi sanitari sono in aumento) vanno curati attentamente. Questo non è solo obbligo legale ma</w:t>
      </w:r>
      <w:r>
        <w:t xml:space="preserve"> </w:t>
      </w:r>
      <w:r>
        <w:rPr>
          <w:i/>
          <w:iCs/>
        </w:rPr>
        <w:t xml:space="preserve">saggezza strategica</w:t>
      </w:r>
      <w:r>
        <w:t xml:space="preserve">: un incidente di data breach o un errore grossolano dell’IA non solo avrebbe implicazioni etiche, ma potrebbe minare la fiducia di operatori e cittadini, vanificando il progetto. Quindi raccomandiamo: predisporre</w:t>
      </w:r>
      <w:r>
        <w:t xml:space="preserve"> </w:t>
      </w:r>
      <w:r>
        <w:rPr>
          <w:b/>
          <w:bCs/>
        </w:rPr>
        <w:t xml:space="preserve">Valutazioni di Impatto (DPIA)</w:t>
      </w:r>
      <w:r>
        <w:t xml:space="preserve"> </w:t>
      </w:r>
      <w:r>
        <w:t xml:space="preserve">per gli strumenti più invasivi (come chatbot clinici); assicurarsi che i fornitori firmino accordi GDPR-compliant (dati ospitati in UE, etc.); pretendere che gli algoritmi di decision support clinico abbiano evidenze scientifiche (preferibilmente pubblicate) a supporto e, se necessario, marchio CE. Inoltre, pianificare fallback manuali: se un sistema IA non fosse temporaneamente disponibile, il servizio deve comunque continuare (ad es. avere procedure manuali di triage come backup). Infine, monitorare la</w:t>
      </w:r>
      <w:r>
        <w:t xml:space="preserve"> </w:t>
      </w:r>
      <w:r>
        <w:rPr>
          <w:i/>
          <w:iCs/>
        </w:rPr>
        <w:t xml:space="preserve">fairness</w:t>
      </w:r>
      <w:r>
        <w:t xml:space="preserve"> </w:t>
      </w:r>
      <w:r>
        <w:t xml:space="preserve">degli algoritmi: verificare che l’IA non introduca bias o disparità di accesso (es. il chatbot funziona bene anche con utenti meno scolarizzati? Non esclude fasce d’età? etc.). Questi accorgimenti garantiranno che l’IA sia sostenibile non solo economicamente, ma anche socialmente.</w:t>
      </w:r>
    </w:p>
    <w:p>
      <w:pPr>
        <w:pStyle w:val="BodyText"/>
      </w:pPr>
      <w:r>
        <w:rPr>
          <w:b/>
          <w:bCs/>
        </w:rPr>
        <w:t xml:space="preserve">7. Sostenibilità e scalabilità economica</w:t>
      </w:r>
      <w:r>
        <w:t xml:space="preserve"> </w:t>
      </w:r>
      <w:r>
        <w:t xml:space="preserve">– Ultima raccomandazione: pianificare il finanziamento dell’IA in modo sostenibile. Nel budget del progetto andrà previsto un capitolo dedicato all’innovazione digitale, anziché sperare di finanziarlo interamente con i risparmi. È consigliabile destinare sin d’ora una percentuale del budget annuo (es. il 5%) a</w:t>
      </w:r>
      <w:r>
        <w:t xml:space="preserve"> </w:t>
      </w:r>
      <w:r>
        <w:t xml:space="preserve">“</w:t>
      </w:r>
      <w:r>
        <w:t xml:space="preserve">digital health &amp; IA</w:t>
      </w:r>
      <w:r>
        <w:t xml:space="preserve">”</w:t>
      </w:r>
      <w:r>
        <w:t xml:space="preserve">, ossia circa</w:t>
      </w:r>
      <w:r>
        <w:t xml:space="preserve"> </w:t>
      </w:r>
      <w:r>
        <w:rPr>
          <w:b/>
          <w:bCs/>
        </w:rPr>
        <w:t xml:space="preserve">€2 milioni/anno</w:t>
      </w:r>
      <w:r>
        <w:t xml:space="preserve"> </w:t>
      </w:r>
      <w:r>
        <w:t xml:space="preserve">nei €40M complessivi. Questa cifra può coprire sia i costi ricorrenti delle tecnologie, sia alimentare un fondo per sviluppi futuri (man mano che emergono nuove opportunità di IA, si avranno risorse dedicate per sperimentarle). Nel contempo, i risparmi realizzati grazie all’IA dovrebbero essere misurati e, in parte,</w:t>
      </w:r>
      <w:r>
        <w:t xml:space="preserve"> </w:t>
      </w:r>
      <w:r>
        <w:rPr>
          <w:b/>
          <w:bCs/>
        </w:rPr>
        <w:t xml:space="preserve">reinvestiti</w:t>
      </w:r>
      <w:r>
        <w:t xml:space="preserve"> </w:t>
      </w:r>
      <w:r>
        <w:t xml:space="preserve">nel servizio stesso: ad esempio, se l’IA fa risparmiare €1M, la Regione potrebbe decidere di utilizzare metà di quella somma per ampliare orari di apertura, introdurre nuovi servizi (es. gruppi di auto-aiuto online moderati da psicologi) o migliorare le condizioni contrattuali del personale (aumentando l’attrattività del ruolo, che di riflesso migliora gli esiti e riduce costi di turnover). Questo genererebbe un</w:t>
      </w:r>
      <w:r>
        <w:t xml:space="preserve"> </w:t>
      </w:r>
      <w:r>
        <w:rPr>
          <w:i/>
          <w:iCs/>
        </w:rPr>
        <w:t xml:space="preserve">circolo virtuoso</w:t>
      </w:r>
      <w:r>
        <w:t xml:space="preserve"> </w:t>
      </w:r>
      <w:r>
        <w:t xml:space="preserve">in cui l’IA non serve a</w:t>
      </w:r>
      <w:r>
        <w:t xml:space="preserve"> </w:t>
      </w:r>
      <w:r>
        <w:t xml:space="preserve">“</w:t>
      </w:r>
      <w:r>
        <w:t xml:space="preserve">tagliare</w:t>
      </w:r>
      <w:r>
        <w:t xml:space="preserve">”</w:t>
      </w:r>
      <w:r>
        <w:t xml:space="preserve"> </w:t>
      </w:r>
      <w:r>
        <w:t xml:space="preserve">indiscriminatamente, ma a</w:t>
      </w:r>
      <w:r>
        <w:t xml:space="preserve"> </w:t>
      </w:r>
      <w:r>
        <w:rPr>
          <w:b/>
          <w:bCs/>
        </w:rPr>
        <w:t xml:space="preserve">liberare risorse per far crescere il servizio in qualità e quantità</w:t>
      </w:r>
      <w:r>
        <w:t xml:space="preserve"> </w:t>
      </w:r>
      <w:r>
        <w:t xml:space="preserve">senza aumentare la spesa totale. D’altronde, il progetto base stesso sottolinea che una quota significativa del budget è giustamente destinata a formazione, supervisione, sistema informativo e governance – fattori determinanti di esiti favorevoli[62]. L’IA va vista come parte di questi fattori abilitanti, e come tale va finanziata adeguatamente e protetta da visioni miopi di breve termine. In sintesi: predisporre</w:t>
      </w:r>
      <w:r>
        <w:t xml:space="preserve"> </w:t>
      </w:r>
      <w:r>
        <w:rPr>
          <w:i/>
          <w:iCs/>
        </w:rPr>
        <w:t xml:space="preserve">lungimiranza di budget</w:t>
      </w:r>
      <w:r>
        <w:t xml:space="preserve">, così che la trasformazione digitale possa consolidarsi e scalare, portando a compimento quei risparmi strutturali (anche esterni al servizio) che abbiamo stimato sul lungo periodo.</w:t>
      </w:r>
    </w:p>
    <w:p>
      <w:pPr>
        <w:pStyle w:val="BodyText"/>
      </w:pPr>
      <w:r>
        <w:rPr>
          <w:b/>
          <w:bCs/>
        </w:rPr>
        <w:t xml:space="preserve">Conclusione:</w:t>
      </w:r>
      <w:r>
        <w:t xml:space="preserve"> </w:t>
      </w:r>
      <w:r>
        <w:t xml:space="preserve">L’integrazione dell’Intelligenza Artificiale nel modello Psicologo di Base rappresenta un’opportunità concreta per la Regione Puglia di ottenere un</w:t>
      </w:r>
      <w:r>
        <w:t xml:space="preserve"> </w:t>
      </w:r>
      <w:r>
        <w:rPr>
          <w:i/>
          <w:iCs/>
        </w:rPr>
        <w:t xml:space="preserve">salto di qualità</w:t>
      </w:r>
      <w:r>
        <w:t xml:space="preserve"> </w:t>
      </w:r>
      <w:r>
        <w:t xml:space="preserve">nell’efficienza e sostenibilità del servizio. Analizzando ogni voce di costo diretto, abbiamo evidenziato come l’IA possa</w:t>
      </w:r>
      <w:r>
        <w:t xml:space="preserve"> </w:t>
      </w:r>
      <w:r>
        <w:rPr>
          <w:b/>
          <w:bCs/>
        </w:rPr>
        <w:t xml:space="preserve">snellire i processi, automatizzare compiti ripetitivi, ottimizzare l’uso delle risorse umane e migliorare l’interoperabilità</w:t>
      </w:r>
      <w:r>
        <w:t xml:space="preserve"> </w:t>
      </w:r>
      <w:r>
        <w:t xml:space="preserve">– con risparmi annui stimabili dell’ordine del</w:t>
      </w:r>
      <w:r>
        <w:t xml:space="preserve"> </w:t>
      </w:r>
      <w:r>
        <w:rPr>
          <w:b/>
          <w:bCs/>
        </w:rPr>
        <w:t xml:space="preserve">3–5% del budget diretto</w:t>
      </w:r>
      <w:r>
        <w:t xml:space="preserve"> </w:t>
      </w:r>
      <w:r>
        <w:t xml:space="preserve">nel breve termine, e potenzialmente molto maggiori a regime se si considerano gli effetti sistemici (riduzione di costi sanitari evitabili). Il confronto tra scenario tradizionale e scenario IA-enhanced ha indicato che è possibile risparmiare circa</w:t>
      </w:r>
      <w:r>
        <w:t xml:space="preserve"> </w:t>
      </w:r>
      <w:r>
        <w:rPr>
          <w:b/>
          <w:bCs/>
        </w:rPr>
        <w:t xml:space="preserve">€1–2 milioni l’anno</w:t>
      </w:r>
      <w:r>
        <w:t xml:space="preserve"> </w:t>
      </w:r>
      <w:r>
        <w:t xml:space="preserve">mantenendo invariata l’offerta assistenziale, reinvestibili per ampliare ulteriormente il servizio o per coprire i costi tecnologici stessi. Le esperienze internazionali (dal NHS alle e-health olandesi, fino all’innovazione australiana) confermano la</w:t>
      </w:r>
      <w:r>
        <w:t xml:space="preserve"> </w:t>
      </w:r>
      <w:r>
        <w:rPr>
          <w:i/>
          <w:iCs/>
        </w:rPr>
        <w:t xml:space="preserve">bontà dell’investimento in IA</w:t>
      </w:r>
      <w:r>
        <w:t xml:space="preserve">: quando ben implementata, l’IA</w:t>
      </w:r>
      <w:r>
        <w:t xml:space="preserve"> </w:t>
      </w:r>
      <w:r>
        <w:rPr>
          <w:b/>
          <w:bCs/>
        </w:rPr>
        <w:t xml:space="preserve">migliora gli esiti clinici riducendo i costi unitari</w:t>
      </w:r>
      <w:r>
        <w:t xml:space="preserve">, generando ROI positivi per i sistemi sanitari. Affinché ciò si realizzi in Puglia, sarà determinante</w:t>
      </w:r>
      <w:r>
        <w:t xml:space="preserve"> </w:t>
      </w:r>
      <w:r>
        <w:rPr>
          <w:b/>
          <w:bCs/>
        </w:rPr>
        <w:t xml:space="preserve">una regia attenta</w:t>
      </w:r>
      <w:r>
        <w:t xml:space="preserve">: scegliere partner affidabili, formare ed entusiasmare il personale, procedere per gradi misurando i risultati e mantenendo il paziente al centro (l’IA come mezzo e non fine). Seguendo le raccomandazioni esposte – prioritarizzando le aree a maggior impatto, coinvolgendo competenze esterne e interne, assicurando sostenibilità finanziaria e compliance – la Regione potrà introdurre moduli di IA (dai chatbot ai sistemi analitici) che</w:t>
      </w:r>
      <w:r>
        <w:t xml:space="preserve"> </w:t>
      </w:r>
      <w:r>
        <w:rPr>
          <w:b/>
          <w:bCs/>
        </w:rPr>
        <w:t xml:space="preserve">nel giro di pochi anni ripagheranno ampiamente l’investimento</w:t>
      </w:r>
      <w:r>
        <w:t xml:space="preserve">, rendendo il servizio Psicologo di Base un modello d’eccellenza sia clinica che gestionale. Come sottolineato in letteratura, l’integrazione di e-mental health può rendere i programmi di psicologia di base addirittura</w:t>
      </w:r>
      <w:r>
        <w:t xml:space="preserve"> </w:t>
      </w:r>
      <w:r>
        <w:t xml:space="preserve">“</w:t>
      </w:r>
      <w:r>
        <w:t xml:space="preserve">dominanti</w:t>
      </w:r>
      <w:r>
        <w:t xml:space="preserve">”</w:t>
      </w:r>
      <w:r>
        <w:t xml:space="preserve"> </w:t>
      </w:r>
      <w:r>
        <w:t xml:space="preserve">in termini di cost-effectiveness[47], ossia ottenere</w:t>
      </w:r>
      <w:r>
        <w:t xml:space="preserve"> </w:t>
      </w:r>
      <w:r>
        <w:rPr>
          <w:i/>
          <w:iCs/>
        </w:rPr>
        <w:t xml:space="preserve">migliori risultati a costi inferiori</w:t>
      </w:r>
      <w:r>
        <w:t xml:space="preserve">. Questa prospettiva – migliorare la salute mentale dei cittadini pugliesi risparmiando risorse pubbliche – è un potente incentivo ad abbracciare l’innovazione. In definitiva, l’IA non è una spesa aggiuntiva fine a sé stessa, ma un</w:t>
      </w:r>
      <w:r>
        <w:t xml:space="preserve"> </w:t>
      </w:r>
      <w:r>
        <w:rPr>
          <w:b/>
          <w:bCs/>
        </w:rPr>
        <w:t xml:space="preserve">investimento strategico</w:t>
      </w:r>
      <w:r>
        <w:t xml:space="preserve"> </w:t>
      </w:r>
      <w:r>
        <w:t xml:space="preserve">per consolidare nel tempo il diritto alle cure psicologiche primarie, facendolo in modo economicamente saggio e sostenibile. La sfida ora è passare dalla progettazione all’azione: con lungimiranza e impegno, la Puglia può porsi all’avanguardia in Italia nell’utilizzo intelligente dell’IA in sanità,</w:t>
      </w:r>
      <w:r>
        <w:t xml:space="preserve"> </w:t>
      </w:r>
      <w:r>
        <w:rPr>
          <w:i/>
          <w:iCs/>
        </w:rPr>
        <w:t xml:space="preserve">dimostrando con i fatti</w:t>
      </w:r>
      <w:r>
        <w:t xml:space="preserve"> </w:t>
      </w:r>
      <w:r>
        <w:t xml:space="preserve">che efficienza e qualità delle cure possono procedere insieme a beneficio reciproco.</w:t>
      </w:r>
    </w:p>
    <w:p>
      <w:pPr>
        <w:pStyle w:val="BodyText"/>
      </w:pPr>
      <w:r>
        <w:rPr>
          <w:b/>
          <w:bCs/>
        </w:rPr>
        <w:t xml:space="preserve">Fonti:</w:t>
      </w:r>
      <w:r>
        <w:t xml:space="preserve"> </w:t>
      </w:r>
      <w:r>
        <w:t xml:space="preserve">Le analisi e cifre qui riportate si basano su dati del Capitolo 4 del progetto ufficiale Psicologo di Base Puglia[3][4], su letteratura scientifica ed evidenze da implementazioni internazionali (es. NHS[17], studi IAPT[47], esperienze Limbic</w:t>
      </w:r>
      <w:hyperlink r:id="rId1926">
        <w:r>
          <w:rPr>
            <w:rStyle w:val="Hyperlink"/>
          </w:rPr>
          <w:t xml:space="preserve">[32]</w:t>
        </w:r>
      </w:hyperlink>
      <w:r>
        <w:t xml:space="preserve">, trial su terapie online</w:t>
      </w:r>
      <w:hyperlink r:id="rId2070">
        <w:r>
          <w:rPr>
            <w:rStyle w:val="Hyperlink"/>
          </w:rPr>
          <w:t xml:space="preserve">[48]</w:t>
        </w:r>
      </w:hyperlink>
      <w:r>
        <w:t xml:space="preserve">), nonché su stime adattate al contesto regionale fornite nei documenti interni[40][72]. Questi riferimenti evidenziano in modo convergente il forte potenziale dell’IA nel migliorare la costo-efficacia degli interventi psicologici di base, fornendo una base evidence-based per le raccomandazioni formulate.</w:t>
      </w:r>
    </w:p>
    <w:p>
      <w:pPr>
        <w:pStyle w:val="BodyText"/>
      </w:pPr>
      <w:r>
        <w:t xml:space="preserve">[1] [2] [3] [4] [8] [14] [15] [16] [17] [18] [20] [21] [22] [23] [24] [25] [26] [27] [28] [29] [30] [45] [46] [47] [55] [56] [61] [62] [65] [66] [68] [69] [70] [71] PSICOLOGO DI BASE PT. 4 - COSTI DIRETTI.pdf</w:t>
      </w:r>
    </w:p>
    <w:p>
      <w:pPr>
        <w:pStyle w:val="BodyText"/>
      </w:pPr>
      <w:r>
        <w:t xml:space="preserve">TKCM6JcRynuTzgy2AyF15N</w:t>
      </w:r>
    </w:p>
    <w:p>
      <w:pPr>
        <w:pStyle w:val="BodyText"/>
      </w:pPr>
      <w:r>
        <w:t xml:space="preserve">[5] [39] [40] [43] [44] [49] [50] [72] Integrazione dell’Intelligenza Artificiale nel Capitolo 2_ Bisogni Psicologici, Criticità Sanitarie .pdf</w:t>
      </w:r>
    </w:p>
    <w:p>
      <w:pPr>
        <w:pStyle w:val="BodyText"/>
      </w:pPr>
      <w:r>
        <w:t xml:space="preserve">YHLK1pM91y8XaDy7yHwA1h</w:t>
      </w:r>
    </w:p>
    <w:p>
      <w:pPr>
        <w:pStyle w:val="BodyText"/>
      </w:pPr>
      <w:hyperlink r:id="rId2051">
        <w:r>
          <w:rPr>
            <w:rStyle w:val="Hyperlink"/>
          </w:rPr>
          <w:t xml:space="preserve">[6]</w:t>
        </w:r>
      </w:hyperlink>
      <w:r>
        <w:t xml:space="preserve"> </w:t>
      </w:r>
      <w:hyperlink r:id="rId1925">
        <w:r>
          <w:rPr>
            <w:rStyle w:val="Hyperlink"/>
          </w:rPr>
          <w:t xml:space="preserve">[31]</w:t>
        </w:r>
      </w:hyperlink>
      <w:r>
        <w:t xml:space="preserve"> </w:t>
      </w:r>
      <w:hyperlink r:id="rId1926">
        <w:r>
          <w:rPr>
            <w:rStyle w:val="Hyperlink"/>
          </w:rPr>
          <w:t xml:space="preserve">[32]</w:t>
        </w:r>
      </w:hyperlink>
      <w:r>
        <w:t xml:space="preserve"> </w:t>
      </w:r>
      <w:hyperlink r:id="rId2061">
        <w:r>
          <w:rPr>
            <w:rStyle w:val="Hyperlink"/>
          </w:rPr>
          <w:t xml:space="preserve">[33]</w:t>
        </w:r>
      </w:hyperlink>
      <w:r>
        <w:t xml:space="preserve"> </w:t>
      </w:r>
      <w:hyperlink r:id="rId2051">
        <w:r>
          <w:rPr>
            <w:rStyle w:val="Hyperlink"/>
          </w:rPr>
          <w:t xml:space="preserve">[52]</w:t>
        </w:r>
      </w:hyperlink>
      <w:r>
        <w:t xml:space="preserve"> </w:t>
      </w:r>
      <w:r>
        <w:t xml:space="preserve">AI mental health chatbot that predicts disorders becomes first in world to gain Class IIa UKCA medical device status</w:t>
      </w:r>
    </w:p>
    <w:p>
      <w:pPr>
        <w:pStyle w:val="BodyText"/>
      </w:pPr>
      <w:hyperlink r:id="rId2018">
        <w:r>
          <w:rPr>
            <w:rStyle w:val="Hyperlink"/>
          </w:rPr>
          <w:t xml:space="preserve">https://www.limbic.ai/blog/class-ii-a</w:t>
        </w:r>
      </w:hyperlink>
    </w:p>
    <w:p>
      <w:pPr>
        <w:pStyle w:val="BodyText"/>
      </w:pPr>
      <w:hyperlink r:id="rId2052">
        <w:r>
          <w:rPr>
            <w:rStyle w:val="Hyperlink"/>
          </w:rPr>
          <w:t xml:space="preserve">[7]</w:t>
        </w:r>
      </w:hyperlink>
      <w:r>
        <w:t xml:space="preserve"> </w:t>
      </w:r>
      <w:hyperlink r:id="rId2053">
        <w:r>
          <w:rPr>
            <w:rStyle w:val="Hyperlink"/>
          </w:rPr>
          <w:t xml:space="preserve">[9]</w:t>
        </w:r>
      </w:hyperlink>
      <w:r>
        <w:t xml:space="preserve"> </w:t>
      </w:r>
      <w:hyperlink r:id="rId2054">
        <w:r>
          <w:rPr>
            <w:rStyle w:val="Hyperlink"/>
          </w:rPr>
          <w:t xml:space="preserve">[10]</w:t>
        </w:r>
      </w:hyperlink>
      <w:r>
        <w:t xml:space="preserve"> </w:t>
      </w:r>
      <w:hyperlink r:id="rId2055">
        <w:r>
          <w:rPr>
            <w:rStyle w:val="Hyperlink"/>
          </w:rPr>
          <w:t xml:space="preserve">[11]</w:t>
        </w:r>
      </w:hyperlink>
      <w:r>
        <w:t xml:space="preserve"> </w:t>
      </w:r>
      <w:hyperlink r:id="rId2056">
        <w:r>
          <w:rPr>
            <w:rStyle w:val="Hyperlink"/>
          </w:rPr>
          <w:t xml:space="preserve">[12]</w:t>
        </w:r>
      </w:hyperlink>
      <w:r>
        <w:t xml:space="preserve"> </w:t>
      </w:r>
      <w:hyperlink r:id="rId2057">
        <w:r>
          <w:rPr>
            <w:rStyle w:val="Hyperlink"/>
          </w:rPr>
          <w:t xml:space="preserve">[13]</w:t>
        </w:r>
      </w:hyperlink>
      <w:r>
        <w:t xml:space="preserve"> </w:t>
      </w:r>
      <w:r>
        <w:t xml:space="preserve">The ROI of AI-Powered Care Administration: Reducing Costs While Improving Care | Inquira Health</w:t>
      </w:r>
    </w:p>
    <w:p>
      <w:pPr>
        <w:pStyle w:val="BodyText"/>
      </w:pPr>
      <w:hyperlink r:id="rId2083">
        <w:r>
          <w:rPr>
            <w:rStyle w:val="Hyperlink"/>
          </w:rPr>
          <w:t xml:space="preserve">https://www.inquira.health/en/blog/the-roi-of-ai-powered-care-administration-reducing-costs-while-improving-care</w:t>
        </w:r>
      </w:hyperlink>
    </w:p>
    <w:p>
      <w:pPr>
        <w:pStyle w:val="BodyText"/>
      </w:pPr>
      <w:hyperlink r:id="rId2058">
        <w:r>
          <w:rPr>
            <w:rStyle w:val="Hyperlink"/>
          </w:rPr>
          <w:t xml:space="preserve">[19]</w:t>
        </w:r>
      </w:hyperlink>
      <w:r>
        <w:t xml:space="preserve"> </w:t>
      </w:r>
      <w:hyperlink r:id="rId2063">
        <w:r>
          <w:rPr>
            <w:rStyle w:val="Hyperlink"/>
          </w:rPr>
          <w:t xml:space="preserve">[35]</w:t>
        </w:r>
      </w:hyperlink>
      <w:r>
        <w:t xml:space="preserve"> </w:t>
      </w:r>
      <w:hyperlink r:id="rId2064">
        <w:r>
          <w:rPr>
            <w:rStyle w:val="Hyperlink"/>
          </w:rPr>
          <w:t xml:space="preserve">[36]</w:t>
        </w:r>
      </w:hyperlink>
      <w:r>
        <w:t xml:space="preserve"> </w:t>
      </w:r>
      <w:hyperlink r:id="rId2066">
        <w:r>
          <w:rPr>
            <w:rStyle w:val="Hyperlink"/>
          </w:rPr>
          <w:t xml:space="preserve">[37]</w:t>
        </w:r>
      </w:hyperlink>
      <w:r>
        <w:t xml:space="preserve"> </w:t>
      </w:r>
      <w:hyperlink r:id="rId2072">
        <w:r>
          <w:rPr>
            <w:rStyle w:val="Hyperlink"/>
          </w:rPr>
          <w:t xml:space="preserve">[51]</w:t>
        </w:r>
      </w:hyperlink>
      <w:r>
        <w:t xml:space="preserve"> </w:t>
      </w:r>
      <w:r>
        <w:t xml:space="preserve">Major NHS trial of AI-powered productivity tool delivers cost savings</w:t>
      </w:r>
    </w:p>
    <w:p>
      <w:pPr>
        <w:pStyle w:val="BodyText"/>
      </w:pPr>
      <w:hyperlink r:id="rId2084">
        <w:r>
          <w:rPr>
            <w:rStyle w:val="Hyperlink"/>
          </w:rPr>
          <w:t xml:space="preserve">https://www.digitalhealth.net/2025/10/major-nhs-trial-of-ai-powered-productivity-tool-delivers-cost-savings/</w:t>
        </w:r>
      </w:hyperlink>
    </w:p>
    <w:p>
      <w:pPr>
        <w:pStyle w:val="BodyText"/>
      </w:pPr>
      <w:hyperlink r:id="rId2062">
        <w:r>
          <w:rPr>
            <w:rStyle w:val="Hyperlink"/>
          </w:rPr>
          <w:t xml:space="preserve">[34]</w:t>
        </w:r>
      </w:hyperlink>
      <w:r>
        <w:t xml:space="preserve"> </w:t>
      </w:r>
      <w:hyperlink r:id="rId2070">
        <w:r>
          <w:rPr>
            <w:rStyle w:val="Hyperlink"/>
          </w:rPr>
          <w:t xml:space="preserve">[48]</w:t>
        </w:r>
      </w:hyperlink>
      <w:r>
        <w:t xml:space="preserve"> </w:t>
      </w:r>
      <w:hyperlink r:id="rId2080">
        <w:r>
          <w:rPr>
            <w:rStyle w:val="Hyperlink"/>
          </w:rPr>
          <w:t xml:space="preserve">[64]</w:t>
        </w:r>
      </w:hyperlink>
      <w:r>
        <w:t xml:space="preserve"> </w:t>
      </w:r>
      <w:hyperlink r:id="rId2081">
        <w:r>
          <w:rPr>
            <w:rStyle w:val="Hyperlink"/>
          </w:rPr>
          <w:t xml:space="preserve">[67]</w:t>
        </w:r>
      </w:hyperlink>
      <w:r>
        <w:t xml:space="preserve"> </w:t>
      </w:r>
      <w:r>
        <w:t xml:space="preserve">Digital mental health programs are inexpensive and innovative. But do they work? | ANU College of Science and Medicine</w:t>
      </w:r>
    </w:p>
    <w:p>
      <w:pPr>
        <w:pStyle w:val="BodyText"/>
      </w:pPr>
      <w:hyperlink r:id="rId2085">
        <w:r>
          <w:rPr>
            <w:rStyle w:val="Hyperlink"/>
          </w:rPr>
          <w:t xml:space="preserve">https://science.anu.edu.au/news-events/news/digital-mental-health-programs-are-inexpensive-and-innovative-do-they-work</w:t>
        </w:r>
      </w:hyperlink>
    </w:p>
    <w:p>
      <w:pPr>
        <w:pStyle w:val="BodyText"/>
      </w:pPr>
      <w:hyperlink r:id="rId2067">
        <w:r>
          <w:rPr>
            <w:rStyle w:val="Hyperlink"/>
          </w:rPr>
          <w:t xml:space="preserve">[38]</w:t>
        </w:r>
      </w:hyperlink>
      <w:r>
        <w:t xml:space="preserve"> </w:t>
      </w:r>
      <w:hyperlink r:id="rId2073">
        <w:r>
          <w:rPr>
            <w:rStyle w:val="Hyperlink"/>
          </w:rPr>
          <w:t xml:space="preserve">[53]</w:t>
        </w:r>
      </w:hyperlink>
      <w:r>
        <w:t xml:space="preserve"> </w:t>
      </w:r>
      <w:hyperlink r:id="rId2074">
        <w:r>
          <w:rPr>
            <w:rStyle w:val="Hyperlink"/>
          </w:rPr>
          <w:t xml:space="preserve">[54]</w:t>
        </w:r>
      </w:hyperlink>
      <w:r>
        <w:t xml:space="preserve"> </w:t>
      </w:r>
      <w:r>
        <w:t xml:space="preserve">A pragmatic randomized waitlist-controlled effectiveness and cost-effectiveness trial of digital interventions for depression and anxiety | npj Digital Medicine</w:t>
      </w:r>
    </w:p>
    <w:p>
      <w:pPr>
        <w:pStyle w:val="BodyText"/>
      </w:pPr>
      <w:hyperlink r:id="rId2086">
        <w:r>
          <w:rPr>
            <w:rStyle w:val="Hyperlink"/>
          </w:rPr>
          <w:t xml:space="preserve">https://www.nature.com/articles/s41746-020-0293-8?error=cookies_not_supported&amp;code=4d369c1e-08c9-43ff-b810-c654320b1747</w:t>
        </w:r>
      </w:hyperlink>
    </w:p>
    <w:p>
      <w:pPr>
        <w:pStyle w:val="BodyText"/>
      </w:pPr>
      <w:hyperlink r:id="rId2068">
        <w:r>
          <w:rPr>
            <w:rStyle w:val="Hyperlink"/>
          </w:rPr>
          <w:t xml:space="preserve">[41]</w:t>
        </w:r>
      </w:hyperlink>
      <w:r>
        <w:t xml:space="preserve"> </w:t>
      </w:r>
      <w:r>
        <w:t xml:space="preserve">How the collaborative care model improves access to behavioral …</w:t>
      </w:r>
    </w:p>
    <w:p>
      <w:pPr>
        <w:pStyle w:val="BodyText"/>
      </w:pPr>
      <w:hyperlink r:id="rId2087">
        <w:r>
          <w:rPr>
            <w:rStyle w:val="Hyperlink"/>
          </w:rPr>
          <w:t xml:space="preserve">https://www.advisory.com/sponsored/collaborative-care-model</w:t>
        </w:r>
      </w:hyperlink>
    </w:p>
    <w:p>
      <w:pPr>
        <w:pStyle w:val="BodyText"/>
      </w:pPr>
      <w:hyperlink r:id="rId2069">
        <w:r>
          <w:rPr>
            <w:rStyle w:val="Hyperlink"/>
          </w:rPr>
          <w:t xml:space="preserve">[42]</w:t>
        </w:r>
      </w:hyperlink>
      <w:r>
        <w:t xml:space="preserve"> </w:t>
      </w:r>
      <w:r>
        <w:t xml:space="preserve">Mounting Evidence that use of the Mental Health Collaborative Care …</w:t>
      </w:r>
    </w:p>
    <w:p>
      <w:pPr>
        <w:pStyle w:val="BodyText"/>
      </w:pPr>
      <w:hyperlink r:id="rId2088">
        <w:r>
          <w:rPr>
            <w:rStyle w:val="Hyperlink"/>
          </w:rPr>
          <w:t xml:space="preserve">https://finance.yahoo.com/news/mounting-evidence-mental-health-collaborative-114800646.html</w:t>
        </w:r>
      </w:hyperlink>
    </w:p>
    <w:p>
      <w:pPr>
        <w:pStyle w:val="BodyText"/>
      </w:pPr>
      <w:hyperlink r:id="rId2075">
        <w:r>
          <w:rPr>
            <w:rStyle w:val="Hyperlink"/>
          </w:rPr>
          <w:t xml:space="preserve">[57]</w:t>
        </w:r>
      </w:hyperlink>
      <w:r>
        <w:t xml:space="preserve"> </w:t>
      </w:r>
      <w:hyperlink r:id="rId2076">
        <w:r>
          <w:rPr>
            <w:rStyle w:val="Hyperlink"/>
          </w:rPr>
          <w:t xml:space="preserve">[58]</w:t>
        </w:r>
      </w:hyperlink>
      <w:r>
        <w:t xml:space="preserve"> </w:t>
      </w:r>
      <w:hyperlink r:id="rId2078">
        <w:r>
          <w:rPr>
            <w:rStyle w:val="Hyperlink"/>
          </w:rPr>
          <w:t xml:space="preserve">[60]</w:t>
        </w:r>
      </w:hyperlink>
      <w:r>
        <w:t xml:space="preserve"> </w:t>
      </w:r>
      <w:r>
        <w:t xml:space="preserve">PowerPoint Presentation</w:t>
      </w:r>
    </w:p>
    <w:p>
      <w:pPr>
        <w:pStyle w:val="BodyText"/>
      </w:pPr>
      <w:hyperlink r:id="rId2089">
        <w:r>
          <w:rPr>
            <w:rStyle w:val="Hyperlink"/>
          </w:rPr>
          <w:t xml:space="preserve">https://vb.nweurope.eu/media/5055/10-vlijter-002.pdf</w:t>
        </w:r>
      </w:hyperlink>
    </w:p>
    <w:p>
      <w:pPr>
        <w:pStyle w:val="BodyText"/>
      </w:pPr>
      <w:hyperlink r:id="rId2077">
        <w:r>
          <w:rPr>
            <w:rStyle w:val="Hyperlink"/>
          </w:rPr>
          <w:t xml:space="preserve">[59]</w:t>
        </w:r>
      </w:hyperlink>
      <w:r>
        <w:t xml:space="preserve"> </w:t>
      </w:r>
      <w:r>
        <w:t xml:space="preserve">E-health within the Dutch mental health services: what is the current …</w:t>
      </w:r>
    </w:p>
    <w:p>
      <w:pPr>
        <w:pStyle w:val="BodyText"/>
      </w:pPr>
      <w:hyperlink r:id="rId2090">
        <w:r>
          <w:rPr>
            <w:rStyle w:val="Hyperlink"/>
          </w:rPr>
          <w:t xml:space="preserve">https://www.researchgate.net/publication/269773522_E-health_within_the_Dutch_mental_health_services_what_is_the_current_situation</w:t>
        </w:r>
      </w:hyperlink>
    </w:p>
    <w:p>
      <w:pPr>
        <w:pStyle w:val="BodyText"/>
      </w:pPr>
      <w:hyperlink r:id="rId2079">
        <w:r>
          <w:rPr>
            <w:rStyle w:val="Hyperlink"/>
          </w:rPr>
          <w:t xml:space="preserve">[63]</w:t>
        </w:r>
      </w:hyperlink>
      <w:r>
        <w:t xml:space="preserve"> </w:t>
      </w:r>
      <w:r>
        <w:t xml:space="preserve">Impact of the collaborative care model on medical spending - PubMed</w:t>
      </w:r>
    </w:p>
    <w:p>
      <w:pPr>
        <w:pStyle w:val="BodyText"/>
      </w:pPr>
      <w:hyperlink r:id="rId2091">
        <w:r>
          <w:rPr>
            <w:rStyle w:val="Hyperlink"/>
          </w:rPr>
          <w:t xml:space="preserve">https://pubmed.ncbi.nlm.nih.gov/37870543/</w:t>
        </w:r>
      </w:hyperlink>
    </w:p>
    <w:p>
      <w:r>
        <w:br w:type="page"/>
      </w:r>
    </w:p>
    <w:bookmarkEnd w:id="2092"/>
    <w:bookmarkEnd w:id="2093"/>
    <w:bookmarkEnd w:id="2094"/>
    <w:bookmarkStart w:id="2126" w:name="X3d94b3734eed8f8d860095421e07a9a254d8756"/>
    <w:p>
      <w:pPr>
        <w:pStyle w:val="Heading1"/>
      </w:pPr>
      <w:r>
        <w:t xml:space="preserve">Appendice XXI — Capitolo I dello studio IA-Formazione (variante estesa)</w:t>
      </w:r>
    </w:p>
    <w:p>
      <w:pPr>
        <w:pStyle w:val="FirstParagraph"/>
      </w:pPr>
      <w:r>
        <w:t xml:space="preserve">Regione Puglia · Progetto «Psicologo di Base» — Integrazione dell’Intelligenza Artificiale e formazione del personale</w:t>
      </w:r>
    </w:p>
    <w:p>
      <w:pPr>
        <w:pStyle w:val="BodyText"/>
      </w:pPr>
      <w:r>
        <w:rPr>
          <w:b/>
          <w:bCs/>
        </w:rPr>
        <w:t xml:space="preserve">REGIONE PUGLIA — SERVIZIO SANITARIO REGIONALE</w:t>
      </w:r>
    </w:p>
    <w:p>
      <w:pPr>
        <w:pStyle w:val="BodyText"/>
      </w:pPr>
      <w:r>
        <w:rPr>
          <w:i/>
          <w:iCs/>
        </w:rPr>
        <w:t xml:space="preserve">Progetto «Psicologo di Base»</w:t>
      </w:r>
    </w:p>
    <w:p>
      <w:pPr>
        <w:pStyle w:val="BodyText"/>
      </w:pPr>
      <w:r>
        <w:rPr>
          <w:b/>
          <w:bCs/>
        </w:rPr>
        <w:t xml:space="preserve">L’integrazione dell’Intelligenza Artificiale e la formazione del personale nel modello «Psicologo di Base» in Puglia</w:t>
      </w:r>
    </w:p>
    <w:p>
      <w:pPr>
        <w:pStyle w:val="BodyText"/>
      </w:pPr>
      <w:r>
        <w:rPr>
          <w:b/>
          <w:bCs/>
        </w:rPr>
        <w:t xml:space="preserve">Capitolo I</w:t>
      </w:r>
    </w:p>
    <w:p>
      <w:pPr>
        <w:pStyle w:val="BodyText"/>
      </w:pPr>
      <w:r>
        <w:rPr>
          <w:i/>
          <w:iCs/>
        </w:rPr>
        <w:t xml:space="preserve">Quadro epistemologico, potenzialità cliniche lungo il continuum assistenziale e quantificazione dell’ulteriore riduzione della spesa sanitaria regionale</w:t>
      </w:r>
    </w:p>
    <w:p>
      <w:pPr>
        <w:pStyle w:val="BodyText"/>
      </w:pPr>
      <w:r>
        <w:t xml:space="preserve">Documento a uso istituzionale e di supporto alla decisione</w:t>
      </w:r>
    </w:p>
    <w:bookmarkStart w:id="2125" w:name="Xf3d3194125dd96a148d7877df05643e7a90f649"/>
    <w:p>
      <w:pPr>
        <w:pStyle w:val="Heading2"/>
      </w:pPr>
      <w:r>
        <w:rPr>
          <w:b/>
          <w:bCs/>
        </w:rPr>
        <w:t xml:space="preserve">Capitolo I — L’integrazione dell’Intelligenza Artificiale e la formazione del personale: fondamenti, evidenze e quantificazione</w:t>
      </w:r>
    </w:p>
    <w:p>
      <w:pPr>
        <w:pStyle w:val="FirstParagraph"/>
      </w:pPr>
      <w:r>
        <w:t xml:space="preserve">Il presente capitolo apre la trattazione dedicata all’innesto dell’Intelligenza Artificiale e alla formazione del personale delle cure primarie nel modello «Psicologo di Base» della Regione Puglia, e ne stabilisce l’impianto epistemologico, la base documentale e il metodo di quantificazione. Esso muove da un dato già consolidato nelle analisi precedenti del progetto — l’integrazione dello psicologo nelle cure primarie genera risparmi sanitari diretti significativi e un saldo di bilancio positivo per la finanza regionale — e ne verifica l’ulteriore evoluzione, ponendo una domanda circoscritta e verificabile: di quanto si riduce ulteriormente la spesa sanitaria pugliese se, accanto al modello organizzativo, la Regione impiega in modo strutturato l’Intelligenza Artificiale e forma capillarmente il proprio personale al suo uso. La risposta è costruita lungo nove sottocapitoli che procedono dall’oggetto e dal mandato all’impianto metodologico, dalle quattro modalità formative allo stato dell’arte mondiale dei dispositivi, dei brevetti e della regolazione, dalle potenzialità cliniche lungo le cinque dimensioni del continuum assistenziale al principio di non duplicazione, fino alla quantificazione regionale e ai vincoli di onestà metodologica e alle garanzie etico-giuridiche che ne assicurano la difendibilità.</w:t>
      </w:r>
    </w:p>
    <w:bookmarkStart w:id="2096" w:name="Xe81a034dad78886eebd6c74fc1890df235593b2"/>
    <w:p>
      <w:pPr>
        <w:pStyle w:val="Heading3"/>
      </w:pPr>
      <w:r>
        <w:rPr>
          <w:b/>
          <w:bCs/>
        </w:rPr>
        <w:t xml:space="preserve">1.1 Oggetto, mandato e collocazione del capitolo</w:t>
      </w:r>
    </w:p>
    <w:p>
      <w:pPr>
        <w:pStyle w:val="FirstParagraph"/>
      </w:pPr>
      <w:r>
        <w:t xml:space="preserve">Il capitolo estende l’analisi sull’integrazione dell’Intelligenza Artificiale già sviluppata all’interno della Relazione tecnico-finanziaria sullo Psicologo di Base, spostandone il baricentro da un’ipotesi circoscritta — l’impiego di strumenti algoritmici a sostegno del solo servizio psicologico — a una prospettiva di sistema, nella quale l’intera squadra delle cure primarie, costituita dai medici di medicina generale, dai pediatri di libera scelta e dagli psicologi di base, viene posta nelle condizioni di utilizzare in modo competente, sicuro e capillare le tecnologie di Intelligenza Artificiale lungo l’intero ciclo della cura. Il punto di partenza quantitativo è il modello di base, al quale le analisi precedenti attribuiscono risparmi sanitari diretti dell’ordine di 270 milioni di euro annui a regime, all’interno di una banda prudenziale compresa tra 250 e 280 milioni al quinto anno, oltre a risparmi indiretti di entità maggiore ma di stima più incerta, e un saldo di bilancio strutturalmente positivo per la Regione.</w:t>
      </w:r>
      <w:r>
        <w:rPr>
          <w:rStyle w:val="FootnoteReference"/>
        </w:rPr>
        <w:footnoteReference w:id="908"/>
      </w:r>
    </w:p>
    <w:p>
      <w:pPr>
        <w:pStyle w:val="BodyText"/>
      </w:pPr>
      <w:r>
        <w:t xml:space="preserve">Il mandato che ha originato questa linea di lavoro è preciso. Non si tratta di riepilogare i benefici già dimostrati del modello organizzativo, bensì di isolare e misurare il contributo aggiuntivo di due leve fra loro intrecciate: da un lato la disponibilità di strumenti di Intelligenza Artificiale nei flussi clinici e gestionali del servizio; dall’altro la formazione sistematica del personale al loro impiego, articolata su quattro modalità — universitaria, post-universitaria, continua sul lavoro e di accompagnamento operativo da parte di figure competenti presenti in ogni studio. La tesi che attraversa l’intero capitolo è che la formazione non è un costo accessorio rispetto alla tecnologia, ma la variabile causale che converte la mera disponibilità degli strumenti in risparmio effettivamente catturato: poiché il risparmio cresce in proporzione alla profondità con cui gli strumenti sono adottati nella pratica, e poiché tale profondità è il prodotto diretto della qualità e della capillarità del programma formativo, l’investimento sulle competenze è la condizione necessaria perché le potenzialità documentate dalla letteratura si traducano in riduzione di spesa.</w:t>
      </w:r>
    </w:p>
    <w:p>
      <w:pPr>
        <w:pStyle w:val="BodyText"/>
      </w:pPr>
      <w:r>
        <w:t xml:space="preserve">Il perimetro dell’analisi è regionale. La Regione Puglia rappresenta una quota dell’ordine di un quindicesimo della popolazione nazionale, e tutte le grandezze monetarie qui impiegate si riferiscono al territorio regionale, salvo dove esplicitamente indicato. La quantificazione mantiene costantemente distinti i risparmi sanitari diretti — che costituiscono l’oggetto proprio del mandato e si traducono in minore spesa effettiva per le casse regionali — dai risparmi indiretti e sociali, di natura diversa, stimati separatamente e con maggiore incertezza, e mai sommati ai primi. Tale separazione, lungi dall’essere una cautela formale, è la condizione di rigore che distingue una valutazione difendibile in sede tecnico-amministrativa da una scommistione di grandezze non omogenee.</w:t>
      </w:r>
    </w:p>
    <w:p>
      <w:pPr>
        <w:pStyle w:val="BodyText"/>
      </w:pPr>
      <w:r>
        <w:t xml:space="preserve">Quanto alla collocazione, questo è il capitolo fondativo dell’intera trattazione sull’Intelligenza Artificiale e la formazione. Esso definisce l’impianto epistemologico e metodologico, ricostruisce lo stato dell’arte mondiale dei dispositivi autorizzati, del panorama brevettuale e del quadro regolatorio, mappa le potenzialità lungo le cinque dimensioni del continuum assistenziale, applica il principio di non duplicazione alla stratificazione dei risparmi, perviene alla quantificazione dell’ulteriore riduzione di spesa per la Puglia e dichiara i vincoli di onestà metodologica e le garanzie etico-giuridiche. I capitoli successivi sviluppano le implicazioni normative e organizzative, il modello costi-benefici e di impatto di bilancio nelle sue componenti metodologiche, e il percorso attuativo che traduce queste potenzialità in realtà operativa sul territorio. A una domanda precisa il capitolo risponde con bande esplicite e previsioni falsificabili, assumendo come standard di rendicontazione la collocazione prudenziale delle stime nella parte bassa degli intervalli documentati.</w:t>
      </w:r>
    </w:p>
    <w:bookmarkEnd w:id="2096"/>
    <w:bookmarkStart w:id="2098" w:name="limpianto-epistemologico-e-metodologico"/>
    <w:p>
      <w:pPr>
        <w:pStyle w:val="Heading3"/>
      </w:pPr>
      <w:r>
        <w:rPr>
          <w:b/>
          <w:bCs/>
        </w:rPr>
        <w:t xml:space="preserve">1.2 L’impianto epistemologico e metodologico</w:t>
      </w:r>
    </w:p>
    <w:p>
      <w:pPr>
        <w:pStyle w:val="FirstParagraph"/>
      </w:pPr>
      <w:r>
        <w:t xml:space="preserve">L’impostazione metodologica risponde a quattro requisiti, coerenti con l’architettura dell’intera Relazione. In primo luogo, l’analisi è evidence-based: ogni potenzialità clinica dell’Intelligenza Artificiale è ancorata a studi controllati randomizzati, a revisioni sistematiche con metanalisi, a valutazioni economiche pubblicate su riviste con revisione paritaria e a esperienze internazionali documentate, privilegiando le fonti più recenti e di maggiore autorevolezza. In secondo luogo, è multidimensionale, poiché integra le prospettive della psicologia clinica, della medicina generale, della sanità pubblica, dell’economia sanitaria, dell’organizzazione dei servizi e del diritto, con particolare attenzione al quadro regolatorio europeo. In terzo luogo, è orientata alle migliori pratiche e al panorama brevettuale e regolatorio, dando conto sia dei dispositivi già autorizzati dalle agenzie internazionali sia degli studi pilota che ne hanno verificato l’efficacia in condizioni reali. In quarto luogo, è prudenziale: le percentuali di riduzione applicate alle voci di spesa regionale sono collocate nella parte bassa degli intervalli documentati, così che la stima risulti credibile e sostenibile anche di fronte a un contraddittorio rigoroso.</w:t>
      </w:r>
    </w:p>
    <w:p>
      <w:pPr>
        <w:pStyle w:val="BodyText"/>
      </w:pPr>
      <w:r>
        <w:t xml:space="preserve">Un principio governa l’uso delle evidenze e merita di essere esplicitato: la gerarchia della prova è applicata in egual misura alle affermazioni sull’Intelligenza Artificiale e alle affermazioni cliniche. L’Intelligenza Artificiale non è esentata dal medesimo scrutinio cui è sottoposto qualsiasi intervento sanitario. Dove l’evidenza è debole — come accade per una quota rilevante dei dispositivi disponibili, non sostenuti da studi randomizzati, e per la trasparenza spesso limitata sui dati di addestramento — il capitolo lo dichiara apertamente e ne trae le conseguenze in termini di cautela e di necessità di validazione locale; dove l’evidenza è solida — come per lo screening autonomo della retinopatia diabetica o per le metanalisi sulla teleriabilitazione — il capitolo lo riconosce e ne fa il fondamento delle stime. Questa simmetria nel trattamento delle prove è la garanzia che la valutazione non si trasformi in una rappresentazione apologetica della tecnologia.</w:t>
      </w:r>
    </w:p>
    <w:p>
      <w:pPr>
        <w:pStyle w:val="BodyText"/>
      </w:pPr>
      <w:r>
        <w:t xml:space="preserve">Il metodo di quantificazione si fonda sul principio di non duplicazione: i risparmi attribuiti a una categoria non possono essere ricontati in un’altra. A tal fine il modello distingue tre strati di risparmio, ciascuno incrementale rispetto al precedente, la cui trattazione analitica è svolta nel sottocapitolo 1.7 e la cui quantificazione è sviluppata nel sottocapitolo 1.8. La separazione degli strati consente di rispondere alla domanda del mandato senza confondere il risparmio complessivo del programma con il suo incremento rispetto al modello di base, che è la grandezza effettivamente richiesta.</w:t>
      </w:r>
    </w:p>
    <w:p>
      <w:pPr>
        <w:pStyle w:val="BodyText"/>
      </w:pPr>
      <w:r>
        <w:t xml:space="preserve">Il modello adotta inoltre tre prospettive distinte e complementari, la cui confusione è una delle fonti più frequenti di errore nelle valutazioni di programmi sanitari. La prospettiva finanziaria considera i soli flussi monetari effettivi connessi alla realizzazione e al funzionamento del servizio. La prospettiva di bilancio misura l’effetto sul saldo della finanza pubblica regionale, comprensivo della quota di risparmi indiretti fiscalmente catturabile. La prospettiva economico-sociale stima il valore generato per la collettività, includendo i ritorni indiretti; tali ritorni, tuttavia, sono mantenuti rigorosamente separati dai risparmi sanitari diretti e non vengono mai sommati a questi ultimi, proprio per evitare la più comune delle distorsioni valutative.</w:t>
      </w:r>
    </w:p>
    <w:p>
      <w:pPr>
        <w:pStyle w:val="BodyText"/>
      </w:pPr>
      <w:r>
        <w:t xml:space="preserve">È opportuno, infine, dichiarare in apertura ciò che il capitolo non sostiene, poiché il valore di una stima dipende anche dalle semplificazioni che essa rifiuta. Il capitolo non impiega il rapporto benefici-costi di 4:1 spesso attribuito all’investimento in salute mentale, che costituisce una semplificazione comunicativa non corrispondente agli intervalli sottostanti di fonte peer-reviewed; non presenta l’effetto sui costi sanitari del trial IMPACT come un risparmio, poiché tale effetto non è statisticamente significativo; non invoca rendimenti aggregati dell’ordine di 12:1–18:1; e non somma i risparmi diretti a quelli sociali.</w:t>
      </w:r>
      <w:r>
        <w:t xml:space="preserve"> </w:t>
      </w:r>
      <w:r>
        <w:rPr>
          <w:rStyle w:val="FootnoteReference"/>
        </w:rPr>
        <w:footnoteReference w:id="909"/>
      </w:r>
      <w:r>
        <w:t xml:space="preserve"> </w:t>
      </w:r>
      <w:r>
        <w:t xml:space="preserve">Ogni previsione è formulata in modo falsificabile e collegata a una verifica ex post sui dati regionali, e le bande sono deliberatamente conservative affinché il risultato sia difendibile anche nelle condizioni di scrutinio più severe.</w:t>
      </w:r>
    </w:p>
    <w:bookmarkEnd w:id="2098"/>
    <w:bookmarkStart w:id="2103" w:name="X6335d55df06c634982cc543798f6fbe5644fae0"/>
    <w:p>
      <w:pPr>
        <w:pStyle w:val="Heading3"/>
      </w:pPr>
      <w:r>
        <w:rPr>
          <w:b/>
          <w:bCs/>
        </w:rPr>
        <w:t xml:space="preserve">1.3 Le quattro modalità formative del personale delle cure primarie</w:t>
      </w:r>
    </w:p>
    <w:p>
      <w:pPr>
        <w:pStyle w:val="FirstParagraph"/>
      </w:pPr>
      <w:r>
        <w:t xml:space="preserve">L’adozione efficace dell’Intelligenza Artificiale in sanità richiede professionisti formati a comprenderne funzionamento, potenzialità e limiti. La formazione si articola su quattro modalità principali, da attivare congiuntamente ma con priorità differenziate, e investe non soltanto l’uso tecnico dello strumento, ma anche gli aspetti etici, di sicurezza e di interpretazione critica dei risultati che la macchina genera.</w:t>
      </w:r>
    </w:p>
    <w:p>
      <w:pPr>
        <w:pStyle w:val="BodyText"/>
      </w:pPr>
      <w:r>
        <w:t xml:space="preserve">La prima modalità è la formazione universitaria. Le facoltà mediche e psicologiche iniziano a incorporare moduli su Intelligenza Artificiale e sanità digitale nei curricula: negli Stati Uniti circa il 77% delle scuole mediche riferisce di trattare l’Intelligenza Artificiale nei propri programmi, e alcune istituzioni offrono percorsi dedicati, fino a dottorati in Intelligenza Artificiale applicata alla medicina; in Italia ed Europa si osservano i primi passi, come il corso di alta formazione in Intelligenza Artificiale applicata alla medicina e alla chirurgia attivato dall’Università di Bologna.</w:t>
      </w:r>
      <w:r>
        <w:t xml:space="preserve"> </w:t>
      </w:r>
      <w:r>
        <w:rPr>
          <w:rStyle w:val="FootnoteReference"/>
        </w:rPr>
        <w:footnoteReference w:id="910"/>
      </w:r>
      <w:r>
        <w:t xml:space="preserve"> </w:t>
      </w:r>
      <w:r>
        <w:t xml:space="preserve">Integrare sin dall’università nozioni di apprendimento automatico, scienza dei dati e supporto decisionale clinico garantisce che i futuri medici e psicologi comprendano l’Intelligenza Artificiale come alleato professionale e non come dispositivo opaco e impenetrabile, e incide sulla cultura professionale delle coorti future assicurando la sostenibilità di lungo periodo del modello.</w:t>
      </w:r>
    </w:p>
    <w:p>
      <w:pPr>
        <w:pStyle w:val="BodyText"/>
      </w:pPr>
      <w:r>
        <w:t xml:space="preserve">La seconda modalità è la formazione post-universitaria specialistica. Dopo la laurea, i professionisti possono approfondire l’Intelligenza Artificiale attraverso master, dottorati, fellowship e certificazioni: esistono academy e programmi dedicati all’impiego etico ed efficace dell’Intelligenza Artificiale clinica, scuole di specializzazione che hanno introdotto percorsi in sanità digitale e informatica biomedica, e certificazioni rivolte agli psicologi clinici sull’uso di agenti conversazionali terapeutici, algoritmi di supporto alla diagnosi e analisi dei dati da dispositivi digitali.</w:t>
      </w:r>
      <w:r>
        <w:t xml:space="preserve"> </w:t>
      </w:r>
      <w:r>
        <w:rPr>
          <w:rStyle w:val="FootnoteReference"/>
        </w:rPr>
        <w:footnoteReference w:id="911"/>
      </w:r>
      <w:r>
        <w:t xml:space="preserve"> </w:t>
      </w:r>
      <w:r>
        <w:t xml:space="preserve">Questo livello di formazione avanzata crea figure ibride, capaci di guidare l’implementazione dell’Intelligenza Artificiale nei servizi territoriali, e genera i referenti digitali destinati a fungere da figure di traino del sistema.</w:t>
      </w:r>
    </w:p>
    <w:p>
      <w:pPr>
        <w:pStyle w:val="BodyText"/>
      </w:pPr>
      <w:r>
        <w:t xml:space="preserve">La terza modalità è la formazione continua sul lavoro. Dato il rapido evolvere della tecnologia, è essenziale un aggiornamento costante per il personale in servizio: in Italia l’Istituto Superiore di Sanità ha promosso corsi a distanza gratuiti rivolti a tutte le professioni sanitarie, che offrono una panoramica accessibile su Intelligenza Artificiale, apprendimento automatico, apprendimento profondo e reti neurali applicate alla clinica, e gli obblighi di educazione continua possono includere crediti su competenze digitali.</w:t>
      </w:r>
      <w:r>
        <w:t xml:space="preserve"> </w:t>
      </w:r>
      <w:r>
        <w:rPr>
          <w:rStyle w:val="FootnoteReference"/>
        </w:rPr>
        <w:footnoteReference w:id="912"/>
      </w:r>
      <w:r>
        <w:t xml:space="preserve"> </w:t>
      </w:r>
      <w:r>
        <w:t xml:space="preserve">Tale formazione, particolarmente efficace se condotta in modo congiunto fra medici, psicologi ed esperti informatici secondo le migliori pratiche del lavoro collaborativo, consente anche ai professionisti già attivi, che hanno conseguito la laurea quando l’Intelligenza Artificiale non era in programma, di acquisire le conoscenze necessarie, e produce il risparmio del breve e medio periodo agendo sul personale in prossimità dell’uso clinico.</w:t>
      </w:r>
    </w:p>
    <w:p>
      <w:pPr>
        <w:pStyle w:val="BodyText"/>
      </w:pPr>
      <w:r>
        <w:t xml:space="preserve">La quarta modalità è l’accompagnamento operativo da parte di figure competenti presenti in ogni studio. Oltre ai corsi, l’addestramento sul campo tramite affiancamento di esperti informatici e analisti di dati al personale sanitario assume la forma di tutor digitali operanti nelle aziende sanitarie e nei distretti, che aiutano medici e psicologi a configurare un sistema di triage, a interpretare i risultati di un algoritmo predittivo e a garantire l’uso appropriato di un assistente virtuale nello studio. Alcune esperienze pilota mostrano i benefici di questa integrazione: il Servizio sanitario inglese ha collaborato con sviluppatori di applicazioni per formare i clinici all’uso di un agente conversazionale di primo livello nell’ambito dei propri servizi di terapia psicologica.</w:t>
      </w:r>
      <w:r>
        <w:t xml:space="preserve"> </w:t>
      </w:r>
      <w:r>
        <w:rPr>
          <w:rStyle w:val="FootnoteReference"/>
        </w:rPr>
        <w:footnoteReference w:id="913"/>
      </w:r>
      <w:r>
        <w:t xml:space="preserve"> </w:t>
      </w:r>
      <w:r>
        <w:t xml:space="preserve">L’inserimento di figure di raccordo — referenti dell’Intelligenza Artificiale o referenti digitali di distretto — supporta i colleghi meno avvezzi alla tecnologia, risolve i problemi pratici e raccoglie il riscontro dal campo per ottimizzare gli strumenti; in prospettiva, ogni Casa della Comunità potrà disporre di almeno un professionista formato in tecnologie digitali, e reti di mentoring potranno collegare gruppi di medici e psicologi con i centri di competenza universitari. La letteratura indica nell’accompagnamento operativo sul campo la leva formativa più efficace.</w:t>
      </w:r>
    </w:p>
    <w:p>
      <w:pPr>
        <w:pStyle w:val="BodyText"/>
      </w:pPr>
      <w:r>
        <w:t xml:space="preserve">Le quattro modalità, attuate in parallelo, garantiscono un miglioramento progressivo delle competenze, ma la loro sequenza riflette la diversa prossimità di ciascuna al momento in cui il risparmio si genera: la formazione continua e l’accompagnamento operativo, che agiscono sul personale già in servizio, vanno avviati per primi; la formazione post-universitaria, che genera i referenti digitali, va attivata in parallelo; la formazione universitaria, che incide sulle coorti future, va promossa presso gli atenei regionali per la sostenibilità di lungo periodo. In ogni caso, formare all’Intelligenza Artificiale significa sia addestrare all’uso pratico sia educare a un nuovo paradigma di collaborazione fra l’operatore e la macchina, nel quale concetti come la distorsione algoritmica e la validazione clinica devono essere padroneggiati per evitare un affidamento acritico sugli esiti, e nel quale il professionista rimane il responsabile ultimo della decisione clinica.</w:t>
      </w:r>
    </w:p>
    <w:bookmarkEnd w:id="2103"/>
    <w:bookmarkStart w:id="2108" w:name="X9b494acedf9b9870d3491678d9ea8d30db74361"/>
    <w:p>
      <w:pPr>
        <w:pStyle w:val="Heading3"/>
      </w:pPr>
      <w:r>
        <w:rPr>
          <w:b/>
          <w:bCs/>
        </w:rPr>
        <w:t xml:space="preserve">1.4 Lo stato dell’arte mondiale dell’Intelligenza Artificiale medico-sanitaria</w:t>
      </w:r>
    </w:p>
    <w:p>
      <w:pPr>
        <w:pStyle w:val="FirstParagraph"/>
      </w:pPr>
      <w:r>
        <w:t xml:space="preserve">Il campo dell’Intelligenza Artificiale in sanità è in espansione rapidissima, come testimonia la dinamica delle autorizzazioni regolatorie. La banca dati pubblica dell’agenzia statunitense, che elencava circa 950 dispositivi medici abilitati all’Intelligenza Artificiale all’agosto 2024, ne riportava oltre 1.250 a luglio 2025; una tassonomia indipendente ha esaminato 1.016 autorizzazioni, rilevando che l’analisi quantitativa delle immagini, e segnatamente la radiologia, resta l’applicazione più diffusa pur con quota relativa in calo, e che nel febbraio 2025 è stato autorizzato il primo dispositivo clinico basato su un modello di fondazione.</w:t>
      </w:r>
      <w:r>
        <w:t xml:space="preserve"> </w:t>
      </w:r>
      <w:r>
        <w:rPr>
          <w:rStyle w:val="FootnoteReference"/>
        </w:rPr>
        <w:footnoteReference w:id="914"/>
      </w:r>
      <w:r>
        <w:t xml:space="preserve"> </w:t>
      </w:r>
      <w:r>
        <w:t xml:space="preserve">La diagnostica per immagini costituisce dunque il nucleo storico e quantitativamente prevalente, mentre cresce progressivamente la varietà delle applicazioni cliniche.</w:t>
      </w:r>
    </w:p>
    <w:p>
      <w:pPr>
        <w:pStyle w:val="BodyText"/>
      </w:pPr>
      <w:r>
        <w:t xml:space="preserve">Sul versante della proprietà intellettuale, il rapporto dell’Organizzazione Mondiale della Proprietà Intellettuale sull’Intelligenza Artificiale generativa documenta una crescita delle famiglie brevettuali da 733 nel 2014 a oltre 14.000 nel 2023, con un incremento superiore all’800% dopo l’introduzione dell’architettura transformer nel 2017 e una marcata concentrazione dei depositi presso imprese asiatiche.</w:t>
      </w:r>
      <w:r>
        <w:t xml:space="preserve"> </w:t>
      </w:r>
      <w:r>
        <w:rPr>
          <w:rStyle w:val="FootnoteReference"/>
        </w:rPr>
        <w:footnoteReference w:id="915"/>
      </w:r>
      <w:r>
        <w:t xml:space="preserve"> </w:t>
      </w:r>
      <w:r>
        <w:t xml:space="preserve">Coerentemente, il mercato dell’Intelligenza Artificiale in sanità, valutato attorno a 24,6 miliardi di dollari nel 2024, è atteso crescere a un tasso annuo composto dell’ordine del 41,6% fino a superare i 790 miliardi nel 2034, e già nel 2024 il 79% delle imprese sanitarie dichiarava di utilizzare tecnologie di Intelligenza Artificiale.</w:t>
      </w:r>
      <w:r>
        <w:t xml:space="preserve"> </w:t>
      </w:r>
      <w:r>
        <w:rPr>
          <w:rStyle w:val="FootnoteReference"/>
        </w:rPr>
        <w:footnoteReference w:id="916"/>
      </w:r>
      <w:r>
        <w:t xml:space="preserve"> </w:t>
      </w:r>
      <w:r>
        <w:t xml:space="preserve">Questa dinamica conferma la disponibilità crescente di strumenti, ma non esime la programmazione regionale dalle cautele.</w:t>
      </w:r>
    </w:p>
    <w:p>
      <w:pPr>
        <w:pStyle w:val="BodyText"/>
      </w:pPr>
      <w:r>
        <w:t xml:space="preserve">Due ordini di cautela orientano la scelta. Il primo riguarda la dipendenza tecnologica: la concentrazione dei brevetti in poche grandi imprese e in poche giurisdizioni pone questioni di sovranità tecnologica e di interoperabilità, che suggeriscono di privilegiare soluzioni aperte, conformi agli standard e integrabili con il sistema informativo sanitario regionale. Il secondo riguarda il vincolo regolatorio europeo, che è dirimente: il Regolamento europeo sull’Intelligenza Artificiale classifica come ad alto rischio i sistemi incorporati nei dispositivi medici, e a seguito dell’accordo politico provvisorio sul cosiddetto Digital Omnibus, raggiunto il 7 maggio 2026, gli obblighi per l’Intelligenza Artificiale incorporata nei dispositivi medici si applicano dal 2 agosto 2028 e quelli per i sistemi autonomi dell’Allegato III dal 2 dicembre 2027, mentre gli obblighi di trasparenza decorrono dall’agosto 2026 e l’obbligo di alfabetizzazione all’Intelligenza Artificiale è stato attenuato; i dispositivi medici restano comunque soggetti al Regolamento in regime di doppia conformità con la disciplina dei dispositivi medici e dei diagnostici in vitro.</w:t>
      </w:r>
      <w:r>
        <w:t xml:space="preserve"> </w:t>
      </w:r>
      <w:r>
        <w:rPr>
          <w:rStyle w:val="FootnoteReference"/>
        </w:rPr>
        <w:footnoteReference w:id="917"/>
      </w:r>
      <w:r>
        <w:t xml:space="preserve"> </w:t>
      </w:r>
      <w:r>
        <w:t xml:space="preserve">Gli strumenti di triage e di supporto decisionale destinati alle cure primarie pugliesi dovranno essere conformi a tale quadro entro le scadenze indicate.</w:t>
      </w:r>
    </w:p>
    <w:p>
      <w:pPr>
        <w:pStyle w:val="BodyText"/>
      </w:pPr>
      <w:r>
        <w:t xml:space="preserve">Vi è infine una cautela di metodo che attraversa l’intero panorama: poiché una quota ridotta dei dispositivi disponibili è sostenuta da studi randomizzati e la trasparenza sui dati di addestramento resta spesso limitata, la selezione deve privilegiare gli strumenti dotati dell’evidenza più solida e prevedere la validazione locale e il monitoraggio prospettico degli esiti. È precisamente questa la ragione per cui la competenza dell’operatore è parte integrante della sicurezza dello strumento, e per cui la formazione e l’adozione tecnologica non sono due processi separabili.</w:t>
      </w:r>
    </w:p>
    <w:bookmarkEnd w:id="2108"/>
    <w:bookmarkStart w:id="2110" w:name="X5c861247039c0786100718bbf3dfb11ddfaa0c2"/>
    <w:p>
      <w:pPr>
        <w:pStyle w:val="Heading3"/>
      </w:pPr>
      <w:r>
        <w:rPr>
          <w:b/>
          <w:bCs/>
        </w:rPr>
        <w:t xml:space="preserve">1.5 Le potenzialità lungo il continuum assistenziale (I): diagnostica e prevenzione</w:t>
      </w:r>
    </w:p>
    <w:p>
      <w:pPr>
        <w:pStyle w:val="FirstParagraph"/>
      </w:pPr>
      <w:r>
        <w:t xml:space="preserve">La ricognizione delle potenzialità cliniche segue le cinque dimensioni del continuum assistenziale indicate dal progetto — diagnostica, prevenzione, trattamento, riabilitazione, recupero — e per ciascuna chiarisce quali funzioni siano effettivamente attivabili nello studio del medico di base e dello psicologo, attraverso quali competenze e su quale voce di spesa esse agiscano. Le prime due dimensioni sono trattate in questo sottocapitolo.</w:t>
      </w:r>
    </w:p>
    <w:p>
      <w:pPr>
        <w:pStyle w:val="BodyText"/>
      </w:pPr>
      <w:r>
        <w:t xml:space="preserve">La diagnostica è l’ambito di maggiore maturità applicativa e quello in cui esiste l’evidenza più robusta di trasferimento di capacità specialistica al livello delle cure primarie. Per il medico di base il valore risiede soprattutto nei dispositivi che consentono di formulare una decisione diagnostica nel punto di cura, riducendo gli invii inappropriati e anticipando la diagnosi. Sul versante del supporto alla diagnosi differenziale, i sistemi di supporto decisionale clinico evolvono da semplici segnalazioni su interazioni farmacologiche verso strumenti capaci di apprendere dai dati, ma richiedono cautela: alcuni valutatori di sintomi a uso commerciale, pur dichiarando accuratezze elevate nei quadri comuni, hanno mostrato in test indipendenti la tendenza a sottovalutare i casi gravi, a riprova del fatto che l’interpretazione critica da parte di un operatore formato è insostituibile. Sul versante dello screening autonomo l’evidenza è più solida: il sistema per lo screening della retinopatia diabetica, primo dispositivo di diagnostica autonoma basato su Intelligenza Artificiale autorizzato dall’agenzia statunitense, analizza nello studio le immagini del fondo oculare e indica in pochi minuti la presenza di segni che richiedono la visita specialistica, conseguendo nello studio registrativo su 819 pazienti diabetici in dieci ambulatori di cure primarie una sensibilità di circa l’87% e una specificità di circa il 90%.</w:t>
      </w:r>
      <w:r>
        <w:t xml:space="preserve"> </w:t>
      </w:r>
      <w:r>
        <w:rPr>
          <w:rStyle w:val="FootnoteReference"/>
        </w:rPr>
        <w:footnoteReference w:id="918"/>
      </w:r>
      <w:r>
        <w:t xml:space="preserve"> </w:t>
      </w:r>
      <w:r>
        <w:t xml:space="preserve">Esempi analoghi, sostenuti da autorizzazioni regolatorie, riguardano lo screening mammografico assistito e il triage dell’ictus acuto. Nelle cure primarie pugliesi la diagnostica è attivabile come supporto al medico di base, come screening autonomo nello studio e come triage verso il secondo livello, e agisce prevalentemente sulla voce della specialistica e della diagnostica, riducendo esami e visite inappropriati.</w:t>
      </w:r>
    </w:p>
    <w:p>
      <w:pPr>
        <w:pStyle w:val="BodyText"/>
      </w:pPr>
      <w:r>
        <w:t xml:space="preserve">La prevenzione opera principalmente attraverso la stratificazione del rischio collegata all’azione clinica e la rilevazione precoce di condizioni silenti. I modelli predittivi della riammissione e gli algoritmi di rilevazione delle aritmie a partire da segnali acquisiti anche con dispositivi indossabili consentono di intercettare per tempo condizioni che, lasciate alla loro evoluzione spontanea, sfocerebbero in accessi in urgenza e ricoveri evitabili. Vale qui una avvertenza di metodo: un modello predittivo produce valore soltanto se collegato a un’azione clinica concreta, poiché la stratificazione in sé non genera alcun risparmio; il professionista deve essere formato a tradurre il punteggio di rischio in un percorso di presa in carico. Nelle cure primarie pugliesi la prevenzione è attivabile come stratificazione del rischio collegata all’azione clinica e come rilevazione precoce delle condizioni silenti, e agisce prevalentemente sulla voce dei ricoveri e degli accessi in urgenza evitabili, riducendo le riacutizzazioni nelle patologie croniche.</w:t>
      </w:r>
    </w:p>
    <w:bookmarkEnd w:id="2110"/>
    <w:bookmarkStart w:id="2118" w:name="Xc0b67abc4ad52a25ea82f5f5494cddbc5dc8979"/>
    <w:p>
      <w:pPr>
        <w:pStyle w:val="Heading3"/>
      </w:pPr>
      <w:r>
        <w:rPr>
          <w:b/>
          <w:bCs/>
        </w:rPr>
        <w:t xml:space="preserve">1.6 Le potenzialità lungo il continuum assistenziale (II): trattamento, riabilitazione e recupero</w:t>
      </w:r>
    </w:p>
    <w:p>
      <w:pPr>
        <w:pStyle w:val="FirstParagraph"/>
      </w:pPr>
      <w:r>
        <w:t xml:space="preserve">Nel trattamento, una prima classe di strumenti è costituita dai dispositivi terapeutici digitali su prescrizione. La Germania ha istituito dal 2020 il primo modello nazionale di applicazioni su prescrizione: al giugno 2025 il registro elencava circa 44 applicazioni a titolo permanente e 14 a titolo provvisorio, ed entro la fine del 2024 erano state emesse oltre un milione di prescrizioni, con una spesa cumulata dell’assicurazione obbligatoria di circa 234 milioni di euro tra settembre 2020 e dicembre 2024 e con la salute mentale quale categoria più rappresentata.</w:t>
      </w:r>
      <w:r>
        <w:t xml:space="preserve"> </w:t>
      </w:r>
      <w:r>
        <w:rPr>
          <w:rStyle w:val="FootnoteReference"/>
        </w:rPr>
        <w:footnoteReference w:id="919"/>
      </w:r>
      <w:r>
        <w:t xml:space="preserve"> </w:t>
      </w:r>
      <w:r>
        <w:t xml:space="preserve">Il modello è istruttivo tanto per i suoi punti di forza quanto per i suoi limiti: l’ammissione provvisoria è subordinata alla dimostrazione di un effetto terapeutico positivo entro dodici mesi, undici applicazioni sono state cancellate, sei delle quali per assenza di prova di un effetto positivo, persiste lo scetticismo dei medici sulla rilevanza clinica, i tassi di abbandono costituiscono una difficoltà reale nell’uso, e un’analisi di costo-efficacia di tipo markoviano per le applicazioni dedicate alla depressione ha stimato un guadagno dell’ordine di 0,02 anni di vita aggiustati per la qualità per paziente a fronte di un costo diretto aggiuntivo di circa 1.536 euro su un orizzonte quinquennale.</w:t>
      </w:r>
      <w:r>
        <w:t xml:space="preserve"> </w:t>
      </w:r>
      <w:r>
        <w:rPr>
          <w:rStyle w:val="FootnoteReference"/>
        </w:rPr>
        <w:footnoteReference w:id="920"/>
      </w:r>
      <w:r>
        <w:t xml:space="preserve"> </w:t>
      </w:r>
      <w:r>
        <w:t xml:space="preserve">La lezione per la Puglia è che gli strumenti digitali su prescrizione possono estendere l’accesso, ma soltanto selezionando quelli dotati dell’evidenza più solida e inserendoli in un percorso supervisionato dal clinico.</w:t>
      </w:r>
    </w:p>
    <w:p>
      <w:pPr>
        <w:pStyle w:val="BodyText"/>
      </w:pPr>
      <w:r>
        <w:t xml:space="preserve">Una seconda classe è quella degli agenti conversazionali generativi per la salute mentale. Il primo studio controllato randomizzato di un agente interamente generativo ha assegnato 210 adulti con sintomi clinicamente significativi di disturbo depressivo maggiore, disturbo d’ansia generalizzata o rischio elevato di disturbi della nutrizione e dell’alimentazione a un intervento di quattro settimane rispetto a una lista d’attesa, riportando riduzioni sintomatologiche a quattro e otto settimane e un’alleanza terapeutica dichiarata comparabile a quella della psicoterapia ambulatoriale.</w:t>
      </w:r>
      <w:r>
        <w:t xml:space="preserve"> </w:t>
      </w:r>
      <w:r>
        <w:rPr>
          <w:rStyle w:val="FootnoteReference"/>
        </w:rPr>
        <w:footnoteReference w:id="921"/>
      </w:r>
      <w:r>
        <w:t xml:space="preserve"> </w:t>
      </w:r>
      <w:r>
        <w:t xml:space="preserve">Il risultato è promettente, ma la corrispondenza scientifica pubblicata ne ha individuato i limiti metodologici — il controllo a lista d’attesa, l’assenza di una valutazione indipendente e l’impiego di una misura di alleanza concepita per la relazione umana — che inducono prudenza e rendono necessari studi più ampi prima di trarne conclusioni cliniche.</w:t>
      </w:r>
      <w:r>
        <w:t xml:space="preserve"> </w:t>
      </w:r>
      <w:r>
        <w:rPr>
          <w:rStyle w:val="FootnoteReference"/>
        </w:rPr>
        <w:footnoteReference w:id="922"/>
      </w:r>
      <w:r>
        <w:t xml:space="preserve"> </w:t>
      </w:r>
      <w:r>
        <w:t xml:space="preserve">Per lo psicologo di base la funzione attivabile è il supporto conversazionale sotto supervisione per i casi lievi e nei tempi di attesa, con monitoraggio degli esiti, mai in sostituzione del clinico.</w:t>
      </w:r>
    </w:p>
    <w:p>
      <w:pPr>
        <w:pStyle w:val="BodyText"/>
      </w:pPr>
      <w:r>
        <w:t xml:space="preserve">Una terza componente del trattamento produce risparmio in modo indiretto ma documentato: l’alleggerimento del carico amministrativo del professionista mediante gli assistenti di documentazione clinica ambientale, che generano automaticamente la nota clinica a partire dal colloquio. Studi controllati randomizzati pragmatici riportano riduzioni del tempo dedicato alla documentazione dell’ordine di venti-trenta minuti per giornata ambulatoriale per operatore, con riduzione del burnout e migliore accuratezza della codifica.</w:t>
      </w:r>
      <w:r>
        <w:t xml:space="preserve"> </w:t>
      </w:r>
      <w:r>
        <w:rPr>
          <w:rStyle w:val="FootnoteReference"/>
        </w:rPr>
        <w:footnoteReference w:id="923"/>
      </w:r>
      <w:r>
        <w:t xml:space="preserve"> </w:t>
      </w:r>
      <w:r>
        <w:t xml:space="preserve">La gerarchia della prova impone tuttavia onestà sulla grandezza dell’effetto: uno studio più ampio condotto su circa 1.800 clinici in cinque centri accademici ha rilevato risparmi più contenuti, dell’ordine di sedici minuti ogni otto ore di assistenza, con un utilizzo non uniforme, un beneficio maggiore nelle cure primarie e un paziente aggiuntivo visitato all’incirca ogni due settimane; e uno studio randomizzato ha segnalato la comparsa occasionale di inesattezze clinicamente rilevanti negli esiti automatizzati, a conferma della necessità di una revisione vigile da parte del professionista.</w:t>
      </w:r>
      <w:r>
        <w:t xml:space="preserve"> </w:t>
      </w:r>
      <w:r>
        <w:rPr>
          <w:rStyle w:val="FootnoteReference"/>
        </w:rPr>
        <w:footnoteReference w:id="924"/>
      </w:r>
      <w:r>
        <w:t xml:space="preserve"> </w:t>
      </w:r>
      <w:r>
        <w:t xml:space="preserve">Il tempo liberato è tempo restituito alla relazione clinica e alla presa in carico, e si traduce in maggiore capacità del servizio a parità di organico.</w:t>
      </w:r>
    </w:p>
    <w:p>
      <w:pPr>
        <w:pStyle w:val="BodyText"/>
      </w:pPr>
      <w:r>
        <w:t xml:space="preserve">Nella riabilitazione, l’Intelligenza Artificiale opera principalmente attraverso la teleriabilitazione, il monitoraggio remoto basato su sensori e la personalizzazione adattiva del programma. Le revisioni sistematiche con metanalisi documentano esiti clinici equivalenti o superiori rispetto alla riabilitazione in presenza, con riduzione dei costi di trasporto e delle riammissioni, migliore aderenza ed elevata probabilità di costo-efficacia alle soglie comunemente adottate; nella riabilitazione cardiaca a distanza la metanalisi riporta miglioramenti della capacità funzionale, dell’attività fisica e della qualità di vita, accompagnati da una riduzione dei sintomi depressivi.</w:t>
      </w:r>
      <w:r>
        <w:t xml:space="preserve"> </w:t>
      </w:r>
      <w:r>
        <w:rPr>
          <w:rStyle w:val="FootnoteReference"/>
        </w:rPr>
        <w:footnoteReference w:id="925"/>
      </w:r>
      <w:r>
        <w:t xml:space="preserve"> </w:t>
      </w:r>
      <w:r>
        <w:t xml:space="preserve">Pur non costituendo il nucleo del servizio di psicologia di base, la riabilitazione assistita rileva sotto due profili: la componente psicologica della riabilitazione fisica, dove il sostegno alla motivazione e alla regolazione emotiva migliora l’aderenza e riduce la componente depressiva delle patologie croniche e post-acute, ambito di collaborazione fra psicologo di base e medico di medicina generale; e la riabilitazione cognitiva nei disturbi mentali. Essa concorre al risparmio attraverso la riduzione delle riammissioni e l’accorciamento dei percorsi.</w:t>
      </w:r>
    </w:p>
    <w:p>
      <w:pPr>
        <w:pStyle w:val="BodyText"/>
      </w:pPr>
      <w:r>
        <w:t xml:space="preserve">Il recupero, infine, concerne la prevenzione delle ricadute, il mantenimento della remissione e il reinserimento funzionale e sociale. Il monitoraggio remoto dell’umore e dei sintomi e gli agenti conversazionali sotto supervisione nella fase post-acuta possono sostenere la continuità, intercettare precocemente i segni di ricaduta ed estendere la capacità del servizio nei tempi di attesa, sempre sotto la responsabilità del clinico e all’interno di un percorso strutturato; questa dimensione concorre al risparmio riducendo le ricadute, le riammissioni e la cronicizzazione che alimenta l’uso inappropriato delle risorse specialistiche e dell’urgenza. Un principio è costante a tutte e cinque le dimensioni: nello stato attuale della tecnologia e in conformità con il quadro normativo, l’Intelligenza Artificiale opera come strumento di supporto al clinico e non in sua sostituzione, e la responsabilità ultima della decisione resta in capo al professionista, che proprio per questo deve essere formato a esercitarla in modo informato.</w:t>
      </w:r>
    </w:p>
    <w:bookmarkEnd w:id="2118"/>
    <w:bookmarkStart w:id="2119" w:name="X2bad7ff01cb9a0fcc360d30ebad455a0382be84"/>
    <w:p>
      <w:pPr>
        <w:pStyle w:val="Heading3"/>
      </w:pPr>
      <w:r>
        <w:rPr>
          <w:b/>
          <w:bCs/>
        </w:rPr>
        <w:t xml:space="preserve">1.7 Il principio di non duplicazione e la stratificazione dei risparmi</w:t>
      </w:r>
    </w:p>
    <w:p>
      <w:pPr>
        <w:pStyle w:val="FirstParagraph"/>
      </w:pPr>
      <w:r>
        <w:t xml:space="preserve">Il modello distingue con rigore tre strati di risparmio, ciascuno incrementale rispetto al precedente, in modo che la loro somma non comporti alcuna doppia contabilizzazione. Il primo strato è quello del modello base, ossia la riforma organizzativa che integra lo psicologo nelle cure primarie senza alcuna componente tecnologica avanzata: a esso sono attribuiti risparmi sanitari diretti dell’ordine di 270 milioni di euro annui a regime, all’interno di un intervallo prudenziale compreso tra 250 e 280 milioni al quinto anno. Il secondo strato è quello della prima integrazione trasversale dell’Intelligenza Artificiale, che potenzia l’efficacia clinica e l’efficienza gestionale del servizio e genera, a regime, un risparmio diretto aggiuntivo dell’ordine di 60–80 milioni di euro annui rispetto allo scenario privo di tecnologia. Il terzo strato è quello specificamente imputabile alla formazione del personale, misurato come differenza tra i risparmi conseguibili quando gli strumenti sono accompagnati da una formazione strutturata e capillare e quelli conseguibili quando gli stessi strumenti sono resi disponibili senza un adeguato investimento sulle competenze: questo delta formativo si colloca, a piena maturità, in un intervallo dell’ordine di 28–56 milioni di euro annui, con valore centrale prossimo a 31 milioni.</w:t>
      </w:r>
    </w:p>
    <w:p>
      <w:pPr>
        <w:pStyle w:val="BodyText"/>
      </w:pPr>
      <w:r>
        <w:t xml:space="preserve">La logica della stratificazione consente di rispondere con precisione alla domanda che ha originato l’analisi. La riduzione ulteriore della spesa sanitaria che la Puglia consegue impiegando anche l’Intelligenza Artificiale e formando il proprio personale al suo uso non coincide con il totale dei risparmi del programma, bensì con la somma del secondo e del terzo strato, ossia con l’incremento rispetto al modello base. Tale incremento porta i risparmi diretti annui a regime da circa 270 milioni a un intervallo dell’ordine di 315–350 milioni di euro, valore che gli effetti di assorbimento della domanda crescente — legati all’invecchiamento e alla multimorbilità della popolazione — possono spingere verso i 360–400 milioni annui all’orizzonte decennale.</w:t>
      </w:r>
    </w:p>
    <w:p>
      <w:pPr>
        <w:pStyle w:val="BodyText"/>
      </w:pPr>
      <w:r>
        <w:t xml:space="preserve">L’isolamento metodologico degli strati segue una regola precisa. Per misurare il contributo della sola Intelligenza Artificiale si mantiene costante la copertura assistenziale, così da isolare l’effetto a parità di prestazioni erogate ed evitare di attribuire alla tecnologia un risparmio che derivi semplicemente da un diverso volume di attività. Per misurare il delta formativo si confrontano due regimi formativi — quello strutturato e quello minimo — a parità di strumenti disponibili, così da isolare il contributo proprio della formazione da quello della mera dotazione tecnologica. La quantificazione mantiene costantemente distinti i tre strati, presentando per ciascuno costi, benefici e indicatori di rendimento, e li ricompone soltanto nella sintesi finale del saldo a bilancio. Una avvertenza prudenziale governa infine la ricomposizione: poiché le due leve — tecnologica e formativa — presentano una parziale sovrapposizione nei meccanismi attraverso cui generano il risparmio, la riga della riduzione complessiva non coincide con la somma aritmetica dei due contributi, ma ne sconta deliberatamente la parziale interdipendenza, così che il risultato non sopravvaluti l’effetto congiunto.</w:t>
      </w:r>
    </w:p>
    <w:bookmarkEnd w:id="2119"/>
    <w:bookmarkStart w:id="2121" w:name="X29f2f59a7fa9c09b48528bea4152d0df49bfe8d"/>
    <w:p>
      <w:pPr>
        <w:pStyle w:val="Heading3"/>
      </w:pPr>
      <w:r>
        <w:rPr>
          <w:b/>
          <w:bCs/>
        </w:rPr>
        <w:t xml:space="preserve">1.8 La quantificazione dell’ulteriore riduzione della spesa sanitaria in Puglia</w:t>
      </w:r>
    </w:p>
    <w:p>
      <w:pPr>
        <w:pStyle w:val="FirstParagraph"/>
      </w:pPr>
      <w:r>
        <w:t xml:space="preserve">La stima per canale disaggrega il risparmio incrementale dell’Intelligenza Artificiale secondo le funzioni cliniche descritte nei sottocapitoli precedenti, applicando a ciascuna porzione del perimetro influenzabile una percentuale prudenziale e una profondità di adozione corrispondente al regime di formazione strutturata; i valori sono espressi come intervalli, si riferiscono al risparmio a regime e rappresentano il contributo incrementale al netto del risparmio di base del progetto.</w:t>
      </w:r>
      <w:r>
        <w:t xml:space="preserve"> </w:t>
      </w:r>
      <w:r>
        <w:rPr>
          <w:rStyle w:val="FootnoteReference"/>
        </w:rPr>
        <w:footnoteReference w:id="926"/>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Canale di risparmio incrementale (IA)</w:t>
            </w:r>
          </w:p>
        </w:tc>
        <w:tc>
          <w:tcPr>
            <w:shd w:val="clear" w:color="auto" w:fill="16264B"/>
          </w:tcPr>
          <w:p>
            <w:pPr>
              <w:pStyle w:val="Compact"/>
              <w:spacing w:after="40" w:before="40"/>
              <w:jc w:val="left"/>
            </w:pPr>
            <w:r>
              <w:rPr>
                <w:rFonts w:ascii="Cambria" w:hAnsi="Cambria" w:cs="Cambria" w:eastAsia="Cambria"/>
                <w:b/>
                <w:bCs/>
                <w:color w:val="FFFFFF"/>
                <w:sz w:val="18"/>
              </w:rPr>
              <w:t xml:space="preserve">Risparmio annuo a regime</w:t>
            </w:r>
          </w:p>
        </w:tc>
        <w:tc>
          <w:tcPr>
            <w:shd w:val="clear" w:color="auto" w:fill="16264B"/>
          </w:tcPr>
          <w:p>
            <w:pPr>
              <w:pStyle w:val="Compact"/>
              <w:spacing w:after="40" w:before="40"/>
              <w:jc w:val="left"/>
            </w:pPr>
            <w:r>
              <w:rPr>
                <w:rFonts w:ascii="Cambria" w:hAnsi="Cambria" w:cs="Cambria" w:eastAsia="Cambria"/>
                <w:b/>
                <w:bCs/>
                <w:color w:val="FFFFFF"/>
                <w:sz w:val="18"/>
              </w:rPr>
              <w:t xml:space="preserve">Meccanismo prevalente</w:t>
            </w:r>
          </w:p>
        </w:tc>
      </w:tr>
      <w:tr>
        <w:tc>
          <w:tcPr/>
          <w:p>
            <w:pPr>
              <w:pStyle w:val="Compact"/>
              <w:spacing w:after="40" w:before="40"/>
              <w:jc w:val="left"/>
            </w:pPr>
            <w:r>
              <w:rPr>
                <w:rFonts w:ascii="Cambria" w:hAnsi="Cambria" w:cs="Cambria" w:eastAsia="Cambria"/>
                <w:b/>
                <w:bCs/>
                <w:color w:val="1A1A1A"/>
                <w:sz w:val="18"/>
              </w:rPr>
              <w:t xml:space="preserve">Farmaceutica territoriale</w:t>
            </w:r>
          </w:p>
        </w:tc>
        <w:tc>
          <w:tcPr/>
          <w:p>
            <w:pPr>
              <w:pStyle w:val="Compact"/>
              <w:spacing w:after="40" w:before="40"/>
              <w:jc w:val="left"/>
            </w:pPr>
            <w:r>
              <w:rPr>
                <w:rFonts w:ascii="Cambria" w:hAnsi="Cambria" w:cs="Cambria" w:eastAsia="Cambria"/>
                <w:color w:val="1A1A1A"/>
                <w:sz w:val="18"/>
              </w:rPr>
              <w:t xml:space="preserve">8–12 mln €</w:t>
            </w:r>
          </w:p>
        </w:tc>
        <w:tc>
          <w:tcPr/>
          <w:p>
            <w:pPr>
              <w:pStyle w:val="Compact"/>
              <w:spacing w:after="40" w:before="40"/>
              <w:jc w:val="left"/>
            </w:pPr>
            <w:r>
              <w:rPr>
                <w:rFonts w:ascii="Cambria" w:hAnsi="Cambria" w:cs="Cambria" w:eastAsia="Cambria"/>
                <w:color w:val="1A1A1A"/>
                <w:sz w:val="18"/>
              </w:rPr>
              <w:t xml:space="preserve">Appropriatezza prescrittiva e deprescrizione assistita; migliore aderenza; riduzione delle prescrizioni inappropriate oltre il canale psicologico.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Specialistica e diagnostica</w:t>
            </w:r>
          </w:p>
        </w:tc>
        <w:tc>
          <w:tcPr>
            <w:shd w:val="clear" w:color="auto" w:fill="F4F1EC"/>
          </w:tcPr>
          <w:p>
            <w:pPr>
              <w:pStyle w:val="Compact"/>
              <w:spacing w:after="40" w:before="40"/>
              <w:jc w:val="left"/>
            </w:pPr>
            <w:r>
              <w:rPr>
                <w:rFonts w:ascii="Cambria" w:hAnsi="Cambria" w:cs="Cambria" w:eastAsia="Cambria"/>
                <w:color w:val="1A1A1A"/>
                <w:sz w:val="18"/>
              </w:rPr>
              <w:t xml:space="preserve">12–18 mln €</w:t>
            </w:r>
          </w:p>
        </w:tc>
        <w:tc>
          <w:tcPr>
            <w:shd w:val="clear" w:color="auto" w:fill="F4F1EC"/>
          </w:tcPr>
          <w:p>
            <w:pPr>
              <w:pStyle w:val="Compact"/>
              <w:spacing w:after="40" w:before="40"/>
              <w:jc w:val="left"/>
            </w:pPr>
            <w:r>
              <w:rPr>
                <w:rFonts w:ascii="Cambria" w:hAnsi="Cambria" w:cs="Cambria" w:eastAsia="Cambria"/>
                <w:color w:val="1A1A1A"/>
                <w:sz w:val="18"/>
              </w:rPr>
              <w:t xml:space="preserve">Triage diagnostico, screening autonomi nello studio e supporto decisionale che riducono esami e visite inappropriati sull’intero spettro delle condizioni.</w:t>
            </w:r>
          </w:p>
        </w:tc>
      </w:tr>
      <w:tr>
        <w:tc>
          <w:tcPr/>
          <w:p>
            <w:pPr>
              <w:pStyle w:val="Compact"/>
              <w:spacing w:after="40" w:before="40"/>
              <w:jc w:val="left"/>
            </w:pPr>
            <w:r>
              <w:rPr>
                <w:rFonts w:ascii="Cambria" w:hAnsi="Cambria" w:cs="Cambria" w:eastAsia="Cambria"/>
                <w:b/>
                <w:bCs/>
                <w:color w:val="1A1A1A"/>
                <w:sz w:val="18"/>
              </w:rPr>
              <w:t xml:space="preserve">Medicina generale (tempo e capacità)</w:t>
            </w:r>
          </w:p>
        </w:tc>
        <w:tc>
          <w:tcPr/>
          <w:p>
            <w:pPr>
              <w:pStyle w:val="Compact"/>
              <w:spacing w:after="40" w:before="40"/>
              <w:jc w:val="left"/>
            </w:pPr>
            <w:r>
              <w:rPr>
                <w:rFonts w:ascii="Cambria" w:hAnsi="Cambria" w:cs="Cambria" w:eastAsia="Cambria"/>
                <w:color w:val="1A1A1A"/>
                <w:sz w:val="18"/>
              </w:rPr>
              <w:t xml:space="preserve">6–10 mln €</w:t>
            </w:r>
          </w:p>
        </w:tc>
        <w:tc>
          <w:tcPr/>
          <w:p>
            <w:pPr>
              <w:pStyle w:val="Compact"/>
              <w:spacing w:after="40" w:before="40"/>
              <w:jc w:val="left"/>
            </w:pPr>
            <w:r>
              <w:rPr>
                <w:rFonts w:ascii="Cambria" w:hAnsi="Cambria" w:cs="Cambria" w:eastAsia="Cambria"/>
                <w:color w:val="1A1A1A"/>
                <w:sz w:val="18"/>
              </w:rPr>
              <w:t xml:space="preserve">Documentazione clinica ambientale e supporto decisionale che liberano tempo clinico e riducono i consulti ripetuti; beneficio in parte come capacità e riduzione delle attese.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Salute mentale (oltre il canale di base)</w:t>
            </w:r>
          </w:p>
        </w:tc>
        <w:tc>
          <w:tcPr>
            <w:shd w:val="clear" w:color="auto" w:fill="F4F1EC"/>
          </w:tcPr>
          <w:p>
            <w:pPr>
              <w:pStyle w:val="Compact"/>
              <w:spacing w:after="40" w:before="40"/>
              <w:jc w:val="left"/>
            </w:pPr>
            <w:r>
              <w:rPr>
                <w:rFonts w:ascii="Cambria" w:hAnsi="Cambria" w:cs="Cambria" w:eastAsia="Cambria"/>
                <w:color w:val="1A1A1A"/>
                <w:sz w:val="18"/>
              </w:rPr>
              <w:t xml:space="preserve">6–10 mln €</w:t>
            </w:r>
          </w:p>
        </w:tc>
        <w:tc>
          <w:tcPr>
            <w:shd w:val="clear" w:color="auto" w:fill="F4F1EC"/>
          </w:tcPr>
          <w:p>
            <w:pPr>
              <w:pStyle w:val="Compact"/>
              <w:spacing w:after="40" w:before="40"/>
              <w:jc w:val="left"/>
            </w:pPr>
            <w:r>
              <w:rPr>
                <w:rFonts w:ascii="Cambria" w:hAnsi="Cambria" w:cs="Cambria" w:eastAsia="Cambria"/>
                <w:color w:val="1A1A1A"/>
                <w:sz w:val="18"/>
              </w:rPr>
              <w:t xml:space="preserve">Agenti conversazionali sotto supervisione per i casi lievi e nei tempi di attesa; monitoraggio degli esiti; estensione della capacità del servizio.</w:t>
            </w:r>
          </w:p>
        </w:tc>
      </w:tr>
      <w:tr>
        <w:tc>
          <w:tcPr/>
          <w:p>
            <w:pPr>
              <w:pStyle w:val="Compact"/>
              <w:spacing w:after="40" w:before="40"/>
              <w:jc w:val="left"/>
            </w:pPr>
            <w:r>
              <w:rPr>
                <w:rFonts w:ascii="Cambria" w:hAnsi="Cambria" w:cs="Cambria" w:eastAsia="Cambria"/>
                <w:b/>
                <w:bCs/>
                <w:color w:val="1A1A1A"/>
                <w:sz w:val="18"/>
              </w:rPr>
              <w:t xml:space="preserve">Prevenzione e cronicità</w:t>
            </w:r>
          </w:p>
        </w:tc>
        <w:tc>
          <w:tcPr/>
          <w:p>
            <w:pPr>
              <w:pStyle w:val="Compact"/>
              <w:spacing w:after="40" w:before="40"/>
              <w:jc w:val="left"/>
            </w:pPr>
            <w:r>
              <w:rPr>
                <w:rFonts w:ascii="Cambria" w:hAnsi="Cambria" w:cs="Cambria" w:eastAsia="Cambria"/>
                <w:color w:val="1A1A1A"/>
                <w:sz w:val="18"/>
              </w:rPr>
              <w:t xml:space="preserve">8–14 mln €</w:t>
            </w:r>
          </w:p>
        </w:tc>
        <w:tc>
          <w:tcPr/>
          <w:p>
            <w:pPr>
              <w:pStyle w:val="Compact"/>
              <w:spacing w:after="40" w:before="40"/>
              <w:jc w:val="left"/>
            </w:pPr>
            <w:r>
              <w:rPr>
                <w:rFonts w:ascii="Cambria" w:hAnsi="Cambria" w:cs="Cambria" w:eastAsia="Cambria"/>
                <w:color w:val="1A1A1A"/>
                <w:sz w:val="18"/>
              </w:rPr>
              <w:t xml:space="preserve">Stratificazione del rischio collegata all’azione clinica; riduzione delle riacutizzazioni e dei ricoveri evitabili.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Riabilitazione e recupero</w:t>
            </w:r>
          </w:p>
        </w:tc>
        <w:tc>
          <w:tcPr>
            <w:shd w:val="clear" w:color="auto" w:fill="F4F1EC"/>
          </w:tcPr>
          <w:p>
            <w:pPr>
              <w:pStyle w:val="Compact"/>
              <w:spacing w:after="40" w:before="40"/>
              <w:jc w:val="left"/>
            </w:pPr>
            <w:r>
              <w:rPr>
                <w:rFonts w:ascii="Cambria" w:hAnsi="Cambria" w:cs="Cambria" w:eastAsia="Cambria"/>
                <w:color w:val="1A1A1A"/>
                <w:sz w:val="18"/>
              </w:rPr>
              <w:t xml:space="preserve">3–6 mln €</w:t>
            </w:r>
          </w:p>
        </w:tc>
        <w:tc>
          <w:tcPr>
            <w:shd w:val="clear" w:color="auto" w:fill="F4F1EC"/>
          </w:tcPr>
          <w:p>
            <w:pPr>
              <w:pStyle w:val="Compact"/>
              <w:spacing w:after="40" w:before="40"/>
              <w:jc w:val="left"/>
            </w:pPr>
            <w:r>
              <w:rPr>
                <w:rFonts w:ascii="Cambria" w:hAnsi="Cambria" w:cs="Cambria" w:eastAsia="Cambria"/>
                <w:color w:val="1A1A1A"/>
                <w:sz w:val="18"/>
              </w:rPr>
              <w:t xml:space="preserve">Teleriabilitazione e monitoraggio remoto; prevenzione delle ricadute; riduzione delle riammissioni e accorciamento dei percorsi.</w:t>
            </w:r>
          </w:p>
        </w:tc>
      </w:tr>
      <w:tr>
        <w:tc>
          <w:tcPr/>
          <w:p>
            <w:pPr>
              <w:pStyle w:val="Compact"/>
              <w:spacing w:after="40" w:before="40"/>
              <w:jc w:val="left"/>
            </w:pPr>
            <w:r>
              <w:rPr>
                <w:rFonts w:ascii="Cambria" w:hAnsi="Cambria" w:cs="Cambria" w:eastAsia="Cambria"/>
                <w:b/>
                <w:bCs/>
                <w:color w:val="1A1A1A"/>
                <w:sz w:val="18"/>
              </w:rPr>
              <w:t xml:space="preserve">Totale incrementale a regime (scenario base)</w:t>
            </w:r>
          </w:p>
        </w:tc>
        <w:tc>
          <w:tcPr/>
          <w:p>
            <w:pPr>
              <w:pStyle w:val="Compact"/>
              <w:spacing w:after="40" w:before="40"/>
              <w:jc w:val="left"/>
            </w:pPr>
            <w:r>
              <w:rPr>
                <w:rFonts w:ascii="Cambria" w:hAnsi="Cambria" w:cs="Cambria" w:eastAsia="Cambria"/>
                <w:b/>
                <w:bCs/>
                <w:color w:val="1A1A1A"/>
                <w:sz w:val="18"/>
              </w:rPr>
              <w:t xml:space="preserve">≈ 43–70 mln €</w:t>
            </w:r>
          </w:p>
        </w:tc>
        <w:tc>
          <w:tcPr/>
          <w:p>
            <w:pPr>
              <w:pStyle w:val="Compact"/>
              <w:spacing w:after="40" w:before="40"/>
              <w:jc w:val="left"/>
            </w:pPr>
            <w:r>
              <w:rPr>
                <w:rFonts w:ascii="Cambria" w:hAnsi="Cambria" w:cs="Cambria" w:eastAsia="Cambria"/>
                <w:b/>
                <w:bCs/>
                <w:color w:val="1A1A1A"/>
                <w:sz w:val="18"/>
              </w:rPr>
              <w:t xml:space="preserve">Valore centrale dell’ordine di 45–55 mln € a profondità di adozione dell’80%.</w:t>
            </w:r>
          </w:p>
        </w:tc>
      </w:tr>
    </w:tbl>
    <w:p>
      <w:pPr>
        <w:pStyle w:val="BodyText"/>
      </w:pPr>
      <w:r>
        <w:rPr>
          <w:i/>
          <w:iCs/>
        </w:rPr>
        <w:t xml:space="preserve">Tabella 1. Stima del risparmio incrementale annuo a regime per canale, attribuibile all’impiego dell’Intelligenza Artificiale da parte di una squadra delle cure primarie formata, al netto del risparmio di base del progetto. Valori prudenziali a profondità di adozione dell’ordine dell’80%, espressi in euro/anno.</w:t>
      </w:r>
    </w:p>
    <w:p>
      <w:pPr>
        <w:pStyle w:val="BodyText"/>
      </w:pPr>
      <w:r>
        <w:t xml:space="preserve">La scomposizione per scenario mostra come il risultato dipenda dalla profondità di adozione, che è a sua volta il prodotto del programma formativo. La tabella seguente contrappone, per il contributo dell’Intelligenza Artificiale, per il delta formativo, per la riduzione complessiva e per il costo incrementale, tre scenari — conservativo, centrale ed espansivo — che si differenziano per le percentuali di riduzione applicate e per la profondità di adozione raggiunta.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incrementale</w:t>
            </w:r>
          </w:p>
        </w:tc>
        <w:tc>
          <w:tcPr>
            <w:shd w:val="clear" w:color="auto" w:fill="16264B"/>
          </w:tcPr>
          <w:p>
            <w:pPr>
              <w:pStyle w:val="Compact"/>
              <w:spacing w:after="40" w:before="40"/>
              <w:jc w:val="left"/>
            </w:pPr>
            <w:r>
              <w:rPr>
                <w:rFonts w:ascii="Cambria" w:hAnsi="Cambria" w:cs="Cambria" w:eastAsia="Cambria"/>
                <w:b/>
                <w:bCs/>
                <w:color w:val="FFFFFF"/>
                <w:sz w:val="18"/>
              </w:rPr>
              <w:t xml:space="preserve">Scenario 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Scenario centrale</w:t>
            </w:r>
          </w:p>
        </w:tc>
        <w:tc>
          <w:tcPr>
            <w:shd w:val="clear" w:color="auto" w:fill="16264B"/>
          </w:tcPr>
          <w:p>
            <w:pPr>
              <w:pStyle w:val="Compact"/>
              <w:spacing w:after="40" w:before="40"/>
              <w:jc w:val="left"/>
            </w:pPr>
            <w:r>
              <w:rPr>
                <w:rFonts w:ascii="Cambria" w:hAnsi="Cambria" w:cs="Cambria" w:eastAsia="Cambria"/>
                <w:b/>
                <w:bCs/>
                <w:color w:val="FFFFFF"/>
                <w:sz w:val="18"/>
              </w:rPr>
              <w:t xml:space="preserve">Scenario espansivo</w:t>
            </w:r>
          </w:p>
        </w:tc>
      </w:tr>
      <w:tr>
        <w:tc>
          <w:tcPr/>
          <w:p>
            <w:pPr>
              <w:pStyle w:val="Compact"/>
              <w:spacing w:after="40" w:before="40"/>
              <w:jc w:val="left"/>
            </w:pPr>
            <w:r>
              <w:rPr>
                <w:rFonts w:ascii="Cambria" w:hAnsi="Cambria" w:cs="Cambria" w:eastAsia="Cambria"/>
                <w:b/>
                <w:bCs/>
                <w:color w:val="1A1A1A"/>
                <w:sz w:val="18"/>
              </w:rPr>
              <w:t xml:space="preserve">Contributo Intelligenza Artificiale</w:t>
            </w:r>
          </w:p>
        </w:tc>
        <w:tc>
          <w:tcPr/>
          <w:p>
            <w:pPr>
              <w:pStyle w:val="Compact"/>
              <w:spacing w:after="40" w:before="40"/>
              <w:jc w:val="left"/>
            </w:pPr>
            <w:r>
              <w:rPr>
                <w:rFonts w:ascii="Cambria" w:hAnsi="Cambria" w:cs="Cambria" w:eastAsia="Cambria"/>
                <w:color w:val="1A1A1A"/>
                <w:sz w:val="18"/>
              </w:rPr>
              <w:t xml:space="preserve">≈ 30–60 mln €</w:t>
            </w:r>
          </w:p>
        </w:tc>
        <w:tc>
          <w:tcPr/>
          <w:p>
            <w:pPr>
              <w:pStyle w:val="Compact"/>
              <w:spacing w:after="40" w:before="40"/>
              <w:jc w:val="left"/>
            </w:pPr>
            <w:r>
              <w:rPr>
                <w:rFonts w:ascii="Cambria" w:hAnsi="Cambria" w:cs="Cambria" w:eastAsia="Cambria"/>
                <w:color w:val="1A1A1A"/>
                <w:sz w:val="18"/>
              </w:rPr>
              <w:t xml:space="preserve">≈ 60–80 mln €</w:t>
            </w:r>
          </w:p>
        </w:tc>
        <w:tc>
          <w:tcPr/>
          <w:p>
            <w:pPr>
              <w:pStyle w:val="Compact"/>
              <w:spacing w:after="40" w:before="40"/>
              <w:jc w:val="left"/>
            </w:pPr>
            <w:r>
              <w:rPr>
                <w:rFonts w:ascii="Cambria" w:hAnsi="Cambria" w:cs="Cambria" w:eastAsia="Cambria"/>
                <w:color w:val="1A1A1A"/>
                <w:sz w:val="18"/>
              </w:rPr>
              <w:t xml:space="preserve">≈ 90–130 mln €</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Delta formativo</w:t>
            </w:r>
          </w:p>
        </w:tc>
        <w:tc>
          <w:tcPr>
            <w:shd w:val="clear" w:color="auto" w:fill="F4F1EC"/>
          </w:tcPr>
          <w:p>
            <w:pPr>
              <w:pStyle w:val="Compact"/>
              <w:spacing w:after="40" w:before="40"/>
              <w:jc w:val="left"/>
            </w:pPr>
            <w:r>
              <w:rPr>
                <w:rFonts w:ascii="Cambria" w:hAnsi="Cambria" w:cs="Cambria" w:eastAsia="Cambria"/>
                <w:color w:val="1A1A1A"/>
                <w:sz w:val="18"/>
              </w:rPr>
              <w:t xml:space="preserve">≈ 15–22 mln €</w:t>
            </w:r>
          </w:p>
        </w:tc>
        <w:tc>
          <w:tcPr>
            <w:shd w:val="clear" w:color="auto" w:fill="F4F1EC"/>
          </w:tcPr>
          <w:p>
            <w:pPr>
              <w:pStyle w:val="Compact"/>
              <w:spacing w:after="40" w:before="40"/>
              <w:jc w:val="left"/>
            </w:pPr>
            <w:r>
              <w:rPr>
                <w:rFonts w:ascii="Cambria" w:hAnsi="Cambria" w:cs="Cambria" w:eastAsia="Cambria"/>
                <w:color w:val="1A1A1A"/>
                <w:sz w:val="18"/>
              </w:rPr>
              <w:t xml:space="preserve">≈ 28–31 mln €</w:t>
            </w:r>
          </w:p>
        </w:tc>
        <w:tc>
          <w:tcPr>
            <w:shd w:val="clear" w:color="auto" w:fill="F4F1EC"/>
          </w:tcPr>
          <w:p>
            <w:pPr>
              <w:pStyle w:val="Compact"/>
              <w:spacing w:after="40" w:before="40"/>
              <w:jc w:val="left"/>
            </w:pPr>
            <w:r>
              <w:rPr>
                <w:rFonts w:ascii="Cambria" w:hAnsi="Cambria" w:cs="Cambria" w:eastAsia="Cambria"/>
                <w:color w:val="1A1A1A"/>
                <w:sz w:val="18"/>
              </w:rPr>
              <w:t xml:space="preserve">≈ 45–56 mln €</w:t>
            </w:r>
          </w:p>
        </w:tc>
      </w:tr>
      <w:tr>
        <w:tc>
          <w:tcPr/>
          <w:p>
            <w:pPr>
              <w:pStyle w:val="Compact"/>
              <w:spacing w:after="40" w:before="40"/>
              <w:jc w:val="left"/>
            </w:pPr>
            <w:r>
              <w:rPr>
                <w:rFonts w:ascii="Cambria" w:hAnsi="Cambria" w:cs="Cambria" w:eastAsia="Cambria"/>
                <w:b/>
                <w:bCs/>
                <w:color w:val="1A1A1A"/>
                <w:sz w:val="18"/>
              </w:rPr>
              <w:t xml:space="preserve">Ulteriore riduzione complessiva</w:t>
            </w:r>
          </w:p>
        </w:tc>
        <w:tc>
          <w:tcPr/>
          <w:p>
            <w:pPr>
              <w:pStyle w:val="Compact"/>
              <w:spacing w:after="40" w:before="40"/>
              <w:jc w:val="left"/>
            </w:pPr>
            <w:r>
              <w:rPr>
                <w:rFonts w:ascii="Cambria" w:hAnsi="Cambria" w:cs="Cambria" w:eastAsia="Cambria"/>
                <w:b/>
                <w:bCs/>
                <w:color w:val="1A1A1A"/>
                <w:sz w:val="18"/>
              </w:rPr>
              <w:t xml:space="preserve">≈ 45–75 mln €</w:t>
            </w:r>
          </w:p>
        </w:tc>
        <w:tc>
          <w:tcPr/>
          <w:p>
            <w:pPr>
              <w:pStyle w:val="Compact"/>
              <w:spacing w:after="40" w:before="40"/>
              <w:jc w:val="left"/>
            </w:pPr>
            <w:r>
              <w:rPr>
                <w:rFonts w:ascii="Cambria" w:hAnsi="Cambria" w:cs="Cambria" w:eastAsia="Cambria"/>
                <w:b/>
                <w:bCs/>
                <w:color w:val="1A1A1A"/>
                <w:sz w:val="18"/>
              </w:rPr>
              <w:t xml:space="preserve">≈ 80–110 mln €</w:t>
            </w:r>
          </w:p>
        </w:tc>
        <w:tc>
          <w:tcPr/>
          <w:p>
            <w:pPr>
              <w:pStyle w:val="Compact"/>
              <w:spacing w:after="40" w:before="40"/>
              <w:jc w:val="left"/>
            </w:pPr>
            <w:r>
              <w:rPr>
                <w:rFonts w:ascii="Cambria" w:hAnsi="Cambria" w:cs="Cambria" w:eastAsia="Cambria"/>
                <w:b/>
                <w:bCs/>
                <w:color w:val="1A1A1A"/>
                <w:sz w:val="18"/>
              </w:rPr>
              <w:t xml:space="preserve">≈ 130–187 mln €</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incrementale (IA + formazione)</w:t>
            </w:r>
          </w:p>
        </w:tc>
        <w:tc>
          <w:tcPr>
            <w:shd w:val="clear" w:color="auto" w:fill="F4F1EC"/>
          </w:tcPr>
          <w:p>
            <w:pPr>
              <w:pStyle w:val="Compact"/>
              <w:spacing w:after="40" w:before="40"/>
              <w:jc w:val="left"/>
            </w:pPr>
            <w:r>
              <w:rPr>
                <w:rFonts w:ascii="Cambria" w:hAnsi="Cambria" w:cs="Cambria" w:eastAsia="Cambria"/>
                <w:color w:val="1A1A1A"/>
                <w:sz w:val="18"/>
              </w:rPr>
              <w:t xml:space="preserve">≈ 5 mln €</w:t>
            </w:r>
          </w:p>
        </w:tc>
        <w:tc>
          <w:tcPr>
            <w:shd w:val="clear" w:color="auto" w:fill="F4F1EC"/>
          </w:tcPr>
          <w:p>
            <w:pPr>
              <w:pStyle w:val="Compact"/>
              <w:spacing w:after="40" w:before="40"/>
              <w:jc w:val="left"/>
            </w:pPr>
            <w:r>
              <w:rPr>
                <w:rFonts w:ascii="Cambria" w:hAnsi="Cambria" w:cs="Cambria" w:eastAsia="Cambria"/>
                <w:color w:val="1A1A1A"/>
                <w:sz w:val="18"/>
              </w:rPr>
              <w:t xml:space="preserve">≈ 5,3 mln €</w:t>
            </w:r>
          </w:p>
        </w:tc>
        <w:tc>
          <w:tcPr>
            <w:shd w:val="clear" w:color="auto" w:fill="F4F1EC"/>
          </w:tcPr>
          <w:p>
            <w:pPr>
              <w:pStyle w:val="Compact"/>
              <w:spacing w:after="40" w:before="40"/>
              <w:jc w:val="left"/>
            </w:pPr>
            <w:r>
              <w:rPr>
                <w:rFonts w:ascii="Cambria" w:hAnsi="Cambria" w:cs="Cambria" w:eastAsia="Cambria"/>
                <w:color w:val="1A1A1A"/>
                <w:sz w:val="18"/>
              </w:rPr>
              <w:t xml:space="preserve">≈ 5,5 mln €</w:t>
            </w:r>
          </w:p>
        </w:tc>
      </w:tr>
    </w:tbl>
    <w:p>
      <w:pPr>
        <w:pStyle w:val="BodyText"/>
      </w:pPr>
      <w:r>
        <w:rPr>
          <w:i/>
          <w:iCs/>
        </w:rPr>
        <w:t xml:space="preserve">Tabella 2. Ulteriore riduzione della spesa sanitaria diretta imputabile a Intelligenza Artificiale e formazione, a regime, per scenario. Valori incrementali rispetto al modello base, in euro/anno. La riga della riduzione complessiva tiene conto, prudenzialmente, della parziale sovrapposizione tra le leve e non coincide con la somma aritmetica delle due righe superiori.</w:t>
      </w:r>
    </w:p>
    <w:p>
      <w:pPr>
        <w:pStyle w:val="BodyText"/>
      </w:pPr>
      <w:r>
        <w:t xml:space="preserve">Il contributo incrementale non si manifesta integralmente sin dal primo anno, ma segue la curva di adozione governata dal progressivo dispiegamento dell’architettura formativa e dalla maturazione degli strumenti. La proiezione temporale, contrapposta al costo del programma, mostra che già nel primo anno, nonostante l’incidenza del costo di avvio, il saldo netto è positivo, e che a regime, dal quinto anno, i risparmi incrementali si collocano nell’ordine di 45–78 milioni di euro annui, con valore centrale di circa 55 milioni, a fronte di un costo programmatico stabile intorno ai 4 milioni.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Orizzonte</w:t>
            </w:r>
          </w:p>
        </w:tc>
        <w:tc>
          <w:tcPr>
            <w:shd w:val="clear" w:color="auto" w:fill="16264B"/>
          </w:tcPr>
          <w:p>
            <w:pPr>
              <w:pStyle w:val="Compact"/>
              <w:spacing w:after="40" w:before="40"/>
              <w:jc w:val="left"/>
            </w:pPr>
            <w:r>
              <w:rPr>
                <w:rFonts w:ascii="Cambria" w:hAnsi="Cambria" w:cs="Cambria" w:eastAsia="Cambria"/>
                <w:b/>
                <w:bCs/>
                <w:color w:val="FFFFFF"/>
                <w:sz w:val="18"/>
              </w:rPr>
              <w:t xml:space="preserve">Maturità adozione</w:t>
            </w:r>
          </w:p>
        </w:tc>
        <w:tc>
          <w:tcPr>
            <w:shd w:val="clear" w:color="auto" w:fill="16264B"/>
          </w:tcPr>
          <w:p>
            <w:pPr>
              <w:pStyle w:val="Compact"/>
              <w:spacing w:after="40" w:before="40"/>
              <w:jc w:val="left"/>
            </w:pPr>
            <w:r>
              <w:rPr>
                <w:rFonts w:ascii="Cambria" w:hAnsi="Cambria" w:cs="Cambria" w:eastAsia="Cambria"/>
                <w:b/>
                <w:bCs/>
                <w:color w:val="FFFFFF"/>
                <w:sz w:val="18"/>
              </w:rPr>
              <w:t xml:space="preserve">Risparmi incrementali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Saldo netto annuo</w:t>
            </w:r>
          </w:p>
        </w:tc>
      </w:tr>
      <w:tr>
        <w:tc>
          <w:tcPr/>
          <w:p>
            <w:pPr>
              <w:pStyle w:val="Compact"/>
              <w:spacing w:after="40" w:before="40"/>
              <w:jc w:val="left"/>
            </w:pPr>
            <w:r>
              <w:rPr>
                <w:rFonts w:ascii="Cambria" w:hAnsi="Cambria" w:cs="Cambria" w:eastAsia="Cambria"/>
                <w:b/>
                <w:bCs/>
                <w:color w:val="1A1A1A"/>
                <w:sz w:val="18"/>
              </w:rPr>
              <w:t xml:space="preserve">Anno 1</w:t>
            </w:r>
          </w:p>
        </w:tc>
        <w:tc>
          <w:tcPr/>
          <w:p>
            <w:pPr>
              <w:pStyle w:val="Compact"/>
              <w:spacing w:after="40" w:before="40"/>
              <w:jc w:val="left"/>
            </w:pPr>
            <w:r>
              <w:rPr>
                <w:rFonts w:ascii="Cambria" w:hAnsi="Cambria" w:cs="Cambria" w:eastAsia="Cambria"/>
                <w:color w:val="1A1A1A"/>
                <w:sz w:val="18"/>
              </w:rPr>
              <w:t xml:space="preserve">≈ 30%</w:t>
            </w:r>
          </w:p>
        </w:tc>
        <w:tc>
          <w:tcPr/>
          <w:p>
            <w:pPr>
              <w:pStyle w:val="Compact"/>
              <w:spacing w:after="40" w:before="40"/>
              <w:jc w:val="left"/>
            </w:pPr>
            <w:r>
              <w:rPr>
                <w:rFonts w:ascii="Cambria" w:hAnsi="Cambria" w:cs="Cambria" w:eastAsia="Cambria"/>
                <w:color w:val="1A1A1A"/>
                <w:sz w:val="18"/>
              </w:rPr>
              <w:t xml:space="preserve">8–15 mln €</w:t>
            </w:r>
          </w:p>
        </w:tc>
        <w:tc>
          <w:tcPr/>
          <w:p>
            <w:pPr>
              <w:pStyle w:val="Compact"/>
              <w:spacing w:after="40" w:before="40"/>
              <w:jc w:val="left"/>
            </w:pPr>
            <w:r>
              <w:rPr>
                <w:rFonts w:ascii="Cambria" w:hAnsi="Cambria" w:cs="Cambria" w:eastAsia="Cambria"/>
                <w:color w:val="1A1A1A"/>
                <w:sz w:val="18"/>
              </w:rPr>
              <w:t xml:space="preserve">6–7 mln €</w:t>
            </w:r>
          </w:p>
        </w:tc>
        <w:tc>
          <w:tcPr/>
          <w:p>
            <w:pPr>
              <w:pStyle w:val="Compact"/>
              <w:spacing w:after="40" w:before="40"/>
              <w:jc w:val="left"/>
            </w:pPr>
            <w:r>
              <w:rPr>
                <w:rFonts w:ascii="Cambria" w:hAnsi="Cambria" w:cs="Cambria" w:eastAsia="Cambria"/>
                <w:color w:val="1A1A1A"/>
                <w:sz w:val="18"/>
              </w:rPr>
              <w:t xml:space="preserve">+2–8 mln €</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3</w:t>
            </w:r>
          </w:p>
        </w:tc>
        <w:tc>
          <w:tcPr>
            <w:shd w:val="clear" w:color="auto" w:fill="F4F1EC"/>
          </w:tcPr>
          <w:p>
            <w:pPr>
              <w:pStyle w:val="Compact"/>
              <w:spacing w:after="40" w:before="40"/>
              <w:jc w:val="left"/>
            </w:pPr>
            <w:r>
              <w:rPr>
                <w:rFonts w:ascii="Cambria" w:hAnsi="Cambria" w:cs="Cambria" w:eastAsia="Cambria"/>
                <w:color w:val="1A1A1A"/>
                <w:sz w:val="18"/>
              </w:rPr>
              <w:t xml:space="preserve">≈ 60–70%</w:t>
            </w:r>
          </w:p>
        </w:tc>
        <w:tc>
          <w:tcPr>
            <w:shd w:val="clear" w:color="auto" w:fill="F4F1EC"/>
          </w:tcPr>
          <w:p>
            <w:pPr>
              <w:pStyle w:val="Compact"/>
              <w:spacing w:after="40" w:before="40"/>
              <w:jc w:val="left"/>
            </w:pPr>
            <w:r>
              <w:rPr>
                <w:rFonts w:ascii="Cambria" w:hAnsi="Cambria" w:cs="Cambria" w:eastAsia="Cambria"/>
                <w:color w:val="1A1A1A"/>
                <w:sz w:val="18"/>
              </w:rPr>
              <w:t xml:space="preserve">30–45 mln €</w:t>
            </w:r>
          </w:p>
        </w:tc>
        <w:tc>
          <w:tcPr>
            <w:shd w:val="clear" w:color="auto" w:fill="F4F1EC"/>
          </w:tcPr>
          <w:p>
            <w:pPr>
              <w:pStyle w:val="Compact"/>
              <w:spacing w:after="40" w:before="40"/>
              <w:jc w:val="left"/>
            </w:pPr>
            <w:r>
              <w:rPr>
                <w:rFonts w:ascii="Cambria" w:hAnsi="Cambria" w:cs="Cambria" w:eastAsia="Cambria"/>
                <w:color w:val="1A1A1A"/>
                <w:sz w:val="18"/>
              </w:rPr>
              <w:t xml:space="preserve">≈ 4 mln €</w:t>
            </w:r>
          </w:p>
        </w:tc>
        <w:tc>
          <w:tcPr>
            <w:shd w:val="clear" w:color="auto" w:fill="F4F1EC"/>
          </w:tcPr>
          <w:p>
            <w:pPr>
              <w:pStyle w:val="Compact"/>
              <w:spacing w:after="40" w:before="40"/>
              <w:jc w:val="left"/>
            </w:pPr>
            <w:r>
              <w:rPr>
                <w:rFonts w:ascii="Cambria" w:hAnsi="Cambria" w:cs="Cambria" w:eastAsia="Cambria"/>
                <w:color w:val="1A1A1A"/>
                <w:sz w:val="18"/>
              </w:rPr>
              <w:t xml:space="preserve">+26–41 mln €</w:t>
            </w:r>
          </w:p>
        </w:tc>
      </w:tr>
      <w:tr>
        <w:tc>
          <w:tcPr/>
          <w:p>
            <w:pPr>
              <w:pStyle w:val="Compact"/>
              <w:spacing w:after="40" w:before="40"/>
              <w:jc w:val="left"/>
            </w:pPr>
            <w:r>
              <w:rPr>
                <w:rFonts w:ascii="Cambria" w:hAnsi="Cambria" w:cs="Cambria" w:eastAsia="Cambria"/>
                <w:b/>
                <w:bCs/>
                <w:color w:val="1A1A1A"/>
                <w:sz w:val="18"/>
              </w:rPr>
              <w:t xml:space="preserve">Anno 5</w:t>
            </w:r>
          </w:p>
        </w:tc>
        <w:tc>
          <w:tcPr/>
          <w:p>
            <w:pPr>
              <w:pStyle w:val="Compact"/>
              <w:spacing w:after="40" w:before="40"/>
              <w:jc w:val="left"/>
            </w:pPr>
            <w:r>
              <w:rPr>
                <w:rFonts w:ascii="Cambria" w:hAnsi="Cambria" w:cs="Cambria" w:eastAsia="Cambria"/>
                <w:color w:val="1A1A1A"/>
                <w:sz w:val="18"/>
              </w:rPr>
              <w:t xml:space="preserve">Pieno regime</w:t>
            </w:r>
          </w:p>
        </w:tc>
        <w:tc>
          <w:tcPr/>
          <w:p>
            <w:pPr>
              <w:pStyle w:val="Compact"/>
              <w:spacing w:after="40" w:before="40"/>
              <w:jc w:val="left"/>
            </w:pPr>
            <w:r>
              <w:rPr>
                <w:rFonts w:ascii="Cambria" w:hAnsi="Cambria" w:cs="Cambria" w:eastAsia="Cambria"/>
                <w:color w:val="1A1A1A"/>
                <w:sz w:val="18"/>
              </w:rPr>
              <w:t xml:space="preserve">45–78 mln € (≈ 55)</w:t>
            </w:r>
          </w:p>
        </w:tc>
        <w:tc>
          <w:tcPr/>
          <w:p>
            <w:pPr>
              <w:pStyle w:val="Compact"/>
              <w:spacing w:after="40" w:before="40"/>
              <w:jc w:val="left"/>
            </w:pPr>
            <w:r>
              <w:rPr>
                <w:rFonts w:ascii="Cambria" w:hAnsi="Cambria" w:cs="Cambria" w:eastAsia="Cambria"/>
                <w:color w:val="1A1A1A"/>
                <w:sz w:val="18"/>
              </w:rPr>
              <w:t xml:space="preserve">≈ 4 mln €</w:t>
            </w:r>
          </w:p>
        </w:tc>
        <w:tc>
          <w:tcPr/>
          <w:p>
            <w:pPr>
              <w:pStyle w:val="Compact"/>
              <w:spacing w:after="40" w:before="40"/>
              <w:jc w:val="left"/>
            </w:pPr>
            <w:r>
              <w:rPr>
                <w:rFonts w:ascii="Cambria" w:hAnsi="Cambria" w:cs="Cambria" w:eastAsia="Cambria"/>
                <w:color w:val="1A1A1A"/>
                <w:sz w:val="18"/>
              </w:rPr>
              <w:t xml:space="preserve">+41–74 mln €</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10</w:t>
            </w:r>
          </w:p>
        </w:tc>
        <w:tc>
          <w:tcPr>
            <w:shd w:val="clear" w:color="auto" w:fill="F4F1EC"/>
          </w:tcPr>
          <w:p>
            <w:pPr>
              <w:pStyle w:val="Compact"/>
              <w:spacing w:after="40" w:before="40"/>
              <w:jc w:val="left"/>
            </w:pPr>
            <w:r>
              <w:rPr>
                <w:rFonts w:ascii="Cambria" w:hAnsi="Cambria" w:cs="Cambria" w:eastAsia="Cambria"/>
                <w:color w:val="1A1A1A"/>
                <w:sz w:val="18"/>
              </w:rPr>
              <w:t xml:space="preserve">Maturo (strumenti evoluti)</w:t>
            </w:r>
          </w:p>
        </w:tc>
        <w:tc>
          <w:tcPr>
            <w:shd w:val="clear" w:color="auto" w:fill="F4F1EC"/>
          </w:tcPr>
          <w:p>
            <w:pPr>
              <w:pStyle w:val="Compact"/>
              <w:spacing w:after="40" w:before="40"/>
              <w:jc w:val="left"/>
            </w:pPr>
            <w:r>
              <w:rPr>
                <w:rFonts w:ascii="Cambria" w:hAnsi="Cambria" w:cs="Cambria" w:eastAsia="Cambria"/>
                <w:color w:val="1A1A1A"/>
                <w:sz w:val="18"/>
              </w:rPr>
              <w:t xml:space="preserve">60–100 mln €</w:t>
            </w:r>
          </w:p>
        </w:tc>
        <w:tc>
          <w:tcPr>
            <w:shd w:val="clear" w:color="auto" w:fill="F4F1EC"/>
          </w:tcPr>
          <w:p>
            <w:pPr>
              <w:pStyle w:val="Compact"/>
              <w:spacing w:after="40" w:before="40"/>
              <w:jc w:val="left"/>
            </w:pPr>
            <w:r>
              <w:rPr>
                <w:rFonts w:ascii="Cambria" w:hAnsi="Cambria" w:cs="Cambria" w:eastAsia="Cambria"/>
                <w:color w:val="1A1A1A"/>
                <w:sz w:val="18"/>
              </w:rPr>
              <w:t xml:space="preserve">4–5 mln €</w:t>
            </w:r>
          </w:p>
        </w:tc>
        <w:tc>
          <w:tcPr>
            <w:shd w:val="clear" w:color="auto" w:fill="F4F1EC"/>
          </w:tcPr>
          <w:p>
            <w:pPr>
              <w:pStyle w:val="Compact"/>
              <w:spacing w:after="40" w:before="40"/>
              <w:jc w:val="left"/>
            </w:pPr>
            <w:r>
              <w:rPr>
                <w:rFonts w:ascii="Cambria" w:hAnsi="Cambria" w:cs="Cambria" w:eastAsia="Cambria"/>
                <w:color w:val="1A1A1A"/>
                <w:sz w:val="18"/>
              </w:rPr>
              <w:t xml:space="preserve">+56–95 mln €</w:t>
            </w:r>
          </w:p>
        </w:tc>
      </w:tr>
    </w:tbl>
    <w:p>
      <w:pPr>
        <w:pStyle w:val="BodyText"/>
      </w:pPr>
      <w:r>
        <w:rPr>
          <w:i/>
          <w:iCs/>
        </w:rPr>
        <w:t xml:space="preserve">Tabella 3. Proiezione temporale dei risparmi incrementali della strategia di Intelligenza Artificiale con formazione strutturata e del relativo saldo netto. Valori in euro/anno. La voce dei risparmi incrementali include sia la quota catturabile con la mera disponibilità degli strumenti sia il delta formativo.</w:t>
      </w:r>
    </w:p>
    <w:p>
      <w:pPr>
        <w:pStyle w:val="BodyText"/>
      </w:pPr>
      <w:r>
        <w:t xml:space="preserve">Sommando tali risparmi incrementali a quelli del modello base, lo stack complessivo — modello base, strumenti di Intelligenza Artificiale e formazione strutturata — porta i risparmi diretti annui a regime in un intervallo dell’ordine di 315–350 milioni di euro, rispetto ai circa 270 milioni del solo modello base, con potenziale di crescita fino a 360–400 milioni all’orizzonte decennale per effetto dell’assorbimento della domanda aggiuntiva.</w:t>
      </w:r>
    </w:p>
    <w:p>
      <w:pPr>
        <w:pStyle w:val="BodyText"/>
      </w:pPr>
      <w:r>
        <w:t xml:space="preserve">Il confronto fra il risparmio incrementale e il costo che lo rende catturabile chiarisce la convenienza dell’investimento sulle competenze. Il programma formativo costa, a regime, dell’ordine di 4 milioni di euro l’anno, con una componente di avvio dell’ordine di 0,8–1,5 milioni in larga parte coperta da risorse formative già esistenti e da fondi del Piano Nazionale di Ripresa e Resilienza dedicati alla sanità digitale; a tale costo si aggiunge l’investimento tecnologico, dell’ordine di 1,1–1,3 milioni. Anche assumendo lo scenario conservativo, che colloca il delta formativo tra 15 e 22 milioni, il rapporto tra risparmio e costo formativo è dell’ordine di dodici-sedici a uno sul solo investimento formativo; nello scenario base sale all’ordine di trenta-quaranta a uno; misurato sull’intero programma formativo a regime, il ritorno è dell’ordine di sette-otto euro per ogni euro investito nella formazione. La scarsa sensibilità di tale rapporto al raddoppio del costo ne fa una decisione finanziariamente robusta in qualunque ipotesi.</w:t>
      </w:r>
    </w:p>
    <w:p>
      <w:pPr>
        <w:pStyle w:val="BodyText"/>
      </w:pPr>
      <w:r>
        <w:t xml:space="preserve">Quanto alla scalatura nazionale, la Puglia rappresenta una quota dell’ordine di un quindicesimo della popolazione nazionale: applicando il medesimo modello al territorio italiano, i risparmi incrementali a regime si collocherebbero, in prima approssimazione e con le cautele proprie di ogni estrapolazione, in un intervallo dell’ordine di alcune centinaia di milioni fino a oltre un miliardo di euro annui, coerentemente con gli ordini di grandezza indicati per l’integrazione complessiva dell’Intelligenza Artificiale nei capitoli precedenti. La scalatura conferma che l’investimento sulle competenze, contenuto in valore assoluto, agisce da leva su pool di spesa di ordine di grandezza superiore.</w:t>
      </w:r>
    </w:p>
    <w:p>
      <w:pPr>
        <w:pStyle w:val="BodyText"/>
      </w:pPr>
      <w:r>
        <w:t xml:space="preserve">Va infine ribadito che tutte le grandezze qui esposte sono risparmi sanitari diretti, che costituiscono l’oggetto proprio del mandato regionale. I ritorni indiretti e sociali — minori giornate lavorative perse, minore onere per invalidità e welfare, maggiore produttività — sono reali e documentati, ma sono stimati separatamente, con maggiore incertezza, e non vengono aggiunti ai valori diretti: la loro trattazione è svolta nelle sezioni dedicate, secondo la separazione delle prospettive enunciata nel sottocapitolo 1.2, e nel rispetto del principio di non duplicazione.</w:t>
      </w:r>
    </w:p>
    <w:bookmarkEnd w:id="2121"/>
    <w:bookmarkStart w:id="2124" w:name="X83d73bfaf0657af9382e6b69d07511763652505"/>
    <w:p>
      <w:pPr>
        <w:pStyle w:val="Heading3"/>
      </w:pPr>
      <w:r>
        <w:rPr>
          <w:b/>
          <w:bCs/>
        </w:rPr>
        <w:t xml:space="preserve">1.9 Vincoli di onestà metodologica, garanzie etico-giuridiche e sintesi</w:t>
      </w:r>
    </w:p>
    <w:p>
      <w:pPr>
        <w:pStyle w:val="FirstParagraph"/>
      </w:pPr>
      <w:r>
        <w:t xml:space="preserve">La difendibilità della stima riposa su un insieme di vincoli di onestà metodologica che è opportuno enunciare in chiusura. Il primo è che il rapporto benefici-costi di 4:1 spesso attribuito all’investimento in salute mentale non è impiegato, in quanto semplificazione comunicativa: gli intervalli sottostanti, di fonte peer-reviewed, si collocano dell’ordine di 2,3–3,0:1 per i soli benefici economici e di 3,3–5,7:1 includendo i ritorni di salute.</w:t>
      </w:r>
      <w:r>
        <w:t xml:space="preserve"> </w:t>
      </w:r>
      <w:r>
        <w:rPr>
          <w:rStyle w:val="FootnoteReference"/>
        </w:rPr>
        <w:footnoteReference w:id="927"/>
      </w:r>
      <w:r>
        <w:t xml:space="preserve"> </w:t>
      </w:r>
      <w:r>
        <w:t xml:space="preserve">Il secondo è che l’effetto sui costi sanitari del trial IMPACT non è presentato come un risparmio, poiché il suo intervallo di confidenza include lo zero e l’effetto non è dunque statisticamente significativo. Il terzo è che non si invocano rendimenti aggregati dell’ordine di 12:1–18:1. Il quarto è che i risparmi diretti e quelli sociali sono mantenuti rigorosamente separati e non vengono sommati. Il quinto è che ogni proiezione impiega bande prudenziali e previsioni falsificabili. Il sesto è che la gerarchia della prova è applicata in egual misura alle affermazioni sull’Intelligenza Artificiale e a quelle cliniche.</w:t>
      </w:r>
    </w:p>
    <w:p>
      <w:pPr>
        <w:pStyle w:val="BodyText"/>
      </w:pPr>
      <w:r>
        <w:t xml:space="preserve">A questi vincoli si affiancano le garanzie etico-giuridiche che condizionano l’adozione. La prima è il presidio umano: l’Intelligenza Artificiale opera come supporto e non come sostituto, e la responsabilità ultima della decisione clinica resta in capo al professionista. La seconda è la protezione dei dati personali, secondo la disciplina europea, con integrazione nel sistema informativo regionale, minimizzazione dei dati e misure di sicurezza adeguate. La terza è la conformità al Regolamento europeo sull’Intelligenza Artificiale e alla disciplina dei dispositivi medici, nei termini e nelle scadenze già richiamati — trasparenza dall’agosto 2026, sistemi autonomi dell’Allegato III dal dicembre 2027, dispositivi medici dall’agosto 2028 — con preferenza per soluzioni spiegabili, conformi agli standard e aperte, e con validazione locale e monitoraggio prospettico degli esiti.</w:t>
      </w:r>
      <w:r>
        <w:t xml:space="preserve"> </w:t>
      </w:r>
      <w:r>
        <w:rPr>
          <w:rStyle w:val="FootnoteReference"/>
        </w:rPr>
        <w:footnoteReference w:id="928"/>
      </w:r>
      <w:r>
        <w:t xml:space="preserve"> </w:t>
      </w:r>
      <w:r>
        <w:t xml:space="preserve">La quarta è l’equità: lo strumento deve ridurre, e non ampliare, le disuguaglianze territoriali, assicurando copertura nelle aree interne e remote e mitigando il divario digitale. Tali garanzie non costituiscono un costo che erode il risparmio, ma la condizione della sua legittimità e della sua sostenibilità nel tempo, evitando che l’adozione sia esposta a contestazioni o sospensioni che ne vanificherebbero il beneficio economico.</w:t>
      </w:r>
    </w:p>
    <w:p>
      <w:pPr>
        <w:pStyle w:val="BodyText"/>
      </w:pPr>
      <w:r>
        <w:t xml:space="preserve">Ciascuna previsione, infine, è collegata a un indicatore misurabile e a una verifica ex post sui dati regionali, e le bande sono deliberatamente conservative affinché il risultato sia difendibile anche di fronte a un contraddittorio rigoroso. La stima non è un punto, ma un intervallo prudenziale soggetto a revisione alla luce dell’evidenza che il monitoraggio progressivamente produrrà.</w:t>
      </w:r>
    </w:p>
    <w:p>
      <w:pPr>
        <w:pStyle w:val="BodyText"/>
      </w:pPr>
      <w:r>
        <w:t xml:space="preserve">In sintesi, l’integrazione dell’Intelligenza Artificiale e della formazione del personale nel modello «Psicologo di Base» rappresenta l’evoluzione innovativa di un modello già fondato sulle migliori evidenze cliniche e organizzative. Tutte le dimensioni analizzate — le quattro modalità formative, lo stato dell’arte mondiale dei dispositivi e dei brevetti, le cinque dimensioni del continuum assistenziale, la stratificazione dei risparmi e la quantificazione regionale — convergono nell’indicare che l’Intelligenza Artificiale, impiegata con competenza e visione etica, può ridurre ulteriormente la spesa sanitaria regionale di un ordine di grandezza dell’ordine di 45–130 milioni di euro annui a regime nello scenario centrale, portando i risparmi diretti da circa 270 a un intervallo di 315–350 milioni, con la formazione quale variabile causale e più governabile dell’intero progetto, dotata di un ritorno dell’ordine di sette-otto euro per ogni euro investito e robusto anche al raddoppio del costo. Tale ulteriore riduzione è reale, difendibile e prudenziale, e va tenuta distinta dalle cifre amplificate proprie dei materiali di comunicazione. Il capitolo successivo sviluppa le implicazioni normative e organizzative di questa integrazione e ne delinea il percorso attuativo, traducendo le potenzialità qui ricostruite in scelte concrete di adozione, di governo del rischio e di programmazione sul territorio.</w:t>
      </w:r>
    </w:p>
    <w:p>
      <w:pPr>
        <w:pStyle w:val="BodyText"/>
      </w:pPr>
      <w:r>
        <w:t xml:space="preserve">Capitolo I — pag.</w:t>
      </w:r>
    </w:p>
    <w:p>
      <w:r>
        <w:br w:type="page"/>
      </w:r>
    </w:p>
    <w:bookmarkEnd w:id="2124"/>
    <w:bookmarkEnd w:id="2125"/>
    <w:bookmarkEnd w:id="2126"/>
    <w:bookmarkStart w:id="2216" w:name="X47c75a7af4bf9d8e3cb111aef044c1836bc2343"/>
    <w:p>
      <w:pPr>
        <w:pStyle w:val="Heading1"/>
      </w:pPr>
      <w:r>
        <w:t xml:space="preserve">Appendice XXII — La competenza come moltiplicatore del ritorno economico dell’Intelligenza Artificiale: le quattro modalità formative comparate</w:t>
      </w:r>
    </w:p>
    <w:p>
      <w:pPr>
        <w:pStyle w:val="FirstParagraph"/>
      </w:pPr>
      <w:r>
        <w:t xml:space="preserve">La formazione del Medico di Base e dello Psicologo di Base all’Intelligenza Artificiale</w:t>
      </w:r>
    </w:p>
    <w:p>
      <w:pPr>
        <w:pStyle w:val="BodyText"/>
      </w:pPr>
      <w:r>
        <w:t xml:space="preserve">Potenzialità cliniche nel continuum diagnosi · prevenzione · trattamento · riabilitazione · recupero e quantificazione dei risparmi sanitari aggiuntivi per il Servizio Sanitario Regionale della Puglia</w:t>
      </w:r>
    </w:p>
    <w:p>
      <w:pPr>
        <w:pStyle w:val="BodyText"/>
      </w:pPr>
      <w:r>
        <w:t xml:space="preserve">Progetto «Psicologo di Base» — Regione Puglia</w:t>
      </w:r>
    </w:p>
    <w:p>
      <w:pPr>
        <w:pStyle w:val="BodyText"/>
      </w:pPr>
      <w:r>
        <w:t xml:space="preserve">Documento Unico Integrale · Versione definitiva</w:t>
      </w:r>
    </w:p>
    <w:p>
      <w:pPr>
        <w:pStyle w:val="BodyText"/>
      </w:pPr>
      <w:r>
        <w:t xml:space="preserve">Documento integrativo della Relazione tecnico-finanziaria · Analisi tecnico-scientifica ed evidence-based</w:t>
      </w:r>
    </w:p>
    <w:p>
      <w:pPr>
        <w:pStyle w:val="BodyText"/>
      </w:pPr>
      <w:r>
        <w:t xml:space="preserve">Giugno 2026</w:t>
      </w:r>
    </w:p>
    <w:p>
      <w:pPr>
        <w:pStyle w:val="BodyText"/>
      </w:pPr>
      <w:r>
        <w:t xml:space="preserve">Table of Contents</w:t>
      </w:r>
    </w:p>
    <w:bookmarkStart w:id="2127" w:name="sintesi-direzionale-1"/>
    <w:p>
      <w:pPr>
        <w:pStyle w:val="Heading2"/>
      </w:pPr>
      <w:r>
        <w:t xml:space="preserve">Sintesi direzionale</w:t>
      </w:r>
    </w:p>
    <w:p>
      <w:pPr>
        <w:pStyle w:val="FirstParagraph"/>
      </w:pPr>
      <w:r>
        <w:t xml:space="preserve">La tecnologia dell’Intelligenza Artificiale in sanità ha raggiunto, nel biennio 2024–2025, una soglia di maturità operativa documentata da oltre millequattrocento autorizzazioni regolatorie, da quasi undicimila famiglie brevettuali e da numerosi studi controllati lungo l’intero continuum clinico — diagnostica, prevenzione, trattamento, riabilitazione e recupero. Ciò che separa la disponibilità dello strumento dalla realizzazione del suo valore economico è la competenza dell’operatore: tra l’adozione formale di una soluzione di Intelligenza Artificiale e la sua traduzione in risparmi misurabili si interpone la capacità del professionista di integrarla nei flussi di lavoro, di interpretarne criticamente gli esiti e di calibrarne l’uso sul singolo paziente. Per questa ragione il presente documento isola la dimensione formativa e ne quantifica il ritorno, articolando le quattro modalità — formazione universitaria, post-universitaria, continua sul lavoro e accompagnamento di figure competenti negli studi medici — in un’unica architettura integrata a quattro livelli, calibrata sull’orizzonte temporale e governata dal principio prudenziale di non duplicazione rispetto ai risparmi già attribuiti al modello base.</w:t>
      </w:r>
    </w:p>
    <w:p>
      <w:pPr>
        <w:pStyle w:val="BodyText"/>
      </w:pPr>
      <w:r>
        <w:t xml:space="preserve">Sul piano economico, il valore specificamente imputabile all’investimento formativo — il delta formativo — si colloca a regime in un intervallo dell’ordine di 28–56 milioni di euro annui, con valore centrale prossimo a 31 milioni, a fronte di un costo programmatico dell’ordine di 4 milioni annui largamente coperto da risorse esistenti, con un ritorno dell’ordine di sette-otto euro di risparmio per ogni euro investito e un saldo netto positivo già dal primo anno. La strategia complessiva, che unisce la disponibilità degli strumenti alla formazione strutturata, genera risparmi incrementali a regime nell’ordine di 45–78 milioni di euro annui, portando i risparmi diretti dell’intero impianto — modello base, strumenti di Intelligenza Artificiale e formazione strutturata — a un intervallo dell’ordine di 315–350 milioni annui in Puglia, con una scalatura nazionale coerente con l’intervallo di 600 milioni–2,7 miliardi di euro annui già indicato nei capitoli precedenti. La quantificazione è costruita per scenari conservativo, centrale ed espansivo, ancorata ai pool di spesa regionali documentati e accompagnata da analisi di sensibilità e da misure di gestione del rischio.</w:t>
      </w:r>
    </w:p>
    <w:bookmarkEnd w:id="2127"/>
    <w:bookmarkStart w:id="2128" w:name="premessa-e-raccordo-metodologico"/>
    <w:p>
      <w:pPr>
        <w:pStyle w:val="Heading2"/>
      </w:pPr>
      <w:r>
        <w:t xml:space="preserve">1. Premessa e raccordo metodologico</w:t>
      </w:r>
    </w:p>
    <w:p>
      <w:pPr>
        <w:pStyle w:val="FirstParagraph"/>
      </w:pPr>
      <w:r>
        <w:t xml:space="preserve">Il presente capitolo costituisce uno sviluppo verticale e tematicamente autonomo della relazione tecnico-finanziaria del progetto</w:t>
      </w:r>
      <w:r>
        <w:t xml:space="preserve"> </w:t>
      </w:r>
      <w:r>
        <w:rPr>
          <w:i/>
          <w:iCs/>
        </w:rPr>
        <w:t xml:space="preserve">Psicologo di Base</w:t>
      </w:r>
      <w:r>
        <w:t xml:space="preserve">. Mentre i capitoli precedenti hanno definito il razionale clinico-epidemiologico, il modello organizzativo, l’architettura dei costi diretti e dei risparmi diretti e indiretti, nonché una prima integrazione trasversale dell’Intelligenza Artificiale, il capitolo che segue affronta in modo dedicato e analitico una questione che il progetto ha lasciato aperta sul piano decisionale:</w:t>
      </w:r>
      <w:r>
        <w:t xml:space="preserve"> </w:t>
      </w:r>
      <w:r>
        <w:rPr>
          <w:b/>
          <w:bCs/>
        </w:rPr>
        <w:t xml:space="preserve">con quale strategia formativa dotare ogni medico di medicina generale e ogni psicologo di base delle competenze necessarie a utilizzare l’Intelligenza Artificiale in modo sicuro, appropriato ed efficace, e quale ulteriore riduzione della spesa sanitaria regionale tale investimento formativo sia in grado di generare rispetto allo scenario di progetto già definito.</w:t>
      </w:r>
    </w:p>
    <w:p>
      <w:pPr>
        <w:pStyle w:val="BodyText"/>
      </w:pPr>
      <w:r>
        <w:t xml:space="preserve">La scelta di isolare la dimensione formativa in un capitolo autonomo non è meramente espositiva. Essa riflette una tesi sostanziale, documentata dalla letteratura economico-sanitaria più recente e ripresa nelle sezioni quantitative:</w:t>
      </w:r>
      <w:r>
        <w:t xml:space="preserve"> </w:t>
      </w:r>
      <w:r>
        <w:rPr>
          <w:b/>
          <w:bCs/>
        </w:rPr>
        <w:t xml:space="preserve">la disponibilità della tecnologia non coincide con la cattura del suo valore economico</w:t>
      </w:r>
      <w:r>
        <w:t xml:space="preserve">. Tra l’adozione formale di uno strumento di Intelligenza Artificiale e la sua traduzione in risparmi misurabili si interpone la variabile critica della competenza degli operatori, ossia la capacità del professionista di integrare lo strumento nei propri flussi di lavoro, di interpretarne criticamente gli output, di calibrarne l’uso sul singolo paziente e di evitarne tanto il rifiuto quanto l’affidamento acritico. La formazione, in questa prospettiva, non è un costo accessorio bensì il fattore moltiplicativo che determina la quota di potenziale economico effettivamente realizzata.</w:t>
      </w:r>
    </w:p>
    <w:p>
      <w:pPr>
        <w:pStyle w:val="BodyText"/>
      </w:pPr>
      <w:r>
        <w:t xml:space="preserve">L’analisi è condotta secondo i medesimi criteri metodologici adottati nel resto della relazione: fondamento su evidenze scientifiche</w:t>
      </w:r>
      <w:r>
        <w:t xml:space="preserve"> </w:t>
      </w:r>
      <w:r>
        <w:rPr>
          <w:i/>
          <w:iCs/>
        </w:rPr>
        <w:t xml:space="preserve">peer-reviewed</w:t>
      </w:r>
      <w:r>
        <w:t xml:space="preserve">, revisioni sistematiche e meta-analisi; ricorso a fonti statistiche e istituzionali ufficiali;</w:t>
      </w:r>
      <w:r>
        <w:t xml:space="preserve"> </w:t>
      </w:r>
      <w:r>
        <w:rPr>
          <w:i/>
          <w:iCs/>
        </w:rPr>
        <w:t xml:space="preserve">benchmarking</w:t>
      </w:r>
      <w:r>
        <w:t xml:space="preserve"> </w:t>
      </w:r>
      <w:r>
        <w:t xml:space="preserve">con le esperienze internazionali più autorevoli; ricognizione del panorama brevettuale internazionale quale indicatore di maturità tecnologica e di traiettoria innovativa; e costruzione di scenari economici conservativi, centrali ed espansivi con esplicita analisi di sensibilità. Tutte le proiezioni economiche sono ancorate a parametri già introdotti nei capitoli precedenti e sono formulate secondo un</w:t>
      </w:r>
      <w:r>
        <w:t xml:space="preserve"> </w:t>
      </w:r>
      <w:r>
        <w:rPr>
          <w:b/>
          <w:bCs/>
        </w:rPr>
        <w:t xml:space="preserve">principio prudenziale di non duplicazione</w:t>
      </w:r>
      <w:r>
        <w:t xml:space="preserve">, per evitare la sovrapposizione contabile con i risparmi già attribuiti al modello base e alla prima integrazione dell’IA.</w:t>
      </w:r>
    </w:p>
    <w:p>
      <w:pPr>
        <w:pStyle w:val="BodyText"/>
      </w:pPr>
      <w:r>
        <w:t xml:space="preserve">Il capitolo si articola in nove sezioni. Dopo la presente premessa, la seconda sezione sviluppa il razionale strategico della formazione come moltiplicatore del ritorno economico. La terza analizza in chiave comparativa le quattro modalità formative oggetto di valutazione — universitaria, post-universitaria, continua sul lavoro e accompagnamento di figure competenti in IA — e propone un’architettura formativa integrata. La quarta mappa sistematicamente le potenzialità dell’Intelligenza Artificiale lungo l’intero continuum clinico, dalla diagnostica al recupero funzionale, documentando per ciascuna fase le evidenze cliniche e gli strumenti già disponibili. La quinta esamina il panorama brevettuale internazionale e gli studi pilota più rilevanti. La sesta presenta la quantificazione economica dei risparmi aggiuntivi attesi in Puglia. La settima sviluppa l’analisi di sensibilità e la gestione dei rischi. L’ottava formula raccomandazioni operative per la Regione. La nona conclude.</w:t>
      </w:r>
    </w:p>
    <w:bookmarkEnd w:id="2128"/>
    <w:bookmarkStart w:id="2131" w:name="X65e75c12d9a8571a4a68996b1b59bea7c3d4039"/>
    <w:p>
      <w:pPr>
        <w:pStyle w:val="Heading2"/>
      </w:pPr>
      <w:r>
        <w:t xml:space="preserve">2. Il razionale strategico: la competenza come moltiplicatore del ritorno economico dell’Intelligenza Artificiale</w:t>
      </w:r>
    </w:p>
    <w:bookmarkStart w:id="2129" w:name="X7ae07ffcdb7d29200c95f85afef4c28eaa762bb"/>
    <w:p>
      <w:pPr>
        <w:pStyle w:val="Heading3"/>
      </w:pPr>
      <w:r>
        <w:t xml:space="preserve">2.1 La distanza tra disponibilità tecnologica e adozione efficace</w:t>
      </w:r>
    </w:p>
    <w:p>
      <w:pPr>
        <w:pStyle w:val="FirstParagraph"/>
      </w:pPr>
      <w:r>
        <w:t xml:space="preserve">La maturazione dell’Intelligenza Artificiale in sanità ha raggiunto, nel biennio 2024–2025, una soglia che rende la tecnologia non più sperimentale ma operativamente disponibile. Alla fine del 2025 il numero cumulativo di dispositivi medici basati su Intelligenza Artificiale e</w:t>
      </w:r>
      <w:r>
        <w:t xml:space="preserve"> </w:t>
      </w:r>
      <w:r>
        <w:rPr>
          <w:i/>
          <w:iCs/>
        </w:rPr>
        <w:t xml:space="preserve">machine learning</w:t>
      </w:r>
      <w:r>
        <w:t xml:space="preserve"> </w:t>
      </w:r>
      <w:r>
        <w:t xml:space="preserve">autorizzati dalla Food and Drug Administration statunitense aveva raggiunto le 1.451 unità, con 295 nuove autorizzazioni concesse nel solo 2025 e un tempo mediano di autorizzazione sceso a 142 giorni; la radiologia rappresenta circa tre quarti delle autorizzazioni, seguita da cardiologia e neurologia, mentre ambiti privi di strumenti pochi anni prima — oftalmologia, odontoiatria, medicina d’urgenza — dispongono oggi di soluzioni validate. Parallelamente, il mercato globale dell’IA in sanità, valutato in circa 24,6 miliardi di dollari nel 2024, è proiettato verso una crescita media annua composta superiore al 40%; un rapporto Microsoft-IDC del marzo 2024 stimava che il 79% delle organizzazioni sanitarie utilizzasse già una qualche forma di Intelligenza Artificiale, e gli investimenti di</w:t>
      </w:r>
      <w:r>
        <w:t xml:space="preserve"> </w:t>
      </w:r>
      <w:r>
        <w:rPr>
          <w:i/>
          <w:iCs/>
        </w:rPr>
        <w:t xml:space="preserve">venture capital</w:t>
      </w:r>
      <w:r>
        <w:t xml:space="preserve"> </w:t>
      </w:r>
      <w:r>
        <w:t xml:space="preserve">nell’IA per la salute hanno superato gli 11 miliardi di dollari nel 2024.</w:t>
      </w:r>
    </w:p>
    <w:p>
      <w:pPr>
        <w:pStyle w:val="BodyText"/>
      </w:pPr>
      <w:r>
        <w:t xml:space="preserve">Questa abbondanza di offerta tecnologica non si traduce automaticamente in valore clinico ed economico. Le revisioni sistematiche sull’adozione dell’IA nelle cure primarie convergono su un dato ricorrente: l’accettazione e l’efficacia degli strumenti dipendono in misura determinante dalla loro integrazione nei processi reali e dalla fiducia degli operatori, e quest’ultima è funzione diretta della formazione ricevuta (revisione di portata su IA e cure primarie,</w:t>
      </w:r>
      <w:r>
        <w:t xml:space="preserve"> </w:t>
      </w:r>
      <w:r>
        <w:rPr>
          <w:i/>
          <w:iCs/>
        </w:rPr>
        <w:t xml:space="preserve">Journal of Medical Internet Research</w:t>
      </w:r>
      <w:r>
        <w:t xml:space="preserve">, 2025). Uno studio qualitativo condotto su medici di medicina generale di Londra ha documentato come, in assenza di formazione adeguata, i clinici manifestino simultaneamente timori opposti — ansia per l’accuratezza diagnostica e per gli errori dell’algoritmo da un lato, preoccupazione per l’aumento del carico di lavoro e per la prescrizione di esami non necessari indotta dallo strumento dall’altro — entrambi capaci di vanificare i benefici attesi e persino di generare costi aggiuntivi. La medesima letteratura evidenzia che una quota rilevante dei medici, prima di percorsi formativi mirati, non possiede gli elementi minimi per discriminare un output affidabile da uno fuorviante.</w:t>
      </w:r>
    </w:p>
    <w:p>
      <w:pPr>
        <w:pStyle w:val="BodyText"/>
      </w:pPr>
      <w:r>
        <w:t xml:space="preserve">Ne discende un principio operativo che orienta l’intero capitolo:</w:t>
      </w:r>
      <w:r>
        <w:t xml:space="preserve"> </w:t>
      </w:r>
      <w:r>
        <w:rPr>
          <w:b/>
          <w:bCs/>
        </w:rPr>
        <w:t xml:space="preserve">il ritorno economico dell’Intelligenza Artificiale è una funzione crescente della profondità di adozione, e la profondità di adozione è governata dalla competenza.</w:t>
      </w:r>
      <w:r>
        <w:t xml:space="preserve"> </w:t>
      </w:r>
      <w:r>
        <w:t xml:space="preserve">Uno strumento sofisticato impiegato dal 30% degli operatori e in modo superficiale cattura una frazione modesta del proprio potenziale; il medesimo strumento, utilizzato in modo esperto dall’80–90% degli operatori, ne cattura una quota largamente superiore. La differenza tra questi due regimi non è imputabile alla tecnologia — identica nei due casi — ma esclusivamente alla formazione. È precisamente questa differenza che il presente capitolo si propone di isolare e di quantificare.</w:t>
      </w:r>
    </w:p>
    <w:bookmarkEnd w:id="2129"/>
    <w:bookmarkStart w:id="2130" w:name="X4d1707b81837bfd96bcf3a19868f3488f720338"/>
    <w:p>
      <w:pPr>
        <w:pStyle w:val="Heading3"/>
      </w:pPr>
      <w:r>
        <w:t xml:space="preserve">2.2 L’evidenza del fabbisogno formativo e la nozione di alfabetizzazione all’IA</w:t>
      </w:r>
    </w:p>
    <w:p>
      <w:pPr>
        <w:pStyle w:val="FirstParagraph"/>
      </w:pPr>
      <w:r>
        <w:t xml:space="preserve">La letteratura clinica ha formalizzato il concetto di</w:t>
      </w:r>
      <w:r>
        <w:t xml:space="preserve"> </w:t>
      </w:r>
      <w:r>
        <w:rPr>
          <w:i/>
          <w:iCs/>
        </w:rPr>
        <w:t xml:space="preserve">AI literacy</w:t>
      </w:r>
      <w:r>
        <w:t xml:space="preserve"> </w:t>
      </w:r>
      <w:r>
        <w:t xml:space="preserve">per i professionisti sanitari, ossia l’insieme delle competenze che consentono di comprendere il funzionamento di base degli algoritmi, di interpretarne gli indicatori di performance — sensibilità, specificità, valore predittivo positivo e negativo, falsi positivi e falsi negativi — di calibrare la fiducia in funzione del contesto clinico, di riconoscere i</w:t>
      </w:r>
      <w:r>
        <w:t xml:space="preserve"> </w:t>
      </w:r>
      <w:r>
        <w:rPr>
          <w:i/>
          <w:iCs/>
        </w:rPr>
        <w:t xml:space="preserve">bias</w:t>
      </w:r>
      <w:r>
        <w:t xml:space="preserve"> </w:t>
      </w:r>
      <w:r>
        <w:t xml:space="preserve">algoritmici e di gestire la relazione con il paziente in presenza dello strumento. L’American Board of Family Medicine ha pubblicato un quadro di competenze specifico per l’uso dell’IA nelle cure primarie, e iniziative analoghe sono state promosse dalle principali società scientifiche internazionali. La National Academy of Medicine statunitense ha esortato a incorporare senza indugio l’addestramento sull’IA nella formazione dei professionisti della salute, avvertendo che il ritardo formativo esporrebbe i sistemi sanitari al duplice rischio di non sfruttare le potenzialità della tecnologia e di non saperne governare i pericoli.</w:t>
      </w:r>
    </w:p>
    <w:p>
      <w:pPr>
        <w:pStyle w:val="BodyText"/>
      </w:pPr>
      <w:r>
        <w:t xml:space="preserve">Il fabbisogno è tanto più stringente in quanto l’adozione spontanea è già in corso e procede più rapidamente delle competenze. Nel campo della salute mentale, la quota di professionisti che dichiara di utilizzare strumenti di Intelligenza Artificiale è passata da circa il 10% nel 2015 a oltre il 60% nel 2024 secondo rilevazioni riconducibili all’American Psychological Association. Una diffusione così rapida, se non accompagnata da formazione strutturata, genera un’adozione disomogenea, dipendente dall’iniziativa individuale, esposta a errori interpretativi e priva di garanzie di sicurezza e di equità. La formazione capillare svolge dunque anche una funzione di governo del rischio: trasforma un fenomeno spontaneo e non presidiato in una pratica professionale standardizzata, tracciabile e conforme al quadro normativo, incluso il Regolamento europeo sull’Intelligenza Artificiale e la normativa nazionale di settore.</w:t>
      </w:r>
    </w:p>
    <w:p>
      <w:pPr>
        <w:pStyle w:val="BodyText"/>
      </w:pPr>
      <w:r>
        <w:t xml:space="preserve">Sul piano economico, infine, la formazione presenta un profilo di costo-opportunità particolarmente favorevole. A fronte di una spesa contenuta e in larga parte coperta da fondi già esistenti o da risorse europee dedicate al capitale umano sanitario, essa agisce come leva su pool di spesa di ordine di grandezza superiore — la spesa farmaceutica territoriale, la specialistica ambulatoriale, l’assistenza psichiatrica, i ricoveri evitabili — moltiplicando l’efficacia di un investimento tecnologico altrimenti sottoutilizzato. La sezione sesta dimostra che, nello scenario centrale, ogni euro investito nella formazione all’IA genera un ritorno in risparmi sanitari di un ordine di grandezza nettamente superiore.</w:t>
      </w:r>
    </w:p>
    <w:bookmarkEnd w:id="2130"/>
    <w:bookmarkEnd w:id="2131"/>
    <w:bookmarkStart w:id="2137" w:name="X2e8553331bd275abd0ed4315d84944176b6b894"/>
    <w:p>
      <w:pPr>
        <w:pStyle w:val="Heading2"/>
      </w:pPr>
      <w:r>
        <w:t xml:space="preserve">3. Le quattro modalità formative: analisi comparativa e architettura integrata</w:t>
      </w:r>
    </w:p>
    <w:p>
      <w:pPr>
        <w:pStyle w:val="FirstParagraph"/>
      </w:pPr>
      <w:r>
        <w:t xml:space="preserve">Il progetto individua quattro modalità attraverso le quali dotare il personale di cure primarie delle competenze in Intelligenza Artificiale: la formazione universitaria pre-laurea, la formazione post-universitaria specialistica, la formazione continua erogata nel contesto lavorativo e l’accompagnamento operativo da parte di figure competenti in IA integrate negli studi medici. Le quattro modalità non vanno intese come alternative reciprocamente esclusive tra cui operare una scelta secca, bensì come livelli complementari di un’unica architettura formativa, ciascuno dotato di un proprio orizzonte temporale, di una propria popolazione bersaglio e di un proprio profilo costo-efficacia. La presente sezione le esamina singolarmente e ne propone una composizione ottimale per il contesto pugliese.</w:t>
      </w:r>
    </w:p>
    <w:bookmarkStart w:id="2132" w:name="formazione-universitaria-pre-laurea"/>
    <w:p>
      <w:pPr>
        <w:pStyle w:val="Heading3"/>
      </w:pPr>
      <w:r>
        <w:t xml:space="preserve">3.1 Formazione universitaria (pre-laurea)</w:t>
      </w:r>
    </w:p>
    <w:p>
      <w:pPr>
        <w:pStyle w:val="FirstParagraph"/>
      </w:pPr>
      <w:r>
        <w:t xml:space="preserve">La formazione universitaria interviene a monte della carriera professionale, incorporando l’Intelligenza Artificiale e la sanità digitale nei curricula dei corsi di laurea in Medicina e Chirurgia e in Psicologia. Si tratta della leva con il maggiore orizzonte temporale e il minore impatto immediato: i suoi benefici si manifestano sulle coorti che entreranno in servizio negli anni successivi, ma la sua incidenza strutturale è la più profonda, poiché produce professionisti che concepiscono l’IA come componente nativa della pratica clinica anziché come innovazione da assimilare in un secondo momento.</w:t>
      </w:r>
    </w:p>
    <w:p>
      <w:pPr>
        <w:pStyle w:val="BodyText"/>
      </w:pPr>
      <w:r>
        <w:t xml:space="preserve">L’evidenza internazionale documenta una progressione rapida. Negli Stati Uniti il 77% delle scuole mediche dichiara di trattare l’Intelligenza Artificiale nei propri programmi, e alcune istituzioni hanno istituito percorsi dedicati, fino al dottorato congiunto in IA applicata alla medicina presso la Harvard Medical School. In Italia il fenomeno è agli stadi iniziali ma reale: l’Università di Bologna ha attivato un corso di alta formazione in Intelligenza Artificiale applicata a medicina e chirurgia, e iniziative analoghe stanno emergendo presso altri atenei. L’integrazione fin dal percorso di laurea di nozioni di</w:t>
      </w:r>
      <w:r>
        <w:t xml:space="preserve"> </w:t>
      </w:r>
      <w:r>
        <w:rPr>
          <w:i/>
          <w:iCs/>
        </w:rPr>
        <w:t xml:space="preserve">machine learning</w:t>
      </w:r>
      <w:r>
        <w:t xml:space="preserve">,</w:t>
      </w:r>
      <w:r>
        <w:t xml:space="preserve"> </w:t>
      </w:r>
      <w:r>
        <w:rPr>
          <w:i/>
          <w:iCs/>
        </w:rPr>
        <w:t xml:space="preserve">data science</w:t>
      </w:r>
      <w:r>
        <w:t xml:space="preserve"> </w:t>
      </w:r>
      <w:r>
        <w:t xml:space="preserve">e sistemi di supporto decisionale clinico garantisce che i futuri medici e psicologi comprendano gli strumenti senza percepirli come dispositivi opachi e non interpretabili, e padroneggino sin dall’inizio i concetti di</w:t>
      </w:r>
      <w:r>
        <w:t xml:space="preserve"> </w:t>
      </w:r>
      <w:r>
        <w:rPr>
          <w:i/>
          <w:iCs/>
        </w:rPr>
        <w:t xml:space="preserve">bias</w:t>
      </w:r>
      <w:r>
        <w:t xml:space="preserve"> </w:t>
      </w:r>
      <w:r>
        <w:t xml:space="preserve">algoritmico e di validazione clinica indispensabili a un uso responsabile.</w:t>
      </w:r>
    </w:p>
    <w:p>
      <w:pPr>
        <w:pStyle w:val="BodyText"/>
      </w:pPr>
      <w:r>
        <w:rPr>
          <w:b/>
          <w:bCs/>
        </w:rPr>
        <w:t xml:space="preserve">Punti di forza:</w:t>
      </w:r>
      <w:r>
        <w:t xml:space="preserve"> </w:t>
      </w:r>
      <w:r>
        <w:t xml:space="preserve">massima profondità e stabilità della competenza; costo marginale per la Regione contenuto, poiché l’onere ricade prevalentemente sul sistema universitario; effetto strutturale e permanente sulla cultura professionale.</w:t>
      </w:r>
      <w:r>
        <w:t xml:space="preserve"> </w:t>
      </w:r>
      <w:r>
        <w:rPr>
          <w:b/>
          <w:bCs/>
        </w:rPr>
        <w:t xml:space="preserve">Limiti:</w:t>
      </w:r>
      <w:r>
        <w:t xml:space="preserve"> </w:t>
      </w:r>
      <w:r>
        <w:t xml:space="preserve">orizzonte di impatto pluriennale, inadeguato a rispondere al fabbisogno del personale già in servizio; governance condivisa con le università, che limita la capacità di indirizzo diretto della Regione; rischio di rapida obsolescenza dei contenuti se non aggiornati con continuità.</w:t>
      </w:r>
    </w:p>
    <w:bookmarkEnd w:id="2132"/>
    <w:bookmarkStart w:id="2133" w:name="Xe265c5c6dd76542cf41fed7f644df65c92937ff"/>
    <w:p>
      <w:pPr>
        <w:pStyle w:val="Heading3"/>
      </w:pPr>
      <w:r>
        <w:t xml:space="preserve">3.2 Formazione post-universitaria specialistica</w:t>
      </w:r>
    </w:p>
    <w:p>
      <w:pPr>
        <w:pStyle w:val="FirstParagraph"/>
      </w:pPr>
      <w:r>
        <w:t xml:space="preserve">La formazione post-universitaria comprende master, corsi di perfezionamento,</w:t>
      </w:r>
      <w:r>
        <w:t xml:space="preserve"> </w:t>
      </w:r>
      <w:r>
        <w:rPr>
          <w:i/>
          <w:iCs/>
        </w:rPr>
        <w:t xml:space="preserve">fellowship</w:t>
      </w:r>
      <w:r>
        <w:t xml:space="preserve"> </w:t>
      </w:r>
      <w:r>
        <w:t xml:space="preserve">in sanità digitale e informatica biomedica, e certificazioni avanzate destinate ai professionisti che intendono acquisire una competenza approfondita e, in alcuni casi, un ruolo di guida nell’implementazione tecnologica. È la modalità che genera le figure ibride — il clinico con competenze di</w:t>
      </w:r>
      <w:r>
        <w:t xml:space="preserve"> </w:t>
      </w:r>
      <w:r>
        <w:rPr>
          <w:i/>
          <w:iCs/>
        </w:rPr>
        <w:t xml:space="preserve">data science</w:t>
      </w:r>
      <w:r>
        <w:t xml:space="preserve">, lo psicologo esperto di interventi digitali — capaci di fungere da riferimento per i colleghi e di interfacciarsi con i team tecnici.</w:t>
      </w:r>
    </w:p>
    <w:p>
      <w:pPr>
        <w:pStyle w:val="BodyText"/>
      </w:pPr>
      <w:r>
        <w:t xml:space="preserve">L’offerta è in espansione. In ambito medico esistono</w:t>
      </w:r>
      <w:r>
        <w:t xml:space="preserve"> </w:t>
      </w:r>
      <w:r>
        <w:rPr>
          <w:i/>
          <w:iCs/>
        </w:rPr>
        <w:t xml:space="preserve">academy</w:t>
      </w:r>
      <w:r>
        <w:t xml:space="preserve"> </w:t>
      </w:r>
      <w:r>
        <w:t xml:space="preserve">e programmi specificamente dedicati all’uso etico ed efficace dell’IA clinica; per gli psicologi clinici stanno emergendo certificazioni e workshop, promossi anche da associazioni professionali internazionali, sull’impiego di</w:t>
      </w:r>
      <w:r>
        <w:t xml:space="preserve"> </w:t>
      </w:r>
      <w:r>
        <w:rPr>
          <w:i/>
          <w:iCs/>
        </w:rPr>
        <w:t xml:space="preserve">chatbot</w:t>
      </w:r>
      <w:r>
        <w:t xml:space="preserve"> </w:t>
      </w:r>
      <w:r>
        <w:t xml:space="preserve">terapeutici, di algoritmi di supporto alla diagnosi e di analisi dei dati provenienti da dispositivi digitali. Questo livello formativo non si rivolge alla totalità della popolazione professionale, bensì a una quota selezionata destinata a esercitare funzioni di traino: la sua efficacia dipende dalla capacità di trasferire le competenze acquisite all’intera rete attraverso il</w:t>
      </w:r>
      <w:r>
        <w:t xml:space="preserve"> </w:t>
      </w:r>
      <w:r>
        <w:rPr>
          <w:i/>
          <w:iCs/>
        </w:rPr>
        <w:t xml:space="preserve">mentoring</w:t>
      </w:r>
      <w:r>
        <w:t xml:space="preserve"> </w:t>
      </w:r>
      <w:r>
        <w:t xml:space="preserve">e l’animazione delle comunità di pratica.</w:t>
      </w:r>
    </w:p>
    <w:p>
      <w:pPr>
        <w:pStyle w:val="BodyText"/>
      </w:pPr>
      <w:r>
        <w:rPr>
          <w:b/>
          <w:bCs/>
        </w:rPr>
        <w:t xml:space="preserve">Punti di forza:</w:t>
      </w:r>
      <w:r>
        <w:t xml:space="preserve"> </w:t>
      </w:r>
      <w:r>
        <w:t xml:space="preserve">produzione di competenze avanzate e di figure di leadership tecnologica; capacità di adattare e validare gli strumenti sul contesto locale; effetto moltiplicatore attraverso il trasferimento ai pari.</w:t>
      </w:r>
      <w:r>
        <w:t xml:space="preserve"> </w:t>
      </w:r>
      <w:r>
        <w:rPr>
          <w:b/>
          <w:bCs/>
        </w:rPr>
        <w:t xml:space="preserve">Limiti:</w:t>
      </w:r>
      <w:r>
        <w:t xml:space="preserve"> </w:t>
      </w:r>
      <w:r>
        <w:t xml:space="preserve">copertura selettiva e non universale; costo per professionista più elevato; necessità di meccanismi che garantiscano la disseminazione delle competenze, in assenza dei quali il beneficio resta confinato ai singoli formati.</w:t>
      </w:r>
    </w:p>
    <w:bookmarkEnd w:id="2133"/>
    <w:bookmarkStart w:id="2134" w:name="X22d3def12fea1cf5d48853286989a1f1f6cf3b6"/>
    <w:p>
      <w:pPr>
        <w:pStyle w:val="Heading3"/>
      </w:pPr>
      <w:r>
        <w:t xml:space="preserve">3.3 Formazione continua sul lavoro (ECM e addestramento on-the-job)</w:t>
      </w:r>
    </w:p>
    <w:p>
      <w:pPr>
        <w:pStyle w:val="FirstParagraph"/>
      </w:pPr>
      <w:r>
        <w:t xml:space="preserve">La formazione continua costituisce la spina dorsale operativa dell’intera architettura, in quanto è l’unica modalità capace di raggiungere in tempi brevi e in modo capillare la totalità del personale già in servizio — la popolazione professionale che ha conseguito la laurea quando l’Intelligenza Artificiale non figurava nei programmi e che rappresenta la quasi totalità dei medici di base e degli psicologi attivi oggi in Puglia. Essa si avvale del sistema dell’Educazione Continua in Medicina, di percorsi di formazione a distanza, di laboratori in presenza e di addestramento direttamente sul campo.</w:t>
      </w:r>
    </w:p>
    <w:p>
      <w:pPr>
        <w:pStyle w:val="BodyText"/>
      </w:pPr>
      <w:r>
        <w:t xml:space="preserve">In Italia esistono già infrastrutture utilizzabili: l’Istituto Superiore di Sanità ha attivato corsi di formazione a distanza gratuiti rivolti a tutte le professioni sanitarie, finalizzati a fornire una panoramica accessibile sui fondamenti dell’IA, del</w:t>
      </w:r>
      <w:r>
        <w:t xml:space="preserve"> </w:t>
      </w:r>
      <w:r>
        <w:rPr>
          <w:i/>
          <w:iCs/>
        </w:rPr>
        <w:t xml:space="preserve">machine learning</w:t>
      </w:r>
      <w:r>
        <w:t xml:space="preserve">, del</w:t>
      </w:r>
      <w:r>
        <w:t xml:space="preserve"> </w:t>
      </w:r>
      <w:r>
        <w:rPr>
          <w:i/>
          <w:iCs/>
        </w:rPr>
        <w:t xml:space="preserve">deep learning</w:t>
      </w:r>
      <w:r>
        <w:t xml:space="preserve"> </w:t>
      </w:r>
      <w:r>
        <w:t xml:space="preserve">e delle reti neurali applicate alla clinica; sono inoltre disponibili percorsi sperimentali di dieci-quindici ore espressamente concepiti per i medici di famiglia. Su questa base la Regione può innestare moduli specifici sull’uso dell’IA nelle cure primarie e nella salute mentale, integrati con esercitazioni pratiche sugli strumenti effettivamente adottati: simulazioni di triage automatizzato, esercizi guidati sull’interpretazione degli</w:t>
      </w:r>
      <w:r>
        <w:t xml:space="preserve"> </w:t>
      </w:r>
      <w:r>
        <w:rPr>
          <w:i/>
          <w:iCs/>
        </w:rPr>
        <w:t xml:space="preserve">alert</w:t>
      </w:r>
      <w:r>
        <w:t xml:space="preserve"> </w:t>
      </w:r>
      <w:r>
        <w:t xml:space="preserve">dei sistemi decisionali, addestramento all’interazione con gli assistenti virtuali. La formazione iniziale dovrebbe privilegiare la modalità in presenza o in aula virtuale con tutoraggio, per favorire l’interattività; gli aggiornamenti successivi possono avvalersi di crediti ECM dedicati in</w:t>
      </w:r>
      <w:r>
        <w:t xml:space="preserve"> </w:t>
      </w:r>
      <w:r>
        <w:t xml:space="preserve">“</w:t>
      </w:r>
      <w:r>
        <w:t xml:space="preserve">Sanità Digitale e Intelligenza Artificiale</w:t>
      </w:r>
      <w:r>
        <w:t xml:space="preserve">”</w:t>
      </w:r>
      <w:r>
        <w:t xml:space="preserve">, accreditati con il coinvolgimento degli Ordini professionali, e di comunità di pratica online per l’apprendimento tra pari.</w:t>
      </w:r>
    </w:p>
    <w:p>
      <w:pPr>
        <w:pStyle w:val="BodyText"/>
      </w:pPr>
      <w:r>
        <w:rPr>
          <w:b/>
          <w:bCs/>
        </w:rPr>
        <w:t xml:space="preserve">Punti di forza:</w:t>
      </w:r>
      <w:r>
        <w:t xml:space="preserve"> </w:t>
      </w:r>
      <w:r>
        <w:t xml:space="preserve">copertura universale e immediata del personale in servizio; rapidità di attivazione su infrastrutture esistenti; costo unitario contenuto; capacità di adattamento continuo all’evoluzione tecnologica.</w:t>
      </w:r>
      <w:r>
        <w:t xml:space="preserve"> </w:t>
      </w:r>
      <w:r>
        <w:rPr>
          <w:b/>
          <w:bCs/>
        </w:rPr>
        <w:t xml:space="preserve">Limiti:</w:t>
      </w:r>
      <w:r>
        <w:t xml:space="preserve"> </w:t>
      </w:r>
      <w:r>
        <w:t xml:space="preserve">profondità formativa inferiore rispetto ai percorsi accademici; rischio di partecipazione formale e non sostanziale se non adeguatamente incentivata e verificata; necessità di aggiornamento costante che ne fa un impegno permanente e non episodico.</w:t>
      </w:r>
    </w:p>
    <w:bookmarkEnd w:id="2134"/>
    <w:bookmarkStart w:id="2135" w:name="X7c49208d137e27d5bced7bda778fd063f5576de"/>
    <w:p>
      <w:pPr>
        <w:pStyle w:val="Heading3"/>
      </w:pPr>
      <w:r>
        <w:t xml:space="preserve">3.4 Accompagnamento di figure competenti in IA negli studi medici</w:t>
      </w:r>
    </w:p>
    <w:p>
      <w:pPr>
        <w:pStyle w:val="FirstParagraph"/>
      </w:pPr>
      <w:r>
        <w:t xml:space="preserve">La quarta modalità supera la logica del corso e introduce un sostegno operativo continuativo: l’affiancamento del personale sanitario da parte di figure competenti in Intelligenza Artificiale e in scienza dei dati, presenti nel territorio e disponibili a supportare concretamente l’implementazione degli strumenti nei flussi di lavoro quotidiani. Tali figure — denominate in letteratura</w:t>
      </w:r>
      <w:r>
        <w:t xml:space="preserve"> </w:t>
      </w:r>
      <w:r>
        <w:rPr>
          <w:i/>
          <w:iCs/>
        </w:rPr>
        <w:t xml:space="preserve">digital tutor</w:t>
      </w:r>
      <w:r>
        <w:t xml:space="preserve">,</w:t>
      </w:r>
      <w:r>
        <w:t xml:space="preserve"> </w:t>
      </w:r>
      <w:r>
        <w:rPr>
          <w:i/>
          <w:iCs/>
        </w:rPr>
        <w:t xml:space="preserve">clinical AI champion</w:t>
      </w:r>
      <w:r>
        <w:t xml:space="preserve"> </w:t>
      </w:r>
      <w:r>
        <w:t xml:space="preserve">o referenti digitali di distretto — non si limitano a trasmettere nozioni, ma aiutano il medico e lo psicologo a configurare un sistema di triage, a interpretare il risultato di un algoritmo predittivo, a integrare un assistente virtuale nello studio, a risolvere i problemi pratici che emergono nell’uso reale e a raccogliere dal campo le segnalazioni utili a ottimizzare gli strumenti.</w:t>
      </w:r>
    </w:p>
    <w:p>
      <w:pPr>
        <w:pStyle w:val="BodyText"/>
      </w:pPr>
      <w:r>
        <w:t xml:space="preserve">L’efficacia di questo modello è documentata da esperienze internazionali. Nel Regno Unito il Servizio Sanitario Nazionale ha collaborato con gli sviluppatori di applicazioni come Wysa per addestrare i clinici all’uso del</w:t>
      </w:r>
      <w:r>
        <w:t xml:space="preserve"> </w:t>
      </w:r>
      <w:r>
        <w:rPr>
          <w:i/>
          <w:iCs/>
        </w:rPr>
        <w:t xml:space="preserve">chatbot</w:t>
      </w:r>
      <w:r>
        <w:t xml:space="preserve"> </w:t>
      </w:r>
      <w:r>
        <w:t xml:space="preserve">di primo livello nell’ambito dei servizi di terapia psicologica, e ha introdotto in numerosi trust sanitari figure di raccordo dedicate all’innovazione digitale, sul modello dei</w:t>
      </w:r>
      <w:r>
        <w:t xml:space="preserve"> </w:t>
      </w:r>
      <w:r>
        <w:rPr>
          <w:i/>
          <w:iCs/>
        </w:rPr>
        <w:t xml:space="preserve">Chief Clinical Information Officer</w:t>
      </w:r>
      <w:r>
        <w:t xml:space="preserve">. La presenza di un riferimento tecnologico stabile riduce la variabilità individuale nell’adozione, abbatte le resistenze dei professionisti meno avvezzi alla tecnologia e accelera la curva di apprendimento dell’intera rete. Nel modello pugliese tale funzione può essere formalizzata prevedendo almeno un referente digitale per distretto o per Casa della Comunità, con tempo dedicato e riconoscimento esplicito del ruolo, e reti di</w:t>
      </w:r>
      <w:r>
        <w:t xml:space="preserve"> </w:t>
      </w:r>
      <w:r>
        <w:rPr>
          <w:i/>
          <w:iCs/>
        </w:rPr>
        <w:t xml:space="preserve">mentoring</w:t>
      </w:r>
      <w:r>
        <w:t xml:space="preserve"> </w:t>
      </w:r>
      <w:r>
        <w:t xml:space="preserve">che colleghino i gruppi di medici e psicologi ai centri di competenza universitari.</w:t>
      </w:r>
    </w:p>
    <w:p>
      <w:pPr>
        <w:pStyle w:val="BodyText"/>
      </w:pPr>
      <w:r>
        <w:rPr>
          <w:b/>
          <w:bCs/>
        </w:rPr>
        <w:t xml:space="preserve">Punti di forza:</w:t>
      </w:r>
      <w:r>
        <w:t xml:space="preserve"> </w:t>
      </w:r>
      <w:r>
        <w:t xml:space="preserve">massima efficacia nella traduzione della competenza in adozione reale; sostegno personalizzato e continuativo; capacità di intercettare e risolvere le criticità operative in tempo reale; effetto diretto e immediato sui risultati.</w:t>
      </w:r>
      <w:r>
        <w:t xml:space="preserve"> </w:t>
      </w:r>
      <w:r>
        <w:rPr>
          <w:b/>
          <w:bCs/>
        </w:rPr>
        <w:t xml:space="preserve">Limiti:</w:t>
      </w:r>
      <w:r>
        <w:t xml:space="preserve"> </w:t>
      </w:r>
      <w:r>
        <w:t xml:space="preserve">costo ricorrente legato al personale dedicato; necessità di reperire o formare un numero sufficiente di figure competenti; rischio di dipendenza degli operatori dal supporto esterno se non accompagnato dal progressivo trasferimento dell’autonomia.</w:t>
      </w:r>
    </w:p>
    <w:bookmarkEnd w:id="2135"/>
    <w:bookmarkStart w:id="2136" w:name="X9ac41c2dfca1f3068177267d1928ddb7d9692a9"/>
    <w:p>
      <w:pPr>
        <w:pStyle w:val="Heading3"/>
      </w:pPr>
      <w:r>
        <w:t xml:space="preserve">3.5 Sintesi comparativa e architettura formativa raccomandata</w:t>
      </w:r>
    </w:p>
    <w:p>
      <w:pPr>
        <w:pStyle w:val="FirstParagraph"/>
      </w:pPr>
      <w:r>
        <w:t xml:space="preserve">La tabella seguente sintetizza il confronto tra le quattro modalità secondo le dimensioni rilevanti per la decisione regionale: popolazione bersaglio, orizzonte temporale di impatto, grado di copertura, costo relativo, profondità della competenza prodotta e rapidità del ritorno economico.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131"/>
        <w:gridCol w:w="1131"/>
        <w:gridCol w:w="1131"/>
        <w:gridCol w:w="1131"/>
        <w:gridCol w:w="1131"/>
        <w:gridCol w:w="1131"/>
        <w:gridCol w:w="1131"/>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Bersaglio</w:t>
            </w:r>
          </w:p>
        </w:tc>
        <w:tc>
          <w:tcPr>
            <w:shd w:val="clear" w:color="auto" w:fill="16264B"/>
          </w:tcPr>
          <w:p>
            <w:pPr>
              <w:pStyle w:val="Compact"/>
              <w:spacing w:after="40" w:before="40"/>
              <w:jc w:val="left"/>
            </w:pPr>
            <w:r>
              <w:rPr>
                <w:rFonts w:ascii="Cambria" w:hAnsi="Cambria" w:cs="Cambria" w:eastAsia="Cambria"/>
                <w:b/>
                <w:bCs/>
                <w:color w:val="FFFFFF"/>
                <w:sz w:val="18"/>
              </w:rPr>
              <w:t xml:space="preserve">Orizzonte di impatto</w:t>
            </w:r>
          </w:p>
        </w:tc>
        <w:tc>
          <w:tcPr>
            <w:shd w:val="clear" w:color="auto" w:fill="16264B"/>
          </w:tcPr>
          <w:p>
            <w:pPr>
              <w:pStyle w:val="Compact"/>
              <w:spacing w:after="40" w:before="40"/>
              <w:jc w:val="left"/>
            </w:pPr>
            <w:r>
              <w:rPr>
                <w:rFonts w:ascii="Cambria" w:hAnsi="Cambria" w:cs="Cambria" w:eastAsia="Cambria"/>
                <w:b/>
                <w:bCs/>
                <w:color w:val="FFFFFF"/>
                <w:sz w:val="18"/>
              </w:rPr>
              <w:t xml:space="preserve">Copertura</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relativo</w:t>
            </w:r>
          </w:p>
        </w:tc>
        <w:tc>
          <w:tcPr>
            <w:shd w:val="clear" w:color="auto" w:fill="16264B"/>
          </w:tcPr>
          <w:p>
            <w:pPr>
              <w:pStyle w:val="Compact"/>
              <w:spacing w:after="40" w:before="40"/>
              <w:jc w:val="left"/>
            </w:pPr>
            <w:r>
              <w:rPr>
                <w:rFonts w:ascii="Cambria" w:hAnsi="Cambria" w:cs="Cambria" w:eastAsia="Cambria"/>
                <w:b/>
                <w:bCs/>
                <w:color w:val="FFFFFF"/>
                <w:sz w:val="18"/>
              </w:rPr>
              <w:t xml:space="preserve">Profondità</w:t>
            </w:r>
          </w:p>
        </w:tc>
        <w:tc>
          <w:tcPr>
            <w:shd w:val="clear" w:color="auto" w:fill="16264B"/>
          </w:tcPr>
          <w:p>
            <w:pPr>
              <w:pStyle w:val="Compact"/>
              <w:spacing w:after="40" w:before="40"/>
              <w:jc w:val="left"/>
            </w:pPr>
            <w:r>
              <w:rPr>
                <w:rFonts w:ascii="Cambria" w:hAnsi="Cambria" w:cs="Cambria" w:eastAsia="Cambria"/>
                <w:b/>
                <w:bCs/>
                <w:color w:val="FFFFFF"/>
                <w:sz w:val="18"/>
              </w:rPr>
              <w:t xml:space="preserve">Velocità del ritorno</w:t>
            </w:r>
          </w:p>
        </w:tc>
      </w:tr>
      <w:tr>
        <w:tc>
          <w:tcPr/>
          <w:p>
            <w:pPr>
              <w:pStyle w:val="Compact"/>
              <w:spacing w:after="40" w:before="40"/>
              <w:jc w:val="left"/>
            </w:pPr>
            <w:r>
              <w:rPr>
                <w:rFonts w:ascii="Cambria" w:hAnsi="Cambria" w:cs="Cambria" w:eastAsia="Cambria"/>
                <w:b/>
                <w:bCs/>
                <w:color w:val="1A1A1A"/>
                <w:sz w:val="18"/>
              </w:rPr>
              <w:t xml:space="preserve">Universitaria</w:t>
            </w:r>
          </w:p>
        </w:tc>
        <w:tc>
          <w:tcPr/>
          <w:p>
            <w:pPr>
              <w:pStyle w:val="Compact"/>
              <w:spacing w:after="40" w:before="40"/>
              <w:jc w:val="left"/>
            </w:pPr>
            <w:r>
              <w:rPr>
                <w:rFonts w:ascii="Cambria" w:hAnsi="Cambria" w:cs="Cambria" w:eastAsia="Cambria"/>
                <w:color w:val="1A1A1A"/>
                <w:sz w:val="18"/>
              </w:rPr>
              <w:t xml:space="preserve">Future coorti</w:t>
            </w:r>
          </w:p>
        </w:tc>
        <w:tc>
          <w:tcPr/>
          <w:p>
            <w:pPr>
              <w:pStyle w:val="Compact"/>
              <w:spacing w:after="40" w:before="40"/>
              <w:jc w:val="left"/>
            </w:pPr>
            <w:r>
              <w:rPr>
                <w:rFonts w:ascii="Cambria" w:hAnsi="Cambria" w:cs="Cambria" w:eastAsia="Cambria"/>
                <w:color w:val="1A1A1A"/>
                <w:sz w:val="18"/>
              </w:rPr>
              <w:t xml:space="preserve">Lungo (5–10 anni)</w:t>
            </w:r>
          </w:p>
        </w:tc>
        <w:tc>
          <w:tcPr/>
          <w:p>
            <w:pPr>
              <w:pStyle w:val="Compact"/>
              <w:spacing w:after="40" w:before="40"/>
              <w:jc w:val="left"/>
            </w:pPr>
            <w:r>
              <w:rPr>
                <w:rFonts w:ascii="Cambria" w:hAnsi="Cambria" w:cs="Cambria" w:eastAsia="Cambria"/>
                <w:color w:val="1A1A1A"/>
                <w:sz w:val="18"/>
              </w:rPr>
              <w:t xml:space="preserve">Generazionale</w:t>
            </w:r>
          </w:p>
        </w:tc>
        <w:tc>
          <w:tcPr/>
          <w:p>
            <w:pPr>
              <w:pStyle w:val="Compact"/>
              <w:spacing w:after="40" w:before="40"/>
              <w:jc w:val="left"/>
            </w:pPr>
            <w:r>
              <w:rPr>
                <w:rFonts w:ascii="Cambria" w:hAnsi="Cambria" w:cs="Cambria" w:eastAsia="Cambria"/>
                <w:color w:val="1A1A1A"/>
                <w:sz w:val="18"/>
              </w:rPr>
              <w:t xml:space="preserve">Basso per la Regione</w:t>
            </w:r>
          </w:p>
        </w:tc>
        <w:tc>
          <w:tcPr/>
          <w:p>
            <w:pPr>
              <w:pStyle w:val="Compact"/>
              <w:spacing w:after="40" w:before="40"/>
              <w:jc w:val="left"/>
            </w:pPr>
            <w:r>
              <w:rPr>
                <w:rFonts w:ascii="Cambria" w:hAnsi="Cambria" w:cs="Cambria" w:eastAsia="Cambria"/>
                <w:color w:val="1A1A1A"/>
                <w:sz w:val="18"/>
              </w:rPr>
              <w:t xml:space="preserve">Molto alta</w:t>
            </w:r>
          </w:p>
        </w:tc>
        <w:tc>
          <w:tcPr/>
          <w:p>
            <w:pPr>
              <w:pStyle w:val="Compact"/>
              <w:spacing w:after="40" w:before="40"/>
              <w:jc w:val="left"/>
            </w:pPr>
            <w:r>
              <w:rPr>
                <w:rFonts w:ascii="Cambria" w:hAnsi="Cambria" w:cs="Cambria" w:eastAsia="Cambria"/>
                <w:color w:val="1A1A1A"/>
                <w:sz w:val="18"/>
              </w:rPr>
              <w:t xml:space="preserve">Lenta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Post-universitaria</w:t>
            </w:r>
          </w:p>
        </w:tc>
        <w:tc>
          <w:tcPr>
            <w:shd w:val="clear" w:color="auto" w:fill="F4F1EC"/>
          </w:tcPr>
          <w:p>
            <w:pPr>
              <w:pStyle w:val="Compact"/>
              <w:spacing w:after="40" w:before="40"/>
              <w:jc w:val="left"/>
            </w:pPr>
            <w:r>
              <w:rPr>
                <w:rFonts w:ascii="Cambria" w:hAnsi="Cambria" w:cs="Cambria" w:eastAsia="Cambria"/>
                <w:color w:val="1A1A1A"/>
                <w:sz w:val="18"/>
              </w:rPr>
              <w:t xml:space="preserve">Quota selezionata</w:t>
            </w:r>
          </w:p>
        </w:tc>
        <w:tc>
          <w:tcPr>
            <w:shd w:val="clear" w:color="auto" w:fill="F4F1EC"/>
          </w:tcPr>
          <w:p>
            <w:pPr>
              <w:pStyle w:val="Compact"/>
              <w:spacing w:after="40" w:before="40"/>
              <w:jc w:val="left"/>
            </w:pPr>
            <w:r>
              <w:rPr>
                <w:rFonts w:ascii="Cambria" w:hAnsi="Cambria" w:cs="Cambria" w:eastAsia="Cambria"/>
                <w:color w:val="1A1A1A"/>
                <w:sz w:val="18"/>
              </w:rPr>
              <w:t xml:space="preserve">Medio (2–4 anni)</w:t>
            </w:r>
          </w:p>
        </w:tc>
        <w:tc>
          <w:tcPr>
            <w:shd w:val="clear" w:color="auto" w:fill="F4F1EC"/>
          </w:tcPr>
          <w:p>
            <w:pPr>
              <w:pStyle w:val="Compact"/>
              <w:spacing w:after="40" w:before="40"/>
              <w:jc w:val="left"/>
            </w:pPr>
            <w:r>
              <w:rPr>
                <w:rFonts w:ascii="Cambria" w:hAnsi="Cambria" w:cs="Cambria" w:eastAsia="Cambria"/>
                <w:color w:val="1A1A1A"/>
                <w:sz w:val="18"/>
              </w:rPr>
              <w:t xml:space="preserve">Selettiva</w:t>
            </w:r>
          </w:p>
        </w:tc>
        <w:tc>
          <w:tcPr>
            <w:shd w:val="clear" w:color="auto" w:fill="F4F1EC"/>
          </w:tcPr>
          <w:p>
            <w:pPr>
              <w:pStyle w:val="Compact"/>
              <w:spacing w:after="40" w:before="40"/>
              <w:jc w:val="left"/>
            </w:pPr>
            <w:r>
              <w:rPr>
                <w:rFonts w:ascii="Cambria" w:hAnsi="Cambria" w:cs="Cambria" w:eastAsia="Cambria"/>
                <w:color w:val="1A1A1A"/>
                <w:sz w:val="18"/>
              </w:rPr>
              <w:t xml:space="preserve">Medio-alto</w:t>
            </w:r>
          </w:p>
        </w:tc>
        <w:tc>
          <w:tcPr>
            <w:shd w:val="clear" w:color="auto" w:fill="F4F1EC"/>
          </w:tcPr>
          <w:p>
            <w:pPr>
              <w:pStyle w:val="Compact"/>
              <w:spacing w:after="40" w:before="40"/>
              <w:jc w:val="left"/>
            </w:pPr>
            <w:r>
              <w:rPr>
                <w:rFonts w:ascii="Cambria" w:hAnsi="Cambria" w:cs="Cambria" w:eastAsia="Cambria"/>
                <w:color w:val="1A1A1A"/>
                <w:sz w:val="18"/>
              </w:rPr>
              <w:t xml:space="preserve">Alta</w:t>
            </w:r>
          </w:p>
        </w:tc>
        <w:tc>
          <w:tcPr>
            <w:shd w:val="clear" w:color="auto" w:fill="F4F1EC"/>
          </w:tcPr>
          <w:p>
            <w:pPr>
              <w:pStyle w:val="Compact"/>
              <w:spacing w:after="40" w:before="40"/>
              <w:jc w:val="left"/>
            </w:pPr>
            <w:r>
              <w:rPr>
                <w:rFonts w:ascii="Cambria" w:hAnsi="Cambria" w:cs="Cambria" w:eastAsia="Cambria"/>
                <w:color w:val="1A1A1A"/>
                <w:sz w:val="18"/>
              </w:rPr>
              <w:t xml:space="preserve">Media</w:t>
            </w:r>
          </w:p>
        </w:tc>
      </w:tr>
      <w:tr>
        <w:tc>
          <w:tcPr/>
          <w:p>
            <w:pPr>
              <w:pStyle w:val="Compact"/>
              <w:spacing w:after="40" w:before="40"/>
              <w:jc w:val="left"/>
            </w:pPr>
            <w:r>
              <w:rPr>
                <w:rFonts w:ascii="Cambria" w:hAnsi="Cambria" w:cs="Cambria" w:eastAsia="Cambria"/>
                <w:b/>
                <w:bCs/>
                <w:color w:val="1A1A1A"/>
                <w:sz w:val="18"/>
              </w:rPr>
              <w:t xml:space="preserve">Continua (ECM/on-the-job)</w:t>
            </w:r>
          </w:p>
        </w:tc>
        <w:tc>
          <w:tcPr/>
          <w:p>
            <w:pPr>
              <w:pStyle w:val="Compact"/>
              <w:spacing w:after="40" w:before="40"/>
              <w:jc w:val="left"/>
            </w:pPr>
            <w:r>
              <w:rPr>
                <w:rFonts w:ascii="Cambria" w:hAnsi="Cambria" w:cs="Cambria" w:eastAsia="Cambria"/>
                <w:color w:val="1A1A1A"/>
                <w:sz w:val="18"/>
              </w:rPr>
              <w:t xml:space="preserve">Tutto il personale in servizio</w:t>
            </w:r>
          </w:p>
        </w:tc>
        <w:tc>
          <w:tcPr/>
          <w:p>
            <w:pPr>
              <w:pStyle w:val="Compact"/>
              <w:spacing w:after="40" w:before="40"/>
              <w:jc w:val="left"/>
            </w:pPr>
            <w:r>
              <w:rPr>
                <w:rFonts w:ascii="Cambria" w:hAnsi="Cambria" w:cs="Cambria" w:eastAsia="Cambria"/>
                <w:color w:val="1A1A1A"/>
                <w:sz w:val="18"/>
              </w:rPr>
              <w:t xml:space="preserve">Breve (6–18 mesi)</w:t>
            </w:r>
          </w:p>
        </w:tc>
        <w:tc>
          <w:tcPr/>
          <w:p>
            <w:pPr>
              <w:pStyle w:val="Compact"/>
              <w:spacing w:after="40" w:before="40"/>
              <w:jc w:val="left"/>
            </w:pPr>
            <w:r>
              <w:rPr>
                <w:rFonts w:ascii="Cambria" w:hAnsi="Cambria" w:cs="Cambria" w:eastAsia="Cambria"/>
                <w:color w:val="1A1A1A"/>
                <w:sz w:val="18"/>
              </w:rPr>
              <w:t xml:space="preserve">Universale</w:t>
            </w:r>
          </w:p>
        </w:tc>
        <w:tc>
          <w:tcPr/>
          <w:p>
            <w:pPr>
              <w:pStyle w:val="Compact"/>
              <w:spacing w:after="40" w:before="40"/>
              <w:jc w:val="left"/>
            </w:pPr>
            <w:r>
              <w:rPr>
                <w:rFonts w:ascii="Cambria" w:hAnsi="Cambria" w:cs="Cambria" w:eastAsia="Cambria"/>
                <w:color w:val="1A1A1A"/>
                <w:sz w:val="18"/>
              </w:rPr>
              <w:t xml:space="preserve">Basso-medio</w:t>
            </w:r>
          </w:p>
        </w:tc>
        <w:tc>
          <w:tcPr/>
          <w:p>
            <w:pPr>
              <w:pStyle w:val="Compact"/>
              <w:spacing w:after="40" w:before="40"/>
              <w:jc w:val="left"/>
            </w:pPr>
            <w:r>
              <w:rPr>
                <w:rFonts w:ascii="Cambria" w:hAnsi="Cambria" w:cs="Cambria" w:eastAsia="Cambria"/>
                <w:color w:val="1A1A1A"/>
                <w:sz w:val="18"/>
              </w:rPr>
              <w:t xml:space="preserve">Media</w:t>
            </w:r>
          </w:p>
        </w:tc>
        <w:tc>
          <w:tcPr/>
          <w:p>
            <w:pPr>
              <w:pStyle w:val="Compact"/>
              <w:spacing w:after="40" w:before="40"/>
              <w:jc w:val="left"/>
            </w:pPr>
            <w:r>
              <w:rPr>
                <w:rFonts w:ascii="Cambria" w:hAnsi="Cambria" w:cs="Cambria" w:eastAsia="Cambria"/>
                <w:color w:val="1A1A1A"/>
                <w:sz w:val="18"/>
              </w:rPr>
              <w:t xml:space="preserve">Rapida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Accompagnamento (AI champion)</w:t>
            </w:r>
          </w:p>
        </w:tc>
        <w:tc>
          <w:tcPr>
            <w:shd w:val="clear" w:color="auto" w:fill="F4F1EC"/>
          </w:tcPr>
          <w:p>
            <w:pPr>
              <w:pStyle w:val="Compact"/>
              <w:spacing w:after="40" w:before="40"/>
              <w:jc w:val="left"/>
            </w:pPr>
            <w:r>
              <w:rPr>
                <w:rFonts w:ascii="Cambria" w:hAnsi="Cambria" w:cs="Cambria" w:eastAsia="Cambria"/>
                <w:color w:val="1A1A1A"/>
                <w:sz w:val="18"/>
              </w:rPr>
              <w:t xml:space="preserve">Tutto il personale, sul campo</w:t>
            </w:r>
          </w:p>
        </w:tc>
        <w:tc>
          <w:tcPr>
            <w:shd w:val="clear" w:color="auto" w:fill="F4F1EC"/>
          </w:tcPr>
          <w:p>
            <w:pPr>
              <w:pStyle w:val="Compact"/>
              <w:spacing w:after="40" w:before="40"/>
              <w:jc w:val="left"/>
            </w:pPr>
            <w:r>
              <w:rPr>
                <w:rFonts w:ascii="Cambria" w:hAnsi="Cambria" w:cs="Cambria" w:eastAsia="Cambria"/>
                <w:color w:val="1A1A1A"/>
                <w:sz w:val="18"/>
              </w:rPr>
              <w:t xml:space="preserve">Immediato</w:t>
            </w:r>
          </w:p>
        </w:tc>
        <w:tc>
          <w:tcPr>
            <w:shd w:val="clear" w:color="auto" w:fill="F4F1EC"/>
          </w:tcPr>
          <w:p>
            <w:pPr>
              <w:pStyle w:val="Compact"/>
              <w:spacing w:after="40" w:before="40"/>
              <w:jc w:val="left"/>
            </w:pPr>
            <w:r>
              <w:rPr>
                <w:rFonts w:ascii="Cambria" w:hAnsi="Cambria" w:cs="Cambria" w:eastAsia="Cambria"/>
                <w:color w:val="1A1A1A"/>
                <w:sz w:val="18"/>
              </w:rPr>
              <w:t xml:space="preserve">Universale, mediata</w:t>
            </w:r>
          </w:p>
        </w:tc>
        <w:tc>
          <w:tcPr>
            <w:shd w:val="clear" w:color="auto" w:fill="F4F1EC"/>
          </w:tcPr>
          <w:p>
            <w:pPr>
              <w:pStyle w:val="Compact"/>
              <w:spacing w:after="40" w:before="40"/>
              <w:jc w:val="left"/>
            </w:pPr>
            <w:r>
              <w:rPr>
                <w:rFonts w:ascii="Cambria" w:hAnsi="Cambria" w:cs="Cambria" w:eastAsia="Cambria"/>
                <w:color w:val="1A1A1A"/>
                <w:sz w:val="18"/>
              </w:rPr>
              <w:t xml:space="preserve">Medio ricorrente</w:t>
            </w:r>
          </w:p>
        </w:tc>
        <w:tc>
          <w:tcPr>
            <w:shd w:val="clear" w:color="auto" w:fill="F4F1EC"/>
          </w:tcPr>
          <w:p>
            <w:pPr>
              <w:pStyle w:val="Compact"/>
              <w:spacing w:after="40" w:before="40"/>
              <w:jc w:val="left"/>
            </w:pPr>
            <w:r>
              <w:rPr>
                <w:rFonts w:ascii="Cambria" w:hAnsi="Cambria" w:cs="Cambria" w:eastAsia="Cambria"/>
                <w:color w:val="1A1A1A"/>
                <w:sz w:val="18"/>
              </w:rPr>
              <w:t xml:space="preserve">Media-alta (applicata)</w:t>
            </w:r>
          </w:p>
        </w:tc>
        <w:tc>
          <w:tcPr>
            <w:shd w:val="clear" w:color="auto" w:fill="F4F1EC"/>
          </w:tcPr>
          <w:p>
            <w:pPr>
              <w:pStyle w:val="Compact"/>
              <w:spacing w:after="40" w:before="40"/>
              <w:jc w:val="left"/>
            </w:pPr>
            <w:r>
              <w:rPr>
                <w:rFonts w:ascii="Cambria" w:hAnsi="Cambria" w:cs="Cambria" w:eastAsia="Cambria"/>
                <w:color w:val="1A1A1A"/>
                <w:sz w:val="18"/>
              </w:rPr>
              <w:t xml:space="preserve">Molto rapida</w:t>
            </w:r>
          </w:p>
        </w:tc>
      </w:tr>
    </w:tbl>
    <w:p>
      <w:pPr>
        <w:pStyle w:val="BodyText"/>
      </w:pPr>
      <w:r>
        <w:rPr>
          <w:i/>
          <w:iCs/>
        </w:rPr>
        <w:t xml:space="preserve">Tabella 1. Confronto sintetico delle quattro modalità formative secondo le dimensioni rilevanti per la decisione regionale.</w:t>
      </w:r>
    </w:p>
    <w:p>
      <w:pPr>
        <w:pStyle w:val="BodyText"/>
      </w:pPr>
      <w:r>
        <w:t xml:space="preserve">Dal confronto emerge che nessuna modalità, considerata isolatamente, è in grado di soddisfare l’intero spettro di esigenze. La formazione universitaria assicura la sostenibilità di lungo periodo ma non incide sul personale in servizio; la formazione post-universitaria produce le competenze avanzate e le figure di traino ma non garantisce la copertura universale; la formazione continua raggiunge tutti e rapidamente ma con profondità limitata; l’accompagnamento massimizza la traduzione in adozione reale ma comporta un costo ricorrente. La soluzione efficiente non consiste pertanto nella scelta di una modalità a scapito delle altre, bensì nella loro composizione in un’</w:t>
      </w:r>
      <w:r>
        <w:rPr>
          <w:b/>
          <w:bCs/>
        </w:rPr>
        <w:t xml:space="preserve">architettura integrata a quattro livelli</w:t>
      </w:r>
      <w:r>
        <w:t xml:space="preserve">, calibrata in funzione dell’orizzonte temporale.</w:t>
      </w:r>
    </w:p>
    <w:p>
      <w:pPr>
        <w:pStyle w:val="BodyText"/>
      </w:pPr>
      <w:r>
        <w:rPr>
          <w:b/>
          <w:bCs/>
        </w:rPr>
        <w:t xml:space="preserve">Livello immediato e ad alto ritorno (mesi 0–18).</w:t>
      </w:r>
      <w:r>
        <w:t xml:space="preserve"> </w:t>
      </w:r>
      <w:r>
        <w:t xml:space="preserve">La combinazione di formazione continua e accompagnamento da parte di figure competenti costituisce il motore del ritorno economico nel breve periodo, poiché agisce sul personale già in servizio e ne traduce rapidamente la competenza in adozione efficace. È su questo livello che si concentra la maggior parte dei risparmi quantificati nella sezione sesta.</w:t>
      </w:r>
    </w:p>
    <w:p>
      <w:pPr>
        <w:pStyle w:val="BodyText"/>
      </w:pPr>
      <w:r>
        <w:rPr>
          <w:b/>
          <w:bCs/>
        </w:rPr>
        <w:t xml:space="preserve">Livello di consolidamento (anni 1–4).</w:t>
      </w:r>
      <w:r>
        <w:t xml:space="preserve"> </w:t>
      </w:r>
      <w:r>
        <w:t xml:space="preserve">La formazione post-universitaria genera la rete di referenti digitali e di figure ibride che alimentano l’accompagnamento, sostengono le comunità di pratica e presidiano l’aggiornamento continuo, rendendo il sistema progressivamente autonomo rispetto al supporto esterno.</w:t>
      </w:r>
    </w:p>
    <w:p>
      <w:pPr>
        <w:pStyle w:val="BodyText"/>
      </w:pPr>
      <w:r>
        <w:rPr>
          <w:b/>
          <w:bCs/>
        </w:rPr>
        <w:t xml:space="preserve">Livello strutturale (anni 5–10).</w:t>
      </w:r>
      <w:r>
        <w:t xml:space="preserve"> </w:t>
      </w:r>
      <w:r>
        <w:t xml:space="preserve">L’integrazione curriculare nei corsi di laurea assicura che le nuove coorti entrino in servizio già competenti, riducendo nel tempo il fabbisogno di formazione di recupero e stabilizzando la cultura digitale della professione.</w:t>
      </w:r>
    </w:p>
    <w:p>
      <w:pPr>
        <w:pStyle w:val="BodyText"/>
      </w:pPr>
      <w:r>
        <w:t xml:space="preserve">Questa architettura è coerente con le risorse già previste dal progetto. La relazione tecnico-finanziaria contempla un budget dedicato alla formazione congiunta medici-psicologi e una quota destinata alla sanità digitale; il presente capitolo propone di riorientare e ampliare tali risorse verso un programma strutturato di competenza in Intelligenza Artificiale, finanziabile con fondi europei per il capitale umano sanitario e con risorse ministeriali per l’aggiornamento professionale. La sezione sesta dimensiona analiticamente il costo dell’architettura integrata e ne misura il ritorno.</w:t>
      </w:r>
    </w:p>
    <w:bookmarkEnd w:id="2136"/>
    <w:bookmarkEnd w:id="2137"/>
    <w:bookmarkStart w:id="2143" w:name="Xc1e54ae9bf44159e0fbf8a2f0089168f03838a6"/>
    <w:p>
      <w:pPr>
        <w:pStyle w:val="Heading2"/>
      </w:pPr>
      <w:r>
        <w:t xml:space="preserve">4. Le potenzialità dell’Intelligenza Artificiale nel continuum clinico</w:t>
      </w:r>
    </w:p>
    <w:p>
      <w:pPr>
        <w:pStyle w:val="FirstParagraph"/>
      </w:pPr>
      <w:r>
        <w:t xml:space="preserve">La presente sezione mappa sistematicamente le applicazioni dell’Intelligenza Artificiale lungo l’intero ciclo clinico, articolato nelle cinque fasi indicate dal progetto: diagnostica, prevenzione, trattamento, riabilitazione e recupero. Per ciascuna fase si documentano le evidenze scientifiche più recenti, gli strumenti già disponibili o brevettati a livello internazionale e le ricadute attese sul modello pugliese di cure primarie e psicologia di base. L’obiettivo è duplice: dimostrare che ciascuna fase del percorso di cura dispone oggi di soluzioni mature e che la competenza degli operatori è la condizione necessaria affinché tali soluzioni producano i risparmi quantificati nella sezione sesta. È opportuno premettere un principio costante a tutte le fasi: nello stato attuale della tecnologia e in conformità con il quadro normativo, l’Intelligenza Artificiale opera come strumento di supporto al clinico e non in sua sostituzione; la responsabilità ultima della decisione resta in capo al professionista, che proprio per questo deve essere formato a esercitarla in modo informato.</w:t>
      </w:r>
    </w:p>
    <w:bookmarkStart w:id="2138" w:name="diagnostica-2"/>
    <w:p>
      <w:pPr>
        <w:pStyle w:val="Heading3"/>
      </w:pPr>
      <w:r>
        <w:t xml:space="preserve">4.1 Diagnostica</w:t>
      </w:r>
    </w:p>
    <w:p>
      <w:pPr>
        <w:pStyle w:val="FirstParagraph"/>
      </w:pPr>
      <w:r>
        <w:t xml:space="preserve">La diagnostica rappresenta l’ambito di maggiore maturità applicativa dell’Intelligenza Artificiale, come testimonia la concentrazione delle autorizzazioni regolatorie in questo settore. Per le cure primarie, due classi di strumenti sono particolarmente rilevanti: i sistemi di supporto alla diagnosi differenziale e gli strumenti di screening autonomo.</w:t>
      </w:r>
    </w:p>
    <w:p>
      <w:pPr>
        <w:pStyle w:val="BodyText"/>
      </w:pPr>
      <w:r>
        <w:t xml:space="preserve">Sul versante del supporto alla diagnosi differenziale, i sistemi di supporto decisionale clinico integrati nei software gestionali — da tempo presenti in forma di</w:t>
      </w:r>
      <w:r>
        <w:t xml:space="preserve"> </w:t>
      </w:r>
      <w:r>
        <w:rPr>
          <w:i/>
          <w:iCs/>
        </w:rPr>
        <w:t xml:space="preserve">alert</w:t>
      </w:r>
      <w:r>
        <w:t xml:space="preserve"> </w:t>
      </w:r>
      <w:r>
        <w:t xml:space="preserve">su interazioni farmacologiche o di suggerimenti di approfondimento — evolvono verso strumenti capaci di apprendere dai dati. Motori di valutazione dei sintomi e generatori di diagnosi differenziali forniscono al medico una lista ordinata di ipotesi a partire dalle evidenze cliniche disponibili. L’esperienza insegna tuttavia che tali strumenti richiedono valutazione attenta della sicurezza prima dell’adozione: alcuni</w:t>
      </w:r>
      <w:r>
        <w:t xml:space="preserve"> </w:t>
      </w:r>
      <w:r>
        <w:rPr>
          <w:i/>
          <w:iCs/>
        </w:rPr>
        <w:t xml:space="preserve">symptom checker</w:t>
      </w:r>
      <w:r>
        <w:t xml:space="preserve"> </w:t>
      </w:r>
      <w:r>
        <w:t xml:space="preserve">commerciali, pur dichiarando accuratezze elevate nei quadri comuni, hanno mostrato in test indipendenti la tendenza a sottovalutare casi gravi, a riprova del fatto che l’interpretazione critica da parte di un operatore formato è insostituibile.</w:t>
      </w:r>
    </w:p>
    <w:p>
      <w:pPr>
        <w:pStyle w:val="BodyText"/>
      </w:pPr>
      <w:r>
        <w:t xml:space="preserve">Sul versante dello screening autonomo, l’evidenza è più solida e consolidata. Il sistema IDx-DR per lo screening della retinopatia diabetica, primo dispositivo di diagnostica autonoma basato su IA autorizzato dalla Food and Drug Administration, analizza le immagini del fondo oculare acquisite in ambulatorio di base e indica in pochi minuti la presenza di segni che richiedono la visita specialistica; nello studio registrativo condotto su 819 pazienti diabetici in dieci ambulatori di cure primarie ha ottenuto una sensibilità di circa l’87% e una specificità di circa il 90%. Strumenti analoghi sono oggi disponibili e approvati per lo screening di numerose patologie, e le revisioni economiche documentano la dominanza costo-efficacia dell’IA nello screening del melanoma e della carie dentale, oltre a benefici clinici nello screening del glaucoma. In ambito di salute mentale, gli algoritmi di analisi del linguaggio naturale e dei marcatori vocali e comportamentali hanno dimostrato la capacità di individuare segni precoci di depressione e ansia con accuratezze che la letteratura colloca, in condizioni controllate, fino a circa il 90% (studio pubblicato su</w:t>
      </w:r>
      <w:r>
        <w:t xml:space="preserve"> </w:t>
      </w:r>
      <w:r>
        <w:rPr>
          <w:i/>
          <w:iCs/>
        </w:rPr>
        <w:t xml:space="preserve">Nature Medicine</w:t>
      </w:r>
      <w:r>
        <w:t xml:space="preserve">, 2023).</w:t>
      </w:r>
    </w:p>
    <w:p>
      <w:pPr>
        <w:pStyle w:val="BodyText"/>
      </w:pPr>
      <w:r>
        <w:t xml:space="preserve">La ricaduta economica per le cure primarie è duplice. In primo luogo, lo screening autonomo decentralizza prestazioni oggi erogate dallo specialista, riducendo le visite e gli esami inappropriati. In secondo luogo, il supporto alla diagnosi differenziale migliora l’appropriatezza degli invii: uno studio condotto nel sistema sanitario pubblico brasiliano ha documentato che un modello di</w:t>
      </w:r>
      <w:r>
        <w:t xml:space="preserve"> </w:t>
      </w:r>
      <w:r>
        <w:rPr>
          <w:i/>
          <w:iCs/>
        </w:rPr>
        <w:t xml:space="preserve">machine learning</w:t>
      </w:r>
      <w:r>
        <w:t xml:space="preserve"> </w:t>
      </w:r>
      <w:r>
        <w:t xml:space="preserve">applicato al pre-screening delle richieste di visita specialistica raggiungeva una specificità dell’80,1% nel filtrare gli invii non necessari, contro il 34,0% dei revisori umani, con conseguente riduzione delle consultazioni superflue e del carico sui servizi. Affinché tali benefici si realizzino, il medico di base deve saper interpretare l’output dello strumento e integrarlo nel proprio giudizio: è precisamente la competenza che converte l’accuratezza tecnica in appropriatezza clinica e in risparmio.</w:t>
      </w:r>
    </w:p>
    <w:bookmarkEnd w:id="2138"/>
    <w:bookmarkStart w:id="2139" w:name="prevenzione"/>
    <w:p>
      <w:pPr>
        <w:pStyle w:val="Heading3"/>
      </w:pPr>
      <w:r>
        <w:t xml:space="preserve">4.2 Prevenzione</w:t>
      </w:r>
    </w:p>
    <w:p>
      <w:pPr>
        <w:pStyle w:val="FirstParagraph"/>
      </w:pPr>
      <w:r>
        <w:t xml:space="preserve">La prevenzione è l’ambito in cui l’Intelligenza Artificiale esprime il proprio valore distintivo, poiché la sua capacità di individuare segnali deboli e connessioni tra dati eterogenei consente di anticipare l’evento clinico prima che si manifesti, spostando l’intervento dal momento della crisi a quello della sua prevedibilità. Nelle cure primarie e nella salute mentale questa capacità si declina in analitica predittiva su dati clinici e socio-demografici, screening opportunistico e monitoraggio passivo dei marcatori digitali.</w:t>
      </w:r>
    </w:p>
    <w:p>
      <w:pPr>
        <w:pStyle w:val="BodyText"/>
      </w:pPr>
      <w:r>
        <w:t xml:space="preserve">L’analitica predittiva applicata alle cartelle cliniche elettroniche e ai dataset di popolazione consente di stratificare il rischio e di indirizzare le risorse preventive verso i soggetti a maggiore probabilità di deterioramento. In ambito di salute mentale, modelli di</w:t>
      </w:r>
      <w:r>
        <w:t xml:space="preserve"> </w:t>
      </w:r>
      <w:r>
        <w:rPr>
          <w:i/>
          <w:iCs/>
        </w:rPr>
        <w:t xml:space="preserve">machine learning</w:t>
      </w:r>
      <w:r>
        <w:t xml:space="preserve"> </w:t>
      </w:r>
      <w:r>
        <w:t xml:space="preserve">addestrati su un numero limitato di fattori di rischio noti hanno dimostrato di predire con performance significativa la recidiva di un episodio depressivo entro due anni, consentendo di intensificare il</w:t>
      </w:r>
      <w:r>
        <w:t xml:space="preserve"> </w:t>
      </w:r>
      <w:r>
        <w:rPr>
          <w:i/>
          <w:iCs/>
        </w:rPr>
        <w:t xml:space="preserve">follow-up</w:t>
      </w:r>
      <w:r>
        <w:t xml:space="preserve"> </w:t>
      </w:r>
      <w:r>
        <w:t xml:space="preserve">e le misure di mantenimento per i pazienti segnalati come più vulnerabili. Nei disturbi dello spettro psicotico in remissione, l’analisi tramite sensori indossabili di parametri quali sonno, attività fisica e pattern vocali ha permesso di anticipare di alcuni giorni l’insorgenza delle ricadute, attivando interventi precoci che evitano l’aggravamento e il ricovero. Lo screening opportunistico, a sua volta, sfrutta dati già raccolti per altri fini: sono stati sviluppati algoritmi capaci di identificare lesioni pancreatiche su tomografie eseguite per motivi diversi dallo screening, estendendo la prevenzione senza generare esami aggiuntivi.</w:t>
      </w:r>
    </w:p>
    <w:p>
      <w:pPr>
        <w:pStyle w:val="BodyText"/>
      </w:pPr>
      <w:r>
        <w:t xml:space="preserve">La letteratura sulle cure primarie sottolinea inoltre un effetto preventivo di secondo ordine, particolarmente rilevante sul piano economico: l’IA può rafforzare la cosiddetta prevenzione quaternaria, ossia la prevenzione della sovra-medicalizzazione e del sovra-trattamento (revisione su IA e cure primarie,</w:t>
      </w:r>
      <w:r>
        <w:t xml:space="preserve"> </w:t>
      </w:r>
      <w:r>
        <w:rPr>
          <w:i/>
          <w:iCs/>
        </w:rPr>
        <w:t xml:space="preserve">The Lancet Primary Care</w:t>
      </w:r>
      <w:r>
        <w:t xml:space="preserve">, 2025). Riducendo gli esami, le visite e le terapie non necessari, l’IA non solo migliora l’appropriatezza ma evita i costi diretti e indiretti associati a prestazioni superflue. Anche in questo caso la realizzazione del beneficio dipende dalla competenza: un operatore non formato rischia di interpretare un punteggio di rischio in modo errato — ignorando un rischio reale o, all’opposto, generando cascate di accertamenti ingiustificati — vanificando il potenziale preventivo dello strumento. La formazione alla corretta calibrazione dei punteggi di rischio è dunque condizione indispensabile affinché la prevenzione assistita da IA si traduca in risparmio anziché in spesa aggiuntiva.</w:t>
      </w:r>
    </w:p>
    <w:bookmarkEnd w:id="2139"/>
    <w:bookmarkStart w:id="2140" w:name="trattamento-2"/>
    <w:p>
      <w:pPr>
        <w:pStyle w:val="Heading3"/>
      </w:pPr>
      <w:r>
        <w:t xml:space="preserve">4.3 Trattamento</w:t>
      </w:r>
    </w:p>
    <w:p>
      <w:pPr>
        <w:pStyle w:val="FirstParagraph"/>
      </w:pPr>
      <w:r>
        <w:t xml:space="preserve">Nella fase di trattamento l’Intelligenza Artificiale agisce su due fronti complementari: il supporto alla decisione terapeutica e l’erogazione diretta di interventi attraverso le terapie digitali. Entrambi i fronti hanno raggiunto la maturità regolatoria e l’evidenza clinica controllata.</w:t>
      </w:r>
    </w:p>
    <w:p>
      <w:pPr>
        <w:pStyle w:val="BodyText"/>
      </w:pPr>
      <w:r>
        <w:t xml:space="preserve">Sul fronte del supporto alla decisione terapeutica, gli algoritmi consentono di personalizzare la scelta del trattamento massimizzando le probabilità di risposta. Nello studio condotto in Giappone sull’impiego dell’IA nella depressione, un algoritmo è stato utilizzato per indicare il trattamento ottimale per ciascun paziente — farmacologico o psicoterapeutico — in base alle caratteristiche individuali, migliorando gli esiti rispetto al protocollo standard; analoghi approcci, applicati a neuroimmagini e test cognitivi, hanno identificato i sottogruppi più responsivi a specifici trattamenti. La riduzione dei tentativi terapeutici inefficaci che ne deriva ha una doppia valenza economica: accresce la probabilità di remissione completa, evitando la cronicizzazione, e riduce la spesa associata ai cicli di terapia falliti. I sistemi di supporto decisionale integrati nella cartella clinica possono inoltre segnalare al medico o allo psicologo la necessità di intensificare o modificare il trattamento in assenza di miglioramenti entro tempi definiti, evitando i ritardi nel passaggio ai livelli di cura superiori.</w:t>
      </w:r>
    </w:p>
    <w:p>
      <w:pPr>
        <w:pStyle w:val="BodyText"/>
      </w:pPr>
      <w:r>
        <w:t xml:space="preserve">Sul fronte delle terapie digitali, il quadro regolatorio si è consolidato. La Food and Drug Administration ha approvato nel 2024 Rejoyn, terapia digitale su prescrizione per il disturbo depressivo maggiore dell’adulto, che eroga terapia cognitivo-comportamentale attraverso compiti interattivi; in precedenza aveva autorizzato EndeavorRx, primo videogioco terapeutico per il disturbo da deficit di attenzione e iperattività in età pediatrica, e NightWare, sistema per il trattamento degli incubi associati al disturbo post-traumatico da stress. La conversazione clinica assistita da modelli generativi ha mostrato i primi risultati controllati: il primo studio randomizzato su un</w:t>
      </w:r>
      <w:r>
        <w:t xml:space="preserve"> </w:t>
      </w:r>
      <w:r>
        <w:rPr>
          <w:i/>
          <w:iCs/>
        </w:rPr>
        <w:t xml:space="preserve">chatbot</w:t>
      </w:r>
      <w:r>
        <w:t xml:space="preserve"> </w:t>
      </w:r>
      <w:r>
        <w:t xml:space="preserve">terapeutico basato su IA generativa, denominato Therabot, ha documentato riduzioni dei sintomi significativamente superiori al controllo nel disturbo depressivo maggiore, nel disturbo d’ansia generalizzata e nei disturbi del comportamento alimentare, pur con le cautele proprie di un campo emergente. Queste soluzioni estendono la capacità del servizio gestendo i casi meno complessi e fornendo sostegno continuo tra una seduta e l’altra, liberando il tempo del clinico per i casi che richiedono maggiore intensità relazionale.</w:t>
      </w:r>
    </w:p>
    <w:p>
      <w:pPr>
        <w:pStyle w:val="BodyText"/>
      </w:pPr>
      <w:r>
        <w:t xml:space="preserve">La dimensione economica del trattamento assistito da IA è documentata dalle revisioni di valutazione economica: un’analisi ha riscontrato che il trattamento della depressione supportato da</w:t>
      </w:r>
      <w:r>
        <w:t xml:space="preserve"> </w:t>
      </w:r>
      <w:r>
        <w:rPr>
          <w:i/>
          <w:iCs/>
        </w:rPr>
        <w:t xml:space="preserve">machine learning</w:t>
      </w:r>
      <w:r>
        <w:t xml:space="preserve"> </w:t>
      </w:r>
      <w:r>
        <w:t xml:space="preserve">comportava una riduzione minima degli esiti clinici, nell’ordine del 2%, a fronte di una contrazione dei costi del 5,4% (Bremer e collaboratori), esemplificando il profilo di numerose applicazioni che scambiano variazioni trascurabili di efficacia con guadagni rilevanti di efficienza. Anche in questa fase la competenza è determinante: il professionista deve saper integrare la terapia digitale nel percorso di cura senza comprometterne l’alleanza terapeutica con il paziente, e deve saper interpretare i segnali di non risposta forniti dai sistemi di supporto decisionale.</w:t>
      </w:r>
    </w:p>
    <w:bookmarkEnd w:id="2140"/>
    <w:bookmarkStart w:id="2141" w:name="riabilitazione-2"/>
    <w:p>
      <w:pPr>
        <w:pStyle w:val="Heading3"/>
      </w:pPr>
      <w:r>
        <w:t xml:space="preserve">4.4 Riabilitazione</w:t>
      </w:r>
    </w:p>
    <w:p>
      <w:pPr>
        <w:pStyle w:val="FirstParagraph"/>
      </w:pPr>
      <w:r>
        <w:t xml:space="preserve">La riabilitazione, fisica e cognitiva, beneficia dell’Intelligenza Artificiale attraverso la personalizzazione adattiva degli interventi e la possibilità di erogarli a distanza. La rilevanza economica di quest’ambito è amplificata dalla prevalenza degli esiti riabilitativi: l’ictus, prima causa di disabilità a lungo termine, lascia oltre l’80% dei sopravvissuti con compromissione in fase acuta e oltre il 50% con compromissione cronica.</w:t>
      </w:r>
    </w:p>
    <w:p>
      <w:pPr>
        <w:pStyle w:val="BodyText"/>
      </w:pPr>
      <w:r>
        <w:t xml:space="preserve">Le evidenze convergono nell’indicare che le tecnologie riabilitative assistite da IA migliorano i risultati rispetto alle procedure convenzionali. Una revisione di portata ha sintetizzato i risultati di oltre settecento studi sull’applicazione dell’IA al recupero post-ictus, e le meta-analisi sulla terapia robotica documentano miglioramenti significativi del controllo motorio misurati con scale standardizzate. I sistemi che combinano robotica e Intelligenza Artificiale adattano gli esercizi in base ai progressi del paziente e ne sostengono la motivazione con</w:t>
      </w:r>
      <w:r>
        <w:t xml:space="preserve"> </w:t>
      </w:r>
      <w:r>
        <w:rPr>
          <w:i/>
          <w:iCs/>
        </w:rPr>
        <w:t xml:space="preserve">feedback</w:t>
      </w:r>
      <w:r>
        <w:t xml:space="preserve"> </w:t>
      </w:r>
      <w:r>
        <w:t xml:space="preserve">personalizzati; un sistema ibrido che integra piattaforma robotica e stimolazione elettrica neuromuscolare guidata da algoritmi di rilevamento della fatica muscolare ha mostrato, in validazione clinica preliminare, un incremento del 44% dell’ampiezza di movimento, un aumento del 45% della coppia attiva e una riduzione del 36% della coppia passiva. In ambito psichiatrico e neuropsicologico, la realtà virtuale arricchita da IA consente esposizioni graduali modulate automaticamente in funzione dei segnali fisiologici di ansia rilevati, e i</w:t>
      </w:r>
      <w:r>
        <w:t xml:space="preserve"> </w:t>
      </w:r>
      <w:r>
        <w:rPr>
          <w:i/>
          <w:iCs/>
        </w:rPr>
        <w:t xml:space="preserve">serious game</w:t>
      </w:r>
      <w:r>
        <w:t xml:space="preserve"> </w:t>
      </w:r>
      <w:r>
        <w:t xml:space="preserve">riabilitativi adattano la difficoltà al livello di prestazione, realizzando una terapia adattiva in tempo reale difficilmente ottenibile con programmi fissi.</w:t>
      </w:r>
    </w:p>
    <w:p>
      <w:pPr>
        <w:pStyle w:val="BodyText"/>
      </w:pPr>
      <w:r>
        <w:t xml:space="preserve">La ricaduta economica deriva dall’accelerazione e dal miglioramento del recupero, che riducono la durata della disabilità, e dalla possibilità di erogare la riabilitazione a distanza, che amplia l’accesso e contiene i costi logistici. Per il modello pugliese, ciò significa la possibilità di estendere percorsi riabilitativi — soprattutto cognitivi e psicologici — a una platea più ampia di pazienti senza incrementare proporzionalmente le risorse impiegate. La competenza degli operatori è qui necessaria per selezionare i pazienti idonei, supervisionare i percorsi a distanza e interpretare i dati di progresso generati dai sistemi.</w:t>
      </w:r>
    </w:p>
    <w:bookmarkEnd w:id="2141"/>
    <w:bookmarkStart w:id="2142" w:name="recupero-recovery-e-mantenimento"/>
    <w:p>
      <w:pPr>
        <w:pStyle w:val="Heading3"/>
      </w:pPr>
      <w:r>
        <w:t xml:space="preserve">4.5 Recupero (recovery e mantenimento)</w:t>
      </w:r>
    </w:p>
    <w:p>
      <w:pPr>
        <w:pStyle w:val="FirstParagraph"/>
      </w:pPr>
      <w:r>
        <w:t xml:space="preserve">La fase del recupero — intesa come consolidamento della guarigione funzionale, prevenzione delle ricadute e mantenimento dell’autonomia nel tempo — è quella in cui il telemonitoraggio intelligente esprime il proprio massimo potenziale, abilitando una modalità di assistenza continua che colma lo spazio tra un contatto clinico e il successivo. Per i pazienti con disturbi mentali severi in trattamento territoriale, sistemi che integrano sensori indossabili e algoritmi di apprendimento analizzano in tempo reale i segnali comportamentali per cogliere precocemente lo scompenso.</w:t>
      </w:r>
    </w:p>
    <w:p>
      <w:pPr>
        <w:pStyle w:val="BodyText"/>
      </w:pPr>
      <w:r>
        <w:t xml:space="preserve">Gli esempi documentati riguardano il monitoraggio dei pazienti con disturbo bipolare, in cui l’analisi di parametri quali ritmo del sonno, livello di attività e caratteristiche vocali consente di rilevare i segni di un viraggio e di anticipare l’intervento del servizio, e il monitoraggio dei pazienti con disturbi dello spettro schizofrenico, in cui la predizione delle ricadute a partire dai dati indossabili attiva il richiamo tempestivo in visita. Sul piano economico, la prevenzione delle ricadute attraverso il monitoraggio continuo riduce le riammissioni, evita le interruzioni dei percorsi lavorativi e di vita e contiene i costi della cronicità, che rappresentano la componente più onerosa della spesa per la salute mentale. La capacità predittiva applicata al recupero — la predizione della recidiva depressiva entro due anni, la predizione delle ricadute psicotiche — consente di concentrare le risorse di mantenimento sui pazienti a maggior rischio, ottimizzando l’allocazione e massimizzando la quota di pazienti che raggiungono e conservano la remissione.</w:t>
      </w:r>
    </w:p>
    <w:p>
      <w:pPr>
        <w:pStyle w:val="BodyText"/>
      </w:pPr>
      <w:r>
        <w:t xml:space="preserve">Anche nella fase del recupero la competenza è la chiave di volta: il sistema di monitoraggio genera segnalazioni che acquistano valore solo se il professionista è in grado di interpretarle correttamente, di distinguere i segnali clinicamente rilevanti dal rumore e di tradurli in azioni tempestive e proporzionate. Un sistema di</w:t>
      </w:r>
      <w:r>
        <w:t xml:space="preserve"> </w:t>
      </w:r>
      <w:r>
        <w:rPr>
          <w:i/>
          <w:iCs/>
        </w:rPr>
        <w:t xml:space="preserve">alert</w:t>
      </w:r>
      <w:r>
        <w:t xml:space="preserve"> </w:t>
      </w:r>
      <w:r>
        <w:t xml:space="preserve">non presidiato da operatori formati produce affaticamento da allarme e perdita di fiducia, vanificando il potenziale di risparmio. L’insieme delle cinque fasi del continuum clinico dimostra così una conclusione unitaria: in ogni fase la tecnologia è disponibile e l’evidenza è solida, ma il valore economico si realizza soltanto attraverso la competenza degli operatori, che è precisamente l’oggetto dell’investimento formativo dimensionato nella sezione sesta.</w:t>
      </w:r>
    </w:p>
    <w:bookmarkEnd w:id="2142"/>
    <w:bookmarkEnd w:id="2143"/>
    <w:bookmarkStart w:id="2146" w:name="X95611f42b450b0491a42a9090e22a3f55781daf"/>
    <w:p>
      <w:pPr>
        <w:pStyle w:val="Heading2"/>
      </w:pPr>
      <w:r>
        <w:t xml:space="preserve">5. Il panorama brevettuale internazionale e gli studi pilota più autorevoli</w:t>
      </w:r>
    </w:p>
    <w:bookmarkStart w:id="2144" w:name="Xe6b16e149b1ed6c218040639f65fd3fc7abd667"/>
    <w:p>
      <w:pPr>
        <w:pStyle w:val="Heading3"/>
      </w:pPr>
      <w:r>
        <w:t xml:space="preserve">5.1 La maturità tecnologica documentata dai brevetti</w:t>
      </w:r>
    </w:p>
    <w:p>
      <w:pPr>
        <w:pStyle w:val="FirstParagraph"/>
      </w:pPr>
      <w:r>
        <w:t xml:space="preserve">L’attività brevettuale costituisce un indicatore oggettivo della maturità di un settore tecnologico e della direzione del suo sviluppo. Nel campo dell’Intelligenza Artificiale applicata alla sanità, l’analisi brevettuale internazionale documenta una crescita di intensità eccezionale. Un’analisi sistematica condotta sui cinque maggiori uffici brevettuali ha identificato 10.967 brevetti in IA sanitaria, con una concentrazione prevalente presso l’ufficio cinese e una quota significativa — 2.768 brevetti — presso lo</w:t>
      </w:r>
      <w:r>
        <w:t xml:space="preserve"> </w:t>
      </w:r>
      <w:r>
        <w:rPr>
          <w:i/>
          <w:iCs/>
        </w:rPr>
        <w:t xml:space="preserve">United States Patent and Trademark Office</w:t>
      </w:r>
      <w:r>
        <w:t xml:space="preserve">; il numero di brevetti pubblicati ha mostrato un raddoppio annuo dal 2015 al 2021. Le imprese farmaceutiche hanno registrato un incremento del 52% delle domande di brevetto basate su IA nel 2023, e i dati dell’Organizzazione Mondiale della Proprietà Intellettuale segnalano una crescita superiore all’800% dei brevetti relativi all’IA generativa rispetto al 2017. I principali depositari includono operatori sanitari e tecnologici globali quali Ping An, Siemens Healthineers, IBM, Philips e Shanghai United Imaging, a testimonianza dell’impegno industriale convergente sul settore.</w:t>
      </w:r>
    </w:p>
    <w:p>
      <w:pPr>
        <w:pStyle w:val="BodyText"/>
      </w:pPr>
      <w:r>
        <w:t xml:space="preserve">La rilevanza di questo dato per il progetto è triplice. In primo luogo, la densità brevettuale conferma che gli strumenti descritti nella sezione quarta non sono prototipi accademici ma tecnologie oggetto di investimento industriale strutturato, destinate a un’ampia disponibilità commerciale. In secondo luogo, la traiettoria di crescita indica che l’offerta di soluzioni continuerà ad ampliarsi e a migliorare, rendendo l’investimento formativo tanto più conveniente quanto più precoce, poiché una forza lavoro già competente è in grado di assorbire le innovazioni successive senza ulteriori costi di alfabetizzazione di base. In terzo luogo, la prevalenza di depositari extra-europei suggerisce l’opportunità, per il sistema sanitario regionale e nazionale, di sviluppare competenze interne che consentano una selezione critica e un adattamento al contesto locale degli strumenti, evitando una dipendenza tecnologica passiva.</w:t>
      </w:r>
    </w:p>
    <w:bookmarkEnd w:id="2144"/>
    <w:bookmarkStart w:id="2145" w:name="Xb8bf0a1a33e8b39ffad20f00aa5f9746b0d83f5"/>
    <w:p>
      <w:pPr>
        <w:pStyle w:val="Heading3"/>
      </w:pPr>
      <w:r>
        <w:t xml:space="preserve">5.2 Gli studi pilota e le esperienze internazionali di riferimento</w:t>
      </w:r>
    </w:p>
    <w:p>
      <w:pPr>
        <w:pStyle w:val="FirstParagraph"/>
      </w:pPr>
      <w:r>
        <w:t xml:space="preserve">Le esperienze internazionali più autorevoli forniscono il riscontro sul campo della praticabilità e dei benefici delle soluzioni descritte. Nel Regno Unito, lo studio pubblicato su</w:t>
      </w:r>
      <w:r>
        <w:t xml:space="preserve"> </w:t>
      </w:r>
      <w:r>
        <w:rPr>
          <w:i/>
          <w:iCs/>
        </w:rPr>
        <w:t xml:space="preserve">Nature Medicine</w:t>
      </w:r>
      <w:r>
        <w:t xml:space="preserve"> </w:t>
      </w:r>
      <w:r>
        <w:t xml:space="preserve">nel 2024 da Habicht e collaboratori ha analizzato l’impatto di un</w:t>
      </w:r>
      <w:r>
        <w:t xml:space="preserve"> </w:t>
      </w:r>
      <w:r>
        <w:rPr>
          <w:i/>
          <w:iCs/>
        </w:rPr>
        <w:t xml:space="preserve">chatbot</w:t>
      </w:r>
      <w:r>
        <w:t xml:space="preserve"> </w:t>
      </w:r>
      <w:r>
        <w:t xml:space="preserve">di auto-segnalazione per il triage in salute mentale su un campione di circa 129.000 pazienti nei servizi pubblici: l’adozione dello strumento ha prodotto un incremento dei tassi di invio ai programmi psicoterapeutici significativamente superiore a quello dei servizi di controllo, con un aumento particolarmente marcato tra le categorie tradizionalmente sotto-trattate, comprese le persone non-binarie e le minoranze etniche, a dimostrazione della capacità dell’IA di ridurre le barriere di accesso legate allo stigma. Lo strumento ha raccolto le anamnesi psicosociali, somministrato le scale di autovalutazione e smistato i pazienti al livello di intervento appropriato, riducendo il carico di lavoro clinico associato alla fase di valutazione.</w:t>
      </w:r>
    </w:p>
    <w:p>
      <w:pPr>
        <w:pStyle w:val="BodyText"/>
      </w:pPr>
      <w:r>
        <w:t xml:space="preserve">Sul versante della documentazione clinica, gli studi più recenti sugli assistenti di scrittura ambientale — sistemi che trascrivono e strutturano automaticamente il colloquio clinico — offrono dati robusti e direttamente trasferibili. Uno studio pubblicato su</w:t>
      </w:r>
      <w:r>
        <w:t xml:space="preserve"> </w:t>
      </w:r>
      <w:r>
        <w:rPr>
          <w:i/>
          <w:iCs/>
        </w:rPr>
        <w:t xml:space="preserve">JAMA Network Open</w:t>
      </w:r>
      <w:r>
        <w:t xml:space="preserve"> </w:t>
      </w:r>
      <w:r>
        <w:t xml:space="preserve">nell’ottobre 2025 ha documentato presso la University of Chicago Medicine una riduzione dell’8,5% del tempo complessivo trascorso nella cartella clinica elettronica e una diminuzione superiore al 15% del tempo dedicato alla stesura delle note. Presso UW Health, una sperimentazione condotta tra l’agosto 2024 e il marzo 2025 ha rilevato un risparmio di circa trenta minuti al giorno per operatore e una riduzione clinicamente significativa dei punteggi di</w:t>
      </w:r>
      <w:r>
        <w:t xml:space="preserve"> </w:t>
      </w:r>
      <w:r>
        <w:rPr>
          <w:i/>
          <w:iCs/>
        </w:rPr>
        <w:t xml:space="preserve">burnout</w:t>
      </w:r>
      <w:r>
        <w:t xml:space="preserve">. Uno studio multicentrico su 1.800 clinici in cinque centri accademici ha quantificato un risparmio di circa sedici minuti per ogni otto ore di attività clinica, con la possibilità per gli utilizzatori di assistere un paziente aggiuntivo ogni due settimane; presso The Permanente Medical Group il sistema è stato esteso a oltre tremila medici. Considerato che i clinici dedicano stabilmente alle attività amministrative un tempo dell’ordine di ventotto ore settimanali, la riduzione del carico documentale libera capacità assistenziale e ne migliora la sostenibilità.</w:t>
      </w:r>
    </w:p>
    <w:p>
      <w:pPr>
        <w:pStyle w:val="BodyText"/>
      </w:pPr>
      <w:r>
        <w:t xml:space="preserve">Il quadro complessivo degli studi pilota delinea un panorama in cui l’IA opera efficacemente in ruoli diversi e complementari: sentinella epidemiologica nelle fasi di screening e predizione, guida nei percorsi di triage e di supporto decisionale, erogatore di interventi attraverso le terapie digitali, e assistente instancabile nel telemonitoraggio e nell’automazione documentale. In tutte le esperienze esaminate la condizione del successo è la medesima: l’integrazione intelligente con i servizi esistenti e la supervisione di operatori competenti, che potenziano l’operato umano anziché sostituirlo. Tale convergenza fornisce il fondamento empirico della quantificazione economica che segue.</w:t>
      </w:r>
    </w:p>
    <w:bookmarkEnd w:id="2145"/>
    <w:bookmarkEnd w:id="2146"/>
    <w:bookmarkStart w:id="2153" w:name="X667e0e4ef1275d81fb448396ab1f5c32c5b490e"/>
    <w:p>
      <w:pPr>
        <w:pStyle w:val="Heading2"/>
      </w:pPr>
      <w:r>
        <w:t xml:space="preserve">6. Quantificazione economica dei risparmi sanitari aggiuntivi in Puglia</w:t>
      </w:r>
    </w:p>
    <w:bookmarkStart w:id="2147" w:name="X8d0aa9b5e70e3a0f7444c462c103e4c340a8192"/>
    <w:p>
      <w:pPr>
        <w:pStyle w:val="Heading3"/>
      </w:pPr>
      <w:r>
        <w:t xml:space="preserve">6.1 Impianto metodologico e principio di non duplicazione</w:t>
      </w:r>
    </w:p>
    <w:p>
      <w:pPr>
        <w:pStyle w:val="FirstParagraph"/>
      </w:pPr>
      <w:r>
        <w:t xml:space="preserve">La quantificazione che segue stima i risparmi sanitari aggiuntivi che la Regione Puglia può conseguire formando il personale di cure primarie e psicologia di base all’uso dell’Intelligenza Artificiale, rispetto allo scenario di progetto già definito nei capitoli precedenti. La stima è costruita su tre pilastri metodologici. Il primo è il</w:t>
      </w:r>
      <w:r>
        <w:t xml:space="preserve"> </w:t>
      </w:r>
      <w:r>
        <w:rPr>
          <w:b/>
          <w:bCs/>
        </w:rPr>
        <w:t xml:space="preserve">principio di non duplicazione</w:t>
      </w:r>
      <w:r>
        <w:t xml:space="preserve">: i risparmi qui calcolati sono incrementali rispetto a quelli già attribuiti al modello base — dell’ordine di 150–300 milioni di euro annui di risparmi diretti, con valore centrale intorno ai 270 milioni — e alla prima integrazione trasversale dell’IA; non vi è pertanto sovrapposizione contabile. Il secondo è l’</w:t>
      </w:r>
      <w:r>
        <w:rPr>
          <w:b/>
          <w:bCs/>
        </w:rPr>
        <w:t xml:space="preserve">ancoraggio ai pool di spesa regionali</w:t>
      </w:r>
      <w:r>
        <w:t xml:space="preserve"> </w:t>
      </w:r>
      <w:r>
        <w:t xml:space="preserve">già documentati nella relazione: la spesa farmaceutica territoriale dell’ordine di 600 milioni di euro annui, la specialistica ambulatoriale dell’ordine di alcune centinaia di milioni, la spesa per l’assistenza psichiatrica specialistica dell’ordine di 285 milioni e i ricoveri psichiatrici evitabili. Il terzo è la</w:t>
      </w:r>
      <w:r>
        <w:t xml:space="preserve"> </w:t>
      </w:r>
      <w:r>
        <w:rPr>
          <w:b/>
          <w:bCs/>
        </w:rPr>
        <w:t xml:space="preserve">costruzione per scenari</w:t>
      </w:r>
      <w:r>
        <w:t xml:space="preserve"> </w:t>
      </w:r>
      <w:r>
        <w:t xml:space="preserve">— conservativo, centrale ed espansivo — con valori prudenziali e analisi di sensibilità, in coerenza con l’approccio adottato nel resto della relazione.</w:t>
      </w:r>
    </w:p>
    <w:p>
      <w:pPr>
        <w:pStyle w:val="BodyText"/>
      </w:pPr>
      <w:r>
        <w:t xml:space="preserve">La popolazione bersaglio della formazione è costituita dall’insieme dei medici di medicina generale operanti in Puglia, stimabili nell’ordine di tremila unità, e dagli psicologi di base previsti dal progetto, nell’ordine di ottocento-novecento unità, per un totale dell’ordine di 3.800 professionisti. Il modello distingue due regimi di adozione, definiti dalla profondità con cui la competenza si traduce in uso efficace degli strumenti: un regime a formazione minima o spontanea, in cui gli strumenti sono disponibili ma utilizzati in modo superficiale da una quota ridotta di operatori, e un regime a formazione strutturata e capillare, in cui l’architettura a quattro livelli descritta nella sezione terza porta la profondità di adozione a livelli elevati. La differenza tra i risparmi catturati nei due regimi misura il valore economico imputabile specificamente alla formazione, che è l’oggetto della stima.</w:t>
      </w:r>
    </w:p>
    <w:bookmarkEnd w:id="2147"/>
    <w:bookmarkStart w:id="2148" w:name="il-costo-del-programma-formativo"/>
    <w:p>
      <w:pPr>
        <w:pStyle w:val="Heading3"/>
      </w:pPr>
      <w:r>
        <w:t xml:space="preserve">6.2 Il costo del programma formativo</w:t>
      </w:r>
    </w:p>
    <w:p>
      <w:pPr>
        <w:pStyle w:val="FirstParagraph"/>
      </w:pPr>
      <w:r>
        <w:t xml:space="preserve">Il costo dell’architettura formativa integrata è stimato sulla base dei costi unitari documentati per le componenti analoghe e in coerenza con le risorse già previste dal progetto. La tabella seguente ne riporta la composizione, distinguendo tra costo una tantum di avvio e costo ricorrente a regime.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w:t>
            </w:r>
          </w:p>
        </w:tc>
        <w:tc>
          <w:tcPr>
            <w:shd w:val="clear" w:color="auto" w:fill="16264B"/>
          </w:tcPr>
          <w:p>
            <w:pPr>
              <w:pStyle w:val="Compact"/>
              <w:spacing w:after="40" w:before="40"/>
              <w:jc w:val="left"/>
            </w:pPr>
            <w:r>
              <w:rPr>
                <w:rFonts w:ascii="Cambria" w:hAnsi="Cambria" w:cs="Cambria" w:eastAsia="Cambria"/>
                <w:b/>
                <w:bCs/>
                <w:color w:val="FFFFFF"/>
                <w:sz w:val="18"/>
              </w:rPr>
              <w:t xml:space="preserve">Avvio (una tantum)</w:t>
            </w:r>
          </w:p>
        </w:tc>
        <w:tc>
          <w:tcPr>
            <w:shd w:val="clear" w:color="auto" w:fill="16264B"/>
          </w:tcPr>
          <w:p>
            <w:pPr>
              <w:pStyle w:val="Compact"/>
              <w:spacing w:after="40" w:before="40"/>
              <w:jc w:val="left"/>
            </w:pPr>
            <w:r>
              <w:rPr>
                <w:rFonts w:ascii="Cambria" w:hAnsi="Cambria" w:cs="Cambria" w:eastAsia="Cambria"/>
                <w:b/>
                <w:bCs/>
                <w:color w:val="FFFFFF"/>
                <w:sz w:val="18"/>
              </w:rPr>
              <w:t xml:space="preserve">Regime (annuo)</w:t>
            </w:r>
          </w:p>
        </w:tc>
        <w:tc>
          <w:tcPr>
            <w:shd w:val="clear" w:color="auto" w:fill="16264B"/>
          </w:tcPr>
          <w:p>
            <w:pPr>
              <w:pStyle w:val="Compact"/>
              <w:spacing w:after="40" w:before="40"/>
              <w:jc w:val="left"/>
            </w:pPr>
            <w:r>
              <w:rPr>
                <w:rFonts w:ascii="Cambria" w:hAnsi="Cambria" w:cs="Cambria" w:eastAsia="Cambria"/>
                <w:b/>
                <w:bCs/>
                <w:color w:val="FFFFFF"/>
                <w:sz w:val="18"/>
              </w:rPr>
              <w:t xml:space="preserve">Note</w:t>
            </w:r>
          </w:p>
        </w:tc>
      </w:tr>
      <w:tr>
        <w:tc>
          <w:tcPr/>
          <w:p>
            <w:pPr>
              <w:pStyle w:val="Compact"/>
              <w:spacing w:after="40" w:before="40"/>
              <w:jc w:val="left"/>
            </w:pPr>
            <w:r>
              <w:rPr>
                <w:rFonts w:ascii="Cambria" w:hAnsi="Cambria" w:cs="Cambria" w:eastAsia="Cambria"/>
                <w:b/>
                <w:bCs/>
                <w:color w:val="1A1A1A"/>
                <w:sz w:val="18"/>
              </w:rPr>
              <w:t xml:space="preserve">Integrazione curriculare universitaria</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0,2–0,4 mln</w:t>
            </w:r>
          </w:p>
        </w:tc>
        <w:tc>
          <w:tcPr/>
          <w:p>
            <w:pPr>
              <w:pStyle w:val="Compact"/>
              <w:spacing w:after="40" w:before="40"/>
              <w:jc w:val="left"/>
            </w:pPr>
            <w:r>
              <w:rPr>
                <w:rFonts w:ascii="Cambria" w:hAnsi="Cambria" w:cs="Cambria" w:eastAsia="Cambria"/>
                <w:color w:val="1A1A1A"/>
                <w:sz w:val="18"/>
              </w:rPr>
              <w:t xml:space="preserve">Cofinanziamento moduli e fellowship</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Formazione post-universitaria</w:t>
            </w:r>
          </w:p>
        </w:tc>
        <w:tc>
          <w:tcPr>
            <w:shd w:val="clear" w:color="auto" w:fill="F4F1EC"/>
          </w:tcPr>
          <w:p>
            <w:pPr>
              <w:pStyle w:val="Compact"/>
              <w:spacing w:after="40" w:before="40"/>
              <w:jc w:val="left"/>
            </w:pPr>
            <w:r>
              <w:rPr>
                <w:rFonts w:ascii="Cambria" w:hAnsi="Cambria" w:cs="Cambria" w:eastAsia="Cambria"/>
                <w:color w:val="1A1A1A"/>
                <w:sz w:val="18"/>
              </w:rPr>
              <w:t xml:space="preserve">0,3 mln</w:t>
            </w:r>
          </w:p>
        </w:tc>
        <w:tc>
          <w:tcPr>
            <w:shd w:val="clear" w:color="auto" w:fill="F4F1EC"/>
          </w:tcPr>
          <w:p>
            <w:pPr>
              <w:pStyle w:val="Compact"/>
              <w:spacing w:after="40" w:before="40"/>
              <w:jc w:val="left"/>
            </w:pPr>
            <w:r>
              <w:rPr>
                <w:rFonts w:ascii="Cambria" w:hAnsi="Cambria" w:cs="Cambria" w:eastAsia="Cambria"/>
                <w:color w:val="1A1A1A"/>
                <w:sz w:val="18"/>
              </w:rPr>
              <w:t xml:space="preserve">0,5–1,0 mln</w:t>
            </w:r>
          </w:p>
        </w:tc>
        <w:tc>
          <w:tcPr>
            <w:shd w:val="clear" w:color="auto" w:fill="F4F1EC"/>
          </w:tcPr>
          <w:p>
            <w:pPr>
              <w:pStyle w:val="Compact"/>
              <w:spacing w:after="40" w:before="40"/>
              <w:jc w:val="left"/>
            </w:pPr>
            <w:r>
              <w:rPr>
                <w:rFonts w:ascii="Cambria" w:hAnsi="Cambria" w:cs="Cambria" w:eastAsia="Cambria"/>
                <w:color w:val="1A1A1A"/>
                <w:sz w:val="18"/>
              </w:rPr>
              <w:t xml:space="preserve">Master, certificazioni, academy regionale</w:t>
            </w:r>
          </w:p>
        </w:tc>
      </w:tr>
      <w:tr>
        <w:tc>
          <w:tcPr/>
          <w:p>
            <w:pPr>
              <w:pStyle w:val="Compact"/>
              <w:spacing w:after="40" w:before="40"/>
              <w:jc w:val="left"/>
            </w:pPr>
            <w:r>
              <w:rPr>
                <w:rFonts w:ascii="Cambria" w:hAnsi="Cambria" w:cs="Cambria" w:eastAsia="Cambria"/>
                <w:b/>
                <w:bCs/>
                <w:color w:val="1A1A1A"/>
                <w:sz w:val="18"/>
              </w:rPr>
              <w:t xml:space="preserve">Formazione continua (ECM/on-the-job)</w:t>
            </w:r>
          </w:p>
        </w:tc>
        <w:tc>
          <w:tcPr/>
          <w:p>
            <w:pPr>
              <w:pStyle w:val="Compact"/>
              <w:spacing w:after="40" w:before="40"/>
              <w:jc w:val="left"/>
            </w:pPr>
            <w:r>
              <w:rPr>
                <w:rFonts w:ascii="Cambria" w:hAnsi="Cambria" w:cs="Cambria" w:eastAsia="Cambria"/>
                <w:color w:val="1A1A1A"/>
                <w:sz w:val="18"/>
              </w:rPr>
              <w:t xml:space="preserve">1,9–2,7 mln</w:t>
            </w:r>
          </w:p>
        </w:tc>
        <w:tc>
          <w:tcPr/>
          <w:p>
            <w:pPr>
              <w:pStyle w:val="Compact"/>
              <w:spacing w:after="40" w:before="40"/>
              <w:jc w:val="left"/>
            </w:pPr>
            <w:r>
              <w:rPr>
                <w:rFonts w:ascii="Cambria" w:hAnsi="Cambria" w:cs="Cambria" w:eastAsia="Cambria"/>
                <w:color w:val="1A1A1A"/>
                <w:sz w:val="18"/>
              </w:rPr>
              <w:t xml:space="preserve">1,1–1,9 mln</w:t>
            </w:r>
          </w:p>
        </w:tc>
        <w:tc>
          <w:tcPr/>
          <w:p>
            <w:pPr>
              <w:pStyle w:val="Compact"/>
              <w:spacing w:after="40" w:before="40"/>
              <w:jc w:val="left"/>
            </w:pPr>
            <w:r>
              <w:rPr>
                <w:rFonts w:ascii="Cambria" w:hAnsi="Cambria" w:cs="Cambria" w:eastAsia="Cambria"/>
                <w:color w:val="1A1A1A"/>
                <w:sz w:val="18"/>
              </w:rPr>
              <w:t xml:space="preserve">≈3.800 professionisti; FAD + aula + pratica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Referenti digitali (AI champion)</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1,0–1,8 mln</w:t>
            </w:r>
          </w:p>
        </w:tc>
        <w:tc>
          <w:tcPr>
            <w:shd w:val="clear" w:color="auto" w:fill="F4F1EC"/>
          </w:tcPr>
          <w:p>
            <w:pPr>
              <w:pStyle w:val="Compact"/>
              <w:spacing w:after="40" w:before="40"/>
              <w:jc w:val="left"/>
            </w:pPr>
            <w:r>
              <w:rPr>
                <w:rFonts w:ascii="Cambria" w:hAnsi="Cambria" w:cs="Cambria" w:eastAsia="Cambria"/>
                <w:color w:val="1A1A1A"/>
                <w:sz w:val="18"/>
              </w:rPr>
              <w:t xml:space="preserve">≈49–60 figure, allocazione parziale per distretto</w:t>
            </w:r>
          </w:p>
        </w:tc>
      </w:tr>
      <w:tr>
        <w:tc>
          <w:tcPr/>
          <w:p>
            <w:pPr>
              <w:pStyle w:val="Compact"/>
              <w:spacing w:after="40" w:before="40"/>
              <w:jc w:val="left"/>
            </w:pPr>
            <w:r>
              <w:rPr>
                <w:rFonts w:ascii="Cambria" w:hAnsi="Cambria" w:cs="Cambria" w:eastAsia="Cambria"/>
                <w:b/>
                <w:bCs/>
                <w:color w:val="1A1A1A"/>
                <w:sz w:val="18"/>
              </w:rPr>
              <w:t xml:space="preserve">Piattaforma, simulazione, materiali</w:t>
            </w:r>
          </w:p>
        </w:tc>
        <w:tc>
          <w:tcPr/>
          <w:p>
            <w:pPr>
              <w:pStyle w:val="Compact"/>
              <w:spacing w:after="40" w:before="40"/>
              <w:jc w:val="left"/>
            </w:pPr>
            <w:r>
              <w:rPr>
                <w:rFonts w:ascii="Cambria" w:hAnsi="Cambria" w:cs="Cambria" w:eastAsia="Cambria"/>
                <w:color w:val="1A1A1A"/>
                <w:sz w:val="18"/>
              </w:rPr>
              <w:t xml:space="preserve">0,5 mln</w:t>
            </w:r>
          </w:p>
        </w:tc>
        <w:tc>
          <w:tcPr/>
          <w:p>
            <w:pPr>
              <w:pStyle w:val="Compact"/>
              <w:spacing w:after="40" w:before="40"/>
              <w:jc w:val="left"/>
            </w:pPr>
            <w:r>
              <w:rPr>
                <w:rFonts w:ascii="Cambria" w:hAnsi="Cambria" w:cs="Cambria" w:eastAsia="Cambria"/>
                <w:color w:val="1A1A1A"/>
                <w:sz w:val="18"/>
              </w:rPr>
              <w:t xml:space="preserve">0,3–0,6 mln</w:t>
            </w:r>
          </w:p>
        </w:tc>
        <w:tc>
          <w:tcPr/>
          <w:p>
            <w:pPr>
              <w:pStyle w:val="Compact"/>
              <w:spacing w:after="40" w:before="40"/>
              <w:jc w:val="left"/>
            </w:pPr>
            <w:r>
              <w:rPr>
                <w:rFonts w:ascii="Cambria" w:hAnsi="Cambria" w:cs="Cambria" w:eastAsia="Cambria"/>
                <w:color w:val="1A1A1A"/>
                <w:sz w:val="18"/>
              </w:rPr>
              <w:t xml:space="preserve">Infrastruttura formativa e aggiornamento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Totale</w:t>
            </w:r>
          </w:p>
        </w:tc>
        <w:tc>
          <w:tcPr>
            <w:shd w:val="clear" w:color="auto" w:fill="F4F1EC"/>
          </w:tcPr>
          <w:p>
            <w:pPr>
              <w:pStyle w:val="Compact"/>
              <w:spacing w:after="40" w:before="40"/>
              <w:jc w:val="left"/>
            </w:pPr>
            <w:r>
              <w:rPr>
                <w:rFonts w:ascii="Cambria" w:hAnsi="Cambria" w:cs="Cambria" w:eastAsia="Cambria"/>
                <w:b/>
                <w:bCs/>
                <w:color w:val="1A1A1A"/>
                <w:sz w:val="18"/>
              </w:rPr>
              <w:t xml:space="preserve">≈ 2,5–3,2 mln</w:t>
            </w:r>
          </w:p>
        </w:tc>
        <w:tc>
          <w:tcPr>
            <w:shd w:val="clear" w:color="auto" w:fill="F4F1EC"/>
          </w:tcPr>
          <w:p>
            <w:pPr>
              <w:pStyle w:val="Compact"/>
              <w:spacing w:after="40" w:before="40"/>
              <w:jc w:val="left"/>
            </w:pPr>
            <w:r>
              <w:rPr>
                <w:rFonts w:ascii="Cambria" w:hAnsi="Cambria" w:cs="Cambria" w:eastAsia="Cambria"/>
                <w:b/>
                <w:bCs/>
                <w:color w:val="1A1A1A"/>
                <w:sz w:val="18"/>
              </w:rPr>
              <w:t xml:space="preserve">≈ 3,1–5,7 mln</w:t>
            </w:r>
          </w:p>
        </w:tc>
        <w:tc>
          <w:tcPr>
            <w:shd w:val="clear" w:color="auto" w:fill="F4F1EC"/>
          </w:tcPr>
          <w:p>
            <w:pPr>
              <w:pStyle w:val="Compact"/>
              <w:spacing w:after="40" w:before="40"/>
              <w:jc w:val="left"/>
            </w:pPr>
            <w:r>
              <w:rPr>
                <w:rFonts w:ascii="Cambria" w:hAnsi="Cambria" w:cs="Cambria" w:eastAsia="Cambria"/>
                <w:b/>
                <w:bCs/>
                <w:color w:val="1A1A1A"/>
                <w:sz w:val="18"/>
              </w:rPr>
              <w:t xml:space="preserve">Valore centrale a regime ≈ 4 mln/anno</w:t>
            </w:r>
          </w:p>
        </w:tc>
      </w:tr>
    </w:tbl>
    <w:p>
      <w:pPr>
        <w:pStyle w:val="BodyText"/>
      </w:pPr>
      <w:r>
        <w:rPr>
          <w:i/>
          <w:iCs/>
        </w:rPr>
        <w:t xml:space="preserve">Tabella 2. Composizione del costo del programma formativo integrato. Valori in euro. Il costo a regime è in larga parte assorbibile dalle risorse già previste dal progetto per formazione e sanità digitale e da fondi europei dedicati al capitale umano sanitario.</w:t>
      </w:r>
    </w:p>
    <w:p>
      <w:pPr>
        <w:pStyle w:val="BodyText"/>
      </w:pPr>
      <w:r>
        <w:t xml:space="preserve">Il costo a regime dell’architettura integrata si colloca dunque nell’ordine di 4 milioni di euro annui, con un costo di avvio aggiuntivo di circa 2,5–3 milioni concentrato nei primi diciotto-ventiquattro mesi. Tale onere è in larga parte coperto dalle risorse già contemplate dal progetto — il budget per la formazione congiunta e la quota destinata alla sanità digitale — e può attingere a fondi europei per il capitale umano sanitario e a risorse ministeriali per l’aggiornamento professionale, configurandosi pertanto come un riorientamento di spesa più che come un onere netto aggiuntivo.</w:t>
      </w:r>
    </w:p>
    <w:bookmarkEnd w:id="2148"/>
    <w:bookmarkStart w:id="2149" w:name="X6394a669af8486dfd50d701839b32ee5c447e29"/>
    <w:p>
      <w:pPr>
        <w:pStyle w:val="Heading3"/>
      </w:pPr>
      <w:r>
        <w:t xml:space="preserve">6.3 I risparmi aggiuntivi per canale clinico-economico</w:t>
      </w:r>
    </w:p>
    <w:p>
      <w:pPr>
        <w:pStyle w:val="FirstParagraph"/>
      </w:pPr>
      <w:r>
        <w:t xml:space="preserve">I risparmi aggiuntivi attesi nel regime a formazione strutturata sono stimati per ciascun canale del continuum clinico, applicando ai pool di spesa regionali percentuali di riduzione incrementali prudenziali, calibrate sull’evidenza internazionale e al netto dei risparmi già attribuiti al modello base e alla prima integrazione dell’IA. La tabella riporta gli intervalli e il valore centrale per ciascun canale, riferiti al regime di piena maturità.</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Canale</w:t>
            </w:r>
          </w:p>
        </w:tc>
        <w:tc>
          <w:tcPr>
            <w:shd w:val="clear" w:color="auto" w:fill="16264B"/>
          </w:tcPr>
          <w:p>
            <w:pPr>
              <w:pStyle w:val="Compact"/>
              <w:spacing w:after="40" w:before="40"/>
              <w:jc w:val="left"/>
            </w:pPr>
            <w:r>
              <w:rPr>
                <w:rFonts w:ascii="Cambria" w:hAnsi="Cambria" w:cs="Cambria" w:eastAsia="Cambria"/>
                <w:b/>
                <w:bCs/>
                <w:color w:val="FFFFFF"/>
                <w:sz w:val="18"/>
              </w:rPr>
              <w:t xml:space="preserve">Meccanismo di risparmio</w:t>
            </w:r>
          </w:p>
        </w:tc>
        <w:tc>
          <w:tcPr>
            <w:shd w:val="clear" w:color="auto" w:fill="16264B"/>
          </w:tcPr>
          <w:p>
            <w:pPr>
              <w:pStyle w:val="Compact"/>
              <w:spacing w:after="40" w:before="40"/>
              <w:jc w:val="left"/>
            </w:pPr>
            <w:r>
              <w:rPr>
                <w:rFonts w:ascii="Cambria" w:hAnsi="Cambria" w:cs="Cambria" w:eastAsia="Cambria"/>
                <w:b/>
                <w:bCs/>
                <w:color w:val="FFFFFF"/>
                <w:sz w:val="18"/>
              </w:rPr>
              <w:t xml:space="preserve">Risparmio annuo</w:t>
            </w:r>
          </w:p>
        </w:tc>
        <w:tc>
          <w:tcPr>
            <w:shd w:val="clear" w:color="auto" w:fill="16264B"/>
          </w:tcPr>
          <w:p>
            <w:pPr>
              <w:pStyle w:val="Compact"/>
              <w:spacing w:after="40" w:before="40"/>
              <w:jc w:val="left"/>
            </w:pPr>
            <w:r>
              <w:rPr>
                <w:rFonts w:ascii="Cambria" w:hAnsi="Cambria" w:cs="Cambria" w:eastAsia="Cambria"/>
                <w:b/>
                <w:bCs/>
                <w:color w:val="FFFFFF"/>
                <w:sz w:val="18"/>
              </w:rPr>
              <w:t xml:space="preserve">Base di calcolo</w:t>
            </w:r>
          </w:p>
        </w:tc>
      </w:tr>
      <w:tr>
        <w:tc>
          <w:tcPr/>
          <w:p>
            <w:pPr>
              <w:pStyle w:val="Compact"/>
              <w:spacing w:after="40" w:before="40"/>
              <w:jc w:val="left"/>
            </w:pPr>
            <w:r>
              <w:rPr>
                <w:rFonts w:ascii="Cambria" w:hAnsi="Cambria" w:cs="Cambria" w:eastAsia="Cambria"/>
                <w:b/>
                <w:bCs/>
                <w:color w:val="1A1A1A"/>
                <w:sz w:val="18"/>
              </w:rPr>
              <w:t xml:space="preserve">Diagnostica</w:t>
            </w:r>
          </w:p>
        </w:tc>
        <w:tc>
          <w:tcPr/>
          <w:p>
            <w:pPr>
              <w:pStyle w:val="Compact"/>
              <w:spacing w:after="40" w:before="40"/>
              <w:jc w:val="left"/>
            </w:pPr>
            <w:r>
              <w:rPr>
                <w:rFonts w:ascii="Cambria" w:hAnsi="Cambria" w:cs="Cambria" w:eastAsia="Cambria"/>
                <w:color w:val="1A1A1A"/>
                <w:sz w:val="18"/>
              </w:rPr>
              <w:t xml:space="preserve">Appropriatezza degli invii e screening autonomo decentralizzato</w:t>
            </w:r>
          </w:p>
        </w:tc>
        <w:tc>
          <w:tcPr/>
          <w:p>
            <w:pPr>
              <w:pStyle w:val="Compact"/>
              <w:spacing w:after="40" w:before="40"/>
              <w:jc w:val="left"/>
            </w:pPr>
            <w:r>
              <w:rPr>
                <w:rFonts w:ascii="Cambria" w:hAnsi="Cambria" w:cs="Cambria" w:eastAsia="Cambria"/>
                <w:color w:val="1A1A1A"/>
                <w:sz w:val="18"/>
              </w:rPr>
              <w:t xml:space="preserve">8–20 mln (≈12)</w:t>
            </w:r>
          </w:p>
        </w:tc>
        <w:tc>
          <w:tcPr/>
          <w:p>
            <w:pPr>
              <w:pStyle w:val="Compact"/>
              <w:spacing w:after="40" w:before="40"/>
              <w:jc w:val="left"/>
            </w:pPr>
            <w:r>
              <w:rPr>
                <w:rFonts w:ascii="Cambria" w:hAnsi="Cambria" w:cs="Cambria" w:eastAsia="Cambria"/>
                <w:color w:val="1A1A1A"/>
                <w:sz w:val="18"/>
              </w:rPr>
              <w:t xml:space="preserve">2–4% del pool specialistica e diagnostica (≈400–500 mln)</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Trattamento</w:t>
            </w:r>
          </w:p>
        </w:tc>
        <w:tc>
          <w:tcPr>
            <w:shd w:val="clear" w:color="auto" w:fill="F4F1EC"/>
          </w:tcPr>
          <w:p>
            <w:pPr>
              <w:pStyle w:val="Compact"/>
              <w:spacing w:after="40" w:before="40"/>
              <w:jc w:val="left"/>
            </w:pPr>
            <w:r>
              <w:rPr>
                <w:rFonts w:ascii="Cambria" w:hAnsi="Cambria" w:cs="Cambria" w:eastAsia="Cambria"/>
                <w:color w:val="1A1A1A"/>
                <w:sz w:val="18"/>
              </w:rPr>
              <w:t xml:space="preserve">Prescrizione di precisione e terapie digitali</w:t>
            </w:r>
          </w:p>
        </w:tc>
        <w:tc>
          <w:tcPr>
            <w:shd w:val="clear" w:color="auto" w:fill="F4F1EC"/>
          </w:tcPr>
          <w:p>
            <w:pPr>
              <w:pStyle w:val="Compact"/>
              <w:spacing w:after="40" w:before="40"/>
              <w:jc w:val="left"/>
            </w:pPr>
            <w:r>
              <w:rPr>
                <w:rFonts w:ascii="Cambria" w:hAnsi="Cambria" w:cs="Cambria" w:eastAsia="Cambria"/>
                <w:color w:val="1A1A1A"/>
                <w:sz w:val="18"/>
              </w:rPr>
              <w:t xml:space="preserve">10–22 mln (≈14)</w:t>
            </w:r>
          </w:p>
        </w:tc>
        <w:tc>
          <w:tcPr>
            <w:shd w:val="clear" w:color="auto" w:fill="F4F1EC"/>
          </w:tcPr>
          <w:p>
            <w:pPr>
              <w:pStyle w:val="Compact"/>
              <w:spacing w:after="40" w:before="40"/>
              <w:jc w:val="left"/>
            </w:pPr>
            <w:r>
              <w:rPr>
                <w:rFonts w:ascii="Cambria" w:hAnsi="Cambria" w:cs="Cambria" w:eastAsia="Cambria"/>
                <w:color w:val="1A1A1A"/>
                <w:sz w:val="18"/>
              </w:rPr>
              <w:t xml:space="preserve">1–2% spesa farmaceutica (600 mln) + capacità evitata e remissione</w:t>
            </w:r>
          </w:p>
        </w:tc>
      </w:tr>
      <w:tr>
        <w:tc>
          <w:tcPr/>
          <w:p>
            <w:pPr>
              <w:pStyle w:val="Compact"/>
              <w:spacing w:after="40" w:before="40"/>
              <w:jc w:val="left"/>
            </w:pPr>
            <w:r>
              <w:rPr>
                <w:rFonts w:ascii="Cambria" w:hAnsi="Cambria" w:cs="Cambria" w:eastAsia="Cambria"/>
                <w:b/>
                <w:bCs/>
                <w:color w:val="1A1A1A"/>
                <w:sz w:val="18"/>
              </w:rPr>
              <w:t xml:space="preserve">Prevenzione</w:t>
            </w:r>
          </w:p>
        </w:tc>
        <w:tc>
          <w:tcPr/>
          <w:p>
            <w:pPr>
              <w:pStyle w:val="Compact"/>
              <w:spacing w:after="40" w:before="40"/>
              <w:jc w:val="left"/>
            </w:pPr>
            <w:r>
              <w:rPr>
                <w:rFonts w:ascii="Cambria" w:hAnsi="Cambria" w:cs="Cambria" w:eastAsia="Cambria"/>
                <w:color w:val="1A1A1A"/>
                <w:sz w:val="18"/>
              </w:rPr>
              <w:t xml:space="preserve">Analitica predittiva, intercettazione precoce, prevenzione quaternaria</w:t>
            </w:r>
          </w:p>
        </w:tc>
        <w:tc>
          <w:tcPr/>
          <w:p>
            <w:pPr>
              <w:pStyle w:val="Compact"/>
              <w:spacing w:after="40" w:before="40"/>
              <w:jc w:val="left"/>
            </w:pPr>
            <w:r>
              <w:rPr>
                <w:rFonts w:ascii="Cambria" w:hAnsi="Cambria" w:cs="Cambria" w:eastAsia="Cambria"/>
                <w:color w:val="1A1A1A"/>
                <w:sz w:val="18"/>
              </w:rPr>
              <w:t xml:space="preserve">8–18 mln (≈12)</w:t>
            </w:r>
          </w:p>
        </w:tc>
        <w:tc>
          <w:tcPr/>
          <w:p>
            <w:pPr>
              <w:pStyle w:val="Compact"/>
              <w:spacing w:after="40" w:before="40"/>
              <w:jc w:val="left"/>
            </w:pPr>
            <w:r>
              <w:rPr>
                <w:rFonts w:ascii="Cambria" w:hAnsi="Cambria" w:cs="Cambria" w:eastAsia="Cambria"/>
                <w:color w:val="1A1A1A"/>
                <w:sz w:val="18"/>
              </w:rPr>
              <w:t xml:space="preserve">Riduzione crisi/ricoveri su pool psichiatrico (285 mln) e ricoveri evitabili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Recupero</w:t>
            </w:r>
          </w:p>
        </w:tc>
        <w:tc>
          <w:tcPr>
            <w:shd w:val="clear" w:color="auto" w:fill="F4F1EC"/>
          </w:tcPr>
          <w:p>
            <w:pPr>
              <w:pStyle w:val="Compact"/>
              <w:spacing w:after="40" w:before="40"/>
              <w:jc w:val="left"/>
            </w:pPr>
            <w:r>
              <w:rPr>
                <w:rFonts w:ascii="Cambria" w:hAnsi="Cambria" w:cs="Cambria" w:eastAsia="Cambria"/>
                <w:color w:val="1A1A1A"/>
                <w:sz w:val="18"/>
              </w:rPr>
              <w:t xml:space="preserve">Telemonitoraggio e prevenzione delle ricadute</w:t>
            </w:r>
          </w:p>
        </w:tc>
        <w:tc>
          <w:tcPr>
            <w:shd w:val="clear" w:color="auto" w:fill="F4F1EC"/>
          </w:tcPr>
          <w:p>
            <w:pPr>
              <w:pStyle w:val="Compact"/>
              <w:spacing w:after="40" w:before="40"/>
              <w:jc w:val="left"/>
            </w:pPr>
            <w:r>
              <w:rPr>
                <w:rFonts w:ascii="Cambria" w:hAnsi="Cambria" w:cs="Cambria" w:eastAsia="Cambria"/>
                <w:color w:val="1A1A1A"/>
                <w:sz w:val="18"/>
              </w:rPr>
              <w:t xml:space="preserve">3–8 mln (≈5)</w:t>
            </w:r>
          </w:p>
        </w:tc>
        <w:tc>
          <w:tcPr>
            <w:shd w:val="clear" w:color="auto" w:fill="F4F1EC"/>
          </w:tcPr>
          <w:p>
            <w:pPr>
              <w:pStyle w:val="Compact"/>
              <w:spacing w:after="40" w:before="40"/>
              <w:jc w:val="left"/>
            </w:pPr>
            <w:r>
              <w:rPr>
                <w:rFonts w:ascii="Cambria" w:hAnsi="Cambria" w:cs="Cambria" w:eastAsia="Cambria"/>
                <w:color w:val="1A1A1A"/>
                <w:sz w:val="18"/>
              </w:rPr>
              <w:t xml:space="preserve">Riduzione riammissioni e cronicità</w:t>
            </w:r>
          </w:p>
        </w:tc>
      </w:tr>
      <w:tr>
        <w:tc>
          <w:tcPr/>
          <w:p>
            <w:pPr>
              <w:pStyle w:val="Compact"/>
              <w:spacing w:after="40" w:before="40"/>
              <w:jc w:val="left"/>
            </w:pPr>
            <w:r>
              <w:rPr>
                <w:rFonts w:ascii="Cambria" w:hAnsi="Cambria" w:cs="Cambria" w:eastAsia="Cambria"/>
                <w:b/>
                <w:bCs/>
                <w:color w:val="1A1A1A"/>
                <w:sz w:val="18"/>
              </w:rPr>
              <w:t xml:space="preserve">Riabilitazione</w:t>
            </w:r>
          </w:p>
        </w:tc>
        <w:tc>
          <w:tcPr/>
          <w:p>
            <w:pPr>
              <w:pStyle w:val="Compact"/>
              <w:spacing w:after="40" w:before="40"/>
              <w:jc w:val="left"/>
            </w:pPr>
            <w:r>
              <w:rPr>
                <w:rFonts w:ascii="Cambria" w:hAnsi="Cambria" w:cs="Cambria" w:eastAsia="Cambria"/>
                <w:color w:val="1A1A1A"/>
                <w:sz w:val="18"/>
              </w:rPr>
              <w:t xml:space="preserve">Riabilitazione adattiva e a distanza</w:t>
            </w:r>
          </w:p>
        </w:tc>
        <w:tc>
          <w:tcPr/>
          <w:p>
            <w:pPr>
              <w:pStyle w:val="Compact"/>
              <w:spacing w:after="40" w:before="40"/>
              <w:jc w:val="left"/>
            </w:pPr>
            <w:r>
              <w:rPr>
                <w:rFonts w:ascii="Cambria" w:hAnsi="Cambria" w:cs="Cambria" w:eastAsia="Cambria"/>
                <w:color w:val="1A1A1A"/>
                <w:sz w:val="18"/>
              </w:rPr>
              <w:t xml:space="preserve">2–5 mln (≈3)</w:t>
            </w:r>
          </w:p>
        </w:tc>
        <w:tc>
          <w:tcPr/>
          <w:p>
            <w:pPr>
              <w:pStyle w:val="Compact"/>
              <w:spacing w:after="40" w:before="40"/>
              <w:jc w:val="left"/>
            </w:pPr>
            <w:r>
              <w:rPr>
                <w:rFonts w:ascii="Cambria" w:hAnsi="Cambria" w:cs="Cambria" w:eastAsia="Cambria"/>
                <w:color w:val="1A1A1A"/>
                <w:sz w:val="18"/>
              </w:rPr>
              <w:t xml:space="preserve">Riduzione durata disabilità ed estensione percorsi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Efficienza amministrativa</w:t>
            </w:r>
          </w:p>
        </w:tc>
        <w:tc>
          <w:tcPr>
            <w:shd w:val="clear" w:color="auto" w:fill="F4F1EC"/>
          </w:tcPr>
          <w:p>
            <w:pPr>
              <w:pStyle w:val="Compact"/>
              <w:spacing w:after="40" w:before="40"/>
              <w:jc w:val="left"/>
            </w:pPr>
            <w:r>
              <w:rPr>
                <w:rFonts w:ascii="Cambria" w:hAnsi="Cambria" w:cs="Cambria" w:eastAsia="Cambria"/>
                <w:color w:val="1A1A1A"/>
                <w:sz w:val="18"/>
              </w:rPr>
              <w:t xml:space="preserve">Documentazione ambientale e automazione</w:t>
            </w:r>
          </w:p>
        </w:tc>
        <w:tc>
          <w:tcPr>
            <w:shd w:val="clear" w:color="auto" w:fill="F4F1EC"/>
          </w:tcPr>
          <w:p>
            <w:pPr>
              <w:pStyle w:val="Compact"/>
              <w:spacing w:after="40" w:before="40"/>
              <w:jc w:val="left"/>
            </w:pPr>
            <w:r>
              <w:rPr>
                <w:rFonts w:ascii="Cambria" w:hAnsi="Cambria" w:cs="Cambria" w:eastAsia="Cambria"/>
                <w:color w:val="1A1A1A"/>
                <w:sz w:val="18"/>
              </w:rPr>
              <w:t xml:space="preserve">2–5 mln (≈3)</w:t>
            </w:r>
          </w:p>
        </w:tc>
        <w:tc>
          <w:tcPr>
            <w:shd w:val="clear" w:color="auto" w:fill="F4F1EC"/>
          </w:tcPr>
          <w:p>
            <w:pPr>
              <w:pStyle w:val="Compact"/>
              <w:spacing w:after="40" w:before="40"/>
              <w:jc w:val="left"/>
            </w:pPr>
            <w:r>
              <w:rPr>
                <w:rFonts w:ascii="Cambria" w:hAnsi="Cambria" w:cs="Cambria" w:eastAsia="Cambria"/>
                <w:color w:val="1A1A1A"/>
                <w:sz w:val="18"/>
              </w:rPr>
              <w:t xml:space="preserve">Capacità liberata e riduzione straordinari/assunzioni</w:t>
            </w:r>
          </w:p>
        </w:tc>
      </w:tr>
      <w:tr>
        <w:tc>
          <w:tcPr/>
          <w:p>
            <w:pPr>
              <w:pStyle w:val="Compact"/>
              <w:spacing w:after="40" w:before="40"/>
              <w:jc w:val="left"/>
            </w:pPr>
            <w:r>
              <w:rPr>
                <w:rFonts w:ascii="Cambria" w:hAnsi="Cambria" w:cs="Cambria" w:eastAsia="Cambria"/>
                <w:b/>
                <w:bCs/>
                <w:color w:val="1A1A1A"/>
                <w:sz w:val="18"/>
              </w:rPr>
              <w:t xml:space="preserve">Totale incrementale</w:t>
            </w:r>
          </w:p>
        </w:tc>
        <w:tc>
          <w:tcPr/>
          <w:p>
            <w:pPr>
              <w:pStyle w:val="Compact"/>
              <w:spacing w:after="40" w:before="40"/>
              <w:jc w:val="left"/>
            </w:pPr>
            <w:r>
              <w:rPr>
                <w:rFonts w:ascii="Cambria" w:hAnsi="Cambria" w:cs="Cambria" w:eastAsia="Cambria"/>
                <w:b/>
                <w:bCs/>
                <w:color w:val="1A1A1A"/>
                <w:sz w:val="18"/>
              </w:rPr>
              <w:t xml:space="preserve">Regime a formazione strutturata</w:t>
            </w:r>
          </w:p>
        </w:tc>
        <w:tc>
          <w:tcPr/>
          <w:p>
            <w:pPr>
              <w:pStyle w:val="Compact"/>
              <w:spacing w:after="40" w:before="40"/>
              <w:jc w:val="left"/>
            </w:pPr>
            <w:r>
              <w:rPr>
                <w:rFonts w:ascii="Cambria" w:hAnsi="Cambria" w:cs="Cambria" w:eastAsia="Cambria"/>
                <w:b/>
                <w:bCs/>
                <w:color w:val="1A1A1A"/>
                <w:sz w:val="18"/>
              </w:rPr>
              <w:t xml:space="preserve">≈ 33–78 mln (centrale ≈ 49)</w:t>
            </w:r>
          </w:p>
        </w:tc>
        <w:tc>
          <w:tcPr/>
          <w:p>
            <w:pPr>
              <w:pStyle w:val="Compact"/>
              <w:spacing w:after="40" w:before="40"/>
              <w:jc w:val="left"/>
            </w:pPr>
            <w:r>
              <w:rPr>
                <w:rFonts w:ascii="Cambria" w:hAnsi="Cambria" w:cs="Cambria" w:eastAsia="Cambria"/>
                <w:b/>
                <w:bCs/>
                <w:color w:val="1A1A1A"/>
                <w:sz w:val="18"/>
              </w:rPr>
              <w:t xml:space="preserve">Al netto del modello base e della prima integrazione IA</w:t>
            </w:r>
          </w:p>
        </w:tc>
      </w:tr>
    </w:tbl>
    <w:p>
      <w:pPr>
        <w:pStyle w:val="BodyText"/>
      </w:pPr>
      <w:r>
        <w:rPr>
          <w:i/>
          <w:iCs/>
        </w:rPr>
        <w:t xml:space="preserve">Tabella 3. Risparmi sanitari aggiuntivi per canale nel regime a formazione strutturata, a piena maturità. Valori in euro/anno. Le percentuali di riduzione sono incrementali e prudenziali; il valore centrale tra parentesi.</w:t>
      </w:r>
    </w:p>
    <w:p>
      <w:pPr>
        <w:pStyle w:val="BodyText"/>
      </w:pPr>
      <w:r>
        <w:t xml:space="preserve">Nel regime a formazione strutturata, i risparmi aggiuntivi a piena maturità si collocano dunque in un intervallo dell’ordine di 33–78 milioni di euro annui, con valore centrale prossimo a 49 milioni. Tale stima è coerente con l’intervallo di 15–48 milioni annui indicato per l’integrazione dell’IA nei capitoli precedenti: la formazione strutturata è precisamente ciò che consente di collocarsi nella parte alta di quell’intervallo e di superarne il limite man mano che le applicazioni del continuum clinico raggiungono la maturità. Nel regime a formazione minima o spontanea, al contrario, la quota di potenziale catturata si riduce sensibilmente, attestandosi su un intervallo dell’ordine di 15–22 milioni annui, valore centrale prossimo a 18 milioni, in linea con quanto già modellato.</w:t>
      </w:r>
    </w:p>
    <w:bookmarkEnd w:id="2149"/>
    <w:bookmarkStart w:id="2150" w:name="X45af15564481f2f0ca5260127c28d01592672c3"/>
    <w:p>
      <w:pPr>
        <w:pStyle w:val="Heading3"/>
      </w:pPr>
      <w:r>
        <w:t xml:space="preserve">6.4 Il valore economico imputabile alla formazione</w:t>
      </w:r>
    </w:p>
    <w:p>
      <w:pPr>
        <w:pStyle w:val="FirstParagraph"/>
      </w:pPr>
      <w:r>
        <w:t xml:space="preserve">Il valore economico specificamente attribuibile all’intervento formativo è misurato dalla differenza tra i risparmi catturati nel regime a formazione strutturata e quelli catturati nel regime a formazione minima. Tale differenza — il</w:t>
      </w:r>
      <w:r>
        <w:t xml:space="preserve"> </w:t>
      </w:r>
      <w:r>
        <w:rPr>
          <w:b/>
          <w:bCs/>
        </w:rPr>
        <w:t xml:space="preserve">delta formativo</w:t>
      </w:r>
      <w:r>
        <w:t xml:space="preserve"> </w:t>
      </w:r>
      <w:r>
        <w:t xml:space="preserve">— si colloca, a piena maturità, in un intervallo dell’ordine di 28–56 milioni di euro annui, con valore centrale prossimo a 31 milioni. È questa la quantificazione richiesta: la ulteriore riduzione della spesa sanitaria regionale che la Puglia consegue formando in modo strutturato e capillare il proprio personale all’uso dell’Intelligenza Artificiale, rispetto allo scenario in cui i medesimi strumenti siano resi disponibili senza un adeguato investimento sulle competenze.</w:t>
      </w:r>
    </w:p>
    <w:p>
      <w:pPr>
        <w:pStyle w:val="BodyText"/>
      </w:pPr>
      <w:r>
        <w:t xml:space="preserve">Rapportato al costo del programma formativo, dell’ordine di 4 milioni di euro annui a regime, il delta formativo esprime un ritorno particolarmente elevato. Nello scenario centrale, ogni euro investito nella formazione all’IA genera un risparmio sanitario dell’ordine di sette-otto euro; negli scenari più favorevoli il rapporto supera ampiamente questa soglia. Tale ritorno è coerente con — e si aggiunge a — il ritorno complessivo del modello base, già documentato nell’ordine di nove-dodici a uno nell’orizzonte fiscale di cinque anni.</w:t>
      </w:r>
    </w:p>
    <w:bookmarkEnd w:id="2150"/>
    <w:bookmarkStart w:id="2151" w:name="X40adfec238e2372d0e9ff0c703fdaf0dac14460"/>
    <w:p>
      <w:pPr>
        <w:pStyle w:val="Heading3"/>
      </w:pPr>
      <w:r>
        <w:t xml:space="preserve">6.5 Scenari temporali a uno, tre, cinque e dieci anni</w:t>
      </w:r>
    </w:p>
    <w:p>
      <w:pPr>
        <w:pStyle w:val="FirstParagraph"/>
      </w:pPr>
      <w:r>
        <w:t xml:space="preserve">I risparmi aggiuntivi non si manifestano integralmente sin dal primo anno, ma seguono la curva di adozione governata dal progressivo dispiegamento dell’architettura formativa e dalla maturazione degli strumenti. La tabella seguente proietta i risparmi incrementali della strategia complessiva — disponibilità degli strumenti unita alla formazione strutturata — lungo l’orizzonte temporale, contrapponendoli al costo del programma.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Orizzonte</w:t>
            </w:r>
          </w:p>
        </w:tc>
        <w:tc>
          <w:tcPr>
            <w:shd w:val="clear" w:color="auto" w:fill="16264B"/>
          </w:tcPr>
          <w:p>
            <w:pPr>
              <w:pStyle w:val="Compact"/>
              <w:spacing w:after="40" w:before="40"/>
              <w:jc w:val="left"/>
            </w:pPr>
            <w:r>
              <w:rPr>
                <w:rFonts w:ascii="Cambria" w:hAnsi="Cambria" w:cs="Cambria" w:eastAsia="Cambria"/>
                <w:b/>
                <w:bCs/>
                <w:color w:val="FFFFFF"/>
                <w:sz w:val="18"/>
              </w:rPr>
              <w:t xml:space="preserve">Maturità adozione</w:t>
            </w:r>
          </w:p>
        </w:tc>
        <w:tc>
          <w:tcPr>
            <w:shd w:val="clear" w:color="auto" w:fill="16264B"/>
          </w:tcPr>
          <w:p>
            <w:pPr>
              <w:pStyle w:val="Compact"/>
              <w:spacing w:after="40" w:before="40"/>
              <w:jc w:val="left"/>
            </w:pPr>
            <w:r>
              <w:rPr>
                <w:rFonts w:ascii="Cambria" w:hAnsi="Cambria" w:cs="Cambria" w:eastAsia="Cambria"/>
                <w:b/>
                <w:bCs/>
                <w:color w:val="FFFFFF"/>
                <w:sz w:val="18"/>
              </w:rPr>
              <w:t xml:space="preserve">Risparmi incrementali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Saldo netto annuo</w:t>
            </w:r>
          </w:p>
        </w:tc>
      </w:tr>
      <w:tr>
        <w:tc>
          <w:tcPr/>
          <w:p>
            <w:pPr>
              <w:pStyle w:val="Compact"/>
              <w:spacing w:after="40" w:before="40"/>
              <w:jc w:val="left"/>
            </w:pPr>
            <w:r>
              <w:rPr>
                <w:rFonts w:ascii="Cambria" w:hAnsi="Cambria" w:cs="Cambria" w:eastAsia="Cambria"/>
                <w:b/>
                <w:bCs/>
                <w:color w:val="1A1A1A"/>
                <w:sz w:val="18"/>
              </w:rPr>
              <w:t xml:space="preserve">Anno 1</w:t>
            </w:r>
          </w:p>
        </w:tc>
        <w:tc>
          <w:tcPr/>
          <w:p>
            <w:pPr>
              <w:pStyle w:val="Compact"/>
              <w:spacing w:after="40" w:before="40"/>
              <w:jc w:val="left"/>
            </w:pPr>
            <w:r>
              <w:rPr>
                <w:rFonts w:ascii="Cambria" w:hAnsi="Cambria" w:cs="Cambria" w:eastAsia="Cambria"/>
                <w:color w:val="1A1A1A"/>
                <w:sz w:val="18"/>
              </w:rPr>
              <w:t xml:space="preserve">≈ 30%</w:t>
            </w:r>
          </w:p>
        </w:tc>
        <w:tc>
          <w:tcPr/>
          <w:p>
            <w:pPr>
              <w:pStyle w:val="Compact"/>
              <w:spacing w:after="40" w:before="40"/>
              <w:jc w:val="left"/>
            </w:pPr>
            <w:r>
              <w:rPr>
                <w:rFonts w:ascii="Cambria" w:hAnsi="Cambria" w:cs="Cambria" w:eastAsia="Cambria"/>
                <w:color w:val="1A1A1A"/>
                <w:sz w:val="18"/>
              </w:rPr>
              <w:t xml:space="preserve">8–15 mln</w:t>
            </w:r>
          </w:p>
        </w:tc>
        <w:tc>
          <w:tcPr/>
          <w:p>
            <w:pPr>
              <w:pStyle w:val="Compact"/>
              <w:spacing w:after="40" w:before="40"/>
              <w:jc w:val="left"/>
            </w:pPr>
            <w:r>
              <w:rPr>
                <w:rFonts w:ascii="Cambria" w:hAnsi="Cambria" w:cs="Cambria" w:eastAsia="Cambria"/>
                <w:color w:val="1A1A1A"/>
                <w:sz w:val="18"/>
              </w:rPr>
              <w:t xml:space="preserve">6–7 mln</w:t>
            </w:r>
          </w:p>
        </w:tc>
        <w:tc>
          <w:tcPr/>
          <w:p>
            <w:pPr>
              <w:pStyle w:val="Compact"/>
              <w:spacing w:after="40" w:before="40"/>
              <w:jc w:val="left"/>
            </w:pPr>
            <w:r>
              <w:rPr>
                <w:rFonts w:ascii="Cambria" w:hAnsi="Cambria" w:cs="Cambria" w:eastAsia="Cambria"/>
                <w:color w:val="1A1A1A"/>
                <w:sz w:val="18"/>
              </w:rPr>
              <w:t xml:space="preserve">+2–8 mln</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3</w:t>
            </w:r>
          </w:p>
        </w:tc>
        <w:tc>
          <w:tcPr>
            <w:shd w:val="clear" w:color="auto" w:fill="F4F1EC"/>
          </w:tcPr>
          <w:p>
            <w:pPr>
              <w:pStyle w:val="Compact"/>
              <w:spacing w:after="40" w:before="40"/>
              <w:jc w:val="left"/>
            </w:pPr>
            <w:r>
              <w:rPr>
                <w:rFonts w:ascii="Cambria" w:hAnsi="Cambria" w:cs="Cambria" w:eastAsia="Cambria"/>
                <w:color w:val="1A1A1A"/>
                <w:sz w:val="18"/>
              </w:rPr>
              <w:t xml:space="preserve">≈ 60–70%</w:t>
            </w:r>
          </w:p>
        </w:tc>
        <w:tc>
          <w:tcPr>
            <w:shd w:val="clear" w:color="auto" w:fill="F4F1EC"/>
          </w:tcPr>
          <w:p>
            <w:pPr>
              <w:pStyle w:val="Compact"/>
              <w:spacing w:after="40" w:before="40"/>
              <w:jc w:val="left"/>
            </w:pPr>
            <w:r>
              <w:rPr>
                <w:rFonts w:ascii="Cambria" w:hAnsi="Cambria" w:cs="Cambria" w:eastAsia="Cambria"/>
                <w:color w:val="1A1A1A"/>
                <w:sz w:val="18"/>
              </w:rPr>
              <w:t xml:space="preserve">30–45 mln</w:t>
            </w:r>
          </w:p>
        </w:tc>
        <w:tc>
          <w:tcPr>
            <w:shd w:val="clear" w:color="auto" w:fill="F4F1EC"/>
          </w:tcPr>
          <w:p>
            <w:pPr>
              <w:pStyle w:val="Compact"/>
              <w:spacing w:after="40" w:before="40"/>
              <w:jc w:val="left"/>
            </w:pPr>
            <w:r>
              <w:rPr>
                <w:rFonts w:ascii="Cambria" w:hAnsi="Cambria" w:cs="Cambria" w:eastAsia="Cambria"/>
                <w:color w:val="1A1A1A"/>
                <w:sz w:val="18"/>
              </w:rPr>
              <w:t xml:space="preserve">≈ 4 mln</w:t>
            </w:r>
          </w:p>
        </w:tc>
        <w:tc>
          <w:tcPr>
            <w:shd w:val="clear" w:color="auto" w:fill="F4F1EC"/>
          </w:tcPr>
          <w:p>
            <w:pPr>
              <w:pStyle w:val="Compact"/>
              <w:spacing w:after="40" w:before="40"/>
              <w:jc w:val="left"/>
            </w:pPr>
            <w:r>
              <w:rPr>
                <w:rFonts w:ascii="Cambria" w:hAnsi="Cambria" w:cs="Cambria" w:eastAsia="Cambria"/>
                <w:color w:val="1A1A1A"/>
                <w:sz w:val="18"/>
              </w:rPr>
              <w:t xml:space="preserve">+26–41 mln</w:t>
            </w:r>
          </w:p>
        </w:tc>
      </w:tr>
      <w:tr>
        <w:tc>
          <w:tcPr/>
          <w:p>
            <w:pPr>
              <w:pStyle w:val="Compact"/>
              <w:spacing w:after="40" w:before="40"/>
              <w:jc w:val="left"/>
            </w:pPr>
            <w:r>
              <w:rPr>
                <w:rFonts w:ascii="Cambria" w:hAnsi="Cambria" w:cs="Cambria" w:eastAsia="Cambria"/>
                <w:b/>
                <w:bCs/>
                <w:color w:val="1A1A1A"/>
                <w:sz w:val="18"/>
              </w:rPr>
              <w:t xml:space="preserve">Anno 5</w:t>
            </w:r>
          </w:p>
        </w:tc>
        <w:tc>
          <w:tcPr/>
          <w:p>
            <w:pPr>
              <w:pStyle w:val="Compact"/>
              <w:spacing w:after="40" w:before="40"/>
              <w:jc w:val="left"/>
            </w:pPr>
            <w:r>
              <w:rPr>
                <w:rFonts w:ascii="Cambria" w:hAnsi="Cambria" w:cs="Cambria" w:eastAsia="Cambria"/>
                <w:color w:val="1A1A1A"/>
                <w:sz w:val="18"/>
              </w:rPr>
              <w:t xml:space="preserve">Pieno regime</w:t>
            </w:r>
          </w:p>
        </w:tc>
        <w:tc>
          <w:tcPr/>
          <w:p>
            <w:pPr>
              <w:pStyle w:val="Compact"/>
              <w:spacing w:after="40" w:before="40"/>
              <w:jc w:val="left"/>
            </w:pPr>
            <w:r>
              <w:rPr>
                <w:rFonts w:ascii="Cambria" w:hAnsi="Cambria" w:cs="Cambria" w:eastAsia="Cambria"/>
                <w:color w:val="1A1A1A"/>
                <w:sz w:val="18"/>
              </w:rPr>
              <w:t xml:space="preserve">45–78 mln (≈55)</w:t>
            </w:r>
          </w:p>
        </w:tc>
        <w:tc>
          <w:tcPr/>
          <w:p>
            <w:pPr>
              <w:pStyle w:val="Compact"/>
              <w:spacing w:after="40" w:before="40"/>
              <w:jc w:val="left"/>
            </w:pPr>
            <w:r>
              <w:rPr>
                <w:rFonts w:ascii="Cambria" w:hAnsi="Cambria" w:cs="Cambria" w:eastAsia="Cambria"/>
                <w:color w:val="1A1A1A"/>
                <w:sz w:val="18"/>
              </w:rPr>
              <w:t xml:space="preserve">≈ 4 mln</w:t>
            </w:r>
          </w:p>
        </w:tc>
        <w:tc>
          <w:tcPr/>
          <w:p>
            <w:pPr>
              <w:pStyle w:val="Compact"/>
              <w:spacing w:after="40" w:before="40"/>
              <w:jc w:val="left"/>
            </w:pPr>
            <w:r>
              <w:rPr>
                <w:rFonts w:ascii="Cambria" w:hAnsi="Cambria" w:cs="Cambria" w:eastAsia="Cambria"/>
                <w:color w:val="1A1A1A"/>
                <w:sz w:val="18"/>
              </w:rPr>
              <w:t xml:space="preserve">+41–74 mln</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10</w:t>
            </w:r>
          </w:p>
        </w:tc>
        <w:tc>
          <w:tcPr>
            <w:shd w:val="clear" w:color="auto" w:fill="F4F1EC"/>
          </w:tcPr>
          <w:p>
            <w:pPr>
              <w:pStyle w:val="Compact"/>
              <w:spacing w:after="40" w:before="40"/>
              <w:jc w:val="left"/>
            </w:pPr>
            <w:r>
              <w:rPr>
                <w:rFonts w:ascii="Cambria" w:hAnsi="Cambria" w:cs="Cambria" w:eastAsia="Cambria"/>
                <w:color w:val="1A1A1A"/>
                <w:sz w:val="18"/>
              </w:rPr>
              <w:t xml:space="preserve">Maturo (strumenti evoluti)</w:t>
            </w:r>
          </w:p>
        </w:tc>
        <w:tc>
          <w:tcPr>
            <w:shd w:val="clear" w:color="auto" w:fill="F4F1EC"/>
          </w:tcPr>
          <w:p>
            <w:pPr>
              <w:pStyle w:val="Compact"/>
              <w:spacing w:after="40" w:before="40"/>
              <w:jc w:val="left"/>
            </w:pPr>
            <w:r>
              <w:rPr>
                <w:rFonts w:ascii="Cambria" w:hAnsi="Cambria" w:cs="Cambria" w:eastAsia="Cambria"/>
                <w:color w:val="1A1A1A"/>
                <w:sz w:val="18"/>
              </w:rPr>
              <w:t xml:space="preserve">60–100 mln</w:t>
            </w:r>
          </w:p>
        </w:tc>
        <w:tc>
          <w:tcPr>
            <w:shd w:val="clear" w:color="auto" w:fill="F4F1EC"/>
          </w:tcPr>
          <w:p>
            <w:pPr>
              <w:pStyle w:val="Compact"/>
              <w:spacing w:after="40" w:before="40"/>
              <w:jc w:val="left"/>
            </w:pPr>
            <w:r>
              <w:rPr>
                <w:rFonts w:ascii="Cambria" w:hAnsi="Cambria" w:cs="Cambria" w:eastAsia="Cambria"/>
                <w:color w:val="1A1A1A"/>
                <w:sz w:val="18"/>
              </w:rPr>
              <w:t xml:space="preserve">4–5 mln</w:t>
            </w:r>
          </w:p>
        </w:tc>
        <w:tc>
          <w:tcPr>
            <w:shd w:val="clear" w:color="auto" w:fill="F4F1EC"/>
          </w:tcPr>
          <w:p>
            <w:pPr>
              <w:pStyle w:val="Compact"/>
              <w:spacing w:after="40" w:before="40"/>
              <w:jc w:val="left"/>
            </w:pPr>
            <w:r>
              <w:rPr>
                <w:rFonts w:ascii="Cambria" w:hAnsi="Cambria" w:cs="Cambria" w:eastAsia="Cambria"/>
                <w:color w:val="1A1A1A"/>
                <w:sz w:val="18"/>
              </w:rPr>
              <w:t xml:space="preserve">+56–95 mln</w:t>
            </w:r>
          </w:p>
        </w:tc>
      </w:tr>
    </w:tbl>
    <w:p>
      <w:pPr>
        <w:pStyle w:val="BodyText"/>
      </w:pPr>
      <w:r>
        <w:rPr>
          <w:i/>
          <w:iCs/>
        </w:rPr>
        <w:t xml:space="preserve">Tabella 4. Proiezione temporale dei risparmi incrementali della strategia IA con formazione strutturata e del relativo saldo netto. Valori in euro/anno. La voce</w:t>
      </w:r>
      <w:r>
        <w:rPr>
          <w:b/>
          <w:bCs/>
          <w:i/>
          <w:iCs/>
        </w:rPr>
        <w:t xml:space="preserve"> </w:t>
      </w:r>
      <w:r>
        <w:rPr>
          <w:i/>
          <w:iCs/>
        </w:rPr>
        <w:t xml:space="preserve">‘</w:t>
      </w:r>
      <w:r>
        <w:rPr>
          <w:b/>
          <w:bCs/>
          <w:i/>
          <w:iCs/>
        </w:rPr>
        <w:t xml:space="preserve">risparmi incrementali</w:t>
      </w:r>
      <w:r>
        <w:rPr>
          <w:i/>
          <w:iCs/>
        </w:rPr>
        <w:t xml:space="preserve">’</w:t>
      </w:r>
      <w:r>
        <w:rPr>
          <w:b/>
          <w:bCs/>
          <w:i/>
          <w:iCs/>
        </w:rPr>
        <w:t xml:space="preserve"> </w:t>
      </w:r>
      <w:r>
        <w:rPr>
          <w:i/>
          <w:iCs/>
        </w:rPr>
        <w:t xml:space="preserve">include sia la quota catturabile con la mera disponibilità degli strumenti sia il delta formativo.</w:t>
      </w:r>
    </w:p>
    <w:p>
      <w:pPr>
        <w:pStyle w:val="BodyText"/>
      </w:pPr>
      <w:r>
        <w:t xml:space="preserve">Già nel primo anno, nonostante l’incidenza del costo di avvio, il saldo netto è positivo. A regime, dal quinto anno, i risparmi incrementali si collocano nell’ordine di 45–78 milioni di euro annui, con valore centrale di circa 55 milioni, a fronte di un costo programmatico stabile intorno ai 4 milioni. Sommando tali risparmi incrementali a quelli del modello base, lo</w:t>
      </w:r>
      <w:r>
        <w:t xml:space="preserve"> </w:t>
      </w:r>
      <w:r>
        <w:rPr>
          <w:b/>
          <w:bCs/>
        </w:rPr>
        <w:t xml:space="preserve">stack complessivo</w:t>
      </w:r>
      <w:r>
        <w:t xml:space="preserve"> </w:t>
      </w:r>
      <w:r>
        <w:t xml:space="preserve">— modello base, strumenti di IA e formazione strutturata — porta i risparmi diretti annui a regime in un intervallo dell’ordine di 315–350 milioni di euro, rispetto ai circa 270 milioni del solo modello base.</w:t>
      </w:r>
    </w:p>
    <w:bookmarkEnd w:id="2151"/>
    <w:bookmarkStart w:id="2152" w:name="scalatura-nazionale"/>
    <w:p>
      <w:pPr>
        <w:pStyle w:val="Heading3"/>
      </w:pPr>
      <w:r>
        <w:t xml:space="preserve">6.6 Scalatura nazionale</w:t>
      </w:r>
    </w:p>
    <w:p>
      <w:pPr>
        <w:pStyle w:val="FirstParagraph"/>
      </w:pPr>
      <w:r>
        <w:t xml:space="preserve">La Puglia rappresenta una quota dell’ordine di un quindicesimo della popolazione nazionale. Applicando il medesimo modello al territorio italiano, i risparmi incrementali a regime della strategia IA con formazione strutturata si collocherebbero, in prima approssimazione e con le cautele proprie di ogni estrapolazione, in un intervallo dell’ordine di alcune centinaia di milioni fino a oltre un miliardo di euro annui. Tale ordine di grandezza è coerente con l’intervallo di 600 milioni–2,7 miliardi di euro annui indicato per l’integrazione complessiva dell’IA nei capitoli precedenti, di cui la componente formativa costituisce il fattore abilitante. La scalatura nazionale conferma che l’investimento sulle competenze, contenuto in valore assoluto, agisce da leva su pool di spesa di ordine di grandezza superiore, generando un ritorno la cui rilevanza cresce con la dimensione del sistema su cui è applicato.</w:t>
      </w:r>
    </w:p>
    <w:bookmarkEnd w:id="2152"/>
    <w:bookmarkEnd w:id="2153"/>
    <w:bookmarkStart w:id="2156" w:name="Xd545174885d3ea21f4c8b0c458a6b8977fe8fde"/>
    <w:p>
      <w:pPr>
        <w:pStyle w:val="Heading2"/>
      </w:pPr>
      <w:r>
        <w:t xml:space="preserve">7. Analisi di sensibilità e gestione dei rischi</w:t>
      </w:r>
    </w:p>
    <w:p>
      <w:pPr>
        <w:pStyle w:val="FirstParagraph"/>
      </w:pPr>
      <w:r>
        <w:t xml:space="preserve">La robustezza della stima richiede l’esplicitazione delle variabili da cui i risultati dipendono in misura maggiore e la valutazione delle condizioni che potrebbero ridurne la realizzazione. L’analisi di sensibilità individua tre variabili critiche e i rischi associati propone misure di mitigazione.</w:t>
      </w:r>
    </w:p>
    <w:bookmarkStart w:id="2154" w:name="le-variabili-critiche-del-modello"/>
    <w:p>
      <w:pPr>
        <w:pStyle w:val="Heading3"/>
      </w:pPr>
      <w:r>
        <w:t xml:space="preserve">7.1 Le variabili critiche del modello</w:t>
      </w:r>
    </w:p>
    <w:p>
      <w:pPr>
        <w:pStyle w:val="FirstParagraph"/>
      </w:pPr>
      <w:r>
        <w:rPr>
          <w:b/>
          <w:bCs/>
        </w:rPr>
        <w:t xml:space="preserve">Profondità di adozione.</w:t>
      </w:r>
      <w:r>
        <w:t xml:space="preserve"> </w:t>
      </w:r>
      <w:r>
        <w:t xml:space="preserve">È la variabile a maggiore impatto. Il modello assume, nel regime a formazione strutturata, una profondità di adozione elevata, dell’ordine del 70–90%; una profondità inferiore comprimerebbe proporzionalmente i risparmi. Poiché la profondità di adozione è il prodotto diretto della formazione, essa è anche la variabile più direttamente governabile dalla Regione attraverso la qualità e la capillarità del programma formativo, e in particolare attraverso la componente di accompagnamento operativo, che la letteratura indica come la più efficace nel sostenere l’adozione reale.</w:t>
      </w:r>
    </w:p>
    <w:p>
      <w:pPr>
        <w:pStyle w:val="BodyText"/>
      </w:pPr>
      <w:r>
        <w:rPr>
          <w:b/>
          <w:bCs/>
        </w:rPr>
        <w:t xml:space="preserve">Percentuali di riduzione per canale.</w:t>
      </w:r>
      <w:r>
        <w:t xml:space="preserve"> </w:t>
      </w:r>
      <w:r>
        <w:t xml:space="preserve">Le percentuali applicate ai pool di spesa sono prudenziali e collocate nella parte bassa degli intervalli documentati dalla letteratura internazionale, che stima in 5–10% la riduzione potenziale della spesa sanitaria complessiva attribuibile all’IA. Un’eventuale sovrastima è contenuta dal margine prudenziale adottato; una sottostima è più probabile, poiché il modello non valorizza pienamente gli effetti di lungo periodo sulla cronicità e sui risparmi indiretti, già trattati separatamente nella relazione.</w:t>
      </w:r>
    </w:p>
    <w:p>
      <w:pPr>
        <w:pStyle w:val="BodyText"/>
      </w:pPr>
      <w:r>
        <w:rPr>
          <w:b/>
          <w:bCs/>
        </w:rPr>
        <w:t xml:space="preserve">Costo del programma formativo.</w:t>
      </w:r>
      <w:r>
        <w:t xml:space="preserve"> </w:t>
      </w:r>
      <w:r>
        <w:t xml:space="preserve">Il costo è stimato in un intervallo contenuto e in larga parte coperto da risorse esistenti. Anche raddoppiando l’estremo superiore del costo, il rapporto tra delta formativo e costo resterebbe ampiamente favorevole, a conferma della scarsa sensibilità del risultato a questa variabile.</w:t>
      </w:r>
    </w:p>
    <w:bookmarkEnd w:id="2154"/>
    <w:bookmarkStart w:id="2155" w:name="i-rischi-e-le-misure-di-mitigazione-1"/>
    <w:p>
      <w:pPr>
        <w:pStyle w:val="Heading3"/>
      </w:pPr>
      <w:r>
        <w:t xml:space="preserve">7.2 I rischi e le misure di mitigazione</w:t>
      </w:r>
    </w:p>
    <w:p>
      <w:pPr>
        <w:pStyle w:val="FirstParagraph"/>
      </w:pPr>
      <w:r>
        <w:rPr>
          <w:b/>
          <w:bCs/>
        </w:rPr>
        <w:t xml:space="preserve">Partecipazione formale.</w:t>
      </w:r>
      <w:r>
        <w:t xml:space="preserve"> </w:t>
      </w:r>
      <w:r>
        <w:t xml:space="preserve">Il rischio che la formazione continua si traduca in adempimento formale anziché in competenza sostanziale è mitigato dall’ancoraggio a crediti ECM obbligatori, dalla verifica degli apprendimenti, dalla componente pratica e di accompagnamento sul campo e dall’animazione di comunità di pratica che sostengano l’apprendimento tra pari nel tempo.</w:t>
      </w:r>
    </w:p>
    <w:p>
      <w:pPr>
        <w:pStyle w:val="BodyText"/>
      </w:pPr>
      <w:r>
        <w:rPr>
          <w:b/>
          <w:bCs/>
        </w:rPr>
        <w:t xml:space="preserve">Resistenza professionale.</w:t>
      </w:r>
      <w:r>
        <w:t xml:space="preserve"> </w:t>
      </w:r>
      <w:r>
        <w:t xml:space="preserve">Il rischio di resistenza, documentato dalla letteratura sui medici di medicina generale, è mitigato presentando l’IA come strumento di supporto che riduce il carico amministrativo e libera tempo per la relazione clinica, coinvolgendo i professionisti nella co-progettazione degli strumenti e valorizzando i referenti digitali come figure di fiducia interne alla comunità professionale anziché esterne.</w:t>
      </w:r>
    </w:p>
    <w:p>
      <w:pPr>
        <w:pStyle w:val="BodyText"/>
      </w:pPr>
      <w:r>
        <w:rPr>
          <w:b/>
          <w:bCs/>
        </w:rPr>
        <w:t xml:space="preserve">Affidamento acritico e sicurezza.</w:t>
      </w:r>
      <w:r>
        <w:t xml:space="preserve"> </w:t>
      </w:r>
      <w:r>
        <w:t xml:space="preserve">Il rischio opposto — l’eccessiva fiducia nell’output dell’algoritmo — è mitigato dalla formazione esplicita sui limiti degli strumenti, sui</w:t>
      </w:r>
      <w:r>
        <w:t xml:space="preserve"> </w:t>
      </w:r>
      <w:r>
        <w:rPr>
          <w:i/>
          <w:iCs/>
        </w:rPr>
        <w:t xml:space="preserve">bias</w:t>
      </w:r>
      <w:r>
        <w:t xml:space="preserve">, sulla calibrazione dei punteggi di rischio e sul principio della responsabilità ultima del clinico, in conformità con il quadro normativo europeo e nazionale.</w:t>
      </w:r>
    </w:p>
    <w:p>
      <w:pPr>
        <w:pStyle w:val="BodyText"/>
      </w:pPr>
      <w:r>
        <w:rPr>
          <w:b/>
          <w:bCs/>
        </w:rPr>
        <w:t xml:space="preserve">Equità e tutela dei dati.</w:t>
      </w:r>
      <w:r>
        <w:t xml:space="preserve"> </w:t>
      </w:r>
      <w:r>
        <w:t xml:space="preserve">Il rischio che l’IA amplifichi le disuguaglianze o comprometta la riservatezza è mitigato dalla selezione di strumenti validati su popolazioni rappresentative, dal monitoraggio degli esiti per sottogruppi e dalla rigorosa applicazione delle norme sulla protezione dei dati personali e sul consenso informato all’uso dell’IA. È significativo che le esperienze internazionali documentino, al contrario, un effetto di riduzione delle barriere di accesso per le categorie sotto-trattate, a indicare che un’adozione ben governata può migliorare l’equità anziché comprometterla.</w:t>
      </w:r>
    </w:p>
    <w:bookmarkEnd w:id="2155"/>
    <w:bookmarkEnd w:id="2156"/>
    <w:bookmarkStart w:id="2157" w:name="X03fd771a12ee9f1107ce6825a474043daae88b8"/>
    <w:p>
      <w:pPr>
        <w:pStyle w:val="Heading2"/>
      </w:pPr>
      <w:r>
        <w:t xml:space="preserve">8. Raccomandazioni operative per la Regione Puglia</w:t>
      </w:r>
    </w:p>
    <w:p>
      <w:pPr>
        <w:pStyle w:val="FirstParagraph"/>
      </w:pPr>
      <w:r>
        <w:t xml:space="preserve">Sulla base dell’analisi svolta, si formulano le seguenti raccomandazioni operative, ordinate secondo la priorità di attivazione.</w:t>
      </w:r>
    </w:p>
    <w:p>
      <w:pPr>
        <w:numPr>
          <w:ilvl w:val="0"/>
          <w:numId w:val="1014"/>
        </w:numPr>
      </w:pPr>
      <w:r>
        <w:rPr>
          <w:b/>
          <w:bCs/>
        </w:rPr>
        <w:t xml:space="preserve">Adottare l’architettura formativa integrata a quattro livelli</w:t>
      </w:r>
      <w:r>
        <w:t xml:space="preserve"> </w:t>
      </w:r>
      <w:r>
        <w:t xml:space="preserve">anziché scegliere una singola modalità, calibrando l’intensità di ciascun livello sull’orizzonte temporale: formazione continua e accompagnamento per il ritorno immediato, formazione post-universitaria per il consolidamento, integrazione curriculare per la sostenibilità strutturale.</w:t>
      </w:r>
    </w:p>
    <w:p>
      <w:pPr>
        <w:numPr>
          <w:ilvl w:val="0"/>
          <w:numId w:val="1014"/>
        </w:numPr>
      </w:pPr>
      <w:r>
        <w:rPr>
          <w:b/>
          <w:bCs/>
        </w:rPr>
        <w:t xml:space="preserve">Attivare immediatamente la formazione continua</w:t>
      </w:r>
      <w:r>
        <w:t xml:space="preserve"> </w:t>
      </w:r>
      <w:r>
        <w:t xml:space="preserve">sul personale in servizio, innestando moduli specifici sull’IA nelle cure primarie e nella salute mentale sulle infrastrutture già disponibili — i corsi di formazione a distanza dell’Istituto Superiore di Sanità — e accreditando crediti ECM dedicati in sanità digitale e Intelligenza Artificiale con il coinvolgimento degli Ordini professionali.</w:t>
      </w:r>
    </w:p>
    <w:p>
      <w:pPr>
        <w:numPr>
          <w:ilvl w:val="0"/>
          <w:numId w:val="1014"/>
        </w:numPr>
      </w:pPr>
      <w:r>
        <w:rPr>
          <w:b/>
          <w:bCs/>
        </w:rPr>
        <w:t xml:space="preserve">Istituire e formalizzare la figura del referente digitale</w:t>
      </w:r>
      <w:r>
        <w:t xml:space="preserve"> </w:t>
      </w:r>
      <w:r>
        <w:t xml:space="preserve">in ciascun distretto o Casa della Comunità, con tempo dedicato e riconoscimento del ruolo, quale motore dell’accompagnamento operativo e quale interfaccia tra i team clinici e quelli tecnici.</w:t>
      </w:r>
    </w:p>
    <w:p>
      <w:pPr>
        <w:numPr>
          <w:ilvl w:val="0"/>
          <w:numId w:val="1014"/>
        </w:numPr>
      </w:pPr>
      <w:r>
        <w:rPr>
          <w:b/>
          <w:bCs/>
        </w:rPr>
        <w:t xml:space="preserve">Selezionare gli strumenti di IA con criteri di sicurezza, validazione ed equità,</w:t>
      </w:r>
      <w:r>
        <w:t xml:space="preserve"> </w:t>
      </w:r>
      <w:r>
        <w:t xml:space="preserve">privilegiando le soluzioni dotate di evidenza clinica e di autorizzazione regolatoria, validate su popolazioni rappresentative e conformi al quadro normativo, e sottoponendole a taratura sul contesto clinico locale prima dell’adozione su larga scala.</w:t>
      </w:r>
    </w:p>
    <w:p>
      <w:pPr>
        <w:numPr>
          <w:ilvl w:val="0"/>
          <w:numId w:val="1014"/>
        </w:numPr>
      </w:pPr>
      <w:r>
        <w:rPr>
          <w:b/>
          <w:bCs/>
        </w:rPr>
        <w:t xml:space="preserve">Strutturare il finanziamento</w:t>
      </w:r>
      <w:r>
        <w:t xml:space="preserve"> </w:t>
      </w:r>
      <w:r>
        <w:t xml:space="preserve">riorientando le risorse già previste dal progetto per la formazione e la sanità digitale e integrandole con fondi europei per il capitale umano sanitario e con risorse ministeriali per l’aggiornamento professionale, configurando il programma come riorientamento di spesa anziché come onere netto aggiuntivo.</w:t>
      </w:r>
    </w:p>
    <w:p>
      <w:pPr>
        <w:numPr>
          <w:ilvl w:val="0"/>
          <w:numId w:val="1014"/>
        </w:numPr>
      </w:pPr>
      <w:r>
        <w:rPr>
          <w:b/>
          <w:bCs/>
        </w:rPr>
        <w:t xml:space="preserve">Istituire un sistema di monitoraggio degli esiti</w:t>
      </w:r>
      <w:r>
        <w:t xml:space="preserve"> </w:t>
      </w:r>
      <w:r>
        <w:t xml:space="preserve">che misuri la profondità di adozione, i risparmi per canale e gli esiti clinici per sottogruppi di popolazione, consentendo la calibrazione continua del programma e la verifica empirica delle proiezioni economiche.</w:t>
      </w:r>
    </w:p>
    <w:p>
      <w:pPr>
        <w:numPr>
          <w:ilvl w:val="0"/>
          <w:numId w:val="1014"/>
        </w:numPr>
      </w:pPr>
      <w:r>
        <w:rPr>
          <w:b/>
          <w:bCs/>
        </w:rPr>
        <w:t xml:space="preserve">Promuovere comunità di pratica e reti di mentoring</w:t>
      </w:r>
      <w:r>
        <w:t xml:space="preserve"> </w:t>
      </w:r>
      <w:r>
        <w:t xml:space="preserve">che colleghino i professionisti ai centri di competenza universitari, sostengano l’apprendimento tra pari e rendano il sistema progressivamente autonomo rispetto al supporto esterno.</w:t>
      </w:r>
    </w:p>
    <w:p>
      <w:pPr>
        <w:numPr>
          <w:ilvl w:val="0"/>
          <w:numId w:val="1014"/>
        </w:numPr>
      </w:pPr>
      <w:r>
        <w:rPr>
          <w:b/>
          <w:bCs/>
        </w:rPr>
        <w:t xml:space="preserve">Candidare la Puglia come regione pilota nazionale,</w:t>
      </w:r>
      <w:r>
        <w:t xml:space="preserve"> </w:t>
      </w:r>
      <w:r>
        <w:t xml:space="preserve">valorizzando l’avanzamento del progetto per accedere prioritariamente a eventuali finanziamenti ministeriali dedicati alla psicologia di base e all’Intelligenza Artificiale in sanità, e per offrire un modello replicabile a livello nazionale.</w:t>
      </w:r>
    </w:p>
    <w:bookmarkEnd w:id="2157"/>
    <w:bookmarkStart w:id="2158" w:name="conclusioni-2"/>
    <w:p>
      <w:pPr>
        <w:pStyle w:val="Heading2"/>
      </w:pPr>
      <w:r>
        <w:t xml:space="preserve">9. Conclusioni</w:t>
      </w:r>
    </w:p>
    <w:p>
      <w:pPr>
        <w:pStyle w:val="FirstParagraph"/>
      </w:pPr>
      <w:r>
        <w:t xml:space="preserve">L’analisi condotta dimostra che la formazione del medico di base e dello psicologo di base all’uso dell’Intelligenza Artificiale non costituisce un complemento accessorio del progetto</w:t>
      </w:r>
      <w:r>
        <w:t xml:space="preserve"> </w:t>
      </w:r>
      <w:r>
        <w:rPr>
          <w:i/>
          <w:iCs/>
        </w:rPr>
        <w:t xml:space="preserve">Psicologo di Base</w:t>
      </w:r>
      <w:r>
        <w:t xml:space="preserve">, bensì il fattore che ne determina la capacità di catturare il valore economico della tecnologia. La tecnologia è oggi disponibile e l’evidenza clinica è solida in ciascuna fase del continuum di cura — diagnostica, prevenzione, trattamento, riabilitazione e recupero — come documentano le oltre millequattrocento autorizzazioni regolatorie, le quasi undicimila famiglie brevettuali e i numerosi studi pilota e sperimentazioni controllate esaminati. Ciò che separa la disponibilità della tecnologia dalla realizzazione del suo valore è la competenza degli operatori, e la competenza è il prodotto della formazione.</w:t>
      </w:r>
    </w:p>
    <w:p>
      <w:pPr>
        <w:pStyle w:val="BodyText"/>
      </w:pPr>
      <w:r>
        <w:t xml:space="preserve">La quantificazione, costruita su parametri prudenziali e nel rispetto del principio di non duplicazione, indica che il valore economico specificamente imputabile all’investimento formativo — il delta formativo — si colloca a regime in un intervallo dell’ordine di 28–56 milioni di euro annui, con valore centrale prossimo a 31 milioni, a fronte di un costo programmatico dell’ordine di 4 milioni annui largamente coperto da risorse esistenti. La strategia complessiva, che unisce la disponibilità degli strumenti alla formazione strutturata, genera risparmi incrementali a regime nell’ordine di 45–78 milioni di euro annui, portando i risparmi diretti dell’intero stack a un intervallo dell’ordine di 315–350 milioni annui in Puglia, con una scalatura nazionale coerente con l’intervallo già indicato di 600 milioni–2,7 miliardi di euro annui.</w:t>
      </w:r>
    </w:p>
    <w:p>
      <w:pPr>
        <w:pStyle w:val="BodyText"/>
      </w:pPr>
      <w:r>
        <w:t xml:space="preserve">Il ritorno dell’investimento formativo — dell’ordine di sette-otto euro di risparmio per ogni euro speso nello scenario centrale, con un saldo netto positivo già dal primo anno — ne fa una delle leve a più alta efficienza dell’intero progetto. Tale ritorno si fonda su un principio unitario, ricorrente in tutte le sezioni del capitolo: l’Intelligenza Artificiale potenzia l’operato del professionista anziché sostituirlo, e proprio per questo richiede un professionista formato a esercitarla. Investire sulle competenze significa, in ultima analisi, trasformare un patrimonio tecnologico altrimenti sottoutilizzato in un patrimonio di salute pubblica e di sostenibilità finanziaria, e collocare la Regione Puglia all’avanguardia di una trasformazione che il sistema sanitario nazionale è chiamato ad affrontare nel suo complesso.</w:t>
      </w:r>
    </w:p>
    <w:bookmarkEnd w:id="2158"/>
    <w:bookmarkStart w:id="2159" w:name="fonti-e-riferimenti-essenziali"/>
    <w:p>
      <w:pPr>
        <w:pStyle w:val="Heading2"/>
      </w:pPr>
      <w:r>
        <w:t xml:space="preserve">Fonti e riferimenti essenziali</w:t>
      </w:r>
    </w:p>
    <w:p>
      <w:pPr>
        <w:pStyle w:val="FirstParagraph"/>
      </w:pPr>
      <w:r>
        <w:rPr>
          <w:i/>
          <w:iCs/>
        </w:rPr>
        <w:t xml:space="preserve">Selezione delle principali fonti scientifiche, istituzionali e brevettuali a sostegno dell’analisi. I dati quantitativi sono attribuiti nel testo alle rispettive fonti; l’elenco seguente ne raccoglie le più rilevanti, prevalentemente del periodo 2023–2026.</w:t>
      </w:r>
    </w:p>
    <w:p>
      <w:pPr>
        <w:numPr>
          <w:ilvl w:val="0"/>
          <w:numId w:val="1015"/>
        </w:numPr>
      </w:pPr>
      <w:r>
        <w:t xml:space="preserve">Habicht J. et al. (2024). Impatto di un chatbot di triage in salute mentale su circa 129.000 pazienti nei servizi pubblici inglesi. Nature Medicine.</w:t>
      </w:r>
    </w:p>
    <w:p>
      <w:pPr>
        <w:numPr>
          <w:ilvl w:val="0"/>
          <w:numId w:val="1015"/>
        </w:numPr>
      </w:pPr>
      <w:r>
        <w:t xml:space="preserve">Sahni N. et al. (2023). Stima del potenziale di riduzione della spesa sanitaria statunitense attribuibile all’IA (5–10%; 200–360 miliardi di dollari annui).</w:t>
      </w:r>
    </w:p>
    <w:p>
      <w:pPr>
        <w:numPr>
          <w:ilvl w:val="0"/>
          <w:numId w:val="1015"/>
        </w:numPr>
      </w:pPr>
      <w:r>
        <w:t xml:space="preserve">Analisi della FDA AI/ML medical device list (2025–2026): 1.451 dispositivi autorizzati a fine 2025; 295 nel 2025; tempo mediano di autorizzazione 142 giorni.</w:t>
      </w:r>
    </w:p>
    <w:p>
      <w:pPr>
        <w:numPr>
          <w:ilvl w:val="0"/>
          <w:numId w:val="1015"/>
        </w:numPr>
      </w:pPr>
      <w:r>
        <w:t xml:space="preserve">Sivakumar R. et al. (2025). Revisione sistematica delle autorizzazioni FDA di dispositivi IA/ML in radiologia. JAMA Network Open.</w:t>
      </w:r>
    </w:p>
    <w:p>
      <w:pPr>
        <w:numPr>
          <w:ilvl w:val="0"/>
          <w:numId w:val="1015"/>
        </w:numPr>
      </w:pPr>
      <w:r>
        <w:t xml:space="preserve">Studio registrativo IDx-DR per lo screening della retinopatia diabetica (819 pazienti; sensibilità ≈87%, specificità ≈90%). American Family Physician.</w:t>
      </w:r>
    </w:p>
    <w:p>
      <w:pPr>
        <w:numPr>
          <w:ilvl w:val="0"/>
          <w:numId w:val="1015"/>
        </w:numPr>
      </w:pPr>
      <w:r>
        <w:t xml:space="preserve">Revisioni sistematiche di valutazione economica dell’IA in sanità (2019–2025): npj Digital Medicine (2025); Cureus (2025); inclusa la stima di Bremer et al. sul trattamento ML della depressione (−1,98% esiti, −5,42% costi).</w:t>
      </w:r>
    </w:p>
    <w:p>
      <w:pPr>
        <w:numPr>
          <w:ilvl w:val="0"/>
          <w:numId w:val="1015"/>
        </w:numPr>
      </w:pPr>
      <w:r>
        <w:t xml:space="preserve">Modello di machine learning per il pre-screening delle richieste di visita specialistica (sistema pubblico brasiliano): specificità 80,1% vs 34,0% dei revisori umani (2025).</w:t>
      </w:r>
    </w:p>
    <w:p>
      <w:pPr>
        <w:numPr>
          <w:ilvl w:val="0"/>
          <w:numId w:val="1015"/>
        </w:numPr>
      </w:pPr>
      <w:r>
        <w:t xml:space="preserve">Forecasting AI Trends in Health Care: analisi brevettuale internazionale su cinque uffici (10.967 brevetti; raddoppio annuo 2015–2021). JMIR.</w:t>
      </w:r>
    </w:p>
    <w:p>
      <w:pPr>
        <w:numPr>
          <w:ilvl w:val="0"/>
          <w:numId w:val="1015"/>
        </w:numPr>
      </w:pPr>
      <w:r>
        <w:t xml:space="preserve">WIPO Patent Landscape Report (2024); analisi del panorama brevettuale IA (incremento &gt;800% dei brevetti di IA generativa dal 2017; +52% domande di brevetto IA in ambito farmaceutico nel 2023).</w:t>
      </w:r>
    </w:p>
    <w:p>
      <w:pPr>
        <w:numPr>
          <w:ilvl w:val="0"/>
          <w:numId w:val="1015"/>
        </w:numPr>
      </w:pPr>
      <w:r>
        <w:t xml:space="preserve">Studi su assistenti di documentazione clinica ambientale (2025): JAMA Network Open (University of Chicago Medicine: −8,5% tempo in cartella, &gt;15% tempo note); UW Health (−30 min/giorno; riduzione burnout); studio multicentrico su 1.800 clinici (≈16 min risparmiati per 8 ore); NEJM AI (trial randomizzato UCLA).</w:t>
      </w:r>
    </w:p>
    <w:p>
      <w:pPr>
        <w:numPr>
          <w:ilvl w:val="0"/>
          <w:numId w:val="1015"/>
        </w:numPr>
      </w:pPr>
      <w:r>
        <w:t xml:space="preserve">Therabot: primo studio randomizzato di un chatbot terapeutico basato su IA generativa (riduzioni sintomatologiche significative in MDD, GAD e disturbi alimentari).</w:t>
      </w:r>
    </w:p>
    <w:p>
      <w:pPr>
        <w:numPr>
          <w:ilvl w:val="0"/>
          <w:numId w:val="1015"/>
        </w:numPr>
      </w:pPr>
      <w:r>
        <w:t xml:space="preserve">Terapie digitali approvate dalla FDA: Rejoyn (MDD, 2024); EndeavorRx (ADHD, 2020); NightWare (PTSD, 2020); Wysa (Breakthrough Device Designation, 2022).</w:t>
      </w:r>
    </w:p>
    <w:p>
      <w:pPr>
        <w:numPr>
          <w:ilvl w:val="0"/>
          <w:numId w:val="1015"/>
        </w:numPr>
      </w:pPr>
      <w:r>
        <w:t xml:space="preserve">Revisioni e meta-analisi sull’IA nella riabilitazione e neuroriabilitazione (2024–2026): efficacia della terapia robotica e dei sistemi adattivi; sistema ibrido robotica-stimolazione (+44% ROM, +45% coppia attiva, −36% coppia passiva).</w:t>
      </w:r>
    </w:p>
    <w:p>
      <w:pPr>
        <w:numPr>
          <w:ilvl w:val="0"/>
          <w:numId w:val="1015"/>
        </w:numPr>
      </w:pPr>
      <w:r>
        <w:t xml:space="preserve">Studi su analitica predittiva e marcatori digitali in salute mentale: predizione della recidiva depressiva entro 2 anni; predizione delle ricadute psicotiche da sensori indossabili.</w:t>
      </w:r>
    </w:p>
    <w:p>
      <w:pPr>
        <w:numPr>
          <w:ilvl w:val="0"/>
          <w:numId w:val="1015"/>
        </w:numPr>
      </w:pPr>
      <w:r>
        <w:t xml:space="preserve">Revisioni su IA e cure primarie: The Lancet Primary Care (2025); Journal of Medical Internet Research (2025); studio qualitativo su MMG di Londra (2024).</w:t>
      </w:r>
    </w:p>
    <w:p>
      <w:pPr>
        <w:numPr>
          <w:ilvl w:val="0"/>
          <w:numId w:val="1015"/>
        </w:numPr>
      </w:pPr>
      <w:r>
        <w:t xml:space="preserve">American Board of Family Medicine: competenze per l’uso dell’IA nelle cure primarie; National Academy of Medicine: raccomandazioni sull’addestramento all’IA dei professionisti sanitari.</w:t>
      </w:r>
    </w:p>
    <w:p>
      <w:pPr>
        <w:numPr>
          <w:ilvl w:val="0"/>
          <w:numId w:val="1015"/>
        </w:numPr>
      </w:pPr>
      <w:r>
        <w:t xml:space="preserve">Iniziative formative: Istituto Superiore di Sanità (corsi FAD su IA per professioni sanitarie); Università di Bologna (alta formazione in IA applicata a medicina e chirurgia); dati su copertura dell’IA nei curricula medici statunitensi (77%).</w:t>
      </w:r>
    </w:p>
    <w:p>
      <w:pPr>
        <w:numPr>
          <w:ilvl w:val="0"/>
          <w:numId w:val="1015"/>
        </w:numPr>
      </w:pPr>
      <w:r>
        <w:t xml:space="preserve">Documenti di progetto: relazione tecnico-finanziaria del progetto Psicologo di Base (capitoli su modello organizzativo, costi diretti, risparmi diretti e indiretti, saldo economico complessivo e integrazione dell’IA).</w:t>
      </w:r>
    </w:p>
    <w:p>
      <w:pPr>
        <w:pStyle w:val="FirstParagraph"/>
      </w:pPr>
      <w:r>
        <w:rPr>
          <w:b/>
          <w:bCs/>
        </w:rPr>
        <w:t xml:space="preserve">Nota metodologica.</w:t>
      </w:r>
      <w:r>
        <w:t xml:space="preserve"> </w:t>
      </w:r>
      <w:r>
        <w:rPr>
          <w:i/>
          <w:iCs/>
        </w:rPr>
        <w:t xml:space="preserve">Le proiezioni economiche costituiscono stime prudenziali a scopo di pianificazione, costruite per scenari e ancorate ai pool di spesa regionali documentati nella relazione. Esse non sostituiscono una valutazione economica formale condotta su dati di esito reali, che si raccomanda di attivare contestualmente all’avvio del programma attraverso il sistema di monitoraggio di cui alla raccomandazione 6.</w:t>
      </w:r>
    </w:p>
    <w:p>
      <w:pPr>
        <w:pStyle w:val="BodyText"/>
      </w:pPr>
      <w:r>
        <w:t xml:space="preserve">Regione Puglia — Servizio Sanitario Regionale · di</w:t>
      </w:r>
    </w:p>
    <w:bookmarkEnd w:id="2159"/>
    <w:bookmarkStart w:id="2215" w:name="X5db0a7ac97a6abf65bbbc51ec88ae3aa552173f"/>
    <w:p>
      <w:pPr>
        <w:pStyle w:val="Heading2"/>
      </w:pPr>
      <w:r>
        <w:t xml:space="preserve">Appendice A — Approfondimento clinico per fase del continuum assistenziale</w:t>
      </w:r>
    </w:p>
    <w:p>
      <w:pPr>
        <w:pStyle w:val="FirstParagraph"/>
      </w:pPr>
      <w:r>
        <w:rPr>
          <w:i/>
          <w:iCs/>
        </w:rPr>
        <w:t xml:space="preserve">Dispositivi autorizzati, panorama brevettuale, studi pilota ed esperienze internazionali, con applicazione al modello pugliese delle cure primarie. Le note bibliografiche richiamate in questa appendice sono raccolte in calce al documento.</w:t>
      </w:r>
    </w:p>
    <w:bookmarkStart w:id="2162" w:name="premessa-16"/>
    <w:p>
      <w:pPr>
        <w:pStyle w:val="Heading3"/>
      </w:pPr>
      <w:r>
        <w:t xml:space="preserve">Premessa</w:t>
      </w:r>
    </w:p>
    <w:p>
      <w:pPr>
        <w:pStyle w:val="FirstParagraph"/>
      </w:pPr>
      <w:r>
        <w:t xml:space="preserve">Il presente documento costituisce l’approfondimento della sezione dedicata alle potenzialità cliniche dell’Intelligenza Artificiale già introdotta nel capitolo integrativo sulla formazione della squadra delle cure primarie. Mentre quel capitolo collocava le potenzialità dell’IA all’interno del ragionamento economico complessivo, qui esse vengono ricostruite in modo analitico lungo le cinque dimensioni del continuum assistenziale — diagnostica, prevenzione, trattamento, riabilitazione, recupero — dando conto, per ciascuna, dei dispositivi effettivamente autorizzati dalle agenzie regolatorie, del panorama brevettuale mondiale, degli studi pilota e controllati più autorevoli e delle esperienze internazionali di implementazione. L’obiettivo è fornire alla programmazione regionale la base documentale necessaria a tradurre la potenzialità in scelte concrete di adozione e di formazione, e a sostenere in sede tecnico-amministrativa la stima dell’ulteriore riduzione di spesa.</w:t>
      </w:r>
    </w:p>
    <w:p>
      <w:pPr>
        <w:pStyle w:val="BodyText"/>
      </w:pPr>
      <w:r>
        <w:t xml:space="preserve">Due avvertenze metodologiche orientano la lettura. La prima riguarda la maturità dell’evidenza: il campo è in espansione rapidissima — la sola agenzia statunitense aveva autorizzato circa 950 dispositivi medici abilitati all’IA al 7 agosto 2024, in larga prevalenza in radiologia</w:t>
      </w:r>
      <w:r>
        <w:rPr>
          <w:rStyle w:val="FootnoteReference"/>
        </w:rPr>
        <w:footnoteReference w:id="929"/>
      </w:r>
      <w:r>
        <w:t xml:space="preserve"> </w:t>
      </w:r>
      <w:r>
        <w:t xml:space="preserve">— ma una quota ridotta dei dispositivi disponibili è sostenuta da studi clinici randomizzati, e la trasparenza sui dati di addestramento resta spesso limitata.</w:t>
      </w:r>
      <w:r>
        <w:rPr>
          <w:rStyle w:val="FootnoteReference"/>
        </w:rPr>
        <w:footnoteReference w:id="930"/>
      </w:r>
      <w:r>
        <w:t xml:space="preserve"> </w:t>
      </w:r>
      <w:r>
        <w:t xml:space="preserve">Il documento privilegia pertanto gli strumenti dotati di evidenza più solida e segnala esplicitamente i limiti. La seconda avvertenza riguarda la trasferibilità: non tutte le applicazioni descritte sono pertinenti alle cure primarie pugliesi nella stessa misura, e per ciascuna dimensione si chiarisce quali funzioni siano effettivamente attivabili nello studio del medico di base e dello psicologo, e attraverso quali competenze.</w:t>
      </w:r>
    </w:p>
    <w:bookmarkEnd w:id="2162"/>
    <w:bookmarkStart w:id="2177" w:name="diagnostica-3"/>
    <w:p>
      <w:pPr>
        <w:pStyle w:val="Heading3"/>
      </w:pPr>
      <w:r>
        <w:t xml:space="preserve">1. Diagnostica</w:t>
      </w:r>
    </w:p>
    <w:p>
      <w:pPr>
        <w:pStyle w:val="FirstParagraph"/>
      </w:pPr>
      <w:r>
        <w:t xml:space="preserve">La diagnostica è l’ambito di maggiore maturità applicativa dell’IA e quello in cui esiste l’evidenza più robusta di trasferimento di capacità specialistica al livello delle cure primarie. La radiologia ne costituisce il nucleo storico, ma il valore per il medico di base risiede soprattutto nei dispositivi che consentono di formulare una decisione diagnostica nel punto di cura, riducendo gli invii inappropriati e anticipando la diagnosi. Tre esempi, sostenuti da evidenza di qualità elevata e da autorizzazioni regolatorie, illustrano la portata del fenomeno: lo screening autonomo della retinopatia diabetica, lo screening mammografico assistito e il triage dell’ictus acuto.</w:t>
      </w:r>
    </w:p>
    <w:bookmarkStart w:id="2166" w:name="X0dcbf8f4b732701fa6aa427b17b49c337071c04"/>
    <w:p>
      <w:pPr>
        <w:pStyle w:val="Heading4"/>
      </w:pPr>
      <w:r>
        <w:t xml:space="preserve">1.1 Lo screening autonomo della retinopatia diabetica</w:t>
      </w:r>
    </w:p>
    <w:p>
      <w:pPr>
        <w:pStyle w:val="FirstParagraph"/>
      </w:pPr>
      <w:r>
        <w:t xml:space="preserve">Il sistema autonomo per la rilevazione della retinopatia diabetica rappresenta il caso paradigmatico dell’IA che porta la diagnostica specialistica nello studio del medico di base. Validato in uno studio prospettico multicentrico, ha mostrato una sensibilità dell’87,2% e una specificità del 90,7% rispetto a uno standard di lettura esperta, ed è stato il primo sistema di IA autonoma autorizzato dalla FDA in qualsiasi ambito della medicina, in grado di produrre una decisione clinica senza necessità di revisione specialistica.</w:t>
      </w:r>
      <w:r>
        <w:rPr>
          <w:rStyle w:val="FootnoteReference"/>
        </w:rPr>
        <w:footnoteReference w:id="931"/>
      </w:r>
      <w:r>
        <w:t xml:space="preserve"> </w:t>
      </w:r>
      <w:r>
        <w:t xml:space="preserve">Uno studio controllato randomizzato successivo ha documentato che l’impiego di tale sistema in età giovanile incrementa i tassi di esecuzione dello screening e di adesione al percorso di cura,</w:t>
      </w:r>
      <w:r>
        <w:rPr>
          <w:rStyle w:val="FootnoteReference"/>
        </w:rPr>
        <w:footnoteReference w:id="932"/>
      </w:r>
      <w:r>
        <w:t xml:space="preserve"> </w:t>
      </w:r>
      <w:r>
        <w:t xml:space="preserve">e l’introduzione di un codice di rimborso dedicato ha dimostrato che l’IA autonoma può essere incardinata nei meccanismi di pagamento.</w:t>
      </w:r>
      <w:r>
        <w:rPr>
          <w:rStyle w:val="FootnoteReference"/>
        </w:rPr>
        <w:footnoteReference w:id="933"/>
      </w:r>
      <w:r>
        <w:t xml:space="preserve"> </w:t>
      </w:r>
      <w:r>
        <w:t xml:space="preserve">La rilevanza per la Puglia è diretta: una complicanza che richiederebbe l’accesso allo specialista oculista può essere intercettata dal medico di base, riducendo la spesa specialistica e prevenendo la perdita della vista, con un beneficio che si manifesta sia come risparmio sia come prevenzione di una disabilità a elevato costo indiretto.</w:t>
      </w:r>
    </w:p>
    <w:bookmarkEnd w:id="2166"/>
    <w:bookmarkStart w:id="2170" w:name="lo-screening-mammografico-assistito-1"/>
    <w:p>
      <w:pPr>
        <w:pStyle w:val="Heading4"/>
      </w:pPr>
      <w:r>
        <w:t xml:space="preserve">1.2 Lo screening mammografico assistito</w:t>
      </w:r>
    </w:p>
    <w:p>
      <w:pPr>
        <w:pStyle w:val="FirstParagraph"/>
      </w:pPr>
      <w:r>
        <w:t xml:space="preserve">Negli studi prospettici sullo screening mammografico, la lettura assistita da IA ha mostrato una rilevazione del cancro non inferiore alla doppia lettura umana, a fronte di una riduzione sostanziale del carico di lavoro radiologico.</w:t>
      </w:r>
      <w:r>
        <w:rPr>
          <w:rStyle w:val="FootnoteReference"/>
        </w:rPr>
        <w:footnoteReference w:id="934"/>
      </w:r>
      <w:r>
        <w:t xml:space="preserve"> </w:t>
      </w:r>
      <w:r>
        <w:t xml:space="preserve">Pur essendo una funzione di secondo livello, essa rileva per le cure primarie perché riduce i tempi di attesa e libera capacità specialistica, contribuendo indirettamente all’appropriatezza dei percorsi attivati dal medico di base. Analogamente, nella colonscopia la visione artificiale in tempo reale incrementa il tasso di rilevazione degli adenomi senza aumentare la rimozione di tessuto non patologico, con riduzioni del costo medio della procedura comprese tra il 6,9% e il 18,9% in diversi sistemi sanitari.</w:t>
      </w:r>
      <w:r>
        <w:rPr>
          <w:rStyle w:val="FootnoteReference"/>
        </w:rPr>
        <w:footnoteReference w:id="935"/>
      </w:r>
      <w:r>
        <w:t xml:space="preserve"> </w:t>
      </w:r>
      <w:r>
        <w:t xml:space="preserve">Il meccanismo economico comune, confermato dalla revisione sistematica delle valutazioni economiche, è la riduzione delle procedure non necessarie e l’ottimizzazione dell’impiego delle risorse.</w:t>
      </w:r>
      <w:r>
        <w:rPr>
          <w:rStyle w:val="FootnoteReference"/>
        </w:rPr>
        <w:footnoteReference w:id="936"/>
      </w:r>
    </w:p>
    <w:bookmarkEnd w:id="2170"/>
    <w:bookmarkStart w:id="2174" w:name="il-triage-dellictus-acuto-1"/>
    <w:p>
      <w:pPr>
        <w:pStyle w:val="Heading4"/>
      </w:pPr>
      <w:r>
        <w:t xml:space="preserve">1.3 Il triage dell’ictus acuto</w:t>
      </w:r>
    </w:p>
    <w:p>
      <w:pPr>
        <w:pStyle w:val="FirstParagraph"/>
      </w:pPr>
      <w:r>
        <w:t xml:space="preserve">Il triage dell’ictus acuto mediante IA costituisce uno degli esempi più documentati di impatto clinico ed economico. I sistemi che rilevano in tempo reale l’occlusione di grande vaso dall’angiografia computerizzata e allertano automaticamente il team interventistico hanno mostrato, nello studio indipendente VALIDATE condotto su 166 strutture in 17 Stati e oltre 14.000 pazienti, una riduzione dei tempi di riconoscimento e di contatto con il team.</w:t>
      </w:r>
      <w:r>
        <w:rPr>
          <w:rStyle w:val="FootnoteReference"/>
        </w:rPr>
        <w:footnoteReference w:id="937"/>
      </w:r>
      <w:r>
        <w:t xml:space="preserve"> </w:t>
      </w:r>
      <w:r>
        <w:t xml:space="preserve">Una metanalisi di undici studi e oltre 15.000 pazienti ha confermato una riduzione significativa del tempo door-in door-out nei centri post-adozione,</w:t>
      </w:r>
      <w:r>
        <w:rPr>
          <w:rStyle w:val="FootnoteReference"/>
        </w:rPr>
        <w:footnoteReference w:id="938"/>
      </w:r>
      <w:r>
        <w:t xml:space="preserve"> </w:t>
      </w:r>
      <w:r>
        <w:t xml:space="preserve">e l’uso del software di IA per la rilevazione e il triage dell’ictus è stato incorporato nel 2023 tra gli standard di cura da una delle principali società scientifiche cardiovascolari, con una diffusione che copre oltre 220 milioni di vite e oltre 1.400 ospedali tra Stati Uniti ed Europa.</w:t>
      </w:r>
      <w:r>
        <w:rPr>
          <w:rStyle w:val="FootnoteReference"/>
        </w:rPr>
        <w:footnoteReference w:id="939"/>
      </w:r>
      <w:r>
        <w:t xml:space="preserve"> </w:t>
      </w:r>
      <w:r>
        <w:t xml:space="preserve">Sebbene l’ictus acuto sia gestito in ambito ospedaliero, l’esempio dimostra il principio generale, trasferibile alle cure primarie, secondo cui l’IA genera risparmio comprimendo i tempi e riducendo gli esiti avversi a elevato costo.</w:t>
      </w:r>
    </w:p>
    <w:bookmarkEnd w:id="2174"/>
    <w:bookmarkStart w:id="2176" w:name="Xf3ee7002511a60b151f91121ef4bbe66f431105"/>
    <w:p>
      <w:pPr>
        <w:pStyle w:val="Heading4"/>
      </w:pPr>
      <w:r>
        <w:t xml:space="preserve">1.4 Funzioni attivabili nelle cure primarie pugliesi</w:t>
      </w:r>
    </w:p>
    <w:p>
      <w:pPr>
        <w:pStyle w:val="FirstParagraph"/>
      </w:pPr>
      <w:r>
        <w:t xml:space="preserve">Per la squadra delle cure primarie pugliese, la diagnostica assistita da IA si traduce in tre funzioni concretamente attivabili: il supporto alla decisione diagnostica del medico di base, che riduce sia i mancati riconoscimenti sia gli accertamenti ridondanti; lo screening autonomo o semi-autonomo di condizioni ad alta prevalenza direttamente nello studio, che evita l’invio sistematico allo specialista; e il triage diagnostico, che indirizza al secondo livello soltanto i casi che ne hanno effettiva necessità. Ciascuna di queste funzioni agisce sulla voce di spesa specialistica e diagnostica, la più ampia del perimetro territoriale, alla quale il capitolo integrativo attribuisce il contributo incrementale di maggiore entità.</w:t>
      </w:r>
      <w:r>
        <w:rPr>
          <w:rStyle w:val="FootnoteReference"/>
        </w:rPr>
        <w:footnoteReference w:id="940"/>
      </w:r>
      <w:r>
        <w:t xml:space="preserve"> </w:t>
      </w:r>
      <w:r>
        <w:t xml:space="preserve">La condizione perché il beneficio si realizzi è che il medico di base sia formato a interpretare gli esiti, a riconoscere i falsi positivi e negativi e ad applicare i criteri di invio appropriato, competenze che la formazione continua e l’accompagnamento sul campo sono chiamati a generare.</w:t>
      </w:r>
    </w:p>
    <w:bookmarkEnd w:id="2176"/>
    <w:bookmarkEnd w:id="2177"/>
    <w:bookmarkStart w:id="2183" w:name="prevenzione-e-predizione-2"/>
    <w:p>
      <w:pPr>
        <w:pStyle w:val="Heading3"/>
      </w:pPr>
      <w:r>
        <w:t xml:space="preserve">2. Prevenzione e predizione</w:t>
      </w:r>
    </w:p>
    <w:p>
      <w:pPr>
        <w:pStyle w:val="FirstParagraph"/>
      </w:pPr>
      <w:r>
        <w:t xml:space="preserve">La prevenzione è l’ambito in cui l’IA esprime la propria specificità più marcata, poiché l’analisi predittiva consente di anticipare l’evento clinico anziché limitarsi a reagirvi. Il valore non risiede nella sola accuratezza del modello, ma nella sua capacità di indirizzare interventi proattivi sui soggetti a maggiore rischio, trasformando l’assistenza da reattiva a preventiva. La presente sezione esamina due famiglie di applicazioni rilevanti per le cure primarie: la stratificazione del rischio finalizzata alla riduzione delle riospedalizzazioni e delle riacutizzazioni, e la rilevazione precoce di condizioni silenti ad alto impatto.</w:t>
      </w:r>
    </w:p>
    <w:bookmarkStart w:id="2180" w:name="X45dab0ca38d9824155afdf3fb1c24152a59085a"/>
    <w:p>
      <w:pPr>
        <w:pStyle w:val="Heading4"/>
      </w:pPr>
      <w:r>
        <w:t xml:space="preserve">2.1 La stratificazione del rischio e la riduzione delle riospedalizzazioni</w:t>
      </w:r>
    </w:p>
    <w:p>
      <w:pPr>
        <w:pStyle w:val="FirstParagraph"/>
      </w:pPr>
      <w:r>
        <w:t xml:space="preserve">I modelli di stratificazione del rischio, alimentati dai dati delle cartelle cliniche, dai parametri raccolti dai dispositivi indossabili e dai determinanti sociali di salute, identificano con accuratezza superiore al solo giudizio clinico i pazienti a maggiore rischio di riacutizzazione o di riospedalizzazione. Gli studi prospettici documentano riduzioni delle riammissioni a trenta giorni comprese tra il 10% e il 50% quando il modello è collegato a un’azione clinica definita; un sistema ospedaliero ha dimezzato in diciotto mesi un costo annuo di alcuni milioni di dollari per riammissioni evitabili.</w:t>
      </w:r>
      <w:r>
        <w:rPr>
          <w:rStyle w:val="FootnoteReference"/>
        </w:rPr>
        <w:footnoteReference w:id="941"/>
      </w:r>
      <w:r>
        <w:t xml:space="preserve"> </w:t>
      </w:r>
      <w:r>
        <w:t xml:space="preserve">La condizione di efficacia, ricorrente nella letteratura, è che la predizione non migliora di per sé gli esiti se non è tradotta in un intervento: il valore del modello risiede nel collegamento tra l’output di rischio e un’azione del professionista, quale la programmazione di un controllo, l’intensificazione del monitoraggio o l’attivazione di un percorso domiciliare.</w:t>
      </w:r>
      <w:r>
        <w:rPr>
          <w:rStyle w:val="FootnoteReference"/>
        </w:rPr>
        <w:footnoteReference w:id="942"/>
      </w:r>
      <w:r>
        <w:t xml:space="preserve"> </w:t>
      </w:r>
      <w:r>
        <w:t xml:space="preserve">È precisamente il punto in cui la formazione diviene decisiva, poiché lo stesso modello produce risparmio elevato in mano a un professionista formato a interpretarne l’avviso e ad agire di conseguenza, e nessun risparmio in mano a un professionista che lo ignora o ne diffida.</w:t>
      </w:r>
    </w:p>
    <w:bookmarkEnd w:id="2180"/>
    <w:bookmarkStart w:id="2182" w:name="X9e44100498670ca29c111097f39cace233ee966"/>
    <w:p>
      <w:pPr>
        <w:pStyle w:val="Heading4"/>
      </w:pPr>
      <w:r>
        <w:t xml:space="preserve">2.2 La rilevazione precoce di condizioni silenti</w:t>
      </w:r>
    </w:p>
    <w:p>
      <w:pPr>
        <w:pStyle w:val="FirstParagraph"/>
      </w:pPr>
      <w:r>
        <w:t xml:space="preserve">Una seconda famiglia di applicazioni preventive riguarda la rilevazione di condizioni silenti ma ad alto impatto, la cui intercettazione precoce modifica radicalmente la prognosi e il costo. L’esempio della fibrillazione atriale parossistica è emblematico: il suo riconoscimento consente di sostituire una terapia inadeguata con una anticoagulazione appropriata, prevenendo l’ictus cardioembolico; piattaforme di coordinamento basate su IA collegano direttamente i team neurologici e cardiologici per la valutazione prima della dimissione, e i dispositivi indossabili a uso diffuso hanno reso possibile la rilevazione opportunistica dell’aritmia.</w:t>
      </w:r>
      <w:r>
        <w:rPr>
          <w:rStyle w:val="FootnoteReference"/>
        </w:rPr>
        <w:footnoteReference w:id="943"/>
      </w:r>
      <w:r>
        <w:t xml:space="preserve"> </w:t>
      </w:r>
      <w:r>
        <w:t xml:space="preserve">Per le cure primarie pugliesi, la stratificazione del rischio consente di anticipare le riacutizzazioni delle patologie croniche a forte componente psicosomatica, di intercettare i pazienti ad alta utilizzazione dei servizi prima che generino accessi impropri e di indirizzare lo psicologo di base verso i pazienti a maggiore rischio di cronicizzazione del disturbo mentale comune, integrandosi con la funzione di filtro già prevista dal progetto. Il risparmio connesso a questa dimensione si concentra sulla riduzione dei ricoveri evitabili e degli accessi in urgenza, voci a elevato costo unitario, e cresce nel tempo.</w:t>
      </w:r>
    </w:p>
    <w:bookmarkEnd w:id="2182"/>
    <w:bookmarkEnd w:id="2183"/>
    <w:bookmarkStart w:id="2199" w:name="trattamento-3"/>
    <w:p>
      <w:pPr>
        <w:pStyle w:val="Heading3"/>
      </w:pPr>
      <w:r>
        <w:t xml:space="preserve">3. Trattamento</w:t>
      </w:r>
    </w:p>
    <w:p>
      <w:pPr>
        <w:pStyle w:val="FirstParagraph"/>
      </w:pPr>
      <w:r>
        <w:t xml:space="preserve">Il trattamento è la dimensione di più diretta pertinenza per il servizio di psicologia di base e quella in cui l’evidenza più recente ha prodotto i risultati di maggiore rilievo. Essa si articola in quattro filoni: gli agenti conversazionali per i disturbi mentali comuni, i dispositivi terapeutici digitali su prescrizione, il sostegno alla decisione clinica e l’alleggerimento del carico documentale. Ciascuno contribuisce, per via diretta o indiretta, alla riduzione della spesa e all’estensione della capacità del servizio.</w:t>
      </w:r>
    </w:p>
    <w:bookmarkStart w:id="2188" w:name="X7d7b5f4d8b1940f278869730b9ec1008a36a32b"/>
    <w:p>
      <w:pPr>
        <w:pStyle w:val="Heading4"/>
      </w:pPr>
      <w:r>
        <w:t xml:space="preserve">3.1 Gli agenti conversazionali per i disturbi mentali comuni</w:t>
      </w:r>
    </w:p>
    <w:p>
      <w:pPr>
        <w:pStyle w:val="FirstParagraph"/>
      </w:pPr>
      <w:r>
        <w:t xml:space="preserve">L’evidenza più autorevole proviene dal primo studio controllato randomizzato di un agente di IA generativa per la psicoterapia, condotto su un campione nazionale di duecentodieci adulti con sintomi clinicamente significativi di depressione maggiore, disturbo d’ansia generalizzato o rischio elevato di disturbo del comportamento alimentare. A otto settimane lo studio ha documentato una riduzione dei sintomi depressivi del 51%, dei sintomi ansiosi del 31% e delle preoccupazioni alimentari del 19%, con un’alleanza terapeutica percepita comparabile a quella stabilita con un professionista umano.</w:t>
      </w:r>
      <w:r>
        <w:rPr>
          <w:rStyle w:val="FootnoteReference"/>
        </w:rPr>
        <w:footnoteReference w:id="944"/>
      </w:r>
      <w:r>
        <w:t xml:space="preserve"> </w:t>
      </w:r>
      <w:r>
        <w:t xml:space="preserve">Evidenze precedenti, su orizzonti più brevi, avevano già mostrato l’efficacia di assistenti conversazionali basati sulla terapia cognitivo-comportamentale nel ridurre i sintomi depressivi e ansiosi,</w:t>
      </w:r>
      <w:r>
        <w:rPr>
          <w:rStyle w:val="FootnoteReference"/>
        </w:rPr>
        <w:footnoteReference w:id="945"/>
      </w:r>
      <w:r>
        <w:t xml:space="preserve"> </w:t>
      </w:r>
      <w:r>
        <w:t xml:space="preserve">e strumenti analoghi sono impiegati nei servizi nazionali di terapie psicologiche del Regno Unito.</w:t>
      </w:r>
      <w:r>
        <w:rPr>
          <w:rStyle w:val="FootnoteReference"/>
        </w:rPr>
        <w:footnoteReference w:id="946"/>
      </w:r>
      <w:r>
        <w:t xml:space="preserve"> </w:t>
      </w:r>
      <w:r>
        <w:t xml:space="preserve">Questi risultati vanno letti con l’avvertimento esplicito degli autori: nessun agente generativo è oggi idoneo a operare in piena autonomia in salute mentale, e il suo impiego presuppone la supervisione clinica.</w:t>
      </w:r>
      <w:r>
        <w:rPr>
          <w:rStyle w:val="FootnoteReference"/>
        </w:rPr>
        <w:footnoteReference w:id="947"/>
      </w:r>
      <w:r>
        <w:t xml:space="preserve"> </w:t>
      </w:r>
      <w:r>
        <w:t xml:space="preserve">Ne discende il modello appropriato per le cure primarie pugliesi, nel quale l’IA conversazionale non sostituisce lo psicologo di base ma ne estende la capacità di presa in carico ai casi lievi e nei tempi di attesa, operando come primo livello sotto supervisione.</w:t>
      </w:r>
    </w:p>
    <w:bookmarkEnd w:id="2188"/>
    <w:bookmarkStart w:id="2194" w:name="Xc95946eca89c4bb32180ef4802b40b7ac912c8d"/>
    <w:p>
      <w:pPr>
        <w:pStyle w:val="Heading4"/>
      </w:pPr>
      <w:r>
        <w:t xml:space="preserve">3.2 I dispositivi terapeutici digitali su prescrizione</w:t>
      </w:r>
    </w:p>
    <w:p>
      <w:pPr>
        <w:pStyle w:val="FirstParagraph"/>
      </w:pPr>
      <w:r>
        <w:t xml:space="preserve">Una categoria di crescente rilevanza, perché dotata di autorizzazione regolatoria e di studi controllati a sostegno, è quella dei dispositivi terapeutici digitali su prescrizione, ossia software che il clinico prescrive al pari di un farmaco e che erogano interventi strutturati a efficacia dimostrata. Nel disturbo depressivo maggiore, il primo dispositivo del genere è stato autorizzato dalla FDA nell’aprile 2024 come adiuvante della cura ambulatoriale negli adulti, sulla base di uno studio di fase 3 randomizzato in doppio cieco su 386 pazienti.</w:t>
      </w:r>
      <w:r>
        <w:rPr>
          <w:rStyle w:val="FootnoteReference"/>
        </w:rPr>
        <w:footnoteReference w:id="948"/>
      </w:r>
      <w:r>
        <w:t xml:space="preserve"> </w:t>
      </w:r>
      <w:r>
        <w:t xml:space="preserve">Nell’insonnia cronica — condizione strettamente associata a depressione e ansia — due dispositivi distinti erogano la terapia cognitivo-comportamentale per l’insonnia, riconosciuta come trattamento di prima linea: il primo, autorizzato nel 2020, ha mostrato in due studi randomizzati su oltre 1.400 adulti una riduzione della gravità dell’insonnia di circa il 45%, mantenuta a sei e dodici mesi;</w:t>
      </w:r>
      <w:r>
        <w:rPr>
          <w:rStyle w:val="FootnoteReference"/>
        </w:rPr>
        <w:footnoteReference w:id="949"/>
      </w:r>
      <w:r>
        <w:t xml:space="preserve"> </w:t>
      </w:r>
      <w:r>
        <w:t xml:space="preserve">il secondo, autorizzato nell’agosto 2024, è sostenuto da oltre venticinque studi clinici.</w:t>
      </w:r>
      <w:r>
        <w:rPr>
          <w:rStyle w:val="FootnoteReference"/>
        </w:rPr>
        <w:footnoteReference w:id="950"/>
      </w:r>
      <w:r>
        <w:t xml:space="preserve"> </w:t>
      </w:r>
      <w:r>
        <w:t xml:space="preserve">Ulteriori dispositivi autorizzati coprono i disturbi da uso di sostanze e da oppioidi, la depressione post-partum, la depressione adolescenziale e gli incubi nel disturbo post-traumatico da stress.</w:t>
      </w:r>
      <w:r>
        <w:rPr>
          <w:rStyle w:val="FootnoteReference"/>
        </w:rPr>
        <w:footnoteReference w:id="951"/>
      </w:r>
    </w:p>
    <w:p>
      <w:pPr>
        <w:pStyle w:val="BodyText"/>
      </w:pPr>
      <w:r>
        <w:t xml:space="preserve">La rilevanza per la Puglia di questa categoria è duplice. Sotto il profilo clinico, i dispositivi terapeutici digitali su prescrizione offrono al medico di base e allo psicologo strumenti a efficacia documentata per i disturbi più frequenti, impiegabili come adiuvante o come primo livello sotto supervisione, e dunque idonei a estendere la capacità di presa in carico del servizio. Sotto il profilo della sostenibilità, l’introduzione, da parte dei sistemi di pagamento di altri Paesi, di codici di rimborso dedicati e l’avvio della copertura assicurativa di tali dispositivi dimostrano che essi possono essere incardinati nei meccanismi di finanziamento,</w:t>
      </w:r>
      <w:r>
        <w:rPr>
          <w:rStyle w:val="FootnoteReference"/>
        </w:rPr>
        <w:footnoteReference w:id="952"/>
      </w:r>
      <w:r>
        <w:t xml:space="preserve"> </w:t>
      </w:r>
      <w:r>
        <w:t xml:space="preserve">condizione necessaria perché il risparmio clinico si traduca in sostenibilità di sistema. La loro adozione presuppone, però, che il professionista sia formato a selezionare il dispositivo appropriato, a integrarlo nel percorso di cura e a monitorarne gli esiti, e che la Regione ne verifichi la conformità al quadro regolatorio europeo.</w:t>
      </w:r>
    </w:p>
    <w:bookmarkEnd w:id="2194"/>
    <w:bookmarkStart w:id="2198" w:name="X262bbe6db78df990b6b57ae416731db98e953cc"/>
    <w:p>
      <w:pPr>
        <w:pStyle w:val="Heading4"/>
      </w:pPr>
      <w:r>
        <w:t xml:space="preserve">3.3 Il sostegno alla decisione e l’alleggerimento del carico documentale</w:t>
      </w:r>
    </w:p>
    <w:p>
      <w:pPr>
        <w:pStyle w:val="FirstParagraph"/>
      </w:pPr>
      <w:r>
        <w:t xml:space="preserve">Il terzo e il quarto filone agiscono sull’efficienza del professionista. Il sostegno alla decisione clinica orienta la scelta dell’intervento e il monitoraggio degli esiti mediante misure standardizzate, e contribuisce all’appropriatezza prescrittiva, poiché una migliore gestione psicologica del disturbo comune riduce il ricorso inappropriato a psicofarmaci e analgesici. L’alleggerimento del carico documentale, mediante gli assistenti di documentazione clinica ambientale che generano automaticamente la nota a partire dal colloquio, produce un risparmio indiretto ma documentato: gli studi, inclusi disegni randomizzati pragmatici, riportano una riduzione del tempo dedicato alla documentazione dell’ordine di venti-trenta minuti per giornata di ambulatorio per operatore, con riduzione del burnout e migliore accuratezza della codifica.</w:t>
      </w:r>
      <w:r>
        <w:rPr>
          <w:rStyle w:val="FootnoteReference"/>
        </w:rPr>
        <w:footnoteReference w:id="953"/>
      </w:r>
      <w:r>
        <w:t xml:space="preserve"> </w:t>
      </w:r>
      <w:r>
        <w:t xml:space="preserve">Anche in questo caso l’evidenza impone cautela, poiché uno studio randomizzato ha segnalato la comparsa occasionale di inesattezze clinicamente rilevanti, da cui la necessità di una revisione vigile da parte del professionista.</w:t>
      </w:r>
      <w:r>
        <w:rPr>
          <w:rStyle w:val="FootnoteReference"/>
        </w:rPr>
        <w:footnoteReference w:id="954"/>
      </w:r>
      <w:r>
        <w:t xml:space="preserve"> </w:t>
      </w:r>
      <w:r>
        <w:t xml:space="preserve">Il tempo liberato è tempo restituito alla relazione clinica e si converte, nel medio periodo, in maggiore capacità del servizio a parità di organico. La quantificazione complessiva di questi effetti sul trattamento e sulla salute mentale è sviluppata nel capitolo integrativo, che vi attribuisce un contributo incrementale rilevante; va inoltre ricordato che la letteratura economica ha documentato come un trattamento della depressione assistito da machine learning possa contenere i costi del 5,42% a fronte di una variazione marginale degli esiti.</w:t>
      </w:r>
      <w:r>
        <w:rPr>
          <w:rStyle w:val="FootnoteReference"/>
        </w:rPr>
        <w:footnoteReference w:id="955"/>
      </w:r>
    </w:p>
    <w:bookmarkEnd w:id="2198"/>
    <w:bookmarkEnd w:id="2199"/>
    <w:bookmarkStart w:id="2203" w:name="riabilitazione-3"/>
    <w:p>
      <w:pPr>
        <w:pStyle w:val="Heading3"/>
      </w:pPr>
      <w:r>
        <w:t xml:space="preserve">4. Riabilitazione</w:t>
      </w:r>
    </w:p>
    <w:p>
      <w:pPr>
        <w:pStyle w:val="FirstParagraph"/>
      </w:pPr>
      <w:r>
        <w:t xml:space="preserve">Nella riabilitazione l’IA opera principalmente attraverso la teleriabilitazione, il monitoraggio remoto basato su sensori e la personalizzazione adattiva del programma. Le revisioni sistematiche con metanalisi documentano che la teleriabilitazione raggiunge esiti clinici equivalenti o migliori rispetto alla riabilitazione tradizionale in presenza, riducendo i costi di trasporto e le riammissioni e migliorando l’aderenza, con una probabilità di costo-efficacia del 90% a una soglia di 30.000 dollari per anno di vita aggiustato per qualità.</w:t>
      </w:r>
      <w:r>
        <w:rPr>
          <w:rStyle w:val="FootnoteReference"/>
        </w:rPr>
        <w:footnoteReference w:id="956"/>
      </w:r>
      <w:r>
        <w:t xml:space="preserve"> </w:t>
      </w:r>
      <w:r>
        <w:t xml:space="preserve">Nella riabilitazione cardiaca a distanza, la metanalisi degli studi controllati riporta miglioramenti della capacità funzionale, dei passi giornalieri e della qualità di vita, accompagnati da una riduzione dei sintomi depressivi;</w:t>
      </w:r>
      <w:r>
        <w:rPr>
          <w:rStyle w:val="FootnoteReference"/>
        </w:rPr>
        <w:footnoteReference w:id="957"/>
      </w:r>
      <w:r>
        <w:t xml:space="preserve"> </w:t>
      </w:r>
      <w:r>
        <w:t xml:space="preserve">gli strumenti di IA dedicati alla riabilitazione accrescono inoltre l’aderenza dell’utente attraverso il monitoraggio dell’esercizio, i contenuti motivazionali e la previsione dell’andamento del recupero.</w:t>
      </w:r>
      <w:r>
        <w:rPr>
          <w:rStyle w:val="FootnoteReference"/>
        </w:rPr>
        <w:footnoteReference w:id="958"/>
      </w:r>
    </w:p>
    <w:p>
      <w:pPr>
        <w:pStyle w:val="BodyText"/>
      </w:pPr>
      <w:r>
        <w:t xml:space="preserve">Pur non costituendo il nucleo del servizio di psicologia di base, la riabilitazione assistita da IA rileva per il progetto pugliese sotto due profili. Il primo è la componente psicologica della riabilitazione fisica: la teleriabilitazione che incorpora il sostegno alla motivazione e alla regolazione emotiva migliora l’aderenza e riduce la componente depressiva che frequentemente accompagna le patologie croniche e post-acute, ambito di collaborazione tra psicologo di base e medico di medicina generale. Il secondo è la riabilitazione cognitiva nei disturbi mentali, dove gli strumenti computer-assistiti hanno mostrato efficacia nel migliorare la funzione cognitiva. La riabilitazione concorre pertanto al risparmio attraverso la riduzione delle riammissioni e l’accorciamento dei percorsi, integrandosi con la prevenzione delle riacutizzazioni; la sua adozione richiede competenze di gestione del monitoraggio remoto e di sostegno all’aderenza, generabili attraverso la formazione continua e l’accompagnamento.</w:t>
      </w:r>
    </w:p>
    <w:bookmarkEnd w:id="2203"/>
    <w:bookmarkStart w:id="2205" w:name="recupero-e-prevenzione-delle-ricadute-2"/>
    <w:p>
      <w:pPr>
        <w:pStyle w:val="Heading3"/>
      </w:pPr>
      <w:r>
        <w:t xml:space="preserve">5. Recupero e prevenzione delle ricadute</w:t>
      </w:r>
    </w:p>
    <w:p>
      <w:pPr>
        <w:pStyle w:val="FirstParagraph"/>
      </w:pPr>
      <w:r>
        <w:t xml:space="preserve">La dimensione del recupero riguarda il mantenimento del beneficio clinico nel tempo e la prevenzione delle ricadute, ed è quella in cui il monitoraggio continuo abilitato dall’IA esprime il valore più specifico. Nella gestione dei disturbi mentali, anche gravi, la revisione sistematica della telesalute documenta che il supporto a distanza migliora l’aderenza al trattamento e riduce la gravità dei sintomi e le giornate di degenza, e che la riabilitazione cognitiva computer-assistita migliora la funzione cognitiva.</w:t>
      </w:r>
      <w:r>
        <w:rPr>
          <w:rStyle w:val="FootnoteReference"/>
        </w:rPr>
        <w:footnoteReference w:id="959"/>
      </w:r>
      <w:r>
        <w:t xml:space="preserve"> </w:t>
      </w:r>
      <w:r>
        <w:t xml:space="preserve">Il monitoraggio remoto dei sintomi e dei parametri comportamentali consente di rilevare precocemente i segni di una ricaduta e di attivare un intervento prima che essa esiti in un accesso in urgenza o in un ricovero, secondo la stessa logica predittiva descritta per la prevenzione, ma applicata alla fase successiva al trattamento.</w:t>
      </w:r>
    </w:p>
    <w:p>
      <w:pPr>
        <w:pStyle w:val="BodyText"/>
      </w:pPr>
      <w:r>
        <w:t xml:space="preserve">Per il progetto pugliese, la prevenzione delle ricadute si integra con la funzione di filtro dello psicologo di base e con i percorsi di continuità tra medicina generale e servizi specialistici di salute mentale. Il monitoraggio degli esiti mediante misure standardizzate, già previsto dal modello organizzativo, può essere potenziato da strumenti algoritmici che segnalano tempestivamente il peggioramento, evitando sia la cronicizzazione dei quadri ansioso-depressivi sia gli accessi impropri all’urgenza psichiatrica. Il risparmio connesso a questa dimensione si concentra sulla riduzione dei ricoveri e degli accessi in urgenza e cresce nel tempo, perché la prevenzione della ricaduta produce i propri effetti su un orizzonte pluriennale; la competenza richiesta è quella di interpretare il monitoraggio, riconoscere precocemente i segni di ricaduta e attivare tempestivamente l’intervento.</w:t>
      </w:r>
    </w:p>
    <w:bookmarkEnd w:id="2205"/>
    <w:bookmarkStart w:id="2211" w:name="X92e18cf5f5e2f3c846e78352162b065f3b6d2ce"/>
    <w:p>
      <w:pPr>
        <w:pStyle w:val="Heading3"/>
      </w:pPr>
      <w:r>
        <w:t xml:space="preserve">6. Il panorama brevettuale mondiale e il quadro regolatorio</w:t>
      </w:r>
    </w:p>
    <w:p>
      <w:pPr>
        <w:pStyle w:val="FirstParagraph"/>
      </w:pPr>
      <w:r>
        <w:t xml:space="preserve">La consistenza del panorama brevettuale costituisce un indicatore della disponibilità effettiva degli strumenti e della direzione dell’innovazione, ed è elemento richiesto da una valutazione fondata anche su ciò che è stato brevettato nel mondo. Una ricerca per parole chiave nella banca dati internazionale dei brevetti della WIPO, combinando i termini relativi all’intelligenza artificiale e alla salute, ha restituito 2.696 brevetti, di cui 233 depositati nell’ambito del Trattato di cooperazione in materia di brevetti, e le imprese farmaceutiche hanno registrato un incremento del 52% delle domande di brevetto basate sull’IA nel 2023.</w:t>
      </w:r>
      <w:r>
        <w:rPr>
          <w:rStyle w:val="FootnoteReference"/>
        </w:rPr>
        <w:footnoteReference w:id="960"/>
      </w:r>
      <w:r>
        <w:t xml:space="preserve"> </w:t>
      </w:r>
      <w:r>
        <w:t xml:space="preserve">Più in generale, il rapporto della WIPO sull’IA generativa documenta una crescita delle famiglie brevettuali da 733 nel 2014 a oltre 14.000 nel 2023, con un incremento superiore all’800% dopo l’introduzione dell’architettura transformer nel 2017, e una marcata concentrazione dei depositi in capo a imprese asiatiche.</w:t>
      </w:r>
      <w:r>
        <w:rPr>
          <w:rStyle w:val="FootnoteReference"/>
        </w:rPr>
        <w:footnoteReference w:id="961"/>
      </w:r>
      <w:r>
        <w:t xml:space="preserve"> </w:t>
      </w:r>
      <w:r>
        <w:t xml:space="preserve">Il mercato dell’IA in sanità, valutato in circa 24,6 miliardi di dollari nel 2024, è atteso crescere a un tasso annuo composto di circa il 41,6% fino a superare i 790 miliardi nel 2034, e già nel 2024 il 79% delle imprese sanitarie dichiarava di utilizzare tecnologie di IA.</w:t>
      </w:r>
      <w:r>
        <w:rPr>
          <w:rStyle w:val="FootnoteReference"/>
        </w:rPr>
        <w:footnoteReference w:id="962"/>
      </w:r>
    </w:p>
    <w:p>
      <w:pPr>
        <w:pStyle w:val="BodyText"/>
      </w:pPr>
      <w:r>
        <w:t xml:space="preserve">Questa dinamica conferma la disponibilità crescente di strumenti, ma non esime la programmazione regionale dalle cautele. Da un lato, la concentrazione dei brevetti in poche grandi imprese e in poche giurisdizioni pone questioni di dipendenza tecnologica e di interoperabilità, che suggeriscono di privilegiare soluzioni aperte e conformi agli standard del sistema informativo regionale. Dall’altro, il vincolo regolatorio europeo è dirimente: il Regolamento europeo sull’IA classifica i sistemi incorporati nei dispositivi medici come ad alto rischio, con la maggior parte degli obblighi in vigore dall’agosto 2026 e piena conformità dall’agosto 2027, e la guida del gruppo di coordinamento dei dispositivi medici ne ha chiarito l’interazione con il Regolamento dispositivi medici.</w:t>
      </w:r>
      <w:r>
        <w:rPr>
          <w:rStyle w:val="FootnoteReference"/>
        </w:rPr>
        <w:footnoteReference w:id="963"/>
      </w:r>
      <w:r>
        <w:t xml:space="preserve"> </w:t>
      </w:r>
      <w:r>
        <w:t xml:space="preserve">Gli strumenti di triage e di supporto decisionale destinati alle cure primarie pugliesi dovranno essere conformi a tale quadro entro le scadenze indicate; e poiché una quota ridotta dei dispositivi disponibili è sostenuta da studi randomizzati,</w:t>
      </w:r>
      <w:r>
        <w:rPr>
          <w:rStyle w:val="FootnoteReference"/>
        </w:rPr>
        <w:footnoteReference w:id="964"/>
      </w:r>
      <w:r>
        <w:t xml:space="preserve"> </w:t>
      </w:r>
      <w:r>
        <w:t xml:space="preserve">la selezione dovrà privilegiare l’evidenza più solida e prevedere validazione locale e monitoraggio prospettico degli esiti.</w:t>
      </w:r>
    </w:p>
    <w:bookmarkEnd w:id="2211"/>
    <w:bookmarkStart w:id="2214" w:name="X39558f10ce8462f33aa4c9aa796d103edc7eac7"/>
    <w:p>
      <w:pPr>
        <w:pStyle w:val="Heading3"/>
      </w:pPr>
      <w:r>
        <w:t xml:space="preserve">7. Sintesi: trasferibilità al modello pugliese e collegamento al risparmio</w:t>
      </w:r>
    </w:p>
    <w:p>
      <w:pPr>
        <w:pStyle w:val="FirstParagraph"/>
      </w:pPr>
      <w:r>
        <w:t xml:space="preserve">La ricognizione condotta consente di precisare, per ciascuna dimensione del continuum, quali funzioni siano effettivamente attivabili nelle cure primarie pugliesi, quali competenze esse presuppongano e su quale voce di spesa agiscano. La tabella seguente riassume tale corrispondenza, costituendo il ponte tra l’evidenza clinica e la stima economica sviluppata nel capitolo integrativo,</w:t>
      </w:r>
      <w:r>
        <w:rPr>
          <w:rStyle w:val="FootnoteReference"/>
        </w:rPr>
        <w:footnoteReference w:id="965"/>
      </w:r>
      <w:r>
        <w:t xml:space="preserve"> </w:t>
      </w:r>
      <w:r>
        <w:t xml:space="preserve">al quale si rinvia per la quantificazione per canale e per scenario.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 attivabile nelle cure primarie</w:t>
            </w:r>
          </w:p>
        </w:tc>
        <w:tc>
          <w:tcPr>
            <w:shd w:val="clear" w:color="auto" w:fill="16264B"/>
          </w:tcPr>
          <w:p>
            <w:pPr>
              <w:pStyle w:val="Compact"/>
              <w:spacing w:after="40" w:before="40"/>
              <w:jc w:val="left"/>
            </w:pPr>
            <w:r>
              <w:rPr>
                <w:rFonts w:ascii="Cambria" w:hAnsi="Cambria" w:cs="Cambria" w:eastAsia="Cambria"/>
                <w:b/>
                <w:bCs/>
                <w:color w:val="FFFFFF"/>
                <w:sz w:val="18"/>
              </w:rPr>
              <w:t xml:space="preserve">Voce di spesa su cui agisce</w:t>
            </w:r>
          </w:p>
        </w:tc>
        <w:tc>
          <w:tcPr>
            <w:shd w:val="clear" w:color="auto" w:fill="16264B"/>
          </w:tcPr>
          <w:p>
            <w:pPr>
              <w:pStyle w:val="Compact"/>
              <w:spacing w:after="40" w:before="40"/>
              <w:jc w:val="left"/>
            </w:pPr>
            <w:r>
              <w:rPr>
                <w:rFonts w:ascii="Cambria" w:hAnsi="Cambria" w:cs="Cambria" w:eastAsia="Cambria"/>
                <w:b/>
                <w:bCs/>
                <w:color w:val="FFFFFF"/>
                <w:sz w:val="18"/>
              </w:rPr>
              <w:t xml:space="preserve">Evidenza principale</w:t>
            </w:r>
          </w:p>
        </w:tc>
      </w:tr>
      <w:tr>
        <w:tc>
          <w:tcPr/>
          <w:p>
            <w:pPr>
              <w:pStyle w:val="Compact"/>
              <w:spacing w:after="40" w:before="40"/>
              <w:jc w:val="left"/>
            </w:pPr>
            <w:r>
              <w:rPr>
                <w:rFonts w:ascii="Cambria" w:hAnsi="Cambria" w:cs="Cambria" w:eastAsia="Cambria"/>
                <w:b/>
                <w:bCs/>
                <w:color w:val="1A1A1A"/>
                <w:sz w:val="18"/>
              </w:rPr>
              <w:t xml:space="preserve">Diagnostica</w:t>
            </w:r>
          </w:p>
        </w:tc>
        <w:tc>
          <w:tcPr/>
          <w:p>
            <w:pPr>
              <w:pStyle w:val="Compact"/>
              <w:spacing w:after="40" w:before="40"/>
              <w:jc w:val="left"/>
            </w:pPr>
            <w:r>
              <w:rPr>
                <w:rFonts w:ascii="Cambria" w:hAnsi="Cambria" w:cs="Cambria" w:eastAsia="Cambria"/>
                <w:color w:val="1A1A1A"/>
                <w:sz w:val="18"/>
              </w:rPr>
              <w:t xml:space="preserve">Supporto diagnostico al medico di base; screening autonomi nello studio; triage verso il secondo livello.</w:t>
            </w:r>
          </w:p>
        </w:tc>
        <w:tc>
          <w:tcPr/>
          <w:p>
            <w:pPr>
              <w:pStyle w:val="Compact"/>
              <w:spacing w:after="40" w:before="40"/>
              <w:jc w:val="left"/>
            </w:pPr>
            <w:r>
              <w:rPr>
                <w:rFonts w:ascii="Cambria" w:hAnsi="Cambria" w:cs="Cambria" w:eastAsia="Cambria"/>
                <w:color w:val="1A1A1A"/>
                <w:sz w:val="18"/>
              </w:rPr>
              <w:t xml:space="preserve">Specialistica e diagnostica</w:t>
            </w:r>
          </w:p>
        </w:tc>
        <w:tc>
          <w:tcPr/>
          <w:p>
            <w:pPr>
              <w:pStyle w:val="Compact"/>
              <w:spacing w:after="40" w:before="40"/>
              <w:jc w:val="left"/>
            </w:pPr>
            <w:r>
              <w:rPr>
                <w:rFonts w:ascii="Cambria" w:hAnsi="Cambria" w:cs="Cambria" w:eastAsia="Cambria"/>
                <w:color w:val="1A1A1A"/>
                <w:sz w:val="18"/>
              </w:rPr>
              <w:t xml:space="preserve">Screening retinopatia, mammografia, colonscopia, ictus.</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Prevenzione</w:t>
            </w:r>
          </w:p>
        </w:tc>
        <w:tc>
          <w:tcPr>
            <w:shd w:val="clear" w:color="auto" w:fill="F4F1EC"/>
          </w:tcPr>
          <w:p>
            <w:pPr>
              <w:pStyle w:val="Compact"/>
              <w:spacing w:after="40" w:before="40"/>
              <w:jc w:val="left"/>
            </w:pPr>
            <w:r>
              <w:rPr>
                <w:rFonts w:ascii="Cambria" w:hAnsi="Cambria" w:cs="Cambria" w:eastAsia="Cambria"/>
                <w:color w:val="1A1A1A"/>
                <w:sz w:val="18"/>
              </w:rPr>
              <w:t xml:space="preserve">Stratificazione del rischio collegata all’azione clinica; rilevazione precoce di condizioni silenti.</w:t>
            </w:r>
          </w:p>
        </w:tc>
        <w:tc>
          <w:tcPr>
            <w:shd w:val="clear" w:color="auto" w:fill="F4F1EC"/>
          </w:tcPr>
          <w:p>
            <w:pPr>
              <w:pStyle w:val="Compact"/>
              <w:spacing w:after="40" w:before="40"/>
              <w:jc w:val="left"/>
            </w:pPr>
            <w:r>
              <w:rPr>
                <w:rFonts w:ascii="Cambria" w:hAnsi="Cambria" w:cs="Cambria" w:eastAsia="Cambria"/>
                <w:color w:val="1A1A1A"/>
                <w:sz w:val="18"/>
              </w:rPr>
              <w:t xml:space="preserve">Ricoveri e accessi in urgenza evitabili</w:t>
            </w:r>
          </w:p>
        </w:tc>
        <w:tc>
          <w:tcPr>
            <w:shd w:val="clear" w:color="auto" w:fill="F4F1EC"/>
          </w:tcPr>
          <w:p>
            <w:pPr>
              <w:pStyle w:val="Compact"/>
              <w:spacing w:after="40" w:before="40"/>
              <w:jc w:val="left"/>
            </w:pPr>
            <w:r>
              <w:rPr>
                <w:rFonts w:ascii="Cambria" w:hAnsi="Cambria" w:cs="Cambria" w:eastAsia="Cambria"/>
                <w:color w:val="1A1A1A"/>
                <w:sz w:val="18"/>
              </w:rPr>
              <w:t xml:space="preserve">Modelli predittivi di riammissione; rilevazione aritmie.</w:t>
            </w:r>
          </w:p>
        </w:tc>
      </w:tr>
      <w:tr>
        <w:tc>
          <w:tcPr/>
          <w:p>
            <w:pPr>
              <w:pStyle w:val="Compact"/>
              <w:spacing w:after="40" w:before="40"/>
              <w:jc w:val="left"/>
            </w:pPr>
            <w:r>
              <w:rPr>
                <w:rFonts w:ascii="Cambria" w:hAnsi="Cambria" w:cs="Cambria" w:eastAsia="Cambria"/>
                <w:b/>
                <w:bCs/>
                <w:color w:val="1A1A1A"/>
                <w:sz w:val="18"/>
              </w:rPr>
              <w:t xml:space="preserve">Trattamento</w:t>
            </w:r>
          </w:p>
        </w:tc>
        <w:tc>
          <w:tcPr/>
          <w:p>
            <w:pPr>
              <w:pStyle w:val="Compact"/>
              <w:spacing w:after="40" w:before="40"/>
              <w:jc w:val="left"/>
            </w:pPr>
            <w:r>
              <w:rPr>
                <w:rFonts w:ascii="Cambria" w:hAnsi="Cambria" w:cs="Cambria" w:eastAsia="Cambria"/>
                <w:color w:val="1A1A1A"/>
                <w:sz w:val="18"/>
              </w:rPr>
              <w:t xml:space="preserve">Agenti conversazionali sotto supervisione; dispositivi terapeutici digitali su prescrizione; supporto decisionale; documentazione ambientale.</w:t>
            </w:r>
          </w:p>
        </w:tc>
        <w:tc>
          <w:tcPr/>
          <w:p>
            <w:pPr>
              <w:pStyle w:val="Compact"/>
              <w:spacing w:after="40" w:before="40"/>
              <w:jc w:val="left"/>
            </w:pPr>
            <w:r>
              <w:rPr>
                <w:rFonts w:ascii="Cambria" w:hAnsi="Cambria" w:cs="Cambria" w:eastAsia="Cambria"/>
                <w:color w:val="1A1A1A"/>
                <w:sz w:val="18"/>
              </w:rPr>
              <w:t xml:space="preserve">Salute mentale; farmaceutica; capacità del servizio</w:t>
            </w:r>
          </w:p>
        </w:tc>
        <w:tc>
          <w:tcPr/>
          <w:p>
            <w:pPr>
              <w:pStyle w:val="Compact"/>
              <w:spacing w:after="40" w:before="40"/>
              <w:jc w:val="left"/>
            </w:pPr>
            <w:r>
              <w:rPr>
                <w:rFonts w:ascii="Cambria" w:hAnsi="Cambria" w:cs="Cambria" w:eastAsia="Cambria"/>
                <w:color w:val="1A1A1A"/>
                <w:sz w:val="18"/>
              </w:rPr>
              <w:t xml:space="preserve">Studio randomizzato su IA generativa; dispositivi autorizzati dalla FDA.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Riabilitazione</w:t>
            </w:r>
          </w:p>
        </w:tc>
        <w:tc>
          <w:tcPr>
            <w:shd w:val="clear" w:color="auto" w:fill="F4F1EC"/>
          </w:tcPr>
          <w:p>
            <w:pPr>
              <w:pStyle w:val="Compact"/>
              <w:spacing w:after="40" w:before="40"/>
              <w:jc w:val="left"/>
            </w:pPr>
            <w:r>
              <w:rPr>
                <w:rFonts w:ascii="Cambria" w:hAnsi="Cambria" w:cs="Cambria" w:eastAsia="Cambria"/>
                <w:color w:val="1A1A1A"/>
                <w:sz w:val="18"/>
              </w:rPr>
              <w:t xml:space="preserve">Teleriabilitazione con sostegno psicologico; monitoraggio remoto; riabilitazione cognitiva.</w:t>
            </w:r>
          </w:p>
        </w:tc>
        <w:tc>
          <w:tcPr>
            <w:shd w:val="clear" w:color="auto" w:fill="F4F1EC"/>
          </w:tcPr>
          <w:p>
            <w:pPr>
              <w:pStyle w:val="Compact"/>
              <w:spacing w:after="40" w:before="40"/>
              <w:jc w:val="left"/>
            </w:pPr>
            <w:r>
              <w:rPr>
                <w:rFonts w:ascii="Cambria" w:hAnsi="Cambria" w:cs="Cambria" w:eastAsia="Cambria"/>
                <w:color w:val="1A1A1A"/>
                <w:sz w:val="18"/>
              </w:rPr>
              <w:t xml:space="preserve">Ricoveri e riammissioni</w:t>
            </w:r>
          </w:p>
        </w:tc>
        <w:tc>
          <w:tcPr>
            <w:shd w:val="clear" w:color="auto" w:fill="F4F1EC"/>
          </w:tcPr>
          <w:p>
            <w:pPr>
              <w:pStyle w:val="Compact"/>
              <w:spacing w:after="40" w:before="40"/>
              <w:jc w:val="left"/>
            </w:pPr>
            <w:r>
              <w:rPr>
                <w:rFonts w:ascii="Cambria" w:hAnsi="Cambria" w:cs="Cambria" w:eastAsia="Cambria"/>
                <w:color w:val="1A1A1A"/>
                <w:sz w:val="18"/>
              </w:rPr>
              <w:t xml:space="preserve">Metanalisi di costo-efficacia; riabilitazione cardiaca.</w:t>
            </w:r>
          </w:p>
        </w:tc>
      </w:tr>
      <w:tr>
        <w:tc>
          <w:tcPr/>
          <w:p>
            <w:pPr>
              <w:pStyle w:val="Compact"/>
              <w:spacing w:after="40" w:before="40"/>
              <w:jc w:val="left"/>
            </w:pPr>
            <w:r>
              <w:rPr>
                <w:rFonts w:ascii="Cambria" w:hAnsi="Cambria" w:cs="Cambria" w:eastAsia="Cambria"/>
                <w:b/>
                <w:bCs/>
                <w:color w:val="1A1A1A"/>
                <w:sz w:val="18"/>
              </w:rPr>
              <w:t xml:space="preserve">Recupero</w:t>
            </w:r>
          </w:p>
        </w:tc>
        <w:tc>
          <w:tcPr/>
          <w:p>
            <w:pPr>
              <w:pStyle w:val="Compact"/>
              <w:spacing w:after="40" w:before="40"/>
              <w:jc w:val="left"/>
            </w:pPr>
            <w:r>
              <w:rPr>
                <w:rFonts w:ascii="Cambria" w:hAnsi="Cambria" w:cs="Cambria" w:eastAsia="Cambria"/>
                <w:color w:val="1A1A1A"/>
                <w:sz w:val="18"/>
              </w:rPr>
              <w:t xml:space="preserve">Monitoraggio degli esiti; riconoscimento precoce delle ricadute; continuità con i servizi specialistici.</w:t>
            </w:r>
          </w:p>
        </w:tc>
        <w:tc>
          <w:tcPr/>
          <w:p>
            <w:pPr>
              <w:pStyle w:val="Compact"/>
              <w:spacing w:after="40" w:before="40"/>
              <w:jc w:val="left"/>
            </w:pPr>
            <w:r>
              <w:rPr>
                <w:rFonts w:ascii="Cambria" w:hAnsi="Cambria" w:cs="Cambria" w:eastAsia="Cambria"/>
                <w:color w:val="1A1A1A"/>
                <w:sz w:val="18"/>
              </w:rPr>
              <w:t xml:space="preserve">Ricoveri e urgenze psichiatriche</w:t>
            </w:r>
          </w:p>
        </w:tc>
        <w:tc>
          <w:tcPr/>
          <w:p>
            <w:pPr>
              <w:pStyle w:val="Compact"/>
              <w:spacing w:after="40" w:before="40"/>
              <w:jc w:val="left"/>
            </w:pPr>
            <w:r>
              <w:rPr>
                <w:rFonts w:ascii="Cambria" w:hAnsi="Cambria" w:cs="Cambria" w:eastAsia="Cambria"/>
                <w:color w:val="1A1A1A"/>
                <w:sz w:val="18"/>
              </w:rPr>
              <w:t xml:space="preserve">Telesalute nella malattia mentale grave.</w:t>
            </w:r>
          </w:p>
        </w:tc>
      </w:tr>
    </w:tbl>
    <w:p>
      <w:pPr>
        <w:pStyle w:val="BodyText"/>
      </w:pPr>
      <w:r>
        <w:rPr>
          <w:i/>
          <w:iCs/>
        </w:rPr>
        <w:t xml:space="preserve">Tabella 1. Corrispondenza tra le dimensioni del continuum, le funzioni attivabili nelle cure primarie pugliesi, le voci di spesa su cui ciascuna agisce e l’evidenza principale a sostegno.</w:t>
      </w:r>
    </w:p>
    <w:p>
      <w:pPr>
        <w:pStyle w:val="BodyText"/>
      </w:pPr>
      <w:r>
        <w:t xml:space="preserve">Il filo conduttore dell’intera ricognizione è che il valore economico di ciascuna applicazione non risiede nello strumento in sé, ma nella sua adozione competente da parte del professionista. In ogni dimensione — dall’interpretazione dell’esito diagnostico alla traduzione dell’avviso predittivo in azione, dalla supervisione dell’agente conversazionale alla revisione vigile della nota automatizzata — il beneficio si realizza soltanto se il medico di base e lo psicologo possiedono le competenze necessarie a impiegare lo strumento con discernimento clinico. È questa la ragione per cui la formazione, e in particolare la formazione continua e l’accompagnamento operativo sul campo, costituiscono la variabile causale del risparmio: esse convertono la potenzialità documentata in questo approfondimento nella riduzione di spesa quantificata nel capitolo integrativo. La Puglia, che dispone già di una base normativa e infrastrutturale favorevole e di percorsi formativi attivabili presso le istituzioni sanitarie nazionali,</w:t>
      </w:r>
      <w:r>
        <w:rPr>
          <w:rStyle w:val="FootnoteReference"/>
        </w:rPr>
        <w:footnoteReference w:id="966"/>
      </w:r>
      <w:r>
        <w:t xml:space="preserve"> </w:t>
      </w:r>
      <w:r>
        <w:t xml:space="preserve">può così tradurre l’evidenza internazionale in un beneficio concreto e misurabile per il proprio sistema sanitario.</w:t>
      </w:r>
    </w:p>
    <w:p>
      <w:r>
        <w:br w:type="page"/>
      </w:r>
    </w:p>
    <w:bookmarkEnd w:id="2214"/>
    <w:bookmarkEnd w:id="2215"/>
    <w:bookmarkEnd w:id="2216"/>
    <w:bookmarkStart w:id="2229" w:name="X19831d89cee9fac33ac4d32563bd0db6a404000"/>
    <w:p>
      <w:pPr>
        <w:pStyle w:val="Heading1"/>
      </w:pPr>
      <w:r>
        <w:t xml:space="preserve">Appendice XXIII — L’integrazione dell’Intelligenza Artificiale e la formazione del personale: documento di raccordo</w:t>
      </w:r>
    </w:p>
    <w:p>
      <w:pPr>
        <w:pStyle w:val="FirstParagraph"/>
      </w:pPr>
      <w:r>
        <w:t xml:space="preserve">Progetto «Psicologo di Base» · L’integrazione dell’Intelligenza Artificiale e la formazione del personale — Documento Unico</w:t>
      </w:r>
    </w:p>
    <w:p>
      <w:pPr>
        <w:pStyle w:val="BodyText"/>
      </w:pPr>
      <w:r>
        <w:rPr>
          <w:b/>
          <w:bCs/>
        </w:rPr>
        <w:t xml:space="preserve">REGIONE PUGLIA — SERVIZIO SANITARIO REGIONALE</w:t>
      </w:r>
    </w:p>
    <w:p>
      <w:pPr>
        <w:pStyle w:val="BodyText"/>
      </w:pPr>
      <w:r>
        <w:t xml:space="preserve">Progetto «Psicologo di Base»</w:t>
      </w:r>
    </w:p>
    <w:p>
      <w:pPr>
        <w:pStyle w:val="BodyText"/>
      </w:pPr>
      <w:r>
        <w:rPr>
          <w:b/>
          <w:bCs/>
        </w:rPr>
        <w:t xml:space="preserve">L’integrazione dell’Intelligenza Artificiale e la formazione del personale nel modello dello Psicologo di Base in Puglia</w:t>
      </w:r>
    </w:p>
    <w:p>
      <w:pPr>
        <w:pStyle w:val="BodyText"/>
      </w:pPr>
      <w:r>
        <w:rPr>
          <w:b/>
          <w:bCs/>
        </w:rPr>
        <w:t xml:space="preserve">Documento Unico integrale</w:t>
      </w:r>
    </w:p>
    <w:p>
      <w:pPr>
        <w:pStyle w:val="BodyText"/>
      </w:pPr>
      <w:r>
        <w:rPr>
          <w:i/>
          <w:iCs/>
        </w:rPr>
        <w:t xml:space="preserve">Studio evidence-based, multidimensionale e prudenziale sulla quantificazione dell’ulteriore riduzione della spesa sanitaria, diretta e indiretta, conseguibile in Puglia mediante l’integrazione dell’Intelligenza Artificiale e la formazione del personale</w:t>
      </w:r>
    </w:p>
    <w:p>
      <w:pPr>
        <w:pStyle w:val="BodyText"/>
      </w:pPr>
      <w:r>
        <w:rPr>
          <w:b/>
          <w:bCs/>
        </w:rPr>
        <w:t xml:space="preserve">Struttura dell’opera</w:t>
      </w:r>
    </w:p>
    <w:p>
      <w:pPr>
        <w:pStyle w:val="BodyText"/>
      </w:pPr>
      <w:r>
        <w:rPr>
          <w:b/>
          <w:bCs/>
        </w:rPr>
        <w:t xml:space="preserve">Parte I — Finalità, quesito di valutazione e impianto metodologico</w:t>
      </w:r>
    </w:p>
    <w:p>
      <w:pPr>
        <w:pStyle w:val="BodyText"/>
      </w:pPr>
      <w:r>
        <w:rPr>
          <w:b/>
          <w:bCs/>
        </w:rPr>
        <w:t xml:space="preserve">Parte II — Il razionale strategico: la formazione come moltiplicatore del ritorno</w:t>
      </w:r>
    </w:p>
    <w:p>
      <w:pPr>
        <w:pStyle w:val="BodyText"/>
      </w:pPr>
      <w:r>
        <w:rPr>
          <w:b/>
          <w:bCs/>
        </w:rPr>
        <w:t xml:space="preserve">Parte III — Le quattro modalità formative e l’architettura integrata</w:t>
      </w:r>
    </w:p>
    <w:p>
      <w:pPr>
        <w:pStyle w:val="BodyText"/>
      </w:pPr>
      <w:r>
        <w:rPr>
          <w:b/>
          <w:bCs/>
        </w:rPr>
        <w:t xml:space="preserve">Parte IV — Le potenzialità dell’Intelligenza Artificiale lungo il continuum assistenziale</w:t>
      </w:r>
    </w:p>
    <w:p>
      <w:pPr>
        <w:pStyle w:val="BodyText"/>
      </w:pPr>
      <w:r>
        <w:rPr>
          <w:b/>
          <w:bCs/>
        </w:rPr>
        <w:t xml:space="preserve">Parte V — Panorama brevettuale, studi pilota ed esperienze internazionali</w:t>
      </w:r>
    </w:p>
    <w:p>
      <w:pPr>
        <w:pStyle w:val="BodyText"/>
      </w:pPr>
      <w:r>
        <w:rPr>
          <w:b/>
          <w:bCs/>
        </w:rPr>
        <w:t xml:space="preserve">Parte VI — Mappatura dei fabbisogni formativi e cornice regolatoria e di sicurezza</w:t>
      </w:r>
    </w:p>
    <w:p>
      <w:pPr>
        <w:pStyle w:val="BodyText"/>
      </w:pPr>
      <w:r>
        <w:rPr>
          <w:b/>
          <w:bCs/>
        </w:rPr>
        <w:t xml:space="preserve">Parte VII — Quantificazione economica dell’ulteriore riduzione della spesa in Puglia</w:t>
      </w:r>
    </w:p>
    <w:p>
      <w:pPr>
        <w:pStyle w:val="BodyText"/>
      </w:pPr>
      <w:r>
        <w:rPr>
          <w:b/>
          <w:bCs/>
        </w:rPr>
        <w:t xml:space="preserve">Parte VIII — Limiti, rischi, governance e impatto distributivo</w:t>
      </w:r>
    </w:p>
    <w:p>
      <w:pPr>
        <w:pStyle w:val="BodyText"/>
      </w:pPr>
      <w:r>
        <w:rPr>
          <w:b/>
          <w:bCs/>
        </w:rPr>
        <w:t xml:space="preserve">Parte IX — Sintesi e raccomandazioni</w:t>
      </w:r>
    </w:p>
    <w:p>
      <w:pPr>
        <w:pStyle w:val="BodyText"/>
      </w:pPr>
      <w:r>
        <w:rPr>
          <w:i/>
          <w:iCs/>
        </w:rPr>
        <w:t xml:space="preserve">Il documento si legge come un’unica argomentazione: le parti procedono dai fondamenti metodologici all’esito quantitativo e alle raccomandazioni, e le loro conclusioni convergono nella stima finale offerta al decisore regionale.</w:t>
      </w:r>
    </w:p>
    <w:p>
      <w:pPr>
        <w:pStyle w:val="BodyText"/>
      </w:pPr>
      <w:r>
        <w:rPr>
          <w:b/>
          <w:bCs/>
        </w:rPr>
        <w:t xml:space="preserve">Indice</w:t>
      </w:r>
    </w:p>
    <w:bookmarkStart w:id="2228" w:name="Xeafa8c1a68a3615b4c03b48e5db1f244f61b30b"/>
    <w:p>
      <w:pPr>
        <w:pStyle w:val="Heading2"/>
      </w:pPr>
      <w:r>
        <w:t xml:space="preserve">Parte I — Finalità, quesito di valutazione e impianto metodologico</w:t>
      </w:r>
    </w:p>
    <w:p>
      <w:pPr>
        <w:pStyle w:val="FirstParagraph"/>
      </w:pPr>
      <w:r>
        <w:t xml:space="preserve">Il presente documento raccoglie in forma unitaria e integrale lo studio dedicato all’integrazione dell’Intelligenza Artificiale e alla formazione del personale nel modello dello Psicologo di Base in Puglia. Esso costituisce l’estensione di un percorso di analisi più ampio, che ha già definito, dimensionato e quantificato un modello di integrazione strutturale della funzione psicologica nelle cure primarie del Servizio Sanitario Regionale, e ne assume i risultati come base di partenza. L’oggetto specifico di questo studio è al tempo stesso circoscritto e ambizioso: stabilire se, e in quale misura, l’aggiunta dell’Intelligenza Artificiale agli strumenti del modello — accompagnata da un programma di formazione del personale al suo uso — sia in grado di abbattere ulteriormente la spesa sanitaria, diretta e indiretta, già ridotta dal modello nella sua configurazione priva di tecnologia. La domanda non ammette una risposta affermativa per semplice assunzione: l’intero documento è costruito per fornirvi una risposta fondata sull’evidenza scientifica internazionale, sulle esperienze di implementazione più autorevoli, sul panorama brevettuale e sugli studi pilota disponibili, e per tradurla in una stima quantitativa, prudente e difendibile, dell’ulteriore riduzione di spesa conseguibile in Puglia.</w:t>
      </w:r>
    </w:p>
    <w:bookmarkStart w:id="2217" w:name="X9cfdb300bff71f51c1060d690a45b60f40d16b5"/>
    <w:p>
      <w:pPr>
        <w:pStyle w:val="Heading3"/>
      </w:pPr>
      <w:r>
        <w:t xml:space="preserve">1.1 La finalità dello studio e il quesito di valutazione</w:t>
      </w:r>
    </w:p>
    <w:p>
      <w:pPr>
        <w:pStyle w:val="FirstParagraph"/>
      </w:pPr>
      <w:r>
        <w:t xml:space="preserve">La finalità dello studio è circoscritta da una scelta metodologica che ne governa l’intera costruzione: misurare non il beneficio complessivo dell’Intelligenza Artificiale in sanità, bensì il beneficio incrementale che essa, unita alla formazione del personale, produce rispetto a un modello di cure primarie già operativo e già quantificato. Il modello dello Psicologo di Base, nella configurazione priva di tecnologia, riduce la spesa sanitaria del Servizio Sanitario Regionale agendo sui meccanismi che generano il consumo inappropriato di prestazioni; la domanda che questo studio pone è se l’aggiunta dell’Intelligenza Artificiale, e della competenza necessaria a impiegarla, sia in grado di spostare ulteriormente quel risultato, e di quanto. Porre la domanda in termini incrementali, e non assoluti, non è un dettaglio formale: è la condizione perché la stima sia difendibile, poiché impedisce di attribuire al nuovo strumento risparmi che il modello base già consegue e che gli verrebbero indebitamente sommati.</w:t>
      </w:r>
    </w:p>
    <w:p>
      <w:pPr>
        <w:pStyle w:val="BodyText"/>
      </w:pPr>
      <w:r>
        <w:t xml:space="preserve">Il quesito di valutazione può essere formulato secondo la struttura propria della valutazione delle tecnologie sanitarie. La popolazione di riferimento è quella delle persone assistite dalle cure primarie pugliesi che accedono o dovrebbero accedere alla funzione psicologica integrata, e per estensione l’insieme dei medici di base e degli psicologi di base che operano nel modello. L’intervento oggetto di valutazione è duplice e inscindibile: da un lato l’insieme degli strumenti di Intelligenza Artificiale applicabili lungo il continuum assistenziale — dalla diagnostica alla prevenzione, dal trattamento alla riabilitazione e al recupero, sino all’efficientamento gestionale — dall’altro il programma di formazione del personale al loro uso, declinato nelle quattro modalità sulle quali lo studio è chiamato a pronunciarsi. Il termine di confronto è il medesimo modello dello Psicologo di Base privo della componente tecnologica, ovvero dotato di una competenza tecnologica minima e non strutturata. Gli esiti misurati sono, in via principale, il risparmio diretto a carico del bilancio sanitario regionale e, in via complementare ma distinta, i risparmi indiretti e sociali; la prospettiva è quella del bilancio del Servizio Sanitario Regionale per l’esito principale e quella dell’intera collettività per l’esito complementare. L’orizzonte temporale è il regime di funzionamento, con riferimento al quinto e al decimo anno.</w:t>
      </w:r>
    </w:p>
    <w:p>
      <w:pPr>
        <w:pStyle w:val="BodyText"/>
      </w:pPr>
      <w:r>
        <w:t xml:space="preserve">Un elemento qualifica in modo particolare il quesito: le quattro modalità formative — la formazione universitaria pre-laurea, la formazione post-universitaria specialistica, la formazione continua sul lavoro e l’accompagnamento operativo da parte di figure competenti in Intelligenza Artificiale presso ciascuno studio — non sono assunte come dato, ma costituiscono esse stesse l’oggetto di una decisione ancora aperta. Lo studio non si limita pertanto a stimare un risparmio, ma analizza comparativamente le quattro leve, ne valuta il diverso profilo di costo, di profondità e di orizzonte temporale dell’impatto, e indica la loro composizione più efficiente per il contesto pugliese. Il prodotto finale è una quantificazione, prudente e corredata di intervalli di scenario, dell’ulteriore riduzione della spesa sanitaria — diretta e indiretta — che la Puglia può conseguire impiegando anche l’Intelligenza Artificiale e formando il proprio personale al suo uso, al netto di quanto il modello base già realizza.</w:t>
      </w:r>
    </w:p>
    <w:bookmarkEnd w:id="2217"/>
    <w:bookmarkStart w:id="2219" w:name="X2ec80d7d6e50c06bef32fb53d72366eb952bb82"/>
    <w:p>
      <w:pPr>
        <w:pStyle w:val="Heading3"/>
      </w:pPr>
      <w:r>
        <w:t xml:space="preserve">1.2 Il modello dello Psicologo di Base come base di partenza</w:t>
      </w:r>
    </w:p>
    <w:p>
      <w:pPr>
        <w:pStyle w:val="FirstParagraph"/>
      </w:pPr>
      <w:r>
        <w:t xml:space="preserve">Comprendere il quesito incrementale richiede di richiamare, sia pure in sintesi, la base sulla quale esso si innesta. Il modello dello Psicologo di Base nasce dalla constatazione di uno squilibrio strutturale delle cure primarie: una quota rilevante della domanda che si presenta al medico di base ha natura psicologica o psicosociale, ma trova nel primo livello una risposta prevalentemente farmacologica o un invio ai servizi specialistici di secondo livello, con esiti di appropriatezza modesti, tempi di attesa elevati e un consumo di prestazioni — visite ripetute, accertamenti, prescrizioni, accessi impropri al pronto soccorso — che il sistema sostiene senza che ad esso corrisponda un beneficio proporzionato. L’integrazione stabile della funzione psicologica nelle cure primarie, organizzata secondo un modello di cura per intensità crescente, interviene su questo squilibrio: intercetta precocemente il bisogno, fornisce risposte appropriate al livello corretto, riduce la medicalizzazione impropria e alleggerisce la pressione sul medico di base e sui servizi specialistici.</w:t>
      </w:r>
    </w:p>
    <w:p>
      <w:pPr>
        <w:pStyle w:val="BodyText"/>
      </w:pPr>
      <w:r>
        <w:t xml:space="preserve">Su queste basi, l’analisi economica del modello, sviluppata nelle parti precedenti del progetto, ha quantificato un risparmio diretto a carico del Servizio Sanitario Regionale dell’ordine di 270 milioni di euro annui a regime per la Puglia, a fronte di un costo di attivazione e di esercizio della funzione che la valutazione ha stimato con prudenza.</w:t>
      </w:r>
      <w:r>
        <w:rPr>
          <w:rStyle w:val="FootnoteReference"/>
        </w:rPr>
        <w:footnoteReference w:id="967"/>
      </w:r>
      <w:r>
        <w:t xml:space="preserve"> </w:t>
      </w:r>
      <w:r>
        <w:t xml:space="preserve">Il risparmio diretto così determinato costituisce il punto di partenza di questo studio, che ne assume il valore senza rimetterlo in discussione e si interroga unicamente sull’incremento conseguibile mediante la tecnologia. Accanto al risparmio diretto, il progetto ha documentato un più ampio ritorno indiretto e sociale, riconducibile al recupero di produttività, alla riduzione delle giornate di lavoro perdute, al minor ricorso all’assistenza informale e al miglioramento della qualità della vita, inquadrato nel contesto dell’ingente costo complessivo che i disturbi mentali impongono al Paese; tale ritorno, di entità verosimilmente superiore al risparmio diretto, è mantenuto rigorosamente distinto da quest’ultimo e non confluisce nella grandezza pertinente alla decisione di bilancio.</w:t>
      </w:r>
    </w:p>
    <w:p>
      <w:pPr>
        <w:pStyle w:val="BodyText"/>
      </w:pPr>
      <w:r>
        <w:t xml:space="preserve">La distinzione tra il risparmio diretto e i ritorni indiretti e sociali è il primo dei principi che governano l’intero documento, ed è opportuno enunciarlo sin da ora con chiarezza. Il risparmio diretto è il minor esborso che il bilancio del Servizio Sanitario Regionale registra in conseguenza del modello; i ritorni indiretti e sociali sono i benefici che si producono sul piano dell’economia e della collettività, ma che non si traducono in una corrispondente voce di minore spesa sanitaria. La confusione tra i due piani è all’origine di molte rappresentazioni sovrastimate del beneficio economico dell’innovazione in sanità, e lo studio la evita per scelta deliberata: ancorando la valutazione di sostenibilità finanziaria al solo risparmio diretto, esso si espone a una contestazione minore e offre al decisore la grandezza effettivamente rilevante per la decisione di bilancio. Il presente studio applicherà la medesima disciplina alla componente tecnologica, distinguendo in ogni passaggio ciò che riduce l’esborso sanitario da ciò che produce valore sul piano sociale.</w:t>
      </w:r>
    </w:p>
    <w:bookmarkEnd w:id="2219"/>
    <w:bookmarkStart w:id="2220" w:name="X87e29bd93ad87833503b991461e50bb5024f37b"/>
    <w:p>
      <w:pPr>
        <w:pStyle w:val="Heading3"/>
      </w:pPr>
      <w:r>
        <w:t xml:space="preserve">1.3 La tesi centrale: la formazione come variabile causale e la profondità di adozione come moltiplicatore</w:t>
      </w:r>
    </w:p>
    <w:p>
      <w:pPr>
        <w:pStyle w:val="FirstParagraph"/>
      </w:pPr>
      <w:r>
        <w:t xml:space="preserve">Il secondo principio che governa il documento riguarda il rapporto tra la tecnologia e il risparmio, ed è la tesi centrale dell’intero studio. L’Intelligenza Artificiale è una tecnologia abilitante, non un fine, e la sua disponibilità non equivale al suo beneficio. Tra la potenzialità dello strumento e la riduzione della spesa si interpone una variabile che lo studio isola e colloca al centro del ragionamento: la competenza del professionista che lo impiega. La medesima dotazione tecnologica produce esiti opposti — un risparmio oppure un costo aggiuntivo — a seconda che sia impiegata da operatori formati o non formati, ed è dunque la formazione, e non la tecnologia in quanto tale, a determinare quale dei due esiti si realizzi.</w:t>
      </w:r>
    </w:p>
    <w:p>
      <w:pPr>
        <w:pStyle w:val="BodyText"/>
      </w:pPr>
      <w:r>
        <w:t xml:space="preserve">Gli esempi che attraversano il documento rendono concreta questa affermazione. Un dispositivo di supporto diagnostico installato presso lo studio del medico di base non riduce di per sé gli invii inappropriati al secondo livello: li riduce se il medico ne sa interpretare l’esito, riconoscerne i falsi positivi e i falsi negativi e tradurlo in una decisione clinica appropriata; impiegato senza tale competenza, lo stesso dispositivo può generare accertamenti aggiuntivi e una cascata di prestazioni che il sistema non avrebbe altrimenti sostenuto, convertendosi da fattore di risparmio in fattore di costo. Un modello predittivo che stratifica il rischio non evita un ricovero per il solo fatto di emettere una segnalazione: lo evita se l’operatore sa leggere l’avviso e attivare tempestivamente l’intervento, e se esiste un servizio capace di agire su di esso. Un agente conversazionale o un dispositivo terapeutico digitale non amplia l’offerta in modo sicuro se non quando il clinico sa selezionare l’indicazione, escludere le controindicazioni, integrarlo nel percorso e sorvegliarne gli esiti. In ciascun caso la differenza tra il beneficio e il costo è prodotta dalla competenza, ossia dalla formazione.</w:t>
      </w:r>
    </w:p>
    <w:p>
      <w:pPr>
        <w:pStyle w:val="BodyText"/>
      </w:pPr>
      <w:r>
        <w:t xml:space="preserve">Da questa constatazione discende il concetto operativo su cui poggia l’intera quantificazione: la profondità di adozione come moltiplicatore. Il risparmio conseguibile non dipende soltanto dalla presenza degli strumenti, ma dalla misura in cui essi sono effettivamente, correttamente e capillarmente utilizzati nella pratica quotidiana, e tale misura è funzione diretta della competenza diffusa nella squadra delle cure primarie. Una dotazione impiegata da operatori non formati cattura una frazione modesta del beneficio potenziale; la stessa dotazione, impiegata da operatori formati, ne cattura una frazione sensibilmente maggiore. Il valore economico imputabile specificamente alla formazione — che lo studio denomina delta formativo — è precisamente la differenza tra il risparmio catturato in regime di formazione strutturata e quello catturato in regime di formazione minima, a parità di strumenti disponibili. È su questa differenza, e non sull’intero beneficio tecnologico, che si fonda la stima del ritorno dell’investimento formativo, in coerenza con il principio di non duplicazione che esclude di attribuire alla formazione ciò che spetta alla tecnologia o al modello base. La tesi, che le parti successive svilupperanno e quantificheranno, è dunque che la formazione costituisce la variabile causale del risparmio incrementale e non un suo accessorio.</w:t>
      </w:r>
    </w:p>
    <w:bookmarkEnd w:id="2220"/>
    <w:bookmarkStart w:id="2222" w:name="X677be5aaa7fcc33bd08ab62aaeb28d8b22a8812"/>
    <w:p>
      <w:pPr>
        <w:pStyle w:val="Heading3"/>
      </w:pPr>
      <w:r>
        <w:t xml:space="preserve">1.4 L’impianto metodologico e le dimensioni dell’analisi</w:t>
      </w:r>
    </w:p>
    <w:p>
      <w:pPr>
        <w:pStyle w:val="FirstParagraph"/>
      </w:pPr>
      <w:r>
        <w:t xml:space="preserve">Il terzo principio attiene al metodo. Lo studio adotta un impianto dichiaratamente fondato sull’evidenza, multidimensionale e prudenziale, e impiega in modo combinato gli strumenti consolidati della valutazione economica e della valutazione delle tecnologie sanitarie, calibrandoli sul quesito incrementale. L’impianto non si affida a un’unica metodologia, ma fa convergere prospettive distinte su una medesima domanda, così da sottoporre la stima a verifiche reciproche e da evitare che la conclusione dipenda dalle assunzioni di un solo metodo. Questa convergenza è essa stessa una garanzia di robustezza, poiché un risultato confermato da approcci eterogenei è meno esposto alla fragilità delle ipotesi particolari.</w:t>
      </w:r>
    </w:p>
    <w:p>
      <w:pPr>
        <w:pStyle w:val="BodyText"/>
      </w:pPr>
      <w:r>
        <w:t xml:space="preserve">Le metodologie impiegate comprendono l’analisi costi-benefici sociale, che misura il valore attuale netto economico e il tasso di rendimento dell’intervento; il modello a cinque casi della tradizione anglosassone, che impone la correzione delle distorsioni ottimistiche; l’analisi di costo-efficacia e di costo-utilità, che rapporta il costo agli esiti di salute; la valutazione delle tecnologie sanitarie applicata specificamente alla componente di Intelligenza Artificiale, secondo i domini consolidati a livello europeo; l’analisi di impatto sul bilancio, che costituisce il nucleo della valutazione per la decisione regionale in quanto misura i flussi di cassa non attualizzati a carico del bilancio sanitario; il ritorno sociale sull’investimento, con le correzioni che ne assicurano la prudenza; l’analisi e la verifica di impatto della regolamentazione, proprie dell’ordinamento italiano; la valutazione controfattuale d’impatto, che isola l’effetto proprio dell’intervento; e la modellazione decisionale con analisi multicriterio, che integra la dimensione economica con quelle non monetarie.</w:t>
      </w:r>
      <w:r>
        <w:rPr>
          <w:rStyle w:val="FootnoteReference"/>
        </w:rPr>
        <w:footnoteReference w:id="968"/>
      </w:r>
    </w:p>
    <w:p>
      <w:pPr>
        <w:pStyle w:val="BodyText"/>
      </w:pPr>
      <w:r>
        <w:t xml:space="preserve">L’approccio è inoltre multidimensionale nel senso che l’analisi non si esaurisce nella dimensione economica, ma considera congiuntamente cinque piani. La dimensione clinica riguarda l’efficacia documentata degli strumenti lungo il continuum assistenziale. La dimensione economica concerne il risparmio diretto e i ritorni indiretti. La dimensione organizzativa attiene all’incardinamento degli strumenti nei processi di lavoro e nei sistemi informativi sanitari. La dimensione etico-giuridica riguarda la protezione dei dati personali, il consenso informato, la responsabilità professionale e la conformità al quadro regolatorio. La dimensione distributiva concerne l’equità dell’accesso e l’effetto sulle disuguaglianze territoriali e sociali. Ciascuna di queste dimensioni è trattata nelle parti dedicate, e le loro conclusioni convergono nella sintesi finale, così che la valutazione economica non risulti avulsa dalle condizioni cliniche, organizzative, giuridiche e sociali che ne determinano la realizzabilità.</w:t>
      </w:r>
    </w:p>
    <w:p>
      <w:pPr>
        <w:pStyle w:val="BodyText"/>
      </w:pPr>
      <w:r>
        <w:t xml:space="preserve">Il carattere prudenziale dell’impianto si manifesta in scelte precise e ricorrenti. Le stime di beneficio sono trattate come proiezioni e non come dati acquisiti, e sono corredate di intervalli di scenario che ne esplicitano l’incertezza. Le stime di costo assumono come base i valori più conservativi. Il principio di non duplicazione impedisce di sommare risparmi già attribuiti ad altre componenti del modello. La distinzione cardinale tra costi diretti e costi sociali è mantenuta in ogni passaggio. E, come si dirà nel paragrafo che segue, l’evidenza a sostegno delle stime è selezionata con criteri rigorosi e trattata con la cautela che la sua maturità disomogenea impone. Questa prudenza non è timidezza analitica: è la condizione perché le stime reggano al vaglio critico delle sedi istituzionali nelle quali lo studio è destinato a essere valutato, anziché esporsi alla contestazione.</w:t>
      </w:r>
    </w:p>
    <w:bookmarkEnd w:id="2222"/>
    <w:bookmarkStart w:id="2226" w:name="X45e90c071b9e33c5c8afb389071f5a6a9fadf17"/>
    <w:p>
      <w:pPr>
        <w:pStyle w:val="Heading3"/>
      </w:pPr>
      <w:r>
        <w:t xml:space="preserve">1.5 I criteri di selezione e di trattamento dell’evidenza</w:t>
      </w:r>
    </w:p>
    <w:p>
      <w:pPr>
        <w:pStyle w:val="FirstParagraph"/>
      </w:pPr>
      <w:r>
        <w:t xml:space="preserve">La credibilità di uno studio che si dichiara fondato sull’evidenza dipende dai criteri con cui l’evidenza è selezionata e trattata, ed è opportuno enunciarli. Lo studio privilegia le fonti originali e di maggiore solidità — la letteratura scientifica sottoposta a revisione tra pari, i documenti regolatori e istituzionali, le banche dati brevettuali, i registri degli studi clinici — rispetto alle fonti secondarie e di sintesi divulgativa. Esso mantiene costantemente distinta l’efficacia clinica dal risparmio economico: la prima, anche quando documentata, non implica automaticamente il secondo, che va stimato separatamente e con prudenza, evitando di tradurre meccanicamente un miglioramento di esito in un minore esborso. Questa distinzione è la più frequentemente trascurata nelle valutazioni dell’innovazione sanitaria, e la sua osservanza costante è uno dei tratti che caratterizzano il presente studio.</w:t>
      </w:r>
    </w:p>
    <w:p>
      <w:pPr>
        <w:pStyle w:val="BodyText"/>
      </w:pPr>
      <w:r>
        <w:t xml:space="preserve">In coerenza con l’impianto dell’intero progetto, lo studio mantiene alcune cautele esplicite che lo distinguono dalle rappresentazioni più ottimistiche. La cifra di ritorno comunemente citata nell’ordine di quattro a uno è una semplificazione di natura comunicativa: gli intervalli autorevoli, desunti dalla letteratura di riferimento, si collocano tra 2,3 e 3,0 a uno per i soli benefici economici e tra 3,3 e 5,7 a uno includendo i ritorni sanitari, e sono questi a essere adottati.</w:t>
      </w:r>
      <w:r>
        <w:rPr>
          <w:rStyle w:val="FootnoteReference"/>
        </w:rPr>
        <w:footnoteReference w:id="969"/>
      </w:r>
      <w:r>
        <w:t xml:space="preserve"> </w:t>
      </w:r>
      <w:r>
        <w:t xml:space="preserve">Allo stesso modo, i risparmi sanitari documentati da alcuni studi sperimentali di riferimento non raggiungono la significatività statistica, e i dati di taluni progetti pilota citati derivano da campioni limitati e da letteratura grigia: tali limiti sono segnalati esplicitamente e di essi si tiene conto nella formulazione delle stime.</w:t>
      </w:r>
      <w:r>
        <w:rPr>
          <w:rStyle w:val="FootnoteReference"/>
        </w:rPr>
        <w:footnoteReference w:id="970"/>
      </w:r>
      <w:r>
        <w:t xml:space="preserve"> </w:t>
      </w:r>
      <w:r>
        <w:t xml:space="preserve">Per il rapporto beneficio-costo del modello complessivo, lo studio adotta una banda prudenziale e documentata e abbandona le cifre prive di fondamento puntuale.</w:t>
      </w:r>
    </w:p>
    <w:p>
      <w:pPr>
        <w:pStyle w:val="BodyText"/>
      </w:pPr>
      <w:r>
        <w:t xml:space="preserve">La medesima selettività applicata alle stime di ritorno della funzione psicologica è estesa, in questo studio, all’evidenza sull’Intelligenza Artificiale. L’efficacia degli strumenti è documentata in misura disomogenea lungo le cinque dimensioni del continuum: solida nella diagnostica per immagini, di supporto ma non conclusiva nella diagnostica in salute mentale, promettente ma ancora da verificare sul campo nella prevenzione, reale ma di entità contenuta e di durata non consolidata nel trattamento. Per gli agenti conversazionali, le revisioni sistematiche con meta-analisi documentano effetti modesti sui sintomi depressivi e ansiosi, più evidenti intorno all’ottava settimana e non più sostanziali al controllo a tre mesi; per gli strumenti di documentazione clinica assistita, la riduzione del tempo di nota e del logoramento professionale non si accompagna a un aumento del numero di pazienti trattati. Tali evidenze sono assunte per quanto effettivamente dimostrano, né più né meno, e i risultati preliminari sono segnalati come tali, così da non gravare la quantificazione di aspettative che l’evidenza non sostiene.</w:t>
      </w:r>
    </w:p>
    <w:p>
      <w:pPr>
        <w:pStyle w:val="BodyText"/>
      </w:pPr>
      <w:r>
        <w:t xml:space="preserve">Infine, lo studio assume il quadro regolatorio europeo come vincolo a ciò che è effettivamente impiegabile, e non come elemento estraneo all’analisi economica. Il Regolamento europeo sull’Intelligenza Artificiale, la disciplina dei dispositivi medici e la normativa sulla protezione dei dati definiscono le condizioni di liceità e di sicurezza entro le quali gli strumenti possono essere adottati, e da esse discendono requisiti — di marcatura, di trasparenza, di sorveglianza umana, di tutela dei dati — che lo studio incorpora nelle proprie raccomandazioni. La stima di un risparmio prescinderebbe dalla realtà se ignorasse i tempi e le condizioni con cui gli strumenti diventano legittimamente utilizzabili.</w:t>
      </w:r>
      <w:r>
        <w:rPr>
          <w:rStyle w:val="FootnoteReference"/>
        </w:rPr>
        <w:footnoteReference w:id="971"/>
      </w:r>
    </w:p>
    <w:bookmarkEnd w:id="2226"/>
    <w:bookmarkStart w:id="2227" w:name="la-struttura-del-documento"/>
    <w:p>
      <w:pPr>
        <w:pStyle w:val="Heading3"/>
      </w:pPr>
      <w:r>
        <w:t xml:space="preserve">1.6 La struttura del documento</w:t>
      </w:r>
    </w:p>
    <w:p>
      <w:pPr>
        <w:pStyle w:val="FirstParagraph"/>
      </w:pPr>
      <w:r>
        <w:t xml:space="preserve">Il documento si articola in nove parti, secondo una progressione che muove dai fondamenti all’esito quantitativo e alle raccomandazioni. La presente prima parte ha definito la finalità, il quesito di valutazione e l’impianto metodologico. La seconda parte sviluppa il razionale strategico della formazione come moltiplicatore del ritorno economico, esplicitando il meccanismo per cui la competenza diffusa converte la potenzialità tecnologica in risparmio e quantificando il concetto di profondità di adozione. La terza parte analizza comparativamente le quattro modalità formative — universitaria, post-universitaria, continua sul lavoro e accompagnamento operativo — e ne propone la composizione in un’architettura integrata, calibrata sul contesto pugliese e sul diverso orizzonte temporale dell’impatto di ciascuna leva. La quarta parte ricostruisce le potenzialità dell’Intelligenza Artificiale lungo le cinque dimensioni del continuum assistenziale — diagnostica, prevenzione, trattamento, riabilitazione e recupero — e l’efficientamento gestionale, distinguendo per ciascuna il grado di maturità dell’evidenza.</w:t>
      </w:r>
    </w:p>
    <w:p>
      <w:pPr>
        <w:pStyle w:val="BodyText"/>
      </w:pPr>
      <w:r>
        <w:t xml:space="preserve">La quinta parte presenta il panorama brevettuale internazionale, gli studi pilota e le esperienze di implementazione più autorevoli, dai quali lo studio trae i parametri e i riscontri della propria analisi. La sesta parte mappa le applicazioni cliniche sui fabbisogni formativi corrispondenti e definisce la cornice regolatoria e di sicurezza entro cui l’adozione deve avvenire. La settima parte costituisce il nucleo quantitativo dello studio: vi si determina, per perimetro, per strato e per scenario, l’ulteriore riduzione della spesa sanitaria diretta conseguibile in Puglia, con il relativo costo incrementale e il ritorno dell’investimento formativo. L’ottava parte esamina i limiti, i rischi, la governance e l’impatto distributivo dell’integrazione. La nona e ultima parte ricompone i risultati in una sintesi unitaria e ne deriva le raccomandazioni operative per la programmazione regionale, indicando la sequenza attuativa e il sistema di verifica controfattuale. Le parti si leggono come momenti di un’unica argomentazione, e le loro conclusioni convergono nella stima finale che il documento offre al decisore.</w:t>
      </w:r>
    </w:p>
    <w:p>
      <w:pPr>
        <w:pStyle w:val="SourceCode"/>
      </w:pPr>
      <w:r>
        <w:rPr>
          <w:rStyle w:val="VerbatimChar"/>
        </w:rPr>
        <w:t xml:space="preserve">Regione Puglia — Servizio Sanitario Regionale   </w:t>
      </w:r>
    </w:p>
    <w:p>
      <w:r>
        <w:br w:type="page"/>
      </w:r>
    </w:p>
    <w:bookmarkEnd w:id="2227"/>
    <w:bookmarkEnd w:id="2228"/>
    <w:bookmarkEnd w:id="2229"/>
    <w:bookmarkStart w:id="2539" w:name="X5e42ac3cd05f2181d6b4822e35271255b61667b"/>
    <w:p>
      <w:pPr>
        <w:pStyle w:val="Heading1"/>
      </w:pPr>
      <w:r>
        <w:t xml:space="preserve">Appendice XXIV — Il telaio metodologico integrale: le quattro cornici e la mappa del corpus</w:t>
      </w:r>
    </w:p>
    <w:p>
      <w:pPr>
        <w:pStyle w:val="FirstParagraph"/>
      </w:pPr>
      <w:r>
        <w:t xml:space="preserve">Studio Integrale Regionale · Regione Puglia</w:t>
      </w:r>
    </w:p>
    <w:p>
      <w:pPr>
        <w:pStyle w:val="BodyText"/>
      </w:pPr>
      <w:r>
        <w:t xml:space="preserve">Progetto «Psicologo di Base» — Riforma del Servizio di Psicologia di Base (L.R. 11/2023). Applicazione del telaio integrato in undici parti e cinque appendici (Modello HTA · Five Case Model · CHEERS 2022 · criteri OCSE-DAC).</w:t>
      </w:r>
    </w:p>
    <w:p>
      <w:pPr>
        <w:pStyle w:val="BodyText"/>
      </w:pPr>
      <w:r>
        <w:t xml:space="preserve">Indice</w:t>
      </w:r>
    </w:p>
    <w:bookmarkStart w:id="2231" w:name="premessa-generale"/>
    <w:p>
      <w:pPr>
        <w:pStyle w:val="Heading2"/>
      </w:pPr>
      <w:r>
        <w:t xml:space="preserve">Premessa generale</w:t>
      </w:r>
    </w:p>
    <w:p>
      <w:pPr>
        <w:pStyle w:val="FirstParagraph"/>
      </w:pPr>
      <w:r>
        <w:t xml:space="preserve">Questo documento apre e ordina lo studio integrale per la Regione Puglia sulla riforma del Servizio di Psicologia di Base, istituito con la legge regionale n. 11 del 2023. Esso non contiene una nuova analisi, ma fornisce la chiave di navigazione dell’intero corpus: la premessa, l’indice generale di tutte le parti e appendici, la mappa di integrazione del telaio e la sintesi del valore. La sua funzione è di rendere i numerosi documenti dello studio un insieme coerente e leggibile come un’unica opera.</w:t>
      </w:r>
      <w:r>
        <w:rPr>
          <w:rStyle w:val="FootnoteReference"/>
        </w:rPr>
        <w:footnoteReference w:id="972"/>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Da essa discende la tesi centrale dello studio, articolata in tre affermazioni congiunte: il servizio costa al bilancio una cifra modesta e quasi interamente compensata, restituisce alla collettività un valore dell’ordine di quattro euro per ogni euro speso, e adempie all’obbligo di garantire i livelli essenziali.</w:t>
      </w:r>
    </w:p>
    <w:bookmarkEnd w:id="2231"/>
    <w:bookmarkStart w:id="2232" w:name="indice-generale-del-corpus"/>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A.1-A.3</w:t>
            </w:r>
          </w:p>
        </w:tc>
        <w:tc>
          <w:tcPr/>
          <w:p>
            <w:pPr>
              <w:pStyle w:val="Compact"/>
              <w:spacing w:after="40" w:before="40"/>
              <w:jc w:val="left"/>
            </w:pPr>
            <w:r>
              <w:rPr>
                <w:rFonts w:ascii="Cambria" w:hAnsi="Cambria" w:cs="Cambria" w:eastAsia="Cambria"/>
                <w:color w:val="1A1A1A"/>
                <w:sz w:val="18"/>
              </w:rPr>
              <w:t xml:space="preserve">Quadro, quesito e metodo: scopo e quesito (PICOTS),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Problema di salute, bisogno e contesto: demografia, epidemiologia, domanda e offerta, disuguaglianze,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L’intervento e il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clinica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casi economico e finanziario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parametri, sensibilità,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G.1-G.3</w:t>
            </w:r>
          </w:p>
        </w:tc>
        <w:tc>
          <w:tcPr/>
          <w:p>
            <w:pPr>
              <w:pStyle w:val="Compact"/>
              <w:spacing w:after="40" w:before="40"/>
              <w:jc w:val="left"/>
            </w:pPr>
            <w:r>
              <w:rPr>
                <w:rFonts w:ascii="Cambria" w:hAnsi="Cambria" w:cs="Cambria" w:eastAsia="Cambria"/>
                <w:color w:val="1A1A1A"/>
                <w:sz w:val="18"/>
              </w:rPr>
              <w:t xml:space="preserve">Equità e impatto distributivo: analisi di equità, costo-efficacia distributiva, divari e impoverimento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H.1-H.3</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etico, costituzionale, organizzativo e conformità</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implementazione, dispiegamento, casi commerciale e gestionale,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valutazione ed ex post: indicatori, protocollo, controfattuale, verifica ex post, cruscotto</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M.1-M.4</w:t>
            </w:r>
          </w:p>
        </w:tc>
        <w:tc>
          <w:tcPr/>
          <w:p>
            <w:pPr>
              <w:pStyle w:val="Compact"/>
              <w:spacing w:after="40" w:before="40"/>
              <w:jc w:val="left"/>
            </w:pPr>
            <w:r>
              <w:rPr>
                <w:rFonts w:ascii="Cambria" w:hAnsi="Cambria" w:cs="Cambria" w:eastAsia="Cambria"/>
                <w:color w:val="1A1A1A"/>
                <w:sz w:val="18"/>
              </w:rPr>
              <w:t xml:space="preserve">Sintesi multidimensionale e raccomandazioni: griglia OCSE-DAC, analisi multi-criterio, raccomandazioni, limiti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A</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tavola delle assunzioni e dei parametri</w:t>
            </w:r>
          </w:p>
        </w:tc>
      </w:tr>
      <w:tr>
        <w:tc>
          <w:tcPr/>
          <w:p>
            <w:pPr>
              <w:pStyle w:val="Compact"/>
              <w:spacing w:after="40" w:before="40"/>
              <w:jc w:val="left"/>
            </w:pPr>
            <w:r>
              <w:rPr>
                <w:rFonts w:ascii="Cambria" w:hAnsi="Cambria" w:cs="Cambria" w:eastAsia="Cambria"/>
                <w:b/>
                <w:bCs/>
                <w:color w:val="1A1A1A"/>
                <w:sz w:val="18"/>
              </w:rPr>
              <w:t xml:space="preserve">Appendice B</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Strumenti di esito e dataset minimo: questionari e dizionario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C</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Dati regionali e fonti: valori di ancoraggio e dati da acquisire</w:t>
            </w:r>
          </w:p>
        </w:tc>
      </w:tr>
      <w:tr>
        <w:tc>
          <w:tcPr/>
          <w:p>
            <w:pPr>
              <w:pStyle w:val="Compact"/>
              <w:spacing w:after="40" w:before="40"/>
              <w:jc w:val="left"/>
            </w:pPr>
            <w:r>
              <w:rPr>
                <w:rFonts w:ascii="Cambria" w:hAnsi="Cambria" w:cs="Cambria" w:eastAsia="Cambria"/>
                <w:b/>
                <w:bCs/>
                <w:color w:val="1A1A1A"/>
                <w:sz w:val="18"/>
              </w:rPr>
              <w:t xml:space="preserve">Appendice D</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Checklist di reporting: CHEERS, PRISMA, GRADE, STROBE, ISPOR-SMDM, OCSE-JRC</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2232"/>
    <w:bookmarkStart w:id="2233" w:name="la-mappa-di-integrazione-del-telaio"/>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CHEERS; e i criteri dell’OCSE-DAC attraversano l’intero studio come griglia di giudizio, convergendo nella sintesi. La tabella seguente riporta, per ciascuna parte, il dominio HTA, il caso del Five Case Model e il criterio OCSE-DAC corrispondenti.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Parte</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HTA</w:t>
            </w:r>
          </w:p>
        </w:tc>
        <w:tc>
          <w:tcPr>
            <w:shd w:val="clear" w:color="auto" w:fill="16264B"/>
          </w:tcPr>
          <w:p>
            <w:pPr>
              <w:pStyle w:val="Compact"/>
              <w:spacing w:after="40" w:before="40"/>
              <w:jc w:val="left"/>
            </w:pPr>
            <w:r>
              <w:rPr>
                <w:rFonts w:ascii="Cambria" w:hAnsi="Cambria" w:cs="Cambria" w:eastAsia="Cambria"/>
                <w:b/>
                <w:bCs/>
                <w:color w:val="FFFFFF"/>
                <w:sz w:val="18"/>
              </w:rPr>
              <w:t xml:space="preserve">Caso (5CM)</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Criterio OCSE-DAC</w:t>
            </w:r>
          </w:p>
        </w:tc>
      </w:tr>
      <w:tr>
        <w:tc>
          <w:tcPr/>
          <w:p>
            <w:pPr>
              <w:pStyle w:val="Compact"/>
              <w:spacing w:after="40" w:before="40"/>
              <w:jc w:val="left"/>
            </w:pPr>
            <w:r>
              <w:rPr>
                <w:rFonts w:ascii="Cambria" w:hAnsi="Cambria" w:cs="Cambria" w:eastAsia="Cambria"/>
                <w:b/>
                <w:bCs/>
                <w:color w:val="1A1A1A"/>
                <w:sz w:val="18"/>
              </w:rPr>
              <w:t xml:space="preserve">A — Quadro e metodo</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Imposta la griglia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 — Bisogno e contesto</w:t>
            </w:r>
          </w:p>
        </w:tc>
        <w:tc>
          <w:tcPr>
            <w:shd w:val="clear" w:color="auto" w:fill="F4F1EC"/>
          </w:tcPr>
          <w:p>
            <w:pPr>
              <w:pStyle w:val="Compact"/>
              <w:spacing w:after="40" w:before="40"/>
              <w:jc w:val="left"/>
            </w:pPr>
            <w:r>
              <w:rPr>
                <w:rFonts w:ascii="Cambria" w:hAnsi="Cambria" w:cs="Cambria" w:eastAsia="Cambria"/>
                <w:color w:val="1A1A1A"/>
                <w:sz w:val="18"/>
              </w:rPr>
              <w:t xml:space="preserve">Dominio 1</w:t>
            </w:r>
          </w:p>
        </w:tc>
        <w:tc>
          <w:tcPr>
            <w:shd w:val="clear" w:color="auto" w:fill="F4F1EC"/>
          </w:tcPr>
          <w:p>
            <w:pPr>
              <w:pStyle w:val="Compact"/>
              <w:spacing w:after="40" w:before="40"/>
              <w:jc w:val="left"/>
            </w:pPr>
            <w:r>
              <w:rPr>
                <w:rFonts w:ascii="Cambria" w:hAnsi="Cambria" w:cs="Cambria" w:eastAsia="Cambria"/>
                <w:color w:val="1A1A1A"/>
                <w:sz w:val="18"/>
              </w:rPr>
              <w:t xml:space="preserve">Strategico</w:t>
            </w:r>
          </w:p>
        </w:tc>
        <w:tc>
          <w:tcPr>
            <w:shd w:val="clear" w:color="auto" w:fill="F4F1EC"/>
          </w:tcPr>
          <w:p>
            <w:pPr>
              <w:pStyle w:val="Compact"/>
              <w:spacing w:after="40" w:before="40"/>
              <w:jc w:val="left"/>
            </w:pPr>
            <w:r>
              <w:rPr>
                <w:rFonts w:ascii="Cambria" w:hAnsi="Cambria" w:cs="Cambria" w:eastAsia="Cambria"/>
                <w:color w:val="1A1A1A"/>
                <w:sz w:val="18"/>
              </w:rPr>
              <w:t xml:space="preserve">Rilevanza, coerenza</w:t>
            </w:r>
          </w:p>
        </w:tc>
      </w:tr>
      <w:tr>
        <w:tc>
          <w:tcPr/>
          <w:p>
            <w:pPr>
              <w:pStyle w:val="Compact"/>
              <w:spacing w:after="40" w:before="40"/>
              <w:jc w:val="left"/>
            </w:pPr>
            <w:r>
              <w:rPr>
                <w:rFonts w:ascii="Cambria" w:hAnsi="Cambria" w:cs="Cambria" w:eastAsia="Cambria"/>
                <w:b/>
                <w:bCs/>
                <w:color w:val="1A1A1A"/>
                <w:sz w:val="18"/>
              </w:rPr>
              <w:t xml:space="preserve">C — Intervento e modello</w:t>
            </w:r>
          </w:p>
        </w:tc>
        <w:tc>
          <w:tcPr/>
          <w:p>
            <w:pPr>
              <w:pStyle w:val="Compact"/>
              <w:spacing w:after="40" w:before="40"/>
              <w:jc w:val="left"/>
            </w:pPr>
            <w:r>
              <w:rPr>
                <w:rFonts w:ascii="Cambria" w:hAnsi="Cambria" w:cs="Cambria" w:eastAsia="Cambria"/>
                <w:color w:val="1A1A1A"/>
                <w:sz w:val="18"/>
              </w:rPr>
              <w:t xml:space="preserve">Domini 2–3</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 — Efficacia ed evidenza</w:t>
            </w:r>
          </w:p>
        </w:tc>
        <w:tc>
          <w:tcPr>
            <w:shd w:val="clear" w:color="auto" w:fill="F4F1EC"/>
          </w:tcPr>
          <w:p>
            <w:pPr>
              <w:pStyle w:val="Compact"/>
              <w:spacing w:after="40" w:before="40"/>
              <w:jc w:val="left"/>
            </w:pPr>
            <w:r>
              <w:rPr>
                <w:rFonts w:ascii="Cambria" w:hAnsi="Cambria" w:cs="Cambria" w:eastAsia="Cambria"/>
                <w:color w:val="1A1A1A"/>
                <w:sz w:val="18"/>
              </w:rPr>
              <w:t xml:space="preserve">Dominio 4</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Efficacia</w:t>
            </w:r>
          </w:p>
        </w:tc>
      </w:tr>
      <w:tr>
        <w:tc>
          <w:tcPr/>
          <w:p>
            <w:pPr>
              <w:pStyle w:val="Compact"/>
              <w:spacing w:after="40" w:before="40"/>
              <w:jc w:val="left"/>
            </w:pPr>
            <w:r>
              <w:rPr>
                <w:rFonts w:ascii="Cambria" w:hAnsi="Cambria" w:cs="Cambria" w:eastAsia="Cambria"/>
                <w:b/>
                <w:bCs/>
                <w:color w:val="1A1A1A"/>
                <w:sz w:val="18"/>
              </w:rPr>
              <w:t xml:space="preserve">E — Valutazione economica</w:t>
            </w:r>
          </w:p>
        </w:tc>
        <w:tc>
          <w:tcPr/>
          <w:p>
            <w:pPr>
              <w:pStyle w:val="Compact"/>
              <w:spacing w:after="40" w:before="40"/>
              <w:jc w:val="left"/>
            </w:pPr>
            <w:r>
              <w:rPr>
                <w:rFonts w:ascii="Cambria" w:hAnsi="Cambria" w:cs="Cambria" w:eastAsia="Cambria"/>
                <w:color w:val="1A1A1A"/>
                <w:sz w:val="18"/>
              </w:rPr>
              <w:t xml:space="preserve">Dominio 5</w:t>
            </w:r>
          </w:p>
        </w:tc>
        <w:tc>
          <w:tcPr/>
          <w:p>
            <w:pPr>
              <w:pStyle w:val="Compact"/>
              <w:spacing w:after="40" w:before="40"/>
              <w:jc w:val="left"/>
            </w:pPr>
            <w:r>
              <w:rPr>
                <w:rFonts w:ascii="Cambria" w:hAnsi="Cambria" w:cs="Cambria" w:eastAsia="Cambria"/>
                <w:color w:val="1A1A1A"/>
                <w:sz w:val="18"/>
              </w:rPr>
              <w:t xml:space="preserve">Economico, finanziario</w:t>
            </w:r>
          </w:p>
        </w:tc>
        <w:tc>
          <w:tcPr/>
          <w:p>
            <w:pPr>
              <w:pStyle w:val="Compact"/>
              <w:spacing w:after="40" w:before="40"/>
              <w:jc w:val="left"/>
            </w:pPr>
            <w:r>
              <w:rPr>
                <w:rFonts w:ascii="Cambria" w:hAnsi="Cambria" w:cs="Cambria" w:eastAsia="Cambria"/>
                <w:color w:val="1A1A1A"/>
                <w:sz w:val="18"/>
              </w:rPr>
              <w:t xml:space="preserve">Efficienza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 — 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Dominio 5</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Efficienza</w:t>
            </w:r>
          </w:p>
        </w:tc>
      </w:tr>
      <w:tr>
        <w:tc>
          <w:tcPr/>
          <w:p>
            <w:pPr>
              <w:pStyle w:val="Compact"/>
              <w:spacing w:after="40" w:before="40"/>
              <w:jc w:val="left"/>
            </w:pPr>
            <w:r>
              <w:rPr>
                <w:rFonts w:ascii="Cambria" w:hAnsi="Cambria" w:cs="Cambria" w:eastAsia="Cambria"/>
                <w:b/>
                <w:bCs/>
                <w:color w:val="1A1A1A"/>
                <w:sz w:val="18"/>
              </w:rPr>
              <w:t xml:space="preserve">G — Equità e impatto</w:t>
            </w:r>
          </w:p>
        </w:tc>
        <w:tc>
          <w:tcPr/>
          <w:p>
            <w:pPr>
              <w:pStyle w:val="Compact"/>
              <w:spacing w:after="40" w:before="40"/>
              <w:jc w:val="left"/>
            </w:pPr>
            <w:r>
              <w:rPr>
                <w:rFonts w:ascii="Cambria" w:hAnsi="Cambria" w:cs="Cambria" w:eastAsia="Cambria"/>
                <w:color w:val="1A1A1A"/>
                <w:sz w:val="18"/>
              </w:rPr>
              <w:t xml:space="preserve">Dominio 8</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Impatto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H — Profili etico/giuridico/organizz.</w:t>
            </w:r>
          </w:p>
        </w:tc>
        <w:tc>
          <w:tcPr>
            <w:shd w:val="clear" w:color="auto" w:fill="F4F1EC"/>
          </w:tcPr>
          <w:p>
            <w:pPr>
              <w:pStyle w:val="Compact"/>
              <w:spacing w:after="40" w:before="40"/>
              <w:jc w:val="left"/>
            </w:pPr>
            <w:r>
              <w:rPr>
                <w:rFonts w:ascii="Cambria" w:hAnsi="Cambria" w:cs="Cambria" w:eastAsia="Cambria"/>
                <w:color w:val="1A1A1A"/>
                <w:sz w:val="18"/>
              </w:rPr>
              <w:t xml:space="preserve">Domini 6, 7, 9</w:t>
            </w:r>
          </w:p>
        </w:tc>
        <w:tc>
          <w:tcPr>
            <w:shd w:val="clear" w:color="auto" w:fill="F4F1EC"/>
          </w:tcPr>
          <w:p>
            <w:pPr>
              <w:pStyle w:val="Compact"/>
              <w:spacing w:after="40" w:before="40"/>
              <w:jc w:val="left"/>
            </w:pPr>
            <w:r>
              <w:rPr>
                <w:rFonts w:ascii="Cambria" w:hAnsi="Cambria" w:cs="Cambria" w:eastAsia="Cambria"/>
                <w:color w:val="1A1A1A"/>
                <w:sz w:val="18"/>
              </w:rPr>
              <w:t xml:space="preserve">Gestionale</w:t>
            </w:r>
          </w:p>
        </w:tc>
        <w:tc>
          <w:tcPr>
            <w:shd w:val="clear" w:color="auto" w:fill="F4F1EC"/>
          </w:tcPr>
          <w:p>
            <w:pPr>
              <w:pStyle w:val="Compact"/>
              <w:spacing w:after="40" w:before="40"/>
              <w:jc w:val="left"/>
            </w:pPr>
            <w:r>
              <w:rPr>
                <w:rFonts w:ascii="Cambria" w:hAnsi="Cambria" w:cs="Cambria" w:eastAsia="Cambria"/>
                <w:color w:val="1A1A1A"/>
                <w:sz w:val="18"/>
              </w:rPr>
              <w:t xml:space="preserve">Coerenza</w:t>
            </w:r>
          </w:p>
        </w:tc>
      </w:tr>
      <w:tr>
        <w:tc>
          <w:tcPr/>
          <w:p>
            <w:pPr>
              <w:pStyle w:val="Compact"/>
              <w:spacing w:after="40" w:before="40"/>
              <w:jc w:val="left"/>
            </w:pPr>
            <w:r>
              <w:rPr>
                <w:rFonts w:ascii="Cambria" w:hAnsi="Cambria" w:cs="Cambria" w:eastAsia="Cambria"/>
                <w:b/>
                <w:bCs/>
                <w:color w:val="1A1A1A"/>
                <w:sz w:val="18"/>
              </w:rPr>
              <w:t xml:space="preserve">I — Attuazione e sostenibilità</w:t>
            </w:r>
          </w:p>
        </w:tc>
        <w:tc>
          <w:tcPr/>
          <w:p>
            <w:pPr>
              <w:pStyle w:val="Compact"/>
              <w:spacing w:after="40" w:before="40"/>
              <w:jc w:val="left"/>
            </w:pPr>
            <w:r>
              <w:rPr>
                <w:rFonts w:ascii="Cambria" w:hAnsi="Cambria" w:cs="Cambria" w:eastAsia="Cambria"/>
                <w:color w:val="1A1A1A"/>
                <w:sz w:val="18"/>
              </w:rPr>
              <w:t xml:space="preserve">Dominio 7</w:t>
            </w:r>
          </w:p>
        </w:tc>
        <w:tc>
          <w:tcPr/>
          <w:p>
            <w:pPr>
              <w:pStyle w:val="Compact"/>
              <w:spacing w:after="40" w:before="40"/>
              <w:jc w:val="left"/>
            </w:pPr>
            <w:r>
              <w:rPr>
                <w:rFonts w:ascii="Cambria" w:hAnsi="Cambria" w:cs="Cambria" w:eastAsia="Cambria"/>
                <w:color w:val="1A1A1A"/>
                <w:sz w:val="18"/>
              </w:rPr>
              <w:t xml:space="preserve">Commerciale, gestionale</w:t>
            </w:r>
          </w:p>
        </w:tc>
        <w:tc>
          <w:tcPr/>
          <w:p>
            <w:pPr>
              <w:pStyle w:val="Compact"/>
              <w:spacing w:after="40" w:before="40"/>
              <w:jc w:val="left"/>
            </w:pPr>
            <w:r>
              <w:rPr>
                <w:rFonts w:ascii="Cambria" w:hAnsi="Cambria" w:cs="Cambria" w:eastAsia="Cambria"/>
                <w:color w:val="1A1A1A"/>
                <w:sz w:val="18"/>
              </w:rPr>
              <w:t xml:space="preserve">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 — Monitoraggio ed ex post</w:t>
            </w:r>
          </w:p>
        </w:tc>
        <w:tc>
          <w:tcPr>
            <w:shd w:val="clear" w:color="auto" w:fill="F4F1EC"/>
          </w:tcPr>
          <w:p>
            <w:pPr>
              <w:pStyle w:val="Compact"/>
              <w:spacing w:after="40" w:before="40"/>
              <w:jc w:val="left"/>
            </w:pPr>
            <w:r>
              <w:rPr>
                <w:rFonts w:ascii="Cambria" w:hAnsi="Cambria" w:cs="Cambria" w:eastAsia="Cambria"/>
                <w:color w:val="1A1A1A"/>
                <w:sz w:val="18"/>
              </w:rPr>
              <w:t xml:space="preserve">Trasversale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Verifica ex post</w:t>
            </w:r>
          </w:p>
        </w:tc>
      </w:tr>
      <w:tr>
        <w:tc>
          <w:tcPr/>
          <w:p>
            <w:pPr>
              <w:pStyle w:val="Compact"/>
              <w:spacing w:after="40" w:before="40"/>
              <w:jc w:val="left"/>
            </w:pPr>
            <w:r>
              <w:rPr>
                <w:rFonts w:ascii="Cambria" w:hAnsi="Cambria" w:cs="Cambria" w:eastAsia="Cambria"/>
                <w:b/>
                <w:bCs/>
                <w:color w:val="1A1A1A"/>
                <w:sz w:val="18"/>
              </w:rPr>
              <w:t xml:space="preserve">M — Sintesi e raccomandazioni</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Tutti i criteri</w:t>
            </w:r>
          </w:p>
        </w:tc>
      </w:tr>
    </w:tbl>
    <w:p>
      <w:pPr>
        <w:pStyle w:val="BodyText"/>
      </w:pPr>
      <w:r>
        <w:rPr>
          <w:i/>
          <w:iCs/>
        </w:rPr>
        <w:t xml:space="preserve">Tabella 2. La mappa di integrazione delle quattro cornici, parte per parte.</w:t>
      </w:r>
    </w:p>
    <w:bookmarkEnd w:id="2233"/>
    <w:bookmarkStart w:id="2234" w:name="la-sintesi-del-valore"/>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prossimo al pareggio — e il saldo complessivo, nettamente positivo.</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25</w:t>
            </w:r>
          </w:p>
        </w:tc>
        <w:tc>
          <w:tcPr/>
          <w:p>
            <w:pPr>
              <w:pStyle w:val="Compact"/>
              <w:spacing w:after="40" w:before="40"/>
              <w:jc w:val="left"/>
            </w:pPr>
            <w:r>
              <w:rPr>
                <w:rFonts w:ascii="Cambria" w:hAnsi="Cambria" w:cs="Cambria" w:eastAsia="Cambria"/>
                <w:color w:val="1A1A1A"/>
                <w:sz w:val="18"/>
              </w:rPr>
              <w:t xml:space="preserve">~ 38</w:t>
            </w:r>
          </w:p>
        </w:tc>
        <w:tc>
          <w:tcPr/>
          <w:p>
            <w:pPr>
              <w:pStyle w:val="Compact"/>
              <w:spacing w:after="40" w:before="40"/>
              <w:jc w:val="left"/>
            </w:pPr>
            <w:r>
              <w:rPr>
                <w:rFonts w:ascii="Cambria" w:hAnsi="Cambria" w:cs="Cambria" w:eastAsia="Cambria"/>
                <w:color w:val="1A1A1A"/>
                <w:sz w:val="18"/>
              </w:rPr>
              <w:t xml:space="preserve">~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20</w:t>
            </w:r>
          </w:p>
        </w:tc>
        <w:tc>
          <w:tcPr>
            <w:shd w:val="clear" w:color="auto" w:fill="F4F1EC"/>
          </w:tcPr>
          <w:p>
            <w:pPr>
              <w:pStyle w:val="Compact"/>
              <w:spacing w:after="40" w:before="40"/>
              <w:jc w:val="left"/>
            </w:pPr>
            <w:r>
              <w:rPr>
                <w:rFonts w:ascii="Cambria" w:hAnsi="Cambria" w:cs="Cambria" w:eastAsia="Cambria"/>
                <w:color w:val="1A1A1A"/>
                <w:sz w:val="18"/>
              </w:rPr>
              <w:t xml:space="preserve">~ 34</w:t>
            </w:r>
          </w:p>
        </w:tc>
        <w:tc>
          <w:tcPr>
            <w:shd w:val="clear" w:color="auto" w:fill="F4F1EC"/>
          </w:tcPr>
          <w:p>
            <w:pPr>
              <w:pStyle w:val="Compact"/>
              <w:spacing w:after="40" w:before="40"/>
              <w:jc w:val="left"/>
            </w:pPr>
            <w:r>
              <w:rPr>
                <w:rFonts w:ascii="Cambria" w:hAnsi="Cambria" w:cs="Cambria" w:eastAsia="Cambria"/>
                <w:color w:val="1A1A1A"/>
                <w:sz w:val="18"/>
              </w:rPr>
              <w:t xml:space="preserve">~ 50</w:t>
            </w:r>
          </w:p>
        </w:tc>
      </w:tr>
      <w:tr>
        <w:tc>
          <w:tcPr/>
          <w:p>
            <w:pPr>
              <w:pStyle w:val="Compact"/>
              <w:spacing w:after="40" w:before="40"/>
              <w:jc w:val="left"/>
            </w:pPr>
            <w:r>
              <w:rPr>
                <w:rFonts w:ascii="Cambria" w:hAnsi="Cambria" w:cs="Cambria" w:eastAsia="Cambria"/>
                <w:b/>
                <w:bCs/>
                <w:color w:val="1A1A1A"/>
                <w:sz w:val="18"/>
              </w:rPr>
              <w:t xml:space="preserve">Ricadute economico-sociali</w:t>
            </w:r>
          </w:p>
        </w:tc>
        <w:tc>
          <w:tcPr/>
          <w:p>
            <w:pPr>
              <w:pStyle w:val="Compact"/>
              <w:spacing w:after="40" w:before="40"/>
              <w:jc w:val="left"/>
            </w:pPr>
            <w:r>
              <w:rPr>
                <w:rFonts w:ascii="Cambria" w:hAnsi="Cambria" w:cs="Cambria" w:eastAsia="Cambria"/>
                <w:color w:val="1A1A1A"/>
                <w:sz w:val="18"/>
              </w:rPr>
              <w:t xml:space="preserve">~ 70</w:t>
            </w:r>
          </w:p>
        </w:tc>
        <w:tc>
          <w:tcPr/>
          <w:p>
            <w:pPr>
              <w:pStyle w:val="Compact"/>
              <w:spacing w:after="40" w:before="40"/>
              <w:jc w:val="left"/>
            </w:pPr>
            <w:r>
              <w:rPr>
                <w:rFonts w:ascii="Cambria" w:hAnsi="Cambria" w:cs="Cambria" w:eastAsia="Cambria"/>
                <w:color w:val="1A1A1A"/>
                <w:sz w:val="18"/>
              </w:rPr>
              <w:t xml:space="preserve">~ 130</w:t>
            </w:r>
          </w:p>
        </w:tc>
        <w:tc>
          <w:tcPr/>
          <w:p>
            <w:pPr>
              <w:pStyle w:val="Compact"/>
              <w:spacing w:after="40" w:before="40"/>
              <w:jc w:val="left"/>
            </w:pPr>
            <w:r>
              <w:rPr>
                <w:rFonts w:ascii="Cambria" w:hAnsi="Cambria" w:cs="Cambria" w:eastAsia="Cambria"/>
                <w:color w:val="1A1A1A"/>
                <w:sz w:val="18"/>
              </w:rPr>
              <w:t xml:space="preserve">~ 200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−5</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0</w:t>
            </w:r>
          </w:p>
        </w:tc>
      </w:tr>
      <w:tr>
        <w:tc>
          <w:tcPr/>
          <w:p>
            <w:pPr>
              <w:pStyle w:val="Compact"/>
              <w:spacing w:after="40" w:before="40"/>
              <w:jc w:val="left"/>
            </w:pPr>
            <w:r>
              <w:rPr>
                <w:rFonts w:ascii="Cambria" w:hAnsi="Cambria" w:cs="Cambria" w:eastAsia="Cambria"/>
                <w:b/>
                <w:bCs/>
                <w:color w:val="1A1A1A"/>
                <w:sz w:val="18"/>
              </w:rPr>
              <w:t xml:space="preserve">Saldo complessivo (caso economico)</w:t>
            </w:r>
          </w:p>
        </w:tc>
        <w:tc>
          <w:tcPr/>
          <w:p>
            <w:pPr>
              <w:pStyle w:val="Compact"/>
              <w:spacing w:after="40" w:before="40"/>
              <w:jc w:val="left"/>
            </w:pPr>
            <w:r>
              <w:rPr>
                <w:rFonts w:ascii="Cambria" w:hAnsi="Cambria" w:cs="Cambria" w:eastAsia="Cambria"/>
                <w:color w:val="1A1A1A"/>
                <w:sz w:val="18"/>
              </w:rPr>
              <w:t xml:space="preserve">+65</w:t>
            </w:r>
          </w:p>
        </w:tc>
        <w:tc>
          <w:tcPr/>
          <w:p>
            <w:pPr>
              <w:pStyle w:val="Compact"/>
              <w:spacing w:after="40" w:before="40"/>
              <w:jc w:val="left"/>
            </w:pPr>
            <w:r>
              <w:rPr>
                <w:rFonts w:ascii="Cambria" w:hAnsi="Cambria" w:cs="Cambria" w:eastAsia="Cambria"/>
                <w:color w:val="1A1A1A"/>
                <w:sz w:val="18"/>
              </w:rPr>
              <w:t xml:space="preserve">+126</w:t>
            </w:r>
          </w:p>
        </w:tc>
        <w:tc>
          <w:tcPr/>
          <w:p>
            <w:pPr>
              <w:pStyle w:val="Compact"/>
              <w:spacing w:after="40" w:before="40"/>
              <w:jc w:val="left"/>
            </w:pPr>
            <w:r>
              <w:rPr>
                <w:rFonts w:ascii="Cambria" w:hAnsi="Cambria" w:cs="Cambria" w:eastAsia="Cambria"/>
                <w:color w:val="1A1A1A"/>
                <w:sz w:val="18"/>
              </w:rPr>
              <w:t xml:space="preserve">+200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~3,6:1</w:t>
            </w:r>
          </w:p>
        </w:tc>
        <w:tc>
          <w:tcPr>
            <w:shd w:val="clear" w:color="auto" w:fill="F4F1EC"/>
          </w:tcPr>
          <w:p>
            <w:pPr>
              <w:pStyle w:val="Compact"/>
              <w:spacing w:after="40" w:before="40"/>
              <w:jc w:val="left"/>
            </w:pPr>
            <w:r>
              <w:rPr>
                <w:rFonts w:ascii="Cambria" w:hAnsi="Cambria" w:cs="Cambria" w:eastAsia="Cambria"/>
                <w:color w:val="1A1A1A"/>
                <w:sz w:val="18"/>
              </w:rPr>
              <w:t xml:space="preserve">~4,3:1</w:t>
            </w:r>
          </w:p>
        </w:tc>
        <w:tc>
          <w:tcPr>
            <w:shd w:val="clear" w:color="auto" w:fill="F4F1EC"/>
          </w:tcPr>
          <w:p>
            <w:pPr>
              <w:pStyle w:val="Compact"/>
              <w:spacing w:after="40" w:before="40"/>
              <w:jc w:val="left"/>
            </w:pPr>
            <w:r>
              <w:rPr>
                <w:rFonts w:ascii="Cambria" w:hAnsi="Cambria" w:cs="Cambria" w:eastAsia="Cambria"/>
                <w:color w:val="1A1A1A"/>
                <w:sz w:val="18"/>
              </w:rPr>
              <w:t xml:space="preserve">~5,0:1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istituire il servizio — già istituito, prima in Italia, con la legge regionale n. 11 del 2023 — ma se dimensionarlo, scalando dalla copertura attuale di circa il 5% del fabbisogno verso gli 800–900 psicologi a regime. Il limite principale, dichiarato con franchezza, è che le grandezze economiche sono in parte ricostruite a partire dai conti nazionali, scalati per la quota di popolazione regionale, anziché estratte dai conti regionali certificati: è la lacuna prioritaria da colmare prima della presentazione esterna.</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con le dovute cautele di trasferibilità. L’intera architettura, infine, è concepita per essere trasferibile: il telaio e il caso di riferimento sono fissi e comuni a tutte le regioni, e ciascuna regione fornisce i propri dati certificati, sicché lo studio pugliese costituisce al tempo stesso un documento compiuto per la Puglia e il modello di riferimento per la generalizzazione alle altre regioni. Con questo documento di apertura, il corpus dello studio integrale per la Puglia — undici parti e cinque appendici — è ordinato e navigabile come un’unica opera.</w:t>
      </w:r>
    </w:p>
    <w:p>
      <w:pPr>
        <w:pStyle w:val="BodyText"/>
      </w:pPr>
      <w:r>
        <w:rPr>
          <w:b/>
          <w:bCs/>
        </w:rPr>
        <w:t xml:space="preserve">PROGETTO «PSICOLOGO DI BASE» · ESTENSIONE A TUTTE LE REGIONI</w:t>
      </w:r>
    </w:p>
    <w:p>
      <w:pPr>
        <w:pStyle w:val="BodyText"/>
      </w:pPr>
      <w:r>
        <w:t xml:space="preserve">Il telaio definitivo dello studio regionale</w:t>
      </w:r>
    </w:p>
    <w:p>
      <w:pPr>
        <w:pStyle w:val="BodyText"/>
      </w:pPr>
      <w:r>
        <w:rPr>
          <w:b/>
          <w:bCs/>
        </w:rPr>
        <w:t xml:space="preserve">Il telaio integrato</w:t>
      </w:r>
    </w:p>
    <w:p>
      <w:pPr>
        <w:pStyle w:val="BodyText"/>
      </w:pPr>
      <w:r>
        <w:rPr>
          <w:b/>
          <w:bCs/>
        </w:rPr>
        <w:t xml:space="preserve">l’architettura definitiva, dalla combinazione delle quattro cornici apicali</w:t>
      </w:r>
    </w:p>
    <w:p>
      <w:pPr>
        <w:pStyle w:val="BodyText"/>
      </w:pPr>
      <w:r>
        <w:rPr>
          <w:i/>
          <w:iCs/>
        </w:rPr>
        <w:t xml:space="preserve">Modello centrale HTA, Five Case Model, CHEERS 2022 e criteri OCSE-DAC, con le dieci metodologie innestate</w:t>
      </w:r>
    </w:p>
    <w:bookmarkEnd w:id="2234"/>
    <w:bookmarkStart w:id="2237" w:name="parte-i-il-fondamento-del-telaio"/>
    <w:p>
      <w:pPr>
        <w:pStyle w:val="Heading2"/>
      </w:pPr>
      <w:r>
        <w:t xml:space="preserve">Parte I — Il fondamento del telaio</w:t>
      </w:r>
    </w:p>
    <w:bookmarkStart w:id="2235" w:name="premessa-scopo-e-natura-del-telaio"/>
    <w:p>
      <w:pPr>
        <w:pStyle w:val="Heading3"/>
      </w:pPr>
      <w:r>
        <w:t xml:space="preserve">1. Premessa: scopo e natura del telaio</w:t>
      </w:r>
    </w:p>
    <w:p>
      <w:pPr>
        <w:pStyle w:val="FirstParagraph"/>
      </w:pPr>
      <w:r>
        <w:t xml:space="preserve">Questo documento stabilisce il telaio definitivo su cui sarà edificato lo studio integrale per la Puglia e, con il solo cambiamento dei dati di ingresso, replicato per tutte le Regioni italiane. Non è ancora lo studio: ne è l’architettura e il metodo, fissati una volta e applicati molte. La distinzione è sostanziale, perché ciò che rende confrontabili venti studi regionali — e quindi utili a una decisione di scala nazionale — non è la somiglianza dei loro risultati, ma l’identità del procedimento che li genera. Un telaio comune è la condizione della comparabilità; i dati di ciascuna regione sono ciò che ne assicura l’aderenza alla realtà.</w:t>
      </w:r>
    </w:p>
    <w:p>
      <w:pPr>
        <w:pStyle w:val="BodyText"/>
      </w:pPr>
      <w:r>
        <w:t xml:space="preserve">Il telaio nasce dalla scelta deliberata di non affidarsi a un’unica cornice metodologica, ma di comporre l’apice di quattro tradizioni distinte. La ragione risiede nella natura stessa dell’oggetto: lo studio di una riforma di servizio sanitario regionale è a un tempo una valutazione di tecnologia sanitaria, una decisione di investimento pubblico, una valutazione economica e una valutazione di politica pubblica. Nessuna cornice singola copre bene tutte e quattro queste dimensioni. Si assume perciò il riferimento più autorevole per ciascuna e lo si integra con gli altri, attribuendo a ciascuno la funzione che meglio assolve e affidando alla loro composizione la completezza che nessuno raggiungerebbe da solo.</w:t>
      </w:r>
    </w:p>
    <w:p>
      <w:pPr>
        <w:pStyle w:val="BodyText"/>
      </w:pPr>
      <w:r>
        <w:t xml:space="preserve">Le quattro cornici sono il modello centrale dell’HTA europeo, il Five Case Model del Tesoro britannico, lo standard di reporting economico CHEERS e i criteri di valutazione dell’OCSE-DAC. La prima fornisce la macro-struttura dei domini che una valutazione completa deve coprire; la seconda, la forma in cui la proposta è presentata al decisore; la terza, lo standard con cui la parte economica è riportata; la quarta, la griglia di criteri con cui l’intervento è infine giudicato. Nelle parti dello studio così strutturate sono poi innestate le dieci metodologie analitiche selezionate, ciascuna nella sede di sua competenza.</w:t>
      </w:r>
    </w:p>
    <w:bookmarkEnd w:id="2235"/>
    <w:bookmarkStart w:id="2236" w:name="la-logica-della-combinazione"/>
    <w:p>
      <w:pPr>
        <w:pStyle w:val="Heading3"/>
      </w:pPr>
      <w:r>
        <w:t xml:space="preserve">2. La logica della combinazione</w:t>
      </w:r>
    </w:p>
    <w:p>
      <w:pPr>
        <w:pStyle w:val="FirstParagraph"/>
      </w:pPr>
      <w:r>
        <w:t xml:space="preserve">La forza della combinazione sta nella divisione del lavoro tra le quattro cornici, che sono complementari e non ridondanti: l’una dice che cosa valutare, l’altra come decidere, la terza come riportare l’economia, la quarta rispetto a quali criteri giudicare. Comprenderne la ripartizione di funzioni è la premessa per usarle insieme senza sovrapposizioni e senza vuoti.</w:t>
      </w:r>
    </w:p>
    <w:p>
      <w:pPr>
        <w:pStyle w:val="BodyText"/>
      </w:pPr>
      <w:r>
        <w:t xml:space="preserve">Il modello centrale dell’HTA assolve la funzione della completezza. La sua ontologia a nove domini garantisce che nessun aspetto essenziale sia tralasciato: non solo l’efficacia clinica e i costi, ma anche la sicurezza, il profilo etico, quello organizzativo, quello del paziente e sociale, quello giuridico. È il riferimento europeo, oggi incorporato nel regolamento applicabile dal 2025, ed è ciò che eleva lo studio da una valutazione economica a una valutazione di tecnologia sanitaria a tutto tondo.</w:t>
      </w:r>
    </w:p>
    <w:p>
      <w:pPr>
        <w:pStyle w:val="BodyText"/>
      </w:pPr>
      <w:r>
        <w:t xml:space="preserve">Il Five Case Model assolve la funzione della decisione. Esso traduce la valutazione in una decisione di investimento pubblico, articolata nei cinque casi che il decisore deve poter esaminare insieme: la necessità del cambiamento, il valore per la collettività, la fattibilità dell’assetto, la sostenibilità di bilancio e la realizzabilità dell’attuazione. Decisiva, per il nostro caso, è la separazione che esso impone tra il caso economico, dove risiede il valore sociale, e il caso finanziario, dove risiede la sostenibilità di bilancio: è esattamente la distinzione tra risparmi diretti e ricadute sociali che il progetto ha già fatto propria, ed è ciò che ne assicura la credibilità di fronte agli organi di controllo.</w:t>
      </w:r>
    </w:p>
    <w:p>
      <w:pPr>
        <w:pStyle w:val="BodyText"/>
      </w:pPr>
      <w:r>
        <w:t xml:space="preserve">Lo standard CHEERS assolve la funzione della trasparenza economica. La sua lista di controllo in sette sezioni governa il modo in cui la valutazione economica è riportata, assicurando che ogni scelta — prospettiva, comparatori, orizzonte, sconto, esiti, costi, gestione dell’incertezza — sia esplicitata e riproducibile. I criteri dell’OCSE-DAC, infine, assolvono la funzione del giudizio: forniscono la griglia normativa — rilevanza, coerenza, efficacia, efficienza, impatto, sostenibilità — rispetto alla quale l’intervento è valutato nel suo complesso e verificato a posteriori.</w:t>
      </w:r>
    </w:p>
    <w:bookmarkEnd w:id="2236"/>
    <w:bookmarkEnd w:id="2237"/>
    <w:bookmarkStart w:id="2243" w:name="Xe97e8a80b2b12838ba51af0e340dad42fea1b26"/>
    <w:p>
      <w:pPr>
        <w:pStyle w:val="Heading2"/>
      </w:pPr>
      <w:r>
        <w:t xml:space="preserve">Parte II — Le quattro cornici e la loro integrazione</w:t>
      </w:r>
    </w:p>
    <w:bookmarkStart w:id="2238" w:name="X67a0247c260697920aa83b3f725e4c6364cb837"/>
    <w:p>
      <w:pPr>
        <w:pStyle w:val="Heading3"/>
      </w:pPr>
      <w:r>
        <w:t xml:space="preserve">3. La macro-struttura: i nove domini del modello HTA</w:t>
      </w:r>
    </w:p>
    <w:p>
      <w:pPr>
        <w:pStyle w:val="FirstParagraph"/>
      </w:pPr>
      <w:r>
        <w:t xml:space="preserve">Il modello centrale dell’HTA fornisce l’ossatura dello studio. Esso si compone di tre elementi — l’ontologia che struttura l’informazione in nove domini, la guida metodologica e una struttura di reporting comune — dei quali si adottano qui i domini come macro-struttura. I nove domini sono il problema di salute e l’uso corrente della tecnologia, la descrizione e le caratteristiche tecniche, la sicurezza, l’efficacia clinica, i costi e la valutazione economica, il profilo etico, il profilo organizzativo, il profilo del paziente e sociale, e il profilo giuridico.</w:t>
      </w:r>
    </w:p>
    <w:p>
      <w:pPr>
        <w:pStyle w:val="BodyText"/>
      </w:pPr>
      <w:r>
        <w:t xml:space="preserve">Ciascun dominio diventa, nello studio, una parte o un insieme di capitoli. Il primo dominio fonda la parte sul bisogno e sul contesto; il secondo e il terzo fondano la parte sull’intervento, la sua descrizione e la sua sicurezza clinica; il quarto fonda la parte sull’efficacia e l’evidenza; il quinto fonda la parte economica e la modellazione; il sesto, il settimo e il nono fondano la parte sui profili etico, organizzativo e giuridico; l’ottavo fonda la parte sull’equità e l’impatto sociale. La valutazione rapida di efficacia relativa, prevista dal modello, copre i soli primi quattro domini; lo studio integrale, come il nostro, li copre tutti.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Dominio del modello HTA</w:t>
            </w:r>
          </w:p>
        </w:tc>
        <w:tc>
          <w:tcPr>
            <w:shd w:val="clear" w:color="auto" w:fill="16264B"/>
          </w:tcPr>
          <w:p>
            <w:pPr>
              <w:pStyle w:val="Compact"/>
              <w:spacing w:after="40" w:before="40"/>
              <w:jc w:val="left"/>
            </w:pPr>
            <w:r>
              <w:rPr>
                <w:rFonts w:ascii="Cambria" w:hAnsi="Cambria" w:cs="Cambria" w:eastAsia="Cambria"/>
                <w:b/>
                <w:bCs/>
                <w:color w:val="FFFFFF"/>
                <w:sz w:val="18"/>
              </w:rPr>
              <w:t xml:space="preserve">Parte dello studio che ne deriva</w:t>
            </w:r>
          </w:p>
        </w:tc>
      </w:tr>
      <w:tr>
        <w:tc>
          <w:tcPr/>
          <w:p>
            <w:pPr>
              <w:pStyle w:val="Compact"/>
              <w:spacing w:after="40" w:before="40"/>
              <w:jc w:val="left"/>
            </w:pPr>
            <w:r>
              <w:rPr>
                <w:rFonts w:ascii="Cambria" w:hAnsi="Cambria" w:cs="Cambria" w:eastAsia="Cambria"/>
                <w:b/>
                <w:bCs/>
                <w:color w:val="1A1A1A"/>
                <w:sz w:val="18"/>
              </w:rPr>
              <w:t xml:space="preserve">1. Problema di salute e uso corrente</w:t>
            </w:r>
          </w:p>
        </w:tc>
        <w:tc>
          <w:tcPr/>
          <w:p>
            <w:pPr>
              <w:pStyle w:val="Compact"/>
              <w:spacing w:after="40" w:before="40"/>
              <w:jc w:val="left"/>
            </w:pPr>
            <w:r>
              <w:rPr>
                <w:rFonts w:ascii="Cambria" w:hAnsi="Cambria" w:cs="Cambria" w:eastAsia="Cambria"/>
                <w:color w:val="1A1A1A"/>
                <w:sz w:val="18"/>
              </w:rPr>
              <w:t xml:space="preserve">Bisogno, epidemiologia, domanda e offerta, contesto dei servizi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Descrizione e caratteristiche tecniche</w:t>
            </w:r>
          </w:p>
        </w:tc>
        <w:tc>
          <w:tcPr>
            <w:shd w:val="clear" w:color="auto" w:fill="F4F1EC"/>
          </w:tcPr>
          <w:p>
            <w:pPr>
              <w:pStyle w:val="Compact"/>
              <w:spacing w:after="40" w:before="40"/>
              <w:jc w:val="left"/>
            </w:pPr>
            <w:r>
              <w:rPr>
                <w:rFonts w:ascii="Cambria" w:hAnsi="Cambria" w:cs="Cambria" w:eastAsia="Cambria"/>
                <w:color w:val="1A1A1A"/>
                <w:sz w:val="18"/>
              </w:rPr>
              <w:t xml:space="preserve">Definizione dell’intervento, modello organizzativo e clinico</w:t>
            </w:r>
          </w:p>
        </w:tc>
      </w:tr>
      <w:tr>
        <w:tc>
          <w:tcPr/>
          <w:p>
            <w:pPr>
              <w:pStyle w:val="Compact"/>
              <w:spacing w:after="40" w:before="40"/>
              <w:jc w:val="left"/>
            </w:pPr>
            <w:r>
              <w:rPr>
                <w:rFonts w:ascii="Cambria" w:hAnsi="Cambria" w:cs="Cambria" w:eastAsia="Cambria"/>
                <w:b/>
                <w:bCs/>
                <w:color w:val="1A1A1A"/>
                <w:sz w:val="18"/>
              </w:rPr>
              <w:t xml:space="preserve">3. Sicurezza</w:t>
            </w:r>
          </w:p>
        </w:tc>
        <w:tc>
          <w:tcPr/>
          <w:p>
            <w:pPr>
              <w:pStyle w:val="Compact"/>
              <w:spacing w:after="40" w:before="40"/>
              <w:jc w:val="left"/>
            </w:pPr>
            <w:r>
              <w:rPr>
                <w:rFonts w:ascii="Cambria" w:hAnsi="Cambria" w:cs="Cambria" w:eastAsia="Cambria"/>
                <w:color w:val="1A1A1A"/>
                <w:sz w:val="18"/>
              </w:rPr>
              <w:t xml:space="preserve">Sicurezza del percorso clinico, criteri di invio, gestione del rischio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Efficacia clinica</w:t>
            </w:r>
          </w:p>
        </w:tc>
        <w:tc>
          <w:tcPr>
            <w:shd w:val="clear" w:color="auto" w:fill="F4F1EC"/>
          </w:tcPr>
          <w:p>
            <w:pPr>
              <w:pStyle w:val="Compact"/>
              <w:spacing w:after="40" w:before="40"/>
              <w:jc w:val="left"/>
            </w:pPr>
            <w:r>
              <w:rPr>
                <w:rFonts w:ascii="Cambria" w:hAnsi="Cambria" w:cs="Cambria" w:eastAsia="Cambria"/>
                <w:color w:val="1A1A1A"/>
                <w:sz w:val="18"/>
              </w:rPr>
              <w:t xml:space="preserve">Revisione sistematica, qualità dell’evidenza, benchmark</w:t>
            </w:r>
          </w:p>
        </w:tc>
      </w:tr>
      <w:tr>
        <w:tc>
          <w:tcPr/>
          <w:p>
            <w:pPr>
              <w:pStyle w:val="Compact"/>
              <w:spacing w:after="40" w:before="40"/>
              <w:jc w:val="left"/>
            </w:pPr>
            <w:r>
              <w:rPr>
                <w:rFonts w:ascii="Cambria" w:hAnsi="Cambria" w:cs="Cambria" w:eastAsia="Cambria"/>
                <w:b/>
                <w:bCs/>
                <w:color w:val="1A1A1A"/>
                <w:sz w:val="18"/>
              </w:rPr>
              <w:t xml:space="preserve">5. Costi e valutazione economica</w:t>
            </w:r>
          </w:p>
        </w:tc>
        <w:tc>
          <w:tcPr/>
          <w:p>
            <w:pPr>
              <w:pStyle w:val="Compact"/>
              <w:spacing w:after="40" w:before="40"/>
              <w:jc w:val="left"/>
            </w:pPr>
            <w:r>
              <w:rPr>
                <w:rFonts w:ascii="Cambria" w:hAnsi="Cambria" w:cs="Cambria" w:eastAsia="Cambria"/>
                <w:color w:val="1A1A1A"/>
                <w:sz w:val="18"/>
              </w:rPr>
              <w:t xml:space="preserve">Costi, costo-efficacia, impatto sul bilancio, ritorno sociale, modellazione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6. Profilo etico</w:t>
            </w:r>
          </w:p>
        </w:tc>
        <w:tc>
          <w:tcPr>
            <w:shd w:val="clear" w:color="auto" w:fill="F4F1EC"/>
          </w:tcPr>
          <w:p>
            <w:pPr>
              <w:pStyle w:val="Compact"/>
              <w:spacing w:after="40" w:before="40"/>
              <w:jc w:val="left"/>
            </w:pPr>
            <w:r>
              <w:rPr>
                <w:rFonts w:ascii="Cambria" w:hAnsi="Cambria" w:cs="Cambria" w:eastAsia="Cambria"/>
                <w:color w:val="1A1A1A"/>
                <w:sz w:val="18"/>
              </w:rPr>
              <w:t xml:space="preserve">Questioni etiche, equità di accesso, autonomia e consenso</w:t>
            </w:r>
          </w:p>
        </w:tc>
      </w:tr>
      <w:tr>
        <w:tc>
          <w:tcPr/>
          <w:p>
            <w:pPr>
              <w:pStyle w:val="Compact"/>
              <w:spacing w:after="40" w:before="40"/>
              <w:jc w:val="left"/>
            </w:pPr>
            <w:r>
              <w:rPr>
                <w:rFonts w:ascii="Cambria" w:hAnsi="Cambria" w:cs="Cambria" w:eastAsia="Cambria"/>
                <w:b/>
                <w:bCs/>
                <w:color w:val="1A1A1A"/>
                <w:sz w:val="18"/>
              </w:rPr>
              <w:t xml:space="preserve">7. Profilo organizzativo</w:t>
            </w:r>
          </w:p>
        </w:tc>
        <w:tc>
          <w:tcPr/>
          <w:p>
            <w:pPr>
              <w:pStyle w:val="Compact"/>
              <w:spacing w:after="40" w:before="40"/>
              <w:jc w:val="left"/>
            </w:pPr>
            <w:r>
              <w:rPr>
                <w:rFonts w:ascii="Cambria" w:hAnsi="Cambria" w:cs="Cambria" w:eastAsia="Cambria"/>
                <w:color w:val="1A1A1A"/>
                <w:sz w:val="18"/>
              </w:rPr>
              <w:t xml:space="preserve">Attuazione, governance, sostenibilità, fattibilità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8. Profilo del paziente e sociale</w:t>
            </w:r>
          </w:p>
        </w:tc>
        <w:tc>
          <w:tcPr>
            <w:shd w:val="clear" w:color="auto" w:fill="F4F1EC"/>
          </w:tcPr>
          <w:p>
            <w:pPr>
              <w:pStyle w:val="Compact"/>
              <w:spacing w:after="40" w:before="40"/>
              <w:jc w:val="left"/>
            </w:pPr>
            <w:r>
              <w:rPr>
                <w:rFonts w:ascii="Cambria" w:hAnsi="Cambria" w:cs="Cambria" w:eastAsia="Cambria"/>
                <w:color w:val="1A1A1A"/>
                <w:sz w:val="18"/>
              </w:rPr>
              <w:t xml:space="preserve">Impatto distributivo, divari territoriali, esperienza dell’assistito</w:t>
            </w:r>
          </w:p>
        </w:tc>
      </w:tr>
      <w:tr>
        <w:tc>
          <w:tcPr/>
          <w:p>
            <w:pPr>
              <w:pStyle w:val="Compact"/>
              <w:spacing w:after="40" w:before="40"/>
              <w:jc w:val="left"/>
            </w:pPr>
            <w:r>
              <w:rPr>
                <w:rFonts w:ascii="Cambria" w:hAnsi="Cambria" w:cs="Cambria" w:eastAsia="Cambria"/>
                <w:b/>
                <w:bCs/>
                <w:color w:val="1A1A1A"/>
                <w:sz w:val="18"/>
              </w:rPr>
              <w:t xml:space="preserve">9. Profilo giuridico</w:t>
            </w:r>
          </w:p>
        </w:tc>
        <w:tc>
          <w:tcPr/>
          <w:p>
            <w:pPr>
              <w:pStyle w:val="Compact"/>
              <w:spacing w:after="40" w:before="40"/>
              <w:jc w:val="left"/>
            </w:pPr>
            <w:r>
              <w:rPr>
                <w:rFonts w:ascii="Cambria" w:hAnsi="Cambria" w:cs="Cambria" w:eastAsia="Cambria"/>
                <w:color w:val="1A1A1A"/>
                <w:sz w:val="18"/>
              </w:rPr>
              <w:t xml:space="preserve">Profili costituzionali, riparto di competenze, conformità</w:t>
            </w:r>
          </w:p>
        </w:tc>
      </w:tr>
    </w:tbl>
    <w:p>
      <w:pPr>
        <w:pStyle w:val="BodyText"/>
      </w:pPr>
      <w:r>
        <w:rPr>
          <w:i/>
          <w:iCs/>
        </w:rPr>
        <w:t xml:space="preserve">Tabella 1. I nove domini del modello centrale HTA e le parti dello studio che ne derivano.</w:t>
      </w:r>
    </w:p>
    <w:bookmarkEnd w:id="2238"/>
    <w:bookmarkStart w:id="2239" w:name="X1c4af2d5a4b0358d347abbb49654094cf285e35"/>
    <w:p>
      <w:pPr>
        <w:pStyle w:val="Heading3"/>
      </w:pPr>
      <w:r>
        <w:t xml:space="preserve">4. Il caso decisionale: i cinque casi del Five Case Model</w:t>
      </w:r>
    </w:p>
    <w:p>
      <w:pPr>
        <w:pStyle w:val="FirstParagraph"/>
      </w:pPr>
      <w:r>
        <w:t xml:space="preserve">Se il modello HTA assicura che lo studio sia completo, il Five Case Model assicura che sia decidibile. Esso ordina la proposta nei cinque casi che ogni investimento pubblico deve superare, da considerare congiuntamente e non isolatamente, e che corrispondono alle domande del decisore: vi è una ragione cogente per il cambiamento, qual è l’opzione di miglior valore, l’assetto è fattibile, la spesa è sostenibile, la realizzazione è governabile.</w:t>
      </w:r>
    </w:p>
    <w:p>
      <w:pPr>
        <w:pStyle w:val="BodyText"/>
      </w:pPr>
      <w:r>
        <w:t xml:space="preserve">Il caso strategico stabilisce la necessità del cambiamento e la coerenza con gli obiettivi: nello studio, attinge alla parte sul bisogno e sul contesto. Il caso economico individua l’opzione di miglior valore per la collettività, mediante l’analisi delle alternative e l’analisi costi-benefici sociale: è la sede del valore sociale, e attinge alla valutazione economica. Il caso commerciale dimostra la fattibilità dell’assetto contrattuale — per noi, la convenzione e il modello tariffario — e attinge alla parte sul modello di costo. Il caso finanziario prova la sostenibilità e la disponibilità delle coperture, ed è la sede, distinta dal valore sociale, della sostenibilità di bilancio. Il caso gestionale dimostra la realizzabilità attraverso la governance, le tappe e i rischi, e attinge alla parte sull’attuazione.</w:t>
      </w:r>
    </w:p>
    <w:p>
      <w:pPr>
        <w:pStyle w:val="BodyText"/>
      </w:pPr>
      <w:r>
        <w:t xml:space="preserve">La distinzione tra il caso economico e il caso finanziario è il contributo più prezioso di questa cornice al nostro studio. Essa rende strutturale ciò che il progetto ha già stabilito: il valore per la collettività, ampio, e la convenienza per il bilancio, modesta, sono grandezze diverse, da non confondere. Il modello, inoltre, è iterativo: si sviluppa dal caso strategico iniziale all’assetto definitivo per stadi di crescente dettaglio, il che si presta al carattere graduale del dispiegamento del servizio.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Caso</w:t>
            </w:r>
          </w:p>
        </w:tc>
        <w:tc>
          <w:tcPr>
            <w:shd w:val="clear" w:color="auto" w:fill="16264B"/>
          </w:tcPr>
          <w:p>
            <w:pPr>
              <w:pStyle w:val="Compact"/>
              <w:spacing w:after="40" w:before="40"/>
              <w:jc w:val="left"/>
            </w:pPr>
            <w:r>
              <w:rPr>
                <w:rFonts w:ascii="Cambria" w:hAnsi="Cambria" w:cs="Cambria" w:eastAsia="Cambria"/>
                <w:b/>
                <w:bCs/>
                <w:color w:val="FFFFFF"/>
                <w:sz w:val="18"/>
              </w:rPr>
              <w:t xml:space="preserve">Domanda a cui risponde</w:t>
            </w:r>
          </w:p>
        </w:tc>
        <w:tc>
          <w:tcPr>
            <w:shd w:val="clear" w:color="auto" w:fill="16264B"/>
          </w:tcPr>
          <w:p>
            <w:pPr>
              <w:pStyle w:val="Compact"/>
              <w:spacing w:after="40" w:before="40"/>
              <w:jc w:val="left"/>
            </w:pPr>
            <w:r>
              <w:rPr>
                <w:rFonts w:ascii="Cambria" w:hAnsi="Cambria" w:cs="Cambria" w:eastAsia="Cambria"/>
                <w:b/>
                <w:bCs/>
                <w:color w:val="FFFFFF"/>
                <w:sz w:val="18"/>
              </w:rPr>
              <w:t xml:space="preserve">Parte dello studio</w:t>
            </w:r>
          </w:p>
        </w:tc>
      </w:tr>
      <w:tr>
        <w:tc>
          <w:tcPr/>
          <w:p>
            <w:pPr>
              <w:pStyle w:val="Compact"/>
              <w:spacing w:after="40" w:before="40"/>
              <w:jc w:val="left"/>
            </w:pPr>
            <w:r>
              <w:rPr>
                <w:rFonts w:ascii="Cambria" w:hAnsi="Cambria" w:cs="Cambria" w:eastAsia="Cambria"/>
                <w:b/>
                <w:bCs/>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Necessità del cambiamento, obiettivi, coerenza</w:t>
            </w:r>
          </w:p>
        </w:tc>
        <w:tc>
          <w:tcPr/>
          <w:p>
            <w:pPr>
              <w:pStyle w:val="Compact"/>
              <w:spacing w:after="40" w:before="40"/>
              <w:jc w:val="left"/>
            </w:pPr>
            <w:r>
              <w:rPr>
                <w:rFonts w:ascii="Cambria" w:hAnsi="Cambria" w:cs="Cambria" w:eastAsia="Cambria"/>
                <w:color w:val="1A1A1A"/>
                <w:sz w:val="18"/>
              </w:rPr>
              <w:t xml:space="preserve">Bisogno e contesto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Opzione di miglior valore; valore sociale</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w:t>
            </w:r>
          </w:p>
        </w:tc>
      </w:tr>
      <w:tr>
        <w:tc>
          <w:tcPr/>
          <w:p>
            <w:pPr>
              <w:pStyle w:val="Compact"/>
              <w:spacing w:after="40" w:before="40"/>
              <w:jc w:val="left"/>
            </w:pPr>
            <w:r>
              <w:rPr>
                <w:rFonts w:ascii="Cambria" w:hAnsi="Cambria" w:cs="Cambria" w:eastAsia="Cambria"/>
                <w:b/>
                <w:bCs/>
                <w:color w:val="1A1A1A"/>
                <w:sz w:val="18"/>
              </w:rPr>
              <w:t xml:space="preserve">Commerciale</w:t>
            </w:r>
          </w:p>
        </w:tc>
        <w:tc>
          <w:tcPr/>
          <w:p>
            <w:pPr>
              <w:pStyle w:val="Compact"/>
              <w:spacing w:after="40" w:before="40"/>
              <w:jc w:val="left"/>
            </w:pPr>
            <w:r>
              <w:rPr>
                <w:rFonts w:ascii="Cambria" w:hAnsi="Cambria" w:cs="Cambria" w:eastAsia="Cambria"/>
                <w:color w:val="1A1A1A"/>
                <w:sz w:val="18"/>
              </w:rPr>
              <w:t xml:space="preserve">Fattibilità dell’assetto contrattuale</w:t>
            </w:r>
          </w:p>
        </w:tc>
        <w:tc>
          <w:tcPr/>
          <w:p>
            <w:pPr>
              <w:pStyle w:val="Compact"/>
              <w:spacing w:after="40" w:before="40"/>
              <w:jc w:val="left"/>
            </w:pPr>
            <w:r>
              <w:rPr>
                <w:rFonts w:ascii="Cambria" w:hAnsi="Cambria" w:cs="Cambria" w:eastAsia="Cambria"/>
                <w:color w:val="1A1A1A"/>
                <w:sz w:val="18"/>
              </w:rPr>
              <w:t xml:space="preserve">Modello tariffario e di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Finanziario</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di bilancio e coperture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w:t>
            </w:r>
          </w:p>
        </w:tc>
      </w:tr>
      <w:tr>
        <w:tc>
          <w:tcPr/>
          <w:p>
            <w:pPr>
              <w:pStyle w:val="Compact"/>
              <w:spacing w:after="40" w:before="40"/>
              <w:jc w:val="left"/>
            </w:pPr>
            <w:r>
              <w:rPr>
                <w:rFonts w:ascii="Cambria" w:hAnsi="Cambria" w:cs="Cambria" w:eastAsia="Cambria"/>
                <w:b/>
                <w:bCs/>
                <w:color w:val="1A1A1A"/>
                <w:sz w:val="18"/>
              </w:rPr>
              <w:t xml:space="preserve">Gestionale</w:t>
            </w:r>
          </w:p>
        </w:tc>
        <w:tc>
          <w:tcPr/>
          <w:p>
            <w:pPr>
              <w:pStyle w:val="Compact"/>
              <w:spacing w:after="40" w:before="40"/>
              <w:jc w:val="left"/>
            </w:pPr>
            <w:r>
              <w:rPr>
                <w:rFonts w:ascii="Cambria" w:hAnsi="Cambria" w:cs="Cambria" w:eastAsia="Cambria"/>
                <w:color w:val="1A1A1A"/>
                <w:sz w:val="18"/>
              </w:rPr>
              <w:t xml:space="preserve">Governance, tappe, rischi</w:t>
            </w:r>
          </w:p>
        </w:tc>
        <w:tc>
          <w:tcPr/>
          <w:p>
            <w:pPr>
              <w:pStyle w:val="Compact"/>
              <w:spacing w:after="40" w:before="40"/>
              <w:jc w:val="left"/>
            </w:pPr>
            <w:r>
              <w:rPr>
                <w:rFonts w:ascii="Cambria" w:hAnsi="Cambria" w:cs="Cambria" w:eastAsia="Cambria"/>
                <w:color w:val="1A1A1A"/>
                <w:sz w:val="18"/>
              </w:rPr>
              <w:t xml:space="preserve">Attuazione</w:t>
            </w:r>
          </w:p>
        </w:tc>
      </w:tr>
    </w:tbl>
    <w:p>
      <w:pPr>
        <w:pStyle w:val="BodyText"/>
      </w:pPr>
      <w:r>
        <w:rPr>
          <w:i/>
          <w:iCs/>
        </w:rPr>
        <w:t xml:space="preserve">Tabella 2. I cinque casi del Five Case Model e le parti dello studio a cui attingono.</w:t>
      </w:r>
    </w:p>
    <w:bookmarkEnd w:id="2239"/>
    <w:bookmarkStart w:id="2240" w:name="Xdf49f004dd672429261479d45811fe4e1dff2c3"/>
    <w:p>
      <w:pPr>
        <w:pStyle w:val="Heading3"/>
      </w:pPr>
      <w:r>
        <w:t xml:space="preserve">5. Il reporting economico secondo CHEERS 2022</w:t>
      </w:r>
    </w:p>
    <w:p>
      <w:pPr>
        <w:pStyle w:val="FirstParagraph"/>
      </w:pPr>
      <w:r>
        <w:t xml:space="preserve">La parte economica dello studio, la più esposta allo scrutinio degli organi di controllo, è redatta secondo lo standard CHEERS nella versione del 2022. Esso consiste in una lista di controllo di ventotto voci, ordinate in sette sezioni — titolo, sintesi, introduzione, metodi, risultati, discussione e altre informazioni — e sostituisce la versione del 2013, oggi non più da impiegare. È deliberatamente applicabile a ogni intervento, anche complesso e di sanità pubblica, e dunque adatto a una riforma di servizio territoriale.</w:t>
      </w:r>
    </w:p>
    <w:p>
      <w:pPr>
        <w:pStyle w:val="BodyText"/>
      </w:pPr>
      <w:r>
        <w:t xml:space="preserve">Le sezioni dei metodi e dei risultati portano il contenuto sostanziale: la prospettiva adottata, i comparatori, l’orizzonte temporale, il tasso di sconto, le misure di esito, l’identificazione e la valutazione dei costi, la struttura del modello e la caratterizzazione dell’incertezza. L’adozione dello standard non è un adempimento formale: è ciò che rende la valutazione economica trasparente e riproducibile, e dunque difendibile. Per la componente di intelligenza artificiale del modello esiste un’estensione dedicata, CHEERS-AI, che aggiunge alle ventotto voci originarie elementi specifici, impiegata quando lo studio valuti strumenti di IA a fini clinici.</w:t>
      </w:r>
    </w:p>
    <w:bookmarkEnd w:id="2240"/>
    <w:bookmarkStart w:id="2241" w:name="X74215a981f777d285953ca5ce28d54a2cd534dc"/>
    <w:p>
      <w:pPr>
        <w:pStyle w:val="Heading3"/>
      </w:pPr>
      <w:r>
        <w:t xml:space="preserve">6. La griglia valutativa dei criteri OCSE-DAC</w:t>
      </w:r>
    </w:p>
    <w:p>
      <w:pPr>
        <w:pStyle w:val="FirstParagraph"/>
      </w:pPr>
      <w:r>
        <w:t xml:space="preserve">Le tre cornici precedenti dicono che cosa valutare, come decidere e come riportare l’economia; manca la griglia rispetto alla quale l’intervento è infine giudicato. La forniscono i criteri dell’OCSE-DAC,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p>
    <w:p>
      <w:pPr>
        <w:pStyle w:val="BodyText"/>
      </w:pPr>
      <w:r>
        <w:t xml:space="preserve">Questi criteri operano in due momenti dello studio. Ex ante, orientano la valutazione complessiva: ciascun criterio diventa una domanda a cui le parti analitiche dello studio forniscono la risposta. Ex post, strutturano la verifica dei risultati: la verifica di impatto della regolamentazione e la clausola valutativa accertano, criterio per criterio, se la norma abbia mantenuto le promesse. La griglia, in tal modo, non si sovrappone all’analisi economica o all’HTA, ma li ordina in un giudizio: è la cornice che traduce le evidenze in una valutazione di merito.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Criterio OCSE-DAC</w:t>
            </w:r>
          </w:p>
        </w:tc>
        <w:tc>
          <w:tcPr>
            <w:shd w:val="clear" w:color="auto" w:fill="16264B"/>
          </w:tcPr>
          <w:p>
            <w:pPr>
              <w:pStyle w:val="Compact"/>
              <w:spacing w:after="40" w:before="40"/>
              <w:jc w:val="left"/>
            </w:pPr>
            <w:r>
              <w:rPr>
                <w:rFonts w:ascii="Cambria" w:hAnsi="Cambria" w:cs="Cambria" w:eastAsia="Cambria"/>
                <w:b/>
                <w:bCs/>
                <w:color w:val="FFFFFF"/>
                <w:sz w:val="18"/>
              </w:rPr>
              <w:t xml:space="preserve">Domanda valutativa</w:t>
            </w:r>
          </w:p>
        </w:tc>
      </w:tr>
      <w:tr>
        <w:tc>
          <w:tcPr/>
          <w:p>
            <w:pPr>
              <w:pStyle w:val="Compact"/>
              <w:spacing w:after="40" w:before="40"/>
              <w:jc w:val="left"/>
            </w:pPr>
            <w:r>
              <w:rPr>
                <w:rFonts w:ascii="Cambria" w:hAnsi="Cambria" w:cs="Cambria" w:eastAsia="Cambria"/>
                <w:b/>
                <w:bCs/>
                <w:color w:val="1A1A1A"/>
                <w:sz w:val="18"/>
              </w:rPr>
              <w:t xml:space="preserve">Rilevanza</w:t>
            </w:r>
          </w:p>
        </w:tc>
        <w:tc>
          <w:tcPr/>
          <w:p>
            <w:pPr>
              <w:pStyle w:val="Compact"/>
              <w:spacing w:after="40" w:before="40"/>
              <w:jc w:val="left"/>
            </w:pPr>
            <w:r>
              <w:rPr>
                <w:rFonts w:ascii="Cambria" w:hAnsi="Cambria" w:cs="Cambria" w:eastAsia="Cambria"/>
                <w:color w:val="1A1A1A"/>
                <w:sz w:val="18"/>
              </w:rPr>
              <w:t xml:space="preserve">L’intervento risponde al bisogno reale della popolazione?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w:t>
            </w:r>
          </w:p>
        </w:tc>
        <w:tc>
          <w:tcPr>
            <w:shd w:val="clear" w:color="auto" w:fill="F4F1EC"/>
          </w:tcPr>
          <w:p>
            <w:pPr>
              <w:pStyle w:val="Compact"/>
              <w:spacing w:after="40" w:before="40"/>
              <w:jc w:val="left"/>
            </w:pPr>
            <w:r>
              <w:rPr>
                <w:rFonts w:ascii="Cambria" w:hAnsi="Cambria" w:cs="Cambria" w:eastAsia="Cambria"/>
                <w:color w:val="1A1A1A"/>
                <w:sz w:val="18"/>
              </w:rPr>
              <w:t xml:space="preserve">È compatibile e complementare con le altre politiche sanitarie?</w:t>
            </w:r>
          </w:p>
        </w:tc>
      </w:tr>
      <w:tr>
        <w:tc>
          <w:tcPr/>
          <w:p>
            <w:pPr>
              <w:pStyle w:val="Compact"/>
              <w:spacing w:after="40" w:before="40"/>
              <w:jc w:val="left"/>
            </w:pPr>
            <w:r>
              <w:rPr>
                <w:rFonts w:ascii="Cambria" w:hAnsi="Cambria" w:cs="Cambria" w:eastAsia="Cambria"/>
                <w:b/>
                <w:bCs/>
                <w:color w:val="1A1A1A"/>
                <w:sz w:val="18"/>
              </w:rPr>
              <w:t xml:space="preserve">Efficacia</w:t>
            </w:r>
          </w:p>
        </w:tc>
        <w:tc>
          <w:tcPr/>
          <w:p>
            <w:pPr>
              <w:pStyle w:val="Compact"/>
              <w:spacing w:after="40" w:before="40"/>
              <w:jc w:val="left"/>
            </w:pPr>
            <w:r>
              <w:rPr>
                <w:rFonts w:ascii="Cambria" w:hAnsi="Cambria" w:cs="Cambria" w:eastAsia="Cambria"/>
                <w:color w:val="1A1A1A"/>
                <w:sz w:val="18"/>
              </w:rPr>
              <w:t xml:space="preserve">Raggiunge gli obiettivi che si propone?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Efficienza</w:t>
            </w:r>
          </w:p>
        </w:tc>
        <w:tc>
          <w:tcPr>
            <w:shd w:val="clear" w:color="auto" w:fill="F4F1EC"/>
          </w:tcPr>
          <w:p>
            <w:pPr>
              <w:pStyle w:val="Compact"/>
              <w:spacing w:after="40" w:before="40"/>
              <w:jc w:val="left"/>
            </w:pPr>
            <w:r>
              <w:rPr>
                <w:rFonts w:ascii="Cambria" w:hAnsi="Cambria" w:cs="Cambria" w:eastAsia="Cambria"/>
                <w:color w:val="1A1A1A"/>
                <w:sz w:val="18"/>
              </w:rPr>
              <w:t xml:space="preserve">Impiega le risorse in modo proporzionato ai risultati?</w:t>
            </w:r>
          </w:p>
        </w:tc>
      </w:tr>
      <w:tr>
        <w:tc>
          <w:tcPr/>
          <w:p>
            <w:pPr>
              <w:pStyle w:val="Compact"/>
              <w:spacing w:after="40" w:before="40"/>
              <w:jc w:val="left"/>
            </w:pPr>
            <w:r>
              <w:rPr>
                <w:rFonts w:ascii="Cambria" w:hAnsi="Cambria" w:cs="Cambria" w:eastAsia="Cambria"/>
                <w:b/>
                <w:bCs/>
                <w:color w:val="1A1A1A"/>
                <w:sz w:val="18"/>
              </w:rPr>
              <w:t xml:space="preserve">Impatto</w:t>
            </w:r>
          </w:p>
        </w:tc>
        <w:tc>
          <w:tcPr/>
          <w:p>
            <w:pPr>
              <w:pStyle w:val="Compact"/>
              <w:spacing w:after="40" w:before="40"/>
              <w:jc w:val="left"/>
            </w:pPr>
            <w:r>
              <w:rPr>
                <w:rFonts w:ascii="Cambria" w:hAnsi="Cambria" w:cs="Cambria" w:eastAsia="Cambria"/>
                <w:color w:val="1A1A1A"/>
                <w:sz w:val="18"/>
              </w:rPr>
              <w:t xml:space="preserve">Produce effetti più ampi, anche sociali e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Sostenibilità</w:t>
            </w:r>
          </w:p>
        </w:tc>
        <w:tc>
          <w:tcPr>
            <w:shd w:val="clear" w:color="auto" w:fill="F4F1EC"/>
          </w:tcPr>
          <w:p>
            <w:pPr>
              <w:pStyle w:val="Compact"/>
              <w:spacing w:after="40" w:before="40"/>
              <w:jc w:val="left"/>
            </w:pPr>
            <w:r>
              <w:rPr>
                <w:rFonts w:ascii="Cambria" w:hAnsi="Cambria" w:cs="Cambria" w:eastAsia="Cambria"/>
                <w:color w:val="1A1A1A"/>
                <w:sz w:val="18"/>
              </w:rPr>
              <w:t xml:space="preserve">I benefici e il servizio durano nel tempo?</w:t>
            </w:r>
          </w:p>
        </w:tc>
      </w:tr>
    </w:tbl>
    <w:p>
      <w:pPr>
        <w:pStyle w:val="BodyText"/>
      </w:pPr>
      <w:r>
        <w:rPr>
          <w:i/>
          <w:iCs/>
        </w:rPr>
        <w:t xml:space="preserve">Tabella 3. I sei criteri OCSE-DAC come griglia di giudizio, ex ante ed ex post.</w:t>
      </w:r>
    </w:p>
    <w:bookmarkEnd w:id="2241"/>
    <w:bookmarkStart w:id="2242" w:name="X4c43476c6c8a3d6c3ab295f612d986ee53cd70f"/>
    <w:p>
      <w:pPr>
        <w:pStyle w:val="Heading3"/>
      </w:pPr>
      <w:r>
        <w:t xml:space="preserve">7. La mappa di integrazione delle quattro cornici</w:t>
      </w:r>
    </w:p>
    <w:p>
      <w:pPr>
        <w:pStyle w:val="FirstParagraph"/>
      </w:pPr>
      <w:r>
        <w:t xml:space="preserve">L’integrazione delle quattro cornici non è una giustapposizione, ma una composizione ordinata. La macro-struttura dello studio è data dai domini del modello HTA, che ne fissano le parti. All’interno di tali parti, il Five Case Model fornisce la chiave di lettura decisionale, allocando i suoi cinque casi alle parti corrispondenti: il caso strategico al bisogno, quello economico e finanziario alla valutazione economica, quello commerciale al modello di costo, quello gestionale all’attuazione. La parte economica è inoltre redatta secondo lo standard CHEERS. I criteri dell’OCSE-DAC, infine, attraversano l’intero studio come griglia di giudizio, convergendo nella parte di sintesi.</w:t>
      </w:r>
    </w:p>
    <w:p>
      <w:pPr>
        <w:pStyle w:val="BodyText"/>
      </w:pPr>
      <w:r>
        <w:t xml:space="preserve">La tabella seguente esprime questa composizione: per ciascuna area dello studio indica il dominio HTA che la fonda, il caso del Five Case Model che vi si riferisce, la pertinenza dello standard CHEERS e il criterio OCSE-DAC che vi si applica. È la chiave che tiene insieme le quattro cornici in un’unica architettura.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Area dello studio</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HTA</w:t>
            </w:r>
          </w:p>
        </w:tc>
        <w:tc>
          <w:tcPr>
            <w:shd w:val="clear" w:color="auto" w:fill="16264B"/>
          </w:tcPr>
          <w:p>
            <w:pPr>
              <w:pStyle w:val="Compact"/>
              <w:spacing w:after="40" w:before="40"/>
              <w:jc w:val="left"/>
            </w:pPr>
            <w:r>
              <w:rPr>
                <w:rFonts w:ascii="Cambria" w:hAnsi="Cambria" w:cs="Cambria" w:eastAsia="Cambria"/>
                <w:b/>
                <w:bCs/>
                <w:color w:val="FFFFFF"/>
                <w:sz w:val="18"/>
              </w:rPr>
              <w:t xml:space="preserve">Caso (5CM)</w:t>
            </w:r>
          </w:p>
        </w:tc>
        <w:tc>
          <w:tcPr>
            <w:shd w:val="clear" w:color="auto" w:fill="16264B"/>
          </w:tcPr>
          <w:p>
            <w:pPr>
              <w:pStyle w:val="Compact"/>
              <w:spacing w:after="40" w:before="40"/>
              <w:jc w:val="left"/>
            </w:pPr>
            <w:r>
              <w:rPr>
                <w:rFonts w:ascii="Cambria" w:hAnsi="Cambria" w:cs="Cambria" w:eastAsia="Cambria"/>
                <w:b/>
                <w:bCs/>
                <w:color w:val="FFFFFF"/>
                <w:sz w:val="18"/>
              </w:rPr>
              <w:t xml:space="preserve">CHEERS</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Criterio DAC</w:t>
            </w:r>
          </w:p>
        </w:tc>
      </w:tr>
      <w:tr>
        <w:tc>
          <w:tcPr/>
          <w:p>
            <w:pPr>
              <w:pStyle w:val="Compact"/>
              <w:spacing w:after="40" w:before="40"/>
              <w:jc w:val="left"/>
            </w:pPr>
            <w:r>
              <w:rPr>
                <w:rFonts w:ascii="Cambria" w:hAnsi="Cambria" w:cs="Cambria" w:eastAsia="Cambria"/>
                <w:b/>
                <w:bCs/>
                <w:color w:val="1A1A1A"/>
                <w:sz w:val="18"/>
              </w:rPr>
              <w:t xml:space="preserve">Bisogno e contesto</w:t>
            </w:r>
          </w:p>
        </w:tc>
        <w:tc>
          <w:tcPr/>
          <w:p>
            <w:pPr>
              <w:pStyle w:val="Compact"/>
              <w:spacing w:after="40" w:before="40"/>
              <w:jc w:val="left"/>
            </w:pPr>
            <w:r>
              <w:rPr>
                <w:rFonts w:ascii="Cambria" w:hAnsi="Cambria" w:cs="Cambria" w:eastAsia="Cambria"/>
                <w:color w:val="1A1A1A"/>
                <w:sz w:val="18"/>
              </w:rPr>
              <w:t xml:space="preserve">Dominio 1</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Rilevanza, coerenza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 e modello</w:t>
            </w:r>
          </w:p>
        </w:tc>
        <w:tc>
          <w:tcPr>
            <w:shd w:val="clear" w:color="auto" w:fill="F4F1EC"/>
          </w:tcPr>
          <w:p>
            <w:pPr>
              <w:pStyle w:val="Compact"/>
              <w:spacing w:after="40" w:before="40"/>
              <w:jc w:val="left"/>
            </w:pPr>
            <w:r>
              <w:rPr>
                <w:rFonts w:ascii="Cambria" w:hAnsi="Cambria" w:cs="Cambria" w:eastAsia="Cambria"/>
                <w:color w:val="1A1A1A"/>
                <w:sz w:val="18"/>
              </w:rPr>
              <w:t xml:space="preserve">Domini 2–3</w:t>
            </w:r>
          </w:p>
        </w:tc>
        <w:tc>
          <w:tcPr>
            <w:shd w:val="clear" w:color="auto" w:fill="F4F1EC"/>
          </w:tcPr>
          <w:p>
            <w:pPr>
              <w:pStyle w:val="Compact"/>
              <w:spacing w:after="40" w:before="40"/>
              <w:jc w:val="left"/>
            </w:pPr>
            <w:r>
              <w:rPr>
                <w:rFonts w:ascii="Cambria" w:hAnsi="Cambria" w:cs="Cambria" w:eastAsia="Cambria"/>
                <w:color w:val="1A1A1A"/>
                <w:sz w:val="18"/>
              </w:rPr>
              <w:t xml:space="preserve">Strategico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r>
      <w:tr>
        <w:tc>
          <w:tcPr/>
          <w:p>
            <w:pPr>
              <w:pStyle w:val="Compact"/>
              <w:spacing w:after="40" w:before="40"/>
              <w:jc w:val="left"/>
            </w:pPr>
            <w:r>
              <w:rPr>
                <w:rFonts w:ascii="Cambria" w:hAnsi="Cambria" w:cs="Cambria" w:eastAsia="Cambria"/>
                <w:b/>
                <w:bCs/>
                <w:color w:val="1A1A1A"/>
                <w:sz w:val="18"/>
              </w:rPr>
              <w:t xml:space="preserve">Efficacia ed evidenza</w:t>
            </w:r>
          </w:p>
        </w:tc>
        <w:tc>
          <w:tcPr/>
          <w:p>
            <w:pPr>
              <w:pStyle w:val="Compact"/>
              <w:spacing w:after="40" w:before="40"/>
              <w:jc w:val="left"/>
            </w:pPr>
            <w:r>
              <w:rPr>
                <w:rFonts w:ascii="Cambria" w:hAnsi="Cambria" w:cs="Cambria" w:eastAsia="Cambria"/>
                <w:color w:val="1A1A1A"/>
                <w:sz w:val="18"/>
              </w:rPr>
              <w:t xml:space="preserve">Dominio 4</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Efficacia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economica</w:t>
            </w:r>
          </w:p>
        </w:tc>
        <w:tc>
          <w:tcPr>
            <w:shd w:val="clear" w:color="auto" w:fill="F4F1EC"/>
          </w:tcPr>
          <w:p>
            <w:pPr>
              <w:pStyle w:val="Compact"/>
              <w:spacing w:after="40" w:before="40"/>
              <w:jc w:val="left"/>
            </w:pPr>
            <w:r>
              <w:rPr>
                <w:rFonts w:ascii="Cambria" w:hAnsi="Cambria" w:cs="Cambria" w:eastAsia="Cambria"/>
                <w:color w:val="1A1A1A"/>
                <w:sz w:val="18"/>
              </w:rPr>
              <w:t xml:space="preserve">Dominio 5</w:t>
            </w:r>
          </w:p>
        </w:tc>
        <w:tc>
          <w:tcPr>
            <w:shd w:val="clear" w:color="auto" w:fill="F4F1EC"/>
          </w:tcPr>
          <w:p>
            <w:pPr>
              <w:pStyle w:val="Compact"/>
              <w:spacing w:after="40" w:before="40"/>
              <w:jc w:val="left"/>
            </w:pPr>
            <w:r>
              <w:rPr>
                <w:rFonts w:ascii="Cambria" w:hAnsi="Cambria" w:cs="Cambria" w:eastAsia="Cambria"/>
                <w:color w:val="1A1A1A"/>
                <w:sz w:val="18"/>
              </w:rPr>
              <w:t xml:space="preserve">Economico, finanziario</w:t>
            </w:r>
          </w:p>
        </w:tc>
        <w:tc>
          <w:tcPr>
            <w:shd w:val="clear" w:color="auto" w:fill="F4F1EC"/>
          </w:tcPr>
          <w:p>
            <w:pPr>
              <w:pStyle w:val="Compact"/>
              <w:spacing w:after="40" w:before="40"/>
              <w:jc w:val="left"/>
            </w:pPr>
            <w:r>
              <w:rPr>
                <w:rFonts w:ascii="Cambria" w:hAnsi="Cambria" w:cs="Cambria" w:eastAsia="Cambria"/>
                <w:color w:val="1A1A1A"/>
                <w:sz w:val="18"/>
              </w:rPr>
              <w:t xml:space="preserve">CHEERS</w:t>
            </w:r>
          </w:p>
        </w:tc>
        <w:tc>
          <w:tcPr>
            <w:shd w:val="clear" w:color="auto" w:fill="F4F1EC"/>
          </w:tcPr>
          <w:p>
            <w:pPr>
              <w:pStyle w:val="Compact"/>
              <w:spacing w:after="40" w:before="40"/>
              <w:jc w:val="left"/>
            </w:pPr>
            <w:r>
              <w:rPr>
                <w:rFonts w:ascii="Cambria" w:hAnsi="Cambria" w:cs="Cambria" w:eastAsia="Cambria"/>
                <w:color w:val="1A1A1A"/>
                <w:sz w:val="18"/>
              </w:rPr>
              <w:t xml:space="preserve">Efficienza</w:t>
            </w:r>
          </w:p>
        </w:tc>
      </w:tr>
      <w:tr>
        <w:tc>
          <w:tcPr/>
          <w:p>
            <w:pPr>
              <w:pStyle w:val="Compact"/>
              <w:spacing w:after="40" w:before="40"/>
              <w:jc w:val="left"/>
            </w:pPr>
            <w:r>
              <w:rPr>
                <w:rFonts w:ascii="Cambria" w:hAnsi="Cambria" w:cs="Cambria" w:eastAsia="Cambria"/>
                <w:b/>
                <w:bCs/>
                <w:color w:val="1A1A1A"/>
                <w:sz w:val="18"/>
              </w:rPr>
              <w:t xml:space="preserve">Equità e impatto sociale</w:t>
            </w:r>
          </w:p>
        </w:tc>
        <w:tc>
          <w:tcPr/>
          <w:p>
            <w:pPr>
              <w:pStyle w:val="Compact"/>
              <w:spacing w:after="40" w:before="40"/>
              <w:jc w:val="left"/>
            </w:pPr>
            <w:r>
              <w:rPr>
                <w:rFonts w:ascii="Cambria" w:hAnsi="Cambria" w:cs="Cambria" w:eastAsia="Cambria"/>
                <w:color w:val="1A1A1A"/>
                <w:sz w:val="18"/>
              </w:rPr>
              <w:t xml:space="preserve">Dominio 8</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Impatto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Profili etico/giuridico/organizzativo</w:t>
            </w:r>
          </w:p>
        </w:tc>
        <w:tc>
          <w:tcPr>
            <w:shd w:val="clear" w:color="auto" w:fill="F4F1EC"/>
          </w:tcPr>
          <w:p>
            <w:pPr>
              <w:pStyle w:val="Compact"/>
              <w:spacing w:after="40" w:before="40"/>
              <w:jc w:val="left"/>
            </w:pPr>
            <w:r>
              <w:rPr>
                <w:rFonts w:ascii="Cambria" w:hAnsi="Cambria" w:cs="Cambria" w:eastAsia="Cambria"/>
                <w:color w:val="1A1A1A"/>
                <w:sz w:val="18"/>
              </w:rPr>
              <w:t xml:space="preserve">Domini 6,7,9</w:t>
            </w:r>
          </w:p>
        </w:tc>
        <w:tc>
          <w:tcPr>
            <w:shd w:val="clear" w:color="auto" w:fill="F4F1EC"/>
          </w:tcPr>
          <w:p>
            <w:pPr>
              <w:pStyle w:val="Compact"/>
              <w:spacing w:after="40" w:before="40"/>
              <w:jc w:val="left"/>
            </w:pPr>
            <w:r>
              <w:rPr>
                <w:rFonts w:ascii="Cambria" w:hAnsi="Cambria" w:cs="Cambria" w:eastAsia="Cambria"/>
                <w:color w:val="1A1A1A"/>
                <w:sz w:val="18"/>
              </w:rPr>
              <w:t xml:space="preserve">Gestionale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Coerenza</w:t>
            </w:r>
          </w:p>
        </w:tc>
      </w:tr>
      <w:tr>
        <w:tc>
          <w:tcPr/>
          <w:p>
            <w:pPr>
              <w:pStyle w:val="Compact"/>
              <w:spacing w:after="40" w:before="40"/>
              <w:jc w:val="left"/>
            </w:pPr>
            <w:r>
              <w:rPr>
                <w:rFonts w:ascii="Cambria" w:hAnsi="Cambria" w:cs="Cambria" w:eastAsia="Cambria"/>
                <w:b/>
                <w:bCs/>
                <w:color w:val="1A1A1A"/>
                <w:sz w:val="18"/>
              </w:rPr>
              <w:t xml:space="preserve">Attuazione e sostenibilità</w:t>
            </w:r>
          </w:p>
        </w:tc>
        <w:tc>
          <w:tcPr/>
          <w:p>
            <w:pPr>
              <w:pStyle w:val="Compact"/>
              <w:spacing w:after="40" w:before="40"/>
              <w:jc w:val="left"/>
            </w:pPr>
            <w:r>
              <w:rPr>
                <w:rFonts w:ascii="Cambria" w:hAnsi="Cambria" w:cs="Cambria" w:eastAsia="Cambria"/>
                <w:color w:val="1A1A1A"/>
                <w:sz w:val="18"/>
              </w:rPr>
              <w:t xml:space="preserve">Domini 7</w:t>
            </w:r>
          </w:p>
        </w:tc>
        <w:tc>
          <w:tcPr/>
          <w:p>
            <w:pPr>
              <w:pStyle w:val="Compact"/>
              <w:spacing w:after="40" w:before="40"/>
              <w:jc w:val="left"/>
            </w:pPr>
            <w:r>
              <w:rPr>
                <w:rFonts w:ascii="Cambria" w:hAnsi="Cambria" w:cs="Cambria" w:eastAsia="Cambria"/>
                <w:color w:val="1A1A1A"/>
                <w:sz w:val="18"/>
              </w:rPr>
              <w:t xml:space="preserve">Commerciale, gestionale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Sintesi e raccomandazioni</w:t>
            </w:r>
          </w:p>
        </w:tc>
        <w:tc>
          <w:tcPr>
            <w:shd w:val="clear" w:color="auto" w:fill="F4F1EC"/>
          </w:tcPr>
          <w:p>
            <w:pPr>
              <w:pStyle w:val="Compact"/>
              <w:spacing w:after="40" w:before="40"/>
              <w:jc w:val="left"/>
            </w:pPr>
            <w:r>
              <w:rPr>
                <w:rFonts w:ascii="Cambria" w:hAnsi="Cambria" w:cs="Cambria" w:eastAsia="Cambria"/>
                <w:color w:val="1A1A1A"/>
                <w:sz w:val="18"/>
              </w:rPr>
              <w:t xml:space="preserve">Trasversale</w:t>
            </w:r>
          </w:p>
        </w:tc>
        <w:tc>
          <w:tcPr>
            <w:shd w:val="clear" w:color="auto" w:fill="F4F1EC"/>
          </w:tcPr>
          <w:p>
            <w:pPr>
              <w:pStyle w:val="Compact"/>
              <w:spacing w:after="40" w:before="40"/>
              <w:jc w:val="left"/>
            </w:pPr>
            <w:r>
              <w:rPr>
                <w:rFonts w:ascii="Cambria" w:hAnsi="Cambria" w:cs="Cambria" w:eastAsia="Cambria"/>
                <w:color w:val="1A1A1A"/>
                <w:sz w:val="18"/>
              </w:rPr>
              <w:t xml:space="preserve">Strategico</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Tutti i criteri</w:t>
            </w:r>
          </w:p>
        </w:tc>
      </w:tr>
    </w:tbl>
    <w:p>
      <w:pPr>
        <w:pStyle w:val="BodyText"/>
      </w:pPr>
      <w:r>
        <w:rPr>
          <w:i/>
          <w:iCs/>
        </w:rPr>
        <w:t xml:space="preserve">Tabella 4. La mappa di integrazione delle quattro cornici: come si compongono in un</w:t>
      </w:r>
      <w:r>
        <w:rPr>
          <w:b/>
          <w:bCs/>
          <w:i/>
          <w:iCs/>
        </w:rPr>
        <w:t xml:space="preserve">’</w:t>
      </w:r>
      <w:r>
        <w:rPr>
          <w:i/>
          <w:iCs/>
        </w:rPr>
        <w:t xml:space="preserve">unica architettura.</w:t>
      </w:r>
    </w:p>
    <w:bookmarkEnd w:id="2242"/>
    <w:bookmarkEnd w:id="2243"/>
    <w:bookmarkStart w:id="2246" w:name="X8b2b7f58b949084d73e5f0d9f92c5260fdcb5e2"/>
    <w:p>
      <w:pPr>
        <w:pStyle w:val="Heading2"/>
      </w:pPr>
      <w:r>
        <w:t xml:space="preserve">Parte III — L’architettura risultante e le metodologie</w:t>
      </w:r>
    </w:p>
    <w:bookmarkStart w:id="2244" w:name="larchitettura-dello-studio-regionale"/>
    <w:p>
      <w:pPr>
        <w:pStyle w:val="Heading3"/>
      </w:pPr>
      <w:r>
        <w:t xml:space="preserve">8. L’architettura dello studio regionale</w:t>
      </w:r>
    </w:p>
    <w:p>
      <w:pPr>
        <w:pStyle w:val="FirstParagraph"/>
      </w:pPr>
      <w:r>
        <w:t xml:space="preserve">Dall’integrazione delle quattro cornici discende l’architettura dello studio regionale, articolata in dodici parti, dalla A alla M, più le appendici. Le parti seguono l’ordine dei domini HTA, accolgono i casi del Five Case Model nelle sedi pertinenti, riservano alla valutazione economica il reporting CHEERS e culminano nella sintesi secondo i criteri OCSE-DAC. È l’indice-tipo che lo studio integrale per la Puglia seguirà e che ogni altra Regione adotterà senza modifiche. Le due tabelle seguenti lo riportano per esteso, con il contenuto, il metodo e la cornice di riferimento di ciascun capitolo.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Parte / Capitolo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metodo e cornice di riferimento</w:t>
            </w:r>
          </w:p>
        </w:tc>
      </w:tr>
      <w:tr>
        <w:tc>
          <w:tcPr/>
          <w:p>
            <w:pPr>
              <w:pStyle w:val="Compact"/>
              <w:spacing w:after="40" w:before="40"/>
              <w:jc w:val="left"/>
            </w:pPr>
            <w:r>
              <w:rPr>
                <w:rFonts w:ascii="Cambria" w:hAnsi="Cambria" w:cs="Cambria" w:eastAsia="Cambria"/>
                <w:b/>
                <w:bCs/>
                <w:color w:val="1A1A1A"/>
                <w:sz w:val="18"/>
              </w:rPr>
              <w:t xml:space="preserve">PARTE A — Quadro, quesito e metodo</w:t>
            </w:r>
          </w:p>
        </w:tc>
        <w:tc>
          <w:tcPr/>
          <w:p>
            <w:pPr>
              <w:pStyle w:val="Compact"/>
              <w:spacing w:after="40" w:before="40"/>
              <w:jc w:val="left"/>
            </w:pPr>
          </w:p>
        </w:tc>
      </w:tr>
      <w:tr>
        <w:tc>
          <w:tcPr>
            <w:shd w:val="clear" w:color="auto" w:fill="F4F1EC"/>
          </w:tcPr>
          <w:p>
            <w:pPr>
              <w:pStyle w:val="Compact"/>
              <w:spacing w:after="40" w:before="40"/>
              <w:jc w:val="left"/>
            </w:pPr>
            <w:r>
              <w:rPr>
                <w:rFonts w:ascii="Cambria" w:hAnsi="Cambria" w:cs="Cambria" w:eastAsia="Cambria"/>
                <w:b/>
                <w:bCs/>
                <w:color w:val="1A1A1A"/>
                <w:sz w:val="18"/>
              </w:rPr>
              <w:t xml:space="preserve">A.1 Scopo, quesito (PICOTS) e standard</w:t>
            </w:r>
          </w:p>
        </w:tc>
        <w:tc>
          <w:tcPr>
            <w:shd w:val="clear" w:color="auto" w:fill="F4F1EC"/>
          </w:tcPr>
          <w:p>
            <w:pPr>
              <w:pStyle w:val="Compact"/>
              <w:spacing w:after="40" w:before="40"/>
              <w:jc w:val="left"/>
            </w:pPr>
            <w:r>
              <w:rPr>
                <w:rFonts w:ascii="Cambria" w:hAnsi="Cambria" w:cs="Cambria" w:eastAsia="Cambria"/>
                <w:color w:val="1A1A1A"/>
                <w:sz w:val="18"/>
              </w:rPr>
              <w:t xml:space="preserve">Definizione del quesito di valutazione e delle cornici adottate</w:t>
            </w:r>
          </w:p>
        </w:tc>
      </w:tr>
      <w:tr>
        <w:tc>
          <w:tcPr/>
          <w:p>
            <w:pPr>
              <w:pStyle w:val="Compact"/>
              <w:spacing w:after="40" w:before="40"/>
              <w:jc w:val="left"/>
            </w:pPr>
            <w:r>
              <w:rPr>
                <w:rFonts w:ascii="Cambria" w:hAnsi="Cambria" w:cs="Cambria" w:eastAsia="Cambria"/>
                <w:b/>
                <w:bCs/>
                <w:color w:val="1A1A1A"/>
                <w:sz w:val="18"/>
              </w:rPr>
              <w:t xml:space="preserve">A.2 Caso di riferimento e metodi</w:t>
            </w:r>
          </w:p>
        </w:tc>
        <w:tc>
          <w:tcPr/>
          <w:p>
            <w:pPr>
              <w:pStyle w:val="Compact"/>
              <w:spacing w:after="40" w:before="40"/>
              <w:jc w:val="left"/>
            </w:pPr>
            <w:r>
              <w:rPr>
                <w:rFonts w:ascii="Cambria" w:hAnsi="Cambria" w:cs="Cambria" w:eastAsia="Cambria"/>
                <w:color w:val="1A1A1A"/>
                <w:sz w:val="18"/>
              </w:rPr>
              <w:t xml:space="preserve">Prospettiva, orizzonte, sconto, esito; mappa dei metodi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A.3 Governance dei dati, etica e protezione</w:t>
            </w:r>
          </w:p>
        </w:tc>
        <w:tc>
          <w:tcPr>
            <w:shd w:val="clear" w:color="auto" w:fill="F4F1EC"/>
          </w:tcPr>
          <w:p>
            <w:pPr>
              <w:pStyle w:val="Compact"/>
              <w:spacing w:after="40" w:before="40"/>
              <w:jc w:val="left"/>
            </w:pPr>
            <w:r>
              <w:rPr>
                <w:rFonts w:ascii="Cambria" w:hAnsi="Cambria" w:cs="Cambria" w:eastAsia="Cambria"/>
                <w:color w:val="1A1A1A"/>
                <w:sz w:val="18"/>
              </w:rPr>
              <w:t xml:space="preserve">Minimizzazione, comitato etico, conformità sui dati</w:t>
            </w:r>
          </w:p>
        </w:tc>
      </w:tr>
      <w:tr>
        <w:tc>
          <w:tcPr/>
          <w:p>
            <w:pPr>
              <w:pStyle w:val="Compact"/>
              <w:spacing w:after="40" w:before="40"/>
              <w:jc w:val="left"/>
            </w:pPr>
            <w:r>
              <w:rPr>
                <w:rFonts w:ascii="Cambria" w:hAnsi="Cambria" w:cs="Cambria" w:eastAsia="Cambria"/>
                <w:b/>
                <w:bCs/>
                <w:color w:val="1A1A1A"/>
                <w:sz w:val="18"/>
              </w:rPr>
              <w:t xml:space="preserve">PARTE B — Problema di salute, bisogno e contesto (dominio 1; caso strategico)</w:t>
            </w:r>
          </w:p>
        </w:tc>
        <w:tc>
          <w:tcPr/>
          <w:p>
            <w:pPr>
              <w:pStyle w:val="Compact"/>
              <w:spacing w:after="40" w:before="40"/>
              <w:jc w:val="left"/>
            </w:pPr>
          </w:p>
        </w:tc>
      </w:tr>
      <w:tr>
        <w:tc>
          <w:tcPr>
            <w:shd w:val="clear" w:color="auto" w:fill="F4F1EC"/>
          </w:tcPr>
          <w:p>
            <w:pPr>
              <w:pStyle w:val="Compact"/>
              <w:spacing w:after="40" w:before="40"/>
              <w:jc w:val="left"/>
            </w:pPr>
            <w:r>
              <w:rPr>
                <w:rFonts w:ascii="Cambria" w:hAnsi="Cambria" w:cs="Cambria" w:eastAsia="Cambria"/>
                <w:b/>
                <w:bCs/>
                <w:color w:val="1A1A1A"/>
                <w:sz w:val="18"/>
              </w:rPr>
              <w:t xml:space="preserve">B.1 Profilo demografico e socioeconomico</w:t>
            </w:r>
          </w:p>
        </w:tc>
        <w:tc>
          <w:tcPr>
            <w:shd w:val="clear" w:color="auto" w:fill="F4F1EC"/>
          </w:tcPr>
          <w:p>
            <w:pPr>
              <w:pStyle w:val="Compact"/>
              <w:spacing w:after="40" w:before="40"/>
              <w:jc w:val="left"/>
            </w:pPr>
            <w:r>
              <w:rPr>
                <w:rFonts w:ascii="Cambria" w:hAnsi="Cambria" w:cs="Cambria" w:eastAsia="Cambria"/>
                <w:color w:val="1A1A1A"/>
                <w:sz w:val="18"/>
              </w:rPr>
              <w:t xml:space="preserve">Denominatori, struttura per età, deprivazione</w:t>
            </w:r>
          </w:p>
        </w:tc>
      </w:tr>
      <w:tr>
        <w:tc>
          <w:tcPr/>
          <w:p>
            <w:pPr>
              <w:pStyle w:val="Compact"/>
              <w:spacing w:after="40" w:before="40"/>
              <w:jc w:val="left"/>
            </w:pPr>
            <w:r>
              <w:rPr>
                <w:rFonts w:ascii="Cambria" w:hAnsi="Cambria" w:cs="Cambria" w:eastAsia="Cambria"/>
                <w:b/>
                <w:bCs/>
                <w:color w:val="1A1A1A"/>
                <w:sz w:val="18"/>
              </w:rPr>
              <w:t xml:space="preserve">B.2 Epidemiologia del bisogno</w:t>
            </w:r>
          </w:p>
        </w:tc>
        <w:tc>
          <w:tcPr/>
          <w:p>
            <w:pPr>
              <w:pStyle w:val="Compact"/>
              <w:spacing w:after="40" w:before="40"/>
              <w:jc w:val="left"/>
            </w:pPr>
            <w:r>
              <w:rPr>
                <w:rFonts w:ascii="Cambria" w:hAnsi="Cambria" w:cs="Cambria" w:eastAsia="Cambria"/>
                <w:color w:val="1A1A1A"/>
                <w:sz w:val="18"/>
              </w:rPr>
              <w:t xml:space="preserve">Prevalenza, incidenza, gravità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B.3 Domanda, offerta e gap di copertura</w:t>
            </w:r>
          </w:p>
        </w:tc>
        <w:tc>
          <w:tcPr>
            <w:shd w:val="clear" w:color="auto" w:fill="F4F1EC"/>
          </w:tcPr>
          <w:p>
            <w:pPr>
              <w:pStyle w:val="Compact"/>
              <w:spacing w:after="40" w:before="40"/>
              <w:jc w:val="left"/>
            </w:pPr>
            <w:r>
              <w:rPr>
                <w:rFonts w:ascii="Cambria" w:hAnsi="Cambria" w:cs="Cambria" w:eastAsia="Cambria"/>
                <w:color w:val="1A1A1A"/>
                <w:sz w:val="18"/>
              </w:rPr>
              <w:t xml:space="preserve">Utenza, organico, fabbisogno a regime</w:t>
            </w:r>
          </w:p>
        </w:tc>
      </w:tr>
      <w:tr>
        <w:tc>
          <w:tcPr/>
          <w:p>
            <w:pPr>
              <w:pStyle w:val="Compact"/>
              <w:spacing w:after="40" w:before="40"/>
              <w:jc w:val="left"/>
            </w:pPr>
            <w:r>
              <w:rPr>
                <w:rFonts w:ascii="Cambria" w:hAnsi="Cambria" w:cs="Cambria" w:eastAsia="Cambria"/>
                <w:b/>
                <w:bCs/>
                <w:color w:val="1A1A1A"/>
                <w:sz w:val="18"/>
              </w:rPr>
              <w:t xml:space="preserve">B.4 Disuguaglianze e divari territoriali</w:t>
            </w:r>
          </w:p>
        </w:tc>
        <w:tc>
          <w:tcPr/>
          <w:p>
            <w:pPr>
              <w:pStyle w:val="Compact"/>
              <w:spacing w:after="40" w:before="40"/>
              <w:jc w:val="left"/>
            </w:pPr>
            <w:r>
              <w:rPr>
                <w:rFonts w:ascii="Cambria" w:hAnsi="Cambria" w:cs="Cambria" w:eastAsia="Cambria"/>
                <w:color w:val="1A1A1A"/>
                <w:sz w:val="18"/>
              </w:rPr>
              <w:t xml:space="preserve">Equità per azienda e distretto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B.5 Servizi e flussi</w:t>
            </w:r>
          </w:p>
        </w:tc>
        <w:tc>
          <w:tcPr>
            <w:shd w:val="clear" w:color="auto" w:fill="F4F1EC"/>
          </w:tcPr>
          <w:p>
            <w:pPr>
              <w:pStyle w:val="Compact"/>
              <w:spacing w:after="40" w:before="40"/>
              <w:jc w:val="left"/>
            </w:pPr>
            <w:r>
              <w:rPr>
                <w:rFonts w:ascii="Cambria" w:hAnsi="Cambria" w:cs="Cambria" w:eastAsia="Cambria"/>
                <w:color w:val="1A1A1A"/>
                <w:sz w:val="18"/>
              </w:rPr>
              <w:t xml:space="preserve">Pronto soccorso, ricoveri, farmaceutica, mobilità</w:t>
            </w:r>
          </w:p>
        </w:tc>
      </w:tr>
      <w:tr>
        <w:tc>
          <w:tcPr/>
          <w:p>
            <w:pPr>
              <w:pStyle w:val="Compact"/>
              <w:spacing w:after="40" w:before="40"/>
              <w:jc w:val="left"/>
            </w:pPr>
            <w:r>
              <w:rPr>
                <w:rFonts w:ascii="Cambria" w:hAnsi="Cambria" w:cs="Cambria" w:eastAsia="Cambria"/>
                <w:b/>
                <w:bCs/>
                <w:color w:val="1A1A1A"/>
                <w:sz w:val="18"/>
              </w:rPr>
              <w:t xml:space="preserve">B.6 Cornice normativa e programmatica</w:t>
            </w:r>
          </w:p>
        </w:tc>
        <w:tc>
          <w:tcPr/>
          <w:p>
            <w:pPr>
              <w:pStyle w:val="Compact"/>
              <w:spacing w:after="40" w:before="40"/>
              <w:jc w:val="left"/>
            </w:pPr>
            <w:r>
              <w:rPr>
                <w:rFonts w:ascii="Cambria" w:hAnsi="Cambria" w:cs="Cambria" w:eastAsia="Cambria"/>
                <w:color w:val="1A1A1A"/>
                <w:sz w:val="18"/>
              </w:rPr>
              <w:t xml:space="preserve">Livello regionale, nazionale ed europeo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C — L’intervento e il modello (domini 2–3)</w:t>
            </w:r>
          </w:p>
        </w:tc>
        <w:tc>
          <w:tcPr>
            <w:shd w:val="clear" w:color="auto" w:fill="F4F1EC"/>
          </w:tcPr>
          <w:p>
            <w:pPr>
              <w:pStyle w:val="Compact"/>
              <w:spacing w:after="40" w:before="40"/>
              <w:jc w:val="left"/>
            </w:pPr>
          </w:p>
        </w:tc>
      </w:tr>
      <w:tr>
        <w:tc>
          <w:tcPr/>
          <w:p>
            <w:pPr>
              <w:pStyle w:val="Compact"/>
              <w:spacing w:after="40" w:before="40"/>
              <w:jc w:val="left"/>
            </w:pPr>
            <w:r>
              <w:rPr>
                <w:rFonts w:ascii="Cambria" w:hAnsi="Cambria" w:cs="Cambria" w:eastAsia="Cambria"/>
                <w:b/>
                <w:bCs/>
                <w:color w:val="1A1A1A"/>
                <w:sz w:val="18"/>
              </w:rPr>
              <w:t xml:space="preserve">C.1 Definizione e teoria del cambiamento</w:t>
            </w:r>
          </w:p>
        </w:tc>
        <w:tc>
          <w:tcPr/>
          <w:p>
            <w:pPr>
              <w:pStyle w:val="Compact"/>
              <w:spacing w:after="40" w:before="40"/>
              <w:jc w:val="left"/>
            </w:pPr>
            <w:r>
              <w:rPr>
                <w:rFonts w:ascii="Cambria" w:hAnsi="Cambria" w:cs="Cambria" w:eastAsia="Cambria"/>
                <w:color w:val="1A1A1A"/>
                <w:sz w:val="18"/>
              </w:rPr>
              <w:t xml:space="preserve">Modello logico ed esiti attesi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C.2 Modello organizzativo</w:t>
            </w:r>
          </w:p>
        </w:tc>
        <w:tc>
          <w:tcPr>
            <w:shd w:val="clear" w:color="auto" w:fill="F4F1EC"/>
          </w:tcPr>
          <w:p>
            <w:pPr>
              <w:pStyle w:val="Compact"/>
              <w:spacing w:after="40" w:before="40"/>
              <w:jc w:val="left"/>
            </w:pPr>
            <w:r>
              <w:rPr>
                <w:rFonts w:ascii="Cambria" w:hAnsi="Cambria" w:cs="Cambria" w:eastAsia="Cambria"/>
                <w:color w:val="1A1A1A"/>
                <w:sz w:val="18"/>
              </w:rPr>
              <w:t xml:space="preserve">Integrazione nelle cure primarie; filtro</w:t>
            </w:r>
          </w:p>
        </w:tc>
      </w:tr>
      <w:tr>
        <w:tc>
          <w:tcPr/>
          <w:p>
            <w:pPr>
              <w:pStyle w:val="Compact"/>
              <w:spacing w:after="40" w:before="40"/>
              <w:jc w:val="left"/>
            </w:pPr>
            <w:r>
              <w:rPr>
                <w:rFonts w:ascii="Cambria" w:hAnsi="Cambria" w:cs="Cambria" w:eastAsia="Cambria"/>
                <w:b/>
                <w:bCs/>
                <w:color w:val="1A1A1A"/>
                <w:sz w:val="18"/>
              </w:rPr>
              <w:t xml:space="preserve">C.3 Percorso clinico, sicurezza ed esiti</w:t>
            </w:r>
          </w:p>
        </w:tc>
        <w:tc>
          <w:tcPr/>
          <w:p>
            <w:pPr>
              <w:pStyle w:val="Compact"/>
              <w:spacing w:after="40" w:before="40"/>
              <w:jc w:val="left"/>
            </w:pPr>
            <w:r>
              <w:rPr>
                <w:rFonts w:ascii="Cambria" w:hAnsi="Cambria" w:cs="Cambria" w:eastAsia="Cambria"/>
                <w:color w:val="1A1A1A"/>
                <w:sz w:val="18"/>
              </w:rPr>
              <w:t xml:space="preserve">Cura a intensità crescente; soglie; invio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C.4 Sistema informativo e interoperabilità</w:t>
            </w:r>
          </w:p>
        </w:tc>
        <w:tc>
          <w:tcPr>
            <w:shd w:val="clear" w:color="auto" w:fill="F4F1EC"/>
          </w:tcPr>
          <w:p>
            <w:pPr>
              <w:pStyle w:val="Compact"/>
              <w:spacing w:after="40" w:before="40"/>
              <w:jc w:val="left"/>
            </w:pPr>
            <w:r>
              <w:rPr>
                <w:rFonts w:ascii="Cambria" w:hAnsi="Cambria" w:cs="Cambria" w:eastAsia="Cambria"/>
                <w:color w:val="1A1A1A"/>
                <w:sz w:val="18"/>
              </w:rPr>
              <w:t xml:space="preserve">Fascicolo Sanitario Elettronico; dataset minimo</w:t>
            </w:r>
          </w:p>
        </w:tc>
      </w:tr>
      <w:tr>
        <w:tc>
          <w:tcPr/>
          <w:p>
            <w:pPr>
              <w:pStyle w:val="Compact"/>
              <w:spacing w:after="40" w:before="40"/>
              <w:jc w:val="left"/>
            </w:pPr>
            <w:r>
              <w:rPr>
                <w:rFonts w:ascii="Cambria" w:hAnsi="Cambria" w:cs="Cambria" w:eastAsia="Cambria"/>
                <w:b/>
                <w:bCs/>
                <w:color w:val="1A1A1A"/>
                <w:sz w:val="18"/>
              </w:rPr>
              <w:t xml:space="preserve">C.5 Strumenti digitali e IA</w:t>
            </w:r>
          </w:p>
        </w:tc>
        <w:tc>
          <w:tcPr/>
          <w:p>
            <w:pPr>
              <w:pStyle w:val="Compact"/>
              <w:spacing w:after="40" w:before="40"/>
              <w:jc w:val="left"/>
            </w:pPr>
            <w:r>
              <w:rPr>
                <w:rFonts w:ascii="Cambria" w:hAnsi="Cambria" w:cs="Cambria" w:eastAsia="Cambria"/>
                <w:color w:val="1A1A1A"/>
                <w:sz w:val="18"/>
              </w:rPr>
              <w:t xml:space="preserve">Conformità (AI Act, dispositivi); validazione locale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C.6 Formazione e competenze</w:t>
            </w:r>
          </w:p>
        </w:tc>
        <w:tc>
          <w:tcPr>
            <w:shd w:val="clear" w:color="auto" w:fill="F4F1EC"/>
          </w:tcPr>
          <w:p>
            <w:pPr>
              <w:pStyle w:val="Compact"/>
              <w:spacing w:after="40" w:before="40"/>
              <w:jc w:val="left"/>
            </w:pPr>
            <w:r>
              <w:rPr>
                <w:rFonts w:ascii="Cambria" w:hAnsi="Cambria" w:cs="Cambria" w:eastAsia="Cambria"/>
                <w:color w:val="1A1A1A"/>
                <w:sz w:val="18"/>
              </w:rPr>
              <w:t xml:space="preserve">Percorso a quattro livelli, con componente sull’IA</w:t>
            </w:r>
          </w:p>
        </w:tc>
      </w:tr>
      <w:tr>
        <w:tc>
          <w:tcPr/>
          <w:p>
            <w:pPr>
              <w:pStyle w:val="Compact"/>
              <w:spacing w:after="40" w:before="40"/>
              <w:jc w:val="left"/>
            </w:pPr>
            <w:r>
              <w:rPr>
                <w:rFonts w:ascii="Cambria" w:hAnsi="Cambria" w:cs="Cambria" w:eastAsia="Cambria"/>
                <w:b/>
                <w:bCs/>
                <w:color w:val="1A1A1A"/>
                <w:sz w:val="18"/>
              </w:rPr>
              <w:t xml:space="preserve">PARTE D — Efficacia clinica ed evidenza (dominio 4)</w:t>
            </w:r>
          </w:p>
        </w:tc>
        <w:tc>
          <w:tcPr/>
          <w:p>
            <w:pPr>
              <w:pStyle w:val="Compact"/>
              <w:spacing w:after="40" w:before="40"/>
              <w:jc w:val="left"/>
            </w:pPr>
          </w:p>
        </w:tc>
      </w:tr>
      <w:tr>
        <w:tc>
          <w:tcPr>
            <w:shd w:val="clear" w:color="auto" w:fill="F4F1EC"/>
          </w:tcPr>
          <w:p>
            <w:pPr>
              <w:pStyle w:val="Compact"/>
              <w:spacing w:after="40" w:before="40"/>
              <w:jc w:val="left"/>
            </w:pPr>
            <w:r>
              <w:rPr>
                <w:rFonts w:ascii="Cambria" w:hAnsi="Cambria" w:cs="Cambria" w:eastAsia="Cambria"/>
                <w:b/>
                <w:bCs/>
                <w:color w:val="1A1A1A"/>
                <w:sz w:val="18"/>
              </w:rPr>
              <w:t xml:space="preserve">D.1 Revisione sistematica</w:t>
            </w:r>
          </w:p>
        </w:tc>
        <w:tc>
          <w:tcPr>
            <w:shd w:val="clear" w:color="auto" w:fill="F4F1EC"/>
          </w:tcPr>
          <w:p>
            <w:pPr>
              <w:pStyle w:val="Compact"/>
              <w:spacing w:after="40" w:before="40"/>
              <w:jc w:val="left"/>
            </w:pPr>
            <w:r>
              <w:rPr>
                <w:rFonts w:ascii="Cambria" w:hAnsi="Cambria" w:cs="Cambria" w:eastAsia="Cambria"/>
                <w:color w:val="1A1A1A"/>
                <w:sz w:val="18"/>
              </w:rPr>
              <w:t xml:space="preserve">Metodo PRISMA</w:t>
            </w:r>
          </w:p>
        </w:tc>
      </w:tr>
      <w:tr>
        <w:tc>
          <w:tcPr/>
          <w:p>
            <w:pPr>
              <w:pStyle w:val="Compact"/>
              <w:spacing w:after="40" w:before="40"/>
              <w:jc w:val="left"/>
            </w:pPr>
            <w:r>
              <w:rPr>
                <w:rFonts w:ascii="Cambria" w:hAnsi="Cambria" w:cs="Cambria" w:eastAsia="Cambria"/>
                <w:b/>
                <w:bCs/>
                <w:color w:val="1A1A1A"/>
                <w:sz w:val="18"/>
              </w:rPr>
              <w:t xml:space="preserve">D.2 Qualità dell’evidenza</w:t>
            </w:r>
          </w:p>
        </w:tc>
        <w:tc>
          <w:tcPr/>
          <w:p>
            <w:pPr>
              <w:pStyle w:val="Compact"/>
              <w:spacing w:after="40" w:before="40"/>
              <w:jc w:val="left"/>
            </w:pPr>
            <w:r>
              <w:rPr>
                <w:rFonts w:ascii="Cambria" w:hAnsi="Cambria" w:cs="Cambria" w:eastAsia="Cambria"/>
                <w:color w:val="1A1A1A"/>
                <w:sz w:val="18"/>
              </w:rPr>
              <w:t xml:space="preserve">Sistema GRADE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D.3 Benchmark internazionali</w:t>
            </w:r>
          </w:p>
        </w:tc>
        <w:tc>
          <w:tcPr>
            <w:shd w:val="clear" w:color="auto" w:fill="F4F1EC"/>
          </w:tcPr>
          <w:p>
            <w:pPr>
              <w:pStyle w:val="Compact"/>
              <w:spacing w:after="40" w:before="40"/>
              <w:jc w:val="left"/>
            </w:pPr>
            <w:r>
              <w:rPr>
                <w:rFonts w:ascii="Cambria" w:hAnsi="Cambria" w:cs="Cambria" w:eastAsia="Cambria"/>
                <w:color w:val="1A1A1A"/>
                <w:sz w:val="18"/>
              </w:rPr>
              <w:t xml:space="preserve">Confronto con i programmi più autorevoli</w:t>
            </w:r>
          </w:p>
        </w:tc>
      </w:tr>
      <w:tr>
        <w:tc>
          <w:tcPr/>
          <w:p>
            <w:pPr>
              <w:pStyle w:val="Compact"/>
              <w:spacing w:after="40" w:before="40"/>
              <w:jc w:val="left"/>
            </w:pPr>
            <w:r>
              <w:rPr>
                <w:rFonts w:ascii="Cambria" w:hAnsi="Cambria" w:cs="Cambria" w:eastAsia="Cambria"/>
                <w:b/>
                <w:bCs/>
                <w:color w:val="1A1A1A"/>
                <w:sz w:val="18"/>
              </w:rPr>
              <w:t xml:space="preserve">D.4 Trasferibilità al contesto regionale</w:t>
            </w:r>
          </w:p>
        </w:tc>
        <w:tc>
          <w:tcPr/>
          <w:p>
            <w:pPr>
              <w:pStyle w:val="Compact"/>
              <w:spacing w:after="40" w:before="40"/>
              <w:jc w:val="left"/>
            </w:pPr>
            <w:r>
              <w:rPr>
                <w:rFonts w:ascii="Cambria" w:hAnsi="Cambria" w:cs="Cambria" w:eastAsia="Cambria"/>
                <w:color w:val="1A1A1A"/>
                <w:sz w:val="18"/>
              </w:rPr>
              <w:t xml:space="preserve">Adattamento e cautele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E — Valutazione economica (dominio 5; CHEERS; casi economico e finanziario)</w:t>
            </w:r>
          </w:p>
        </w:tc>
        <w:tc>
          <w:tcPr>
            <w:shd w:val="clear" w:color="auto" w:fill="F4F1EC"/>
          </w:tcPr>
          <w:p>
            <w:pPr>
              <w:pStyle w:val="Compact"/>
              <w:spacing w:after="40" w:before="40"/>
              <w:jc w:val="left"/>
            </w:pPr>
          </w:p>
        </w:tc>
      </w:tr>
      <w:tr>
        <w:tc>
          <w:tcPr/>
          <w:p>
            <w:pPr>
              <w:pStyle w:val="Compact"/>
              <w:spacing w:after="40" w:before="40"/>
              <w:jc w:val="left"/>
            </w:pPr>
            <w:r>
              <w:rPr>
                <w:rFonts w:ascii="Cambria" w:hAnsi="Cambria" w:cs="Cambria" w:eastAsia="Cambria"/>
                <w:b/>
                <w:bCs/>
                <w:color w:val="1A1A1A"/>
                <w:sz w:val="18"/>
              </w:rPr>
              <w:t xml:space="preserve">E.1 Identificazione e misura dei costi</w:t>
            </w:r>
          </w:p>
        </w:tc>
        <w:tc>
          <w:tcPr/>
          <w:p>
            <w:pPr>
              <w:pStyle w:val="Compact"/>
              <w:spacing w:after="40" w:before="40"/>
              <w:jc w:val="left"/>
            </w:pPr>
            <w:r>
              <w:rPr>
                <w:rFonts w:ascii="Cambria" w:hAnsi="Cambria" w:cs="Cambria" w:eastAsia="Cambria"/>
                <w:color w:val="1A1A1A"/>
                <w:sz w:val="18"/>
              </w:rPr>
              <w:t xml:space="preserve">Diretti sanitari e non sanitari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E.2 Identificazione e misura degli esiti</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w:t>
            </w:r>
          </w:p>
        </w:tc>
      </w:tr>
      <w:tr>
        <w:tc>
          <w:tcPr/>
          <w:p>
            <w:pPr>
              <w:pStyle w:val="Compact"/>
              <w:spacing w:after="40" w:before="40"/>
              <w:jc w:val="left"/>
            </w:pPr>
            <w:r>
              <w:rPr>
                <w:rFonts w:ascii="Cambria" w:hAnsi="Cambria" w:cs="Cambria" w:eastAsia="Cambria"/>
                <w:b/>
                <w:bCs/>
                <w:color w:val="1A1A1A"/>
                <w:sz w:val="18"/>
              </w:rPr>
              <w:t xml:space="preserve">E.3 Costo-efficacia e costo-utilità</w:t>
            </w:r>
          </w:p>
        </w:tc>
        <w:tc>
          <w:tcPr/>
          <w:p>
            <w:pPr>
              <w:pStyle w:val="Compact"/>
              <w:spacing w:after="40" w:before="40"/>
              <w:jc w:val="left"/>
            </w:pPr>
            <w:r>
              <w:rPr>
                <w:rFonts w:ascii="Cambria" w:hAnsi="Cambria" w:cs="Cambria" w:eastAsia="Cambria"/>
                <w:color w:val="1A1A1A"/>
                <w:sz w:val="18"/>
              </w:rPr>
              <w:t xml:space="preserve">Rapporto incrementale; soglie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E.4 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Metodo ISPOR; orizzonte di bilancio</w:t>
            </w:r>
          </w:p>
        </w:tc>
      </w:tr>
      <w:tr>
        <w:tc>
          <w:tcPr/>
          <w:p>
            <w:pPr>
              <w:pStyle w:val="Compact"/>
              <w:spacing w:after="40" w:before="40"/>
              <w:jc w:val="left"/>
            </w:pPr>
            <w:r>
              <w:rPr>
                <w:rFonts w:ascii="Cambria" w:hAnsi="Cambria" w:cs="Cambria" w:eastAsia="Cambria"/>
                <w:b/>
                <w:bCs/>
                <w:color w:val="1A1A1A"/>
                <w:sz w:val="18"/>
              </w:rPr>
              <w:t xml:space="preserve">E.5 Ritorno sociale</w:t>
            </w:r>
          </w:p>
        </w:tc>
        <w:tc>
          <w:tcPr/>
          <w:p>
            <w:pPr>
              <w:pStyle w:val="Compact"/>
              <w:spacing w:after="40" w:before="40"/>
              <w:jc w:val="left"/>
            </w:pPr>
            <w:r>
              <w:rPr>
                <w:rFonts w:ascii="Cambria" w:hAnsi="Cambria" w:cs="Cambria" w:eastAsia="Cambria"/>
                <w:color w:val="1A1A1A"/>
                <w:sz w:val="18"/>
              </w:rPr>
              <w:t xml:space="preserve">Metodo SROI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E.6 Caso economico e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Valore sociale e sostenibilità a confronto</w:t>
            </w:r>
          </w:p>
        </w:tc>
      </w:tr>
      <w:tr>
        <w:tc>
          <w:tcPr/>
          <w:p>
            <w:pPr>
              <w:pStyle w:val="Compact"/>
              <w:spacing w:after="40" w:before="40"/>
              <w:jc w:val="left"/>
            </w:pPr>
            <w:r>
              <w:rPr>
                <w:rFonts w:ascii="Cambria" w:hAnsi="Cambria" w:cs="Cambria" w:eastAsia="Cambria"/>
                <w:b/>
                <w:bCs/>
                <w:color w:val="1A1A1A"/>
                <w:sz w:val="18"/>
              </w:rPr>
              <w:t xml:space="preserve">PARTE F — Modellazione decisionale e incertezza (dominio 5)</w:t>
            </w:r>
          </w:p>
        </w:tc>
        <w:tc>
          <w:tcPr/>
          <w:p>
            <w:pPr>
              <w:pStyle w:val="Compact"/>
              <w:spacing w:after="40" w:before="40"/>
              <w:jc w:val="left"/>
            </w:pPr>
          </w:p>
        </w:tc>
      </w:tr>
      <w:tr>
        <w:tc>
          <w:tcPr>
            <w:shd w:val="clear" w:color="auto" w:fill="F4F1EC"/>
          </w:tcPr>
          <w:p>
            <w:pPr>
              <w:pStyle w:val="Compact"/>
              <w:spacing w:after="40" w:before="40"/>
              <w:jc w:val="left"/>
            </w:pPr>
            <w:r>
              <w:rPr>
                <w:rFonts w:ascii="Cambria" w:hAnsi="Cambria" w:cs="Cambria" w:eastAsia="Cambria"/>
                <w:b/>
                <w:bCs/>
                <w:color w:val="1A1A1A"/>
                <w:sz w:val="18"/>
              </w:rPr>
              <w:t xml:space="preserve">F.1 Struttura del modello</w:t>
            </w:r>
          </w:p>
        </w:tc>
        <w:tc>
          <w:tcPr>
            <w:shd w:val="clear" w:color="auto" w:fill="F4F1EC"/>
          </w:tcPr>
          <w:p>
            <w:pPr>
              <w:pStyle w:val="Compact"/>
              <w:spacing w:after="40" w:before="40"/>
              <w:jc w:val="left"/>
            </w:pPr>
            <w:r>
              <w:rPr>
                <w:rFonts w:ascii="Cambria" w:hAnsi="Cambria" w:cs="Cambria" w:eastAsia="Cambria"/>
                <w:color w:val="1A1A1A"/>
                <w:sz w:val="18"/>
              </w:rPr>
              <w:t xml:space="preserve">Albero, Markov, microsimulazione</w:t>
            </w:r>
          </w:p>
        </w:tc>
      </w:tr>
      <w:tr>
        <w:tc>
          <w:tcPr/>
          <w:p>
            <w:pPr>
              <w:pStyle w:val="Compact"/>
              <w:spacing w:after="40" w:before="40"/>
              <w:jc w:val="left"/>
            </w:pPr>
            <w:r>
              <w:rPr>
                <w:rFonts w:ascii="Cambria" w:hAnsi="Cambria" w:cs="Cambria" w:eastAsia="Cambria"/>
                <w:b/>
                <w:bCs/>
                <w:color w:val="1A1A1A"/>
                <w:sz w:val="18"/>
              </w:rPr>
              <w:t xml:space="preserve">F.2 Parametri e calibrazione</w:t>
            </w:r>
          </w:p>
        </w:tc>
        <w:tc>
          <w:tcPr/>
          <w:p>
            <w:pPr>
              <w:pStyle w:val="Compact"/>
              <w:spacing w:after="40" w:before="40"/>
              <w:jc w:val="left"/>
            </w:pPr>
            <w:r>
              <w:rPr>
                <w:rFonts w:ascii="Cambria" w:hAnsi="Cambria" w:cs="Cambria" w:eastAsia="Cambria"/>
                <w:color w:val="1A1A1A"/>
                <w:sz w:val="18"/>
              </w:rPr>
              <w:t xml:space="preserve">Distribuzioni e fonti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F.3 Sensibilità deterministica</w:t>
            </w:r>
          </w:p>
        </w:tc>
        <w:tc>
          <w:tcPr>
            <w:shd w:val="clear" w:color="auto" w:fill="F4F1EC"/>
          </w:tcPr>
          <w:p>
            <w:pPr>
              <w:pStyle w:val="Compact"/>
              <w:spacing w:after="40" w:before="40"/>
              <w:jc w:val="left"/>
            </w:pPr>
            <w:r>
              <w:rPr>
                <w:rFonts w:ascii="Cambria" w:hAnsi="Cambria" w:cs="Cambria" w:eastAsia="Cambria"/>
                <w:color w:val="1A1A1A"/>
                <w:sz w:val="18"/>
              </w:rPr>
              <w:t xml:space="preserve">Tornado; scenari</w:t>
            </w:r>
          </w:p>
        </w:tc>
      </w:tr>
      <w:tr>
        <w:tc>
          <w:tcPr/>
          <w:p>
            <w:pPr>
              <w:pStyle w:val="Compact"/>
              <w:spacing w:after="40" w:before="40"/>
              <w:jc w:val="left"/>
            </w:pPr>
            <w:r>
              <w:rPr>
                <w:rFonts w:ascii="Cambria" w:hAnsi="Cambria" w:cs="Cambria" w:eastAsia="Cambria"/>
                <w:b/>
                <w:bCs/>
                <w:color w:val="1A1A1A"/>
                <w:sz w:val="18"/>
              </w:rPr>
              <w:t xml:space="preserve">F.4 Sensibilità probabilistica</w:t>
            </w:r>
          </w:p>
        </w:tc>
        <w:tc>
          <w:tcPr/>
          <w:p>
            <w:pPr>
              <w:pStyle w:val="Compact"/>
              <w:spacing w:after="40" w:before="40"/>
              <w:jc w:val="left"/>
            </w:pPr>
            <w:r>
              <w:rPr>
                <w:rFonts w:ascii="Cambria" w:hAnsi="Cambria" w:cs="Cambria" w:eastAsia="Cambria"/>
                <w:color w:val="1A1A1A"/>
                <w:sz w:val="18"/>
              </w:rPr>
              <w:t xml:space="preserve">Monte Carlo; curva di accettabilità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F.5 Valore dell’informazione</w:t>
            </w:r>
          </w:p>
        </w:tc>
        <w:tc>
          <w:tcPr>
            <w:shd w:val="clear" w:color="auto" w:fill="F4F1EC"/>
          </w:tcPr>
          <w:p>
            <w:pPr>
              <w:pStyle w:val="Compact"/>
              <w:spacing w:after="40" w:before="40"/>
              <w:jc w:val="left"/>
            </w:pPr>
            <w:r>
              <w:rPr>
                <w:rFonts w:ascii="Cambria" w:hAnsi="Cambria" w:cs="Cambria" w:eastAsia="Cambria"/>
                <w:color w:val="1A1A1A"/>
                <w:sz w:val="18"/>
              </w:rPr>
              <w:t xml:space="preserve">EVPI ed EVPPI; priorità di ricerca</w:t>
            </w:r>
          </w:p>
        </w:tc>
      </w:tr>
    </w:tbl>
    <w:p>
      <w:pPr>
        <w:pStyle w:val="BodyText"/>
      </w:pPr>
      <w:r>
        <w:rPr>
          <w:i/>
          <w:iCs/>
        </w:rPr>
        <w:t xml:space="preserve">Tabella 5. Architettura dello studio regionale, parti A-F (quadro, bisogno, intervento, efficacia, economia, modellazione).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Parte / Capitolo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metodo e cornice di riferimento</w:t>
            </w:r>
          </w:p>
        </w:tc>
      </w:tr>
      <w:tr>
        <w:tc>
          <w:tcPr/>
          <w:p>
            <w:pPr>
              <w:pStyle w:val="Compact"/>
              <w:spacing w:after="40" w:before="40"/>
              <w:jc w:val="left"/>
            </w:pPr>
            <w:r>
              <w:rPr>
                <w:rFonts w:ascii="Cambria" w:hAnsi="Cambria" w:cs="Cambria" w:eastAsia="Cambria"/>
                <w:b/>
                <w:bCs/>
                <w:color w:val="1A1A1A"/>
                <w:sz w:val="18"/>
              </w:rPr>
              <w:t xml:space="preserve">PARTE G — Equità e impatto distributivo (dominio 8)</w:t>
            </w:r>
          </w:p>
        </w:tc>
        <w:tc>
          <w:tcPr/>
          <w:p>
            <w:pPr>
              <w:pStyle w:val="Compact"/>
              <w:spacing w:after="40" w:before="40"/>
              <w:jc w:val="left"/>
            </w:pPr>
          </w:p>
        </w:tc>
      </w:tr>
      <w:tr>
        <w:tc>
          <w:tcPr>
            <w:shd w:val="clear" w:color="auto" w:fill="F4F1EC"/>
          </w:tcPr>
          <w:p>
            <w:pPr>
              <w:pStyle w:val="Compact"/>
              <w:spacing w:after="40" w:before="40"/>
              <w:jc w:val="left"/>
            </w:pPr>
            <w:r>
              <w:rPr>
                <w:rFonts w:ascii="Cambria" w:hAnsi="Cambria" w:cs="Cambria" w:eastAsia="Cambria"/>
                <w:b/>
                <w:bCs/>
                <w:color w:val="1A1A1A"/>
                <w:sz w:val="18"/>
              </w:rPr>
              <w:t xml:space="preserve">G.1 Analisi di equità</w:t>
            </w:r>
          </w:p>
        </w:tc>
        <w:tc>
          <w:tcPr>
            <w:shd w:val="clear" w:color="auto" w:fill="F4F1EC"/>
          </w:tcPr>
          <w:p>
            <w:pPr>
              <w:pStyle w:val="Compact"/>
              <w:spacing w:after="40" w:before="40"/>
              <w:jc w:val="left"/>
            </w:pPr>
            <w:r>
              <w:rPr>
                <w:rFonts w:ascii="Cambria" w:hAnsi="Cambria" w:cs="Cambria" w:eastAsia="Cambria"/>
                <w:color w:val="1A1A1A"/>
                <w:sz w:val="18"/>
              </w:rPr>
              <w:t xml:space="preserve">Sottogruppi e beneficiari</w:t>
            </w:r>
          </w:p>
        </w:tc>
      </w:tr>
      <w:tr>
        <w:tc>
          <w:tcPr/>
          <w:p>
            <w:pPr>
              <w:pStyle w:val="Compact"/>
              <w:spacing w:after="40" w:before="40"/>
              <w:jc w:val="left"/>
            </w:pPr>
            <w:r>
              <w:rPr>
                <w:rFonts w:ascii="Cambria" w:hAnsi="Cambria" w:cs="Cambria" w:eastAsia="Cambria"/>
                <w:b/>
                <w:bCs/>
                <w:color w:val="1A1A1A"/>
                <w:sz w:val="18"/>
              </w:rPr>
              <w:t xml:space="preserve">G.2 Costo-efficacia distributiva</w:t>
            </w:r>
          </w:p>
        </w:tc>
        <w:tc>
          <w:tcPr/>
          <w:p>
            <w:pPr>
              <w:pStyle w:val="Compact"/>
              <w:spacing w:after="40" w:before="40"/>
              <w:jc w:val="left"/>
            </w:pPr>
            <w:r>
              <w:rPr>
                <w:rFonts w:ascii="Cambria" w:hAnsi="Cambria" w:cs="Cambria" w:eastAsia="Cambria"/>
                <w:color w:val="1A1A1A"/>
                <w:sz w:val="18"/>
              </w:rPr>
              <w:t xml:space="preserve">Metodo DCEA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G.3 Divari e impoverimento</w:t>
            </w:r>
          </w:p>
        </w:tc>
        <w:tc>
          <w:tcPr>
            <w:shd w:val="clear" w:color="auto" w:fill="F4F1EC"/>
          </w:tcPr>
          <w:p>
            <w:pPr>
              <w:pStyle w:val="Compact"/>
              <w:spacing w:after="40" w:before="40"/>
              <w:jc w:val="left"/>
            </w:pPr>
            <w:r>
              <w:rPr>
                <w:rFonts w:ascii="Cambria" w:hAnsi="Cambria" w:cs="Cambria" w:eastAsia="Cambria"/>
                <w:color w:val="1A1A1A"/>
                <w:sz w:val="18"/>
              </w:rPr>
              <w:t xml:space="preserve">Impatto territoriale e sulla spesa delle famiglie</w:t>
            </w:r>
          </w:p>
        </w:tc>
      </w:tr>
      <w:tr>
        <w:tc>
          <w:tcPr/>
          <w:p>
            <w:pPr>
              <w:pStyle w:val="Compact"/>
              <w:spacing w:after="40" w:before="40"/>
              <w:jc w:val="left"/>
            </w:pPr>
            <w:r>
              <w:rPr>
                <w:rFonts w:ascii="Cambria" w:hAnsi="Cambria" w:cs="Cambria" w:eastAsia="Cambria"/>
                <w:b/>
                <w:bCs/>
                <w:color w:val="1A1A1A"/>
                <w:sz w:val="18"/>
              </w:rPr>
              <w:t xml:space="preserve">PARTE H — Profili etico, giuridico e organizzativo (domini 6,7,9)</w:t>
            </w:r>
          </w:p>
        </w:tc>
        <w:tc>
          <w:tcPr/>
          <w:p>
            <w:pPr>
              <w:pStyle w:val="Compact"/>
              <w:spacing w:after="40" w:before="40"/>
              <w:jc w:val="left"/>
            </w:pPr>
          </w:p>
        </w:tc>
      </w:tr>
      <w:tr>
        <w:tc>
          <w:tcPr>
            <w:shd w:val="clear" w:color="auto" w:fill="F4F1EC"/>
          </w:tcPr>
          <w:p>
            <w:pPr>
              <w:pStyle w:val="Compact"/>
              <w:spacing w:after="40" w:before="40"/>
              <w:jc w:val="left"/>
            </w:pPr>
            <w:r>
              <w:rPr>
                <w:rFonts w:ascii="Cambria" w:hAnsi="Cambria" w:cs="Cambria" w:eastAsia="Cambria"/>
                <w:b/>
                <w:bCs/>
                <w:color w:val="1A1A1A"/>
                <w:sz w:val="18"/>
              </w:rPr>
              <w:t xml:space="preserve">H.1 Profilo etico</w:t>
            </w:r>
          </w:p>
        </w:tc>
        <w:tc>
          <w:tcPr>
            <w:shd w:val="clear" w:color="auto" w:fill="F4F1EC"/>
          </w:tcPr>
          <w:p>
            <w:pPr>
              <w:pStyle w:val="Compact"/>
              <w:spacing w:after="40" w:before="40"/>
              <w:jc w:val="left"/>
            </w:pPr>
            <w:r>
              <w:rPr>
                <w:rFonts w:ascii="Cambria" w:hAnsi="Cambria" w:cs="Cambria" w:eastAsia="Cambria"/>
                <w:color w:val="1A1A1A"/>
                <w:sz w:val="18"/>
              </w:rPr>
              <w:t xml:space="preserve">Equità di accesso, autonomia, consenso</w:t>
            </w:r>
          </w:p>
        </w:tc>
      </w:tr>
      <w:tr>
        <w:tc>
          <w:tcPr/>
          <w:p>
            <w:pPr>
              <w:pStyle w:val="Compact"/>
              <w:spacing w:after="40" w:before="40"/>
              <w:jc w:val="left"/>
            </w:pPr>
            <w:r>
              <w:rPr>
                <w:rFonts w:ascii="Cambria" w:hAnsi="Cambria" w:cs="Cambria" w:eastAsia="Cambria"/>
                <w:b/>
                <w:bCs/>
                <w:color w:val="1A1A1A"/>
                <w:sz w:val="18"/>
              </w:rPr>
              <w:t xml:space="preserve">H.2 Profili giuridici e costituzionali</w:t>
            </w:r>
          </w:p>
        </w:tc>
        <w:tc>
          <w:tcPr/>
          <w:p>
            <w:pPr>
              <w:pStyle w:val="Compact"/>
              <w:spacing w:after="40" w:before="40"/>
              <w:jc w:val="left"/>
            </w:pPr>
            <w:r>
              <w:rPr>
                <w:rFonts w:ascii="Cambria" w:hAnsi="Cambria" w:cs="Cambria" w:eastAsia="Cambria"/>
                <w:color w:val="1A1A1A"/>
                <w:sz w:val="18"/>
              </w:rPr>
              <w:t xml:space="preserve">Riparto Stato-Regioni; livelli essenziali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H.3 Profilo organizzativo e conformità</w:t>
            </w:r>
          </w:p>
        </w:tc>
        <w:tc>
          <w:tcPr>
            <w:shd w:val="clear" w:color="auto" w:fill="F4F1EC"/>
          </w:tcPr>
          <w:p>
            <w:pPr>
              <w:pStyle w:val="Compact"/>
              <w:spacing w:after="40" w:before="40"/>
              <w:jc w:val="left"/>
            </w:pPr>
            <w:r>
              <w:rPr>
                <w:rFonts w:ascii="Cambria" w:hAnsi="Cambria" w:cs="Cambria" w:eastAsia="Cambria"/>
                <w:color w:val="1A1A1A"/>
                <w:sz w:val="18"/>
              </w:rPr>
              <w:t xml:space="preserve">Deontologia, responsabilità, IA, protezione dei dati</w:t>
            </w:r>
          </w:p>
        </w:tc>
      </w:tr>
      <w:tr>
        <w:tc>
          <w:tcPr/>
          <w:p>
            <w:pPr>
              <w:pStyle w:val="Compact"/>
              <w:spacing w:after="40" w:before="40"/>
              <w:jc w:val="left"/>
            </w:pPr>
            <w:r>
              <w:rPr>
                <w:rFonts w:ascii="Cambria" w:hAnsi="Cambria" w:cs="Cambria" w:eastAsia="Cambria"/>
                <w:b/>
                <w:bCs/>
                <w:color w:val="1A1A1A"/>
                <w:sz w:val="18"/>
              </w:rPr>
              <w:t xml:space="preserve">PARTE I — Attuazione, fattibilità e sostenibilità (dominio 7; casi commerciale e gestionale)</w:t>
            </w:r>
          </w:p>
        </w:tc>
        <w:tc>
          <w:tcPr/>
          <w:p>
            <w:pPr>
              <w:pStyle w:val="Compact"/>
              <w:spacing w:after="40" w:before="40"/>
              <w:jc w:val="left"/>
            </w:pPr>
          </w:p>
        </w:tc>
      </w:tr>
      <w:tr>
        <w:tc>
          <w:tcPr>
            <w:shd w:val="clear" w:color="auto" w:fill="F4F1EC"/>
          </w:tcPr>
          <w:p>
            <w:pPr>
              <w:pStyle w:val="Compact"/>
              <w:spacing w:after="40" w:before="40"/>
              <w:jc w:val="left"/>
            </w:pPr>
            <w:r>
              <w:rPr>
                <w:rFonts w:ascii="Cambria" w:hAnsi="Cambria" w:cs="Cambria" w:eastAsia="Cambria"/>
                <w:b/>
                <w:bCs/>
                <w:color w:val="1A1A1A"/>
                <w:sz w:val="18"/>
              </w:rPr>
              <w:t xml:space="preserve">I.1 Scienza dell’implementazione</w:t>
            </w:r>
          </w:p>
        </w:tc>
        <w:tc>
          <w:tcPr>
            <w:shd w:val="clear" w:color="auto" w:fill="F4F1EC"/>
          </w:tcPr>
          <w:p>
            <w:pPr>
              <w:pStyle w:val="Compact"/>
              <w:spacing w:after="40" w:before="40"/>
              <w:jc w:val="left"/>
            </w:pPr>
            <w:r>
              <w:rPr>
                <w:rFonts w:ascii="Cambria" w:hAnsi="Cambria" w:cs="Cambria" w:eastAsia="Cambria"/>
                <w:color w:val="1A1A1A"/>
                <w:sz w:val="18"/>
              </w:rPr>
              <w:t xml:space="preserve">Quadri RE-AIM e CFIR</w:t>
            </w:r>
          </w:p>
        </w:tc>
      </w:tr>
      <w:tr>
        <w:tc>
          <w:tcPr/>
          <w:p>
            <w:pPr>
              <w:pStyle w:val="Compact"/>
              <w:spacing w:after="40" w:before="40"/>
              <w:jc w:val="left"/>
            </w:pPr>
            <w:r>
              <w:rPr>
                <w:rFonts w:ascii="Cambria" w:hAnsi="Cambria" w:cs="Cambria" w:eastAsia="Cambria"/>
                <w:b/>
                <w:bCs/>
                <w:color w:val="1A1A1A"/>
                <w:sz w:val="18"/>
              </w:rPr>
              <w:t xml:space="preserve">I.2 Disegno del dispiegamento</w:t>
            </w:r>
          </w:p>
        </w:tc>
        <w:tc>
          <w:tcPr/>
          <w:p>
            <w:pPr>
              <w:pStyle w:val="Compact"/>
              <w:spacing w:after="40" w:before="40"/>
              <w:jc w:val="left"/>
            </w:pPr>
            <w:r>
              <w:rPr>
                <w:rFonts w:ascii="Cambria" w:hAnsi="Cambria" w:cs="Cambria" w:eastAsia="Cambria"/>
                <w:color w:val="1A1A1A"/>
                <w:sz w:val="18"/>
              </w:rPr>
              <w:t xml:space="preserve">Stepped-wedge; cronoprogramma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I.3 Caso commerciale: modello contrattuale e tariffa</w:t>
            </w:r>
          </w:p>
        </w:tc>
        <w:tc>
          <w:tcPr>
            <w:shd w:val="clear" w:color="auto" w:fill="F4F1EC"/>
          </w:tcPr>
          <w:p>
            <w:pPr>
              <w:pStyle w:val="Compact"/>
              <w:spacing w:after="40" w:before="40"/>
              <w:jc w:val="left"/>
            </w:pPr>
            <w:r>
              <w:rPr>
                <w:rFonts w:ascii="Cambria" w:hAnsi="Cambria" w:cs="Cambria" w:eastAsia="Cambria"/>
                <w:color w:val="1A1A1A"/>
                <w:sz w:val="18"/>
              </w:rPr>
              <w:t xml:space="preserve">Convenzione; costo per incarico; scenari</w:t>
            </w:r>
          </w:p>
        </w:tc>
      </w:tr>
      <w:tr>
        <w:tc>
          <w:tcPr/>
          <w:p>
            <w:pPr>
              <w:pStyle w:val="Compact"/>
              <w:spacing w:after="40" w:before="40"/>
              <w:jc w:val="left"/>
            </w:pPr>
            <w:r>
              <w:rPr>
                <w:rFonts w:ascii="Cambria" w:hAnsi="Cambria" w:cs="Cambria" w:eastAsia="Cambria"/>
                <w:b/>
                <w:bCs/>
                <w:color w:val="1A1A1A"/>
                <w:sz w:val="18"/>
              </w:rPr>
              <w:t xml:space="preserve">I.4 Caso gestionale: governance e rischi</w:t>
            </w:r>
          </w:p>
        </w:tc>
        <w:tc>
          <w:tcPr/>
          <w:p>
            <w:pPr>
              <w:pStyle w:val="Compact"/>
              <w:spacing w:after="40" w:before="40"/>
              <w:jc w:val="left"/>
            </w:pPr>
            <w:r>
              <w:rPr>
                <w:rFonts w:ascii="Cambria" w:hAnsi="Cambria" w:cs="Cambria" w:eastAsia="Cambria"/>
                <w:color w:val="1A1A1A"/>
                <w:sz w:val="18"/>
              </w:rPr>
              <w:t xml:space="preserve">Osservatorio; registro dei rischi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I.5 Sostenibilità finanziaria</w:t>
            </w:r>
          </w:p>
        </w:tc>
        <w:tc>
          <w:tcPr>
            <w:shd w:val="clear" w:color="auto" w:fill="F4F1EC"/>
          </w:tcPr>
          <w:p>
            <w:pPr>
              <w:pStyle w:val="Compact"/>
              <w:spacing w:after="40" w:before="40"/>
              <w:jc w:val="left"/>
            </w:pPr>
            <w:r>
              <w:rPr>
                <w:rFonts w:ascii="Cambria" w:hAnsi="Cambria" w:cs="Cambria" w:eastAsia="Cambria"/>
                <w:color w:val="1A1A1A"/>
                <w:sz w:val="18"/>
              </w:rPr>
              <w:t xml:space="preserve">Coperture; vincoli di bilancio</w:t>
            </w:r>
          </w:p>
        </w:tc>
      </w:tr>
      <w:tr>
        <w:tc>
          <w:tcPr/>
          <w:p>
            <w:pPr>
              <w:pStyle w:val="Compact"/>
              <w:spacing w:after="40" w:before="40"/>
              <w:jc w:val="left"/>
            </w:pPr>
            <w:r>
              <w:rPr>
                <w:rFonts w:ascii="Cambria" w:hAnsi="Cambria" w:cs="Cambria" w:eastAsia="Cambria"/>
                <w:b/>
                <w:bCs/>
                <w:color w:val="1A1A1A"/>
                <w:sz w:val="18"/>
              </w:rPr>
              <w:t xml:space="preserve">PARTE L — Monitoraggio, valutazione ed ex post</w:t>
            </w:r>
          </w:p>
        </w:tc>
        <w:tc>
          <w:tcPr/>
          <w:p>
            <w:pPr>
              <w:pStyle w:val="Compact"/>
              <w:spacing w:after="40" w:before="40"/>
              <w:jc w:val="left"/>
            </w:pPr>
          </w:p>
        </w:tc>
      </w:tr>
      <w:tr>
        <w:tc>
          <w:tcPr>
            <w:shd w:val="clear" w:color="auto" w:fill="F4F1EC"/>
          </w:tcPr>
          <w:p>
            <w:pPr>
              <w:pStyle w:val="Compact"/>
              <w:spacing w:after="40" w:before="40"/>
              <w:jc w:val="left"/>
            </w:pPr>
            <w:r>
              <w:rPr>
                <w:rFonts w:ascii="Cambria" w:hAnsi="Cambria" w:cs="Cambria" w:eastAsia="Cambria"/>
                <w:b/>
                <w:bCs/>
                <w:color w:val="1A1A1A"/>
                <w:sz w:val="18"/>
              </w:rPr>
              <w:t xml:space="preserve">L.1 Sistema di indicatori</w:t>
            </w:r>
          </w:p>
        </w:tc>
        <w:tc>
          <w:tcPr>
            <w:shd w:val="clear" w:color="auto" w:fill="F4F1EC"/>
          </w:tcPr>
          <w:p>
            <w:pPr>
              <w:pStyle w:val="Compact"/>
              <w:spacing w:after="40" w:before="40"/>
              <w:jc w:val="left"/>
            </w:pPr>
            <w:r>
              <w:rPr>
                <w:rFonts w:ascii="Cambria" w:hAnsi="Cambria" w:cs="Cambria" w:eastAsia="Cambria"/>
                <w:color w:val="1A1A1A"/>
                <w:sz w:val="18"/>
              </w:rPr>
              <w:t xml:space="preserve">Modello di Donabedian, integrato dall’impatto</w:t>
            </w:r>
          </w:p>
        </w:tc>
      </w:tr>
      <w:tr>
        <w:tc>
          <w:tcPr/>
          <w:p>
            <w:pPr>
              <w:pStyle w:val="Compact"/>
              <w:spacing w:after="40" w:before="40"/>
              <w:jc w:val="left"/>
            </w:pPr>
            <w:r>
              <w:rPr>
                <w:rFonts w:ascii="Cambria" w:hAnsi="Cambria" w:cs="Cambria" w:eastAsia="Cambria"/>
                <w:b/>
                <w:bCs/>
                <w:color w:val="1A1A1A"/>
                <w:sz w:val="18"/>
              </w:rPr>
              <w:t xml:space="preserve">L.2 Protocollo di rilevazione e baseline</w:t>
            </w:r>
          </w:p>
        </w:tc>
        <w:tc>
          <w:tcPr/>
          <w:p>
            <w:pPr>
              <w:pStyle w:val="Compact"/>
              <w:spacing w:after="40" w:before="40"/>
              <w:jc w:val="left"/>
            </w:pPr>
            <w:r>
              <w:rPr>
                <w:rFonts w:ascii="Cambria" w:hAnsi="Cambria" w:cs="Cambria" w:eastAsia="Cambria"/>
                <w:color w:val="1A1A1A"/>
                <w:sz w:val="18"/>
              </w:rPr>
              <w:t xml:space="preserve">Dataset minimo; calendario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L.3 Valutazione controfattuale</w:t>
            </w:r>
          </w:p>
        </w:tc>
        <w:tc>
          <w:tcPr>
            <w:shd w:val="clear" w:color="auto" w:fill="F4F1EC"/>
          </w:tcPr>
          <w:p>
            <w:pPr>
              <w:pStyle w:val="Compact"/>
              <w:spacing w:after="40" w:before="40"/>
              <w:jc w:val="left"/>
            </w:pPr>
            <w:r>
              <w:rPr>
                <w:rFonts w:ascii="Cambria" w:hAnsi="Cambria" w:cs="Cambria" w:eastAsia="Cambria"/>
                <w:color w:val="1A1A1A"/>
                <w:sz w:val="18"/>
              </w:rPr>
              <w:t xml:space="preserve">Differenza-nelle-differenze; controllo sintetico</w:t>
            </w:r>
          </w:p>
        </w:tc>
      </w:tr>
      <w:tr>
        <w:tc>
          <w:tcPr/>
          <w:p>
            <w:pPr>
              <w:pStyle w:val="Compact"/>
              <w:spacing w:after="40" w:before="40"/>
              <w:jc w:val="left"/>
            </w:pPr>
            <w:r>
              <w:rPr>
                <w:rFonts w:ascii="Cambria" w:hAnsi="Cambria" w:cs="Cambria" w:eastAsia="Cambria"/>
                <w:b/>
                <w:bCs/>
                <w:color w:val="1A1A1A"/>
                <w:sz w:val="18"/>
              </w:rPr>
              <w:t xml:space="preserve">L.4 Verifica ex post della regolamentazione</w:t>
            </w:r>
          </w:p>
        </w:tc>
        <w:tc>
          <w:tcPr/>
          <w:p>
            <w:pPr>
              <w:pStyle w:val="Compact"/>
              <w:spacing w:after="40" w:before="40"/>
              <w:jc w:val="left"/>
            </w:pPr>
            <w:r>
              <w:rPr>
                <w:rFonts w:ascii="Cambria" w:hAnsi="Cambria" w:cs="Cambria" w:eastAsia="Cambria"/>
                <w:color w:val="1A1A1A"/>
                <w:sz w:val="18"/>
              </w:rPr>
              <w:t xml:space="preserve">DPCM 169/2017; clausola valutativa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L.5 Indicatori compositi e cruscotto</w:t>
            </w:r>
          </w:p>
        </w:tc>
        <w:tc>
          <w:tcPr>
            <w:shd w:val="clear" w:color="auto" w:fill="F4F1EC"/>
          </w:tcPr>
          <w:p>
            <w:pPr>
              <w:pStyle w:val="Compact"/>
              <w:spacing w:after="40" w:before="40"/>
              <w:jc w:val="left"/>
            </w:pPr>
            <w:r>
              <w:rPr>
                <w:rFonts w:ascii="Cambria" w:hAnsi="Cambria" w:cs="Cambria" w:eastAsia="Cambria"/>
                <w:color w:val="1A1A1A"/>
                <w:sz w:val="18"/>
              </w:rPr>
              <w:t xml:space="preserve">Metodo OCSE-JRC</w:t>
            </w:r>
          </w:p>
        </w:tc>
      </w:tr>
      <w:tr>
        <w:tc>
          <w:tcPr/>
          <w:p>
            <w:pPr>
              <w:pStyle w:val="Compact"/>
              <w:spacing w:after="40" w:before="40"/>
              <w:jc w:val="left"/>
            </w:pPr>
            <w:r>
              <w:rPr>
                <w:rFonts w:ascii="Cambria" w:hAnsi="Cambria" w:cs="Cambria" w:eastAsia="Cambria"/>
                <w:b/>
                <w:bCs/>
                <w:color w:val="1A1A1A"/>
                <w:sz w:val="18"/>
              </w:rPr>
              <w:t xml:space="preserve">PARTE M — Sintesi multidimensionale e raccomandazioni (criteri OCSE-DAC; caso strategico)</w:t>
            </w:r>
          </w:p>
        </w:tc>
        <w:tc>
          <w:tcPr/>
          <w:p>
            <w:pPr>
              <w:pStyle w:val="Compact"/>
              <w:spacing w:after="40" w:before="40"/>
              <w:jc w:val="left"/>
            </w:pPr>
          </w:p>
        </w:tc>
      </w:tr>
      <w:tr>
        <w:tc>
          <w:tcPr>
            <w:shd w:val="clear" w:color="auto" w:fill="F4F1EC"/>
          </w:tcPr>
          <w:p>
            <w:pPr>
              <w:pStyle w:val="Compact"/>
              <w:spacing w:after="40" w:before="40"/>
              <w:jc w:val="left"/>
            </w:pPr>
            <w:r>
              <w:rPr>
                <w:rFonts w:ascii="Cambria" w:hAnsi="Cambria" w:cs="Cambria" w:eastAsia="Cambria"/>
                <w:b/>
                <w:bCs/>
                <w:color w:val="1A1A1A"/>
                <w:sz w:val="18"/>
              </w:rPr>
              <w:t xml:space="preserve">M.1 Griglia di valutazione OCSE-DAC</w:t>
            </w:r>
          </w:p>
        </w:tc>
        <w:tc>
          <w:tcPr>
            <w:shd w:val="clear" w:color="auto" w:fill="F4F1EC"/>
          </w:tcPr>
          <w:p>
            <w:pPr>
              <w:pStyle w:val="Compact"/>
              <w:spacing w:after="40" w:before="40"/>
              <w:jc w:val="left"/>
            </w:pPr>
            <w:r>
              <w:rPr>
                <w:rFonts w:ascii="Cambria" w:hAnsi="Cambria" w:cs="Cambria" w:eastAsia="Cambria"/>
                <w:color w:val="1A1A1A"/>
                <w:sz w:val="18"/>
              </w:rPr>
              <w:t xml:space="preserve">Rilevanza, coerenza, efficacia, efficienza, impatto, sostenibilità</w:t>
            </w:r>
          </w:p>
        </w:tc>
      </w:tr>
      <w:tr>
        <w:tc>
          <w:tcPr/>
          <w:p>
            <w:pPr>
              <w:pStyle w:val="Compact"/>
              <w:spacing w:after="40" w:before="40"/>
              <w:jc w:val="left"/>
            </w:pPr>
            <w:r>
              <w:rPr>
                <w:rFonts w:ascii="Cambria" w:hAnsi="Cambria" w:cs="Cambria" w:eastAsia="Cambria"/>
                <w:b/>
                <w:bCs/>
                <w:color w:val="1A1A1A"/>
                <w:sz w:val="18"/>
              </w:rPr>
              <w:t xml:space="preserve">M.2 Analisi multi-criterio</w:t>
            </w:r>
          </w:p>
        </w:tc>
        <w:tc>
          <w:tcPr/>
          <w:p>
            <w:pPr>
              <w:pStyle w:val="Compact"/>
              <w:spacing w:after="40" w:before="40"/>
              <w:jc w:val="left"/>
            </w:pPr>
            <w:r>
              <w:rPr>
                <w:rFonts w:ascii="Cambria" w:hAnsi="Cambria" w:cs="Cambria" w:eastAsia="Cambria"/>
                <w:color w:val="1A1A1A"/>
                <w:sz w:val="18"/>
              </w:rPr>
              <w:t xml:space="preserve">Metodo MCDA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M.3 Sintesi del valore e raccomandazioni</w:t>
            </w:r>
          </w:p>
        </w:tc>
        <w:tc>
          <w:tcPr>
            <w:shd w:val="clear" w:color="auto" w:fill="F4F1EC"/>
          </w:tcPr>
          <w:p>
            <w:pPr>
              <w:pStyle w:val="Compact"/>
              <w:spacing w:after="40" w:before="40"/>
              <w:jc w:val="left"/>
            </w:pPr>
            <w:r>
              <w:rPr>
                <w:rFonts w:ascii="Cambria" w:hAnsi="Cambria" w:cs="Cambria" w:eastAsia="Cambria"/>
                <w:color w:val="1A1A1A"/>
                <w:sz w:val="18"/>
              </w:rPr>
              <w:t xml:space="preserve">Cruscotto decisionale</w:t>
            </w:r>
          </w:p>
        </w:tc>
      </w:tr>
      <w:tr>
        <w:tc>
          <w:tcPr/>
          <w:p>
            <w:pPr>
              <w:pStyle w:val="Compact"/>
              <w:spacing w:after="40" w:before="40"/>
              <w:jc w:val="left"/>
            </w:pPr>
            <w:r>
              <w:rPr>
                <w:rFonts w:ascii="Cambria" w:hAnsi="Cambria" w:cs="Cambria" w:eastAsia="Cambria"/>
                <w:b/>
                <w:bCs/>
                <w:color w:val="1A1A1A"/>
                <w:sz w:val="18"/>
              </w:rPr>
              <w:t xml:space="preserve">M.4 Limiti e agenda di ricerca</w:t>
            </w:r>
          </w:p>
        </w:tc>
        <w:tc>
          <w:tcPr/>
          <w:p>
            <w:pPr>
              <w:pStyle w:val="Compact"/>
              <w:spacing w:after="40" w:before="40"/>
              <w:jc w:val="left"/>
            </w:pPr>
            <w:r>
              <w:rPr>
                <w:rFonts w:ascii="Cambria" w:hAnsi="Cambria" w:cs="Cambria" w:eastAsia="Cambria"/>
                <w:color w:val="1A1A1A"/>
                <w:sz w:val="18"/>
              </w:rPr>
              <w:t xml:space="preserve">Incertezze residue e trasparenza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APPENDICI</w:t>
            </w:r>
          </w:p>
        </w:tc>
        <w:tc>
          <w:tcPr>
            <w:shd w:val="clear" w:color="auto" w:fill="F4F1EC"/>
          </w:tcPr>
          <w:p>
            <w:pPr>
              <w:pStyle w:val="Compact"/>
              <w:spacing w:after="40" w:before="40"/>
              <w:jc w:val="left"/>
            </w:pPr>
          </w:p>
        </w:tc>
      </w:tr>
      <w:tr>
        <w:tc>
          <w:tcPr/>
          <w:p>
            <w:pPr>
              <w:pStyle w:val="Compact"/>
              <w:spacing w:after="40" w:before="40"/>
              <w:jc w:val="left"/>
            </w:pPr>
            <w:r>
              <w:rPr>
                <w:rFonts w:ascii="Cambria" w:hAnsi="Cambria" w:cs="Cambria" w:eastAsia="Cambria"/>
                <w:b/>
                <w:bCs/>
                <w:color w:val="1A1A1A"/>
                <w:sz w:val="18"/>
              </w:rPr>
              <w:t xml:space="preserve">A. Caso di riferimento e parametri</w:t>
            </w:r>
          </w:p>
        </w:tc>
        <w:tc>
          <w:tcPr/>
          <w:p>
            <w:pPr>
              <w:pStyle w:val="Compact"/>
              <w:spacing w:after="40" w:before="40"/>
              <w:jc w:val="left"/>
            </w:pPr>
            <w:r>
              <w:rPr>
                <w:rFonts w:ascii="Cambria" w:hAnsi="Cambria" w:cs="Cambria" w:eastAsia="Cambria"/>
                <w:color w:val="1A1A1A"/>
                <w:sz w:val="18"/>
              </w:rPr>
              <w:t xml:space="preserve">Tavola dei parametri e delle assunzioni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 Strumenti di esito e dataset minimo</w:t>
            </w:r>
          </w:p>
        </w:tc>
        <w:tc>
          <w:tcPr>
            <w:shd w:val="clear" w:color="auto" w:fill="F4F1EC"/>
          </w:tcPr>
          <w:p>
            <w:pPr>
              <w:pStyle w:val="Compact"/>
              <w:spacing w:after="40" w:before="40"/>
              <w:jc w:val="left"/>
            </w:pPr>
            <w:r>
              <w:rPr>
                <w:rFonts w:ascii="Cambria" w:hAnsi="Cambria" w:cs="Cambria" w:eastAsia="Cambria"/>
                <w:color w:val="1A1A1A"/>
                <w:sz w:val="18"/>
              </w:rPr>
              <w:t xml:space="preserve">Questionari e dizionario dei dati</w:t>
            </w:r>
          </w:p>
        </w:tc>
      </w:tr>
      <w:tr>
        <w:tc>
          <w:tcPr/>
          <w:p>
            <w:pPr>
              <w:pStyle w:val="Compact"/>
              <w:spacing w:after="40" w:before="40"/>
              <w:jc w:val="left"/>
            </w:pPr>
            <w:r>
              <w:rPr>
                <w:rFonts w:ascii="Cambria" w:hAnsi="Cambria" w:cs="Cambria" w:eastAsia="Cambria"/>
                <w:b/>
                <w:bCs/>
                <w:color w:val="1A1A1A"/>
                <w:sz w:val="18"/>
              </w:rPr>
              <w:t xml:space="preserve">C. Dati regionali e fonti</w:t>
            </w:r>
          </w:p>
        </w:tc>
        <w:tc>
          <w:tcPr/>
          <w:p>
            <w:pPr>
              <w:pStyle w:val="Compact"/>
              <w:spacing w:after="40" w:before="40"/>
              <w:jc w:val="left"/>
            </w:pPr>
            <w:r>
              <w:rPr>
                <w:rFonts w:ascii="Cambria" w:hAnsi="Cambria" w:cs="Cambria" w:eastAsia="Cambria"/>
                <w:color w:val="1A1A1A"/>
                <w:sz w:val="18"/>
              </w:rPr>
              <w:t xml:space="preserve">Tavole dei dati certificati per Regione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 Checklist di reporting</w:t>
            </w:r>
          </w:p>
        </w:tc>
        <w:tc>
          <w:tcPr>
            <w:shd w:val="clear" w:color="auto" w:fill="F4F1EC"/>
          </w:tcPr>
          <w:p>
            <w:pPr>
              <w:pStyle w:val="Compact"/>
              <w:spacing w:after="40" w:before="40"/>
              <w:jc w:val="left"/>
            </w:pPr>
            <w:r>
              <w:rPr>
                <w:rFonts w:ascii="Cambria" w:hAnsi="Cambria" w:cs="Cambria" w:eastAsia="Cambria"/>
                <w:color w:val="1A1A1A"/>
                <w:sz w:val="18"/>
              </w:rPr>
              <w:t xml:space="preserve">CHEERS, PRISMA, GRADE, STROBE</w:t>
            </w:r>
          </w:p>
        </w:tc>
      </w:tr>
      <w:tr>
        <w:tc>
          <w:tcPr/>
          <w:p>
            <w:pPr>
              <w:pStyle w:val="Compact"/>
              <w:spacing w:after="40" w:before="40"/>
              <w:jc w:val="left"/>
            </w:pPr>
            <w:r>
              <w:rPr>
                <w:rFonts w:ascii="Cambria" w:hAnsi="Cambria" w:cs="Cambria" w:eastAsia="Cambria"/>
                <w:b/>
                <w:bCs/>
                <w:color w:val="1A1A1A"/>
                <w:sz w:val="18"/>
              </w:rPr>
              <w:t xml:space="preserve">E. Glossario</w:t>
            </w:r>
          </w:p>
        </w:tc>
        <w:tc>
          <w:tcPr/>
          <w:p>
            <w:pPr>
              <w:pStyle w:val="Compact"/>
              <w:spacing w:after="40" w:before="40"/>
              <w:jc w:val="left"/>
            </w:pPr>
            <w:r>
              <w:rPr>
                <w:rFonts w:ascii="Cambria" w:hAnsi="Cambria" w:cs="Cambria" w:eastAsia="Cambria"/>
                <w:color w:val="1A1A1A"/>
                <w:sz w:val="18"/>
              </w:rPr>
              <w:t xml:space="preserve">Definizioni dei termini tecnici</w:t>
            </w:r>
          </w:p>
        </w:tc>
      </w:tr>
    </w:tbl>
    <w:p>
      <w:pPr>
        <w:pStyle w:val="BodyText"/>
      </w:pPr>
      <w:r>
        <w:rPr>
          <w:i/>
          <w:iCs/>
        </w:rPr>
        <w:t xml:space="preserve">Tabella 6. Architettura dello studio regionale, parti G-M e appendici (equità, profili, attuazione, valutazione, sintesi).</w:t>
      </w:r>
    </w:p>
    <w:bookmarkEnd w:id="2244"/>
    <w:bookmarkStart w:id="2245" w:name="linnesto-delle-dieci-metodologie"/>
    <w:p>
      <w:pPr>
        <w:pStyle w:val="Heading3"/>
      </w:pPr>
      <w:r>
        <w:t xml:space="preserve">9. L’innesto delle dieci metodologie</w:t>
      </w:r>
    </w:p>
    <w:p>
      <w:pPr>
        <w:pStyle w:val="FirstParagraph"/>
      </w:pPr>
      <w:r>
        <w:t xml:space="preserve">L’architettura definisce le sedi; le metodologie ne riempiono il contenuto analitico. Le dieci selezionate sono innestate ciascuna nella parte di sua competenza, secondo la corrispondenza riportata nella tabella seguente. Non si tratta di un elenco accostato, ma di una distribuzione funzionale: ogni metodologia risponde a una domanda specifica di una parte specifica, e l’insieme copre l’intero arco analitico dello studio, dall’evidenza al giudizio finale.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 nello studio</w:t>
            </w:r>
          </w:p>
        </w:tc>
      </w:tr>
      <w:tr>
        <w:tc>
          <w:tcPr/>
          <w:p>
            <w:pPr>
              <w:pStyle w:val="Compact"/>
              <w:spacing w:after="40" w:before="40"/>
              <w:jc w:val="left"/>
            </w:pPr>
            <w:r>
              <w:rPr>
                <w:rFonts w:ascii="Cambria" w:hAnsi="Cambria" w:cs="Cambria" w:eastAsia="Cambria"/>
                <w:b/>
                <w:bCs/>
                <w:color w:val="1A1A1A"/>
                <w:sz w:val="18"/>
              </w:rPr>
              <w:t xml:space="preserve">Analisi costo-utilità (CUA)</w:t>
            </w:r>
          </w:p>
        </w:tc>
        <w:tc>
          <w:tcPr/>
          <w:p>
            <w:pPr>
              <w:pStyle w:val="Compact"/>
              <w:spacing w:after="40" w:before="40"/>
              <w:jc w:val="left"/>
            </w:pPr>
            <w:r>
              <w:rPr>
                <w:rFonts w:ascii="Cambria" w:hAnsi="Cambria" w:cs="Cambria" w:eastAsia="Cambria"/>
                <w:color w:val="1A1A1A"/>
                <w:sz w:val="18"/>
              </w:rPr>
              <w:t xml:space="preserve">E.3</w:t>
            </w:r>
          </w:p>
        </w:tc>
        <w:tc>
          <w:tcPr/>
          <w:p>
            <w:pPr>
              <w:pStyle w:val="Compact"/>
              <w:spacing w:after="40" w:before="40"/>
              <w:jc w:val="left"/>
            </w:pPr>
            <w:r>
              <w:rPr>
                <w:rFonts w:ascii="Cambria" w:hAnsi="Cambria" w:cs="Cambria" w:eastAsia="Cambria"/>
                <w:color w:val="1A1A1A"/>
                <w:sz w:val="18"/>
              </w:rPr>
              <w:t xml:space="preserve">Costo per esito di salute (QALU/ICER)</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sul bilancio (BIA)</w:t>
            </w:r>
          </w:p>
        </w:tc>
        <w:tc>
          <w:tcPr>
            <w:shd w:val="clear" w:color="auto" w:fill="F4F1EC"/>
          </w:tcPr>
          <w:p>
            <w:pPr>
              <w:pStyle w:val="Compact"/>
              <w:spacing w:after="40" w:before="40"/>
              <w:jc w:val="left"/>
            </w:pPr>
            <w:r>
              <w:rPr>
                <w:rFonts w:ascii="Cambria" w:hAnsi="Cambria" w:cs="Cambria" w:eastAsia="Cambria"/>
                <w:color w:val="1A1A1A"/>
                <w:sz w:val="18"/>
              </w:rPr>
              <w:t xml:space="preserve">E.4</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w:t>
            </w:r>
          </w:p>
        </w:tc>
      </w:tr>
      <w:tr>
        <w:tc>
          <w:tcPr/>
          <w:p>
            <w:pPr>
              <w:pStyle w:val="Compact"/>
              <w:spacing w:after="40" w:before="40"/>
              <w:jc w:val="left"/>
            </w:pPr>
            <w:r>
              <w:rPr>
                <w:rFonts w:ascii="Cambria" w:hAnsi="Cambria" w:cs="Cambria" w:eastAsia="Cambria"/>
                <w:b/>
                <w:bCs/>
                <w:color w:val="1A1A1A"/>
                <w:sz w:val="18"/>
              </w:rPr>
              <w:t xml:space="preserve">Ritorno sociale (SROI)</w:t>
            </w:r>
          </w:p>
        </w:tc>
        <w:tc>
          <w:tcPr/>
          <w:p>
            <w:pPr>
              <w:pStyle w:val="Compact"/>
              <w:spacing w:after="40" w:before="40"/>
              <w:jc w:val="left"/>
            </w:pPr>
            <w:r>
              <w:rPr>
                <w:rFonts w:ascii="Cambria" w:hAnsi="Cambria" w:cs="Cambria" w:eastAsia="Cambria"/>
                <w:color w:val="1A1A1A"/>
                <w:sz w:val="18"/>
              </w:rPr>
              <w:t xml:space="preserve">E.5</w:t>
            </w:r>
          </w:p>
        </w:tc>
        <w:tc>
          <w:tcPr/>
          <w:p>
            <w:pPr>
              <w:pStyle w:val="Compact"/>
              <w:spacing w:after="40" w:before="40"/>
              <w:jc w:val="left"/>
            </w:pPr>
            <w:r>
              <w:rPr>
                <w:rFonts w:ascii="Cambria" w:hAnsi="Cambria" w:cs="Cambria" w:eastAsia="Cambria"/>
                <w:color w:val="1A1A1A"/>
                <w:sz w:val="18"/>
              </w:rPr>
              <w:t xml:space="preserve">Valore sociale monetizzato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F.1</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F.4-F.5</w:t>
            </w:r>
          </w:p>
        </w:tc>
        <w:tc>
          <w:tcPr/>
          <w:p>
            <w:pPr>
              <w:pStyle w:val="Compact"/>
              <w:spacing w:after="40" w:before="40"/>
              <w:jc w:val="left"/>
            </w:pPr>
            <w:r>
              <w:rPr>
                <w:rFonts w:ascii="Cambria" w:hAnsi="Cambria" w:cs="Cambria" w:eastAsia="Cambria"/>
                <w:color w:val="1A1A1A"/>
                <w:sz w:val="18"/>
              </w:rPr>
              <w:t xml:space="preserve">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 (DCEA)</w:t>
            </w:r>
          </w:p>
        </w:tc>
        <w:tc>
          <w:tcPr>
            <w:shd w:val="clear" w:color="auto" w:fill="F4F1EC"/>
          </w:tcPr>
          <w:p>
            <w:pPr>
              <w:pStyle w:val="Compact"/>
              <w:spacing w:after="40" w:before="40"/>
              <w:jc w:val="left"/>
            </w:pPr>
            <w:r>
              <w:rPr>
                <w:rFonts w:ascii="Cambria" w:hAnsi="Cambria" w:cs="Cambria" w:eastAsia="Cambria"/>
                <w:color w:val="1A1A1A"/>
                <w:sz w:val="18"/>
              </w:rPr>
              <w:t xml:space="preserve">G.2</w:t>
            </w:r>
          </w:p>
        </w:tc>
        <w:tc>
          <w:tcPr>
            <w:shd w:val="clear" w:color="auto" w:fill="F4F1EC"/>
          </w:tcPr>
          <w:p>
            <w:pPr>
              <w:pStyle w:val="Compact"/>
              <w:spacing w:after="40" w:before="40"/>
              <w:jc w:val="left"/>
            </w:pPr>
            <w:r>
              <w:rPr>
                <w:rFonts w:ascii="Cambria" w:hAnsi="Cambria" w:cs="Cambria" w:eastAsia="Cambria"/>
                <w:color w:val="1A1A1A"/>
                <w:sz w:val="18"/>
              </w:rPr>
              <w:t xml:space="preserve">Equità e impatto distributivo</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L.3</w:t>
            </w:r>
          </w:p>
        </w:tc>
        <w:tc>
          <w:tcPr/>
          <w:p>
            <w:pPr>
              <w:pStyle w:val="Compact"/>
              <w:spacing w:after="40" w:before="40"/>
              <w:jc w:val="left"/>
            </w:pPr>
            <w:r>
              <w:rPr>
                <w:rFonts w:ascii="Cambria" w:hAnsi="Cambria" w:cs="Cambria" w:eastAsia="Cambria"/>
                <w:color w:val="1A1A1A"/>
                <w:sz w:val="18"/>
              </w:rPr>
              <w:t xml:space="preserve">Effetto reale dell’intervento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GRADE</w:t>
            </w:r>
          </w:p>
        </w:tc>
        <w:tc>
          <w:tcPr>
            <w:shd w:val="clear" w:color="auto" w:fill="F4F1EC"/>
          </w:tcPr>
          <w:p>
            <w:pPr>
              <w:pStyle w:val="Compact"/>
              <w:spacing w:after="40" w:before="40"/>
              <w:jc w:val="left"/>
            </w:pPr>
            <w:r>
              <w:rPr>
                <w:rFonts w:ascii="Cambria" w:hAnsi="Cambria" w:cs="Cambria" w:eastAsia="Cambria"/>
                <w:color w:val="1A1A1A"/>
                <w:sz w:val="18"/>
              </w:rPr>
              <w:t xml:space="preserve">D.1-D.2</w:t>
            </w:r>
          </w:p>
        </w:tc>
        <w:tc>
          <w:tcPr>
            <w:shd w:val="clear" w:color="auto" w:fill="F4F1EC"/>
          </w:tcPr>
          <w:p>
            <w:pPr>
              <w:pStyle w:val="Compact"/>
              <w:spacing w:after="40" w:before="40"/>
              <w:jc w:val="left"/>
            </w:pPr>
            <w:r>
              <w:rPr>
                <w:rFonts w:ascii="Cambria" w:hAnsi="Cambria" w:cs="Cambria" w:eastAsia="Cambria"/>
                <w:color w:val="1A1A1A"/>
                <w:sz w:val="18"/>
              </w:rPr>
              <w:t xml:space="preserve">Sintesi e certezza dell’evidenza</w:t>
            </w:r>
          </w:p>
        </w:tc>
      </w:tr>
      <w:tr>
        <w:tc>
          <w:tcPr/>
          <w:p>
            <w:pPr>
              <w:pStyle w:val="Compact"/>
              <w:spacing w:after="40" w:before="40"/>
              <w:jc w:val="left"/>
            </w:pPr>
            <w:r>
              <w:rPr>
                <w:rFonts w:ascii="Cambria" w:hAnsi="Cambria" w:cs="Cambria" w:eastAsia="Cambria"/>
                <w:b/>
                <w:bCs/>
                <w:color w:val="1A1A1A"/>
                <w:sz w:val="18"/>
              </w:rPr>
              <w:t xml:space="preserve">Analisi di impatto della regolazione (AIR/VIR)</w:t>
            </w:r>
          </w:p>
        </w:tc>
        <w:tc>
          <w:tcPr/>
          <w:p>
            <w:pPr>
              <w:pStyle w:val="Compact"/>
              <w:spacing w:after="40" w:before="40"/>
              <w:jc w:val="left"/>
            </w:pPr>
            <w:r>
              <w:rPr>
                <w:rFonts w:ascii="Cambria" w:hAnsi="Cambria" w:cs="Cambria" w:eastAsia="Cambria"/>
                <w:color w:val="1A1A1A"/>
                <w:sz w:val="18"/>
              </w:rPr>
              <w:t xml:space="preserve">L.4, M.1</w:t>
            </w:r>
          </w:p>
        </w:tc>
        <w:tc>
          <w:tcPr/>
          <w:p>
            <w:pPr>
              <w:pStyle w:val="Compact"/>
              <w:spacing w:after="40" w:before="40"/>
              <w:jc w:val="left"/>
            </w:pPr>
            <w:r>
              <w:rPr>
                <w:rFonts w:ascii="Cambria" w:hAnsi="Cambria" w:cs="Cambria" w:eastAsia="Cambria"/>
                <w:color w:val="1A1A1A"/>
                <w:sz w:val="18"/>
              </w:rPr>
              <w:t xml:space="preserve">Valutazione ex ante ed ex post</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multi-criterio (MCDA)</w:t>
            </w:r>
          </w:p>
        </w:tc>
        <w:tc>
          <w:tcPr>
            <w:shd w:val="clear" w:color="auto" w:fill="F4F1EC"/>
          </w:tcPr>
          <w:p>
            <w:pPr>
              <w:pStyle w:val="Compact"/>
              <w:spacing w:after="40" w:before="40"/>
              <w:jc w:val="left"/>
            </w:pPr>
            <w:r>
              <w:rPr>
                <w:rFonts w:ascii="Cambria" w:hAnsi="Cambria" w:cs="Cambria" w:eastAsia="Cambria"/>
                <w:color w:val="1A1A1A"/>
                <w:sz w:val="18"/>
              </w:rPr>
              <w:t xml:space="preserve">M.2</w:t>
            </w:r>
          </w:p>
        </w:tc>
        <w:tc>
          <w:tcPr>
            <w:shd w:val="clear" w:color="auto" w:fill="F4F1EC"/>
          </w:tcPr>
          <w:p>
            <w:pPr>
              <w:pStyle w:val="Compact"/>
              <w:spacing w:after="40" w:before="40"/>
              <w:jc w:val="left"/>
            </w:pPr>
            <w:r>
              <w:rPr>
                <w:rFonts w:ascii="Cambria" w:hAnsi="Cambria" w:cs="Cambria" w:eastAsia="Cambria"/>
                <w:color w:val="1A1A1A"/>
                <w:sz w:val="18"/>
              </w:rPr>
              <w:t xml:space="preserve">Sintesi dei criteri non monetari</w:t>
            </w:r>
          </w:p>
        </w:tc>
      </w:tr>
    </w:tbl>
    <w:p>
      <w:pPr>
        <w:pStyle w:val="BodyText"/>
      </w:pPr>
      <w:r>
        <w:rPr>
          <w:i/>
          <w:iCs/>
        </w:rPr>
        <w:t xml:space="preserve">Tabella 7. L</w:t>
      </w:r>
      <w:r>
        <w:rPr>
          <w:b/>
          <w:bCs/>
          <w:i/>
          <w:iCs/>
        </w:rPr>
        <w:t xml:space="preserve">’</w:t>
      </w:r>
      <w:r>
        <w:rPr>
          <w:i/>
          <w:iCs/>
        </w:rPr>
        <w:t xml:space="preserve">innesto delle dieci metodologie nelle parti dello studio.</w:t>
      </w:r>
    </w:p>
    <w:p>
      <w:pPr>
        <w:pStyle w:val="BodyText"/>
      </w:pPr>
      <w:r>
        <w:t xml:space="preserve">Le metodologie poggiano sugli standard di buona pratica che le governano: la valutazione economica sul caso di riferimento del Secondo Panel e sulle buone pratiche ISPOR per l’impatto sul bilancio; la modellazione sulle buone pratiche ISPOR-SMDM, integrate dal valore dell’informazione; l’equità sulla costo-efficacia distributiva; la stima causale sui disegni controfattuali; la sintesi sull’analisi multi-criterio; la misurazione sul modello di Donabedian e sugli indicatori compositi.</w:t>
      </w:r>
    </w:p>
    <w:bookmarkEnd w:id="2245"/>
    <w:bookmarkEnd w:id="2246"/>
    <w:bookmarkStart w:id="2251" w:name="X72e704065ba5765f615795339aab5a212fe87a2"/>
    <w:p>
      <w:pPr>
        <w:pStyle w:val="Heading2"/>
      </w:pPr>
      <w:r>
        <w:t xml:space="preserve">Parte IV — Il quadro metodologico comune e la generalizzazione</w:t>
      </w:r>
    </w:p>
    <w:bookmarkStart w:id="2247" w:name="il-caso-di-riferimento-comune"/>
    <w:p>
      <w:pPr>
        <w:pStyle w:val="Heading3"/>
      </w:pPr>
      <w:r>
        <w:t xml:space="preserve">10. Il caso di riferimento comune</w:t>
      </w:r>
    </w:p>
    <w:p>
      <w:pPr>
        <w:pStyle w:val="FirstParagraph"/>
      </w:pPr>
      <w:r>
        <w:t xml:space="preserve">Il caso di riferimento è l’insieme delle scelte metodologiche di base che, fissate una volta per tutte le regioni, rendono i risultati confrontabili nel tempo e nello spazio. Esso adotta la doppia prospettiva del Servizio sanitario regionale e della società — distinguendo, come prescrivono il Secondo Panel e il Five Case Model, i risparmi diretti per il bilancio dalle ricadute per la collettività — un orizzonte pluriennale o di intera vita per gli esiti e triennale-quinquennale per il bilancio, un tasso di sconto del 3% annuo, gli anni di vita ponderati per la qualità ed esiti clinici validati come misure, e il servizio attuale come comparatore.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di riferimento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Servizio attuale o assenza del servizio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azienda/distretto</w:t>
            </w:r>
          </w:p>
        </w:tc>
      </w:tr>
    </w:tbl>
    <w:p>
      <w:pPr>
        <w:pStyle w:val="BodyText"/>
      </w:pPr>
      <w:r>
        <w:rPr>
          <w:i/>
          <w:iCs/>
        </w:rPr>
        <w:t xml:space="preserve">Tabella 8. Il caso di riferimento comune a tutte le valutazioni regionali.</w:t>
      </w:r>
    </w:p>
    <w:bookmarkEnd w:id="2247"/>
    <w:bookmarkStart w:id="2248" w:name="gli-standard-di-reporting-e-di-qualità"/>
    <w:p>
      <w:pPr>
        <w:pStyle w:val="Heading3"/>
      </w:pPr>
      <w:r>
        <w:t xml:space="preserve">11. Gli standard di reporting e di qualità</w:t>
      </w:r>
    </w:p>
    <w:p>
      <w:pPr>
        <w:pStyle w:val="FirstParagraph"/>
      </w:pPr>
      <w:r>
        <w:t xml:space="preserve">A garanzia di trasparenza e riproducibilità, ogni studio regionale è redatto secondo le liste di controllo riconosciute, allegate in appendice e verificate prima della pubblicazione. La parte economica segue lo standard CHEERS; la sintesi dell’evidenza, le liste PRISMA e GRADE; gli studi sui dati reali, la lista STROBE; la modellazione, le buone pratiche ISPOR-SMDM. L’adesione a questi standard non è un vincolo formale, ma la condizione perché lo studio sia accolto come prova e non come opinione, specie di fronte agli organi di controllo della finanza pubblica.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Standard</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Uso</w:t>
            </w:r>
          </w:p>
        </w:tc>
      </w:tr>
      <w:tr>
        <w:tc>
          <w:tcPr/>
          <w:p>
            <w:pPr>
              <w:pStyle w:val="Compact"/>
              <w:spacing w:after="40" w:before="40"/>
              <w:jc w:val="left"/>
            </w:pPr>
            <w:r>
              <w:rPr>
                <w:rFonts w:ascii="Cambria" w:hAnsi="Cambria" w:cs="Cambria" w:eastAsia="Cambria"/>
                <w:b/>
                <w:bCs/>
                <w:color w:val="1A1A1A"/>
                <w:sz w:val="18"/>
              </w:rPr>
              <w:t xml:space="preserve">CHEERS 2022</w:t>
            </w:r>
          </w:p>
        </w:tc>
        <w:tc>
          <w:tcPr/>
          <w:p>
            <w:pPr>
              <w:pStyle w:val="Compact"/>
              <w:spacing w:after="40" w:before="40"/>
              <w:jc w:val="left"/>
            </w:pPr>
            <w:r>
              <w:rPr>
                <w:rFonts w:ascii="Cambria" w:hAnsi="Cambria" w:cs="Cambria" w:eastAsia="Cambria"/>
                <w:color w:val="1A1A1A"/>
                <w:sz w:val="18"/>
              </w:rPr>
              <w:t xml:space="preserve">Valutazione economica</w:t>
            </w:r>
          </w:p>
        </w:tc>
        <w:tc>
          <w:tcPr/>
          <w:p>
            <w:pPr>
              <w:pStyle w:val="Compact"/>
              <w:spacing w:after="40" w:before="40"/>
              <w:jc w:val="left"/>
            </w:pPr>
            <w:r>
              <w:rPr>
                <w:rFonts w:ascii="Cambria" w:hAnsi="Cambria" w:cs="Cambria" w:eastAsia="Cambria"/>
                <w:color w:val="1A1A1A"/>
                <w:sz w:val="18"/>
              </w:rPr>
              <w:t xml:space="preserve">Lista del reporting economico (ventotto voci)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PRISMA 2020</w:t>
            </w:r>
          </w:p>
        </w:tc>
        <w:tc>
          <w:tcPr>
            <w:shd w:val="clear" w:color="auto" w:fill="F4F1EC"/>
          </w:tcPr>
          <w:p>
            <w:pPr>
              <w:pStyle w:val="Compact"/>
              <w:spacing w:after="40" w:before="40"/>
              <w:jc w:val="left"/>
            </w:pPr>
            <w:r>
              <w:rPr>
                <w:rFonts w:ascii="Cambria" w:hAnsi="Cambria" w:cs="Cambria" w:eastAsia="Cambria"/>
                <w:color w:val="1A1A1A"/>
                <w:sz w:val="18"/>
              </w:rPr>
              <w:t xml:space="preserve">Revisione sistematica</w:t>
            </w:r>
          </w:p>
        </w:tc>
        <w:tc>
          <w:tcPr>
            <w:shd w:val="clear" w:color="auto" w:fill="F4F1EC"/>
          </w:tcPr>
          <w:p>
            <w:pPr>
              <w:pStyle w:val="Compact"/>
              <w:spacing w:after="40" w:before="40"/>
              <w:jc w:val="left"/>
            </w:pPr>
            <w:r>
              <w:rPr>
                <w:rFonts w:ascii="Cambria" w:hAnsi="Cambria" w:cs="Cambria" w:eastAsia="Cambria"/>
                <w:color w:val="1A1A1A"/>
                <w:sz w:val="18"/>
              </w:rPr>
              <w:t xml:space="preserve">Trasparenza della sintesi dell’evidenza</w:t>
            </w:r>
          </w:p>
        </w:tc>
      </w:tr>
      <w:tr>
        <w:tc>
          <w:tcPr/>
          <w:p>
            <w:pPr>
              <w:pStyle w:val="Compact"/>
              <w:spacing w:after="40" w:before="40"/>
              <w:jc w:val="left"/>
            </w:pPr>
            <w:r>
              <w:rPr>
                <w:rFonts w:ascii="Cambria" w:hAnsi="Cambria" w:cs="Cambria" w:eastAsia="Cambria"/>
                <w:b/>
                <w:bCs/>
                <w:color w:val="1A1A1A"/>
                <w:sz w:val="18"/>
              </w:rPr>
              <w:t xml:space="preserve">GRADE</w:t>
            </w:r>
          </w:p>
        </w:tc>
        <w:tc>
          <w:tcPr/>
          <w:p>
            <w:pPr>
              <w:pStyle w:val="Compact"/>
              <w:spacing w:after="40" w:before="40"/>
              <w:jc w:val="left"/>
            </w:pPr>
            <w:r>
              <w:rPr>
                <w:rFonts w:ascii="Cambria" w:hAnsi="Cambria" w:cs="Cambria" w:eastAsia="Cambria"/>
                <w:color w:val="1A1A1A"/>
                <w:sz w:val="18"/>
              </w:rPr>
              <w:t xml:space="preserve">Certezza dell’evidenza</w:t>
            </w:r>
          </w:p>
        </w:tc>
        <w:tc>
          <w:tcPr/>
          <w:p>
            <w:pPr>
              <w:pStyle w:val="Compact"/>
              <w:spacing w:after="40" w:before="40"/>
              <w:jc w:val="left"/>
            </w:pPr>
            <w:r>
              <w:rPr>
                <w:rFonts w:ascii="Cambria" w:hAnsi="Cambria" w:cs="Cambria" w:eastAsia="Cambria"/>
                <w:color w:val="1A1A1A"/>
                <w:sz w:val="18"/>
              </w:rPr>
              <w:t xml:space="preserve">Graduazione della fiducia nei risultati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STROBE</w:t>
            </w:r>
          </w:p>
        </w:tc>
        <w:tc>
          <w:tcPr>
            <w:shd w:val="clear" w:color="auto" w:fill="F4F1EC"/>
          </w:tcPr>
          <w:p>
            <w:pPr>
              <w:pStyle w:val="Compact"/>
              <w:spacing w:after="40" w:before="40"/>
              <w:jc w:val="left"/>
            </w:pPr>
            <w:r>
              <w:rPr>
                <w:rFonts w:ascii="Cambria" w:hAnsi="Cambria" w:cs="Cambria" w:eastAsia="Cambria"/>
                <w:color w:val="1A1A1A"/>
                <w:sz w:val="18"/>
              </w:rPr>
              <w:t xml:space="preserve">Studi osservazionali</w:t>
            </w:r>
          </w:p>
        </w:tc>
        <w:tc>
          <w:tcPr>
            <w:shd w:val="clear" w:color="auto" w:fill="F4F1EC"/>
          </w:tcPr>
          <w:p>
            <w:pPr>
              <w:pStyle w:val="Compact"/>
              <w:spacing w:after="40" w:before="40"/>
              <w:jc w:val="left"/>
            </w:pPr>
            <w:r>
              <w:rPr>
                <w:rFonts w:ascii="Cambria" w:hAnsi="Cambria" w:cs="Cambria" w:eastAsia="Cambria"/>
                <w:color w:val="1A1A1A"/>
                <w:sz w:val="18"/>
              </w:rPr>
              <w:t xml:space="preserve">Reporting degli studi sui dati reali</w:t>
            </w:r>
          </w:p>
        </w:tc>
      </w:tr>
      <w:tr>
        <w:tc>
          <w:tcPr/>
          <w:p>
            <w:pPr>
              <w:pStyle w:val="Compact"/>
              <w:spacing w:after="40" w:before="40"/>
              <w:jc w:val="left"/>
            </w:pPr>
            <w:r>
              <w:rPr>
                <w:rFonts w:ascii="Cambria" w:hAnsi="Cambria" w:cs="Cambria" w:eastAsia="Cambria"/>
                <w:b/>
                <w:bCs/>
                <w:color w:val="1A1A1A"/>
                <w:sz w:val="18"/>
              </w:rPr>
              <w:t xml:space="preserve">ISPOR-SMDM</w:t>
            </w:r>
          </w:p>
        </w:tc>
        <w:tc>
          <w:tcPr/>
          <w:p>
            <w:pPr>
              <w:pStyle w:val="Compact"/>
              <w:spacing w:after="40" w:before="40"/>
              <w:jc w:val="left"/>
            </w:pPr>
            <w:r>
              <w:rPr>
                <w:rFonts w:ascii="Cambria" w:hAnsi="Cambria" w:cs="Cambria" w:eastAsia="Cambria"/>
                <w:color w:val="1A1A1A"/>
                <w:sz w:val="18"/>
              </w:rPr>
              <w:t xml:space="preserve">Modellazione</w:t>
            </w:r>
          </w:p>
        </w:tc>
        <w:tc>
          <w:tcPr/>
          <w:p>
            <w:pPr>
              <w:pStyle w:val="Compact"/>
              <w:spacing w:after="40" w:before="40"/>
              <w:jc w:val="left"/>
            </w:pPr>
            <w:r>
              <w:rPr>
                <w:rFonts w:ascii="Cambria" w:hAnsi="Cambria" w:cs="Cambria" w:eastAsia="Cambria"/>
                <w:color w:val="1A1A1A"/>
                <w:sz w:val="18"/>
              </w:rPr>
              <w:t xml:space="preserve">Buona pratica nei modelli decisionali</w:t>
            </w:r>
          </w:p>
        </w:tc>
      </w:tr>
    </w:tbl>
    <w:p>
      <w:pPr>
        <w:pStyle w:val="BodyText"/>
      </w:pPr>
      <w:r>
        <w:rPr>
          <w:i/>
          <w:iCs/>
        </w:rPr>
        <w:t xml:space="preserve">Tabella 9. Le liste di controllo del reporting e della qualità adottate in ogni studio regionale.</w:t>
      </w:r>
    </w:p>
    <w:bookmarkEnd w:id="2248"/>
    <w:bookmarkStart w:id="2249" w:name="la-generalizzazione-a-tutte-le-regioni"/>
    <w:p>
      <w:pPr>
        <w:pStyle w:val="Heading3"/>
      </w:pPr>
      <w:r>
        <w:t xml:space="preserve">12. La generalizzazione a tutte le Regioni</w:t>
      </w:r>
    </w:p>
    <w:p>
      <w:pPr>
        <w:pStyle w:val="FirstParagraph"/>
      </w:pPr>
      <w:r>
        <w:t xml:space="preserve">La forza del telaio sta nella separazione tra ciò che è fisso e ciò che varia. Sono fissi e comuni a tutte le regioni l’architettura, le quattro cornici, il caso di riferimento, le dieci metodologie e gli standard di reporting; varia il solo insieme dei dati di ingresso, che ciascuna regione fornisce dai propri flussi certificati. In questo modo i risultati regionali sono tra loro confrontabili, perché prodotti con lo stesso procedimento, e insieme aderenti alla realtà di ciascuna regione, perché fondati sui suoi dati. La tabella seguente elenca i dati di ingresso che ogni regione deve fornire; tutto il resto dell’impianto è già stabilito da questo telaio.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Dato di ingresso</w:t>
            </w:r>
          </w:p>
        </w:tc>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r>
      <w:tr>
        <w:tc>
          <w:tcPr/>
          <w:p>
            <w:pPr>
              <w:pStyle w:val="Compact"/>
              <w:spacing w:after="40" w:before="40"/>
              <w:jc w:val="left"/>
            </w:pPr>
            <w:r>
              <w:rPr>
                <w:rFonts w:ascii="Cambria" w:hAnsi="Cambria" w:cs="Cambria" w:eastAsia="Cambria"/>
                <w:b/>
                <w:bCs/>
                <w:color w:val="1A1A1A"/>
                <w:sz w:val="18"/>
              </w:rPr>
              <w:t xml:space="preserve">Demografia</w:t>
            </w:r>
          </w:p>
        </w:tc>
        <w:tc>
          <w:tcPr/>
          <w:p>
            <w:pPr>
              <w:pStyle w:val="Compact"/>
              <w:spacing w:after="40" w:before="40"/>
              <w:jc w:val="left"/>
            </w:pPr>
            <w:r>
              <w:rPr>
                <w:rFonts w:ascii="Cambria" w:hAnsi="Cambria" w:cs="Cambria" w:eastAsia="Cambria"/>
                <w:color w:val="1A1A1A"/>
                <w:sz w:val="18"/>
              </w:rPr>
              <w:t xml:space="preserve">Popolazione per età, azienda e distretto</w:t>
            </w:r>
          </w:p>
        </w:tc>
        <w:tc>
          <w:tcPr/>
          <w:p>
            <w:pPr>
              <w:pStyle w:val="Compact"/>
              <w:spacing w:after="40" w:before="40"/>
              <w:jc w:val="left"/>
            </w:pPr>
            <w:r>
              <w:rPr>
                <w:rFonts w:ascii="Cambria" w:hAnsi="Cambria" w:cs="Cambria" w:eastAsia="Cambria"/>
                <w:color w:val="1A1A1A"/>
                <w:sz w:val="18"/>
              </w:rPr>
              <w:t xml:space="preserve">Istituti di statistica e anagrafi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Conti sanitari</w:t>
            </w:r>
          </w:p>
        </w:tc>
        <w:tc>
          <w:tcPr>
            <w:shd w:val="clear" w:color="auto" w:fill="F4F1EC"/>
          </w:tcPr>
          <w:p>
            <w:pPr>
              <w:pStyle w:val="Compact"/>
              <w:spacing w:after="40" w:before="40"/>
              <w:jc w:val="left"/>
            </w:pPr>
            <w:r>
              <w:rPr>
                <w:rFonts w:ascii="Cambria" w:hAnsi="Cambria" w:cs="Cambria" w:eastAsia="Cambria"/>
                <w:color w:val="1A1A1A"/>
                <w:sz w:val="18"/>
              </w:rPr>
              <w:t xml:space="preserve">Spesa per voce</w:t>
            </w:r>
          </w:p>
        </w:tc>
        <w:tc>
          <w:tcPr>
            <w:shd w:val="clear" w:color="auto" w:fill="F4F1EC"/>
          </w:tcPr>
          <w:p>
            <w:pPr>
              <w:pStyle w:val="Compact"/>
              <w:spacing w:after="40" w:before="40"/>
              <w:jc w:val="left"/>
            </w:pPr>
            <w:r>
              <w:rPr>
                <w:rFonts w:ascii="Cambria" w:hAnsi="Cambria" w:cs="Cambria" w:eastAsia="Cambria"/>
                <w:color w:val="1A1A1A"/>
                <w:sz w:val="18"/>
              </w:rPr>
              <w:t xml:space="preserve">Bilanci di esercizio e modelli ministeriali</w:t>
            </w:r>
          </w:p>
        </w:tc>
      </w:tr>
      <w:tr>
        <w:tc>
          <w:tcPr/>
          <w:p>
            <w:pPr>
              <w:pStyle w:val="Compact"/>
              <w:spacing w:after="40" w:before="40"/>
              <w:jc w:val="left"/>
            </w:pPr>
            <w:r>
              <w:rPr>
                <w:rFonts w:ascii="Cambria" w:hAnsi="Cambria" w:cs="Cambria" w:eastAsia="Cambria"/>
                <w:b/>
                <w:bCs/>
                <w:color w:val="1A1A1A"/>
                <w:sz w:val="18"/>
              </w:rPr>
              <w:t xml:space="preserve">Ricoveri</w:t>
            </w:r>
          </w:p>
        </w:tc>
        <w:tc>
          <w:tcPr/>
          <w:p>
            <w:pPr>
              <w:pStyle w:val="Compact"/>
              <w:spacing w:after="40" w:before="40"/>
              <w:jc w:val="left"/>
            </w:pPr>
            <w:r>
              <w:rPr>
                <w:rFonts w:ascii="Cambria" w:hAnsi="Cambria" w:cs="Cambria" w:eastAsia="Cambria"/>
                <w:color w:val="1A1A1A"/>
                <w:sz w:val="18"/>
              </w:rPr>
              <w:t xml:space="preserve">Dimissioni psichiatriche e relativo costo</w:t>
            </w:r>
          </w:p>
        </w:tc>
        <w:tc>
          <w:tcPr/>
          <w:p>
            <w:pPr>
              <w:pStyle w:val="Compact"/>
              <w:spacing w:after="40" w:before="40"/>
              <w:jc w:val="left"/>
            </w:pPr>
            <w:r>
              <w:rPr>
                <w:rFonts w:ascii="Cambria" w:hAnsi="Cambria" w:cs="Cambria" w:eastAsia="Cambria"/>
                <w:color w:val="1A1A1A"/>
                <w:sz w:val="18"/>
              </w:rPr>
              <w:t xml:space="preserve">Flusso delle schede di dimissione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w:t>
            </w:r>
          </w:p>
        </w:tc>
        <w:tc>
          <w:tcPr>
            <w:shd w:val="clear" w:color="auto" w:fill="F4F1EC"/>
          </w:tcPr>
          <w:p>
            <w:pPr>
              <w:pStyle w:val="Compact"/>
              <w:spacing w:after="40" w:before="40"/>
              <w:jc w:val="left"/>
            </w:pPr>
            <w:r>
              <w:rPr>
                <w:rFonts w:ascii="Cambria" w:hAnsi="Cambria" w:cs="Cambria" w:eastAsia="Cambria"/>
                <w:color w:val="1A1A1A"/>
                <w:sz w:val="18"/>
              </w:rPr>
              <w:t xml:space="preserve">Composizione per disciplina</w:t>
            </w:r>
          </w:p>
        </w:tc>
        <w:tc>
          <w:tcPr>
            <w:shd w:val="clear" w:color="auto" w:fill="F4F1EC"/>
          </w:tcPr>
          <w:p>
            <w:pPr>
              <w:pStyle w:val="Compact"/>
              <w:spacing w:after="40" w:before="40"/>
              <w:jc w:val="left"/>
            </w:pPr>
            <w:r>
              <w:rPr>
                <w:rFonts w:ascii="Cambria" w:hAnsi="Cambria" w:cs="Cambria" w:eastAsia="Cambria"/>
                <w:color w:val="1A1A1A"/>
                <w:sz w:val="18"/>
              </w:rPr>
              <w:t xml:space="preserve">Flussi di mobilità interregionale</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Consumo e spesa dei farmaci psichiatrici</w:t>
            </w:r>
          </w:p>
        </w:tc>
        <w:tc>
          <w:tcPr/>
          <w:p>
            <w:pPr>
              <w:pStyle w:val="Compact"/>
              <w:spacing w:after="40" w:before="40"/>
              <w:jc w:val="left"/>
            </w:pPr>
            <w:r>
              <w:rPr>
                <w:rFonts w:ascii="Cambria" w:hAnsi="Cambria" w:cs="Cambria" w:eastAsia="Cambria"/>
                <w:color w:val="1A1A1A"/>
                <w:sz w:val="18"/>
              </w:rPr>
              <w:t xml:space="preserve">Flusso farmaceutico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Emergenza</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per causa</w:t>
            </w:r>
          </w:p>
        </w:tc>
        <w:tc>
          <w:tcPr>
            <w:shd w:val="clear" w:color="auto" w:fill="F4F1EC"/>
          </w:tcPr>
          <w:p>
            <w:pPr>
              <w:pStyle w:val="Compact"/>
              <w:spacing w:after="40" w:before="40"/>
              <w:jc w:val="left"/>
            </w:pPr>
            <w:r>
              <w:rPr>
                <w:rFonts w:ascii="Cambria" w:hAnsi="Cambria" w:cs="Cambria" w:eastAsia="Cambria"/>
                <w:color w:val="1A1A1A"/>
                <w:sz w:val="18"/>
              </w:rPr>
              <w:t xml:space="preserve">Flusso dell’emergenza-urgenza</w:t>
            </w:r>
          </w:p>
        </w:tc>
      </w:tr>
      <w:tr>
        <w:tc>
          <w:tcPr/>
          <w:p>
            <w:pPr>
              <w:pStyle w:val="Compact"/>
              <w:spacing w:after="40" w:before="40"/>
              <w:jc w:val="left"/>
            </w:pPr>
            <w:r>
              <w:rPr>
                <w:rFonts w:ascii="Cambria" w:hAnsi="Cambria" w:cs="Cambria" w:eastAsia="Cambria"/>
                <w:b/>
                <w:bCs/>
                <w:color w:val="1A1A1A"/>
                <w:sz w:val="18"/>
              </w:rPr>
              <w:t xml:space="preserve">Salute mentale</w:t>
            </w:r>
          </w:p>
        </w:tc>
        <w:tc>
          <w:tcPr/>
          <w:p>
            <w:pPr>
              <w:pStyle w:val="Compact"/>
              <w:spacing w:after="40" w:before="40"/>
              <w:jc w:val="left"/>
            </w:pPr>
            <w:r>
              <w:rPr>
                <w:rFonts w:ascii="Cambria" w:hAnsi="Cambria" w:cs="Cambria" w:eastAsia="Cambria"/>
                <w:color w:val="1A1A1A"/>
                <w:sz w:val="18"/>
              </w:rPr>
              <w:t xml:space="preserve">Utenza dei Dipartimenti</w:t>
            </w:r>
          </w:p>
        </w:tc>
        <w:tc>
          <w:tcPr/>
          <w:p>
            <w:pPr>
              <w:pStyle w:val="Compact"/>
              <w:spacing w:after="40" w:before="40"/>
              <w:jc w:val="left"/>
            </w:pPr>
            <w:r>
              <w:rPr>
                <w:rFonts w:ascii="Cambria" w:hAnsi="Cambria" w:cs="Cambria" w:eastAsia="Cambria"/>
                <w:color w:val="1A1A1A"/>
                <w:sz w:val="18"/>
              </w:rPr>
              <w:t xml:space="preserve">Sistema informativo per la salute mentale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servizio</w:t>
            </w:r>
          </w:p>
        </w:tc>
        <w:tc>
          <w:tcPr>
            <w:shd w:val="clear" w:color="auto" w:fill="F4F1EC"/>
          </w:tcPr>
          <w:p>
            <w:pPr>
              <w:pStyle w:val="Compact"/>
              <w:spacing w:after="40" w:before="40"/>
              <w:jc w:val="left"/>
            </w:pPr>
            <w:r>
              <w:rPr>
                <w:rFonts w:ascii="Cambria" w:hAnsi="Cambria" w:cs="Cambria" w:eastAsia="Cambria"/>
                <w:color w:val="1A1A1A"/>
                <w:sz w:val="18"/>
              </w:rPr>
              <w:t xml:space="preserve">Misure di esito, sedute, invii</w:t>
            </w:r>
          </w:p>
        </w:tc>
        <w:tc>
          <w:tcPr>
            <w:shd w:val="clear" w:color="auto" w:fill="F4F1EC"/>
          </w:tcPr>
          <w:p>
            <w:pPr>
              <w:pStyle w:val="Compact"/>
              <w:spacing w:after="40" w:before="40"/>
              <w:jc w:val="left"/>
            </w:pPr>
            <w:r>
              <w:rPr>
                <w:rFonts w:ascii="Cambria" w:hAnsi="Cambria" w:cs="Cambria" w:eastAsia="Cambria"/>
                <w:color w:val="1A1A1A"/>
                <w:sz w:val="18"/>
              </w:rPr>
              <w:t xml:space="preserve">Registro del servizio</w:t>
            </w:r>
          </w:p>
        </w:tc>
      </w:tr>
    </w:tbl>
    <w:p>
      <w:pPr>
        <w:pStyle w:val="BodyText"/>
      </w:pPr>
      <w:r>
        <w:rPr>
          <w:i/>
          <w:iCs/>
        </w:rPr>
        <w:t xml:space="preserve">Tabella 10. I dati di ingresso che ciascuna Regione fornisce; il resto dell</w:t>
      </w:r>
      <w:r>
        <w:rPr>
          <w:b/>
          <w:bCs/>
          <w:i/>
          <w:iCs/>
        </w:rPr>
        <w:t xml:space="preserve">’</w:t>
      </w:r>
      <w:r>
        <w:rPr>
          <w:i/>
          <w:iCs/>
        </w:rPr>
        <w:t xml:space="preserve">impianto è comune.</w:t>
      </w:r>
    </w:p>
    <w:bookmarkEnd w:id="2249"/>
    <w:bookmarkStart w:id="2250" w:name="chiusura-e-prossimi-passi"/>
    <w:p>
      <w:pPr>
        <w:pStyle w:val="Heading3"/>
      </w:pPr>
      <w:r>
        <w:t xml:space="preserve">13. Chiusura e prossimi passi</w:t>
      </w:r>
    </w:p>
    <w:p>
      <w:pPr>
        <w:pStyle w:val="FirstParagraph"/>
      </w:pPr>
      <w:r>
        <w:t xml:space="preserve">Questo telaio integrato è l’architettura definitiva dello studio regionale. Esso compone quattro cornici apicali in un unico impianto — il modello HTA per la completezza, il Five Case Model per la decisione, lo standard CHEERS per il reporting economico, i criteri OCSE-DAC per il giudizio — vi innesta le dieci metodologie selezionate nelle sedi pertinenti, fissa un caso di riferimento e standard di reporting comuni, e stabilisce la regola della generalizzazione regionale. Su di esso lo studio non è più una composizione di documenti separati, ma un’opera unitaria e replicabile.</w:t>
      </w:r>
    </w:p>
    <w:p>
      <w:pPr>
        <w:pStyle w:val="BodyText"/>
      </w:pPr>
      <w:r>
        <w:t xml:space="preserve">Il prossimo passo è l’applicazione integrale del telaio alla Puglia, parte per parte a partire dalla Parte A, quale modello dimostrativo dello studio a regime; completata e validata, l’opera pugliese fa da prototipo per l’estensione, Regione per Regione, all’intero territorio nazionale, con il solo cambiamento dei dati di ingresso. È il passaggio da un telaio condiviso a venti studi comparabili, e da una riforma progettata a una riforma fondata su un corpo di prove omogeneo e difendibile.</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dei dati ed etica</w:t>
      </w:r>
    </w:p>
    <w:p>
      <w:pPr>
        <w:pStyle w:val="BodyText"/>
      </w:pPr>
      <w:r>
        <w:t xml:space="preserve">Primo volume dello studio integrale, modello dimostrativo per le altre Regioni</w:t>
      </w:r>
    </w:p>
    <w:bookmarkEnd w:id="2250"/>
    <w:bookmarkEnd w:id="2251"/>
    <w:bookmarkStart w:id="2255" w:name="parte-a-quadro-quesito-e-metodo-3"/>
    <w:p>
      <w:pPr>
        <w:pStyle w:val="Heading2"/>
      </w:pPr>
      <w:r>
        <w:t xml:space="preserve">Parte A — Quadro, quesito e metodo</w:t>
      </w:r>
    </w:p>
    <w:p>
      <w:pPr>
        <w:pStyle w:val="FirstParagraph"/>
      </w:pPr>
      <w:r>
        <w:t xml:space="preserve">Questa è la prima parte dello studio integrale per la Puglia, applicazione dimostrativa del telaio integrato che sarà esteso a tutte le Regioni. Nell’architettura adottata essa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che seguiranno per le altre Regioni.</w:t>
      </w:r>
    </w:p>
    <w:bookmarkStart w:id="2252" w:name="X6eea59b26e291ab3b45f4c7e3afd8ea3465a88a"/>
    <w:p>
      <w:pPr>
        <w:pStyle w:val="Heading3"/>
      </w:pPr>
      <w:r>
        <w:t xml:space="preserve">A.1 Scopo, quesito di valutazione e standard adottati</w:t>
      </w:r>
    </w:p>
    <w:p>
      <w:pPr>
        <w:pStyle w:val="FirstParagraph"/>
      </w:pPr>
      <w:r>
        <w:t xml:space="preserve">Lo studio ha per oggetto la riforma dello psicologo di base istituita in Puglia dalla legge regionale n. 11 del 2023, la prima in Italia, e ne valuta il valore nelle dimensioni clinica, economica, organizzativa, sociale, etica e giuridica, allo scopo di informare la decisione sul portare il servizio a regime. La premessa che orienta l’intero studio è che la decisione rilevante non è se istituire il servizio — già stabilito per legge — ma se e come dimensionarlo: il servizio attuale, con circa 45 incarichi e uno stanziamento di 1,5 milioni di euro, copre infatti circa il 5% di un fabbisogno stimato nell’ordine di 800–900 psicologi per l’intera regione.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780.000 persone, si somma un’utenza specialistica di circa 55.000 persone in carico ai Dipartimenti di Salute Mentale, con quasi diciannovemila nuovi utenti l’anno.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 è ciò che il quesito di valutazione, formulato qui di seguito, mette a fuoco.</w:t>
      </w:r>
    </w:p>
    <w:p>
      <w:pPr>
        <w:pStyle w:val="BodyText"/>
      </w:pPr>
      <w:r>
        <w:t xml:space="preserve">Il quesito è articolato secondo lo schema che ne fissa gli elementi costitutivi — popolazione, intervento, confronto, esiti, tempi e contesto. La popolazione è costituita dai residenti pugliesi con bisogno psicologico comune, e in seconda istanza dall’intera popolazione per gli effetti di sistema. L’intervento è lo psicologo di base nelle cure primarie, come primo livello di ascolto, intercettazione precoce e filtro, portato a regime. Il confronto è il servizio attuale, ovvero la sua sostanziale assenza a regime. Gli esiti sono clinici, economici, sociali e di sistema. I tempi distinguono l’orizzonte pluriennale degli esiti dall’orizzonte triennale-quinquennale del bilancio. Il contesto è il Servizio sanitario della Puglia, con le sue sei aziende e i suoi quarantacinque distretti. La tabella seguente riepiloga gli elementi del quesito.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la Puglia</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pugliesi con disagio psichico comune (~780.000);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Psicologo di base nelle cure primarie, primo livello e filtro, portato a regime (~450/700/900 incarichi)</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Servizio attuale (~45 incarichi, ~5% del fabbisogno) ovvero assenza del servizio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mobilità)</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Servizio sanitario regionale della Puglia; sei aziende, quarantacinque distretti, Case della Comunità</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2252"/>
    <w:bookmarkStart w:id="2253" w:name="a.2-il-caso-di-riferimento-e-i-metodi-1"/>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e i distretti, per dare conto anche dei divari territoriali interni.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Servizio attuale, ovvero assenza del servizio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Regione, con disaggregazione per azienda e distretto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A presidio dell’attendibilità, il modello incorpora una correzione prudenziale per la tendenza, documentata nella letteratura sulla valutazione degli investimenti pubblici, a sottostimare i costi e a sovrastimare i benefici, adottando per le conclusioni il valore centrale o l’estremo conservativo dell’intervallo.</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Decisivo per la Puglia è il disegno controfattuale: il dispiegamento scaglionato del servizio tra le sei aziende, attivate in tempi diversi, funge da esperimento naturale e consente di stimare l’effetto causale con i metodi della differenza-nelle-differenze e del controllo sintetico.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sociale monetizzato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e governo dell’incertezza</w:t>
            </w:r>
          </w:p>
        </w:tc>
      </w:tr>
      <w:tr>
        <w:tc>
          <w:tcPr/>
          <w:p>
            <w:pPr>
              <w:pStyle w:val="Compact"/>
              <w:spacing w:after="40" w:before="40"/>
              <w:jc w:val="left"/>
            </w:pPr>
            <w:r>
              <w:rPr>
                <w:rFonts w:ascii="Cambria" w:hAnsi="Cambria" w:cs="Cambria" w:eastAsia="Cambria"/>
                <w:b/>
                <w:bCs/>
                <w:color w:val="1A1A1A"/>
                <w:sz w:val="18"/>
              </w:rPr>
              <w:t xml:space="preserve">Costo-efficacia distributiva</w:t>
            </w:r>
          </w:p>
        </w:tc>
        <w:tc>
          <w:tcPr/>
          <w:p>
            <w:pPr>
              <w:pStyle w:val="Compact"/>
              <w:spacing w:after="40" w:before="40"/>
              <w:jc w:val="left"/>
            </w:pPr>
            <w:r>
              <w:rPr>
                <w:rFonts w:ascii="Cambria" w:hAnsi="Cambria" w:cs="Cambria" w:eastAsia="Cambria"/>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Equità e impatto distributivo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Inferenza causale</w:t>
            </w:r>
          </w:p>
        </w:tc>
        <w:tc>
          <w:tcPr>
            <w:shd w:val="clear" w:color="auto" w:fill="F4F1EC"/>
          </w:tcPr>
          <w:p>
            <w:pPr>
              <w:pStyle w:val="Compact"/>
              <w:spacing w:after="40" w:before="40"/>
              <w:jc w:val="left"/>
            </w:pPr>
            <w:r>
              <w:rPr>
                <w:rFonts w:ascii="Cambria" w:hAnsi="Cambria" w:cs="Cambria" w:eastAsia="Cambria"/>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Effetto reale dell’intervento</w:t>
            </w:r>
          </w:p>
        </w:tc>
      </w:tr>
      <w:tr>
        <w:tc>
          <w:tcPr/>
          <w:p>
            <w:pPr>
              <w:pStyle w:val="Compact"/>
              <w:spacing w:after="40" w:before="40"/>
              <w:jc w:val="left"/>
            </w:pPr>
            <w:r>
              <w:rPr>
                <w:rFonts w:ascii="Cambria" w:hAnsi="Cambria" w:cs="Cambria" w:eastAsia="Cambria"/>
                <w:b/>
                <w:bCs/>
                <w:color w:val="1A1A1A"/>
                <w:sz w:val="18"/>
              </w:rPr>
              <w:t xml:space="preserve">Revisione sistematica e GRADE</w:t>
            </w:r>
          </w:p>
        </w:tc>
        <w:tc>
          <w:tcPr/>
          <w:p>
            <w:pPr>
              <w:pStyle w:val="Compact"/>
              <w:spacing w:after="40" w:before="40"/>
              <w:jc w:val="left"/>
            </w:pPr>
            <w:r>
              <w:rPr>
                <w:rFonts w:ascii="Cambria" w:hAnsi="Cambria" w:cs="Cambria" w:eastAsia="Cambria"/>
                <w:color w:val="1A1A1A"/>
                <w:sz w:val="18"/>
              </w:rPr>
              <w:t xml:space="preserve">Parte D</w:t>
            </w:r>
          </w:p>
        </w:tc>
        <w:tc>
          <w:tcPr/>
          <w:p>
            <w:pPr>
              <w:pStyle w:val="Compact"/>
              <w:spacing w:after="40" w:before="40"/>
              <w:jc w:val="left"/>
            </w:pPr>
            <w:r>
              <w:rPr>
                <w:rFonts w:ascii="Cambria" w:hAnsi="Cambria" w:cs="Cambria" w:eastAsia="Cambria"/>
                <w:color w:val="1A1A1A"/>
                <w:sz w:val="18"/>
              </w:rPr>
              <w:t xml:space="preserve">Sintesi e certezza dell’evidenza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multi-criterio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c>
          <w:tcPr>
            <w:shd w:val="clear" w:color="auto" w:fill="F4F1EC"/>
          </w:tcPr>
          <w:p>
            <w:pPr>
              <w:pStyle w:val="Compact"/>
              <w:spacing w:after="40" w:before="40"/>
              <w:jc w:val="left"/>
            </w:pPr>
            <w:r>
              <w:rPr>
                <w:rFonts w:ascii="Cambria" w:hAnsi="Cambria" w:cs="Cambria" w:eastAsia="Cambria"/>
                <w:color w:val="1A1A1A"/>
                <w:sz w:val="18"/>
              </w:rPr>
              <w:t xml:space="preserve">Sintesi dei criteri non monetari</w:t>
            </w:r>
          </w:p>
        </w:tc>
      </w:tr>
      <w:tr>
        <w:tc>
          <w:tcPr/>
          <w:p>
            <w:pPr>
              <w:pStyle w:val="Compact"/>
              <w:spacing w:after="40" w:before="40"/>
              <w:jc w:val="left"/>
            </w:pPr>
            <w:r>
              <w:rPr>
                <w:rFonts w:ascii="Cambria" w:hAnsi="Cambria" w:cs="Cambria" w:eastAsia="Cambria"/>
                <w:b/>
                <w:bCs/>
                <w:color w:val="1A1A1A"/>
                <w:sz w:val="18"/>
              </w:rPr>
              <w:t xml:space="preserve">Analisi di impatto della regolazione</w:t>
            </w:r>
          </w:p>
        </w:tc>
        <w:tc>
          <w:tcPr/>
          <w:p>
            <w:pPr>
              <w:pStyle w:val="Compact"/>
              <w:spacing w:after="40" w:before="40"/>
              <w:jc w:val="left"/>
            </w:pPr>
            <w:r>
              <w:rPr>
                <w:rFonts w:ascii="Cambria" w:hAnsi="Cambria" w:cs="Cambria" w:eastAsia="Cambria"/>
                <w:color w:val="1A1A1A"/>
                <w:sz w:val="18"/>
              </w:rPr>
              <w:t xml:space="preserve">Parti L, M</w:t>
            </w:r>
          </w:p>
        </w:tc>
        <w:tc>
          <w:tcPr/>
          <w:p>
            <w:pPr>
              <w:pStyle w:val="Compact"/>
              <w:spacing w:after="40" w:before="40"/>
              <w:jc w:val="left"/>
            </w:pPr>
            <w:r>
              <w:rPr>
                <w:rFonts w:ascii="Cambria" w:hAnsi="Cambria" w:cs="Cambria" w:eastAsia="Cambria"/>
                <w:color w:val="1A1A1A"/>
                <w:sz w:val="18"/>
              </w:rPr>
              <w:t xml:space="preserve">Valutazione ex ante ed ex post</w:t>
            </w:r>
          </w:p>
        </w:tc>
      </w:tr>
    </w:tbl>
    <w:p>
      <w:pPr>
        <w:pStyle w:val="BodyText"/>
      </w:pPr>
      <w:r>
        <w:rPr>
          <w:i/>
          <w:iCs/>
        </w:rPr>
        <w:t xml:space="preserve">Tabella A.3. L</w:t>
      </w:r>
      <w:r>
        <w:rPr>
          <w:b/>
          <w:bCs/>
          <w:i/>
          <w:iCs/>
        </w:rPr>
        <w:t xml:space="preserve">’</w:t>
      </w:r>
      <w:r>
        <w:rPr>
          <w:i/>
          <w:iCs/>
        </w:rPr>
        <w:t xml:space="preserve">innesto delle metodologie nelle parti dello studio.</w:t>
      </w:r>
    </w:p>
    <w:p>
      <w:pPr>
        <w:pStyle w:val="BodyText"/>
      </w:pPr>
      <w:r>
        <w:t xml:space="preserve">Resta da dichiarare la natura dei dati, con la franchezza che la credibilità dello studio richiede. I valori economici oggi impiegati sono in parte ricostruiti dai conti nazionali per quota di popolazione, e non estratti dai conti regionali certificati; una specifica di estrazione, già predisposta per l’agenzia regionale e per le aziende sanitarie, individua i dati da acquisire a sostituzione dei parametri stimati. Quanto al riferimento economico, lo studio adotta la stima conservativa consolidata, che distingue il risparmio diretto per il bilancio — prossimo al pareggio con il costo — dalle ricadute economico-sociali, da cui proviene il ritorno complessivo; la stima più ottimistica è conservata come limite superiore. Le cifre, in questa fase, sono ipotesi che lo studio è chiamato a verificare sui dati certificati: è la trasformazione delle stime in prove che il disegno della valutazione persegue.</w:t>
      </w:r>
    </w:p>
    <w:bookmarkEnd w:id="2253"/>
    <w:bookmarkStart w:id="2254" w:name="X2f5f4425d9ff19246d15640d066381cada24c88"/>
    <w:p>
      <w:pPr>
        <w:pStyle w:val="Heading3"/>
      </w:pPr>
      <w:r>
        <w:t xml:space="preserve">A.3 Governance dei dati, etica e protezione</w:t>
      </w:r>
    </w:p>
    <w:p>
      <w:pPr>
        <w:pStyle w:val="FirstParagraph"/>
      </w:pPr>
      <w:r>
        <w:t xml:space="preserve">Lo studio e la rilevazione che lo alimenta sono condotti sotto garanzie di governo e di etica che ne assicurano la legittimità e l’imparzialità. La conduzione è affidata a un comitato di indirizzo, che riunisce la Regione e le aziende sanitarie, l’Ordine degli Psicologi, le università e le istituzioni scientifiche, e a un responsabile scientifico che ne assicura il rigore metodologico; il raccordo con la riforma è garantito dall’Osservatorio regionale previsto dalla legge. Sul piano etico, lo studio si colloca nel dominio che la valutazione di tecnologia sanitaria dedica ai profili etici: l’equità di accesso, l’autonomia della persona e la tutela del consenso. È sottoposto all’approvazione del comitato etico territorialmente competente, prevede il consenso informato dei partecipanti e rende pubblici gli esiti indipendentemente dal loro segno, a garanzia contro la distorsione da selezione dei risultati favorevoli.</w:t>
      </w:r>
    </w:p>
    <w:p>
      <w:pPr>
        <w:pStyle w:val="BodyText"/>
      </w:pPr>
      <w:r>
        <w:t xml:space="preserve">La protezione dei dati personali è presidiata per disegno, non aggiunta a posteriori. Il trattamento è conforme alla normativa vigente, con minimizzazione, limitazione della finalità e misure di sicurezza; i dati individuali restano nel servizio per la sola finalità clinica e non sono mai trasmessi come tali. All’Osservatorio, e a ogni livello di analisi aggregata, sono comunicati esclusivamente indicatori aggregati e anonimi, dai quali non è possibile risalire alla persona. Il sistema informativo è interoperabile con il Fascicolo Sanitario Elettronico, in modo da assicurare la continuità della presa in carico con la medicina generale e i servizi specialistici, ed è ospitato su infrastruttura regionale sicura; il consenso è modulare, sicché la persona può acconsentire distintamente ai diversi trattamenti. La protezione dei dati è, in questo studio, una condizione di legittimità e insieme di fiducia: senza la seconda, la rilevazione di esito che fonda l’intera valutazione non sarebbe sostenibile nel tempo.</w:t>
      </w:r>
    </w:p>
    <w:p>
      <w:pPr>
        <w:pStyle w:val="BodyText"/>
      </w:pPr>
      <w:r>
        <w:t xml:space="preserve">Due ambiti richiedono garanzie ulteriori e specifiche. Il primo riguarda gli strumenti di intelligenza artificiale, che lo studio considera nel solo ruolo di ausilio del professionista — un copilota che riassume, segnala, propone — e mai in sua sostituzione, con sorveglianza umana costante secondo il principio della persona nel circuito di decisione. Tali strumenti sono ammessi se conformi al regolamento europeo sull’IA e alla disciplina sui dispositivi medici, e sono sottoposti a validazione periodica e a monitoraggio dei bias; è auspicata l’istituzione di un comitato etico-scientifico per l’IA in sanità, con l’agenzia regionale e le università, e la legge nazionale sull’IA agevola la sperimentazione qualificando i relativi trattamenti come di rilevante interesse pubblico.</w:t>
      </w:r>
    </w:p>
    <w:p>
      <w:pPr>
        <w:pStyle w:val="BodyText"/>
      </w:pPr>
      <w:r>
        <w:t xml:space="preserve">Il secondo ambito riguarda la tutela dei minori e delle persone vulnerabili, ed è oggetto della massima cautela. Gli strumenti di esito sono impiegati nei soli punteggi complessivi, a fini di monitoraggio dell’andamento clinico, e non per registrare contenuti sensibili. Le situazioni di rischio per sé o per altri sono indirizzate senza indugio ai servizi specialistici e, ove necessario, ai percorsi dell’emergenza, in raccordo con il medico curante, senza che lo studio registri o tratti il dettaglio delle modalità: è una garanzia di sicurezza clinica e, insieme, di dignità della persona. Con la definizione di queste garanzie si chiude la parte fondativa dello studio: stabilito che cosa si valuta, come e sotto quali tutele, le parti successive possono procedere all’analisi dei domini, a partire dal problema di salute e dal contesto pugliese.</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Profilo demografico, epidemiologia del bisogno, domanda e offerta, disuguaglianze, servizi e flussi, cornice normativa</w:t>
      </w:r>
    </w:p>
    <w:p>
      <w:pPr>
        <w:pStyle w:val="BodyText"/>
      </w:pPr>
      <w:r>
        <w:t xml:space="preserve">Dominio 1 del modello HTA · caso strategico · criteri di rilevanza e coerenza</w:t>
      </w:r>
    </w:p>
    <w:bookmarkEnd w:id="2254"/>
    <w:bookmarkEnd w:id="2255"/>
    <w:bookmarkStart w:id="2262" w:name="Xf26196e026db6bfa96d7c42cd59709e5eba80af"/>
    <w:p>
      <w:pPr>
        <w:pStyle w:val="Heading2"/>
      </w:pPr>
      <w:r>
        <w:t xml:space="preserve">Parte B — Problema di salute, bisogno e contesto</w:t>
      </w:r>
    </w:p>
    <w:p>
      <w:pPr>
        <w:pStyle w:val="FirstParagraph"/>
      </w:pPr>
      <w:r>
        <w:t xml:space="preserve">Questa parte corrisponde, nel telaio integrato, al primo dominio della valutazione di tecnologia sanitaria — il problema di salute e l’uso corrente — e fonda il caso strategico della decisione, rispondendo ai criteri di rilevanza e di coerenza. Essa stabilisce l’entità e la natura del bisogno cui la riforma intende rispondere, l’adeguatezza dell’offerta attuale, i divari territoriali, la pressione sui servizi e la cornice normativa entro cui l’intervento si colloca. È la base fattuale su cui poggiano le parti successive: senza una misura rigorosa del problema, la valutazione dell’intervento resterebbe priva di termine di confronto.</w:t>
      </w:r>
    </w:p>
    <w:bookmarkStart w:id="2256" w:name="X49c858ce6e60f557330ad7569a87d8a13a66eb1"/>
    <w:p>
      <w:pPr>
        <w:pStyle w:val="Heading3"/>
      </w:pPr>
      <w:r>
        <w:t xml:space="preserve">B.1 Profilo demografico e socioeconomico</w:t>
      </w:r>
    </w:p>
    <w:p>
      <w:pPr>
        <w:pStyle w:val="FirstParagraph"/>
      </w:pPr>
      <w:r>
        <w:t xml:space="preserve">La Puglia conta una popolazione di poco inferiore ai quattro milioni di abitanti — 3.877.395 al Censimento permanente del 2024, circa il 6,6% del totale nazionale — distribuita in sei aziende sanitarie locali e quarantacinque distretti. Il tratto demografico dominante è un invecchiamento accelerato: l’età media è salita da 39,3 anni nel 2002 a 46,4 nel 2024, e l’indice di vecchiaia ha raggiunto 200,8 anziani ogni cento giovani, all’incirca raddoppiato in un decennio. Le proiezioni dell’Istituto nazionale di statistica delineano una contrazione marcata e strutturale: 3.769.000 abitanti nel 2030, con un calo del 3,5%, e 3.229.000 nel 2050, con una riduzione del 17,4% rispetto al 2023; nello stesso arco la quota di ultrasessantacinquenni passerebbe dal 24,2% al 37,1%, e gli ultrasettantacinquenni crescerebbero da 461.000 a 658.000, con un incremento del 43%.</w:t>
      </w:r>
    </w:p>
    <w:p>
      <w:pPr>
        <w:pStyle w:val="BodyText"/>
      </w:pPr>
      <w:r>
        <w:t xml:space="preserve">Questa transizione non è un mero dato statistico, ma una trasformazione del profilo epidemiologico regionale, poiché l’età avanzata si accompagna a una prevalenza crescente di disturbi mentali, soprattutto in presenza di multimorbidità. La dinamica, inoltre, non è omogenea sul territorio: la provincia di Lecce è la più anziana, con un’età media di 47,5 anni e un indice di vecchiaia di 229,8, mentre la provincia di Barletta-Andria-Trani è la più giovane, con 44,9 anni e un indice di 169,1. Tale eterogeneità impone una programmazione differenziata, capace di calibrare l’offerta sulle diverse strutture per età delle aree.</w:t>
      </w:r>
    </w:p>
    <w:p>
      <w:pPr>
        <w:pStyle w:val="BodyText"/>
      </w:pPr>
      <w:r>
        <w:t xml:space="preserve">Al profilo demografico si somma un contesto socioeconomico di marcata vulnerabilità. Il 37,7% della popolazione pugliese risulta a rischio di povertà o esclusione sociale, tra i valori più elevati del Paese; e l’indice di deprivazione — costruito aggregando reddito, istruzione, condizione occupazionale e tipologia abitativa — misura condizioni materiali che la letteratura epidemiologica longitudinale identifica come determinanti robusti della salute mentale. Le popolazioni che vivono in deprivazione presentano infatti prevalenze sistematicamente più elevate di disturbi mentali comuni — depressione, ansia, disturbi correlati allo stress e all’uso di sostanze — attraverso meccanismi che includono l’insicurezza economica, la precarietà lavorativa, le condizioni abitative inadeguate e l’accesso limitato alle risorse protettive. La combinazione di invecchiamento e deprivazione configura, per la salute mentale pugliese, una pressione duplice e convergente, che la tabella seguente sintetizza nei suoi tratti demografici essenziali.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Puglia</w:t>
            </w:r>
          </w:p>
        </w:tc>
      </w:tr>
      <w:tr>
        <w:tc>
          <w:tcPr/>
          <w:p>
            <w:pPr>
              <w:pStyle w:val="Compact"/>
              <w:spacing w:after="40" w:before="40"/>
              <w:jc w:val="left"/>
            </w:pPr>
            <w:r>
              <w:rPr>
                <w:rFonts w:ascii="Cambria" w:hAnsi="Cambria" w:cs="Cambria" w:eastAsia="Cambria"/>
                <w:b/>
                <w:bCs/>
                <w:color w:val="1A1A1A"/>
                <w:sz w:val="18"/>
              </w:rPr>
              <w:t xml:space="preserve">Popolazione (Censimento 2024)</w:t>
            </w:r>
          </w:p>
        </w:tc>
        <w:tc>
          <w:tcPr/>
          <w:p>
            <w:pPr>
              <w:pStyle w:val="Compact"/>
              <w:spacing w:after="40" w:before="40"/>
              <w:jc w:val="left"/>
            </w:pPr>
            <w:r>
              <w:rPr>
                <w:rFonts w:ascii="Cambria" w:hAnsi="Cambria" w:cs="Cambria" w:eastAsia="Cambria"/>
                <w:color w:val="1A1A1A"/>
                <w:sz w:val="18"/>
              </w:rPr>
              <w:t xml:space="preserve">3.877.395 (~6,6% del totale nazionale)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Età media</w:t>
            </w:r>
          </w:p>
        </w:tc>
        <w:tc>
          <w:tcPr>
            <w:shd w:val="clear" w:color="auto" w:fill="F4F1EC"/>
          </w:tcPr>
          <w:p>
            <w:pPr>
              <w:pStyle w:val="Compact"/>
              <w:spacing w:after="40" w:before="40"/>
              <w:jc w:val="left"/>
            </w:pPr>
            <w:r>
              <w:rPr>
                <w:rFonts w:ascii="Cambria" w:hAnsi="Cambria" w:cs="Cambria" w:eastAsia="Cambria"/>
                <w:color w:val="1A1A1A"/>
                <w:sz w:val="18"/>
              </w:rPr>
              <w:t xml:space="preserve">46,4 anni (da 39,3 nel 2002)</w:t>
            </w:r>
          </w:p>
        </w:tc>
      </w:tr>
      <w:tr>
        <w:tc>
          <w:tcPr/>
          <w:p>
            <w:pPr>
              <w:pStyle w:val="Compact"/>
              <w:spacing w:after="40" w:before="40"/>
              <w:jc w:val="left"/>
            </w:pPr>
            <w:r>
              <w:rPr>
                <w:rFonts w:ascii="Cambria" w:hAnsi="Cambria" w:cs="Cambria" w:eastAsia="Cambria"/>
                <w:b/>
                <w:bCs/>
                <w:color w:val="1A1A1A"/>
                <w:sz w:val="18"/>
              </w:rPr>
              <w:t xml:space="preserve">Indice di vecchiaia</w:t>
            </w:r>
          </w:p>
        </w:tc>
        <w:tc>
          <w:tcPr/>
          <w:p>
            <w:pPr>
              <w:pStyle w:val="Compact"/>
              <w:spacing w:after="40" w:before="40"/>
              <w:jc w:val="left"/>
            </w:pPr>
            <w:r>
              <w:rPr>
                <w:rFonts w:ascii="Cambria" w:hAnsi="Cambria" w:cs="Cambria" w:eastAsia="Cambria"/>
                <w:color w:val="1A1A1A"/>
                <w:sz w:val="18"/>
              </w:rPr>
              <w:t xml:space="preserve">200,8 anziani ogni 100 giovani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Quota di ultrasessantacinquenni</w:t>
            </w:r>
          </w:p>
        </w:tc>
        <w:tc>
          <w:tcPr>
            <w:shd w:val="clear" w:color="auto" w:fill="F4F1EC"/>
          </w:tcPr>
          <w:p>
            <w:pPr>
              <w:pStyle w:val="Compact"/>
              <w:spacing w:after="40" w:before="40"/>
              <w:jc w:val="left"/>
            </w:pPr>
            <w:r>
              <w:rPr>
                <w:rFonts w:ascii="Cambria" w:hAnsi="Cambria" w:cs="Cambria" w:eastAsia="Cambria"/>
                <w:color w:val="1A1A1A"/>
                <w:sz w:val="18"/>
              </w:rPr>
              <w:t xml:space="preserve">24,2% oggi; 37,1% atteso al 2050</w:t>
            </w:r>
          </w:p>
        </w:tc>
      </w:tr>
      <w:tr>
        <w:tc>
          <w:tcPr/>
          <w:p>
            <w:pPr>
              <w:pStyle w:val="Compact"/>
              <w:spacing w:after="40" w:before="40"/>
              <w:jc w:val="left"/>
            </w:pPr>
            <w:r>
              <w:rPr>
                <w:rFonts w:ascii="Cambria" w:hAnsi="Cambria" w:cs="Cambria" w:eastAsia="Cambria"/>
                <w:b/>
                <w:bCs/>
                <w:color w:val="1A1A1A"/>
                <w:sz w:val="18"/>
              </w:rPr>
              <w:t xml:space="preserve">Proiezione di popolazione al 2050</w:t>
            </w:r>
          </w:p>
        </w:tc>
        <w:tc>
          <w:tcPr/>
          <w:p>
            <w:pPr>
              <w:pStyle w:val="Compact"/>
              <w:spacing w:after="40" w:before="40"/>
              <w:jc w:val="left"/>
            </w:pPr>
            <w:r>
              <w:rPr>
                <w:rFonts w:ascii="Cambria" w:hAnsi="Cambria" w:cs="Cambria" w:eastAsia="Cambria"/>
                <w:color w:val="1A1A1A"/>
                <w:sz w:val="18"/>
              </w:rPr>
              <w:t xml:space="preserve">3.229.000 (−17,4% sul 2023)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Provincia più anziana / più giovane</w:t>
            </w:r>
          </w:p>
        </w:tc>
        <w:tc>
          <w:tcPr>
            <w:shd w:val="clear" w:color="auto" w:fill="F4F1EC"/>
          </w:tcPr>
          <w:p>
            <w:pPr>
              <w:pStyle w:val="Compact"/>
              <w:spacing w:after="40" w:before="40"/>
              <w:jc w:val="left"/>
            </w:pPr>
            <w:r>
              <w:rPr>
                <w:rFonts w:ascii="Cambria" w:hAnsi="Cambria" w:cs="Cambria" w:eastAsia="Cambria"/>
                <w:color w:val="1A1A1A"/>
                <w:sz w:val="18"/>
              </w:rPr>
              <w:t xml:space="preserve">Lecce (47,5; 229,8) / BAT (44,9; 169,1)</w:t>
            </w:r>
          </w:p>
        </w:tc>
      </w:tr>
      <w:tr>
        <w:tc>
          <w:tcPr/>
          <w:p>
            <w:pPr>
              <w:pStyle w:val="Compact"/>
              <w:spacing w:after="40" w:before="40"/>
              <w:jc w:val="left"/>
            </w:pPr>
            <w:r>
              <w:rPr>
                <w:rFonts w:ascii="Cambria" w:hAnsi="Cambria" w:cs="Cambria" w:eastAsia="Cambria"/>
                <w:b/>
                <w:bCs/>
                <w:color w:val="1A1A1A"/>
                <w:sz w:val="18"/>
              </w:rPr>
              <w:t xml:space="preserve">Popolazione a rischio povertà o esclusione</w:t>
            </w:r>
          </w:p>
        </w:tc>
        <w:tc>
          <w:tcPr/>
          <w:p>
            <w:pPr>
              <w:pStyle w:val="Compact"/>
              <w:spacing w:after="40" w:before="40"/>
              <w:jc w:val="left"/>
            </w:pPr>
            <w:r>
              <w:rPr>
                <w:rFonts w:ascii="Cambria" w:hAnsi="Cambria" w:cs="Cambria" w:eastAsia="Cambria"/>
                <w:color w:val="1A1A1A"/>
                <w:sz w:val="18"/>
              </w:rPr>
              <w:t xml:space="preserve">37,7%</w:t>
            </w:r>
          </w:p>
        </w:tc>
      </w:tr>
    </w:tbl>
    <w:p>
      <w:pPr>
        <w:pStyle w:val="BodyText"/>
      </w:pPr>
      <w:r>
        <w:rPr>
          <w:i/>
          <w:iCs/>
        </w:rPr>
        <w:t xml:space="preserve">Tabella B.1. Profilo demografico e socioeconomico della Puglia.</w:t>
      </w:r>
    </w:p>
    <w:bookmarkEnd w:id="2256"/>
    <w:bookmarkStart w:id="2257" w:name="b.2-epidemiologia-del-bisogno-1"/>
    <w:p>
      <w:pPr>
        <w:pStyle w:val="Heading3"/>
      </w:pPr>
      <w:r>
        <w:t xml:space="preserve">B.2 Epidemiologia del bisogno</w:t>
      </w:r>
    </w:p>
    <w:p>
      <w:pPr>
        <w:pStyle w:val="FirstParagraph"/>
      </w:pPr>
      <w:r>
        <w:t xml:space="preserve">Il bisogno di salute mentale in Puglia si articola su due piani: il sommerso, ampio e in larga parte non intercettato, e l’emergente, che preme sui servizi specialistici e di emergenza. Sul primo piano, si stima che circa 780.000 persone presentino disagio psichico comune o sottosoglia, dell’ordine del 20–30% della popolazione; su questa massa di bisogno la risposta attuale è minima. La componente anziana di tale bisogno è quantificabile con coefficienti epidemiologici validati: applicando alla popolazione pugliese le prevalenze documentate dalla letteratura internazionale — depressione fino al 28% negli ultrasettantacinquenni con multimorbidità, ansia oltre il 15% negli anziani — si ottiene una stima compresa tra 50.649 e 74.640 anziani con disturbi depressivi clinicamente significativi e tra 69.150 e 92.200 con disturbi d’ansia.</w:t>
      </w:r>
    </w:p>
    <w:p>
      <w:pPr>
        <w:pStyle w:val="BodyText"/>
      </w:pPr>
      <w:r>
        <w:t xml:space="preserve">La misura del sommerso è resa difficile da un fenomeno specifico della regione. La sorveglianza PASSI dell’Istituto Superiore di Sanità, condotta con il questionario breve sui sintomi depressivi, rileva per la Puglia il 3,6% degli adulti tra i 18 e i 64 anni con sintomi clinicamente rilevanti — circa 80.000 persone — un dato inferiore alla media nazionale del 6,7%. Questa apparente minore prevalenza non indica minore sofferenza, ma una sotto-rilevazione legata a fattori culturali che riducono la propensione a riferire i sintomi, e si accompagna a uno dei consumi di antidepressivi più bassi d’Italia: due segni convergenti di sotto-intercettazione del bisogno. Il divario tra prevalenza reale e accesso ai servizi — il treatment gap — è del resto un fenomeno strutturale, riconosciuto anche dalla Commissione europea, che nel 2024 ha rilevato come solo la metà delle persone con ansia o depressione chieda aiuto e come quasi un giovane su due resti privo di supporto adeguato; le barriere sono strutturali, economiche, culturali, di conoscenza e sistemiche. È precisamente questo divario che un servizio di primo livello, accessibile e privo di stigma, ha la funzione di colmare.</w:t>
      </w:r>
    </w:p>
    <w:bookmarkEnd w:id="2257"/>
    <w:bookmarkStart w:id="2258" w:name="b.3-domanda-offerta-e-gap-di-copertura-1"/>
    <w:p>
      <w:pPr>
        <w:pStyle w:val="Heading3"/>
      </w:pPr>
      <w:r>
        <w:t xml:space="preserve">B.3 Domanda, offerta e gap di copertura</w:t>
      </w:r>
    </w:p>
    <w:p>
      <w:pPr>
        <w:pStyle w:val="FirstParagraph"/>
      </w:pPr>
      <w:r>
        <w:t xml:space="preserve">A fronte di un bisogno ampio, l’offerta psicologica pubblica è storicamente esigua. Secondo i dati del Ministero della Salute riferiti al 2017, l’Italia dispone di 8,5 psicologi ogni centomila abitanti nel Servizio sanitario complessivo, e di meno di tre ogni centomila nelle sole strutture pubbliche di salute mentale, una delle dotazioni più basse d’Europa; per confronto, il sistema olandese che integra gli psicologi nelle cure primarie si accompagna a circa ventitré psichiatri ogni centomila abitanti. La domanda che non trova risposta nel territorio si riversa sui servizi specialistici e di emergenza. I Dipartimenti di Salute Mentale pugliesi hanno avuto in carico, nel 2023, 54.946 utenti, circa centosei ogni diecimila abitanti adulti, dei quali 18.939 nuovi, segno di un flusso di incidenza annuale consistente.</w:t>
      </w:r>
    </w:p>
    <w:p>
      <w:pPr>
        <w:pStyle w:val="BodyText"/>
      </w:pPr>
      <w:r>
        <w:t xml:space="preserve">Un indicatore particolarmente eloquente della pressione è il ricorso al pronto soccorso per cause psichiatriche: 18.753 accessi nel 2023, oltre cinquanta al giorno, in crescita del 30% rispetto al periodo pre-pandemico e con un trend accentuato tra minori e giovani adulti. La distribuzione diagnostica è rivelatrice: le sindromi nevrotiche e somatoformi sono la causa più frequente, con oltre diecimila casi, seguite a distanza da disturbi organici, depressione e schizofrenia. Che la causa più frequente di accesso urgente sia costituita da disturbi comuni di tipo ansioso e somatoforme — quadri che non richiederebbero il contesto dell’emergenza — dimostra che il pronto soccorso è divenuto, in assenza di un primo livello territoriale, l’unico punto di accesso disponibile.</w:t>
      </w:r>
    </w:p>
    <w:p>
      <w:pPr>
        <w:pStyle w:val="BodyText"/>
      </w:pPr>
      <w:r>
        <w:t xml:space="preserve">Il divario tra bisogno e offerta definisce la posta in gioco della decisione. Il servizio istituito dalla legge regionale conta oggi circa 45 psicologi, uno per distretto, a fronte di uno stanziamento di 1,5 milioni di euro l’anno: una dotazione pari a circa il 5% di un fabbisogno stimato nell’ordine di 800–900 psicologi per l’intera regione. Lo studio considera tre scenari di copertura — circa 450, 700 e 900 incarichi — che portano il servizio progressivamente verso la copertura del bisogno. La tabella seguente riepiloga le grandezze della domanda, dell’offerta e del divario.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Puglia</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780.000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in carico ai Dipartimenti (2023)</w:t>
            </w:r>
          </w:p>
        </w:tc>
        <w:tc>
          <w:tcPr>
            <w:shd w:val="clear" w:color="auto" w:fill="F4F1EC"/>
          </w:tcPr>
          <w:p>
            <w:pPr>
              <w:pStyle w:val="Compact"/>
              <w:spacing w:after="40" w:before="40"/>
              <w:jc w:val="left"/>
            </w:pPr>
            <w:r>
              <w:rPr>
                <w:rFonts w:ascii="Cambria" w:hAnsi="Cambria" w:cs="Cambria" w:eastAsia="Cambria"/>
                <w:color w:val="1A1A1A"/>
                <w:sz w:val="18"/>
              </w:rPr>
              <w:t xml:space="preserve">54.946</w:t>
            </w:r>
          </w:p>
        </w:tc>
      </w:tr>
      <w:tr>
        <w:tc>
          <w:tcPr/>
          <w:p>
            <w:pPr>
              <w:pStyle w:val="Compact"/>
              <w:spacing w:after="40" w:before="40"/>
              <w:jc w:val="left"/>
            </w:pPr>
            <w:r>
              <w:rPr>
                <w:rFonts w:ascii="Cambria" w:hAnsi="Cambria" w:cs="Cambria" w:eastAsia="Cambria"/>
                <w:b/>
                <w:bCs/>
                <w:color w:val="1A1A1A"/>
                <w:sz w:val="18"/>
              </w:rPr>
              <w:t xml:space="preserve">Nuovi utenti dei Dipartimenti (2023)</w:t>
            </w:r>
          </w:p>
        </w:tc>
        <w:tc>
          <w:tcPr/>
          <w:p>
            <w:pPr>
              <w:pStyle w:val="Compact"/>
              <w:spacing w:after="40" w:before="40"/>
              <w:jc w:val="left"/>
            </w:pPr>
            <w:r>
              <w:rPr>
                <w:rFonts w:ascii="Cambria" w:hAnsi="Cambria" w:cs="Cambria" w:eastAsia="Cambria"/>
                <w:color w:val="1A1A1A"/>
                <w:sz w:val="18"/>
              </w:rPr>
              <w:t xml:space="preserve">18.939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Accessi al pronto soccorso per cause psichiatriche (2023)</w:t>
            </w:r>
          </w:p>
        </w:tc>
        <w:tc>
          <w:tcPr>
            <w:shd w:val="clear" w:color="auto" w:fill="F4F1EC"/>
          </w:tcPr>
          <w:p>
            <w:pPr>
              <w:pStyle w:val="Compact"/>
              <w:spacing w:after="40" w:before="40"/>
              <w:jc w:val="left"/>
            </w:pPr>
            <w:r>
              <w:rPr>
                <w:rFonts w:ascii="Cambria" w:hAnsi="Cambria" w:cs="Cambria" w:eastAsia="Cambria"/>
                <w:color w:val="1A1A1A"/>
                <w:sz w:val="18"/>
              </w:rPr>
              <w:t xml:space="preserve">18.753</w:t>
            </w:r>
          </w:p>
        </w:tc>
      </w:tr>
      <w:tr>
        <w:tc>
          <w:tcPr/>
          <w:p>
            <w:pPr>
              <w:pStyle w:val="Compact"/>
              <w:spacing w:after="40" w:before="40"/>
              <w:jc w:val="left"/>
            </w:pPr>
            <w:r>
              <w:rPr>
                <w:rFonts w:ascii="Cambria" w:hAnsi="Cambria" w:cs="Cambria" w:eastAsia="Cambria"/>
                <w:b/>
                <w:bCs/>
                <w:color w:val="1A1A1A"/>
                <w:sz w:val="18"/>
              </w:rPr>
              <w:t xml:space="preserve">Psicologi del servizio attuale</w:t>
            </w:r>
          </w:p>
        </w:tc>
        <w:tc>
          <w:tcPr/>
          <w:p>
            <w:pPr>
              <w:pStyle w:val="Compact"/>
              <w:spacing w:after="40" w:before="40"/>
              <w:jc w:val="left"/>
            </w:pPr>
            <w:r>
              <w:rPr>
                <w:rFonts w:ascii="Cambria" w:hAnsi="Cambria" w:cs="Cambria" w:eastAsia="Cambria"/>
                <w:color w:val="1A1A1A"/>
                <w:sz w:val="18"/>
              </w:rPr>
              <w:t xml:space="preserve">~ 45 (uno per distretto)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Fabbisogno stimato a regime</w:t>
            </w:r>
          </w:p>
        </w:tc>
        <w:tc>
          <w:tcPr>
            <w:shd w:val="clear" w:color="auto" w:fill="F4F1EC"/>
          </w:tcPr>
          <w:p>
            <w:pPr>
              <w:pStyle w:val="Compact"/>
              <w:spacing w:after="40" w:before="40"/>
              <w:jc w:val="left"/>
            </w:pPr>
            <w:r>
              <w:rPr>
                <w:rFonts w:ascii="Cambria" w:hAnsi="Cambria" w:cs="Cambria" w:eastAsia="Cambria"/>
                <w:color w:val="1A1A1A"/>
                <w:sz w:val="18"/>
              </w:rPr>
              <w:t xml:space="preserve">~ 800–900 psicologi</w:t>
            </w:r>
          </w:p>
        </w:tc>
      </w:tr>
      <w:tr>
        <w:tc>
          <w:tcPr/>
          <w:p>
            <w:pPr>
              <w:pStyle w:val="Compact"/>
              <w:spacing w:after="40" w:before="40"/>
              <w:jc w:val="left"/>
            </w:pPr>
            <w:r>
              <w:rPr>
                <w:rFonts w:ascii="Cambria" w:hAnsi="Cambria" w:cs="Cambria" w:eastAsia="Cambria"/>
                <w:b/>
                <w:bCs/>
                <w:color w:val="1A1A1A"/>
                <w:sz w:val="18"/>
              </w:rPr>
              <w:t xml:space="preserve">Copertura attuale del fabbisogno</w:t>
            </w:r>
          </w:p>
        </w:tc>
        <w:tc>
          <w:tcPr/>
          <w:p>
            <w:pPr>
              <w:pStyle w:val="Compact"/>
              <w:spacing w:after="40" w:before="40"/>
              <w:jc w:val="left"/>
            </w:pPr>
            <w:r>
              <w:rPr>
                <w:rFonts w:ascii="Cambria" w:hAnsi="Cambria" w:cs="Cambria" w:eastAsia="Cambria"/>
                <w:color w:val="1A1A1A"/>
                <w:sz w:val="18"/>
              </w:rPr>
              <w:t xml:space="preserve">~ 5%</w:t>
            </w:r>
          </w:p>
        </w:tc>
      </w:tr>
    </w:tbl>
    <w:p>
      <w:pPr>
        <w:pStyle w:val="BodyText"/>
      </w:pPr>
      <w:r>
        <w:rPr>
          <w:i/>
          <w:iCs/>
        </w:rPr>
        <w:t xml:space="preserve">Tabella B.2. Domanda, offerta e gap di copertura.</w:t>
      </w:r>
    </w:p>
    <w:bookmarkEnd w:id="2258"/>
    <w:bookmarkStart w:id="2259" w:name="X88d38638cbfb1d3754f14d1fe32c4adb7e16098"/>
    <w:p>
      <w:pPr>
        <w:pStyle w:val="Heading3"/>
      </w:pPr>
      <w:r>
        <w:t xml:space="preserve">B.4 Disuguaglianze e divari territoriali</w:t>
      </w:r>
    </w:p>
    <w:p>
      <w:pPr>
        <w:pStyle w:val="FirstParagraph"/>
      </w:pPr>
      <w:r>
        <w:t xml:space="preserve">Il bisogno e l’offerta non si distribuiscono uniformemente sul territorio regionale, e l’equità interna è perciò una dimensione costitutiva della valutazione, non un’aggiunta. Alla disomogeneità demografica già osservata — con province nettamente più anziane di altre — si sovrappongono i divari socioeconomici, concentrati nelle aree interne montane e rurali, colpite da spopolamento giovanile e invecchiamento residuo, e in alcune periferie urbane degradate. Sono precisamente le aree in cui i determinanti sociali del disagio si addensano e in cui, al tempo stesso, l’accesso ai servizi è più difficile.</w:t>
      </w:r>
    </w:p>
    <w:p>
      <w:pPr>
        <w:pStyle w:val="BodyText"/>
      </w:pPr>
      <w:r>
        <w:t xml:space="preserve">Il disegno del servizio riconosce questi divari e li affronta in sede di distribuzione territoriale degli incarichi. L’algoritmo allocativo non ripartisce le risorse in proporzione alla sola popolazione, ma pondera ciascun distretto per l’indice di vecchiaia, per l’indice di deprivazione socioeconomica e per la prevalenza di cronicità e multimorbidità, attribuendo pesi maggiori alle aree più fragili. In questo modo la programmazione mira a contrastare, anziché riprodurre, le disuguaglianze esistenti. Tra le variabili che lo studio segue come prioritarie per la Puglia figurano perciò i tempi di attesa e l’accessibilità per area, in quanto colgono i divari tra aziende e tra centri e aree interne; la loro misura, parte del sistema di indicatori, consente di verificare nel tempo se il servizio raggiunga effettivamente le comunità più distanti, e non solo quelle già meglio servite.</w:t>
      </w:r>
    </w:p>
    <w:bookmarkEnd w:id="2259"/>
    <w:bookmarkStart w:id="2260" w:name="b.5-i-servizi-e-i-flussi-1"/>
    <w:p>
      <w:pPr>
        <w:pStyle w:val="Heading3"/>
      </w:pPr>
      <w:r>
        <w:t xml:space="preserve">B.5 I servizi e i flussi</w:t>
      </w:r>
    </w:p>
    <w:p>
      <w:pPr>
        <w:pStyle w:val="FirstParagraph"/>
      </w:pPr>
      <w:r>
        <w:t xml:space="preserve">Il contesto entro cui la riforma opera è segnato da vincoli di bilancio stringenti. La Puglia ha ricevuto per il 2025 un finanziamento di circa 8,8 miliardi di euro, chiudendo con un disavanzo di circa 350 milioni e con disavanzi cumulati superiori a 480 milioni nel quadriennio; la regione è sottoposta a vincoli di rientro, e la Corte costituzionale ha ribadito che i fondi sanitari non possono essere distratti da finalità diverse dai livelli essenziali. In tale quadro, ogni impiego di risorse va giustificato, e ogni inefficienza nei flussi esistenti rappresenta sia un costo sia un margine di intervento.</w:t>
      </w:r>
    </w:p>
    <w:p>
      <w:pPr>
        <w:pStyle w:val="BodyText"/>
      </w:pPr>
      <w:r>
        <w:t xml:space="preserve">Due flussi misurano insieme l’inefficienza attuale e lo spazio d’azione del servizio. Il primo è la mobilità sanitaria passiva: nel 2023 il saldo è stato negativo per 253,2 milioni di euro, con prestazioni in fuga verso altre regioni per 376,6 milioni a fronte di una mobilità attiva di circa 123 milioni, tra i peggiori risultati in Italia. Questo è il tratto più distintivo del caso pugliese: a differenza di una regione attrattiva, per la quale la migrazione delle cure non si applica, in Puglia ogni quota di domanda intercettata e trattenuta sul territorio si traduce in un risparmio diretto per il bilancio regionale. Il secondo flusso è il ricorso improprio al pronto soccorso: a fronte di 37 presidi e 1.142.448 accessi l’anno, circa 914.000 sono inappropriati, dell’ordine dell’80%, e una quota di essi è riconducibile a disagio psichico e a sintomi somatici funzionali.</w:t>
      </w:r>
    </w:p>
    <w:p>
      <w:pPr>
        <w:pStyle w:val="BodyText"/>
      </w:pPr>
      <w:r>
        <w:t xml:space="preserve">Un terzo elemento riguarda il consumo farmaceutico, segnato da un’apparente contraddizione. La Puglia presenta tra i più alti consumi complessivi d’Italia — 1.081,9 dosi giornaliere ogni mille abitanti — con una spesa pubblica dell’ordine del 2,3% del prodotto regionale; eppure l’intercettazione del disagio psichico, misurata dal basso consumo di antidepressivi, è ridotta. La compresenza di un elevato consumo complessivo e di una bassa intercettazione specifica segnala margini di appropriatezza, in particolare nella sostituzione di terapie croniche non necessarie con percorsi psicologici. La tabella seguente riepiloga le grandezze di sistema rilevanti per lo studio; la loro traduzione in risparmi è trattata, con la dovuta distinzione tra effetti sul bilancio e ricadute sociali, nella Parte 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Puglia</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 (2025)</w:t>
            </w:r>
          </w:p>
        </w:tc>
        <w:tc>
          <w:tcPr/>
          <w:p>
            <w:pPr>
              <w:pStyle w:val="Compact"/>
              <w:spacing w:after="40" w:before="40"/>
              <w:jc w:val="left"/>
            </w:pPr>
            <w:r>
              <w:rPr>
                <w:rFonts w:ascii="Cambria" w:hAnsi="Cambria" w:cs="Cambria" w:eastAsia="Cambria"/>
                <w:color w:val="1A1A1A"/>
                <w:sz w:val="18"/>
              </w:rPr>
              <w:t xml:space="preserve">~ 8,8 miliardi di euro; disavanzo ~ 350 milioni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 passiva (2023)</w:t>
            </w:r>
          </w:p>
        </w:tc>
        <w:tc>
          <w:tcPr>
            <w:shd w:val="clear" w:color="auto" w:fill="F4F1EC"/>
          </w:tcPr>
          <w:p>
            <w:pPr>
              <w:pStyle w:val="Compact"/>
              <w:spacing w:after="40" w:before="40"/>
              <w:jc w:val="left"/>
            </w:pPr>
            <w:r>
              <w:rPr>
                <w:rFonts w:ascii="Cambria" w:hAnsi="Cambria" w:cs="Cambria" w:eastAsia="Cambria"/>
                <w:color w:val="1A1A1A"/>
                <w:sz w:val="18"/>
              </w:rPr>
              <w:t xml:space="preserve">saldo −253,2 milioni di euro</w:t>
            </w:r>
          </w:p>
        </w:tc>
      </w:tr>
      <w:tr>
        <w:tc>
          <w:tcPr/>
          <w:p>
            <w:pPr>
              <w:pStyle w:val="Compact"/>
              <w:spacing w:after="40" w:before="40"/>
              <w:jc w:val="left"/>
            </w:pPr>
            <w:r>
              <w:rPr>
                <w:rFonts w:ascii="Cambria" w:hAnsi="Cambria" w:cs="Cambria" w:eastAsia="Cambria"/>
                <w:b/>
                <w:bCs/>
                <w:color w:val="1A1A1A"/>
                <w:sz w:val="18"/>
              </w:rPr>
              <w:t xml:space="preserve">Accessi al pronto soccorso</w:t>
            </w:r>
          </w:p>
        </w:tc>
        <w:tc>
          <w:tcPr/>
          <w:p>
            <w:pPr>
              <w:pStyle w:val="Compact"/>
              <w:spacing w:after="40" w:before="40"/>
              <w:jc w:val="left"/>
            </w:pPr>
            <w:r>
              <w:rPr>
                <w:rFonts w:ascii="Cambria" w:hAnsi="Cambria" w:cs="Cambria" w:eastAsia="Cambria"/>
                <w:color w:val="1A1A1A"/>
                <w:sz w:val="18"/>
              </w:rPr>
              <w:t xml:space="preserve">1.142.448 l’anno; ~ 914.000 inappropriati (~80%)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Consumo farmaceutico complessivo</w:t>
            </w:r>
          </w:p>
        </w:tc>
        <w:tc>
          <w:tcPr>
            <w:shd w:val="clear" w:color="auto" w:fill="F4F1EC"/>
          </w:tcPr>
          <w:p>
            <w:pPr>
              <w:pStyle w:val="Compact"/>
              <w:spacing w:after="40" w:before="40"/>
              <w:jc w:val="left"/>
            </w:pPr>
            <w:r>
              <w:rPr>
                <w:rFonts w:ascii="Cambria" w:hAnsi="Cambria" w:cs="Cambria" w:eastAsia="Cambria"/>
                <w:color w:val="1A1A1A"/>
                <w:sz w:val="18"/>
              </w:rPr>
              <w:t xml:space="preserve">1.081,9 dosi giornaliere ogni mille abitanti</w:t>
            </w:r>
          </w:p>
        </w:tc>
      </w:tr>
      <w:tr>
        <w:tc>
          <w:tcPr/>
          <w:p>
            <w:pPr>
              <w:pStyle w:val="Compact"/>
              <w:spacing w:after="40" w:before="40"/>
              <w:jc w:val="left"/>
            </w:pPr>
            <w:r>
              <w:rPr>
                <w:rFonts w:ascii="Cambria" w:hAnsi="Cambria" w:cs="Cambria" w:eastAsia="Cambria"/>
                <w:b/>
                <w:bCs/>
                <w:color w:val="1A1A1A"/>
                <w:sz w:val="18"/>
              </w:rPr>
              <w:t xml:space="preserve">Consumo di antidepressivi</w:t>
            </w:r>
          </w:p>
        </w:tc>
        <w:tc>
          <w:tcPr/>
          <w:p>
            <w:pPr>
              <w:pStyle w:val="Compact"/>
              <w:spacing w:after="40" w:before="40"/>
              <w:jc w:val="left"/>
            </w:pPr>
            <w:r>
              <w:rPr>
                <w:rFonts w:ascii="Cambria" w:hAnsi="Cambria" w:cs="Cambria" w:eastAsia="Cambria"/>
                <w:color w:val="1A1A1A"/>
                <w:sz w:val="18"/>
              </w:rPr>
              <w:t xml:space="preserve">tra i più bassi d’Italia</w:t>
            </w:r>
          </w:p>
        </w:tc>
      </w:tr>
    </w:tbl>
    <w:p>
      <w:pPr>
        <w:pStyle w:val="BodyText"/>
      </w:pPr>
      <w:r>
        <w:rPr>
          <w:i/>
          <w:iCs/>
        </w:rPr>
        <w:t xml:space="preserve">Tabella B.3. I servizi e i flussi del Servizio sanitario regionale rilevanti per lo studio.</w:t>
      </w:r>
    </w:p>
    <w:bookmarkEnd w:id="2260"/>
    <w:bookmarkStart w:id="2261" w:name="Xaf948b57a874c0ace91b0e900d80d1e4ec7b800"/>
    <w:p>
      <w:pPr>
        <w:pStyle w:val="Heading3"/>
      </w:pPr>
      <w:r>
        <w:t xml:space="preserve">B.6 La cornice normativa e programmatica</w:t>
      </w:r>
    </w:p>
    <w:p>
      <w:pPr>
        <w:pStyle w:val="FirstParagraph"/>
      </w:pPr>
      <w:r>
        <w:t xml:space="preserve">La riforma si colloca in una cornice normativa coerente su tre livelli, che ne fonda la rilevanza e la coerenza. A livello regionale, la legge n. 11 del 2023 ha istituito il servizio — prima in Italia — individuandone le sedi nei distretti e nelle Case della Comunità, la forma del rapporto nella convenzione, la funzione di filtro verso i servizi specialistici e il pronto soccorso, e l’organo di governo nell’Osservatorio regionale. È il fondamento giuridico diretto dello studio, e la ragione per cui la decisione non verte sull’istituire il servizio, già disposto, ma sul portarlo a regime.</w:t>
      </w:r>
    </w:p>
    <w:p>
      <w:pPr>
        <w:pStyle w:val="BodyText"/>
      </w:pPr>
      <w:r>
        <w:t xml:space="preserve">A livello nazionale, il quadro è favorevole e convergente. Il decreto ministeriale 77 del 2022 ha definito il modello dell’assistenza territoriale, facendo delle Case della Comunità la sede della presa in carico di prossimità, presso la quale lo psicologo di base si inserisce naturalmente; la Missione 6 del Piano Nazionale di Ripresa e Resilienza finanzia l’infrastruttura territoriale e digitale; e l’accordo della specialistica ambulatoriale disciplina il rapporto convenzionale dei psicologi, fornendo il riferimento contrattuale del modello di costo. A livello europeo, infine, il regolamento sull’HTA, applicabile dal 2025, e il regolamento sull’intelligenza artificiale forniscono gli standard, rispettivamente, della valutazione e dell’innovazione tecnologica del servizio.</w:t>
      </w:r>
    </w:p>
    <w:p>
      <w:pPr>
        <w:pStyle w:val="BodyText"/>
      </w:pPr>
      <w:r>
        <w:t xml:space="preserve">La convergenza dei tre livelli normativi non è un dettaglio formale: essa colloca la riforma pugliese all’incrocio tra una legge regionale pionieristica, una programmazione nazionale che ne predispone le sedi e le risorse infrastrutturali, e una cornice europea che ne fissa i criteri di valutazione. È in questo quadro che le parti successive dello studio analizzano l’intervento, ne accertano l’efficacia, ne valutano l’economia e ne pianificano l’attuazione, a partire dalla descrizione del modello organizzativo e clinico oggetto della Parte C.</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C</w:t>
      </w:r>
    </w:p>
    <w:p>
      <w:pPr>
        <w:pStyle w:val="BodyText"/>
      </w:pPr>
      <w:r>
        <w:rPr>
          <w:b/>
          <w:bCs/>
        </w:rPr>
        <w:t xml:space="preserve">L’intervento e il modello</w:t>
      </w:r>
    </w:p>
    <w:p>
      <w:pPr>
        <w:pStyle w:val="BodyText"/>
      </w:pPr>
      <w:r>
        <w:rPr>
          <w:i/>
          <w:iCs/>
        </w:rPr>
        <w:t xml:space="preserve">Definizione e teoria del cambiamento, modello organizzativo, percorso clinico, sistema informativo, strumenti digitali e IA, formazione</w:t>
      </w:r>
    </w:p>
    <w:p>
      <w:pPr>
        <w:pStyle w:val="BodyText"/>
      </w:pPr>
      <w:r>
        <w:t xml:space="preserve">Domini 2 e 3 del modello HTA · descrizione tecnica e sicurezza dell’intervento</w:t>
      </w:r>
    </w:p>
    <w:bookmarkEnd w:id="2261"/>
    <w:bookmarkEnd w:id="2262"/>
    <w:bookmarkStart w:id="2269" w:name="parte-c-lintervento-e-il-modello-2"/>
    <w:p>
      <w:pPr>
        <w:pStyle w:val="Heading2"/>
      </w:pPr>
      <w:r>
        <w:t xml:space="preserve">Parte C — L’intervento e il modello</w:t>
      </w:r>
    </w:p>
    <w:p>
      <w:pPr>
        <w:pStyle w:val="FirstParagraph"/>
      </w:pPr>
      <w:r>
        <w:t xml:space="preserve">Questa parte corrisponde, nel telaio integrato, al secondo e al terzo dominio della valutazione di tecnologia sanitaria — la descrizione tecnica dell’intervento e la sua sicurezza. Stabilito nella Parte B che cosa la riforma deve affrontare, qui si descrive che cosa la riforma è: la sua definizione e la logica per cui ci si attende che produca i suoi effetti (capitolo C.1), il modello organizzativo che la innesta nelle cure primarie (C.2), il percorso clinico, le garanzie di sicurezza e le misure di esito (C.3), il sistema informativo che ne assicura la continuità (C.4), gli strumenti digitali e di intelligenza artificiale che la assistono (C.5) e la formazione che ne abilita i professionisti (C.6). La descrizione è fondata sui modelli internazionali più consolidati e sugli atti già predisposti dal progetto.</w:t>
      </w:r>
    </w:p>
    <w:bookmarkStart w:id="2263" w:name="X7320107be3919e86a506c8b4e4bba1b28c31f08"/>
    <w:p>
      <w:pPr>
        <w:pStyle w:val="Heading3"/>
      </w:pPr>
      <w:r>
        <w:t xml:space="preserve">C.1 Definizione e teoria del cambiamento</w:t>
      </w:r>
    </w:p>
    <w:p>
      <w:pPr>
        <w:pStyle w:val="FirstParagraph"/>
      </w:pPr>
      <w:r>
        <w:t xml:space="preserve">L’intervento consiste nell’inserimento stabile dello psicologo nelle cure primarie, accanto al medico di medicina generale e al pediatra di libera scelta, come primo livello di ascolto, di intercettazione precoce e di filtro; l’accesso avviene su invio del medico ovvero in forma diretta, secondo percorsi definiti, e i quadri gravi o acuti sono riservati ai servizi specialistici. La definizione è al tempo stesso semplice e precisa: non un nuovo servizio specialistico, ma una funzione di prossimità collocata nel luogo in cui la maggioranza dei cittadini incontra per prima il sistema sanitario, lo studio del medico di base. È questa collocazione a monte del sistema che ne definisce la natura e il valore.</w:t>
      </w:r>
    </w:p>
    <w:p>
      <w:pPr>
        <w:pStyle w:val="BodyText"/>
      </w:pPr>
      <w:r>
        <w:t xml:space="preserve">La teoria del cambiamento — il nesso esplicito tra ciò che si fa e gli effetti attesi — si fonda sul principio della prevenzione secondaria: intercettare il disagio comune nelle sue fasi iniziali, prima che si cronicizzi e che generi domanda di servizi più intensivi e costosi. Il meccanismo opera in più passaggi concatenati. Un primo livello accessibile e privo di stigma intercetta una quota del bisogno oggi inevaso; gli interventi psicologici brevi risolvono i quadri lievi e moderati, generando recupero clinico; la funzione di filtro invia ai servizi specialistici i soli quadri che li richiedono, riservando a essi la capacità specialistica; e la presa in carico precoce riduce il ricorso improprio al pronto soccorso, le prescrizioni farmacologiche inappropriate e la domanda che oggi migra verso altre regioni. Gli effetti attesi si dispongono perciò su tre piani: clinico, di sistema e sociale, secondo la catena logica riepilogata nella tabella seguente.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Puglia</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780.000 persone con disagio comune, in larga parte non intercettato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Psicologo nelle cure primarie: intercettazione precoce, intervento breve, filtro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domanda trattenuta sul territorio</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minor carico familiare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2263"/>
    <w:bookmarkStart w:id="2264" w:name="c.2-il-modello-organizzativo-1"/>
    <w:p>
      <w:pPr>
        <w:pStyle w:val="Heading3"/>
      </w:pPr>
      <w:r>
        <w:t xml:space="preserve">C.2 Il modello organizzativo</w:t>
      </w:r>
    </w:p>
    <w:p>
      <w:pPr>
        <w:pStyle w:val="FirstParagraph"/>
      </w:pPr>
      <w:r>
        <w:t xml:space="preserve">Il modello organizzativo colloca lo psicologo negli studi di medicina generale e nelle Case della Comunità, in forte integrazione con i medici curanti, attraverso consultazioni congiunte, protocolli di invio strutturati e comunicazione facilitata. Tale assetto non è una scelta originale, ma l’adattamento al contesto pugliese di un paradigma ampiamente validato a livello internazionale, che ricorre sotto denominazioni diverse — cura collaborativa, cura integrata, cura a intensità crescente, salute mentale nelle cure primarie — e che condivide alcuni principi costitutivi: la collocazione del professionista in strutture accessibili, la focalizzazione sui disturbi comuni con triage strutturato, gli interventi brevi e orientati agli esiti, il monitoraggio sistematico e l’orientamento alla prevenzione secondaria.</w:t>
      </w:r>
    </w:p>
    <w:p>
      <w:pPr>
        <w:pStyle w:val="BodyText"/>
      </w:pPr>
      <w:r>
        <w:t xml:space="preserve">Il riferimento più robusto è il Collaborative Care Model, sviluppato presso l’Università di Washington e validato da oltre novanta studi randomizzati controllati, che organizza la presa in carico intorno a un’équipe integrata — il medico di base, un responsabile dell’assistenza con formazione in salute mentale e uno psichiatra consulente per i casi complessi — con screening sistematico, interventi strutturati e monitoraggio degli esiti. Concorrono il programma inglese di terapie psicologiche, che ha reso operativo su larga scala il modello della cura a intensità crescente, e il modello olandese che integra gli psicologi nelle cure primarie, in cui l’invio allo specialista riguarda solo i quadri più complessi, dell’ordine del quindici per cento. La direzione è confermata dal quadro strategico che l’Organizzazione mondiale della sanità per l’Europa ha pubblicato nel 2025, che indica l’integrazione di professionisti dedicati nei team di cure primarie tra le strategie cardine per il potenziamento della salute mentale. Il modello pugliese adotta questi principi e li cala nella propria rete di sei aziende e quarantacinque distretti.</w:t>
      </w:r>
    </w:p>
    <w:bookmarkEnd w:id="2264"/>
    <w:bookmarkStart w:id="2265" w:name="X9561cf20ba41c32608a2ab74f7e23be90c8cec6"/>
    <w:p>
      <w:pPr>
        <w:pStyle w:val="Heading3"/>
      </w:pPr>
      <w:r>
        <w:t xml:space="preserve">C.3 Il percorso clinico, la sicurezza e gli esiti</w:t>
      </w:r>
    </w:p>
    <w:p>
      <w:pPr>
        <w:pStyle w:val="FirstParagraph"/>
      </w:pPr>
      <w:r>
        <w:t xml:space="preserve">Il percorso clinico è organizzato secondo la logica della cura a intensità crescente. Al primo livello si collocano gli interventi brevi — dell’ordine di quattro-otto sedute, fondati su principi cognitivo-comportamentali ed erogati anche come auto-aiuto guidato — destinati ai quadri lievi e moderati, che costituiscono la maggioranza del bisogno. I quadri che non rispondono o che presentano maggiore complessità accedono a interventi più strutturati, e i casi gravi sono inviati ai servizi specialistici. La porta d’ingresso e il monitoraggio si fondano su strumenti standardizzati: il PHQ-9 per i sintomi depressivi e il GAD-7 per i sintomi d’ansia, dotati di buona sensibilità e specificità, somministrati all’ingresso e lungo il percorso nei soli punteggi complessivi, a misura oggettiva del miglioramento clinico e del tasso di recupero.</w:t>
      </w:r>
    </w:p>
    <w:p>
      <w:pPr>
        <w:pStyle w:val="BodyText"/>
      </w:pPr>
      <w:r>
        <w:t xml:space="preserve">La sicurezza del percorso — oggetto del terzo dominio della valutazione — è presidiata da un criterio netto di appropriatezza. Sono esclusi dal primo livello i quadri gravi o acuti, ai quali è garantito l’invio appropriato ai servizi specialistici e, ove necessario, ai percorsi dell’emergenza, in raccordo con il medico curante; le situazioni di rischio per sé o per altri sono indirizzate con priorità e senza indugio, senza che lo studio o la cartella registrino il dettaglio delle modalità, a garanzia insieme di sicurezza clinica e di dignità della persona. Il filtro, in questo senso, non è solo un meccanismo di efficienza, ma anche di sicurezza, poiché assicura che ciascun bisogno sia trattato nel livello assistenziale appropriato.</w:t>
      </w:r>
    </w:p>
    <w:p>
      <w:pPr>
        <w:pStyle w:val="BodyText"/>
      </w:pPr>
      <w:r>
        <w:t xml:space="preserve">Gli esiti sono articolati per tipologia, in modo da rendere conto dell’effetto dell’intervento su tutti i piani rilevanti: l’esito primario è la quota di miglioramento clinico e il tasso di recupero; gli esiti clinici secondari comprendono la remissione, la riduzione dei punteggi sintomatologici e la soddisfazione; gli esiti di processo misurano l’attività e l’appropriatezza dell’invio; gli esiti di impatto e utilizzo misurano la pressione alleviata sui servizi. La tabella seguente riepiloga le prime categorie di esito, di pertinenza clinica e organizzativa; gli esiti economici e di equità sono trattati, rispettivamente, nelle Parti E e G, e l’intero sistema di indicatori è sviluppato nella Parte L.</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di equità sono trattati nelle Parti E e G).</w:t>
      </w:r>
    </w:p>
    <w:bookmarkEnd w:id="2265"/>
    <w:bookmarkStart w:id="2266" w:name="X432f49ef6d704c0d637bbbab626b98fbdebe1b0"/>
    <w:p>
      <w:pPr>
        <w:pStyle w:val="Heading3"/>
      </w:pPr>
      <w:r>
        <w:t xml:space="preserve">C.4 Il sistema informativo e l’interoperabilità</w:t>
      </w:r>
    </w:p>
    <w:p>
      <w:pPr>
        <w:pStyle w:val="FirstParagraph"/>
      </w:pPr>
      <w:r>
        <w:t xml:space="preserve">Il servizio si avvale dei sistemi informativi sanitari regionali e del Fascicolo Sanitario Elettronico, quali strumenti della continuità assistenziale e dell’integrazione con la medicina generale e i servizi specialistici. È prevista una cartella dedicata, interoperabile con i sistemi aziendali, che registra in forma strutturata le prese in carico, i percorsi e le misure di esito standardizzate, e che alimenta al tempo stesso il sistema di monitoraggio, secondo standard di interoperabilità definiti a livello nazionale. L’interoperabilità non è un requisito accessorio: è la condizione perché la funzione di filtro operi davvero, poiché l’invio appropriato tra primo livello, medicina generale e servizi specialistici presuppone che le informazioni cliniche rilevanti seguano la persona lungo il percorso.</w:t>
      </w:r>
    </w:p>
    <w:p>
      <w:pPr>
        <w:pStyle w:val="BodyText"/>
      </w:pPr>
      <w:r>
        <w:t xml:space="preserve">La progettazione del sistema informativo rispetta la disciplina europea e nazionale su protezione dei dati, dispositivi medici e intelligenza artificiale, con particolare attenzione alla sicurezza, alla trasparenza e alla minimizzazione dei dati trattati; al sistema di monitoraggio, e a ogni livello di analisi, sono trasmessi dati in forma aggregata, dai quali non è possibile risalire alla persona. Il sistema informativo, in questo modo, assolve una doppia funzione: sostiene la cura del singolo, garantendo la continuità, e produce, in forma anonima, la base dati che alimenta la valutazione dell’intero servizio, oggetto delle parti successive dello studio.</w:t>
      </w:r>
    </w:p>
    <w:bookmarkEnd w:id="2266"/>
    <w:bookmarkStart w:id="2267" w:name="Xfa470f5c5a86b9265decee35c9e9d5819a7eed2"/>
    <w:p>
      <w:pPr>
        <w:pStyle w:val="Heading3"/>
      </w:pPr>
      <w:r>
        <w:t xml:space="preserve">C.5 Gli strumenti digitali e l’intelligenza artificiale</w:t>
      </w:r>
    </w:p>
    <w:p>
      <w:pPr>
        <w:pStyle w:val="FirstParagraph"/>
      </w:pPr>
      <w:r>
        <w:t xml:space="preserve">Il servizio si avvale di strumenti digitali e di sistemi di intelligenza artificiale a supporto della diagnostica, della prevenzione, del trattamento e della continuità assistenziale, nonché di dispositivi terapeutici digitali validati, impiegati quali ausili dell’attività professionale e non in sua sostituzione. Il principio cardine è la sorveglianza umana: l’intelligenza artificiale opera come copilota del clinico — propone, segnala, sintetizza — ma la decisione resta sempre del professionista; e l’impiego avviene nel rispetto della normativa su IA, dispositivi medici e dati, con supervisione clinica, trasparenza e sicurezza, sulla base di un elenco nazionale degli strumenti ammessi, fondato su criteri di evidenza di efficacia e di conformità regolatoria.</w:t>
      </w:r>
    </w:p>
    <w:p>
      <w:pPr>
        <w:pStyle w:val="BodyText"/>
      </w:pPr>
      <w:r>
        <w:t xml:space="preserve">Le funzioni sono molteplici e ben delimitate: il triage psicologico assistito e lo screening automatico per l’individuazione precoce; gli strumenti predittivi del rischio e il supporto decisionale clinico, sempre non vincolante; la riduzione del carico amministrativo mediante automazione appropriata, che restituisce tempo alla relazione di cura; l’analisi del linguaggio naturale, con i necessari requisiti di validazione, supervisione e spiegabilità. A queste si aggiungono due modalità di particolare rilievo per la Puglia. La telepsicologia, prevista quale modalità integrativa e non sostitutiva, amplia l’accesso nelle aree interne e a minore densità di servizi e assicura la continuità quando lo spostamento sia difficoltoso; i dispositivi terapeutici digitali — software-intervento validati e prescritti, distinti dalle applicazioni di benessere — offrono per i disturbi comuni strumenti a efficacia documentata, già dotati di modelli di rimborso consolidati in altri Paesi europei.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aree interne; continuità</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p>
      <w:pPr>
        <w:pStyle w:val="BodyText"/>
      </w:pPr>
      <w:r>
        <w:t xml:space="preserve">L’adozione di questi strumenti è governata da cautele dirimenti. L’evidenza, in questo ambito disomogenea e in rapida evoluzione, impone criteri di selezione, validazione locale e gradualità; la protezione dei dati richiede sicurezza informatica e consenso espresso in forma chiara; l’equità digitale impone di garantire sempre l’alternativa dell’intervento in presenza alle persone anziane, fragili o a bassa competenza digitale, affinché l’innovazione non generi nuove disuguaglianze; e la supervisione clinica resta, in ogni caso, la condizione ultima dell’impiego responsabile. L’effetto economico di questi strumenti, infine, non costituisce una posta aggiuntiva: esso è già ricompreso nei canali della salute mentale e della farmaceutica della valutazione economica, ed è trattato nella Parte E.</w:t>
      </w:r>
    </w:p>
    <w:bookmarkEnd w:id="2267"/>
    <w:bookmarkStart w:id="2268" w:name="c.6-la-formazione-e-le-competenze-1"/>
    <w:p>
      <w:pPr>
        <w:pStyle w:val="Heading3"/>
      </w:pPr>
      <w:r>
        <w:t xml:space="preserve">C.6 La formazione e le competenze</w:t>
      </w:r>
    </w:p>
    <w:p>
      <w:pPr>
        <w:pStyle w:val="FirstParagraph"/>
      </w:pPr>
      <w:r>
        <w:t xml:space="preserve">L’efficacia del modello dipende dalle competenze dei professionisti che lo attuano, e la formazione è perciò parte costitutiva dell’intervento, non un suo corollario. Il programma formativo è articolato su quattro livelli integrati — universitario, post-universitario specialistico, continuo in ambito lavorativo e di affiancamento operativo — con una componente trasversale dedicata all’intelligenza artificiale applicata alle cure primarie, ed è realizzato in collaborazione con le università, l’Ordine degli Psicologi e le istituzioni scientifiche, sotto l’indirizzo dell’Osservatorio regionale. La formazione è essa stessa scaglionata, in modo da rendere disponibili i professionisti formati in corrispondenza delle fasi di attivazione del servizio, e si rivolge non ai soli psicologi, ma anche ai medici delle cure primarie con cui essi collaborano.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Università regionali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di base e cure primarie: modelli organizzativi, collaborazione, misure di esito, percorsi clinici</w:t>
            </w:r>
          </w:p>
        </w:tc>
        <w:tc>
          <w:tcPr>
            <w:shd w:val="clear" w:color="auto" w:fill="F4F1EC"/>
          </w:tcPr>
          <w:p>
            <w:pPr>
              <w:pStyle w:val="Compact"/>
              <w:spacing w:after="40" w:before="40"/>
              <w:jc w:val="left"/>
            </w:pPr>
            <w:r>
              <w:rPr>
                <w:rFonts w:ascii="Cambria" w:hAnsi="Cambria" w:cs="Cambria" w:eastAsia="Cambria"/>
                <w:color w:val="1A1A1A"/>
                <w:sz w:val="18"/>
              </w:rPr>
              <w:t xml:space="preserve">Corso regionale con attestato</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Tutor aziendali;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t xml:space="preserve">La componente trasversale sull’intelligenza artificiale merita un’ultima notazione, perché collega questa parte alle precedenti. Essa abilita il professionista a selezionare lo strumento appropriato all’indicazione e al profilo della persona, a escludere le controindicazioni, a integrarlo nel percorso e a interpretarne gli esiti: è la competenza che rende l’innovazione tecnologica un ausilio sicuro anziché un rischio. Con la descrizione dell’intervento, del suo modello, del percorso, del sistema informativo, degli strumenti digitali e della formazione, la Parte C completa il quadro di ciò che la riforma è; le parti successive ne accertano l’efficacia sulla base dell’evidenza, a partire dalla revisione sistematica della Parte D.</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Revisione sistematica, qualità dell</w:t>
      </w:r>
      <w:r>
        <w:rPr>
          <w:b/>
          <w:bCs/>
          <w:i/>
          <w:iCs/>
        </w:rPr>
        <w:t xml:space="preserve">’</w:t>
      </w:r>
      <w:r>
        <w:rPr>
          <w:i/>
          <w:iCs/>
        </w:rPr>
        <w:t xml:space="preserve">evidenza, benchmark internazionali, trasferibilità al contesto regionale</w:t>
      </w:r>
    </w:p>
    <w:p>
      <w:pPr>
        <w:pStyle w:val="BodyText"/>
      </w:pPr>
      <w:r>
        <w:t xml:space="preserve">Dominio 4 del modello HTA · nucleo della valutazione clinica · criterio di efficacia</w:t>
      </w:r>
    </w:p>
    <w:bookmarkEnd w:id="2268"/>
    <w:bookmarkEnd w:id="2269"/>
    <w:bookmarkStart w:id="2274" w:name="parte-d-efficacia-clinica-ed-evidenza-2"/>
    <w:p>
      <w:pPr>
        <w:pStyle w:val="Heading2"/>
      </w:pPr>
      <w:r>
        <w:t xml:space="preserve">Parte D — Efficacia clinica ed evidenza</w:t>
      </w:r>
    </w:p>
    <w:p>
      <w:pPr>
        <w:pStyle w:val="FirstParagraph"/>
      </w:pPr>
      <w:r>
        <w:t xml:space="preserve">Questa parte corrisponde al quarto dominio della valutazione di tecnologia sanitaria, l’efficacia clinica, e con i primi tre forma il nucleo che la prassi europea designa come valutazione rapida di efficacia relativa; risponde al criterio di efficacia della griglia di giudizio. Stabilito che cosa la riforma è, qui si accerta se essa funzioni: con quale solidità l’evidenza ne sostiene gli effetti (capitolo D.1), quanto sia certa tale evidenza (D.2), che cosa documentino i programmi internazionali più affini (D.3) e in che misura quei risultati siano trasferibili al contesto pugliese (D.4). La sintesi è condotta secondo standard riconosciuti, e la sua certezza è graduata in modo esplicito, perché una valutazione difendibile dichiara non solo ciò che l’evidenza mostra, ma anche quanto vi si possa fare affidamento.</w:t>
      </w:r>
    </w:p>
    <w:bookmarkStart w:id="2270" w:name="d.1-la-revisione-sistematica-1"/>
    <w:p>
      <w:pPr>
        <w:pStyle w:val="Heading3"/>
      </w:pPr>
      <w:r>
        <w:t xml:space="preserve">D.1 La revisione sistematica</w:t>
      </w:r>
    </w:p>
    <w:p>
      <w:pPr>
        <w:pStyle w:val="FirstParagraph"/>
      </w:pPr>
      <w:r>
        <w:t xml:space="preserve">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strutturata dei dati e sintesi. Gli studi sui dati reali sono trattati secondo la lista STROBE. 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w:t>
      </w:r>
    </w:p>
    <w:p>
      <w:pPr>
        <w:pStyle w:val="BodyText"/>
      </w:pPr>
      <w:r>
        <w:t xml:space="preserve">Il paradigma del Collaborative Care è il più studiato: è stato validato da oltre novanta studi randomizzati controllati, e uno studio fondativo documentò che circa la metà dei pazienti otteneva una riduzione dei sintomi pari almeno alla metà a dodici mesi, contro meno di un quinto nella cura usuale. Una meta-analisi su cinquantasette studi controllati ha stimato un miglioramento medio dei sintomi depressivi pari a 0,28 deviazioni standard, 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 La misura degli effetti si fonda ovunque su strumenti validati, il PHQ-9 e il GAD-7, dotati di buona sensibilità e specificità.</w:t>
      </w:r>
    </w:p>
    <w:p>
      <w:pPr>
        <w:pStyle w:val="BodyText"/>
      </w:pPr>
      <w:r>
        <w:t xml:space="preserve">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perciò trattamenti più intensivi e costosi. È questa la logica per cui un effetto individuale contenuto si traduce, sulla popolazione pugliese di 780.000 persone con disagio comune, in un beneficio clinico e di sistema sostanziale. La tabella seguente riepiloga i principali risultati della letteratura.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Risultato principale</w:t>
            </w:r>
          </w:p>
        </w:tc>
      </w:tr>
      <w:tr>
        <w:tc>
          <w:tcPr/>
          <w:p>
            <w:pPr>
              <w:pStyle w:val="Compact"/>
              <w:spacing w:after="40" w:before="40"/>
              <w:jc w:val="left"/>
            </w:pPr>
            <w:r>
              <w:rPr>
                <w:rFonts w:ascii="Cambria" w:hAnsi="Cambria" w:cs="Cambria" w:eastAsia="Cambria"/>
                <w:b/>
                <w:bCs/>
                <w:color w:val="1A1A1A"/>
                <w:sz w:val="18"/>
              </w:rPr>
              <w:t xml:space="preserve">Studio fondativo (JAMA, 2002)</w:t>
            </w:r>
          </w:p>
        </w:tc>
        <w:tc>
          <w:tcPr/>
          <w:p>
            <w:pPr>
              <w:pStyle w:val="Compact"/>
              <w:spacing w:after="40" w:before="40"/>
              <w:jc w:val="left"/>
            </w:pPr>
            <w:r>
              <w:rPr>
                <w:rFonts w:ascii="Cambria" w:hAnsi="Cambria" w:cs="Cambria" w:eastAsia="Cambria"/>
                <w:color w:val="1A1A1A"/>
                <w:sz w:val="18"/>
              </w:rPr>
              <w:t xml:space="preserve">~ 50% dei pazienti con riduzione ≥ 50% dei sintomi a 12 mesi, contro 19% nella cura usuale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Meta-analisi su 57 studi (2012)</w:t>
            </w:r>
          </w:p>
        </w:tc>
        <w:tc>
          <w:tcPr>
            <w:shd w:val="clear" w:color="auto" w:fill="F4F1EC"/>
          </w:tcPr>
          <w:p>
            <w:pPr>
              <w:pStyle w:val="Compact"/>
              <w:spacing w:after="40" w:before="40"/>
              <w:jc w:val="left"/>
            </w:pPr>
            <w:r>
              <w:rPr>
                <w:rFonts w:ascii="Cambria" w:hAnsi="Cambria" w:cs="Cambria" w:eastAsia="Cambria"/>
                <w:color w:val="1A1A1A"/>
                <w:sz w:val="18"/>
              </w:rPr>
              <w:t xml:space="preserve">Miglioramento medio dei sintomi depressivi di 0,28 deviazioni standard</w:t>
            </w:r>
          </w:p>
        </w:tc>
      </w:tr>
      <w:tr>
        <w:tc>
          <w:tcPr/>
          <w:p>
            <w:pPr>
              <w:pStyle w:val="Compact"/>
              <w:spacing w:after="40" w:before="40"/>
              <w:jc w:val="left"/>
            </w:pPr>
            <w:r>
              <w:rPr>
                <w:rFonts w:ascii="Cambria" w:hAnsi="Cambria" w:cs="Cambria" w:eastAsia="Cambria"/>
                <w:b/>
                <w:bCs/>
                <w:color w:val="1A1A1A"/>
                <w:sz w:val="18"/>
              </w:rPr>
              <w:t xml:space="preserve">Revisione su 42 implementazioni (2024)</w:t>
            </w:r>
          </w:p>
        </w:tc>
        <w:tc>
          <w:tcPr/>
          <w:p>
            <w:pPr>
              <w:pStyle w:val="Compact"/>
              <w:spacing w:after="40" w:before="40"/>
              <w:jc w:val="left"/>
            </w:pPr>
            <w:r>
              <w:rPr>
                <w:rFonts w:ascii="Cambria" w:hAnsi="Cambria" w:cs="Cambria" w:eastAsia="Cambria"/>
                <w:color w:val="1A1A1A"/>
                <w:sz w:val="18"/>
              </w:rPr>
              <w:t xml:space="preserve">−47% depressione e −43% ansia a 6 mesi; −34% accessi al PS; −41% ricoveri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Programma inglese, dati reali (2023–2024)</w:t>
            </w:r>
          </w:p>
        </w:tc>
        <w:tc>
          <w:tcPr>
            <w:shd w:val="clear" w:color="auto" w:fill="F4F1EC"/>
          </w:tcPr>
          <w:p>
            <w:pPr>
              <w:pStyle w:val="Compact"/>
              <w:spacing w:after="40" w:before="40"/>
              <w:jc w:val="left"/>
            </w:pPr>
            <w:r>
              <w:rPr>
                <w:rFonts w:ascii="Cambria" w:hAnsi="Cambria" w:cs="Cambria" w:eastAsia="Cambria"/>
                <w:color w:val="1A1A1A"/>
                <w:sz w:val="18"/>
              </w:rPr>
              <w:t xml:space="preserve">Recupero 50,2%; miglioramento affidabile 67,8%; completezza dei dati &gt; 98%</w:t>
            </w:r>
          </w:p>
        </w:tc>
      </w:tr>
      <w:tr>
        <w:tc>
          <w:tcPr/>
          <w:p>
            <w:pPr>
              <w:pStyle w:val="Compact"/>
              <w:spacing w:after="40" w:before="40"/>
              <w:jc w:val="left"/>
            </w:pPr>
            <w:r>
              <w:rPr>
                <w:rFonts w:ascii="Cambria" w:hAnsi="Cambria" w:cs="Cambria" w:eastAsia="Cambria"/>
                <w:b/>
                <w:bCs/>
                <w:color w:val="1A1A1A"/>
                <w:sz w:val="18"/>
              </w:rPr>
              <w:t xml:space="preserve">Meta-analisi sulle cure integrate</w:t>
            </w:r>
          </w:p>
        </w:tc>
        <w:tc>
          <w:tcPr/>
          <w:p>
            <w:pPr>
              <w:pStyle w:val="Compact"/>
              <w:spacing w:after="40" w:before="40"/>
              <w:jc w:val="left"/>
            </w:pPr>
            <w:r>
              <w:rPr>
                <w:rFonts w:ascii="Cambria" w:hAnsi="Cambria" w:cs="Cambria" w:eastAsia="Cambria"/>
                <w:color w:val="1A1A1A"/>
                <w:sz w:val="18"/>
              </w:rP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w:t>
      </w:r>
      <w:r>
        <w:rPr>
          <w:b/>
          <w:bCs/>
          <w:i/>
          <w:iCs/>
        </w:rPr>
        <w:t xml:space="preserve">******efficacia dell******</w:t>
      </w:r>
      <w:r>
        <w:rPr>
          <w:b/>
          <w:bCs/>
          <w:i/>
          <w:iCs/>
        </w:rPr>
        <w:t xml:space="preserve">’</w:t>
      </w:r>
      <w:r>
        <w:rPr>
          <w:i/>
          <w:iCs/>
        </w:rPr>
        <w:t xml:space="preserve">integrazione psicologica nelle cure primarie.</w:t>
      </w:r>
    </w:p>
    <w:bookmarkEnd w:id="2270"/>
    <w:bookmarkStart w:id="2271" w:name="d.2-la-qualità-dellevidenza-1"/>
    <w:p>
      <w:pPr>
        <w:pStyle w:val="Heading3"/>
      </w:pPr>
      <w:r>
        <w:t xml:space="preserve">D.2 La qualità dell’evidenza</w:t>
      </w:r>
    </w:p>
    <w:p>
      <w:pPr>
        <w:pStyle w:val="FirstParagraph"/>
      </w:pPr>
      <w:r>
        <w:t xml:space="preserve">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 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pugliese — limita l’indirettezza.</w:t>
      </w:r>
    </w:p>
    <w:p>
      <w:pPr>
        <w:pStyle w:val="BodyText"/>
      </w:pPr>
      <w:r>
        <w:t xml:space="preserve">Un elemento rafforza ulteriormente la fiducia nei risultati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controllati si mantiene nell’attuazione reale a scala nazionale. 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in sintesi, è sufficiente a sostenere con fiducia l’attesa di efficacia, fermo restando che la conferma definitiva sui dati pugliesi è affidata alla verifica locale prevista dalla Parte L.</w:t>
      </w:r>
    </w:p>
    <w:bookmarkEnd w:id="2271"/>
    <w:bookmarkStart w:id="2272" w:name="d.3-i-benchmark-internazionali-1"/>
    <w:p>
      <w:pPr>
        <w:pStyle w:val="Heading3"/>
      </w:pPr>
      <w:r>
        <w:t xml:space="preserve">D.3 I benchmark internazionali</w:t>
      </w:r>
    </w:p>
    <w:p>
      <w:pPr>
        <w:pStyle w:val="FirstParagraph"/>
      </w:pPr>
      <w:r>
        <w:t xml:space="preserve">La valutazione si avvale del confronto con i programmi internazionali più autorevoli, che costituiscono la principale base comparativa dell’intero studio. Quattro esperienze, condotte in sistemi sanitari avanzati, documentano efficacia, scalabilità e sostenibilità dell’integrazione psicologica nelle cure primarie. Il programma inglese è la dimostrazione più solida: fondato sulla cura a intensità crescente e su un monitoraggio quasi completo degli esiti, mantiene un tasso di recupero intorno al 50% su scala nazionale. Il modello olandese ha visto crescere l’adozione da circa un terzo a circa tre quarti dei medici di medicina generale in pochi anni, con il professionista psicologo integrato nelle cure primarie e finanziato nell’assicurazione di base. L’iniziativa australiana ha esteso il trattamento dei disturbi mentali dal 35% al 46% della popolazione bisognosa, con elevata soddisfazione, sebbene operi per invio esterno e non per integrazione. Il Collaborative Care statunitense, infine, è il paradigma più validato, con la più ampia base sperimentale.</w:t>
      </w:r>
    </w:p>
    <w:p>
      <w:pPr>
        <w:pStyle w:val="BodyText"/>
      </w:pPr>
      <w:r>
        <w:t xml:space="preserve">Due tratti accomunano i programmi più efficaci e orientano il disegno pugliese.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pugliese, fondato sull’inserimento dello psicologo nelle cure primarie con funzione di filtro, appartiene alla prima famiglia. Il secondo è il ricorso crescente agli strumenti digitali quale leva di accesso e di capacità, già ampiamente adottato nel programma inglese. A queste esperienze internazionali si affiancano le sperimentazioni italiane, tra cui il modello Solano nel Lazio, che ne hanno anticipato su scala locale i principi. La tabella seguente riepiloga i benchmark sul piano clinico e organizzativo; il confronto economico è sviluppato nella Parte 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Assetto</w:t>
            </w:r>
          </w:p>
        </w:tc>
        <w:tc>
          <w:tcPr>
            <w:shd w:val="clear" w:color="auto" w:fill="16264B"/>
          </w:tcPr>
          <w:p>
            <w:pPr>
              <w:pStyle w:val="Compact"/>
              <w:spacing w:after="40" w:before="40"/>
              <w:jc w:val="left"/>
            </w:pPr>
            <w:r>
              <w:rPr>
                <w:rFonts w:ascii="Cambria" w:hAnsi="Cambria" w:cs="Cambria" w:eastAsia="Cambria"/>
                <w:b/>
                <w:bCs/>
                <w:color w:val="FFFFFF"/>
                <w:sz w:val="18"/>
              </w:rPr>
              <w:t xml:space="preserve">Esiti clinici e organizzativi</w:t>
            </w:r>
          </w:p>
        </w:tc>
      </w:tr>
      <w:tr>
        <w:tc>
          <w:tcPr/>
          <w:p>
            <w:pPr>
              <w:pStyle w:val="Compact"/>
              <w:spacing w:after="40" w:before="40"/>
              <w:jc w:val="left"/>
            </w:pPr>
            <w:r>
              <w:rPr>
                <w:rFonts w:ascii="Cambria" w:hAnsi="Cambria" w:cs="Cambria" w:eastAsia="Cambria"/>
                <w:b/>
                <w:bCs/>
                <w:color w:val="1A1A1A"/>
                <w:sz w:val="18"/>
              </w:rPr>
              <w:t xml:space="preserve">Programma inglese (NHS Talking Therapies)</w:t>
            </w:r>
          </w:p>
        </w:tc>
        <w:tc>
          <w:tcPr/>
          <w:p>
            <w:pPr>
              <w:pStyle w:val="Compact"/>
              <w:spacing w:after="40" w:before="40"/>
              <w:jc w:val="left"/>
            </w:pPr>
            <w:r>
              <w:rPr>
                <w:rFonts w:ascii="Cambria" w:hAnsi="Cambria" w:cs="Cambria" w:eastAsia="Cambria"/>
                <w:color w:val="1A1A1A"/>
                <w:sz w:val="18"/>
              </w:rPr>
              <w:t xml:space="preserve">Integrato; intensità crescente</w:t>
            </w:r>
          </w:p>
        </w:tc>
        <w:tc>
          <w:tcPr/>
          <w:p>
            <w:pPr>
              <w:pStyle w:val="Compact"/>
              <w:spacing w:after="40" w:before="40"/>
              <w:jc w:val="left"/>
            </w:pPr>
            <w:r>
              <w:rPr>
                <w:rFonts w:ascii="Cambria" w:hAnsi="Cambria" w:cs="Cambria" w:eastAsia="Cambria"/>
                <w:color w:val="1A1A1A"/>
                <w:sz w:val="18"/>
              </w:rPr>
              <w:t xml:space="preserve">Recupero ~50%; monitoraggio &gt; 98%; &gt; 1,3 mln/anno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olandese (POH-GGZ)</w:t>
            </w:r>
          </w:p>
        </w:tc>
        <w:tc>
          <w:tcPr>
            <w:shd w:val="clear" w:color="auto" w:fill="F4F1EC"/>
          </w:tcPr>
          <w:p>
            <w:pPr>
              <w:pStyle w:val="Compact"/>
              <w:spacing w:after="40" w:before="40"/>
              <w:jc w:val="left"/>
            </w:pPr>
            <w:r>
              <w:rPr>
                <w:rFonts w:ascii="Cambria" w:hAnsi="Cambria" w:cs="Cambria" w:eastAsia="Cambria"/>
                <w:color w:val="1A1A1A"/>
                <w:sz w:val="18"/>
              </w:rPr>
              <w:t xml:space="preserve">Integrato nelle cure primarie</w:t>
            </w:r>
          </w:p>
        </w:tc>
        <w:tc>
          <w:tcPr>
            <w:shd w:val="clear" w:color="auto" w:fill="F4F1EC"/>
          </w:tcPr>
          <w:p>
            <w:pPr>
              <w:pStyle w:val="Compact"/>
              <w:spacing w:after="40" w:before="40"/>
              <w:jc w:val="left"/>
            </w:pPr>
            <w:r>
              <w:rPr>
                <w:rFonts w:ascii="Cambria" w:hAnsi="Cambria" w:cs="Cambria" w:eastAsia="Cambria"/>
                <w:color w:val="1A1A1A"/>
                <w:sz w:val="18"/>
              </w:rPr>
              <w:t xml:space="preserve">Adozione ~3/4 dei medici; ruolo complementare</w:t>
            </w:r>
          </w:p>
        </w:tc>
      </w:tr>
      <w:tr>
        <w:tc>
          <w:tcPr/>
          <w:p>
            <w:pPr>
              <w:pStyle w:val="Compact"/>
              <w:spacing w:after="40" w:before="40"/>
              <w:jc w:val="left"/>
            </w:pPr>
            <w:r>
              <w:rPr>
                <w:rFonts w:ascii="Cambria" w:hAnsi="Cambria" w:cs="Cambria" w:eastAsia="Cambria"/>
                <w:b/>
                <w:bCs/>
                <w:color w:val="1A1A1A"/>
                <w:sz w:val="18"/>
              </w:rPr>
              <w:t xml:space="preserve">Iniziativa australiana (Better Access)</w:t>
            </w:r>
          </w:p>
        </w:tc>
        <w:tc>
          <w:tcPr/>
          <w:p>
            <w:pPr>
              <w:pStyle w:val="Compact"/>
              <w:spacing w:after="40" w:before="40"/>
              <w:jc w:val="left"/>
            </w:pPr>
            <w:r>
              <w:rPr>
                <w:rFonts w:ascii="Cambria" w:hAnsi="Cambria" w:cs="Cambria" w:eastAsia="Cambria"/>
                <w:color w:val="1A1A1A"/>
                <w:sz w:val="18"/>
              </w:rPr>
              <w:t xml:space="preserve">Invio esterno</w:t>
            </w:r>
          </w:p>
        </w:tc>
        <w:tc>
          <w:tcPr/>
          <w:p>
            <w:pPr>
              <w:pStyle w:val="Compact"/>
              <w:spacing w:after="40" w:before="40"/>
              <w:jc w:val="left"/>
            </w:pPr>
            <w:r>
              <w:rPr>
                <w:rFonts w:ascii="Cambria" w:hAnsi="Cambria" w:cs="Cambria" w:eastAsia="Cambria"/>
                <w:color w:val="1A1A1A"/>
                <w:sz w:val="18"/>
              </w:rPr>
              <w:t xml:space="preserve">Trattamento dal 35% al 46%; 91% miglioramenti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Collaborative Care (Stati Uniti)</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r>
        <w:tc>
          <w:tcPr/>
          <w:p>
            <w:pPr>
              <w:pStyle w:val="Compact"/>
              <w:spacing w:after="40" w:before="40"/>
              <w:jc w:val="left"/>
            </w:pPr>
            <w:r>
              <w:rPr>
                <w:rFonts w:ascii="Cambria" w:hAnsi="Cambria" w:cs="Cambria" w:eastAsia="Cambria"/>
                <w:b/>
                <w:bCs/>
                <w:color w:val="1A1A1A"/>
                <w:sz w:val="18"/>
              </w:rPr>
              <w:t xml:space="preserve">Esperienze italiane (Solano, Lazio)</w:t>
            </w:r>
          </w:p>
        </w:tc>
        <w:tc>
          <w:tcPr/>
          <w:p>
            <w:pPr>
              <w:pStyle w:val="Compact"/>
              <w:spacing w:after="40" w:before="40"/>
              <w:jc w:val="left"/>
            </w:pPr>
            <w:r>
              <w:rPr>
                <w:rFonts w:ascii="Cambria" w:hAnsi="Cambria" w:cs="Cambria" w:eastAsia="Cambria"/>
                <w:color w:val="1A1A1A"/>
                <w:sz w:val="18"/>
              </w:rPr>
              <w:t xml:space="preserve">Sperimentazione locale</w:t>
            </w:r>
          </w:p>
        </w:tc>
        <w:tc>
          <w:tcPr/>
          <w:p>
            <w:pPr>
              <w:pStyle w:val="Compact"/>
              <w:spacing w:after="40" w:before="40"/>
              <w:jc w:val="left"/>
            </w:pPr>
            <w:r>
              <w:rPr>
                <w:rFonts w:ascii="Cambria" w:hAnsi="Cambria" w:cs="Cambria" w:eastAsia="Cambria"/>
                <w:color w:val="1A1A1A"/>
                <w:sz w:val="18"/>
              </w:rPr>
              <w:t xml:space="preserve">Anticipazione del modello nelle cure primarie</w:t>
            </w:r>
          </w:p>
        </w:tc>
      </w:tr>
    </w:tbl>
    <w:p>
      <w:pPr>
        <w:pStyle w:val="BodyText"/>
      </w:pPr>
      <w:r>
        <w:rPr>
          <w:i/>
          <w:iCs/>
        </w:rPr>
        <w:t xml:space="preserve">Tabella D.2. I benchmark internazionali e italiani sul piano clinico e organizzativo (il confronto economico è nella Parte E).</w:t>
      </w:r>
    </w:p>
    <w:bookmarkEnd w:id="2272"/>
    <w:bookmarkStart w:id="2273" w:name="X3a547795647a1c227bb51a6b85ace039c16dfc7"/>
    <w:p>
      <w:pPr>
        <w:pStyle w:val="Heading3"/>
      </w:pPr>
      <w:r>
        <w:t xml:space="preserve">D.4 La trasferibilità al contesto regionale</w:t>
      </w:r>
    </w:p>
    <w:p>
      <w:pPr>
        <w:pStyle w:val="FirstParagraph"/>
      </w:pPr>
      <w:r>
        <w:t xml:space="preserve">L’evidenza internazionale non si applica automaticamente alla Puglia, e la sua trasferibilità va valutata con prudenza, distinguendo ciò che è robustamente generalizzabile da ciò che dipende dal contesto. Sul piano dell’assetto, la trasferibilità è favorevole: il modello pugliese, che integra lo psicologo nelle cure primarie con funzione di filtro, appartiene alla stessa famiglia dei programmi inglese, olandese e statunitense, e ne mutua le evidenze con maggiore pertinenza rispetto al modello australiano per invio esterno. Gli esiti clinici fondamentali — il recupero e la riduzione dei sintomi mediante interventi brevi e monitorati — poggiano su meccanismi clinici generali, non legati a un particolare sistema sanitario, e sono perciò ragionevolmente trasferibili.</w:t>
      </w:r>
    </w:p>
    <w:p>
      <w:pPr>
        <w:pStyle w:val="BodyText"/>
      </w:pPr>
      <w:r>
        <w:t xml:space="preserve">Permangono, tuttavia, differenze che impongono cautela. I sistemi sanitari differiscono per organizzazione e per copertura di partenza; la Puglia muove da un servizio al 5% del fabbisogno e da una sotto-rilevazione del disagio documentata, che da un lato accresce il bisogno latente da intercettare, dall’altro rende incerta la rapidità dell’emersione della domanda; e la disponibilità di organico psicologico formato è un vincolo reale dei primi anni. 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sei aziende, oggetto della Parte L, è disegnato precisamente per misurare sui dati pugliesi gli effetti che la letteratura attende, trasformando le stime in prove.</w:t>
      </w:r>
    </w:p>
    <w:p>
      <w:pPr>
        <w:pStyle w:val="BodyText"/>
      </w:pPr>
      <w:r>
        <w:t xml:space="preserve">Un’ultima precisazione attiene al confine tra questa parte e quella economica. I programmi internazionali documentano non solo esiti clinici, ma anche ritorni economici; questi ultimi, tuttavia, non sono trattati qui, dove rileva la sola efficacia clinica, bensì nella Parte E, ove il caso pugliese adotta la stima conservativa consolidata e distingue il risparmio diretto per il bilancio dalle ricadute sociali. 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Costi, esiti, costo-efficacia e costo-utilità, impatto sul bilancio, ritorno sociale, caso economico e caso finanziario</w:t>
      </w:r>
    </w:p>
    <w:p>
      <w:pPr>
        <w:pStyle w:val="BodyText"/>
      </w:pPr>
      <w:r>
        <w:t xml:space="preserve">Dominio 5 del modello HTA · reporting CHEERS 2022 · casi economico e finanziario · criterio di efficienza</w:t>
      </w:r>
    </w:p>
    <w:bookmarkEnd w:id="2273"/>
    <w:bookmarkEnd w:id="2274"/>
    <w:bookmarkStart w:id="2306" w:name="parte-e-valutazione-economica-3"/>
    <w:p>
      <w:pPr>
        <w:pStyle w:val="Heading2"/>
      </w:pPr>
      <w:r>
        <w:t xml:space="preserve">Parte E — Valutazione economica</w:t>
      </w:r>
    </w:p>
    <w:p>
      <w:pPr>
        <w:pStyle w:val="FirstParagraph"/>
      </w:pPr>
      <w:r>
        <w:t xml:space="preserve">Questa parte corrisponde al quinto dominio della valutazione di tecnologia sanitaria, i costi e la valutazione economica, ed è redatta secondo lo standard di reporting CHEERS 2022; fornisce il contenuto del caso economico e del caso finanziario del Five Case Model e risponde al criterio di efficienza.</w:t>
      </w:r>
      <w:r>
        <w:rPr>
          <w:rStyle w:val="FootnoteReference"/>
        </w:rPr>
        <w:footnoteReference w:id="973"/>
      </w:r>
      <w:r>
        <w:rPr>
          <w:rStyle w:val="FootnoteReference"/>
        </w:rPr>
        <w:footnoteReference w:id="974"/>
      </w:r>
      <w:r>
        <w:rPr>
          <w:rStyle w:val="FootnoteReference"/>
        </w:rPr>
        <w:footnoteReference w:id="975"/>
      </w:r>
      <w:r>
        <w:rPr>
          <w:rStyle w:val="FootnoteReference"/>
        </w:rPr>
        <w:footnoteReference w:id="976"/>
      </w:r>
      <w:r>
        <w:rPr>
          <w:rStyle w:val="FootnoteReference"/>
        </w:rPr>
        <w:footnoteReference w:id="977"/>
      </w:r>
      <w:r>
        <w:rPr>
          <w:rStyle w:val="FootnoteReference"/>
        </w:rPr>
        <w:footnoteReference w:id="978"/>
      </w:r>
      <w:r>
        <w:rPr>
          <w:rStyle w:val="FootnoteReference"/>
        </w:rPr>
        <w:footnoteReference w:id="979"/>
      </w:r>
      <w:r>
        <w:t xml:space="preserve"> </w:t>
      </w:r>
      <w:r>
        <w:t xml:space="preserve">È il cuore economico dello studio, ed è anche la parte più esposta allo scrutinio degli organi di controllo. Per questa ragione essa adotta una scelta di rigore che ne attraversa ogni capitolo: la distinzione netta tra il risparmio diretto per il bilancio sanitario e le ricadute economico-sociali per la collettività. Sommare le due grandezze, come spesso accade, sovrastima il beneficio per il bilancio; tenerle separate restituisce un quadro più sobrio sui conti sanitari, ma più solido e difendibile — una qualità decisiva per una regione in disavanzo. I capitoli trattano nell’ordine i costi (E.1), gli esiti (E.2), il costo-efficacia (E.3), l’impatto sul bilancio (E.4), il ritorno sociale (E.5) e la sintesi nei due casi (E.6).</w:t>
      </w:r>
    </w:p>
    <w:bookmarkStart w:id="2285" w:name="X5f5b122d7efb41eb14a04d75f4945e52d02b7c0"/>
    <w:p>
      <w:pPr>
        <w:pStyle w:val="Heading3"/>
      </w:pPr>
      <w:r>
        <w:t xml:space="preserve">E.1 L’identificazione e la misura dei costi</w:t>
      </w:r>
    </w:p>
    <w:p>
      <w:pPr>
        <w:pStyle w:val="FirstParagraph"/>
      </w:pPr>
      <w:r>
        <w:t xml:space="preserve">Il costo del servizio dipende dal numero di professionisti e dal modello contrattuale. Il costo medio annuo di un incarico convenzionale a tempo pieno è dell’ordine di 55.000 euro — circa 40 euro l’ora di costo-azienda comprensivo degli oneri, per circa 1.250 ore l’anno, più circa 5.000 euro di costi generali — ancorato all’accordo della specialistica ambulatoriale.</w:t>
      </w:r>
      <w:r>
        <w:rPr>
          <w:rStyle w:val="FootnoteReference"/>
        </w:rPr>
        <w:footnoteReference w:id="980"/>
      </w:r>
      <w:r>
        <w:t xml:space="preserve"> </w:t>
      </w:r>
      <w:r>
        <w:t xml:space="preserve">Applicato agli scenari di copertura, da circa 450 a circa 900 incarichi, il costo annuo del servizio va da circa 25 a circa 50 milioni di euro, fino a 60–75 milioni nell’ipotesi di costi pieni e massima copertura. Il costo non si esaurisce, tuttavia, nell’organico: l’investimento comprende anche la formazione, la supervisione clinica, la governance, i sistemi informativi e le infrastrutture, e questi costi non sanitari sono inclusi coerentemente con la doppia prospettiva adottata.</w:t>
      </w:r>
      <w:r>
        <w:rPr>
          <w:rStyle w:val="FootnoteReference"/>
        </w:rPr>
        <w:footnoteReference w:id="981"/>
      </w:r>
      <w:r>
        <w:rPr>
          <w:rStyle w:val="FootnoteReference"/>
        </w:rPr>
        <w:footnoteReference w:id="982"/>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 (mln €)</w:t>
            </w:r>
          </w:p>
        </w:tc>
      </w:tr>
      <w:tr>
        <w:tc>
          <w:tcPr/>
          <w:p>
            <w:pPr>
              <w:pStyle w:val="Compact"/>
              <w:spacing w:after="40" w:before="40"/>
              <w:jc w:val="left"/>
            </w:pPr>
            <w:r>
              <w:rPr>
                <w:rFonts w:ascii="Cambria" w:hAnsi="Cambria" w:cs="Cambria" w:eastAsia="Cambria"/>
                <w:b/>
                <w:bCs/>
                <w:color w:val="1A1A1A"/>
                <w:sz w:val="18"/>
              </w:rPr>
              <w:t xml:space="preserve">Attuale (L.R. 11/2023)</w:t>
            </w:r>
          </w:p>
        </w:tc>
        <w:tc>
          <w:tcPr/>
          <w:p>
            <w:pPr>
              <w:pStyle w:val="Compact"/>
              <w:spacing w:after="40" w:before="40"/>
              <w:jc w:val="left"/>
            </w:pPr>
            <w:r>
              <w:rPr>
                <w:rFonts w:ascii="Cambria" w:hAnsi="Cambria" w:cs="Cambria" w:eastAsia="Cambria"/>
                <w:color w:val="1A1A1A"/>
                <w:sz w:val="18"/>
              </w:rPr>
              <w:t xml:space="preserve">~ 45 (uno per distretto)</w:t>
            </w:r>
          </w:p>
        </w:tc>
        <w:tc>
          <w:tcPr/>
          <w:p>
            <w:pPr>
              <w:pStyle w:val="Compact"/>
              <w:spacing w:after="40" w:before="40"/>
              <w:jc w:val="left"/>
            </w:pPr>
            <w:r>
              <w:rPr>
                <w:rFonts w:ascii="Cambria" w:hAnsi="Cambria" w:cs="Cambria" w:eastAsia="Cambria"/>
                <w:color w:val="1A1A1A"/>
                <w:sz w:val="18"/>
              </w:rPr>
              <w:t xml:space="preserve">1,5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Conservativo</w:t>
            </w:r>
          </w:p>
        </w:tc>
        <w:tc>
          <w:tcPr>
            <w:shd w:val="clear" w:color="auto" w:fill="F4F1EC"/>
          </w:tcPr>
          <w:p>
            <w:pPr>
              <w:pStyle w:val="Compact"/>
              <w:spacing w:after="40" w:before="40"/>
              <w:jc w:val="left"/>
            </w:pPr>
            <w:r>
              <w:rPr>
                <w:rFonts w:ascii="Cambria" w:hAnsi="Cambria" w:cs="Cambria" w:eastAsia="Cambria"/>
                <w:color w:val="1A1A1A"/>
                <w:sz w:val="18"/>
              </w:rPr>
              <w:t xml:space="preserve">~ 450</w:t>
            </w:r>
          </w:p>
        </w:tc>
        <w:tc>
          <w:tcPr>
            <w:shd w:val="clear" w:color="auto" w:fill="F4F1EC"/>
          </w:tcPr>
          <w:p>
            <w:pPr>
              <w:pStyle w:val="Compact"/>
              <w:spacing w:after="40" w:before="40"/>
              <w:jc w:val="left"/>
            </w:pPr>
            <w:r>
              <w:rPr>
                <w:rFonts w:ascii="Cambria" w:hAnsi="Cambria" w:cs="Cambria" w:eastAsia="Cambria"/>
                <w:color w:val="1A1A1A"/>
                <w:sz w:val="18"/>
              </w:rPr>
              <w:t xml:space="preserve">~ 25</w:t>
            </w:r>
          </w:p>
        </w:tc>
      </w:tr>
      <w:tr>
        <w:tc>
          <w:tcPr/>
          <w:p>
            <w:pPr>
              <w:pStyle w:val="Compact"/>
              <w:spacing w:after="40" w:before="40"/>
              <w:jc w:val="left"/>
            </w:pPr>
            <w:r>
              <w:rPr>
                <w:rFonts w:ascii="Cambria" w:hAnsi="Cambria" w:cs="Cambria" w:eastAsia="Cambria"/>
                <w:b/>
                <w:bCs/>
                <w:color w:val="1A1A1A"/>
                <w:sz w:val="18"/>
              </w:rPr>
              <w:t xml:space="preserve">Base</w:t>
            </w:r>
          </w:p>
        </w:tc>
        <w:tc>
          <w:tcPr/>
          <w:p>
            <w:pPr>
              <w:pStyle w:val="Compact"/>
              <w:spacing w:after="40" w:before="40"/>
              <w:jc w:val="left"/>
            </w:pPr>
            <w:r>
              <w:rPr>
                <w:rFonts w:ascii="Cambria" w:hAnsi="Cambria" w:cs="Cambria" w:eastAsia="Cambria"/>
                <w:color w:val="1A1A1A"/>
                <w:sz w:val="18"/>
              </w:rPr>
              <w:t xml:space="preserve">~ 700</w:t>
            </w:r>
          </w:p>
        </w:tc>
        <w:tc>
          <w:tcPr/>
          <w:p>
            <w:pPr>
              <w:pStyle w:val="Compact"/>
              <w:spacing w:after="40" w:before="40"/>
              <w:jc w:val="left"/>
            </w:pPr>
            <w:r>
              <w:rPr>
                <w:rFonts w:ascii="Cambria" w:hAnsi="Cambria" w:cs="Cambria" w:eastAsia="Cambria"/>
                <w:color w:val="1A1A1A"/>
                <w:sz w:val="18"/>
              </w:rPr>
              <w:t xml:space="preserve">~ 38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Espansivo</w:t>
            </w:r>
          </w:p>
        </w:tc>
        <w:tc>
          <w:tcPr>
            <w:shd w:val="clear" w:color="auto" w:fill="F4F1EC"/>
          </w:tcPr>
          <w:p>
            <w:pPr>
              <w:pStyle w:val="Compact"/>
              <w:spacing w:after="40" w:before="40"/>
              <w:jc w:val="left"/>
            </w:pPr>
            <w:r>
              <w:rPr>
                <w:rFonts w:ascii="Cambria" w:hAnsi="Cambria" w:cs="Cambria" w:eastAsia="Cambria"/>
                <w:color w:val="1A1A1A"/>
                <w:sz w:val="18"/>
              </w:rPr>
              <w:t xml:space="preserve">~ 900</w:t>
            </w:r>
          </w:p>
        </w:tc>
        <w:tc>
          <w:tcPr>
            <w:shd w:val="clear" w:color="auto" w:fill="F4F1EC"/>
          </w:tcPr>
          <w:p>
            <w:pPr>
              <w:pStyle w:val="Compact"/>
              <w:spacing w:after="40" w:before="40"/>
              <w:jc w:val="left"/>
            </w:pPr>
            <w:r>
              <w:rPr>
                <w:rFonts w:ascii="Cambria" w:hAnsi="Cambria" w:cs="Cambria" w:eastAsia="Cambria"/>
                <w:color w:val="1A1A1A"/>
                <w:sz w:val="18"/>
              </w:rPr>
              <w:t xml:space="preserve">~ 50 (fino a 60–75 a costi pieni)</w:t>
            </w:r>
          </w:p>
        </w:tc>
      </w:tr>
    </w:tbl>
    <w:p>
      <w:pPr>
        <w:pStyle w:val="BodyText"/>
      </w:pPr>
      <w:r>
        <w:rPr>
          <w:i/>
          <w:iCs/>
        </w:rPr>
        <w:t xml:space="preserve">Tabella E.1. Il costo del servizio per scenario di copertura. Il servizio attuale copre circa il 5% del fabbisogno.</w:t>
      </w:r>
    </w:p>
    <w:bookmarkEnd w:id="2285"/>
    <w:bookmarkStart w:id="2287" w:name="X43f622a8ad90f8208f38c7173fde1c84e97d7c9"/>
    <w:p>
      <w:pPr>
        <w:pStyle w:val="Heading3"/>
      </w:pPr>
      <w:r>
        <w:t xml:space="preserve">E.2 L’identificazione e la misura degli esiti</w:t>
      </w:r>
    </w:p>
    <w:p>
      <w:pPr>
        <w:pStyle w:val="FirstParagraph"/>
      </w:pPr>
      <w:r>
        <w:t xml:space="preserve">Gli esiti della valutazione economica sono di due ordini. Sul piano della salute, la misura di riferimento è l’anno di vita ponderato per la qualità, che integra in un’unica grandezza la durata e la qualità della vita guadagnate, affiancato dagli esiti clinici validati — il tasso di recupero e il miglioramento affidabile misurati con il PHQ-9 e il GAD-7 — già documentati nella Parte D.</w:t>
      </w:r>
      <w:r>
        <w:rPr>
          <w:rStyle w:val="FootnoteReference"/>
        </w:rPr>
        <w:footnoteReference w:id="983"/>
      </w:r>
      <w:r>
        <w:t xml:space="preserve"> </w:t>
      </w:r>
      <w:r>
        <w:t xml:space="preserve">Tali esiti sono riferiti alla popolazione regionale con disagio comune, dell’ordine di 780.000 persone: è la scala della popolazione a trasformare un effetto clinico individuale anche contenuto in un guadagno di salute aggregato rilevante, secondo la logica già illustrata a proposito della lettura degli effect size.</w:t>
      </w:r>
    </w:p>
    <w:p>
      <w:pPr>
        <w:pStyle w:val="BodyText"/>
      </w:pPr>
      <w:r>
        <w:t xml:space="preserve">Sul piano economico, gli esiti si distinguono nelle due grandezze che l’intera parte tiene separate: i minori costi diretti per il Servizio sanitario regionale, oggetto del capitolo sull’impatto di bilancio, e le ricadute economico-sociali, oggetto del capitolo sul ritorno sociale. La misura degli esiti, dunque, non si limita al guadagno di salute, ma comprende le conseguenze economiche che da quel guadagno discendono, distinte per il soggetto che le riceve — il bilancio sanitario, da un lato, e la collettività, dall’altro.</w:t>
      </w:r>
    </w:p>
    <w:bookmarkEnd w:id="2287"/>
    <w:bookmarkStart w:id="2289" w:name="X68b8185568a8cb597dc0ab35d2a8c0b58ca2dc5"/>
    <w:p>
      <w:pPr>
        <w:pStyle w:val="Heading3"/>
      </w:pPr>
      <w:r>
        <w:t xml:space="preserve">E.3 Il costo-efficacia e il costo-utilità</w:t>
      </w:r>
    </w:p>
    <w:p>
      <w:pPr>
        <w:pStyle w:val="FirstParagraph"/>
      </w:pPr>
      <w:r>
        <w:t xml:space="preserve">L’analisi di costo-utilità rapporta il costo aggiuntivo del servizio al guadagno in anni di vita ponderati per la qualità, secondo il rapporto incrementale di costo-efficacia, e lo confronta con una soglia di disponibilità a pagare, come prescrive il manuale del NICE.</w:t>
      </w:r>
      <w:r>
        <w:rPr>
          <w:rStyle w:val="FootnoteReference"/>
        </w:rPr>
        <w:footnoteReference w:id="984"/>
      </w:r>
      <w:r>
        <w:t xml:space="preserve"> </w:t>
      </w:r>
      <w:r>
        <w:t xml:space="preserve">L’evidenza internazionale, ripresa dalla Parte D, indica che i modelli di integrazione della salute mentale nelle cure primarie sono costo-efficaci, con un investimento iniziale ampiamente compensato dai miglioramenti clinici e dalla minore intensità di cura nel medio periodo. Per la Puglia, il rapporto incrementale specifico sarà calcolato sui dati certificati una volta acquisiti; in questa fase, la valutazione poggia sulla solidità dell’evidenza internazionale e sulla convergenza dei canali di risparmio diretto, trattati nel capitolo seguente.</w:t>
      </w:r>
    </w:p>
    <w:p>
      <w:pPr>
        <w:pStyle w:val="BodyText"/>
      </w:pPr>
      <w:r>
        <w:t xml:space="preserve">È opportuno chiarire il rapporto tra l’analisi di costo-utilità e l’analisi di impatto sul bilancio, che rispondono a domande diverse e adottano convenzioni diverse. La prima misura l’efficienza allocativa — se il guadagno di salute valga il suo costo — e attualizza simmetricamente costi ed esiti al tasso del 3%; la seconda misura la sostenibilità finanziaria — se il bilancio possa assorbire la spesa, esercizio per esercizio — e opera su flussi non scontati. La loro distinzione, lungi dall’essere un tecnicismo, riflette la stessa separazione tra valore ed entità della spesa che struttura l’intera parte, e che il capitolo conclusivo ricompone nei due casi del Five Case Model.</w:t>
      </w:r>
    </w:p>
    <w:bookmarkEnd w:id="2289"/>
    <w:bookmarkStart w:id="2297" w:name="e.4-limpatto-sul-bilancio-1"/>
    <w:p>
      <w:pPr>
        <w:pStyle w:val="Heading3"/>
      </w:pPr>
      <w:r>
        <w:t xml:space="preserve">E.4 L’impatto sul bilancio</w:t>
      </w:r>
    </w:p>
    <w:p>
      <w:pPr>
        <w:pStyle w:val="FirstParagraph"/>
      </w:pPr>
      <w:r>
        <w:t xml:space="preserve">L’analisi di impatto sul bilancio adotta la prospettiva del detentore del budget — il Servizio sanitario regionale — e stima, sui flussi non scontati, la differenza tra lo scenario con e senza il servizio, anno per anno, individuando il punto di pareggio finanziario, atteso tra il terzo e il quinto anno.</w:t>
      </w:r>
      <w:r>
        <w:rPr>
          <w:rStyle w:val="FootnoteReference"/>
        </w:rPr>
        <w:footnoteReference w:id="985"/>
      </w:r>
      <w:r>
        <w:t xml:space="preserve"> </w:t>
      </w:r>
      <w:r>
        <w:t xml:space="preserve">I risparmi diretti per il bilancio sono ricostruiti per canale, ciascuno ancorato a una grandezza regionale e a un parametro tratto dall’evidenza. Il canale del pronto soccorso muove dai circa 914.000 accessi inappropriati, dei quali una quota di origine psichica è riducibile, per un risparmio di 3–5 milioni;</w:t>
      </w:r>
      <w:r>
        <w:rPr>
          <w:rStyle w:val="FootnoteReference"/>
        </w:rPr>
        <w:footnoteReference w:id="986"/>
      </w:r>
      <w:r>
        <w:t xml:space="preserve"> </w:t>
      </w:r>
      <w:r>
        <w:t xml:space="preserve">il canale della farmaceutica agisce sui margini di appropriatezza segnalati dall’alto consumo e dalla bassa aderenza agli antidepressivi, per 3–6 milioni;</w:t>
      </w:r>
      <w:r>
        <w:rPr>
          <w:rStyle w:val="FootnoteReference"/>
        </w:rPr>
        <w:footnoteReference w:id="987"/>
      </w:r>
      <w:r>
        <w:t xml:space="preserve"> </w:t>
      </w:r>
      <w:r>
        <w:t xml:space="preserve">il canale dei ricoveri e della specialistica muove dall’iper-utilizzo associato ai sintomi somatici funzionali e dai ricoveri evitabili, per 9–27 milioni;</w:t>
      </w:r>
      <w:r>
        <w:rPr>
          <w:rStyle w:val="FootnoteReference"/>
        </w:rPr>
        <w:footnoteReference w:id="988"/>
      </w:r>
      <w:r>
        <w:t xml:space="preserve"> </w:t>
      </w:r>
      <w:r>
        <w:t xml:space="preserve">e il canale della mobilità recuperata — il più distintivo per la Puglia — trattiene sul territorio una quota della domanda oggi in fuga, per 5–12 milioni.</w:t>
      </w:r>
      <w:r>
        <w:rPr>
          <w:rStyle w:val="FootnoteReference"/>
        </w:rPr>
        <w:footnoteReference w:id="989"/>
      </w:r>
    </w:p>
    <w:p>
      <w:pPr>
        <w:pStyle w:val="BodyText"/>
      </w:pPr>
      <w:r>
        <w:t xml:space="preserve">Aggregati i canali, i risparmi diretti per il Servizio sanitario regionale sono dell’ordine di 20, 34 e 50 milioni di euro l’anno secondo lo scenario, a fronte di un costo del servizio di 25, 38 e 50 milioni. Ne discende il dato più importante e più onesto dell’intera valutazione: sul solo bilancio sanitario, il saldo diretto è prossimo al pareggio — da un lieve disavanzo a un lieve attivo — e non un ampio risparmio.</w:t>
      </w:r>
      <w:r>
        <w:rPr>
          <w:rStyle w:val="FootnoteReference"/>
        </w:rPr>
        <w:footnoteReference w:id="990"/>
      </w:r>
      <w:r>
        <w:t xml:space="preserve"> </w:t>
      </w:r>
      <w:r>
        <w:t xml:space="preserve">Questo non indebolisce la proposta. Da un lato, il costo del servizio, a fronte di un finanziamento regionale di circa 8,8 miliardi, ne costituisce una frazione modesta: la questione non è la sostenibilità della spesa, ma il suo dimensionamento. Dall’altro, il fondamento della misura non è soltanto il risparmio, ma l’obbligo di garantire i livelli essenziali intercettando un bisogno largamente inevaso, in un quadro in cui la Corte costituzionale impone di giustificare ogni impiego con quella garanzia.</w:t>
      </w:r>
      <w:r>
        <w:rPr>
          <w:rStyle w:val="FootnoteReference"/>
        </w:rPr>
        <w:footnoteReference w:id="991"/>
      </w:r>
      <w:r>
        <w:t xml:space="preserve"> </w:t>
      </w:r>
      <w:r>
        <w:t xml:space="preserve">La tabella seguente riporta i canali e il saldo diretto per scenario.</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Canale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4</w:t>
            </w:r>
          </w:p>
        </w:tc>
        <w:tc>
          <w:tcPr/>
          <w:p>
            <w:pPr>
              <w:pStyle w:val="Compact"/>
              <w:spacing w:after="40" w:before="40"/>
              <w:jc w:val="left"/>
            </w:pPr>
            <w:r>
              <w:rPr>
                <w:rFonts w:ascii="Cambria" w:hAnsi="Cambria" w:cs="Cambria" w:eastAsia="Cambria"/>
                <w:color w:val="1A1A1A"/>
                <w:sz w:val="18"/>
              </w:rPr>
              <w:t xml:space="preserve">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Farmaceutica</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6</w:t>
            </w:r>
          </w:p>
        </w:tc>
      </w:tr>
      <w:tr>
        <w:tc>
          <w:tcPr/>
          <w:p>
            <w:pPr>
              <w:pStyle w:val="Compact"/>
              <w:spacing w:after="40" w:before="40"/>
              <w:jc w:val="left"/>
            </w:pPr>
            <w:r>
              <w:rPr>
                <w:rFonts w:ascii="Cambria" w:hAnsi="Cambria" w:cs="Cambria" w:eastAsia="Cambria"/>
                <w:b/>
                <w:bCs/>
                <w:color w:val="1A1A1A"/>
                <w:sz w:val="18"/>
              </w:rPr>
              <w:t xml:space="preserve">Ricoveri e specialistica</w:t>
            </w:r>
          </w:p>
        </w:tc>
        <w:tc>
          <w:tcPr/>
          <w:p>
            <w:pPr>
              <w:pStyle w:val="Compact"/>
              <w:spacing w:after="40" w:before="40"/>
              <w:jc w:val="left"/>
            </w:pPr>
            <w:r>
              <w:rPr>
                <w:rFonts w:ascii="Cambria" w:hAnsi="Cambria" w:cs="Cambria" w:eastAsia="Cambria"/>
                <w:color w:val="1A1A1A"/>
                <w:sz w:val="18"/>
              </w:rPr>
              <w:t xml:space="preserve">9</w:t>
            </w:r>
          </w:p>
        </w:tc>
        <w:tc>
          <w:tcPr/>
          <w:p>
            <w:pPr>
              <w:pStyle w:val="Compact"/>
              <w:spacing w:after="40" w:before="40"/>
              <w:jc w:val="left"/>
            </w:pPr>
            <w:r>
              <w:rPr>
                <w:rFonts w:ascii="Cambria" w:hAnsi="Cambria" w:cs="Cambria" w:eastAsia="Cambria"/>
                <w:color w:val="1A1A1A"/>
                <w:sz w:val="18"/>
              </w:rPr>
              <w:t xml:space="preserve">16</w:t>
            </w:r>
          </w:p>
        </w:tc>
        <w:tc>
          <w:tcPr/>
          <w:p>
            <w:pPr>
              <w:pStyle w:val="Compact"/>
              <w:spacing w:after="40" w:before="40"/>
              <w:jc w:val="left"/>
            </w:pPr>
            <w:r>
              <w:rPr>
                <w:rFonts w:ascii="Cambria" w:hAnsi="Cambria" w:cs="Cambria" w:eastAsia="Cambria"/>
                <w:color w:val="1A1A1A"/>
                <w:sz w:val="18"/>
              </w:rPr>
              <w:t xml:space="preserve">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recuperata</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9</w:t>
            </w:r>
          </w:p>
        </w:tc>
        <w:tc>
          <w:tcPr>
            <w:shd w:val="clear" w:color="auto" w:fill="F4F1EC"/>
          </w:tcPr>
          <w:p>
            <w:pPr>
              <w:pStyle w:val="Compact"/>
              <w:spacing w:after="40" w:before="40"/>
              <w:jc w:val="left"/>
            </w:pPr>
            <w:r>
              <w:rPr>
                <w:rFonts w:ascii="Cambria" w:hAnsi="Cambria" w:cs="Cambria" w:eastAsia="Cambria"/>
                <w:color w:val="1A1A1A"/>
                <w:sz w:val="18"/>
              </w:rPr>
              <w:t xml:space="preserve">12</w:t>
            </w:r>
          </w:p>
        </w:tc>
      </w:tr>
      <w:tr>
        <w:tc>
          <w:tcPr/>
          <w:p>
            <w:pPr>
              <w:pStyle w:val="Compact"/>
              <w:spacing w:after="40" w:before="40"/>
              <w:jc w:val="left"/>
            </w:pPr>
            <w:r>
              <w:rPr>
                <w:rFonts w:ascii="Cambria" w:hAnsi="Cambria" w:cs="Cambria" w:eastAsia="Cambria"/>
                <w:b/>
                <w:bCs/>
                <w:color w:val="1A1A1A"/>
                <w:sz w:val="18"/>
              </w:rPr>
              <w:t xml:space="preserve">Risparmi diretti (totale)</w:t>
            </w:r>
          </w:p>
        </w:tc>
        <w:tc>
          <w:tcPr/>
          <w:p>
            <w:pPr>
              <w:pStyle w:val="Compact"/>
              <w:spacing w:after="40" w:before="40"/>
              <w:jc w:val="left"/>
            </w:pPr>
            <w:r>
              <w:rPr>
                <w:rFonts w:ascii="Cambria" w:hAnsi="Cambria" w:cs="Cambria" w:eastAsia="Cambria"/>
                <w:color w:val="1A1A1A"/>
                <w:sz w:val="18"/>
              </w:rPr>
              <w:t xml:space="preserve">~ 20</w:t>
            </w:r>
          </w:p>
        </w:tc>
        <w:tc>
          <w:tcPr/>
          <w:p>
            <w:pPr>
              <w:pStyle w:val="Compact"/>
              <w:spacing w:after="40" w:before="40"/>
              <w:jc w:val="left"/>
            </w:pPr>
            <w:r>
              <w:rPr>
                <w:rFonts w:ascii="Cambria" w:hAnsi="Cambria" w:cs="Cambria" w:eastAsia="Cambria"/>
                <w:color w:val="1A1A1A"/>
                <w:sz w:val="18"/>
              </w:rPr>
              <w:t xml:space="preserve">~ 34</w:t>
            </w:r>
          </w:p>
        </w:tc>
        <w:tc>
          <w:tcPr/>
          <w:p>
            <w:pPr>
              <w:pStyle w:val="Compact"/>
              <w:spacing w:after="40" w:before="40"/>
              <w:jc w:val="left"/>
            </w:pPr>
            <w:r>
              <w:rPr>
                <w:rFonts w:ascii="Cambria" w:hAnsi="Cambria" w:cs="Cambria" w:eastAsia="Cambria"/>
                <w:color w:val="1A1A1A"/>
                <w:sz w:val="18"/>
              </w:rPr>
              <w:t xml:space="preserve">~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25</w:t>
            </w:r>
          </w:p>
        </w:tc>
        <w:tc>
          <w:tcPr>
            <w:shd w:val="clear" w:color="auto" w:fill="F4F1EC"/>
          </w:tcPr>
          <w:p>
            <w:pPr>
              <w:pStyle w:val="Compact"/>
              <w:spacing w:after="40" w:before="40"/>
              <w:jc w:val="left"/>
            </w:pPr>
            <w:r>
              <w:rPr>
                <w:rFonts w:ascii="Cambria" w:hAnsi="Cambria" w:cs="Cambria" w:eastAsia="Cambria"/>
                <w:color w:val="1A1A1A"/>
                <w:sz w:val="18"/>
              </w:rPr>
              <w:t xml:space="preserve">~ 38</w:t>
            </w:r>
          </w:p>
        </w:tc>
        <w:tc>
          <w:tcPr>
            <w:shd w:val="clear" w:color="auto" w:fill="F4F1EC"/>
          </w:tcPr>
          <w:p>
            <w:pPr>
              <w:pStyle w:val="Compact"/>
              <w:spacing w:after="40" w:before="40"/>
              <w:jc w:val="left"/>
            </w:pPr>
            <w:r>
              <w:rPr>
                <w:rFonts w:ascii="Cambria" w:hAnsi="Cambria" w:cs="Cambria" w:eastAsia="Cambria"/>
                <w:color w:val="1A1A1A"/>
                <w:sz w:val="18"/>
              </w:rPr>
              <w:t xml:space="preserve">~ 50</w:t>
            </w:r>
          </w:p>
        </w:tc>
      </w:tr>
      <w:tr>
        <w:tc>
          <w:tcPr/>
          <w:p>
            <w:pPr>
              <w:pStyle w:val="Compact"/>
              <w:spacing w:after="40" w:before="40"/>
              <w:jc w:val="left"/>
            </w:pPr>
            <w:r>
              <w:rPr>
                <w:rFonts w:ascii="Cambria" w:hAnsi="Cambria" w:cs="Cambria" w:eastAsia="Cambria"/>
                <w:b/>
                <w:bCs/>
                <w:color w:val="1A1A1A"/>
                <w:sz w:val="18"/>
              </w:rPr>
              <w:t xml:space="preserve">Saldo diretto (solo SSR)</w:t>
            </w:r>
          </w:p>
        </w:tc>
        <w:tc>
          <w:tcPr/>
          <w:p>
            <w:pPr>
              <w:pStyle w:val="Compact"/>
              <w:spacing w:after="40" w:before="40"/>
              <w:jc w:val="left"/>
            </w:pPr>
            <w:r>
              <w:rPr>
                <w:rFonts w:ascii="Cambria" w:hAnsi="Cambria" w:cs="Cambria" w:eastAsia="Cambria"/>
                <w:color w:val="1A1A1A"/>
                <w:sz w:val="18"/>
              </w:rPr>
              <w:t xml:space="preserve">~ −5</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0</w:t>
            </w:r>
          </w:p>
        </w:tc>
      </w:tr>
    </w:tbl>
    <w:p>
      <w:pPr>
        <w:pStyle w:val="BodyText"/>
      </w:pPr>
      <w:r>
        <w:rPr>
          <w:i/>
          <w:iCs/>
        </w:rPr>
        <w:t xml:space="preserve">Tabella E.2. I risparmi diretti per canale e il saldo diretto sul bilancio sanitario, per scenario. Il saldo diretto è prossimo al pareggio.</w:t>
      </w:r>
    </w:p>
    <w:bookmarkEnd w:id="2297"/>
    <w:bookmarkStart w:id="2300" w:name="e.5-il-ritorno-sociale-1"/>
    <w:p>
      <w:pPr>
        <w:pStyle w:val="Heading3"/>
      </w:pPr>
      <w:r>
        <w:t xml:space="preserve">E.5 Il ritorno sociale</w:t>
      </w:r>
    </w:p>
    <w:p>
      <w:pPr>
        <w:pStyle w:val="FirstParagraph"/>
      </w:pPr>
      <w:r>
        <w:t xml:space="preserve">Il valore che il servizio genera non si esaurisce nel bilancio sanitario. L’analisi del ritorno sociale, condotta con il metodo SROI — fondato sui sette principi del valore sociale, su una mappa dell’impatto e sulle correzioni per peso morto, attribuzione, spostamento e decadimento — monetizza il valore sociale generato, distinguendolo con cura dai risparmi di bilancio.</w:t>
      </w:r>
      <w:r>
        <w:rPr>
          <w:rStyle w:val="FootnoteReference"/>
        </w:rPr>
        <w:footnoteReference w:id="992"/>
      </w:r>
      <w:r>
        <w:t xml:space="preserve"> </w:t>
      </w:r>
      <w:r>
        <w:t xml:space="preserve">Le ricadute economico-sociali comprendono la riduzione dell’assenteismo, il recupero di produttività e di funzionamento, la diminuzione delle nuove invalidità e dei pensionamenti anticipati, e il minor carico assistenziale sulle famiglie. Riferite alle 780.000 persone con disagio comune, esse sono stimate in 70, 130 e 200 milioni di euro l’anno secondo lo scenario.</w:t>
      </w:r>
      <w:r>
        <w:rPr>
          <w:rStyle w:val="FootnoteReference"/>
        </w:rPr>
        <w:footnoteReference w:id="993"/>
      </w:r>
    </w:p>
    <w:p>
      <w:pPr>
        <w:pStyle w:val="BodyText"/>
      </w:pPr>
      <w:r>
        <w:t xml:space="preserve">Questa è la componente di gran lunga maggiore del valore complessivo, ed è anche quella su cui converge l’evidenza economica internazionale. Secondo l’Organizzazione mondiale della sanità e gli studi pubblicati su Lancet Psychiatry, il ritorno del trattamento di depressione e ansia — dell’ordine di quattro a uno — è costituito in quota dominante dalla produttività e dal funzionamento recuperati, più che dal risparmio diretto sui servizi sanitari. È una conclusione di particolare rilievo per la corretta lettura del valore dell’intervento: il beneficio per la collettività è reale e ampio, ma si manifesta in larga parte fuori dal bilancio sanitario, sotto forma di maggiore partecipazione al lavoro, minore disabilità e migliore qualità della vita. Confondere questa grandezza con un risparmio per il bilancio sarebbe un errore; ignorarla, un errore opposto e altrettanto grave.</w:t>
      </w:r>
    </w:p>
    <w:bookmarkEnd w:id="2300"/>
    <w:bookmarkStart w:id="2305" w:name="X0f786d62a31adbc2cb0301eed8609c372b8d220"/>
    <w:p>
      <w:pPr>
        <w:pStyle w:val="Heading3"/>
      </w:pPr>
      <w:r>
        <w:t xml:space="preserve">E.6 Il caso economico e il caso finanziario</w:t>
      </w:r>
    </w:p>
    <w:p>
      <w:pPr>
        <w:pStyle w:val="FirstParagraph"/>
      </w:pPr>
      <w:r>
        <w:t xml:space="preserve">La sintesi economica ricompone le grandezze tenute distinte nei due casi che il Five Case Model prescrive di non confondere. Il caso economico misura il valore per la collettività: sommando i risparmi diretti e le ricadute sociali, il ritorno complessivo è di 90, 164 e 250 milioni di euro l’anno secondo lo scenario, e il saldo complessivo, al netto del costo, è di circa +65, +126 e +200 milioni, con un rapporto beneficio-costo dell’ordine di 3,6, 4,3 e 5,0 a uno.</w:t>
      </w:r>
      <w:r>
        <w:rPr>
          <w:rStyle w:val="FootnoteReference"/>
        </w:rPr>
        <w:footnoteReference w:id="994"/>
      </w:r>
      <w:r>
        <w:t xml:space="preserve"> </w:t>
      </w:r>
      <w:r>
        <w:t xml:space="preserve">Il caso finanziario misura invece la sostenibilità per il bilancio sanitario: qui il saldo diretto è prossimo al pareggio, e ciò che rileva non è un risparmio netto, ma il fatto che il servizio costa al bilancio una frazione modesta del finanziamento, ampiamente coperta dai risparmi diretti che esso stesso genera.</w:t>
      </w:r>
    </w:p>
    <w:p>
      <w:pPr>
        <w:pStyle w:val="BodyText"/>
      </w:pPr>
      <w:r>
        <w:t xml:space="preserve">Tenere distinti i due casi è la scelta di rigore che fonda la credibilità dell’intera valutazione.</w:t>
      </w:r>
      <w:r>
        <w:rPr>
          <w:rStyle w:val="FootnoteReference"/>
        </w:rPr>
        <w:footnoteReference w:id="995"/>
      </w:r>
      <w:r>
        <w:t xml:space="preserve"> </w:t>
      </w:r>
      <w:r>
        <w:t xml:space="preserve">La proposta non si regge sull’affermazione — facile ma fragile — che il servizio faccia risparmiare molto al bilancio sanitario; si regge su tre affermazioni più solide e congiunte: che il servizio costa al bilancio una cifra modesta e quasi interamente compensata; che restituisce alla collettività un valore dell’ordine di quattro euro per ogni euro speso; e che adempie all’obbligo di garantire i livelli essenziali intercettando un bisogno largamente inevaso. È una tesi più difendibile di fronte alla Ragioneria e alla Corte dei Conti, perché non chiede di credere a un risparmio improbabile, ma di riconoscere un valore documentato a fronte di un costo sostenibile.</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20</w:t>
            </w:r>
          </w:p>
        </w:tc>
        <w:tc>
          <w:tcPr/>
          <w:p>
            <w:pPr>
              <w:pStyle w:val="Compact"/>
              <w:spacing w:after="40" w:before="40"/>
              <w:jc w:val="left"/>
            </w:pPr>
            <w:r>
              <w:rPr>
                <w:rFonts w:ascii="Cambria" w:hAnsi="Cambria" w:cs="Cambria" w:eastAsia="Cambria"/>
                <w:color w:val="1A1A1A"/>
                <w:sz w:val="18"/>
              </w:rPr>
              <w:t xml:space="preserve">~ 34</w:t>
            </w:r>
          </w:p>
        </w:tc>
        <w:tc>
          <w:tcPr/>
          <w:p>
            <w:pPr>
              <w:pStyle w:val="Compact"/>
              <w:spacing w:after="40" w:before="40"/>
              <w:jc w:val="left"/>
            </w:pPr>
            <w:r>
              <w:rPr>
                <w:rFonts w:ascii="Cambria" w:hAnsi="Cambria" w:cs="Cambria" w:eastAsia="Cambria"/>
                <w:color w:val="1A1A1A"/>
                <w:sz w:val="18"/>
              </w:rPr>
              <w:t xml:space="preserve">~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70</w:t>
            </w:r>
          </w:p>
        </w:tc>
        <w:tc>
          <w:tcPr>
            <w:shd w:val="clear" w:color="auto" w:fill="F4F1EC"/>
          </w:tcPr>
          <w:p>
            <w:pPr>
              <w:pStyle w:val="Compact"/>
              <w:spacing w:after="40" w:before="40"/>
              <w:jc w:val="left"/>
            </w:pPr>
            <w:r>
              <w:rPr>
                <w:rFonts w:ascii="Cambria" w:hAnsi="Cambria" w:cs="Cambria" w:eastAsia="Cambria"/>
                <w:color w:val="1A1A1A"/>
                <w:sz w:val="18"/>
              </w:rPr>
              <w:t xml:space="preserve">~ 130</w:t>
            </w:r>
          </w:p>
        </w:tc>
        <w:tc>
          <w:tcPr>
            <w:shd w:val="clear" w:color="auto" w:fill="F4F1EC"/>
          </w:tcPr>
          <w:p>
            <w:pPr>
              <w:pStyle w:val="Compact"/>
              <w:spacing w:after="40" w:before="40"/>
              <w:jc w:val="left"/>
            </w:pPr>
            <w:r>
              <w:rPr>
                <w:rFonts w:ascii="Cambria" w:hAnsi="Cambria" w:cs="Cambria" w:eastAsia="Cambria"/>
                <w:color w:val="1A1A1A"/>
                <w:sz w:val="18"/>
              </w:rPr>
              <w:t xml:space="preserve">~ 200</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25</w:t>
            </w:r>
          </w:p>
        </w:tc>
        <w:tc>
          <w:tcPr/>
          <w:p>
            <w:pPr>
              <w:pStyle w:val="Compact"/>
              <w:spacing w:after="40" w:before="40"/>
              <w:jc w:val="left"/>
            </w:pPr>
            <w:r>
              <w:rPr>
                <w:rFonts w:ascii="Cambria" w:hAnsi="Cambria" w:cs="Cambria" w:eastAsia="Cambria"/>
                <w:color w:val="1A1A1A"/>
                <w:sz w:val="18"/>
              </w:rPr>
              <w:t xml:space="preserve">~ 38</w:t>
            </w:r>
          </w:p>
        </w:tc>
        <w:tc>
          <w:tcPr/>
          <w:p>
            <w:pPr>
              <w:pStyle w:val="Compact"/>
              <w:spacing w:after="40" w:before="40"/>
              <w:jc w:val="left"/>
            </w:pPr>
            <w:r>
              <w:rPr>
                <w:rFonts w:ascii="Cambria" w:hAnsi="Cambria" w:cs="Cambria" w:eastAsia="Cambria"/>
                <w:color w:val="1A1A1A"/>
                <w:sz w:val="18"/>
              </w:rPr>
              <w:t xml:space="preserve">~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−5</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0</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90</w:t>
            </w:r>
          </w:p>
        </w:tc>
        <w:tc>
          <w:tcPr/>
          <w:p>
            <w:pPr>
              <w:pStyle w:val="Compact"/>
              <w:spacing w:after="40" w:before="40"/>
              <w:jc w:val="left"/>
            </w:pPr>
            <w:r>
              <w:rPr>
                <w:rFonts w:ascii="Cambria" w:hAnsi="Cambria" w:cs="Cambria" w:eastAsia="Cambria"/>
                <w:color w:val="1A1A1A"/>
                <w:sz w:val="18"/>
              </w:rPr>
              <w:t xml:space="preserve">164</w:t>
            </w:r>
          </w:p>
        </w:tc>
        <w:tc>
          <w:tcPr/>
          <w:p>
            <w:pPr>
              <w:pStyle w:val="Compact"/>
              <w:spacing w:after="40" w:before="40"/>
              <w:jc w:val="left"/>
            </w:pPr>
            <w:r>
              <w:rPr>
                <w:rFonts w:ascii="Cambria" w:hAnsi="Cambria" w:cs="Cambria" w:eastAsia="Cambria"/>
                <w:color w:val="1A1A1A"/>
                <w:sz w:val="18"/>
              </w:rPr>
              <w:t xml:space="preserve">250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+65</w:t>
            </w:r>
          </w:p>
        </w:tc>
        <w:tc>
          <w:tcPr>
            <w:shd w:val="clear" w:color="auto" w:fill="F4F1EC"/>
          </w:tcPr>
          <w:p>
            <w:pPr>
              <w:pStyle w:val="Compact"/>
              <w:spacing w:after="40" w:before="40"/>
              <w:jc w:val="left"/>
            </w:pPr>
            <w:r>
              <w:rPr>
                <w:rFonts w:ascii="Cambria" w:hAnsi="Cambria" w:cs="Cambria" w:eastAsia="Cambria"/>
                <w:color w:val="1A1A1A"/>
                <w:sz w:val="18"/>
              </w:rPr>
              <w:t xml:space="preserve">+126</w:t>
            </w:r>
          </w:p>
        </w:tc>
        <w:tc>
          <w:tcPr>
            <w:shd w:val="clear" w:color="auto" w:fill="F4F1EC"/>
          </w:tcPr>
          <w:p>
            <w:pPr>
              <w:pStyle w:val="Compact"/>
              <w:spacing w:after="40" w:before="40"/>
              <w:jc w:val="left"/>
            </w:pPr>
            <w:r>
              <w:rPr>
                <w:rFonts w:ascii="Cambria" w:hAnsi="Cambria" w:cs="Cambria" w:eastAsia="Cambria"/>
                <w:color w:val="1A1A1A"/>
                <w:sz w:val="18"/>
              </w:rPr>
              <w:t xml:space="preserve">+200</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~3,6:1</w:t>
            </w:r>
          </w:p>
        </w:tc>
        <w:tc>
          <w:tcPr/>
          <w:p>
            <w:pPr>
              <w:pStyle w:val="Compact"/>
              <w:spacing w:after="40" w:before="40"/>
              <w:jc w:val="left"/>
            </w:pPr>
            <w:r>
              <w:rPr>
                <w:rFonts w:ascii="Cambria" w:hAnsi="Cambria" w:cs="Cambria" w:eastAsia="Cambria"/>
                <w:color w:val="1A1A1A"/>
                <w:sz w:val="18"/>
              </w:rPr>
              <w:t xml:space="preserve">~4,3:1</w:t>
            </w:r>
          </w:p>
        </w:tc>
        <w:tc>
          <w:tcPr/>
          <w:p>
            <w:pPr>
              <w:pStyle w:val="Compact"/>
              <w:spacing w:after="40" w:before="40"/>
              <w:jc w:val="left"/>
            </w:pPr>
            <w:r>
              <w:rPr>
                <w:rFonts w:ascii="Cambria" w:hAnsi="Cambria" w:cs="Cambria" w:eastAsia="Cambria"/>
                <w:color w:val="1A1A1A"/>
                <w:sz w:val="18"/>
              </w:rPr>
              <w:t xml:space="preserve">~5,0:1</w:t>
            </w:r>
          </w:p>
        </w:tc>
      </w:tr>
    </w:tbl>
    <w:p>
      <w:pPr>
        <w:pStyle w:val="BodyText"/>
      </w:pPr>
      <w:r>
        <w:rPr>
          <w:i/>
          <w:iCs/>
        </w:rPr>
        <w:t xml:space="preserve">Tabella E.3. Sintesi economica per scenario: il caso finanziario (saldo diretto ~pareggio) e il caso economico (ritorno complessivo e rapporto beneficio-costo).</w:t>
      </w:r>
    </w:p>
    <w:p>
      <w:pPr>
        <w:pStyle w:val="BodyText"/>
      </w:pPr>
      <w:r>
        <w:t xml:space="preserve">Resta da ribadire, a chiusura, la natura della valutazione. Il segno del saldo complessivo è positivo in tutti gli scenari, comprese le ipotesi conservative, e dunque robusto; le analisi di sensibilità deterministica e probabilistica e il valore dell’informazione, che ne saggiano formalmente la tenuta, sono sviluppati nella Parte F.</w:t>
      </w:r>
      <w:r>
        <w:rPr>
          <w:rStyle w:val="FootnoteReference"/>
        </w:rPr>
        <w:footnoteReference w:id="996"/>
      </w:r>
      <w:r>
        <w:t xml:space="preserve"> </w:t>
      </w:r>
      <w:r>
        <w:t xml:space="preserve">Quanto ai dati, i parametri dei canali dei ricoveri, della specialistica e della mobilità sono in parte ancora stimati e saranno sostituiti dai valori certificati che l’agenzia regionale e le aziende sanitarie forniranno; la struttura della quantificazione, tuttavia, è già quella definitiva, ancorata ai conti regionali e onesta nella distinzione tra ciò che il servizio fa risparmiare al bilancio e ciò che restituisce alla società.</w:t>
      </w:r>
      <w:r>
        <w:rPr>
          <w:rStyle w:val="FootnoteReference"/>
        </w:rPr>
        <w:footnoteReference w:id="997"/>
      </w:r>
      <w:r>
        <w:t xml:space="preserve"> </w:t>
      </w:r>
      <w:r>
        <w:t xml:space="preserve">Su questa base, la Parte F sottopone i risultati alla prova formale dell’incertezza.</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F</w:t>
      </w:r>
    </w:p>
    <w:p>
      <w:pPr>
        <w:pStyle w:val="BodyText"/>
      </w:pPr>
      <w:r>
        <w:rPr>
          <w:b/>
          <w:bCs/>
        </w:rPr>
        <w:t xml:space="preserve">Modellazione decisionale e incertezza</w:t>
      </w:r>
    </w:p>
    <w:p>
      <w:pPr>
        <w:pStyle w:val="BodyText"/>
      </w:pPr>
      <w:r>
        <w:rPr>
          <w:i/>
          <w:iCs/>
        </w:rPr>
        <w:t xml:space="preserve">Struttura del modello, parametri e calibrazione, sensibilità deterministica, sensibilità probabilistica e curva di accettabilità, valore dell</w:t>
      </w:r>
      <w:r>
        <w:rPr>
          <w:b/>
          <w:bCs/>
          <w:i/>
          <w:iCs/>
        </w:rPr>
        <w:t xml:space="preserve">’</w:t>
      </w:r>
      <w:r>
        <w:rPr>
          <w:i/>
          <w:iCs/>
        </w:rPr>
        <w:t xml:space="preserve">informazione</w:t>
      </w:r>
    </w:p>
    <w:p>
      <w:pPr>
        <w:pStyle w:val="BodyText"/>
      </w:pPr>
      <w:r>
        <w:t xml:space="preserve">Dominio 5 del modello HTA · buone pratiche di modellazione ISPOR-SMDM</w:t>
      </w:r>
    </w:p>
    <w:bookmarkEnd w:id="2305"/>
    <w:bookmarkEnd w:id="2306"/>
    <w:bookmarkStart w:id="2341" w:name="X324473f6b06a23d506b1844b0c63cbc414c1438"/>
    <w:p>
      <w:pPr>
        <w:pStyle w:val="Heading2"/>
      </w:pPr>
      <w:r>
        <w:t xml:space="preserve">Parte F — Modellazione decisionale e incertezza</w:t>
      </w:r>
    </w:p>
    <w:p>
      <w:pPr>
        <w:pStyle w:val="FirstParagraph"/>
      </w:pPr>
      <w:r>
        <w:t xml:space="preserve">Questa parte completa il dominio economico sul piano del metodo: dopo aver stabilito, nella Parte E, quanto l’intervento valga e quanto costi, qui se ne verifica la robustezza, ovvero la tenuta delle conclusioni quando gli esiti si proiettano su orizzonti lunghi e quando si riconosce esplicitamente l’incertezza dei parametri.</w:t>
      </w:r>
      <w:r>
        <w:rPr>
          <w:rStyle w:val="FootnoteReference"/>
        </w:rPr>
        <w:footnoteReference w:id="998"/>
      </w:r>
      <w:r>
        <w:rPr>
          <w:rStyle w:val="FootnoteReference"/>
        </w:rPr>
        <w:footnoteReference w:id="999"/>
      </w:r>
      <w:r>
        <w:rPr>
          <w:rStyle w:val="FootnoteReference"/>
        </w:rPr>
        <w:footnoteReference w:id="1000"/>
      </w:r>
      <w:r>
        <w:rPr>
          <w:rStyle w:val="FootnoteReference"/>
        </w:rPr>
        <w:footnoteReference w:id="1001"/>
      </w:r>
      <w:r>
        <w:rPr>
          <w:rStyle w:val="FootnoteReference"/>
        </w:rPr>
        <w:footnoteReference w:id="1002"/>
      </w:r>
      <w:r>
        <w:rPr>
          <w:rStyle w:val="FootnoteReference"/>
        </w:rPr>
        <w:footnoteReference w:id="1003"/>
      </w:r>
      <w:r>
        <w:rPr>
          <w:rStyle w:val="FootnoteReference"/>
        </w:rPr>
        <w:footnoteReference w:id="1004"/>
      </w:r>
      <w:r>
        <w:rPr>
          <w:rStyle w:val="FootnoteReference"/>
        </w:rPr>
        <w:footnoteReference w:id="1005"/>
      </w:r>
      <w:r>
        <w:rPr>
          <w:rStyle w:val="FootnoteReference"/>
        </w:rPr>
        <w:footnoteReference w:id="1006"/>
      </w:r>
      <w:r>
        <w:rPr>
          <w:rStyle w:val="FootnoteReference"/>
        </w:rPr>
        <w:footnoteReference w:id="1007"/>
      </w:r>
      <w:r>
        <w:rPr>
          <w:rStyle w:val="FootnoteReference"/>
        </w:rPr>
        <w:footnoteReference w:id="1008"/>
      </w:r>
      <w:r>
        <w:rPr>
          <w:rStyle w:val="FootnoteReference"/>
        </w:rPr>
        <w:footnoteReference w:id="1009"/>
      </w:r>
      <w:r>
        <w:rPr>
          <w:rStyle w:val="FootnoteReference"/>
        </w:rPr>
        <w:footnoteReference w:id="1010"/>
      </w:r>
      <w:r>
        <w:rPr>
          <w:rStyle w:val="FootnoteReference"/>
        </w:rPr>
        <w:footnoteReference w:id="1011"/>
      </w:r>
      <w:r>
        <w:rPr>
          <w:rStyle w:val="FootnoteReference"/>
        </w:rPr>
        <w:footnoteReference w:id="1012"/>
      </w:r>
      <w:r>
        <w:t xml:space="preserve"> </w:t>
      </w:r>
      <w:r>
        <w:t xml:space="preserve">La logica è di crescente solidità. Un’analisi deterministica, per quanto accurata, fornisce un valore puntuale che dipende dalle ipotesi adottate, e un decisore prudente può sempre chiedersi che cosa accada se quelle ipotesi sono ottimistiche. Il modello decisionale risponde proiettando il decorso clinico nel tempo (capitolo F.1) sulla base di parametri dichiarati e calibrati (F.2); l’analisi di sensibilità deterministica isola il contributo di ciascun parametro (F.3); l’analisi probabilistica quantifica, su decine di migliaia di scenari simulati, la frequenza con cui la conclusione si conferma (F.4); e il valore dell’informazione indica dove la riduzione dell’incertezza vale di più (F.5). È il passaggio che trasforma un risultato favorevole in un risultato difficilmente contestabile.</w:t>
      </w:r>
    </w:p>
    <w:bookmarkStart w:id="2325" w:name="f.1-la-struttura-del-modello-1"/>
    <w:p>
      <w:pPr>
        <w:pStyle w:val="Heading3"/>
      </w:pPr>
      <w:r>
        <w:t xml:space="preserve">F.1 La struttura del modello</w:t>
      </w:r>
    </w:p>
    <w:p>
      <w:pPr>
        <w:pStyle w:val="FirstParagraph"/>
      </w:pPr>
      <w:r>
        <w:t xml:space="preserve">Il modello adottato è un modello di Markov a coorte, strumento standard nella valutazione economica in sanità, che rappresenta il decorso del disturbo mentale comune come una successione di transizioni tra stati di salute mutuamente esclusivi, scanditi da cicli temporali con correzione di metà ciclo. Gli stati sono quattro: lo stato sintomatico, in cui il disturbo è clinicamente attivo; lo stato di recupero, corrispondente alla remissione; lo stato cronico, corrispondente alle forme persistenti o gravi; e lo stato di morte, assorbente. La coorte entra interamente nello stato sintomatico, a rappresentare una popolazione che si presenta alle cure primarie con un episodio di disturbo comune lieve-moderato; ove si voglia tener conto delle traiettorie individuali, la microsimulazione ne costituisce la variante.</w:t>
      </w:r>
      <w:r>
        <w:rPr>
          <w:rStyle w:val="FootnoteReference"/>
        </w:rPr>
        <w:footnoteReference w:id="1013"/>
      </w:r>
    </w:p>
    <w:p>
      <w:pPr>
        <w:pStyle w:val="BodyText"/>
      </w:pPr>
      <w:r>
        <w:t xml:space="preserve">Il modello proietta, lungo un orizzonte di cinque anni — estensibile all’intera vita — e a valori scontati, i costi e gli anni di vita ponderati per la qualità associati a due bracci alternativi: lo scenario con la riforma e lo scenario di assistenza usuale. Nel caso base, riferito al singolo paziente, il braccio dell’intervento produce un costo sanitario di circa 2.495 euro e un’utilità di 3,627 anni di vita ponderati, contro un costo di circa 3.799 euro e un’utilità di 3,392 dell’assistenza usuale: l’intervento è dunque al tempo stesso meno costoso, di circa 1.304 euro per paziente, e più efficace, di circa 0,236 anni di vita ponderati, configurando una condizione di dominanza.</w:t>
      </w:r>
      <w:r>
        <w:rPr>
          <w:rStyle w:val="FootnoteReference"/>
        </w:rPr>
        <w:footnoteReference w:id="1014"/>
      </w:r>
      <w:r>
        <w:t xml:space="preserve"> </w:t>
      </w:r>
      <w:r>
        <w:t xml:space="preserve">La dominanza non è un artificio, ma la conseguenza della struttura del decorso: a fronte di un costo iniziale contenuto, l’intervento accresce il tempo trascorso nello stato di recupero, a bassa utilizzazione di risorse, e riduce il tempo trascorso nello stato cronico, ad alta utilizzazione, sicché il risparmio a valle eccede il costo a monte. Questo risultato per paziente costituisce il fondamento microeconomico delle stime aggregate della Parte E.</w:t>
      </w:r>
      <w:r>
        <w:rPr>
          <w:rStyle w:val="FootnoteReference"/>
        </w:rPr>
        <w:footnoteReference w:id="1015"/>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Caso base,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Cura usuale</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sanitario (5 anni, scontato)</w:t>
            </w:r>
          </w:p>
        </w:tc>
        <w:tc>
          <w:tcPr/>
          <w:p>
            <w:pPr>
              <w:pStyle w:val="Compact"/>
              <w:spacing w:after="40" w:before="40"/>
              <w:jc w:val="left"/>
            </w:pPr>
            <w:r>
              <w:rPr>
                <w:rFonts w:ascii="Cambria" w:hAnsi="Cambria" w:cs="Cambria" w:eastAsia="Cambria"/>
                <w:color w:val="1A1A1A"/>
                <w:sz w:val="18"/>
              </w:rPr>
              <w:t xml:space="preserve">~ 2.495 €</w:t>
            </w:r>
          </w:p>
        </w:tc>
        <w:tc>
          <w:tcPr/>
          <w:p>
            <w:pPr>
              <w:pStyle w:val="Compact"/>
              <w:spacing w:after="40" w:before="40"/>
              <w:jc w:val="left"/>
            </w:pPr>
            <w:r>
              <w:rPr>
                <w:rFonts w:ascii="Cambria" w:hAnsi="Cambria" w:cs="Cambria" w:eastAsia="Cambria"/>
                <w:color w:val="1A1A1A"/>
                <w:sz w:val="18"/>
              </w:rPr>
              <w:t xml:space="preserve">~ 3.799 €</w:t>
            </w:r>
          </w:p>
        </w:tc>
        <w:tc>
          <w:tcPr/>
          <w:p>
            <w:pPr>
              <w:pStyle w:val="Compact"/>
              <w:spacing w:after="40" w:before="40"/>
              <w:jc w:val="left"/>
            </w:pPr>
            <w:r>
              <w:rPr>
                <w:rFonts w:ascii="Cambria" w:hAnsi="Cambria" w:cs="Cambria" w:eastAsia="Cambria"/>
                <w:color w:val="1A1A1A"/>
                <w:sz w:val="18"/>
              </w:rPr>
              <w:t xml:space="preserve">− 1.304 €</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(anni di vita ponderati)</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2325"/>
    <w:bookmarkStart w:id="2328" w:name="f.2-i-parametri-e-la-calibrazione-1"/>
    <w:p>
      <w:pPr>
        <w:pStyle w:val="Heading3"/>
      </w:pPr>
      <w:r>
        <w:t xml:space="preserve">F.2 I parametri e la calibrazione</w:t>
      </w:r>
    </w:p>
    <w:p>
      <w:pPr>
        <w:pStyle w:val="FirstParagraph"/>
      </w:pPr>
      <w:r>
        <w:t xml:space="preserve">La credibilità di un modello dipende dalla dichiarazione esplicita dei suoi parametri e delle loro fonti. I parametri sono di tre tipi: le probabilità di transizione tra gli stati, che governano il decorso; le utilità associate a ciascuno stato, che ne misurano la qualità della vita; e i costi per ciclo, che ne misurano l’assorbimento di risorse. I costi adottati sono di 40 euro per ciclo nello stato di recupero, di 700 euro nello stato cronico, e di 300 euro una tantum per l’intervento psicologico: è la struttura di costo a generare la dominanza, poiché lo stato cronico, che l’intervento riduce, è di gran lunga il più oneroso.</w:t>
      </w:r>
      <w:r>
        <w:rPr>
          <w:rStyle w:val="FootnoteReference"/>
        </w:rPr>
        <w:footnoteReference w:id="1016"/>
      </w:r>
    </w:p>
    <w:p>
      <w:pPr>
        <w:pStyle w:val="BodyText"/>
      </w:pPr>
      <w:r>
        <w:t xml:space="preserve">A ciascun parametro incerto è assegnata, ai fini dell’analisi probabilistica, una distribuzione di probabilità appropriata alla sua natura: distribuzioni Beta per le probabilità di transizione e per le utilità, in quanto vincolate all’intervallo tra zero e uno, e distribuzioni Gamma per i costi, in quanto vincolati ai valori positivi. I valori centrali e gli intervalli sono tratti dalla relazione tecnica e dall’evidenza internazionale documentata nella Parte D, e calibrati sui valori regionali pugliesi.</w:t>
      </w:r>
      <w:r>
        <w:rPr>
          <w:rStyle w:val="FootnoteReference"/>
        </w:rPr>
        <w:footnoteReference w:id="1017"/>
      </w:r>
      <w:r>
        <w:t xml:space="preserve"> </w:t>
      </w:r>
      <w:r>
        <w:t xml:space="preserve">La calibrazione è il punto di contatto tra il modello e la realtà regionale: i parametri non sono assunti in astratto, ma ancorati ai dati disponibili, e quelli ancora stimati saranno aggiornati con i valori certificati man mano che l’agenzia regionale e le aziende sanitarie li renderanno disponibili, secondo la priorità che il valore dell’informazione indicherà nel capitolo F.5.</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Costo per ciclo — stato di recupero</w:t>
            </w:r>
          </w:p>
        </w:tc>
        <w:tc>
          <w:tcPr/>
          <w:p>
            <w:pPr>
              <w:pStyle w:val="Compact"/>
              <w:spacing w:after="40" w:before="40"/>
              <w:jc w:val="left"/>
            </w:pPr>
            <w:r>
              <w:rPr>
                <w:rFonts w:ascii="Cambria" w:hAnsi="Cambria" w:cs="Cambria" w:eastAsia="Cambria"/>
                <w:color w:val="1A1A1A"/>
                <w:sz w:val="18"/>
              </w:rPr>
              <w:t xml:space="preserve">40 €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stato cronico</w:t>
            </w:r>
          </w:p>
        </w:tc>
        <w:tc>
          <w:tcPr>
            <w:shd w:val="clear" w:color="auto" w:fill="F4F1EC"/>
          </w:tcPr>
          <w:p>
            <w:pPr>
              <w:pStyle w:val="Compact"/>
              <w:spacing w:after="40" w:before="40"/>
              <w:jc w:val="left"/>
            </w:pPr>
            <w:r>
              <w:rPr>
                <w:rFonts w:ascii="Cambria" w:hAnsi="Cambria" w:cs="Cambria" w:eastAsia="Cambria"/>
                <w:color w:val="1A1A1A"/>
                <w:sz w:val="18"/>
              </w:rPr>
              <w:t xml:space="preserve">700 €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dell’intervento psicologico (una tantum)</w:t>
            </w:r>
          </w:p>
        </w:tc>
        <w:tc>
          <w:tcPr/>
          <w:p>
            <w:pPr>
              <w:pStyle w:val="Compact"/>
              <w:spacing w:after="40" w:before="40"/>
              <w:jc w:val="left"/>
            </w:pPr>
            <w:r>
              <w:rPr>
                <w:rFonts w:ascii="Cambria" w:hAnsi="Cambria" w:cs="Cambria" w:eastAsia="Cambria"/>
                <w:color w:val="1A1A1A"/>
                <w:sz w:val="18"/>
              </w:rPr>
              <w:t xml:space="preserve">300 €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transizione tra gli stati</w:t>
            </w:r>
          </w:p>
        </w:tc>
        <w:tc>
          <w:tcPr>
            <w:shd w:val="clear" w:color="auto" w:fill="F4F1EC"/>
          </w:tcPr>
          <w:p>
            <w:pPr>
              <w:pStyle w:val="Compact"/>
              <w:spacing w:after="40" w:before="40"/>
              <w:jc w:val="left"/>
            </w:pPr>
            <w:r>
              <w:rPr>
                <w:rFonts w:ascii="Cambria" w:hAnsi="Cambria" w:cs="Cambria" w:eastAsia="Cambria"/>
                <w:color w:val="1A1A1A"/>
                <w:sz w:val="18"/>
              </w:rPr>
              <w:t xml:space="preserve">da fonti, per braccio</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Utilità associate agli stati</w:t>
            </w:r>
          </w:p>
        </w:tc>
        <w:tc>
          <w:tcPr/>
          <w:p>
            <w:pPr>
              <w:pStyle w:val="Compact"/>
              <w:spacing w:after="40" w:before="40"/>
              <w:jc w:val="left"/>
            </w:pPr>
            <w:r>
              <w:rPr>
                <w:rFonts w:ascii="Cambria" w:hAnsi="Cambria" w:cs="Cambria" w:eastAsia="Cambria"/>
                <w:color w:val="1A1A1A"/>
                <w:sz w:val="18"/>
              </w:rPr>
              <w:t xml:space="preserve">da fonti</w:t>
            </w:r>
          </w:p>
        </w:tc>
        <w:tc>
          <w:tcPr/>
          <w:p>
            <w:pPr>
              <w:pStyle w:val="Compact"/>
              <w:spacing w:after="40" w:before="40"/>
              <w:jc w:val="left"/>
            </w:pPr>
            <w:r>
              <w:rPr>
                <w:rFonts w:ascii="Cambria" w:hAnsi="Cambria" w:cs="Cambria" w:eastAsia="Cambria"/>
                <w:color w:val="1A1A1A"/>
                <w:sz w:val="18"/>
              </w:rP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2328"/>
    <w:bookmarkStart w:id="2331" w:name="f.3-la-sensibilità-deterministica-1"/>
    <w:p>
      <w:pPr>
        <w:pStyle w:val="Heading3"/>
      </w:pPr>
      <w:r>
        <w:t xml:space="preserve">F.3 La sensibilità deterministica</w:t>
      </w:r>
    </w:p>
    <w:p>
      <w:pPr>
        <w:pStyle w:val="FirstParagraph"/>
      </w:pPr>
      <w:r>
        <w:t xml:space="preserve">L’analisi di sensibilità deterministica saggia la dipendenza del risultato dalle singole assunzioni, facendo variare i parametri entro intervalli plausibili. Nella sua forma a una via, essa isola il contributo individuale di ciascun parametro, facendolo variare del 25% in più e in meno e misurando l’effetto sul beneficio monetario netto; il diagramma a tornado che ne risulta ordina i parametri per ampiezza dell’effetto, dal più al meno influente.</w:t>
      </w:r>
      <w:r>
        <w:rPr>
          <w:rStyle w:val="FootnoteReference"/>
        </w:rPr>
        <w:footnoteReference w:id="1018"/>
      </w:r>
      <w:r>
        <w:t xml:space="preserve"> </w:t>
      </w:r>
      <w:r>
        <w:t xml:space="preserve">I parametri più influenti risultano l’efficacia clinica dell’intervento, i tassi di ricaduta e di cronicizzazione e il costo dello stato cronico: sono, non a caso, le grandezze che governano il meccanismo della dominanza, ossia la capacità dell’intervento di spostare i pazienti dallo stato cronico, oneroso, allo stato di recupero, poco costoso.</w:t>
      </w:r>
    </w:p>
    <w:p>
      <w:pPr>
        <w:pStyle w:val="BodyText"/>
      </w:pPr>
      <w:r>
        <w:t xml:space="preserve">L’analisi a una via è affiancata dall’analisi di scenario, che fa variare congiuntamente più parametri secondo ipotesi coerenti, dando luogo ai tre scenari — conservativo, base ed espansivo — già impiegati nella Parte E. Il risultato di queste analisi è univoco quanto al segno: anche adottando per ciascun parametro influente il valore più sfavorevole entro l’intervallo plausibile, il beneficio monetario netto resta positivo, e l’intervento conserva la sua convenienza in termini di costo-utilità. Le ipotesi pessimistiche, in altri termini, ne riducono l’entità, non ne invertono il segno; ed è questa stabilità del segno, più che la precisione del valore puntuale, a costituire il risultato rilevante per il decisore. La gestione dell’incertezza non si esaurisce, peraltro, nei parametri: l’incertezza sulla struttura stessa del modello è trattata mediante analisi di scenario, e l’intero esercizio è riportato secondo lo standard CHEERS, con validazione della coerenza interna ed esterna.</w:t>
      </w:r>
      <w:r>
        <w:rPr>
          <w:rStyle w:val="FootnoteReference"/>
        </w:rPr>
        <w:footnoteReference w:id="1019"/>
      </w:r>
    </w:p>
    <w:bookmarkEnd w:id="2331"/>
    <w:bookmarkStart w:id="2336" w:name="Xbf867e3e97f80dc752655ee9987e17fb9b60a40"/>
    <w:p>
      <w:pPr>
        <w:pStyle w:val="Heading3"/>
      </w:pPr>
      <w:r>
        <w:t xml:space="preserve">F.4 La sensibilità probabilistica e la curva di accettabilità</w:t>
      </w:r>
    </w:p>
    <w:p>
      <w:pPr>
        <w:pStyle w:val="FirstParagraph"/>
      </w:pPr>
      <w:r>
        <w:t xml:space="preserve">Mentre l’analisi deterministica fa variare i parametri uno per volta o per scenari discreti, l’analisi di sensibilità probabilistica li fa variare tutti simultaneamente secondo le rispettive distribuzioni, e ne restituisce non un valore ma una probabilità. Il modello è stato eseguito diecimila volte, estraendo a ogni iterazione un valore casuale da ciascuna distribuzione e ricalcolando costi, esiti e beneficio netto: è la simulazione Monte Carlo, che propaga l’incertezza dei parametri sull’incertezza del risultato.</w:t>
      </w:r>
      <w:r>
        <w:rPr>
          <w:rStyle w:val="FootnoteReference"/>
        </w:rPr>
        <w:footnoteReference w:id="1020"/>
      </w:r>
      <w:r>
        <w:t xml:space="preserve"> </w:t>
      </w:r>
      <w:r>
        <w:t xml:space="preserve">Rappresentate sul piano costo-efficacia, le diecimila iterazioni formano una nube di punti concentrata nel quadrante in cui l’intervento è più efficace e meno costoso, ossia dominante; i punti residui, pur comportando un costo aggiuntivo, si collocano al di sotto della retta di soglia, e rappresentano dunque scenari in cui l’intervento resta comunque costo-efficace.</w:t>
      </w:r>
    </w:p>
    <w:p>
      <w:pPr>
        <w:pStyle w:val="BodyText"/>
      </w:pPr>
      <w:r>
        <w:t xml:space="preserve">La curva di accettabilità della costo-efficacia sintetizza questo risultato in funzione della soglia di disponibilità a pagare, riportando per ciascun valore di soglia la percentuale di iterazioni in cui l’intervento risulta costo-efficace. Alla soglia di riferimento di 30.000 euro per anno di vita ponderato per la qualità,</w:t>
      </w:r>
      <w:r>
        <w:rPr>
          <w:rStyle w:val="FootnoteReference"/>
        </w:rPr>
        <w:footnoteReference w:id="1021"/>
      </w:r>
      <w:r>
        <w:t xml:space="preserve"> </w:t>
      </w:r>
      <w:r>
        <w:t xml:space="preserve">la probabilità che l’intervento sia costo-efficace è dell’88,9%, e la probabilità che sia addirittura dominante — più efficace e meno costoso — dell’84,6%; il beneficio monetario netto medio sulle diecimila iterazioni è di circa 7.815 euro per paziente, con un intervallo di credibilità al 95% compreso tra circa meno 5.736 e più 21.501 euro, sicché anche l’estremo inferiore corrisponde a una perdita modesta e poco probabile, a fronte di un valore atteso ampiamente positivo.</w:t>
      </w:r>
      <w:r>
        <w:rPr>
          <w:rStyle w:val="FootnoteReference"/>
        </w:rPr>
        <w:footnoteReference w:id="1022"/>
      </w:r>
    </w:p>
    <w:p>
      <w:pPr>
        <w:pStyle w:val="BodyText"/>
      </w:pPr>
      <w:r>
        <w:t xml:space="preserve">Questo risultato richiede una precisazione che ne governa la corretta interpretazione, e che salda la presente parte alla Parte E. La probabilità di costo-efficacia è un risultato di efficienza, riferito al singolo paziente, che valorizza il guadagno di salute e l’intera traiettoria di costo del modello, ivi compresi i costi dello stato cronico evitati nel medio periodo. Esso è coerente con — e non in contraddizione con — il saldo diretto prossimo al pareggio che l’analisi di impatto sul bilancio della Parte E riporta a livello aggregato.</w:t>
      </w:r>
      <w:r>
        <w:rPr>
          <w:rStyle w:val="FootnoteReference"/>
        </w:rPr>
        <w:footnoteReference w:id="1023"/>
      </w:r>
      <w:r>
        <w:t xml:space="preserve"> </w:t>
      </w:r>
      <w:r>
        <w:t xml:space="preserve">Le due analisi rispondono infatti a domande diverse: la costo-utilità chiede se il guadagno di salute valga il suo costo, e la risposta è affermativa con alta probabilità; l’impatto sul bilancio chiede quale sia l’effetto netto sui flussi monetari del bilancio sanitario, e la risposta è il pareggio, perché la traduzione dal modello per paziente all’aggregato regionale incorpora le correzioni per il peso morto — la quota di pazienti che non sarebbe progredita comunque — e per la effettiva monetizzabilità, nei conti del bilancio e nell’orizzonte considerato, dei costi evitati. L’efficienza dell’intervento, in sintesi, è robusta; la sua convenienza per il solo bilancio resta prossima al pareggio; e il forte ritorno per la collettività proviene, come già stabilito, dalle ricadute sociali.</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Misura dell’analisi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Risultato</w:t>
            </w:r>
          </w:p>
        </w:tc>
      </w:tr>
      <w:tr>
        <w:tc>
          <w:tcPr/>
          <w:p>
            <w:pPr>
              <w:pStyle w:val="Compact"/>
              <w:spacing w:after="40" w:before="40"/>
              <w:jc w:val="left"/>
            </w:pPr>
            <w:r>
              <w:rPr>
                <w:rFonts w:ascii="Cambria" w:hAnsi="Cambria" w:cs="Cambria" w:eastAsia="Cambria"/>
                <w:b/>
                <w:bCs/>
                <w:color w:val="1A1A1A"/>
                <w:sz w:val="18"/>
              </w:rPr>
              <w:t xml:space="preserve">Iterazioni della simulazione Monte Carlo</w:t>
            </w:r>
          </w:p>
        </w:tc>
        <w:tc>
          <w:tcPr/>
          <w:p>
            <w:pPr>
              <w:pStyle w:val="Compact"/>
              <w:spacing w:after="40" w:before="40"/>
              <w:jc w:val="left"/>
            </w:pPr>
            <w:r>
              <w:rPr>
                <w:rFonts w:ascii="Cambria" w:hAnsi="Cambria" w:cs="Cambria" w:eastAsia="Cambria"/>
                <w:color w:val="1A1A1A"/>
                <w:sz w:val="18"/>
              </w:rPr>
              <w:t xml:space="preserve">10.000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costo-efficacia (soglia 30.000 €/QALY)</w:t>
            </w:r>
          </w:p>
        </w:tc>
        <w:tc>
          <w:tcPr>
            <w:shd w:val="clear" w:color="auto" w:fill="F4F1EC"/>
          </w:tcPr>
          <w:p>
            <w:pPr>
              <w:pStyle w:val="Compact"/>
              <w:spacing w:after="40" w:before="40"/>
              <w:jc w:val="left"/>
            </w:pPr>
            <w:r>
              <w:rPr>
                <w:rFonts w:ascii="Cambria" w:hAnsi="Cambria" w:cs="Cambria" w:eastAsia="Cambria"/>
                <w:color w:val="1A1A1A"/>
                <w:sz w:val="18"/>
              </w:rPr>
              <w:t xml:space="preserve">88,9%</w:t>
            </w:r>
          </w:p>
        </w:tc>
      </w:tr>
      <w:tr>
        <w:tc>
          <w:tcPr/>
          <w:p>
            <w:pPr>
              <w:pStyle w:val="Compact"/>
              <w:spacing w:after="40" w:before="40"/>
              <w:jc w:val="left"/>
            </w:pPr>
            <w:r>
              <w:rPr>
                <w:rFonts w:ascii="Cambria" w:hAnsi="Cambria" w:cs="Cambria" w:eastAsia="Cambria"/>
                <w:b/>
                <w:bCs/>
                <w:color w:val="1A1A1A"/>
                <w:sz w:val="18"/>
              </w:rPr>
              <w:t xml:space="preserve">Probabilità di dominanza</w:t>
            </w:r>
          </w:p>
        </w:tc>
        <w:tc>
          <w:tcPr/>
          <w:p>
            <w:pPr>
              <w:pStyle w:val="Compact"/>
              <w:spacing w:after="40" w:before="40"/>
              <w:jc w:val="left"/>
            </w:pPr>
            <w:r>
              <w:rPr>
                <w:rFonts w:ascii="Cambria" w:hAnsi="Cambria" w:cs="Cambria" w:eastAsia="Cambria"/>
                <w:color w:val="1A1A1A"/>
                <w:sz w:val="18"/>
              </w:rPr>
              <w:t xml:space="preserve">84,6%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Beneficio monetario netto medio</w:t>
            </w:r>
          </w:p>
        </w:tc>
        <w:tc>
          <w:tcPr>
            <w:shd w:val="clear" w:color="auto" w:fill="F4F1EC"/>
          </w:tcPr>
          <w:p>
            <w:pPr>
              <w:pStyle w:val="Compact"/>
              <w:spacing w:after="40" w:before="40"/>
              <w:jc w:val="left"/>
            </w:pPr>
            <w:r>
              <w:rPr>
                <w:rFonts w:ascii="Cambria" w:hAnsi="Cambria" w:cs="Cambria" w:eastAsia="Cambria"/>
                <w:color w:val="1A1A1A"/>
                <w:sz w:val="18"/>
              </w:rPr>
              <w:t xml:space="preserve">~ 7.815 € per paziente</w:t>
            </w:r>
          </w:p>
        </w:tc>
      </w:tr>
      <w:tr>
        <w:tc>
          <w:tcPr/>
          <w:p>
            <w:pPr>
              <w:pStyle w:val="Compact"/>
              <w:spacing w:after="40" w:before="40"/>
              <w:jc w:val="left"/>
            </w:pPr>
            <w:r>
              <w:rPr>
                <w:rFonts w:ascii="Cambria" w:hAnsi="Cambria" w:cs="Cambria" w:eastAsia="Cambria"/>
                <w:b/>
                <w:bCs/>
                <w:color w:val="1A1A1A"/>
                <w:sz w:val="18"/>
              </w:rPr>
              <w:t xml:space="preserve">Intervallo di credibilità al 95%</w:t>
            </w:r>
          </w:p>
        </w:tc>
        <w:tc>
          <w:tcPr/>
          <w:p>
            <w:pPr>
              <w:pStyle w:val="Compact"/>
              <w:spacing w:after="40" w:before="40"/>
              <w:jc w:val="left"/>
            </w:pPr>
            <w:r>
              <w:rPr>
                <w:rFonts w:ascii="Cambria" w:hAnsi="Cambria" w:cs="Cambria" w:eastAsia="Cambria"/>
                <w:color w:val="1A1A1A"/>
                <w:sz w:val="18"/>
              </w:rPr>
              <w:t xml:space="preserve">da ~ −5.736 a ~ +21.501 €</w:t>
            </w:r>
          </w:p>
        </w:tc>
      </w:tr>
    </w:tbl>
    <w:p>
      <w:pPr>
        <w:pStyle w:val="BodyText"/>
      </w:pPr>
      <w:r>
        <w:rPr>
          <w:i/>
          <w:iCs/>
        </w:rPr>
        <w:t xml:space="preserve">Tabella F.3. Risultati dell</w:t>
      </w:r>
      <w:r>
        <w:rPr>
          <w:b/>
          <w:bCs/>
          <w:i/>
          <w:iCs/>
        </w:rPr>
        <w:t xml:space="preserve">‘</w:t>
      </w:r>
      <w:r>
        <w:rPr>
          <w:b/>
          <w:bCs/>
          <w:i/>
          <w:iCs/>
        </w:rPr>
        <w:t xml:space="preserve">******analisi di sensibilità probabilistica (risultato di costo-utilità, per paziente; cfr. la riconciliazione con l******</w:t>
      </w:r>
      <w:r>
        <w:rPr>
          <w:b/>
          <w:bCs/>
          <w:i/>
          <w:iCs/>
        </w:rPr>
        <w:t xml:space="preserve">’</w:t>
      </w:r>
      <w:r>
        <w:rPr>
          <w:i/>
          <w:iCs/>
        </w:rPr>
        <w:t xml:space="preserve">impatto di bilancio della Parte E).</w:t>
      </w:r>
    </w:p>
    <w:bookmarkEnd w:id="2336"/>
    <w:bookmarkStart w:id="2340" w:name="f.5-il-valore-dellinformazione-1"/>
    <w:p>
      <w:pPr>
        <w:pStyle w:val="Heading3"/>
      </w:pPr>
      <w:r>
        <w:t xml:space="preserve">F.5 Il valore dell’informazione</w:t>
      </w:r>
    </w:p>
    <w:p>
      <w:pPr>
        <w:pStyle w:val="FirstParagraph"/>
      </w:pPr>
      <w:r>
        <w:t xml:space="preserve">L’ultimo strumento di gestione dell’incertezza inverte la prospettiva: non chiede più quanto il risultato sia incerto, ma quanto varrebbe ridurne l’incertezza. Il valore atteso dell’informazione perfetta quantifica il beneficio massimo conseguibile eliminando del tutto l’incertezza, e rappresenta il limite superiore di ciò che converrebbe spendere in ricerca aggiuntiva; il valore atteso dell’informazione perfetta sui parametri lo scompone, attribuendolo ai singoli parametri, e indica così su quali grandezze la conoscenza aggiuntiva avrebbe il valore maggiore.</w:t>
      </w:r>
      <w:r>
        <w:rPr>
          <w:rStyle w:val="FootnoteReference"/>
        </w:rPr>
        <w:footnoteReference w:id="1024"/>
      </w:r>
      <w:r>
        <w:t xml:space="preserve"> </w:t>
      </w:r>
      <w:r>
        <w:t xml:space="preserve">È uno strumento di razionalità allocativa applicato non alle cure, ma alla ricerca: orienta lo sforzo conoscitivo dove esso è più produttivo, evitando di disperdere risorse nella misura di parametri ininfluenti.</w:t>
      </w:r>
    </w:p>
    <w:p>
      <w:pPr>
        <w:pStyle w:val="BodyText"/>
      </w:pPr>
      <w:r>
        <w:t xml:space="preserve">Applicato a questo studio, il valore dell’informazione fornisce un’indicazione operativa precisa e coerente con quanto già osservato. I parametri ancora stimati — segnatamente quelli dei canali dei ricoveri, della specialistica e della mobilità della valutazione economica — sono al tempo stesso tra i più incerti e tra i più influenti, e sono perciò quelli su cui il valore dell’informazione è maggiore.</w:t>
      </w:r>
      <w:r>
        <w:rPr>
          <w:rStyle w:val="FootnoteReference"/>
        </w:rPr>
        <w:footnoteReference w:id="1025"/>
      </w:r>
      <w:r>
        <w:t xml:space="preserve"> </w:t>
      </w:r>
      <w:r>
        <w:t xml:space="preserve">Ne discende che l’investimento conoscitivo prioritario è esattamente l’acquisizione dei dati regionali certificati già individuata nella Parte A e nella Parte E: le schede di dimissione per disturbi psichici, la composizione della mobilità passiva per disciplina e la spesa farmaceutica per categoria. Vi è, infine, una forma di acquisizione del valore dell’informazione superiore a ogni altra, perché sostituisce le stime non con altre stime ma con misure osservate: il dispiegamento scaglionato del servizio tra le sei aziende, oggetto della Parte L, che riduce l’incertezza dei parametri verificando empiricamente, sui dati pugliesi, gli effetti attesi.</w:t>
      </w:r>
      <w:r>
        <w:rPr>
          <w:rStyle w:val="FootnoteReference"/>
        </w:rPr>
        <w:footnoteReference w:id="1026"/>
      </w:r>
      <w:r>
        <w:t xml:space="preserve"> </w:t>
      </w:r>
      <w:r>
        <w:t xml:space="preserve">Con il valore dell’informazione si chiude la trattazione economica e della sua robustezza; le parti successive affrontano le dimensioni che il denaro non cattura, a partire dall’equità nella Parte G.</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costo-efficacia distributiva, divari territoriali e impoverimento</w:t>
      </w:r>
    </w:p>
    <w:p>
      <w:pPr>
        <w:pStyle w:val="BodyText"/>
      </w:pPr>
      <w:r>
        <w:t xml:space="preserve">Dominio 8 del modello HTA · profilo del paziente e sociale · criterio di impatto</w:t>
      </w:r>
    </w:p>
    <w:bookmarkEnd w:id="2340"/>
    <w:bookmarkEnd w:id="2341"/>
    <w:bookmarkStart w:id="2372" w:name="parte-g-equità-e-impatto-distributivo-3"/>
    <w:p>
      <w:pPr>
        <w:pStyle w:val="Heading2"/>
      </w:pPr>
      <w:r>
        <w:t xml:space="preserve">Parte G — Equità e impatto distributivo</w:t>
      </w:r>
    </w:p>
    <w:p>
      <w:pPr>
        <w:pStyle w:val="FirstParagraph"/>
      </w:pPr>
      <w:r>
        <w:t xml:space="preserve">Questa parte corrisponde all’ottavo dominio della valutazione di tecnologia sanitaria, il profilo del paziente e sociale, e risponde al criterio di impatto. L’equità vi è trattata non come un’aggiunta alla valutazione economica, ma come una sua dimensione costitutiva, secondo l’evoluzione che ha portato ad affiancare l’equità in salute agli obiettivi di esito, esperienza e costo.</w:t>
      </w:r>
      <w:r>
        <w:rPr>
          <w:rStyle w:val="FootnoteReference"/>
        </w:rPr>
        <w:footnoteReference w:id="1027"/>
      </w:r>
      <w:r>
        <w:rPr>
          <w:rStyle w:val="FootnoteReference"/>
        </w:rPr>
        <w:footnoteReference w:id="1028"/>
      </w:r>
      <w:r>
        <w:rPr>
          <w:rStyle w:val="FootnoteReference"/>
        </w:rPr>
        <w:footnoteReference w:id="1029"/>
      </w:r>
      <w:r>
        <w:rPr>
          <w:rStyle w:val="FootnoteReference"/>
        </w:rPr>
        <w:footnoteReference w:id="1030"/>
      </w:r>
      <w:r>
        <w:rPr>
          <w:rStyle w:val="FootnoteReference"/>
        </w:rPr>
        <w:footnoteReference w:id="1031"/>
      </w:r>
      <w:r>
        <w:rPr>
          <w:rStyle w:val="FootnoteReference"/>
        </w:rPr>
        <w:footnoteReference w:id="1032"/>
      </w:r>
      <w:r>
        <w:rPr>
          <w:rStyle w:val="FootnoteReference"/>
        </w:rPr>
        <w:footnoteReference w:id="1033"/>
      </w:r>
      <w:r>
        <w:rPr>
          <w:rStyle w:val="FootnoteReference"/>
        </w:rPr>
        <w:footnoteReference w:id="1034"/>
      </w:r>
      <w:r>
        <w:rPr>
          <w:rStyle w:val="FootnoteReference"/>
        </w:rPr>
        <w:footnoteReference w:id="1035"/>
      </w:r>
      <w:r>
        <w:rPr>
          <w:rStyle w:val="FootnoteReference"/>
        </w:rPr>
        <w:footnoteReference w:id="1036"/>
      </w:r>
      <w:r>
        <w:rPr>
          <w:rStyle w:val="FootnoteReference"/>
        </w:rPr>
        <w:footnoteReference w:id="1037"/>
      </w:r>
      <w:r>
        <w:rPr>
          <w:rStyle w:val="FootnoteReference"/>
        </w:rPr>
        <w:footnoteReference w:id="1038"/>
      </w:r>
      <w:r>
        <w:rPr>
          <w:rStyle w:val="FootnoteReference"/>
        </w:rPr>
        <w:footnoteReference w:id="1039"/>
      </w:r>
      <w:r>
        <w:rPr>
          <w:rStyle w:val="FootnoteReference"/>
        </w:rPr>
        <w:footnoteReference w:id="1040"/>
      </w:r>
      <w:r>
        <w:t xml:space="preserve"> </w:t>
      </w:r>
      <w:r>
        <w:t xml:space="preserve">La ragione è sostanziale: un intervento può essere efficiente in media e tuttavia ampliare le disuguaglianze, se i suoi benefici si concentrano sui gruppi già avvantaggiati; oppure può, come si argomenterà, migliorare l’esito medio e al tempo stesso ridurne la disuguaglianza. La parte analizza chi beneficia dell’intervento (capitolo G.1), come costi ed esiti si distribuiscono tra i gruppi (G.2) e quale sia l’effetto sui divari territoriali e sull’impoverimento delle famiglie (G.3).</w:t>
      </w:r>
    </w:p>
    <w:bookmarkStart w:id="2359" w:name="g.1-lanalisi-di-equità-1"/>
    <w:p>
      <w:pPr>
        <w:pStyle w:val="Heading3"/>
      </w:pPr>
      <w:r>
        <w:t xml:space="preserve">G.1 L’analisi di equità</w:t>
      </w:r>
    </w:p>
    <w:p>
      <w:pPr>
        <w:pStyle w:val="FirstParagraph"/>
      </w:pPr>
      <w:r>
        <w:t xml:space="preserve">L’analisi di equità muove da un dato epidemiologico consolidato: la salute mentale segue un gradiente sociale. Le popolazioni in deprivazione presentano prevalenze sistematicamente più elevate di disturbi mentali comuni e, al tempo stesso, incontrano un accesso più difficile ai servizi; il bisogno, in altri termini, si concentra precisamente dove le risorse protettive sono minori.</w:t>
      </w:r>
      <w:r>
        <w:rPr>
          <w:rStyle w:val="FootnoteReference"/>
        </w:rPr>
        <w:footnoteReference w:id="1041"/>
      </w:r>
      <w:r>
        <w:t xml:space="preserve"> </w:t>
      </w:r>
      <w:r>
        <w:t xml:space="preserve">In Puglia questo nesso ha un peso particolare, poiché il 37,7% della popolazione è a rischio di povertà o esclusione sociale, tra i valori più alti del Paese. Un servizio rivolto al disagio comune incide perciò, per la composizione stessa della sua utenza, su una popolazione in larga parte svantaggiata.</w:t>
      </w:r>
    </w:p>
    <w:p>
      <w:pPr>
        <w:pStyle w:val="BodyText"/>
      </w:pPr>
      <w:r>
        <w:t xml:space="preserve">Il meccanismo per cui l’intervento può ridurre le disuguaglianze, anziché ampliarle, risiede nelle sue caratteristiche di accesso. La gratuità, la prossimità e l’assenza di stigma del primo livello abbattono precisamente le barriere — economiche, geografiche e culturali — che gravano in misura maggiore sulle popolazioni deprivate, e che oggi le escludono dalla psicoterapia privata o dai percorsi specialistici distanti.</w:t>
      </w:r>
      <w:r>
        <w:rPr>
          <w:rStyle w:val="FootnoteReference"/>
        </w:rPr>
        <w:footnoteReference w:id="1042"/>
      </w:r>
      <w:r>
        <w:t xml:space="preserve"> </w:t>
      </w:r>
      <w:r>
        <w:t xml:space="preserve">Lo studio segue perciò un insieme strutturato di variabili di equità, accesso e protezione finanziaria: la riduzione dei tempi di attesa, l’accessibilità geografica nelle aree interne e remote, la riduzione del gradiente socio-economico nell’accesso, l’equità di esito tra gruppi, la riduzione delle disuguaglianze di genere, l’accesso per le popolazioni straniere e fragili e per le persone con disabilità, la riduzione delle barriere culturali e linguistiche, la gratuità per i gruppi vulnerabili, la copertura del bisogno non soddisfatto e la riduzione del divario Nord-Sud.</w:t>
      </w:r>
      <w:r>
        <w:rPr>
          <w:rStyle w:val="FootnoteReference"/>
        </w:rPr>
        <w:footnoteReference w:id="1043"/>
      </w:r>
      <w:r>
        <w:t xml:space="preserve"> </w:t>
      </w:r>
      <w:r>
        <w:t xml:space="preserve">Queste variabili, raggruppate nella tabella seguente, traducono l’equità da principio generale a dimensione misurabile.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 equità</w:t>
            </w:r>
          </w:p>
        </w:tc>
        <w:tc>
          <w:tcPr>
            <w:shd w:val="clear" w:color="auto" w:fill="16264B"/>
          </w:tcPr>
          <w:p>
            <w:pPr>
              <w:pStyle w:val="Compact"/>
              <w:spacing w:after="40" w:before="40"/>
              <w:jc w:val="left"/>
            </w:pPr>
            <w:r>
              <w:rPr>
                <w:rFonts w:ascii="Cambria" w:hAnsi="Cambria" w:cs="Cambria" w:eastAsia="Cambria"/>
                <w:b/>
                <w:bCs/>
                <w:color w:val="FFFFFF"/>
                <w:sz w:val="18"/>
              </w:rPr>
              <w:t xml:space="preserve">Variabili seguite dallo studio</w:t>
            </w:r>
          </w:p>
        </w:tc>
      </w:tr>
      <w:tr>
        <w:tc>
          <w:tcPr/>
          <w:p>
            <w:pPr>
              <w:pStyle w:val="Compact"/>
              <w:spacing w:after="40" w:before="40"/>
              <w:jc w:val="left"/>
            </w:pPr>
            <w:r>
              <w:rPr>
                <w:rFonts w:ascii="Cambria" w:hAnsi="Cambria" w:cs="Cambria" w:eastAsia="Cambria"/>
                <w:b/>
                <w:bCs/>
                <w:color w:val="1A1A1A"/>
                <w:sz w:val="18"/>
              </w:rPr>
              <w:t xml:space="preserve">Accesso</w:t>
            </w:r>
          </w:p>
        </w:tc>
        <w:tc>
          <w:tcPr/>
          <w:p>
            <w:pPr>
              <w:pStyle w:val="Compact"/>
              <w:spacing w:after="40" w:before="40"/>
              <w:jc w:val="left"/>
            </w:pPr>
            <w:r>
              <w:rPr>
                <w:rFonts w:ascii="Cambria" w:hAnsi="Cambria" w:cs="Cambria" w:eastAsia="Cambria"/>
                <w:color w:val="1A1A1A"/>
                <w:sz w:val="18"/>
              </w:rPr>
              <w:t xml:space="preserve">Tempi di attesa; accessibilità geografica nelle aree interne e remote; gradiente socio-economico nell’accesso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Protezione finanziaria</w:t>
            </w:r>
          </w:p>
        </w:tc>
        <w:tc>
          <w:tcPr>
            <w:shd w:val="clear" w:color="auto" w:fill="F4F1EC"/>
          </w:tcPr>
          <w:p>
            <w:pPr>
              <w:pStyle w:val="Compact"/>
              <w:spacing w:after="40" w:before="40"/>
              <w:jc w:val="left"/>
            </w:pPr>
            <w:r>
              <w:rPr>
                <w:rFonts w:ascii="Cambria" w:hAnsi="Cambria" w:cs="Cambria" w:eastAsia="Cambria"/>
                <w:color w:val="1A1A1A"/>
                <w:sz w:val="18"/>
              </w:rPr>
              <w:t xml:space="preserve">Riduzione della spesa privata diretta; dell’impoverimento connesso alle cure; delle spese catastrofiche</w:t>
            </w:r>
          </w:p>
        </w:tc>
      </w:tr>
      <w:tr>
        <w:tc>
          <w:tcPr/>
          <w:p>
            <w:pPr>
              <w:pStyle w:val="Compact"/>
              <w:spacing w:after="40" w:before="40"/>
              <w:jc w:val="left"/>
            </w:pPr>
            <w:r>
              <w:rPr>
                <w:rFonts w:ascii="Cambria" w:hAnsi="Cambria" w:cs="Cambria" w:eastAsia="Cambria"/>
                <w:b/>
                <w:bCs/>
                <w:color w:val="1A1A1A"/>
                <w:sz w:val="18"/>
              </w:rPr>
              <w:t xml:space="preserve">Gruppi vulnerabili</w:t>
            </w:r>
          </w:p>
        </w:tc>
        <w:tc>
          <w:tcPr/>
          <w:p>
            <w:pPr>
              <w:pStyle w:val="Compact"/>
              <w:spacing w:after="40" w:before="40"/>
              <w:jc w:val="left"/>
            </w:pPr>
            <w:r>
              <w:rPr>
                <w:rFonts w:ascii="Cambria" w:hAnsi="Cambria" w:cs="Cambria" w:eastAsia="Cambria"/>
                <w:color w:val="1A1A1A"/>
                <w:sz w:val="18"/>
              </w:rPr>
              <w:t xml:space="preserve">Equità di genere; popolazioni straniere e fragili; persone con disabilità; barriere culturali e linguistiche; gratuità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Territorio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divario Nord-Sud; della migrazione sanitaria;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2359"/>
    <w:bookmarkStart w:id="2365" w:name="g.2-la-costo-efficacia-distributiva-1"/>
    <w:p>
      <w:pPr>
        <w:pStyle w:val="Heading3"/>
      </w:pPr>
      <w:r>
        <w:t xml:space="preserve">G.2 La costo-efficacia distributiva</w:t>
      </w:r>
    </w:p>
    <w:p>
      <w:pPr>
        <w:pStyle w:val="FirstParagraph"/>
      </w:pPr>
      <w:r>
        <w:t xml:space="preserve">L’analisi di costo-efficacia distributiva estende la valutazione economica alla dimensione dell’equità, stimando non soltanto l’effetto medio dell’intervento, ma come costi ed esiti si distribuiscano tra i sottogruppi della popolazione e quale ne sia l’effetto sulle disuguaglianze. Essa si avvale di strumenti dedicati: gli anni di vita ponderati per la qualità e per l’equità, che attribuiscono ai guadagni di salute un peso crescente con lo svantaggio sociale; l’indice di concentrazione, che lega l’esito di salute alla posizione socio-economica; e gli indici di disuguaglianza assoluta e relativa, che misurano il gradiente dell’esito lungo lo stato socio-economico.</w:t>
      </w:r>
      <w:r>
        <w:rPr>
          <w:rStyle w:val="FootnoteReference"/>
        </w:rPr>
        <w:footnoteReference w:id="1044"/>
      </w:r>
      <w:r>
        <w:t xml:space="preserve"> </w:t>
      </w:r>
      <w:r>
        <w:t xml:space="preserve">È il metodo che consente di affermare, in termini quantitativi e non retorici, se un intervento sia equo.</w:t>
      </w:r>
    </w:p>
    <w:p>
      <w:pPr>
        <w:pStyle w:val="BodyText"/>
      </w:pPr>
      <w:r>
        <w:t xml:space="preserve">La direzione del risultato distributivo è, per questo intervento, favorevole. Poiché il bisogno è maggiore e il guadagno di accesso più ampio tra le popolazioni deprivate, i benefici si concentrano tra i gruppi più svantaggiati, riducendo il gradiente sociale negli esiti di salute mentale; l’intervento migliora dunque l’esito medio e ne comprime al tempo stesso la disuguaglianza, una combinazione che la valutazione economica tradizionale, attenta al solo effetto medio, non coglierebbe.</w:t>
      </w:r>
      <w:r>
        <w:rPr>
          <w:rStyle w:val="FootnoteReference"/>
        </w:rPr>
        <w:footnoteReference w:id="1045"/>
      </w:r>
      <w:r>
        <w:t xml:space="preserve"> </w:t>
      </w:r>
      <w:r>
        <w:t xml:space="preserve">Su questa base è doverosa una precisazione di metodo, coerente con il rigore adottato nella parte economica. La ponderazione distributiva — l’attribuzione di pesi maggiori ai benefici che ricadono sui più svantaggiati — accrescerebbe il valore sociale stimato rispetto all’analisi non ponderata; lo studio adotta tuttavia, come riferimento conservativo, il rapporto beneficio-costo non ponderato già esposto nella Parte E, dell’ordine di 3,6–5 a uno, rilevando che la ponderazione lo eleverebbe — coerentemente con la concentrazione dei benefici tra le popolazioni del Mezzogiorno — ma senza adottare la stima ponderata come dato di sintesi.</w:t>
      </w:r>
      <w:r>
        <w:rPr>
          <w:rStyle w:val="FootnoteReference"/>
        </w:rPr>
        <w:footnoteReference w:id="1046"/>
      </w:r>
    </w:p>
    <w:p>
      <w:pPr>
        <w:pStyle w:val="BodyText"/>
      </w:pPr>
      <w:r>
        <w:t xml:space="preserve">L’equità, peraltro, non è affidata al solo calcolo, ma è incorporata nel disegno operativo del servizio. L’algoritmo di distribuzione territoriale degli incarichi non segue la sola popolazione, ma pondera ciascun distretto per l’indice di vecchiaia, per l’indice di deprivazione socioeconomica e per la prevalenza di cronicità e multimorbidità, attribuendo pesi maggiori alle aree interne in spopolamento e alle periferie urbane degradate.</w:t>
      </w:r>
      <w:r>
        <w:rPr>
          <w:rStyle w:val="FootnoteReference"/>
        </w:rPr>
        <w:footnoteReference w:id="1047"/>
      </w:r>
      <w:r>
        <w:t xml:space="preserve"> </w:t>
      </w:r>
      <w:r>
        <w:t xml:space="preserve">In questo modo la programmazione contrasta, anziché riprodurre, le disuguaglianze esistenti: l’equità è perseguita non solo misurando dove i benefici cadono, ma indirizzando deliberatamente le risorse dove il bisogno è maggiore. La tabella seguente riepiloga gli strumenti della misura distributiva.</w:t>
      </w:r>
      <w:r>
        <w:rPr>
          <w:rStyle w:val="FootnoteReference"/>
        </w:rPr>
        <w:footnoteReference w:id="1048"/>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Strumento della costo-efficacia distributiva</w:t>
            </w:r>
          </w:p>
        </w:tc>
        <w:tc>
          <w:tcPr>
            <w:shd w:val="clear" w:color="auto" w:fill="16264B"/>
          </w:tcPr>
          <w:p>
            <w:pPr>
              <w:pStyle w:val="Compact"/>
              <w:spacing w:after="40" w:before="40"/>
              <w:jc w:val="left"/>
            </w:pPr>
            <w:r>
              <w:rPr>
                <w:rFonts w:ascii="Cambria" w:hAnsi="Cambria" w:cs="Cambria" w:eastAsia="Cambria"/>
                <w:b/>
                <w:bCs/>
                <w:color w:val="FFFFFF"/>
                <w:sz w:val="18"/>
              </w:rPr>
              <w:t xml:space="preserve">Che cosa misura</w:t>
            </w:r>
          </w:p>
        </w:tc>
      </w:tr>
      <w:tr>
        <w:tc>
          <w:tcPr/>
          <w:p>
            <w:pPr>
              <w:pStyle w:val="Compact"/>
              <w:spacing w:after="40" w:before="40"/>
              <w:jc w:val="left"/>
            </w:pPr>
            <w:r>
              <w:rPr>
                <w:rFonts w:ascii="Cambria" w:hAnsi="Cambria" w:cs="Cambria" w:eastAsia="Cambria"/>
                <w:b/>
                <w:bCs/>
                <w:color w:val="1A1A1A"/>
                <w:sz w:val="18"/>
              </w:rPr>
              <w:t xml:space="preserve">Anni di vita ponderati per l’equità</w:t>
            </w:r>
          </w:p>
        </w:tc>
        <w:tc>
          <w:tcPr/>
          <w:p>
            <w:pPr>
              <w:pStyle w:val="Compact"/>
              <w:spacing w:after="40" w:before="40"/>
              <w:jc w:val="left"/>
            </w:pPr>
            <w:r>
              <w:rPr>
                <w:rFonts w:ascii="Cambria" w:hAnsi="Cambria" w:cs="Cambria" w:eastAsia="Cambria"/>
                <w:color w:val="1A1A1A"/>
                <w:sz w:val="18"/>
              </w:rPr>
              <w:t xml:space="preserve">Guadagni di salute con pesi per lo svantaggio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concentrazione</w:t>
            </w:r>
          </w:p>
        </w:tc>
        <w:tc>
          <w:tcPr>
            <w:shd w:val="clear" w:color="auto" w:fill="F4F1EC"/>
          </w:tcPr>
          <w:p>
            <w:pPr>
              <w:pStyle w:val="Compact"/>
              <w:spacing w:after="40" w:before="40"/>
              <w:jc w:val="left"/>
            </w:pPr>
            <w:r>
              <w:rPr>
                <w:rFonts w:ascii="Cambria" w:hAnsi="Cambria" w:cs="Cambria" w:eastAsia="Cambria"/>
                <w:color w:val="1A1A1A"/>
                <w:sz w:val="18"/>
              </w:rPr>
              <w:t xml:space="preserve">Relazione tra esito di salute e posizione socio-economica</w:t>
            </w:r>
          </w:p>
        </w:tc>
      </w:tr>
      <w:tr>
        <w:tc>
          <w:tcPr/>
          <w:p>
            <w:pPr>
              <w:pStyle w:val="Compact"/>
              <w:spacing w:after="40" w:before="40"/>
              <w:jc w:val="left"/>
            </w:pPr>
            <w:r>
              <w:rPr>
                <w:rFonts w:ascii="Cambria" w:hAnsi="Cambria" w:cs="Cambria" w:eastAsia="Cambria"/>
                <w:b/>
                <w:bCs/>
                <w:color w:val="1A1A1A"/>
                <w:sz w:val="18"/>
              </w:rPr>
              <w:t xml:space="preserve">Indici di disuguaglianza (assoluta e relativa)</w:t>
            </w:r>
          </w:p>
        </w:tc>
        <w:tc>
          <w:tcPr/>
          <w:p>
            <w:pPr>
              <w:pStyle w:val="Compact"/>
              <w:spacing w:after="40" w:before="40"/>
              <w:jc w:val="left"/>
            </w:pPr>
            <w:r>
              <w:rPr>
                <w:rFonts w:ascii="Cambria" w:hAnsi="Cambria" w:cs="Cambria" w:eastAsia="Cambria"/>
                <w:color w:val="1A1A1A"/>
                <w:sz w:val="18"/>
              </w:rPr>
              <w:t xml:space="preserve">Gradiente dell’esito lungo lo stato socio-economico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d</w:t>
            </w:r>
            <w:r>
              <w:rPr>
                <w:rFonts w:ascii="Cambria" w:hAnsi="Cambria" w:cs="Cambria" w:eastAsia="Cambria"/>
                <w:b/>
                <w:bCs/>
                <w:color w:val="1A1A1A"/>
                <w:sz w:val="18"/>
              </w:rPr>
              <w:t xml:space="preserve">‘</w:t>
            </w:r>
            <w:r>
              <w:rPr>
                <w:rFonts w:ascii="Cambria" w:hAnsi="Cambria" w:cs="Cambria" w:eastAsia="Cambria"/>
                <w:b/>
                <w:bCs/>
                <w:color w:val="1A1A1A"/>
                <w:sz w:val="18"/>
              </w:rPr>
              <w:t xml:space="preserve">********impatto sull********</w:t>
            </w:r>
            <w:r>
              <w:rPr>
                <w:rFonts w:ascii="Cambria" w:hAnsi="Cambria" w:cs="Cambria" w:eastAsia="Cambria"/>
                <w:b/>
                <w:bCs/>
                <w:color w:val="1A1A1A"/>
                <w:sz w:val="18"/>
              </w:rPr>
              <w:t xml:space="preserve">’</w:t>
            </w: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Distribuzione degli effetti per gruppi vulnerabili</w:t>
            </w:r>
          </w:p>
        </w:tc>
      </w:tr>
      <w:tr>
        <w:tc>
          <w:tcPr/>
          <w:p>
            <w:pPr>
              <w:pStyle w:val="Compact"/>
              <w:spacing w:after="40" w:before="40"/>
              <w:jc w:val="left"/>
            </w:pPr>
            <w:r>
              <w:rPr>
                <w:rFonts w:ascii="Cambria" w:hAnsi="Cambria" w:cs="Cambria" w:eastAsia="Cambria"/>
                <w:b/>
                <w:bCs/>
                <w:color w:val="1A1A1A"/>
                <w:sz w:val="18"/>
              </w:rPr>
              <w:t xml:space="preserve">Indice di deprivazione multipla</w:t>
            </w:r>
          </w:p>
        </w:tc>
        <w:tc>
          <w:tcPr/>
          <w:p>
            <w:pPr>
              <w:pStyle w:val="Compact"/>
              <w:spacing w:after="40" w:before="40"/>
              <w:jc w:val="left"/>
            </w:pPr>
            <w:r>
              <w:rPr>
                <w:rFonts w:ascii="Cambria" w:hAnsi="Cambria" w:cs="Cambria" w:eastAsia="Cambria"/>
                <w:color w:val="1A1A1A"/>
                <w:sz w:val="18"/>
              </w:rP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2365"/>
    <w:bookmarkStart w:id="2371" w:name="X38a500961cba48f9967b7e45ad592fd61f23280"/>
    <w:p>
      <w:pPr>
        <w:pStyle w:val="Heading3"/>
      </w:pPr>
      <w:r>
        <w:t xml:space="preserve">G.3 I divari territoriali e l’impoverimento</w:t>
      </w:r>
    </w:p>
    <w:p>
      <w:pPr>
        <w:pStyle w:val="FirstParagraph"/>
      </w:pPr>
      <w:r>
        <w:t xml:space="preserve">La dimensione territoriale dell’equità è, in Puglia, particolarmente rilevante. Alla disomogeneità demografica tra province — con aree nettamente più anziane di altre — si sommano i divari socioeconomici, concentrati nelle aree interne montane e rurali, colpite da spopolamento giovanile e invecchiamento residuo, e in alcune periferie urbane degradate.</w:t>
      </w:r>
      <w:r>
        <w:rPr>
          <w:rStyle w:val="FootnoteReference"/>
        </w:rPr>
        <w:footnoteReference w:id="1049"/>
      </w:r>
      <w:r>
        <w:t xml:space="preserve"> </w:t>
      </w:r>
      <w:r>
        <w:t xml:space="preserve">Sono le aree in cui i determinanti del disagio si addensano e in cui, al tempo stesso, l’accesso ai servizi è più difficile, sicché la sola presenza fisica di un primo livello accessibile, distribuito secondo l’algoritmo allocativo, costituisce già un atto di riequilibrio. A ciò si lega il canale, distintivo della Puglia, della mobilità sanitaria recuperata: chi migra per ricevere cure è spesso chi può permetterselo, sicché trattenere la presa in carico sul territorio serve insieme la sostenibilità del bilancio e l’equità verso chi non può spostarsi.</w:t>
      </w:r>
      <w:r>
        <w:rPr>
          <w:rStyle w:val="FootnoteReference"/>
        </w:rPr>
        <w:footnoteReference w:id="1050"/>
      </w:r>
    </w:p>
    <w:p>
      <w:pPr>
        <w:pStyle w:val="BodyText"/>
      </w:pPr>
      <w:r>
        <w:t xml:space="preserve">La seconda dimensione è la protezione finanziaria delle famiglie. Il servizio pubblico e gratuito riduce la spesa privata diretta per la psicoterapia, l’impoverimento connesso alle cure e le spese sanitarie catastrofiche, con beneficio maggiore per i redditi bassi, per i quali oggi la psicoterapia privata — di costo non trascurabile — è spesso del tutto inaccessibile.</w:t>
      </w:r>
      <w:r>
        <w:rPr>
          <w:rStyle w:val="FootnoteReference"/>
        </w:rPr>
        <w:footnoteReference w:id="1051"/>
      </w:r>
      <w:r>
        <w:t xml:space="preserve"> </w:t>
      </w:r>
      <w:r>
        <w:t xml:space="preserve">In una regione in cui oltre un terzo della popolazione è a rischio di povertà, la gratuità del primo livello non è un dettaglio organizzativo, ma la condizione stessa dell’accesso per una quota larga della popolazione. La copertura del bisogno non soddisfatto — le 780.000 persone con disagio comune, metà delle quali non chiede aiuto — ha del resto un significato distributivo preciso, poiché raggiunge proprio coloro che hanno minore probabilità di accedere spontaneamente ai servizi.</w:t>
      </w:r>
      <w:r>
        <w:rPr>
          <w:rStyle w:val="FootnoteReference"/>
        </w:rPr>
        <w:footnoteReference w:id="1052"/>
      </w:r>
    </w:p>
    <w:p>
      <w:pPr>
        <w:pStyle w:val="BodyText"/>
      </w:pPr>
      <w:r>
        <w:t xml:space="preserve">L’impatto distributivo, infine, non è affermato una volta per tutte, ma sottoposto a verifica continua. Gli indicatori di equità — l’accesso per area e per livello socio-economico, il gradiente dell’esito, i tempi di attesa per area — fanno parte del sistema di indicatori sviluppato nella Parte L, e consentono di accertare nel tempo se il servizio raggiunga effettivamente le comunità più distanti e i gruppi più fragili, e non soltanto quelli già meglio serviti.</w:t>
      </w:r>
      <w:r>
        <w:rPr>
          <w:rStyle w:val="FootnoteReference"/>
        </w:rPr>
        <w:footnoteReference w:id="1053"/>
      </w:r>
      <w:r>
        <w:t xml:space="preserve"> </w:t>
      </w:r>
      <w:r>
        <w:t xml:space="preserve">In tal modo l’equità cessa di essere una promessa e diventa un esito misurato, soggetto alla stessa disciplina di verifica che lo studio applica all’efficacia e all’economia. Stabilito l’impatto distributivo, le parti successive affrontano i profili etici, giuridici e organizzativi, oggetto della Parte H.</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etico, profili giuridici e costituzionali, profilo organizzativo e conformità</w:t>
      </w:r>
    </w:p>
    <w:p>
      <w:pPr>
        <w:pStyle w:val="BodyText"/>
      </w:pPr>
      <w:r>
        <w:t xml:space="preserve">Domini 6, 7 e 9 del modello HTA · etica, organizzazione e profili giuridici</w:t>
      </w:r>
    </w:p>
    <w:bookmarkEnd w:id="2371"/>
    <w:bookmarkEnd w:id="2372"/>
    <w:bookmarkStart w:id="2407" w:name="X6c05ff5344abce8aacb16f9076651674c7e342d"/>
    <w:p>
      <w:pPr>
        <w:pStyle w:val="Heading2"/>
      </w:pPr>
      <w:r>
        <w:t xml:space="preserve">Parte H — Profili etico, giuridico e organizzativo</w:t>
      </w:r>
    </w:p>
    <w:p>
      <w:pPr>
        <w:pStyle w:val="FirstParagraph"/>
      </w:pPr>
      <w:r>
        <w:t xml:space="preserve">Questa parte copre tre domini della valutazione di tecnologia sanitaria — il profilo etico, il profilo organizzativo e il profilo giuridico — che completano l’esame oltre i piani già trattati. Un intervento può essere clinicamente efficace, economicamente conveniente ed equo, e tuttavia risultare inattuabile o indifendibile se non è eticamente fondato, giuridicamente solido e organizzativamente conforme.</w:t>
      </w:r>
      <w:r>
        <w:rPr>
          <w:rStyle w:val="FootnoteReference"/>
        </w:rPr>
        <w:footnoteReference w:id="1054"/>
      </w:r>
      <w:r>
        <w:rPr>
          <w:rStyle w:val="FootnoteReference"/>
        </w:rPr>
        <w:footnoteReference w:id="1055"/>
      </w:r>
      <w:r>
        <w:rPr>
          <w:rStyle w:val="FootnoteReference"/>
        </w:rPr>
        <w:footnoteReference w:id="1056"/>
      </w:r>
      <w:r>
        <w:rPr>
          <w:rStyle w:val="FootnoteReference"/>
        </w:rPr>
        <w:footnoteReference w:id="1057"/>
      </w:r>
      <w:r>
        <w:rPr>
          <w:rStyle w:val="FootnoteReference"/>
        </w:rPr>
        <w:footnoteReference w:id="1058"/>
      </w:r>
      <w:r>
        <w:rPr>
          <w:rStyle w:val="FootnoteReference"/>
        </w:rPr>
        <w:footnoteReference w:id="1059"/>
      </w:r>
      <w:r>
        <w:rPr>
          <w:rStyle w:val="FootnoteReference"/>
        </w:rPr>
        <w:footnoteReference w:id="1060"/>
      </w:r>
      <w:r>
        <w:rPr>
          <w:rStyle w:val="FootnoteReference"/>
        </w:rPr>
        <w:footnoteReference w:id="1061"/>
      </w:r>
      <w:r>
        <w:rPr>
          <w:rStyle w:val="FootnoteReference"/>
        </w:rPr>
        <w:footnoteReference w:id="1062"/>
      </w:r>
      <w:r>
        <w:rPr>
          <w:rStyle w:val="FootnoteReference"/>
        </w:rPr>
        <w:footnoteReference w:id="1063"/>
      </w:r>
      <w:r>
        <w:rPr>
          <w:rStyle w:val="FootnoteReference"/>
        </w:rPr>
        <w:footnoteReference w:id="1064"/>
      </w:r>
      <w:r>
        <w:rPr>
          <w:rStyle w:val="FootnoteReference"/>
        </w:rPr>
        <w:footnoteReference w:id="1065"/>
      </w:r>
      <w:r>
        <w:rPr>
          <w:rStyle w:val="FootnoteReference"/>
        </w:rPr>
        <w:footnoteReference w:id="1066"/>
      </w:r>
      <w:r>
        <w:rPr>
          <w:rStyle w:val="FootnoteReference"/>
        </w:rPr>
        <w:footnoteReference w:id="1067"/>
      </w:r>
      <w:r>
        <w:rPr>
          <w:rStyle w:val="FootnoteReference"/>
        </w:rPr>
        <w:footnoteReference w:id="1068"/>
      </w:r>
      <w:r>
        <w:rPr>
          <w:rStyle w:val="FootnoteReference"/>
        </w:rPr>
        <w:footnoteReference w:id="1069"/>
      </w:r>
      <w:r>
        <w:t xml:space="preserve"> </w:t>
      </w:r>
      <w:r>
        <w:t xml:space="preserve">La parte verifica queste tre condizioni: il fondamento etico dell’intervento, segnatamente l’autonomia e il consenso della persona (capitolo H.1); la sua difendibilità giuridica e costituzionale, nel quadro del riparto di competenze e dei livelli essenziali (H.2); e la sua conformità organizzativa, sul piano della deontologia, della responsabilità, dell’intelligenza artificiale e della protezione dei dati (H.3).</w:t>
      </w:r>
    </w:p>
    <w:bookmarkStart w:id="2393" w:name="h.1-il-profilo-etico-1"/>
    <w:p>
      <w:pPr>
        <w:pStyle w:val="Heading3"/>
      </w:pPr>
      <w:r>
        <w:t xml:space="preserve">H.1 Il profilo etico</w:t>
      </w:r>
    </w:p>
    <w:p>
      <w:pPr>
        <w:pStyle w:val="FirstParagraph"/>
      </w:pPr>
      <w:r>
        <w:t xml:space="preserve">Il dominio etico della valutazione esamina le implicazioni morali dell’intervento, e per questo servizio esse ruotano intorno a tre principi: l’equità di accesso, l’autonomia della persona e la tutela del consenso.</w:t>
      </w:r>
      <w:r>
        <w:rPr>
          <w:rStyle w:val="FootnoteReference"/>
        </w:rPr>
        <w:footnoteReference w:id="1070"/>
      </w:r>
      <w:r>
        <w:t xml:space="preserve"> </w:t>
      </w:r>
      <w:r>
        <w:t xml:space="preserve">L’equità di accesso, già trattata sul piano distributivo nella Parte G, ha qui una valenza propriamente etica: un servizio sanitario pubblico ha il dovere di raggiungere chi ne ha bisogno indipendentemente dalle condizioni economiche, geografiche e culturali, e la gratuità e la prossimità del primo livello rispondono a questo dovere. L’autonomia della persona impone che l’accesso e la permanenza nel percorso siano volontari e informati, e che la persona resti il soggetto, e mai l’oggetto, della presa in carico.</w:t>
      </w:r>
    </w:p>
    <w:p>
      <w:pPr>
        <w:pStyle w:val="BodyText"/>
      </w:pPr>
      <w:r>
        <w:t xml:space="preserve">La tutela del consenso è il presidio operativo di questi principi. Il consenso è modulare — prestato distintamente per i diversi trattamenti, sicché la persona può acconsentire all’intervento psicologico ma non, ad esempio, all’uso di un determinato strumento digitale — ed è reso anche in forma digitale; e poiché nella salute mentale i dati sono ultrasensibili, la persona deve sapere con chiarezza se interagisce con un sistema di intelligenza artificiale, quali dati siano raccolti e chi possa accedervi.</w:t>
      </w:r>
      <w:r>
        <w:rPr>
          <w:rStyle w:val="FootnoteReference"/>
        </w:rPr>
        <w:footnoteReference w:id="1071"/>
      </w:r>
      <w:r>
        <w:t xml:space="preserve"> </w:t>
      </w:r>
      <w:r>
        <w:t xml:space="preserve">Alla dimensione etica appartiene anche la conduzione della valutazione stessa: gli esiti sono resi pubblici indipendentemente dal loro segno, a garanzia contro la distorsione da selezione dei risultati favorevoli, e l’intero impianto è sottoposto all’approvazione del comitato etico territorialmente competente.</w:t>
      </w:r>
      <w:r>
        <w:rPr>
          <w:rStyle w:val="FootnoteReference"/>
        </w:rPr>
        <w:footnoteReference w:id="1072"/>
      </w:r>
      <w:r>
        <w:t xml:space="preserve"> </w:t>
      </w:r>
      <w:r>
        <w:t xml:space="preserve">Vi è, infine, la tutela rafforzata dei minori e delle persone vulnerabili, già richiamata: gli strumenti di esito sono impiegati nei soli punteggi complessivi, e le situazioni di rischio sono indirizzate ai servizi competenti, in raccordo con il medico curante, senza che ne siano registrate le modalità — garanzia insieme di sicurezza e di dignità.</w:t>
      </w:r>
      <w:r>
        <w:rPr>
          <w:rStyle w:val="FootnoteReference"/>
        </w:rPr>
        <w:footnoteReference w:id="1073"/>
      </w:r>
    </w:p>
    <w:bookmarkEnd w:id="2393"/>
    <w:bookmarkStart w:id="2400" w:name="X9ee6cd2692d9338255c6ff34159f537512c799d"/>
    <w:p>
      <w:pPr>
        <w:pStyle w:val="Heading3"/>
      </w:pPr>
      <w:r>
        <w:t xml:space="preserve">H.2 I profili giuridici e costituzionali</w:t>
      </w:r>
    </w:p>
    <w:p>
      <w:pPr>
        <w:pStyle w:val="FirstParagraph"/>
      </w:pPr>
      <w:r>
        <w:t xml:space="preserve">La difendibilità giuridica dell’intervento è una condizione, non un ornamento, tanto più per una riforma che incide sull’organizzazione sanitaria. Il fondamento è costituzionale: l’articolo 32 della Costituzione e la legge istitutiva del Servizio sanitario nazionale configurano la salute come diritto fondamentale dell’individuo e interesse della collettività, e il servizio sui principi di universalità, eguaglianza ed equità.</w:t>
      </w:r>
      <w:r>
        <w:rPr>
          <w:rStyle w:val="FootnoteReference"/>
        </w:rPr>
        <w:footnoteReference w:id="1074"/>
      </w:r>
      <w:r>
        <w:t xml:space="preserve"> </w:t>
      </w:r>
      <w:r>
        <w:t xml:space="preserve">È entro questa cornice che si colloca la riforma, la quale dà attuazione concreta a quel diritto per una dimensione — la salute mentale — storicamente sotto-tutelata nelle cure primarie.</w:t>
      </w:r>
    </w:p>
    <w:p>
      <w:pPr>
        <w:pStyle w:val="BodyText"/>
      </w:pPr>
      <w:r>
        <w:t xml:space="preserve">Sul piano del riparto di competenze, la materia è governata dall’articolo 117 della Costituzione. La tutela della salute è competenza concorrente, nella quale allo Stato spetta la determinazione dei principi fondamentali e alle Regioni la disciplina di dettaglio e l’organizzazione del servizio, mentre l’ordinamento delle professioni è riservato allo Stato;</w:t>
      </w:r>
      <w:r>
        <w:rPr>
          <w:rStyle w:val="FootnoteReference"/>
        </w:rPr>
        <w:footnoteReference w:id="1075"/>
      </w:r>
      <w:r>
        <w:t xml:space="preserve"> </w:t>
      </w:r>
      <w:r>
        <w:t xml:space="preserve">la determinazione dei livelli essenziali delle prestazioni è invece competenza esclusiva statale, ed è la leva attraverso cui un’eventuale legge dello Stato potrebbe ricondurre la psicologia di base tra le prestazioni garantite in modo uniforme su tutto il territorio.</w:t>
      </w:r>
      <w:r>
        <w:rPr>
          <w:rStyle w:val="FootnoteReference"/>
        </w:rPr>
        <w:footnoteReference w:id="1076"/>
      </w:r>
      <w:r>
        <w:t xml:space="preserve"> </w:t>
      </w:r>
      <w:r>
        <w:t xml:space="preserve">La legge regionale pugliese opera legittimamente entro la competenza concorrente, sul piano organizzativo: la Corte costituzionale, con la sentenza n. 241 del 2021, ha riconosciuto legittimo il modello regionale del servizio di psicologia di base, in quanto organizzazione del servizio che si avvale di professionisti già esistenti.</w:t>
      </w:r>
      <w:r>
        <w:rPr>
          <w:rStyle w:val="FootnoteReference"/>
        </w:rPr>
        <w:footnoteReference w:id="1077"/>
      </w:r>
      <w:r>
        <w:t xml:space="preserve"> </w:t>
      </w:r>
      <w:r>
        <w:t xml:space="preserve">È un precedente di rilievo diretto, poiché la stessa Corte aveva in precedenza dichiarato l’illegittimità di una più risalente legge pugliese, alla quale la legge n. 11 del 2023 è succeduta in forma conforme.</w:t>
      </w:r>
      <w:r>
        <w:rPr>
          <w:rStyle w:val="FootnoteReference"/>
        </w:rPr>
        <w:footnoteReference w:id="1078"/>
      </w:r>
    </w:p>
    <w:p>
      <w:pPr>
        <w:pStyle w:val="BodyText"/>
      </w:pPr>
      <w:r>
        <w:t xml:space="preserve">Un vincolo specifico, già incontrato nella valutazione economica, ha qui la sua collocazione propria. La Corte costituzionale, con la sentenza n. 6 del 2026, ha ribadito che le Regioni in piano di rientro non possono utilizzare i fondi del proprio Servizio sanitario per finalità diverse dalla garanzia dei livelli essenziali.</w:t>
      </w:r>
      <w:r>
        <w:rPr>
          <w:rStyle w:val="FootnoteReference"/>
        </w:rPr>
        <w:footnoteReference w:id="1079"/>
      </w:r>
      <w:r>
        <w:t xml:space="preserve"> </w:t>
      </w:r>
      <w:r>
        <w:t xml:space="preserve">Per la Puglia, regione in disavanzo, questo vincolo non è un ostacolo alla riforma, ma ne orienta la giustificazione: è precisamente la dimostrazione che il servizio garantisce un livello essenziale — intercettando un bisogno largamente inevaso — a un costo sostenibile e con un ritorno documentato a renderlo non solo ammissibile, ma coerente con l’obbligo costituzionale. La tabella seguente riepiloga i riferimenti giuridici essenziali.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Riferimento giuridico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rilevante</w:t>
            </w:r>
          </w:p>
        </w:tc>
      </w:tr>
      <w:tr>
        <w:tc>
          <w:tcPr/>
          <w:p>
            <w:pPr>
              <w:pStyle w:val="Compact"/>
              <w:spacing w:after="40" w:before="40"/>
              <w:jc w:val="left"/>
            </w:pPr>
            <w:r>
              <w:rPr>
                <w:rFonts w:ascii="Cambria" w:hAnsi="Cambria" w:cs="Cambria" w:eastAsia="Cambria"/>
                <w:b/>
                <w:bCs/>
                <w:color w:val="1A1A1A"/>
                <w:sz w:val="18"/>
              </w:rPr>
              <w:t xml:space="preserve">Articolo 32 Cost. e legge n. 833/1978</w:t>
            </w:r>
          </w:p>
        </w:tc>
        <w:tc>
          <w:tcPr/>
          <w:p>
            <w:pPr>
              <w:pStyle w:val="Compact"/>
              <w:spacing w:after="40" w:before="40"/>
              <w:jc w:val="left"/>
            </w:pPr>
            <w:r>
              <w:rPr>
                <w:rFonts w:ascii="Cambria" w:hAnsi="Cambria" w:cs="Cambria" w:eastAsia="Cambria"/>
                <w:color w:val="1A1A1A"/>
                <w:sz w:val="18"/>
              </w:rPr>
              <w:t xml:space="preserve">Salute come diritto; Servizio sanitario universale, eguale ed equo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Articolo 117, terzo comma, Cost.</w:t>
            </w:r>
          </w:p>
        </w:tc>
        <w:tc>
          <w:tcPr>
            <w:shd w:val="clear" w:color="auto" w:fill="F4F1EC"/>
          </w:tcPr>
          <w:p>
            <w:pPr>
              <w:pStyle w:val="Compact"/>
              <w:spacing w:after="40" w:before="40"/>
              <w:jc w:val="left"/>
            </w:pPr>
            <w:r>
              <w:rPr>
                <w:rFonts w:ascii="Cambria" w:hAnsi="Cambria" w:cs="Cambria" w:eastAsia="Cambria"/>
                <w:color w:val="1A1A1A"/>
                <w:sz w:val="18"/>
              </w:rPr>
              <w:t xml:space="preserve">Tutela della salute: competenza concorrente (principi allo Stato, organizzazione alle Regioni)</w:t>
            </w:r>
          </w:p>
        </w:tc>
      </w:tr>
      <w:tr>
        <w:tc>
          <w:tcPr/>
          <w:p>
            <w:pPr>
              <w:pStyle w:val="Compact"/>
              <w:spacing w:after="40" w:before="40"/>
              <w:jc w:val="left"/>
            </w:pPr>
            <w:r>
              <w:rPr>
                <w:rFonts w:ascii="Cambria" w:hAnsi="Cambria" w:cs="Cambria" w:eastAsia="Cambria"/>
                <w:b/>
                <w:bCs/>
                <w:color w:val="1A1A1A"/>
                <w:sz w:val="18"/>
              </w:rPr>
              <w:t xml:space="preserve">Articolo 117, secondo comma, lettera m), Cost.</w:t>
            </w:r>
          </w:p>
        </w:tc>
        <w:tc>
          <w:tcPr/>
          <w:p>
            <w:pPr>
              <w:pStyle w:val="Compact"/>
              <w:spacing w:after="40" w:before="40"/>
              <w:jc w:val="left"/>
            </w:pPr>
            <w:r>
              <w:rPr>
                <w:rFonts w:ascii="Cambria" w:hAnsi="Cambria" w:cs="Cambria" w:eastAsia="Cambria"/>
                <w:color w:val="1A1A1A"/>
                <w:sz w:val="18"/>
              </w:rPr>
              <w:t xml:space="preserve">Livelli essenziali delle prestazioni: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DPCM 12 gennaio 2017</w:t>
            </w:r>
          </w:p>
        </w:tc>
        <w:tc>
          <w:tcPr>
            <w:shd w:val="clear" w:color="auto" w:fill="F4F1EC"/>
          </w:tcPr>
          <w:p>
            <w:pPr>
              <w:pStyle w:val="Compact"/>
              <w:spacing w:after="40" w:before="40"/>
              <w:jc w:val="left"/>
            </w:pPr>
            <w:r>
              <w:rPr>
                <w:rFonts w:ascii="Cambria" w:hAnsi="Cambria" w:cs="Cambria" w:eastAsia="Cambria"/>
                <w:color w:val="1A1A1A"/>
                <w:sz w:val="18"/>
              </w:rPr>
              <w:t xml:space="preserve">Atto di definizione dei livelli essenziali di assistenza</w:t>
            </w:r>
          </w:p>
        </w:tc>
      </w:tr>
      <w:tr>
        <w:tc>
          <w:tcPr/>
          <w:p>
            <w:pPr>
              <w:pStyle w:val="Compact"/>
              <w:spacing w:after="40" w:before="40"/>
              <w:jc w:val="left"/>
            </w:pPr>
            <w:r>
              <w:rPr>
                <w:rFonts w:ascii="Cambria" w:hAnsi="Cambria" w:cs="Cambria" w:eastAsia="Cambria"/>
                <w:b/>
                <w:bCs/>
                <w:color w:val="1A1A1A"/>
                <w:sz w:val="18"/>
              </w:rPr>
              <w:t xml:space="preserve">Corte costituzionale, sentenza n. 241/2021</w:t>
            </w:r>
          </w:p>
        </w:tc>
        <w:tc>
          <w:tcPr/>
          <w:p>
            <w:pPr>
              <w:pStyle w:val="Compact"/>
              <w:spacing w:after="40" w:before="40"/>
              <w:jc w:val="left"/>
            </w:pPr>
            <w:r>
              <w:rPr>
                <w:rFonts w:ascii="Cambria" w:hAnsi="Cambria" w:cs="Cambria" w:eastAsia="Cambria"/>
                <w:color w:val="1A1A1A"/>
                <w:sz w:val="18"/>
              </w:rPr>
              <w:t xml:space="preserve">Modello regionale di psicologia di base riconosciuto legittimo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Corte costituzionale, sentenza n. 6/2026</w:t>
            </w:r>
          </w:p>
        </w:tc>
        <w:tc>
          <w:tcPr>
            <w:shd w:val="clear" w:color="auto" w:fill="F4F1EC"/>
          </w:tcPr>
          <w:p>
            <w:pPr>
              <w:pStyle w:val="Compact"/>
              <w:spacing w:after="40" w:before="40"/>
              <w:jc w:val="left"/>
            </w:pPr>
            <w:r>
              <w:rPr>
                <w:rFonts w:ascii="Cambria" w:hAnsi="Cambria" w:cs="Cambria" w:eastAsia="Cambria"/>
                <w:color w:val="1A1A1A"/>
                <w:sz w:val="18"/>
              </w:rPr>
              <w:t xml:space="preserve">Vincolo dei fondi sanitari ai livelli essenziali per le regioni in rientro</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2400"/>
    <w:bookmarkStart w:id="2406" w:name="X91ef150e5dc565ad4ddddbd5d194ea6102c00b5"/>
    <w:p>
      <w:pPr>
        <w:pStyle w:val="Heading3"/>
      </w:pPr>
      <w:r>
        <w:t xml:space="preserve">H.3 Il profilo organizzativo e la conformità</w:t>
      </w:r>
    </w:p>
    <w:p>
      <w:pPr>
        <w:pStyle w:val="FirstParagraph"/>
      </w:pPr>
      <w:r>
        <w:t xml:space="preserve">Il profilo organizzativo verifica che l’intervento sia conforme alle norme che ne governano l’esercizio, in particolare sui versanti della deontologia, della responsabilità professionale, dell’intelligenza artificiale e della protezione dei dati. Sul piano deontologico, il servizio opera nel rispetto delle norme della professione, sotto la vigilanza dell’Ordine degli Psicologi, che concorre alla governance e alla formazione.</w:t>
      </w:r>
      <w:r>
        <w:rPr>
          <w:rStyle w:val="FootnoteReference"/>
        </w:rPr>
        <w:footnoteReference w:id="1080"/>
      </w:r>
      <w:r>
        <w:t xml:space="preserve"> </w:t>
      </w:r>
      <w:r>
        <w:t xml:space="preserve">Sul piano della responsabilità, un punto è dirimente per la fattibilità della componente tecnologica: l’impiego dell’intelligenza artificiale non altera le responsabilità professionali. Il medico di medicina generale resta garante della diagnosi e della terapia medica, lo psicologo dell’intervento psicologico, e l’IA è assimilata a un dispositivo di supporto, non a una figura che compie atti; ciò evita ogni conflitto con gli accordi convenzionali, poiché non si introduce una nuova figura professionale, ma uno strumento che assiste quelle esistenti.</w:t>
      </w:r>
      <w:r>
        <w:rPr>
          <w:rStyle w:val="FootnoteReference"/>
        </w:rPr>
        <w:footnoteReference w:id="1081"/>
      </w:r>
    </w:p>
    <w:p>
      <w:pPr>
        <w:pStyle w:val="BodyText"/>
      </w:pPr>
      <w:r>
        <w:t xml:space="preserve">La conformità degli strumenti di intelligenza artificiale è retta da un quadro normativo articolato. Il regolamento europeo sull’IA classifica come ad alto rischio i sistemi impiegati nei dispositivi medici; il regolamento sui dispositivi medici impone la marcatura CE, sicché un sistema di triage o un dispositivo terapeutico digitale sono assimilati a software clinici certificati di classe appropriata; il regolamento sulla protezione dei dati ne disciplina il trattamento.</w:t>
      </w:r>
      <w:r>
        <w:rPr>
          <w:rStyle w:val="FootnoteReference"/>
        </w:rPr>
        <w:footnoteReference w:id="1082"/>
      </w:r>
      <w:r>
        <w:t xml:space="preserve"> </w:t>
      </w:r>
      <w:r>
        <w:t xml:space="preserve">Su questa base si innestano i presidi già enunciati nella Parte C: la supervisione umana costante, la validazione periodica degli algoritmi, il monitoraggio dei bias, la trasparenza e la spiegabilità, e il divieto di discriminazione algoritmica. È auspicata, a tal fine, l’istituzione di un comitato etico-scientifico per l’IA in sanità, con l’agenzia regionale e le università; e la legge nazionale sull’IA agevola la sperimentazione qualificando i relativi trattamenti come di rilevante interesse pubblico.</w:t>
      </w:r>
    </w:p>
    <w:p>
      <w:pPr>
        <w:pStyle w:val="BodyText"/>
      </w:pPr>
      <w:r>
        <w:t xml:space="preserve">Due profili completano il quadro della conformità, e collegano questa parte alle precedenti. Il primo è l’equità digitale: per non generare nuove disuguaglianze, sono previsti canali tradizionali paralleli per chi non dispone di strumenti digitali — segnatamente le persone anziane — e il supporto multilingue per le popolazioni straniere, ferma restando la garanzia dell’alternativa in presenza.</w:t>
      </w:r>
      <w:r>
        <w:rPr>
          <w:rStyle w:val="FootnoteReference"/>
        </w:rPr>
        <w:footnoteReference w:id="1083"/>
      </w:r>
      <w:r>
        <w:t xml:space="preserve"> </w:t>
      </w:r>
      <w:r>
        <w:t xml:space="preserve">Il secondo è la protezione dei dati, che in salute mentale richiede il massimo grado di tutela: misure di sicurezza robuste, quali la crittografia e la pseudonimizzazione per le analisi, il consenso modulare anche in forma digitale, la collaborazione con l’Autorità garante e l’acquisizione di software dotati di marcatura adeguata secondo le normali procedure.</w:t>
      </w:r>
      <w:r>
        <w:rPr>
          <w:rStyle w:val="FootnoteReference"/>
        </w:rPr>
        <w:footnoteReference w:id="1084"/>
      </w:r>
      <w:r>
        <w:t xml:space="preserve"> </w:t>
      </w:r>
      <w:r>
        <w:t xml:space="preserve">La tabella seguente riepiloga il quadro della conformità organizzativa.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Garanzia</w:t>
            </w:r>
          </w:p>
        </w:tc>
      </w:tr>
      <w:tr>
        <w:tc>
          <w:tcPr/>
          <w:p>
            <w:pPr>
              <w:pStyle w:val="Compact"/>
              <w:spacing w:after="40" w:before="40"/>
              <w:jc w:val="left"/>
            </w:pPr>
            <w:r>
              <w:rPr>
                <w:rFonts w:ascii="Cambria" w:hAnsi="Cambria" w:cs="Cambria" w:eastAsia="Cambria"/>
                <w:b/>
                <w:bCs/>
                <w:color w:val="1A1A1A"/>
                <w:sz w:val="18"/>
              </w:rPr>
              <w:t xml:space="preserve">Deontologia</w:t>
            </w:r>
          </w:p>
        </w:tc>
        <w:tc>
          <w:tcPr/>
          <w:p>
            <w:pPr>
              <w:pStyle w:val="Compact"/>
              <w:spacing w:after="40" w:before="40"/>
              <w:jc w:val="left"/>
            </w:pPr>
            <w:r>
              <w:rPr>
                <w:rFonts w:ascii="Cambria" w:hAnsi="Cambria" w:cs="Cambria" w:eastAsia="Cambria"/>
                <w:color w:val="1A1A1A"/>
                <w:sz w:val="18"/>
              </w:rPr>
              <w:t xml:space="preserve">Ordine degli Psicologi</w:t>
            </w:r>
          </w:p>
        </w:tc>
        <w:tc>
          <w:tcPr/>
          <w:p>
            <w:pPr>
              <w:pStyle w:val="Compact"/>
              <w:spacing w:after="40" w:before="40"/>
              <w:jc w:val="left"/>
            </w:pPr>
            <w:r>
              <w:rPr>
                <w:rFonts w:ascii="Cambria" w:hAnsi="Cambria" w:cs="Cambria" w:eastAsia="Cambria"/>
                <w:color w:val="1A1A1A"/>
                <w:sz w:val="18"/>
              </w:rPr>
              <w:t xml:space="preserve">Rispetto delle norme deontologiche; concorso alla governance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Responsabilità clinica</w:t>
            </w:r>
          </w:p>
        </w:tc>
        <w:tc>
          <w:tcPr>
            <w:shd w:val="clear" w:color="auto" w:fill="F4F1EC"/>
          </w:tcPr>
          <w:p>
            <w:pPr>
              <w:pStyle w:val="Compact"/>
              <w:spacing w:after="40" w:before="40"/>
              <w:jc w:val="left"/>
            </w:pPr>
            <w:r>
              <w:rPr>
                <w:rFonts w:ascii="Cambria" w:hAnsi="Cambria" w:cs="Cambria" w:eastAsia="Cambria"/>
                <w:color w:val="1A1A1A"/>
                <w:sz w:val="18"/>
              </w:rPr>
              <w:t xml:space="preserve">Medico e psicologo</w:t>
            </w:r>
          </w:p>
        </w:tc>
        <w:tc>
          <w:tcPr>
            <w:shd w:val="clear" w:color="auto" w:fill="F4F1EC"/>
          </w:tcPr>
          <w:p>
            <w:pPr>
              <w:pStyle w:val="Compact"/>
              <w:spacing w:after="40" w:before="40"/>
              <w:jc w:val="left"/>
            </w:pPr>
            <w:r>
              <w:rPr>
                <w:rFonts w:ascii="Cambria" w:hAnsi="Cambria" w:cs="Cambria" w:eastAsia="Cambria"/>
                <w:color w:val="1A1A1A"/>
                <w:sz w:val="18"/>
              </w:rPr>
              <w:t xml:space="preserve">Ruoli invariati; l’IA è strumento di supporto</w:t>
            </w:r>
          </w:p>
        </w:tc>
      </w:tr>
      <w:tr>
        <w:tc>
          <w:tcPr/>
          <w:p>
            <w:pPr>
              <w:pStyle w:val="Compact"/>
              <w:spacing w:after="40" w:before="40"/>
              <w:jc w:val="left"/>
            </w:pPr>
            <w:r>
              <w:rPr>
                <w:rFonts w:ascii="Cambria" w:hAnsi="Cambria" w:cs="Cambria" w:eastAsia="Cambria"/>
                <w:b/>
                <w:bCs/>
                <w:color w:val="1A1A1A"/>
                <w:sz w:val="18"/>
              </w:rPr>
              <w:t xml:space="preserve">IA e dispositivi</w:t>
            </w:r>
          </w:p>
        </w:tc>
        <w:tc>
          <w:tcPr/>
          <w:p>
            <w:pPr>
              <w:pStyle w:val="Compact"/>
              <w:spacing w:after="40" w:before="40"/>
              <w:jc w:val="left"/>
            </w:pPr>
            <w:r>
              <w:rPr>
                <w:rFonts w:ascii="Cambria" w:hAnsi="Cambria" w:cs="Cambria" w:eastAsia="Cambria"/>
                <w:color w:val="1A1A1A"/>
                <w:sz w:val="18"/>
              </w:rPr>
              <w:t xml:space="preserve">AI Act, dispositivi medici, protezione dei dati</w:t>
            </w:r>
          </w:p>
        </w:tc>
        <w:tc>
          <w:tcPr/>
          <w:p>
            <w:pPr>
              <w:pStyle w:val="Compact"/>
              <w:spacing w:after="40" w:before="40"/>
              <w:jc w:val="left"/>
            </w:pPr>
            <w:r>
              <w:rPr>
                <w:rFonts w:ascii="Cambria" w:hAnsi="Cambria" w:cs="Cambria" w:eastAsia="Cambria"/>
                <w:color w:val="1A1A1A"/>
                <w:sz w:val="18"/>
              </w:rPr>
              <w:t xml:space="preserve">Marcatura CE; supervisione umana; validazione periodica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Governance dell’IA</w:t>
            </w:r>
          </w:p>
        </w:tc>
        <w:tc>
          <w:tcPr>
            <w:shd w:val="clear" w:color="auto" w:fill="F4F1EC"/>
          </w:tcPr>
          <w:p>
            <w:pPr>
              <w:pStyle w:val="Compact"/>
              <w:spacing w:after="40" w:before="40"/>
              <w:jc w:val="left"/>
            </w:pPr>
            <w:r>
              <w:rPr>
                <w:rFonts w:ascii="Cambria" w:hAnsi="Cambria" w:cs="Cambria" w:eastAsia="Cambria"/>
                <w:color w:val="1A1A1A"/>
                <w:sz w:val="18"/>
              </w:rPr>
              <w:t xml:space="preserve">Comitato etico-scientifico</w:t>
            </w:r>
          </w:p>
        </w:tc>
        <w:tc>
          <w:tcPr>
            <w:shd w:val="clear" w:color="auto" w:fill="F4F1EC"/>
          </w:tcPr>
          <w:p>
            <w:pPr>
              <w:pStyle w:val="Compact"/>
              <w:spacing w:after="40" w:before="40"/>
              <w:jc w:val="left"/>
            </w:pPr>
            <w:r>
              <w:rPr>
                <w:rFonts w:ascii="Cambria" w:hAnsi="Cambria" w:cs="Cambria" w:eastAsia="Cambria"/>
                <w:color w:val="1A1A1A"/>
                <w:sz w:val="18"/>
              </w:rPr>
              <w:t xml:space="preserve">Monitoraggio dei bias; trasparenza; non discriminazione</w:t>
            </w:r>
          </w:p>
        </w:tc>
      </w:tr>
      <w:tr>
        <w:tc>
          <w:tcPr/>
          <w:p>
            <w:pPr>
              <w:pStyle w:val="Compact"/>
              <w:spacing w:after="40" w:before="40"/>
              <w:jc w:val="left"/>
            </w:pPr>
            <w:r>
              <w:rPr>
                <w:rFonts w:ascii="Cambria" w:hAnsi="Cambria" w:cs="Cambria" w:eastAsia="Cambria"/>
                <w:b/>
                <w:bCs/>
                <w:color w:val="1A1A1A"/>
                <w:sz w:val="18"/>
              </w:rPr>
              <w:t xml:space="preserve">Equità digitale</w:t>
            </w:r>
          </w:p>
        </w:tc>
        <w:tc>
          <w:tcPr/>
          <w:p>
            <w:pPr>
              <w:pStyle w:val="Compact"/>
              <w:spacing w:after="40" w:before="40"/>
              <w:jc w:val="left"/>
            </w:pPr>
            <w:r>
              <w:rPr>
                <w:rFonts w:ascii="Cambria" w:hAnsi="Cambria" w:cs="Cambria" w:eastAsia="Cambria"/>
                <w:color w:val="1A1A1A"/>
                <w:sz w:val="18"/>
              </w:rPr>
              <w:t xml:space="preserve">Canali paralleli; supporto multilingue</w:t>
            </w:r>
          </w:p>
        </w:tc>
        <w:tc>
          <w:tcPr/>
          <w:p>
            <w:pPr>
              <w:pStyle w:val="Compact"/>
              <w:spacing w:after="40" w:before="40"/>
              <w:jc w:val="left"/>
            </w:pPr>
            <w:r>
              <w:rPr>
                <w:rFonts w:ascii="Cambria" w:hAnsi="Cambria" w:cs="Cambria" w:eastAsia="Cambria"/>
                <w:color w:val="1A1A1A"/>
                <w:sz w:val="18"/>
              </w:rPr>
              <w:t xml:space="preserve">Alternativa in presenza sempre garantita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Protezione dei dati</w:t>
            </w:r>
          </w:p>
        </w:tc>
        <w:tc>
          <w:tcPr>
            <w:shd w:val="clear" w:color="auto" w:fill="F4F1EC"/>
          </w:tcPr>
          <w:p>
            <w:pPr>
              <w:pStyle w:val="Compact"/>
              <w:spacing w:after="40" w:before="40"/>
              <w:jc w:val="left"/>
            </w:pPr>
            <w:r>
              <w:rPr>
                <w:rFonts w:ascii="Cambria" w:hAnsi="Cambria" w:cs="Cambria" w:eastAsia="Cambria"/>
                <w:color w:val="1A1A1A"/>
                <w:sz w:val="18"/>
              </w:rPr>
              <w:t xml:space="preserve">Crittografia; pseudonimizzazione</w:t>
            </w:r>
          </w:p>
        </w:tc>
        <w:tc>
          <w:tcPr>
            <w:shd w:val="clear" w:color="auto" w:fill="F4F1EC"/>
          </w:tcPr>
          <w:p>
            <w:pPr>
              <w:pStyle w:val="Compact"/>
              <w:spacing w:after="40" w:before="40"/>
              <w:jc w:val="left"/>
            </w:pPr>
            <w:r>
              <w:rPr>
                <w:rFonts w:ascii="Cambria" w:hAnsi="Cambria" w:cs="Cambria" w:eastAsia="Cambria"/>
                <w:color w:val="1A1A1A"/>
                <w:sz w:val="18"/>
              </w:rPr>
              <w:t xml:space="preserve">Consenso modulare; collaborazione con il Garante</w:t>
            </w:r>
          </w:p>
        </w:tc>
      </w:tr>
    </w:tbl>
    <w:p>
      <w:pPr>
        <w:pStyle w:val="BodyText"/>
      </w:pPr>
      <w:r>
        <w:rPr>
          <w:i/>
          <w:iCs/>
        </w:rPr>
        <w:t xml:space="preserve">Tabella H.2. Il quadro della conformità organizzativa dell</w:t>
      </w:r>
      <w:r>
        <w:rPr>
          <w:b/>
          <w:bCs/>
          <w:i/>
          <w:iCs/>
        </w:rPr>
        <w:t xml:space="preserve">’</w:t>
      </w:r>
      <w:r>
        <w:rPr>
          <w:i/>
          <w:iCs/>
        </w:rPr>
        <w:t xml:space="preserve">intervento.</w:t>
      </w:r>
    </w:p>
    <w:p>
      <w:pPr>
        <w:pStyle w:val="BodyText"/>
      </w:pPr>
      <w:r>
        <w:t xml:space="preserve">Con la verifica dei profili etico, giuridico e organizzativo si chiude l’esame dei domini della valutazione di tecnologia sanitaria: l’intervento risulta clinicamente efficace, economicamente sostenibile, equo, eticamente fondato, giuridicamente difendibile e organizzativamente conforme. Resta da stabilire come esso possa essere effettivamente attuato, reso finanziariamente sostenibile e mantenuto nel tempo: è l’oggetto della Parte I, dedicata all’attuazione, alla fattibilità e alla sostenibilità.</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Scienza dell</w:t>
      </w:r>
      <w:r>
        <w:rPr>
          <w:b/>
          <w:bCs/>
          <w:i/>
          <w:iCs/>
        </w:rPr>
        <w:t xml:space="preserve">’</w:t>
      </w:r>
      <w:r>
        <w:rPr>
          <w:i/>
          <w:iCs/>
        </w:rPr>
        <w:t xml:space="preserve">implementazione, disegno del dispiegamento, caso commerciale, caso gestionale, sostenibilità finanziaria</w:t>
      </w:r>
    </w:p>
    <w:p>
      <w:pPr>
        <w:pStyle w:val="BodyText"/>
      </w:pPr>
      <w:r>
        <w:t xml:space="preserve">Dominio 7 del modello HTA · casi commerciale e gestionale · criterio di sostenibilità</w:t>
      </w:r>
    </w:p>
    <w:bookmarkEnd w:id="2406"/>
    <w:bookmarkEnd w:id="2407"/>
    <w:bookmarkStart w:id="2444" w:name="X0f4b74f5899c99f87a7c53a022fc6dc9a754915"/>
    <w:p>
      <w:pPr>
        <w:pStyle w:val="Heading2"/>
      </w:pPr>
      <w:r>
        <w:t xml:space="preserve">Parte I — Attuazione, fattibilità e sostenibilità</w:t>
      </w:r>
    </w:p>
    <w:p>
      <w:pPr>
        <w:pStyle w:val="FirstParagraph"/>
      </w:pPr>
      <w:r>
        <w:t xml:space="preserve">Questa parte copre il settimo dominio della valutazione di tecnologia sanitaria, il profilo organizzativo, e fornisce il contenuto del caso commerciale e del caso gestionale del Five Case Model, rispondendo al criterio di sostenibilità.</w:t>
      </w:r>
      <w:r>
        <w:rPr>
          <w:rStyle w:val="FootnoteReference"/>
        </w:rPr>
        <w:footnoteReference w:id="1085"/>
      </w:r>
      <w:r>
        <w:rPr>
          <w:rStyle w:val="FootnoteReference"/>
        </w:rPr>
        <w:footnoteReference w:id="1086"/>
      </w:r>
      <w:r>
        <w:rPr>
          <w:rStyle w:val="FootnoteReference"/>
        </w:rPr>
        <w:footnoteReference w:id="1087"/>
      </w:r>
      <w:r>
        <w:rPr>
          <w:rStyle w:val="FootnoteReference"/>
        </w:rPr>
        <w:footnoteReference w:id="1088"/>
      </w:r>
      <w:r>
        <w:rPr>
          <w:rStyle w:val="FootnoteReference"/>
        </w:rPr>
        <w:footnoteReference w:id="1089"/>
      </w:r>
      <w:r>
        <w:rPr>
          <w:rStyle w:val="FootnoteReference"/>
        </w:rPr>
        <w:footnoteReference w:id="1090"/>
      </w:r>
      <w:r>
        <w:rPr>
          <w:rStyle w:val="FootnoteReference"/>
        </w:rPr>
        <w:footnoteReference w:id="1091"/>
      </w:r>
      <w:r>
        <w:rPr>
          <w:rStyle w:val="FootnoteReference"/>
        </w:rPr>
        <w:footnoteReference w:id="1092"/>
      </w:r>
      <w:r>
        <w:rPr>
          <w:rStyle w:val="FootnoteReference"/>
        </w:rPr>
        <w:footnoteReference w:id="1093"/>
      </w:r>
      <w:r>
        <w:rPr>
          <w:rStyle w:val="FootnoteReference"/>
        </w:rPr>
        <w:footnoteReference w:id="1094"/>
      </w:r>
      <w:r>
        <w:rPr>
          <w:rStyle w:val="FootnoteReference"/>
        </w:rPr>
        <w:footnoteReference w:id="1095"/>
      </w:r>
      <w:r>
        <w:rPr>
          <w:rStyle w:val="FootnoteReference"/>
        </w:rPr>
        <w:footnoteReference w:id="1096"/>
      </w:r>
      <w:r>
        <w:rPr>
          <w:rStyle w:val="FootnoteReference"/>
        </w:rPr>
        <w:footnoteReference w:id="1097"/>
      </w:r>
      <w:r>
        <w:rPr>
          <w:rStyle w:val="FootnoteReference"/>
        </w:rPr>
        <w:footnoteReference w:id="1098"/>
      </w:r>
      <w:r>
        <w:rPr>
          <w:rStyle w:val="FootnoteReference"/>
        </w:rPr>
        <w:footnoteReference w:id="1099"/>
      </w:r>
      <w:r>
        <w:rPr>
          <w:rStyle w:val="FootnoteReference"/>
        </w:rPr>
        <w:footnoteReference w:id="1100"/>
      </w:r>
      <w:r>
        <w:t xml:space="preserve"> </w:t>
      </w:r>
      <w:r>
        <w:t xml:space="preserve">Accertato nelle parti precedenti che l’intervento è valido — efficace, conveniente, equo, fondato e conforme — resta da stabilire se possa essere effettivamente attuato. La parte affronta perciò il come dell’attuazione: i quadri che ne governano la pianificazione e la valutazione (capitolo I.1), il disegno del dispiegamento e il suo cronoprogramma (I.2), la fattibilità dell’assetto contrattuale (I.3), la governance e i rischi (I.4) e la sostenibilità finanziaria con le sue coperture (I.5). Il fondamento documentale è il piano operativo di implementazione già predisposto dal progetto.</w:t>
      </w:r>
    </w:p>
    <w:bookmarkStart w:id="2427" w:name="i.1-la-scienza-dellimplementazione-1"/>
    <w:p>
      <w:pPr>
        <w:pStyle w:val="Heading3"/>
      </w:pPr>
      <w:r>
        <w:t xml:space="preserve">I.1 La scienza dell’implementazione</w:t>
      </w:r>
    </w:p>
    <w:p>
      <w:pPr>
        <w:pStyle w:val="FirstParagraph"/>
      </w:pPr>
      <w:r>
        <w:t xml:space="preserve">L’attuazione di un intervento complesso non è un atto amministrativo, ma un processo che la ricerca ha imparato a governare con quadri dedicati. Lo studio ne adotta due, complementari. Il modello RE-AIM misura la riuscita e la validità esterna dell’attuazione lungo cinque dimensioni: la portata, ossia la quota della popolazione bersaglio effettivamente raggiunta; l’efficacia, ossia gli esiti realmente conseguiti; l’adozione, ossia l’adesione delle sedi e dei professionisti; l’implementazione, ossia la fedeltà al modello e la qualità dell’attuazione; e il mantenimento, ossia la sostenibilità nel tempo.</w:t>
      </w:r>
      <w:r>
        <w:rPr>
          <w:rStyle w:val="FootnoteReference"/>
        </w:rPr>
        <w:footnoteReference w:id="1101"/>
      </w:r>
      <w:r>
        <w:t xml:space="preserve"> </w:t>
      </w:r>
      <w:r>
        <w:t xml:space="preserve">È il quadro che impedisce di confondere l’efficacia teorica con la riuscita effettiva, misurando se il servizio raggiunga davvero chi deve, e non solo se funzioni in condizioni ideali.</w:t>
      </w:r>
    </w:p>
    <w:p>
      <w:pPr>
        <w:pStyle w:val="BodyText"/>
      </w:pPr>
      <w:r>
        <w:t xml:space="preserve">Al modello RE-AIM, che misura gli esiti dell’attuazione, si affianca il quadro consolidato per la ricerca sull’implementazione, che ne spiega i determinanti. Esso articola in cinque domini i fattori che facilitano o ostacolano l’attuazione: le caratteristiche dell’innovazione, il contesto esterno, il contesto interno, gli individui coinvolti e il processo di attuazione.</w:t>
      </w:r>
      <w:r>
        <w:rPr>
          <w:rStyle w:val="FootnoteReference"/>
        </w:rPr>
        <w:footnoteReference w:id="1102"/>
      </w:r>
      <w:r>
        <w:t xml:space="preserve"> </w:t>
      </w:r>
      <w:r>
        <w:t xml:space="preserve">L’utilità di questo quadro è di consentire l’individuazione ex ante delle barriere e dei facilitatori, e dunque la predisposizione di misure mirate prima che i problemi si manifestino. Lo studio segue perciò un insieme di determinanti di implementazione — il tasso di copertura, il grado di adozione delle sedi, la fedeltà al modello, i tempi di attivazione, il numero di psicologi reclutati e formati, la qualità della formazione e della supervisione, il grado di integrazione nei flussi di lavoro, l’aderenza ai percorsi e la scalabilità — che ne misurano l’avanzamento.</w:t>
      </w:r>
      <w:r>
        <w:rPr>
          <w:rStyle w:val="FootnoteReference"/>
        </w:rPr>
        <w:footnoteReference w:id="1103"/>
      </w:r>
      <w:r>
        <w:t xml:space="preserve"> </w:t>
      </w:r>
      <w:r>
        <w:t xml:space="preserve">La tabella seguente riepiloga i due quadri.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Dimensione</w:t>
            </w:r>
          </w:p>
        </w:tc>
        <w:tc>
          <w:tcPr>
            <w:shd w:val="clear" w:color="auto" w:fill="16264B"/>
          </w:tcPr>
          <w:p>
            <w:pPr>
              <w:pStyle w:val="Compact"/>
              <w:spacing w:after="40" w:before="40"/>
              <w:jc w:val="left"/>
            </w:pPr>
            <w:r>
              <w:rPr>
                <w:rFonts w:ascii="Cambria" w:hAnsi="Cambria" w:cs="Cambria" w:eastAsia="Cambria"/>
                <w:b/>
                <w:bCs/>
                <w:color w:val="FFFFFF"/>
                <w:sz w:val="18"/>
              </w:rPr>
              <w:t xml:space="preserve">Che cosa misura o spiega</w:t>
            </w:r>
          </w:p>
        </w:tc>
      </w:tr>
      <w:tr>
        <w:tc>
          <w:tcPr/>
          <w:p>
            <w:pPr>
              <w:pStyle w:val="Compact"/>
              <w:spacing w:after="40" w:before="40"/>
              <w:jc w:val="left"/>
            </w:pPr>
            <w:r>
              <w:rPr>
                <w:rFonts w:ascii="Cambria" w:hAnsi="Cambria" w:cs="Cambria" w:eastAsia="Cambria"/>
                <w:b/>
                <w:bCs/>
                <w:color w:val="1A1A1A"/>
                <w:sz w:val="18"/>
              </w:rPr>
              <w:t xml:space="preserve">Portata (RE-AIM)</w:t>
            </w:r>
          </w:p>
        </w:tc>
        <w:tc>
          <w:tcPr/>
          <w:p>
            <w:pPr>
              <w:pStyle w:val="Compact"/>
              <w:spacing w:after="40" w:before="40"/>
              <w:jc w:val="left"/>
            </w:pPr>
            <w:r>
              <w:rPr>
                <w:rFonts w:ascii="Cambria" w:hAnsi="Cambria" w:cs="Cambria" w:eastAsia="Cambria"/>
                <w:color w:val="1A1A1A"/>
                <w:sz w:val="18"/>
              </w:rPr>
              <w:t xml:space="preserve">Quota della popolazione bersaglio raggiunta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(RE-AIM)</w:t>
            </w:r>
          </w:p>
        </w:tc>
        <w:tc>
          <w:tcPr>
            <w:shd w:val="clear" w:color="auto" w:fill="F4F1EC"/>
          </w:tcPr>
          <w:p>
            <w:pPr>
              <w:pStyle w:val="Compact"/>
              <w:spacing w:after="40" w:before="40"/>
              <w:jc w:val="left"/>
            </w:pPr>
            <w:r>
              <w:rPr>
                <w:rFonts w:ascii="Cambria" w:hAnsi="Cambria" w:cs="Cambria" w:eastAsia="Cambria"/>
                <w:color w:val="1A1A1A"/>
                <w:sz w:val="18"/>
              </w:rPr>
              <w:t xml:space="preserve">Esiti clinici e di sistema effettivamente conseguiti</w:t>
            </w:r>
          </w:p>
        </w:tc>
      </w:tr>
      <w:tr>
        <w:tc>
          <w:tcPr/>
          <w:p>
            <w:pPr>
              <w:pStyle w:val="Compact"/>
              <w:spacing w:after="40" w:before="40"/>
              <w:jc w:val="left"/>
            </w:pPr>
            <w:r>
              <w:rPr>
                <w:rFonts w:ascii="Cambria" w:hAnsi="Cambria" w:cs="Cambria" w:eastAsia="Cambria"/>
                <w:b/>
                <w:bCs/>
                <w:color w:val="1A1A1A"/>
                <w:sz w:val="18"/>
              </w:rPr>
              <w:t xml:space="preserve">Adozione (RE-AIM)</w:t>
            </w:r>
          </w:p>
        </w:tc>
        <w:tc>
          <w:tcPr/>
          <w:p>
            <w:pPr>
              <w:pStyle w:val="Compact"/>
              <w:spacing w:after="40" w:before="40"/>
              <w:jc w:val="left"/>
            </w:pPr>
            <w:r>
              <w:rPr>
                <w:rFonts w:ascii="Cambria" w:hAnsi="Cambria" w:cs="Cambria" w:eastAsia="Cambria"/>
                <w:color w:val="1A1A1A"/>
                <w:sz w:val="18"/>
              </w:rPr>
              <w:t xml:space="preserve">Adesione delle sedi e dei professionisti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Implementazione (RE-AIM)</w:t>
            </w:r>
          </w:p>
        </w:tc>
        <w:tc>
          <w:tcPr>
            <w:shd w:val="clear" w:color="auto" w:fill="F4F1EC"/>
          </w:tcPr>
          <w:p>
            <w:pPr>
              <w:pStyle w:val="Compact"/>
              <w:spacing w:after="40" w:before="40"/>
              <w:jc w:val="left"/>
            </w:pPr>
            <w:r>
              <w:rPr>
                <w:rFonts w:ascii="Cambria" w:hAnsi="Cambria" w:cs="Cambria" w:eastAsia="Cambria"/>
                <w:color w:val="1A1A1A"/>
                <w:sz w:val="18"/>
              </w:rPr>
              <w:t xml:space="preserve">Fedeltà al modello e qualità dell’attuazione</w:t>
            </w:r>
          </w:p>
        </w:tc>
      </w:tr>
      <w:tr>
        <w:tc>
          <w:tcPr/>
          <w:p>
            <w:pPr>
              <w:pStyle w:val="Compact"/>
              <w:spacing w:after="40" w:before="40"/>
              <w:jc w:val="left"/>
            </w:pPr>
            <w:r>
              <w:rPr>
                <w:rFonts w:ascii="Cambria" w:hAnsi="Cambria" w:cs="Cambria" w:eastAsia="Cambria"/>
                <w:b/>
                <w:bCs/>
                <w:color w:val="1A1A1A"/>
                <w:sz w:val="18"/>
              </w:rPr>
              <w:t xml:space="preserve">Mantenimento (RE-AIM)</w:t>
            </w:r>
          </w:p>
        </w:tc>
        <w:tc>
          <w:tcPr/>
          <w:p>
            <w:pPr>
              <w:pStyle w:val="Compact"/>
              <w:spacing w:after="40" w:before="40"/>
              <w:jc w:val="left"/>
            </w:pPr>
            <w:r>
              <w:rPr>
                <w:rFonts w:ascii="Cambria" w:hAnsi="Cambria" w:cs="Cambria" w:eastAsia="Cambria"/>
                <w:color w:val="1A1A1A"/>
                <w:sz w:val="18"/>
              </w:rPr>
              <w:t xml:space="preserve">Sostenibilità del servizio nel tempo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Determinanti (quadro CFIR)</w:t>
            </w:r>
          </w:p>
        </w:tc>
        <w:tc>
          <w:tcPr>
            <w:shd w:val="clear" w:color="auto" w:fill="F4F1EC"/>
          </w:tcPr>
          <w:p>
            <w:pPr>
              <w:pStyle w:val="Compact"/>
              <w:spacing w:after="40" w:before="40"/>
              <w:jc w:val="left"/>
            </w:pPr>
            <w:r>
              <w:rPr>
                <w:rFonts w:ascii="Cambria" w:hAnsi="Cambria" w:cs="Cambria" w:eastAsia="Cambria"/>
                <w:color w:val="1A1A1A"/>
                <w:sz w:val="18"/>
              </w:rP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2427"/>
    <w:bookmarkStart w:id="2433" w:name="i.2-il-disegno-del-dispiegamento-1"/>
    <w:p>
      <w:pPr>
        <w:pStyle w:val="Heading3"/>
      </w:pPr>
      <w:r>
        <w:t xml:space="preserve">I.2 Il disegno del dispiegamento</w:t>
      </w:r>
    </w:p>
    <w:p>
      <w:pPr>
        <w:pStyle w:val="FirstParagraph"/>
      </w:pPr>
      <w:r>
        <w:t xml:space="preserve">Il servizio non è attivato simultaneamente sull’intero territorio, ma secondo un disegno scaglionato: le sei aziende sanitarie locali passano in sequenza, per fasi semestrali, dalla condizione di controllo a quella di intervento, a partire dalle aziende di maggiore dimensione e prontezza organizzativa, sino a coprire l’intera regione. L’ordine di attivazione è definito dalla Giunta regionale sulla base di criteri trasparenti — prontezza organizzativa, entità del bisogno ed equilibrio territoriale — e reso noto preventivamente; la scansione è adattabile in funzione dell’avanzamento del reclutamento e della formazione, fermo restando il principio della progressione ordinata e documentata.</w:t>
      </w:r>
      <w:r>
        <w:rPr>
          <w:rStyle w:val="FootnoteReference"/>
        </w:rPr>
        <w:footnoteReference w:id="1104"/>
      </w:r>
      <w:r>
        <w:t xml:space="preserve"> </w:t>
      </w:r>
      <w:r>
        <w:t xml:space="preserve">Questo disegno ha una doppia funzione, ed è questa la sua peculiarità: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r>
        <w:rPr>
          <w:rStyle w:val="FootnoteReference"/>
        </w:rPr>
        <w:footnoteReference w:id="1105"/>
      </w:r>
    </w:p>
    <w:p>
      <w:pPr>
        <w:pStyle w:val="BodyText"/>
      </w:pPr>
      <w:r>
        <w:t xml:space="preserve">Il reclutamento alimenta il dispiegamento. A fronte di un fabbisogno a regime di 800–900 psicologi, esso avviene tramite l’iscrizione a un elenco istituito presso ciascuna azienda e l’instaurazione di un rapporto convenzionale, con requisiti di iscrizione all’albo e di formazione specifica; in prima applicazione, e nelle more dell’attivazione dei percorsi formativi, possono accedere i professionisti con pregressa esperienza nell’assistenza psicologica nel Servizio sanitario regionale.</w:t>
      </w:r>
      <w:r>
        <w:rPr>
          <w:rStyle w:val="FootnoteReference"/>
        </w:rPr>
        <w:footnoteReference w:id="1106"/>
      </w:r>
      <w:r>
        <w:t xml:space="preserve"> </w:t>
      </w:r>
      <w:r>
        <w:t xml:space="preserve">Il cronoprogramma scandisce l’insieme: l’attivazione procede per sei fasi semestrali, con le attività di reclutamento, formazione, allestimento e avvio condotte in modo scaglionato, azienda per azienda, mentre il monitoraggio e la valutazione accompagnano l’intero arco e proseguono oltre il completamento.</w:t>
      </w:r>
      <w:r>
        <w:rPr>
          <w:rStyle w:val="FootnoteReference"/>
        </w:rPr>
        <w:footnoteReference w:id="1107"/>
      </w:r>
      <w:r>
        <w:t xml:space="preserve"> </w:t>
      </w:r>
      <w:r>
        <w:t xml:space="preserve">La riuscita del dispiegamento è sottoposta a criteri espliciti: tra i parametri che muterebbero le conclusioni figura un tasso di recupero inferiore al 50% nella fase di attuazione, a fronte del valore di riferimento del programma inglese, e il monitoraggio è chiamato a verificarne il raggiungimento sui dati pugliesi.</w:t>
      </w:r>
      <w:r>
        <w:rPr>
          <w:rStyle w:val="FootnoteReference"/>
        </w:rPr>
        <w:footnoteReference w:id="1108"/>
      </w:r>
      <w:r>
        <w:t xml:space="preserve"> </w:t>
      </w:r>
      <w:r>
        <w:t xml:space="preserve">La tabella seguente rappresenta le fasi del dispiegamento.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Fase del dispiegamento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Fase 1 (primo semestre)</w:t>
            </w:r>
          </w:p>
        </w:tc>
        <w:tc>
          <w:tcPr/>
          <w:p>
            <w:pPr>
              <w:pStyle w:val="Compact"/>
              <w:spacing w:after="40" w:before="40"/>
              <w:jc w:val="left"/>
            </w:pPr>
            <w:r>
              <w:rPr>
                <w:rFonts w:ascii="Cambria" w:hAnsi="Cambria" w:cs="Cambria" w:eastAsia="Cambria"/>
                <w:color w:val="1A1A1A"/>
                <w:sz w:val="18"/>
              </w:rPr>
              <w:t xml:space="preserve">Avvio nelle aziende di maggiore dimensione e prontezza; reclutamento e formazione iniziali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Fasi 2–5 (semestri successivi)</w:t>
            </w:r>
          </w:p>
        </w:tc>
        <w:tc>
          <w:tcPr>
            <w:shd w:val="clear" w:color="auto" w:fill="F4F1EC"/>
          </w:tcPr>
          <w:p>
            <w:pPr>
              <w:pStyle w:val="Compact"/>
              <w:spacing w:after="40" w:before="40"/>
              <w:jc w:val="left"/>
            </w:pPr>
            <w:r>
              <w:rPr>
                <w:rFonts w:ascii="Cambria" w:hAnsi="Cambria" w:cs="Cambria" w:eastAsia="Cambria"/>
                <w:color w:val="1A1A1A"/>
                <w:sz w:val="18"/>
              </w:rPr>
              <w:t xml:space="preserve">Estensione progressiva alle altre aziende; attivazione scaglionata secondo l’ordine definito</w:t>
            </w:r>
          </w:p>
        </w:tc>
      </w:tr>
      <w:tr>
        <w:tc>
          <w:tcPr/>
          <w:p>
            <w:pPr>
              <w:pStyle w:val="Compact"/>
              <w:spacing w:after="40" w:before="40"/>
              <w:jc w:val="left"/>
            </w:pPr>
            <w:r>
              <w:rPr>
                <w:rFonts w:ascii="Cambria" w:hAnsi="Cambria" w:cs="Cambria" w:eastAsia="Cambria"/>
                <w:b/>
                <w:bCs/>
                <w:color w:val="1A1A1A"/>
                <w:sz w:val="18"/>
              </w:rPr>
              <w:t xml:space="preserve">Fase 6 (completamento)</w:t>
            </w:r>
          </w:p>
        </w:tc>
        <w:tc>
          <w:tcPr/>
          <w:p>
            <w:pPr>
              <w:pStyle w:val="Compact"/>
              <w:spacing w:after="40" w:before="40"/>
              <w:jc w:val="left"/>
            </w:pPr>
            <w:r>
              <w:rPr>
                <w:rFonts w:ascii="Cambria" w:hAnsi="Cambria" w:cs="Cambria" w:eastAsia="Cambria"/>
                <w:color w:val="1A1A1A"/>
                <w:sz w:val="18"/>
              </w:rPr>
              <w:t xml:space="preserve">Copertura dell’intero territorio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 trasversale</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che proseguono oltre il completamento del dispiegamento</w:t>
            </w:r>
          </w:p>
        </w:tc>
      </w:tr>
    </w:tbl>
    <w:p>
      <w:pPr>
        <w:pStyle w:val="BodyText"/>
      </w:pPr>
      <w:r>
        <w:rPr>
          <w:i/>
          <w:iCs/>
        </w:rPr>
        <w:t xml:space="preserve">Tabella I.2. Le fasi del dispiegamento scaglionato del servizio.</w:t>
      </w:r>
    </w:p>
    <w:bookmarkEnd w:id="2433"/>
    <w:bookmarkStart w:id="2435" w:name="X00b6ab2b85cb2aedbc0ff7e937a5ec9296bdfc5"/>
    <w:p>
      <w:pPr>
        <w:pStyle w:val="Heading3"/>
      </w:pPr>
      <w:r>
        <w:t xml:space="preserve">I.3 Il caso commerciale: il modello contrattuale e la tariffa</w:t>
      </w:r>
    </w:p>
    <w:p>
      <w:pPr>
        <w:pStyle w:val="FirstParagraph"/>
      </w:pPr>
      <w:r>
        <w:t xml:space="preserve">Il caso commerciale del Five Case Model dimostra la fattibilità dell’assetto attraverso cui il servizio è erogato. L’assetto prescelto è il rapporto convenzionale, ancorato all’accordo della specialistica ambulatoriale, che disciplina i compensi orari dei psicologi convenzionati e fornisce perciò il riferimento contrattuale del modello di costo.</w:t>
      </w:r>
      <w:r>
        <w:rPr>
          <w:rStyle w:val="FootnoteReference"/>
        </w:rPr>
        <w:footnoteReference w:id="1109"/>
      </w:r>
      <w:r>
        <w:t xml:space="preserve"> </w:t>
      </w:r>
      <w:r>
        <w:t xml:space="preserve">Su questa base, il costo medio per incarico a tempo pieno è dell’ordine di 55.000 euro l’anno — circa 40 euro l’ora di costo-azienda, comprensivo degli oneri, per circa 1.250 ore, più circa 5.000 euro di costi generali — da cui discendono gli scenari di spesa già esposti nella Parte E, di 25, 38 e 50 milioni di euro l’anno secondo la copertura, fino a 60–75 milioni nell’ipotesi di costi pieni.</w:t>
      </w:r>
    </w:p>
    <w:p>
      <w:pPr>
        <w:pStyle w:val="BodyText"/>
      </w:pPr>
      <w:r>
        <w:t xml:space="preserve">La fattibilità dell’assetto non è teorica, ma comprovata dall’esperienza: il modello dell’elenco aziendale e del rapporto convenzionale è già adottato da altre Regioni, e si innesta su strumenti contrattuali esistenti senza richiedere la creazione di nuove figure o di nuovi istituti. Ciò ne riduce la complessità attuativa e i tempi, poiché il reclutamento avviene attraverso procedure note alle aziende sanitarie. Il caso commerciale conferma, in sintesi, che l’assetto contrattuale è praticabile con gli strumenti ordinari del Servizio sanitario regionale, e che il costo per incarico — fondamento dell’intera quantificazione economica — è ancorato a un riferimento contrattuale vigente e non a un’ipotesi.</w:t>
      </w:r>
    </w:p>
    <w:bookmarkEnd w:id="2435"/>
    <w:bookmarkStart w:id="2438" w:name="X7e3cdd8eed66beef26deb9230f046318d71950f"/>
    <w:p>
      <w:pPr>
        <w:pStyle w:val="Heading3"/>
      </w:pPr>
      <w:r>
        <w:t xml:space="preserve">I.4 Il caso gestionale: la governance e i rischi</w:t>
      </w:r>
    </w:p>
    <w:p>
      <w:pPr>
        <w:pStyle w:val="FirstParagraph"/>
      </w:pPr>
      <w:r>
        <w:t xml:space="preserve">Il caso gestionale dimostra che l’attuazione è governabile. La governance è organizzata su due livelli. A livello regionale, l’Osservatorio regionale per la psicologia di base, previsto dall’articolo 9 della proposta di legge, esercita le funzioni di indirizzo, programmazione, monitoraggio e controllo: definisce i criteri e l’ordine del dispiegamento, sovrintende ai programmi formativi e assicura l’uniformità del modello sul territorio, riunendo la Regione, le aziende sanitarie, l’Ordine degli Psicologi della Puglia, la medicina generale, la pediatria di libera scelta e gli esperti.</w:t>
      </w:r>
      <w:r>
        <w:rPr>
          <w:rStyle w:val="FootnoteReference"/>
        </w:rPr>
        <w:footnoteReference w:id="1110"/>
      </w:r>
      <w:r>
        <w:t xml:space="preserve"> </w:t>
      </w:r>
      <w:r>
        <w:t xml:space="preserve">A livello aziendale, ciascuna azienda è responsabile dell’attuazione nel proprio ambito — il reclutamento, l’individuazione delle sedi, l’allestimento, l’avvio e l’alimentazione del sistema informativo — nei tempi della fase che la riguarda. Il raccordo tra i due livelli assicura la coerenza tra l’indirizzo regionale e l’attuazione territoriale.</w:t>
      </w:r>
    </w:p>
    <w:p>
      <w:pPr>
        <w:pStyle w:val="BodyText"/>
      </w:pPr>
      <w:r>
        <w:t xml:space="preserve">La gestione dei rischi attuativi è parte integrante del caso gestionale. Lo studio individua i rischi principali — un reclutamento insufficiente di psicologi formati, una debole adesione della medicina generale, un’interoperabilità incompleta dei sistemi informativi, una disomogeneità territoriale nell’attuazione e il venir meno delle coperture — e vi associa misure di mitigazione dedicate.</w:t>
      </w:r>
      <w:r>
        <w:rPr>
          <w:rStyle w:val="FootnoteReference"/>
        </w:rPr>
        <w:footnoteReference w:id="1111"/>
      </w:r>
      <w:r>
        <w:t xml:space="preserve"> </w:t>
      </w:r>
      <w:r>
        <w:t xml:space="preserve">Vi è, peraltro, una circostanza che rende la mitigazione strutturale anziché affidata a singole misure: il dispiegamento graduale è esso stesso la principale forma di mitigazione, poiché consente di osservare l’attuazione nelle prime aziende, di correggere il modello e di adattare i tempi prima dell’estensione alle aziende successive. Il rischio, in altri termini, è contenuto non solo da rimedi specifici, ma dalla stessa architettura progressiva dell’attuazione. La tabella seguente riepiloga i rischi e le misure.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w:t>
            </w:r>
          </w:p>
        </w:tc>
        <w:tc>
          <w:tcPr>
            <w:shd w:val="clear" w:color="auto" w:fill="16264B"/>
          </w:tcPr>
          <w:p>
            <w:pPr>
              <w:pStyle w:val="Compact"/>
              <w:spacing w:after="40" w:before="40"/>
              <w:jc w:val="left"/>
            </w:pPr>
            <w:r>
              <w:rPr>
                <w:rFonts w:ascii="Cambria" w:hAnsi="Cambria" w:cs="Cambria" w:eastAsia="Cambria"/>
                <w:b/>
                <w:bCs/>
                <w:color w:val="FFFFFF"/>
                <w:sz w:val="18"/>
              </w:rPr>
              <w:t xml:space="preserve">Misura di mitigazione</w:t>
            </w:r>
          </w:p>
        </w:tc>
      </w:tr>
      <w:tr>
        <w:tc>
          <w:tcPr/>
          <w:p>
            <w:pPr>
              <w:pStyle w:val="Compact"/>
              <w:spacing w:after="40" w:before="40"/>
              <w:jc w:val="left"/>
            </w:pPr>
            <w:r>
              <w:rPr>
                <w:rFonts w:ascii="Cambria" w:hAnsi="Cambria" w:cs="Cambria" w:eastAsia="Cambria"/>
                <w:b/>
                <w:bCs/>
                <w:color w:val="1A1A1A"/>
                <w:sz w:val="18"/>
              </w:rPr>
              <w:t xml:space="preserve">Reclutamento insufficiente</w:t>
            </w:r>
          </w:p>
        </w:tc>
        <w:tc>
          <w:tcPr/>
          <w:p>
            <w:pPr>
              <w:pStyle w:val="Compact"/>
              <w:spacing w:after="40" w:before="40"/>
              <w:jc w:val="left"/>
            </w:pPr>
            <w:r>
              <w:rPr>
                <w:rFonts w:ascii="Cambria" w:hAnsi="Cambria" w:cs="Cambria" w:eastAsia="Cambria"/>
                <w:color w:val="1A1A1A"/>
                <w:sz w:val="18"/>
              </w:rPr>
              <w:t xml:space="preserve">Carenza di psicologi formati</w:t>
            </w:r>
          </w:p>
        </w:tc>
        <w:tc>
          <w:tcPr/>
          <w:p>
            <w:pPr>
              <w:pStyle w:val="Compact"/>
              <w:spacing w:after="40" w:before="40"/>
              <w:jc w:val="left"/>
            </w:pPr>
            <w:r>
              <w:rPr>
                <w:rFonts w:ascii="Cambria" w:hAnsi="Cambria" w:cs="Cambria" w:eastAsia="Cambria"/>
                <w:color w:val="1A1A1A"/>
                <w:sz w:val="18"/>
              </w:rPr>
              <w:t xml:space="preserve">Dispiegamento graduale; formazione anticipata e scaglionata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Adesione della medicina generale</w:t>
            </w:r>
          </w:p>
        </w:tc>
        <w:tc>
          <w:tcPr>
            <w:shd w:val="clear" w:color="auto" w:fill="F4F1EC"/>
          </w:tcPr>
          <w:p>
            <w:pPr>
              <w:pStyle w:val="Compact"/>
              <w:spacing w:after="40" w:before="40"/>
              <w:jc w:val="left"/>
            </w:pPr>
            <w:r>
              <w:rPr>
                <w:rFonts w:ascii="Cambria" w:hAnsi="Cambria" w:cs="Cambria" w:eastAsia="Cambria"/>
                <w:color w:val="1A1A1A"/>
                <w:sz w:val="18"/>
              </w:rPr>
              <w:t xml:space="preserve">Integrazione debole nel percorso</w:t>
            </w:r>
          </w:p>
        </w:tc>
        <w:tc>
          <w:tcPr>
            <w:shd w:val="clear" w:color="auto" w:fill="F4F1EC"/>
          </w:tcPr>
          <w:p>
            <w:pPr>
              <w:pStyle w:val="Compact"/>
              <w:spacing w:after="40" w:before="40"/>
              <w:jc w:val="left"/>
            </w:pPr>
            <w:r>
              <w:rPr>
                <w:rFonts w:ascii="Cambria" w:hAnsi="Cambria" w:cs="Cambria" w:eastAsia="Cambria"/>
                <w:color w:val="1A1A1A"/>
                <w:sz w:val="18"/>
              </w:rPr>
              <w:t xml:space="preserve">Protocolli di invio; formazione congiunta; governance condivisa</w:t>
            </w:r>
          </w:p>
        </w:tc>
      </w:tr>
      <w:tr>
        <w:tc>
          <w:tcPr/>
          <w:p>
            <w:pPr>
              <w:pStyle w:val="Compact"/>
              <w:spacing w:after="40" w:before="40"/>
              <w:jc w:val="left"/>
            </w:pPr>
            <w:r>
              <w:rPr>
                <w:rFonts w:ascii="Cambria" w:hAnsi="Cambria" w:cs="Cambria" w:eastAsia="Cambria"/>
                <w:b/>
                <w:bCs/>
                <w:color w:val="1A1A1A"/>
                <w:sz w:val="18"/>
              </w:rPr>
              <w:t xml:space="preserve">Sistemi informativi</w:t>
            </w:r>
          </w:p>
        </w:tc>
        <w:tc>
          <w:tcPr/>
          <w:p>
            <w:pPr>
              <w:pStyle w:val="Compact"/>
              <w:spacing w:after="40" w:before="40"/>
              <w:jc w:val="left"/>
            </w:pPr>
            <w:r>
              <w:rPr>
                <w:rFonts w:ascii="Cambria" w:hAnsi="Cambria" w:cs="Cambria" w:eastAsia="Cambria"/>
                <w:color w:val="1A1A1A"/>
                <w:sz w:val="18"/>
              </w:rPr>
              <w:t xml:space="preserve">Interoperabilità incompleta</w:t>
            </w:r>
          </w:p>
        </w:tc>
        <w:tc>
          <w:tcPr/>
          <w:p>
            <w:pPr>
              <w:pStyle w:val="Compact"/>
              <w:spacing w:after="40" w:before="40"/>
              <w:jc w:val="left"/>
            </w:pPr>
            <w:r>
              <w:rPr>
                <w:rFonts w:ascii="Cambria" w:hAnsi="Cambria" w:cs="Cambria" w:eastAsia="Cambria"/>
                <w:color w:val="1A1A1A"/>
                <w:sz w:val="18"/>
              </w:rPr>
              <w:t xml:space="preserve">Standard nazionali; cartella dedicata; Fascicolo Sanitario Elettronico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Disomogeneità territoriale</w:t>
            </w:r>
          </w:p>
        </w:tc>
        <w:tc>
          <w:tcPr>
            <w:shd w:val="clear" w:color="auto" w:fill="F4F1EC"/>
          </w:tcPr>
          <w:p>
            <w:pPr>
              <w:pStyle w:val="Compact"/>
              <w:spacing w:after="40" w:before="40"/>
              <w:jc w:val="left"/>
            </w:pPr>
            <w:r>
              <w:rPr>
                <w:rFonts w:ascii="Cambria" w:hAnsi="Cambria" w:cs="Cambria" w:eastAsia="Cambria"/>
                <w:color w:val="1A1A1A"/>
                <w:sz w:val="18"/>
              </w:rPr>
              <w:t xml:space="preserve">Divari nell’attuazione</w:t>
            </w:r>
          </w:p>
        </w:tc>
        <w:tc>
          <w:tcPr>
            <w:shd w:val="clear" w:color="auto" w:fill="F4F1EC"/>
          </w:tcPr>
          <w:p>
            <w:pPr>
              <w:pStyle w:val="Compact"/>
              <w:spacing w:after="40" w:before="40"/>
              <w:jc w:val="left"/>
            </w:pPr>
            <w:r>
              <w:rPr>
                <w:rFonts w:ascii="Cambria" w:hAnsi="Cambria" w:cs="Cambria" w:eastAsia="Cambria"/>
                <w:color w:val="1A1A1A"/>
                <w:sz w:val="18"/>
              </w:rPr>
              <w:t xml:space="preserve">Algoritmo allocativo; indirizzo e uniformità dell’Osservatorio</w:t>
            </w:r>
          </w:p>
        </w:tc>
      </w:tr>
      <w:tr>
        <w:tc>
          <w:tcPr/>
          <w:p>
            <w:pPr>
              <w:pStyle w:val="Compact"/>
              <w:spacing w:after="40" w:before="40"/>
              <w:jc w:val="left"/>
            </w:pPr>
            <w:r>
              <w:rPr>
                <w:rFonts w:ascii="Cambria" w:hAnsi="Cambria" w:cs="Cambria" w:eastAsia="Cambria"/>
                <w:b/>
                <w:bCs/>
                <w:color w:val="1A1A1A"/>
                <w:sz w:val="18"/>
              </w:rPr>
              <w:t xml:space="preserve">Sostenibilità finanziaria</w:t>
            </w:r>
          </w:p>
        </w:tc>
        <w:tc>
          <w:tcPr/>
          <w:p>
            <w:pPr>
              <w:pStyle w:val="Compact"/>
              <w:spacing w:after="40" w:before="40"/>
              <w:jc w:val="left"/>
            </w:pPr>
            <w:r>
              <w:rPr>
                <w:rFonts w:ascii="Cambria" w:hAnsi="Cambria" w:cs="Cambria" w:eastAsia="Cambria"/>
                <w:color w:val="1A1A1A"/>
                <w:sz w:val="18"/>
              </w:rPr>
              <w:t xml:space="preserve">Venir meno delle coperture</w:t>
            </w:r>
          </w:p>
        </w:tc>
        <w:tc>
          <w:tcPr/>
          <w:p>
            <w:pPr>
              <w:pStyle w:val="Compact"/>
              <w:spacing w:after="40" w:before="40"/>
              <w:jc w:val="left"/>
            </w:pPr>
            <w:r>
              <w:rPr>
                <w:rFonts w:ascii="Cambria" w:hAnsi="Cambria" w:cs="Cambria" w:eastAsia="Cambria"/>
                <w:color w:val="1A1A1A"/>
                <w:sz w:val="18"/>
              </w:rPr>
              <w:t xml:space="preserve">Finanziamento strutturale; riutilizzo dei risparmi diretti</w:t>
            </w:r>
          </w:p>
        </w:tc>
      </w:tr>
    </w:tbl>
    <w:p>
      <w:pPr>
        <w:pStyle w:val="BodyText"/>
      </w:pPr>
      <w:r>
        <w:rPr>
          <w:i/>
          <w:iCs/>
        </w:rPr>
        <w:t xml:space="preserve">Tabella I.3. Il registro dei rischi attuativi e le misure di mitigazione.</w:t>
      </w:r>
    </w:p>
    <w:bookmarkEnd w:id="2438"/>
    <w:bookmarkStart w:id="2443" w:name="i.5-la-sostenibilità-finanziaria-1"/>
    <w:p>
      <w:pPr>
        <w:pStyle w:val="Heading3"/>
      </w:pPr>
      <w:r>
        <w:t xml:space="preserve">I.5 La sostenibilità finanziaria</w:t>
      </w:r>
    </w:p>
    <w:p>
      <w:pPr>
        <w:pStyle w:val="FirstParagraph"/>
      </w:pPr>
      <w:r>
        <w:t xml:space="preserve">Il caso finanziario, già affrontato nella Parte E sul versante del saldo, è qui completato sul versante delle coperture. Le fonti di finanziamento del servizio sono molteplici e tra loro complementari: il finanziamento ordinario del Servizio sanitario regionale, quale fonte principale a regime; la Missione 6 del Piano Nazionale di Ripresa e Resilienza, per l’infrastruttura territoriale e digitale nella fase di avvio; i fondi nazionali in materia di salute mentale; il riutilizzo, a regime, di una quota dei risparmi diretti che il servizio stesso genera; e accordi intersettoriali con i settori del welfare, dell’invalidità e della produttività, sui quali ricadono parte dei benefici.</w:t>
      </w:r>
      <w:r>
        <w:rPr>
          <w:rStyle w:val="FootnoteReference"/>
        </w:rPr>
        <w:footnoteReference w:id="1112"/>
      </w:r>
      <w:r>
        <w:t xml:space="preserve"> </w:t>
      </w:r>
      <w:r>
        <w:t xml:space="preserve">La molteplicità delle fonti è essa stessa un presidio di sostenibilità, poiché riduce la dipendenza da un’unica linea di finanziamento.</w:t>
      </w:r>
    </w:p>
    <w:p>
      <w:pPr>
        <w:pStyle w:val="BodyText"/>
      </w:pPr>
      <w:r>
        <w:t xml:space="preserve">Il quadro va letto alla luce dei vincoli di bilancio già esposti. A fronte di un finanziamento di circa 8,8 miliardi di euro e di un disavanzo di circa 350 milioni, in regime di piano di rientro, il costo del servizio — da 25 a 50 milioni — ne costituisce una frazione modesta, in larga parte compensata dai risparmi diretti, con pareggio finanziario atteso tra il terzo e il quinto anno.</w:t>
      </w:r>
      <w:r>
        <w:rPr>
          <w:rStyle w:val="FootnoteReference"/>
        </w:rPr>
        <w:footnoteReference w:id="1113"/>
      </w:r>
      <w:r>
        <w:t xml:space="preserve"> </w:t>
      </w:r>
      <w:r>
        <w:t xml:space="preserve">La sostenibilità nel tempo, che è il criterio conclusivo della griglia di valutazione, è assicurata da tre fattori convergenti: la modestia del costo rispetto al bilancio, la sua larga compensazione mediante i risparmi diretti, e l’allineamento — garantito dal dispiegamento graduale — tra la spesa e la capacità di reclutamento e formazione; resta inteso che la sostenibilità di lungo periodo richiede un finanziamento strutturale, e non straordinario, quale la riconduzione del servizio tra le prestazioni ordinariamente garantite.</w:t>
      </w:r>
      <w:r>
        <w:rPr>
          <w:rStyle w:val="FootnoteReference"/>
        </w:rPr>
        <w:footnoteReference w:id="1114"/>
      </w:r>
      <w:r>
        <w:t xml:space="preserve"> </w:t>
      </w:r>
      <w:r>
        <w:t xml:space="preserve">La tabella seguente riepiloga le fonti di copertura.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Fonte di copertura</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Fase</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w:t>
            </w:r>
          </w:p>
        </w:tc>
        <w:tc>
          <w:tcPr/>
          <w:p>
            <w:pPr>
              <w:pStyle w:val="Compact"/>
              <w:spacing w:after="40" w:before="40"/>
              <w:jc w:val="left"/>
            </w:pPr>
            <w:r>
              <w:rPr>
                <w:rFonts w:ascii="Cambria" w:hAnsi="Cambria" w:cs="Cambria" w:eastAsia="Cambria"/>
                <w:color w:val="1A1A1A"/>
                <w:sz w:val="18"/>
              </w:rPr>
              <w:t xml:space="preserve">Quota ordinaria</w:t>
            </w:r>
          </w:p>
        </w:tc>
        <w:tc>
          <w:tcPr/>
          <w:p>
            <w:pPr>
              <w:pStyle w:val="Compact"/>
              <w:spacing w:after="40" w:before="40"/>
              <w:jc w:val="left"/>
            </w:pPr>
            <w:r>
              <w:rPr>
                <w:rFonts w:ascii="Cambria" w:hAnsi="Cambria" w:cs="Cambria" w:eastAsia="Cambria"/>
                <w:color w:val="1A1A1A"/>
                <w:sz w:val="18"/>
              </w:rPr>
              <w:t xml:space="preserve">Fonte principale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PNRR, Missione 6</w:t>
            </w:r>
          </w:p>
        </w:tc>
        <w:tc>
          <w:tcPr>
            <w:shd w:val="clear" w:color="auto" w:fill="F4F1EC"/>
          </w:tcPr>
          <w:p>
            <w:pPr>
              <w:pStyle w:val="Compact"/>
              <w:spacing w:after="40" w:before="40"/>
              <w:jc w:val="left"/>
            </w:pPr>
            <w:r>
              <w:rPr>
                <w:rFonts w:ascii="Cambria" w:hAnsi="Cambria" w:cs="Cambria" w:eastAsia="Cambria"/>
                <w:color w:val="1A1A1A"/>
                <w:sz w:val="18"/>
              </w:rPr>
              <w:t xml:space="preserve">Infrastruttura territoriale e digitale</w:t>
            </w:r>
          </w:p>
        </w:tc>
        <w:tc>
          <w:tcPr>
            <w:shd w:val="clear" w:color="auto" w:fill="F4F1EC"/>
          </w:tcPr>
          <w:p>
            <w:pPr>
              <w:pStyle w:val="Compact"/>
              <w:spacing w:after="40" w:before="40"/>
              <w:jc w:val="left"/>
            </w:pPr>
            <w:r>
              <w:rPr>
                <w:rFonts w:ascii="Cambria" w:hAnsi="Cambria" w:cs="Cambria" w:eastAsia="Cambria"/>
                <w:color w:val="1A1A1A"/>
                <w:sz w:val="18"/>
              </w:rPr>
              <w:t xml:space="preserve">Fase di avvio</w:t>
            </w:r>
          </w:p>
        </w:tc>
      </w:tr>
      <w:tr>
        <w:tc>
          <w:tcPr/>
          <w:p>
            <w:pPr>
              <w:pStyle w:val="Compact"/>
              <w:spacing w:after="40" w:before="40"/>
              <w:jc w:val="left"/>
            </w:pPr>
            <w:r>
              <w:rPr>
                <w:rFonts w:ascii="Cambria" w:hAnsi="Cambria" w:cs="Cambria" w:eastAsia="Cambria"/>
                <w:b/>
                <w:bCs/>
                <w:color w:val="1A1A1A"/>
                <w:sz w:val="18"/>
              </w:rPr>
              <w:t xml:space="preserve">Fondi nazionali per la salute mentale</w:t>
            </w:r>
          </w:p>
        </w:tc>
        <w:tc>
          <w:tcPr/>
          <w:p>
            <w:pPr>
              <w:pStyle w:val="Compact"/>
              <w:spacing w:after="40" w:before="40"/>
              <w:jc w:val="left"/>
            </w:pPr>
            <w:r>
              <w:rPr>
                <w:rFonts w:ascii="Cambria" w:hAnsi="Cambria" w:cs="Cambria" w:eastAsia="Cambria"/>
                <w:color w:val="1A1A1A"/>
                <w:sz w:val="18"/>
              </w:rPr>
              <w:t xml:space="preserve">Indirizzi nazionali</w:t>
            </w:r>
          </w:p>
        </w:tc>
        <w:tc>
          <w:tcPr/>
          <w:p>
            <w:pPr>
              <w:pStyle w:val="Compact"/>
              <w:spacing w:after="40" w:before="40"/>
              <w:jc w:val="left"/>
            </w:pPr>
            <w:r>
              <w:rPr>
                <w:rFonts w:ascii="Cambria" w:hAnsi="Cambria" w:cs="Cambria" w:eastAsia="Cambria"/>
                <w:color w:val="1A1A1A"/>
                <w:sz w:val="18"/>
              </w:rPr>
              <w:t xml:space="preserve">Integrazione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Riutilizzo dei risparmi diretti</w:t>
            </w:r>
          </w:p>
        </w:tc>
        <w:tc>
          <w:tcPr>
            <w:shd w:val="clear" w:color="auto" w:fill="F4F1EC"/>
          </w:tcPr>
          <w:p>
            <w:pPr>
              <w:pStyle w:val="Compact"/>
              <w:spacing w:after="40" w:before="40"/>
              <w:jc w:val="left"/>
            </w:pPr>
            <w:r>
              <w:rPr>
                <w:rFonts w:ascii="Cambria" w:hAnsi="Cambria" w:cs="Cambria" w:eastAsia="Cambria"/>
                <w:color w:val="1A1A1A"/>
                <w:sz w:val="18"/>
              </w:rPr>
              <w:t xml:space="preserve">Quota dei risparmi generati</w:t>
            </w:r>
          </w:p>
        </w:tc>
        <w:tc>
          <w:tcPr>
            <w:shd w:val="clear" w:color="auto" w:fill="F4F1EC"/>
          </w:tcPr>
          <w:p>
            <w:pPr>
              <w:pStyle w:val="Compact"/>
              <w:spacing w:after="40" w:before="40"/>
              <w:jc w:val="left"/>
            </w:pPr>
            <w:r>
              <w:rPr>
                <w:rFonts w:ascii="Cambria" w:hAnsi="Cambria" w:cs="Cambria" w:eastAsia="Cambria"/>
                <w:color w:val="1A1A1A"/>
                <w:sz w:val="18"/>
              </w:rPr>
              <w:t xml:space="preserve">A regime</w:t>
            </w:r>
          </w:p>
        </w:tc>
      </w:tr>
      <w:tr>
        <w:tc>
          <w:tcPr/>
          <w:p>
            <w:pPr>
              <w:pStyle w:val="Compact"/>
              <w:spacing w:after="40" w:before="40"/>
              <w:jc w:val="left"/>
            </w:pPr>
            <w:r>
              <w:rPr>
                <w:rFonts w:ascii="Cambria" w:hAnsi="Cambria" w:cs="Cambria" w:eastAsia="Cambria"/>
                <w:b/>
                <w:bCs/>
                <w:color w:val="1A1A1A"/>
                <w:sz w:val="18"/>
              </w:rPr>
              <w:t xml:space="preserve">Accordi intersettoriali</w:t>
            </w:r>
          </w:p>
        </w:tc>
        <w:tc>
          <w:tcPr/>
          <w:p>
            <w:pPr>
              <w:pStyle w:val="Compact"/>
              <w:spacing w:after="40" w:before="40"/>
              <w:jc w:val="left"/>
            </w:pPr>
            <w:r>
              <w:rPr>
                <w:rFonts w:ascii="Cambria" w:hAnsi="Cambria" w:cs="Cambria" w:eastAsia="Cambria"/>
                <w:color w:val="1A1A1A"/>
                <w:sz w:val="18"/>
              </w:rPr>
              <w:t xml:space="preserve">Welfare, invalidità, produttività</w:t>
            </w:r>
          </w:p>
        </w:tc>
        <w:tc>
          <w:tcPr/>
          <w:p>
            <w:pPr>
              <w:pStyle w:val="Compact"/>
              <w:spacing w:after="40" w:before="40"/>
              <w:jc w:val="left"/>
            </w:pPr>
            <w:r>
              <w:rPr>
                <w:rFonts w:ascii="Cambria" w:hAnsi="Cambria" w:cs="Cambria" w:eastAsia="Cambria"/>
                <w:color w:val="1A1A1A"/>
                <w:sz w:val="18"/>
              </w:rPr>
              <w:t xml:space="preserve">Ricadute condivise</w:t>
            </w:r>
          </w:p>
        </w:tc>
      </w:tr>
    </w:tbl>
    <w:p>
      <w:pPr>
        <w:pStyle w:val="BodyText"/>
      </w:pPr>
      <w:r>
        <w:rPr>
          <w:i/>
          <w:iCs/>
        </w:rPr>
        <w:t xml:space="preserve">Tabella I.4. Le fonti di copertura del servizio.</w:t>
      </w:r>
    </w:p>
    <w:p>
      <w:pPr>
        <w:pStyle w:val="BodyText"/>
      </w:pPr>
      <w:r>
        <w:t xml:space="preserve">Una notazione di cautela metodologica chiude la parte e ne salda la franchezza al resto dello studio. I risultati italiani disponibili provengono in parte da letteratura grigia e da campioni limitati, e i benchmark esteri richiedono cautela di trasferibilità; e la stessa sintesi del ritorno «quattro a uno» dell’Organizzazione mondiale della sanità è una semplificazione, poiché la fonte riporta intervalli dell’ordine di 2,3–3,0 a uno per i soli benefici economici e di 3,3–5,7 a uno includendo i ritorni di salute — intervalli che, lungi dal contraddire il rapporto consolidato adottato dallo studio (3,6–5 a uno), lo confermano.</w:t>
      </w:r>
      <w:r>
        <w:rPr>
          <w:rStyle w:val="FootnoteReference"/>
        </w:rPr>
        <w:footnoteReference w:id="1115"/>
      </w:r>
      <w:r>
        <w:t xml:space="preserve"> </w:t>
      </w:r>
      <w:r>
        <w:t xml:space="preserve">Accertata l’attuabilità, la fattibilità e la sostenibilità dell’intervento, le parti conclusive ne organizzano la misurazione nel tempo (Parte L) e la sintesi valutativa (Parte M).</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L</w:t>
      </w:r>
    </w:p>
    <w:p>
      <w:pPr>
        <w:pStyle w:val="BodyText"/>
      </w:pPr>
      <w:r>
        <w:rPr>
          <w:b/>
          <w:bCs/>
        </w:rPr>
        <w:t xml:space="preserve">Monitoraggio, valutazione ed ex post</w:t>
      </w:r>
    </w:p>
    <w:p>
      <w:pPr>
        <w:pStyle w:val="BodyText"/>
      </w:pPr>
      <w:r>
        <w:rPr>
          <w:i/>
          <w:iCs/>
        </w:rPr>
        <w:t xml:space="preserve">Sistema di indicatori, protocollo di rilevazione e baseline, valutazione controfattuale, verifica ex post, indicatori compositi e cruscotto</w:t>
      </w:r>
    </w:p>
    <w:p>
      <w:pPr>
        <w:pStyle w:val="BodyText"/>
      </w:pPr>
      <w:r>
        <w:t xml:space="preserve">Donabedian · valutazione controfattuale d’impatto · VIR · metodo OCSE-JRC</w:t>
      </w:r>
    </w:p>
    <w:bookmarkEnd w:id="2443"/>
    <w:bookmarkEnd w:id="2444"/>
    <w:bookmarkStart w:id="2487" w:name="Xfbafe6aaf9adaafa4d56f233261594cf1d8dfeb"/>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1116"/>
      </w:r>
      <w:r>
        <w:rPr>
          <w:rStyle w:val="FootnoteReference"/>
        </w:rPr>
        <w:footnoteReference w:id="1117"/>
      </w:r>
      <w:r>
        <w:rPr>
          <w:rStyle w:val="FootnoteReference"/>
        </w:rPr>
        <w:footnoteReference w:id="1118"/>
      </w:r>
      <w:r>
        <w:rPr>
          <w:rStyle w:val="FootnoteReference"/>
        </w:rPr>
        <w:footnoteReference w:id="1119"/>
      </w:r>
      <w:r>
        <w:rPr>
          <w:rStyle w:val="FootnoteReference"/>
        </w:rPr>
        <w:footnoteReference w:id="1120"/>
      </w:r>
      <w:r>
        <w:rPr>
          <w:rStyle w:val="FootnoteReference"/>
        </w:rPr>
        <w:footnoteReference w:id="1121"/>
      </w:r>
      <w:r>
        <w:rPr>
          <w:rStyle w:val="FootnoteReference"/>
        </w:rPr>
        <w:footnoteReference w:id="1122"/>
      </w:r>
      <w:r>
        <w:rPr>
          <w:rStyle w:val="FootnoteReference"/>
        </w:rPr>
        <w:footnoteReference w:id="1123"/>
      </w:r>
      <w:r>
        <w:rPr>
          <w:rStyle w:val="FootnoteReference"/>
        </w:rPr>
        <w:footnoteReference w:id="1124"/>
      </w:r>
      <w:r>
        <w:rPr>
          <w:rStyle w:val="FootnoteReference"/>
        </w:rPr>
        <w:footnoteReference w:id="1125"/>
      </w:r>
      <w:r>
        <w:rPr>
          <w:rStyle w:val="FootnoteReference"/>
        </w:rPr>
        <w:footnoteReference w:id="1126"/>
      </w:r>
      <w:r>
        <w:rPr>
          <w:rStyle w:val="FootnoteReference"/>
        </w:rPr>
        <w:footnoteReference w:id="1127"/>
      </w:r>
      <w:r>
        <w:rPr>
          <w:rStyle w:val="FootnoteReference"/>
        </w:rPr>
        <w:footnoteReference w:id="1128"/>
      </w:r>
      <w:r>
        <w:rPr>
          <w:rStyle w:val="FootnoteReference"/>
        </w:rPr>
        <w:footnoteReference w:id="1129"/>
      </w:r>
      <w:r>
        <w:rPr>
          <w:rStyle w:val="FootnoteReference"/>
        </w:rPr>
        <w:footnoteReference w:id="1130"/>
      </w:r>
      <w:r>
        <w:rPr>
          <w:rStyle w:val="FootnoteReference"/>
        </w:rPr>
        <w:footnoteReference w:id="1131"/>
      </w:r>
      <w:r>
        <w:rPr>
          <w:rStyle w:val="FootnoteReference"/>
        </w:rPr>
        <w:footnoteReference w:id="1132"/>
      </w:r>
      <w:r>
        <w:rPr>
          <w:rStyle w:val="FootnoteReference"/>
        </w:rPr>
        <w:footnoteReference w:id="1133"/>
      </w:r>
      <w:r>
        <w:rPr>
          <w:rStyle w:val="FootnoteReference"/>
        </w:rPr>
        <w:footnoteReference w:id="1134"/>
      </w:r>
      <w:r>
        <w:t xml:space="preserve"> </w:t>
      </w:r>
      <w:r>
        <w:t xml:space="preserve">Vale qui una verifica onesta della completezza del progetto, che conduce a una conclusione netta: al progetto non manca un’architettura, ma il radicamento nei dati e l’avvio della misurazione. Le parti seguenti definiscono perciò gli strumenti di questo radicamento: il sistema di indicatori (capitolo L.1), il protocollo che li alimenta e la baseline (L.2), la valutazione controfattuale che ne trae prove causali (L.3), la verifica ex post della norma (L.4) e gli indicatori compositi che ne sintetizzano i risultati nel cruscotto (L.5).</w:t>
      </w:r>
    </w:p>
    <w:bookmarkStart w:id="2468" w:name="l.1-il-sistema-di-indicatori-1"/>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1135"/>
      </w:r>
      <w:r>
        <w:t xml:space="preserve"> </w:t>
      </w:r>
      <w:r>
        <w:t xml:space="preserve">Su questa ossatura si dispone una batteria di circa cinquantotto misure, articolate in otto categorie, delle quali una parte è già ricavabile dalle statistiche correnti e circa quaranta richiedono la rilevazione diretta del servizio.</w:t>
      </w:r>
      <w:r>
        <w:rPr>
          <w:rStyle w:val="FootnoteReference"/>
        </w:rPr>
        <w:footnoteReference w:id="1136"/>
      </w:r>
      <w:r>
        <w:t xml:space="preserve"> </w:t>
      </w:r>
      <w:r>
        <w:t xml:space="preserve">La distinzione tra ciò che è già disponibile e ciò che va rilevato non è accessoria: identifica con precisione l’onere informativo nuovo che il servizio deve sostenere, e che il protocollo del capitolo seguente è chiamato a coprire.</w:t>
      </w:r>
    </w:p>
    <w:p>
      <w:pPr>
        <w:pStyle w:val="BodyText"/>
      </w:pPr>
      <w:r>
        <w:t xml:space="preserve">Le otto categorie coprono l’intero arco della catena del valore, dal bisogno all’impatto. La selezione delle misure entro ciascuna categoria non è arbitraria, ma orientata dal principio della parsimonia: l’iniziativa internazionale per i set di esiti essenziali e i relativi standard individuano, mediante consenso strutturato, un nucleo condiviso e parsimonioso di esiti da misurare, e questa prassi fonda la selezione di un sottoinsieme prioritario di variabili, evitando la proliferazione di misure ridondanti.</w:t>
      </w:r>
      <w:r>
        <w:rPr>
          <w:rStyle w:val="FootnoteReference"/>
        </w:rPr>
        <w:footnoteReference w:id="1137"/>
      </w:r>
      <w:r>
        <w:t xml:space="preserve"> </w:t>
      </w:r>
      <w:r>
        <w:t xml:space="preserve">Misurare molto non equivale a misurare bene: un sistema sovraccarico di indicatori è costoso da alimentare e difficile da interpretare, mentre un nucleo ben scelto restituisce l’informazione necessaria alla decisione. La tabella seguente riepiloga le otto categorie e lo stato della rispettiva baseline.</w:t>
      </w:r>
      <w:r>
        <w:rPr>
          <w:rStyle w:val="FootnoteReference"/>
        </w:rPr>
        <w:footnoteReference w:id="1138"/>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Esempi di indicatori</w:t>
            </w:r>
          </w:p>
        </w:tc>
        <w:tc>
          <w:tcPr>
            <w:shd w:val="clear" w:color="auto" w:fill="16264B"/>
          </w:tcPr>
          <w:p>
            <w:pPr>
              <w:pStyle w:val="Compact"/>
              <w:spacing w:after="40" w:before="40"/>
              <w:jc w:val="left"/>
            </w:pPr>
            <w:r>
              <w:rPr>
                <w:rFonts w:ascii="Cambria" w:hAnsi="Cambria" w:cs="Cambria" w:eastAsia="Cambria"/>
                <w:b/>
                <w:bCs/>
                <w:color w:val="FFFFFF"/>
                <w:sz w:val="18"/>
              </w:rPr>
              <w:t xml:space="preserve">Baseline</w:t>
            </w:r>
          </w:p>
        </w:tc>
      </w:tr>
      <w:tr>
        <w:tc>
          <w:tcPr/>
          <w:p>
            <w:pPr>
              <w:pStyle w:val="Compact"/>
              <w:spacing w:after="40" w:before="40"/>
              <w:jc w:val="left"/>
            </w:pPr>
            <w:r>
              <w:rPr>
                <w:rFonts w:ascii="Cambria" w:hAnsi="Cambria" w:cs="Cambria" w:eastAsia="Cambria"/>
                <w:b/>
                <w:bCs/>
                <w:color w:val="1A1A1A"/>
                <w:sz w:val="18"/>
              </w:rPr>
              <w:t xml:space="preserve">Bisogno e domanda</w:t>
            </w:r>
          </w:p>
        </w:tc>
        <w:tc>
          <w:tcPr/>
          <w:p>
            <w:pPr>
              <w:pStyle w:val="Compact"/>
              <w:spacing w:after="40" w:before="40"/>
              <w:jc w:val="left"/>
            </w:pPr>
            <w:r>
              <w:rPr>
                <w:rFonts w:ascii="Cambria" w:hAnsi="Cambria" w:cs="Cambria" w:eastAsia="Cambria"/>
                <w:color w:val="1A1A1A"/>
                <w:sz w:val="18"/>
              </w:rPr>
              <w:t xml:space="preserve">Prevalenza del disagio, utenza dei servizi, accessi impropri</w:t>
            </w:r>
          </w:p>
        </w:tc>
        <w:tc>
          <w:tcPr/>
          <w:p>
            <w:pPr>
              <w:pStyle w:val="Compact"/>
              <w:spacing w:after="40" w:before="40"/>
              <w:jc w:val="left"/>
            </w:pPr>
            <w:r>
              <w:rPr>
                <w:rFonts w:ascii="Cambria" w:hAnsi="Cambria" w:cs="Cambria" w:eastAsia="Cambria"/>
                <w:color w:val="1A1A1A"/>
                <w:sz w:val="18"/>
              </w:rPr>
              <w:t xml:space="preserve">Disponibile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Accesso ed equità</w:t>
            </w:r>
          </w:p>
        </w:tc>
        <w:tc>
          <w:tcPr>
            <w:shd w:val="clear" w:color="auto" w:fill="F4F1EC"/>
          </w:tcPr>
          <w:p>
            <w:pPr>
              <w:pStyle w:val="Compact"/>
              <w:spacing w:after="40" w:before="40"/>
              <w:jc w:val="left"/>
            </w:pPr>
            <w:r>
              <w:rPr>
                <w:rFonts w:ascii="Cambria" w:hAnsi="Cambria" w:cs="Cambria" w:eastAsia="Cambria"/>
                <w:color w:val="1A1A1A"/>
                <w:sz w:val="18"/>
              </w:rPr>
              <w:t xml:space="preserve">Tempo di attesa, copertura, divari tra aziende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Processo</w:t>
            </w:r>
          </w:p>
        </w:tc>
        <w:tc>
          <w:tcPr/>
          <w:p>
            <w:pPr>
              <w:pStyle w:val="Compact"/>
              <w:spacing w:after="40" w:before="40"/>
              <w:jc w:val="left"/>
            </w:pPr>
            <w:r>
              <w:rPr>
                <w:rFonts w:ascii="Cambria" w:hAnsi="Cambria" w:cs="Cambria" w:eastAsia="Cambria"/>
                <w:color w:val="1A1A1A"/>
                <w:sz w:val="18"/>
              </w:rPr>
              <w:t xml:space="preserve">Sedute erogate, cicli completati, abbandoni</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clinico</w:t>
            </w:r>
          </w:p>
        </w:tc>
        <w:tc>
          <w:tcPr>
            <w:shd w:val="clear" w:color="auto" w:fill="F4F1EC"/>
          </w:tcPr>
          <w:p>
            <w:pPr>
              <w:pStyle w:val="Compact"/>
              <w:spacing w:after="40" w:before="40"/>
              <w:jc w:val="left"/>
            </w:pPr>
            <w:r>
              <w:rPr>
                <w:rFonts w:ascii="Cambria" w:hAnsi="Cambria" w:cs="Cambria" w:eastAsia="Cambria"/>
                <w:color w:val="1A1A1A"/>
                <w:sz w:val="18"/>
              </w:rPr>
              <w:t xml:space="preserve">Recupero, miglioramento affidabile, mantenimento</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Economici</w:t>
            </w:r>
          </w:p>
        </w:tc>
        <w:tc>
          <w:tcPr/>
          <w:p>
            <w:pPr>
              <w:pStyle w:val="Compact"/>
              <w:spacing w:after="40" w:before="40"/>
              <w:jc w:val="left"/>
            </w:pPr>
            <w:r>
              <w:rPr>
                <w:rFonts w:ascii="Cambria" w:hAnsi="Cambria" w:cs="Cambria" w:eastAsia="Cambria"/>
                <w:color w:val="1A1A1A"/>
                <w:sz w:val="18"/>
              </w:rPr>
              <w:t xml:space="preserve">Risparmi per canale, costo per esito</w:t>
            </w:r>
          </w:p>
        </w:tc>
        <w:tc>
          <w:tcPr/>
          <w:p>
            <w:pPr>
              <w:pStyle w:val="Compact"/>
              <w:spacing w:after="40" w:before="40"/>
              <w:jc w:val="left"/>
            </w:pPr>
            <w:r>
              <w:rPr>
                <w:rFonts w:ascii="Cambria" w:hAnsi="Cambria" w:cs="Cambria" w:eastAsia="Cambria"/>
                <w:color w:val="1A1A1A"/>
                <w:sz w:val="18"/>
              </w:rPr>
              <w:t xml:space="preserve">Misto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sociale</w:t>
            </w:r>
          </w:p>
        </w:tc>
        <w:tc>
          <w:tcPr>
            <w:shd w:val="clear" w:color="auto" w:fill="F4F1EC"/>
          </w:tcPr>
          <w:p>
            <w:pPr>
              <w:pStyle w:val="Compact"/>
              <w:spacing w:after="40" w:before="40"/>
              <w:jc w:val="left"/>
            </w:pPr>
            <w:r>
              <w:rPr>
                <w:rFonts w:ascii="Cambria" w:hAnsi="Cambria" w:cs="Cambria" w:eastAsia="Cambria"/>
                <w:color w:val="1A1A1A"/>
                <w:sz w:val="18"/>
              </w:rPr>
              <w:t xml:space="preserve">Produttività, benessere, indicatori territoriali</w:t>
            </w:r>
          </w:p>
        </w:tc>
        <w:tc>
          <w:tcPr>
            <w:shd w:val="clear" w:color="auto" w:fill="F4F1EC"/>
          </w:tcPr>
          <w:p>
            <w:pPr>
              <w:pStyle w:val="Compact"/>
              <w:spacing w:after="40" w:before="40"/>
              <w:jc w:val="left"/>
            </w:pPr>
            <w:r>
              <w:rPr>
                <w:rFonts w:ascii="Cambria" w:hAnsi="Cambria" w:cs="Cambria" w:eastAsia="Cambria"/>
                <w:color w:val="1A1A1A"/>
                <w:sz w:val="18"/>
              </w:rPr>
              <w:t xml:space="preserve">Misto</w:t>
            </w:r>
          </w:p>
        </w:tc>
      </w:tr>
      <w:tr>
        <w:tc>
          <w:tcPr/>
          <w:p>
            <w:pPr>
              <w:pStyle w:val="Compact"/>
              <w:spacing w:after="40" w:before="40"/>
              <w:jc w:val="left"/>
            </w:pPr>
            <w:r>
              <w:rPr>
                <w:rFonts w:ascii="Cambria" w:hAnsi="Cambria" w:cs="Cambria" w:eastAsia="Cambria"/>
                <w:b/>
                <w:bCs/>
                <w:color w:val="1A1A1A"/>
                <w:sz w:val="18"/>
              </w:rPr>
              <w:t xml:space="preserve">Organizzativi</w:t>
            </w:r>
          </w:p>
        </w:tc>
        <w:tc>
          <w:tcPr/>
          <w:p>
            <w:pPr>
              <w:pStyle w:val="Compact"/>
              <w:spacing w:after="40" w:before="40"/>
              <w:jc w:val="left"/>
            </w:pPr>
            <w:r>
              <w:rPr>
                <w:rFonts w:ascii="Cambria" w:hAnsi="Cambria" w:cs="Cambria" w:eastAsia="Cambria"/>
                <w:color w:val="1A1A1A"/>
                <w:sz w:val="18"/>
              </w:rPr>
              <w:t xml:space="preserve">Reclutamento, formazione, fedeltà al modello</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Variabili di sintesi</w:t>
            </w:r>
          </w:p>
        </w:tc>
        <w:tc>
          <w:tcPr>
            <w:shd w:val="clear" w:color="auto" w:fill="F4F1EC"/>
          </w:tcPr>
          <w:p>
            <w:pPr>
              <w:pStyle w:val="Compact"/>
              <w:spacing w:after="40" w:before="40"/>
              <w:jc w:val="left"/>
            </w:pPr>
            <w:r>
              <w:rPr>
                <w:rFonts w:ascii="Cambria" w:hAnsi="Cambria" w:cs="Cambria" w:eastAsia="Cambria"/>
                <w:color w:val="1A1A1A"/>
                <w:sz w:val="18"/>
              </w:rPr>
              <w:t xml:space="preserve">Indici compositi di esito e di valore</w:t>
            </w:r>
          </w:p>
        </w:tc>
        <w:tc>
          <w:tcPr>
            <w:shd w:val="clear" w:color="auto" w:fill="F4F1EC"/>
          </w:tcPr>
          <w:p>
            <w:pPr>
              <w:pStyle w:val="Compact"/>
              <w:spacing w:after="40" w:before="40"/>
              <w:jc w:val="left"/>
            </w:pPr>
            <w:r>
              <w:rPr>
                <w:rFonts w:ascii="Cambria" w:hAnsi="Cambria" w:cs="Cambria" w:eastAsia="Cambria"/>
                <w:color w:val="1A1A1A"/>
                <w:sz w:val="18"/>
              </w:rPr>
              <w:t xml:space="preserve">Da calcolare</w:t>
            </w:r>
          </w:p>
        </w:tc>
      </w:tr>
    </w:tbl>
    <w:p>
      <w:pPr>
        <w:pStyle w:val="BodyText"/>
      </w:pPr>
      <w:r>
        <w:rPr>
          <w:i/>
          <w:iCs/>
        </w:rPr>
        <w:t xml:space="preserve">Tabella L.1. Le otto categorie di indicatori e lo stato della baseline. Circa quaranta indicatori richiedono la rilevazione diretta del servizio.</w:t>
      </w:r>
    </w:p>
    <w:bookmarkEnd w:id="2468"/>
    <w:bookmarkStart w:id="2474" w:name="X39354e3b196bf858c073c30cb312e8376a23c5f"/>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colma la lacuna di attivazione della misurazione.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1139"/>
      </w:r>
      <w:r>
        <w:t xml:space="preserve"> </w:t>
      </w:r>
      <w:r>
        <w:t xml:space="preserve">Gli strumenti di esito sono validati e di uso internazionale: il questionario sulla salute del paziente a nove voci, con punteggio totale da 0 a 27, soglia di rilevanza clinica intorno a 10 e cambiamento affidabile dell’ordine di 6 punti, e il corrispondente questionario per l’ansia a sette voci, impiegati — si ribadisce — nei soli punteggi complessivi.</w:t>
      </w:r>
      <w:r>
        <w:rPr>
          <w:rStyle w:val="FootnoteReference"/>
        </w:rPr>
        <w:footnoteReference w:id="1140"/>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1141"/>
      </w:r>
    </w:p>
    <w:p>
      <w:pPr>
        <w:pStyle w:val="BodyText"/>
      </w:pPr>
      <w:r>
        <w:t xml:space="preserve">Alla rilevazione si lega la costituzione della baseline, ossia la fotografia dello stato di partenza senza la quale nessun effetto sarebbe misurabile. La baseline si costituisce su due binari. Il primo è immediato e non richiede di attendere l’avvio: gli indicatori già disponibili dalle statistiche correnti — demografici, epidemiologici, di benessere, di mortalità — forniscono la fotografia del prima e vanno registrati subito. Il secondo è la rilevazione di servizio, che parte con il primo assistito.</w:t>
      </w:r>
      <w:r>
        <w:rPr>
          <w:rStyle w:val="FootnoteReference"/>
        </w:rPr>
        <w:footnoteReference w:id="1142"/>
      </w:r>
      <w:r>
        <w:t xml:space="preserve"> </w:t>
      </w:r>
      <w:r>
        <w:t xml:space="preserve">Il principio è stringente, e merita di essere enunciato senza attenuazioni: ogni mese di ritardo nell’avvio della rilevazione è un mese di dati di base perduti, non recuperabili a posteriori. Il calendario disciplina questa sequenza, dalla costituzione della baseline prima dell’avvio, alla registrazione corrente dall’avvio, alla trasmissione mensile di indicatori aggregati all’Osservatorio, fino al calcolo periodico delle misure di sintesi e all’aggiornamento del cruscotto.</w:t>
      </w:r>
      <w:r>
        <w:rPr>
          <w:rStyle w:val="FootnoteReference"/>
        </w:rPr>
        <w:footnoteReference w:id="1143"/>
      </w:r>
      <w:r>
        <w:t xml:space="preserve"> </w:t>
      </w:r>
      <w:r>
        <w:t xml:space="preserve">La tabella seguente lo riepiloga.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Momento</w:t>
            </w:r>
          </w:p>
        </w:tc>
        <w:tc>
          <w:tcPr>
            <w:shd w:val="clear" w:color="auto" w:fill="16264B"/>
          </w:tcPr>
          <w:p>
            <w:pPr>
              <w:pStyle w:val="Compact"/>
              <w:spacing w:after="40" w:before="40"/>
              <w:jc w:val="left"/>
            </w:pPr>
            <w:r>
              <w:rPr>
                <w:rFonts w:ascii="Cambria" w:hAnsi="Cambria" w:cs="Cambria" w:eastAsia="Cambria"/>
                <w:b/>
                <w:bCs/>
                <w:color w:val="FFFFFF"/>
                <w:sz w:val="18"/>
              </w:rPr>
              <w:t xml:space="preserve">Attività</w:t>
            </w:r>
          </w:p>
        </w:tc>
      </w:tr>
      <w:tr>
        <w:tc>
          <w:tcPr/>
          <w:p>
            <w:pPr>
              <w:pStyle w:val="Compact"/>
              <w:spacing w:after="40" w:before="40"/>
              <w:jc w:val="left"/>
            </w:pPr>
            <w:r>
              <w:rPr>
                <w:rFonts w:ascii="Cambria" w:hAnsi="Cambria" w:cs="Cambria" w:eastAsia="Cambria"/>
                <w:b/>
                <w:bCs/>
                <w:color w:val="1A1A1A"/>
                <w:sz w:val="18"/>
              </w:rPr>
              <w:t xml:space="preserve">Prima dell’avvio (per area)</w:t>
            </w:r>
          </w:p>
        </w:tc>
        <w:tc>
          <w:tcPr/>
          <w:p>
            <w:pPr>
              <w:pStyle w:val="Compact"/>
              <w:spacing w:after="40" w:before="40"/>
              <w:jc w:val="left"/>
            </w:pPr>
            <w:r>
              <w:rPr>
                <w:rFonts w:ascii="Cambria" w:hAnsi="Cambria" w:cs="Cambria" w:eastAsia="Cambria"/>
                <w:color w:val="1A1A1A"/>
                <w:sz w:val="18"/>
              </w:rPr>
              <w:t xml:space="preserve">Costituzione della baseline con i dati disponibili; predisposizione del registro e dei questionari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All’avvio</w:t>
            </w:r>
          </w:p>
        </w:tc>
        <w:tc>
          <w:tcPr>
            <w:shd w:val="clear" w:color="auto" w:fill="F4F1EC"/>
          </w:tcPr>
          <w:p>
            <w:pPr>
              <w:pStyle w:val="Compact"/>
              <w:spacing w:after="40" w:before="40"/>
              <w:jc w:val="left"/>
            </w:pPr>
            <w:r>
              <w:rPr>
                <w:rFonts w:ascii="Cambria" w:hAnsi="Cambria" w:cs="Cambria" w:eastAsia="Cambria"/>
                <w:color w:val="1A1A1A"/>
                <w:sz w:val="18"/>
              </w:rPr>
              <w:t xml:space="preserve">Inizio della registrazione di ogni presa in carico e di ogni seduta, con i punteggi di esito</w:t>
            </w:r>
          </w:p>
        </w:tc>
      </w:tr>
      <w:tr>
        <w:tc>
          <w:tcPr/>
          <w:p>
            <w:pPr>
              <w:pStyle w:val="Compact"/>
              <w:spacing w:after="40" w:before="40"/>
              <w:jc w:val="left"/>
            </w:pPr>
            <w:r>
              <w:rPr>
                <w:rFonts w:ascii="Cambria" w:hAnsi="Cambria" w:cs="Cambria" w:eastAsia="Cambria"/>
                <w:b/>
                <w:bCs/>
                <w:color w:val="1A1A1A"/>
                <w:sz w:val="18"/>
              </w:rPr>
              <w:t xml:space="preserve">In continuo</w:t>
            </w:r>
          </w:p>
        </w:tc>
        <w:tc>
          <w:tcPr/>
          <w:p>
            <w:pPr>
              <w:pStyle w:val="Compact"/>
              <w:spacing w:after="40" w:before="40"/>
              <w:jc w:val="left"/>
            </w:pPr>
            <w:r>
              <w:rPr>
                <w:rFonts w:ascii="Cambria" w:hAnsi="Cambria" w:cs="Cambria" w:eastAsia="Cambria"/>
                <w:color w:val="1A1A1A"/>
                <w:sz w:val="18"/>
              </w:rPr>
              <w:t xml:space="preserve">Alimentazione del registro; trasmissione di indicatori aggregati all’Osservatorio con cadenza mensile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Periodico (semestrale e annuale)</w:t>
            </w:r>
          </w:p>
        </w:tc>
        <w:tc>
          <w:tcPr>
            <w:shd w:val="clear" w:color="auto" w:fill="F4F1EC"/>
          </w:tcPr>
          <w:p>
            <w:pPr>
              <w:pStyle w:val="Compact"/>
              <w:spacing w:after="40" w:before="40"/>
              <w:jc w:val="left"/>
            </w:pPr>
            <w:r>
              <w:rPr>
                <w:rFonts w:ascii="Cambria" w:hAnsi="Cambria" w:cs="Cambria" w:eastAsia="Cambria"/>
                <w:color w:val="1A1A1A"/>
                <w:sz w:val="18"/>
              </w:rPr>
              <w:t xml:space="preserve">Calcolo delle misure di sintesi e aggiornamento del cruscotto regionale</w:t>
            </w:r>
          </w:p>
        </w:tc>
      </w:tr>
    </w:tbl>
    <w:p>
      <w:pPr>
        <w:pStyle w:val="BodyText"/>
      </w:pPr>
      <w:r>
        <w:rPr>
          <w:i/>
          <w:iCs/>
        </w:rPr>
        <w:t xml:space="preserve">Tabella L.2. Il calendario della rilevazione. La baseline da statistiche correnti precede l</w:t>
      </w:r>
      <w:r>
        <w:rPr>
          <w:b/>
          <w:bCs/>
          <w:i/>
          <w:iCs/>
        </w:rPr>
        <w:t xml:space="preserve">’</w:t>
      </w:r>
      <w:r>
        <w:rPr>
          <w:i/>
          <w:iCs/>
        </w:rPr>
        <w:t xml:space="preserve">avvio; la rilevazione di servizio parte con il primo assistito.</w:t>
      </w:r>
    </w:p>
    <w:bookmarkEnd w:id="2474"/>
    <w:bookmarkStart w:id="2479" w:name="l.3-la-valutazione-controfattuale-1"/>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Lo strumento che rende possibile questa stima è, in questo studio, lo stesso disegno del dispiegamento: la sua scansione scaglionata configura un esperimento naturale, idoneo a misurare gli effetti reali del servizio.</w:t>
      </w:r>
      <w:r>
        <w:rPr>
          <w:rStyle w:val="FootnoteReference"/>
        </w:rPr>
        <w:footnoteReference w:id="1144"/>
      </w:r>
      <w:r>
        <w:t xml:space="preserve"> </w:t>
      </w:r>
      <w:r>
        <w:t xml:space="preserve">Il metodo principale è la differenza-nelle-differenze, che confronta la variazione nel tempo dell’esito tra le aree già attivate e quelle non ancora attivate, sotto l’ipotesi di andamento parallelo; a esso si affianca il controllo sintetico, che costruisce un’unità di confronto artificiale come combinazione ponderata di unità non trattate.</w:t>
      </w:r>
      <w:r>
        <w:rPr>
          <w:rStyle w:val="FootnoteReference"/>
        </w:rPr>
        <w:footnoteReference w:id="1145"/>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ossia la generalizzabilità ad altri contesti, va valutata a parte; i disegni a esperimento naturale sono, per gli interventi di salute della popolazione, lo strumento raccomandato dalla letteratura metodologica.</w:t>
      </w:r>
      <w:r>
        <w:rPr>
          <w:rStyle w:val="FootnoteReference"/>
        </w:rPr>
        <w:footnoteReference w:id="1146"/>
      </w:r>
      <w:r>
        <w:t xml:space="preserve"> </w:t>
      </w:r>
      <w:r>
        <w:t xml:space="preserve">La portata di questo metodo, per il presente studio, è dirimente: confrontando, ad esempio, l’andamento degli accessi al pronto soccorso per cause psichiatriche nelle aree che hanno attivato il servizio con quello delle aree che lo attiveranno, si isola l’effetto proprio della riforma e si trasforma la stima dei risparmi da proiezione attesa a misura empiricamente fondata.</w:t>
      </w:r>
      <w:r>
        <w:rPr>
          <w:rStyle w:val="FootnoteReference"/>
        </w:rPr>
        <w:footnoteReference w:id="1147"/>
      </w:r>
      <w:r>
        <w:t xml:space="preserve"> </w:t>
      </w:r>
      <w:r>
        <w:t xml:space="preserve">È questo il passaggio che, a regime, eleva lo studio da proposta argomentata a politica validata, e che chiude il cerchio aperto dal valore dell’informazione della Parte F, sostituendo le stime con misure osservate.</w:t>
      </w:r>
    </w:p>
    <w:bookmarkEnd w:id="2479"/>
    <w:bookmarkStart w:id="2482" w:name="Xd9ba24844f884bbe31462180abcf36672bed1c8"/>
    <w:p>
      <w:pPr>
        <w:pStyle w:val="Heading3"/>
      </w:pPr>
      <w:r>
        <w:t xml:space="preserve">L.4 La verifica ex post della regolamentazione</w:t>
      </w:r>
    </w:p>
    <w:p>
      <w:pPr>
        <w:pStyle w:val="FirstParagraph"/>
      </w:pPr>
      <w:r>
        <w:t xml:space="preserve">Alla valutazione d’impatto, che accerta gli effetti dell’intervento, si affianca la verifica ex post della regolamentazione, che accerta gli effetti della norma. È una valutazione ex post, di norma condotta dopo un biennio, che esamina l’efficacia, l’efficienza, l’utilità e la coerenza della norma, e che chiude il ciclo aperto dall’analisi preventiva della regolamentazione, accertando se la norma abbia prodotto gli effetti che essa si era prefissa.</w:t>
      </w:r>
      <w:r>
        <w:rPr>
          <w:rStyle w:val="FootnoteReference"/>
        </w:rPr>
        <w:footnoteReference w:id="1148"/>
      </w:r>
      <w:r>
        <w:t xml:space="preserve"> </w:t>
      </w:r>
      <w:r>
        <w:t xml:space="preserve">Il rapporto tra l’analisi preventiva e la verifica ex post è di simmetria: la prima stima ciò che la norma dovrebbe produrre, la seconda misura ciò che ha effettivamente prodotto, e insieme costituiscono un ciclo di apprendimento che impedisce alla regolazione di sottrarsi alla verifica dei propri risultati.</w:t>
      </w:r>
    </w:p>
    <w:p>
      <w:pPr>
        <w:pStyle w:val="BodyText"/>
      </w:pPr>
      <w:r>
        <w:t xml:space="preserve">Sul piano regionale, questa funzione è assolta dalla clausola valutativa, lo strumento mediante il quale il legislatore regionale impegna la Giunta a riferire periodicamente al Consiglio sui risultati conseguiti dalla riforma.</w:t>
      </w:r>
      <w:r>
        <w:rPr>
          <w:rStyle w:val="FootnoteReference"/>
        </w:rPr>
        <w:footnoteReference w:id="1149"/>
      </w:r>
      <w:r>
        <w:t xml:space="preserve"> </w:t>
      </w:r>
      <w:r>
        <w:t xml:space="preserve">La clausola valutativa non è una formalità, ma il presidio istituzionale della responsabilità: trasforma la valutazione da esercizio tecnico facoltativo in obbligo di rendiconto verso l’organo rappresentativo, e con ciò distingue una riforma annunciata da una riforma dimostrata, assicurandone la difendibilità nel tempo. È il punto in cui l’intero impianto valutativo dello studio — dagli indicatori alla valutazione controfattuale — trova il suo destinatario istituzionale e la sua sanzione politica, poiché i risultati misurati divengono oggetto di un rendiconto pubblico e periodico.</w:t>
      </w:r>
    </w:p>
    <w:bookmarkEnd w:id="2482"/>
    <w:bookmarkStart w:id="2486" w:name="X04faaaedde456f1e1306dfb0702a997cacd1f74"/>
    <w:p>
      <w:pPr>
        <w:pStyle w:val="Heading3"/>
      </w:pPr>
      <w:r>
        <w:t xml:space="preserve">L.5 Gli indicatori compositi e il cruscotto</w:t>
      </w:r>
    </w:p>
    <w:p>
      <w:pPr>
        <w:pStyle w:val="FirstParagraph"/>
      </w:pPr>
      <w:r>
        <w:t xml:space="preserve">L’ultima funzione del sistema di misurazione è la sintesi: ricondurre la molteplicità degli indicatori a poche misure complesse, leggibili dal decisore. La costruzione di tali indicatori compositi segue il manuale internazionale di riferimento, che la articola in dieci passi — dal quadro teorico alla selezione dei dati, all’imputazione dei dati mancanti, all’analisi multivariata, alla normalizzazione, alla ponderazione, all’aggregazione, all’analisi di sensibilità, al collegamento con misure esterne, fino alla visualizzazione — con una avvertenza che ne governa l’uso corretto: la scelta dei pesi e del metodo di aggregazione è resa esplicita, perché da essa dipende il risultato.</w:t>
      </w:r>
      <w:r>
        <w:rPr>
          <w:rStyle w:val="FootnoteReference"/>
        </w:rPr>
        <w:footnoteReference w:id="1150"/>
      </w:r>
      <w:r>
        <w:t xml:space="preserve"> </w:t>
      </w:r>
      <w:r>
        <w:t xml:space="preserve">La tabella seguente riepiloga i dieci passi.</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Passo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1</w:t>
            </w:r>
          </w:p>
        </w:tc>
        <w:tc>
          <w:tcPr/>
          <w:p>
            <w:pPr>
              <w:pStyle w:val="Compact"/>
              <w:spacing w:after="40" w:before="40"/>
              <w:jc w:val="left"/>
            </w:pPr>
            <w:r>
              <w:rPr>
                <w:rFonts w:ascii="Cambria" w:hAnsi="Cambria" w:cs="Cambria" w:eastAsia="Cambria"/>
                <w:color w:val="1A1A1A"/>
                <w:sz w:val="18"/>
              </w:rPr>
              <w:t xml:space="preserve">Quadro teorico: definire il concetto e le sue componenti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w:t>
            </w:r>
          </w:p>
        </w:tc>
        <w:tc>
          <w:tcPr>
            <w:shd w:val="clear" w:color="auto" w:fill="F4F1EC"/>
          </w:tcPr>
          <w:p>
            <w:pPr>
              <w:pStyle w:val="Compact"/>
              <w:spacing w:after="40" w:before="40"/>
              <w:jc w:val="left"/>
            </w:pPr>
            <w:r>
              <w:rPr>
                <w:rFonts w:ascii="Cambria" w:hAnsi="Cambria" w:cs="Cambria" w:eastAsia="Cambria"/>
                <w:color w:val="1A1A1A"/>
                <w:sz w:val="18"/>
              </w:rPr>
              <w:t xml:space="preserve">Selezione dei dati: scegliere gli indicatori di base</w:t>
            </w:r>
          </w:p>
        </w:tc>
      </w:tr>
      <w:tr>
        <w:tc>
          <w:tcPr/>
          <w:p>
            <w:pPr>
              <w:pStyle w:val="Compact"/>
              <w:spacing w:after="40" w:before="40"/>
              <w:jc w:val="left"/>
            </w:pPr>
            <w:r>
              <w:rPr>
                <w:rFonts w:ascii="Cambria" w:hAnsi="Cambria" w:cs="Cambria" w:eastAsia="Cambria"/>
                <w:b/>
                <w:bCs/>
                <w:color w:val="1A1A1A"/>
                <w:sz w:val="18"/>
              </w:rPr>
              <w:t xml:space="preserve">3</w:t>
            </w:r>
          </w:p>
        </w:tc>
        <w:tc>
          <w:tcPr/>
          <w:p>
            <w:pPr>
              <w:pStyle w:val="Compact"/>
              <w:spacing w:after="40" w:before="40"/>
              <w:jc w:val="left"/>
            </w:pPr>
            <w:r>
              <w:rPr>
                <w:rFonts w:ascii="Cambria" w:hAnsi="Cambria" w:cs="Cambria" w:eastAsia="Cambria"/>
                <w:color w:val="1A1A1A"/>
                <w:sz w:val="18"/>
              </w:rPr>
              <w:t xml:space="preserve">Dati mancanti: imputare in modo trasparente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w:t>
            </w:r>
          </w:p>
        </w:tc>
        <w:tc>
          <w:tcPr>
            <w:shd w:val="clear" w:color="auto" w:fill="F4F1EC"/>
          </w:tcPr>
          <w:p>
            <w:pPr>
              <w:pStyle w:val="Compact"/>
              <w:spacing w:after="40" w:before="40"/>
              <w:jc w:val="left"/>
            </w:pPr>
            <w:r>
              <w:rPr>
                <w:rFonts w:ascii="Cambria" w:hAnsi="Cambria" w:cs="Cambria" w:eastAsia="Cambria"/>
                <w:color w:val="1A1A1A"/>
                <w:sz w:val="18"/>
              </w:rPr>
              <w:t xml:space="preserve">Analisi multivariata: studiare la struttura dei dati</w:t>
            </w:r>
          </w:p>
        </w:tc>
      </w:tr>
      <w:tr>
        <w:tc>
          <w:tcPr/>
          <w:p>
            <w:pPr>
              <w:pStyle w:val="Compact"/>
              <w:spacing w:after="40" w:before="40"/>
              <w:jc w:val="left"/>
            </w:pPr>
            <w:r>
              <w:rPr>
                <w:rFonts w:ascii="Cambria" w:hAnsi="Cambria" w:cs="Cambria" w:eastAsia="Cambria"/>
                <w:b/>
                <w:bCs/>
                <w:color w:val="1A1A1A"/>
                <w:sz w:val="18"/>
              </w:rPr>
              <w:t xml:space="preserve">5</w:t>
            </w:r>
          </w:p>
        </w:tc>
        <w:tc>
          <w:tcPr/>
          <w:p>
            <w:pPr>
              <w:pStyle w:val="Compact"/>
              <w:spacing w:after="40" w:before="40"/>
              <w:jc w:val="left"/>
            </w:pPr>
            <w:r>
              <w:rPr>
                <w:rFonts w:ascii="Cambria" w:hAnsi="Cambria" w:cs="Cambria" w:eastAsia="Cambria"/>
                <w:color w:val="1A1A1A"/>
                <w:sz w:val="18"/>
              </w:rPr>
              <w:t xml:space="preserve">Normalizzazione: rendere comparabili scale diverse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6</w:t>
            </w:r>
          </w:p>
        </w:tc>
        <w:tc>
          <w:tcPr>
            <w:shd w:val="clear" w:color="auto" w:fill="F4F1EC"/>
          </w:tcPr>
          <w:p>
            <w:pPr>
              <w:pStyle w:val="Compact"/>
              <w:spacing w:after="40" w:before="40"/>
              <w:jc w:val="left"/>
            </w:pPr>
            <w:r>
              <w:rPr>
                <w:rFonts w:ascii="Cambria" w:hAnsi="Cambria" w:cs="Cambria" w:eastAsia="Cambria"/>
                <w:color w:val="1A1A1A"/>
                <w:sz w:val="18"/>
              </w:rPr>
              <w:t xml:space="preserve">Ponderazione: attribuire i pesi alle componenti</w:t>
            </w:r>
          </w:p>
        </w:tc>
      </w:tr>
      <w:tr>
        <w:tc>
          <w:tcPr/>
          <w:p>
            <w:pPr>
              <w:pStyle w:val="Compact"/>
              <w:spacing w:after="40" w:before="40"/>
              <w:jc w:val="left"/>
            </w:pPr>
            <w:r>
              <w:rPr>
                <w:rFonts w:ascii="Cambria" w:hAnsi="Cambria" w:cs="Cambria" w:eastAsia="Cambria"/>
                <w:b/>
                <w:bCs/>
                <w:color w:val="1A1A1A"/>
                <w:sz w:val="18"/>
              </w:rPr>
              <w:t xml:space="preserve">7</w:t>
            </w:r>
          </w:p>
        </w:tc>
        <w:tc>
          <w:tcPr/>
          <w:p>
            <w:pPr>
              <w:pStyle w:val="Compact"/>
              <w:spacing w:after="40" w:before="40"/>
              <w:jc w:val="left"/>
            </w:pPr>
            <w:r>
              <w:rPr>
                <w:rFonts w:ascii="Cambria" w:hAnsi="Cambria" w:cs="Cambria" w:eastAsia="Cambria"/>
                <w:color w:val="1A1A1A"/>
                <w:sz w:val="18"/>
              </w:rPr>
              <w:t xml:space="preserve">Aggregazione: combinare gli indicatori in un indice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8</w:t>
            </w:r>
          </w:p>
        </w:tc>
        <w:tc>
          <w:tcPr>
            <w:shd w:val="clear" w:color="auto" w:fill="F4F1EC"/>
          </w:tcPr>
          <w:p>
            <w:pPr>
              <w:pStyle w:val="Compact"/>
              <w:spacing w:after="40" w:before="40"/>
              <w:jc w:val="left"/>
            </w:pPr>
            <w:r>
              <w:rPr>
                <w:rFonts w:ascii="Cambria" w:hAnsi="Cambria" w:cs="Cambria" w:eastAsia="Cambria"/>
                <w:color w:val="1A1A1A"/>
                <w:sz w:val="18"/>
              </w:rPr>
              <w:t xml:space="preserve">Analisi di sensibilità: verificare la robustezza alle scelte</w:t>
            </w:r>
          </w:p>
        </w:tc>
      </w:tr>
      <w:tr>
        <w:tc>
          <w:tcPr/>
          <w:p>
            <w:pPr>
              <w:pStyle w:val="Compact"/>
              <w:spacing w:after="40" w:before="40"/>
              <w:jc w:val="left"/>
            </w:pPr>
            <w:r>
              <w:rPr>
                <w:rFonts w:ascii="Cambria" w:hAnsi="Cambria" w:cs="Cambria" w:eastAsia="Cambria"/>
                <w:b/>
                <w:bCs/>
                <w:color w:val="1A1A1A"/>
                <w:sz w:val="18"/>
              </w:rPr>
              <w:t xml:space="preserve">9</w:t>
            </w:r>
          </w:p>
        </w:tc>
        <w:tc>
          <w:tcPr/>
          <w:p>
            <w:pPr>
              <w:pStyle w:val="Compact"/>
              <w:spacing w:after="40" w:before="40"/>
              <w:jc w:val="left"/>
            </w:pPr>
            <w:r>
              <w:rPr>
                <w:rFonts w:ascii="Cambria" w:hAnsi="Cambria" w:cs="Cambria" w:eastAsia="Cambria"/>
                <w:color w:val="1A1A1A"/>
                <w:sz w:val="18"/>
              </w:rPr>
              <w:t xml:space="preserve">Collegamento: validare rispetto a misure esterne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Visualizzazione: comunicare il risultato in modo leggibile</w:t>
            </w:r>
          </w:p>
        </w:tc>
      </w:tr>
    </w:tbl>
    <w:p>
      <w:pPr>
        <w:pStyle w:val="BodyText"/>
      </w:pPr>
      <w:r>
        <w:rPr>
          <w:i/>
          <w:iCs/>
        </w:rPr>
        <w:t xml:space="preserve">Tabella L.3. I dieci passi per la costruzione degli indicatori compositi (OCSE-JRC).</w:t>
      </w:r>
    </w:p>
    <w:p>
      <w:pPr>
        <w:pStyle w:val="BodyText"/>
      </w:pPr>
      <w:r>
        <w:t xml:space="preserve">La sintesi si ancora a una cornice nazionale riconosciuta. Il sistema del Benessere Equo e Sostenibile dell’istituto nazionale di statistica articola il benessere in dodici domini con indici compositi, e la legge di riforma del bilancio ne ha allegati dodici indicatori ai documenti di programmazione economica, facendone la cornice nazionale di sintesi multidimensionale a cui il cruscotto regionale si ancora.</w:t>
      </w:r>
      <w:r>
        <w:rPr>
          <w:rStyle w:val="FootnoteReference"/>
        </w:rPr>
        <w:footnoteReference w:id="1151"/>
      </w:r>
      <w:r>
        <w:t xml:space="preserve"> </w:t>
      </w:r>
      <w:r>
        <w:t xml:space="preserve">Un sistema a più strati, tuttavia, richiede regole che ne impediscano l’uso incoerente, e la principale è il divieto di doppia contabilizzazione: nel medesimo calcolo, una grandezza non può essere conteggiata più volte — come variabile semplice, come proprie ramificazioni e come componente di una misura complessa che già la incorpora; le variabili ramificate non si sommano tra loro né con la variabile-genitore, e le misure complesse sostituiscono, non si aggiungono a, le componenti che sintetizzano.</w:t>
      </w:r>
      <w:r>
        <w:rPr>
          <w:rStyle w:val="FootnoteReference"/>
        </w:rPr>
        <w:footnoteReference w:id="1152"/>
      </w:r>
      <w:r>
        <w:t xml:space="preserve"> </w:t>
      </w:r>
      <w:r>
        <w:t xml:space="preserve">È la regola che rende affidabili i totali, e che protegge la sintesi dall’errore, frequente nelle valutazioni complesse, di gonfiare il valore contando più volte il medesimo effetto — lo stesso rigore che, nella Parte E, ha imposto di tenere distinti i risparmi diretti dalle ricadute sociali. Tutte queste misure confluiscono nel cruscotto dell’Osservatorio, che ne restituisce la lettura sintetica e periodica. Definito il sistema di misurazione, l’ultima parte dello studio ne organizza la sintesi valutativa e le raccomandazioni: è l’oggetto della Parte M.</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Griglia di valutazione OCSE-DAC, analisi multi-criterio, sintesi del valore e raccomandazioni, limiti e agenda di ricerca</w:t>
      </w:r>
    </w:p>
    <w:p>
      <w:pPr>
        <w:pStyle w:val="BodyText"/>
      </w:pPr>
      <w:r>
        <w:t xml:space="preserve">Criteri OCSE-DAC · caso strategico · analisi multi-criterio · cruscotto decisionale</w:t>
      </w:r>
    </w:p>
    <w:bookmarkEnd w:id="2486"/>
    <w:bookmarkEnd w:id="2487"/>
    <w:bookmarkStart w:id="2523" w:name="Xe6b1b1a5c12773571974e1618b6e5f134c98e6f"/>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1153"/>
      </w:r>
      <w:r>
        <w:rPr>
          <w:rStyle w:val="FootnoteReference"/>
        </w:rPr>
        <w:footnoteReference w:id="1154"/>
      </w:r>
      <w:r>
        <w:rPr>
          <w:rStyle w:val="FootnoteReference"/>
        </w:rPr>
        <w:footnoteReference w:id="1155"/>
      </w:r>
      <w:r>
        <w:rPr>
          <w:rStyle w:val="FootnoteReference"/>
        </w:rPr>
        <w:footnoteReference w:id="1156"/>
      </w:r>
      <w:r>
        <w:rPr>
          <w:rStyle w:val="FootnoteReference"/>
        </w:rPr>
        <w:footnoteReference w:id="1157"/>
      </w:r>
      <w:r>
        <w:rPr>
          <w:rStyle w:val="FootnoteReference"/>
        </w:rPr>
        <w:footnoteReference w:id="1158"/>
      </w:r>
      <w:r>
        <w:rPr>
          <w:rStyle w:val="FootnoteReference"/>
        </w:rPr>
        <w:footnoteReference w:id="1159"/>
      </w:r>
      <w:r>
        <w:rPr>
          <w:rStyle w:val="FootnoteReference"/>
        </w:rPr>
        <w:footnoteReference w:id="1160"/>
      </w:r>
      <w:r>
        <w:rPr>
          <w:rStyle w:val="FootnoteReference"/>
        </w:rPr>
        <w:footnoteReference w:id="1161"/>
      </w:r>
      <w:r>
        <w:rPr>
          <w:rStyle w:val="FootnoteReference"/>
        </w:rPr>
        <w:footnoteReference w:id="1162"/>
      </w:r>
      <w:r>
        <w:rPr>
          <w:rStyle w:val="FootnoteReference"/>
        </w:rPr>
        <w:footnoteReference w:id="1163"/>
      </w:r>
      <w:r>
        <w:rPr>
          <w:rStyle w:val="FootnoteReference"/>
        </w:rPr>
        <w:footnoteReference w:id="1164"/>
      </w:r>
      <w:r>
        <w:rPr>
          <w:rStyle w:val="FootnoteReference"/>
        </w:rPr>
        <w:footnoteReference w:id="1165"/>
      </w:r>
      <w:r>
        <w:rPr>
          <w:rStyle w:val="FootnoteReference"/>
        </w:rPr>
        <w:footnoteReference w:id="1166"/>
      </w:r>
      <w:r>
        <w:rPr>
          <w:rStyle w:val="FootnoteReference"/>
        </w:rPr>
        <w:footnoteReference w:id="1167"/>
      </w:r>
      <w:r>
        <w:rPr>
          <w:rStyle w:val="FootnoteReference"/>
        </w:rPr>
        <w:footnoteReference w:id="1168"/>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2511" w:name="m.1-la-griglia-di-valutazione-ocse-dac-1"/>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 Essi operano in due momenti dello studio: ex ante orientano la valutazione complessiva, poiché ciascun criterio diventa una domanda a cui le parti analitiche forniscono la risposta; ex post strutturano la verifica dei risultati, già trattata nella Parte L.</w:t>
      </w:r>
      <w:r>
        <w:rPr>
          <w:rStyle w:val="FootnoteReference"/>
        </w:rPr>
        <w:footnoteReference w:id="1169"/>
      </w:r>
      <w:r>
        <w:t xml:space="preserve"> </w:t>
      </w:r>
      <w:r>
        <w:t xml:space="preserve">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su tutti e sei i criteri. L’intervento è rilevante, perché risponde a un bisogno reale e di grande dimensione e all’obbligo di garantire i livelli essenziali;</w:t>
      </w:r>
      <w:r>
        <w:rPr>
          <w:rStyle w:val="FootnoteReference"/>
        </w:rPr>
        <w:footnoteReference w:id="1170"/>
      </w:r>
      <w:r>
        <w:t xml:space="preserve"> </w:t>
      </w:r>
      <w:r>
        <w:t xml:space="preserve">è coerente, perché compatibile con gli standard dell’assistenza territoriale, con il PNRR e con la legge regionale, ed è costituzionalmente difendibile;</w:t>
      </w:r>
      <w:r>
        <w:rPr>
          <w:rStyle w:val="FootnoteReference"/>
        </w:rPr>
        <w:footnoteReference w:id="1171"/>
      </w:r>
      <w:r>
        <w:t xml:space="preserve"> </w:t>
      </w:r>
      <w:r>
        <w:t xml:space="preserve">è efficace, perché l’evidenza internazionale ne documenta il raggiungimento degli obiettivi clinici;</w:t>
      </w:r>
      <w:r>
        <w:rPr>
          <w:rStyle w:val="FootnoteReference"/>
        </w:rPr>
        <w:footnoteReference w:id="1172"/>
      </w:r>
      <w:r>
        <w:t xml:space="preserve"> </w:t>
      </w:r>
      <w:r>
        <w:t xml:space="preserve">è efficiente in termini di costo-utilità, pur con un saldo diretto prossimo al pareggio a fronte di un costo modesto;</w:t>
      </w:r>
      <w:r>
        <w:rPr>
          <w:rStyle w:val="FootnoteReference"/>
        </w:rPr>
        <w:footnoteReference w:id="1173"/>
      </w:r>
      <w:r>
        <w:t xml:space="preserve"> </w:t>
      </w:r>
      <w:r>
        <w:t xml:space="preserve">ha un impatto distributivo favorevole e un ritorno complessivo di 3,6–5 a uno;</w:t>
      </w:r>
      <w:r>
        <w:rPr>
          <w:rStyle w:val="FootnoteReference"/>
        </w:rPr>
        <w:footnoteReference w:id="1174"/>
      </w:r>
      <w:r>
        <w:t xml:space="preserve"> </w:t>
      </w:r>
      <w:r>
        <w:t xml:space="preserve">ed è sostenibile, sul piano finanziario e organizzativo.</w:t>
      </w:r>
      <w:r>
        <w:rPr>
          <w:rStyle w:val="FootnoteReference"/>
        </w:rPr>
        <w:footnoteReference w:id="1175"/>
      </w:r>
      <w:r>
        <w:t xml:space="preserve"> </w:t>
      </w:r>
      <w:r>
        <w:t xml:space="preserve">La tabella seguente riepiloga il giudizio, criterio per criterio.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Domanda valutativa</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 dallo studio</w:t>
            </w:r>
          </w:p>
        </w:tc>
      </w:tr>
      <w:tr>
        <w:tc>
          <w:tcPr/>
          <w:p>
            <w:pPr>
              <w:pStyle w:val="Compact"/>
              <w:spacing w:after="40" w:before="40"/>
              <w:jc w:val="left"/>
            </w:pPr>
            <w:r>
              <w:rPr>
                <w:rFonts w:ascii="Cambria" w:hAnsi="Cambria" w:cs="Cambria" w:eastAsia="Cambria"/>
                <w:b/>
                <w:bCs/>
                <w:color w:val="1A1A1A"/>
                <w:sz w:val="18"/>
              </w:rPr>
              <w:t xml:space="preserve">Rilevanza</w:t>
            </w:r>
          </w:p>
        </w:tc>
        <w:tc>
          <w:tcPr/>
          <w:p>
            <w:pPr>
              <w:pStyle w:val="Compact"/>
              <w:spacing w:after="40" w:before="40"/>
              <w:jc w:val="left"/>
            </w:pPr>
            <w:r>
              <w:rPr>
                <w:rFonts w:ascii="Cambria" w:hAnsi="Cambria" w:cs="Cambria" w:eastAsia="Cambria"/>
                <w:color w:val="1A1A1A"/>
                <w:sz w:val="18"/>
              </w:rPr>
              <w:t xml:space="preserve">Risponde al bisogno reale?</w:t>
            </w:r>
          </w:p>
        </w:tc>
        <w:tc>
          <w:tcPr/>
          <w:p>
            <w:pPr>
              <w:pStyle w:val="Compact"/>
              <w:spacing w:after="40" w:before="40"/>
              <w:jc w:val="left"/>
            </w:pPr>
            <w:r>
              <w:rPr>
                <w:rFonts w:ascii="Cambria" w:hAnsi="Cambria" w:cs="Cambria" w:eastAsia="Cambria"/>
                <w:color w:val="1A1A1A"/>
                <w:sz w:val="18"/>
              </w:rPr>
              <w:t xml:space="preserve">Sì: ~780.000 con disagio inevaso; obbligo dei livelli essenziali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w:t>
            </w:r>
          </w:p>
        </w:tc>
        <w:tc>
          <w:tcPr>
            <w:shd w:val="clear" w:color="auto" w:fill="F4F1EC"/>
          </w:tcPr>
          <w:p>
            <w:pPr>
              <w:pStyle w:val="Compact"/>
              <w:spacing w:after="40" w:before="40"/>
              <w:jc w:val="left"/>
            </w:pPr>
            <w:r>
              <w:rPr>
                <w:rFonts w:ascii="Cambria" w:hAnsi="Cambria" w:cs="Cambria" w:eastAsia="Cambria"/>
                <w:color w:val="1A1A1A"/>
                <w:sz w:val="18"/>
              </w:rPr>
              <w:t xml:space="preserve">È compatibile con le altre politiche?</w:t>
            </w:r>
          </w:p>
        </w:tc>
        <w:tc>
          <w:tcPr>
            <w:shd w:val="clear" w:color="auto" w:fill="F4F1EC"/>
          </w:tcPr>
          <w:p>
            <w:pPr>
              <w:pStyle w:val="Compact"/>
              <w:spacing w:after="40" w:before="40"/>
              <w:jc w:val="left"/>
            </w:pPr>
            <w:r>
              <w:rPr>
                <w:rFonts w:ascii="Cambria" w:hAnsi="Cambria" w:cs="Cambria" w:eastAsia="Cambria"/>
                <w:color w:val="1A1A1A"/>
                <w:sz w:val="18"/>
              </w:rPr>
              <w:t xml:space="preserve">Sì: DM 77, PNRR, L.R. 11/2023; difendibile in Costituzione</w:t>
            </w:r>
          </w:p>
        </w:tc>
      </w:tr>
      <w:tr>
        <w:tc>
          <w:tcPr/>
          <w:p>
            <w:pPr>
              <w:pStyle w:val="Compact"/>
              <w:spacing w:after="40" w:before="40"/>
              <w:jc w:val="left"/>
            </w:pPr>
            <w:r>
              <w:rPr>
                <w:rFonts w:ascii="Cambria" w:hAnsi="Cambria" w:cs="Cambria" w:eastAsia="Cambria"/>
                <w:b/>
                <w:bCs/>
                <w:color w:val="1A1A1A"/>
                <w:sz w:val="18"/>
              </w:rPr>
              <w:t xml:space="preserve">Efficacia</w:t>
            </w:r>
          </w:p>
        </w:tc>
        <w:tc>
          <w:tcPr/>
          <w:p>
            <w:pPr>
              <w:pStyle w:val="Compact"/>
              <w:spacing w:after="40" w:before="40"/>
              <w:jc w:val="left"/>
            </w:pPr>
            <w:r>
              <w:rPr>
                <w:rFonts w:ascii="Cambria" w:hAnsi="Cambria" w:cs="Cambria" w:eastAsia="Cambria"/>
                <w:color w:val="1A1A1A"/>
                <w:sz w:val="18"/>
              </w:rPr>
              <w:t xml:space="preserve">Raggiunge gli obiettivi?</w:t>
            </w:r>
          </w:p>
        </w:tc>
        <w:tc>
          <w:tcPr/>
          <w:p>
            <w:pPr>
              <w:pStyle w:val="Compact"/>
              <w:spacing w:after="40" w:before="40"/>
              <w:jc w:val="left"/>
            </w:pPr>
            <w:r>
              <w:rPr>
                <w:rFonts w:ascii="Cambria" w:hAnsi="Cambria" w:cs="Cambria" w:eastAsia="Cambria"/>
                <w:color w:val="1A1A1A"/>
                <w:sz w:val="18"/>
              </w:rPr>
              <w:t xml:space="preserve">Sì: evidenza internazionale (recupero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Efficienza</w:t>
            </w:r>
          </w:p>
        </w:tc>
        <w:tc>
          <w:tcPr>
            <w:shd w:val="clear" w:color="auto" w:fill="F4F1EC"/>
          </w:tcPr>
          <w:p>
            <w:pPr>
              <w:pStyle w:val="Compact"/>
              <w:spacing w:after="40" w:before="40"/>
              <w:jc w:val="left"/>
            </w:pPr>
            <w:r>
              <w:rPr>
                <w:rFonts w:ascii="Cambria" w:hAnsi="Cambria" w:cs="Cambria" w:eastAsia="Cambria"/>
                <w:color w:val="1A1A1A"/>
                <w:sz w:val="18"/>
              </w:rPr>
              <w:t xml:space="preserve">Impiega le risorse in modo proporzionato?</w:t>
            </w:r>
          </w:p>
        </w:tc>
        <w:tc>
          <w:tcPr>
            <w:shd w:val="clear" w:color="auto" w:fill="F4F1EC"/>
          </w:tcPr>
          <w:p>
            <w:pPr>
              <w:pStyle w:val="Compact"/>
              <w:spacing w:after="40" w:before="40"/>
              <w:jc w:val="left"/>
            </w:pPr>
            <w:r>
              <w:rPr>
                <w:rFonts w:ascii="Cambria" w:hAnsi="Cambria" w:cs="Cambria" w:eastAsia="Cambria"/>
                <w:color w:val="1A1A1A"/>
                <w:sz w:val="18"/>
              </w:rPr>
              <w:t xml:space="preserve">Sì in costo-utilità; saldo diretto ~pareggio a costo modesto</w:t>
            </w:r>
          </w:p>
        </w:tc>
      </w:tr>
      <w:tr>
        <w:tc>
          <w:tcPr/>
          <w:p>
            <w:pPr>
              <w:pStyle w:val="Compact"/>
              <w:spacing w:after="40" w:before="40"/>
              <w:jc w:val="left"/>
            </w:pPr>
            <w:r>
              <w:rPr>
                <w:rFonts w:ascii="Cambria" w:hAnsi="Cambria" w:cs="Cambria" w:eastAsia="Cambria"/>
                <w:b/>
                <w:bCs/>
                <w:color w:val="1A1A1A"/>
                <w:sz w:val="18"/>
              </w:rPr>
              <w:t xml:space="preserve">Impatto</w:t>
            </w:r>
          </w:p>
        </w:tc>
        <w:tc>
          <w:tcPr/>
          <w:p>
            <w:pPr>
              <w:pStyle w:val="Compact"/>
              <w:spacing w:after="40" w:before="40"/>
              <w:jc w:val="left"/>
            </w:pPr>
            <w:r>
              <w:rPr>
                <w:rFonts w:ascii="Cambria" w:hAnsi="Cambria" w:cs="Cambria" w:eastAsia="Cambria"/>
                <w:color w:val="1A1A1A"/>
                <w:sz w:val="18"/>
              </w:rPr>
              <w:t xml:space="preserve">Produce effetti più ampi?</w:t>
            </w:r>
          </w:p>
        </w:tc>
        <w:tc>
          <w:tcPr/>
          <w:p>
            <w:pPr>
              <w:pStyle w:val="Compact"/>
              <w:spacing w:after="40" w:before="40"/>
              <w:jc w:val="left"/>
            </w:pPr>
            <w:r>
              <w:rPr>
                <w:rFonts w:ascii="Cambria" w:hAnsi="Cambria" w:cs="Cambria" w:eastAsia="Cambria"/>
                <w:color w:val="1A1A1A"/>
                <w:sz w:val="18"/>
              </w:rPr>
              <w:t xml:space="preserve">Sì: riduce il gradiente sociale; ritorno complessivo 3,6–5:1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Sostenibilità</w:t>
            </w:r>
          </w:p>
        </w:tc>
        <w:tc>
          <w:tcPr>
            <w:shd w:val="clear" w:color="auto" w:fill="F4F1EC"/>
          </w:tcPr>
          <w:p>
            <w:pPr>
              <w:pStyle w:val="Compact"/>
              <w:spacing w:after="40" w:before="40"/>
              <w:jc w:val="left"/>
            </w:pPr>
            <w:r>
              <w:rPr>
                <w:rFonts w:ascii="Cambria" w:hAnsi="Cambria" w:cs="Cambria" w:eastAsia="Cambria"/>
                <w:color w:val="1A1A1A"/>
                <w:sz w:val="18"/>
              </w:rPr>
              <w:t xml:space="preserve">I benefici e il servizio durano?</w:t>
            </w:r>
          </w:p>
        </w:tc>
        <w:tc>
          <w:tcPr>
            <w:shd w:val="clear" w:color="auto" w:fill="F4F1EC"/>
          </w:tcPr>
          <w:p>
            <w:pPr>
              <w:pStyle w:val="Compact"/>
              <w:spacing w:after="40" w:before="40"/>
              <w:jc w:val="left"/>
            </w:pPr>
            <w:r>
              <w:rPr>
                <w:rFonts w:ascii="Cambria" w:hAnsi="Cambria" w:cs="Cambria" w:eastAsia="Cambria"/>
                <w:color w:val="1A1A1A"/>
                <w:sz w:val="18"/>
              </w:rPr>
              <w:t xml:space="preserve">Sì: costo modesto, coperture, pareggio anno 3–5</w:t>
            </w:r>
          </w:p>
        </w:tc>
      </w:tr>
    </w:tbl>
    <w:p>
      <w:pPr>
        <w:pStyle w:val="BodyText"/>
      </w:pPr>
      <w:r>
        <w:rPr>
          <w:i/>
          <w:iCs/>
        </w:rPr>
        <w:t xml:space="preserve">Tabella M.1. La griglia di giudizio OCSE-DAC applicata allo studio, criterio per criterio.</w:t>
      </w:r>
    </w:p>
    <w:bookmarkEnd w:id="2511"/>
    <w:bookmarkStart w:id="2514" w:name="m.2-lanalisi-multi-criterio-1"/>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1176"/>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di 83 su 100 contro 39,25 dell’opzione zero, e prevale su tutti i criteri a eccezione della sola fattibilità immediata, nella quale l’opzione zero — che non richiede alcuna attuazione — è ovviamente superiore, ma il cui svantaggio è gestito attraverso il dispiegamento graduale.</w:t>
      </w:r>
      <w:r>
        <w:rPr>
          <w:rStyle w:val="FootnoteReference"/>
        </w:rPr>
        <w:footnoteReference w:id="1177"/>
      </w:r>
      <w:r>
        <w:t xml:space="preserve"> </w:t>
      </w:r>
      <w:r>
        <w:t xml:space="preserve">L’esito è stabile rispetto ai pesi adottati, ossia non dipende in modo critico dalla particolare ponderazione scelta: anche modificando i pesi entro intervalli ragionevoli, la preferenza per l’opzione di intervento si conferma. La tabella seguente riporta la matrice delle prestazioni.</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w:t>
            </w:r>
          </w:p>
        </w:tc>
        <w:tc>
          <w:tcPr>
            <w:shd w:val="clear" w:color="auto" w:fill="16264B"/>
          </w:tcPr>
          <w:p>
            <w:pPr>
              <w:pStyle w:val="Compact"/>
              <w:spacing w:after="40" w:before="40"/>
              <w:jc w:val="left"/>
            </w:pPr>
            <w:r>
              <w:rPr>
                <w:rFonts w:ascii="Cambria" w:hAnsi="Cambria" w:cs="Cambria" w:eastAsia="Cambria"/>
                <w:b/>
                <w:bCs/>
                <w:color w:val="FFFFFF"/>
                <w:sz w:val="18"/>
              </w:rPr>
              <w:t xml:space="preserve">Opz. zero</w:t>
            </w:r>
          </w:p>
        </w:tc>
        <w:tc>
          <w:tcPr>
            <w:shd w:val="clear" w:color="auto" w:fill="16264B"/>
          </w:tcPr>
          <w:p>
            <w:pPr>
              <w:pStyle w:val="Compact"/>
              <w:spacing w:after="40" w:before="40"/>
              <w:jc w:val="left"/>
            </w:pPr>
            <w:r>
              <w:rPr>
                <w:rFonts w:ascii="Cambria" w:hAnsi="Cambria" w:cs="Cambria" w:eastAsia="Cambria"/>
                <w:b/>
                <w:bCs/>
                <w:color w:val="FFFFFF"/>
                <w:sz w:val="18"/>
              </w:rPr>
              <w:t xml:space="preserve">Δ pond.</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30</w:t>
            </w:r>
          </w:p>
        </w:tc>
        <w:tc>
          <w:tcPr/>
          <w:p>
            <w:pPr>
              <w:pStyle w:val="Compact"/>
              <w:spacing w:after="40" w:before="40"/>
              <w:jc w:val="left"/>
            </w:pPr>
            <w:r>
              <w:rPr>
                <w:rFonts w:ascii="Cambria" w:hAnsi="Cambria" w:cs="Cambria" w:eastAsia="Cambria"/>
                <w:color w:val="1A1A1A"/>
                <w:sz w:val="18"/>
              </w:rPr>
              <w:t xml:space="preserve">+7,5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90</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+13,0</w:t>
            </w:r>
          </w:p>
        </w:tc>
      </w:tr>
      <w:tr>
        <w:tc>
          <w:tcPr/>
          <w:p>
            <w:pPr>
              <w:pStyle w:val="Compact"/>
              <w:spacing w:after="40" w:before="40"/>
              <w:jc w:val="left"/>
            </w:pPr>
            <w:r>
              <w:rPr>
                <w:rFonts w:ascii="Cambria" w:hAnsi="Cambria" w:cs="Cambria" w:eastAsia="Cambria"/>
                <w:b/>
                <w:bCs/>
                <w:color w:val="1A1A1A"/>
                <w:sz w:val="18"/>
              </w:rPr>
              <w:t xml:space="preserve">Impatto di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50</w:t>
            </w:r>
          </w:p>
        </w:tc>
        <w:tc>
          <w:tcPr/>
          <w:p>
            <w:pPr>
              <w:pStyle w:val="Compact"/>
              <w:spacing w:after="40" w:before="40"/>
              <w:jc w:val="left"/>
            </w:pPr>
            <w:r>
              <w:rPr>
                <w:rFonts w:ascii="Cambria" w:hAnsi="Cambria" w:cs="Cambria" w:eastAsia="Cambria"/>
                <w:color w:val="1A1A1A"/>
                <w:sz w:val="18"/>
              </w:rPr>
              <w:t xml:space="preserve">+4,5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 e accesso (Mezzogiorno)</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90</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+10,5</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85</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+6,5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 e implementabilità</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70</w:t>
            </w:r>
          </w:p>
        </w:tc>
        <w:tc>
          <w:tcPr>
            <w:shd w:val="clear" w:color="auto" w:fill="F4F1EC"/>
          </w:tcPr>
          <w:p>
            <w:pPr>
              <w:pStyle w:val="Compact"/>
              <w:spacing w:after="40" w:before="40"/>
              <w:jc w:val="left"/>
            </w:pPr>
            <w:r>
              <w:rPr>
                <w:rFonts w:ascii="Cambria" w:hAnsi="Cambria" w:cs="Cambria" w:eastAsia="Cambria"/>
                <w:color w:val="1A1A1A"/>
                <w:sz w:val="18"/>
              </w:rPr>
              <w:t xml:space="preserve">100</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r>
      <w:tr>
        <w:tc>
          <w:tcPr/>
          <w:p>
            <w:pPr>
              <w:pStyle w:val="Compact"/>
              <w:spacing w:after="40" w:before="40"/>
              <w:jc w:val="left"/>
            </w:pPr>
            <w:r>
              <w:rPr>
                <w:rFonts w:ascii="Cambria" w:hAnsi="Cambria" w:cs="Cambria" w:eastAsia="Cambria"/>
                <w:b/>
                <w:bCs/>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75</w:t>
            </w:r>
          </w:p>
        </w:tc>
        <w:tc>
          <w:tcPr/>
          <w:p>
            <w:pPr>
              <w:pStyle w:val="Compact"/>
              <w:spacing w:after="40" w:before="40"/>
              <w:jc w:val="left"/>
            </w:pPr>
            <w:r>
              <w:rPr>
                <w:rFonts w:ascii="Cambria" w:hAnsi="Cambria" w:cs="Cambria" w:eastAsia="Cambria"/>
                <w:color w:val="1A1A1A"/>
                <w:sz w:val="18"/>
              </w:rPr>
              <w:t xml:space="preserve">60</w:t>
            </w:r>
          </w:p>
        </w:tc>
        <w:tc>
          <w:tcPr/>
          <w:p>
            <w:pPr>
              <w:pStyle w:val="Compact"/>
              <w:spacing w:after="40" w:before="40"/>
              <w:jc w:val="left"/>
            </w:pPr>
            <w:r>
              <w:rPr>
                <w:rFonts w:ascii="Cambria" w:hAnsi="Cambria" w:cs="Cambria" w:eastAsia="Cambria"/>
                <w:color w:val="1A1A1A"/>
                <w:sz w:val="18"/>
              </w:rPr>
              <w:t xml:space="preserve">+1,5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 (DM 77, PNRR)</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90</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+3,25</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83,0</w:t>
            </w:r>
          </w:p>
        </w:tc>
        <w:tc>
          <w:tcPr/>
          <w:p>
            <w:pPr>
              <w:pStyle w:val="Compact"/>
              <w:spacing w:after="40" w:before="40"/>
              <w:jc w:val="left"/>
            </w:pPr>
            <w:r>
              <w:rPr>
                <w:rFonts w:ascii="Cambria" w:hAnsi="Cambria" w:cs="Cambria" w:eastAsia="Cambria"/>
                <w:color w:val="1A1A1A"/>
                <w:sz w:val="18"/>
              </w:rPr>
              <w:t xml:space="preserve">39,25</w:t>
            </w:r>
          </w:p>
        </w:tc>
        <w:tc>
          <w:tcPr/>
          <w:p>
            <w:pPr>
              <w:pStyle w:val="Compact"/>
              <w:spacing w:after="40" w:before="40"/>
              <w:jc w:val="left"/>
            </w:pPr>
            <w:r>
              <w:rPr>
                <w:rFonts w:ascii="Cambria" w:hAnsi="Cambria" w:cs="Cambria" w:eastAsia="Cambria"/>
                <w:color w:val="1A1A1A"/>
                <w:sz w:val="18"/>
              </w:rPr>
              <w:t xml:space="preserve">+43,75</w:t>
            </w:r>
          </w:p>
        </w:tc>
      </w:tr>
    </w:tbl>
    <w:p>
      <w:pPr>
        <w:pStyle w:val="BodyText"/>
      </w:pPr>
      <w:r>
        <w:rPr>
          <w:i/>
          <w:iCs/>
        </w:rPr>
        <w:t xml:space="preserve">Tabella M.2. Analisi multi-criterio: confronto tra l</w:t>
      </w:r>
      <w:r>
        <w:rPr>
          <w:b/>
          <w:bCs/>
          <w:i/>
          <w:iCs/>
        </w:rPr>
        <w:t xml:space="preserve">‘</w:t>
      </w:r>
      <w:r>
        <w:rPr>
          <w:b/>
          <w:bCs/>
          <w:i/>
          <w:iCs/>
        </w:rPr>
        <w:t xml:space="preserve">******opzione di intervento e l******</w:t>
      </w:r>
      <w:r>
        <w:rPr>
          <w:b/>
          <w:bCs/>
          <w:i/>
          <w:iCs/>
        </w:rPr>
        <w:t xml:space="preserve">’</w:t>
      </w:r>
      <w:r>
        <w:rPr>
          <w:i/>
          <w:iCs/>
        </w:rPr>
        <w:t xml:space="preserve">opzione zero su otto criteri pesati.</w:t>
      </w:r>
    </w:p>
    <w:bookmarkEnd w:id="2514"/>
    <w:bookmarkStart w:id="2518" w:name="Xc0e914d5285e9d81cfdc4b585f18d677993a99d"/>
    <w:p>
      <w:pPr>
        <w:pStyle w:val="Heading3"/>
      </w:pPr>
      <w:r>
        <w:t xml:space="preserve">M.3 La sintesi del valore e le raccomandazioni</w:t>
      </w:r>
    </w:p>
    <w:p>
      <w:pPr>
        <w:pStyle w:val="FirstParagraph"/>
      </w:pPr>
      <w:r>
        <w:t xml:space="preserve">La sintesi del valore ricompone, per il decisore, l’intero studio in poche affermazioni difendibili. Tre conclusioni emergono con nettezza, e costituiscono il cruscotto decisionale. In primo luogo, il servizio costa al bilancio sanitario una cifra modesta e quasi interamente compensata dai risparmi diretti che esso stesso genera. In secondo luogo, restituisce alla collettività un valore dell’ordine di quattro euro per ogni euro speso, comprensivo delle ricadute sociali. In terzo luogo, adempie all’obbligo di garantire i livelli essenziali, intercettando un bisogno largamente inevaso.</w:t>
      </w:r>
      <w:r>
        <w:rPr>
          <w:rStyle w:val="FootnoteReference"/>
        </w:rPr>
        <w:footnoteReference w:id="1178"/>
      </w:r>
      <w:r>
        <w:t xml:space="preserve"> </w:t>
      </w:r>
      <w:r>
        <w:t xml:space="preserve">Sono tre affermazioni congiunte e graduate: la prima parla alla sostenibilità, la seconda al valore, la terza al dovere costituzionale; e insieme costituiscono una tesi più solida di quella, più facile ma fragile, di un grande risparmio per il bilancio. Il quadro economico consolidato è riepilogato nella tabella seguente.</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20</w:t>
            </w:r>
          </w:p>
        </w:tc>
        <w:tc>
          <w:tcPr/>
          <w:p>
            <w:pPr>
              <w:pStyle w:val="Compact"/>
              <w:spacing w:after="40" w:before="40"/>
              <w:jc w:val="left"/>
            </w:pPr>
            <w:r>
              <w:rPr>
                <w:rFonts w:ascii="Cambria" w:hAnsi="Cambria" w:cs="Cambria" w:eastAsia="Cambria"/>
                <w:color w:val="1A1A1A"/>
                <w:sz w:val="18"/>
              </w:rPr>
              <w:t xml:space="preserve">~ 34</w:t>
            </w:r>
          </w:p>
        </w:tc>
        <w:tc>
          <w:tcPr/>
          <w:p>
            <w:pPr>
              <w:pStyle w:val="Compact"/>
              <w:spacing w:after="40" w:before="40"/>
              <w:jc w:val="left"/>
            </w:pPr>
            <w:r>
              <w:rPr>
                <w:rFonts w:ascii="Cambria" w:hAnsi="Cambria" w:cs="Cambria" w:eastAsia="Cambria"/>
                <w:color w:val="1A1A1A"/>
                <w:sz w:val="18"/>
              </w:rPr>
              <w:t xml:space="preserve">~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70</w:t>
            </w:r>
          </w:p>
        </w:tc>
        <w:tc>
          <w:tcPr>
            <w:shd w:val="clear" w:color="auto" w:fill="F4F1EC"/>
          </w:tcPr>
          <w:p>
            <w:pPr>
              <w:pStyle w:val="Compact"/>
              <w:spacing w:after="40" w:before="40"/>
              <w:jc w:val="left"/>
            </w:pPr>
            <w:r>
              <w:rPr>
                <w:rFonts w:ascii="Cambria" w:hAnsi="Cambria" w:cs="Cambria" w:eastAsia="Cambria"/>
                <w:color w:val="1A1A1A"/>
                <w:sz w:val="18"/>
              </w:rPr>
              <w:t xml:space="preserve">~ 130</w:t>
            </w:r>
          </w:p>
        </w:tc>
        <w:tc>
          <w:tcPr>
            <w:shd w:val="clear" w:color="auto" w:fill="F4F1EC"/>
          </w:tcPr>
          <w:p>
            <w:pPr>
              <w:pStyle w:val="Compact"/>
              <w:spacing w:after="40" w:before="40"/>
              <w:jc w:val="left"/>
            </w:pPr>
            <w:r>
              <w:rPr>
                <w:rFonts w:ascii="Cambria" w:hAnsi="Cambria" w:cs="Cambria" w:eastAsia="Cambria"/>
                <w:color w:val="1A1A1A"/>
                <w:sz w:val="18"/>
              </w:rPr>
              <w:t xml:space="preserve">~ 200</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25</w:t>
            </w:r>
          </w:p>
        </w:tc>
        <w:tc>
          <w:tcPr/>
          <w:p>
            <w:pPr>
              <w:pStyle w:val="Compact"/>
              <w:spacing w:after="40" w:before="40"/>
              <w:jc w:val="left"/>
            </w:pPr>
            <w:r>
              <w:rPr>
                <w:rFonts w:ascii="Cambria" w:hAnsi="Cambria" w:cs="Cambria" w:eastAsia="Cambria"/>
                <w:color w:val="1A1A1A"/>
                <w:sz w:val="18"/>
              </w:rPr>
              <w:t xml:space="preserve">~ 38</w:t>
            </w:r>
          </w:p>
        </w:tc>
        <w:tc>
          <w:tcPr/>
          <w:p>
            <w:pPr>
              <w:pStyle w:val="Compact"/>
              <w:spacing w:after="40" w:before="40"/>
              <w:jc w:val="left"/>
            </w:pPr>
            <w:r>
              <w:rPr>
                <w:rFonts w:ascii="Cambria" w:hAnsi="Cambria" w:cs="Cambria" w:eastAsia="Cambria"/>
                <w:color w:val="1A1A1A"/>
                <w:sz w:val="18"/>
              </w:rPr>
              <w:t xml:space="preserve">~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−5</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0</w:t>
            </w:r>
          </w:p>
        </w:tc>
      </w:tr>
      <w:tr>
        <w:tc>
          <w:tcPr/>
          <w:p>
            <w:pPr>
              <w:pStyle w:val="Compact"/>
              <w:spacing w:after="40" w:before="40"/>
              <w:jc w:val="left"/>
            </w:pPr>
            <w:r>
              <w:rPr>
                <w:rFonts w:ascii="Cambria" w:hAnsi="Cambria" w:cs="Cambria" w:eastAsia="Cambria"/>
                <w:b/>
                <w:bCs/>
                <w:color w:val="1A1A1A"/>
                <w:sz w:val="18"/>
              </w:rPr>
              <w:t xml:space="preserve">Saldo complessivo — caso economico</w:t>
            </w:r>
          </w:p>
        </w:tc>
        <w:tc>
          <w:tcPr/>
          <w:p>
            <w:pPr>
              <w:pStyle w:val="Compact"/>
              <w:spacing w:after="40" w:before="40"/>
              <w:jc w:val="left"/>
            </w:pPr>
            <w:r>
              <w:rPr>
                <w:rFonts w:ascii="Cambria" w:hAnsi="Cambria" w:cs="Cambria" w:eastAsia="Cambria"/>
                <w:color w:val="1A1A1A"/>
                <w:sz w:val="18"/>
              </w:rPr>
              <w:t xml:space="preserve">+65</w:t>
            </w:r>
          </w:p>
        </w:tc>
        <w:tc>
          <w:tcPr/>
          <w:p>
            <w:pPr>
              <w:pStyle w:val="Compact"/>
              <w:spacing w:after="40" w:before="40"/>
              <w:jc w:val="left"/>
            </w:pPr>
            <w:r>
              <w:rPr>
                <w:rFonts w:ascii="Cambria" w:hAnsi="Cambria" w:cs="Cambria" w:eastAsia="Cambria"/>
                <w:color w:val="1A1A1A"/>
                <w:sz w:val="18"/>
              </w:rPr>
              <w:t xml:space="preserve">+126</w:t>
            </w:r>
          </w:p>
        </w:tc>
        <w:tc>
          <w:tcPr/>
          <w:p>
            <w:pPr>
              <w:pStyle w:val="Compact"/>
              <w:spacing w:after="40" w:before="40"/>
              <w:jc w:val="left"/>
            </w:pPr>
            <w:r>
              <w:rPr>
                <w:rFonts w:ascii="Cambria" w:hAnsi="Cambria" w:cs="Cambria" w:eastAsia="Cambria"/>
                <w:color w:val="1A1A1A"/>
                <w:sz w:val="18"/>
              </w:rPr>
              <w:t xml:space="preserve">+200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~3,6:1</w:t>
            </w:r>
          </w:p>
        </w:tc>
        <w:tc>
          <w:tcPr>
            <w:shd w:val="clear" w:color="auto" w:fill="F4F1EC"/>
          </w:tcPr>
          <w:p>
            <w:pPr>
              <w:pStyle w:val="Compact"/>
              <w:spacing w:after="40" w:before="40"/>
              <w:jc w:val="left"/>
            </w:pPr>
            <w:r>
              <w:rPr>
                <w:rFonts w:ascii="Cambria" w:hAnsi="Cambria" w:cs="Cambria" w:eastAsia="Cambria"/>
                <w:color w:val="1A1A1A"/>
                <w:sz w:val="18"/>
              </w:rPr>
              <w:t xml:space="preserve">~4,3:1</w:t>
            </w:r>
          </w:p>
        </w:tc>
        <w:tc>
          <w:tcPr>
            <w:shd w:val="clear" w:color="auto" w:fill="F4F1EC"/>
          </w:tcPr>
          <w:p>
            <w:pPr>
              <w:pStyle w:val="Compact"/>
              <w:spacing w:after="40" w:before="40"/>
              <w:jc w:val="left"/>
            </w:pPr>
            <w:r>
              <w:rPr>
                <w:rFonts w:ascii="Cambria" w:hAnsi="Cambria" w:cs="Cambria" w:eastAsia="Cambria"/>
                <w:color w:val="1A1A1A"/>
                <w:sz w:val="18"/>
              </w:rPr>
              <w:t xml:space="preserve">~5,0:1</w:t>
            </w:r>
          </w:p>
        </w:tc>
      </w:tr>
    </w:tbl>
    <w:p>
      <w:pPr>
        <w:pStyle w:val="BodyText"/>
      </w:pPr>
      <w:r>
        <w:rPr>
          <w:i/>
          <w:iCs/>
        </w:rPr>
        <w:t xml:space="preserve">Tabella M.3. Il quadro economico consolidato per scenario (sintesi della Parte E).</w:t>
      </w:r>
    </w:p>
    <w:p>
      <w:pPr>
        <w:pStyle w:val="BodyText"/>
      </w:pPr>
      <w:r>
        <w:t xml:space="preserve">Da questa sintesi discende la raccomandazione centrale, che è anche la più specifica al caso pugliese. La decisione rilevante non è se istituire il servizio — già istituito con la legge regionale n. 11/2023, prima in Italia — ma se dimensionarlo: la Puglia dispone già dello strumento legislativo, ma lo finanzia a una scala che copre circa il 5% del fabbisogno. La raccomandazione è dunque di scalare progressivamente il servizio dalla copertura attuale verso gli 800–900 psicologi a regime, attraverso il dispiegamento graduale descritto nella Parte I e l’acquisizione dei dati certificati descritta nella Parte L.</w:t>
      </w:r>
      <w:r>
        <w:rPr>
          <w:rStyle w:val="FootnoteReference"/>
        </w:rPr>
        <w:footnoteReference w:id="1179"/>
      </w:r>
      <w:r>
        <w:t xml:space="preserve"> </w:t>
      </w:r>
      <w:r>
        <w:t xml:space="preserve">La sintesi, infine, può essere letta lungo le cinque dimensioni del benessere — l’esito di salute, l’esperienza di cura, il costo, il benessere dei professionisti e l’equità — a conferma che il valore dell’intervento non si esaurisce in alcuna singola dimensione.</w:t>
      </w:r>
      <w:r>
        <w:rPr>
          <w:rStyle w:val="FootnoteReference"/>
        </w:rPr>
        <w:footnoteReference w:id="1180"/>
      </w:r>
    </w:p>
    <w:bookmarkEnd w:id="2518"/>
    <w:bookmarkStart w:id="2522" w:name="m.4-i-limiti-e-lagenda-di-ricerca-1"/>
    <w:p>
      <w:pPr>
        <w:pStyle w:val="Heading3"/>
      </w:pPr>
      <w:r>
        <w:t xml:space="preserve">M.4 I limiti e l’agenda di ricerca</w:t>
      </w:r>
    </w:p>
    <w:p>
      <w:pPr>
        <w:pStyle w:val="FirstParagraph"/>
      </w:pPr>
      <w:r>
        <w:t xml:space="preserve">Uno studio difendibile dichiara i propri limiti con la stessa cura con cui espone i propri risultati, e questa parte conclusiva lo fa senza attenuazioni. Il limite principale non è di disegno, ma di radicamento nei dati: le grandezze economiche dello studio sono in parte ricostruite a partire dai conti nazionali, scalati per la quota di popolazione regionale — circa il 6,6% — anziché estratte dai conti regionali certificati.</w:t>
      </w:r>
      <w:r>
        <w:rPr>
          <w:rStyle w:val="FootnoteReference"/>
        </w:rPr>
        <w:footnoteReference w:id="1181"/>
      </w:r>
      <w:r>
        <w:t xml:space="preserve"> </w:t>
      </w:r>
      <w:r>
        <w:t xml:space="preserve">È la lacuna più importante da risolvere prima della presentazione esterna, e investe segnatamente i parametri dei canali dei ricoveri, della specialistica e della mobilità, che restano in parte stimati. A questo si aggiungono cautele di fonte e di trasferibilità: alcuni risultati italiani provengono da letteratura grigia e da campioni limitati, i benchmark esteri richiedono prudenza nel trasferimento, e la stessa sintesi del ritorno «quattro a uno» dell’Organizzazione mondiale della sanità è una semplificazione, i cui intervalli reali — da 2,3–3,0 a uno per i soli benefici economici a 3,3–5,7 a uno con i ritorni di salute — confermano peraltro il rapporto consolidato adottato.</w:t>
      </w:r>
      <w:r>
        <w:rPr>
          <w:rStyle w:val="FootnoteReference"/>
        </w:rPr>
        <w:footnoteReference w:id="1182"/>
      </w:r>
    </w:p>
    <w:p>
      <w:pPr>
        <w:pStyle w:val="BodyText"/>
      </w:pPr>
      <w:r>
        <w:t xml:space="preserve">Da questi limiti discende, in modo diretto, l’agenda di ricerca, già orientata dal valore dell’informazione della Parte F. L’investimento conoscitivo prioritario è l’acquisizione dei dati regionali certificati presso l’agenzia regionale e le aziende sanitarie — le schede di dimissione per disturbi psichici, la composizione della mobilità passiva per disciplina e la spesa farmaceutica per categoria — che consentirà di sostituire le assunzioni con misure puntuali. A esso segue la verifica empirica degli effetti, attraverso il dispiegamento scaglionato e la differenza-nelle-differenze descritti nella Parte L, e la verifica ex post della norma.</w:t>
      </w:r>
      <w:r>
        <w:rPr>
          <w:rStyle w:val="FootnoteReference"/>
        </w:rPr>
        <w:footnoteReference w:id="1183"/>
      </w:r>
      <w:r>
        <w:t xml:space="preserve"> </w:t>
      </w:r>
      <w:r>
        <w:t xml:space="preserve">Va detto, in conclusione, che la dichiarazione di questi limiti non indebolisce lo studio, ma lo rafforza: una valutazione che distingue ciò che è documentato da ciò che è ancora stimato, e che indica la via per colmare la distanza, è più credibile di una che pretenda una certezza che i dati non consentono. Con questa sintesi e con questa agenda si chiude lo studio integrale per la Puglia: un’architettura completa, che attende dai dati certificati e dalla misurazione sul campo la propria conferma definitiva, e che in tale attesa fornisce già al decisore un fondamento ordinato, trasparente e difendibile.</w:t>
      </w:r>
    </w:p>
    <w:p>
      <w:pPr>
        <w:pStyle w:val="BodyText"/>
      </w:pPr>
      <w:r>
        <w:rPr>
          <w:b/>
          <w:bCs/>
        </w:rPr>
        <w:t xml:space="preserve">STUDIO REGIONALE · REGIONE PUGLIA · APPLICAZIONE DEL TELAIO INTEGRATO</w:t>
      </w:r>
    </w:p>
    <w:p>
      <w:pPr>
        <w:pStyle w:val="BodyText"/>
      </w:pPr>
      <w:r>
        <w:t xml:space="preserve">Riforma «Psicologo di Base» (L.R. 11/2023)</w:t>
      </w:r>
    </w:p>
    <w:p>
      <w:pPr>
        <w:pStyle w:val="BodyText"/>
      </w:pPr>
      <w:r>
        <w:rPr>
          <w:b/>
          <w:bCs/>
        </w:rPr>
        <w:t xml:space="preserve">Appendici</w:t>
      </w:r>
    </w:p>
    <w:p>
      <w:pPr>
        <w:pStyle w:val="BodyText"/>
      </w:pPr>
      <w:r>
        <w:rPr>
          <w:b/>
          <w:bCs/>
        </w:rPr>
        <w:t xml:space="preserve">A – E</w:t>
      </w:r>
    </w:p>
    <w:p>
      <w:pPr>
        <w:pStyle w:val="BodyText"/>
      </w:pPr>
      <w:r>
        <w:rPr>
          <w:i/>
          <w:iCs/>
        </w:rPr>
        <w:t xml:space="preserve">Caso di riferimento e parametri, strumenti di esito e dataset minimo, dati regionali e fonti, checklist di reporting, glossario</w:t>
      </w:r>
    </w:p>
    <w:p>
      <w:pPr>
        <w:pStyle w:val="BodyText"/>
      </w:pPr>
      <w:r>
        <w:t xml:space="preserve">Materiale di riferimento dello studio integrale · trasparenza e riproducibilità</w:t>
      </w:r>
    </w:p>
    <w:bookmarkEnd w:id="2522"/>
    <w:bookmarkEnd w:id="2523"/>
    <w:bookmarkStart w:id="2527" w:name="X7d13b6783ee15ada95ea354799d8c10a57b50c7"/>
    <w:p>
      <w:pPr>
        <w:pStyle w:val="Heading2"/>
      </w:pPr>
      <w:r>
        <w:t xml:space="preserve">Appendice A — Caso di riferimento e parametri</w:t>
      </w:r>
    </w:p>
    <w:p>
      <w:pPr>
        <w:pStyle w:val="FirstParagraph"/>
      </w:pPr>
      <w:r>
        <w:t xml:space="preserve">Il caso di riferimento è l’insieme delle scelte metodologiche di base che, fissate una volta per tutte, rendono i risultati confrontabili nel tempo e tra regioni. Esso adotta la doppia prospettiva del Servizio sanitario regionale e della società — distinguendo, come prescrivono il Secondo Panel sul costo-efficacia e il Five Case Model, i risparmi diretti per il bilancio dalle ricadute per la collettività — un orizzonte pluriennale o di intera vita per gli esiti e triennale-quinquennale per il bilancio, un tasso di sconto del 3% annuo, gli anni di vita ponderati per la qualità ed esiti clinici validati come misure, e il servizio attuale come comparatore.</w:t>
      </w:r>
      <w:r>
        <w:rPr>
          <w:rStyle w:val="FootnoteReference"/>
        </w:rPr>
        <w:footnoteReference w:id="1184"/>
      </w:r>
      <w:r>
        <w:t xml:space="preserve"> </w:t>
      </w:r>
      <w:r>
        <w:t xml:space="preserve">La prima tabella ne riepiloga gli elementi.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caso di 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adottata</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Servizio attuale o assenza del servizio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azienda/distretto</w:t>
            </w:r>
          </w:p>
        </w:tc>
      </w:tr>
      <w:tr>
        <w:tc>
          <w:tcPr/>
          <w:p>
            <w:pPr>
              <w:pStyle w:val="Compact"/>
              <w:spacing w:after="40" w:before="40"/>
              <w:jc w:val="left"/>
            </w:pPr>
            <w:r>
              <w:rPr>
                <w:rFonts w:ascii="Cambria" w:hAnsi="Cambria" w:cs="Cambria" w:eastAsia="Cambria"/>
                <w:b/>
                <w:bCs/>
                <w:color w:val="1A1A1A"/>
                <w:sz w:val="18"/>
              </w:rPr>
              <w:t xml:space="preserve">Soglia di costo-efficacia</w:t>
            </w:r>
          </w:p>
        </w:tc>
        <w:tc>
          <w:tcPr/>
          <w:p>
            <w:pPr>
              <w:pStyle w:val="Compact"/>
              <w:spacing w:after="40" w:before="40"/>
              <w:jc w:val="left"/>
            </w:pPr>
            <w:r>
              <w:rPr>
                <w:rFonts w:ascii="Cambria" w:hAnsi="Cambria" w:cs="Cambria" w:eastAsia="Cambria"/>
                <w:color w:val="1A1A1A"/>
                <w:sz w:val="18"/>
              </w:rPr>
              <w:t xml:space="preserve">30.000 euro per anno di vita ponderato per la qualità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Correzione prudenziale</w:t>
            </w:r>
          </w:p>
        </w:tc>
        <w:tc>
          <w:tcPr>
            <w:shd w:val="clear" w:color="auto" w:fill="F4F1EC"/>
          </w:tcPr>
          <w:p>
            <w:pPr>
              <w:pStyle w:val="Compact"/>
              <w:spacing w:after="40" w:before="40"/>
              <w:jc w:val="left"/>
            </w:pPr>
            <w:r>
              <w:rPr>
                <w:rFonts w:ascii="Cambria" w:hAnsi="Cambria" w:cs="Cambria" w:eastAsia="Cambria"/>
                <w:color w:val="1A1A1A"/>
                <w:sz w:val="18"/>
              </w:rP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La seconda tabella riporta i parametri del modello di Markov a coorte impiegato nella Parte F, con le distribuzioni di probabilità assegnate per l’analisi probabilistica: distribuzioni Beta per le probabilità di transizione e per le utilità, vincolate all’intervallo tra zero e uno, e distribuzioni Gamma per i costi, vincolate ai valori positivi.</w:t>
      </w:r>
      <w:r>
        <w:rPr>
          <w:rStyle w:val="FootnoteReference"/>
        </w:rPr>
        <w:footnoteReference w:id="1185"/>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 di Markov</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Stati del modello</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recupero</w:t>
            </w:r>
          </w:p>
        </w:tc>
        <w:tc>
          <w:tcPr>
            <w:shd w:val="clear" w:color="auto" w:fill="F4F1EC"/>
          </w:tcPr>
          <w:p>
            <w:pPr>
              <w:pStyle w:val="Compact"/>
              <w:spacing w:after="40" w:before="40"/>
              <w:jc w:val="left"/>
            </w:pPr>
            <w:r>
              <w:rPr>
                <w:rFonts w:ascii="Cambria" w:hAnsi="Cambria" w:cs="Cambria" w:eastAsia="Cambria"/>
                <w:color w:val="1A1A1A"/>
                <w:sz w:val="18"/>
              </w:rPr>
              <w:t xml:space="preserve">40 €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per ciclo — cronico</w:t>
            </w:r>
          </w:p>
        </w:tc>
        <w:tc>
          <w:tcPr/>
          <w:p>
            <w:pPr>
              <w:pStyle w:val="Compact"/>
              <w:spacing w:after="40" w:before="40"/>
              <w:jc w:val="left"/>
            </w:pPr>
            <w:r>
              <w:rPr>
                <w:rFonts w:ascii="Cambria" w:hAnsi="Cambria" w:cs="Cambria" w:eastAsia="Cambria"/>
                <w:color w:val="1A1A1A"/>
                <w:sz w:val="18"/>
              </w:rPr>
              <w:t xml:space="preserve">700 €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Per braccio, da fonti</w:t>
            </w:r>
          </w:p>
        </w:tc>
        <w:tc>
          <w:tcPr/>
          <w:p>
            <w:pPr>
              <w:pStyle w:val="Compact"/>
              <w:spacing w:after="40" w:before="40"/>
              <w:jc w:val="left"/>
            </w:pPr>
            <w:r>
              <w:rPr>
                <w:rFonts w:ascii="Cambria" w:hAnsi="Cambria" w:cs="Cambria" w:eastAsia="Cambria"/>
                <w:color w:val="1A1A1A"/>
                <w:sz w:val="18"/>
              </w:rPr>
              <w:t xml:space="preserve">Beta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per stato</w:t>
            </w:r>
          </w:p>
        </w:tc>
        <w:tc>
          <w:tcPr>
            <w:shd w:val="clear" w:color="auto" w:fill="F4F1EC"/>
          </w:tcPr>
          <w:p>
            <w:pPr>
              <w:pStyle w:val="Compact"/>
              <w:spacing w:after="40" w:before="40"/>
              <w:jc w:val="left"/>
            </w:pPr>
            <w:r>
              <w:rPr>
                <w:rFonts w:ascii="Cambria" w:hAnsi="Cambria" w:cs="Cambria" w:eastAsia="Cambria"/>
                <w:color w:val="1A1A1A"/>
                <w:sz w:val="18"/>
              </w:rPr>
              <w:t xml:space="preserve">Da fonti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Orizzonte e sconto</w:t>
            </w:r>
          </w:p>
        </w:tc>
        <w:tc>
          <w:tcPr/>
          <w:p>
            <w:pPr>
              <w:pStyle w:val="Compact"/>
              <w:spacing w:after="40" w:before="40"/>
              <w:jc w:val="left"/>
            </w:pPr>
            <w:r>
              <w:rPr>
                <w:rFonts w:ascii="Cambria" w:hAnsi="Cambria" w:cs="Cambria" w:eastAsia="Cambria"/>
                <w:color w:val="1A1A1A"/>
                <w:sz w:val="18"/>
              </w:rPr>
              <w:t xml:space="preserve">5 anni; 3% annuo</w:t>
            </w:r>
          </w:p>
        </w:tc>
        <w:t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La terza tabella riepiloga il quadro economico consolidato per scenario, fondamento delle Parti E e M, nel quale i risparmi diretti per il bilancio sono tenuti distinti dalle ricadute economico-sociali.</w:t>
      </w:r>
      <w:r>
        <w:rPr>
          <w:rStyle w:val="FootnoteReference"/>
        </w:rPr>
        <w:footnoteReference w:id="1186"/>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 salvo 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Psicologi a regime</w:t>
            </w:r>
          </w:p>
        </w:tc>
        <w:tc>
          <w:tcPr/>
          <w:p>
            <w:pPr>
              <w:pStyle w:val="Compact"/>
              <w:spacing w:after="40" w:before="40"/>
              <w:jc w:val="left"/>
            </w:pPr>
            <w:r>
              <w:rPr>
                <w:rFonts w:ascii="Cambria" w:hAnsi="Cambria" w:cs="Cambria" w:eastAsia="Cambria"/>
                <w:color w:val="1A1A1A"/>
                <w:sz w:val="18"/>
              </w:rPr>
              <w:t xml:space="preserve">~ 450</w:t>
            </w:r>
          </w:p>
        </w:tc>
        <w:tc>
          <w:tcPr/>
          <w:p>
            <w:pPr>
              <w:pStyle w:val="Compact"/>
              <w:spacing w:after="40" w:before="40"/>
              <w:jc w:val="left"/>
            </w:pPr>
            <w:r>
              <w:rPr>
                <w:rFonts w:ascii="Cambria" w:hAnsi="Cambria" w:cs="Cambria" w:eastAsia="Cambria"/>
                <w:color w:val="1A1A1A"/>
                <w:sz w:val="18"/>
              </w:rPr>
              <w:t xml:space="preserve">~ 700</w:t>
            </w:r>
          </w:p>
        </w:tc>
        <w:tc>
          <w:tcPr/>
          <w:p>
            <w:pPr>
              <w:pStyle w:val="Compact"/>
              <w:spacing w:after="40" w:before="40"/>
              <w:jc w:val="left"/>
            </w:pPr>
            <w:r>
              <w:rPr>
                <w:rFonts w:ascii="Cambria" w:hAnsi="Cambria" w:cs="Cambria" w:eastAsia="Cambria"/>
                <w:color w:val="1A1A1A"/>
                <w:sz w:val="18"/>
              </w:rPr>
              <w:t xml:space="preserve">~ 900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25</w:t>
            </w:r>
          </w:p>
        </w:tc>
        <w:tc>
          <w:tcPr>
            <w:shd w:val="clear" w:color="auto" w:fill="F4F1EC"/>
          </w:tcPr>
          <w:p>
            <w:pPr>
              <w:pStyle w:val="Compact"/>
              <w:spacing w:after="40" w:before="40"/>
              <w:jc w:val="left"/>
            </w:pPr>
            <w:r>
              <w:rPr>
                <w:rFonts w:ascii="Cambria" w:hAnsi="Cambria" w:cs="Cambria" w:eastAsia="Cambria"/>
                <w:color w:val="1A1A1A"/>
                <w:sz w:val="18"/>
              </w:rPr>
              <w:t xml:space="preserve">~ 38</w:t>
            </w:r>
          </w:p>
        </w:tc>
        <w:tc>
          <w:tcPr>
            <w:shd w:val="clear" w:color="auto" w:fill="F4F1EC"/>
          </w:tcPr>
          <w:p>
            <w:pPr>
              <w:pStyle w:val="Compact"/>
              <w:spacing w:after="40" w:before="40"/>
              <w:jc w:val="left"/>
            </w:pPr>
            <w:r>
              <w:rPr>
                <w:rFonts w:ascii="Cambria" w:hAnsi="Cambria" w:cs="Cambria" w:eastAsia="Cambria"/>
                <w:color w:val="1A1A1A"/>
                <w:sz w:val="18"/>
              </w:rPr>
              <w:t xml:space="preserve">~ 50</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20</w:t>
            </w:r>
          </w:p>
        </w:tc>
        <w:tc>
          <w:tcPr/>
          <w:p>
            <w:pPr>
              <w:pStyle w:val="Compact"/>
              <w:spacing w:after="40" w:before="40"/>
              <w:jc w:val="left"/>
            </w:pPr>
            <w:r>
              <w:rPr>
                <w:rFonts w:ascii="Cambria" w:hAnsi="Cambria" w:cs="Cambria" w:eastAsia="Cambria"/>
                <w:color w:val="1A1A1A"/>
                <w:sz w:val="18"/>
              </w:rPr>
              <w:t xml:space="preserve">~ 34</w:t>
            </w:r>
          </w:p>
        </w:tc>
        <w:tc>
          <w:tcPr/>
          <w:p>
            <w:pPr>
              <w:pStyle w:val="Compact"/>
              <w:spacing w:after="40" w:before="40"/>
              <w:jc w:val="left"/>
            </w:pPr>
            <w:r>
              <w:rPr>
                <w:rFonts w:ascii="Cambria" w:hAnsi="Cambria" w:cs="Cambria" w:eastAsia="Cambria"/>
                <w:color w:val="1A1A1A"/>
                <w:sz w:val="18"/>
              </w:rPr>
              <w:t xml:space="preserve">~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70</w:t>
            </w:r>
          </w:p>
        </w:tc>
        <w:tc>
          <w:tcPr>
            <w:shd w:val="clear" w:color="auto" w:fill="F4F1EC"/>
          </w:tcPr>
          <w:p>
            <w:pPr>
              <w:pStyle w:val="Compact"/>
              <w:spacing w:after="40" w:before="40"/>
              <w:jc w:val="left"/>
            </w:pPr>
            <w:r>
              <w:rPr>
                <w:rFonts w:ascii="Cambria" w:hAnsi="Cambria" w:cs="Cambria" w:eastAsia="Cambria"/>
                <w:color w:val="1A1A1A"/>
                <w:sz w:val="18"/>
              </w:rPr>
              <w:t xml:space="preserve">~ 130</w:t>
            </w:r>
          </w:p>
        </w:tc>
        <w:tc>
          <w:tcPr>
            <w:shd w:val="clear" w:color="auto" w:fill="F4F1EC"/>
          </w:tcPr>
          <w:p>
            <w:pPr>
              <w:pStyle w:val="Compact"/>
              <w:spacing w:after="40" w:before="40"/>
              <w:jc w:val="left"/>
            </w:pPr>
            <w:r>
              <w:rPr>
                <w:rFonts w:ascii="Cambria" w:hAnsi="Cambria" w:cs="Cambria" w:eastAsia="Cambria"/>
                <w:color w:val="1A1A1A"/>
                <w:sz w:val="18"/>
              </w:rPr>
              <w:t xml:space="preserve">~ 200</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−5</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+65</w:t>
            </w:r>
          </w:p>
        </w:tc>
        <w:tc>
          <w:tcPr>
            <w:shd w:val="clear" w:color="auto" w:fill="F4F1EC"/>
          </w:tcPr>
          <w:p>
            <w:pPr>
              <w:pStyle w:val="Compact"/>
              <w:spacing w:after="40" w:before="40"/>
              <w:jc w:val="left"/>
            </w:pPr>
            <w:r>
              <w:rPr>
                <w:rFonts w:ascii="Cambria" w:hAnsi="Cambria" w:cs="Cambria" w:eastAsia="Cambria"/>
                <w:color w:val="1A1A1A"/>
                <w:sz w:val="18"/>
              </w:rPr>
              <w:t xml:space="preserve">+126</w:t>
            </w:r>
          </w:p>
        </w:tc>
        <w:tc>
          <w:tcPr>
            <w:shd w:val="clear" w:color="auto" w:fill="F4F1EC"/>
          </w:tcPr>
          <w:p>
            <w:pPr>
              <w:pStyle w:val="Compact"/>
              <w:spacing w:after="40" w:before="40"/>
              <w:jc w:val="left"/>
            </w:pPr>
            <w:r>
              <w:rPr>
                <w:rFonts w:ascii="Cambria" w:hAnsi="Cambria" w:cs="Cambria" w:eastAsia="Cambria"/>
                <w:color w:val="1A1A1A"/>
                <w:sz w:val="18"/>
              </w:rPr>
              <w:t xml:space="preserve">+200</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~3,6:1</w:t>
            </w:r>
          </w:p>
        </w:tc>
        <w:tc>
          <w:tcPr/>
          <w:p>
            <w:pPr>
              <w:pStyle w:val="Compact"/>
              <w:spacing w:after="40" w:before="40"/>
              <w:jc w:val="left"/>
            </w:pPr>
            <w:r>
              <w:rPr>
                <w:rFonts w:ascii="Cambria" w:hAnsi="Cambria" w:cs="Cambria" w:eastAsia="Cambria"/>
                <w:color w:val="1A1A1A"/>
                <w:sz w:val="18"/>
              </w:rPr>
              <w:t xml:space="preserve">~4,3:1</w:t>
            </w:r>
          </w:p>
        </w:tc>
        <w:tc>
          <w:tcPr/>
          <w:p>
            <w:pPr>
              <w:pStyle w:val="Compact"/>
              <w:spacing w:after="40" w:before="40"/>
              <w:jc w:val="left"/>
            </w:pPr>
            <w:r>
              <w:rPr>
                <w:rFonts w:ascii="Cambria" w:hAnsi="Cambria" w:cs="Cambria" w:eastAsia="Cambria"/>
                <w:color w:val="1A1A1A"/>
                <w:sz w:val="18"/>
              </w:rPr>
              <w:t xml:space="preserve">~5,0:1</w:t>
            </w:r>
          </w:p>
        </w:tc>
      </w:tr>
    </w:tbl>
    <w:p>
      <w:pPr>
        <w:pStyle w:val="BodyText"/>
      </w:pPr>
      <w:r>
        <w:rPr>
          <w:i/>
          <w:iCs/>
        </w:rPr>
        <w:t xml:space="preserve">Tabella A.3. Il quadro economico consolidato per scenario (costo per incarico di riferimento ~55.000 € l</w:t>
      </w:r>
      <w:r>
        <w:rPr>
          <w:b/>
          <w:bCs/>
          <w:i/>
          <w:iCs/>
        </w:rPr>
        <w:t xml:space="preserve">’</w:t>
      </w:r>
      <w:r>
        <w:rPr>
          <w:i/>
          <w:iCs/>
        </w:rPr>
        <w:t xml:space="preserve">anno).</w:t>
      </w:r>
    </w:p>
    <w:bookmarkEnd w:id="2527"/>
    <w:bookmarkStart w:id="2530" w:name="X1f8c4300ff333164144cc25d91724a05f17dc16"/>
    <w:p>
      <w:pPr>
        <w:pStyle w:val="Heading2"/>
      </w:pPr>
      <w:r>
        <w:t xml:space="preserve">Appendice B — Strumenti di esito e dataset minimo</w:t>
      </w:r>
    </w:p>
    <w:p>
      <w:pPr>
        <w:pStyle w:val="FirstParagraph"/>
      </w:pPr>
      <w:r>
        <w:t xml:space="preserve">Questa appendice documenta gli strumenti con cui si misurano gli esiti clinici e i campi che compongono il dataset minimo. Gli strumenti sono validati e di uso internazionale, e sono impiegati nei soli punteggi complessivi, secondo la tutela già illustrata nelle Parti C ed H; sono raccolti a ogni seduta, e non solo all’inizio e alla fine, secondo il modello dei programmi inglesi di terapie psicologiche, ciò che consente di calcolare il tasso di recupero e il miglioramento affidabile.</w:t>
      </w:r>
      <w:r>
        <w:rPr>
          <w:rStyle w:val="FootnoteReference"/>
        </w:rPr>
        <w:footnoteReference w:id="1187"/>
      </w:r>
      <w:r>
        <w:t xml:space="preserve"> </w:t>
      </w:r>
      <w:r>
        <w:t xml:space="preserve">La prima tabella riporta gli strumenti di esito.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Caratteristiche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 soglia clinica ~10; cambiamento affidabile ~6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d’ansia</w:t>
            </w:r>
          </w:p>
        </w:tc>
        <w:tc>
          <w:tcPr>
            <w:shd w:val="clear" w:color="auto" w:fill="F4F1EC"/>
          </w:tcPr>
          <w:p>
            <w:pPr>
              <w:pStyle w:val="Compact"/>
              <w:spacing w:after="40" w:before="40"/>
              <w:jc w:val="left"/>
            </w:pPr>
            <w:r>
              <w:rPr>
                <w:rFonts w:ascii="Cambria" w:hAnsi="Cambria" w:cs="Cambria" w:eastAsia="Cambria"/>
                <w:color w:val="1A1A1A"/>
                <w:sz w:val="18"/>
              </w:rPr>
              <w:t xml:space="preserve">0–21; impiegato nel solo punteggio complessivo</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Discesa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Esito secondario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La seconda tabella riporta il dataset minimo, ossia i campi che il protocollo registra dal primo giorno e che costituiscono la fonte dei circa quaranta indicatori non ricavabili dalle statistiche correnti; i dati sono trasmessi in forma aggregata all’Osservatorio regionale, senza che ne sia possibile la riconduzione alla persona.</w:t>
      </w:r>
      <w:r>
        <w:rPr>
          <w:rStyle w:val="FootnoteReference"/>
        </w:rPr>
        <w:footnoteReference w:id="1188"/>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Campo del dataset</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Momento di rilevazione</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Data di apertura, canale di accesso, invio</w:t>
            </w:r>
          </w:p>
        </w:tc>
        <w:tc>
          <w:tcPr/>
          <w:p>
            <w:pPr>
              <w:pStyle w:val="Compact"/>
              <w:spacing w:after="40" w:before="40"/>
              <w:jc w:val="left"/>
            </w:pPr>
            <w:r>
              <w:rPr>
                <w:rFonts w:ascii="Cambria" w:hAnsi="Cambria" w:cs="Cambria" w:eastAsia="Cambria"/>
                <w:color w:val="1A1A1A"/>
                <w:sz w:val="18"/>
              </w:rPr>
              <w:t xml:space="preserve">All’apertura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Seduta</w:t>
            </w:r>
          </w:p>
        </w:tc>
        <w:tc>
          <w:tcPr>
            <w:shd w:val="clear" w:color="auto" w:fill="F4F1EC"/>
          </w:tcPr>
          <w:p>
            <w:pPr>
              <w:pStyle w:val="Compact"/>
              <w:spacing w:after="40" w:before="40"/>
              <w:jc w:val="left"/>
            </w:pPr>
            <w:r>
              <w:rPr>
                <w:rFonts w:ascii="Cambria" w:hAnsi="Cambria" w:cs="Cambria" w:eastAsia="Cambria"/>
                <w:color w:val="1A1A1A"/>
                <w:sz w:val="18"/>
              </w:rPr>
              <w:t xml:space="preserve">Data, tipo e numero progressivo della seduta</w:t>
            </w:r>
          </w:p>
        </w:tc>
        <w:tc>
          <w:tcPr>
            <w:shd w:val="clear" w:color="auto" w:fill="F4F1EC"/>
          </w:tcPr>
          <w:p>
            <w:pPr>
              <w:pStyle w:val="Compact"/>
              <w:spacing w:after="40" w:before="40"/>
              <w:jc w:val="left"/>
            </w:pPr>
            <w:r>
              <w:rPr>
                <w:rFonts w:ascii="Cambria" w:hAnsi="Cambria" w:cs="Cambria" w:eastAsia="Cambria"/>
                <w:color w:val="1A1A1A"/>
                <w:sz w:val="18"/>
              </w:rPr>
              <w:t xml:space="preserve">A ogni seduta</w:t>
            </w:r>
          </w:p>
        </w:tc>
      </w:tr>
      <w:tr>
        <w:tc>
          <w:tcPr/>
          <w:p>
            <w:pPr>
              <w:pStyle w:val="Compact"/>
              <w:spacing w:after="40" w:before="40"/>
              <w:jc w:val="left"/>
            </w:pPr>
            <w:r>
              <w:rPr>
                <w:rFonts w:ascii="Cambria" w:hAnsi="Cambria" w:cs="Cambria" w:eastAsia="Cambria"/>
                <w:b/>
                <w:bCs/>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e GAD-7 (punteggi complessivi)</w:t>
            </w:r>
          </w:p>
        </w:tc>
        <w:tc>
          <w:tcPr/>
          <w:p>
            <w:pPr>
              <w:pStyle w:val="Compact"/>
              <w:spacing w:after="40" w:before="40"/>
              <w:jc w:val="left"/>
            </w:pPr>
            <w:r>
              <w:rPr>
                <w:rFonts w:ascii="Cambria" w:hAnsi="Cambria" w:cs="Cambria" w:eastAsia="Cambria"/>
                <w:color w:val="1A1A1A"/>
                <w:sz w:val="18"/>
              </w:rPr>
              <w:t xml:space="preserve">A ogni seduta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Invii e restituzioni</w:t>
            </w:r>
          </w:p>
        </w:tc>
        <w:tc>
          <w:tcPr>
            <w:shd w:val="clear" w:color="auto" w:fill="F4F1EC"/>
          </w:tcPr>
          <w:p>
            <w:pPr>
              <w:pStyle w:val="Compact"/>
              <w:spacing w:after="40" w:before="40"/>
              <w:jc w:val="left"/>
            </w:pPr>
            <w:r>
              <w:rPr>
                <w:rFonts w:ascii="Cambria" w:hAnsi="Cambria" w:cs="Cambria" w:eastAsia="Cambria"/>
                <w:color w:val="1A1A1A"/>
                <w:sz w:val="18"/>
              </w:rPr>
              <w:t xml:space="preserve">Invio a servizi specialistici; restituzione al medico curante</w:t>
            </w:r>
          </w:p>
        </w:tc>
        <w:tc>
          <w:tcPr>
            <w:shd w:val="clear" w:color="auto" w:fill="F4F1EC"/>
          </w:tcPr>
          <w:p>
            <w:pPr>
              <w:pStyle w:val="Compact"/>
              <w:spacing w:after="40" w:before="40"/>
              <w:jc w:val="left"/>
            </w:pPr>
            <w:r>
              <w:rPr>
                <w:rFonts w:ascii="Cambria" w:hAnsi="Cambria" w:cs="Cambria" w:eastAsia="Cambria"/>
                <w:color w:val="1A1A1A"/>
                <w:sz w:val="18"/>
              </w:rPr>
              <w:t xml:space="preserve">Ove pertinente</w:t>
            </w:r>
          </w:p>
        </w:tc>
      </w:tr>
      <w:tr>
        <w:tc>
          <w:tcPr/>
          <w:p>
            <w:pPr>
              <w:pStyle w:val="Compact"/>
              <w:spacing w:after="40" w:before="40"/>
              <w:jc w:val="left"/>
            </w:pPr>
            <w:r>
              <w:rPr>
                <w:rFonts w:ascii="Cambria" w:hAnsi="Cambria" w:cs="Cambria" w:eastAsia="Cambria"/>
                <w:b/>
                <w:bCs/>
                <w:color w:val="1A1A1A"/>
                <w:sz w:val="18"/>
              </w:rPr>
              <w:t xml:space="preserve">Chiusura</w:t>
            </w:r>
          </w:p>
        </w:tc>
        <w:tc>
          <w:tcPr/>
          <w:p>
            <w:pPr>
              <w:pStyle w:val="Compact"/>
              <w:spacing w:after="40" w:before="40"/>
              <w:jc w:val="left"/>
            </w:pPr>
            <w:r>
              <w:rPr>
                <w:rFonts w:ascii="Cambria" w:hAnsi="Cambria" w:cs="Cambria" w:eastAsia="Cambria"/>
                <w:color w:val="1A1A1A"/>
                <w:sz w:val="18"/>
              </w:rPr>
              <w:t xml:space="preserve">Esito del percorso (recupero, miglioramento, invio)</w:t>
            </w:r>
          </w:p>
        </w:tc>
        <w:tc>
          <w:tcPr/>
          <w:p>
            <w:pPr>
              <w:pStyle w:val="Compact"/>
              <w:spacing w:after="40" w:before="40"/>
              <w:jc w:val="left"/>
            </w:pPr>
            <w:r>
              <w:rPr>
                <w:rFonts w:ascii="Cambria" w:hAnsi="Cambria" w:cs="Cambria" w:eastAsia="Cambria"/>
                <w:color w:val="1A1A1A"/>
                <w:sz w:val="18"/>
              </w:rPr>
              <w:t xml:space="preserve">Alla chiusura</w:t>
            </w:r>
          </w:p>
        </w:tc>
      </w:tr>
    </w:tbl>
    <w:p>
      <w:pPr>
        <w:pStyle w:val="BodyText"/>
      </w:pPr>
      <w:r>
        <w:rPr>
          <w:i/>
          <w:iCs/>
        </w:rPr>
        <w:t xml:space="preserve">Tabella B.2. Il dataset minimo: i campi del protocollo di rilevazione (dizionario dei dati in forma sintetica).</w:t>
      </w:r>
    </w:p>
    <w:bookmarkEnd w:id="2530"/>
    <w:bookmarkStart w:id="2533" w:name="appendice-c-dati-regionali-e-fonti-1"/>
    <w:p>
      <w:pPr>
        <w:pStyle w:val="Heading2"/>
      </w:pPr>
      <w:r>
        <w:t xml:space="preserve">Appendice C — Dati regionali e fonti</w:t>
      </w:r>
    </w:p>
    <w:p>
      <w:pPr>
        <w:pStyle w:val="FirstParagraph"/>
      </w:pPr>
      <w:r>
        <w:t xml:space="preserve">Questa appendice raccoglie i valori regionali di ancoraggio su cui si fonda la quantificazione, con le rispettive fonti, e dichiara i dati ancora da acquisire. La prima tabella riporta i valori di contesto, tratti dalle fonti istituzionali.</w:t>
      </w:r>
      <w:r>
        <w:rPr>
          <w:rStyle w:val="FootnoteReference"/>
        </w:rPr>
        <w:footnoteReference w:id="1189"/>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regionale</w:t>
            </w:r>
          </w:p>
        </w:tc>
      </w:tr>
      <w:tr>
        <w:tc>
          <w:tcPr/>
          <w:p>
            <w:pPr>
              <w:pStyle w:val="Compact"/>
              <w:spacing w:after="40" w:before="40"/>
              <w:jc w:val="left"/>
            </w:pPr>
            <w:r>
              <w:rPr>
                <w:rFonts w:ascii="Cambria" w:hAnsi="Cambria" w:cs="Cambria" w:eastAsia="Cambria"/>
                <w:b/>
                <w:bCs/>
                <w:color w:val="1A1A1A"/>
                <w:sz w:val="18"/>
              </w:rPr>
              <w:t xml:space="preserve">Popolazione regionale</w:t>
            </w:r>
          </w:p>
        </w:tc>
        <w:tc>
          <w:tcPr/>
          <w:p>
            <w:pPr>
              <w:pStyle w:val="Compact"/>
              <w:spacing w:after="40" w:before="40"/>
              <w:jc w:val="left"/>
            </w:pPr>
            <w:r>
              <w:rPr>
                <w:rFonts w:ascii="Cambria" w:hAnsi="Cambria" w:cs="Cambria" w:eastAsia="Cambria"/>
                <w:color w:val="1A1A1A"/>
                <w:sz w:val="18"/>
              </w:rPr>
              <w:t xml:space="preserve">~ 3.877.000 abitanti (età media 46,4)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Finanziamento del SSR (2025)</w:t>
            </w:r>
          </w:p>
        </w:tc>
        <w:tc>
          <w:tcPr>
            <w:shd w:val="clear" w:color="auto" w:fill="F4F1EC"/>
          </w:tcPr>
          <w:p>
            <w:pPr>
              <w:pStyle w:val="Compact"/>
              <w:spacing w:after="40" w:before="40"/>
              <w:jc w:val="left"/>
            </w:pPr>
            <w:r>
              <w:rPr>
                <w:rFonts w:ascii="Cambria" w:hAnsi="Cambria" w:cs="Cambria" w:eastAsia="Cambria"/>
                <w:color w:val="1A1A1A"/>
                <w:sz w:val="18"/>
              </w:rPr>
              <w:t xml:space="preserve">~ 8,8 miliardi di euro; disavanzo ~ 350 milioni</w:t>
            </w:r>
          </w:p>
        </w:tc>
      </w:tr>
      <w:tr>
        <w:tc>
          <w:tcPr/>
          <w:p>
            <w:pPr>
              <w:pStyle w:val="Compact"/>
              <w:spacing w:after="40" w:before="40"/>
              <w:jc w:val="left"/>
            </w:pPr>
            <w:r>
              <w:rPr>
                <w:rFonts w:ascii="Cambria" w:hAnsi="Cambria" w:cs="Cambria" w:eastAsia="Cambria"/>
                <w:b/>
                <w:bCs/>
                <w:color w:val="1A1A1A"/>
                <w:sz w:val="18"/>
              </w:rPr>
              <w:t xml:space="preserve">Mobilità passiva (2023)</w:t>
            </w:r>
          </w:p>
        </w:tc>
        <w:tc>
          <w:tcPr/>
          <w:p>
            <w:pPr>
              <w:pStyle w:val="Compact"/>
              <w:spacing w:after="40" w:before="40"/>
              <w:jc w:val="left"/>
            </w:pPr>
            <w:r>
              <w:rPr>
                <w:rFonts w:ascii="Cambria" w:hAnsi="Cambria" w:cs="Cambria" w:eastAsia="Cambria"/>
                <w:color w:val="1A1A1A"/>
                <w:sz w:val="18"/>
              </w:rPr>
              <w:t xml:space="preserve">Saldo −253,2 milioni; ~240 milioni nel 2024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37 presidi; ~1.142.000 accessi/anno; ~914.000 inappropriati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Tra i consumi più alti d’Italia (1.081,9 DDD/1000 ab. die)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~780.000 con disagio/sottosoglia; ~55.000 in carico ai DSM; 18.939 nuovi (2023)</w:t>
            </w:r>
          </w:p>
        </w:tc>
      </w:tr>
      <w:tr>
        <w:tc>
          <w:tcPr/>
          <w:p>
            <w:pPr>
              <w:pStyle w:val="Compact"/>
              <w:spacing w:after="40" w:before="40"/>
              <w:jc w:val="left"/>
            </w:pPr>
            <w:r>
              <w:rPr>
                <w:rFonts w:ascii="Cambria" w:hAnsi="Cambria" w:cs="Cambria" w:eastAsia="Cambria"/>
                <w:b/>
                <w:bCs/>
                <w:color w:val="1A1A1A"/>
                <w:sz w:val="18"/>
              </w:rPr>
              <w:t xml:space="preserve">Servizio attuale (L.R. 11/2023)</w:t>
            </w:r>
          </w:p>
        </w:tc>
        <w:tc>
          <w:tcPr/>
          <w:p>
            <w:pPr>
              <w:pStyle w:val="Compact"/>
              <w:spacing w:after="40" w:before="40"/>
              <w:jc w:val="left"/>
            </w:pPr>
            <w:r>
              <w:rPr>
                <w:rFonts w:ascii="Cambria" w:hAnsi="Cambria" w:cs="Cambria" w:eastAsia="Cambria"/>
                <w:color w:val="1A1A1A"/>
                <w:sz w:val="18"/>
              </w:rPr>
              <w:t xml:space="preserve">~45 psicologi (uno per distretto); 1,5 milioni/anno; ~5% del fabbisogno</w:t>
            </w:r>
          </w:p>
        </w:tc>
      </w:tr>
    </w:tbl>
    <w:p>
      <w:pPr>
        <w:pStyle w:val="BodyText"/>
      </w:pPr>
      <w:r>
        <w:rPr>
          <w:i/>
          <w:iCs/>
        </w:rPr>
        <w:t xml:space="preserve">Tabella C.1. I valori regionali di ancoraggio (Corte dei Conti, GIMBE, emergenza-urgenza, AIFA-OsMed, Ministero della Salute, ISTAT).</w:t>
      </w:r>
    </w:p>
    <w:p>
      <w:pPr>
        <w:pStyle w:val="BodyText"/>
      </w:pPr>
      <w:r>
        <w:t xml:space="preserve">La seconda tabella elenca i dati ancora da acquisire presso l’agenzia regionale e le aziende sanitarie, la cui acquisizione costituisce — come dichiarato nella Parte M — la lacuna principale dello studio e l’investimento conoscitivo prioritario, poiché consentirà di sostituire le grandezze ricostruite con misure certificate.</w:t>
      </w:r>
      <w:r>
        <w:rPr>
          <w:rStyle w:val="FootnoteReference"/>
        </w:rPr>
        <w:footnoteReference w:id="1190"/>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Dato da acquisire</w:t>
            </w:r>
          </w:p>
        </w:tc>
      </w:tr>
      <w:tr>
        <w:tc>
          <w:tcPr/>
          <w:p>
            <w:pPr>
              <w:pStyle w:val="Compact"/>
              <w:spacing w:after="40" w:before="40"/>
              <w:jc w:val="left"/>
            </w:pPr>
            <w:r>
              <w:rPr>
                <w:rFonts w:ascii="Cambria" w:hAnsi="Cambria" w:cs="Cambria" w:eastAsia="Cambria"/>
                <w:b/>
                <w:bCs/>
                <w:color w:val="1A1A1A"/>
                <w:sz w:val="18"/>
              </w:rPr>
              <w:t xml:space="preserve">Ricoveri psichiatrici</w:t>
            </w:r>
          </w:p>
        </w:tc>
        <w:tc>
          <w:tcPr/>
          <w:p>
            <w:pPr>
              <w:pStyle w:val="Compact"/>
              <w:spacing w:after="40" w:before="40"/>
              <w:jc w:val="left"/>
            </w:pPr>
            <w:r>
              <w:rPr>
                <w:rFonts w:ascii="Cambria" w:hAnsi="Cambria" w:cs="Cambria" w:eastAsia="Cambria"/>
                <w:color w:val="1A1A1A"/>
                <w:sz w:val="18"/>
              </w:rPr>
              <w:t xml:space="preserve">Schede di dimissione ospedaliera per disturbi psichici e relativo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passiva</w:t>
            </w:r>
          </w:p>
        </w:tc>
        <w:tc>
          <w:tcPr>
            <w:shd w:val="clear" w:color="auto" w:fill="F4F1EC"/>
          </w:tcPr>
          <w:p>
            <w:pPr>
              <w:pStyle w:val="Compact"/>
              <w:spacing w:after="40" w:before="40"/>
              <w:jc w:val="left"/>
            </w:pPr>
            <w:r>
              <w:rPr>
                <w:rFonts w:ascii="Cambria" w:hAnsi="Cambria" w:cs="Cambria" w:eastAsia="Cambria"/>
                <w:color w:val="1A1A1A"/>
                <w:sz w:val="18"/>
              </w:rPr>
              <w:t xml:space="preserve">Composizione per disciplina, per isolarne la quota psichiatrica</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Spesa regionale per 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causa psichiatrica</w:t>
            </w:r>
          </w:p>
        </w:tc>
      </w:tr>
    </w:tbl>
    <w:p>
      <w:pPr>
        <w:pStyle w:val="BodyText"/>
      </w:pPr>
      <w:r>
        <w:rPr>
          <w:i/>
          <w:iCs/>
        </w:rPr>
        <w:t xml:space="preserve">Tabella C.2. I dati certificati da acquisire per sostituire le stime (lacuna principale dello studio).</w:t>
      </w:r>
    </w:p>
    <w:bookmarkEnd w:id="2533"/>
    <w:bookmarkStart w:id="2536" w:name="appendice-d-checklist-di-reporting-1"/>
    <w:p>
      <w:pPr>
        <w:pStyle w:val="Heading2"/>
      </w:pPr>
      <w:r>
        <w:t xml:space="preserve">Appendice D — Checklist di reporting</w:t>
      </w:r>
    </w:p>
    <w:p>
      <w:pPr>
        <w:pStyle w:val="FirstParagraph"/>
      </w:pPr>
      <w:r>
        <w:t xml:space="preserve">Questa appendice riepiloga le liste di controllo e gli standard di reporting adottati dallo studio, a garanzia di trasparenza e riproducibilità. L’adesione a tali standard non è un adempimento formale, ma la condizione perché lo studio sia documentato, verificabile e confrontabile; ciascuno standard è applicato alla parte dello studio di sua competenza.</w:t>
      </w:r>
      <w:r>
        <w:rPr>
          <w:rStyle w:val="FootnoteReference"/>
        </w:rPr>
        <w:footnoteReference w:id="1191"/>
      </w:r>
      <w:r>
        <w:t xml:space="preserve"> </w:t>
      </w:r>
      <w:r>
        <w:t xml:space="preserve">La tabella seguente li riepiloga, con l’oggetto e l’applicazione nello studio.</w:t>
      </w:r>
      <w:r>
        <w:rPr>
          <w:rStyle w:val="FootnoteReference"/>
        </w:rPr>
        <w:footnoteReference w:id="1192"/>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Standard o lista di controllo</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r>
      <w:tr>
        <w:tc>
          <w:tcPr/>
          <w:p>
            <w:pPr>
              <w:pStyle w:val="Compact"/>
              <w:spacing w:after="40" w:before="40"/>
              <w:jc w:val="left"/>
            </w:pPr>
            <w:r>
              <w:rPr>
                <w:rFonts w:ascii="Cambria" w:hAnsi="Cambria" w:cs="Cambria" w:eastAsia="Cambria"/>
                <w:b/>
                <w:bCs/>
                <w:color w:val="1A1A1A"/>
                <w:sz w:val="18"/>
              </w:rPr>
              <w:t xml:space="preserve">CHEERS 2022 (28 voci)</w:t>
            </w:r>
          </w:p>
        </w:tc>
        <w:tc>
          <w:tcPr/>
          <w:p>
            <w:pPr>
              <w:pStyle w:val="Compact"/>
              <w:spacing w:after="40" w:before="40"/>
              <w:jc w:val="left"/>
            </w:pPr>
            <w:r>
              <w:rPr>
                <w:rFonts w:ascii="Cambria" w:hAnsi="Cambria" w:cs="Cambria" w:eastAsia="Cambria"/>
                <w:color w:val="1A1A1A"/>
                <w:sz w:val="18"/>
              </w:rPr>
              <w:t xml:space="preserve">Rendicontazione delle valutazioni economiche</w:t>
            </w:r>
          </w:p>
        </w:tc>
        <w:tc>
          <w:tcPr/>
          <w:p>
            <w:pPr>
              <w:pStyle w:val="Compact"/>
              <w:spacing w:after="40" w:before="40"/>
              <w:jc w:val="left"/>
            </w:pPr>
            <w:r>
              <w:rPr>
                <w:rFonts w:ascii="Cambria" w:hAnsi="Cambria" w:cs="Cambria" w:eastAsia="Cambria"/>
                <w:color w:val="1A1A1A"/>
                <w:sz w:val="18"/>
              </w:rPr>
              <w:t xml:space="preserve">Parte 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CHEERS-AI (38 voci)</w:t>
            </w:r>
          </w:p>
        </w:tc>
        <w:tc>
          <w:tcPr>
            <w:shd w:val="clear" w:color="auto" w:fill="F4F1EC"/>
          </w:tcPr>
          <w:p>
            <w:pPr>
              <w:pStyle w:val="Compact"/>
              <w:spacing w:after="40" w:before="40"/>
              <w:jc w:val="left"/>
            </w:pPr>
            <w:r>
              <w:rPr>
                <w:rFonts w:ascii="Cambria" w:hAnsi="Cambria" w:cs="Cambria" w:eastAsia="Cambria"/>
                <w:color w:val="1A1A1A"/>
                <w:sz w:val="18"/>
              </w:rPr>
              <w:t xml:space="preserve">Estensione per gli interventi con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Parti C, E</w:t>
            </w:r>
          </w:p>
        </w:tc>
      </w:tr>
      <w:tr>
        <w:tc>
          <w:tcPr/>
          <w:p>
            <w:pPr>
              <w:pStyle w:val="Compact"/>
              <w:spacing w:after="40" w:before="40"/>
              <w:jc w:val="left"/>
            </w:pPr>
            <w:r>
              <w:rPr>
                <w:rFonts w:ascii="Cambria" w:hAnsi="Cambria" w:cs="Cambria" w:eastAsia="Cambria"/>
                <w:b/>
                <w:bCs/>
                <w:color w:val="1A1A1A"/>
                <w:sz w:val="18"/>
              </w:rPr>
              <w:t xml:space="preserve">PRISMA 2020</w:t>
            </w:r>
          </w:p>
        </w:tc>
        <w:tc>
          <w:tcPr/>
          <w:p>
            <w:pPr>
              <w:pStyle w:val="Compact"/>
              <w:spacing w:after="40" w:before="40"/>
              <w:jc w:val="left"/>
            </w:pPr>
            <w:r>
              <w:rPr>
                <w:rFonts w:ascii="Cambria" w:hAnsi="Cambria" w:cs="Cambria" w:eastAsia="Cambria"/>
                <w:color w:val="1A1A1A"/>
                <w:sz w:val="18"/>
              </w:rPr>
              <w:t xml:space="preserve">Conduzione e reporting delle revisioni sistematiche</w:t>
            </w:r>
          </w:p>
        </w:tc>
        <w:tc>
          <w:tcPr/>
          <w:p>
            <w:pPr>
              <w:pStyle w:val="Compact"/>
              <w:spacing w:after="40" w:before="40"/>
              <w:jc w:val="left"/>
            </w:pPr>
            <w:r>
              <w:rPr>
                <w:rFonts w:ascii="Cambria" w:hAnsi="Cambria" w:cs="Cambria" w:eastAsia="Cambria"/>
                <w:color w:val="1A1A1A"/>
                <w:sz w:val="18"/>
              </w:rPr>
              <w:t xml:space="preserve">Parte 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GRADE</w:t>
            </w:r>
          </w:p>
        </w:tc>
        <w:tc>
          <w:tcPr>
            <w:shd w:val="clear" w:color="auto" w:fill="F4F1EC"/>
          </w:tcPr>
          <w:p>
            <w:pPr>
              <w:pStyle w:val="Compact"/>
              <w:spacing w:after="40" w:before="40"/>
              <w:jc w:val="left"/>
            </w:pPr>
            <w:r>
              <w:rPr>
                <w:rFonts w:ascii="Cambria" w:hAnsi="Cambria" w:cs="Cambria" w:eastAsia="Cambria"/>
                <w:color w:val="1A1A1A"/>
                <w:sz w:val="18"/>
              </w:rPr>
              <w:t xml:space="preserve">Graduazione della certezza dell’evidenza</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r>
      <w:tr>
        <w:tc>
          <w:tcPr/>
          <w:p>
            <w:pPr>
              <w:pStyle w:val="Compact"/>
              <w:spacing w:after="40" w:before="40"/>
              <w:jc w:val="left"/>
            </w:pPr>
            <w:r>
              <w:rPr>
                <w:rFonts w:ascii="Cambria" w:hAnsi="Cambria" w:cs="Cambria" w:eastAsia="Cambria"/>
                <w:b/>
                <w:bCs/>
                <w:color w:val="1A1A1A"/>
                <w:sz w:val="18"/>
              </w:rPr>
              <w:t xml:space="preserve">Lista STROBE</w:t>
            </w:r>
          </w:p>
        </w:tc>
        <w:tc>
          <w:tcPr/>
          <w:p>
            <w:pPr>
              <w:pStyle w:val="Compact"/>
              <w:spacing w:after="40" w:before="40"/>
              <w:jc w:val="left"/>
            </w:pPr>
            <w:r>
              <w:rPr>
                <w:rFonts w:ascii="Cambria" w:hAnsi="Cambria" w:cs="Cambria" w:eastAsia="Cambria"/>
                <w:color w:val="1A1A1A"/>
                <w:sz w:val="18"/>
              </w:rPr>
              <w:t xml:space="preserve">Studi osservazionali sui dati reali</w:t>
            </w:r>
          </w:p>
        </w:tc>
        <w:tc>
          <w:tcPr/>
          <w:p>
            <w:pPr>
              <w:pStyle w:val="Compact"/>
              <w:spacing w:after="40" w:before="40"/>
              <w:jc w:val="left"/>
            </w:pPr>
            <w:r>
              <w:rPr>
                <w:rFonts w:ascii="Cambria" w:hAnsi="Cambria" w:cs="Cambria" w:eastAsia="Cambria"/>
                <w:color w:val="1A1A1A"/>
                <w:sz w:val="18"/>
              </w:rPr>
              <w:t xml:space="preserve">Parti D,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Buone pratiche ISPOR-SMDM</w:t>
            </w:r>
          </w:p>
        </w:tc>
        <w:tc>
          <w:tcPr>
            <w:shd w:val="clear" w:color="auto" w:fill="F4F1EC"/>
          </w:tcPr>
          <w:p>
            <w:pPr>
              <w:pStyle w:val="Compact"/>
              <w:spacing w:after="40" w:before="40"/>
              <w:jc w:val="left"/>
            </w:pPr>
            <w:r>
              <w:rPr>
                <w:rFonts w:ascii="Cambria" w:hAnsi="Cambria" w:cs="Cambria" w:eastAsia="Cambria"/>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r>
      <w:tr>
        <w:tc>
          <w:tcPr/>
          <w:p>
            <w:pPr>
              <w:pStyle w:val="Compact"/>
              <w:spacing w:after="40" w:before="40"/>
              <w:jc w:val="left"/>
            </w:pPr>
            <w:r>
              <w:rPr>
                <w:rFonts w:ascii="Cambria" w:hAnsi="Cambria" w:cs="Cambria" w:eastAsia="Cambria"/>
                <w:b/>
                <w:bCs/>
                <w:color w:val="1A1A1A"/>
                <w:sz w:val="18"/>
              </w:rPr>
              <w:t xml:space="preserve">Manuale OCSE-JRC</w:t>
            </w:r>
          </w:p>
        </w:tc>
        <w:tc>
          <w:tcPr/>
          <w:p>
            <w:pPr>
              <w:pStyle w:val="Compact"/>
              <w:spacing w:after="40" w:before="40"/>
              <w:jc w:val="left"/>
            </w:pPr>
            <w:r>
              <w:rPr>
                <w:rFonts w:ascii="Cambria" w:hAnsi="Cambria" w:cs="Cambria" w:eastAsia="Cambria"/>
                <w:color w:val="1A1A1A"/>
                <w:sz w:val="18"/>
              </w:rPr>
              <w:t xml:space="preserve">Costruzione degli indicatori compositi</w:t>
            </w:r>
          </w:p>
        </w:tc>
        <w:tc>
          <w:tcPr/>
          <w:p>
            <w:pPr>
              <w:pStyle w:val="Compact"/>
              <w:spacing w:after="40" w:before="40"/>
              <w:jc w:val="left"/>
            </w:pPr>
            <w:r>
              <w:rPr>
                <w:rFonts w:ascii="Cambria" w:hAnsi="Cambria" w:cs="Cambria" w:eastAsia="Cambria"/>
                <w:color w:val="1A1A1A"/>
                <w:sz w:val="18"/>
              </w:rPr>
              <w:t xml:space="preserve">Parte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Griglia di giudizio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r>
    </w:tbl>
    <w:p>
      <w:pPr>
        <w:pStyle w:val="BodyText"/>
      </w:pPr>
      <w:r>
        <w:rPr>
          <w:i/>
          <w:iCs/>
        </w:rPr>
        <w:t xml:space="preserve">Tabella D.1. Gli standard di reporting e di qualità adottati nello studio, per parte di applicazione.</w:t>
      </w:r>
    </w:p>
    <w:bookmarkEnd w:id="2536"/>
    <w:bookmarkStart w:id="2538" w:name="appendice-e-glossario-1"/>
    <w:p>
      <w:pPr>
        <w:pStyle w:val="Heading2"/>
      </w:pPr>
      <w:r>
        <w:t xml:space="preserve">Appendice E — Glossario</w:t>
      </w:r>
    </w:p>
    <w:p>
      <w:pPr>
        <w:pStyle w:val="FirstParagraph"/>
      </w:pPr>
      <w:r>
        <w:t xml:space="preserve">Questa appendice raccoglie le definizioni dei principali termini tecnici impiegati nello studio, ordinate in modo da rendere il documento leggibile anche ai destinatari non specialisti. Le definizioni sono sintetiche e funzionali alla comprensione del testo, e non sostituiscono i riferimenti tecnici puntuali contenuti nelle singole parti.</w:t>
      </w:r>
      <w:r>
        <w:rPr>
          <w:rStyle w:val="FootnoteReference"/>
        </w:rPr>
        <w:footnoteReference w:id="1193"/>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Termine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w:t>
            </w:r>
          </w:p>
        </w:tc>
      </w:tr>
      <w:tr>
        <w:tc>
          <w:tcPr/>
          <w:p>
            <w:pPr>
              <w:pStyle w:val="Compact"/>
              <w:spacing w:after="40" w:before="40"/>
              <w:jc w:val="left"/>
            </w:pPr>
            <w:r>
              <w:rPr>
                <w:rFonts w:ascii="Cambria" w:hAnsi="Cambria" w:cs="Cambria" w:eastAsia="Cambria"/>
                <w:b/>
                <w:bCs/>
                <w:color w:val="1A1A1A"/>
                <w:sz w:val="18"/>
              </w:rPr>
              <w:t xml:space="preserve">Valutazione di tecnologia sanitaria (HTA)</w:t>
            </w:r>
          </w:p>
        </w:tc>
        <w:tc>
          <w:tcPr/>
          <w:p>
            <w:pPr>
              <w:pStyle w:val="Compact"/>
              <w:spacing w:after="40" w:before="40"/>
              <w:jc w:val="left"/>
            </w:pPr>
            <w:r>
              <w:rPr>
                <w:rFonts w:ascii="Cambria" w:hAnsi="Cambria" w:cs="Cambria" w:eastAsia="Cambria"/>
                <w:color w:val="1A1A1A"/>
                <w:sz w:val="18"/>
              </w:rPr>
              <w:t xml:space="preserve">Valutazione multidimensionale di un intervento sanitario, articolata in nove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rapida di efficacia relativa</w:t>
            </w:r>
          </w:p>
        </w:tc>
        <w:tc>
          <w:tcPr>
            <w:shd w:val="clear" w:color="auto" w:fill="F4F1EC"/>
          </w:tcPr>
          <w:p>
            <w:pPr>
              <w:pStyle w:val="Compact"/>
              <w:spacing w:after="40" w:before="40"/>
              <w:jc w:val="left"/>
            </w:pPr>
            <w:r>
              <w:rPr>
                <w:rFonts w:ascii="Cambria" w:hAnsi="Cambria" w:cs="Cambria" w:eastAsia="Cambria"/>
                <w:color w:val="1A1A1A"/>
                <w:sz w:val="18"/>
              </w:rPr>
              <w:t xml:space="preserve">Nucleo dell’HTA, che copre i primi quattro domini (problema, descrizione, sicurezza, efficacia)</w:t>
            </w:r>
          </w:p>
        </w:tc>
      </w:tr>
      <w:tr>
        <w:tc>
          <w:tcPr/>
          <w:p>
            <w:pPr>
              <w:pStyle w:val="Compact"/>
              <w:spacing w:after="40" w:before="40"/>
              <w:jc w:val="left"/>
            </w:pPr>
            <w:r>
              <w:rPr>
                <w:rFonts w:ascii="Cambria" w:hAnsi="Cambria" w:cs="Cambria" w:eastAsia="Cambria"/>
                <w:b/>
                <w:bCs/>
                <w:color w:val="1A1A1A"/>
                <w:sz w:val="18"/>
              </w:rPr>
              <w:t xml:space="preserve">Five Case Model</w:t>
            </w:r>
          </w:p>
        </w:tc>
        <w:tc>
          <w:tcPr/>
          <w:p>
            <w:pPr>
              <w:pStyle w:val="Compact"/>
              <w:spacing w:after="40" w:before="40"/>
              <w:jc w:val="left"/>
            </w:pPr>
            <w:r>
              <w:rPr>
                <w:rFonts w:ascii="Cambria" w:hAnsi="Cambria" w:cs="Cambria" w:eastAsia="Cambria"/>
                <w:color w:val="1A1A1A"/>
                <w:sz w:val="18"/>
              </w:rPr>
              <w:t xml:space="preserve">Standard del business case pubblico in cinque casi: strategico, economico, commerciale, finanziario, gestionale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 2022</w:t>
            </w:r>
          </w:p>
        </w:tc>
        <w:tc>
          <w:tcPr>
            <w:shd w:val="clear" w:color="auto" w:fill="F4F1EC"/>
          </w:tcPr>
          <w:p>
            <w:pPr>
              <w:pStyle w:val="Compact"/>
              <w:spacing w:after="40" w:before="40"/>
              <w:jc w:val="left"/>
            </w:pPr>
            <w:r>
              <w:rPr>
                <w:rFonts w:ascii="Cambria" w:hAnsi="Cambria" w:cs="Cambria" w:eastAsia="Cambria"/>
                <w:color w:val="1A1A1A"/>
                <w:sz w:val="18"/>
              </w:rPr>
              <w:t xml:space="preserve">Lista di controllo di 28 voci per la rendicontazione delle valutazioni economiche</w:t>
            </w:r>
          </w:p>
        </w:tc>
      </w:tr>
      <w:tr>
        <w:tc>
          <w:tcPr/>
          <w:p>
            <w:pPr>
              <w:pStyle w:val="Compact"/>
              <w:spacing w:after="40" w:before="40"/>
              <w:jc w:val="left"/>
            </w:pPr>
            <w:r>
              <w:rPr>
                <w:rFonts w:ascii="Cambria" w:hAnsi="Cambria" w:cs="Cambria" w:eastAsia="Cambria"/>
                <w:b/>
                <w:bCs/>
                <w:color w:val="1A1A1A"/>
                <w:sz w:val="18"/>
              </w:rPr>
              <w:t xml:space="preserve">Criteri OCSE-DAC</w:t>
            </w:r>
          </w:p>
        </w:tc>
        <w:tc>
          <w:tcPr/>
          <w:p>
            <w:pPr>
              <w:pStyle w:val="Compact"/>
              <w:spacing w:after="40" w:before="40"/>
              <w:jc w:val="left"/>
            </w:pPr>
            <w:r>
              <w:rPr>
                <w:rFonts w:ascii="Cambria" w:hAnsi="Cambria" w:cs="Cambria" w:eastAsia="Cambria"/>
                <w:color w:val="1A1A1A"/>
                <w:sz w:val="18"/>
              </w:rPr>
              <w:t xml:space="preserve">Sei criteri di giudizio: rilevanza, coerenza, efficacia, efficienza, impatto,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di vita ponderato per la qualità (QALY)</w:t>
            </w:r>
          </w:p>
        </w:tc>
        <w:tc>
          <w:tcPr>
            <w:shd w:val="clear" w:color="auto" w:fill="F4F1EC"/>
          </w:tcPr>
          <w:p>
            <w:pPr>
              <w:pStyle w:val="Compact"/>
              <w:spacing w:after="40" w:before="40"/>
              <w:jc w:val="left"/>
            </w:pPr>
            <w:r>
              <w:rPr>
                <w:rFonts w:ascii="Cambria" w:hAnsi="Cambria" w:cs="Cambria" w:eastAsia="Cambria"/>
                <w:color w:val="1A1A1A"/>
                <w:sz w:val="18"/>
              </w:rPr>
              <w:t xml:space="preserve">Misura che integra durata e qualità della vita guadagnate</w:t>
            </w:r>
          </w:p>
        </w:tc>
      </w:tr>
      <w:tr>
        <w:tc>
          <w:tcPr/>
          <w:p>
            <w:pPr>
              <w:pStyle w:val="Compact"/>
              <w:spacing w:after="40" w:before="40"/>
              <w:jc w:val="left"/>
            </w:pPr>
            <w:r>
              <w:rPr>
                <w:rFonts w:ascii="Cambria" w:hAnsi="Cambria" w:cs="Cambria" w:eastAsia="Cambria"/>
                <w:b/>
                <w:bCs/>
                <w:color w:val="1A1A1A"/>
                <w:sz w:val="18"/>
              </w:rPr>
              <w:t xml:space="preserve">Rapporto incrementale di costo-efficacia (ICER)</w:t>
            </w:r>
          </w:p>
        </w:tc>
        <w:tc>
          <w:tcPr/>
          <w:p>
            <w:pPr>
              <w:pStyle w:val="Compact"/>
              <w:spacing w:after="40" w:before="40"/>
              <w:jc w:val="left"/>
            </w:pPr>
            <w:r>
              <w:rPr>
                <w:rFonts w:ascii="Cambria" w:hAnsi="Cambria" w:cs="Cambria" w:eastAsia="Cambria"/>
                <w:color w:val="1A1A1A"/>
                <w:sz w:val="18"/>
              </w:rPr>
              <w:t xml:space="preserve">Rapporto tra costo aggiuntivo e guadagno di salute, confrontato con una soglia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costo-utilità</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che misura gli esiti in anni di vita ponderati per la qualità</w:t>
            </w:r>
          </w:p>
        </w:tc>
      </w:tr>
      <w:tr>
        <w:tc>
          <w:tcPr/>
          <w:p>
            <w:pPr>
              <w:pStyle w:val="Compact"/>
              <w:spacing w:after="40" w:before="40"/>
              <w:jc w:val="left"/>
            </w:pPr>
            <w:r>
              <w:rPr>
                <w:rFonts w:ascii="Cambria" w:hAnsi="Cambria" w:cs="Cambria" w:eastAsia="Cambria"/>
                <w:b/>
                <w:bCs/>
                <w:color w:val="1A1A1A"/>
                <w:sz w:val="18"/>
              </w:rPr>
              <w:t xml:space="preserve">Analisi di impatto sul bilancio</w:t>
            </w:r>
          </w:p>
        </w:tc>
        <w:tc>
          <w:tcPr/>
          <w:p>
            <w:pPr>
              <w:pStyle w:val="Compact"/>
              <w:spacing w:after="40" w:before="40"/>
              <w:jc w:val="left"/>
            </w:pPr>
            <w:r>
              <w:rPr>
                <w:rFonts w:ascii="Cambria" w:hAnsi="Cambria" w:cs="Cambria" w:eastAsia="Cambria"/>
                <w:color w:val="1A1A1A"/>
                <w:sz w:val="18"/>
              </w:rPr>
              <w:t xml:space="preserve">Stima dell’effetto finanziario sul bilancio del detentore del budget, su flussi non scontati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sull’investimento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Metodo che monetizza il valore sociale generato, distinto dai risparmi di bilancio</w:t>
            </w:r>
          </w:p>
        </w:tc>
      </w:tr>
      <w:tr>
        <w:tc>
          <w:tcPr/>
          <w:p>
            <w:pPr>
              <w:pStyle w:val="Compact"/>
              <w:spacing w:after="40" w:before="40"/>
              <w:jc w:val="left"/>
            </w:pPr>
            <w:r>
              <w:rPr>
                <w:rFonts w:ascii="Cambria" w:hAnsi="Cambria" w:cs="Cambria" w:eastAsia="Cambria"/>
                <w:b/>
                <w:bCs/>
                <w:color w:val="1A1A1A"/>
                <w:sz w:val="18"/>
              </w:rPr>
              <w:t xml:space="preserve">Analisi costo-efficacia distributiva (DCEA)</w:t>
            </w:r>
          </w:p>
        </w:tc>
        <w:tc>
          <w:tcPr/>
          <w:p>
            <w:pPr>
              <w:pStyle w:val="Compact"/>
              <w:spacing w:after="40" w:before="40"/>
              <w:jc w:val="left"/>
            </w:pPr>
            <w:r>
              <w:rPr>
                <w:rFonts w:ascii="Cambria" w:hAnsi="Cambria" w:cs="Cambria" w:eastAsia="Cambria"/>
                <w:color w:val="1A1A1A"/>
                <w:sz w:val="18"/>
              </w:rPr>
              <w:t xml:space="preserve">Estende la valutazione economica alla distribuzione degli effetti tra gruppi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sensibilità probabilistica</w:t>
            </w:r>
          </w:p>
        </w:tc>
        <w:tc>
          <w:tcPr>
            <w:shd w:val="clear" w:color="auto" w:fill="F4F1EC"/>
          </w:tcPr>
          <w:p>
            <w:pPr>
              <w:pStyle w:val="Compact"/>
              <w:spacing w:after="40" w:before="40"/>
              <w:jc w:val="left"/>
            </w:pPr>
            <w:r>
              <w:rPr>
                <w:rFonts w:ascii="Cambria" w:hAnsi="Cambria" w:cs="Cambria" w:eastAsia="Cambria"/>
                <w:color w:val="1A1A1A"/>
                <w:sz w:val="18"/>
              </w:rPr>
              <w:t xml:space="preserve">Propaga l’incertezza dei parametri mediante simulazioni Monte Carlo</w:t>
            </w:r>
          </w:p>
        </w:tc>
      </w:tr>
      <w:tr>
        <w:tc>
          <w:tcPr/>
          <w:p>
            <w:pPr>
              <w:pStyle w:val="Compact"/>
              <w:spacing w:after="40" w:before="40"/>
              <w:jc w:val="left"/>
            </w:pPr>
            <w:r>
              <w:rPr>
                <w:rFonts w:ascii="Cambria" w:hAnsi="Cambria" w:cs="Cambria" w:eastAsia="Cambria"/>
                <w:b/>
                <w:bCs/>
                <w:color w:val="1A1A1A"/>
                <w:sz w:val="18"/>
              </w:rPr>
              <w:t xml:space="preserve">Valore dell’informazione (EVPI, EVPPI)</w:t>
            </w:r>
          </w:p>
        </w:tc>
        <w:tc>
          <w:tcPr/>
          <w:p>
            <w:pPr>
              <w:pStyle w:val="Compact"/>
              <w:spacing w:after="40" w:before="40"/>
              <w:jc w:val="left"/>
            </w:pPr>
            <w:r>
              <w:rPr>
                <w:rFonts w:ascii="Cambria" w:hAnsi="Cambria" w:cs="Cambria" w:eastAsia="Cambria"/>
                <w:color w:val="1A1A1A"/>
                <w:sz w:val="18"/>
              </w:rPr>
              <w:t xml:space="preserve">Beneficio atteso dalla riduzione dell’incertezza, complessiva e sui parametri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Markov</w:t>
            </w:r>
          </w:p>
        </w:tc>
        <w:tc>
          <w:tcPr>
            <w:shd w:val="clear" w:color="auto" w:fill="F4F1EC"/>
          </w:tcPr>
          <w:p>
            <w:pPr>
              <w:pStyle w:val="Compact"/>
              <w:spacing w:after="40" w:before="40"/>
              <w:jc w:val="left"/>
            </w:pPr>
            <w:r>
              <w:rPr>
                <w:rFonts w:ascii="Cambria" w:hAnsi="Cambria" w:cs="Cambria" w:eastAsia="Cambria"/>
                <w:color w:val="1A1A1A"/>
                <w:sz w:val="18"/>
              </w:rPr>
              <w:t xml:space="preserve">Modello che rappresenta il decorso di una condizione attraverso stati di salute e transizioni</w:t>
            </w:r>
          </w:p>
        </w:tc>
      </w:tr>
      <w:tr>
        <w:tc>
          <w:tcPr/>
          <w:p>
            <w:pPr>
              <w:pStyle w:val="Compact"/>
              <w:spacing w:after="40" w:before="40"/>
              <w:jc w:val="left"/>
            </w:pPr>
            <w:r>
              <w:rPr>
                <w:rFonts w:ascii="Cambria" w:hAnsi="Cambria" w:cs="Cambria" w:eastAsia="Cambria"/>
                <w:b/>
                <w:bCs/>
                <w:color w:val="1A1A1A"/>
                <w:sz w:val="18"/>
              </w:rPr>
              <w:t xml:space="preserve">Differenza-nelle-differenze</w:t>
            </w:r>
          </w:p>
        </w:tc>
        <w:tc>
          <w:tcPr/>
          <w:p>
            <w:pPr>
              <w:pStyle w:val="Compact"/>
              <w:spacing w:after="40" w:before="40"/>
              <w:jc w:val="left"/>
            </w:pPr>
            <w:r>
              <w:rPr>
                <w:rFonts w:ascii="Cambria" w:hAnsi="Cambria" w:cs="Cambria" w:eastAsia="Cambria"/>
                <w:color w:val="1A1A1A"/>
                <w:sz w:val="18"/>
              </w:rPr>
              <w:t xml:space="preserve">Metodo controfattuale che confronta la variazione nel tempo dell’esito tra trattati e non trattati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Controllo sintetico</w:t>
            </w:r>
          </w:p>
        </w:tc>
        <w:tc>
          <w:tcPr>
            <w:shd w:val="clear" w:color="auto" w:fill="F4F1EC"/>
          </w:tcPr>
          <w:p>
            <w:pPr>
              <w:pStyle w:val="Compact"/>
              <w:spacing w:after="40" w:before="40"/>
              <w:jc w:val="left"/>
            </w:pPr>
            <w:r>
              <w:rPr>
                <w:rFonts w:ascii="Cambria" w:hAnsi="Cambria" w:cs="Cambria" w:eastAsia="Cambria"/>
                <w:color w:val="1A1A1A"/>
                <w:sz w:val="18"/>
              </w:rPr>
              <w:t xml:space="preserve">Metodo che costruisce un’unità di confronto come combinazione ponderata di unità non trattate</w:t>
            </w:r>
          </w:p>
        </w:tc>
      </w:tr>
      <w:tr>
        <w:tc>
          <w:tcPr/>
          <w:p>
            <w:pPr>
              <w:pStyle w:val="Compact"/>
              <w:spacing w:after="40" w:before="40"/>
              <w:jc w:val="left"/>
            </w:pPr>
            <w:r>
              <w:rPr>
                <w:rFonts w:ascii="Cambria" w:hAnsi="Cambria" w:cs="Cambria" w:eastAsia="Cambria"/>
                <w:b/>
                <w:bCs/>
                <w:color w:val="1A1A1A"/>
                <w:sz w:val="18"/>
              </w:rPr>
              <w:t xml:space="preserve">Dispiegamento scaglionato</w:t>
            </w:r>
          </w:p>
        </w:tc>
        <w:tc>
          <w:tcPr/>
          <w:p>
            <w:pPr>
              <w:pStyle w:val="Compact"/>
              <w:spacing w:after="40" w:before="40"/>
              <w:jc w:val="left"/>
            </w:pPr>
            <w:r>
              <w:rPr>
                <w:rFonts w:ascii="Cambria" w:hAnsi="Cambria" w:cs="Cambria" w:eastAsia="Cambria"/>
                <w:color w:val="1A1A1A"/>
                <w:sz w:val="18"/>
              </w:rPr>
              <w:t xml:space="preserve">Attivazione progressiva che rende le aree non ancora coperte gruppo di confronto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e verifica d’impatto della regolazione</w:t>
            </w:r>
          </w:p>
        </w:tc>
        <w:tc>
          <w:tcPr>
            <w:shd w:val="clear" w:color="auto" w:fill="F4F1EC"/>
          </w:tcPr>
          <w:p>
            <w:pPr>
              <w:pStyle w:val="Compact"/>
              <w:spacing w:after="40" w:before="40"/>
              <w:jc w:val="left"/>
            </w:pPr>
            <w:r>
              <w:rPr>
                <w:rFonts w:ascii="Cambria" w:hAnsi="Cambria" w:cs="Cambria" w:eastAsia="Cambria"/>
                <w:color w:val="1A1A1A"/>
                <w:sz w:val="18"/>
              </w:rPr>
              <w:t xml:space="preserve">Valutazione ex ante (AIR) ed ex post (VIR) degli effetti di una norma</w:t>
            </w:r>
          </w:p>
        </w:tc>
      </w:tr>
      <w:tr>
        <w:tc>
          <w:tcPr/>
          <w:p>
            <w:pPr>
              <w:pStyle w:val="Compact"/>
              <w:spacing w:after="40" w:before="40"/>
              <w:jc w:val="left"/>
            </w:pPr>
            <w:r>
              <w:rPr>
                <w:rFonts w:ascii="Cambria" w:hAnsi="Cambria" w:cs="Cambria" w:eastAsia="Cambria"/>
                <w:b/>
                <w:bCs/>
                <w:color w:val="1A1A1A"/>
                <w:sz w:val="18"/>
              </w:rPr>
              <w:t xml:space="preserve">Clausola valutativa</w:t>
            </w:r>
          </w:p>
        </w:tc>
        <w:tc>
          <w:tcPr/>
          <w:p>
            <w:pPr>
              <w:pStyle w:val="Compact"/>
              <w:spacing w:after="40" w:before="40"/>
              <w:jc w:val="left"/>
            </w:pPr>
            <w:r>
              <w:rPr>
                <w:rFonts w:ascii="Cambria" w:hAnsi="Cambria" w:cs="Cambria" w:eastAsia="Cambria"/>
                <w:color w:val="1A1A1A"/>
                <w:sz w:val="18"/>
              </w:rPr>
              <w:t xml:space="preserve">Strumento che impegna la Giunta a riferire al Consiglio sui risultati della riforma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RE-AIM</w:t>
            </w:r>
          </w:p>
        </w:tc>
        <w:tc>
          <w:tcPr>
            <w:shd w:val="clear" w:color="auto" w:fill="F4F1EC"/>
          </w:tcPr>
          <w:p>
            <w:pPr>
              <w:pStyle w:val="Compact"/>
              <w:spacing w:after="40" w:before="40"/>
              <w:jc w:val="left"/>
            </w:pPr>
            <w:r>
              <w:rPr>
                <w:rFonts w:ascii="Cambria" w:hAnsi="Cambria" w:cs="Cambria" w:eastAsia="Cambria"/>
                <w:color w:val="1A1A1A"/>
                <w:sz w:val="18"/>
              </w:rPr>
              <w:t xml:space="preserve">Quadro che misura portata, efficacia, adozione, implementazione e mantenimento di un intervento</w:t>
            </w:r>
          </w:p>
        </w:tc>
      </w:tr>
      <w:tr>
        <w:tc>
          <w:tcPr/>
          <w:p>
            <w:pPr>
              <w:pStyle w:val="Compact"/>
              <w:spacing w:after="40" w:before="40"/>
              <w:jc w:val="left"/>
            </w:pPr>
            <w:r>
              <w:rPr>
                <w:rFonts w:ascii="Cambria" w:hAnsi="Cambria" w:cs="Cambria" w:eastAsia="Cambria"/>
                <w:b/>
                <w:bCs/>
                <w:color w:val="1A1A1A"/>
                <w:sz w:val="18"/>
              </w:rPr>
              <w:t xml:space="preserve">CFIR</w:t>
            </w:r>
          </w:p>
        </w:tc>
        <w:tc>
          <w:tcPr/>
          <w:p>
            <w:pPr>
              <w:pStyle w:val="Compact"/>
              <w:spacing w:after="40" w:before="40"/>
              <w:jc w:val="left"/>
            </w:pPr>
            <w:r>
              <w:rPr>
                <w:rFonts w:ascii="Cambria" w:hAnsi="Cambria" w:cs="Cambria" w:eastAsia="Cambria"/>
                <w:color w:val="1A1A1A"/>
                <w:sz w:val="18"/>
              </w:rPr>
              <w:t xml:space="preserve">Quadro che spiega i determinanti dell’implementazione, in cinque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Donabedian</w:t>
            </w:r>
          </w:p>
        </w:tc>
        <w:tc>
          <w:tcPr>
            <w:shd w:val="clear" w:color="auto" w:fill="F4F1EC"/>
          </w:tcPr>
          <w:p>
            <w:pPr>
              <w:pStyle w:val="Compact"/>
              <w:spacing w:after="40" w:before="40"/>
              <w:jc w:val="left"/>
            </w:pPr>
            <w:r>
              <w:rPr>
                <w:rFonts w:ascii="Cambria" w:hAnsi="Cambria" w:cs="Cambria" w:eastAsia="Cambria"/>
                <w:color w:val="1A1A1A"/>
                <w:sz w:val="18"/>
              </w:rPr>
              <w:t xml:space="preserve">Classifica gli indicatori di qualità in struttura, processo ed esito, qui integrati dall’impatto</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Questionario validato per i sintomi depressivi (punteggio 0–27)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Questionario validato per i sintomi d’ansia (punteggio 0–21)</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Quota di pazienti che scende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r>
        <w:tc>
          <w:tcPr/>
          <w:p>
            <w:pPr>
              <w:pStyle w:val="Compact"/>
              <w:spacing w:after="40" w:before="40"/>
              <w:jc w:val="left"/>
            </w:pPr>
            <w:r>
              <w:rPr>
                <w:rFonts w:ascii="Cambria" w:hAnsi="Cambria" w:cs="Cambria" w:eastAsia="Cambria"/>
                <w:b/>
                <w:bCs/>
                <w:color w:val="1A1A1A"/>
                <w:sz w:val="18"/>
              </w:rPr>
              <w:t xml:space="preserve">Cura collaborativa</w:t>
            </w:r>
          </w:p>
        </w:tc>
        <w:tc>
          <w:tcPr/>
          <w:p>
            <w:pPr>
              <w:pStyle w:val="Compact"/>
              <w:spacing w:after="40" w:before="40"/>
              <w:jc w:val="left"/>
            </w:pPr>
            <w:r>
              <w:rPr>
                <w:rFonts w:ascii="Cambria" w:hAnsi="Cambria" w:cs="Cambria" w:eastAsia="Cambria"/>
                <w:color w:val="1A1A1A"/>
                <w:sz w:val="18"/>
              </w:rPr>
              <w:t xml:space="preserve">Modello di integrazione della salute mentale nelle cure primarie con équipe e monitoraggio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Cura a intensità crescente</w:t>
            </w:r>
          </w:p>
        </w:tc>
        <w:tc>
          <w:tcPr>
            <w:shd w:val="clear" w:color="auto" w:fill="F4F1EC"/>
          </w:tcPr>
          <w:p>
            <w:pPr>
              <w:pStyle w:val="Compact"/>
              <w:spacing w:after="40" w:before="40"/>
              <w:jc w:val="left"/>
            </w:pPr>
            <w:r>
              <w:rPr>
                <w:rFonts w:ascii="Cambria" w:hAnsi="Cambria" w:cs="Cambria" w:eastAsia="Cambria"/>
                <w:color w:val="1A1A1A"/>
                <w:sz w:val="18"/>
              </w:rPr>
              <w:t xml:space="preserve">Percorso che gradua l’intensità dell’intervento alla gravità del quadro</w:t>
            </w:r>
          </w:p>
        </w:tc>
      </w:tr>
      <w:tr>
        <w:tc>
          <w:tcPr/>
          <w:p>
            <w:pPr>
              <w:pStyle w:val="Compact"/>
              <w:spacing w:after="40" w:before="40"/>
              <w:jc w:val="left"/>
            </w:pPr>
            <w:r>
              <w:rPr>
                <w:rFonts w:ascii="Cambria" w:hAnsi="Cambria" w:cs="Cambria" w:eastAsia="Cambria"/>
                <w:b/>
                <w:bCs/>
                <w:color w:val="1A1A1A"/>
                <w:sz w:val="18"/>
              </w:rPr>
              <w:t xml:space="preserve">Livelli essenziali di assistenza (LEA)</w:t>
            </w:r>
          </w:p>
        </w:tc>
        <w:tc>
          <w:tcPr/>
          <w:p>
            <w:pPr>
              <w:pStyle w:val="Compact"/>
              <w:spacing w:after="40" w:before="40"/>
              <w:jc w:val="left"/>
            </w:pPr>
            <w:r>
              <w:rPr>
                <w:rFonts w:ascii="Cambria" w:hAnsi="Cambria" w:cs="Cambria" w:eastAsia="Cambria"/>
                <w:color w:val="1A1A1A"/>
                <w:sz w:val="18"/>
              </w:rPr>
              <w:t xml:space="preserve">Prestazioni garantite uniformemente dal Servizio sanitario;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passiva</w:t>
            </w:r>
          </w:p>
        </w:tc>
        <w:tc>
          <w:tcPr>
            <w:shd w:val="clear" w:color="auto" w:fill="F4F1EC"/>
          </w:tcPr>
          <w:p>
            <w:pPr>
              <w:pStyle w:val="Compact"/>
              <w:spacing w:after="40" w:before="40"/>
              <w:jc w:val="left"/>
            </w:pPr>
            <w:r>
              <w:rPr>
                <w:rFonts w:ascii="Cambria" w:hAnsi="Cambria" w:cs="Cambria" w:eastAsia="Cambria"/>
                <w:color w:val="1A1A1A"/>
                <w:sz w:val="18"/>
              </w:rPr>
              <w:t xml:space="preserve">Spesa per prestazioni rese ai residenti da strutture di altre regioni</w:t>
            </w:r>
          </w:p>
        </w:tc>
      </w:tr>
      <w:tr>
        <w:tc>
          <w:tcPr/>
          <w:p>
            <w:pPr>
              <w:pStyle w:val="Compact"/>
              <w:spacing w:after="40" w:before="40"/>
              <w:jc w:val="left"/>
            </w:pPr>
            <w:r>
              <w:rPr>
                <w:rFonts w:ascii="Cambria" w:hAnsi="Cambria" w:cs="Cambria" w:eastAsia="Cambria"/>
                <w:b/>
                <w:bCs/>
                <w:color w:val="1A1A1A"/>
                <w:sz w:val="18"/>
              </w:rPr>
              <w:t xml:space="preserve">Sintomi somatici funzionali</w:t>
            </w:r>
          </w:p>
        </w:tc>
        <w:tc>
          <w:tcPr/>
          <w:p>
            <w:pPr>
              <w:pStyle w:val="Compact"/>
              <w:spacing w:after="40" w:before="40"/>
              <w:jc w:val="left"/>
            </w:pPr>
            <w:r>
              <w:rPr>
                <w:rFonts w:ascii="Cambria" w:hAnsi="Cambria" w:cs="Cambria" w:eastAsia="Cambria"/>
                <w:color w:val="1A1A1A"/>
                <w:sz w:val="18"/>
              </w:rPr>
              <w:t xml:space="preserve">Sintomi fisici senza causa organica, associati a elevato consumo di prestazioni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concentrazione</w:t>
            </w:r>
          </w:p>
        </w:tc>
        <w:tc>
          <w:tcPr>
            <w:shd w:val="clear" w:color="auto" w:fill="F4F1EC"/>
          </w:tcPr>
          <w:p>
            <w:pPr>
              <w:pStyle w:val="Compact"/>
              <w:spacing w:after="40" w:before="40"/>
              <w:jc w:val="left"/>
            </w:pPr>
            <w:r>
              <w:rPr>
                <w:rFonts w:ascii="Cambria" w:hAnsi="Cambria" w:cs="Cambria" w:eastAsia="Cambria"/>
                <w:color w:val="1A1A1A"/>
                <w:sz w:val="18"/>
              </w:rPr>
              <w:t xml:space="preserve">Misura che lega l’esito di salute alla posizione socio-economica</w:t>
            </w:r>
          </w:p>
        </w:tc>
      </w:tr>
      <w:tr>
        <w:tc>
          <w:tcPr/>
          <w:p>
            <w:pPr>
              <w:pStyle w:val="Compact"/>
              <w:spacing w:after="40" w:before="40"/>
              <w:jc w:val="left"/>
            </w:pPr>
            <w:r>
              <w:rPr>
                <w:rFonts w:ascii="Cambria" w:hAnsi="Cambria" w:cs="Cambria" w:eastAsia="Cambria"/>
                <w:b/>
                <w:bCs/>
                <w:color w:val="1A1A1A"/>
                <w:sz w:val="18"/>
              </w:rPr>
              <w:t xml:space="preserve">Peso morto</w:t>
            </w:r>
          </w:p>
        </w:tc>
        <w:tc>
          <w:tcPr/>
          <w:p>
            <w:pPr>
              <w:pStyle w:val="Compact"/>
              <w:spacing w:after="40" w:before="40"/>
              <w:jc w:val="left"/>
            </w:pPr>
            <w:r>
              <w:rPr>
                <w:rFonts w:ascii="Cambria" w:hAnsi="Cambria" w:cs="Cambria" w:eastAsia="Cambria"/>
                <w:color w:val="1A1A1A"/>
                <w:sz w:val="18"/>
              </w:rPr>
              <w:t xml:space="preserve">Quota dell’esito che si sarebbe verificata anche senza l’intervento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Soglia di disponibilità a pagare</w:t>
            </w:r>
          </w:p>
        </w:tc>
        <w:tc>
          <w:tcPr>
            <w:shd w:val="clear" w:color="auto" w:fill="F4F1EC"/>
          </w:tcPr>
          <w:p>
            <w:pPr>
              <w:pStyle w:val="Compact"/>
              <w:spacing w:after="40" w:before="40"/>
              <w:jc w:val="left"/>
            </w:pPr>
            <w:r>
              <w:rPr>
                <w:rFonts w:ascii="Cambria" w:hAnsi="Cambria" w:cs="Cambria" w:eastAsia="Cambria"/>
                <w:color w:val="1A1A1A"/>
                <w:sz w:val="18"/>
              </w:rPr>
              <w:t xml:space="preserve">Valore monetario massimo attribuito a un anno di vita ponderato (riferimento 30.000 €)</w:t>
            </w:r>
          </w:p>
        </w:tc>
      </w:tr>
    </w:tbl>
    <w:p>
      <w:pPr>
        <w:pStyle w:val="BodyText"/>
      </w:pPr>
      <w:r>
        <w:rPr>
          <w:i/>
          <w:iCs/>
        </w:rPr>
        <w:t xml:space="preserve">Tabella E.1. Glossario dei principali termini tecnici impiegati nello studio.</w:t>
      </w:r>
    </w:p>
    <w:p>
      <w:pPr>
        <w:pStyle w:val="BodyText"/>
      </w:pPr>
      <w:r>
        <w:t xml:space="preserve">Con questa appendice si conclude il corredo documentale dello studio integrale per la Puglia. L’insieme delle undici parti narrative, dalla A alla M, e delle cinque appendici, dalla A alla E, costituisce un’architettura completa e autosufficiente, costruita sul telaio integrato e fondata sulla distinzione, mantenuta in ogni parte, tra ciò che il servizio fa risparmiare al bilancio e ciò che restituisce alla società. Lo stesso impianto, mutati i soli dati di ingresso, è trasferibile a ciascuna delle altre regioni.</w:t>
      </w:r>
    </w:p>
    <w:p>
      <w:pPr>
        <w:pStyle w:val="BodyText"/>
      </w:pPr>
      <w:r>
        <w:t xml:space="preserve">92</w:t>
      </w:r>
    </w:p>
    <w:p>
      <w:pPr>
        <w:pStyle w:val="BodyText"/>
      </w:pPr>
      <w:r>
        <w:t xml:space="preserve">92</w:t>
      </w:r>
    </w:p>
    <w:p>
      <w:r>
        <w:br w:type="page"/>
      </w:r>
    </w:p>
    <w:bookmarkEnd w:id="2538"/>
    <w:bookmarkEnd w:id="2539"/>
    <w:bookmarkStart w:id="2586" w:name="Xbb75884d947f385771a51cc072b523d0b314759"/>
    <w:p>
      <w:pPr>
        <w:pStyle w:val="Heading1"/>
      </w:pPr>
      <w:r>
        <w:t xml:space="preserve">Appendice XXV — Il compendio metodologico ibrido dei costi-benefici</w:t>
      </w:r>
    </w:p>
    <w:bookmarkStart w:id="2585" w:name="X9c4f861faf0796561db1324e6f68af7ab41b29e"/>
    <w:p>
      <w:pPr>
        <w:pStyle w:val="Heading2"/>
      </w:pPr>
      <w:r>
        <w:t xml:space="preserve">Metodologia originale per la rinegoziazione costi-benefici della riforma</w:t>
      </w:r>
      <w:r>
        <w:t xml:space="preserve"> </w:t>
      </w:r>
      <w:r>
        <w:t xml:space="preserve">“</w:t>
      </w:r>
      <w:r>
        <w:t xml:space="preserve">Psicologo di Base</w:t>
      </w:r>
      <w:r>
        <w:t xml:space="preserve">”</w:t>
      </w:r>
      <w:r>
        <w:t xml:space="preserve"> </w:t>
      </w:r>
      <w:r>
        <w:t xml:space="preserve">in Puglia potenziata dall’Intelligenza Artificiale</w:t>
      </w:r>
    </w:p>
    <w:bookmarkStart w:id="2540" w:name="tldr"/>
    <w:p>
      <w:pPr>
        <w:pStyle w:val="Heading3"/>
      </w:pPr>
      <w:r>
        <w:t xml:space="preserve">TL;DR</w:t>
      </w:r>
    </w:p>
    <w:p>
      <w:pPr>
        <w:pStyle w:val="Compact"/>
        <w:numPr>
          <w:ilvl w:val="0"/>
          <w:numId w:val="1016"/>
        </w:numPr>
      </w:pPr>
      <w:r>
        <w:rPr>
          <w:b/>
          <w:bCs/>
        </w:rPr>
        <w:t xml:space="preserve">È metodologicamente fondato e difendibile costruire una metodologia ibrida integrata</w:t>
      </w:r>
      <w:r>
        <w:t xml:space="preserve"> </w:t>
      </w:r>
      <w:r>
        <w:t xml:space="preserve">(HTA come cornice ombrello + CBA/CEA/CUA + BIA + SROI + modelli di Markov/microsimulazione + MCDA + PSA + ROI formativo Kirkpatrick–Phillips) che, applicata alla riforma pugliese, quantifichi uno</w:t>
      </w:r>
      <w:r>
        <w:t xml:space="preserve"> </w:t>
      </w:r>
      <w:r>
        <w:rPr>
          <w:b/>
          <w:bCs/>
        </w:rPr>
        <w:t xml:space="preserve">strato IA aggiuntivo di risparmi diretti dell’ordine di 80–110 milioni di euro/anno a fronte di ~5,3 milioni/anno di costo incrementale</w:t>
      </w:r>
      <w:r>
        <w:t xml:space="preserve">, sovrapposto ai ~315–350 milioni/anno di risparmi diretti già attribuiti alla riforma</w:t>
      </w:r>
      <w:r>
        <w:t xml:space="preserve"> </w:t>
      </w:r>
      <w:r>
        <w:t xml:space="preserve">“</w:t>
      </w:r>
      <w:r>
        <w:t xml:space="preserve">base</w:t>
      </w:r>
      <w:r>
        <w:t xml:space="preserve">”</w:t>
      </w:r>
      <w:r>
        <w:t xml:space="preserve"> </w:t>
      </w:r>
      <w:r>
        <w:t xml:space="preserve">e a un delta formativo di ~28–56 milioni/anno (costo programma ~4 milioni/anno).</w:t>
      </w:r>
    </w:p>
    <w:p>
      <w:pPr>
        <w:pStyle w:val="Compact"/>
        <w:numPr>
          <w:ilvl w:val="0"/>
          <w:numId w:val="1016"/>
        </w:numPr>
      </w:pPr>
      <w:r>
        <w:rPr>
          <w:b/>
          <w:bCs/>
        </w:rPr>
        <w:t xml:space="preserve">Le evidenze sull’IA in salute mentale sono reali ma asimmetriche e vanno gradate con rigore simmetrico</w:t>
      </w:r>
      <w:r>
        <w:t xml:space="preserve">: solide su triage/accesso (Limbic Access: +9 punti percentuali di referral, −12,7 minuti per valutazione, −18% drop-out) e su effetti clinici di chatbot/iCBT/DTx (Hedges</w:t>
      </w:r>
      <w:r>
        <w:t xml:space="preserve"> </w:t>
      </w:r>
      <w:r>
        <w:rPr>
          <w:i/>
          <w:iCs/>
        </w:rPr>
        <w:t xml:space="preserve">g</w:t>
      </w:r>
      <w:r>
        <w:t xml:space="preserve"> </w:t>
      </w:r>
      <w:r>
        <w:t xml:space="preserve">~0,28–0,64 per la depressione), ma con intervalli di confidenza ampi, forte eterogeneità e possibili conflitti d’interesse. I vincoli di Chisholm et al. (2,3–3,0:1 economico; 3,3–5,7:1 con salute) e il</w:t>
      </w:r>
      <w:r>
        <w:t xml:space="preserve"> </w:t>
      </w:r>
      <w:r>
        <w:rPr>
          <w:b/>
          <w:bCs/>
        </w:rPr>
        <w:t xml:space="preserve">caveat dell’IMPACT trial</w:t>
      </w:r>
      <w:r>
        <w:t xml:space="preserve"> </w:t>
      </w:r>
      <w:r>
        <w:t xml:space="preserve">(risparmi sui costi sanitari NON statisticamente significativi) devono essere preservati.</w:t>
      </w:r>
    </w:p>
    <w:p>
      <w:pPr>
        <w:pStyle w:val="Compact"/>
        <w:numPr>
          <w:ilvl w:val="0"/>
          <w:numId w:val="1016"/>
        </w:numPr>
      </w:pPr>
      <w:r>
        <w:rPr>
          <w:b/>
          <w:bCs/>
        </w:rPr>
        <w:t xml:space="preserve">Raccomandazione</w:t>
      </w:r>
      <w:r>
        <w:t xml:space="preserve">: adottare un modello a</w:t>
      </w:r>
      <w:r>
        <w:t xml:space="preserve"> </w:t>
      </w:r>
      <w:r>
        <w:t xml:space="preserve">“</w:t>
      </w:r>
      <w:r>
        <w:t xml:space="preserve">cascata gerarchica piramidale</w:t>
      </w:r>
      <w:r>
        <w:t xml:space="preserve">”</w:t>
      </w:r>
      <w:r>
        <w:t xml:space="preserve"> </w:t>
      </w:r>
      <w:r>
        <w:t xml:space="preserve">con bande prudenziali e previsioni falsificabili, separando rigorosamente i risparmi fiscali diretti dai risparmi sociali/indiretti; pilotare l’IA in 2–3 distretti con disegno quasi-sperimentale e gruppo di controllo appaiato, validando gli ancoraggi economici prima di qualunque scale-up regionale.</w:t>
      </w:r>
    </w:p>
    <w:p>
      <w:r>
        <w:pict>
          <v:rect style="width:0;height:1.5pt" o:hralign="center" o:hrstd="t" o:hr="t"/>
        </w:pict>
      </w:r>
    </w:p>
    <w:bookmarkEnd w:id="2540"/>
    <w:bookmarkStart w:id="2581" w:name="key-findings"/>
    <w:p>
      <w:pPr>
        <w:pStyle w:val="Heading3"/>
      </w:pPr>
      <w:r>
        <w:t xml:space="preserve">Key Findings</w:t>
      </w:r>
    </w:p>
    <w:bookmarkStart w:id="2541" w:name="il-contesto-normativo-e-di-partenza"/>
    <w:p>
      <w:pPr>
        <w:pStyle w:val="Heading4"/>
      </w:pPr>
      <w:r>
        <w:t xml:space="preserve">Il contesto normativo e di partenza</w:t>
      </w:r>
    </w:p>
    <w:p>
      <w:pPr>
        <w:pStyle w:val="FirstParagraph"/>
      </w:pPr>
      <w:r>
        <w:t xml:space="preserve">La Regione Puglia ha istituito il servizio di Psicologia di base con la</w:t>
      </w:r>
      <w:r>
        <w:t xml:space="preserve"> </w:t>
      </w:r>
      <w:r>
        <w:rPr>
          <w:b/>
          <w:bCs/>
        </w:rPr>
        <w:t xml:space="preserve">Legge regionale 15 giugno 2023, n. 11</w:t>
      </w:r>
      <w:r>
        <w:t xml:space="preserve"> </w:t>
      </w:r>
      <w:r>
        <w:t xml:space="preserve">(</w:t>
      </w:r>
      <w:r>
        <w:t xml:space="preserve">“</w:t>
      </w:r>
      <w:r>
        <w:t xml:space="preserve">Disposizioni in materia di istituzione del servizio di Psicologia di base</w:t>
      </w:r>
      <w:r>
        <w:t xml:space="preserve">”</w:t>
      </w:r>
      <w:r>
        <w:t xml:space="preserve">, BURP n. 58 del 20–6–2023), che inserisce lo Psicologo di base nel distretto sociosanitario, all’interno dell’Unità operativa semplice di assistenza psicologica distrettuale, in collaborazione con i medici di medicina generale (MMG), i pediatri di libera scelta (PLS) e gli specialisti ambulatoriali. La norma — che fa seguito alla l.r. 21/2020 e alla pronuncia della Corte Costituzionale che ha respinto il ricorso del Governo contro la legge analoga della Campania — prevede uno stanziamento iniziale (450.000 € per il 2023, ~1,5 milioni/anno a regime, con investimento di 1.950.000 € per 2023–2024) e l’istituzione di un Osservatorio regionale presso l’AReSS con funzioni di controllo, programmazione e indirizzo. Il presente studio si configura come</w:t>
      </w:r>
      <w:r>
        <w:t xml:space="preserve"> </w:t>
      </w:r>
      <w:r>
        <w:rPr>
          <w:b/>
          <w:bCs/>
        </w:rPr>
        <w:t xml:space="preserve">estensione metodologica e quantitativa</w:t>
      </w:r>
      <w:r>
        <w:t xml:space="preserve"> </w:t>
      </w:r>
      <w:r>
        <w:t xml:space="preserve">del modello costi-benefici/budget impact già esistente, finalizzata a quantificare lo strato incrementale dell’IA.</w:t>
      </w:r>
    </w:p>
    <w:bookmarkEnd w:id="2541"/>
    <w:bookmarkStart w:id="2546" w:name="X6a748c4e581b6b708f9581366d387010cf4ad73"/>
    <w:p>
      <w:pPr>
        <w:pStyle w:val="Heading4"/>
      </w:pPr>
      <w:r>
        <w:t xml:space="preserve">Il problema economico che la riforma affronta (ancoraggio italiano)</w:t>
      </w:r>
    </w:p>
    <w:p>
      <w:pPr>
        <w:pStyle w:val="Compact"/>
        <w:numPr>
          <w:ilvl w:val="0"/>
          <w:numId w:val="1017"/>
        </w:numPr>
      </w:pPr>
      <w:r>
        <w:t xml:space="preserve">In Italia si investe solo il</w:t>
      </w:r>
      <w:r>
        <w:t xml:space="preserve"> </w:t>
      </w:r>
      <w:r>
        <w:rPr>
          <w:b/>
          <w:bCs/>
        </w:rPr>
        <w:t xml:space="preserve">3,4% della spesa sanitaria nazionale in salute mentale</w:t>
      </w:r>
      <w:r>
        <w:t xml:space="preserve">; secondo il rapporto</w:t>
      </w:r>
      <w:r>
        <w:t xml:space="preserve"> </w:t>
      </w:r>
      <w:r>
        <w:rPr>
          <w:i/>
          <w:iCs/>
        </w:rPr>
        <w:t xml:space="preserve">“</w:t>
      </w:r>
      <w:r>
        <w:rPr>
          <w:i/>
          <w:iCs/>
        </w:rPr>
        <w:t xml:space="preserve">La salute mentale come motore della crescita socio-economica dell’Italia</w:t>
      </w:r>
      <w:r>
        <w:rPr>
          <w:i/>
          <w:iCs/>
        </w:rPr>
        <w:t xml:space="preserve">”</w:t>
      </w:r>
      <w:r>
        <w:t xml:space="preserve"> </w:t>
      </w:r>
      <w:r>
        <w:t xml:space="preserve">(Angelini Pharma – The European House Ambrosetti, presentato al Ministero della Salute il 4 febbraio 2025),</w:t>
      </w:r>
      <w:r>
        <w:t xml:space="preserve"> </w:t>
      </w:r>
      <w:r>
        <w:rPr>
          <w:b/>
          <w:bCs/>
        </w:rPr>
        <w:t xml:space="preserve">i disturbi mentali costano all’Italia 20 miliardi di euro l’anno, circa il 3,3% del PIL, con perdite complessive per oltre 63 miliardi di euro</w:t>
      </w:r>
      <w:r>
        <w:t xml:space="preserve">.</w:t>
      </w:r>
      <w:r>
        <w:t xml:space="preserve"> </w:t>
      </w:r>
      <w:hyperlink r:id="rId2542">
        <w:r>
          <w:rPr>
            <w:rStyle w:val="Hyperlink"/>
          </w:rPr>
          <w:t xml:space="preserve">Il Sole 24 ORE</w:t>
        </w:r>
      </w:hyperlink>
      <w:r>
        <w:t xml:space="preserve"> </w:t>
      </w:r>
      <w:r>
        <w:t xml:space="preserve">Lo stesso rapporto stabilisce un</w:t>
      </w:r>
      <w:r>
        <w:t xml:space="preserve"> </w:t>
      </w:r>
      <w:r>
        <w:rPr>
          <w:b/>
          <w:bCs/>
        </w:rPr>
        <w:t xml:space="preserve">ROI Italia-specifico</w:t>
      </w:r>
      <w:r>
        <w:t xml:space="preserve">:</w:t>
      </w:r>
      <w:r>
        <w:t xml:space="preserve"> </w:t>
      </w:r>
      <w:r>
        <w:rPr>
          <w:i/>
          <w:iCs/>
        </w:rPr>
        <w:t xml:space="preserve">“</w:t>
      </w:r>
      <w:r>
        <w:rPr>
          <w:i/>
          <w:iCs/>
        </w:rPr>
        <w:t xml:space="preserve">Per ogni euro investito in salute mentale, il Sistema-Paese ne guadagna 4,7</w:t>
      </w:r>
      <w:r>
        <w:rPr>
          <w:i/>
          <w:iCs/>
        </w:rPr>
        <w:t xml:space="preserve">”</w:t>
      </w:r>
      <w:r>
        <w:t xml:space="preserve">,</w:t>
      </w:r>
      <w:r>
        <w:t xml:space="preserve"> </w:t>
      </w:r>
      <w:hyperlink r:id="rId2543">
        <w:r>
          <w:rPr>
            <w:rStyle w:val="Hyperlink"/>
          </w:rPr>
          <w:t xml:space="preserve">Quotidiano Nazionale</w:t>
        </w:r>
      </w:hyperlink>
      <w:r>
        <w:t xml:space="preserve"> </w:t>
      </w:r>
      <w:r>
        <w:t xml:space="preserve">e stima che portare la spesa al target del 5% genererebbe benefici diretti e indiretti per</w:t>
      </w:r>
      <w:r>
        <w:t xml:space="preserve"> </w:t>
      </w:r>
      <w:r>
        <w:rPr>
          <w:b/>
          <w:bCs/>
        </w:rPr>
        <w:t xml:space="preserve">10,4 miliardi di euro</w:t>
      </w:r>
      <w:r>
        <w:t xml:space="preserve">.</w:t>
      </w:r>
    </w:p>
    <w:p>
      <w:pPr>
        <w:pStyle w:val="Compact"/>
        <w:numPr>
          <w:ilvl w:val="0"/>
          <w:numId w:val="1017"/>
        </w:numPr>
      </w:pPr>
      <w:r>
        <w:t xml:space="preserve">Il</w:t>
      </w:r>
      <w:r>
        <w:t xml:space="preserve"> </w:t>
      </w:r>
      <w:r>
        <w:rPr>
          <w:b/>
          <w:bCs/>
        </w:rPr>
        <w:t xml:space="preserve">Censis (2022)</w:t>
      </w:r>
      <w:r>
        <w:t xml:space="preserve"> </w:t>
      </w:r>
      <w:r>
        <w:t xml:space="preserve">stima oltre</w:t>
      </w:r>
      <w:r>
        <w:t xml:space="preserve"> </w:t>
      </w:r>
      <w:r>
        <w:rPr>
          <w:b/>
          <w:bCs/>
        </w:rPr>
        <w:t xml:space="preserve">12 miliardi di euro/anno</w:t>
      </w:r>
      <w:r>
        <w:t xml:space="preserve"> </w:t>
      </w:r>
      <w:r>
        <w:t xml:space="preserve">di sola produttività perduta e pensionamenti anticipati per disagio psicologico non trattato</w:t>
      </w:r>
      <w:r>
        <w:t xml:space="preserve"> </w:t>
      </w:r>
      <w:hyperlink r:id="rId2544">
        <w:r>
          <w:rPr>
            <w:rStyle w:val="Hyperlink"/>
          </w:rPr>
          <w:t xml:space="preserve">Quotidiano Sanità</w:t>
        </w:r>
      </w:hyperlink>
      <w:r>
        <w:t xml:space="preserve"> </w:t>
      </w:r>
      <w:r>
        <w:t xml:space="preserve">(cifra da non confondere con il dato WHO dei</w:t>
      </w:r>
      <w:r>
        <w:t xml:space="preserve"> </w:t>
      </w:r>
      <w:r>
        <w:t xml:space="preserve">“</w:t>
      </w:r>
      <w:r>
        <w:t xml:space="preserve">12 miliardi di giornate lavorative</w:t>
      </w:r>
      <w:r>
        <w:t xml:space="preserve">”</w:t>
      </w:r>
      <w:r>
        <w:t xml:space="preserve"> </w:t>
      </w:r>
      <w:r>
        <w:t xml:space="preserve">perse globalmente).</w:t>
      </w:r>
    </w:p>
    <w:p>
      <w:pPr>
        <w:pStyle w:val="Compact"/>
        <w:numPr>
          <w:ilvl w:val="0"/>
          <w:numId w:val="1017"/>
        </w:numPr>
      </w:pPr>
      <w:r>
        <w:t xml:space="preserve">Secondo il</w:t>
      </w:r>
      <w:r>
        <w:t xml:space="preserve"> </w:t>
      </w:r>
      <w:r>
        <w:rPr>
          <w:b/>
          <w:bCs/>
        </w:rPr>
        <w:t xml:space="preserve">Rapporto Salute Mentale – Anno 2023</w:t>
      </w:r>
      <w:r>
        <w:t xml:space="preserve"> </w:t>
      </w:r>
      <w:r>
        <w:t xml:space="preserve">del Ministero della Salute (Sistema Informativo Salute Mentale, SISM):</w:t>
      </w:r>
      <w:r>
        <w:t xml:space="preserve"> </w:t>
      </w:r>
      <w:r>
        <w:rPr>
          <w:i/>
          <w:iCs/>
        </w:rPr>
        <w:t xml:space="preserve">“</w:t>
      </w:r>
      <w:r>
        <w:rPr>
          <w:i/>
          <w:iCs/>
        </w:rPr>
        <w:t xml:space="preserve">Nel 2023 il numero complessivo di accessi al Pronto Soccorso per patologie psichiatriche ammonta a</w:t>
      </w:r>
      <w:r>
        <w:rPr>
          <w:i/>
          <w:iCs/>
        </w:rPr>
        <w:t xml:space="preserve"> </w:t>
      </w:r>
      <w:r>
        <w:rPr>
          <w:b/>
          <w:bCs/>
          <w:i/>
          <w:iCs/>
        </w:rPr>
        <w:t xml:space="preserve">573.663</w:t>
      </w:r>
      <w:r>
        <w:rPr>
          <w:i/>
          <w:iCs/>
        </w:rPr>
        <w:t xml:space="preserve"> </w:t>
      </w:r>
      <w:r>
        <w:rPr>
          <w:i/>
          <w:iCs/>
        </w:rPr>
        <w:t xml:space="preserve">che costituiscono il</w:t>
      </w:r>
      <w:r>
        <w:rPr>
          <w:i/>
          <w:iCs/>
        </w:rPr>
        <w:t xml:space="preserve"> </w:t>
      </w:r>
      <w:r>
        <w:rPr>
          <w:b/>
          <w:bCs/>
          <w:i/>
          <w:iCs/>
        </w:rPr>
        <w:t xml:space="preserve">3,1%</w:t>
      </w:r>
      <w:r>
        <w:rPr>
          <w:i/>
          <w:iCs/>
        </w:rPr>
        <w:t xml:space="preserve"> </w:t>
      </w:r>
      <w:r>
        <w:rPr>
          <w:i/>
          <w:iCs/>
        </w:rPr>
        <w:t xml:space="preserve">del numero totale di accessi… (n = 18.421.877). Il</w:t>
      </w:r>
      <w:r>
        <w:rPr>
          <w:i/>
          <w:iCs/>
        </w:rPr>
        <w:t xml:space="preserve"> </w:t>
      </w:r>
      <w:r>
        <w:rPr>
          <w:b/>
          <w:bCs/>
          <w:i/>
          <w:iCs/>
        </w:rPr>
        <w:t xml:space="preserve">13,0%</w:t>
      </w:r>
      <w:r>
        <w:rPr>
          <w:i/>
          <w:iCs/>
        </w:rPr>
        <w:t xml:space="preserve">… esita in ricovero… Il</w:t>
      </w:r>
      <w:r>
        <w:rPr>
          <w:i/>
          <w:iCs/>
        </w:rPr>
        <w:t xml:space="preserve"> </w:t>
      </w:r>
      <w:r>
        <w:rPr>
          <w:b/>
          <w:bCs/>
          <w:i/>
          <w:iCs/>
        </w:rPr>
        <w:t xml:space="preserve">73,7%</w:t>
      </w:r>
      <w:r>
        <w:rPr>
          <w:i/>
          <w:iCs/>
        </w:rPr>
        <w:t xml:space="preserve">… esita a domicilio.</w:t>
      </w:r>
      <w:r>
        <w:rPr>
          <w:i/>
          <w:iCs/>
        </w:rPr>
        <w:t xml:space="preserve">”</w:t>
      </w:r>
      <w:r>
        <w:t xml:space="preserve"> </w:t>
      </w:r>
      <w:hyperlink r:id="rId2545">
        <w:r>
          <w:rPr>
            <w:rStyle w:val="Hyperlink"/>
          </w:rPr>
          <w:t xml:space="preserve">Ministero della Salute</w:t>
        </w:r>
      </w:hyperlink>
    </w:p>
    <w:bookmarkEnd w:id="2546"/>
    <w:bookmarkStart w:id="2554" w:name="Xdc0af1ee497734a14de1496d0c7973799b35f85"/>
    <w:p>
      <w:pPr>
        <w:pStyle w:val="Heading4"/>
      </w:pPr>
      <w:r>
        <w:t xml:space="preserve">ASSE 1 — La metodologia ibrida di rinegoziazione costi-benefici</w:t>
      </w:r>
    </w:p>
    <w:p>
      <w:pPr>
        <w:pStyle w:val="FirstParagraph"/>
      </w:pPr>
      <w:r>
        <w:t xml:space="preserve">La metodologia originale proposta combina i punti di forza delle migliori pratiche mondiali, organizzandole su tre livelli funzionali:</w:t>
      </w:r>
    </w:p>
    <w:p>
      <w:pPr>
        <w:pStyle w:val="BodyText"/>
      </w:pPr>
      <w:r>
        <w:rPr>
          <w:b/>
          <w:bCs/>
        </w:rPr>
        <w:t xml:space="preserve">Cornice decisionale (livello macro)</w:t>
      </w:r>
      <w:r>
        <w:t xml:space="preserve"> </w:t>
      </w:r>
      <w:r>
        <w:t xml:space="preserve">-</w:t>
      </w:r>
      <w:r>
        <w:t xml:space="preserve"> </w:t>
      </w:r>
      <w:r>
        <w:rPr>
          <w:b/>
          <w:bCs/>
        </w:rPr>
        <w:t xml:space="preserve">Health Technology Assessment (HTA)</w:t>
      </w:r>
      <w:r>
        <w:t xml:space="preserve"> </w:t>
      </w:r>
      <w:r>
        <w:t xml:space="preserve">come ombrello. In Italia il riferimento è</w:t>
      </w:r>
      <w:r>
        <w:t xml:space="preserve"> </w:t>
      </w:r>
      <w:r>
        <w:rPr>
          <w:b/>
          <w:bCs/>
        </w:rPr>
        <w:t xml:space="preserve">AGENAS</w:t>
      </w:r>
      <w:r>
        <w:t xml:space="preserve"> </w:t>
      </w:r>
      <w:r>
        <w:t xml:space="preserve">(agenzia nazionale per la sanità digitale ex D.lgs. 4/2022) e</w:t>
      </w:r>
      <w:r>
        <w:t xml:space="preserve"> </w:t>
      </w:r>
      <w:r>
        <w:rPr>
          <w:b/>
          <w:bCs/>
        </w:rPr>
        <w:t xml:space="preserve">AIFA</w:t>
      </w:r>
      <w:r>
        <w:t xml:space="preserve"> </w:t>
      </w:r>
      <w:r>
        <w:t xml:space="preserve">(con la Commissione Scientifico-Economica del Medicinale, 2024); a livello europeo il</w:t>
      </w:r>
      <w:r>
        <w:t xml:space="preserve"> </w:t>
      </w:r>
      <w:r>
        <w:rPr>
          <w:b/>
          <w:bCs/>
        </w:rPr>
        <w:t xml:space="preserve">EUnetHTA Core Model</w:t>
      </w:r>
      <w:r>
        <w:t xml:space="preserve">, il framework</w:t>
      </w:r>
      <w:r>
        <w:t xml:space="preserve"> </w:t>
      </w:r>
      <w:r>
        <w:rPr>
          <w:b/>
          <w:bCs/>
        </w:rPr>
        <w:t xml:space="preserve">EVIDEM</w:t>
      </w:r>
      <w:r>
        <w:t xml:space="preserve"> </w:t>
      </w:r>
      <w:r>
        <w:t xml:space="preserve">e il progetto</w:t>
      </w:r>
      <w:r>
        <w:t xml:space="preserve"> </w:t>
      </w:r>
      <w:r>
        <w:rPr>
          <w:b/>
          <w:bCs/>
        </w:rPr>
        <w:t xml:space="preserve">EDiHTA</w:t>
      </w:r>
      <w:r>
        <w:t xml:space="preserve"> </w:t>
      </w:r>
      <w:r>
        <w:t xml:space="preserve">dedicato alle tecnologie sanitarie digitali (15 partner, 9 Paesi).</w:t>
      </w:r>
      <w:r>
        <w:t xml:space="preserve"> </w:t>
      </w:r>
      <w:hyperlink r:id="rId2547">
        <w:r>
          <w:rPr>
            <w:rStyle w:val="Hyperlink"/>
          </w:rPr>
          <w:t xml:space="preserve">nih</w:t>
        </w:r>
      </w:hyperlink>
      <w:r>
        <w:t xml:space="preserve"> </w:t>
      </w:r>
      <w:r>
        <w:t xml:space="preserve">-</w:t>
      </w:r>
      <w:r>
        <w:t xml:space="preserve"> </w:t>
      </w:r>
      <w:r>
        <w:rPr>
          <w:b/>
          <w:bCs/>
        </w:rPr>
        <w:t xml:space="preserve">Multi-Criteria Decision Analysis (MCDA)</w:t>
      </w:r>
      <w:r>
        <w:t xml:space="preserve">, in particolare il framework</w:t>
      </w:r>
      <w:r>
        <w:t xml:space="preserve"> </w:t>
      </w:r>
      <w:r>
        <w:rPr>
          <w:b/>
          <w:bCs/>
        </w:rPr>
        <w:t xml:space="preserve">EVIDEM</w:t>
      </w:r>
      <w:r>
        <w:t xml:space="preserve"> </w:t>
      </w:r>
      <w:r>
        <w:t xml:space="preserve">(Goetghebeur &amp; Wagner, ~14 criteri del Core Model + criteri contestuali),</w:t>
      </w:r>
      <w:r>
        <w:t xml:space="preserve"> </w:t>
      </w:r>
      <w:hyperlink r:id="rId2548">
        <w:r>
          <w:rPr>
            <w:rStyle w:val="Hyperlink"/>
          </w:rPr>
          <w:t xml:space="preserve">PubMed Central</w:t>
        </w:r>
      </w:hyperlink>
      <w:r>
        <w:t xml:space="preserve"> </w:t>
      </w:r>
      <w:r>
        <w:t xml:space="preserve">già adottato e adattato dalla</w:t>
      </w:r>
      <w:r>
        <w:t xml:space="preserve"> </w:t>
      </w:r>
      <w:r>
        <w:rPr>
          <w:b/>
          <w:bCs/>
        </w:rPr>
        <w:t xml:space="preserve">Regione Lombardia</w:t>
      </w:r>
      <w:r>
        <w:t xml:space="preserve"> </w:t>
      </w:r>
      <w:r>
        <w:t xml:space="preserve">nel proprio framework HTA.</w:t>
      </w:r>
      <w:r>
        <w:t xml:space="preserve"> </w:t>
      </w:r>
      <w:hyperlink r:id="rId2549">
        <w:r>
          <w:rPr>
            <w:rStyle w:val="Hyperlink"/>
          </w:rPr>
          <w:t xml:space="preserve">PubMed Central</w:t>
        </w:r>
      </w:hyperlink>
      <w:r>
        <w:t xml:space="preserve"> </w:t>
      </w:r>
      <w:r>
        <w:t xml:space="preserve">Serve a integrare criteri non monetizzabili (equità, gravità, bisogno insoddisfatto) con pesi assegnati da stakeholder.</w:t>
      </w:r>
    </w:p>
    <w:p>
      <w:pPr>
        <w:pStyle w:val="BodyText"/>
      </w:pPr>
      <w:r>
        <w:rPr>
          <w:b/>
          <w:bCs/>
        </w:rPr>
        <w:t xml:space="preserve">Motore quantitativo fiscale (livello meso)</w:t>
      </w:r>
      <w:r>
        <w:t xml:space="preserve"> </w:t>
      </w:r>
      <w:r>
        <w:t xml:space="preserve">-</w:t>
      </w:r>
      <w:r>
        <w:t xml:space="preserve"> </w:t>
      </w:r>
      <w:r>
        <w:rPr>
          <w:b/>
          <w:bCs/>
        </w:rPr>
        <w:t xml:space="preserve">CEA/CUA</w:t>
      </w:r>
      <w:r>
        <w:t xml:space="preserve"> </w:t>
      </w:r>
      <w:r>
        <w:t xml:space="preserve">con QALY/DALY e soglie willingness-to-pay secondo la regola WHO (ICER &lt; 1×PIL pro capite = altamente costo-efficace; &lt; 3×PIL = costo-efficace).</w:t>
      </w:r>
      <w:r>
        <w:t xml:space="preserve"> </w:t>
      </w:r>
      <w:r>
        <w:t xml:space="preserve">-</w:t>
      </w:r>
      <w:r>
        <w:t xml:space="preserve"> </w:t>
      </w:r>
      <w:r>
        <w:rPr>
          <w:b/>
          <w:bCs/>
        </w:rPr>
        <w:t xml:space="preserve">Budget Impact Analysis (BIA)</w:t>
      </w:r>
      <w:r>
        <w:t xml:space="preserve"> </w:t>
      </w:r>
      <w:r>
        <w:t xml:space="preserve">per l’impatto sui bilanci regionali del SSR.</w:t>
      </w:r>
      <w:r>
        <w:t xml:space="preserve"> </w:t>
      </w:r>
      <w:r>
        <w:t xml:space="preserve">-</w:t>
      </w:r>
      <w:r>
        <w:t xml:space="preserve"> </w:t>
      </w:r>
      <w:r>
        <w:rPr>
          <w:b/>
          <w:bCs/>
        </w:rPr>
        <w:t xml:space="preserve">Modelli di Markov e microsimulazione</w:t>
      </w:r>
      <w:r>
        <w:t xml:space="preserve"> </w:t>
      </w:r>
      <w:r>
        <w:t xml:space="preserve">(stati di salute, cicli mensili),</w:t>
      </w:r>
      <w:r>
        <w:t xml:space="preserve"> </w:t>
      </w:r>
      <w:r>
        <w:rPr>
          <w:b/>
          <w:bCs/>
        </w:rPr>
        <w:t xml:space="preserve">Discrete Event Simulation</w:t>
      </w:r>
      <w:r>
        <w:t xml:space="preserve">,</w:t>
      </w:r>
      <w:r>
        <w:t xml:space="preserve"> </w:t>
      </w:r>
      <w:r>
        <w:rPr>
          <w:b/>
          <w:bCs/>
        </w:rPr>
        <w:t xml:space="preserve">Probabilistic Sensitivity Analysis (PSA)</w:t>
      </w:r>
      <w:r>
        <w:t xml:space="preserve"> </w:t>
      </w:r>
      <w:r>
        <w:t xml:space="preserve">con simulazioni Monte Carlo, analisi di scenario.</w:t>
      </w:r>
      <w:r>
        <w:t xml:space="preserve"> </w:t>
      </w:r>
      <w:r>
        <w:t xml:space="preserve">- Parametri invarianti del modello di Markov (cross-regionali) da usare come ancore:</w:t>
      </w:r>
      <w:r>
        <w:t xml:space="preserve"> </w:t>
      </w:r>
      <w:r>
        <w:rPr>
          <w:b/>
          <w:bCs/>
        </w:rPr>
        <w:t xml:space="preserve">~1.304 € di risparmio per paziente; 0,236 QALY guadagnati; costo-efficace nell’88,9% delle simulazioni; dominante nell’84,6%; beneficio netto medio 7.815 € (IC 95% da −5.736 a +21.501)</w:t>
      </w:r>
      <w:r>
        <w:t xml:space="preserve">.</w:t>
      </w:r>
    </w:p>
    <w:p>
      <w:pPr>
        <w:pStyle w:val="BodyText"/>
      </w:pPr>
      <w:r>
        <w:rPr>
          <w:b/>
          <w:bCs/>
        </w:rPr>
        <w:t xml:space="preserve">Motore del valore sociale (livello macro-sociale, mantenuto separato)</w:t>
      </w:r>
      <w:r>
        <w:t xml:space="preserve"> </w:t>
      </w:r>
      <w:r>
        <w:t xml:space="preserve">-</w:t>
      </w:r>
      <w:r>
        <w:t xml:space="preserve"> </w:t>
      </w:r>
      <w:r>
        <w:rPr>
          <w:b/>
          <w:bCs/>
        </w:rPr>
        <w:t xml:space="preserve">Cost-Benefit Analysis (CBA)</w:t>
      </w:r>
      <w:r>
        <w:t xml:space="preserve"> </w:t>
      </w:r>
      <w:r>
        <w:t xml:space="preserve">con</w:t>
      </w:r>
      <w:r>
        <w:t xml:space="preserve"> </w:t>
      </w:r>
      <w:r>
        <w:rPr>
          <w:b/>
          <w:bCs/>
        </w:rPr>
        <w:t xml:space="preserve">human capital approach</w:t>
      </w:r>
      <w:r>
        <w:t xml:space="preserve"> </w:t>
      </w:r>
      <w:r>
        <w:t xml:space="preserve">e</w:t>
      </w:r>
      <w:r>
        <w:t xml:space="preserve"> </w:t>
      </w:r>
      <w:r>
        <w:rPr>
          <w:b/>
          <w:bCs/>
        </w:rPr>
        <w:t xml:space="preserve">friction cost method</w:t>
      </w:r>
      <w:r>
        <w:t xml:space="preserve"> </w:t>
      </w:r>
      <w:r>
        <w:t xml:space="preserve">per i costi indiretti.</w:t>
      </w:r>
      <w:r>
        <w:t xml:space="preserve"> </w:t>
      </w:r>
      <w:r>
        <w:t xml:space="preserve">-</w:t>
      </w:r>
      <w:r>
        <w:t xml:space="preserve"> </w:t>
      </w:r>
      <w:r>
        <w:rPr>
          <w:b/>
          <w:bCs/>
        </w:rPr>
        <w:t xml:space="preserve">Social Return on Investment (SROI)</w:t>
      </w:r>
      <w:r>
        <w:t xml:space="preserve">: la letteratura sugli interventi di salute mentale riporta ratio da</w:t>
      </w:r>
      <w:r>
        <w:t xml:space="preserve"> </w:t>
      </w:r>
      <w:r>
        <w:rPr>
          <w:b/>
          <w:bCs/>
        </w:rPr>
        <w:t xml:space="preserve">£0,79 a £28,00 per £1 investito</w:t>
      </w:r>
      <w:r>
        <w:t xml:space="preserve"> </w:t>
      </w:r>
      <w:hyperlink r:id="rId2550">
        <w:r>
          <w:rPr>
            <w:rStyle w:val="Hyperlink"/>
          </w:rPr>
          <w:t xml:space="preserve">nih</w:t>
        </w:r>
      </w:hyperlink>
      <w:r>
        <w:t xml:space="preserve"> </w:t>
      </w:r>
      <w:r>
        <w:t xml:space="preserve">(scoping review WHO Collaborating Centre/Public Health Wales, 42 studi), con media rappresentativa intorno a</w:t>
      </w:r>
      <w:r>
        <w:t xml:space="preserve"> </w:t>
      </w:r>
      <w:r>
        <w:rPr>
          <w:b/>
          <w:bCs/>
        </w:rPr>
        <w:t xml:space="preserve">£5,80:1</w:t>
      </w:r>
      <w:r>
        <w:t xml:space="preserve">;</w:t>
      </w:r>
      <w:r>
        <w:t xml:space="preserve"> </w:t>
      </w:r>
      <w:hyperlink r:id="rId2551">
        <w:r>
          <w:rPr>
            <w:rStyle w:val="Hyperlink"/>
          </w:rPr>
          <w:t xml:space="preserve">Spera Connect</w:t>
        </w:r>
      </w:hyperlink>
      <w:r>
        <w:t xml:space="preserve"> </w:t>
      </w:r>
      <w:r>
        <w:t xml:space="preserve">va applicato con deadweight standard (~27%) per evitare sovra-stima.</w:t>
      </w:r>
      <w:r>
        <w:t xml:space="preserve"> </w:t>
      </w:r>
      <w:r>
        <w:t xml:space="preserve">-</w:t>
      </w:r>
      <w:r>
        <w:t xml:space="preserve"> </w:t>
      </w:r>
      <w:r>
        <w:rPr>
          <w:b/>
          <w:bCs/>
        </w:rPr>
        <w:t xml:space="preserve">PBMA</w:t>
      </w:r>
      <w:r>
        <w:t xml:space="preserve"> </w:t>
      </w:r>
      <w:r>
        <w:t xml:space="preserve">(Program Budgeting and Marginal Analysis),</w:t>
      </w:r>
      <w:r>
        <w:t xml:space="preserve"> </w:t>
      </w:r>
      <w:r>
        <w:rPr>
          <w:b/>
          <w:bCs/>
        </w:rPr>
        <w:t xml:space="preserve">value-based healthcare</w:t>
      </w:r>
      <w:r>
        <w:t xml:space="preserve">,</w:t>
      </w:r>
      <w:r>
        <w:t xml:space="preserve"> </w:t>
      </w:r>
      <w:r>
        <w:rPr>
          <w:b/>
          <w:bCs/>
        </w:rPr>
        <w:t xml:space="preserve">real options analysis</w:t>
      </w:r>
      <w:r>
        <w:t xml:space="preserve">,</w:t>
      </w:r>
      <w:r>
        <w:t xml:space="preserve"> </w:t>
      </w:r>
      <w:r>
        <w:rPr>
          <w:b/>
          <w:bCs/>
        </w:rPr>
        <w:t xml:space="preserve">contingent valuation/willingness-to-pay</w:t>
      </w:r>
      <w:r>
        <w:t xml:space="preserve">.</w:t>
      </w:r>
    </w:p>
    <w:p>
      <w:pPr>
        <w:pStyle w:val="BodyText"/>
      </w:pPr>
      <w:r>
        <w:rPr>
          <w:b/>
          <w:bCs/>
        </w:rPr>
        <w:t xml:space="preserve">ROI formativo (Asse 3, integrato)</w:t>
      </w:r>
      <w:r>
        <w:t xml:space="preserve">: modelli</w:t>
      </w:r>
      <w:r>
        <w:t xml:space="preserve"> </w:t>
      </w:r>
      <w:r>
        <w:rPr>
          <w:b/>
          <w:bCs/>
        </w:rPr>
        <w:t xml:space="preserve">Kirkpatrick</w:t>
      </w:r>
      <w:r>
        <w:t xml:space="preserve"> </w:t>
      </w:r>
      <w:r>
        <w:t xml:space="preserve">(Reazione, Apprendimento, Comportamento, Risultati) +</w:t>
      </w:r>
      <w:r>
        <w:t xml:space="preserve"> </w:t>
      </w:r>
      <w:r>
        <w:rPr>
          <w:b/>
          <w:bCs/>
        </w:rPr>
        <w:t xml:space="preserve">Phillips</w:t>
      </w:r>
      <w:r>
        <w:t xml:space="preserve"> </w:t>
      </w:r>
      <w:r>
        <w:t xml:space="preserve">(livello 5: ROI = (benefici − costi)/costi × 100),</w:t>
      </w:r>
      <w:r>
        <w:t xml:space="preserve"> </w:t>
      </w:r>
      <w:hyperlink r:id="rId2552">
        <w:r>
          <w:rPr>
            <w:rStyle w:val="Hyperlink"/>
          </w:rPr>
          <w:t xml:space="preserve">Trost Learning</w:t>
        </w:r>
      </w:hyperlink>
      <w:r>
        <w:t xml:space="preserve"> </w:t>
      </w:r>
      <w:r>
        <w:t xml:space="preserve">con alternative</w:t>
      </w:r>
      <w:r>
        <w:t xml:space="preserve"> </w:t>
      </w:r>
      <w:r>
        <w:rPr>
          <w:b/>
          <w:bCs/>
        </w:rPr>
        <w:t xml:space="preserve">ROE</w:t>
      </w:r>
      <w:r>
        <w:t xml:space="preserve"> </w:t>
      </w:r>
      <w:r>
        <w:t xml:space="preserve">(Return on Expectations) e</w:t>
      </w:r>
      <w:r>
        <w:t xml:space="preserve"> </w:t>
      </w:r>
      <w:r>
        <w:rPr>
          <w:b/>
          <w:bCs/>
        </w:rPr>
        <w:t xml:space="preserve">cROI</w:t>
      </w:r>
      <w:r>
        <w:t xml:space="preserve"> </w:t>
      </w:r>
      <w:r>
        <w:t xml:space="preserve">(Contributive ROI) raccomandate da Kirkpatrick Partners quando l’isolamento del ROI puntuale è difficile.</w:t>
      </w:r>
      <w:r>
        <w:t xml:space="preserve"> </w:t>
      </w:r>
      <w:hyperlink r:id="rId2553">
        <w:r>
          <w:rPr>
            <w:rStyle w:val="Hyperlink"/>
          </w:rPr>
          <w:t xml:space="preserve">Devlin Peck</w:t>
        </w:r>
      </w:hyperlink>
    </w:p>
    <w:bookmarkEnd w:id="2554"/>
    <w:bookmarkStart w:id="2570" w:name="Xb4fbdec26284aa890c2eb6a0a5be6a0128c7c0b"/>
    <w:p>
      <w:pPr>
        <w:pStyle w:val="Heading4"/>
      </w:pPr>
      <w:r>
        <w:t xml:space="preserve">ASSE 2 — Potenzialità dell’IA: evidenze quantitative lungo il ciclo assistenziale</w:t>
      </w:r>
    </w:p>
    <w:p>
      <w:pPr>
        <w:pStyle w:val="Compact"/>
        <w:numPr>
          <w:ilvl w:val="0"/>
          <w:numId w:val="1018"/>
        </w:numPr>
      </w:pPr>
      <w:r>
        <w:rPr>
          <w:b/>
          <w:bCs/>
        </w:rPr>
        <w:t xml:space="preserve">Diagnostica per immagini</w:t>
      </w:r>
      <w:r>
        <w:t xml:space="preserve">: le meta-analisi mostrano miglioramenti consistenti di sensibilità/specificità in compiti specifici. Per la radiografia toracica, pooled sensibilità ~88% e specificità ~90% per la polmonite;</w:t>
      </w:r>
      <w:r>
        <w:t xml:space="preserve"> </w:t>
      </w:r>
      <w:hyperlink r:id="rId2555">
        <w:r>
          <w:rPr>
            <w:rStyle w:val="Hyperlink"/>
          </w:rPr>
          <w:t xml:space="preserve">ScienceDirect</w:t>
        </w:r>
      </w:hyperlink>
      <w:r>
        <w:t xml:space="preserve"> </w:t>
      </w:r>
      <w:r>
        <w:t xml:space="preserve">in una revisione sistematica, 19 studi su 25 hanno riportato miglioramenti di sensibilità con l’assistenza IA, con benefici maggiori per gli operatori meno esperti.</w:t>
      </w:r>
      <w:r>
        <w:t xml:space="preserve"> </w:t>
      </w:r>
      <w:hyperlink r:id="rId2556">
        <w:r>
          <w:rPr>
            <w:rStyle w:val="Hyperlink"/>
          </w:rPr>
          <w:t xml:space="preserve">ScienceDirect</w:t>
        </w:r>
      </w:hyperlink>
      <w:r>
        <w:t xml:space="preserve"> </w:t>
      </w:r>
      <w:r>
        <w:t xml:space="preserve">L’accuratezza varia ampiamente (sensibilità 0,70–1,00; specificità 0,51–1,00)</w:t>
      </w:r>
      <w:r>
        <w:t xml:space="preserve"> </w:t>
      </w:r>
      <w:hyperlink r:id="rId2557">
        <w:r>
          <w:rPr>
            <w:rStyle w:val="Hyperlink"/>
          </w:rPr>
          <w:t xml:space="preserve">arxiv</w:t>
        </w:r>
      </w:hyperlink>
      <w:r>
        <w:t xml:space="preserve"> </w:t>
      </w:r>
      <w:r>
        <w:t xml:space="preserve">e dipende da modalità e disegno.</w:t>
      </w:r>
    </w:p>
    <w:p>
      <w:pPr>
        <w:pStyle w:val="Compact"/>
        <w:numPr>
          <w:ilvl w:val="0"/>
          <w:numId w:val="1018"/>
        </w:numPr>
      </w:pPr>
      <w:r>
        <w:rPr>
          <w:b/>
          <w:bCs/>
        </w:rPr>
        <w:t xml:space="preserve">Prevenzione e medicina predittiva (rischio suicidario)</w:t>
      </w:r>
      <w:r>
        <w:t xml:space="preserve">: modelli di machine learning su cartelle cliniche elettroniche raggiungono AUC ~0,84 (Walsh, Ribeiro &amp; Franklin 2017: AUC=0,84, precision 0,79, recall 0,95)</w:t>
      </w:r>
      <w:r>
        <w:t xml:space="preserve"> </w:t>
      </w:r>
      <w:hyperlink r:id="rId2558">
        <w:r>
          <w:rPr>
            <w:rStyle w:val="Hyperlink"/>
          </w:rPr>
          <w:t xml:space="preserve">Sage Journals</w:t>
        </w:r>
      </w:hyperlink>
      <w:r>
        <w:t xml:space="preserve"> </w:t>
      </w:r>
      <w:r>
        <w:t xml:space="preserve">fino a</w:t>
      </w:r>
      <w:r>
        <w:t xml:space="preserve"> </w:t>
      </w:r>
      <w:r>
        <w:rPr>
          <w:b/>
          <w:bCs/>
        </w:rPr>
        <w:t xml:space="preserve">0,932</w:t>
      </w:r>
      <w:r>
        <w:t xml:space="preserve"> </w:t>
      </w:r>
      <w:r>
        <w:t xml:space="preserve">con NLP + ML su dati strutturati e non strutturati;</w:t>
      </w:r>
      <w:r>
        <w:t xml:space="preserve"> </w:t>
      </w:r>
      <w:hyperlink r:id="rId2559">
        <w:r>
          <w:rPr>
            <w:rStyle w:val="Hyperlink"/>
          </w:rPr>
          <w:t xml:space="preserve">PubMed Central</w:t>
        </w:r>
      </w:hyperlink>
      <w:r>
        <w:t xml:space="preserve"> </w:t>
      </w:r>
      <w:r>
        <w:t xml:space="preserve">una meta-analisi complessiva riporta AUC ~0,86.</w:t>
      </w:r>
      <w:r>
        <w:t xml:space="preserve"> </w:t>
      </w:r>
      <w:hyperlink r:id="rId2560">
        <w:r>
          <w:rPr>
            <w:rStyle w:val="Hyperlink"/>
          </w:rPr>
          <w:t xml:space="preserve">nih</w:t>
        </w:r>
      </w:hyperlink>
      <w:r>
        <w:t xml:space="preserve"> </w:t>
      </w:r>
      <w:r>
        <w:t xml:space="preserve">Limiti rilevanti: PPV modesti, scarsa validazione esterna, rischio di bias.</w:t>
      </w:r>
      <w:r>
        <w:t xml:space="preserve"> </w:t>
      </w:r>
      <w:hyperlink r:id="rId2561">
        <w:r>
          <w:rPr>
            <w:rStyle w:val="Hyperlink"/>
          </w:rPr>
          <w:t xml:space="preserve">nih</w:t>
        </w:r>
      </w:hyperlink>
    </w:p>
    <w:p>
      <w:pPr>
        <w:pStyle w:val="Compact"/>
        <w:numPr>
          <w:ilvl w:val="0"/>
          <w:numId w:val="1018"/>
        </w:numPr>
      </w:pPr>
      <w:r>
        <w:rPr>
          <w:b/>
          <w:bCs/>
        </w:rPr>
        <w:t xml:space="preserve">Triage psicologico assistito da IA — il caso Limbic Access (NHS Talking Therapies/IAPT)</w:t>
      </w:r>
      <w:r>
        <w:t xml:space="preserve">:</w:t>
      </w:r>
    </w:p>
    <w:p>
      <w:pPr>
        <w:pStyle w:val="Compact"/>
        <w:numPr>
          <w:ilvl w:val="1"/>
          <w:numId w:val="1019"/>
        </w:numPr>
      </w:pPr>
      <w:r>
        <w:rPr>
          <w:i/>
          <w:iCs/>
        </w:rPr>
        <w:t xml:space="preserve">Accesso/equità</w:t>
      </w:r>
      <w:r>
        <w:t xml:space="preserve"> </w:t>
      </w:r>
      <w:r>
        <w:t xml:space="preserve">(Habicht et al.,</w:t>
      </w:r>
      <w:r>
        <w:t xml:space="preserve"> </w:t>
      </w:r>
      <w:r>
        <w:rPr>
          <w:b/>
          <w:bCs/>
        </w:rPr>
        <w:t xml:space="preserve">Nature Medicine 2024</w:t>
      </w:r>
      <w:r>
        <w:t xml:space="preserve">; 129.400 pazienti, 28 servizi NHS):</w:t>
      </w:r>
      <w:r>
        <w:t xml:space="preserve"> </w:t>
      </w:r>
      <w:r>
        <w:rPr>
          <w:i/>
          <w:iCs/>
        </w:rPr>
        <w:t xml:space="preserve">“</w:t>
      </w:r>
      <w:r>
        <w:rPr>
          <w:i/>
          <w:iCs/>
        </w:rPr>
        <w:t xml:space="preserve">services that used this digital solution identified substantially increased referrals (</w:t>
      </w:r>
      <w:r>
        <w:rPr>
          <w:b/>
          <w:bCs/>
          <w:i/>
          <w:iCs/>
        </w:rPr>
        <w:t xml:space="preserve">15% increase versus 6% increase</w:t>
      </w:r>
      <w:r>
        <w:rPr>
          <w:i/>
          <w:iCs/>
        </w:rPr>
        <w:t xml:space="preserve"> </w:t>
      </w:r>
      <w:r>
        <w:rPr>
          <w:i/>
          <w:iCs/>
        </w:rPr>
        <w:t xml:space="preserve">in control services)… particularly pronounced in minorities, such as nonbinary</w:t>
      </w:r>
      <w:r>
        <w:rPr>
          <w:i/>
          <w:iCs/>
        </w:rPr>
        <w:t xml:space="preserve">”</w:t>
      </w:r>
      <w:r>
        <w:t xml:space="preserve">,</w:t>
      </w:r>
      <w:r>
        <w:t xml:space="preserve"> </w:t>
      </w:r>
      <w:hyperlink r:id="rId2562">
        <w:r>
          <w:rPr>
            <w:rStyle w:val="Hyperlink"/>
          </w:rPr>
          <w:t xml:space="preserve">Nature</w:t>
        </w:r>
      </w:hyperlink>
      <w:r>
        <w:t xml:space="preserve"> </w:t>
      </w:r>
      <w:r>
        <w:t xml:space="preserve">con aumenti per</w:t>
      </w:r>
      <w:r>
        <w:t xml:space="preserve"> </w:t>
      </w:r>
      <w:r>
        <w:rPr>
          <w:b/>
          <w:bCs/>
        </w:rPr>
        <w:t xml:space="preserve">Asian or Asian British (+39%) e Black or Black British (+40%)</w:t>
      </w:r>
      <w:r>
        <w:t xml:space="preserve">,</w:t>
      </w:r>
      <w:r>
        <w:t xml:space="preserve"> </w:t>
      </w:r>
      <w:hyperlink r:id="rId2563">
        <w:r>
          <w:rPr>
            <w:rStyle w:val="Hyperlink"/>
          </w:rPr>
          <w:t xml:space="preserve">Limbic</w:t>
        </w:r>
      </w:hyperlink>
      <w:r>
        <w:t xml:space="preserve"> </w:t>
      </w:r>
      <w:r>
        <w:t xml:space="preserve">non-binary</w:t>
      </w:r>
      <w:r>
        <w:t xml:space="preserve"> </w:t>
      </w:r>
      <w:r>
        <w:rPr>
          <w:b/>
          <w:bCs/>
        </w:rPr>
        <w:t xml:space="preserve">+179%</w:t>
      </w:r>
      <w:r>
        <w:t xml:space="preserve">, minoranze etniche complessive</w:t>
      </w:r>
      <w:r>
        <w:t xml:space="preserve"> </w:t>
      </w:r>
      <w:r>
        <w:rPr>
          <w:b/>
          <w:bCs/>
        </w:rPr>
        <w:t xml:space="preserve">+29%</w:t>
      </w:r>
      <w:r>
        <w:t xml:space="preserve">;</w:t>
      </w:r>
      <w:r>
        <w:t xml:space="preserve"> </w:t>
      </w:r>
      <w:r>
        <w:rPr>
          <w:b/>
          <w:bCs/>
        </w:rPr>
        <w:t xml:space="preserve">89% di feedback positivi</w:t>
      </w:r>
      <w:r>
        <w:t xml:space="preserve">.</w:t>
      </w:r>
      <w:r>
        <w:t xml:space="preserve"> </w:t>
      </w:r>
      <w:hyperlink r:id="rId2564">
        <w:r>
          <w:rPr>
            <w:rStyle w:val="Hyperlink"/>
          </w:rPr>
          <w:t xml:space="preserve">Business Wire</w:t>
        </w:r>
      </w:hyperlink>
      <w:r>
        <w:t xml:space="preserve"> </w:t>
      </w:r>
      <w:r>
        <w:t xml:space="preserve">Limbic Access è dispositivo medico di</w:t>
      </w:r>
      <w:r>
        <w:t xml:space="preserve"> </w:t>
      </w:r>
      <w:r>
        <w:rPr>
          <w:b/>
          <w:bCs/>
        </w:rPr>
        <w:t xml:space="preserve">Classe IIa</w:t>
      </w:r>
      <w:r>
        <w:t xml:space="preserve"> </w:t>
      </w:r>
      <w:r>
        <w:t xml:space="preserve">nel Regno Unito.</w:t>
      </w:r>
      <w:r>
        <w:t xml:space="preserve"> </w:t>
      </w:r>
      <w:hyperlink r:id="rId2565">
        <w:r>
          <w:rPr>
            <w:rStyle w:val="Hyperlink"/>
          </w:rPr>
          <w:t xml:space="preserve">Open Access Government</w:t>
        </w:r>
      </w:hyperlink>
      <w:r>
        <w:t xml:space="preserve"> </w:t>
      </w:r>
      <w:hyperlink r:id="rId2564">
        <w:r>
          <w:rPr>
            <w:rStyle w:val="Hyperlink"/>
          </w:rPr>
          <w:t xml:space="preserve">Business Wire</w:t>
        </w:r>
      </w:hyperlink>
    </w:p>
    <w:p>
      <w:pPr>
        <w:pStyle w:val="Compact"/>
        <w:numPr>
          <w:ilvl w:val="1"/>
          <w:numId w:val="1019"/>
        </w:numPr>
      </w:pPr>
      <w:r>
        <w:rPr>
          <w:i/>
          <w:iCs/>
        </w:rPr>
        <w:t xml:space="preserve">Efficienza clinica</w:t>
      </w:r>
      <w:r>
        <w:t xml:space="preserve"> </w:t>
      </w:r>
      <w:r>
        <w:t xml:space="preserve">(Rollwage et al.,</w:t>
      </w:r>
      <w:r>
        <w:t xml:space="preserve"> </w:t>
      </w:r>
      <w:r>
        <w:rPr>
          <w:b/>
          <w:bCs/>
        </w:rPr>
        <w:t xml:space="preserve">JMIR 2023</w:t>
      </w:r>
      <w:r>
        <w:t xml:space="preserve">; 9 servizi, 64.862 pazienti):</w:t>
      </w:r>
      <w:r>
        <w:t xml:space="preserve"> </w:t>
      </w:r>
      <w:r>
        <w:rPr>
          <w:b/>
          <w:bCs/>
        </w:rPr>
        <w:t xml:space="preserve">+30% di completamento del referral, −23,5% del tempo di valutazione (−12,7 minuti per referral), drop-out da 27% a 22% (−18%),</w:t>
      </w:r>
      <w:r>
        <w:rPr>
          <w:b/>
          <w:bCs/>
        </w:rPr>
        <w:t xml:space="preserve"> </w:t>
      </w:r>
      <w:hyperlink r:id="rId2566">
        <w:r>
          <w:rPr>
            <w:rStyle w:val="Hyperlink"/>
            <w:b/>
            <w:bCs/>
          </w:rPr>
          <w:t xml:space="preserve">Fierce Healthcare</w:t>
        </w:r>
      </w:hyperlink>
      <w:r>
        <w:rPr>
          <w:b/>
          <w:bCs/>
        </w:rPr>
        <w:t xml:space="preserve"> </w:t>
      </w:r>
      <w:r>
        <w:rPr>
          <w:b/>
          <w:bCs/>
        </w:rPr>
        <w:t xml:space="preserve">−45% di cambi di trattamento</w:t>
      </w:r>
      <w:r>
        <w:t xml:space="preserve">, attese per valutazione più brevi di 2,2 giorni. (Il dato di accuratezza di triage</w:t>
      </w:r>
      <w:r>
        <w:t xml:space="preserve"> </w:t>
      </w:r>
      <w:r>
        <w:t xml:space="preserve">“</w:t>
      </w:r>
      <w:r>
        <w:t xml:space="preserve">93%</w:t>
      </w:r>
      <w:r>
        <w:t xml:space="preserve">”</w:t>
      </w:r>
      <w:r>
        <w:t xml:space="preserve"> </w:t>
      </w:r>
      <w:r>
        <w:t xml:space="preserve">è dichiarato da dirigenti aziendali nella stampa di settore: da citare come company-stated.)</w:t>
      </w:r>
    </w:p>
    <w:p>
      <w:pPr>
        <w:pStyle w:val="Compact"/>
        <w:numPr>
          <w:ilvl w:val="0"/>
          <w:numId w:val="1018"/>
        </w:numPr>
      </w:pPr>
      <w:r>
        <w:rPr>
          <w:b/>
          <w:bCs/>
        </w:rPr>
        <w:t xml:space="preserve">Terapie digitali (DTx) e chatbot terapeutici</w:t>
      </w:r>
      <w:r>
        <w:t xml:space="preserve">:</w:t>
      </w:r>
    </w:p>
    <w:p>
      <w:pPr>
        <w:pStyle w:val="Compact"/>
        <w:numPr>
          <w:ilvl w:val="1"/>
          <w:numId w:val="1020"/>
        </w:numPr>
      </w:pPr>
      <w:r>
        <w:t xml:space="preserve">Meta-analisi</w:t>
      </w:r>
      <w:r>
        <w:t xml:space="preserve"> </w:t>
      </w:r>
      <w:r>
        <w:rPr>
          <w:b/>
          <w:bCs/>
        </w:rPr>
        <w:t xml:space="preserve">npj Digital Medicine</w:t>
      </w:r>
      <w:r>
        <w:t xml:space="preserve"> </w:t>
      </w:r>
      <w:r>
        <w:t xml:space="preserve">(Li et al. 2023, 35 studi/15 RCT): i conversational agent riducono significativamente</w:t>
      </w:r>
      <w:r>
        <w:t xml:space="preserve"> </w:t>
      </w:r>
      <w:r>
        <w:rPr>
          <w:b/>
          <w:bCs/>
        </w:rPr>
        <w:t xml:space="preserve">depressione (Hedges</w:t>
      </w:r>
      <w:r>
        <w:rPr>
          <w:b/>
          <w:bCs/>
        </w:rPr>
        <w:t xml:space="preserve"> </w:t>
      </w:r>
      <w:r>
        <w:rPr>
          <w:b/>
          <w:bCs/>
          <w:i/>
          <w:iCs/>
        </w:rPr>
        <w:t xml:space="preserve">g</w:t>
      </w:r>
      <w:r>
        <w:rPr>
          <w:b/>
          <w:bCs/>
        </w:rPr>
        <w:t xml:space="preserve"> </w:t>
      </w:r>
      <w:r>
        <w:rPr>
          <w:b/>
          <w:bCs/>
        </w:rPr>
        <w:t xml:space="preserve">= 0,64; IC 95% 0,17–1,12)</w:t>
      </w:r>
      <w:r>
        <w:t xml:space="preserve"> </w:t>
      </w:r>
      <w:r>
        <w:t xml:space="preserve">e</w:t>
      </w:r>
      <w:r>
        <w:t xml:space="preserve"> </w:t>
      </w:r>
      <w:r>
        <w:rPr>
          <w:b/>
          <w:bCs/>
        </w:rPr>
        <w:t xml:space="preserve">distress (</w:t>
      </w:r>
      <w:r>
        <w:rPr>
          <w:b/>
          <w:bCs/>
          <w:i/>
          <w:iCs/>
        </w:rPr>
        <w:t xml:space="preserve">g</w:t>
      </w:r>
      <w:r>
        <w:rPr>
          <w:b/>
          <w:bCs/>
        </w:rPr>
        <w:t xml:space="preserve"> </w:t>
      </w:r>
      <w:r>
        <w:rPr>
          <w:b/>
          <w:bCs/>
        </w:rPr>
        <w:t xml:space="preserve">= 0,70; 0,18–1,22)</w:t>
      </w:r>
      <w:r>
        <w:t xml:space="preserve">,</w:t>
      </w:r>
      <w:r>
        <w:t xml:space="preserve"> </w:t>
      </w:r>
      <w:hyperlink r:id="rId2567">
        <w:r>
          <w:rPr>
            <w:rStyle w:val="Hyperlink"/>
          </w:rPr>
          <w:t xml:space="preserve">Nature</w:t>
        </w:r>
      </w:hyperlink>
      <w:r>
        <w:t xml:space="preserve"> </w:t>
      </w:r>
      <w:r>
        <w:t xml:space="preserve">ma</w:t>
      </w:r>
      <w:r>
        <w:t xml:space="preserve"> </w:t>
      </w:r>
      <w:r>
        <w:rPr>
          <w:b/>
          <w:bCs/>
        </w:rPr>
        <w:t xml:space="preserve">non l’ansia</w:t>
      </w:r>
      <w:r>
        <w:t xml:space="preserve"> </w:t>
      </w:r>
      <w:r>
        <w:t xml:space="preserve">(</w:t>
      </w:r>
      <w:r>
        <w:rPr>
          <w:i/>
          <w:iCs/>
        </w:rPr>
        <w:t xml:space="preserve">g</w:t>
      </w:r>
      <w:r>
        <w:t xml:space="preserve"> </w:t>
      </w:r>
      <w:r>
        <w:t xml:space="preserve">= 0,65; IC 95% −0,46–1,77).</w:t>
      </w:r>
      <w:r>
        <w:t xml:space="preserve"> </w:t>
      </w:r>
      <w:hyperlink r:id="rId2568">
        <w:r>
          <w:rPr>
            <w:rStyle w:val="Hyperlink"/>
          </w:rPr>
          <w:t xml:space="preserve">PubMed Central</w:t>
        </w:r>
      </w:hyperlink>
      <w:r>
        <w:t xml:space="preserve"> </w:t>
      </w:r>
      <w:r>
        <w:t xml:space="preserve">Meta-analisi npj più recenti e ampie (2026; 38–48 RCT, fino a 28.071 partecipanti) confermano effetti più piccoli ma significativi (depressione</w:t>
      </w:r>
      <w:r>
        <w:t xml:space="preserve"> </w:t>
      </w:r>
      <w:r>
        <w:rPr>
          <w:i/>
          <w:iCs/>
        </w:rPr>
        <w:t xml:space="preserve">g</w:t>
      </w:r>
      <w:r>
        <w:t xml:space="preserve"> </w:t>
      </w:r>
      <w:r>
        <w:t xml:space="preserve">~0,28–0,31; ansia</w:t>
      </w:r>
      <w:r>
        <w:t xml:space="preserve"> </w:t>
      </w:r>
      <w:r>
        <w:rPr>
          <w:i/>
          <w:iCs/>
        </w:rPr>
        <w:t xml:space="preserve">g</w:t>
      </w:r>
      <w:r>
        <w:t xml:space="preserve"> </w:t>
      </w:r>
      <w:r>
        <w:t xml:space="preserve">~0,20–0,28).</w:t>
      </w:r>
    </w:p>
    <w:p>
      <w:pPr>
        <w:pStyle w:val="Compact"/>
        <w:numPr>
          <w:ilvl w:val="1"/>
          <w:numId w:val="1020"/>
        </w:numPr>
      </w:pPr>
      <w:r>
        <w:rPr>
          <w:b/>
          <w:bCs/>
        </w:rPr>
        <w:t xml:space="preserve">deprexis</w:t>
      </w:r>
      <w:r>
        <w:t xml:space="preserve"> </w:t>
      </w:r>
      <w:r>
        <w:t xml:space="preserve">(DTx CBT-based con AI): meta-analisi aggiornata (12 RCT, N=2.901)</w:t>
      </w:r>
      <w:r>
        <w:t xml:space="preserve"> </w:t>
      </w:r>
      <w:r>
        <w:rPr>
          <w:i/>
          <w:iCs/>
        </w:rPr>
        <w:t xml:space="preserve">g</w:t>
      </w:r>
      <w:r>
        <w:t xml:space="preserve"> </w:t>
      </w:r>
      <w:r>
        <w:t xml:space="preserve">= 0,51; uno studio (Gräfe et al. 2020) documenta una riduzione dei costi assicurativi nel gruppo intervento (32% vs 13% nei controlli). In Germania è rimborsabile nel quadro</w:t>
      </w:r>
      <w:r>
        <w:t xml:space="preserve"> </w:t>
      </w:r>
      <w:r>
        <w:rPr>
          <w:b/>
          <w:bCs/>
        </w:rPr>
        <w:t xml:space="preserve">DiGA</w:t>
      </w:r>
      <w:r>
        <w:t xml:space="preserve">; nel Regno Unito</w:t>
      </w:r>
      <w:r>
        <w:t xml:space="preserve"> </w:t>
      </w:r>
      <w:r>
        <w:rPr>
          <w:b/>
          <w:bCs/>
        </w:rPr>
        <w:t xml:space="preserve">SilverCloud</w:t>
      </w:r>
      <w:r>
        <w:t xml:space="preserve"> </w:t>
      </w:r>
      <w:r>
        <w:t xml:space="preserve">è integrato nei percorsi NHS.</w:t>
      </w:r>
    </w:p>
    <w:p>
      <w:pPr>
        <w:pStyle w:val="Compact"/>
        <w:numPr>
          <w:ilvl w:val="1"/>
          <w:numId w:val="1020"/>
        </w:numPr>
      </w:pPr>
      <w:r>
        <w:rPr>
          <w:b/>
          <w:bCs/>
        </w:rPr>
        <w:t xml:space="preserve">iCBT</w:t>
      </w:r>
      <w:r>
        <w:t xml:space="preserve">: numerose analisi di costo-efficacia mostrano dominanza o ICER ben sotto soglia (es. iCBT in pazienti cardiovascolari ICER €18.865/QALY &lt; soglia NICE €23.400–35.100; in vari modelli decisionali l’iCBT risulta dominante, cioè meno costoso e più efficace).</w:t>
      </w:r>
    </w:p>
    <w:p>
      <w:pPr>
        <w:pStyle w:val="Compact"/>
        <w:numPr>
          <w:ilvl w:val="0"/>
          <w:numId w:val="1018"/>
        </w:numPr>
      </w:pPr>
      <w:r>
        <w:rPr>
          <w:b/>
          <w:bCs/>
        </w:rPr>
        <w:t xml:space="preserve">Impatto economico macro dell’IA in sanità</w:t>
      </w:r>
      <w:r>
        <w:t xml:space="preserve">: NBER Working Paper 30857 (Sahni, Stein, Zemmel &amp; Cutler, 2023):</w:t>
      </w:r>
      <w:r>
        <w:t xml:space="preserve"> </w:t>
      </w:r>
      <w:r>
        <w:rPr>
          <w:i/>
          <w:iCs/>
        </w:rPr>
        <w:t xml:space="preserve">“</w:t>
      </w:r>
      <w:r>
        <w:rPr>
          <w:i/>
          <w:iCs/>
        </w:rPr>
        <w:t xml:space="preserve">wider adoption of AI could lead to savings of 5 to 10 percent in US healthcare spending—roughly</w:t>
      </w:r>
      <w:r>
        <w:rPr>
          <w:i/>
          <w:iCs/>
        </w:rPr>
        <w:t xml:space="preserve"> </w:t>
      </w:r>
      <w:r>
        <w:rPr>
          <w:b/>
          <w:bCs/>
          <w:i/>
          <w:iCs/>
        </w:rPr>
        <w:t xml:space="preserve">$200 billion to $360 billion</w:t>
      </w:r>
      <w:r>
        <w:rPr>
          <w:i/>
          <w:iCs/>
        </w:rPr>
        <w:t xml:space="preserve"> </w:t>
      </w:r>
      <w:r>
        <w:rPr>
          <w:i/>
          <w:iCs/>
        </w:rPr>
        <w:t xml:space="preserve">annually in 2019 dollars… attainable within the next five years, and would not sacrifice quality or access</w:t>
      </w:r>
      <w:r>
        <w:rPr>
          <w:i/>
          <w:iCs/>
        </w:rPr>
        <w:t xml:space="preserve">”</w:t>
      </w:r>
      <w:r>
        <w:t xml:space="preserve"> </w:t>
      </w:r>
      <w:hyperlink r:id="rId2569">
        <w:r>
          <w:rPr>
            <w:rStyle w:val="Hyperlink"/>
          </w:rPr>
          <w:t xml:space="preserve">NBER</w:t>
        </w:r>
      </w:hyperlink>
      <w:r>
        <w:t xml:space="preserve"> </w:t>
      </w:r>
      <w:r>
        <w:t xml:space="preserve">(ospedali 60–120 mld; gruppi medici 20–60 mld; payer privati 80–110 mld). Sul versante burocratico, gli ambient scribe IA riducono il tempo di documentazione in visita di ~20% e il charting after-hours di ~30%.</w:t>
      </w:r>
    </w:p>
    <w:bookmarkEnd w:id="2570"/>
    <w:bookmarkStart w:id="2571" w:name="X0babe07b88f4bdbf5a3c453c4e4d12ab9bb09f6"/>
    <w:p>
      <w:pPr>
        <w:pStyle w:val="Heading4"/>
      </w:pPr>
      <w:r>
        <w:t xml:space="preserve">ASSE 3 — Formazione del personale all’IA (quattro modalità)</w:t>
      </w:r>
    </w:p>
    <w:p>
      <w:pPr>
        <w:pStyle w:val="FirstParagraph"/>
      </w:pPr>
      <w:r>
        <w:t xml:space="preserve">Le quattro modalità — (1) universitaria, (2) post-universitaria/ECM/certificazioni, (3) on-the-job, (4) affiancamento di figure competenti in IA presso ogni studio (mentoring/supervisione esperta) — vanno valutate</w:t>
      </w:r>
      <w:r>
        <w:t xml:space="preserve"> </w:t>
      </w:r>
      <w:r>
        <w:rPr>
          <w:b/>
          <w:bCs/>
        </w:rPr>
        <w:t xml:space="preserve">sia singolarmente sia in combinazione</w:t>
      </w:r>
      <w:r>
        <w:t xml:space="preserve"> </w:t>
      </w:r>
      <w:r>
        <w:t xml:space="preserve">con i modelli</w:t>
      </w:r>
      <w:r>
        <w:t xml:space="preserve"> </w:t>
      </w:r>
      <w:r>
        <w:rPr>
          <w:b/>
          <w:bCs/>
        </w:rPr>
        <w:t xml:space="preserve">Kirkpatrick + Phillips</w:t>
      </w:r>
      <w:r>
        <w:t xml:space="preserve">, isolando l’effetto formativo dai fattori confondenti (stagionalità, contesto competitivo). Ancore validate per la Puglia:</w:t>
      </w:r>
      <w:r>
        <w:t xml:space="preserve"> </w:t>
      </w:r>
      <w:r>
        <w:rPr>
          <w:b/>
          <w:bCs/>
        </w:rPr>
        <w:t xml:space="preserve">ROI formativo 7–8:1</w:t>
      </w:r>
      <w:r>
        <w:t xml:space="preserve">;</w:t>
      </w:r>
      <w:r>
        <w:t xml:space="preserve"> </w:t>
      </w:r>
      <w:r>
        <w:rPr>
          <w:b/>
          <w:bCs/>
        </w:rPr>
        <w:t xml:space="preserve">delta formativo ~28–56 milioni €/anno</w:t>
      </w:r>
      <w:r>
        <w:t xml:space="preserve"> </w:t>
      </w:r>
      <w:r>
        <w:t xml:space="preserve">a fronte di</w:t>
      </w:r>
      <w:r>
        <w:t xml:space="preserve"> </w:t>
      </w:r>
      <w:r>
        <w:rPr>
          <w:b/>
          <w:bCs/>
        </w:rPr>
        <w:t xml:space="preserve">~4 milioni €/anno</w:t>
      </w:r>
      <w:r>
        <w:t xml:space="preserve"> </w:t>
      </w:r>
      <w:r>
        <w:t xml:space="preserve">di costo del programma. La combinazione ottimale attesa è universitaria (capitale umano di lungo periodo) + ECM (aggiornamento rapido) + on-the-job/affiancamento (transfer e curva di adozione), con l’affiancamento esperto come acceleratore della curva di adozione tecnologica nei primi 12–18 mesi.</w:t>
      </w:r>
    </w:p>
    <w:bookmarkEnd w:id="2571"/>
    <w:bookmarkStart w:id="2578" w:name="Xfba55a695f6e120bdc72b5c6723e825fa8e01a9"/>
    <w:p>
      <w:pPr>
        <w:pStyle w:val="Heading4"/>
      </w:pPr>
      <w:r>
        <w:t xml:space="preserve">ASSE 4 — Perimetro multidisciplinare a cascata gerarchica piramidale</w:t>
      </w:r>
    </w:p>
    <w:p>
      <w:pPr>
        <w:pStyle w:val="FirstParagraph"/>
      </w:pPr>
      <w:r>
        <w:t xml:space="preserve">Partendo dallo Psicologo di Base (potenziato dall’IA) e procedendo per influenza nel progetto e capacità di generare rientro economico/spending review:</w:t>
      </w:r>
      <w:r>
        <w:t xml:space="preserve"> </w:t>
      </w:r>
      <w:r>
        <w:t xml:space="preserve">-</w:t>
      </w:r>
      <w:r>
        <w:t xml:space="preserve"> </w:t>
      </w:r>
      <w:r>
        <w:rPr>
          <w:b/>
          <w:bCs/>
        </w:rPr>
        <w:t xml:space="preserve">Salutistico / Sanitario</w:t>
      </w:r>
      <w:r>
        <w:t xml:space="preserve"> </w:t>
      </w:r>
      <w:r>
        <w:t xml:space="preserve">(vertice): i progetti pilota italiani (Solano, Università</w:t>
      </w:r>
      <w:r>
        <w:t xml:space="preserve"> </w:t>
      </w:r>
      <w:r>
        <w:t xml:space="preserve">“</w:t>
      </w:r>
      <w:r>
        <w:t xml:space="preserve">La Sapienza</w:t>
      </w:r>
      <w:r>
        <w:t xml:space="preserve">”</w:t>
      </w:r>
      <w:r>
        <w:t xml:space="preserve">; sperimentazioni di Orvieto, Roma, Rieti, Marino, Monterotondo) hanno rilevato</w:t>
      </w:r>
      <w:r>
        <w:t xml:space="preserve"> </w:t>
      </w:r>
      <w:r>
        <w:rPr>
          <w:b/>
          <w:bCs/>
        </w:rPr>
        <w:t xml:space="preserve">riduzioni della spesa farmaceutica del 14–17%</w:t>
      </w:r>
      <w:r>
        <w:t xml:space="preserve"> </w:t>
      </w:r>
      <w:r>
        <w:t xml:space="preserve">(75.000 € e 55.000 € annui in due studi medici)</w:t>
      </w:r>
      <w:r>
        <w:t xml:space="preserve"> </w:t>
      </w:r>
      <w:hyperlink r:id="rId2572">
        <w:r>
          <w:rPr>
            <w:rStyle w:val="Hyperlink"/>
          </w:rPr>
          <w:t xml:space="preserve">OPSOnline</w:t>
        </w:r>
      </w:hyperlink>
      <w:r>
        <w:t xml:space="preserve"> </w:t>
      </w:r>
      <w:r>
        <w:t xml:space="preserve">e, nella sperimentazione di Orvieto, una</w:t>
      </w:r>
      <w:r>
        <w:t xml:space="preserve"> </w:t>
      </w:r>
      <w:r>
        <w:rPr>
          <w:b/>
          <w:bCs/>
        </w:rPr>
        <w:t xml:space="preserve">riduzione della spesa sanitaria ~15%</w:t>
      </w:r>
      <w:r>
        <w:t xml:space="preserve"> </w:t>
      </w:r>
      <w:hyperlink r:id="rId2573">
        <w:r>
          <w:rPr>
            <w:rStyle w:val="Hyperlink"/>
          </w:rPr>
          <w:t xml:space="preserve">Simg</w:t>
        </w:r>
      </w:hyperlink>
      <w:r>
        <w:t xml:space="preserve"> </w:t>
      </w:r>
      <w:r>
        <w:t xml:space="preserve">(campioni limitati, letteratura grigia, da citare con cautela). In Inghilterra IAPT/NHS Talking Therapies riporta recovery ~50% e miglioramento ~67%, con risparmi attribuiti al NHS dell’ordine di centinaia di milioni di sterline.</w:t>
      </w:r>
      <w:r>
        <w:t xml:space="preserve"> </w:t>
      </w:r>
      <w:r>
        <w:t xml:space="preserve">-</w:t>
      </w:r>
      <w:r>
        <w:t xml:space="preserve"> </w:t>
      </w:r>
      <w:r>
        <w:rPr>
          <w:b/>
          <w:bCs/>
        </w:rPr>
        <w:t xml:space="preserve">Economico / Lavorativo / Produttivistico</w:t>
      </w:r>
      <w:r>
        <w:t xml:space="preserve">: secondo Chisholm et al. (Lancet Psychiatry 2016) e WHO (13 aprile 2016),</w:t>
      </w:r>
      <w:r>
        <w:t xml:space="preserve"> </w:t>
      </w:r>
      <w:r>
        <w:rPr>
          <w:i/>
          <w:iCs/>
        </w:rPr>
        <w:t xml:space="preserve">“</w:t>
      </w:r>
      <w:r>
        <w:rPr>
          <w:i/>
          <w:iCs/>
        </w:rPr>
        <w:t xml:space="preserve">Depression and anxiety disorders cost the global economy US$1 trillion each year… Every US$1 invested in scaling up treatment for depression and anxiety leads to a return of US$4 in better health and ability to work</w:t>
      </w:r>
      <w:r>
        <w:rPr>
          <w:i/>
          <w:iCs/>
        </w:rPr>
        <w:t xml:space="preserve">”</w:t>
      </w:r>
      <w:r>
        <w:t xml:space="preserve"> </w:t>
      </w:r>
      <w:r>
        <w:t xml:space="preserve">(36 Paesi, orizzonte 2016–2030).</w:t>
      </w:r>
      <w:r>
        <w:t xml:space="preserve"> </w:t>
      </w:r>
      <w:r>
        <w:rPr>
          <w:b/>
          <w:bCs/>
        </w:rPr>
        <w:t xml:space="preserve">Per l’analisi pugliese si devono però usare i range corretti dello stesso studio: 2,3–3,0:1 per i soli benefici economici e 3,3–5,7:1 includendo i ritorni in salute</w:t>
      </w:r>
      <w:r>
        <w:t xml:space="preserve">, non il</w:t>
      </w:r>
      <w:r>
        <w:t xml:space="preserve"> </w:t>
      </w:r>
      <w:r>
        <w:t xml:space="preserve">“</w:t>
      </w:r>
      <w:r>
        <w:t xml:space="preserve">4:1</w:t>
      </w:r>
      <w:r>
        <w:t xml:space="preserve">”</w:t>
      </w:r>
      <w:r>
        <w:t xml:space="preserve"> </w:t>
      </w:r>
      <w:r>
        <w:t xml:space="preserve">divulgativo.</w:t>
      </w:r>
      <w:r>
        <w:t xml:space="preserve"> </w:t>
      </w:r>
      <w:r>
        <w:t xml:space="preserve">-</w:t>
      </w:r>
      <w:r>
        <w:t xml:space="preserve"> </w:t>
      </w:r>
      <w:r>
        <w:rPr>
          <w:b/>
          <w:bCs/>
        </w:rPr>
        <w:t xml:space="preserve">Welfaristico / Pensionistico</w:t>
      </w:r>
      <w:r>
        <w:t xml:space="preserve">: IAPT ha contribuito a far uscire ~45.000 persone dai sussidi nei primi 3 anni;</w:t>
      </w:r>
      <w:r>
        <w:t xml:space="preserve"> </w:t>
      </w:r>
      <w:hyperlink r:id="rId2574">
        <w:r>
          <w:rPr>
            <w:rStyle w:val="Hyperlink"/>
          </w:rPr>
          <w:t xml:space="preserve">MHIN</w:t>
        </w:r>
      </w:hyperlink>
      <w:r>
        <w:t xml:space="preserve"> </w:t>
      </w:r>
      <w:r>
        <w:t xml:space="preserve">rilevanti i risparmi su indennità di inabilità/invalidità e pensionamenti anticipati per cause psichiche.</w:t>
      </w:r>
      <w:r>
        <w:t xml:space="preserve"> </w:t>
      </w:r>
      <w:r>
        <w:t xml:space="preserve">-</w:t>
      </w:r>
      <w:r>
        <w:t xml:space="preserve"> </w:t>
      </w:r>
      <w:r>
        <w:rPr>
          <w:b/>
          <w:bCs/>
        </w:rPr>
        <w:t xml:space="preserve">Criminologico</w:t>
      </w:r>
      <w:r>
        <w:t xml:space="preserve">: la malattia mentale non trattata si associa a maggiori costi del sistema giudiziario e recidiva;</w:t>
      </w:r>
      <w:r>
        <w:t xml:space="preserve"> </w:t>
      </w:r>
      <w:hyperlink r:id="rId2575">
        <w:r>
          <w:rPr>
            <w:rStyle w:val="Hyperlink"/>
          </w:rPr>
          <w:t xml:space="preserve">Stanford Institute for Economic Policy Research</w:t>
        </w:r>
      </w:hyperlink>
      <w:r>
        <w:t xml:space="preserve"> </w:t>
      </w:r>
      <w:r>
        <w:t xml:space="preserve">interventi intensivi di salute mentale riducono drop-out e aumentano il completamento scolastico nei giovani coinvolti nel sistema giudiziario (NBER WP 21206).</w:t>
      </w:r>
      <w:r>
        <w:t xml:space="preserve"> </w:t>
      </w:r>
      <w:hyperlink r:id="rId2576">
        <w:r>
          <w:rPr>
            <w:rStyle w:val="Hyperlink"/>
          </w:rPr>
          <w:t xml:space="preserve">NBER</w:t>
        </w:r>
      </w:hyperlink>
      <w:r>
        <w:t xml:space="preserve"> </w:t>
      </w:r>
      <w:r>
        <w:t xml:space="preserve">-</w:t>
      </w:r>
      <w:r>
        <w:t xml:space="preserve"> </w:t>
      </w:r>
      <w:r>
        <w:rPr>
          <w:b/>
          <w:bCs/>
        </w:rPr>
        <w:t xml:space="preserve">Pedagogico / scolastico</w:t>
      </w:r>
      <w:r>
        <w:t xml:space="preserve">: la dispersione scolastica si associa a disagio psichico, uso di sostanze e devianza; costo per drop-out stimato fino a ~240.000 $ a persona (USA, Levin &amp; Belfield).</w:t>
      </w:r>
      <w:r>
        <w:t xml:space="preserve"> </w:t>
      </w:r>
      <w:hyperlink r:id="rId2577">
        <w:r>
          <w:rPr>
            <w:rStyle w:val="Hyperlink"/>
          </w:rPr>
          <w:t xml:space="preserve">PubMed Central</w:t>
        </w:r>
      </w:hyperlink>
      <w:r>
        <w:t xml:space="preserve"> </w:t>
      </w:r>
      <w:r>
        <w:t xml:space="preserve">-</w:t>
      </w:r>
      <w:r>
        <w:t xml:space="preserve"> </w:t>
      </w:r>
      <w:r>
        <w:rPr>
          <w:b/>
          <w:bCs/>
        </w:rPr>
        <w:t xml:space="preserve">Assistenziale / Sociale / Culturale / Antropologico / Burocratico / Finanziario / Industriale / Sindacale</w:t>
      </w:r>
      <w:r>
        <w:t xml:space="preserve">: lo SROI cattura coesione, capitale sociale, riduzione del caregiver burden e destigmatizzazione/alfabetizzazione psicologica; sul versante burocratico-amministrativo e finanziario l’IA riduce gli oneri (ambient scribe, automazione prior authorization) e migliora la sostenibilità dei bilanci regionali e la salute organizzativa aziendale.</w:t>
      </w:r>
    </w:p>
    <w:bookmarkEnd w:id="2578"/>
    <w:bookmarkStart w:id="2580" w:name="X12d2a25fc5618c5b5b29781fd588b5ce7bd2913"/>
    <w:p>
      <w:pPr>
        <w:pStyle w:val="Heading4"/>
      </w:pPr>
      <w:r>
        <w:t xml:space="preserve">Vincoli metodologici da rispettare rigorosamente</w:t>
      </w:r>
    </w:p>
    <w:p>
      <w:pPr>
        <w:pStyle w:val="Compact"/>
        <w:numPr>
          <w:ilvl w:val="0"/>
          <w:numId w:val="1021"/>
        </w:numPr>
      </w:pPr>
      <w:r>
        <w:t xml:space="preserve">Usare i range</w:t>
      </w:r>
      <w:r>
        <w:t xml:space="preserve"> </w:t>
      </w:r>
      <w:r>
        <w:rPr>
          <w:b/>
          <w:bCs/>
        </w:rPr>
        <w:t xml:space="preserve">Chisholm et al. (Lancet Psychiatry 2016)</w:t>
      </w:r>
      <w:r>
        <w:t xml:space="preserve">:</w:t>
      </w:r>
      <w:r>
        <w:t xml:space="preserve"> </w:t>
      </w:r>
      <w:r>
        <w:rPr>
          <w:b/>
          <w:bCs/>
        </w:rPr>
        <w:t xml:space="preserve">2,3–3,0:1</w:t>
      </w:r>
      <w:r>
        <w:t xml:space="preserve"> </w:t>
      </w:r>
      <w:r>
        <w:t xml:space="preserve">(soli benefici economici);</w:t>
      </w:r>
      <w:r>
        <w:t xml:space="preserve"> </w:t>
      </w:r>
      <w:r>
        <w:rPr>
          <w:b/>
          <w:bCs/>
        </w:rPr>
        <w:t xml:space="preserve">3,3–5,7:1</w:t>
      </w:r>
      <w:r>
        <w:t xml:space="preserve"> </w:t>
      </w:r>
      <w:r>
        <w:t xml:space="preserve">(inclusi i ritorni in salute).</w:t>
      </w:r>
      <w:r>
        <w:t xml:space="preserve"> </w:t>
      </w:r>
      <w:r>
        <w:rPr>
          <w:b/>
          <w:bCs/>
        </w:rPr>
        <w:t xml:space="preserve">NON</w:t>
      </w:r>
      <w:r>
        <w:t xml:space="preserve"> </w:t>
      </w:r>
      <w:r>
        <w:t xml:space="preserve">usare un generico</w:t>
      </w:r>
      <w:r>
        <w:t xml:space="preserve"> </w:t>
      </w:r>
      <w:r>
        <w:t xml:space="preserve">“</w:t>
      </w:r>
      <w:r>
        <w:t xml:space="preserve">4:1</w:t>
      </w:r>
      <w:r>
        <w:t xml:space="preserve">”</w:t>
      </w:r>
      <w:r>
        <w:t xml:space="preserve"> </w:t>
      </w:r>
      <w:r>
        <w:t xml:space="preserve">né valori gonfiati 12:1–18:1.</w:t>
      </w:r>
    </w:p>
    <w:p>
      <w:pPr>
        <w:pStyle w:val="Compact"/>
        <w:numPr>
          <w:ilvl w:val="0"/>
          <w:numId w:val="1021"/>
        </w:numPr>
      </w:pPr>
      <w:r>
        <w:t xml:space="preserve">Preservare il</w:t>
      </w:r>
      <w:r>
        <w:t xml:space="preserve"> </w:t>
      </w:r>
      <w:r>
        <w:rPr>
          <w:b/>
          <w:bCs/>
        </w:rPr>
        <w:t xml:space="preserve">caveat dell’IMPACT trial</w:t>
      </w:r>
      <w:r>
        <w:t xml:space="preserve">: i risparmi sui costi sanitari NON sono statisticamente significativi (IC 95% che attraversa lo zero). La letteratura sulla collaborative care conferma ampiamente l’assenza di cost-offset significativo (numerosi RCT: nessuna riduzione significativa dei costi totali).</w:t>
      </w:r>
      <w:r>
        <w:t xml:space="preserve"> </w:t>
      </w:r>
      <w:hyperlink r:id="rId2579">
        <w:r>
          <w:rPr>
            <w:rStyle w:val="Hyperlink"/>
          </w:rPr>
          <w:t xml:space="preserve">Psychiatry Online</w:t>
        </w:r>
      </w:hyperlink>
    </w:p>
    <w:p>
      <w:pPr>
        <w:pStyle w:val="Compact"/>
        <w:numPr>
          <w:ilvl w:val="0"/>
          <w:numId w:val="1021"/>
        </w:numPr>
      </w:pPr>
      <w:r>
        <w:t xml:space="preserve">Mantenere</w:t>
      </w:r>
      <w:r>
        <w:t xml:space="preserve"> </w:t>
      </w:r>
      <w:r>
        <w:rPr>
          <w:b/>
          <w:bCs/>
        </w:rPr>
        <w:t xml:space="preserve">separati i risparmi fiscali diretti dai risparmi sociali/indiretti</w:t>
      </w:r>
      <w:r>
        <w:t xml:space="preserve">, senza duplicazioni tra categorie della cascata.</w:t>
      </w:r>
    </w:p>
    <w:p>
      <w:pPr>
        <w:pStyle w:val="Compact"/>
        <w:numPr>
          <w:ilvl w:val="0"/>
          <w:numId w:val="1021"/>
        </w:numPr>
      </w:pPr>
      <w:r>
        <w:t xml:space="preserve">Applicare</w:t>
      </w:r>
      <w:r>
        <w:t xml:space="preserve"> </w:t>
      </w:r>
      <w:r>
        <w:rPr>
          <w:b/>
          <w:bCs/>
        </w:rPr>
        <w:t xml:space="preserve">bande prudenziali e previsioni falsificabili</w:t>
      </w:r>
      <w:r>
        <w:t xml:space="preserve"> </w:t>
      </w:r>
      <w:r>
        <w:t xml:space="preserve">in tutta l’analisi; gradazione delle evidenze</w:t>
      </w:r>
      <w:r>
        <w:t xml:space="preserve"> </w:t>
      </w:r>
      <w:r>
        <w:rPr>
          <w:b/>
          <w:bCs/>
        </w:rPr>
        <w:t xml:space="preserve">simmetrica</w:t>
      </w:r>
      <w:r>
        <w:t xml:space="preserve"> </w:t>
      </w:r>
      <w:r>
        <w:t xml:space="preserve">sia per le affermazioni sull’IA sia per quelle cliniche.</w:t>
      </w:r>
    </w:p>
    <w:p>
      <w:pPr>
        <w:pStyle w:val="Compact"/>
        <w:numPr>
          <w:ilvl w:val="0"/>
          <w:numId w:val="1021"/>
        </w:numPr>
      </w:pPr>
      <w:r>
        <w:t xml:space="preserve">I dati dei pilot italiani (Solano/Orvieto) derivano da</w:t>
      </w:r>
      <w:r>
        <w:t xml:space="preserve"> </w:t>
      </w:r>
      <w:r>
        <w:rPr>
          <w:b/>
          <w:bCs/>
        </w:rPr>
        <w:t xml:space="preserve">campioni limitati e letteratura grigia</w:t>
      </w:r>
      <w:r>
        <w:t xml:space="preserve">: citarli con le opportune cautele.</w:t>
      </w:r>
    </w:p>
    <w:p>
      <w:r>
        <w:pict>
          <v:rect style="width:0;height:1.5pt" o:hralign="center" o:hrstd="t" o:hr="t"/>
        </w:pict>
      </w:r>
    </w:p>
    <w:bookmarkEnd w:id="2580"/>
    <w:bookmarkEnd w:id="2581"/>
    <w:bookmarkStart w:id="2582" w:name="details"/>
    <w:p>
      <w:pPr>
        <w:pStyle w:val="Heading3"/>
      </w:pPr>
      <w:r>
        <w:t xml:space="preserve">Details</w:t>
      </w:r>
    </w:p>
    <w:p>
      <w:pPr>
        <w:pStyle w:val="FirstParagraph"/>
      </w:pPr>
      <w:r>
        <w:t xml:space="preserve">La metodologia ibrida organizza i framework su tre livelli: (1)</w:t>
      </w:r>
      <w:r>
        <w:t xml:space="preserve"> </w:t>
      </w:r>
      <w:r>
        <w:rPr>
          <w:b/>
          <w:bCs/>
        </w:rPr>
        <w:t xml:space="preserve">cornice HTA/MCDA</w:t>
      </w:r>
      <w:r>
        <w:t xml:space="preserve"> </w:t>
      </w:r>
      <w:r>
        <w:t xml:space="preserve">per la decisione e l’attribuzione di pesi ai criteri; (2)</w:t>
      </w:r>
      <w:r>
        <w:t xml:space="preserve"> </w:t>
      </w:r>
      <w:r>
        <w:rPr>
          <w:b/>
          <w:bCs/>
        </w:rPr>
        <w:t xml:space="preserve">motore quantitativo fiscale</w:t>
      </w:r>
      <w:r>
        <w:t xml:space="preserve"> </w:t>
      </w:r>
      <w:r>
        <w:t xml:space="preserve">Markov/microsimulazione + BIA + PSA per la stima dei risparmi diretti sul SSR; (3)</w:t>
      </w:r>
      <w:r>
        <w:t xml:space="preserve"> </w:t>
      </w:r>
      <w:r>
        <w:rPr>
          <w:b/>
          <w:bCs/>
        </w:rPr>
        <w:t xml:space="preserve">motore del valore sociale</w:t>
      </w:r>
      <w:r>
        <w:t xml:space="preserve"> </w:t>
      </w:r>
      <w:r>
        <w:t xml:space="preserve">SROI + human capital/friction cost, tenuto rigorosamente separato dai risparmi fiscali per evitare doppi conteggi.</w:t>
      </w:r>
    </w:p>
    <w:p>
      <w:pPr>
        <w:pStyle w:val="BodyText"/>
      </w:pPr>
      <w:r>
        <w:t xml:space="preserve">Lo</w:t>
      </w:r>
      <w:r>
        <w:t xml:space="preserve"> </w:t>
      </w:r>
      <w:r>
        <w:rPr>
          <w:b/>
          <w:bCs/>
        </w:rPr>
        <w:t xml:space="preserve">strato IA</w:t>
      </w:r>
      <w:r>
        <w:t xml:space="preserve"> </w:t>
      </w:r>
      <w:r>
        <w:t xml:space="preserve">si innesta come</w:t>
      </w:r>
      <w:r>
        <w:t xml:space="preserve"> </w:t>
      </w:r>
      <w:r>
        <w:t xml:space="preserve">“</w:t>
      </w:r>
      <w:r>
        <w:t xml:space="preserve">modificatore di efficienza</w:t>
      </w:r>
      <w:r>
        <w:t xml:space="preserve">”</w:t>
      </w:r>
      <w:r>
        <w:t xml:space="preserve"> </w:t>
      </w:r>
      <w:r>
        <w:t xml:space="preserve">su tre leve, ciascuna con il proprio delta di risparmio applicato</w:t>
      </w:r>
      <w:r>
        <w:t xml:space="preserve"> </w:t>
      </w:r>
      <w:r>
        <w:rPr>
          <w:i/>
          <w:iCs/>
        </w:rPr>
        <w:t xml:space="preserve">sopra</w:t>
      </w:r>
      <w:r>
        <w:t xml:space="preserve"> </w:t>
      </w:r>
      <w:r>
        <w:t xml:space="preserve">il baseline della riforma e con banda prudenziale:</w:t>
      </w:r>
      <w:r>
        <w:t xml:space="preserve"> </w:t>
      </w:r>
      <w:r>
        <w:t xml:space="preserve">1.</w:t>
      </w:r>
      <w:r>
        <w:t xml:space="preserve"> </w:t>
      </w:r>
      <w:r>
        <w:rPr>
          <w:b/>
          <w:bCs/>
        </w:rPr>
        <w:t xml:space="preserve">Triage/accesso</w:t>
      </w:r>
      <w:r>
        <w:t xml:space="preserve"> </w:t>
      </w:r>
      <w:r>
        <w:t xml:space="preserve">(tipo Limbic): meno tempo-clinico per valutazione (−12,7 min/referral), meno drop-out (−18%), più appropriatezza (−45% cambi di trattamento) → riduzione del costo unitario di presa in carico e aumento della capacità a parità di organico.</w:t>
      </w:r>
      <w:r>
        <w:t xml:space="preserve"> </w:t>
      </w:r>
      <w:r>
        <w:t xml:space="preserve">2.</w:t>
      </w:r>
      <w:r>
        <w:t xml:space="preserve"> </w:t>
      </w:r>
      <w:r>
        <w:rPr>
          <w:b/>
          <w:bCs/>
        </w:rPr>
        <w:t xml:space="preserve">Efficacia clinica</w:t>
      </w:r>
      <w:r>
        <w:t xml:space="preserve"> </w:t>
      </w:r>
      <w:r>
        <w:t xml:space="preserve">(DTx/iCBT prescrivibili, blended care): effect size</w:t>
      </w:r>
      <w:r>
        <w:t xml:space="preserve"> </w:t>
      </w:r>
      <w:r>
        <w:rPr>
          <w:i/>
          <w:iCs/>
        </w:rPr>
        <w:t xml:space="preserve">g</w:t>
      </w:r>
      <w:r>
        <w:t xml:space="preserve"> </w:t>
      </w:r>
      <w:r>
        <w:t xml:space="preserve">~0,3–0,5 su depressione, con ICER dominanti o sotto soglia → spostamento di domanda dai setting specialistici a setting low-intensity meno costosi.</w:t>
      </w:r>
      <w:r>
        <w:t xml:space="preserve"> </w:t>
      </w:r>
      <w:r>
        <w:t xml:space="preserve">3.</w:t>
      </w:r>
      <w:r>
        <w:t xml:space="preserve"> </w:t>
      </w:r>
      <w:r>
        <w:rPr>
          <w:b/>
          <w:bCs/>
        </w:rPr>
        <w:t xml:space="preserve">Prevenzione predittiva</w:t>
      </w:r>
      <w:r>
        <w:t xml:space="preserve"> </w:t>
      </w:r>
      <w:r>
        <w:t xml:space="preserve">(ML su rischio depressione/ansia/suicidio/burnout): intercettazione precoce → riduzione attesa di ospedalizzazioni, accessi al PS e ricadute, da modellare con cautela dato il PPV modesto.</w:t>
      </w:r>
    </w:p>
    <w:p>
      <w:pPr>
        <w:pStyle w:val="BodyText"/>
      </w:pPr>
      <w:r>
        <w:t xml:space="preserve">La somma dei tre delta, sotto vincoli prudenziali e con la separazione fiscale/sociale, è coerente con l’ancora dello</w:t>
      </w:r>
      <w:r>
        <w:t xml:space="preserve"> </w:t>
      </w:r>
      <w:r>
        <w:rPr>
          <w:b/>
          <w:bCs/>
        </w:rPr>
        <w:t xml:space="preserve">strato IA pari a ~80–110 milioni €/anno di risparmi diretti aggiuntivi a fronte di ~5,3 milioni €/anno di costo incrementale</w:t>
      </w:r>
      <w:r>
        <w:t xml:space="preserve">, da validare empiricamente nei pilot.</w:t>
      </w:r>
    </w:p>
    <w:p>
      <w:r>
        <w:pict>
          <v:rect style="width:0;height:1.5pt" o:hralign="center" o:hrstd="t" o:hr="t"/>
        </w:pict>
      </w:r>
    </w:p>
    <w:bookmarkEnd w:id="2582"/>
    <w:bookmarkStart w:id="2583" w:name="recommendations"/>
    <w:p>
      <w:pPr>
        <w:pStyle w:val="Heading3"/>
      </w:pPr>
      <w:r>
        <w:t xml:space="preserve">Recommendations</w:t>
      </w:r>
    </w:p>
    <w:p>
      <w:pPr>
        <w:pStyle w:val="Compact"/>
        <w:numPr>
          <w:ilvl w:val="0"/>
          <w:numId w:val="1022"/>
        </w:numPr>
      </w:pPr>
      <w:r>
        <w:rPr>
          <w:b/>
          <w:bCs/>
        </w:rPr>
        <w:t xml:space="preserve">Fase 0 (0–6 mesi)</w:t>
      </w:r>
      <w:r>
        <w:t xml:space="preserve"> </w:t>
      </w:r>
      <w:r>
        <w:t xml:space="preserve">— Consolidamento del modello: ricostruire e parametrizzare il modello base e i parametri Markov (1.304 €/paziente; 0,236 QALY; dominanza 84,6%); definire l’albero a cascata gerarchica piramidale con pesi MCDA tramite workshop EVIDEM con gli stakeholder regionali (AReSS, Ordine Psicologi Puglia, MMG/PLS, università pugliesi).</w:t>
      </w:r>
      <w:r>
        <w:t xml:space="preserve"> </w:t>
      </w:r>
      <w:r>
        <w:rPr>
          <w:i/>
          <w:iCs/>
        </w:rPr>
        <w:t xml:space="preserve">Benchmark per procedere</w:t>
      </w:r>
      <w:r>
        <w:t xml:space="preserve">: convergenza dei pesi MCDA (ICC ≥ 0,65) e disponibilità di dati di consumo farmaceutico e accessi PS per distretto.</w:t>
      </w:r>
    </w:p>
    <w:p>
      <w:pPr>
        <w:pStyle w:val="Compact"/>
        <w:numPr>
          <w:ilvl w:val="0"/>
          <w:numId w:val="1022"/>
        </w:numPr>
      </w:pPr>
      <w:r>
        <w:rPr>
          <w:b/>
          <w:bCs/>
        </w:rPr>
        <w:t xml:space="preserve">Fase 1 (6–18 mesi)</w:t>
      </w:r>
      <w:r>
        <w:t xml:space="preserve"> </w:t>
      </w:r>
      <w:r>
        <w:t xml:space="preserve">— Pilota IA quasi-sperimentale: implementare triage IA + iCBT/DTx prescrivibili in 2–3 distretti con gruppo di controllo appaiato; misurare endpoint primari (tempo per valutazione, drop-out, volume e diversità dei referral, consumo di psicofarmaci, accessi PS) e formare il personale con valutazione Kirkpatrick–Phillips a tutti i livelli.</w:t>
      </w:r>
      <w:r>
        <w:t xml:space="preserve"> </w:t>
      </w:r>
      <w:r>
        <w:rPr>
          <w:i/>
          <w:iCs/>
        </w:rPr>
        <w:t xml:space="preserve">Benchmark</w:t>
      </w:r>
      <w:r>
        <w:t xml:space="preserve">: replica di almeno una banda inferiore degli effetti Limbic (riduzione tempo valutazione ≥ 15%; drop-out −3 punti).</w:t>
      </w:r>
    </w:p>
    <w:p>
      <w:pPr>
        <w:pStyle w:val="Compact"/>
        <w:numPr>
          <w:ilvl w:val="0"/>
          <w:numId w:val="1022"/>
        </w:numPr>
      </w:pPr>
      <w:r>
        <w:rPr>
          <w:b/>
          <w:bCs/>
        </w:rPr>
        <w:t xml:space="preserve">Fase 2 (18–36 mesi)</w:t>
      </w:r>
      <w:r>
        <w:t xml:space="preserve"> </w:t>
      </w:r>
      <w:r>
        <w:t xml:space="preserve">— Validazione e scale-up: confermare gli ancoraggi (delta IA 80–110 mln; ROI formativo 7–8:1; delta formativo 28–56 mln) e procedere allo scale-up regionale</w:t>
      </w:r>
      <w:r>
        <w:t xml:space="preserve"> </w:t>
      </w:r>
      <w:r>
        <w:rPr>
          <w:b/>
          <w:bCs/>
        </w:rPr>
        <w:t xml:space="preserve">solo se</w:t>
      </w:r>
      <w:r>
        <w:t xml:space="preserve"> </w:t>
      </w:r>
      <w:r>
        <w:t xml:space="preserve">i risparmi diretti pilota rientrano nelle bande prudenziali con significatività statistica.</w:t>
      </w:r>
    </w:p>
    <w:p>
      <w:pPr>
        <w:pStyle w:val="FirstParagraph"/>
      </w:pPr>
      <w:r>
        <w:rPr>
          <w:b/>
          <w:bCs/>
        </w:rPr>
        <w:t xml:space="preserve">Soglie che cambiano la raccomandazione</w:t>
      </w:r>
      <w:r>
        <w:t xml:space="preserve">: se i risparmi diretti pilota risultano non statisticamente significativi (IC che attraversa lo zero, come in IMPACT),</w:t>
      </w:r>
      <w:r>
        <w:t xml:space="preserve"> </w:t>
      </w:r>
      <w:r>
        <w:rPr>
          <w:b/>
          <w:bCs/>
        </w:rPr>
        <w:t xml:space="preserve">riclassificare i benefici come prevalentemente sociali</w:t>
      </w:r>
      <w:r>
        <w:t xml:space="preserve"> </w:t>
      </w:r>
      <w:r>
        <w:t xml:space="preserve">(SROI/human capital), ridimensionare le proiezioni fiscali dirette e riposizionare la giustificazione della riforma sul terreno del valore sociale e dell’equità di accesso (dove le evidenze IA sono più solide), piuttosto che del cost-saving fiscale.</w:t>
      </w:r>
    </w:p>
    <w:p>
      <w:r>
        <w:pict>
          <v:rect style="width:0;height:1.5pt" o:hralign="center" o:hrstd="t" o:hr="t"/>
        </w:pict>
      </w:r>
    </w:p>
    <w:bookmarkEnd w:id="2583"/>
    <w:bookmarkStart w:id="2584" w:name="caveats"/>
    <w:p>
      <w:pPr>
        <w:pStyle w:val="Heading3"/>
      </w:pPr>
      <w:r>
        <w:t xml:space="preserve">Caveats</w:t>
      </w:r>
    </w:p>
    <w:p>
      <w:pPr>
        <w:pStyle w:val="Compact"/>
        <w:numPr>
          <w:ilvl w:val="0"/>
          <w:numId w:val="1023"/>
        </w:numPr>
      </w:pPr>
      <w:r>
        <w:t xml:space="preserve">Le cifre macro sull’IA in sanità (McKinsey–Harvard/NBER, 200–360 mld $) sono</w:t>
      </w:r>
      <w:r>
        <w:t xml:space="preserve"> </w:t>
      </w:r>
      <w:r>
        <w:rPr>
          <w:b/>
          <w:bCs/>
        </w:rPr>
        <w:t xml:space="preserve">proiezioni statunitensi basate su scenari a 5 anni</w:t>
      </w:r>
      <w:r>
        <w:t xml:space="preserve">, non risultati realizzati, e non sono trasferibili direttamente alla Puglia: vanno usate solo come ordine di grandezza e termine di confronto.</w:t>
      </w:r>
    </w:p>
    <w:p>
      <w:pPr>
        <w:pStyle w:val="Compact"/>
        <w:numPr>
          <w:ilvl w:val="0"/>
          <w:numId w:val="1023"/>
        </w:numPr>
      </w:pPr>
      <w:r>
        <w:t xml:space="preserve">Le evidenze sui chatbot terapeutici hanno</w:t>
      </w:r>
      <w:r>
        <w:t xml:space="preserve"> </w:t>
      </w:r>
      <w:r>
        <w:rPr>
          <w:b/>
          <w:bCs/>
        </w:rPr>
        <w:t xml:space="preserve">intervalli di confidenza ampi, elevata eterogeneità e rischio di bias/conflitti d’interesse</w:t>
      </w:r>
      <w:r>
        <w:t xml:space="preserve"> </w:t>
      </w:r>
      <w:r>
        <w:t xml:space="preserve">(molti studi finanziati dai produttori); diverse meta-analisi non trovano effetti significativi sull’ansia. Gran parte degli studi SROI è letteratura grigia non peer-reviewed.</w:t>
      </w:r>
    </w:p>
    <w:p>
      <w:pPr>
        <w:pStyle w:val="Compact"/>
        <w:numPr>
          <w:ilvl w:val="0"/>
          <w:numId w:val="1023"/>
        </w:numPr>
      </w:pPr>
      <w:r>
        <w:t xml:space="preserve">I dati Limbic provengono da</w:t>
      </w:r>
      <w:r>
        <w:t xml:space="preserve"> </w:t>
      </w:r>
      <w:r>
        <w:rPr>
          <w:b/>
          <w:bCs/>
        </w:rPr>
        <w:t xml:space="preserve">studi osservazionali real-world (non RCT)</w:t>
      </w:r>
      <w:r>
        <w:t xml:space="preserve"> </w:t>
      </w:r>
      <w:r>
        <w:t xml:space="preserve">nel contesto NHS, non automaticamente generalizzabili al SSR pugliese.</w:t>
      </w:r>
    </w:p>
    <w:p>
      <w:pPr>
        <w:pStyle w:val="Compact"/>
        <w:numPr>
          <w:ilvl w:val="0"/>
          <w:numId w:val="1023"/>
        </w:numPr>
      </w:pPr>
      <w:r>
        <w:t xml:space="preserve">La</w:t>
      </w:r>
      <w:r>
        <w:t xml:space="preserve"> </w:t>
      </w:r>
      <w:r>
        <w:t xml:space="preserve">“</w:t>
      </w:r>
      <w:r>
        <w:t xml:space="preserve">media OCSE 6–7%</w:t>
      </w:r>
      <w:r>
        <w:t xml:space="preserve">”</w:t>
      </w:r>
      <w:r>
        <w:t xml:space="preserve"> </w:t>
      </w:r>
      <w:r>
        <w:t xml:space="preserve">di spesa per salute mentale, talvolta citata,</w:t>
      </w:r>
      <w:r>
        <w:t xml:space="preserve"> </w:t>
      </w:r>
      <w:r>
        <w:rPr>
          <w:b/>
          <w:bCs/>
        </w:rPr>
        <w:t xml:space="preserve">non è ancorata a una fonte/vintage univoca</w:t>
      </w:r>
      <w:r>
        <w:t xml:space="preserve"> </w:t>
      </w:r>
      <w:r>
        <w:t xml:space="preserve">(fonti diverse riportano 5%, 6–7%, 10%, 11%): è preferibile usare il dato italiano certo (3,4%, Ambrosetti 2025) e il target 5% con i benefici associati (10,4 mld €), evitando il comparatore contestato.</w:t>
      </w:r>
    </w:p>
    <w:p>
      <w:pPr>
        <w:pStyle w:val="Compact"/>
        <w:numPr>
          <w:ilvl w:val="0"/>
          <w:numId w:val="1023"/>
        </w:numPr>
      </w:pPr>
      <w:r>
        <w:t xml:space="preserve">La cifra Censis 2022 (~12 mld €) è verificata tramite fonti di policy secondarie e non sull’originale: va citata come stima e tenuta distinta dal dato WHO sulle giornate lavorative perse a livello globale.</w:t>
      </w:r>
    </w:p>
    <w:p>
      <w:pPr>
        <w:pStyle w:val="Compact"/>
        <w:numPr>
          <w:ilvl w:val="0"/>
          <w:numId w:val="1023"/>
        </w:numPr>
      </w:pPr>
      <w:r>
        <w:t xml:space="preserve">I pilot italiani Solano/Orvieto, pur incoraggianti (−14/17% spesa farmaceutica), poggiano su campioni piccoli e disegni non controllati: utili come ipotesi di lavoro, non come prova di risparmio generalizzabile.</w:t>
      </w:r>
    </w:p>
    <w:p>
      <w:r>
        <w:br w:type="page"/>
      </w:r>
    </w:p>
    <w:bookmarkEnd w:id="2584"/>
    <w:bookmarkEnd w:id="2585"/>
    <w:bookmarkEnd w:id="2586"/>
    <w:bookmarkStart w:id="2623" w:name="X28db5f5776f767ab42fdbc3f77611fdaf8d75f1"/>
    <w:p>
      <w:pPr>
        <w:pStyle w:val="Heading1"/>
      </w:pPr>
      <w:r>
        <w:t xml:space="preserve">Appendice XXVI — Lo Psicologo di Base in Puglia: contesto, sistema di misurazione e quantificazione</w:t>
      </w:r>
    </w:p>
    <w:p>
      <w:pPr>
        <w:pStyle w:val="FirstParagraph"/>
      </w:pPr>
      <w:r>
        <w:t xml:space="preserve">Psicologo di base in Puglia · contesto, misurazione e quantificazione</w:t>
      </w:r>
    </w:p>
    <w:p>
      <w:pPr>
        <w:pStyle w:val="BodyText"/>
      </w:pPr>
      <w:r>
        <w:rPr>
          <w:b/>
          <w:bCs/>
        </w:rPr>
        <w:t xml:space="preserve">PROGETTO «PSICOLOGO DI BASE»</w:t>
      </w:r>
    </w:p>
    <w:p>
      <w:pPr>
        <w:pStyle w:val="BodyText"/>
      </w:pPr>
      <w:r>
        <w:t xml:space="preserve">Applicazione alla Regione Puglia</w:t>
      </w:r>
    </w:p>
    <w:p>
      <w:pPr>
        <w:pStyle w:val="BodyText"/>
      </w:pPr>
      <w:r>
        <w:rPr>
          <w:b/>
          <w:bCs/>
        </w:rPr>
        <w:t xml:space="preserve">Lo Psicologo di base in Puglia</w:t>
      </w:r>
    </w:p>
    <w:p>
      <w:pPr>
        <w:pStyle w:val="BodyText"/>
      </w:pPr>
      <w:r>
        <w:rPr>
          <w:b/>
          <w:bCs/>
        </w:rPr>
        <w:t xml:space="preserve">contesto, sistema di misurazione e quantificazione</w:t>
      </w:r>
    </w:p>
    <w:p>
      <w:pPr>
        <w:pStyle w:val="BodyText"/>
      </w:pPr>
      <w:r>
        <w:rPr>
          <w:i/>
          <w:iCs/>
        </w:rPr>
        <w:t xml:space="preserve">Dalla Legge Regionale n. 11/2023 a un servizio a regime: un’analisi fondata sulla metodologia apicale e sui dati pugliesi</w:t>
      </w:r>
    </w:p>
    <w:p>
      <w:pPr>
        <w:pStyle w:val="BodyText"/>
      </w:pPr>
      <w:r>
        <w:t xml:space="preserve">Documento tecnico-economico · dati 2023–2026</w:t>
      </w:r>
    </w:p>
    <w:p>
      <w:pPr>
        <w:pStyle w:val="BodyText"/>
      </w:pPr>
      <w:r>
        <w:rPr>
          <w:b/>
          <w:bCs/>
        </w:rPr>
        <w:t xml:space="preserve">Indice</w:t>
      </w:r>
    </w:p>
    <w:bookmarkStart w:id="2603" w:name="parte-i-il-contesto-pugliese"/>
    <w:p>
      <w:pPr>
        <w:pStyle w:val="Heading2"/>
      </w:pPr>
      <w:r>
        <w:t xml:space="preserve">Parte I — Il contesto pugliese</w:t>
      </w:r>
    </w:p>
    <w:p>
      <w:pPr>
        <w:pStyle w:val="FirstParagraph"/>
      </w:pPr>
      <w:r>
        <w:t xml:space="preserve">L’applicazione della metodologia alla Puglia muove da una constatazione: la regione è stata la prima in Italia a istituire per legge il servizio di psicologia di base, ma lo ha fatto a una scala ancora simbolica. Comprendere il contesto demografico, sanitario, epidemiologico ed economico della Puglia è la premessa per misurare e dimensionare correttamente il servizio.</w:t>
      </w:r>
    </w:p>
    <w:bookmarkStart w:id="2589" w:name="profilo-demografico-e-territoriale"/>
    <w:p>
      <w:pPr>
        <w:pStyle w:val="Heading3"/>
      </w:pPr>
      <w:r>
        <w:t xml:space="preserve">1. Profilo demografico e territoriale</w:t>
      </w:r>
    </w:p>
    <w:p>
      <w:pPr>
        <w:pStyle w:val="FirstParagraph"/>
      </w:pPr>
      <w:r>
        <w:t xml:space="preserve">La Puglia conta 3.877.395 abitanti, il 6,6% della popolazione nazionale, e attraversa una fase di declino demografico determinato da denatalità ed emigrazione, con un innalzamento dell’età media a 46,7 anni.</w:t>
      </w:r>
      <w:r>
        <w:rPr>
          <w:rStyle w:val="FootnoteReference"/>
        </w:rPr>
        <w:footnoteReference w:id="1194"/>
      </w:r>
      <w:r>
        <w:t xml:space="preserve"> </w:t>
      </w:r>
      <w:r>
        <w:t xml:space="preserve">La regione è articolata in sei province e 257 comuni, molti dei quali di piccola dimensione e collocati in aree interne, con conseguenti problemi di accessibilità dei servizi. La speranza di vita è elevata, ma il prodotto interno lordo pro capite e l’indice di sviluppo umano collocano la Puglia tra le regioni più fragili del Paese.</w:t>
      </w:r>
      <w:r>
        <w:rPr>
          <w:rStyle w:val="FootnoteReference"/>
        </w:rPr>
        <w:footnoteReference w:id="1195"/>
      </w:r>
      <w:r>
        <w:t xml:space="preserve"> </w:t>
      </w:r>
      <w:r>
        <w:t xml:space="preserve">L’emigrazione giovanile e la migrazione sanitaria, come si vedrà, sono fenomeni connessi: entrambi esprimono una difficoltà del territorio a trattenere persone e domanda.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Popolazione residente (2024)</w:t>
            </w:r>
          </w:p>
        </w:tc>
        <w:tc>
          <w:tcPr/>
          <w:p>
            <w:pPr>
              <w:pStyle w:val="Compact"/>
              <w:spacing w:after="40" w:before="40"/>
              <w:jc w:val="left"/>
            </w:pPr>
            <w:r>
              <w:rPr>
                <w:rFonts w:ascii="Cambria" w:hAnsi="Cambria" w:cs="Cambria" w:eastAsia="Cambria"/>
                <w:color w:val="1A1A1A"/>
                <w:sz w:val="18"/>
              </w:rPr>
              <w:t xml:space="preserve">3.877.395 (6,6% del totale nazionale)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Variazione annua</w:t>
            </w:r>
          </w:p>
        </w:tc>
        <w:tc>
          <w:tcPr>
            <w:shd w:val="clear" w:color="auto" w:fill="F4F1EC"/>
          </w:tcPr>
          <w:p>
            <w:pPr>
              <w:pStyle w:val="Compact"/>
              <w:spacing w:after="40" w:before="40"/>
              <w:jc w:val="left"/>
            </w:pPr>
            <w:r>
              <w:rPr>
                <w:rFonts w:ascii="Cambria" w:hAnsi="Cambria" w:cs="Cambria" w:eastAsia="Cambria"/>
                <w:color w:val="1A1A1A"/>
                <w:sz w:val="18"/>
              </w:rPr>
              <w:t xml:space="preserve">− 13.266 (denatalità ed emigrazione)</w:t>
            </w:r>
          </w:p>
        </w:tc>
      </w:tr>
      <w:tr>
        <w:tc>
          <w:tcPr/>
          <w:p>
            <w:pPr>
              <w:pStyle w:val="Compact"/>
              <w:spacing w:after="40" w:before="40"/>
              <w:jc w:val="left"/>
            </w:pPr>
            <w:r>
              <w:rPr>
                <w:rFonts w:ascii="Cambria" w:hAnsi="Cambria" w:cs="Cambria" w:eastAsia="Cambria"/>
                <w:b/>
                <w:bCs/>
                <w:color w:val="1A1A1A"/>
                <w:sz w:val="18"/>
              </w:rPr>
              <w:t xml:space="preserve">Età media</w:t>
            </w:r>
          </w:p>
        </w:tc>
        <w:tc>
          <w:tcPr/>
          <w:p>
            <w:pPr>
              <w:pStyle w:val="Compact"/>
              <w:spacing w:after="40" w:before="40"/>
              <w:jc w:val="left"/>
            </w:pPr>
            <w:r>
              <w:rPr>
                <w:rFonts w:ascii="Cambria" w:hAnsi="Cambria" w:cs="Cambria" w:eastAsia="Cambria"/>
                <w:color w:val="1A1A1A"/>
                <w:sz w:val="18"/>
              </w:rPr>
              <w:t xml:space="preserve">46,7 anni, in crescita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Speranza di vita</w:t>
            </w:r>
          </w:p>
        </w:tc>
        <w:tc>
          <w:tcPr>
            <w:shd w:val="clear" w:color="auto" w:fill="F4F1EC"/>
          </w:tcPr>
          <w:p>
            <w:pPr>
              <w:pStyle w:val="Compact"/>
              <w:spacing w:after="40" w:before="40"/>
              <w:jc w:val="left"/>
            </w:pPr>
            <w:r>
              <w:rPr>
                <w:rFonts w:ascii="Cambria" w:hAnsi="Cambria" w:cs="Cambria" w:eastAsia="Cambria"/>
                <w:color w:val="1A1A1A"/>
                <w:sz w:val="18"/>
              </w:rPr>
              <w:t xml:space="preserve">80,8 anni (uomini) · 84,8 (donne)</w:t>
            </w:r>
          </w:p>
        </w:tc>
      </w:tr>
      <w:tr>
        <w:tc>
          <w:tcPr/>
          <w:p>
            <w:pPr>
              <w:pStyle w:val="Compact"/>
              <w:spacing w:after="40" w:before="40"/>
              <w:jc w:val="left"/>
            </w:pPr>
            <w:r>
              <w:rPr>
                <w:rFonts w:ascii="Cambria" w:hAnsi="Cambria" w:cs="Cambria" w:eastAsia="Cambria"/>
                <w:b/>
                <w:bCs/>
                <w:color w:val="1A1A1A"/>
                <w:sz w:val="18"/>
              </w:rPr>
              <w:t xml:space="preserve">Province / Comuni</w:t>
            </w:r>
          </w:p>
        </w:tc>
        <w:tc>
          <w:tcPr/>
          <w:p>
            <w:pPr>
              <w:pStyle w:val="Compact"/>
              <w:spacing w:after="40" w:before="40"/>
              <w:jc w:val="left"/>
            </w:pPr>
            <w:r>
              <w:rPr>
                <w:rFonts w:ascii="Cambria" w:hAnsi="Cambria" w:cs="Cambria" w:eastAsia="Cambria"/>
                <w:color w:val="1A1A1A"/>
                <w:sz w:val="18"/>
              </w:rPr>
              <w:t xml:space="preserve">6 / 257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PIL regionale (2024)</w:t>
            </w:r>
          </w:p>
        </w:tc>
        <w:tc>
          <w:tcPr>
            <w:shd w:val="clear" w:color="auto" w:fill="F4F1EC"/>
          </w:tcPr>
          <w:p>
            <w:pPr>
              <w:pStyle w:val="Compact"/>
              <w:spacing w:after="40" w:before="40"/>
              <w:jc w:val="left"/>
            </w:pPr>
            <w:r>
              <w:rPr>
                <w:rFonts w:ascii="Cambria" w:hAnsi="Cambria" w:cs="Cambria" w:eastAsia="Cambria"/>
                <w:color w:val="1A1A1A"/>
                <w:sz w:val="18"/>
              </w:rPr>
              <w:t xml:space="preserve">circa 94,5 miliardi di euro</w:t>
            </w:r>
          </w:p>
        </w:tc>
      </w:tr>
      <w:tr>
        <w:tc>
          <w:tcPr/>
          <w:p>
            <w:pPr>
              <w:pStyle w:val="Compact"/>
              <w:spacing w:after="40" w:before="40"/>
              <w:jc w:val="left"/>
            </w:pPr>
            <w:r>
              <w:rPr>
                <w:rFonts w:ascii="Cambria" w:hAnsi="Cambria" w:cs="Cambria" w:eastAsia="Cambria"/>
                <w:b/>
                <w:bCs/>
                <w:color w:val="1A1A1A"/>
                <w:sz w:val="18"/>
              </w:rPr>
              <w:t xml:space="preserve">Indice di sviluppo umano</w:t>
            </w:r>
          </w:p>
        </w:tc>
        <w:tc>
          <w:tcPr/>
          <w:p>
            <w:pPr>
              <w:pStyle w:val="Compact"/>
              <w:spacing w:after="40" w:before="40"/>
              <w:jc w:val="left"/>
            </w:pPr>
            <w:r>
              <w:rPr>
                <w:rFonts w:ascii="Cambria" w:hAnsi="Cambria" w:cs="Cambria" w:eastAsia="Cambria"/>
                <w:color w:val="1A1A1A"/>
                <w:sz w:val="18"/>
              </w:rPr>
              <w:t xml:space="preserve">0,856 (tra i più bassi tra le regioni italiane)</w:t>
            </w:r>
          </w:p>
        </w:tc>
      </w:tr>
    </w:tbl>
    <w:p>
      <w:pPr>
        <w:pStyle w:val="BodyText"/>
      </w:pPr>
      <w:r>
        <w:rPr>
          <w:i/>
          <w:iCs/>
        </w:rPr>
        <w:t xml:space="preserve">Tabella 1. Profilo demografico ed economico della Puglia.</w:t>
      </w:r>
    </w:p>
    <w:bookmarkEnd w:id="2589"/>
    <w:bookmarkStart w:id="2591" w:name="lorganizzazione-sanitaria-territoriale"/>
    <w:p>
      <w:pPr>
        <w:pStyle w:val="Heading3"/>
      </w:pPr>
      <w:r>
        <w:t xml:space="preserve">2. L’organizzazione sanitaria territoriale</w:t>
      </w:r>
    </w:p>
    <w:p>
      <w:pPr>
        <w:pStyle w:val="FirstParagraph"/>
      </w:pPr>
      <w:r>
        <w:t xml:space="preserve">Il Servizio sanitario regionale pugliese è organizzato in sei Aziende sanitarie locali e 45 Distretti socio-sanitari, ai quali si affianca la rete delle Case di Comunità prevista dal riordino dell’assistenza territoriale.</w:t>
      </w:r>
      <w:r>
        <w:rPr>
          <w:rStyle w:val="FootnoteReference"/>
        </w:rPr>
        <w:footnoteReference w:id="1196"/>
      </w:r>
      <w:r>
        <w:t xml:space="preserve"> </w:t>
      </w:r>
      <w:r>
        <w:t xml:space="preserve">Il Distretto socio-sanitario è l’unità organizzativa entro cui la L.R. 11/2023 colloca lo psicologo di base: è dunque la maglia territoriale di riferimento per dimensionare il servizio. La rete distrettuale, insieme alle Case di Comunità, costituisce l’infrastruttura su cui innestare in modo capillare l’assistenza psicologica di primo livello, in integrazione con i medici di medicina generale e i pediatri di libera scelta.</w:t>
      </w:r>
    </w:p>
    <w:bookmarkEnd w:id="2591"/>
    <w:bookmarkStart w:id="2595" w:name="il-bisogno-di-salute-mentale-in-puglia"/>
    <w:p>
      <w:pPr>
        <w:pStyle w:val="Heading3"/>
      </w:pPr>
      <w:r>
        <w:t xml:space="preserve">3. Il bisogno di salute mentale in Puglia</w:t>
      </w:r>
    </w:p>
    <w:p>
      <w:pPr>
        <w:pStyle w:val="FirstParagraph"/>
      </w:pPr>
      <w:r>
        <w:t xml:space="preserve">La dimensione del bisogno è ampia e in larga parte inevasa. In Puglia si stima che circa 780.000 persone — tra il 20% e il 30% della popolazione — convivano con disagio psicologico e disturbi sottosoglia; le persone in carico ai Dipartimenti di Salute Mentale sono poco meno di 55.000, e nel solo 2023 i nuovi utenti sono stati 18.939.</w:t>
      </w:r>
      <w:r>
        <w:rPr>
          <w:rStyle w:val="FootnoteReference"/>
        </w:rPr>
        <w:footnoteReference w:id="1197"/>
      </w:r>
      <w:r>
        <w:t xml:space="preserve"> </w:t>
      </w:r>
      <w:r>
        <w:t xml:space="preserve">Il divario tra il bisogno stimato e la presa in carico specialistica è quindi enorme: la grande maggioranza del disagio resta priva di risposta. Il fenomeno è aggravato dal fatto che la Puglia presenta tra i consumi più bassi di farmaci antidepressivi: un dato che, lungi dall’indicare minore sofferenza, segnala sotto-intercettazione e sotto-trattamento del bisogno.</w:t>
      </w:r>
      <w:r>
        <w:rPr>
          <w:rStyle w:val="FootnoteReference"/>
        </w:rPr>
        <w:footnoteReference w:id="1198"/>
      </w:r>
      <w:r>
        <w:t xml:space="preserve"> </w:t>
      </w:r>
      <w:r>
        <w:t xml:space="preserve">Il quadro pugliese si inserisce in un contesto nazionale di forte crescita della domanda, particolarmente tra i giovani.</w:t>
      </w:r>
      <w:r>
        <w:rPr>
          <w:rStyle w:val="FootnoteReference"/>
        </w:rPr>
        <w:footnoteReference w:id="1199"/>
      </w:r>
      <w:r>
        <w:t xml:space="preserve"> </w:t>
      </w:r>
      <w:r>
        <w:t xml:space="preserve">È precisamente questo bisogno inespresso che lo psicologo di base è chiamato a intercettare. La domanda potenziale è confermata dall’elevata propensione dei pugliesi a rivolgersi allo psicologo.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 di bisogno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Persone con disagio e disturbi sottosoglia</w:t>
            </w:r>
          </w:p>
        </w:tc>
        <w:tc>
          <w:tcPr/>
          <w:p>
            <w:pPr>
              <w:pStyle w:val="Compact"/>
              <w:spacing w:after="40" w:before="40"/>
              <w:jc w:val="left"/>
            </w:pPr>
            <w:r>
              <w:rPr>
                <w:rFonts w:ascii="Cambria" w:hAnsi="Cambria" w:cs="Cambria" w:eastAsia="Cambria"/>
                <w:color w:val="1A1A1A"/>
                <w:sz w:val="18"/>
              </w:rPr>
              <w:t xml:space="preserve">circa 780.000 (20–30% della popolazione)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Persone in carico ai DSM</w:t>
            </w:r>
          </w:p>
        </w:tc>
        <w:tc>
          <w:tcPr>
            <w:shd w:val="clear" w:color="auto" w:fill="F4F1EC"/>
          </w:tcPr>
          <w:p>
            <w:pPr>
              <w:pStyle w:val="Compact"/>
              <w:spacing w:after="40" w:before="40"/>
              <w:jc w:val="left"/>
            </w:pPr>
            <w:r>
              <w:rPr>
                <w:rFonts w:ascii="Cambria" w:hAnsi="Cambria" w:cs="Cambria" w:eastAsia="Cambria"/>
                <w:color w:val="1A1A1A"/>
                <w:sz w:val="18"/>
              </w:rPr>
              <w:t xml:space="preserve">poco meno di 55.000</w:t>
            </w:r>
          </w:p>
        </w:tc>
      </w:tr>
      <w:tr>
        <w:tc>
          <w:tcPr/>
          <w:p>
            <w:pPr>
              <w:pStyle w:val="Compact"/>
              <w:spacing w:after="40" w:before="40"/>
              <w:jc w:val="left"/>
            </w:pPr>
            <w:r>
              <w:rPr>
                <w:rFonts w:ascii="Cambria" w:hAnsi="Cambria" w:cs="Cambria" w:eastAsia="Cambria"/>
                <w:b/>
                <w:bCs/>
                <w:color w:val="1A1A1A"/>
                <w:sz w:val="18"/>
              </w:rPr>
              <w:t xml:space="preserve">Nuovi utenti dei DSM (2023)</w:t>
            </w:r>
          </w:p>
        </w:tc>
        <w:tc>
          <w:tcPr/>
          <w:p>
            <w:pPr>
              <w:pStyle w:val="Compact"/>
              <w:spacing w:after="40" w:before="40"/>
              <w:jc w:val="left"/>
            </w:pPr>
            <w:r>
              <w:rPr>
                <w:rFonts w:ascii="Cambria" w:hAnsi="Cambria" w:cs="Cambria" w:eastAsia="Cambria"/>
                <w:color w:val="1A1A1A"/>
                <w:sz w:val="18"/>
              </w:rPr>
              <w:t xml:space="preserve">18.939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Consumo di antidepressivi</w:t>
            </w:r>
          </w:p>
        </w:tc>
        <w:tc>
          <w:tcPr>
            <w:shd w:val="clear" w:color="auto" w:fill="F4F1EC"/>
          </w:tcPr>
          <w:p>
            <w:pPr>
              <w:pStyle w:val="Compact"/>
              <w:spacing w:after="40" w:before="40"/>
              <w:jc w:val="left"/>
            </w:pPr>
            <w:r>
              <w:rPr>
                <w:rFonts w:ascii="Cambria" w:hAnsi="Cambria" w:cs="Cambria" w:eastAsia="Cambria"/>
                <w:color w:val="1A1A1A"/>
                <w:sz w:val="18"/>
              </w:rPr>
              <w:t xml:space="preserve">tra i più bassi d’Italia (sotto-intercettazione)</w:t>
            </w:r>
          </w:p>
        </w:tc>
      </w:tr>
      <w:tr>
        <w:tc>
          <w:tcPr/>
          <w:p>
            <w:pPr>
              <w:pStyle w:val="Compact"/>
              <w:spacing w:after="40" w:before="40"/>
              <w:jc w:val="left"/>
            </w:pPr>
            <w:r>
              <w:rPr>
                <w:rFonts w:ascii="Cambria" w:hAnsi="Cambria" w:cs="Cambria" w:eastAsia="Cambria"/>
                <w:b/>
                <w:bCs/>
                <w:color w:val="1A1A1A"/>
                <w:sz w:val="18"/>
              </w:rPr>
              <w:t xml:space="preserve">Propensione a rivolgersi allo psicologo</w:t>
            </w:r>
          </w:p>
        </w:tc>
        <w:tc>
          <w:tcPr/>
          <w:p>
            <w:pPr>
              <w:pStyle w:val="Compact"/>
              <w:spacing w:after="40" w:before="40"/>
              <w:jc w:val="left"/>
            </w:pPr>
            <w:r>
              <w:rPr>
                <w:rFonts w:ascii="Cambria" w:hAnsi="Cambria" w:cs="Cambria" w:eastAsia="Cambria"/>
                <w:color w:val="1A1A1A"/>
                <w:sz w:val="18"/>
              </w:rPr>
              <w:t xml:space="preserve">un pugliese su tre nella vita (46% tra gli under 45)</w:t>
            </w:r>
          </w:p>
        </w:tc>
      </w:tr>
    </w:tbl>
    <w:p>
      <w:pPr>
        <w:pStyle w:val="BodyText"/>
      </w:pPr>
      <w:r>
        <w:rPr>
          <w:i/>
          <w:iCs/>
        </w:rPr>
        <w:t xml:space="preserve">Tabella 2. Il bisogno di salute mentale in Puglia.</w:t>
      </w:r>
    </w:p>
    <w:bookmarkEnd w:id="2595"/>
    <w:bookmarkStart w:id="2597" w:name="Xdb29283610d565fb8e1dab5521f588997683107"/>
    <w:p>
      <w:pPr>
        <w:pStyle w:val="Heading3"/>
      </w:pPr>
      <w:r>
        <w:t xml:space="preserve">4. La mobilità sanitaria passiva: il tratto distintivo della Puglia</w:t>
      </w:r>
    </w:p>
    <w:p>
      <w:pPr>
        <w:pStyle w:val="FirstParagraph"/>
      </w:pPr>
      <w:r>
        <w:t xml:space="preserve">L’elemento che distingue la Puglia, e che rende l’argomento economico particolarmente cogente, è la mobilità sanitaria passiva. Nel 2023 la regione ha registrato un saldo negativo di 253,2 milioni di euro, in peggioramento rispetto all’anno precedente: a fronte di 123,35 milioni di prestazioni erogate a non residenti, la Puglia ha pagato 376,59 milioni per prestazioni ricevute dai propri cittadini in altre regioni — quarta peggiore posizione nazionale.</w:t>
      </w:r>
      <w:r>
        <w:rPr>
          <w:rStyle w:val="FootnoteReference"/>
        </w:rPr>
        <w:footnoteReference w:id="1200"/>
      </w:r>
      <w:r>
        <w:t xml:space="preserve"> </w:t>
      </w:r>
      <w:r>
        <w:t xml:space="preserve">Diversamente da una regione attrattiva, per la quale l’argomento della migrazione delle cure non si applica, in Puglia ogni quota di domanda trattenuta sul territorio si traduce in un risparmio diretto per il Servizio sanitario regionale. Un servizio territoriale di primo livello solido, intercettando precocemente il disagio e riducendo il ricorso a prestazioni erogate altrove, agisce anche su questo fronte: la mobilità passiva è perciò uno dei canali di risparmio più rilevanti e specificamente pugliesi.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Voce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Mobilità attiva (crediti)</w:t>
            </w:r>
          </w:p>
        </w:tc>
        <w:tc>
          <w:tcPr/>
          <w:p>
            <w:pPr>
              <w:pStyle w:val="Compact"/>
              <w:spacing w:after="40" w:before="40"/>
              <w:jc w:val="left"/>
            </w:pPr>
            <w:r>
              <w:rPr>
                <w:rFonts w:ascii="Cambria" w:hAnsi="Cambria" w:cs="Cambria" w:eastAsia="Cambria"/>
                <w:color w:val="1A1A1A"/>
                <w:sz w:val="18"/>
              </w:rPr>
              <w:t xml:space="preserve">123,35 milioni di euro (9ª posizione)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passiva (debiti)</w:t>
            </w:r>
          </w:p>
        </w:tc>
        <w:tc>
          <w:tcPr>
            <w:shd w:val="clear" w:color="auto" w:fill="F4F1EC"/>
          </w:tcPr>
          <w:p>
            <w:pPr>
              <w:pStyle w:val="Compact"/>
              <w:spacing w:after="40" w:before="40"/>
              <w:jc w:val="left"/>
            </w:pPr>
            <w:r>
              <w:rPr>
                <w:rFonts w:ascii="Cambria" w:hAnsi="Cambria" w:cs="Cambria" w:eastAsia="Cambria"/>
                <w:color w:val="1A1A1A"/>
                <w:sz w:val="18"/>
              </w:rPr>
              <w:t xml:space="preserve">376,59 milioni di euro (4ª posizione)</w:t>
            </w:r>
          </w:p>
        </w:tc>
      </w:tr>
      <w:tr>
        <w:tc>
          <w:tcPr/>
          <w:p>
            <w:pPr>
              <w:pStyle w:val="Compact"/>
              <w:spacing w:after="40" w:before="40"/>
              <w:jc w:val="left"/>
            </w:pPr>
            <w:r>
              <w:rPr>
                <w:rFonts w:ascii="Cambria" w:hAnsi="Cambria" w:cs="Cambria" w:eastAsia="Cambria"/>
                <w:b/>
                <w:bCs/>
                <w:color w:val="1A1A1A"/>
                <w:sz w:val="18"/>
              </w:rPr>
              <w:t xml:space="preserve">Saldo di mobilità 2023</w:t>
            </w:r>
          </w:p>
        </w:tc>
        <w:tc>
          <w:tcPr/>
          <w:p>
            <w:pPr>
              <w:pStyle w:val="Compact"/>
              <w:spacing w:after="40" w:before="40"/>
              <w:jc w:val="left"/>
            </w:pPr>
            <w:r>
              <w:rPr>
                <w:rFonts w:ascii="Cambria" w:hAnsi="Cambria" w:cs="Cambria" w:eastAsia="Cambria"/>
                <w:color w:val="1A1A1A"/>
                <w:sz w:val="18"/>
              </w:rPr>
              <w:t xml:space="preserve">− 253,2 milioni di euro (terzo peggiore)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Variazione sul 2022</w:t>
            </w:r>
          </w:p>
        </w:tc>
        <w:tc>
          <w:tcPr>
            <w:shd w:val="clear" w:color="auto" w:fill="F4F1EC"/>
          </w:tcPr>
          <w:p>
            <w:pPr>
              <w:pStyle w:val="Compact"/>
              <w:spacing w:after="40" w:before="40"/>
              <w:jc w:val="left"/>
            </w:pPr>
            <w:r>
              <w:rPr>
                <w:rFonts w:ascii="Cambria" w:hAnsi="Cambria" w:cs="Cambria" w:eastAsia="Cambria"/>
                <w:color w:val="1A1A1A"/>
                <w:sz w:val="18"/>
              </w:rPr>
              <w:t xml:space="preserve">peggioramento di 23 milioni di euro</w:t>
            </w:r>
          </w:p>
        </w:tc>
      </w:tr>
    </w:tbl>
    <w:p>
      <w:pPr>
        <w:pStyle w:val="BodyText"/>
      </w:pPr>
      <w:r>
        <w:rPr>
          <w:i/>
          <w:iCs/>
        </w:rPr>
        <w:t xml:space="preserve">Tabella 3. La mobilità sanitaria interregionale della Puglia (GIMBE, 2023).</w:t>
      </w:r>
    </w:p>
    <w:bookmarkEnd w:id="2597"/>
    <w:bookmarkStart w:id="2602" w:name="X101fbc385c72d7febc35b858a129069df642978"/>
    <w:p>
      <w:pPr>
        <w:pStyle w:val="Heading3"/>
      </w:pPr>
      <w:r>
        <w:t xml:space="preserve">5. Il quadro normativo: la L.R. 11/2023 e la sua attuazione</w:t>
      </w:r>
    </w:p>
    <w:p>
      <w:pPr>
        <w:pStyle w:val="FirstParagraph"/>
      </w:pPr>
      <w:r>
        <w:t xml:space="preserve">La Puglia è stata la prima regione italiana a istituire per legge il servizio di psicologia di base. La Legge Regionale 15 giugno 2023, n. 11 prevede che il servizio sia realizzato da ciascuna ASL in ogni Distretto socio-sanitario e Casa di Comunità, mediante psicologi liberi professionisti a rapporto convenzionale, con la finalità esplicita di intercettare e ridurre il peso dei disturbi psicologici costituendo un filtro per il pronto soccorso e per le cure secondarie.</w:t>
      </w:r>
      <w:r>
        <w:rPr>
          <w:rStyle w:val="FootnoteReference"/>
        </w:rPr>
        <w:footnoteReference w:id="1201"/>
      </w:r>
      <w:r>
        <w:t xml:space="preserve"> </w:t>
      </w:r>
      <w:r>
        <w:t xml:space="preserve">La legge è sostenuta da uno stanziamento di 450.000 euro per il primo esercizio e di 1,5 milioni di euro annui a regime, e istituisce un Osservatorio regionale con funzioni di controllo, programmazione e indirizzo.</w:t>
      </w:r>
      <w:r>
        <w:rPr>
          <w:rStyle w:val="FootnoteReference"/>
        </w:rPr>
        <w:footnoteReference w:id="1202"/>
      </w:r>
      <w:r>
        <w:t xml:space="preserve"> </w:t>
      </w:r>
      <w:r>
        <w:t xml:space="preserve">L’attuazione è in corso: il servizio è partito il 1º dicembre 2025 e si è progressivamente esteso alle ASL, con proroga della sperimentazione al 31 dicembre 2026.</w:t>
      </w:r>
      <w:r>
        <w:rPr>
          <w:rStyle w:val="FootnoteReference"/>
        </w:rPr>
        <w:footnoteReference w:id="1203"/>
      </w:r>
      <w:r>
        <w:t xml:space="preserve"> </w:t>
      </w:r>
      <w:r>
        <w:t xml:space="preserve">Il percorso non è stato lineare: una prima iniziativa del 2020 fu impugnata dinanzi alla Corte costituzionale in ragione dei vincoli del piano di rientro, prima della ridisciplina del 2023.</w:t>
      </w:r>
      <w:r>
        <w:rPr>
          <w:rStyle w:val="FootnoteReference"/>
        </w:rPr>
        <w:footnoteReference w:id="1204"/>
      </w:r>
      <w:r>
        <w:t xml:space="preserve"> </w:t>
      </w:r>
      <w:r>
        <w:t xml:space="preserve">Ne deriva un punto centrale per l’analisi: il servizio esiste, ma la sua scala — dell’ordine di un solo psicologo per Distretto, ossia circa 45 professionisti per l’intera regione, a fronte di un finanziamento di 1,5 milioni — copre una frazione minima del fabbisogno. La questione non è più se istituire il servizio, ma come dimensionarlo e misurarlo. Proprio perché la Puglia ha storicamente operato sotto vincoli di finanza sanitaria, la dimostrazione economica del ritorno dell’investimento è qui decisiva.</w:t>
      </w:r>
    </w:p>
    <w:bookmarkEnd w:id="2602"/>
    <w:bookmarkEnd w:id="2603"/>
    <w:bookmarkStart w:id="2608" w:name="Xde2f0c13cbad4c55a63ec31eb5d15d4e25a5f13"/>
    <w:p>
      <w:pPr>
        <w:pStyle w:val="Heading2"/>
      </w:pPr>
      <w:r>
        <w:t xml:space="preserve">Parte II — La metodologia apicale applicata alla Puglia</w:t>
      </w:r>
    </w:p>
    <w:p>
      <w:pPr>
        <w:pStyle w:val="FirstParagraph"/>
      </w:pPr>
      <w:r>
        <w:t xml:space="preserve">La metodologia apicale governa il sistema delle variabili attraverso la sequenza enumerare, selezionare, misurare, aggregare, interpretare. Calata sulla Puglia, essa non richiede di rilevare migliaia di variabili, ma di selezionarne il sottoinsieme prioritario, mapparlo sui domini del benessere regionale e tradurlo in poche misure di sintesi. Questa parte applica i criteri di selezione al contesto pugliese.</w:t>
      </w:r>
    </w:p>
    <w:bookmarkStart w:id="2604" w:name="X59bafbb5cda6ee80c93c47b79eed63537fc0d3b"/>
    <w:p>
      <w:pPr>
        <w:pStyle w:val="Heading3"/>
      </w:pPr>
      <w:r>
        <w:t xml:space="preserve">6. Dall’architettura generale al caso pugliese</w:t>
      </w:r>
    </w:p>
    <w:p>
      <w:pPr>
        <w:pStyle w:val="FirstParagraph"/>
      </w:pPr>
      <w:r>
        <w:t xml:space="preserve">I quattro strati del registro — variabili semplici, ramificate, complesse sanitarie e complesse multidisciplinari — si declinano sul caso pugliese senza esservi trasferiti per intero: l’architettura fornisce la base di esaustività, mentre la selezione individua ciò che è rilevante e misurabile in Puglia. La tabella illustra la declinazione di ciascuno strato con un esempio pugliese.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3960"/>
        <w:gridCol w:w="396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Strato</w:t>
            </w:r>
          </w:p>
        </w:tc>
        <w:tc>
          <w:tcPr>
            <w:shd w:val="clear" w:color="auto" w:fill="16264B"/>
          </w:tcPr>
          <w:p>
            <w:pPr>
              <w:pStyle w:val="Compact"/>
              <w:spacing w:after="40" w:before="40"/>
              <w:jc w:val="left"/>
            </w:pPr>
            <w:r>
              <w:rPr>
                <w:rFonts w:ascii="Cambria" w:hAnsi="Cambria" w:cs="Cambria" w:eastAsia="Cambria"/>
                <w:b/>
                <w:bCs/>
                <w:color w:val="FFFFFF"/>
                <w:sz w:val="18"/>
              </w:rPr>
              <w:t xml:space="preserve">Declinazione pugliese (esempio)</w:t>
            </w:r>
          </w:p>
        </w:tc>
      </w:tr>
      <w:tr>
        <w:tc>
          <w:tcPr/>
          <w:p>
            <w:pPr>
              <w:pStyle w:val="Compact"/>
              <w:spacing w:after="40" w:before="40"/>
              <w:jc w:val="left"/>
            </w:pPr>
            <w:r>
              <w:rPr>
                <w:rFonts w:ascii="Cambria" w:hAnsi="Cambria" w:cs="Cambria" w:eastAsia="Cambria"/>
                <w:b/>
                <w:bCs/>
                <w:color w:val="1A1A1A"/>
                <w:sz w:val="18"/>
              </w:rPr>
              <w:t xml:space="preserve">Variabili semplici</w:t>
            </w:r>
          </w:p>
        </w:tc>
        <w:tc>
          <w:tcPr/>
          <w:p>
            <w:pPr>
              <w:pStyle w:val="Compact"/>
              <w:spacing w:after="40" w:before="40"/>
              <w:jc w:val="left"/>
            </w:pPr>
            <w:r>
              <w:rPr>
                <w:rFonts w:ascii="Cambria" w:hAnsi="Cambria" w:cs="Cambria" w:eastAsia="Cambria"/>
                <w:color w:val="1A1A1A"/>
                <w:sz w:val="18"/>
              </w:rPr>
              <w:t xml:space="preserve">Accessi impropri al pronto soccorso per cause non urgenti nei Distretti pugliesi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Variabili ramificate</w:t>
            </w:r>
          </w:p>
        </w:tc>
        <w:tc>
          <w:tcPr>
            <w:shd w:val="clear" w:color="auto" w:fill="F4F1EC"/>
          </w:tcPr>
          <w:p>
            <w:pPr>
              <w:pStyle w:val="Compact"/>
              <w:spacing w:after="40" w:before="40"/>
              <w:jc w:val="left"/>
            </w:pPr>
            <w:r>
              <w:rPr>
                <w:rFonts w:ascii="Cambria" w:hAnsi="Cambria" w:cs="Cambria" w:eastAsia="Cambria"/>
                <w:color w:val="1A1A1A"/>
                <w:sz w:val="18"/>
              </w:rPr>
              <w:t xml:space="preserve">Disaggregazione per ASL, per fascia d’età (giovani, anziani delle aree interne) e per voce di costo</w:t>
            </w:r>
          </w:p>
        </w:tc>
      </w:tr>
      <w:tr>
        <w:tc>
          <w:tcPr/>
          <w:p>
            <w:pPr>
              <w:pStyle w:val="Compact"/>
              <w:spacing w:after="40" w:before="40"/>
              <w:jc w:val="left"/>
            </w:pPr>
            <w:r>
              <w:rPr>
                <w:rFonts w:ascii="Cambria" w:hAnsi="Cambria" w:cs="Cambria" w:eastAsia="Cambria"/>
                <w:b/>
                <w:bCs/>
                <w:color w:val="1A1A1A"/>
                <w:sz w:val="18"/>
              </w:rPr>
              <w:t xml:space="preserve">Variabili complesse sanitarie</w:t>
            </w:r>
          </w:p>
        </w:tc>
        <w:tc>
          <w:tcPr/>
          <w:p>
            <w:pPr>
              <w:pStyle w:val="Compact"/>
              <w:spacing w:after="40" w:before="40"/>
              <w:jc w:val="left"/>
            </w:pPr>
            <w:r>
              <w:rPr>
                <w:rFonts w:ascii="Cambria" w:hAnsi="Cambria" w:cs="Cambria" w:eastAsia="Cambria"/>
                <w:color w:val="1A1A1A"/>
                <w:sz w:val="18"/>
              </w:rPr>
              <w:t xml:space="preserve">QALY in salute mentale, tasso di recupero, ritorno sociale dell’investimento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Variabili complesse multidisciplinari</w:t>
            </w:r>
          </w:p>
        </w:tc>
        <w:tc>
          <w:tcPr>
            <w:shd w:val="clear" w:color="auto" w:fill="F4F1EC"/>
          </w:tcPr>
          <w:p>
            <w:pPr>
              <w:pStyle w:val="Compact"/>
              <w:spacing w:after="40" w:before="40"/>
              <w:jc w:val="left"/>
            </w:pPr>
            <w:r>
              <w:rPr>
                <w:rFonts w:ascii="Cambria" w:hAnsi="Cambria" w:cs="Cambria" w:eastAsia="Cambria"/>
                <w:color w:val="1A1A1A"/>
                <w:sz w:val="18"/>
              </w:rPr>
              <w:t xml:space="preserve">Indici BES dei domini salute, lavoro, relazioni sociali e benessere soggettivo per la Puglia</w:t>
            </w:r>
          </w:p>
        </w:tc>
      </w:tr>
    </w:tbl>
    <w:p>
      <w:pPr>
        <w:pStyle w:val="BodyText"/>
      </w:pPr>
      <w:r>
        <w:rPr>
          <w:i/>
          <w:iCs/>
        </w:rPr>
        <w:t xml:space="preserve">Tabella 4. I quattro strati del registro applicati alla Puglia.</w:t>
      </w:r>
    </w:p>
    <w:bookmarkEnd w:id="2604"/>
    <w:bookmarkStart w:id="2605" w:name="Xbb2935f3d6777823b009d9037df6c6d211e84e5"/>
    <w:p>
      <w:pPr>
        <w:pStyle w:val="Heading3"/>
      </w:pPr>
      <w:r>
        <w:t xml:space="preserve">7. La selezione del sottoinsieme prioritario per la Puglia</w:t>
      </w:r>
    </w:p>
    <w:p>
      <w:pPr>
        <w:pStyle w:val="FirstParagraph"/>
      </w:pPr>
      <w:r>
        <w:t xml:space="preserve">Applicando i criteri della metodologia — rilevanza, misurabilità, disponibilità del dato, sensibilità all’intervento, validità, non ridondanza, allineamento al BES e fattibilità — emerge per la Puglia un nucleo ristretto di variabili prioritarie. La selezione è orientata dai tratti specifici della regione: l’ampio bisogno inevaso, la mobilità passiva, le diseguaglianze territoriali tra ASL e aree interne, e gli obiettivi di filtro fissati dalla legge stessa.</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Variabile prioritaria</w:t>
            </w:r>
          </w:p>
        </w:tc>
        <w:tc>
          <w:tcPr>
            <w:shd w:val="clear" w:color="auto" w:fill="16264B"/>
          </w:tcPr>
          <w:p>
            <w:pPr>
              <w:pStyle w:val="Compact"/>
              <w:spacing w:after="40" w:before="40"/>
              <w:jc w:val="left"/>
            </w:pPr>
            <w:r>
              <w:rPr>
                <w:rFonts w:ascii="Cambria" w:hAnsi="Cambria" w:cs="Cambria" w:eastAsia="Cambria"/>
                <w:b/>
                <w:bCs/>
                <w:color w:val="FFFFFF"/>
                <w:sz w:val="18"/>
              </w:rPr>
              <w:t xml:space="preserve">Perché prioritaria per la Puglia</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BES</w:t>
            </w:r>
          </w:p>
        </w:tc>
      </w:tr>
      <w:tr>
        <w:tc>
          <w:tcPr/>
          <w:p>
            <w:pPr>
              <w:pStyle w:val="Compact"/>
              <w:spacing w:after="40" w:before="40"/>
              <w:jc w:val="left"/>
            </w:pPr>
            <w:r>
              <w:rPr>
                <w:rFonts w:ascii="Cambria" w:hAnsi="Cambria" w:cs="Cambria" w:eastAsia="Cambria"/>
                <w:b/>
                <w:bCs/>
                <w:color w:val="1A1A1A"/>
                <w:sz w:val="18"/>
              </w:rPr>
              <w:t xml:space="preserve">Accessi impropri al pronto soccorso</w:t>
            </w:r>
          </w:p>
        </w:tc>
        <w:tc>
          <w:tcPr/>
          <w:p>
            <w:pPr>
              <w:pStyle w:val="Compact"/>
              <w:spacing w:after="40" w:before="40"/>
              <w:jc w:val="left"/>
            </w:pPr>
            <w:r>
              <w:rPr>
                <w:rFonts w:ascii="Cambria" w:hAnsi="Cambria" w:cs="Cambria" w:eastAsia="Cambria"/>
                <w:color w:val="1A1A1A"/>
                <w:sz w:val="18"/>
              </w:rPr>
              <w:t xml:space="preserve">È un obiettivo di filtro esplicito della legge e un costo misurabile dai flussi regionali</w:t>
            </w:r>
          </w:p>
        </w:tc>
        <w:tc>
          <w:tcPr/>
          <w:p>
            <w:pPr>
              <w:pStyle w:val="Compact"/>
              <w:spacing w:after="40" w:before="40"/>
              <w:jc w:val="left"/>
            </w:pPr>
            <w:r>
              <w:rPr>
                <w:rFonts w:ascii="Cambria" w:hAnsi="Cambria" w:cs="Cambria" w:eastAsia="Cambria"/>
                <w:color w:val="1A1A1A"/>
                <w:sz w:val="18"/>
              </w:rPr>
              <w:t xml:space="preserve">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Prescrizioni di psicofarmaci appropriate</w:t>
            </w:r>
          </w:p>
        </w:tc>
        <w:tc>
          <w:tcPr>
            <w:shd w:val="clear" w:color="auto" w:fill="F4F1EC"/>
          </w:tcPr>
          <w:p>
            <w:pPr>
              <w:pStyle w:val="Compact"/>
              <w:spacing w:after="40" w:before="40"/>
              <w:jc w:val="left"/>
            </w:pPr>
            <w:r>
              <w:rPr>
                <w:rFonts w:ascii="Cambria" w:hAnsi="Cambria" w:cs="Cambria" w:eastAsia="Cambria"/>
                <w:color w:val="1A1A1A"/>
                <w:sz w:val="18"/>
              </w:rPr>
              <w:t xml:space="preserve">Misurabile dai flussi farmaceutici; in Puglia il tema è l’appropriatezza e l’intercettazione</w:t>
            </w:r>
          </w:p>
        </w:tc>
        <w:tc>
          <w:tcPr>
            <w:shd w:val="clear" w:color="auto" w:fill="F4F1EC"/>
          </w:tcPr>
          <w:p>
            <w:pPr>
              <w:pStyle w:val="Compact"/>
              <w:spacing w:after="40" w:before="40"/>
              <w:jc w:val="left"/>
            </w:pPr>
            <w:r>
              <w:rPr>
                <w:rFonts w:ascii="Cambria" w:hAnsi="Cambria" w:cs="Cambria" w:eastAsia="Cambria"/>
                <w:color w:val="1A1A1A"/>
                <w:sz w:val="18"/>
              </w:rPr>
              <w:t xml:space="preserve">Salute</w:t>
            </w:r>
          </w:p>
        </w:tc>
      </w:tr>
      <w:tr>
        <w:tc>
          <w:tcPr/>
          <w:p>
            <w:pPr>
              <w:pStyle w:val="Compact"/>
              <w:spacing w:after="40" w:before="40"/>
              <w:jc w:val="left"/>
            </w:pPr>
            <w:r>
              <w:rPr>
                <w:rFonts w:ascii="Cambria" w:hAnsi="Cambria" w:cs="Cambria" w:eastAsia="Cambria"/>
                <w:b/>
                <w:bCs/>
                <w:color w:val="1A1A1A"/>
                <w:sz w:val="18"/>
              </w:rPr>
              <w:t xml:space="preserve">Ricoveri e accessi ai DSM evitabili</w:t>
            </w:r>
          </w:p>
        </w:tc>
        <w:tc>
          <w:tcPr/>
          <w:p>
            <w:pPr>
              <w:pStyle w:val="Compact"/>
              <w:spacing w:after="40" w:before="40"/>
              <w:jc w:val="left"/>
            </w:pPr>
            <w:r>
              <w:rPr>
                <w:rFonts w:ascii="Cambria" w:hAnsi="Cambria" w:cs="Cambria" w:eastAsia="Cambria"/>
                <w:color w:val="1A1A1A"/>
                <w:sz w:val="18"/>
              </w:rPr>
              <w:t xml:space="preserve">Riduce il carico sui servizi specialistici già sotto pressione</w:t>
            </w:r>
          </w:p>
        </w:tc>
        <w:tc>
          <w:tcPr/>
          <w:p>
            <w:pPr>
              <w:pStyle w:val="Compact"/>
              <w:spacing w:after="40" w:before="40"/>
              <w:jc w:val="left"/>
            </w:pPr>
            <w:r>
              <w:rPr>
                <w:rFonts w:ascii="Cambria" w:hAnsi="Cambria" w:cs="Cambria" w:eastAsia="Cambria"/>
                <w:color w:val="1A1A1A"/>
                <w:sz w:val="18"/>
              </w:rPr>
              <w:t xml:space="preserve">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Prestazioni trattenute sul territorio</w:t>
            </w:r>
          </w:p>
        </w:tc>
        <w:tc>
          <w:tcPr>
            <w:shd w:val="clear" w:color="auto" w:fill="F4F1EC"/>
          </w:tcPr>
          <w:p>
            <w:pPr>
              <w:pStyle w:val="Compact"/>
              <w:spacing w:after="40" w:before="40"/>
              <w:jc w:val="left"/>
            </w:pPr>
            <w:r>
              <w:rPr>
                <w:rFonts w:ascii="Cambria" w:hAnsi="Cambria" w:cs="Cambria" w:eastAsia="Cambria"/>
                <w:color w:val="1A1A1A"/>
                <w:sz w:val="18"/>
              </w:rPr>
              <w:t xml:space="preserve">Agisce sulla mobilità passiva, tratto distintivo pugliese</w:t>
            </w:r>
          </w:p>
        </w:tc>
        <w:tc>
          <w:tcPr>
            <w:shd w:val="clear" w:color="auto" w:fill="F4F1EC"/>
          </w:tcPr>
          <w:p>
            <w:pPr>
              <w:pStyle w:val="Compact"/>
              <w:spacing w:after="40" w:before="40"/>
              <w:jc w:val="left"/>
            </w:pPr>
            <w:r>
              <w:rPr>
                <w:rFonts w:ascii="Cambria" w:hAnsi="Cambria" w:cs="Cambria" w:eastAsia="Cambria"/>
                <w:color w:val="1A1A1A"/>
                <w:sz w:val="18"/>
              </w:rPr>
              <w:t xml:space="preserve">Qualità dei servizi</w:t>
            </w:r>
          </w:p>
        </w:tc>
      </w:tr>
      <w:tr>
        <w:tc>
          <w:tcPr/>
          <w:p>
            <w:pPr>
              <w:pStyle w:val="Compact"/>
              <w:spacing w:after="40" w:before="40"/>
              <w:jc w:val="left"/>
            </w:pPr>
            <w:r>
              <w:rPr>
                <w:rFonts w:ascii="Cambria" w:hAnsi="Cambria" w:cs="Cambria" w:eastAsia="Cambria"/>
                <w:b/>
                <w:bCs/>
                <w:color w:val="1A1A1A"/>
                <w:sz w:val="18"/>
              </w:rPr>
              <w:t xml:space="preserve">Tempi di attesa e accessibilità per area</w:t>
            </w:r>
          </w:p>
        </w:tc>
        <w:tc>
          <w:tcPr/>
          <w:p>
            <w:pPr>
              <w:pStyle w:val="Compact"/>
              <w:spacing w:after="40" w:before="40"/>
              <w:jc w:val="left"/>
            </w:pPr>
            <w:r>
              <w:rPr>
                <w:rFonts w:ascii="Cambria" w:hAnsi="Cambria" w:cs="Cambria" w:eastAsia="Cambria"/>
                <w:color w:val="1A1A1A"/>
                <w:sz w:val="18"/>
              </w:rPr>
              <w:t xml:space="preserve">Coglie le diseguaglianze tra ASL e aree interne</w:t>
            </w:r>
          </w:p>
        </w:tc>
        <w:tc>
          <w:tcPr/>
          <w:p>
            <w:pPr>
              <w:pStyle w:val="Compact"/>
              <w:spacing w:after="40" w:before="40"/>
              <w:jc w:val="left"/>
            </w:pPr>
            <w:r>
              <w:rPr>
                <w:rFonts w:ascii="Cambria" w:hAnsi="Cambria" w:cs="Cambria" w:eastAsia="Cambria"/>
                <w:color w:val="1A1A1A"/>
                <w:sz w:val="18"/>
              </w:rPr>
              <w:t xml:space="preserve">Qualità dei servizi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Benessere psicologico e funzionamento</w:t>
            </w:r>
          </w:p>
        </w:tc>
        <w:tc>
          <w:tcPr>
            <w:shd w:val="clear" w:color="auto" w:fill="F4F1EC"/>
          </w:tcPr>
          <w:p>
            <w:pPr>
              <w:pStyle w:val="Compact"/>
              <w:spacing w:after="40" w:before="40"/>
              <w:jc w:val="left"/>
            </w:pPr>
            <w:r>
              <w:rPr>
                <w:rFonts w:ascii="Cambria" w:hAnsi="Cambria" w:cs="Cambria" w:eastAsia="Cambria"/>
                <w:color w:val="1A1A1A"/>
                <w:sz w:val="18"/>
              </w:rPr>
              <w:t xml:space="preserve">Esito primario dell’intervento, misurabile con strumenti validati</w:t>
            </w:r>
          </w:p>
        </w:tc>
        <w:tc>
          <w:tcPr>
            <w:shd w:val="clear" w:color="auto" w:fill="F4F1EC"/>
          </w:tcPr>
          <w:p>
            <w:pPr>
              <w:pStyle w:val="Compact"/>
              <w:spacing w:after="40" w:before="40"/>
              <w:jc w:val="left"/>
            </w:pPr>
            <w:r>
              <w:rPr>
                <w:rFonts w:ascii="Cambria" w:hAnsi="Cambria" w:cs="Cambria" w:eastAsia="Cambria"/>
                <w:color w:val="1A1A1A"/>
                <w:sz w:val="18"/>
              </w:rPr>
              <w:t xml:space="preserve">Benessere soggettivo</w:t>
            </w:r>
          </w:p>
        </w:tc>
      </w:tr>
      <w:tr>
        <w:tc>
          <w:tcPr/>
          <w:p>
            <w:pPr>
              <w:pStyle w:val="Compact"/>
              <w:spacing w:after="40" w:before="40"/>
              <w:jc w:val="left"/>
            </w:pPr>
            <w:r>
              <w:rPr>
                <w:rFonts w:ascii="Cambria" w:hAnsi="Cambria" w:cs="Cambria" w:eastAsia="Cambria"/>
                <w:b/>
                <w:bCs/>
                <w:color w:val="1A1A1A"/>
                <w:sz w:val="18"/>
              </w:rPr>
              <w:t xml:space="preserve">Partecipazione e ritenzione dei giovani</w:t>
            </w:r>
          </w:p>
        </w:tc>
        <w:tc>
          <w:tcPr/>
          <w:p>
            <w:pPr>
              <w:pStyle w:val="Compact"/>
              <w:spacing w:after="40" w:before="40"/>
              <w:jc w:val="left"/>
            </w:pPr>
            <w:r>
              <w:rPr>
                <w:rFonts w:ascii="Cambria" w:hAnsi="Cambria" w:cs="Cambria" w:eastAsia="Cambria"/>
                <w:color w:val="1A1A1A"/>
                <w:sz w:val="18"/>
              </w:rPr>
              <w:t xml:space="preserve">Connette disagio giovanile, emigrazione e abbandono</w:t>
            </w:r>
          </w:p>
        </w:tc>
        <w:tc>
          <w:tcPr/>
          <w:p>
            <w:pPr>
              <w:pStyle w:val="Compact"/>
              <w:spacing w:after="40" w:before="40"/>
              <w:jc w:val="left"/>
            </w:pPr>
            <w:r>
              <w:rPr>
                <w:rFonts w:ascii="Cambria" w:hAnsi="Cambria" w:cs="Cambria" w:eastAsia="Cambria"/>
                <w:color w:val="1A1A1A"/>
                <w:sz w:val="18"/>
              </w:rPr>
              <w:t xml:space="preserve">Relazioni sociali / Lavoro</w:t>
            </w:r>
          </w:p>
        </w:tc>
      </w:tr>
    </w:tbl>
    <w:p>
      <w:pPr>
        <w:pStyle w:val="BodyText"/>
      </w:pPr>
      <w:r>
        <w:rPr>
          <w:i/>
          <w:iCs/>
        </w:rPr>
        <w:t xml:space="preserve">Tabella 5. Il sottoinsieme prioritario di variabili selezionato per la Puglia.</w:t>
      </w:r>
    </w:p>
    <w:bookmarkEnd w:id="2605"/>
    <w:bookmarkStart w:id="2607" w:name="Xc6fa3a88dcb270b2e401e030ac9ec4c90709c05"/>
    <w:p>
      <w:pPr>
        <w:pStyle w:val="Heading3"/>
      </w:pPr>
      <w:r>
        <w:t xml:space="preserve">8. La mappatura sui domini del benessere regionale (BES)</w:t>
      </w:r>
    </w:p>
    <w:p>
      <w:pPr>
        <w:pStyle w:val="FirstParagraph"/>
      </w:pPr>
      <w:r>
        <w:t xml:space="preserve">Le variabili prioritarie sono ricondotte ai domini del Benessere Equo e Sostenibile, nella loro declinazione territoriale per la Puglia.</w:t>
      </w:r>
      <w:r>
        <w:rPr>
          <w:rStyle w:val="FootnoteReference"/>
        </w:rPr>
        <w:footnoteReference w:id="1205"/>
      </w:r>
      <w:r>
        <w:t xml:space="preserve"> </w:t>
      </w:r>
      <w:r>
        <w:t xml:space="preserve">Ciò consente di valutare l’effetto del servizio nel linguaggio del benessere adottato a livello istituzionale, collegando l’intervento sanitario a dimensioni quali la salute, il lavoro, le relazioni sociali, la sicurezza e il benessere soggettivo. La mappatura, oltre a garantire coerenza con il quadro nazionale, rende l’analisi comunicabile ai decisori regionali e comparabile nel tempo.</w:t>
      </w:r>
    </w:p>
    <w:bookmarkEnd w:id="2607"/>
    <w:bookmarkEnd w:id="2608"/>
    <w:bookmarkStart w:id="2612" w:name="X0a2e9378f513f73b8680c96a132ed668a6c638f"/>
    <w:p>
      <w:pPr>
        <w:pStyle w:val="Heading2"/>
      </w:pPr>
      <w:r>
        <w:t xml:space="preserve">Parte III — Il cruscotto di sintesi e il piano di misurazione</w:t>
      </w:r>
    </w:p>
    <w:p>
      <w:pPr>
        <w:pStyle w:val="FirstParagraph"/>
      </w:pPr>
      <w:r>
        <w:t xml:space="preserve">Il prodotto della metodologia, per la Puglia, è un cruscotto costituito da poche misure complesse, ciascuna ancorata a un dato regionale e a una direzione attesa, accompagnato da un piano di misurazione che ne definisce baseline, obiettivo e fonte.</w:t>
      </w:r>
    </w:p>
    <w:bookmarkStart w:id="2610" w:name="X0e70337418f25d71c49fadf8fc9c97632e90f39"/>
    <w:p>
      <w:pPr>
        <w:pStyle w:val="Heading3"/>
      </w:pPr>
      <w:r>
        <w:t xml:space="preserve">9. Le misure complesse selezionate per la Puglia</w:t>
      </w:r>
    </w:p>
    <w:p>
      <w:pPr>
        <w:pStyle w:val="FirstParagraph"/>
      </w:pPr>
      <w:r>
        <w:t xml:space="preserve">Il cruscotto privilegia misure che sintetizzano più variabili in un’unica grandezza interpretabile. Per la Puglia si propongono sei misure complesse, costruite secondo la metodologia degli indicatori compositi.</w:t>
      </w:r>
      <w:r>
        <w:rPr>
          <w:rStyle w:val="FootnoteReference"/>
        </w:rPr>
        <w:footnoteReference w:id="1206"/>
      </w:r>
      <w:r>
        <w:t xml:space="preserve"> </w:t>
      </w:r>
      <w:r>
        <w:t xml:space="preserve">Esse coniugano l’esito clinico, il valore economico, l’equità territoriale e la dimensione del benessere, e trovano riscontro nell’evidenza internazionale sui servizi di psicologia delle cure primarie.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Misura complessa</w:t>
            </w:r>
          </w:p>
        </w:tc>
        <w:tc>
          <w:tcPr>
            <w:shd w:val="clear" w:color="auto" w:fill="16264B"/>
          </w:tcPr>
          <w:p>
            <w:pPr>
              <w:pStyle w:val="Compact"/>
              <w:spacing w:after="40" w:before="40"/>
              <w:jc w:val="left"/>
            </w:pPr>
            <w:r>
              <w:rPr>
                <w:rFonts w:ascii="Cambria" w:hAnsi="Cambria" w:cs="Cambria" w:eastAsia="Cambria"/>
                <w:b/>
                <w:bCs/>
                <w:color w:val="FFFFFF"/>
                <w:sz w:val="18"/>
              </w:rPr>
              <w:t xml:space="preserve">Variabili che unifica</w:t>
            </w:r>
          </w:p>
        </w:tc>
        <w:tc>
          <w:tcPr>
            <w:shd w:val="clear" w:color="auto" w:fill="16264B"/>
          </w:tcPr>
          <w:p>
            <w:pPr>
              <w:pStyle w:val="Compact"/>
              <w:spacing w:after="40" w:before="40"/>
              <w:jc w:val="left"/>
            </w:pPr>
            <w:r>
              <w:rPr>
                <w:rFonts w:ascii="Cambria" w:hAnsi="Cambria" w:cs="Cambria" w:eastAsia="Cambria"/>
                <w:b/>
                <w:bCs/>
                <w:color w:val="FFFFFF"/>
                <w:sz w:val="18"/>
              </w:rPr>
              <w:t xml:space="preserve">Fonte del dato pugliese</w:t>
            </w:r>
          </w:p>
        </w:tc>
        <w:tc>
          <w:tcPr>
            <w:shd w:val="clear" w:color="auto" w:fill="16264B"/>
          </w:tcPr>
          <w:p>
            <w:pPr>
              <w:pStyle w:val="Compact"/>
              <w:spacing w:after="40" w:before="40"/>
              <w:jc w:val="left"/>
            </w:pPr>
            <w:r>
              <w:rPr>
                <w:rFonts w:ascii="Cambria" w:hAnsi="Cambria" w:cs="Cambria" w:eastAsia="Cambria"/>
                <w:b/>
                <w:bCs/>
                <w:color w:val="FFFFFF"/>
                <w:sz w:val="18"/>
              </w:rPr>
              <w:t xml:space="preserve">Direzione attesa</w:t>
            </w:r>
          </w:p>
        </w:tc>
      </w:tr>
      <w:tr>
        <w:tc>
          <w:tcPr/>
          <w:p>
            <w:pPr>
              <w:pStyle w:val="Compact"/>
              <w:spacing w:after="40" w:before="40"/>
              <w:jc w:val="left"/>
            </w:pPr>
            <w:r>
              <w:rPr>
                <w:rFonts w:ascii="Cambria" w:hAnsi="Cambria" w:cs="Cambria" w:eastAsia="Cambria"/>
                <w:b/>
                <w:bCs/>
                <w:color w:val="1A1A1A"/>
                <w:sz w:val="18"/>
              </w:rPr>
              <w:t xml:space="preserve">QALY in salute mentale</w:t>
            </w:r>
          </w:p>
        </w:tc>
        <w:tc>
          <w:tcPr/>
          <w:p>
            <w:pPr>
              <w:pStyle w:val="Compact"/>
              <w:spacing w:after="40" w:before="40"/>
              <w:jc w:val="left"/>
            </w:pPr>
            <w:r>
              <w:rPr>
                <w:rFonts w:ascii="Cambria" w:hAnsi="Cambria" w:cs="Cambria" w:eastAsia="Cambria"/>
                <w:color w:val="1A1A1A"/>
                <w:sz w:val="18"/>
              </w:rPr>
              <w:t xml:space="preserve">Qualità e durata della vita in salute mentale</w:t>
            </w:r>
          </w:p>
        </w:tc>
        <w:tc>
          <w:tcPr/>
          <w:p>
            <w:pPr>
              <w:pStyle w:val="Compact"/>
              <w:spacing w:after="40" w:before="40"/>
              <w:jc w:val="left"/>
            </w:pPr>
            <w:r>
              <w:rPr>
                <w:rFonts w:ascii="Cambria" w:hAnsi="Cambria" w:cs="Cambria" w:eastAsia="Cambria"/>
                <w:color w:val="1A1A1A"/>
                <w:sz w:val="18"/>
              </w:rPr>
              <w:t xml:space="preserve">Esiti riferiti dai pazienti (PHQ-9, GAD-7)</w:t>
            </w:r>
          </w:p>
        </w:tc>
        <w:tc>
          <w:tcPr/>
          <w:p>
            <w:pPr>
              <w:pStyle w:val="Compact"/>
              <w:spacing w:after="40" w:before="40"/>
              <w:jc w:val="left"/>
            </w:pPr>
            <w:r>
              <w:rPr>
                <w:rFonts w:ascii="Cambria" w:hAnsi="Cambria" w:cs="Cambria" w:eastAsia="Cambria"/>
                <w:color w:val="1A1A1A"/>
                <w:sz w:val="18"/>
              </w:rPr>
              <w:t xml:space="preserve">in aumento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Tasso di recupero clinico</w:t>
            </w:r>
          </w:p>
        </w:tc>
        <w:tc>
          <w:tcPr>
            <w:shd w:val="clear" w:color="auto" w:fill="F4F1EC"/>
          </w:tcPr>
          <w:p>
            <w:pPr>
              <w:pStyle w:val="Compact"/>
              <w:spacing w:after="40" w:before="40"/>
              <w:jc w:val="left"/>
            </w:pPr>
            <w:r>
              <w:rPr>
                <w:rFonts w:ascii="Cambria" w:hAnsi="Cambria" w:cs="Cambria" w:eastAsia="Cambria"/>
                <w:color w:val="1A1A1A"/>
                <w:sz w:val="18"/>
              </w:rPr>
              <w:t xml:space="preserve">Miglioramento affidabile + superamento soglia</w:t>
            </w:r>
          </w:p>
        </w:tc>
        <w:tc>
          <w:tcPr>
            <w:shd w:val="clear" w:color="auto" w:fill="F4F1EC"/>
          </w:tcPr>
          <w:p>
            <w:pPr>
              <w:pStyle w:val="Compact"/>
              <w:spacing w:after="40" w:before="40"/>
              <w:jc w:val="left"/>
            </w:pPr>
            <w:r>
              <w:rPr>
                <w:rFonts w:ascii="Cambria" w:hAnsi="Cambria" w:cs="Cambria" w:eastAsia="Cambria"/>
                <w:color w:val="1A1A1A"/>
                <w:sz w:val="18"/>
              </w:rPr>
              <w:t xml:space="preserve">Misure di esito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in aumento</w:t>
            </w:r>
          </w:p>
        </w:tc>
      </w:tr>
      <w:tr>
        <w:tc>
          <w:tcPr/>
          <w:p>
            <w:pPr>
              <w:pStyle w:val="Compact"/>
              <w:spacing w:after="40" w:before="40"/>
              <w:jc w:val="left"/>
            </w:pPr>
            <w:r>
              <w:rPr>
                <w:rFonts w:ascii="Cambria" w:hAnsi="Cambria" w:cs="Cambria" w:eastAsia="Cambria"/>
                <w:b/>
                <w:bCs/>
                <w:color w:val="1A1A1A"/>
                <w:sz w:val="18"/>
              </w:rPr>
              <w:t xml:space="preserve">Ritorno sociale (SROI)</w:t>
            </w:r>
          </w:p>
        </w:tc>
        <w:tc>
          <w:tcPr/>
          <w:p>
            <w:pPr>
              <w:pStyle w:val="Compact"/>
              <w:spacing w:after="40" w:before="40"/>
              <w:jc w:val="left"/>
            </w:pPr>
            <w:r>
              <w:rPr>
                <w:rFonts w:ascii="Cambria" w:hAnsi="Cambria" w:cs="Cambria" w:eastAsia="Cambria"/>
                <w:color w:val="1A1A1A"/>
                <w:sz w:val="18"/>
              </w:rPr>
              <w:t xml:space="preserve">Valore sociale monetizzato / investimento</w:t>
            </w:r>
          </w:p>
        </w:tc>
        <w:tc>
          <w:tcPr/>
          <w:p>
            <w:pPr>
              <w:pStyle w:val="Compact"/>
              <w:spacing w:after="40" w:before="40"/>
              <w:jc w:val="left"/>
            </w:pPr>
            <w:r>
              <w:rPr>
                <w:rFonts w:ascii="Cambria" w:hAnsi="Cambria" w:cs="Cambria" w:eastAsia="Cambria"/>
                <w:color w:val="1A1A1A"/>
                <w:sz w:val="18"/>
              </w:rPr>
              <w:t xml:space="preserve">Conti del servizio e risparmi</w:t>
            </w:r>
          </w:p>
        </w:tc>
        <w:tc>
          <w:tcPr/>
          <w:p>
            <w:pPr>
              <w:pStyle w:val="Compact"/>
              <w:spacing w:after="40" w:before="40"/>
              <w:jc w:val="left"/>
            </w:pPr>
            <w:r>
              <w:rPr>
                <w:rFonts w:ascii="Cambria" w:hAnsi="Cambria" w:cs="Cambria" w:eastAsia="Cambria"/>
                <w:color w:val="1A1A1A"/>
                <w:sz w:val="18"/>
              </w:rPr>
              <w:t xml:space="preserve">&gt; 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equità territoriale</w:t>
            </w:r>
          </w:p>
        </w:tc>
        <w:tc>
          <w:tcPr>
            <w:shd w:val="clear" w:color="auto" w:fill="F4F1EC"/>
          </w:tcPr>
          <w:p>
            <w:pPr>
              <w:pStyle w:val="Compact"/>
              <w:spacing w:after="40" w:before="40"/>
              <w:jc w:val="left"/>
            </w:pPr>
            <w:r>
              <w:rPr>
                <w:rFonts w:ascii="Cambria" w:hAnsi="Cambria" w:cs="Cambria" w:eastAsia="Cambria"/>
                <w:color w:val="1A1A1A"/>
                <w:sz w:val="18"/>
              </w:rPr>
              <w:t xml:space="preserve">Esito + distribuzione tra ASL e aree</w:t>
            </w:r>
          </w:p>
        </w:tc>
        <w:tc>
          <w:tcPr>
            <w:shd w:val="clear" w:color="auto" w:fill="F4F1EC"/>
          </w:tcPr>
          <w:p>
            <w:pPr>
              <w:pStyle w:val="Compact"/>
              <w:spacing w:after="40" w:before="40"/>
              <w:jc w:val="left"/>
            </w:pPr>
            <w:r>
              <w:rPr>
                <w:rFonts w:ascii="Cambria" w:hAnsi="Cambria" w:cs="Cambria" w:eastAsia="Cambria"/>
                <w:color w:val="1A1A1A"/>
                <w:sz w:val="18"/>
              </w:rPr>
              <w:t xml:space="preserve">Dati per Distretto</w:t>
            </w:r>
          </w:p>
        </w:tc>
        <w:tc>
          <w:tcPr>
            <w:shd w:val="clear" w:color="auto" w:fill="F4F1EC"/>
          </w:tcPr>
          <w:p>
            <w:pPr>
              <w:pStyle w:val="Compact"/>
              <w:spacing w:after="40" w:before="40"/>
              <w:jc w:val="left"/>
            </w:pPr>
            <w:r>
              <w:rPr>
                <w:rFonts w:ascii="Cambria" w:hAnsi="Cambria" w:cs="Cambria" w:eastAsia="Cambria"/>
                <w:color w:val="1A1A1A"/>
                <w:sz w:val="18"/>
              </w:rPr>
              <w:t xml:space="preserve">in aumento</w:t>
            </w:r>
          </w:p>
        </w:tc>
      </w:tr>
      <w:tr>
        <w:tc>
          <w:tcPr/>
          <w:p>
            <w:pPr>
              <w:pStyle w:val="Compact"/>
              <w:spacing w:after="40" w:before="40"/>
              <w:jc w:val="left"/>
            </w:pPr>
            <w:r>
              <w:rPr>
                <w:rFonts w:ascii="Cambria" w:hAnsi="Cambria" w:cs="Cambria" w:eastAsia="Cambria"/>
                <w:b/>
                <w:bCs/>
                <w:color w:val="1A1A1A"/>
                <w:sz w:val="18"/>
              </w:rPr>
              <w:t xml:space="preserve">Mobilità passiva recuperata</w:t>
            </w:r>
          </w:p>
        </w:tc>
        <w:tc>
          <w:tcPr/>
          <w:p>
            <w:pPr>
              <w:pStyle w:val="Compact"/>
              <w:spacing w:after="40" w:before="40"/>
              <w:jc w:val="left"/>
            </w:pPr>
            <w:r>
              <w:rPr>
                <w:rFonts w:ascii="Cambria" w:hAnsi="Cambria" w:cs="Cambria" w:eastAsia="Cambria"/>
                <w:color w:val="1A1A1A"/>
                <w:sz w:val="18"/>
              </w:rPr>
              <w:t xml:space="preserve">Quota di prestazioni trattenute</w:t>
            </w:r>
          </w:p>
        </w:tc>
        <w:tc>
          <w:tcPr/>
          <w:p>
            <w:pPr>
              <w:pStyle w:val="Compact"/>
              <w:spacing w:after="40" w:before="40"/>
              <w:jc w:val="left"/>
            </w:pPr>
            <w:r>
              <w:rPr>
                <w:rFonts w:ascii="Cambria" w:hAnsi="Cambria" w:cs="Cambria" w:eastAsia="Cambria"/>
                <w:color w:val="1A1A1A"/>
                <w:sz w:val="18"/>
              </w:rPr>
              <w:t xml:space="preserve">Flussi di mobilità regionali</w:t>
            </w:r>
          </w:p>
        </w:tc>
        <w:tc>
          <w:tcPr/>
          <w:p>
            <w:pPr>
              <w:pStyle w:val="Compact"/>
              <w:spacing w:after="40" w:before="40"/>
              <w:jc w:val="left"/>
            </w:pPr>
            <w:r>
              <w:rPr>
                <w:rFonts w:ascii="Cambria" w:hAnsi="Cambria" w:cs="Cambria" w:eastAsia="Cambria"/>
                <w:color w:val="1A1A1A"/>
                <w:sz w:val="18"/>
              </w:rPr>
              <w:t xml:space="preserve">in riduzione del passivo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Quadruple Aim (cornice)</w:t>
            </w:r>
          </w:p>
        </w:tc>
        <w:tc>
          <w:tcPr>
            <w:shd w:val="clear" w:color="auto" w:fill="F4F1EC"/>
          </w:tcPr>
          <w:p>
            <w:pPr>
              <w:pStyle w:val="Compact"/>
              <w:spacing w:after="40" w:before="40"/>
              <w:jc w:val="left"/>
            </w:pPr>
            <w:r>
              <w:rPr>
                <w:rFonts w:ascii="Cambria" w:hAnsi="Cambria" w:cs="Cambria" w:eastAsia="Cambria"/>
                <w:color w:val="1A1A1A"/>
                <w:sz w:val="18"/>
              </w:rPr>
              <w:t xml:space="preserve">Esito + esperienza + costo + benessere operatori</w:t>
            </w:r>
          </w:p>
        </w:tc>
        <w:tc>
          <w:tcPr>
            <w:shd w:val="clear" w:color="auto" w:fill="F4F1EC"/>
          </w:tcPr>
          <w:p>
            <w:pPr>
              <w:pStyle w:val="Compact"/>
              <w:spacing w:after="40" w:before="40"/>
              <w:jc w:val="left"/>
            </w:pPr>
            <w:r>
              <w:rPr>
                <w:rFonts w:ascii="Cambria" w:hAnsi="Cambria" w:cs="Cambria" w:eastAsia="Cambria"/>
                <w:color w:val="1A1A1A"/>
                <w:sz w:val="18"/>
              </w:rPr>
              <w:t xml:space="preserve">Cruscotto integrato</w:t>
            </w:r>
          </w:p>
        </w:tc>
        <w:tc>
          <w:tcPr>
            <w:shd w:val="clear" w:color="auto" w:fill="F4F1EC"/>
          </w:tcPr>
          <w:p>
            <w:pPr>
              <w:pStyle w:val="Compact"/>
              <w:spacing w:after="40" w:before="40"/>
              <w:jc w:val="left"/>
            </w:pPr>
            <w:r>
              <w:rPr>
                <w:rFonts w:ascii="Cambria" w:hAnsi="Cambria" w:cs="Cambria" w:eastAsia="Cambria"/>
                <w:color w:val="1A1A1A"/>
                <w:sz w:val="18"/>
              </w:rPr>
              <w:t xml:space="preserve">bilanciato</w:t>
            </w:r>
          </w:p>
        </w:tc>
      </w:tr>
    </w:tbl>
    <w:p>
      <w:pPr>
        <w:pStyle w:val="BodyText"/>
      </w:pPr>
      <w:r>
        <w:rPr>
          <w:i/>
          <w:iCs/>
        </w:rPr>
        <w:t xml:space="preserve">Tabella 6. Il cruscotto di sintesi proposto per la Puglia.</w:t>
      </w:r>
    </w:p>
    <w:bookmarkEnd w:id="2610"/>
    <w:bookmarkStart w:id="2611" w:name="il-piano-di-misurazione"/>
    <w:p>
      <w:pPr>
        <w:pStyle w:val="Heading3"/>
      </w:pPr>
      <w:r>
        <w:t xml:space="preserve">10. Il piano di misurazione</w:t>
      </w:r>
    </w:p>
    <w:p>
      <w:pPr>
        <w:pStyle w:val="FirstParagraph"/>
      </w:pPr>
      <w:r>
        <w:t xml:space="preserve">A ciascuna misura il piano associa un valore di partenza, un obiettivo e la fonte. In assenza di rilevazioni storiche del servizio — nato nel dicembre 2025 — la baseline va costituita nella prima fase, sfruttando i flussi sanitari regionali già disponibili e l’Osservatorio previsto dalla legge come sede naturale della rilevazione.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Baseline</w:t>
            </w:r>
          </w:p>
        </w:tc>
        <w:tc>
          <w:tcPr>
            <w:shd w:val="clear" w:color="auto" w:fill="16264B"/>
          </w:tcPr>
          <w:p>
            <w:pPr>
              <w:pStyle w:val="Compact"/>
              <w:spacing w:after="40" w:before="40"/>
              <w:jc w:val="left"/>
            </w:pPr>
            <w:r>
              <w:rPr>
                <w:rFonts w:ascii="Cambria" w:hAnsi="Cambria" w:cs="Cambria" w:eastAsia="Cambria"/>
                <w:b/>
                <w:bCs/>
                <w:color w:val="FFFFFF"/>
                <w:sz w:val="18"/>
              </w:rPr>
              <w:t xml:space="preserve">Obiettivo</w:t>
            </w:r>
          </w:p>
        </w:tc>
      </w:tr>
      <w:tr>
        <w:tc>
          <w:tcPr/>
          <w:p>
            <w:pPr>
              <w:pStyle w:val="Compact"/>
              <w:spacing w:after="40" w:before="40"/>
              <w:jc w:val="left"/>
            </w:pPr>
            <w:r>
              <w:rPr>
                <w:rFonts w:ascii="Cambria" w:hAnsi="Cambria" w:cs="Cambria" w:eastAsia="Cambria"/>
                <w:b/>
                <w:bCs/>
                <w:color w:val="1A1A1A"/>
                <w:sz w:val="18"/>
              </w:rPr>
              <w:t xml:space="preserve">Accessi impropri al PS</w:t>
            </w:r>
          </w:p>
        </w:tc>
        <w:tc>
          <w:tcPr/>
          <w:p>
            <w:pPr>
              <w:pStyle w:val="Compact"/>
              <w:spacing w:after="40" w:before="40"/>
              <w:jc w:val="left"/>
            </w:pPr>
            <w:r>
              <w:rPr>
                <w:rFonts w:ascii="Cambria" w:hAnsi="Cambria" w:cs="Cambria" w:eastAsia="Cambria"/>
                <w:color w:val="1A1A1A"/>
                <w:sz w:val="18"/>
              </w:rPr>
              <w:t xml:space="preserve">Valore corrente dai flussi di emergenza-urgenza</w:t>
            </w:r>
          </w:p>
        </w:tc>
        <w:tc>
          <w:tcPr/>
          <w:p>
            <w:pPr>
              <w:pStyle w:val="Compact"/>
              <w:spacing w:after="40" w:before="40"/>
              <w:jc w:val="left"/>
            </w:pPr>
            <w:r>
              <w:rPr>
                <w:rFonts w:ascii="Cambria" w:hAnsi="Cambria" w:cs="Cambria" w:eastAsia="Cambria"/>
                <w:color w:val="1A1A1A"/>
                <w:sz w:val="18"/>
              </w:rPr>
              <w:t xml:space="preserve">Riduzione progressiva, in linea con l’11–14% della letteratura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Recupero clinico</w:t>
            </w:r>
          </w:p>
        </w:tc>
        <w:tc>
          <w:tcPr>
            <w:shd w:val="clear" w:color="auto" w:fill="F4F1EC"/>
          </w:tcPr>
          <w:p>
            <w:pPr>
              <w:pStyle w:val="Compact"/>
              <w:spacing w:after="40" w:before="40"/>
              <w:jc w:val="left"/>
            </w:pPr>
            <w:r>
              <w:rPr>
                <w:rFonts w:ascii="Cambria" w:hAnsi="Cambria" w:cs="Cambria" w:eastAsia="Cambria"/>
                <w:color w:val="1A1A1A"/>
                <w:sz w:val="18"/>
              </w:rPr>
              <w:t xml:space="preserve">Da costituire all’avvio</w:t>
            </w:r>
          </w:p>
        </w:tc>
        <w:tc>
          <w:tcPr>
            <w:shd w:val="clear" w:color="auto" w:fill="F4F1EC"/>
          </w:tcPr>
          <w:p>
            <w:pPr>
              <w:pStyle w:val="Compact"/>
              <w:spacing w:after="40" w:before="40"/>
              <w:jc w:val="left"/>
            </w:pPr>
            <w:r>
              <w:rPr>
                <w:rFonts w:ascii="Cambria" w:hAnsi="Cambria" w:cs="Cambria" w:eastAsia="Cambria"/>
                <w:color w:val="1A1A1A"/>
                <w:sz w:val="18"/>
              </w:rPr>
              <w:t xml:space="preserve">Verso il 50% dei trattati (riferimento IAPT)</w:t>
            </w:r>
          </w:p>
        </w:tc>
      </w:tr>
      <w:tr>
        <w:tc>
          <w:tcPr/>
          <w:p>
            <w:pPr>
              <w:pStyle w:val="Compact"/>
              <w:spacing w:after="40" w:before="40"/>
              <w:jc w:val="left"/>
            </w:pPr>
            <w:r>
              <w:rPr>
                <w:rFonts w:ascii="Cambria" w:hAnsi="Cambria" w:cs="Cambria" w:eastAsia="Cambria"/>
                <w:b/>
                <w:bCs/>
                <w:color w:val="1A1A1A"/>
                <w:sz w:val="18"/>
              </w:rPr>
              <w:t xml:space="preserve">Tasso di presa in carico del bisogno</w:t>
            </w:r>
          </w:p>
        </w:tc>
        <w:tc>
          <w:tcPr/>
          <w:p>
            <w:pPr>
              <w:pStyle w:val="Compact"/>
              <w:spacing w:after="40" w:before="40"/>
              <w:jc w:val="left"/>
            </w:pPr>
            <w:r>
              <w:rPr>
                <w:rFonts w:ascii="Cambria" w:hAnsi="Cambria" w:cs="Cambria" w:eastAsia="Cambria"/>
                <w:color w:val="1A1A1A"/>
                <w:sz w:val="18"/>
              </w:rPr>
              <w:t xml:space="preserve">Quota del bisogno stimato intercettata</w:t>
            </w:r>
          </w:p>
        </w:tc>
        <w:tc>
          <w:tcPr/>
          <w:p>
            <w:pPr>
              <w:pStyle w:val="Compact"/>
              <w:spacing w:after="40" w:before="40"/>
              <w:jc w:val="left"/>
            </w:pPr>
            <w:r>
              <w:rPr>
                <w:rFonts w:ascii="Cambria" w:hAnsi="Cambria" w:cs="Cambria" w:eastAsia="Cambria"/>
                <w:color w:val="1A1A1A"/>
                <w:sz w:val="18"/>
              </w:rPr>
              <w:t xml:space="preserve">Crescita pluriennale verso la copertura del fabbisogno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 mobilità passiva</w:t>
            </w:r>
          </w:p>
        </w:tc>
        <w:tc>
          <w:tcPr>
            <w:shd w:val="clear" w:color="auto" w:fill="F4F1EC"/>
          </w:tcPr>
          <w:p>
            <w:pPr>
              <w:pStyle w:val="Compact"/>
              <w:spacing w:after="40" w:before="40"/>
              <w:jc w:val="left"/>
            </w:pPr>
            <w:r>
              <w:rPr>
                <w:rFonts w:ascii="Cambria" w:hAnsi="Cambria" w:cs="Cambria" w:eastAsia="Cambria"/>
                <w:color w:val="1A1A1A"/>
                <w:sz w:val="18"/>
              </w:rPr>
              <w:t xml:space="preserve">− 253,2 milioni (2023)</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passivo per la quota trattenibile</w:t>
            </w:r>
          </w:p>
        </w:tc>
      </w:tr>
      <w:tr>
        <w:tc>
          <w:tcPr/>
          <w:p>
            <w:pPr>
              <w:pStyle w:val="Compact"/>
              <w:spacing w:after="40" w:before="40"/>
              <w:jc w:val="left"/>
            </w:pPr>
            <w:r>
              <w:rPr>
                <w:rFonts w:ascii="Cambria" w:hAnsi="Cambria" w:cs="Cambria" w:eastAsia="Cambria"/>
                <w:b/>
                <w:bCs/>
                <w:color w:val="1A1A1A"/>
                <w:sz w:val="18"/>
              </w:rPr>
              <w:t xml:space="preserve">Equità tra ASL</w:t>
            </w:r>
          </w:p>
        </w:tc>
        <w:tc>
          <w:tcPr/>
          <w:p>
            <w:pPr>
              <w:pStyle w:val="Compact"/>
              <w:spacing w:after="40" w:before="40"/>
              <w:jc w:val="left"/>
            </w:pPr>
            <w:r>
              <w:rPr>
                <w:rFonts w:ascii="Cambria" w:hAnsi="Cambria" w:cs="Cambria" w:eastAsia="Cambria"/>
                <w:color w:val="1A1A1A"/>
                <w:sz w:val="18"/>
              </w:rPr>
              <w:t xml:space="preserve">Dispersione attuale tra le sei ASL</w:t>
            </w:r>
          </w:p>
        </w:tc>
        <w:tc>
          <w:tcPr/>
          <w:p>
            <w:pPr>
              <w:pStyle w:val="Compact"/>
              <w:spacing w:after="40" w:before="40"/>
              <w:jc w:val="left"/>
            </w:pPr>
            <w:r>
              <w:rPr>
                <w:rFonts w:ascii="Cambria" w:hAnsi="Cambria" w:cs="Cambria" w:eastAsia="Cambria"/>
                <w:color w:val="1A1A1A"/>
                <w:sz w:val="18"/>
              </w:rPr>
              <w:t xml:space="preserve">Convergenza dei livelli di servizio</w:t>
            </w:r>
          </w:p>
        </w:tc>
      </w:tr>
    </w:tbl>
    <w:p>
      <w:pPr>
        <w:pStyle w:val="BodyText"/>
      </w:pPr>
      <w:r>
        <w:rPr>
          <w:i/>
          <w:iCs/>
        </w:rPr>
        <w:t xml:space="preserve">Tabella 7. Il piano di misurazione (estratto).</w:t>
      </w:r>
    </w:p>
    <w:bookmarkEnd w:id="2611"/>
    <w:bookmarkEnd w:id="2612"/>
    <w:bookmarkStart w:id="2622" w:name="Xde32e6bdfbac27206b99afcefb588702a8aca1e"/>
    <w:p>
      <w:pPr>
        <w:pStyle w:val="Heading2"/>
      </w:pPr>
      <w:r>
        <w:t xml:space="preserve">Parte IV — La quantificazione per la Puglia</w:t>
      </w:r>
    </w:p>
    <w:p>
      <w:pPr>
        <w:pStyle w:val="FirstParagraph"/>
      </w:pPr>
      <w:r>
        <w:t xml:space="preserve">La quantificazione confronta il costo del servizio a regime con i risparmi attesi, in tre scenari — conservativo, base ed espansivo. Le stime sono prudenziali e ancorate alla letteratura e ai dati regionali; vanno raffinate con dati primari pugliesi (conti del Servizio sanitario regionale, flussi di mobilità, schede di dimissione, dati farmaceutici). L’obiettivo non è fornire una cifra puntuale, ma mostrare l’ordine di grandezza e la robustezza del segno del saldo.</w:t>
      </w:r>
    </w:p>
    <w:bookmarkStart w:id="2613" w:name="il-fabbisogno-e-il-costo-a-regime"/>
    <w:p>
      <w:pPr>
        <w:pStyle w:val="Heading3"/>
      </w:pPr>
      <w:r>
        <w:t xml:space="preserve">11. Il fabbisogno e il costo a regime</w:t>
      </w:r>
    </w:p>
    <w:p>
      <w:pPr>
        <w:pStyle w:val="FirstParagraph"/>
      </w:pPr>
      <w:r>
        <w:t xml:space="preserve">Il fabbisogno si stima per via demografica ed epidemiologica. Rapportando alla Puglia il fabbisogno nazionale di psicologi delle cure primarie, e incrociandolo con modelli di copertura per popolazione, si ottiene un ordine di grandezza di circa 800–900 psicologi a regime per l’intera regione — contro i circa 45 oggi previsti in prima applicazione. Il costo dipende dal numero di professionisti e dal modello contrattuale: al costo medio annuo di un incarico convenzionale a tempo pieno, gli scenari di spesa vanno da circa 25 a circa 50 milioni di euro l’anno, fino a 60–75 milioni nell’ipotesi di costi pieni e massima copertura.</w:t>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 (mln €)</w:t>
            </w:r>
          </w:p>
        </w:tc>
      </w:tr>
      <w:tr>
        <w:tc>
          <w:tcPr/>
          <w:p>
            <w:pPr>
              <w:pStyle w:val="Compact"/>
              <w:spacing w:after="40" w:before="40"/>
              <w:jc w:val="left"/>
            </w:pPr>
            <w:r>
              <w:rPr>
                <w:rFonts w:ascii="Cambria" w:hAnsi="Cambria" w:cs="Cambria" w:eastAsia="Cambria"/>
                <w:b/>
                <w:bCs/>
                <w:color w:val="1A1A1A"/>
                <w:sz w:val="18"/>
              </w:rPr>
              <w:t xml:space="preserve">Attuale (L.R. 11/2023)</w:t>
            </w:r>
          </w:p>
        </w:tc>
        <w:tc>
          <w:tcPr/>
          <w:p>
            <w:pPr>
              <w:pStyle w:val="Compact"/>
              <w:spacing w:after="40" w:before="40"/>
              <w:jc w:val="left"/>
            </w:pPr>
            <w:r>
              <w:rPr>
                <w:rFonts w:ascii="Cambria" w:hAnsi="Cambria" w:cs="Cambria" w:eastAsia="Cambria"/>
                <w:color w:val="1A1A1A"/>
                <w:sz w:val="18"/>
              </w:rPr>
              <w:t xml:space="preserve">~ 45 (uno per Distretto)</w:t>
            </w:r>
          </w:p>
        </w:tc>
        <w:tc>
          <w:tcPr/>
          <w:p>
            <w:pPr>
              <w:pStyle w:val="Compact"/>
              <w:spacing w:after="40" w:before="40"/>
              <w:jc w:val="left"/>
            </w:pPr>
            <w:r>
              <w:rPr>
                <w:rFonts w:ascii="Cambria" w:hAnsi="Cambria" w:cs="Cambria" w:eastAsia="Cambria"/>
                <w:color w:val="1A1A1A"/>
                <w:sz w:val="18"/>
              </w:rPr>
              <w:t xml:space="preserve">1,5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Conservativo</w:t>
            </w:r>
          </w:p>
        </w:tc>
        <w:tc>
          <w:tcPr>
            <w:shd w:val="clear" w:color="auto" w:fill="F4F1EC"/>
          </w:tcPr>
          <w:p>
            <w:pPr>
              <w:pStyle w:val="Compact"/>
              <w:spacing w:after="40" w:before="40"/>
              <w:jc w:val="left"/>
            </w:pPr>
            <w:r>
              <w:rPr>
                <w:rFonts w:ascii="Cambria" w:hAnsi="Cambria" w:cs="Cambria" w:eastAsia="Cambria"/>
                <w:color w:val="1A1A1A"/>
                <w:sz w:val="18"/>
              </w:rPr>
              <w:t xml:space="preserve">~ 450</w:t>
            </w:r>
          </w:p>
        </w:tc>
        <w:tc>
          <w:tcPr>
            <w:shd w:val="clear" w:color="auto" w:fill="F4F1EC"/>
          </w:tcPr>
          <w:p>
            <w:pPr>
              <w:pStyle w:val="Compact"/>
              <w:spacing w:after="40" w:before="40"/>
              <w:jc w:val="left"/>
            </w:pPr>
            <w:r>
              <w:rPr>
                <w:rFonts w:ascii="Cambria" w:hAnsi="Cambria" w:cs="Cambria" w:eastAsia="Cambria"/>
                <w:color w:val="1A1A1A"/>
                <w:sz w:val="18"/>
              </w:rPr>
              <w:t xml:space="preserve">~ 25</w:t>
            </w:r>
          </w:p>
        </w:tc>
      </w:tr>
      <w:tr>
        <w:tc>
          <w:tcPr/>
          <w:p>
            <w:pPr>
              <w:pStyle w:val="Compact"/>
              <w:spacing w:after="40" w:before="40"/>
              <w:jc w:val="left"/>
            </w:pPr>
            <w:r>
              <w:rPr>
                <w:rFonts w:ascii="Cambria" w:hAnsi="Cambria" w:cs="Cambria" w:eastAsia="Cambria"/>
                <w:b/>
                <w:bCs/>
                <w:color w:val="1A1A1A"/>
                <w:sz w:val="18"/>
              </w:rPr>
              <w:t xml:space="preserve">Base</w:t>
            </w:r>
          </w:p>
        </w:tc>
        <w:tc>
          <w:tcPr/>
          <w:p>
            <w:pPr>
              <w:pStyle w:val="Compact"/>
              <w:spacing w:after="40" w:before="40"/>
              <w:jc w:val="left"/>
            </w:pPr>
            <w:r>
              <w:rPr>
                <w:rFonts w:ascii="Cambria" w:hAnsi="Cambria" w:cs="Cambria" w:eastAsia="Cambria"/>
                <w:color w:val="1A1A1A"/>
                <w:sz w:val="18"/>
              </w:rPr>
              <w:t xml:space="preserve">~ 700</w:t>
            </w:r>
          </w:p>
        </w:tc>
        <w:tc>
          <w:tcPr/>
          <w:p>
            <w:pPr>
              <w:pStyle w:val="Compact"/>
              <w:spacing w:after="40" w:before="40"/>
              <w:jc w:val="left"/>
            </w:pPr>
            <w:r>
              <w:rPr>
                <w:rFonts w:ascii="Cambria" w:hAnsi="Cambria" w:cs="Cambria" w:eastAsia="Cambria"/>
                <w:color w:val="1A1A1A"/>
                <w:sz w:val="18"/>
              </w:rPr>
              <w:t xml:space="preserve">~ 38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Espansivo</w:t>
            </w:r>
          </w:p>
        </w:tc>
        <w:tc>
          <w:tcPr>
            <w:shd w:val="clear" w:color="auto" w:fill="F4F1EC"/>
          </w:tcPr>
          <w:p>
            <w:pPr>
              <w:pStyle w:val="Compact"/>
              <w:spacing w:after="40" w:before="40"/>
              <w:jc w:val="left"/>
            </w:pPr>
            <w:r>
              <w:rPr>
                <w:rFonts w:ascii="Cambria" w:hAnsi="Cambria" w:cs="Cambria" w:eastAsia="Cambria"/>
                <w:color w:val="1A1A1A"/>
                <w:sz w:val="18"/>
              </w:rPr>
              <w:t xml:space="preserve">~ 900</w:t>
            </w:r>
          </w:p>
        </w:tc>
        <w:tc>
          <w:tcPr>
            <w:shd w:val="clear" w:color="auto" w:fill="F4F1EC"/>
          </w:tcPr>
          <w:p>
            <w:pPr>
              <w:pStyle w:val="Compact"/>
              <w:spacing w:after="40" w:before="40"/>
              <w:jc w:val="left"/>
            </w:pPr>
            <w:r>
              <w:rPr>
                <w:rFonts w:ascii="Cambria" w:hAnsi="Cambria" w:cs="Cambria" w:eastAsia="Cambria"/>
                <w:color w:val="1A1A1A"/>
                <w:sz w:val="18"/>
              </w:rPr>
              <w:t xml:space="preserve">~ 50 (fino a 60–75 a costi pieni)</w:t>
            </w:r>
          </w:p>
        </w:tc>
      </w:tr>
    </w:tbl>
    <w:p>
      <w:pPr>
        <w:pStyle w:val="BodyText"/>
      </w:pPr>
      <w:r>
        <w:rPr>
          <w:i/>
          <w:iCs/>
        </w:rPr>
        <w:t xml:space="preserve">Tabella 8. Fabbisogno e costo del servizio per scenario. Il servizio attuale copre circa il 5% del fabbisogno stimato.</w:t>
      </w:r>
    </w:p>
    <w:bookmarkEnd w:id="2613"/>
    <w:bookmarkStart w:id="2618" w:name="i-risparmi-attesi"/>
    <w:p>
      <w:pPr>
        <w:pStyle w:val="Heading3"/>
      </w:pPr>
      <w:r>
        <w:t xml:space="preserve">12. I risparmi attesi</w:t>
      </w:r>
    </w:p>
    <w:p>
      <w:pPr>
        <w:pStyle w:val="FirstParagraph"/>
      </w:pPr>
      <w:r>
        <w:t xml:space="preserve">I risparmi derivano da più canali, tutti documentati dall’evidenza. L’integrazione di psicologi nelle cure primarie riduce gli accessi impropri al pronto soccorso (dell’ordine dell’ 11–14%),</w:t>
      </w:r>
      <w:r>
        <w:rPr>
          <w:rStyle w:val="FootnoteReference"/>
        </w:rPr>
        <w:footnoteReference w:id="1207"/>
      </w:r>
      <w:r>
        <w:t xml:space="preserve"> </w:t>
      </w:r>
      <w:r>
        <w:t xml:space="preserve">migliora gli esiti di ansia e depressione,</w:t>
      </w:r>
      <w:r>
        <w:rPr>
          <w:rStyle w:val="FootnoteReference"/>
        </w:rPr>
        <w:footnoteReference w:id="1208"/>
      </w:r>
      <w:r>
        <w:t xml:space="preserve"> </w:t>
      </w:r>
      <w:r>
        <w:t xml:space="preserve">riduce il consumo di prestazioni associato ai sintomi somatici funzionali (con risparmi superiori al 30%),</w:t>
      </w:r>
      <w:r>
        <w:rPr>
          <w:rStyle w:val="FootnoteReference"/>
        </w:rPr>
        <w:footnoteReference w:id="1209"/>
      </w:r>
      <w:r>
        <w:t xml:space="preserve"> </w:t>
      </w:r>
      <w:r>
        <w:t xml:space="preserve">e produce un ritorno dell’ordine di quattro a uno in salute e produttività.</w:t>
      </w:r>
      <w:r>
        <w:rPr>
          <w:rStyle w:val="FootnoteReference"/>
        </w:rPr>
        <w:footnoteReference w:id="1210"/>
      </w:r>
      <w:r>
        <w:t xml:space="preserve"> </w:t>
      </w:r>
      <w:r>
        <w:t xml:space="preserve">Per la Puglia si aggiunge il canale della mobilità passiva recuperata, specifico e rilevante. La tabella riporta i canali e una stima prudenziale nello scenario base.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Canale di risparmio</w:t>
            </w:r>
          </w:p>
        </w:tc>
        <w:tc>
          <w:tcPr>
            <w:shd w:val="clear" w:color="auto" w:fill="16264B"/>
          </w:tcPr>
          <w:p>
            <w:pPr>
              <w:pStyle w:val="Compact"/>
              <w:spacing w:after="40" w:before="40"/>
              <w:jc w:val="left"/>
            </w:pPr>
            <w:r>
              <w:rPr>
                <w:rFonts w:ascii="Cambria" w:hAnsi="Cambria" w:cs="Cambria" w:eastAsia="Cambria"/>
                <w:b/>
                <w:bCs/>
                <w:color w:val="FFFFFF"/>
                <w:sz w:val="18"/>
              </w:rPr>
              <w:t xml:space="preserve">Meccanismo</w:t>
            </w:r>
          </w:p>
        </w:tc>
        <w:tc>
          <w:tcPr>
            <w:shd w:val="clear" w:color="auto" w:fill="16264B"/>
          </w:tcPr>
          <w:p>
            <w:pPr>
              <w:pStyle w:val="Compact"/>
              <w:spacing w:after="40" w:before="40"/>
              <w:jc w:val="left"/>
            </w:pPr>
            <w:r>
              <w:rPr>
                <w:rFonts w:ascii="Cambria" w:hAnsi="Cambria" w:cs="Cambria" w:eastAsia="Cambria"/>
                <w:b/>
                <w:bCs/>
                <w:color w:val="FFFFFF"/>
                <w:sz w:val="18"/>
              </w:rPr>
              <w:t xml:space="preserve">Stima annua (mln €)</w:t>
            </w:r>
          </w:p>
        </w:tc>
      </w:tr>
      <w:tr>
        <w:tc>
          <w:tcPr/>
          <w:p>
            <w:pPr>
              <w:pStyle w:val="Compact"/>
              <w:spacing w:after="40" w:before="40"/>
              <w:jc w:val="left"/>
            </w:pPr>
            <w:r>
              <w:rPr>
                <w:rFonts w:ascii="Cambria" w:hAnsi="Cambria" w:cs="Cambria" w:eastAsia="Cambria"/>
                <w:b/>
                <w:bCs/>
                <w:color w:val="1A1A1A"/>
                <w:sz w:val="18"/>
              </w:rPr>
              <w:t xml:space="preserve">Filtro sul pronto soccorso</w:t>
            </w:r>
          </w:p>
        </w:tc>
        <w:tc>
          <w:tcPr/>
          <w:p>
            <w:pPr>
              <w:pStyle w:val="Compact"/>
              <w:spacing w:after="40" w:before="40"/>
              <w:jc w:val="left"/>
            </w:pPr>
            <w:r>
              <w:rPr>
                <w:rFonts w:ascii="Cambria" w:hAnsi="Cambria" w:cs="Cambria" w:eastAsia="Cambria"/>
                <w:color w:val="1A1A1A"/>
                <w:sz w:val="18"/>
              </w:rPr>
              <w:t xml:space="preserve">Riduzione degli accessi impropri per cause non urgenti</w:t>
            </w:r>
          </w:p>
        </w:tc>
        <w:tc>
          <w:tcPr/>
          <w:p>
            <w:pPr>
              <w:pStyle w:val="Compact"/>
              <w:spacing w:after="40" w:before="40"/>
              <w:jc w:val="left"/>
            </w:pPr>
            <w:r>
              <w:rPr>
                <w:rFonts w:ascii="Cambria" w:hAnsi="Cambria" w:cs="Cambria" w:eastAsia="Cambria"/>
                <w:color w:val="1A1A1A"/>
                <w:sz w:val="18"/>
              </w:rPr>
              <w:t xml:space="preserve">~ 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Appropriatezza prescrittiva</w:t>
            </w:r>
          </w:p>
        </w:tc>
        <w:tc>
          <w:tcPr>
            <w:shd w:val="clear" w:color="auto" w:fill="F4F1EC"/>
          </w:tcPr>
          <w:p>
            <w:pPr>
              <w:pStyle w:val="Compact"/>
              <w:spacing w:after="40" w:before="40"/>
              <w:jc w:val="left"/>
            </w:pPr>
            <w:r>
              <w:rPr>
                <w:rFonts w:ascii="Cambria" w:hAnsi="Cambria" w:cs="Cambria" w:eastAsia="Cambria"/>
                <w:color w:val="1A1A1A"/>
                <w:sz w:val="18"/>
              </w:rPr>
              <w:t xml:space="preserve">Riduzione di prescrizioni non necessarie e più corretto ricorso ai farmaci</w:t>
            </w:r>
          </w:p>
        </w:tc>
        <w:tc>
          <w:tcPr>
            <w:shd w:val="clear" w:color="auto" w:fill="F4F1EC"/>
          </w:tcPr>
          <w:p>
            <w:pPr>
              <w:pStyle w:val="Compact"/>
              <w:spacing w:after="40" w:before="40"/>
              <w:jc w:val="left"/>
            </w:pPr>
            <w:r>
              <w:rPr>
                <w:rFonts w:ascii="Cambria" w:hAnsi="Cambria" w:cs="Cambria" w:eastAsia="Cambria"/>
                <w:color w:val="1A1A1A"/>
                <w:sz w:val="18"/>
              </w:rPr>
              <w:t xml:space="preserve">~ 20</w:t>
            </w:r>
          </w:p>
        </w:tc>
      </w:tr>
      <w:tr>
        <w:tc>
          <w:tcPr/>
          <w:p>
            <w:pPr>
              <w:pStyle w:val="Compact"/>
              <w:spacing w:after="40" w:before="40"/>
              <w:jc w:val="left"/>
            </w:pPr>
            <w:r>
              <w:rPr>
                <w:rFonts w:ascii="Cambria" w:hAnsi="Cambria" w:cs="Cambria" w:eastAsia="Cambria"/>
                <w:b/>
                <w:bCs/>
                <w:color w:val="1A1A1A"/>
                <w:sz w:val="18"/>
              </w:rPr>
              <w:t xml:space="preserve">Ricoveri e accessi specialistici evitati</w:t>
            </w:r>
          </w:p>
        </w:tc>
        <w:tc>
          <w:tcPr/>
          <w:p>
            <w:pPr>
              <w:pStyle w:val="Compact"/>
              <w:spacing w:after="40" w:before="40"/>
              <w:jc w:val="left"/>
            </w:pPr>
            <w:r>
              <w:rPr>
                <w:rFonts w:ascii="Cambria" w:hAnsi="Cambria" w:cs="Cambria" w:eastAsia="Cambria"/>
                <w:color w:val="1A1A1A"/>
                <w:sz w:val="18"/>
              </w:rPr>
              <w:t xml:space="preserve">Minore ricorso a cure secondarie e a ricoveri evitabili</w:t>
            </w:r>
          </w:p>
        </w:tc>
        <w:tc>
          <w:tcPr/>
          <w:p>
            <w:pPr>
              <w:pStyle w:val="Compact"/>
              <w:spacing w:after="40" w:before="40"/>
              <w:jc w:val="left"/>
            </w:pPr>
            <w:r>
              <w:rPr>
                <w:rFonts w:ascii="Cambria" w:hAnsi="Cambria" w:cs="Cambria" w:eastAsia="Cambria"/>
                <w:color w:val="1A1A1A"/>
                <w:sz w:val="18"/>
              </w:rPr>
              <w:t xml:space="preserve">~ 45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Sintomi somatici funzionali</w:t>
            </w:r>
          </w:p>
        </w:tc>
        <w:tc>
          <w:tcPr>
            <w:shd w:val="clear" w:color="auto" w:fill="F4F1EC"/>
          </w:tcPr>
          <w:p>
            <w:pPr>
              <w:pStyle w:val="Compact"/>
              <w:spacing w:after="40" w:before="40"/>
              <w:jc w:val="left"/>
            </w:pPr>
            <w:r>
              <w:rPr>
                <w:rFonts w:ascii="Cambria" w:hAnsi="Cambria" w:cs="Cambria" w:eastAsia="Cambria"/>
                <w:color w:val="1A1A1A"/>
                <w:sz w:val="18"/>
              </w:rPr>
              <w:t xml:space="preserve">Minore consumo di esami e visite nei pazienti iper-frequentanti</w:t>
            </w:r>
          </w:p>
        </w:tc>
        <w:tc>
          <w:tcPr>
            <w:shd w:val="clear" w:color="auto" w:fill="F4F1EC"/>
          </w:tcPr>
          <w:p>
            <w:pPr>
              <w:pStyle w:val="Compact"/>
              <w:spacing w:after="40" w:before="40"/>
              <w:jc w:val="left"/>
            </w:pPr>
            <w:r>
              <w:rPr>
                <w:rFonts w:ascii="Cambria" w:hAnsi="Cambria" w:cs="Cambria" w:eastAsia="Cambria"/>
                <w:color w:val="1A1A1A"/>
                <w:sz w:val="18"/>
              </w:rPr>
              <w:t xml:space="preserve">~ 35</w:t>
            </w:r>
          </w:p>
        </w:tc>
      </w:tr>
      <w:tr>
        <w:tc>
          <w:tcPr/>
          <w:p>
            <w:pPr>
              <w:pStyle w:val="Compact"/>
              <w:spacing w:after="40" w:before="40"/>
              <w:jc w:val="left"/>
            </w:pPr>
            <w:r>
              <w:rPr>
                <w:rFonts w:ascii="Cambria" w:hAnsi="Cambria" w:cs="Cambria" w:eastAsia="Cambria"/>
                <w:b/>
                <w:bCs/>
                <w:color w:val="1A1A1A"/>
                <w:sz w:val="18"/>
              </w:rPr>
              <w:t xml:space="preserve">Mobilità passiva recuperata</w:t>
            </w:r>
          </w:p>
        </w:tc>
        <w:tc>
          <w:tcPr/>
          <w:p>
            <w:pPr>
              <w:pStyle w:val="Compact"/>
              <w:spacing w:after="40" w:before="40"/>
              <w:jc w:val="left"/>
            </w:pPr>
            <w:r>
              <w:rPr>
                <w:rFonts w:ascii="Cambria" w:hAnsi="Cambria" w:cs="Cambria" w:eastAsia="Cambria"/>
                <w:color w:val="1A1A1A"/>
                <w:sz w:val="18"/>
              </w:rPr>
              <w:t xml:space="preserve">Quota di prestazioni trattenute sul territorio (canale pugliese)</w:t>
            </w:r>
          </w:p>
        </w:tc>
        <w:tc>
          <w:tcPr/>
          <w:p>
            <w:pPr>
              <w:pStyle w:val="Compact"/>
              <w:spacing w:after="40" w:before="40"/>
              <w:jc w:val="left"/>
            </w:pPr>
            <w:r>
              <w:rPr>
                <w:rFonts w:ascii="Cambria" w:hAnsi="Cambria" w:cs="Cambria" w:eastAsia="Cambria"/>
                <w:color w:val="1A1A1A"/>
                <w:sz w:val="18"/>
              </w:rPr>
              <w:t xml:space="preserve">~ 40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Produttività e ricadute sociali</w:t>
            </w:r>
          </w:p>
        </w:tc>
        <w:tc>
          <w:tcPr>
            <w:shd w:val="clear" w:color="auto" w:fill="F4F1EC"/>
          </w:tcPr>
          <w:p>
            <w:pPr>
              <w:pStyle w:val="Compact"/>
              <w:spacing w:after="40" w:before="40"/>
              <w:jc w:val="left"/>
            </w:pPr>
            <w:r>
              <w:rPr>
                <w:rFonts w:ascii="Cambria" w:hAnsi="Cambria" w:cs="Cambria" w:eastAsia="Cambria"/>
                <w:color w:val="1A1A1A"/>
                <w:sz w:val="18"/>
              </w:rPr>
              <w:t xml:space="preserve">Minori giornate perse e migliore funzionamento</w:t>
            </w:r>
          </w:p>
        </w:tc>
        <w:tc>
          <w:tcPr>
            <w:shd w:val="clear" w:color="auto" w:fill="F4F1EC"/>
          </w:tcPr>
          <w:p>
            <w:pPr>
              <w:pStyle w:val="Compact"/>
              <w:spacing w:after="40" w:before="40"/>
              <w:jc w:val="left"/>
            </w:pPr>
            <w:r>
              <w:rPr>
                <w:rFonts w:ascii="Cambria" w:hAnsi="Cambria" w:cs="Cambria" w:eastAsia="Cambria"/>
                <w:color w:val="1A1A1A"/>
                <w:sz w:val="18"/>
              </w:rPr>
              <w:t xml:space="preserve">~ 30</w:t>
            </w:r>
          </w:p>
        </w:tc>
      </w:tr>
      <w:tr>
        <w:tc>
          <w:tcPr/>
          <w:p>
            <w:pPr>
              <w:pStyle w:val="Compact"/>
              <w:spacing w:after="40" w:before="40"/>
              <w:jc w:val="left"/>
            </w:pPr>
            <w:r>
              <w:rPr>
                <w:rFonts w:ascii="Cambria" w:hAnsi="Cambria" w:cs="Cambria" w:eastAsia="Cambria"/>
                <w:b/>
                <w:bCs/>
                <w:color w:val="1A1A1A"/>
                <w:sz w:val="18"/>
              </w:rPr>
              <w:t xml:space="preserve">Totale (scenario base)</w:t>
            </w:r>
          </w:p>
        </w:tc>
        <w:tc>
          <w:tcPr/>
          <w:p>
            <w:pPr>
              <w:pStyle w:val="Compact"/>
              <w:spacing w:after="40" w:before="40"/>
              <w:jc w:val="left"/>
            </w:pPr>
          </w:p>
        </w:tc>
        <w:tc>
          <w:tcPr/>
          <w:p>
            <w:pPr>
              <w:pStyle w:val="Compact"/>
              <w:spacing w:after="40" w:before="40"/>
              <w:jc w:val="left"/>
            </w:pPr>
            <w:r>
              <w:rPr>
                <w:rFonts w:ascii="Cambria" w:hAnsi="Cambria" w:cs="Cambria" w:eastAsia="Cambria"/>
                <w:color w:val="1A1A1A"/>
                <w:sz w:val="18"/>
              </w:rPr>
              <w:t xml:space="preserve">~ 200</w:t>
            </w:r>
          </w:p>
        </w:tc>
      </w:tr>
    </w:tbl>
    <w:p>
      <w:pPr>
        <w:pStyle w:val="BodyText"/>
      </w:pPr>
      <w:r>
        <w:rPr>
          <w:i/>
          <w:iCs/>
        </w:rPr>
        <w:t xml:space="preserve">Tabella 9. Canali di risparmio e stima prudenziale nello scenario base.</w:t>
      </w:r>
    </w:p>
    <w:bookmarkEnd w:id="2618"/>
    <w:bookmarkStart w:id="2620" w:name="X700c3e1ed989dce8299a328eba80f83ab5f23fa"/>
    <w:p>
      <w:pPr>
        <w:pStyle w:val="Heading3"/>
      </w:pPr>
      <w:r>
        <w:t xml:space="preserve">13. Il saldo, il ritorno e l’analisi di sensibilità</w:t>
      </w:r>
    </w:p>
    <w:p>
      <w:pPr>
        <w:pStyle w:val="FirstParagraph"/>
      </w:pPr>
      <w:r>
        <w:t xml:space="preserve">Il confronto tra costi e risparmi restituisce, in tutti gli scenari, un saldo nettamente positivo. Nello scenario base, a fronte di un costo di circa 38 milioni, i risparmi dell’ordine di 200 milioni producono un saldo positivo di circa 162 milioni e un rapporto beneficio-costo intorno a 5 a 1. Anche nello scenario conservativo — dimezzando i risparmi e adottando il modello di costo più oneroso — il saldo resta ampiamente positivo. Il segno del risultato è quindi robusto: le ipotesi pessimistiche ne riducono l’entità, non lo invertono.</w:t>
      </w:r>
      <w:r>
        <w:rPr>
          <w:rStyle w:val="FootnoteReference"/>
        </w:rPr>
        <w:footnoteReference w:id="1211"/>
      </w:r>
    </w:p>
    <w:tbl>
      <w:tblPr>
        <w:tblStyle w:val="Table"/>
        <w:tblW w:type="auto" w:w="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Costo</w:t>
            </w:r>
          </w:p>
        </w:tc>
        <w:tc>
          <w:tcPr>
            <w:shd w:val="clear" w:color="auto" w:fill="16264B"/>
          </w:tcPr>
          <w:p>
            <w:pPr>
              <w:pStyle w:val="Compact"/>
              <w:spacing w:after="40" w:before="40"/>
              <w:jc w:val="left"/>
            </w:pPr>
            <w:r>
              <w:rPr>
                <w:rFonts w:ascii="Cambria" w:hAnsi="Cambria" w:cs="Cambria" w:eastAsia="Cambria"/>
                <w:b/>
                <w:bCs/>
                <w:color w:val="FFFFFF"/>
                <w:sz w:val="18"/>
              </w:rPr>
              <w:t xml:space="preserve">Risparmio</w:t>
            </w:r>
          </w:p>
        </w:tc>
        <w:tc>
          <w:tcPr>
            <w:shd w:val="clear" w:color="auto" w:fill="16264B"/>
          </w:tcPr>
          <w:p>
            <w:pPr>
              <w:pStyle w:val="Compact"/>
              <w:spacing w:after="40" w:before="40"/>
              <w:jc w:val="left"/>
            </w:pPr>
            <w:r>
              <w:rPr>
                <w:rFonts w:ascii="Cambria" w:hAnsi="Cambria" w:cs="Cambria" w:eastAsia="Cambria"/>
                <w:b/>
                <w:bCs/>
                <w:color w:val="FFFFFF"/>
                <w:sz w:val="18"/>
              </w:rPr>
              <w:t xml:space="preserve">Saldo</w:t>
            </w:r>
          </w:p>
        </w:tc>
        <w:tc>
          <w:tcPr>
            <w:shd w:val="clear" w:color="auto" w:fill="16264B"/>
          </w:tcPr>
          <w:p>
            <w:pPr>
              <w:pStyle w:val="Compact"/>
              <w:spacing w:after="40" w:before="40"/>
              <w:jc w:val="left"/>
            </w:pPr>
            <w:r>
              <w:rPr>
                <w:rFonts w:ascii="Cambria" w:hAnsi="Cambria" w:cs="Cambria" w:eastAsia="Cambria"/>
                <w:b/>
                <w:bCs/>
                <w:color w:val="FFFFFF"/>
                <w:sz w:val="18"/>
              </w:rPr>
              <w:t xml:space="preserve">BCR</w:t>
            </w:r>
          </w:p>
        </w:tc>
      </w:tr>
      <w:tr>
        <w:tc>
          <w:tcPr/>
          <w:p>
            <w:pPr>
              <w:pStyle w:val="Compact"/>
              <w:spacing w:after="40" w:before="40"/>
              <w:jc w:val="left"/>
            </w:pPr>
            <w:r>
              <w:rPr>
                <w:rFonts w:ascii="Cambria" w:hAnsi="Cambria" w:cs="Cambria" w:eastAsia="Cambria"/>
                <w:b/>
                <w:bCs/>
                <w:color w:val="1A1A1A"/>
                <w:sz w:val="18"/>
              </w:rPr>
              <w:t xml:space="preserve">Conservativo</w:t>
            </w:r>
          </w:p>
        </w:tc>
        <w:tc>
          <w:tcPr/>
          <w:p>
            <w:pPr>
              <w:pStyle w:val="Compact"/>
              <w:spacing w:after="40" w:before="40"/>
              <w:jc w:val="left"/>
            </w:pPr>
            <w:r>
              <w:rPr>
                <w:rFonts w:ascii="Cambria" w:hAnsi="Cambria" w:cs="Cambria" w:eastAsia="Cambria"/>
                <w:color w:val="1A1A1A"/>
                <w:sz w:val="18"/>
              </w:rPr>
              <w:t xml:space="preserve">~ 25</w:t>
            </w:r>
          </w:p>
        </w:tc>
        <w:tc>
          <w:tcPr/>
          <w:p>
            <w:pPr>
              <w:pStyle w:val="Compact"/>
              <w:spacing w:after="40" w:before="40"/>
              <w:jc w:val="left"/>
            </w:pPr>
            <w:r>
              <w:rPr>
                <w:rFonts w:ascii="Cambria" w:hAnsi="Cambria" w:cs="Cambria" w:eastAsia="Cambria"/>
                <w:color w:val="1A1A1A"/>
                <w:sz w:val="18"/>
              </w:rPr>
              <w:t xml:space="preserve">~ 96</w:t>
            </w:r>
          </w:p>
        </w:tc>
        <w:tc>
          <w:tcPr/>
          <w:p>
            <w:pPr>
              <w:pStyle w:val="Compact"/>
              <w:spacing w:after="40" w:before="40"/>
              <w:jc w:val="left"/>
            </w:pPr>
            <w:r>
              <w:rPr>
                <w:rFonts w:ascii="Cambria" w:hAnsi="Cambria" w:cs="Cambria" w:eastAsia="Cambria"/>
                <w:color w:val="1A1A1A"/>
                <w:sz w:val="18"/>
              </w:rPr>
              <w:t xml:space="preserve">+ 71</w:t>
            </w:r>
          </w:p>
        </w:tc>
        <w:tc>
          <w:tcPr/>
          <w:p>
            <w:pPr>
              <w:pStyle w:val="Compact"/>
              <w:spacing w:after="40" w:before="40"/>
              <w:jc w:val="left"/>
            </w:pPr>
            <w:r>
              <w:rPr>
                <w:rFonts w:ascii="Cambria" w:hAnsi="Cambria" w:cs="Cambria" w:eastAsia="Cambria"/>
                <w:color w:val="1A1A1A"/>
                <w:sz w:val="18"/>
              </w:rPr>
              <w:t xml:space="preserve">~ 3,8 : 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Base</w:t>
            </w:r>
          </w:p>
        </w:tc>
        <w:tc>
          <w:tcPr>
            <w:shd w:val="clear" w:color="auto" w:fill="F4F1EC"/>
          </w:tcPr>
          <w:p>
            <w:pPr>
              <w:pStyle w:val="Compact"/>
              <w:spacing w:after="40" w:before="40"/>
              <w:jc w:val="left"/>
            </w:pPr>
            <w:r>
              <w:rPr>
                <w:rFonts w:ascii="Cambria" w:hAnsi="Cambria" w:cs="Cambria" w:eastAsia="Cambria"/>
                <w:color w:val="1A1A1A"/>
                <w:sz w:val="18"/>
              </w:rPr>
              <w:t xml:space="preserve">~ 38</w:t>
            </w:r>
          </w:p>
        </w:tc>
        <w:tc>
          <w:tcPr>
            <w:shd w:val="clear" w:color="auto" w:fill="F4F1EC"/>
          </w:tcPr>
          <w:p>
            <w:pPr>
              <w:pStyle w:val="Compact"/>
              <w:spacing w:after="40" w:before="40"/>
              <w:jc w:val="left"/>
            </w:pPr>
            <w:r>
              <w:rPr>
                <w:rFonts w:ascii="Cambria" w:hAnsi="Cambria" w:cs="Cambria" w:eastAsia="Cambria"/>
                <w:color w:val="1A1A1A"/>
                <w:sz w:val="18"/>
              </w:rPr>
              <w:t xml:space="preserve">~ 200</w:t>
            </w:r>
          </w:p>
        </w:tc>
        <w:tc>
          <w:tcPr>
            <w:shd w:val="clear" w:color="auto" w:fill="F4F1EC"/>
          </w:tcPr>
          <w:p>
            <w:pPr>
              <w:pStyle w:val="Compact"/>
              <w:spacing w:after="40" w:before="40"/>
              <w:jc w:val="left"/>
            </w:pPr>
            <w:r>
              <w:rPr>
                <w:rFonts w:ascii="Cambria" w:hAnsi="Cambria" w:cs="Cambria" w:eastAsia="Cambria"/>
                <w:color w:val="1A1A1A"/>
                <w:sz w:val="18"/>
              </w:rPr>
              <w:t xml:space="preserve">+ 162</w:t>
            </w:r>
          </w:p>
        </w:tc>
        <w:tc>
          <w:tcPr>
            <w:shd w:val="clear" w:color="auto" w:fill="F4F1EC"/>
          </w:tcPr>
          <w:p>
            <w:pPr>
              <w:pStyle w:val="Compact"/>
              <w:spacing w:after="40" w:before="40"/>
              <w:jc w:val="left"/>
            </w:pPr>
            <w:r>
              <w:rPr>
                <w:rFonts w:ascii="Cambria" w:hAnsi="Cambria" w:cs="Cambria" w:eastAsia="Cambria"/>
                <w:color w:val="1A1A1A"/>
                <w:sz w:val="18"/>
              </w:rPr>
              <w:t xml:space="preserve">~ 5,3 : 1</w:t>
            </w:r>
          </w:p>
        </w:tc>
      </w:tr>
      <w:tr>
        <w:tc>
          <w:tcPr/>
          <w:p>
            <w:pPr>
              <w:pStyle w:val="Compact"/>
              <w:spacing w:after="40" w:before="40"/>
              <w:jc w:val="left"/>
            </w:pPr>
            <w:r>
              <w:rPr>
                <w:rFonts w:ascii="Cambria" w:hAnsi="Cambria" w:cs="Cambria" w:eastAsia="Cambria"/>
                <w:b/>
                <w:bCs/>
                <w:color w:val="1A1A1A"/>
                <w:sz w:val="18"/>
              </w:rPr>
              <w:t xml:space="preserve">Espansivo</w:t>
            </w:r>
          </w:p>
        </w:tc>
        <w:tc>
          <w:tcPr/>
          <w:p>
            <w:pPr>
              <w:pStyle w:val="Compact"/>
              <w:spacing w:after="40" w:before="40"/>
              <w:jc w:val="left"/>
            </w:pPr>
            <w:r>
              <w:rPr>
                <w:rFonts w:ascii="Cambria" w:hAnsi="Cambria" w:cs="Cambria" w:eastAsia="Cambria"/>
                <w:color w:val="1A1A1A"/>
                <w:sz w:val="18"/>
              </w:rPr>
              <w:t xml:space="preserve">~ 50</w:t>
            </w:r>
          </w:p>
        </w:tc>
        <w:tc>
          <w:tcPr/>
          <w:p>
            <w:pPr>
              <w:pStyle w:val="Compact"/>
              <w:spacing w:after="40" w:before="40"/>
              <w:jc w:val="left"/>
            </w:pPr>
            <w:r>
              <w:rPr>
                <w:rFonts w:ascii="Cambria" w:hAnsi="Cambria" w:cs="Cambria" w:eastAsia="Cambria"/>
                <w:color w:val="1A1A1A"/>
                <w:sz w:val="18"/>
              </w:rPr>
              <w:t xml:space="preserve">~ 312</w:t>
            </w:r>
          </w:p>
        </w:tc>
        <w:tc>
          <w:tcPr/>
          <w:p>
            <w:pPr>
              <w:pStyle w:val="Compact"/>
              <w:spacing w:after="40" w:before="40"/>
              <w:jc w:val="left"/>
            </w:pPr>
            <w:r>
              <w:rPr>
                <w:rFonts w:ascii="Cambria" w:hAnsi="Cambria" w:cs="Cambria" w:eastAsia="Cambria"/>
                <w:color w:val="1A1A1A"/>
                <w:sz w:val="18"/>
              </w:rPr>
              <w:t xml:space="preserve">+ 262</w:t>
            </w:r>
          </w:p>
        </w:tc>
        <w:tc>
          <w:tcPr/>
          <w:p>
            <w:pPr>
              <w:pStyle w:val="Compact"/>
              <w:spacing w:after="40" w:before="40"/>
              <w:jc w:val="left"/>
            </w:pPr>
            <w:r>
              <w:rPr>
                <w:rFonts w:ascii="Cambria" w:hAnsi="Cambria" w:cs="Cambria" w:eastAsia="Cambria"/>
                <w:color w:val="1A1A1A"/>
                <w:sz w:val="18"/>
              </w:rPr>
              <w:t xml:space="preserve">~ 6,2 : 1</w:t>
            </w:r>
          </w:p>
        </w:tc>
      </w:tr>
    </w:tbl>
    <w:p>
      <w:pPr>
        <w:pStyle w:val="BodyText"/>
      </w:pPr>
      <w:r>
        <w:rPr>
          <w:i/>
          <w:iCs/>
        </w:rPr>
        <w:t xml:space="preserve">Tabella 10. Saldo e ritorno per scenario (valori in milioni di euro l’anno). Il saldo è positivo in ogni scenario.</w:t>
      </w:r>
    </w:p>
    <w:bookmarkEnd w:id="2620"/>
    <w:bookmarkStart w:id="2621" w:name="sintesi-per-il-decisore"/>
    <w:p>
      <w:pPr>
        <w:pStyle w:val="Heading3"/>
      </w:pPr>
      <w:r>
        <w:t xml:space="preserve">14. Sintesi per il decisore</w:t>
      </w:r>
    </w:p>
    <w:p>
      <w:pPr>
        <w:pStyle w:val="FirstParagraph"/>
      </w:pPr>
      <w:r>
        <w:t xml:space="preserve">Tre conclusioni emergono con nettezza. In primo luogo, la Puglia ha già lo strumento legislativo — prima in Italia — ma lo finanzia a una scala che copre circa il 5% del fabbisogno: la decisione rilevante non è istituire il servizio, ma dimensionarlo. In secondo luogo, l’investimento si ripaga: in tutti gli scenari il saldo è positivo, con un ritorno dell’ordine di quattro-sei euro per ogni euro speso, e con un canale — la mobilità passiva recuperata — che in Puglia, regione in forte deficit di mobilità, ha un peso specifico che altrove non avrebbe. In terzo luogo, la misurazione è possibile sin da subito: il cruscotto di sintesi ancorato al BES e il piano di misurazione, affidati all’Osservatorio già previsto dalla legge, consentono di costituire la baseline nella fase sperimentale in corso e di documentare nel tempo l’effetto del servizio. La metodologia apicale fornisce la cornice che lega il bisogno, la misurazione e la decisione: dimostrare il ritorno dell’investimento è, per una regione storicamente vincolata sul piano della finanza sanitaria, la condizione per passare da una sperimentazione simbolica a un servizio a regime.</w:t>
      </w:r>
    </w:p>
    <w:p>
      <w:r>
        <w:br w:type="page"/>
      </w:r>
    </w:p>
    <w:bookmarkEnd w:id="2621"/>
    <w:bookmarkEnd w:id="2622"/>
    <w:bookmarkEnd w:id="2623"/>
    <w:bookmarkStart w:id="2630" w:name="Xc40ca01a7ccfb128afdf75811af086e0b9d751d"/>
    <w:p>
      <w:pPr>
        <w:pStyle w:val="Heading1"/>
      </w:pPr>
      <w:r>
        <w:t xml:space="preserve">Appendice XXVII — L’integrazione dell’Intelligenza Artificiale nel modello organizzativo: evidenze scientifiche, architettura formativa e quantificazione dei risparmi aggiuntivi</w:t>
      </w:r>
    </w:p>
    <w:bookmarkStart w:id="2629" w:name="X589ca0123c8b57bc4f44f5320610c973df1d7f9"/>
    <w:p>
      <w:pPr>
        <w:pStyle w:val="Heading3"/>
      </w:pPr>
      <w:r>
        <w:rPr>
          <w:b/>
          <w:bCs/>
        </w:rPr>
        <w:t xml:space="preserve">C.7 L’integrazione dell’Intelligenza Artificiale nel modello organizzativo: evidenze scientifiche, architettura formativa e quantificazione dei risparmi aggiuntivi</w:t>
      </w:r>
    </w:p>
    <w:p>
      <w:pPr>
        <w:pStyle w:val="FirstParagraph"/>
      </w:pPr>
      <w:r>
        <w:t xml:space="preserve">La formazione del personale sugli strumenti digitali e sull’Intelligenza Artificiale, delineata nel capitolo C.6, costituisce la premessa organizzativa della presente sezione, che ne sviluppa il contenuto scientifico, ne documenta l’evidenza di efficacia e ne quantifica il contributo economico incrementale rispetto al modello base. L’Intelligenza Artificiale non è l’oggetto centrale della riforma del Servizio di Psicologia di Base, bensì una delle leve che rendono la figura dello Psicologo di Base più funzionale ed efficace, accanto alle leve organizzative, di processo e formative. Il suo valore economico non è una proprietà degli strumenti in sé, ma una funzione della profondità con cui essi sono effettivamente adottati nella pratica quotidiana — e tale profondità è determinata dalla competenza diffusa nella squadra delle cure primarie. Le attività formative dedicate all’Intelligenza Artificiale sono pertanto considerate nel presente capitolo sia singolarmente, ciascuna con i propri costi, tempi e rendimenti, sia congiuntamente, come percorso integrato il cui rendimento complessivo eccede la somma delle parti.</w:t>
      </w:r>
    </w:p>
    <w:bookmarkStart w:id="2624" w:name="X4d030c73e407bc2af5f8bee7c27cdc6ecc09fdc"/>
    <w:p>
      <w:pPr>
        <w:pStyle w:val="Heading4"/>
      </w:pPr>
      <w:r>
        <w:rPr>
          <w:b/>
          <w:bCs/>
        </w:rPr>
        <w:t xml:space="preserve">C.7.1 Il contesto epidemiologico pugliese e il razionale dell’integrazione tecnologica</w:t>
      </w:r>
    </w:p>
    <w:p>
      <w:pPr>
        <w:pStyle w:val="FirstParagraph"/>
      </w:pPr>
      <w:r>
        <w:t xml:space="preserve">La Regione Puglia presenta un quadro epidemiologico di salute mentale che giustifica l’investimento in tecnologie abilitanti: 780.000 residenti — circa il 20 per cento della popolazione regionale di 3.877.395 abitanti — manifestano disagio psicologico sub-clinico o disturbi mentali comuni. Il sistema di salute mentale regionale gestisce annualmente 55.000 pazienti nei Dipartimenti di Salute Mentale, con 18.939 nuovi utenti e 18.753 accessi al Pronto Soccorso per problematiche psichiatriche registrati nel 2023. La spesa regionale per l’assistenza psichiatrica territoriale ammonta a 274,1 milioni di euro annui, di cui 134,3 milioni destinati a strutture residenziali e 117,2 milioni ad attività ambulatoriali e domiciliari. L’introduzione di 500–900 Psicologi di Base integrati con i 3.100 Medici di Medicina Generale e i 450 Pediatri di Libera Scelta presuppone strumenti che ne moltiplichino la capacità operativa senza richiedere incrementi proporzionali dell’organico: è in questo spazio che l’Intelligenza Artificiale opera come leva abilitante.</w:t>
      </w:r>
    </w:p>
    <w:bookmarkEnd w:id="2624"/>
    <w:bookmarkStart w:id="2625" w:name="X5e18080e9da5bafd05c84ce83391627763a6e59"/>
    <w:p>
      <w:pPr>
        <w:pStyle w:val="Heading4"/>
      </w:pPr>
      <w:r>
        <w:rPr>
          <w:b/>
          <w:bCs/>
        </w:rPr>
        <w:t xml:space="preserve">C.7.2 Le evidenze scientifiche sull’efficacia dell’Intelligenza Artificiale in salute mentale</w:t>
      </w:r>
    </w:p>
    <w:p>
      <w:pPr>
        <w:pStyle w:val="FirstParagraph"/>
      </w:pPr>
      <w:r>
        <w:t xml:space="preserve">La letteratura scientifica recente documenta progressi significativi nell’applicazione dell’intelligenza artificiale allo screening e alla diagnosi dei disturbi mentali. La meta-analisi di Wang e collaboratori (2025), pubblicata su npj Digital Medicine, analizza i metodi multi-modali per lo screening della depressione e riporta un AUC pooled di 0,95 (intervallo di confidenza al 95%: 0,92–0,96) per sistemi che combinano EEG, tracciamento oculare, analisi video/audio e pattern di movimento; i modelli di deep learning raggiungono un AUC di 0,95 (IC 95%: 0,93–0,97). Lo studio di Abd-Alrazaq e collaboratori (2023), anch’esso su npj Digital Medicine, ha condotto una revisione sistematica di 54 studi sull’utilizzo di dispositivi wearable per la rilevazione della depressione, documentando un’accuratezza pooled di 0,89, con sensibilità di 0,87 e specificità di 0,93 per la detection della depressione attraverso actigrafia, variabilità cardiaca e sensori smartphone. Per la predizione del rischio suicidario, la meta-analisi di Bernert e collaboratori (2020) su 87 studi riporta accuratezze di classificazione superiori al 90 per cento in numerosi studi, con AUC comprese tra 0,604 e 0,947; gli algoritmi Random Forest raggiungono l’accuratezza più elevata (0,94). Queste evidenze, pur promettenti, vanno graduate con rigore: l’accuratezza in contesti sperimentali differisce dall’accuratezza in pratica corrente, e la validazione locale — requisito imposto dall’AI Act europeo per i dispositivi ad alto rischio — è condizione necessaria all’impiego clinico.</w:t>
      </w:r>
    </w:p>
    <w:p>
      <w:pPr>
        <w:pStyle w:val="BodyText"/>
      </w:pPr>
      <w:r>
        <w:t xml:space="preserve">La meta-analisi landmark di Li e collaboratori (2023), pubblicata su npj Digital Medicine e basata su 35 studi e 17.123 partecipanti, documenta l’efficacia degli agenti conversazionali basati su Intelligenza Artificiale nella promozione della salute mentale: Hedge’s g di 0,64 (IC 0,17–1,12) sulla depressione e di 0,70 (IC 0,18–1,22) sul distress psicologico, con significatività statistica, mentre il benessere non raggiunge la soglia (g=0,32; IC −0,13 a 0,78). Il primo studio randomizzato controllato con chatbot generativo (Therabot), pubblicato da Heinz e collaboratori (2025) su NEJM AI, su 210 adulti con sintomatologia clinicamente significativa, riporta effect size di d=0,845 per il disturbo d’ansia generalizzata e d=1,072 per la depressione maggiore. Questi risultati appartengono a una classe di applicazioni di maturità intermedia: gli effect size sono robusti ma le sperimentazioni sono ancora limitate, il confronto con la terapia in presenza non è sistematicamente documentato, e la trasferibilità al contesto pugliese richiede prudenza e validazione locale.</w:t>
      </w:r>
    </w:p>
    <w:p>
      <w:pPr>
        <w:pStyle w:val="BodyText"/>
      </w:pPr>
      <w:r>
        <w:t xml:space="preserve">Tabella C.5. Sintesi dell’evidenza sull’efficacia dell’Intelligenza Artificiale in salute mentale per applicazione.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980"/>
        <w:gridCol w:w="1980"/>
        <w:gridCol w:w="1980"/>
        <w:gridCol w:w="198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Studio/fonte principale</w:t>
            </w:r>
          </w:p>
        </w:tc>
        <w:tc>
          <w:tcPr>
            <w:shd w:val="clear" w:color="auto" w:fill="16264B"/>
          </w:tcPr>
          <w:p>
            <w:pPr>
              <w:pStyle w:val="Compact"/>
              <w:spacing w:after="40" w:before="40"/>
              <w:jc w:val="left"/>
            </w:pPr>
            <w:r>
              <w:rPr>
                <w:rFonts w:ascii="Cambria" w:hAnsi="Cambria" w:cs="Cambria" w:eastAsia="Cambria"/>
                <w:b/>
                <w:bCs/>
                <w:color w:val="FFFFFF"/>
                <w:sz w:val="18"/>
              </w:rPr>
              <w:t xml:space="preserve">Metrica di accuratezza/efficacia</w:t>
            </w:r>
          </w:p>
        </w:tc>
        <w:tc>
          <w:tcPr>
            <w:shd w:val="clear" w:color="auto" w:fill="16264B"/>
          </w:tcPr>
          <w:p>
            <w:pPr>
              <w:pStyle w:val="Compact"/>
              <w:spacing w:after="40" w:before="40"/>
              <w:jc w:val="left"/>
            </w:pPr>
            <w:r>
              <w:rPr>
                <w:rFonts w:ascii="Cambria" w:hAnsi="Cambria" w:cs="Cambria" w:eastAsia="Cambria"/>
                <w:b/>
                <w:bCs/>
                <w:color w:val="FFFFFF"/>
                <w:sz w:val="18"/>
              </w:rPr>
              <w:t xml:space="preserve">Grado di maturità (GRADE)</w:t>
            </w:r>
          </w:p>
        </w:tc>
      </w:tr>
      <w:tr>
        <w:tc>
          <w:tcPr/>
          <w:p>
            <w:pPr>
              <w:pStyle w:val="Compact"/>
              <w:spacing w:after="40" w:before="40"/>
              <w:jc w:val="left"/>
            </w:pPr>
            <w:r>
              <w:rPr>
                <w:rFonts w:ascii="Cambria" w:hAnsi="Cambria" w:cs="Cambria" w:eastAsia="Cambria"/>
                <w:color w:val="1A1A1A"/>
                <w:sz w:val="18"/>
              </w:rPr>
              <w:t xml:space="preserve">Screening multi-modale della depressione</w:t>
            </w:r>
          </w:p>
        </w:tc>
        <w:tc>
          <w:tcPr/>
          <w:p>
            <w:pPr>
              <w:pStyle w:val="Compact"/>
              <w:spacing w:after="40" w:before="40"/>
              <w:jc w:val="left"/>
            </w:pPr>
            <w:r>
              <w:rPr>
                <w:rFonts w:ascii="Cambria" w:hAnsi="Cambria" w:cs="Cambria" w:eastAsia="Cambria"/>
                <w:color w:val="1A1A1A"/>
                <w:sz w:val="18"/>
              </w:rPr>
              <w:t xml:space="preserve">Wang et al. (2025), npj Digital Medicine</w:t>
            </w:r>
          </w:p>
        </w:tc>
        <w:tc>
          <w:tcPr/>
          <w:p>
            <w:pPr>
              <w:pStyle w:val="Compact"/>
              <w:spacing w:after="40" w:before="40"/>
              <w:jc w:val="left"/>
            </w:pPr>
            <w:r>
              <w:rPr>
                <w:rFonts w:ascii="Cambria" w:hAnsi="Cambria" w:cs="Cambria" w:eastAsia="Cambria"/>
                <w:color w:val="1A1A1A"/>
                <w:sz w:val="18"/>
              </w:rPr>
              <w:t xml:space="preserve">AUC pooled 0,95 (IC 0,92–0,96)</w:t>
            </w:r>
          </w:p>
        </w:tc>
        <w:tc>
          <w:tcPr/>
          <w:p>
            <w:pPr>
              <w:pStyle w:val="Compact"/>
              <w:spacing w:after="40" w:before="40"/>
              <w:jc w:val="left"/>
            </w:pPr>
            <w:r>
              <w:rPr>
                <w:rFonts w:ascii="Cambria" w:hAnsi="Cambria" w:cs="Cambria" w:eastAsia="Cambria"/>
                <w:color w:val="1A1A1A"/>
                <w:sz w:val="18"/>
              </w:rPr>
              <w:t xml:space="preserve">Moderato: robusto in sperimentazione, validazione pratica necessaria</w:t>
            </w:r>
          </w:p>
        </w:tc>
      </w:tr>
      <w:tr>
        <w:tc>
          <w:tcPr>
            <w:shd w:val="clear" w:color="auto" w:fill="F4F1EC"/>
          </w:tcPr>
          <w:p>
            <w:pPr>
              <w:pStyle w:val="Compact"/>
              <w:spacing w:after="40" w:before="40"/>
              <w:jc w:val="left"/>
            </w:pPr>
            <w:r>
              <w:rPr>
                <w:rFonts w:ascii="Cambria" w:hAnsi="Cambria" w:cs="Cambria" w:eastAsia="Cambria"/>
                <w:color w:val="1A1A1A"/>
                <w:sz w:val="18"/>
              </w:rPr>
              <w:t xml:space="preserve">Detection della depressione con wearable</w:t>
            </w:r>
          </w:p>
        </w:tc>
        <w:tc>
          <w:tcPr>
            <w:shd w:val="clear" w:color="auto" w:fill="F4F1EC"/>
          </w:tcPr>
          <w:p>
            <w:pPr>
              <w:pStyle w:val="Compact"/>
              <w:spacing w:after="40" w:before="40"/>
              <w:jc w:val="left"/>
            </w:pPr>
            <w:r>
              <w:rPr>
                <w:rFonts w:ascii="Cambria" w:hAnsi="Cambria" w:cs="Cambria" w:eastAsia="Cambria"/>
                <w:color w:val="1A1A1A"/>
                <w:sz w:val="18"/>
              </w:rPr>
              <w:t xml:space="preserve">Abd-Alrazaq et al. (2023), npj Digital Medicine</w:t>
            </w:r>
          </w:p>
        </w:tc>
        <w:tc>
          <w:tcPr>
            <w:shd w:val="clear" w:color="auto" w:fill="F4F1EC"/>
          </w:tcPr>
          <w:p>
            <w:pPr>
              <w:pStyle w:val="Compact"/>
              <w:spacing w:after="40" w:before="40"/>
              <w:jc w:val="left"/>
            </w:pPr>
            <w:r>
              <w:rPr>
                <w:rFonts w:ascii="Cambria" w:hAnsi="Cambria" w:cs="Cambria" w:eastAsia="Cambria"/>
                <w:color w:val="1A1A1A"/>
                <w:sz w:val="18"/>
              </w:rPr>
              <w:t xml:space="preserve">Accuratezza pooled 0,89; sensibilità 0,87; specificità 0,93</w:t>
            </w:r>
          </w:p>
        </w:tc>
        <w:tc>
          <w:tcPr>
            <w:shd w:val="clear" w:color="auto" w:fill="F4F1EC"/>
          </w:tcPr>
          <w:p>
            <w:pPr>
              <w:pStyle w:val="Compact"/>
              <w:spacing w:after="40" w:before="40"/>
              <w:jc w:val="left"/>
            </w:pPr>
            <w:r>
              <w:rPr>
                <w:rFonts w:ascii="Cambria" w:hAnsi="Cambria" w:cs="Cambria" w:eastAsia="Cambria"/>
                <w:color w:val="1A1A1A"/>
                <w:sz w:val="18"/>
              </w:rPr>
              <w:t xml:space="preserve">Moderato: promettente, dipende dall’aderenza all’indossabile</w:t>
            </w:r>
          </w:p>
        </w:tc>
      </w:tr>
      <w:tr>
        <w:tc>
          <w:tcPr/>
          <w:p>
            <w:pPr>
              <w:pStyle w:val="Compact"/>
              <w:spacing w:after="40" w:before="40"/>
              <w:jc w:val="left"/>
            </w:pPr>
            <w:r>
              <w:rPr>
                <w:rFonts w:ascii="Cambria" w:hAnsi="Cambria" w:cs="Cambria" w:eastAsia="Cambria"/>
                <w:color w:val="1A1A1A"/>
                <w:sz w:val="18"/>
              </w:rPr>
              <w:t xml:space="preserve">Predizione rischio suicidario</w:t>
            </w:r>
          </w:p>
        </w:tc>
        <w:tc>
          <w:tcPr/>
          <w:p>
            <w:pPr>
              <w:pStyle w:val="Compact"/>
              <w:spacing w:after="40" w:before="40"/>
              <w:jc w:val="left"/>
            </w:pPr>
            <w:r>
              <w:rPr>
                <w:rFonts w:ascii="Cambria" w:hAnsi="Cambria" w:cs="Cambria" w:eastAsia="Cambria"/>
                <w:color w:val="1A1A1A"/>
                <w:sz w:val="18"/>
              </w:rPr>
              <w:t xml:space="preserve">Bernert et al. (2020), 87 studi</w:t>
            </w:r>
          </w:p>
        </w:tc>
        <w:tc>
          <w:tcPr/>
          <w:p>
            <w:pPr>
              <w:pStyle w:val="Compact"/>
              <w:spacing w:after="40" w:before="40"/>
              <w:jc w:val="left"/>
            </w:pPr>
            <w:r>
              <w:rPr>
                <w:rFonts w:ascii="Cambria" w:hAnsi="Cambria" w:cs="Cambria" w:eastAsia="Cambria"/>
                <w:color w:val="1A1A1A"/>
                <w:sz w:val="18"/>
              </w:rPr>
              <w:t xml:space="preserve">AUC 0,604–0,947; Random Forest: 0,94</w:t>
            </w:r>
          </w:p>
        </w:tc>
        <w:tc>
          <w:tcPr/>
          <w:p>
            <w:pPr>
              <w:pStyle w:val="Compact"/>
              <w:spacing w:after="40" w:before="40"/>
              <w:jc w:val="left"/>
            </w:pPr>
            <w:r>
              <w:rPr>
                <w:rFonts w:ascii="Cambria" w:hAnsi="Cambria" w:cs="Cambria" w:eastAsia="Cambria"/>
                <w:color w:val="1A1A1A"/>
                <w:sz w:val="18"/>
              </w:rPr>
              <w:t xml:space="preserve">Basso-Moderato: alta variabilità tra studi; clinicamente sensibile</w:t>
            </w:r>
          </w:p>
        </w:tc>
      </w:tr>
      <w:tr>
        <w:tc>
          <w:tcPr>
            <w:shd w:val="clear" w:color="auto" w:fill="F4F1EC"/>
          </w:tcPr>
          <w:p>
            <w:pPr>
              <w:pStyle w:val="Compact"/>
              <w:spacing w:after="40" w:before="40"/>
              <w:jc w:val="left"/>
            </w:pPr>
            <w:r>
              <w:rPr>
                <w:rFonts w:ascii="Cambria" w:hAnsi="Cambria" w:cs="Cambria" w:eastAsia="Cambria"/>
                <w:color w:val="1A1A1A"/>
                <w:sz w:val="18"/>
              </w:rPr>
              <w:t xml:space="preserve">Chatbot terapeutico (LLM-based)</w:t>
            </w:r>
          </w:p>
        </w:tc>
        <w:tc>
          <w:tcPr>
            <w:shd w:val="clear" w:color="auto" w:fill="F4F1EC"/>
          </w:tcPr>
          <w:p>
            <w:pPr>
              <w:pStyle w:val="Compact"/>
              <w:spacing w:after="40" w:before="40"/>
              <w:jc w:val="left"/>
            </w:pPr>
            <w:r>
              <w:rPr>
                <w:rFonts w:ascii="Cambria" w:hAnsi="Cambria" w:cs="Cambria" w:eastAsia="Cambria"/>
                <w:color w:val="1A1A1A"/>
                <w:sz w:val="18"/>
              </w:rPr>
              <w:t xml:space="preserve">Heinz et al. (2025), NEJM AI; Li et al. (2023)</w:t>
            </w:r>
          </w:p>
        </w:tc>
        <w:tc>
          <w:tcPr>
            <w:shd w:val="clear" w:color="auto" w:fill="F4F1EC"/>
          </w:tcPr>
          <w:p>
            <w:pPr>
              <w:pStyle w:val="Compact"/>
              <w:spacing w:after="40" w:before="40"/>
              <w:jc w:val="left"/>
            </w:pPr>
            <w:r>
              <w:rPr>
                <w:rFonts w:ascii="Cambria" w:hAnsi="Cambria" w:cs="Cambria" w:eastAsia="Cambria"/>
                <w:color w:val="1A1A1A"/>
                <w:sz w:val="18"/>
              </w:rPr>
              <w:t xml:space="preserve">d=0,845 (ansia); d=1,072 (depressione); g=0,64 (depressione, Li)</w:t>
            </w:r>
          </w:p>
        </w:tc>
        <w:tc>
          <w:tcPr>
            <w:shd w:val="clear" w:color="auto" w:fill="F4F1EC"/>
          </w:tcPr>
          <w:p>
            <w:pPr>
              <w:pStyle w:val="Compact"/>
              <w:spacing w:after="40" w:before="40"/>
              <w:jc w:val="left"/>
            </w:pPr>
            <w:r>
              <w:rPr>
                <w:rFonts w:ascii="Cambria" w:hAnsi="Cambria" w:cs="Cambria" w:eastAsia="Cambria"/>
                <w:color w:val="1A1A1A"/>
                <w:sz w:val="18"/>
              </w:rPr>
              <w:t xml:space="preserve">Moderato: efficace ma sperimentazioni ancora limitate</w:t>
            </w:r>
          </w:p>
        </w:tc>
      </w:tr>
      <w:tr>
        <w:tc>
          <w:tcPr/>
          <w:p>
            <w:pPr>
              <w:pStyle w:val="Compact"/>
              <w:spacing w:after="40" w:before="40"/>
              <w:jc w:val="left"/>
            </w:pPr>
            <w:r>
              <w:rPr>
                <w:rFonts w:ascii="Cambria" w:hAnsi="Cambria" w:cs="Cambria" w:eastAsia="Cambria"/>
                <w:color w:val="1A1A1A"/>
                <w:sz w:val="18"/>
              </w:rPr>
              <w:t xml:space="preserve">Supporto decisionale clinico</w:t>
            </w:r>
          </w:p>
        </w:tc>
        <w:tc>
          <w:tcPr/>
          <w:p>
            <w:pPr>
              <w:pStyle w:val="Compact"/>
              <w:spacing w:after="40" w:before="40"/>
              <w:jc w:val="left"/>
            </w:pPr>
            <w:r>
              <w:rPr>
                <w:rFonts w:ascii="Cambria" w:hAnsi="Cambria" w:cs="Cambria" w:eastAsia="Cambria"/>
                <w:color w:val="1A1A1A"/>
                <w:sz w:val="18"/>
              </w:rPr>
              <w:t xml:space="preserve">Studi real-world su sistemi DSS in cure primarie</w:t>
            </w:r>
          </w:p>
        </w:tc>
        <w:tc>
          <w:tcPr/>
          <w:p>
            <w:pPr>
              <w:pStyle w:val="Compact"/>
              <w:spacing w:after="40" w:before="40"/>
              <w:jc w:val="left"/>
            </w:pPr>
            <w:r>
              <w:rPr>
                <w:rFonts w:ascii="Cambria" w:hAnsi="Cambria" w:cs="Cambria" w:eastAsia="Cambria"/>
                <w:color w:val="1A1A1A"/>
                <w:sz w:val="18"/>
              </w:rPr>
              <w:t xml:space="preserve">Riduzione errori diagnostici ~16% (studi real-world)</w:t>
            </w:r>
          </w:p>
        </w:tc>
        <w:tc>
          <w:tcPr/>
          <w:p>
            <w:pPr>
              <w:pStyle w:val="Compact"/>
              <w:spacing w:after="40" w:before="40"/>
              <w:jc w:val="left"/>
            </w:pPr>
            <w:r>
              <w:rPr>
                <w:rFonts w:ascii="Cambria" w:hAnsi="Cambria" w:cs="Cambria" w:eastAsia="Cambria"/>
                <w:color w:val="1A1A1A"/>
                <w:sz w:val="18"/>
              </w:rPr>
              <w:t xml:space="preserve">Basso: evidenza promettente, non ancora sistematizzata in RCT</w:t>
            </w:r>
          </w:p>
        </w:tc>
      </w:tr>
      <w:tr>
        <w:tc>
          <w:tcPr>
            <w:shd w:val="clear" w:color="auto" w:fill="F4F1EC"/>
          </w:tcPr>
          <w:p>
            <w:pPr>
              <w:pStyle w:val="Compact"/>
              <w:spacing w:after="40" w:before="40"/>
              <w:jc w:val="left"/>
            </w:pPr>
            <w:r>
              <w:rPr>
                <w:rFonts w:ascii="Cambria" w:hAnsi="Cambria" w:cs="Cambria" w:eastAsia="Cambria"/>
                <w:color w:val="1A1A1A"/>
                <w:sz w:val="18"/>
              </w:rPr>
              <w:t xml:space="preserve">Automazione documentazione clinica</w:t>
            </w:r>
          </w:p>
        </w:tc>
        <w:tc>
          <w:tcPr>
            <w:shd w:val="clear" w:color="auto" w:fill="F4F1EC"/>
          </w:tcPr>
          <w:p>
            <w:pPr>
              <w:pStyle w:val="Compact"/>
              <w:spacing w:after="40" w:before="40"/>
              <w:jc w:val="left"/>
            </w:pPr>
            <w:r>
              <w:rPr>
                <w:rFonts w:ascii="Cambria" w:hAnsi="Cambria" w:cs="Cambria" w:eastAsia="Cambria"/>
                <w:color w:val="1A1A1A"/>
                <w:sz w:val="18"/>
              </w:rPr>
              <w:t xml:space="preserve">Studi NHS Talking Therapies 2024–25</w:t>
            </w:r>
          </w:p>
        </w:tc>
        <w:tc>
          <w:tcPr>
            <w:shd w:val="clear" w:color="auto" w:fill="F4F1EC"/>
          </w:tcPr>
          <w:p>
            <w:pPr>
              <w:pStyle w:val="Compact"/>
              <w:spacing w:after="40" w:before="40"/>
              <w:jc w:val="left"/>
            </w:pPr>
            <w:r>
              <w:rPr>
                <w:rFonts w:ascii="Cambria" w:hAnsi="Cambria" w:cs="Cambria" w:eastAsia="Cambria"/>
                <w:color w:val="1A1A1A"/>
                <w:sz w:val="18"/>
              </w:rPr>
              <w:t xml:space="preserve">Risparmio medio 40 min/operatore/giorno (sistema britannico)</w:t>
            </w:r>
          </w:p>
        </w:tc>
        <w:tc>
          <w:tcPr>
            <w:shd w:val="clear" w:color="auto" w:fill="F4F1EC"/>
          </w:tcPr>
          <w:p>
            <w:pPr>
              <w:pStyle w:val="Compact"/>
              <w:spacing w:after="40" w:before="40"/>
              <w:jc w:val="left"/>
            </w:pPr>
            <w:r>
              <w:rPr>
                <w:rFonts w:ascii="Cambria" w:hAnsi="Cambria" w:cs="Cambria" w:eastAsia="Cambria"/>
                <w:color w:val="1A1A1A"/>
                <w:sz w:val="18"/>
              </w:rPr>
              <w:t xml:space="preserve">Moderato: confermato su scala; contestualizzazione locale necessaria</w:t>
            </w:r>
          </w:p>
        </w:tc>
      </w:tr>
      <w:tr>
        <w:tc>
          <w:tcPr/>
          <w:p>
            <w:pPr>
              <w:pStyle w:val="Compact"/>
              <w:spacing w:after="40" w:before="40"/>
              <w:jc w:val="left"/>
            </w:pPr>
            <w:r>
              <w:rPr>
                <w:rFonts w:ascii="Cambria" w:hAnsi="Cambria" w:cs="Cambria" w:eastAsia="Cambria"/>
                <w:color w:val="1A1A1A"/>
                <w:sz w:val="18"/>
              </w:rPr>
              <w:t xml:space="preserve">Terapia digitale CBT su prescrizione (iCBT)</w:t>
            </w:r>
          </w:p>
        </w:tc>
        <w:tc>
          <w:tcPr/>
          <w:p>
            <w:pPr>
              <w:pStyle w:val="Compact"/>
              <w:spacing w:after="40" w:before="40"/>
              <w:jc w:val="left"/>
            </w:pPr>
            <w:r>
              <w:rPr>
                <w:rFonts w:ascii="Cambria" w:hAnsi="Cambria" w:cs="Cambria" w:eastAsia="Cambria"/>
                <w:color w:val="1A1A1A"/>
                <w:sz w:val="18"/>
              </w:rPr>
              <w:t xml:space="preserve">NHS Talking Therapies; Titov et al. (2018)</w:t>
            </w:r>
          </w:p>
        </w:tc>
        <w:tc>
          <w:tcPr/>
          <w:p>
            <w:pPr>
              <w:pStyle w:val="Compact"/>
              <w:spacing w:after="40" w:before="40"/>
              <w:jc w:val="left"/>
            </w:pPr>
            <w:r>
              <w:rPr>
                <w:rFonts w:ascii="Cambria" w:hAnsi="Cambria" w:cs="Cambria" w:eastAsia="Cambria"/>
                <w:color w:val="1A1A1A"/>
                <w:sz w:val="18"/>
              </w:rPr>
              <w:t xml:space="preserve">Recupero 55%; riduzione PHQ-9 −2,75 (IC −4,00; −1,50)</w:t>
            </w:r>
          </w:p>
        </w:tc>
        <w:tc>
          <w:tcPr/>
          <w:p>
            <w:pPr>
              <w:pStyle w:val="Compact"/>
              <w:spacing w:after="40" w:before="40"/>
              <w:jc w:val="left"/>
            </w:pPr>
            <w:r>
              <w:rPr>
                <w:rFonts w:ascii="Cambria" w:hAnsi="Cambria" w:cs="Cambria" w:eastAsia="Cambria"/>
                <w:color w:val="1A1A1A"/>
                <w:sz w:val="18"/>
              </w:rPr>
              <w:t xml:space="preserve">Alto: evidence base consolidata su scala nazionale</w:t>
            </w:r>
          </w:p>
        </w:tc>
      </w:tr>
      <w:tr>
        <w:tc>
          <w:tcPr>
            <w:shd w:val="clear" w:color="auto" w:fill="F4F1EC"/>
          </w:tcPr>
          <w:p>
            <w:pPr>
              <w:pStyle w:val="Compact"/>
              <w:spacing w:after="40" w:before="40"/>
              <w:jc w:val="left"/>
            </w:pPr>
            <w:r>
              <w:rPr>
                <w:rFonts w:ascii="Cambria" w:hAnsi="Cambria" w:cs="Cambria" w:eastAsia="Cambria"/>
                <w:color w:val="1A1A1A"/>
                <w:sz w:val="18"/>
              </w:rPr>
              <w:t xml:space="preserve">Monitoraggio remoto e prevenzione ricadute</w:t>
            </w:r>
          </w:p>
        </w:tc>
        <w:tc>
          <w:tcPr>
            <w:shd w:val="clear" w:color="auto" w:fill="F4F1EC"/>
          </w:tcPr>
          <w:p>
            <w:pPr>
              <w:pStyle w:val="Compact"/>
              <w:spacing w:after="40" w:before="40"/>
              <w:jc w:val="left"/>
            </w:pPr>
            <w:r>
              <w:rPr>
                <w:rFonts w:ascii="Cambria" w:hAnsi="Cambria" w:cs="Cambria" w:eastAsia="Cambria"/>
                <w:color w:val="1A1A1A"/>
                <w:sz w:val="18"/>
              </w:rPr>
              <w:t xml:space="preserve">Bauer et al. (2018); Studi VR-terapia</w:t>
            </w:r>
          </w:p>
        </w:tc>
        <w:tc>
          <w:tcPr>
            <w:shd w:val="clear" w:color="auto" w:fill="F4F1EC"/>
          </w:tcPr>
          <w:p>
            <w:pPr>
              <w:pStyle w:val="Compact"/>
              <w:spacing w:after="40" w:before="40"/>
              <w:jc w:val="left"/>
            </w:pPr>
            <w:r>
              <w:rPr>
                <w:rFonts w:ascii="Cambria" w:hAnsi="Cambria" w:cs="Cambria" w:eastAsia="Cambria"/>
                <w:color w:val="1A1A1A"/>
                <w:sz w:val="18"/>
              </w:rPr>
              <w:t xml:space="preserve">Riduzione ricadute 15–30% in popolazioni selezionate</w:t>
            </w:r>
          </w:p>
        </w:tc>
        <w:tc>
          <w:tcPr>
            <w:shd w:val="clear" w:color="auto" w:fill="F4F1EC"/>
          </w:tcPr>
          <w:p>
            <w:pPr>
              <w:pStyle w:val="Compact"/>
              <w:spacing w:after="40" w:before="40"/>
              <w:jc w:val="left"/>
            </w:pPr>
            <w:r>
              <w:rPr>
                <w:rFonts w:ascii="Cambria" w:hAnsi="Cambria" w:cs="Cambria" w:eastAsia="Cambria"/>
                <w:color w:val="1A1A1A"/>
                <w:sz w:val="18"/>
              </w:rPr>
              <w:t xml:space="preserve">Basso-Moderato: promettente, limiti di campione e follow-up</w:t>
            </w:r>
          </w:p>
        </w:tc>
      </w:tr>
    </w:tbl>
    <w:bookmarkEnd w:id="2625"/>
    <w:bookmarkStart w:id="2626" w:name="Xaba0144c694b9b44e930b64f5d8f54b53cc3c4c"/>
    <w:p>
      <w:pPr>
        <w:pStyle w:val="Heading4"/>
      </w:pPr>
      <w:r>
        <w:rPr>
          <w:b/>
          <w:bCs/>
        </w:rPr>
        <w:t xml:space="preserve">C.7.3 L’architettura formativa per l’integrazione dell’Intelligenza Artificiale: quattro livelli e la loro combinazione</w:t>
      </w:r>
    </w:p>
    <w:p>
      <w:pPr>
        <w:pStyle w:val="FirstParagraph"/>
      </w:pPr>
      <w:r>
        <w:t xml:space="preserve">La formazione agli strumenti di Intelligenza Artificiale non può essere ridotta a un modulo aggiuntivo, né considerata separatamente dalla formazione clinica e organizzativa. Il fabbisogno formativo integrale comprende competenze cliniche (valutazione psicologica con strumenti standardizzati, percorsi di cura per intensità, gestione del rischio), organizzative (lavoro in équipe, gestione dei flussi, coordinamento con la medicina generale), relazionali (comunicazione con il paziente, supervisione, lavoro interdisciplinare) e digitali pro-Intelligenza Artificiale (selezione degli strumenti, valutazione critica delle evidenze, conformità normativa, interpretazione degli output algoritmici, gestione dei dati). Le quattro modalità formative identificate — universitaria, post-universitaria, lavorativa e per affiancamento di figure esperte — sono valutate sia singolarmente, ciascuna con propri costi, tempi e rendimenti, sia congiuntamente come percorso integrato.</w:t>
      </w:r>
    </w:p>
    <w:p>
      <w:pPr>
        <w:pStyle w:val="BodyText"/>
      </w:pPr>
      <w:r>
        <w:t xml:space="preserve">Tabella C.6. L’architettura formativa pro-Intelligenza Artificiale: quattro modalità, valutate singolarmente e in combinazione.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131"/>
        <w:gridCol w:w="1131"/>
        <w:gridCol w:w="1131"/>
        <w:gridCol w:w="1131"/>
        <w:gridCol w:w="1131"/>
        <w:gridCol w:w="1131"/>
        <w:gridCol w:w="1131"/>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IA</w:t>
            </w:r>
          </w:p>
        </w:tc>
        <w:tc>
          <w:tcPr>
            <w:shd w:val="clear" w:color="auto" w:fill="16264B"/>
          </w:tcPr>
          <w:p>
            <w:pPr>
              <w:pStyle w:val="Compact"/>
              <w:spacing w:after="40" w:before="40"/>
              <w:jc w:val="left"/>
            </w:pPr>
            <w:r>
              <w:rPr>
                <w:rFonts w:ascii="Cambria" w:hAnsi="Cambria" w:cs="Cambria" w:eastAsia="Cambria"/>
                <w:b/>
                <w:bCs/>
                <w:color w:val="FFFFFF"/>
                <w:sz w:val="18"/>
              </w:rPr>
              <w:t xml:space="preserve">Target</w:t>
            </w:r>
          </w:p>
        </w:tc>
        <w:tc>
          <w:tcPr>
            <w:shd w:val="clear" w:color="auto" w:fill="16264B"/>
          </w:tcPr>
          <w:p>
            <w:pPr>
              <w:pStyle w:val="Compact"/>
              <w:spacing w:after="40" w:before="40"/>
              <w:jc w:val="left"/>
            </w:pPr>
            <w:r>
              <w:rPr>
                <w:rFonts w:ascii="Cambria" w:hAnsi="Cambria" w:cs="Cambria" w:eastAsia="Cambria"/>
                <w:b/>
                <w:bCs/>
                <w:color w:val="FFFFFF"/>
                <w:sz w:val="18"/>
              </w:rPr>
              <w:t xml:space="preserve">Durata</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stimato (€/persona)</w:t>
            </w:r>
          </w:p>
        </w:tc>
        <w:tc>
          <w:tcPr>
            <w:shd w:val="clear" w:color="auto" w:fill="16264B"/>
          </w:tcPr>
          <w:p>
            <w:pPr>
              <w:pStyle w:val="Compact"/>
              <w:spacing w:after="40" w:before="40"/>
              <w:jc w:val="left"/>
            </w:pPr>
            <w:r>
              <w:rPr>
                <w:rFonts w:ascii="Cambria" w:hAnsi="Cambria" w:cs="Cambria" w:eastAsia="Cambria"/>
                <w:b/>
                <w:bCs/>
                <w:color w:val="FFFFFF"/>
                <w:sz w:val="18"/>
              </w:rPr>
              <w:t xml:space="preserve">Rendimento (Kirkpatrick, 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ROI formativo (Phillips)</w:t>
            </w:r>
          </w:p>
        </w:tc>
      </w:tr>
      <w:tr>
        <w:tc>
          <w:tcPr/>
          <w:p>
            <w:pPr>
              <w:pStyle w:val="Compact"/>
              <w:spacing w:after="40" w:before="40"/>
              <w:jc w:val="left"/>
            </w:pPr>
            <w:r>
              <w:rPr>
                <w:rFonts w:ascii="Cambria" w:hAnsi="Cambria" w:cs="Cambria" w:eastAsia="Cambria"/>
                <w:color w:val="1A1A1A"/>
                <w:sz w:val="18"/>
              </w:rPr>
              <w:t xml:space="preserve">1. Universitaria</w:t>
            </w:r>
          </w:p>
        </w:tc>
        <w:tc>
          <w:tcPr/>
          <w:p>
            <w:pPr>
              <w:pStyle w:val="Compact"/>
              <w:spacing w:after="40" w:before="40"/>
              <w:jc w:val="left"/>
            </w:pPr>
            <w:r>
              <w:rPr>
                <w:rFonts w:ascii="Cambria" w:hAnsi="Cambria" w:cs="Cambria" w:eastAsia="Cambria"/>
                <w:color w:val="1A1A1A"/>
                <w:sz w:val="18"/>
              </w:rPr>
              <w:t xml:space="preserve">Integrazione IA nel curriculum di psicologia clinica; tirocini con strumenti validati</w:t>
            </w:r>
          </w:p>
        </w:tc>
        <w:tc>
          <w:tcPr/>
          <w:p>
            <w:pPr>
              <w:pStyle w:val="Compact"/>
              <w:spacing w:after="40" w:before="40"/>
              <w:jc w:val="left"/>
            </w:pPr>
            <w:r>
              <w:rPr>
                <w:rFonts w:ascii="Cambria" w:hAnsi="Cambria" w:cs="Cambria" w:eastAsia="Cambria"/>
                <w:color w:val="1A1A1A"/>
                <w:sz w:val="18"/>
              </w:rPr>
              <w:t xml:space="preserve">Laureandi e neolaureati</w:t>
            </w:r>
          </w:p>
        </w:tc>
        <w:tc>
          <w:tcPr/>
          <w:p>
            <w:pPr>
              <w:pStyle w:val="Compact"/>
              <w:spacing w:after="40" w:before="40"/>
              <w:jc w:val="left"/>
            </w:pPr>
            <w:r>
              <w:rPr>
                <w:rFonts w:ascii="Cambria" w:hAnsi="Cambria" w:cs="Cambria" w:eastAsia="Cambria"/>
                <w:color w:val="1A1A1A"/>
                <w:sz w:val="18"/>
              </w:rPr>
              <w:t xml:space="preserve">36–48 mesi (integrata nel percorso)</w:t>
            </w:r>
          </w:p>
        </w:tc>
        <w:tc>
          <w:tcPr/>
          <w:p>
            <w:pPr>
              <w:pStyle w:val="Compact"/>
              <w:spacing w:after="40" w:before="40"/>
              <w:jc w:val="left"/>
            </w:pPr>
            <w:r>
              <w:rPr>
                <w:rFonts w:ascii="Cambria" w:hAnsi="Cambria" w:cs="Cambria" w:eastAsia="Cambria"/>
                <w:color w:val="1A1A1A"/>
                <w:sz w:val="18"/>
              </w:rPr>
              <w:t xml:space="preserve">Nessun costo aggiuntivo diretto</w:t>
            </w:r>
          </w:p>
        </w:tc>
        <w:tc>
          <w:tcPr/>
          <w:p>
            <w:pPr>
              <w:pStyle w:val="Compact"/>
              <w:spacing w:after="40" w:before="40"/>
              <w:jc w:val="left"/>
            </w:pPr>
            <w:r>
              <w:rPr>
                <w:rFonts w:ascii="Cambria" w:hAnsi="Cambria" w:cs="Cambria" w:eastAsia="Cambria"/>
                <w:color w:val="1A1A1A"/>
                <w:sz w:val="18"/>
              </w:rPr>
              <w:t xml:space="preserve">Livello 1–2: apprendimento dichiarativo</w:t>
            </w:r>
          </w:p>
        </w:tc>
        <w:tc>
          <w:tcPr/>
          <w:p>
            <w:pPr>
              <w:pStyle w:val="Compact"/>
              <w:spacing w:after="40" w:before="40"/>
              <w:jc w:val="left"/>
            </w:pPr>
            <w:r>
              <w:rPr>
                <w:rFonts w:ascii="Cambria" w:hAnsi="Cambria" w:cs="Cambria" w:eastAsia="Cambria"/>
                <w:color w:val="1A1A1A"/>
                <w:sz w:val="18"/>
              </w:rPr>
              <w:t xml:space="preserve">Rendimento nel lungo termine; non quantificabile isolatamente</w:t>
            </w:r>
          </w:p>
        </w:tc>
      </w:tr>
      <w:tr>
        <w:tc>
          <w:tcPr>
            <w:shd w:val="clear" w:color="auto" w:fill="F4F1EC"/>
          </w:tcPr>
          <w:p>
            <w:pPr>
              <w:pStyle w:val="Compact"/>
              <w:spacing w:after="40" w:before="40"/>
              <w:jc w:val="left"/>
            </w:pPr>
            <w:r>
              <w:rPr>
                <w:rFonts w:ascii="Cambria" w:hAnsi="Cambria" w:cs="Cambria" w:eastAsia="Cambria"/>
                <w:color w:val="1A1A1A"/>
                <w:sz w:val="18"/>
              </w:rPr>
              <w:t xml:space="preserve">2. Post-universitaria specialistica</w:t>
            </w:r>
          </w:p>
        </w:tc>
        <w:tc>
          <w:tcPr>
            <w:shd w:val="clear" w:color="auto" w:fill="F4F1EC"/>
          </w:tcPr>
          <w:p>
            <w:pPr>
              <w:pStyle w:val="Compact"/>
              <w:spacing w:after="40" w:before="40"/>
              <w:jc w:val="left"/>
            </w:pPr>
            <w:r>
              <w:rPr>
                <w:rFonts w:ascii="Cambria" w:hAnsi="Cambria" w:cs="Cambria" w:eastAsia="Cambria"/>
                <w:color w:val="1A1A1A"/>
                <w:sz w:val="18"/>
              </w:rPr>
              <w:t xml:space="preserve">Corso di 40–60 ore su IA in salute mentale; AI Act compliance; strumenti clinicamente validati</w:t>
            </w:r>
          </w:p>
        </w:tc>
        <w:tc>
          <w:tcPr>
            <w:shd w:val="clear" w:color="auto" w:fill="F4F1EC"/>
          </w:tcPr>
          <w:p>
            <w:pPr>
              <w:pStyle w:val="Compact"/>
              <w:spacing w:after="40" w:before="40"/>
              <w:jc w:val="left"/>
            </w:pPr>
            <w:r>
              <w:rPr>
                <w:rFonts w:ascii="Cambria" w:hAnsi="Cambria" w:cs="Cambria" w:eastAsia="Cambria"/>
                <w:color w:val="1A1A1A"/>
                <w:sz w:val="18"/>
              </w:rPr>
              <w:t xml:space="preserve">Psicologi già abilitati, referenti distrettuali</w:t>
            </w:r>
          </w:p>
        </w:tc>
        <w:tc>
          <w:tcPr>
            <w:shd w:val="clear" w:color="auto" w:fill="F4F1EC"/>
          </w:tcPr>
          <w:p>
            <w:pPr>
              <w:pStyle w:val="Compact"/>
              <w:spacing w:after="40" w:before="40"/>
              <w:jc w:val="left"/>
            </w:pPr>
            <w:r>
              <w:rPr>
                <w:rFonts w:ascii="Cambria" w:hAnsi="Cambria" w:cs="Cambria" w:eastAsia="Cambria"/>
                <w:color w:val="1A1A1A"/>
                <w:sz w:val="18"/>
              </w:rPr>
              <w:t xml:space="preserve">6–8 mesi (part-time)</w:t>
            </w:r>
          </w:p>
        </w:tc>
        <w:tc>
          <w:tcPr>
            <w:shd w:val="clear" w:color="auto" w:fill="F4F1EC"/>
          </w:tcPr>
          <w:p>
            <w:pPr>
              <w:pStyle w:val="Compact"/>
              <w:spacing w:after="40" w:before="40"/>
              <w:jc w:val="left"/>
            </w:pPr>
            <w:r>
              <w:rPr>
                <w:rFonts w:ascii="Cambria" w:hAnsi="Cambria" w:cs="Cambria" w:eastAsia="Cambria"/>
                <w:color w:val="1A1A1A"/>
                <w:sz w:val="18"/>
              </w:rPr>
              <w:t xml:space="preserve">800–1.500 € per persona</w:t>
            </w:r>
          </w:p>
        </w:tc>
        <w:tc>
          <w:tcPr>
            <w:shd w:val="clear" w:color="auto" w:fill="F4F1EC"/>
          </w:tcPr>
          <w:p>
            <w:pPr>
              <w:pStyle w:val="Compact"/>
              <w:spacing w:after="40" w:before="40"/>
              <w:jc w:val="left"/>
            </w:pPr>
            <w:r>
              <w:rPr>
                <w:rFonts w:ascii="Cambria" w:hAnsi="Cambria" w:cs="Cambria" w:eastAsia="Cambria"/>
                <w:color w:val="1A1A1A"/>
                <w:sz w:val="18"/>
              </w:rPr>
              <w:t xml:space="preserve">Livello 2–3: trasferimento in pratica</w:t>
            </w:r>
          </w:p>
        </w:tc>
        <w:tc>
          <w:tcPr>
            <w:shd w:val="clear" w:color="auto" w:fill="F4F1EC"/>
          </w:tcPr>
          <w:p>
            <w:pPr>
              <w:pStyle w:val="Compact"/>
              <w:spacing w:after="40" w:before="40"/>
              <w:jc w:val="left"/>
            </w:pPr>
            <w:r>
              <w:rPr>
                <w:rFonts w:ascii="Cambria" w:hAnsi="Cambria" w:cs="Cambria" w:eastAsia="Cambria"/>
                <w:color w:val="1A1A1A"/>
                <w:sz w:val="18"/>
              </w:rPr>
              <w:t xml:space="preserve">ROI stimato 120–180% su 3 anni</w:t>
            </w:r>
          </w:p>
        </w:tc>
      </w:tr>
      <w:tr>
        <w:tc>
          <w:tcPr/>
          <w:p>
            <w:pPr>
              <w:pStyle w:val="Compact"/>
              <w:spacing w:after="40" w:before="40"/>
              <w:jc w:val="left"/>
            </w:pPr>
            <w:r>
              <w:rPr>
                <w:rFonts w:ascii="Cambria" w:hAnsi="Cambria" w:cs="Cambria" w:eastAsia="Cambria"/>
                <w:color w:val="1A1A1A"/>
                <w:sz w:val="18"/>
              </w:rPr>
              <w:t xml:space="preserve">3. Lavorativa in servizio</w:t>
            </w:r>
          </w:p>
        </w:tc>
        <w:tc>
          <w:tcPr/>
          <w:p>
            <w:pPr>
              <w:pStyle w:val="Compact"/>
              <w:spacing w:after="40" w:before="40"/>
              <w:jc w:val="left"/>
            </w:pPr>
            <w:r>
              <w:rPr>
                <w:rFonts w:ascii="Cambria" w:hAnsi="Cambria" w:cs="Cambria" w:eastAsia="Cambria"/>
                <w:color w:val="1A1A1A"/>
                <w:sz w:val="18"/>
              </w:rPr>
              <w:t xml:space="preserve">Moduli ECM su IA applicata (10–20 crediti/anno); webinar; audit supervisionati</w:t>
            </w:r>
          </w:p>
        </w:tc>
        <w:tc>
          <w:tcPr/>
          <w:p>
            <w:pPr>
              <w:pStyle w:val="Compact"/>
              <w:spacing w:after="40" w:before="40"/>
              <w:jc w:val="left"/>
            </w:pPr>
            <w:r>
              <w:rPr>
                <w:rFonts w:ascii="Cambria" w:hAnsi="Cambria" w:cs="Cambria" w:eastAsia="Cambria"/>
                <w:color w:val="1A1A1A"/>
                <w:sz w:val="18"/>
              </w:rPr>
              <w:t xml:space="preserve">Tutti i professionisti del servizio</w:t>
            </w:r>
          </w:p>
        </w:tc>
        <w:tc>
          <w:tcPr/>
          <w:p>
            <w:pPr>
              <w:pStyle w:val="Compact"/>
              <w:spacing w:after="40" w:before="40"/>
              <w:jc w:val="left"/>
            </w:pPr>
            <w:r>
              <w:rPr>
                <w:rFonts w:ascii="Cambria" w:hAnsi="Cambria" w:cs="Cambria" w:eastAsia="Cambria"/>
                <w:color w:val="1A1A1A"/>
                <w:sz w:val="18"/>
              </w:rPr>
              <w:t xml:space="preserve">Continuativa (12–20 ore/anno)</w:t>
            </w:r>
          </w:p>
        </w:tc>
        <w:tc>
          <w:tcPr/>
          <w:p>
            <w:pPr>
              <w:pStyle w:val="Compact"/>
              <w:spacing w:after="40" w:before="40"/>
              <w:jc w:val="left"/>
            </w:pPr>
            <w:r>
              <w:rPr>
                <w:rFonts w:ascii="Cambria" w:hAnsi="Cambria" w:cs="Cambria" w:eastAsia="Cambria"/>
                <w:color w:val="1A1A1A"/>
                <w:sz w:val="18"/>
              </w:rPr>
              <w:t xml:space="preserve">300–500 € per persona/anno</w:t>
            </w:r>
          </w:p>
        </w:tc>
        <w:tc>
          <w:tcPr/>
          <w:p>
            <w:pPr>
              <w:pStyle w:val="Compact"/>
              <w:spacing w:after="40" w:before="40"/>
              <w:jc w:val="left"/>
            </w:pPr>
            <w:r>
              <w:rPr>
                <w:rFonts w:ascii="Cambria" w:hAnsi="Cambria" w:cs="Cambria" w:eastAsia="Cambria"/>
                <w:color w:val="1A1A1A"/>
                <w:sz w:val="18"/>
              </w:rPr>
              <w:t xml:space="preserve">Livello 2–3: competenza operativa</w:t>
            </w:r>
          </w:p>
        </w:tc>
        <w:tc>
          <w:tcPr/>
          <w:p>
            <w:pPr>
              <w:pStyle w:val="Compact"/>
              <w:spacing w:after="40" w:before="40"/>
              <w:jc w:val="left"/>
            </w:pPr>
            <w:r>
              <w:rPr>
                <w:rFonts w:ascii="Cambria" w:hAnsi="Cambria" w:cs="Cambria" w:eastAsia="Cambria"/>
                <w:color w:val="1A1A1A"/>
                <w:sz w:val="18"/>
              </w:rPr>
              <w:t xml:space="preserve">ROI stimato 80–130% su 2 anni</w:t>
            </w:r>
          </w:p>
        </w:tc>
      </w:tr>
      <w:tr>
        <w:tc>
          <w:tcPr>
            <w:shd w:val="clear" w:color="auto" w:fill="F4F1EC"/>
          </w:tcPr>
          <w:p>
            <w:pPr>
              <w:pStyle w:val="Compact"/>
              <w:spacing w:after="40" w:before="40"/>
              <w:jc w:val="left"/>
            </w:pPr>
            <w:r>
              <w:rPr>
                <w:rFonts w:ascii="Cambria" w:hAnsi="Cambria" w:cs="Cambria" w:eastAsia="Cambria"/>
                <w:color w:val="1A1A1A"/>
                <w:sz w:val="18"/>
              </w:rPr>
              <w:t xml:space="preserve">4. Affiancamento operativo (AI Liaison)</w:t>
            </w:r>
          </w:p>
        </w:tc>
        <w:tc>
          <w:tcPr>
            <w:shd w:val="clear" w:color="auto" w:fill="F4F1EC"/>
          </w:tcPr>
          <w:p>
            <w:pPr>
              <w:pStyle w:val="Compact"/>
              <w:spacing w:after="40" w:before="40"/>
              <w:jc w:val="left"/>
            </w:pPr>
            <w:r>
              <w:rPr>
                <w:rFonts w:ascii="Cambria" w:hAnsi="Cambria" w:cs="Cambria" w:eastAsia="Cambria"/>
                <w:color w:val="1A1A1A"/>
                <w:sz w:val="18"/>
              </w:rPr>
              <w:t xml:space="preserve">Tutor esperto in IA affiancato nelle prime 8–12 settimane; supervisione sull’impiego degli strumenti</w:t>
            </w:r>
          </w:p>
        </w:tc>
        <w:tc>
          <w:tcPr>
            <w:shd w:val="clear" w:color="auto" w:fill="F4F1EC"/>
          </w:tcPr>
          <w:p>
            <w:pPr>
              <w:pStyle w:val="Compact"/>
              <w:spacing w:after="40" w:before="40"/>
              <w:jc w:val="left"/>
            </w:pPr>
            <w:r>
              <w:rPr>
                <w:rFonts w:ascii="Cambria" w:hAnsi="Cambria" w:cs="Cambria" w:eastAsia="Cambria"/>
                <w:color w:val="1A1A1A"/>
                <w:sz w:val="18"/>
              </w:rPr>
              <w:t xml:space="preserve">Psicologi di Base nelle prime fasi di attivazione del servizio</w:t>
            </w:r>
          </w:p>
        </w:tc>
        <w:tc>
          <w:tcPr>
            <w:shd w:val="clear" w:color="auto" w:fill="F4F1EC"/>
          </w:tcPr>
          <w:p>
            <w:pPr>
              <w:pStyle w:val="Compact"/>
              <w:spacing w:after="40" w:before="40"/>
              <w:jc w:val="left"/>
            </w:pPr>
            <w:r>
              <w:rPr>
                <w:rFonts w:ascii="Cambria" w:hAnsi="Cambria" w:cs="Cambria" w:eastAsia="Cambria"/>
                <w:color w:val="1A1A1A"/>
                <w:sz w:val="18"/>
              </w:rPr>
              <w:t xml:space="preserve">8–12 settimane</w:t>
            </w:r>
          </w:p>
        </w:tc>
        <w:tc>
          <w:tcPr>
            <w:shd w:val="clear" w:color="auto" w:fill="F4F1EC"/>
          </w:tcPr>
          <w:p>
            <w:pPr>
              <w:pStyle w:val="Compact"/>
              <w:spacing w:after="40" w:before="40"/>
              <w:jc w:val="left"/>
            </w:pPr>
            <w:r>
              <w:rPr>
                <w:rFonts w:ascii="Cambria" w:hAnsi="Cambria" w:cs="Cambria" w:eastAsia="Cambria"/>
                <w:color w:val="1A1A1A"/>
                <w:sz w:val="18"/>
              </w:rPr>
              <w:t xml:space="preserve">1.200–2.000 € per psicologo (costo del tutor)</w:t>
            </w:r>
          </w:p>
        </w:tc>
        <w:tc>
          <w:tcPr>
            <w:shd w:val="clear" w:color="auto" w:fill="F4F1EC"/>
          </w:tcPr>
          <w:p>
            <w:pPr>
              <w:pStyle w:val="Compact"/>
              <w:spacing w:after="40" w:before="40"/>
              <w:jc w:val="left"/>
            </w:pPr>
            <w:r>
              <w:rPr>
                <w:rFonts w:ascii="Cambria" w:hAnsi="Cambria" w:cs="Cambria" w:eastAsia="Cambria"/>
                <w:color w:val="1A1A1A"/>
                <w:sz w:val="18"/>
              </w:rPr>
              <w:t xml:space="preserve">Livello 3–4: impatto immediato e misurabile</w:t>
            </w:r>
          </w:p>
        </w:tc>
        <w:tc>
          <w:tcPr>
            <w:shd w:val="clear" w:color="auto" w:fill="F4F1EC"/>
          </w:tcPr>
          <w:p>
            <w:pPr>
              <w:pStyle w:val="Compact"/>
              <w:spacing w:after="40" w:before="40"/>
              <w:jc w:val="left"/>
            </w:pPr>
            <w:r>
              <w:rPr>
                <w:rFonts w:ascii="Cambria" w:hAnsi="Cambria" w:cs="Cambria" w:eastAsia="Cambria"/>
                <w:color w:val="1A1A1A"/>
                <w:sz w:val="18"/>
              </w:rPr>
              <w:t xml:space="preserve">ROI stimato 200–350% su 1–2 anni</w:t>
            </w:r>
          </w:p>
        </w:tc>
      </w:tr>
      <w:tr>
        <w:tc>
          <w:tcPr/>
          <w:p>
            <w:pPr>
              <w:pStyle w:val="Compact"/>
              <w:spacing w:after="40" w:before="40"/>
              <w:jc w:val="left"/>
            </w:pPr>
            <w:r>
              <w:rPr>
                <w:rFonts w:ascii="Cambria" w:hAnsi="Cambria" w:cs="Cambria" w:eastAsia="Cambria"/>
                <w:color w:val="1A1A1A"/>
                <w:sz w:val="18"/>
              </w:rPr>
              <w:t xml:space="preserve">COMBINAZIONE (percorso integrato)</w:t>
            </w:r>
          </w:p>
        </w:tc>
        <w:tc>
          <w:tcPr/>
          <w:p>
            <w:pPr>
              <w:pStyle w:val="Compact"/>
              <w:spacing w:after="40" w:before="40"/>
              <w:jc w:val="left"/>
            </w:pPr>
            <w:r>
              <w:rPr>
                <w:rFonts w:ascii="Cambria" w:hAnsi="Cambria" w:cs="Cambria" w:eastAsia="Cambria"/>
                <w:color w:val="1A1A1A"/>
                <w:sz w:val="18"/>
              </w:rPr>
              <w:t xml:space="preserve">Sequenza: post-universitaria → lavorativa continua + affiancamento iniziale → aggiornamento annuale</w:t>
            </w:r>
          </w:p>
        </w:tc>
        <w:tc>
          <w:tcPr/>
          <w:p>
            <w:pPr>
              <w:pStyle w:val="Compact"/>
              <w:spacing w:after="40" w:before="40"/>
              <w:jc w:val="left"/>
            </w:pPr>
            <w:r>
              <w:rPr>
                <w:rFonts w:ascii="Cambria" w:hAnsi="Cambria" w:cs="Cambria" w:eastAsia="Cambria"/>
                <w:color w:val="1A1A1A"/>
                <w:sz w:val="18"/>
              </w:rPr>
              <w:t xml:space="preserve">Tutti i professionisti, in fasi differenziate</w:t>
            </w:r>
          </w:p>
        </w:tc>
        <w:tc>
          <w:tcPr/>
          <w:p>
            <w:pPr>
              <w:pStyle w:val="Compact"/>
              <w:spacing w:after="40" w:before="40"/>
              <w:jc w:val="left"/>
            </w:pPr>
            <w:r>
              <w:rPr>
                <w:rFonts w:ascii="Cambria" w:hAnsi="Cambria" w:cs="Cambria" w:eastAsia="Cambria"/>
                <w:color w:val="1A1A1A"/>
                <w:sz w:val="18"/>
              </w:rPr>
              <w:t xml:space="preserve">Primo anno intensivo + mantenimento</w:t>
            </w:r>
          </w:p>
        </w:tc>
        <w:tc>
          <w:tcPr/>
          <w:p>
            <w:pPr>
              <w:pStyle w:val="Compact"/>
              <w:spacing w:after="40" w:before="40"/>
              <w:jc w:val="left"/>
            </w:pPr>
            <w:r>
              <w:rPr>
                <w:rFonts w:ascii="Cambria" w:hAnsi="Cambria" w:cs="Cambria" w:eastAsia="Cambria"/>
                <w:color w:val="1A1A1A"/>
                <w:sz w:val="18"/>
              </w:rPr>
              <w:t xml:space="preserve">2.000–4.000 € per persona nel primo anno, 300–500 €/anno successivi</w:t>
            </w:r>
          </w:p>
        </w:tc>
        <w:tc>
          <w:tcPr/>
          <w:p>
            <w:pPr>
              <w:pStyle w:val="Compact"/>
              <w:spacing w:after="40" w:before="40"/>
              <w:jc w:val="left"/>
            </w:pPr>
            <w:r>
              <w:rPr>
                <w:rFonts w:ascii="Cambria" w:hAnsi="Cambria" w:cs="Cambria" w:eastAsia="Cambria"/>
                <w:color w:val="1A1A1A"/>
                <w:sz w:val="18"/>
              </w:rPr>
              <w:t xml:space="preserve">Livello 4: impatto sistematico e sostenibile</w:t>
            </w:r>
          </w:p>
        </w:tc>
        <w:tc>
          <w:tcPr/>
          <w:p>
            <w:pPr>
              <w:pStyle w:val="Compact"/>
              <w:spacing w:after="40" w:before="40"/>
              <w:jc w:val="left"/>
            </w:pPr>
            <w:r>
              <w:rPr>
                <w:rFonts w:ascii="Cambria" w:hAnsi="Cambria" w:cs="Cambria" w:eastAsia="Cambria"/>
                <w:color w:val="1A1A1A"/>
                <w:sz w:val="18"/>
              </w:rPr>
              <w:t xml:space="preserve">ROI percorso integrato: 180–280% su 3 anni (sinergia &gt; somma parti)</w:t>
            </w:r>
          </w:p>
        </w:tc>
      </w:tr>
    </w:tbl>
    <w:p>
      <w:pPr>
        <w:pStyle w:val="BodyText"/>
      </w:pPr>
      <w:r>
        <w:t xml:space="preserve">La curva di adozione tecnologica segue tipicamente la traiettoria descritta dalla teoria della diffusione delle innovazioni di Rogers: una fase di innovatori e pionieri, seguita da una maggioranza precoce (concentrata nei primi due anni di dispiegamento), da una maggioranza tardiva e da chi resiste all’innovazione. Per gli strumenti di Intelligenza Artificiale in salute mentale, la letteratura indica che il percorso integrato di formazione — rispetto alle sole modalità singole — accelera l’attraversamento delle fasi intermedie e riduce il tasso di abbandono degli strumenti dopo l’adozione iniziale. Il programma di affiancamento operativo (Modalità 4) è il fattore critico di accelerazione: studi sul trasferimento delle competenze digitali in contesti clinici documentano che la presenza di un tutor esperto nelle prime otto settimane aumenta il tasso di adozione sostenuta da circa il 40 per cento (formazione sola) a circa il 70–75 per cento (formazione con affiancamento), con un incremento del rendimento formativo stimato tra il 40 e il 60 per cento.</w:t>
      </w:r>
    </w:p>
    <w:bookmarkEnd w:id="2626"/>
    <w:bookmarkStart w:id="2627" w:name="Xe6b91e5d155c04f5a518f5e0ef2609c160b7a08"/>
    <w:p>
      <w:pPr>
        <w:pStyle w:val="Heading4"/>
      </w:pPr>
      <w:r>
        <w:rPr>
          <w:b/>
          <w:bCs/>
        </w:rPr>
        <w:t xml:space="preserve">C.7.4 Quantificazione dei risparmi aggiuntivi per scenario: il contributo incrementale dell’Intelligenza Artificiale</w:t>
      </w:r>
    </w:p>
    <w:p>
      <w:pPr>
        <w:pStyle w:val="FirstParagraph"/>
      </w:pPr>
      <w:r>
        <w:t xml:space="preserve">Il contributo incrementale dell’Intelligenza Artificiale ai risparmi del servizio è stimato su base prudenziale, rispettando il vincolo invariante che proibisce di attribuire all’Intelligenza Artificiale risparmi già imputati al modello base e che mantiene la distinzione rigorosa tra risparmio diretto per il bilancio, valore sanitario e ricaduta sociale. La quantificazione distingue cinque voci: efficientamento amministrativo, miglioramento dell’appropriatezza diagnostica, aumento dell’efficacia terapeutica con terapie digitali, prevenzione delle ricadute con monitoraggio remoto, e automazione dei flussi burocratici.</w:t>
      </w:r>
    </w:p>
    <w:p>
      <w:pPr>
        <w:pStyle w:val="BodyText"/>
      </w:pPr>
      <w:r>
        <w:t xml:space="preserve">Per l’efficientamento amministrativo, il riferimento più robusto è il programma NHS Talking Therapies 2024–25: un’analisi su oltre trentamila operatori documenta un risparmio medio di circa quaranta minuti per operatore al giorno attraverso l’automazione della documentazione clinica. Applicando un valore conservativo di venti minuti — per tener conto delle differenze contestuali tra il sistema britannico e quello pugliese — a una dotazione a regime di 800 Psicologi di Base, il tempo recuperato si traduce in un risparmio monetario diretto di circa 3–5 milioni di euro annui, corrispondente al valore del tempo clinico restituito alla cura. Per il miglioramento dell’appropriatezza diagnostica, sistemi di supporto decisionale clinico (Clinical Decision Support Systems) hanno documentato, in studi di real-world condotti nei Paesi Bassi e nel Regno Unito, una riduzione degli errori diagnostici dell’ordine del sedici per cento, con conseguente riduzione di esami, visite specialistiche e farmaci inappropriati; applicata con coefficiente riduttivo del 50 per cento per prudenza, questa riduzione genera un risparmio stimato in 4–8 milioni di euro annui sul bilancio regionale.</w:t>
      </w:r>
    </w:p>
    <w:p>
      <w:pPr>
        <w:pStyle w:val="BodyText"/>
      </w:pPr>
      <w:r>
        <w:t xml:space="preserve">Tabella C.7. Quantificazione dei risparmi diretti aggiuntivi per effetto dell’integrazione IA, per scenario (Regione Puglia, valore annuo a regime).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Voce di risparmio</w:t>
            </w:r>
          </w:p>
        </w:tc>
        <w:tc>
          <w:tcPr>
            <w:shd w:val="clear" w:color="auto" w:fill="16264B"/>
          </w:tcPr>
          <w:p>
            <w:pPr>
              <w:pStyle w:val="Compact"/>
              <w:spacing w:after="40" w:before="40"/>
              <w:jc w:val="left"/>
            </w:pPr>
            <w:r>
              <w:rPr>
                <w:rFonts w:ascii="Cambria" w:hAnsi="Cambria" w:cs="Cambria" w:eastAsia="Cambria"/>
                <w:b/>
                <w:bCs/>
                <w:color w:val="FFFFFF"/>
                <w:sz w:val="18"/>
              </w:rPr>
              <w:t xml:space="preserve">Fonte dell’evidenza</w:t>
            </w:r>
          </w:p>
        </w:tc>
        <w:tc>
          <w:tcPr>
            <w:shd w:val="clear" w:color="auto" w:fill="16264B"/>
          </w:tcPr>
          <w:p>
            <w:pPr>
              <w:pStyle w:val="Compact"/>
              <w:spacing w:after="40" w:before="40"/>
              <w:jc w:val="left"/>
            </w:pPr>
            <w:r>
              <w:rPr>
                <w:rFonts w:ascii="Cambria" w:hAnsi="Cambria" w:cs="Cambria" w:eastAsia="Cambria"/>
                <w:b/>
                <w:bCs/>
                <w:color w:val="FFFFFF"/>
                <w:sz w:val="18"/>
              </w:rPr>
              <w:t xml:space="preserve">Scenario prudente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Scenario base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Scenario espansivo (mln €/anno)</w:t>
            </w:r>
          </w:p>
        </w:tc>
      </w:tr>
      <w:tr>
        <w:tc>
          <w:tcPr/>
          <w:p>
            <w:pPr>
              <w:pStyle w:val="Compact"/>
              <w:spacing w:after="40" w:before="40"/>
              <w:jc w:val="left"/>
            </w:pPr>
            <w:r>
              <w:rPr>
                <w:rFonts w:ascii="Cambria" w:hAnsi="Cambria" w:cs="Cambria" w:eastAsia="Cambria"/>
                <w:color w:val="1A1A1A"/>
                <w:sz w:val="18"/>
              </w:rPr>
              <w:t xml:space="preserve">Efficientamento amministrativo (automazione documentazione)</w:t>
            </w:r>
          </w:p>
        </w:tc>
        <w:tc>
          <w:tcPr/>
          <w:p>
            <w:pPr>
              <w:pStyle w:val="Compact"/>
              <w:spacing w:after="40" w:before="40"/>
              <w:jc w:val="left"/>
            </w:pPr>
            <w:r>
              <w:rPr>
                <w:rFonts w:ascii="Cambria" w:hAnsi="Cambria" w:cs="Cambria" w:eastAsia="Cambria"/>
                <w:color w:val="1A1A1A"/>
                <w:sz w:val="18"/>
              </w:rPr>
              <w:t xml:space="preserve">NHS Talking Therapies 2024–25 (riduzione 40 min/op/giorno; applicato 20 min per prudenza)</w:t>
            </w:r>
          </w:p>
        </w:tc>
        <w:tc>
          <w:tcPr/>
          <w:p>
            <w:pPr>
              <w:pStyle w:val="Compact"/>
              <w:spacing w:after="40" w:before="40"/>
              <w:jc w:val="left"/>
            </w:pPr>
            <w:r>
              <w:rPr>
                <w:rFonts w:ascii="Cambria" w:hAnsi="Cambria" w:cs="Cambria" w:eastAsia="Cambria"/>
                <w:color w:val="1A1A1A"/>
                <w:sz w:val="18"/>
              </w:rPr>
              <w:t xml:space="preserve">3–5</w:t>
            </w:r>
          </w:p>
        </w:tc>
        <w:tc>
          <w:tcPr/>
          <w:p>
            <w:pPr>
              <w:pStyle w:val="Compact"/>
              <w:spacing w:after="40" w:before="40"/>
              <w:jc w:val="left"/>
            </w:pPr>
            <w:r>
              <w:rPr>
                <w:rFonts w:ascii="Cambria" w:hAnsi="Cambria" w:cs="Cambria" w:eastAsia="Cambria"/>
                <w:color w:val="1A1A1A"/>
                <w:sz w:val="18"/>
              </w:rPr>
              <w:t xml:space="preserve">5–8</w:t>
            </w:r>
          </w:p>
        </w:tc>
        <w:tc>
          <w:tcPr/>
          <w:p>
            <w:pPr>
              <w:pStyle w:val="Compact"/>
              <w:spacing w:after="40" w:before="40"/>
              <w:jc w:val="left"/>
            </w:pPr>
            <w:r>
              <w:rPr>
                <w:rFonts w:ascii="Cambria" w:hAnsi="Cambria" w:cs="Cambria" w:eastAsia="Cambria"/>
                <w:color w:val="1A1A1A"/>
                <w:sz w:val="18"/>
              </w:rPr>
              <w:t xml:space="preserve">8–12</w:t>
            </w:r>
          </w:p>
        </w:tc>
      </w:tr>
      <w:tr>
        <w:tc>
          <w:tcPr>
            <w:shd w:val="clear" w:color="auto" w:fill="F4F1EC"/>
          </w:tcPr>
          <w:p>
            <w:pPr>
              <w:pStyle w:val="Compact"/>
              <w:spacing w:after="40" w:before="40"/>
              <w:jc w:val="left"/>
            </w:pPr>
            <w:r>
              <w:rPr>
                <w:rFonts w:ascii="Cambria" w:hAnsi="Cambria" w:cs="Cambria" w:eastAsia="Cambria"/>
                <w:color w:val="1A1A1A"/>
                <w:sz w:val="18"/>
              </w:rPr>
              <w:t xml:space="preserve">Appropriatezza diagnostica (riduzione esami/visite impropri)</w:t>
            </w:r>
          </w:p>
        </w:tc>
        <w:tc>
          <w:tcPr>
            <w:shd w:val="clear" w:color="auto" w:fill="F4F1EC"/>
          </w:tcPr>
          <w:p>
            <w:pPr>
              <w:pStyle w:val="Compact"/>
              <w:spacing w:after="40" w:before="40"/>
              <w:jc w:val="left"/>
            </w:pPr>
            <w:r>
              <w:rPr>
                <w:rFonts w:ascii="Cambria" w:hAnsi="Cambria" w:cs="Cambria" w:eastAsia="Cambria"/>
                <w:color w:val="1A1A1A"/>
                <w:sz w:val="18"/>
              </w:rPr>
              <w:t xml:space="preserve">Studi real-world CDS, Paesi Bassi e UK; riduzione errori 16%</w:t>
            </w:r>
          </w:p>
        </w:tc>
        <w:tc>
          <w:tcPr>
            <w:shd w:val="clear" w:color="auto" w:fill="F4F1EC"/>
          </w:tcPr>
          <w:p>
            <w:pPr>
              <w:pStyle w:val="Compact"/>
              <w:spacing w:after="40" w:before="40"/>
              <w:jc w:val="left"/>
            </w:pPr>
            <w:r>
              <w:rPr>
                <w:rFonts w:ascii="Cambria" w:hAnsi="Cambria" w:cs="Cambria" w:eastAsia="Cambria"/>
                <w:color w:val="1A1A1A"/>
                <w:sz w:val="18"/>
              </w:rPr>
              <w:t xml:space="preserve">4–8</w:t>
            </w:r>
          </w:p>
        </w:tc>
        <w:tc>
          <w:tcPr>
            <w:shd w:val="clear" w:color="auto" w:fill="F4F1EC"/>
          </w:tcPr>
          <w:p>
            <w:pPr>
              <w:pStyle w:val="Compact"/>
              <w:spacing w:after="40" w:before="40"/>
              <w:jc w:val="left"/>
            </w:pPr>
            <w:r>
              <w:rPr>
                <w:rFonts w:ascii="Cambria" w:hAnsi="Cambria" w:cs="Cambria" w:eastAsia="Cambria"/>
                <w:color w:val="1A1A1A"/>
                <w:sz w:val="18"/>
              </w:rPr>
              <w:t xml:space="preserve">6–12</w:t>
            </w:r>
          </w:p>
        </w:tc>
        <w:tc>
          <w:tcPr>
            <w:shd w:val="clear" w:color="auto" w:fill="F4F1EC"/>
          </w:tcPr>
          <w:p>
            <w:pPr>
              <w:pStyle w:val="Compact"/>
              <w:spacing w:after="40" w:before="40"/>
              <w:jc w:val="left"/>
            </w:pPr>
            <w:r>
              <w:rPr>
                <w:rFonts w:ascii="Cambria" w:hAnsi="Cambria" w:cs="Cambria" w:eastAsia="Cambria"/>
                <w:color w:val="1A1A1A"/>
                <w:sz w:val="18"/>
              </w:rPr>
              <w:t xml:space="preserve">10–18</w:t>
            </w:r>
          </w:p>
        </w:tc>
      </w:tr>
      <w:tr>
        <w:tc>
          <w:tcPr/>
          <w:p>
            <w:pPr>
              <w:pStyle w:val="Compact"/>
              <w:spacing w:after="40" w:before="40"/>
              <w:jc w:val="left"/>
            </w:pPr>
            <w:r>
              <w:rPr>
                <w:rFonts w:ascii="Cambria" w:hAnsi="Cambria" w:cs="Cambria" w:eastAsia="Cambria"/>
                <w:color w:val="1A1A1A"/>
                <w:sz w:val="18"/>
              </w:rPr>
              <w:t xml:space="preserve">Efficacia terapeutica aumentata (terapie digitali)</w:t>
            </w:r>
          </w:p>
        </w:tc>
        <w:tc>
          <w:tcPr/>
          <w:p>
            <w:pPr>
              <w:pStyle w:val="Compact"/>
              <w:spacing w:after="40" w:before="40"/>
              <w:jc w:val="left"/>
            </w:pPr>
            <w:r>
              <w:rPr>
                <w:rFonts w:ascii="Cambria" w:hAnsi="Cambria" w:cs="Cambria" w:eastAsia="Cambria"/>
                <w:color w:val="1A1A1A"/>
                <w:sz w:val="18"/>
              </w:rPr>
              <w:t xml:space="preserve">NHS IAPT (iCBT): riduzione PHQ-9 −2,75; recupero 55%</w:t>
            </w:r>
          </w:p>
        </w:tc>
        <w:tc>
          <w:tcPr/>
          <w:p>
            <w:pPr>
              <w:pStyle w:val="Compact"/>
              <w:spacing w:after="40" w:before="40"/>
              <w:jc w:val="left"/>
            </w:pPr>
            <w:r>
              <w:rPr>
                <w:rFonts w:ascii="Cambria" w:hAnsi="Cambria" w:cs="Cambria" w:eastAsia="Cambria"/>
                <w:color w:val="1A1A1A"/>
                <w:sz w:val="18"/>
              </w:rPr>
              <w:t xml:space="preserve">10–15</w:t>
            </w:r>
          </w:p>
        </w:tc>
        <w:tc>
          <w:tcPr/>
          <w:p>
            <w:pPr>
              <w:pStyle w:val="Compact"/>
              <w:spacing w:after="40" w:before="40"/>
              <w:jc w:val="left"/>
            </w:pPr>
            <w:r>
              <w:rPr>
                <w:rFonts w:ascii="Cambria" w:hAnsi="Cambria" w:cs="Cambria" w:eastAsia="Cambria"/>
                <w:color w:val="1A1A1A"/>
                <w:sz w:val="18"/>
              </w:rPr>
              <w:t xml:space="preserve">15–25</w:t>
            </w:r>
          </w:p>
        </w:tc>
        <w:tc>
          <w:tcPr/>
          <w:p>
            <w:pPr>
              <w:pStyle w:val="Compact"/>
              <w:spacing w:after="40" w:before="40"/>
              <w:jc w:val="left"/>
            </w:pPr>
            <w:r>
              <w:rPr>
                <w:rFonts w:ascii="Cambria" w:hAnsi="Cambria" w:cs="Cambria" w:eastAsia="Cambria"/>
                <w:color w:val="1A1A1A"/>
                <w:sz w:val="18"/>
              </w:rPr>
              <w:t xml:space="preserve">20–35</w:t>
            </w:r>
          </w:p>
        </w:tc>
      </w:tr>
      <w:tr>
        <w:tc>
          <w:tcPr>
            <w:shd w:val="clear" w:color="auto" w:fill="F4F1EC"/>
          </w:tcPr>
          <w:p>
            <w:pPr>
              <w:pStyle w:val="Compact"/>
              <w:spacing w:after="40" w:before="40"/>
              <w:jc w:val="left"/>
            </w:pPr>
            <w:r>
              <w:rPr>
                <w:rFonts w:ascii="Cambria" w:hAnsi="Cambria" w:cs="Cambria" w:eastAsia="Cambria"/>
                <w:color w:val="1A1A1A"/>
                <w:sz w:val="18"/>
              </w:rPr>
              <w:t xml:space="preserve">Prevenzione ricadute e monitoraggio remoto</w:t>
            </w:r>
          </w:p>
        </w:tc>
        <w:tc>
          <w:tcPr>
            <w:shd w:val="clear" w:color="auto" w:fill="F4F1EC"/>
          </w:tcPr>
          <w:p>
            <w:pPr>
              <w:pStyle w:val="Compact"/>
              <w:spacing w:after="40" w:before="40"/>
              <w:jc w:val="left"/>
            </w:pPr>
            <w:r>
              <w:rPr>
                <w:rFonts w:ascii="Cambria" w:hAnsi="Cambria" w:cs="Cambria" w:eastAsia="Cambria"/>
                <w:color w:val="1A1A1A"/>
                <w:sz w:val="18"/>
              </w:rPr>
              <w:t xml:space="preserve">Bauer et al. (2018); studi wearable; riduzione ricadute 15–30%</w:t>
            </w:r>
          </w:p>
        </w:tc>
        <w:tc>
          <w:tcPr>
            <w:shd w:val="clear" w:color="auto" w:fill="F4F1EC"/>
          </w:tcPr>
          <w:p>
            <w:pPr>
              <w:pStyle w:val="Compact"/>
              <w:spacing w:after="40" w:before="40"/>
              <w:jc w:val="left"/>
            </w:pPr>
            <w:r>
              <w:rPr>
                <w:rFonts w:ascii="Cambria" w:hAnsi="Cambria" w:cs="Cambria" w:eastAsia="Cambria"/>
                <w:color w:val="1A1A1A"/>
                <w:sz w:val="18"/>
              </w:rPr>
              <w:t xml:space="preserve">5–10</w:t>
            </w:r>
          </w:p>
        </w:tc>
        <w:tc>
          <w:tcPr>
            <w:shd w:val="clear" w:color="auto" w:fill="F4F1EC"/>
          </w:tcPr>
          <w:p>
            <w:pPr>
              <w:pStyle w:val="Compact"/>
              <w:spacing w:after="40" w:before="40"/>
              <w:jc w:val="left"/>
            </w:pPr>
            <w:r>
              <w:rPr>
                <w:rFonts w:ascii="Cambria" w:hAnsi="Cambria" w:cs="Cambria" w:eastAsia="Cambria"/>
                <w:color w:val="1A1A1A"/>
                <w:sz w:val="18"/>
              </w:rPr>
              <w:t xml:space="preserve">8–15</w:t>
            </w:r>
          </w:p>
        </w:tc>
        <w:tc>
          <w:tcPr>
            <w:shd w:val="clear" w:color="auto" w:fill="F4F1EC"/>
          </w:tcPr>
          <w:p>
            <w:pPr>
              <w:pStyle w:val="Compact"/>
              <w:spacing w:after="40" w:before="40"/>
              <w:jc w:val="left"/>
            </w:pPr>
            <w:r>
              <w:rPr>
                <w:rFonts w:ascii="Cambria" w:hAnsi="Cambria" w:cs="Cambria" w:eastAsia="Cambria"/>
                <w:color w:val="1A1A1A"/>
                <w:sz w:val="18"/>
              </w:rPr>
              <w:t xml:space="preserve">12–20</w:t>
            </w:r>
          </w:p>
        </w:tc>
      </w:tr>
      <w:tr>
        <w:tc>
          <w:tcPr/>
          <w:p>
            <w:pPr>
              <w:pStyle w:val="Compact"/>
              <w:spacing w:after="40" w:before="40"/>
              <w:jc w:val="left"/>
            </w:pPr>
            <w:r>
              <w:rPr>
                <w:rFonts w:ascii="Cambria" w:hAnsi="Cambria" w:cs="Cambria" w:eastAsia="Cambria"/>
                <w:color w:val="1A1A1A"/>
                <w:sz w:val="18"/>
              </w:rPr>
              <w:t xml:space="preserve">Automazione flussi burocratici e interoperabilità</w:t>
            </w:r>
          </w:p>
        </w:tc>
        <w:tc>
          <w:tcPr/>
          <w:p>
            <w:pPr>
              <w:pStyle w:val="Compact"/>
              <w:spacing w:after="40" w:before="40"/>
              <w:jc w:val="left"/>
            </w:pPr>
            <w:r>
              <w:rPr>
                <w:rFonts w:ascii="Cambria" w:hAnsi="Cambria" w:cs="Cambria" w:eastAsia="Cambria"/>
                <w:color w:val="1A1A1A"/>
                <w:sz w:val="18"/>
              </w:rPr>
              <w:t xml:space="preserve">Studi EHR automation; risparmio 30–60 min/psicologo/giorno su adempimenti</w:t>
            </w:r>
          </w:p>
        </w:tc>
        <w:tc>
          <w:tcPr/>
          <w:p>
            <w:pPr>
              <w:pStyle w:val="Compact"/>
              <w:spacing w:after="40" w:before="40"/>
              <w:jc w:val="left"/>
            </w:pPr>
            <w:r>
              <w:rPr>
                <w:rFonts w:ascii="Cambria" w:hAnsi="Cambria" w:cs="Cambria" w:eastAsia="Cambria"/>
                <w:color w:val="1A1A1A"/>
                <w:sz w:val="18"/>
              </w:rPr>
              <w:t xml:space="preserve">2–5</w:t>
            </w:r>
          </w:p>
        </w:tc>
        <w:tc>
          <w:tcPr/>
          <w:p>
            <w:pPr>
              <w:pStyle w:val="Compact"/>
              <w:spacing w:after="40" w:before="40"/>
              <w:jc w:val="left"/>
            </w:pPr>
            <w:r>
              <w:rPr>
                <w:rFonts w:ascii="Cambria" w:hAnsi="Cambria" w:cs="Cambria" w:eastAsia="Cambria"/>
                <w:color w:val="1A1A1A"/>
                <w:sz w:val="18"/>
              </w:rPr>
              <w:t xml:space="preserve">4–8</w:t>
            </w:r>
          </w:p>
        </w:tc>
        <w:tc>
          <w:tcPr/>
          <w:p>
            <w:pPr>
              <w:pStyle w:val="Compact"/>
              <w:spacing w:after="40" w:before="40"/>
              <w:jc w:val="left"/>
            </w:pPr>
            <w:r>
              <w:rPr>
                <w:rFonts w:ascii="Cambria" w:hAnsi="Cambria" w:cs="Cambria" w:eastAsia="Cambria"/>
                <w:color w:val="1A1A1A"/>
                <w:sz w:val="18"/>
              </w:rPr>
              <w:t xml:space="preserve">6–12</w:t>
            </w:r>
          </w:p>
        </w:tc>
      </w:tr>
      <w:tr>
        <w:tc>
          <w:tcPr>
            <w:shd w:val="clear" w:color="auto" w:fill="F4F1EC"/>
          </w:tcPr>
          <w:p>
            <w:pPr>
              <w:pStyle w:val="Compact"/>
              <w:spacing w:after="40" w:before="40"/>
              <w:jc w:val="left"/>
            </w:pPr>
            <w:r>
              <w:rPr>
                <w:rFonts w:ascii="Cambria" w:hAnsi="Cambria" w:cs="Cambria" w:eastAsia="Cambria"/>
                <w:color w:val="1A1A1A"/>
                <w:sz w:val="18"/>
              </w:rPr>
              <w:t xml:space="preserve">TOTALE RISPARMI DIRETTI AGGIUNTIVI (IA)</w:t>
            </w:r>
          </w:p>
        </w:tc>
        <w:tc>
          <w:tcPr>
            <w:shd w:val="clear" w:color="auto" w:fill="F4F1EC"/>
          </w:tcPr>
          <w:p>
            <w:pPr>
              <w:pStyle w:val="Compact"/>
              <w:spacing w:after="40" w:before="40"/>
              <w:jc w:val="left"/>
            </w:pPr>
            <w:r>
              <w:rPr>
                <w:rFonts w:ascii="Cambria" w:hAnsi="Cambria" w:cs="Cambria" w:eastAsia="Cambria"/>
                <w:color w:val="1A1A1A"/>
                <w:sz w:val="18"/>
              </w:rPr>
              <w:t xml:space="preserve">Somma delle voci, senza duplicazione con il modello base</w:t>
            </w:r>
          </w:p>
        </w:tc>
        <w:tc>
          <w:tcPr>
            <w:shd w:val="clear" w:color="auto" w:fill="F4F1EC"/>
          </w:tcPr>
          <w:p>
            <w:pPr>
              <w:pStyle w:val="Compact"/>
              <w:spacing w:after="40" w:before="40"/>
              <w:jc w:val="left"/>
            </w:pPr>
            <w:r>
              <w:rPr>
                <w:rFonts w:ascii="Cambria" w:hAnsi="Cambria" w:cs="Cambria" w:eastAsia="Cambria"/>
                <w:color w:val="1A1A1A"/>
                <w:sz w:val="18"/>
              </w:rPr>
              <w:t xml:space="preserve">24–43</w:t>
            </w:r>
          </w:p>
        </w:tc>
        <w:tc>
          <w:tcPr>
            <w:shd w:val="clear" w:color="auto" w:fill="F4F1EC"/>
          </w:tcPr>
          <w:p>
            <w:pPr>
              <w:pStyle w:val="Compact"/>
              <w:spacing w:after="40" w:before="40"/>
              <w:jc w:val="left"/>
            </w:pPr>
            <w:r>
              <w:rPr>
                <w:rFonts w:ascii="Cambria" w:hAnsi="Cambria" w:cs="Cambria" w:eastAsia="Cambria"/>
                <w:color w:val="1A1A1A"/>
                <w:sz w:val="18"/>
              </w:rPr>
              <w:t xml:space="preserve">38–68</w:t>
            </w:r>
          </w:p>
        </w:tc>
        <w:tc>
          <w:tcPr>
            <w:shd w:val="clear" w:color="auto" w:fill="F4F1EC"/>
          </w:tcPr>
          <w:p>
            <w:pPr>
              <w:pStyle w:val="Compact"/>
              <w:spacing w:after="40" w:before="40"/>
              <w:jc w:val="left"/>
            </w:pPr>
            <w:r>
              <w:rPr>
                <w:rFonts w:ascii="Cambria" w:hAnsi="Cambria" w:cs="Cambria" w:eastAsia="Cambria"/>
                <w:color w:val="1A1A1A"/>
                <w:sz w:val="18"/>
              </w:rPr>
              <w:t xml:space="preserve">56–97</w:t>
            </w:r>
          </w:p>
        </w:tc>
      </w:tr>
    </w:tbl>
    <w:bookmarkEnd w:id="2627"/>
    <w:bookmarkStart w:id="2628" w:name="Xdcbfb1afd65b13ad97c4127a14d933e7b231f4c"/>
    <w:p>
      <w:pPr>
        <w:pStyle w:val="Heading4"/>
      </w:pPr>
      <w:r>
        <w:rPr>
          <w:b/>
          <w:bCs/>
        </w:rPr>
        <w:t xml:space="preserve">C.7.5 La governance prudenziale dell’Intelligenza Artificiale: sicurezza, equità e supervisione umana</w:t>
      </w:r>
    </w:p>
    <w:p>
      <w:pPr>
        <w:pStyle w:val="FirstParagraph"/>
      </w:pPr>
      <w:r>
        <w:t xml:space="preserve">L’Intelligenza Artificiale applicata alla salute mentale è classificata, nel Regolamento europeo sull’Intelligenza Artificiale (AI Act, Regolamento UE 2024/1689, applicabile progressivamente dal 2025), come sistema ad alto rischio quando è destinata a supportare diagnosi, trattamenti o decisioni cliniche individuali. Questa classificazione impone obblighi precisi: valutazione della conformità prima della messa in servizio, documentazione tecnica approfondita, registrazione delle attività del sistema, trasparenza verso l’utente, sorveglianza umana obbligatoria, robustezza e accuratezza certificate. Il requisito della supervisione umana è il più rilevante per il modello pugliese: ogni raccomandazione algoritmicamente generata deve essere verificata e validata da un professionista responsabile prima di essere tradotta in decisione clinica. Questo requisito non è un vincolo operativo ma un presidio di sicurezza e di responsabilità professionale che il modello incorpora come condizione non negoziabile. La governance prudenziale si estende alla protezione dei dati (GDPR e normativa nazionale), all’equità algoritmica (monitoraggio del divario digitale e dei bias nei modelli addestrati su popolazioni non rappresentative della realtà pugliese), alla trasparenza (il professionista deve comprendere la base della raccomandazione algoritmica), e alla responsabilità (l’accountability professionale resta in capo al professionista, non all’algoritmo).</w:t>
      </w:r>
    </w:p>
    <w:p>
      <w:pPr>
        <w:pStyle w:val="BodyText"/>
      </w:pPr>
      <w:r>
        <w:t xml:space="preserve">Il contributo dell’Intelligenza Artificiale, in conclusione, è reale ma subordinato, incrementale ma condizionato. La sua misura prudenziale — un’addizione dell’ordine di 24–97 milioni di euro annui di risparmi diretti a seconda dello scenario, accompagnata da un guadagno di salute in esiti e da una ricaduta sociale tenuti distinti — costituisce la stima che la presente sezione offre al decisore regionale. Essa va letta come addizione ai risparmi del modello base, documentati nella Parte E, e non come sua sostituzione. Il valore effettivamente catturato dipende in misura determinante dalla formazione strutturata del personale: senza competenza diffusa, la dotazione tecnologica cattura una frazione modesta del beneficio potenziale, e la stima si rivela una proiezione non realizzata.</w:t>
      </w:r>
    </w:p>
    <w:p>
      <w:pPr>
        <w:pStyle w:val="BodyText"/>
      </w:pPr>
      <w:r>
        <w:rPr>
          <w:b/>
          <w:bCs/>
        </w:rPr>
        <w:t xml:space="preserve">Parte D — Efficacia clinica ed evidenza</w:t>
      </w:r>
    </w:p>
    <w:p>
      <w:pPr>
        <w:pStyle w:val="BodyText"/>
      </w:pPr>
      <w:r>
        <w:t xml:space="preserve">STUDIO REGIONALE · REGIONE PUGLIA · APPLICAZIONE DEL TELAIO INTEGRATO Riforma «Psicologo di Base» (L.R. 11/2023) Parte D Efficacia clinica ed evidenza Revisione sistematica, qualità dell’evidenza, benchmark internazionali, trasferibilità al contesto regionale Dominio 4 del modello HTA · nucleo della valutazione clinica · criterio di efficacia</w:t>
      </w:r>
    </w:p>
    <w:p>
      <w:pPr>
        <w:pStyle w:val="BodyText"/>
      </w:pPr>
      <w:r>
        <w:t xml:space="preserve">Parte D — Efficacia clinica ed evidenza Questa parte corrisponde al quarto dominio della valutazione di tecnologia sanitaria, l’efficacia clinica, e con i primi tre forma il nucleo che la prassi europea designa come valutazione rapida di efficacia relativa; risponde al criterio di efficacia della griglia di giudizio. Stabilito che cosa la riforma è, qui si accerta se essa funzioni: con quale solidità l’evidenza ne sostiene gli effetti (capitolo D.1), quanto sia certa tale evidenza (D.2), che cosa documentino i programmi internazionali più affini (D.3) e in che misura quei risultati siano trasferibili al contesto pugliese (D.4). La sintesi è condotta secondo standard riconosciuti, e la sua certezza è graduata in modo esplicito, perché una valutazione difendibile dichiara non solo ciò che l’evidenza mostra, ma anche quanto vi si possa fare affidamento. D.1 La revisione sistematica 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strutturata dei dati e sintesi. Gli studi sui dati reali sono trattati secondo la lista STROBE. 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 Il paradigma del Collaborative Care è il più studiato: è stato validato da oltre novanta studi randomizzati controllati, e uno studio fondativo documentò che circa la metà dei pazienti otteneva una riduzione dei sintomi pari almeno alla metà a dodici mesi, contro meno di un quinto nella cura usuale. Una meta-analisi su cinquantasette studi controllati ha stimato un miglioramento medio dei sintomi depressivi pari a 0,28 deviazioni standard, 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 La misura degli effetti si fonda ovunque su strumenti validati, il PHQ-9 e il GAD-7, dotati di buona sensibilità e specificità. 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perciò trattamenti più intensivi e costosi. È questa la logica per cui un effetto individuale contenuto si traduce, sulla popolazione pugliese di 780.000 persone con disagio comune, in un beneficio clinico e di sistema sostanziale. La tabella seguente riepiloga i principali risultati della letteratura. Fonte Risultato principale Studio fondativo (JAMA, 2002) ~ 50% dei pazienti con riduzione ≥ 50% dei sintomi a 12 mesi, contro 19% nella cura usuale Meta-analisi su 57 studi (2012) Miglioramento medio dei sintomi depressivi di 0,28 deviazioni standard Revisione su 42 implementazioni (2024) −47% depressione e −43% ansia a 6 mesi; −34% accessi al PS; −41% ricoveri</w:t>
      </w:r>
    </w:p>
    <w:p>
      <w:pPr>
        <w:pStyle w:val="BodyText"/>
      </w:pPr>
      <w:r>
        <w:t xml:space="preserve">Programma inglese, dati reali (2023–2024) Recupero 50,2%; miglioramento affidabile 67,8%; completezza dei dati &gt; 98% Meta-analisi sulle cure integrate Coefficiente standardizzato −0,11 sui sintomi depressivi (clinicamente rilevante su popolazione) Tabella D.1. Principali risultati della letteratura sull’efficacia dell’integrazione psicologica nelle cure primarie. D.2 La qualità dell’evidenza 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 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pugliese — limita l’indirettezza. Un elemento rafforza ulteriormente la fiducia nei risultati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controllati si mantiene nell’attuazione reale a scala nazionale. 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in sintesi, è sufficiente a sostenere con fiducia l’attesa di efficacia, fermo restando che la conferma definitiva sui dati pugliesi è affidata alla verifica locale prevista dalla Parte L. D.3 I benchmark internazionali La valutazione si avvale del confronto con i programmi internazionali più autorevoli, che costituiscono la principale base comparativa dell’intero studio. Quattro esperienze, condotte in sistemi sanitari avanzati, documentano efficacia, scalabilità e sostenibilità dell’integrazione psicologica nelle cure primarie. Il programma inglese è la dimostrazione più solida: fondato sulla cura a intensità crescente e su un monitoraggio quasi completo degli esiti, mantiene un tasso di recupero intorno al 50% su scala nazionale. Il modello olandese ha visto crescere l’adozione da circa un terzo a circa tre quarti dei medici di medicina generale in pochi anni, con il professionista psicologo integrato nelle cure primarie e finanziato nell’assicurazione di base. L’iniziativa australiana ha esteso il trattamento dei disturbi mentali dal 35% al 46% della popolazione bisognosa, con elevata soddisfazione, sebbene operi per invio esterno e non per integrazione. Il Collaborative Care statunitense, infine, è il paradigma più validato, con la più ampia base sperimentale. Due tratti accomunano i programmi più efficaci e orientano il disegno pugliese.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pugliese, fondato sull’inserimento dello psicologo nelle cure primarie con funzione di filtro, appartiene alla prima famiglia. Il secondo è il ricorso crescente agli strumenti digitali quale leva di accesso e di capacità, già ampiamente adottato nel programma inglese. A queste esperienze internazionali si affiancano le sperimentazioni italiane, tra cui il modello Solano nel Lazio, che ne hanno anticipato su scala locale i principi. La tabella seguente</w:t>
      </w:r>
    </w:p>
    <w:p>
      <w:pPr>
        <w:pStyle w:val="BodyText"/>
      </w:pPr>
      <w:r>
        <w:t xml:space="preserve">riepiloga i benchmark sul piano clinico e organizzativo; il confronto economico è sviluppato nella Parte E. Programma Assetto Esiti clinici e organizzativi Programma inglese (NHS Talking Therapies) Integrato; intensità crescente Recupero ~50%; monitoraggio &gt; 98%; &gt; 1,3 mln/anno Modello olandese (POH-GGZ) Integrato nelle cure primarie Adozione ~3/4 dei medici; ruolo complementare Iniziativa australiana (Better Access) Invio esterno Trattamento dal 35% al 46%; 91% miglioramenti Collaborative Care (Stati Uniti) Équipe integrata Oltre 90 studi controllati; −47% depressione; −41% ricoveri Esperienze italiane (Solano, Lazio) Sperimentazione locale Anticipazione del modello nelle cure primarie Tabella D.2. I benchmark internazionali e italiani sul piano clinico e organizzativo (il confronto economico è nella Parte E). D.4 La trasferibilità al contesto regionale L’evidenza internazionale non si applica automaticamente alla Puglia, e la sua trasferibilità va valutata con prudenza, distinguendo ciò che è robustamente generalizzabile da ciò che dipende dal contesto. Sul piano dell’assetto, la trasferibilità è favorevole: il modello pugliese, che integra lo psicologo nelle cure primarie con funzione di filtro, appartiene alla stessa famiglia dei programmi inglese, olandese e statunitense, e ne mutua le evidenze con maggiore pertinenza rispetto al modello australiano per invio esterno. Gli esiti clinici fondamentali — il recupero e la riduzione dei sintomi mediante interventi brevi e monitorati — poggiano su meccanismi clinici generali, non legati a un particolare sistema sanitario, e sono perciò ragionevolmente trasferibili. Permangono, tuttavia, differenze che impongono cautela. I sistemi sanitari differiscono per organizzazione e per copertura di partenza; la Puglia muove da un servizio al 5% del fabbisogno e da una sotto-rilevazione del disagio documentata, che da un lato accresce il bisogno latente da intercettare, dall’altro rende incerta la rapidità dell’emersione della domanda; e la disponibilità di organico psicologico formato è un vincolo reale dei primi anni. 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sei aziende, oggetto della Parte L, è disegnato precisamente per misurare sui dati pugliesi gli effetti che la letteratura attende, trasformando le stime in prove. Un’ultima precisazione attiene al confine tra questa parte e quella economica. I programmi internazionali documentano non solo esiti clinici, ma anche ritorni economici; questi ultimi, tuttavia, non sono trattati qui, dove rileva la sola efficacia clinica, bensì nella Parte E, ove il caso pugliese adotta la stima conservativa consolidata e distingue il risparmio diretto per il bilancio dalle ricadute sociali. 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p>
      <w:r>
        <w:br w:type="page"/>
      </w:r>
    </w:p>
    <w:bookmarkEnd w:id="2628"/>
    <w:bookmarkEnd w:id="2629"/>
    <w:bookmarkEnd w:id="2630"/>
    <w:bookmarkStart w:id="2637" w:name="X32eb2f4cb3e5aa4bb93d4ddb91b77fdf194918f"/>
    <w:p>
      <w:pPr>
        <w:pStyle w:val="Heading1"/>
      </w:pPr>
      <w:r>
        <w:t xml:space="preserve">Appendice XXVIII — La valutazione economico-clinica comparata della cura collaborativa e della terapia cognitivo-comportamentale computerizzata</w:t>
      </w:r>
    </w:p>
    <w:bookmarkStart w:id="2635" w:name="X0fa3e132aa1ea4d5f167a2b0f8f95364a2e4a8e"/>
    <w:p>
      <w:pPr>
        <w:pStyle w:val="Heading3"/>
      </w:pPr>
      <w:r>
        <w:rPr>
          <w:b/>
          <w:bCs/>
        </w:rPr>
        <w:t xml:space="preserve">D.5 La valutazione economico-clinica della cura collaborativa e della terapia cognitivo-comportamentale computerizzata: corpus di evidenza comparata</w:t>
      </w:r>
    </w:p>
    <w:p>
      <w:pPr>
        <w:pStyle w:val="FirstParagraph"/>
      </w:pPr>
      <w:r>
        <w:t xml:space="preserve">Il corpus internazionale di valutazione economica delle modalità di integrazione psicologica nelle cure primarie si è consolidato, a partire dal 1998, attorno a due paradigmi principali: la cura collaborativa (Collaborative Care Model, CoCM) — fondata sulla triade medico di medicina generale, coordinatore clinico e psichiatra consulente — e la terapia cognitivo-comportamentale erogata per via informatica (iCBT), oggi denominata computerizzata o digitale. Le principali rassegne sistematiche che ne documentano il profilo economico — Gilbody e collaboratori (2006), van Steenbergen-Weijenburg e collaboratori (2010) e Grochtdreis e collaboratori (2015) — registrano complessivamente da diciannove a trentasette sperimentazioni controllate e randomizzate, con numerosità campionarie comprese tra sessantacinque e milleottocentouno soggetti e un orizzonte di osservazione tra i sei e i ventiquattro mesi. La qualità metodologica, valutata mediante la lista CHEC (Consensus on Health Economic Criteria), soddisfa una quota di criteri oscillante tra il quarantadue e l’ottantanove per cento, con valore medio prossimo al sessantanove per cento. Il presente capitolo integra sistematicamente tale corpus, ne eleva la precisione analitica e lo arricchisce con il confronto tra i due paradigmi, con la stima della produttività recuperata secondo la duplice prospettiva del capitale umano e del costo di frizione, e con la proiezione contestualizzata sul Servizio Sanitario Regionale pugliese.</w:t>
      </w:r>
    </w:p>
    <w:p>
      <w:pPr>
        <w:pStyle w:val="BodyText"/>
      </w:pPr>
      <w:r>
        <w:t xml:space="preserve">Tabella D.3. Il corpus di studi sul Collaborative Care: caratteristiche degli studi e modelli di intervento.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131"/>
        <w:gridCol w:w="1131"/>
        <w:gridCol w:w="1131"/>
        <w:gridCol w:w="1131"/>
        <w:gridCol w:w="1131"/>
        <w:gridCol w:w="1131"/>
        <w:gridCol w:w="1131"/>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Studio (autori, anno)</w:t>
            </w:r>
          </w:p>
        </w:tc>
        <w:tc>
          <w:tcPr>
            <w:shd w:val="clear" w:color="auto" w:fill="16264B"/>
          </w:tcPr>
          <w:p>
            <w:pPr>
              <w:pStyle w:val="Compact"/>
              <w:spacing w:after="40" w:before="40"/>
              <w:jc w:val="left"/>
            </w:pPr>
            <w:r>
              <w:rPr>
                <w:rFonts w:ascii="Cambria" w:hAnsi="Cambria" w:cs="Cambria" w:eastAsia="Cambria"/>
                <w:b/>
                <w:bCs/>
                <w:color w:val="FFFFFF"/>
                <w:sz w:val="18"/>
              </w:rPr>
              <w:t xml:space="preserve">Paese</w:t>
            </w:r>
          </w:p>
        </w:tc>
        <w:tc>
          <w:tcPr>
            <w:shd w:val="clear" w:color="auto" w:fill="16264B"/>
          </w:tcPr>
          <w:p>
            <w:pPr>
              <w:pStyle w:val="Compact"/>
              <w:spacing w:after="40" w:before="40"/>
              <w:jc w:val="left"/>
            </w:pPr>
            <w:r>
              <w:rPr>
                <w:rFonts w:ascii="Cambria" w:hAnsi="Cambria" w:cs="Cambria" w:eastAsia="Cambria"/>
                <w:b/>
                <w:bCs/>
                <w:color w:val="FFFFFF"/>
                <w:sz w:val="18"/>
              </w:rPr>
              <w:t xml:space="preserve">N</w:t>
            </w:r>
          </w:p>
        </w:tc>
        <w:tc>
          <w:tcPr>
            <w:shd w:val="clear" w:color="auto" w:fill="16264B"/>
          </w:tcPr>
          <w:p>
            <w:pPr>
              <w:pStyle w:val="Compact"/>
              <w:spacing w:after="40" w:before="40"/>
              <w:jc w:val="left"/>
            </w:pPr>
            <w:r>
              <w:rPr>
                <w:rFonts w:ascii="Cambria" w:hAnsi="Cambria" w:cs="Cambria" w:eastAsia="Cambria"/>
                <w:b/>
                <w:bCs/>
                <w:color w:val="FFFFFF"/>
                <w:sz w:val="18"/>
              </w:rPr>
              <w:t xml:space="preserve">Età</w:t>
            </w:r>
          </w:p>
        </w:tc>
        <w:tc>
          <w:tcPr>
            <w:shd w:val="clear" w:color="auto" w:fill="16264B"/>
          </w:tcPr>
          <w:p>
            <w:pPr>
              <w:pStyle w:val="Compact"/>
              <w:spacing w:after="40" w:before="40"/>
              <w:jc w:val="left"/>
            </w:pPr>
            <w:r>
              <w:rPr>
                <w:rFonts w:ascii="Cambria" w:hAnsi="Cambria" w:cs="Cambria" w:eastAsia="Cambria"/>
                <w:b/>
                <w:bCs/>
                <w:color w:val="FFFFFF"/>
                <w:sz w:val="18"/>
              </w:rPr>
              <w:t xml:space="preserve">Setting</w:t>
            </w:r>
          </w:p>
        </w:tc>
        <w:tc>
          <w:tcPr>
            <w:shd w:val="clear" w:color="auto" w:fill="16264B"/>
          </w:tcPr>
          <w:p>
            <w:pPr>
              <w:pStyle w:val="Compact"/>
              <w:spacing w:after="40" w:before="40"/>
              <w:jc w:val="left"/>
            </w:pPr>
            <w:r>
              <w:rPr>
                <w:rFonts w:ascii="Cambria" w:hAnsi="Cambria" w:cs="Cambria" w:eastAsia="Cambria"/>
                <w:b/>
                <w:bCs/>
                <w:color w:val="FFFFFF"/>
                <w:sz w:val="18"/>
              </w:rPr>
              <w:t xml:space="preserve">Modello di cura collaborativa</w:t>
            </w:r>
          </w:p>
        </w:tc>
        <w:tc>
          <w:tcPr>
            <w:shd w:val="clear" w:color="auto" w:fill="16264B"/>
          </w:tcPr>
          <w:p>
            <w:pPr>
              <w:pStyle w:val="Compact"/>
              <w:spacing w:after="40" w:before="40"/>
              <w:jc w:val="left"/>
            </w:pPr>
            <w:r>
              <w:rPr>
                <w:rFonts w:ascii="Cambria" w:hAnsi="Cambria" w:cs="Cambria" w:eastAsia="Cambria"/>
                <w:b/>
                <w:bCs/>
                <w:color w:val="FFFFFF"/>
                <w:sz w:val="18"/>
              </w:rPr>
              <w:t xml:space="preserve">Follow-up</w:t>
            </w:r>
          </w:p>
        </w:tc>
      </w:tr>
      <w:tr>
        <w:tc>
          <w:tcPr/>
          <w:p>
            <w:pPr>
              <w:pStyle w:val="Compact"/>
              <w:spacing w:after="40" w:before="40"/>
              <w:jc w:val="left"/>
            </w:pPr>
            <w:r>
              <w:rPr>
                <w:rFonts w:ascii="Cambria" w:hAnsi="Cambria" w:cs="Cambria" w:eastAsia="Cambria"/>
                <w:color w:val="1A1A1A"/>
                <w:sz w:val="18"/>
              </w:rPr>
              <w:t xml:space="preserve">IMPACT — Unützer et al., 2002/2008</w:t>
            </w:r>
          </w:p>
        </w:tc>
        <w:tc>
          <w:tcPr/>
          <w:p>
            <w:pPr>
              <w:pStyle w:val="Compact"/>
              <w:spacing w:after="40" w:before="40"/>
              <w:jc w:val="left"/>
            </w:pPr>
            <w:r>
              <w:rPr>
                <w:rFonts w:ascii="Cambria" w:hAnsi="Cambria" w:cs="Cambria" w:eastAsia="Cambria"/>
                <w:color w:val="1A1A1A"/>
                <w:sz w:val="18"/>
              </w:rPr>
              <w:t xml:space="preserve">USA</w:t>
            </w:r>
          </w:p>
        </w:tc>
        <w:tc>
          <w:tcPr/>
          <w:p>
            <w:pPr>
              <w:pStyle w:val="Compact"/>
              <w:spacing w:after="40" w:before="40"/>
              <w:jc w:val="left"/>
            </w:pPr>
            <w:r>
              <w:rPr>
                <w:rFonts w:ascii="Cambria" w:hAnsi="Cambria" w:cs="Cambria" w:eastAsia="Cambria"/>
                <w:color w:val="1A1A1A"/>
                <w:sz w:val="18"/>
              </w:rPr>
              <w:t xml:space="preserve">1.801</w:t>
            </w:r>
          </w:p>
        </w:tc>
        <w:tc>
          <w:tcPr/>
          <w:p>
            <w:pPr>
              <w:pStyle w:val="Compact"/>
              <w:spacing w:after="40" w:before="40"/>
              <w:jc w:val="left"/>
            </w:pPr>
            <w:r>
              <w:rPr>
                <w:rFonts w:ascii="Cambria" w:hAnsi="Cambria" w:cs="Cambria" w:eastAsia="Cambria"/>
                <w:color w:val="1A1A1A"/>
                <w:sz w:val="18"/>
              </w:rPr>
              <w:t xml:space="preserve">71,2 · ≥60</w:t>
            </w:r>
          </w:p>
        </w:tc>
        <w:tc>
          <w:tcPr/>
          <w:p>
            <w:pPr>
              <w:pStyle w:val="Compact"/>
              <w:spacing w:after="40" w:before="40"/>
              <w:jc w:val="left"/>
            </w:pPr>
            <w:r>
              <w:rPr>
                <w:rFonts w:ascii="Cambria" w:hAnsi="Cambria" w:cs="Cambria" w:eastAsia="Cambria"/>
                <w:color w:val="1A1A1A"/>
                <w:sz w:val="18"/>
              </w:rPr>
              <w:t xml:space="preserve">Cure primarie (18 cliniche)</w:t>
            </w:r>
          </w:p>
        </w:tc>
        <w:tc>
          <w:tcPr/>
          <w:p>
            <w:pPr>
              <w:pStyle w:val="Compact"/>
              <w:spacing w:after="40" w:before="40"/>
              <w:jc w:val="left"/>
            </w:pPr>
            <w:r>
              <w:rPr>
                <w:rFonts w:ascii="Cambria" w:hAnsi="Cambria" w:cs="Cambria" w:eastAsia="Cambria"/>
                <w:color w:val="1A1A1A"/>
                <w:sz w:val="18"/>
              </w:rPr>
              <w:t xml:space="preserve">Case manager + MMG + psichiatra; cura per livelli; problem-solving</w:t>
            </w:r>
          </w:p>
        </w:tc>
        <w:tc>
          <w:tcPr/>
          <w:p>
            <w:pPr>
              <w:pStyle w:val="Compact"/>
              <w:spacing w:after="40" w:before="40"/>
              <w:jc w:val="left"/>
            </w:pPr>
            <w:r>
              <w:rPr>
                <w:rFonts w:ascii="Cambria" w:hAnsi="Cambria" w:cs="Cambria" w:eastAsia="Cambria"/>
                <w:color w:val="1A1A1A"/>
                <w:sz w:val="18"/>
              </w:rPr>
              <w:t xml:space="preserve">24 mesi + 4 anni</w:t>
            </w:r>
          </w:p>
        </w:tc>
      </w:tr>
      <w:tr>
        <w:tc>
          <w:tcPr>
            <w:shd w:val="clear" w:color="auto" w:fill="F4F1EC"/>
          </w:tcPr>
          <w:p>
            <w:pPr>
              <w:pStyle w:val="Compact"/>
              <w:spacing w:after="40" w:before="40"/>
              <w:jc w:val="left"/>
            </w:pPr>
            <w:r>
              <w:rPr>
                <w:rFonts w:ascii="Cambria" w:hAnsi="Cambria" w:cs="Cambria" w:eastAsia="Cambria"/>
                <w:color w:val="1A1A1A"/>
                <w:sz w:val="18"/>
              </w:rPr>
              <w:t xml:space="preserve">PROSPECT — Alexopoulos et al., 2004</w:t>
            </w:r>
          </w:p>
        </w:tc>
        <w:tc>
          <w:tcPr>
            <w:shd w:val="clear" w:color="auto" w:fill="F4F1EC"/>
          </w:tcPr>
          <w:p>
            <w:pPr>
              <w:pStyle w:val="Compact"/>
              <w:spacing w:after="40" w:before="40"/>
              <w:jc w:val="left"/>
            </w:pPr>
            <w:r>
              <w:rPr>
                <w:rFonts w:ascii="Cambria" w:hAnsi="Cambria" w:cs="Cambria" w:eastAsia="Cambria"/>
                <w:color w:val="1A1A1A"/>
                <w:sz w:val="18"/>
              </w:rPr>
              <w:t xml:space="preserve">USA</w:t>
            </w:r>
          </w:p>
        </w:tc>
        <w:tc>
          <w:tcPr>
            <w:shd w:val="clear" w:color="auto" w:fill="F4F1EC"/>
          </w:tcPr>
          <w:p>
            <w:pPr>
              <w:pStyle w:val="Compact"/>
              <w:spacing w:after="40" w:before="40"/>
              <w:jc w:val="left"/>
            </w:pPr>
            <w:r>
              <w:rPr>
                <w:rFonts w:ascii="Cambria" w:hAnsi="Cambria" w:cs="Cambria" w:eastAsia="Cambria"/>
                <w:color w:val="1A1A1A"/>
                <w:sz w:val="18"/>
              </w:rPr>
              <w:t xml:space="preserve">598</w:t>
            </w:r>
          </w:p>
        </w:tc>
        <w:tc>
          <w:tcPr>
            <w:shd w:val="clear" w:color="auto" w:fill="F4F1EC"/>
          </w:tcPr>
          <w:p>
            <w:pPr>
              <w:pStyle w:val="Compact"/>
              <w:spacing w:after="40" w:before="40"/>
              <w:jc w:val="left"/>
            </w:pPr>
            <w:r>
              <w:rPr>
                <w:rFonts w:ascii="Cambria" w:hAnsi="Cambria" w:cs="Cambria" w:eastAsia="Cambria"/>
                <w:color w:val="1A1A1A"/>
                <w:sz w:val="18"/>
              </w:rPr>
              <w:t xml:space="preserve">&gt;65</w:t>
            </w:r>
          </w:p>
        </w:tc>
        <w:tc>
          <w:tcPr>
            <w:shd w:val="clear" w:color="auto" w:fill="F4F1EC"/>
          </w:tcPr>
          <w:p>
            <w:pPr>
              <w:pStyle w:val="Compact"/>
              <w:spacing w:after="40" w:before="40"/>
              <w:jc w:val="left"/>
            </w:pPr>
            <w:r>
              <w:rPr>
                <w:rFonts w:ascii="Cambria" w:hAnsi="Cambria" w:cs="Cambria" w:eastAsia="Cambria"/>
                <w:color w:val="1A1A1A"/>
                <w:sz w:val="18"/>
              </w:rPr>
              <w:t xml:space="preserve">Cure primarie</w:t>
            </w:r>
          </w:p>
        </w:tc>
        <w:tc>
          <w:tcPr>
            <w:shd w:val="clear" w:color="auto" w:fill="F4F1EC"/>
          </w:tcPr>
          <w:p>
            <w:pPr>
              <w:pStyle w:val="Compact"/>
              <w:spacing w:after="40" w:before="40"/>
              <w:jc w:val="left"/>
            </w:pPr>
            <w:r>
              <w:rPr>
                <w:rFonts w:ascii="Cambria" w:hAnsi="Cambria" w:cs="Cambria" w:eastAsia="Cambria"/>
                <w:color w:val="1A1A1A"/>
                <w:sz w:val="18"/>
              </w:rPr>
              <w:t xml:space="preserve">Specialista della depressione + MMG; algoritmo terapeutico guidato</w:t>
            </w:r>
          </w:p>
        </w:tc>
        <w:tc>
          <w:tcPr>
            <w:shd w:val="clear" w:color="auto" w:fill="F4F1EC"/>
          </w:tcPr>
          <w:p>
            <w:pPr>
              <w:pStyle w:val="Compact"/>
              <w:spacing w:after="40" w:before="40"/>
              <w:jc w:val="left"/>
            </w:pPr>
            <w:r>
              <w:rPr>
                <w:rFonts w:ascii="Cambria" w:hAnsi="Cambria" w:cs="Cambria" w:eastAsia="Cambria"/>
                <w:color w:val="1A1A1A"/>
                <w:sz w:val="18"/>
              </w:rPr>
              <w:t xml:space="preserve">24 mesi + 96 mesi</w:t>
            </w:r>
          </w:p>
        </w:tc>
      </w:tr>
      <w:tr>
        <w:tc>
          <w:tcPr/>
          <w:p>
            <w:pPr>
              <w:pStyle w:val="Compact"/>
              <w:spacing w:after="40" w:before="40"/>
              <w:jc w:val="left"/>
            </w:pPr>
            <w:r>
              <w:rPr>
                <w:rFonts w:ascii="Cambria" w:hAnsi="Cambria" w:cs="Cambria" w:eastAsia="Cambria"/>
                <w:color w:val="1A1A1A"/>
                <w:sz w:val="18"/>
              </w:rPr>
              <w:t xml:space="preserve">PRISM-E — Bartels et al., 2004</w:t>
            </w:r>
          </w:p>
        </w:tc>
        <w:tc>
          <w:tcPr/>
          <w:p>
            <w:pPr>
              <w:pStyle w:val="Compact"/>
              <w:spacing w:after="40" w:before="40"/>
              <w:jc w:val="left"/>
            </w:pPr>
            <w:r>
              <w:rPr>
                <w:rFonts w:ascii="Cambria" w:hAnsi="Cambria" w:cs="Cambria" w:eastAsia="Cambria"/>
                <w:color w:val="1A1A1A"/>
                <w:sz w:val="18"/>
              </w:rPr>
              <w:t xml:space="preserve">USA</w:t>
            </w:r>
          </w:p>
        </w:tc>
        <w:tc>
          <w:tcPr/>
          <w:p>
            <w:pPr>
              <w:pStyle w:val="Compact"/>
              <w:spacing w:after="40" w:before="40"/>
              <w:jc w:val="left"/>
            </w:pPr>
            <w:r>
              <w:rPr>
                <w:rFonts w:ascii="Cambria" w:hAnsi="Cambria" w:cs="Cambria" w:eastAsia="Cambria"/>
                <w:color w:val="1A1A1A"/>
                <w:sz w:val="18"/>
              </w:rPr>
              <w:t xml:space="preserve">2.022</w:t>
            </w:r>
          </w:p>
        </w:tc>
        <w:tc>
          <w:tcPr/>
          <w:p>
            <w:pPr>
              <w:pStyle w:val="Compact"/>
              <w:spacing w:after="40" w:before="40"/>
              <w:jc w:val="left"/>
            </w:pPr>
            <w:r>
              <w:rPr>
                <w:rFonts w:ascii="Cambria" w:hAnsi="Cambria" w:cs="Cambria" w:eastAsia="Cambria"/>
                <w:color w:val="1A1A1A"/>
                <w:sz w:val="18"/>
              </w:rPr>
              <w:t xml:space="preserve">73,5 · ≥60</w:t>
            </w:r>
          </w:p>
        </w:tc>
        <w:tc>
          <w:tcPr/>
          <w:p>
            <w:pPr>
              <w:pStyle w:val="Compact"/>
              <w:spacing w:after="40" w:before="40"/>
              <w:jc w:val="left"/>
            </w:pPr>
            <w:r>
              <w:rPr>
                <w:rFonts w:ascii="Cambria" w:hAnsi="Cambria" w:cs="Cambria" w:eastAsia="Cambria"/>
                <w:color w:val="1A1A1A"/>
                <w:sz w:val="18"/>
              </w:rPr>
              <w:t xml:space="preserve">Cure primarie / VA</w:t>
            </w:r>
          </w:p>
        </w:tc>
        <w:tc>
          <w:tcPr/>
          <w:p>
            <w:pPr>
              <w:pStyle w:val="Compact"/>
              <w:spacing w:after="40" w:before="40"/>
              <w:jc w:val="left"/>
            </w:pPr>
            <w:r>
              <w:rPr>
                <w:rFonts w:ascii="Cambria" w:hAnsi="Cambria" w:cs="Cambria" w:eastAsia="Cambria"/>
                <w:color w:val="1A1A1A"/>
                <w:sz w:val="18"/>
              </w:rPr>
              <w:t xml:space="preserve">Cura integrata vs invio specialistico</w:t>
            </w:r>
          </w:p>
        </w:tc>
        <w:tc>
          <w:tcPr/>
          <w:p>
            <w:pPr>
              <w:pStyle w:val="Compact"/>
              <w:spacing w:after="40" w:before="40"/>
              <w:jc w:val="left"/>
            </w:pPr>
            <w:r>
              <w:rPr>
                <w:rFonts w:ascii="Cambria" w:hAnsi="Cambria" w:cs="Cambria" w:eastAsia="Cambria"/>
                <w:color w:val="1A1A1A"/>
                <w:sz w:val="18"/>
              </w:rPr>
              <w:t xml:space="preserve">12 mesi</w:t>
            </w:r>
          </w:p>
        </w:tc>
      </w:tr>
      <w:tr>
        <w:tc>
          <w:tcPr>
            <w:shd w:val="clear" w:color="auto" w:fill="F4F1EC"/>
          </w:tcPr>
          <w:p>
            <w:pPr>
              <w:pStyle w:val="Compact"/>
              <w:spacing w:after="40" w:before="40"/>
              <w:jc w:val="left"/>
            </w:pPr>
            <w:r>
              <w:rPr>
                <w:rFonts w:ascii="Cambria" w:hAnsi="Cambria" w:cs="Cambria" w:eastAsia="Cambria"/>
                <w:color w:val="1A1A1A"/>
                <w:sz w:val="18"/>
              </w:rPr>
              <w:t xml:space="preserve">IMPACT-Diabetici — Katon et al., 2006</w:t>
            </w:r>
          </w:p>
        </w:tc>
        <w:tc>
          <w:tcPr>
            <w:shd w:val="clear" w:color="auto" w:fill="F4F1EC"/>
          </w:tcPr>
          <w:p>
            <w:pPr>
              <w:pStyle w:val="Compact"/>
              <w:spacing w:after="40" w:before="40"/>
              <w:jc w:val="left"/>
            </w:pPr>
            <w:r>
              <w:rPr>
                <w:rFonts w:ascii="Cambria" w:hAnsi="Cambria" w:cs="Cambria" w:eastAsia="Cambria"/>
                <w:color w:val="1A1A1A"/>
                <w:sz w:val="18"/>
              </w:rPr>
              <w:t xml:space="preserve">USA</w:t>
            </w:r>
          </w:p>
        </w:tc>
        <w:tc>
          <w:tcPr>
            <w:shd w:val="clear" w:color="auto" w:fill="F4F1EC"/>
          </w:tcPr>
          <w:p>
            <w:pPr>
              <w:pStyle w:val="Compact"/>
              <w:spacing w:after="40" w:before="40"/>
              <w:jc w:val="left"/>
            </w:pPr>
            <w:r>
              <w:rPr>
                <w:rFonts w:ascii="Cambria" w:hAnsi="Cambria" w:cs="Cambria" w:eastAsia="Cambria"/>
                <w:color w:val="1A1A1A"/>
                <w:sz w:val="18"/>
              </w:rPr>
              <w:t xml:space="preserve">417</w:t>
            </w:r>
          </w:p>
        </w:tc>
        <w:tc>
          <w:tcPr>
            <w:shd w:val="clear" w:color="auto" w:fill="F4F1EC"/>
          </w:tcPr>
          <w:p>
            <w:pPr>
              <w:pStyle w:val="Compact"/>
              <w:spacing w:after="40" w:before="40"/>
              <w:jc w:val="left"/>
            </w:pPr>
            <w:r>
              <w:rPr>
                <w:rFonts w:ascii="Cambria" w:hAnsi="Cambria" w:cs="Cambria" w:eastAsia="Cambria"/>
                <w:color w:val="1A1A1A"/>
                <w:sz w:val="18"/>
              </w:rPr>
              <w:t xml:space="preserve">≥60</w:t>
            </w:r>
          </w:p>
        </w:tc>
        <w:tc>
          <w:tcPr>
            <w:shd w:val="clear" w:color="auto" w:fill="F4F1EC"/>
          </w:tcPr>
          <w:p>
            <w:pPr>
              <w:pStyle w:val="Compact"/>
              <w:spacing w:after="40" w:before="40"/>
              <w:jc w:val="left"/>
            </w:pPr>
            <w:r>
              <w:rPr>
                <w:rFonts w:ascii="Cambria" w:hAnsi="Cambria" w:cs="Cambria" w:eastAsia="Cambria"/>
                <w:color w:val="1A1A1A"/>
                <w:sz w:val="18"/>
              </w:rPr>
              <w:t xml:space="preserve">Cure primarie</w:t>
            </w:r>
          </w:p>
        </w:tc>
        <w:tc>
          <w:tcPr>
            <w:shd w:val="clear" w:color="auto" w:fill="F4F1EC"/>
          </w:tcPr>
          <w:p>
            <w:pPr>
              <w:pStyle w:val="Compact"/>
              <w:spacing w:after="40" w:before="40"/>
              <w:jc w:val="left"/>
            </w:pPr>
            <w:r>
              <w:rPr>
                <w:rFonts w:ascii="Cambria" w:hAnsi="Cambria" w:cs="Cambria" w:eastAsia="Cambria"/>
                <w:color w:val="1A1A1A"/>
                <w:sz w:val="18"/>
              </w:rPr>
              <w:t xml:space="preserve">Modello IMPACT; comorbilità diabete-depressione</w:t>
            </w:r>
          </w:p>
        </w:tc>
        <w:tc>
          <w:tcPr>
            <w:shd w:val="clear" w:color="auto" w:fill="F4F1EC"/>
          </w:tcPr>
          <w:p>
            <w:pPr>
              <w:pStyle w:val="Compact"/>
              <w:spacing w:after="40" w:before="40"/>
              <w:jc w:val="left"/>
            </w:pPr>
            <w:r>
              <w:rPr>
                <w:rFonts w:ascii="Cambria" w:hAnsi="Cambria" w:cs="Cambria" w:eastAsia="Cambria"/>
                <w:color w:val="1A1A1A"/>
                <w:sz w:val="18"/>
              </w:rPr>
              <w:t xml:space="preserve">24 mesi</w:t>
            </w:r>
          </w:p>
        </w:tc>
      </w:tr>
      <w:tr>
        <w:tc>
          <w:tcPr/>
          <w:p>
            <w:pPr>
              <w:pStyle w:val="Compact"/>
              <w:spacing w:after="40" w:before="40"/>
              <w:jc w:val="left"/>
            </w:pPr>
            <w:r>
              <w:rPr>
                <w:rFonts w:ascii="Cambria" w:hAnsi="Cambria" w:cs="Cambria" w:eastAsia="Cambria"/>
                <w:color w:val="1A1A1A"/>
                <w:sz w:val="18"/>
              </w:rPr>
              <w:t xml:space="preserve">Simon et al., 2001a</w:t>
            </w:r>
          </w:p>
        </w:tc>
        <w:tc>
          <w:tcPr/>
          <w:p>
            <w:pPr>
              <w:pStyle w:val="Compact"/>
              <w:spacing w:after="40" w:before="40"/>
              <w:jc w:val="left"/>
            </w:pPr>
            <w:r>
              <w:rPr>
                <w:rFonts w:ascii="Cambria" w:hAnsi="Cambria" w:cs="Cambria" w:eastAsia="Cambria"/>
                <w:color w:val="1A1A1A"/>
                <w:sz w:val="18"/>
              </w:rPr>
              <w:t xml:space="preserve">USA</w:t>
            </w:r>
          </w:p>
        </w:tc>
        <w:tc>
          <w:tcPr/>
          <w:p>
            <w:pPr>
              <w:pStyle w:val="Compact"/>
              <w:spacing w:after="40" w:before="40"/>
              <w:jc w:val="left"/>
            </w:pPr>
            <w:r>
              <w:rPr>
                <w:rFonts w:ascii="Cambria" w:hAnsi="Cambria" w:cs="Cambria" w:eastAsia="Cambria"/>
                <w:color w:val="1A1A1A"/>
                <w:sz w:val="18"/>
              </w:rPr>
              <w:t xml:space="preserve">228</w:t>
            </w:r>
          </w:p>
        </w:tc>
        <w:tc>
          <w:tcPr/>
          <w:p>
            <w:pPr>
              <w:pStyle w:val="Compact"/>
              <w:spacing w:after="40" w:before="40"/>
              <w:jc w:val="left"/>
            </w:pPr>
            <w:r>
              <w:rPr>
                <w:rFonts w:ascii="Cambria" w:hAnsi="Cambria" w:cs="Cambria" w:eastAsia="Cambria"/>
                <w:color w:val="1A1A1A"/>
                <w:sz w:val="18"/>
              </w:rPr>
              <w:t xml:space="preserve">18–64</w:t>
            </w:r>
          </w:p>
        </w:tc>
        <w:tc>
          <w:tcPr/>
          <w:p>
            <w:pPr>
              <w:pStyle w:val="Compact"/>
              <w:spacing w:after="40" w:before="40"/>
              <w:jc w:val="left"/>
            </w:pPr>
            <w:r>
              <w:rPr>
                <w:rFonts w:ascii="Cambria" w:hAnsi="Cambria" w:cs="Cambria" w:eastAsia="Cambria"/>
                <w:color w:val="1A1A1A"/>
                <w:sz w:val="18"/>
              </w:rPr>
              <w:t xml:space="preserve">Cure primarie</w:t>
            </w:r>
          </w:p>
        </w:tc>
        <w:tc>
          <w:tcPr/>
          <w:p>
            <w:pPr>
              <w:pStyle w:val="Compact"/>
              <w:spacing w:after="40" w:before="40"/>
              <w:jc w:val="left"/>
            </w:pPr>
            <w:r>
              <w:rPr>
                <w:rFonts w:ascii="Cambria" w:hAnsi="Cambria" w:cs="Cambria" w:eastAsia="Cambria"/>
                <w:color w:val="1A1A1A"/>
                <w:sz w:val="18"/>
              </w:rPr>
              <w:t xml:space="preserve">Cura per livelli; educazione; consulenza psichiatrica telefonica</w:t>
            </w:r>
          </w:p>
        </w:tc>
        <w:tc>
          <w:tcPr/>
          <w:p>
            <w:pPr>
              <w:pStyle w:val="Compact"/>
              <w:spacing w:after="40" w:before="40"/>
              <w:jc w:val="left"/>
            </w:pPr>
            <w:r>
              <w:rPr>
                <w:rFonts w:ascii="Cambria" w:hAnsi="Cambria" w:cs="Cambria" w:eastAsia="Cambria"/>
                <w:color w:val="1A1A1A"/>
                <w:sz w:val="18"/>
              </w:rPr>
              <w:t xml:space="preserve">6 mesi</w:t>
            </w:r>
          </w:p>
        </w:tc>
      </w:tr>
      <w:tr>
        <w:tc>
          <w:tcPr>
            <w:shd w:val="clear" w:color="auto" w:fill="F4F1EC"/>
          </w:tcPr>
          <w:p>
            <w:pPr>
              <w:pStyle w:val="Compact"/>
              <w:spacing w:after="40" w:before="40"/>
              <w:jc w:val="left"/>
            </w:pPr>
            <w:r>
              <w:rPr>
                <w:rFonts w:ascii="Cambria" w:hAnsi="Cambria" w:cs="Cambria" w:eastAsia="Cambria"/>
                <w:color w:val="1A1A1A"/>
                <w:sz w:val="18"/>
              </w:rPr>
              <w:t xml:space="preserve">Simon et al., 2007</w:t>
            </w:r>
          </w:p>
        </w:tc>
        <w:tc>
          <w:tcPr>
            <w:shd w:val="clear" w:color="auto" w:fill="F4F1EC"/>
          </w:tcPr>
          <w:p>
            <w:pPr>
              <w:pStyle w:val="Compact"/>
              <w:spacing w:after="40" w:before="40"/>
              <w:jc w:val="left"/>
            </w:pPr>
            <w:r>
              <w:rPr>
                <w:rFonts w:ascii="Cambria" w:hAnsi="Cambria" w:cs="Cambria" w:eastAsia="Cambria"/>
                <w:color w:val="1A1A1A"/>
                <w:sz w:val="18"/>
              </w:rPr>
              <w:t xml:space="preserve">USA</w:t>
            </w:r>
          </w:p>
        </w:tc>
        <w:tc>
          <w:tcPr>
            <w:shd w:val="clear" w:color="auto" w:fill="F4F1EC"/>
          </w:tcPr>
          <w:p>
            <w:pPr>
              <w:pStyle w:val="Compact"/>
              <w:spacing w:after="40" w:before="40"/>
              <w:jc w:val="left"/>
            </w:pPr>
            <w:r>
              <w:rPr>
                <w:rFonts w:ascii="Cambria" w:hAnsi="Cambria" w:cs="Cambria" w:eastAsia="Cambria"/>
                <w:color w:val="1A1A1A"/>
                <w:sz w:val="18"/>
              </w:rPr>
              <w:t xml:space="preserve">329</w:t>
            </w:r>
          </w:p>
        </w:tc>
        <w:tc>
          <w:tcPr>
            <w:shd w:val="clear" w:color="auto" w:fill="F4F1EC"/>
          </w:tcPr>
          <w:p>
            <w:pPr>
              <w:pStyle w:val="Compact"/>
              <w:spacing w:after="40" w:before="40"/>
              <w:jc w:val="left"/>
            </w:pPr>
            <w:r>
              <w:rPr>
                <w:rFonts w:ascii="Cambria" w:hAnsi="Cambria" w:cs="Cambria" w:eastAsia="Cambria"/>
                <w:color w:val="1A1A1A"/>
                <w:sz w:val="18"/>
              </w:rPr>
              <w:t xml:space="preserve">18–64</w:t>
            </w:r>
          </w:p>
        </w:tc>
        <w:tc>
          <w:tcPr>
            <w:shd w:val="clear" w:color="auto" w:fill="F4F1EC"/>
          </w:tcPr>
          <w:p>
            <w:pPr>
              <w:pStyle w:val="Compact"/>
              <w:spacing w:after="40" w:before="40"/>
              <w:jc w:val="left"/>
            </w:pPr>
            <w:r>
              <w:rPr>
                <w:rFonts w:ascii="Cambria" w:hAnsi="Cambria" w:cs="Cambria" w:eastAsia="Cambria"/>
                <w:color w:val="1A1A1A"/>
                <w:sz w:val="18"/>
              </w:rPr>
              <w:t xml:space="preserve">Cure primarie</w:t>
            </w:r>
          </w:p>
        </w:tc>
        <w:tc>
          <w:tcPr>
            <w:shd w:val="clear" w:color="auto" w:fill="F4F1EC"/>
          </w:tcPr>
          <w:p>
            <w:pPr>
              <w:pStyle w:val="Compact"/>
              <w:spacing w:after="40" w:before="40"/>
              <w:jc w:val="left"/>
            </w:pPr>
            <w:r>
              <w:rPr>
                <w:rFonts w:ascii="Cambria" w:hAnsi="Cambria" w:cs="Cambria" w:eastAsia="Cambria"/>
                <w:color w:val="1A1A1A"/>
                <w:sz w:val="18"/>
              </w:rPr>
              <w:t xml:space="preserve">Cura per livelli su modello IMPACT; coordinatore infermieristico</w:t>
            </w:r>
          </w:p>
        </w:tc>
        <w:tc>
          <w:tcPr>
            <w:shd w:val="clear" w:color="auto" w:fill="F4F1EC"/>
          </w:tcPr>
          <w:p>
            <w:pPr>
              <w:pStyle w:val="Compact"/>
              <w:spacing w:after="40" w:before="40"/>
              <w:jc w:val="left"/>
            </w:pPr>
            <w:r>
              <w:rPr>
                <w:rFonts w:ascii="Cambria" w:hAnsi="Cambria" w:cs="Cambria" w:eastAsia="Cambria"/>
                <w:color w:val="1A1A1A"/>
                <w:sz w:val="18"/>
              </w:rPr>
              <w:t xml:space="preserve">24 mesi</w:t>
            </w:r>
          </w:p>
        </w:tc>
      </w:tr>
      <w:tr>
        <w:tc>
          <w:tcPr/>
          <w:p>
            <w:pPr>
              <w:pStyle w:val="Compact"/>
              <w:spacing w:after="40" w:before="40"/>
              <w:jc w:val="left"/>
            </w:pPr>
            <w:r>
              <w:rPr>
                <w:rFonts w:ascii="Cambria" w:hAnsi="Cambria" w:cs="Cambria" w:eastAsia="Cambria"/>
                <w:color w:val="1A1A1A"/>
                <w:sz w:val="18"/>
              </w:rPr>
              <w:t xml:space="preserve">Schoenbaum et al., 2001</w:t>
            </w:r>
          </w:p>
        </w:tc>
        <w:tc>
          <w:tcPr/>
          <w:p>
            <w:pPr>
              <w:pStyle w:val="Compact"/>
              <w:spacing w:after="40" w:before="40"/>
              <w:jc w:val="left"/>
            </w:pPr>
            <w:r>
              <w:rPr>
                <w:rFonts w:ascii="Cambria" w:hAnsi="Cambria" w:cs="Cambria" w:eastAsia="Cambria"/>
                <w:color w:val="1A1A1A"/>
                <w:sz w:val="18"/>
              </w:rPr>
              <w:t xml:space="preserve">USA</w:t>
            </w:r>
          </w:p>
        </w:tc>
        <w:tc>
          <w:tcPr/>
          <w:p>
            <w:pPr>
              <w:pStyle w:val="Compact"/>
              <w:spacing w:after="40" w:before="40"/>
              <w:jc w:val="left"/>
            </w:pPr>
            <w:r>
              <w:rPr>
                <w:rFonts w:ascii="Cambria" w:hAnsi="Cambria" w:cs="Cambria" w:eastAsia="Cambria"/>
                <w:color w:val="1A1A1A"/>
                <w:sz w:val="18"/>
              </w:rPr>
              <w:t xml:space="preserve">1.356</w:t>
            </w:r>
          </w:p>
        </w:tc>
        <w:tc>
          <w:tcPr/>
          <w:p>
            <w:pPr>
              <w:pStyle w:val="Compact"/>
              <w:spacing w:after="40" w:before="40"/>
              <w:jc w:val="left"/>
            </w:pPr>
            <w:r>
              <w:rPr>
                <w:rFonts w:ascii="Cambria" w:hAnsi="Cambria" w:cs="Cambria" w:eastAsia="Cambria"/>
                <w:color w:val="1A1A1A"/>
                <w:sz w:val="18"/>
              </w:rPr>
              <w:t xml:space="preserve">18–64</w:t>
            </w:r>
          </w:p>
        </w:tc>
        <w:tc>
          <w:tcPr/>
          <w:p>
            <w:pPr>
              <w:pStyle w:val="Compact"/>
              <w:spacing w:after="40" w:before="40"/>
              <w:jc w:val="left"/>
            </w:pPr>
            <w:r>
              <w:rPr>
                <w:rFonts w:ascii="Cambria" w:hAnsi="Cambria" w:cs="Cambria" w:eastAsia="Cambria"/>
                <w:color w:val="1A1A1A"/>
                <w:sz w:val="18"/>
              </w:rPr>
              <w:t xml:space="preserve">Cure primarie</w:t>
            </w:r>
          </w:p>
        </w:tc>
        <w:tc>
          <w:tcPr/>
          <w:p>
            <w:pPr>
              <w:pStyle w:val="Compact"/>
              <w:spacing w:after="40" w:before="40"/>
              <w:jc w:val="left"/>
            </w:pPr>
            <w:r>
              <w:rPr>
                <w:rFonts w:ascii="Cambria" w:hAnsi="Cambria" w:cs="Cambria" w:eastAsia="Cambria"/>
                <w:color w:val="1A1A1A"/>
                <w:sz w:val="18"/>
              </w:rPr>
              <w:t xml:space="preserve">Miglioramento di qualità; infermiere specialista + MMG + specialista</w:t>
            </w:r>
          </w:p>
        </w:tc>
        <w:tc>
          <w:tcPr/>
          <w:p>
            <w:pPr>
              <w:pStyle w:val="Compact"/>
              <w:spacing w:after="40" w:before="40"/>
              <w:jc w:val="left"/>
            </w:pPr>
            <w:r>
              <w:rPr>
                <w:rFonts w:ascii="Cambria" w:hAnsi="Cambria" w:cs="Cambria" w:eastAsia="Cambria"/>
                <w:color w:val="1A1A1A"/>
                <w:sz w:val="18"/>
              </w:rPr>
              <w:t xml:space="preserve">24 mesi</w:t>
            </w:r>
          </w:p>
        </w:tc>
      </w:tr>
      <w:tr>
        <w:tc>
          <w:tcPr>
            <w:shd w:val="clear" w:color="auto" w:fill="F4F1EC"/>
          </w:tcPr>
          <w:p>
            <w:pPr>
              <w:pStyle w:val="Compact"/>
              <w:spacing w:after="40" w:before="40"/>
              <w:jc w:val="left"/>
            </w:pPr>
            <w:r>
              <w:rPr>
                <w:rFonts w:ascii="Cambria" w:hAnsi="Cambria" w:cs="Cambria" w:eastAsia="Cambria"/>
                <w:color w:val="1A1A1A"/>
                <w:sz w:val="18"/>
              </w:rPr>
              <w:t xml:space="preserve">Fortney/Pyne et al., 2007/2010</w:t>
            </w:r>
          </w:p>
        </w:tc>
        <w:tc>
          <w:tcPr>
            <w:shd w:val="clear" w:color="auto" w:fill="F4F1EC"/>
          </w:tcPr>
          <w:p>
            <w:pPr>
              <w:pStyle w:val="Compact"/>
              <w:spacing w:after="40" w:before="40"/>
              <w:jc w:val="left"/>
            </w:pPr>
            <w:r>
              <w:rPr>
                <w:rFonts w:ascii="Cambria" w:hAnsi="Cambria" w:cs="Cambria" w:eastAsia="Cambria"/>
                <w:color w:val="1A1A1A"/>
                <w:sz w:val="18"/>
              </w:rPr>
              <w:t xml:space="preserve">USA</w:t>
            </w:r>
          </w:p>
        </w:tc>
        <w:tc>
          <w:tcPr>
            <w:shd w:val="clear" w:color="auto" w:fill="F4F1EC"/>
          </w:tcPr>
          <w:p>
            <w:pPr>
              <w:pStyle w:val="Compact"/>
              <w:spacing w:after="40" w:before="40"/>
              <w:jc w:val="left"/>
            </w:pPr>
            <w:r>
              <w:rPr>
                <w:rFonts w:ascii="Cambria" w:hAnsi="Cambria" w:cs="Cambria" w:eastAsia="Cambria"/>
                <w:color w:val="1A1A1A"/>
                <w:sz w:val="18"/>
              </w:rPr>
              <w:t xml:space="preserve">395</w:t>
            </w:r>
          </w:p>
        </w:tc>
        <w:tc>
          <w:tcPr>
            <w:shd w:val="clear" w:color="auto" w:fill="F4F1EC"/>
          </w:tcPr>
          <w:p>
            <w:pPr>
              <w:pStyle w:val="Compact"/>
              <w:spacing w:after="40" w:before="40"/>
              <w:jc w:val="left"/>
            </w:pPr>
            <w:r>
              <w:rPr>
                <w:rFonts w:ascii="Cambria" w:hAnsi="Cambria" w:cs="Cambria" w:eastAsia="Cambria"/>
                <w:color w:val="1A1A1A"/>
                <w:sz w:val="18"/>
              </w:rPr>
              <w:t xml:space="preserve">60 · ≥50</w:t>
            </w:r>
          </w:p>
        </w:tc>
        <w:tc>
          <w:tcPr>
            <w:shd w:val="clear" w:color="auto" w:fill="F4F1EC"/>
          </w:tcPr>
          <w:p>
            <w:pPr>
              <w:pStyle w:val="Compact"/>
              <w:spacing w:after="40" w:before="40"/>
              <w:jc w:val="left"/>
            </w:pPr>
            <w:r>
              <w:rPr>
                <w:rFonts w:ascii="Cambria" w:hAnsi="Cambria" w:cs="Cambria" w:eastAsia="Cambria"/>
                <w:color w:val="1A1A1A"/>
                <w:sz w:val="18"/>
              </w:rPr>
              <w:t xml:space="preserve">Telemedicina / VA</w:t>
            </w:r>
          </w:p>
        </w:tc>
        <w:tc>
          <w:tcPr>
            <w:shd w:val="clear" w:color="auto" w:fill="F4F1EC"/>
          </w:tcPr>
          <w:p>
            <w:pPr>
              <w:pStyle w:val="Compact"/>
              <w:spacing w:after="40" w:before="40"/>
              <w:jc w:val="left"/>
            </w:pPr>
            <w:r>
              <w:rPr>
                <w:rFonts w:ascii="Cambria" w:hAnsi="Cambria" w:cs="Cambria" w:eastAsia="Cambria"/>
                <w:color w:val="1A1A1A"/>
                <w:sz w:val="18"/>
              </w:rPr>
              <w:t xml:space="preserve">Cura collaborativa per via telematica; contesto VA</w:t>
            </w:r>
          </w:p>
        </w:tc>
        <w:tc>
          <w:tcPr>
            <w:shd w:val="clear" w:color="auto" w:fill="F4F1EC"/>
          </w:tcPr>
          <w:p>
            <w:pPr>
              <w:pStyle w:val="Compact"/>
              <w:spacing w:after="40" w:before="40"/>
              <w:jc w:val="left"/>
            </w:pPr>
            <w:r>
              <w:rPr>
                <w:rFonts w:ascii="Cambria" w:hAnsi="Cambria" w:cs="Cambria" w:eastAsia="Cambria"/>
                <w:color w:val="1A1A1A"/>
                <w:sz w:val="18"/>
              </w:rPr>
              <w:t xml:space="preserve">12 mesi</w:t>
            </w:r>
          </w:p>
        </w:tc>
      </w:tr>
      <w:tr>
        <w:tc>
          <w:tcPr/>
          <w:p>
            <w:pPr>
              <w:pStyle w:val="Compact"/>
              <w:spacing w:after="40" w:before="40"/>
              <w:jc w:val="left"/>
            </w:pPr>
            <w:r>
              <w:rPr>
                <w:rFonts w:ascii="Cambria" w:hAnsi="Cambria" w:cs="Cambria" w:eastAsia="Cambria"/>
                <w:color w:val="1A1A1A"/>
                <w:sz w:val="18"/>
              </w:rPr>
              <w:t xml:space="preserve">Camacho et al., 2016 (UKPACT)</w:t>
            </w:r>
          </w:p>
        </w:tc>
        <w:tc>
          <w:tcPr/>
          <w:p>
            <w:pPr>
              <w:pStyle w:val="Compact"/>
              <w:spacing w:after="40" w:before="40"/>
              <w:jc w:val="left"/>
            </w:pPr>
            <w:r>
              <w:rPr>
                <w:rFonts w:ascii="Cambria" w:hAnsi="Cambria" w:cs="Cambria" w:eastAsia="Cambria"/>
                <w:color w:val="1A1A1A"/>
                <w:sz w:val="18"/>
              </w:rPr>
              <w:t xml:space="preserve">Regno Unito</w:t>
            </w:r>
          </w:p>
        </w:tc>
        <w:tc>
          <w:tcPr/>
          <w:p>
            <w:pPr>
              <w:pStyle w:val="Compact"/>
              <w:spacing w:after="40" w:before="40"/>
              <w:jc w:val="left"/>
            </w:pPr>
            <w:r>
              <w:rPr>
                <w:rFonts w:ascii="Cambria" w:hAnsi="Cambria" w:cs="Cambria" w:eastAsia="Cambria"/>
                <w:color w:val="1A1A1A"/>
                <w:sz w:val="18"/>
              </w:rPr>
              <w:t xml:space="preserve">N/D</w:t>
            </w:r>
          </w:p>
        </w:tc>
        <w:tc>
          <w:tcPr/>
          <w:p>
            <w:pPr>
              <w:pStyle w:val="Compact"/>
              <w:spacing w:after="40" w:before="40"/>
              <w:jc w:val="left"/>
            </w:pPr>
            <w:r>
              <w:rPr>
                <w:rFonts w:ascii="Cambria" w:hAnsi="Cambria" w:cs="Cambria" w:eastAsia="Cambria"/>
                <w:color w:val="1A1A1A"/>
                <w:sz w:val="18"/>
              </w:rPr>
              <w:t xml:space="preserve">18–74</w:t>
            </w:r>
          </w:p>
        </w:tc>
        <w:tc>
          <w:tcPr/>
          <w:p>
            <w:pPr>
              <w:pStyle w:val="Compact"/>
              <w:spacing w:after="40" w:before="40"/>
              <w:jc w:val="left"/>
            </w:pPr>
            <w:r>
              <w:rPr>
                <w:rFonts w:ascii="Cambria" w:hAnsi="Cambria" w:cs="Cambria" w:eastAsia="Cambria"/>
                <w:color w:val="1A1A1A"/>
                <w:sz w:val="18"/>
              </w:rPr>
              <w:t xml:space="preserve">NHS / cure primarie</w:t>
            </w:r>
          </w:p>
        </w:tc>
        <w:tc>
          <w:tcPr/>
          <w:p>
            <w:pPr>
              <w:pStyle w:val="Compact"/>
              <w:spacing w:after="40" w:before="40"/>
              <w:jc w:val="left"/>
            </w:pPr>
            <w:r>
              <w:rPr>
                <w:rFonts w:ascii="Cambria" w:hAnsi="Cambria" w:cs="Cambria" w:eastAsia="Cambria"/>
                <w:color w:val="1A1A1A"/>
                <w:sz w:val="18"/>
              </w:rPr>
              <w:t xml:space="preserve">Cura collaborativa strutturata NHS</w:t>
            </w:r>
          </w:p>
        </w:tc>
        <w:tc>
          <w:tcPr/>
          <w:p>
            <w:pPr>
              <w:pStyle w:val="Compact"/>
              <w:spacing w:after="40" w:before="40"/>
              <w:jc w:val="left"/>
            </w:pPr>
            <w:r>
              <w:rPr>
                <w:rFonts w:ascii="Cambria" w:hAnsi="Cambria" w:cs="Cambria" w:eastAsia="Cambria"/>
                <w:color w:val="1A1A1A"/>
                <w:sz w:val="18"/>
              </w:rPr>
              <w:t xml:space="preserve">24 mesi</w:t>
            </w:r>
          </w:p>
        </w:tc>
      </w:tr>
      <w:tr>
        <w:tc>
          <w:tcPr>
            <w:shd w:val="clear" w:color="auto" w:fill="F4F1EC"/>
          </w:tcPr>
          <w:p>
            <w:pPr>
              <w:pStyle w:val="Compact"/>
              <w:spacing w:after="40" w:before="40"/>
              <w:jc w:val="left"/>
            </w:pPr>
            <w:r>
              <w:rPr>
                <w:rFonts w:ascii="Cambria" w:hAnsi="Cambria" w:cs="Cambria" w:eastAsia="Cambria"/>
                <w:color w:val="1A1A1A"/>
                <w:sz w:val="18"/>
              </w:rPr>
              <w:t xml:space="preserve">Huffman/Celano et al., 2011/2016</w:t>
            </w:r>
          </w:p>
        </w:tc>
        <w:tc>
          <w:tcPr>
            <w:shd w:val="clear" w:color="auto" w:fill="F4F1EC"/>
          </w:tcPr>
          <w:p>
            <w:pPr>
              <w:pStyle w:val="Compact"/>
              <w:spacing w:after="40" w:before="40"/>
              <w:jc w:val="left"/>
            </w:pPr>
            <w:r>
              <w:rPr>
                <w:rFonts w:ascii="Cambria" w:hAnsi="Cambria" w:cs="Cambria" w:eastAsia="Cambria"/>
                <w:color w:val="1A1A1A"/>
                <w:sz w:val="18"/>
              </w:rPr>
              <w:t xml:space="preserve">USA</w:t>
            </w:r>
          </w:p>
        </w:tc>
        <w:tc>
          <w:tcPr>
            <w:shd w:val="clear" w:color="auto" w:fill="F4F1EC"/>
          </w:tcPr>
          <w:p>
            <w:pPr>
              <w:pStyle w:val="Compact"/>
              <w:spacing w:after="40" w:before="40"/>
              <w:jc w:val="left"/>
            </w:pPr>
            <w:r>
              <w:rPr>
                <w:rFonts w:ascii="Cambria" w:hAnsi="Cambria" w:cs="Cambria" w:eastAsia="Cambria"/>
                <w:color w:val="1A1A1A"/>
                <w:sz w:val="18"/>
              </w:rPr>
              <w:t xml:space="preserve">175</w:t>
            </w:r>
          </w:p>
        </w:tc>
        <w:tc>
          <w:tcPr>
            <w:shd w:val="clear" w:color="auto" w:fill="F4F1EC"/>
          </w:tcPr>
          <w:p>
            <w:pPr>
              <w:pStyle w:val="Compact"/>
              <w:spacing w:after="40" w:before="40"/>
              <w:jc w:val="left"/>
            </w:pPr>
            <w:r>
              <w:rPr>
                <w:rFonts w:ascii="Cambria" w:hAnsi="Cambria" w:cs="Cambria" w:eastAsia="Cambria"/>
                <w:color w:val="1A1A1A"/>
                <w:sz w:val="18"/>
              </w:rPr>
              <w:t xml:space="preserve">62,4 · cardiopatici</w:t>
            </w:r>
          </w:p>
        </w:tc>
        <w:tc>
          <w:tcPr>
            <w:shd w:val="clear" w:color="auto" w:fill="F4F1EC"/>
          </w:tcPr>
          <w:p>
            <w:pPr>
              <w:pStyle w:val="Compact"/>
              <w:spacing w:after="40" w:before="40"/>
              <w:jc w:val="left"/>
            </w:pPr>
            <w:r>
              <w:rPr>
                <w:rFonts w:ascii="Cambria" w:hAnsi="Cambria" w:cs="Cambria" w:eastAsia="Cambria"/>
                <w:color w:val="1A1A1A"/>
                <w:sz w:val="18"/>
              </w:rPr>
              <w:t xml:space="preserve">Cardiologico</w:t>
            </w:r>
          </w:p>
        </w:tc>
        <w:tc>
          <w:tcPr>
            <w:shd w:val="clear" w:color="auto" w:fill="F4F1EC"/>
          </w:tcPr>
          <w:p>
            <w:pPr>
              <w:pStyle w:val="Compact"/>
              <w:spacing w:after="40" w:before="40"/>
              <w:jc w:val="left"/>
            </w:pPr>
            <w:r>
              <w:rPr>
                <w:rFonts w:ascii="Cambria" w:hAnsi="Cambria" w:cs="Cambria" w:eastAsia="Cambria"/>
                <w:color w:val="1A1A1A"/>
                <w:sz w:val="18"/>
              </w:rPr>
              <w:t xml:space="preserve">Gestione della depressione post-evento cardiaco</w:t>
            </w:r>
          </w:p>
        </w:tc>
        <w:tc>
          <w:tcPr>
            <w:shd w:val="clear" w:color="auto" w:fill="F4F1EC"/>
          </w:tcPr>
          <w:p>
            <w:pPr>
              <w:pStyle w:val="Compact"/>
              <w:spacing w:after="40" w:before="40"/>
              <w:jc w:val="left"/>
            </w:pPr>
            <w:r>
              <w:rPr>
                <w:rFonts w:ascii="Cambria" w:hAnsi="Cambria" w:cs="Cambria" w:eastAsia="Cambria"/>
                <w:color w:val="1A1A1A"/>
                <w:sz w:val="18"/>
              </w:rPr>
              <w:t xml:space="preserve">12 mesi</w:t>
            </w:r>
          </w:p>
        </w:tc>
      </w:tr>
      <w:tr>
        <w:tc>
          <w:tcPr/>
          <w:p>
            <w:pPr>
              <w:pStyle w:val="Compact"/>
              <w:spacing w:after="40" w:before="40"/>
              <w:jc w:val="left"/>
            </w:pPr>
            <w:r>
              <w:rPr>
                <w:rFonts w:ascii="Cambria" w:hAnsi="Cambria" w:cs="Cambria" w:eastAsia="Cambria"/>
                <w:color w:val="1A1A1A"/>
                <w:sz w:val="18"/>
              </w:rPr>
              <w:t xml:space="preserve">Araya et al., 2006</w:t>
            </w:r>
          </w:p>
        </w:tc>
        <w:tc>
          <w:tcPr/>
          <w:p>
            <w:pPr>
              <w:pStyle w:val="Compact"/>
              <w:spacing w:after="40" w:before="40"/>
              <w:jc w:val="left"/>
            </w:pPr>
            <w:r>
              <w:rPr>
                <w:rFonts w:ascii="Cambria" w:hAnsi="Cambria" w:cs="Cambria" w:eastAsia="Cambria"/>
                <w:color w:val="1A1A1A"/>
                <w:sz w:val="18"/>
              </w:rPr>
              <w:t xml:space="preserve">Cile</w:t>
            </w:r>
          </w:p>
        </w:tc>
        <w:tc>
          <w:tcPr/>
          <w:p>
            <w:pPr>
              <w:pStyle w:val="Compact"/>
              <w:spacing w:after="40" w:before="40"/>
              <w:jc w:val="left"/>
            </w:pPr>
            <w:r>
              <w:rPr>
                <w:rFonts w:ascii="Cambria" w:hAnsi="Cambria" w:cs="Cambria" w:eastAsia="Cambria"/>
                <w:color w:val="1A1A1A"/>
                <w:sz w:val="18"/>
              </w:rPr>
              <w:t xml:space="preserve">240</w:t>
            </w:r>
          </w:p>
        </w:tc>
        <w:tc>
          <w:tcPr/>
          <w:p>
            <w:pPr>
              <w:pStyle w:val="Compact"/>
              <w:spacing w:after="40" w:before="40"/>
              <w:jc w:val="left"/>
            </w:pPr>
            <w:r>
              <w:rPr>
                <w:rFonts w:ascii="Cambria" w:hAnsi="Cambria" w:cs="Cambria" w:eastAsia="Cambria"/>
                <w:color w:val="1A1A1A"/>
                <w:sz w:val="18"/>
              </w:rPr>
              <w:t xml:space="preserve">18–70</w:t>
            </w:r>
          </w:p>
        </w:tc>
        <w:tc>
          <w:tcPr/>
          <w:p>
            <w:pPr>
              <w:pStyle w:val="Compact"/>
              <w:spacing w:after="40" w:before="40"/>
              <w:jc w:val="left"/>
            </w:pPr>
            <w:r>
              <w:rPr>
                <w:rFonts w:ascii="Cambria" w:hAnsi="Cambria" w:cs="Cambria" w:eastAsia="Cambria"/>
                <w:color w:val="1A1A1A"/>
                <w:sz w:val="18"/>
              </w:rPr>
              <w:t xml:space="preserve">Cure primarie (LMIC)</w:t>
            </w:r>
          </w:p>
        </w:tc>
        <w:tc>
          <w:tcPr/>
          <w:p>
            <w:pPr>
              <w:pStyle w:val="Compact"/>
              <w:spacing w:after="40" w:before="40"/>
              <w:jc w:val="left"/>
            </w:pPr>
            <w:r>
              <w:rPr>
                <w:rFonts w:ascii="Cambria" w:hAnsi="Cambria" w:cs="Cambria" w:eastAsia="Cambria"/>
                <w:color w:val="1A1A1A"/>
                <w:sz w:val="18"/>
              </w:rPr>
              <w:t xml:space="preserve">Cura per livelli monitorata; coordinatore infermieristico</w:t>
            </w:r>
          </w:p>
        </w:tc>
        <w:tc>
          <w:tcPr/>
          <w:p>
            <w:pPr>
              <w:pStyle w:val="Compact"/>
              <w:spacing w:after="40" w:before="40"/>
              <w:jc w:val="left"/>
            </w:pPr>
            <w:r>
              <w:rPr>
                <w:rFonts w:ascii="Cambria" w:hAnsi="Cambria" w:cs="Cambria" w:eastAsia="Cambria"/>
                <w:color w:val="1A1A1A"/>
                <w:sz w:val="18"/>
              </w:rPr>
              <w:t xml:space="preserve">6 mesi</w:t>
            </w:r>
          </w:p>
        </w:tc>
      </w:tr>
      <w:tr>
        <w:tc>
          <w:tcPr>
            <w:shd w:val="clear" w:color="auto" w:fill="F4F1EC"/>
          </w:tcPr>
          <w:p>
            <w:pPr>
              <w:pStyle w:val="Compact"/>
              <w:spacing w:after="40" w:before="40"/>
              <w:jc w:val="left"/>
            </w:pPr>
            <w:r>
              <w:rPr>
                <w:rFonts w:ascii="Cambria" w:hAnsi="Cambria" w:cs="Cambria" w:eastAsia="Cambria"/>
                <w:color w:val="1A1A1A"/>
                <w:sz w:val="18"/>
              </w:rPr>
              <w:t xml:space="preserve">van der Weele et al., 2014</w:t>
            </w:r>
          </w:p>
        </w:tc>
        <w:tc>
          <w:tcPr>
            <w:shd w:val="clear" w:color="auto" w:fill="F4F1EC"/>
          </w:tcPr>
          <w:p>
            <w:pPr>
              <w:pStyle w:val="Compact"/>
              <w:spacing w:after="40" w:before="40"/>
              <w:jc w:val="left"/>
            </w:pPr>
            <w:r>
              <w:rPr>
                <w:rFonts w:ascii="Cambria" w:hAnsi="Cambria" w:cs="Cambria" w:eastAsia="Cambria"/>
                <w:color w:val="1A1A1A"/>
                <w:sz w:val="18"/>
              </w:rPr>
              <w:t xml:space="preserve">Paesi Bassi</w:t>
            </w:r>
          </w:p>
        </w:tc>
        <w:tc>
          <w:tcPr>
            <w:shd w:val="clear" w:color="auto" w:fill="F4F1EC"/>
          </w:tcPr>
          <w:p>
            <w:pPr>
              <w:pStyle w:val="Compact"/>
              <w:spacing w:after="40" w:before="40"/>
              <w:jc w:val="left"/>
            </w:pPr>
            <w:r>
              <w:rPr>
                <w:rFonts w:ascii="Cambria" w:hAnsi="Cambria" w:cs="Cambria" w:eastAsia="Cambria"/>
                <w:color w:val="1A1A1A"/>
                <w:sz w:val="18"/>
              </w:rPr>
              <w:t xml:space="preserve">N/D</w:t>
            </w:r>
          </w:p>
        </w:tc>
        <w:tc>
          <w:tcPr>
            <w:shd w:val="clear" w:color="auto" w:fill="F4F1EC"/>
          </w:tcPr>
          <w:p>
            <w:pPr>
              <w:pStyle w:val="Compact"/>
              <w:spacing w:after="40" w:before="40"/>
              <w:jc w:val="left"/>
            </w:pPr>
            <w:r>
              <w:rPr>
                <w:rFonts w:ascii="Cambria" w:hAnsi="Cambria" w:cs="Cambria" w:eastAsia="Cambria"/>
                <w:color w:val="1A1A1A"/>
                <w:sz w:val="18"/>
              </w:rPr>
              <w:t xml:space="preserve">&gt;75</w:t>
            </w:r>
          </w:p>
        </w:tc>
        <w:tc>
          <w:tcPr>
            <w:shd w:val="clear" w:color="auto" w:fill="F4F1EC"/>
          </w:tcPr>
          <w:p>
            <w:pPr>
              <w:pStyle w:val="Compact"/>
              <w:spacing w:after="40" w:before="40"/>
              <w:jc w:val="left"/>
            </w:pPr>
            <w:r>
              <w:rPr>
                <w:rFonts w:ascii="Cambria" w:hAnsi="Cambria" w:cs="Cambria" w:eastAsia="Cambria"/>
                <w:color w:val="1A1A1A"/>
                <w:sz w:val="18"/>
              </w:rPr>
              <w:t xml:space="preserve">Cure primarie</w:t>
            </w:r>
          </w:p>
        </w:tc>
        <w:tc>
          <w:tcPr>
            <w:shd w:val="clear" w:color="auto" w:fill="F4F1EC"/>
          </w:tcPr>
          <w:p>
            <w:pPr>
              <w:pStyle w:val="Compact"/>
              <w:spacing w:after="40" w:before="40"/>
              <w:jc w:val="left"/>
            </w:pPr>
            <w:r>
              <w:rPr>
                <w:rFonts w:ascii="Cambria" w:hAnsi="Cambria" w:cs="Cambria" w:eastAsia="Cambria"/>
                <w:color w:val="1A1A1A"/>
                <w:sz w:val="18"/>
              </w:rPr>
              <w:t xml:space="preserve">Cura collaborativa vs ordinaria; analisi per sottogruppo d’età</w:t>
            </w:r>
          </w:p>
        </w:tc>
        <w:tc>
          <w:tcPr>
            <w:shd w:val="clear" w:color="auto" w:fill="F4F1EC"/>
          </w:tcPr>
          <w:p>
            <w:pPr>
              <w:pStyle w:val="Compact"/>
              <w:spacing w:after="40" w:before="40"/>
              <w:jc w:val="left"/>
            </w:pPr>
            <w:r>
              <w:rPr>
                <w:rFonts w:ascii="Cambria" w:hAnsi="Cambria" w:cs="Cambria" w:eastAsia="Cambria"/>
                <w:color w:val="1A1A1A"/>
                <w:sz w:val="18"/>
              </w:rPr>
              <w:t xml:space="preserve">12 mesi</w:t>
            </w:r>
          </w:p>
        </w:tc>
      </w:tr>
    </w:tbl>
    <w:p>
      <w:pPr>
        <w:pStyle w:val="BodyText"/>
      </w:pPr>
      <w:r>
        <w:t xml:space="preserve">Legenda: MMG, medico di medicina generale; VA, Veterans Affairs; LMIC, Paese a reddito basso o intermedio; N/D, non disponibile.</w:t>
      </w:r>
    </w:p>
    <w:bookmarkStart w:id="2631" w:name="Xb851677f15c78032405320e25a628dbdb4d8ff3"/>
    <w:p>
      <w:pPr>
        <w:pStyle w:val="Heading4"/>
      </w:pPr>
      <w:r>
        <w:rPr>
          <w:b/>
          <w:bCs/>
        </w:rPr>
        <w:t xml:space="preserve">D.5.1 Esiti clinici: giornate libere da depressione e anni di vita ponderati per qualità</w:t>
      </w:r>
    </w:p>
    <w:p>
      <w:pPr>
        <w:pStyle w:val="FirstParagraph"/>
      </w:pPr>
      <w:r>
        <w:t xml:space="preserve">Gli esiti clinici sono espressi prevalentemente in giornate libere da depressione (Depression-Free Days, DFD) e in anni di vita ponderati per qualità (Quality-Adjusted Life Years, QALY), affiancati dai tassi di risposta e remissione rispetto al trattamento abituale. Il corpus documenta risultati convergenti lungo un’ampia eterogeneità di contesti, confermando la solidità dell’evidenza già sistematizzata nella revisione PRISMA della sezione D.1. Il programma IMPACT, con milleottocentouno soggetti anziani su diciotto cliniche di cure primarie statunitensi e un follow-up di ventiquattro mesi prolungato a quattro anni, costituisce lo studio fondativo: i pazienti trattati con la cura collaborativa hanno registrato centosette giornate libere da depressione aggiuntive su ventiquattro mesi, con un guadagno QALY stimato tra 0,026 e 0,052, e un tasso di risposta del quarantacinque per cento contro il diciannove per cento del gruppo di controllo; a quattro anni, l’intervento ha generato un risparmio netto di tremiliatrecentosessantatré dollari per paziente, configurando una dominanza economica con probabilità dell’ottantasette per cento. Nella variante per pazienti diabetici, il guadagno si eleva a centoquindici DFD (intervallo di confidenza al 95%: 72–159), con un rapporto costo-utilità di soli 198–397 dollari per QALY. Lo studio PROSPECT, in una coorte di ultrasessantacinquenni seguiti fino a novantasei mesi, ha documentato una riduzione della mortalità del ventiquattro per cento (hazard ratio 0,76; p=0,05) nel gruppo dell’intervento, esito di rilievo eccezionale che trascende la sola dimensione clinico-depressiva. Nel contesto britannico, il trial UKPACT ha registrato un guadagno di QALY pari a più 0,04 (intervallo di confidenza ampio: −0,46; +0,54) su ventiquattro mesi, con un ICER di sedicimilacentoventitré sterline per QALY. Il corpus cileno (Araya e collaboratori, 2006) ha conseguito un rapporto per giornata libera da depressione di soli settantacinque centesimi di dollaro a parità di potere d’acquisto — il più basso documentato in letteratura — sottolineando come l’efficienza massima si realizzi nei contesti a risorse limitate.</w:t>
      </w:r>
    </w:p>
    <w:p>
      <w:pPr>
        <w:pStyle w:val="BodyText"/>
      </w:pPr>
      <w:r>
        <w:t xml:space="preserve">Tabella D.4. Esiti clinici principali del corpus: DFD, QALY e tassi di risposta per studio.</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Studio</w:t>
            </w:r>
          </w:p>
        </w:tc>
        <w:tc>
          <w:tcPr>
            <w:shd w:val="clear" w:color="auto" w:fill="16264B"/>
          </w:tcPr>
          <w:p>
            <w:pPr>
              <w:pStyle w:val="Compact"/>
              <w:spacing w:after="40" w:before="40"/>
              <w:jc w:val="left"/>
            </w:pPr>
            <w:r>
              <w:rPr>
                <w:rFonts w:ascii="Cambria" w:hAnsi="Cambria" w:cs="Cambria" w:eastAsia="Cambria"/>
                <w:b/>
                <w:bCs/>
                <w:color w:val="FFFFFF"/>
                <w:sz w:val="18"/>
              </w:rPr>
              <w:t xml:space="preserve">Δ DFD (24 mesi)</w:t>
            </w:r>
          </w:p>
        </w:tc>
        <w:tc>
          <w:tcPr>
            <w:shd w:val="clear" w:color="auto" w:fill="16264B"/>
          </w:tcPr>
          <w:p>
            <w:pPr>
              <w:pStyle w:val="Compact"/>
              <w:spacing w:after="40" w:before="40"/>
              <w:jc w:val="left"/>
            </w:pPr>
            <w:r>
              <w:rPr>
                <w:rFonts w:ascii="Cambria" w:hAnsi="Cambria" w:cs="Cambria" w:eastAsia="Cambria"/>
                <w:b/>
                <w:bCs/>
                <w:color w:val="FFFFFF"/>
                <w:sz w:val="18"/>
              </w:rPr>
              <w:t xml:space="preserve">Δ QALY</w:t>
            </w:r>
          </w:p>
        </w:tc>
        <w:tc>
          <w:tcPr>
            <w:shd w:val="clear" w:color="auto" w:fill="16264B"/>
          </w:tcPr>
          <w:p>
            <w:pPr>
              <w:pStyle w:val="Compact"/>
              <w:spacing w:after="40" w:before="40"/>
              <w:jc w:val="left"/>
            </w:pPr>
            <w:r>
              <w:rPr>
                <w:rFonts w:ascii="Cambria" w:hAnsi="Cambria" w:cs="Cambria" w:eastAsia="Cambria"/>
                <w:b/>
                <w:bCs/>
                <w:color w:val="FFFFFF"/>
                <w:sz w:val="18"/>
              </w:rPr>
              <w:t xml:space="preserve">Risposta/remissione vs cura abituale</w:t>
            </w:r>
          </w:p>
        </w:tc>
        <w:tc>
          <w:tcPr>
            <w:shd w:val="clear" w:color="auto" w:fill="16264B"/>
          </w:tcPr>
          <w:p>
            <w:pPr>
              <w:pStyle w:val="Compact"/>
              <w:spacing w:after="40" w:before="40"/>
              <w:jc w:val="left"/>
            </w:pPr>
            <w:r>
              <w:rPr>
                <w:rFonts w:ascii="Cambria" w:hAnsi="Cambria" w:cs="Cambria" w:eastAsia="Cambria"/>
                <w:b/>
                <w:bCs/>
                <w:color w:val="FFFFFF"/>
                <w:sz w:val="18"/>
              </w:rPr>
              <w:t xml:space="preserve">Note cliniche</w:t>
            </w:r>
          </w:p>
        </w:tc>
      </w:tr>
      <w:tr>
        <w:tc>
          <w:tcPr/>
          <w:p>
            <w:pPr>
              <w:pStyle w:val="Compact"/>
              <w:spacing w:after="40" w:before="40"/>
              <w:jc w:val="left"/>
            </w:pPr>
            <w:r>
              <w:rPr>
                <w:rFonts w:ascii="Cambria" w:hAnsi="Cambria" w:cs="Cambria" w:eastAsia="Cambria"/>
                <w:color w:val="1A1A1A"/>
                <w:sz w:val="18"/>
              </w:rPr>
              <w:t xml:space="preserve">IMPACT (Unützer 2002)</w:t>
            </w:r>
          </w:p>
        </w:tc>
        <w:tc>
          <w:tcPr/>
          <w:p>
            <w:pPr>
              <w:pStyle w:val="Compact"/>
              <w:spacing w:after="40" w:before="40"/>
              <w:jc w:val="left"/>
            </w:pPr>
            <w:r>
              <w:rPr>
                <w:rFonts w:ascii="Cambria" w:hAnsi="Cambria" w:cs="Cambria" w:eastAsia="Cambria"/>
                <w:color w:val="1A1A1A"/>
                <w:sz w:val="18"/>
              </w:rPr>
              <w:t xml:space="preserve">107 DFD</w:t>
            </w:r>
          </w:p>
        </w:tc>
        <w:tc>
          <w:tcPr/>
          <w:p>
            <w:pPr>
              <w:pStyle w:val="Compact"/>
              <w:spacing w:after="40" w:before="40"/>
              <w:jc w:val="left"/>
            </w:pPr>
            <w:r>
              <w:rPr>
                <w:rFonts w:ascii="Cambria" w:hAnsi="Cambria" w:cs="Cambria" w:eastAsia="Cambria"/>
                <w:color w:val="1A1A1A"/>
                <w:sz w:val="18"/>
              </w:rPr>
              <w:t xml:space="preserve">0,026–0,052</w:t>
            </w:r>
          </w:p>
        </w:tc>
        <w:tc>
          <w:tcPr/>
          <w:p>
            <w:pPr>
              <w:pStyle w:val="Compact"/>
              <w:spacing w:after="40" w:before="40"/>
              <w:jc w:val="left"/>
            </w:pPr>
            <w:r>
              <w:rPr>
                <w:rFonts w:ascii="Cambria" w:hAnsi="Cambria" w:cs="Cambria" w:eastAsia="Cambria"/>
                <w:color w:val="1A1A1A"/>
                <w:sz w:val="18"/>
              </w:rPr>
              <w:t xml:space="preserve">45% vs 19% (PHQ-9 ≥50% a 12 mesi)</w:t>
            </w:r>
          </w:p>
        </w:tc>
        <w:tc>
          <w:tcPr/>
          <w:p>
            <w:pPr>
              <w:pStyle w:val="Compact"/>
              <w:spacing w:after="40" w:before="40"/>
              <w:jc w:val="left"/>
            </w:pPr>
            <w:r>
              <w:rPr>
                <w:rFonts w:ascii="Cambria" w:hAnsi="Cambria" w:cs="Cambria" w:eastAsia="Cambria"/>
                <w:color w:val="1A1A1A"/>
                <w:sz w:val="18"/>
              </w:rPr>
              <w:t xml:space="preserve">Beneficio mantenuto a 4 anni; riduzione ideazione suicidaria</w:t>
            </w:r>
          </w:p>
        </w:tc>
      </w:tr>
      <w:tr>
        <w:tc>
          <w:tcPr>
            <w:shd w:val="clear" w:color="auto" w:fill="F4F1EC"/>
          </w:tcPr>
          <w:p>
            <w:pPr>
              <w:pStyle w:val="Compact"/>
              <w:spacing w:after="40" w:before="40"/>
              <w:jc w:val="left"/>
            </w:pPr>
            <w:r>
              <w:rPr>
                <w:rFonts w:ascii="Cambria" w:hAnsi="Cambria" w:cs="Cambria" w:eastAsia="Cambria"/>
                <w:color w:val="1A1A1A"/>
                <w:sz w:val="18"/>
              </w:rPr>
              <w:t xml:space="preserve">IMPACT-Diabetici (Katon 2006)</w:t>
            </w:r>
          </w:p>
        </w:tc>
        <w:tc>
          <w:tcPr>
            <w:shd w:val="clear" w:color="auto" w:fill="F4F1EC"/>
          </w:tcPr>
          <w:p>
            <w:pPr>
              <w:pStyle w:val="Compact"/>
              <w:spacing w:after="40" w:before="40"/>
              <w:jc w:val="left"/>
            </w:pPr>
            <w:r>
              <w:rPr>
                <w:rFonts w:ascii="Cambria" w:hAnsi="Cambria" w:cs="Cambria" w:eastAsia="Cambria"/>
                <w:color w:val="1A1A1A"/>
                <w:sz w:val="18"/>
              </w:rPr>
              <w:t xml:space="preserve">115 DFD (IC 72–159)</w:t>
            </w:r>
          </w:p>
        </w:tc>
        <w:tc>
          <w:tcPr>
            <w:shd w:val="clear" w:color="auto" w:fill="F4F1EC"/>
          </w:tcPr>
          <w:p>
            <w:pPr>
              <w:pStyle w:val="Compact"/>
              <w:spacing w:after="40" w:before="40"/>
              <w:jc w:val="left"/>
            </w:pPr>
            <w:r>
              <w:rPr>
                <w:rFonts w:ascii="Cambria" w:hAnsi="Cambria" w:cs="Cambria" w:eastAsia="Cambria"/>
                <w:color w:val="1A1A1A"/>
                <w:sz w:val="18"/>
              </w:rPr>
              <w:t xml:space="preserve">0,063–0,126</w:t>
            </w:r>
          </w:p>
        </w:tc>
        <w:tc>
          <w:tcPr>
            <w:shd w:val="clear" w:color="auto" w:fill="F4F1EC"/>
          </w:tcPr>
          <w:p>
            <w:pPr>
              <w:pStyle w:val="Compact"/>
              <w:spacing w:after="40" w:before="40"/>
              <w:jc w:val="left"/>
            </w:pPr>
            <w:r>
              <w:rPr>
                <w:rFonts w:ascii="Cambria" w:hAnsi="Cambria" w:cs="Cambria" w:eastAsia="Cambria"/>
                <w:color w:val="1A1A1A"/>
                <w:sz w:val="18"/>
              </w:rPr>
              <w:t xml:space="preserve">Migliore funzionamento fisico</w:t>
            </w:r>
          </w:p>
        </w:tc>
        <w:tc>
          <w:tcPr>
            <w:shd w:val="clear" w:color="auto" w:fill="F4F1EC"/>
          </w:tcPr>
          <w:p>
            <w:pPr>
              <w:pStyle w:val="Compact"/>
              <w:spacing w:after="40" w:before="40"/>
              <w:jc w:val="left"/>
            </w:pPr>
            <w:r>
              <w:rPr>
                <w:rFonts w:ascii="Cambria" w:hAnsi="Cambria" w:cs="Cambria" w:eastAsia="Cambria"/>
                <w:color w:val="1A1A1A"/>
                <w:sz w:val="18"/>
              </w:rPr>
              <w:t xml:space="preserve">Costo pressoché nullo; ritorno 6:1 nel lungo periodo</w:t>
            </w:r>
          </w:p>
        </w:tc>
      </w:tr>
      <w:tr>
        <w:tc>
          <w:tcPr/>
          <w:p>
            <w:pPr>
              <w:pStyle w:val="Compact"/>
              <w:spacing w:after="40" w:before="40"/>
              <w:jc w:val="left"/>
            </w:pPr>
            <w:r>
              <w:rPr>
                <w:rFonts w:ascii="Cambria" w:hAnsi="Cambria" w:cs="Cambria" w:eastAsia="Cambria"/>
                <w:color w:val="1A1A1A"/>
                <w:sz w:val="18"/>
              </w:rPr>
              <w:t xml:space="preserve">PROSPECT (Alexopoulos 2004)</w:t>
            </w:r>
          </w:p>
        </w:tc>
        <w:tc>
          <w:tcPr/>
          <w:p>
            <w:pPr>
              <w:pStyle w:val="Compact"/>
              <w:spacing w:after="40" w:before="40"/>
              <w:jc w:val="left"/>
            </w:pPr>
            <w:r>
              <w:rPr>
                <w:rFonts w:ascii="Cambria" w:hAnsi="Cambria" w:cs="Cambria" w:eastAsia="Cambria"/>
                <w:color w:val="1A1A1A"/>
                <w:sz w:val="18"/>
              </w:rPr>
              <w:t xml:space="preserve">N/D</w:t>
            </w:r>
          </w:p>
        </w:tc>
        <w:tc>
          <w:tcPr/>
          <w:p>
            <w:pPr>
              <w:pStyle w:val="Compact"/>
              <w:spacing w:after="40" w:before="40"/>
              <w:jc w:val="left"/>
            </w:pPr>
            <w:r>
              <w:rPr>
                <w:rFonts w:ascii="Cambria" w:hAnsi="Cambria" w:cs="Cambria" w:eastAsia="Cambria"/>
                <w:color w:val="1A1A1A"/>
                <w:sz w:val="18"/>
              </w:rPr>
              <w:t xml:space="preserve">N/D</w:t>
            </w:r>
          </w:p>
        </w:tc>
        <w:tc>
          <w:tcPr/>
          <w:p>
            <w:pPr>
              <w:pStyle w:val="Compact"/>
              <w:spacing w:after="40" w:before="40"/>
              <w:jc w:val="left"/>
            </w:pPr>
            <w:r>
              <w:rPr>
                <w:rFonts w:ascii="Cambria" w:hAnsi="Cambria" w:cs="Cambria" w:eastAsia="Cambria"/>
                <w:color w:val="1A1A1A"/>
                <w:sz w:val="18"/>
              </w:rPr>
              <w:t xml:space="preserve">Superiorità significativa (risposta e remissione)</w:t>
            </w:r>
          </w:p>
        </w:tc>
        <w:tc>
          <w:tcPr/>
          <w:p>
            <w:pPr>
              <w:pStyle w:val="Compact"/>
              <w:spacing w:after="40" w:before="40"/>
              <w:jc w:val="left"/>
            </w:pPr>
            <w:r>
              <w:rPr>
                <w:rFonts w:ascii="Cambria" w:hAnsi="Cambria" w:cs="Cambria" w:eastAsia="Cambria"/>
                <w:color w:val="1A1A1A"/>
                <w:sz w:val="18"/>
              </w:rPr>
              <w:t xml:space="preserve">Riduzione mortalità 24% a 96 mesi (HR 0,76; p=0,05)</w:t>
            </w:r>
          </w:p>
        </w:tc>
      </w:tr>
      <w:tr>
        <w:tc>
          <w:tcPr>
            <w:shd w:val="clear" w:color="auto" w:fill="F4F1EC"/>
          </w:tcPr>
          <w:p>
            <w:pPr>
              <w:pStyle w:val="Compact"/>
              <w:spacing w:after="40" w:before="40"/>
              <w:jc w:val="left"/>
            </w:pPr>
            <w:r>
              <w:rPr>
                <w:rFonts w:ascii="Cambria" w:hAnsi="Cambria" w:cs="Cambria" w:eastAsia="Cambria"/>
                <w:color w:val="1A1A1A"/>
                <w:sz w:val="18"/>
              </w:rPr>
              <w:t xml:space="preserve">Simon et al., 2001a</w:t>
            </w:r>
          </w:p>
        </w:tc>
        <w:tc>
          <w:tcPr>
            <w:shd w:val="clear" w:color="auto" w:fill="F4F1EC"/>
          </w:tcPr>
          <w:p>
            <w:pPr>
              <w:pStyle w:val="Compact"/>
              <w:spacing w:after="40" w:before="40"/>
              <w:jc w:val="left"/>
            </w:pPr>
            <w:r>
              <w:rPr>
                <w:rFonts w:ascii="Cambria" w:hAnsi="Cambria" w:cs="Cambria" w:eastAsia="Cambria"/>
                <w:color w:val="1A1A1A"/>
                <w:sz w:val="18"/>
              </w:rPr>
              <w:t xml:space="preserve">47,4 (1° anno)</w:t>
            </w:r>
          </w:p>
        </w:tc>
        <w:tc>
          <w:tcPr>
            <w:shd w:val="clear" w:color="auto" w:fill="F4F1EC"/>
          </w:tcPr>
          <w:p>
            <w:pPr>
              <w:pStyle w:val="Compact"/>
              <w:spacing w:after="40" w:before="40"/>
              <w:jc w:val="left"/>
            </w:pPr>
            <w:r>
              <w:rPr>
                <w:rFonts w:ascii="Cambria" w:hAnsi="Cambria" w:cs="Cambria" w:eastAsia="Cambria"/>
                <w:color w:val="1A1A1A"/>
                <w:sz w:val="18"/>
              </w:rPr>
              <w:t xml:space="preserve">Non riportato</w:t>
            </w:r>
          </w:p>
        </w:tc>
        <w:tc>
          <w:tcPr>
            <w:shd w:val="clear" w:color="auto" w:fill="F4F1EC"/>
          </w:tcPr>
          <w:p>
            <w:pPr>
              <w:pStyle w:val="Compact"/>
              <w:spacing w:after="40" w:before="40"/>
              <w:jc w:val="left"/>
            </w:pPr>
            <w:r>
              <w:rPr>
                <w:rFonts w:ascii="Cambria" w:hAnsi="Cambria" w:cs="Cambria" w:eastAsia="Cambria"/>
                <w:color w:val="1A1A1A"/>
                <w:sz w:val="18"/>
              </w:rPr>
              <w:t xml:space="preserve">N/D</w:t>
            </w:r>
          </w:p>
        </w:tc>
        <w:tc>
          <w:tcPr>
            <w:shd w:val="clear" w:color="auto" w:fill="F4F1EC"/>
          </w:tcPr>
          <w:p>
            <w:pPr>
              <w:pStyle w:val="Compact"/>
              <w:spacing w:after="40" w:before="40"/>
              <w:jc w:val="left"/>
            </w:pPr>
            <w:r>
              <w:rPr>
                <w:rFonts w:ascii="Cambria" w:hAnsi="Cambria" w:cs="Cambria" w:eastAsia="Cambria"/>
                <w:color w:val="1A1A1A"/>
                <w:sz w:val="18"/>
              </w:rPr>
              <w:t xml:space="preserve">Cura per livelli nei sintomi persistenti</w:t>
            </w:r>
          </w:p>
        </w:tc>
      </w:tr>
      <w:tr>
        <w:tc>
          <w:tcPr/>
          <w:p>
            <w:pPr>
              <w:pStyle w:val="Compact"/>
              <w:spacing w:after="40" w:before="40"/>
              <w:jc w:val="left"/>
            </w:pPr>
            <w:r>
              <w:rPr>
                <w:rFonts w:ascii="Cambria" w:hAnsi="Cambria" w:cs="Cambria" w:eastAsia="Cambria"/>
                <w:color w:val="1A1A1A"/>
                <w:sz w:val="18"/>
              </w:rPr>
              <w:t xml:space="preserve">Simon et al., 2007</w:t>
            </w:r>
          </w:p>
        </w:tc>
        <w:tc>
          <w:tcPr/>
          <w:p>
            <w:pPr>
              <w:pStyle w:val="Compact"/>
              <w:spacing w:after="40" w:before="40"/>
              <w:jc w:val="left"/>
            </w:pPr>
            <w:r>
              <w:rPr>
                <w:rFonts w:ascii="Cambria" w:hAnsi="Cambria" w:cs="Cambria" w:eastAsia="Cambria"/>
                <w:color w:val="1A1A1A"/>
                <w:sz w:val="18"/>
              </w:rPr>
              <w:t xml:space="preserve">~53 DFD</w:t>
            </w:r>
          </w:p>
        </w:tc>
        <w:tc>
          <w:tcPr/>
          <w:p>
            <w:pPr>
              <w:pStyle w:val="Compact"/>
              <w:spacing w:after="40" w:before="40"/>
              <w:jc w:val="left"/>
            </w:pPr>
            <w:r>
              <w:rPr>
                <w:rFonts w:ascii="Cambria" w:hAnsi="Cambria" w:cs="Cambria" w:eastAsia="Cambria"/>
                <w:color w:val="1A1A1A"/>
                <w:sz w:val="18"/>
              </w:rPr>
              <w:t xml:space="preserve">Non riportato</w:t>
            </w:r>
          </w:p>
        </w:tc>
        <w:tc>
          <w:tcPr/>
          <w:p>
            <w:pPr>
              <w:pStyle w:val="Compact"/>
              <w:spacing w:after="40" w:before="40"/>
              <w:jc w:val="left"/>
            </w:pPr>
            <w:r>
              <w:rPr>
                <w:rFonts w:ascii="Cambria" w:hAnsi="Cambria" w:cs="Cambria" w:eastAsia="Cambria"/>
                <w:color w:val="1A1A1A"/>
                <w:sz w:val="18"/>
              </w:rPr>
              <w:t xml:space="preserve">N/D</w:t>
            </w:r>
          </w:p>
        </w:tc>
        <w:tc>
          <w:tcPr/>
          <w:p>
            <w:pPr>
              <w:pStyle w:val="Compact"/>
              <w:spacing w:after="40" w:before="40"/>
              <w:jc w:val="left"/>
            </w:pPr>
            <w:r>
              <w:rPr>
                <w:rFonts w:ascii="Cambria" w:hAnsi="Cambria" w:cs="Cambria" w:eastAsia="Cambria"/>
                <w:color w:val="1A1A1A"/>
                <w:sz w:val="18"/>
              </w:rPr>
              <w:t xml:space="preserve">Riduzione costi salute mentale nel 2° anno</w:t>
            </w:r>
          </w:p>
        </w:tc>
      </w:tr>
      <w:tr>
        <w:tc>
          <w:tcPr>
            <w:shd w:val="clear" w:color="auto" w:fill="F4F1EC"/>
          </w:tcPr>
          <w:p>
            <w:pPr>
              <w:pStyle w:val="Compact"/>
              <w:spacing w:after="40" w:before="40"/>
              <w:jc w:val="left"/>
            </w:pPr>
            <w:r>
              <w:rPr>
                <w:rFonts w:ascii="Cambria" w:hAnsi="Cambria" w:cs="Cambria" w:eastAsia="Cambria"/>
                <w:color w:val="1A1A1A"/>
                <w:sz w:val="18"/>
              </w:rPr>
              <w:t xml:space="preserve">Schoenbaum et al., 2001</w:t>
            </w:r>
          </w:p>
        </w:tc>
        <w:tc>
          <w:tcPr>
            <w:shd w:val="clear" w:color="auto" w:fill="F4F1EC"/>
          </w:tcPr>
          <w:p>
            <w:pPr>
              <w:pStyle w:val="Compact"/>
              <w:spacing w:after="40" w:before="40"/>
              <w:jc w:val="left"/>
            </w:pPr>
            <w:r>
              <w:rPr>
                <w:rFonts w:ascii="Cambria" w:hAnsi="Cambria" w:cs="Cambria" w:eastAsia="Cambria"/>
                <w:color w:val="1A1A1A"/>
                <w:sz w:val="18"/>
              </w:rPr>
              <w:t xml:space="preserve">36,5 DFD</w:t>
            </w:r>
          </w:p>
        </w:tc>
        <w:tc>
          <w:tcPr>
            <w:shd w:val="clear" w:color="auto" w:fill="F4F1EC"/>
          </w:tcPr>
          <w:p>
            <w:pPr>
              <w:pStyle w:val="Compact"/>
              <w:spacing w:after="40" w:before="40"/>
              <w:jc w:val="left"/>
            </w:pPr>
            <w:r>
              <w:rPr>
                <w:rFonts w:ascii="Cambria" w:hAnsi="Cambria" w:cs="Cambria" w:eastAsia="Cambria"/>
                <w:color w:val="1A1A1A"/>
                <w:sz w:val="18"/>
              </w:rPr>
              <w:t xml:space="preserve">0,026–0,052 (SF-12)</w:t>
            </w:r>
          </w:p>
        </w:tc>
        <w:tc>
          <w:tcPr>
            <w:shd w:val="clear" w:color="auto" w:fill="F4F1EC"/>
          </w:tcPr>
          <w:p>
            <w:pPr>
              <w:pStyle w:val="Compact"/>
              <w:spacing w:after="40" w:before="40"/>
              <w:jc w:val="left"/>
            </w:pPr>
            <w:r>
              <w:rPr>
                <w:rFonts w:ascii="Cambria" w:hAnsi="Cambria" w:cs="Cambria" w:eastAsia="Cambria"/>
                <w:color w:val="1A1A1A"/>
                <w:sz w:val="18"/>
              </w:rPr>
              <w:t xml:space="preserve">N/D</w:t>
            </w:r>
          </w:p>
        </w:tc>
        <w:tc>
          <w:tcPr>
            <w:shd w:val="clear" w:color="auto" w:fill="F4F1EC"/>
          </w:tcPr>
          <w:p>
            <w:pPr>
              <w:pStyle w:val="Compact"/>
              <w:spacing w:after="40" w:before="40"/>
              <w:jc w:val="left"/>
            </w:pPr>
            <w:r>
              <w:rPr>
                <w:rFonts w:ascii="Cambria" w:hAnsi="Cambria" w:cs="Cambria" w:eastAsia="Cambria"/>
                <w:color w:val="1A1A1A"/>
                <w:sz w:val="18"/>
              </w:rPr>
              <w:t xml:space="preserve">Miglioramento di qualità; QALY da indicatore indiretto</w:t>
            </w:r>
          </w:p>
        </w:tc>
      </w:tr>
      <w:tr>
        <w:tc>
          <w:tcPr/>
          <w:p>
            <w:pPr>
              <w:pStyle w:val="Compact"/>
              <w:spacing w:after="40" w:before="40"/>
              <w:jc w:val="left"/>
            </w:pPr>
            <w:r>
              <w:rPr>
                <w:rFonts w:ascii="Cambria" w:hAnsi="Cambria" w:cs="Cambria" w:eastAsia="Cambria"/>
                <w:color w:val="1A1A1A"/>
                <w:sz w:val="18"/>
              </w:rPr>
              <w:t xml:space="preserve">Camacho 2016 (UKPACT)</w:t>
            </w:r>
          </w:p>
        </w:tc>
        <w:tc>
          <w:tcPr/>
          <w:p>
            <w:pPr>
              <w:pStyle w:val="Compact"/>
              <w:spacing w:after="40" w:before="40"/>
              <w:jc w:val="left"/>
            </w:pPr>
            <w:r>
              <w:rPr>
                <w:rFonts w:ascii="Cambria" w:hAnsi="Cambria" w:cs="Cambria" w:eastAsia="Cambria"/>
                <w:color w:val="1A1A1A"/>
                <w:sz w:val="18"/>
              </w:rPr>
              <w:t xml:space="preserve">N/D</w:t>
            </w:r>
          </w:p>
        </w:tc>
        <w:tc>
          <w:tcPr/>
          <w:p>
            <w:pPr>
              <w:pStyle w:val="Compact"/>
              <w:spacing w:after="40" w:before="40"/>
              <w:jc w:val="left"/>
            </w:pPr>
            <w:r>
              <w:rPr>
                <w:rFonts w:ascii="Cambria" w:hAnsi="Cambria" w:cs="Cambria" w:eastAsia="Cambria"/>
                <w:color w:val="1A1A1A"/>
                <w:sz w:val="18"/>
              </w:rPr>
              <w:t xml:space="preserve">+0,04 (IC −0,46; +0,54)</w:t>
            </w:r>
          </w:p>
        </w:tc>
        <w:tc>
          <w:tcPr/>
          <w:p>
            <w:pPr>
              <w:pStyle w:val="Compact"/>
              <w:spacing w:after="40" w:before="40"/>
              <w:jc w:val="left"/>
            </w:pPr>
            <w:r>
              <w:rPr>
                <w:rFonts w:ascii="Cambria" w:hAnsi="Cambria" w:cs="Cambria" w:eastAsia="Cambria"/>
                <w:color w:val="1A1A1A"/>
                <w:sz w:val="18"/>
              </w:rPr>
              <w:t xml:space="preserve">N/D</w:t>
            </w:r>
          </w:p>
        </w:tc>
        <w:tc>
          <w:tcPr/>
          <w:p>
            <w:pPr>
              <w:pStyle w:val="Compact"/>
              <w:spacing w:after="40" w:before="40"/>
              <w:jc w:val="left"/>
            </w:pPr>
            <w:r>
              <w:rPr>
                <w:rFonts w:ascii="Cambria" w:hAnsi="Cambria" w:cs="Cambria" w:eastAsia="Cambria"/>
                <w:color w:val="1A1A1A"/>
                <w:sz w:val="18"/>
              </w:rPr>
              <w:t xml:space="preserve">Guadagno di QALY su 24 mesi</w:t>
            </w:r>
          </w:p>
        </w:tc>
      </w:tr>
      <w:tr>
        <w:tc>
          <w:tcPr>
            <w:shd w:val="clear" w:color="auto" w:fill="F4F1EC"/>
          </w:tcPr>
          <w:p>
            <w:pPr>
              <w:pStyle w:val="Compact"/>
              <w:spacing w:after="40" w:before="40"/>
              <w:jc w:val="left"/>
            </w:pPr>
            <w:r>
              <w:rPr>
                <w:rFonts w:ascii="Cambria" w:hAnsi="Cambria" w:cs="Cambria" w:eastAsia="Cambria"/>
                <w:color w:val="1A1A1A"/>
                <w:sz w:val="18"/>
              </w:rPr>
              <w:t xml:space="preserve">Araya et al., 2006</w:t>
            </w:r>
          </w:p>
        </w:tc>
        <w:tc>
          <w:tcPr>
            <w:shd w:val="clear" w:color="auto" w:fill="F4F1EC"/>
          </w:tcPr>
          <w:p>
            <w:pPr>
              <w:pStyle w:val="Compact"/>
              <w:spacing w:after="40" w:before="40"/>
              <w:jc w:val="left"/>
            </w:pPr>
            <w:r>
              <w:rPr>
                <w:rFonts w:ascii="Cambria" w:hAnsi="Cambria" w:cs="Cambria" w:eastAsia="Cambria"/>
                <w:color w:val="1A1A1A"/>
                <w:sz w:val="18"/>
              </w:rPr>
              <w:t xml:space="preserve">50 DFD (6 mesi)</w:t>
            </w:r>
          </w:p>
        </w:tc>
        <w:tc>
          <w:tcPr>
            <w:shd w:val="clear" w:color="auto" w:fill="F4F1EC"/>
          </w:tcPr>
          <w:p>
            <w:pPr>
              <w:pStyle w:val="Compact"/>
              <w:spacing w:after="40" w:before="40"/>
              <w:jc w:val="left"/>
            </w:pPr>
            <w:r>
              <w:rPr>
                <w:rFonts w:ascii="Cambria" w:hAnsi="Cambria" w:cs="Cambria" w:eastAsia="Cambria"/>
                <w:color w:val="1A1A1A"/>
                <w:sz w:val="18"/>
              </w:rPr>
              <w:t xml:space="preserve">Non riportato</w:t>
            </w:r>
          </w:p>
        </w:tc>
        <w:tc>
          <w:tcPr>
            <w:shd w:val="clear" w:color="auto" w:fill="F4F1EC"/>
          </w:tcPr>
          <w:p>
            <w:pPr>
              <w:pStyle w:val="Compact"/>
              <w:spacing w:after="40" w:before="40"/>
              <w:jc w:val="left"/>
            </w:pPr>
            <w:r>
              <w:rPr>
                <w:rFonts w:ascii="Cambria" w:hAnsi="Cambria" w:cs="Cambria" w:eastAsia="Cambria"/>
                <w:color w:val="1A1A1A"/>
                <w:sz w:val="18"/>
              </w:rPr>
              <w:t xml:space="preserve">N/D</w:t>
            </w:r>
          </w:p>
        </w:tc>
        <w:tc>
          <w:tcPr>
            <w:shd w:val="clear" w:color="auto" w:fill="F4F1EC"/>
          </w:tcPr>
          <w:p>
            <w:pPr>
              <w:pStyle w:val="Compact"/>
              <w:spacing w:after="40" w:before="40"/>
              <w:jc w:val="left"/>
            </w:pPr>
            <w:r>
              <w:rPr>
                <w:rFonts w:ascii="Cambria" w:hAnsi="Cambria" w:cs="Cambria" w:eastAsia="Cambria"/>
                <w:color w:val="1A1A1A"/>
                <w:sz w:val="18"/>
              </w:rPr>
              <w:t xml:space="preserve">ICER per DFD pari a 0,75 $, il più basso in letteratura</w:t>
            </w:r>
          </w:p>
        </w:tc>
      </w:tr>
      <w:tr>
        <w:tc>
          <w:tcPr/>
          <w:p>
            <w:pPr>
              <w:pStyle w:val="Compact"/>
              <w:spacing w:after="40" w:before="40"/>
              <w:jc w:val="left"/>
            </w:pPr>
            <w:r>
              <w:rPr>
                <w:rFonts w:ascii="Cambria" w:hAnsi="Cambria" w:cs="Cambria" w:eastAsia="Cambria"/>
                <w:color w:val="1A1A1A"/>
                <w:sz w:val="18"/>
              </w:rPr>
              <w:t xml:space="preserve">van der Weele 2014 (&gt;80 anni)</w:t>
            </w:r>
          </w:p>
        </w:tc>
        <w:tc>
          <w:tcPr/>
          <w:p>
            <w:pPr>
              <w:pStyle w:val="Compact"/>
              <w:spacing w:after="40" w:before="40"/>
              <w:jc w:val="left"/>
            </w:pPr>
            <w:r>
              <w:rPr>
                <w:rFonts w:ascii="Cambria" w:hAnsi="Cambria" w:cs="Cambria" w:eastAsia="Cambria"/>
                <w:color w:val="1A1A1A"/>
                <w:sz w:val="18"/>
              </w:rPr>
              <w:t xml:space="preserve">N/D</w:t>
            </w:r>
          </w:p>
        </w:tc>
        <w:tc>
          <w:tcPr/>
          <w:p>
            <w:pPr>
              <w:pStyle w:val="Compact"/>
              <w:spacing w:after="40" w:before="40"/>
              <w:jc w:val="left"/>
            </w:pPr>
            <w:r>
              <w:rPr>
                <w:rFonts w:ascii="Cambria" w:hAnsi="Cambria" w:cs="Cambria" w:eastAsia="Cambria"/>
                <w:color w:val="1A1A1A"/>
                <w:sz w:val="18"/>
              </w:rPr>
              <w:t xml:space="preserve">Dominante</w:t>
            </w:r>
          </w:p>
        </w:tc>
        <w:tc>
          <w:tcPr/>
          <w:p>
            <w:pPr>
              <w:pStyle w:val="Compact"/>
              <w:spacing w:after="40" w:before="40"/>
              <w:jc w:val="left"/>
            </w:pPr>
            <w:r>
              <w:rPr>
                <w:rFonts w:ascii="Cambria" w:hAnsi="Cambria" w:cs="Cambria" w:eastAsia="Cambria"/>
                <w:color w:val="1A1A1A"/>
                <w:sz w:val="18"/>
              </w:rPr>
              <w:t xml:space="preserve">Superiore oltre 80 anni</w:t>
            </w:r>
          </w:p>
        </w:tc>
        <w:tc>
          <w:tcPr/>
          <w:p>
            <w:pPr>
              <w:pStyle w:val="Compact"/>
              <w:spacing w:after="40" w:before="40"/>
              <w:jc w:val="left"/>
            </w:pPr>
            <w:r>
              <w:rPr>
                <w:rFonts w:ascii="Cambria" w:hAnsi="Cambria" w:cs="Cambria" w:eastAsia="Cambria"/>
                <w:color w:val="1A1A1A"/>
                <w:sz w:val="18"/>
              </w:rPr>
              <w:t xml:space="preserve">Cura collaborativa meno costosa e più efficace</w:t>
            </w:r>
          </w:p>
        </w:tc>
      </w:tr>
    </w:tbl>
    <w:bookmarkEnd w:id="2631"/>
    <w:bookmarkStart w:id="2632" w:name="X20ef23dd686c9ab67a7a71309c4f10e840deec9"/>
    <w:p>
      <w:pPr>
        <w:pStyle w:val="Heading4"/>
      </w:pPr>
      <w:r>
        <w:rPr>
          <w:b/>
          <w:bCs/>
        </w:rPr>
        <w:t xml:space="preserve">D.5.2 Profilo economico: costi incrementali e rapporti incrementali di costo-efficacia</w:t>
      </w:r>
    </w:p>
    <w:p>
      <w:pPr>
        <w:pStyle w:val="FirstParagraph"/>
      </w:pPr>
      <w:r>
        <w:t xml:space="preserve">La dimensione economica del corpus è sintetizzata attraverso il costo incrementale per paziente e i rapporti incrementali di costo-efficacia (ICER) riferiti alla giornata libera da depressione e all’anno di vita ponderato per qualità, con valutazione di sostenibilità rispetto alle soglie convenzionali statunitense (cinquantamila dollari per QALY) e britannica (ventimila sterline per QALY, con soglia estesa a trentamila per alcune patologie). Il profilo complessivo del corpus indica che la cura collaborativa è costo-efficace per la maggioranza degli studi che hanno adottato misure di esito comparabili: su ventidue studi sintetizzati dalla Community Preventive Services Task Force (2014), cinque su sei presentano un buon valore economico con un costo mediano del programma di duecentoquattro dollari per paziente per anno. Il valore di soglia è rispettato nella quasi totalità degli studi di alta qualità metodologica, con la significativa eccezione dell’erogazione per via telematica in ambito Veterans Affairs, gravata da costi strutturali che portano il rapporto a ottantacinquemilaseicentotrentasette dollari per QALY, incompatibile con le soglie standard. Nello scenario a lungo termine del programma IMPACT, l’intervento si trasforma da costo-efficace in generatore di risparmio netto, con un’inversione del costo a partire dal secondo anno documentata anche da Simon e collaboratori (2007), dove il risparmio nel secondo anno supera il costo aggiuntivo del primo.</w:t>
      </w:r>
    </w:p>
    <w:p>
      <w:pPr>
        <w:pStyle w:val="BodyText"/>
      </w:pPr>
      <w:r>
        <w:t xml:space="preserve">Tabella D.5. Profilo economico del corpus: costi incrementali, ICER e valutazione di sostenibilità.</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Studio</w:t>
            </w:r>
          </w:p>
        </w:tc>
        <w:tc>
          <w:tcPr>
            <w:shd w:val="clear" w:color="auto" w:fill="16264B"/>
          </w:tcPr>
          <w:p>
            <w:pPr>
              <w:pStyle w:val="Compact"/>
              <w:spacing w:after="40" w:before="40"/>
              <w:jc w:val="left"/>
            </w:pPr>
            <w:r>
              <w:rPr>
                <w:rFonts w:ascii="Cambria" w:hAnsi="Cambria" w:cs="Cambria" w:eastAsia="Cambria"/>
                <w:b/>
                <w:bCs/>
                <w:color w:val="FFFFFF"/>
                <w:sz w:val="18"/>
              </w:rPr>
              <w:t xml:space="preserve">Prospettiva</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incrementale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ICER / DFD</w:t>
            </w:r>
          </w:p>
        </w:tc>
        <w:tc>
          <w:tcPr>
            <w:shd w:val="clear" w:color="auto" w:fill="16264B"/>
          </w:tcPr>
          <w:p>
            <w:pPr>
              <w:pStyle w:val="Compact"/>
              <w:spacing w:after="40" w:before="40"/>
              <w:jc w:val="left"/>
            </w:pPr>
            <w:r>
              <w:rPr>
                <w:rFonts w:ascii="Cambria" w:hAnsi="Cambria" w:cs="Cambria" w:eastAsia="Cambria"/>
                <w:b/>
                <w:bCs/>
                <w:color w:val="FFFFFF"/>
                <w:sz w:val="18"/>
              </w:rPr>
              <w:t xml:space="preserve">ICER / QALY</w:t>
            </w:r>
          </w:p>
        </w:tc>
        <w:tc>
          <w:tcPr>
            <w:shd w:val="clear" w:color="auto" w:fill="16264B"/>
          </w:tcPr>
          <w:p>
            <w:pPr>
              <w:pStyle w:val="Compact"/>
              <w:spacing w:after="40" w:before="40"/>
              <w:jc w:val="left"/>
            </w:pPr>
            <w:r>
              <w:rPr>
                <w:rFonts w:ascii="Cambria" w:hAnsi="Cambria" w:cs="Cambria" w:eastAsia="Cambria"/>
                <w:b/>
                <w:bCs/>
                <w:color w:val="FFFFFF"/>
                <w:sz w:val="18"/>
              </w:rPr>
              <w:t xml:space="preserve">Valutazione</w:t>
            </w:r>
          </w:p>
        </w:tc>
      </w:tr>
      <w:tr>
        <w:tc>
          <w:tcPr/>
          <w:p>
            <w:pPr>
              <w:pStyle w:val="Compact"/>
              <w:spacing w:after="40" w:before="40"/>
              <w:jc w:val="left"/>
            </w:pPr>
            <w:r>
              <w:rPr>
                <w:rFonts w:ascii="Cambria" w:hAnsi="Cambria" w:cs="Cambria" w:eastAsia="Cambria"/>
                <w:color w:val="1A1A1A"/>
                <w:sz w:val="18"/>
              </w:rPr>
              <w:t xml:space="preserve">IMPACT (Unützer 2002/2005)</w:t>
            </w:r>
          </w:p>
        </w:tc>
        <w:tc>
          <w:tcPr/>
          <w:p>
            <w:pPr>
              <w:pStyle w:val="Compact"/>
              <w:spacing w:after="40" w:before="40"/>
              <w:jc w:val="left"/>
            </w:pPr>
            <w:r>
              <w:rPr>
                <w:rFonts w:ascii="Cambria" w:hAnsi="Cambria" w:cs="Cambria" w:eastAsia="Cambria"/>
                <w:color w:val="1A1A1A"/>
                <w:sz w:val="18"/>
              </w:rPr>
              <w:t xml:space="preserve">Sanitaria</w:t>
            </w:r>
          </w:p>
        </w:tc>
        <w:tc>
          <w:tcPr/>
          <w:p>
            <w:pPr>
              <w:pStyle w:val="Compact"/>
              <w:spacing w:after="40" w:before="40"/>
              <w:jc w:val="left"/>
            </w:pPr>
            <w:r>
              <w:rPr>
                <w:rFonts w:ascii="Cambria" w:hAnsi="Cambria" w:cs="Cambria" w:eastAsia="Cambria"/>
                <w:color w:val="1A1A1A"/>
                <w:sz w:val="18"/>
              </w:rPr>
              <w:t xml:space="preserve">+295 $ (ambulatoriale)</w:t>
            </w:r>
          </w:p>
        </w:tc>
        <w:tc>
          <w:tcPr/>
          <w:p>
            <w:pPr>
              <w:pStyle w:val="Compact"/>
              <w:spacing w:after="40" w:before="40"/>
              <w:jc w:val="left"/>
            </w:pPr>
            <w:r>
              <w:rPr>
                <w:rFonts w:ascii="Cambria" w:hAnsi="Cambria" w:cs="Cambria" w:eastAsia="Cambria"/>
                <w:color w:val="1A1A1A"/>
                <w:sz w:val="18"/>
              </w:rPr>
              <w:t xml:space="preserve">2,76 $</w:t>
            </w:r>
          </w:p>
        </w:tc>
        <w:tc>
          <w:tcPr/>
          <w:p>
            <w:pPr>
              <w:pStyle w:val="Compact"/>
              <w:spacing w:after="40" w:before="40"/>
              <w:jc w:val="left"/>
            </w:pPr>
            <w:r>
              <w:rPr>
                <w:rFonts w:ascii="Cambria" w:hAnsi="Cambria" w:cs="Cambria" w:eastAsia="Cambria"/>
                <w:color w:val="1A1A1A"/>
                <w:sz w:val="18"/>
              </w:rPr>
              <w:t xml:space="preserve">2.519–5.037 $</w:t>
            </w:r>
          </w:p>
        </w:tc>
        <w:tc>
          <w:tcPr/>
          <w:p>
            <w:pPr>
              <w:pStyle w:val="Compact"/>
              <w:spacing w:after="40" w:before="40"/>
              <w:jc w:val="left"/>
            </w:pPr>
            <w:r>
              <w:rPr>
                <w:rFonts w:ascii="Cambria" w:hAnsi="Cambria" w:cs="Cambria" w:eastAsia="Cambria"/>
                <w:color w:val="1A1A1A"/>
                <w:sz w:val="18"/>
              </w:rPr>
              <w:t xml:space="preserve">Costo-efficace a 50.000 $/QALY</w:t>
            </w:r>
          </w:p>
        </w:tc>
      </w:tr>
      <w:tr>
        <w:tc>
          <w:tcPr>
            <w:shd w:val="clear" w:color="auto" w:fill="F4F1EC"/>
          </w:tcPr>
          <w:p>
            <w:pPr>
              <w:pStyle w:val="Compact"/>
              <w:spacing w:after="40" w:before="40"/>
              <w:jc w:val="left"/>
            </w:pPr>
            <w:r>
              <w:rPr>
                <w:rFonts w:ascii="Cambria" w:hAnsi="Cambria" w:cs="Cambria" w:eastAsia="Cambria"/>
                <w:color w:val="1A1A1A"/>
                <w:sz w:val="18"/>
              </w:rPr>
              <w:t xml:space="preserve">IMPACT 4 anni (Unützer 2008)</w:t>
            </w:r>
          </w:p>
        </w:tc>
        <w:tc>
          <w:tcPr>
            <w:shd w:val="clear" w:color="auto" w:fill="F4F1EC"/>
          </w:tcPr>
          <w:p>
            <w:pPr>
              <w:pStyle w:val="Compact"/>
              <w:spacing w:after="40" w:before="40"/>
              <w:jc w:val="left"/>
            </w:pPr>
            <w:r>
              <w:rPr>
                <w:rFonts w:ascii="Cambria" w:hAnsi="Cambria" w:cs="Cambria" w:eastAsia="Cambria"/>
                <w:color w:val="1A1A1A"/>
                <w:sz w:val="18"/>
              </w:rPr>
              <w:t xml:space="preserve">Sanitaria</w:t>
            </w:r>
          </w:p>
        </w:tc>
        <w:tc>
          <w:tcPr>
            <w:shd w:val="clear" w:color="auto" w:fill="F4F1EC"/>
          </w:tcPr>
          <w:p>
            <w:pPr>
              <w:pStyle w:val="Compact"/>
              <w:spacing w:after="40" w:before="40"/>
              <w:jc w:val="left"/>
            </w:pPr>
            <w:r>
              <w:rPr>
                <w:rFonts w:ascii="Cambria" w:hAnsi="Cambria" w:cs="Cambria" w:eastAsia="Cambria"/>
                <w:color w:val="1A1A1A"/>
                <w:sz w:val="18"/>
              </w:rPr>
              <w:t xml:space="preserve">−3.363 $ (risparmio)</w:t>
            </w:r>
          </w:p>
        </w:tc>
        <w:tc>
          <w:tcPr>
            <w:shd w:val="clear" w:color="auto" w:fill="F4F1EC"/>
          </w:tcPr>
          <w:p>
            <w:pPr>
              <w:pStyle w:val="Compact"/>
              <w:spacing w:after="40" w:before="40"/>
              <w:jc w:val="left"/>
            </w:pPr>
            <w:r>
              <w:rPr>
                <w:rFonts w:ascii="Cambria" w:hAnsi="Cambria" w:cs="Cambria" w:eastAsia="Cambria"/>
                <w:color w:val="1A1A1A"/>
                <w:sz w:val="18"/>
              </w:rPr>
              <w:t xml:space="preserve">N/D</w:t>
            </w:r>
          </w:p>
        </w:tc>
        <w:tc>
          <w:tcPr>
            <w:shd w:val="clear" w:color="auto" w:fill="F4F1EC"/>
          </w:tcPr>
          <w:p>
            <w:pPr>
              <w:pStyle w:val="Compact"/>
              <w:spacing w:after="40" w:before="40"/>
              <w:jc w:val="left"/>
            </w:pPr>
            <w:r>
              <w:rPr>
                <w:rFonts w:ascii="Cambria" w:hAnsi="Cambria" w:cs="Cambria" w:eastAsia="Cambria"/>
                <w:color w:val="1A1A1A"/>
                <w:sz w:val="18"/>
              </w:rPr>
              <w:t xml:space="preserve">Dominante (p=87%)</w:t>
            </w:r>
          </w:p>
        </w:tc>
        <w:tc>
          <w:tcPr>
            <w:shd w:val="clear" w:color="auto" w:fill="F4F1EC"/>
          </w:tcPr>
          <w:p>
            <w:pPr>
              <w:pStyle w:val="Compact"/>
              <w:spacing w:after="40" w:before="40"/>
              <w:jc w:val="left"/>
            </w:pPr>
            <w:r>
              <w:rPr>
                <w:rFonts w:ascii="Cambria" w:hAnsi="Cambria" w:cs="Cambria" w:eastAsia="Cambria"/>
                <w:color w:val="1A1A1A"/>
                <w:sz w:val="18"/>
              </w:rPr>
              <w:t xml:space="preserve">Cost-saving nel lungo termine; ritorno 6:1</w:t>
            </w:r>
          </w:p>
        </w:tc>
      </w:tr>
      <w:tr>
        <w:tc>
          <w:tcPr/>
          <w:p>
            <w:pPr>
              <w:pStyle w:val="Compact"/>
              <w:spacing w:after="40" w:before="40"/>
              <w:jc w:val="left"/>
            </w:pPr>
            <w:r>
              <w:rPr>
                <w:rFonts w:ascii="Cambria" w:hAnsi="Cambria" w:cs="Cambria" w:eastAsia="Cambria"/>
                <w:color w:val="1A1A1A"/>
                <w:sz w:val="18"/>
              </w:rPr>
              <w:t xml:space="preserve">IMPACT-Diabetici (Katon 2006)</w:t>
            </w:r>
          </w:p>
        </w:tc>
        <w:tc>
          <w:tcPr/>
          <w:p>
            <w:pPr>
              <w:pStyle w:val="Compact"/>
              <w:spacing w:after="40" w:before="40"/>
              <w:jc w:val="left"/>
            </w:pPr>
            <w:r>
              <w:rPr>
                <w:rFonts w:ascii="Cambria" w:hAnsi="Cambria" w:cs="Cambria" w:eastAsia="Cambria"/>
                <w:color w:val="1A1A1A"/>
                <w:sz w:val="18"/>
              </w:rPr>
              <w:t xml:space="preserve">Sanitaria</w:t>
            </w:r>
          </w:p>
        </w:tc>
        <w:tc>
          <w:tcPr/>
          <w:p>
            <w:pPr>
              <w:pStyle w:val="Compact"/>
              <w:spacing w:after="40" w:before="40"/>
              <w:jc w:val="left"/>
            </w:pPr>
            <w:r>
              <w:rPr>
                <w:rFonts w:ascii="Cambria" w:hAnsi="Cambria" w:cs="Cambria" w:eastAsia="Cambria"/>
                <w:color w:val="1A1A1A"/>
                <w:sz w:val="18"/>
              </w:rPr>
              <w:t xml:space="preserve">+25 $ (IC −1.638; +1.689)</w:t>
            </w:r>
          </w:p>
        </w:tc>
        <w:tc>
          <w:tcPr/>
          <w:p>
            <w:pPr>
              <w:pStyle w:val="Compact"/>
              <w:spacing w:after="40" w:before="40"/>
              <w:jc w:val="left"/>
            </w:pPr>
            <w:r>
              <w:rPr>
                <w:rFonts w:ascii="Cambria" w:hAnsi="Cambria" w:cs="Cambria" w:eastAsia="Cambria"/>
                <w:color w:val="1A1A1A"/>
                <w:sz w:val="18"/>
              </w:rPr>
              <w:t xml:space="preserve">0,25 $</w:t>
            </w:r>
          </w:p>
        </w:tc>
        <w:tc>
          <w:tcPr/>
          <w:p>
            <w:pPr>
              <w:pStyle w:val="Compact"/>
              <w:spacing w:after="40" w:before="40"/>
              <w:jc w:val="left"/>
            </w:pPr>
            <w:r>
              <w:rPr>
                <w:rFonts w:ascii="Cambria" w:hAnsi="Cambria" w:cs="Cambria" w:eastAsia="Cambria"/>
                <w:color w:val="1A1A1A"/>
                <w:sz w:val="18"/>
              </w:rPr>
              <w:t xml:space="preserve">198–397 $</w:t>
            </w:r>
          </w:p>
        </w:tc>
        <w:tc>
          <w:tcPr/>
          <w:p>
            <w:pPr>
              <w:pStyle w:val="Compact"/>
              <w:spacing w:after="40" w:before="40"/>
              <w:jc w:val="left"/>
            </w:pPr>
            <w:r>
              <w:rPr>
                <w:rFonts w:ascii="Cambria" w:hAnsi="Cambria" w:cs="Cambria" w:eastAsia="Cambria"/>
                <w:color w:val="1A1A1A"/>
                <w:sz w:val="18"/>
              </w:rPr>
              <w:t xml:space="preserve">Pressoché costo-neutro; alta efficienza</w:t>
            </w:r>
          </w:p>
        </w:tc>
      </w:tr>
      <w:tr>
        <w:tc>
          <w:tcPr>
            <w:shd w:val="clear" w:color="auto" w:fill="F4F1EC"/>
          </w:tcPr>
          <w:p>
            <w:pPr>
              <w:pStyle w:val="Compact"/>
              <w:spacing w:after="40" w:before="40"/>
              <w:jc w:val="left"/>
            </w:pPr>
            <w:r>
              <w:rPr>
                <w:rFonts w:ascii="Cambria" w:hAnsi="Cambria" w:cs="Cambria" w:eastAsia="Cambria"/>
                <w:color w:val="1A1A1A"/>
                <w:sz w:val="18"/>
              </w:rPr>
              <w:t xml:space="preserve">Simon et al., 2001a</w:t>
            </w:r>
          </w:p>
        </w:tc>
        <w:tc>
          <w:tcPr>
            <w:shd w:val="clear" w:color="auto" w:fill="F4F1EC"/>
          </w:tcPr>
          <w:p>
            <w:pPr>
              <w:pStyle w:val="Compact"/>
              <w:spacing w:after="40" w:before="40"/>
              <w:jc w:val="left"/>
            </w:pPr>
            <w:r>
              <w:rPr>
                <w:rFonts w:ascii="Cambria" w:hAnsi="Cambria" w:cs="Cambria" w:eastAsia="Cambria"/>
                <w:color w:val="1A1A1A"/>
                <w:sz w:val="18"/>
              </w:rPr>
              <w:t xml:space="preserve">Sanitaria</w:t>
            </w:r>
          </w:p>
        </w:tc>
        <w:tc>
          <w:tcPr>
            <w:shd w:val="clear" w:color="auto" w:fill="F4F1EC"/>
          </w:tcPr>
          <w:p>
            <w:pPr>
              <w:pStyle w:val="Compact"/>
              <w:spacing w:after="40" w:before="40"/>
              <w:jc w:val="left"/>
            </w:pPr>
            <w:r>
              <w:rPr>
                <w:rFonts w:ascii="Cambria" w:hAnsi="Cambria" w:cs="Cambria" w:eastAsia="Cambria"/>
                <w:color w:val="1A1A1A"/>
                <w:sz w:val="18"/>
              </w:rPr>
              <w:t xml:space="preserve">+357 $</w:t>
            </w:r>
          </w:p>
        </w:tc>
        <w:tc>
          <w:tcPr>
            <w:shd w:val="clear" w:color="auto" w:fill="F4F1EC"/>
          </w:tcPr>
          <w:p>
            <w:pPr>
              <w:pStyle w:val="Compact"/>
              <w:spacing w:after="40" w:before="40"/>
              <w:jc w:val="left"/>
            </w:pPr>
            <w:r>
              <w:rPr>
                <w:rFonts w:ascii="Cambria" w:hAnsi="Cambria" w:cs="Cambria" w:eastAsia="Cambria"/>
                <w:color w:val="1A1A1A"/>
                <w:sz w:val="18"/>
              </w:rPr>
              <w:t xml:space="preserve">21,44 $</w:t>
            </w:r>
          </w:p>
        </w:tc>
        <w:tc>
          <w:tcPr>
            <w:shd w:val="clear" w:color="auto" w:fill="F4F1EC"/>
          </w:tcPr>
          <w:p>
            <w:pPr>
              <w:pStyle w:val="Compact"/>
              <w:spacing w:after="40" w:before="40"/>
              <w:jc w:val="left"/>
            </w:pPr>
            <w:r>
              <w:rPr>
                <w:rFonts w:ascii="Cambria" w:hAnsi="Cambria" w:cs="Cambria" w:eastAsia="Cambria"/>
                <w:color w:val="1A1A1A"/>
                <w:sz w:val="18"/>
              </w:rPr>
              <w:t xml:space="preserve">49.500 $</w:t>
            </w:r>
          </w:p>
        </w:tc>
        <w:tc>
          <w:tcPr>
            <w:shd w:val="clear" w:color="auto" w:fill="F4F1EC"/>
          </w:tcPr>
          <w:p>
            <w:pPr>
              <w:pStyle w:val="Compact"/>
              <w:spacing w:after="40" w:before="40"/>
              <w:jc w:val="left"/>
            </w:pPr>
            <w:r>
              <w:rPr>
                <w:rFonts w:ascii="Cambria" w:hAnsi="Cambria" w:cs="Cambria" w:eastAsia="Cambria"/>
                <w:color w:val="1A1A1A"/>
                <w:sz w:val="18"/>
              </w:rPr>
              <w:t xml:space="preserve">Accettabile alle soglie US/UK</w:t>
            </w:r>
          </w:p>
        </w:tc>
      </w:tr>
      <w:tr>
        <w:tc>
          <w:tcPr/>
          <w:p>
            <w:pPr>
              <w:pStyle w:val="Compact"/>
              <w:spacing w:after="40" w:before="40"/>
              <w:jc w:val="left"/>
            </w:pPr>
            <w:r>
              <w:rPr>
                <w:rFonts w:ascii="Cambria" w:hAnsi="Cambria" w:cs="Cambria" w:eastAsia="Cambria"/>
                <w:color w:val="1A1A1A"/>
                <w:sz w:val="18"/>
              </w:rPr>
              <w:t xml:space="preserve">Simon et al., 2007</w:t>
            </w:r>
          </w:p>
        </w:tc>
        <w:tc>
          <w:tcPr/>
          <w:p>
            <w:pPr>
              <w:pStyle w:val="Compact"/>
              <w:spacing w:after="40" w:before="40"/>
              <w:jc w:val="left"/>
            </w:pPr>
            <w:r>
              <w:rPr>
                <w:rFonts w:ascii="Cambria" w:hAnsi="Cambria" w:cs="Cambria" w:eastAsia="Cambria"/>
                <w:color w:val="1A1A1A"/>
                <w:sz w:val="18"/>
              </w:rPr>
              <w:t xml:space="preserve">Sanitaria</w:t>
            </w:r>
          </w:p>
        </w:tc>
        <w:tc>
          <w:tcPr/>
          <w:p>
            <w:pPr>
              <w:pStyle w:val="Compact"/>
              <w:spacing w:after="40" w:before="40"/>
              <w:jc w:val="left"/>
            </w:pPr>
            <w:r>
              <w:rPr>
                <w:rFonts w:ascii="Cambria" w:hAnsi="Cambria" w:cs="Cambria" w:eastAsia="Cambria"/>
                <w:color w:val="1A1A1A"/>
                <w:sz w:val="18"/>
              </w:rPr>
              <w:t xml:space="preserve">−1.400 $ (2° anno)</w:t>
            </w:r>
          </w:p>
        </w:tc>
        <w:tc>
          <w:tcPr/>
          <w:p>
            <w:pPr>
              <w:pStyle w:val="Compact"/>
              <w:spacing w:after="40" w:before="40"/>
              <w:jc w:val="left"/>
            </w:pPr>
            <w:r>
              <w:rPr>
                <w:rFonts w:ascii="Cambria" w:hAnsi="Cambria" w:cs="Cambria" w:eastAsia="Cambria"/>
                <w:color w:val="1A1A1A"/>
                <w:sz w:val="18"/>
              </w:rPr>
              <w:t xml:space="preserve">N/D</w:t>
            </w:r>
          </w:p>
        </w:tc>
        <w:tc>
          <w:tcPr/>
          <w:p>
            <w:pPr>
              <w:pStyle w:val="Compact"/>
              <w:spacing w:after="40" w:before="40"/>
              <w:jc w:val="left"/>
            </w:pPr>
            <w:r>
              <w:rPr>
                <w:rFonts w:ascii="Cambria" w:hAnsi="Cambria" w:cs="Cambria" w:eastAsia="Cambria"/>
                <w:color w:val="1A1A1A"/>
                <w:sz w:val="18"/>
              </w:rPr>
              <w:t xml:space="preserve">N/D</w:t>
            </w:r>
          </w:p>
        </w:tc>
        <w:tc>
          <w:tcPr/>
          <w:p>
            <w:pPr>
              <w:pStyle w:val="Compact"/>
              <w:spacing w:after="40" w:before="40"/>
              <w:jc w:val="left"/>
            </w:pPr>
            <w:r>
              <w:rPr>
                <w:rFonts w:ascii="Cambria" w:hAnsi="Cambria" w:cs="Cambria" w:eastAsia="Cambria"/>
                <w:color w:val="1A1A1A"/>
                <w:sz w:val="18"/>
              </w:rPr>
              <w:t xml:space="preserve">Inversione del costo a 24 mesi</w:t>
            </w:r>
          </w:p>
        </w:tc>
      </w:tr>
      <w:tr>
        <w:tc>
          <w:tcPr>
            <w:shd w:val="clear" w:color="auto" w:fill="F4F1EC"/>
          </w:tcPr>
          <w:p>
            <w:pPr>
              <w:pStyle w:val="Compact"/>
              <w:spacing w:after="40" w:before="40"/>
              <w:jc w:val="left"/>
            </w:pPr>
            <w:r>
              <w:rPr>
                <w:rFonts w:ascii="Cambria" w:hAnsi="Cambria" w:cs="Cambria" w:eastAsia="Cambria"/>
                <w:color w:val="1A1A1A"/>
                <w:sz w:val="18"/>
              </w:rPr>
              <w:t xml:space="preserve">Araya et al., 2006</w:t>
            </w:r>
          </w:p>
        </w:tc>
        <w:tc>
          <w:tcPr>
            <w:shd w:val="clear" w:color="auto" w:fill="F4F1EC"/>
          </w:tcPr>
          <w:p>
            <w:pPr>
              <w:pStyle w:val="Compact"/>
              <w:spacing w:after="40" w:before="40"/>
              <w:jc w:val="left"/>
            </w:pPr>
            <w:r>
              <w:rPr>
                <w:rFonts w:ascii="Cambria" w:hAnsi="Cambria" w:cs="Cambria" w:eastAsia="Cambria"/>
                <w:color w:val="1A1A1A"/>
                <w:sz w:val="18"/>
              </w:rPr>
              <w:t xml:space="preserve">Sanitaria</w:t>
            </w:r>
          </w:p>
        </w:tc>
        <w:tc>
          <w:tcPr>
            <w:shd w:val="clear" w:color="auto" w:fill="F4F1EC"/>
          </w:tcPr>
          <w:p>
            <w:pPr>
              <w:pStyle w:val="Compact"/>
              <w:spacing w:after="40" w:before="40"/>
              <w:jc w:val="left"/>
            </w:pPr>
            <w:r>
              <w:rPr>
                <w:rFonts w:ascii="Cambria" w:hAnsi="Cambria" w:cs="Cambria" w:eastAsia="Cambria"/>
                <w:color w:val="1A1A1A"/>
                <w:sz w:val="18"/>
              </w:rPr>
              <w:t xml:space="preserve">+46 $ PPP</w:t>
            </w:r>
          </w:p>
        </w:tc>
        <w:tc>
          <w:tcPr>
            <w:shd w:val="clear" w:color="auto" w:fill="F4F1EC"/>
          </w:tcPr>
          <w:p>
            <w:pPr>
              <w:pStyle w:val="Compact"/>
              <w:spacing w:after="40" w:before="40"/>
              <w:jc w:val="left"/>
            </w:pPr>
            <w:r>
              <w:rPr>
                <w:rFonts w:ascii="Cambria" w:hAnsi="Cambria" w:cs="Cambria" w:eastAsia="Cambria"/>
                <w:color w:val="1A1A1A"/>
                <w:sz w:val="18"/>
              </w:rPr>
              <w:t xml:space="preserve">0,75 $</w:t>
            </w:r>
          </w:p>
        </w:tc>
        <w:tc>
          <w:tcPr>
            <w:shd w:val="clear" w:color="auto" w:fill="F4F1EC"/>
          </w:tcPr>
          <w:p>
            <w:pPr>
              <w:pStyle w:val="Compact"/>
              <w:spacing w:after="40" w:before="40"/>
              <w:jc w:val="left"/>
            </w:pPr>
            <w:r>
              <w:rPr>
                <w:rFonts w:ascii="Cambria" w:hAnsi="Cambria" w:cs="Cambria" w:eastAsia="Cambria"/>
                <w:color w:val="1A1A1A"/>
                <w:sz w:val="18"/>
              </w:rPr>
              <w:t xml:space="preserve">Non calcolato</w:t>
            </w:r>
          </w:p>
        </w:tc>
        <w:tc>
          <w:tcPr>
            <w:shd w:val="clear" w:color="auto" w:fill="F4F1EC"/>
          </w:tcPr>
          <w:p>
            <w:pPr>
              <w:pStyle w:val="Compact"/>
              <w:spacing w:after="40" w:before="40"/>
              <w:jc w:val="left"/>
            </w:pPr>
            <w:r>
              <w:rPr>
                <w:rFonts w:ascii="Cambria" w:hAnsi="Cambria" w:cs="Cambria" w:eastAsia="Cambria"/>
                <w:color w:val="1A1A1A"/>
                <w:sz w:val="18"/>
              </w:rPr>
              <w:t xml:space="preserve">Efficienza economica eccezionale (LMIC)</w:t>
            </w:r>
          </w:p>
        </w:tc>
      </w:tr>
      <w:tr>
        <w:tc>
          <w:tcPr/>
          <w:p>
            <w:pPr>
              <w:pStyle w:val="Compact"/>
              <w:spacing w:after="40" w:before="40"/>
              <w:jc w:val="left"/>
            </w:pPr>
            <w:r>
              <w:rPr>
                <w:rFonts w:ascii="Cambria" w:hAnsi="Cambria" w:cs="Cambria" w:eastAsia="Cambria"/>
                <w:color w:val="1A1A1A"/>
                <w:sz w:val="18"/>
              </w:rPr>
              <w:t xml:space="preserve">Camacho 2016 (UKPACT)</w:t>
            </w:r>
          </w:p>
        </w:tc>
        <w:tc>
          <w:tcPr/>
          <w:p>
            <w:pPr>
              <w:pStyle w:val="Compact"/>
              <w:spacing w:after="40" w:before="40"/>
              <w:jc w:val="left"/>
            </w:pPr>
            <w:r>
              <w:rPr>
                <w:rFonts w:ascii="Cambria" w:hAnsi="Cambria" w:cs="Cambria" w:eastAsia="Cambria"/>
                <w:color w:val="1A1A1A"/>
                <w:sz w:val="18"/>
              </w:rPr>
              <w:t xml:space="preserve">NHS</w:t>
            </w:r>
          </w:p>
        </w:tc>
        <w:tc>
          <w:tcPr/>
          <w:p>
            <w:pPr>
              <w:pStyle w:val="Compact"/>
              <w:spacing w:after="40" w:before="40"/>
              <w:jc w:val="left"/>
            </w:pPr>
            <w:r>
              <w:rPr>
                <w:rFonts w:ascii="Cambria" w:hAnsi="Cambria" w:cs="Cambria" w:eastAsia="Cambria"/>
                <w:color w:val="1A1A1A"/>
                <w:sz w:val="18"/>
              </w:rPr>
              <w:t xml:space="preserve">+674 £ (IC ampio)</w:t>
            </w:r>
          </w:p>
        </w:tc>
        <w:tc>
          <w:tcPr/>
          <w:p>
            <w:pPr>
              <w:pStyle w:val="Compact"/>
              <w:spacing w:after="40" w:before="40"/>
              <w:jc w:val="left"/>
            </w:pPr>
            <w:r>
              <w:rPr>
                <w:rFonts w:ascii="Cambria" w:hAnsi="Cambria" w:cs="Cambria" w:eastAsia="Cambria"/>
                <w:color w:val="1A1A1A"/>
                <w:sz w:val="18"/>
              </w:rPr>
              <w:t xml:space="preserve">N/D</w:t>
            </w:r>
          </w:p>
        </w:tc>
        <w:tc>
          <w:tcPr/>
          <w:p>
            <w:pPr>
              <w:pStyle w:val="Compact"/>
              <w:spacing w:after="40" w:before="40"/>
              <w:jc w:val="left"/>
            </w:pPr>
            <w:r>
              <w:rPr>
                <w:rFonts w:ascii="Cambria" w:hAnsi="Cambria" w:cs="Cambria" w:eastAsia="Cambria"/>
                <w:color w:val="1A1A1A"/>
                <w:sz w:val="18"/>
              </w:rPr>
              <w:t xml:space="preserve">16.123 £ (24 mesi)</w:t>
            </w:r>
          </w:p>
        </w:tc>
        <w:tc>
          <w:tcPr/>
          <w:p>
            <w:pPr>
              <w:pStyle w:val="Compact"/>
              <w:spacing w:after="40" w:before="40"/>
              <w:jc w:val="left"/>
            </w:pPr>
            <w:r>
              <w:rPr>
                <w:rFonts w:ascii="Cambria" w:hAnsi="Cambria" w:cs="Cambria" w:eastAsia="Cambria"/>
                <w:color w:val="1A1A1A"/>
                <w:sz w:val="18"/>
              </w:rPr>
              <w:t xml:space="preserve">Accettabilità marginale (p=0,58 a 20.000 £)</w:t>
            </w:r>
          </w:p>
        </w:tc>
      </w:tr>
      <w:tr>
        <w:tc>
          <w:tcPr>
            <w:shd w:val="clear" w:color="auto" w:fill="F4F1EC"/>
          </w:tcPr>
          <w:p>
            <w:pPr>
              <w:pStyle w:val="Compact"/>
              <w:spacing w:after="40" w:before="40"/>
              <w:jc w:val="left"/>
            </w:pPr>
            <w:r>
              <w:rPr>
                <w:rFonts w:ascii="Cambria" w:hAnsi="Cambria" w:cs="Cambria" w:eastAsia="Cambria"/>
                <w:color w:val="1A1A1A"/>
                <w:sz w:val="18"/>
              </w:rPr>
              <w:t xml:space="preserve">Huffman/Celano 2016</w:t>
            </w:r>
          </w:p>
        </w:tc>
        <w:tc>
          <w:tcPr>
            <w:shd w:val="clear" w:color="auto" w:fill="F4F1EC"/>
          </w:tcPr>
          <w:p>
            <w:pPr>
              <w:pStyle w:val="Compact"/>
              <w:spacing w:after="40" w:before="40"/>
              <w:jc w:val="left"/>
            </w:pPr>
            <w:r>
              <w:rPr>
                <w:rFonts w:ascii="Cambria" w:hAnsi="Cambria" w:cs="Cambria" w:eastAsia="Cambria"/>
                <w:color w:val="1A1A1A"/>
                <w:sz w:val="18"/>
              </w:rPr>
              <w:t xml:space="preserve">Sanitaria</w:t>
            </w:r>
          </w:p>
        </w:tc>
        <w:tc>
          <w:tcPr>
            <w:shd w:val="clear" w:color="auto" w:fill="F4F1EC"/>
          </w:tcPr>
          <w:p>
            <w:pPr>
              <w:pStyle w:val="Compact"/>
              <w:spacing w:after="40" w:before="40"/>
              <w:jc w:val="left"/>
            </w:pPr>
            <w:r>
              <w:rPr>
                <w:rFonts w:ascii="Cambria" w:hAnsi="Cambria" w:cs="Cambria" w:eastAsia="Cambria"/>
                <w:color w:val="1A1A1A"/>
                <w:sz w:val="18"/>
              </w:rPr>
              <w:t xml:space="preserve">+175,27 $</w:t>
            </w:r>
          </w:p>
        </w:tc>
        <w:tc>
          <w:tcPr>
            <w:shd w:val="clear" w:color="auto" w:fill="F4F1EC"/>
          </w:tcPr>
          <w:p>
            <w:pPr>
              <w:pStyle w:val="Compact"/>
              <w:spacing w:after="40" w:before="40"/>
              <w:jc w:val="left"/>
            </w:pPr>
            <w:r>
              <w:rPr>
                <w:rFonts w:ascii="Cambria" w:hAnsi="Cambria" w:cs="Cambria" w:eastAsia="Cambria"/>
                <w:color w:val="1A1A1A"/>
                <w:sz w:val="18"/>
              </w:rPr>
              <w:t xml:space="preserve">N/D</w:t>
            </w:r>
          </w:p>
        </w:tc>
        <w:tc>
          <w:tcPr>
            <w:shd w:val="clear" w:color="auto" w:fill="F4F1EC"/>
          </w:tcPr>
          <w:p>
            <w:pPr>
              <w:pStyle w:val="Compact"/>
              <w:spacing w:after="40" w:before="40"/>
              <w:jc w:val="left"/>
            </w:pPr>
            <w:r>
              <w:rPr>
                <w:rFonts w:ascii="Cambria" w:hAnsi="Cambria" w:cs="Cambria" w:eastAsia="Cambria"/>
                <w:color w:val="1A1A1A"/>
                <w:sz w:val="18"/>
              </w:rPr>
              <w:t xml:space="preserve">3.337 $</w:t>
            </w:r>
          </w:p>
        </w:tc>
        <w:tc>
          <w:tcPr>
            <w:shd w:val="clear" w:color="auto" w:fill="F4F1EC"/>
          </w:tcPr>
          <w:p>
            <w:pPr>
              <w:pStyle w:val="Compact"/>
              <w:spacing w:after="40" w:before="40"/>
              <w:jc w:val="left"/>
            </w:pPr>
            <w:r>
              <w:rPr>
                <w:rFonts w:ascii="Cambria" w:hAnsi="Cambria" w:cs="Cambria" w:eastAsia="Cambria"/>
                <w:color w:val="1A1A1A"/>
                <w:sz w:val="18"/>
              </w:rPr>
              <w:t xml:space="preserve">Molto efficiente in comorbilità cardiaca</w:t>
            </w:r>
          </w:p>
        </w:tc>
      </w:tr>
      <w:tr>
        <w:tc>
          <w:tcPr/>
          <w:p>
            <w:pPr>
              <w:pStyle w:val="Compact"/>
              <w:spacing w:after="40" w:before="40"/>
              <w:jc w:val="left"/>
            </w:pPr>
            <w:r>
              <w:rPr>
                <w:rFonts w:ascii="Cambria" w:hAnsi="Cambria" w:cs="Cambria" w:eastAsia="Cambria"/>
                <w:color w:val="1A1A1A"/>
                <w:sz w:val="18"/>
              </w:rPr>
              <w:t xml:space="preserve">Gilbody et al., 2006 (meta-analisi)</w:t>
            </w:r>
          </w:p>
        </w:tc>
        <w:tc>
          <w:tcPr/>
          <w:p>
            <w:pPr>
              <w:pStyle w:val="Compact"/>
              <w:spacing w:after="40" w:before="40"/>
              <w:jc w:val="left"/>
            </w:pPr>
            <w:r>
              <w:rPr>
                <w:rFonts w:ascii="Cambria" w:hAnsi="Cambria" w:cs="Cambria" w:eastAsia="Cambria"/>
                <w:color w:val="1A1A1A"/>
                <w:sz w:val="18"/>
              </w:rPr>
              <w:t xml:space="preserve">Sanitaria + societaria</w:t>
            </w:r>
          </w:p>
        </w:tc>
        <w:tc>
          <w:tcPr/>
          <w:p>
            <w:pPr>
              <w:pStyle w:val="Compact"/>
              <w:spacing w:after="40" w:before="40"/>
              <w:jc w:val="left"/>
            </w:pPr>
            <w:r>
              <w:rPr>
                <w:rFonts w:ascii="Cambria" w:hAnsi="Cambria" w:cs="Cambria" w:eastAsia="Cambria"/>
                <w:color w:val="1A1A1A"/>
                <w:sz w:val="18"/>
              </w:rPr>
              <w:t xml:space="preserve">+7–13 £ / DFD</w:t>
            </w:r>
          </w:p>
        </w:tc>
        <w:tc>
          <w:tcPr/>
          <w:p>
            <w:pPr>
              <w:pStyle w:val="Compact"/>
              <w:spacing w:after="40" w:before="40"/>
              <w:jc w:val="left"/>
            </w:pPr>
            <w:r>
              <w:rPr>
                <w:rFonts w:ascii="Cambria" w:hAnsi="Cambria" w:cs="Cambria" w:eastAsia="Cambria"/>
                <w:color w:val="1A1A1A"/>
                <w:sz w:val="18"/>
              </w:rPr>
              <w:t xml:space="preserve">7–13 £</w:t>
            </w:r>
          </w:p>
        </w:tc>
        <w:tc>
          <w:tcPr/>
          <w:p>
            <w:pPr>
              <w:pStyle w:val="Compact"/>
              <w:spacing w:after="40" w:before="40"/>
              <w:jc w:val="left"/>
            </w:pPr>
            <w:r>
              <w:rPr>
                <w:rFonts w:ascii="Cambria" w:hAnsi="Cambria" w:cs="Cambria" w:eastAsia="Cambria"/>
                <w:color w:val="1A1A1A"/>
                <w:sz w:val="18"/>
              </w:rPr>
              <w:t xml:space="preserve">17.000–39.000 $</w:t>
            </w:r>
          </w:p>
        </w:tc>
        <w:tc>
          <w:tcPr/>
          <w:p>
            <w:pPr>
              <w:pStyle w:val="Compact"/>
              <w:spacing w:after="40" w:before="40"/>
              <w:jc w:val="left"/>
            </w:pPr>
            <w:r>
              <w:rPr>
                <w:rFonts w:ascii="Cambria" w:hAnsi="Cambria" w:cs="Cambria" w:eastAsia="Cambria"/>
                <w:color w:val="1A1A1A"/>
                <w:sz w:val="18"/>
              </w:rPr>
              <w:t xml:space="preserve">Generalmente favorevole; non i soli interventi educativi</w:t>
            </w:r>
          </w:p>
        </w:tc>
      </w:tr>
      <w:tr>
        <w:tc>
          <w:tcPr>
            <w:shd w:val="clear" w:color="auto" w:fill="F4F1EC"/>
          </w:tcPr>
          <w:p>
            <w:pPr>
              <w:pStyle w:val="Compact"/>
              <w:spacing w:after="40" w:before="40"/>
              <w:jc w:val="left"/>
            </w:pPr>
            <w:r>
              <w:rPr>
                <w:rFonts w:ascii="Cambria" w:hAnsi="Cambria" w:cs="Cambria" w:eastAsia="Cambria"/>
                <w:color w:val="1A1A1A"/>
                <w:sz w:val="18"/>
              </w:rPr>
              <w:t xml:space="preserve">CPSTF 2014 (sintesi 20 studi)</w:t>
            </w:r>
          </w:p>
        </w:tc>
        <w:tc>
          <w:tcPr>
            <w:shd w:val="clear" w:color="auto" w:fill="F4F1EC"/>
          </w:tcPr>
          <w:p>
            <w:pPr>
              <w:pStyle w:val="Compact"/>
              <w:spacing w:after="40" w:before="40"/>
              <w:jc w:val="left"/>
            </w:pPr>
            <w:r>
              <w:rPr>
                <w:rFonts w:ascii="Cambria" w:hAnsi="Cambria" w:cs="Cambria" w:eastAsia="Cambria"/>
                <w:color w:val="1A1A1A"/>
                <w:sz w:val="18"/>
              </w:rPr>
              <w:t xml:space="preserve">Societaria + sanitaria</w:t>
            </w:r>
          </w:p>
        </w:tc>
        <w:tc>
          <w:tcPr>
            <w:shd w:val="clear" w:color="auto" w:fill="F4F1EC"/>
          </w:tcPr>
          <w:p>
            <w:pPr>
              <w:pStyle w:val="Compact"/>
              <w:spacing w:after="40" w:before="40"/>
              <w:jc w:val="left"/>
            </w:pPr>
            <w:r>
              <w:rPr>
                <w:rFonts w:ascii="Cambria" w:hAnsi="Cambria" w:cs="Cambria" w:eastAsia="Cambria"/>
                <w:color w:val="1A1A1A"/>
                <w:sz w:val="18"/>
              </w:rPr>
              <w:t xml:space="preserve">204 $/anno (mediana)</w:t>
            </w:r>
          </w:p>
        </w:tc>
        <w:tc>
          <w:tcPr>
            <w:shd w:val="clear" w:color="auto" w:fill="F4F1EC"/>
          </w:tcPr>
          <w:p>
            <w:pPr>
              <w:pStyle w:val="Compact"/>
              <w:spacing w:after="40" w:before="40"/>
              <w:jc w:val="left"/>
            </w:pPr>
            <w:r>
              <w:rPr>
                <w:rFonts w:ascii="Cambria" w:hAnsi="Cambria" w:cs="Cambria" w:eastAsia="Cambria"/>
                <w:color w:val="1A1A1A"/>
                <w:sz w:val="18"/>
              </w:rPr>
              <w:t xml:space="preserve">N/D</w:t>
            </w:r>
          </w:p>
        </w:tc>
        <w:tc>
          <w:tcPr>
            <w:shd w:val="clear" w:color="auto" w:fill="F4F1EC"/>
          </w:tcPr>
          <w:p>
            <w:pPr>
              <w:pStyle w:val="Compact"/>
              <w:spacing w:after="40" w:before="40"/>
              <w:jc w:val="left"/>
            </w:pPr>
            <w:r>
              <w:rPr>
                <w:rFonts w:ascii="Cambria" w:hAnsi="Cambria" w:cs="Cambria" w:eastAsia="Cambria"/>
                <w:color w:val="1A1A1A"/>
                <w:sz w:val="18"/>
              </w:rPr>
              <w:t xml:space="preserve">3.000–71.000 $</w:t>
            </w:r>
          </w:p>
        </w:tc>
        <w:tc>
          <w:tcPr>
            <w:shd w:val="clear" w:color="auto" w:fill="F4F1EC"/>
          </w:tcPr>
          <w:p>
            <w:pPr>
              <w:pStyle w:val="Compact"/>
              <w:spacing w:after="40" w:before="40"/>
              <w:jc w:val="left"/>
            </w:pPr>
            <w:r>
              <w:rPr>
                <w:rFonts w:ascii="Cambria" w:hAnsi="Cambria" w:cs="Cambria" w:eastAsia="Cambria"/>
                <w:color w:val="1A1A1A"/>
                <w:sz w:val="18"/>
              </w:rPr>
              <w:t xml:space="preserve">Buon valore economico nella maggioranza</w:t>
            </w:r>
          </w:p>
        </w:tc>
      </w:tr>
    </w:tbl>
    <w:p>
      <w:pPr>
        <w:pStyle w:val="BodyText"/>
      </w:pPr>
      <w:r>
        <w:t xml:space="preserve">Legenda: PPP, parità di potere d’acquisto; ICER, rapporto incrementale di costo-efficacia; DFD, giornata libera da depressione.</w:t>
      </w:r>
    </w:p>
    <w:bookmarkEnd w:id="2632"/>
    <w:bookmarkStart w:id="2633" w:name="Xdc45837ef97d39fbbdb6503dfb934da4359460b"/>
    <w:p>
      <w:pPr>
        <w:pStyle w:val="Heading4"/>
      </w:pPr>
      <w:r>
        <w:rPr>
          <w:b/>
          <w:bCs/>
        </w:rPr>
        <w:t xml:space="preserve">D.5.3 Qualità metodologica degli studi economici: valutazione CHEC</w:t>
      </w:r>
    </w:p>
    <w:p>
      <w:pPr>
        <w:pStyle w:val="FirstParagraph"/>
      </w:pPr>
      <w:r>
        <w:t xml:space="preserve">La qualità metodologica degli studi economici è stata valutata con la lista CHEC, composta da diciannove voci. Il quadro è eterogeneo: il valore medio si colloca attorno a tredici voci soddisfatte su diciannove, corrispondente al sessantanove per cento. Un solo studio — Aragonés e collaboratori (2012) — soddisfa l’intero insieme dei criteri senza rischio di distorsione apprezzabile. Le lacune ricorrenti riguardano tre aree: l’incompletezza delle analisi di sensibilità (presente in meno della metà degli studi); la mancata rendicontazione dei QALY in misura diretta (sostituiti da proxy come le giornate libere da depressione o gli strumenti SF-12); e l’omissione della prospettiva societaria nei costi, che porta a una sottostima sistematica dei benefici, in quanto i costi indiretti di produttività persa — il vettore dominante del ritorno economico documentato da Chisholm e collaboratori (2016) — non vengono computati. Questo limite metodologico rafforza l’argomento, già articolato nella Parte E, per l’adozione della doppia prospettiva sanitaria e societaria: la sola prospettiva sanitaria tende a sottostimare il beneficio complessivo della cura collaborativa, e la prudenza metodologica che impone di non gonfiare le cifre non deve tradursi nell’omissione sistematica della dimensione sociale.</w:t>
      </w:r>
    </w:p>
    <w:bookmarkEnd w:id="2633"/>
    <w:bookmarkStart w:id="2634" w:name="X0c45afba49ccd844cebb184e5aedeaefd767520"/>
    <w:p>
      <w:pPr>
        <w:pStyle w:val="Heading4"/>
      </w:pPr>
      <w:r>
        <w:rPr>
          <w:b/>
          <w:bCs/>
        </w:rPr>
        <w:t xml:space="preserve">D.5.4 Modulazione dell’efficienza economica per fascia d’età, comorbilità e contesto geografico</w:t>
      </w:r>
    </w:p>
    <w:p>
      <w:pPr>
        <w:pStyle w:val="FirstParagraph"/>
      </w:pPr>
      <w:r>
        <w:t xml:space="preserve">L’efficienza economica della cura collaborativa non è uniforme, bensì modulata in misura sostanziale dall’età e dalla compresenza di patologie somatiche. Nella popolazione anziana (≥60 anni) il modello IMPACT esprime il proprio massimo rendimento: a fronte di un ICER compreso tra 2.519 e 5.037 dollari per QALY nel breve periodo, l’intervento diviene dominante sull’orizzonte quadriennale, con un risparmio netto stimato in 3.363 dollari per paziente e un ritorno di sei a uno; la probabilità di costo-efficacia, stimata per ricampionamento, supera l’ottantasette per cento. La comorbilità amplifica il vantaggio: nei pazienti anziani con diabete il rapporto scende a una forbice tra 198 e 397 dollari per QALY, con probabilità di risparmio del sessantasette per cento, e nei pazienti cardiopatici si attesta a 3.337 dollari per QALY, poiché la riduzione dei costi medici generali si somma a quella dei costi psichiatrici. L’analisi per sottogruppi di van der Weele rivela tuttavia una soglia di età oltre la quale il beneficio si concentra: la cura collaborativa risulta dominante negli ultraottantenni, mentre nella fascia compresa tra settantacinque e ottant’anni il rapporto degenera a 874.562 dollari per QALY, valore che ne sconsiglia l’adozione in quel segmento. Negli adulti in età lavorativa (18–64 anni) il rapporto si distende da 21 a 49.500 dollari per QALY, con inversione del costo nel secondo anno. Il contesto geografico agisce da ulteriore moderatore: l’efficienza è massima negli Stati Uniti e nei Paesi a reddito basso o intermedio — in Cile il rapporto per DFD tocca i 0,75 dollari — mentre l’erogazione per via telematica in ambito Veterans Affairs, gravata da costi strutturali, presenta un rapporto di 85.637 dollari per QALY, incompatibile con le soglie convenzionali; nel contesto britannico il valore di 16.123 sterline per QALY colloca l’intervento al margine dell’accettabilità.</w:t>
      </w:r>
    </w:p>
    <w:bookmarkEnd w:id="2634"/>
    <w:bookmarkEnd w:id="2635"/>
    <w:bookmarkStart w:id="2636" w:name="X3609c5ae5ced7a934546e0d3c2645ca1d402633"/>
    <w:p>
      <w:pPr>
        <w:pStyle w:val="Heading3"/>
      </w:pPr>
      <w:r>
        <w:rPr>
          <w:b/>
          <w:bCs/>
        </w:rPr>
        <w:t xml:space="preserve">D.6 La terapia cognitivo-comportamentale computerizzata nel confronto con la cura collaborativa: efficacia, costo e complementarità</w:t>
      </w:r>
    </w:p>
    <w:p>
      <w:pPr>
        <w:pStyle w:val="FirstParagraph"/>
      </w:pPr>
      <w:r>
        <w:t xml:space="preserve">La valutazione del modello pugliese richiede che la cura collaborativa, paradigma di riferimento, sia confrontata con l’alternativa digitale che nei sistemi sanitari avanzati ne costituisce il principale complemento: la terapia cognitivo-comportamentale erogata per via informatica (iCBT). Il confronto è qui condotto senza una sperimentazione diretta tra i due dispositivi — la quale non esiste nella letteratura con la potenza statistica sufficiente — e si fonda dunque sulle stime derivate da studi separati con comparatori comuni. Questa limitazione metodologica è dichiarata, e le conclusioni sono formulate in termini di complementarità piuttosto che di superiorità.</w:t>
      </w:r>
    </w:p>
    <w:p>
      <w:pPr>
        <w:pStyle w:val="BodyText"/>
      </w:pPr>
      <w:r>
        <w:t xml:space="preserve">Sul piano dell’efficacia, i due dispositivi presentano profili distinguibili. La cura collaborativa esprime, nello studio cardine CADET (Richards e collaboratori, 2013, n=581), un effetto sui sintomi depressivi statisticamente significativo ma di entità contenuta in termini assoluti: riduzione media del PHQ-9 di 1,33 punti a quattro mesi e 1,36 punti a dodici mesi rispetto alla cura usuale, con un numero necessario da trattare pari a 8,4. La terapia digitale esibisce dimensioni dell’effetto entro gruppo assai più ampie nelle sperimentazioni più recenti condotte in condizioni di pratica corrente: d ≥ 0,8 in cinque Paesi con il formato guidato, e d = −1,15 nella versione guidata analizzata da Knapstad e Smith (2026), con un tasso di recupero del 55% nei programmi maturi come quelli NHS Talking Therapies. Non è stata tuttavia dimostrata la non inferiorità formale nel confronto diretto, e l’effetto entro gruppo è influenzato dal fatto che molte sperimentazioni digitali includono popolazioni clinicamente meno gravi di quelle dei trial sulla cura collaborativa, il che attenua la confrontabilità. Il modello ibrido — la sinergia documentata dallo studio eIMPACT in cure primarie economicamente svantaggiate (Stewart e collaboratori, 2023, n=216) — ha conseguito g = −0,65 a dodici mesi, risultato superiore a entrambi i componenti singoli, e rappresenta l’opzione di efficacia più elevata per le popolazioni con barriere all’accesso cumulate.</w:t>
      </w:r>
    </w:p>
    <w:p>
      <w:pPr>
        <w:pStyle w:val="BodyText"/>
      </w:pPr>
      <w:r>
        <w:t xml:space="preserve">Tabella D.6. Confronto tra terapia cognitivo-comportamentale computerizzata (iCBT) e cura collaborativa (CoCM): parametri chiave.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iCBT (terapia cognitivo-comportamentale computerizzata)</w:t>
            </w:r>
          </w:p>
        </w:tc>
        <w:tc>
          <w:tcPr>
            <w:shd w:val="clear" w:color="auto" w:fill="16264B"/>
          </w:tcPr>
          <w:p>
            <w:pPr>
              <w:pStyle w:val="Compact"/>
              <w:spacing w:after="40" w:before="40"/>
              <w:jc w:val="left"/>
            </w:pPr>
            <w:r>
              <w:rPr>
                <w:rFonts w:ascii="Cambria" w:hAnsi="Cambria" w:cs="Cambria" w:eastAsia="Cambria"/>
                <w:b/>
                <w:bCs/>
                <w:color w:val="FFFFFF"/>
                <w:sz w:val="18"/>
              </w:rPr>
              <w:t xml:space="preserve">Cura collaborativa (CoCM)</w:t>
            </w:r>
          </w:p>
        </w:tc>
      </w:tr>
      <w:tr>
        <w:tc>
          <w:tcPr/>
          <w:p>
            <w:pPr>
              <w:pStyle w:val="Compact"/>
              <w:spacing w:after="40" w:before="40"/>
              <w:jc w:val="left"/>
            </w:pPr>
            <w:r>
              <w:rPr>
                <w:rFonts w:ascii="Cambria" w:hAnsi="Cambria" w:cs="Cambria" w:eastAsia="Cambria"/>
                <w:color w:val="1A1A1A"/>
                <w:sz w:val="18"/>
              </w:rPr>
              <w:t xml:space="preserve">Dimensione dell’effetto (PHQ-9, entro gruppo)</w:t>
            </w:r>
          </w:p>
        </w:tc>
        <w:tc>
          <w:tcPr/>
          <w:p>
            <w:pPr>
              <w:pStyle w:val="Compact"/>
              <w:spacing w:after="40" w:before="40"/>
              <w:jc w:val="left"/>
            </w:pPr>
            <w:r>
              <w:rPr>
                <w:rFonts w:ascii="Cambria" w:hAnsi="Cambria" w:cs="Cambria" w:eastAsia="Cambria"/>
                <w:color w:val="1A1A1A"/>
                <w:sz w:val="18"/>
              </w:rPr>
              <w:t xml:space="preserve">d ≥ 0,8 in cinque Paesi in pratica corrente; d = −1,15 nella versione guidata (Knapstad e Smith, 2026)</w:t>
            </w:r>
          </w:p>
        </w:tc>
        <w:tc>
          <w:tcPr/>
          <w:p>
            <w:pPr>
              <w:pStyle w:val="Compact"/>
              <w:spacing w:after="40" w:before="40"/>
              <w:jc w:val="left"/>
            </w:pPr>
            <w:r>
              <w:rPr>
                <w:rFonts w:ascii="Cambria" w:hAnsi="Cambria" w:cs="Cambria" w:eastAsia="Cambria"/>
                <w:color w:val="1A1A1A"/>
                <w:sz w:val="18"/>
              </w:rPr>
              <w:t xml:space="preserve">d = 0,26 (CADET 2013); differenza media standardizzata −0,30 su 103 sperimentazioni (Bower 2019)</w:t>
            </w:r>
          </w:p>
        </w:tc>
      </w:tr>
      <w:tr>
        <w:tc>
          <w:tcPr>
            <w:shd w:val="clear" w:color="auto" w:fill="F4F1EC"/>
          </w:tcPr>
          <w:p>
            <w:pPr>
              <w:pStyle w:val="Compact"/>
              <w:spacing w:after="40" w:before="40"/>
              <w:jc w:val="left"/>
            </w:pPr>
            <w:r>
              <w:rPr>
                <w:rFonts w:ascii="Cambria" w:hAnsi="Cambria" w:cs="Cambria" w:eastAsia="Cambria"/>
                <w:color w:val="1A1A1A"/>
                <w:sz w:val="18"/>
              </w:rPr>
              <w:t xml:space="preserve">Riduzione PHQ-9 vs controllo</w:t>
            </w:r>
          </w:p>
        </w:tc>
        <w:tc>
          <w:tcPr>
            <w:shd w:val="clear" w:color="auto" w:fill="F4F1EC"/>
          </w:tcPr>
          <w:p>
            <w:pPr>
              <w:pStyle w:val="Compact"/>
              <w:spacing w:after="40" w:before="40"/>
              <w:jc w:val="left"/>
            </w:pPr>
            <w:r>
              <w:rPr>
                <w:rFonts w:ascii="Cambria" w:hAnsi="Cambria" w:cs="Cambria" w:eastAsia="Cambria"/>
                <w:color w:val="1A1A1A"/>
                <w:sz w:val="18"/>
              </w:rPr>
              <w:t xml:space="preserve">−2,75 (IC −4,00; −1,50) a 8 settimane vs lista d’attesa, mantenuta a 12 mesi (NHS IAPT 2020)</w:t>
            </w:r>
          </w:p>
        </w:tc>
        <w:tc>
          <w:tcPr>
            <w:shd w:val="clear" w:color="auto" w:fill="F4F1EC"/>
          </w:tcPr>
          <w:p>
            <w:pPr>
              <w:pStyle w:val="Compact"/>
              <w:spacing w:after="40" w:before="40"/>
              <w:jc w:val="left"/>
            </w:pPr>
            <w:r>
              <w:rPr>
                <w:rFonts w:ascii="Cambria" w:hAnsi="Cambria" w:cs="Cambria" w:eastAsia="Cambria"/>
                <w:color w:val="1A1A1A"/>
                <w:sz w:val="18"/>
              </w:rPr>
              <w:t xml:space="preserve">−1,33 a 4 mesi (p=0,009) e −1,36 a 12 mesi (p=0,04) vs cura abituale (CADET 2013)</w:t>
            </w:r>
          </w:p>
        </w:tc>
      </w:tr>
      <w:tr>
        <w:tc>
          <w:tcPr/>
          <w:p>
            <w:pPr>
              <w:pStyle w:val="Compact"/>
              <w:spacing w:after="40" w:before="40"/>
              <w:jc w:val="left"/>
            </w:pPr>
            <w:r>
              <w:rPr>
                <w:rFonts w:ascii="Cambria" w:hAnsi="Cambria" w:cs="Cambria" w:eastAsia="Cambria"/>
                <w:color w:val="1A1A1A"/>
                <w:sz w:val="18"/>
              </w:rPr>
              <w:t xml:space="preserve">Tasso di risposta e remissione</w:t>
            </w:r>
          </w:p>
        </w:tc>
        <w:tc>
          <w:tcPr/>
          <w:p>
            <w:pPr>
              <w:pStyle w:val="Compact"/>
              <w:spacing w:after="40" w:before="40"/>
              <w:jc w:val="left"/>
            </w:pPr>
            <w:r>
              <w:rPr>
                <w:rFonts w:ascii="Cambria" w:hAnsi="Cambria" w:cs="Cambria" w:eastAsia="Cambria"/>
                <w:color w:val="1A1A1A"/>
                <w:sz w:val="18"/>
              </w:rPr>
              <w:t xml:space="preserve">55% di recupero post-trattamento in cinque Paesi (Titov 2018); 70% in remissione a 9 mesi nel monitoraggio NHS</w:t>
            </w:r>
          </w:p>
        </w:tc>
        <w:tc>
          <w:tcPr/>
          <w:p>
            <w:pPr>
              <w:pStyle w:val="Compact"/>
              <w:spacing w:after="40" w:before="40"/>
              <w:jc w:val="left"/>
            </w:pPr>
            <w:r>
              <w:rPr>
                <w:rFonts w:ascii="Cambria" w:hAnsi="Cambria" w:cs="Cambria" w:eastAsia="Cambria"/>
                <w:color w:val="1A1A1A"/>
                <w:sz w:val="18"/>
              </w:rPr>
              <w:t xml:space="preserve">43% di risposta vs 17% (OR 3,73) nel modello ibrido eIMPACT; NNT pari a 8,4 (CADET)</w:t>
            </w:r>
          </w:p>
        </w:tc>
      </w:tr>
      <w:tr>
        <w:tc>
          <w:tcPr>
            <w:shd w:val="clear" w:color="auto" w:fill="F4F1EC"/>
          </w:tcPr>
          <w:p>
            <w:pPr>
              <w:pStyle w:val="Compact"/>
              <w:spacing w:after="40" w:before="40"/>
              <w:jc w:val="left"/>
            </w:pPr>
            <w:r>
              <w:rPr>
                <w:rFonts w:ascii="Cambria" w:hAnsi="Cambria" w:cs="Cambria" w:eastAsia="Cambria"/>
                <w:color w:val="1A1A1A"/>
                <w:sz w:val="18"/>
              </w:rPr>
              <w:t xml:space="preserve">ICER / QALY</w:t>
            </w:r>
          </w:p>
        </w:tc>
        <w:tc>
          <w:tcPr>
            <w:shd w:val="clear" w:color="auto" w:fill="F4F1EC"/>
          </w:tcPr>
          <w:p>
            <w:pPr>
              <w:pStyle w:val="Compact"/>
              <w:spacing w:after="40" w:before="40"/>
              <w:jc w:val="left"/>
            </w:pPr>
            <w:r>
              <w:rPr>
                <w:rFonts w:ascii="Cambria" w:hAnsi="Cambria" w:cs="Cambria" w:eastAsia="Cambria"/>
                <w:color w:val="1A1A1A"/>
                <w:sz w:val="18"/>
              </w:rPr>
              <w:t xml:space="preserve">91,2% di costo-efficacia a 30.000 £/QALY (NHS IAPT); −169,50 € (versione guidata, Spagna)</w:t>
            </w:r>
          </w:p>
        </w:tc>
        <w:tc>
          <w:tcPr>
            <w:shd w:val="clear" w:color="auto" w:fill="F4F1EC"/>
          </w:tcPr>
          <w:p>
            <w:pPr>
              <w:pStyle w:val="Compact"/>
              <w:spacing w:after="40" w:before="40"/>
              <w:jc w:val="left"/>
            </w:pPr>
            <w:r>
              <w:rPr>
                <w:rFonts w:ascii="Cambria" w:hAnsi="Cambria" w:cs="Cambria" w:eastAsia="Cambria"/>
                <w:color w:val="1A1A1A"/>
                <w:sz w:val="18"/>
              </w:rPr>
              <w:t xml:space="preserve">14.248 £/QALY, sotto la soglia NICE di 20.000 £ (Green 2014)</w:t>
            </w:r>
          </w:p>
        </w:tc>
      </w:tr>
      <w:tr>
        <w:tc>
          <w:tcPr/>
          <w:p>
            <w:pPr>
              <w:pStyle w:val="Compact"/>
              <w:spacing w:after="40" w:before="40"/>
              <w:jc w:val="left"/>
            </w:pPr>
            <w:r>
              <w:rPr>
                <w:rFonts w:ascii="Cambria" w:hAnsi="Cambria" w:cs="Cambria" w:eastAsia="Cambria"/>
                <w:color w:val="1A1A1A"/>
                <w:sz w:val="18"/>
              </w:rPr>
              <w:t xml:space="preserve">Costo per paziente</w:t>
            </w:r>
          </w:p>
        </w:tc>
        <w:tc>
          <w:tcPr/>
          <w:p>
            <w:pPr>
              <w:pStyle w:val="Compact"/>
              <w:spacing w:after="40" w:before="40"/>
              <w:jc w:val="left"/>
            </w:pPr>
            <w:r>
              <w:rPr>
                <w:rFonts w:ascii="Cambria" w:hAnsi="Cambria" w:cs="Cambria" w:eastAsia="Cambria"/>
                <w:color w:val="1A1A1A"/>
                <w:sz w:val="18"/>
              </w:rPr>
              <w:t xml:space="preserve">94,63 £ (IAPT 2020); 35–65 minuti complessivi di terapeuta</w:t>
            </w:r>
          </w:p>
        </w:tc>
        <w:tc>
          <w:tcPr/>
          <w:p>
            <w:pPr>
              <w:pStyle w:val="Compact"/>
              <w:spacing w:after="40" w:before="40"/>
              <w:jc w:val="left"/>
            </w:pPr>
            <w:r>
              <w:rPr>
                <w:rFonts w:ascii="Cambria" w:hAnsi="Cambria" w:cs="Cambria" w:eastAsia="Cambria"/>
                <w:color w:val="1A1A1A"/>
                <w:sz w:val="18"/>
              </w:rPr>
              <w:t xml:space="preserve">Incremento medio 270,72 £ su 12 mesi (CADET); coordinatore 6–12 sedute × 15–40 minuti</w:t>
            </w:r>
          </w:p>
        </w:tc>
      </w:tr>
      <w:tr>
        <w:tc>
          <w:tcPr>
            <w:shd w:val="clear" w:color="auto" w:fill="F4F1EC"/>
          </w:tcPr>
          <w:p>
            <w:pPr>
              <w:pStyle w:val="Compact"/>
              <w:spacing w:after="40" w:before="40"/>
              <w:jc w:val="left"/>
            </w:pPr>
            <w:r>
              <w:rPr>
                <w:rFonts w:ascii="Cambria" w:hAnsi="Cambria" w:cs="Cambria" w:eastAsia="Cambria"/>
                <w:color w:val="1A1A1A"/>
                <w:sz w:val="18"/>
              </w:rPr>
              <w:t xml:space="preserve">Scalabilità</w:t>
            </w:r>
          </w:p>
        </w:tc>
        <w:tc>
          <w:tcPr>
            <w:shd w:val="clear" w:color="auto" w:fill="F4F1EC"/>
          </w:tcPr>
          <w:p>
            <w:pPr>
              <w:pStyle w:val="Compact"/>
              <w:spacing w:after="40" w:before="40"/>
              <w:jc w:val="left"/>
            </w:pPr>
            <w:r>
              <w:rPr>
                <w:rFonts w:ascii="Cambria" w:hAnsi="Cambria" w:cs="Cambria" w:eastAsia="Cambria"/>
                <w:color w:val="1A1A1A"/>
                <w:sz w:val="18"/>
              </w:rPr>
              <w:t xml:space="preserve">Elevata: −30% di liste d’attesa NHS dopo adozione sistematica; ottimale per aree rurali</w:t>
            </w:r>
          </w:p>
        </w:tc>
        <w:tc>
          <w:tcPr>
            <w:shd w:val="clear" w:color="auto" w:fill="F4F1EC"/>
          </w:tcPr>
          <w:p>
            <w:pPr>
              <w:pStyle w:val="Compact"/>
              <w:spacing w:after="40" w:before="40"/>
              <w:jc w:val="left"/>
            </w:pPr>
            <w:r>
              <w:rPr>
                <w:rFonts w:ascii="Cambria" w:hAnsi="Cambria" w:cs="Cambria" w:eastAsia="Cambria"/>
                <w:color w:val="1A1A1A"/>
                <w:sz w:val="18"/>
              </w:rPr>
              <w:t xml:space="preserve">Limitata: dipende da risorse umane specializzate; implementazione lenta fuori da USA e Regno Unito</w:t>
            </w:r>
          </w:p>
        </w:tc>
      </w:tr>
      <w:tr>
        <w:tc>
          <w:tcPr/>
          <w:p>
            <w:pPr>
              <w:pStyle w:val="Compact"/>
              <w:spacing w:after="40" w:before="40"/>
              <w:jc w:val="left"/>
            </w:pPr>
            <w:r>
              <w:rPr>
                <w:rFonts w:ascii="Cambria" w:hAnsi="Cambria" w:cs="Cambria" w:eastAsia="Cambria"/>
                <w:color w:val="1A1A1A"/>
                <w:sz w:val="18"/>
              </w:rPr>
              <w:t xml:space="preserve">Popolazione ideale</w:t>
            </w:r>
          </w:p>
        </w:tc>
        <w:tc>
          <w:tcPr/>
          <w:p>
            <w:pPr>
              <w:pStyle w:val="Compact"/>
              <w:spacing w:after="40" w:before="40"/>
              <w:jc w:val="left"/>
            </w:pPr>
            <w:r>
              <w:rPr>
                <w:rFonts w:ascii="Cambria" w:hAnsi="Cambria" w:cs="Cambria" w:eastAsia="Cambria"/>
                <w:color w:val="1A1A1A"/>
                <w:sz w:val="18"/>
              </w:rPr>
              <w:t xml:space="preserve">Adulti ≥18 anni con accesso informatico, PHQ-9 5–19, buona motivazione all’autogestione</w:t>
            </w:r>
          </w:p>
        </w:tc>
        <w:tc>
          <w:tcPr/>
          <w:p>
            <w:pPr>
              <w:pStyle w:val="Compact"/>
              <w:spacing w:after="40" w:before="40"/>
              <w:jc w:val="left"/>
            </w:pPr>
            <w:r>
              <w:rPr>
                <w:rFonts w:ascii="Cambria" w:hAnsi="Cambria" w:cs="Cambria" w:eastAsia="Cambria"/>
                <w:color w:val="1A1A1A"/>
                <w:sz w:val="18"/>
              </w:rPr>
              <w:t xml:space="preserve">PHQ-9 ≥10, multimorbilità fisica, popolazioni svantaggiate, necessità di guida prescrittiva</w:t>
            </w:r>
          </w:p>
        </w:tc>
      </w:tr>
      <w:tr>
        <w:tc>
          <w:tcPr>
            <w:shd w:val="clear" w:color="auto" w:fill="F4F1EC"/>
          </w:tcPr>
          <w:p>
            <w:pPr>
              <w:pStyle w:val="Compact"/>
              <w:spacing w:after="40" w:before="40"/>
              <w:jc w:val="left"/>
            </w:pPr>
            <w:r>
              <w:rPr>
                <w:rFonts w:ascii="Cambria" w:hAnsi="Cambria" w:cs="Cambria" w:eastAsia="Cambria"/>
                <w:color w:val="1A1A1A"/>
                <w:sz w:val="18"/>
              </w:rPr>
              <w:t xml:space="preserve">Limitazioni principali</w:t>
            </w:r>
          </w:p>
        </w:tc>
        <w:tc>
          <w:tcPr>
            <w:shd w:val="clear" w:color="auto" w:fill="F4F1EC"/>
          </w:tcPr>
          <w:p>
            <w:pPr>
              <w:pStyle w:val="Compact"/>
              <w:spacing w:after="40" w:before="40"/>
              <w:jc w:val="left"/>
            </w:pPr>
            <w:r>
              <w:rPr>
                <w:rFonts w:ascii="Cambria" w:hAnsi="Cambria" w:cs="Cambria" w:eastAsia="Cambria"/>
                <w:color w:val="1A1A1A"/>
                <w:sz w:val="18"/>
              </w:rPr>
              <w:t xml:space="preserve">Controindicata per PHQ-9 ≥20, ideazione suicidaria (item 9 ≥2), psicosi, disturbo bipolare; divario digitale</w:t>
            </w:r>
          </w:p>
        </w:tc>
        <w:tc>
          <w:tcPr>
            <w:shd w:val="clear" w:color="auto" w:fill="F4F1EC"/>
          </w:tcPr>
          <w:p>
            <w:pPr>
              <w:pStyle w:val="Compact"/>
              <w:spacing w:after="40" w:before="40"/>
              <w:jc w:val="left"/>
            </w:pPr>
            <w:r>
              <w:rPr>
                <w:rFonts w:ascii="Cambria" w:hAnsi="Cambria" w:cs="Cambria" w:eastAsia="Cambria"/>
                <w:color w:val="1A1A1A"/>
                <w:sz w:val="18"/>
              </w:rPr>
              <w:t xml:space="preserve">Adatta alla depressione moderata-grave; barriere di ruolo e rimborso; nessun requisito tecnologico per il paziente</w:t>
            </w:r>
          </w:p>
        </w:tc>
      </w:tr>
    </w:tbl>
    <w:p>
      <w:pPr>
        <w:pStyle w:val="BodyText"/>
      </w:pPr>
      <w:r>
        <w:t xml:space="preserve">L’architettura che concilia i profili dei due dispositivi — e che l’Istituto Superiore di Sanità raccomanda per l’area psichiatrica — è quella per livelli progressivi: la terapia digitale quale prima linea a bassa intensità per le forme lievi e moderate con accesso informatico e un PHQ-9 compreso tra 5 e 19, e il passaggio alla cura collaborativa o alla psicoterapia in presenza quando il punteggio non si riduca di almeno il venti per cento entro otto settimane, o quando il PHQ-9 superi 20, o quando siano presenti ideazione suicidaria, psicosi attiva, disturbo bipolare o multimorbilità che richiedano guida prescrittiva. Il modello ibrido, sul disegno eIMPACT, si configura come la strategia di efficacia e di costo più favorevole per le popolazioni svantaggiate o gravate da multimorbilità fisica. Per il contesto pugliese, la scelta tra i due dispositivi non discende dal ritorno assoluto — ove la cura collaborativa prevale per la maggiore gravità della casistica trattata — bensì dalla complementarità dei profili di accesso e dalla disponibilità di infrastrutture digitali nei quarantacinque distretti regionali.</w:t>
      </w:r>
    </w:p>
    <w:p>
      <w:r>
        <w:br w:type="page"/>
      </w:r>
    </w:p>
    <w:bookmarkEnd w:id="2636"/>
    <w:bookmarkEnd w:id="2637"/>
    <w:bookmarkStart w:id="2639" w:name="X1fc8f0262d07e85a52cc3d552ce2b81a53a4e0f"/>
    <w:p>
      <w:pPr>
        <w:pStyle w:val="Heading1"/>
      </w:pPr>
      <w:r>
        <w:t xml:space="preserve">Appendice XXIX — La produttività recuperata: proiezione regionale secondo le prospettive del capitale umano e del costo di frizione</w:t>
      </w:r>
    </w:p>
    <w:bookmarkStart w:id="2638" w:name="X6808d97e671d000403c77a833b996bf4feb1252"/>
    <w:p>
      <w:pPr>
        <w:pStyle w:val="Heading3"/>
      </w:pPr>
      <w:r>
        <w:rPr>
          <w:b/>
          <w:bCs/>
        </w:rPr>
        <w:t xml:space="preserve">D.7 La dimensione della produttività recuperata: proiezione per la Regione Puglia secondo le prospettive del capitale umano e del costo di frizione</w:t>
      </w:r>
    </w:p>
    <w:p>
      <w:pPr>
        <w:pStyle w:val="FirstParagraph"/>
      </w:pPr>
      <w:r>
        <w:t xml:space="preserve">La valutazione clinica del corpus internazionale non esaurisce la stima del valore della riforma. Una componente rilevante del beneficio attribuibile alla cura collaborativa e alla terapia digitale — e già individuata come asse della dimensione sociale nell’architettura economica della Parte E — è il recupero della produttività dei lavoratori affetti da disturbi depressivi e ansiosi non o insufficientemente trattati. Questa dimensione è qui quantificata secondo le due prospettive metodologicamente riconosciute nella letteratura di health economics: la prospettiva del capitale umano, adottata come caso di riferimento, e la prospettiva del costo di frizione, utilizzata come limite inferiore conservativo.</w:t>
      </w:r>
    </w:p>
    <w:p>
      <w:pPr>
        <w:pStyle w:val="BodyText"/>
      </w:pPr>
      <w:r>
        <w:t xml:space="preserve">La prospettiva del capitale umano valorizza ogni giornata lavorativa persa al salario lordo medio del soggetto, assumendo che tale giornata rappresenti il valore economico della produzione perduta; essa è la prospettiva più ampia, poiché contabilizza anche il presenteismo — la riduzione di efficienza al lavoro senza assenza formale — e costituisce il riferimento standard del Secondo Panel statunitense sulla costo-efficacia. La prospettiva del costo di frizione, sviluppata da Koopmanschap e collaboratori (1995) e successivamente elaborata da van den Hout (2009), valorizza solo il periodo necessario a sostituire il lavoratore assente, assumendo che, sul lungo periodo, il mercato del lavoro riassorba l’assenza; essa genera stime sistematicamente inferiori, specie in mercati con riserva di lavoro disponibile, ed è impiegata qui come limite inferiore della stima.</w:t>
      </w:r>
    </w:p>
    <w:p>
      <w:pPr>
        <w:pStyle w:val="BodyText"/>
      </w:pPr>
      <w:r>
        <w:t xml:space="preserve">Sul contesto pugliese, assunto un salario lordo medio di 24.800 euro l’anno (pari a 95,40 euro al giorno su 261 giornate lavorative, secondo il dato ISTAT 2023 per il Mezzogiorno), un tasso di occupazione del 52,3 per cento (tra i più bassi d’Italia) e una prevalenza dei disturbi ansioso-depressivi tra il dodici e il diciotto per cento degli assistiti — stimata con riferimento al divario di trattamento documentato nella Parte B —, il modello stima i costi indiretti annui per paziente non adeguatamente trattato e il risparmio conseguibile per le due modalità di intervento, nell’una e nell’altra prospettiva.</w:t>
      </w:r>
    </w:p>
    <w:p>
      <w:pPr>
        <w:pStyle w:val="BodyText"/>
      </w:pPr>
      <w:r>
        <w:t xml:space="preserve">Tabella D.7. Stima del risparmio di produttività recuperata per paziente: confronto tra iCBT e cura collaborativa, secondo le due prospettive metodologiche (contesto pugliese).</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iCBT · capitale umano</w:t>
            </w:r>
          </w:p>
        </w:tc>
        <w:tc>
          <w:tcPr>
            <w:shd w:val="clear" w:color="auto" w:fill="16264B"/>
          </w:tcPr>
          <w:p>
            <w:pPr>
              <w:pStyle w:val="Compact"/>
              <w:spacing w:after="40" w:before="40"/>
              <w:jc w:val="left"/>
            </w:pPr>
            <w:r>
              <w:rPr>
                <w:rFonts w:ascii="Cambria" w:hAnsi="Cambria" w:cs="Cambria" w:eastAsia="Cambria"/>
                <w:b/>
                <w:bCs/>
                <w:color w:val="FFFFFF"/>
                <w:sz w:val="18"/>
              </w:rPr>
              <w:t xml:space="preserve">iCBT · frizione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Cura collaborativa · capitale umano</w:t>
            </w:r>
          </w:p>
        </w:tc>
        <w:tc>
          <w:tcPr>
            <w:shd w:val="clear" w:color="auto" w:fill="16264B"/>
          </w:tcPr>
          <w:p>
            <w:pPr>
              <w:pStyle w:val="Compact"/>
              <w:spacing w:after="40" w:before="40"/>
              <w:jc w:val="left"/>
            </w:pPr>
            <w:r>
              <w:rPr>
                <w:rFonts w:ascii="Cambria" w:hAnsi="Cambria" w:cs="Cambria" w:eastAsia="Cambria"/>
                <w:b/>
                <w:bCs/>
                <w:color w:val="FFFFFF"/>
                <w:sz w:val="18"/>
              </w:rPr>
              <w:t xml:space="preserve">Cura collaborativa · frizione</w:t>
            </w:r>
          </w:p>
        </w:tc>
      </w:tr>
      <w:tr>
        <w:tc>
          <w:tcPr/>
          <w:p>
            <w:pPr>
              <w:pStyle w:val="Compact"/>
              <w:spacing w:after="40" w:before="40"/>
              <w:jc w:val="left"/>
            </w:pPr>
            <w:r>
              <w:rPr>
                <w:rFonts w:ascii="Cambria" w:hAnsi="Cambria" w:cs="Cambria" w:eastAsia="Cambria"/>
                <w:color w:val="1A1A1A"/>
                <w:sz w:val="18"/>
              </w:rPr>
              <w:t xml:space="preserve">Costo diretto per paziente</w:t>
            </w:r>
          </w:p>
        </w:tc>
        <w:tc>
          <w:tcPr/>
          <w:p>
            <w:pPr>
              <w:pStyle w:val="Compact"/>
              <w:spacing w:after="40" w:before="40"/>
              <w:jc w:val="left"/>
            </w:pPr>
            <w:r>
              <w:rPr>
                <w:rFonts w:ascii="Cambria" w:hAnsi="Cambria" w:cs="Cambria" w:eastAsia="Cambria"/>
                <w:color w:val="1A1A1A"/>
                <w:sz w:val="18"/>
              </w:rPr>
              <w:t xml:space="preserve">420 €</w:t>
            </w:r>
          </w:p>
        </w:tc>
        <w:tc>
          <w:tcPr/>
          <w:p>
            <w:pPr>
              <w:pStyle w:val="Compact"/>
              <w:spacing w:after="40" w:before="40"/>
              <w:jc w:val="left"/>
            </w:pPr>
            <w:r>
              <w:rPr>
                <w:rFonts w:ascii="Cambria" w:hAnsi="Cambria" w:cs="Cambria" w:eastAsia="Cambria"/>
                <w:color w:val="1A1A1A"/>
                <w:sz w:val="18"/>
              </w:rPr>
              <w:t xml:space="preserve">420 €</w:t>
            </w:r>
          </w:p>
        </w:tc>
        <w:tc>
          <w:tcPr/>
          <w:p>
            <w:pPr>
              <w:pStyle w:val="Compact"/>
              <w:spacing w:after="40" w:before="40"/>
              <w:jc w:val="left"/>
            </w:pPr>
            <w:r>
              <w:rPr>
                <w:rFonts w:ascii="Cambria" w:hAnsi="Cambria" w:cs="Cambria" w:eastAsia="Cambria"/>
                <w:color w:val="1A1A1A"/>
                <w:sz w:val="18"/>
              </w:rPr>
              <w:t xml:space="preserve">280 €</w:t>
            </w:r>
          </w:p>
        </w:tc>
        <w:tc>
          <w:tcPr/>
          <w:p>
            <w:pPr>
              <w:pStyle w:val="Compact"/>
              <w:spacing w:after="40" w:before="40"/>
              <w:jc w:val="left"/>
            </w:pPr>
            <w:r>
              <w:rPr>
                <w:rFonts w:ascii="Cambria" w:hAnsi="Cambria" w:cs="Cambria" w:eastAsia="Cambria"/>
                <w:color w:val="1A1A1A"/>
                <w:sz w:val="18"/>
              </w:rPr>
              <w:t xml:space="preserve">280 €</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Risparmio di produttività annuo</w:t>
            </w:r>
          </w:p>
        </w:tc>
        <w:tc>
          <w:tcPr>
            <w:shd w:val="clear" w:color="auto" w:fill="F4F1EC"/>
          </w:tcPr>
          <w:p>
            <w:pPr>
              <w:pStyle w:val="Compact"/>
              <w:spacing w:after="40" w:before="40"/>
              <w:jc w:val="left"/>
            </w:pPr>
            <w:r>
              <w:rPr>
                <w:rFonts w:ascii="Cambria" w:hAnsi="Cambria" w:cs="Cambria" w:eastAsia="Cambria"/>
                <w:color w:val="1A1A1A"/>
                <w:sz w:val="18"/>
              </w:rPr>
              <w:t xml:space="preserve">3.155 €</w:t>
            </w:r>
          </w:p>
        </w:tc>
        <w:tc>
          <w:tcPr>
            <w:shd w:val="clear" w:color="auto" w:fill="F4F1EC"/>
          </w:tcPr>
          <w:p>
            <w:pPr>
              <w:pStyle w:val="Compact"/>
              <w:spacing w:after="40" w:before="40"/>
              <w:jc w:val="left"/>
            </w:pPr>
            <w:r>
              <w:rPr>
                <w:rFonts w:ascii="Cambria" w:hAnsi="Cambria" w:cs="Cambria" w:eastAsia="Cambria"/>
                <w:color w:val="1A1A1A"/>
                <w:sz w:val="18"/>
              </w:rPr>
              <w:t xml:space="preserve">1.068 €</w:t>
            </w:r>
          </w:p>
        </w:tc>
        <w:tc>
          <w:tcPr>
            <w:shd w:val="clear" w:color="auto" w:fill="F4F1EC"/>
          </w:tcPr>
          <w:p>
            <w:pPr>
              <w:pStyle w:val="Compact"/>
              <w:spacing w:after="40" w:before="40"/>
              <w:jc w:val="left"/>
            </w:pPr>
            <w:r>
              <w:rPr>
                <w:rFonts w:ascii="Cambria" w:hAnsi="Cambria" w:cs="Cambria" w:eastAsia="Cambria"/>
                <w:color w:val="1A1A1A"/>
                <w:sz w:val="18"/>
              </w:rPr>
              <w:t xml:space="preserve">4.424 €</w:t>
            </w:r>
          </w:p>
        </w:tc>
        <w:tc>
          <w:tcPr>
            <w:shd w:val="clear" w:color="auto" w:fill="F4F1EC"/>
          </w:tcPr>
          <w:p>
            <w:pPr>
              <w:pStyle w:val="Compact"/>
              <w:spacing w:after="40" w:before="40"/>
              <w:jc w:val="left"/>
            </w:pPr>
            <w:r>
              <w:rPr>
                <w:rFonts w:ascii="Cambria" w:hAnsi="Cambria" w:cs="Cambria" w:eastAsia="Cambria"/>
                <w:color w:val="1A1A1A"/>
                <w:sz w:val="18"/>
              </w:rPr>
              <w:t xml:space="preserve">1.667 €</w:t>
            </w:r>
          </w:p>
        </w:tc>
      </w:tr>
      <w:tr>
        <w:tc>
          <w:tcPr/>
          <w:p>
            <w:pPr>
              <w:pStyle w:val="Compact"/>
              <w:spacing w:after="40" w:before="40"/>
              <w:jc w:val="left"/>
            </w:pPr>
            <w:r>
              <w:rPr>
                <w:rFonts w:ascii="Cambria" w:hAnsi="Cambria" w:cs="Cambria" w:eastAsia="Cambria"/>
                <w:color w:val="1A1A1A"/>
                <w:sz w:val="18"/>
              </w:rPr>
              <w:t xml:space="preserve">Ritorno sul primo anno</w:t>
            </w:r>
          </w:p>
        </w:tc>
        <w:tc>
          <w:tcPr/>
          <w:p>
            <w:pPr>
              <w:pStyle w:val="Compact"/>
              <w:spacing w:after="40" w:before="40"/>
              <w:jc w:val="left"/>
            </w:pPr>
            <w:r>
              <w:rPr>
                <w:rFonts w:ascii="Cambria" w:hAnsi="Cambria" w:cs="Cambria" w:eastAsia="Cambria"/>
                <w:color w:val="1A1A1A"/>
                <w:sz w:val="18"/>
              </w:rPr>
              <w:t xml:space="preserve">7,5 : 1</w:t>
            </w:r>
          </w:p>
        </w:tc>
        <w:tc>
          <w:tcPr/>
          <w:p>
            <w:pPr>
              <w:pStyle w:val="Compact"/>
              <w:spacing w:after="40" w:before="40"/>
              <w:jc w:val="left"/>
            </w:pPr>
            <w:r>
              <w:rPr>
                <w:rFonts w:ascii="Cambria" w:hAnsi="Cambria" w:cs="Cambria" w:eastAsia="Cambria"/>
                <w:color w:val="1A1A1A"/>
                <w:sz w:val="18"/>
              </w:rPr>
              <w:t xml:space="preserve">2,5 : 1</w:t>
            </w:r>
          </w:p>
        </w:tc>
        <w:tc>
          <w:tcPr/>
          <w:p>
            <w:pPr>
              <w:pStyle w:val="Compact"/>
              <w:spacing w:after="40" w:before="40"/>
              <w:jc w:val="left"/>
            </w:pPr>
            <w:r>
              <w:rPr>
                <w:rFonts w:ascii="Cambria" w:hAnsi="Cambria" w:cs="Cambria" w:eastAsia="Cambria"/>
                <w:color w:val="1A1A1A"/>
                <w:sz w:val="18"/>
              </w:rPr>
              <w:t xml:space="preserve">15,8 : 1</w:t>
            </w:r>
          </w:p>
        </w:tc>
        <w:tc>
          <w:tcPr/>
          <w:p>
            <w:pPr>
              <w:pStyle w:val="Compact"/>
              <w:spacing w:after="40" w:before="40"/>
              <w:jc w:val="left"/>
            </w:pPr>
            <w:r>
              <w:rPr>
                <w:rFonts w:ascii="Cambria" w:hAnsi="Cambria" w:cs="Cambria" w:eastAsia="Cambria"/>
                <w:color w:val="1A1A1A"/>
                <w:sz w:val="18"/>
              </w:rPr>
              <w:t xml:space="preserve">5,9 : 1</w:t>
            </w:r>
          </w:p>
        </w:tc>
      </w:tr>
      <w:tr>
        <w:tc>
          <w:tcPr>
            <w:shd w:val="clear" w:color="auto" w:fill="F4F1EC"/>
          </w:tcPr>
          <w:p>
            <w:pPr>
              <w:pStyle w:val="Compact"/>
              <w:spacing w:after="40" w:before="40"/>
              <w:jc w:val="left"/>
            </w:pPr>
            <w:r>
              <w:rPr>
                <w:rFonts w:ascii="Cambria" w:hAnsi="Cambria" w:cs="Cambria" w:eastAsia="Cambria"/>
                <w:color w:val="1A1A1A"/>
                <w:sz w:val="18"/>
              </w:rPr>
              <w:t xml:space="preserve">Rapporto costo-utilità (€/QALY)</w:t>
            </w:r>
          </w:p>
        </w:tc>
        <w:tc>
          <w:tcPr>
            <w:shd w:val="clear" w:color="auto" w:fill="F4F1EC"/>
          </w:tcPr>
          <w:p>
            <w:pPr>
              <w:pStyle w:val="Compact"/>
              <w:spacing w:after="40" w:before="40"/>
              <w:jc w:val="left"/>
            </w:pPr>
            <w:r>
              <w:rPr>
                <w:rFonts w:ascii="Cambria" w:hAnsi="Cambria" w:cs="Cambria" w:eastAsia="Cambria"/>
                <w:color w:val="1A1A1A"/>
                <w:sz w:val="18"/>
              </w:rPr>
              <w:t xml:space="preserve">8.800 €</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~0 € (dominante)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r>
    </w:tbl>
    <w:p>
      <w:pPr>
        <w:pStyle w:val="BodyText"/>
      </w:pPr>
      <w:r>
        <w:t xml:space="preserve">Il ritorno permane positivo in ogni scenario ragionevole e, nella prospettiva del capitale umano, risulta sistematicamente superiore in ragione della valorizzazione del presenteismo, che la prospettiva del costo di frizione per convenzione non contabilizza. Sul piano della proiezione regionale, applicando il modello all’insieme dei 780.000 residenti pugliesi con disagio comune — stimati in ragione del 20 per cento della popolazione regionale di 3.877.395 residenti —, con una proporzione di occupati del 52,3 per cento e un’ipotesi conservativa che solo il 30 per cento dei soggetti trattati recuperi produttività in misura rilevante, il risparmio aggregato di produttività oscilla tra i 60 e i 90 milioni di euro annui nello scenario base, coerentemente con la stima delle ricadute sociali già esposta nella Parte E. Tale grandezza appartiene alla sfera economico-sociale, è tenuta distinta dal risparmio diretto per il bilancio sanitario e dalle ricadute fiscali, e non vi è sommata: è il valore che la riforma genera per la collettività, misurabile ma non incassabile direttamente dal Servizio Sanitario Regionale.</w:t>
      </w:r>
    </w:p>
    <w:p>
      <w:r>
        <w:br w:type="page"/>
      </w:r>
    </w:p>
    <w:bookmarkEnd w:id="2638"/>
    <w:bookmarkEnd w:id="2639"/>
    <w:bookmarkStart w:id="2656" w:name="Xe30af748357f996598fa0a74b055bc5667b114b"/>
    <w:p>
      <w:pPr>
        <w:pStyle w:val="Heading1"/>
      </w:pPr>
      <w:r>
        <w:t xml:space="preserve">Appendice XXX — L’innesto dell’Intelligenza Artificiale nei bisogni psicologici e nelle criticità sanitarie</w:t>
      </w:r>
    </w:p>
    <w:bookmarkStart w:id="2655" w:name="X32b71d2660c6976023614d2c7e6f6b256e112de"/>
    <w:p>
      <w:pPr>
        <w:pStyle w:val="Heading2"/>
      </w:pPr>
      <w:r>
        <w:t xml:space="preserve">Integrazione dell’Intelligenza Artificiale nel Capitolo 2: Bisogni Psicologici, Criticità Sanitarie e Razionale in Puglia</w:t>
      </w:r>
    </w:p>
    <w:bookmarkStart w:id="2643" w:name="X055e5b481e41480b65e28393a06696a68ae27bb"/>
    <w:p>
      <w:pPr>
        <w:pStyle w:val="Heading3"/>
      </w:pPr>
      <w:r>
        <w:t xml:space="preserve">Contesto Pugliese e Potenziale dell’IA nei Bisogni Psicologici</w:t>
      </w:r>
    </w:p>
    <w:p>
      <w:pPr>
        <w:pStyle w:val="FirstParagraph"/>
      </w:pPr>
      <w:r>
        <w:t xml:space="preserve">Il Capitolo 2 del progetto</w:t>
      </w:r>
      <w:r>
        <w:t xml:space="preserve"> </w:t>
      </w:r>
      <w:r>
        <w:rPr>
          <w:i/>
          <w:iCs/>
        </w:rPr>
        <w:t xml:space="preserve">Psicologo di Base</w:t>
      </w:r>
      <w:r>
        <w:t xml:space="preserve"> </w:t>
      </w:r>
      <w:r>
        <w:t xml:space="preserve">delinea un quadro</w:t>
      </w:r>
      <w:r>
        <w:t xml:space="preserve"> </w:t>
      </w:r>
      <w:r>
        <w:t xml:space="preserve">allarmante per la salute mentale in Puglia, definendo una</w:t>
      </w:r>
      <w:r>
        <w:t xml:space="preserve"> </w:t>
      </w:r>
      <w:r>
        <w:t xml:space="preserve">“</w:t>
      </w:r>
      <w:r>
        <w:t xml:space="preserve">tempesta</w:t>
      </w:r>
      <w:r>
        <w:t xml:space="preserve"> </w:t>
      </w:r>
      <w:r>
        <w:t xml:space="preserve">perfetta</w:t>
      </w:r>
      <w:r>
        <w:t xml:space="preserve">”</w:t>
      </w:r>
      <w:r>
        <w:t xml:space="preserve"> </w:t>
      </w:r>
      <w:r>
        <w:t xml:space="preserve">risultante dalla convergenza di fattori demografici,</w:t>
      </w:r>
      <w:r>
        <w:t xml:space="preserve"> </w:t>
      </w:r>
      <w:r>
        <w:t xml:space="preserve">epidemiologici, socioeconomici e strutturali che aggravano il bisogno</w:t>
      </w:r>
      <w:r>
        <w:t xml:space="preserve"> </w:t>
      </w:r>
      <w:r>
        <w:t xml:space="preserve">psicologico regionale. In Puglia si assiste a un invecchiamento</w:t>
      </w:r>
      <w:r>
        <w:t xml:space="preserve"> </w:t>
      </w:r>
      <w:r>
        <w:t xml:space="preserve">accelerato della popolazione, a un calo storico della natalità e a</w:t>
      </w:r>
      <w:r>
        <w:t xml:space="preserve"> </w:t>
      </w:r>
      <w:r>
        <w:t xml:space="preserve">flussi migratori in uscita, con età media salita a ~46,7 anni. Questa</w:t>
      </w:r>
      <w:r>
        <w:t xml:space="preserve"> </w:t>
      </w:r>
      <w:r>
        <w:t xml:space="preserve">transizione demografica implica un aumento atteso dei disturbi mentali</w:t>
      </w:r>
      <w:r>
        <w:t xml:space="preserve"> </w:t>
      </w:r>
      <w:r>
        <w:t xml:space="preserve">comuni tra gli anziani, aggravando il</w:t>
      </w:r>
      <w:r>
        <w:t xml:space="preserve"> </w:t>
      </w:r>
      <w:r>
        <w:rPr>
          <w:i/>
          <w:iCs/>
        </w:rPr>
        <w:t xml:space="preserve">burden</w:t>
      </w:r>
      <w:r>
        <w:t xml:space="preserve"> </w:t>
      </w:r>
      <w:r>
        <w:t xml:space="preserve">assistenziale. Allo</w:t>
      </w:r>
      <w:r>
        <w:t xml:space="preserve"> </w:t>
      </w:r>
      <w:r>
        <w:t xml:space="preserve">stesso tempo, il sistema attuale registra un</w:t>
      </w:r>
      <w:r>
        <w:t xml:space="preserve"> </w:t>
      </w:r>
      <w:r>
        <w:rPr>
          <w:b/>
          <w:bCs/>
        </w:rPr>
        <w:t xml:space="preserve">drammatico gap</w:t>
      </w:r>
      <w:r>
        <w:t xml:space="preserve"> </w:t>
      </w:r>
      <w:r>
        <w:t xml:space="preserve">tra il</w:t>
      </w:r>
      <w:r>
        <w:t xml:space="preserve"> </w:t>
      </w:r>
      <w:r>
        <w:t xml:space="preserve">bisogno reale di assistenza psicologica e la capacità di risposta dei</w:t>
      </w:r>
      <w:r>
        <w:t xml:space="preserve"> </w:t>
      </w:r>
      <w:r>
        <w:t xml:space="preserve">servizi. La Puglia soffre di sotto-investimento cronico in salute</w:t>
      </w:r>
      <w:r>
        <w:t xml:space="preserve"> </w:t>
      </w:r>
      <w:r>
        <w:t xml:space="preserve">mentale, destinando solo ~3,3% della spesa sanitaria pubblica a questo</w:t>
      </w:r>
      <w:r>
        <w:t xml:space="preserve"> </w:t>
      </w:r>
      <w:r>
        <w:t xml:space="preserve">settore (circa €285 milioni/anno), nettamente al di sotto del 5%</w:t>
      </w:r>
      <w:r>
        <w:t xml:space="preserve"> </w:t>
      </w:r>
      <w:r>
        <w:t xml:space="preserve">raccomandato dall’OMS e della media europea (5–6%). Tale gap di</w:t>
      </w:r>
      <w:r>
        <w:t xml:space="preserve"> </w:t>
      </w:r>
      <w:r>
        <w:t xml:space="preserve">finanziamenti, quantificabile in ~€142 milioni annui di risorse</w:t>
      </w:r>
      <w:r>
        <w:t xml:space="preserve"> </w:t>
      </w:r>
      <w:r>
        <w:t xml:space="preserve">mancanti, si traduce in servizi insufficienti (appena 3,5 psicologi per</w:t>
      </w:r>
      <w:r>
        <w:t xml:space="preserve"> </w:t>
      </w:r>
      <w:r>
        <w:t xml:space="preserve">1000 abitanti in Italia) e lunghe liste d’attesa. Ne consegue che gran</w:t>
      </w:r>
      <w:r>
        <w:t xml:space="preserve"> </w:t>
      </w:r>
      <w:r>
        <w:t xml:space="preserve">parte del disagio psicologico resta</w:t>
      </w:r>
      <w:r>
        <w:t xml:space="preserve"> </w:t>
      </w:r>
      <w:r>
        <w:rPr>
          <w:i/>
          <w:iCs/>
        </w:rPr>
        <w:t xml:space="preserve">sommerso</w:t>
      </w:r>
      <w:r>
        <w:t xml:space="preserve"> </w:t>
      </w:r>
      <w:r>
        <w:t xml:space="preserve">– oltre due terzi di chi</w:t>
      </w:r>
      <w:r>
        <w:t xml:space="preserve"> </w:t>
      </w:r>
      <w:r>
        <w:t xml:space="preserve">avrebbe bisogno non riceve assistenza specialistica – e molti sintomi</w:t>
      </w:r>
      <w:r>
        <w:t xml:space="preserve"> </w:t>
      </w:r>
      <w:r>
        <w:t xml:space="preserve">depressivi lievi/moderati evolvono in forme più gravi con costi sociali</w:t>
      </w:r>
      <w:r>
        <w:t xml:space="preserve"> </w:t>
      </w:r>
      <w:r>
        <w:t xml:space="preserve">crescenti.</w:t>
      </w:r>
    </w:p>
    <w:p>
      <w:pPr>
        <w:pStyle w:val="BodyText"/>
      </w:pPr>
      <w:r>
        <w:t xml:space="preserve">Di fronte a queste criticità, l’Intelligenza Artificiale (IA) offre</w:t>
      </w:r>
      <w:r>
        <w:t xml:space="preserve"> </w:t>
      </w:r>
      <w:r>
        <w:t xml:space="preserve">strumenti innovativi per rafforzare in modo efficace ed evidence-based</w:t>
      </w:r>
      <w:r>
        <w:t xml:space="preserve"> </w:t>
      </w:r>
      <w:r>
        <w:t xml:space="preserve">la risposta ai bisogni psicologici in Puglia. Le applicazioni dell’IA</w:t>
      </w:r>
      <w:r>
        <w:t xml:space="preserve"> </w:t>
      </w:r>
      <w:r>
        <w:t xml:space="preserve">nei vari ambiti medico-sanitari possono infatti incrementare</w:t>
      </w:r>
      <w:r>
        <w:t xml:space="preserve"> </w:t>
      </w:r>
      <w:r>
        <w:rPr>
          <w:b/>
          <w:bCs/>
        </w:rPr>
        <w:t xml:space="preserve">accesso,</w:t>
      </w:r>
      <w:r>
        <w:rPr>
          <w:b/>
          <w:bCs/>
        </w:rPr>
        <w:t xml:space="preserve"> </w:t>
      </w:r>
      <w:r>
        <w:rPr>
          <w:b/>
          <w:bCs/>
        </w:rPr>
        <w:t xml:space="preserve">precocità e personalizzazione</w:t>
      </w:r>
      <w:r>
        <w:t xml:space="preserve"> </w:t>
      </w:r>
      <w:r>
        <w:t xml:space="preserve">delle cure, contribuendo a colmare il</w:t>
      </w:r>
      <w:r>
        <w:t xml:space="preserve"> </w:t>
      </w:r>
      <w:r>
        <w:t xml:space="preserve">divario tra domanda e offerta di assistenza. Ad esempio, in un contesto</w:t>
      </w:r>
      <w:r>
        <w:t xml:space="preserve"> </w:t>
      </w:r>
      <w:r>
        <w:t xml:space="preserve">di popolazione anziana crescente, algoritmi di</w:t>
      </w:r>
      <w:r>
        <w:t xml:space="preserve"> </w:t>
      </w:r>
      <w:r>
        <w:rPr>
          <w:i/>
          <w:iCs/>
        </w:rPr>
        <w:t xml:space="preserve">machine learning</w:t>
      </w:r>
      <w:r>
        <w:t xml:space="preserve"> </w:t>
      </w:r>
      <w:r>
        <w:t xml:space="preserve">possono analizzare dati clinici di base (es. patologie croniche,</w:t>
      </w:r>
      <w:r>
        <w:t xml:space="preserve"> </w:t>
      </w:r>
      <w:r>
        <w:t xml:space="preserve">farmaci, punteggi cognitivi) per</w:t>
      </w:r>
      <w:r>
        <w:t xml:space="preserve"> </w:t>
      </w:r>
      <w:r>
        <w:rPr>
          <w:b/>
          <w:bCs/>
        </w:rPr>
        <w:t xml:space="preserve">stratificare il rischio</w:t>
      </w:r>
      <w:r>
        <w:t xml:space="preserve"> </w:t>
      </w:r>
      <w:r>
        <w:t xml:space="preserve">di</w:t>
      </w:r>
      <w:r>
        <w:t xml:space="preserve"> </w:t>
      </w:r>
      <w:r>
        <w:t xml:space="preserve">depressione o declino cognitivo negli over-65, identificando soggetti</w:t>
      </w:r>
      <w:r>
        <w:t xml:space="preserve"> </w:t>
      </w:r>
      <w:r>
        <w:t xml:space="preserve">vulnerabili da avviare a screening proattivo. Nei servizi di prevenzione</w:t>
      </w:r>
      <w:r>
        <w:t xml:space="preserve"> </w:t>
      </w:r>
      <w:r>
        <w:t xml:space="preserve">e diagnosi precoce, sistemi di IA addestrati su grandi dataset clinici</w:t>
      </w:r>
      <w:r>
        <w:t xml:space="preserve"> </w:t>
      </w:r>
      <w:r>
        <w:t xml:space="preserve">possono supportare i Medici di Medicina Generale nell’individuare</w:t>
      </w:r>
      <w:r>
        <w:t xml:space="preserve"> </w:t>
      </w:r>
      <w:r>
        <w:t xml:space="preserve">segnali precoci di disagio psicologico: ad esempio, un algoritmo</w:t>
      </w:r>
      <w:r>
        <w:t xml:space="preserve"> </w:t>
      </w:r>
      <w:r>
        <w:t xml:space="preserve">potrebbe allertare il MMG a somministrare un questionario PHQ-9 a</w:t>
      </w:r>
      <w:r>
        <w:t xml:space="preserve"> </w:t>
      </w:r>
      <w:r>
        <w:t xml:space="preserve">pazienti con comorbidità e frequenti sintomi somatici inspiegati,</w:t>
      </w:r>
      <w:r>
        <w:t xml:space="preserve"> </w:t>
      </w:r>
      <w:r>
        <w:t xml:space="preserve">migliorando la</w:t>
      </w:r>
      <w:r>
        <w:t xml:space="preserve"> </w:t>
      </w:r>
      <w:r>
        <w:rPr>
          <w:b/>
          <w:bCs/>
        </w:rPr>
        <w:t xml:space="preserve">diagnosi precoce</w:t>
      </w:r>
      <w:r>
        <w:t xml:space="preserve"> </w:t>
      </w:r>
      <w:r>
        <w:t xml:space="preserve">della depressione. L’IA può dunque</w:t>
      </w:r>
      <w:r>
        <w:t xml:space="preserve"> </w:t>
      </w:r>
      <w:r>
        <w:t xml:space="preserve">agire come</w:t>
      </w:r>
      <w:r>
        <w:t xml:space="preserve"> </w:t>
      </w:r>
      <w:r>
        <w:t xml:space="preserve">“</w:t>
      </w:r>
      <w:r>
        <w:t xml:space="preserve">sensore</w:t>
      </w:r>
      <w:r>
        <w:t xml:space="preserve">”</w:t>
      </w:r>
      <w:r>
        <w:t xml:space="preserve"> </w:t>
      </w:r>
      <w:r>
        <w:t xml:space="preserve">aggiuntivo nel territorio, riconoscendo pattern</w:t>
      </w:r>
      <w:r>
        <w:t xml:space="preserve"> </w:t>
      </w:r>
      <w:r>
        <w:t xml:space="preserve">complessi che anticipano l’insorgere di disturbi mentali.</w:t>
      </w:r>
    </w:p>
    <w:p>
      <w:pPr>
        <w:pStyle w:val="BodyText"/>
      </w:pPr>
      <w:r>
        <w:t xml:space="preserve">Inoltre, strumenti di IA possono aumentare la</w:t>
      </w:r>
      <w:r>
        <w:t xml:space="preserve"> </w:t>
      </w:r>
      <w:r>
        <w:rPr>
          <w:b/>
          <w:bCs/>
        </w:rPr>
        <w:t xml:space="preserve">capacità di presa in</w:t>
      </w:r>
      <w:r>
        <w:rPr>
          <w:b/>
          <w:bCs/>
        </w:rPr>
        <w:t xml:space="preserve"> </w:t>
      </w:r>
      <w:r>
        <w:rPr>
          <w:b/>
          <w:bCs/>
        </w:rPr>
        <w:t xml:space="preserve">carico</w:t>
      </w:r>
      <w:r>
        <w:t xml:space="preserve"> </w:t>
      </w:r>
      <w:r>
        <w:t xml:space="preserve">senza richiedere un equivalente aumento di specialisti (cosa</w:t>
      </w:r>
      <w:r>
        <w:t xml:space="preserve"> </w:t>
      </w:r>
      <w:r>
        <w:t xml:space="preserve">improbabile dati i vincoli di bilancio).</w:t>
      </w:r>
      <w:r>
        <w:t xml:space="preserve"> </w:t>
      </w:r>
      <w:r>
        <w:rPr>
          <w:i/>
          <w:iCs/>
        </w:rPr>
        <w:t xml:space="preserve">Chatbot</w:t>
      </w:r>
      <w:r>
        <w:t xml:space="preserve"> </w:t>
      </w:r>
      <w:r>
        <w:t xml:space="preserve">conversazionali e</w:t>
      </w:r>
      <w:r>
        <w:t xml:space="preserve"> </w:t>
      </w:r>
      <w:r>
        <w:t xml:space="preserve">agenti virtuali, disponibili 24/7 via smartphone, sono in grado di</w:t>
      </w:r>
      <w:r>
        <w:t xml:space="preserve"> </w:t>
      </w:r>
      <w:r>
        <w:t xml:space="preserve">fornire supporto psicologico di base e orientamento a un ampio numero di</w:t>
      </w:r>
      <w:r>
        <w:t xml:space="preserve"> </w:t>
      </w:r>
      <w:r>
        <w:t xml:space="preserve">utenti, riducendo le barriere geografiche e di stigma. Ciò è</w:t>
      </w:r>
      <w:r>
        <w:t xml:space="preserve"> </w:t>
      </w:r>
      <w:r>
        <w:t xml:space="preserve">particolarmente utile per intercettare il</w:t>
      </w:r>
      <w:r>
        <w:t xml:space="preserve"> </w:t>
      </w:r>
      <w:r>
        <w:rPr>
          <w:b/>
          <w:bCs/>
        </w:rPr>
        <w:t xml:space="preserve">sommerso epidemiologico</w:t>
      </w:r>
      <w:r>
        <w:t xml:space="preserve"> </w:t>
      </w:r>
      <w:r>
        <w:t xml:space="preserve">in</w:t>
      </w:r>
      <w:r>
        <w:t xml:space="preserve"> </w:t>
      </w:r>
      <w:r>
        <w:t xml:space="preserve">Puglia: persone in aree rurali, giovani disoccupati, donne care-giver o</w:t>
      </w:r>
      <w:r>
        <w:t xml:space="preserve"> </w:t>
      </w:r>
      <w:r>
        <w:t xml:space="preserve">anziani soli che esiterebbero a rivolgersi di persona a uno psicologo,</w:t>
      </w:r>
      <w:r>
        <w:t xml:space="preserve"> </w:t>
      </w:r>
      <w:r>
        <w:t xml:space="preserve">potrebbero invece aprirsi con un assistente virtuale anonimo. Uno studio</w:t>
      </w:r>
      <w:r>
        <w:t xml:space="preserve"> </w:t>
      </w:r>
      <w:r>
        <w:t xml:space="preserve">osservazionale nel sistema sanitario inglese ha mostrato che</w:t>
      </w:r>
      <w:r>
        <w:t xml:space="preserve"> </w:t>
      </w:r>
      <w:r>
        <w:t xml:space="preserve">l’introduzione di un chatbot di auto-segnalazione per terapie</w:t>
      </w:r>
      <w:r>
        <w:t xml:space="preserve"> </w:t>
      </w:r>
      <w:r>
        <w:t xml:space="preserve">psicologiche ha aumentato del 15% il volume di invii ai servizi, con</w:t>
      </w:r>
      <w:r>
        <w:t xml:space="preserve"> </w:t>
      </w:r>
      <w:r>
        <w:t xml:space="preserve">incrementi maggiori proprio tra minoranze altrimenti poco coinvolte</w:t>
      </w:r>
      <w:r>
        <w:t xml:space="preserve"> </w:t>
      </w:r>
      <w:r>
        <w:t xml:space="preserve">(+179% tra persone non-binarie, +29% tra minoranze etniche). L’elemento</w:t>
      </w:r>
      <w:r>
        <w:t xml:space="preserve"> </w:t>
      </w:r>
      <w:r>
        <w:t xml:space="preserve">di interazione</w:t>
      </w:r>
      <w:r>
        <w:t xml:space="preserve"> </w:t>
      </w:r>
      <w:r>
        <w:t xml:space="preserve">“</w:t>
      </w:r>
      <w:r>
        <w:t xml:space="preserve">human-free</w:t>
      </w:r>
      <w:r>
        <w:t xml:space="preserve">”</w:t>
      </w:r>
      <w:r>
        <w:t xml:space="preserve"> </w:t>
      </w:r>
      <w:r>
        <w:t xml:space="preserve">e la facilità di accesso autonomo hanno</w:t>
      </w:r>
      <w:r>
        <w:t xml:space="preserve"> </w:t>
      </w:r>
      <w:r>
        <w:t xml:space="preserve">favorito utenti tipicamente restii a cercare aiuto, riducendo</w:t>
      </w:r>
      <w:r>
        <w:t xml:space="preserve"> </w:t>
      </w:r>
      <w:r>
        <w:t xml:space="preserve">disuguaglianze di accesso. Tradotto nel contesto pugliese, ciò significa</w:t>
      </w:r>
      <w:r>
        <w:t xml:space="preserve"> </w:t>
      </w:r>
      <w:r>
        <w:t xml:space="preserve">che l’IA può aiutare a raggiungere popolazioni vulnerabili (ad es. NEET,</w:t>
      </w:r>
      <w:r>
        <w:t xml:space="preserve"> </w:t>
      </w:r>
      <w:r>
        <w:t xml:space="preserve">persone in povertà o con bassa alfabetizzazione sanitaria) superando</w:t>
      </w:r>
      <w:r>
        <w:t xml:space="preserve"> </w:t>
      </w:r>
      <w:r>
        <w:t xml:space="preserve">barriere economiche e culturali: un chatbot multilingue e gratuito</w:t>
      </w:r>
      <w:r>
        <w:t xml:space="preserve"> </w:t>
      </w:r>
      <w:r>
        <w:t xml:space="preserve">potrebbe fornire screening psicologici preliminari, consigli e rinforzo</w:t>
      </w:r>
      <w:r>
        <w:t xml:space="preserve"> </w:t>
      </w:r>
      <w:r>
        <w:t xml:space="preserve">motivazionale, indirizzando poi i casi più seri ai servizi di base.</w:t>
      </w:r>
    </w:p>
    <w:p>
      <w:pPr>
        <w:pStyle w:val="BodyText"/>
      </w:pPr>
      <w:r>
        <w:t xml:space="preserve">Non va trascurato il ruolo che l’IA può avere nel</w:t>
      </w:r>
      <w:r>
        <w:t xml:space="preserve"> </w:t>
      </w:r>
      <w:r>
        <w:rPr>
          <w:b/>
          <w:bCs/>
        </w:rPr>
        <w:t xml:space="preserve">mitigare il</w:t>
      </w:r>
      <w:r>
        <w:rPr>
          <w:b/>
          <w:bCs/>
        </w:rPr>
        <w:t xml:space="preserve"> </w:t>
      </w:r>
      <w:r>
        <w:rPr>
          <w:b/>
          <w:bCs/>
        </w:rPr>
        <w:t xml:space="preserve">sovraccarico dei servizi di emergenza</w:t>
      </w:r>
      <w:r>
        <w:t xml:space="preserve">. Il capitolo evidenzia come</w:t>
      </w:r>
      <w:r>
        <w:t xml:space="preserve"> </w:t>
      </w:r>
      <w:r>
        <w:t xml:space="preserve">migliaia di pugliesi ogni anno accedano impropriamente ai Pronto</w:t>
      </w:r>
      <w:r>
        <w:t xml:space="preserve"> </w:t>
      </w:r>
      <w:r>
        <w:t xml:space="preserve">Soccorso per sintomi psichiatrici minori o attacchi d’ansia acuti,</w:t>
      </w:r>
      <w:r>
        <w:t xml:space="preserve"> </w:t>
      </w:r>
      <w:r>
        <w:t xml:space="preserve">contribuendo al sovraffollamento e generando</w:t>
      </w:r>
      <w:r>
        <w:t xml:space="preserve"> </w:t>
      </w:r>
      <w:r>
        <w:t xml:space="preserve">“</w:t>
      </w:r>
      <w:r>
        <w:t xml:space="preserve">prestazioni a basso valore</w:t>
      </w:r>
      <w:r>
        <w:t xml:space="preserve"> </w:t>
      </w:r>
      <w:r>
        <w:t xml:space="preserve">terapeutico</w:t>
      </w:r>
      <w:r>
        <w:t xml:space="preserve">”</w:t>
      </w:r>
      <w:r>
        <w:t xml:space="preserve">. Strumenti di triage automatizzato basati su IA potrebbero</w:t>
      </w:r>
      <w:r>
        <w:t xml:space="preserve"> </w:t>
      </w:r>
      <w:r>
        <w:t xml:space="preserve">filtrare e gestire questi casi a monte: ad esempio, una piattaforma</w:t>
      </w:r>
      <w:r>
        <w:t xml:space="preserve"> </w:t>
      </w:r>
      <w:r>
        <w:t xml:space="preserve">digitale regionale potrebbe impiegare un algoritmo di</w:t>
      </w:r>
      <w:r>
        <w:t xml:space="preserve"> </w:t>
      </w:r>
      <w:r>
        <w:rPr>
          <w:b/>
          <w:bCs/>
        </w:rPr>
        <w:t xml:space="preserve">triage</w:t>
      </w:r>
      <w:r>
        <w:rPr>
          <w:b/>
          <w:bCs/>
        </w:rPr>
        <w:t xml:space="preserve"> </w:t>
      </w:r>
      <w:r>
        <w:rPr>
          <w:b/>
          <w:bCs/>
        </w:rPr>
        <w:t xml:space="preserve">psicologico</w:t>
      </w:r>
      <w:r>
        <w:t xml:space="preserve"> </w:t>
      </w:r>
      <w:r>
        <w:t xml:space="preserve">che, attraverso una chat automatizzata (eventualmente</w:t>
      </w:r>
      <w:r>
        <w:t xml:space="preserve"> </w:t>
      </w:r>
      <w:r>
        <w:t xml:space="preserve">integrata con linee telefoniche), valuta la gravità dei sintomi riferiti</w:t>
      </w:r>
      <w:r>
        <w:t xml:space="preserve"> </w:t>
      </w:r>
      <w:r>
        <w:t xml:space="preserve">dall’utente e decide se consigliare: (a) tecniche di auto-aiuto o</w:t>
      </w:r>
      <w:r>
        <w:t xml:space="preserve"> </w:t>
      </w:r>
      <w:r>
        <w:t xml:space="preserve">teleconsulenza immediata per casi lievi (es. attacco di panico senza</w:t>
      </w:r>
      <w:r>
        <w:t xml:space="preserve"> </w:t>
      </w:r>
      <w:r>
        <w:t xml:space="preserve">rischio per sé/terzi), (b) contatto rapido con lo psicologo di base o</w:t>
      </w:r>
      <w:r>
        <w:t xml:space="preserve"> </w:t>
      </w:r>
      <w:r>
        <w:t xml:space="preserve">CSM per valutazione in tempi brevi, oppure (c) attivazione del 118 se</w:t>
      </w:r>
      <w:r>
        <w:t xml:space="preserve"> </w:t>
      </w:r>
      <w:r>
        <w:t xml:space="preserve">emergenza psichiatrica. Un esempio concreto viene dal NHS britannico:</w:t>
      </w:r>
      <w:r>
        <w:t xml:space="preserve"> </w:t>
      </w:r>
      <w:r>
        <w:t xml:space="preserve">nella regione del Cheshire è stato implementato</w:t>
      </w:r>
      <w:r>
        <w:t xml:space="preserve"> </w:t>
      </w:r>
      <w:r>
        <w:t xml:space="preserve">“</w:t>
      </w:r>
      <w:r>
        <w:t xml:space="preserve">Limbic</w:t>
      </w:r>
      <w:r>
        <w:t xml:space="preserve">”</w:t>
      </w:r>
      <w:r>
        <w:t xml:space="preserve">, un chatbot IA</w:t>
      </w:r>
      <w:r>
        <w:t xml:space="preserve"> </w:t>
      </w:r>
      <w:r>
        <w:t xml:space="preserve">integrato nei servizi</w:t>
      </w:r>
      <w:r>
        <w:t xml:space="preserve"> </w:t>
      </w:r>
      <w:r>
        <w:rPr>
          <w:i/>
          <w:iCs/>
        </w:rPr>
        <w:t xml:space="preserve">Talking Therapies</w:t>
      </w:r>
      <w:r>
        <w:t xml:space="preserve">, che snellisce il processo di</w:t>
      </w:r>
      <w:r>
        <w:t xml:space="preserve"> </w:t>
      </w:r>
      <w:r>
        <w:t xml:space="preserve">valutazione e invio a supporto psicologico, guidando più rapidamente le</w:t>
      </w:r>
      <w:r>
        <w:t xml:space="preserve"> </w:t>
      </w:r>
      <w:r>
        <w:t xml:space="preserve">persone al servizio</w:t>
      </w:r>
      <w:r>
        <w:t xml:space="preserve"> </w:t>
      </w:r>
      <w:r>
        <w:t xml:space="preserve">appropriato</w:t>
      </w:r>
      <w:hyperlink r:id="rId2640">
        <w:r>
          <w:rPr>
            <w:rStyle w:val="Hyperlink"/>
          </w:rPr>
          <w:t xml:space="preserve">[1]</w:t>
        </w:r>
      </w:hyperlink>
      <w:hyperlink r:id="rId2641">
        <w:r>
          <w:rPr>
            <w:rStyle w:val="Hyperlink"/>
          </w:rPr>
          <w:t xml:space="preserve">[2]</w:t>
        </w:r>
      </w:hyperlink>
      <w:r>
        <w:t xml:space="preserve">.</w:t>
      </w:r>
      <w:r>
        <w:t xml:space="preserve"> </w:t>
      </w:r>
      <w:r>
        <w:t xml:space="preserve">Questo sistema orienta gli utenti ansiosi o depressi verso opzioni di</w:t>
      </w:r>
      <w:r>
        <w:t xml:space="preserve"> </w:t>
      </w:r>
      <w:r>
        <w:t xml:space="preserve">cura calibrate (telefono, video, gruppi online), ed è pensato per chi</w:t>
      </w:r>
      <w:r>
        <w:t xml:space="preserve"> </w:t>
      </w:r>
      <w:r>
        <w:t xml:space="preserve">trova difficoltoso parlare al telefono, offrendo un’interfaccia</w:t>
      </w:r>
      <w:r>
        <w:t xml:space="preserve"> </w:t>
      </w:r>
      <w:r>
        <w:t xml:space="preserve">amichevole per i</w:t>
      </w:r>
      <w:r>
        <w:t xml:space="preserve"> </w:t>
      </w:r>
      <w:r>
        <w:t xml:space="preserve">“</w:t>
      </w:r>
      <w:r>
        <w:t xml:space="preserve">primi passi</w:t>
      </w:r>
      <w:r>
        <w:t xml:space="preserve">”</w:t>
      </w:r>
      <w:r>
        <w:t xml:space="preserve"> </w:t>
      </w:r>
      <w:r>
        <w:t xml:space="preserve">nel chiedere</w:t>
      </w:r>
      <w:r>
        <w:t xml:space="preserve"> </w:t>
      </w:r>
      <w:r>
        <w:t xml:space="preserve">aiuto</w:t>
      </w:r>
      <w:hyperlink r:id="rId2642">
        <w:r>
          <w:rPr>
            <w:rStyle w:val="Hyperlink"/>
          </w:rPr>
          <w:t xml:space="preserve">[3]</w:t>
        </w:r>
      </w:hyperlink>
      <w:r>
        <w:t xml:space="preserve">.</w:t>
      </w:r>
      <w:r>
        <w:t xml:space="preserve"> </w:t>
      </w:r>
      <w:r>
        <w:t xml:space="preserve">Soluzioni analoghe in Puglia alleggerirebbero il carico sui PS e</w:t>
      </w:r>
      <w:r>
        <w:t xml:space="preserve"> </w:t>
      </w:r>
      <w:r>
        <w:t xml:space="preserve">permetterebbero interventi</w:t>
      </w:r>
      <w:r>
        <w:t xml:space="preserve"> </w:t>
      </w:r>
      <w:r>
        <w:rPr>
          <w:b/>
          <w:bCs/>
        </w:rPr>
        <w:t xml:space="preserve">più tempestivi e appropriati</w:t>
      </w:r>
      <w:r>
        <w:t xml:space="preserve">, evitando</w:t>
      </w:r>
      <w:r>
        <w:t xml:space="preserve"> </w:t>
      </w:r>
      <w:r>
        <w:t xml:space="preserve">che situazioni moderate evolvano in crisi gravi per mancanza di un</w:t>
      </w:r>
      <w:r>
        <w:t xml:space="preserve"> </w:t>
      </w:r>
      <w:r>
        <w:t xml:space="preserve">intervento intermedio.</w:t>
      </w:r>
    </w:p>
    <w:p>
      <w:pPr>
        <w:pStyle w:val="BodyText"/>
      </w:pPr>
      <w:r>
        <w:t xml:space="preserve">In sintesi, l’IA può efficacemente rispondere ai bisogni e criticità</w:t>
      </w:r>
      <w:r>
        <w:t xml:space="preserve"> </w:t>
      </w:r>
      <w:r>
        <w:t xml:space="preserve">evidenziati in Puglia potenziando ogni fase del percorso assistenziale:</w:t>
      </w:r>
      <w:r>
        <w:t xml:space="preserve"> </w:t>
      </w:r>
      <w:r>
        <w:t xml:space="preserve">dalla</w:t>
      </w:r>
      <w:r>
        <w:t xml:space="preserve"> </w:t>
      </w:r>
      <w:r>
        <w:rPr>
          <w:b/>
          <w:bCs/>
        </w:rPr>
        <w:t xml:space="preserve">prevenzione secondaria</w:t>
      </w:r>
      <w:r>
        <w:t xml:space="preserve"> </w:t>
      </w:r>
      <w:r>
        <w:t xml:space="preserve">(identificando precocemente soggetti a</w:t>
      </w:r>
      <w:r>
        <w:t xml:space="preserve"> </w:t>
      </w:r>
      <w:r>
        <w:t xml:space="preserve">rischio tra la popolazione, p.es. tramite</w:t>
      </w:r>
      <w:r>
        <w:t xml:space="preserve"> </w:t>
      </w:r>
      <w:r>
        <w:rPr>
          <w:i/>
          <w:iCs/>
        </w:rPr>
        <w:t xml:space="preserve">machine learning</w:t>
      </w:r>
      <w:r>
        <w:t xml:space="preserve"> </w:t>
      </w:r>
      <w:r>
        <w:t xml:space="preserve">su dati</w:t>
      </w:r>
      <w:r>
        <w:t xml:space="preserve"> </w:t>
      </w:r>
      <w:r>
        <w:t xml:space="preserve">epidemiologici locali), alla</w:t>
      </w:r>
      <w:r>
        <w:t xml:space="preserve"> </w:t>
      </w:r>
      <w:r>
        <w:rPr>
          <w:b/>
          <w:bCs/>
        </w:rPr>
        <w:t xml:space="preserve">diagnosi precoce e screening</w:t>
      </w:r>
      <w:r>
        <w:t xml:space="preserve"> </w:t>
      </w:r>
      <w:r>
        <w:t xml:space="preserve">(strumenti</w:t>
      </w:r>
      <w:r>
        <w:t xml:space="preserve"> </w:t>
      </w:r>
      <w:r>
        <w:t xml:space="preserve">digitali somministrati su larga scala, come questionari automatizzati di</w:t>
      </w:r>
      <w:r>
        <w:t xml:space="preserve"> </w:t>
      </w:r>
      <w:r>
        <w:t xml:space="preserve">ansia e depressione via app), fino al</w:t>
      </w:r>
      <w:r>
        <w:t xml:space="preserve"> </w:t>
      </w:r>
      <w:r>
        <w:rPr>
          <w:b/>
          <w:bCs/>
        </w:rPr>
        <w:t xml:space="preserve">trattamento e riabilitazione</w:t>
      </w:r>
      <w:r>
        <w:t xml:space="preserve"> </w:t>
      </w:r>
      <w:r>
        <w:t xml:space="preserve">(chatbot di supporto psicologico continuo, piattaforme di</w:t>
      </w:r>
      <w:r>
        <w:t xml:space="preserve"> </w:t>
      </w:r>
      <w:r>
        <w:t xml:space="preserve">tele-psicoterapia guidate da IA, serious games riabilitativi) e alla</w:t>
      </w:r>
      <w:r>
        <w:t xml:space="preserve"> </w:t>
      </w:r>
      <w:r>
        <w:rPr>
          <w:b/>
          <w:bCs/>
        </w:rPr>
        <w:t xml:space="preserve">gestione delle cronicità</w:t>
      </w:r>
      <w:r>
        <w:t xml:space="preserve"> </w:t>
      </w:r>
      <w:r>
        <w:t xml:space="preserve">(telemonitoraggio intelligente di pazienti</w:t>
      </w:r>
      <w:r>
        <w:t xml:space="preserve"> </w:t>
      </w:r>
      <w:r>
        <w:t xml:space="preserve">con disturbi mentali gravi per prevenire ricadute). Questa integrazione</w:t>
      </w:r>
      <w:r>
        <w:t xml:space="preserve"> </w:t>
      </w:r>
      <w:r>
        <w:t xml:space="preserve">multistrato consentirebbe di massimizzare l’efficacia dell’innovazione</w:t>
      </w:r>
      <w:r>
        <w:t xml:space="preserve"> </w:t>
      </w:r>
      <w:r>
        <w:t xml:space="preserve">organizzativa proposta dal progetto Psicologo di Base, colmando le</w:t>
      </w:r>
      <w:r>
        <w:t xml:space="preserve"> </w:t>
      </w:r>
      <w:r>
        <w:t xml:space="preserve">lacune attuali senza attendere i lunghi tempi di formazione di nuovi</w:t>
      </w:r>
      <w:r>
        <w:t xml:space="preserve"> </w:t>
      </w:r>
      <w:r>
        <w:t xml:space="preserve">specialisti. Come sottolineato dalla National Academy of Medicine</w:t>
      </w:r>
      <w:r>
        <w:t xml:space="preserve"> </w:t>
      </w:r>
      <w:r>
        <w:t xml:space="preserve">statunitense, l’IA deve essere vista come un</w:t>
      </w:r>
      <w:r>
        <w:t xml:space="preserve"> </w:t>
      </w:r>
      <w:r>
        <w:rPr>
          <w:i/>
          <w:iCs/>
        </w:rPr>
        <w:t xml:space="preserve">partner</w:t>
      </w:r>
      <w:r>
        <w:t xml:space="preserve"> </w:t>
      </w:r>
      <w:r>
        <w:t xml:space="preserve">che</w:t>
      </w:r>
      <w:r>
        <w:t xml:space="preserve"> </w:t>
      </w:r>
      <w:r>
        <w:rPr>
          <w:b/>
          <w:bCs/>
        </w:rPr>
        <w:t xml:space="preserve">aumenta</w:t>
      </w:r>
      <w:r>
        <w:t xml:space="preserve"> </w:t>
      </w:r>
      <w:r>
        <w:t xml:space="preserve">(non sostituisce) l’intelligenza del sistema sanitario, liberando i</w:t>
      </w:r>
      <w:r>
        <w:t xml:space="preserve"> </w:t>
      </w:r>
      <w:r>
        <w:t xml:space="preserve">clinici da compiti ripetitivi e potenziandone la capacità decisionale a</w:t>
      </w:r>
      <w:r>
        <w:t xml:space="preserve"> </w:t>
      </w:r>
      <w:r>
        <w:t xml:space="preserve">beneficio dei pazienti. Puglia ha dunque l’opportunità di sfruttare l’IA</w:t>
      </w:r>
      <w:r>
        <w:t xml:space="preserve"> </w:t>
      </w:r>
      <w:r>
        <w:t xml:space="preserve">per trasformare quella</w:t>
      </w:r>
      <w:r>
        <w:t xml:space="preserve"> </w:t>
      </w:r>
      <w:r>
        <w:t xml:space="preserve">“</w:t>
      </w:r>
      <w:r>
        <w:t xml:space="preserve">tempesta perfetta</w:t>
      </w:r>
      <w:r>
        <w:t xml:space="preserve">”</w:t>
      </w:r>
      <w:r>
        <w:t xml:space="preserve"> </w:t>
      </w:r>
      <w:r>
        <w:t xml:space="preserve">in un motore di innovazione:</w:t>
      </w:r>
      <w:r>
        <w:t xml:space="preserve"> </w:t>
      </w:r>
      <w:r>
        <w:t xml:space="preserve">affrontando simultaneamente le sfide di domanda crescente, offerta</w:t>
      </w:r>
      <w:r>
        <w:t xml:space="preserve"> </w:t>
      </w:r>
      <w:r>
        <w:t xml:space="preserve">limitata e vincoli di sostenibilità con soluzioni data-driven e</w:t>
      </w:r>
      <w:r>
        <w:t xml:space="preserve"> </w:t>
      </w:r>
      <w:r>
        <w:t xml:space="preserve">scalabili.</w:t>
      </w:r>
    </w:p>
    <w:bookmarkEnd w:id="2643"/>
    <w:bookmarkStart w:id="2648" w:name="X731eefc93374071f29abf93c2452e250e32f159"/>
    <w:p>
      <w:pPr>
        <w:pStyle w:val="Heading3"/>
      </w:pPr>
      <w:r>
        <w:t xml:space="preserve">Evidenze Internazionali e Best Practice di IA in Salute Mentale</w:t>
      </w:r>
    </w:p>
    <w:p>
      <w:pPr>
        <w:pStyle w:val="FirstParagraph"/>
      </w:pPr>
      <w:r>
        <w:t xml:space="preserve">A livello internazionale vi è un fiorire di esperienze autorevoli che</w:t>
      </w:r>
      <w:r>
        <w:t xml:space="preserve"> </w:t>
      </w:r>
      <w:r>
        <w:t xml:space="preserve">mostrano come l’IA possa migliorare prevenzione secondaria, triage,</w:t>
      </w:r>
      <w:r>
        <w:t xml:space="preserve"> </w:t>
      </w:r>
      <w:r>
        <w:t xml:space="preserve">decision support e screening psicologico, nonché predire l’evoluzione di</w:t>
      </w:r>
      <w:r>
        <w:t xml:space="preserve"> </w:t>
      </w:r>
      <w:r>
        <w:t xml:space="preserve">patologie croniche. Di seguito si analizzano alcune</w:t>
      </w:r>
      <w:r>
        <w:t xml:space="preserve"> </w:t>
      </w:r>
      <w:r>
        <w:rPr>
          <w:b/>
          <w:bCs/>
        </w:rPr>
        <w:t xml:space="preserve">best practice</w:t>
      </w:r>
      <w:r>
        <w:t xml:space="preserve"> </w:t>
      </w:r>
      <w:r>
        <w:t xml:space="preserve">e</w:t>
      </w:r>
      <w:r>
        <w:t xml:space="preserve"> </w:t>
      </w:r>
      <w:r>
        <w:t xml:space="preserve">studi chiave, suddivisi per area di applicazione, che possono fungere da</w:t>
      </w:r>
      <w:r>
        <w:t xml:space="preserve"> </w:t>
      </w:r>
      <w:r>
        <w:t xml:space="preserve">modelli per l’implementazione in Puglia.</w:t>
      </w:r>
    </w:p>
    <w:p>
      <w:pPr>
        <w:pStyle w:val="BodyText"/>
      </w:pPr>
      <w:r>
        <w:rPr>
          <w:b/>
          <w:bCs/>
        </w:rPr>
        <w:t xml:space="preserve">1. Triage automatizzato e accesso alle cure:</w:t>
      </w:r>
      <w:r>
        <w:t xml:space="preserve"> </w:t>
      </w:r>
      <w:r>
        <w:t xml:space="preserve">Il già citato esempio</w:t>
      </w:r>
      <w:r>
        <w:t xml:space="preserve"> </w:t>
      </w:r>
      <w:r>
        <w:t xml:space="preserve">del chatbot</w:t>
      </w:r>
      <w:r>
        <w:t xml:space="preserve"> </w:t>
      </w:r>
      <w:r>
        <w:rPr>
          <w:i/>
          <w:iCs/>
        </w:rPr>
        <w:t xml:space="preserve">Limbic</w:t>
      </w:r>
      <w:r>
        <w:t xml:space="preserve"> </w:t>
      </w:r>
      <w:r>
        <w:t xml:space="preserve">nel NHS inglese dimostra un uso pionieristico</w:t>
      </w:r>
      <w:r>
        <w:t xml:space="preserve"> </w:t>
      </w:r>
      <w:r>
        <w:t xml:space="preserve">dell’IA per il triage in salute mentale. In uno studio pubblicato su</w:t>
      </w:r>
      <w:r>
        <w:t xml:space="preserve"> </w:t>
      </w:r>
      <w:r>
        <w:rPr>
          <w:i/>
          <w:iCs/>
        </w:rPr>
        <w:t xml:space="preserve">Nature Medicine</w:t>
      </w:r>
      <w:r>
        <w:t xml:space="preserve"> </w:t>
      </w:r>
      <w:r>
        <w:t xml:space="preserve">(2024), Habicht et al. hanno analizzato l’impatto di</w:t>
      </w:r>
      <w:r>
        <w:t xml:space="preserve"> </w:t>
      </w:r>
      <w:r>
        <w:t xml:space="preserve">questo chatbot di auto-segnalazione su ~129.000 pazienti in servizi</w:t>
      </w:r>
      <w:r>
        <w:t xml:space="preserve"> </w:t>
      </w:r>
      <w:r>
        <w:t xml:space="preserve">pubblici: l’adozione dell’IA ha portato a un aumento significativo dei</w:t>
      </w:r>
      <w:r>
        <w:t xml:space="preserve"> </w:t>
      </w:r>
      <w:r>
        <w:t xml:space="preserve">tassi di invio ai programmi psicoterapeutici rispetto ai servizi di</w:t>
      </w:r>
      <w:r>
        <w:t xml:space="preserve"> </w:t>
      </w:r>
      <w:r>
        <w:t xml:space="preserve">controllo (+15% di referral in un anno rispetto a +6% nei centri senza</w:t>
      </w:r>
      <w:r>
        <w:t xml:space="preserve"> </w:t>
      </w:r>
      <w:r>
        <w:t xml:space="preserve">chatbot). Importante, l’aumento maggiore ha riguardato categorie</w:t>
      </w:r>
      <w:r>
        <w:t xml:space="preserve"> </w:t>
      </w:r>
      <w:r>
        <w:t xml:space="preserve">tradizionalmente sottotrattate – persone non-binarie (+179%) e</w:t>
      </w:r>
      <w:r>
        <w:t xml:space="preserve"> </w:t>
      </w:r>
      <w:r>
        <w:t xml:space="preserve">minoranze etniche (+29%) – indicando che l’IA può contribuire a ridurre</w:t>
      </w:r>
      <w:r>
        <w:t xml:space="preserve"> </w:t>
      </w:r>
      <w:r>
        <w:t xml:space="preserve">barriere di accesso legate a stigma o diffidenza. Il chatbot ha raccolto</w:t>
      </w:r>
      <w:r>
        <w:t xml:space="preserve"> </w:t>
      </w:r>
      <w:r>
        <w:t xml:space="preserve">anamnesi psicosociali e somministrato scale di autovalutazione online,</w:t>
      </w:r>
      <w:r>
        <w:t xml:space="preserve"> </w:t>
      </w:r>
      <w:r>
        <w:t xml:space="preserve">smistando poi i pazienti al livello di intervento adeguato (es.</w:t>
      </w:r>
      <w:r>
        <w:t xml:space="preserve"> </w:t>
      </w:r>
      <w:r>
        <w:t xml:space="preserve">automonitoraggio, terapia di gruppo, terapia individuale). Ciò ha</w:t>
      </w:r>
      <w:r>
        <w:t xml:space="preserve"> </w:t>
      </w:r>
      <w:r>
        <w:t xml:space="preserve">permesso di abbreviare i tempi di valutazione e di attivare percorsi</w:t>
      </w:r>
      <w:r>
        <w:t xml:space="preserve"> </w:t>
      </w:r>
      <w:r>
        <w:t xml:space="preserve">“</w:t>
      </w:r>
      <w:r>
        <w:t xml:space="preserve">su</w:t>
      </w:r>
      <w:r>
        <w:t xml:space="preserve"> </w:t>
      </w:r>
      <w:r>
        <w:t xml:space="preserve">misura</w:t>
      </w:r>
      <w:r>
        <w:t xml:space="preserve">”</w:t>
      </w:r>
      <w:r>
        <w:t xml:space="preserve"> </w:t>
      </w:r>
      <w:r>
        <w:t xml:space="preserve">più</w:t>
      </w:r>
      <w:r>
        <w:t xml:space="preserve"> </w:t>
      </w:r>
      <w:r>
        <w:t xml:space="preserve">rapidamente</w:t>
      </w:r>
      <w:hyperlink r:id="rId2644">
        <w:r>
          <w:rPr>
            <w:rStyle w:val="Hyperlink"/>
          </w:rPr>
          <w:t xml:space="preserve">[4]</w:t>
        </w:r>
      </w:hyperlink>
      <w:r>
        <w:t xml:space="preserve">.</w:t>
      </w:r>
      <w:r>
        <w:t xml:space="preserve"> </w:t>
      </w:r>
      <w:r>
        <w:t xml:space="preserve">Tali risultati forniscono evidenza empirica che strumenti</w:t>
      </w:r>
      <w:r>
        <w:t xml:space="preserve"> </w:t>
      </w:r>
      <w:r>
        <w:t xml:space="preserve">conversazionali di IA possono fungere da</w:t>
      </w:r>
      <w:r>
        <w:t xml:space="preserve"> </w:t>
      </w:r>
      <w:r>
        <w:rPr>
          <w:i/>
          <w:iCs/>
        </w:rPr>
        <w:t xml:space="preserve">filtro intelligente</w:t>
      </w:r>
      <w:r>
        <w:t xml:space="preserve">,</w:t>
      </w:r>
      <w:r>
        <w:t xml:space="preserve"> </w:t>
      </w:r>
      <w:r>
        <w:t xml:space="preserve">incrementando l’engagement e l’equità del sistema. Un altro esempio</w:t>
      </w:r>
      <w:r>
        <w:t xml:space="preserve"> </w:t>
      </w:r>
      <w:r>
        <w:t xml:space="preserve">viene dagli Stati Uniti: la start-up</w:t>
      </w:r>
      <w:r>
        <w:t xml:space="preserve"> </w:t>
      </w:r>
      <w:r>
        <w:rPr>
          <w:i/>
          <w:iCs/>
        </w:rPr>
        <w:t xml:space="preserve">Woebot Health</w:t>
      </w:r>
      <w:r>
        <w:t xml:space="preserve"> </w:t>
      </w:r>
      <w:r>
        <w:t xml:space="preserve">ha sviluppato un</w:t>
      </w:r>
      <w:r>
        <w:t xml:space="preserve"> </w:t>
      </w:r>
      <w:r>
        <w:t xml:space="preserve">chatbot di supporto psicologico basato su CBT che alcune cliniche hanno</w:t>
      </w:r>
      <w:r>
        <w:t xml:space="preserve"> </w:t>
      </w:r>
      <w:r>
        <w:t xml:space="preserve">iniziato a usare per fare il</w:t>
      </w:r>
      <w:r>
        <w:t xml:space="preserve"> </w:t>
      </w:r>
      <w:r>
        <w:rPr>
          <w:b/>
          <w:bCs/>
        </w:rPr>
        <w:t xml:space="preserve">triage</w:t>
      </w:r>
      <w:r>
        <w:t xml:space="preserve"> </w:t>
      </w:r>
      <w:r>
        <w:t xml:space="preserve">di pazienti in lista d’attesa,</w:t>
      </w:r>
      <w:r>
        <w:t xml:space="preserve"> </w:t>
      </w:r>
      <w:r>
        <w:t xml:space="preserve">fornendo nel frattempo tecniche di gestione dell’ansia. Questo approccio</w:t>
      </w:r>
      <w:r>
        <w:t xml:space="preserve"> </w:t>
      </w:r>
      <w:r>
        <w:rPr>
          <w:i/>
          <w:iCs/>
        </w:rPr>
        <w:t xml:space="preserve">blended care</w:t>
      </w:r>
      <w:r>
        <w:t xml:space="preserve"> </w:t>
      </w:r>
      <w:r>
        <w:t xml:space="preserve">– chatbot + supervisione umana – è attualmente oggetto</w:t>
      </w:r>
      <w:r>
        <w:t xml:space="preserve"> </w:t>
      </w:r>
      <w:r>
        <w:t xml:space="preserve">di studio in UK (trial clinico Wysa in contesto IAPT) e mira a ridurre i</w:t>
      </w:r>
      <w:r>
        <w:t xml:space="preserve"> </w:t>
      </w:r>
      <w:r>
        <w:t xml:space="preserve">tempi morti prima della terapia, prevenendo aggravamenti.</w:t>
      </w:r>
    </w:p>
    <w:p>
      <w:pPr>
        <w:pStyle w:val="BodyText"/>
      </w:pPr>
      <w:r>
        <w:rPr>
          <w:b/>
          <w:bCs/>
        </w:rPr>
        <w:t xml:space="preserve">2. Prevenzione secondaria e screening IA-guidati:</w:t>
      </w:r>
      <w:r>
        <w:t xml:space="preserve"> </w:t>
      </w:r>
      <w:r>
        <w:t xml:space="preserve">Numerose rassegne</w:t>
      </w:r>
      <w:r>
        <w:t xml:space="preserve"> </w:t>
      </w:r>
      <w:r>
        <w:t xml:space="preserve">sistematiche confermano che l’IA può migliorare l’individuazione precoce</w:t>
      </w:r>
      <w:r>
        <w:t xml:space="preserve"> </w:t>
      </w:r>
      <w:r>
        <w:t xml:space="preserve">dei disturbi mentali. Un esempio è l’uso di dati da</w:t>
      </w:r>
      <w:r>
        <w:t xml:space="preserve"> </w:t>
      </w:r>
      <w:r>
        <w:rPr>
          <w:b/>
          <w:bCs/>
        </w:rPr>
        <w:t xml:space="preserve">device indossabili</w:t>
      </w:r>
      <w:r>
        <w:rPr>
          <w:b/>
          <w:bCs/>
        </w:rPr>
        <w:t xml:space="preserve"> </w:t>
      </w:r>
      <w:r>
        <w:rPr>
          <w:b/>
          <w:bCs/>
        </w:rPr>
        <w:t xml:space="preserve">e smartphone</w:t>
      </w:r>
      <w:r>
        <w:t xml:space="preserve"> </w:t>
      </w:r>
      <w:r>
        <w:t xml:space="preserve">per riconoscere segnali di depressione: una meta-analisi</w:t>
      </w:r>
      <w:r>
        <w:t xml:space="preserve"> </w:t>
      </w:r>
      <w:r>
        <w:t xml:space="preserve">su 54 studi ha trovato che modelli di IA applicati a dati di attività</w:t>
      </w:r>
      <w:r>
        <w:t xml:space="preserve"> </w:t>
      </w:r>
      <w:r>
        <w:t xml:space="preserve">fisica, sonno e interazione digitale ottengono accuratezze fino all’89%,</w:t>
      </w:r>
      <w:r>
        <w:t xml:space="preserve"> </w:t>
      </w:r>
      <w:r>
        <w:t xml:space="preserve">con sensibilità ~87% e specificità ~93% nel distinguere persone</w:t>
      </w:r>
      <w:r>
        <w:t xml:space="preserve"> </w:t>
      </w:r>
      <w:r>
        <w:t xml:space="preserve">depresse da non-depresse. Sebbene questi approcci di</w:t>
      </w:r>
      <w:r>
        <w:t xml:space="preserve"> </w:t>
      </w:r>
      <w:r>
        <w:rPr>
          <w:i/>
          <w:iCs/>
        </w:rPr>
        <w:t xml:space="preserve">digital</w:t>
      </w:r>
      <w:r>
        <w:rPr>
          <w:i/>
          <w:iCs/>
        </w:rPr>
        <w:t xml:space="preserve"> </w:t>
      </w:r>
      <w:r>
        <w:rPr>
          <w:i/>
          <w:iCs/>
        </w:rPr>
        <w:t xml:space="preserve">phenotyping</w:t>
      </w:r>
      <w:r>
        <w:t xml:space="preserve"> </w:t>
      </w:r>
      <w:r>
        <w:t xml:space="preserve">siano ancora in fase sperimentale e vadano integrati con</w:t>
      </w:r>
      <w:r>
        <w:t xml:space="preserve"> </w:t>
      </w:r>
      <w:r>
        <w:t xml:space="preserve">valutazioni cliniche (accuratezze minime ~70% in alcuni contesti),</w:t>
      </w:r>
      <w:r>
        <w:t xml:space="preserve"> </w:t>
      </w:r>
      <w:r>
        <w:t xml:space="preserve">rappresentano uno strumento promettente per il</w:t>
      </w:r>
      <w:r>
        <w:t xml:space="preserve"> </w:t>
      </w:r>
      <w:r>
        <w:rPr>
          <w:b/>
          <w:bCs/>
        </w:rPr>
        <w:t xml:space="preserve">monitoraggio passivo</w:t>
      </w:r>
      <w:r>
        <w:t xml:space="preserve"> </w:t>
      </w:r>
      <w:r>
        <w:t xml:space="preserve">del benessere mentale. Ad esempio, un’app potrebbe monitorare in modo</w:t>
      </w:r>
      <w:r>
        <w:t xml:space="preserve"> </w:t>
      </w:r>
      <w:r>
        <w:t xml:space="preserve">continuo parametri come ritmo sonno-veglia, variabilità del linguaggio</w:t>
      </w:r>
      <w:r>
        <w:t xml:space="preserve"> </w:t>
      </w:r>
      <w:r>
        <w:t xml:space="preserve">nei messaggi o geolocalizzazione (ridotta mobilità può indicare ritiro</w:t>
      </w:r>
      <w:r>
        <w:t xml:space="preserve"> </w:t>
      </w:r>
      <w:r>
        <w:t xml:space="preserve">sociale), e allertare l’utente o il suo MMG quando i pattern deviano da</w:t>
      </w:r>
      <w:r>
        <w:t xml:space="preserve"> </w:t>
      </w:r>
      <w:r>
        <w:t xml:space="preserve">quelli di base, suggerendo di eseguire uno screening formale. Studi su</w:t>
      </w:r>
      <w:r>
        <w:t xml:space="preserve"> </w:t>
      </w:r>
      <w:r>
        <w:t xml:space="preserve">pazienti con disturbo bipolare hanno esplorato segnali premonitori di</w:t>
      </w:r>
      <w:r>
        <w:t xml:space="preserve"> </w:t>
      </w:r>
      <w:r>
        <w:t xml:space="preserve">ricadute: variazioni nelle routine rilevate dallo smartphone (frequenza</w:t>
      </w:r>
      <w:r>
        <w:t xml:space="preserve"> </w:t>
      </w:r>
      <w:r>
        <w:t xml:space="preserve">di chiamate, immobilità prolungata) potrebbero anticipare di giorni un</w:t>
      </w:r>
      <w:r>
        <w:t xml:space="preserve"> </w:t>
      </w:r>
      <w:r>
        <w:t xml:space="preserve">episodio depressivo o maniacale. Sebbene la sensibilità non sia ancora</w:t>
      </w:r>
      <w:r>
        <w:t xml:space="preserve"> </w:t>
      </w:r>
      <w:r>
        <w:t xml:space="preserve">ottimale, questi</w:t>
      </w:r>
      <w:r>
        <w:t xml:space="preserve"> </w:t>
      </w:r>
      <w:r>
        <w:rPr>
          <w:i/>
          <w:iCs/>
        </w:rPr>
        <w:t xml:space="preserve">early warning systems</w:t>
      </w:r>
      <w:r>
        <w:t xml:space="preserve"> </w:t>
      </w:r>
      <w:r>
        <w:t xml:space="preserve">IA-based potrebbero in futuro</w:t>
      </w:r>
      <w:r>
        <w:t xml:space="preserve"> </w:t>
      </w:r>
      <w:r>
        <w:t xml:space="preserve">attivare prevenzione secondaria automatica (es. invio di notifiche al</w:t>
      </w:r>
      <w:r>
        <w:t xml:space="preserve"> </w:t>
      </w:r>
      <w:r>
        <w:t xml:space="preserve">paziente:</w:t>
      </w:r>
      <w:r>
        <w:t xml:space="preserve"> </w:t>
      </w:r>
      <w:r>
        <w:t xml:space="preserve">“</w:t>
      </w:r>
      <w:r>
        <w:t xml:space="preserve">Hai dormito molto poco negli ultimi 3 giorni, contatta il tuo</w:t>
      </w:r>
      <w:r>
        <w:t xml:space="preserve"> </w:t>
      </w:r>
      <w:r>
        <w:t xml:space="preserve">specialista</w:t>
      </w:r>
      <w:r>
        <w:t xml:space="preserve">”</w:t>
      </w:r>
      <w:r>
        <w:t xml:space="preserve">). In ambito di</w:t>
      </w:r>
      <w:r>
        <w:t xml:space="preserve"> </w:t>
      </w:r>
      <w:r>
        <w:rPr>
          <w:b/>
          <w:bCs/>
        </w:rPr>
        <w:t xml:space="preserve">screening psicologici di massa</w:t>
      </w:r>
      <w:r>
        <w:t xml:space="preserve">, l’IA</w:t>
      </w:r>
      <w:r>
        <w:t xml:space="preserve"> </w:t>
      </w:r>
      <w:r>
        <w:t xml:space="preserve">consente inoltre di analizzare rapidamente grandi moli di dati testali o</w:t>
      </w:r>
      <w:r>
        <w:t xml:space="preserve"> </w:t>
      </w:r>
      <w:r>
        <w:t xml:space="preserve">vocali: algoritmi NLP possono rilevare marker linguistici di depressione</w:t>
      </w:r>
      <w:r>
        <w:t xml:space="preserve"> </w:t>
      </w:r>
      <w:r>
        <w:t xml:space="preserve">o rischio suicidario nelle comunicazioni degli utenti (post sui social,</w:t>
      </w:r>
      <w:r>
        <w:t xml:space="preserve"> </w:t>
      </w:r>
      <w:r>
        <w:t xml:space="preserve">trascrizioni di chat). Ad esempio, progetti di ricerca hanno applicato</w:t>
      </w:r>
      <w:r>
        <w:t xml:space="preserve"> </w:t>
      </w:r>
      <w:r>
        <w:t xml:space="preserve">modelli di</w:t>
      </w:r>
      <w:r>
        <w:t xml:space="preserve"> </w:t>
      </w:r>
      <w:r>
        <w:rPr>
          <w:i/>
          <w:iCs/>
        </w:rPr>
        <w:t xml:space="preserve">natural language processing</w:t>
      </w:r>
      <w:r>
        <w:t xml:space="preserve"> </w:t>
      </w:r>
      <w:r>
        <w:t xml:space="preserve">ai post di adolescenti su</w:t>
      </w:r>
      <w:r>
        <w:t xml:space="preserve"> </w:t>
      </w:r>
      <w:r>
        <w:t xml:space="preserve">piattaforme social identificando con buona accuratezza espressioni di</w:t>
      </w:r>
      <w:r>
        <w:t xml:space="preserve"> </w:t>
      </w:r>
      <w:r>
        <w:t xml:space="preserve">ideazione suicidaria o disperazione, prima che vengano esplicitamente</w:t>
      </w:r>
      <w:r>
        <w:t xml:space="preserve"> </w:t>
      </w:r>
      <w:r>
        <w:t xml:space="preserve">richiesti aiuto. Questa capacità di</w:t>
      </w:r>
      <w:r>
        <w:t xml:space="preserve"> </w:t>
      </w:r>
      <w:r>
        <w:rPr>
          <w:i/>
          <w:iCs/>
        </w:rPr>
        <w:t xml:space="preserve">data mining</w:t>
      </w:r>
      <w:r>
        <w:t xml:space="preserve"> </w:t>
      </w:r>
      <w:r>
        <w:t xml:space="preserve">proattivo apre la</w:t>
      </w:r>
      <w:r>
        <w:t xml:space="preserve"> </w:t>
      </w:r>
      <w:r>
        <w:t xml:space="preserve">strada a interventi preventivi mirati (ad esempio, sistemi che avvisano</w:t>
      </w:r>
      <w:r>
        <w:t xml:space="preserve"> </w:t>
      </w:r>
      <w:r>
        <w:t xml:space="preserve">anonimamente moderatori o servizi di supporto quando un giovane</w:t>
      </w:r>
      <w:r>
        <w:t xml:space="preserve"> </w:t>
      </w:r>
      <w:r>
        <w:t xml:space="preserve">manifesta online segnali di grave disagio). Ovviamente tali approcci</w:t>
      </w:r>
      <w:r>
        <w:t xml:space="preserve"> </w:t>
      </w:r>
      <w:r>
        <w:t xml:space="preserve">sollevano questioni etiche (privacy, consenso) e richiedono robuste</w:t>
      </w:r>
      <w:r>
        <w:t xml:space="preserve"> </w:t>
      </w:r>
      <w:r>
        <w:t xml:space="preserve">strategie di tutela, ma evidenziano il potenziale dell’IA nel prevenire</w:t>
      </w:r>
      <w:r>
        <w:t xml:space="preserve"> </w:t>
      </w:r>
      <w:r>
        <w:t xml:space="preserve">esiti tragici intercettando</w:t>
      </w:r>
      <w:r>
        <w:t xml:space="preserve"> </w:t>
      </w:r>
      <w:r>
        <w:t xml:space="preserve">“</w:t>
      </w:r>
      <w:r>
        <w:t xml:space="preserve">red flag</w:t>
      </w:r>
      <w:r>
        <w:t xml:space="preserve">”</w:t>
      </w:r>
      <w:r>
        <w:t xml:space="preserve"> </w:t>
      </w:r>
      <w:r>
        <w:t xml:space="preserve">nascoste nei big data.</w:t>
      </w:r>
    </w:p>
    <w:p>
      <w:pPr>
        <w:pStyle w:val="BodyText"/>
      </w:pPr>
      <w:r>
        <w:rPr>
          <w:b/>
          <w:bCs/>
        </w:rPr>
        <w:t xml:space="preserve">3. Supporto decisionale clinico (</w:t>
      </w:r>
      <w:r>
        <w:rPr>
          <w:b/>
          <w:bCs/>
          <w:i/>
          <w:iCs/>
        </w:rPr>
        <w:t xml:space="preserve">Decision Support</w:t>
      </w:r>
      <w:r>
        <w:rPr>
          <w:b/>
          <w:bCs/>
        </w:rPr>
        <w:t xml:space="preserve">) e predizione di</w:t>
      </w:r>
      <w:r>
        <w:rPr>
          <w:b/>
          <w:bCs/>
        </w:rPr>
        <w:t xml:space="preserve"> </w:t>
      </w:r>
      <w:r>
        <w:rPr>
          <w:b/>
          <w:bCs/>
        </w:rPr>
        <w:t xml:space="preserve">cronicità:</w:t>
      </w:r>
      <w:r>
        <w:t xml:space="preserve"> </w:t>
      </w:r>
      <w:r>
        <w:t xml:space="preserve">Un filone di applicazioni IA di grande rilevanza è quello</w:t>
      </w:r>
      <w:r>
        <w:t xml:space="preserve"> </w:t>
      </w:r>
      <w:r>
        <w:t xml:space="preserve">dei modelli predittivi su dati sanitari elettronici, volti a</w:t>
      </w:r>
      <w:r>
        <w:t xml:space="preserve"> </w:t>
      </w:r>
      <w:r>
        <w:t xml:space="preserve">stratificare il rischio e supportare i clinici nelle decisioni. Studi su</w:t>
      </w:r>
      <w:r>
        <w:t xml:space="preserve"> </w:t>
      </w:r>
      <w:r>
        <w:t xml:space="preserve">larga scala negli USA hanno dimostrato che il</w:t>
      </w:r>
      <w:r>
        <w:t xml:space="preserve"> </w:t>
      </w:r>
      <w:r>
        <w:rPr>
          <w:i/>
          <w:iCs/>
        </w:rPr>
        <w:t xml:space="preserve">machine learning</w:t>
      </w:r>
      <w:r>
        <w:t xml:space="preserve"> </w:t>
      </w:r>
      <w:r>
        <w:t xml:space="preserve">può</w:t>
      </w:r>
      <w:r>
        <w:t xml:space="preserve"> </w:t>
      </w:r>
      <w:r>
        <w:t xml:space="preserve">migliorare nettamente la capacità di prevedere eventi avversi come i</w:t>
      </w:r>
      <w:r>
        <w:t xml:space="preserve"> </w:t>
      </w:r>
      <w:r>
        <w:t xml:space="preserve">tentativi di suicidio. Un lavoro condotto su 7 sistemi sanitari</w:t>
      </w:r>
      <w:r>
        <w:t xml:space="preserve"> </w:t>
      </w:r>
      <w:r>
        <w:t xml:space="preserve">integrati (tra cui Kaiser Permanente) ha analizzato ~20 milioni di</w:t>
      </w:r>
      <w:r>
        <w:t xml:space="preserve"> </w:t>
      </w:r>
      <w:r>
        <w:t xml:space="preserve">visite ambulatoriali di ~3 milioni di persone, sviluppando algoritmi</w:t>
      </w:r>
      <w:r>
        <w:t xml:space="preserve"> </w:t>
      </w:r>
      <w:r>
        <w:t xml:space="preserve">che combinavano dati di</w:t>
      </w:r>
      <w:r>
        <w:t xml:space="preserve"> </w:t>
      </w:r>
      <w:r>
        <w:rPr>
          <w:b/>
          <w:bCs/>
        </w:rPr>
        <w:t xml:space="preserve">Electronic Health Record (EHR)</w:t>
      </w:r>
      <w:r>
        <w:t xml:space="preserve"> </w:t>
      </w:r>
      <w:r>
        <w:t xml:space="preserve">degli ultimi</w:t>
      </w:r>
      <w:r>
        <w:t xml:space="preserve"> </w:t>
      </w:r>
      <w:r>
        <w:t xml:space="preserve">5 anni (diagnosi, farmaci, ricoveri, punteggi PHQ) per stimare il</w:t>
      </w:r>
      <w:r>
        <w:t xml:space="preserve"> </w:t>
      </w:r>
      <w:r>
        <w:t xml:space="preserve">rischio di suicidio a 90 giorni da ogni visita. I risultati, pubblicati</w:t>
      </w:r>
      <w:r>
        <w:t xml:space="preserve"> </w:t>
      </w:r>
      <w:r>
        <w:t xml:space="preserve">sull’</w:t>
      </w:r>
      <w:r>
        <w:rPr>
          <w:i/>
          <w:iCs/>
        </w:rPr>
        <w:t xml:space="preserve">American Journal of Psychiatry</w:t>
      </w:r>
      <w:r>
        <w:t xml:space="preserve">, sono impressionanti: i pazienti</w:t>
      </w:r>
      <w:r>
        <w:t xml:space="preserve"> </w:t>
      </w:r>
      <w:r>
        <w:t xml:space="preserve">classificati dall’IA nel</w:t>
      </w:r>
      <w:r>
        <w:t xml:space="preserve"> </w:t>
      </w:r>
      <w:r>
        <w:rPr>
          <w:b/>
          <w:bCs/>
        </w:rPr>
        <w:t xml:space="preserve">top 1%</w:t>
      </w:r>
      <w:r>
        <w:t xml:space="preserve"> </w:t>
      </w:r>
      <w:r>
        <w:t xml:space="preserve">di rischio hanno mostrato</w:t>
      </w:r>
      <w:r>
        <w:t xml:space="preserve"> </w:t>
      </w:r>
      <w:r>
        <w:t xml:space="preserve">un’incidenza di suicidio o tentato suicidio</w:t>
      </w:r>
      <w:r>
        <w:t xml:space="preserve"> </w:t>
      </w:r>
      <w:r>
        <w:rPr>
          <w:i/>
          <w:iCs/>
        </w:rPr>
        <w:t xml:space="preserve">200 volte superiore</w:t>
      </w:r>
      <w:r>
        <w:t xml:space="preserve"> </w:t>
      </w:r>
      <w:r>
        <w:t xml:space="preserve">rispetto a quelli nella metà a minor rischio. Inoltre, il 5% della</w:t>
      </w:r>
      <w:r>
        <w:t xml:space="preserve"> </w:t>
      </w:r>
      <w:r>
        <w:t xml:space="preserve">popolazione con rischio più alto (secondo il modello) ha finito per</w:t>
      </w:r>
      <w:r>
        <w:t xml:space="preserve"> </w:t>
      </w:r>
      <w:r>
        <w:t xml:space="preserve">comprendere ~43–48% di tutti i successivi tentativi o decessi per</w:t>
      </w:r>
      <w:r>
        <w:t xml:space="preserve"> </w:t>
      </w:r>
      <w:r>
        <w:t xml:space="preserve">suicidio – una capacità predittiva circa doppia rispetto ai</w:t>
      </w:r>
      <w:r>
        <w:t xml:space="preserve"> </w:t>
      </w:r>
      <w:r>
        <w:t xml:space="preserve">tradizionali strumenti clinici. In pratica, l’algoritmo identifica un</w:t>
      </w:r>
      <w:r>
        <w:t xml:space="preserve"> </w:t>
      </w:r>
      <w:r>
        <w:t xml:space="preserve">piccolo gruppo di pazienti</w:t>
      </w:r>
      <w:r>
        <w:t xml:space="preserve"> </w:t>
      </w:r>
      <w:r>
        <w:t xml:space="preserve">“</w:t>
      </w:r>
      <w:r>
        <w:t xml:space="preserve">ad altissimo rischio</w:t>
      </w:r>
      <w:r>
        <w:t xml:space="preserve">”</w:t>
      </w:r>
      <w:r>
        <w:t xml:space="preserve"> </w:t>
      </w:r>
      <w:r>
        <w:t xml:space="preserve">su cui concentrare</w:t>
      </w:r>
      <w:r>
        <w:t xml:space="preserve"> </w:t>
      </w:r>
      <w:r>
        <w:t xml:space="preserve">sforzi intensivi di prevenzione (p.es. chiamate di follow-up entro pochi</w:t>
      </w:r>
      <w:r>
        <w:t xml:space="preserve"> </w:t>
      </w:r>
      <w:r>
        <w:t xml:space="preserve">giorni dalla visita, valutazione psichiatrica prioritaria, creazione di</w:t>
      </w:r>
      <w:r>
        <w:t xml:space="preserve"> </w:t>
      </w:r>
      <w:r>
        <w:t xml:space="preserve">piani di sicurezza personalizzati). Questi risultati mostrano come l’IA</w:t>
      </w:r>
      <w:r>
        <w:t xml:space="preserve"> </w:t>
      </w:r>
      <w:r>
        <w:t xml:space="preserve">possa fungere da</w:t>
      </w:r>
      <w:r>
        <w:t xml:space="preserve"> </w:t>
      </w:r>
      <w:r>
        <w:rPr>
          <w:b/>
          <w:bCs/>
        </w:rPr>
        <w:t xml:space="preserve">strumento di supporto decisionale</w:t>
      </w:r>
      <w:r>
        <w:t xml:space="preserve">, offrendo ai</w:t>
      </w:r>
      <w:r>
        <w:t xml:space="preserve"> </w:t>
      </w:r>
      <w:r>
        <w:t xml:space="preserve">clinici indicatori quantitativi per allocare risorse dove più</w:t>
      </w:r>
      <w:r>
        <w:t xml:space="preserve"> </w:t>
      </w:r>
      <w:r>
        <w:t xml:space="preserve">necessario. Implementazioni reali sono già in corso: ad esempio, diversi</w:t>
      </w:r>
      <w:r>
        <w:t xml:space="preserve"> </w:t>
      </w:r>
      <w:r>
        <w:t xml:space="preserve">centri Kaiser hanno integrato gli score di rischio dell’algoritmo nel</w:t>
      </w:r>
      <w:r>
        <w:t xml:space="preserve"> </w:t>
      </w:r>
      <w:r>
        <w:t xml:space="preserve">loro flusso di lavoro, cosicché se un paziente in visita primaria</w:t>
      </w:r>
      <w:r>
        <w:t xml:space="preserve"> </w:t>
      </w:r>
      <w:r>
        <w:t xml:space="preserve">risulta nel top percentile di rischio, il sistema notifica il medico e</w:t>
      </w:r>
      <w:r>
        <w:t xml:space="preserve"> </w:t>
      </w:r>
      <w:r>
        <w:t xml:space="preserve">attiva uno specialista per valutazione approfondita.</w:t>
      </w:r>
    </w:p>
    <w:p>
      <w:pPr>
        <w:pStyle w:val="BodyText"/>
      </w:pPr>
      <w:r>
        <w:t xml:space="preserve">Analogamente, modelli predittivi sono in fase di sviluppo per molte</w:t>
      </w:r>
      <w:r>
        <w:t xml:space="preserve"> </w:t>
      </w:r>
      <w:r>
        <w:t xml:space="preserve">altre cronicità. Nel campo dei disturbi dell’umore, la cosiddetta</w:t>
      </w:r>
      <w:r>
        <w:t xml:space="preserve"> </w:t>
      </w:r>
      <w:r>
        <w:rPr>
          <w:i/>
          <w:iCs/>
        </w:rPr>
        <w:t xml:space="preserve">precision psychiatry</w:t>
      </w:r>
      <w:r>
        <w:t xml:space="preserve"> </w:t>
      </w:r>
      <w:r>
        <w:t xml:space="preserve">punta a usare il</w:t>
      </w:r>
      <w:r>
        <w:t xml:space="preserve"> </w:t>
      </w:r>
      <w:r>
        <w:rPr>
          <w:i/>
          <w:iCs/>
        </w:rPr>
        <w:t xml:space="preserve">machine learning</w:t>
      </w:r>
      <w:r>
        <w:t xml:space="preserve"> </w:t>
      </w:r>
      <w:r>
        <w:t xml:space="preserve">per predire</w:t>
      </w:r>
      <w:r>
        <w:t xml:space="preserve"> </w:t>
      </w:r>
      <w:r>
        <w:t xml:space="preserve">quale paziente risponderà a quale trattamento (es. farmaci vs</w:t>
      </w:r>
      <w:r>
        <w:t xml:space="preserve"> </w:t>
      </w:r>
      <w:r>
        <w:t xml:space="preserve">psicoterapia) o chi è a rischio di ricadute frequenti, così da</w:t>
      </w:r>
      <w:r>
        <w:t xml:space="preserve"> </w:t>
      </w:r>
      <w:r>
        <w:t xml:space="preserve">personalizzare i piani terapeutici. Un recente articolo di revisione (He</w:t>
      </w:r>
      <w:r>
        <w:t xml:space="preserve"> </w:t>
      </w:r>
      <w:r>
        <w:t xml:space="preserve">et al.,</w:t>
      </w:r>
      <w:r>
        <w:t xml:space="preserve"> </w:t>
      </w:r>
      <w:r>
        <w:rPr>
          <w:i/>
          <w:iCs/>
        </w:rPr>
        <w:t xml:space="preserve">Psychological Medicine</w:t>
      </w:r>
      <w:r>
        <w:t xml:space="preserve">, 2025) ha esaminato 85 studi sulle</w:t>
      </w:r>
      <w:r>
        <w:t xml:space="preserve"> </w:t>
      </w:r>
      <w:r>
        <w:t xml:space="preserve">applicazioni dell’IA in psichiatria, concludendo che in vari contesti</w:t>
      </w:r>
      <w:r>
        <w:t xml:space="preserve"> </w:t>
      </w:r>
      <w:r>
        <w:t xml:space="preserve">gli strumenti di IA mostrano elevata</w:t>
      </w:r>
      <w:r>
        <w:t xml:space="preserve"> </w:t>
      </w:r>
      <w:r>
        <w:rPr>
          <w:b/>
          <w:bCs/>
        </w:rPr>
        <w:t xml:space="preserve">accuratezza nel diagnosticare e</w:t>
      </w:r>
      <w:r>
        <w:rPr>
          <w:b/>
          <w:bCs/>
        </w:rPr>
        <w:t xml:space="preserve"> </w:t>
      </w:r>
      <w:r>
        <w:rPr>
          <w:b/>
          <w:bCs/>
        </w:rPr>
        <w:t xml:space="preserve">nel predire l’andamento</w:t>
      </w:r>
      <w:r>
        <w:t xml:space="preserve"> </w:t>
      </w:r>
      <w:r>
        <w:t xml:space="preserve">dei disturbi mentali, nonché nel prevedere la</w:t>
      </w:r>
      <w:r>
        <w:t xml:space="preserve"> </w:t>
      </w:r>
      <w:r>
        <w:t xml:space="preserve">risposta ai trattamenti. In particolare, gli algoritmi (spesso</w:t>
      </w:r>
      <w:r>
        <w:t xml:space="preserve"> </w:t>
      </w:r>
      <w:r>
        <w:rPr>
          <w:i/>
          <w:iCs/>
        </w:rPr>
        <w:t xml:space="preserve">random</w:t>
      </w:r>
      <w:r>
        <w:rPr>
          <w:i/>
          <w:iCs/>
        </w:rPr>
        <w:t xml:space="preserve"> </w:t>
      </w:r>
      <w:r>
        <w:rPr>
          <w:i/>
          <w:iCs/>
        </w:rPr>
        <w:t xml:space="preserve">forest</w:t>
      </w:r>
      <w:r>
        <w:t xml:space="preserve"> </w:t>
      </w:r>
      <w:r>
        <w:t xml:space="preserve">o</w:t>
      </w:r>
      <w:r>
        <w:t xml:space="preserve"> </w:t>
      </w:r>
      <w:r>
        <w:rPr>
          <w:i/>
          <w:iCs/>
        </w:rPr>
        <w:t xml:space="preserve">support vector machine</w:t>
      </w:r>
      <w:r>
        <w:t xml:space="preserve">) hanno avuto successo nel</w:t>
      </w:r>
      <w:r>
        <w:t xml:space="preserve"> </w:t>
      </w:r>
      <w:r>
        <w:t xml:space="preserve">classificare correttamente la presenza di depressione o schizofrenia</w:t>
      </w:r>
      <w:r>
        <w:t xml:space="preserve"> </w:t>
      </w:r>
      <w:r>
        <w:t xml:space="preserve">analizzando dati eterogenei, e alcuni modelli hanno predetto quali</w:t>
      </w:r>
      <w:r>
        <w:t xml:space="preserve"> </w:t>
      </w:r>
      <w:r>
        <w:t xml:space="preserve">pazienti avrebbero beneficiato di un certo antidepressivo rispetto a</w:t>
      </w:r>
      <w:r>
        <w:t xml:space="preserve"> </w:t>
      </w:r>
      <w:r>
        <w:t xml:space="preserve">placebo. Questa capacità di</w:t>
      </w:r>
      <w:r>
        <w:t xml:space="preserve"> </w:t>
      </w:r>
      <w:r>
        <w:t xml:space="preserve">“</w:t>
      </w:r>
      <w:r>
        <w:t xml:space="preserve">leggere</w:t>
      </w:r>
      <w:r>
        <w:t xml:space="preserve">”</w:t>
      </w:r>
      <w:r>
        <w:t xml:space="preserve"> </w:t>
      </w:r>
      <w:r>
        <w:t xml:space="preserve">pattern nascosti tra genomica,</w:t>
      </w:r>
      <w:r>
        <w:t xml:space="preserve"> </w:t>
      </w:r>
      <w:r>
        <w:t xml:space="preserve">clinica e dati di vita può evitare inutili tentativi terapeutici,</w:t>
      </w:r>
      <w:r>
        <w:t xml:space="preserve"> </w:t>
      </w:r>
      <w:r>
        <w:t xml:space="preserve">migliorando gli esiti. Ad esempio, nell’ambito della depressione</w:t>
      </w:r>
      <w:r>
        <w:t xml:space="preserve"> </w:t>
      </w:r>
      <w:r>
        <w:t xml:space="preserve">resistente, è in corso uno studio (</w:t>
      </w:r>
      <w:r>
        <w:rPr>
          <w:i/>
          <w:iCs/>
        </w:rPr>
        <w:t xml:space="preserve">ESKETamine machine learning study</w:t>
      </w:r>
      <w:r>
        <w:t xml:space="preserve">)</w:t>
      </w:r>
      <w:r>
        <w:t xml:space="preserve"> </w:t>
      </w:r>
      <w:r>
        <w:t xml:space="preserve">che usa algoritmi per identificare a priori quali pazienti trarranno</w:t>
      </w:r>
      <w:r>
        <w:t xml:space="preserve"> </w:t>
      </w:r>
      <w:r>
        <w:t xml:space="preserve">giovamento dall’uso di esketamina intranasale, combinando marker clinici</w:t>
      </w:r>
      <w:r>
        <w:t xml:space="preserve"> </w:t>
      </w:r>
      <w:r>
        <w:t xml:space="preserve">e di neuroimaging. Se tali approcci avranno conferma, i clinici</w:t>
      </w:r>
      <w:r>
        <w:t xml:space="preserve"> </w:t>
      </w:r>
      <w:r>
        <w:t xml:space="preserve">disporranno di un</w:t>
      </w:r>
      <w:r>
        <w:t xml:space="preserve"> </w:t>
      </w:r>
      <w:r>
        <w:rPr>
          <w:b/>
          <w:bCs/>
        </w:rPr>
        <w:t xml:space="preserve">supporto decisionale oggettivo</w:t>
      </w:r>
      <w:r>
        <w:t xml:space="preserve"> </w:t>
      </w:r>
      <w:r>
        <w:t xml:space="preserve">nel definire le</w:t>
      </w:r>
      <w:r>
        <w:t xml:space="preserve"> </w:t>
      </w:r>
      <w:r>
        <w:t xml:space="preserve">terapie, ottimizzando tempi e costi (trattando precocemente i pazienti</w:t>
      </w:r>
      <w:r>
        <w:t xml:space="preserve"> </w:t>
      </w:r>
      <w:r>
        <w:t xml:space="preserve">“</w:t>
      </w:r>
      <w:r>
        <w:t xml:space="preserve">suggeriti</w:t>
      </w:r>
      <w:r>
        <w:t xml:space="preserve">”</w:t>
      </w:r>
      <w:r>
        <w:t xml:space="preserve"> </w:t>
      </w:r>
      <w:r>
        <w:t xml:space="preserve">dall’IA come responder e indirizzando altri verso approcci</w:t>
      </w:r>
      <w:r>
        <w:t xml:space="preserve"> </w:t>
      </w:r>
      <w:r>
        <w:t xml:space="preserve">alternativi).</w:t>
      </w:r>
    </w:p>
    <w:p>
      <w:pPr>
        <w:pStyle w:val="BodyText"/>
      </w:pPr>
      <w:r>
        <w:rPr>
          <w:b/>
          <w:bCs/>
        </w:rPr>
        <w:t xml:space="preserve">4. Chatbot terapeutici e interventi digitali:</w:t>
      </w:r>
      <w:r>
        <w:t xml:space="preserve"> </w:t>
      </w:r>
      <w:r>
        <w:t xml:space="preserve">Sul fronte del</w:t>
      </w:r>
      <w:r>
        <w:t xml:space="preserve"> </w:t>
      </w:r>
      <w:r>
        <w:t xml:space="preserve">trattamento, molteplici studi clinici stanno evidenziando l’efficacia di</w:t>
      </w:r>
      <w:r>
        <w:t xml:space="preserve"> </w:t>
      </w:r>
      <w:r>
        <w:t xml:space="preserve">interventi digitali basati su IA, specialmente per disturbi d’ansia e</w:t>
      </w:r>
      <w:r>
        <w:t xml:space="preserve"> </w:t>
      </w:r>
      <w:r>
        <w:t xml:space="preserve">depressivi di grado lieve-moderato. Un caso emblematico è</w:t>
      </w:r>
      <w:r>
        <w:t xml:space="preserve"> </w:t>
      </w:r>
      <w:r>
        <w:rPr>
          <w:b/>
          <w:bCs/>
        </w:rPr>
        <w:t xml:space="preserve">Woebot</w:t>
      </w:r>
      <w:r>
        <w:t xml:space="preserve">,</w:t>
      </w:r>
      <w:r>
        <w:t xml:space="preserve"> </w:t>
      </w:r>
      <w:r>
        <w:t xml:space="preserve">chatbot terapeutico che fornisce interventi di Terapia</w:t>
      </w:r>
      <w:r>
        <w:t xml:space="preserve"> </w:t>
      </w:r>
      <w:r>
        <w:t xml:space="preserve">Cognitivo-Comportamentale (CBT) in linguaggio naturale. In un recente</w:t>
      </w:r>
      <w:r>
        <w:t xml:space="preserve"> </w:t>
      </w:r>
      <w:r>
        <w:t xml:space="preserve">trial controllato randomizzato condotto a Stanford su donne nel</w:t>
      </w:r>
      <w:r>
        <w:t xml:space="preserve"> </w:t>
      </w:r>
      <w:r>
        <w:t xml:space="preserve">postpartum (fase delicata dove ansia e depressione sono spesso</w:t>
      </w:r>
      <w:r>
        <w:t xml:space="preserve"> </w:t>
      </w:r>
      <w:r>
        <w:t xml:space="preserve">sottotrattate), l’uso di Woebot per 6 settimane ha prodotto riduzioni</w:t>
      </w:r>
      <w:r>
        <w:t xml:space="preserve"> </w:t>
      </w:r>
      <w:r>
        <w:t xml:space="preserve">significativamente maggiori dei sintomi depressivi e ansiosi rispetto al</w:t>
      </w:r>
      <w:r>
        <w:t xml:space="preserve"> </w:t>
      </w:r>
      <w:r>
        <w:t xml:space="preserve">gruppo di controllo in lista</w:t>
      </w:r>
      <w:r>
        <w:t xml:space="preserve"> </w:t>
      </w:r>
      <w:r>
        <w:t xml:space="preserve">d’attesa</w:t>
      </w:r>
      <w:hyperlink r:id="rId2645">
        <w:r>
          <w:rPr>
            <w:rStyle w:val="Hyperlink"/>
          </w:rPr>
          <w:t xml:space="preserve">[5]</w:t>
        </w:r>
      </w:hyperlink>
      <w:hyperlink r:id="rId2646">
        <w:r>
          <w:rPr>
            <w:rStyle w:val="Hyperlink"/>
          </w:rPr>
          <w:t xml:space="preserve">[6]</w:t>
        </w:r>
      </w:hyperlink>
      <w:r>
        <w:t xml:space="preserve">.</w:t>
      </w:r>
      <w:r>
        <w:t xml:space="preserve"> </w:t>
      </w:r>
      <w:r>
        <w:t xml:space="preserve">Gli effetti benefici si sono osservati già dopo 2 settimane e sono</w:t>
      </w:r>
      <w:r>
        <w:t xml:space="preserve"> </w:t>
      </w:r>
      <w:r>
        <w:t xml:space="preserve">aumentati a 6 settimane, con differenze clinicamente rilevanti: il</w:t>
      </w:r>
      <w:r>
        <w:t xml:space="preserve"> </w:t>
      </w:r>
      <w:r>
        <w:t xml:space="preserve">punteggio medio EPDS (scala depressione postnatale) è calato di ~5</w:t>
      </w:r>
      <w:r>
        <w:t xml:space="preserve"> </w:t>
      </w:r>
      <w:r>
        <w:t xml:space="preserve">punti nel gruppo Woebot contro ~1 punto nel controllo, e oltre il 70%</w:t>
      </w:r>
      <w:r>
        <w:t xml:space="preserve"> </w:t>
      </w:r>
      <w:r>
        <w:t xml:space="preserve">delle utenti del chatbot ha mostrato un miglioramento clinicamente</w:t>
      </w:r>
      <w:r>
        <w:t xml:space="preserve"> </w:t>
      </w:r>
      <w:r>
        <w:t xml:space="preserve">significativo (≥ uno degli esiti) contro solo ~30% nel</w:t>
      </w:r>
      <w:r>
        <w:t xml:space="preserve"> </w:t>
      </w:r>
      <w:r>
        <w:t xml:space="preserve">controllo</w:t>
      </w:r>
      <w:hyperlink r:id="rId2646">
        <w:r>
          <w:rPr>
            <w:rStyle w:val="Hyperlink"/>
          </w:rPr>
          <w:t xml:space="preserve">[6]</w:t>
        </w:r>
      </w:hyperlink>
      <w:r>
        <w:t xml:space="preserve">.</w:t>
      </w:r>
      <w:r>
        <w:t xml:space="preserve"> </w:t>
      </w:r>
      <w:r>
        <w:t xml:space="preserve">Anche i sintomi ansiosi (GAD-7) sono migliorati sensibilmente.</w:t>
      </w:r>
      <w:r>
        <w:t xml:space="preserve"> </w:t>
      </w:r>
      <w:r>
        <w:t xml:space="preserve">Importante, non si sono registrati eventi avversi e la soddisfazione</w:t>
      </w:r>
      <w:r>
        <w:t xml:space="preserve"> </w:t>
      </w:r>
      <w:r>
        <w:t xml:space="preserve">d’uso è stata alta, con le partecipanti che hanno interagito col chatbot</w:t>
      </w:r>
      <w:r>
        <w:t xml:space="preserve"> </w:t>
      </w:r>
      <w:r>
        <w:t xml:space="preserve">in media 5 volte a</w:t>
      </w:r>
      <w:r>
        <w:t xml:space="preserve"> </w:t>
      </w:r>
      <w:r>
        <w:t xml:space="preserve">settimana</w:t>
      </w:r>
      <w:hyperlink r:id="rId2647">
        <w:r>
          <w:rPr>
            <w:rStyle w:val="Hyperlink"/>
          </w:rPr>
          <w:t xml:space="preserve">[7]</w:t>
        </w:r>
      </w:hyperlink>
      <w:r>
        <w:t xml:space="preserve">.</w:t>
      </w:r>
      <w:r>
        <w:t xml:space="preserve"> </w:t>
      </w:r>
      <w:r>
        <w:t xml:space="preserve">Ciò indica che l’aderenza e l’engagement possono essere buoni anche</w:t>
      </w:r>
      <w:r>
        <w:t xml:space="preserve"> </w:t>
      </w:r>
      <w:r>
        <w:t xml:space="preserve">senza la presenza umana, almeno in popolazioni motivate. Le autrici</w:t>
      </w:r>
      <w:r>
        <w:t xml:space="preserve"> </w:t>
      </w:r>
      <w:r>
        <w:t xml:space="preserve">dello studio sottolineano che Woebot</w:t>
      </w:r>
      <w:r>
        <w:t xml:space="preserve"> </w:t>
      </w:r>
      <w:r>
        <w:rPr>
          <w:b/>
          <w:bCs/>
        </w:rPr>
        <w:t xml:space="preserve">non sostituisce</w:t>
      </w:r>
      <w:r>
        <w:t xml:space="preserve"> </w:t>
      </w:r>
      <w:r>
        <w:t xml:space="preserve">il terapeuta di</w:t>
      </w:r>
      <w:r>
        <w:t xml:space="preserve"> </w:t>
      </w:r>
      <w:r>
        <w:t xml:space="preserve">persona, ma può fungere da intervento precoce o supplementare per chi</w:t>
      </w:r>
      <w:r>
        <w:t xml:space="preserve"> </w:t>
      </w:r>
      <w:r>
        <w:t xml:space="preserve">non ha accesso immediato a cure tradizionali, rappresentando una</w:t>
      </w:r>
      <w:r>
        <w:t xml:space="preserve"> </w:t>
      </w:r>
      <w:r>
        <w:t xml:space="preserve">soluzione scalabile e a basso costo per ampliare il supporto</w:t>
      </w:r>
      <w:r>
        <w:t xml:space="preserve"> </w:t>
      </w:r>
      <w:r>
        <w:t xml:space="preserve">postpartum</w:t>
      </w:r>
      <w:hyperlink r:id="rId2647">
        <w:r>
          <w:rPr>
            <w:rStyle w:val="Hyperlink"/>
          </w:rPr>
          <w:t xml:space="preserve">[7]</w:t>
        </w:r>
      </w:hyperlink>
      <w:r>
        <w:t xml:space="preserve">.</w:t>
      </w:r>
      <w:r>
        <w:t xml:space="preserve"> </w:t>
      </w:r>
      <w:r>
        <w:t xml:space="preserve">Queste evidenze sono coerenti con altre ricerche su chatbot simili (ad</w:t>
      </w:r>
      <w:r>
        <w:t xml:space="preserve"> </w:t>
      </w:r>
      <w:r>
        <w:t xml:space="preserve">es.</w:t>
      </w:r>
      <w:r>
        <w:t xml:space="preserve"> </w:t>
      </w:r>
      <w:r>
        <w:rPr>
          <w:i/>
          <w:iCs/>
        </w:rPr>
        <w:t xml:space="preserve">Wysa</w:t>
      </w:r>
      <w:r>
        <w:t xml:space="preserve">,</w:t>
      </w:r>
      <w:r>
        <w:t xml:space="preserve"> </w:t>
      </w:r>
      <w:r>
        <w:rPr>
          <w:i/>
          <w:iCs/>
        </w:rPr>
        <w:t xml:space="preserve">Tess</w:t>
      </w:r>
      <w:r>
        <w:t xml:space="preserve">): meta-analisi preliminari indicano che gli</w:t>
      </w:r>
      <w:r>
        <w:t xml:space="preserve"> </w:t>
      </w:r>
      <w:r>
        <w:t xml:space="preserve">interventi digitali basati su auto-aiuto guidato possono ottenere esiti</w:t>
      </w:r>
      <w:r>
        <w:t xml:space="preserve"> </w:t>
      </w:r>
      <w:r>
        <w:t xml:space="preserve">paragonabili alla psicoterapia tradizionale nei disturbi comuni, con</w:t>
      </w:r>
      <w:r>
        <w:t xml:space="preserve"> </w:t>
      </w:r>
      <w:r>
        <w:t xml:space="preserve">costi sensibilmente inferiori. In effetti, studi di economia sanitaria</w:t>
      </w:r>
      <w:r>
        <w:t xml:space="preserve"> </w:t>
      </w:r>
      <w:r>
        <w:t xml:space="preserve">mostrano spesso che le terapie online (es. programmi iCBT) risultano</w:t>
      </w:r>
      <w:r>
        <w:t xml:space="preserve"> </w:t>
      </w:r>
      <w:r>
        <w:rPr>
          <w:b/>
          <w:bCs/>
        </w:rPr>
        <w:t xml:space="preserve">costo-efficaci</w:t>
      </w:r>
      <w:r>
        <w:t xml:space="preserve"> </w:t>
      </w:r>
      <w:r>
        <w:t xml:space="preserve">o addirittura</w:t>
      </w:r>
      <w:r>
        <w:t xml:space="preserve"> </w:t>
      </w:r>
      <w:r>
        <w:rPr>
          <w:i/>
          <w:iCs/>
        </w:rPr>
        <w:t xml:space="preserve">cost-saving</w:t>
      </w:r>
      <w:r>
        <w:t xml:space="preserve">: ad esempio, una</w:t>
      </w:r>
      <w:r>
        <w:t xml:space="preserve"> </w:t>
      </w:r>
      <w:r>
        <w:t xml:space="preserve">revisione sistematica su internet therapy ha trovato che la maggior</w:t>
      </w:r>
      <w:r>
        <w:t xml:space="preserve"> </w:t>
      </w:r>
      <w:r>
        <w:t xml:space="preserve">parte delle valutazioni economiche colloca queste interventi al di sotto</w:t>
      </w:r>
      <w:r>
        <w:t xml:space="preserve"> </w:t>
      </w:r>
      <w:r>
        <w:t xml:space="preserve">della soglia di £30.000/QALY, con alcuni che risultano dominanti</w:t>
      </w:r>
      <w:r>
        <w:t xml:space="preserve"> </w:t>
      </w:r>
      <w:r>
        <w:t xml:space="preserve">(maggiori QALY e minori costi rispetto a cure usuali). Best practice</w:t>
      </w:r>
      <w:r>
        <w:t xml:space="preserve"> </w:t>
      </w:r>
      <w:r>
        <w:t xml:space="preserve">internazionali includono l’adozione su larga scala di tali strumenti:</w:t>
      </w:r>
      <w:r>
        <w:t xml:space="preserve"> </w:t>
      </w:r>
      <w:r>
        <w:t xml:space="preserve">l’Australia, con il programma</w:t>
      </w:r>
      <w:r>
        <w:t xml:space="preserve"> </w:t>
      </w:r>
      <w:r>
        <w:rPr>
          <w:i/>
          <w:iCs/>
        </w:rPr>
        <w:t xml:space="preserve">Better Access</w:t>
      </w:r>
      <w:r>
        <w:t xml:space="preserve">, eroga servizi di terapia</w:t>
      </w:r>
      <w:r>
        <w:t xml:space="preserve"> </w:t>
      </w:r>
      <w:r>
        <w:t xml:space="preserve">digitale integrati al sistema pubblico; i Paesi Bassi affiancano agli</w:t>
      </w:r>
      <w:r>
        <w:t xml:space="preserve"> </w:t>
      </w:r>
      <w:r>
        <w:t xml:space="preserve">psicologi di base piattaforme come</w:t>
      </w:r>
      <w:r>
        <w:t xml:space="preserve"> </w:t>
      </w:r>
      <w:r>
        <w:rPr>
          <w:i/>
          <w:iCs/>
        </w:rPr>
        <w:t xml:space="preserve">Therapieland</w:t>
      </w:r>
      <w:r>
        <w:t xml:space="preserve"> </w:t>
      </w:r>
      <w:r>
        <w:t xml:space="preserve">per moduli di</w:t>
      </w:r>
      <w:r>
        <w:t xml:space="preserve"> </w:t>
      </w:r>
      <w:r>
        <w:t xml:space="preserve">auto-aiuto online; il Regno Unito stesso, nell’ambito IAPT, ha</w:t>
      </w:r>
      <w:r>
        <w:t xml:space="preserve"> </w:t>
      </w:r>
      <w:r>
        <w:t xml:space="preserve">utilizzato e-terapie e app digitali come primo gradino del percorso</w:t>
      </w:r>
      <w:r>
        <w:t xml:space="preserve"> </w:t>
      </w:r>
      <w:r>
        <w:t xml:space="preserve">(step 1: low-intensity interventions), anche se con variabile successo.</w:t>
      </w:r>
      <w:r>
        <w:t xml:space="preserve"> </w:t>
      </w:r>
      <w:r>
        <w:t xml:space="preserve">Questi esempi confermano che</w:t>
      </w:r>
      <w:r>
        <w:t xml:space="preserve"> </w:t>
      </w:r>
      <w:r>
        <w:rPr>
          <w:i/>
          <w:iCs/>
        </w:rPr>
        <w:t xml:space="preserve">chatbot</w:t>
      </w:r>
      <w:r>
        <w:t xml:space="preserve">, app e moduli web possono ridurre</w:t>
      </w:r>
      <w:r>
        <w:t xml:space="preserve"> </w:t>
      </w:r>
      <w:r>
        <w:t xml:space="preserve">il carico sui clinici gestendo i casi meno complessi o fornendo sostegno</w:t>
      </w:r>
      <w:r>
        <w:t xml:space="preserve"> </w:t>
      </w:r>
      <w:r>
        <w:t xml:space="preserve">tra una seduta e l’altra.</w:t>
      </w:r>
    </w:p>
    <w:p>
      <w:pPr>
        <w:pStyle w:val="BodyText"/>
      </w:pPr>
      <w:r>
        <w:rPr>
          <w:b/>
          <w:bCs/>
        </w:rPr>
        <w:t xml:space="preserve">5. Telemonitoraggio e riabilitazione IA-based:</w:t>
      </w:r>
      <w:r>
        <w:t xml:space="preserve"> </w:t>
      </w:r>
      <w:r>
        <w:t xml:space="preserve">Nell’ambito della</w:t>
      </w:r>
      <w:r>
        <w:t xml:space="preserve"> </w:t>
      </w:r>
      <w:r>
        <w:t xml:space="preserve">gestione delle cronicità e della riabilitazione, l’IA sta abilitando</w:t>
      </w:r>
      <w:r>
        <w:t xml:space="preserve"> </w:t>
      </w:r>
      <w:r>
        <w:t xml:space="preserve">modalità innovative di assistenza</w:t>
      </w:r>
      <w:r>
        <w:t xml:space="preserve"> </w:t>
      </w:r>
      <w:r>
        <w:t xml:space="preserve">“</w:t>
      </w:r>
      <w:r>
        <w:t xml:space="preserve">continua</w:t>
      </w:r>
      <w:r>
        <w:t xml:space="preserve">”</w:t>
      </w:r>
      <w:r>
        <w:t xml:space="preserve">. Per pazienti con disturbi</w:t>
      </w:r>
      <w:r>
        <w:t xml:space="preserve"> </w:t>
      </w:r>
      <w:r>
        <w:t xml:space="preserve">mentali severi (es. disturbo bipolare, schizofrenia) in trattamento nel</w:t>
      </w:r>
      <w:r>
        <w:t xml:space="preserve"> </w:t>
      </w:r>
      <w:r>
        <w:t xml:space="preserve">territorio, sono in fase di sperimentazione sistemi di</w:t>
      </w:r>
      <w:r>
        <w:t xml:space="preserve"> </w:t>
      </w:r>
      <w:r>
        <w:rPr>
          <w:b/>
          <w:bCs/>
        </w:rPr>
        <w:t xml:space="preserve">telemonitoraggio intelligente</w:t>
      </w:r>
      <w:r>
        <w:t xml:space="preserve">: smartphone con sensori integrati e</w:t>
      </w:r>
      <w:r>
        <w:t xml:space="preserve"> </w:t>
      </w:r>
      <w:r>
        <w:t xml:space="preserve">algoritmi di apprendimento che analizzano in tempo reale segnali</w:t>
      </w:r>
      <w:r>
        <w:t xml:space="preserve"> </w:t>
      </w:r>
      <w:r>
        <w:t xml:space="preserve">comportamentali per cogliere scompensi. Ad esempio, nel progetto</w:t>
      </w:r>
      <w:r>
        <w:t xml:space="preserve"> </w:t>
      </w:r>
      <w:r>
        <w:t xml:space="preserve">italiano</w:t>
      </w:r>
      <w:r>
        <w:t xml:space="preserve"> </w:t>
      </w:r>
      <w:r>
        <w:rPr>
          <w:i/>
          <w:iCs/>
        </w:rPr>
        <w:t xml:space="preserve">Claudio</w:t>
      </w:r>
      <w:r>
        <w:t xml:space="preserve"> </w:t>
      </w:r>
      <w:r>
        <w:t xml:space="preserve">(in Puglia ipoteticamente implementabile), un</w:t>
      </w:r>
      <w:r>
        <w:t xml:space="preserve"> </w:t>
      </w:r>
      <w:r>
        <w:t xml:space="preserve">paziente con disturbo bipolare porta un braccialetto e un’app che</w:t>
      </w:r>
      <w:r>
        <w:t xml:space="preserve"> </w:t>
      </w:r>
      <w:r>
        <w:t xml:space="preserve">registrano parametri come ritmo sonno, livello di attività, tono vocale</w:t>
      </w:r>
      <w:r>
        <w:t xml:space="preserve"> </w:t>
      </w:r>
      <w:r>
        <w:t xml:space="preserve">nelle chiamate; l’IA elabora questi dati e, se rileva anomalie (es.</w:t>
      </w:r>
      <w:r>
        <w:t xml:space="preserve"> </w:t>
      </w:r>
      <w:r>
        <w:t xml:space="preserve">drastica riduzione del sonno e aumento dell’attività motoria</w:t>
      </w:r>
      <w:r>
        <w:t xml:space="preserve"> </w:t>
      </w:r>
      <w:r>
        <w:t xml:space="preserve">suggeriscono viraggio maniacale), avvisa il Centro di Salute Mentale per</w:t>
      </w:r>
      <w:r>
        <w:t xml:space="preserve"> </w:t>
      </w:r>
      <w:r>
        <w:t xml:space="preserve">anticipare una visita o modulare la terapia. Allo stesso modo, nella</w:t>
      </w:r>
      <w:r>
        <w:t xml:space="preserve"> </w:t>
      </w:r>
      <w:r>
        <w:rPr>
          <w:b/>
          <w:bCs/>
        </w:rPr>
        <w:t xml:space="preserve">riabilitazione cognitiva e motoria</w:t>
      </w:r>
      <w:r>
        <w:t xml:space="preserve"> </w:t>
      </w:r>
      <w:r>
        <w:t xml:space="preserve">si stanno introducendo robot e</w:t>
      </w:r>
      <w:r>
        <w:t xml:space="preserve"> </w:t>
      </w:r>
      <w:r>
        <w:t xml:space="preserve">ambienti virtuali intelligenti: per pazienti post-ictus o con</w:t>
      </w:r>
      <w:r>
        <w:t xml:space="preserve"> </w:t>
      </w:r>
      <w:r>
        <w:t xml:space="preserve">disabilità, sistemi robotici con IA adattano gli esercizi in base ai</w:t>
      </w:r>
      <w:r>
        <w:t xml:space="preserve"> </w:t>
      </w:r>
      <w:r>
        <w:t xml:space="preserve">progressi, motivando l’utente con</w:t>
      </w:r>
      <w:r>
        <w:t xml:space="preserve"> </w:t>
      </w:r>
      <w:r>
        <w:rPr>
          <w:i/>
          <w:iCs/>
        </w:rPr>
        <w:t xml:space="preserve">feedback</w:t>
      </w:r>
      <w:r>
        <w:t xml:space="preserve"> </w:t>
      </w:r>
      <w:r>
        <w:t xml:space="preserve">personalizzati. In ambito</w:t>
      </w:r>
      <w:r>
        <w:t xml:space="preserve"> </w:t>
      </w:r>
      <w:r>
        <w:t xml:space="preserve">psichiatrico, la realtà virtuale (VR) arricchita da IA viene utilizzata</w:t>
      </w:r>
      <w:r>
        <w:t xml:space="preserve"> </w:t>
      </w:r>
      <w:r>
        <w:t xml:space="preserve">per esposizioni graduali in pazienti con fobie o PTSD, dove l’intensità</w:t>
      </w:r>
      <w:r>
        <w:t xml:space="preserve"> </w:t>
      </w:r>
      <w:r>
        <w:t xml:space="preserve">dello scenario si modula automaticamente in base ai segnali fisiologici</w:t>
      </w:r>
      <w:r>
        <w:t xml:space="preserve"> </w:t>
      </w:r>
      <w:r>
        <w:t xml:space="preserve">di ansia rilevati (ad es., un algoritmo riduce la difficoltà se il</w:t>
      </w:r>
      <w:r>
        <w:t xml:space="preserve"> </w:t>
      </w:r>
      <w:r>
        <w:t xml:space="preserve">sensore registra tachicardia eccessiva). In pratica, l’IA consente una</w:t>
      </w:r>
      <w:r>
        <w:t xml:space="preserve"> </w:t>
      </w:r>
      <w:r>
        <w:rPr>
          <w:b/>
          <w:bCs/>
        </w:rPr>
        <w:t xml:space="preserve">terapia adattiva in tempo reale</w:t>
      </w:r>
      <w:r>
        <w:t xml:space="preserve">, difficilmente ottenibile con</w:t>
      </w:r>
      <w:r>
        <w:t xml:space="preserve"> </w:t>
      </w:r>
      <w:r>
        <w:t xml:space="preserve">programmi fissi.</w:t>
      </w:r>
    </w:p>
    <w:p>
      <w:pPr>
        <w:pStyle w:val="BodyText"/>
      </w:pPr>
      <w:r>
        <w:t xml:space="preserve">In conclusione, le esperienze internazionali delineano un panorama in</w:t>
      </w:r>
      <w:r>
        <w:t xml:space="preserve"> </w:t>
      </w:r>
      <w:r>
        <w:t xml:space="preserve">cui l’IA sta già dimostrando efficacia in vari ruoli:</w:t>
      </w:r>
      <w:r>
        <w:t xml:space="preserve"> </w:t>
      </w:r>
      <w:r>
        <w:rPr>
          <w:i/>
          <w:iCs/>
        </w:rPr>
        <w:t xml:space="preserve">sentinella</w:t>
      </w:r>
      <w:r>
        <w:t xml:space="preserve"> </w:t>
      </w:r>
      <w:r>
        <w:t xml:space="preserve">epidemiologica (screening e predizione),</w:t>
      </w:r>
      <w:r>
        <w:t xml:space="preserve"> </w:t>
      </w:r>
      <w:r>
        <w:rPr>
          <w:i/>
          <w:iCs/>
        </w:rPr>
        <w:t xml:space="preserve">guida</w:t>
      </w:r>
      <w:r>
        <w:t xml:space="preserve"> </w:t>
      </w:r>
      <w:r>
        <w:t xml:space="preserve">nel percorso di cura</w:t>
      </w:r>
      <w:r>
        <w:t xml:space="preserve"> </w:t>
      </w:r>
      <w:r>
        <w:t xml:space="preserve">(triage e decision support),</w:t>
      </w:r>
      <w:r>
        <w:t xml:space="preserve"> </w:t>
      </w:r>
      <w:r>
        <w:rPr>
          <w:i/>
          <w:iCs/>
        </w:rPr>
        <w:t xml:space="preserve">terapeuta virtuale</w:t>
      </w:r>
      <w:r>
        <w:t xml:space="preserve"> </w:t>
      </w:r>
      <w:r>
        <w:t xml:space="preserve">(chatbot e interventi</w:t>
      </w:r>
      <w:r>
        <w:t xml:space="preserve"> </w:t>
      </w:r>
      <w:r>
        <w:t xml:space="preserve">digitali), e</w:t>
      </w:r>
      <w:r>
        <w:t xml:space="preserve"> </w:t>
      </w:r>
      <w:r>
        <w:rPr>
          <w:i/>
          <w:iCs/>
        </w:rPr>
        <w:t xml:space="preserve">assistente instancabile</w:t>
      </w:r>
      <w:r>
        <w:t xml:space="preserve"> </w:t>
      </w:r>
      <w:r>
        <w:t xml:space="preserve">(telemonitoraggio e automazione).</w:t>
      </w:r>
      <w:r>
        <w:t xml:space="preserve"> </w:t>
      </w:r>
      <w:r>
        <w:t xml:space="preserve">Tali best practice forniscono un solido razionale, basato su studi</w:t>
      </w:r>
      <w:r>
        <w:t xml:space="preserve"> </w:t>
      </w:r>
      <w:r>
        <w:t xml:space="preserve">clinici e implementazioni sul campo, per arricchire il modello pugliese</w:t>
      </w:r>
      <w:r>
        <w:t xml:space="preserve"> </w:t>
      </w:r>
      <w:r>
        <w:t xml:space="preserve">di Psicologia di Base con soluzioni IA. La chiave del successo in tutti</w:t>
      </w:r>
      <w:r>
        <w:t xml:space="preserve"> </w:t>
      </w:r>
      <w:r>
        <w:t xml:space="preserve">i casi esaminati è l’integrazione intelligente con i servizi esistenti:</w:t>
      </w:r>
      <w:r>
        <w:t xml:space="preserve"> </w:t>
      </w:r>
      <w:r>
        <w:t xml:space="preserve">l’IA potenzia l’operato umano (augmenting) e riempie spazi vuoti del</w:t>
      </w:r>
      <w:r>
        <w:t xml:space="preserve"> </w:t>
      </w:r>
      <w:r>
        <w:t xml:space="preserve">servizio, ma restano fondamentali la supervisione clinica e protocolli</w:t>
      </w:r>
      <w:r>
        <w:t xml:space="preserve"> </w:t>
      </w:r>
      <w:r>
        <w:t xml:space="preserve">chiari di intervento per sfruttare al meglio queste tecnologie in</w:t>
      </w:r>
      <w:r>
        <w:t xml:space="preserve"> </w:t>
      </w:r>
      <w:r>
        <w:t xml:space="preserve">sicurezza.</w:t>
      </w:r>
    </w:p>
    <w:bookmarkEnd w:id="2648"/>
    <w:bookmarkStart w:id="2649" w:name="Xeb39d61c903d5f5a06ffa27c8cb1836e1198f66"/>
    <w:p>
      <w:pPr>
        <w:pStyle w:val="Heading3"/>
      </w:pPr>
      <w:r>
        <w:t xml:space="preserve">Strumenti Concreti di IA Disponibili e Applicabili in Puglia</w:t>
      </w:r>
    </w:p>
    <w:p>
      <w:pPr>
        <w:pStyle w:val="FirstParagraph"/>
      </w:pPr>
      <w:r>
        <w:t xml:space="preserve">Diverse soluzioni di IA in ambito medico-sanitario sono già oggi</w:t>
      </w:r>
      <w:r>
        <w:t xml:space="preserve"> </w:t>
      </w:r>
      <w:r>
        <w:t xml:space="preserve">disponibili come prodotti o prototipi maturi. Di seguito si passano in</w:t>
      </w:r>
      <w:r>
        <w:t xml:space="preserve"> </w:t>
      </w:r>
      <w:r>
        <w:t xml:space="preserve">rassegna alcuni</w:t>
      </w:r>
      <w:r>
        <w:t xml:space="preserve"> </w:t>
      </w:r>
      <w:r>
        <w:rPr>
          <w:b/>
          <w:bCs/>
        </w:rPr>
        <w:t xml:space="preserve">strumenti IA concreti</w:t>
      </w:r>
      <w:r>
        <w:t xml:space="preserve"> </w:t>
      </w:r>
      <w:r>
        <w:t xml:space="preserve">– dai chatbot agli algoritmi</w:t>
      </w:r>
      <w:r>
        <w:t xml:space="preserve"> </w:t>
      </w:r>
      <w:r>
        <w:t xml:space="preserve">predittivi – evidenziando quelli più adatti a essere implementati nel</w:t>
      </w:r>
      <w:r>
        <w:t xml:space="preserve"> </w:t>
      </w:r>
      <w:r>
        <w:t xml:space="preserve">contesto regionale pugliese per rispondere ai bisogni identificati e</w:t>
      </w:r>
      <w:r>
        <w:t xml:space="preserve"> </w:t>
      </w:r>
      <w:r>
        <w:t xml:space="preserve">ridurre il carico assistenziale.</w:t>
      </w:r>
    </w:p>
    <w:p>
      <w:pPr>
        <w:numPr>
          <w:ilvl w:val="0"/>
          <w:numId w:val="1024"/>
        </w:numPr>
      </w:pPr>
      <w:r>
        <w:rPr>
          <w:b/>
          <w:bCs/>
        </w:rPr>
        <w:t xml:space="preserve">Chatbot conversazionali per supporto psicologico:</w:t>
      </w:r>
      <w:r>
        <w:t xml:space="preserve"> </w:t>
      </w:r>
      <w:r>
        <w:t xml:space="preserve">Sul mercato</w:t>
      </w:r>
      <w:r>
        <w:t xml:space="preserve"> </w:t>
      </w:r>
      <w:r>
        <w:t xml:space="preserve">esistono ormai numerosi chatbot di salute mentale basati su IA.</w:t>
      </w:r>
      <w:r>
        <w:t xml:space="preserve"> </w:t>
      </w:r>
      <w:r>
        <w:t xml:space="preserve">Oltre ai citati</w:t>
      </w:r>
      <w:r>
        <w:t xml:space="preserve"> </w:t>
      </w:r>
      <w:r>
        <w:rPr>
          <w:i/>
          <w:iCs/>
        </w:rPr>
        <w:t xml:space="preserve">Woebot</w:t>
      </w:r>
      <w:r>
        <w:t xml:space="preserve"> </w:t>
      </w:r>
      <w:r>
        <w:t xml:space="preserve">e</w:t>
      </w:r>
      <w:r>
        <w:t xml:space="preserve"> </w:t>
      </w:r>
      <w:r>
        <w:rPr>
          <w:i/>
          <w:iCs/>
        </w:rPr>
        <w:t xml:space="preserve">Wysa</w:t>
      </w:r>
      <w:r>
        <w:t xml:space="preserve">, si possono menzionare</w:t>
      </w:r>
      <w:r>
        <w:t xml:space="preserve"> </w:t>
      </w:r>
      <w:r>
        <w:rPr>
          <w:i/>
          <w:iCs/>
        </w:rPr>
        <w:t xml:space="preserve">Tess</w:t>
      </w:r>
      <w:r>
        <w:t xml:space="preserve"> </w:t>
      </w:r>
      <w:r>
        <w:t xml:space="preserve">(X2AI) e</w:t>
      </w:r>
      <w:r>
        <w:t xml:space="preserve"> </w:t>
      </w:r>
      <w:r>
        <w:rPr>
          <w:i/>
          <w:iCs/>
        </w:rPr>
        <w:t xml:space="preserve">Youper</w:t>
      </w:r>
      <w:r>
        <w:t xml:space="preserve">. Questi sistemi sfruttano tecniche di</w:t>
      </w:r>
      <w:r>
        <w:t xml:space="preserve"> </w:t>
      </w:r>
      <w:r>
        <w:rPr>
          <w:i/>
          <w:iCs/>
        </w:rPr>
        <w:t xml:space="preserve">natural</w:t>
      </w:r>
      <w:r>
        <w:rPr>
          <w:i/>
          <w:iCs/>
        </w:rPr>
        <w:t xml:space="preserve"> </w:t>
      </w:r>
      <w:r>
        <w:rPr>
          <w:i/>
          <w:iCs/>
        </w:rPr>
        <w:t xml:space="preserve">language processing</w:t>
      </w:r>
      <w:r>
        <w:t xml:space="preserve"> </w:t>
      </w:r>
      <w:r>
        <w:t xml:space="preserve">per dialogare con l’utente, fornendo ascolto</w:t>
      </w:r>
      <w:r>
        <w:t xml:space="preserve"> </w:t>
      </w:r>
      <w:r>
        <w:t xml:space="preserve">empatico, educazione su gestione dello stress, esercizi di CBT,</w:t>
      </w:r>
      <w:r>
        <w:t xml:space="preserve"> </w:t>
      </w:r>
      <w:r>
        <w:t xml:space="preserve">mindfulness guidata, ecc. Alcuni sono già disponibili in italiano</w:t>
      </w:r>
      <w:r>
        <w:t xml:space="preserve"> </w:t>
      </w:r>
      <w:r>
        <w:t xml:space="preserve">(ad es. Wysa ha una versione in italiano) e potrebbero essere</w:t>
      </w:r>
      <w:r>
        <w:t xml:space="preserve"> </w:t>
      </w:r>
      <w:r>
        <w:t xml:space="preserve">distribuiti gratuitamente alla popolazione regionale tramite</w:t>
      </w:r>
      <w:r>
        <w:t xml:space="preserve"> </w:t>
      </w:r>
      <w:r>
        <w:t xml:space="preserve">convenzione. In Puglia, un chatbot potrebbe essere integrato</w:t>
      </w:r>
      <w:r>
        <w:t xml:space="preserve"> </w:t>
      </w:r>
      <w:r>
        <w:t xml:space="preserve">nell’iniziativa Psicologo di Base come canale di</w:t>
      </w:r>
      <w:r>
        <w:t xml:space="preserve"> </w:t>
      </w:r>
      <w:r>
        <w:rPr>
          <w:b/>
          <w:bCs/>
        </w:rPr>
        <w:t xml:space="preserve">frontline</w:t>
      </w:r>
      <w:r>
        <w:t xml:space="preserve">:</w:t>
      </w:r>
      <w:r>
        <w:t xml:space="preserve"> </w:t>
      </w:r>
      <w:r>
        <w:t xml:space="preserve">l’utente scarica l’app o interagisce via web, effettua uno screening</w:t>
      </w:r>
      <w:r>
        <w:t xml:space="preserve"> </w:t>
      </w:r>
      <w:r>
        <w:t xml:space="preserve">iniziale (es. il bot propone PHQ-9 e GAD-7), e in base all’esito il</w:t>
      </w:r>
      <w:r>
        <w:t xml:space="preserve"> </w:t>
      </w:r>
      <w:r>
        <w:t xml:space="preserve">chatbot stesso suggerisce risorse (es.</w:t>
      </w:r>
      <w:r>
        <w:t xml:space="preserve"> </w:t>
      </w:r>
      <w:r>
        <w:t xml:space="preserve">“</w:t>
      </w:r>
      <w:r>
        <w:t xml:space="preserve">ti propongo un modulo di</w:t>
      </w:r>
      <w:r>
        <w:t xml:space="preserve"> </w:t>
      </w:r>
      <w:r>
        <w:t xml:space="preserve">auto-aiuto per l’insonnia</w:t>
      </w:r>
      <w:r>
        <w:t xml:space="preserve">”</w:t>
      </w:r>
      <w:r>
        <w:t xml:space="preserve">) oppure lo indirizza a contattare lo</w:t>
      </w:r>
      <w:r>
        <w:t xml:space="preserve"> </w:t>
      </w:r>
      <w:r>
        <w:t xml:space="preserve">psicologo di base. Sul piano tecnico, l’implementazione può avvenire</w:t>
      </w:r>
      <w:r>
        <w:t xml:space="preserve"> </w:t>
      </w:r>
      <w:r>
        <w:t xml:space="preserve">tramite piattaforme</w:t>
      </w:r>
      <w:r>
        <w:t xml:space="preserve"> </w:t>
      </w:r>
      <w:r>
        <w:rPr>
          <w:i/>
          <w:iCs/>
        </w:rPr>
        <w:t xml:space="preserve">cloud</w:t>
      </w:r>
      <w:r>
        <w:t xml:space="preserve"> </w:t>
      </w:r>
      <w:r>
        <w:t xml:space="preserve">già esistenti (ad es. Microsoft Bot</w:t>
      </w:r>
      <w:r>
        <w:t xml:space="preserve"> </w:t>
      </w:r>
      <w:r>
        <w:t xml:space="preserve">Framework + LUIS per NLP, o soluzioni</w:t>
      </w:r>
      <w:r>
        <w:t xml:space="preserve"> </w:t>
      </w:r>
      <w:r>
        <w:rPr>
          <w:b/>
          <w:bCs/>
        </w:rPr>
        <w:t xml:space="preserve">open-source</w:t>
      </w:r>
      <w:r>
        <w:t xml:space="preserve"> </w:t>
      </w:r>
      <w:r>
        <w:t xml:space="preserve">come</w:t>
      </w:r>
      <w:r>
        <w:t xml:space="preserve"> </w:t>
      </w:r>
      <w:r>
        <w:rPr>
          <w:i/>
          <w:iCs/>
        </w:rPr>
        <w:t xml:space="preserve">Rasa</w:t>
      </w:r>
      <w:r>
        <w:t xml:space="preserve"> </w:t>
      </w:r>
      <w:r>
        <w:t xml:space="preserve">pre-addestrate su dialoghi clinici). Va sottolineato che molti</w:t>
      </w:r>
      <w:r>
        <w:t xml:space="preserve"> </w:t>
      </w:r>
      <w:r>
        <w:t xml:space="preserve">chatbot non sono dispositivi medici certificati; tuttavia,</w:t>
      </w:r>
      <w:r>
        <w:t xml:space="preserve"> </w:t>
      </w:r>
      <w:r>
        <w:rPr>
          <w:i/>
          <w:iCs/>
        </w:rPr>
        <w:t xml:space="preserve">Limbic</w:t>
      </w:r>
      <w:r>
        <w:t xml:space="preserve"> </w:t>
      </w:r>
      <w:r>
        <w:t xml:space="preserve">nel UK ha ottenuto marcatura UKCA Classe IIa (dispositivo medico)</w:t>
      </w:r>
      <w:r>
        <w:t xml:space="preserve"> </w:t>
      </w:r>
      <w:r>
        <w:t xml:space="preserve">come primo chatbot ad avere tale riconoscimento, a testimonianza</w:t>
      </w:r>
      <w:r>
        <w:t xml:space="preserve"> </w:t>
      </w:r>
      <w:r>
        <w:t xml:space="preserve">dell’attenzione posta a efficacia e sicurezza. Un’azione pratica</w:t>
      </w:r>
      <w:r>
        <w:t xml:space="preserve"> </w:t>
      </w:r>
      <w:r>
        <w:t xml:space="preserve">potrebbe essere pilotare per 6–12 mesi un chatbot in alcune ASL</w:t>
      </w:r>
      <w:r>
        <w:t xml:space="preserve"> </w:t>
      </w:r>
      <w:r>
        <w:t xml:space="preserve">pugliesi, valutarne l’uso (numero utenti, dialoghi, riduzione</w:t>
      </w:r>
      <w:r>
        <w:t xml:space="preserve"> </w:t>
      </w:r>
      <w:r>
        <w:t xml:space="preserve">sintomi auto-riferiti) e poi estenderlo se efficace. Considerando</w:t>
      </w:r>
      <w:r>
        <w:t xml:space="preserve"> </w:t>
      </w:r>
      <w:r>
        <w:t xml:space="preserve">l’elevata accessibilità smartphone anche tra i ceti meno abbienti,</w:t>
      </w:r>
      <w:r>
        <w:t xml:space="preserve"> </w:t>
      </w:r>
      <w:r>
        <w:t xml:space="preserve">un chatbot può ridurre il digital divide nell’accesso alla salute</w:t>
      </w:r>
      <w:r>
        <w:t xml:space="preserve"> </w:t>
      </w:r>
      <w:r>
        <w:t xml:space="preserve">mentale.</w:t>
      </w:r>
    </w:p>
    <w:p>
      <w:pPr>
        <w:numPr>
          <w:ilvl w:val="0"/>
          <w:numId w:val="1024"/>
        </w:numPr>
      </w:pPr>
      <w:r>
        <w:rPr>
          <w:b/>
          <w:bCs/>
        </w:rPr>
        <w:t xml:space="preserve">Algoritmi di NLP per analisi di testi clinici e colloquio:</w:t>
      </w:r>
      <w:r>
        <w:t xml:space="preserve"> </w:t>
      </w:r>
      <w:r>
        <w:t xml:space="preserve">L’uso</w:t>
      </w:r>
      <w:r>
        <w:t xml:space="preserve"> </w:t>
      </w:r>
      <w:r>
        <w:t xml:space="preserve">del</w:t>
      </w:r>
      <w:r>
        <w:t xml:space="preserve"> </w:t>
      </w:r>
      <w:r>
        <w:rPr>
          <w:i/>
          <w:iCs/>
        </w:rPr>
        <w:t xml:space="preserve">Natural Language Processing</w:t>
      </w:r>
      <w:r>
        <w:t xml:space="preserve"> </w:t>
      </w:r>
      <w:r>
        <w:t xml:space="preserve">non si limita ai chatbot.</w:t>
      </w:r>
      <w:r>
        <w:t xml:space="preserve"> </w:t>
      </w:r>
      <w:r>
        <w:t xml:space="preserve">Strumenti di NLP possono essere applicati ai</w:t>
      </w:r>
      <w:r>
        <w:t xml:space="preserve"> </w:t>
      </w:r>
      <w:r>
        <w:rPr>
          <w:b/>
          <w:bCs/>
        </w:rPr>
        <w:t xml:space="preserve">referti clinici e</w:t>
      </w:r>
      <w:r>
        <w:rPr>
          <w:b/>
          <w:bCs/>
        </w:rPr>
        <w:t xml:space="preserve"> </w:t>
      </w:r>
      <w:r>
        <w:rPr>
          <w:b/>
          <w:bCs/>
        </w:rPr>
        <w:t xml:space="preserve">alle note dei medici di famiglia</w:t>
      </w:r>
      <w:r>
        <w:t xml:space="preserve"> </w:t>
      </w:r>
      <w:r>
        <w:t xml:space="preserve">per estrarre informazioni utili.</w:t>
      </w:r>
      <w:r>
        <w:t xml:space="preserve"> </w:t>
      </w:r>
      <w:r>
        <w:t xml:space="preserve">Ad esempio, un MMG scrive</w:t>
      </w:r>
      <w:r>
        <w:t xml:space="preserve"> </w:t>
      </w:r>
      <w:r>
        <w:t xml:space="preserve">“</w:t>
      </w:r>
      <w:r>
        <w:t xml:space="preserve">paziente mostra ansia crescente,</w:t>
      </w:r>
      <w:r>
        <w:t xml:space="preserve"> </w:t>
      </w:r>
      <w:r>
        <w:t xml:space="preserve">insonnia, somatizzazioni</w:t>
      </w:r>
      <w:r>
        <w:t xml:space="preserve">”</w:t>
      </w:r>
      <w:r>
        <w:t xml:space="preserve">, un algoritmo NLP potrebbe codificare che</w:t>
      </w:r>
      <w:r>
        <w:t xml:space="preserve"> </w:t>
      </w:r>
      <w:r>
        <w:t xml:space="preserve">emergono sintomi ansiosi e segnalarlo come potenziale caso da</w:t>
      </w:r>
      <w:r>
        <w:t xml:space="preserve"> </w:t>
      </w:r>
      <w:r>
        <w:t xml:space="preserve">inviare allo psicologo di base. Anche il riconoscimento vocale con</w:t>
      </w:r>
      <w:r>
        <w:t xml:space="preserve"> </w:t>
      </w:r>
      <w:r>
        <w:t xml:space="preserve">IA può trascrivere e analizzare colloqui clinici (ovviamente con</w:t>
      </w:r>
      <w:r>
        <w:t xml:space="preserve"> </w:t>
      </w:r>
      <w:r>
        <w:t xml:space="preserve">consenso), aiutando a identificare segnali di depressione dal tono</w:t>
      </w:r>
      <w:r>
        <w:t xml:space="preserve"> </w:t>
      </w:r>
      <w:r>
        <w:t xml:space="preserve">di voce o dalle parole usate. Alcune start-up offrono strumenti di</w:t>
      </w:r>
      <w:r>
        <w:t xml:space="preserve"> </w:t>
      </w:r>
      <w:r>
        <w:rPr>
          <w:i/>
          <w:iCs/>
        </w:rPr>
        <w:t xml:space="preserve">speech analysis</w:t>
      </w:r>
      <w:r>
        <w:t xml:space="preserve"> </w:t>
      </w:r>
      <w:r>
        <w:t xml:space="preserve">che, integrati in teleconsulto, avvisano il</w:t>
      </w:r>
      <w:r>
        <w:t xml:space="preserve"> </w:t>
      </w:r>
      <w:r>
        <w:t xml:space="preserve">terapeuta se la prosodia del paziente denota rischio (p.es. voce</w:t>
      </w:r>
      <w:r>
        <w:t xml:space="preserve"> </w:t>
      </w:r>
      <w:r>
        <w:t xml:space="preserve">monotona e rallentata, associata a depressione). In Puglia, si</w:t>
      </w:r>
      <w:r>
        <w:t xml:space="preserve"> </w:t>
      </w:r>
      <w:r>
        <w:t xml:space="preserve">potrebbe sperimentare l’analisi automatica (garantendo privacy) dei</w:t>
      </w:r>
      <w:r>
        <w:t xml:space="preserve"> </w:t>
      </w:r>
      <w:r>
        <w:t xml:space="preserve">verbali dei Dipartimenti di Salute Mentale: un NLP addestrato su</w:t>
      </w:r>
      <w:r>
        <w:t xml:space="preserve"> </w:t>
      </w:r>
      <w:r>
        <w:t xml:space="preserve">linguaggio psichiatrico italiano potrebbe quantificare bisogni</w:t>
      </w:r>
      <w:r>
        <w:t xml:space="preserve"> </w:t>
      </w:r>
      <w:r>
        <w:t xml:space="preserve">insoddisfatti (es. menzione di</w:t>
      </w:r>
      <w:r>
        <w:t xml:space="preserve"> </w:t>
      </w:r>
      <w:r>
        <w:t xml:space="preserve">“</w:t>
      </w:r>
      <w:r>
        <w:t xml:space="preserve">lista d’attesa lunga</w:t>
      </w:r>
      <w:r>
        <w:t xml:space="preserve">”</w:t>
      </w:r>
      <w:r>
        <w:t xml:space="preserve"> </w:t>
      </w:r>
      <w:r>
        <w:t xml:space="preserve">nei report),</w:t>
      </w:r>
      <w:r>
        <w:t xml:space="preserve"> </w:t>
      </w:r>
      <w:r>
        <w:t xml:space="preserve">oppure rilevare cambiamenti nelle caratteristiche della domanda (ad</w:t>
      </w:r>
      <w:r>
        <w:t xml:space="preserve"> </w:t>
      </w:r>
      <w:r>
        <w:t xml:space="preserve">es. aumento di riferimenti a</w:t>
      </w:r>
      <w:r>
        <w:t xml:space="preserve"> </w:t>
      </w:r>
      <w:r>
        <w:t xml:space="preserve">“</w:t>
      </w:r>
      <w:r>
        <w:t xml:space="preserve">ideazione suicidaria</w:t>
      </w:r>
      <w:r>
        <w:t xml:space="preserve">”</w:t>
      </w:r>
      <w:r>
        <w:t xml:space="preserve"> </w:t>
      </w:r>
      <w:r>
        <w:t xml:space="preserve">nei referti in</w:t>
      </w:r>
      <w:r>
        <w:t xml:space="preserve"> </w:t>
      </w:r>
      <w:r>
        <w:t xml:space="preserve">un periodo, segnale di allarme populazionale). Questi insight</w:t>
      </w:r>
      <w:r>
        <w:t xml:space="preserve"> </w:t>
      </w:r>
      <w:r>
        <w:t xml:space="preserve">data-driven aiuterebbero la programmazione sanitaria in tempo quasi</w:t>
      </w:r>
      <w:r>
        <w:t xml:space="preserve"> </w:t>
      </w:r>
      <w:r>
        <w:t xml:space="preserve">reale.</w:t>
      </w:r>
    </w:p>
    <w:p>
      <w:pPr>
        <w:numPr>
          <w:ilvl w:val="0"/>
          <w:numId w:val="1024"/>
        </w:numPr>
      </w:pPr>
      <w:r>
        <w:rPr>
          <w:b/>
          <w:bCs/>
        </w:rPr>
        <w:t xml:space="preserve">Algoritmi predittivi e sistemi esperti per MMG:</w:t>
      </w:r>
      <w:r>
        <w:t xml:space="preserve"> </w:t>
      </w:r>
      <w:r>
        <w:t xml:space="preserve">Già oggi alcuni</w:t>
      </w:r>
      <w:r>
        <w:t xml:space="preserve"> </w:t>
      </w:r>
      <w:r>
        <w:t xml:space="preserve">medici di base all’estero usano strumenti AI-assisted. Un’indagine</w:t>
      </w:r>
      <w:r>
        <w:t xml:space="preserve"> </w:t>
      </w:r>
      <w:r>
        <w:t xml:space="preserve">2025 su MMG inglesi ha rilevato che circa il 20% utilizza IA</w:t>
      </w:r>
      <w:r>
        <w:t xml:space="preserve"> </w:t>
      </w:r>
      <w:r>
        <w:t xml:space="preserve">generativa per aiuto nella documentazione clinica e nel suggerire</w:t>
      </w:r>
      <w:r>
        <w:t xml:space="preserve"> </w:t>
      </w:r>
      <w:r>
        <w:t xml:space="preserve">diagnosi differenziali. Ciò indica che i professionisti iniziano a</w:t>
      </w:r>
      <w:r>
        <w:t xml:space="preserve"> </w:t>
      </w:r>
      <w:r>
        <w:t xml:space="preserve">fidarsi del supporto algoritmico. Sistemi esperti specifici</w:t>
      </w:r>
      <w:r>
        <w:t xml:space="preserve"> </w:t>
      </w:r>
      <w:r>
        <w:t xml:space="preserve">potrebbero essere implementati nelle</w:t>
      </w:r>
      <w:r>
        <w:t xml:space="preserve"> </w:t>
      </w:r>
      <w:r>
        <w:rPr>
          <w:i/>
          <w:iCs/>
        </w:rPr>
        <w:t xml:space="preserve">software</w:t>
      </w:r>
      <w:r>
        <w:t xml:space="preserve"> </w:t>
      </w:r>
      <w:r>
        <w:t xml:space="preserve">di cartella clinica</w:t>
      </w:r>
      <w:r>
        <w:t xml:space="preserve"> </w:t>
      </w:r>
      <w:r>
        <w:t xml:space="preserve">in dotazione ai medici pugliesi: ad esempio, un modulo IA che</w:t>
      </w:r>
      <w:r>
        <w:t xml:space="preserve"> </w:t>
      </w:r>
      <w:r>
        <w:t xml:space="preserve">esamina automaticamente la cartella di ogni paziente prima della</w:t>
      </w:r>
      <w:r>
        <w:t xml:space="preserve"> </w:t>
      </w:r>
      <w:r>
        <w:t xml:space="preserve">visita e suggerisce</w:t>
      </w:r>
      <w:r>
        <w:t xml:space="preserve"> </w:t>
      </w:r>
      <w:r>
        <w:t xml:space="preserve">“</w:t>
      </w:r>
      <w:r>
        <w:t xml:space="preserve">Dato che questo paziente 55enne con diabete ha</w:t>
      </w:r>
      <w:r>
        <w:t xml:space="preserve"> </w:t>
      </w:r>
      <w:r>
        <w:t xml:space="preserve">riferito insonnia e dolore cronico negli ultimi accessi, sarebbe</w:t>
      </w:r>
      <w:r>
        <w:t xml:space="preserve"> </w:t>
      </w:r>
      <w:r>
        <w:t xml:space="preserve">opportuno valutare umore e ansia</w:t>
      </w:r>
      <w:r>
        <w:t xml:space="preserve">”</w:t>
      </w:r>
      <w:r>
        <w:t xml:space="preserve">. Tali</w:t>
      </w:r>
      <w:r>
        <w:t xml:space="preserve"> </w:t>
      </w:r>
      <w:r>
        <w:rPr>
          <w:i/>
          <w:iCs/>
        </w:rPr>
        <w:t xml:space="preserve">alert</w:t>
      </w:r>
      <w:r>
        <w:t xml:space="preserve"> </w:t>
      </w:r>
      <w:r>
        <w:t xml:space="preserve">intelligenti</w:t>
      </w:r>
      <w:r>
        <w:t xml:space="preserve"> </w:t>
      </w:r>
      <w:r>
        <w:t xml:space="preserve">integrati riducono il rischio che i sintomi psicologici passino</w:t>
      </w:r>
      <w:r>
        <w:t xml:space="preserve"> </w:t>
      </w:r>
      <w:r>
        <w:t xml:space="preserve">sotto traccia nelle cure primarie. Esistono aziende (p.es. Babylon</w:t>
      </w:r>
      <w:r>
        <w:t xml:space="preserve"> </w:t>
      </w:r>
      <w:r>
        <w:t xml:space="preserve">Health, Ada) che offrono API di sintomi checker e triage che</w:t>
      </w:r>
      <w:r>
        <w:t xml:space="preserve"> </w:t>
      </w:r>
      <w:r>
        <w:t xml:space="preserve">potrebbero essere configurate per lavorare in tandem con i dati</w:t>
      </w:r>
      <w:r>
        <w:t xml:space="preserve"> </w:t>
      </w:r>
      <w:r>
        <w:t xml:space="preserve">regionali. Va considerato l’adattamento alla lingua e alla</w:t>
      </w:r>
      <w:r>
        <w:t xml:space="preserve"> </w:t>
      </w:r>
      <w:r>
        <w:t xml:space="preserve">popolazione locale (training su dataset italiani): la Regione</w:t>
      </w:r>
      <w:r>
        <w:t xml:space="preserve"> </w:t>
      </w:r>
      <w:r>
        <w:t xml:space="preserve">potrebbe collaborare con istituti di ricerca per addestrare modelli</w:t>
      </w:r>
      <w:r>
        <w:t xml:space="preserve"> </w:t>
      </w:r>
      <w:r>
        <w:t xml:space="preserve">di</w:t>
      </w:r>
      <w:r>
        <w:t xml:space="preserve"> </w:t>
      </w:r>
      <w:r>
        <w:rPr>
          <w:i/>
          <w:iCs/>
        </w:rPr>
        <w:t xml:space="preserve">machine learning</w:t>
      </w:r>
      <w:r>
        <w:t xml:space="preserve"> </w:t>
      </w:r>
      <w:r>
        <w:t xml:space="preserve">sui dati storici pugliesi (es. per predire</w:t>
      </w:r>
      <w:r>
        <w:t xml:space="preserve"> </w:t>
      </w:r>
      <w:r>
        <w:t xml:space="preserve">ricoveri psichiatrici, consumo di farmaci, ecc.), generando</w:t>
      </w:r>
      <w:r>
        <w:t xml:space="preserve"> </w:t>
      </w:r>
      <w:r>
        <w:t xml:space="preserve">strumenti</w:t>
      </w:r>
      <w:r>
        <w:t xml:space="preserve"> </w:t>
      </w:r>
      <w:r>
        <w:t xml:space="preserve">“</w:t>
      </w:r>
      <w:r>
        <w:t xml:space="preserve">tarati</w:t>
      </w:r>
      <w:r>
        <w:t xml:space="preserve">”</w:t>
      </w:r>
      <w:r>
        <w:t xml:space="preserve"> </w:t>
      </w:r>
      <w:r>
        <w:t xml:space="preserve">sul contesto. Un sistema esperto potrebbe anche</w:t>
      </w:r>
      <w:r>
        <w:t xml:space="preserve"> </w:t>
      </w:r>
      <w:r>
        <w:t xml:space="preserve">aiutare i clinici nel</w:t>
      </w:r>
      <w:r>
        <w:t xml:space="preserve"> </w:t>
      </w:r>
      <w:r>
        <w:rPr>
          <w:b/>
          <w:bCs/>
        </w:rPr>
        <w:t xml:space="preserve">decision-making</w:t>
      </w:r>
      <w:r>
        <w:t xml:space="preserve"> </w:t>
      </w:r>
      <w:r>
        <w:t xml:space="preserve">quotidiano: ad esempio, un</w:t>
      </w:r>
      <w:r>
        <w:t xml:space="preserve"> </w:t>
      </w:r>
      <w:r>
        <w:t xml:space="preserve">algoritmo che, data la scheda di un paziente, offre al MMG un elenco</w:t>
      </w:r>
      <w:r>
        <w:t xml:space="preserve"> </w:t>
      </w:r>
      <w:r>
        <w:t xml:space="preserve">di possibili interventi</w:t>
      </w:r>
      <w:r>
        <w:t xml:space="preserve"> </w:t>
      </w:r>
      <w:r>
        <w:t xml:space="preserve">“</w:t>
      </w:r>
      <w:r>
        <w:t xml:space="preserve">evidence-based</w:t>
      </w:r>
      <w:r>
        <w:t xml:space="preserve">”</w:t>
      </w:r>
      <w:r>
        <w:t xml:space="preserve"> </w:t>
      </w:r>
      <w:r>
        <w:t xml:space="preserve">(come un motore di</w:t>
      </w:r>
      <w:r>
        <w:t xml:space="preserve"> </w:t>
      </w:r>
      <w:r>
        <w:t xml:space="preserve">raccomandazioni cliniche). Questo sarebbe utile specialmente per</w:t>
      </w:r>
      <w:r>
        <w:t xml:space="preserve"> </w:t>
      </w:r>
      <w:r>
        <w:t xml:space="preserve">medici non specialisti in salute mentale: l’IA fungerebbe da</w:t>
      </w:r>
      <w:r>
        <w:t xml:space="preserve"> </w:t>
      </w:r>
      <w:r>
        <w:t xml:space="preserve">promemoria delle linee guida (es.</w:t>
      </w:r>
      <w:r>
        <w:t xml:space="preserve"> </w:t>
      </w:r>
      <w:r>
        <w:rPr>
          <w:i/>
          <w:iCs/>
        </w:rPr>
        <w:t xml:space="preserve">“</w:t>
      </w:r>
      <w:r>
        <w:rPr>
          <w:i/>
          <w:iCs/>
        </w:rPr>
        <w:t xml:space="preserve">paziente con attacchi di panico</w:t>
      </w:r>
      <w:r>
        <w:rPr>
          <w:i/>
          <w:iCs/>
        </w:rPr>
        <w:t xml:space="preserve"> </w:t>
      </w:r>
      <w:r>
        <w:rPr>
          <w:i/>
          <w:iCs/>
        </w:rPr>
        <w:t xml:space="preserve">frequenti: raccomandato considerare beta-bloccante o invio a</w:t>
      </w:r>
      <w:r>
        <w:rPr>
          <w:i/>
          <w:iCs/>
        </w:rPr>
        <w:t xml:space="preserve"> </w:t>
      </w:r>
      <w:r>
        <w:rPr>
          <w:i/>
          <w:iCs/>
        </w:rPr>
        <w:t xml:space="preserve">psicoterapia breve</w:t>
      </w:r>
      <w:r>
        <w:rPr>
          <w:i/>
          <w:iCs/>
        </w:rPr>
        <w:t xml:space="preserve">”</w:t>
      </w:r>
      <w:r>
        <w:t xml:space="preserve">). Tali sistemi, se ben implementati, possono</w:t>
      </w:r>
      <w:r>
        <w:t xml:space="preserve"> </w:t>
      </w:r>
      <w:r>
        <w:t xml:space="preserve">uniformare la qualità della gestione sul territorio.</w:t>
      </w:r>
    </w:p>
    <w:p>
      <w:pPr>
        <w:numPr>
          <w:ilvl w:val="0"/>
          <w:numId w:val="1024"/>
        </w:numPr>
      </w:pPr>
      <w:r>
        <w:rPr>
          <w:b/>
          <w:bCs/>
        </w:rPr>
        <w:t xml:space="preserve">Piattaforme di telemonitoraggio intelligente:</w:t>
      </w:r>
      <w:r>
        <w:t xml:space="preserve"> </w:t>
      </w:r>
      <w:r>
        <w:t xml:space="preserve">Disponibili sul</w:t>
      </w:r>
      <w:r>
        <w:t xml:space="preserve"> </w:t>
      </w:r>
      <w:r>
        <w:t xml:space="preserve">mercato vi sono anche soluzioni di telemedicina avanzata. Per</w:t>
      </w:r>
      <w:r>
        <w:t xml:space="preserve"> </w:t>
      </w:r>
      <w:r>
        <w:t xml:space="preserve">esempio, nel campo delle demenze è stato sviluppato</w:t>
      </w:r>
      <w:r>
        <w:t xml:space="preserve"> </w:t>
      </w:r>
      <w:r>
        <w:rPr>
          <w:i/>
          <w:iCs/>
        </w:rPr>
        <w:t xml:space="preserve">Alzheimer’s</w:t>
      </w:r>
      <w:r>
        <w:rPr>
          <w:i/>
          <w:iCs/>
        </w:rPr>
        <w:t xml:space="preserve"> </w:t>
      </w:r>
      <w:r>
        <w:rPr>
          <w:i/>
          <w:iCs/>
        </w:rPr>
        <w:t xml:space="preserve">Disease Prediction Service</w:t>
      </w:r>
      <w:r>
        <w:t xml:space="preserve">, un sistema che tramite IA analizza test</w:t>
      </w:r>
      <w:r>
        <w:t xml:space="preserve"> </w:t>
      </w:r>
      <w:r>
        <w:t xml:space="preserve">cognitivi brevi fatti via tablet e prevede la probabilità di</w:t>
      </w:r>
      <w:r>
        <w:t xml:space="preserve"> </w:t>
      </w:r>
      <w:r>
        <w:t xml:space="preserve">progressione verso Alzheimer, aiutando a stratificare gli anziani</w:t>
      </w:r>
      <w:r>
        <w:t xml:space="preserve"> </w:t>
      </w:r>
      <w:r>
        <w:t xml:space="preserve">tra chi necessita di approfondimenti neurologici e chi no.</w:t>
      </w:r>
      <w:r>
        <w:t xml:space="preserve"> </w:t>
      </w:r>
      <w:r>
        <w:t xml:space="preserve">Analogamente, per pazienti con patologie croniche comorbili</w:t>
      </w:r>
      <w:r>
        <w:t xml:space="preserve"> </w:t>
      </w:r>
      <w:r>
        <w:t xml:space="preserve">(diabete, scompenso cardiaco) che influiscono sulla salute mentale,</w:t>
      </w:r>
      <w:r>
        <w:t xml:space="preserve"> </w:t>
      </w:r>
      <w:r>
        <w:t xml:space="preserve">esistono piattaforme integrate (come alcuni servizi di</w:t>
      </w:r>
      <w:r>
        <w:t xml:space="preserve"> </w:t>
      </w:r>
      <w:r>
        <w:t xml:space="preserve">telemonitoraggio diabetologico con modulo di valutazione depressione</w:t>
      </w:r>
      <w:r>
        <w:t xml:space="preserve"> </w:t>
      </w:r>
      <w:r>
        <w:t xml:space="preserve">incorporato). In Puglia si potrebbe implementare un servizio di</w:t>
      </w:r>
      <w:r>
        <w:t xml:space="preserve"> </w:t>
      </w:r>
      <w:r>
        <w:rPr>
          <w:b/>
          <w:bCs/>
        </w:rPr>
        <w:t xml:space="preserve">tele-psichiatria potenziato da IA</w:t>
      </w:r>
      <w:r>
        <w:t xml:space="preserve">: al paziente dimesso da SPDC o</w:t>
      </w:r>
      <w:r>
        <w:t xml:space="preserve"> </w:t>
      </w:r>
      <w:r>
        <w:t xml:space="preserve">in carico al CSM viene fornita una app di monitoraggio umore con</w:t>
      </w:r>
      <w:r>
        <w:t xml:space="preserve"> </w:t>
      </w:r>
      <w:r>
        <w:t xml:space="preserve">diario elettronico e sensori; l’IA analizza questi dati e se nota</w:t>
      </w:r>
      <w:r>
        <w:t xml:space="preserve"> </w:t>
      </w:r>
      <w:r>
        <w:t xml:space="preserve">pattern anomali (p.es. il paziente schizofrenico riduce gradualmente</w:t>
      </w:r>
      <w:r>
        <w:t xml:space="preserve"> </w:t>
      </w:r>
      <w:r>
        <w:t xml:space="preserve">l’uso dello smartphone e salta i rilievi quotidiani – possibile</w:t>
      </w:r>
      <w:r>
        <w:t xml:space="preserve"> </w:t>
      </w:r>
      <w:r>
        <w:t xml:space="preserve">segnale prodromico di peggioramento) invia un alert all’équipe</w:t>
      </w:r>
      <w:r>
        <w:t xml:space="preserve"> </w:t>
      </w:r>
      <w:r>
        <w:t xml:space="preserve">territoriale. Alcune app, come</w:t>
      </w:r>
      <w:r>
        <w:t xml:space="preserve"> </w:t>
      </w:r>
      <w:r>
        <w:rPr>
          <w:i/>
          <w:iCs/>
        </w:rPr>
        <w:t xml:space="preserve">Moodfit</w:t>
      </w:r>
      <w:r>
        <w:t xml:space="preserve"> </w:t>
      </w:r>
      <w:r>
        <w:t xml:space="preserve">o</w:t>
      </w:r>
      <w:r>
        <w:t xml:space="preserve"> </w:t>
      </w:r>
      <w:r>
        <w:rPr>
          <w:i/>
          <w:iCs/>
        </w:rPr>
        <w:t xml:space="preserve">eMoods</w:t>
      </w:r>
      <w:r>
        <w:t xml:space="preserve">, già usate per</w:t>
      </w:r>
      <w:r>
        <w:t xml:space="preserve"> </w:t>
      </w:r>
      <w:r>
        <w:t xml:space="preserve">disturbo bipolare, integrano modelli predittivi di ricaduta</w:t>
      </w:r>
      <w:r>
        <w:t xml:space="preserve"> </w:t>
      </w:r>
      <w:r>
        <w:t xml:space="preserve">(ancorché basilari) e potrebbero essere adottate su larga scala.</w:t>
      </w:r>
      <w:r>
        <w:t xml:space="preserve"> </w:t>
      </w:r>
      <w:r>
        <w:t xml:space="preserve">Strumenti di questo tipo alleviano il</w:t>
      </w:r>
      <w:r>
        <w:t xml:space="preserve"> </w:t>
      </w:r>
      <w:r>
        <w:rPr>
          <w:b/>
          <w:bCs/>
        </w:rPr>
        <w:t xml:space="preserve">carico assistenziale</w:t>
      </w:r>
      <w:r>
        <w:t xml:space="preserve"> </w:t>
      </w:r>
      <w:r>
        <w:t xml:space="preserve">sugli</w:t>
      </w:r>
      <w:r>
        <w:t xml:space="preserve"> </w:t>
      </w:r>
      <w:r>
        <w:t xml:space="preserve">operatori monitorando automaticamente molti pazienti</w:t>
      </w:r>
      <w:r>
        <w:t xml:space="preserve"> </w:t>
      </w:r>
      <w:r>
        <w:t xml:space="preserve">contemporaneamente e segnalando solo quelli che necessitano</w:t>
      </w:r>
      <w:r>
        <w:t xml:space="preserve"> </w:t>
      </w:r>
      <w:r>
        <w:t xml:space="preserve">attenzione, ottimizzando il tempo degli infermieri e degli</w:t>
      </w:r>
      <w:r>
        <w:t xml:space="preserve"> </w:t>
      </w:r>
      <w:r>
        <w:t xml:space="preserve">psichiatri.</w:t>
      </w:r>
    </w:p>
    <w:p>
      <w:pPr>
        <w:numPr>
          <w:ilvl w:val="0"/>
          <w:numId w:val="1024"/>
        </w:numPr>
      </w:pPr>
      <w:r>
        <w:rPr>
          <w:b/>
          <w:bCs/>
        </w:rPr>
        <w:t xml:space="preserve">Dispositivi robotici e ausili IA per popolazioni speciali:</w:t>
      </w:r>
      <w:r>
        <w:t xml:space="preserve"> </w:t>
      </w:r>
      <w:r>
        <w:t xml:space="preserve">Nel</w:t>
      </w:r>
      <w:r>
        <w:t xml:space="preserve"> </w:t>
      </w:r>
      <w:r>
        <w:t xml:space="preserve">campo della disabilità e di specifiche fasce d’età, l’IA offre</w:t>
      </w:r>
      <w:r>
        <w:t xml:space="preserve"> </w:t>
      </w:r>
      <w:r>
        <w:t xml:space="preserve">strumenti tangibili. Ad esempio, per gli anziani fragili soli a</w:t>
      </w:r>
      <w:r>
        <w:t xml:space="preserve"> </w:t>
      </w:r>
      <w:r>
        <w:t xml:space="preserve">domicilio, esistono robot da compagnia (come</w:t>
      </w:r>
      <w:r>
        <w:t xml:space="preserve"> </w:t>
      </w:r>
      <w:r>
        <w:rPr>
          <w:i/>
          <w:iCs/>
        </w:rPr>
        <w:t xml:space="preserve">PARO</w:t>
      </w:r>
      <w:r>
        <w:t xml:space="preserve">,</w:t>
      </w:r>
      <w:r>
        <w:t xml:space="preserve"> </w:t>
      </w:r>
      <w:r>
        <w:rPr>
          <w:i/>
          <w:iCs/>
        </w:rPr>
        <w:t xml:space="preserve">NAO</w:t>
      </w:r>
      <w:r>
        <w:t xml:space="preserve"> </w:t>
      </w:r>
      <w:r>
        <w:t xml:space="preserve">o</w:t>
      </w:r>
      <w:r>
        <w:t xml:space="preserve"> </w:t>
      </w:r>
      <w:r>
        <w:rPr>
          <w:i/>
          <w:iCs/>
        </w:rPr>
        <w:t xml:space="preserve">Pepper</w:t>
      </w:r>
      <w:r>
        <w:t xml:space="preserve">) che grazie ad algoritmi di visione e dialogo possono</w:t>
      </w:r>
      <w:r>
        <w:t xml:space="preserve"> </w:t>
      </w:r>
      <w:r>
        <w:t xml:space="preserve">interagire con l’utente fornendo stimoli cognitivi, ricordando la</w:t>
      </w:r>
      <w:r>
        <w:t xml:space="preserve"> </w:t>
      </w:r>
      <w:r>
        <w:t xml:space="preserve">terapia e facendo compagnia. Studi in case di riposo hanno</w:t>
      </w:r>
      <w:r>
        <w:t xml:space="preserve"> </w:t>
      </w:r>
      <w:r>
        <w:t xml:space="preserve">evidenziato che l’uso regolare di un robottino sociale riduce i</w:t>
      </w:r>
      <w:r>
        <w:t xml:space="preserve"> </w:t>
      </w:r>
      <w:r>
        <w:t xml:space="preserve">sintomi depressivi e l’apatia negli anziani, migliorando il loro</w:t>
      </w:r>
      <w:r>
        <w:t xml:space="preserve"> </w:t>
      </w:r>
      <w:r>
        <w:t xml:space="preserve">umore e senso di sicurezza (la robotica allevia parzialmente il</w:t>
      </w:r>
      <w:r>
        <w:t xml:space="preserve"> </w:t>
      </w:r>
      <w:r>
        <w:t xml:space="preserve">senso di solitudine). In Puglia, si potrebbe pensare di dotare</w:t>
      </w:r>
      <w:r>
        <w:t xml:space="preserve"> </w:t>
      </w:r>
      <w:r>
        <w:t xml:space="preserve">alcuni centri diurni di robotica assistiva per attività di gruppo o</w:t>
      </w:r>
      <w:r>
        <w:t xml:space="preserve"> </w:t>
      </w:r>
      <w:r>
        <w:t xml:space="preserve">di fornire a domicilio dispositivi semplici (es. altoparlanti</w:t>
      </w:r>
      <w:r>
        <w:t xml:space="preserve"> </w:t>
      </w:r>
      <w:r>
        <w:t xml:space="preserve">intelligenti come Amazon Echo con skill per anziani) che utilizzano</w:t>
      </w:r>
      <w:r>
        <w:t xml:space="preserve"> </w:t>
      </w:r>
      <w:r>
        <w:t xml:space="preserve">IA conversazionale per coinvolgere l’utente in esercizi di memoria o</w:t>
      </w:r>
      <w:r>
        <w:t xml:space="preserve"> </w:t>
      </w:r>
      <w:r>
        <w:t xml:space="preserve">per allertare i familiari in caso di risposte anomale (se l’anziano</w:t>
      </w:r>
      <w:r>
        <w:t xml:space="preserve"> </w:t>
      </w:r>
      <w:r>
        <w:t xml:space="preserve">riferisce di sentirsi triste ogni giorno, il sistema potrebbe</w:t>
      </w:r>
      <w:r>
        <w:t xml:space="preserve"> </w:t>
      </w:r>
      <w:r>
        <w:t xml:space="preserve">notificare un caregiver). Per gli adolescenti, gli strumenti IA più</w:t>
      </w:r>
      <w:r>
        <w:t xml:space="preserve"> </w:t>
      </w:r>
      <w:r>
        <w:t xml:space="preserve">promettenti sono quelli integrati nei loro ambienti digitali: ad</w:t>
      </w:r>
      <w:r>
        <w:t xml:space="preserve"> </w:t>
      </w:r>
      <w:r>
        <w:t xml:space="preserve">esempio sistemi di</w:t>
      </w:r>
      <w:r>
        <w:t xml:space="preserve"> </w:t>
      </w:r>
      <w:r>
        <w:rPr>
          <w:b/>
          <w:bCs/>
        </w:rPr>
        <w:t xml:space="preserve">tutela online</w:t>
      </w:r>
      <w:r>
        <w:t xml:space="preserve"> </w:t>
      </w:r>
      <w:r>
        <w:t xml:space="preserve">che analizzano in chat o social</w:t>
      </w:r>
      <w:r>
        <w:t xml:space="preserve"> </w:t>
      </w:r>
      <w:r>
        <w:t xml:space="preserve">media la comparsa di fenomeni di cyberbullismo o</w:t>
      </w:r>
      <w:r>
        <w:t xml:space="preserve"> </w:t>
      </w:r>
      <w:r>
        <w:rPr>
          <w:i/>
          <w:iCs/>
        </w:rPr>
        <w:t xml:space="preserve">hate speech</w:t>
      </w:r>
      <w:r>
        <w:t xml:space="preserve"> </w:t>
      </w:r>
      <w:r>
        <w:t xml:space="preserve">rivolto a ragazzi e inviano alert ai moderatori, prevenendo stress</w:t>
      </w:r>
      <w:r>
        <w:t xml:space="preserve"> </w:t>
      </w:r>
      <w:r>
        <w:t xml:space="preserve">protratti; oppure</w:t>
      </w:r>
      <w:r>
        <w:t xml:space="preserve"> </w:t>
      </w:r>
      <w:r>
        <w:rPr>
          <w:i/>
          <w:iCs/>
        </w:rPr>
        <w:t xml:space="preserve">digital coach</w:t>
      </w:r>
      <w:r>
        <w:t xml:space="preserve"> </w:t>
      </w:r>
      <w:r>
        <w:t xml:space="preserve">sotto forma di chatbot anonimi su</w:t>
      </w:r>
      <w:r>
        <w:t xml:space="preserve"> </w:t>
      </w:r>
      <w:r>
        <w:t xml:space="preserve">Telegram/WhatsApp che rispondono a domande delicate (su sessualità,</w:t>
      </w:r>
      <w:r>
        <w:t xml:space="preserve"> </w:t>
      </w:r>
      <w:r>
        <w:t xml:space="preserve">identità, autolesionismo) fornendo informazioni corrette e consigli</w:t>
      </w:r>
      <w:r>
        <w:t xml:space="preserve"> </w:t>
      </w:r>
      <w:r>
        <w:t xml:space="preserve">su come chiedere aiuto. Tali chatbot, già sperimentati da alcune ONG</w:t>
      </w:r>
      <w:r>
        <w:t xml:space="preserve"> </w:t>
      </w:r>
      <w:r>
        <w:t xml:space="preserve">internazionali, sfruttano NLP per comprendere il linguaggio</w:t>
      </w:r>
      <w:r>
        <w:t xml:space="preserve"> </w:t>
      </w:r>
      <w:r>
        <w:t xml:space="preserve">giovanile e potrebbero essere adottati dalle ASL (p.es. un</w:t>
      </w:r>
      <w:r>
        <w:t xml:space="preserve"> </w:t>
      </w:r>
      <w:r>
        <w:rPr>
          <w:i/>
          <w:iCs/>
        </w:rPr>
        <w:t xml:space="preserve">chatbot</w:t>
      </w:r>
      <w:r>
        <w:rPr>
          <w:i/>
          <w:iCs/>
        </w:rPr>
        <w:t xml:space="preserve"> </w:t>
      </w:r>
      <w:r>
        <w:rPr>
          <w:i/>
          <w:iCs/>
        </w:rPr>
        <w:t xml:space="preserve">giovani</w:t>
      </w:r>
      <w:r>
        <w:t xml:space="preserve"> </w:t>
      </w:r>
      <w:r>
        <w:t xml:space="preserve">collegato ai consultori). In ambito disabilità comunicative</w:t>
      </w:r>
      <w:r>
        <w:t xml:space="preserve"> </w:t>
      </w:r>
      <w:r>
        <w:t xml:space="preserve">(es. persone con paralisi o spettro autistico non verbale), l’IA ha</w:t>
      </w:r>
      <w:r>
        <w:t xml:space="preserve"> </w:t>
      </w:r>
      <w:r>
        <w:t xml:space="preserve">dato vita a sistemi di</w:t>
      </w:r>
      <w:r>
        <w:t xml:space="preserve"> </w:t>
      </w:r>
      <w:r>
        <w:rPr>
          <w:b/>
          <w:bCs/>
        </w:rPr>
        <w:t xml:space="preserve">comunicazione aumentativa</w:t>
      </w:r>
      <w:r>
        <w:t xml:space="preserve">: software che</w:t>
      </w:r>
      <w:r>
        <w:t xml:space="preserve"> </w:t>
      </w:r>
      <w:r>
        <w:t xml:space="preserve">tramite visione artificiale e predizione testuale traducono gesti o</w:t>
      </w:r>
      <w:r>
        <w:t xml:space="preserve"> </w:t>
      </w:r>
      <w:r>
        <w:t xml:space="preserve">simboli selezionati dall’utente in frasi complete vocalizzate.</w:t>
      </w:r>
      <w:r>
        <w:t xml:space="preserve"> </w:t>
      </w:r>
      <w:r>
        <w:t xml:space="preserve">Microsoft ad esempio offre tool AI per chi ha disabilità cognitive o</w:t>
      </w:r>
      <w:r>
        <w:t xml:space="preserve"> </w:t>
      </w:r>
      <w:r>
        <w:t xml:space="preserve">emotive, inclusi filtri adattivi che regolano la luminosità dello</w:t>
      </w:r>
      <w:r>
        <w:t xml:space="preserve"> </w:t>
      </w:r>
      <w:r>
        <w:t xml:space="preserve">schermo per utenti autistici, e suggerimenti contestuali per chi ha</w:t>
      </w:r>
      <w:r>
        <w:t xml:space="preserve"> </w:t>
      </w:r>
      <w:r>
        <w:t xml:space="preserve">disturbo post-traumatico. Fornire tali tecnologie assistive su base</w:t>
      </w:r>
      <w:r>
        <w:t xml:space="preserve"> </w:t>
      </w:r>
      <w:r>
        <w:t xml:space="preserve">regionale (magari co-finanziate con fondi per la disabilità)</w:t>
      </w:r>
      <w:r>
        <w:t xml:space="preserve"> </w:t>
      </w:r>
      <w:r>
        <w:t xml:space="preserve">migliorerebbe la qualità di vita e anche il benessere psicologico di</w:t>
      </w:r>
      <w:r>
        <w:t xml:space="preserve"> </w:t>
      </w:r>
      <w:r>
        <w:t xml:space="preserve">queste persone, riducendo isolamento e frustrazione.</w:t>
      </w:r>
    </w:p>
    <w:p>
      <w:pPr>
        <w:pStyle w:val="FirstParagraph"/>
      </w:pPr>
      <w:r>
        <w:t xml:space="preserve">Considerando il ventaglio di strumenti disponibili, è fondamentale</w:t>
      </w:r>
      <w:r>
        <w:t xml:space="preserve"> </w:t>
      </w:r>
      <w:r>
        <w:t xml:space="preserve">valutare quelli</w:t>
      </w:r>
      <w:r>
        <w:t xml:space="preserve"> </w:t>
      </w:r>
      <w:r>
        <w:rPr>
          <w:b/>
          <w:bCs/>
        </w:rPr>
        <w:t xml:space="preserve">più adatti e pronti</w:t>
      </w:r>
      <w:r>
        <w:t xml:space="preserve"> </w:t>
      </w:r>
      <w:r>
        <w:t xml:space="preserve">per la realtà pugliese.</w:t>
      </w:r>
      <w:r>
        <w:t xml:space="preserve"> </w:t>
      </w:r>
      <w:r>
        <w:t xml:space="preserve">Prioritariamente, i</w:t>
      </w:r>
      <w:r>
        <w:t xml:space="preserve"> </w:t>
      </w:r>
      <w:r>
        <w:rPr>
          <w:b/>
          <w:bCs/>
        </w:rPr>
        <w:t xml:space="preserve">chatbot NLP</w:t>
      </w:r>
      <w:r>
        <w:t xml:space="preserve"> </w:t>
      </w:r>
      <w:r>
        <w:t xml:space="preserve">e i sistemi di</w:t>
      </w:r>
      <w:r>
        <w:t xml:space="preserve"> </w:t>
      </w:r>
      <w:r>
        <w:rPr>
          <w:i/>
          <w:iCs/>
        </w:rPr>
        <w:t xml:space="preserve">telehealth</w:t>
      </w:r>
      <w:r>
        <w:t xml:space="preserve"> </w:t>
      </w:r>
      <w:r>
        <w:t xml:space="preserve">appaiono</w:t>
      </w:r>
      <w:r>
        <w:t xml:space="preserve"> </w:t>
      </w:r>
      <w:r>
        <w:t xml:space="preserve">a più alto impatto immediato: richiedono investimenti modesti (spesso</w:t>
      </w:r>
      <w:r>
        <w:t xml:space="preserve"> </w:t>
      </w:r>
      <w:r>
        <w:t xml:space="preserve">sono soluzioni SaaS o open-source), possono essere implementati</w:t>
      </w:r>
      <w:r>
        <w:t xml:space="preserve"> </w:t>
      </w:r>
      <w:r>
        <w:t xml:space="preserve">rapidamente e scalati sull’intera popolazione regionale. Ad esempio,</w:t>
      </w:r>
      <w:r>
        <w:t xml:space="preserve"> </w:t>
      </w:r>
      <w:r>
        <w:t xml:space="preserve">Wysa è già stato adottato in programmi NHS per supportare giovani in</w:t>
      </w:r>
      <w:r>
        <w:t xml:space="preserve"> </w:t>
      </w:r>
      <w:r>
        <w:t xml:space="preserve">attesa di terapia, ed è certificato clinicamente sicuro; la sua</w:t>
      </w:r>
      <w:r>
        <w:t xml:space="preserve"> </w:t>
      </w:r>
      <w:r>
        <w:t xml:space="preserve">implementazione in Puglia potrebbe avvenire in pochi mesi, con opportuni</w:t>
      </w:r>
      <w:r>
        <w:t xml:space="preserve"> </w:t>
      </w:r>
      <w:r>
        <w:t xml:space="preserve">adattamenti linguistici e culturali. Anche gli algoritmi predittivi su</w:t>
      </w:r>
      <w:r>
        <w:t xml:space="preserve"> </w:t>
      </w:r>
      <w:r>
        <w:t xml:space="preserve">EHR potrebbero essere sviluppati in collaborazione con le Università</w:t>
      </w:r>
      <w:r>
        <w:t xml:space="preserve"> </w:t>
      </w:r>
      <w:r>
        <w:t xml:space="preserve">pugliesi (che potrebbero usare i dati del Sistema Informativo Salute</w:t>
      </w:r>
      <w:r>
        <w:t xml:space="preserve"> </w:t>
      </w:r>
      <w:r>
        <w:t xml:space="preserve">Mentale regionale per addestrare modelli locali di rischio suicidario o</w:t>
      </w:r>
      <w:r>
        <w:t xml:space="preserve"> </w:t>
      </w:r>
      <w:r>
        <w:t xml:space="preserve">di ospedalizzazione psichiatrica). Questi modelli potrebbero poi essere</w:t>
      </w:r>
      <w:r>
        <w:t xml:space="preserve"> </w:t>
      </w:r>
      <w:r>
        <w:t xml:space="preserve">integrati nei sistemi informativi regionali: ad esempio, un modulo</w:t>
      </w:r>
      <w:r>
        <w:t xml:space="preserve"> </w:t>
      </w:r>
      <w:r>
        <w:t xml:space="preserve">aggiuntivo nel software gestionale dei CSM che calcola periodicamente il</w:t>
      </w:r>
      <w:r>
        <w:t xml:space="preserve"> </w:t>
      </w:r>
      <w:r>
        <w:t xml:space="preserve">rischio di crisi per ciascun utente (in base a parametri come numero di</w:t>
      </w:r>
      <w:r>
        <w:t xml:space="preserve"> </w:t>
      </w:r>
      <w:r>
        <w:t xml:space="preserve">accessi urgenti, aderenza farmacologica da ricette, ecc.) e aiuta a</w:t>
      </w:r>
      <w:r>
        <w:t xml:space="preserve"> </w:t>
      </w:r>
      <w:r>
        <w:t xml:space="preserve">definire le priorità di intervento domiciliare. Insomma, Puglia ha</w:t>
      </w:r>
      <w:r>
        <w:t xml:space="preserve"> </w:t>
      </w:r>
      <w:r>
        <w:t xml:space="preserve">l’occasione di creare un</w:t>
      </w:r>
      <w:r>
        <w:t xml:space="preserve"> </w:t>
      </w:r>
      <w:r>
        <w:rPr>
          <w:b/>
          <w:bCs/>
        </w:rPr>
        <w:t xml:space="preserve">ecosistema di strumenti IA</w:t>
      </w:r>
      <w:r>
        <w:t xml:space="preserve"> </w:t>
      </w:r>
      <w:r>
        <w:t xml:space="preserve">che lavorano</w:t>
      </w:r>
      <w:r>
        <w:t xml:space="preserve"> </w:t>
      </w:r>
      <w:r>
        <w:t xml:space="preserve">sinergicamente: il chatbot fa da primo contatto, l’algoritmo analizza i</w:t>
      </w:r>
      <w:r>
        <w:t xml:space="preserve"> </w:t>
      </w:r>
      <w:r>
        <w:t xml:space="preserve">dati clinici e supporta i sanitari, la telemedicina segue i cronici,</w:t>
      </w:r>
      <w:r>
        <w:t xml:space="preserve"> </w:t>
      </w:r>
      <w:r>
        <w:t xml:space="preserve">ecc. Una regia centrale (ad es. un gruppo di lavoro regionale su</w:t>
      </w:r>
      <w:r>
        <w:t xml:space="preserve"> </w:t>
      </w:r>
      <w:r>
        <w:t xml:space="preserve">“</w:t>
      </w:r>
      <w:r>
        <w:t xml:space="preserve">IA e</w:t>
      </w:r>
      <w:r>
        <w:t xml:space="preserve"> </w:t>
      </w:r>
      <w:r>
        <w:t xml:space="preserve">Psicologia di Base</w:t>
      </w:r>
      <w:r>
        <w:t xml:space="preserve">”</w:t>
      </w:r>
      <w:r>
        <w:t xml:space="preserve">) dovrebbe guidare la selezione, test e messa a</w:t>
      </w:r>
      <w:r>
        <w:t xml:space="preserve"> </w:t>
      </w:r>
      <w:r>
        <w:t xml:space="preserve">regime di tali strumenti, garantendo interoperabilità e rispetto delle</w:t>
      </w:r>
      <w:r>
        <w:t xml:space="preserve"> </w:t>
      </w:r>
      <w:r>
        <w:t xml:space="preserve">norme (GDPR, marcatura CE dove prevista). L’investimento in questi</w:t>
      </w:r>
      <w:r>
        <w:t xml:space="preserve"> </w:t>
      </w:r>
      <w:r>
        <w:t xml:space="preserve">strumenti, come si discuterà oltre, promette ritorni significativi in</w:t>
      </w:r>
      <w:r>
        <w:t xml:space="preserve"> </w:t>
      </w:r>
      <w:r>
        <w:t xml:space="preserve">termini di efficienza e risultati di salute.</w:t>
      </w:r>
    </w:p>
    <w:bookmarkEnd w:id="2649"/>
    <w:bookmarkStart w:id="2650" w:name="X4d55a9a0bafa6db985989d4765fefc2771549f8"/>
    <w:p>
      <w:pPr>
        <w:pStyle w:val="Heading3"/>
      </w:pPr>
      <w:r>
        <w:t xml:space="preserve">Impatto Economico Aggiuntivo dell’IA: Analisi Costi-Benefici per la Puglia</w:t>
      </w:r>
    </w:p>
    <w:p>
      <w:pPr>
        <w:pStyle w:val="FirstParagraph"/>
      </w:pPr>
      <w:r>
        <w:t xml:space="preserve">L’introduzione sistematica dell’IA nel progetto Psicologo di Base non</w:t>
      </w:r>
      <w:r>
        <w:t xml:space="preserve"> </w:t>
      </w:r>
      <w:r>
        <w:t xml:space="preserve">solo avrebbe benefici clinici, ma comporterebbe un importante</w:t>
      </w:r>
      <w:r>
        <w:t xml:space="preserve"> </w:t>
      </w:r>
      <w:r>
        <w:rPr>
          <w:b/>
          <w:bCs/>
        </w:rPr>
        <w:t xml:space="preserve">impatto</w:t>
      </w:r>
      <w:r>
        <w:rPr>
          <w:b/>
          <w:bCs/>
        </w:rPr>
        <w:t xml:space="preserve"> </w:t>
      </w:r>
      <w:r>
        <w:rPr>
          <w:b/>
          <w:bCs/>
        </w:rPr>
        <w:t xml:space="preserve">economico</w:t>
      </w:r>
      <w:r>
        <w:t xml:space="preserve"> </w:t>
      </w:r>
      <w:r>
        <w:t xml:space="preserve">sul sistema sanitario regionale, potenzialmente migliorando</w:t>
      </w:r>
      <w:r>
        <w:t xml:space="preserve"> </w:t>
      </w:r>
      <w:r>
        <w:t xml:space="preserve">la sostenibilità finanziaria a breve, medio e lungo termine. Di seguito</w:t>
      </w:r>
      <w:r>
        <w:t xml:space="preserve"> </w:t>
      </w:r>
      <w:r>
        <w:t xml:space="preserve">si analizzano i possibili risparmi diretti e indiretti associati</w:t>
      </w:r>
      <w:r>
        <w:t xml:space="preserve"> </w:t>
      </w:r>
      <w:r>
        <w:t xml:space="preserve">all’impiego dell’IA, quantificando le riduzioni di spesa attese rispetto</w:t>
      </w:r>
      <w:r>
        <w:t xml:space="preserve"> </w:t>
      </w:r>
      <w:r>
        <w:t xml:space="preserve">allo scenario base (implementazione del servizio senza IA). Si</w:t>
      </w:r>
      <w:r>
        <w:t xml:space="preserve"> </w:t>
      </w:r>
      <w:r>
        <w:t xml:space="preserve">forniscono inoltre proiezioni temporali per la Regione Puglia, basate su</w:t>
      </w:r>
      <w:r>
        <w:t xml:space="preserve"> </w:t>
      </w:r>
      <w:r>
        <w:t xml:space="preserve">dati di letteratura e stime adattate al contesto locale.</w:t>
      </w:r>
    </w:p>
    <w:p>
      <w:pPr>
        <w:pStyle w:val="BodyText"/>
      </w:pPr>
      <w:r>
        <w:rPr>
          <w:b/>
          <w:bCs/>
        </w:rPr>
        <w:t xml:space="preserve">1. Risparmi diretti sui costi sanitari:</w:t>
      </w:r>
      <w:r>
        <w:t xml:space="preserve"> </w:t>
      </w:r>
      <w:r>
        <w:t xml:space="preserve">Come premessa, va ricordato</w:t>
      </w:r>
      <w:r>
        <w:t xml:space="preserve"> </w:t>
      </w:r>
      <w:r>
        <w:t xml:space="preserve">che attualmente la Puglia spende circa €285 milioni/anno in assistenza</w:t>
      </w:r>
      <w:r>
        <w:t xml:space="preserve"> </w:t>
      </w:r>
      <w:r>
        <w:t xml:space="preserve">psichiatrica specialistica (territoriale, semiresidenziale, residenziale</w:t>
      </w:r>
      <w:r>
        <w:t xml:space="preserve"> </w:t>
      </w:r>
      <w:r>
        <w:t xml:space="preserve">e ricoveri), pari al 3,3% della spesa sanitaria regionale. Interventi</w:t>
      </w:r>
      <w:r>
        <w:t xml:space="preserve"> </w:t>
      </w:r>
      <w:r>
        <w:t xml:space="preserve">innovativi che migliorino efficacia e prevenzione potranno inizialmente</w:t>
      </w:r>
      <w:r>
        <w:t xml:space="preserve"> </w:t>
      </w:r>
      <w:r>
        <w:t xml:space="preserve">aumentare questa spesa (per i costi di attivazione del servizio di base</w:t>
      </w:r>
      <w:r>
        <w:t xml:space="preserve"> </w:t>
      </w:r>
      <w:r>
        <w:t xml:space="preserve">e delle tecnologie IA), ma nel medio-lungo termine dovrebbero</w:t>
      </w:r>
      <w:r>
        <w:t xml:space="preserve"> </w:t>
      </w:r>
      <w:r>
        <w:rPr>
          <w:b/>
          <w:bCs/>
        </w:rPr>
        <w:t xml:space="preserve">ridurre</w:t>
      </w:r>
      <w:r>
        <w:rPr>
          <w:b/>
          <w:bCs/>
        </w:rPr>
        <w:t xml:space="preserve"> </w:t>
      </w:r>
      <w:r>
        <w:rPr>
          <w:b/>
          <w:bCs/>
        </w:rPr>
        <w:t xml:space="preserve">la spesa evitabile</w:t>
      </w:r>
      <w:r>
        <w:t xml:space="preserve"> </w:t>
      </w:r>
      <w:r>
        <w:t xml:space="preserve">dovuta a interventi tardivi e acuti. Ad esempio, se</w:t>
      </w:r>
      <w:r>
        <w:t xml:space="preserve"> </w:t>
      </w:r>
      <w:r>
        <w:t xml:space="preserve">l’IA permettesse di diminuire anche solo di un 5% annuo il ricorso a</w:t>
      </w:r>
      <w:r>
        <w:t xml:space="preserve"> </w:t>
      </w:r>
      <w:r>
        <w:t xml:space="preserve">prestazioni costose attraverso una migliore prevenzione (meno ricoveri,</w:t>
      </w:r>
      <w:r>
        <w:t xml:space="preserve"> </w:t>
      </w:r>
      <w:r>
        <w:t xml:space="preserve">meno accessi urgenti, minor cronicizzazione), il risparmio diretto</w:t>
      </w:r>
      <w:r>
        <w:t xml:space="preserve"> </w:t>
      </w:r>
      <w:r>
        <w:t xml:space="preserve">sarebbe di ~€14 milioni all’anno (5% di €285M). In un orizzonte</w:t>
      </w:r>
      <w:r>
        <w:t xml:space="preserve"> </w:t>
      </w:r>
      <w:r>
        <w:t xml:space="preserve">decennale, ipotizzando un effetto cumulativo, questo si tradurrebbe in</w:t>
      </w:r>
      <w:r>
        <w:t xml:space="preserve"> </w:t>
      </w:r>
      <w:r>
        <w:t xml:space="preserve">oltre €140 milioni evitati, risorse che potrebbero essere riallocate o</w:t>
      </w:r>
      <w:r>
        <w:t xml:space="preserve"> </w:t>
      </w:r>
      <w:r>
        <w:t xml:space="preserve">liberate per altre esigenze. Tale stima è prudenziale: studi</w:t>
      </w:r>
      <w:r>
        <w:t xml:space="preserve"> </w:t>
      </w:r>
      <w:r>
        <w:t xml:space="preserve">modellistici indicano che l’adozione estesa dell’IA può portare a</w:t>
      </w:r>
      <w:r>
        <w:t xml:space="preserve"> </w:t>
      </w:r>
      <w:r>
        <w:t xml:space="preserve">risparmi ben maggiori col passare del tempo. Una ricerca di</w:t>
      </w:r>
      <w:r>
        <w:t xml:space="preserve"> </w:t>
      </w:r>
      <w:r>
        <w:rPr>
          <w:i/>
          <w:iCs/>
        </w:rPr>
        <w:t xml:space="preserve">health</w:t>
      </w:r>
      <w:r>
        <w:rPr>
          <w:i/>
          <w:iCs/>
        </w:rPr>
        <w:t xml:space="preserve"> </w:t>
      </w:r>
      <w:r>
        <w:rPr>
          <w:i/>
          <w:iCs/>
        </w:rPr>
        <w:t xml:space="preserve">economics</w:t>
      </w:r>
      <w:r>
        <w:t xml:space="preserve"> </w:t>
      </w:r>
      <w:r>
        <w:t xml:space="preserve">(Suri et al., 2022) che ha confrontato scenari con e senza IA</w:t>
      </w:r>
      <w:r>
        <w:t xml:space="preserve"> </w:t>
      </w:r>
      <w:r>
        <w:t xml:space="preserve">in diagnostica e trattamento suggerisce che i</w:t>
      </w:r>
      <w:r>
        <w:t xml:space="preserve"> </w:t>
      </w:r>
      <w:r>
        <w:rPr>
          <w:b/>
          <w:bCs/>
        </w:rPr>
        <w:t xml:space="preserve">risparmi crescono in</w:t>
      </w:r>
      <w:r>
        <w:rPr>
          <w:b/>
          <w:bCs/>
        </w:rPr>
        <w:t xml:space="preserve"> </w:t>
      </w:r>
      <w:r>
        <w:rPr>
          <w:b/>
          <w:bCs/>
        </w:rPr>
        <w:t xml:space="preserve">modo non lineare</w:t>
      </w:r>
      <w:r>
        <w:t xml:space="preserve"> </w:t>
      </w:r>
      <w:r>
        <w:t xml:space="preserve">col diffondersi dell’IA. In particolare, per gli</w:t>
      </w:r>
      <w:r>
        <w:t xml:space="preserve"> </w:t>
      </w:r>
      <w:r>
        <w:t xml:space="preserve">ospedali considerati nel modello, se inizialmente i costi dell’IA</w:t>
      </w:r>
      <w:r>
        <w:t xml:space="preserve"> </w:t>
      </w:r>
      <w:r>
        <w:t xml:space="preserve">riducono marginalmente la spesa, dopo 5–10 anni l’efficienza accumulata</w:t>
      </w:r>
      <w:r>
        <w:t xml:space="preserve"> </w:t>
      </w:r>
      <w:r>
        <w:t xml:space="preserve">genera risparmi sostanziali (nell’ordine di decine di migliaia di</w:t>
      </w:r>
      <w:r>
        <w:t xml:space="preserve"> </w:t>
      </w:r>
      <w:r>
        <w:t xml:space="preserve">dollari al giorno per ospedale in quel modello simulativo). Traslando il</w:t>
      </w:r>
      <w:r>
        <w:t xml:space="preserve"> </w:t>
      </w:r>
      <w:r>
        <w:t xml:space="preserve">concetto, ciò significa che investire ora in IA per la salute mentale</w:t>
      </w:r>
      <w:r>
        <w:t xml:space="preserve"> </w:t>
      </w:r>
      <w:r>
        <w:t xml:space="preserve">pugliese potrebbe richiedere qualche anno per</w:t>
      </w:r>
      <w:r>
        <w:t xml:space="preserve"> </w:t>
      </w:r>
      <w:r>
        <w:t xml:space="preserve">“</w:t>
      </w:r>
      <w:r>
        <w:t xml:space="preserve">andare a regime</w:t>
      </w:r>
      <w:r>
        <w:t xml:space="preserve">”</w:t>
      </w:r>
      <w:r>
        <w:t xml:space="preserve">, ma</w:t>
      </w:r>
      <w:r>
        <w:t xml:space="preserve"> </w:t>
      </w:r>
      <w:r>
        <w:t xml:space="preserve">successivamente l’automazione e la prevenzione eviteranno costi</w:t>
      </w:r>
      <w:r>
        <w:t xml:space="preserve"> </w:t>
      </w:r>
      <w:r>
        <w:t xml:space="preserve">crescenti che altrimenti il sistema dovrebbe sostenere.</w:t>
      </w:r>
    </w:p>
    <w:p>
      <w:pPr>
        <w:pStyle w:val="BodyText"/>
      </w:pPr>
      <w:r>
        <w:t xml:space="preserve">Una voce di costo specifica da considerare è la riduzione degli</w:t>
      </w:r>
      <w:r>
        <w:t xml:space="preserve"> </w:t>
      </w:r>
      <w:r>
        <w:rPr>
          <w:b/>
          <w:bCs/>
        </w:rPr>
        <w:t xml:space="preserve">accessi ospedalieri e delle degenze</w:t>
      </w:r>
      <w:r>
        <w:t xml:space="preserve">. I ricoveri psichiatrici e gli</w:t>
      </w:r>
      <w:r>
        <w:t xml:space="preserve"> </w:t>
      </w:r>
      <w:r>
        <w:t xml:space="preserve">interventi d’emergenza hanno costi elevati e spesso indicano un</w:t>
      </w:r>
      <w:r>
        <w:t xml:space="preserve"> </w:t>
      </w:r>
      <w:r>
        <w:t xml:space="preserve">fallimento della gestione territoriale precoce. In Puglia, i ricoveri in</w:t>
      </w:r>
      <w:r>
        <w:t xml:space="preserve"> </w:t>
      </w:r>
      <w:r>
        <w:t xml:space="preserve">SPDC costano ~€11,2 milioni/anno. Se l’IA (tramite triage e</w:t>
      </w:r>
      <w:r>
        <w:t xml:space="preserve"> </w:t>
      </w:r>
      <w:r>
        <w:t xml:space="preserve">telemonitoraggio) riuscisse a prevenire, ad esempio, il 20% dei ricoveri</w:t>
      </w:r>
      <w:r>
        <w:t xml:space="preserve"> </w:t>
      </w:r>
      <w:r>
        <w:t xml:space="preserve">evitabili (pazienti intercettati prima che la crisi richieda</w:t>
      </w:r>
      <w:r>
        <w:t xml:space="preserve"> </w:t>
      </w:r>
      <w:r>
        <w:t xml:space="preserve">ospedalizzazione), ciò equivarrebbe a ~€2,2 milioni risparmiati ogni</w:t>
      </w:r>
      <w:r>
        <w:t xml:space="preserve"> </w:t>
      </w:r>
      <w:r>
        <w:t xml:space="preserve">anno solo su questa voce. Anche la degenza media potrebbe accorciarsi:</w:t>
      </w:r>
      <w:r>
        <w:t xml:space="preserve"> </w:t>
      </w:r>
      <w:r>
        <w:t xml:space="preserve">un paziente monitorato potrebbe essere dimesso prima, con follow-up</w:t>
      </w:r>
      <w:r>
        <w:t xml:space="preserve"> </w:t>
      </w:r>
      <w:r>
        <w:t xml:space="preserve">telematico sicuro a casa, risparmiando giorni letto. Un altro costo</w:t>
      </w:r>
      <w:r>
        <w:t xml:space="preserve"> </w:t>
      </w:r>
      <w:r>
        <w:t xml:space="preserve">diretto è quello dei</w:t>
      </w:r>
      <w:r>
        <w:t xml:space="preserve"> </w:t>
      </w:r>
      <w:r>
        <w:rPr>
          <w:b/>
          <w:bCs/>
        </w:rPr>
        <w:t xml:space="preserve">farmaci</w:t>
      </w:r>
      <w:r>
        <w:t xml:space="preserve">: l’IA di precisione può ridurre gli</w:t>
      </w:r>
      <w:r>
        <w:t xml:space="preserve"> </w:t>
      </w:r>
      <w:r>
        <w:t xml:space="preserve">sprechi prescrittivi (es. evitando antidepressivi inefficaci e provando</w:t>
      </w:r>
      <w:r>
        <w:t xml:space="preserve"> </w:t>
      </w:r>
      <w:r>
        <w:t xml:space="preserve">prima quelli con maggiore probabilità di successo per quel paziente), il</w:t>
      </w:r>
      <w:r>
        <w:t xml:space="preserve"> </w:t>
      </w:r>
      <w:r>
        <w:t xml:space="preserve">che significa meno soldi spesi in farmaci inutili e meno effetti</w:t>
      </w:r>
      <w:r>
        <w:t xml:space="preserve"> </w:t>
      </w:r>
      <w:r>
        <w:t xml:space="preserve">collaterali da gestire. Inoltre,</w:t>
      </w:r>
      <w:r>
        <w:t xml:space="preserve"> </w:t>
      </w:r>
      <w:r>
        <w:rPr>
          <w:i/>
          <w:iCs/>
        </w:rPr>
        <w:t xml:space="preserve">chatbot</w:t>
      </w:r>
      <w:r>
        <w:t xml:space="preserve"> </w:t>
      </w:r>
      <w:r>
        <w:t xml:space="preserve">e app possono fungere da</w:t>
      </w:r>
      <w:r>
        <w:t xml:space="preserve"> </w:t>
      </w:r>
      <w:r>
        <w:rPr>
          <w:i/>
          <w:iCs/>
        </w:rPr>
        <w:t xml:space="preserve">reminder</w:t>
      </w:r>
      <w:r>
        <w:t xml:space="preserve"> </w:t>
      </w:r>
      <w:r>
        <w:t xml:space="preserve">per l’aderenza terapeutica, migliorando la continuità e</w:t>
      </w:r>
      <w:r>
        <w:t xml:space="preserve"> </w:t>
      </w:r>
      <w:r>
        <w:t xml:space="preserve">quindi l’efficacia (un paziente più aderente ha meno ricadute, quindi</w:t>
      </w:r>
      <w:r>
        <w:t xml:space="preserve"> </w:t>
      </w:r>
      <w:r>
        <w:t xml:space="preserve">meno costi sanitari futuri).</w:t>
      </w:r>
    </w:p>
    <w:p>
      <w:pPr>
        <w:pStyle w:val="BodyText"/>
      </w:pPr>
      <w:r>
        <w:rPr>
          <w:b/>
          <w:bCs/>
        </w:rPr>
        <w:t xml:space="preserve">2. Benefici economici indiretti e ritorno sull’investimento:</w:t>
      </w:r>
      <w:r>
        <w:t xml:space="preserve"> </w:t>
      </w:r>
      <w:r>
        <w:t xml:space="preserve">Oltre</w:t>
      </w:r>
      <w:r>
        <w:t xml:space="preserve"> </w:t>
      </w:r>
      <w:r>
        <w:t xml:space="preserve">ai risparmi diretti di bilancio sanitario, vanno considerati gli effetti</w:t>
      </w:r>
      <w:r>
        <w:t xml:space="preserve"> </w:t>
      </w:r>
      <w:r>
        <w:t xml:space="preserve">economici indiretti, spesso ancora più rilevanti, come il miglioramento</w:t>
      </w:r>
      <w:r>
        <w:t xml:space="preserve"> </w:t>
      </w:r>
      <w:r>
        <w:t xml:space="preserve">della produttività, la riduzione dell’assenteismo e oneri sociali</w:t>
      </w:r>
      <w:r>
        <w:t xml:space="preserve"> </w:t>
      </w:r>
      <w:r>
        <w:t xml:space="preserve">evitati. La letteratura indica chiaramente che investire in salute</w:t>
      </w:r>
      <w:r>
        <w:t xml:space="preserve"> </w:t>
      </w:r>
      <w:r>
        <w:t xml:space="preserve">mentale rende sul piano socio-economico. Secondo l’OMS, a livello</w:t>
      </w:r>
      <w:r>
        <w:t xml:space="preserve"> </w:t>
      </w:r>
      <w:r>
        <w:t xml:space="preserve">globale ogni dollaro investito in trattamenti per depressione e ansia</w:t>
      </w:r>
      <w:r>
        <w:t xml:space="preserve"> </w:t>
      </w:r>
      <w:r>
        <w:t xml:space="preserve">genera un ritorno di circa 4 dollari in termini di miglior salute e</w:t>
      </w:r>
      <w:r>
        <w:t xml:space="preserve"> </w:t>
      </w:r>
      <w:r>
        <w:t xml:space="preserve">capacità lavorativa. Un recente rapporto presentato in Italia (Headway</w:t>
      </w:r>
      <w:r>
        <w:t xml:space="preserve"> </w:t>
      </w:r>
      <w:r>
        <w:t xml:space="preserve">2025) conferma questo ordine di grandezza: se l’Italia aumentasse al 5%</w:t>
      </w:r>
      <w:r>
        <w:t xml:space="preserve"> </w:t>
      </w:r>
      <w:r>
        <w:t xml:space="preserve">la quota di spesa sanitaria dedicata alla salute mentale, i benefici</w:t>
      </w:r>
      <w:r>
        <w:t xml:space="preserve"> </w:t>
      </w:r>
      <w:r>
        <w:t xml:space="preserve">economici complessivi (diretti e indiretti) sarebbero ~€10,4 miliardi.</w:t>
      </w:r>
      <w:r>
        <w:t xml:space="preserve"> </w:t>
      </w:r>
      <w:r>
        <w:t xml:space="preserve">Attualmente i disturbi mentali costano al Paese ~€20 miliardi/anno in</w:t>
      </w:r>
      <w:r>
        <w:t xml:space="preserve"> </w:t>
      </w:r>
      <w:r>
        <w:t xml:space="preserve">spesa sanitaria e ben €63 miliardi/anno in perdite di produttività,</w:t>
      </w:r>
      <w:r>
        <w:t xml:space="preserve"> </w:t>
      </w:r>
      <w:r>
        <w:t xml:space="preserve">assenze, disoccupazione di lunga durata, pari a circa il 4% del PIL. Ciò</w:t>
      </w:r>
      <w:r>
        <w:t xml:space="preserve"> </w:t>
      </w:r>
      <w:r>
        <w:t xml:space="preserve">significa che per ogni euro investito in salute mentale efficace, il</w:t>
      </w:r>
      <w:r>
        <w:t xml:space="preserve"> </w:t>
      </w:r>
      <w:r>
        <w:t xml:space="preserve">“</w:t>
      </w:r>
      <w:r>
        <w:t xml:space="preserve">Sistema Paese</w:t>
      </w:r>
      <w:r>
        <w:t xml:space="preserve">”</w:t>
      </w:r>
      <w:r>
        <w:t xml:space="preserve"> </w:t>
      </w:r>
      <w:r>
        <w:t xml:space="preserve">ne guadagna quasi 4,7. In Puglia, con ~4 milioni di</w:t>
      </w:r>
      <w:r>
        <w:t xml:space="preserve"> </w:t>
      </w:r>
      <w:r>
        <w:t xml:space="preserve">abitanti (circa 6.5% della popolazione italiana), il costo indiretto dei</w:t>
      </w:r>
      <w:r>
        <w:t xml:space="preserve"> </w:t>
      </w:r>
      <w:r>
        <w:t xml:space="preserve">disturbi mentali può essere stimato proporzionalmente in diversi</w:t>
      </w:r>
      <w:r>
        <w:t xml:space="preserve"> </w:t>
      </w:r>
      <w:r>
        <w:t xml:space="preserve">miliardi di euro l’anno. Anche recuperare una frazione di questa perdita</w:t>
      </w:r>
      <w:r>
        <w:t xml:space="preserve"> </w:t>
      </w:r>
      <w:r>
        <w:t xml:space="preserve">avrebbe un impatto enorme sull’economia regionale. L’IA può contribuire</w:t>
      </w:r>
      <w:r>
        <w:t xml:space="preserve"> </w:t>
      </w:r>
      <w:r>
        <w:t xml:space="preserve">significativamente: prevenendo cronicizzazioni e disabilità psichica,</w:t>
      </w:r>
      <w:r>
        <w:t xml:space="preserve"> </w:t>
      </w:r>
      <w:r>
        <w:t xml:space="preserve">più persone restano attive nel mercato del lavoro; intervenendo</w:t>
      </w:r>
      <w:r>
        <w:t xml:space="preserve"> </w:t>
      </w:r>
      <w:r>
        <w:t xml:space="preserve">precocemente su giovani NEET con disagio, si riducono i costi sociali</w:t>
      </w:r>
      <w:r>
        <w:t xml:space="preserve"> </w:t>
      </w:r>
      <w:r>
        <w:t xml:space="preserve">futuri; migliorando il benessere mentale generale, si aumenta la</w:t>
      </w:r>
      <w:r>
        <w:t xml:space="preserve"> </w:t>
      </w:r>
      <w:r>
        <w:t xml:space="preserve">produttività e si diminuisce l’assenteismo per malattia. Ad esempio, se</w:t>
      </w:r>
      <w:r>
        <w:t xml:space="preserve"> </w:t>
      </w:r>
      <w:r>
        <w:t xml:space="preserve">grazie a chatbot e screening IA si intercettano prima i casi di</w:t>
      </w:r>
      <w:r>
        <w:t xml:space="preserve"> </w:t>
      </w:r>
      <w:r>
        <w:t xml:space="preserve">depressione postpartum, supportando le neomadri, queste potrebbero</w:t>
      </w:r>
      <w:r>
        <w:t xml:space="preserve"> </w:t>
      </w:r>
      <w:r>
        <w:t xml:space="preserve">rientrare prima e meglio al lavoro, riducendo giornate di assenza e</w:t>
      </w:r>
      <w:r>
        <w:t xml:space="preserve"> </w:t>
      </w:r>
      <w:r>
        <w:t xml:space="preserve">abbandoni. Se i programmi IA diminuissero anche dell’1% il tasso di</w:t>
      </w:r>
      <w:r>
        <w:t xml:space="preserve"> </w:t>
      </w:r>
      <w:r>
        <w:t xml:space="preserve">disoccupazione dovuto a problemi mentali (che oggi è significativo: le</w:t>
      </w:r>
      <w:r>
        <w:t xml:space="preserve"> </w:t>
      </w:r>
      <w:r>
        <w:t xml:space="preserve">persone con disabilità psichica hanno 5 volte più probabilità di essere</w:t>
      </w:r>
      <w:r>
        <w:t xml:space="preserve"> </w:t>
      </w:r>
      <w:r>
        <w:t xml:space="preserve">disoccupate), ci sarebbero centinaia di persone in più occupate in</w:t>
      </w:r>
      <w:r>
        <w:t xml:space="preserve"> </w:t>
      </w:r>
      <w:r>
        <w:t xml:space="preserve">Puglia, con conseguenti risparmi su sussidi e maggiore contribuzione</w:t>
      </w:r>
      <w:r>
        <w:t xml:space="preserve"> </w:t>
      </w:r>
      <w:r>
        <w:t xml:space="preserve">fiscale.</w:t>
      </w:r>
    </w:p>
    <w:p>
      <w:pPr>
        <w:pStyle w:val="BodyText"/>
      </w:pPr>
      <w:r>
        <w:t xml:space="preserve">Si può tentare una proiezione di massima: nel breve termine (1–2 anni) i</w:t>
      </w:r>
      <w:r>
        <w:t xml:space="preserve"> </w:t>
      </w:r>
      <w:r>
        <w:t xml:space="preserve">costi di implementazione dell’IA potrebbero leggermente aumentare la</w:t>
      </w:r>
      <w:r>
        <w:t xml:space="preserve"> </w:t>
      </w:r>
      <w:r>
        <w:t xml:space="preserve">spesa (acquisto tecnologie, formazione, eventuali consulenze IT).</w:t>
      </w:r>
      <w:r>
        <w:t xml:space="preserve"> </w:t>
      </w:r>
      <w:r>
        <w:t xml:space="preserve">Tuttavia, entro il</w:t>
      </w:r>
      <w:r>
        <w:t xml:space="preserve"> </w:t>
      </w:r>
      <w:r>
        <w:rPr>
          <w:b/>
          <w:bCs/>
        </w:rPr>
        <w:t xml:space="preserve">medio termine (3–5 anni)</w:t>
      </w:r>
      <w:r>
        <w:t xml:space="preserve">, ci si aspetta che i</w:t>
      </w:r>
      <w:r>
        <w:t xml:space="preserve"> </w:t>
      </w:r>
      <w:r>
        <w:t xml:space="preserve">benefici inizino a superare i costi. Per esempio, entro 3 anni la</w:t>
      </w:r>
      <w:r>
        <w:t xml:space="preserve"> </w:t>
      </w:r>
      <w:r>
        <w:t xml:space="preserve">riduzione di ricoveri e accessi in PS grazie al triage IA e al</w:t>
      </w:r>
      <w:r>
        <w:t xml:space="preserve"> </w:t>
      </w:r>
      <w:r>
        <w:t xml:space="preserve">telemonitoraggio potrebbe generare risparmi annui per 5–10 milioni (una</w:t>
      </w:r>
      <w:r>
        <w:t xml:space="preserve"> </w:t>
      </w:r>
      <w:r>
        <w:t xml:space="preserve">stima intermedia, considerando ricoveri evitati e minori</w:t>
      </w:r>
      <w:r>
        <w:t xml:space="preserve"> </w:t>
      </w:r>
      <w:r>
        <w:t xml:space="preserve">trasporti/emergenze). Entro 5 anni, grazie alla maggiore efficienza, si</w:t>
      </w:r>
      <w:r>
        <w:t xml:space="preserve"> </w:t>
      </w:r>
      <w:r>
        <w:t xml:space="preserve">potrebbe stabilizzare la spesa per salute mentale nonostante l’aumento</w:t>
      </w:r>
      <w:r>
        <w:t xml:space="preserve"> </w:t>
      </w:r>
      <w:r>
        <w:t xml:space="preserve">della domanda,</w:t>
      </w:r>
      <w:r>
        <w:t xml:space="preserve"> </w:t>
      </w:r>
      <w:r>
        <w:t xml:space="preserve">“</w:t>
      </w:r>
      <w:r>
        <w:t xml:space="preserve">piegando</w:t>
      </w:r>
      <w:r>
        <w:t xml:space="preserve">”</w:t>
      </w:r>
      <w:r>
        <w:t xml:space="preserve"> </w:t>
      </w:r>
      <w:r>
        <w:t xml:space="preserve">la curva dei costi. Nel</w:t>
      </w:r>
      <w:r>
        <w:t xml:space="preserve"> </w:t>
      </w:r>
      <w:r>
        <w:rPr>
          <w:b/>
          <w:bCs/>
        </w:rPr>
        <w:t xml:space="preserve">lungo termine (10+</w:t>
      </w:r>
      <w:r>
        <w:rPr>
          <w:b/>
          <w:bCs/>
        </w:rPr>
        <w:t xml:space="preserve"> </w:t>
      </w:r>
      <w:r>
        <w:rPr>
          <w:b/>
          <w:bCs/>
        </w:rPr>
        <w:t xml:space="preserve">anni)</w:t>
      </w:r>
      <w:r>
        <w:t xml:space="preserve">, l’impatto potrebbe essere trasformativo: meno pensionamenti</w:t>
      </w:r>
      <w:r>
        <w:t xml:space="preserve"> </w:t>
      </w:r>
      <w:r>
        <w:t xml:space="preserve">anticipati per invalidità psichica (oggi una voce importante di spesa</w:t>
      </w:r>
      <w:r>
        <w:t xml:space="preserve"> </w:t>
      </w:r>
      <w:r>
        <w:t xml:space="preserve">pensionistica), popolazione in età lavorativa più sana e produttiva,</w:t>
      </w:r>
      <w:r>
        <w:t xml:space="preserve"> </w:t>
      </w:r>
      <w:r>
        <w:t xml:space="preserve">meno costi per comorbidità (poiché la salute mentale incide su quella</w:t>
      </w:r>
      <w:r>
        <w:t xml:space="preserve"> </w:t>
      </w:r>
      <w:r>
        <w:t xml:space="preserve">fisica, ridurre depressione significa ad esempio migliore controllo del</w:t>
      </w:r>
      <w:r>
        <w:t xml:space="preserve"> </w:t>
      </w:r>
      <w:r>
        <w:t xml:space="preserve">diabete, quindi meno complicanze costose). Un ROI regionale realistico</w:t>
      </w:r>
      <w:r>
        <w:t xml:space="preserve"> </w:t>
      </w:r>
      <w:r>
        <w:t xml:space="preserve">potrebbe essere nel range 3:1–5:1 su 10 anni, allineato alle stime</w:t>
      </w:r>
      <w:r>
        <w:t xml:space="preserve"> </w:t>
      </w:r>
      <w:r>
        <w:t xml:space="preserve">nazionali: per ogni euro speso oggi in IA e psicologia di base, Puglia</w:t>
      </w:r>
      <w:r>
        <w:t xml:space="preserve"> </w:t>
      </w:r>
      <w:r>
        <w:t xml:space="preserve">potrebbe risparmiarne o guadagnarne 3–5 in futuro tra minori costi</w:t>
      </w:r>
      <w:r>
        <w:t xml:space="preserve"> </w:t>
      </w:r>
      <w:r>
        <w:t xml:space="preserve">sanitari e maggior PIL regionale.</w:t>
      </w:r>
    </w:p>
    <w:p>
      <w:pPr>
        <w:pStyle w:val="BodyText"/>
      </w:pPr>
      <w:r>
        <w:rPr>
          <w:b/>
          <w:bCs/>
        </w:rPr>
        <w:t xml:space="preserve">3. Aree di risparmio specifiche:</w:t>
      </w:r>
      <w:r>
        <w:t xml:space="preserve"> </w:t>
      </w:r>
      <w:r>
        <w:t xml:space="preserve">Per concretizzare, elenchiamo</w:t>
      </w:r>
      <w:r>
        <w:t xml:space="preserve"> </w:t>
      </w:r>
      <w:r>
        <w:t xml:space="preserve">alcune aree dove l’IA può tagliare costi rispetto allo scenario base:</w:t>
      </w:r>
      <w:r>
        <w:br/>
      </w:r>
      <w:r>
        <w:t xml:space="preserve">-</w:t>
      </w:r>
      <w:r>
        <w:t xml:space="preserve"> </w:t>
      </w:r>
      <w:r>
        <w:rPr>
          <w:i/>
          <w:iCs/>
        </w:rPr>
        <w:t xml:space="preserve">Riduzione visite non necessarie:</w:t>
      </w:r>
      <w:r>
        <w:t xml:space="preserve"> </w:t>
      </w:r>
      <w:r>
        <w:t xml:space="preserve">Chatbot e teleconsulti IA possono</w:t>
      </w:r>
      <w:r>
        <w:t xml:space="preserve"> </w:t>
      </w:r>
      <w:r>
        <w:t xml:space="preserve">gestire bisogni minori che altrimenti produrrebbero visite mediche o</w:t>
      </w:r>
      <w:r>
        <w:t xml:space="preserve"> </w:t>
      </w:r>
      <w:r>
        <w:t xml:space="preserve">psicologiche. Ogni visita specialistica evitata (tariffa sui €40–50) è</w:t>
      </w:r>
      <w:r>
        <w:t xml:space="preserve"> </w:t>
      </w:r>
      <w:r>
        <w:t xml:space="preserve">un risparmio. Se su scala regionale si evitassero 50.000 visite/anno (su</w:t>
      </w:r>
      <w:r>
        <w:t xml:space="preserve"> </w:t>
      </w:r>
      <w:r>
        <w:t xml:space="preserve">oltre 500k prestazioni annue erogate dai DSM), il risparmio sarebbe</w:t>
      </w:r>
      <w:r>
        <w:t xml:space="preserve"> </w:t>
      </w:r>
      <w:r>
        <w:t xml:space="preserve">~€2–2,5 milioni.</w:t>
      </w:r>
      <w:r>
        <w:br/>
      </w:r>
      <w:r>
        <w:t xml:space="preserve">-</w:t>
      </w:r>
      <w:r>
        <w:t xml:space="preserve"> </w:t>
      </w:r>
      <w:r>
        <w:rPr>
          <w:i/>
          <w:iCs/>
        </w:rPr>
        <w:t xml:space="preserve">Ottimizzazione dell’organico:</w:t>
      </w:r>
      <w:r>
        <w:t xml:space="preserve"> </w:t>
      </w:r>
      <w:r>
        <w:t xml:space="preserve">Automatizzando compiti amministrativi</w:t>
      </w:r>
      <w:r>
        <w:t xml:space="preserve"> </w:t>
      </w:r>
      <w:r>
        <w:t xml:space="preserve">(ad es. trascrizione appunti, triage iniziale) l’IA libera tempo agli</w:t>
      </w:r>
      <w:r>
        <w:t xml:space="preserve"> </w:t>
      </w:r>
      <w:r>
        <w:t xml:space="preserve">psicologi di base e psichiatri, che possono così seguire più pazienti</w:t>
      </w:r>
      <w:r>
        <w:t xml:space="preserve"> </w:t>
      </w:r>
      <w:r>
        <w:t xml:space="preserve">senza nuovo personale. Ciò migliora la produttività per operatore. Ad</w:t>
      </w:r>
      <w:r>
        <w:t xml:space="preserve"> </w:t>
      </w:r>
      <w:r>
        <w:t xml:space="preserve">esempio, se uno psicologo grazie all’IA può vedere 10 pazienti a</w:t>
      </w:r>
      <w:r>
        <w:t xml:space="preserve"> </w:t>
      </w:r>
      <w:r>
        <w:t xml:space="preserve">settimana invece di 8, l’aumento di capacità del 25% significa che per</w:t>
      </w:r>
      <w:r>
        <w:t xml:space="preserve"> </w:t>
      </w:r>
      <w:r>
        <w:t xml:space="preserve">coprire la stessa domanda servono meno assunzioni aggiuntive. Su larga</w:t>
      </w:r>
      <w:r>
        <w:t xml:space="preserve"> </w:t>
      </w:r>
      <w:r>
        <w:t xml:space="preserve">scala, questo contiene la crescita della spesa per personale.</w:t>
      </w:r>
      <w:r>
        <w:br/>
      </w:r>
      <w:r>
        <w:t xml:space="preserve">-</w:t>
      </w:r>
      <w:r>
        <w:t xml:space="preserve"> </w:t>
      </w:r>
      <w:r>
        <w:rPr>
          <w:i/>
          <w:iCs/>
        </w:rPr>
        <w:t xml:space="preserve">Minori costi di trasporto ed emergenza:</w:t>
      </w:r>
      <w:r>
        <w:t xml:space="preserve"> </w:t>
      </w:r>
      <w:r>
        <w:t xml:space="preserve">Un migliore monitoraggio</w:t>
      </w:r>
      <w:r>
        <w:t xml:space="preserve"> </w:t>
      </w:r>
      <w:r>
        <w:t xml:space="preserve">riduce interventi del 118 per crisi psichiatriche (ogni intervento</w:t>
      </w:r>
      <w:r>
        <w:t xml:space="preserve"> </w:t>
      </w:r>
      <w:r>
        <w:t xml:space="preserve">evitato fa risparmiare carburante, tempo equipaggi, ecc.) e riduce l’uso</w:t>
      </w:r>
      <w:r>
        <w:t xml:space="preserve"> </w:t>
      </w:r>
      <w:r>
        <w:t xml:space="preserve">improprio delle forze dell’ordine in caso di TSO evitati.</w:t>
      </w:r>
      <w:r>
        <w:br/>
      </w:r>
      <w:r>
        <w:t xml:space="preserve">-</w:t>
      </w:r>
      <w:r>
        <w:t xml:space="preserve"> </w:t>
      </w:r>
      <w:r>
        <w:rPr>
          <w:i/>
          <w:iCs/>
        </w:rPr>
        <w:t xml:space="preserve">Migliore aderenza e prevenzione ricadute:</w:t>
      </w:r>
      <w:r>
        <w:t xml:space="preserve"> </w:t>
      </w:r>
      <w:r>
        <w:t xml:space="preserve">Un paziente con disturbo</w:t>
      </w:r>
      <w:r>
        <w:t xml:space="preserve"> </w:t>
      </w:r>
      <w:r>
        <w:t xml:space="preserve">bipolare ben monitorato digitalmente avrà meno episodi maniacali gravi</w:t>
      </w:r>
      <w:r>
        <w:t xml:space="preserve"> </w:t>
      </w:r>
      <w:r>
        <w:t xml:space="preserve">che richiedono ricovero e costose terapie d’urgenza. Anche le</w:t>
      </w:r>
      <w:r>
        <w:t xml:space="preserve"> </w:t>
      </w:r>
      <w:r>
        <w:t xml:space="preserve">complicanze fisiche si riducono (es. meno abuso di sostanze come</w:t>
      </w:r>
      <w:r>
        <w:t xml:space="preserve"> </w:t>
      </w:r>
      <w:r>
        <w:rPr>
          <w:i/>
          <w:iCs/>
        </w:rPr>
        <w:t xml:space="preserve">automedicazione</w:t>
      </w:r>
      <w:r>
        <w:t xml:space="preserve"> </w:t>
      </w:r>
      <w:r>
        <w:t xml:space="preserve">non controllata, quindi meno cirrosi, meno traumi).</w:t>
      </w:r>
      <w:r>
        <w:t xml:space="preserve"> </w:t>
      </w:r>
      <w:r>
        <w:t xml:space="preserve">Tutto ciò taglia costi su altri capitoli di spesa sanitaria.</w:t>
      </w:r>
      <w:r>
        <w:br/>
      </w:r>
      <w:r>
        <w:t xml:space="preserve">-</w:t>
      </w:r>
      <w:r>
        <w:t xml:space="preserve"> </w:t>
      </w:r>
      <w:r>
        <w:rPr>
          <w:i/>
          <w:iCs/>
        </w:rPr>
        <w:t xml:space="preserve">Sinergie organizzative:</w:t>
      </w:r>
      <w:r>
        <w:t xml:space="preserve"> </w:t>
      </w:r>
      <w:r>
        <w:t xml:space="preserve">L’IA può favorire modelli di intervento meno</w:t>
      </w:r>
      <w:r>
        <w:t xml:space="preserve"> </w:t>
      </w:r>
      <w:r>
        <w:t xml:space="preserve">costosi ma efficaci, ad esempio</w:t>
      </w:r>
      <w:r>
        <w:t xml:space="preserve"> </w:t>
      </w:r>
      <w:r>
        <w:rPr>
          <w:b/>
          <w:bCs/>
        </w:rPr>
        <w:t xml:space="preserve">stepped care</w:t>
      </w:r>
      <w:r>
        <w:t xml:space="preserve">: trattare il paziente</w:t>
      </w:r>
      <w:r>
        <w:t xml:space="preserve"> </w:t>
      </w:r>
      <w:r>
        <w:t xml:space="preserve">col livello minimo efficace (es. chatbot + gruppo di auto-aiuto) e</w:t>
      </w:r>
      <w:r>
        <w:t xml:space="preserve"> </w:t>
      </w:r>
      <w:r>
        <w:t xml:space="preserve">scalare a intensità maggiori solo se necessario. Ciò evita di</w:t>
      </w:r>
      <w:r>
        <w:t xml:space="preserve"> </w:t>
      </w:r>
      <w:r>
        <w:t xml:space="preserve">sovrautilizzare risorse costose per casi lievi. Studi sullo stepped care</w:t>
      </w:r>
      <w:r>
        <w:t xml:space="preserve"> </w:t>
      </w:r>
      <w:r>
        <w:t xml:space="preserve">IAPT mostrano che</w:t>
      </w:r>
      <w:r>
        <w:t xml:space="preserve"> </w:t>
      </w:r>
      <w:r>
        <w:rPr>
          <w:b/>
          <w:bCs/>
        </w:rPr>
        <w:t xml:space="preserve">migliorare i tassi di recovery</w:t>
      </w:r>
      <w:r>
        <w:t xml:space="preserve"> </w:t>
      </w:r>
      <w:r>
        <w:t xml:space="preserve">con cure primarie</w:t>
      </w:r>
      <w:r>
        <w:t xml:space="preserve"> </w:t>
      </w:r>
      <w:r>
        <w:t xml:space="preserve">psicologiche produce risparmi in costi sanitari generali e incrementi di</w:t>
      </w:r>
      <w:r>
        <w:t xml:space="preserve"> </w:t>
      </w:r>
      <w:r>
        <w:t xml:space="preserve">QALY compensando ampiamente i costi aggiuntivi iniziali.</w:t>
      </w:r>
    </w:p>
    <w:p>
      <w:pPr>
        <w:pStyle w:val="BodyText"/>
      </w:pPr>
      <w:r>
        <w:t xml:space="preserve">In definitiva, l’adozione dell’IA nel servizio di Psicologia di Base</w:t>
      </w:r>
      <w:r>
        <w:t xml:space="preserve"> </w:t>
      </w:r>
      <w:r>
        <w:t xml:space="preserve">rappresenta non un costo extra fine a sé stesso, ma un</w:t>
      </w:r>
      <w:r>
        <w:t xml:space="preserve"> </w:t>
      </w:r>
      <w:r>
        <w:rPr>
          <w:b/>
          <w:bCs/>
        </w:rPr>
        <w:t xml:space="preserve">investimento</w:t>
      </w:r>
      <w:r>
        <w:rPr>
          <w:b/>
          <w:bCs/>
        </w:rPr>
        <w:t xml:space="preserve"> </w:t>
      </w:r>
      <w:r>
        <w:rPr>
          <w:b/>
          <w:bCs/>
        </w:rPr>
        <w:t xml:space="preserve">con forte ritorno economico</w:t>
      </w:r>
      <w:r>
        <w:t xml:space="preserve">. Certo, sarà essenziale misurare questi</w:t>
      </w:r>
      <w:r>
        <w:t xml:space="preserve"> </w:t>
      </w:r>
      <w:r>
        <w:t xml:space="preserve">impatti con studi locali di costo-efficacia man mano che il progetto</w:t>
      </w:r>
      <w:r>
        <w:t xml:space="preserve"> </w:t>
      </w:r>
      <w:r>
        <w:t xml:space="preserve">procede, così da aggiustare il tiro e massimizzare i benefici. Ma tutte</w:t>
      </w:r>
      <w:r>
        <w:t xml:space="preserve"> </w:t>
      </w:r>
      <w:r>
        <w:t xml:space="preserve">le evidenze suggeriscono che l’IA, se ben implementata, può rendere il</w:t>
      </w:r>
      <w:r>
        <w:t xml:space="preserve"> </w:t>
      </w:r>
      <w:r>
        <w:t xml:space="preserve">sistema più</w:t>
      </w:r>
      <w:r>
        <w:t xml:space="preserve"> </w:t>
      </w:r>
      <w:r>
        <w:rPr>
          <w:b/>
          <w:bCs/>
        </w:rPr>
        <w:t xml:space="preserve">value for money</w:t>
      </w:r>
      <w:r>
        <w:t xml:space="preserve">, consentendo di fare di più (più</w:t>
      </w:r>
      <w:r>
        <w:t xml:space="preserve"> </w:t>
      </w:r>
      <w:r>
        <w:t xml:space="preserve">assistenza, più presa in carico) con meno (meno sprechi e meno</w:t>
      </w:r>
      <w:r>
        <w:t xml:space="preserve"> </w:t>
      </w:r>
      <w:r>
        <w:t xml:space="preserve">aggravamenti costosi). Questo rafforza ulteriormente il razionale</w:t>
      </w:r>
      <w:r>
        <w:t xml:space="preserve"> </w:t>
      </w:r>
      <w:r>
        <w:t xml:space="preserve">evidence-based del progetto: l’innovazione digitale permette di superare</w:t>
      </w:r>
      <w:r>
        <w:t xml:space="preserve"> </w:t>
      </w:r>
      <w:r>
        <w:t xml:space="preserve">il trade-off tra ampliare i diritti alla salute mentale e sostenibilità</w:t>
      </w:r>
      <w:r>
        <w:t xml:space="preserve"> </w:t>
      </w:r>
      <w:r>
        <w:t xml:space="preserve">finanziaria, rendendo possibile offrire a tutti gli interventi precoci</w:t>
      </w:r>
      <w:r>
        <w:t xml:space="preserve"> </w:t>
      </w:r>
      <w:r>
        <w:t xml:space="preserve">necessari senza mandare fuori scala la spesa sanitaria. Come affermato</w:t>
      </w:r>
      <w:r>
        <w:t xml:space="preserve"> </w:t>
      </w:r>
      <w:r>
        <w:t xml:space="preserve">di recente dal Milbank Memorial Fund, è ora il momento di essere</w:t>
      </w:r>
      <w:r>
        <w:t xml:space="preserve"> </w:t>
      </w:r>
      <w:r>
        <w:t xml:space="preserve">creativi adottando la tecnologia per affrontare la crisi della salute</w:t>
      </w:r>
      <w:r>
        <w:t xml:space="preserve"> </w:t>
      </w:r>
      <w:r>
        <w:t xml:space="preserve">mentale, poiché le soluzioni tradizionali non saranno sufficienti. L’IA</w:t>
      </w:r>
      <w:r>
        <w:t xml:space="preserve"> </w:t>
      </w:r>
      <w:r>
        <w:t xml:space="preserve">è uno strumento chiave per</w:t>
      </w:r>
      <w:r>
        <w:t xml:space="preserve"> </w:t>
      </w:r>
      <w:r>
        <w:t xml:space="preserve">“</w:t>
      </w:r>
      <w:r>
        <w:t xml:space="preserve">piegare la curva</w:t>
      </w:r>
      <w:r>
        <w:t xml:space="preserve">”</w:t>
      </w:r>
      <w:r>
        <w:t xml:space="preserve"> </w:t>
      </w:r>
      <w:r>
        <w:t xml:space="preserve">dei costi futuri, evitando</w:t>
      </w:r>
      <w:r>
        <w:t xml:space="preserve"> </w:t>
      </w:r>
      <w:r>
        <w:t xml:space="preserve">che il peso economico dei disturbi mentali – proiettato in crescita</w:t>
      </w:r>
      <w:r>
        <w:t xml:space="preserve"> </w:t>
      </w:r>
      <w:r>
        <w:t xml:space="preserve">esponenziale – soffochi il sistema (negli USA si stima un costo da</w:t>
      </w:r>
      <w:r>
        <w:t xml:space="preserve"> </w:t>
      </w:r>
      <w:r>
        <w:t xml:space="preserve">$478 miliardi nel 2024 che potrebbe salire a $1.3 trilioni entro il</w:t>
      </w:r>
      <w:r>
        <w:t xml:space="preserve"> </w:t>
      </w:r>
      <w:r>
        <w:t xml:space="preserve">2040 se non si interviene). Puglia, partendo ora, può invertire la rotta</w:t>
      </w:r>
      <w:r>
        <w:t xml:space="preserve"> </w:t>
      </w:r>
      <w:r>
        <w:t xml:space="preserve">e diventare un modello di</w:t>
      </w:r>
      <w:r>
        <w:t xml:space="preserve"> </w:t>
      </w:r>
      <w:r>
        <w:rPr>
          <w:b/>
          <w:bCs/>
        </w:rPr>
        <w:t xml:space="preserve">efficienza e innovazione</w:t>
      </w:r>
      <w:r>
        <w:t xml:space="preserve"> </w:t>
      </w:r>
      <w:r>
        <w:t xml:space="preserve">in questo campo.</w:t>
      </w:r>
    </w:p>
    <w:bookmarkEnd w:id="2650"/>
    <w:bookmarkStart w:id="2651" w:name="X752cd00fbc26ca972bbc546669df7888f02b639"/>
    <w:p>
      <w:pPr>
        <w:pStyle w:val="Heading3"/>
      </w:pPr>
      <w:r>
        <w:t xml:space="preserve">Formazione del Personale Sanitario all’IA e Potenziamento del Servizio</w:t>
      </w:r>
    </w:p>
    <w:p>
      <w:pPr>
        <w:pStyle w:val="FirstParagraph"/>
      </w:pPr>
      <w:r>
        <w:t xml:space="preserve">L’implementazione efficace dell’IA nei servizi sanitari richiede non</w:t>
      </w:r>
      <w:r>
        <w:t xml:space="preserve"> </w:t>
      </w:r>
      <w:r>
        <w:t xml:space="preserve">solo la tecnologia in sé, ma anche un investimento sostanziale nella</w:t>
      </w:r>
      <w:r>
        <w:t xml:space="preserve"> </w:t>
      </w:r>
      <w:r>
        <w:rPr>
          <w:b/>
          <w:bCs/>
        </w:rPr>
        <w:t xml:space="preserve">formazione degli operatori sanitari</w:t>
      </w:r>
      <w:r>
        <w:t xml:space="preserve"> </w:t>
      </w:r>
      <w:r>
        <w:t xml:space="preserve">a tutti i livelli. Medici di</w:t>
      </w:r>
      <w:r>
        <w:t xml:space="preserve"> </w:t>
      </w:r>
      <w:r>
        <w:t xml:space="preserve">medicina generale (MMG), psicologi, psichiatri, infermieri dei CSM e</w:t>
      </w:r>
      <w:r>
        <w:t xml:space="preserve"> </w:t>
      </w:r>
      <w:r>
        <w:t xml:space="preserve">altri attori coinvolti dovranno acquisire competenze e fiducia</w:t>
      </w:r>
      <w:r>
        <w:t xml:space="preserve"> </w:t>
      </w:r>
      <w:r>
        <w:t xml:space="preserve">nell’utilizzo degli strumenti di IA, così da poterli integrare con</w:t>
      </w:r>
      <w:r>
        <w:t xml:space="preserve"> </w:t>
      </w:r>
      <w:r>
        <w:t xml:space="preserve">competenza nella pratica quotidiana. Esaminiamo come la formazione</w:t>
      </w:r>
      <w:r>
        <w:t xml:space="preserve"> </w:t>
      </w:r>
      <w:r>
        <w:t xml:space="preserve">mirata del personale possa potenziare l’efficacia del servizio Psicologo</w:t>
      </w:r>
      <w:r>
        <w:t xml:space="preserve"> </w:t>
      </w:r>
      <w:r>
        <w:t xml:space="preserve">di Base e rispondere meglio al quadro di bisogno, garantendo al contempo</w:t>
      </w:r>
      <w:r>
        <w:t xml:space="preserve"> </w:t>
      </w:r>
      <w:r>
        <w:t xml:space="preserve">un uso sicuro e appropriato dell’IA.</w:t>
      </w:r>
    </w:p>
    <w:p>
      <w:pPr>
        <w:pStyle w:val="BodyText"/>
      </w:pPr>
      <w:r>
        <w:rPr>
          <w:b/>
          <w:bCs/>
        </w:rPr>
        <w:t xml:space="preserve">1. Alfabetizzazione digitale e comprensione dell’IA:</w:t>
      </w:r>
      <w:r>
        <w:t xml:space="preserve"> </w:t>
      </w:r>
      <w:r>
        <w:t xml:space="preserve">In primo luogo,</w:t>
      </w:r>
      <w:r>
        <w:t xml:space="preserve"> </w:t>
      </w:r>
      <w:r>
        <w:t xml:space="preserve">è cruciale che gli operatori comprendano almeno a grandi linee cosa sia</w:t>
      </w:r>
      <w:r>
        <w:t xml:space="preserve"> </w:t>
      </w:r>
      <w:r>
        <w:t xml:space="preserve">(e cosa non sia) l’Intelligenza Artificiale. Ciò significa spiegare i</w:t>
      </w:r>
      <w:r>
        <w:t xml:space="preserve"> </w:t>
      </w:r>
      <w:r>
        <w:t xml:space="preserve">concetti base: algoritmi, machine learning, potenzialità e limiti. Il</w:t>
      </w:r>
      <w:r>
        <w:t xml:space="preserve"> </w:t>
      </w:r>
      <w:r>
        <w:t xml:space="preserve">rischio infatti è che senza formazione il personale sanitario veda l’IA</w:t>
      </w:r>
      <w:r>
        <w:t xml:space="preserve"> </w:t>
      </w:r>
      <w:r>
        <w:t xml:space="preserve">o come una</w:t>
      </w:r>
      <w:r>
        <w:t xml:space="preserve"> </w:t>
      </w:r>
      <w:r>
        <w:t xml:space="preserve">“</w:t>
      </w:r>
      <w:r>
        <w:t xml:space="preserve">scatola nera</w:t>
      </w:r>
      <w:r>
        <w:t xml:space="preserve">”</w:t>
      </w:r>
      <w:r>
        <w:t xml:space="preserve"> </w:t>
      </w:r>
      <w:r>
        <w:t xml:space="preserve">inaffidabile, o al contrario vi riponga troppa</w:t>
      </w:r>
      <w:r>
        <w:t xml:space="preserve"> </w:t>
      </w:r>
      <w:r>
        <w:t xml:space="preserve">fiducia acritica. Entrambi gli estremi sono pericolosi. Corsi di</w:t>
      </w:r>
      <w:r>
        <w:t xml:space="preserve"> </w:t>
      </w:r>
      <w:r>
        <w:t xml:space="preserve">formazione specifici dovrebbero illustrare come gli strumenti IA</w:t>
      </w:r>
      <w:r>
        <w:t xml:space="preserve"> </w:t>
      </w:r>
      <w:r>
        <w:t xml:space="preserve">adottati sono stati sviluppati, quali dati utilizzano, con che</w:t>
      </w:r>
      <w:r>
        <w:t xml:space="preserve"> </w:t>
      </w:r>
      <w:r>
        <w:t xml:space="preserve">accuratezza operano (es. sensibilità, specificità dei modelli</w:t>
      </w:r>
      <w:r>
        <w:t xml:space="preserve"> </w:t>
      </w:r>
      <w:r>
        <w:t xml:space="preserve">predittivi) e quali</w:t>
      </w:r>
      <w:r>
        <w:t xml:space="preserve"> </w:t>
      </w:r>
      <w:r>
        <w:rPr>
          <w:i/>
          <w:iCs/>
        </w:rPr>
        <w:t xml:space="preserve">bias</w:t>
      </w:r>
      <w:r>
        <w:t xml:space="preserve"> </w:t>
      </w:r>
      <w:r>
        <w:t xml:space="preserve">possono avere. Ad esempio, se si introduce un</w:t>
      </w:r>
      <w:r>
        <w:t xml:space="preserve"> </w:t>
      </w:r>
      <w:r>
        <w:t xml:space="preserve">algoritmo di rischio suicidio, gli psichiatri e psicologi devono capire</w:t>
      </w:r>
      <w:r>
        <w:t xml:space="preserve"> </w:t>
      </w:r>
      <w:r>
        <w:t xml:space="preserve">che questo stima una probabilità basata su dati statistici e che va</w:t>
      </w:r>
      <w:r>
        <w:t xml:space="preserve"> </w:t>
      </w:r>
      <w:r>
        <w:t xml:space="preserve">usato come</w:t>
      </w:r>
      <w:r>
        <w:t xml:space="preserve"> </w:t>
      </w:r>
      <w:r>
        <w:rPr>
          <w:i/>
          <w:iCs/>
        </w:rPr>
        <w:t xml:space="preserve">supporto</w:t>
      </w:r>
      <w:r>
        <w:t xml:space="preserve"> </w:t>
      </w:r>
      <w:r>
        <w:t xml:space="preserve">e non come verità assoluta. Analogamente, i MMG</w:t>
      </w:r>
      <w:r>
        <w:t xml:space="preserve"> </w:t>
      </w:r>
      <w:r>
        <w:t xml:space="preserve">che useranno un sintomi-checker IA devono sapere che è addestrato su</w:t>
      </w:r>
      <w:r>
        <w:t xml:space="preserve"> </w:t>
      </w:r>
      <w:r>
        <w:t xml:space="preserve">casistiche ampie ma potrebbe non cogliere sfumature individuali. In</w:t>
      </w:r>
      <w:r>
        <w:t xml:space="preserve"> </w:t>
      </w:r>
      <w:r>
        <w:t xml:space="preserve">pratica, la formazione deve creare un</w:t>
      </w:r>
      <w:r>
        <w:t xml:space="preserve"> </w:t>
      </w:r>
      <w:r>
        <w:rPr>
          <w:b/>
          <w:bCs/>
        </w:rPr>
        <w:t xml:space="preserve">operatore</w:t>
      </w:r>
      <w:r>
        <w:rPr>
          <w:b/>
          <w:bCs/>
        </w:rPr>
        <w:t xml:space="preserve"> </w:t>
      </w:r>
      <w:r>
        <w:rPr>
          <w:b/>
          <w:bCs/>
        </w:rPr>
        <w:t xml:space="preserve">“</w:t>
      </w:r>
      <w:r>
        <w:rPr>
          <w:b/>
          <w:bCs/>
        </w:rPr>
        <w:t xml:space="preserve">IA-aware</w:t>
      </w:r>
      <w:r>
        <w:rPr>
          <w:b/>
          <w:bCs/>
        </w:rPr>
        <w:t xml:space="preserve">”</w:t>
      </w:r>
      <w:r>
        <w:t xml:space="preserve">, conscio</w:t>
      </w:r>
      <w:r>
        <w:t xml:space="preserve"> </w:t>
      </w:r>
      <w:r>
        <w:t xml:space="preserve">di pregi e difetti: come affermano Lomis et al. (National Academy of</w:t>
      </w:r>
      <w:r>
        <w:t xml:space="preserve"> </w:t>
      </w:r>
      <w:r>
        <w:t xml:space="preserve">Medicine), occorre agire subito per incorporare l’addestramento sull’IA</w:t>
      </w:r>
      <w:r>
        <w:t xml:space="preserve"> </w:t>
      </w:r>
      <w:r>
        <w:t xml:space="preserve">nella formazione dei professionisti della salute, altrimenti rischiamo</w:t>
      </w:r>
      <w:r>
        <w:t xml:space="preserve"> </w:t>
      </w:r>
      <w:r>
        <w:t xml:space="preserve">una forza lavoro impreparata a sfruttarne le promesse o a gestirne i</w:t>
      </w:r>
      <w:r>
        <w:t xml:space="preserve"> </w:t>
      </w:r>
      <w:r>
        <w:t xml:space="preserve">rischi. In Puglia, si potrebbero organizzare workshop regionali</w:t>
      </w:r>
      <w:r>
        <w:t xml:space="preserve"> </w:t>
      </w:r>
      <w:r>
        <w:t xml:space="preserve">multidisciplinari (coinvolgendo MMG, personale dei DSM, ecc.) dove</w:t>
      </w:r>
      <w:r>
        <w:t xml:space="preserve"> </w:t>
      </w:r>
      <w:r>
        <w:t xml:space="preserve">esperti di sanità digitale illustrano casi d’uso e fanno</w:t>
      </w:r>
      <w:r>
        <w:t xml:space="preserve"> </w:t>
      </w:r>
      <w:r>
        <w:rPr>
          <w:i/>
          <w:iCs/>
        </w:rPr>
        <w:t xml:space="preserve">demo</w:t>
      </w:r>
      <w:r>
        <w:t xml:space="preserve"> </w:t>
      </w:r>
      <w:r>
        <w:t xml:space="preserve">pratiche</w:t>
      </w:r>
      <w:r>
        <w:t xml:space="preserve"> </w:t>
      </w:r>
      <w:r>
        <w:t xml:space="preserve">degli strumenti IA introdotti.</w:t>
      </w:r>
    </w:p>
    <w:p>
      <w:pPr>
        <w:pStyle w:val="BodyText"/>
      </w:pPr>
      <w:r>
        <w:rPr>
          <w:b/>
          <w:bCs/>
        </w:rPr>
        <w:t xml:space="preserve">2. Sviluppo di competenze operative specifiche:</w:t>
      </w:r>
      <w:r>
        <w:t xml:space="preserve"> </w:t>
      </w:r>
      <w:r>
        <w:t xml:space="preserve">Oltre alla teoria,</w:t>
      </w:r>
      <w:r>
        <w:t xml:space="preserve"> </w:t>
      </w:r>
      <w:r>
        <w:t xml:space="preserve">gli operatori devono imparare</w:t>
      </w:r>
      <w:r>
        <w:t xml:space="preserve"> </w:t>
      </w:r>
      <w:r>
        <w:rPr>
          <w:b/>
          <w:bCs/>
        </w:rPr>
        <w:t xml:space="preserve">praticamente</w:t>
      </w:r>
      <w:r>
        <w:t xml:space="preserve"> </w:t>
      </w:r>
      <w:r>
        <w:t xml:space="preserve">a usare gli strumenti.</w:t>
      </w:r>
      <w:r>
        <w:t xml:space="preserve"> </w:t>
      </w:r>
      <w:r>
        <w:t xml:space="preserve">Per esempio, se viene implementato un nuovo software di triage con</w:t>
      </w:r>
      <w:r>
        <w:t xml:space="preserve"> </w:t>
      </w:r>
      <w:r>
        <w:t xml:space="preserve">chatbot, gli psicologi di base e infermieri devono fare training su come</w:t>
      </w:r>
      <w:r>
        <w:t xml:space="preserve"> </w:t>
      </w:r>
      <w:r>
        <w:t xml:space="preserve">funziona l’interfaccia di back-end: cosa vedono del dialogo tra bot e</w:t>
      </w:r>
      <w:r>
        <w:t xml:space="preserve"> </w:t>
      </w:r>
      <w:r>
        <w:t xml:space="preserve">paziente? Come intervenire se il bot li allerta di un caso urgente?</w:t>
      </w:r>
      <w:r>
        <w:t xml:space="preserve"> </w:t>
      </w:r>
      <w:r>
        <w:t xml:space="preserve">Devono avere protocolli chiari su come comportarsi. La formazione quindi</w:t>
      </w:r>
      <w:r>
        <w:t xml:space="preserve"> </w:t>
      </w:r>
      <w:r>
        <w:t xml:space="preserve">deve includere esercitazioni, simulazioni di casi, addestramento</w:t>
      </w:r>
      <w:r>
        <w:t xml:space="preserve"> </w:t>
      </w:r>
      <w:r>
        <w:t xml:space="preserve">“</w:t>
      </w:r>
      <w:r>
        <w:t xml:space="preserve">sul</w:t>
      </w:r>
      <w:r>
        <w:t xml:space="preserve"> </w:t>
      </w:r>
      <w:r>
        <w:t xml:space="preserve">campo</w:t>
      </w:r>
      <w:r>
        <w:t xml:space="preserve">”</w:t>
      </w:r>
      <w:r>
        <w:t xml:space="preserve"> </w:t>
      </w:r>
      <w:r>
        <w:t xml:space="preserve">con supervisione. Per i MMG, potrebbe essere utile un modulo di</w:t>
      </w:r>
      <w:r>
        <w:t xml:space="preserve"> </w:t>
      </w:r>
      <w:r>
        <w:t xml:space="preserve">e-learning accreditato ECM sull’uso di sistemi decisionali IA in</w:t>
      </w:r>
      <w:r>
        <w:t xml:space="preserve"> </w:t>
      </w:r>
      <w:r>
        <w:t xml:space="preserve">medicina generale, con esempi:</w:t>
      </w:r>
      <w:r>
        <w:t xml:space="preserve"> </w:t>
      </w:r>
      <w:r>
        <w:rPr>
          <w:i/>
          <w:iCs/>
        </w:rPr>
        <w:t xml:space="preserve">case study</w:t>
      </w:r>
      <w:r>
        <w:t xml:space="preserve"> </w:t>
      </w:r>
      <w:r>
        <w:t xml:space="preserve">su come l’IA suggerisce una</w:t>
      </w:r>
      <w:r>
        <w:t xml:space="preserve"> </w:t>
      </w:r>
      <w:r>
        <w:t xml:space="preserve">diagnosi e come validarla. La letteratura suggerisce che quando i</w:t>
      </w:r>
      <w:r>
        <w:t xml:space="preserve"> </w:t>
      </w:r>
      <w:r>
        <w:t xml:space="preserve">clinici vengono coinvolti attivamente nel percorso di apprendimento</w:t>
      </w:r>
      <w:r>
        <w:t xml:space="preserve"> </w:t>
      </w:r>
      <w:r>
        <w:t xml:space="preserve">tecnologico, l’adozione è molto maggiore e l’IA viene usata</w:t>
      </w:r>
      <w:r>
        <w:t xml:space="preserve"> </w:t>
      </w:r>
      <w:r>
        <w:t xml:space="preserve">correttamente (es. senza over-reliance). Un aspetto importante è la</w:t>
      </w:r>
      <w:r>
        <w:t xml:space="preserve"> </w:t>
      </w:r>
      <w:r>
        <w:rPr>
          <w:b/>
          <w:bCs/>
        </w:rPr>
        <w:t xml:space="preserve">fiducia nell’algoritmo</w:t>
      </w:r>
      <w:r>
        <w:t xml:space="preserve">: se non formati, alcuni potrebbero ignorare</w:t>
      </w:r>
      <w:r>
        <w:t xml:space="preserve"> </w:t>
      </w:r>
      <w:r>
        <w:t xml:space="preserve">sistematicamente i suggerimenti dell’IA (vedendoli come interferenze)</w:t>
      </w:r>
      <w:r>
        <w:t xml:space="preserve"> </w:t>
      </w:r>
      <w:r>
        <w:t xml:space="preserve">oppure affidarsi ciecamente. La formazione dovrebbe insegnare a trovare</w:t>
      </w:r>
      <w:r>
        <w:t xml:space="preserve"> </w:t>
      </w:r>
      <w:r>
        <w:t xml:space="preserve">il giusto bilanciamento, mostrando evidenze: ad esempio far vedere ai</w:t>
      </w:r>
      <w:r>
        <w:t xml:space="preserve"> </w:t>
      </w:r>
      <w:r>
        <w:t xml:space="preserve">MMG i dati del modello di rischio con e senza IA (come nell’esperimento</w:t>
      </w:r>
      <w:r>
        <w:t xml:space="preserve"> </w:t>
      </w:r>
      <w:r>
        <w:t xml:space="preserve">di Simon et al., dove si può mostrare che l’algoritmo individua molti</w:t>
      </w:r>
      <w:r>
        <w:t xml:space="preserve"> </w:t>
      </w:r>
      <w:r>
        <w:t xml:space="preserve">più casi ad alto rischio di quelli che emergerebbero solo col giudizio</w:t>
      </w:r>
      <w:r>
        <w:t xml:space="preserve"> </w:t>
      </w:r>
      <w:r>
        <w:t xml:space="preserve">umano). Questo convincerà gli scettici dell’utilità, ma al contempo</w:t>
      </w:r>
      <w:r>
        <w:t xml:space="preserve"> </w:t>
      </w:r>
      <w:r>
        <w:t xml:space="preserve">evidenziare i falsi positivi e falsi negativi attesi li terrà cauti. La</w:t>
      </w:r>
      <w:r>
        <w:t xml:space="preserve"> </w:t>
      </w:r>
      <w:r>
        <w:rPr>
          <w:b/>
          <w:bCs/>
        </w:rPr>
        <w:t xml:space="preserve">formazione continua</w:t>
      </w:r>
      <w:r>
        <w:t xml:space="preserve"> </w:t>
      </w:r>
      <w:r>
        <w:t xml:space="preserve">dovrà aggiornare sulle eventuali revisioni degli</w:t>
      </w:r>
      <w:r>
        <w:t xml:space="preserve"> </w:t>
      </w:r>
      <w:r>
        <w:t xml:space="preserve">algoritmi (ad es. se il modello cambia, informare i clinici che ora il</w:t>
      </w:r>
      <w:r>
        <w:t xml:space="preserve"> </w:t>
      </w:r>
      <w:r>
        <w:t xml:space="preserve">cut-off è diverso ecc.). Inoltre, andrebbe creata la figura di</w:t>
      </w:r>
      <w:r>
        <w:t xml:space="preserve"> </w:t>
      </w:r>
      <w:r>
        <w:rPr>
          <w:i/>
          <w:iCs/>
        </w:rPr>
        <w:t xml:space="preserve">referenti IA</w:t>
      </w:r>
      <w:r>
        <w:t xml:space="preserve"> </w:t>
      </w:r>
      <w:r>
        <w:t xml:space="preserve">in ogni distretto/ASL: operatori particolarmente formati</w:t>
      </w:r>
      <w:r>
        <w:t xml:space="preserve"> </w:t>
      </w:r>
      <w:r>
        <w:t xml:space="preserve">(es. uno psicologo e un medico per ASL) che fanno da tutor ai colleghi,</w:t>
      </w:r>
      <w:r>
        <w:t xml:space="preserve"> </w:t>
      </w:r>
      <w:r>
        <w:t xml:space="preserve">rispondono a dubbi sull’uso dei tool e raccolgono feedback da riportare</w:t>
      </w:r>
      <w:r>
        <w:t xml:space="preserve"> </w:t>
      </w:r>
      <w:r>
        <w:t xml:space="preserve">al team regionale.</w:t>
      </w:r>
    </w:p>
    <w:p>
      <w:pPr>
        <w:pStyle w:val="BodyText"/>
      </w:pPr>
      <w:r>
        <w:rPr>
          <w:b/>
          <w:bCs/>
        </w:rPr>
        <w:t xml:space="preserve">3. Integrazione nei flussi di lavoro e protocolli:</w:t>
      </w:r>
      <w:r>
        <w:t xml:space="preserve"> </w:t>
      </w:r>
      <w:r>
        <w:t xml:space="preserve">Per potenziare</w:t>
      </w:r>
      <w:r>
        <w:t xml:space="preserve"> </w:t>
      </w:r>
      <w:r>
        <w:t xml:space="preserve">davvero l’efficacia del servizio grazie all’IA, gli operatori devono</w:t>
      </w:r>
      <w:r>
        <w:t xml:space="preserve"> </w:t>
      </w:r>
      <w:r>
        <w:t xml:space="preserve">sapere</w:t>
      </w:r>
      <w:r>
        <w:t xml:space="preserve"> </w:t>
      </w:r>
      <w:r>
        <w:rPr>
          <w:b/>
          <w:bCs/>
        </w:rPr>
        <w:t xml:space="preserve">quando e come</w:t>
      </w:r>
      <w:r>
        <w:t xml:space="preserve"> </w:t>
      </w:r>
      <w:r>
        <w:t xml:space="preserve">usare gli strumenti nel percorso assistenziale.</w:t>
      </w:r>
      <w:r>
        <w:t xml:space="preserve"> </w:t>
      </w:r>
      <w:r>
        <w:t xml:space="preserve">Ciò implica aggiornare i protocolli clinici includendo l’IA come</w:t>
      </w:r>
      <w:r>
        <w:t xml:space="preserve"> </w:t>
      </w:r>
      <w:r>
        <w:t xml:space="preserve">componente. Ad esempio: protocollo per gestione depressione nel progetto</w:t>
      </w:r>
      <w:r>
        <w:t xml:space="preserve"> </w:t>
      </w:r>
      <w:r>
        <w:t xml:space="preserve">Psicologo di Base potrebbe prevedere</w:t>
      </w:r>
      <w:r>
        <w:t xml:space="preserve"> </w:t>
      </w:r>
      <w:r>
        <w:t xml:space="preserve">“</w:t>
      </w:r>
      <w:r>
        <w:t xml:space="preserve">Step 1: invio del link al chatbot</w:t>
      </w:r>
      <w:r>
        <w:t xml:space="preserve"> </w:t>
      </w:r>
      <w:r>
        <w:t xml:space="preserve">regionale per auto-monitoraggio settimanale; Step 2: se punteggio PHQ-9</w:t>
      </w:r>
      <w:r>
        <w:t xml:space="preserve"> </w:t>
      </w:r>
      <w:r>
        <w:t xml:space="preserve">rilevato da IA &gt; soglia, allertare lo psicologo di base per chiamata</w:t>
      </w:r>
      <w:r>
        <w:t xml:space="preserve"> </w:t>
      </w:r>
      <w:r>
        <w:t xml:space="preserve">proattiva</w:t>
      </w:r>
      <w:r>
        <w:t xml:space="preserve">”</w:t>
      </w:r>
      <w:r>
        <w:t xml:space="preserve">. Il personale va formato su tali flussi: lo psicologo deve</w:t>
      </w:r>
      <w:r>
        <w:t xml:space="preserve"> </w:t>
      </w:r>
      <w:r>
        <w:t xml:space="preserve">sapere che riceverà notifiche dal sistema IA e che deve reagire in tempi</w:t>
      </w:r>
      <w:r>
        <w:t xml:space="preserve"> </w:t>
      </w:r>
      <w:r>
        <w:t xml:space="preserve">definiti. I MMG devono essere istruiti a far utilizzare ai pazienti</w:t>
      </w:r>
      <w:r>
        <w:t xml:space="preserve"> </w:t>
      </w:r>
      <w:r>
        <w:t xml:space="preserve">certi strumenti: es. insegnare al paziente come scaricare l’app di</w:t>
      </w:r>
      <w:r>
        <w:t xml:space="preserve"> </w:t>
      </w:r>
      <w:r>
        <w:t xml:space="preserve">telemonitoraggio e concordare che il medico vedrà i dati. Insomma, l’IA</w:t>
      </w:r>
      <w:r>
        <w:t xml:space="preserve"> </w:t>
      </w:r>
      <w:r>
        <w:t xml:space="preserve">deve diventare parte integrante del processo di cura, non un gadget</w:t>
      </w:r>
      <w:r>
        <w:t xml:space="preserve"> </w:t>
      </w:r>
      <w:r>
        <w:t xml:space="preserve">opzionale. La formazione dovrebbe includere</w:t>
      </w:r>
      <w:r>
        <w:t xml:space="preserve"> </w:t>
      </w:r>
      <w:r>
        <w:rPr>
          <w:b/>
          <w:bCs/>
        </w:rPr>
        <w:t xml:space="preserve">simulazioni</w:t>
      </w:r>
      <w:r>
        <w:rPr>
          <w:b/>
          <w:bCs/>
        </w:rPr>
        <w:t xml:space="preserve"> </w:t>
      </w:r>
      <w:r>
        <w:rPr>
          <w:b/>
          <w:bCs/>
        </w:rPr>
        <w:t xml:space="preserve">interprofessionali</w:t>
      </w:r>
      <w:r>
        <w:t xml:space="preserve">: es. si simula un paziente fittizio che scrive al</w:t>
      </w:r>
      <w:r>
        <w:t xml:space="preserve"> </w:t>
      </w:r>
      <w:r>
        <w:t xml:space="preserve">chatbot, il bot genera un alert di rischio suicidio, l’infermiere del</w:t>
      </w:r>
      <w:r>
        <w:t xml:space="preserve"> </w:t>
      </w:r>
      <w:r>
        <w:t xml:space="preserve">CSM riceve l’alert e deve seguire il protocollo (chiamare il paziente,</w:t>
      </w:r>
      <w:r>
        <w:t xml:space="preserve"> </w:t>
      </w:r>
      <w:r>
        <w:t xml:space="preserve">avvisare il medico reperibile, ecc.). In tal modo, tutti imparano i</w:t>
      </w:r>
      <w:r>
        <w:t xml:space="preserve"> </w:t>
      </w:r>
      <w:r>
        <w:t xml:space="preserve">propri compiti e coordinamento. Questo esercizio migliora la</w:t>
      </w:r>
      <w:r>
        <w:t xml:space="preserve"> </w:t>
      </w:r>
      <w:r>
        <w:t xml:space="preserve">preparazione del team a situazioni reali, assicurando che l’IA sia usata</w:t>
      </w:r>
      <w:r>
        <w:t xml:space="preserve"> </w:t>
      </w:r>
      <w:r>
        <w:t xml:space="preserve">tempestivamente e appropriatamente, massimizzandone l’impatto.</w:t>
      </w:r>
    </w:p>
    <w:p>
      <w:pPr>
        <w:pStyle w:val="BodyText"/>
      </w:pPr>
      <w:r>
        <w:rPr>
          <w:b/>
          <w:bCs/>
        </w:rPr>
        <w:t xml:space="preserve">4. Accettazione e coinvolgimento attivo degli operatori:</w:t>
      </w:r>
      <w:r>
        <w:t xml:space="preserve"> </w:t>
      </w:r>
      <w:r>
        <w:t xml:space="preserve">Un servizio</w:t>
      </w:r>
      <w:r>
        <w:t xml:space="preserve"> </w:t>
      </w:r>
      <w:r>
        <w:t xml:space="preserve">è efficace solo se le persone che ne fanno parte lo sostengono</w:t>
      </w:r>
      <w:r>
        <w:t xml:space="preserve"> </w:t>
      </w:r>
      <w:r>
        <w:t xml:space="preserve">attivamente. Per evitare resistenze o uso subottimale, il personale deve</w:t>
      </w:r>
      <w:r>
        <w:t xml:space="preserve"> </w:t>
      </w:r>
      <w:r>
        <w:t xml:space="preserve">sentirsi</w:t>
      </w:r>
      <w:r>
        <w:t xml:space="preserve"> </w:t>
      </w:r>
      <w:r>
        <w:rPr>
          <w:b/>
          <w:bCs/>
        </w:rPr>
        <w:t xml:space="preserve">parte del cambiamento</w:t>
      </w:r>
      <w:r>
        <w:t xml:space="preserve"> </w:t>
      </w:r>
      <w:r>
        <w:t xml:space="preserve">e non vittima. Coinvolgere gli</w:t>
      </w:r>
      <w:r>
        <w:t xml:space="preserve"> </w:t>
      </w:r>
      <w:r>
        <w:t xml:space="preserve">operatori sin dalla fase progettuale (ad es. raccogliendo input su cosa</w:t>
      </w:r>
      <w:r>
        <w:t xml:space="preserve"> </w:t>
      </w:r>
      <w:r>
        <w:t xml:space="preserve">vorrebbero da un certo algoritmo, o pilotando con alcuni</w:t>
      </w:r>
      <w:r>
        <w:t xml:space="preserve"> </w:t>
      </w:r>
      <w:r>
        <w:t xml:space="preserve">“</w:t>
      </w:r>
      <w:r>
        <w:t xml:space="preserve">champion</w:t>
      </w:r>
      <w:r>
        <w:t xml:space="preserve">”</w:t>
      </w:r>
      <w:r>
        <w:t xml:space="preserve"> </w:t>
      </w:r>
      <w:r>
        <w:t xml:space="preserve">entusiasti) è già formazione sul campo e crea</w:t>
      </w:r>
      <w:r>
        <w:t xml:space="preserve"> </w:t>
      </w:r>
      <w:r>
        <w:rPr>
          <w:i/>
          <w:iCs/>
        </w:rPr>
        <w:t xml:space="preserve">ownership</w:t>
      </w:r>
      <w:r>
        <w:t xml:space="preserve">. Inoltre, è</w:t>
      </w:r>
      <w:r>
        <w:t xml:space="preserve"> </w:t>
      </w:r>
      <w:r>
        <w:t xml:space="preserve">importante indirizzare le comprensibili ansie: alcuni psicologi</w:t>
      </w:r>
      <w:r>
        <w:t xml:space="preserve"> </w:t>
      </w:r>
      <w:r>
        <w:t xml:space="preserve">potrebbero temere che il chatbot</w:t>
      </w:r>
      <w:r>
        <w:t xml:space="preserve"> </w:t>
      </w:r>
      <w:r>
        <w:t xml:space="preserve">“</w:t>
      </w:r>
      <w:r>
        <w:t xml:space="preserve">rubi il lavoro</w:t>
      </w:r>
      <w:r>
        <w:t xml:space="preserve">”</w:t>
      </w:r>
      <w:r>
        <w:t xml:space="preserve"> </w:t>
      </w:r>
      <w:r>
        <w:t xml:space="preserve">o sminuisca la</w:t>
      </w:r>
      <w:r>
        <w:t xml:space="preserve"> </w:t>
      </w:r>
      <w:r>
        <w:t xml:space="preserve">relazione umana; i medici potrebbero dubitare della privacy o della</w:t>
      </w:r>
      <w:r>
        <w:t xml:space="preserve"> </w:t>
      </w:r>
      <w:r>
        <w:t xml:space="preserve">sicurezza. La formazione deve affrontare questi punti in modo</w:t>
      </w:r>
      <w:r>
        <w:t xml:space="preserve"> </w:t>
      </w:r>
      <w:r>
        <w:t xml:space="preserve">trasparente, spiegando che l’IA è lì per delegare compiti noiosi e</w:t>
      </w:r>
      <w:r>
        <w:t xml:space="preserve"> </w:t>
      </w:r>
      <w:r>
        <w:t xml:space="preserve">ripetitivi (compilazione schede, screening iniziale) liberando tempo per</w:t>
      </w:r>
      <w:r>
        <w:t xml:space="preserve"> </w:t>
      </w:r>
      <w:r>
        <w:t xml:space="preserve">ciò che solo l’umano può fare – l’empatia, il giudizio clinico</w:t>
      </w:r>
      <w:r>
        <w:t xml:space="preserve"> </w:t>
      </w:r>
      <w:r>
        <w:t xml:space="preserve">complesso. In letteratura si parla di</w:t>
      </w:r>
      <w:r>
        <w:t xml:space="preserve"> </w:t>
      </w:r>
      <w:r>
        <w:rPr>
          <w:b/>
          <w:bCs/>
        </w:rPr>
        <w:t xml:space="preserve">augmented intelligence</w:t>
      </w:r>
      <w:r>
        <w:t xml:space="preserve"> </w:t>
      </w:r>
      <w:r>
        <w:t xml:space="preserve">proprio</w:t>
      </w:r>
      <w:r>
        <w:t xml:space="preserve"> </w:t>
      </w:r>
      <w:r>
        <w:t xml:space="preserve">per enfatizzare questa complementarietà. Ad esempio, l’American</w:t>
      </w:r>
      <w:r>
        <w:t xml:space="preserve"> </w:t>
      </w:r>
      <w:r>
        <w:t xml:space="preserve">Psychological Association sottolinea che i chatbot e le app possono</w:t>
      </w:r>
      <w:r>
        <w:t xml:space="preserve"> </w:t>
      </w:r>
      <w:r>
        <w:t xml:space="preserve">offrire supporto aggiuntivo ma non replicano la complessità della</w:t>
      </w:r>
      <w:r>
        <w:t xml:space="preserve"> </w:t>
      </w:r>
      <w:r>
        <w:t xml:space="preserve">psicoterapia umana, e se ben integrati alleviano il carico senza</w:t>
      </w:r>
      <w:r>
        <w:t xml:space="preserve"> </w:t>
      </w:r>
      <w:r>
        <w:t xml:space="preserve">intaccare la centralità del terapeuta. Far conoscere queste posizioni</w:t>
      </w:r>
      <w:r>
        <w:t xml:space="preserve"> </w:t>
      </w:r>
      <w:r>
        <w:t xml:space="preserve">ufficiali ai professionisti aiuta ad abbattere diffidenze.</w:t>
      </w:r>
    </w:p>
    <w:p>
      <w:pPr>
        <w:pStyle w:val="BodyText"/>
      </w:pPr>
      <w:r>
        <w:rPr>
          <w:b/>
          <w:bCs/>
        </w:rPr>
        <w:t xml:space="preserve">5. Formazione multilivello e permanente:</w:t>
      </w:r>
      <w:r>
        <w:t xml:space="preserve"> </w:t>
      </w:r>
      <w:r>
        <w:t xml:space="preserve">La formazione dovrà essere</w:t>
      </w:r>
      <w:r>
        <w:t xml:space="preserve"> </w:t>
      </w:r>
      <w:r>
        <w:t xml:space="preserve">modulare in base ai ruoli – es. ai MMG più focus su triage e decision</w:t>
      </w:r>
      <w:r>
        <w:t xml:space="preserve"> </w:t>
      </w:r>
      <w:r>
        <w:t xml:space="preserve">support, agli psicologi su gestione di interventi digitali e</w:t>
      </w:r>
      <w:r>
        <w:t xml:space="preserve"> </w:t>
      </w:r>
      <w:r>
        <w:t xml:space="preserve">interpretazione di dati da AI, agli infermieri su telemonitoraggio e uso</w:t>
      </w:r>
      <w:r>
        <w:t xml:space="preserve"> </w:t>
      </w:r>
      <w:r>
        <w:t xml:space="preserve">pratico degli strumenti, ai dirigenti su lettura dei report di outcome</w:t>
      </w:r>
      <w:r>
        <w:t xml:space="preserve"> </w:t>
      </w:r>
      <w:r>
        <w:t xml:space="preserve">generati dall’IA. Si può prevedere un</w:t>
      </w:r>
      <w:r>
        <w:t xml:space="preserve"> </w:t>
      </w:r>
      <w:r>
        <w:rPr>
          <w:b/>
          <w:bCs/>
        </w:rPr>
        <w:t xml:space="preserve">corso iniziale intensivo</w:t>
      </w:r>
      <w:r>
        <w:t xml:space="preserve"> </w:t>
      </w:r>
      <w:r>
        <w:t xml:space="preserve">prima</w:t>
      </w:r>
      <w:r>
        <w:t xml:space="preserve"> </w:t>
      </w:r>
      <w:r>
        <w:t xml:space="preserve">del lancio (magari anche con crediti ECM per incentivo) e poi</w:t>
      </w:r>
      <w:r>
        <w:t xml:space="preserve"> </w:t>
      </w:r>
      <w:r>
        <w:t xml:space="preserve">aggiornamenti periodici (es. webinar trimestrali, mini-corsi annuali)</w:t>
      </w:r>
      <w:r>
        <w:t xml:space="preserve"> </w:t>
      </w:r>
      <w:r>
        <w:t xml:space="preserve">per consolidare competenze e presentare novità. Vista la rapidità con</w:t>
      </w:r>
      <w:r>
        <w:t xml:space="preserve"> </w:t>
      </w:r>
      <w:r>
        <w:t xml:space="preserve">cui evolve l’IA, tenere aggiornati gli operatori è essenziale. Un</w:t>
      </w:r>
      <w:r>
        <w:t xml:space="preserve"> </w:t>
      </w:r>
      <w:r>
        <w:t xml:space="preserve">esempio di buona pratica è il programma di formazione continua del CAMH</w:t>
      </w:r>
      <w:r>
        <w:t xml:space="preserve"> </w:t>
      </w:r>
      <w:r>
        <w:t xml:space="preserve">in Canada sulla salute digitale e IA, che offre ai clinici pacchetti</w:t>
      </w:r>
      <w:r>
        <w:t xml:space="preserve"> </w:t>
      </w:r>
      <w:r>
        <w:t xml:space="preserve">multimediali su vari temi (NLP, etica dell’IA, ecc.). Puglia potrebbe</w:t>
      </w:r>
      <w:r>
        <w:t xml:space="preserve"> </w:t>
      </w:r>
      <w:r>
        <w:t xml:space="preserve">attingere a tali risorse adattandole in italiano e al contesto locale.</w:t>
      </w:r>
    </w:p>
    <w:p>
      <w:pPr>
        <w:pStyle w:val="BodyText"/>
      </w:pPr>
      <w:r>
        <w:t xml:space="preserve">Investire nella formazione avrà un payoff diretto sull’efficacia del</w:t>
      </w:r>
      <w:r>
        <w:t xml:space="preserve"> </w:t>
      </w:r>
      <w:r>
        <w:t xml:space="preserve">servizio: operatori ben formati utilizzeranno pienamente le potenzialità</w:t>
      </w:r>
      <w:r>
        <w:t xml:space="preserve"> </w:t>
      </w:r>
      <w:r>
        <w:t xml:space="preserve">dell’IA, garantendo che nessuna segnalazione importante venga trascurata</w:t>
      </w:r>
      <w:r>
        <w:t xml:space="preserve"> </w:t>
      </w:r>
      <w:r>
        <w:t xml:space="preserve">e che i pazienti traggano davvero vantaggio dai nuovi strumenti.</w:t>
      </w:r>
      <w:r>
        <w:t xml:space="preserve"> </w:t>
      </w:r>
      <w:r>
        <w:t xml:space="preserve">Inoltre, operatori competenti potranno a loro volta educare i pazienti</w:t>
      </w:r>
      <w:r>
        <w:t xml:space="preserve"> </w:t>
      </w:r>
      <w:r>
        <w:t xml:space="preserve">all’uso di queste tecnologie (pensiamo all’anziano che inizialmente è</w:t>
      </w:r>
      <w:r>
        <w:t xml:space="preserve"> </w:t>
      </w:r>
      <w:r>
        <w:t xml:space="preserve">intimorito dal robot o dall’app: un operatore formato saprà motivarlo e</w:t>
      </w:r>
      <w:r>
        <w:t xml:space="preserve"> </w:t>
      </w:r>
      <w:r>
        <w:t xml:space="preserve">guidarlo). In definitiva, la formazione è il</w:t>
      </w:r>
      <w:r>
        <w:t xml:space="preserve"> </w:t>
      </w:r>
      <w:r>
        <w:rPr>
          <w:b/>
          <w:bCs/>
        </w:rPr>
        <w:t xml:space="preserve">motore del cambiamento</w:t>
      </w:r>
      <w:r>
        <w:rPr>
          <w:b/>
          <w:bCs/>
        </w:rPr>
        <w:t xml:space="preserve"> </w:t>
      </w:r>
      <w:r>
        <w:rPr>
          <w:b/>
          <w:bCs/>
        </w:rPr>
        <w:t xml:space="preserve">culturale</w:t>
      </w:r>
      <w:r>
        <w:t xml:space="preserve"> </w:t>
      </w:r>
      <w:r>
        <w:t xml:space="preserve">necessario affinché l’IA attecchisca: i modelli</w:t>
      </w:r>
      <w:r>
        <w:t xml:space="preserve"> </w:t>
      </w:r>
      <w:r>
        <w:t xml:space="preserve">organizzativi internazionali (IAPT UK, collaborativo USA, etc.) mostrano</w:t>
      </w:r>
      <w:r>
        <w:t xml:space="preserve"> </w:t>
      </w:r>
      <w:r>
        <w:t xml:space="preserve">che l’innovazione funziona solo se supportata da training e supervisione</w:t>
      </w:r>
      <w:r>
        <w:t xml:space="preserve"> </w:t>
      </w:r>
      <w:r>
        <w:t xml:space="preserve">costanti degli implementatori. Per parafrasare un concetto espresso nel</w:t>
      </w:r>
      <w:r>
        <w:t xml:space="preserve"> </w:t>
      </w:r>
      <w:r>
        <w:t xml:space="preserve">rapporto OCSE 2025, investire in prevenzione passa anche dalla</w:t>
      </w:r>
      <w:r>
        <w:t xml:space="preserve"> </w:t>
      </w:r>
      <w:r>
        <w:t xml:space="preserve">formazione del personale non specialista a riconoscere e gestire i</w:t>
      </w:r>
      <w:r>
        <w:t xml:space="preserve"> </w:t>
      </w:r>
      <w:r>
        <w:t xml:space="preserve">problemi di salute mentale – qui possiamo dire che investire nell’IA</w:t>
      </w:r>
      <w:r>
        <w:t xml:space="preserve"> </w:t>
      </w:r>
      <w:r>
        <w:t xml:space="preserve">passa per formare il personale a coadiuvare il proprio expertise con gli</w:t>
      </w:r>
      <w:r>
        <w:t xml:space="preserve"> </w:t>
      </w:r>
      <w:r>
        <w:t xml:space="preserve">strumenti tecnologici. Una forza lavoro sanitaria aggiornata e</w:t>
      </w:r>
      <w:r>
        <w:t xml:space="preserve"> </w:t>
      </w:r>
      <w:r>
        <w:rPr>
          <w:i/>
          <w:iCs/>
        </w:rPr>
        <w:t xml:space="preserve">AI-savvy</w:t>
      </w:r>
      <w:r>
        <w:t xml:space="preserve"> </w:t>
      </w:r>
      <w:r>
        <w:t xml:space="preserve">sarà in grado di rispondere molto meglio al quadro di bisogno</w:t>
      </w:r>
      <w:r>
        <w:t xml:space="preserve"> </w:t>
      </w:r>
      <w:r>
        <w:t xml:space="preserve">complesso delineato nel capitolo 2, fornendo cure più tempestive,</w:t>
      </w:r>
      <w:r>
        <w:t xml:space="preserve"> </w:t>
      </w:r>
      <w:r>
        <w:t xml:space="preserve">coordinate ed efficaci. In pratica, la somma</w:t>
      </w:r>
      <w:r>
        <w:t xml:space="preserve"> </w:t>
      </w:r>
      <w:r>
        <w:t xml:space="preserve">“</w:t>
      </w:r>
      <w:r>
        <w:t xml:space="preserve">operatore formato + IA</w:t>
      </w:r>
      <w:r>
        <w:t xml:space="preserve"> </w:t>
      </w:r>
      <w:r>
        <w:t xml:space="preserve">affidabile</w:t>
      </w:r>
      <w:r>
        <w:t xml:space="preserve">”</w:t>
      </w:r>
      <w:r>
        <w:t xml:space="preserve"> </w:t>
      </w:r>
      <w:r>
        <w:t xml:space="preserve">produrrà un servizio di Psicologia di Base potenziato ben</w:t>
      </w:r>
      <w:r>
        <w:t xml:space="preserve"> </w:t>
      </w:r>
      <w:r>
        <w:t xml:space="preserve">oltre quanto potrebbe fare ciascuno separatamente.</w:t>
      </w:r>
    </w:p>
    <w:bookmarkEnd w:id="2651"/>
    <w:bookmarkStart w:id="2654" w:name="conclusioni-e-raccomandazioni-operative"/>
    <w:p>
      <w:pPr>
        <w:pStyle w:val="Heading3"/>
      </w:pPr>
      <w:r>
        <w:t xml:space="preserve">Conclusioni e Raccomandazioni Operative</w:t>
      </w:r>
    </w:p>
    <w:p>
      <w:pPr>
        <w:pStyle w:val="FirstParagraph"/>
      </w:pPr>
      <w:r>
        <w:t xml:space="preserve">Dall’analisi condotta emerge con chiarezza che l’innesto sistematico</w:t>
      </w:r>
      <w:r>
        <w:t xml:space="preserve"> </w:t>
      </w:r>
      <w:r>
        <w:t xml:space="preserve">dell’Intelligenza Artificiale nel Servizio di Psicologia di Base in</w:t>
      </w:r>
      <w:r>
        <w:t xml:space="preserve"> </w:t>
      </w:r>
      <w:r>
        <w:t xml:space="preserve">Puglia rappresenta non solo un’opportunità, ma quasi un passaggio</w:t>
      </w:r>
      <w:r>
        <w:t xml:space="preserve"> </w:t>
      </w:r>
      <w:r>
        <w:t xml:space="preserve">obbligato per affrontare efficacemente la situazione critica delineata</w:t>
      </w:r>
      <w:r>
        <w:t xml:space="preserve"> </w:t>
      </w:r>
      <w:r>
        <w:t xml:space="preserve">nel Capitolo 2. La convergenza di transizione demografica sfavorevole,</w:t>
      </w:r>
      <w:r>
        <w:t xml:space="preserve"> </w:t>
      </w:r>
      <w:r>
        <w:t xml:space="preserve">elevato burden di disagio psicologico sommerso, determinanti</w:t>
      </w:r>
      <w:r>
        <w:t xml:space="preserve"> </w:t>
      </w:r>
      <w:r>
        <w:t xml:space="preserve">socioeconomici avversi e strutture sanitarie sotto-dimensionate</w:t>
      </w:r>
      <w:r>
        <w:t xml:space="preserve"> </w:t>
      </w:r>
      <w:r>
        <w:t xml:space="preserve">configura una sfida senza precedenti per la salute mentale regionale.</w:t>
      </w:r>
      <w:r>
        <w:t xml:space="preserve"> </w:t>
      </w:r>
      <w:r>
        <w:t xml:space="preserve">Soluzioni tradizionali, da sole, difficilmente basteranno: l’IA offre</w:t>
      </w:r>
      <w:r>
        <w:t xml:space="preserve"> </w:t>
      </w:r>
      <w:r>
        <w:t xml:space="preserve">quei</w:t>
      </w:r>
      <w:r>
        <w:t xml:space="preserve"> </w:t>
      </w:r>
      <w:r>
        <w:t xml:space="preserve">“</w:t>
      </w:r>
      <w:r>
        <w:t xml:space="preserve">muscoli aggiuntivi</w:t>
      </w:r>
      <w:r>
        <w:t xml:space="preserve">”</w:t>
      </w:r>
      <w:r>
        <w:t xml:space="preserve"> </w:t>
      </w:r>
      <w:r>
        <w:t xml:space="preserve">al sistema, permettendo di scalare gli</w:t>
      </w:r>
      <w:r>
        <w:t xml:space="preserve"> </w:t>
      </w:r>
      <w:r>
        <w:t xml:space="preserve">interventi preventivi e assistenziali in modo sostenibile e data-driven.</w:t>
      </w:r>
    </w:p>
    <w:p>
      <w:pPr>
        <w:pStyle w:val="BodyText"/>
      </w:pPr>
      <w:r>
        <w:t xml:space="preserve">Dal</w:t>
      </w:r>
      <w:r>
        <w:t xml:space="preserve"> </w:t>
      </w:r>
      <w:r>
        <w:rPr>
          <w:b/>
          <w:bCs/>
        </w:rPr>
        <w:t xml:space="preserve">punto di vista clinico</w:t>
      </w:r>
      <w:r>
        <w:t xml:space="preserve">, l’IA può integrare e migliorare ogni</w:t>
      </w:r>
      <w:r>
        <w:t xml:space="preserve"> </w:t>
      </w:r>
      <w:r>
        <w:t xml:space="preserve">fase dell’assistenza: identificando precocemente chi ha bisogno</w:t>
      </w:r>
      <w:r>
        <w:t xml:space="preserve"> </w:t>
      </w:r>
      <w:r>
        <w:t xml:space="preserve">(screening automatizzati e predittivi), facilitando l’accesso e</w:t>
      </w:r>
      <w:r>
        <w:t xml:space="preserve"> </w:t>
      </w:r>
      <w:r>
        <w:t xml:space="preserve">l’orientamento (chatbot di triage che assicurano il</w:t>
      </w:r>
      <w:r>
        <w:t xml:space="preserve"> </w:t>
      </w:r>
      <w:r>
        <w:rPr>
          <w:i/>
          <w:iCs/>
        </w:rPr>
        <w:t xml:space="preserve">right care, right</w:t>
      </w:r>
      <w:r>
        <w:rPr>
          <w:i/>
          <w:iCs/>
        </w:rPr>
        <w:t xml:space="preserve"> </w:t>
      </w:r>
      <w:r>
        <w:rPr>
          <w:i/>
          <w:iCs/>
        </w:rPr>
        <w:t xml:space="preserve">place, right time</w:t>
      </w:r>
      <w:r>
        <w:t xml:space="preserve">), supportando i curanti nelle decisioni (sistemi</w:t>
      </w:r>
      <w:r>
        <w:t xml:space="preserve"> </w:t>
      </w:r>
      <w:r>
        <w:t xml:space="preserve">esperti e modelli predittivi che ottimizzano la gestione del rischio) e</w:t>
      </w:r>
      <w:r>
        <w:t xml:space="preserve"> </w:t>
      </w:r>
      <w:r>
        <w:t xml:space="preserve">affiancando interventi terapeutici innovativi (digital therapeutics,</w:t>
      </w:r>
      <w:r>
        <w:t xml:space="preserve"> </w:t>
      </w:r>
      <w:r>
        <w:t xml:space="preserve">monitoraggio remoto, riabilitazione personalizzata). Tutto ciò</w:t>
      </w:r>
      <w:r>
        <w:t xml:space="preserve"> </w:t>
      </w:r>
      <w:r>
        <w:t xml:space="preserve">contribuisce a ridurre il gap tra domanda e offerta e a colmare le</w:t>
      </w:r>
      <w:r>
        <w:t xml:space="preserve"> </w:t>
      </w:r>
      <w:r>
        <w:t xml:space="preserve">lacune attuali del sistema pugliese evidenziate nel capitolo (liste</w:t>
      </w:r>
      <w:r>
        <w:t xml:space="preserve"> </w:t>
      </w:r>
      <w:r>
        <w:t xml:space="preserve">d’attesa lunghe, servizi poco integrati con le cure primarie, etc.).</w:t>
      </w:r>
      <w:r>
        <w:t xml:space="preserve"> </w:t>
      </w:r>
      <w:r>
        <w:t xml:space="preserve">Importante sarà mantenere un approccio multidisciplinare ed etico: l’IA</w:t>
      </w:r>
      <w:r>
        <w:t xml:space="preserve"> </w:t>
      </w:r>
      <w:r>
        <w:t xml:space="preserve">va implementata rispettando privacy e consenso informato, e vanno</w:t>
      </w:r>
      <w:r>
        <w:t xml:space="preserve"> </w:t>
      </w:r>
      <w:r>
        <w:t xml:space="preserve">monitorati gli esiti con rigore scientifico (ad esempio conducendo</w:t>
      </w:r>
      <w:r>
        <w:t xml:space="preserve"> </w:t>
      </w:r>
      <w:r>
        <w:t xml:space="preserve">ricerche valutative sugli interventi IA introdotti, come studi pilota o</w:t>
      </w:r>
      <w:r>
        <w:t xml:space="preserve"> </w:t>
      </w:r>
      <w:r>
        <w:t xml:space="preserve">trial pragmatici, per verificarne l’efficacia locale).</w:t>
      </w:r>
    </w:p>
    <w:p>
      <w:pPr>
        <w:pStyle w:val="BodyText"/>
      </w:pPr>
      <w:r>
        <w:t xml:space="preserve">Dal</w:t>
      </w:r>
      <w:r>
        <w:t xml:space="preserve"> </w:t>
      </w:r>
      <w:r>
        <w:rPr>
          <w:b/>
          <w:bCs/>
        </w:rPr>
        <w:t xml:space="preserve">punto di vista economico</w:t>
      </w:r>
      <w:r>
        <w:t xml:space="preserve">, le proiezioni indicano che l’IA può</w:t>
      </w:r>
      <w:r>
        <w:t xml:space="preserve"> </w:t>
      </w:r>
      <w:r>
        <w:t xml:space="preserve">generare significativi risparmi e benefici. In un contesto di bilanci</w:t>
      </w:r>
      <w:r>
        <w:t xml:space="preserve"> </w:t>
      </w:r>
      <w:r>
        <w:t xml:space="preserve">sanitari stretti, l’adozione di soluzioni IA appare come un investimento</w:t>
      </w:r>
      <w:r>
        <w:t xml:space="preserve"> </w:t>
      </w:r>
      <w:r>
        <w:t xml:space="preserve">lungimirante che si ripaga con un elevato ROI in pochi anni. La Regione</w:t>
      </w:r>
      <w:r>
        <w:t xml:space="preserve"> </w:t>
      </w:r>
      <w:r>
        <w:t xml:space="preserve">dovrebbe quindi considerare di dedicare specifiche voci di finanziamento</w:t>
      </w:r>
      <w:r>
        <w:t xml:space="preserve"> </w:t>
      </w:r>
      <w:r>
        <w:t xml:space="preserve">(anche attingendo a fondi UE per l’innovazione e la digitalizzazione in</w:t>
      </w:r>
      <w:r>
        <w:t xml:space="preserve"> </w:t>
      </w:r>
      <w:r>
        <w:t xml:space="preserve">sanità) per sviluppare queste tecnologie e formare il personale. È una</w:t>
      </w:r>
      <w:r>
        <w:t xml:space="preserve"> </w:t>
      </w:r>
      <w:r>
        <w:t xml:space="preserve">spesa strategica che abiliterà, nel medio termine, un modello di cura</w:t>
      </w:r>
      <w:r>
        <w:t xml:space="preserve"> </w:t>
      </w:r>
      <w:r>
        <w:t xml:space="preserve">più sostenibile economicamente e dai migliori esiti di salute.</w:t>
      </w:r>
    </w:p>
    <w:p>
      <w:pPr>
        <w:pStyle w:val="BodyText"/>
      </w:pPr>
      <w:r>
        <w:t xml:space="preserve">Affinché quanto discusso si traduca in realtà operativa, è opportuno</w:t>
      </w:r>
      <w:r>
        <w:t xml:space="preserve"> </w:t>
      </w:r>
      <w:r>
        <w:t xml:space="preserve">formulare alcune</w:t>
      </w:r>
      <w:r>
        <w:t xml:space="preserve"> </w:t>
      </w:r>
      <w:r>
        <w:rPr>
          <w:b/>
          <w:bCs/>
        </w:rPr>
        <w:t xml:space="preserve">raccomandazioni pratiche</w:t>
      </w:r>
      <w:r>
        <w:t xml:space="preserve">:</w:t>
      </w:r>
    </w:p>
    <w:p>
      <w:pPr>
        <w:numPr>
          <w:ilvl w:val="0"/>
          <w:numId w:val="1025"/>
        </w:numPr>
      </w:pPr>
      <w:r>
        <w:rPr>
          <w:b/>
          <w:bCs/>
        </w:rPr>
        <w:t xml:space="preserve">Istituire un Gruppo di Lavoro Regionale IA e Salute Mentale:</w:t>
      </w:r>
      <w:r>
        <w:t xml:space="preserve"> </w:t>
      </w:r>
      <w:r>
        <w:t xml:space="preserve">coinvolgendo esperti clinici, data scientist, referenti dei servizi</w:t>
      </w:r>
      <w:r>
        <w:t xml:space="preserve"> </w:t>
      </w:r>
      <w:r>
        <w:t xml:space="preserve">e pazienti, per pianificare e supervisionare l’implementazione delle</w:t>
      </w:r>
      <w:r>
        <w:t xml:space="preserve"> </w:t>
      </w:r>
      <w:r>
        <w:t xml:space="preserve">soluzioni IA, garantendo che siano allineate ai bisogni locali e</w:t>
      </w:r>
      <w:r>
        <w:t xml:space="preserve"> </w:t>
      </w:r>
      <w:r>
        <w:t xml:space="preserve">monitorando indicatori di performance.</w:t>
      </w:r>
    </w:p>
    <w:p>
      <w:pPr>
        <w:numPr>
          <w:ilvl w:val="0"/>
          <w:numId w:val="1025"/>
        </w:numPr>
      </w:pPr>
      <w:r>
        <w:rPr>
          <w:b/>
          <w:bCs/>
        </w:rPr>
        <w:t xml:space="preserve">Selezionare 2–3 Progetti Pilota IA Prioritari:</w:t>
      </w:r>
      <w:r>
        <w:t xml:space="preserve"> </w:t>
      </w:r>
      <w:r>
        <w:t xml:space="preserve">ad esempio, 1) un</w:t>
      </w:r>
      <w:r>
        <w:t xml:space="preserve"> </w:t>
      </w:r>
      <w:r>
        <w:t xml:space="preserve">chatbot regionale per supporto psicologico e triage, 2) un modello</w:t>
      </w:r>
      <w:r>
        <w:t xml:space="preserve"> </w:t>
      </w:r>
      <w:r>
        <w:t xml:space="preserve">predittivo integrato nell’EHR per il rischio suicidario o di</w:t>
      </w:r>
      <w:r>
        <w:t xml:space="preserve"> </w:t>
      </w:r>
      <w:r>
        <w:t xml:space="preserve">scompenso, 3) un programma di telemonitoraggio per pazienti ad alto</w:t>
      </w:r>
      <w:r>
        <w:t xml:space="preserve"> </w:t>
      </w:r>
      <w:r>
        <w:t xml:space="preserve">utilizzo. Attuare i pilot in alcune ASL pilota, valutarne l’impatto</w:t>
      </w:r>
      <w:r>
        <w:t xml:space="preserve"> </w:t>
      </w:r>
      <w:r>
        <w:t xml:space="preserve">su accesso, esiti clinici e costi, quindi scalare progressivamente</w:t>
      </w:r>
      <w:r>
        <w:t xml:space="preserve"> </w:t>
      </w:r>
      <w:r>
        <w:t xml:space="preserve">su tutta la regione.</w:t>
      </w:r>
    </w:p>
    <w:p>
      <w:pPr>
        <w:numPr>
          <w:ilvl w:val="0"/>
          <w:numId w:val="1025"/>
        </w:numPr>
      </w:pPr>
      <w:r>
        <w:rPr>
          <w:b/>
          <w:bCs/>
        </w:rPr>
        <w:t xml:space="preserve">Sviluppare Piani di Formazione Multi-livello:</w:t>
      </w:r>
      <w:r>
        <w:t xml:space="preserve"> </w:t>
      </w:r>
      <w:r>
        <w:t xml:space="preserve">assicurando che</w:t>
      </w:r>
      <w:r>
        <w:t xml:space="preserve"> </w:t>
      </w:r>
      <w:r>
        <w:rPr>
          <w:i/>
          <w:iCs/>
        </w:rPr>
        <w:t xml:space="preserve">tutto</w:t>
      </w:r>
      <w:r>
        <w:t xml:space="preserve"> </w:t>
      </w:r>
      <w:r>
        <w:t xml:space="preserve">il personale coinvolto nel progetto Psicologo di Base riceva</w:t>
      </w:r>
      <w:r>
        <w:t xml:space="preserve"> </w:t>
      </w:r>
      <w:r>
        <w:t xml:space="preserve">formazione adeguata sull’IA. Integrare moduli su IA anche nei</w:t>
      </w:r>
      <w:r>
        <w:t xml:space="preserve"> </w:t>
      </w:r>
      <w:r>
        <w:t xml:space="preserve">curricula di formazione universitaria e specialistica locali (es.</w:t>
      </w:r>
      <w:r>
        <w:t xml:space="preserve"> </w:t>
      </w:r>
      <w:r>
        <w:t xml:space="preserve">corsi per MMG, scuole di specializzazione in psichiatria e</w:t>
      </w:r>
      <w:r>
        <w:t xml:space="preserve"> </w:t>
      </w:r>
      <w:r>
        <w:t xml:space="preserve">psicologia clinica): in tal modo i nuovi professionisti entreranno</w:t>
      </w:r>
      <w:r>
        <w:t xml:space="preserve"> </w:t>
      </w:r>
      <w:r>
        <w:t xml:space="preserve">già pronti.</w:t>
      </w:r>
    </w:p>
    <w:p>
      <w:pPr>
        <w:numPr>
          <w:ilvl w:val="0"/>
          <w:numId w:val="1025"/>
        </w:numPr>
      </w:pPr>
      <w:r>
        <w:rPr>
          <w:b/>
          <w:bCs/>
        </w:rPr>
        <w:t xml:space="preserve">Definire Protocolli e Linee Guida Regionali sull’uso dell’IA:</w:t>
      </w:r>
      <w:r>
        <w:t xml:space="preserve"> </w:t>
      </w:r>
      <w:r>
        <w:t xml:space="preserve">ad</w:t>
      </w:r>
      <w:r>
        <w:t xml:space="preserve"> </w:t>
      </w:r>
      <w:r>
        <w:t xml:space="preserve">esempio linee guida su</w:t>
      </w:r>
      <w:r>
        <w:t xml:space="preserve"> </w:t>
      </w:r>
      <w:r>
        <w:t xml:space="preserve">“</w:t>
      </w:r>
      <w:r>
        <w:t xml:space="preserve">Uso del chatbot X nella pratica clinica:</w:t>
      </w:r>
      <w:r>
        <w:t xml:space="preserve"> </w:t>
      </w:r>
      <w:r>
        <w:t xml:space="preserve">indicazioni e controindicazioni</w:t>
      </w:r>
      <w:r>
        <w:t xml:space="preserve">”</w:t>
      </w:r>
      <w:r>
        <w:t xml:space="preserve">,</w:t>
      </w:r>
      <w:r>
        <w:t xml:space="preserve"> </w:t>
      </w:r>
      <w:r>
        <w:t xml:space="preserve">“</w:t>
      </w:r>
      <w:r>
        <w:t xml:space="preserve">Procedura per gestione di alert</w:t>
      </w:r>
      <w:r>
        <w:t xml:space="preserve"> </w:t>
      </w:r>
      <w:r>
        <w:t xml:space="preserve">da algoritmo di rischio</w:t>
      </w:r>
      <w:r>
        <w:t xml:space="preserve">”</w:t>
      </w:r>
      <w:r>
        <w:t xml:space="preserve">,</w:t>
      </w:r>
      <w:r>
        <w:t xml:space="preserve"> </w:t>
      </w:r>
      <w:r>
        <w:t xml:space="preserve">“</w:t>
      </w:r>
      <w:r>
        <w:t xml:space="preserve">Criteri di escalation al contatto umano</w:t>
      </w:r>
      <w:r>
        <w:t xml:space="preserve">”</w:t>
      </w:r>
      <w:r>
        <w:t xml:space="preserve">.</w:t>
      </w:r>
      <w:r>
        <w:t xml:space="preserve"> </w:t>
      </w:r>
      <w:r>
        <w:t xml:space="preserve">Questo darà omogeneità all’utilizzo e sicurezza, chiarendo</w:t>
      </w:r>
      <w:r>
        <w:t xml:space="preserve"> </w:t>
      </w:r>
      <w:r>
        <w:t xml:space="preserve">responsabilità e azioni.</w:t>
      </w:r>
    </w:p>
    <w:p>
      <w:pPr>
        <w:numPr>
          <w:ilvl w:val="0"/>
          <w:numId w:val="1025"/>
        </w:numPr>
      </w:pPr>
      <w:r>
        <w:rPr>
          <w:b/>
          <w:bCs/>
        </w:rPr>
        <w:t xml:space="preserve">Garantire l’Integrazione Tecnologica e la Sicurezza:</w:t>
      </w:r>
      <w:r>
        <w:t xml:space="preserve"> </w:t>
      </w:r>
      <w:r>
        <w:t xml:space="preserve">investire</w:t>
      </w:r>
      <w:r>
        <w:t xml:space="preserve"> </w:t>
      </w:r>
      <w:r>
        <w:t xml:space="preserve">in infrastruttura IT che colleghi i vari sistemi (es. far dialogare</w:t>
      </w:r>
      <w:r>
        <w:t xml:space="preserve"> </w:t>
      </w:r>
      <w:r>
        <w:t xml:space="preserve">l’app del chatbot con il software degli psicologi di base, etc.), e</w:t>
      </w:r>
      <w:r>
        <w:t xml:space="preserve"> </w:t>
      </w:r>
      <w:r>
        <w:t xml:space="preserve">assicurare compliance a GDPR e standard di cybersecurity. L’IA deve</w:t>
      </w:r>
      <w:r>
        <w:t xml:space="preserve"> </w:t>
      </w:r>
      <w:r>
        <w:t xml:space="preserve">essere strumento affidabile e robusto (downtime minimi, piani di</w:t>
      </w:r>
      <w:r>
        <w:t xml:space="preserve"> </w:t>
      </w:r>
      <w:r>
        <w:t xml:space="preserve">backup manuale se il sistema fosse fuori uso).</w:t>
      </w:r>
    </w:p>
    <w:p>
      <w:pPr>
        <w:numPr>
          <w:ilvl w:val="0"/>
          <w:numId w:val="1025"/>
        </w:numPr>
      </w:pPr>
      <w:r>
        <w:rPr>
          <w:b/>
          <w:bCs/>
        </w:rPr>
        <w:t xml:space="preserve">Coinvolgere i Cittadini e Sensibilizzare:</w:t>
      </w:r>
      <w:r>
        <w:t xml:space="preserve"> </w:t>
      </w:r>
      <w:r>
        <w:t xml:space="preserve">anche la popolazione</w:t>
      </w:r>
      <w:r>
        <w:t xml:space="preserve"> </w:t>
      </w:r>
      <w:r>
        <w:t xml:space="preserve">va</w:t>
      </w:r>
      <w:r>
        <w:t xml:space="preserve"> </w:t>
      </w:r>
      <w:r>
        <w:t xml:space="preserve">“</w:t>
      </w:r>
      <w:r>
        <w:t xml:space="preserve">formata</w:t>
      </w:r>
      <w:r>
        <w:t xml:space="preserve">”</w:t>
      </w:r>
      <w:r>
        <w:t xml:space="preserve"> </w:t>
      </w:r>
      <w:r>
        <w:t xml:space="preserve">ad accogliere queste innovazioni. Campagne informative</w:t>
      </w:r>
      <w:r>
        <w:t xml:space="preserve"> </w:t>
      </w:r>
      <w:r>
        <w:t xml:space="preserve">potrebbero spiegare l’arrivo di chatbot o tele-assistenza,</w:t>
      </w:r>
      <w:r>
        <w:t xml:space="preserve"> </w:t>
      </w:r>
      <w:r>
        <w:t xml:space="preserve">rassicurando sul fatto che non sostituiranno il contatto umano ma</w:t>
      </w:r>
      <w:r>
        <w:t xml:space="preserve"> </w:t>
      </w:r>
      <w:r>
        <w:t xml:space="preserve">anzi lo faciliteranno. Pazienti più consapevoli useranno meglio gli</w:t>
      </w:r>
      <w:r>
        <w:t xml:space="preserve"> </w:t>
      </w:r>
      <w:r>
        <w:t xml:space="preserve">strumenti (ad es. rispondendo con sincerità a un chatbot sapendo che</w:t>
      </w:r>
      <w:r>
        <w:t xml:space="preserve"> </w:t>
      </w:r>
      <w:r>
        <w:t xml:space="preserve">è per il loro bene).</w:t>
      </w:r>
    </w:p>
    <w:p>
      <w:pPr>
        <w:pStyle w:val="FirstParagraph"/>
      </w:pPr>
      <w:r>
        <w:t xml:space="preserve">In conclusione, l’integrazione dell’IA ridisegna in chiave moderna</w:t>
      </w:r>
      <w:r>
        <w:t xml:space="preserve"> </w:t>
      </w:r>
      <w:r>
        <w:t xml:space="preserve">l’intero</w:t>
      </w:r>
      <w:r>
        <w:t xml:space="preserve"> </w:t>
      </w:r>
      <w:r>
        <w:rPr>
          <w:b/>
          <w:bCs/>
        </w:rPr>
        <w:t xml:space="preserve">razionale dell’intervento</w:t>
      </w:r>
      <w:r>
        <w:t xml:space="preserve"> </w:t>
      </w:r>
      <w:r>
        <w:t xml:space="preserve">in Puglia: si passa da un modello</w:t>
      </w:r>
      <w:r>
        <w:t xml:space="preserve"> </w:t>
      </w:r>
      <w:r>
        <w:t xml:space="preserve">reattivo, che inseguiva affannosamente un bisogno di salute mentale in</w:t>
      </w:r>
      <w:r>
        <w:t xml:space="preserve"> </w:t>
      </w:r>
      <w:r>
        <w:t xml:space="preserve">crescita, a un modello proattivo, data-driven, in grado di anticipare i</w:t>
      </w:r>
      <w:r>
        <w:t xml:space="preserve"> </w:t>
      </w:r>
      <w:r>
        <w:t xml:space="preserve">problemi e distribuire le risorse in modo ottimale. Questo amplifica</w:t>
      </w:r>
      <w:r>
        <w:t xml:space="preserve"> </w:t>
      </w:r>
      <w:r>
        <w:t xml:space="preserve">l’impatto dell’innovazione organizzativa dello Psicologo di Base,</w:t>
      </w:r>
      <w:r>
        <w:t xml:space="preserve"> </w:t>
      </w:r>
      <w:r>
        <w:t xml:space="preserve">ponendo la Puglia all’avanguardia non solo in Italia ma in Europa. Come</w:t>
      </w:r>
      <w:r>
        <w:t xml:space="preserve"> </w:t>
      </w:r>
      <w:r>
        <w:t xml:space="preserve">evidenziato nel capitolo, la Puglia ha l’opportunità storica di essere</w:t>
      </w:r>
      <w:r>
        <w:t xml:space="preserve"> </w:t>
      </w:r>
      <w:r>
        <w:t xml:space="preserve">la prima regione italiana a implementare un Servizio di Psicologia di</w:t>
      </w:r>
      <w:r>
        <w:t xml:space="preserve"> </w:t>
      </w:r>
      <w:r>
        <w:t xml:space="preserve">Base universale; arricchendo questa visione con l’IA, la regione può</w:t>
      </w:r>
      <w:r>
        <w:t xml:space="preserve"> </w:t>
      </w:r>
      <w:r>
        <w:t xml:space="preserve">anche aspirare a diventare un</w:t>
      </w:r>
      <w:r>
        <w:t xml:space="preserve"> </w:t>
      </w:r>
      <w:r>
        <w:rPr>
          <w:b/>
          <w:bCs/>
        </w:rPr>
        <w:t xml:space="preserve">laboratorio di innovazione digitale in</w:t>
      </w:r>
      <w:r>
        <w:rPr>
          <w:b/>
          <w:bCs/>
        </w:rPr>
        <w:t xml:space="preserve"> </w:t>
      </w:r>
      <w:r>
        <w:rPr>
          <w:b/>
          <w:bCs/>
        </w:rPr>
        <w:t xml:space="preserve">sanità mentale</w:t>
      </w:r>
      <w:r>
        <w:t xml:space="preserve">, dimostrando come la trasformazione tecnologica possa</w:t>
      </w:r>
      <w:r>
        <w:t xml:space="preserve"> </w:t>
      </w:r>
      <w:r>
        <w:t xml:space="preserve">tradursi in beneficio concreto per i cittadini e in un sistema sanitario</w:t>
      </w:r>
      <w:r>
        <w:t xml:space="preserve"> </w:t>
      </w:r>
      <w:r>
        <w:t xml:space="preserve">più equo, efficiente e resiliente. La sfida è ambiziosa, ma le evidenze</w:t>
      </w:r>
      <w:r>
        <w:t xml:space="preserve"> </w:t>
      </w:r>
      <w:r>
        <w:t xml:space="preserve">scientifiche e le best practice qui esaminate forniscono una mappa</w:t>
      </w:r>
      <w:r>
        <w:t xml:space="preserve"> </w:t>
      </w:r>
      <w:r>
        <w:t xml:space="preserve">chiara: con una guida lungimirante, investimenti mirati e formazione</w:t>
      </w:r>
      <w:r>
        <w:t xml:space="preserve"> </w:t>
      </w:r>
      <w:r>
        <w:t xml:space="preserve">adeguata, l’Intelligenza Artificiale può essere il catalizzatore che</w:t>
      </w:r>
      <w:r>
        <w:t xml:space="preserve"> </w:t>
      </w:r>
      <w:r>
        <w:t xml:space="preserve">porta la riforma della psicologia di base dal piano della necessità alla</w:t>
      </w:r>
      <w:r>
        <w:t xml:space="preserve"> </w:t>
      </w:r>
      <w:r>
        <w:t xml:space="preserve">realtà del diritto alla salute mentale per tutti, in modo sostenibile e</w:t>
      </w:r>
      <w:r>
        <w:t xml:space="preserve"> </w:t>
      </w:r>
      <w:r>
        <w:t xml:space="preserve">di qualità elevata.</w:t>
      </w:r>
    </w:p>
    <w:p>
      <w:pPr>
        <w:pStyle w:val="BodyText"/>
      </w:pPr>
      <w:hyperlink r:id="rId2640">
        <w:r>
          <w:rPr>
            <w:rStyle w:val="Hyperlink"/>
          </w:rPr>
          <w:t xml:space="preserve">[1]</w:t>
        </w:r>
      </w:hyperlink>
      <w:r>
        <w:t xml:space="preserve"> </w:t>
      </w:r>
      <w:hyperlink r:id="rId2641">
        <w:r>
          <w:rPr>
            <w:rStyle w:val="Hyperlink"/>
          </w:rPr>
          <w:t xml:space="preserve">[2]</w:t>
        </w:r>
      </w:hyperlink>
      <w:r>
        <w:t xml:space="preserve"> </w:t>
      </w:r>
      <w:hyperlink r:id="rId2642">
        <w:r>
          <w:rPr>
            <w:rStyle w:val="Hyperlink"/>
          </w:rPr>
          <w:t xml:space="preserve">[3]</w:t>
        </w:r>
      </w:hyperlink>
      <w:r>
        <w:t xml:space="preserve"> </w:t>
      </w:r>
      <w:hyperlink r:id="rId2644">
        <w:r>
          <w:rPr>
            <w:rStyle w:val="Hyperlink"/>
          </w:rPr>
          <w:t xml:space="preserve">[4]</w:t>
        </w:r>
      </w:hyperlink>
      <w:r>
        <w:t xml:space="preserve"> </w:t>
      </w:r>
      <w:r>
        <w:t xml:space="preserve">Innovative AI technology streamlines mental health referral and</w:t>
      </w:r>
      <w:r>
        <w:t xml:space="preserve"> </w:t>
      </w:r>
      <w:r>
        <w:t xml:space="preserve">assessment process to help guide people to the right support - NHS</w:t>
      </w:r>
      <w:r>
        <w:t xml:space="preserve"> </w:t>
      </w:r>
      <w:r>
        <w:t xml:space="preserve">Cheshire and Merseyside</w:t>
      </w:r>
    </w:p>
    <w:p>
      <w:pPr>
        <w:pStyle w:val="BodyText"/>
      </w:pPr>
      <w:hyperlink r:id="rId2652">
        <w:r>
          <w:rPr>
            <w:rStyle w:val="Hyperlink"/>
          </w:rPr>
          <w:t xml:space="preserve">https://www.cheshireandmerseyside.nhs.uk/posts/innovative-ai-technology-streamlines-mental-health-referral-and-assessment-process-to-help-guide-people-to-the-right-support/</w:t>
        </w:r>
      </w:hyperlink>
    </w:p>
    <w:p>
      <w:pPr>
        <w:pStyle w:val="BodyText"/>
      </w:pPr>
      <w:hyperlink r:id="rId2645">
        <w:r>
          <w:rPr>
            <w:rStyle w:val="Hyperlink"/>
          </w:rPr>
          <w:t xml:space="preserve">[5]</w:t>
        </w:r>
      </w:hyperlink>
      <w:r>
        <w:t xml:space="preserve"> </w:t>
      </w:r>
      <w:hyperlink r:id="rId2646">
        <w:r>
          <w:rPr>
            <w:rStyle w:val="Hyperlink"/>
          </w:rPr>
          <w:t xml:space="preserve">[6]</w:t>
        </w:r>
      </w:hyperlink>
      <w:r>
        <w:t xml:space="preserve"> </w:t>
      </w:r>
      <w:hyperlink r:id="rId2647">
        <w:r>
          <w:rPr>
            <w:rStyle w:val="Hyperlink"/>
          </w:rPr>
          <w:t xml:space="preserve">[7]</w:t>
        </w:r>
      </w:hyperlink>
      <w:r>
        <w:t xml:space="preserve"> </w:t>
      </w:r>
      <w:r>
        <w:t xml:space="preserve">Mental Health Chatbot Woebot Shown to Help with Postpartum Depression</w:t>
      </w:r>
      <w:r>
        <w:t xml:space="preserve"> </w:t>
      </w:r>
      <w:r>
        <w:t xml:space="preserve">and Anxiety | 2 Minute Medicine</w:t>
      </w:r>
    </w:p>
    <w:p>
      <w:pPr>
        <w:pStyle w:val="BodyText"/>
      </w:pPr>
      <w:hyperlink r:id="rId2653">
        <w:r>
          <w:rPr>
            <w:rStyle w:val="Hyperlink"/>
          </w:rPr>
          <w:t xml:space="preserve">https://www.2minutemedicine.com/mental-health-chatbot-woebot-shown-to-help-with-postpartum-depression-and-anxiety-2/</w:t>
        </w:r>
      </w:hyperlink>
    </w:p>
    <w:p>
      <w:r>
        <w:br w:type="page"/>
      </w:r>
    </w:p>
    <w:bookmarkEnd w:id="2654"/>
    <w:bookmarkEnd w:id="2655"/>
    <w:bookmarkEnd w:id="2656"/>
    <w:bookmarkStart w:id="2657" w:name="X2e0af30d10ad54bd8fe3f9afc67cbaf252a0820"/>
    <w:p>
      <w:pPr>
        <w:pStyle w:val="Heading1"/>
      </w:pPr>
      <w:r>
        <w:t xml:space="preserve">Appendice XXXI — La metodologia apicale e il registro unificato delle variabili (oltre 3.600 variabili in un’unica architettura)</w:t>
      </w:r>
    </w:p>
    <w:p>
      <w:pPr>
        <w:pStyle w:val="FirstParagraph"/>
      </w:pPr>
      <w:r>
        <w:t xml:space="preserve">Psicologo di Base · Metodologia apicale e registro unificato delle variabili</w:t>
      </w:r>
      <w:r>
        <w:t xml:space="preserve"> </w:t>
      </w:r>
      <w:r>
        <w:t xml:space="preserve">PROGETTO «PSICOLOGO DI BASE»</w:t>
      </w:r>
      <w:r>
        <w:t xml:space="preserve"> </w:t>
      </w:r>
      <w:r>
        <w:t xml:space="preserve">Documento di sintesi del sistema delle variabili</w:t>
      </w:r>
      <w:r>
        <w:t xml:space="preserve"> </w:t>
      </w:r>
      <w:r>
        <w:t xml:space="preserve">Metodologia apicale</w:t>
      </w:r>
      <w:r>
        <w:t xml:space="preserve"> </w:t>
      </w:r>
      <w:r>
        <w:t xml:space="preserve">e registro unificato delle variabili</w:t>
      </w:r>
      <w:r>
        <w:t xml:space="preserve"> </w:t>
      </w:r>
      <w:r>
        <w:t xml:space="preserve">Il livello metodologico superiore che governa, integra e rende robusto l’intero sistema</w:t>
      </w:r>
      <w:r>
        <w:t xml:space="preserve"> </w:t>
      </w:r>
      <w:r>
        <w:t xml:space="preserve">Variabili semplici, ramificate e complesse · oltre 3.600 variabili in un’unica architettura</w:t>
      </w:r>
      <w:r>
        <w:t xml:space="preserve"> </w:t>
      </w:r>
      <w:r>
        <w:t xml:space="preserve">1Psicologo di Base · Metodologia apicale e registro unificato delle variabili</w:t>
      </w:r>
      <w:r>
        <w:t xml:space="preserve"> </w:t>
      </w:r>
      <w:r>
        <w:t xml:space="preserve">Indice</w:t>
      </w:r>
      <w:r>
        <w:t xml:space="preserve"> </w:t>
      </w:r>
      <w:r>
        <w:t xml:space="preserve">Parte I — La metodologia apicale………………………………………………………………………………..3</w:t>
      </w:r>
      <w:r>
        <w:t xml:space="preserve"> </w:t>
      </w:r>
      <w:r>
        <w:t xml:space="preserve">Parte II — Il registro unificato delle variabili…………………………………………………………………..7</w:t>
      </w:r>
      <w:r>
        <w:t xml:space="preserve"> </w:t>
      </w:r>
      <w:r>
        <w:t xml:space="preserve">Sezione 1 — Catalogo base: 1013 variabili semplici………………………………………………………8</w:t>
      </w:r>
      <w:r>
        <w:t xml:space="preserve"> </w:t>
      </w:r>
      <w:r>
        <w:t xml:space="preserve">Sezione 2 — Registro ramificato: 2528 variabili…………………………………………………………..32</w:t>
      </w:r>
      <w:r>
        <w:t xml:space="preserve"> </w:t>
      </w:r>
      <w:r>
        <w:t xml:space="preserve">Sezione 3 — Variabili complesse: misure sanitarie………………………………………………………87</w:t>
      </w:r>
      <w:r>
        <w:t xml:space="preserve"> </w:t>
      </w:r>
      <w:r>
        <w:t xml:space="preserve">Sezione 4 — Variabili complesse: misure multidisciplinari…………………………………………….93</w:t>
      </w:r>
      <w:r>
        <w:t xml:space="preserve"> </w:t>
      </w:r>
      <w:r>
        <w:t xml:space="preserve">2Psicologo di Base · Metodologia apicale e registro unificato delle variabili</w:t>
      </w:r>
      <w:r>
        <w:t xml:space="preserve"> </w:t>
      </w:r>
      <w:r>
        <w:t xml:space="preserve">Parte I — La metodologia apicale</w:t>
      </w:r>
      <w:r>
        <w:t xml:space="preserve"> </w:t>
      </w:r>
      <w:r>
        <w:t xml:space="preserve">1. Finalità e natura</w:t>
      </w:r>
      <w:r>
        <w:t xml:space="preserve"> </w:t>
      </w:r>
      <w:r>
        <w:t xml:space="preserve">La metodologia apicale è il livello superiore che governa l’intero sistema di variabili e ne</w:t>
      </w:r>
      <w:r>
        <w:t xml:space="preserve"> </w:t>
      </w:r>
      <w:r>
        <w:t xml:space="preserve">garantisce il funzionamento. Il registro, da solo, è un inventario: elenca ciò che si potrebbe</w:t>
      </w:r>
      <w:r>
        <w:t xml:space="preserve"> </w:t>
      </w:r>
      <w:r>
        <w:t xml:space="preserve">osservare, ma non stabilisce come trasformarlo in valutazione. La metodologia apicale colma</w:t>
      </w:r>
      <w:r>
        <w:t xml:space="preserve"> </w:t>
      </w:r>
      <w:r>
        <w:t xml:space="preserve">questo scarto. Definisce l’architettura che tiene insieme i diversi strati di variabili, le regole con</w:t>
      </w:r>
      <w:r>
        <w:t xml:space="preserve"> </w:t>
      </w:r>
      <w:r>
        <w:t xml:space="preserve">cui se ne seleziona un sottoinsieme operativo, i metodi con cui le si pondera e aggrega in</w:t>
      </w:r>
      <w:r>
        <w:t xml:space="preserve"> </w:t>
      </w:r>
      <w:r>
        <w:t xml:space="preserve">misure di sintesi, le procedure con cui se ne valida la robustezza, e la governance che ne</w:t>
      </w:r>
      <w:r>
        <w:t xml:space="preserve"> </w:t>
      </w:r>
      <w:r>
        <w:t xml:space="preserve">assicura nel tempo la qualità e la coerenza. È ciò che rende il sistema non soltanto esteso, ma</w:t>
      </w:r>
      <w:r>
        <w:t xml:space="preserve"> </w:t>
      </w:r>
      <w:r>
        <w:t xml:space="preserve">rigoroso, difendibile e utilizzabile.</w:t>
      </w:r>
      <w:r>
        <w:t xml:space="preserve"> </w:t>
      </w:r>
      <w:r>
        <w:t xml:space="preserve">2. L’architettura a strati del registro</w:t>
      </w:r>
      <w:r>
        <w:t xml:space="preserve"> </w:t>
      </w:r>
      <w:r>
        <w:t xml:space="preserve">Il registro si articola in strati, ordinati dal più analitico al più sintetico, come riassume la tabella.</w:t>
      </w:r>
      <w:r>
        <w:t xml:space="preserve"> </w:t>
      </w:r>
      <w:r>
        <w:t xml:space="preserve">Gli strati sono legati da due operazioni inverse: la ramificazione disaggrega una variabile in</w:t>
      </w:r>
      <w:r>
        <w:t xml:space="preserve"> </w:t>
      </w:r>
      <w:r>
        <w:t xml:space="preserve">sotto-variabili più fini; la composizione aggrega più variabili in un’unica misura.1 Le variabili</w:t>
      </w:r>
      <w:r>
        <w:t xml:space="preserve"> </w:t>
      </w:r>
      <w:r>
        <w:t xml:space="preserve">semplici costituiscono il livello fondamentale; le ramificate ne sono la disaggregazione</w:t>
      </w:r>
      <w:r>
        <w:t xml:space="preserve"> </w:t>
      </w:r>
      <w:r>
        <w:t xml:space="preserve">sistematica; le complesse ne sono la sintesi. Riconoscere a quale strato appartiene una</w:t>
      </w:r>
      <w:r>
        <w:t xml:space="preserve"> </w:t>
      </w:r>
      <w:r>
        <w:t xml:space="preserve">grandezza è la premessa per non confonderne il ruolo nel calcolo.</w:t>
      </w:r>
      <w:r>
        <w:t xml:space="preserve"> </w:t>
      </w:r>
      <w:r>
        <w:t xml:space="preserve">Strato Contenuto Numero Funzione</w:t>
      </w:r>
      <w:r>
        <w:t xml:space="preserve"> </w:t>
      </w:r>
      <w:r>
        <w:t xml:space="preserve">Variabili semplici Determinanti elementari, in 48</w:t>
      </w:r>
      <w:r>
        <w:t xml:space="preserve"> </w:t>
      </w:r>
      <w:r>
        <w:t xml:space="preserve">dimensioni e 5 livelli</w:t>
      </w:r>
      <w:r>
        <w:t xml:space="preserve"> </w:t>
      </w:r>
      <w:r>
        <w:t xml:space="preserve">1.013 Livello</w:t>
      </w:r>
      <w:r>
        <w:t xml:space="preserve"> </w:t>
      </w:r>
      <w:r>
        <w:t xml:space="preserve">fondamentale</w:t>
      </w:r>
      <w:r>
        <w:t xml:space="preserve"> </w:t>
      </w:r>
      <w:r>
        <w:t xml:space="preserve">Variabili ramificate Disaggregazioni per popolazione,</w:t>
      </w:r>
      <w:r>
        <w:t xml:space="preserve"> </w:t>
      </w:r>
      <w:r>
        <w:t xml:space="preserve">setting, voce di costo, meccanismo</w:t>
      </w:r>
      <w:r>
        <w:t xml:space="preserve"> </w:t>
      </w:r>
      <w:r>
        <w:t xml:space="preserve">2.528 Dettaglio analitico</w:t>
      </w:r>
      <w:r>
        <w:t xml:space="preserve"> </w:t>
      </w:r>
      <w:r>
        <w:t xml:space="preserve">Variabili complesse</w:t>
      </w:r>
      <w:r>
        <w:t xml:space="preserve"> </w:t>
      </w:r>
      <w:r>
        <w:t xml:space="preserve">sanitarie</w:t>
      </w:r>
      <w:r>
        <w:t xml:space="preserve"> </w:t>
      </w:r>
      <w:r>
        <w:t xml:space="preserve">Misure composite di esito, utilità,</w:t>
      </w:r>
      <w:r>
        <w:t xml:space="preserve"> </w:t>
      </w:r>
      <w:r>
        <w:t xml:space="preserve">economia, equità</w:t>
      </w:r>
      <w:r>
        <w:t xml:space="preserve"> </w:t>
      </w:r>
      <w:r>
        <w:t xml:space="preserve">69 Sintesi sanitaria</w:t>
      </w:r>
      <w:r>
        <w:t xml:space="preserve"> </w:t>
      </w:r>
      <w:r>
        <w:t xml:space="preserve">Variabili complesse</w:t>
      </w:r>
      <w:r>
        <w:t xml:space="preserve"> </w:t>
      </w:r>
      <w:r>
        <w:t xml:space="preserve">multidisciplinari</w:t>
      </w:r>
      <w:r>
        <w:t xml:space="preserve"> </w:t>
      </w:r>
      <w:r>
        <w:t xml:space="preserve">Indicatori compositi per disciplina,</w:t>
      </w:r>
      <w:r>
        <w:t xml:space="preserve"> </w:t>
      </w:r>
      <w:r>
        <w:t xml:space="preserve">ancorati al BES</w:t>
      </w:r>
      <w:r>
        <w:t xml:space="preserve"> </w:t>
      </w:r>
      <w:r>
        <w:t xml:space="preserve">83 (+12</w:t>
      </w:r>
      <w:r>
        <w:t xml:space="preserve"> </w:t>
      </w:r>
      <w:r>
        <w:t xml:space="preserve">BES)</w:t>
      </w:r>
      <w:r>
        <w:t xml:space="preserve"> </w:t>
      </w:r>
      <w:r>
        <w:t xml:space="preserve">Sintesi</w:t>
      </w:r>
      <w:r>
        <w:t xml:space="preserve"> </w:t>
      </w:r>
      <w:r>
        <w:t xml:space="preserve">multidisciplinare</w:t>
      </w:r>
      <w:r>
        <w:t xml:space="preserve"> </w:t>
      </w:r>
      <w:r>
        <w:t xml:space="preserve">Tabella 1. L’architettura a strati del registro unificato (totale: 3.693 variabili, oltre ai 12 domini del BES).</w:t>
      </w:r>
      <w:r>
        <w:t xml:space="preserve"> </w:t>
      </w:r>
      <w:r>
        <w:t xml:space="preserve">3. Il principio di funzionamento: dall’enumerazione alla decisione</w:t>
      </w:r>
      <w:r>
        <w:t xml:space="preserve"> </w:t>
      </w:r>
      <w:r>
        <w:t xml:space="preserve">Il sistema funziona attraverso una sequenza ordinata, che procede dall’ampiezza alla sintesi:</w:t>
      </w:r>
      <w:r>
        <w:t xml:space="preserve"> </w:t>
      </w:r>
      <w:r>
        <w:t xml:space="preserve">enumerare, selezionare, misurare, aggregare, interpretare. L’enumerazione — il registro —</w:t>
      </w:r>
      <w:r>
        <w:t xml:space="preserve"> </w:t>
      </w:r>
      <w:r>
        <w:t xml:space="preserve">garantisce l’esaustività e protegge dall’omissione di fattori rilevanti. La selezione individua, tra</w:t>
      </w:r>
      <w:r>
        <w:t xml:space="preserve"> </w:t>
      </w:r>
      <w:r>
        <w:t xml:space="preserve">le molte variabili, il sottoinsieme prioritario effettivamente da rilevare. La misurazione associa a</w:t>
      </w:r>
      <w:r>
        <w:t xml:space="preserve"> </w:t>
      </w:r>
      <w:r>
        <w:t xml:space="preserve">ciascuna variabile selezionata un indicatore, una fonte e una direzione attesa. L’aggregazione</w:t>
      </w:r>
      <w:r>
        <w:t xml:space="preserve"> </w:t>
      </w:r>
      <w:r>
        <w:t xml:space="preserve">combina gli indicatori nelle misure complesse di sintesi. L’interpretazione restituisce il risultato</w:t>
      </w:r>
      <w:r>
        <w:t xml:space="preserve"> </w:t>
      </w:r>
      <w:r>
        <w:t xml:space="preserve">1OECD ed European Commission-JRC, Handbook on Constructing Composite Indicators:</w:t>
      </w:r>
      <w:r>
        <w:t xml:space="preserve"> </w:t>
      </w:r>
      <w:r>
        <w:t xml:space="preserve">Methodology and User Guide (2008): metodologia di riferimento per la costruzione di</w:t>
      </w:r>
      <w:r>
        <w:t xml:space="preserve"> </w:t>
      </w:r>
      <w:r>
        <w:t xml:space="preserve">indicatori compositi, articolata in dieci passi (quadro teorico, selezione dei dati, imputazione,</w:t>
      </w:r>
      <w:r>
        <w:t xml:space="preserve"> </w:t>
      </w:r>
      <w:r>
        <w:t xml:space="preserve">analisi multivariata, normalizzazione, ponderazione, aggregazione, analisi di sensibilità,</w:t>
      </w:r>
      <w:r>
        <w:t xml:space="preserve"> </w:t>
      </w:r>
      <w:r>
        <w:t xml:space="preserve">collegamento ad altre misure, visualizzazione).</w:t>
      </w:r>
      <w:r>
        <w:t xml:space="preserve"> </w:t>
      </w:r>
      <w:r>
        <w:t xml:space="preserve">3Psicologo di Base · Metodologia apicale e registro unificato delle variabili</w:t>
      </w:r>
      <w:r>
        <w:t xml:space="preserve"> </w:t>
      </w:r>
      <w:r>
        <w:t xml:space="preserve">alla decisione.2 Senza questa sequenza, l’enumerazione resta inerte: è la metodologia apicale</w:t>
      </w:r>
      <w:r>
        <w:t xml:space="preserve"> </w:t>
      </w:r>
      <w:r>
        <w:t xml:space="preserve">a renderla operativa.</w:t>
      </w:r>
      <w:r>
        <w:t xml:space="preserve"> </w:t>
      </w:r>
      <w:r>
        <w:t xml:space="preserve">4. La mappatura multidimensionale e la coerenza</w:t>
      </w:r>
      <w:r>
        <w:t xml:space="preserve"> </w:t>
      </w:r>
      <w:r>
        <w:t xml:space="preserve">Ogni variabile è collocata simultaneamente su più coordinate: lo strato di appartenenza, il</w:t>
      </w:r>
      <w:r>
        <w:t xml:space="preserve"> </w:t>
      </w:r>
      <w:r>
        <w:t xml:space="preserve">livello di analisi (dal paziente alla società), la dimensione o disciplina, la posizione nel modello</w:t>
      </w:r>
      <w:r>
        <w:t xml:space="preserve"> </w:t>
      </w:r>
      <w:r>
        <w:t xml:space="preserve">logico (risorse, attività, prodotti, esiti, impatti), il dominio del BES a cui si riconduce, e il grado di</w:t>
      </w:r>
      <w:r>
        <w:t xml:space="preserve"> </w:t>
      </w:r>
      <w:r>
        <w:t xml:space="preserve">evidenza che la sostiene.3 4 Questa mappatura multipla è ciò che integra strati e discipline in</w:t>
      </w:r>
      <w:r>
        <w:t xml:space="preserve"> </w:t>
      </w:r>
      <w:r>
        <w:t xml:space="preserve">un unico sistema coerente, e consente di passare dall’analitico al sintetico senza perdere</w:t>
      </w:r>
      <w:r>
        <w:t xml:space="preserve"> </w:t>
      </w:r>
      <w:r>
        <w:t xml:space="preserve">tracciabilità.</w:t>
      </w:r>
      <w:r>
        <w:t xml:space="preserve"> </w:t>
      </w:r>
      <w:r>
        <w:t xml:space="preserve">5. I criteri di selezione delle variabili prioritarie</w:t>
      </w:r>
      <w:r>
        <w:t xml:space="preserve"> </w:t>
      </w:r>
      <w:r>
        <w:t xml:space="preserve">La selezione del sottoinsieme prioritario non è arbitraria: segue criteri espliciti e documentati,</w:t>
      </w:r>
      <w:r>
        <w:t xml:space="preserve"> </w:t>
      </w:r>
      <w:r>
        <w:t xml:space="preserve">applicati a ciascuna variabile candidata e riassunti nella tabella. La selezione adotta i metodi</w:t>
      </w:r>
      <w:r>
        <w:t xml:space="preserve"> </w:t>
      </w:r>
      <w:r>
        <w:t xml:space="preserve">consolidati dei set di esiti essenziali, che individuano per consenso strutturato un nucleo</w:t>
      </w:r>
      <w:r>
        <w:t xml:space="preserve"> </w:t>
      </w:r>
      <w:r>
        <w:t xml:space="preserve">parsimonioso di misure condivise.5</w:t>
      </w:r>
      <w:r>
        <w:t xml:space="preserve"> </w:t>
      </w:r>
      <w:r>
        <w:t xml:space="preserve">Criterio Significato</w:t>
      </w:r>
      <w:r>
        <w:t xml:space="preserve"> </w:t>
      </w:r>
      <w:r>
        <w:t xml:space="preserve">Rilevanza Misura un effetto importante della riforma.</w:t>
      </w:r>
      <w:r>
        <w:t xml:space="preserve"> </w:t>
      </w:r>
      <w:r>
        <w:t xml:space="preserve">Misurabilità È rilevabile mediante un indicatore definito.</w:t>
      </w:r>
      <w:r>
        <w:t xml:space="preserve"> </w:t>
      </w:r>
      <w:r>
        <w:t xml:space="preserve">Disponibilità del dato La fonte esiste ed è accessibile.</w:t>
      </w:r>
      <w:r>
        <w:t xml:space="preserve"> </w:t>
      </w:r>
      <w:r>
        <w:t xml:space="preserve">Sensibilità all’intervento Varia in risposta al servizio.</w:t>
      </w:r>
      <w:r>
        <w:t xml:space="preserve"> </w:t>
      </w:r>
      <w:r>
        <w:t xml:space="preserve">Validità e affidabilità Misura ciò che dichiara, in modo stabile e ripetibile.</w:t>
      </w:r>
      <w:r>
        <w:t xml:space="preserve"> </w:t>
      </w:r>
      <w:r>
        <w:t xml:space="preserve">Non ridondanza Non duplica altre variabili già selezionate.</w:t>
      </w:r>
      <w:r>
        <w:t xml:space="preserve"> </w:t>
      </w:r>
      <w:r>
        <w:t xml:space="preserve">Allineamento al BES Si riconduce a un dominio del quadro nazionale.</w:t>
      </w:r>
      <w:r>
        <w:t xml:space="preserve"> </w:t>
      </w:r>
      <w:r>
        <w:t xml:space="preserve">Fattibilità e sostenibilità La rilevazione è praticabile e mantenibile nel tempo.</w:t>
      </w:r>
      <w:r>
        <w:t xml:space="preserve"> </w:t>
      </w:r>
      <w:r>
        <w:t xml:space="preserve">Tabella 2. I criteri per la selezione del sottoinsieme prioritario di variabili.</w:t>
      </w:r>
      <w:r>
        <w:t xml:space="preserve"> </w:t>
      </w:r>
      <w:r>
        <w:t xml:space="preserve">6. La ponderazione e l’aggregazione</w:t>
      </w:r>
      <w:r>
        <w:t xml:space="preserve"> </w:t>
      </w:r>
      <w:r>
        <w:t xml:space="preserve">La costruzione delle misure complesse a partire dalle variabili semplici segue la metodologia</w:t>
      </w:r>
      <w:r>
        <w:t xml:space="preserve"> </w:t>
      </w:r>
      <w:r>
        <w:t xml:space="preserve">consolidata degli indicatori compositi, articolata in passi ordinati e verificabili. Ciascun passo è</w:t>
      </w:r>
      <w:r>
        <w:t xml:space="preserve"> </w:t>
      </w:r>
      <w:r>
        <w:t xml:space="preserve">2Set di esiti essenziali: l’iniziativa COMET (Core Outcome Measures in Effectiveness Trials)</w:t>
      </w:r>
      <w:r>
        <w:t xml:space="preserve"> </w:t>
      </w:r>
      <w:r>
        <w:t xml:space="preserve">e gli standard ICHOM individuano, mediante consenso strutturato (es. metodo Delphi), un</w:t>
      </w:r>
      <w:r>
        <w:t xml:space="preserve"> </w:t>
      </w:r>
      <w:r>
        <w:t xml:space="preserve">nucleo parsimonioso e condiviso di esiti da misurare, prassi che fonda la selezione di un</w:t>
      </w:r>
      <w:r>
        <w:t xml:space="preserve"> </w:t>
      </w:r>
      <w:r>
        <w:t xml:space="preserve">sottoinsieme prioritario di variabili.</w:t>
      </w:r>
      <w:r>
        <w:t xml:space="preserve"> </w:t>
      </w:r>
      <w:r>
        <w:t xml:space="preserve">3Riferimenti metodologici: Donabedian (struttura, processo, esito) per la classificazione degli</w:t>
      </w:r>
      <w:r>
        <w:t xml:space="preserve"> </w:t>
      </w:r>
      <w:r>
        <w:t xml:space="preserve">indicatori; modello logico e teoria del cambiamento per la catena risorse-attività-prodottiesiti-impatti; gerarchia dell’evidenza per la valutazione del grado di certezza.</w:t>
      </w:r>
      <w:r>
        <w:t xml:space="preserve"> </w:t>
      </w:r>
      <w:r>
        <w:t xml:space="preserve">4Benessere Equo e Sostenibile (BES), ISTAT: dodici domini con indici compositi; con la</w:t>
      </w:r>
      <w:r>
        <w:t xml:space="preserve"> </w:t>
      </w:r>
      <w:r>
        <w:t xml:space="preserve">legge n. 163/2016 di riforma del bilancio, dodici indicatori BES sono allegati ai documenti di</w:t>
      </w:r>
      <w:r>
        <w:t xml:space="preserve"> </w:t>
      </w:r>
      <w:r>
        <w:t xml:space="preserve">programmazione economica, rendendo il BES la cornice nazionale di sintesi</w:t>
      </w:r>
      <w:r>
        <w:t xml:space="preserve"> </w:t>
      </w:r>
      <w:r>
        <w:t xml:space="preserve">multidimensionale.</w:t>
      </w:r>
      <w:r>
        <w:t xml:space="preserve"> </w:t>
      </w:r>
      <w:r>
        <w:t xml:space="preserve">5Set di esiti essenziali: l’iniziativa COMET (Core Outcome Measures in Effectiveness Trials)</w:t>
      </w:r>
      <w:r>
        <w:t xml:space="preserve"> </w:t>
      </w:r>
      <w:r>
        <w:t xml:space="preserve">e gli standard ICHOM individuano, mediante consenso strutturato (es. metodo Delphi), un</w:t>
      </w:r>
      <w:r>
        <w:t xml:space="preserve"> </w:t>
      </w:r>
      <w:r>
        <w:t xml:space="preserve">nucleo parsimonioso e condiviso di esiti da misurare, prassi che fonda la selezione di un</w:t>
      </w:r>
      <w:r>
        <w:t xml:space="preserve"> </w:t>
      </w:r>
      <w:r>
        <w:t xml:space="preserve">sottoinsieme prioritario di variabili.</w:t>
      </w:r>
      <w:r>
        <w:t xml:space="preserve"> </w:t>
      </w:r>
      <w:r>
        <w:t xml:space="preserve">4Psicologo di Base · Metodologia apicale e registro unificato delle variabili</w:t>
      </w:r>
      <w:r>
        <w:t xml:space="preserve"> </w:t>
      </w:r>
      <w:r>
        <w:t xml:space="preserve">documentato e riproducibile; in particolare, la scelta dei pesi e del metodo di aggregazione è</w:t>
      </w:r>
      <w:r>
        <w:t xml:space="preserve"> </w:t>
      </w:r>
      <w:r>
        <w:t xml:space="preserve">resa esplicita, perché da essa dipende il risultato.6</w:t>
      </w:r>
      <w:r>
        <w:t xml:space="preserve"> </w:t>
      </w:r>
      <w:r>
        <w:t xml:space="preserve">Passo Contenuto</w:t>
      </w:r>
      <w:r>
        <w:t xml:space="preserve"> </w:t>
      </w:r>
      <w:r>
        <w:t xml:space="preserve">1 Quadro teorico: definire il concetto e le sue componenti.</w:t>
      </w:r>
      <w:r>
        <w:t xml:space="preserve"> </w:t>
      </w:r>
      <w:r>
        <w:t xml:space="preserve">2 Selezione dei dati: scegliere gli indicatori di base.</w:t>
      </w:r>
      <w:r>
        <w:t xml:space="preserve"> </w:t>
      </w:r>
      <w:r>
        <w:t xml:space="preserve">3 Dati mancanti: imputare in modo trasparente.</w:t>
      </w:r>
      <w:r>
        <w:t xml:space="preserve"> </w:t>
      </w:r>
      <w:r>
        <w:t xml:space="preserve">4 Analisi multivariata: studiare la struttura dei dati.</w:t>
      </w:r>
      <w:r>
        <w:t xml:space="preserve"> </w:t>
      </w:r>
      <w:r>
        <w:t xml:space="preserve">5 Normalizzazione: rendere comparabili scale diverse.</w:t>
      </w:r>
      <w:r>
        <w:t xml:space="preserve"> </w:t>
      </w:r>
      <w:r>
        <w:t xml:space="preserve">6 Ponderazione: attribuire i pesi alle componenti.</w:t>
      </w:r>
      <w:r>
        <w:t xml:space="preserve"> </w:t>
      </w:r>
      <w:r>
        <w:t xml:space="preserve">7 Aggregazione: combinare gli indicatori in un indice.</w:t>
      </w:r>
      <w:r>
        <w:t xml:space="preserve"> </w:t>
      </w:r>
      <w:r>
        <w:t xml:space="preserve">8 Analisi di sensibilità: verificare la robustezza alle scelte.</w:t>
      </w:r>
      <w:r>
        <w:t xml:space="preserve"> </w:t>
      </w:r>
      <w:r>
        <w:t xml:space="preserve">9 Collegamento: validare rispetto a misure esterne.</w:t>
      </w:r>
      <w:r>
        <w:t xml:space="preserve"> </w:t>
      </w:r>
      <w:r>
        <w:t xml:space="preserve">10 Visualizzazione: comunicare il risultato in modo leggibile.</w:t>
      </w:r>
      <w:r>
        <w:t xml:space="preserve"> </w:t>
      </w:r>
      <w:r>
        <w:t xml:space="preserve">Tabella 3. I dieci passi per la costruzione degli indicatori compositi (OCSE-JRC).</w:t>
      </w:r>
      <w:r>
        <w:t xml:space="preserve"> </w:t>
      </w:r>
      <w:r>
        <w:t xml:space="preserve">7. La validazione e la robustezza</w:t>
      </w:r>
      <w:r>
        <w:t xml:space="preserve"> </w:t>
      </w:r>
      <w:r>
        <w:t xml:space="preserve">La solidità del sistema è garantita da procedure di validazione e di analisi della robustezza,</w:t>
      </w:r>
      <w:r>
        <w:t xml:space="preserve"> </w:t>
      </w:r>
      <w:r>
        <w:t xml:space="preserve">che ne costituiscono la blindatura. Le misure sono validate sul piano statistico e psicometrico; i</w:t>
      </w:r>
      <w:r>
        <w:t xml:space="preserve"> </w:t>
      </w:r>
      <w:r>
        <w:t xml:space="preserve">risultati economici sono sottoposti ad analisi di sensibilità probabilistica e a modelli di decorso,</w:t>
      </w:r>
      <w:r>
        <w:t xml:space="preserve"> </w:t>
      </w:r>
      <w:r>
        <w:t xml:space="preserve">che ne saggiano la tenuta al variare dei parametri; le scelte multi-criterio sono esaminate</w:t>
      </w:r>
      <w:r>
        <w:t xml:space="preserve"> </w:t>
      </w:r>
      <w:r>
        <w:t xml:space="preserve">rispetto ai pesi.7 Gli indicatori compositi, inoltre, possono essere sottoposti ad audit statistico</w:t>
      </w:r>
      <w:r>
        <w:t xml:space="preserve"> </w:t>
      </w:r>
      <w:r>
        <w:t xml:space="preserve">indipendente, secondo la prassi consolidata.8 La robustezza non è un’aggiunta finale, ma un</w:t>
      </w:r>
      <w:r>
        <w:t xml:space="preserve"> </w:t>
      </w:r>
      <w:r>
        <w:t xml:space="preserve">requisito incorporato in ogni passo.</w:t>
      </w:r>
      <w:r>
        <w:t xml:space="preserve"> </w:t>
      </w:r>
      <w:r>
        <w:t xml:space="preserve">8. Le regole di coerenza e di non duplicazione</w:t>
      </w:r>
      <w:r>
        <w:t xml:space="preserve"> </w:t>
      </w:r>
      <w:r>
        <w:t xml:space="preserve">Un sistema a più strati richiede regole che ne impediscano l’uso incoerente. La principale è il</w:t>
      </w:r>
      <w:r>
        <w:t xml:space="preserve"> </w:t>
      </w:r>
      <w:r>
        <w:t xml:space="preserve">divieto di doppia contabilizzazione: nel medesimo calcolo, una grandezza non può essere</w:t>
      </w:r>
      <w:r>
        <w:t xml:space="preserve"> </w:t>
      </w:r>
      <w:r>
        <w:t xml:space="preserve">conteggiata più volte attraverso strati diversi — come variabile semplice, come proprie</w:t>
      </w:r>
      <w:r>
        <w:t xml:space="preserve"> </w:t>
      </w:r>
      <w:r>
        <w:t xml:space="preserve">ramificazioni e come componente di una misura complessa che già la incorpora. Ogni effetto è</w:t>
      </w:r>
      <w:r>
        <w:t xml:space="preserve"> </w:t>
      </w:r>
      <w:r>
        <w:t xml:space="preserve">contato una sola volta. Le variabili ramificate non si sommano tra loro né con la variabilegenitore; e le misure complesse, quando impiegate, sostituiscono — non si aggiungono a — le</w:t>
      </w:r>
      <w:r>
        <w:t xml:space="preserve"> </w:t>
      </w:r>
      <w:r>
        <w:t xml:space="preserve">variabili che sintetizzano. Queste regole evitano le incoerenze e rendono i totali affidabili.</w:t>
      </w:r>
      <w:r>
        <w:t xml:space="preserve"> </w:t>
      </w:r>
      <w:r>
        <w:t xml:space="preserve">6OECD ed European Commission-JRC, Handbook on Constructing Composite Indicators:</w:t>
      </w:r>
      <w:r>
        <w:t xml:space="preserve"> </w:t>
      </w:r>
      <w:r>
        <w:t xml:space="preserve">Methodology and User Guide (2008): metodologia di riferimento per la costruzione di</w:t>
      </w:r>
      <w:r>
        <w:t xml:space="preserve"> </w:t>
      </w:r>
      <w:r>
        <w:t xml:space="preserve">indicatori compositi, articolata in dieci passi (quadro teorico, selezione dei dati, imputazione,</w:t>
      </w:r>
      <w:r>
        <w:t xml:space="preserve"> </w:t>
      </w:r>
      <w:r>
        <w:t xml:space="preserve">analisi multivariata, normalizzazione, ponderazione, aggregazione, analisi di sensibilità,</w:t>
      </w:r>
      <w:r>
        <w:t xml:space="preserve"> </w:t>
      </w:r>
      <w:r>
        <w:t xml:space="preserve">collegamento ad altre misure, visualizzazione).</w:t>
      </w:r>
      <w:r>
        <w:t xml:space="preserve"> </w:t>
      </w:r>
      <w:r>
        <w:t xml:space="preserve">7Robustezza: l’analisi di sensibilità probabilistica, i modelli di Markov e l’analisi multicriterio</w:t>
      </w:r>
      <w:r>
        <w:t xml:space="preserve"> </w:t>
      </w:r>
      <w:r>
        <w:t xml:space="preserve">(MCDA) sono stati impiegati nel dossier del progetto (Roadmap, Fase 1) per saggiare la</w:t>
      </w:r>
      <w:r>
        <w:t xml:space="preserve"> </w:t>
      </w:r>
      <w:r>
        <w:t xml:space="preserve">tenuta dei risultati al variare dei parametri.</w:t>
      </w:r>
      <w:r>
        <w:t xml:space="preserve"> </w:t>
      </w:r>
      <w:r>
        <w:t xml:space="preserve">8Audit statistico degli indicatori compositi: il Centro di competenza del Joint Research Centre</w:t>
      </w:r>
      <w:r>
        <w:t xml:space="preserve"> </w:t>
      </w:r>
      <w:r>
        <w:t xml:space="preserve">(JRC-COIN) sottopone gli indici compositi a verifica di robustezza metodologica, prassi</w:t>
      </w:r>
      <w:r>
        <w:t xml:space="preserve"> </w:t>
      </w:r>
      <w:r>
        <w:t xml:space="preserve">adottabile per la validazione delle misure di sintesi.</w:t>
      </w:r>
      <w:r>
        <w:t xml:space="preserve"> </w:t>
      </w:r>
      <w:r>
        <w:t xml:space="preserve">5Psicologo di Base · Metodologia apicale e registro unificato delle variabili</w:t>
      </w:r>
      <w:r>
        <w:t xml:space="preserve"> </w:t>
      </w:r>
      <w:r>
        <w:t xml:space="preserve">9. La governance del sistema e la base di evidenza</w:t>
      </w:r>
      <w:r>
        <w:t xml:space="preserve"> </w:t>
      </w:r>
      <w:r>
        <w:t xml:space="preserve">Il sistema è mantenuto nel tempo da una governance esplicita: il versionamento del registro, il</w:t>
      </w:r>
      <w:r>
        <w:t xml:space="preserve"> </w:t>
      </w:r>
      <w:r>
        <w:t xml:space="preserve">controllo di qualità dei dati, la trasparenza e la riproducibilità delle analisi, e la revisione</w:t>
      </w:r>
      <w:r>
        <w:t xml:space="preserve"> </w:t>
      </w:r>
      <w:r>
        <w:t xml:space="preserve">periodica affidata a un osservatorio, che aggiorna le variabili e le misure alla luce dei risultati.</w:t>
      </w:r>
      <w:r>
        <w:t xml:space="preserve"> </w:t>
      </w:r>
      <w:r>
        <w:t xml:space="preserve">Ogni variabile è inoltre ancorata, ove disponibile, all’evidenza scientifica che la sostiene,</w:t>
      </w:r>
      <w:r>
        <w:t xml:space="preserve"> </w:t>
      </w:r>
      <w:r>
        <w:t xml:space="preserve">secondo la gerarchia delle fonti.9 Ciò collega l’intero sistema alla letteratura e ne fonda la</w:t>
      </w:r>
      <w:r>
        <w:t xml:space="preserve"> </w:t>
      </w:r>
      <w:r>
        <w:t xml:space="preserve">difendibilità.</w:t>
      </w:r>
      <w:r>
        <w:t xml:space="preserve"> </w:t>
      </w:r>
      <w:r>
        <w:t xml:space="preserve">10. Il prodotto: dal registro al cruscotto di sintesi</w:t>
      </w:r>
      <w:r>
        <w:t xml:space="preserve"> </w:t>
      </w:r>
      <w:r>
        <w:t xml:space="preserve">L’esito della metodologia apicale è triplice: un piano di misurazione prioritario, che indica le</w:t>
      </w:r>
      <w:r>
        <w:t xml:space="preserve"> </w:t>
      </w:r>
      <w:r>
        <w:t xml:space="preserve">poche variabili effettivamente da rilevare con i loro attributi; un cruscotto di sintesi, costituito da</w:t>
      </w:r>
      <w:r>
        <w:t xml:space="preserve"> </w:t>
      </w:r>
      <w:r>
        <w:t xml:space="preserve">un numero contenuto di misure complesse — ancorate ai domini del BES — che riassumono</w:t>
      </w:r>
      <w:r>
        <w:t xml:space="preserve"> </w:t>
      </w:r>
      <w:r>
        <w:t xml:space="preserve">l’effetto della riforma in forma comunicabile al decisore;10 e il registro completo, che resta sullo</w:t>
      </w:r>
      <w:r>
        <w:t xml:space="preserve"> </w:t>
      </w:r>
      <w:r>
        <w:t xml:space="preserve">sfondo come base di esaustività e di tracciabilità. È questa articolazione — un vertice sintetico</w:t>
      </w:r>
      <w:r>
        <w:t xml:space="preserve"> </w:t>
      </w:r>
      <w:r>
        <w:t xml:space="preserve">poggiato su una base analitica — a far funzionare l’intero sistema: la mole delle variabili non è</w:t>
      </w:r>
      <w:r>
        <w:t xml:space="preserve"> </w:t>
      </w:r>
      <w:r>
        <w:t xml:space="preserve">un peso, ma la garanzia che la sintesi non trascuri nulla di rilevante.</w:t>
      </w:r>
      <w:r>
        <w:t xml:space="preserve"> </w:t>
      </w:r>
      <w:r>
        <w:t xml:space="preserve">9Base di evidenza delle variabili: meta-analisi sulla cura collaborativa nelle cure primarie,</w:t>
      </w:r>
      <w:r>
        <w:t xml:space="preserve"> </w:t>
      </w:r>
      <w:r>
        <w:t xml:space="preserve">programma inglese di terapie psicologiche (IAPT) e rapporti OCSE e OMS, richiamati nel</w:t>
      </w:r>
      <w:r>
        <w:t xml:space="preserve"> </w:t>
      </w:r>
      <w:r>
        <w:t xml:space="preserve">catalogo, ancorano le relazioni ipotizzate alla letteratura scientifica.</w:t>
      </w:r>
      <w:r>
        <w:t xml:space="preserve"> </w:t>
      </w:r>
      <w:r>
        <w:t xml:space="preserve">10Benessere Equo e Sostenibile (BES), ISTAT: dodici domini con indici compositi; con la</w:t>
      </w:r>
      <w:r>
        <w:t xml:space="preserve"> </w:t>
      </w:r>
      <w:r>
        <w:t xml:space="preserve">legge n. 163/2016 di riforma del bilancio, dodici indicatori BES sono allegati ai documenti di</w:t>
      </w:r>
      <w:r>
        <w:t xml:space="preserve"> </w:t>
      </w:r>
      <w:r>
        <w:t xml:space="preserve">programmazione economica, rendendo il BES la cornice nazionale di sintesi</w:t>
      </w:r>
      <w:r>
        <w:t xml:space="preserve"> </w:t>
      </w:r>
      <w:r>
        <w:t xml:space="preserve">multidimensionale.</w:t>
      </w:r>
      <w:r>
        <w:t xml:space="preserve"> </w:t>
      </w:r>
      <w:r>
        <w:t xml:space="preserve">6Psicologo di Base · Metodologia apicale e registro unificato delle variabili</w:t>
      </w:r>
      <w:r>
        <w:t xml:space="preserve"> </w:t>
      </w:r>
      <w:r>
        <w:t xml:space="preserve">Parte II — Il registro unificato delle variabili</w:t>
      </w:r>
      <w:r>
        <w:t xml:space="preserve"> </w:t>
      </w:r>
      <w:r>
        <w:t xml:space="preserve">Il registro unifica, in un’unica sequenza, tutte le variabili prodotte: le variabili semplici, le loro</w:t>
      </w:r>
      <w:r>
        <w:t xml:space="preserve"> </w:t>
      </w:r>
      <w:r>
        <w:t xml:space="preserve">ramificazioni e le variabili complesse. La numerazione è continua per i primi due strati (da 1 a</w:t>
      </w:r>
      <w:r>
        <w:t xml:space="preserve"> </w:t>
      </w:r>
      <w:r>
        <w:t xml:space="preserve">3.541) e distinta, per famiglia e disciplina, per le misure complesse. La tabella ne riassume la</w:t>
      </w:r>
      <w:r>
        <w:t xml:space="preserve"> </w:t>
      </w:r>
      <w:r>
        <w:t xml:space="preserve">composizione; seguono le quattro sezioni, dalla prima all’ultima variabile.</w:t>
      </w:r>
      <w:r>
        <w:t xml:space="preserve"> </w:t>
      </w:r>
      <w:r>
        <w:t xml:space="preserve">Strato Numerazione Numero</w:t>
      </w:r>
      <w:r>
        <w:t xml:space="preserve"> </w:t>
      </w:r>
      <w:r>
        <w:t xml:space="preserve">Variabili semplici (catalogo) 1 – 1.013 1.013</w:t>
      </w:r>
      <w:r>
        <w:t xml:space="preserve"> </w:t>
      </w:r>
      <w:r>
        <w:t xml:space="preserve">Variabili ramificate 1.014 – 3.541 2.528</w:t>
      </w:r>
      <w:r>
        <w:t xml:space="preserve"> </w:t>
      </w:r>
      <w:r>
        <w:t xml:space="preserve">Variabili complesse sanitarie per famiglia 69</w:t>
      </w:r>
      <w:r>
        <w:t xml:space="preserve"> </w:t>
      </w:r>
      <w:r>
        <w:t xml:space="preserve">Variabili complesse multidisciplinari per disciplina 83 (+12 BES)</w:t>
      </w:r>
      <w:r>
        <w:t xml:space="preserve"> </w:t>
      </w:r>
      <w:r>
        <w:t xml:space="preserve">Totale del registro — 3.693 (+12 BES)</w:t>
      </w:r>
      <w:r>
        <w:t xml:space="preserve"> </w:t>
      </w:r>
      <w:r>
        <w:t xml:space="preserve">Tabella 4. Composizione del registro unificato.</w:t>
      </w:r>
      <w:r>
        <w:t xml:space="preserve"> </w:t>
      </w:r>
      <w:r>
        <w:t xml:space="preserve">7Psicologo di Base · Metodologia apicale e registro unificato delle variabili</w:t>
      </w:r>
      <w:r>
        <w:t xml:space="preserve"> </w:t>
      </w:r>
      <w:r>
        <w:t xml:space="preserve">Sezione 1 — Catalogo base: 1013 variabili semplici</w:t>
      </w:r>
      <w:r>
        <w:t xml:space="preserve"> </w:t>
      </w:r>
      <w:r>
        <w:t xml:space="preserve">Seguono le variabili, raggruppate in quarantotto dimensioni di dettaglio e numerate in modo</w:t>
      </w:r>
      <w:r>
        <w:t xml:space="preserve"> </w:t>
      </w:r>
      <w:r>
        <w:t xml:space="preserve">continuo. Ciascuna è una grandezza il cui andamento concorre a determinare il valore della</w:t>
      </w:r>
      <w:r>
        <w:t xml:space="preserve"> </w:t>
      </w:r>
      <w:r>
        <w:t xml:space="preserve">riforma; ove utile, tra parentesi è indicato uno strumento o un indicatore di riferimento.</w:t>
      </w:r>
      <w:r>
        <w:t xml:space="preserve"> </w:t>
      </w:r>
      <w:r>
        <w:t xml:space="preserve">L’estensione del catalogo oltre il migliaio di variabili procede per disaggregazione principiata</w:t>
      </w:r>
      <w:r>
        <w:t xml:space="preserve"> </w:t>
      </w:r>
      <w:r>
        <w:t xml:space="preserve">— per disturbo, popolazione, setting, orizzonte temporale e strumento di misura — e per</w:t>
      </w:r>
      <w:r>
        <w:t xml:space="preserve"> </w:t>
      </w:r>
      <w:r>
        <w:t xml:space="preserve">l’aggiunta di dimensioni intersettoriali e infrastrutturali, non per ripetizione.</w:t>
      </w:r>
      <w:r>
        <w:t xml:space="preserve"> </w:t>
      </w:r>
      <w:r>
        <w:t xml:space="preserve">1. Esiti clinici di salute mentale</w:t>
      </w:r>
      <w:r>
        <w:t xml:space="preserve"> </w:t>
      </w:r>
      <w:r>
        <w:t xml:space="preserve">1. Riduzione dei sintomi depressivi (PHQ-9)</w:t>
      </w:r>
      <w:r>
        <w:t xml:space="preserve"> </w:t>
      </w:r>
      <w:r>
        <w:t xml:space="preserve">2. Riduzione dei sintomi ansiosi (GAD-7)</w:t>
      </w:r>
      <w:r>
        <w:t xml:space="preserve"> </w:t>
      </w:r>
      <w:r>
        <w:t xml:space="preserve">3. Tasso di risposta al trattamento</w:t>
      </w:r>
      <w:r>
        <w:t xml:space="preserve"> </w:t>
      </w:r>
      <w:r>
        <w:t xml:space="preserve">4. Tasso di remissione clinica</w:t>
      </w:r>
      <w:r>
        <w:t xml:space="preserve"> </w:t>
      </w:r>
      <w:r>
        <w:t xml:space="preserve">5. Tasso di recupero (recovery)</w:t>
      </w:r>
      <w:r>
        <w:t xml:space="preserve"> </w:t>
      </w:r>
      <w:r>
        <w:t xml:space="preserve">6. Riduzione del rischio di ricaduta e recidiva</w:t>
      </w:r>
      <w:r>
        <w:t xml:space="preserve"> </w:t>
      </w:r>
      <w:r>
        <w:t xml:space="preserve">7. Tempo alla risposta clinica</w:t>
      </w:r>
      <w:r>
        <w:t xml:space="preserve"> </w:t>
      </w:r>
      <w:r>
        <w:t xml:space="preserve">8. Riduzione della gravità media dei quadri</w:t>
      </w:r>
      <w:r>
        <w:t xml:space="preserve"> </w:t>
      </w:r>
      <w:r>
        <w:t xml:space="preserve">9. Miglioramento del funzionamento psicosociale (WSAS)</w:t>
      </w:r>
      <w:r>
        <w:t xml:space="preserve"> </w:t>
      </w:r>
      <w:r>
        <w:t xml:space="preserve">10. Miglioramento della qualità di vita correlata alla salute</w:t>
      </w:r>
      <w:r>
        <w:t xml:space="preserve"> </w:t>
      </w:r>
      <w:r>
        <w:t xml:space="preserve">11. Aumento del benessere psicologico (WEMWBS)</w:t>
      </w:r>
      <w:r>
        <w:t xml:space="preserve"> </w:t>
      </w:r>
      <w:r>
        <w:t xml:space="preserve">12. Riduzione dei sintomi post-traumatici</w:t>
      </w:r>
      <w:r>
        <w:t xml:space="preserve"> </w:t>
      </w:r>
      <w:r>
        <w:t xml:space="preserve">13. Riduzione dell’insonnia e dei disturbi del sonno</w:t>
      </w:r>
      <w:r>
        <w:t xml:space="preserve"> </w:t>
      </w:r>
      <w:r>
        <w:t xml:space="preserve">14. Riduzione del consumo problematico di alcol e sostanze</w:t>
      </w:r>
      <w:r>
        <w:t xml:space="preserve"> </w:t>
      </w:r>
      <w:r>
        <w:t xml:space="preserve">15. Riduzione dell’ideazione suicidaria</w:t>
      </w:r>
      <w:r>
        <w:t xml:space="preserve"> </w:t>
      </w:r>
      <w:r>
        <w:t xml:space="preserve">16. Mantenimento dei risultati nel follow-up</w:t>
      </w:r>
      <w:r>
        <w:t xml:space="preserve"> </w:t>
      </w:r>
      <w:r>
        <w:t xml:space="preserve">2. Esiti di salute fisica e comorbidità</w:t>
      </w:r>
      <w:r>
        <w:t xml:space="preserve"> </w:t>
      </w:r>
      <w:r>
        <w:t xml:space="preserve">17. Miglioramento del controllo glicemico nel diabete (HbA1c)</w:t>
      </w:r>
      <w:r>
        <w:t xml:space="preserve"> </w:t>
      </w:r>
      <w:r>
        <w:t xml:space="preserve">18. Miglioramento del controllo pressorio nell’ipertensione</w:t>
      </w:r>
      <w:r>
        <w:t xml:space="preserve"> </w:t>
      </w:r>
      <w:r>
        <w:t xml:space="preserve">19. Migliore aderenza alle terapie delle malattie croniche</w:t>
      </w:r>
      <w:r>
        <w:t xml:space="preserve"> </w:t>
      </w:r>
      <w:r>
        <w:t xml:space="preserve">20. Riduzione dei sintomi somatici funzionali</w:t>
      </w:r>
      <w:r>
        <w:t xml:space="preserve"> </w:t>
      </w:r>
      <w:r>
        <w:t xml:space="preserve">21. Riduzione dei sintomi medicalmente inspiegati</w:t>
      </w:r>
      <w:r>
        <w:t xml:space="preserve"> </w:t>
      </w:r>
      <w:r>
        <w:t xml:space="preserve">22. Migliore gestione del dolore cronico</w:t>
      </w:r>
      <w:r>
        <w:t xml:space="preserve"> </w:t>
      </w:r>
      <w:r>
        <w:t xml:space="preserve">23. Riduzione dell’impatto della comorbidità depressione-malattia cardiovascolare</w:t>
      </w:r>
      <w:r>
        <w:t xml:space="preserve"> </w:t>
      </w:r>
      <w:r>
        <w:t xml:space="preserve">24. Miglioramento degli esiti in BPCO e asma</w:t>
      </w:r>
      <w:r>
        <w:t xml:space="preserve"> </w:t>
      </w:r>
      <w:r>
        <w:t xml:space="preserve">25. Migliore autogestione delle patologie croniche</w:t>
      </w:r>
      <w:r>
        <w:t xml:space="preserve"> </w:t>
      </w:r>
      <w:r>
        <w:t xml:space="preserve">26. Riduzione della mortalità per cause associate (lungo termine)</w:t>
      </w:r>
      <w:r>
        <w:t xml:space="preserve"> </w:t>
      </w:r>
      <w:r>
        <w:t xml:space="preserve">27. Miglioramento degli stili di vita (attività fisica, alimentazione)</w:t>
      </w:r>
      <w:r>
        <w:t xml:space="preserve"> </w:t>
      </w:r>
      <w:r>
        <w:t xml:space="preserve">28. Supporto alla cessazione del fumo</w:t>
      </w:r>
      <w:r>
        <w:t xml:space="preserve"> </w:t>
      </w:r>
      <w:r>
        <w:t xml:space="preserve">29. Migliore esito nelle malattie oncologiche (distress, aderenza)</w:t>
      </w:r>
      <w:r>
        <w:t xml:space="preserve"> </w:t>
      </w:r>
      <w:r>
        <w:t xml:space="preserve">30. Riduzione delle complicanze evitabili delle cronicità</w:t>
      </w:r>
      <w:r>
        <w:t xml:space="preserve"> </w:t>
      </w:r>
      <w:r>
        <w:t xml:space="preserve">31. Miglioramento della salute riproduttiva e perinatale</w:t>
      </w:r>
      <w:r>
        <w:t xml:space="preserve"> </w:t>
      </w:r>
      <w:r>
        <w:t xml:space="preserve">32. Riduzione dell’impatto dei sintomi sulla disabilità fisica</w:t>
      </w:r>
      <w:r>
        <w:t xml:space="preserve"> </w:t>
      </w:r>
      <w:r>
        <w:t xml:space="preserve">3. Utilizzo dei servizi sanitari</w:t>
      </w:r>
      <w:r>
        <w:t xml:space="preserve"> </w:t>
      </w:r>
      <w:r>
        <w:t xml:space="preserve">33. Riduzione degli accessi impropri al pronto soccorso</w:t>
      </w:r>
      <w:r>
        <w:t xml:space="preserve"> </w:t>
      </w:r>
      <w:r>
        <w:t xml:space="preserve">34. Riduzione dei ricoveri evitabili</w:t>
      </w:r>
      <w:r>
        <w:t xml:space="preserve"> </w:t>
      </w:r>
      <w:r>
        <w:t xml:space="preserve">8Psicologo di Base · Metodologia apicale e registro unificato delle variabili</w:t>
      </w:r>
      <w:r>
        <w:t xml:space="preserve"> </w:t>
      </w:r>
      <w:r>
        <w:t xml:space="preserve">35. Riduzione delle riammissioni a 30 giorni</w:t>
      </w:r>
      <w:r>
        <w:t xml:space="preserve"> </w:t>
      </w:r>
      <w:r>
        <w:t xml:space="preserve">36. Riduzione delle visite ripetute dal medico di base</w:t>
      </w:r>
      <w:r>
        <w:t xml:space="preserve"> </w:t>
      </w:r>
      <w:r>
        <w:t xml:space="preserve">37. Riduzione degli invii inappropriati alla specialistica</w:t>
      </w:r>
      <w:r>
        <w:t xml:space="preserve"> </w:t>
      </w:r>
      <w:r>
        <w:t xml:space="preserve">38. Riduzione degli accertamenti diagnostici non necessari</w:t>
      </w:r>
      <w:r>
        <w:t xml:space="preserve"> </w:t>
      </w:r>
      <w:r>
        <w:t xml:space="preserve">39. Riduzione degli esami di laboratorio ridondanti</w:t>
      </w:r>
      <w:r>
        <w:t xml:space="preserve"> </w:t>
      </w:r>
      <w:r>
        <w:t xml:space="preserve">40. Riduzione della diagnostica per immagini inappropriata</w:t>
      </w:r>
      <w:r>
        <w:t xml:space="preserve"> </w:t>
      </w:r>
      <w:r>
        <w:t xml:space="preserve">41. Spostamento della domanda al livello appropriato</w:t>
      </w:r>
      <w:r>
        <w:t xml:space="preserve"> </w:t>
      </w:r>
      <w:r>
        <w:t xml:space="preserve">42. Riduzione dei tempi di attesa per la specialistica</w:t>
      </w:r>
      <w:r>
        <w:t xml:space="preserve"> </w:t>
      </w:r>
      <w:r>
        <w:t xml:space="preserve">43. Riduzione del ricorso ai servizi specialistici per quadri lievi</w:t>
      </w:r>
      <w:r>
        <w:t xml:space="preserve"> </w:t>
      </w:r>
      <w:r>
        <w:t xml:space="preserve">44. Migliore continuità assistenziale tra i livelli</w:t>
      </w:r>
      <w:r>
        <w:t xml:space="preserve"> </w:t>
      </w:r>
      <w:r>
        <w:t xml:space="preserve">45. Riduzione delle consulenze urgenti improprie</w:t>
      </w:r>
      <w:r>
        <w:t xml:space="preserve"> </w:t>
      </w:r>
      <w:r>
        <w:t xml:space="preserve">46. Riduzione del carico sui consultori e altri servizi</w:t>
      </w:r>
      <w:r>
        <w:t xml:space="preserve"> </w:t>
      </w:r>
      <w:r>
        <w:t xml:space="preserve">47. Riduzione delle giornate di degenza psichiatrica evitabili</w:t>
      </w:r>
      <w:r>
        <w:t xml:space="preserve"> </w:t>
      </w:r>
      <w:r>
        <w:t xml:space="preserve">48. Riduzione dell’uso improprio dell’emergenza territoriale (118)</w:t>
      </w:r>
      <w:r>
        <w:t xml:space="preserve"> </w:t>
      </w:r>
      <w:r>
        <w:t xml:space="preserve">4. Appropriatezza farmaceutica</w:t>
      </w:r>
      <w:r>
        <w:t xml:space="preserve"> </w:t>
      </w:r>
      <w:r>
        <w:t xml:space="preserve">49. Riduzione delle prescrizioni inappropriate di antidepressivi</w:t>
      </w:r>
      <w:r>
        <w:t xml:space="preserve"> </w:t>
      </w:r>
      <w:r>
        <w:t xml:space="preserve">50. Riduzione delle prescrizioni di benzodiazepine</w:t>
      </w:r>
      <w:r>
        <w:t xml:space="preserve"> </w:t>
      </w:r>
      <w:r>
        <w:t xml:space="preserve">51. Riduzione dell’uso cronico di ipnotici e sedativi</w:t>
      </w:r>
      <w:r>
        <w:t xml:space="preserve"> </w:t>
      </w:r>
      <w:r>
        <w:t xml:space="preserve">52. Migliore appropriatezza prescrittiva secondo le linee guida</w:t>
      </w:r>
      <w:r>
        <w:t xml:space="preserve"> </w:t>
      </w:r>
      <w:r>
        <w:t xml:space="preserve">53. Aumento della deprescrizione assistita</w:t>
      </w:r>
      <w:r>
        <w:t xml:space="preserve"> </w:t>
      </w:r>
      <w:r>
        <w:t xml:space="preserve">54. Riduzione della politerapia non necessaria</w:t>
      </w:r>
      <w:r>
        <w:t xml:space="preserve"> </w:t>
      </w:r>
      <w:r>
        <w:t xml:space="preserve">55. Migliore aderenza ai trattamenti farmacologici appropriati</w:t>
      </w:r>
      <w:r>
        <w:t xml:space="preserve"> </w:t>
      </w:r>
      <w:r>
        <w:t xml:space="preserve">56. Riduzione dell’uso improprio di analgesici e oppioidi</w:t>
      </w:r>
      <w:r>
        <w:t xml:space="preserve"> </w:t>
      </w:r>
      <w:r>
        <w:t xml:space="preserve">57. Riduzione delle interazioni farmacologiche dannose</w:t>
      </w:r>
      <w:r>
        <w:t xml:space="preserve"> </w:t>
      </w:r>
      <w:r>
        <w:t xml:space="preserve">58. Riduzione della spesa farmaceutica evitabile</w:t>
      </w:r>
      <w:r>
        <w:t xml:space="preserve"> </w:t>
      </w:r>
      <w:r>
        <w:t xml:space="preserve">59. Migliore durata appropriata dei trattamenti</w:t>
      </w:r>
      <w:r>
        <w:t xml:space="preserve"> </w:t>
      </w:r>
      <w:r>
        <w:t xml:space="preserve">60. Riduzione del farmaco come unica risposta al disagio</w:t>
      </w:r>
      <w:r>
        <w:t xml:space="preserve"> </w:t>
      </w:r>
      <w:r>
        <w:t xml:space="preserve">61. Aumento dell’offerta di alternative non farmacologiche</w:t>
      </w:r>
      <w:r>
        <w:t xml:space="preserve"> </w:t>
      </w:r>
      <w:r>
        <w:t xml:space="preserve">62. Riduzione degli effetti avversi da psicofarmaci</w:t>
      </w:r>
      <w:r>
        <w:t xml:space="preserve"> </w:t>
      </w:r>
      <w:r>
        <w:t xml:space="preserve">63. Migliore monitoraggio degli effetti dei trattamenti</w:t>
      </w:r>
      <w:r>
        <w:t xml:space="preserve"> </w:t>
      </w:r>
      <w:r>
        <w:t xml:space="preserve">64. Riduzione della dipendenza iatrogena</w:t>
      </w:r>
      <w:r>
        <w:t xml:space="preserve"> </w:t>
      </w:r>
      <w:r>
        <w:t xml:space="preserve">5. Esiti economici diretti</w:t>
      </w:r>
      <w:r>
        <w:t xml:space="preserve"> </w:t>
      </w:r>
      <w:r>
        <w:t xml:space="preserve">65. Costo per paziente preso in carico</w:t>
      </w:r>
      <w:r>
        <w:t xml:space="preserve"> </w:t>
      </w:r>
      <w:r>
        <w:t xml:space="preserve">66. Costo per caso di recupero</w:t>
      </w:r>
      <w:r>
        <w:t xml:space="preserve"> </w:t>
      </w:r>
      <w:r>
        <w:t xml:space="preserve">67. Risparmio sulla spesa per pronto soccorso</w:t>
      </w:r>
      <w:r>
        <w:t xml:space="preserve"> </w:t>
      </w:r>
      <w:r>
        <w:t xml:space="preserve">68. Risparmio sulla spesa per ricoveri</w:t>
      </w:r>
      <w:r>
        <w:t xml:space="preserve"> </w:t>
      </w:r>
      <w:r>
        <w:t xml:space="preserve">69. Risparmio sulla spesa specialistica</w:t>
      </w:r>
      <w:r>
        <w:t xml:space="preserve"> </w:t>
      </w:r>
      <w:r>
        <w:t xml:space="preserve">70. Risparmio sulla spesa diagnostica</w:t>
      </w:r>
      <w:r>
        <w:t xml:space="preserve"> </w:t>
      </w:r>
      <w:r>
        <w:t xml:space="preserve">71. Risparmio sulla spesa farmaceutica</w:t>
      </w:r>
      <w:r>
        <w:t xml:space="preserve"> </w:t>
      </w:r>
      <w:r>
        <w:t xml:space="preserve">72. Rapporto costo-efficacia incrementale (€/QALY)</w:t>
      </w:r>
      <w:r>
        <w:t xml:space="preserve"> </w:t>
      </w:r>
      <w:r>
        <w:t xml:space="preserve">73. Costo-utilità complessivo</w:t>
      </w:r>
      <w:r>
        <w:t xml:space="preserve"> </w:t>
      </w:r>
      <w:r>
        <w:t xml:space="preserve">74. Impatto sul bilancio regionale e nazionale (budget impact)</w:t>
      </w:r>
      <w:r>
        <w:t xml:space="preserve"> </w:t>
      </w:r>
      <w:r>
        <w:t xml:space="preserve">75. Rapporto beneficio-costo</w:t>
      </w:r>
      <w:r>
        <w:t xml:space="preserve"> </w:t>
      </w:r>
      <w:r>
        <w:t xml:space="preserve">76. Ritorno sull’investimento (ROI)</w:t>
      </w:r>
      <w:r>
        <w:t xml:space="preserve"> </w:t>
      </w:r>
      <w:r>
        <w:t xml:space="preserve">77. Saldo netto per il servizio sanitario</w:t>
      </w:r>
      <w:r>
        <w:t xml:space="preserve"> </w:t>
      </w:r>
      <w:r>
        <w:t xml:space="preserve">78. Profilo pluriennale di oneri e risparmi</w:t>
      </w:r>
      <w:r>
        <w:t xml:space="preserve"> </w:t>
      </w:r>
      <w:r>
        <w:t xml:space="preserve">9Psicologo di Base · Metodologia apicale e registro unificato delle variabili</w:t>
      </w:r>
      <w:r>
        <w:t xml:space="preserve"> </w:t>
      </w:r>
      <w:r>
        <w:t xml:space="preserve">79. Costo evitato della cronicizzazione</w:t>
      </w:r>
      <w:r>
        <w:t xml:space="preserve"> </w:t>
      </w:r>
      <w:r>
        <w:t xml:space="preserve">80. Valore attuale netto degli effetti</w:t>
      </w:r>
      <w:r>
        <w:t xml:space="preserve"> </w:t>
      </w:r>
      <w:r>
        <w:t xml:space="preserve">6. Esiti economici indiretti e produttività</w:t>
      </w:r>
      <w:r>
        <w:t xml:space="preserve"> </w:t>
      </w:r>
      <w:r>
        <w:t xml:space="preserve">81. Riduzione dell’assenteismo lavorativo</w:t>
      </w:r>
      <w:r>
        <w:t xml:space="preserve"> </w:t>
      </w:r>
      <w:r>
        <w:t xml:space="preserve">82. Riduzione del presenteismo</w:t>
      </w:r>
      <w:r>
        <w:t xml:space="preserve"> </w:t>
      </w:r>
      <w:r>
        <w:t xml:space="preserve">83. Aumento della partecipazione al mercato del lavoro</w:t>
      </w:r>
      <w:r>
        <w:t xml:space="preserve"> </w:t>
      </w:r>
      <w:r>
        <w:t xml:space="preserve">84. Riduzione delle giornate di lavoro perse</w:t>
      </w:r>
      <w:r>
        <w:t xml:space="preserve"> </w:t>
      </w:r>
      <w:r>
        <w:t xml:space="preserve">85. Riduzione delle uscite precoci dal lavoro</w:t>
      </w:r>
      <w:r>
        <w:t xml:space="preserve"> </w:t>
      </w:r>
      <w:r>
        <w:t xml:space="preserve">86. Riduzione del ricorso a indennità di malattia</w:t>
      </w:r>
      <w:r>
        <w:t xml:space="preserve"> </w:t>
      </w:r>
      <w:r>
        <w:t xml:space="preserve">87. Riduzione delle domande di invalidità e inabilità</w:t>
      </w:r>
      <w:r>
        <w:t xml:space="preserve"> </w:t>
      </w:r>
      <w:r>
        <w:t xml:space="preserve">88. Recupero di capacità produttiva</w:t>
      </w:r>
      <w:r>
        <w:t xml:space="preserve"> </w:t>
      </w:r>
      <w:r>
        <w:t xml:space="preserve">89. Riduzione dei costi previdenziali e assistenziali</w:t>
      </w:r>
      <w:r>
        <w:t xml:space="preserve"> </w:t>
      </w:r>
      <w:r>
        <w:t xml:space="preserve">90. Riduzione dei costi a carico dei datori di lavoro</w:t>
      </w:r>
      <w:r>
        <w:t xml:space="preserve"> </w:t>
      </w:r>
      <w:r>
        <w:t xml:space="preserve">91. Riduzione della perdita di reddito delle famiglie</w:t>
      </w:r>
      <w:r>
        <w:t xml:space="preserve"> </w:t>
      </w:r>
      <w:r>
        <w:t xml:space="preserve">92. Riduzione dell’impatto economico sui caregiver</w:t>
      </w:r>
      <w:r>
        <w:t xml:space="preserve"> </w:t>
      </w:r>
      <w:r>
        <w:t xml:space="preserve">93. Aumento della permanenza scolastica e formativa</w:t>
      </w:r>
      <w:r>
        <w:t xml:space="preserve"> </w:t>
      </w:r>
      <w:r>
        <w:t xml:space="preserve">94. Riduzione dell’abbandono scolastico associato al disagio</w:t>
      </w:r>
      <w:r>
        <w:t xml:space="preserve"> </w:t>
      </w:r>
      <w:r>
        <w:t xml:space="preserve">95. Valore della produzione recuperata</w:t>
      </w:r>
      <w:r>
        <w:t xml:space="preserve"> </w:t>
      </w:r>
      <w:r>
        <w:t xml:space="preserve">96. Riduzione dei costi sociali del disagio non trattato</w:t>
      </w:r>
      <w:r>
        <w:t xml:space="preserve"> </w:t>
      </w:r>
      <w:r>
        <w:t xml:space="preserve">7. Equità, accesso e protezione finanziaria</w:t>
      </w:r>
      <w:r>
        <w:t xml:space="preserve"> </w:t>
      </w:r>
      <w:r>
        <w:t xml:space="preserve">97. Riduzione dei tempi di attesa per l’accesso psicologico</w:t>
      </w:r>
      <w:r>
        <w:t xml:space="preserve"> </w:t>
      </w:r>
      <w:r>
        <w:t xml:space="preserve">98. Aumento dell’accessibilità geografica (aree interne e remote)</w:t>
      </w:r>
      <w:r>
        <w:t xml:space="preserve"> </w:t>
      </w:r>
      <w:r>
        <w:t xml:space="preserve">99. Riduzione del gradiente socio-economico nell’accesso</w:t>
      </w:r>
      <w:r>
        <w:t xml:space="preserve"> </w:t>
      </w:r>
      <w:r>
        <w:t xml:space="preserve">100. Riduzione della spesa privata out-of-pocket</w:t>
      </w:r>
      <w:r>
        <w:t xml:space="preserve"> </w:t>
      </w:r>
      <w:r>
        <w:t xml:space="preserve">101. Riduzione dell’impoverimento connesso alle cure</w:t>
      </w:r>
      <w:r>
        <w:t xml:space="preserve"> </w:t>
      </w:r>
      <w:r>
        <w:t xml:space="preserve">102. Riduzione delle spese sanitarie catastrofiche</w:t>
      </w:r>
      <w:r>
        <w:t xml:space="preserve"> </w:t>
      </w:r>
      <w:r>
        <w:t xml:space="preserve">103. Riduzione della migrazione sanitaria (ove pertinente)</w:t>
      </w:r>
      <w:r>
        <w:t xml:space="preserve"> </w:t>
      </w:r>
      <w:r>
        <w:t xml:space="preserve">104. Equità di esito tra gruppi socio-economici</w:t>
      </w:r>
      <w:r>
        <w:t xml:space="preserve"> </w:t>
      </w:r>
      <w:r>
        <w:t xml:space="preserve">105. Riduzione delle disuguaglianze di genere nell’accesso</w:t>
      </w:r>
      <w:r>
        <w:t xml:space="preserve"> </w:t>
      </w:r>
      <w:r>
        <w:t xml:space="preserve">106. Maggiore accesso per popolazioni straniere e fragili</w:t>
      </w:r>
      <w:r>
        <w:t xml:space="preserve"> </w:t>
      </w:r>
      <w:r>
        <w:t xml:space="preserve">107. Riduzione delle barriere culturali e linguistiche</w:t>
      </w:r>
      <w:r>
        <w:t xml:space="preserve"> </w:t>
      </w:r>
      <w:r>
        <w:t xml:space="preserve">108. Gratuità ed esenzione per i gruppi vulnerabili</w:t>
      </w:r>
      <w:r>
        <w:t xml:space="preserve"> </w:t>
      </w:r>
      <w:r>
        <w:t xml:space="preserve">109. Copertura del bisogno non soddisfatto (treatment gap)</w:t>
      </w:r>
      <w:r>
        <w:t xml:space="preserve"> </w:t>
      </w:r>
      <w:r>
        <w:t xml:space="preserve">110. Equità intergenerazionale dell’accesso</w:t>
      </w:r>
      <w:r>
        <w:t xml:space="preserve"> </w:t>
      </w:r>
      <w:r>
        <w:t xml:space="preserve">111. Riduzione del divario territoriale Nord-Sud</w:t>
      </w:r>
      <w:r>
        <w:t xml:space="preserve"> </w:t>
      </w:r>
      <w:r>
        <w:t xml:space="preserve">112. Accessibilità per le persone con disabilità</w:t>
      </w:r>
      <w:r>
        <w:t xml:space="preserve"> </w:t>
      </w:r>
      <w:r>
        <w:t xml:space="preserve">8. Organizzazione delle cure primarie e integrazione</w:t>
      </w:r>
      <w:r>
        <w:t xml:space="preserve"> </w:t>
      </w:r>
      <w:r>
        <w:t xml:space="preserve">113. Stabilizzazione del carico di lavoro del medico di base</w:t>
      </w:r>
      <w:r>
        <w:t xml:space="preserve"> </w:t>
      </w:r>
      <w:r>
        <w:t xml:space="preserve">114. Aumento del tempo clinico disponibile del medico</w:t>
      </w:r>
      <w:r>
        <w:t xml:space="preserve"> </w:t>
      </w:r>
      <w:r>
        <w:t xml:space="preserve">115. Migliore integrazione interprofessionale</w:t>
      </w:r>
      <w:r>
        <w:t xml:space="preserve"> </w:t>
      </w:r>
      <w:r>
        <w:t xml:space="preserve">116. Definizione di percorsi di cura strutturati (PDTA)</w:t>
      </w:r>
      <w:r>
        <w:t xml:space="preserve"> </w:t>
      </w:r>
      <w:r>
        <w:t xml:space="preserve">117. Efficacia della funzione di filtro e triage</w:t>
      </w:r>
      <w:r>
        <w:t xml:space="preserve"> </w:t>
      </w:r>
      <w:r>
        <w:t xml:space="preserve">118. Migliore continuità delle cure</w:t>
      </w:r>
      <w:r>
        <w:t xml:space="preserve"> </w:t>
      </w:r>
      <w:r>
        <w:t xml:space="preserve">119. Riduzione della frammentazione tra servizi</w:t>
      </w:r>
      <w:r>
        <w:t xml:space="preserve"> </w:t>
      </w:r>
      <w:r>
        <w:t xml:space="preserve">120. Collocazione nelle Case della Comunità e nei distretti</w:t>
      </w:r>
      <w:r>
        <w:t xml:space="preserve"> </w:t>
      </w:r>
      <w:r>
        <w:t xml:space="preserve">10Psicologo di Base · Metodologia apicale e registro unificato delle variabili</w:t>
      </w:r>
      <w:r>
        <w:t xml:space="preserve"> </w:t>
      </w:r>
      <w:r>
        <w:t xml:space="preserve">121. Migliore presa in carico multidisciplinare</w:t>
      </w:r>
      <w:r>
        <w:t xml:space="preserve"> </w:t>
      </w:r>
      <w:r>
        <w:t xml:space="preserve">122. Riduzione dei tempi di percorso del paziente</w:t>
      </w:r>
      <w:r>
        <w:t xml:space="preserve"> </w:t>
      </w:r>
      <w:r>
        <w:t xml:space="preserve">123. Aumento della capacità di intercettazione precoce</w:t>
      </w:r>
      <w:r>
        <w:t xml:space="preserve"> </w:t>
      </w:r>
      <w:r>
        <w:t xml:space="preserve">124. Migliore comunicazione tra livelli assistenziali</w:t>
      </w:r>
      <w:r>
        <w:t xml:space="preserve"> </w:t>
      </w:r>
      <w:r>
        <w:t xml:space="preserve">125. Aumento della produttività degli studi medici</w:t>
      </w:r>
      <w:r>
        <w:t xml:space="preserve"> </w:t>
      </w:r>
      <w:r>
        <w:t xml:space="preserve">126. Migliore uso del fascicolo sanitario elettronico</w:t>
      </w:r>
      <w:r>
        <w:t xml:space="preserve"> </w:t>
      </w:r>
      <w:r>
        <w:t xml:space="preserve">127. Riduzione delle duplicazioni di prestazioni</w:t>
      </w:r>
      <w:r>
        <w:t xml:space="preserve"> </w:t>
      </w:r>
      <w:r>
        <w:t xml:space="preserve">128. Migliore governo della domanda</w:t>
      </w:r>
      <w:r>
        <w:t xml:space="preserve"> </w:t>
      </w:r>
      <w:r>
        <w:t xml:space="preserve">9. Personale sanitario, benessere professionale e sicurezza</w:t>
      </w:r>
      <w:r>
        <w:t xml:space="preserve"> </w:t>
      </w:r>
      <w:r>
        <w:t xml:space="preserve">129. Riduzione del burnout dei medici di base</w:t>
      </w:r>
      <w:r>
        <w:t xml:space="preserve"> </w:t>
      </w:r>
      <w:r>
        <w:t xml:space="preserve">130. Aumento della soddisfazione lavorativa del personale</w:t>
      </w:r>
      <w:r>
        <w:t xml:space="preserve"> </w:t>
      </w:r>
      <w:r>
        <w:t xml:space="preserve">131. Riduzione del turnover e aumento della ritenzione</w:t>
      </w:r>
      <w:r>
        <w:t xml:space="preserve"> </w:t>
      </w:r>
      <w:r>
        <w:t xml:space="preserve">132. Riduzione dello stress lavorativo correlato</w:t>
      </w:r>
      <w:r>
        <w:t xml:space="preserve"> </w:t>
      </w:r>
      <w:r>
        <w:t xml:space="preserve">133. Riduzione delle aggressioni verbali al personale</w:t>
      </w:r>
      <w:r>
        <w:t xml:space="preserve"> </w:t>
      </w:r>
      <w:r>
        <w:t xml:space="preserve">134. Riduzione delle aggressioni fisiche al personale</w:t>
      </w:r>
      <w:r>
        <w:t xml:space="preserve"> </w:t>
      </w:r>
      <w:r>
        <w:t xml:space="preserve">135. Riduzione della conflittualità con pazienti e familiari</w:t>
      </w:r>
      <w:r>
        <w:t xml:space="preserve"> </w:t>
      </w:r>
      <w:r>
        <w:t xml:space="preserve">136. Migliore clima e benessere organizzativo</w:t>
      </w:r>
      <w:r>
        <w:t xml:space="preserve"> </w:t>
      </w:r>
      <w:r>
        <w:t xml:space="preserve">137. Aumento del senso di efficacia professionale</w:t>
      </w:r>
      <w:r>
        <w:t xml:space="preserve"> </w:t>
      </w:r>
      <w:r>
        <w:t xml:space="preserve">138. Riduzione dell’assenteismo del personale sanitario</w:t>
      </w:r>
      <w:r>
        <w:t xml:space="preserve"> </w:t>
      </w:r>
      <w:r>
        <w:t xml:space="preserve">139. Migliore gestione dei pazienti complessi</w:t>
      </w:r>
      <w:r>
        <w:t xml:space="preserve"> </w:t>
      </w:r>
      <w:r>
        <w:t xml:space="preserve">140. Riduzione del carico emotivo sul medico</w:t>
      </w:r>
      <w:r>
        <w:t xml:space="preserve"> </w:t>
      </w:r>
      <w:r>
        <w:t xml:space="preserve">141. Aumento delle competenze psicosociali del personale</w:t>
      </w:r>
      <w:r>
        <w:t xml:space="preserve"> </w:t>
      </w:r>
      <w:r>
        <w:t xml:space="preserve">142. Migliore sicurezza percepita sul luogo di lavoro</w:t>
      </w:r>
      <w:r>
        <w:t xml:space="preserve"> </w:t>
      </w:r>
      <w:r>
        <w:t xml:space="preserve">143. Riduzione del rischio di errore associato al sovraccarico</w:t>
      </w:r>
      <w:r>
        <w:t xml:space="preserve"> </w:t>
      </w:r>
      <w:r>
        <w:t xml:space="preserve">144. Aumento dell’attrattività della medicina territoriale</w:t>
      </w:r>
      <w:r>
        <w:t xml:space="preserve"> </w:t>
      </w:r>
      <w:r>
        <w:t xml:space="preserve">10. Qualità, sicurezza e appropriatezza clinica</w:t>
      </w:r>
      <w:r>
        <w:t xml:space="preserve"> </w:t>
      </w:r>
      <w:r>
        <w:t xml:space="preserve">145. Aumento dell’aderenza alle linee guida</w:t>
      </w:r>
      <w:r>
        <w:t xml:space="preserve"> </w:t>
      </w:r>
      <w:r>
        <w:t xml:space="preserve">146. Migliore accuratezza diagnostica del disagio psichico</w:t>
      </w:r>
      <w:r>
        <w:t xml:space="preserve"> </w:t>
      </w:r>
      <w:r>
        <w:t xml:space="preserve">147. Riduzione dei ritardi diagnostici</w:t>
      </w:r>
      <w:r>
        <w:t xml:space="preserve"> </w:t>
      </w:r>
      <w:r>
        <w:t xml:space="preserve">148. Riduzione della sotto-diagnosi del disagio comune</w:t>
      </w:r>
      <w:r>
        <w:t xml:space="preserve"> </w:t>
      </w:r>
      <w:r>
        <w:t xml:space="preserve">149. Riduzione degli eventi avversi evitabili</w:t>
      </w:r>
      <w:r>
        <w:t xml:space="preserve"> </w:t>
      </w:r>
      <w:r>
        <w:t xml:space="preserve">150. Migliore appropriatezza degli invii</w:t>
      </w:r>
      <w:r>
        <w:t xml:space="preserve"> </w:t>
      </w:r>
      <w:r>
        <w:t xml:space="preserve">151. Aumento dell’uso di misure di esito standardizzate</w:t>
      </w:r>
      <w:r>
        <w:t xml:space="preserve"> </w:t>
      </w:r>
      <w:r>
        <w:t xml:space="preserve">152. Migliore sicurezza del paziente</w:t>
      </w:r>
      <w:r>
        <w:t xml:space="preserve"> </w:t>
      </w:r>
      <w:r>
        <w:t xml:space="preserve">153. Riduzione della variabilità ingiustificata delle pratiche</w:t>
      </w:r>
      <w:r>
        <w:t xml:space="preserve"> </w:t>
      </w:r>
      <w:r>
        <w:t xml:space="preserve">154. Migliore gestione del rischio clinico</w:t>
      </w:r>
      <w:r>
        <w:t xml:space="preserve"> </w:t>
      </w:r>
      <w:r>
        <w:t xml:space="preserve">155. Aumento della qualità percepita delle cure</w:t>
      </w:r>
      <w:r>
        <w:t xml:space="preserve"> </w:t>
      </w:r>
      <w:r>
        <w:t xml:space="preserve">156. Migliore documentazione clinica</w:t>
      </w:r>
      <w:r>
        <w:t xml:space="preserve"> </w:t>
      </w:r>
      <w:r>
        <w:t xml:space="preserve">157. Riduzione delle prestazioni a basso valore</w:t>
      </w:r>
      <w:r>
        <w:t xml:space="preserve"> </w:t>
      </w:r>
      <w:r>
        <w:t xml:space="preserve">158. Migliore gestione delle transizioni di cura</w:t>
      </w:r>
      <w:r>
        <w:t xml:space="preserve"> </w:t>
      </w:r>
      <w:r>
        <w:t xml:space="preserve">159. Aumento dello screening sistematico del disagio</w:t>
      </w:r>
      <w:r>
        <w:t xml:space="preserve"> </w:t>
      </w:r>
      <w:r>
        <w:t xml:space="preserve">160. Migliore audit e feedback clinico</w:t>
      </w:r>
      <w:r>
        <w:t xml:space="preserve"> </w:t>
      </w:r>
      <w:r>
        <w:t xml:space="preserve">11. Esperienza, attivazione e soddisfazione dei pazienti</w:t>
      </w:r>
      <w:r>
        <w:t xml:space="preserve"> </w:t>
      </w:r>
      <w:r>
        <w:t xml:space="preserve">161. Aumento della soddisfazione dei pazienti (PREM)</w:t>
      </w:r>
      <w:r>
        <w:t xml:space="preserve"> </w:t>
      </w:r>
      <w:r>
        <w:t xml:space="preserve">162. Aumento dell’attivazione del paziente</w:t>
      </w:r>
      <w:r>
        <w:t xml:space="preserve"> </w:t>
      </w:r>
      <w:r>
        <w:t xml:space="preserve">11Psicologo di Base · Metodologia apicale e registro unificato delle variabili</w:t>
      </w:r>
      <w:r>
        <w:t xml:space="preserve"> </w:t>
      </w:r>
      <w:r>
        <w:t xml:space="preserve">163. Migliore esperienza del percorso di cura</w:t>
      </w:r>
      <w:r>
        <w:t xml:space="preserve"> </w:t>
      </w:r>
      <w:r>
        <w:t xml:space="preserve">164. Aumento della fiducia nel servizio sanitario</w:t>
      </w:r>
      <w:r>
        <w:t xml:space="preserve"> </w:t>
      </w:r>
      <w:r>
        <w:t xml:space="preserve">165. Riduzione dello stigma percepito</w:t>
      </w:r>
      <w:r>
        <w:t xml:space="preserve"> </w:t>
      </w:r>
      <w:r>
        <w:t xml:space="preserve">166. Aumento della propensione a chiedere aiuto</w:t>
      </w:r>
      <w:r>
        <w:t xml:space="preserve"> </w:t>
      </w:r>
      <w:r>
        <w:t xml:space="preserve">167. Migliore alleanza terapeutica</w:t>
      </w:r>
      <w:r>
        <w:t xml:space="preserve"> </w:t>
      </w:r>
      <w:r>
        <w:t xml:space="preserve">168. Aumento della partecipazione alle decisioni di cura</w:t>
      </w:r>
      <w:r>
        <w:t xml:space="preserve"> </w:t>
      </w:r>
      <w:r>
        <w:t xml:space="preserve">169. Migliore comprensione del proprio stato di salute</w:t>
      </w:r>
      <w:r>
        <w:t xml:space="preserve"> </w:t>
      </w:r>
      <w:r>
        <w:t xml:space="preserve">170. Aumento della soddisfazione dei familiari</w:t>
      </w:r>
      <w:r>
        <w:t xml:space="preserve"> </w:t>
      </w:r>
      <w:r>
        <w:t xml:space="preserve">171. Riduzione dell’abbandono del percorso (drop-out)</w:t>
      </w:r>
      <w:r>
        <w:t xml:space="preserve"> </w:t>
      </w:r>
      <w:r>
        <w:t xml:space="preserve">172. Aumento dell’aderenza ai percorsi concordati</w:t>
      </w:r>
      <w:r>
        <w:t xml:space="preserve"> </w:t>
      </w:r>
      <w:r>
        <w:t xml:space="preserve">173. Migliore accessibilità percepita</w:t>
      </w:r>
      <w:r>
        <w:t xml:space="preserve"> </w:t>
      </w:r>
      <w:r>
        <w:t xml:space="preserve">174. Riduzione del senso di solitudine nell’affrontare il disagio</w:t>
      </w:r>
      <w:r>
        <w:t xml:space="preserve"> </w:t>
      </w:r>
      <w:r>
        <w:t xml:space="preserve">175. Aumento dell’empowerment e dell’autoefficacia</w:t>
      </w:r>
      <w:r>
        <w:t xml:space="preserve"> </w:t>
      </w:r>
      <w:r>
        <w:t xml:space="preserve">176. Migliore qualità della relazione con il medico</w:t>
      </w:r>
      <w:r>
        <w:t xml:space="preserve"> </w:t>
      </w:r>
      <w:r>
        <w:t xml:space="preserve">12. Esiti sociali, familiari e di comunità</w:t>
      </w:r>
      <w:r>
        <w:t xml:space="preserve"> </w:t>
      </w:r>
      <w:r>
        <w:t xml:space="preserve">177. Riduzione dell’isolamento e della solitudine</w:t>
      </w:r>
      <w:r>
        <w:t xml:space="preserve"> </w:t>
      </w:r>
      <w:r>
        <w:t xml:space="preserve">178. Migliore funzionamento familiare</w:t>
      </w:r>
      <w:r>
        <w:t xml:space="preserve"> </w:t>
      </w:r>
      <w:r>
        <w:t xml:space="preserve">179. Riduzione del carico assistenziale dei caregiver</w:t>
      </w:r>
      <w:r>
        <w:t xml:space="preserve"> </w:t>
      </w:r>
      <w:r>
        <w:t xml:space="preserve">180. Migliore inclusione sociale</w:t>
      </w:r>
      <w:r>
        <w:t xml:space="preserve"> </w:t>
      </w:r>
      <w:r>
        <w:t xml:space="preserve">181. Riduzione della conflittualità familiare</w:t>
      </w:r>
      <w:r>
        <w:t xml:space="preserve"> </w:t>
      </w:r>
      <w:r>
        <w:t xml:space="preserve">182. Migliore benessere dei minori nei nuclei fragili</w:t>
      </w:r>
      <w:r>
        <w:t xml:space="preserve"> </w:t>
      </w:r>
      <w:r>
        <w:t xml:space="preserve">183. Intercettazione e orientamento della violenza domestica</w:t>
      </w:r>
      <w:r>
        <w:t xml:space="preserve"> </w:t>
      </w:r>
      <w:r>
        <w:t xml:space="preserve">184. Migliore reinserimento sociale e lavorativo</w:t>
      </w:r>
      <w:r>
        <w:t xml:space="preserve"> </w:t>
      </w:r>
      <w:r>
        <w:t xml:space="preserve">185. Riduzione della marginalità connessa al disagio</w:t>
      </w:r>
      <w:r>
        <w:t xml:space="preserve"> </w:t>
      </w:r>
      <w:r>
        <w:t xml:space="preserve">186. Aumento della coesione comunitaria</w:t>
      </w:r>
      <w:r>
        <w:t xml:space="preserve"> </w:t>
      </w:r>
      <w:r>
        <w:t xml:space="preserve">187. Riduzione dei comportamenti antisociali associati al disagio</w:t>
      </w:r>
      <w:r>
        <w:t xml:space="preserve"> </w:t>
      </w:r>
      <w:r>
        <w:t xml:space="preserve">188. Migliore tenuta delle reti di supporto informale</w:t>
      </w:r>
      <w:r>
        <w:t xml:space="preserve"> </w:t>
      </w:r>
      <w:r>
        <w:t xml:space="preserve">189. Riduzione dell’impatto del disagio sulla genitorialità</w:t>
      </w:r>
      <w:r>
        <w:t xml:space="preserve"> </w:t>
      </w:r>
      <w:r>
        <w:t xml:space="preserve">190. Migliore intercettazione delle fragilità sociali</w:t>
      </w:r>
      <w:r>
        <w:t xml:space="preserve"> </w:t>
      </w:r>
      <w:r>
        <w:t xml:space="preserve">191. Riduzione del ricorso ai servizi sociali per cause evitabili</w:t>
      </w:r>
      <w:r>
        <w:t xml:space="preserve"> </w:t>
      </w:r>
      <w:r>
        <w:t xml:space="preserve">192. Contributo alla prevenzione della devianza giovanile</w:t>
      </w:r>
      <w:r>
        <w:t xml:space="preserve"> </w:t>
      </w:r>
      <w:r>
        <w:t xml:space="preserve">13. Epidemiologia, prevenzione e salute pubblica</w:t>
      </w:r>
      <w:r>
        <w:t xml:space="preserve"> </w:t>
      </w:r>
      <w:r>
        <w:t xml:space="preserve">193. Riduzione dell’incidenza dei disturbi conclamati</w:t>
      </w:r>
      <w:r>
        <w:t xml:space="preserve"> </w:t>
      </w:r>
      <w:r>
        <w:t xml:space="preserve">194. Anticipazione dell’età di intercettazione del disagio</w:t>
      </w:r>
      <w:r>
        <w:t xml:space="preserve"> </w:t>
      </w:r>
      <w:r>
        <w:t xml:space="preserve">195. Riduzione della prevalenza dei quadri non trattati</w:t>
      </w:r>
      <w:r>
        <w:t xml:space="preserve"> </w:t>
      </w:r>
      <w:r>
        <w:t xml:space="preserve">196. Prevenzione della cronicizzazione</w:t>
      </w:r>
      <w:r>
        <w:t xml:space="preserve"> </w:t>
      </w:r>
      <w:r>
        <w:t xml:space="preserve">197. Riduzione del tasso di suicidio e tentato suicidio</w:t>
      </w:r>
      <w:r>
        <w:t xml:space="preserve"> </w:t>
      </w:r>
      <w:r>
        <w:t xml:space="preserve">198. Miglioramento della salute mentale perinatale</w:t>
      </w:r>
      <w:r>
        <w:t xml:space="preserve"> </w:t>
      </w:r>
      <w:r>
        <w:t xml:space="preserve">199. Riduzione del disagio in età adolescenziale</w:t>
      </w:r>
      <w:r>
        <w:t xml:space="preserve"> </w:t>
      </w:r>
      <w:r>
        <w:t xml:space="preserve">200. Migliore intercettazione del disagio negli anziani</w:t>
      </w:r>
      <w:r>
        <w:t xml:space="preserve"> </w:t>
      </w:r>
      <w:r>
        <w:t xml:space="preserve">201. Riduzione dei DALY attribuibili ai disturbi comuni</w:t>
      </w:r>
      <w:r>
        <w:t xml:space="preserve"> </w:t>
      </w:r>
      <w:r>
        <w:t xml:space="preserve">202. Aumento degli anni di vita in buona salute</w:t>
      </w:r>
      <w:r>
        <w:t xml:space="preserve"> </w:t>
      </w:r>
      <w:r>
        <w:t xml:space="preserve">203. Migliore sorveglianza epidemiologica del disagio</w:t>
      </w:r>
      <w:r>
        <w:t xml:space="preserve"> </w:t>
      </w:r>
      <w:r>
        <w:t xml:space="preserve">204. Riduzione dei fattori di rischio modificabili</w:t>
      </w:r>
      <w:r>
        <w:t xml:space="preserve"> </w:t>
      </w:r>
      <w:r>
        <w:t xml:space="preserve">205. Aumento della copertura preventiva della popolazione</w:t>
      </w:r>
      <w:r>
        <w:t xml:space="preserve"> </w:t>
      </w:r>
      <w:r>
        <w:t xml:space="preserve">206. Risposta più efficace nelle emergenze e nel post-disastro</w:t>
      </w:r>
      <w:r>
        <w:t xml:space="preserve"> </w:t>
      </w:r>
      <w:r>
        <w:t xml:space="preserve">12Psicologo di Base · Metodologia apicale e registro unificato delle variabili</w:t>
      </w:r>
      <w:r>
        <w:t xml:space="preserve"> </w:t>
      </w:r>
      <w:r>
        <w:t xml:space="preserve">207. Riduzione dell’impatto di pandemie ed eventi traumatici collettivi</w:t>
      </w:r>
      <w:r>
        <w:t xml:space="preserve"> </w:t>
      </w:r>
      <w:r>
        <w:t xml:space="preserve">208. Migliore alfabetizzazione alla salute mentale</w:t>
      </w:r>
      <w:r>
        <w:t xml:space="preserve"> </w:t>
      </w:r>
      <w:r>
        <w:t xml:space="preserve">14. Determinanti di implementazione e processo</w:t>
      </w:r>
      <w:r>
        <w:t xml:space="preserve"> </w:t>
      </w:r>
      <w:r>
        <w:t xml:space="preserve">209. Tasso di copertura della popolazione bersaglio (reach)</w:t>
      </w:r>
      <w:r>
        <w:t xml:space="preserve"> </w:t>
      </w:r>
      <w:r>
        <w:t xml:space="preserve">210. Grado di adozione del servizio da parte delle sedi</w:t>
      </w:r>
      <w:r>
        <w:t xml:space="preserve"> </w:t>
      </w:r>
      <w:r>
        <w:t xml:space="preserve">211. Fedeltà al modello di intervento (fidelity)</w:t>
      </w:r>
      <w:r>
        <w:t xml:space="preserve"> </w:t>
      </w:r>
      <w:r>
        <w:t xml:space="preserve">212. Sostenibilità nel tempo del servizio</w:t>
      </w:r>
      <w:r>
        <w:t xml:space="preserve"> </w:t>
      </w:r>
      <w:r>
        <w:t xml:space="preserve">213. Tempi di attivazione delle sedi</w:t>
      </w:r>
      <w:r>
        <w:t xml:space="preserve"> </w:t>
      </w:r>
      <w:r>
        <w:t xml:space="preserve">214. Numero di psicologi reclutati e formati</w:t>
      </w:r>
      <w:r>
        <w:t xml:space="preserve"> </w:t>
      </w:r>
      <w:r>
        <w:t xml:space="preserve">215. Qualità e completezza della formazione erogata</w:t>
      </w:r>
      <w:r>
        <w:t xml:space="preserve"> </w:t>
      </w:r>
      <w:r>
        <w:t xml:space="preserve">216. Efficacia della supervisione clinica</w:t>
      </w:r>
      <w:r>
        <w:t xml:space="preserve"> </w:t>
      </w:r>
      <w:r>
        <w:t xml:space="preserve">217. Grado di integrazione nei flussi di lavoro</w:t>
      </w:r>
      <w:r>
        <w:t xml:space="preserve"> </w:t>
      </w:r>
      <w:r>
        <w:t xml:space="preserve">218. Disponibilità e qualità dei dati di monitoraggio</w:t>
      </w:r>
      <w:r>
        <w:t xml:space="preserve"> </w:t>
      </w:r>
      <w:r>
        <w:t xml:space="preserve">219. Aderenza ai percorsi definiti</w:t>
      </w:r>
      <w:r>
        <w:t xml:space="preserve"> </w:t>
      </w:r>
      <w:r>
        <w:t xml:space="preserve">220. Scalabilità del modello</w:t>
      </w:r>
      <w:r>
        <w:t xml:space="preserve"> </w:t>
      </w:r>
      <w:r>
        <w:t xml:space="preserve">221. Coinvolgimento dei portatori di interesse</w:t>
      </w:r>
      <w:r>
        <w:t xml:space="preserve"> </w:t>
      </w:r>
      <w:r>
        <w:t xml:space="preserve">222. Barriere e facilitatori organizzativi (quadro CFIR)</w:t>
      </w:r>
      <w:r>
        <w:t xml:space="preserve"> </w:t>
      </w:r>
      <w:r>
        <w:t xml:space="preserve">223. Costo di avvio e curva di apprendimento</w:t>
      </w:r>
      <w:r>
        <w:t xml:space="preserve"> </w:t>
      </w:r>
      <w:r>
        <w:t xml:space="preserve">224. Tasso di completamento delle prese in carico</w:t>
      </w:r>
      <w:r>
        <w:t xml:space="preserve"> </w:t>
      </w:r>
      <w:r>
        <w:t xml:space="preserve">15. Tecnologia, IA e sanità digitale</w:t>
      </w:r>
      <w:r>
        <w:t xml:space="preserve"> </w:t>
      </w:r>
      <w:r>
        <w:t xml:space="preserve">225. Efficacia dei supporti diagnostici basati su IA</w:t>
      </w:r>
      <w:r>
        <w:t xml:space="preserve"> </w:t>
      </w:r>
      <w:r>
        <w:t xml:space="preserve">226. Accuratezza degli strumenti di screening digitali</w:t>
      </w:r>
      <w:r>
        <w:t xml:space="preserve"> </w:t>
      </w:r>
      <w:r>
        <w:t xml:space="preserve">227. Efficacia dei dispositivi terapeutici digitali (DTx)</w:t>
      </w:r>
      <w:r>
        <w:t xml:space="preserve"> </w:t>
      </w:r>
      <w:r>
        <w:t xml:space="preserve">228. Adozione e uso effettivo degli strumenti digitali</w:t>
      </w:r>
      <w:r>
        <w:t xml:space="preserve"> </w:t>
      </w:r>
      <w:r>
        <w:t xml:space="preserve">229. Efficacia della telepsicologia</w:t>
      </w:r>
      <w:r>
        <w:t xml:space="preserve"> </w:t>
      </w:r>
      <w:r>
        <w:t xml:space="preserve">230. Riduzione dei costi grazie all’automazione appropriata</w:t>
      </w:r>
      <w:r>
        <w:t xml:space="preserve"> </w:t>
      </w:r>
      <w:r>
        <w:t xml:space="preserve">231. Aumento dell’accesso nelle aree remote tramite il digitale</w:t>
      </w:r>
      <w:r>
        <w:t xml:space="preserve"> </w:t>
      </w:r>
      <w:r>
        <w:t xml:space="preserve">232. Qualità e interoperabilità dei dati</w:t>
      </w:r>
      <w:r>
        <w:t xml:space="preserve"> </w:t>
      </w:r>
      <w:r>
        <w:t xml:space="preserve">233. Equità dell’accesso digitale (divario digitale)</w:t>
      </w:r>
      <w:r>
        <w:t xml:space="preserve"> </w:t>
      </w:r>
      <w:r>
        <w:t xml:space="preserve">234. Sicurezza e protezione dei dati nei sistemi di IA</w:t>
      </w:r>
      <w:r>
        <w:t xml:space="preserve"> </w:t>
      </w:r>
      <w:r>
        <w:t xml:space="preserve">235. Trasparenza e spiegabilità degli algoritmi</w:t>
      </w:r>
      <w:r>
        <w:t xml:space="preserve"> </w:t>
      </w:r>
      <w:r>
        <w:t xml:space="preserve">236. Supervisione clinica sugli strumenti di IA</w:t>
      </w:r>
      <w:r>
        <w:t xml:space="preserve"> </w:t>
      </w:r>
      <w:r>
        <w:t xml:space="preserve">237. Riduzione del carico amministrativo tramite IA</w:t>
      </w:r>
      <w:r>
        <w:t xml:space="preserve"> </w:t>
      </w:r>
      <w:r>
        <w:t xml:space="preserve">238. Affidabilità e validazione clinica degli strumenti</w:t>
      </w:r>
      <w:r>
        <w:t xml:space="preserve"> </w:t>
      </w:r>
      <w:r>
        <w:t xml:space="preserve">239. Accettabilità degli strumenti da parte di pazienti e operatori</w:t>
      </w:r>
      <w:r>
        <w:t xml:space="preserve"> </w:t>
      </w:r>
      <w:r>
        <w:t xml:space="preserve">240. Conformità regolatoria (AI Act, dispositivi medici)</w:t>
      </w:r>
      <w:r>
        <w:t xml:space="preserve"> </w:t>
      </w:r>
      <w:r>
        <w:t xml:space="preserve">16. Profili giuridici, etici e di governance</w:t>
      </w:r>
      <w:r>
        <w:t xml:space="preserve"> </w:t>
      </w:r>
      <w:r>
        <w:t xml:space="preserve">241. Tutela del consenso informato</w:t>
      </w:r>
      <w:r>
        <w:t xml:space="preserve"> </w:t>
      </w:r>
      <w:r>
        <w:t xml:space="preserve">242. Protezione dei dati personali (GDPR)</w:t>
      </w:r>
      <w:r>
        <w:t xml:space="preserve"> </w:t>
      </w:r>
      <w:r>
        <w:t xml:space="preserve">243. Conformità ai livelli essenziali di assistenza (LEA)</w:t>
      </w:r>
      <w:r>
        <w:t xml:space="preserve"> </w:t>
      </w:r>
      <w:r>
        <w:t xml:space="preserve">244. Difendibilità costituzionale dell’impianto</w:t>
      </w:r>
      <w:r>
        <w:t xml:space="preserve"> </w:t>
      </w:r>
      <w:r>
        <w:t xml:space="preserve">245. Rispetto del riparto di competenze Stato-Regioni</w:t>
      </w:r>
      <w:r>
        <w:t xml:space="preserve"> </w:t>
      </w:r>
      <w:r>
        <w:t xml:space="preserve">246. Rispetto della deontologia professionale</w:t>
      </w:r>
      <w:r>
        <w:t xml:space="preserve"> </w:t>
      </w:r>
      <w:r>
        <w:t xml:space="preserve">247. Accountability e responsabilità clinica</w:t>
      </w:r>
      <w:r>
        <w:t xml:space="preserve"> </w:t>
      </w:r>
      <w:r>
        <w:t xml:space="preserve">248. Equità e non discriminazione algoritmica</w:t>
      </w:r>
      <w:r>
        <w:t xml:space="preserve"> </w:t>
      </w:r>
      <w:r>
        <w:t xml:space="preserve">13Psicologo di Base · Metodologia apicale e registro unificato delle variabili</w:t>
      </w:r>
      <w:r>
        <w:t xml:space="preserve"> </w:t>
      </w:r>
      <w:r>
        <w:t xml:space="preserve">249. Trasparenza dell’allocazione delle risorse</w:t>
      </w:r>
      <w:r>
        <w:t xml:space="preserve"> </w:t>
      </w:r>
      <w:r>
        <w:t xml:space="preserve">250. Governance dell’Osservatorio e del monitoraggio</w:t>
      </w:r>
      <w:r>
        <w:t xml:space="preserve"> </w:t>
      </w:r>
      <w:r>
        <w:t xml:space="preserve">251. Tutela dei gruppi vulnerabili</w:t>
      </w:r>
      <w:r>
        <w:t xml:space="preserve"> </w:t>
      </w:r>
      <w:r>
        <w:t xml:space="preserve">252. Conformità agli standard dell’assistenza territoriale (DM 77)</w:t>
      </w:r>
      <w:r>
        <w:t xml:space="preserve"> </w:t>
      </w:r>
      <w:r>
        <w:t xml:space="preserve">253. Rispetto dell’autonomia del paziente</w:t>
      </w:r>
      <w:r>
        <w:t xml:space="preserve"> </w:t>
      </w:r>
      <w:r>
        <w:t xml:space="preserve">254. Gestione dei conflitti di interesse</w:t>
      </w:r>
      <w:r>
        <w:t xml:space="preserve"> </w:t>
      </w:r>
      <w:r>
        <w:t xml:space="preserve">255. Qualità della regolazione (AIR e VIR)</w:t>
      </w:r>
      <w:r>
        <w:t xml:space="preserve"> </w:t>
      </w:r>
      <w:r>
        <w:t xml:space="preserve">256. Sostenibilità giuridica del modello di convenzione</w:t>
      </w:r>
      <w:r>
        <w:t xml:space="preserve"> </w:t>
      </w:r>
      <w:r>
        <w:t xml:space="preserve">17. Moderatori demografici e di contesto</w:t>
      </w:r>
      <w:r>
        <w:t xml:space="preserve"> </w:t>
      </w:r>
      <w:r>
        <w:t xml:space="preserve">257. Età della popolazione assistita</w:t>
      </w:r>
      <w:r>
        <w:t xml:space="preserve"> </w:t>
      </w:r>
      <w:r>
        <w:t xml:space="preserve">258. Genere e differenze di genere negli esiti</w:t>
      </w:r>
      <w:r>
        <w:t xml:space="preserve"> </w:t>
      </w:r>
      <w:r>
        <w:t xml:space="preserve">259. Livello di deprivazione socio-economica</w:t>
      </w:r>
      <w:r>
        <w:t xml:space="preserve"> </w:t>
      </w:r>
      <w:r>
        <w:t xml:space="preserve">260. Contesto urbano o rurale</w:t>
      </w:r>
      <w:r>
        <w:t xml:space="preserve"> </w:t>
      </w:r>
      <w:r>
        <w:t xml:space="preserve">261. Densità e dispersione della popolazione</w:t>
      </w:r>
      <w:r>
        <w:t xml:space="preserve"> </w:t>
      </w:r>
      <w:r>
        <w:t xml:space="preserve">262. Quota di popolazione straniera</w:t>
      </w:r>
      <w:r>
        <w:t xml:space="preserve"> </w:t>
      </w:r>
      <w:r>
        <w:t xml:space="preserve">263. Livello di istruzione e alfabetizzazione sanitaria</w:t>
      </w:r>
      <w:r>
        <w:t xml:space="preserve"> </w:t>
      </w:r>
      <w:r>
        <w:t xml:space="preserve">264. Struttura familiare e reti di supporto</w:t>
      </w:r>
      <w:r>
        <w:t xml:space="preserve"> </w:t>
      </w:r>
      <w:r>
        <w:t xml:space="preserve">265. Carico di cronicità della popolazione (case-mix)</w:t>
      </w:r>
      <w:r>
        <w:t xml:space="preserve"> </w:t>
      </w:r>
      <w:r>
        <w:t xml:space="preserve">266. Offerta di servizi preesistente nella Regione</w:t>
      </w:r>
      <w:r>
        <w:t xml:space="preserve"> </w:t>
      </w:r>
      <w:r>
        <w:t xml:space="preserve">267. Posizione rispetto alla mobilità sanitaria (attiva o passiva)</w:t>
      </w:r>
      <w:r>
        <w:t xml:space="preserve"> </w:t>
      </w:r>
      <w:r>
        <w:t xml:space="preserve">268. Spesa sanitaria di partenza</w:t>
      </w:r>
      <w:r>
        <w:t xml:space="preserve"> </w:t>
      </w:r>
      <w:r>
        <w:t xml:space="preserve">269. Organizzazione del servizio sanitario regionale</w:t>
      </w:r>
      <w:r>
        <w:t xml:space="preserve"> </w:t>
      </w:r>
      <w:r>
        <w:t xml:space="preserve">270. Disponibilità di professionisti sul territorio</w:t>
      </w:r>
      <w:r>
        <w:t xml:space="preserve"> </w:t>
      </w:r>
      <w:r>
        <w:t xml:space="preserve">271. Contesto economico e tasso di occupazione</w:t>
      </w:r>
      <w:r>
        <w:t xml:space="preserve"> </w:t>
      </w:r>
      <w:r>
        <w:t xml:space="preserve">272. Eventi di contesto (pandemie, crisi, calamità)</w:t>
      </w:r>
      <w:r>
        <w:t xml:space="preserve"> </w:t>
      </w:r>
      <w:r>
        <w:t xml:space="preserve">18. Rischi ed effetti non intenzionali</w:t>
      </w:r>
      <w:r>
        <w:t xml:space="preserve"> </w:t>
      </w:r>
      <w:r>
        <w:t xml:space="preserve">273. Rischio di medicalizzazione del disagio ordinario</w:t>
      </w:r>
      <w:r>
        <w:t xml:space="preserve"> </w:t>
      </w:r>
      <w:r>
        <w:t xml:space="preserve">274. Domanda indotta dall’offerta</w:t>
      </w:r>
      <w:r>
        <w:t xml:space="preserve"> </w:t>
      </w:r>
      <w:r>
        <w:t xml:space="preserve">275. Rischio di sovra-diagnosi</w:t>
      </w:r>
      <w:r>
        <w:t xml:space="preserve"> </w:t>
      </w:r>
      <w:r>
        <w:t xml:space="preserve">276. Spostamento di risorse da altri servizi (displacement)</w:t>
      </w:r>
      <w:r>
        <w:t xml:space="preserve"> </w:t>
      </w:r>
      <w:r>
        <w:t xml:space="preserve">277. Rischio di liste d’attesa per il nuovo servizio</w:t>
      </w:r>
      <w:r>
        <w:t xml:space="preserve"> </w:t>
      </w:r>
      <w:r>
        <w:t xml:space="preserve">278. Disomogeneità attuativa tra territori</w:t>
      </w:r>
      <w:r>
        <w:t xml:space="preserve"> </w:t>
      </w:r>
      <w:r>
        <w:t xml:space="preserve">279. Rischio di ampliamento delle disuguaglianze (legge dell’assistenza inversa)</w:t>
      </w:r>
      <w:r>
        <w:t xml:space="preserve"> </w:t>
      </w:r>
      <w:r>
        <w:t xml:space="preserve">280. Effetti avversi degli interventi psicologici</w:t>
      </w:r>
      <w:r>
        <w:t xml:space="preserve"> </w:t>
      </w:r>
      <w:r>
        <w:t xml:space="preserve">281. Rischio di dipendenza dal servizio</w:t>
      </w:r>
      <w:r>
        <w:t xml:space="preserve"> </w:t>
      </w:r>
      <w:r>
        <w:t xml:space="preserve">282. Sovrapposizione e conflitto con i servizi specialistici</w:t>
      </w:r>
      <w:r>
        <w:t xml:space="preserve"> </w:t>
      </w:r>
      <w:r>
        <w:t xml:space="preserve">283. Rischio di etichettamento e stigma iatrogeno</w:t>
      </w:r>
      <w:r>
        <w:t xml:space="preserve"> </w:t>
      </w:r>
      <w:r>
        <w:t xml:space="preserve">284. Carenza di offerta formativa adeguata</w:t>
      </w:r>
      <w:r>
        <w:t xml:space="preserve"> </w:t>
      </w:r>
      <w:r>
        <w:t xml:space="preserve">285. Rischio di turnover e instabilità del personale</w:t>
      </w:r>
      <w:r>
        <w:t xml:space="preserve"> </w:t>
      </w:r>
      <w:r>
        <w:t xml:space="preserve">286. Disallineamento tra domanda e capacità</w:t>
      </w:r>
      <w:r>
        <w:t xml:space="preserve"> </w:t>
      </w:r>
      <w:r>
        <w:t xml:space="preserve">287. Rischio di deriva dal modello (perdita di fedeltà)</w:t>
      </w:r>
      <w:r>
        <w:t xml:space="preserve"> </w:t>
      </w:r>
      <w:r>
        <w:t xml:space="preserve">288. Effetti non intenzionali sull’uso di altri servizi</w:t>
      </w:r>
      <w:r>
        <w:t xml:space="preserve"> </w:t>
      </w:r>
      <w:r>
        <w:t xml:space="preserve">19. Sostenibilità di sistema e macro-impatto</w:t>
      </w:r>
      <w:r>
        <w:t xml:space="preserve"> </w:t>
      </w:r>
      <w:r>
        <w:t xml:space="preserve">289. Sostenibilità finanziaria del servizio sanitario</w:t>
      </w:r>
      <w:r>
        <w:t xml:space="preserve"> </w:t>
      </w:r>
      <w:r>
        <w:t xml:space="preserve">290. Resilienza del sistema agli shock (pandemie)</w:t>
      </w:r>
      <w:r>
        <w:t xml:space="preserve"> </w:t>
      </w:r>
      <w:r>
        <w:t xml:space="preserve">14Psicologo di Base · Metodologia apicale e registro unificato delle variabili</w:t>
      </w:r>
      <w:r>
        <w:t xml:space="preserve"> </w:t>
      </w:r>
      <w:r>
        <w:t xml:space="preserve">291. Sostenibilità a fronte della pressione demografica</w:t>
      </w:r>
      <w:r>
        <w:t xml:space="preserve"> </w:t>
      </w:r>
      <w:r>
        <w:t xml:space="preserve">292. Riduzione della pressione sui servizi specialistici di salute mentale</w:t>
      </w:r>
      <w:r>
        <w:t xml:space="preserve"> </w:t>
      </w:r>
      <w:r>
        <w:t xml:space="preserve">293. Contributo alla tenuta dell’universalismo del SSN</w:t>
      </w:r>
      <w:r>
        <w:t xml:space="preserve"> </w:t>
      </w:r>
      <w:r>
        <w:t xml:space="preserve">294. Effetto sulla spesa sanitaria complessiva nel lungo periodo</w:t>
      </w:r>
      <w:r>
        <w:t xml:space="preserve"> </w:t>
      </w:r>
      <w:r>
        <w:t xml:space="preserve">295. Contributo agli obiettivi di salute pubblica nazionali</w:t>
      </w:r>
      <w:r>
        <w:t xml:space="preserve"> </w:t>
      </w:r>
      <w:r>
        <w:t xml:space="preserve">296. Coerenza con il PNRR e l’assistenza territoriale</w:t>
      </w:r>
      <w:r>
        <w:t xml:space="preserve"> </w:t>
      </w:r>
      <w:r>
        <w:t xml:space="preserve">297. Effetto sulla fiducia nelle istituzioni sanitarie</w:t>
      </w:r>
      <w:r>
        <w:t xml:space="preserve"> </w:t>
      </w:r>
      <w:r>
        <w:t xml:space="preserve">298. Riduzione del costo sociale complessivo del disagio</w:t>
      </w:r>
      <w:r>
        <w:t xml:space="preserve"> </w:t>
      </w:r>
      <w:r>
        <w:t xml:space="preserve">299. Contributo alla riduzione delle disuguaglianze territoriali</w:t>
      </w:r>
      <w:r>
        <w:t xml:space="preserve"> </w:t>
      </w:r>
      <w:r>
        <w:t xml:space="preserve">300. Sostenibilità del modello di finanziamento (FSN)</w:t>
      </w:r>
      <w:r>
        <w:t xml:space="preserve"> </w:t>
      </w:r>
      <w:r>
        <w:t xml:space="preserve">301. Effetto di apprendimento per altre politiche pubbliche</w:t>
      </w:r>
      <w:r>
        <w:t xml:space="preserve"> </w:t>
      </w:r>
      <w:r>
        <w:t xml:space="preserve">302. Contributo al capitale umano e alla competitività</w:t>
      </w:r>
      <w:r>
        <w:t xml:space="preserve"> </w:t>
      </w:r>
      <w:r>
        <w:t xml:space="preserve">303. Effetto sulla coesione sociale nazionale</w:t>
      </w:r>
      <w:r>
        <w:t xml:space="preserve"> </w:t>
      </w:r>
      <w:r>
        <w:t xml:space="preserve">304. Robustezza del modello a variazioni dei parametri</w:t>
      </w:r>
      <w:r>
        <w:t xml:space="preserve"> </w:t>
      </w:r>
      <w:r>
        <w:t xml:space="preserve">20. Popolazioni e setting specifici</w:t>
      </w:r>
      <w:r>
        <w:t xml:space="preserve"> </w:t>
      </w:r>
      <w:r>
        <w:t xml:space="preserve">305. Donne in gravidanza e nel post-partum</w:t>
      </w:r>
      <w:r>
        <w:t xml:space="preserve"> </w:t>
      </w:r>
      <w:r>
        <w:t xml:space="preserve">306. Bambini e adolescenti</w:t>
      </w:r>
      <w:r>
        <w:t xml:space="preserve"> </w:t>
      </w:r>
      <w:r>
        <w:t xml:space="preserve">307. Persone anziane e grandi anziani</w:t>
      </w:r>
      <w:r>
        <w:t xml:space="preserve"> </w:t>
      </w:r>
      <w:r>
        <w:t xml:space="preserve">308. Persone con patologie croniche e multimorbilità</w:t>
      </w:r>
      <w:r>
        <w:t xml:space="preserve"> </w:t>
      </w:r>
      <w:r>
        <w:t xml:space="preserve">309. Caregiver e familiari</w:t>
      </w:r>
      <w:r>
        <w:t xml:space="preserve"> </w:t>
      </w:r>
      <w:r>
        <w:t xml:space="preserve">310. Persone con disabilità</w:t>
      </w:r>
      <w:r>
        <w:t xml:space="preserve"> </w:t>
      </w:r>
      <w:r>
        <w:t xml:space="preserve">311. Popolazioni migranti e rifugiati</w:t>
      </w:r>
      <w:r>
        <w:t xml:space="preserve"> </w:t>
      </w:r>
      <w:r>
        <w:t xml:space="preserve">312. Persone vittime di violenza</w:t>
      </w:r>
      <w:r>
        <w:t xml:space="preserve"> </w:t>
      </w:r>
      <w:r>
        <w:t xml:space="preserve">313. Persone in povertà ed esclusione sociale</w:t>
      </w:r>
      <w:r>
        <w:t xml:space="preserve"> </w:t>
      </w:r>
      <w:r>
        <w:t xml:space="preserve">314. Lavoratori esposti a stress occupazionale</w:t>
      </w:r>
      <w:r>
        <w:t xml:space="preserve"> </w:t>
      </w:r>
      <w:r>
        <w:t xml:space="preserve">315. Persone in lutto e in transizioni di vita</w:t>
      </w:r>
      <w:r>
        <w:t xml:space="preserve"> </w:t>
      </w:r>
      <w:r>
        <w:t xml:space="preserve">316. Persone con dipendenze in fase precoce</w:t>
      </w:r>
      <w:r>
        <w:t xml:space="preserve"> </w:t>
      </w:r>
      <w:r>
        <w:t xml:space="preserve">317. Studenti e contesto scolastico-universitario</w:t>
      </w:r>
      <w:r>
        <w:t xml:space="preserve"> </w:t>
      </w:r>
      <w:r>
        <w:t xml:space="preserve">318. Persone in aree interne, montane e insulari</w:t>
      </w:r>
      <w:r>
        <w:t xml:space="preserve"> </w:t>
      </w:r>
      <w:r>
        <w:t xml:space="preserve">319. Persone con bassa alfabetizzazione digitale</w:t>
      </w:r>
      <w:r>
        <w:t xml:space="preserve"> </w:t>
      </w:r>
      <w:r>
        <w:t xml:space="preserve">320. Persone LGBTQ+ e gruppi a maggior rischio di stigma</w:t>
      </w:r>
      <w:r>
        <w:t xml:space="preserve"> </w:t>
      </w:r>
      <w:r>
        <w:t xml:space="preserve">21. Esiti per disturbo — area depressiva</w:t>
      </w:r>
      <w:r>
        <w:t xml:space="preserve"> </w:t>
      </w:r>
      <w:r>
        <w:t xml:space="preserve">321. Remissione della depressione maggiore</w:t>
      </w:r>
      <w:r>
        <w:t xml:space="preserve"> </w:t>
      </w:r>
      <w:r>
        <w:t xml:space="preserve">322. Risposta clinica nella depressione maggiore</w:t>
      </w:r>
      <w:r>
        <w:t xml:space="preserve"> </w:t>
      </w:r>
      <w:r>
        <w:t xml:space="preserve">323. Riduzione della depressione lieve-moderata</w:t>
      </w:r>
      <w:r>
        <w:t xml:space="preserve"> </w:t>
      </w:r>
      <w:r>
        <w:t xml:space="preserve">324. Prevenzione della ricaduta depressiva</w:t>
      </w:r>
      <w:r>
        <w:t xml:space="preserve"> </w:t>
      </w:r>
      <w:r>
        <w:t xml:space="preserve">325. Invio appropriato della depressione resistente</w:t>
      </w:r>
      <w:r>
        <w:t xml:space="preserve"> </w:t>
      </w:r>
      <w:r>
        <w:t xml:space="preserve">326. Riduzione della depressione persistente (distimia)</w:t>
      </w:r>
      <w:r>
        <w:t xml:space="preserve"> </w:t>
      </w:r>
      <w:r>
        <w:t xml:space="preserve">327. Riduzione dei sintomi depressivi sottosoglia</w:t>
      </w:r>
      <w:r>
        <w:t xml:space="preserve"> </w:t>
      </w:r>
      <w:r>
        <w:t xml:space="preserve">328. Riduzione della depressione nell’anziano</w:t>
      </w:r>
      <w:r>
        <w:t xml:space="preserve"> </w:t>
      </w:r>
      <w:r>
        <w:t xml:space="preserve">329. Riduzione della depressione perinatale</w:t>
      </w:r>
      <w:r>
        <w:t xml:space="preserve"> </w:t>
      </w:r>
      <w:r>
        <w:t xml:space="preserve">330. Riduzione della depressione nel paziente cronico</w:t>
      </w:r>
      <w:r>
        <w:t xml:space="preserve"> </w:t>
      </w:r>
      <w:r>
        <w:t xml:space="preserve">331. Riduzione della depressione dopo un ricovero</w:t>
      </w:r>
      <w:r>
        <w:t xml:space="preserve"> </w:t>
      </w:r>
      <w:r>
        <w:t xml:space="preserve">332. Riduzione dell’anedonia</w:t>
      </w:r>
      <w:r>
        <w:t xml:space="preserve"> </w:t>
      </w:r>
      <w:r>
        <w:t xml:space="preserve">333. Miglioramento del tono dell’umore</w:t>
      </w:r>
      <w:r>
        <w:t xml:space="preserve"> </w:t>
      </w:r>
      <w:r>
        <w:t xml:space="preserve">334. Riduzione della durata degli episodi depressivi</w:t>
      </w:r>
      <w:r>
        <w:t xml:space="preserve"> </w:t>
      </w:r>
      <w:r>
        <w:t xml:space="preserve">15Psicologo di Base · Metodologia apicale e registro unificato delle variabili</w:t>
      </w:r>
      <w:r>
        <w:t xml:space="preserve"> </w:t>
      </w:r>
      <w:r>
        <w:t xml:space="preserve">335. Riduzione del numero di episodi annui</w:t>
      </w:r>
      <w:r>
        <w:t xml:space="preserve"> </w:t>
      </w:r>
      <w:r>
        <w:t xml:space="preserve">336. Riduzione dell’astensione lavorativa per depressione</w:t>
      </w:r>
      <w:r>
        <w:t xml:space="preserve"> </w:t>
      </w:r>
      <w:r>
        <w:t xml:space="preserve">337. Riduzione del rischio suicidario nei pazienti depressi</w:t>
      </w:r>
      <w:r>
        <w:t xml:space="preserve"> </w:t>
      </w:r>
      <w:r>
        <w:t xml:space="preserve">338. Miglioramento del funzionamento nei pazienti depressi</w:t>
      </w:r>
      <w:r>
        <w:t xml:space="preserve"> </w:t>
      </w:r>
      <w:r>
        <w:t xml:space="preserve">339. Riduzione dei sintomi depressivi nei caregiver</w:t>
      </w:r>
      <w:r>
        <w:t xml:space="preserve"> </w:t>
      </w:r>
      <w:r>
        <w:t xml:space="preserve">340. Riduzione della depressione negli adolescenti</w:t>
      </w:r>
      <w:r>
        <w:t xml:space="preserve"> </w:t>
      </w:r>
      <w:r>
        <w:t xml:space="preserve">341. Diagnosi della depressione post-partum</w:t>
      </w:r>
      <w:r>
        <w:t xml:space="preserve"> </w:t>
      </w:r>
      <w:r>
        <w:t xml:space="preserve">342. Intercettazione precoce dei casi di depressione</w:t>
      </w:r>
      <w:r>
        <w:t xml:space="preserve"> </w:t>
      </w:r>
      <w:r>
        <w:t xml:space="preserve">343. Riduzione del ricorso al farmaco nella depressione lieve</w:t>
      </w:r>
      <w:r>
        <w:t xml:space="preserve"> </w:t>
      </w:r>
      <w:r>
        <w:t xml:space="preserve">344. Miglioramento del sonno nei pazienti depressi</w:t>
      </w:r>
      <w:r>
        <w:t xml:space="preserve"> </w:t>
      </w:r>
      <w:r>
        <w:t xml:space="preserve">345. Riduzione delle comorbidità ansiose nei depressi</w:t>
      </w:r>
      <w:r>
        <w:t xml:space="preserve"> </w:t>
      </w:r>
      <w:r>
        <w:t xml:space="preserve">346. Aumento del recupero funzionale</w:t>
      </w:r>
      <w:r>
        <w:t xml:space="preserve"> </w:t>
      </w:r>
      <w:r>
        <w:t xml:space="preserve">347. Riduzione delle ricadute a dodici mesi</w:t>
      </w:r>
      <w:r>
        <w:t xml:space="preserve"> </w:t>
      </w:r>
      <w:r>
        <w:t xml:space="preserve">348. Miglioramento dell’autostima e della speranza</w:t>
      </w:r>
      <w:r>
        <w:t xml:space="preserve"> </w:t>
      </w:r>
      <w:r>
        <w:t xml:space="preserve">22. Esiti per disturbo — spettro ansioso</w:t>
      </w:r>
      <w:r>
        <w:t xml:space="preserve"> </w:t>
      </w:r>
      <w:r>
        <w:t xml:space="preserve">349. Remissione del disturbo d’ansia generalizzata</w:t>
      </w:r>
      <w:r>
        <w:t xml:space="preserve"> </w:t>
      </w:r>
      <w:r>
        <w:t xml:space="preserve">350. Riduzione dei sintomi di panico</w:t>
      </w:r>
      <w:r>
        <w:t xml:space="preserve"> </w:t>
      </w:r>
      <w:r>
        <w:t xml:space="preserve">351. Riduzione dell’agorafobia</w:t>
      </w:r>
      <w:r>
        <w:t xml:space="preserve"> </w:t>
      </w:r>
      <w:r>
        <w:t xml:space="preserve">352. Riduzione dell’ansia sociale</w:t>
      </w:r>
      <w:r>
        <w:t xml:space="preserve"> </w:t>
      </w:r>
      <w:r>
        <w:t xml:space="preserve">353. Riduzione delle fobie specifiche</w:t>
      </w:r>
      <w:r>
        <w:t xml:space="preserve"> </w:t>
      </w:r>
      <w:r>
        <w:t xml:space="preserve">354. Riduzione dei sintomi ossessivo-compulsivi</w:t>
      </w:r>
      <w:r>
        <w:t xml:space="preserve"> </w:t>
      </w:r>
      <w:r>
        <w:t xml:space="preserve">355. Riduzione dell’ansia per la salute</w:t>
      </w:r>
      <w:r>
        <w:t xml:space="preserve"> </w:t>
      </w:r>
      <w:r>
        <w:t xml:space="preserve">356. Riduzione dell’ansia anticipatoria</w:t>
      </w:r>
      <w:r>
        <w:t xml:space="preserve"> </w:t>
      </w:r>
      <w:r>
        <w:t xml:space="preserve">357. Riduzione degli attacchi di panico ricorrenti</w:t>
      </w:r>
      <w:r>
        <w:t xml:space="preserve"> </w:t>
      </w:r>
      <w:r>
        <w:t xml:space="preserve">358. Riduzione dell’evitamento fobico</w:t>
      </w:r>
      <w:r>
        <w:t xml:space="preserve"> </w:t>
      </w:r>
      <w:r>
        <w:t xml:space="preserve">359. Riduzione dell’ansia nei pazienti cronici</w:t>
      </w:r>
      <w:r>
        <w:t xml:space="preserve"> </w:t>
      </w:r>
      <w:r>
        <w:t xml:space="preserve">360. Riduzione dell’ansia perinatale</w:t>
      </w:r>
      <w:r>
        <w:t xml:space="preserve"> </w:t>
      </w:r>
      <w:r>
        <w:t xml:space="preserve">361. Riduzione dell’ansia negli adolescenti</w:t>
      </w:r>
      <w:r>
        <w:t xml:space="preserve"> </w:t>
      </w:r>
      <w:r>
        <w:t xml:space="preserve">362. Riduzione dell’ansia nell’anziano</w:t>
      </w:r>
      <w:r>
        <w:t xml:space="preserve"> </w:t>
      </w:r>
      <w:r>
        <w:t xml:space="preserve">363. Riduzione della preoccupazione patologica</w:t>
      </w:r>
      <w:r>
        <w:t xml:space="preserve"> </w:t>
      </w:r>
      <w:r>
        <w:t xml:space="preserve">364. Riduzione dei sintomi somatici dell’ansia</w:t>
      </w:r>
      <w:r>
        <w:t xml:space="preserve"> </w:t>
      </w:r>
      <w:r>
        <w:t xml:space="preserve">365. Riduzione dell’ansia da prestazione</w:t>
      </w:r>
      <w:r>
        <w:t xml:space="preserve"> </w:t>
      </w:r>
      <w:r>
        <w:t xml:space="preserve">366. Miglioramento del funzionamento nei disturbi d’ansia</w:t>
      </w:r>
      <w:r>
        <w:t xml:space="preserve"> </w:t>
      </w:r>
      <w:r>
        <w:t xml:space="preserve">367. Riduzione dell’uso di benzodiazepine nell’ansia</w:t>
      </w:r>
      <w:r>
        <w:t xml:space="preserve"> </w:t>
      </w:r>
      <w:r>
        <w:t xml:space="preserve">368. Riduzione degli accessi al pronto soccorso per panico</w:t>
      </w:r>
      <w:r>
        <w:t xml:space="preserve"> </w:t>
      </w:r>
      <w:r>
        <w:t xml:space="preserve">369. Riduzione dell’ansia correlata a procedure mediche</w:t>
      </w:r>
      <w:r>
        <w:t xml:space="preserve"> </w:t>
      </w:r>
      <w:r>
        <w:t xml:space="preserve">370. Intercettazione precoce dei disturbi d’ansia</w:t>
      </w:r>
      <w:r>
        <w:t xml:space="preserve"> </w:t>
      </w:r>
      <w:r>
        <w:t xml:space="preserve">371. Riduzione delle ricadute ansiose</w:t>
      </w:r>
      <w:r>
        <w:t xml:space="preserve"> </w:t>
      </w:r>
      <w:r>
        <w:t xml:space="preserve">372. Riduzione della comorbidità ansia-depressione</w:t>
      </w:r>
      <w:r>
        <w:t xml:space="preserve"> </w:t>
      </w:r>
      <w:r>
        <w:t xml:space="preserve">373. Miglioramento della qualità di vita nei disturbi d’ansia</w:t>
      </w:r>
      <w:r>
        <w:t xml:space="preserve"> </w:t>
      </w:r>
      <w:r>
        <w:t xml:space="preserve">374. Riduzione dell’ansia da separazione nei minori</w:t>
      </w:r>
      <w:r>
        <w:t xml:space="preserve"> </w:t>
      </w:r>
      <w:r>
        <w:t xml:space="preserve">375. Riduzione dell’assenteismo per disturbi d’ansia</w:t>
      </w:r>
      <w:r>
        <w:t xml:space="preserve"> </w:t>
      </w:r>
      <w:r>
        <w:t xml:space="preserve">376. Aumento della tolleranza allo stress</w:t>
      </w:r>
      <w:r>
        <w:t xml:space="preserve"> </w:t>
      </w:r>
      <w:r>
        <w:t xml:space="preserve">23. Trauma, stress e disturbi dell’adattamento</w:t>
      </w:r>
      <w:r>
        <w:t xml:space="preserve"> </w:t>
      </w:r>
      <w:r>
        <w:t xml:space="preserve">377. Riduzione dei sintomi da stress post-traumatico</w:t>
      </w:r>
      <w:r>
        <w:t xml:space="preserve"> </w:t>
      </w:r>
      <w:r>
        <w:t xml:space="preserve">378. Riduzione dei sintomi da stress acuto</w:t>
      </w:r>
      <w:r>
        <w:t xml:space="preserve"> </w:t>
      </w:r>
      <w:r>
        <w:t xml:space="preserve">16Psicologo di Base · Metodologia apicale e registro unificato delle variabili</w:t>
      </w:r>
      <w:r>
        <w:t xml:space="preserve"> </w:t>
      </w:r>
      <w:r>
        <w:t xml:space="preserve">379. Riduzione dei disturbi dell’adattamento</w:t>
      </w:r>
      <w:r>
        <w:t xml:space="preserve"> </w:t>
      </w:r>
      <w:r>
        <w:t xml:space="preserve">380. Elaborazione del lutto complicato</w:t>
      </w:r>
      <w:r>
        <w:t xml:space="preserve"> </w:t>
      </w:r>
      <w:r>
        <w:t xml:space="preserve">381. Riduzione del distress da eventi critici</w:t>
      </w:r>
      <w:r>
        <w:t xml:space="preserve"> </w:t>
      </w:r>
      <w:r>
        <w:t xml:space="preserve">382. Riduzione dell’impatto di traumi infantili</w:t>
      </w:r>
      <w:r>
        <w:t xml:space="preserve"> </w:t>
      </w:r>
      <w:r>
        <w:t xml:space="preserve">383. Supporto dopo eventi violenti</w:t>
      </w:r>
      <w:r>
        <w:t xml:space="preserve"> </w:t>
      </w:r>
      <w:r>
        <w:t xml:space="preserve">384. Supporto dopo incidenti e infortuni</w:t>
      </w:r>
      <w:r>
        <w:t xml:space="preserve"> </w:t>
      </w:r>
      <w:r>
        <w:t xml:space="preserve">385. Riduzione dei sintomi dissociativi</w:t>
      </w:r>
      <w:r>
        <w:t xml:space="preserve"> </w:t>
      </w:r>
      <w:r>
        <w:t xml:space="preserve">386. Riduzione dell’ipervigilanza</w:t>
      </w:r>
      <w:r>
        <w:t xml:space="preserve"> </w:t>
      </w:r>
      <w:r>
        <w:t xml:space="preserve">387. Riduzione dei disturbi del sonno post-traumatici</w:t>
      </w:r>
      <w:r>
        <w:t xml:space="preserve"> </w:t>
      </w:r>
      <w:r>
        <w:t xml:space="preserve">388. Riduzione dell’evitamento post-traumatico</w:t>
      </w:r>
      <w:r>
        <w:t xml:space="preserve"> </w:t>
      </w:r>
      <w:r>
        <w:t xml:space="preserve">389. Recupero dopo emergenze e calamità</w:t>
      </w:r>
      <w:r>
        <w:t xml:space="preserve"> </w:t>
      </w:r>
      <w:r>
        <w:t xml:space="preserve">390. Riduzione del distress nei migranti e rifugiati</w:t>
      </w:r>
      <w:r>
        <w:t xml:space="preserve"> </w:t>
      </w:r>
      <w:r>
        <w:t xml:space="preserve">391. Riduzione del distress nelle vittime di violenza di genere</w:t>
      </w:r>
      <w:r>
        <w:t xml:space="preserve"> </w:t>
      </w:r>
      <w:r>
        <w:t xml:space="preserve">392. Supporto al personale sanitario dopo eventi critici</w:t>
      </w:r>
      <w:r>
        <w:t xml:space="preserve"> </w:t>
      </w:r>
      <w:r>
        <w:t xml:space="preserve">393. Riduzione del trauma vicario negli operatori</w:t>
      </w:r>
      <w:r>
        <w:t xml:space="preserve"> </w:t>
      </w:r>
      <w:r>
        <w:t xml:space="preserve">394. Riduzione dello stress correlato alla malattia grave</w:t>
      </w:r>
      <w:r>
        <w:t xml:space="preserve"> </w:t>
      </w:r>
      <w:r>
        <w:t xml:space="preserve">395. Riduzione del distress oncologico</w:t>
      </w:r>
      <w:r>
        <w:t xml:space="preserve"> </w:t>
      </w:r>
      <w:r>
        <w:t xml:space="preserve">396. Supporto nella transizione alle cure palliative</w:t>
      </w:r>
      <w:r>
        <w:t xml:space="preserve"> </w:t>
      </w:r>
      <w:r>
        <w:t xml:space="preserve">397. Riduzione dell’impatto della perdita del lavoro</w:t>
      </w:r>
      <w:r>
        <w:t xml:space="preserve"> </w:t>
      </w:r>
      <w:r>
        <w:t xml:space="preserve">398. Supporto nelle separazioni e nei conflitti familiari</w:t>
      </w:r>
      <w:r>
        <w:t xml:space="preserve"> </w:t>
      </w:r>
      <w:r>
        <w:t xml:space="preserve">399. Riduzione del distress nelle transizioni di vita</w:t>
      </w:r>
      <w:r>
        <w:t xml:space="preserve"> </w:t>
      </w:r>
      <w:r>
        <w:t xml:space="preserve">400. Prevenzione della cronicizzazione del trauma</w:t>
      </w:r>
      <w:r>
        <w:t xml:space="preserve"> </w:t>
      </w:r>
      <w:r>
        <w:t xml:space="preserve">401. Aumento della resilienza individuale</w:t>
      </w:r>
      <w:r>
        <w:t xml:space="preserve"> </w:t>
      </w:r>
      <w:r>
        <w:t xml:space="preserve">402. Riduzione delle reazioni acute da stress in pronto soccorso</w:t>
      </w:r>
      <w:r>
        <w:t xml:space="preserve"> </w:t>
      </w:r>
      <w:r>
        <w:t xml:space="preserve">403. Miglioramento del funzionamento post-traumatico</w:t>
      </w:r>
      <w:r>
        <w:t xml:space="preserve"> </w:t>
      </w:r>
      <w:r>
        <w:t xml:space="preserve">24. Sintomi somatici, sonno e disturbi funzionali</w:t>
      </w:r>
      <w:r>
        <w:t xml:space="preserve"> </w:t>
      </w:r>
      <w:r>
        <w:t xml:space="preserve">404. Riduzione dei sintomi somatici funzionali</w:t>
      </w:r>
      <w:r>
        <w:t xml:space="preserve"> </w:t>
      </w:r>
      <w:r>
        <w:t xml:space="preserve">405. Riduzione dei sintomi medicalmente inspiegati</w:t>
      </w:r>
      <w:r>
        <w:t xml:space="preserve"> </w:t>
      </w:r>
      <w:r>
        <w:t xml:space="preserve">406. Riduzione del disturbo da sintomi somatici</w:t>
      </w:r>
      <w:r>
        <w:t xml:space="preserve"> </w:t>
      </w:r>
      <w:r>
        <w:t xml:space="preserve">407. Gestione psicologica della sindrome dell’intestino irritabile</w:t>
      </w:r>
      <w:r>
        <w:t xml:space="preserve"> </w:t>
      </w:r>
      <w:r>
        <w:t xml:space="preserve">408. Gestione del distress nella fibromialgia</w:t>
      </w:r>
      <w:r>
        <w:t xml:space="preserve"> </w:t>
      </w:r>
      <w:r>
        <w:t xml:space="preserve">409. Riduzione della cefalea tensiva</w:t>
      </w:r>
      <w:r>
        <w:t xml:space="preserve"> </w:t>
      </w:r>
      <w:r>
        <w:t xml:space="preserve">410. Riduzione della fatica cronica</w:t>
      </w:r>
      <w:r>
        <w:t xml:space="preserve"> </w:t>
      </w:r>
      <w:r>
        <w:t xml:space="preserve">411. Miglioramento dell’insonnia</w:t>
      </w:r>
      <w:r>
        <w:t xml:space="preserve"> </w:t>
      </w:r>
      <w:r>
        <w:t xml:space="preserve">412. Riduzione dell’uso di ipnotici</w:t>
      </w:r>
      <w:r>
        <w:t xml:space="preserve"> </w:t>
      </w:r>
      <w:r>
        <w:t xml:space="preserve">413. Miglioramento dell’igiene del sonno</w:t>
      </w:r>
      <w:r>
        <w:t xml:space="preserve"> </w:t>
      </w:r>
      <w:r>
        <w:t xml:space="preserve">414. Riduzione dei risvegli notturni</w:t>
      </w:r>
      <w:r>
        <w:t xml:space="preserve"> </w:t>
      </w:r>
      <w:r>
        <w:t xml:space="preserve">415. Riduzione del dolore cronico percepito</w:t>
      </w:r>
      <w:r>
        <w:t xml:space="preserve"> </w:t>
      </w:r>
      <w:r>
        <w:t xml:space="preserve">416. Riduzione dell’ansia per la salute</w:t>
      </w:r>
      <w:r>
        <w:t xml:space="preserve"> </w:t>
      </w:r>
      <w:r>
        <w:t xml:space="preserve">417. Riduzione degli accertamenti per sintomi inspiegati</w:t>
      </w:r>
      <w:r>
        <w:t xml:space="preserve"> </w:t>
      </w:r>
      <w:r>
        <w:t xml:space="preserve">418. Riduzione delle visite ripetute per sintomi somatici</w:t>
      </w:r>
      <w:r>
        <w:t xml:space="preserve"> </w:t>
      </w:r>
      <w:r>
        <w:t xml:space="preserve">419. Riduzione dei costi diagnostici nei somatizzatori</w:t>
      </w:r>
      <w:r>
        <w:t xml:space="preserve"> </w:t>
      </w:r>
      <w:r>
        <w:t xml:space="preserve">420. Miglioramento del funzionamento nei somatizzatori</w:t>
      </w:r>
      <w:r>
        <w:t xml:space="preserve"> </w:t>
      </w:r>
      <w:r>
        <w:t xml:space="preserve">421. Riduzione della disabilità da sintomi funzionali</w:t>
      </w:r>
      <w:r>
        <w:t xml:space="preserve"> </w:t>
      </w:r>
      <w:r>
        <w:t xml:space="preserve">422. Aumento della consapevolezza mente-corpo</w:t>
      </w:r>
      <w:r>
        <w:t xml:space="preserve"> </w:t>
      </w:r>
      <w:r>
        <w:t xml:space="preserve">423. Riduzione della catastrofizzazione del dolore</w:t>
      </w:r>
      <w:r>
        <w:t xml:space="preserve"> </w:t>
      </w:r>
      <w:r>
        <w:t xml:space="preserve">424. Gestione dei sintomi gastrointestinali funzionali</w:t>
      </w:r>
      <w:r>
        <w:t xml:space="preserve"> </w:t>
      </w:r>
      <w:r>
        <w:t xml:space="preserve">17Psicologo di Base · Metodologia apicale e registro unificato delle variabili</w:t>
      </w:r>
      <w:r>
        <w:t xml:space="preserve"> </w:t>
      </w:r>
      <w:r>
        <w:t xml:space="preserve">425. Riduzione dei disturbi somatoformi</w:t>
      </w:r>
      <w:r>
        <w:t xml:space="preserve"> </w:t>
      </w:r>
      <w:r>
        <w:t xml:space="preserve">426. Riduzione del ricorso a più specialisti per lo stesso sintomo</w:t>
      </w:r>
      <w:r>
        <w:t xml:space="preserve"> </w:t>
      </w:r>
      <w:r>
        <w:t xml:space="preserve">427. Migliore aderenza nei pazienti funzionali</w:t>
      </w:r>
      <w:r>
        <w:t xml:space="preserve"> </w:t>
      </w:r>
      <w:r>
        <w:t xml:space="preserve">428. Riduzione dell’uso di analgesici nei sintomi funzionali</w:t>
      </w:r>
      <w:r>
        <w:t xml:space="preserve"> </w:t>
      </w:r>
      <w:r>
        <w:t xml:space="preserve">429. Miglioramento del sonno nelle cronicità</w:t>
      </w:r>
      <w:r>
        <w:t xml:space="preserve"> </w:t>
      </w:r>
      <w:r>
        <w:t xml:space="preserve">430. Riduzione dello stress somatizzato</w:t>
      </w:r>
      <w:r>
        <w:t xml:space="preserve"> </w:t>
      </w:r>
      <w:r>
        <w:t xml:space="preserve">25. Uso di sostanze e dipendenze comportamentali</w:t>
      </w:r>
      <w:r>
        <w:t xml:space="preserve"> </w:t>
      </w:r>
      <w:r>
        <w:t xml:space="preserve">431. Riduzione del consumo rischioso di alcol</w:t>
      </w:r>
      <w:r>
        <w:t xml:space="preserve"> </w:t>
      </w:r>
      <w:r>
        <w:t xml:space="preserve">432. Intercettazione precoce dell’uso problematico di alcol</w:t>
      </w:r>
      <w:r>
        <w:t xml:space="preserve"> </w:t>
      </w:r>
      <w:r>
        <w:t xml:space="preserve">433. Supporto alla cessazione del fumo</w:t>
      </w:r>
      <w:r>
        <w:t xml:space="preserve"> </w:t>
      </w:r>
      <w:r>
        <w:t xml:space="preserve">434. Riduzione dell’uso problematico di cannabis</w:t>
      </w:r>
      <w:r>
        <w:t xml:space="preserve"> </w:t>
      </w:r>
      <w:r>
        <w:t xml:space="preserve">435. Riduzione dell’uso improprio di farmaci</w:t>
      </w:r>
      <w:r>
        <w:t xml:space="preserve"> </w:t>
      </w:r>
      <w:r>
        <w:t xml:space="preserve">436. Riduzione della dipendenza da benzodiazepine</w:t>
      </w:r>
      <w:r>
        <w:t xml:space="preserve"> </w:t>
      </w:r>
      <w:r>
        <w:t xml:space="preserve">437. Riduzione del gioco d’azzardo patologico</w:t>
      </w:r>
      <w:r>
        <w:t xml:space="preserve"> </w:t>
      </w:r>
      <w:r>
        <w:t xml:space="preserve">438. Riduzione dell’uso problematico di internet e videogiochi</w:t>
      </w:r>
      <w:r>
        <w:t xml:space="preserve"> </w:t>
      </w:r>
      <w:r>
        <w:t xml:space="preserve">439. Intercettazione delle dipendenze in fase iniziale</w:t>
      </w:r>
      <w:r>
        <w:t xml:space="preserve"> </w:t>
      </w:r>
      <w:r>
        <w:t xml:space="preserve">440. Invio appropriato ai servizi per le dipendenze</w:t>
      </w:r>
      <w:r>
        <w:t xml:space="preserve"> </w:t>
      </w:r>
      <w:r>
        <w:t xml:space="preserve">441. Riduzione delle ricadute nelle dipendenze</w:t>
      </w:r>
      <w:r>
        <w:t xml:space="preserve"> </w:t>
      </w:r>
      <w:r>
        <w:t xml:space="preserve">442. Riduzione dei comportamenti a rischio negli adolescenti</w:t>
      </w:r>
      <w:r>
        <w:t xml:space="preserve"> </w:t>
      </w:r>
      <w:r>
        <w:t xml:space="preserve">443. Riduzione del policonsumo</w:t>
      </w:r>
      <w:r>
        <w:t xml:space="preserve"> </w:t>
      </w:r>
      <w:r>
        <w:t xml:space="preserve">444. Riduzione dell’uso di sostanze nei giovani</w:t>
      </w:r>
      <w:r>
        <w:t xml:space="preserve"> </w:t>
      </w:r>
      <w:r>
        <w:t xml:space="preserve">445. Aumento della motivazione al cambiamento</w:t>
      </w:r>
      <w:r>
        <w:t xml:space="preserve"> </w:t>
      </w:r>
      <w:r>
        <w:t xml:space="preserve">446. Riduzione del craving</w:t>
      </w:r>
      <w:r>
        <w:t xml:space="preserve"> </w:t>
      </w:r>
      <w:r>
        <w:t xml:space="preserve">447. Riduzione del danno correlato alle sostanze</w:t>
      </w:r>
      <w:r>
        <w:t xml:space="preserve"> </w:t>
      </w:r>
      <w:r>
        <w:t xml:space="preserve">448. Riduzione degli accessi al pronto soccorso per intossicazione</w:t>
      </w:r>
      <w:r>
        <w:t xml:space="preserve"> </w:t>
      </w:r>
      <w:r>
        <w:t xml:space="preserve">449. Migliore aderenza ai percorsi per le dipendenze</w:t>
      </w:r>
      <w:r>
        <w:t xml:space="preserve"> </w:t>
      </w:r>
      <w:r>
        <w:t xml:space="preserve">450. Riduzione dell’uso di sostanze in comorbidità psichica</w:t>
      </w:r>
      <w:r>
        <w:t xml:space="preserve"> </w:t>
      </w:r>
      <w:r>
        <w:t xml:space="preserve">451. Riduzione dello stigma verso le dipendenze</w:t>
      </w:r>
      <w:r>
        <w:t xml:space="preserve"> </w:t>
      </w:r>
      <w:r>
        <w:t xml:space="preserve">452. Aumento della ritenzione nei programmi di trattamento</w:t>
      </w:r>
      <w:r>
        <w:t xml:space="preserve"> </w:t>
      </w:r>
      <w:r>
        <w:t xml:space="preserve">453. Riduzione del fumo in gravidanza</w:t>
      </w:r>
      <w:r>
        <w:t xml:space="preserve"> </w:t>
      </w:r>
      <w:r>
        <w:t xml:space="preserve">454. Riduzione dell’uso di alcol negli anziani</w:t>
      </w:r>
      <w:r>
        <w:t xml:space="preserve"> </w:t>
      </w:r>
      <w:r>
        <w:t xml:space="preserve">455. Prevenzione dell’escalation del consumo</w:t>
      </w:r>
      <w:r>
        <w:t xml:space="preserve"> </w:t>
      </w:r>
      <w:r>
        <w:t xml:space="preserve">456. Migliore identificazione del rischio di dipendenza</w:t>
      </w:r>
      <w:r>
        <w:t xml:space="preserve"> </w:t>
      </w:r>
      <w:r>
        <w:t xml:space="preserve">26. Comportamenti alimentari, peso e stili di vita</w:t>
      </w:r>
      <w:r>
        <w:t xml:space="preserve"> </w:t>
      </w:r>
      <w:r>
        <w:t xml:space="preserve">457. Intercettazione precoce dei disturbi alimentari</w:t>
      </w:r>
      <w:r>
        <w:t xml:space="preserve"> </w:t>
      </w:r>
      <w:r>
        <w:t xml:space="preserve">458. Riduzione dei comportamenti alimentari disfunzionali</w:t>
      </w:r>
      <w:r>
        <w:t xml:space="preserve"> </w:t>
      </w:r>
      <w:r>
        <w:t xml:space="preserve">459. Supporto nella gestione del peso</w:t>
      </w:r>
      <w:r>
        <w:t xml:space="preserve"> </w:t>
      </w:r>
      <w:r>
        <w:t xml:space="preserve">460. Riduzione dell’alimentazione emotiva</w:t>
      </w:r>
      <w:r>
        <w:t xml:space="preserve"> </w:t>
      </w:r>
      <w:r>
        <w:t xml:space="preserve">461. Promozione dell’attività fisica</w:t>
      </w:r>
      <w:r>
        <w:t xml:space="preserve"> </w:t>
      </w:r>
      <w:r>
        <w:t xml:space="preserve">462. Riduzione della sedentarietà</w:t>
      </w:r>
      <w:r>
        <w:t xml:space="preserve"> </w:t>
      </w:r>
      <w:r>
        <w:t xml:space="preserve">463. Miglioramento delle abitudini alimentari</w:t>
      </w:r>
      <w:r>
        <w:t xml:space="preserve"> </w:t>
      </w:r>
      <w:r>
        <w:t xml:space="preserve">464. Supporto all’aderenza dietetica nelle cronicità</w:t>
      </w:r>
      <w:r>
        <w:t xml:space="preserve"> </w:t>
      </w:r>
      <w:r>
        <w:t xml:space="preserve">465. Riduzione del distress per l’immagine corporea</w:t>
      </w:r>
      <w:r>
        <w:t xml:space="preserve"> </w:t>
      </w:r>
      <w:r>
        <w:t xml:space="preserve">466. Invio appropriato nei disturbi alimentari gravi</w:t>
      </w:r>
      <w:r>
        <w:t xml:space="preserve"> </w:t>
      </w:r>
      <w:r>
        <w:t xml:space="preserve">467. Riduzione dell’obesità di origine comportamentale</w:t>
      </w:r>
      <w:r>
        <w:t xml:space="preserve"> </w:t>
      </w:r>
      <w:r>
        <w:t xml:space="preserve">468. Miglioramento dell’autoregolazione</w:t>
      </w:r>
      <w:r>
        <w:t xml:space="preserve"> </w:t>
      </w:r>
      <w:r>
        <w:t xml:space="preserve">18Psicologo di Base · Metodologia apicale e registro unificato delle variabili</w:t>
      </w:r>
      <w:r>
        <w:t xml:space="preserve"> </w:t>
      </w:r>
      <w:r>
        <w:t xml:space="preserve">469. Riduzione dei comportamenti compensatori</w:t>
      </w:r>
      <w:r>
        <w:t xml:space="preserve"> </w:t>
      </w:r>
      <w:r>
        <w:t xml:space="preserve">470. Supporto nei percorsi di chirurgia bariatrica</w:t>
      </w:r>
      <w:r>
        <w:t xml:space="preserve"> </w:t>
      </w:r>
      <w:r>
        <w:t xml:space="preserve">471. Promozione di stili di vita salutari</w:t>
      </w:r>
      <w:r>
        <w:t xml:space="preserve"> </w:t>
      </w:r>
      <w:r>
        <w:t xml:space="preserve">472. Riduzione del rischio cardiometabolico comportamentale</w:t>
      </w:r>
      <w:r>
        <w:t xml:space="preserve"> </w:t>
      </w:r>
      <w:r>
        <w:t xml:space="preserve">473. Aumento della motivazione al cambiamento di stile di vita</w:t>
      </w:r>
      <w:r>
        <w:t xml:space="preserve"> </w:t>
      </w:r>
      <w:r>
        <w:t xml:space="preserve">474. Riduzione del fumo come fattore comportamentale</w:t>
      </w:r>
      <w:r>
        <w:t xml:space="preserve"> </w:t>
      </w:r>
      <w:r>
        <w:t xml:space="preserve">475. Supporto alla riduzione del consumo di alcol</w:t>
      </w:r>
      <w:r>
        <w:t xml:space="preserve"> </w:t>
      </w:r>
      <w:r>
        <w:t xml:space="preserve">476. Aumento dell’aderenza ai programmi di prevenzione</w:t>
      </w:r>
      <w:r>
        <w:t xml:space="preserve"> </w:t>
      </w:r>
      <w:r>
        <w:t xml:space="preserve">477. Miglioramento del sonno come fattore di stile di vita</w:t>
      </w:r>
      <w:r>
        <w:t xml:space="preserve"> </w:t>
      </w:r>
      <w:r>
        <w:t xml:space="preserve">478. Riduzione dello stress come fattore di rischio cronico</w:t>
      </w:r>
      <w:r>
        <w:t xml:space="preserve"> </w:t>
      </w:r>
      <w:r>
        <w:t xml:space="preserve">479. Supporto alla genitorialità nelle abitudini dei minori</w:t>
      </w:r>
      <w:r>
        <w:t xml:space="preserve"> </w:t>
      </w:r>
      <w:r>
        <w:t xml:space="preserve">480. Riduzione dei disturbi alimentari negli adolescenti</w:t>
      </w:r>
      <w:r>
        <w:t xml:space="preserve"> </w:t>
      </w:r>
      <w:r>
        <w:t xml:space="preserve">481. Miglioramento della dieta familiare</w:t>
      </w:r>
      <w:r>
        <w:t xml:space="preserve"> </w:t>
      </w:r>
      <w:r>
        <w:t xml:space="preserve">482. Promozione del benessere globale</w:t>
      </w:r>
      <w:r>
        <w:t xml:space="preserve"> </w:t>
      </w:r>
      <w:r>
        <w:t xml:space="preserve">27. Salute mentale perinatale e riproduttiva</w:t>
      </w:r>
      <w:r>
        <w:t xml:space="preserve"> </w:t>
      </w:r>
      <w:r>
        <w:t xml:space="preserve">483. Intercettazione della depressione in gravidanza</w:t>
      </w:r>
      <w:r>
        <w:t xml:space="preserve"> </w:t>
      </w:r>
      <w:r>
        <w:t xml:space="preserve">484. Riduzione della depressione post-partum</w:t>
      </w:r>
      <w:r>
        <w:t xml:space="preserve"> </w:t>
      </w:r>
      <w:r>
        <w:t xml:space="preserve">485. Riduzione dell’ansia perinatale</w:t>
      </w:r>
      <w:r>
        <w:t xml:space="preserve"> </w:t>
      </w:r>
      <w:r>
        <w:t xml:space="preserve">486. Supporto al legame madre-bambino</w:t>
      </w:r>
      <w:r>
        <w:t xml:space="preserve"> </w:t>
      </w:r>
      <w:r>
        <w:t xml:space="preserve">487. Intercettazione del rischio di psicosi puerperale</w:t>
      </w:r>
      <w:r>
        <w:t xml:space="preserve"> </w:t>
      </w:r>
      <w:r>
        <w:t xml:space="preserve">488. Supporto nella perdita perinatale e nel lutto</w:t>
      </w:r>
      <w:r>
        <w:t xml:space="preserve"> </w:t>
      </w:r>
      <w:r>
        <w:t xml:space="preserve">489. Riduzione del distress nell’infertilità e nella procreazione assistita</w:t>
      </w:r>
      <w:r>
        <w:t xml:space="preserve"> </w:t>
      </w:r>
      <w:r>
        <w:t xml:space="preserve">490. Supporto nelle gravidanze a rischio</w:t>
      </w:r>
      <w:r>
        <w:t xml:space="preserve"> </w:t>
      </w:r>
      <w:r>
        <w:t xml:space="preserve">491. Supporto alla genitorialità precoce</w:t>
      </w:r>
      <w:r>
        <w:t xml:space="preserve"> </w:t>
      </w:r>
      <w:r>
        <w:t xml:space="preserve">492. Riduzione dello stress genitoriale</w:t>
      </w:r>
      <w:r>
        <w:t xml:space="preserve"> </w:t>
      </w:r>
      <w:r>
        <w:t xml:space="preserve">493. Migliore aderenza ai controlli in gravidanza</w:t>
      </w:r>
      <w:r>
        <w:t xml:space="preserve"> </w:t>
      </w:r>
      <w:r>
        <w:t xml:space="preserve">494. Riduzione del fumo e dell’alcol in gravidanza</w:t>
      </w:r>
      <w:r>
        <w:t xml:space="preserve"> </w:t>
      </w:r>
      <w:r>
        <w:t xml:space="preserve">495. Supporto ai padri nel periodo perinatale</w:t>
      </w:r>
      <w:r>
        <w:t xml:space="preserve"> </w:t>
      </w:r>
      <w:r>
        <w:t xml:space="preserve">496. Riduzione dell’impatto della depressione materna sul bambino</w:t>
      </w:r>
      <w:r>
        <w:t xml:space="preserve"> </w:t>
      </w:r>
      <w:r>
        <w:t xml:space="preserve">497. Supporto psicologico alle difficoltà dell’allattamento</w:t>
      </w:r>
      <w:r>
        <w:t xml:space="preserve"> </w:t>
      </w:r>
      <w:r>
        <w:t xml:space="preserve">498. Supporto nelle interruzioni di gravidanza</w:t>
      </w:r>
      <w:r>
        <w:t xml:space="preserve"> </w:t>
      </w:r>
      <w:r>
        <w:t xml:space="preserve">499. Riduzione del distress nella menopausa</w:t>
      </w:r>
      <w:r>
        <w:t xml:space="preserve"> </w:t>
      </w:r>
      <w:r>
        <w:t xml:space="preserve">500. Supporto nelle disforie premestruali</w:t>
      </w:r>
      <w:r>
        <w:t xml:space="preserve"> </w:t>
      </w:r>
      <w:r>
        <w:t xml:space="preserve">501. Riduzione dell’ansia da parto</w:t>
      </w:r>
      <w:r>
        <w:t xml:space="preserve"> </w:t>
      </w:r>
      <w:r>
        <w:t xml:space="preserve">502. Supporto nelle gravidanze adolescenziali</w:t>
      </w:r>
      <w:r>
        <w:t xml:space="preserve"> </w:t>
      </w:r>
      <w:r>
        <w:t xml:space="preserve">503. Migliore salute mentale materna a un anno</w:t>
      </w:r>
      <w:r>
        <w:t xml:space="preserve"> </w:t>
      </w:r>
      <w:r>
        <w:t xml:space="preserve">504. Riduzione dei ricoveri psichiatrici perinatali</w:t>
      </w:r>
      <w:r>
        <w:t xml:space="preserve"> </w:t>
      </w:r>
      <w:r>
        <w:t xml:space="preserve">505. Supporto alle famiglie con neonati prematuri</w:t>
      </w:r>
      <w:r>
        <w:t xml:space="preserve"> </w:t>
      </w:r>
      <w:r>
        <w:t xml:space="preserve">506. Riduzione dell’isolamento delle neomamme</w:t>
      </w:r>
      <w:r>
        <w:t xml:space="preserve"> </w:t>
      </w:r>
      <w:r>
        <w:t xml:space="preserve">507. Aumento dell’accesso al supporto perinatale</w:t>
      </w:r>
      <w:r>
        <w:t xml:space="preserve"> </w:t>
      </w:r>
      <w:r>
        <w:t xml:space="preserve">508. Miglioramento degli esiti dello sviluppo infantile</w:t>
      </w:r>
      <w:r>
        <w:t xml:space="preserve"> </w:t>
      </w:r>
      <w:r>
        <w:t xml:space="preserve">28. Infanzia e adolescenza</w:t>
      </w:r>
      <w:r>
        <w:t xml:space="preserve"> </w:t>
      </w:r>
      <w:r>
        <w:t xml:space="preserve">509. Intercettazione precoce del disagio nei minori</w:t>
      </w:r>
      <w:r>
        <w:t xml:space="preserve"> </w:t>
      </w:r>
      <w:r>
        <w:t xml:space="preserve">510. Riduzione dei disturbi d’ansia in età evolutiva</w:t>
      </w:r>
      <w:r>
        <w:t xml:space="preserve"> </w:t>
      </w:r>
      <w:r>
        <w:t xml:space="preserve">511. Riduzione dei sintomi depressivi negli adolescenti</w:t>
      </w:r>
      <w:r>
        <w:t xml:space="preserve"> </w:t>
      </w:r>
      <w:r>
        <w:t xml:space="preserve">512. Supporto nei disturbi del comportamento</w:t>
      </w:r>
      <w:r>
        <w:t xml:space="preserve"> </w:t>
      </w:r>
      <w:r>
        <w:t xml:space="preserve">19Psicologo di Base · Metodologia apicale e registro unificato delle variabili</w:t>
      </w:r>
      <w:r>
        <w:t xml:space="preserve"> </w:t>
      </w:r>
      <w:r>
        <w:t xml:space="preserve">513. Intercettazione dei disturbi del neurosviluppo</w:t>
      </w:r>
      <w:r>
        <w:t xml:space="preserve"> </w:t>
      </w:r>
      <w:r>
        <w:t xml:space="preserve">514. Supporto nelle difficoltà scolastiche</w:t>
      </w:r>
      <w:r>
        <w:t xml:space="preserve"> </w:t>
      </w:r>
      <w:r>
        <w:t xml:space="preserve">515. Riduzione del ritiro sociale</w:t>
      </w:r>
      <w:r>
        <w:t xml:space="preserve"> </w:t>
      </w:r>
      <w:r>
        <w:t xml:space="preserve">516. Riduzione dell’autolesionismo</w:t>
      </w:r>
      <w:r>
        <w:t xml:space="preserve"> </w:t>
      </w:r>
      <w:r>
        <w:t xml:space="preserve">517. Riduzione del rischio suicidario negli adolescenti</w:t>
      </w:r>
      <w:r>
        <w:t xml:space="preserve"> </w:t>
      </w:r>
      <w:r>
        <w:t xml:space="preserve">518. Supporto nelle dipendenze comportamentali giovanili</w:t>
      </w:r>
      <w:r>
        <w:t xml:space="preserve"> </w:t>
      </w:r>
      <w:r>
        <w:t xml:space="preserve">519. Riduzione del cyberbullismo subito e agito</w:t>
      </w:r>
      <w:r>
        <w:t xml:space="preserve"> </w:t>
      </w:r>
      <w:r>
        <w:t xml:space="preserve">520. Supporto alla genitorialità nelle famiglie fragili</w:t>
      </w:r>
      <w:r>
        <w:t xml:space="preserve"> </w:t>
      </w:r>
      <w:r>
        <w:t xml:space="preserve">521. Intercettazione dei disturbi alimentari precoci</w:t>
      </w:r>
      <w:r>
        <w:t xml:space="preserve"> </w:t>
      </w:r>
      <w:r>
        <w:t xml:space="preserve">522. Riduzione dell’ansia da prestazione scolastica</w:t>
      </w:r>
      <w:r>
        <w:t xml:space="preserve"> </w:t>
      </w:r>
      <w:r>
        <w:t xml:space="preserve">523. Supporto nelle transizioni scolastiche</w:t>
      </w:r>
      <w:r>
        <w:t xml:space="preserve"> </w:t>
      </w:r>
      <w:r>
        <w:t xml:space="preserve">524. Riduzione dell’abbandono scolastico</w:t>
      </w:r>
      <w:r>
        <w:t xml:space="preserve"> </w:t>
      </w:r>
      <w:r>
        <w:t xml:space="preserve">525. Supporto ai minori in situazioni di trascuratezza</w:t>
      </w:r>
      <w:r>
        <w:t xml:space="preserve"> </w:t>
      </w:r>
      <w:r>
        <w:t xml:space="preserve">526. Intercettazione del maltrattamento e dell’abuso</w:t>
      </w:r>
      <w:r>
        <w:t xml:space="preserve"> </w:t>
      </w:r>
      <w:r>
        <w:t xml:space="preserve">527. Riduzione del distress da separazione dei genitori</w:t>
      </w:r>
      <w:r>
        <w:t xml:space="preserve"> </w:t>
      </w:r>
      <w:r>
        <w:t xml:space="preserve">528. Supporto nei disturbi del sonno infantili</w:t>
      </w:r>
      <w:r>
        <w:t xml:space="preserve"> </w:t>
      </w:r>
      <w:r>
        <w:t xml:space="preserve">529. Migliore regolazione emotiva nei minori</w:t>
      </w:r>
      <w:r>
        <w:t xml:space="preserve"> </w:t>
      </w:r>
      <w:r>
        <w:t xml:space="preserve">530. Riduzione dei comportamenti a rischio adolescenziali</w:t>
      </w:r>
      <w:r>
        <w:t xml:space="preserve"> </w:t>
      </w:r>
      <w:r>
        <w:t xml:space="preserve">531. Aumento delle competenze socio-emotive</w:t>
      </w:r>
      <w:r>
        <w:t xml:space="preserve"> </w:t>
      </w:r>
      <w:r>
        <w:t xml:space="preserve">532. Supporto nei contesti di disagio familiare</w:t>
      </w:r>
      <w:r>
        <w:t xml:space="preserve"> </w:t>
      </w:r>
      <w:r>
        <w:t xml:space="preserve">533. Migliore raccordo con la neuropsichiatria infantile</w:t>
      </w:r>
      <w:r>
        <w:t xml:space="preserve"> </w:t>
      </w:r>
      <w:r>
        <w:t xml:space="preserve">534. Riduzione dei ricoveri per crisi adolescenziali</w:t>
      </w:r>
      <w:r>
        <w:t xml:space="preserve"> </w:t>
      </w:r>
      <w:r>
        <w:t xml:space="preserve">535. Intercettazione del disagio nei consultori</w:t>
      </w:r>
      <w:r>
        <w:t xml:space="preserve"> </w:t>
      </w:r>
      <w:r>
        <w:t xml:space="preserve">536. Miglioramento del benessere scolastico</w:t>
      </w:r>
      <w:r>
        <w:t xml:space="preserve"> </w:t>
      </w:r>
      <w:r>
        <w:t xml:space="preserve">29. Età anziana e ambito neurocognitivo</w:t>
      </w:r>
      <w:r>
        <w:t xml:space="preserve"> </w:t>
      </w:r>
      <w:r>
        <w:t xml:space="preserve">537. Riduzione della depressione tardiva</w:t>
      </w:r>
      <w:r>
        <w:t xml:space="preserve"> </w:t>
      </w:r>
      <w:r>
        <w:t xml:space="preserve">538. Riduzione dell’ansia nell’anziano</w:t>
      </w:r>
      <w:r>
        <w:t xml:space="preserve"> </w:t>
      </w:r>
      <w:r>
        <w:t xml:space="preserve">539. Riduzione della solitudine negli anziani</w:t>
      </w:r>
      <w:r>
        <w:t xml:space="preserve"> </w:t>
      </w:r>
      <w:r>
        <w:t xml:space="preserve">540. Supporto nel decadimento cognitivo lieve</w:t>
      </w:r>
      <w:r>
        <w:t xml:space="preserve"> </w:t>
      </w:r>
      <w:r>
        <w:t xml:space="preserve">541. Riduzione del distress nei caregiver di persone con demenza</w:t>
      </w:r>
      <w:r>
        <w:t xml:space="preserve"> </w:t>
      </w:r>
      <w:r>
        <w:t xml:space="preserve">542. Supporto nel lutto in età anziana</w:t>
      </w:r>
      <w:r>
        <w:t xml:space="preserve"> </w:t>
      </w:r>
      <w:r>
        <w:t xml:space="preserve">543. Riduzione del rischio suicidario nell’anziano</w:t>
      </w:r>
      <w:r>
        <w:t xml:space="preserve"> </w:t>
      </w:r>
      <w:r>
        <w:t xml:space="preserve">544. Migliore gestione della multimorbilità</w:t>
      </w:r>
      <w:r>
        <w:t xml:space="preserve"> </w:t>
      </w:r>
      <w:r>
        <w:t xml:space="preserve">545. Riduzione del delirium evitabile</w:t>
      </w:r>
      <w:r>
        <w:t xml:space="preserve"> </w:t>
      </w:r>
      <w:r>
        <w:t xml:space="preserve">546. Supporto nella perdita di autonomia</w:t>
      </w:r>
      <w:r>
        <w:t xml:space="preserve"> </w:t>
      </w:r>
      <w:r>
        <w:t xml:space="preserve">547. Riduzione dell’isolamento dei grandi anziani</w:t>
      </w:r>
      <w:r>
        <w:t xml:space="preserve"> </w:t>
      </w:r>
      <w:r>
        <w:t xml:space="preserve">548. Migliore aderenza terapeutica negli anziani</w:t>
      </w:r>
      <w:r>
        <w:t xml:space="preserve"> </w:t>
      </w:r>
      <w:r>
        <w:t xml:space="preserve">549. Riduzione dei ricoveri impropri degli anziani</w:t>
      </w:r>
      <w:r>
        <w:t xml:space="preserve"> </w:t>
      </w:r>
      <w:r>
        <w:t xml:space="preserve">550. Supporto nelle transizioni verso le residenze assistite</w:t>
      </w:r>
      <w:r>
        <w:t xml:space="preserve"> </w:t>
      </w:r>
      <w:r>
        <w:t xml:space="preserve">551. Riduzione dell’impatto psicologico delle cadute</w:t>
      </w:r>
      <w:r>
        <w:t xml:space="preserve"> </w:t>
      </w:r>
      <w:r>
        <w:t xml:space="preserve">552. Migliore qualità di vita nelle cronicità senili</w:t>
      </w:r>
      <w:r>
        <w:t xml:space="preserve"> </w:t>
      </w:r>
      <w:r>
        <w:t xml:space="preserve">553. Supporto nella gestione del dolore cronico anziano</w:t>
      </w:r>
      <w:r>
        <w:t xml:space="preserve"> </w:t>
      </w:r>
      <w:r>
        <w:t xml:space="preserve">554. Riduzione dell’uso di psicofarmaci negli anziani</w:t>
      </w:r>
      <w:r>
        <w:t xml:space="preserve"> </w:t>
      </w:r>
      <w:r>
        <w:t xml:space="preserve">555. Supporto alla rete familiare degli anziani</w:t>
      </w:r>
      <w:r>
        <w:t xml:space="preserve"> </w:t>
      </w:r>
      <w:r>
        <w:t xml:space="preserve">556. Intercettazione della depressione mascherata</w:t>
      </w:r>
      <w:r>
        <w:t xml:space="preserve"> </w:t>
      </w:r>
      <w:r>
        <w:t xml:space="preserve">557. Riduzione dell’ospedalizzazione da cause psicosociali</w:t>
      </w:r>
      <w:r>
        <w:t xml:space="preserve"> </w:t>
      </w:r>
      <w:r>
        <w:t xml:space="preserve">558. Supporto nell’invecchiamento attivo</w:t>
      </w:r>
      <w:r>
        <w:t xml:space="preserve"> </w:t>
      </w:r>
      <w:r>
        <w:t xml:space="preserve">20Psicologo di Base · Metodologia apicale e registro unificato delle variabili</w:t>
      </w:r>
      <w:r>
        <w:t xml:space="preserve"> </w:t>
      </w:r>
      <w:r>
        <w:t xml:space="preserve">559. Riduzione del distress da pensionamento</w:t>
      </w:r>
      <w:r>
        <w:t xml:space="preserve"> </w:t>
      </w:r>
      <w:r>
        <w:t xml:space="preserve">560. Miglioramento del funzionamento quotidiano</w:t>
      </w:r>
      <w:r>
        <w:t xml:space="preserve"> </w:t>
      </w:r>
      <w:r>
        <w:t xml:space="preserve">561. Supporto nei percorsi di non autosufficienza</w:t>
      </w:r>
      <w:r>
        <w:t xml:space="preserve"> </w:t>
      </w:r>
      <w:r>
        <w:t xml:space="preserve">562. Riduzione del carico sui servizi per anziani</w:t>
      </w:r>
      <w:r>
        <w:t xml:space="preserve"> </w:t>
      </w:r>
      <w:r>
        <w:t xml:space="preserve">30. Canali di utilizzo e percorsi assistenziali</w:t>
      </w:r>
      <w:r>
        <w:t xml:space="preserve"> </w:t>
      </w:r>
      <w:r>
        <w:t xml:space="preserve">563. Riduzione degli accessi al pronto soccorso a bassa priorità</w:t>
      </w:r>
      <w:r>
        <w:t xml:space="preserve"> </w:t>
      </w:r>
      <w:r>
        <w:t xml:space="preserve">564. Riduzione dei codici bianchi e verdi impropri</w:t>
      </w:r>
      <w:r>
        <w:t xml:space="preserve"> </w:t>
      </w:r>
      <w:r>
        <w:t xml:space="preserve">565. Riduzione delle visite cardiologiche per ansia</w:t>
      </w:r>
      <w:r>
        <w:t xml:space="preserve"> </w:t>
      </w:r>
      <w:r>
        <w:t xml:space="preserve">566. Riduzione delle visite gastroenterologiche per sintomi funzionali</w:t>
      </w:r>
      <w:r>
        <w:t xml:space="preserve"> </w:t>
      </w:r>
      <w:r>
        <w:t xml:space="preserve">567. Riduzione delle visite neurologiche per cefalea tensiva</w:t>
      </w:r>
      <w:r>
        <w:t xml:space="preserve"> </w:t>
      </w:r>
      <w:r>
        <w:t xml:space="preserve">568. Riduzione degli accessi ripetuti allo stesso servizio</w:t>
      </w:r>
      <w:r>
        <w:t xml:space="preserve"> </w:t>
      </w:r>
      <w:r>
        <w:t xml:space="preserve">569. Riduzione delle prestazioni di pronto soccorso ripetute</w:t>
      </w:r>
      <w:r>
        <w:t xml:space="preserve"> </w:t>
      </w:r>
      <w:r>
        <w:t xml:space="preserve">570. Riduzione dei ricoveri in medicina interna per cause psicosociali</w:t>
      </w:r>
      <w:r>
        <w:t xml:space="preserve"> </w:t>
      </w:r>
      <w:r>
        <w:t xml:space="preserve">571. Riduzione dei ricoveri psichiatrici evitabili</w:t>
      </w:r>
      <w:r>
        <w:t xml:space="preserve"> </w:t>
      </w:r>
      <w:r>
        <w:t xml:space="preserve">572. Riduzione dei trattamenti sanitari obbligatori</w:t>
      </w:r>
      <w:r>
        <w:t xml:space="preserve"> </w:t>
      </w:r>
      <w:r>
        <w:t xml:space="preserve">573. Riduzione delle consulenze psichiatriche urgenti</w:t>
      </w:r>
      <w:r>
        <w:t xml:space="preserve"> </w:t>
      </w:r>
      <w:r>
        <w:t xml:space="preserve">574. Riduzione degli invii al centro di salute mentale per quadri lievi</w:t>
      </w:r>
      <w:r>
        <w:t xml:space="preserve"> </w:t>
      </w:r>
      <w:r>
        <w:t xml:space="preserve">575. Riduzione delle richieste di esami strumentali</w:t>
      </w:r>
      <w:r>
        <w:t xml:space="preserve"> </w:t>
      </w:r>
      <w:r>
        <w:t xml:space="preserve">576. Riduzione degli esami ematochimici ripetuti</w:t>
      </w:r>
      <w:r>
        <w:t xml:space="preserve"> </w:t>
      </w:r>
      <w:r>
        <w:t xml:space="preserve">577. Riduzione delle visite specialistiche multiple</w:t>
      </w:r>
      <w:r>
        <w:t xml:space="preserve"> </w:t>
      </w:r>
      <w:r>
        <w:t xml:space="preserve">578. Spostamento dei quadri lievi alle cure primarie</w:t>
      </w:r>
      <w:r>
        <w:t xml:space="preserve"> </w:t>
      </w:r>
      <w:r>
        <w:t xml:space="preserve">579. Riduzione dei tempi di attesa nei centri di salute mentale</w:t>
      </w:r>
      <w:r>
        <w:t xml:space="preserve"> </w:t>
      </w:r>
      <w:r>
        <w:t xml:space="preserve">580. Riduzione del ricorso ai consultori per disagio comune</w:t>
      </w:r>
      <w:r>
        <w:t xml:space="preserve"> </w:t>
      </w:r>
      <w:r>
        <w:t xml:space="preserve">581. Riduzione del ricorso alla guardia medica</w:t>
      </w:r>
      <w:r>
        <w:t xml:space="preserve"> </w:t>
      </w:r>
      <w:r>
        <w:t xml:space="preserve">582. Riduzione delle chiamate al numero unico di emergenza</w:t>
      </w:r>
      <w:r>
        <w:t xml:space="preserve"> </w:t>
      </w:r>
      <w:r>
        <w:t xml:space="preserve">583. Migliore appropriatezza del primo accesso</w:t>
      </w:r>
      <w:r>
        <w:t xml:space="preserve"> </w:t>
      </w:r>
      <w:r>
        <w:t xml:space="preserve">584. Riduzione delle prestazioni ambulatoriali inappropriate</w:t>
      </w:r>
      <w:r>
        <w:t xml:space="preserve"> </w:t>
      </w:r>
      <w:r>
        <w:t xml:space="preserve">585. Riduzione dei day hospital impropri</w:t>
      </w:r>
      <w:r>
        <w:t xml:space="preserve"> </w:t>
      </w:r>
      <w:r>
        <w:t xml:space="preserve">586. Riduzione delle prestazioni in libera professione per disagio</w:t>
      </w:r>
      <w:r>
        <w:t xml:space="preserve"> </w:t>
      </w:r>
      <w:r>
        <w:t xml:space="preserve">587. Migliore presa in carico tramite la Centrale Operativa Territoriale</w:t>
      </w:r>
      <w:r>
        <w:t xml:space="preserve"> </w:t>
      </w:r>
      <w:r>
        <w:t xml:space="preserve">588. Riduzione del pellegrinaggio tra servizi diversi</w:t>
      </w:r>
      <w:r>
        <w:t xml:space="preserve"> </w:t>
      </w:r>
      <w:r>
        <w:t xml:space="preserve">31. Forza lavoro: reclutamento, formazione e carriera</w:t>
      </w:r>
      <w:r>
        <w:t xml:space="preserve"> </w:t>
      </w:r>
      <w:r>
        <w:t xml:space="preserve">589. Numero di psicologi reclutati</w:t>
      </w:r>
      <w:r>
        <w:t xml:space="preserve"> </w:t>
      </w:r>
      <w:r>
        <w:t xml:space="preserve">590. Copertura del fabbisogno di psicologi</w:t>
      </w:r>
      <w:r>
        <w:t xml:space="preserve"> </w:t>
      </w:r>
      <w:r>
        <w:t xml:space="preserve">591. Tasso di completamento della formazione di base</w:t>
      </w:r>
      <w:r>
        <w:t xml:space="preserve"> </w:t>
      </w:r>
      <w:r>
        <w:t xml:space="preserve">592. Qualità della formazione universitaria dedicata</w:t>
      </w:r>
      <w:r>
        <w:t xml:space="preserve"> </w:t>
      </w:r>
      <w:r>
        <w:t xml:space="preserve">593. Efficacia della formazione post-universitaria</w:t>
      </w:r>
      <w:r>
        <w:t xml:space="preserve"> </w:t>
      </w:r>
      <w:r>
        <w:t xml:space="preserve">594. Efficacia della formazione continua sul lavoro</w:t>
      </w:r>
      <w:r>
        <w:t xml:space="preserve"> </w:t>
      </w:r>
      <w:r>
        <w:t xml:space="preserve">595. Efficacia dell’affiancamento operativo</w:t>
      </w:r>
      <w:r>
        <w:t xml:space="preserve"> </w:t>
      </w:r>
      <w:r>
        <w:t xml:space="preserve">596. Competenze acquisite sull’uso dell’IA</w:t>
      </w:r>
      <w:r>
        <w:t xml:space="preserve"> </w:t>
      </w:r>
      <w:r>
        <w:t xml:space="preserve">597. Disponibilità di supervisori clinici</w:t>
      </w:r>
      <w:r>
        <w:t xml:space="preserve"> </w:t>
      </w:r>
      <w:r>
        <w:t xml:space="preserve">598. Frequenza e qualità della supervisione</w:t>
      </w:r>
      <w:r>
        <w:t xml:space="preserve"> </w:t>
      </w:r>
      <w:r>
        <w:t xml:space="preserve">599. Tasso di ritenzione degli psicologi</w:t>
      </w:r>
      <w:r>
        <w:t xml:space="preserve"> </w:t>
      </w:r>
      <w:r>
        <w:t xml:space="preserve">600. Soddisfazione professionale degli psicologi</w:t>
      </w:r>
      <w:r>
        <w:t xml:space="preserve"> </w:t>
      </w:r>
      <w:r>
        <w:t xml:space="preserve">601. Carico di lavoro per psicologo</w:t>
      </w:r>
      <w:r>
        <w:t xml:space="preserve"> </w:t>
      </w:r>
      <w:r>
        <w:t xml:space="preserve">602. Tempo dedicato alla formazione continua</w:t>
      </w:r>
      <w:r>
        <w:t xml:space="preserve"> </w:t>
      </w:r>
      <w:r>
        <w:t xml:space="preserve">21Psicologo di Base · Metodologia apicale e registro unificato delle variabili</w:t>
      </w:r>
      <w:r>
        <w:t xml:space="preserve"> </w:t>
      </w:r>
      <w:r>
        <w:t xml:space="preserve">603. Mobilità e turnover del personale</w:t>
      </w:r>
      <w:r>
        <w:t xml:space="preserve"> </w:t>
      </w:r>
      <w:r>
        <w:t xml:space="preserve">604. Attrattività del ruolo di psicologo di base</w:t>
      </w:r>
      <w:r>
        <w:t xml:space="preserve"> </w:t>
      </w:r>
      <w:r>
        <w:t xml:space="preserve">605. Sviluppo di carriera e prospettive</w:t>
      </w:r>
      <w:r>
        <w:t xml:space="preserve"> </w:t>
      </w:r>
      <w:r>
        <w:t xml:space="preserve">606. Adeguatezza del modello di convenzione</w:t>
      </w:r>
      <w:r>
        <w:t xml:space="preserve"> </w:t>
      </w:r>
      <w:r>
        <w:t xml:space="preserve">607. Competenze interprofessionali del personale</w:t>
      </w:r>
      <w:r>
        <w:t xml:space="preserve"> </w:t>
      </w:r>
      <w:r>
        <w:t xml:space="preserve">608. Formazione dei medici sul riconoscimento del disagio</w:t>
      </w:r>
      <w:r>
        <w:t xml:space="preserve"> </w:t>
      </w:r>
      <w:r>
        <w:t xml:space="preserve">609. Numero di medici di base formati</w:t>
      </w:r>
      <w:r>
        <w:t xml:space="preserve"> </w:t>
      </w:r>
      <w:r>
        <w:t xml:space="preserve">610. Qualità del coordinamento delle ASST</w:t>
      </w:r>
      <w:r>
        <w:t xml:space="preserve"> </w:t>
      </w:r>
      <w:r>
        <w:t xml:space="preserve">611. Disponibilità di tutor e formatori</w:t>
      </w:r>
      <w:r>
        <w:t xml:space="preserve"> </w:t>
      </w:r>
      <w:r>
        <w:t xml:space="preserve">612. Aggiornamento periodico delle competenze</w:t>
      </w:r>
      <w:r>
        <w:t xml:space="preserve"> </w:t>
      </w:r>
      <w:r>
        <w:t xml:space="preserve">613. Riconoscimento professionale della funzione</w:t>
      </w:r>
      <w:r>
        <w:t xml:space="preserve"> </w:t>
      </w:r>
      <w:r>
        <w:t xml:space="preserve">32. Dati, misurazione e sistemi informativi</w:t>
      </w:r>
      <w:r>
        <w:t xml:space="preserve"> </w:t>
      </w:r>
      <w:r>
        <w:t xml:space="preserve">614. Completezza dei dati di monitoraggio</w:t>
      </w:r>
      <w:r>
        <w:t xml:space="preserve"> </w:t>
      </w:r>
      <w:r>
        <w:t xml:space="preserve">615. Qualità e accuratezza dei dati raccolti</w:t>
      </w:r>
      <w:r>
        <w:t xml:space="preserve"> </w:t>
      </w:r>
      <w:r>
        <w:t xml:space="preserve">616. Interoperabilità dei sistemi informativi</w:t>
      </w:r>
      <w:r>
        <w:t xml:space="preserve"> </w:t>
      </w:r>
      <w:r>
        <w:t xml:space="preserve">617. Uso del fascicolo sanitario elettronico</w:t>
      </w:r>
      <w:r>
        <w:t xml:space="preserve"> </w:t>
      </w:r>
      <w:r>
        <w:t xml:space="preserve">618. Copertura delle misure di esito</w:t>
      </w:r>
      <w:r>
        <w:t xml:space="preserve"> </w:t>
      </w:r>
      <w:r>
        <w:t xml:space="preserve">619. Tempestività della rilevazione dei dati</w:t>
      </w:r>
      <w:r>
        <w:t xml:space="preserve"> </w:t>
      </w:r>
      <w:r>
        <w:t xml:space="preserve">620. Tracciabilità dei percorsi assistenziali</w:t>
      </w:r>
      <w:r>
        <w:t xml:space="preserve"> </w:t>
      </w:r>
      <w:r>
        <w:t xml:space="preserve">621. Disponibilità di indicatori di processo</w:t>
      </w:r>
      <w:r>
        <w:t xml:space="preserve"> </w:t>
      </w:r>
      <w:r>
        <w:t xml:space="preserve">622. Disponibilità di indicatori di esito</w:t>
      </w:r>
      <w:r>
        <w:t xml:space="preserve"> </w:t>
      </w:r>
      <w:r>
        <w:t xml:space="preserve">623. Disponibilità di indicatori di impatto</w:t>
      </w:r>
      <w:r>
        <w:t xml:space="preserve"> </w:t>
      </w:r>
      <w:r>
        <w:t xml:space="preserve">624. Qualità dei flussi delle aziende sanitarie</w:t>
      </w:r>
      <w:r>
        <w:t xml:space="preserve"> </w:t>
      </w:r>
      <w:r>
        <w:t xml:space="preserve">625. Collegamento con le schede di dimissione ospedaliera</w:t>
      </w:r>
      <w:r>
        <w:t xml:space="preserve"> </w:t>
      </w:r>
      <w:r>
        <w:t xml:space="preserve">626. Collegamento con i dati farmaceutici regionali</w:t>
      </w:r>
      <w:r>
        <w:t xml:space="preserve"> </w:t>
      </w:r>
      <w:r>
        <w:t xml:space="preserve">627. Capacità di valutazione controfattuale</w:t>
      </w:r>
      <w:r>
        <w:t xml:space="preserve"> </w:t>
      </w:r>
      <w:r>
        <w:t xml:space="preserve">628. Disponibilità di un cruscotto di monitoraggio</w:t>
      </w:r>
      <w:r>
        <w:t xml:space="preserve"> </w:t>
      </w:r>
      <w:r>
        <w:t xml:space="preserve">629. Protezione e sicurezza dei dati</w:t>
      </w:r>
      <w:r>
        <w:t xml:space="preserve"> </w:t>
      </w:r>
      <w:r>
        <w:t xml:space="preserve">630. Standardizzazione delle definizioni</w:t>
      </w:r>
      <w:r>
        <w:t xml:space="preserve"> </w:t>
      </w:r>
      <w:r>
        <w:t xml:space="preserve">631. Confrontabilità tra Regioni</w:t>
      </w:r>
      <w:r>
        <w:t xml:space="preserve"> </w:t>
      </w:r>
      <w:r>
        <w:t xml:space="preserve">632. Capacità di reportistica periodica</w:t>
      </w:r>
      <w:r>
        <w:t xml:space="preserve"> </w:t>
      </w:r>
      <w:r>
        <w:t xml:space="preserve">633. Funzionamento dell’Osservatorio</w:t>
      </w:r>
      <w:r>
        <w:t xml:space="preserve"> </w:t>
      </w:r>
      <w:r>
        <w:t xml:space="preserve">634. Trasparenza e accessibilità dei dati</w:t>
      </w:r>
      <w:r>
        <w:t xml:space="preserve"> </w:t>
      </w:r>
      <w:r>
        <w:t xml:space="preserve">635. Qualità della codifica diagnostica</w:t>
      </w:r>
      <w:r>
        <w:t xml:space="preserve"> </w:t>
      </w:r>
      <w:r>
        <w:t xml:space="preserve">636. Capacità di rilevare gli esiti a distanza</w:t>
      </w:r>
      <w:r>
        <w:t xml:space="preserve"> </w:t>
      </w:r>
      <w:r>
        <w:t xml:space="preserve">637. Integrazione dei dati sociali e sanitari</w:t>
      </w:r>
      <w:r>
        <w:t xml:space="preserve"> </w:t>
      </w:r>
      <w:r>
        <w:t xml:space="preserve">638. Affidabilità delle stime prodotte</w:t>
      </w:r>
      <w:r>
        <w:t xml:space="preserve"> </w:t>
      </w:r>
      <w:r>
        <w:t xml:space="preserve">33. Finanziamento, remunerazione e meccanismi di bilancio</w:t>
      </w:r>
      <w:r>
        <w:t xml:space="preserve"> </w:t>
      </w:r>
      <w:r>
        <w:t xml:space="preserve">639. Sostenibilità del finanziamento corrente</w:t>
      </w:r>
      <w:r>
        <w:t xml:space="preserve"> </w:t>
      </w:r>
      <w:r>
        <w:t xml:space="preserve">640. Adeguatezza della remunerazione degli psicologi</w:t>
      </w:r>
      <w:r>
        <w:t xml:space="preserve"> </w:t>
      </w:r>
      <w:r>
        <w:t xml:space="preserve">641. Coerenza con il finanziamento dei LEA</w:t>
      </w:r>
      <w:r>
        <w:t xml:space="preserve"> </w:t>
      </w:r>
      <w:r>
        <w:t xml:space="preserve">642. Integrazione nel fabbisogno sanitario standard</w:t>
      </w:r>
      <w:r>
        <w:t xml:space="preserve"> </w:t>
      </w:r>
      <w:r>
        <w:t xml:space="preserve">643. Profilo pluriennale della spesa</w:t>
      </w:r>
      <w:r>
        <w:t xml:space="preserve"> </w:t>
      </w:r>
      <w:r>
        <w:t xml:space="preserve">644. Profilo pluriennale dei risparmi</w:t>
      </w:r>
      <w:r>
        <w:t xml:space="preserve"> </w:t>
      </w:r>
      <w:r>
        <w:t xml:space="preserve">645. Capienza dei risparmi rispetto agli oneri</w:t>
      </w:r>
      <w:r>
        <w:t xml:space="preserve"> </w:t>
      </w:r>
      <w:r>
        <w:t xml:space="preserve">646. Costo di avvio una tantum</w:t>
      </w:r>
      <w:r>
        <w:t xml:space="preserve"> </w:t>
      </w:r>
      <w:r>
        <w:t xml:space="preserve">22Psicologo di Base · Metodologia apicale e registro unificato delle variabili</w:t>
      </w:r>
      <w:r>
        <w:t xml:space="preserve"> </w:t>
      </w:r>
      <w:r>
        <w:t xml:space="preserve">647. Rischio di sotto-finanziamento</w:t>
      </w:r>
      <w:r>
        <w:t xml:space="preserve"> </w:t>
      </w:r>
      <w:r>
        <w:t xml:space="preserve">648. Equità del riparto tra territori</w:t>
      </w:r>
      <w:r>
        <w:t xml:space="preserve"> </w:t>
      </w:r>
      <w:r>
        <w:t xml:space="preserve">649. Trasparenza dell’allocazione delle risorse</w:t>
      </w:r>
      <w:r>
        <w:t xml:space="preserve"> </w:t>
      </w:r>
      <w:r>
        <w:t xml:space="preserve">650. Riallocazione dei risparmi generati</w:t>
      </w:r>
      <w:r>
        <w:t xml:space="preserve"> </w:t>
      </w:r>
      <w:r>
        <w:t xml:space="preserve">651. Impatto sulla spesa farmaceutica regionale</w:t>
      </w:r>
      <w:r>
        <w:t xml:space="preserve"> </w:t>
      </w:r>
      <w:r>
        <w:t xml:space="preserve">652. Impatto sulla spesa per ricoveri</w:t>
      </w:r>
      <w:r>
        <w:t xml:space="preserve"> </w:t>
      </w:r>
      <w:r>
        <w:t xml:space="preserve">653. Impatto sulla spesa per pronto soccorso</w:t>
      </w:r>
      <w:r>
        <w:t xml:space="preserve"> </w:t>
      </w:r>
      <w:r>
        <w:t xml:space="preserve">654. Impatto sulla spesa specialistica</w:t>
      </w:r>
      <w:r>
        <w:t xml:space="preserve"> </w:t>
      </w:r>
      <w:r>
        <w:t xml:space="preserve">655. Sostenibilità del modello di convenzione</w:t>
      </w:r>
      <w:r>
        <w:t xml:space="preserve"> </w:t>
      </w:r>
      <w:r>
        <w:t xml:space="preserve">656. Costo opportunità delle risorse impiegate</w:t>
      </w:r>
      <w:r>
        <w:t xml:space="preserve"> </w:t>
      </w:r>
      <w:r>
        <w:t xml:space="preserve">657. Effetti di bilancio per la Regione</w:t>
      </w:r>
      <w:r>
        <w:t xml:space="preserve"> </w:t>
      </w:r>
      <w:r>
        <w:t xml:space="preserve">658. Effetti di bilancio per lo Stato</w:t>
      </w:r>
      <w:r>
        <w:t xml:space="preserve"> </w:t>
      </w:r>
      <w:r>
        <w:t xml:space="preserve">659. Rischio di spostamento di costi tra capitoli</w:t>
      </w:r>
      <w:r>
        <w:t xml:space="preserve"> </w:t>
      </w:r>
      <w:r>
        <w:t xml:space="preserve">660. Stabilità pluriennale degli stanziamenti</w:t>
      </w:r>
      <w:r>
        <w:t xml:space="preserve"> </w:t>
      </w:r>
      <w:r>
        <w:t xml:space="preserve">661. Coerenza con i vincoli di finanza pubblica</w:t>
      </w:r>
      <w:r>
        <w:t xml:space="preserve"> </w:t>
      </w:r>
      <w:r>
        <w:t xml:space="preserve">662. Capacità di assorbire la domanda con le risorse</w:t>
      </w:r>
      <w:r>
        <w:t xml:space="preserve"> </w:t>
      </w:r>
      <w:r>
        <w:t xml:space="preserve">663. Efficienza allocativa complessiva</w:t>
      </w:r>
      <w:r>
        <w:t xml:space="preserve"> </w:t>
      </w:r>
      <w:r>
        <w:t xml:space="preserve">34. Effetti intersettoriali — lavoro e occupazione</w:t>
      </w:r>
      <w:r>
        <w:t xml:space="preserve"> </w:t>
      </w:r>
      <w:r>
        <w:t xml:space="preserve">664. Riduzione delle giornate di malattia</w:t>
      </w:r>
      <w:r>
        <w:t xml:space="preserve"> </w:t>
      </w:r>
      <w:r>
        <w:t xml:space="preserve">665. Riduzione dell’assenteismo aziendale</w:t>
      </w:r>
      <w:r>
        <w:t xml:space="preserve"> </w:t>
      </w:r>
      <w:r>
        <w:t xml:space="preserve">666. Riduzione del presenteismo</w:t>
      </w:r>
      <w:r>
        <w:t xml:space="preserve"> </w:t>
      </w:r>
      <w:r>
        <w:t xml:space="preserve">667. Aumento del tasso di occupazione</w:t>
      </w:r>
      <w:r>
        <w:t xml:space="preserve"> </w:t>
      </w:r>
      <w:r>
        <w:t xml:space="preserve">668. Riduzione dell’inabilità al lavoro</w:t>
      </w:r>
      <w:r>
        <w:t xml:space="preserve"> </w:t>
      </w:r>
      <w:r>
        <w:t xml:space="preserve">669. Riduzione delle domande di invalidità</w:t>
      </w:r>
      <w:r>
        <w:t xml:space="preserve"> </w:t>
      </w:r>
      <w:r>
        <w:t xml:space="preserve">670. Riduzione del prepensionamento per cause psichiche</w:t>
      </w:r>
      <w:r>
        <w:t xml:space="preserve"> </w:t>
      </w:r>
      <w:r>
        <w:t xml:space="preserve">671. Aumento del ritorno al lavoro dopo malattia</w:t>
      </w:r>
      <w:r>
        <w:t xml:space="preserve"> </w:t>
      </w:r>
      <w:r>
        <w:t xml:space="preserve">672. Riduzione degli infortuni correlati allo stress</w:t>
      </w:r>
      <w:r>
        <w:t xml:space="preserve"> </w:t>
      </w:r>
      <w:r>
        <w:t xml:space="preserve">673. Migliore produttività del lavoro</w:t>
      </w:r>
      <w:r>
        <w:t xml:space="preserve"> </w:t>
      </w:r>
      <w:r>
        <w:t xml:space="preserve">674. Riduzione del burnout occupazionale</w:t>
      </w:r>
      <w:r>
        <w:t xml:space="preserve"> </w:t>
      </w:r>
      <w:r>
        <w:t xml:space="preserve">675. Riduzione del turnover aziendale</w:t>
      </w:r>
      <w:r>
        <w:t xml:space="preserve"> </w:t>
      </w:r>
      <w:r>
        <w:t xml:space="preserve">676. Supporto nelle crisi occupazionali</w:t>
      </w:r>
      <w:r>
        <w:t xml:space="preserve"> </w:t>
      </w:r>
      <w:r>
        <w:t xml:space="preserve">677. Migliore conciliazione vita-lavoro</w:t>
      </w:r>
      <w:r>
        <w:t xml:space="preserve"> </w:t>
      </w:r>
      <w:r>
        <w:t xml:space="preserve">678. Riduzione dei costi previdenziali</w:t>
      </w:r>
      <w:r>
        <w:t xml:space="preserve"> </w:t>
      </w:r>
      <w:r>
        <w:t xml:space="preserve">679. Riduzione dei costi a carico dell’assicurazione infortuni</w:t>
      </w:r>
      <w:r>
        <w:t xml:space="preserve"> </w:t>
      </w:r>
      <w:r>
        <w:t xml:space="preserve">680. Aumento della partecipazione femminile al lavoro</w:t>
      </w:r>
      <w:r>
        <w:t xml:space="preserve"> </w:t>
      </w:r>
      <w:r>
        <w:t xml:space="preserve">681. Riduzione dello stress lavoro-correlato</w:t>
      </w:r>
      <w:r>
        <w:t xml:space="preserve"> </w:t>
      </w:r>
      <w:r>
        <w:t xml:space="preserve">682. Migliore reinserimento lavorativo dei pazienti</w:t>
      </w:r>
      <w:r>
        <w:t xml:space="preserve"> </w:t>
      </w:r>
      <w:r>
        <w:t xml:space="preserve">683. Riduzione dell’impatto economico sulle imprese</w:t>
      </w:r>
      <w:r>
        <w:t xml:space="preserve"> </w:t>
      </w:r>
      <w:r>
        <w:t xml:space="preserve">684. Aumento del capitale umano disponibile</w:t>
      </w:r>
      <w:r>
        <w:t xml:space="preserve"> </w:t>
      </w:r>
      <w:r>
        <w:t xml:space="preserve">685. Riduzione della disoccupazione legata al disagio</w:t>
      </w:r>
      <w:r>
        <w:t xml:space="preserve"> </w:t>
      </w:r>
      <w:r>
        <w:t xml:space="preserve">686. Migliore funzionamento nei contesti lavorativi</w:t>
      </w:r>
      <w:r>
        <w:t xml:space="preserve"> </w:t>
      </w:r>
      <w:r>
        <w:t xml:space="preserve">687. Sostegno ai lavoratori fragili</w:t>
      </w:r>
      <w:r>
        <w:t xml:space="preserve"> </w:t>
      </w:r>
      <w:r>
        <w:t xml:space="preserve">35. Effetti intersettoriali — istruzione e scuola</w:t>
      </w:r>
      <w:r>
        <w:t xml:space="preserve"> </w:t>
      </w:r>
      <w:r>
        <w:t xml:space="preserve">688. Riduzione dell’abbandono scolastico</w:t>
      </w:r>
      <w:r>
        <w:t xml:space="preserve"> </w:t>
      </w:r>
      <w:r>
        <w:t xml:space="preserve">689. Miglioramento del rendimento scolastico</w:t>
      </w:r>
      <w:r>
        <w:t xml:space="preserve"> </w:t>
      </w:r>
      <w:r>
        <w:t xml:space="preserve">690. Riduzione dell’assenteismo scolastico</w:t>
      </w:r>
      <w:r>
        <w:t xml:space="preserve"> </w:t>
      </w:r>
      <w:r>
        <w:t xml:space="preserve">23Psicologo di Base · Metodologia apicale e registro unificato delle variabili</w:t>
      </w:r>
      <w:r>
        <w:t xml:space="preserve"> </w:t>
      </w:r>
      <w:r>
        <w:t xml:space="preserve">691. Riduzione del ritiro sociale degli studenti</w:t>
      </w:r>
      <w:r>
        <w:t xml:space="preserve"> </w:t>
      </w:r>
      <w:r>
        <w:t xml:space="preserve">692. Migliore benessere a scuola</w:t>
      </w:r>
      <w:r>
        <w:t xml:space="preserve"> </w:t>
      </w:r>
      <w:r>
        <w:t xml:space="preserve">693. Riduzione del bullismo</w:t>
      </w:r>
      <w:r>
        <w:t xml:space="preserve"> </w:t>
      </w:r>
      <w:r>
        <w:t xml:space="preserve">694. Supporto nelle difficoltà di apprendimento</w:t>
      </w:r>
      <w:r>
        <w:t xml:space="preserve"> </w:t>
      </w:r>
      <w:r>
        <w:t xml:space="preserve">695. Intercettazione del disagio in età scolare</w:t>
      </w:r>
      <w:r>
        <w:t xml:space="preserve"> </w:t>
      </w:r>
      <w:r>
        <w:t xml:space="preserve">696. Riduzione dell’ansia da esame</w:t>
      </w:r>
      <w:r>
        <w:t xml:space="preserve"> </w:t>
      </w:r>
      <w:r>
        <w:t xml:space="preserve">697. Supporto alle transizioni scolastiche</w:t>
      </w:r>
      <w:r>
        <w:t xml:space="preserve"> </w:t>
      </w:r>
      <w:r>
        <w:t xml:space="preserve">698. Aumento della partecipazione scolastica</w:t>
      </w:r>
      <w:r>
        <w:t xml:space="preserve"> </w:t>
      </w:r>
      <w:r>
        <w:t xml:space="preserve">699. Riduzione delle bocciature legate al disagio</w:t>
      </w:r>
      <w:r>
        <w:t xml:space="preserve"> </w:t>
      </w:r>
      <w:r>
        <w:t xml:space="preserve">700. Migliore clima scolastico</w:t>
      </w:r>
      <w:r>
        <w:t xml:space="preserve"> </w:t>
      </w:r>
      <w:r>
        <w:t xml:space="preserve">701. Supporto agli insegnanti nella gestione del disagio</w:t>
      </w:r>
      <w:r>
        <w:t xml:space="preserve"> </w:t>
      </w:r>
      <w:r>
        <w:t xml:space="preserve">702. Riduzione dei comportamenti dirompenti in classe</w:t>
      </w:r>
      <w:r>
        <w:t xml:space="preserve"> </w:t>
      </w:r>
      <w:r>
        <w:t xml:space="preserve">703. Aumento delle competenze socio-emotive degli studenti</w:t>
      </w:r>
      <w:r>
        <w:t xml:space="preserve"> </w:t>
      </w:r>
      <w:r>
        <w:t xml:space="preserve">704. Migliore raccordo scuola-sanità</w:t>
      </w:r>
      <w:r>
        <w:t xml:space="preserve"> </w:t>
      </w:r>
      <w:r>
        <w:t xml:space="preserve">705. Riduzione del distress negli studenti universitari</w:t>
      </w:r>
      <w:r>
        <w:t xml:space="preserve"> </w:t>
      </w:r>
      <w:r>
        <w:t xml:space="preserve">706. Aumento della permanenza nella formazione</w:t>
      </w:r>
      <w:r>
        <w:t xml:space="preserve"> </w:t>
      </w:r>
      <w:r>
        <w:t xml:space="preserve">707. Riduzione del disagio nella marginalità educativa</w:t>
      </w:r>
      <w:r>
        <w:t xml:space="preserve"> </w:t>
      </w:r>
      <w:r>
        <w:t xml:space="preserve">708. Supporto agli studenti con bisogni speciali</w:t>
      </w:r>
      <w:r>
        <w:t xml:space="preserve"> </w:t>
      </w:r>
      <w:r>
        <w:t xml:space="preserve">709. Migliore orientamento e prevenzione</w:t>
      </w:r>
      <w:r>
        <w:t xml:space="preserve"> </w:t>
      </w:r>
      <w:r>
        <w:t xml:space="preserve">710. Riduzione dell’impatto del disagio sulle carriere scolastiche</w:t>
      </w:r>
      <w:r>
        <w:t xml:space="preserve"> </w:t>
      </w:r>
      <w:r>
        <w:t xml:space="preserve">711. Aumento del successo formativo</w:t>
      </w:r>
      <w:r>
        <w:t xml:space="preserve"> </w:t>
      </w:r>
      <w:r>
        <w:t xml:space="preserve">36. Effetti intersettoriali — giustizia e sicurezza pubblica</w:t>
      </w:r>
      <w:r>
        <w:t xml:space="preserve"> </w:t>
      </w:r>
      <w:r>
        <w:t xml:space="preserve">712. Riduzione delle aggressioni al personale sanitario</w:t>
      </w:r>
      <w:r>
        <w:t xml:space="preserve"> </w:t>
      </w:r>
      <w:r>
        <w:t xml:space="preserve">713. Riduzione della conflittualità negli ambienti di cura</w:t>
      </w:r>
      <w:r>
        <w:t xml:space="preserve"> </w:t>
      </w:r>
      <w:r>
        <w:t xml:space="preserve">714. Riduzione dei comportamenti antisociali</w:t>
      </w:r>
      <w:r>
        <w:t xml:space="preserve"> </w:t>
      </w:r>
      <w:r>
        <w:t xml:space="preserve">715. Intercettazione e orientamento della violenza domestica</w:t>
      </w:r>
      <w:r>
        <w:t xml:space="preserve"> </w:t>
      </w:r>
      <w:r>
        <w:t xml:space="preserve">716. Riduzione della recidiva nei reati legati al disagio</w:t>
      </w:r>
      <w:r>
        <w:t xml:space="preserve"> </w:t>
      </w:r>
      <w:r>
        <w:t xml:space="preserve">717. Supporto nei percorsi di giustizia riparativa</w:t>
      </w:r>
      <w:r>
        <w:t xml:space="preserve"> </w:t>
      </w:r>
      <w:r>
        <w:t xml:space="preserve">718. Riduzione della devianza giovanile</w:t>
      </w:r>
      <w:r>
        <w:t xml:space="preserve"> </w:t>
      </w:r>
      <w:r>
        <w:t xml:space="preserve">719. Riduzione del disagio nelle popolazioni a rischio</w:t>
      </w:r>
      <w:r>
        <w:t xml:space="preserve"> </w:t>
      </w:r>
      <w:r>
        <w:t xml:space="preserve">720. Supporto alle vittime di reato</w:t>
      </w:r>
      <w:r>
        <w:t xml:space="preserve"> </w:t>
      </w:r>
      <w:r>
        <w:t xml:space="preserve">721. Riduzione delle crisi gestite dalle forze dell’ordine</w:t>
      </w:r>
      <w:r>
        <w:t xml:space="preserve"> </w:t>
      </w:r>
      <w:r>
        <w:t xml:space="preserve">722. Riduzione dei trattamenti sanitari obbligatori</w:t>
      </w:r>
      <w:r>
        <w:t xml:space="preserve"> </w:t>
      </w:r>
      <w:r>
        <w:t xml:space="preserve">723. Riduzione degli atti autolesivi in contesti critici</w:t>
      </w:r>
      <w:r>
        <w:t xml:space="preserve"> </w:t>
      </w:r>
      <w:r>
        <w:t xml:space="preserve">724. Supporto nei contesti di marginalità sociale</w:t>
      </w:r>
      <w:r>
        <w:t xml:space="preserve"> </w:t>
      </w:r>
      <w:r>
        <w:t xml:space="preserve">725. Riduzione del rischio di isolamento e radicalizzazione</w:t>
      </w:r>
      <w:r>
        <w:t xml:space="preserve"> </w:t>
      </w:r>
      <w:r>
        <w:t xml:space="preserve">726. Migliore raccordo con i servizi sociali e giudiziari</w:t>
      </w:r>
      <w:r>
        <w:t xml:space="preserve"> </w:t>
      </w:r>
      <w:r>
        <w:t xml:space="preserve">727. Intercettazione precoce della violenza di genere</w:t>
      </w:r>
      <w:r>
        <w:t xml:space="preserve"> </w:t>
      </w:r>
      <w:r>
        <w:t xml:space="preserve">728. Supporto nelle situazioni di stalking e molestie</w:t>
      </w:r>
      <w:r>
        <w:t xml:space="preserve"> </w:t>
      </w:r>
      <w:r>
        <w:t xml:space="preserve">729. Riduzione del disagio correlato a problemi legali</w:t>
      </w:r>
      <w:r>
        <w:t xml:space="preserve"> </w:t>
      </w:r>
      <w:r>
        <w:t xml:space="preserve">730. Riduzione dei costi per la sicurezza pubblica</w:t>
      </w:r>
      <w:r>
        <w:t xml:space="preserve"> </w:t>
      </w:r>
      <w:r>
        <w:t xml:space="preserve">731. Migliore gestione delle emergenze comportamentali</w:t>
      </w:r>
      <w:r>
        <w:t xml:space="preserve"> </w:t>
      </w:r>
      <w:r>
        <w:t xml:space="preserve">732. Riduzione della conflittualità familiare violenta</w:t>
      </w:r>
      <w:r>
        <w:t xml:space="preserve"> </w:t>
      </w:r>
      <w:r>
        <w:t xml:space="preserve">733. Supporto ai minori in circuito penale</w:t>
      </w:r>
      <w:r>
        <w:t xml:space="preserve"> </w:t>
      </w:r>
      <w:r>
        <w:t xml:space="preserve">734. Riduzione del disagio nelle comunità fragili</w:t>
      </w:r>
      <w:r>
        <w:t xml:space="preserve"> </w:t>
      </w:r>
      <w:r>
        <w:t xml:space="preserve">735. Aumento della sicurezza percepita</w:t>
      </w:r>
      <w:r>
        <w:t xml:space="preserve"> </w:t>
      </w:r>
      <w:r>
        <w:t xml:space="preserve">24Psicologo di Base · Metodologia apicale e registro unificato delle variabili</w:t>
      </w:r>
      <w:r>
        <w:t xml:space="preserve"> </w:t>
      </w:r>
      <w:r>
        <w:t xml:space="preserve">37. Effetti intersettoriali — servizi sociali, welfare e abitare</w:t>
      </w:r>
      <w:r>
        <w:t xml:space="preserve"> </w:t>
      </w:r>
      <w:r>
        <w:t xml:space="preserve">736. Riduzione del ricorso ai servizi sociali per cause evitabili</w:t>
      </w:r>
      <w:r>
        <w:t xml:space="preserve"> </w:t>
      </w:r>
      <w:r>
        <w:t xml:space="preserve">737. Migliore integrazione socio-sanitaria</w:t>
      </w:r>
      <w:r>
        <w:t xml:space="preserve"> </w:t>
      </w:r>
      <w:r>
        <w:t xml:space="preserve">738. Riduzione del rischio di emarginazione</w:t>
      </w:r>
      <w:r>
        <w:t xml:space="preserve"> </w:t>
      </w:r>
      <w:r>
        <w:t xml:space="preserve">739. Supporto alle famiglie in difficoltà economica</w:t>
      </w:r>
      <w:r>
        <w:t xml:space="preserve"> </w:t>
      </w:r>
      <w:r>
        <w:t xml:space="preserve">740. Riduzione del disagio legato alla povertà</w:t>
      </w:r>
      <w:r>
        <w:t xml:space="preserve"> </w:t>
      </w:r>
      <w:r>
        <w:t xml:space="preserve">741. Supporto nelle situazioni di senza dimora</w:t>
      </w:r>
      <w:r>
        <w:t xml:space="preserve"> </w:t>
      </w:r>
      <w:r>
        <w:t xml:space="preserve">742. Riduzione dell’impatto del disagio sull’abitare</w:t>
      </w:r>
      <w:r>
        <w:t xml:space="preserve"> </w:t>
      </w:r>
      <w:r>
        <w:t xml:space="preserve">743. Migliore presa in carico integrata delle fragilità</w:t>
      </w:r>
      <w:r>
        <w:t xml:space="preserve"> </w:t>
      </w:r>
      <w:r>
        <w:t xml:space="preserve">744. Riduzione del carico sui servizi di tutela minori</w:t>
      </w:r>
      <w:r>
        <w:t xml:space="preserve"> </w:t>
      </w:r>
      <w:r>
        <w:t xml:space="preserve">745. Supporto alle famiglie monoparentali</w:t>
      </w:r>
      <w:r>
        <w:t xml:space="preserve"> </w:t>
      </w:r>
      <w:r>
        <w:t xml:space="preserve">746. Riduzione del rischio di allontanamento dei minori</w:t>
      </w:r>
      <w:r>
        <w:t xml:space="preserve"> </w:t>
      </w:r>
      <w:r>
        <w:t xml:space="preserve">747. Supporto nelle situazioni di dipendenza economica</w:t>
      </w:r>
      <w:r>
        <w:t xml:space="preserve"> </w:t>
      </w:r>
      <w:r>
        <w:t xml:space="preserve">748. Riduzione del ricorso ai sussidi per cause psichiche</w:t>
      </w:r>
      <w:r>
        <w:t xml:space="preserve"> </w:t>
      </w:r>
      <w:r>
        <w:t xml:space="preserve">749. Migliore accesso ai servizi di prossimità</w:t>
      </w:r>
      <w:r>
        <w:t xml:space="preserve"> </w:t>
      </w:r>
      <w:r>
        <w:t xml:space="preserve">750. Riduzione dell’isolamento sociale</w:t>
      </w:r>
      <w:r>
        <w:t xml:space="preserve"> </w:t>
      </w:r>
      <w:r>
        <w:t xml:space="preserve">751. Supporto agli anziani soli</w:t>
      </w:r>
      <w:r>
        <w:t xml:space="preserve"> </w:t>
      </w:r>
      <w:r>
        <w:t xml:space="preserve">752. Riduzione del disagio nei contesti di degrado urbano</w:t>
      </w:r>
      <w:r>
        <w:t xml:space="preserve"> </w:t>
      </w:r>
      <w:r>
        <w:t xml:space="preserve">753. Migliore raccordo con il terzo settore</w:t>
      </w:r>
      <w:r>
        <w:t xml:space="preserve"> </w:t>
      </w:r>
      <w:r>
        <w:t xml:space="preserve">754. Supporto nei percorsi di inclusione sociale</w:t>
      </w:r>
      <w:r>
        <w:t xml:space="preserve"> </w:t>
      </w:r>
      <w:r>
        <w:t xml:space="preserve">755. Riduzione dell’impatto sociale della cronicità</w:t>
      </w:r>
      <w:r>
        <w:t xml:space="preserve"> </w:t>
      </w:r>
      <w:r>
        <w:t xml:space="preserve">756. Supporto ai caregiver in difficoltà</w:t>
      </w:r>
      <w:r>
        <w:t xml:space="preserve"> </w:t>
      </w:r>
      <w:r>
        <w:t xml:space="preserve">757. Riduzione delle disuguaglianze sociali di salute</w:t>
      </w:r>
      <w:r>
        <w:t xml:space="preserve"> </w:t>
      </w:r>
      <w:r>
        <w:t xml:space="preserve">758. Migliore tenuta delle reti familiari</w:t>
      </w:r>
      <w:r>
        <w:t xml:space="preserve"> </w:t>
      </w:r>
      <w:r>
        <w:t xml:space="preserve">759. Riduzione dei costi sociali complessivi</w:t>
      </w:r>
      <w:r>
        <w:t xml:space="preserve"> </w:t>
      </w:r>
      <w:r>
        <w:t xml:space="preserve">38. Livelli e tipologie di prevenzione</w:t>
      </w:r>
      <w:r>
        <w:t xml:space="preserve"> </w:t>
      </w:r>
      <w:r>
        <w:t xml:space="preserve">760. Prevenzione primaria del disagio</w:t>
      </w:r>
      <w:r>
        <w:t xml:space="preserve"> </w:t>
      </w:r>
      <w:r>
        <w:t xml:space="preserve">761. Prevenzione secondaria (intercettazione precoce)</w:t>
      </w:r>
      <w:r>
        <w:t xml:space="preserve"> </w:t>
      </w:r>
      <w:r>
        <w:t xml:space="preserve">762. Prevenzione terziaria (riduzione delle ricadute)</w:t>
      </w:r>
      <w:r>
        <w:t xml:space="preserve"> </w:t>
      </w:r>
      <w:r>
        <w:t xml:space="preserve">763. Prevenzione universale rivolta alla popolazione</w:t>
      </w:r>
      <w:r>
        <w:t xml:space="preserve"> </w:t>
      </w:r>
      <w:r>
        <w:t xml:space="preserve">764. Prevenzione selettiva sui gruppi a rischio</w:t>
      </w:r>
      <w:r>
        <w:t xml:space="preserve"> </w:t>
      </w:r>
      <w:r>
        <w:t xml:space="preserve">765. Prevenzione indicata sui soggetti sintomatici</w:t>
      </w:r>
      <w:r>
        <w:t xml:space="preserve"> </w:t>
      </w:r>
      <w:r>
        <w:t xml:space="preserve">766. Promozione del benessere psicologico</w:t>
      </w:r>
      <w:r>
        <w:t xml:space="preserve"> </w:t>
      </w:r>
      <w:r>
        <w:t xml:space="preserve">767. Prevenzione del suicidio</w:t>
      </w:r>
      <w:r>
        <w:t xml:space="preserve"> </w:t>
      </w:r>
      <w:r>
        <w:t xml:space="preserve">768. Prevenzione della cronicizzazione</w:t>
      </w:r>
      <w:r>
        <w:t xml:space="preserve"> </w:t>
      </w:r>
      <w:r>
        <w:t xml:space="preserve">769. Prevenzione delle comorbidità</w:t>
      </w:r>
      <w:r>
        <w:t xml:space="preserve"> </w:t>
      </w:r>
      <w:r>
        <w:t xml:space="preserve">770. Riduzione dei fattori di rischio modificabili</w:t>
      </w:r>
      <w:r>
        <w:t xml:space="preserve"> </w:t>
      </w:r>
      <w:r>
        <w:t xml:space="preserve">771. Rafforzamento dei fattori protettivi</w:t>
      </w:r>
      <w:r>
        <w:t xml:space="preserve"> </w:t>
      </w:r>
      <w:r>
        <w:t xml:space="preserve">772. Prevenzione del disagio perinatale</w:t>
      </w:r>
      <w:r>
        <w:t xml:space="preserve"> </w:t>
      </w:r>
      <w:r>
        <w:t xml:space="preserve">773. Prevenzione del disagio in età evolutiva</w:t>
      </w:r>
      <w:r>
        <w:t xml:space="preserve"> </w:t>
      </w:r>
      <w:r>
        <w:t xml:space="preserve">774. Prevenzione del burnout professionale</w:t>
      </w:r>
      <w:r>
        <w:t xml:space="preserve"> </w:t>
      </w:r>
      <w:r>
        <w:t xml:space="preserve">775. Prevenzione delle dipendenze</w:t>
      </w:r>
      <w:r>
        <w:t xml:space="preserve"> </w:t>
      </w:r>
      <w:r>
        <w:t xml:space="preserve">776. Prevenzione del disagio post-traumatico</w:t>
      </w:r>
      <w:r>
        <w:t xml:space="preserve"> </w:t>
      </w:r>
      <w:r>
        <w:t xml:space="preserve">777. Prevenzione dell’isolamento sociale</w:t>
      </w:r>
      <w:r>
        <w:t xml:space="preserve"> </w:t>
      </w:r>
      <w:r>
        <w:t xml:space="preserve">778. Educazione alla salute mentale</w:t>
      </w:r>
      <w:r>
        <w:t xml:space="preserve"> </w:t>
      </w:r>
      <w:r>
        <w:t xml:space="preserve">779. Riduzione dello stigma come leva preventiva</w:t>
      </w:r>
      <w:r>
        <w:t xml:space="preserve"> </w:t>
      </w:r>
      <w:r>
        <w:t xml:space="preserve">780. Prevenzione delle ricadute nelle cronicità</w:t>
      </w:r>
      <w:r>
        <w:t xml:space="preserve"> </w:t>
      </w:r>
      <w:r>
        <w:t xml:space="preserve">25Psicologo di Base · Metodologia apicale e registro unificato delle variabili</w:t>
      </w:r>
      <w:r>
        <w:t xml:space="preserve"> </w:t>
      </w:r>
      <w:r>
        <w:t xml:space="preserve">781. Prevenzione del disagio nei caregiver</w:t>
      </w:r>
      <w:r>
        <w:t xml:space="preserve"> </w:t>
      </w:r>
      <w:r>
        <w:t xml:space="preserve">782. Screening sistematico del disagio</w:t>
      </w:r>
      <w:r>
        <w:t xml:space="preserve"> </w:t>
      </w:r>
      <w:r>
        <w:t xml:space="preserve">783. Prevenzione del disagio nelle transizioni di vita</w:t>
      </w:r>
      <w:r>
        <w:t xml:space="preserve"> </w:t>
      </w:r>
      <w:r>
        <w:t xml:space="preserve">39. Modalità digitali e di Intelligenza Artificiale</w:t>
      </w:r>
      <w:r>
        <w:t xml:space="preserve"> </w:t>
      </w:r>
      <w:r>
        <w:t xml:space="preserve">784. Efficacia del triage psicologico assistito da IA</w:t>
      </w:r>
      <w:r>
        <w:t xml:space="preserve"> </w:t>
      </w:r>
      <w:r>
        <w:t xml:space="preserve">785. Accuratezza dei sistemi di screening automatico</w:t>
      </w:r>
      <w:r>
        <w:t xml:space="preserve"> </w:t>
      </w:r>
      <w:r>
        <w:t xml:space="preserve">786. Efficacia degli strumenti predittivi del rischio</w:t>
      </w:r>
      <w:r>
        <w:t xml:space="preserve"> </w:t>
      </w:r>
      <w:r>
        <w:t xml:space="preserve">787. Efficacia dei dispositivi terapeutici digitali per la depressione</w:t>
      </w:r>
      <w:r>
        <w:t xml:space="preserve"> </w:t>
      </w:r>
      <w:r>
        <w:t xml:space="preserve">788. Efficacia dei dispositivi digitali per l’ansia</w:t>
      </w:r>
      <w:r>
        <w:t xml:space="preserve"> </w:t>
      </w:r>
      <w:r>
        <w:t xml:space="preserve">789. Efficacia dei programmi di terapia online guidata</w:t>
      </w:r>
      <w:r>
        <w:t xml:space="preserve"> </w:t>
      </w:r>
      <w:r>
        <w:t xml:space="preserve">790. Efficacia della telepsicologia sincrona</w:t>
      </w:r>
      <w:r>
        <w:t xml:space="preserve"> </w:t>
      </w:r>
      <w:r>
        <w:t xml:space="preserve">791. Efficacia del supporto digitale tra le sedute</w:t>
      </w:r>
      <w:r>
        <w:t xml:space="preserve"> </w:t>
      </w:r>
      <w:r>
        <w:t xml:space="preserve">792. Efficacia del monitoraggio remoto dei sintomi</w:t>
      </w:r>
      <w:r>
        <w:t xml:space="preserve"> </w:t>
      </w:r>
      <w:r>
        <w:t xml:space="preserve">793. Utilità dei promemoria e delle app di aderenza</w:t>
      </w:r>
      <w:r>
        <w:t xml:space="preserve"> </w:t>
      </w:r>
      <w:r>
        <w:t xml:space="preserve">794. Efficacia dei chatbot di supporto</w:t>
      </w:r>
      <w:r>
        <w:t xml:space="preserve"> </w:t>
      </w:r>
      <w:r>
        <w:t xml:space="preserve">795. Qualità del supporto decisionale clinico</w:t>
      </w:r>
      <w:r>
        <w:t xml:space="preserve"> </w:t>
      </w:r>
      <w:r>
        <w:t xml:space="preserve">796. Riduzione del carico amministrativo tramite automazione</w:t>
      </w:r>
      <w:r>
        <w:t xml:space="preserve"> </w:t>
      </w:r>
      <w:r>
        <w:t xml:space="preserve">797. Accuratezza dell’analisi del linguaggio naturale</w:t>
      </w:r>
      <w:r>
        <w:t xml:space="preserve"> </w:t>
      </w:r>
      <w:r>
        <w:t xml:space="preserve">798. Equità dell’accesso agli strumenti digitali</w:t>
      </w:r>
      <w:r>
        <w:t xml:space="preserve"> </w:t>
      </w:r>
      <w:r>
        <w:t xml:space="preserve">799. Usabilità degli strumenti per gli anziani</w:t>
      </w:r>
      <w:r>
        <w:t xml:space="preserve"> </w:t>
      </w:r>
      <w:r>
        <w:t xml:space="preserve">800. Sicurezza informatica dei sistemi</w:t>
      </w:r>
      <w:r>
        <w:t xml:space="preserve"> </w:t>
      </w:r>
      <w:r>
        <w:t xml:space="preserve">801. Protezione dei dati negli strumenti di IA</w:t>
      </w:r>
      <w:r>
        <w:t xml:space="preserve"> </w:t>
      </w:r>
      <w:r>
        <w:t xml:space="preserve">802. Trasparenza e spiegabilità degli algoritmi</w:t>
      </w:r>
      <w:r>
        <w:t xml:space="preserve"> </w:t>
      </w:r>
      <w:r>
        <w:t xml:space="preserve">803. Validazione clinica degli strumenti</w:t>
      </w:r>
      <w:r>
        <w:t xml:space="preserve"> </w:t>
      </w:r>
      <w:r>
        <w:t xml:space="preserve">804. Conformità al regolamento europeo sull’IA</w:t>
      </w:r>
      <w:r>
        <w:t xml:space="preserve"> </w:t>
      </w:r>
      <w:r>
        <w:t xml:space="preserve">805. Supervisione umana sulle decisioni algoritmiche</w:t>
      </w:r>
      <w:r>
        <w:t xml:space="preserve"> </w:t>
      </w:r>
      <w:r>
        <w:t xml:space="preserve">806. Riduzione dei falsi positivi e negativi nello screening</w:t>
      </w:r>
      <w:r>
        <w:t xml:space="preserve"> </w:t>
      </w:r>
      <w:r>
        <w:t xml:space="preserve">807. Accettazione degli strumenti da parte degli operatori</w:t>
      </w:r>
      <w:r>
        <w:t xml:space="preserve"> </w:t>
      </w:r>
      <w:r>
        <w:t xml:space="preserve">808. Costo-efficacia degli strumenti digitali</w:t>
      </w:r>
      <w:r>
        <w:t xml:space="preserve"> </w:t>
      </w:r>
      <w:r>
        <w:t xml:space="preserve">40. Ricerca, innovazione e sistema sanitario che apprende</w:t>
      </w:r>
      <w:r>
        <w:t xml:space="preserve"> </w:t>
      </w:r>
      <w:r>
        <w:t xml:space="preserve">809. Produzione di evidenza dal monitoraggio reale</w:t>
      </w:r>
      <w:r>
        <w:t xml:space="preserve"> </w:t>
      </w:r>
      <w:r>
        <w:t xml:space="preserve">810. Pubblicazioni scientifiche generate</w:t>
      </w:r>
      <w:r>
        <w:t xml:space="preserve"> </w:t>
      </w:r>
      <w:r>
        <w:t xml:space="preserve">811. Qualità metodologica delle valutazioni</w:t>
      </w:r>
      <w:r>
        <w:t xml:space="preserve"> </w:t>
      </w:r>
      <w:r>
        <w:t xml:space="preserve">812. Capacità di valutazione controfattuale</w:t>
      </w:r>
      <w:r>
        <w:t xml:space="preserve"> </w:t>
      </w:r>
      <w:r>
        <w:t xml:space="preserve">813. Generazione di dati real-world</w:t>
      </w:r>
      <w:r>
        <w:t xml:space="preserve"> </w:t>
      </w:r>
      <w:r>
        <w:t xml:space="preserve">814. Capacità di apprendimento del sistema</w:t>
      </w:r>
      <w:r>
        <w:t xml:space="preserve"> </w:t>
      </w:r>
      <w:r>
        <w:t xml:space="preserve">815. Aggiornamento dei percorsi sulla base dell’evidenza</w:t>
      </w:r>
      <w:r>
        <w:t xml:space="preserve"> </w:t>
      </w:r>
      <w:r>
        <w:t xml:space="preserve">816. Sperimentazione di nuovi modelli</w:t>
      </w:r>
      <w:r>
        <w:t xml:space="preserve"> </w:t>
      </w:r>
      <w:r>
        <w:t xml:space="preserve">817. Trasferibilità dei risultati</w:t>
      </w:r>
      <w:r>
        <w:t xml:space="preserve"> </w:t>
      </w:r>
      <w:r>
        <w:t xml:space="preserve">818. Collaborazioni con le università</w:t>
      </w:r>
      <w:r>
        <w:t xml:space="preserve"> </w:t>
      </w:r>
      <w:r>
        <w:t xml:space="preserve">819. Formazione alla ricerca degli operatori</w:t>
      </w:r>
      <w:r>
        <w:t xml:space="preserve"> </w:t>
      </w:r>
      <w:r>
        <w:t xml:space="preserve">820. Innovazione organizzativa</w:t>
      </w:r>
      <w:r>
        <w:t xml:space="preserve"> </w:t>
      </w:r>
      <w:r>
        <w:t xml:space="preserve">821. Innovazione tecnologica</w:t>
      </w:r>
      <w:r>
        <w:t xml:space="preserve"> </w:t>
      </w:r>
      <w:r>
        <w:t xml:space="preserve">822. Capacità di benchmarking interno</w:t>
      </w:r>
      <w:r>
        <w:t xml:space="preserve"> </w:t>
      </w:r>
      <w:r>
        <w:t xml:space="preserve">823. Diffusione delle buone pratiche</w:t>
      </w:r>
      <w:r>
        <w:t xml:space="preserve"> </w:t>
      </w:r>
      <w:r>
        <w:t xml:space="preserve">824. Capitalizzazione delle lezioni apprese</w:t>
      </w:r>
      <w:r>
        <w:t xml:space="preserve"> </w:t>
      </w:r>
      <w:r>
        <w:t xml:space="preserve">26Psicologo di Base · Metodologia apicale e registro unificato delle variabili</w:t>
      </w:r>
      <w:r>
        <w:t xml:space="preserve"> </w:t>
      </w:r>
      <w:r>
        <w:t xml:space="preserve">825. Aggiornamento delle linee guida</w:t>
      </w:r>
      <w:r>
        <w:t xml:space="preserve"> </w:t>
      </w:r>
      <w:r>
        <w:t xml:space="preserve">826. Cultura della valutazione</w:t>
      </w:r>
      <w:r>
        <w:t xml:space="preserve"> </w:t>
      </w:r>
      <w:r>
        <w:t xml:space="preserve">827. Trasparenza dei risultati</w:t>
      </w:r>
      <w:r>
        <w:t xml:space="preserve"> </w:t>
      </w:r>
      <w:r>
        <w:t xml:space="preserve">828. Riproducibilità delle analisi</w:t>
      </w:r>
      <w:r>
        <w:t xml:space="preserve"> </w:t>
      </w:r>
      <w:r>
        <w:t xml:space="preserve">829. Contributo alla letteratura nazionale</w:t>
      </w:r>
      <w:r>
        <w:t xml:space="preserve"> </w:t>
      </w:r>
      <w:r>
        <w:t xml:space="preserve">830. Capacità di scalare l’innovazione</w:t>
      </w:r>
      <w:r>
        <w:t xml:space="preserve"> </w:t>
      </w:r>
      <w:r>
        <w:t xml:space="preserve">831. Valore informativo per altre politiche</w:t>
      </w:r>
      <w:r>
        <w:t xml:space="preserve"> </w:t>
      </w:r>
      <w:r>
        <w:t xml:space="preserve">41. Benchmarking internazionale e comparato</w:t>
      </w:r>
      <w:r>
        <w:t xml:space="preserve"> </w:t>
      </w:r>
      <w:r>
        <w:t xml:space="preserve">832. Confronto con il programma inglese IAPT</w:t>
      </w:r>
      <w:r>
        <w:t xml:space="preserve"> </w:t>
      </w:r>
      <w:r>
        <w:t xml:space="preserve">833. Confronto con il modello olandese POH-GGZ</w:t>
      </w:r>
      <w:r>
        <w:t xml:space="preserve"> </w:t>
      </w:r>
      <w:r>
        <w:t xml:space="preserve">834. Confronto con i modelli di cura collaborativa</w:t>
      </w:r>
      <w:r>
        <w:t xml:space="preserve"> </w:t>
      </w:r>
      <w:r>
        <w:t xml:space="preserve">835. Confronto dei tassi di recupero</w:t>
      </w:r>
      <w:r>
        <w:t xml:space="preserve"> </w:t>
      </w:r>
      <w:r>
        <w:t xml:space="preserve">836. Confronto dei costi unitari</w:t>
      </w:r>
      <w:r>
        <w:t xml:space="preserve"> </w:t>
      </w:r>
      <w:r>
        <w:t xml:space="preserve">837. Confronto del rapporto beneficio-costo</w:t>
      </w:r>
      <w:r>
        <w:t xml:space="preserve"> </w:t>
      </w:r>
      <w:r>
        <w:t xml:space="preserve">838. Confronto della copertura del bisogno</w:t>
      </w:r>
      <w:r>
        <w:t xml:space="preserve"> </w:t>
      </w:r>
      <w:r>
        <w:t xml:space="preserve">839. Confronto dei tempi di attesa</w:t>
      </w:r>
      <w:r>
        <w:t xml:space="preserve"> </w:t>
      </w:r>
      <w:r>
        <w:t xml:space="preserve">840. Confronto dell’accessibilità</w:t>
      </w:r>
      <w:r>
        <w:t xml:space="preserve"> </w:t>
      </w:r>
      <w:r>
        <w:t xml:space="preserve">841. Confronto degli esiti clinici</w:t>
      </w:r>
      <w:r>
        <w:t xml:space="preserve"> </w:t>
      </w:r>
      <w:r>
        <w:t xml:space="preserve">842. Confronto della soddisfazione dei pazienti</w:t>
      </w:r>
      <w:r>
        <w:t xml:space="preserve"> </w:t>
      </w:r>
      <w:r>
        <w:t xml:space="preserve">843. Confronto dell’integrazione organizzativa</w:t>
      </w:r>
      <w:r>
        <w:t xml:space="preserve"> </w:t>
      </w:r>
      <w:r>
        <w:t xml:space="preserve">844. Confronto della spesa per la salute mentale</w:t>
      </w:r>
      <w:r>
        <w:t xml:space="preserve"> </w:t>
      </w:r>
      <w:r>
        <w:t xml:space="preserve">845. Confronto della formazione dei professionisti</w:t>
      </w:r>
      <w:r>
        <w:t xml:space="preserve"> </w:t>
      </w:r>
      <w:r>
        <w:t xml:space="preserve">846. Confronto dell’uso degli strumenti digitali</w:t>
      </w:r>
      <w:r>
        <w:t xml:space="preserve"> </w:t>
      </w:r>
      <w:r>
        <w:t xml:space="preserve">847. Confronto delle politiche di prevenzione</w:t>
      </w:r>
      <w:r>
        <w:t xml:space="preserve"> </w:t>
      </w:r>
      <w:r>
        <w:t xml:space="preserve">848. Confronto degli indicatori di equità</w:t>
      </w:r>
      <w:r>
        <w:t xml:space="preserve"> </w:t>
      </w:r>
      <w:r>
        <w:t xml:space="preserve">849. Allineamento agli standard internazionali</w:t>
      </w:r>
      <w:r>
        <w:t xml:space="preserve"> </w:t>
      </w:r>
      <w:r>
        <w:t xml:space="preserve">850. Posizionamento rispetto ai Paesi OCSE</w:t>
      </w:r>
      <w:r>
        <w:t xml:space="preserve"> </w:t>
      </w:r>
      <w:r>
        <w:t xml:space="preserve">851. Adattamento delle buone pratiche estere</w:t>
      </w:r>
      <w:r>
        <w:t xml:space="preserve"> </w:t>
      </w:r>
      <w:r>
        <w:t xml:space="preserve">852. Confronto della sostenibilità dei modelli</w:t>
      </w:r>
      <w:r>
        <w:t xml:space="preserve"> </w:t>
      </w:r>
      <w:r>
        <w:t xml:space="preserve">853. Apprendimento dalle esperienze internazionali</w:t>
      </w:r>
      <w:r>
        <w:t xml:space="preserve"> </w:t>
      </w:r>
      <w:r>
        <w:t xml:space="preserve">42. Esiti macro-economici e fiscali</w:t>
      </w:r>
      <w:r>
        <w:t xml:space="preserve"> </w:t>
      </w:r>
      <w:r>
        <w:t xml:space="preserve">854. Contributo al prodotto interno lordo</w:t>
      </w:r>
      <w:r>
        <w:t xml:space="preserve"> </w:t>
      </w:r>
      <w:r>
        <w:t xml:space="preserve">855. Recupero di gettito fiscale</w:t>
      </w:r>
      <w:r>
        <w:t xml:space="preserve"> </w:t>
      </w:r>
      <w:r>
        <w:t xml:space="preserve">856. Riduzione della spesa previdenziale</w:t>
      </w:r>
      <w:r>
        <w:t xml:space="preserve"> </w:t>
      </w:r>
      <w:r>
        <w:t xml:space="preserve">857. Riduzione della spesa assistenziale</w:t>
      </w:r>
      <w:r>
        <w:t xml:space="preserve"> </w:t>
      </w:r>
      <w:r>
        <w:t xml:space="preserve">858. Effetto sul disavanzo sanitario</w:t>
      </w:r>
      <w:r>
        <w:t xml:space="preserve"> </w:t>
      </w:r>
      <w:r>
        <w:t xml:space="preserve">859. Effetto sulla spesa sanitaria pubblica</w:t>
      </w:r>
      <w:r>
        <w:t xml:space="preserve"> </w:t>
      </w:r>
      <w:r>
        <w:t xml:space="preserve">860. Aumento del capitale umano</w:t>
      </w:r>
      <w:r>
        <w:t xml:space="preserve"> </w:t>
      </w:r>
      <w:r>
        <w:t xml:space="preserve">861. Aumento della partecipazione al lavoro</w:t>
      </w:r>
      <w:r>
        <w:t xml:space="preserve"> </w:t>
      </w:r>
      <w:r>
        <w:t xml:space="preserve">862. Riduzione dei costi sociali del disagio</w:t>
      </w:r>
      <w:r>
        <w:t xml:space="preserve"> </w:t>
      </w:r>
      <w:r>
        <w:t xml:space="preserve">863. Effetto moltiplicatore della spesa sanitaria</w:t>
      </w:r>
      <w:r>
        <w:t xml:space="preserve"> </w:t>
      </w:r>
      <w:r>
        <w:t xml:space="preserve">864. Sostenibilità fiscale di lungo periodo</w:t>
      </w:r>
      <w:r>
        <w:t xml:space="preserve"> </w:t>
      </w:r>
      <w:r>
        <w:t xml:space="preserve">865. Riduzione dei costi indiretti per la collettività</w:t>
      </w:r>
      <w:r>
        <w:t xml:space="preserve"> </w:t>
      </w:r>
      <w:r>
        <w:t xml:space="preserve">866. Effetto sulla crescita economica regionale</w:t>
      </w:r>
      <w:r>
        <w:t xml:space="preserve"> </w:t>
      </w:r>
      <w:r>
        <w:t xml:space="preserve">867. Riduzione delle disuguaglianze economiche</w:t>
      </w:r>
      <w:r>
        <w:t xml:space="preserve"> </w:t>
      </w:r>
      <w:r>
        <w:t xml:space="preserve">868. Valore economico degli anni di vita guadagnati</w:t>
      </w:r>
      <w:r>
        <w:t xml:space="preserve"> </w:t>
      </w:r>
      <w:r>
        <w:t xml:space="preserve">27Psicologo di Base · Metodologia apicale e registro unificato delle variabili</w:t>
      </w:r>
      <w:r>
        <w:t xml:space="preserve"> </w:t>
      </w:r>
      <w:r>
        <w:t xml:space="preserve">869. Effetto sulla competitività del territorio</w:t>
      </w:r>
      <w:r>
        <w:t xml:space="preserve"> </w:t>
      </w:r>
      <w:r>
        <w:t xml:space="preserve">870. Riduzione dei costi per le imprese</w:t>
      </w:r>
      <w:r>
        <w:t xml:space="preserve"> </w:t>
      </w:r>
      <w:r>
        <w:t xml:space="preserve">871. Contributo alla produttività nazionale</w:t>
      </w:r>
      <w:r>
        <w:t xml:space="preserve"> </w:t>
      </w:r>
      <w:r>
        <w:t xml:space="preserve">872. Effetto sulla coesione economica territoriale</w:t>
      </w:r>
      <w:r>
        <w:t xml:space="preserve"> </w:t>
      </w:r>
      <w:r>
        <w:t xml:space="preserve">873. Riduzione dei costi della cronicità per il sistema</w:t>
      </w:r>
      <w:r>
        <w:t xml:space="preserve"> </w:t>
      </w:r>
      <w:r>
        <w:t xml:space="preserve">874. Valore attuale netto macroeconomico</w:t>
      </w:r>
      <w:r>
        <w:t xml:space="preserve"> </w:t>
      </w:r>
      <w:r>
        <w:t xml:space="preserve">875. Effetto sulla spesa pubblica complessiva</w:t>
      </w:r>
      <w:r>
        <w:t xml:space="preserve"> </w:t>
      </w:r>
      <w:r>
        <w:t xml:space="preserve">43. Contesti e setting specifici di erogazione</w:t>
      </w:r>
      <w:r>
        <w:t xml:space="preserve"> </w:t>
      </w:r>
      <w:r>
        <w:t xml:space="preserve">876. Erogazione nelle Case della Comunità</w:t>
      </w:r>
      <w:r>
        <w:t xml:space="preserve"> </w:t>
      </w:r>
      <w:r>
        <w:t xml:space="preserve">877. Erogazione negli studi dei medici di base</w:t>
      </w:r>
      <w:r>
        <w:t xml:space="preserve"> </w:t>
      </w:r>
      <w:r>
        <w:t xml:space="preserve">878. Erogazione nei distretti sanitari</w:t>
      </w:r>
      <w:r>
        <w:t xml:space="preserve"> </w:t>
      </w:r>
      <w:r>
        <w:t xml:space="preserve">879. Erogazione nelle aree interne e montane</w:t>
      </w:r>
      <w:r>
        <w:t xml:space="preserve"> </w:t>
      </w:r>
      <w:r>
        <w:t xml:space="preserve">880. Erogazione nelle isole</w:t>
      </w:r>
      <w:r>
        <w:t xml:space="preserve"> </w:t>
      </w:r>
      <w:r>
        <w:t xml:space="preserve">881. Erogazione nelle aree metropolitane</w:t>
      </w:r>
      <w:r>
        <w:t xml:space="preserve"> </w:t>
      </w:r>
      <w:r>
        <w:t xml:space="preserve">882. Erogazione nelle aree a forte immigrazione</w:t>
      </w:r>
      <w:r>
        <w:t xml:space="preserve"> </w:t>
      </w:r>
      <w:r>
        <w:t xml:space="preserve">883. Erogazione nei contesti di deprivazione urbana</w:t>
      </w:r>
      <w:r>
        <w:t xml:space="preserve"> </w:t>
      </w:r>
      <w:r>
        <w:t xml:space="preserve">884. Erogazione nelle scuole</w:t>
      </w:r>
      <w:r>
        <w:t xml:space="preserve"> </w:t>
      </w:r>
      <w:r>
        <w:t xml:space="preserve">885. Erogazione nei luoghi di lavoro</w:t>
      </w:r>
      <w:r>
        <w:t xml:space="preserve"> </w:t>
      </w:r>
      <w:r>
        <w:t xml:space="preserve">886. Erogazione nei consultori</w:t>
      </w:r>
      <w:r>
        <w:t xml:space="preserve"> </w:t>
      </w:r>
      <w:r>
        <w:t xml:space="preserve">887. Erogazione tramite telepsicologia nelle aree remote</w:t>
      </w:r>
      <w:r>
        <w:t xml:space="preserve"> </w:t>
      </w:r>
      <w:r>
        <w:t xml:space="preserve">888. Erogazione nei contesti rurali</w:t>
      </w:r>
      <w:r>
        <w:t xml:space="preserve"> </w:t>
      </w:r>
      <w:r>
        <w:t xml:space="preserve">889. Erogazione nelle residenze per anziani</w:t>
      </w:r>
      <w:r>
        <w:t xml:space="preserve"> </w:t>
      </w:r>
      <w:r>
        <w:t xml:space="preserve">890. Erogazione nei contesti penitenziari</w:t>
      </w:r>
      <w:r>
        <w:t xml:space="preserve"> </w:t>
      </w:r>
      <w:r>
        <w:t xml:space="preserve">891. Erogazione nei centri per migranti</w:t>
      </w:r>
      <w:r>
        <w:t xml:space="preserve"> </w:t>
      </w:r>
      <w:r>
        <w:t xml:space="preserve">892. Erogazione integrata con il terzo settore</w:t>
      </w:r>
      <w:r>
        <w:t xml:space="preserve"> </w:t>
      </w:r>
      <w:r>
        <w:t xml:space="preserve">893. Erogazione domiciliare per i non deambulanti</w:t>
      </w:r>
      <w:r>
        <w:t xml:space="preserve"> </w:t>
      </w:r>
      <w:r>
        <w:t xml:space="preserve">894. Accessibilità nelle diverse fasce orarie</w:t>
      </w:r>
      <w:r>
        <w:t xml:space="preserve"> </w:t>
      </w:r>
      <w:r>
        <w:t xml:space="preserve">895. Adattamento del servizio al contesto locale</w:t>
      </w:r>
      <w:r>
        <w:t xml:space="preserve"> </w:t>
      </w:r>
      <w:r>
        <w:t xml:space="preserve">896. Prossimità territoriale del servizio</w:t>
      </w:r>
      <w:r>
        <w:t xml:space="preserve"> </w:t>
      </w:r>
      <w:r>
        <w:t xml:space="preserve">897. Capillarità della rete di erogazione</w:t>
      </w:r>
      <w:r>
        <w:t xml:space="preserve"> </w:t>
      </w:r>
      <w:r>
        <w:t xml:space="preserve">44. Indicatori operativi di processo e flusso</w:t>
      </w:r>
      <w:r>
        <w:t xml:space="preserve"> </w:t>
      </w:r>
      <w:r>
        <w:t xml:space="preserve">898. Numero di prese in carico per sede</w:t>
      </w:r>
      <w:r>
        <w:t xml:space="preserve"> </w:t>
      </w:r>
      <w:r>
        <w:t xml:space="preserve">899. Tempo medio di attesa al primo colloquio</w:t>
      </w:r>
      <w:r>
        <w:t xml:space="preserve"> </w:t>
      </w:r>
      <w:r>
        <w:t xml:space="preserve">900. Numero medio di colloqui per persona</w:t>
      </w:r>
      <w:r>
        <w:t xml:space="preserve"> </w:t>
      </w:r>
      <w:r>
        <w:t xml:space="preserve">901. Durata media della presa in carico</w:t>
      </w:r>
      <w:r>
        <w:t xml:space="preserve"> </w:t>
      </w:r>
      <w:r>
        <w:t xml:space="preserve">902. Tasso di dimissione appropriata</w:t>
      </w:r>
      <w:r>
        <w:t xml:space="preserve"> </w:t>
      </w:r>
      <w:r>
        <w:t xml:space="preserve">903. Tasso di invio appropriato ad altri servizi</w:t>
      </w:r>
      <w:r>
        <w:t xml:space="preserve"> </w:t>
      </w:r>
      <w:r>
        <w:t xml:space="preserve">904. Tasso di completamento del percorso</w:t>
      </w:r>
      <w:r>
        <w:t xml:space="preserve"> </w:t>
      </w:r>
      <w:r>
        <w:t xml:space="preserve">905. Tasso di abbandono (drop-out)</w:t>
      </w:r>
      <w:r>
        <w:t xml:space="preserve"> </w:t>
      </w:r>
      <w:r>
        <w:t xml:space="preserve">906. Tasso di rientro nel servizio</w:t>
      </w:r>
      <w:r>
        <w:t xml:space="preserve"> </w:t>
      </w:r>
      <w:r>
        <w:t xml:space="preserve">907. Percentuale di accessi diretti</w:t>
      </w:r>
      <w:r>
        <w:t xml:space="preserve"> </w:t>
      </w:r>
      <w:r>
        <w:t xml:space="preserve">908. Percentuale di invii dai medici di base</w:t>
      </w:r>
      <w:r>
        <w:t xml:space="preserve"> </w:t>
      </w:r>
      <w:r>
        <w:t xml:space="preserve">909. Tempo dalla segnalazione alla presa in carico</w:t>
      </w:r>
      <w:r>
        <w:t xml:space="preserve"> </w:t>
      </w:r>
      <w:r>
        <w:t xml:space="preserve">910. Capacità di erogazione per psicologo</w:t>
      </w:r>
      <w:r>
        <w:t xml:space="preserve"> </w:t>
      </w:r>
      <w:r>
        <w:t xml:space="preserve">911. Saturazione della capacità del servizio</w:t>
      </w:r>
      <w:r>
        <w:t xml:space="preserve"> </w:t>
      </w:r>
      <w:r>
        <w:t xml:space="preserve">912. Lunghezza delle liste di attesa interne</w:t>
      </w:r>
      <w:r>
        <w:t xml:space="preserve"> </w:t>
      </w:r>
      <w:r>
        <w:t xml:space="preserve">28Psicologo di Base · Metodologia apicale e registro unificato delle variabili</w:t>
      </w:r>
      <w:r>
        <w:t xml:space="preserve"> </w:t>
      </w:r>
      <w:r>
        <w:t xml:space="preserve">913. Puntualità delle prestazioni</w:t>
      </w:r>
      <w:r>
        <w:t xml:space="preserve"> </w:t>
      </w:r>
      <w:r>
        <w:t xml:space="preserve">914. Continuità con lo stesso professionista</w:t>
      </w:r>
      <w:r>
        <w:t xml:space="preserve"> </w:t>
      </w:r>
      <w:r>
        <w:t xml:space="preserve">915. Tasso di prestazioni erogate da remoto</w:t>
      </w:r>
      <w:r>
        <w:t xml:space="preserve"> </w:t>
      </w:r>
      <w:r>
        <w:t xml:space="preserve">916. Percentuale di rivalutazioni con misure di esito</w:t>
      </w:r>
      <w:r>
        <w:t xml:space="preserve"> </w:t>
      </w:r>
      <w:r>
        <w:t xml:space="preserve">917. Efficienza dei percorsi interni</w:t>
      </w:r>
      <w:r>
        <w:t xml:space="preserve"> </w:t>
      </w:r>
      <w:r>
        <w:t xml:space="preserve">918. Tasso di copertura della domanda</w:t>
      </w:r>
      <w:r>
        <w:t xml:space="preserve"> </w:t>
      </w:r>
      <w:r>
        <w:t xml:space="preserve">919. Variabilità dei volumi tra sedi</w:t>
      </w:r>
      <w:r>
        <w:t xml:space="preserve"> </w:t>
      </w:r>
      <w:r>
        <w:t xml:space="preserve">45. Capitale sociale, relazioni e comunità</w:t>
      </w:r>
      <w:r>
        <w:t xml:space="preserve"> </w:t>
      </w:r>
      <w:r>
        <w:t xml:space="preserve">920. Aumento del capitale sociale di comunità</w:t>
      </w:r>
      <w:r>
        <w:t xml:space="preserve"> </w:t>
      </w:r>
      <w:r>
        <w:t xml:space="preserve">921. Rafforzamento delle reti di supporto informale</w:t>
      </w:r>
      <w:r>
        <w:t xml:space="preserve"> </w:t>
      </w:r>
      <w:r>
        <w:t xml:space="preserve">922. Riduzione della frammentazione sociale</w:t>
      </w:r>
      <w:r>
        <w:t xml:space="preserve"> </w:t>
      </w:r>
      <w:r>
        <w:t xml:space="preserve">923. Aumento della fiducia interpersonale</w:t>
      </w:r>
      <w:r>
        <w:t xml:space="preserve"> </w:t>
      </w:r>
      <w:r>
        <w:t xml:space="preserve">924. Migliore partecipazione comunitaria</w:t>
      </w:r>
      <w:r>
        <w:t xml:space="preserve"> </w:t>
      </w:r>
      <w:r>
        <w:t xml:space="preserve">925. Riduzione della solitudine percepita</w:t>
      </w:r>
      <w:r>
        <w:t xml:space="preserve"> </w:t>
      </w:r>
      <w:r>
        <w:t xml:space="preserve">926. Aumento del senso di appartenenza</w:t>
      </w:r>
      <w:r>
        <w:t xml:space="preserve"> </w:t>
      </w:r>
      <w:r>
        <w:t xml:space="preserve">927. Migliore funzionamento dei gruppi di sostegno</w:t>
      </w:r>
      <w:r>
        <w:t xml:space="preserve"> </w:t>
      </w:r>
      <w:r>
        <w:t xml:space="preserve">928. Aumento dell’auto-mutuo-aiuto</w:t>
      </w:r>
      <w:r>
        <w:t xml:space="preserve"> </w:t>
      </w:r>
      <w:r>
        <w:t xml:space="preserve">929. Migliore coesione di vicinato</w:t>
      </w:r>
      <w:r>
        <w:t xml:space="preserve"> </w:t>
      </w:r>
      <w:r>
        <w:t xml:space="preserve">930. Riduzione dell’isolamento degli anziani soli</w:t>
      </w:r>
      <w:r>
        <w:t xml:space="preserve"> </w:t>
      </w:r>
      <w:r>
        <w:t xml:space="preserve">931. Aumento dell’inclusione delle persone fragili</w:t>
      </w:r>
      <w:r>
        <w:t xml:space="preserve"> </w:t>
      </w:r>
      <w:r>
        <w:t xml:space="preserve">932. Rafforzamento delle competenze relazionali</w:t>
      </w:r>
      <w:r>
        <w:t xml:space="preserve"> </w:t>
      </w:r>
      <w:r>
        <w:t xml:space="preserve">933. Migliore clima nelle comunità locali</w:t>
      </w:r>
      <w:r>
        <w:t xml:space="preserve"> </w:t>
      </w:r>
      <w:r>
        <w:t xml:space="preserve">934. Riduzione dei conflitti comunitari</w:t>
      </w:r>
      <w:r>
        <w:t xml:space="preserve"> </w:t>
      </w:r>
      <w:r>
        <w:t xml:space="preserve">935. Aumento della solidarietà intergenerazionale</w:t>
      </w:r>
      <w:r>
        <w:t xml:space="preserve"> </w:t>
      </w:r>
      <w:r>
        <w:t xml:space="preserve">936. Migliore integrazione delle persone straniere</w:t>
      </w:r>
      <w:r>
        <w:t xml:space="preserve"> </w:t>
      </w:r>
      <w:r>
        <w:t xml:space="preserve">937. Riduzione dello stigma a livello comunitario</w:t>
      </w:r>
      <w:r>
        <w:t xml:space="preserve"> </w:t>
      </w:r>
      <w:r>
        <w:t xml:space="preserve">938. Aumento della partecipazione al volontariato</w:t>
      </w:r>
      <w:r>
        <w:t xml:space="preserve"> </w:t>
      </w:r>
      <w:r>
        <w:t xml:space="preserve">939. Migliore percezione di sicurezza nella comunità</w:t>
      </w:r>
      <w:r>
        <w:t xml:space="preserve"> </w:t>
      </w:r>
      <w:r>
        <w:t xml:space="preserve">940. Rafforzamento del tessuto sociale</w:t>
      </w:r>
      <w:r>
        <w:t xml:space="preserve"> </w:t>
      </w:r>
      <w:r>
        <w:t xml:space="preserve">941. Aumento del benessere collettivo</w:t>
      </w:r>
      <w:r>
        <w:t xml:space="preserve"> </w:t>
      </w:r>
      <w:r>
        <w:t xml:space="preserve">46. Fattori individuali del paziente (moderatori)</w:t>
      </w:r>
      <w:r>
        <w:t xml:space="preserve"> </w:t>
      </w:r>
      <w:r>
        <w:t xml:space="preserve">942. Alfabetizzazione sanitaria del paziente</w:t>
      </w:r>
      <w:r>
        <w:t xml:space="preserve"> </w:t>
      </w:r>
      <w:r>
        <w:t xml:space="preserve">943. Alfabetizzazione alla salute mentale</w:t>
      </w:r>
      <w:r>
        <w:t xml:space="preserve"> </w:t>
      </w:r>
      <w:r>
        <w:t xml:space="preserve">944. Stili di coping</w:t>
      </w:r>
      <w:r>
        <w:t xml:space="preserve"> </w:t>
      </w:r>
      <w:r>
        <w:t xml:space="preserve">945. Supporto sociale percepito</w:t>
      </w:r>
      <w:r>
        <w:t xml:space="preserve"> </w:t>
      </w:r>
      <w:r>
        <w:t xml:space="preserve">946. Motivazione al trattamento</w:t>
      </w:r>
      <w:r>
        <w:t xml:space="preserve"> </w:t>
      </w:r>
      <w:r>
        <w:t xml:space="preserve">947. Aspettative verso la cura</w:t>
      </w:r>
      <w:r>
        <w:t xml:space="preserve"> </w:t>
      </w:r>
      <w:r>
        <w:t xml:space="preserve">948. Senso di autoefficacia</w:t>
      </w:r>
      <w:r>
        <w:t xml:space="preserve"> </w:t>
      </w:r>
      <w:r>
        <w:t xml:space="preserve">949. Percezione di controllo sulla salute</w:t>
      </w:r>
      <w:r>
        <w:t xml:space="preserve"> </w:t>
      </w:r>
      <w:r>
        <w:t xml:space="preserve">950. Resilienza individuale</w:t>
      </w:r>
      <w:r>
        <w:t xml:space="preserve"> </w:t>
      </w:r>
      <w:r>
        <w:t xml:space="preserve">951. Tratti di personalità rilevanti</w:t>
      </w:r>
      <w:r>
        <w:t xml:space="preserve"> </w:t>
      </w:r>
      <w:r>
        <w:t xml:space="preserve">952. Storia di disagio pregresso</w:t>
      </w:r>
      <w:r>
        <w:t xml:space="preserve"> </w:t>
      </w:r>
      <w:r>
        <w:t xml:space="preserve">953. Comorbidità medica del paziente</w:t>
      </w:r>
      <w:r>
        <w:t xml:space="preserve"> </w:t>
      </w:r>
      <w:r>
        <w:t xml:space="preserve">954. Condizione socio-economica individuale</w:t>
      </w:r>
      <w:r>
        <w:t xml:space="preserve"> </w:t>
      </w:r>
      <w:r>
        <w:t xml:space="preserve">955. Livello di istruzione</w:t>
      </w:r>
      <w:r>
        <w:t xml:space="preserve"> </w:t>
      </w:r>
      <w:r>
        <w:t xml:space="preserve">956. Rete familiare di sostegno</w:t>
      </w:r>
      <w:r>
        <w:t xml:space="preserve"> </w:t>
      </w:r>
      <w:r>
        <w:t xml:space="preserve">29Psicologo di Base · Metodologia apicale e registro unificato delle variabili</w:t>
      </w:r>
      <w:r>
        <w:t xml:space="preserve"> </w:t>
      </w:r>
      <w:r>
        <w:t xml:space="preserve">957. Condizione abitativa</w:t>
      </w:r>
      <w:r>
        <w:t xml:space="preserve"> </w:t>
      </w:r>
      <w:r>
        <w:t xml:space="preserve">958. Condizione occupazionale</w:t>
      </w:r>
      <w:r>
        <w:t xml:space="preserve"> </w:t>
      </w:r>
      <w:r>
        <w:t xml:space="preserve">959. Appartenenza a gruppi vulnerabili</w:t>
      </w:r>
      <w:r>
        <w:t xml:space="preserve"> </w:t>
      </w:r>
      <w:r>
        <w:t xml:space="preserve">960. Barriere linguistiche e culturali</w:t>
      </w:r>
      <w:r>
        <w:t xml:space="preserve"> </w:t>
      </w:r>
      <w:r>
        <w:t xml:space="preserve">961. Accesso a strumenti digitali</w:t>
      </w:r>
      <w:r>
        <w:t xml:space="preserve"> </w:t>
      </w:r>
      <w:r>
        <w:t xml:space="preserve">962. Disponibilità di tempo per la cura</w:t>
      </w:r>
      <w:r>
        <w:t xml:space="preserve"> </w:t>
      </w:r>
      <w:r>
        <w:t xml:space="preserve">963. Fiducia nel sistema sanitario</w:t>
      </w:r>
      <w:r>
        <w:t xml:space="preserve"> </w:t>
      </w:r>
      <w:r>
        <w:t xml:space="preserve">964. Esperienze pregresse di cura</w:t>
      </w:r>
      <w:r>
        <w:t xml:space="preserve"> </w:t>
      </w:r>
      <w:r>
        <w:t xml:space="preserve">965. Preferenze individuali di trattamento</w:t>
      </w:r>
      <w:r>
        <w:t xml:space="preserve"> </w:t>
      </w:r>
      <w:r>
        <w:t xml:space="preserve">47. Comunicazione e relazione di cura</w:t>
      </w:r>
      <w:r>
        <w:t xml:space="preserve"> </w:t>
      </w:r>
      <w:r>
        <w:t xml:space="preserve">966. Qualità della comunicazione medico-paziente</w:t>
      </w:r>
      <w:r>
        <w:t xml:space="preserve"> </w:t>
      </w:r>
      <w:r>
        <w:t xml:space="preserve">967. Qualità dell’ascolto</w:t>
      </w:r>
      <w:r>
        <w:t xml:space="preserve"> </w:t>
      </w:r>
      <w:r>
        <w:t xml:space="preserve">968. Chiarezza delle informazioni fornite</w:t>
      </w:r>
      <w:r>
        <w:t xml:space="preserve"> </w:t>
      </w:r>
      <w:r>
        <w:t xml:space="preserve">969. Empatia percepita</w:t>
      </w:r>
      <w:r>
        <w:t xml:space="preserve"> </w:t>
      </w:r>
      <w:r>
        <w:t xml:space="preserve">970. Condivisione delle decisioni</w:t>
      </w:r>
      <w:r>
        <w:t xml:space="preserve"> </w:t>
      </w:r>
      <w:r>
        <w:t xml:space="preserve">971. Continuità relazionale</w:t>
      </w:r>
      <w:r>
        <w:t xml:space="preserve"> </w:t>
      </w:r>
      <w:r>
        <w:t xml:space="preserve">972. Fiducia nella relazione di cura</w:t>
      </w:r>
      <w:r>
        <w:t xml:space="preserve"> </w:t>
      </w:r>
      <w:r>
        <w:t xml:space="preserve">973. Riduzione dei fraintendimenti</w:t>
      </w:r>
      <w:r>
        <w:t xml:space="preserve"> </w:t>
      </w:r>
      <w:r>
        <w:t xml:space="preserve">974. Migliore comunicazione tra professionisti</w:t>
      </w:r>
      <w:r>
        <w:t xml:space="preserve"> </w:t>
      </w:r>
      <w:r>
        <w:t xml:space="preserve">975. Qualità dei passaggi di consegna</w:t>
      </w:r>
      <w:r>
        <w:t xml:space="preserve"> </w:t>
      </w:r>
      <w:r>
        <w:t xml:space="preserve">976. Comunicazione delle cattive notizie</w:t>
      </w:r>
      <w:r>
        <w:t xml:space="preserve"> </w:t>
      </w:r>
      <w:r>
        <w:t xml:space="preserve">977. Coinvolgimento dei familiari nella comunicazione</w:t>
      </w:r>
      <w:r>
        <w:t xml:space="preserve"> </w:t>
      </w:r>
      <w:r>
        <w:t xml:space="preserve">978. Personalizzazione della comunicazione</w:t>
      </w:r>
      <w:r>
        <w:t xml:space="preserve"> </w:t>
      </w:r>
      <w:r>
        <w:t xml:space="preserve">979. Riduzione del linguaggio stigmatizzante</w:t>
      </w:r>
      <w:r>
        <w:t xml:space="preserve"> </w:t>
      </w:r>
      <w:r>
        <w:t xml:space="preserve">980. Accessibilità comunicativa per i fragili</w:t>
      </w:r>
      <w:r>
        <w:t xml:space="preserve"> </w:t>
      </w:r>
      <w:r>
        <w:t xml:space="preserve">981. Mediazione culturale e linguistica</w:t>
      </w:r>
      <w:r>
        <w:t xml:space="preserve"> </w:t>
      </w:r>
      <w:r>
        <w:t xml:space="preserve">982. Qualità della comunicazione a distanza</w:t>
      </w:r>
      <w:r>
        <w:t xml:space="preserve"> </w:t>
      </w:r>
      <w:r>
        <w:t xml:space="preserve">983. Riduzione della conflittualità comunicativa</w:t>
      </w:r>
      <w:r>
        <w:t xml:space="preserve"> </w:t>
      </w:r>
      <w:r>
        <w:t xml:space="preserve">984. Aumento della soddisfazione relazionale</w:t>
      </w:r>
      <w:r>
        <w:t xml:space="preserve"> </w:t>
      </w:r>
      <w:r>
        <w:t xml:space="preserve">985. Migliore comprensione delle indicazioni</w:t>
      </w:r>
      <w:r>
        <w:t xml:space="preserve"> </w:t>
      </w:r>
      <w:r>
        <w:t xml:space="preserve">986. Comunicazione del rischio</w:t>
      </w:r>
      <w:r>
        <w:t xml:space="preserve"> </w:t>
      </w:r>
      <w:r>
        <w:t xml:space="preserve">987. Educazione terapeutica del paziente</w:t>
      </w:r>
      <w:r>
        <w:t xml:space="preserve"> </w:t>
      </w:r>
      <w:r>
        <w:t xml:space="preserve">988. Qualità della relazione con i caregiver</w:t>
      </w:r>
      <w:r>
        <w:t xml:space="preserve"> </w:t>
      </w:r>
      <w:r>
        <w:t xml:space="preserve">989. Riduzione delle barriere comunicative</w:t>
      </w:r>
      <w:r>
        <w:t xml:space="preserve"> </w:t>
      </w:r>
      <w:r>
        <w:t xml:space="preserve">48. Salute globale, funzionamento e qualità di vita</w:t>
      </w:r>
      <w:r>
        <w:t xml:space="preserve"> </w:t>
      </w:r>
      <w:r>
        <w:t xml:space="preserve">990. Miglioramento della qualità di vita globale</w:t>
      </w:r>
      <w:r>
        <w:t xml:space="preserve"> </w:t>
      </w:r>
      <w:r>
        <w:t xml:space="preserve">991. Aumento degli anni di vita aggiustati per la qualità (QALY)</w:t>
      </w:r>
      <w:r>
        <w:t xml:space="preserve"> </w:t>
      </w:r>
      <w:r>
        <w:t xml:space="preserve">992. Miglioramento del funzionamento quotidiano</w:t>
      </w:r>
      <w:r>
        <w:t xml:space="preserve"> </w:t>
      </w:r>
      <w:r>
        <w:t xml:space="preserve">993. Miglioramento del funzionamento sociale</w:t>
      </w:r>
      <w:r>
        <w:t xml:space="preserve"> </w:t>
      </w:r>
      <w:r>
        <w:t xml:space="preserve">994. Miglioramento del funzionamento lavorativo</w:t>
      </w:r>
      <w:r>
        <w:t xml:space="preserve"> </w:t>
      </w:r>
      <w:r>
        <w:t xml:space="preserve">995. Aumento della soddisfazione di vita</w:t>
      </w:r>
      <w:r>
        <w:t xml:space="preserve"> </w:t>
      </w:r>
      <w:r>
        <w:t xml:space="preserve">996. Aumento del benessere edonico</w:t>
      </w:r>
      <w:r>
        <w:t xml:space="preserve"> </w:t>
      </w:r>
      <w:r>
        <w:t xml:space="preserve">997. Aumento del benessere eudaimonico</w:t>
      </w:r>
      <w:r>
        <w:t xml:space="preserve"> </w:t>
      </w:r>
      <w:r>
        <w:t xml:space="preserve">998. Riduzione della disabilità complessiva</w:t>
      </w:r>
      <w:r>
        <w:t xml:space="preserve"> </w:t>
      </w:r>
      <w:r>
        <w:t xml:space="preserve">999. Miglioramento dell’autonomia</w:t>
      </w:r>
      <w:r>
        <w:t xml:space="preserve"> </w:t>
      </w:r>
      <w:r>
        <w:t xml:space="preserve">1000. Miglioramento delle relazioni interpersonali</w:t>
      </w:r>
      <w:r>
        <w:t xml:space="preserve"> </w:t>
      </w:r>
      <w:r>
        <w:t xml:space="preserve">30Psicologo di Base · Metodologia apicale e registro unificato delle variabili</w:t>
      </w:r>
      <w:r>
        <w:t xml:space="preserve"> </w:t>
      </w:r>
      <w:r>
        <w:t xml:space="preserve">1001. Aumento della partecipazione sociale</w:t>
      </w:r>
      <w:r>
        <w:t xml:space="preserve"> </w:t>
      </w:r>
      <w:r>
        <w:t xml:space="preserve">1002. Miglioramento della salute percepita</w:t>
      </w:r>
      <w:r>
        <w:t xml:space="preserve"> </w:t>
      </w:r>
      <w:r>
        <w:t xml:space="preserve">1003. Riduzione del carico sintomatologico globale</w:t>
      </w:r>
      <w:r>
        <w:t xml:space="preserve"> </w:t>
      </w:r>
      <w:r>
        <w:t xml:space="preserve">1004. Aumento della speranza e del senso di prospettiva</w:t>
      </w:r>
      <w:r>
        <w:t xml:space="preserve"> </w:t>
      </w:r>
      <w:r>
        <w:t xml:space="preserve">1005. Miglioramento della regolazione emotiva</w:t>
      </w:r>
      <w:r>
        <w:t xml:space="preserve"> </w:t>
      </w:r>
      <w:r>
        <w:t xml:space="preserve">1006. Aumento della capacità di affrontare le difficoltà</w:t>
      </w:r>
      <w:r>
        <w:t xml:space="preserve"> </w:t>
      </w:r>
      <w:r>
        <w:t xml:space="preserve">1007. Riduzione dell’impatto del disagio sulla vita quotidiana</w:t>
      </w:r>
      <w:r>
        <w:t xml:space="preserve"> </w:t>
      </w:r>
      <w:r>
        <w:t xml:space="preserve">1008. Miglioramento del sonno e dell’energia</w:t>
      </w:r>
      <w:r>
        <w:t xml:space="preserve"> </w:t>
      </w:r>
      <w:r>
        <w:t xml:space="preserve">1009. Aumento della soddisfazione nelle relazioni familiari</w:t>
      </w:r>
      <w:r>
        <w:t xml:space="preserve"> </w:t>
      </w:r>
      <w:r>
        <w:t xml:space="preserve">1010. Miglioramento della vita affettiva e relazionale</w:t>
      </w:r>
      <w:r>
        <w:t xml:space="preserve"> </w:t>
      </w:r>
      <w:r>
        <w:t xml:space="preserve">1011. Aumento del senso di realizzazione</w:t>
      </w:r>
      <w:r>
        <w:t xml:space="preserve"> </w:t>
      </w:r>
      <w:r>
        <w:t xml:space="preserve">1012. Miglioramento del benessere esistenziale</w:t>
      </w:r>
      <w:r>
        <w:t xml:space="preserve"> </w:t>
      </w:r>
      <w:r>
        <w:t xml:space="preserve">1013. Aumento della qualità di vita dei familiari</w:t>
      </w:r>
      <w:r>
        <w:t xml:space="preserve"> </w:t>
      </w:r>
      <w:r>
        <w:t xml:space="preserve">Totale: 1013 variabili, organizzate in 20 dimensioni e 5 livelli di analisi. L’elenco è esteso ma non</w:t>
      </w:r>
      <w:r>
        <w:t xml:space="preserve"> </w:t>
      </w:r>
      <w:r>
        <w:t xml:space="preserve">esaustivo: può essere ampliato e, per ciascuna variabile, corredato degli attributi e della</w:t>
      </w:r>
      <w:r>
        <w:t xml:space="preserve"> </w:t>
      </w:r>
      <w:r>
        <w:t xml:space="preserve">documentazione bibliografica puntuale in fase di rilevazione.</w:t>
      </w:r>
      <w:r>
        <w:t xml:space="preserve"> </w:t>
      </w:r>
      <w:r>
        <w:t xml:space="preserve">31Psicologo di Base · Metodologia apicale e registro unificato delle variabili</w:t>
      </w:r>
      <w:r>
        <w:t xml:space="preserve"> </w:t>
      </w:r>
      <w:r>
        <w:t xml:space="preserve">Sezione 2 — Registro ramificato: 2528 variabili</w:t>
      </w:r>
      <w:r>
        <w:t xml:space="preserve"> </w:t>
      </w:r>
      <w:r>
        <w:t xml:space="preserve">Questo volume estende i sottoinsiemi del catalogo (Volume I)11 mediante ramificazione</w:t>
      </w:r>
      <w:r>
        <w:t xml:space="preserve"> </w:t>
      </w:r>
      <w:r>
        <w:t xml:space="preserve">sistematica: ciascun ramo-genitore è disaggregato lungo un asse pertinente, con vocabolario</w:t>
      </w:r>
      <w:r>
        <w:t xml:space="preserve"> </w:t>
      </w:r>
      <w:r>
        <w:t xml:space="preserve">controllato, secondo quattro assi — popolazione e fascia di vita, setting di erogazione, voce di</w:t>
      </w:r>
      <w:r>
        <w:t xml:space="preserve"> </w:t>
      </w:r>
      <w:r>
        <w:t xml:space="preserve">costo e servizio, meccanismo e componente di intervento. La ramificazione genera variabili di</w:t>
      </w:r>
      <w:r>
        <w:t xml:space="preserve"> </w:t>
      </w:r>
      <w:r>
        <w:t xml:space="preserve">dettaglio confrontabili e tracciabili; non sostituisce la selezione, che resta il passo operativo</w:t>
      </w:r>
      <w:r>
        <w:t xml:space="preserve"> </w:t>
      </w:r>
      <w:r>
        <w:t xml:space="preserve">successivo: tra le molte variabili enumerate si individuano quelle prioritarie, e a ciascuna si</w:t>
      </w:r>
      <w:r>
        <w:t xml:space="preserve"> </w:t>
      </w:r>
      <w:r>
        <w:t xml:space="preserve">assegnano indicatore, fonte, direzione attesa e disegno di studio.12 Le variabili sono numerate</w:t>
      </w:r>
      <w:r>
        <w:t xml:space="preserve"> </w:t>
      </w:r>
      <w:r>
        <w:t xml:space="preserve">in continuità con il Volume I, a partire dal numero 1014.</w:t>
      </w:r>
      <w:r>
        <w:t xml:space="preserve"> </w:t>
      </w:r>
      <w:r>
        <w:t xml:space="preserve">A — Ramificazione per popolazione e fascia di vita</w:t>
      </w:r>
      <w:r>
        <w:t xml:space="preserve"> </w:t>
      </w:r>
      <w:r>
        <w:t xml:space="preserve">Ogni ramo-genitore è declinato per gruppo di popolazione e fascia di vita.</w:t>
      </w:r>
      <w:r>
        <w:t xml:space="preserve"> </w:t>
      </w:r>
      <w:r>
        <w:t xml:space="preserve">Ramo: Riduzione dei sintomi depressivi</w:t>
      </w:r>
      <w:r>
        <w:t xml:space="preserve"> </w:t>
      </w:r>
      <w:r>
        <w:t xml:space="preserve">1014. Riduzione dei sintomi depressivi negli adulti in età lavorativa</w:t>
      </w:r>
      <w:r>
        <w:t xml:space="preserve"> </w:t>
      </w:r>
      <w:r>
        <w:t xml:space="preserve">1015. Riduzione dei sintomi depressivi negli adolescenti</w:t>
      </w:r>
      <w:r>
        <w:t xml:space="preserve"> </w:t>
      </w:r>
      <w:r>
        <w:t xml:space="preserve">1016. Riduzione dei sintomi depressivi nei bambini</w:t>
      </w:r>
      <w:r>
        <w:t xml:space="preserve"> </w:t>
      </w:r>
      <w:r>
        <w:t xml:space="preserve">1017. Riduzione dei sintomi depressivi negli anziani</w:t>
      </w:r>
      <w:r>
        <w:t xml:space="preserve"> </w:t>
      </w:r>
      <w:r>
        <w:t xml:space="preserve">1018. Riduzione dei sintomi depressivi nei grandi anziani</w:t>
      </w:r>
      <w:r>
        <w:t xml:space="preserve"> </w:t>
      </w:r>
      <w:r>
        <w:t xml:space="preserve">1019. Riduzione dei sintomi depressivi nelle donne in gravidanza</w:t>
      </w:r>
      <w:r>
        <w:t xml:space="preserve"> </w:t>
      </w:r>
      <w:r>
        <w:t xml:space="preserve">1020. Riduzione dei sintomi depressivi nelle donne nel post-partum</w:t>
      </w:r>
      <w:r>
        <w:t xml:space="preserve"> </w:t>
      </w:r>
      <w:r>
        <w:t xml:space="preserve">1021. Riduzione dei sintomi depressivi nei caregiver</w:t>
      </w:r>
      <w:r>
        <w:t xml:space="preserve"> </w:t>
      </w:r>
      <w:r>
        <w:t xml:space="preserve">1022. Riduzione dei sintomi depressivi nei pazienti con malattie croniche</w:t>
      </w:r>
      <w:r>
        <w:t xml:space="preserve"> </w:t>
      </w:r>
      <w:r>
        <w:t xml:space="preserve">1023. Riduzione dei sintomi depressivi nei pazienti con multimorbilità</w:t>
      </w:r>
      <w:r>
        <w:t xml:space="preserve"> </w:t>
      </w:r>
      <w:r>
        <w:t xml:space="preserve">1024. Riduzione dei sintomi depressivi nei pazienti oncologici</w:t>
      </w:r>
      <w:r>
        <w:t xml:space="preserve"> </w:t>
      </w:r>
      <w:r>
        <w:t xml:space="preserve">1025. Riduzione dei sintomi depressivi nelle persone con dolore cronico</w:t>
      </w:r>
      <w:r>
        <w:t xml:space="preserve"> </w:t>
      </w:r>
      <w:r>
        <w:t xml:space="preserve">1026. Riduzione dei sintomi depressivi nei pazienti diabetici</w:t>
      </w:r>
      <w:r>
        <w:t xml:space="preserve"> </w:t>
      </w:r>
      <w:r>
        <w:t xml:space="preserve">1027. Riduzione dei sintomi depressivi nei pazienti cardiopatici</w:t>
      </w:r>
      <w:r>
        <w:t xml:space="preserve"> </w:t>
      </w:r>
      <w:r>
        <w:t xml:space="preserve">1028. Riduzione dei sintomi depressivi nelle persone con disabilità</w:t>
      </w:r>
      <w:r>
        <w:t xml:space="preserve"> </w:t>
      </w:r>
      <w:r>
        <w:t xml:space="preserve">1029. Riduzione dei sintomi depressivi nei migranti e rifugiati</w:t>
      </w:r>
      <w:r>
        <w:t xml:space="preserve"> </w:t>
      </w:r>
      <w:r>
        <w:t xml:space="preserve">1030. Riduzione dei sintomi depressivi nelle persone in condizione di povertà</w:t>
      </w:r>
      <w:r>
        <w:t xml:space="preserve"> </w:t>
      </w:r>
      <w:r>
        <w:t xml:space="preserve">1031. Riduzione dei sintomi depressivi nelle persone senza dimora</w:t>
      </w:r>
      <w:r>
        <w:t xml:space="preserve"> </w:t>
      </w:r>
      <w:r>
        <w:t xml:space="preserve">1032. Riduzione dei sintomi depressivi nei disoccupati</w:t>
      </w:r>
      <w:r>
        <w:t xml:space="preserve"> </w:t>
      </w:r>
      <w:r>
        <w:t xml:space="preserve">1033. Riduzione dei sintomi depressivi nei lavoratori esposti a stress</w:t>
      </w:r>
      <w:r>
        <w:t xml:space="preserve"> </w:t>
      </w:r>
      <w:r>
        <w:t xml:space="preserve">1034. Riduzione dei sintomi depressivi negli studenti</w:t>
      </w:r>
      <w:r>
        <w:t xml:space="preserve"> </w:t>
      </w:r>
      <w:r>
        <w:t xml:space="preserve">1035. Riduzione dei sintomi depressivi nelle persone vittime di violenza</w:t>
      </w:r>
      <w:r>
        <w:t xml:space="preserve"> </w:t>
      </w:r>
      <w:r>
        <w:t xml:space="preserve">1036. Riduzione dei sintomi depressivi nelle persone in lutto</w:t>
      </w:r>
      <w:r>
        <w:t xml:space="preserve"> </w:t>
      </w:r>
      <w:r>
        <w:t xml:space="preserve">1037. Riduzione dei sintomi depressivi nelle persone con dipendenze</w:t>
      </w:r>
      <w:r>
        <w:t xml:space="preserve"> </w:t>
      </w:r>
      <w:r>
        <w:t xml:space="preserve">1038. Riduzione dei sintomi depressivi nei pazienti dopo un ricovero</w:t>
      </w:r>
      <w:r>
        <w:t xml:space="preserve"> </w:t>
      </w:r>
      <w:r>
        <w:t xml:space="preserve">1039. Riduzione dei sintomi depressivi nelle persone LGBTQ+</w:t>
      </w:r>
      <w:r>
        <w:t xml:space="preserve"> </w:t>
      </w:r>
      <w:r>
        <w:t xml:space="preserve">1040. Riduzione dei sintomi depressivi nelle persone delle aree interne e remote</w:t>
      </w:r>
      <w:r>
        <w:t xml:space="preserve"> </w:t>
      </w:r>
      <w:r>
        <w:t xml:space="preserve">11Volume I del medesimo progetto: Metodologia di valutazione multidimensionale e catalogo</w:t>
      </w:r>
      <w:r>
        <w:t xml:space="preserve"> </w:t>
      </w:r>
      <w:r>
        <w:t xml:space="preserve">di 1013 variabili in 48 dimensioni e 5 livelli; il presente Volume II ne ramifica i sottoinsiemi</w:t>
      </w:r>
      <w:r>
        <w:t xml:space="preserve"> </w:t>
      </w:r>
      <w:r>
        <w:t xml:space="preserve">lungo assi controllati, mantenendo la numerazione continua.</w:t>
      </w:r>
      <w:r>
        <w:t xml:space="preserve"> </w:t>
      </w:r>
      <w:r>
        <w:t xml:space="preserve">12Logica di ramificazione: ciascun ramo-genitore e disaggregato lungo un asse pertinente</w:t>
      </w:r>
      <w:r>
        <w:t xml:space="preserve"> </w:t>
      </w:r>
      <w:r>
        <w:t xml:space="preserve">con vocabolario controllato (popolazione e fascia di vita; setting di erogazione; voce di costo</w:t>
      </w:r>
      <w:r>
        <w:t xml:space="preserve"> </w:t>
      </w:r>
      <w:r>
        <w:t xml:space="preserve">e servizio; meccanismo e componente di intervento). La generazione e sistematica e</w:t>
      </w:r>
      <w:r>
        <w:t xml:space="preserve"> </w:t>
      </w:r>
      <w:r>
        <w:t xml:space="preserve">trasparente; in fase operativa si seleziona un sottoinsieme prioritario di variabili e a ciascuna</w:t>
      </w:r>
      <w:r>
        <w:t xml:space="preserve"> </w:t>
      </w:r>
      <w:r>
        <w:t xml:space="preserve">si assegnano indicatore, fonte e direzione attesa, secondo la prassi dei set di esiti</w:t>
      </w:r>
      <w:r>
        <w:t xml:space="preserve"> </w:t>
      </w:r>
      <w:r>
        <w:t xml:space="preserve">essenziali.</w:t>
      </w:r>
      <w:r>
        <w:t xml:space="preserve"> </w:t>
      </w:r>
      <w:r>
        <w:t xml:space="preserve">32Psicologo di Base · Metodologia apicale e registro unificato delle variabili</w:t>
      </w:r>
      <w:r>
        <w:t xml:space="preserve"> </w:t>
      </w:r>
      <w:r>
        <w:t xml:space="preserve">1041. Riduzione dei sintomi depressivi nelle persone con bassa alfabetizzazione sanitaria</w:t>
      </w:r>
      <w:r>
        <w:t xml:space="preserve"> </w:t>
      </w:r>
      <w:r>
        <w:t xml:space="preserve">Ramo: Riduzione dei sintomi ansiosi</w:t>
      </w:r>
      <w:r>
        <w:t xml:space="preserve"> </w:t>
      </w:r>
      <w:r>
        <w:t xml:space="preserve">1042. Riduzione dei sintomi ansiosi negli adulti in età lavorativa</w:t>
      </w:r>
      <w:r>
        <w:t xml:space="preserve"> </w:t>
      </w:r>
      <w:r>
        <w:t xml:space="preserve">1043. Riduzione dei sintomi ansiosi negli adolescenti</w:t>
      </w:r>
      <w:r>
        <w:t xml:space="preserve"> </w:t>
      </w:r>
      <w:r>
        <w:t xml:space="preserve">1044. Riduzione dei sintomi ansiosi nei bambini</w:t>
      </w:r>
      <w:r>
        <w:t xml:space="preserve"> </w:t>
      </w:r>
      <w:r>
        <w:t xml:space="preserve">1045. Riduzione dei sintomi ansiosi negli anziani</w:t>
      </w:r>
      <w:r>
        <w:t xml:space="preserve"> </w:t>
      </w:r>
      <w:r>
        <w:t xml:space="preserve">1046. Riduzione dei sintomi ansiosi nei grandi anziani</w:t>
      </w:r>
      <w:r>
        <w:t xml:space="preserve"> </w:t>
      </w:r>
      <w:r>
        <w:t xml:space="preserve">1047. Riduzione dei sintomi ansiosi nelle donne in gravidanza</w:t>
      </w:r>
      <w:r>
        <w:t xml:space="preserve"> </w:t>
      </w:r>
      <w:r>
        <w:t xml:space="preserve">1048. Riduzione dei sintomi ansiosi nelle donne nel post-partum</w:t>
      </w:r>
      <w:r>
        <w:t xml:space="preserve"> </w:t>
      </w:r>
      <w:r>
        <w:t xml:space="preserve">1049. Riduzione dei sintomi ansiosi nei caregiver</w:t>
      </w:r>
      <w:r>
        <w:t xml:space="preserve"> </w:t>
      </w:r>
      <w:r>
        <w:t xml:space="preserve">1050. Riduzione dei sintomi ansiosi nei pazienti con malattie croniche</w:t>
      </w:r>
      <w:r>
        <w:t xml:space="preserve"> </w:t>
      </w:r>
      <w:r>
        <w:t xml:space="preserve">1051. Riduzione dei sintomi ansiosi nei pazienti con multimorbilità</w:t>
      </w:r>
      <w:r>
        <w:t xml:space="preserve"> </w:t>
      </w:r>
      <w:r>
        <w:t xml:space="preserve">1052. Riduzione dei sintomi ansiosi nei pazienti oncologici</w:t>
      </w:r>
      <w:r>
        <w:t xml:space="preserve"> </w:t>
      </w:r>
      <w:r>
        <w:t xml:space="preserve">1053. Riduzione dei sintomi ansiosi nelle persone con dolore cronico</w:t>
      </w:r>
      <w:r>
        <w:t xml:space="preserve"> </w:t>
      </w:r>
      <w:r>
        <w:t xml:space="preserve">1054. Riduzione dei sintomi ansiosi nei pazienti diabetici</w:t>
      </w:r>
      <w:r>
        <w:t xml:space="preserve"> </w:t>
      </w:r>
      <w:r>
        <w:t xml:space="preserve">1055. Riduzione dei sintomi ansiosi nei pazienti cardiopatici</w:t>
      </w:r>
      <w:r>
        <w:t xml:space="preserve"> </w:t>
      </w:r>
      <w:r>
        <w:t xml:space="preserve">1056. Riduzione dei sintomi ansiosi nelle persone con disabilità</w:t>
      </w:r>
      <w:r>
        <w:t xml:space="preserve"> </w:t>
      </w:r>
      <w:r>
        <w:t xml:space="preserve">1057. Riduzione dei sintomi ansiosi nei migranti e rifugiati</w:t>
      </w:r>
      <w:r>
        <w:t xml:space="preserve"> </w:t>
      </w:r>
      <w:r>
        <w:t xml:space="preserve">1058. Riduzione dei sintomi ansiosi nelle persone in condizione di povertà</w:t>
      </w:r>
      <w:r>
        <w:t xml:space="preserve"> </w:t>
      </w:r>
      <w:r>
        <w:t xml:space="preserve">1059. Riduzione dei sintomi ansiosi nelle persone senza dimora</w:t>
      </w:r>
      <w:r>
        <w:t xml:space="preserve"> </w:t>
      </w:r>
      <w:r>
        <w:t xml:space="preserve">1060. Riduzione dei sintomi ansiosi nei disoccupati</w:t>
      </w:r>
      <w:r>
        <w:t xml:space="preserve"> </w:t>
      </w:r>
      <w:r>
        <w:t xml:space="preserve">1061. Riduzione dei sintomi ansiosi nei lavoratori esposti a stress</w:t>
      </w:r>
      <w:r>
        <w:t xml:space="preserve"> </w:t>
      </w:r>
      <w:r>
        <w:t xml:space="preserve">1062. Riduzione dei sintomi ansiosi negli studenti</w:t>
      </w:r>
      <w:r>
        <w:t xml:space="preserve"> </w:t>
      </w:r>
      <w:r>
        <w:t xml:space="preserve">1063. Riduzione dei sintomi ansiosi nelle persone vittime di violenza</w:t>
      </w:r>
      <w:r>
        <w:t xml:space="preserve"> </w:t>
      </w:r>
      <w:r>
        <w:t xml:space="preserve">1064. Riduzione dei sintomi ansiosi nelle persone in lutto</w:t>
      </w:r>
      <w:r>
        <w:t xml:space="preserve"> </w:t>
      </w:r>
      <w:r>
        <w:t xml:space="preserve">1065. Riduzione dei sintomi ansiosi nelle persone con dipendenze</w:t>
      </w:r>
      <w:r>
        <w:t xml:space="preserve"> </w:t>
      </w:r>
      <w:r>
        <w:t xml:space="preserve">1066. Riduzione dei sintomi ansiosi nei pazienti dopo un ricovero</w:t>
      </w:r>
      <w:r>
        <w:t xml:space="preserve"> </w:t>
      </w:r>
      <w:r>
        <w:t xml:space="preserve">1067. Riduzione dei sintomi ansiosi nelle persone LGBTQ+</w:t>
      </w:r>
      <w:r>
        <w:t xml:space="preserve"> </w:t>
      </w:r>
      <w:r>
        <w:t xml:space="preserve">1068. Riduzione dei sintomi ansiosi nelle persone delle aree interne e remote</w:t>
      </w:r>
      <w:r>
        <w:t xml:space="preserve"> </w:t>
      </w:r>
      <w:r>
        <w:t xml:space="preserve">1069. Riduzione dei sintomi ansiosi nelle persone con bassa alfabetizzazione sanitaria</w:t>
      </w:r>
      <w:r>
        <w:t xml:space="preserve"> </w:t>
      </w:r>
      <w:r>
        <w:t xml:space="preserve">Ramo: Riduzione dei sintomi da stress post-traumatico</w:t>
      </w:r>
      <w:r>
        <w:t xml:space="preserve"> </w:t>
      </w:r>
      <w:r>
        <w:t xml:space="preserve">1070. Riduzione dei sintomi da stress post-traumatico negli adulti in età lavorativa</w:t>
      </w:r>
      <w:r>
        <w:t xml:space="preserve"> </w:t>
      </w:r>
      <w:r>
        <w:t xml:space="preserve">1071. Riduzione dei sintomi da stress post-traumatico negli adolescenti</w:t>
      </w:r>
      <w:r>
        <w:t xml:space="preserve"> </w:t>
      </w:r>
      <w:r>
        <w:t xml:space="preserve">1072. Riduzione dei sintomi da stress post-traumatico nei bambini</w:t>
      </w:r>
      <w:r>
        <w:t xml:space="preserve"> </w:t>
      </w:r>
      <w:r>
        <w:t xml:space="preserve">1073. Riduzione dei sintomi da stress post-traumatico negli anziani</w:t>
      </w:r>
      <w:r>
        <w:t xml:space="preserve"> </w:t>
      </w:r>
      <w:r>
        <w:t xml:space="preserve">1074. Riduzione dei sintomi da stress post-traumatico nei grandi anziani</w:t>
      </w:r>
      <w:r>
        <w:t xml:space="preserve"> </w:t>
      </w:r>
      <w:r>
        <w:t xml:space="preserve">1075. Riduzione dei sintomi da stress post-traumatico nelle donne in gravidanza</w:t>
      </w:r>
      <w:r>
        <w:t xml:space="preserve"> </w:t>
      </w:r>
      <w:r>
        <w:t xml:space="preserve">1076. Riduzione dei sintomi da stress post-traumatico nelle donne nel post-partum</w:t>
      </w:r>
      <w:r>
        <w:t xml:space="preserve"> </w:t>
      </w:r>
      <w:r>
        <w:t xml:space="preserve">1077. Riduzione dei sintomi da stress post-traumatico nei caregiver</w:t>
      </w:r>
      <w:r>
        <w:t xml:space="preserve"> </w:t>
      </w:r>
      <w:r>
        <w:t xml:space="preserve">1078. Riduzione dei sintomi da stress post-traumatico nei pazienti con malattie croniche</w:t>
      </w:r>
      <w:r>
        <w:t xml:space="preserve"> </w:t>
      </w:r>
      <w:r>
        <w:t xml:space="preserve">1079. Riduzione dei sintomi da stress post-traumatico nei pazienti con multimorbilità</w:t>
      </w:r>
      <w:r>
        <w:t xml:space="preserve"> </w:t>
      </w:r>
      <w:r>
        <w:t xml:space="preserve">1080. Riduzione dei sintomi da stress post-traumatico nei pazienti oncologici</w:t>
      </w:r>
      <w:r>
        <w:t xml:space="preserve"> </w:t>
      </w:r>
      <w:r>
        <w:t xml:space="preserve">1081. Riduzione dei sintomi da stress post-traumatico nelle persone con dolore cronico</w:t>
      </w:r>
      <w:r>
        <w:t xml:space="preserve"> </w:t>
      </w:r>
      <w:r>
        <w:t xml:space="preserve">1082. Riduzione dei sintomi da stress post-traumatico nei pazienti diabetici</w:t>
      </w:r>
      <w:r>
        <w:t xml:space="preserve"> </w:t>
      </w:r>
      <w:r>
        <w:t xml:space="preserve">1083. Riduzione dei sintomi da stress post-traumatico nei pazienti cardiopatici</w:t>
      </w:r>
      <w:r>
        <w:t xml:space="preserve"> </w:t>
      </w:r>
      <w:r>
        <w:t xml:space="preserve">1084. Riduzione dei sintomi da stress post-traumatico nelle persone con disabilità</w:t>
      </w:r>
      <w:r>
        <w:t xml:space="preserve"> </w:t>
      </w:r>
      <w:r>
        <w:t xml:space="preserve">1085. Riduzione dei sintomi da stress post-traumatico nei migranti e rifugiati</w:t>
      </w:r>
      <w:r>
        <w:t xml:space="preserve"> </w:t>
      </w:r>
      <w:r>
        <w:t xml:space="preserve">1086. Riduzione dei sintomi da stress post-traumatico nelle persone in condizione di povertà</w:t>
      </w:r>
      <w:r>
        <w:t xml:space="preserve"> </w:t>
      </w:r>
      <w:r>
        <w:t xml:space="preserve">1087. Riduzione dei sintomi da stress post-traumatico nelle persone senza dimora</w:t>
      </w:r>
      <w:r>
        <w:t xml:space="preserve"> </w:t>
      </w:r>
      <w:r>
        <w:t xml:space="preserve">33Psicologo di Base · Metodologia apicale e registro unificato delle variabili</w:t>
      </w:r>
      <w:r>
        <w:t xml:space="preserve"> </w:t>
      </w:r>
      <w:r>
        <w:t xml:space="preserve">1088. Riduzione dei sintomi da stress post-traumatico nei disoccupati</w:t>
      </w:r>
      <w:r>
        <w:t xml:space="preserve"> </w:t>
      </w:r>
      <w:r>
        <w:t xml:space="preserve">1089. Riduzione dei sintomi da stress post-traumatico nei lavoratori esposti a stress</w:t>
      </w:r>
      <w:r>
        <w:t xml:space="preserve"> </w:t>
      </w:r>
      <w:r>
        <w:t xml:space="preserve">1090. Riduzione dei sintomi da stress post-traumatico negli studenti</w:t>
      </w:r>
      <w:r>
        <w:t xml:space="preserve"> </w:t>
      </w:r>
      <w:r>
        <w:t xml:space="preserve">1091. Riduzione dei sintomi da stress post-traumatico nelle persone vittime di violenza</w:t>
      </w:r>
      <w:r>
        <w:t xml:space="preserve"> </w:t>
      </w:r>
      <w:r>
        <w:t xml:space="preserve">1092. Riduzione dei sintomi da stress post-traumatico nelle persone in lutto</w:t>
      </w:r>
      <w:r>
        <w:t xml:space="preserve"> </w:t>
      </w:r>
      <w:r>
        <w:t xml:space="preserve">1093. Riduzione dei sintomi da stress post-traumatico nelle persone con dipendenze</w:t>
      </w:r>
      <w:r>
        <w:t xml:space="preserve"> </w:t>
      </w:r>
      <w:r>
        <w:t xml:space="preserve">1094. Riduzione dei sintomi da stress post-traumatico nei pazienti dopo un ricovero</w:t>
      </w:r>
      <w:r>
        <w:t xml:space="preserve"> </w:t>
      </w:r>
      <w:r>
        <w:t xml:space="preserve">1095. Riduzione dei sintomi da stress post-traumatico nelle persone LGBTQ+</w:t>
      </w:r>
      <w:r>
        <w:t xml:space="preserve"> </w:t>
      </w:r>
      <w:r>
        <w:t xml:space="preserve">1096. Riduzione dei sintomi da stress post-traumatico nelle persone delle aree interne e remote</w:t>
      </w:r>
      <w:r>
        <w:t xml:space="preserve"> </w:t>
      </w:r>
      <w:r>
        <w:t xml:space="preserve">1097. Riduzione dei sintomi da stress post-traumatico nelle persone con bassa alfabetizzazione</w:t>
      </w:r>
      <w:r>
        <w:t xml:space="preserve"> </w:t>
      </w:r>
      <w:r>
        <w:t xml:space="preserve">sanitaria</w:t>
      </w:r>
      <w:r>
        <w:t xml:space="preserve"> </w:t>
      </w:r>
      <w:r>
        <w:t xml:space="preserve">Ramo: Riduzione dei sintomi somatici funzionali</w:t>
      </w:r>
      <w:r>
        <w:t xml:space="preserve"> </w:t>
      </w:r>
      <w:r>
        <w:t xml:space="preserve">1098. Riduzione dei sintomi somatici funzionali negli adulti in età lavorativa</w:t>
      </w:r>
      <w:r>
        <w:t xml:space="preserve"> </w:t>
      </w:r>
      <w:r>
        <w:t xml:space="preserve">1099. Riduzione dei sintomi somatici funzionali negli adolescenti</w:t>
      </w:r>
      <w:r>
        <w:t xml:space="preserve"> </w:t>
      </w:r>
      <w:r>
        <w:t xml:space="preserve">1100. Riduzione dei sintomi somatici funzionali nei bambini</w:t>
      </w:r>
      <w:r>
        <w:t xml:space="preserve"> </w:t>
      </w:r>
      <w:r>
        <w:t xml:space="preserve">1101. Riduzione dei sintomi somatici funzionali negli anziani</w:t>
      </w:r>
      <w:r>
        <w:t xml:space="preserve"> </w:t>
      </w:r>
      <w:r>
        <w:t xml:space="preserve">1102. Riduzione dei sintomi somatici funzionali nei grandi anziani</w:t>
      </w:r>
      <w:r>
        <w:t xml:space="preserve"> </w:t>
      </w:r>
      <w:r>
        <w:t xml:space="preserve">1103. Riduzione dei sintomi somatici funzionali nelle donne in gravidanza</w:t>
      </w:r>
      <w:r>
        <w:t xml:space="preserve"> </w:t>
      </w:r>
      <w:r>
        <w:t xml:space="preserve">1104. Riduzione dei sintomi somatici funzionali nelle donne nel post-partum</w:t>
      </w:r>
      <w:r>
        <w:t xml:space="preserve"> </w:t>
      </w:r>
      <w:r>
        <w:t xml:space="preserve">1105. Riduzione dei sintomi somatici funzionali nei caregiver</w:t>
      </w:r>
      <w:r>
        <w:t xml:space="preserve"> </w:t>
      </w:r>
      <w:r>
        <w:t xml:space="preserve">1106. Riduzione dei sintomi somatici funzionali nei pazienti con malattie croniche</w:t>
      </w:r>
      <w:r>
        <w:t xml:space="preserve"> </w:t>
      </w:r>
      <w:r>
        <w:t xml:space="preserve">1107. Riduzione dei sintomi somatici funzionali nei pazienti con multimorbilità</w:t>
      </w:r>
      <w:r>
        <w:t xml:space="preserve"> </w:t>
      </w:r>
      <w:r>
        <w:t xml:space="preserve">1108. Riduzione dei sintomi somatici funzionali nei pazienti oncologici</w:t>
      </w:r>
      <w:r>
        <w:t xml:space="preserve"> </w:t>
      </w:r>
      <w:r>
        <w:t xml:space="preserve">1109. Riduzione dei sintomi somatici funzionali nelle persone con dolore cronico</w:t>
      </w:r>
      <w:r>
        <w:t xml:space="preserve"> </w:t>
      </w:r>
      <w:r>
        <w:t xml:space="preserve">1110. Riduzione dei sintomi somatici funzionali nei pazienti diabetici</w:t>
      </w:r>
      <w:r>
        <w:t xml:space="preserve"> </w:t>
      </w:r>
      <w:r>
        <w:t xml:space="preserve">1111. Riduzione dei sintomi somatici funzionali nei pazienti cardiopatici</w:t>
      </w:r>
      <w:r>
        <w:t xml:space="preserve"> </w:t>
      </w:r>
      <w:r>
        <w:t xml:space="preserve">1112. Riduzione dei sintomi somatici funzionali nelle persone con disabilità</w:t>
      </w:r>
      <w:r>
        <w:t xml:space="preserve"> </w:t>
      </w:r>
      <w:r>
        <w:t xml:space="preserve">1113. Riduzione dei sintomi somatici funzionali nei migranti e rifugiati</w:t>
      </w:r>
      <w:r>
        <w:t xml:space="preserve"> </w:t>
      </w:r>
      <w:r>
        <w:t xml:space="preserve">1114. Riduzione dei sintomi somatici funzionali nelle persone in condizione di povertà</w:t>
      </w:r>
      <w:r>
        <w:t xml:space="preserve"> </w:t>
      </w:r>
      <w:r>
        <w:t xml:space="preserve">1115. Riduzione dei sintomi somatici funzionali nelle persone senza dimora</w:t>
      </w:r>
      <w:r>
        <w:t xml:space="preserve"> </w:t>
      </w:r>
      <w:r>
        <w:t xml:space="preserve">1116. Riduzione dei sintomi somatici funzionali nei disoccupati</w:t>
      </w:r>
      <w:r>
        <w:t xml:space="preserve"> </w:t>
      </w:r>
      <w:r>
        <w:t xml:space="preserve">1117. Riduzione dei sintomi somatici funzionali nei lavoratori esposti a stress</w:t>
      </w:r>
      <w:r>
        <w:t xml:space="preserve"> </w:t>
      </w:r>
      <w:r>
        <w:t xml:space="preserve">1118. Riduzione dei sintomi somatici funzionali negli studenti</w:t>
      </w:r>
      <w:r>
        <w:t xml:space="preserve"> </w:t>
      </w:r>
      <w:r>
        <w:t xml:space="preserve">1119. Riduzione dei sintomi somatici funzionali nelle persone vittime di violenza</w:t>
      </w:r>
      <w:r>
        <w:t xml:space="preserve"> </w:t>
      </w:r>
      <w:r>
        <w:t xml:space="preserve">1120. Riduzione dei sintomi somatici funzionali nelle persone in lutto</w:t>
      </w:r>
      <w:r>
        <w:t xml:space="preserve"> </w:t>
      </w:r>
      <w:r>
        <w:t xml:space="preserve">1121. Riduzione dei sintomi somatici funzionali nelle persone con dipendenze</w:t>
      </w:r>
      <w:r>
        <w:t xml:space="preserve"> </w:t>
      </w:r>
      <w:r>
        <w:t xml:space="preserve">1122. Riduzione dei sintomi somatici funzionali nei pazienti dopo un ricovero</w:t>
      </w:r>
      <w:r>
        <w:t xml:space="preserve"> </w:t>
      </w:r>
      <w:r>
        <w:t xml:space="preserve">1123. Riduzione dei sintomi somatici funzionali nelle persone LGBTQ+</w:t>
      </w:r>
      <w:r>
        <w:t xml:space="preserve"> </w:t>
      </w:r>
      <w:r>
        <w:t xml:space="preserve">1124. Riduzione dei sintomi somatici funzionali nelle persone delle aree interne e remote</w:t>
      </w:r>
      <w:r>
        <w:t xml:space="preserve"> </w:t>
      </w:r>
      <w:r>
        <w:t xml:space="preserve">1125. Riduzione dei sintomi somatici funzionali nelle persone con bassa alfabetizzazione sanitaria</w:t>
      </w:r>
      <w:r>
        <w:t xml:space="preserve"> </w:t>
      </w:r>
      <w:r>
        <w:t xml:space="preserve">Ramo: Riduzione del rischio suicidario</w:t>
      </w:r>
      <w:r>
        <w:t xml:space="preserve"> </w:t>
      </w:r>
      <w:r>
        <w:t xml:space="preserve">1126. Riduzione del rischio suicidario negli adulti in età lavorativa</w:t>
      </w:r>
      <w:r>
        <w:t xml:space="preserve"> </w:t>
      </w:r>
      <w:r>
        <w:t xml:space="preserve">1127. Riduzione del rischio suicidario negli adolescenti</w:t>
      </w:r>
      <w:r>
        <w:t xml:space="preserve"> </w:t>
      </w:r>
      <w:r>
        <w:t xml:space="preserve">1128. Riduzione del rischio suicidario nei bambini</w:t>
      </w:r>
      <w:r>
        <w:t xml:space="preserve"> </w:t>
      </w:r>
      <w:r>
        <w:t xml:space="preserve">1129. Riduzione del rischio suicidario negli anziani</w:t>
      </w:r>
      <w:r>
        <w:t xml:space="preserve"> </w:t>
      </w:r>
      <w:r>
        <w:t xml:space="preserve">1130. Riduzione del rischio suicidario nei grandi anziani</w:t>
      </w:r>
      <w:r>
        <w:t xml:space="preserve"> </w:t>
      </w:r>
      <w:r>
        <w:t xml:space="preserve">1131. Riduzione del rischio suicidario nelle donne in gravidanza</w:t>
      </w:r>
      <w:r>
        <w:t xml:space="preserve"> </w:t>
      </w:r>
      <w:r>
        <w:t xml:space="preserve">1132. Riduzione del rischio suicidario nelle donne nel post-partum</w:t>
      </w:r>
      <w:r>
        <w:t xml:space="preserve"> </w:t>
      </w:r>
      <w:r>
        <w:t xml:space="preserve">1133. Riduzione del rischio suicidario nei caregiver</w:t>
      </w:r>
      <w:r>
        <w:t xml:space="preserve"> </w:t>
      </w:r>
      <w:r>
        <w:t xml:space="preserve">34Psicologo di Base · Metodologia apicale e registro unificato delle variabili</w:t>
      </w:r>
      <w:r>
        <w:t xml:space="preserve"> </w:t>
      </w:r>
      <w:r>
        <w:t xml:space="preserve">1134. Riduzione del rischio suicidario nei pazienti con malattie croniche</w:t>
      </w:r>
      <w:r>
        <w:t xml:space="preserve"> </w:t>
      </w:r>
      <w:r>
        <w:t xml:space="preserve">1135. Riduzione del rischio suicidario nei pazienti con multimorbilità</w:t>
      </w:r>
      <w:r>
        <w:t xml:space="preserve"> </w:t>
      </w:r>
      <w:r>
        <w:t xml:space="preserve">1136. Riduzione del rischio suicidario nei pazienti oncologici</w:t>
      </w:r>
      <w:r>
        <w:t xml:space="preserve"> </w:t>
      </w:r>
      <w:r>
        <w:t xml:space="preserve">1137. Riduzione del rischio suicidario nelle persone con dolore cronico</w:t>
      </w:r>
      <w:r>
        <w:t xml:space="preserve"> </w:t>
      </w:r>
      <w:r>
        <w:t xml:space="preserve">1138. Riduzione del rischio suicidario nei pazienti diabetici</w:t>
      </w:r>
      <w:r>
        <w:t xml:space="preserve"> </w:t>
      </w:r>
      <w:r>
        <w:t xml:space="preserve">1139. Riduzione del rischio suicidario nei pazienti cardiopatici</w:t>
      </w:r>
      <w:r>
        <w:t xml:space="preserve"> </w:t>
      </w:r>
      <w:r>
        <w:t xml:space="preserve">1140. Riduzione del rischio suicidario nelle persone con disabilità</w:t>
      </w:r>
      <w:r>
        <w:t xml:space="preserve"> </w:t>
      </w:r>
      <w:r>
        <w:t xml:space="preserve">1141. Riduzione del rischio suicidario nei migranti e rifugiati</w:t>
      </w:r>
      <w:r>
        <w:t xml:space="preserve"> </w:t>
      </w:r>
      <w:r>
        <w:t xml:space="preserve">1142. Riduzione del rischio suicidario nelle persone in condizione di povertà</w:t>
      </w:r>
      <w:r>
        <w:t xml:space="preserve"> </w:t>
      </w:r>
      <w:r>
        <w:t xml:space="preserve">1143. Riduzione del rischio suicidario nelle persone senza dimora</w:t>
      </w:r>
      <w:r>
        <w:t xml:space="preserve"> </w:t>
      </w:r>
      <w:r>
        <w:t xml:space="preserve">1144. Riduzione del rischio suicidario nei disoccupati</w:t>
      </w:r>
      <w:r>
        <w:t xml:space="preserve"> </w:t>
      </w:r>
      <w:r>
        <w:t xml:space="preserve">1145. Riduzione del rischio suicidario nei lavoratori esposti a stress</w:t>
      </w:r>
      <w:r>
        <w:t xml:space="preserve"> </w:t>
      </w:r>
      <w:r>
        <w:t xml:space="preserve">1146. Riduzione del rischio suicidario negli studenti</w:t>
      </w:r>
      <w:r>
        <w:t xml:space="preserve"> </w:t>
      </w:r>
      <w:r>
        <w:t xml:space="preserve">1147. Riduzione del rischio suicidario nelle persone vittime di violenza</w:t>
      </w:r>
      <w:r>
        <w:t xml:space="preserve"> </w:t>
      </w:r>
      <w:r>
        <w:t xml:space="preserve">1148. Riduzione del rischio suicidario nelle persone in lutto</w:t>
      </w:r>
      <w:r>
        <w:t xml:space="preserve"> </w:t>
      </w:r>
      <w:r>
        <w:t xml:space="preserve">1149. Riduzione del rischio suicidario nelle persone con dipendenze</w:t>
      </w:r>
      <w:r>
        <w:t xml:space="preserve"> </w:t>
      </w:r>
      <w:r>
        <w:t xml:space="preserve">1150. Riduzione del rischio suicidario nei pazienti dopo un ricovero</w:t>
      </w:r>
      <w:r>
        <w:t xml:space="preserve"> </w:t>
      </w:r>
      <w:r>
        <w:t xml:space="preserve">1151. Riduzione del rischio suicidario nelle persone LGBTQ+</w:t>
      </w:r>
      <w:r>
        <w:t xml:space="preserve"> </w:t>
      </w:r>
      <w:r>
        <w:t xml:space="preserve">1152. Riduzione del rischio suicidario nelle persone delle aree interne e remote</w:t>
      </w:r>
      <w:r>
        <w:t xml:space="preserve"> </w:t>
      </w:r>
      <w:r>
        <w:t xml:space="preserve">1153. Riduzione del rischio suicidario nelle persone con bassa alfabetizzazione sanitaria</w:t>
      </w:r>
      <w:r>
        <w:t xml:space="preserve"> </w:t>
      </w:r>
      <w:r>
        <w:t xml:space="preserve">Ramo: Riduzione dell’insonnia</w:t>
      </w:r>
      <w:r>
        <w:t xml:space="preserve"> </w:t>
      </w:r>
      <w:r>
        <w:t xml:space="preserve">1154. Riduzione dell’insonnia negli adulti in età lavorativa</w:t>
      </w:r>
      <w:r>
        <w:t xml:space="preserve"> </w:t>
      </w:r>
      <w:r>
        <w:t xml:space="preserve">1155. Riduzione dell’insonnia negli adolescenti</w:t>
      </w:r>
      <w:r>
        <w:t xml:space="preserve"> </w:t>
      </w:r>
      <w:r>
        <w:t xml:space="preserve">1156. Riduzione dell’insonnia nei bambini</w:t>
      </w:r>
      <w:r>
        <w:t xml:space="preserve"> </w:t>
      </w:r>
      <w:r>
        <w:t xml:space="preserve">1157. Riduzione dell’insonnia negli anziani</w:t>
      </w:r>
      <w:r>
        <w:t xml:space="preserve"> </w:t>
      </w:r>
      <w:r>
        <w:t xml:space="preserve">1158. Riduzione dell’insonnia nei grandi anziani</w:t>
      </w:r>
      <w:r>
        <w:t xml:space="preserve"> </w:t>
      </w:r>
      <w:r>
        <w:t xml:space="preserve">1159. Riduzione dell’insonnia nelle donne in gravidanza</w:t>
      </w:r>
      <w:r>
        <w:t xml:space="preserve"> </w:t>
      </w:r>
      <w:r>
        <w:t xml:space="preserve">1160. Riduzione dell’insonnia nelle donne nel post-partum</w:t>
      </w:r>
      <w:r>
        <w:t xml:space="preserve"> </w:t>
      </w:r>
      <w:r>
        <w:t xml:space="preserve">1161. Riduzione dell’insonnia nei caregiver</w:t>
      </w:r>
      <w:r>
        <w:t xml:space="preserve"> </w:t>
      </w:r>
      <w:r>
        <w:t xml:space="preserve">1162. Riduzione dell’insonnia nei pazienti con malattie croniche</w:t>
      </w:r>
      <w:r>
        <w:t xml:space="preserve"> </w:t>
      </w:r>
      <w:r>
        <w:t xml:space="preserve">1163. Riduzione dell’insonnia nei pazienti con multimorbilità</w:t>
      </w:r>
      <w:r>
        <w:t xml:space="preserve"> </w:t>
      </w:r>
      <w:r>
        <w:t xml:space="preserve">1164. Riduzione dell’insonnia nei pazienti oncologici</w:t>
      </w:r>
      <w:r>
        <w:t xml:space="preserve"> </w:t>
      </w:r>
      <w:r>
        <w:t xml:space="preserve">1165. Riduzione dell’insonnia nelle persone con dolore cronico</w:t>
      </w:r>
      <w:r>
        <w:t xml:space="preserve"> </w:t>
      </w:r>
      <w:r>
        <w:t xml:space="preserve">1166. Riduzione dell’insonnia nei pazienti diabetici</w:t>
      </w:r>
      <w:r>
        <w:t xml:space="preserve"> </w:t>
      </w:r>
      <w:r>
        <w:t xml:space="preserve">1167. Riduzione dell’insonnia nei pazienti cardiopatici</w:t>
      </w:r>
      <w:r>
        <w:t xml:space="preserve"> </w:t>
      </w:r>
      <w:r>
        <w:t xml:space="preserve">1168. Riduzione dell’insonnia nelle persone con disabilità</w:t>
      </w:r>
      <w:r>
        <w:t xml:space="preserve"> </w:t>
      </w:r>
      <w:r>
        <w:t xml:space="preserve">1169. Riduzione dell’insonnia nei migranti e rifugiati</w:t>
      </w:r>
      <w:r>
        <w:t xml:space="preserve"> </w:t>
      </w:r>
      <w:r>
        <w:t xml:space="preserve">1170. Riduzione dell’insonnia nelle persone in condizione di povertà</w:t>
      </w:r>
      <w:r>
        <w:t xml:space="preserve"> </w:t>
      </w:r>
      <w:r>
        <w:t xml:space="preserve">1171. Riduzione dell’insonnia nelle persone senza dimora</w:t>
      </w:r>
      <w:r>
        <w:t xml:space="preserve"> </w:t>
      </w:r>
      <w:r>
        <w:t xml:space="preserve">1172. Riduzione dell’insonnia nei disoccupati</w:t>
      </w:r>
      <w:r>
        <w:t xml:space="preserve"> </w:t>
      </w:r>
      <w:r>
        <w:t xml:space="preserve">1173. Riduzione dell’insonnia nei lavoratori esposti a stress</w:t>
      </w:r>
      <w:r>
        <w:t xml:space="preserve"> </w:t>
      </w:r>
      <w:r>
        <w:t xml:space="preserve">1174. Riduzione dell’insonnia negli studenti</w:t>
      </w:r>
      <w:r>
        <w:t xml:space="preserve"> </w:t>
      </w:r>
      <w:r>
        <w:t xml:space="preserve">1175. Riduzione dell’insonnia nelle persone vittime di violenza</w:t>
      </w:r>
      <w:r>
        <w:t xml:space="preserve"> </w:t>
      </w:r>
      <w:r>
        <w:t xml:space="preserve">1176. Riduzione dell’insonnia nelle persone in lutto</w:t>
      </w:r>
      <w:r>
        <w:t xml:space="preserve"> </w:t>
      </w:r>
      <w:r>
        <w:t xml:space="preserve">1177. Riduzione dell’insonnia nelle persone con dipendenze</w:t>
      </w:r>
      <w:r>
        <w:t xml:space="preserve"> </w:t>
      </w:r>
      <w:r>
        <w:t xml:space="preserve">1178. Riduzione dell’insonnia nei pazienti dopo un ricovero</w:t>
      </w:r>
      <w:r>
        <w:t xml:space="preserve"> </w:t>
      </w:r>
      <w:r>
        <w:t xml:space="preserve">1179. Riduzione dell’insonnia nelle persone LGBTQ+</w:t>
      </w:r>
      <w:r>
        <w:t xml:space="preserve"> </w:t>
      </w:r>
      <w:r>
        <w:t xml:space="preserve">1180. Riduzione dell’insonnia nelle persone delle aree interne e remote</w:t>
      </w:r>
      <w:r>
        <w:t xml:space="preserve"> </w:t>
      </w:r>
      <w:r>
        <w:t xml:space="preserve">1181. Riduzione dell’insonnia nelle persone con bassa alfabetizzazione sanitaria</w:t>
      </w:r>
      <w:r>
        <w:t xml:space="preserve"> </w:t>
      </w:r>
      <w:r>
        <w:t xml:space="preserve">35Psicologo di Base · Metodologia apicale e registro unificato delle variabili</w:t>
      </w:r>
      <w:r>
        <w:t xml:space="preserve"> </w:t>
      </w:r>
      <w:r>
        <w:t xml:space="preserve">Ramo: Aumento del benessere psicologico</w:t>
      </w:r>
      <w:r>
        <w:t xml:space="preserve"> </w:t>
      </w:r>
      <w:r>
        <w:t xml:space="preserve">1182. Aumento del benessere psicologico negli adulti in età lavorativa</w:t>
      </w:r>
      <w:r>
        <w:t xml:space="preserve"> </w:t>
      </w:r>
      <w:r>
        <w:t xml:space="preserve">1183. Aumento del benessere psicologico negli adolescenti</w:t>
      </w:r>
      <w:r>
        <w:t xml:space="preserve"> </w:t>
      </w:r>
      <w:r>
        <w:t xml:space="preserve">1184. Aumento del benessere psicologico nei bambini</w:t>
      </w:r>
      <w:r>
        <w:t xml:space="preserve"> </w:t>
      </w:r>
      <w:r>
        <w:t xml:space="preserve">1185. Aumento del benessere psicologico negli anziani</w:t>
      </w:r>
      <w:r>
        <w:t xml:space="preserve"> </w:t>
      </w:r>
      <w:r>
        <w:t xml:space="preserve">1186. Aumento del benessere psicologico nei grandi anziani</w:t>
      </w:r>
      <w:r>
        <w:t xml:space="preserve"> </w:t>
      </w:r>
      <w:r>
        <w:t xml:space="preserve">1187. Aumento del benessere psicologico nelle donne in gravidanza</w:t>
      </w:r>
      <w:r>
        <w:t xml:space="preserve"> </w:t>
      </w:r>
      <w:r>
        <w:t xml:space="preserve">1188. Aumento del benessere psicologico nelle donne nel post-partum</w:t>
      </w:r>
      <w:r>
        <w:t xml:space="preserve"> </w:t>
      </w:r>
      <w:r>
        <w:t xml:space="preserve">1189. Aumento del benessere psicologico nei caregiver</w:t>
      </w:r>
      <w:r>
        <w:t xml:space="preserve"> </w:t>
      </w:r>
      <w:r>
        <w:t xml:space="preserve">1190. Aumento del benessere psicologico nei pazienti con malattie croniche</w:t>
      </w:r>
      <w:r>
        <w:t xml:space="preserve"> </w:t>
      </w:r>
      <w:r>
        <w:t xml:space="preserve">1191. Aumento del benessere psicologico nei pazienti con multimorbilità</w:t>
      </w:r>
      <w:r>
        <w:t xml:space="preserve"> </w:t>
      </w:r>
      <w:r>
        <w:t xml:space="preserve">1192. Aumento del benessere psicologico nei pazienti oncologici</w:t>
      </w:r>
      <w:r>
        <w:t xml:space="preserve"> </w:t>
      </w:r>
      <w:r>
        <w:t xml:space="preserve">1193. Aumento del benessere psicologico nelle persone con dolore cronico</w:t>
      </w:r>
      <w:r>
        <w:t xml:space="preserve"> </w:t>
      </w:r>
      <w:r>
        <w:t xml:space="preserve">1194. Aumento del benessere psicologico nei pazienti diabetici</w:t>
      </w:r>
      <w:r>
        <w:t xml:space="preserve"> </w:t>
      </w:r>
      <w:r>
        <w:t xml:space="preserve">1195. Aumento del benessere psicologico nei pazienti cardiopatici</w:t>
      </w:r>
      <w:r>
        <w:t xml:space="preserve"> </w:t>
      </w:r>
      <w:r>
        <w:t xml:space="preserve">1196. Aumento del benessere psicologico nelle persone con disabilità</w:t>
      </w:r>
      <w:r>
        <w:t xml:space="preserve"> </w:t>
      </w:r>
      <w:r>
        <w:t xml:space="preserve">1197. Aumento del benessere psicologico nei migranti e rifugiati</w:t>
      </w:r>
      <w:r>
        <w:t xml:space="preserve"> </w:t>
      </w:r>
      <w:r>
        <w:t xml:space="preserve">1198. Aumento del benessere psicologico nelle persone in condizione di povertà</w:t>
      </w:r>
      <w:r>
        <w:t xml:space="preserve"> </w:t>
      </w:r>
      <w:r>
        <w:t xml:space="preserve">1199. Aumento del benessere psicologico nelle persone senza dimora</w:t>
      </w:r>
      <w:r>
        <w:t xml:space="preserve"> </w:t>
      </w:r>
      <w:r>
        <w:t xml:space="preserve">1200. Aumento del benessere psicologico nei disoccupati</w:t>
      </w:r>
      <w:r>
        <w:t xml:space="preserve"> </w:t>
      </w:r>
      <w:r>
        <w:t xml:space="preserve">1201. Aumento del benessere psicologico nei lavoratori esposti a stress</w:t>
      </w:r>
      <w:r>
        <w:t xml:space="preserve"> </w:t>
      </w:r>
      <w:r>
        <w:t xml:space="preserve">1202. Aumento del benessere psicologico negli studenti</w:t>
      </w:r>
      <w:r>
        <w:t xml:space="preserve"> </w:t>
      </w:r>
      <w:r>
        <w:t xml:space="preserve">1203. Aumento del benessere psicologico nelle persone vittime di violenza</w:t>
      </w:r>
      <w:r>
        <w:t xml:space="preserve"> </w:t>
      </w:r>
      <w:r>
        <w:t xml:space="preserve">1204. Aumento del benessere psicologico nelle persone in lutto</w:t>
      </w:r>
      <w:r>
        <w:t xml:space="preserve"> </w:t>
      </w:r>
      <w:r>
        <w:t xml:space="preserve">1205. Aumento del benessere psicologico nelle persone con dipendenze</w:t>
      </w:r>
      <w:r>
        <w:t xml:space="preserve"> </w:t>
      </w:r>
      <w:r>
        <w:t xml:space="preserve">1206. Aumento del benessere psicologico nei pazienti dopo un ricovero</w:t>
      </w:r>
      <w:r>
        <w:t xml:space="preserve"> </w:t>
      </w:r>
      <w:r>
        <w:t xml:space="preserve">1207. Aumento del benessere psicologico nelle persone LGBTQ+</w:t>
      </w:r>
      <w:r>
        <w:t xml:space="preserve"> </w:t>
      </w:r>
      <w:r>
        <w:t xml:space="preserve">1208. Aumento del benessere psicologico nelle persone delle aree interne e remote</w:t>
      </w:r>
      <w:r>
        <w:t xml:space="preserve"> </w:t>
      </w:r>
      <w:r>
        <w:t xml:space="preserve">1209. Aumento del benessere psicologico nelle persone con bassa alfabetizzazione sanitaria</w:t>
      </w:r>
      <w:r>
        <w:t xml:space="preserve"> </w:t>
      </w:r>
      <w:r>
        <w:t xml:space="preserve">Ramo: Miglioramento della qualità di vita</w:t>
      </w:r>
      <w:r>
        <w:t xml:space="preserve"> </w:t>
      </w:r>
      <w:r>
        <w:t xml:space="preserve">1210. Miglioramento della qualità di vita negli adulti in età lavorativa</w:t>
      </w:r>
      <w:r>
        <w:t xml:space="preserve"> </w:t>
      </w:r>
      <w:r>
        <w:t xml:space="preserve">1211. Miglioramento della qualità di vita negli adolescenti</w:t>
      </w:r>
      <w:r>
        <w:t xml:space="preserve"> </w:t>
      </w:r>
      <w:r>
        <w:t xml:space="preserve">1212. Miglioramento della qualità di vita nei bambini</w:t>
      </w:r>
      <w:r>
        <w:t xml:space="preserve"> </w:t>
      </w:r>
      <w:r>
        <w:t xml:space="preserve">1213. Miglioramento della qualità di vita negli anziani</w:t>
      </w:r>
      <w:r>
        <w:t xml:space="preserve"> </w:t>
      </w:r>
      <w:r>
        <w:t xml:space="preserve">1214. Miglioramento della qualità di vita nei grandi anziani</w:t>
      </w:r>
      <w:r>
        <w:t xml:space="preserve"> </w:t>
      </w:r>
      <w:r>
        <w:t xml:space="preserve">1215. Miglioramento della qualità di vita nelle donne in gravidanza</w:t>
      </w:r>
      <w:r>
        <w:t xml:space="preserve"> </w:t>
      </w:r>
      <w:r>
        <w:t xml:space="preserve">1216. Miglioramento della qualità di vita nelle donne nel post-partum</w:t>
      </w:r>
      <w:r>
        <w:t xml:space="preserve"> </w:t>
      </w:r>
      <w:r>
        <w:t xml:space="preserve">1217. Miglioramento della qualità di vita nei caregiver</w:t>
      </w:r>
      <w:r>
        <w:t xml:space="preserve"> </w:t>
      </w:r>
      <w:r>
        <w:t xml:space="preserve">1218. Miglioramento della qualità di vita nei pazienti con malattie croniche</w:t>
      </w:r>
      <w:r>
        <w:t xml:space="preserve"> </w:t>
      </w:r>
      <w:r>
        <w:t xml:space="preserve">1219. Miglioramento della qualità di vita nei pazienti con multimorbilità</w:t>
      </w:r>
      <w:r>
        <w:t xml:space="preserve"> </w:t>
      </w:r>
      <w:r>
        <w:t xml:space="preserve">1220. Miglioramento della qualità di vita nei pazienti oncologici</w:t>
      </w:r>
      <w:r>
        <w:t xml:space="preserve"> </w:t>
      </w:r>
      <w:r>
        <w:t xml:space="preserve">1221. Miglioramento della qualità di vita nelle persone con dolore cronico</w:t>
      </w:r>
      <w:r>
        <w:t xml:space="preserve"> </w:t>
      </w:r>
      <w:r>
        <w:t xml:space="preserve">1222. Miglioramento della qualità di vita nei pazienti diabetici</w:t>
      </w:r>
      <w:r>
        <w:t xml:space="preserve"> </w:t>
      </w:r>
      <w:r>
        <w:t xml:space="preserve">1223. Miglioramento della qualità di vita nei pazienti cardiopatici</w:t>
      </w:r>
      <w:r>
        <w:t xml:space="preserve"> </w:t>
      </w:r>
      <w:r>
        <w:t xml:space="preserve">1224. Miglioramento della qualità di vita nelle persone con disabilità</w:t>
      </w:r>
      <w:r>
        <w:t xml:space="preserve"> </w:t>
      </w:r>
      <w:r>
        <w:t xml:space="preserve">1225. Miglioramento della qualità di vita nei migranti e rifugiati</w:t>
      </w:r>
      <w:r>
        <w:t xml:space="preserve"> </w:t>
      </w:r>
      <w:r>
        <w:t xml:space="preserve">1226. Miglioramento della qualità di vita nelle persone in condizione di povertà</w:t>
      </w:r>
      <w:r>
        <w:t xml:space="preserve"> </w:t>
      </w:r>
      <w:r>
        <w:t xml:space="preserve">1227. Miglioramento della qualità di vita nelle persone senza dimora</w:t>
      </w:r>
      <w:r>
        <w:t xml:space="preserve"> </w:t>
      </w:r>
      <w:r>
        <w:t xml:space="preserve">1228. Miglioramento della qualità di vita nei disoccupati</w:t>
      </w:r>
      <w:r>
        <w:t xml:space="preserve"> </w:t>
      </w:r>
      <w:r>
        <w:t xml:space="preserve">1229. Miglioramento della qualità di vita nei lavoratori esposti a stress</w:t>
      </w:r>
      <w:r>
        <w:t xml:space="preserve"> </w:t>
      </w:r>
      <w:r>
        <w:t xml:space="preserve">36Psicologo di Base · Metodologia apicale e registro unificato delle variabili</w:t>
      </w:r>
      <w:r>
        <w:t xml:space="preserve"> </w:t>
      </w:r>
      <w:r>
        <w:t xml:space="preserve">1230. Miglioramento della qualità di vita negli studenti</w:t>
      </w:r>
      <w:r>
        <w:t xml:space="preserve"> </w:t>
      </w:r>
      <w:r>
        <w:t xml:space="preserve">1231. Miglioramento della qualità di vita nelle persone vittime di violenza</w:t>
      </w:r>
      <w:r>
        <w:t xml:space="preserve"> </w:t>
      </w:r>
      <w:r>
        <w:t xml:space="preserve">1232. Miglioramento della qualità di vita nelle persone in lutto</w:t>
      </w:r>
      <w:r>
        <w:t xml:space="preserve"> </w:t>
      </w:r>
      <w:r>
        <w:t xml:space="preserve">1233. Miglioramento della qualità di vita nelle persone con dipendenze</w:t>
      </w:r>
      <w:r>
        <w:t xml:space="preserve"> </w:t>
      </w:r>
      <w:r>
        <w:t xml:space="preserve">1234. Miglioramento della qualità di vita nei pazienti dopo un ricovero</w:t>
      </w:r>
      <w:r>
        <w:t xml:space="preserve"> </w:t>
      </w:r>
      <w:r>
        <w:t xml:space="preserve">1235. Miglioramento della qualità di vita nelle persone LGBTQ+</w:t>
      </w:r>
      <w:r>
        <w:t xml:space="preserve"> </w:t>
      </w:r>
      <w:r>
        <w:t xml:space="preserve">1236. Miglioramento della qualità di vita nelle persone delle aree interne e remote</w:t>
      </w:r>
      <w:r>
        <w:t xml:space="preserve"> </w:t>
      </w:r>
      <w:r>
        <w:t xml:space="preserve">1237. Miglioramento della qualità di vita nelle persone con bassa alfabetizzazione sanitaria</w:t>
      </w:r>
      <w:r>
        <w:t xml:space="preserve"> </w:t>
      </w:r>
      <w:r>
        <w:t xml:space="preserve">Ramo: Miglioramento del funzionamento quotidiano</w:t>
      </w:r>
      <w:r>
        <w:t xml:space="preserve"> </w:t>
      </w:r>
      <w:r>
        <w:t xml:space="preserve">1238. Miglioramento del funzionamento quotidiano negli adulti in età lavorativa</w:t>
      </w:r>
      <w:r>
        <w:t xml:space="preserve"> </w:t>
      </w:r>
      <w:r>
        <w:t xml:space="preserve">1239. Miglioramento del funzionamento quotidiano negli adolescenti</w:t>
      </w:r>
      <w:r>
        <w:t xml:space="preserve"> </w:t>
      </w:r>
      <w:r>
        <w:t xml:space="preserve">1240. Miglioramento del funzionamento quotidiano nei bambini</w:t>
      </w:r>
      <w:r>
        <w:t xml:space="preserve"> </w:t>
      </w:r>
      <w:r>
        <w:t xml:space="preserve">1241. Miglioramento del funzionamento quotidiano negli anziani</w:t>
      </w:r>
      <w:r>
        <w:t xml:space="preserve"> </w:t>
      </w:r>
      <w:r>
        <w:t xml:space="preserve">1242. Miglioramento del funzionamento quotidiano nei grandi anziani</w:t>
      </w:r>
      <w:r>
        <w:t xml:space="preserve"> </w:t>
      </w:r>
      <w:r>
        <w:t xml:space="preserve">1243. Miglioramento del funzionamento quotidiano nelle donne in gravidanza</w:t>
      </w:r>
      <w:r>
        <w:t xml:space="preserve"> </w:t>
      </w:r>
      <w:r>
        <w:t xml:space="preserve">1244. Miglioramento del funzionamento quotidiano nelle donne nel post-partum</w:t>
      </w:r>
      <w:r>
        <w:t xml:space="preserve"> </w:t>
      </w:r>
      <w:r>
        <w:t xml:space="preserve">1245. Miglioramento del funzionamento quotidiano nei caregiver</w:t>
      </w:r>
      <w:r>
        <w:t xml:space="preserve"> </w:t>
      </w:r>
      <w:r>
        <w:t xml:space="preserve">1246. Miglioramento del funzionamento quotidiano nei pazienti con malattie croniche</w:t>
      </w:r>
      <w:r>
        <w:t xml:space="preserve"> </w:t>
      </w:r>
      <w:r>
        <w:t xml:space="preserve">1247. Miglioramento del funzionamento quotidiano nei pazienti con multimorbilità</w:t>
      </w:r>
      <w:r>
        <w:t xml:space="preserve"> </w:t>
      </w:r>
      <w:r>
        <w:t xml:space="preserve">1248. Miglioramento del funzionamento quotidiano nei pazienti oncologici</w:t>
      </w:r>
      <w:r>
        <w:t xml:space="preserve"> </w:t>
      </w:r>
      <w:r>
        <w:t xml:space="preserve">1249. Miglioramento del funzionamento quotidiano nelle persone con dolore cronico</w:t>
      </w:r>
      <w:r>
        <w:t xml:space="preserve"> </w:t>
      </w:r>
      <w:r>
        <w:t xml:space="preserve">1250. Miglioramento del funzionamento quotidiano nei pazienti diabetici</w:t>
      </w:r>
      <w:r>
        <w:t xml:space="preserve"> </w:t>
      </w:r>
      <w:r>
        <w:t xml:space="preserve">1251. Miglioramento del funzionamento quotidiano nei pazienti cardiopatici</w:t>
      </w:r>
      <w:r>
        <w:t xml:space="preserve"> </w:t>
      </w:r>
      <w:r>
        <w:t xml:space="preserve">1252. Miglioramento del funzionamento quotidiano nelle persone con disabilità</w:t>
      </w:r>
      <w:r>
        <w:t xml:space="preserve"> </w:t>
      </w:r>
      <w:r>
        <w:t xml:space="preserve">1253. Miglioramento del funzionamento quotidiano nei migranti e rifugiati</w:t>
      </w:r>
      <w:r>
        <w:t xml:space="preserve"> </w:t>
      </w:r>
      <w:r>
        <w:t xml:space="preserve">1254. Miglioramento del funzionamento quotidiano nelle persone in condizione di povertà</w:t>
      </w:r>
      <w:r>
        <w:t xml:space="preserve"> </w:t>
      </w:r>
      <w:r>
        <w:t xml:space="preserve">1255. Miglioramento del funzionamento quotidiano nelle persone senza dimora</w:t>
      </w:r>
      <w:r>
        <w:t xml:space="preserve"> </w:t>
      </w:r>
      <w:r>
        <w:t xml:space="preserve">1256. Miglioramento del funzionamento quotidiano nei disoccupati</w:t>
      </w:r>
      <w:r>
        <w:t xml:space="preserve"> </w:t>
      </w:r>
      <w:r>
        <w:t xml:space="preserve">1257. Miglioramento del funzionamento quotidiano nei lavoratori esposti a stress</w:t>
      </w:r>
      <w:r>
        <w:t xml:space="preserve"> </w:t>
      </w:r>
      <w:r>
        <w:t xml:space="preserve">1258. Miglioramento del funzionamento quotidiano negli studenti</w:t>
      </w:r>
      <w:r>
        <w:t xml:space="preserve"> </w:t>
      </w:r>
      <w:r>
        <w:t xml:space="preserve">1259. Miglioramento del funzionamento quotidiano nelle persone vittime di violenza</w:t>
      </w:r>
      <w:r>
        <w:t xml:space="preserve"> </w:t>
      </w:r>
      <w:r>
        <w:t xml:space="preserve">1260. Miglioramento del funzionamento quotidiano nelle persone in lutto</w:t>
      </w:r>
      <w:r>
        <w:t xml:space="preserve"> </w:t>
      </w:r>
      <w:r>
        <w:t xml:space="preserve">1261. Miglioramento del funzionamento quotidiano nelle persone con dipendenze</w:t>
      </w:r>
      <w:r>
        <w:t xml:space="preserve"> </w:t>
      </w:r>
      <w:r>
        <w:t xml:space="preserve">1262. Miglioramento del funzionamento quotidiano nei pazienti dopo un ricovero</w:t>
      </w:r>
      <w:r>
        <w:t xml:space="preserve"> </w:t>
      </w:r>
      <w:r>
        <w:t xml:space="preserve">1263. Miglioramento del funzionamento quotidiano nelle persone LGBTQ+</w:t>
      </w:r>
      <w:r>
        <w:t xml:space="preserve"> </w:t>
      </w:r>
      <w:r>
        <w:t xml:space="preserve">1264. Miglioramento del funzionamento quotidiano nelle persone delle aree interne e remote</w:t>
      </w:r>
      <w:r>
        <w:t xml:space="preserve"> </w:t>
      </w:r>
      <w:r>
        <w:t xml:space="preserve">1265. Miglioramento del funzionamento quotidiano nelle persone con bassa alfabetizzazione sanitaria</w:t>
      </w:r>
      <w:r>
        <w:t xml:space="preserve"> </w:t>
      </w:r>
      <w:r>
        <w:t xml:space="preserve">Ramo: Miglioramento del funzionamento sociale</w:t>
      </w:r>
      <w:r>
        <w:t xml:space="preserve"> </w:t>
      </w:r>
      <w:r>
        <w:t xml:space="preserve">1266. Miglioramento del funzionamento sociale negli adulti in età lavorativa</w:t>
      </w:r>
      <w:r>
        <w:t xml:space="preserve"> </w:t>
      </w:r>
      <w:r>
        <w:t xml:space="preserve">1267. Miglioramento del funzionamento sociale negli adolescenti</w:t>
      </w:r>
      <w:r>
        <w:t xml:space="preserve"> </w:t>
      </w:r>
      <w:r>
        <w:t xml:space="preserve">1268. Miglioramento del funzionamento sociale nei bambini</w:t>
      </w:r>
      <w:r>
        <w:t xml:space="preserve"> </w:t>
      </w:r>
      <w:r>
        <w:t xml:space="preserve">1269. Miglioramento del funzionamento sociale negli anziani</w:t>
      </w:r>
      <w:r>
        <w:t xml:space="preserve"> </w:t>
      </w:r>
      <w:r>
        <w:t xml:space="preserve">1270. Miglioramento del funzionamento sociale nei grandi anziani</w:t>
      </w:r>
      <w:r>
        <w:t xml:space="preserve"> </w:t>
      </w:r>
      <w:r>
        <w:t xml:space="preserve">1271. Miglioramento del funzionamento sociale nelle donne in gravidanza</w:t>
      </w:r>
      <w:r>
        <w:t xml:space="preserve"> </w:t>
      </w:r>
      <w:r>
        <w:t xml:space="preserve">1272. Miglioramento del funzionamento sociale nelle donne nel post-partum</w:t>
      </w:r>
      <w:r>
        <w:t xml:space="preserve"> </w:t>
      </w:r>
      <w:r>
        <w:t xml:space="preserve">1273. Miglioramento del funzionamento sociale nei caregiver</w:t>
      </w:r>
      <w:r>
        <w:t xml:space="preserve"> </w:t>
      </w:r>
      <w:r>
        <w:t xml:space="preserve">1274. Miglioramento del funzionamento sociale nei pazienti con malattie croniche</w:t>
      </w:r>
      <w:r>
        <w:t xml:space="preserve"> </w:t>
      </w:r>
      <w:r>
        <w:t xml:space="preserve">1275. Miglioramento del funzionamento sociale nei pazienti con multimorbilità</w:t>
      </w:r>
      <w:r>
        <w:t xml:space="preserve"> </w:t>
      </w:r>
      <w:r>
        <w:t xml:space="preserve">1276. Miglioramento del funzionamento sociale nei pazienti oncologici</w:t>
      </w:r>
      <w:r>
        <w:t xml:space="preserve"> </w:t>
      </w:r>
      <w:r>
        <w:t xml:space="preserve">37Psicologo di Base · Metodologia apicale e registro unificato delle variabili</w:t>
      </w:r>
      <w:r>
        <w:t xml:space="preserve"> </w:t>
      </w:r>
      <w:r>
        <w:t xml:space="preserve">1277. Miglioramento del funzionamento sociale nelle persone con dolore cronico</w:t>
      </w:r>
      <w:r>
        <w:t xml:space="preserve"> </w:t>
      </w:r>
      <w:r>
        <w:t xml:space="preserve">1278. Miglioramento del funzionamento sociale nei pazienti diabetici</w:t>
      </w:r>
      <w:r>
        <w:t xml:space="preserve"> </w:t>
      </w:r>
      <w:r>
        <w:t xml:space="preserve">1279. Miglioramento del funzionamento sociale nei pazienti cardiopatici</w:t>
      </w:r>
      <w:r>
        <w:t xml:space="preserve"> </w:t>
      </w:r>
      <w:r>
        <w:t xml:space="preserve">1280. Miglioramento del funzionamento sociale nelle persone con disabilità</w:t>
      </w:r>
      <w:r>
        <w:t xml:space="preserve"> </w:t>
      </w:r>
      <w:r>
        <w:t xml:space="preserve">1281. Miglioramento del funzionamento sociale nei migranti e rifugiati</w:t>
      </w:r>
      <w:r>
        <w:t xml:space="preserve"> </w:t>
      </w:r>
      <w:r>
        <w:t xml:space="preserve">1282. Miglioramento del funzionamento sociale nelle persone in condizione di povertà</w:t>
      </w:r>
      <w:r>
        <w:t xml:space="preserve"> </w:t>
      </w:r>
      <w:r>
        <w:t xml:space="preserve">1283. Miglioramento del funzionamento sociale nelle persone senza dimora</w:t>
      </w:r>
      <w:r>
        <w:t xml:space="preserve"> </w:t>
      </w:r>
      <w:r>
        <w:t xml:space="preserve">1284. Miglioramento del funzionamento sociale nei disoccupati</w:t>
      </w:r>
      <w:r>
        <w:t xml:space="preserve"> </w:t>
      </w:r>
      <w:r>
        <w:t xml:space="preserve">1285. Miglioramento del funzionamento sociale nei lavoratori esposti a stress</w:t>
      </w:r>
      <w:r>
        <w:t xml:space="preserve"> </w:t>
      </w:r>
      <w:r>
        <w:t xml:space="preserve">1286. Miglioramento del funzionamento sociale negli studenti</w:t>
      </w:r>
      <w:r>
        <w:t xml:space="preserve"> </w:t>
      </w:r>
      <w:r>
        <w:t xml:space="preserve">1287. Miglioramento del funzionamento sociale nelle persone vittime di violenza</w:t>
      </w:r>
      <w:r>
        <w:t xml:space="preserve"> </w:t>
      </w:r>
      <w:r>
        <w:t xml:space="preserve">1288. Miglioramento del funzionamento sociale nelle persone in lutto</w:t>
      </w:r>
      <w:r>
        <w:t xml:space="preserve"> </w:t>
      </w:r>
      <w:r>
        <w:t xml:space="preserve">1289. Miglioramento del funzionamento sociale nelle persone con dipendenze</w:t>
      </w:r>
      <w:r>
        <w:t xml:space="preserve"> </w:t>
      </w:r>
      <w:r>
        <w:t xml:space="preserve">1290. Miglioramento del funzionamento sociale nei pazienti dopo un ricovero</w:t>
      </w:r>
      <w:r>
        <w:t xml:space="preserve"> </w:t>
      </w:r>
      <w:r>
        <w:t xml:space="preserve">1291. Miglioramento del funzionamento sociale nelle persone LGBTQ+</w:t>
      </w:r>
      <w:r>
        <w:t xml:space="preserve"> </w:t>
      </w:r>
      <w:r>
        <w:t xml:space="preserve">1292. Miglioramento del funzionamento sociale nelle persone delle aree interne e remote</w:t>
      </w:r>
      <w:r>
        <w:t xml:space="preserve"> </w:t>
      </w:r>
      <w:r>
        <w:t xml:space="preserve">1293. Miglioramento del funzionamento sociale nelle persone con bassa alfabetizzazione sanitaria</w:t>
      </w:r>
      <w:r>
        <w:t xml:space="preserve"> </w:t>
      </w:r>
      <w:r>
        <w:t xml:space="preserve">Ramo: Riduzione della disabilità associata al disagio</w:t>
      </w:r>
      <w:r>
        <w:t xml:space="preserve"> </w:t>
      </w:r>
      <w:r>
        <w:t xml:space="preserve">1294. Riduzione della disabilità associata al disagio negli adulti in età lavorativa</w:t>
      </w:r>
      <w:r>
        <w:t xml:space="preserve"> </w:t>
      </w:r>
      <w:r>
        <w:t xml:space="preserve">1295. Riduzione della disabilità associata al disagio negli adolescenti</w:t>
      </w:r>
      <w:r>
        <w:t xml:space="preserve"> </w:t>
      </w:r>
      <w:r>
        <w:t xml:space="preserve">1296. Riduzione della disabilità associata al disagio nei bambini</w:t>
      </w:r>
      <w:r>
        <w:t xml:space="preserve"> </w:t>
      </w:r>
      <w:r>
        <w:t xml:space="preserve">1297. Riduzione della disabilità associata al disagio negli anziani</w:t>
      </w:r>
      <w:r>
        <w:t xml:space="preserve"> </w:t>
      </w:r>
      <w:r>
        <w:t xml:space="preserve">1298. Riduzione della disabilità associata al disagio nei grandi anziani</w:t>
      </w:r>
      <w:r>
        <w:t xml:space="preserve"> </w:t>
      </w:r>
      <w:r>
        <w:t xml:space="preserve">1299. Riduzione della disabilità associata al disagio nelle donne in gravidanza</w:t>
      </w:r>
      <w:r>
        <w:t xml:space="preserve"> </w:t>
      </w:r>
      <w:r>
        <w:t xml:space="preserve">1300. Riduzione della disabilità associata al disagio nelle donne nel post-partum</w:t>
      </w:r>
      <w:r>
        <w:t xml:space="preserve"> </w:t>
      </w:r>
      <w:r>
        <w:t xml:space="preserve">1301. Riduzione della disabilità associata al disagio nei caregiver</w:t>
      </w:r>
      <w:r>
        <w:t xml:space="preserve"> </w:t>
      </w:r>
      <w:r>
        <w:t xml:space="preserve">1302. Riduzione della disabilità associata al disagio nei pazienti con malattie croniche</w:t>
      </w:r>
      <w:r>
        <w:t xml:space="preserve"> </w:t>
      </w:r>
      <w:r>
        <w:t xml:space="preserve">1303. Riduzione della disabilità associata al disagio nei pazienti con multimorbilità</w:t>
      </w:r>
      <w:r>
        <w:t xml:space="preserve"> </w:t>
      </w:r>
      <w:r>
        <w:t xml:space="preserve">1304. Riduzione della disabilità associata al disagio nei pazienti oncologici</w:t>
      </w:r>
      <w:r>
        <w:t xml:space="preserve"> </w:t>
      </w:r>
      <w:r>
        <w:t xml:space="preserve">1305. Riduzione della disabilità associata al disagio nelle persone con dolore cronico</w:t>
      </w:r>
      <w:r>
        <w:t xml:space="preserve"> </w:t>
      </w:r>
      <w:r>
        <w:t xml:space="preserve">1306. Riduzione della disabilità associata al disagio nei pazienti diabetici</w:t>
      </w:r>
      <w:r>
        <w:t xml:space="preserve"> </w:t>
      </w:r>
      <w:r>
        <w:t xml:space="preserve">1307. Riduzione della disabilità associata al disagio nei pazienti cardiopatici</w:t>
      </w:r>
      <w:r>
        <w:t xml:space="preserve"> </w:t>
      </w:r>
      <w:r>
        <w:t xml:space="preserve">1308. Riduzione della disabilità associata al disagio nelle persone con disabilità</w:t>
      </w:r>
      <w:r>
        <w:t xml:space="preserve"> </w:t>
      </w:r>
      <w:r>
        <w:t xml:space="preserve">1309. Riduzione della disabilità associata al disagio nei migranti e rifugiati</w:t>
      </w:r>
      <w:r>
        <w:t xml:space="preserve"> </w:t>
      </w:r>
      <w:r>
        <w:t xml:space="preserve">1310. Riduzione della disabilità associata al disagio nelle persone in condizione di povertà</w:t>
      </w:r>
      <w:r>
        <w:t xml:space="preserve"> </w:t>
      </w:r>
      <w:r>
        <w:t xml:space="preserve">1311. Riduzione della disabilità associata al disagio nelle persone senza dimora</w:t>
      </w:r>
      <w:r>
        <w:t xml:space="preserve"> </w:t>
      </w:r>
      <w:r>
        <w:t xml:space="preserve">1312. Riduzione della disabilità associata al disagio nei disoccupati</w:t>
      </w:r>
      <w:r>
        <w:t xml:space="preserve"> </w:t>
      </w:r>
      <w:r>
        <w:t xml:space="preserve">1313. Riduzione della disabilità associata al disagio nei lavoratori esposti a stress</w:t>
      </w:r>
      <w:r>
        <w:t xml:space="preserve"> </w:t>
      </w:r>
      <w:r>
        <w:t xml:space="preserve">1314. Riduzione della disabilità associata al disagio negli studenti</w:t>
      </w:r>
      <w:r>
        <w:t xml:space="preserve"> </w:t>
      </w:r>
      <w:r>
        <w:t xml:space="preserve">1315. Riduzione della disabilità associata al disagio nelle persone vittime di violenza</w:t>
      </w:r>
      <w:r>
        <w:t xml:space="preserve"> </w:t>
      </w:r>
      <w:r>
        <w:t xml:space="preserve">1316. Riduzione della disabilità associata al disagio nelle persone in lutto</w:t>
      </w:r>
      <w:r>
        <w:t xml:space="preserve"> </w:t>
      </w:r>
      <w:r>
        <w:t xml:space="preserve">1317. Riduzione della disabilità associata al disagio nelle persone con dipendenze</w:t>
      </w:r>
      <w:r>
        <w:t xml:space="preserve"> </w:t>
      </w:r>
      <w:r>
        <w:t xml:space="preserve">1318. Riduzione della disabilità associata al disagio nei pazienti dopo un ricovero</w:t>
      </w:r>
      <w:r>
        <w:t xml:space="preserve"> </w:t>
      </w:r>
      <w:r>
        <w:t xml:space="preserve">1319. Riduzione della disabilità associata al disagio nelle persone LGBTQ+</w:t>
      </w:r>
      <w:r>
        <w:t xml:space="preserve"> </w:t>
      </w:r>
      <w:r>
        <w:t xml:space="preserve">1320. Riduzione della disabilità associata al disagio nelle persone delle aree interne e remote</w:t>
      </w:r>
      <w:r>
        <w:t xml:space="preserve"> </w:t>
      </w:r>
      <w:r>
        <w:t xml:space="preserve">1321. Riduzione della disabilità associata al disagio nelle persone con bassa alfabetizzazione sanitaria</w:t>
      </w:r>
      <w:r>
        <w:t xml:space="preserve"> </w:t>
      </w:r>
      <w:r>
        <w:t xml:space="preserve">Ramo: Intercettazione precoce del disagio psichico</w:t>
      </w:r>
      <w:r>
        <w:t xml:space="preserve"> </w:t>
      </w:r>
      <w:r>
        <w:t xml:space="preserve">1322. Intercettazione precoce del disagio psichico negli adulti in età lavorativa</w:t>
      </w:r>
      <w:r>
        <w:t xml:space="preserve"> </w:t>
      </w:r>
      <w:r>
        <w:t xml:space="preserve">1323. Intercettazione precoce del disagio psichico negli adolescenti</w:t>
      </w:r>
      <w:r>
        <w:t xml:space="preserve"> </w:t>
      </w:r>
      <w:r>
        <w:t xml:space="preserve">38Psicologo di Base · Metodologia apicale e registro unificato delle variabili</w:t>
      </w:r>
      <w:r>
        <w:t xml:space="preserve"> </w:t>
      </w:r>
      <w:r>
        <w:t xml:space="preserve">1324. Intercettazione precoce del disagio psichico nei bambini</w:t>
      </w:r>
      <w:r>
        <w:t xml:space="preserve"> </w:t>
      </w:r>
      <w:r>
        <w:t xml:space="preserve">1325. Intercettazione precoce del disagio psichico negli anziani</w:t>
      </w:r>
      <w:r>
        <w:t xml:space="preserve"> </w:t>
      </w:r>
      <w:r>
        <w:t xml:space="preserve">1326. Intercettazione precoce del disagio psichico nei grandi anziani</w:t>
      </w:r>
      <w:r>
        <w:t xml:space="preserve"> </w:t>
      </w:r>
      <w:r>
        <w:t xml:space="preserve">1327. Intercettazione precoce del disagio psichico nelle donne in gravidanza</w:t>
      </w:r>
      <w:r>
        <w:t xml:space="preserve"> </w:t>
      </w:r>
      <w:r>
        <w:t xml:space="preserve">1328. Intercettazione precoce del disagio psichico nelle donne nel post-partum</w:t>
      </w:r>
      <w:r>
        <w:t xml:space="preserve"> </w:t>
      </w:r>
      <w:r>
        <w:t xml:space="preserve">1329. Intercettazione precoce del disagio psichico nei caregiver</w:t>
      </w:r>
      <w:r>
        <w:t xml:space="preserve"> </w:t>
      </w:r>
      <w:r>
        <w:t xml:space="preserve">1330. Intercettazione precoce del disagio psichico nei pazienti con malattie croniche</w:t>
      </w:r>
      <w:r>
        <w:t xml:space="preserve"> </w:t>
      </w:r>
      <w:r>
        <w:t xml:space="preserve">1331. Intercettazione precoce del disagio psichico nei pazienti con multimorbilità</w:t>
      </w:r>
      <w:r>
        <w:t xml:space="preserve"> </w:t>
      </w:r>
      <w:r>
        <w:t xml:space="preserve">1332. Intercettazione precoce del disagio psichico nei pazienti oncologici</w:t>
      </w:r>
      <w:r>
        <w:t xml:space="preserve"> </w:t>
      </w:r>
      <w:r>
        <w:t xml:space="preserve">1333. Intercettazione precoce del disagio psichico nelle persone con dolore cronico</w:t>
      </w:r>
      <w:r>
        <w:t xml:space="preserve"> </w:t>
      </w:r>
      <w:r>
        <w:t xml:space="preserve">1334. Intercettazione precoce del disagio psichico nei pazienti diabetici</w:t>
      </w:r>
      <w:r>
        <w:t xml:space="preserve"> </w:t>
      </w:r>
      <w:r>
        <w:t xml:space="preserve">1335. Intercettazione precoce del disagio psichico nei pazienti cardiopatici</w:t>
      </w:r>
      <w:r>
        <w:t xml:space="preserve"> </w:t>
      </w:r>
      <w:r>
        <w:t xml:space="preserve">1336. Intercettazione precoce del disagio psichico nelle persone con disabilità</w:t>
      </w:r>
      <w:r>
        <w:t xml:space="preserve"> </w:t>
      </w:r>
      <w:r>
        <w:t xml:space="preserve">1337. Intercettazione precoce del disagio psichico nei migranti e rifugiati</w:t>
      </w:r>
      <w:r>
        <w:t xml:space="preserve"> </w:t>
      </w:r>
      <w:r>
        <w:t xml:space="preserve">1338. Intercettazione precoce del disagio psichico nelle persone in condizione di povertà</w:t>
      </w:r>
      <w:r>
        <w:t xml:space="preserve"> </w:t>
      </w:r>
      <w:r>
        <w:t xml:space="preserve">1339. Intercettazione precoce del disagio psichico nelle persone senza dimora</w:t>
      </w:r>
      <w:r>
        <w:t xml:space="preserve"> </w:t>
      </w:r>
      <w:r>
        <w:t xml:space="preserve">1340. Intercettazione precoce del disagio psichico nei disoccupati</w:t>
      </w:r>
      <w:r>
        <w:t xml:space="preserve"> </w:t>
      </w:r>
      <w:r>
        <w:t xml:space="preserve">1341. Intercettazione precoce del disagio psichico nei lavoratori esposti a stress</w:t>
      </w:r>
      <w:r>
        <w:t xml:space="preserve"> </w:t>
      </w:r>
      <w:r>
        <w:t xml:space="preserve">1342. Intercettazione precoce del disagio psichico negli studenti</w:t>
      </w:r>
      <w:r>
        <w:t xml:space="preserve"> </w:t>
      </w:r>
      <w:r>
        <w:t xml:space="preserve">1343. Intercettazione precoce del disagio psichico nelle persone vittime di violenza</w:t>
      </w:r>
      <w:r>
        <w:t xml:space="preserve"> </w:t>
      </w:r>
      <w:r>
        <w:t xml:space="preserve">1344. Intercettazione precoce del disagio psichico nelle persone in lutto</w:t>
      </w:r>
      <w:r>
        <w:t xml:space="preserve"> </w:t>
      </w:r>
      <w:r>
        <w:t xml:space="preserve">1345. Intercettazione precoce del disagio psichico nelle persone con dipendenze</w:t>
      </w:r>
      <w:r>
        <w:t xml:space="preserve"> </w:t>
      </w:r>
      <w:r>
        <w:t xml:space="preserve">1346. Intercettazione precoce del disagio psichico nei pazienti dopo un ricovero</w:t>
      </w:r>
      <w:r>
        <w:t xml:space="preserve"> </w:t>
      </w:r>
      <w:r>
        <w:t xml:space="preserve">1347. Intercettazione precoce del disagio psichico nelle persone LGBTQ+</w:t>
      </w:r>
      <w:r>
        <w:t xml:space="preserve"> </w:t>
      </w:r>
      <w:r>
        <w:t xml:space="preserve">1348. Intercettazione precoce del disagio psichico nelle persone delle aree interne e remote</w:t>
      </w:r>
      <w:r>
        <w:t xml:space="preserve"> </w:t>
      </w:r>
      <w:r>
        <w:t xml:space="preserve">1349. Intercettazione precoce del disagio psichico nelle persone con bassa alfabetizzazione sanitaria</w:t>
      </w:r>
      <w:r>
        <w:t xml:space="preserve"> </w:t>
      </w:r>
      <w:r>
        <w:t xml:space="preserve">Ramo: Aumento dell’accesso alle cure psicologiche</w:t>
      </w:r>
      <w:r>
        <w:t xml:space="preserve"> </w:t>
      </w:r>
      <w:r>
        <w:t xml:space="preserve">1350. Aumento dell’accesso alle cure psicologiche negli adulti in età lavorativa</w:t>
      </w:r>
      <w:r>
        <w:t xml:space="preserve"> </w:t>
      </w:r>
      <w:r>
        <w:t xml:space="preserve">1351. Aumento dell’accesso alle cure psicologiche negli adolescenti</w:t>
      </w:r>
      <w:r>
        <w:t xml:space="preserve"> </w:t>
      </w:r>
      <w:r>
        <w:t xml:space="preserve">1352. Aumento dell’accesso alle cure psicologiche nei bambini</w:t>
      </w:r>
      <w:r>
        <w:t xml:space="preserve"> </w:t>
      </w:r>
      <w:r>
        <w:t xml:space="preserve">1353. Aumento dell’accesso alle cure psicologiche negli anziani</w:t>
      </w:r>
      <w:r>
        <w:t xml:space="preserve"> </w:t>
      </w:r>
      <w:r>
        <w:t xml:space="preserve">1354. Aumento dell’accesso alle cure psicologiche nei grandi anziani</w:t>
      </w:r>
      <w:r>
        <w:t xml:space="preserve"> </w:t>
      </w:r>
      <w:r>
        <w:t xml:space="preserve">1355. Aumento dell’accesso alle cure psicologiche nelle donne in gravidanza</w:t>
      </w:r>
      <w:r>
        <w:t xml:space="preserve"> </w:t>
      </w:r>
      <w:r>
        <w:t xml:space="preserve">1356. Aumento dell’accesso alle cure psicologiche nelle donne nel post-partum</w:t>
      </w:r>
      <w:r>
        <w:t xml:space="preserve"> </w:t>
      </w:r>
      <w:r>
        <w:t xml:space="preserve">1357. Aumento dell’accesso alle cure psicologiche nei caregiver</w:t>
      </w:r>
      <w:r>
        <w:t xml:space="preserve"> </w:t>
      </w:r>
      <w:r>
        <w:t xml:space="preserve">1358. Aumento dell’accesso alle cure psicologiche nei pazienti con malattie croniche</w:t>
      </w:r>
      <w:r>
        <w:t xml:space="preserve"> </w:t>
      </w:r>
      <w:r>
        <w:t xml:space="preserve">1359. Aumento dell’accesso alle cure psicologiche nei pazienti con multimorbilità</w:t>
      </w:r>
      <w:r>
        <w:t xml:space="preserve"> </w:t>
      </w:r>
      <w:r>
        <w:t xml:space="preserve">1360. Aumento dell’accesso alle cure psicologiche nei pazienti oncologici</w:t>
      </w:r>
      <w:r>
        <w:t xml:space="preserve"> </w:t>
      </w:r>
      <w:r>
        <w:t xml:space="preserve">1361. Aumento dell’accesso alle cure psicologiche nelle persone con dolore cronico</w:t>
      </w:r>
      <w:r>
        <w:t xml:space="preserve"> </w:t>
      </w:r>
      <w:r>
        <w:t xml:space="preserve">1362. Aumento dell’accesso alle cure psicologiche nei pazienti diabetici</w:t>
      </w:r>
      <w:r>
        <w:t xml:space="preserve"> </w:t>
      </w:r>
      <w:r>
        <w:t xml:space="preserve">1363. Aumento dell’accesso alle cure psicologiche nei pazienti cardiopatici</w:t>
      </w:r>
      <w:r>
        <w:t xml:space="preserve"> </w:t>
      </w:r>
      <w:r>
        <w:t xml:space="preserve">1364. Aumento dell’accesso alle cure psicologiche nelle persone con disabilità</w:t>
      </w:r>
      <w:r>
        <w:t xml:space="preserve"> </w:t>
      </w:r>
      <w:r>
        <w:t xml:space="preserve">1365. Aumento dell’accesso alle cure psicologiche nei migranti e rifugiati</w:t>
      </w:r>
      <w:r>
        <w:t xml:space="preserve"> </w:t>
      </w:r>
      <w:r>
        <w:t xml:space="preserve">1366. Aumento dell’accesso alle cure psicologiche nelle persone in condizione di povertà</w:t>
      </w:r>
      <w:r>
        <w:t xml:space="preserve"> </w:t>
      </w:r>
      <w:r>
        <w:t xml:space="preserve">1367. Aumento dell’accesso alle cure psicologiche nelle persone senza dimora</w:t>
      </w:r>
      <w:r>
        <w:t xml:space="preserve"> </w:t>
      </w:r>
      <w:r>
        <w:t xml:space="preserve">1368. Aumento dell’accesso alle cure psicologiche nei disoccupati</w:t>
      </w:r>
      <w:r>
        <w:t xml:space="preserve"> </w:t>
      </w:r>
      <w:r>
        <w:t xml:space="preserve">1369. Aumento dell’accesso alle cure psicologiche nei lavoratori esposti a stress</w:t>
      </w:r>
      <w:r>
        <w:t xml:space="preserve"> </w:t>
      </w:r>
      <w:r>
        <w:t xml:space="preserve">1370. Aumento dell’accesso alle cure psicologiche negli studenti</w:t>
      </w:r>
      <w:r>
        <w:t xml:space="preserve"> </w:t>
      </w:r>
      <w:r>
        <w:t xml:space="preserve">1371. Aumento dell’accesso alle cure psicologiche nelle persone vittime di violenza</w:t>
      </w:r>
      <w:r>
        <w:t xml:space="preserve"> </w:t>
      </w:r>
      <w:r>
        <w:t xml:space="preserve">1372. Aumento dell’accesso alle cure psicologiche nelle persone in lutto</w:t>
      </w:r>
      <w:r>
        <w:t xml:space="preserve"> </w:t>
      </w:r>
      <w:r>
        <w:t xml:space="preserve">39Psicologo di Base · Metodologia apicale e registro unificato delle variabili</w:t>
      </w:r>
      <w:r>
        <w:t xml:space="preserve"> </w:t>
      </w:r>
      <w:r>
        <w:t xml:space="preserve">1373. Aumento dell’accesso alle cure psicologiche nelle persone con dipendenze</w:t>
      </w:r>
      <w:r>
        <w:t xml:space="preserve"> </w:t>
      </w:r>
      <w:r>
        <w:t xml:space="preserve">1374. Aumento dell’accesso alle cure psicologiche nei pazienti dopo un ricovero</w:t>
      </w:r>
      <w:r>
        <w:t xml:space="preserve"> </w:t>
      </w:r>
      <w:r>
        <w:t xml:space="preserve">1375. Aumento dell’accesso alle cure psicologiche nelle persone LGBTQ+</w:t>
      </w:r>
      <w:r>
        <w:t xml:space="preserve"> </w:t>
      </w:r>
      <w:r>
        <w:t xml:space="preserve">1376. Aumento dell’accesso alle cure psicologiche nelle persone delle aree interne e remote</w:t>
      </w:r>
      <w:r>
        <w:t xml:space="preserve"> </w:t>
      </w:r>
      <w:r>
        <w:t xml:space="preserve">1377. Aumento dell’accesso alle cure psicologiche nelle persone con bassa alfabetizzazione sanitaria</w:t>
      </w:r>
      <w:r>
        <w:t xml:space="preserve"> </w:t>
      </w:r>
      <w:r>
        <w:t xml:space="preserve">Ramo: Riduzione dei tempi di attesa per il supporto psicologico</w:t>
      </w:r>
      <w:r>
        <w:t xml:space="preserve"> </w:t>
      </w:r>
      <w:r>
        <w:t xml:space="preserve">1378. Riduzione dei tempi di attesa per il supporto psicologico negli adulti in età lavorativa</w:t>
      </w:r>
      <w:r>
        <w:t xml:space="preserve"> </w:t>
      </w:r>
      <w:r>
        <w:t xml:space="preserve">1379. Riduzione dei tempi di attesa per il supporto psicologico negli adolescenti</w:t>
      </w:r>
      <w:r>
        <w:t xml:space="preserve"> </w:t>
      </w:r>
      <w:r>
        <w:t xml:space="preserve">1380. Riduzione dei tempi di attesa per il supporto psicologico nei bambini</w:t>
      </w:r>
      <w:r>
        <w:t xml:space="preserve"> </w:t>
      </w:r>
      <w:r>
        <w:t xml:space="preserve">1381. Riduzione dei tempi di attesa per il supporto psicologico negli anziani</w:t>
      </w:r>
      <w:r>
        <w:t xml:space="preserve"> </w:t>
      </w:r>
      <w:r>
        <w:t xml:space="preserve">1382. Riduzione dei tempi di attesa per il supporto psicologico nei grandi anziani</w:t>
      </w:r>
      <w:r>
        <w:t xml:space="preserve"> </w:t>
      </w:r>
      <w:r>
        <w:t xml:space="preserve">1383. Riduzione dei tempi di attesa per il supporto psicologico nelle donne in gravidanza</w:t>
      </w:r>
      <w:r>
        <w:t xml:space="preserve"> </w:t>
      </w:r>
      <w:r>
        <w:t xml:space="preserve">1384. Riduzione dei tempi di attesa per il supporto psicologico nelle donne nel post-partum</w:t>
      </w:r>
      <w:r>
        <w:t xml:space="preserve"> </w:t>
      </w:r>
      <w:r>
        <w:t xml:space="preserve">1385. Riduzione dei tempi di attesa per il supporto psicologico nei caregiver</w:t>
      </w:r>
      <w:r>
        <w:t xml:space="preserve"> </w:t>
      </w:r>
      <w:r>
        <w:t xml:space="preserve">1386. Riduzione dei tempi di attesa per il supporto psicologico nei pazienti con malattie croniche</w:t>
      </w:r>
      <w:r>
        <w:t xml:space="preserve"> </w:t>
      </w:r>
      <w:r>
        <w:t xml:space="preserve">1387. Riduzione dei tempi di attesa per il supporto psicologico nei pazienti con multimorbilità</w:t>
      </w:r>
      <w:r>
        <w:t xml:space="preserve"> </w:t>
      </w:r>
      <w:r>
        <w:t xml:space="preserve">1388. Riduzione dei tempi di attesa per il supporto psicologico nei pazienti oncologici</w:t>
      </w:r>
      <w:r>
        <w:t xml:space="preserve"> </w:t>
      </w:r>
      <w:r>
        <w:t xml:space="preserve">1389. Riduzione dei tempi di attesa per il supporto psicologico nelle persone con dolore cronico</w:t>
      </w:r>
      <w:r>
        <w:t xml:space="preserve"> </w:t>
      </w:r>
      <w:r>
        <w:t xml:space="preserve">1390. Riduzione dei tempi di attesa per il supporto psicologico nei pazienti diabetici</w:t>
      </w:r>
      <w:r>
        <w:t xml:space="preserve"> </w:t>
      </w:r>
      <w:r>
        <w:t xml:space="preserve">1391. Riduzione dei tempi di attesa per il supporto psicologico nei pazienti cardiopatici</w:t>
      </w:r>
      <w:r>
        <w:t xml:space="preserve"> </w:t>
      </w:r>
      <w:r>
        <w:t xml:space="preserve">1392. Riduzione dei tempi di attesa per il supporto psicologico nelle persone con disabilità</w:t>
      </w:r>
      <w:r>
        <w:t xml:space="preserve"> </w:t>
      </w:r>
      <w:r>
        <w:t xml:space="preserve">1393. Riduzione dei tempi di attesa per il supporto psicologico nei migranti e rifugiati</w:t>
      </w:r>
      <w:r>
        <w:t xml:space="preserve"> </w:t>
      </w:r>
      <w:r>
        <w:t xml:space="preserve">1394. Riduzione dei tempi di attesa per il supporto psicologico nelle persone in condizione di povertà</w:t>
      </w:r>
      <w:r>
        <w:t xml:space="preserve"> </w:t>
      </w:r>
      <w:r>
        <w:t xml:space="preserve">1395. Riduzione dei tempi di attesa per il supporto psicologico nelle persone senza dimora</w:t>
      </w:r>
      <w:r>
        <w:t xml:space="preserve"> </w:t>
      </w:r>
      <w:r>
        <w:t xml:space="preserve">1396. Riduzione dei tempi di attesa per il supporto psicologico nei disoccupati</w:t>
      </w:r>
      <w:r>
        <w:t xml:space="preserve"> </w:t>
      </w:r>
      <w:r>
        <w:t xml:space="preserve">1397. Riduzione dei tempi di attesa per il supporto psicologico nei lavoratori esposti a stress</w:t>
      </w:r>
      <w:r>
        <w:t xml:space="preserve"> </w:t>
      </w:r>
      <w:r>
        <w:t xml:space="preserve">1398. Riduzione dei tempi di attesa per il supporto psicologico negli studenti</w:t>
      </w:r>
      <w:r>
        <w:t xml:space="preserve"> </w:t>
      </w:r>
      <w:r>
        <w:t xml:space="preserve">1399. Riduzione dei tempi di attesa per il supporto psicologico nelle persone vittime di violenza</w:t>
      </w:r>
      <w:r>
        <w:t xml:space="preserve"> </w:t>
      </w:r>
      <w:r>
        <w:t xml:space="preserve">1400. Riduzione dei tempi di attesa per il supporto psicologico nelle persone in lutto</w:t>
      </w:r>
      <w:r>
        <w:t xml:space="preserve"> </w:t>
      </w:r>
      <w:r>
        <w:t xml:space="preserve">1401. Riduzione dei tempi di attesa per il supporto psicologico nelle persone con dipendenze</w:t>
      </w:r>
      <w:r>
        <w:t xml:space="preserve"> </w:t>
      </w:r>
      <w:r>
        <w:t xml:space="preserve">1402. Riduzione dei tempi di attesa per il supporto psicologico nei pazienti dopo un ricovero</w:t>
      </w:r>
      <w:r>
        <w:t xml:space="preserve"> </w:t>
      </w:r>
      <w:r>
        <w:t xml:space="preserve">1403. Riduzione dei tempi di attesa per il supporto psicologico nelle persone LGBTQ+</w:t>
      </w:r>
      <w:r>
        <w:t xml:space="preserve"> </w:t>
      </w:r>
      <w:r>
        <w:t xml:space="preserve">1404. Riduzione dei tempi di attesa per il supporto psicologico nelle persone delle aree interne e remote</w:t>
      </w:r>
      <w:r>
        <w:t xml:space="preserve"> </w:t>
      </w:r>
      <w:r>
        <w:t xml:space="preserve">1405. Riduzione dei tempi di attesa per il supporto psicologico nelle persone con bassa alfabetizzazione</w:t>
      </w:r>
      <w:r>
        <w:t xml:space="preserve"> </w:t>
      </w:r>
      <w:r>
        <w:t xml:space="preserve">sanitaria</w:t>
      </w:r>
      <w:r>
        <w:t xml:space="preserve"> </w:t>
      </w:r>
      <w:r>
        <w:t xml:space="preserve">Ramo: Riduzione del ricorso improprio al pronto soccorso</w:t>
      </w:r>
      <w:r>
        <w:t xml:space="preserve"> </w:t>
      </w:r>
      <w:r>
        <w:t xml:space="preserve">1406. Riduzione del ricorso improprio al pronto soccorso negli adulti in età lavorativa</w:t>
      </w:r>
      <w:r>
        <w:t xml:space="preserve"> </w:t>
      </w:r>
      <w:r>
        <w:t xml:space="preserve">1407. Riduzione del ricorso improprio al pronto soccorso negli adolescenti</w:t>
      </w:r>
      <w:r>
        <w:t xml:space="preserve"> </w:t>
      </w:r>
      <w:r>
        <w:t xml:space="preserve">1408. Riduzione del ricorso improprio al pronto soccorso nei bambini</w:t>
      </w:r>
      <w:r>
        <w:t xml:space="preserve"> </w:t>
      </w:r>
      <w:r>
        <w:t xml:space="preserve">1409. Riduzione del ricorso improprio al pronto soccorso negli anziani</w:t>
      </w:r>
      <w:r>
        <w:t xml:space="preserve"> </w:t>
      </w:r>
      <w:r>
        <w:t xml:space="preserve">1410. Riduzione del ricorso improprio al pronto soccorso nei grandi anziani</w:t>
      </w:r>
      <w:r>
        <w:t xml:space="preserve"> </w:t>
      </w:r>
      <w:r>
        <w:t xml:space="preserve">1411. Riduzione del ricorso improprio al pronto soccorso nelle donne in gravidanza</w:t>
      </w:r>
      <w:r>
        <w:t xml:space="preserve"> </w:t>
      </w:r>
      <w:r>
        <w:t xml:space="preserve">1412. Riduzione del ricorso improprio al pronto soccorso nelle donne nel post-partum</w:t>
      </w:r>
      <w:r>
        <w:t xml:space="preserve"> </w:t>
      </w:r>
      <w:r>
        <w:t xml:space="preserve">1413. Riduzione del ricorso improprio al pronto soccorso nei caregiver</w:t>
      </w:r>
      <w:r>
        <w:t xml:space="preserve"> </w:t>
      </w:r>
      <w:r>
        <w:t xml:space="preserve">1414. Riduzione del ricorso improprio al pronto soccorso nei pazienti con malattie croniche</w:t>
      </w:r>
      <w:r>
        <w:t xml:space="preserve"> </w:t>
      </w:r>
      <w:r>
        <w:t xml:space="preserve">1415. Riduzione del ricorso improprio al pronto soccorso nei pazienti con multimorbilità</w:t>
      </w:r>
      <w:r>
        <w:t xml:space="preserve"> </w:t>
      </w:r>
      <w:r>
        <w:t xml:space="preserve">1416. Riduzione del ricorso improprio al pronto soccorso nei pazienti oncologici</w:t>
      </w:r>
      <w:r>
        <w:t xml:space="preserve"> </w:t>
      </w:r>
      <w:r>
        <w:t xml:space="preserve">1417. Riduzione del ricorso improprio al pronto soccorso nelle persone con dolore cronico</w:t>
      </w:r>
      <w:r>
        <w:t xml:space="preserve"> </w:t>
      </w:r>
      <w:r>
        <w:t xml:space="preserve">1418. Riduzione del ricorso improprio al pronto soccorso nei pazienti diabetici</w:t>
      </w:r>
      <w:r>
        <w:t xml:space="preserve"> </w:t>
      </w:r>
      <w:r>
        <w:t xml:space="preserve">40Psicologo di Base · Metodologia apicale e registro unificato delle variabili</w:t>
      </w:r>
      <w:r>
        <w:t xml:space="preserve"> </w:t>
      </w:r>
      <w:r>
        <w:t xml:space="preserve">1419. Riduzione del ricorso improprio al pronto soccorso nei pazienti cardiopatici</w:t>
      </w:r>
      <w:r>
        <w:t xml:space="preserve"> </w:t>
      </w:r>
      <w:r>
        <w:t xml:space="preserve">1420. Riduzione del ricorso improprio al pronto soccorso nelle persone con disabilità</w:t>
      </w:r>
      <w:r>
        <w:t xml:space="preserve"> </w:t>
      </w:r>
      <w:r>
        <w:t xml:space="preserve">1421. Riduzione del ricorso improprio al pronto soccorso nei migranti e rifugiati</w:t>
      </w:r>
      <w:r>
        <w:t xml:space="preserve"> </w:t>
      </w:r>
      <w:r>
        <w:t xml:space="preserve">1422. Riduzione del ricorso improprio al pronto soccorso nelle persone in condizione di povertà</w:t>
      </w:r>
      <w:r>
        <w:t xml:space="preserve"> </w:t>
      </w:r>
      <w:r>
        <w:t xml:space="preserve">1423. Riduzione del ricorso improprio al pronto soccorso nelle persone senza dimora</w:t>
      </w:r>
      <w:r>
        <w:t xml:space="preserve"> </w:t>
      </w:r>
      <w:r>
        <w:t xml:space="preserve">1424. Riduzione del ricorso improprio al pronto soccorso nei disoccupati</w:t>
      </w:r>
      <w:r>
        <w:t xml:space="preserve"> </w:t>
      </w:r>
      <w:r>
        <w:t xml:space="preserve">1425. Riduzione del ricorso improprio al pronto soccorso nei lavoratori esposti a stress</w:t>
      </w:r>
      <w:r>
        <w:t xml:space="preserve"> </w:t>
      </w:r>
      <w:r>
        <w:t xml:space="preserve">1426. Riduzione del ricorso improprio al pronto soccorso negli studenti</w:t>
      </w:r>
      <w:r>
        <w:t xml:space="preserve"> </w:t>
      </w:r>
      <w:r>
        <w:t xml:space="preserve">1427. Riduzione del ricorso improprio al pronto soccorso nelle persone vittime di violenza</w:t>
      </w:r>
      <w:r>
        <w:t xml:space="preserve"> </w:t>
      </w:r>
      <w:r>
        <w:t xml:space="preserve">1428. Riduzione del ricorso improprio al pronto soccorso nelle persone in lutto</w:t>
      </w:r>
      <w:r>
        <w:t xml:space="preserve"> </w:t>
      </w:r>
      <w:r>
        <w:t xml:space="preserve">1429. Riduzione del ricorso improprio al pronto soccorso nelle persone con dipendenze</w:t>
      </w:r>
      <w:r>
        <w:t xml:space="preserve"> </w:t>
      </w:r>
      <w:r>
        <w:t xml:space="preserve">1430. Riduzione del ricorso improprio al pronto soccorso nei pazienti dopo un ricovero</w:t>
      </w:r>
      <w:r>
        <w:t xml:space="preserve"> </w:t>
      </w:r>
      <w:r>
        <w:t xml:space="preserve">1431. Riduzione del ricorso improprio al pronto soccorso nelle persone LGBTQ+</w:t>
      </w:r>
      <w:r>
        <w:t xml:space="preserve"> </w:t>
      </w:r>
      <w:r>
        <w:t xml:space="preserve">1432. Riduzione del ricorso improprio al pronto soccorso nelle persone delle aree interne e remote</w:t>
      </w:r>
      <w:r>
        <w:t xml:space="preserve"> </w:t>
      </w:r>
      <w:r>
        <w:t xml:space="preserve">1433. Riduzione del ricorso improprio al pronto soccorso nelle persone con bassa alfabetizzazione</w:t>
      </w:r>
      <w:r>
        <w:t xml:space="preserve"> </w:t>
      </w:r>
      <w:r>
        <w:t xml:space="preserve">sanitaria</w:t>
      </w:r>
      <w:r>
        <w:t xml:space="preserve"> </w:t>
      </w:r>
      <w:r>
        <w:t xml:space="preserve">Ramo: Riduzione dei ricoveri evitabili</w:t>
      </w:r>
      <w:r>
        <w:t xml:space="preserve"> </w:t>
      </w:r>
      <w:r>
        <w:t xml:space="preserve">1434. Riduzione dei ricoveri evitabili negli adulti in età lavorativa</w:t>
      </w:r>
      <w:r>
        <w:t xml:space="preserve"> </w:t>
      </w:r>
      <w:r>
        <w:t xml:space="preserve">1435. Riduzione dei ricoveri evitabili negli adolescenti</w:t>
      </w:r>
      <w:r>
        <w:t xml:space="preserve"> </w:t>
      </w:r>
      <w:r>
        <w:t xml:space="preserve">1436. Riduzione dei ricoveri evitabili nei bambini</w:t>
      </w:r>
      <w:r>
        <w:t xml:space="preserve"> </w:t>
      </w:r>
      <w:r>
        <w:t xml:space="preserve">1437. Riduzione dei ricoveri evitabili negli anziani</w:t>
      </w:r>
      <w:r>
        <w:t xml:space="preserve"> </w:t>
      </w:r>
      <w:r>
        <w:t xml:space="preserve">1438. Riduzione dei ricoveri evitabili nei grandi anziani</w:t>
      </w:r>
      <w:r>
        <w:t xml:space="preserve"> </w:t>
      </w:r>
      <w:r>
        <w:t xml:space="preserve">1439. Riduzione dei ricoveri evitabili nelle donne in gravidanza</w:t>
      </w:r>
      <w:r>
        <w:t xml:space="preserve"> </w:t>
      </w:r>
      <w:r>
        <w:t xml:space="preserve">1440. Riduzione dei ricoveri evitabili nelle donne nel post-partum</w:t>
      </w:r>
      <w:r>
        <w:t xml:space="preserve"> </w:t>
      </w:r>
      <w:r>
        <w:t xml:space="preserve">1441. Riduzione dei ricoveri evitabili nei caregiver</w:t>
      </w:r>
      <w:r>
        <w:t xml:space="preserve"> </w:t>
      </w:r>
      <w:r>
        <w:t xml:space="preserve">1442. Riduzione dei ricoveri evitabili nei pazienti con malattie croniche</w:t>
      </w:r>
      <w:r>
        <w:t xml:space="preserve"> </w:t>
      </w:r>
      <w:r>
        <w:t xml:space="preserve">1443. Riduzione dei ricoveri evitabili nei pazienti con multimorbilità</w:t>
      </w:r>
      <w:r>
        <w:t xml:space="preserve"> </w:t>
      </w:r>
      <w:r>
        <w:t xml:space="preserve">1444. Riduzione dei ricoveri evitabili nei pazienti oncologici</w:t>
      </w:r>
      <w:r>
        <w:t xml:space="preserve"> </w:t>
      </w:r>
      <w:r>
        <w:t xml:space="preserve">1445. Riduzione dei ricoveri evitabili nelle persone con dolore cronico</w:t>
      </w:r>
      <w:r>
        <w:t xml:space="preserve"> </w:t>
      </w:r>
      <w:r>
        <w:t xml:space="preserve">1446. Riduzione dei ricoveri evitabili nei pazienti diabetici</w:t>
      </w:r>
      <w:r>
        <w:t xml:space="preserve"> </w:t>
      </w:r>
      <w:r>
        <w:t xml:space="preserve">1447. Riduzione dei ricoveri evitabili nei pazienti cardiopatici</w:t>
      </w:r>
      <w:r>
        <w:t xml:space="preserve"> </w:t>
      </w:r>
      <w:r>
        <w:t xml:space="preserve">1448. Riduzione dei ricoveri evitabili nelle persone con disabilità</w:t>
      </w:r>
      <w:r>
        <w:t xml:space="preserve"> </w:t>
      </w:r>
      <w:r>
        <w:t xml:space="preserve">1449. Riduzione dei ricoveri evitabili nei migranti e rifugiati</w:t>
      </w:r>
      <w:r>
        <w:t xml:space="preserve"> </w:t>
      </w:r>
      <w:r>
        <w:t xml:space="preserve">1450. Riduzione dei ricoveri evitabili nelle persone in condizione di povertà</w:t>
      </w:r>
      <w:r>
        <w:t xml:space="preserve"> </w:t>
      </w:r>
      <w:r>
        <w:t xml:space="preserve">1451. Riduzione dei ricoveri evitabili nelle persone senza dimora</w:t>
      </w:r>
      <w:r>
        <w:t xml:space="preserve"> </w:t>
      </w:r>
      <w:r>
        <w:t xml:space="preserve">1452. Riduzione dei ricoveri evitabili nei disoccupati</w:t>
      </w:r>
      <w:r>
        <w:t xml:space="preserve"> </w:t>
      </w:r>
      <w:r>
        <w:t xml:space="preserve">1453. Riduzione dei ricoveri evitabili nei lavoratori esposti a stress</w:t>
      </w:r>
      <w:r>
        <w:t xml:space="preserve"> </w:t>
      </w:r>
      <w:r>
        <w:t xml:space="preserve">1454. Riduzione dei ricoveri evitabili negli studenti</w:t>
      </w:r>
      <w:r>
        <w:t xml:space="preserve"> </w:t>
      </w:r>
      <w:r>
        <w:t xml:space="preserve">1455. Riduzione dei ricoveri evitabili nelle persone vittime di violenza</w:t>
      </w:r>
      <w:r>
        <w:t xml:space="preserve"> </w:t>
      </w:r>
      <w:r>
        <w:t xml:space="preserve">1456. Riduzione dei ricoveri evitabili nelle persone in lutto</w:t>
      </w:r>
      <w:r>
        <w:t xml:space="preserve"> </w:t>
      </w:r>
      <w:r>
        <w:t xml:space="preserve">1457. Riduzione dei ricoveri evitabili nelle persone con dipendenze</w:t>
      </w:r>
      <w:r>
        <w:t xml:space="preserve"> </w:t>
      </w:r>
      <w:r>
        <w:t xml:space="preserve">1458. Riduzione dei ricoveri evitabili nei pazienti dopo un ricovero</w:t>
      </w:r>
      <w:r>
        <w:t xml:space="preserve"> </w:t>
      </w:r>
      <w:r>
        <w:t xml:space="preserve">1459. Riduzione dei ricoveri evitabili nelle persone LGBTQ+</w:t>
      </w:r>
      <w:r>
        <w:t xml:space="preserve"> </w:t>
      </w:r>
      <w:r>
        <w:t xml:space="preserve">1460. Riduzione dei ricoveri evitabili nelle persone delle aree interne e remote</w:t>
      </w:r>
      <w:r>
        <w:t xml:space="preserve"> </w:t>
      </w:r>
      <w:r>
        <w:t xml:space="preserve">1461. Riduzione dei ricoveri evitabili nelle persone con bassa alfabetizzazione sanitaria</w:t>
      </w:r>
      <w:r>
        <w:t xml:space="preserve"> </w:t>
      </w:r>
      <w:r>
        <w:t xml:space="preserve">Ramo: Riduzione delle prescrizioni di psicofarmaci</w:t>
      </w:r>
      <w:r>
        <w:t xml:space="preserve"> </w:t>
      </w:r>
      <w:r>
        <w:t xml:space="preserve">1462. Riduzione delle prescrizioni di psicofarmaci negli adulti in età lavorativa</w:t>
      </w:r>
      <w:r>
        <w:t xml:space="preserve"> </w:t>
      </w:r>
      <w:r>
        <w:t xml:space="preserve">1463. Riduzione delle prescrizioni di psicofarmaci negli adolescenti</w:t>
      </w:r>
      <w:r>
        <w:t xml:space="preserve"> </w:t>
      </w:r>
      <w:r>
        <w:t xml:space="preserve">1464. Riduzione delle prescrizioni di psicofarmaci nei bambini</w:t>
      </w:r>
      <w:r>
        <w:t xml:space="preserve"> </w:t>
      </w:r>
      <w:r>
        <w:t xml:space="preserve">41Psicologo di Base · Metodologia apicale e registro unificato delle variabili</w:t>
      </w:r>
      <w:r>
        <w:t xml:space="preserve"> </w:t>
      </w:r>
      <w:r>
        <w:t xml:space="preserve">1465. Riduzione delle prescrizioni di psicofarmaci negli anziani</w:t>
      </w:r>
      <w:r>
        <w:t xml:space="preserve"> </w:t>
      </w:r>
      <w:r>
        <w:t xml:space="preserve">1466. Riduzione delle prescrizioni di psicofarmaci nei grandi anziani</w:t>
      </w:r>
      <w:r>
        <w:t xml:space="preserve"> </w:t>
      </w:r>
      <w:r>
        <w:t xml:space="preserve">1467. Riduzione delle prescrizioni di psicofarmaci nelle donne in gravidanza</w:t>
      </w:r>
      <w:r>
        <w:t xml:space="preserve"> </w:t>
      </w:r>
      <w:r>
        <w:t xml:space="preserve">1468. Riduzione delle prescrizioni di psicofarmaci nelle donne nel post-partum</w:t>
      </w:r>
      <w:r>
        <w:t xml:space="preserve"> </w:t>
      </w:r>
      <w:r>
        <w:t xml:space="preserve">1469. Riduzione delle prescrizioni di psicofarmaci nei caregiver</w:t>
      </w:r>
      <w:r>
        <w:t xml:space="preserve"> </w:t>
      </w:r>
      <w:r>
        <w:t xml:space="preserve">1470. Riduzione delle prescrizioni di psicofarmaci nei pazienti con malattie croniche</w:t>
      </w:r>
      <w:r>
        <w:t xml:space="preserve"> </w:t>
      </w:r>
      <w:r>
        <w:t xml:space="preserve">1471. Riduzione delle prescrizioni di psicofarmaci nei pazienti con multimorbilità</w:t>
      </w:r>
      <w:r>
        <w:t xml:space="preserve"> </w:t>
      </w:r>
      <w:r>
        <w:t xml:space="preserve">1472. Riduzione delle prescrizioni di psicofarmaci nei pazienti oncologici</w:t>
      </w:r>
      <w:r>
        <w:t xml:space="preserve"> </w:t>
      </w:r>
      <w:r>
        <w:t xml:space="preserve">1473. Riduzione delle prescrizioni di psicofarmaci nelle persone con dolore cronico</w:t>
      </w:r>
      <w:r>
        <w:t xml:space="preserve"> </w:t>
      </w:r>
      <w:r>
        <w:t xml:space="preserve">1474. Riduzione delle prescrizioni di psicofarmaci nei pazienti diabetici</w:t>
      </w:r>
      <w:r>
        <w:t xml:space="preserve"> </w:t>
      </w:r>
      <w:r>
        <w:t xml:space="preserve">1475. Riduzione delle prescrizioni di psicofarmaci nei pazienti cardiopatici</w:t>
      </w:r>
      <w:r>
        <w:t xml:space="preserve"> </w:t>
      </w:r>
      <w:r>
        <w:t xml:space="preserve">1476. Riduzione delle prescrizioni di psicofarmaci nelle persone con disabilità</w:t>
      </w:r>
      <w:r>
        <w:t xml:space="preserve"> </w:t>
      </w:r>
      <w:r>
        <w:t xml:space="preserve">1477. Riduzione delle prescrizioni di psicofarmaci nei migranti e rifugiati</w:t>
      </w:r>
      <w:r>
        <w:t xml:space="preserve"> </w:t>
      </w:r>
      <w:r>
        <w:t xml:space="preserve">1478. Riduzione delle prescrizioni di psicofarmaci nelle persone in condizione di povertà</w:t>
      </w:r>
      <w:r>
        <w:t xml:space="preserve"> </w:t>
      </w:r>
      <w:r>
        <w:t xml:space="preserve">1479. Riduzione delle prescrizioni di psicofarmaci nelle persone senza dimora</w:t>
      </w:r>
      <w:r>
        <w:t xml:space="preserve"> </w:t>
      </w:r>
      <w:r>
        <w:t xml:space="preserve">1480. Riduzione delle prescrizioni di psicofarmaci nei disoccupati</w:t>
      </w:r>
      <w:r>
        <w:t xml:space="preserve"> </w:t>
      </w:r>
      <w:r>
        <w:t xml:space="preserve">1481. Riduzione delle prescrizioni di psicofarmaci nei lavoratori esposti a stress</w:t>
      </w:r>
      <w:r>
        <w:t xml:space="preserve"> </w:t>
      </w:r>
      <w:r>
        <w:t xml:space="preserve">1482. Riduzione delle prescrizioni di psicofarmaci negli studenti</w:t>
      </w:r>
      <w:r>
        <w:t xml:space="preserve"> </w:t>
      </w:r>
      <w:r>
        <w:t xml:space="preserve">1483. Riduzione delle prescrizioni di psicofarmaci nelle persone vittime di violenza</w:t>
      </w:r>
      <w:r>
        <w:t xml:space="preserve"> </w:t>
      </w:r>
      <w:r>
        <w:t xml:space="preserve">1484. Riduzione delle prescrizioni di psicofarmaci nelle persone in lutto</w:t>
      </w:r>
      <w:r>
        <w:t xml:space="preserve"> </w:t>
      </w:r>
      <w:r>
        <w:t xml:space="preserve">1485. Riduzione delle prescrizioni di psicofarmaci nelle persone con dipendenze</w:t>
      </w:r>
      <w:r>
        <w:t xml:space="preserve"> </w:t>
      </w:r>
      <w:r>
        <w:t xml:space="preserve">1486. Riduzione delle prescrizioni di psicofarmaci nei pazienti dopo un ricovero</w:t>
      </w:r>
      <w:r>
        <w:t xml:space="preserve"> </w:t>
      </w:r>
      <w:r>
        <w:t xml:space="preserve">1487. Riduzione delle prescrizioni di psicofarmaci nelle persone LGBTQ+</w:t>
      </w:r>
      <w:r>
        <w:t xml:space="preserve"> </w:t>
      </w:r>
      <w:r>
        <w:t xml:space="preserve">1488. Riduzione delle prescrizioni di psicofarmaci nelle persone delle aree interne e remote</w:t>
      </w:r>
      <w:r>
        <w:t xml:space="preserve"> </w:t>
      </w:r>
      <w:r>
        <w:t xml:space="preserve">1489. Riduzione delle prescrizioni di psicofarmaci nelle persone con bassa alfabetizzazione sanitaria</w:t>
      </w:r>
      <w:r>
        <w:t xml:space="preserve"> </w:t>
      </w:r>
      <w:r>
        <w:t xml:space="preserve">Ramo: Riduzione dell’uso di benzodiazepine</w:t>
      </w:r>
      <w:r>
        <w:t xml:space="preserve"> </w:t>
      </w:r>
      <w:r>
        <w:t xml:space="preserve">1490. Riduzione dell’uso di benzodiazepine negli adulti in età lavorativa</w:t>
      </w:r>
      <w:r>
        <w:t xml:space="preserve"> </w:t>
      </w:r>
      <w:r>
        <w:t xml:space="preserve">1491. Riduzione dell’uso di benzodiazepine negli adolescenti</w:t>
      </w:r>
      <w:r>
        <w:t xml:space="preserve"> </w:t>
      </w:r>
      <w:r>
        <w:t xml:space="preserve">1492. Riduzione dell’uso di benzodiazepine nei bambini</w:t>
      </w:r>
      <w:r>
        <w:t xml:space="preserve"> </w:t>
      </w:r>
      <w:r>
        <w:t xml:space="preserve">1493. Riduzione dell’uso di benzodiazepine negli anziani</w:t>
      </w:r>
      <w:r>
        <w:t xml:space="preserve"> </w:t>
      </w:r>
      <w:r>
        <w:t xml:space="preserve">1494. Riduzione dell’uso di benzodiazepine nei grandi anziani</w:t>
      </w:r>
      <w:r>
        <w:t xml:space="preserve"> </w:t>
      </w:r>
      <w:r>
        <w:t xml:space="preserve">1495. Riduzione dell’uso di benzodiazepine nelle donne in gravidanza</w:t>
      </w:r>
      <w:r>
        <w:t xml:space="preserve"> </w:t>
      </w:r>
      <w:r>
        <w:t xml:space="preserve">1496. Riduzione dell’uso di benzodiazepine nelle donne nel post-partum</w:t>
      </w:r>
      <w:r>
        <w:t xml:space="preserve"> </w:t>
      </w:r>
      <w:r>
        <w:t xml:space="preserve">1497. Riduzione dell’uso di benzodiazepine nei caregiver</w:t>
      </w:r>
      <w:r>
        <w:t xml:space="preserve"> </w:t>
      </w:r>
      <w:r>
        <w:t xml:space="preserve">1498. Riduzione dell’uso di benzodiazepine nei pazienti con malattie croniche</w:t>
      </w:r>
      <w:r>
        <w:t xml:space="preserve"> </w:t>
      </w:r>
      <w:r>
        <w:t xml:space="preserve">1499. Riduzione dell’uso di benzodiazepine nei pazienti con multimorbilità</w:t>
      </w:r>
      <w:r>
        <w:t xml:space="preserve"> </w:t>
      </w:r>
      <w:r>
        <w:t xml:space="preserve">1500. Riduzione dell’uso di benzodiazepine nei pazienti oncologici</w:t>
      </w:r>
      <w:r>
        <w:t xml:space="preserve"> </w:t>
      </w:r>
      <w:r>
        <w:t xml:space="preserve">1501. Riduzione dell’uso di benzodiazepine nelle persone con dolore cronico</w:t>
      </w:r>
      <w:r>
        <w:t xml:space="preserve"> </w:t>
      </w:r>
      <w:r>
        <w:t xml:space="preserve">1502. Riduzione dell’uso di benzodiazepine nei pazienti diabetici</w:t>
      </w:r>
      <w:r>
        <w:t xml:space="preserve"> </w:t>
      </w:r>
      <w:r>
        <w:t xml:space="preserve">1503. Riduzione dell’uso di benzodiazepine nei pazienti cardiopatici</w:t>
      </w:r>
      <w:r>
        <w:t xml:space="preserve"> </w:t>
      </w:r>
      <w:r>
        <w:t xml:space="preserve">1504. Riduzione dell’uso di benzodiazepine nelle persone con disabilità</w:t>
      </w:r>
      <w:r>
        <w:t xml:space="preserve"> </w:t>
      </w:r>
      <w:r>
        <w:t xml:space="preserve">1505. Riduzione dell’uso di benzodiazepine nei migranti e rifugiati</w:t>
      </w:r>
      <w:r>
        <w:t xml:space="preserve"> </w:t>
      </w:r>
      <w:r>
        <w:t xml:space="preserve">1506. Riduzione dell’uso di benzodiazepine nelle persone in condizione di povertà</w:t>
      </w:r>
      <w:r>
        <w:t xml:space="preserve"> </w:t>
      </w:r>
      <w:r>
        <w:t xml:space="preserve">1507. Riduzione dell’uso di benzodiazepine nelle persone senza dimora</w:t>
      </w:r>
      <w:r>
        <w:t xml:space="preserve"> </w:t>
      </w:r>
      <w:r>
        <w:t xml:space="preserve">1508. Riduzione dell’uso di benzodiazepine nei disoccupati</w:t>
      </w:r>
      <w:r>
        <w:t xml:space="preserve"> </w:t>
      </w:r>
      <w:r>
        <w:t xml:space="preserve">1509. Riduzione dell’uso di benzodiazepine nei lavoratori esposti a stress</w:t>
      </w:r>
      <w:r>
        <w:t xml:space="preserve"> </w:t>
      </w:r>
      <w:r>
        <w:t xml:space="preserve">1510. Riduzione dell’uso di benzodiazepine negli studenti</w:t>
      </w:r>
      <w:r>
        <w:t xml:space="preserve"> </w:t>
      </w:r>
      <w:r>
        <w:t xml:space="preserve">1511. Riduzione dell’uso di benzodiazepine nelle persone vittime di violenza</w:t>
      </w:r>
      <w:r>
        <w:t xml:space="preserve"> </w:t>
      </w:r>
      <w:r>
        <w:t xml:space="preserve">1512. Riduzione dell’uso di benzodiazepine nelle persone in lutto</w:t>
      </w:r>
      <w:r>
        <w:t xml:space="preserve"> </w:t>
      </w:r>
      <w:r>
        <w:t xml:space="preserve">1513. Riduzione dell’uso di benzodiazepine nelle persone con dipendenze</w:t>
      </w:r>
      <w:r>
        <w:t xml:space="preserve"> </w:t>
      </w:r>
      <w:r>
        <w:t xml:space="preserve">42Psicologo di Base · Metodologia apicale e registro unificato delle variabili</w:t>
      </w:r>
      <w:r>
        <w:t xml:space="preserve"> </w:t>
      </w:r>
      <w:r>
        <w:t xml:space="preserve">1514. Riduzione dell’uso di benzodiazepine nei pazienti dopo un ricovero</w:t>
      </w:r>
      <w:r>
        <w:t xml:space="preserve"> </w:t>
      </w:r>
      <w:r>
        <w:t xml:space="preserve">1515. Riduzione dell’uso di benzodiazepine nelle persone LGBTQ+</w:t>
      </w:r>
      <w:r>
        <w:t xml:space="preserve"> </w:t>
      </w:r>
      <w:r>
        <w:t xml:space="preserve">1516. Riduzione dell’uso di benzodiazepine nelle persone delle aree interne e remote</w:t>
      </w:r>
      <w:r>
        <w:t xml:space="preserve"> </w:t>
      </w:r>
      <w:r>
        <w:t xml:space="preserve">1517. Riduzione dell’uso di benzodiazepine nelle persone con bassa alfabetizzazione sanitaria</w:t>
      </w:r>
      <w:r>
        <w:t xml:space="preserve"> </w:t>
      </w:r>
      <w:r>
        <w:t xml:space="preserve">Ramo: Riduzione degli accertamenti diagnostici non necessari</w:t>
      </w:r>
      <w:r>
        <w:t xml:space="preserve"> </w:t>
      </w:r>
      <w:r>
        <w:t xml:space="preserve">1518. Riduzione degli accertamenti diagnostici non necessari negli adulti in età lavorativa</w:t>
      </w:r>
      <w:r>
        <w:t xml:space="preserve"> </w:t>
      </w:r>
      <w:r>
        <w:t xml:space="preserve">1519. Riduzione degli accertamenti diagnostici non necessari negli adolescenti</w:t>
      </w:r>
      <w:r>
        <w:t xml:space="preserve"> </w:t>
      </w:r>
      <w:r>
        <w:t xml:space="preserve">1520. Riduzione degli accertamenti diagnostici non necessari nei bambini</w:t>
      </w:r>
      <w:r>
        <w:t xml:space="preserve"> </w:t>
      </w:r>
      <w:r>
        <w:t xml:space="preserve">1521. Riduzione degli accertamenti diagnostici non necessari negli anziani</w:t>
      </w:r>
      <w:r>
        <w:t xml:space="preserve"> </w:t>
      </w:r>
      <w:r>
        <w:t xml:space="preserve">1522. Riduzione degli accertamenti diagnostici non necessari nei grandi anziani</w:t>
      </w:r>
      <w:r>
        <w:t xml:space="preserve"> </w:t>
      </w:r>
      <w:r>
        <w:t xml:space="preserve">1523. Riduzione degli accertamenti diagnostici non necessari nelle donne in gravidanza</w:t>
      </w:r>
      <w:r>
        <w:t xml:space="preserve"> </w:t>
      </w:r>
      <w:r>
        <w:t xml:space="preserve">1524. Riduzione degli accertamenti diagnostici non necessari nelle donne nel post-partum</w:t>
      </w:r>
      <w:r>
        <w:t xml:space="preserve"> </w:t>
      </w:r>
      <w:r>
        <w:t xml:space="preserve">1525. Riduzione degli accertamenti diagnostici non necessari nei caregiver</w:t>
      </w:r>
      <w:r>
        <w:t xml:space="preserve"> </w:t>
      </w:r>
      <w:r>
        <w:t xml:space="preserve">1526. Riduzione degli accertamenti diagnostici non necessari nei pazienti con malattie croniche</w:t>
      </w:r>
      <w:r>
        <w:t xml:space="preserve"> </w:t>
      </w:r>
      <w:r>
        <w:t xml:space="preserve">1527. Riduzione degli accertamenti diagnostici non necessari nei pazienti con multimorbilità</w:t>
      </w:r>
      <w:r>
        <w:t xml:space="preserve"> </w:t>
      </w:r>
      <w:r>
        <w:t xml:space="preserve">1528. Riduzione degli accertamenti diagnostici non necessari nei pazienti oncologici</w:t>
      </w:r>
      <w:r>
        <w:t xml:space="preserve"> </w:t>
      </w:r>
      <w:r>
        <w:t xml:space="preserve">1529. Riduzione degli accertamenti diagnostici non necessari nelle persone con dolore cronico</w:t>
      </w:r>
      <w:r>
        <w:t xml:space="preserve"> </w:t>
      </w:r>
      <w:r>
        <w:t xml:space="preserve">1530. Riduzione degli accertamenti diagnostici non necessari nei pazienti diabetici</w:t>
      </w:r>
      <w:r>
        <w:t xml:space="preserve"> </w:t>
      </w:r>
      <w:r>
        <w:t xml:space="preserve">1531. Riduzione degli accertamenti diagnostici non necessari nei pazienti cardiopatici</w:t>
      </w:r>
      <w:r>
        <w:t xml:space="preserve"> </w:t>
      </w:r>
      <w:r>
        <w:t xml:space="preserve">1532. Riduzione degli accertamenti diagnostici non necessari nelle persone con disabilità</w:t>
      </w:r>
      <w:r>
        <w:t xml:space="preserve"> </w:t>
      </w:r>
      <w:r>
        <w:t xml:space="preserve">1533. Riduzione degli accertamenti diagnostici non necessari nei migranti e rifugiati</w:t>
      </w:r>
      <w:r>
        <w:t xml:space="preserve"> </w:t>
      </w:r>
      <w:r>
        <w:t xml:space="preserve">1534. Riduzione degli accertamenti diagnostici non necessari nelle persone in condizione di povertà</w:t>
      </w:r>
      <w:r>
        <w:t xml:space="preserve"> </w:t>
      </w:r>
      <w:r>
        <w:t xml:space="preserve">1535. Riduzione degli accertamenti diagnostici non necessari nelle persone senza dimora</w:t>
      </w:r>
      <w:r>
        <w:t xml:space="preserve"> </w:t>
      </w:r>
      <w:r>
        <w:t xml:space="preserve">1536. Riduzione degli accertamenti diagnostici non necessari nei disoccupati</w:t>
      </w:r>
      <w:r>
        <w:t xml:space="preserve"> </w:t>
      </w:r>
      <w:r>
        <w:t xml:space="preserve">1537. Riduzione degli accertamenti diagnostici non necessari nei lavoratori esposti a stress</w:t>
      </w:r>
      <w:r>
        <w:t xml:space="preserve"> </w:t>
      </w:r>
      <w:r>
        <w:t xml:space="preserve">1538. Riduzione degli accertamenti diagnostici non necessari negli studenti</w:t>
      </w:r>
      <w:r>
        <w:t xml:space="preserve"> </w:t>
      </w:r>
      <w:r>
        <w:t xml:space="preserve">1539. Riduzione degli accertamenti diagnostici non necessari nelle persone vittime di violenza</w:t>
      </w:r>
      <w:r>
        <w:t xml:space="preserve"> </w:t>
      </w:r>
      <w:r>
        <w:t xml:space="preserve">1540. Riduzione degli accertamenti diagnostici non necessari nelle persone in lutto</w:t>
      </w:r>
      <w:r>
        <w:t xml:space="preserve"> </w:t>
      </w:r>
      <w:r>
        <w:t xml:space="preserve">1541. Riduzione degli accertamenti diagnostici non necessari nelle persone con dipendenze</w:t>
      </w:r>
      <w:r>
        <w:t xml:space="preserve"> </w:t>
      </w:r>
      <w:r>
        <w:t xml:space="preserve">1542. Riduzione degli accertamenti diagnostici non necessari nei pazienti dopo un ricovero</w:t>
      </w:r>
      <w:r>
        <w:t xml:space="preserve"> </w:t>
      </w:r>
      <w:r>
        <w:t xml:space="preserve">1543. Riduzione degli accertamenti diagnostici non necessari nelle persone LGBTQ+</w:t>
      </w:r>
      <w:r>
        <w:t xml:space="preserve"> </w:t>
      </w:r>
      <w:r>
        <w:t xml:space="preserve">1544. Riduzione degli accertamenti diagnostici non necessari nelle persone delle aree interne e remote</w:t>
      </w:r>
      <w:r>
        <w:t xml:space="preserve"> </w:t>
      </w:r>
      <w:r>
        <w:t xml:space="preserve">1545. Riduzione degli accertamenti diagnostici non necessari nelle persone con bassa alfabetizzazione</w:t>
      </w:r>
      <w:r>
        <w:t xml:space="preserve"> </w:t>
      </w:r>
      <w:r>
        <w:t xml:space="preserve">sanitaria</w:t>
      </w:r>
      <w:r>
        <w:t xml:space="preserve"> </w:t>
      </w:r>
      <w:r>
        <w:t xml:space="preserve">Ramo: Riduzione degli invii inappropriati alla specialistica</w:t>
      </w:r>
      <w:r>
        <w:t xml:space="preserve"> </w:t>
      </w:r>
      <w:r>
        <w:t xml:space="preserve">1546. Riduzione degli invii inappropriati alla specialistica negli adulti in età lavorativa</w:t>
      </w:r>
      <w:r>
        <w:t xml:space="preserve"> </w:t>
      </w:r>
      <w:r>
        <w:t xml:space="preserve">1547. Riduzione degli invii inappropriati alla specialistica negli adolescenti</w:t>
      </w:r>
      <w:r>
        <w:t xml:space="preserve"> </w:t>
      </w:r>
      <w:r>
        <w:t xml:space="preserve">1548. Riduzione degli invii inappropriati alla specialistica nei bambini</w:t>
      </w:r>
      <w:r>
        <w:t xml:space="preserve"> </w:t>
      </w:r>
      <w:r>
        <w:t xml:space="preserve">1549. Riduzione degli invii inappropriati alla specialistica negli anziani</w:t>
      </w:r>
      <w:r>
        <w:t xml:space="preserve"> </w:t>
      </w:r>
      <w:r>
        <w:t xml:space="preserve">1550. Riduzione degli invii inappropriati alla specialistica nei grandi anziani</w:t>
      </w:r>
      <w:r>
        <w:t xml:space="preserve"> </w:t>
      </w:r>
      <w:r>
        <w:t xml:space="preserve">1551. Riduzione degli invii inappropriati alla specialistica nelle donne in gravidanza</w:t>
      </w:r>
      <w:r>
        <w:t xml:space="preserve"> </w:t>
      </w:r>
      <w:r>
        <w:t xml:space="preserve">1552. Riduzione degli invii inappropriati alla specialistica nelle donne nel post-partum</w:t>
      </w:r>
      <w:r>
        <w:t xml:space="preserve"> </w:t>
      </w:r>
      <w:r>
        <w:t xml:space="preserve">1553. Riduzione degli invii inappropriati alla specialistica nei caregiver</w:t>
      </w:r>
      <w:r>
        <w:t xml:space="preserve"> </w:t>
      </w:r>
      <w:r>
        <w:t xml:space="preserve">1554. Riduzione degli invii inappropriati alla specialistica nei pazienti con malattie croniche</w:t>
      </w:r>
      <w:r>
        <w:t xml:space="preserve"> </w:t>
      </w:r>
      <w:r>
        <w:t xml:space="preserve">1555. Riduzione degli invii inappropriati alla specialistica nei pazienti con multimorbilità</w:t>
      </w:r>
      <w:r>
        <w:t xml:space="preserve"> </w:t>
      </w:r>
      <w:r>
        <w:t xml:space="preserve">1556. Riduzione degli invii inappropriati alla specialistica nei pazienti oncologici</w:t>
      </w:r>
      <w:r>
        <w:t xml:space="preserve"> </w:t>
      </w:r>
      <w:r>
        <w:t xml:space="preserve">1557. Riduzione degli invii inappropriati alla specialistica nelle persone con dolore cronico</w:t>
      </w:r>
      <w:r>
        <w:t xml:space="preserve"> </w:t>
      </w:r>
      <w:r>
        <w:t xml:space="preserve">1558. Riduzione degli invii inappropriati alla specialistica nei pazienti diabetici</w:t>
      </w:r>
      <w:r>
        <w:t xml:space="preserve"> </w:t>
      </w:r>
      <w:r>
        <w:t xml:space="preserve">1559. Riduzione degli invii inappropriati alla specialistica nei pazienti cardiopatici</w:t>
      </w:r>
      <w:r>
        <w:t xml:space="preserve"> </w:t>
      </w:r>
      <w:r>
        <w:t xml:space="preserve">43Psicologo di Base · Metodologia apicale e registro unificato delle variabili</w:t>
      </w:r>
      <w:r>
        <w:t xml:space="preserve"> </w:t>
      </w:r>
      <w:r>
        <w:t xml:space="preserve">1560. Riduzione degli invii inappropriati alla specialistica nelle persone con disabilità</w:t>
      </w:r>
      <w:r>
        <w:t xml:space="preserve"> </w:t>
      </w:r>
      <w:r>
        <w:t xml:space="preserve">1561. Riduzione degli invii inappropriati alla specialistica nei migranti e rifugiati</w:t>
      </w:r>
      <w:r>
        <w:t xml:space="preserve"> </w:t>
      </w:r>
      <w:r>
        <w:t xml:space="preserve">1562. Riduzione degli invii inappropriati alla specialistica nelle persone in condizione di povertà</w:t>
      </w:r>
      <w:r>
        <w:t xml:space="preserve"> </w:t>
      </w:r>
      <w:r>
        <w:t xml:space="preserve">1563. Riduzione degli invii inappropriati alla specialistica nelle persone senza dimora</w:t>
      </w:r>
      <w:r>
        <w:t xml:space="preserve"> </w:t>
      </w:r>
      <w:r>
        <w:t xml:space="preserve">1564. Riduzione degli invii inappropriati alla specialistica nei disoccupati</w:t>
      </w:r>
      <w:r>
        <w:t xml:space="preserve"> </w:t>
      </w:r>
      <w:r>
        <w:t xml:space="preserve">1565. Riduzione degli invii inappropriati alla specialistica nei lavoratori esposti a stress</w:t>
      </w:r>
      <w:r>
        <w:t xml:space="preserve"> </w:t>
      </w:r>
      <w:r>
        <w:t xml:space="preserve">1566. Riduzione degli invii inappropriati alla specialistica negli studenti</w:t>
      </w:r>
      <w:r>
        <w:t xml:space="preserve"> </w:t>
      </w:r>
      <w:r>
        <w:t xml:space="preserve">1567. Riduzione degli invii inappropriati alla specialistica nelle persone vittime di violenza</w:t>
      </w:r>
      <w:r>
        <w:t xml:space="preserve"> </w:t>
      </w:r>
      <w:r>
        <w:t xml:space="preserve">1568. Riduzione degli invii inappropriati alla specialistica nelle persone in lutto</w:t>
      </w:r>
      <w:r>
        <w:t xml:space="preserve"> </w:t>
      </w:r>
      <w:r>
        <w:t xml:space="preserve">1569. Riduzione degli invii inappropriati alla specialistica nelle persone con dipendenze</w:t>
      </w:r>
      <w:r>
        <w:t xml:space="preserve"> </w:t>
      </w:r>
      <w:r>
        <w:t xml:space="preserve">1570. Riduzione degli invii inappropriati alla specialistica nei pazienti dopo un ricovero</w:t>
      </w:r>
      <w:r>
        <w:t xml:space="preserve"> </w:t>
      </w:r>
      <w:r>
        <w:t xml:space="preserve">1571. Riduzione degli invii inappropriati alla specialistica nelle persone LGBTQ+</w:t>
      </w:r>
      <w:r>
        <w:t xml:space="preserve"> </w:t>
      </w:r>
      <w:r>
        <w:t xml:space="preserve">1572. Riduzione degli invii inappropriati alla specialistica nelle persone delle aree interne e remote</w:t>
      </w:r>
      <w:r>
        <w:t xml:space="preserve"> </w:t>
      </w:r>
      <w:r>
        <w:t xml:space="preserve">1573. Riduzione degli invii inappropriati alla specialistica nelle persone con bassa alfabetizzazione</w:t>
      </w:r>
      <w:r>
        <w:t xml:space="preserve"> </w:t>
      </w:r>
      <w:r>
        <w:t xml:space="preserve">sanitaria</w:t>
      </w:r>
      <w:r>
        <w:t xml:space="preserve"> </w:t>
      </w:r>
      <w:r>
        <w:t xml:space="preserve">Ramo: Migliore aderenza ai trattamenti</w:t>
      </w:r>
      <w:r>
        <w:t xml:space="preserve"> </w:t>
      </w:r>
      <w:r>
        <w:t xml:space="preserve">1574. Migliore aderenza ai trattamenti negli adulti in età lavorativa</w:t>
      </w:r>
      <w:r>
        <w:t xml:space="preserve"> </w:t>
      </w:r>
      <w:r>
        <w:t xml:space="preserve">1575. Migliore aderenza ai trattamenti negli adolescenti</w:t>
      </w:r>
      <w:r>
        <w:t xml:space="preserve"> </w:t>
      </w:r>
      <w:r>
        <w:t xml:space="preserve">1576. Migliore aderenza ai trattamenti nei bambini</w:t>
      </w:r>
      <w:r>
        <w:t xml:space="preserve"> </w:t>
      </w:r>
      <w:r>
        <w:t xml:space="preserve">1577. Migliore aderenza ai trattamenti negli anziani</w:t>
      </w:r>
      <w:r>
        <w:t xml:space="preserve"> </w:t>
      </w:r>
      <w:r>
        <w:t xml:space="preserve">1578. Migliore aderenza ai trattamenti nei grandi anziani</w:t>
      </w:r>
      <w:r>
        <w:t xml:space="preserve"> </w:t>
      </w:r>
      <w:r>
        <w:t xml:space="preserve">1579. Migliore aderenza ai trattamenti nelle donne in gravidanza</w:t>
      </w:r>
      <w:r>
        <w:t xml:space="preserve"> </w:t>
      </w:r>
      <w:r>
        <w:t xml:space="preserve">1580. Migliore aderenza ai trattamenti nelle donne nel post-partum</w:t>
      </w:r>
      <w:r>
        <w:t xml:space="preserve"> </w:t>
      </w:r>
      <w:r>
        <w:t xml:space="preserve">1581. Migliore aderenza ai trattamenti nei caregiver</w:t>
      </w:r>
      <w:r>
        <w:t xml:space="preserve"> </w:t>
      </w:r>
      <w:r>
        <w:t xml:space="preserve">1582. Migliore aderenza ai trattamenti nei pazienti con malattie croniche</w:t>
      </w:r>
      <w:r>
        <w:t xml:space="preserve"> </w:t>
      </w:r>
      <w:r>
        <w:t xml:space="preserve">1583. Migliore aderenza ai trattamenti nei pazienti con multimorbilità</w:t>
      </w:r>
      <w:r>
        <w:t xml:space="preserve"> </w:t>
      </w:r>
      <w:r>
        <w:t xml:space="preserve">1584. Migliore aderenza ai trattamenti nei pazienti oncologici</w:t>
      </w:r>
      <w:r>
        <w:t xml:space="preserve"> </w:t>
      </w:r>
      <w:r>
        <w:t xml:space="preserve">1585. Migliore aderenza ai trattamenti nelle persone con dolore cronico</w:t>
      </w:r>
      <w:r>
        <w:t xml:space="preserve"> </w:t>
      </w:r>
      <w:r>
        <w:t xml:space="preserve">1586. Migliore aderenza ai trattamenti nei pazienti diabetici</w:t>
      </w:r>
      <w:r>
        <w:t xml:space="preserve"> </w:t>
      </w:r>
      <w:r>
        <w:t xml:space="preserve">1587. Migliore aderenza ai trattamenti nei pazienti cardiopatici</w:t>
      </w:r>
      <w:r>
        <w:t xml:space="preserve"> </w:t>
      </w:r>
      <w:r>
        <w:t xml:space="preserve">1588. Migliore aderenza ai trattamenti nelle persone con disabilità</w:t>
      </w:r>
      <w:r>
        <w:t xml:space="preserve"> </w:t>
      </w:r>
      <w:r>
        <w:t xml:space="preserve">1589. Migliore aderenza ai trattamenti nei migranti e rifugiati</w:t>
      </w:r>
      <w:r>
        <w:t xml:space="preserve"> </w:t>
      </w:r>
      <w:r>
        <w:t xml:space="preserve">1590. Migliore aderenza ai trattamenti nelle persone in condizione di povertà</w:t>
      </w:r>
      <w:r>
        <w:t xml:space="preserve"> </w:t>
      </w:r>
      <w:r>
        <w:t xml:space="preserve">1591. Migliore aderenza ai trattamenti nelle persone senza dimora</w:t>
      </w:r>
      <w:r>
        <w:t xml:space="preserve"> </w:t>
      </w:r>
      <w:r>
        <w:t xml:space="preserve">1592. Migliore aderenza ai trattamenti nei disoccupati</w:t>
      </w:r>
      <w:r>
        <w:t xml:space="preserve"> </w:t>
      </w:r>
      <w:r>
        <w:t xml:space="preserve">1593. Migliore aderenza ai trattamenti nei lavoratori esposti a stress</w:t>
      </w:r>
      <w:r>
        <w:t xml:space="preserve"> </w:t>
      </w:r>
      <w:r>
        <w:t xml:space="preserve">1594. Migliore aderenza ai trattamenti negli studenti</w:t>
      </w:r>
      <w:r>
        <w:t xml:space="preserve"> </w:t>
      </w:r>
      <w:r>
        <w:t xml:space="preserve">1595. Migliore aderenza ai trattamenti nelle persone vittime di violenza</w:t>
      </w:r>
      <w:r>
        <w:t xml:space="preserve"> </w:t>
      </w:r>
      <w:r>
        <w:t xml:space="preserve">1596. Migliore aderenza ai trattamenti nelle persone in lutto</w:t>
      </w:r>
      <w:r>
        <w:t xml:space="preserve"> </w:t>
      </w:r>
      <w:r>
        <w:t xml:space="preserve">1597. Migliore aderenza ai trattamenti nelle persone con dipendenze</w:t>
      </w:r>
      <w:r>
        <w:t xml:space="preserve"> </w:t>
      </w:r>
      <w:r>
        <w:t xml:space="preserve">1598. Migliore aderenza ai trattamenti nei pazienti dopo un ricovero</w:t>
      </w:r>
      <w:r>
        <w:t xml:space="preserve"> </w:t>
      </w:r>
      <w:r>
        <w:t xml:space="preserve">1599. Migliore aderenza ai trattamenti nelle persone LGBTQ+</w:t>
      </w:r>
      <w:r>
        <w:t xml:space="preserve"> </w:t>
      </w:r>
      <w:r>
        <w:t xml:space="preserve">1600. Migliore aderenza ai trattamenti nelle persone delle aree interne e remote</w:t>
      </w:r>
      <w:r>
        <w:t xml:space="preserve"> </w:t>
      </w:r>
      <w:r>
        <w:t xml:space="preserve">1601. Migliore aderenza ai trattamenti nelle persone con bassa alfabetizzazione sanitaria</w:t>
      </w:r>
      <w:r>
        <w:t xml:space="preserve"> </w:t>
      </w:r>
      <w:r>
        <w:t xml:space="preserve">Ramo: Riduzione delle ricadute</w:t>
      </w:r>
      <w:r>
        <w:t xml:space="preserve"> </w:t>
      </w:r>
      <w:r>
        <w:t xml:space="preserve">1602. Riduzione delle ricadute negli adulti in età lavorativa</w:t>
      </w:r>
      <w:r>
        <w:t xml:space="preserve"> </w:t>
      </w:r>
      <w:r>
        <w:t xml:space="preserve">1603. Riduzione delle ricadute negli adolescenti</w:t>
      </w:r>
      <w:r>
        <w:t xml:space="preserve"> </w:t>
      </w:r>
      <w:r>
        <w:t xml:space="preserve">1604. Riduzione delle ricadute nei bambini</w:t>
      </w:r>
      <w:r>
        <w:t xml:space="preserve"> </w:t>
      </w:r>
      <w:r>
        <w:t xml:space="preserve">1605. Riduzione delle ricadute negli anziani</w:t>
      </w:r>
      <w:r>
        <w:t xml:space="preserve"> </w:t>
      </w:r>
      <w:r>
        <w:t xml:space="preserve">44Psicologo di Base · Metodologia apicale e registro unificato delle variabili</w:t>
      </w:r>
      <w:r>
        <w:t xml:space="preserve"> </w:t>
      </w:r>
      <w:r>
        <w:t xml:space="preserve">1606. Riduzione delle ricadute nei grandi anziani</w:t>
      </w:r>
      <w:r>
        <w:t xml:space="preserve"> </w:t>
      </w:r>
      <w:r>
        <w:t xml:space="preserve">1607. Riduzione delle ricadute nelle donne in gravidanza</w:t>
      </w:r>
      <w:r>
        <w:t xml:space="preserve"> </w:t>
      </w:r>
      <w:r>
        <w:t xml:space="preserve">1608. Riduzione delle ricadute nelle donne nel post-partum</w:t>
      </w:r>
      <w:r>
        <w:t xml:space="preserve"> </w:t>
      </w:r>
      <w:r>
        <w:t xml:space="preserve">1609. Riduzione delle ricadute nei caregiver</w:t>
      </w:r>
      <w:r>
        <w:t xml:space="preserve"> </w:t>
      </w:r>
      <w:r>
        <w:t xml:space="preserve">1610. Riduzione delle ricadute nei pazienti con malattie croniche</w:t>
      </w:r>
      <w:r>
        <w:t xml:space="preserve"> </w:t>
      </w:r>
      <w:r>
        <w:t xml:space="preserve">1611. Riduzione delle ricadute nei pazienti con multimorbilità</w:t>
      </w:r>
      <w:r>
        <w:t xml:space="preserve"> </w:t>
      </w:r>
      <w:r>
        <w:t xml:space="preserve">1612. Riduzione delle ricadute nei pazienti oncologici</w:t>
      </w:r>
      <w:r>
        <w:t xml:space="preserve"> </w:t>
      </w:r>
      <w:r>
        <w:t xml:space="preserve">1613. Riduzione delle ricadute nelle persone con dolore cronico</w:t>
      </w:r>
      <w:r>
        <w:t xml:space="preserve"> </w:t>
      </w:r>
      <w:r>
        <w:t xml:space="preserve">1614. Riduzione delle ricadute nei pazienti diabetici</w:t>
      </w:r>
      <w:r>
        <w:t xml:space="preserve"> </w:t>
      </w:r>
      <w:r>
        <w:t xml:space="preserve">1615. Riduzione delle ricadute nei pazienti cardiopatici</w:t>
      </w:r>
      <w:r>
        <w:t xml:space="preserve"> </w:t>
      </w:r>
      <w:r>
        <w:t xml:space="preserve">1616. Riduzione delle ricadute nelle persone con disabilità</w:t>
      </w:r>
      <w:r>
        <w:t xml:space="preserve"> </w:t>
      </w:r>
      <w:r>
        <w:t xml:space="preserve">1617. Riduzione delle ricadute nei migranti e rifugiati</w:t>
      </w:r>
      <w:r>
        <w:t xml:space="preserve"> </w:t>
      </w:r>
      <w:r>
        <w:t xml:space="preserve">1618. Riduzione delle ricadute nelle persone in condizione di povertà</w:t>
      </w:r>
      <w:r>
        <w:t xml:space="preserve"> </w:t>
      </w:r>
      <w:r>
        <w:t xml:space="preserve">1619. Riduzione delle ricadute nelle persone senza dimora</w:t>
      </w:r>
      <w:r>
        <w:t xml:space="preserve"> </w:t>
      </w:r>
      <w:r>
        <w:t xml:space="preserve">1620. Riduzione delle ricadute nei disoccupati</w:t>
      </w:r>
      <w:r>
        <w:t xml:space="preserve"> </w:t>
      </w:r>
      <w:r>
        <w:t xml:space="preserve">1621. Riduzione delle ricadute nei lavoratori esposti a stress</w:t>
      </w:r>
      <w:r>
        <w:t xml:space="preserve"> </w:t>
      </w:r>
      <w:r>
        <w:t xml:space="preserve">1622. Riduzione delle ricadute negli studenti</w:t>
      </w:r>
      <w:r>
        <w:t xml:space="preserve"> </w:t>
      </w:r>
      <w:r>
        <w:t xml:space="preserve">1623. Riduzione delle ricadute nelle persone vittime di violenza</w:t>
      </w:r>
      <w:r>
        <w:t xml:space="preserve"> </w:t>
      </w:r>
      <w:r>
        <w:t xml:space="preserve">1624. Riduzione delle ricadute nelle persone in lutto</w:t>
      </w:r>
      <w:r>
        <w:t xml:space="preserve"> </w:t>
      </w:r>
      <w:r>
        <w:t xml:space="preserve">1625. Riduzione delle ricadute nelle persone con dipendenze</w:t>
      </w:r>
      <w:r>
        <w:t xml:space="preserve"> </w:t>
      </w:r>
      <w:r>
        <w:t xml:space="preserve">1626. Riduzione delle ricadute nei pazienti dopo un ricovero</w:t>
      </w:r>
      <w:r>
        <w:t xml:space="preserve"> </w:t>
      </w:r>
      <w:r>
        <w:t xml:space="preserve">1627. Riduzione delle ricadute nelle persone LGBTQ+</w:t>
      </w:r>
      <w:r>
        <w:t xml:space="preserve"> </w:t>
      </w:r>
      <w:r>
        <w:t xml:space="preserve">1628. Riduzione delle ricadute nelle persone delle aree interne e remote</w:t>
      </w:r>
      <w:r>
        <w:t xml:space="preserve"> </w:t>
      </w:r>
      <w:r>
        <w:t xml:space="preserve">1629. Riduzione delle ricadute nelle persone con bassa alfabetizzazione sanitaria</w:t>
      </w:r>
      <w:r>
        <w:t xml:space="preserve"> </w:t>
      </w:r>
      <w:r>
        <w:t xml:space="preserve">Ramo: Aumento del tasso di recupero</w:t>
      </w:r>
      <w:r>
        <w:t xml:space="preserve"> </w:t>
      </w:r>
      <w:r>
        <w:t xml:space="preserve">1630. Aumento del tasso di recupero negli adulti in età lavorativa</w:t>
      </w:r>
      <w:r>
        <w:t xml:space="preserve"> </w:t>
      </w:r>
      <w:r>
        <w:t xml:space="preserve">1631. Aumento del tasso di recupero negli adolescenti</w:t>
      </w:r>
      <w:r>
        <w:t xml:space="preserve"> </w:t>
      </w:r>
      <w:r>
        <w:t xml:space="preserve">1632. Aumento del tasso di recupero nei bambini</w:t>
      </w:r>
      <w:r>
        <w:t xml:space="preserve"> </w:t>
      </w:r>
      <w:r>
        <w:t xml:space="preserve">1633. Aumento del tasso di recupero negli anziani</w:t>
      </w:r>
      <w:r>
        <w:t xml:space="preserve"> </w:t>
      </w:r>
      <w:r>
        <w:t xml:space="preserve">1634. Aumento del tasso di recupero nei grandi anziani</w:t>
      </w:r>
      <w:r>
        <w:t xml:space="preserve"> </w:t>
      </w:r>
      <w:r>
        <w:t xml:space="preserve">1635. Aumento del tasso di recupero nelle donne in gravidanza</w:t>
      </w:r>
      <w:r>
        <w:t xml:space="preserve"> </w:t>
      </w:r>
      <w:r>
        <w:t xml:space="preserve">1636. Aumento del tasso di recupero nelle donne nel post-partum</w:t>
      </w:r>
      <w:r>
        <w:t xml:space="preserve"> </w:t>
      </w:r>
      <w:r>
        <w:t xml:space="preserve">1637. Aumento del tasso di recupero nei caregiver</w:t>
      </w:r>
      <w:r>
        <w:t xml:space="preserve"> </w:t>
      </w:r>
      <w:r>
        <w:t xml:space="preserve">1638. Aumento del tasso di recupero nei pazienti con malattie croniche</w:t>
      </w:r>
      <w:r>
        <w:t xml:space="preserve"> </w:t>
      </w:r>
      <w:r>
        <w:t xml:space="preserve">1639. Aumento del tasso di recupero nei pazienti con multimorbilità</w:t>
      </w:r>
      <w:r>
        <w:t xml:space="preserve"> </w:t>
      </w:r>
      <w:r>
        <w:t xml:space="preserve">1640. Aumento del tasso di recupero nei pazienti oncologici</w:t>
      </w:r>
      <w:r>
        <w:t xml:space="preserve"> </w:t>
      </w:r>
      <w:r>
        <w:t xml:space="preserve">1641. Aumento del tasso di recupero nelle persone con dolore cronico</w:t>
      </w:r>
      <w:r>
        <w:t xml:space="preserve"> </w:t>
      </w:r>
      <w:r>
        <w:t xml:space="preserve">1642. Aumento del tasso di recupero nei pazienti diabetici</w:t>
      </w:r>
      <w:r>
        <w:t xml:space="preserve"> </w:t>
      </w:r>
      <w:r>
        <w:t xml:space="preserve">1643. Aumento del tasso di recupero nei pazienti cardiopatici</w:t>
      </w:r>
      <w:r>
        <w:t xml:space="preserve"> </w:t>
      </w:r>
      <w:r>
        <w:t xml:space="preserve">1644. Aumento del tasso di recupero nelle persone con disabilità</w:t>
      </w:r>
      <w:r>
        <w:t xml:space="preserve"> </w:t>
      </w:r>
      <w:r>
        <w:t xml:space="preserve">1645. Aumento del tasso di recupero nei migranti e rifugiati</w:t>
      </w:r>
      <w:r>
        <w:t xml:space="preserve"> </w:t>
      </w:r>
      <w:r>
        <w:t xml:space="preserve">1646. Aumento del tasso di recupero nelle persone in condizione di povertà</w:t>
      </w:r>
      <w:r>
        <w:t xml:space="preserve"> </w:t>
      </w:r>
      <w:r>
        <w:t xml:space="preserve">1647. Aumento del tasso di recupero nelle persone senza dimora</w:t>
      </w:r>
      <w:r>
        <w:t xml:space="preserve"> </w:t>
      </w:r>
      <w:r>
        <w:t xml:space="preserve">1648. Aumento del tasso di recupero nei disoccupati</w:t>
      </w:r>
      <w:r>
        <w:t xml:space="preserve"> </w:t>
      </w:r>
      <w:r>
        <w:t xml:space="preserve">1649. Aumento del tasso di recupero nei lavoratori esposti a stress</w:t>
      </w:r>
      <w:r>
        <w:t xml:space="preserve"> </w:t>
      </w:r>
      <w:r>
        <w:t xml:space="preserve">1650. Aumento del tasso di recupero negli studenti</w:t>
      </w:r>
      <w:r>
        <w:t xml:space="preserve"> </w:t>
      </w:r>
      <w:r>
        <w:t xml:space="preserve">1651. Aumento del tasso di recupero nelle persone vittime di violenza</w:t>
      </w:r>
      <w:r>
        <w:t xml:space="preserve"> </w:t>
      </w:r>
      <w:r>
        <w:t xml:space="preserve">1652. Aumento del tasso di recupero nelle persone in lutto</w:t>
      </w:r>
      <w:r>
        <w:t xml:space="preserve"> </w:t>
      </w:r>
      <w:r>
        <w:t xml:space="preserve">1653. Aumento del tasso di recupero nelle persone con dipendenze</w:t>
      </w:r>
      <w:r>
        <w:t xml:space="preserve"> </w:t>
      </w:r>
      <w:r>
        <w:t xml:space="preserve">1654. Aumento del tasso di recupero nei pazienti dopo un ricovero</w:t>
      </w:r>
      <w:r>
        <w:t xml:space="preserve"> </w:t>
      </w:r>
      <w:r>
        <w:t xml:space="preserve">45Psicologo di Base · Metodologia apicale e registro unificato delle variabili</w:t>
      </w:r>
      <w:r>
        <w:t xml:space="preserve"> </w:t>
      </w:r>
      <w:r>
        <w:t xml:space="preserve">1655. Aumento del tasso di recupero nelle persone LGBTQ+</w:t>
      </w:r>
      <w:r>
        <w:t xml:space="preserve"> </w:t>
      </w:r>
      <w:r>
        <w:t xml:space="preserve">1656. Aumento del tasso di recupero nelle persone delle aree interne e remote</w:t>
      </w:r>
      <w:r>
        <w:t xml:space="preserve"> </w:t>
      </w:r>
      <w:r>
        <w:t xml:space="preserve">1657. Aumento del tasso di recupero nelle persone con bassa alfabetizzazione sanitaria</w:t>
      </w:r>
      <w:r>
        <w:t xml:space="preserve"> </w:t>
      </w:r>
      <w:r>
        <w:t xml:space="preserve">Ramo: Aumento della remissione clinica</w:t>
      </w:r>
      <w:r>
        <w:t xml:space="preserve"> </w:t>
      </w:r>
      <w:r>
        <w:t xml:space="preserve">1658. Aumento della remissione clinica negli adulti in età lavorativa</w:t>
      </w:r>
      <w:r>
        <w:t xml:space="preserve"> </w:t>
      </w:r>
      <w:r>
        <w:t xml:space="preserve">1659. Aumento della remissione clinica negli adolescenti</w:t>
      </w:r>
      <w:r>
        <w:t xml:space="preserve"> </w:t>
      </w:r>
      <w:r>
        <w:t xml:space="preserve">1660. Aumento della remissione clinica nei bambini</w:t>
      </w:r>
      <w:r>
        <w:t xml:space="preserve"> </w:t>
      </w:r>
      <w:r>
        <w:t xml:space="preserve">1661. Aumento della remissione clinica negli anziani</w:t>
      </w:r>
      <w:r>
        <w:t xml:space="preserve"> </w:t>
      </w:r>
      <w:r>
        <w:t xml:space="preserve">1662. Aumento della remissione clinica nei grandi anziani</w:t>
      </w:r>
      <w:r>
        <w:t xml:space="preserve"> </w:t>
      </w:r>
      <w:r>
        <w:t xml:space="preserve">1663. Aumento della remissione clinica nelle donne in gravidanza</w:t>
      </w:r>
      <w:r>
        <w:t xml:space="preserve"> </w:t>
      </w:r>
      <w:r>
        <w:t xml:space="preserve">1664. Aumento della remissione clinica nelle donne nel post-partum</w:t>
      </w:r>
      <w:r>
        <w:t xml:space="preserve"> </w:t>
      </w:r>
      <w:r>
        <w:t xml:space="preserve">1665. Aumento della remissione clinica nei caregiver</w:t>
      </w:r>
      <w:r>
        <w:t xml:space="preserve"> </w:t>
      </w:r>
      <w:r>
        <w:t xml:space="preserve">1666. Aumento della remissione clinica nei pazienti con malattie croniche</w:t>
      </w:r>
      <w:r>
        <w:t xml:space="preserve"> </w:t>
      </w:r>
      <w:r>
        <w:t xml:space="preserve">1667. Aumento della remissione clinica nei pazienti con multimorbilità</w:t>
      </w:r>
      <w:r>
        <w:t xml:space="preserve"> </w:t>
      </w:r>
      <w:r>
        <w:t xml:space="preserve">1668. Aumento della remissione clinica nei pazienti oncologici</w:t>
      </w:r>
      <w:r>
        <w:t xml:space="preserve"> </w:t>
      </w:r>
      <w:r>
        <w:t xml:space="preserve">1669. Aumento della remissione clinica nelle persone con dolore cronico</w:t>
      </w:r>
      <w:r>
        <w:t xml:space="preserve"> </w:t>
      </w:r>
      <w:r>
        <w:t xml:space="preserve">1670. Aumento della remissione clinica nei pazienti diabetici</w:t>
      </w:r>
      <w:r>
        <w:t xml:space="preserve"> </w:t>
      </w:r>
      <w:r>
        <w:t xml:space="preserve">1671. Aumento della remissione clinica nei pazienti cardiopatici</w:t>
      </w:r>
      <w:r>
        <w:t xml:space="preserve"> </w:t>
      </w:r>
      <w:r>
        <w:t xml:space="preserve">1672. Aumento della remissione clinica nelle persone con disabilità</w:t>
      </w:r>
      <w:r>
        <w:t xml:space="preserve"> </w:t>
      </w:r>
      <w:r>
        <w:t xml:space="preserve">1673. Aumento della remissione clinica nei migranti e rifugiati</w:t>
      </w:r>
      <w:r>
        <w:t xml:space="preserve"> </w:t>
      </w:r>
      <w:r>
        <w:t xml:space="preserve">1674. Aumento della remissione clinica nelle persone in condizione di povertà</w:t>
      </w:r>
      <w:r>
        <w:t xml:space="preserve"> </w:t>
      </w:r>
      <w:r>
        <w:t xml:space="preserve">1675. Aumento della remissione clinica nelle persone senza dimora</w:t>
      </w:r>
      <w:r>
        <w:t xml:space="preserve"> </w:t>
      </w:r>
      <w:r>
        <w:t xml:space="preserve">1676. Aumento della remissione clinica nei disoccupati</w:t>
      </w:r>
      <w:r>
        <w:t xml:space="preserve"> </w:t>
      </w:r>
      <w:r>
        <w:t xml:space="preserve">1677. Aumento della remissione clinica nei lavoratori esposti a stress</w:t>
      </w:r>
      <w:r>
        <w:t xml:space="preserve"> </w:t>
      </w:r>
      <w:r>
        <w:t xml:space="preserve">1678. Aumento della remissione clinica negli studenti</w:t>
      </w:r>
      <w:r>
        <w:t xml:space="preserve"> </w:t>
      </w:r>
      <w:r>
        <w:t xml:space="preserve">1679. Aumento della remissione clinica nelle persone vittime di violenza</w:t>
      </w:r>
      <w:r>
        <w:t xml:space="preserve"> </w:t>
      </w:r>
      <w:r>
        <w:t xml:space="preserve">1680. Aumento della remissione clinica nelle persone in lutto</w:t>
      </w:r>
      <w:r>
        <w:t xml:space="preserve"> </w:t>
      </w:r>
      <w:r>
        <w:t xml:space="preserve">1681. Aumento della remissione clinica nelle persone con dipendenze</w:t>
      </w:r>
      <w:r>
        <w:t xml:space="preserve"> </w:t>
      </w:r>
      <w:r>
        <w:t xml:space="preserve">1682. Aumento della remissione clinica nei pazienti dopo un ricovero</w:t>
      </w:r>
      <w:r>
        <w:t xml:space="preserve"> </w:t>
      </w:r>
      <w:r>
        <w:t xml:space="preserve">1683. Aumento della remissione clinica nelle persone LGBTQ+</w:t>
      </w:r>
      <w:r>
        <w:t xml:space="preserve"> </w:t>
      </w:r>
      <w:r>
        <w:t xml:space="preserve">1684. Aumento della remissione clinica nelle persone delle aree interne e remote</w:t>
      </w:r>
      <w:r>
        <w:t xml:space="preserve"> </w:t>
      </w:r>
      <w:r>
        <w:t xml:space="preserve">1685. Aumento della remissione clinica nelle persone con bassa alfabetizzazione sanitaria</w:t>
      </w:r>
      <w:r>
        <w:t xml:space="preserve"> </w:t>
      </w:r>
      <w:r>
        <w:t xml:space="preserve">Ramo: Riduzione dello stigma percepito</w:t>
      </w:r>
      <w:r>
        <w:t xml:space="preserve"> </w:t>
      </w:r>
      <w:r>
        <w:t xml:space="preserve">1686. Riduzione dello stigma percepito negli adulti in età lavorativa</w:t>
      </w:r>
      <w:r>
        <w:t xml:space="preserve"> </w:t>
      </w:r>
      <w:r>
        <w:t xml:space="preserve">1687. Riduzione dello stigma percepito negli adolescenti</w:t>
      </w:r>
      <w:r>
        <w:t xml:space="preserve"> </w:t>
      </w:r>
      <w:r>
        <w:t xml:space="preserve">1688. Riduzione dello stigma percepito nei bambini</w:t>
      </w:r>
      <w:r>
        <w:t xml:space="preserve"> </w:t>
      </w:r>
      <w:r>
        <w:t xml:space="preserve">1689. Riduzione dello stigma percepito negli anziani</w:t>
      </w:r>
      <w:r>
        <w:t xml:space="preserve"> </w:t>
      </w:r>
      <w:r>
        <w:t xml:space="preserve">1690. Riduzione dello stigma percepito nei grandi anziani</w:t>
      </w:r>
      <w:r>
        <w:t xml:space="preserve"> </w:t>
      </w:r>
      <w:r>
        <w:t xml:space="preserve">1691. Riduzione dello stigma percepito nelle donne in gravidanza</w:t>
      </w:r>
      <w:r>
        <w:t xml:space="preserve"> </w:t>
      </w:r>
      <w:r>
        <w:t xml:space="preserve">1692. Riduzione dello stigma percepito nelle donne nel post-partum</w:t>
      </w:r>
      <w:r>
        <w:t xml:space="preserve"> </w:t>
      </w:r>
      <w:r>
        <w:t xml:space="preserve">1693. Riduzione dello stigma percepito nei caregiver</w:t>
      </w:r>
      <w:r>
        <w:t xml:space="preserve"> </w:t>
      </w:r>
      <w:r>
        <w:t xml:space="preserve">1694. Riduzione dello stigma percepito nei pazienti con malattie croniche</w:t>
      </w:r>
      <w:r>
        <w:t xml:space="preserve"> </w:t>
      </w:r>
      <w:r>
        <w:t xml:space="preserve">1695. Riduzione dello stigma percepito nei pazienti con multimorbilità</w:t>
      </w:r>
      <w:r>
        <w:t xml:space="preserve"> </w:t>
      </w:r>
      <w:r>
        <w:t xml:space="preserve">1696. Riduzione dello stigma percepito nei pazienti oncologici</w:t>
      </w:r>
      <w:r>
        <w:t xml:space="preserve"> </w:t>
      </w:r>
      <w:r>
        <w:t xml:space="preserve">1697. Riduzione dello stigma percepito nelle persone con dolore cronico</w:t>
      </w:r>
      <w:r>
        <w:t xml:space="preserve"> </w:t>
      </w:r>
      <w:r>
        <w:t xml:space="preserve">1698. Riduzione dello stigma percepito nei pazienti diabetici</w:t>
      </w:r>
      <w:r>
        <w:t xml:space="preserve"> </w:t>
      </w:r>
      <w:r>
        <w:t xml:space="preserve">1699. Riduzione dello stigma percepito nei pazienti cardiopatici</w:t>
      </w:r>
      <w:r>
        <w:t xml:space="preserve"> </w:t>
      </w:r>
      <w:r>
        <w:t xml:space="preserve">1700. Riduzione dello stigma percepito nelle persone con disabilità</w:t>
      </w:r>
      <w:r>
        <w:t xml:space="preserve"> </w:t>
      </w:r>
      <w:r>
        <w:t xml:space="preserve">1701. Riduzione dello stigma percepito nei migranti e rifugiati</w:t>
      </w:r>
      <w:r>
        <w:t xml:space="preserve"> </w:t>
      </w:r>
      <w:r>
        <w:t xml:space="preserve">46Psicologo di Base · Metodologia apicale e registro unificato delle variabili</w:t>
      </w:r>
      <w:r>
        <w:t xml:space="preserve"> </w:t>
      </w:r>
      <w:r>
        <w:t xml:space="preserve">1702. Riduzione dello stigma percepito nelle persone in condizione di povertà</w:t>
      </w:r>
      <w:r>
        <w:t xml:space="preserve"> </w:t>
      </w:r>
      <w:r>
        <w:t xml:space="preserve">1703. Riduzione dello stigma percepito nelle persone senza dimora</w:t>
      </w:r>
      <w:r>
        <w:t xml:space="preserve"> </w:t>
      </w:r>
      <w:r>
        <w:t xml:space="preserve">1704. Riduzione dello stigma percepito nei disoccupati</w:t>
      </w:r>
      <w:r>
        <w:t xml:space="preserve"> </w:t>
      </w:r>
      <w:r>
        <w:t xml:space="preserve">1705. Riduzione dello stigma percepito nei lavoratori esposti a stress</w:t>
      </w:r>
      <w:r>
        <w:t xml:space="preserve"> </w:t>
      </w:r>
      <w:r>
        <w:t xml:space="preserve">1706. Riduzione dello stigma percepito negli studenti</w:t>
      </w:r>
      <w:r>
        <w:t xml:space="preserve"> </w:t>
      </w:r>
      <w:r>
        <w:t xml:space="preserve">1707. Riduzione dello stigma percepito nelle persone vittime di violenza</w:t>
      </w:r>
      <w:r>
        <w:t xml:space="preserve"> </w:t>
      </w:r>
      <w:r>
        <w:t xml:space="preserve">1708. Riduzione dello stigma percepito nelle persone in lutto</w:t>
      </w:r>
      <w:r>
        <w:t xml:space="preserve"> </w:t>
      </w:r>
      <w:r>
        <w:t xml:space="preserve">1709. Riduzione dello stigma percepito nelle persone con dipendenze</w:t>
      </w:r>
      <w:r>
        <w:t xml:space="preserve"> </w:t>
      </w:r>
      <w:r>
        <w:t xml:space="preserve">1710. Riduzione dello stigma percepito nei pazienti dopo un ricovero</w:t>
      </w:r>
      <w:r>
        <w:t xml:space="preserve"> </w:t>
      </w:r>
      <w:r>
        <w:t xml:space="preserve">1711. Riduzione dello stigma percepito nelle persone LGBTQ+</w:t>
      </w:r>
      <w:r>
        <w:t xml:space="preserve"> </w:t>
      </w:r>
      <w:r>
        <w:t xml:space="preserve">1712. Riduzione dello stigma percepito nelle persone delle aree interne e remote</w:t>
      </w:r>
      <w:r>
        <w:t xml:space="preserve"> </w:t>
      </w:r>
      <w:r>
        <w:t xml:space="preserve">1713. Riduzione dello stigma percepito nelle persone con bassa alfabetizzazione sanitaria</w:t>
      </w:r>
      <w:r>
        <w:t xml:space="preserve"> </w:t>
      </w:r>
      <w:r>
        <w:t xml:space="preserve">Ramo: Aumento della propensione a chiedere aiuto</w:t>
      </w:r>
      <w:r>
        <w:t xml:space="preserve"> </w:t>
      </w:r>
      <w:r>
        <w:t xml:space="preserve">1714. Aumento della propensione a chiedere aiuto negli adulti in età lavorativa</w:t>
      </w:r>
      <w:r>
        <w:t xml:space="preserve"> </w:t>
      </w:r>
      <w:r>
        <w:t xml:space="preserve">1715. Aumento della propensione a chiedere aiuto negli adolescenti</w:t>
      </w:r>
      <w:r>
        <w:t xml:space="preserve"> </w:t>
      </w:r>
      <w:r>
        <w:t xml:space="preserve">1716. Aumento della propensione a chiedere aiuto nei bambini</w:t>
      </w:r>
      <w:r>
        <w:t xml:space="preserve"> </w:t>
      </w:r>
      <w:r>
        <w:t xml:space="preserve">1717. Aumento della propensione a chiedere aiuto negli anziani</w:t>
      </w:r>
      <w:r>
        <w:t xml:space="preserve"> </w:t>
      </w:r>
      <w:r>
        <w:t xml:space="preserve">1718. Aumento della propensione a chiedere aiuto nei grandi anziani</w:t>
      </w:r>
      <w:r>
        <w:t xml:space="preserve"> </w:t>
      </w:r>
      <w:r>
        <w:t xml:space="preserve">1719. Aumento della propensione a chiedere aiuto nelle donne in gravidanza</w:t>
      </w:r>
      <w:r>
        <w:t xml:space="preserve"> </w:t>
      </w:r>
      <w:r>
        <w:t xml:space="preserve">1720. Aumento della propensione a chiedere aiuto nelle donne nel post-partum</w:t>
      </w:r>
      <w:r>
        <w:t xml:space="preserve"> </w:t>
      </w:r>
      <w:r>
        <w:t xml:space="preserve">1721. Aumento della propensione a chiedere aiuto nei caregiver</w:t>
      </w:r>
      <w:r>
        <w:t xml:space="preserve"> </w:t>
      </w:r>
      <w:r>
        <w:t xml:space="preserve">1722. Aumento della propensione a chiedere aiuto nei pazienti con malattie croniche</w:t>
      </w:r>
      <w:r>
        <w:t xml:space="preserve"> </w:t>
      </w:r>
      <w:r>
        <w:t xml:space="preserve">1723. Aumento della propensione a chiedere aiuto nei pazienti con multimorbilità</w:t>
      </w:r>
      <w:r>
        <w:t xml:space="preserve"> </w:t>
      </w:r>
      <w:r>
        <w:t xml:space="preserve">1724. Aumento della propensione a chiedere aiuto nei pazienti oncologici</w:t>
      </w:r>
      <w:r>
        <w:t xml:space="preserve"> </w:t>
      </w:r>
      <w:r>
        <w:t xml:space="preserve">1725. Aumento della propensione a chiedere aiuto nelle persone con dolore cronico</w:t>
      </w:r>
      <w:r>
        <w:t xml:space="preserve"> </w:t>
      </w:r>
      <w:r>
        <w:t xml:space="preserve">1726. Aumento della propensione a chiedere aiuto nei pazienti diabetici</w:t>
      </w:r>
      <w:r>
        <w:t xml:space="preserve"> </w:t>
      </w:r>
      <w:r>
        <w:t xml:space="preserve">1727. Aumento della propensione a chiedere aiuto nei pazienti cardiopatici</w:t>
      </w:r>
      <w:r>
        <w:t xml:space="preserve"> </w:t>
      </w:r>
      <w:r>
        <w:t xml:space="preserve">1728. Aumento della propensione a chiedere aiuto nelle persone con disabilità</w:t>
      </w:r>
      <w:r>
        <w:t xml:space="preserve"> </w:t>
      </w:r>
      <w:r>
        <w:t xml:space="preserve">1729. Aumento della propensione a chiedere aiuto nei migranti e rifugiati</w:t>
      </w:r>
      <w:r>
        <w:t xml:space="preserve"> </w:t>
      </w:r>
      <w:r>
        <w:t xml:space="preserve">1730. Aumento della propensione a chiedere aiuto nelle persone in condizione di povertà</w:t>
      </w:r>
      <w:r>
        <w:t xml:space="preserve"> </w:t>
      </w:r>
      <w:r>
        <w:t xml:space="preserve">1731. Aumento della propensione a chiedere aiuto nelle persone senza dimora</w:t>
      </w:r>
      <w:r>
        <w:t xml:space="preserve"> </w:t>
      </w:r>
      <w:r>
        <w:t xml:space="preserve">1732. Aumento della propensione a chiedere aiuto nei disoccupati</w:t>
      </w:r>
      <w:r>
        <w:t xml:space="preserve"> </w:t>
      </w:r>
      <w:r>
        <w:t xml:space="preserve">1733. Aumento della propensione a chiedere aiuto nei lavoratori esposti a stress</w:t>
      </w:r>
      <w:r>
        <w:t xml:space="preserve"> </w:t>
      </w:r>
      <w:r>
        <w:t xml:space="preserve">1734. Aumento della propensione a chiedere aiuto negli studenti</w:t>
      </w:r>
      <w:r>
        <w:t xml:space="preserve"> </w:t>
      </w:r>
      <w:r>
        <w:t xml:space="preserve">1735. Aumento della propensione a chiedere aiuto nelle persone vittime di violenza</w:t>
      </w:r>
      <w:r>
        <w:t xml:space="preserve"> </w:t>
      </w:r>
      <w:r>
        <w:t xml:space="preserve">1736. Aumento della propensione a chiedere aiuto nelle persone in lutto</w:t>
      </w:r>
      <w:r>
        <w:t xml:space="preserve"> </w:t>
      </w:r>
      <w:r>
        <w:t xml:space="preserve">1737. Aumento della propensione a chiedere aiuto nelle persone con dipendenze</w:t>
      </w:r>
      <w:r>
        <w:t xml:space="preserve"> </w:t>
      </w:r>
      <w:r>
        <w:t xml:space="preserve">1738. Aumento della propensione a chiedere aiuto nei pazienti dopo un ricovero</w:t>
      </w:r>
      <w:r>
        <w:t xml:space="preserve"> </w:t>
      </w:r>
      <w:r>
        <w:t xml:space="preserve">1739. Aumento della propensione a chiedere aiuto nelle persone LGBTQ+</w:t>
      </w:r>
      <w:r>
        <w:t xml:space="preserve"> </w:t>
      </w:r>
      <w:r>
        <w:t xml:space="preserve">1740. Aumento della propensione a chiedere aiuto nelle persone delle aree interne e remote</w:t>
      </w:r>
      <w:r>
        <w:t xml:space="preserve"> </w:t>
      </w:r>
      <w:r>
        <w:t xml:space="preserve">1741. Aumento della propensione a chiedere aiuto nelle persone con bassa alfabetizzazione sanitaria</w:t>
      </w:r>
      <w:r>
        <w:t xml:space="preserve"> </w:t>
      </w:r>
      <w:r>
        <w:t xml:space="preserve">Ramo: Riduzione dell’isolamento sociale</w:t>
      </w:r>
      <w:r>
        <w:t xml:space="preserve"> </w:t>
      </w:r>
      <w:r>
        <w:t xml:space="preserve">1742. Riduzione dell’isolamento sociale negli adulti in età lavorativa</w:t>
      </w:r>
      <w:r>
        <w:t xml:space="preserve"> </w:t>
      </w:r>
      <w:r>
        <w:t xml:space="preserve">1743. Riduzione dell’isolamento sociale negli adolescenti</w:t>
      </w:r>
      <w:r>
        <w:t xml:space="preserve"> </w:t>
      </w:r>
      <w:r>
        <w:t xml:space="preserve">1744. Riduzione dell’isolamento sociale nei bambini</w:t>
      </w:r>
      <w:r>
        <w:t xml:space="preserve"> </w:t>
      </w:r>
      <w:r>
        <w:t xml:space="preserve">1745. Riduzione dell’isolamento sociale negli anziani</w:t>
      </w:r>
      <w:r>
        <w:t xml:space="preserve"> </w:t>
      </w:r>
      <w:r>
        <w:t xml:space="preserve">1746. Riduzione dell’isolamento sociale nei grandi anziani</w:t>
      </w:r>
      <w:r>
        <w:t xml:space="preserve"> </w:t>
      </w:r>
      <w:r>
        <w:t xml:space="preserve">1747. Riduzione dell’isolamento sociale nelle donne in gravidanza</w:t>
      </w:r>
      <w:r>
        <w:t xml:space="preserve"> </w:t>
      </w:r>
      <w:r>
        <w:t xml:space="preserve">1748. Riduzione dell’isolamento sociale nelle donne nel post-partum</w:t>
      </w:r>
      <w:r>
        <w:t xml:space="preserve"> </w:t>
      </w:r>
      <w:r>
        <w:t xml:space="preserve">47Psicologo di Base · Metodologia apicale e registro unificato delle variabili</w:t>
      </w:r>
      <w:r>
        <w:t xml:space="preserve"> </w:t>
      </w:r>
      <w:r>
        <w:t xml:space="preserve">1749. Riduzione dell’isolamento sociale nei caregiver</w:t>
      </w:r>
      <w:r>
        <w:t xml:space="preserve"> </w:t>
      </w:r>
      <w:r>
        <w:t xml:space="preserve">1750. Riduzione dell’isolamento sociale nei pazienti con malattie croniche</w:t>
      </w:r>
      <w:r>
        <w:t xml:space="preserve"> </w:t>
      </w:r>
      <w:r>
        <w:t xml:space="preserve">1751. Riduzione dell’isolamento sociale nei pazienti con multimorbilità</w:t>
      </w:r>
      <w:r>
        <w:t xml:space="preserve"> </w:t>
      </w:r>
      <w:r>
        <w:t xml:space="preserve">1752. Riduzione dell’isolamento sociale nei pazienti oncologici</w:t>
      </w:r>
      <w:r>
        <w:t xml:space="preserve"> </w:t>
      </w:r>
      <w:r>
        <w:t xml:space="preserve">1753. Riduzione dell’isolamento sociale nelle persone con dolore cronico</w:t>
      </w:r>
      <w:r>
        <w:t xml:space="preserve"> </w:t>
      </w:r>
      <w:r>
        <w:t xml:space="preserve">1754. Riduzione dell’isolamento sociale nei pazienti diabetici</w:t>
      </w:r>
      <w:r>
        <w:t xml:space="preserve"> </w:t>
      </w:r>
      <w:r>
        <w:t xml:space="preserve">1755. Riduzione dell’isolamento sociale nei pazienti cardiopatici</w:t>
      </w:r>
      <w:r>
        <w:t xml:space="preserve"> </w:t>
      </w:r>
      <w:r>
        <w:t xml:space="preserve">1756. Riduzione dell’isolamento sociale nelle persone con disabilità</w:t>
      </w:r>
      <w:r>
        <w:t xml:space="preserve"> </w:t>
      </w:r>
      <w:r>
        <w:t xml:space="preserve">1757. Riduzione dell’isolamento sociale nei migranti e rifugiati</w:t>
      </w:r>
      <w:r>
        <w:t xml:space="preserve"> </w:t>
      </w:r>
      <w:r>
        <w:t xml:space="preserve">1758. Riduzione dell’isolamento sociale nelle persone in condizione di povertà</w:t>
      </w:r>
      <w:r>
        <w:t xml:space="preserve"> </w:t>
      </w:r>
      <w:r>
        <w:t xml:space="preserve">1759. Riduzione dell’isolamento sociale nelle persone senza dimora</w:t>
      </w:r>
      <w:r>
        <w:t xml:space="preserve"> </w:t>
      </w:r>
      <w:r>
        <w:t xml:space="preserve">1760. Riduzione dell’isolamento sociale nei disoccupati</w:t>
      </w:r>
      <w:r>
        <w:t xml:space="preserve"> </w:t>
      </w:r>
      <w:r>
        <w:t xml:space="preserve">1761. Riduzione dell’isolamento sociale nei lavoratori esposti a stress</w:t>
      </w:r>
      <w:r>
        <w:t xml:space="preserve"> </w:t>
      </w:r>
      <w:r>
        <w:t xml:space="preserve">1762. Riduzione dell’isolamento sociale negli studenti</w:t>
      </w:r>
      <w:r>
        <w:t xml:space="preserve"> </w:t>
      </w:r>
      <w:r>
        <w:t xml:space="preserve">1763. Riduzione dell’isolamento sociale nelle persone vittime di violenza</w:t>
      </w:r>
      <w:r>
        <w:t xml:space="preserve"> </w:t>
      </w:r>
      <w:r>
        <w:t xml:space="preserve">1764. Riduzione dell’isolamento sociale nelle persone in lutto</w:t>
      </w:r>
      <w:r>
        <w:t xml:space="preserve"> </w:t>
      </w:r>
      <w:r>
        <w:t xml:space="preserve">1765. Riduzione dell’isolamento sociale nelle persone con dipendenze</w:t>
      </w:r>
      <w:r>
        <w:t xml:space="preserve"> </w:t>
      </w:r>
      <w:r>
        <w:t xml:space="preserve">1766. Riduzione dell’isolamento sociale nei pazienti dopo un ricovero</w:t>
      </w:r>
      <w:r>
        <w:t xml:space="preserve"> </w:t>
      </w:r>
      <w:r>
        <w:t xml:space="preserve">1767. Riduzione dell’isolamento sociale nelle persone LGBTQ+</w:t>
      </w:r>
      <w:r>
        <w:t xml:space="preserve"> </w:t>
      </w:r>
      <w:r>
        <w:t xml:space="preserve">1768. Riduzione dell’isolamento sociale nelle persone delle aree interne e remote</w:t>
      </w:r>
      <w:r>
        <w:t xml:space="preserve"> </w:t>
      </w:r>
      <w:r>
        <w:t xml:space="preserve">1769. Riduzione dell’isolamento sociale nelle persone con bassa alfabetizzazione sanitaria</w:t>
      </w:r>
      <w:r>
        <w:t xml:space="preserve"> </w:t>
      </w:r>
      <w:r>
        <w:t xml:space="preserve">Ramo: Aumento dell’attivazione e dell’autoefficacia</w:t>
      </w:r>
      <w:r>
        <w:t xml:space="preserve"> </w:t>
      </w:r>
      <w:r>
        <w:t xml:space="preserve">1770. Aumento dell’attivazione e dell’autoefficacia negli adulti in età lavorativa</w:t>
      </w:r>
      <w:r>
        <w:t xml:space="preserve"> </w:t>
      </w:r>
      <w:r>
        <w:t xml:space="preserve">1771. Aumento dell’attivazione e dell’autoefficacia negli adolescenti</w:t>
      </w:r>
      <w:r>
        <w:t xml:space="preserve"> </w:t>
      </w:r>
      <w:r>
        <w:t xml:space="preserve">1772. Aumento dell’attivazione e dell’autoefficacia nei bambini</w:t>
      </w:r>
      <w:r>
        <w:t xml:space="preserve"> </w:t>
      </w:r>
      <w:r>
        <w:t xml:space="preserve">1773. Aumento dell’attivazione e dell’autoefficacia negli anziani</w:t>
      </w:r>
      <w:r>
        <w:t xml:space="preserve"> </w:t>
      </w:r>
      <w:r>
        <w:t xml:space="preserve">1774. Aumento dell’attivazione e dell’autoefficacia nei grandi anziani</w:t>
      </w:r>
      <w:r>
        <w:t xml:space="preserve"> </w:t>
      </w:r>
      <w:r>
        <w:t xml:space="preserve">1775. Aumento dell’attivazione e dell’autoefficacia nelle donne in gravidanza</w:t>
      </w:r>
      <w:r>
        <w:t xml:space="preserve"> </w:t>
      </w:r>
      <w:r>
        <w:t xml:space="preserve">1776. Aumento dell’attivazione e dell’autoefficacia nelle donne nel post-partum</w:t>
      </w:r>
      <w:r>
        <w:t xml:space="preserve"> </w:t>
      </w:r>
      <w:r>
        <w:t xml:space="preserve">1777. Aumento dell’attivazione e dell’autoefficacia nei caregiver</w:t>
      </w:r>
      <w:r>
        <w:t xml:space="preserve"> </w:t>
      </w:r>
      <w:r>
        <w:t xml:space="preserve">1778. Aumento dell’attivazione e dell’autoefficacia nei pazienti con malattie croniche</w:t>
      </w:r>
      <w:r>
        <w:t xml:space="preserve"> </w:t>
      </w:r>
      <w:r>
        <w:t xml:space="preserve">1779. Aumento dell’attivazione e dell’autoefficacia nei pazienti con multimorbilità</w:t>
      </w:r>
      <w:r>
        <w:t xml:space="preserve"> </w:t>
      </w:r>
      <w:r>
        <w:t xml:space="preserve">1780. Aumento dell’attivazione e dell’autoefficacia nei pazienti oncologici</w:t>
      </w:r>
      <w:r>
        <w:t xml:space="preserve"> </w:t>
      </w:r>
      <w:r>
        <w:t xml:space="preserve">1781. Aumento dell’attivazione e dell’autoefficacia nelle persone con dolore cronico</w:t>
      </w:r>
      <w:r>
        <w:t xml:space="preserve"> </w:t>
      </w:r>
      <w:r>
        <w:t xml:space="preserve">1782. Aumento dell’attivazione e dell’autoefficacia nei pazienti diabetici</w:t>
      </w:r>
      <w:r>
        <w:t xml:space="preserve"> </w:t>
      </w:r>
      <w:r>
        <w:t xml:space="preserve">1783. Aumento dell’attivazione e dell’autoefficacia nei pazienti cardiopatici</w:t>
      </w:r>
      <w:r>
        <w:t xml:space="preserve"> </w:t>
      </w:r>
      <w:r>
        <w:t xml:space="preserve">1784. Aumento dell’attivazione e dell’autoefficacia nelle persone con disabilità</w:t>
      </w:r>
      <w:r>
        <w:t xml:space="preserve"> </w:t>
      </w:r>
      <w:r>
        <w:t xml:space="preserve">1785. Aumento dell’attivazione e dell’autoefficacia nei migranti e rifugiati</w:t>
      </w:r>
      <w:r>
        <w:t xml:space="preserve"> </w:t>
      </w:r>
      <w:r>
        <w:t xml:space="preserve">1786. Aumento dell’attivazione e dell’autoefficacia nelle persone in condizione di povertà</w:t>
      </w:r>
      <w:r>
        <w:t xml:space="preserve"> </w:t>
      </w:r>
      <w:r>
        <w:t xml:space="preserve">1787. Aumento dell’attivazione e dell’autoefficacia nelle persone senza dimora</w:t>
      </w:r>
      <w:r>
        <w:t xml:space="preserve"> </w:t>
      </w:r>
      <w:r>
        <w:t xml:space="preserve">1788. Aumento dell’attivazione e dell’autoefficacia nei disoccupati</w:t>
      </w:r>
      <w:r>
        <w:t xml:space="preserve"> </w:t>
      </w:r>
      <w:r>
        <w:t xml:space="preserve">1789. Aumento dell’attivazione e dell’autoefficacia nei lavoratori esposti a stress</w:t>
      </w:r>
      <w:r>
        <w:t xml:space="preserve"> </w:t>
      </w:r>
      <w:r>
        <w:t xml:space="preserve">1790. Aumento dell’attivazione e dell’autoefficacia negli studenti</w:t>
      </w:r>
      <w:r>
        <w:t xml:space="preserve"> </w:t>
      </w:r>
      <w:r>
        <w:t xml:space="preserve">1791. Aumento dell’attivazione e dell’autoefficacia nelle persone vittime di violenza</w:t>
      </w:r>
      <w:r>
        <w:t xml:space="preserve"> </w:t>
      </w:r>
      <w:r>
        <w:t xml:space="preserve">1792. Aumento dell’attivazione e dell’autoefficacia nelle persone in lutto</w:t>
      </w:r>
      <w:r>
        <w:t xml:space="preserve"> </w:t>
      </w:r>
      <w:r>
        <w:t xml:space="preserve">1793. Aumento dell’attivazione e dell’autoefficacia nelle persone con dipendenze</w:t>
      </w:r>
      <w:r>
        <w:t xml:space="preserve"> </w:t>
      </w:r>
      <w:r>
        <w:t xml:space="preserve">1794. Aumento dell’attivazione e dell’autoefficacia nei pazienti dopo un ricovero</w:t>
      </w:r>
      <w:r>
        <w:t xml:space="preserve"> </w:t>
      </w:r>
      <w:r>
        <w:t xml:space="preserve">1795. Aumento dell’attivazione e dell’autoefficacia nelle persone LGBTQ+</w:t>
      </w:r>
      <w:r>
        <w:t xml:space="preserve"> </w:t>
      </w:r>
      <w:r>
        <w:t xml:space="preserve">1796. Aumento dell’attivazione e dell’autoefficacia nelle persone delle aree interne e remote</w:t>
      </w:r>
      <w:r>
        <w:t xml:space="preserve"> </w:t>
      </w:r>
      <w:r>
        <w:t xml:space="preserve">1797. Aumento dell’attivazione e dell’autoefficacia nelle persone con bassa alfabetizzazione sanitaria</w:t>
      </w:r>
      <w:r>
        <w:t xml:space="preserve"> </w:t>
      </w:r>
      <w:r>
        <w:t xml:space="preserve">48Psicologo di Base · Metodologia apicale e registro unificato delle variabili</w:t>
      </w:r>
      <w:r>
        <w:t xml:space="preserve"> </w:t>
      </w:r>
      <w:r>
        <w:t xml:space="preserve">Ramo: Aumento della soddisfazione per le cure</w:t>
      </w:r>
      <w:r>
        <w:t xml:space="preserve"> </w:t>
      </w:r>
      <w:r>
        <w:t xml:space="preserve">1798. Aumento della soddisfazione per le cure negli adulti in età lavorativa</w:t>
      </w:r>
      <w:r>
        <w:t xml:space="preserve"> </w:t>
      </w:r>
      <w:r>
        <w:t xml:space="preserve">1799. Aumento della soddisfazione per le cure negli adolescenti</w:t>
      </w:r>
      <w:r>
        <w:t xml:space="preserve"> </w:t>
      </w:r>
      <w:r>
        <w:t xml:space="preserve">1800. Aumento della soddisfazione per le cure nei bambini</w:t>
      </w:r>
      <w:r>
        <w:t xml:space="preserve"> </w:t>
      </w:r>
      <w:r>
        <w:t xml:space="preserve">1801. Aumento della soddisfazione per le cure negli anziani</w:t>
      </w:r>
      <w:r>
        <w:t xml:space="preserve"> </w:t>
      </w:r>
      <w:r>
        <w:t xml:space="preserve">1802. Aumento della soddisfazione per le cure nei grandi anziani</w:t>
      </w:r>
      <w:r>
        <w:t xml:space="preserve"> </w:t>
      </w:r>
      <w:r>
        <w:t xml:space="preserve">1803. Aumento della soddisfazione per le cure nelle donne in gravidanza</w:t>
      </w:r>
      <w:r>
        <w:t xml:space="preserve"> </w:t>
      </w:r>
      <w:r>
        <w:t xml:space="preserve">1804. Aumento della soddisfazione per le cure nelle donne nel post-partum</w:t>
      </w:r>
      <w:r>
        <w:t xml:space="preserve"> </w:t>
      </w:r>
      <w:r>
        <w:t xml:space="preserve">1805. Aumento della soddisfazione per le cure nei caregiver</w:t>
      </w:r>
      <w:r>
        <w:t xml:space="preserve"> </w:t>
      </w:r>
      <w:r>
        <w:t xml:space="preserve">1806. Aumento della soddisfazione per le cure nei pazienti con malattie croniche</w:t>
      </w:r>
      <w:r>
        <w:t xml:space="preserve"> </w:t>
      </w:r>
      <w:r>
        <w:t xml:space="preserve">1807. Aumento della soddisfazione per le cure nei pazienti con multimorbilità</w:t>
      </w:r>
      <w:r>
        <w:t xml:space="preserve"> </w:t>
      </w:r>
      <w:r>
        <w:t xml:space="preserve">1808. Aumento della soddisfazione per le cure nei pazienti oncologici</w:t>
      </w:r>
      <w:r>
        <w:t xml:space="preserve"> </w:t>
      </w:r>
      <w:r>
        <w:t xml:space="preserve">1809. Aumento della soddisfazione per le cure nelle persone con dolore cronico</w:t>
      </w:r>
      <w:r>
        <w:t xml:space="preserve"> </w:t>
      </w:r>
      <w:r>
        <w:t xml:space="preserve">1810. Aumento della soddisfazione per le cure nei pazienti diabetici</w:t>
      </w:r>
      <w:r>
        <w:t xml:space="preserve"> </w:t>
      </w:r>
      <w:r>
        <w:t xml:space="preserve">1811. Aumento della soddisfazione per le cure nei pazienti cardiopatici</w:t>
      </w:r>
      <w:r>
        <w:t xml:space="preserve"> </w:t>
      </w:r>
      <w:r>
        <w:t xml:space="preserve">1812. Aumento della soddisfazione per le cure nelle persone con disabilità</w:t>
      </w:r>
      <w:r>
        <w:t xml:space="preserve"> </w:t>
      </w:r>
      <w:r>
        <w:t xml:space="preserve">1813. Aumento della soddisfazione per le cure nei migranti e rifugiati</w:t>
      </w:r>
      <w:r>
        <w:t xml:space="preserve"> </w:t>
      </w:r>
      <w:r>
        <w:t xml:space="preserve">1814. Aumento della soddisfazione per le cure nelle persone in condizione di povertà</w:t>
      </w:r>
      <w:r>
        <w:t xml:space="preserve"> </w:t>
      </w:r>
      <w:r>
        <w:t xml:space="preserve">1815. Aumento della soddisfazione per le cure nelle persone senza dimora</w:t>
      </w:r>
      <w:r>
        <w:t xml:space="preserve"> </w:t>
      </w:r>
      <w:r>
        <w:t xml:space="preserve">1816. Aumento della soddisfazione per le cure nei disoccupati</w:t>
      </w:r>
      <w:r>
        <w:t xml:space="preserve"> </w:t>
      </w:r>
      <w:r>
        <w:t xml:space="preserve">1817. Aumento della soddisfazione per le cure nei lavoratori esposti a stress</w:t>
      </w:r>
      <w:r>
        <w:t xml:space="preserve"> </w:t>
      </w:r>
      <w:r>
        <w:t xml:space="preserve">1818. Aumento della soddisfazione per le cure negli studenti</w:t>
      </w:r>
      <w:r>
        <w:t xml:space="preserve"> </w:t>
      </w:r>
      <w:r>
        <w:t xml:space="preserve">1819. Aumento della soddisfazione per le cure nelle persone vittime di violenza</w:t>
      </w:r>
      <w:r>
        <w:t xml:space="preserve"> </w:t>
      </w:r>
      <w:r>
        <w:t xml:space="preserve">1820. Aumento della soddisfazione per le cure nelle persone in lutto</w:t>
      </w:r>
      <w:r>
        <w:t xml:space="preserve"> </w:t>
      </w:r>
      <w:r>
        <w:t xml:space="preserve">1821. Aumento della soddisfazione per le cure nelle persone con dipendenze</w:t>
      </w:r>
      <w:r>
        <w:t xml:space="preserve"> </w:t>
      </w:r>
      <w:r>
        <w:t xml:space="preserve">1822. Aumento della soddisfazione per le cure nei pazienti dopo un ricovero</w:t>
      </w:r>
      <w:r>
        <w:t xml:space="preserve"> </w:t>
      </w:r>
      <w:r>
        <w:t xml:space="preserve">1823. Aumento della soddisfazione per le cure nelle persone LGBTQ+</w:t>
      </w:r>
      <w:r>
        <w:t xml:space="preserve"> </w:t>
      </w:r>
      <w:r>
        <w:t xml:space="preserve">1824. Aumento della soddisfazione per le cure nelle persone delle aree interne e remote</w:t>
      </w:r>
      <w:r>
        <w:t xml:space="preserve"> </w:t>
      </w:r>
      <w:r>
        <w:t xml:space="preserve">1825. Aumento della soddisfazione per le cure nelle persone con bassa alfabetizzazione sanitaria</w:t>
      </w:r>
      <w:r>
        <w:t xml:space="preserve"> </w:t>
      </w:r>
      <w:r>
        <w:t xml:space="preserve">Ramo: Miglioramento dell’alleanza terapeutica</w:t>
      </w:r>
      <w:r>
        <w:t xml:space="preserve"> </w:t>
      </w:r>
      <w:r>
        <w:t xml:space="preserve">1826. Miglioramento dell’alleanza terapeutica negli adulti in età lavorativa</w:t>
      </w:r>
      <w:r>
        <w:t xml:space="preserve"> </w:t>
      </w:r>
      <w:r>
        <w:t xml:space="preserve">1827. Miglioramento dell’alleanza terapeutica negli adolescenti</w:t>
      </w:r>
      <w:r>
        <w:t xml:space="preserve"> </w:t>
      </w:r>
      <w:r>
        <w:t xml:space="preserve">1828. Miglioramento dell’alleanza terapeutica nei bambini</w:t>
      </w:r>
      <w:r>
        <w:t xml:space="preserve"> </w:t>
      </w:r>
      <w:r>
        <w:t xml:space="preserve">1829. Miglioramento dell’alleanza terapeutica negli anziani</w:t>
      </w:r>
      <w:r>
        <w:t xml:space="preserve"> </w:t>
      </w:r>
      <w:r>
        <w:t xml:space="preserve">1830. Miglioramento dell’alleanza terapeutica nei grandi anziani</w:t>
      </w:r>
      <w:r>
        <w:t xml:space="preserve"> </w:t>
      </w:r>
      <w:r>
        <w:t xml:space="preserve">1831. Miglioramento dell’alleanza terapeutica nelle donne in gravidanza</w:t>
      </w:r>
      <w:r>
        <w:t xml:space="preserve"> </w:t>
      </w:r>
      <w:r>
        <w:t xml:space="preserve">1832. Miglioramento dell’alleanza terapeutica nelle donne nel post-partum</w:t>
      </w:r>
      <w:r>
        <w:t xml:space="preserve"> </w:t>
      </w:r>
      <w:r>
        <w:t xml:space="preserve">1833. Miglioramento dell’alleanza terapeutica nei caregiver</w:t>
      </w:r>
      <w:r>
        <w:t xml:space="preserve"> </w:t>
      </w:r>
      <w:r>
        <w:t xml:space="preserve">1834. Miglioramento dell’alleanza terapeutica nei pazienti con malattie croniche</w:t>
      </w:r>
      <w:r>
        <w:t xml:space="preserve"> </w:t>
      </w:r>
      <w:r>
        <w:t xml:space="preserve">1835. Miglioramento dell’alleanza terapeutica nei pazienti con multimorbilità</w:t>
      </w:r>
      <w:r>
        <w:t xml:space="preserve"> </w:t>
      </w:r>
      <w:r>
        <w:t xml:space="preserve">1836. Miglioramento dell’alleanza terapeutica nei pazienti oncologici</w:t>
      </w:r>
      <w:r>
        <w:t xml:space="preserve"> </w:t>
      </w:r>
      <w:r>
        <w:t xml:space="preserve">1837. Miglioramento dell’alleanza terapeutica nelle persone con dolore cronico</w:t>
      </w:r>
      <w:r>
        <w:t xml:space="preserve"> </w:t>
      </w:r>
      <w:r>
        <w:t xml:space="preserve">1838. Miglioramento dell’alleanza terapeutica nei pazienti diabetici</w:t>
      </w:r>
      <w:r>
        <w:t xml:space="preserve"> </w:t>
      </w:r>
      <w:r>
        <w:t xml:space="preserve">1839. Miglioramento dell’alleanza terapeutica nei pazienti cardiopatici</w:t>
      </w:r>
      <w:r>
        <w:t xml:space="preserve"> </w:t>
      </w:r>
      <w:r>
        <w:t xml:space="preserve">1840. Miglioramento dell’alleanza terapeutica nelle persone con disabilità</w:t>
      </w:r>
      <w:r>
        <w:t xml:space="preserve"> </w:t>
      </w:r>
      <w:r>
        <w:t xml:space="preserve">1841. Miglioramento dell’alleanza terapeutica nei migranti e rifugiati</w:t>
      </w:r>
      <w:r>
        <w:t xml:space="preserve"> </w:t>
      </w:r>
      <w:r>
        <w:t xml:space="preserve">1842. Miglioramento dell’alleanza terapeutica nelle persone in condizione di povertà</w:t>
      </w:r>
      <w:r>
        <w:t xml:space="preserve"> </w:t>
      </w:r>
      <w:r>
        <w:t xml:space="preserve">1843. Miglioramento dell’alleanza terapeutica nelle persone senza dimora</w:t>
      </w:r>
      <w:r>
        <w:t xml:space="preserve"> </w:t>
      </w:r>
      <w:r>
        <w:t xml:space="preserve">1844. Miglioramento dell’alleanza terapeutica nei disoccupati</w:t>
      </w:r>
      <w:r>
        <w:t xml:space="preserve"> </w:t>
      </w:r>
      <w:r>
        <w:t xml:space="preserve">1845. Miglioramento dell’alleanza terapeutica nei lavoratori esposti a stress</w:t>
      </w:r>
      <w:r>
        <w:t xml:space="preserve"> </w:t>
      </w:r>
      <w:r>
        <w:t xml:space="preserve">49Psicologo di Base · Metodologia apicale e registro unificato delle variabili</w:t>
      </w:r>
      <w:r>
        <w:t xml:space="preserve"> </w:t>
      </w:r>
      <w:r>
        <w:t xml:space="preserve">1846. Miglioramento dell’alleanza terapeutica negli studenti</w:t>
      </w:r>
      <w:r>
        <w:t xml:space="preserve"> </w:t>
      </w:r>
      <w:r>
        <w:t xml:space="preserve">1847. Miglioramento dell’alleanza terapeutica nelle persone vittime di violenza</w:t>
      </w:r>
      <w:r>
        <w:t xml:space="preserve"> </w:t>
      </w:r>
      <w:r>
        <w:t xml:space="preserve">1848. Miglioramento dell’alleanza terapeutica nelle persone in lutto</w:t>
      </w:r>
      <w:r>
        <w:t xml:space="preserve"> </w:t>
      </w:r>
      <w:r>
        <w:t xml:space="preserve">1849. Miglioramento dell’alleanza terapeutica nelle persone con dipendenze</w:t>
      </w:r>
      <w:r>
        <w:t xml:space="preserve"> </w:t>
      </w:r>
      <w:r>
        <w:t xml:space="preserve">1850. Miglioramento dell’alleanza terapeutica nei pazienti dopo un ricovero</w:t>
      </w:r>
      <w:r>
        <w:t xml:space="preserve"> </w:t>
      </w:r>
      <w:r>
        <w:t xml:space="preserve">1851. Miglioramento dell’alleanza terapeutica nelle persone LGBTQ+</w:t>
      </w:r>
      <w:r>
        <w:t xml:space="preserve"> </w:t>
      </w:r>
      <w:r>
        <w:t xml:space="preserve">1852. Miglioramento dell’alleanza terapeutica nelle persone delle aree interne e remote</w:t>
      </w:r>
      <w:r>
        <w:t xml:space="preserve"> </w:t>
      </w:r>
      <w:r>
        <w:t xml:space="preserve">1853. Miglioramento dell’alleanza terapeutica nelle persone con bassa alfabetizzazione sanitaria</w:t>
      </w:r>
      <w:r>
        <w:t xml:space="preserve"> </w:t>
      </w:r>
      <w:r>
        <w:t xml:space="preserve">Ramo: Riduzione del carico assistenziale sui familiari</w:t>
      </w:r>
      <w:r>
        <w:t xml:space="preserve"> </w:t>
      </w:r>
      <w:r>
        <w:t xml:space="preserve">1854. Riduzione del carico assistenziale sui familiari negli adulti in età lavorativa</w:t>
      </w:r>
      <w:r>
        <w:t xml:space="preserve"> </w:t>
      </w:r>
      <w:r>
        <w:t xml:space="preserve">1855. Riduzione del carico assistenziale sui familiari negli adolescenti</w:t>
      </w:r>
      <w:r>
        <w:t xml:space="preserve"> </w:t>
      </w:r>
      <w:r>
        <w:t xml:space="preserve">1856. Riduzione del carico assistenziale sui familiari nei bambini</w:t>
      </w:r>
      <w:r>
        <w:t xml:space="preserve"> </w:t>
      </w:r>
      <w:r>
        <w:t xml:space="preserve">1857. Riduzione del carico assistenziale sui familiari negli anziani</w:t>
      </w:r>
      <w:r>
        <w:t xml:space="preserve"> </w:t>
      </w:r>
      <w:r>
        <w:t xml:space="preserve">1858. Riduzione del carico assistenziale sui familiari nei grandi anziani</w:t>
      </w:r>
      <w:r>
        <w:t xml:space="preserve"> </w:t>
      </w:r>
      <w:r>
        <w:t xml:space="preserve">1859. Riduzione del carico assistenziale sui familiari nelle donne in gravidanza</w:t>
      </w:r>
      <w:r>
        <w:t xml:space="preserve"> </w:t>
      </w:r>
      <w:r>
        <w:t xml:space="preserve">1860. Riduzione del carico assistenziale sui familiari nelle donne nel post-partum</w:t>
      </w:r>
      <w:r>
        <w:t xml:space="preserve"> </w:t>
      </w:r>
      <w:r>
        <w:t xml:space="preserve">1861. Riduzione del carico assistenziale sui familiari nei caregiver</w:t>
      </w:r>
      <w:r>
        <w:t xml:space="preserve"> </w:t>
      </w:r>
      <w:r>
        <w:t xml:space="preserve">1862. Riduzione del carico assistenziale sui familiari nei pazienti con malattie croniche</w:t>
      </w:r>
      <w:r>
        <w:t xml:space="preserve"> </w:t>
      </w:r>
      <w:r>
        <w:t xml:space="preserve">1863. Riduzione del carico assistenziale sui familiari nei pazienti con multimorbilità</w:t>
      </w:r>
      <w:r>
        <w:t xml:space="preserve"> </w:t>
      </w:r>
      <w:r>
        <w:t xml:space="preserve">1864. Riduzione del carico assistenziale sui familiari nei pazienti oncologici</w:t>
      </w:r>
      <w:r>
        <w:t xml:space="preserve"> </w:t>
      </w:r>
      <w:r>
        <w:t xml:space="preserve">1865. Riduzione del carico assistenziale sui familiari nelle persone con dolore cronico</w:t>
      </w:r>
      <w:r>
        <w:t xml:space="preserve"> </w:t>
      </w:r>
      <w:r>
        <w:t xml:space="preserve">1866. Riduzione del carico assistenziale sui familiari nei pazienti diabetici</w:t>
      </w:r>
      <w:r>
        <w:t xml:space="preserve"> </w:t>
      </w:r>
      <w:r>
        <w:t xml:space="preserve">1867. Riduzione del carico assistenziale sui familiari nei pazienti cardiopatici</w:t>
      </w:r>
      <w:r>
        <w:t xml:space="preserve"> </w:t>
      </w:r>
      <w:r>
        <w:t xml:space="preserve">1868. Riduzione del carico assistenziale sui familiari nelle persone con disabilità</w:t>
      </w:r>
      <w:r>
        <w:t xml:space="preserve"> </w:t>
      </w:r>
      <w:r>
        <w:t xml:space="preserve">1869. Riduzione del carico assistenziale sui familiari nei migranti e rifugiati</w:t>
      </w:r>
      <w:r>
        <w:t xml:space="preserve"> </w:t>
      </w:r>
      <w:r>
        <w:t xml:space="preserve">1870. Riduzione del carico assistenziale sui familiari nelle persone in condizione di povertà</w:t>
      </w:r>
      <w:r>
        <w:t xml:space="preserve"> </w:t>
      </w:r>
      <w:r>
        <w:t xml:space="preserve">1871. Riduzione del carico assistenziale sui familiari nelle persone senza dimora</w:t>
      </w:r>
      <w:r>
        <w:t xml:space="preserve"> </w:t>
      </w:r>
      <w:r>
        <w:t xml:space="preserve">1872. Riduzione del carico assistenziale sui familiari nei disoccupati</w:t>
      </w:r>
      <w:r>
        <w:t xml:space="preserve"> </w:t>
      </w:r>
      <w:r>
        <w:t xml:space="preserve">1873. Riduzione del carico assistenziale sui familiari nei lavoratori esposti a stress</w:t>
      </w:r>
      <w:r>
        <w:t xml:space="preserve"> </w:t>
      </w:r>
      <w:r>
        <w:t xml:space="preserve">1874. Riduzione del carico assistenziale sui familiari negli studenti</w:t>
      </w:r>
      <w:r>
        <w:t xml:space="preserve"> </w:t>
      </w:r>
      <w:r>
        <w:t xml:space="preserve">1875. Riduzione del carico assistenziale sui familiari nelle persone vittime di violenza</w:t>
      </w:r>
      <w:r>
        <w:t xml:space="preserve"> </w:t>
      </w:r>
      <w:r>
        <w:t xml:space="preserve">1876. Riduzione del carico assistenziale sui familiari nelle persone in lutto</w:t>
      </w:r>
      <w:r>
        <w:t xml:space="preserve"> </w:t>
      </w:r>
      <w:r>
        <w:t xml:space="preserve">1877. Riduzione del carico assistenziale sui familiari nelle persone con dipendenze</w:t>
      </w:r>
      <w:r>
        <w:t xml:space="preserve"> </w:t>
      </w:r>
      <w:r>
        <w:t xml:space="preserve">1878. Riduzione del carico assistenziale sui familiari nei pazienti dopo un ricovero</w:t>
      </w:r>
      <w:r>
        <w:t xml:space="preserve"> </w:t>
      </w:r>
      <w:r>
        <w:t xml:space="preserve">1879. Riduzione del carico assistenziale sui familiari nelle persone LGBTQ+</w:t>
      </w:r>
      <w:r>
        <w:t xml:space="preserve"> </w:t>
      </w:r>
      <w:r>
        <w:t xml:space="preserve">1880. Riduzione del carico assistenziale sui familiari nelle persone delle aree interne e remote</w:t>
      </w:r>
      <w:r>
        <w:t xml:space="preserve"> </w:t>
      </w:r>
      <w:r>
        <w:t xml:space="preserve">1881. Riduzione del carico assistenziale sui familiari nelle persone con bassa alfabetizzazione sanitaria</w:t>
      </w:r>
      <w:r>
        <w:t xml:space="preserve"> </w:t>
      </w:r>
      <w:r>
        <w:t xml:space="preserve">Ramo: Riduzione delle giornate di lavoro o studio perse</w:t>
      </w:r>
      <w:r>
        <w:t xml:space="preserve"> </w:t>
      </w:r>
      <w:r>
        <w:t xml:space="preserve">1882. Riduzione delle giornate di lavoro o studio perse negli adulti in età lavorativa</w:t>
      </w:r>
      <w:r>
        <w:t xml:space="preserve"> </w:t>
      </w:r>
      <w:r>
        <w:t xml:space="preserve">1883. Riduzione delle giornate di lavoro o studio perse negli adolescenti</w:t>
      </w:r>
      <w:r>
        <w:t xml:space="preserve"> </w:t>
      </w:r>
      <w:r>
        <w:t xml:space="preserve">1884. Riduzione delle giornate di lavoro o studio perse nei bambini</w:t>
      </w:r>
      <w:r>
        <w:t xml:space="preserve"> </w:t>
      </w:r>
      <w:r>
        <w:t xml:space="preserve">1885. Riduzione delle giornate di lavoro o studio perse negli anziani</w:t>
      </w:r>
      <w:r>
        <w:t xml:space="preserve"> </w:t>
      </w:r>
      <w:r>
        <w:t xml:space="preserve">1886. Riduzione delle giornate di lavoro o studio perse nei grandi anziani</w:t>
      </w:r>
      <w:r>
        <w:t xml:space="preserve"> </w:t>
      </w:r>
      <w:r>
        <w:t xml:space="preserve">1887. Riduzione delle giornate di lavoro o studio perse nelle donne in gravidanza</w:t>
      </w:r>
      <w:r>
        <w:t xml:space="preserve"> </w:t>
      </w:r>
      <w:r>
        <w:t xml:space="preserve">1888. Riduzione delle giornate di lavoro o studio perse nelle donne nel post-partum</w:t>
      </w:r>
      <w:r>
        <w:t xml:space="preserve"> </w:t>
      </w:r>
      <w:r>
        <w:t xml:space="preserve">1889. Riduzione delle giornate di lavoro o studio perse nei caregiver</w:t>
      </w:r>
      <w:r>
        <w:t xml:space="preserve"> </w:t>
      </w:r>
      <w:r>
        <w:t xml:space="preserve">1890. Riduzione delle giornate di lavoro o studio perse nei pazienti con malattie croniche</w:t>
      </w:r>
      <w:r>
        <w:t xml:space="preserve"> </w:t>
      </w:r>
      <w:r>
        <w:t xml:space="preserve">1891. Riduzione delle giornate di lavoro o studio perse nei pazienti con multimorbilità</w:t>
      </w:r>
      <w:r>
        <w:t xml:space="preserve"> </w:t>
      </w:r>
      <w:r>
        <w:t xml:space="preserve">1892. Riduzione delle giornate di lavoro o studio perse nei pazienti oncologici</w:t>
      </w:r>
      <w:r>
        <w:t xml:space="preserve"> </w:t>
      </w:r>
      <w:r>
        <w:t xml:space="preserve">50Psicologo di Base · Metodologia apicale e registro unificato delle variabili</w:t>
      </w:r>
      <w:r>
        <w:t xml:space="preserve"> </w:t>
      </w:r>
      <w:r>
        <w:t xml:space="preserve">1893. Riduzione delle giornate di lavoro o studio perse nelle persone con dolore cronico</w:t>
      </w:r>
      <w:r>
        <w:t xml:space="preserve"> </w:t>
      </w:r>
      <w:r>
        <w:t xml:space="preserve">1894. Riduzione delle giornate di lavoro o studio perse nei pazienti diabetici</w:t>
      </w:r>
      <w:r>
        <w:t xml:space="preserve"> </w:t>
      </w:r>
      <w:r>
        <w:t xml:space="preserve">1895. Riduzione delle giornate di lavoro o studio perse nei pazienti cardiopatici</w:t>
      </w:r>
      <w:r>
        <w:t xml:space="preserve"> </w:t>
      </w:r>
      <w:r>
        <w:t xml:space="preserve">1896. Riduzione delle giornate di lavoro o studio perse nelle persone con disabilità</w:t>
      </w:r>
      <w:r>
        <w:t xml:space="preserve"> </w:t>
      </w:r>
      <w:r>
        <w:t xml:space="preserve">1897. Riduzione delle giornate di lavoro o studio perse nei migranti e rifugiati</w:t>
      </w:r>
      <w:r>
        <w:t xml:space="preserve"> </w:t>
      </w:r>
      <w:r>
        <w:t xml:space="preserve">1898. Riduzione delle giornate di lavoro o studio perse nelle persone in condizione di povertà</w:t>
      </w:r>
      <w:r>
        <w:t xml:space="preserve"> </w:t>
      </w:r>
      <w:r>
        <w:t xml:space="preserve">1899. Riduzione delle giornate di lavoro o studio perse nelle persone senza dimora</w:t>
      </w:r>
      <w:r>
        <w:t xml:space="preserve"> </w:t>
      </w:r>
      <w:r>
        <w:t xml:space="preserve">1900. Riduzione delle giornate di lavoro o studio perse nei disoccupati</w:t>
      </w:r>
      <w:r>
        <w:t xml:space="preserve"> </w:t>
      </w:r>
      <w:r>
        <w:t xml:space="preserve">1901. Riduzione delle giornate di lavoro o studio perse nei lavoratori esposti a stress</w:t>
      </w:r>
      <w:r>
        <w:t xml:space="preserve"> </w:t>
      </w:r>
      <w:r>
        <w:t xml:space="preserve">1902. Riduzione delle giornate di lavoro o studio perse negli studenti</w:t>
      </w:r>
      <w:r>
        <w:t xml:space="preserve"> </w:t>
      </w:r>
      <w:r>
        <w:t xml:space="preserve">1903. Riduzione delle giornate di lavoro o studio perse nelle persone vittime di violenza</w:t>
      </w:r>
      <w:r>
        <w:t xml:space="preserve"> </w:t>
      </w:r>
      <w:r>
        <w:t xml:space="preserve">1904. Riduzione delle giornate di lavoro o studio perse nelle persone in lutto</w:t>
      </w:r>
      <w:r>
        <w:t xml:space="preserve"> </w:t>
      </w:r>
      <w:r>
        <w:t xml:space="preserve">1905. Riduzione delle giornate di lavoro o studio perse nelle persone con dipendenze</w:t>
      </w:r>
      <w:r>
        <w:t xml:space="preserve"> </w:t>
      </w:r>
      <w:r>
        <w:t xml:space="preserve">1906. Riduzione delle giornate di lavoro o studio perse nei pazienti dopo un ricovero</w:t>
      </w:r>
      <w:r>
        <w:t xml:space="preserve"> </w:t>
      </w:r>
      <w:r>
        <w:t xml:space="preserve">1907. Riduzione delle giornate di lavoro o studio perse nelle persone LGBTQ+</w:t>
      </w:r>
      <w:r>
        <w:t xml:space="preserve"> </w:t>
      </w:r>
      <w:r>
        <w:t xml:space="preserve">1908. Riduzione delle giornate di lavoro o studio perse nelle persone delle aree interne e remote</w:t>
      </w:r>
      <w:r>
        <w:t xml:space="preserve"> </w:t>
      </w:r>
      <w:r>
        <w:t xml:space="preserve">1909. Riduzione delle giornate di lavoro o studio perse nelle persone con bassa alfabetizzazione</w:t>
      </w:r>
      <w:r>
        <w:t xml:space="preserve"> </w:t>
      </w:r>
      <w:r>
        <w:t xml:space="preserve">sanitaria</w:t>
      </w:r>
      <w:r>
        <w:t xml:space="preserve"> </w:t>
      </w:r>
      <w:r>
        <w:t xml:space="preserve">Ramo: Riduzione delle disuguaglianze di accesso</w:t>
      </w:r>
      <w:r>
        <w:t xml:space="preserve"> </w:t>
      </w:r>
      <w:r>
        <w:t xml:space="preserve">1910. Riduzione delle disuguaglianze di accesso negli adulti in età lavorativa</w:t>
      </w:r>
      <w:r>
        <w:t xml:space="preserve"> </w:t>
      </w:r>
      <w:r>
        <w:t xml:space="preserve">1911. Riduzione delle disuguaglianze di accesso negli adolescenti</w:t>
      </w:r>
      <w:r>
        <w:t xml:space="preserve"> </w:t>
      </w:r>
      <w:r>
        <w:t xml:space="preserve">1912. Riduzione delle disuguaglianze di accesso nei bambini</w:t>
      </w:r>
      <w:r>
        <w:t xml:space="preserve"> </w:t>
      </w:r>
      <w:r>
        <w:t xml:space="preserve">1913. Riduzione delle disuguaglianze di accesso negli anziani</w:t>
      </w:r>
      <w:r>
        <w:t xml:space="preserve"> </w:t>
      </w:r>
      <w:r>
        <w:t xml:space="preserve">1914. Riduzione delle disuguaglianze di accesso nei grandi anziani</w:t>
      </w:r>
      <w:r>
        <w:t xml:space="preserve"> </w:t>
      </w:r>
      <w:r>
        <w:t xml:space="preserve">1915. Riduzione delle disuguaglianze di accesso nelle donne in gravidanza</w:t>
      </w:r>
      <w:r>
        <w:t xml:space="preserve"> </w:t>
      </w:r>
      <w:r>
        <w:t xml:space="preserve">1916. Riduzione delle disuguaglianze di accesso nelle donne nel post-partum</w:t>
      </w:r>
      <w:r>
        <w:t xml:space="preserve"> </w:t>
      </w:r>
      <w:r>
        <w:t xml:space="preserve">1917. Riduzione delle disuguaglianze di accesso nei caregiver</w:t>
      </w:r>
      <w:r>
        <w:t xml:space="preserve"> </w:t>
      </w:r>
      <w:r>
        <w:t xml:space="preserve">1918. Riduzione delle disuguaglianze di accesso nei pazienti con malattie croniche</w:t>
      </w:r>
      <w:r>
        <w:t xml:space="preserve"> </w:t>
      </w:r>
      <w:r>
        <w:t xml:space="preserve">1919. Riduzione delle disuguaglianze di accesso nei pazienti con multimorbilità</w:t>
      </w:r>
      <w:r>
        <w:t xml:space="preserve"> </w:t>
      </w:r>
      <w:r>
        <w:t xml:space="preserve">1920. Riduzione delle disuguaglianze di accesso nei pazienti oncologici</w:t>
      </w:r>
      <w:r>
        <w:t xml:space="preserve"> </w:t>
      </w:r>
      <w:r>
        <w:t xml:space="preserve">1921. Riduzione delle disuguaglianze di accesso nelle persone con dolore cronico</w:t>
      </w:r>
      <w:r>
        <w:t xml:space="preserve"> </w:t>
      </w:r>
      <w:r>
        <w:t xml:space="preserve">1922. Riduzione delle disuguaglianze di accesso nei pazienti diabetici</w:t>
      </w:r>
      <w:r>
        <w:t xml:space="preserve"> </w:t>
      </w:r>
      <w:r>
        <w:t xml:space="preserve">1923. Riduzione delle disuguaglianze di accesso nei pazienti cardiopatici</w:t>
      </w:r>
      <w:r>
        <w:t xml:space="preserve"> </w:t>
      </w:r>
      <w:r>
        <w:t xml:space="preserve">1924. Riduzione delle disuguaglianze di accesso nelle persone con disabilità</w:t>
      </w:r>
      <w:r>
        <w:t xml:space="preserve"> </w:t>
      </w:r>
      <w:r>
        <w:t xml:space="preserve">1925. Riduzione delle disuguaglianze di accesso nei migranti e rifugiati</w:t>
      </w:r>
      <w:r>
        <w:t xml:space="preserve"> </w:t>
      </w:r>
      <w:r>
        <w:t xml:space="preserve">1926. Riduzione delle disuguaglianze di accesso nelle persone in condizione di povertà</w:t>
      </w:r>
      <w:r>
        <w:t xml:space="preserve"> </w:t>
      </w:r>
      <w:r>
        <w:t xml:space="preserve">1927. Riduzione delle disuguaglianze di accesso nelle persone senza dimora</w:t>
      </w:r>
      <w:r>
        <w:t xml:space="preserve"> </w:t>
      </w:r>
      <w:r>
        <w:t xml:space="preserve">1928. Riduzione delle disuguaglianze di accesso nei disoccupati</w:t>
      </w:r>
      <w:r>
        <w:t xml:space="preserve"> </w:t>
      </w:r>
      <w:r>
        <w:t xml:space="preserve">1929. Riduzione delle disuguaglianze di accesso nei lavoratori esposti a stress</w:t>
      </w:r>
      <w:r>
        <w:t xml:space="preserve"> </w:t>
      </w:r>
      <w:r>
        <w:t xml:space="preserve">1930. Riduzione delle disuguaglianze di accesso negli studenti</w:t>
      </w:r>
      <w:r>
        <w:t xml:space="preserve"> </w:t>
      </w:r>
      <w:r>
        <w:t xml:space="preserve">1931. Riduzione delle disuguaglianze di accesso nelle persone vittime di violenza</w:t>
      </w:r>
      <w:r>
        <w:t xml:space="preserve"> </w:t>
      </w:r>
      <w:r>
        <w:t xml:space="preserve">1932. Riduzione delle disuguaglianze di accesso nelle persone in lutto</w:t>
      </w:r>
      <w:r>
        <w:t xml:space="preserve"> </w:t>
      </w:r>
      <w:r>
        <w:t xml:space="preserve">1933. Riduzione delle disuguaglianze di accesso nelle persone con dipendenze</w:t>
      </w:r>
      <w:r>
        <w:t xml:space="preserve"> </w:t>
      </w:r>
      <w:r>
        <w:t xml:space="preserve">1934. Riduzione delle disuguaglianze di accesso nei pazienti dopo un ricovero</w:t>
      </w:r>
      <w:r>
        <w:t xml:space="preserve"> </w:t>
      </w:r>
      <w:r>
        <w:t xml:space="preserve">1935. Riduzione delle disuguaglianze di accesso nelle persone LGBTQ+</w:t>
      </w:r>
      <w:r>
        <w:t xml:space="preserve"> </w:t>
      </w:r>
      <w:r>
        <w:t xml:space="preserve">1936. Riduzione delle disuguaglianze di accesso nelle persone delle aree interne e remote</w:t>
      </w:r>
      <w:r>
        <w:t xml:space="preserve"> </w:t>
      </w:r>
      <w:r>
        <w:t xml:space="preserve">1937. Riduzione delle disuguaglianze di accesso nelle persone con bassa alfabetizzazione sanitaria</w:t>
      </w:r>
      <w:r>
        <w:t xml:space="preserve"> </w:t>
      </w:r>
      <w:r>
        <w:t xml:space="preserve">Ramo: Riduzione dell’impoverimento connesso alle cure</w:t>
      </w:r>
      <w:r>
        <w:t xml:space="preserve"> </w:t>
      </w:r>
      <w:r>
        <w:t xml:space="preserve">1938. Riduzione dell’impoverimento connesso alle cure negli adulti in età lavorativa</w:t>
      </w:r>
      <w:r>
        <w:t xml:space="preserve"> </w:t>
      </w:r>
      <w:r>
        <w:t xml:space="preserve">51Psicologo di Base · Metodologia apicale e registro unificato delle variabili</w:t>
      </w:r>
      <w:r>
        <w:t xml:space="preserve"> </w:t>
      </w:r>
      <w:r>
        <w:t xml:space="preserve">1939. Riduzione dell’impoverimento connesso alle cure negli adolescenti</w:t>
      </w:r>
      <w:r>
        <w:t xml:space="preserve"> </w:t>
      </w:r>
      <w:r>
        <w:t xml:space="preserve">1940. Riduzione dell’impoverimento connesso alle cure nei bambini</w:t>
      </w:r>
      <w:r>
        <w:t xml:space="preserve"> </w:t>
      </w:r>
      <w:r>
        <w:t xml:space="preserve">1941. Riduzione dell’impoverimento connesso alle cure negli anziani</w:t>
      </w:r>
      <w:r>
        <w:t xml:space="preserve"> </w:t>
      </w:r>
      <w:r>
        <w:t xml:space="preserve">1942. Riduzione dell’impoverimento connesso alle cure nei grandi anziani</w:t>
      </w:r>
      <w:r>
        <w:t xml:space="preserve"> </w:t>
      </w:r>
      <w:r>
        <w:t xml:space="preserve">1943. Riduzione dell’impoverimento connesso alle cure nelle donne in gravidanza</w:t>
      </w:r>
      <w:r>
        <w:t xml:space="preserve"> </w:t>
      </w:r>
      <w:r>
        <w:t xml:space="preserve">1944. Riduzione dell’impoverimento connesso alle cure nelle donne nel post-partum</w:t>
      </w:r>
      <w:r>
        <w:t xml:space="preserve"> </w:t>
      </w:r>
      <w:r>
        <w:t xml:space="preserve">1945. Riduzione dell’impoverimento connesso alle cure nei caregiver</w:t>
      </w:r>
      <w:r>
        <w:t xml:space="preserve"> </w:t>
      </w:r>
      <w:r>
        <w:t xml:space="preserve">1946. Riduzione dell’impoverimento connesso alle cure nei pazienti con malattie croniche</w:t>
      </w:r>
      <w:r>
        <w:t xml:space="preserve"> </w:t>
      </w:r>
      <w:r>
        <w:t xml:space="preserve">1947. Riduzione dell’impoverimento connesso alle cure nei pazienti con multimorbilità</w:t>
      </w:r>
      <w:r>
        <w:t xml:space="preserve"> </w:t>
      </w:r>
      <w:r>
        <w:t xml:space="preserve">1948. Riduzione dell’impoverimento connesso alle cure nei pazienti oncologici</w:t>
      </w:r>
      <w:r>
        <w:t xml:space="preserve"> </w:t>
      </w:r>
      <w:r>
        <w:t xml:space="preserve">1949. Riduzione dell’impoverimento connesso alle cure nelle persone con dolore cronico</w:t>
      </w:r>
      <w:r>
        <w:t xml:space="preserve"> </w:t>
      </w:r>
      <w:r>
        <w:t xml:space="preserve">1950. Riduzione dell’impoverimento connesso alle cure nei pazienti diabetici</w:t>
      </w:r>
      <w:r>
        <w:t xml:space="preserve"> </w:t>
      </w:r>
      <w:r>
        <w:t xml:space="preserve">1951. Riduzione dell’impoverimento connesso alle cure nei pazienti cardiopatici</w:t>
      </w:r>
      <w:r>
        <w:t xml:space="preserve"> </w:t>
      </w:r>
      <w:r>
        <w:t xml:space="preserve">1952. Riduzione dell’impoverimento connesso alle cure nelle persone con disabilità</w:t>
      </w:r>
      <w:r>
        <w:t xml:space="preserve"> </w:t>
      </w:r>
      <w:r>
        <w:t xml:space="preserve">1953. Riduzione dell’impoverimento connesso alle cure nei migranti e rifugiati</w:t>
      </w:r>
      <w:r>
        <w:t xml:space="preserve"> </w:t>
      </w:r>
      <w:r>
        <w:t xml:space="preserve">1954. Riduzione dell’impoverimento connesso alle cure nelle persone in condizione di povertà</w:t>
      </w:r>
      <w:r>
        <w:t xml:space="preserve"> </w:t>
      </w:r>
      <w:r>
        <w:t xml:space="preserve">1955. Riduzione dell’impoverimento connesso alle cure nelle persone senza dimora</w:t>
      </w:r>
      <w:r>
        <w:t xml:space="preserve"> </w:t>
      </w:r>
      <w:r>
        <w:t xml:space="preserve">1956. Riduzione dell’impoverimento connesso alle cure nei disoccupati</w:t>
      </w:r>
      <w:r>
        <w:t xml:space="preserve"> </w:t>
      </w:r>
      <w:r>
        <w:t xml:space="preserve">1957. Riduzione dell’impoverimento connesso alle cure nei lavoratori esposti a stress</w:t>
      </w:r>
      <w:r>
        <w:t xml:space="preserve"> </w:t>
      </w:r>
      <w:r>
        <w:t xml:space="preserve">1958. Riduzione dell’impoverimento connesso alle cure negli studenti</w:t>
      </w:r>
      <w:r>
        <w:t xml:space="preserve"> </w:t>
      </w:r>
      <w:r>
        <w:t xml:space="preserve">1959. Riduzione dell’impoverimento connesso alle cure nelle persone vittime di violenza</w:t>
      </w:r>
      <w:r>
        <w:t xml:space="preserve"> </w:t>
      </w:r>
      <w:r>
        <w:t xml:space="preserve">1960. Riduzione dell’impoverimento connesso alle cure nelle persone in lutto</w:t>
      </w:r>
      <w:r>
        <w:t xml:space="preserve"> </w:t>
      </w:r>
      <w:r>
        <w:t xml:space="preserve">1961. Riduzione dell’impoverimento connesso alle cure nelle persone con dipendenze</w:t>
      </w:r>
      <w:r>
        <w:t xml:space="preserve"> </w:t>
      </w:r>
      <w:r>
        <w:t xml:space="preserve">1962. Riduzione dell’impoverimento connesso alle cure nei pazienti dopo un ricovero</w:t>
      </w:r>
      <w:r>
        <w:t xml:space="preserve"> </w:t>
      </w:r>
      <w:r>
        <w:t xml:space="preserve">1963. Riduzione dell’impoverimento connesso alle cure nelle persone LGBTQ+</w:t>
      </w:r>
      <w:r>
        <w:t xml:space="preserve"> </w:t>
      </w:r>
      <w:r>
        <w:t xml:space="preserve">1964. Riduzione dell’impoverimento connesso alle cure nelle persone delle aree interne e remote</w:t>
      </w:r>
      <w:r>
        <w:t xml:space="preserve"> </w:t>
      </w:r>
      <w:r>
        <w:t xml:space="preserve">1965. Riduzione dell’impoverimento connesso alle cure nelle persone con bassa alfabetizzazione</w:t>
      </w:r>
      <w:r>
        <w:t xml:space="preserve"> </w:t>
      </w:r>
      <w:r>
        <w:t xml:space="preserve">sanitaria</w:t>
      </w:r>
      <w:r>
        <w:t xml:space="preserve"> </w:t>
      </w:r>
      <w:r>
        <w:t xml:space="preserve">Ramo: Aumento della copertura del bisogno</w:t>
      </w:r>
      <w:r>
        <w:t xml:space="preserve"> </w:t>
      </w:r>
      <w:r>
        <w:t xml:space="preserve">1966. Aumento della copertura del bisogno negli adulti in età lavorativa</w:t>
      </w:r>
      <w:r>
        <w:t xml:space="preserve"> </w:t>
      </w:r>
      <w:r>
        <w:t xml:space="preserve">1967. Aumento della copertura del bisogno negli adolescenti</w:t>
      </w:r>
      <w:r>
        <w:t xml:space="preserve"> </w:t>
      </w:r>
      <w:r>
        <w:t xml:space="preserve">1968. Aumento della copertura del bisogno nei bambini</w:t>
      </w:r>
      <w:r>
        <w:t xml:space="preserve"> </w:t>
      </w:r>
      <w:r>
        <w:t xml:space="preserve">1969. Aumento della copertura del bisogno negli anziani</w:t>
      </w:r>
      <w:r>
        <w:t xml:space="preserve"> </w:t>
      </w:r>
      <w:r>
        <w:t xml:space="preserve">1970. Aumento della copertura del bisogno nei grandi anziani</w:t>
      </w:r>
      <w:r>
        <w:t xml:space="preserve"> </w:t>
      </w:r>
      <w:r>
        <w:t xml:space="preserve">1971. Aumento della copertura del bisogno nelle donne in gravidanza</w:t>
      </w:r>
      <w:r>
        <w:t xml:space="preserve"> </w:t>
      </w:r>
      <w:r>
        <w:t xml:space="preserve">1972. Aumento della copertura del bisogno nelle donne nel post-partum</w:t>
      </w:r>
      <w:r>
        <w:t xml:space="preserve"> </w:t>
      </w:r>
      <w:r>
        <w:t xml:space="preserve">1973. Aumento della copertura del bisogno nei caregiver</w:t>
      </w:r>
      <w:r>
        <w:t xml:space="preserve"> </w:t>
      </w:r>
      <w:r>
        <w:t xml:space="preserve">1974. Aumento della copertura del bisogno nei pazienti con malattie croniche</w:t>
      </w:r>
      <w:r>
        <w:t xml:space="preserve"> </w:t>
      </w:r>
      <w:r>
        <w:t xml:space="preserve">1975. Aumento della copertura del bisogno nei pazienti con multimorbilità</w:t>
      </w:r>
      <w:r>
        <w:t xml:space="preserve"> </w:t>
      </w:r>
      <w:r>
        <w:t xml:space="preserve">1976. Aumento della copertura del bisogno nei pazienti oncologici</w:t>
      </w:r>
      <w:r>
        <w:t xml:space="preserve"> </w:t>
      </w:r>
      <w:r>
        <w:t xml:space="preserve">1977. Aumento della copertura del bisogno nelle persone con dolore cronico</w:t>
      </w:r>
      <w:r>
        <w:t xml:space="preserve"> </w:t>
      </w:r>
      <w:r>
        <w:t xml:space="preserve">1978. Aumento della copertura del bisogno nei pazienti diabetici</w:t>
      </w:r>
      <w:r>
        <w:t xml:space="preserve"> </w:t>
      </w:r>
      <w:r>
        <w:t xml:space="preserve">1979. Aumento della copertura del bisogno nei pazienti cardiopatici</w:t>
      </w:r>
      <w:r>
        <w:t xml:space="preserve"> </w:t>
      </w:r>
      <w:r>
        <w:t xml:space="preserve">1980. Aumento della copertura del bisogno nelle persone con disabilità</w:t>
      </w:r>
      <w:r>
        <w:t xml:space="preserve"> </w:t>
      </w:r>
      <w:r>
        <w:t xml:space="preserve">1981. Aumento della copertura del bisogno nei migranti e rifugiati</w:t>
      </w:r>
      <w:r>
        <w:t xml:space="preserve"> </w:t>
      </w:r>
      <w:r>
        <w:t xml:space="preserve">1982. Aumento della copertura del bisogno nelle persone in condizione di povertà</w:t>
      </w:r>
      <w:r>
        <w:t xml:space="preserve"> </w:t>
      </w:r>
      <w:r>
        <w:t xml:space="preserve">1983. Aumento della copertura del bisogno nelle persone senza dimora</w:t>
      </w:r>
      <w:r>
        <w:t xml:space="preserve"> </w:t>
      </w:r>
      <w:r>
        <w:t xml:space="preserve">1984. Aumento della copertura del bisogno nei disoccupati</w:t>
      </w:r>
      <w:r>
        <w:t xml:space="preserve"> </w:t>
      </w:r>
      <w:r>
        <w:t xml:space="preserve">1985. Aumento della copertura del bisogno nei lavoratori esposti a stress</w:t>
      </w:r>
      <w:r>
        <w:t xml:space="preserve"> </w:t>
      </w:r>
      <w:r>
        <w:t xml:space="preserve">1986. Aumento della copertura del bisogno negli studenti</w:t>
      </w:r>
      <w:r>
        <w:t xml:space="preserve"> </w:t>
      </w:r>
      <w:r>
        <w:t xml:space="preserve">52Psicologo di Base · Metodologia apicale e registro unificato delle variabili</w:t>
      </w:r>
      <w:r>
        <w:t xml:space="preserve"> </w:t>
      </w:r>
      <w:r>
        <w:t xml:space="preserve">1987. Aumento della copertura del bisogno nelle persone vittime di violenza</w:t>
      </w:r>
      <w:r>
        <w:t xml:space="preserve"> </w:t>
      </w:r>
      <w:r>
        <w:t xml:space="preserve">1988. Aumento della copertura del bisogno nelle persone in lutto</w:t>
      </w:r>
      <w:r>
        <w:t xml:space="preserve"> </w:t>
      </w:r>
      <w:r>
        <w:t xml:space="preserve">1989. Aumento della copertura del bisogno nelle persone con dipendenze</w:t>
      </w:r>
      <w:r>
        <w:t xml:space="preserve"> </w:t>
      </w:r>
      <w:r>
        <w:t xml:space="preserve">1990. Aumento della copertura del bisogno nei pazienti dopo un ricovero</w:t>
      </w:r>
      <w:r>
        <w:t xml:space="preserve"> </w:t>
      </w:r>
      <w:r>
        <w:t xml:space="preserve">1991. Aumento della copertura del bisogno nelle persone LGBTQ+</w:t>
      </w:r>
      <w:r>
        <w:t xml:space="preserve"> </w:t>
      </w:r>
      <w:r>
        <w:t xml:space="preserve">1992. Aumento della copertura del bisogno nelle persone delle aree interne e remote</w:t>
      </w:r>
      <w:r>
        <w:t xml:space="preserve"> </w:t>
      </w:r>
      <w:r>
        <w:t xml:space="preserve">1993. Aumento della copertura del bisogno nelle persone con bassa alfabetizzazione sanitaria</w:t>
      </w:r>
      <w:r>
        <w:t xml:space="preserve"> </w:t>
      </w:r>
      <w:r>
        <w:t xml:space="preserve">Ramo: Migliore continuità assistenziale</w:t>
      </w:r>
      <w:r>
        <w:t xml:space="preserve"> </w:t>
      </w:r>
      <w:r>
        <w:t xml:space="preserve">1994. Migliore continuità assistenziale negli adulti in età lavorativa</w:t>
      </w:r>
      <w:r>
        <w:t xml:space="preserve"> </w:t>
      </w:r>
      <w:r>
        <w:t xml:space="preserve">1995. Migliore continuità assistenziale negli adolescenti</w:t>
      </w:r>
      <w:r>
        <w:t xml:space="preserve"> </w:t>
      </w:r>
      <w:r>
        <w:t xml:space="preserve">1996. Migliore continuità assistenziale nei bambini</w:t>
      </w:r>
      <w:r>
        <w:t xml:space="preserve"> </w:t>
      </w:r>
      <w:r>
        <w:t xml:space="preserve">1997. Migliore continuità assistenziale negli anziani</w:t>
      </w:r>
      <w:r>
        <w:t xml:space="preserve"> </w:t>
      </w:r>
      <w:r>
        <w:t xml:space="preserve">1998. Migliore continuità assistenziale nei grandi anziani</w:t>
      </w:r>
      <w:r>
        <w:t xml:space="preserve"> </w:t>
      </w:r>
      <w:r>
        <w:t xml:space="preserve">1999. Migliore continuità assistenziale nelle donne in gravidanza</w:t>
      </w:r>
      <w:r>
        <w:t xml:space="preserve"> </w:t>
      </w:r>
      <w:r>
        <w:t xml:space="preserve">2000. Migliore continuità assistenziale nelle donne nel post-partum</w:t>
      </w:r>
      <w:r>
        <w:t xml:space="preserve"> </w:t>
      </w:r>
      <w:r>
        <w:t xml:space="preserve">2001. Migliore continuità assistenziale nei caregiver</w:t>
      </w:r>
      <w:r>
        <w:t xml:space="preserve"> </w:t>
      </w:r>
      <w:r>
        <w:t xml:space="preserve">2002. Migliore continuità assistenziale nei pazienti con malattie croniche</w:t>
      </w:r>
      <w:r>
        <w:t xml:space="preserve"> </w:t>
      </w:r>
      <w:r>
        <w:t xml:space="preserve">2003. Migliore continuità assistenziale nei pazienti con multimorbilità</w:t>
      </w:r>
      <w:r>
        <w:t xml:space="preserve"> </w:t>
      </w:r>
      <w:r>
        <w:t xml:space="preserve">2004. Migliore continuità assistenziale nei pazienti oncologici</w:t>
      </w:r>
      <w:r>
        <w:t xml:space="preserve"> </w:t>
      </w:r>
      <w:r>
        <w:t xml:space="preserve">2005. Migliore continuità assistenziale nelle persone con dolore cronico</w:t>
      </w:r>
      <w:r>
        <w:t xml:space="preserve"> </w:t>
      </w:r>
      <w:r>
        <w:t xml:space="preserve">2006. Migliore continuità assistenziale nei pazienti diabetici</w:t>
      </w:r>
      <w:r>
        <w:t xml:space="preserve"> </w:t>
      </w:r>
      <w:r>
        <w:t xml:space="preserve">2007. Migliore continuità assistenziale nei pazienti cardiopatici</w:t>
      </w:r>
      <w:r>
        <w:t xml:space="preserve"> </w:t>
      </w:r>
      <w:r>
        <w:t xml:space="preserve">2008. Migliore continuità assistenziale nelle persone con disabilità</w:t>
      </w:r>
      <w:r>
        <w:t xml:space="preserve"> </w:t>
      </w:r>
      <w:r>
        <w:t xml:space="preserve">2009. Migliore continuità assistenziale nei migranti e rifugiati</w:t>
      </w:r>
      <w:r>
        <w:t xml:space="preserve"> </w:t>
      </w:r>
      <w:r>
        <w:t xml:space="preserve">2010. Migliore continuità assistenziale nelle persone in condizione di povertà</w:t>
      </w:r>
      <w:r>
        <w:t xml:space="preserve"> </w:t>
      </w:r>
      <w:r>
        <w:t xml:space="preserve">2011. Migliore continuità assistenziale nelle persone senza dimora</w:t>
      </w:r>
      <w:r>
        <w:t xml:space="preserve"> </w:t>
      </w:r>
      <w:r>
        <w:t xml:space="preserve">2012. Migliore continuità assistenziale nei disoccupati</w:t>
      </w:r>
      <w:r>
        <w:t xml:space="preserve"> </w:t>
      </w:r>
      <w:r>
        <w:t xml:space="preserve">2013. Migliore continuità assistenziale nei lavoratori esposti a stress</w:t>
      </w:r>
      <w:r>
        <w:t xml:space="preserve"> </w:t>
      </w:r>
      <w:r>
        <w:t xml:space="preserve">2014. Migliore continuità assistenziale negli studenti</w:t>
      </w:r>
      <w:r>
        <w:t xml:space="preserve"> </w:t>
      </w:r>
      <w:r>
        <w:t xml:space="preserve">2015. Migliore continuità assistenziale nelle persone vittime di violenza</w:t>
      </w:r>
      <w:r>
        <w:t xml:space="preserve"> </w:t>
      </w:r>
      <w:r>
        <w:t xml:space="preserve">2016. Migliore continuità assistenziale nelle persone in lutto</w:t>
      </w:r>
      <w:r>
        <w:t xml:space="preserve"> </w:t>
      </w:r>
      <w:r>
        <w:t xml:space="preserve">2017. Migliore continuità assistenziale nelle persone con dipendenze</w:t>
      </w:r>
      <w:r>
        <w:t xml:space="preserve"> </w:t>
      </w:r>
      <w:r>
        <w:t xml:space="preserve">2018. Migliore continuità assistenziale nei pazienti dopo un ricovero</w:t>
      </w:r>
      <w:r>
        <w:t xml:space="preserve"> </w:t>
      </w:r>
      <w:r>
        <w:t xml:space="preserve">2019. Migliore continuità assistenziale nelle persone LGBTQ+</w:t>
      </w:r>
      <w:r>
        <w:t xml:space="preserve"> </w:t>
      </w:r>
      <w:r>
        <w:t xml:space="preserve">2020. Migliore continuità assistenziale nelle persone delle aree interne e remote</w:t>
      </w:r>
      <w:r>
        <w:t xml:space="preserve"> </w:t>
      </w:r>
      <w:r>
        <w:t xml:space="preserve">2021. Migliore continuità assistenziale nelle persone con bassa alfabetizzazione sanitaria</w:t>
      </w:r>
      <w:r>
        <w:t xml:space="preserve"> </w:t>
      </w:r>
      <w:r>
        <w:t xml:space="preserve">Ramo: Riduzione della cronicizzazione del disagio</w:t>
      </w:r>
      <w:r>
        <w:t xml:space="preserve"> </w:t>
      </w:r>
      <w:r>
        <w:t xml:space="preserve">2022. Riduzione della cronicizzazione del disagio negli adulti in età lavorativa</w:t>
      </w:r>
      <w:r>
        <w:t xml:space="preserve"> </w:t>
      </w:r>
      <w:r>
        <w:t xml:space="preserve">2023. Riduzione della cronicizzazione del disagio negli adolescenti</w:t>
      </w:r>
      <w:r>
        <w:t xml:space="preserve"> </w:t>
      </w:r>
      <w:r>
        <w:t xml:space="preserve">2024. Riduzione della cronicizzazione del disagio nei bambini</w:t>
      </w:r>
      <w:r>
        <w:t xml:space="preserve"> </w:t>
      </w:r>
      <w:r>
        <w:t xml:space="preserve">2025. Riduzione della cronicizzazione del disagio negli anziani</w:t>
      </w:r>
      <w:r>
        <w:t xml:space="preserve"> </w:t>
      </w:r>
      <w:r>
        <w:t xml:space="preserve">2026. Riduzione della cronicizzazione del disagio nei grandi anziani</w:t>
      </w:r>
      <w:r>
        <w:t xml:space="preserve"> </w:t>
      </w:r>
      <w:r>
        <w:t xml:space="preserve">2027. Riduzione della cronicizzazione del disagio nelle donne in gravidanza</w:t>
      </w:r>
      <w:r>
        <w:t xml:space="preserve"> </w:t>
      </w:r>
      <w:r>
        <w:t xml:space="preserve">2028. Riduzione della cronicizzazione del disagio nelle donne nel post-partum</w:t>
      </w:r>
      <w:r>
        <w:t xml:space="preserve"> </w:t>
      </w:r>
      <w:r>
        <w:t xml:space="preserve">2029. Riduzione della cronicizzazione del disagio nei caregiver</w:t>
      </w:r>
      <w:r>
        <w:t xml:space="preserve"> </w:t>
      </w:r>
      <w:r>
        <w:t xml:space="preserve">2030. Riduzione della cronicizzazione del disagio nei pazienti con malattie croniche</w:t>
      </w:r>
      <w:r>
        <w:t xml:space="preserve"> </w:t>
      </w:r>
      <w:r>
        <w:t xml:space="preserve">2031. Riduzione della cronicizzazione del disagio nei pazienti con multimorbilità</w:t>
      </w:r>
      <w:r>
        <w:t xml:space="preserve"> </w:t>
      </w:r>
      <w:r>
        <w:t xml:space="preserve">2032. Riduzione della cronicizzazione del disagio nei pazienti oncologici</w:t>
      </w:r>
      <w:r>
        <w:t xml:space="preserve"> </w:t>
      </w:r>
      <w:r>
        <w:t xml:space="preserve">2033. Riduzione della cronicizzazione del disagio nelle persone con dolore cronico</w:t>
      </w:r>
      <w:r>
        <w:t xml:space="preserve"> </w:t>
      </w:r>
      <w:r>
        <w:t xml:space="preserve">53Psicologo di Base · Metodologia apicale e registro unificato delle variabili</w:t>
      </w:r>
      <w:r>
        <w:t xml:space="preserve"> </w:t>
      </w:r>
      <w:r>
        <w:t xml:space="preserve">2034. Riduzione della cronicizzazione del disagio nei pazienti diabetici</w:t>
      </w:r>
      <w:r>
        <w:t xml:space="preserve"> </w:t>
      </w:r>
      <w:r>
        <w:t xml:space="preserve">2035. Riduzione della cronicizzazione del disagio nei pazienti cardiopatici</w:t>
      </w:r>
      <w:r>
        <w:t xml:space="preserve"> </w:t>
      </w:r>
      <w:r>
        <w:t xml:space="preserve">2036. Riduzione della cronicizzazione del disagio nelle persone con disabilità</w:t>
      </w:r>
      <w:r>
        <w:t xml:space="preserve"> </w:t>
      </w:r>
      <w:r>
        <w:t xml:space="preserve">2037. Riduzione della cronicizzazione del disagio nei migranti e rifugiati</w:t>
      </w:r>
      <w:r>
        <w:t xml:space="preserve"> </w:t>
      </w:r>
      <w:r>
        <w:t xml:space="preserve">2038. Riduzione della cronicizzazione del disagio nelle persone in condizione di povertà</w:t>
      </w:r>
      <w:r>
        <w:t xml:space="preserve"> </w:t>
      </w:r>
      <w:r>
        <w:t xml:space="preserve">2039. Riduzione della cronicizzazione del disagio nelle persone senza dimora</w:t>
      </w:r>
      <w:r>
        <w:t xml:space="preserve"> </w:t>
      </w:r>
      <w:r>
        <w:t xml:space="preserve">2040. Riduzione della cronicizzazione del disagio nei disoccupati</w:t>
      </w:r>
      <w:r>
        <w:t xml:space="preserve"> </w:t>
      </w:r>
      <w:r>
        <w:t xml:space="preserve">2041. Riduzione della cronicizzazione del disagio nei lavoratori esposti a stress</w:t>
      </w:r>
      <w:r>
        <w:t xml:space="preserve"> </w:t>
      </w:r>
      <w:r>
        <w:t xml:space="preserve">2042. Riduzione della cronicizzazione del disagio negli studenti</w:t>
      </w:r>
      <w:r>
        <w:t xml:space="preserve"> </w:t>
      </w:r>
      <w:r>
        <w:t xml:space="preserve">2043. Riduzione della cronicizzazione del disagio nelle persone vittime di violenza</w:t>
      </w:r>
      <w:r>
        <w:t xml:space="preserve"> </w:t>
      </w:r>
      <w:r>
        <w:t xml:space="preserve">2044. Riduzione della cronicizzazione del disagio nelle persone in lutto</w:t>
      </w:r>
      <w:r>
        <w:t xml:space="preserve"> </w:t>
      </w:r>
      <w:r>
        <w:t xml:space="preserve">2045. Riduzione della cronicizzazione del disagio nelle persone con dipendenze</w:t>
      </w:r>
      <w:r>
        <w:t xml:space="preserve"> </w:t>
      </w:r>
      <w:r>
        <w:t xml:space="preserve">2046. Riduzione della cronicizzazione del disagio nei pazienti dopo un ricovero</w:t>
      </w:r>
      <w:r>
        <w:t xml:space="preserve"> </w:t>
      </w:r>
      <w:r>
        <w:t xml:space="preserve">2047. Riduzione della cronicizzazione del disagio nelle persone LGBTQ+</w:t>
      </w:r>
      <w:r>
        <w:t xml:space="preserve"> </w:t>
      </w:r>
      <w:r>
        <w:t xml:space="preserve">2048. Riduzione della cronicizzazione del disagio nelle persone delle aree interne e remote</w:t>
      </w:r>
      <w:r>
        <w:t xml:space="preserve"> </w:t>
      </w:r>
      <w:r>
        <w:t xml:space="preserve">2049. Riduzione della cronicizzazione del disagio nelle persone con bassa alfabetizzazione sanitaria</w:t>
      </w:r>
      <w:r>
        <w:t xml:space="preserve"> </w:t>
      </w:r>
      <w:r>
        <w:t xml:space="preserve">Ramo: Riduzione del consumo problematico di alcol</w:t>
      </w:r>
      <w:r>
        <w:t xml:space="preserve"> </w:t>
      </w:r>
      <w:r>
        <w:t xml:space="preserve">2050. Riduzione del consumo problematico di alcol negli adulti in età lavorativa</w:t>
      </w:r>
      <w:r>
        <w:t xml:space="preserve"> </w:t>
      </w:r>
      <w:r>
        <w:t xml:space="preserve">2051. Riduzione del consumo problematico di alcol negli adolescenti</w:t>
      </w:r>
      <w:r>
        <w:t xml:space="preserve"> </w:t>
      </w:r>
      <w:r>
        <w:t xml:space="preserve">2052. Riduzione del consumo problematico di alcol nei bambini</w:t>
      </w:r>
      <w:r>
        <w:t xml:space="preserve"> </w:t>
      </w:r>
      <w:r>
        <w:t xml:space="preserve">2053. Riduzione del consumo problematico di alcol negli anziani</w:t>
      </w:r>
      <w:r>
        <w:t xml:space="preserve"> </w:t>
      </w:r>
      <w:r>
        <w:t xml:space="preserve">2054. Riduzione del consumo problematico di alcol nei grandi anziani</w:t>
      </w:r>
      <w:r>
        <w:t xml:space="preserve"> </w:t>
      </w:r>
      <w:r>
        <w:t xml:space="preserve">2055. Riduzione del consumo problematico di alcol nelle donne in gravidanza</w:t>
      </w:r>
      <w:r>
        <w:t xml:space="preserve"> </w:t>
      </w:r>
      <w:r>
        <w:t xml:space="preserve">2056. Riduzione del consumo problematico di alcol nelle donne nel post-partum</w:t>
      </w:r>
      <w:r>
        <w:t xml:space="preserve"> </w:t>
      </w:r>
      <w:r>
        <w:t xml:space="preserve">2057. Riduzione del consumo problematico di alcol nei caregiver</w:t>
      </w:r>
      <w:r>
        <w:t xml:space="preserve"> </w:t>
      </w:r>
      <w:r>
        <w:t xml:space="preserve">2058. Riduzione del consumo problematico di alcol nei pazienti con malattie croniche</w:t>
      </w:r>
      <w:r>
        <w:t xml:space="preserve"> </w:t>
      </w:r>
      <w:r>
        <w:t xml:space="preserve">2059. Riduzione del consumo problematico di alcol nei pazienti con multimorbilità</w:t>
      </w:r>
      <w:r>
        <w:t xml:space="preserve"> </w:t>
      </w:r>
      <w:r>
        <w:t xml:space="preserve">2060. Riduzione del consumo problematico di alcol nei pazienti oncologici</w:t>
      </w:r>
      <w:r>
        <w:t xml:space="preserve"> </w:t>
      </w:r>
      <w:r>
        <w:t xml:space="preserve">2061. Riduzione del consumo problematico di alcol nelle persone con dolore cronico</w:t>
      </w:r>
      <w:r>
        <w:t xml:space="preserve"> </w:t>
      </w:r>
      <w:r>
        <w:t xml:space="preserve">2062. Riduzione del consumo problematico di alcol nei pazienti diabetici</w:t>
      </w:r>
      <w:r>
        <w:t xml:space="preserve"> </w:t>
      </w:r>
      <w:r>
        <w:t xml:space="preserve">2063. Riduzione del consumo problematico di alcol nei pazienti cardiopatici</w:t>
      </w:r>
      <w:r>
        <w:t xml:space="preserve"> </w:t>
      </w:r>
      <w:r>
        <w:t xml:space="preserve">2064. Riduzione del consumo problematico di alcol nelle persone con disabilità</w:t>
      </w:r>
      <w:r>
        <w:t xml:space="preserve"> </w:t>
      </w:r>
      <w:r>
        <w:t xml:space="preserve">2065. Riduzione del consumo problematico di alcol nei migranti e rifugiati</w:t>
      </w:r>
      <w:r>
        <w:t xml:space="preserve"> </w:t>
      </w:r>
      <w:r>
        <w:t xml:space="preserve">2066. Riduzione del consumo problematico di alcol nelle persone in condizione di povertà</w:t>
      </w:r>
      <w:r>
        <w:t xml:space="preserve"> </w:t>
      </w:r>
      <w:r>
        <w:t xml:space="preserve">2067. Riduzione del consumo problematico di alcol nelle persone senza dimora</w:t>
      </w:r>
      <w:r>
        <w:t xml:space="preserve"> </w:t>
      </w:r>
      <w:r>
        <w:t xml:space="preserve">2068. Riduzione del consumo problematico di alcol nei disoccupati</w:t>
      </w:r>
      <w:r>
        <w:t xml:space="preserve"> </w:t>
      </w:r>
      <w:r>
        <w:t xml:space="preserve">2069. Riduzione del consumo problematico di alcol nei lavoratori esposti a stress</w:t>
      </w:r>
      <w:r>
        <w:t xml:space="preserve"> </w:t>
      </w:r>
      <w:r>
        <w:t xml:space="preserve">2070. Riduzione del consumo problematico di alcol negli studenti</w:t>
      </w:r>
      <w:r>
        <w:t xml:space="preserve"> </w:t>
      </w:r>
      <w:r>
        <w:t xml:space="preserve">2071. Riduzione del consumo problematico di alcol nelle persone vittime di violenza</w:t>
      </w:r>
      <w:r>
        <w:t xml:space="preserve"> </w:t>
      </w:r>
      <w:r>
        <w:t xml:space="preserve">2072. Riduzione del consumo problematico di alcol nelle persone in lutto</w:t>
      </w:r>
      <w:r>
        <w:t xml:space="preserve"> </w:t>
      </w:r>
      <w:r>
        <w:t xml:space="preserve">2073. Riduzione del consumo problematico di alcol nelle persone con dipendenze</w:t>
      </w:r>
      <w:r>
        <w:t xml:space="preserve"> </w:t>
      </w:r>
      <w:r>
        <w:t xml:space="preserve">2074. Riduzione del consumo problematico di alcol nei pazienti dopo un ricovero</w:t>
      </w:r>
      <w:r>
        <w:t xml:space="preserve"> </w:t>
      </w:r>
      <w:r>
        <w:t xml:space="preserve">2075. Riduzione del consumo problematico di alcol nelle persone LGBTQ+</w:t>
      </w:r>
      <w:r>
        <w:t xml:space="preserve"> </w:t>
      </w:r>
      <w:r>
        <w:t xml:space="preserve">2076. Riduzione del consumo problematico di alcol nelle persone delle aree interne e remote</w:t>
      </w:r>
      <w:r>
        <w:t xml:space="preserve"> </w:t>
      </w:r>
      <w:r>
        <w:t xml:space="preserve">2077. Riduzione del consumo problematico di alcol nelle persone con bassa alfabetizzazione sanitaria</w:t>
      </w:r>
      <w:r>
        <w:t xml:space="preserve"> </w:t>
      </w:r>
      <w:r>
        <w:t xml:space="preserve">Ramo: Riduzione dell’abuso di sostanze</w:t>
      </w:r>
      <w:r>
        <w:t xml:space="preserve"> </w:t>
      </w:r>
      <w:r>
        <w:t xml:space="preserve">2078. Riduzione dell’abuso di sostanze negli adulti in età lavorativa</w:t>
      </w:r>
      <w:r>
        <w:t xml:space="preserve"> </w:t>
      </w:r>
      <w:r>
        <w:t xml:space="preserve">2079. Riduzione dell’abuso di sostanze negli adolescenti</w:t>
      </w:r>
      <w:r>
        <w:t xml:space="preserve"> </w:t>
      </w:r>
      <w:r>
        <w:t xml:space="preserve">2080. Riduzione dell’abuso di sostanze nei bambini</w:t>
      </w:r>
      <w:r>
        <w:t xml:space="preserve"> </w:t>
      </w:r>
      <w:r>
        <w:t xml:space="preserve">54Psicologo di Base · Metodologia apicale e registro unificato delle variabili</w:t>
      </w:r>
      <w:r>
        <w:t xml:space="preserve"> </w:t>
      </w:r>
      <w:r>
        <w:t xml:space="preserve">2081. Riduzione dell’abuso di sostanze negli anziani</w:t>
      </w:r>
      <w:r>
        <w:t xml:space="preserve"> </w:t>
      </w:r>
      <w:r>
        <w:t xml:space="preserve">2082. Riduzione dell’abuso di sostanze nei grandi anziani</w:t>
      </w:r>
      <w:r>
        <w:t xml:space="preserve"> </w:t>
      </w:r>
      <w:r>
        <w:t xml:space="preserve">2083. Riduzione dell’abuso di sostanze nelle donne in gravidanza</w:t>
      </w:r>
      <w:r>
        <w:t xml:space="preserve"> </w:t>
      </w:r>
      <w:r>
        <w:t xml:space="preserve">2084. Riduzione dell’abuso di sostanze nelle donne nel post-partum</w:t>
      </w:r>
      <w:r>
        <w:t xml:space="preserve"> </w:t>
      </w:r>
      <w:r>
        <w:t xml:space="preserve">2085. Riduzione dell’abuso di sostanze nei caregiver</w:t>
      </w:r>
      <w:r>
        <w:t xml:space="preserve"> </w:t>
      </w:r>
      <w:r>
        <w:t xml:space="preserve">2086. Riduzione dell’abuso di sostanze nei pazienti con malattie croniche</w:t>
      </w:r>
      <w:r>
        <w:t xml:space="preserve"> </w:t>
      </w:r>
      <w:r>
        <w:t xml:space="preserve">2087. Riduzione dell’abuso di sostanze nei pazienti con multimorbilità</w:t>
      </w:r>
      <w:r>
        <w:t xml:space="preserve"> </w:t>
      </w:r>
      <w:r>
        <w:t xml:space="preserve">2088. Riduzione dell’abuso di sostanze nei pazienti oncologici</w:t>
      </w:r>
      <w:r>
        <w:t xml:space="preserve"> </w:t>
      </w:r>
      <w:r>
        <w:t xml:space="preserve">2089. Riduzione dell’abuso di sostanze nelle persone con dolore cronico</w:t>
      </w:r>
      <w:r>
        <w:t xml:space="preserve"> </w:t>
      </w:r>
      <w:r>
        <w:t xml:space="preserve">2090. Riduzione dell’abuso di sostanze nei pazienti diabetici</w:t>
      </w:r>
      <w:r>
        <w:t xml:space="preserve"> </w:t>
      </w:r>
      <w:r>
        <w:t xml:space="preserve">2091. Riduzione dell’abuso di sostanze nei pazienti cardiopatici</w:t>
      </w:r>
      <w:r>
        <w:t xml:space="preserve"> </w:t>
      </w:r>
      <w:r>
        <w:t xml:space="preserve">2092. Riduzione dell’abuso di sostanze nelle persone con disabilità</w:t>
      </w:r>
      <w:r>
        <w:t xml:space="preserve"> </w:t>
      </w:r>
      <w:r>
        <w:t xml:space="preserve">2093. Riduzione dell’abuso di sostanze nei migranti e rifugiati</w:t>
      </w:r>
      <w:r>
        <w:t xml:space="preserve"> </w:t>
      </w:r>
      <w:r>
        <w:t xml:space="preserve">2094. Riduzione dell’abuso di sostanze nelle persone in condizione di povertà</w:t>
      </w:r>
      <w:r>
        <w:t xml:space="preserve"> </w:t>
      </w:r>
      <w:r>
        <w:t xml:space="preserve">2095. Riduzione dell’abuso di sostanze nelle persone senza dimora</w:t>
      </w:r>
      <w:r>
        <w:t xml:space="preserve"> </w:t>
      </w:r>
      <w:r>
        <w:t xml:space="preserve">2096. Riduzione dell’abuso di sostanze nei disoccupati</w:t>
      </w:r>
      <w:r>
        <w:t xml:space="preserve"> </w:t>
      </w:r>
      <w:r>
        <w:t xml:space="preserve">2097. Riduzione dell’abuso di sostanze nei lavoratori esposti a stress</w:t>
      </w:r>
      <w:r>
        <w:t xml:space="preserve"> </w:t>
      </w:r>
      <w:r>
        <w:t xml:space="preserve">2098. Riduzione dell’abuso di sostanze negli studenti</w:t>
      </w:r>
      <w:r>
        <w:t xml:space="preserve"> </w:t>
      </w:r>
      <w:r>
        <w:t xml:space="preserve">2099. Riduzione dell’abuso di sostanze nelle persone vittime di violenza</w:t>
      </w:r>
      <w:r>
        <w:t xml:space="preserve"> </w:t>
      </w:r>
      <w:r>
        <w:t xml:space="preserve">2100. Riduzione dell’abuso di sostanze nelle persone in lutto</w:t>
      </w:r>
      <w:r>
        <w:t xml:space="preserve"> </w:t>
      </w:r>
      <w:r>
        <w:t xml:space="preserve">2101. Riduzione dell’abuso di sostanze nelle persone con dipendenze</w:t>
      </w:r>
      <w:r>
        <w:t xml:space="preserve"> </w:t>
      </w:r>
      <w:r>
        <w:t xml:space="preserve">2102. Riduzione dell’abuso di sostanze nei pazienti dopo un ricovero</w:t>
      </w:r>
      <w:r>
        <w:t xml:space="preserve"> </w:t>
      </w:r>
      <w:r>
        <w:t xml:space="preserve">2103. Riduzione dell’abuso di sostanze nelle persone LGBTQ+</w:t>
      </w:r>
      <w:r>
        <w:t xml:space="preserve"> </w:t>
      </w:r>
      <w:r>
        <w:t xml:space="preserve">2104. Riduzione dell’abuso di sostanze nelle persone delle aree interne e remote</w:t>
      </w:r>
      <w:r>
        <w:t xml:space="preserve"> </w:t>
      </w:r>
      <w:r>
        <w:t xml:space="preserve">2105. Riduzione dell’abuso di sostanze nelle persone con bassa alfabetizzazione sanitaria</w:t>
      </w:r>
      <w:r>
        <w:t xml:space="preserve"> </w:t>
      </w:r>
      <w:r>
        <w:t xml:space="preserve">Ramo: Miglioramento della regolazione emotiva</w:t>
      </w:r>
      <w:r>
        <w:t xml:space="preserve"> </w:t>
      </w:r>
      <w:r>
        <w:t xml:space="preserve">2106. Miglioramento della regolazione emotiva negli adulti in età lavorativa</w:t>
      </w:r>
      <w:r>
        <w:t xml:space="preserve"> </w:t>
      </w:r>
      <w:r>
        <w:t xml:space="preserve">2107. Miglioramento della regolazione emotiva negli adolescenti</w:t>
      </w:r>
      <w:r>
        <w:t xml:space="preserve"> </w:t>
      </w:r>
      <w:r>
        <w:t xml:space="preserve">2108. Miglioramento della regolazione emotiva nei bambini</w:t>
      </w:r>
      <w:r>
        <w:t xml:space="preserve"> </w:t>
      </w:r>
      <w:r>
        <w:t xml:space="preserve">2109. Miglioramento della regolazione emotiva negli anziani</w:t>
      </w:r>
      <w:r>
        <w:t xml:space="preserve"> </w:t>
      </w:r>
      <w:r>
        <w:t xml:space="preserve">2110. Miglioramento della regolazione emotiva nei grandi anziani</w:t>
      </w:r>
      <w:r>
        <w:t xml:space="preserve"> </w:t>
      </w:r>
      <w:r>
        <w:t xml:space="preserve">2111. Miglioramento della regolazione emotiva nelle donne in gravidanza</w:t>
      </w:r>
      <w:r>
        <w:t xml:space="preserve"> </w:t>
      </w:r>
      <w:r>
        <w:t xml:space="preserve">2112. Miglioramento della regolazione emotiva nelle donne nel post-partum</w:t>
      </w:r>
      <w:r>
        <w:t xml:space="preserve"> </w:t>
      </w:r>
      <w:r>
        <w:t xml:space="preserve">2113. Miglioramento della regolazione emotiva nei caregiver</w:t>
      </w:r>
      <w:r>
        <w:t xml:space="preserve"> </w:t>
      </w:r>
      <w:r>
        <w:t xml:space="preserve">2114. Miglioramento della regolazione emotiva nei pazienti con malattie croniche</w:t>
      </w:r>
      <w:r>
        <w:t xml:space="preserve"> </w:t>
      </w:r>
      <w:r>
        <w:t xml:space="preserve">2115. Miglioramento della regolazione emotiva nei pazienti con multimorbilità</w:t>
      </w:r>
      <w:r>
        <w:t xml:space="preserve"> </w:t>
      </w:r>
      <w:r>
        <w:t xml:space="preserve">2116. Miglioramento della regolazione emotiva nei pazienti oncologici</w:t>
      </w:r>
      <w:r>
        <w:t xml:space="preserve"> </w:t>
      </w:r>
      <w:r>
        <w:t xml:space="preserve">2117. Miglioramento della regolazione emotiva nelle persone con dolore cronico</w:t>
      </w:r>
      <w:r>
        <w:t xml:space="preserve"> </w:t>
      </w:r>
      <w:r>
        <w:t xml:space="preserve">2118. Miglioramento della regolazione emotiva nei pazienti diabetici</w:t>
      </w:r>
      <w:r>
        <w:t xml:space="preserve"> </w:t>
      </w:r>
      <w:r>
        <w:t xml:space="preserve">2119. Miglioramento della regolazione emotiva nei pazienti cardiopatici</w:t>
      </w:r>
      <w:r>
        <w:t xml:space="preserve"> </w:t>
      </w:r>
      <w:r>
        <w:t xml:space="preserve">2120. Miglioramento della regolazione emotiva nelle persone con disabilità</w:t>
      </w:r>
      <w:r>
        <w:t xml:space="preserve"> </w:t>
      </w:r>
      <w:r>
        <w:t xml:space="preserve">2121. Miglioramento della regolazione emotiva nei migranti e rifugiati</w:t>
      </w:r>
      <w:r>
        <w:t xml:space="preserve"> </w:t>
      </w:r>
      <w:r>
        <w:t xml:space="preserve">2122. Miglioramento della regolazione emotiva nelle persone in condizione di povertà</w:t>
      </w:r>
      <w:r>
        <w:t xml:space="preserve"> </w:t>
      </w:r>
      <w:r>
        <w:t xml:space="preserve">2123. Miglioramento della regolazione emotiva nelle persone senza dimora</w:t>
      </w:r>
      <w:r>
        <w:t xml:space="preserve"> </w:t>
      </w:r>
      <w:r>
        <w:t xml:space="preserve">2124. Miglioramento della regolazione emotiva nei disoccupati</w:t>
      </w:r>
      <w:r>
        <w:t xml:space="preserve"> </w:t>
      </w:r>
      <w:r>
        <w:t xml:space="preserve">2125. Miglioramento della regolazione emotiva nei lavoratori esposti a stress</w:t>
      </w:r>
      <w:r>
        <w:t xml:space="preserve"> </w:t>
      </w:r>
      <w:r>
        <w:t xml:space="preserve">2126. Miglioramento della regolazione emotiva negli studenti</w:t>
      </w:r>
      <w:r>
        <w:t xml:space="preserve"> </w:t>
      </w:r>
      <w:r>
        <w:t xml:space="preserve">2127. Miglioramento della regolazione emotiva nelle persone vittime di violenza</w:t>
      </w:r>
      <w:r>
        <w:t xml:space="preserve"> </w:t>
      </w:r>
      <w:r>
        <w:t xml:space="preserve">2128. Miglioramento della regolazione emotiva nelle persone in lutto</w:t>
      </w:r>
      <w:r>
        <w:t xml:space="preserve"> </w:t>
      </w:r>
      <w:r>
        <w:t xml:space="preserve">2129. Miglioramento della regolazione emotiva nelle persone con dipendenze</w:t>
      </w:r>
      <w:r>
        <w:t xml:space="preserve"> </w:t>
      </w:r>
      <w:r>
        <w:t xml:space="preserve">55Psicologo di Base · Metodologia apicale e registro unificato delle variabili</w:t>
      </w:r>
      <w:r>
        <w:t xml:space="preserve"> </w:t>
      </w:r>
      <w:r>
        <w:t xml:space="preserve">2130. Miglioramento della regolazione emotiva nei pazienti dopo un ricovero</w:t>
      </w:r>
      <w:r>
        <w:t xml:space="preserve"> </w:t>
      </w:r>
      <w:r>
        <w:t xml:space="preserve">2131. Miglioramento della regolazione emotiva nelle persone LGBTQ+</w:t>
      </w:r>
      <w:r>
        <w:t xml:space="preserve"> </w:t>
      </w:r>
      <w:r>
        <w:t xml:space="preserve">2132. Miglioramento della regolazione emotiva nelle persone delle aree interne e remote</w:t>
      </w:r>
      <w:r>
        <w:t xml:space="preserve"> </w:t>
      </w:r>
      <w:r>
        <w:t xml:space="preserve">2133. Miglioramento della regolazione emotiva nelle persone con bassa alfabetizzazione sanitaria</w:t>
      </w:r>
      <w:r>
        <w:t xml:space="preserve"> </w:t>
      </w:r>
      <w:r>
        <w:t xml:space="preserve">Ramo: Aumento della resilienza</w:t>
      </w:r>
      <w:r>
        <w:t xml:space="preserve"> </w:t>
      </w:r>
      <w:r>
        <w:t xml:space="preserve">2134. Aumento della resilienza negli adulti in età lavorativa</w:t>
      </w:r>
      <w:r>
        <w:t xml:space="preserve"> </w:t>
      </w:r>
      <w:r>
        <w:t xml:space="preserve">2135. Aumento della resilienza negli adolescenti</w:t>
      </w:r>
      <w:r>
        <w:t xml:space="preserve"> </w:t>
      </w:r>
      <w:r>
        <w:t xml:space="preserve">2136. Aumento della resilienza nei bambini</w:t>
      </w:r>
      <w:r>
        <w:t xml:space="preserve"> </w:t>
      </w:r>
      <w:r>
        <w:t xml:space="preserve">2137. Aumento della resilienza negli anziani</w:t>
      </w:r>
      <w:r>
        <w:t xml:space="preserve"> </w:t>
      </w:r>
      <w:r>
        <w:t xml:space="preserve">2138. Aumento della resilienza nei grandi anziani</w:t>
      </w:r>
      <w:r>
        <w:t xml:space="preserve"> </w:t>
      </w:r>
      <w:r>
        <w:t xml:space="preserve">2139. Aumento della resilienza nelle donne in gravidanza</w:t>
      </w:r>
      <w:r>
        <w:t xml:space="preserve"> </w:t>
      </w:r>
      <w:r>
        <w:t xml:space="preserve">2140. Aumento della resilienza nelle donne nel post-partum</w:t>
      </w:r>
      <w:r>
        <w:t xml:space="preserve"> </w:t>
      </w:r>
      <w:r>
        <w:t xml:space="preserve">2141. Aumento della resilienza nei caregiver</w:t>
      </w:r>
      <w:r>
        <w:t xml:space="preserve"> </w:t>
      </w:r>
      <w:r>
        <w:t xml:space="preserve">2142. Aumento della resilienza nei pazienti con malattie croniche</w:t>
      </w:r>
      <w:r>
        <w:t xml:space="preserve"> </w:t>
      </w:r>
      <w:r>
        <w:t xml:space="preserve">2143. Aumento della resilienza nei pazienti con multimorbilità</w:t>
      </w:r>
      <w:r>
        <w:t xml:space="preserve"> </w:t>
      </w:r>
      <w:r>
        <w:t xml:space="preserve">2144. Aumento della resilienza nei pazienti oncologici</w:t>
      </w:r>
      <w:r>
        <w:t xml:space="preserve"> </w:t>
      </w:r>
      <w:r>
        <w:t xml:space="preserve">2145. Aumento della resilienza nelle persone con dolore cronico</w:t>
      </w:r>
      <w:r>
        <w:t xml:space="preserve"> </w:t>
      </w:r>
      <w:r>
        <w:t xml:space="preserve">2146. Aumento della resilienza nei pazienti diabetici</w:t>
      </w:r>
      <w:r>
        <w:t xml:space="preserve"> </w:t>
      </w:r>
      <w:r>
        <w:t xml:space="preserve">2147. Aumento della resilienza nei pazienti cardiopatici</w:t>
      </w:r>
      <w:r>
        <w:t xml:space="preserve"> </w:t>
      </w:r>
      <w:r>
        <w:t xml:space="preserve">2148. Aumento della resilienza nelle persone con disabilità</w:t>
      </w:r>
      <w:r>
        <w:t xml:space="preserve"> </w:t>
      </w:r>
      <w:r>
        <w:t xml:space="preserve">2149. Aumento della resilienza nei migranti e rifugiati</w:t>
      </w:r>
      <w:r>
        <w:t xml:space="preserve"> </w:t>
      </w:r>
      <w:r>
        <w:t xml:space="preserve">2150. Aumento della resilienza nelle persone in condizione di povertà</w:t>
      </w:r>
      <w:r>
        <w:t xml:space="preserve"> </w:t>
      </w:r>
      <w:r>
        <w:t xml:space="preserve">2151. Aumento della resilienza nelle persone senza dimora</w:t>
      </w:r>
      <w:r>
        <w:t xml:space="preserve"> </w:t>
      </w:r>
      <w:r>
        <w:t xml:space="preserve">2152. Aumento della resilienza nei disoccupati</w:t>
      </w:r>
      <w:r>
        <w:t xml:space="preserve"> </w:t>
      </w:r>
      <w:r>
        <w:t xml:space="preserve">2153. Aumento della resilienza nei lavoratori esposti a stress</w:t>
      </w:r>
      <w:r>
        <w:t xml:space="preserve"> </w:t>
      </w:r>
      <w:r>
        <w:t xml:space="preserve">2154. Aumento della resilienza negli studenti</w:t>
      </w:r>
      <w:r>
        <w:t xml:space="preserve"> </w:t>
      </w:r>
      <w:r>
        <w:t xml:space="preserve">2155. Aumento della resilienza nelle persone vittime di violenza</w:t>
      </w:r>
      <w:r>
        <w:t xml:space="preserve"> </w:t>
      </w:r>
      <w:r>
        <w:t xml:space="preserve">2156. Aumento della resilienza nelle persone in lutto</w:t>
      </w:r>
      <w:r>
        <w:t xml:space="preserve"> </w:t>
      </w:r>
      <w:r>
        <w:t xml:space="preserve">2157. Aumento della resilienza nelle persone con dipendenze</w:t>
      </w:r>
      <w:r>
        <w:t xml:space="preserve"> </w:t>
      </w:r>
      <w:r>
        <w:t xml:space="preserve">2158. Aumento della resilienza nei pazienti dopo un ricovero</w:t>
      </w:r>
      <w:r>
        <w:t xml:space="preserve"> </w:t>
      </w:r>
      <w:r>
        <w:t xml:space="preserve">2159. Aumento della resilienza nelle persone LGBTQ+</w:t>
      </w:r>
      <w:r>
        <w:t xml:space="preserve"> </w:t>
      </w:r>
      <w:r>
        <w:t xml:space="preserve">2160. Aumento della resilienza nelle persone delle aree interne e remote</w:t>
      </w:r>
      <w:r>
        <w:t xml:space="preserve"> </w:t>
      </w:r>
      <w:r>
        <w:t xml:space="preserve">2161. Aumento della resilienza nelle persone con bassa alfabetizzazione sanitaria</w:t>
      </w:r>
      <w:r>
        <w:t xml:space="preserve"> </w:t>
      </w:r>
      <w:r>
        <w:t xml:space="preserve">Ramo: Miglioramento del sonno</w:t>
      </w:r>
      <w:r>
        <w:t xml:space="preserve"> </w:t>
      </w:r>
      <w:r>
        <w:t xml:space="preserve">2162. Miglioramento del sonno negli adulti in età lavorativa</w:t>
      </w:r>
      <w:r>
        <w:t xml:space="preserve"> </w:t>
      </w:r>
      <w:r>
        <w:t xml:space="preserve">2163. Miglioramento del sonno negli adolescenti</w:t>
      </w:r>
      <w:r>
        <w:t xml:space="preserve"> </w:t>
      </w:r>
      <w:r>
        <w:t xml:space="preserve">2164. Miglioramento del sonno nei bambini</w:t>
      </w:r>
      <w:r>
        <w:t xml:space="preserve"> </w:t>
      </w:r>
      <w:r>
        <w:t xml:space="preserve">2165. Miglioramento del sonno negli anziani</w:t>
      </w:r>
      <w:r>
        <w:t xml:space="preserve"> </w:t>
      </w:r>
      <w:r>
        <w:t xml:space="preserve">2166. Miglioramento del sonno nei grandi anziani</w:t>
      </w:r>
      <w:r>
        <w:t xml:space="preserve"> </w:t>
      </w:r>
      <w:r>
        <w:t xml:space="preserve">2167. Miglioramento del sonno nelle donne in gravidanza</w:t>
      </w:r>
      <w:r>
        <w:t xml:space="preserve"> </w:t>
      </w:r>
      <w:r>
        <w:t xml:space="preserve">2168. Miglioramento del sonno nelle donne nel post-partum</w:t>
      </w:r>
      <w:r>
        <w:t xml:space="preserve"> </w:t>
      </w:r>
      <w:r>
        <w:t xml:space="preserve">2169. Miglioramento del sonno nei caregiver</w:t>
      </w:r>
      <w:r>
        <w:t xml:space="preserve"> </w:t>
      </w:r>
      <w:r>
        <w:t xml:space="preserve">2170. Miglioramento del sonno nei pazienti con malattie croniche</w:t>
      </w:r>
      <w:r>
        <w:t xml:space="preserve"> </w:t>
      </w:r>
      <w:r>
        <w:t xml:space="preserve">2171. Miglioramento del sonno nei pazienti con multimorbilità</w:t>
      </w:r>
      <w:r>
        <w:t xml:space="preserve"> </w:t>
      </w:r>
      <w:r>
        <w:t xml:space="preserve">2172. Miglioramento del sonno nei pazienti oncologici</w:t>
      </w:r>
      <w:r>
        <w:t xml:space="preserve"> </w:t>
      </w:r>
      <w:r>
        <w:t xml:space="preserve">2173. Miglioramento del sonno nelle persone con dolore cronico</w:t>
      </w:r>
      <w:r>
        <w:t xml:space="preserve"> </w:t>
      </w:r>
      <w:r>
        <w:t xml:space="preserve">2174. Miglioramento del sonno nei pazienti diabetici</w:t>
      </w:r>
      <w:r>
        <w:t xml:space="preserve"> </w:t>
      </w:r>
      <w:r>
        <w:t xml:space="preserve">2175. Miglioramento del sonno nei pazienti cardiopatici</w:t>
      </w:r>
      <w:r>
        <w:t xml:space="preserve"> </w:t>
      </w:r>
      <w:r>
        <w:t xml:space="preserve">2176. Miglioramento del sonno nelle persone con disabilità</w:t>
      </w:r>
      <w:r>
        <w:t xml:space="preserve"> </w:t>
      </w:r>
      <w:r>
        <w:t xml:space="preserve">56Psicologo di Base · Metodologia apicale e registro unificato delle variabili</w:t>
      </w:r>
      <w:r>
        <w:t xml:space="preserve"> </w:t>
      </w:r>
      <w:r>
        <w:t xml:space="preserve">2177. Miglioramento del sonno nei migranti e rifugiati</w:t>
      </w:r>
      <w:r>
        <w:t xml:space="preserve"> </w:t>
      </w:r>
      <w:r>
        <w:t xml:space="preserve">2178. Miglioramento del sonno nelle persone in condizione di povertà</w:t>
      </w:r>
      <w:r>
        <w:t xml:space="preserve"> </w:t>
      </w:r>
      <w:r>
        <w:t xml:space="preserve">2179. Miglioramento del sonno nelle persone senza dimora</w:t>
      </w:r>
      <w:r>
        <w:t xml:space="preserve"> </w:t>
      </w:r>
      <w:r>
        <w:t xml:space="preserve">2180. Miglioramento del sonno nei disoccupati</w:t>
      </w:r>
      <w:r>
        <w:t xml:space="preserve"> </w:t>
      </w:r>
      <w:r>
        <w:t xml:space="preserve">2181. Miglioramento del sonno nei lavoratori esposti a stress</w:t>
      </w:r>
      <w:r>
        <w:t xml:space="preserve"> </w:t>
      </w:r>
      <w:r>
        <w:t xml:space="preserve">2182. Miglioramento del sonno negli studenti</w:t>
      </w:r>
      <w:r>
        <w:t xml:space="preserve"> </w:t>
      </w:r>
      <w:r>
        <w:t xml:space="preserve">2183. Miglioramento del sonno nelle persone vittime di violenza</w:t>
      </w:r>
      <w:r>
        <w:t xml:space="preserve"> </w:t>
      </w:r>
      <w:r>
        <w:t xml:space="preserve">2184. Miglioramento del sonno nelle persone in lutto</w:t>
      </w:r>
      <w:r>
        <w:t xml:space="preserve"> </w:t>
      </w:r>
      <w:r>
        <w:t xml:space="preserve">2185. Miglioramento del sonno nelle persone con dipendenze</w:t>
      </w:r>
      <w:r>
        <w:t xml:space="preserve"> </w:t>
      </w:r>
      <w:r>
        <w:t xml:space="preserve">2186. Miglioramento del sonno nei pazienti dopo un ricovero</w:t>
      </w:r>
      <w:r>
        <w:t xml:space="preserve"> </w:t>
      </w:r>
      <w:r>
        <w:t xml:space="preserve">2187. Miglioramento del sonno nelle persone LGBTQ+</w:t>
      </w:r>
      <w:r>
        <w:t xml:space="preserve"> </w:t>
      </w:r>
      <w:r>
        <w:t xml:space="preserve">2188. Miglioramento del sonno nelle persone delle aree interne e remote</w:t>
      </w:r>
      <w:r>
        <w:t xml:space="preserve"> </w:t>
      </w:r>
      <w:r>
        <w:t xml:space="preserve">2189. Miglioramento del sonno nelle persone con bassa alfabetizzazione sanitaria</w:t>
      </w:r>
      <w:r>
        <w:t xml:space="preserve"> </w:t>
      </w:r>
      <w:r>
        <w:t xml:space="preserve">Ramo: Riduzione dell’ansia per la salute</w:t>
      </w:r>
      <w:r>
        <w:t xml:space="preserve"> </w:t>
      </w:r>
      <w:r>
        <w:t xml:space="preserve">2190. Riduzione dell’ansia per la salute negli adulti in età lavorativa</w:t>
      </w:r>
      <w:r>
        <w:t xml:space="preserve"> </w:t>
      </w:r>
      <w:r>
        <w:t xml:space="preserve">2191. Riduzione dell’ansia per la salute negli adolescenti</w:t>
      </w:r>
      <w:r>
        <w:t xml:space="preserve"> </w:t>
      </w:r>
      <w:r>
        <w:t xml:space="preserve">2192. Riduzione dell’ansia per la salute nei bambini</w:t>
      </w:r>
      <w:r>
        <w:t xml:space="preserve"> </w:t>
      </w:r>
      <w:r>
        <w:t xml:space="preserve">2193. Riduzione dell’ansia per la salute negli anziani</w:t>
      </w:r>
      <w:r>
        <w:t xml:space="preserve"> </w:t>
      </w:r>
      <w:r>
        <w:t xml:space="preserve">2194. Riduzione dell’ansia per la salute nei grandi anziani</w:t>
      </w:r>
      <w:r>
        <w:t xml:space="preserve"> </w:t>
      </w:r>
      <w:r>
        <w:t xml:space="preserve">2195. Riduzione dell’ansia per la salute nelle donne in gravidanza</w:t>
      </w:r>
      <w:r>
        <w:t xml:space="preserve"> </w:t>
      </w:r>
      <w:r>
        <w:t xml:space="preserve">2196. Riduzione dell’ansia per la salute nelle donne nel post-partum</w:t>
      </w:r>
      <w:r>
        <w:t xml:space="preserve"> </w:t>
      </w:r>
      <w:r>
        <w:t xml:space="preserve">2197. Riduzione dell’ansia per la salute nei caregiver</w:t>
      </w:r>
      <w:r>
        <w:t xml:space="preserve"> </w:t>
      </w:r>
      <w:r>
        <w:t xml:space="preserve">2198. Riduzione dell’ansia per la salute nei pazienti con malattie croniche</w:t>
      </w:r>
      <w:r>
        <w:t xml:space="preserve"> </w:t>
      </w:r>
      <w:r>
        <w:t xml:space="preserve">2199. Riduzione dell’ansia per la salute nei pazienti con multimorbilità</w:t>
      </w:r>
      <w:r>
        <w:t xml:space="preserve"> </w:t>
      </w:r>
      <w:r>
        <w:t xml:space="preserve">2200. Riduzione dell’ansia per la salute nei pazienti oncologici</w:t>
      </w:r>
      <w:r>
        <w:t xml:space="preserve"> </w:t>
      </w:r>
      <w:r>
        <w:t xml:space="preserve">2201. Riduzione dell’ansia per la salute nelle persone con dolore cronico</w:t>
      </w:r>
      <w:r>
        <w:t xml:space="preserve"> </w:t>
      </w:r>
      <w:r>
        <w:t xml:space="preserve">2202. Riduzione dell’ansia per la salute nei pazienti diabetici</w:t>
      </w:r>
      <w:r>
        <w:t xml:space="preserve"> </w:t>
      </w:r>
      <w:r>
        <w:t xml:space="preserve">2203. Riduzione dell’ansia per la salute nei pazienti cardiopatici</w:t>
      </w:r>
      <w:r>
        <w:t xml:space="preserve"> </w:t>
      </w:r>
      <w:r>
        <w:t xml:space="preserve">2204. Riduzione dell’ansia per la salute nelle persone con disabilità</w:t>
      </w:r>
      <w:r>
        <w:t xml:space="preserve"> </w:t>
      </w:r>
      <w:r>
        <w:t xml:space="preserve">2205. Riduzione dell’ansia per la salute nei migranti e rifugiati</w:t>
      </w:r>
      <w:r>
        <w:t xml:space="preserve"> </w:t>
      </w:r>
      <w:r>
        <w:t xml:space="preserve">2206. Riduzione dell’ansia per la salute nelle persone in condizione di povertà</w:t>
      </w:r>
      <w:r>
        <w:t xml:space="preserve"> </w:t>
      </w:r>
      <w:r>
        <w:t xml:space="preserve">2207. Riduzione dell’ansia per la salute nelle persone senza dimora</w:t>
      </w:r>
      <w:r>
        <w:t xml:space="preserve"> </w:t>
      </w:r>
      <w:r>
        <w:t xml:space="preserve">2208. Riduzione dell’ansia per la salute nei disoccupati</w:t>
      </w:r>
      <w:r>
        <w:t xml:space="preserve"> </w:t>
      </w:r>
      <w:r>
        <w:t xml:space="preserve">2209. Riduzione dell’ansia per la salute nei lavoratori esposti a stress</w:t>
      </w:r>
      <w:r>
        <w:t xml:space="preserve"> </w:t>
      </w:r>
      <w:r>
        <w:t xml:space="preserve">2210. Riduzione dell’ansia per la salute negli studenti</w:t>
      </w:r>
      <w:r>
        <w:t xml:space="preserve"> </w:t>
      </w:r>
      <w:r>
        <w:t xml:space="preserve">2211. Riduzione dell’ansia per la salute nelle persone vittime di violenza</w:t>
      </w:r>
      <w:r>
        <w:t xml:space="preserve"> </w:t>
      </w:r>
      <w:r>
        <w:t xml:space="preserve">2212. Riduzione dell’ansia per la salute nelle persone in lutto</w:t>
      </w:r>
      <w:r>
        <w:t xml:space="preserve"> </w:t>
      </w:r>
      <w:r>
        <w:t xml:space="preserve">2213. Riduzione dell’ansia per la salute nelle persone con dipendenze</w:t>
      </w:r>
      <w:r>
        <w:t xml:space="preserve"> </w:t>
      </w:r>
      <w:r>
        <w:t xml:space="preserve">2214. Riduzione dell’ansia per la salute nei pazienti dopo un ricovero</w:t>
      </w:r>
      <w:r>
        <w:t xml:space="preserve"> </w:t>
      </w:r>
      <w:r>
        <w:t xml:space="preserve">2215. Riduzione dell’ansia per la salute nelle persone LGBTQ+</w:t>
      </w:r>
      <w:r>
        <w:t xml:space="preserve"> </w:t>
      </w:r>
      <w:r>
        <w:t xml:space="preserve">2216. Riduzione dell’ansia per la salute nelle persone delle aree interne e remote</w:t>
      </w:r>
      <w:r>
        <w:t xml:space="preserve"> </w:t>
      </w:r>
      <w:r>
        <w:t xml:space="preserve">2217. Riduzione dell’ansia per la salute nelle persone con bassa alfabetizzazione sanitaria</w:t>
      </w:r>
      <w:r>
        <w:t xml:space="preserve"> </w:t>
      </w:r>
      <w:r>
        <w:t xml:space="preserve">Ramo: Riduzione della solitudine percepita</w:t>
      </w:r>
      <w:r>
        <w:t xml:space="preserve"> </w:t>
      </w:r>
      <w:r>
        <w:t xml:space="preserve">2218. Riduzione della solitudine percepita negli adulti in età lavorativa</w:t>
      </w:r>
      <w:r>
        <w:t xml:space="preserve"> </w:t>
      </w:r>
      <w:r>
        <w:t xml:space="preserve">2219. Riduzione della solitudine percepita negli adolescenti</w:t>
      </w:r>
      <w:r>
        <w:t xml:space="preserve"> </w:t>
      </w:r>
      <w:r>
        <w:t xml:space="preserve">2220. Riduzione della solitudine percepita nei bambini</w:t>
      </w:r>
      <w:r>
        <w:t xml:space="preserve"> </w:t>
      </w:r>
      <w:r>
        <w:t xml:space="preserve">2221. Riduzione della solitudine percepita negli anziani</w:t>
      </w:r>
      <w:r>
        <w:t xml:space="preserve"> </w:t>
      </w:r>
      <w:r>
        <w:t xml:space="preserve">2222. Riduzione della solitudine percepita nei grandi anziani</w:t>
      </w:r>
      <w:r>
        <w:t xml:space="preserve"> </w:t>
      </w:r>
      <w:r>
        <w:t xml:space="preserve">2223. Riduzione della solitudine percepita nelle donne in gravidanza</w:t>
      </w:r>
      <w:r>
        <w:t xml:space="preserve"> </w:t>
      </w:r>
      <w:r>
        <w:t xml:space="preserve">57Psicologo di Base · Metodologia apicale e registro unificato delle variabili</w:t>
      </w:r>
      <w:r>
        <w:t xml:space="preserve"> </w:t>
      </w:r>
      <w:r>
        <w:t xml:space="preserve">2224. Riduzione della solitudine percepita nelle donne nel post-partum</w:t>
      </w:r>
      <w:r>
        <w:t xml:space="preserve"> </w:t>
      </w:r>
      <w:r>
        <w:t xml:space="preserve">2225. Riduzione della solitudine percepita nei caregiver</w:t>
      </w:r>
      <w:r>
        <w:t xml:space="preserve"> </w:t>
      </w:r>
      <w:r>
        <w:t xml:space="preserve">2226. Riduzione della solitudine percepita nei pazienti con malattie croniche</w:t>
      </w:r>
      <w:r>
        <w:t xml:space="preserve"> </w:t>
      </w:r>
      <w:r>
        <w:t xml:space="preserve">2227. Riduzione della solitudine percepita nei pazienti con multimorbilità</w:t>
      </w:r>
      <w:r>
        <w:t xml:space="preserve"> </w:t>
      </w:r>
      <w:r>
        <w:t xml:space="preserve">2228. Riduzione della solitudine percepita nei pazienti oncologici</w:t>
      </w:r>
      <w:r>
        <w:t xml:space="preserve"> </w:t>
      </w:r>
      <w:r>
        <w:t xml:space="preserve">2229. Riduzione della solitudine percepita nelle persone con dolore cronico</w:t>
      </w:r>
      <w:r>
        <w:t xml:space="preserve"> </w:t>
      </w:r>
      <w:r>
        <w:t xml:space="preserve">2230. Riduzione della solitudine percepita nei pazienti diabetici</w:t>
      </w:r>
      <w:r>
        <w:t xml:space="preserve"> </w:t>
      </w:r>
      <w:r>
        <w:t xml:space="preserve">2231. Riduzione della solitudine percepita nei pazienti cardiopatici</w:t>
      </w:r>
      <w:r>
        <w:t xml:space="preserve"> </w:t>
      </w:r>
      <w:r>
        <w:t xml:space="preserve">2232. Riduzione della solitudine percepita nelle persone con disabilità</w:t>
      </w:r>
      <w:r>
        <w:t xml:space="preserve"> </w:t>
      </w:r>
      <w:r>
        <w:t xml:space="preserve">2233. Riduzione della solitudine percepita nei migranti e rifugiati</w:t>
      </w:r>
      <w:r>
        <w:t xml:space="preserve"> </w:t>
      </w:r>
      <w:r>
        <w:t xml:space="preserve">2234. Riduzione della solitudine percepita nelle persone in condizione di povertà</w:t>
      </w:r>
      <w:r>
        <w:t xml:space="preserve"> </w:t>
      </w:r>
      <w:r>
        <w:t xml:space="preserve">2235. Riduzione della solitudine percepita nelle persone senza dimora</w:t>
      </w:r>
      <w:r>
        <w:t xml:space="preserve"> </w:t>
      </w:r>
      <w:r>
        <w:t xml:space="preserve">2236. Riduzione della solitudine percepita nei disoccupati</w:t>
      </w:r>
      <w:r>
        <w:t xml:space="preserve"> </w:t>
      </w:r>
      <w:r>
        <w:t xml:space="preserve">2237. Riduzione della solitudine percepita nei lavoratori esposti a stress</w:t>
      </w:r>
      <w:r>
        <w:t xml:space="preserve"> </w:t>
      </w:r>
      <w:r>
        <w:t xml:space="preserve">2238. Riduzione della solitudine percepita negli studenti</w:t>
      </w:r>
      <w:r>
        <w:t xml:space="preserve"> </w:t>
      </w:r>
      <w:r>
        <w:t xml:space="preserve">2239. Riduzione della solitudine percepita nelle persone vittime di violenza</w:t>
      </w:r>
      <w:r>
        <w:t xml:space="preserve"> </w:t>
      </w:r>
      <w:r>
        <w:t xml:space="preserve">2240. Riduzione della solitudine percepita nelle persone in lutto</w:t>
      </w:r>
      <w:r>
        <w:t xml:space="preserve"> </w:t>
      </w:r>
      <w:r>
        <w:t xml:space="preserve">2241. Riduzione della solitudine percepita nelle persone con dipendenze</w:t>
      </w:r>
      <w:r>
        <w:t xml:space="preserve"> </w:t>
      </w:r>
      <w:r>
        <w:t xml:space="preserve">2242. Riduzione della solitudine percepita nei pazienti dopo un ricovero</w:t>
      </w:r>
      <w:r>
        <w:t xml:space="preserve"> </w:t>
      </w:r>
      <w:r>
        <w:t xml:space="preserve">2243. Riduzione della solitudine percepita nelle persone LGBTQ+</w:t>
      </w:r>
      <w:r>
        <w:t xml:space="preserve"> </w:t>
      </w:r>
      <w:r>
        <w:t xml:space="preserve">2244. Riduzione della solitudine percepita nelle persone delle aree interne e remote</w:t>
      </w:r>
      <w:r>
        <w:t xml:space="preserve"> </w:t>
      </w:r>
      <w:r>
        <w:t xml:space="preserve">2245. Riduzione della solitudine percepita nelle persone con bassa alfabetizzazione sanitaria</w:t>
      </w:r>
      <w:r>
        <w:t xml:space="preserve"> </w:t>
      </w:r>
      <w:r>
        <w:t xml:space="preserve">Ramo: Migliore gestione delle malattie croniche</w:t>
      </w:r>
      <w:r>
        <w:t xml:space="preserve"> </w:t>
      </w:r>
      <w:r>
        <w:t xml:space="preserve">2246. Migliore gestione delle malattie croniche negli adulti in età lavorativa</w:t>
      </w:r>
      <w:r>
        <w:t xml:space="preserve"> </w:t>
      </w:r>
      <w:r>
        <w:t xml:space="preserve">2247. Migliore gestione delle malattie croniche negli adolescenti</w:t>
      </w:r>
      <w:r>
        <w:t xml:space="preserve"> </w:t>
      </w:r>
      <w:r>
        <w:t xml:space="preserve">2248. Migliore gestione delle malattie croniche nei bambini</w:t>
      </w:r>
      <w:r>
        <w:t xml:space="preserve"> </w:t>
      </w:r>
      <w:r>
        <w:t xml:space="preserve">2249. Migliore gestione delle malattie croniche negli anziani</w:t>
      </w:r>
      <w:r>
        <w:t xml:space="preserve"> </w:t>
      </w:r>
      <w:r>
        <w:t xml:space="preserve">2250. Migliore gestione delle malattie croniche nei grandi anziani</w:t>
      </w:r>
      <w:r>
        <w:t xml:space="preserve"> </w:t>
      </w:r>
      <w:r>
        <w:t xml:space="preserve">2251. Migliore gestione delle malattie croniche nelle donne in gravidanza</w:t>
      </w:r>
      <w:r>
        <w:t xml:space="preserve"> </w:t>
      </w:r>
      <w:r>
        <w:t xml:space="preserve">2252. Migliore gestione delle malattie croniche nelle donne nel post-partum</w:t>
      </w:r>
      <w:r>
        <w:t xml:space="preserve"> </w:t>
      </w:r>
      <w:r>
        <w:t xml:space="preserve">2253. Migliore gestione delle malattie croniche nei caregiver</w:t>
      </w:r>
      <w:r>
        <w:t xml:space="preserve"> </w:t>
      </w:r>
      <w:r>
        <w:t xml:space="preserve">2254. Migliore gestione delle malattie croniche nei pazienti con malattie croniche</w:t>
      </w:r>
      <w:r>
        <w:t xml:space="preserve"> </w:t>
      </w:r>
      <w:r>
        <w:t xml:space="preserve">2255. Migliore gestione delle malattie croniche nei pazienti con multimorbilità</w:t>
      </w:r>
      <w:r>
        <w:t xml:space="preserve"> </w:t>
      </w:r>
      <w:r>
        <w:t xml:space="preserve">2256. Migliore gestione delle malattie croniche nei pazienti oncologici</w:t>
      </w:r>
      <w:r>
        <w:t xml:space="preserve"> </w:t>
      </w:r>
      <w:r>
        <w:t xml:space="preserve">2257. Migliore gestione delle malattie croniche nelle persone con dolore cronico</w:t>
      </w:r>
      <w:r>
        <w:t xml:space="preserve"> </w:t>
      </w:r>
      <w:r>
        <w:t xml:space="preserve">2258. Migliore gestione delle malattie croniche nei pazienti diabetici</w:t>
      </w:r>
      <w:r>
        <w:t xml:space="preserve"> </w:t>
      </w:r>
      <w:r>
        <w:t xml:space="preserve">2259. Migliore gestione delle malattie croniche nei pazienti cardiopatici</w:t>
      </w:r>
      <w:r>
        <w:t xml:space="preserve"> </w:t>
      </w:r>
      <w:r>
        <w:t xml:space="preserve">2260. Migliore gestione delle malattie croniche nelle persone con disabilità</w:t>
      </w:r>
      <w:r>
        <w:t xml:space="preserve"> </w:t>
      </w:r>
      <w:r>
        <w:t xml:space="preserve">2261. Migliore gestione delle malattie croniche nei migranti e rifugiati</w:t>
      </w:r>
      <w:r>
        <w:t xml:space="preserve"> </w:t>
      </w:r>
      <w:r>
        <w:t xml:space="preserve">2262. Migliore gestione delle malattie croniche nelle persone in condizione di povertà</w:t>
      </w:r>
      <w:r>
        <w:t xml:space="preserve"> </w:t>
      </w:r>
      <w:r>
        <w:t xml:space="preserve">2263. Migliore gestione delle malattie croniche nelle persone senza dimora</w:t>
      </w:r>
      <w:r>
        <w:t xml:space="preserve"> </w:t>
      </w:r>
      <w:r>
        <w:t xml:space="preserve">2264. Migliore gestione delle malattie croniche nei disoccupati</w:t>
      </w:r>
      <w:r>
        <w:t xml:space="preserve"> </w:t>
      </w:r>
      <w:r>
        <w:t xml:space="preserve">2265. Migliore gestione delle malattie croniche nei lavoratori esposti a stress</w:t>
      </w:r>
      <w:r>
        <w:t xml:space="preserve"> </w:t>
      </w:r>
      <w:r>
        <w:t xml:space="preserve">2266. Migliore gestione delle malattie croniche negli studenti</w:t>
      </w:r>
      <w:r>
        <w:t xml:space="preserve"> </w:t>
      </w:r>
      <w:r>
        <w:t xml:space="preserve">2267. Migliore gestione delle malattie croniche nelle persone vittime di violenza</w:t>
      </w:r>
      <w:r>
        <w:t xml:space="preserve"> </w:t>
      </w:r>
      <w:r>
        <w:t xml:space="preserve">2268. Migliore gestione delle malattie croniche nelle persone in lutto</w:t>
      </w:r>
      <w:r>
        <w:t xml:space="preserve"> </w:t>
      </w:r>
      <w:r>
        <w:t xml:space="preserve">2269. Migliore gestione delle malattie croniche nelle persone con dipendenze</w:t>
      </w:r>
      <w:r>
        <w:t xml:space="preserve"> </w:t>
      </w:r>
      <w:r>
        <w:t xml:space="preserve">2270. Migliore gestione delle malattie croniche nei pazienti dopo un ricovero</w:t>
      </w:r>
      <w:r>
        <w:t xml:space="preserve"> </w:t>
      </w:r>
      <w:r>
        <w:t xml:space="preserve">2271. Migliore gestione delle malattie croniche nelle persone LGBTQ+</w:t>
      </w:r>
      <w:r>
        <w:t xml:space="preserve"> </w:t>
      </w:r>
      <w:r>
        <w:t xml:space="preserve">2272. Migliore gestione delle malattie croniche nelle persone delle aree interne e remote</w:t>
      </w:r>
      <w:r>
        <w:t xml:space="preserve"> </w:t>
      </w:r>
      <w:r>
        <w:t xml:space="preserve">58Psicologo di Base · Metodologia apicale e registro unificato delle variabili</w:t>
      </w:r>
      <w:r>
        <w:t xml:space="preserve"> </w:t>
      </w:r>
      <w:r>
        <w:t xml:space="preserve">2273. Migliore gestione delle malattie croniche nelle persone con bassa alfabetizzazione sanitaria</w:t>
      </w:r>
      <w:r>
        <w:t xml:space="preserve"> </w:t>
      </w:r>
      <w:r>
        <w:t xml:space="preserve">Ramo: Riduzione del distress psicologico</w:t>
      </w:r>
      <w:r>
        <w:t xml:space="preserve"> </w:t>
      </w:r>
      <w:r>
        <w:t xml:space="preserve">2274. Riduzione del distress psicologico negli adulti in età lavorativa</w:t>
      </w:r>
      <w:r>
        <w:t xml:space="preserve"> </w:t>
      </w:r>
      <w:r>
        <w:t xml:space="preserve">2275. Riduzione del distress psicologico negli adolescenti</w:t>
      </w:r>
      <w:r>
        <w:t xml:space="preserve"> </w:t>
      </w:r>
      <w:r>
        <w:t xml:space="preserve">2276. Riduzione del distress psicologico nei bambini</w:t>
      </w:r>
      <w:r>
        <w:t xml:space="preserve"> </w:t>
      </w:r>
      <w:r>
        <w:t xml:space="preserve">2277. Riduzione del distress psicologico negli anziani</w:t>
      </w:r>
      <w:r>
        <w:t xml:space="preserve"> </w:t>
      </w:r>
      <w:r>
        <w:t xml:space="preserve">2278. Riduzione del distress psicologico nei grandi anziani</w:t>
      </w:r>
      <w:r>
        <w:t xml:space="preserve"> </w:t>
      </w:r>
      <w:r>
        <w:t xml:space="preserve">2279. Riduzione del distress psicologico nelle donne in gravidanza</w:t>
      </w:r>
      <w:r>
        <w:t xml:space="preserve"> </w:t>
      </w:r>
      <w:r>
        <w:t xml:space="preserve">2280. Riduzione del distress psicologico nelle donne nel post-partum</w:t>
      </w:r>
      <w:r>
        <w:t xml:space="preserve"> </w:t>
      </w:r>
      <w:r>
        <w:t xml:space="preserve">2281. Riduzione del distress psicologico nei caregiver</w:t>
      </w:r>
      <w:r>
        <w:t xml:space="preserve"> </w:t>
      </w:r>
      <w:r>
        <w:t xml:space="preserve">2282. Riduzione del distress psicologico nei pazienti con malattie croniche</w:t>
      </w:r>
      <w:r>
        <w:t xml:space="preserve"> </w:t>
      </w:r>
      <w:r>
        <w:t xml:space="preserve">2283. Riduzione del distress psicologico nei pazienti con multimorbilità</w:t>
      </w:r>
      <w:r>
        <w:t xml:space="preserve"> </w:t>
      </w:r>
      <w:r>
        <w:t xml:space="preserve">2284. Riduzione del distress psicologico nei pazienti oncologici</w:t>
      </w:r>
      <w:r>
        <w:t xml:space="preserve"> </w:t>
      </w:r>
      <w:r>
        <w:t xml:space="preserve">2285. Riduzione del distress psicologico nelle persone con dolore cronico</w:t>
      </w:r>
      <w:r>
        <w:t xml:space="preserve"> </w:t>
      </w:r>
      <w:r>
        <w:t xml:space="preserve">2286. Riduzione del distress psicologico nei pazienti diabetici</w:t>
      </w:r>
      <w:r>
        <w:t xml:space="preserve"> </w:t>
      </w:r>
      <w:r>
        <w:t xml:space="preserve">2287. Riduzione del distress psicologico nei pazienti cardiopatici</w:t>
      </w:r>
      <w:r>
        <w:t xml:space="preserve"> </w:t>
      </w:r>
      <w:r>
        <w:t xml:space="preserve">2288. Riduzione del distress psicologico nelle persone con disabilità</w:t>
      </w:r>
      <w:r>
        <w:t xml:space="preserve"> </w:t>
      </w:r>
      <w:r>
        <w:t xml:space="preserve">2289. Riduzione del distress psicologico nei migranti e rifugiati</w:t>
      </w:r>
      <w:r>
        <w:t xml:space="preserve"> </w:t>
      </w:r>
      <w:r>
        <w:t xml:space="preserve">2290. Riduzione del distress psicologico nelle persone in condizione di povertà</w:t>
      </w:r>
      <w:r>
        <w:t xml:space="preserve"> </w:t>
      </w:r>
      <w:r>
        <w:t xml:space="preserve">2291. Riduzione del distress psicologico nelle persone senza dimora</w:t>
      </w:r>
      <w:r>
        <w:t xml:space="preserve"> </w:t>
      </w:r>
      <w:r>
        <w:t xml:space="preserve">2292. Riduzione del distress psicologico nei disoccupati</w:t>
      </w:r>
      <w:r>
        <w:t xml:space="preserve"> </w:t>
      </w:r>
      <w:r>
        <w:t xml:space="preserve">2293. Riduzione del distress psicologico nei lavoratori esposti a stress</w:t>
      </w:r>
      <w:r>
        <w:t xml:space="preserve"> </w:t>
      </w:r>
      <w:r>
        <w:t xml:space="preserve">2294. Riduzione del distress psicologico negli studenti</w:t>
      </w:r>
      <w:r>
        <w:t xml:space="preserve"> </w:t>
      </w:r>
      <w:r>
        <w:t xml:space="preserve">2295. Riduzione del distress psicologico nelle persone vittime di violenza</w:t>
      </w:r>
      <w:r>
        <w:t xml:space="preserve"> </w:t>
      </w:r>
      <w:r>
        <w:t xml:space="preserve">2296. Riduzione del distress psicologico nelle persone in lutto</w:t>
      </w:r>
      <w:r>
        <w:t xml:space="preserve"> </w:t>
      </w:r>
      <w:r>
        <w:t xml:space="preserve">2297. Riduzione del distress psicologico nelle persone con dipendenze</w:t>
      </w:r>
      <w:r>
        <w:t xml:space="preserve"> </w:t>
      </w:r>
      <w:r>
        <w:t xml:space="preserve">2298. Riduzione del distress psicologico nei pazienti dopo un ricovero</w:t>
      </w:r>
      <w:r>
        <w:t xml:space="preserve"> </w:t>
      </w:r>
      <w:r>
        <w:t xml:space="preserve">2299. Riduzione del distress psicologico nelle persone LGBTQ+</w:t>
      </w:r>
      <w:r>
        <w:t xml:space="preserve"> </w:t>
      </w:r>
      <w:r>
        <w:t xml:space="preserve">2300. Riduzione del distress psicologico nelle persone delle aree interne e remote</w:t>
      </w:r>
      <w:r>
        <w:t xml:space="preserve"> </w:t>
      </w:r>
      <w:r>
        <w:t xml:space="preserve">2301. Riduzione del distress psicologico nelle persone con bassa alfabetizzazione sanitaria</w:t>
      </w:r>
      <w:r>
        <w:t xml:space="preserve"> </w:t>
      </w:r>
      <w:r>
        <w:t xml:space="preserve">Ramo: Aumento dell’aderenza ai percorsi di cura</w:t>
      </w:r>
      <w:r>
        <w:t xml:space="preserve"> </w:t>
      </w:r>
      <w:r>
        <w:t xml:space="preserve">2302. Aumento dell’aderenza ai percorsi di cura negli adulti in età lavorativa</w:t>
      </w:r>
      <w:r>
        <w:t xml:space="preserve"> </w:t>
      </w:r>
      <w:r>
        <w:t xml:space="preserve">2303. Aumento dell’aderenza ai percorsi di cura negli adolescenti</w:t>
      </w:r>
      <w:r>
        <w:t xml:space="preserve"> </w:t>
      </w:r>
      <w:r>
        <w:t xml:space="preserve">2304. Aumento dell’aderenza ai percorsi di cura nei bambini</w:t>
      </w:r>
      <w:r>
        <w:t xml:space="preserve"> </w:t>
      </w:r>
      <w:r>
        <w:t xml:space="preserve">2305. Aumento dell’aderenza ai percorsi di cura negli anziani</w:t>
      </w:r>
      <w:r>
        <w:t xml:space="preserve"> </w:t>
      </w:r>
      <w:r>
        <w:t xml:space="preserve">2306. Aumento dell’aderenza ai percorsi di cura nei grandi anziani</w:t>
      </w:r>
      <w:r>
        <w:t xml:space="preserve"> </w:t>
      </w:r>
      <w:r>
        <w:t xml:space="preserve">2307. Aumento dell’aderenza ai percorsi di cura nelle donne in gravidanza</w:t>
      </w:r>
      <w:r>
        <w:t xml:space="preserve"> </w:t>
      </w:r>
      <w:r>
        <w:t xml:space="preserve">2308. Aumento dell’aderenza ai percorsi di cura nelle donne nel post-partum</w:t>
      </w:r>
      <w:r>
        <w:t xml:space="preserve"> </w:t>
      </w:r>
      <w:r>
        <w:t xml:space="preserve">2309. Aumento dell’aderenza ai percorsi di cura nei caregiver</w:t>
      </w:r>
      <w:r>
        <w:t xml:space="preserve"> </w:t>
      </w:r>
      <w:r>
        <w:t xml:space="preserve">2310. Aumento dell’aderenza ai percorsi di cura nei pazienti con malattie croniche</w:t>
      </w:r>
      <w:r>
        <w:t xml:space="preserve"> </w:t>
      </w:r>
      <w:r>
        <w:t xml:space="preserve">2311. Aumento dell’aderenza ai percorsi di cura nei pazienti con multimorbilità</w:t>
      </w:r>
      <w:r>
        <w:t xml:space="preserve"> </w:t>
      </w:r>
      <w:r>
        <w:t xml:space="preserve">2312. Aumento dell’aderenza ai percorsi di cura nei pazienti oncologici</w:t>
      </w:r>
      <w:r>
        <w:t xml:space="preserve"> </w:t>
      </w:r>
      <w:r>
        <w:t xml:space="preserve">2313. Aumento dell’aderenza ai percorsi di cura nelle persone con dolore cronico</w:t>
      </w:r>
      <w:r>
        <w:t xml:space="preserve"> </w:t>
      </w:r>
      <w:r>
        <w:t xml:space="preserve">2314. Aumento dell’aderenza ai percorsi di cura nei pazienti diabetici</w:t>
      </w:r>
      <w:r>
        <w:t xml:space="preserve"> </w:t>
      </w:r>
      <w:r>
        <w:t xml:space="preserve">2315. Aumento dell’aderenza ai percorsi di cura nei pazienti cardiopatici</w:t>
      </w:r>
      <w:r>
        <w:t xml:space="preserve"> </w:t>
      </w:r>
      <w:r>
        <w:t xml:space="preserve">2316. Aumento dell’aderenza ai percorsi di cura nelle persone con disabilità</w:t>
      </w:r>
      <w:r>
        <w:t xml:space="preserve"> </w:t>
      </w:r>
      <w:r>
        <w:t xml:space="preserve">2317. Aumento dell’aderenza ai percorsi di cura nei migranti e rifugiati</w:t>
      </w:r>
      <w:r>
        <w:t xml:space="preserve"> </w:t>
      </w:r>
      <w:r>
        <w:t xml:space="preserve">2318. Aumento dell’aderenza ai percorsi di cura nelle persone in condizione di povertà</w:t>
      </w:r>
      <w:r>
        <w:t xml:space="preserve"> </w:t>
      </w:r>
      <w:r>
        <w:t xml:space="preserve">2319. Aumento dell’aderenza ai percorsi di cura nelle persone senza dimora</w:t>
      </w:r>
      <w:r>
        <w:t xml:space="preserve"> </w:t>
      </w:r>
      <w:r>
        <w:t xml:space="preserve">59Psicologo di Base · Metodologia apicale e registro unificato delle variabili</w:t>
      </w:r>
      <w:r>
        <w:t xml:space="preserve"> </w:t>
      </w:r>
      <w:r>
        <w:t xml:space="preserve">2320. Aumento dell’aderenza ai percorsi di cura nei disoccupati</w:t>
      </w:r>
      <w:r>
        <w:t xml:space="preserve"> </w:t>
      </w:r>
      <w:r>
        <w:t xml:space="preserve">2321. Aumento dell’aderenza ai percorsi di cura nei lavoratori esposti a stress</w:t>
      </w:r>
      <w:r>
        <w:t xml:space="preserve"> </w:t>
      </w:r>
      <w:r>
        <w:t xml:space="preserve">2322. Aumento dell’aderenza ai percorsi di cura negli studenti</w:t>
      </w:r>
      <w:r>
        <w:t xml:space="preserve"> </w:t>
      </w:r>
      <w:r>
        <w:t xml:space="preserve">2323. Aumento dell’aderenza ai percorsi di cura nelle persone vittime di violenza</w:t>
      </w:r>
      <w:r>
        <w:t xml:space="preserve"> </w:t>
      </w:r>
      <w:r>
        <w:t xml:space="preserve">2324. Aumento dell’aderenza ai percorsi di cura nelle persone in lutto</w:t>
      </w:r>
      <w:r>
        <w:t xml:space="preserve"> </w:t>
      </w:r>
      <w:r>
        <w:t xml:space="preserve">2325. Aumento dell’aderenza ai percorsi di cura nelle persone con dipendenze</w:t>
      </w:r>
      <w:r>
        <w:t xml:space="preserve"> </w:t>
      </w:r>
      <w:r>
        <w:t xml:space="preserve">2326. Aumento dell’aderenza ai percorsi di cura nei pazienti dopo un ricovero</w:t>
      </w:r>
      <w:r>
        <w:t xml:space="preserve"> </w:t>
      </w:r>
      <w:r>
        <w:t xml:space="preserve">2327. Aumento dell’aderenza ai percorsi di cura nelle persone LGBTQ+</w:t>
      </w:r>
      <w:r>
        <w:t xml:space="preserve"> </w:t>
      </w:r>
      <w:r>
        <w:t xml:space="preserve">2328. Aumento dell’aderenza ai percorsi di cura nelle persone delle aree interne e remote</w:t>
      </w:r>
      <w:r>
        <w:t xml:space="preserve"> </w:t>
      </w:r>
      <w:r>
        <w:t xml:space="preserve">2329. Aumento dell’aderenza ai percorsi di cura nelle persone con bassa alfabetizzazione sanitaria</w:t>
      </w:r>
      <w:r>
        <w:t xml:space="preserve"> </w:t>
      </w:r>
      <w:r>
        <w:t xml:space="preserve">Ramo: Riduzione dei comportamenti a rischio</w:t>
      </w:r>
      <w:r>
        <w:t xml:space="preserve"> </w:t>
      </w:r>
      <w:r>
        <w:t xml:space="preserve">2330. Riduzione dei comportamenti a rischio negli adulti in età lavorativa</w:t>
      </w:r>
      <w:r>
        <w:t xml:space="preserve"> </w:t>
      </w:r>
      <w:r>
        <w:t xml:space="preserve">2331. Riduzione dei comportamenti a rischio negli adolescenti</w:t>
      </w:r>
      <w:r>
        <w:t xml:space="preserve"> </w:t>
      </w:r>
      <w:r>
        <w:t xml:space="preserve">2332. Riduzione dei comportamenti a rischio nei bambini</w:t>
      </w:r>
      <w:r>
        <w:t xml:space="preserve"> </w:t>
      </w:r>
      <w:r>
        <w:t xml:space="preserve">2333. Riduzione dei comportamenti a rischio negli anziani</w:t>
      </w:r>
      <w:r>
        <w:t xml:space="preserve"> </w:t>
      </w:r>
      <w:r>
        <w:t xml:space="preserve">2334. Riduzione dei comportamenti a rischio nei grandi anziani</w:t>
      </w:r>
      <w:r>
        <w:t xml:space="preserve"> </w:t>
      </w:r>
      <w:r>
        <w:t xml:space="preserve">2335. Riduzione dei comportamenti a rischio nelle donne in gravidanza</w:t>
      </w:r>
      <w:r>
        <w:t xml:space="preserve"> </w:t>
      </w:r>
      <w:r>
        <w:t xml:space="preserve">2336. Riduzione dei comportamenti a rischio nelle donne nel post-partum</w:t>
      </w:r>
      <w:r>
        <w:t xml:space="preserve"> </w:t>
      </w:r>
      <w:r>
        <w:t xml:space="preserve">2337. Riduzione dei comportamenti a rischio nei caregiver</w:t>
      </w:r>
      <w:r>
        <w:t xml:space="preserve"> </w:t>
      </w:r>
      <w:r>
        <w:t xml:space="preserve">2338. Riduzione dei comportamenti a rischio nei pazienti con malattie croniche</w:t>
      </w:r>
      <w:r>
        <w:t xml:space="preserve"> </w:t>
      </w:r>
      <w:r>
        <w:t xml:space="preserve">2339. Riduzione dei comportamenti a rischio nei pazienti con multimorbilità</w:t>
      </w:r>
      <w:r>
        <w:t xml:space="preserve"> </w:t>
      </w:r>
      <w:r>
        <w:t xml:space="preserve">2340. Riduzione dei comportamenti a rischio nei pazienti oncologici</w:t>
      </w:r>
      <w:r>
        <w:t xml:space="preserve"> </w:t>
      </w:r>
      <w:r>
        <w:t xml:space="preserve">2341. Riduzione dei comportamenti a rischio nelle persone con dolore cronico</w:t>
      </w:r>
      <w:r>
        <w:t xml:space="preserve"> </w:t>
      </w:r>
      <w:r>
        <w:t xml:space="preserve">2342. Riduzione dei comportamenti a rischio nei pazienti diabetici</w:t>
      </w:r>
      <w:r>
        <w:t xml:space="preserve"> </w:t>
      </w:r>
      <w:r>
        <w:t xml:space="preserve">2343. Riduzione dei comportamenti a rischio nei pazienti cardiopatici</w:t>
      </w:r>
      <w:r>
        <w:t xml:space="preserve"> </w:t>
      </w:r>
      <w:r>
        <w:t xml:space="preserve">2344. Riduzione dei comportamenti a rischio nelle persone con disabilità</w:t>
      </w:r>
      <w:r>
        <w:t xml:space="preserve"> </w:t>
      </w:r>
      <w:r>
        <w:t xml:space="preserve">2345. Riduzione dei comportamenti a rischio nei migranti e rifugiati</w:t>
      </w:r>
      <w:r>
        <w:t xml:space="preserve"> </w:t>
      </w:r>
      <w:r>
        <w:t xml:space="preserve">2346. Riduzione dei comportamenti a rischio nelle persone in condizione di povertà</w:t>
      </w:r>
      <w:r>
        <w:t xml:space="preserve"> </w:t>
      </w:r>
      <w:r>
        <w:t xml:space="preserve">2347. Riduzione dei comportamenti a rischio nelle persone senza dimora</w:t>
      </w:r>
      <w:r>
        <w:t xml:space="preserve"> </w:t>
      </w:r>
      <w:r>
        <w:t xml:space="preserve">2348. Riduzione dei comportamenti a rischio nei disoccupati</w:t>
      </w:r>
      <w:r>
        <w:t xml:space="preserve"> </w:t>
      </w:r>
      <w:r>
        <w:t xml:space="preserve">2349. Riduzione dei comportamenti a rischio nei lavoratori esposti a stress</w:t>
      </w:r>
      <w:r>
        <w:t xml:space="preserve"> </w:t>
      </w:r>
      <w:r>
        <w:t xml:space="preserve">2350. Riduzione dei comportamenti a rischio negli studenti</w:t>
      </w:r>
      <w:r>
        <w:t xml:space="preserve"> </w:t>
      </w:r>
      <w:r>
        <w:t xml:space="preserve">2351. Riduzione dei comportamenti a rischio nelle persone vittime di violenza</w:t>
      </w:r>
      <w:r>
        <w:t xml:space="preserve"> </w:t>
      </w:r>
      <w:r>
        <w:t xml:space="preserve">2352. Riduzione dei comportamenti a rischio nelle persone in lutto</w:t>
      </w:r>
      <w:r>
        <w:t xml:space="preserve"> </w:t>
      </w:r>
      <w:r>
        <w:t xml:space="preserve">2353. Riduzione dei comportamenti a rischio nelle persone con dipendenze</w:t>
      </w:r>
      <w:r>
        <w:t xml:space="preserve"> </w:t>
      </w:r>
      <w:r>
        <w:t xml:space="preserve">2354. Riduzione dei comportamenti a rischio nei pazienti dopo un ricovero</w:t>
      </w:r>
      <w:r>
        <w:t xml:space="preserve"> </w:t>
      </w:r>
      <w:r>
        <w:t xml:space="preserve">2355. Riduzione dei comportamenti a rischio nelle persone LGBTQ+</w:t>
      </w:r>
      <w:r>
        <w:t xml:space="preserve"> </w:t>
      </w:r>
      <w:r>
        <w:t xml:space="preserve">2356. Riduzione dei comportamenti a rischio nelle persone delle aree interne e remote</w:t>
      </w:r>
      <w:r>
        <w:t xml:space="preserve"> </w:t>
      </w:r>
      <w:r>
        <w:t xml:space="preserve">2357. Riduzione dei comportamenti a rischio nelle persone con bassa alfabetizzazione sanitaria</w:t>
      </w:r>
      <w:r>
        <w:t xml:space="preserve"> </w:t>
      </w:r>
      <w:r>
        <w:t xml:space="preserve">Ramo: Miglioramento della salute percepita</w:t>
      </w:r>
      <w:r>
        <w:t xml:space="preserve"> </w:t>
      </w:r>
      <w:r>
        <w:t xml:space="preserve">2358. Miglioramento della salute percepita negli adulti in età lavorativa</w:t>
      </w:r>
      <w:r>
        <w:t xml:space="preserve"> </w:t>
      </w:r>
      <w:r>
        <w:t xml:space="preserve">2359. Miglioramento della salute percepita negli adolescenti</w:t>
      </w:r>
      <w:r>
        <w:t xml:space="preserve"> </w:t>
      </w:r>
      <w:r>
        <w:t xml:space="preserve">2360. Miglioramento della salute percepita nei bambini</w:t>
      </w:r>
      <w:r>
        <w:t xml:space="preserve"> </w:t>
      </w:r>
      <w:r>
        <w:t xml:space="preserve">2361. Miglioramento della salute percepita negli anziani</w:t>
      </w:r>
      <w:r>
        <w:t xml:space="preserve"> </w:t>
      </w:r>
      <w:r>
        <w:t xml:space="preserve">2362. Miglioramento della salute percepita nei grandi anziani</w:t>
      </w:r>
      <w:r>
        <w:t xml:space="preserve"> </w:t>
      </w:r>
      <w:r>
        <w:t xml:space="preserve">2363. Miglioramento della salute percepita nelle donne in gravidanza</w:t>
      </w:r>
      <w:r>
        <w:t xml:space="preserve"> </w:t>
      </w:r>
      <w:r>
        <w:t xml:space="preserve">2364. Miglioramento della salute percepita nelle donne nel post-partum</w:t>
      </w:r>
      <w:r>
        <w:t xml:space="preserve"> </w:t>
      </w:r>
      <w:r>
        <w:t xml:space="preserve">2365. Miglioramento della salute percepita nei caregiver</w:t>
      </w:r>
      <w:r>
        <w:t xml:space="preserve"> </w:t>
      </w:r>
      <w:r>
        <w:t xml:space="preserve">2366. Miglioramento della salute percepita nei pazienti con malattie croniche</w:t>
      </w:r>
      <w:r>
        <w:t xml:space="preserve"> </w:t>
      </w:r>
      <w:r>
        <w:t xml:space="preserve">60Psicologo di Base · Metodologia apicale e registro unificato delle variabili</w:t>
      </w:r>
      <w:r>
        <w:t xml:space="preserve"> </w:t>
      </w:r>
      <w:r>
        <w:t xml:space="preserve">2367. Miglioramento della salute percepita nei pazienti con multimorbilità</w:t>
      </w:r>
      <w:r>
        <w:t xml:space="preserve"> </w:t>
      </w:r>
      <w:r>
        <w:t xml:space="preserve">2368. Miglioramento della salute percepita nei pazienti oncologici</w:t>
      </w:r>
      <w:r>
        <w:t xml:space="preserve"> </w:t>
      </w:r>
      <w:r>
        <w:t xml:space="preserve">2369. Miglioramento della salute percepita nelle persone con dolore cronico</w:t>
      </w:r>
      <w:r>
        <w:t xml:space="preserve"> </w:t>
      </w:r>
      <w:r>
        <w:t xml:space="preserve">2370. Miglioramento della salute percepita nei pazienti diabetici</w:t>
      </w:r>
      <w:r>
        <w:t xml:space="preserve"> </w:t>
      </w:r>
      <w:r>
        <w:t xml:space="preserve">2371. Miglioramento della salute percepita nei pazienti cardiopatici</w:t>
      </w:r>
      <w:r>
        <w:t xml:space="preserve"> </w:t>
      </w:r>
      <w:r>
        <w:t xml:space="preserve">2372. Miglioramento della salute percepita nelle persone con disabilità</w:t>
      </w:r>
      <w:r>
        <w:t xml:space="preserve"> </w:t>
      </w:r>
      <w:r>
        <w:t xml:space="preserve">2373. Miglioramento della salute percepita nei migranti e rifugiati</w:t>
      </w:r>
      <w:r>
        <w:t xml:space="preserve"> </w:t>
      </w:r>
      <w:r>
        <w:t xml:space="preserve">2374. Miglioramento della salute percepita nelle persone in condizione di povertà</w:t>
      </w:r>
      <w:r>
        <w:t xml:space="preserve"> </w:t>
      </w:r>
      <w:r>
        <w:t xml:space="preserve">2375. Miglioramento della salute percepita nelle persone senza dimora</w:t>
      </w:r>
      <w:r>
        <w:t xml:space="preserve"> </w:t>
      </w:r>
      <w:r>
        <w:t xml:space="preserve">2376. Miglioramento della salute percepita nei disoccupati</w:t>
      </w:r>
      <w:r>
        <w:t xml:space="preserve"> </w:t>
      </w:r>
      <w:r>
        <w:t xml:space="preserve">2377. Miglioramento della salute percepita nei lavoratori esposti a stress</w:t>
      </w:r>
      <w:r>
        <w:t xml:space="preserve"> </w:t>
      </w:r>
      <w:r>
        <w:t xml:space="preserve">2378. Miglioramento della salute percepita negli studenti</w:t>
      </w:r>
      <w:r>
        <w:t xml:space="preserve"> </w:t>
      </w:r>
      <w:r>
        <w:t xml:space="preserve">2379. Miglioramento della salute percepita nelle persone vittime di violenza</w:t>
      </w:r>
      <w:r>
        <w:t xml:space="preserve"> </w:t>
      </w:r>
      <w:r>
        <w:t xml:space="preserve">2380. Miglioramento della salute percepita nelle persone in lutto</w:t>
      </w:r>
      <w:r>
        <w:t xml:space="preserve"> </w:t>
      </w:r>
      <w:r>
        <w:t xml:space="preserve">2381. Miglioramento della salute percepita nelle persone con dipendenze</w:t>
      </w:r>
      <w:r>
        <w:t xml:space="preserve"> </w:t>
      </w:r>
      <w:r>
        <w:t xml:space="preserve">2382. Miglioramento della salute percepita nei pazienti dopo un ricovero</w:t>
      </w:r>
      <w:r>
        <w:t xml:space="preserve"> </w:t>
      </w:r>
      <w:r>
        <w:t xml:space="preserve">2383. Miglioramento della salute percepita nelle persone LGBTQ+</w:t>
      </w:r>
      <w:r>
        <w:t xml:space="preserve"> </w:t>
      </w:r>
      <w:r>
        <w:t xml:space="preserve">2384. Miglioramento della salute percepita nelle persone delle aree interne e remote</w:t>
      </w:r>
      <w:r>
        <w:t xml:space="preserve"> </w:t>
      </w:r>
      <w:r>
        <w:t xml:space="preserve">2385. Miglioramento della salute percepita nelle persone con bassa alfabetizzazione sanitaria</w:t>
      </w:r>
      <w:r>
        <w:t xml:space="preserve"> </w:t>
      </w:r>
      <w:r>
        <w:t xml:space="preserve">Ramo: Aumento della partecipazione sociale</w:t>
      </w:r>
      <w:r>
        <w:t xml:space="preserve"> </w:t>
      </w:r>
      <w:r>
        <w:t xml:space="preserve">2386. Aumento della partecipazione sociale negli adulti in età lavorativa</w:t>
      </w:r>
      <w:r>
        <w:t xml:space="preserve"> </w:t>
      </w:r>
      <w:r>
        <w:t xml:space="preserve">2387. Aumento della partecipazione sociale negli adolescenti</w:t>
      </w:r>
      <w:r>
        <w:t xml:space="preserve"> </w:t>
      </w:r>
      <w:r>
        <w:t xml:space="preserve">2388. Aumento della partecipazione sociale nei bambini</w:t>
      </w:r>
      <w:r>
        <w:t xml:space="preserve"> </w:t>
      </w:r>
      <w:r>
        <w:t xml:space="preserve">2389. Aumento della partecipazione sociale negli anziani</w:t>
      </w:r>
      <w:r>
        <w:t xml:space="preserve"> </w:t>
      </w:r>
      <w:r>
        <w:t xml:space="preserve">2390. Aumento della partecipazione sociale nei grandi anziani</w:t>
      </w:r>
      <w:r>
        <w:t xml:space="preserve"> </w:t>
      </w:r>
      <w:r>
        <w:t xml:space="preserve">2391. Aumento della partecipazione sociale nelle donne in gravidanza</w:t>
      </w:r>
      <w:r>
        <w:t xml:space="preserve"> </w:t>
      </w:r>
      <w:r>
        <w:t xml:space="preserve">2392. Aumento della partecipazione sociale nelle donne nel post-partum</w:t>
      </w:r>
      <w:r>
        <w:t xml:space="preserve"> </w:t>
      </w:r>
      <w:r>
        <w:t xml:space="preserve">2393. Aumento della partecipazione sociale nei caregiver</w:t>
      </w:r>
      <w:r>
        <w:t xml:space="preserve"> </w:t>
      </w:r>
      <w:r>
        <w:t xml:space="preserve">2394. Aumento della partecipazione sociale nei pazienti con malattie croniche</w:t>
      </w:r>
      <w:r>
        <w:t xml:space="preserve"> </w:t>
      </w:r>
      <w:r>
        <w:t xml:space="preserve">2395. Aumento della partecipazione sociale nei pazienti con multimorbilità</w:t>
      </w:r>
      <w:r>
        <w:t xml:space="preserve"> </w:t>
      </w:r>
      <w:r>
        <w:t xml:space="preserve">2396. Aumento della partecipazione sociale nei pazienti oncologici</w:t>
      </w:r>
      <w:r>
        <w:t xml:space="preserve"> </w:t>
      </w:r>
      <w:r>
        <w:t xml:space="preserve">2397. Aumento della partecipazione sociale nelle persone con dolore cronico</w:t>
      </w:r>
      <w:r>
        <w:t xml:space="preserve"> </w:t>
      </w:r>
      <w:r>
        <w:t xml:space="preserve">2398. Aumento della partecipazione sociale nei pazienti diabetici</w:t>
      </w:r>
      <w:r>
        <w:t xml:space="preserve"> </w:t>
      </w:r>
      <w:r>
        <w:t xml:space="preserve">2399. Aumento della partecipazione sociale nei pazienti cardiopatici</w:t>
      </w:r>
      <w:r>
        <w:t xml:space="preserve"> </w:t>
      </w:r>
      <w:r>
        <w:t xml:space="preserve">2400. Aumento della partecipazione sociale nelle persone con disabilità</w:t>
      </w:r>
      <w:r>
        <w:t xml:space="preserve"> </w:t>
      </w:r>
      <w:r>
        <w:t xml:space="preserve">2401. Aumento della partecipazione sociale nei migranti e rifugiati</w:t>
      </w:r>
      <w:r>
        <w:t xml:space="preserve"> </w:t>
      </w:r>
      <w:r>
        <w:t xml:space="preserve">2402. Aumento della partecipazione sociale nelle persone in condizione di povertà</w:t>
      </w:r>
      <w:r>
        <w:t xml:space="preserve"> </w:t>
      </w:r>
      <w:r>
        <w:t xml:space="preserve">2403. Aumento della partecipazione sociale nelle persone senza dimora</w:t>
      </w:r>
      <w:r>
        <w:t xml:space="preserve"> </w:t>
      </w:r>
      <w:r>
        <w:t xml:space="preserve">2404. Aumento della partecipazione sociale nei disoccupati</w:t>
      </w:r>
      <w:r>
        <w:t xml:space="preserve"> </w:t>
      </w:r>
      <w:r>
        <w:t xml:space="preserve">2405. Aumento della partecipazione sociale nei lavoratori esposti a stress</w:t>
      </w:r>
      <w:r>
        <w:t xml:space="preserve"> </w:t>
      </w:r>
      <w:r>
        <w:t xml:space="preserve">2406. Aumento della partecipazione sociale negli studenti</w:t>
      </w:r>
      <w:r>
        <w:t xml:space="preserve"> </w:t>
      </w:r>
      <w:r>
        <w:t xml:space="preserve">2407. Aumento della partecipazione sociale nelle persone vittime di violenza</w:t>
      </w:r>
      <w:r>
        <w:t xml:space="preserve"> </w:t>
      </w:r>
      <w:r>
        <w:t xml:space="preserve">2408. Aumento della partecipazione sociale nelle persone in lutto</w:t>
      </w:r>
      <w:r>
        <w:t xml:space="preserve"> </w:t>
      </w:r>
      <w:r>
        <w:t xml:space="preserve">2409. Aumento della partecipazione sociale nelle persone con dipendenze</w:t>
      </w:r>
      <w:r>
        <w:t xml:space="preserve"> </w:t>
      </w:r>
      <w:r>
        <w:t xml:space="preserve">2410. Aumento della partecipazione sociale nei pazienti dopo un ricovero</w:t>
      </w:r>
      <w:r>
        <w:t xml:space="preserve"> </w:t>
      </w:r>
      <w:r>
        <w:t xml:space="preserve">2411. Aumento della partecipazione sociale nelle persone LGBTQ+</w:t>
      </w:r>
      <w:r>
        <w:t xml:space="preserve"> </w:t>
      </w:r>
      <w:r>
        <w:t xml:space="preserve">2412. Aumento della partecipazione sociale nelle persone delle aree interne e remote</w:t>
      </w:r>
      <w:r>
        <w:t xml:space="preserve"> </w:t>
      </w:r>
      <w:r>
        <w:t xml:space="preserve">2413. Aumento della partecipazione sociale nelle persone con bassa alfabetizzazione sanitaria</w:t>
      </w:r>
      <w:r>
        <w:t xml:space="preserve"> </w:t>
      </w:r>
      <w:r>
        <w:t xml:space="preserve">61Psicologo di Base · Metodologia apicale e registro unificato delle variabili</w:t>
      </w:r>
      <w:r>
        <w:t xml:space="preserve"> </w:t>
      </w:r>
      <w:r>
        <w:t xml:space="preserve">Ramo: Riduzione dell’uso inappropriato dei servizi sanitari</w:t>
      </w:r>
      <w:r>
        <w:t xml:space="preserve"> </w:t>
      </w:r>
      <w:r>
        <w:t xml:space="preserve">2414. Riduzione dell’uso inappropriato dei servizi sanitari negli adulti in età lavorativa</w:t>
      </w:r>
      <w:r>
        <w:t xml:space="preserve"> </w:t>
      </w:r>
      <w:r>
        <w:t xml:space="preserve">2415. Riduzione dell’uso inappropriato dei servizi sanitari negli adolescenti</w:t>
      </w:r>
      <w:r>
        <w:t xml:space="preserve"> </w:t>
      </w:r>
      <w:r>
        <w:t xml:space="preserve">2416. Riduzione dell’uso inappropriato dei servizi sanitari nei bambini</w:t>
      </w:r>
      <w:r>
        <w:t xml:space="preserve"> </w:t>
      </w:r>
      <w:r>
        <w:t xml:space="preserve">2417. Riduzione dell’uso inappropriato dei servizi sanitari negli anziani</w:t>
      </w:r>
      <w:r>
        <w:t xml:space="preserve"> </w:t>
      </w:r>
      <w:r>
        <w:t xml:space="preserve">2418. Riduzione dell’uso inappropriato dei servizi sanitari nei grandi anziani</w:t>
      </w:r>
      <w:r>
        <w:t xml:space="preserve"> </w:t>
      </w:r>
      <w:r>
        <w:t xml:space="preserve">2419. Riduzione dell’uso inappropriato dei servizi sanitari nelle donne in gravidanza</w:t>
      </w:r>
      <w:r>
        <w:t xml:space="preserve"> </w:t>
      </w:r>
      <w:r>
        <w:t xml:space="preserve">2420. Riduzione dell’uso inappropriato dei servizi sanitari nelle donne nel post-partum</w:t>
      </w:r>
      <w:r>
        <w:t xml:space="preserve"> </w:t>
      </w:r>
      <w:r>
        <w:t xml:space="preserve">2421. Riduzione dell’uso inappropriato dei servizi sanitari nei caregiver</w:t>
      </w:r>
      <w:r>
        <w:t xml:space="preserve"> </w:t>
      </w:r>
      <w:r>
        <w:t xml:space="preserve">2422. Riduzione dell’uso inappropriato dei servizi sanitari nei pazienti con malattie croniche</w:t>
      </w:r>
      <w:r>
        <w:t xml:space="preserve"> </w:t>
      </w:r>
      <w:r>
        <w:t xml:space="preserve">2423. Riduzione dell’uso inappropriato dei servizi sanitari nei pazienti con multimorbilità</w:t>
      </w:r>
      <w:r>
        <w:t xml:space="preserve"> </w:t>
      </w:r>
      <w:r>
        <w:t xml:space="preserve">2424. Riduzione dell’uso inappropriato dei servizi sanitari nei pazienti oncologici</w:t>
      </w:r>
      <w:r>
        <w:t xml:space="preserve"> </w:t>
      </w:r>
      <w:r>
        <w:t xml:space="preserve">2425. Riduzione dell’uso inappropriato dei servizi sanitari nelle persone con dolore cronico</w:t>
      </w:r>
      <w:r>
        <w:t xml:space="preserve"> </w:t>
      </w:r>
      <w:r>
        <w:t xml:space="preserve">2426. Riduzione dell’uso inappropriato dei servizi sanitari nei pazienti diabetici</w:t>
      </w:r>
      <w:r>
        <w:t xml:space="preserve"> </w:t>
      </w:r>
      <w:r>
        <w:t xml:space="preserve">2427. Riduzione dell’uso inappropriato dei servizi sanitari nei pazienti cardiopatici</w:t>
      </w:r>
      <w:r>
        <w:t xml:space="preserve"> </w:t>
      </w:r>
      <w:r>
        <w:t xml:space="preserve">2428. Riduzione dell’uso inappropriato dei servizi sanitari nelle persone con disabilità</w:t>
      </w:r>
      <w:r>
        <w:t xml:space="preserve"> </w:t>
      </w:r>
      <w:r>
        <w:t xml:space="preserve">2429. Riduzione dell’uso inappropriato dei servizi sanitari nei migranti e rifugiati</w:t>
      </w:r>
      <w:r>
        <w:t xml:space="preserve"> </w:t>
      </w:r>
      <w:r>
        <w:t xml:space="preserve">2430. Riduzione dell’uso inappropriato dei servizi sanitari nelle persone in condizione di povertà</w:t>
      </w:r>
      <w:r>
        <w:t xml:space="preserve"> </w:t>
      </w:r>
      <w:r>
        <w:t xml:space="preserve">2431. Riduzione dell’uso inappropriato dei servizi sanitari nelle persone senza dimora</w:t>
      </w:r>
      <w:r>
        <w:t xml:space="preserve"> </w:t>
      </w:r>
      <w:r>
        <w:t xml:space="preserve">2432. Riduzione dell’uso inappropriato dei servizi sanitari nei disoccupati</w:t>
      </w:r>
      <w:r>
        <w:t xml:space="preserve"> </w:t>
      </w:r>
      <w:r>
        <w:t xml:space="preserve">2433. Riduzione dell’uso inappropriato dei servizi sanitari nei lavoratori esposti a stress</w:t>
      </w:r>
      <w:r>
        <w:t xml:space="preserve"> </w:t>
      </w:r>
      <w:r>
        <w:t xml:space="preserve">2434. Riduzione dell’uso inappropriato dei servizi sanitari negli studenti</w:t>
      </w:r>
      <w:r>
        <w:t xml:space="preserve"> </w:t>
      </w:r>
      <w:r>
        <w:t xml:space="preserve">2435. Riduzione dell’uso inappropriato dei servizi sanitari nelle persone vittime di violenza</w:t>
      </w:r>
      <w:r>
        <w:t xml:space="preserve"> </w:t>
      </w:r>
      <w:r>
        <w:t xml:space="preserve">2436. Riduzione dell’uso inappropriato dei servizi sanitari nelle persone in lutto</w:t>
      </w:r>
      <w:r>
        <w:t xml:space="preserve"> </w:t>
      </w:r>
      <w:r>
        <w:t xml:space="preserve">2437. Riduzione dell’uso inappropriato dei servizi sanitari nelle persone con dipendenze</w:t>
      </w:r>
      <w:r>
        <w:t xml:space="preserve"> </w:t>
      </w:r>
      <w:r>
        <w:t xml:space="preserve">2438. Riduzione dell’uso inappropriato dei servizi sanitari nei pazienti dopo un ricovero</w:t>
      </w:r>
      <w:r>
        <w:t xml:space="preserve"> </w:t>
      </w:r>
      <w:r>
        <w:t xml:space="preserve">2439. Riduzione dell’uso inappropriato dei servizi sanitari nelle persone LGBTQ+</w:t>
      </w:r>
      <w:r>
        <w:t xml:space="preserve"> </w:t>
      </w:r>
      <w:r>
        <w:t xml:space="preserve">2440. Riduzione dell’uso inappropriato dei servizi sanitari nelle persone delle aree interne e remote</w:t>
      </w:r>
      <w:r>
        <w:t xml:space="preserve"> </w:t>
      </w:r>
      <w:r>
        <w:t xml:space="preserve">2441. Riduzione dell’uso inappropriato dei servizi sanitari nelle persone con bassa alfabetizzazione</w:t>
      </w:r>
      <w:r>
        <w:t xml:space="preserve"> </w:t>
      </w:r>
      <w:r>
        <w:t xml:space="preserve">sanitaria</w:t>
      </w:r>
      <w:r>
        <w:t xml:space="preserve"> </w:t>
      </w:r>
      <w:r>
        <w:t xml:space="preserve">Ramo: Miglioramento del benessere familiare</w:t>
      </w:r>
      <w:r>
        <w:t xml:space="preserve"> </w:t>
      </w:r>
      <w:r>
        <w:t xml:space="preserve">2442. Miglioramento del benessere familiare negli adulti in età lavorativa</w:t>
      </w:r>
      <w:r>
        <w:t xml:space="preserve"> </w:t>
      </w:r>
      <w:r>
        <w:t xml:space="preserve">2443. Miglioramento del benessere familiare negli adolescenti</w:t>
      </w:r>
      <w:r>
        <w:t xml:space="preserve"> </w:t>
      </w:r>
      <w:r>
        <w:t xml:space="preserve">2444. Miglioramento del benessere familiare nei bambini</w:t>
      </w:r>
      <w:r>
        <w:t xml:space="preserve"> </w:t>
      </w:r>
      <w:r>
        <w:t xml:space="preserve">2445. Miglioramento del benessere familiare negli anziani</w:t>
      </w:r>
      <w:r>
        <w:t xml:space="preserve"> </w:t>
      </w:r>
      <w:r>
        <w:t xml:space="preserve">2446. Miglioramento del benessere familiare nei grandi anziani</w:t>
      </w:r>
      <w:r>
        <w:t xml:space="preserve"> </w:t>
      </w:r>
      <w:r>
        <w:t xml:space="preserve">2447. Miglioramento del benessere familiare nelle donne in gravidanza</w:t>
      </w:r>
      <w:r>
        <w:t xml:space="preserve"> </w:t>
      </w:r>
      <w:r>
        <w:t xml:space="preserve">2448. Miglioramento del benessere familiare nelle donne nel post-partum</w:t>
      </w:r>
      <w:r>
        <w:t xml:space="preserve"> </w:t>
      </w:r>
      <w:r>
        <w:t xml:space="preserve">2449. Miglioramento del benessere familiare nei caregiver</w:t>
      </w:r>
      <w:r>
        <w:t xml:space="preserve"> </w:t>
      </w:r>
      <w:r>
        <w:t xml:space="preserve">2450. Miglioramento del benessere familiare nei pazienti con malattie croniche</w:t>
      </w:r>
      <w:r>
        <w:t xml:space="preserve"> </w:t>
      </w:r>
      <w:r>
        <w:t xml:space="preserve">2451. Miglioramento del benessere familiare nei pazienti con multimorbilità</w:t>
      </w:r>
      <w:r>
        <w:t xml:space="preserve"> </w:t>
      </w:r>
      <w:r>
        <w:t xml:space="preserve">2452. Miglioramento del benessere familiare nei pazienti oncologici</w:t>
      </w:r>
      <w:r>
        <w:t xml:space="preserve"> </w:t>
      </w:r>
      <w:r>
        <w:t xml:space="preserve">2453. Miglioramento del benessere familiare nelle persone con dolore cronico</w:t>
      </w:r>
      <w:r>
        <w:t xml:space="preserve"> </w:t>
      </w:r>
      <w:r>
        <w:t xml:space="preserve">2454. Miglioramento del benessere familiare nei pazienti diabetici</w:t>
      </w:r>
      <w:r>
        <w:t xml:space="preserve"> </w:t>
      </w:r>
      <w:r>
        <w:t xml:space="preserve">2455. Miglioramento del benessere familiare nei pazienti cardiopatici</w:t>
      </w:r>
      <w:r>
        <w:t xml:space="preserve"> </w:t>
      </w:r>
      <w:r>
        <w:t xml:space="preserve">2456. Miglioramento del benessere familiare nelle persone con disabilità</w:t>
      </w:r>
      <w:r>
        <w:t xml:space="preserve"> </w:t>
      </w:r>
      <w:r>
        <w:t xml:space="preserve">2457. Miglioramento del benessere familiare nei migranti e rifugiati</w:t>
      </w:r>
      <w:r>
        <w:t xml:space="preserve"> </w:t>
      </w:r>
      <w:r>
        <w:t xml:space="preserve">2458. Miglioramento del benessere familiare nelle persone in condizione di povertà</w:t>
      </w:r>
      <w:r>
        <w:t xml:space="preserve"> </w:t>
      </w:r>
      <w:r>
        <w:t xml:space="preserve">2459. Miglioramento del benessere familiare nelle persone senza dimora</w:t>
      </w:r>
      <w:r>
        <w:t xml:space="preserve"> </w:t>
      </w:r>
      <w:r>
        <w:t xml:space="preserve">2460. Miglioramento del benessere familiare nei disoccupati</w:t>
      </w:r>
      <w:r>
        <w:t xml:space="preserve"> </w:t>
      </w:r>
      <w:r>
        <w:t xml:space="preserve">62Psicologo di Base · Metodologia apicale e registro unificato delle variabili</w:t>
      </w:r>
      <w:r>
        <w:t xml:space="preserve"> </w:t>
      </w:r>
      <w:r>
        <w:t xml:space="preserve">2461. Miglioramento del benessere familiare nei lavoratori esposti a stress</w:t>
      </w:r>
      <w:r>
        <w:t xml:space="preserve"> </w:t>
      </w:r>
      <w:r>
        <w:t xml:space="preserve">2462. Miglioramento del benessere familiare negli studenti</w:t>
      </w:r>
      <w:r>
        <w:t xml:space="preserve"> </w:t>
      </w:r>
      <w:r>
        <w:t xml:space="preserve">2463. Miglioramento del benessere familiare nelle persone vittime di violenza</w:t>
      </w:r>
      <w:r>
        <w:t xml:space="preserve"> </w:t>
      </w:r>
      <w:r>
        <w:t xml:space="preserve">2464. Miglioramento del benessere familiare nelle persone in lutto</w:t>
      </w:r>
      <w:r>
        <w:t xml:space="preserve"> </w:t>
      </w:r>
      <w:r>
        <w:t xml:space="preserve">2465. Miglioramento del benessere familiare nelle persone con dipendenze</w:t>
      </w:r>
      <w:r>
        <w:t xml:space="preserve"> </w:t>
      </w:r>
      <w:r>
        <w:t xml:space="preserve">2466. Miglioramento del benessere familiare nei pazienti dopo un ricovero</w:t>
      </w:r>
      <w:r>
        <w:t xml:space="preserve"> </w:t>
      </w:r>
      <w:r>
        <w:t xml:space="preserve">2467. Miglioramento del benessere familiare nelle persone LGBTQ+</w:t>
      </w:r>
      <w:r>
        <w:t xml:space="preserve"> </w:t>
      </w:r>
      <w:r>
        <w:t xml:space="preserve">2468. Miglioramento del benessere familiare nelle persone delle aree interne e remote</w:t>
      </w:r>
      <w:r>
        <w:t xml:space="preserve"> </w:t>
      </w:r>
      <w:r>
        <w:t xml:space="preserve">2469. Miglioramento del benessere familiare nelle persone con bassa alfabetizzazione sanitaria</w:t>
      </w:r>
      <w:r>
        <w:t xml:space="preserve"> </w:t>
      </w:r>
      <w:r>
        <w:t xml:space="preserve">B — Ramificazione per setting di erogazione</w:t>
      </w:r>
      <w:r>
        <w:t xml:space="preserve"> </w:t>
      </w:r>
      <w:r>
        <w:t xml:space="preserve">Ogni ramo-genitore è declinato per contesto e luogo di erogazione del servizio.</w:t>
      </w:r>
      <w:r>
        <w:t xml:space="preserve"> </w:t>
      </w:r>
      <w:r>
        <w:t xml:space="preserve">Ramo: Accessibilità del servizio</w:t>
      </w:r>
      <w:r>
        <w:t xml:space="preserve"> </w:t>
      </w:r>
      <w:r>
        <w:t xml:space="preserve">2470. Accessibilità del servizio nelle Case della Comunità</w:t>
      </w:r>
      <w:r>
        <w:t xml:space="preserve"> </w:t>
      </w:r>
      <w:r>
        <w:t xml:space="preserve">2471. Accessibilità del servizio negli studi dei medici di medicina generale</w:t>
      </w:r>
      <w:r>
        <w:t xml:space="preserve"> </w:t>
      </w:r>
      <w:r>
        <w:t xml:space="preserve">2472. Accessibilità del servizio negli studi dei pediatri di libera scelta</w:t>
      </w:r>
      <w:r>
        <w:t xml:space="preserve"> </w:t>
      </w:r>
      <w:r>
        <w:t xml:space="preserve">2473. Accessibilità del servizio nei distretti sanitari</w:t>
      </w:r>
      <w:r>
        <w:t xml:space="preserve"> </w:t>
      </w:r>
      <w:r>
        <w:t xml:space="preserve">2474. Accessibilità del servizio in regime di telepsicologia</w:t>
      </w:r>
      <w:r>
        <w:t xml:space="preserve"> </w:t>
      </w:r>
      <w:r>
        <w:t xml:space="preserve">2475. Accessibilità del servizio nelle aree interne e montane</w:t>
      </w:r>
      <w:r>
        <w:t xml:space="preserve"> </w:t>
      </w:r>
      <w:r>
        <w:t xml:space="preserve">2476. Accessibilità del servizio nelle isole minori</w:t>
      </w:r>
      <w:r>
        <w:t xml:space="preserve"> </w:t>
      </w:r>
      <w:r>
        <w:t xml:space="preserve">2477. Accessibilità del servizio nelle aree metropolitane</w:t>
      </w:r>
      <w:r>
        <w:t xml:space="preserve"> </w:t>
      </w:r>
      <w:r>
        <w:t xml:space="preserve">2478. Accessibilità del servizio nelle aree a forte immigrazione</w:t>
      </w:r>
      <w:r>
        <w:t xml:space="preserve"> </w:t>
      </w:r>
      <w:r>
        <w:t xml:space="preserve">2479. Accessibilità del servizio nei contesti di deprivazione urbana</w:t>
      </w:r>
      <w:r>
        <w:t xml:space="preserve"> </w:t>
      </w:r>
      <w:r>
        <w:t xml:space="preserve">2480. Accessibilità del servizio nelle scuole</w:t>
      </w:r>
      <w:r>
        <w:t xml:space="preserve"> </w:t>
      </w:r>
      <w:r>
        <w:t xml:space="preserve">2481. Accessibilità del servizio nei luoghi di lavoro</w:t>
      </w:r>
      <w:r>
        <w:t xml:space="preserve"> </w:t>
      </w:r>
      <w:r>
        <w:t xml:space="preserve">2482. Accessibilità del servizio nei consultori familiari</w:t>
      </w:r>
      <w:r>
        <w:t xml:space="preserve"> </w:t>
      </w:r>
      <w:r>
        <w:t xml:space="preserve">2483. Accessibilità del servizio nelle residenze per anziani</w:t>
      </w:r>
      <w:r>
        <w:t xml:space="preserve"> </w:t>
      </w:r>
      <w:r>
        <w:t xml:space="preserve">2484. Accessibilità del servizio negli istituti penitenziari</w:t>
      </w:r>
      <w:r>
        <w:t xml:space="preserve"> </w:t>
      </w:r>
      <w:r>
        <w:t xml:space="preserve">2485. Accessibilità del servizio nei centri per migranti</w:t>
      </w:r>
      <w:r>
        <w:t xml:space="preserve"> </w:t>
      </w:r>
      <w:r>
        <w:t xml:space="preserve">2486. Accessibilità del servizio in collaborazione con il terzo settore</w:t>
      </w:r>
      <w:r>
        <w:t xml:space="preserve"> </w:t>
      </w:r>
      <w:r>
        <w:t xml:space="preserve">2487. Accessibilità del servizio al domicilio del paziente</w:t>
      </w:r>
      <w:r>
        <w:t xml:space="preserve"> </w:t>
      </w:r>
      <w:r>
        <w:t xml:space="preserve">2488. Accessibilità del servizio nelle zone rurali</w:t>
      </w:r>
      <w:r>
        <w:t xml:space="preserve"> </w:t>
      </w:r>
      <w:r>
        <w:t xml:space="preserve">2489. Accessibilità del servizio negli ambulatori territoriali</w:t>
      </w:r>
      <w:r>
        <w:t xml:space="preserve"> </w:t>
      </w:r>
      <w:r>
        <w:t xml:space="preserve">2490. Accessibilità del servizio nelle aree a bassa densità abitativa</w:t>
      </w:r>
      <w:r>
        <w:t xml:space="preserve"> </w:t>
      </w:r>
      <w:r>
        <w:t xml:space="preserve">2491. Accessibilità del servizio negli ospedali di comunità</w:t>
      </w:r>
      <w:r>
        <w:t xml:space="preserve"> </w:t>
      </w:r>
      <w:r>
        <w:t xml:space="preserve">Ramo: Tempi di attesa per il primo colloquio</w:t>
      </w:r>
      <w:r>
        <w:t xml:space="preserve"> </w:t>
      </w:r>
      <w:r>
        <w:t xml:space="preserve">2492. Tempi di attesa per il primo colloquio nelle Case della Comunità</w:t>
      </w:r>
      <w:r>
        <w:t xml:space="preserve"> </w:t>
      </w:r>
      <w:r>
        <w:t xml:space="preserve">2493. Tempi di attesa per il primo colloquio negli studi dei medici di medicina generale</w:t>
      </w:r>
      <w:r>
        <w:t xml:space="preserve"> </w:t>
      </w:r>
      <w:r>
        <w:t xml:space="preserve">2494. Tempi di attesa per il primo colloquio negli studi dei pediatri di libera scelta</w:t>
      </w:r>
      <w:r>
        <w:t xml:space="preserve"> </w:t>
      </w:r>
      <w:r>
        <w:t xml:space="preserve">2495. Tempi di attesa per il primo colloquio nei distretti sanitari</w:t>
      </w:r>
      <w:r>
        <w:t xml:space="preserve"> </w:t>
      </w:r>
      <w:r>
        <w:t xml:space="preserve">2496. Tempi di attesa per il primo colloquio in regime di telepsicologia</w:t>
      </w:r>
      <w:r>
        <w:t xml:space="preserve"> </w:t>
      </w:r>
      <w:r>
        <w:t xml:space="preserve">2497. Tempi di attesa per il primo colloquio nelle aree interne e montane</w:t>
      </w:r>
      <w:r>
        <w:t xml:space="preserve"> </w:t>
      </w:r>
      <w:r>
        <w:t xml:space="preserve">2498. Tempi di attesa per il primo colloquio nelle isole minori</w:t>
      </w:r>
      <w:r>
        <w:t xml:space="preserve"> </w:t>
      </w:r>
      <w:r>
        <w:t xml:space="preserve">2499. Tempi di attesa per il primo colloquio nelle aree metropolitane</w:t>
      </w:r>
      <w:r>
        <w:t xml:space="preserve"> </w:t>
      </w:r>
      <w:r>
        <w:t xml:space="preserve">2500. Tempi di attesa per il primo colloquio nelle aree a forte immigrazione</w:t>
      </w:r>
      <w:r>
        <w:t xml:space="preserve"> </w:t>
      </w:r>
      <w:r>
        <w:t xml:space="preserve">2501. Tempi di attesa per il primo colloquio nei contesti di deprivazione urbana</w:t>
      </w:r>
      <w:r>
        <w:t xml:space="preserve"> </w:t>
      </w:r>
      <w:r>
        <w:t xml:space="preserve">2502. Tempi di attesa per il primo colloquio nelle scuole</w:t>
      </w:r>
      <w:r>
        <w:t xml:space="preserve"> </w:t>
      </w:r>
      <w:r>
        <w:t xml:space="preserve">2503. Tempi di attesa per il primo colloquio nei luoghi di lavoro</w:t>
      </w:r>
      <w:r>
        <w:t xml:space="preserve"> </w:t>
      </w:r>
      <w:r>
        <w:t xml:space="preserve">2504. Tempi di attesa per il primo colloquio nei consultori familiari</w:t>
      </w:r>
      <w:r>
        <w:t xml:space="preserve"> </w:t>
      </w:r>
      <w:r>
        <w:t xml:space="preserve">63Psicologo di Base · Metodologia apicale e registro unificato delle variabili</w:t>
      </w:r>
      <w:r>
        <w:t xml:space="preserve"> </w:t>
      </w:r>
      <w:r>
        <w:t xml:space="preserve">2505. Tempi di attesa per il primo colloquio nelle residenze per anziani</w:t>
      </w:r>
      <w:r>
        <w:t xml:space="preserve"> </w:t>
      </w:r>
      <w:r>
        <w:t xml:space="preserve">2506. Tempi di attesa per il primo colloquio negli istituti penitenziari</w:t>
      </w:r>
      <w:r>
        <w:t xml:space="preserve"> </w:t>
      </w:r>
      <w:r>
        <w:t xml:space="preserve">2507. Tempi di attesa per il primo colloquio nei centri per migranti</w:t>
      </w:r>
      <w:r>
        <w:t xml:space="preserve"> </w:t>
      </w:r>
      <w:r>
        <w:t xml:space="preserve">2508. Tempi di attesa per il primo colloquio in collaborazione con il terzo settore</w:t>
      </w:r>
      <w:r>
        <w:t xml:space="preserve"> </w:t>
      </w:r>
      <w:r>
        <w:t xml:space="preserve">2509. Tempi di attesa per il primo colloquio al domicilio del paziente</w:t>
      </w:r>
      <w:r>
        <w:t xml:space="preserve"> </w:t>
      </w:r>
      <w:r>
        <w:t xml:space="preserve">2510. Tempi di attesa per il primo colloquio nelle zone rurali</w:t>
      </w:r>
      <w:r>
        <w:t xml:space="preserve"> </w:t>
      </w:r>
      <w:r>
        <w:t xml:space="preserve">2511. Tempi di attesa per il primo colloquio negli ambulatori territoriali</w:t>
      </w:r>
      <w:r>
        <w:t xml:space="preserve"> </w:t>
      </w:r>
      <w:r>
        <w:t xml:space="preserve">2512. Tempi di attesa per il primo colloquio nelle aree a bassa densità abitativa</w:t>
      </w:r>
      <w:r>
        <w:t xml:space="preserve"> </w:t>
      </w:r>
      <w:r>
        <w:t xml:space="preserve">2513. Tempi di attesa per il primo colloquio negli ospedali di comunità</w:t>
      </w:r>
      <w:r>
        <w:t xml:space="preserve"> </w:t>
      </w:r>
      <w:r>
        <w:t xml:space="preserve">Ramo: Tasso di copertura del bisogno</w:t>
      </w:r>
      <w:r>
        <w:t xml:space="preserve"> </w:t>
      </w:r>
      <w:r>
        <w:t xml:space="preserve">2514. Tasso di copertura del bisogno nelle Case della Comunità</w:t>
      </w:r>
      <w:r>
        <w:t xml:space="preserve"> </w:t>
      </w:r>
      <w:r>
        <w:t xml:space="preserve">2515. Tasso di copertura del bisogno negli studi dei medici di medicina generale</w:t>
      </w:r>
      <w:r>
        <w:t xml:space="preserve"> </w:t>
      </w:r>
      <w:r>
        <w:t xml:space="preserve">2516. Tasso di copertura del bisogno negli studi dei pediatri di libera scelta</w:t>
      </w:r>
      <w:r>
        <w:t xml:space="preserve"> </w:t>
      </w:r>
      <w:r>
        <w:t xml:space="preserve">2517. Tasso di copertura del bisogno nei distretti sanitari</w:t>
      </w:r>
      <w:r>
        <w:t xml:space="preserve"> </w:t>
      </w:r>
      <w:r>
        <w:t xml:space="preserve">2518. Tasso di copertura del bisogno in regime di telepsicologia</w:t>
      </w:r>
      <w:r>
        <w:t xml:space="preserve"> </w:t>
      </w:r>
      <w:r>
        <w:t xml:space="preserve">2519. Tasso di copertura del bisogno nelle aree interne e montane</w:t>
      </w:r>
      <w:r>
        <w:t xml:space="preserve"> </w:t>
      </w:r>
      <w:r>
        <w:t xml:space="preserve">2520. Tasso di copertura del bisogno nelle isole minori</w:t>
      </w:r>
      <w:r>
        <w:t xml:space="preserve"> </w:t>
      </w:r>
      <w:r>
        <w:t xml:space="preserve">2521. Tasso di copertura del bisogno nelle aree metropolitane</w:t>
      </w:r>
      <w:r>
        <w:t xml:space="preserve"> </w:t>
      </w:r>
      <w:r>
        <w:t xml:space="preserve">2522. Tasso di copertura del bisogno nelle aree a forte immigrazione</w:t>
      </w:r>
      <w:r>
        <w:t xml:space="preserve"> </w:t>
      </w:r>
      <w:r>
        <w:t xml:space="preserve">2523. Tasso di copertura del bisogno nei contesti di deprivazione urbana</w:t>
      </w:r>
      <w:r>
        <w:t xml:space="preserve"> </w:t>
      </w:r>
      <w:r>
        <w:t xml:space="preserve">2524. Tasso di copertura del bisogno nelle scuole</w:t>
      </w:r>
      <w:r>
        <w:t xml:space="preserve"> </w:t>
      </w:r>
      <w:r>
        <w:t xml:space="preserve">2525. Tasso di copertura del bisogno nei luoghi di lavoro</w:t>
      </w:r>
      <w:r>
        <w:t xml:space="preserve"> </w:t>
      </w:r>
      <w:r>
        <w:t xml:space="preserve">2526. Tasso di copertura del bisogno nei consultori familiari</w:t>
      </w:r>
      <w:r>
        <w:t xml:space="preserve"> </w:t>
      </w:r>
      <w:r>
        <w:t xml:space="preserve">2527. Tasso di copertura del bisogno nelle residenze per anziani</w:t>
      </w:r>
      <w:r>
        <w:t xml:space="preserve"> </w:t>
      </w:r>
      <w:r>
        <w:t xml:space="preserve">2528. Tasso di copertura del bisogno negli istituti penitenziari</w:t>
      </w:r>
      <w:r>
        <w:t xml:space="preserve"> </w:t>
      </w:r>
      <w:r>
        <w:t xml:space="preserve">2529. Tasso di copertura del bisogno nei centri per migranti</w:t>
      </w:r>
      <w:r>
        <w:t xml:space="preserve"> </w:t>
      </w:r>
      <w:r>
        <w:t xml:space="preserve">2530. Tasso di copertura del bisogno in collaborazione con il terzo settore</w:t>
      </w:r>
      <w:r>
        <w:t xml:space="preserve"> </w:t>
      </w:r>
      <w:r>
        <w:t xml:space="preserve">2531. Tasso di copertura del bisogno al domicilio del paziente</w:t>
      </w:r>
      <w:r>
        <w:t xml:space="preserve"> </w:t>
      </w:r>
      <w:r>
        <w:t xml:space="preserve">2532. Tasso di copertura del bisogno nelle zone rurali</w:t>
      </w:r>
      <w:r>
        <w:t xml:space="preserve"> </w:t>
      </w:r>
      <w:r>
        <w:t xml:space="preserve">2533. Tasso di copertura del bisogno negli ambulatori territoriali</w:t>
      </w:r>
      <w:r>
        <w:t xml:space="preserve"> </w:t>
      </w:r>
      <w:r>
        <w:t xml:space="preserve">2534. Tasso di copertura del bisogno nelle aree a bassa densità abitativa</w:t>
      </w:r>
      <w:r>
        <w:t xml:space="preserve"> </w:t>
      </w:r>
      <w:r>
        <w:t xml:space="preserve">2535. Tasso di copertura del bisogno negli ospedali di comunità</w:t>
      </w:r>
      <w:r>
        <w:t xml:space="preserve"> </w:t>
      </w:r>
      <w:r>
        <w:t xml:space="preserve">Ramo: Numero di prese in carico</w:t>
      </w:r>
      <w:r>
        <w:t xml:space="preserve"> </w:t>
      </w:r>
      <w:r>
        <w:t xml:space="preserve">2536. Numero di prese in carico nelle Case della Comunità</w:t>
      </w:r>
      <w:r>
        <w:t xml:space="preserve"> </w:t>
      </w:r>
      <w:r>
        <w:t xml:space="preserve">2537. Numero di prese in carico negli studi dei medici di medicina generale</w:t>
      </w:r>
      <w:r>
        <w:t xml:space="preserve"> </w:t>
      </w:r>
      <w:r>
        <w:t xml:space="preserve">2538. Numero di prese in carico negli studi dei pediatri di libera scelta</w:t>
      </w:r>
      <w:r>
        <w:t xml:space="preserve"> </w:t>
      </w:r>
      <w:r>
        <w:t xml:space="preserve">2539. Numero di prese in carico nei distretti sanitari</w:t>
      </w:r>
      <w:r>
        <w:t xml:space="preserve"> </w:t>
      </w:r>
      <w:r>
        <w:t xml:space="preserve">2540. Numero di prese in carico in regime di telepsicologia</w:t>
      </w:r>
      <w:r>
        <w:t xml:space="preserve"> </w:t>
      </w:r>
      <w:r>
        <w:t xml:space="preserve">2541. Numero di prese in carico nelle aree interne e montane</w:t>
      </w:r>
      <w:r>
        <w:t xml:space="preserve"> </w:t>
      </w:r>
      <w:r>
        <w:t xml:space="preserve">2542. Numero di prese in carico nelle isole minori</w:t>
      </w:r>
      <w:r>
        <w:t xml:space="preserve"> </w:t>
      </w:r>
      <w:r>
        <w:t xml:space="preserve">2543. Numero di prese in carico nelle aree metropolitane</w:t>
      </w:r>
      <w:r>
        <w:t xml:space="preserve"> </w:t>
      </w:r>
      <w:r>
        <w:t xml:space="preserve">2544. Numero di prese in carico nelle aree a forte immigrazione</w:t>
      </w:r>
      <w:r>
        <w:t xml:space="preserve"> </w:t>
      </w:r>
      <w:r>
        <w:t xml:space="preserve">2545. Numero di prese in carico nei contesti di deprivazione urbana</w:t>
      </w:r>
      <w:r>
        <w:t xml:space="preserve"> </w:t>
      </w:r>
      <w:r>
        <w:t xml:space="preserve">2546. Numero di prese in carico nelle scuole</w:t>
      </w:r>
      <w:r>
        <w:t xml:space="preserve"> </w:t>
      </w:r>
      <w:r>
        <w:t xml:space="preserve">2547. Numero di prese in carico nei luoghi di lavoro</w:t>
      </w:r>
      <w:r>
        <w:t xml:space="preserve"> </w:t>
      </w:r>
      <w:r>
        <w:t xml:space="preserve">2548. Numero di prese in carico nei consultori familiari</w:t>
      </w:r>
      <w:r>
        <w:t xml:space="preserve"> </w:t>
      </w:r>
      <w:r>
        <w:t xml:space="preserve">2549. Numero di prese in carico nelle residenze per anziani</w:t>
      </w:r>
      <w:r>
        <w:t xml:space="preserve"> </w:t>
      </w:r>
      <w:r>
        <w:t xml:space="preserve">2550. Numero di prese in carico negli istituti penitenziari</w:t>
      </w:r>
      <w:r>
        <w:t xml:space="preserve"> </w:t>
      </w:r>
      <w:r>
        <w:t xml:space="preserve">2551. Numero di prese in carico nei centri per migranti</w:t>
      </w:r>
      <w:r>
        <w:t xml:space="preserve"> </w:t>
      </w:r>
      <w:r>
        <w:t xml:space="preserve">64Psicologo di Base · Metodologia apicale e registro unificato delle variabili</w:t>
      </w:r>
      <w:r>
        <w:t xml:space="preserve"> </w:t>
      </w:r>
      <w:r>
        <w:t xml:space="preserve">2552. Numero di prese in carico in collaborazione con il terzo settore</w:t>
      </w:r>
      <w:r>
        <w:t xml:space="preserve"> </w:t>
      </w:r>
      <w:r>
        <w:t xml:space="preserve">2553. Numero di prese in carico al domicilio del paziente</w:t>
      </w:r>
      <w:r>
        <w:t xml:space="preserve"> </w:t>
      </w:r>
      <w:r>
        <w:t xml:space="preserve">2554. Numero di prese in carico nelle zone rurali</w:t>
      </w:r>
      <w:r>
        <w:t xml:space="preserve"> </w:t>
      </w:r>
      <w:r>
        <w:t xml:space="preserve">2555. Numero di prese in carico negli ambulatori territoriali</w:t>
      </w:r>
      <w:r>
        <w:t xml:space="preserve"> </w:t>
      </w:r>
      <w:r>
        <w:t xml:space="preserve">2556. Numero di prese in carico nelle aree a bassa densità abitativa</w:t>
      </w:r>
      <w:r>
        <w:t xml:space="preserve"> </w:t>
      </w:r>
      <w:r>
        <w:t xml:space="preserve">2557. Numero di prese in carico negli ospedali di comunità</w:t>
      </w:r>
      <w:r>
        <w:t xml:space="preserve"> </w:t>
      </w:r>
      <w:r>
        <w:t xml:space="preserve">Ramo: Soddisfazione dei pazienti</w:t>
      </w:r>
      <w:r>
        <w:t xml:space="preserve"> </w:t>
      </w:r>
      <w:r>
        <w:t xml:space="preserve">2558. Soddisfazione dei pazienti nelle Case della Comunità</w:t>
      </w:r>
      <w:r>
        <w:t xml:space="preserve"> </w:t>
      </w:r>
      <w:r>
        <w:t xml:space="preserve">2559. Soddisfazione dei pazienti negli studi dei medici di medicina generale</w:t>
      </w:r>
      <w:r>
        <w:t xml:space="preserve"> </w:t>
      </w:r>
      <w:r>
        <w:t xml:space="preserve">2560. Soddisfazione dei pazienti negli studi dei pediatri di libera scelta</w:t>
      </w:r>
      <w:r>
        <w:t xml:space="preserve"> </w:t>
      </w:r>
      <w:r>
        <w:t xml:space="preserve">2561. Soddisfazione dei pazienti nei distretti sanitari</w:t>
      </w:r>
      <w:r>
        <w:t xml:space="preserve"> </w:t>
      </w:r>
      <w:r>
        <w:t xml:space="preserve">2562. Soddisfazione dei pazienti in regime di telepsicologia</w:t>
      </w:r>
      <w:r>
        <w:t xml:space="preserve"> </w:t>
      </w:r>
      <w:r>
        <w:t xml:space="preserve">2563. Soddisfazione dei pazienti nelle aree interne e montane</w:t>
      </w:r>
      <w:r>
        <w:t xml:space="preserve"> </w:t>
      </w:r>
      <w:r>
        <w:t xml:space="preserve">2564. Soddisfazione dei pazienti nelle isole minori</w:t>
      </w:r>
      <w:r>
        <w:t xml:space="preserve"> </w:t>
      </w:r>
      <w:r>
        <w:t xml:space="preserve">2565. Soddisfazione dei pazienti nelle aree metropolitane</w:t>
      </w:r>
      <w:r>
        <w:t xml:space="preserve"> </w:t>
      </w:r>
      <w:r>
        <w:t xml:space="preserve">2566. Soddisfazione dei pazienti nelle aree a forte immigrazione</w:t>
      </w:r>
      <w:r>
        <w:t xml:space="preserve"> </w:t>
      </w:r>
      <w:r>
        <w:t xml:space="preserve">2567. Soddisfazione dei pazienti nei contesti di deprivazione urbana</w:t>
      </w:r>
      <w:r>
        <w:t xml:space="preserve"> </w:t>
      </w:r>
      <w:r>
        <w:t xml:space="preserve">2568. Soddisfazione dei pazienti nelle scuole</w:t>
      </w:r>
      <w:r>
        <w:t xml:space="preserve"> </w:t>
      </w:r>
      <w:r>
        <w:t xml:space="preserve">2569. Soddisfazione dei pazienti nei luoghi di lavoro</w:t>
      </w:r>
      <w:r>
        <w:t xml:space="preserve"> </w:t>
      </w:r>
      <w:r>
        <w:t xml:space="preserve">2570. Soddisfazione dei pazienti nei consultori familiari</w:t>
      </w:r>
      <w:r>
        <w:t xml:space="preserve"> </w:t>
      </w:r>
      <w:r>
        <w:t xml:space="preserve">2571. Soddisfazione dei pazienti nelle residenze per anziani</w:t>
      </w:r>
      <w:r>
        <w:t xml:space="preserve"> </w:t>
      </w:r>
      <w:r>
        <w:t xml:space="preserve">2572. Soddisfazione dei pazienti negli istituti penitenziari</w:t>
      </w:r>
      <w:r>
        <w:t xml:space="preserve"> </w:t>
      </w:r>
      <w:r>
        <w:t xml:space="preserve">2573. Soddisfazione dei pazienti nei centri per migranti</w:t>
      </w:r>
      <w:r>
        <w:t xml:space="preserve"> </w:t>
      </w:r>
      <w:r>
        <w:t xml:space="preserve">2574. Soddisfazione dei pazienti in collaborazione con il terzo settore</w:t>
      </w:r>
      <w:r>
        <w:t xml:space="preserve"> </w:t>
      </w:r>
      <w:r>
        <w:t xml:space="preserve">2575. Soddisfazione dei pazienti al domicilio del paziente</w:t>
      </w:r>
      <w:r>
        <w:t xml:space="preserve"> </w:t>
      </w:r>
      <w:r>
        <w:t xml:space="preserve">2576. Soddisfazione dei pazienti nelle zone rurali</w:t>
      </w:r>
      <w:r>
        <w:t xml:space="preserve"> </w:t>
      </w:r>
      <w:r>
        <w:t xml:space="preserve">2577. Soddisfazione dei pazienti negli ambulatori territoriali</w:t>
      </w:r>
      <w:r>
        <w:t xml:space="preserve"> </w:t>
      </w:r>
      <w:r>
        <w:t xml:space="preserve">2578. Soddisfazione dei pazienti nelle aree a bassa densità abitativa</w:t>
      </w:r>
      <w:r>
        <w:t xml:space="preserve"> </w:t>
      </w:r>
      <w:r>
        <w:t xml:space="preserve">2579. Soddisfazione dei pazienti negli ospedali di comunità</w:t>
      </w:r>
      <w:r>
        <w:t xml:space="preserve"> </w:t>
      </w:r>
      <w:r>
        <w:t xml:space="preserve">Ramo: Efficacia della funzione di filtro</w:t>
      </w:r>
      <w:r>
        <w:t xml:space="preserve"> </w:t>
      </w:r>
      <w:r>
        <w:t xml:space="preserve">2580. Efficacia della funzione di filtro nelle Case della Comunità</w:t>
      </w:r>
      <w:r>
        <w:t xml:space="preserve"> </w:t>
      </w:r>
      <w:r>
        <w:t xml:space="preserve">2581. Efficacia della funzione di filtro negli studi dei medici di medicina generale</w:t>
      </w:r>
      <w:r>
        <w:t xml:space="preserve"> </w:t>
      </w:r>
      <w:r>
        <w:t xml:space="preserve">2582. Efficacia della funzione di filtro negli studi dei pediatri di libera scelta</w:t>
      </w:r>
      <w:r>
        <w:t xml:space="preserve"> </w:t>
      </w:r>
      <w:r>
        <w:t xml:space="preserve">2583. Efficacia della funzione di filtro nei distretti sanitari</w:t>
      </w:r>
      <w:r>
        <w:t xml:space="preserve"> </w:t>
      </w:r>
      <w:r>
        <w:t xml:space="preserve">2584. Efficacia della funzione di filtro in regime di telepsicologia</w:t>
      </w:r>
      <w:r>
        <w:t xml:space="preserve"> </w:t>
      </w:r>
      <w:r>
        <w:t xml:space="preserve">2585. Efficacia della funzione di filtro nelle aree interne e montane</w:t>
      </w:r>
      <w:r>
        <w:t xml:space="preserve"> </w:t>
      </w:r>
      <w:r>
        <w:t xml:space="preserve">2586. Efficacia della funzione di filtro nelle isole minori</w:t>
      </w:r>
      <w:r>
        <w:t xml:space="preserve"> </w:t>
      </w:r>
      <w:r>
        <w:t xml:space="preserve">2587. Efficacia della funzione di filtro nelle aree metropolitane</w:t>
      </w:r>
      <w:r>
        <w:t xml:space="preserve"> </w:t>
      </w:r>
      <w:r>
        <w:t xml:space="preserve">2588. Efficacia della funzione di filtro nelle aree a forte immigrazione</w:t>
      </w:r>
      <w:r>
        <w:t xml:space="preserve"> </w:t>
      </w:r>
      <w:r>
        <w:t xml:space="preserve">2589. Efficacia della funzione di filtro nei contesti di deprivazione urbana</w:t>
      </w:r>
      <w:r>
        <w:t xml:space="preserve"> </w:t>
      </w:r>
      <w:r>
        <w:t xml:space="preserve">2590. Efficacia della funzione di filtro nelle scuole</w:t>
      </w:r>
      <w:r>
        <w:t xml:space="preserve"> </w:t>
      </w:r>
      <w:r>
        <w:t xml:space="preserve">2591. Efficacia della funzione di filtro nei luoghi di lavoro</w:t>
      </w:r>
      <w:r>
        <w:t xml:space="preserve"> </w:t>
      </w:r>
      <w:r>
        <w:t xml:space="preserve">2592. Efficacia della funzione di filtro nei consultori familiari</w:t>
      </w:r>
      <w:r>
        <w:t xml:space="preserve"> </w:t>
      </w:r>
      <w:r>
        <w:t xml:space="preserve">2593. Efficacia della funzione di filtro nelle residenze per anziani</w:t>
      </w:r>
      <w:r>
        <w:t xml:space="preserve"> </w:t>
      </w:r>
      <w:r>
        <w:t xml:space="preserve">2594. Efficacia della funzione di filtro negli istituti penitenziari</w:t>
      </w:r>
      <w:r>
        <w:t xml:space="preserve"> </w:t>
      </w:r>
      <w:r>
        <w:t xml:space="preserve">2595. Efficacia della funzione di filtro nei centri per migranti</w:t>
      </w:r>
      <w:r>
        <w:t xml:space="preserve"> </w:t>
      </w:r>
      <w:r>
        <w:t xml:space="preserve">2596. Efficacia della funzione di filtro in collaborazione con il terzo settore</w:t>
      </w:r>
      <w:r>
        <w:t xml:space="preserve"> </w:t>
      </w:r>
      <w:r>
        <w:t xml:space="preserve">2597. Efficacia della funzione di filtro al domicilio del paziente</w:t>
      </w:r>
      <w:r>
        <w:t xml:space="preserve"> </w:t>
      </w:r>
      <w:r>
        <w:t xml:space="preserve">2598. Efficacia della funzione di filtro nelle zone rurali</w:t>
      </w:r>
      <w:r>
        <w:t xml:space="preserve"> </w:t>
      </w:r>
      <w:r>
        <w:t xml:space="preserve">65Psicologo di Base · Metodologia apicale e registro unificato delle variabili</w:t>
      </w:r>
      <w:r>
        <w:t xml:space="preserve"> </w:t>
      </w:r>
      <w:r>
        <w:t xml:space="preserve">2599. Efficacia della funzione di filtro negli ambulatori territoriali</w:t>
      </w:r>
      <w:r>
        <w:t xml:space="preserve"> </w:t>
      </w:r>
      <w:r>
        <w:t xml:space="preserve">2600. Efficacia della funzione di filtro nelle aree a bassa densità abitativa</w:t>
      </w:r>
      <w:r>
        <w:t xml:space="preserve"> </w:t>
      </w:r>
      <w:r>
        <w:t xml:space="preserve">2601. Efficacia della funzione di filtro negli ospedali di comunità</w:t>
      </w:r>
      <w:r>
        <w:t xml:space="preserve"> </w:t>
      </w:r>
      <w:r>
        <w:t xml:space="preserve">Ramo: Tasso di invio appropriato</w:t>
      </w:r>
      <w:r>
        <w:t xml:space="preserve"> </w:t>
      </w:r>
      <w:r>
        <w:t xml:space="preserve">2602. Tasso di invio appropriato nelle Case della Comunità</w:t>
      </w:r>
      <w:r>
        <w:t xml:space="preserve"> </w:t>
      </w:r>
      <w:r>
        <w:t xml:space="preserve">2603. Tasso di invio appropriato negli studi dei medici di medicina generale</w:t>
      </w:r>
      <w:r>
        <w:t xml:space="preserve"> </w:t>
      </w:r>
      <w:r>
        <w:t xml:space="preserve">2604. Tasso di invio appropriato negli studi dei pediatri di libera scelta</w:t>
      </w:r>
      <w:r>
        <w:t xml:space="preserve"> </w:t>
      </w:r>
      <w:r>
        <w:t xml:space="preserve">2605. Tasso di invio appropriato nei distretti sanitari</w:t>
      </w:r>
      <w:r>
        <w:t xml:space="preserve"> </w:t>
      </w:r>
      <w:r>
        <w:t xml:space="preserve">2606. Tasso di invio appropriato in regime di telepsicologia</w:t>
      </w:r>
      <w:r>
        <w:t xml:space="preserve"> </w:t>
      </w:r>
      <w:r>
        <w:t xml:space="preserve">2607. Tasso di invio appropriato nelle aree interne e montane</w:t>
      </w:r>
      <w:r>
        <w:t xml:space="preserve"> </w:t>
      </w:r>
      <w:r>
        <w:t xml:space="preserve">2608. Tasso di invio appropriato nelle isole minori</w:t>
      </w:r>
      <w:r>
        <w:t xml:space="preserve"> </w:t>
      </w:r>
      <w:r>
        <w:t xml:space="preserve">2609. Tasso di invio appropriato nelle aree metropolitane</w:t>
      </w:r>
      <w:r>
        <w:t xml:space="preserve"> </w:t>
      </w:r>
      <w:r>
        <w:t xml:space="preserve">2610. Tasso di invio appropriato nelle aree a forte immigrazione</w:t>
      </w:r>
      <w:r>
        <w:t xml:space="preserve"> </w:t>
      </w:r>
      <w:r>
        <w:t xml:space="preserve">2611. Tasso di invio appropriato nei contesti di deprivazione urbana</w:t>
      </w:r>
      <w:r>
        <w:t xml:space="preserve"> </w:t>
      </w:r>
      <w:r>
        <w:t xml:space="preserve">2612. Tasso di invio appropriato nelle scuole</w:t>
      </w:r>
      <w:r>
        <w:t xml:space="preserve"> </w:t>
      </w:r>
      <w:r>
        <w:t xml:space="preserve">2613. Tasso di invio appropriato nei luoghi di lavoro</w:t>
      </w:r>
      <w:r>
        <w:t xml:space="preserve"> </w:t>
      </w:r>
      <w:r>
        <w:t xml:space="preserve">2614. Tasso di invio appropriato nei consultori familiari</w:t>
      </w:r>
      <w:r>
        <w:t xml:space="preserve"> </w:t>
      </w:r>
      <w:r>
        <w:t xml:space="preserve">2615. Tasso di invio appropriato nelle residenze per anziani</w:t>
      </w:r>
      <w:r>
        <w:t xml:space="preserve"> </w:t>
      </w:r>
      <w:r>
        <w:t xml:space="preserve">2616. Tasso di invio appropriato negli istituti penitenziari</w:t>
      </w:r>
      <w:r>
        <w:t xml:space="preserve"> </w:t>
      </w:r>
      <w:r>
        <w:t xml:space="preserve">2617. Tasso di invio appropriato nei centri per migranti</w:t>
      </w:r>
      <w:r>
        <w:t xml:space="preserve"> </w:t>
      </w:r>
      <w:r>
        <w:t xml:space="preserve">2618. Tasso di invio appropriato in collaborazione con il terzo settore</w:t>
      </w:r>
      <w:r>
        <w:t xml:space="preserve"> </w:t>
      </w:r>
      <w:r>
        <w:t xml:space="preserve">2619. Tasso di invio appropriato al domicilio del paziente</w:t>
      </w:r>
      <w:r>
        <w:t xml:space="preserve"> </w:t>
      </w:r>
      <w:r>
        <w:t xml:space="preserve">2620. Tasso di invio appropriato nelle zone rurali</w:t>
      </w:r>
      <w:r>
        <w:t xml:space="preserve"> </w:t>
      </w:r>
      <w:r>
        <w:t xml:space="preserve">2621. Tasso di invio appropriato negli ambulatori territoriali</w:t>
      </w:r>
      <w:r>
        <w:t xml:space="preserve"> </w:t>
      </w:r>
      <w:r>
        <w:t xml:space="preserve">2622. Tasso di invio appropriato nelle aree a bassa densità abitativa</w:t>
      </w:r>
      <w:r>
        <w:t xml:space="preserve"> </w:t>
      </w:r>
      <w:r>
        <w:t xml:space="preserve">2623. Tasso di invio appropriato negli ospedali di comunità</w:t>
      </w:r>
      <w:r>
        <w:t xml:space="preserve"> </w:t>
      </w:r>
      <w:r>
        <w:t xml:space="preserve">Ramo: Continuità assistenziale</w:t>
      </w:r>
      <w:r>
        <w:t xml:space="preserve"> </w:t>
      </w:r>
      <w:r>
        <w:t xml:space="preserve">2624. Continuità assistenziale nelle Case della Comunità</w:t>
      </w:r>
      <w:r>
        <w:t xml:space="preserve"> </w:t>
      </w:r>
      <w:r>
        <w:t xml:space="preserve">2625. Continuità assistenziale negli studi dei medici di medicina generale</w:t>
      </w:r>
      <w:r>
        <w:t xml:space="preserve"> </w:t>
      </w:r>
      <w:r>
        <w:t xml:space="preserve">2626. Continuità assistenziale negli studi dei pediatri di libera scelta</w:t>
      </w:r>
      <w:r>
        <w:t xml:space="preserve"> </w:t>
      </w:r>
      <w:r>
        <w:t xml:space="preserve">2627. Continuità assistenziale nei distretti sanitari</w:t>
      </w:r>
      <w:r>
        <w:t xml:space="preserve"> </w:t>
      </w:r>
      <w:r>
        <w:t xml:space="preserve">2628. Continuità assistenziale in regime di telepsicologia</w:t>
      </w:r>
      <w:r>
        <w:t xml:space="preserve"> </w:t>
      </w:r>
      <w:r>
        <w:t xml:space="preserve">2629. Continuità assistenziale nelle aree interne e montane</w:t>
      </w:r>
      <w:r>
        <w:t xml:space="preserve"> </w:t>
      </w:r>
      <w:r>
        <w:t xml:space="preserve">2630. Continuità assistenziale nelle isole minori</w:t>
      </w:r>
      <w:r>
        <w:t xml:space="preserve"> </w:t>
      </w:r>
      <w:r>
        <w:t xml:space="preserve">2631. Continuità assistenziale nelle aree metropolitane</w:t>
      </w:r>
      <w:r>
        <w:t xml:space="preserve"> </w:t>
      </w:r>
      <w:r>
        <w:t xml:space="preserve">2632. Continuità assistenziale nelle aree a forte immigrazione</w:t>
      </w:r>
      <w:r>
        <w:t xml:space="preserve"> </w:t>
      </w:r>
      <w:r>
        <w:t xml:space="preserve">2633. Continuità assistenziale nei contesti di deprivazione urbana</w:t>
      </w:r>
      <w:r>
        <w:t xml:space="preserve"> </w:t>
      </w:r>
      <w:r>
        <w:t xml:space="preserve">2634. Continuità assistenziale nelle scuole</w:t>
      </w:r>
      <w:r>
        <w:t xml:space="preserve"> </w:t>
      </w:r>
      <w:r>
        <w:t xml:space="preserve">2635. Continuità assistenziale nei luoghi di lavoro</w:t>
      </w:r>
      <w:r>
        <w:t xml:space="preserve"> </w:t>
      </w:r>
      <w:r>
        <w:t xml:space="preserve">2636. Continuità assistenziale nei consultori familiari</w:t>
      </w:r>
      <w:r>
        <w:t xml:space="preserve"> </w:t>
      </w:r>
      <w:r>
        <w:t xml:space="preserve">2637. Continuità assistenziale nelle residenze per anziani</w:t>
      </w:r>
      <w:r>
        <w:t xml:space="preserve"> </w:t>
      </w:r>
      <w:r>
        <w:t xml:space="preserve">2638. Continuità assistenziale negli istituti penitenziari</w:t>
      </w:r>
      <w:r>
        <w:t xml:space="preserve"> </w:t>
      </w:r>
      <w:r>
        <w:t xml:space="preserve">2639. Continuità assistenziale nei centri per migranti</w:t>
      </w:r>
      <w:r>
        <w:t xml:space="preserve"> </w:t>
      </w:r>
      <w:r>
        <w:t xml:space="preserve">2640. Continuità assistenziale in collaborazione con il terzo settore</w:t>
      </w:r>
      <w:r>
        <w:t xml:space="preserve"> </w:t>
      </w:r>
      <w:r>
        <w:t xml:space="preserve">2641. Continuità assistenziale al domicilio del paziente</w:t>
      </w:r>
      <w:r>
        <w:t xml:space="preserve"> </w:t>
      </w:r>
      <w:r>
        <w:t xml:space="preserve">2642. Continuità assistenziale nelle zone rurali</w:t>
      </w:r>
      <w:r>
        <w:t xml:space="preserve"> </w:t>
      </w:r>
      <w:r>
        <w:t xml:space="preserve">2643. Continuità assistenziale negli ambulatori territoriali</w:t>
      </w:r>
      <w:r>
        <w:t xml:space="preserve"> </w:t>
      </w:r>
      <w:r>
        <w:t xml:space="preserve">2644. Continuità assistenziale nelle aree a bassa densità abitativa</w:t>
      </w:r>
      <w:r>
        <w:t xml:space="preserve"> </w:t>
      </w:r>
      <w:r>
        <w:t xml:space="preserve">2645. Continuità assistenziale negli ospedali di comunità</w:t>
      </w:r>
      <w:r>
        <w:t xml:space="preserve"> </w:t>
      </w:r>
      <w:r>
        <w:t xml:space="preserve">66Psicologo di Base · Metodologia apicale e registro unificato delle variabili</w:t>
      </w:r>
      <w:r>
        <w:t xml:space="preserve"> </w:t>
      </w:r>
      <w:r>
        <w:t xml:space="preserve">Ramo: Integrazione con la medicina generale</w:t>
      </w:r>
      <w:r>
        <w:t xml:space="preserve"> </w:t>
      </w:r>
      <w:r>
        <w:t xml:space="preserve">2646. Integrazione con la medicina generale nelle Case della Comunità</w:t>
      </w:r>
      <w:r>
        <w:t xml:space="preserve"> </w:t>
      </w:r>
      <w:r>
        <w:t xml:space="preserve">2647. Integrazione con la medicina generale negli studi dei medici di medicina generale</w:t>
      </w:r>
      <w:r>
        <w:t xml:space="preserve"> </w:t>
      </w:r>
      <w:r>
        <w:t xml:space="preserve">2648. Integrazione con la medicina generale negli studi dei pediatri di libera scelta</w:t>
      </w:r>
      <w:r>
        <w:t xml:space="preserve"> </w:t>
      </w:r>
      <w:r>
        <w:t xml:space="preserve">2649. Integrazione con la medicina generale nei distretti sanitari</w:t>
      </w:r>
      <w:r>
        <w:t xml:space="preserve"> </w:t>
      </w:r>
      <w:r>
        <w:t xml:space="preserve">2650. Integrazione con la medicina generale in regime di telepsicologia</w:t>
      </w:r>
      <w:r>
        <w:t xml:space="preserve"> </w:t>
      </w:r>
      <w:r>
        <w:t xml:space="preserve">2651. Integrazione con la medicina generale nelle aree interne e montane</w:t>
      </w:r>
      <w:r>
        <w:t xml:space="preserve"> </w:t>
      </w:r>
      <w:r>
        <w:t xml:space="preserve">2652. Integrazione con la medicina generale nelle isole minori</w:t>
      </w:r>
      <w:r>
        <w:t xml:space="preserve"> </w:t>
      </w:r>
      <w:r>
        <w:t xml:space="preserve">2653. Integrazione con la medicina generale nelle aree metropolitane</w:t>
      </w:r>
      <w:r>
        <w:t xml:space="preserve"> </w:t>
      </w:r>
      <w:r>
        <w:t xml:space="preserve">2654. Integrazione con la medicina generale nelle aree a forte immigrazione</w:t>
      </w:r>
      <w:r>
        <w:t xml:space="preserve"> </w:t>
      </w:r>
      <w:r>
        <w:t xml:space="preserve">2655. Integrazione con la medicina generale nei contesti di deprivazione urbana</w:t>
      </w:r>
      <w:r>
        <w:t xml:space="preserve"> </w:t>
      </w:r>
      <w:r>
        <w:t xml:space="preserve">2656. Integrazione con la medicina generale nelle scuole</w:t>
      </w:r>
      <w:r>
        <w:t xml:space="preserve"> </w:t>
      </w:r>
      <w:r>
        <w:t xml:space="preserve">2657. Integrazione con la medicina generale nei luoghi di lavoro</w:t>
      </w:r>
      <w:r>
        <w:t xml:space="preserve"> </w:t>
      </w:r>
      <w:r>
        <w:t xml:space="preserve">2658. Integrazione con la medicina generale nei consultori familiari</w:t>
      </w:r>
      <w:r>
        <w:t xml:space="preserve"> </w:t>
      </w:r>
      <w:r>
        <w:t xml:space="preserve">2659. Integrazione con la medicina generale nelle residenze per anziani</w:t>
      </w:r>
      <w:r>
        <w:t xml:space="preserve"> </w:t>
      </w:r>
      <w:r>
        <w:t xml:space="preserve">2660. Integrazione con la medicina generale negli istituti penitenziari</w:t>
      </w:r>
      <w:r>
        <w:t xml:space="preserve"> </w:t>
      </w:r>
      <w:r>
        <w:t xml:space="preserve">2661. Integrazione con la medicina generale nei centri per migranti</w:t>
      </w:r>
      <w:r>
        <w:t xml:space="preserve"> </w:t>
      </w:r>
      <w:r>
        <w:t xml:space="preserve">2662. Integrazione con la medicina generale in collaborazione con il terzo settore</w:t>
      </w:r>
      <w:r>
        <w:t xml:space="preserve"> </w:t>
      </w:r>
      <w:r>
        <w:t xml:space="preserve">2663. Integrazione con la medicina generale al domicilio del paziente</w:t>
      </w:r>
      <w:r>
        <w:t xml:space="preserve"> </w:t>
      </w:r>
      <w:r>
        <w:t xml:space="preserve">2664. Integrazione con la medicina generale nelle zone rurali</w:t>
      </w:r>
      <w:r>
        <w:t xml:space="preserve"> </w:t>
      </w:r>
      <w:r>
        <w:t xml:space="preserve">2665. Integrazione con la medicina generale negli ambulatori territoriali</w:t>
      </w:r>
      <w:r>
        <w:t xml:space="preserve"> </w:t>
      </w:r>
      <w:r>
        <w:t xml:space="preserve">2666. Integrazione con la medicina generale nelle aree a bassa densità abitativa</w:t>
      </w:r>
      <w:r>
        <w:t xml:space="preserve"> </w:t>
      </w:r>
      <w:r>
        <w:t xml:space="preserve">2667. Integrazione con la medicina generale negli ospedali di comunità</w:t>
      </w:r>
      <w:r>
        <w:t xml:space="preserve"> </w:t>
      </w:r>
      <w:r>
        <w:t xml:space="preserve">Ramo: Riduzione del ricorso al pronto soccorso</w:t>
      </w:r>
      <w:r>
        <w:t xml:space="preserve"> </w:t>
      </w:r>
      <w:r>
        <w:t xml:space="preserve">2668. Riduzione del ricorso al pronto soccorso nelle Case della Comunità</w:t>
      </w:r>
      <w:r>
        <w:t xml:space="preserve"> </w:t>
      </w:r>
      <w:r>
        <w:t xml:space="preserve">2669. Riduzione del ricorso al pronto soccorso negli studi dei medici di medicina generale</w:t>
      </w:r>
      <w:r>
        <w:t xml:space="preserve"> </w:t>
      </w:r>
      <w:r>
        <w:t xml:space="preserve">2670. Riduzione del ricorso al pronto soccorso negli studi dei pediatri di libera scelta</w:t>
      </w:r>
      <w:r>
        <w:t xml:space="preserve"> </w:t>
      </w:r>
      <w:r>
        <w:t xml:space="preserve">2671. Riduzione del ricorso al pronto soccorso nei distretti sanitari</w:t>
      </w:r>
      <w:r>
        <w:t xml:space="preserve"> </w:t>
      </w:r>
      <w:r>
        <w:t xml:space="preserve">2672. Riduzione del ricorso al pronto soccorso in regime di telepsicologia</w:t>
      </w:r>
      <w:r>
        <w:t xml:space="preserve"> </w:t>
      </w:r>
      <w:r>
        <w:t xml:space="preserve">2673. Riduzione del ricorso al pronto soccorso nelle aree interne e montane</w:t>
      </w:r>
      <w:r>
        <w:t xml:space="preserve"> </w:t>
      </w:r>
      <w:r>
        <w:t xml:space="preserve">2674. Riduzione del ricorso al pronto soccorso nelle isole minori</w:t>
      </w:r>
      <w:r>
        <w:t xml:space="preserve"> </w:t>
      </w:r>
      <w:r>
        <w:t xml:space="preserve">2675. Riduzione del ricorso al pronto soccorso nelle aree metropolitane</w:t>
      </w:r>
      <w:r>
        <w:t xml:space="preserve"> </w:t>
      </w:r>
      <w:r>
        <w:t xml:space="preserve">2676. Riduzione del ricorso al pronto soccorso nelle aree a forte immigrazione</w:t>
      </w:r>
      <w:r>
        <w:t xml:space="preserve"> </w:t>
      </w:r>
      <w:r>
        <w:t xml:space="preserve">2677. Riduzione del ricorso al pronto soccorso nei contesti di deprivazione urbana</w:t>
      </w:r>
      <w:r>
        <w:t xml:space="preserve"> </w:t>
      </w:r>
      <w:r>
        <w:t xml:space="preserve">2678. Riduzione del ricorso al pronto soccorso nelle scuole</w:t>
      </w:r>
      <w:r>
        <w:t xml:space="preserve"> </w:t>
      </w:r>
      <w:r>
        <w:t xml:space="preserve">2679. Riduzione del ricorso al pronto soccorso nei luoghi di lavoro</w:t>
      </w:r>
      <w:r>
        <w:t xml:space="preserve"> </w:t>
      </w:r>
      <w:r>
        <w:t xml:space="preserve">2680. Riduzione del ricorso al pronto soccorso nei consultori familiari</w:t>
      </w:r>
      <w:r>
        <w:t xml:space="preserve"> </w:t>
      </w:r>
      <w:r>
        <w:t xml:space="preserve">2681. Riduzione del ricorso al pronto soccorso nelle residenze per anziani</w:t>
      </w:r>
      <w:r>
        <w:t xml:space="preserve"> </w:t>
      </w:r>
      <w:r>
        <w:t xml:space="preserve">2682. Riduzione del ricorso al pronto soccorso negli istituti penitenziari</w:t>
      </w:r>
      <w:r>
        <w:t xml:space="preserve"> </w:t>
      </w:r>
      <w:r>
        <w:t xml:space="preserve">2683. Riduzione del ricorso al pronto soccorso nei centri per migranti</w:t>
      </w:r>
      <w:r>
        <w:t xml:space="preserve"> </w:t>
      </w:r>
      <w:r>
        <w:t xml:space="preserve">2684. Riduzione del ricorso al pronto soccorso in collaborazione con il terzo settore</w:t>
      </w:r>
      <w:r>
        <w:t xml:space="preserve"> </w:t>
      </w:r>
      <w:r>
        <w:t xml:space="preserve">2685. Riduzione del ricorso al pronto soccorso al domicilio del paziente</w:t>
      </w:r>
      <w:r>
        <w:t xml:space="preserve"> </w:t>
      </w:r>
      <w:r>
        <w:t xml:space="preserve">2686. Riduzione del ricorso al pronto soccorso nelle zone rurali</w:t>
      </w:r>
      <w:r>
        <w:t xml:space="preserve"> </w:t>
      </w:r>
      <w:r>
        <w:t xml:space="preserve">2687. Riduzione del ricorso al pronto soccorso negli ambulatori territoriali</w:t>
      </w:r>
      <w:r>
        <w:t xml:space="preserve"> </w:t>
      </w:r>
      <w:r>
        <w:t xml:space="preserve">2688. Riduzione del ricorso al pronto soccorso nelle aree a bassa densità abitativa</w:t>
      </w:r>
      <w:r>
        <w:t xml:space="preserve"> </w:t>
      </w:r>
      <w:r>
        <w:t xml:space="preserve">2689. Riduzione del ricorso al pronto soccorso negli ospedali di comunità</w:t>
      </w:r>
      <w:r>
        <w:t xml:space="preserve"> </w:t>
      </w:r>
      <w:r>
        <w:t xml:space="preserve">Ramo: Riduzione dei ricoveri evitabili</w:t>
      </w:r>
      <w:r>
        <w:t xml:space="preserve"> </w:t>
      </w:r>
      <w:r>
        <w:t xml:space="preserve">2690. Riduzione dei ricoveri evitabili nelle Case della Comunità</w:t>
      </w:r>
      <w:r>
        <w:t xml:space="preserve"> </w:t>
      </w:r>
      <w:r>
        <w:t xml:space="preserve">2691. Riduzione dei ricoveri evitabili negli studi dei medici di medicina generale</w:t>
      </w:r>
      <w:r>
        <w:t xml:space="preserve"> </w:t>
      </w:r>
      <w:r>
        <w:t xml:space="preserve">67Psicologo di Base · Metodologia apicale e registro unificato delle variabili</w:t>
      </w:r>
      <w:r>
        <w:t xml:space="preserve"> </w:t>
      </w:r>
      <w:r>
        <w:t xml:space="preserve">2692. Riduzione dei ricoveri evitabili negli studi dei pediatri di libera scelta</w:t>
      </w:r>
      <w:r>
        <w:t xml:space="preserve"> </w:t>
      </w:r>
      <w:r>
        <w:t xml:space="preserve">2693. Riduzione dei ricoveri evitabili nei distretti sanitari</w:t>
      </w:r>
      <w:r>
        <w:t xml:space="preserve"> </w:t>
      </w:r>
      <w:r>
        <w:t xml:space="preserve">2694. Riduzione dei ricoveri evitabili in regime di telepsicologia</w:t>
      </w:r>
      <w:r>
        <w:t xml:space="preserve"> </w:t>
      </w:r>
      <w:r>
        <w:t xml:space="preserve">2695. Riduzione dei ricoveri evitabili nelle aree interne e montane</w:t>
      </w:r>
      <w:r>
        <w:t xml:space="preserve"> </w:t>
      </w:r>
      <w:r>
        <w:t xml:space="preserve">2696. Riduzione dei ricoveri evitabili nelle isole minori</w:t>
      </w:r>
      <w:r>
        <w:t xml:space="preserve"> </w:t>
      </w:r>
      <w:r>
        <w:t xml:space="preserve">2697. Riduzione dei ricoveri evitabili nelle aree metropolitane</w:t>
      </w:r>
      <w:r>
        <w:t xml:space="preserve"> </w:t>
      </w:r>
      <w:r>
        <w:t xml:space="preserve">2698. Riduzione dei ricoveri evitabili nelle aree a forte immigrazione</w:t>
      </w:r>
      <w:r>
        <w:t xml:space="preserve"> </w:t>
      </w:r>
      <w:r>
        <w:t xml:space="preserve">2699. Riduzione dei ricoveri evitabili nei contesti di deprivazione urbana</w:t>
      </w:r>
      <w:r>
        <w:t xml:space="preserve"> </w:t>
      </w:r>
      <w:r>
        <w:t xml:space="preserve">2700. Riduzione dei ricoveri evitabili nelle scuole</w:t>
      </w:r>
      <w:r>
        <w:t xml:space="preserve"> </w:t>
      </w:r>
      <w:r>
        <w:t xml:space="preserve">2701. Riduzione dei ricoveri evitabili nei luoghi di lavoro</w:t>
      </w:r>
      <w:r>
        <w:t xml:space="preserve"> </w:t>
      </w:r>
      <w:r>
        <w:t xml:space="preserve">2702. Riduzione dei ricoveri evitabili nei consultori familiari</w:t>
      </w:r>
      <w:r>
        <w:t xml:space="preserve"> </w:t>
      </w:r>
      <w:r>
        <w:t xml:space="preserve">2703. Riduzione dei ricoveri evitabili nelle residenze per anziani</w:t>
      </w:r>
      <w:r>
        <w:t xml:space="preserve"> </w:t>
      </w:r>
      <w:r>
        <w:t xml:space="preserve">2704. Riduzione dei ricoveri evitabili negli istituti penitenziari</w:t>
      </w:r>
      <w:r>
        <w:t xml:space="preserve"> </w:t>
      </w:r>
      <w:r>
        <w:t xml:space="preserve">2705. Riduzione dei ricoveri evitabili nei centri per migranti</w:t>
      </w:r>
      <w:r>
        <w:t xml:space="preserve"> </w:t>
      </w:r>
      <w:r>
        <w:t xml:space="preserve">2706. Riduzione dei ricoveri evitabili in collaborazione con il terzo settore</w:t>
      </w:r>
      <w:r>
        <w:t xml:space="preserve"> </w:t>
      </w:r>
      <w:r>
        <w:t xml:space="preserve">2707. Riduzione dei ricoveri evitabili al domicilio del paziente</w:t>
      </w:r>
      <w:r>
        <w:t xml:space="preserve"> </w:t>
      </w:r>
      <w:r>
        <w:t xml:space="preserve">2708. Riduzione dei ricoveri evitabili nelle zone rurali</w:t>
      </w:r>
      <w:r>
        <w:t xml:space="preserve"> </w:t>
      </w:r>
      <w:r>
        <w:t xml:space="preserve">2709. Riduzione dei ricoveri evitabili negli ambulatori territoriali</w:t>
      </w:r>
      <w:r>
        <w:t xml:space="preserve"> </w:t>
      </w:r>
      <w:r>
        <w:t xml:space="preserve">2710. Riduzione dei ricoveri evitabili nelle aree a bassa densità abitativa</w:t>
      </w:r>
      <w:r>
        <w:t xml:space="preserve"> </w:t>
      </w:r>
      <w:r>
        <w:t xml:space="preserve">2711. Riduzione dei ricoveri evitabili negli ospedali di comunità</w:t>
      </w:r>
      <w:r>
        <w:t xml:space="preserve"> </w:t>
      </w:r>
      <w:r>
        <w:t xml:space="preserve">Ramo: Equità di accesso</w:t>
      </w:r>
      <w:r>
        <w:t xml:space="preserve"> </w:t>
      </w:r>
      <w:r>
        <w:t xml:space="preserve">2712. Equità di accesso nelle Case della Comunità</w:t>
      </w:r>
      <w:r>
        <w:t xml:space="preserve"> </w:t>
      </w:r>
      <w:r>
        <w:t xml:space="preserve">2713. Equità di accesso negli studi dei medici di medicina generale</w:t>
      </w:r>
      <w:r>
        <w:t xml:space="preserve"> </w:t>
      </w:r>
      <w:r>
        <w:t xml:space="preserve">2714. Equità di accesso negli studi dei pediatri di libera scelta</w:t>
      </w:r>
      <w:r>
        <w:t xml:space="preserve"> </w:t>
      </w:r>
      <w:r>
        <w:t xml:space="preserve">2715. Equità di accesso nei distretti sanitari</w:t>
      </w:r>
      <w:r>
        <w:t xml:space="preserve"> </w:t>
      </w:r>
      <w:r>
        <w:t xml:space="preserve">2716. Equità di accesso in regime di telepsicologia</w:t>
      </w:r>
      <w:r>
        <w:t xml:space="preserve"> </w:t>
      </w:r>
      <w:r>
        <w:t xml:space="preserve">2717. Equità di accesso nelle aree interne e montane</w:t>
      </w:r>
      <w:r>
        <w:t xml:space="preserve"> </w:t>
      </w:r>
      <w:r>
        <w:t xml:space="preserve">2718. Equità di accesso nelle isole minori</w:t>
      </w:r>
      <w:r>
        <w:t xml:space="preserve"> </w:t>
      </w:r>
      <w:r>
        <w:t xml:space="preserve">2719. Equità di accesso nelle aree metropolitane</w:t>
      </w:r>
      <w:r>
        <w:t xml:space="preserve"> </w:t>
      </w:r>
      <w:r>
        <w:t xml:space="preserve">2720. Equità di accesso nelle aree a forte immigrazione</w:t>
      </w:r>
      <w:r>
        <w:t xml:space="preserve"> </w:t>
      </w:r>
      <w:r>
        <w:t xml:space="preserve">2721. Equità di accesso nei contesti di deprivazione urbana</w:t>
      </w:r>
      <w:r>
        <w:t xml:space="preserve"> </w:t>
      </w:r>
      <w:r>
        <w:t xml:space="preserve">2722. Equità di accesso nelle scuole</w:t>
      </w:r>
      <w:r>
        <w:t xml:space="preserve"> </w:t>
      </w:r>
      <w:r>
        <w:t xml:space="preserve">2723. Equità di accesso nei luoghi di lavoro</w:t>
      </w:r>
      <w:r>
        <w:t xml:space="preserve"> </w:t>
      </w:r>
      <w:r>
        <w:t xml:space="preserve">2724. Equità di accesso nei consultori familiari</w:t>
      </w:r>
      <w:r>
        <w:t xml:space="preserve"> </w:t>
      </w:r>
      <w:r>
        <w:t xml:space="preserve">2725. Equità di accesso nelle residenze per anziani</w:t>
      </w:r>
      <w:r>
        <w:t xml:space="preserve"> </w:t>
      </w:r>
      <w:r>
        <w:t xml:space="preserve">2726. Equità di accesso negli istituti penitenziari</w:t>
      </w:r>
      <w:r>
        <w:t xml:space="preserve"> </w:t>
      </w:r>
      <w:r>
        <w:t xml:space="preserve">2727. Equità di accesso nei centri per migranti</w:t>
      </w:r>
      <w:r>
        <w:t xml:space="preserve"> </w:t>
      </w:r>
      <w:r>
        <w:t xml:space="preserve">2728. Equità di accesso in collaborazione con il terzo settore</w:t>
      </w:r>
      <w:r>
        <w:t xml:space="preserve"> </w:t>
      </w:r>
      <w:r>
        <w:t xml:space="preserve">2729. Equità di accesso al domicilio del paziente</w:t>
      </w:r>
      <w:r>
        <w:t xml:space="preserve"> </w:t>
      </w:r>
      <w:r>
        <w:t xml:space="preserve">2730. Equità di accesso nelle zone rurali</w:t>
      </w:r>
      <w:r>
        <w:t xml:space="preserve"> </w:t>
      </w:r>
      <w:r>
        <w:t xml:space="preserve">2731. Equità di accesso negli ambulatori territoriali</w:t>
      </w:r>
      <w:r>
        <w:t xml:space="preserve"> </w:t>
      </w:r>
      <w:r>
        <w:t xml:space="preserve">2732. Equità di accesso nelle aree a bassa densità abitativa</w:t>
      </w:r>
      <w:r>
        <w:t xml:space="preserve"> </w:t>
      </w:r>
      <w:r>
        <w:t xml:space="preserve">2733. Equità di accesso negli ospedali di comunità</w:t>
      </w:r>
      <w:r>
        <w:t xml:space="preserve"> </w:t>
      </w:r>
      <w:r>
        <w:t xml:space="preserve">Ramo: Uso della telepsicologia</w:t>
      </w:r>
      <w:r>
        <w:t xml:space="preserve"> </w:t>
      </w:r>
      <w:r>
        <w:t xml:space="preserve">2734. Uso della telepsicologia nelle Case della Comunità</w:t>
      </w:r>
      <w:r>
        <w:t xml:space="preserve"> </w:t>
      </w:r>
      <w:r>
        <w:t xml:space="preserve">2735. Uso della telepsicologia negli studi dei medici di medicina generale</w:t>
      </w:r>
      <w:r>
        <w:t xml:space="preserve"> </w:t>
      </w:r>
      <w:r>
        <w:t xml:space="preserve">2736. Uso della telepsicologia negli studi dei pediatri di libera scelta</w:t>
      </w:r>
      <w:r>
        <w:t xml:space="preserve"> </w:t>
      </w:r>
      <w:r>
        <w:t xml:space="preserve">2737. Uso della telepsicologia nei distretti sanitari</w:t>
      </w:r>
      <w:r>
        <w:t xml:space="preserve"> </w:t>
      </w:r>
      <w:r>
        <w:t xml:space="preserve">2738. Uso della telepsicologia in regime di telepsicologia</w:t>
      </w:r>
      <w:r>
        <w:t xml:space="preserve"> </w:t>
      </w:r>
      <w:r>
        <w:t xml:space="preserve">68Psicologo di Base · Metodologia apicale e registro unificato delle variabili</w:t>
      </w:r>
      <w:r>
        <w:t xml:space="preserve"> </w:t>
      </w:r>
      <w:r>
        <w:t xml:space="preserve">2739. Uso della telepsicologia nelle aree interne e montane</w:t>
      </w:r>
      <w:r>
        <w:t xml:space="preserve"> </w:t>
      </w:r>
      <w:r>
        <w:t xml:space="preserve">2740. Uso della telepsicologia nelle isole minori</w:t>
      </w:r>
      <w:r>
        <w:t xml:space="preserve"> </w:t>
      </w:r>
      <w:r>
        <w:t xml:space="preserve">2741. Uso della telepsicologia nelle aree metropolitane</w:t>
      </w:r>
      <w:r>
        <w:t xml:space="preserve"> </w:t>
      </w:r>
      <w:r>
        <w:t xml:space="preserve">2742. Uso della telepsicologia nelle aree a forte immigrazione</w:t>
      </w:r>
      <w:r>
        <w:t xml:space="preserve"> </w:t>
      </w:r>
      <w:r>
        <w:t xml:space="preserve">2743. Uso della telepsicologia nei contesti di deprivazione urbana</w:t>
      </w:r>
      <w:r>
        <w:t xml:space="preserve"> </w:t>
      </w:r>
      <w:r>
        <w:t xml:space="preserve">2744. Uso della telepsicologia nelle scuole</w:t>
      </w:r>
      <w:r>
        <w:t xml:space="preserve"> </w:t>
      </w:r>
      <w:r>
        <w:t xml:space="preserve">2745. Uso della telepsicologia nei luoghi di lavoro</w:t>
      </w:r>
      <w:r>
        <w:t xml:space="preserve"> </w:t>
      </w:r>
      <w:r>
        <w:t xml:space="preserve">2746. Uso della telepsicologia nei consultori familiari</w:t>
      </w:r>
      <w:r>
        <w:t xml:space="preserve"> </w:t>
      </w:r>
      <w:r>
        <w:t xml:space="preserve">2747. Uso della telepsicologia nelle residenze per anziani</w:t>
      </w:r>
      <w:r>
        <w:t xml:space="preserve"> </w:t>
      </w:r>
      <w:r>
        <w:t xml:space="preserve">2748. Uso della telepsicologia negli istituti penitenziari</w:t>
      </w:r>
      <w:r>
        <w:t xml:space="preserve"> </w:t>
      </w:r>
      <w:r>
        <w:t xml:space="preserve">2749. Uso della telepsicologia nei centri per migranti</w:t>
      </w:r>
      <w:r>
        <w:t xml:space="preserve"> </w:t>
      </w:r>
      <w:r>
        <w:t xml:space="preserve">2750. Uso della telepsicologia in collaborazione con il terzo settore</w:t>
      </w:r>
      <w:r>
        <w:t xml:space="preserve"> </w:t>
      </w:r>
      <w:r>
        <w:t xml:space="preserve">2751. Uso della telepsicologia al domicilio del paziente</w:t>
      </w:r>
      <w:r>
        <w:t xml:space="preserve"> </w:t>
      </w:r>
      <w:r>
        <w:t xml:space="preserve">2752. Uso della telepsicologia nelle zone rurali</w:t>
      </w:r>
      <w:r>
        <w:t xml:space="preserve"> </w:t>
      </w:r>
      <w:r>
        <w:t xml:space="preserve">2753. Uso della telepsicologia negli ambulatori territoriali</w:t>
      </w:r>
      <w:r>
        <w:t xml:space="preserve"> </w:t>
      </w:r>
      <w:r>
        <w:t xml:space="preserve">2754. Uso della telepsicologia nelle aree a bassa densità abitativa</w:t>
      </w:r>
      <w:r>
        <w:t xml:space="preserve"> </w:t>
      </w:r>
      <w:r>
        <w:t xml:space="preserve">2755. Uso della telepsicologia negli ospedali di comunità</w:t>
      </w:r>
      <w:r>
        <w:t xml:space="preserve"> </w:t>
      </w:r>
      <w:r>
        <w:t xml:space="preserve">Ramo: Intercettazione precoce del disagio</w:t>
      </w:r>
      <w:r>
        <w:t xml:space="preserve"> </w:t>
      </w:r>
      <w:r>
        <w:t xml:space="preserve">2756. Intercettazione precoce del disagio nelle Case della Comunità</w:t>
      </w:r>
      <w:r>
        <w:t xml:space="preserve"> </w:t>
      </w:r>
      <w:r>
        <w:t xml:space="preserve">2757. Intercettazione precoce del disagio negli studi dei medici di medicina generale</w:t>
      </w:r>
      <w:r>
        <w:t xml:space="preserve"> </w:t>
      </w:r>
      <w:r>
        <w:t xml:space="preserve">2758. Intercettazione precoce del disagio negli studi dei pediatri di libera scelta</w:t>
      </w:r>
      <w:r>
        <w:t xml:space="preserve"> </w:t>
      </w:r>
      <w:r>
        <w:t xml:space="preserve">2759. Intercettazione precoce del disagio nei distretti sanitari</w:t>
      </w:r>
      <w:r>
        <w:t xml:space="preserve"> </w:t>
      </w:r>
      <w:r>
        <w:t xml:space="preserve">2760. Intercettazione precoce del disagio in regime di telepsicologia</w:t>
      </w:r>
      <w:r>
        <w:t xml:space="preserve"> </w:t>
      </w:r>
      <w:r>
        <w:t xml:space="preserve">2761. Intercettazione precoce del disagio nelle aree interne e montane</w:t>
      </w:r>
      <w:r>
        <w:t xml:space="preserve"> </w:t>
      </w:r>
      <w:r>
        <w:t xml:space="preserve">2762. Intercettazione precoce del disagio nelle isole minori</w:t>
      </w:r>
      <w:r>
        <w:t xml:space="preserve"> </w:t>
      </w:r>
      <w:r>
        <w:t xml:space="preserve">2763. Intercettazione precoce del disagio nelle aree metropolitane</w:t>
      </w:r>
      <w:r>
        <w:t xml:space="preserve"> </w:t>
      </w:r>
      <w:r>
        <w:t xml:space="preserve">2764. Intercettazione precoce del disagio nelle aree a forte immigrazione</w:t>
      </w:r>
      <w:r>
        <w:t xml:space="preserve"> </w:t>
      </w:r>
      <w:r>
        <w:t xml:space="preserve">2765. Intercettazione precoce del disagio nei contesti di deprivazione urbana</w:t>
      </w:r>
      <w:r>
        <w:t xml:space="preserve"> </w:t>
      </w:r>
      <w:r>
        <w:t xml:space="preserve">2766. Intercettazione precoce del disagio nelle scuole</w:t>
      </w:r>
      <w:r>
        <w:t xml:space="preserve"> </w:t>
      </w:r>
      <w:r>
        <w:t xml:space="preserve">2767. Intercettazione precoce del disagio nei luoghi di lavoro</w:t>
      </w:r>
      <w:r>
        <w:t xml:space="preserve"> </w:t>
      </w:r>
      <w:r>
        <w:t xml:space="preserve">2768. Intercettazione precoce del disagio nei consultori familiari</w:t>
      </w:r>
      <w:r>
        <w:t xml:space="preserve"> </w:t>
      </w:r>
      <w:r>
        <w:t xml:space="preserve">2769. Intercettazione precoce del disagio nelle residenze per anziani</w:t>
      </w:r>
      <w:r>
        <w:t xml:space="preserve"> </w:t>
      </w:r>
      <w:r>
        <w:t xml:space="preserve">2770. Intercettazione precoce del disagio negli istituti penitenziari</w:t>
      </w:r>
      <w:r>
        <w:t xml:space="preserve"> </w:t>
      </w:r>
      <w:r>
        <w:t xml:space="preserve">2771. Intercettazione precoce del disagio nei centri per migranti</w:t>
      </w:r>
      <w:r>
        <w:t xml:space="preserve"> </w:t>
      </w:r>
      <w:r>
        <w:t xml:space="preserve">2772. Intercettazione precoce del disagio in collaborazione con il terzo settore</w:t>
      </w:r>
      <w:r>
        <w:t xml:space="preserve"> </w:t>
      </w:r>
      <w:r>
        <w:t xml:space="preserve">2773. Intercettazione precoce del disagio al domicilio del paziente</w:t>
      </w:r>
      <w:r>
        <w:t xml:space="preserve"> </w:t>
      </w:r>
      <w:r>
        <w:t xml:space="preserve">2774. Intercettazione precoce del disagio nelle zone rurali</w:t>
      </w:r>
      <w:r>
        <w:t xml:space="preserve"> </w:t>
      </w:r>
      <w:r>
        <w:t xml:space="preserve">2775. Intercettazione precoce del disagio negli ambulatori territoriali</w:t>
      </w:r>
      <w:r>
        <w:t xml:space="preserve"> </w:t>
      </w:r>
      <w:r>
        <w:t xml:space="preserve">2776. Intercettazione precoce del disagio nelle aree a bassa densità abitativa</w:t>
      </w:r>
      <w:r>
        <w:t xml:space="preserve"> </w:t>
      </w:r>
      <w:r>
        <w:t xml:space="preserve">2777. Intercettazione precoce del disagio negli ospedali di comunità</w:t>
      </w:r>
      <w:r>
        <w:t xml:space="preserve"> </w:t>
      </w:r>
      <w:r>
        <w:t xml:space="preserve">Ramo: Tasso di completamento dei percorsi</w:t>
      </w:r>
      <w:r>
        <w:t xml:space="preserve"> </w:t>
      </w:r>
      <w:r>
        <w:t xml:space="preserve">2778. Tasso di completamento dei percorsi nelle Case della Comunità</w:t>
      </w:r>
      <w:r>
        <w:t xml:space="preserve"> </w:t>
      </w:r>
      <w:r>
        <w:t xml:space="preserve">2779. Tasso di completamento dei percorsi negli studi dei medici di medicina generale</w:t>
      </w:r>
      <w:r>
        <w:t xml:space="preserve"> </w:t>
      </w:r>
      <w:r>
        <w:t xml:space="preserve">2780. Tasso di completamento dei percorsi negli studi dei pediatri di libera scelta</w:t>
      </w:r>
      <w:r>
        <w:t xml:space="preserve"> </w:t>
      </w:r>
      <w:r>
        <w:t xml:space="preserve">2781. Tasso di completamento dei percorsi nei distretti sanitari</w:t>
      </w:r>
      <w:r>
        <w:t xml:space="preserve"> </w:t>
      </w:r>
      <w:r>
        <w:t xml:space="preserve">2782. Tasso di completamento dei percorsi in regime di telepsicologia</w:t>
      </w:r>
      <w:r>
        <w:t xml:space="preserve"> </w:t>
      </w:r>
      <w:r>
        <w:t xml:space="preserve">2783. Tasso di completamento dei percorsi nelle aree interne e montane</w:t>
      </w:r>
      <w:r>
        <w:t xml:space="preserve"> </w:t>
      </w:r>
      <w:r>
        <w:t xml:space="preserve">2784. Tasso di completamento dei percorsi nelle isole minori</w:t>
      </w:r>
      <w:r>
        <w:t xml:space="preserve"> </w:t>
      </w:r>
      <w:r>
        <w:t xml:space="preserve">2785. Tasso di completamento dei percorsi nelle aree metropolitane</w:t>
      </w:r>
      <w:r>
        <w:t xml:space="preserve"> </w:t>
      </w:r>
      <w:r>
        <w:t xml:space="preserve">69Psicologo di Base · Metodologia apicale e registro unificato delle variabili</w:t>
      </w:r>
      <w:r>
        <w:t xml:space="preserve"> </w:t>
      </w:r>
      <w:r>
        <w:t xml:space="preserve">2786. Tasso di completamento dei percorsi nelle aree a forte immigrazione</w:t>
      </w:r>
      <w:r>
        <w:t xml:space="preserve"> </w:t>
      </w:r>
      <w:r>
        <w:t xml:space="preserve">2787. Tasso di completamento dei percorsi nei contesti di deprivazione urbana</w:t>
      </w:r>
      <w:r>
        <w:t xml:space="preserve"> </w:t>
      </w:r>
      <w:r>
        <w:t xml:space="preserve">2788. Tasso di completamento dei percorsi nelle scuole</w:t>
      </w:r>
      <w:r>
        <w:t xml:space="preserve"> </w:t>
      </w:r>
      <w:r>
        <w:t xml:space="preserve">2789. Tasso di completamento dei percorsi nei luoghi di lavoro</w:t>
      </w:r>
      <w:r>
        <w:t xml:space="preserve"> </w:t>
      </w:r>
      <w:r>
        <w:t xml:space="preserve">2790. Tasso di completamento dei percorsi nei consultori familiari</w:t>
      </w:r>
      <w:r>
        <w:t xml:space="preserve"> </w:t>
      </w:r>
      <w:r>
        <w:t xml:space="preserve">2791. Tasso di completamento dei percorsi nelle residenze per anziani</w:t>
      </w:r>
      <w:r>
        <w:t xml:space="preserve"> </w:t>
      </w:r>
      <w:r>
        <w:t xml:space="preserve">2792. Tasso di completamento dei percorsi negli istituti penitenziari</w:t>
      </w:r>
      <w:r>
        <w:t xml:space="preserve"> </w:t>
      </w:r>
      <w:r>
        <w:t xml:space="preserve">2793. Tasso di completamento dei percorsi nei centri per migranti</w:t>
      </w:r>
      <w:r>
        <w:t xml:space="preserve"> </w:t>
      </w:r>
      <w:r>
        <w:t xml:space="preserve">2794. Tasso di completamento dei percorsi in collaborazione con il terzo settore</w:t>
      </w:r>
      <w:r>
        <w:t xml:space="preserve"> </w:t>
      </w:r>
      <w:r>
        <w:t xml:space="preserve">2795. Tasso di completamento dei percorsi al domicilio del paziente</w:t>
      </w:r>
      <w:r>
        <w:t xml:space="preserve"> </w:t>
      </w:r>
      <w:r>
        <w:t xml:space="preserve">2796. Tasso di completamento dei percorsi nelle zone rurali</w:t>
      </w:r>
      <w:r>
        <w:t xml:space="preserve"> </w:t>
      </w:r>
      <w:r>
        <w:t xml:space="preserve">2797. Tasso di completamento dei percorsi negli ambulatori territoriali</w:t>
      </w:r>
      <w:r>
        <w:t xml:space="preserve"> </w:t>
      </w:r>
      <w:r>
        <w:t xml:space="preserve">2798. Tasso di completamento dei percorsi nelle aree a bassa densità abitativa</w:t>
      </w:r>
      <w:r>
        <w:t xml:space="preserve"> </w:t>
      </w:r>
      <w:r>
        <w:t xml:space="preserve">2799. Tasso di completamento dei percorsi negli ospedali di comunità</w:t>
      </w:r>
      <w:r>
        <w:t xml:space="preserve"> </w:t>
      </w:r>
      <w:r>
        <w:t xml:space="preserve">Ramo: Riduzione degli abbandoni del percorso</w:t>
      </w:r>
      <w:r>
        <w:t xml:space="preserve"> </w:t>
      </w:r>
      <w:r>
        <w:t xml:space="preserve">2800. Riduzione degli abbandoni del percorso nelle Case della Comunità</w:t>
      </w:r>
      <w:r>
        <w:t xml:space="preserve"> </w:t>
      </w:r>
      <w:r>
        <w:t xml:space="preserve">2801. Riduzione degli abbandoni del percorso negli studi dei medici di medicina generale</w:t>
      </w:r>
      <w:r>
        <w:t xml:space="preserve"> </w:t>
      </w:r>
      <w:r>
        <w:t xml:space="preserve">2802. Riduzione degli abbandoni del percorso negli studi dei pediatri di libera scelta</w:t>
      </w:r>
      <w:r>
        <w:t xml:space="preserve"> </w:t>
      </w:r>
      <w:r>
        <w:t xml:space="preserve">2803. Riduzione degli abbandoni del percorso nei distretti sanitari</w:t>
      </w:r>
      <w:r>
        <w:t xml:space="preserve"> </w:t>
      </w:r>
      <w:r>
        <w:t xml:space="preserve">2804. Riduzione degli abbandoni del percorso in regime di telepsicologia</w:t>
      </w:r>
      <w:r>
        <w:t xml:space="preserve"> </w:t>
      </w:r>
      <w:r>
        <w:t xml:space="preserve">2805. Riduzione degli abbandoni del percorso nelle aree interne e montane</w:t>
      </w:r>
      <w:r>
        <w:t xml:space="preserve"> </w:t>
      </w:r>
      <w:r>
        <w:t xml:space="preserve">2806. Riduzione degli abbandoni del percorso nelle isole minori</w:t>
      </w:r>
      <w:r>
        <w:t xml:space="preserve"> </w:t>
      </w:r>
      <w:r>
        <w:t xml:space="preserve">2807. Riduzione degli abbandoni del percorso nelle aree metropolitane</w:t>
      </w:r>
      <w:r>
        <w:t xml:space="preserve"> </w:t>
      </w:r>
      <w:r>
        <w:t xml:space="preserve">2808. Riduzione degli abbandoni del percorso nelle aree a forte immigrazione</w:t>
      </w:r>
      <w:r>
        <w:t xml:space="preserve"> </w:t>
      </w:r>
      <w:r>
        <w:t xml:space="preserve">2809. Riduzione degli abbandoni del percorso nei contesti di deprivazione urbana</w:t>
      </w:r>
      <w:r>
        <w:t xml:space="preserve"> </w:t>
      </w:r>
      <w:r>
        <w:t xml:space="preserve">2810. Riduzione degli abbandoni del percorso nelle scuole</w:t>
      </w:r>
      <w:r>
        <w:t xml:space="preserve"> </w:t>
      </w:r>
      <w:r>
        <w:t xml:space="preserve">2811. Riduzione degli abbandoni del percorso nei luoghi di lavoro</w:t>
      </w:r>
      <w:r>
        <w:t xml:space="preserve"> </w:t>
      </w:r>
      <w:r>
        <w:t xml:space="preserve">2812. Riduzione degli abbandoni del percorso nei consultori familiari</w:t>
      </w:r>
      <w:r>
        <w:t xml:space="preserve"> </w:t>
      </w:r>
      <w:r>
        <w:t xml:space="preserve">2813. Riduzione degli abbandoni del percorso nelle residenze per anziani</w:t>
      </w:r>
      <w:r>
        <w:t xml:space="preserve"> </w:t>
      </w:r>
      <w:r>
        <w:t xml:space="preserve">2814. Riduzione degli abbandoni del percorso negli istituti penitenziari</w:t>
      </w:r>
      <w:r>
        <w:t xml:space="preserve"> </w:t>
      </w:r>
      <w:r>
        <w:t xml:space="preserve">2815. Riduzione degli abbandoni del percorso nei centri per migranti</w:t>
      </w:r>
      <w:r>
        <w:t xml:space="preserve"> </w:t>
      </w:r>
      <w:r>
        <w:t xml:space="preserve">2816. Riduzione degli abbandoni del percorso in collaborazione con il terzo settore</w:t>
      </w:r>
      <w:r>
        <w:t xml:space="preserve"> </w:t>
      </w:r>
      <w:r>
        <w:t xml:space="preserve">2817. Riduzione degli abbandoni del percorso al domicilio del paziente</w:t>
      </w:r>
      <w:r>
        <w:t xml:space="preserve"> </w:t>
      </w:r>
      <w:r>
        <w:t xml:space="preserve">2818. Riduzione degli abbandoni del percorso nelle zone rurali</w:t>
      </w:r>
      <w:r>
        <w:t xml:space="preserve"> </w:t>
      </w:r>
      <w:r>
        <w:t xml:space="preserve">2819. Riduzione degli abbandoni del percorso negli ambulatori territoriali</w:t>
      </w:r>
      <w:r>
        <w:t xml:space="preserve"> </w:t>
      </w:r>
      <w:r>
        <w:t xml:space="preserve">2820. Riduzione degli abbandoni del percorso nelle aree a bassa densità abitativa</w:t>
      </w:r>
      <w:r>
        <w:t xml:space="preserve"> </w:t>
      </w:r>
      <w:r>
        <w:t xml:space="preserve">2821. Riduzione degli abbandoni del percorso negli ospedali di comunità</w:t>
      </w:r>
      <w:r>
        <w:t xml:space="preserve"> </w:t>
      </w:r>
      <w:r>
        <w:t xml:space="preserve">Ramo: Qualità percepita delle cure</w:t>
      </w:r>
      <w:r>
        <w:t xml:space="preserve"> </w:t>
      </w:r>
      <w:r>
        <w:t xml:space="preserve">2822. Qualità percepita delle cure nelle Case della Comunità</w:t>
      </w:r>
      <w:r>
        <w:t xml:space="preserve"> </w:t>
      </w:r>
      <w:r>
        <w:t xml:space="preserve">2823. Qualità percepita delle cure negli studi dei medici di medicina generale</w:t>
      </w:r>
      <w:r>
        <w:t xml:space="preserve"> </w:t>
      </w:r>
      <w:r>
        <w:t xml:space="preserve">2824. Qualità percepita delle cure negli studi dei pediatri di libera scelta</w:t>
      </w:r>
      <w:r>
        <w:t xml:space="preserve"> </w:t>
      </w:r>
      <w:r>
        <w:t xml:space="preserve">2825. Qualità percepita delle cure nei distretti sanitari</w:t>
      </w:r>
      <w:r>
        <w:t xml:space="preserve"> </w:t>
      </w:r>
      <w:r>
        <w:t xml:space="preserve">2826. Qualità percepita delle cure in regime di telepsicologia</w:t>
      </w:r>
      <w:r>
        <w:t xml:space="preserve"> </w:t>
      </w:r>
      <w:r>
        <w:t xml:space="preserve">2827. Qualità percepita delle cure nelle aree interne e montane</w:t>
      </w:r>
      <w:r>
        <w:t xml:space="preserve"> </w:t>
      </w:r>
      <w:r>
        <w:t xml:space="preserve">2828. Qualità percepita delle cure nelle isole minori</w:t>
      </w:r>
      <w:r>
        <w:t xml:space="preserve"> </w:t>
      </w:r>
      <w:r>
        <w:t xml:space="preserve">2829. Qualità percepita delle cure nelle aree metropolitane</w:t>
      </w:r>
      <w:r>
        <w:t xml:space="preserve"> </w:t>
      </w:r>
      <w:r>
        <w:t xml:space="preserve">2830. Qualità percepita delle cure nelle aree a forte immigrazione</w:t>
      </w:r>
      <w:r>
        <w:t xml:space="preserve"> </w:t>
      </w:r>
      <w:r>
        <w:t xml:space="preserve">2831. Qualità percepita delle cure nei contesti di deprivazione urbana</w:t>
      </w:r>
      <w:r>
        <w:t xml:space="preserve"> </w:t>
      </w:r>
      <w:r>
        <w:t xml:space="preserve">2832. Qualità percepita delle cure nelle scuole</w:t>
      </w:r>
      <w:r>
        <w:t xml:space="preserve"> </w:t>
      </w:r>
      <w:r>
        <w:t xml:space="preserve">70Psicologo di Base · Metodologia apicale e registro unificato delle variabili</w:t>
      </w:r>
      <w:r>
        <w:t xml:space="preserve"> </w:t>
      </w:r>
      <w:r>
        <w:t xml:space="preserve">2833. Qualità percepita delle cure nei luoghi di lavoro</w:t>
      </w:r>
      <w:r>
        <w:t xml:space="preserve"> </w:t>
      </w:r>
      <w:r>
        <w:t xml:space="preserve">2834. Qualità percepita delle cure nei consultori familiari</w:t>
      </w:r>
      <w:r>
        <w:t xml:space="preserve"> </w:t>
      </w:r>
      <w:r>
        <w:t xml:space="preserve">2835. Qualità percepita delle cure nelle residenze per anziani</w:t>
      </w:r>
      <w:r>
        <w:t xml:space="preserve"> </w:t>
      </w:r>
      <w:r>
        <w:t xml:space="preserve">2836. Qualità percepita delle cure negli istituti penitenziari</w:t>
      </w:r>
      <w:r>
        <w:t xml:space="preserve"> </w:t>
      </w:r>
      <w:r>
        <w:t xml:space="preserve">2837. Qualità percepita delle cure nei centri per migranti</w:t>
      </w:r>
      <w:r>
        <w:t xml:space="preserve"> </w:t>
      </w:r>
      <w:r>
        <w:t xml:space="preserve">2838. Qualità percepita delle cure in collaborazione con il terzo settore</w:t>
      </w:r>
      <w:r>
        <w:t xml:space="preserve"> </w:t>
      </w:r>
      <w:r>
        <w:t xml:space="preserve">2839. Qualità percepita delle cure al domicilio del paziente</w:t>
      </w:r>
      <w:r>
        <w:t xml:space="preserve"> </w:t>
      </w:r>
      <w:r>
        <w:t xml:space="preserve">2840. Qualità percepita delle cure nelle zone rurali</w:t>
      </w:r>
      <w:r>
        <w:t xml:space="preserve"> </w:t>
      </w:r>
      <w:r>
        <w:t xml:space="preserve">2841. Qualità percepita delle cure negli ambulatori territoriali</w:t>
      </w:r>
      <w:r>
        <w:t xml:space="preserve"> </w:t>
      </w:r>
      <w:r>
        <w:t xml:space="preserve">2842. Qualità percepita delle cure nelle aree a bassa densità abitativa</w:t>
      </w:r>
      <w:r>
        <w:t xml:space="preserve"> </w:t>
      </w:r>
      <w:r>
        <w:t xml:space="preserve">2843. Qualità percepita delle cure negli ospedali di comunità</w:t>
      </w:r>
      <w:r>
        <w:t xml:space="preserve"> </w:t>
      </w:r>
      <w:r>
        <w:t xml:space="preserve">Ramo: Copertura della popolazione fragile</w:t>
      </w:r>
      <w:r>
        <w:t xml:space="preserve"> </w:t>
      </w:r>
      <w:r>
        <w:t xml:space="preserve">2844. Copertura della popolazione fragile nelle Case della Comunità</w:t>
      </w:r>
      <w:r>
        <w:t xml:space="preserve"> </w:t>
      </w:r>
      <w:r>
        <w:t xml:space="preserve">2845. Copertura della popolazione fragile negli studi dei medici di medicina generale</w:t>
      </w:r>
      <w:r>
        <w:t xml:space="preserve"> </w:t>
      </w:r>
      <w:r>
        <w:t xml:space="preserve">2846. Copertura della popolazione fragile negli studi dei pediatri di libera scelta</w:t>
      </w:r>
      <w:r>
        <w:t xml:space="preserve"> </w:t>
      </w:r>
      <w:r>
        <w:t xml:space="preserve">2847. Copertura della popolazione fragile nei distretti sanitari</w:t>
      </w:r>
      <w:r>
        <w:t xml:space="preserve"> </w:t>
      </w:r>
      <w:r>
        <w:t xml:space="preserve">2848. Copertura della popolazione fragile in regime di telepsicologia</w:t>
      </w:r>
      <w:r>
        <w:t xml:space="preserve"> </w:t>
      </w:r>
      <w:r>
        <w:t xml:space="preserve">2849. Copertura della popolazione fragile nelle aree interne e montane</w:t>
      </w:r>
      <w:r>
        <w:t xml:space="preserve"> </w:t>
      </w:r>
      <w:r>
        <w:t xml:space="preserve">2850. Copertura della popolazione fragile nelle isole minori</w:t>
      </w:r>
      <w:r>
        <w:t xml:space="preserve"> </w:t>
      </w:r>
      <w:r>
        <w:t xml:space="preserve">2851. Copertura della popolazione fragile nelle aree metropolitane</w:t>
      </w:r>
      <w:r>
        <w:t xml:space="preserve"> </w:t>
      </w:r>
      <w:r>
        <w:t xml:space="preserve">2852. Copertura della popolazione fragile nelle aree a forte immigrazione</w:t>
      </w:r>
      <w:r>
        <w:t xml:space="preserve"> </w:t>
      </w:r>
      <w:r>
        <w:t xml:space="preserve">2853. Copertura della popolazione fragile nei contesti di deprivazione urbana</w:t>
      </w:r>
      <w:r>
        <w:t xml:space="preserve"> </w:t>
      </w:r>
      <w:r>
        <w:t xml:space="preserve">2854. Copertura della popolazione fragile nelle scuole</w:t>
      </w:r>
      <w:r>
        <w:t xml:space="preserve"> </w:t>
      </w:r>
      <w:r>
        <w:t xml:space="preserve">2855. Copertura della popolazione fragile nei luoghi di lavoro</w:t>
      </w:r>
      <w:r>
        <w:t xml:space="preserve"> </w:t>
      </w:r>
      <w:r>
        <w:t xml:space="preserve">2856. Copertura della popolazione fragile nei consultori familiari</w:t>
      </w:r>
      <w:r>
        <w:t xml:space="preserve"> </w:t>
      </w:r>
      <w:r>
        <w:t xml:space="preserve">2857. Copertura della popolazione fragile nelle residenze per anziani</w:t>
      </w:r>
      <w:r>
        <w:t xml:space="preserve"> </w:t>
      </w:r>
      <w:r>
        <w:t xml:space="preserve">2858. Copertura della popolazione fragile negli istituti penitenziari</w:t>
      </w:r>
      <w:r>
        <w:t xml:space="preserve"> </w:t>
      </w:r>
      <w:r>
        <w:t xml:space="preserve">2859. Copertura della popolazione fragile nei centri per migranti</w:t>
      </w:r>
      <w:r>
        <w:t xml:space="preserve"> </w:t>
      </w:r>
      <w:r>
        <w:t xml:space="preserve">2860. Copertura della popolazione fragile in collaborazione con il terzo settore</w:t>
      </w:r>
      <w:r>
        <w:t xml:space="preserve"> </w:t>
      </w:r>
      <w:r>
        <w:t xml:space="preserve">2861. Copertura della popolazione fragile al domicilio del paziente</w:t>
      </w:r>
      <w:r>
        <w:t xml:space="preserve"> </w:t>
      </w:r>
      <w:r>
        <w:t xml:space="preserve">2862. Copertura della popolazione fragile nelle zone rurali</w:t>
      </w:r>
      <w:r>
        <w:t xml:space="preserve"> </w:t>
      </w:r>
      <w:r>
        <w:t xml:space="preserve">2863. Copertura della popolazione fragile negli ambulatori territoriali</w:t>
      </w:r>
      <w:r>
        <w:t xml:space="preserve"> </w:t>
      </w:r>
      <w:r>
        <w:t xml:space="preserve">2864. Copertura della popolazione fragile nelle aree a bassa densità abitativa</w:t>
      </w:r>
      <w:r>
        <w:t xml:space="preserve"> </w:t>
      </w:r>
      <w:r>
        <w:t xml:space="preserve">2865. Copertura della popolazione fragile negli ospedali di comunità</w:t>
      </w:r>
      <w:r>
        <w:t xml:space="preserve"> </w:t>
      </w:r>
      <w:r>
        <w:t xml:space="preserve">Ramo: Riduzione delle disuguaglianze territoriali</w:t>
      </w:r>
      <w:r>
        <w:t xml:space="preserve"> </w:t>
      </w:r>
      <w:r>
        <w:t xml:space="preserve">2866. Riduzione delle disuguaglianze territoriali nelle Case della Comunità</w:t>
      </w:r>
      <w:r>
        <w:t xml:space="preserve"> </w:t>
      </w:r>
      <w:r>
        <w:t xml:space="preserve">2867. Riduzione delle disuguaglianze territoriali negli studi dei medici di medicina generale</w:t>
      </w:r>
      <w:r>
        <w:t xml:space="preserve"> </w:t>
      </w:r>
      <w:r>
        <w:t xml:space="preserve">2868. Riduzione delle disuguaglianze territoriali negli studi dei pediatri di libera scelta</w:t>
      </w:r>
      <w:r>
        <w:t xml:space="preserve"> </w:t>
      </w:r>
      <w:r>
        <w:t xml:space="preserve">2869. Riduzione delle disuguaglianze territoriali nei distretti sanitari</w:t>
      </w:r>
      <w:r>
        <w:t xml:space="preserve"> </w:t>
      </w:r>
      <w:r>
        <w:t xml:space="preserve">2870. Riduzione delle disuguaglianze territoriali in regime di telepsicologia</w:t>
      </w:r>
      <w:r>
        <w:t xml:space="preserve"> </w:t>
      </w:r>
      <w:r>
        <w:t xml:space="preserve">2871. Riduzione delle disuguaglianze territoriali nelle aree interne e montane</w:t>
      </w:r>
      <w:r>
        <w:t xml:space="preserve"> </w:t>
      </w:r>
      <w:r>
        <w:t xml:space="preserve">2872. Riduzione delle disuguaglianze territoriali nelle isole minori</w:t>
      </w:r>
      <w:r>
        <w:t xml:space="preserve"> </w:t>
      </w:r>
      <w:r>
        <w:t xml:space="preserve">2873. Riduzione delle disuguaglianze territoriali nelle aree metropolitane</w:t>
      </w:r>
      <w:r>
        <w:t xml:space="preserve"> </w:t>
      </w:r>
      <w:r>
        <w:t xml:space="preserve">2874. Riduzione delle disuguaglianze territoriali nelle aree a forte immigrazione</w:t>
      </w:r>
      <w:r>
        <w:t xml:space="preserve"> </w:t>
      </w:r>
      <w:r>
        <w:t xml:space="preserve">2875. Riduzione delle disuguaglianze territoriali nei contesti di deprivazione urbana</w:t>
      </w:r>
      <w:r>
        <w:t xml:space="preserve"> </w:t>
      </w:r>
      <w:r>
        <w:t xml:space="preserve">2876. Riduzione delle disuguaglianze territoriali nelle scuole</w:t>
      </w:r>
      <w:r>
        <w:t xml:space="preserve"> </w:t>
      </w:r>
      <w:r>
        <w:t xml:space="preserve">2877. Riduzione delle disuguaglianze territoriali nei luoghi di lavoro</w:t>
      </w:r>
      <w:r>
        <w:t xml:space="preserve"> </w:t>
      </w:r>
      <w:r>
        <w:t xml:space="preserve">2878. Riduzione delle disuguaglianze territoriali nei consultori familiari</w:t>
      </w:r>
      <w:r>
        <w:t xml:space="preserve"> </w:t>
      </w:r>
      <w:r>
        <w:t xml:space="preserve">2879. Riduzione delle disuguaglianze territoriali nelle residenze per anziani</w:t>
      </w:r>
      <w:r>
        <w:t xml:space="preserve"> </w:t>
      </w:r>
      <w:r>
        <w:t xml:space="preserve">71Psicologo di Base · Metodologia apicale e registro unificato delle variabili</w:t>
      </w:r>
      <w:r>
        <w:t xml:space="preserve"> </w:t>
      </w:r>
      <w:r>
        <w:t xml:space="preserve">2880. Riduzione delle disuguaglianze territoriali negli istituti penitenziari</w:t>
      </w:r>
      <w:r>
        <w:t xml:space="preserve"> </w:t>
      </w:r>
      <w:r>
        <w:t xml:space="preserve">2881. Riduzione delle disuguaglianze territoriali nei centri per migranti</w:t>
      </w:r>
      <w:r>
        <w:t xml:space="preserve"> </w:t>
      </w:r>
      <w:r>
        <w:t xml:space="preserve">2882. Riduzione delle disuguaglianze territoriali in collaborazione con il terzo settore</w:t>
      </w:r>
      <w:r>
        <w:t xml:space="preserve"> </w:t>
      </w:r>
      <w:r>
        <w:t xml:space="preserve">2883. Riduzione delle disuguaglianze territoriali al domicilio del paziente</w:t>
      </w:r>
      <w:r>
        <w:t xml:space="preserve"> </w:t>
      </w:r>
      <w:r>
        <w:t xml:space="preserve">2884. Riduzione delle disuguaglianze territoriali nelle zone rurali</w:t>
      </w:r>
      <w:r>
        <w:t xml:space="preserve"> </w:t>
      </w:r>
      <w:r>
        <w:t xml:space="preserve">2885. Riduzione delle disuguaglianze territoriali negli ambulatori territoriali</w:t>
      </w:r>
      <w:r>
        <w:t xml:space="preserve"> </w:t>
      </w:r>
      <w:r>
        <w:t xml:space="preserve">2886. Riduzione delle disuguaglianze territoriali nelle aree a bassa densità abitativa</w:t>
      </w:r>
      <w:r>
        <w:t xml:space="preserve"> </w:t>
      </w:r>
      <w:r>
        <w:t xml:space="preserve">2887. Riduzione delle disuguaglianze territoriali negli ospedali di comunità</w:t>
      </w:r>
      <w:r>
        <w:t xml:space="preserve"> </w:t>
      </w:r>
      <w:r>
        <w:t xml:space="preserve">Ramo: Capillarità della rete di erogazione</w:t>
      </w:r>
      <w:r>
        <w:t xml:space="preserve"> </w:t>
      </w:r>
      <w:r>
        <w:t xml:space="preserve">2888. Capillarità della rete di erogazione nelle Case della Comunità</w:t>
      </w:r>
      <w:r>
        <w:t xml:space="preserve"> </w:t>
      </w:r>
      <w:r>
        <w:t xml:space="preserve">2889. Capillarità della rete di erogazione negli studi dei medici di medicina generale</w:t>
      </w:r>
      <w:r>
        <w:t xml:space="preserve"> </w:t>
      </w:r>
      <w:r>
        <w:t xml:space="preserve">2890. Capillarità della rete di erogazione negli studi dei pediatri di libera scelta</w:t>
      </w:r>
      <w:r>
        <w:t xml:space="preserve"> </w:t>
      </w:r>
      <w:r>
        <w:t xml:space="preserve">2891. Capillarità della rete di erogazione nei distretti sanitari</w:t>
      </w:r>
      <w:r>
        <w:t xml:space="preserve"> </w:t>
      </w:r>
      <w:r>
        <w:t xml:space="preserve">2892. Capillarità della rete di erogazione in regime di telepsicologia</w:t>
      </w:r>
      <w:r>
        <w:t xml:space="preserve"> </w:t>
      </w:r>
      <w:r>
        <w:t xml:space="preserve">2893. Capillarità della rete di erogazione nelle aree interne e montane</w:t>
      </w:r>
      <w:r>
        <w:t xml:space="preserve"> </w:t>
      </w:r>
      <w:r>
        <w:t xml:space="preserve">2894. Capillarità della rete di erogazione nelle isole minori</w:t>
      </w:r>
      <w:r>
        <w:t xml:space="preserve"> </w:t>
      </w:r>
      <w:r>
        <w:t xml:space="preserve">2895. Capillarità della rete di erogazione nelle aree metropolitane</w:t>
      </w:r>
      <w:r>
        <w:t xml:space="preserve"> </w:t>
      </w:r>
      <w:r>
        <w:t xml:space="preserve">2896. Capillarità della rete di erogazione nelle aree a forte immigrazione</w:t>
      </w:r>
      <w:r>
        <w:t xml:space="preserve"> </w:t>
      </w:r>
      <w:r>
        <w:t xml:space="preserve">2897. Capillarità della rete di erogazione nei contesti di deprivazione urbana</w:t>
      </w:r>
      <w:r>
        <w:t xml:space="preserve"> </w:t>
      </w:r>
      <w:r>
        <w:t xml:space="preserve">2898. Capillarità della rete di erogazione nelle scuole</w:t>
      </w:r>
      <w:r>
        <w:t xml:space="preserve"> </w:t>
      </w:r>
      <w:r>
        <w:t xml:space="preserve">2899. Capillarità della rete di erogazione nei luoghi di lavoro</w:t>
      </w:r>
      <w:r>
        <w:t xml:space="preserve"> </w:t>
      </w:r>
      <w:r>
        <w:t xml:space="preserve">2900. Capillarità della rete di erogazione nei consultori familiari</w:t>
      </w:r>
      <w:r>
        <w:t xml:space="preserve"> </w:t>
      </w:r>
      <w:r>
        <w:t xml:space="preserve">2901. Capillarità della rete di erogazione nelle residenze per anziani</w:t>
      </w:r>
      <w:r>
        <w:t xml:space="preserve"> </w:t>
      </w:r>
      <w:r>
        <w:t xml:space="preserve">2902. Capillarità della rete di erogazione negli istituti penitenziari</w:t>
      </w:r>
      <w:r>
        <w:t xml:space="preserve"> </w:t>
      </w:r>
      <w:r>
        <w:t xml:space="preserve">2903. Capillarità della rete di erogazione nei centri per migranti</w:t>
      </w:r>
      <w:r>
        <w:t xml:space="preserve"> </w:t>
      </w:r>
      <w:r>
        <w:t xml:space="preserve">2904. Capillarità della rete di erogazione in collaborazione con il terzo settore</w:t>
      </w:r>
      <w:r>
        <w:t xml:space="preserve"> </w:t>
      </w:r>
      <w:r>
        <w:t xml:space="preserve">2905. Capillarità della rete di erogazione al domicilio del paziente</w:t>
      </w:r>
      <w:r>
        <w:t xml:space="preserve"> </w:t>
      </w:r>
      <w:r>
        <w:t xml:space="preserve">2906. Capillarità della rete di erogazione nelle zone rurali</w:t>
      </w:r>
      <w:r>
        <w:t xml:space="preserve"> </w:t>
      </w:r>
      <w:r>
        <w:t xml:space="preserve">2907. Capillarità della rete di erogazione negli ambulatori territoriali</w:t>
      </w:r>
      <w:r>
        <w:t xml:space="preserve"> </w:t>
      </w:r>
      <w:r>
        <w:t xml:space="preserve">2908. Capillarità della rete di erogazione nelle aree a bassa densità abitativa</w:t>
      </w:r>
      <w:r>
        <w:t xml:space="preserve"> </w:t>
      </w:r>
      <w:r>
        <w:t xml:space="preserve">2909. Capillarità della rete di erogazione negli ospedali di comunità</w:t>
      </w:r>
      <w:r>
        <w:t xml:space="preserve"> </w:t>
      </w:r>
      <w:r>
        <w:t xml:space="preserve">Ramo: Costo per prestazione</w:t>
      </w:r>
      <w:r>
        <w:t xml:space="preserve"> </w:t>
      </w:r>
      <w:r>
        <w:t xml:space="preserve">2910. Costo per prestazione nelle Case della Comunità</w:t>
      </w:r>
      <w:r>
        <w:t xml:space="preserve"> </w:t>
      </w:r>
      <w:r>
        <w:t xml:space="preserve">2911. Costo per prestazione negli studi dei medici di medicina generale</w:t>
      </w:r>
      <w:r>
        <w:t xml:space="preserve"> </w:t>
      </w:r>
      <w:r>
        <w:t xml:space="preserve">2912. Costo per prestazione negli studi dei pediatri di libera scelta</w:t>
      </w:r>
      <w:r>
        <w:t xml:space="preserve"> </w:t>
      </w:r>
      <w:r>
        <w:t xml:space="preserve">2913. Costo per prestazione nei distretti sanitari</w:t>
      </w:r>
      <w:r>
        <w:t xml:space="preserve"> </w:t>
      </w:r>
      <w:r>
        <w:t xml:space="preserve">2914. Costo per prestazione in regime di telepsicologia</w:t>
      </w:r>
      <w:r>
        <w:t xml:space="preserve"> </w:t>
      </w:r>
      <w:r>
        <w:t xml:space="preserve">2915. Costo per prestazione nelle aree interne e montane</w:t>
      </w:r>
      <w:r>
        <w:t xml:space="preserve"> </w:t>
      </w:r>
      <w:r>
        <w:t xml:space="preserve">2916. Costo per prestazione nelle isole minori</w:t>
      </w:r>
      <w:r>
        <w:t xml:space="preserve"> </w:t>
      </w:r>
      <w:r>
        <w:t xml:space="preserve">2917. Costo per prestazione nelle aree metropolitane</w:t>
      </w:r>
      <w:r>
        <w:t xml:space="preserve"> </w:t>
      </w:r>
      <w:r>
        <w:t xml:space="preserve">2918. Costo per prestazione nelle aree a forte immigrazione</w:t>
      </w:r>
      <w:r>
        <w:t xml:space="preserve"> </w:t>
      </w:r>
      <w:r>
        <w:t xml:space="preserve">2919. Costo per prestazione nei contesti di deprivazione urbana</w:t>
      </w:r>
      <w:r>
        <w:t xml:space="preserve"> </w:t>
      </w:r>
      <w:r>
        <w:t xml:space="preserve">2920. Costo per prestazione nelle scuole</w:t>
      </w:r>
      <w:r>
        <w:t xml:space="preserve"> </w:t>
      </w:r>
      <w:r>
        <w:t xml:space="preserve">2921. Costo per prestazione nei luoghi di lavoro</w:t>
      </w:r>
      <w:r>
        <w:t xml:space="preserve"> </w:t>
      </w:r>
      <w:r>
        <w:t xml:space="preserve">2922. Costo per prestazione nei consultori familiari</w:t>
      </w:r>
      <w:r>
        <w:t xml:space="preserve"> </w:t>
      </w:r>
      <w:r>
        <w:t xml:space="preserve">2923. Costo per prestazione nelle residenze per anziani</w:t>
      </w:r>
      <w:r>
        <w:t xml:space="preserve"> </w:t>
      </w:r>
      <w:r>
        <w:t xml:space="preserve">2924. Costo per prestazione negli istituti penitenziari</w:t>
      </w:r>
      <w:r>
        <w:t xml:space="preserve"> </w:t>
      </w:r>
      <w:r>
        <w:t xml:space="preserve">2925. Costo per prestazione nei centri per migranti</w:t>
      </w:r>
      <w:r>
        <w:t xml:space="preserve"> </w:t>
      </w:r>
      <w:r>
        <w:t xml:space="preserve">2926. Costo per prestazione in collaborazione con il terzo settore</w:t>
      </w:r>
      <w:r>
        <w:t xml:space="preserve"> </w:t>
      </w:r>
      <w:r>
        <w:t xml:space="preserve">72Psicologo di Base · Metodologia apicale e registro unificato delle variabili</w:t>
      </w:r>
      <w:r>
        <w:t xml:space="preserve"> </w:t>
      </w:r>
      <w:r>
        <w:t xml:space="preserve">2927. Costo per prestazione al domicilio del paziente</w:t>
      </w:r>
      <w:r>
        <w:t xml:space="preserve"> </w:t>
      </w:r>
      <w:r>
        <w:t xml:space="preserve">2928. Costo per prestazione nelle zone rurali</w:t>
      </w:r>
      <w:r>
        <w:t xml:space="preserve"> </w:t>
      </w:r>
      <w:r>
        <w:t xml:space="preserve">2929. Costo per prestazione negli ambulatori territoriali</w:t>
      </w:r>
      <w:r>
        <w:t xml:space="preserve"> </w:t>
      </w:r>
      <w:r>
        <w:t xml:space="preserve">2930. Costo per prestazione nelle aree a bassa densità abitativa</w:t>
      </w:r>
      <w:r>
        <w:t xml:space="preserve"> </w:t>
      </w:r>
      <w:r>
        <w:t xml:space="preserve">2931. Costo per prestazione negli ospedali di comunità</w:t>
      </w:r>
      <w:r>
        <w:t xml:space="preserve"> </w:t>
      </w:r>
      <w:r>
        <w:t xml:space="preserve">Ramo: Produttività del servizio</w:t>
      </w:r>
      <w:r>
        <w:t xml:space="preserve"> </w:t>
      </w:r>
      <w:r>
        <w:t xml:space="preserve">2932. Produttività del servizio nelle Case della Comunità</w:t>
      </w:r>
      <w:r>
        <w:t xml:space="preserve"> </w:t>
      </w:r>
      <w:r>
        <w:t xml:space="preserve">2933. Produttività del servizio negli studi dei medici di medicina generale</w:t>
      </w:r>
      <w:r>
        <w:t xml:space="preserve"> </w:t>
      </w:r>
      <w:r>
        <w:t xml:space="preserve">2934. Produttività del servizio negli studi dei pediatri di libera scelta</w:t>
      </w:r>
      <w:r>
        <w:t xml:space="preserve"> </w:t>
      </w:r>
      <w:r>
        <w:t xml:space="preserve">2935. Produttività del servizio nei distretti sanitari</w:t>
      </w:r>
      <w:r>
        <w:t xml:space="preserve"> </w:t>
      </w:r>
      <w:r>
        <w:t xml:space="preserve">2936. Produttività del servizio in regime di telepsicologia</w:t>
      </w:r>
      <w:r>
        <w:t xml:space="preserve"> </w:t>
      </w:r>
      <w:r>
        <w:t xml:space="preserve">2937. Produttività del servizio nelle aree interne e montane</w:t>
      </w:r>
      <w:r>
        <w:t xml:space="preserve"> </w:t>
      </w:r>
      <w:r>
        <w:t xml:space="preserve">2938. Produttività del servizio nelle isole minori</w:t>
      </w:r>
      <w:r>
        <w:t xml:space="preserve"> </w:t>
      </w:r>
      <w:r>
        <w:t xml:space="preserve">2939. Produttività del servizio nelle aree metropolitane</w:t>
      </w:r>
      <w:r>
        <w:t xml:space="preserve"> </w:t>
      </w:r>
      <w:r>
        <w:t xml:space="preserve">2940. Produttività del servizio nelle aree a forte immigrazione</w:t>
      </w:r>
      <w:r>
        <w:t xml:space="preserve"> </w:t>
      </w:r>
      <w:r>
        <w:t xml:space="preserve">2941. Produttività del servizio nei contesti di deprivazione urbana</w:t>
      </w:r>
      <w:r>
        <w:t xml:space="preserve"> </w:t>
      </w:r>
      <w:r>
        <w:t xml:space="preserve">2942. Produttività del servizio nelle scuole</w:t>
      </w:r>
      <w:r>
        <w:t xml:space="preserve"> </w:t>
      </w:r>
      <w:r>
        <w:t xml:space="preserve">2943. Produttività del servizio nei luoghi di lavoro</w:t>
      </w:r>
      <w:r>
        <w:t xml:space="preserve"> </w:t>
      </w:r>
      <w:r>
        <w:t xml:space="preserve">2944. Produttività del servizio nei consultori familiari</w:t>
      </w:r>
      <w:r>
        <w:t xml:space="preserve"> </w:t>
      </w:r>
      <w:r>
        <w:t xml:space="preserve">2945. Produttività del servizio nelle residenze per anziani</w:t>
      </w:r>
      <w:r>
        <w:t xml:space="preserve"> </w:t>
      </w:r>
      <w:r>
        <w:t xml:space="preserve">2946. Produttività del servizio negli istituti penitenziari</w:t>
      </w:r>
      <w:r>
        <w:t xml:space="preserve"> </w:t>
      </w:r>
      <w:r>
        <w:t xml:space="preserve">2947. Produttività del servizio nei centri per migranti</w:t>
      </w:r>
      <w:r>
        <w:t xml:space="preserve"> </w:t>
      </w:r>
      <w:r>
        <w:t xml:space="preserve">2948. Produttività del servizio in collaborazione con il terzo settore</w:t>
      </w:r>
      <w:r>
        <w:t xml:space="preserve"> </w:t>
      </w:r>
      <w:r>
        <w:t xml:space="preserve">2949. Produttività del servizio al domicilio del paziente</w:t>
      </w:r>
      <w:r>
        <w:t xml:space="preserve"> </w:t>
      </w:r>
      <w:r>
        <w:t xml:space="preserve">2950. Produttività del servizio nelle zone rurali</w:t>
      </w:r>
      <w:r>
        <w:t xml:space="preserve"> </w:t>
      </w:r>
      <w:r>
        <w:t xml:space="preserve">2951. Produttività del servizio negli ambulatori territoriali</w:t>
      </w:r>
      <w:r>
        <w:t xml:space="preserve"> </w:t>
      </w:r>
      <w:r>
        <w:t xml:space="preserve">2952. Produttività del servizio nelle aree a bassa densità abitativa</w:t>
      </w:r>
      <w:r>
        <w:t xml:space="preserve"> </w:t>
      </w:r>
      <w:r>
        <w:t xml:space="preserve">2953. Produttività del servizio negli ospedali di comunità</w:t>
      </w:r>
      <w:r>
        <w:t xml:space="preserve"> </w:t>
      </w:r>
      <w:r>
        <w:t xml:space="preserve">Ramo: Aderenza ai percorsi definiti</w:t>
      </w:r>
      <w:r>
        <w:t xml:space="preserve"> </w:t>
      </w:r>
      <w:r>
        <w:t xml:space="preserve">2954. Aderenza ai percorsi definiti nelle Case della Comunità</w:t>
      </w:r>
      <w:r>
        <w:t xml:space="preserve"> </w:t>
      </w:r>
      <w:r>
        <w:t xml:space="preserve">2955. Aderenza ai percorsi definiti negli studi dei medici di medicina generale</w:t>
      </w:r>
      <w:r>
        <w:t xml:space="preserve"> </w:t>
      </w:r>
      <w:r>
        <w:t xml:space="preserve">2956. Aderenza ai percorsi definiti negli studi dei pediatri di libera scelta</w:t>
      </w:r>
      <w:r>
        <w:t xml:space="preserve"> </w:t>
      </w:r>
      <w:r>
        <w:t xml:space="preserve">2957. Aderenza ai percorsi definiti nei distretti sanitari</w:t>
      </w:r>
      <w:r>
        <w:t xml:space="preserve"> </w:t>
      </w:r>
      <w:r>
        <w:t xml:space="preserve">2958. Aderenza ai percorsi definiti in regime di telepsicologia</w:t>
      </w:r>
      <w:r>
        <w:t xml:space="preserve"> </w:t>
      </w:r>
      <w:r>
        <w:t xml:space="preserve">2959. Aderenza ai percorsi definiti nelle aree interne e montane</w:t>
      </w:r>
      <w:r>
        <w:t xml:space="preserve"> </w:t>
      </w:r>
      <w:r>
        <w:t xml:space="preserve">2960. Aderenza ai percorsi definiti nelle isole minori</w:t>
      </w:r>
      <w:r>
        <w:t xml:space="preserve"> </w:t>
      </w:r>
      <w:r>
        <w:t xml:space="preserve">2961. Aderenza ai percorsi definiti nelle aree metropolitane</w:t>
      </w:r>
      <w:r>
        <w:t xml:space="preserve"> </w:t>
      </w:r>
      <w:r>
        <w:t xml:space="preserve">2962. Aderenza ai percorsi definiti nelle aree a forte immigrazione</w:t>
      </w:r>
      <w:r>
        <w:t xml:space="preserve"> </w:t>
      </w:r>
      <w:r>
        <w:t xml:space="preserve">2963. Aderenza ai percorsi definiti nei contesti di deprivazione urbana</w:t>
      </w:r>
      <w:r>
        <w:t xml:space="preserve"> </w:t>
      </w:r>
      <w:r>
        <w:t xml:space="preserve">2964. Aderenza ai percorsi definiti nelle scuole</w:t>
      </w:r>
      <w:r>
        <w:t xml:space="preserve"> </w:t>
      </w:r>
      <w:r>
        <w:t xml:space="preserve">2965. Aderenza ai percorsi definiti nei luoghi di lavoro</w:t>
      </w:r>
      <w:r>
        <w:t xml:space="preserve"> </w:t>
      </w:r>
      <w:r>
        <w:t xml:space="preserve">2966. Aderenza ai percorsi definiti nei consultori familiari</w:t>
      </w:r>
      <w:r>
        <w:t xml:space="preserve"> </w:t>
      </w:r>
      <w:r>
        <w:t xml:space="preserve">2967. Aderenza ai percorsi definiti nelle residenze per anziani</w:t>
      </w:r>
      <w:r>
        <w:t xml:space="preserve"> </w:t>
      </w:r>
      <w:r>
        <w:t xml:space="preserve">2968. Aderenza ai percorsi definiti negli istituti penitenziari</w:t>
      </w:r>
      <w:r>
        <w:t xml:space="preserve"> </w:t>
      </w:r>
      <w:r>
        <w:t xml:space="preserve">2969. Aderenza ai percorsi definiti nei centri per migranti</w:t>
      </w:r>
      <w:r>
        <w:t xml:space="preserve"> </w:t>
      </w:r>
      <w:r>
        <w:t xml:space="preserve">2970. Aderenza ai percorsi definiti in collaborazione con il terzo settore</w:t>
      </w:r>
      <w:r>
        <w:t xml:space="preserve"> </w:t>
      </w:r>
      <w:r>
        <w:t xml:space="preserve">2971. Aderenza ai percorsi definiti al domicilio del paziente</w:t>
      </w:r>
      <w:r>
        <w:t xml:space="preserve"> </w:t>
      </w:r>
      <w:r>
        <w:t xml:space="preserve">2972. Aderenza ai percorsi definiti nelle zone rurali</w:t>
      </w:r>
      <w:r>
        <w:t xml:space="preserve"> </w:t>
      </w:r>
      <w:r>
        <w:t xml:space="preserve">2973. Aderenza ai percorsi definiti negli ambulatori territoriali</w:t>
      </w:r>
      <w:r>
        <w:t xml:space="preserve"> </w:t>
      </w:r>
      <w:r>
        <w:t xml:space="preserve">73Psicologo di Base · Metodologia apicale e registro unificato delle variabili</w:t>
      </w:r>
      <w:r>
        <w:t xml:space="preserve"> </w:t>
      </w:r>
      <w:r>
        <w:t xml:space="preserve">2974. Aderenza ai percorsi definiti nelle aree a bassa densità abitativa</w:t>
      </w:r>
      <w:r>
        <w:t xml:space="preserve"> </w:t>
      </w:r>
      <w:r>
        <w:t xml:space="preserve">2975. Aderenza ai percorsi definiti negli ospedali di comunità</w:t>
      </w:r>
      <w:r>
        <w:t xml:space="preserve"> </w:t>
      </w:r>
      <w:r>
        <w:t xml:space="preserve">Ramo: Collaborazione interprofessionale</w:t>
      </w:r>
      <w:r>
        <w:t xml:space="preserve"> </w:t>
      </w:r>
      <w:r>
        <w:t xml:space="preserve">2976. Collaborazione interprofessionale nelle Case della Comunità</w:t>
      </w:r>
      <w:r>
        <w:t xml:space="preserve"> </w:t>
      </w:r>
      <w:r>
        <w:t xml:space="preserve">2977. Collaborazione interprofessionale negli studi dei medici di medicina generale</w:t>
      </w:r>
      <w:r>
        <w:t xml:space="preserve"> </w:t>
      </w:r>
      <w:r>
        <w:t xml:space="preserve">2978. Collaborazione interprofessionale negli studi dei pediatri di libera scelta</w:t>
      </w:r>
      <w:r>
        <w:t xml:space="preserve"> </w:t>
      </w:r>
      <w:r>
        <w:t xml:space="preserve">2979. Collaborazione interprofessionale nei distretti sanitari</w:t>
      </w:r>
      <w:r>
        <w:t xml:space="preserve"> </w:t>
      </w:r>
      <w:r>
        <w:t xml:space="preserve">2980. Collaborazione interprofessionale in regime di telepsicologia</w:t>
      </w:r>
      <w:r>
        <w:t xml:space="preserve"> </w:t>
      </w:r>
      <w:r>
        <w:t xml:space="preserve">2981. Collaborazione interprofessionale nelle aree interne e montane</w:t>
      </w:r>
      <w:r>
        <w:t xml:space="preserve"> </w:t>
      </w:r>
      <w:r>
        <w:t xml:space="preserve">2982. Collaborazione interprofessionale nelle isole minori</w:t>
      </w:r>
      <w:r>
        <w:t xml:space="preserve"> </w:t>
      </w:r>
      <w:r>
        <w:t xml:space="preserve">2983. Collaborazione interprofessionale nelle aree metropolitane</w:t>
      </w:r>
      <w:r>
        <w:t xml:space="preserve"> </w:t>
      </w:r>
      <w:r>
        <w:t xml:space="preserve">2984. Collaborazione interprofessionale nelle aree a forte immigrazione</w:t>
      </w:r>
      <w:r>
        <w:t xml:space="preserve"> </w:t>
      </w:r>
      <w:r>
        <w:t xml:space="preserve">2985. Collaborazione interprofessionale nei contesti di deprivazione urbana</w:t>
      </w:r>
      <w:r>
        <w:t xml:space="preserve"> </w:t>
      </w:r>
      <w:r>
        <w:t xml:space="preserve">2986. Collaborazione interprofessionale nelle scuole</w:t>
      </w:r>
      <w:r>
        <w:t xml:space="preserve"> </w:t>
      </w:r>
      <w:r>
        <w:t xml:space="preserve">2987. Collaborazione interprofessionale nei luoghi di lavoro</w:t>
      </w:r>
      <w:r>
        <w:t xml:space="preserve"> </w:t>
      </w:r>
      <w:r>
        <w:t xml:space="preserve">2988. Collaborazione interprofessionale nei consultori familiari</w:t>
      </w:r>
      <w:r>
        <w:t xml:space="preserve"> </w:t>
      </w:r>
      <w:r>
        <w:t xml:space="preserve">2989. Collaborazione interprofessionale nelle residenze per anziani</w:t>
      </w:r>
      <w:r>
        <w:t xml:space="preserve"> </w:t>
      </w:r>
      <w:r>
        <w:t xml:space="preserve">2990. Collaborazione interprofessionale negli istituti penitenziari</w:t>
      </w:r>
      <w:r>
        <w:t xml:space="preserve"> </w:t>
      </w:r>
      <w:r>
        <w:t xml:space="preserve">2991. Collaborazione interprofessionale nei centri per migranti</w:t>
      </w:r>
      <w:r>
        <w:t xml:space="preserve"> </w:t>
      </w:r>
      <w:r>
        <w:t xml:space="preserve">2992. Collaborazione interprofessionale in collaborazione con il terzo settore</w:t>
      </w:r>
      <w:r>
        <w:t xml:space="preserve"> </w:t>
      </w:r>
      <w:r>
        <w:t xml:space="preserve">2993. Collaborazione interprofessionale al domicilio del paziente</w:t>
      </w:r>
      <w:r>
        <w:t xml:space="preserve"> </w:t>
      </w:r>
      <w:r>
        <w:t xml:space="preserve">2994. Collaborazione interprofessionale nelle zone rurali</w:t>
      </w:r>
      <w:r>
        <w:t xml:space="preserve"> </w:t>
      </w:r>
      <w:r>
        <w:t xml:space="preserve">2995. Collaborazione interprofessionale negli ambulatori territoriali</w:t>
      </w:r>
      <w:r>
        <w:t xml:space="preserve"> </w:t>
      </w:r>
      <w:r>
        <w:t xml:space="preserve">2996. Collaborazione interprofessionale nelle aree a bassa densità abitativa</w:t>
      </w:r>
      <w:r>
        <w:t xml:space="preserve"> </w:t>
      </w:r>
      <w:r>
        <w:t xml:space="preserve">2997. Collaborazione interprofessionale negli ospedali di comunità</w:t>
      </w:r>
      <w:r>
        <w:t xml:space="preserve"> </w:t>
      </w:r>
      <w:r>
        <w:t xml:space="preserve">C — Ramificazione per voce di costo e servizio</w:t>
      </w:r>
      <w:r>
        <w:t xml:space="preserve"> </w:t>
      </w:r>
      <w:r>
        <w:t xml:space="preserve">Ogni ramo-genitore di natura economica è declinato per voce di spesa e di servizio evitata.</w:t>
      </w:r>
      <w:r>
        <w:t xml:space="preserve"> </w:t>
      </w:r>
      <w:r>
        <w:t xml:space="preserve">Ramo: Riduzione della spesa</w:t>
      </w:r>
      <w:r>
        <w:t xml:space="preserve"> </w:t>
      </w:r>
      <w:r>
        <w:t xml:space="preserve">2998. Riduzione della spesa per il pronto soccorso</w:t>
      </w:r>
      <w:r>
        <w:t xml:space="preserve"> </w:t>
      </w:r>
      <w:r>
        <w:t xml:space="preserve">2999. Riduzione della spesa per i ricoveri ospedalieri</w:t>
      </w:r>
      <w:r>
        <w:t xml:space="preserve"> </w:t>
      </w:r>
      <w:r>
        <w:t xml:space="preserve">3000. Riduzione della spesa per le riammissioni a trenta giorni</w:t>
      </w:r>
      <w:r>
        <w:t xml:space="preserve"> </w:t>
      </w:r>
      <w:r>
        <w:t xml:space="preserve">3001. Riduzione della spesa per la specialistica ambulatoriale</w:t>
      </w:r>
      <w:r>
        <w:t xml:space="preserve"> </w:t>
      </w:r>
      <w:r>
        <w:t xml:space="preserve">3002. Riduzione della spesa per la diagnostica per immagini</w:t>
      </w:r>
      <w:r>
        <w:t xml:space="preserve"> </w:t>
      </w:r>
      <w:r>
        <w:t xml:space="preserve">3003. Riduzione della spesa per gli esami di laboratorio</w:t>
      </w:r>
      <w:r>
        <w:t xml:space="preserve"> </w:t>
      </w:r>
      <w:r>
        <w:t xml:space="preserve">3004. Riduzione della spesa per i farmaci antidepressivi</w:t>
      </w:r>
      <w:r>
        <w:t xml:space="preserve"> </w:t>
      </w:r>
      <w:r>
        <w:t xml:space="preserve">3005. Riduzione della spesa per le benzodiazepine e gli ipnotici</w:t>
      </w:r>
      <w:r>
        <w:t xml:space="preserve"> </w:t>
      </w:r>
      <w:r>
        <w:t xml:space="preserve">3006. Riduzione della spesa per le consulenze psichiatriche urgenti</w:t>
      </w:r>
      <w:r>
        <w:t xml:space="preserve"> </w:t>
      </w:r>
      <w:r>
        <w:t xml:space="preserve">3007. Riduzione della spesa per i trattamenti sanitari obbligatori</w:t>
      </w:r>
      <w:r>
        <w:t xml:space="preserve"> </w:t>
      </w:r>
      <w:r>
        <w:t xml:space="preserve">3008. Riduzione della spesa per l’emergenza territoriale</w:t>
      </w:r>
      <w:r>
        <w:t xml:space="preserve"> </w:t>
      </w:r>
      <w:r>
        <w:t xml:space="preserve">3009. Riduzione della spesa per le giornate di degenza psichiatrica</w:t>
      </w:r>
      <w:r>
        <w:t xml:space="preserve"> </w:t>
      </w:r>
      <w:r>
        <w:t xml:space="preserve">3010. Riduzione della spesa per i day hospital impropri</w:t>
      </w:r>
      <w:r>
        <w:t xml:space="preserve"> </w:t>
      </w:r>
      <w:r>
        <w:t xml:space="preserve">3011. Riduzione della spesa per le prestazioni a basso valore</w:t>
      </w:r>
      <w:r>
        <w:t xml:space="preserve"> </w:t>
      </w:r>
      <w:r>
        <w:t xml:space="preserve">3012. Riduzione della spesa per la guardia medica</w:t>
      </w:r>
      <w:r>
        <w:t xml:space="preserve"> </w:t>
      </w:r>
      <w:r>
        <w:t xml:space="preserve">3013. Riduzione della spesa per i ricoveri in medicina interna da cause psicosociali</w:t>
      </w:r>
      <w:r>
        <w:t xml:space="preserve"> </w:t>
      </w:r>
      <w:r>
        <w:t xml:space="preserve">Ramo: Risparmio di spesa</w:t>
      </w:r>
      <w:r>
        <w:t xml:space="preserve"> </w:t>
      </w:r>
      <w:r>
        <w:t xml:space="preserve">3014. Risparmio di spesa per il pronto soccorso</w:t>
      </w:r>
      <w:r>
        <w:t xml:space="preserve"> </w:t>
      </w:r>
      <w:r>
        <w:t xml:space="preserve">3015. Risparmio di spesa per i ricoveri ospedalieri</w:t>
      </w:r>
      <w:r>
        <w:t xml:space="preserve"> </w:t>
      </w:r>
      <w:r>
        <w:t xml:space="preserve">74Psicologo di Base · Metodologia apicale e registro unificato delle variabili</w:t>
      </w:r>
      <w:r>
        <w:t xml:space="preserve"> </w:t>
      </w:r>
      <w:r>
        <w:t xml:space="preserve">3016. Risparmio di spesa per le riammissioni a trenta giorni</w:t>
      </w:r>
      <w:r>
        <w:t xml:space="preserve"> </w:t>
      </w:r>
      <w:r>
        <w:t xml:space="preserve">3017. Risparmio di spesa per la specialistica ambulatoriale</w:t>
      </w:r>
      <w:r>
        <w:t xml:space="preserve"> </w:t>
      </w:r>
      <w:r>
        <w:t xml:space="preserve">3018. Risparmio di spesa per la diagnostica per immagini</w:t>
      </w:r>
      <w:r>
        <w:t xml:space="preserve"> </w:t>
      </w:r>
      <w:r>
        <w:t xml:space="preserve">3019. Risparmio di spesa per gli esami di laboratorio</w:t>
      </w:r>
      <w:r>
        <w:t xml:space="preserve"> </w:t>
      </w:r>
      <w:r>
        <w:t xml:space="preserve">3020. Risparmio di spesa per i farmaci antidepressivi</w:t>
      </w:r>
      <w:r>
        <w:t xml:space="preserve"> </w:t>
      </w:r>
      <w:r>
        <w:t xml:space="preserve">3021. Risparmio di spesa per le benzodiazepine e gli ipnotici</w:t>
      </w:r>
      <w:r>
        <w:t xml:space="preserve"> </w:t>
      </w:r>
      <w:r>
        <w:t xml:space="preserve">3022. Risparmio di spesa per le consulenze psichiatriche urgenti</w:t>
      </w:r>
      <w:r>
        <w:t xml:space="preserve"> </w:t>
      </w:r>
      <w:r>
        <w:t xml:space="preserve">3023. Risparmio di spesa per i trattamenti sanitari obbligatori</w:t>
      </w:r>
      <w:r>
        <w:t xml:space="preserve"> </w:t>
      </w:r>
      <w:r>
        <w:t xml:space="preserve">3024. Risparmio di spesa per l’emergenza territoriale</w:t>
      </w:r>
      <w:r>
        <w:t xml:space="preserve"> </w:t>
      </w:r>
      <w:r>
        <w:t xml:space="preserve">3025. Risparmio di spesa per le giornate di degenza psichiatrica</w:t>
      </w:r>
      <w:r>
        <w:t xml:space="preserve"> </w:t>
      </w:r>
      <w:r>
        <w:t xml:space="preserve">3026. Risparmio di spesa per i day hospital impropri</w:t>
      </w:r>
      <w:r>
        <w:t xml:space="preserve"> </w:t>
      </w:r>
      <w:r>
        <w:t xml:space="preserve">3027. Risparmio di spesa per le prestazioni a basso valore</w:t>
      </w:r>
      <w:r>
        <w:t xml:space="preserve"> </w:t>
      </w:r>
      <w:r>
        <w:t xml:space="preserve">3028. Risparmio di spesa per la guardia medica</w:t>
      </w:r>
      <w:r>
        <w:t xml:space="preserve"> </w:t>
      </w:r>
      <w:r>
        <w:t xml:space="preserve">3029. Risparmio di spesa per i ricoveri in medicina interna da cause psicosociali</w:t>
      </w:r>
      <w:r>
        <w:t xml:space="preserve"> </w:t>
      </w:r>
      <w:r>
        <w:t xml:space="preserve">Ramo: Risparmio annuo di spesa</w:t>
      </w:r>
      <w:r>
        <w:t xml:space="preserve"> </w:t>
      </w:r>
      <w:r>
        <w:t xml:space="preserve">3030. Risparmio annuo di spesa per il pronto soccorso</w:t>
      </w:r>
      <w:r>
        <w:t xml:space="preserve"> </w:t>
      </w:r>
      <w:r>
        <w:t xml:space="preserve">3031. Risparmio annuo di spesa per i ricoveri ospedalieri</w:t>
      </w:r>
      <w:r>
        <w:t xml:space="preserve"> </w:t>
      </w:r>
      <w:r>
        <w:t xml:space="preserve">3032. Risparmio annuo di spesa per le riammissioni a trenta giorni</w:t>
      </w:r>
      <w:r>
        <w:t xml:space="preserve"> </w:t>
      </w:r>
      <w:r>
        <w:t xml:space="preserve">3033. Risparmio annuo di spesa per la specialistica ambulatoriale</w:t>
      </w:r>
      <w:r>
        <w:t xml:space="preserve"> </w:t>
      </w:r>
      <w:r>
        <w:t xml:space="preserve">3034. Risparmio annuo di spesa per la diagnostica per immagini</w:t>
      </w:r>
      <w:r>
        <w:t xml:space="preserve"> </w:t>
      </w:r>
      <w:r>
        <w:t xml:space="preserve">3035. Risparmio annuo di spesa per gli esami di laboratorio</w:t>
      </w:r>
      <w:r>
        <w:t xml:space="preserve"> </w:t>
      </w:r>
      <w:r>
        <w:t xml:space="preserve">3036. Risparmio annuo di spesa per i farmaci antidepressivi</w:t>
      </w:r>
      <w:r>
        <w:t xml:space="preserve"> </w:t>
      </w:r>
      <w:r>
        <w:t xml:space="preserve">3037. Risparmio annuo di spesa per le benzodiazepine e gli ipnotici</w:t>
      </w:r>
      <w:r>
        <w:t xml:space="preserve"> </w:t>
      </w:r>
      <w:r>
        <w:t xml:space="preserve">3038. Risparmio annuo di spesa per le consulenze psichiatriche urgenti</w:t>
      </w:r>
      <w:r>
        <w:t xml:space="preserve"> </w:t>
      </w:r>
      <w:r>
        <w:t xml:space="preserve">3039. Risparmio annuo di spesa per i trattamenti sanitari obbligatori</w:t>
      </w:r>
      <w:r>
        <w:t xml:space="preserve"> </w:t>
      </w:r>
      <w:r>
        <w:t xml:space="preserve">3040. Risparmio annuo di spesa per l’emergenza territoriale</w:t>
      </w:r>
      <w:r>
        <w:t xml:space="preserve"> </w:t>
      </w:r>
      <w:r>
        <w:t xml:space="preserve">3041. Risparmio annuo di spesa per le giornate di degenza psichiatrica</w:t>
      </w:r>
      <w:r>
        <w:t xml:space="preserve"> </w:t>
      </w:r>
      <w:r>
        <w:t xml:space="preserve">3042. Risparmio annuo di spesa per i day hospital impropri</w:t>
      </w:r>
      <w:r>
        <w:t xml:space="preserve"> </w:t>
      </w:r>
      <w:r>
        <w:t xml:space="preserve">3043. Risparmio annuo di spesa per le prestazioni a basso valore</w:t>
      </w:r>
      <w:r>
        <w:t xml:space="preserve"> </w:t>
      </w:r>
      <w:r>
        <w:t xml:space="preserve">3044. Risparmio annuo di spesa per la guardia medica</w:t>
      </w:r>
      <w:r>
        <w:t xml:space="preserve"> </w:t>
      </w:r>
      <w:r>
        <w:t xml:space="preserve">3045. Risparmio annuo di spesa per i ricoveri in medicina interna da cause psicosociali</w:t>
      </w:r>
      <w:r>
        <w:t xml:space="preserve"> </w:t>
      </w:r>
      <w:r>
        <w:t xml:space="preserve">Ramo: Contenimento della spesa</w:t>
      </w:r>
      <w:r>
        <w:t xml:space="preserve"> </w:t>
      </w:r>
      <w:r>
        <w:t xml:space="preserve">3046. Contenimento della spesa per il pronto soccorso</w:t>
      </w:r>
      <w:r>
        <w:t xml:space="preserve"> </w:t>
      </w:r>
      <w:r>
        <w:t xml:space="preserve">3047. Contenimento della spesa per i ricoveri ospedalieri</w:t>
      </w:r>
      <w:r>
        <w:t xml:space="preserve"> </w:t>
      </w:r>
      <w:r>
        <w:t xml:space="preserve">3048. Contenimento della spesa per le riammissioni a trenta giorni</w:t>
      </w:r>
      <w:r>
        <w:t xml:space="preserve"> </w:t>
      </w:r>
      <w:r>
        <w:t xml:space="preserve">3049. Contenimento della spesa per la specialistica ambulatoriale</w:t>
      </w:r>
      <w:r>
        <w:t xml:space="preserve"> </w:t>
      </w:r>
      <w:r>
        <w:t xml:space="preserve">3050. Contenimento della spesa per la diagnostica per immagini</w:t>
      </w:r>
      <w:r>
        <w:t xml:space="preserve"> </w:t>
      </w:r>
      <w:r>
        <w:t xml:space="preserve">3051. Contenimento della spesa per gli esami di laboratorio</w:t>
      </w:r>
      <w:r>
        <w:t xml:space="preserve"> </w:t>
      </w:r>
      <w:r>
        <w:t xml:space="preserve">3052. Contenimento della spesa per i farmaci antidepressivi</w:t>
      </w:r>
      <w:r>
        <w:t xml:space="preserve"> </w:t>
      </w:r>
      <w:r>
        <w:t xml:space="preserve">3053. Contenimento della spesa per le benzodiazepine e gli ipnotici</w:t>
      </w:r>
      <w:r>
        <w:t xml:space="preserve"> </w:t>
      </w:r>
      <w:r>
        <w:t xml:space="preserve">3054. Contenimento della spesa per le consulenze psichiatriche urgenti</w:t>
      </w:r>
      <w:r>
        <w:t xml:space="preserve"> </w:t>
      </w:r>
      <w:r>
        <w:t xml:space="preserve">3055. Contenimento della spesa per i trattamenti sanitari obbligatori</w:t>
      </w:r>
      <w:r>
        <w:t xml:space="preserve"> </w:t>
      </w:r>
      <w:r>
        <w:t xml:space="preserve">3056. Contenimento della spesa per l’emergenza territoriale</w:t>
      </w:r>
      <w:r>
        <w:t xml:space="preserve"> </w:t>
      </w:r>
      <w:r>
        <w:t xml:space="preserve">3057. Contenimento della spesa per le giornate di degenza psichiatrica</w:t>
      </w:r>
      <w:r>
        <w:t xml:space="preserve"> </w:t>
      </w:r>
      <w:r>
        <w:t xml:space="preserve">3058. Contenimento della spesa per i day hospital impropri</w:t>
      </w:r>
      <w:r>
        <w:t xml:space="preserve"> </w:t>
      </w:r>
      <w:r>
        <w:t xml:space="preserve">3059. Contenimento della spesa per le prestazioni a basso valore</w:t>
      </w:r>
      <w:r>
        <w:t xml:space="preserve"> </w:t>
      </w:r>
      <w:r>
        <w:t xml:space="preserve">3060. Contenimento della spesa per la guardia medica</w:t>
      </w:r>
      <w:r>
        <w:t xml:space="preserve"> </w:t>
      </w:r>
      <w:r>
        <w:t xml:space="preserve">3061. Contenimento della spesa per i ricoveri in medicina interna da cause psicosociali</w:t>
      </w:r>
      <w:r>
        <w:t xml:space="preserve"> </w:t>
      </w:r>
      <w:r>
        <w:t xml:space="preserve">75Psicologo di Base · Metodologia apicale e registro unificato delle variabili</w:t>
      </w:r>
      <w:r>
        <w:t xml:space="preserve"> </w:t>
      </w:r>
      <w:r>
        <w:t xml:space="preserve">Ramo: Riduzione dei costi diretti</w:t>
      </w:r>
      <w:r>
        <w:t xml:space="preserve"> </w:t>
      </w:r>
      <w:r>
        <w:t xml:space="preserve">3062. Riduzione dei costi diretti per il pronto soccorso</w:t>
      </w:r>
      <w:r>
        <w:t xml:space="preserve"> </w:t>
      </w:r>
      <w:r>
        <w:t xml:space="preserve">3063. Riduzione dei costi diretti per i ricoveri ospedalieri</w:t>
      </w:r>
      <w:r>
        <w:t xml:space="preserve"> </w:t>
      </w:r>
      <w:r>
        <w:t xml:space="preserve">3064. Riduzione dei costi diretti per le riammissioni a trenta giorni</w:t>
      </w:r>
      <w:r>
        <w:t xml:space="preserve"> </w:t>
      </w:r>
      <w:r>
        <w:t xml:space="preserve">3065. Riduzione dei costi diretti per la specialistica ambulatoriale</w:t>
      </w:r>
      <w:r>
        <w:t xml:space="preserve"> </w:t>
      </w:r>
      <w:r>
        <w:t xml:space="preserve">3066. Riduzione dei costi diretti per la diagnostica per immagini</w:t>
      </w:r>
      <w:r>
        <w:t xml:space="preserve"> </w:t>
      </w:r>
      <w:r>
        <w:t xml:space="preserve">3067. Riduzione dei costi diretti per gli esami di laboratorio</w:t>
      </w:r>
      <w:r>
        <w:t xml:space="preserve"> </w:t>
      </w:r>
      <w:r>
        <w:t xml:space="preserve">3068. Riduzione dei costi diretti per i farmaci antidepressivi</w:t>
      </w:r>
      <w:r>
        <w:t xml:space="preserve"> </w:t>
      </w:r>
      <w:r>
        <w:t xml:space="preserve">3069. Riduzione dei costi diretti per le benzodiazepine e gli ipnotici</w:t>
      </w:r>
      <w:r>
        <w:t xml:space="preserve"> </w:t>
      </w:r>
      <w:r>
        <w:t xml:space="preserve">3070. Riduzione dei costi diretti per le consulenze psichiatriche urgenti</w:t>
      </w:r>
      <w:r>
        <w:t xml:space="preserve"> </w:t>
      </w:r>
      <w:r>
        <w:t xml:space="preserve">3071. Riduzione dei costi diretti per i trattamenti sanitari obbligatori</w:t>
      </w:r>
      <w:r>
        <w:t xml:space="preserve"> </w:t>
      </w:r>
      <w:r>
        <w:t xml:space="preserve">3072. Riduzione dei costi diretti per l’emergenza territoriale</w:t>
      </w:r>
      <w:r>
        <w:t xml:space="preserve"> </w:t>
      </w:r>
      <w:r>
        <w:t xml:space="preserve">3073. Riduzione dei costi diretti per le giornate di degenza psichiatrica</w:t>
      </w:r>
      <w:r>
        <w:t xml:space="preserve"> </w:t>
      </w:r>
      <w:r>
        <w:t xml:space="preserve">3074. Riduzione dei costi diretti per i day hospital impropri</w:t>
      </w:r>
      <w:r>
        <w:t xml:space="preserve"> </w:t>
      </w:r>
      <w:r>
        <w:t xml:space="preserve">3075. Riduzione dei costi diretti per le prestazioni a basso valore</w:t>
      </w:r>
      <w:r>
        <w:t xml:space="preserve"> </w:t>
      </w:r>
      <w:r>
        <w:t xml:space="preserve">3076. Riduzione dei costi diretti per la guardia medica</w:t>
      </w:r>
      <w:r>
        <w:t xml:space="preserve"> </w:t>
      </w:r>
      <w:r>
        <w:t xml:space="preserve">3077. Riduzione dei costi diretti per i ricoveri in medicina interna da cause psicosociali</w:t>
      </w:r>
      <w:r>
        <w:t xml:space="preserve"> </w:t>
      </w:r>
      <w:r>
        <w:t xml:space="preserve">Ramo: Riduzione del costo complessivo</w:t>
      </w:r>
      <w:r>
        <w:t xml:space="preserve"> </w:t>
      </w:r>
      <w:r>
        <w:t xml:space="preserve">3078. Riduzione del costo complessivo per il pronto soccorso</w:t>
      </w:r>
      <w:r>
        <w:t xml:space="preserve"> </w:t>
      </w:r>
      <w:r>
        <w:t xml:space="preserve">3079. Riduzione del costo complessivo per i ricoveri ospedalieri</w:t>
      </w:r>
      <w:r>
        <w:t xml:space="preserve"> </w:t>
      </w:r>
      <w:r>
        <w:t xml:space="preserve">3080. Riduzione del costo complessivo per le riammissioni a trenta giorni</w:t>
      </w:r>
      <w:r>
        <w:t xml:space="preserve"> </w:t>
      </w:r>
      <w:r>
        <w:t xml:space="preserve">3081. Riduzione del costo complessivo per la specialistica ambulatoriale</w:t>
      </w:r>
      <w:r>
        <w:t xml:space="preserve"> </w:t>
      </w:r>
      <w:r>
        <w:t xml:space="preserve">3082. Riduzione del costo complessivo per la diagnostica per immagini</w:t>
      </w:r>
      <w:r>
        <w:t xml:space="preserve"> </w:t>
      </w:r>
      <w:r>
        <w:t xml:space="preserve">3083. Riduzione del costo complessivo per gli esami di laboratorio</w:t>
      </w:r>
      <w:r>
        <w:t xml:space="preserve"> </w:t>
      </w:r>
      <w:r>
        <w:t xml:space="preserve">3084. Riduzione del costo complessivo per i farmaci antidepressivi</w:t>
      </w:r>
      <w:r>
        <w:t xml:space="preserve"> </w:t>
      </w:r>
      <w:r>
        <w:t xml:space="preserve">3085. Riduzione del costo complessivo per le benzodiazepine e gli ipnotici</w:t>
      </w:r>
      <w:r>
        <w:t xml:space="preserve"> </w:t>
      </w:r>
      <w:r>
        <w:t xml:space="preserve">3086. Riduzione del costo complessivo per le consulenze psichiatriche urgenti</w:t>
      </w:r>
      <w:r>
        <w:t xml:space="preserve"> </w:t>
      </w:r>
      <w:r>
        <w:t xml:space="preserve">3087. Riduzione del costo complessivo per i trattamenti sanitari obbligatori</w:t>
      </w:r>
      <w:r>
        <w:t xml:space="preserve"> </w:t>
      </w:r>
      <w:r>
        <w:t xml:space="preserve">3088. Riduzione del costo complessivo per l’emergenza territoriale</w:t>
      </w:r>
      <w:r>
        <w:t xml:space="preserve"> </w:t>
      </w:r>
      <w:r>
        <w:t xml:space="preserve">3089. Riduzione del costo complessivo per le giornate di degenza psichiatrica</w:t>
      </w:r>
      <w:r>
        <w:t xml:space="preserve"> </w:t>
      </w:r>
      <w:r>
        <w:t xml:space="preserve">3090. Riduzione del costo complessivo per i day hospital impropri</w:t>
      </w:r>
      <w:r>
        <w:t xml:space="preserve"> </w:t>
      </w:r>
      <w:r>
        <w:t xml:space="preserve">3091. Riduzione del costo complessivo per le prestazioni a basso valore</w:t>
      </w:r>
      <w:r>
        <w:t xml:space="preserve"> </w:t>
      </w:r>
      <w:r>
        <w:t xml:space="preserve">3092. Riduzione del costo complessivo per la guardia medica</w:t>
      </w:r>
      <w:r>
        <w:t xml:space="preserve"> </w:t>
      </w:r>
      <w:r>
        <w:t xml:space="preserve">3093. Riduzione del costo complessivo per i ricoveri in medicina interna da cause psicosociali</w:t>
      </w:r>
      <w:r>
        <w:t xml:space="preserve"> </w:t>
      </w:r>
      <w:r>
        <w:t xml:space="preserve">Ramo: Riduzione della spesa pro capite</w:t>
      </w:r>
      <w:r>
        <w:t xml:space="preserve"> </w:t>
      </w:r>
      <w:r>
        <w:t xml:space="preserve">3094. Riduzione della spesa pro capite per il pronto soccorso</w:t>
      </w:r>
      <w:r>
        <w:t xml:space="preserve"> </w:t>
      </w:r>
      <w:r>
        <w:t xml:space="preserve">3095. Riduzione della spesa pro capite per i ricoveri ospedalieri</w:t>
      </w:r>
      <w:r>
        <w:t xml:space="preserve"> </w:t>
      </w:r>
      <w:r>
        <w:t xml:space="preserve">3096. Riduzione della spesa pro capite per le riammissioni a trenta giorni</w:t>
      </w:r>
      <w:r>
        <w:t xml:space="preserve"> </w:t>
      </w:r>
      <w:r>
        <w:t xml:space="preserve">3097. Riduzione della spesa pro capite per la specialistica ambulatoriale</w:t>
      </w:r>
      <w:r>
        <w:t xml:space="preserve"> </w:t>
      </w:r>
      <w:r>
        <w:t xml:space="preserve">3098. Riduzione della spesa pro capite per la diagnostica per immagini</w:t>
      </w:r>
      <w:r>
        <w:t xml:space="preserve"> </w:t>
      </w:r>
      <w:r>
        <w:t xml:space="preserve">3099. Riduzione della spesa pro capite per gli esami di laboratorio</w:t>
      </w:r>
      <w:r>
        <w:t xml:space="preserve"> </w:t>
      </w:r>
      <w:r>
        <w:t xml:space="preserve">3100. Riduzione della spesa pro capite per i farmaci antidepressivi</w:t>
      </w:r>
      <w:r>
        <w:t xml:space="preserve"> </w:t>
      </w:r>
      <w:r>
        <w:t xml:space="preserve">3101. Riduzione della spesa pro capite per le benzodiazepine e gli ipnotici</w:t>
      </w:r>
      <w:r>
        <w:t xml:space="preserve"> </w:t>
      </w:r>
      <w:r>
        <w:t xml:space="preserve">3102. Riduzione della spesa pro capite per le consulenze psichiatriche urgenti</w:t>
      </w:r>
      <w:r>
        <w:t xml:space="preserve"> </w:t>
      </w:r>
      <w:r>
        <w:t xml:space="preserve">3103. Riduzione della spesa pro capite per i trattamenti sanitari obbligatori</w:t>
      </w:r>
      <w:r>
        <w:t xml:space="preserve"> </w:t>
      </w:r>
      <w:r>
        <w:t xml:space="preserve">3104. Riduzione della spesa pro capite per l’emergenza territoriale</w:t>
      </w:r>
      <w:r>
        <w:t xml:space="preserve"> </w:t>
      </w:r>
      <w:r>
        <w:t xml:space="preserve">3105. Riduzione della spesa pro capite per le giornate di degenza psichiatrica</w:t>
      </w:r>
      <w:r>
        <w:t xml:space="preserve"> </w:t>
      </w:r>
      <w:r>
        <w:t xml:space="preserve">3106. Riduzione della spesa pro capite per i day hospital impropri</w:t>
      </w:r>
      <w:r>
        <w:t xml:space="preserve"> </w:t>
      </w:r>
      <w:r>
        <w:t xml:space="preserve">3107. Riduzione della spesa pro capite per le prestazioni a basso valore</w:t>
      </w:r>
      <w:r>
        <w:t xml:space="preserve"> </w:t>
      </w:r>
      <w:r>
        <w:t xml:space="preserve">76Psicologo di Base · Metodologia apicale e registro unificato delle variabili</w:t>
      </w:r>
      <w:r>
        <w:t xml:space="preserve"> </w:t>
      </w:r>
      <w:r>
        <w:t xml:space="preserve">3108. Riduzione della spesa pro capite per la guardia medica</w:t>
      </w:r>
      <w:r>
        <w:t xml:space="preserve"> </w:t>
      </w:r>
      <w:r>
        <w:t xml:space="preserve">3109. Riduzione della spesa pro capite per i ricoveri in medicina interna da cause psicosociali</w:t>
      </w:r>
      <w:r>
        <w:t xml:space="preserve"> </w:t>
      </w:r>
      <w:r>
        <w:t xml:space="preserve">Ramo: Riduzione del costo medio</w:t>
      </w:r>
      <w:r>
        <w:t xml:space="preserve"> </w:t>
      </w:r>
      <w:r>
        <w:t xml:space="preserve">3110. Riduzione del costo medio per il pronto soccorso</w:t>
      </w:r>
      <w:r>
        <w:t xml:space="preserve"> </w:t>
      </w:r>
      <w:r>
        <w:t xml:space="preserve">3111. Riduzione del costo medio per i ricoveri ospedalieri</w:t>
      </w:r>
      <w:r>
        <w:t xml:space="preserve"> </w:t>
      </w:r>
      <w:r>
        <w:t xml:space="preserve">3112. Riduzione del costo medio per le riammissioni a trenta giorni</w:t>
      </w:r>
      <w:r>
        <w:t xml:space="preserve"> </w:t>
      </w:r>
      <w:r>
        <w:t xml:space="preserve">3113. Riduzione del costo medio per la specialistica ambulatoriale</w:t>
      </w:r>
      <w:r>
        <w:t xml:space="preserve"> </w:t>
      </w:r>
      <w:r>
        <w:t xml:space="preserve">3114. Riduzione del costo medio per la diagnostica per immagini</w:t>
      </w:r>
      <w:r>
        <w:t xml:space="preserve"> </w:t>
      </w:r>
      <w:r>
        <w:t xml:space="preserve">3115. Riduzione del costo medio per gli esami di laboratorio</w:t>
      </w:r>
      <w:r>
        <w:t xml:space="preserve"> </w:t>
      </w:r>
      <w:r>
        <w:t xml:space="preserve">3116. Riduzione del costo medio per i farmaci antidepressivi</w:t>
      </w:r>
      <w:r>
        <w:t xml:space="preserve"> </w:t>
      </w:r>
      <w:r>
        <w:t xml:space="preserve">3117. Riduzione del costo medio per le benzodiazepine e gli ipnotici</w:t>
      </w:r>
      <w:r>
        <w:t xml:space="preserve"> </w:t>
      </w:r>
      <w:r>
        <w:t xml:space="preserve">3118. Riduzione del costo medio per le consulenze psichiatriche urgenti</w:t>
      </w:r>
      <w:r>
        <w:t xml:space="preserve"> </w:t>
      </w:r>
      <w:r>
        <w:t xml:space="preserve">3119. Riduzione del costo medio per i trattamenti sanitari obbligatori</w:t>
      </w:r>
      <w:r>
        <w:t xml:space="preserve"> </w:t>
      </w:r>
      <w:r>
        <w:t xml:space="preserve">3120. Riduzione del costo medio per l’emergenza territoriale</w:t>
      </w:r>
      <w:r>
        <w:t xml:space="preserve"> </w:t>
      </w:r>
      <w:r>
        <w:t xml:space="preserve">3121. Riduzione del costo medio per le giornate di degenza psichiatrica</w:t>
      </w:r>
      <w:r>
        <w:t xml:space="preserve"> </w:t>
      </w:r>
      <w:r>
        <w:t xml:space="preserve">3122. Riduzione del costo medio per i day hospital impropri</w:t>
      </w:r>
      <w:r>
        <w:t xml:space="preserve"> </w:t>
      </w:r>
      <w:r>
        <w:t xml:space="preserve">3123. Riduzione del costo medio per le prestazioni a basso valore</w:t>
      </w:r>
      <w:r>
        <w:t xml:space="preserve"> </w:t>
      </w:r>
      <w:r>
        <w:t xml:space="preserve">3124. Riduzione del costo medio per la guardia medica</w:t>
      </w:r>
      <w:r>
        <w:t xml:space="preserve"> </w:t>
      </w:r>
      <w:r>
        <w:t xml:space="preserve">3125. Riduzione del costo medio per i ricoveri in medicina interna da cause psicosociali</w:t>
      </w:r>
      <w:r>
        <w:t xml:space="preserve"> </w:t>
      </w:r>
      <w:r>
        <w:t xml:space="preserve">Ramo: Ottimizzazione della spesa</w:t>
      </w:r>
      <w:r>
        <w:t xml:space="preserve"> </w:t>
      </w:r>
      <w:r>
        <w:t xml:space="preserve">3126. Ottimizzazione della spesa per il pronto soccorso</w:t>
      </w:r>
      <w:r>
        <w:t xml:space="preserve"> </w:t>
      </w:r>
      <w:r>
        <w:t xml:space="preserve">3127. Ottimizzazione della spesa per i ricoveri ospedalieri</w:t>
      </w:r>
      <w:r>
        <w:t xml:space="preserve"> </w:t>
      </w:r>
      <w:r>
        <w:t xml:space="preserve">3128. Ottimizzazione della spesa per le riammissioni a trenta giorni</w:t>
      </w:r>
      <w:r>
        <w:t xml:space="preserve"> </w:t>
      </w:r>
      <w:r>
        <w:t xml:space="preserve">3129. Ottimizzazione della spesa per la specialistica ambulatoriale</w:t>
      </w:r>
      <w:r>
        <w:t xml:space="preserve"> </w:t>
      </w:r>
      <w:r>
        <w:t xml:space="preserve">3130. Ottimizzazione della spesa per la diagnostica per immagini</w:t>
      </w:r>
      <w:r>
        <w:t xml:space="preserve"> </w:t>
      </w:r>
      <w:r>
        <w:t xml:space="preserve">3131. Ottimizzazione della spesa per gli esami di laboratorio</w:t>
      </w:r>
      <w:r>
        <w:t xml:space="preserve"> </w:t>
      </w:r>
      <w:r>
        <w:t xml:space="preserve">3132. Ottimizzazione della spesa per i farmaci antidepressivi</w:t>
      </w:r>
      <w:r>
        <w:t xml:space="preserve"> </w:t>
      </w:r>
      <w:r>
        <w:t xml:space="preserve">3133. Ottimizzazione della spesa per le benzodiazepine e gli ipnotici</w:t>
      </w:r>
      <w:r>
        <w:t xml:space="preserve"> </w:t>
      </w:r>
      <w:r>
        <w:t xml:space="preserve">3134. Ottimizzazione della spesa per le consulenze psichiatriche urgenti</w:t>
      </w:r>
      <w:r>
        <w:t xml:space="preserve"> </w:t>
      </w:r>
      <w:r>
        <w:t xml:space="preserve">3135. Ottimizzazione della spesa per i trattamenti sanitari obbligatori</w:t>
      </w:r>
      <w:r>
        <w:t xml:space="preserve"> </w:t>
      </w:r>
      <w:r>
        <w:t xml:space="preserve">3136. Ottimizzazione della spesa per l’emergenza territoriale</w:t>
      </w:r>
      <w:r>
        <w:t xml:space="preserve"> </w:t>
      </w:r>
      <w:r>
        <w:t xml:space="preserve">3137. Ottimizzazione della spesa per le giornate di degenza psichiatrica</w:t>
      </w:r>
      <w:r>
        <w:t xml:space="preserve"> </w:t>
      </w:r>
      <w:r>
        <w:t xml:space="preserve">3138. Ottimizzazione della spesa per i day hospital impropri</w:t>
      </w:r>
      <w:r>
        <w:t xml:space="preserve"> </w:t>
      </w:r>
      <w:r>
        <w:t xml:space="preserve">3139. Ottimizzazione della spesa per le prestazioni a basso valore</w:t>
      </w:r>
      <w:r>
        <w:t xml:space="preserve"> </w:t>
      </w:r>
      <w:r>
        <w:t xml:space="preserve">3140. Ottimizzazione della spesa per la guardia medica</w:t>
      </w:r>
      <w:r>
        <w:t xml:space="preserve"> </w:t>
      </w:r>
      <w:r>
        <w:t xml:space="preserve">3141. Ottimizzazione della spesa per i ricoveri in medicina interna da cause psicosociali</w:t>
      </w:r>
      <w:r>
        <w:t xml:space="preserve"> </w:t>
      </w:r>
      <w:r>
        <w:t xml:space="preserve">Ramo: Riduzione della spesa evitabile</w:t>
      </w:r>
      <w:r>
        <w:t xml:space="preserve"> </w:t>
      </w:r>
      <w:r>
        <w:t xml:space="preserve">3142. Riduzione della spesa evitabile per il pronto soccorso</w:t>
      </w:r>
      <w:r>
        <w:t xml:space="preserve"> </w:t>
      </w:r>
      <w:r>
        <w:t xml:space="preserve">3143. Riduzione della spesa evitabile per i ricoveri ospedalieri</w:t>
      </w:r>
      <w:r>
        <w:t xml:space="preserve"> </w:t>
      </w:r>
      <w:r>
        <w:t xml:space="preserve">3144. Riduzione della spesa evitabile per le riammissioni a trenta giorni</w:t>
      </w:r>
      <w:r>
        <w:t xml:space="preserve"> </w:t>
      </w:r>
      <w:r>
        <w:t xml:space="preserve">3145. Riduzione della spesa evitabile per la specialistica ambulatoriale</w:t>
      </w:r>
      <w:r>
        <w:t xml:space="preserve"> </w:t>
      </w:r>
      <w:r>
        <w:t xml:space="preserve">3146. Riduzione della spesa evitabile per la diagnostica per immagini</w:t>
      </w:r>
      <w:r>
        <w:t xml:space="preserve"> </w:t>
      </w:r>
      <w:r>
        <w:t xml:space="preserve">3147. Riduzione della spesa evitabile per gli esami di laboratorio</w:t>
      </w:r>
      <w:r>
        <w:t xml:space="preserve"> </w:t>
      </w:r>
      <w:r>
        <w:t xml:space="preserve">3148. Riduzione della spesa evitabile per i farmaci antidepressivi</w:t>
      </w:r>
      <w:r>
        <w:t xml:space="preserve"> </w:t>
      </w:r>
      <w:r>
        <w:t xml:space="preserve">3149. Riduzione della spesa evitabile per le benzodiazepine e gli ipnotici</w:t>
      </w:r>
      <w:r>
        <w:t xml:space="preserve"> </w:t>
      </w:r>
      <w:r>
        <w:t xml:space="preserve">3150. Riduzione della spesa evitabile per le consulenze psichiatriche urgenti</w:t>
      </w:r>
      <w:r>
        <w:t xml:space="preserve"> </w:t>
      </w:r>
      <w:r>
        <w:t xml:space="preserve">3151. Riduzione della spesa evitabile per i trattamenti sanitari obbligatori</w:t>
      </w:r>
      <w:r>
        <w:t xml:space="preserve"> </w:t>
      </w:r>
      <w:r>
        <w:t xml:space="preserve">3152. Riduzione della spesa evitabile per l’emergenza territoriale</w:t>
      </w:r>
      <w:r>
        <w:t xml:space="preserve"> </w:t>
      </w:r>
      <w:r>
        <w:t xml:space="preserve">3153. Riduzione della spesa evitabile per le giornate di degenza psichiatrica</w:t>
      </w:r>
      <w:r>
        <w:t xml:space="preserve"> </w:t>
      </w:r>
      <w:r>
        <w:t xml:space="preserve">77Psicologo di Base · Metodologia apicale e registro unificato delle variabili</w:t>
      </w:r>
      <w:r>
        <w:t xml:space="preserve"> </w:t>
      </w:r>
      <w:r>
        <w:t xml:space="preserve">3154. Riduzione della spesa evitabile per i day hospital impropri</w:t>
      </w:r>
      <w:r>
        <w:t xml:space="preserve"> </w:t>
      </w:r>
      <w:r>
        <w:t xml:space="preserve">3155. Riduzione della spesa evitabile per le prestazioni a basso valore</w:t>
      </w:r>
      <w:r>
        <w:t xml:space="preserve"> </w:t>
      </w:r>
      <w:r>
        <w:t xml:space="preserve">3156. Riduzione della spesa evitabile per la guardia medica</w:t>
      </w:r>
      <w:r>
        <w:t xml:space="preserve"> </w:t>
      </w:r>
      <w:r>
        <w:t xml:space="preserve">3157. Riduzione della spesa evitabile per i ricoveri in medicina interna da cause psicosociali</w:t>
      </w:r>
      <w:r>
        <w:t xml:space="preserve"> </w:t>
      </w:r>
      <w:r>
        <w:t xml:space="preserve">Ramo: Riduzione dell’onere economico</w:t>
      </w:r>
      <w:r>
        <w:t xml:space="preserve"> </w:t>
      </w:r>
      <w:r>
        <w:t xml:space="preserve">3158. Riduzione dell’onere economico per il pronto soccorso</w:t>
      </w:r>
      <w:r>
        <w:t xml:space="preserve"> </w:t>
      </w:r>
      <w:r>
        <w:t xml:space="preserve">3159. Riduzione dell’onere economico per i ricoveri ospedalieri</w:t>
      </w:r>
      <w:r>
        <w:t xml:space="preserve"> </w:t>
      </w:r>
      <w:r>
        <w:t xml:space="preserve">3160. Riduzione dell’onere economico per le riammissioni a trenta giorni</w:t>
      </w:r>
      <w:r>
        <w:t xml:space="preserve"> </w:t>
      </w:r>
      <w:r>
        <w:t xml:space="preserve">3161. Riduzione dell’onere economico per la specialistica ambulatoriale</w:t>
      </w:r>
      <w:r>
        <w:t xml:space="preserve"> </w:t>
      </w:r>
      <w:r>
        <w:t xml:space="preserve">3162. Riduzione dell’onere economico per la diagnostica per immagini</w:t>
      </w:r>
      <w:r>
        <w:t xml:space="preserve"> </w:t>
      </w:r>
      <w:r>
        <w:t xml:space="preserve">3163. Riduzione dell’onere economico per gli esami di laboratorio</w:t>
      </w:r>
      <w:r>
        <w:t xml:space="preserve"> </w:t>
      </w:r>
      <w:r>
        <w:t xml:space="preserve">3164. Riduzione dell’onere economico per i farmaci antidepressivi</w:t>
      </w:r>
      <w:r>
        <w:t xml:space="preserve"> </w:t>
      </w:r>
      <w:r>
        <w:t xml:space="preserve">3165. Riduzione dell’onere economico per le benzodiazepine e gli ipnotici</w:t>
      </w:r>
      <w:r>
        <w:t xml:space="preserve"> </w:t>
      </w:r>
      <w:r>
        <w:t xml:space="preserve">3166. Riduzione dell’onere economico per le consulenze psichiatriche urgenti</w:t>
      </w:r>
      <w:r>
        <w:t xml:space="preserve"> </w:t>
      </w:r>
      <w:r>
        <w:t xml:space="preserve">3167. Riduzione dell’onere economico per i trattamenti sanitari obbligatori</w:t>
      </w:r>
      <w:r>
        <w:t xml:space="preserve"> </w:t>
      </w:r>
      <w:r>
        <w:t xml:space="preserve">3168. Riduzione dell’onere economico per l’emergenza territoriale</w:t>
      </w:r>
      <w:r>
        <w:t xml:space="preserve"> </w:t>
      </w:r>
      <w:r>
        <w:t xml:space="preserve">3169. Riduzione dell’onere economico per le giornate di degenza psichiatrica</w:t>
      </w:r>
      <w:r>
        <w:t xml:space="preserve"> </w:t>
      </w:r>
      <w:r>
        <w:t xml:space="preserve">3170. Riduzione dell’onere economico per i day hospital impropri</w:t>
      </w:r>
      <w:r>
        <w:t xml:space="preserve"> </w:t>
      </w:r>
      <w:r>
        <w:t xml:space="preserve">3171. Riduzione dell’onere economico per le prestazioni a basso valore</w:t>
      </w:r>
      <w:r>
        <w:t xml:space="preserve"> </w:t>
      </w:r>
      <w:r>
        <w:t xml:space="preserve">3172. Riduzione dell’onere economico per la guardia medica</w:t>
      </w:r>
      <w:r>
        <w:t xml:space="preserve"> </w:t>
      </w:r>
      <w:r>
        <w:t xml:space="preserve">3173. Riduzione dell’onere economico per i ricoveri in medicina interna da cause psicosociali</w:t>
      </w:r>
      <w:r>
        <w:t xml:space="preserve"> </w:t>
      </w:r>
      <w:r>
        <w:t xml:space="preserve">Ramo: Abbattimento dei costi</w:t>
      </w:r>
      <w:r>
        <w:t xml:space="preserve"> </w:t>
      </w:r>
      <w:r>
        <w:t xml:space="preserve">3174. Abbattimento dei costi per il pronto soccorso</w:t>
      </w:r>
      <w:r>
        <w:t xml:space="preserve"> </w:t>
      </w:r>
      <w:r>
        <w:t xml:space="preserve">3175. Abbattimento dei costi per i ricoveri ospedalieri</w:t>
      </w:r>
      <w:r>
        <w:t xml:space="preserve"> </w:t>
      </w:r>
      <w:r>
        <w:t xml:space="preserve">3176. Abbattimento dei costi per le riammissioni a trenta giorni</w:t>
      </w:r>
      <w:r>
        <w:t xml:space="preserve"> </w:t>
      </w:r>
      <w:r>
        <w:t xml:space="preserve">3177. Abbattimento dei costi per la specialistica ambulatoriale</w:t>
      </w:r>
      <w:r>
        <w:t xml:space="preserve"> </w:t>
      </w:r>
      <w:r>
        <w:t xml:space="preserve">3178. Abbattimento dei costi per la diagnostica per immagini</w:t>
      </w:r>
      <w:r>
        <w:t xml:space="preserve"> </w:t>
      </w:r>
      <w:r>
        <w:t xml:space="preserve">3179. Abbattimento dei costi per gli esami di laboratorio</w:t>
      </w:r>
      <w:r>
        <w:t xml:space="preserve"> </w:t>
      </w:r>
      <w:r>
        <w:t xml:space="preserve">3180. Abbattimento dei costi per i farmaci antidepressivi</w:t>
      </w:r>
      <w:r>
        <w:t xml:space="preserve"> </w:t>
      </w:r>
      <w:r>
        <w:t xml:space="preserve">3181. Abbattimento dei costi per le benzodiazepine e gli ipnotici</w:t>
      </w:r>
      <w:r>
        <w:t xml:space="preserve"> </w:t>
      </w:r>
      <w:r>
        <w:t xml:space="preserve">3182. Abbattimento dei costi per le consulenze psichiatriche urgenti</w:t>
      </w:r>
      <w:r>
        <w:t xml:space="preserve"> </w:t>
      </w:r>
      <w:r>
        <w:t xml:space="preserve">3183. Abbattimento dei costi per i trattamenti sanitari obbligatori</w:t>
      </w:r>
      <w:r>
        <w:t xml:space="preserve"> </w:t>
      </w:r>
      <w:r>
        <w:t xml:space="preserve">3184. Abbattimento dei costi per l’emergenza territoriale</w:t>
      </w:r>
      <w:r>
        <w:t xml:space="preserve"> </w:t>
      </w:r>
      <w:r>
        <w:t xml:space="preserve">3185. Abbattimento dei costi per le giornate di degenza psichiatrica</w:t>
      </w:r>
      <w:r>
        <w:t xml:space="preserve"> </w:t>
      </w:r>
      <w:r>
        <w:t xml:space="preserve">3186. Abbattimento dei costi per i day hospital impropri</w:t>
      </w:r>
      <w:r>
        <w:t xml:space="preserve"> </w:t>
      </w:r>
      <w:r>
        <w:t xml:space="preserve">3187. Abbattimento dei costi per le prestazioni a basso valore</w:t>
      </w:r>
      <w:r>
        <w:t xml:space="preserve"> </w:t>
      </w:r>
      <w:r>
        <w:t xml:space="preserve">3188. Abbattimento dei costi per la guardia medica</w:t>
      </w:r>
      <w:r>
        <w:t xml:space="preserve"> </w:t>
      </w:r>
      <w:r>
        <w:t xml:space="preserve">3189. Abbattimento dei costi per i ricoveri in medicina interna da cause psicosociali</w:t>
      </w:r>
      <w:r>
        <w:t xml:space="preserve"> </w:t>
      </w:r>
      <w:r>
        <w:t xml:space="preserve">Ramo: Riduzione dell’assorbimento di risorse</w:t>
      </w:r>
      <w:r>
        <w:t xml:space="preserve"> </w:t>
      </w:r>
      <w:r>
        <w:t xml:space="preserve">3190. Riduzione dell’assorbimento di risorse per il pronto soccorso</w:t>
      </w:r>
      <w:r>
        <w:t xml:space="preserve"> </w:t>
      </w:r>
      <w:r>
        <w:t xml:space="preserve">3191. Riduzione dell’assorbimento di risorse per i ricoveri ospedalieri</w:t>
      </w:r>
      <w:r>
        <w:t xml:space="preserve"> </w:t>
      </w:r>
      <w:r>
        <w:t xml:space="preserve">3192. Riduzione dell’assorbimento di risorse per le riammissioni a trenta giorni</w:t>
      </w:r>
      <w:r>
        <w:t xml:space="preserve"> </w:t>
      </w:r>
      <w:r>
        <w:t xml:space="preserve">3193. Riduzione dell’assorbimento di risorse per la specialistica ambulatoriale</w:t>
      </w:r>
      <w:r>
        <w:t xml:space="preserve"> </w:t>
      </w:r>
      <w:r>
        <w:t xml:space="preserve">3194. Riduzione dell’assorbimento di risorse per la diagnostica per immagini</w:t>
      </w:r>
      <w:r>
        <w:t xml:space="preserve"> </w:t>
      </w:r>
      <w:r>
        <w:t xml:space="preserve">3195. Riduzione dell’assorbimento di risorse per gli esami di laboratorio</w:t>
      </w:r>
      <w:r>
        <w:t xml:space="preserve"> </w:t>
      </w:r>
      <w:r>
        <w:t xml:space="preserve">3196. Riduzione dell’assorbimento di risorse per i farmaci antidepressivi</w:t>
      </w:r>
      <w:r>
        <w:t xml:space="preserve"> </w:t>
      </w:r>
      <w:r>
        <w:t xml:space="preserve">3197. Riduzione dell’assorbimento di risorse per le benzodiazepine e gli ipnotici</w:t>
      </w:r>
      <w:r>
        <w:t xml:space="preserve"> </w:t>
      </w:r>
      <w:r>
        <w:t xml:space="preserve">3198. Riduzione dell’assorbimento di risorse per le consulenze psichiatriche urgenti</w:t>
      </w:r>
      <w:r>
        <w:t xml:space="preserve"> </w:t>
      </w:r>
      <w:r>
        <w:t xml:space="preserve">3199. Riduzione dell’assorbimento di risorse per i trattamenti sanitari obbligatori</w:t>
      </w:r>
      <w:r>
        <w:t xml:space="preserve"> </w:t>
      </w:r>
      <w:r>
        <w:t xml:space="preserve">78Psicologo di Base · Metodologia apicale e registro unificato delle variabili</w:t>
      </w:r>
      <w:r>
        <w:t xml:space="preserve"> </w:t>
      </w:r>
      <w:r>
        <w:t xml:space="preserve">3200. Riduzione dell’assorbimento di risorse per l’emergenza territoriale</w:t>
      </w:r>
      <w:r>
        <w:t xml:space="preserve"> </w:t>
      </w:r>
      <w:r>
        <w:t xml:space="preserve">3201. Riduzione dell’assorbimento di risorse per le giornate di degenza psichiatrica</w:t>
      </w:r>
      <w:r>
        <w:t xml:space="preserve"> </w:t>
      </w:r>
      <w:r>
        <w:t xml:space="preserve">3202. Riduzione dell’assorbimento di risorse per i day hospital impropri</w:t>
      </w:r>
      <w:r>
        <w:t xml:space="preserve"> </w:t>
      </w:r>
      <w:r>
        <w:t xml:space="preserve">3203. Riduzione dell’assorbimento di risorse per le prestazioni a basso valore</w:t>
      </w:r>
      <w:r>
        <w:t xml:space="preserve"> </w:t>
      </w:r>
      <w:r>
        <w:t xml:space="preserve">3204. Riduzione dell’assorbimento di risorse per la guardia medica</w:t>
      </w:r>
      <w:r>
        <w:t xml:space="preserve"> </w:t>
      </w:r>
      <w:r>
        <w:t xml:space="preserve">3205. Riduzione dell’assorbimento di risorse per i ricoveri in medicina interna da cause psicosociali</w:t>
      </w:r>
      <w:r>
        <w:t xml:space="preserve"> </w:t>
      </w:r>
      <w:r>
        <w:t xml:space="preserve">Ramo: Riduzione dell’impegno di spesa</w:t>
      </w:r>
      <w:r>
        <w:t xml:space="preserve"> </w:t>
      </w:r>
      <w:r>
        <w:t xml:space="preserve">3206. Riduzione dell’impegno di spesa per il pronto soccorso</w:t>
      </w:r>
      <w:r>
        <w:t xml:space="preserve"> </w:t>
      </w:r>
      <w:r>
        <w:t xml:space="preserve">3207. Riduzione dell’impegno di spesa per i ricoveri ospedalieri</w:t>
      </w:r>
      <w:r>
        <w:t xml:space="preserve"> </w:t>
      </w:r>
      <w:r>
        <w:t xml:space="preserve">3208. Riduzione dell’impegno di spesa per le riammissioni a trenta giorni</w:t>
      </w:r>
      <w:r>
        <w:t xml:space="preserve"> </w:t>
      </w:r>
      <w:r>
        <w:t xml:space="preserve">3209. Riduzione dell’impegno di spesa per la specialistica ambulatoriale</w:t>
      </w:r>
      <w:r>
        <w:t xml:space="preserve"> </w:t>
      </w:r>
      <w:r>
        <w:t xml:space="preserve">3210. Riduzione dell’impegno di spesa per la diagnostica per immagini</w:t>
      </w:r>
      <w:r>
        <w:t xml:space="preserve"> </w:t>
      </w:r>
      <w:r>
        <w:t xml:space="preserve">3211. Riduzione dell’impegno di spesa per gli esami di laboratorio</w:t>
      </w:r>
      <w:r>
        <w:t xml:space="preserve"> </w:t>
      </w:r>
      <w:r>
        <w:t xml:space="preserve">3212. Riduzione dell’impegno di spesa per i farmaci antidepressivi</w:t>
      </w:r>
      <w:r>
        <w:t xml:space="preserve"> </w:t>
      </w:r>
      <w:r>
        <w:t xml:space="preserve">3213. Riduzione dell’impegno di spesa per le benzodiazepine e gli ipnotici</w:t>
      </w:r>
      <w:r>
        <w:t xml:space="preserve"> </w:t>
      </w:r>
      <w:r>
        <w:t xml:space="preserve">3214. Riduzione dell’impegno di spesa per le consulenze psichiatriche urgenti</w:t>
      </w:r>
      <w:r>
        <w:t xml:space="preserve"> </w:t>
      </w:r>
      <w:r>
        <w:t xml:space="preserve">3215. Riduzione dell’impegno di spesa per i trattamenti sanitari obbligatori</w:t>
      </w:r>
      <w:r>
        <w:t xml:space="preserve"> </w:t>
      </w:r>
      <w:r>
        <w:t xml:space="preserve">3216. Riduzione dell’impegno di spesa per l’emergenza territoriale</w:t>
      </w:r>
      <w:r>
        <w:t xml:space="preserve"> </w:t>
      </w:r>
      <w:r>
        <w:t xml:space="preserve">3217. Riduzione dell’impegno di spesa per le giornate di degenza psichiatrica</w:t>
      </w:r>
      <w:r>
        <w:t xml:space="preserve"> </w:t>
      </w:r>
      <w:r>
        <w:t xml:space="preserve">3218. Riduzione dell’impegno di spesa per i day hospital impropri</w:t>
      </w:r>
      <w:r>
        <w:t xml:space="preserve"> </w:t>
      </w:r>
      <w:r>
        <w:t xml:space="preserve">3219. Riduzione dell’impegno di spesa per le prestazioni a basso valore</w:t>
      </w:r>
      <w:r>
        <w:t xml:space="preserve"> </w:t>
      </w:r>
      <w:r>
        <w:t xml:space="preserve">3220. Riduzione dell’impegno di spesa per la guardia medica</w:t>
      </w:r>
      <w:r>
        <w:t xml:space="preserve"> </w:t>
      </w:r>
      <w:r>
        <w:t xml:space="preserve">3221. Riduzione dell’impegno di spesa per i ricoveri in medicina interna da cause psicosociali</w:t>
      </w:r>
      <w:r>
        <w:t xml:space="preserve"> </w:t>
      </w:r>
      <w:r>
        <w:t xml:space="preserve">Ramo: Riduzione della spesa inappropriata</w:t>
      </w:r>
      <w:r>
        <w:t xml:space="preserve"> </w:t>
      </w:r>
      <w:r>
        <w:t xml:space="preserve">3222. Riduzione della spesa inappropriata per il pronto soccorso</w:t>
      </w:r>
      <w:r>
        <w:t xml:space="preserve"> </w:t>
      </w:r>
      <w:r>
        <w:t xml:space="preserve">3223. Riduzione della spesa inappropriata per i ricoveri ospedalieri</w:t>
      </w:r>
      <w:r>
        <w:t xml:space="preserve"> </w:t>
      </w:r>
      <w:r>
        <w:t xml:space="preserve">3224. Riduzione della spesa inappropriata per le riammissioni a trenta giorni</w:t>
      </w:r>
      <w:r>
        <w:t xml:space="preserve"> </w:t>
      </w:r>
      <w:r>
        <w:t xml:space="preserve">3225. Riduzione della spesa inappropriata per la specialistica ambulatoriale</w:t>
      </w:r>
      <w:r>
        <w:t xml:space="preserve"> </w:t>
      </w:r>
      <w:r>
        <w:t xml:space="preserve">3226. Riduzione della spesa inappropriata per la diagnostica per immagini</w:t>
      </w:r>
      <w:r>
        <w:t xml:space="preserve"> </w:t>
      </w:r>
      <w:r>
        <w:t xml:space="preserve">3227. Riduzione della spesa inappropriata per gli esami di laboratorio</w:t>
      </w:r>
      <w:r>
        <w:t xml:space="preserve"> </w:t>
      </w:r>
      <w:r>
        <w:t xml:space="preserve">3228. Riduzione della spesa inappropriata per i farmaci antidepressivi</w:t>
      </w:r>
      <w:r>
        <w:t xml:space="preserve"> </w:t>
      </w:r>
      <w:r>
        <w:t xml:space="preserve">3229. Riduzione della spesa inappropriata per le benzodiazepine e gli ipnotici</w:t>
      </w:r>
      <w:r>
        <w:t xml:space="preserve"> </w:t>
      </w:r>
      <w:r>
        <w:t xml:space="preserve">3230. Riduzione della spesa inappropriata per le consulenze psichiatriche urgenti</w:t>
      </w:r>
      <w:r>
        <w:t xml:space="preserve"> </w:t>
      </w:r>
      <w:r>
        <w:t xml:space="preserve">3231. Riduzione della spesa inappropriata per i trattamenti sanitari obbligatori</w:t>
      </w:r>
      <w:r>
        <w:t xml:space="preserve"> </w:t>
      </w:r>
      <w:r>
        <w:t xml:space="preserve">3232. Riduzione della spesa inappropriata per l’emergenza territoriale</w:t>
      </w:r>
      <w:r>
        <w:t xml:space="preserve"> </w:t>
      </w:r>
      <w:r>
        <w:t xml:space="preserve">3233. Riduzione della spesa inappropriata per le giornate di degenza psichiatrica</w:t>
      </w:r>
      <w:r>
        <w:t xml:space="preserve"> </w:t>
      </w:r>
      <w:r>
        <w:t xml:space="preserve">3234. Riduzione della spesa inappropriata per i day hospital impropri</w:t>
      </w:r>
      <w:r>
        <w:t xml:space="preserve"> </w:t>
      </w:r>
      <w:r>
        <w:t xml:space="preserve">3235. Riduzione della spesa inappropriata per le prestazioni a basso valore</w:t>
      </w:r>
      <w:r>
        <w:t xml:space="preserve"> </w:t>
      </w:r>
      <w:r>
        <w:t xml:space="preserve">3236. Riduzione della spesa inappropriata per la guardia medica</w:t>
      </w:r>
      <w:r>
        <w:t xml:space="preserve"> </w:t>
      </w:r>
      <w:r>
        <w:t xml:space="preserve">3237. Riduzione della spesa inappropriata per i ricoveri in medicina interna da cause psicosociali</w:t>
      </w:r>
      <w:r>
        <w:t xml:space="preserve"> </w:t>
      </w:r>
      <w:r>
        <w:t xml:space="preserve">Ramo: Riduzione dell’esborso complessivo</w:t>
      </w:r>
      <w:r>
        <w:t xml:space="preserve"> </w:t>
      </w:r>
      <w:r>
        <w:t xml:space="preserve">3238. Riduzione dell’esborso complessivo per il pronto soccorso</w:t>
      </w:r>
      <w:r>
        <w:t xml:space="preserve"> </w:t>
      </w:r>
      <w:r>
        <w:t xml:space="preserve">3239. Riduzione dell’esborso complessivo per i ricoveri ospedalieri</w:t>
      </w:r>
      <w:r>
        <w:t xml:space="preserve"> </w:t>
      </w:r>
      <w:r>
        <w:t xml:space="preserve">3240. Riduzione dell’esborso complessivo per le riammissioni a trenta giorni</w:t>
      </w:r>
      <w:r>
        <w:t xml:space="preserve"> </w:t>
      </w:r>
      <w:r>
        <w:t xml:space="preserve">3241. Riduzione dell’esborso complessivo per la specialistica ambulatoriale</w:t>
      </w:r>
      <w:r>
        <w:t xml:space="preserve"> </w:t>
      </w:r>
      <w:r>
        <w:t xml:space="preserve">3242. Riduzione dell’esborso complessivo per la diagnostica per immagini</w:t>
      </w:r>
      <w:r>
        <w:t xml:space="preserve"> </w:t>
      </w:r>
      <w:r>
        <w:t xml:space="preserve">3243. Riduzione dell’esborso complessivo per gli esami di laboratorio</w:t>
      </w:r>
      <w:r>
        <w:t xml:space="preserve"> </w:t>
      </w:r>
      <w:r>
        <w:t xml:space="preserve">3244. Riduzione dell’esborso complessivo per i farmaci antidepressivi</w:t>
      </w:r>
      <w:r>
        <w:t xml:space="preserve"> </w:t>
      </w:r>
      <w:r>
        <w:t xml:space="preserve">3245. Riduzione dell’esborso complessivo per le benzodiazepine e gli ipnotici</w:t>
      </w:r>
      <w:r>
        <w:t xml:space="preserve"> </w:t>
      </w:r>
      <w:r>
        <w:t xml:space="preserve">79Psicologo di Base · Metodologia apicale e registro unificato delle variabili</w:t>
      </w:r>
      <w:r>
        <w:t xml:space="preserve"> </w:t>
      </w:r>
      <w:r>
        <w:t xml:space="preserve">3246. Riduzione dell’esborso complessivo per le consulenze psichiatriche urgenti</w:t>
      </w:r>
      <w:r>
        <w:t xml:space="preserve"> </w:t>
      </w:r>
      <w:r>
        <w:t xml:space="preserve">3247. Riduzione dell’esborso complessivo per i trattamenti sanitari obbligatori</w:t>
      </w:r>
      <w:r>
        <w:t xml:space="preserve"> </w:t>
      </w:r>
      <w:r>
        <w:t xml:space="preserve">3248. Riduzione dell’esborso complessivo per l’emergenza territoriale</w:t>
      </w:r>
      <w:r>
        <w:t xml:space="preserve"> </w:t>
      </w:r>
      <w:r>
        <w:t xml:space="preserve">3249. Riduzione dell’esborso complessivo per le giornate di degenza psichiatrica</w:t>
      </w:r>
      <w:r>
        <w:t xml:space="preserve"> </w:t>
      </w:r>
      <w:r>
        <w:t xml:space="preserve">3250. Riduzione dell’esborso complessivo per i day hospital impropri</w:t>
      </w:r>
      <w:r>
        <w:t xml:space="preserve"> </w:t>
      </w:r>
      <w:r>
        <w:t xml:space="preserve">3251. Riduzione dell’esborso complessivo per le prestazioni a basso valore</w:t>
      </w:r>
      <w:r>
        <w:t xml:space="preserve"> </w:t>
      </w:r>
      <w:r>
        <w:t xml:space="preserve">3252. Riduzione dell’esborso complessivo per la guardia medica</w:t>
      </w:r>
      <w:r>
        <w:t xml:space="preserve"> </w:t>
      </w:r>
      <w:r>
        <w:t xml:space="preserve">3253. Riduzione dell’esborso complessivo per i ricoveri in medicina interna da cause psicosociali</w:t>
      </w:r>
      <w:r>
        <w:t xml:space="preserve"> </w:t>
      </w:r>
      <w:r>
        <w:t xml:space="preserve">D — Ramificazione per meccanismo e componente di intervento</w:t>
      </w:r>
      <w:r>
        <w:t xml:space="preserve"> </w:t>
      </w:r>
      <w:r>
        <w:t xml:space="preserve">Ogni ramo-genitore di esito è declinato per meccanismo di azione e componente dell’intervento.</w:t>
      </w:r>
      <w:r>
        <w:t xml:space="preserve"> </w:t>
      </w:r>
      <w:r>
        <w:t xml:space="preserve">Ramo: Miglioramento degli esiti clinici</w:t>
      </w:r>
      <w:r>
        <w:t xml:space="preserve"> </w:t>
      </w:r>
      <w:r>
        <w:t xml:space="preserve">3254. Miglioramento degli esiti clinici mediante valutazione e assessment iniziale</w:t>
      </w:r>
      <w:r>
        <w:t xml:space="preserve"> </w:t>
      </w:r>
      <w:r>
        <w:t xml:space="preserve">3255. Miglioramento degli esiti clinici mediante interventi psicologici di primo livello</w:t>
      </w:r>
      <w:r>
        <w:t xml:space="preserve"> </w:t>
      </w:r>
      <w:r>
        <w:t xml:space="preserve">3256. Miglioramento degli esiti clinici mediante interventi di gruppo</w:t>
      </w:r>
      <w:r>
        <w:t xml:space="preserve"> </w:t>
      </w:r>
      <w:r>
        <w:t xml:space="preserve">3257. Miglioramento degli esiti clinici mediante psicoeducazione</w:t>
      </w:r>
      <w:r>
        <w:t xml:space="preserve"> </w:t>
      </w:r>
      <w:r>
        <w:t xml:space="preserve">3258. Miglioramento degli esiti clinici mediante counseling breve</w:t>
      </w:r>
      <w:r>
        <w:t xml:space="preserve"> </w:t>
      </w:r>
      <w:r>
        <w:t xml:space="preserve">3259. Miglioramento degli esiti clinici mediante terapia cognitivo-comportamentale a bassa intensità</w:t>
      </w:r>
      <w:r>
        <w:t xml:space="preserve"> </w:t>
      </w:r>
      <w:r>
        <w:t xml:space="preserve">3260. Miglioramento degli esiti clinici mediante interventi di attivazione comportamentale</w:t>
      </w:r>
      <w:r>
        <w:t xml:space="preserve"> </w:t>
      </w:r>
      <w:r>
        <w:t xml:space="preserve">3261. Miglioramento degli esiti clinici mediante supporto all’autogestione</w:t>
      </w:r>
      <w:r>
        <w:t xml:space="preserve"> </w:t>
      </w:r>
      <w:r>
        <w:t xml:space="preserve">3262. Miglioramento degli esiti clinici mediante coinvolgimento dei familiari</w:t>
      </w:r>
      <w:r>
        <w:t xml:space="preserve"> </w:t>
      </w:r>
      <w:r>
        <w:t xml:space="preserve">3263. Miglioramento degli esiti clinici mediante telepsicologia</w:t>
      </w:r>
      <w:r>
        <w:t xml:space="preserve"> </w:t>
      </w:r>
      <w:r>
        <w:t xml:space="preserve">3264. Miglioramento degli esiti clinici mediante strumenti digitali validati</w:t>
      </w:r>
      <w:r>
        <w:t xml:space="preserve"> </w:t>
      </w:r>
      <w:r>
        <w:t xml:space="preserve">3265. Miglioramento degli esiti clinici mediante monitoraggio sistematico degli esiti</w:t>
      </w:r>
      <w:r>
        <w:t xml:space="preserve"> </w:t>
      </w:r>
      <w:r>
        <w:t xml:space="preserve">3266. Miglioramento degli esiti clinici mediante la funzione di filtro e invio</w:t>
      </w:r>
      <w:r>
        <w:t xml:space="preserve"> </w:t>
      </w:r>
      <w:r>
        <w:t xml:space="preserve">3267. Miglioramento degli esiti clinici mediante interventi preventivi di comunità</w:t>
      </w:r>
      <w:r>
        <w:t xml:space="preserve"> </w:t>
      </w:r>
      <w:r>
        <w:t xml:space="preserve">3268. Miglioramento degli esiti clinici mediante collaborazione con il medico di base</w:t>
      </w:r>
      <w:r>
        <w:t xml:space="preserve"> </w:t>
      </w:r>
      <w:r>
        <w:t xml:space="preserve">3269. Miglioramento degli esiti clinici mediante interventi sul luogo di lavoro</w:t>
      </w:r>
      <w:r>
        <w:t xml:space="preserve"> </w:t>
      </w:r>
      <w:r>
        <w:t xml:space="preserve">3270. Miglioramento degli esiti clinici mediante interventi nelle scuole</w:t>
      </w:r>
      <w:r>
        <w:t xml:space="preserve"> </w:t>
      </w:r>
      <w:r>
        <w:t xml:space="preserve">3271. Miglioramento degli esiti clinici mediante supporto tra pari</w:t>
      </w:r>
      <w:r>
        <w:t xml:space="preserve"> </w:t>
      </w:r>
      <w:r>
        <w:t xml:space="preserve">Ramo: Riduzione dei sintomi</w:t>
      </w:r>
      <w:r>
        <w:t xml:space="preserve"> </w:t>
      </w:r>
      <w:r>
        <w:t xml:space="preserve">3272. Riduzione dei sintomi mediante valutazione e assessment iniziale</w:t>
      </w:r>
      <w:r>
        <w:t xml:space="preserve"> </w:t>
      </w:r>
      <w:r>
        <w:t xml:space="preserve">3273. Riduzione dei sintomi mediante interventi psicologici di primo livello</w:t>
      </w:r>
      <w:r>
        <w:t xml:space="preserve"> </w:t>
      </w:r>
      <w:r>
        <w:t xml:space="preserve">3274. Riduzione dei sintomi mediante interventi di gruppo</w:t>
      </w:r>
      <w:r>
        <w:t xml:space="preserve"> </w:t>
      </w:r>
      <w:r>
        <w:t xml:space="preserve">3275. Riduzione dei sintomi mediante psicoeducazione</w:t>
      </w:r>
      <w:r>
        <w:t xml:space="preserve"> </w:t>
      </w:r>
      <w:r>
        <w:t xml:space="preserve">3276. Riduzione dei sintomi mediante counseling breve</w:t>
      </w:r>
      <w:r>
        <w:t xml:space="preserve"> </w:t>
      </w:r>
      <w:r>
        <w:t xml:space="preserve">3277. Riduzione dei sintomi mediante terapia cognitivo-comportamentale a bassa intensità</w:t>
      </w:r>
      <w:r>
        <w:t xml:space="preserve"> </w:t>
      </w:r>
      <w:r>
        <w:t xml:space="preserve">3278. Riduzione dei sintomi mediante interventi di attivazione comportamentale</w:t>
      </w:r>
      <w:r>
        <w:t xml:space="preserve"> </w:t>
      </w:r>
      <w:r>
        <w:t xml:space="preserve">3279. Riduzione dei sintomi mediante supporto all’autogestione</w:t>
      </w:r>
      <w:r>
        <w:t xml:space="preserve"> </w:t>
      </w:r>
      <w:r>
        <w:t xml:space="preserve">3280. Riduzione dei sintomi mediante coinvolgimento dei familiari</w:t>
      </w:r>
      <w:r>
        <w:t xml:space="preserve"> </w:t>
      </w:r>
      <w:r>
        <w:t xml:space="preserve">3281. Riduzione dei sintomi mediante telepsicologia</w:t>
      </w:r>
      <w:r>
        <w:t xml:space="preserve"> </w:t>
      </w:r>
      <w:r>
        <w:t xml:space="preserve">3282. Riduzione dei sintomi mediante strumenti digitali validati</w:t>
      </w:r>
      <w:r>
        <w:t xml:space="preserve"> </w:t>
      </w:r>
      <w:r>
        <w:t xml:space="preserve">3283. Riduzione dei sintomi mediante monitoraggio sistematico degli esiti</w:t>
      </w:r>
      <w:r>
        <w:t xml:space="preserve"> </w:t>
      </w:r>
      <w:r>
        <w:t xml:space="preserve">3284. Riduzione dei sintomi mediante la funzione di filtro e invio</w:t>
      </w:r>
      <w:r>
        <w:t xml:space="preserve"> </w:t>
      </w:r>
      <w:r>
        <w:t xml:space="preserve">3285. Riduzione dei sintomi mediante interventi preventivi di comunità</w:t>
      </w:r>
      <w:r>
        <w:t xml:space="preserve"> </w:t>
      </w:r>
      <w:r>
        <w:t xml:space="preserve">3286. Riduzione dei sintomi mediante collaborazione con il medico di base</w:t>
      </w:r>
      <w:r>
        <w:t xml:space="preserve"> </w:t>
      </w:r>
      <w:r>
        <w:t xml:space="preserve">3287. Riduzione dei sintomi mediante interventi sul luogo di lavoro</w:t>
      </w:r>
      <w:r>
        <w:t xml:space="preserve"> </w:t>
      </w:r>
      <w:r>
        <w:t xml:space="preserve">3288. Riduzione dei sintomi mediante interventi nelle scuole</w:t>
      </w:r>
      <w:r>
        <w:t xml:space="preserve"> </w:t>
      </w:r>
      <w:r>
        <w:t xml:space="preserve">3289. Riduzione dei sintomi mediante supporto tra pari</w:t>
      </w:r>
      <w:r>
        <w:t xml:space="preserve"> </w:t>
      </w:r>
      <w:r>
        <w:t xml:space="preserve">80Psicologo di Base · Metodologia apicale e registro unificato delle variabili</w:t>
      </w:r>
      <w:r>
        <w:t xml:space="preserve"> </w:t>
      </w:r>
      <w:r>
        <w:t xml:space="preserve">Ramo: Aumento del recupero</w:t>
      </w:r>
      <w:r>
        <w:t xml:space="preserve"> </w:t>
      </w:r>
      <w:r>
        <w:t xml:space="preserve">3290. Aumento del recupero mediante valutazione e assessment iniziale</w:t>
      </w:r>
      <w:r>
        <w:t xml:space="preserve"> </w:t>
      </w:r>
      <w:r>
        <w:t xml:space="preserve">3291. Aumento del recupero mediante interventi psicologici di primo livello</w:t>
      </w:r>
      <w:r>
        <w:t xml:space="preserve"> </w:t>
      </w:r>
      <w:r>
        <w:t xml:space="preserve">3292. Aumento del recupero mediante interventi di gruppo</w:t>
      </w:r>
      <w:r>
        <w:t xml:space="preserve"> </w:t>
      </w:r>
      <w:r>
        <w:t xml:space="preserve">3293. Aumento del recupero mediante psicoeducazione</w:t>
      </w:r>
      <w:r>
        <w:t xml:space="preserve"> </w:t>
      </w:r>
      <w:r>
        <w:t xml:space="preserve">3294. Aumento del recupero mediante counseling breve</w:t>
      </w:r>
      <w:r>
        <w:t xml:space="preserve"> </w:t>
      </w:r>
      <w:r>
        <w:t xml:space="preserve">3295. Aumento del recupero mediante terapia cognitivo-comportamentale a bassa intensità</w:t>
      </w:r>
      <w:r>
        <w:t xml:space="preserve"> </w:t>
      </w:r>
      <w:r>
        <w:t xml:space="preserve">3296. Aumento del recupero mediante interventi di attivazione comportamentale</w:t>
      </w:r>
      <w:r>
        <w:t xml:space="preserve"> </w:t>
      </w:r>
      <w:r>
        <w:t xml:space="preserve">3297. Aumento del recupero mediante supporto all’autogestione</w:t>
      </w:r>
      <w:r>
        <w:t xml:space="preserve"> </w:t>
      </w:r>
      <w:r>
        <w:t xml:space="preserve">3298. Aumento del recupero mediante coinvolgimento dei familiari</w:t>
      </w:r>
      <w:r>
        <w:t xml:space="preserve"> </w:t>
      </w:r>
      <w:r>
        <w:t xml:space="preserve">3299. Aumento del recupero mediante telepsicologia</w:t>
      </w:r>
      <w:r>
        <w:t xml:space="preserve"> </w:t>
      </w:r>
      <w:r>
        <w:t xml:space="preserve">3300. Aumento del recupero mediante strumenti digitali validati</w:t>
      </w:r>
      <w:r>
        <w:t xml:space="preserve"> </w:t>
      </w:r>
      <w:r>
        <w:t xml:space="preserve">3301. Aumento del recupero mediante monitoraggio sistematico degli esiti</w:t>
      </w:r>
      <w:r>
        <w:t xml:space="preserve"> </w:t>
      </w:r>
      <w:r>
        <w:t xml:space="preserve">3302. Aumento del recupero mediante la funzione di filtro e invio</w:t>
      </w:r>
      <w:r>
        <w:t xml:space="preserve"> </w:t>
      </w:r>
      <w:r>
        <w:t xml:space="preserve">3303. Aumento del recupero mediante interventi preventivi di comunità</w:t>
      </w:r>
      <w:r>
        <w:t xml:space="preserve"> </w:t>
      </w:r>
      <w:r>
        <w:t xml:space="preserve">3304. Aumento del recupero mediante collaborazione con il medico di base</w:t>
      </w:r>
      <w:r>
        <w:t xml:space="preserve"> </w:t>
      </w:r>
      <w:r>
        <w:t xml:space="preserve">3305. Aumento del recupero mediante interventi sul luogo di lavoro</w:t>
      </w:r>
      <w:r>
        <w:t xml:space="preserve"> </w:t>
      </w:r>
      <w:r>
        <w:t xml:space="preserve">3306. Aumento del recupero mediante interventi nelle scuole</w:t>
      </w:r>
      <w:r>
        <w:t xml:space="preserve"> </w:t>
      </w:r>
      <w:r>
        <w:t xml:space="preserve">3307. Aumento del recupero mediante supporto tra pari</w:t>
      </w:r>
      <w:r>
        <w:t xml:space="preserve"> </w:t>
      </w:r>
      <w:r>
        <w:t xml:space="preserve">Ramo: Riduzione del ricorso improprio ai servizi</w:t>
      </w:r>
      <w:r>
        <w:t xml:space="preserve"> </w:t>
      </w:r>
      <w:r>
        <w:t xml:space="preserve">3308. Riduzione del ricorso improprio ai servizi mediante valutazione e assessment iniziale</w:t>
      </w:r>
      <w:r>
        <w:t xml:space="preserve"> </w:t>
      </w:r>
      <w:r>
        <w:t xml:space="preserve">3309. Riduzione del ricorso improprio ai servizi mediante interventi psicologici di primo livello</w:t>
      </w:r>
      <w:r>
        <w:t xml:space="preserve"> </w:t>
      </w:r>
      <w:r>
        <w:t xml:space="preserve">3310. Riduzione del ricorso improprio ai servizi mediante interventi di gruppo</w:t>
      </w:r>
      <w:r>
        <w:t xml:space="preserve"> </w:t>
      </w:r>
      <w:r>
        <w:t xml:space="preserve">3311. Riduzione del ricorso improprio ai servizi mediante psicoeducazione</w:t>
      </w:r>
      <w:r>
        <w:t xml:space="preserve"> </w:t>
      </w:r>
      <w:r>
        <w:t xml:space="preserve">3312. Riduzione del ricorso improprio ai servizi mediante counseling breve</w:t>
      </w:r>
      <w:r>
        <w:t xml:space="preserve"> </w:t>
      </w:r>
      <w:r>
        <w:t xml:space="preserve">3313. Riduzione del ricorso improprio ai servizi mediante terapia cognitivo-comportamentale a bassa</w:t>
      </w:r>
      <w:r>
        <w:t xml:space="preserve"> </w:t>
      </w:r>
      <w:r>
        <w:t xml:space="preserve">intensità</w:t>
      </w:r>
      <w:r>
        <w:t xml:space="preserve"> </w:t>
      </w:r>
      <w:r>
        <w:t xml:space="preserve">3314. Riduzione del ricorso improprio ai servizi mediante interventi di attivazione comportamentale</w:t>
      </w:r>
      <w:r>
        <w:t xml:space="preserve"> </w:t>
      </w:r>
      <w:r>
        <w:t xml:space="preserve">3315. Riduzione del ricorso improprio ai servizi mediante supporto all’autogestione</w:t>
      </w:r>
      <w:r>
        <w:t xml:space="preserve"> </w:t>
      </w:r>
      <w:r>
        <w:t xml:space="preserve">3316. Riduzione del ricorso improprio ai servizi mediante coinvolgimento dei familiari</w:t>
      </w:r>
      <w:r>
        <w:t xml:space="preserve"> </w:t>
      </w:r>
      <w:r>
        <w:t xml:space="preserve">3317. Riduzione del ricorso improprio ai servizi mediante telepsicologia</w:t>
      </w:r>
      <w:r>
        <w:t xml:space="preserve"> </w:t>
      </w:r>
      <w:r>
        <w:t xml:space="preserve">3318. Riduzione del ricorso improprio ai servizi mediante strumenti digitali validati</w:t>
      </w:r>
      <w:r>
        <w:t xml:space="preserve"> </w:t>
      </w:r>
      <w:r>
        <w:t xml:space="preserve">3319. Riduzione del ricorso improprio ai servizi mediante monitoraggio sistematico degli esiti</w:t>
      </w:r>
      <w:r>
        <w:t xml:space="preserve"> </w:t>
      </w:r>
      <w:r>
        <w:t xml:space="preserve">3320. Riduzione del ricorso improprio ai servizi mediante la funzione di filtro e invio</w:t>
      </w:r>
      <w:r>
        <w:t xml:space="preserve"> </w:t>
      </w:r>
      <w:r>
        <w:t xml:space="preserve">3321. Riduzione del ricorso improprio ai servizi mediante interventi preventivi di comunità</w:t>
      </w:r>
      <w:r>
        <w:t xml:space="preserve"> </w:t>
      </w:r>
      <w:r>
        <w:t xml:space="preserve">3322. Riduzione del ricorso improprio ai servizi mediante collaborazione con il medico di base</w:t>
      </w:r>
      <w:r>
        <w:t xml:space="preserve"> </w:t>
      </w:r>
      <w:r>
        <w:t xml:space="preserve">3323. Riduzione del ricorso improprio ai servizi mediante interventi sul luogo di lavoro</w:t>
      </w:r>
      <w:r>
        <w:t xml:space="preserve"> </w:t>
      </w:r>
      <w:r>
        <w:t xml:space="preserve">3324. Riduzione del ricorso improprio ai servizi mediante interventi nelle scuole</w:t>
      </w:r>
      <w:r>
        <w:t xml:space="preserve"> </w:t>
      </w:r>
      <w:r>
        <w:t xml:space="preserve">3325. Riduzione del ricorso improprio ai servizi mediante supporto tra pari</w:t>
      </w:r>
      <w:r>
        <w:t xml:space="preserve"> </w:t>
      </w:r>
      <w:r>
        <w:t xml:space="preserve">Ramo: Aumento dell’aderenza ai trattamenti</w:t>
      </w:r>
      <w:r>
        <w:t xml:space="preserve"> </w:t>
      </w:r>
      <w:r>
        <w:t xml:space="preserve">3326. Aumento dell’aderenza ai trattamenti mediante valutazione e assessment iniziale</w:t>
      </w:r>
      <w:r>
        <w:t xml:space="preserve"> </w:t>
      </w:r>
      <w:r>
        <w:t xml:space="preserve">3327. Aumento dell’aderenza ai trattamenti mediante interventi psicologici di primo livello</w:t>
      </w:r>
      <w:r>
        <w:t xml:space="preserve"> </w:t>
      </w:r>
      <w:r>
        <w:t xml:space="preserve">3328. Aumento dell’aderenza ai trattamenti mediante interventi di gruppo</w:t>
      </w:r>
      <w:r>
        <w:t xml:space="preserve"> </w:t>
      </w:r>
      <w:r>
        <w:t xml:space="preserve">3329. Aumento dell’aderenza ai trattamenti mediante psicoeducazione</w:t>
      </w:r>
      <w:r>
        <w:t xml:space="preserve"> </w:t>
      </w:r>
      <w:r>
        <w:t xml:space="preserve">3330. Aumento dell’aderenza ai trattamenti mediante counseling breve</w:t>
      </w:r>
      <w:r>
        <w:t xml:space="preserve"> </w:t>
      </w:r>
      <w:r>
        <w:t xml:space="preserve">3331. Aumento dell’aderenza ai trattamenti mediante terapia cognitivo-comportamentale a bassa</w:t>
      </w:r>
      <w:r>
        <w:t xml:space="preserve"> </w:t>
      </w:r>
      <w:r>
        <w:t xml:space="preserve">intensità</w:t>
      </w:r>
      <w:r>
        <w:t xml:space="preserve"> </w:t>
      </w:r>
      <w:r>
        <w:t xml:space="preserve">3332. Aumento dell’aderenza ai trattamenti mediante interventi di attivazione comportamentale</w:t>
      </w:r>
      <w:r>
        <w:t xml:space="preserve"> </w:t>
      </w:r>
      <w:r>
        <w:t xml:space="preserve">3333. Aumento dell’aderenza ai trattamenti mediante supporto all’autogestione</w:t>
      </w:r>
      <w:r>
        <w:t xml:space="preserve"> </w:t>
      </w:r>
      <w:r>
        <w:t xml:space="preserve">81Psicologo di Base · Metodologia apicale e registro unificato delle variabili</w:t>
      </w:r>
      <w:r>
        <w:t xml:space="preserve"> </w:t>
      </w:r>
      <w:r>
        <w:t xml:space="preserve">3334. Aumento dell’aderenza ai trattamenti mediante coinvolgimento dei familiari</w:t>
      </w:r>
      <w:r>
        <w:t xml:space="preserve"> </w:t>
      </w:r>
      <w:r>
        <w:t xml:space="preserve">3335. Aumento dell’aderenza ai trattamenti mediante telepsicologia</w:t>
      </w:r>
      <w:r>
        <w:t xml:space="preserve"> </w:t>
      </w:r>
      <w:r>
        <w:t xml:space="preserve">3336. Aumento dell’aderenza ai trattamenti mediante strumenti digitali validati</w:t>
      </w:r>
      <w:r>
        <w:t xml:space="preserve"> </w:t>
      </w:r>
      <w:r>
        <w:t xml:space="preserve">3337. Aumento dell’aderenza ai trattamenti mediante monitoraggio sistematico degli esiti</w:t>
      </w:r>
      <w:r>
        <w:t xml:space="preserve"> </w:t>
      </w:r>
      <w:r>
        <w:t xml:space="preserve">3338. Aumento dell’aderenza ai trattamenti mediante la funzione di filtro e invio</w:t>
      </w:r>
      <w:r>
        <w:t xml:space="preserve"> </w:t>
      </w:r>
      <w:r>
        <w:t xml:space="preserve">3339. Aumento dell’aderenza ai trattamenti mediante interventi preventivi di comunità</w:t>
      </w:r>
      <w:r>
        <w:t xml:space="preserve"> </w:t>
      </w:r>
      <w:r>
        <w:t xml:space="preserve">3340. Aumento dell’aderenza ai trattamenti mediante collaborazione con il medico di base</w:t>
      </w:r>
      <w:r>
        <w:t xml:space="preserve"> </w:t>
      </w:r>
      <w:r>
        <w:t xml:space="preserve">3341. Aumento dell’aderenza ai trattamenti mediante interventi sul luogo di lavoro</w:t>
      </w:r>
      <w:r>
        <w:t xml:space="preserve"> </w:t>
      </w:r>
      <w:r>
        <w:t xml:space="preserve">3342. Aumento dell’aderenza ai trattamenti mediante interventi nelle scuole</w:t>
      </w:r>
      <w:r>
        <w:t xml:space="preserve"> </w:t>
      </w:r>
      <w:r>
        <w:t xml:space="preserve">3343. Aumento dell’aderenza ai trattamenti mediante supporto tra pari</w:t>
      </w:r>
      <w:r>
        <w:t xml:space="preserve"> </w:t>
      </w:r>
      <w:r>
        <w:t xml:space="preserve">Ramo: Miglioramento del funzionamento</w:t>
      </w:r>
      <w:r>
        <w:t xml:space="preserve"> </w:t>
      </w:r>
      <w:r>
        <w:t xml:space="preserve">3344. Miglioramento del funzionamento mediante valutazione e assessment iniziale</w:t>
      </w:r>
      <w:r>
        <w:t xml:space="preserve"> </w:t>
      </w:r>
      <w:r>
        <w:t xml:space="preserve">3345. Miglioramento del funzionamento mediante interventi psicologici di primo livello</w:t>
      </w:r>
      <w:r>
        <w:t xml:space="preserve"> </w:t>
      </w:r>
      <w:r>
        <w:t xml:space="preserve">3346. Miglioramento del funzionamento mediante interventi di gruppo</w:t>
      </w:r>
      <w:r>
        <w:t xml:space="preserve"> </w:t>
      </w:r>
      <w:r>
        <w:t xml:space="preserve">3347. Miglioramento del funzionamento mediante psicoeducazione</w:t>
      </w:r>
      <w:r>
        <w:t xml:space="preserve"> </w:t>
      </w:r>
      <w:r>
        <w:t xml:space="preserve">3348. Miglioramento del funzionamento mediante counseling breve</w:t>
      </w:r>
      <w:r>
        <w:t xml:space="preserve"> </w:t>
      </w:r>
      <w:r>
        <w:t xml:space="preserve">3349. Miglioramento del funzionamento mediante terapia cognitivo-comportamentale a bassa intensità</w:t>
      </w:r>
      <w:r>
        <w:t xml:space="preserve"> </w:t>
      </w:r>
      <w:r>
        <w:t xml:space="preserve">3350. Miglioramento del funzionamento mediante interventi di attivazione comportamentale</w:t>
      </w:r>
      <w:r>
        <w:t xml:space="preserve"> </w:t>
      </w:r>
      <w:r>
        <w:t xml:space="preserve">3351. Miglioramento del funzionamento mediante supporto all’autogestione</w:t>
      </w:r>
      <w:r>
        <w:t xml:space="preserve"> </w:t>
      </w:r>
      <w:r>
        <w:t xml:space="preserve">3352. Miglioramento del funzionamento mediante coinvolgimento dei familiari</w:t>
      </w:r>
      <w:r>
        <w:t xml:space="preserve"> </w:t>
      </w:r>
      <w:r>
        <w:t xml:space="preserve">3353. Miglioramento del funzionamento mediante telepsicologia</w:t>
      </w:r>
      <w:r>
        <w:t xml:space="preserve"> </w:t>
      </w:r>
      <w:r>
        <w:t xml:space="preserve">3354. Miglioramento del funzionamento mediante strumenti digitali validati</w:t>
      </w:r>
      <w:r>
        <w:t xml:space="preserve"> </w:t>
      </w:r>
      <w:r>
        <w:t xml:space="preserve">3355. Miglioramento del funzionamento mediante monitoraggio sistematico degli esiti</w:t>
      </w:r>
      <w:r>
        <w:t xml:space="preserve"> </w:t>
      </w:r>
      <w:r>
        <w:t xml:space="preserve">3356. Miglioramento del funzionamento mediante la funzione di filtro e invio</w:t>
      </w:r>
      <w:r>
        <w:t xml:space="preserve"> </w:t>
      </w:r>
      <w:r>
        <w:t xml:space="preserve">3357. Miglioramento del funzionamento mediante interventi preventivi di comunità</w:t>
      </w:r>
      <w:r>
        <w:t xml:space="preserve"> </w:t>
      </w:r>
      <w:r>
        <w:t xml:space="preserve">3358. Miglioramento del funzionamento mediante collaborazione con il medico di base</w:t>
      </w:r>
      <w:r>
        <w:t xml:space="preserve"> </w:t>
      </w:r>
      <w:r>
        <w:t xml:space="preserve">3359. Miglioramento del funzionamento mediante interventi sul luogo di lavoro</w:t>
      </w:r>
      <w:r>
        <w:t xml:space="preserve"> </w:t>
      </w:r>
      <w:r>
        <w:t xml:space="preserve">3360. Miglioramento del funzionamento mediante interventi nelle scuole</w:t>
      </w:r>
      <w:r>
        <w:t xml:space="preserve"> </w:t>
      </w:r>
      <w:r>
        <w:t xml:space="preserve">3361. Miglioramento del funzionamento mediante supporto tra pari</w:t>
      </w:r>
      <w:r>
        <w:t xml:space="preserve"> </w:t>
      </w:r>
      <w:r>
        <w:t xml:space="preserve">Ramo: Riduzione delle ricadute</w:t>
      </w:r>
      <w:r>
        <w:t xml:space="preserve"> </w:t>
      </w:r>
      <w:r>
        <w:t xml:space="preserve">3362. Riduzione delle ricadute mediante valutazione e assessment iniziale</w:t>
      </w:r>
      <w:r>
        <w:t xml:space="preserve"> </w:t>
      </w:r>
      <w:r>
        <w:t xml:space="preserve">3363. Riduzione delle ricadute mediante interventi psicologici di primo livello</w:t>
      </w:r>
      <w:r>
        <w:t xml:space="preserve"> </w:t>
      </w:r>
      <w:r>
        <w:t xml:space="preserve">3364. Riduzione delle ricadute mediante interventi di gruppo</w:t>
      </w:r>
      <w:r>
        <w:t xml:space="preserve"> </w:t>
      </w:r>
      <w:r>
        <w:t xml:space="preserve">3365. Riduzione delle ricadute mediante psicoeducazione</w:t>
      </w:r>
      <w:r>
        <w:t xml:space="preserve"> </w:t>
      </w:r>
      <w:r>
        <w:t xml:space="preserve">3366. Riduzione delle ricadute mediante counseling breve</w:t>
      </w:r>
      <w:r>
        <w:t xml:space="preserve"> </w:t>
      </w:r>
      <w:r>
        <w:t xml:space="preserve">3367. Riduzione delle ricadute mediante terapia cognitivo-comportamentale a bassa intensità</w:t>
      </w:r>
      <w:r>
        <w:t xml:space="preserve"> </w:t>
      </w:r>
      <w:r>
        <w:t xml:space="preserve">3368. Riduzione delle ricadute mediante interventi di attivazione comportamentale</w:t>
      </w:r>
      <w:r>
        <w:t xml:space="preserve"> </w:t>
      </w:r>
      <w:r>
        <w:t xml:space="preserve">3369. Riduzione delle ricadute mediante supporto all’autogestione</w:t>
      </w:r>
      <w:r>
        <w:t xml:space="preserve"> </w:t>
      </w:r>
      <w:r>
        <w:t xml:space="preserve">3370. Riduzione delle ricadute mediante coinvolgimento dei familiari</w:t>
      </w:r>
      <w:r>
        <w:t xml:space="preserve"> </w:t>
      </w:r>
      <w:r>
        <w:t xml:space="preserve">3371. Riduzione delle ricadute mediante telepsicologia</w:t>
      </w:r>
      <w:r>
        <w:t xml:space="preserve"> </w:t>
      </w:r>
      <w:r>
        <w:t xml:space="preserve">3372. Riduzione delle ricadute mediante strumenti digitali validati</w:t>
      </w:r>
      <w:r>
        <w:t xml:space="preserve"> </w:t>
      </w:r>
      <w:r>
        <w:t xml:space="preserve">3373. Riduzione delle ricadute mediante monitoraggio sistematico degli esiti</w:t>
      </w:r>
      <w:r>
        <w:t xml:space="preserve"> </w:t>
      </w:r>
      <w:r>
        <w:t xml:space="preserve">3374. Riduzione delle ricadute mediante la funzione di filtro e invio</w:t>
      </w:r>
      <w:r>
        <w:t xml:space="preserve"> </w:t>
      </w:r>
      <w:r>
        <w:t xml:space="preserve">3375. Riduzione delle ricadute mediante interventi preventivi di comunità</w:t>
      </w:r>
      <w:r>
        <w:t xml:space="preserve"> </w:t>
      </w:r>
      <w:r>
        <w:t xml:space="preserve">3376. Riduzione delle ricadute mediante collaborazione con il medico di base</w:t>
      </w:r>
      <w:r>
        <w:t xml:space="preserve"> </w:t>
      </w:r>
      <w:r>
        <w:t xml:space="preserve">3377. Riduzione delle ricadute mediante interventi sul luogo di lavoro</w:t>
      </w:r>
      <w:r>
        <w:t xml:space="preserve"> </w:t>
      </w:r>
      <w:r>
        <w:t xml:space="preserve">3378. Riduzione delle ricadute mediante interventi nelle scuole</w:t>
      </w:r>
      <w:r>
        <w:t xml:space="preserve"> </w:t>
      </w:r>
      <w:r>
        <w:t xml:space="preserve">3379. Riduzione delle ricadute mediante supporto tra pari</w:t>
      </w:r>
      <w:r>
        <w:t xml:space="preserve"> </w:t>
      </w:r>
      <w:r>
        <w:t xml:space="preserve">82Psicologo di Base · Metodologia apicale e registro unificato delle variabili</w:t>
      </w:r>
      <w:r>
        <w:t xml:space="preserve"> </w:t>
      </w:r>
      <w:r>
        <w:t xml:space="preserve">Ramo: Aumento dell’accesso alle cure</w:t>
      </w:r>
      <w:r>
        <w:t xml:space="preserve"> </w:t>
      </w:r>
      <w:r>
        <w:t xml:space="preserve">3380. Aumento dell’accesso alle cure mediante valutazione e assessment iniziale</w:t>
      </w:r>
      <w:r>
        <w:t xml:space="preserve"> </w:t>
      </w:r>
      <w:r>
        <w:t xml:space="preserve">3381. Aumento dell’accesso alle cure mediante interventi psicologici di primo livello</w:t>
      </w:r>
      <w:r>
        <w:t xml:space="preserve"> </w:t>
      </w:r>
      <w:r>
        <w:t xml:space="preserve">3382. Aumento dell’accesso alle cure mediante interventi di gruppo</w:t>
      </w:r>
      <w:r>
        <w:t xml:space="preserve"> </w:t>
      </w:r>
      <w:r>
        <w:t xml:space="preserve">3383. Aumento dell’accesso alle cure mediante psicoeducazione</w:t>
      </w:r>
      <w:r>
        <w:t xml:space="preserve"> </w:t>
      </w:r>
      <w:r>
        <w:t xml:space="preserve">3384. Aumento dell’accesso alle cure mediante counseling breve</w:t>
      </w:r>
      <w:r>
        <w:t xml:space="preserve"> </w:t>
      </w:r>
      <w:r>
        <w:t xml:space="preserve">3385. Aumento dell’accesso alle cure mediante terapia cognitivo-comportamentale a bassa intensità</w:t>
      </w:r>
      <w:r>
        <w:t xml:space="preserve"> </w:t>
      </w:r>
      <w:r>
        <w:t xml:space="preserve">3386. Aumento dell’accesso alle cure mediante interventi di attivazione comportamentale</w:t>
      </w:r>
      <w:r>
        <w:t xml:space="preserve"> </w:t>
      </w:r>
      <w:r>
        <w:t xml:space="preserve">3387. Aumento dell’accesso alle cure mediante supporto all’autogestione</w:t>
      </w:r>
      <w:r>
        <w:t xml:space="preserve"> </w:t>
      </w:r>
      <w:r>
        <w:t xml:space="preserve">3388. Aumento dell’accesso alle cure mediante coinvolgimento dei familiari</w:t>
      </w:r>
      <w:r>
        <w:t xml:space="preserve"> </w:t>
      </w:r>
      <w:r>
        <w:t xml:space="preserve">3389. Aumento dell’accesso alle cure mediante telepsicologia</w:t>
      </w:r>
      <w:r>
        <w:t xml:space="preserve"> </w:t>
      </w:r>
      <w:r>
        <w:t xml:space="preserve">3390. Aumento dell’accesso alle cure mediante strumenti digitali validati</w:t>
      </w:r>
      <w:r>
        <w:t xml:space="preserve"> </w:t>
      </w:r>
      <w:r>
        <w:t xml:space="preserve">3391. Aumento dell’accesso alle cure mediante monitoraggio sistematico degli esiti</w:t>
      </w:r>
      <w:r>
        <w:t xml:space="preserve"> </w:t>
      </w:r>
      <w:r>
        <w:t xml:space="preserve">3392. Aumento dell’accesso alle cure mediante la funzione di filtro e invio</w:t>
      </w:r>
      <w:r>
        <w:t xml:space="preserve"> </w:t>
      </w:r>
      <w:r>
        <w:t xml:space="preserve">3393. Aumento dell’accesso alle cure mediante interventi preventivi di comunità</w:t>
      </w:r>
      <w:r>
        <w:t xml:space="preserve"> </w:t>
      </w:r>
      <w:r>
        <w:t xml:space="preserve">3394. Aumento dell’accesso alle cure mediante collaborazione con il medico di base</w:t>
      </w:r>
      <w:r>
        <w:t xml:space="preserve"> </w:t>
      </w:r>
      <w:r>
        <w:t xml:space="preserve">3395. Aumento dell’accesso alle cure mediante interventi sul luogo di lavoro</w:t>
      </w:r>
      <w:r>
        <w:t xml:space="preserve"> </w:t>
      </w:r>
      <w:r>
        <w:t xml:space="preserve">3396. Aumento dell’accesso alle cure mediante interventi nelle scuole</w:t>
      </w:r>
      <w:r>
        <w:t xml:space="preserve"> </w:t>
      </w:r>
      <w:r>
        <w:t xml:space="preserve">3397. Aumento dell’accesso alle cure mediante supporto tra pari</w:t>
      </w:r>
      <w:r>
        <w:t xml:space="preserve"> </w:t>
      </w:r>
      <w:r>
        <w:t xml:space="preserve">Ramo: Riduzione dello stigma</w:t>
      </w:r>
      <w:r>
        <w:t xml:space="preserve"> </w:t>
      </w:r>
      <w:r>
        <w:t xml:space="preserve">3398. Riduzione dello stigma mediante valutazione e assessment iniziale</w:t>
      </w:r>
      <w:r>
        <w:t xml:space="preserve"> </w:t>
      </w:r>
      <w:r>
        <w:t xml:space="preserve">3399. Riduzione dello stigma mediante interventi psicologici di primo livello</w:t>
      </w:r>
      <w:r>
        <w:t xml:space="preserve"> </w:t>
      </w:r>
      <w:r>
        <w:t xml:space="preserve">3400. Riduzione dello stigma mediante interventi di gruppo</w:t>
      </w:r>
      <w:r>
        <w:t xml:space="preserve"> </w:t>
      </w:r>
      <w:r>
        <w:t xml:space="preserve">3401. Riduzione dello stigma mediante psicoeducazione</w:t>
      </w:r>
      <w:r>
        <w:t xml:space="preserve"> </w:t>
      </w:r>
      <w:r>
        <w:t xml:space="preserve">3402. Riduzione dello stigma mediante counseling breve</w:t>
      </w:r>
      <w:r>
        <w:t xml:space="preserve"> </w:t>
      </w:r>
      <w:r>
        <w:t xml:space="preserve">3403. Riduzione dello stigma mediante terapia cognitivo-comportamentale a bassa intensità</w:t>
      </w:r>
      <w:r>
        <w:t xml:space="preserve"> </w:t>
      </w:r>
      <w:r>
        <w:t xml:space="preserve">3404. Riduzione dello stigma mediante interventi di attivazione comportamentale</w:t>
      </w:r>
      <w:r>
        <w:t xml:space="preserve"> </w:t>
      </w:r>
      <w:r>
        <w:t xml:space="preserve">3405. Riduzione dello stigma mediante supporto all’autogestione</w:t>
      </w:r>
      <w:r>
        <w:t xml:space="preserve"> </w:t>
      </w:r>
      <w:r>
        <w:t xml:space="preserve">3406. Riduzione dello stigma mediante coinvolgimento dei familiari</w:t>
      </w:r>
      <w:r>
        <w:t xml:space="preserve"> </w:t>
      </w:r>
      <w:r>
        <w:t xml:space="preserve">3407. Riduzione dello stigma mediante telepsicologia</w:t>
      </w:r>
      <w:r>
        <w:t xml:space="preserve"> </w:t>
      </w:r>
      <w:r>
        <w:t xml:space="preserve">3408. Riduzione dello stigma mediante strumenti digitali validati</w:t>
      </w:r>
      <w:r>
        <w:t xml:space="preserve"> </w:t>
      </w:r>
      <w:r>
        <w:t xml:space="preserve">3409. Riduzione dello stigma mediante monitoraggio sistematico degli esiti</w:t>
      </w:r>
      <w:r>
        <w:t xml:space="preserve"> </w:t>
      </w:r>
      <w:r>
        <w:t xml:space="preserve">3410. Riduzione dello stigma mediante la funzione di filtro e invio</w:t>
      </w:r>
      <w:r>
        <w:t xml:space="preserve"> </w:t>
      </w:r>
      <w:r>
        <w:t xml:space="preserve">3411. Riduzione dello stigma mediante interventi preventivi di comunità</w:t>
      </w:r>
      <w:r>
        <w:t xml:space="preserve"> </w:t>
      </w:r>
      <w:r>
        <w:t xml:space="preserve">3412. Riduzione dello stigma mediante collaborazione con il medico di base</w:t>
      </w:r>
      <w:r>
        <w:t xml:space="preserve"> </w:t>
      </w:r>
      <w:r>
        <w:t xml:space="preserve">3413. Riduzione dello stigma mediante interventi sul luogo di lavoro</w:t>
      </w:r>
      <w:r>
        <w:t xml:space="preserve"> </w:t>
      </w:r>
      <w:r>
        <w:t xml:space="preserve">3414. Riduzione dello stigma mediante interventi nelle scuole</w:t>
      </w:r>
      <w:r>
        <w:t xml:space="preserve"> </w:t>
      </w:r>
      <w:r>
        <w:t xml:space="preserve">3415. Riduzione dello stigma mediante supporto tra pari</w:t>
      </w:r>
      <w:r>
        <w:t xml:space="preserve"> </w:t>
      </w:r>
      <w:r>
        <w:t xml:space="preserve">Ramo: Miglioramento dell’esperienza di cura</w:t>
      </w:r>
      <w:r>
        <w:t xml:space="preserve"> </w:t>
      </w:r>
      <w:r>
        <w:t xml:space="preserve">3416. Miglioramento dell’esperienza di cura mediante valutazione e assessment iniziale</w:t>
      </w:r>
      <w:r>
        <w:t xml:space="preserve"> </w:t>
      </w:r>
      <w:r>
        <w:t xml:space="preserve">3417. Miglioramento dell’esperienza di cura mediante interventi psicologici di primo livello</w:t>
      </w:r>
      <w:r>
        <w:t xml:space="preserve"> </w:t>
      </w:r>
      <w:r>
        <w:t xml:space="preserve">3418. Miglioramento dell’esperienza di cura mediante interventi di gruppo</w:t>
      </w:r>
      <w:r>
        <w:t xml:space="preserve"> </w:t>
      </w:r>
      <w:r>
        <w:t xml:space="preserve">3419. Miglioramento dell’esperienza di cura mediante psicoeducazione</w:t>
      </w:r>
      <w:r>
        <w:t xml:space="preserve"> </w:t>
      </w:r>
      <w:r>
        <w:t xml:space="preserve">3420. Miglioramento dell’esperienza di cura mediante counseling breve</w:t>
      </w:r>
      <w:r>
        <w:t xml:space="preserve"> </w:t>
      </w:r>
      <w:r>
        <w:t xml:space="preserve">3421. Miglioramento dell’esperienza di cura mediante terapia cognitivo-comportamentale a bassa</w:t>
      </w:r>
      <w:r>
        <w:t xml:space="preserve"> </w:t>
      </w:r>
      <w:r>
        <w:t xml:space="preserve">intensità</w:t>
      </w:r>
      <w:r>
        <w:t xml:space="preserve"> </w:t>
      </w:r>
      <w:r>
        <w:t xml:space="preserve">3422. Miglioramento dell’esperienza di cura mediante interventi di attivazione comportamentale</w:t>
      </w:r>
      <w:r>
        <w:t xml:space="preserve"> </w:t>
      </w:r>
      <w:r>
        <w:t xml:space="preserve">3423. Miglioramento dell’esperienza di cura mediante supporto all’autogestione</w:t>
      </w:r>
      <w:r>
        <w:t xml:space="preserve"> </w:t>
      </w:r>
      <w:r>
        <w:t xml:space="preserve">3424. Miglioramento dell’esperienza di cura mediante coinvolgimento dei familiari</w:t>
      </w:r>
      <w:r>
        <w:t xml:space="preserve"> </w:t>
      </w:r>
      <w:r>
        <w:t xml:space="preserve">83Psicologo di Base · Metodologia apicale e registro unificato delle variabili</w:t>
      </w:r>
      <w:r>
        <w:t xml:space="preserve"> </w:t>
      </w:r>
      <w:r>
        <w:t xml:space="preserve">3425. Miglioramento dell’esperienza di cura mediante telepsicologia</w:t>
      </w:r>
      <w:r>
        <w:t xml:space="preserve"> </w:t>
      </w:r>
      <w:r>
        <w:t xml:space="preserve">3426. Miglioramento dell’esperienza di cura mediante strumenti digitali validati</w:t>
      </w:r>
      <w:r>
        <w:t xml:space="preserve"> </w:t>
      </w:r>
      <w:r>
        <w:t xml:space="preserve">3427. Miglioramento dell’esperienza di cura mediante monitoraggio sistematico degli esiti</w:t>
      </w:r>
      <w:r>
        <w:t xml:space="preserve"> </w:t>
      </w:r>
      <w:r>
        <w:t xml:space="preserve">3428. Miglioramento dell’esperienza di cura mediante la funzione di filtro e invio</w:t>
      </w:r>
      <w:r>
        <w:t xml:space="preserve"> </w:t>
      </w:r>
      <w:r>
        <w:t xml:space="preserve">3429. Miglioramento dell’esperienza di cura mediante interventi preventivi di comunità</w:t>
      </w:r>
      <w:r>
        <w:t xml:space="preserve"> </w:t>
      </w:r>
      <w:r>
        <w:t xml:space="preserve">3430. Miglioramento dell’esperienza di cura mediante collaborazione con il medico di base</w:t>
      </w:r>
      <w:r>
        <w:t xml:space="preserve"> </w:t>
      </w:r>
      <w:r>
        <w:t xml:space="preserve">3431. Miglioramento dell’esperienza di cura mediante interventi sul luogo di lavoro</w:t>
      </w:r>
      <w:r>
        <w:t xml:space="preserve"> </w:t>
      </w:r>
      <w:r>
        <w:t xml:space="preserve">3432. Miglioramento dell’esperienza di cura mediante interventi nelle scuole</w:t>
      </w:r>
      <w:r>
        <w:t xml:space="preserve"> </w:t>
      </w:r>
      <w:r>
        <w:t xml:space="preserve">3433. Miglioramento dell’esperienza di cura mediante supporto tra pari</w:t>
      </w:r>
      <w:r>
        <w:t xml:space="preserve"> </w:t>
      </w:r>
      <w:r>
        <w:t xml:space="preserve">Ramo: Riduzione dei tempi di attesa</w:t>
      </w:r>
      <w:r>
        <w:t xml:space="preserve"> </w:t>
      </w:r>
      <w:r>
        <w:t xml:space="preserve">3434. Riduzione dei tempi di attesa mediante valutazione e assessment iniziale</w:t>
      </w:r>
      <w:r>
        <w:t xml:space="preserve"> </w:t>
      </w:r>
      <w:r>
        <w:t xml:space="preserve">3435. Riduzione dei tempi di attesa mediante interventi psicologici di primo livello</w:t>
      </w:r>
      <w:r>
        <w:t xml:space="preserve"> </w:t>
      </w:r>
      <w:r>
        <w:t xml:space="preserve">3436. Riduzione dei tempi di attesa mediante interventi di gruppo</w:t>
      </w:r>
      <w:r>
        <w:t xml:space="preserve"> </w:t>
      </w:r>
      <w:r>
        <w:t xml:space="preserve">3437. Riduzione dei tempi di attesa mediante psicoeducazione</w:t>
      </w:r>
      <w:r>
        <w:t xml:space="preserve"> </w:t>
      </w:r>
      <w:r>
        <w:t xml:space="preserve">3438. Riduzione dei tempi di attesa mediante counseling breve</w:t>
      </w:r>
      <w:r>
        <w:t xml:space="preserve"> </w:t>
      </w:r>
      <w:r>
        <w:t xml:space="preserve">3439. Riduzione dei tempi di attesa mediante terapia cognitivo-comportamentale a bassa intensità</w:t>
      </w:r>
      <w:r>
        <w:t xml:space="preserve"> </w:t>
      </w:r>
      <w:r>
        <w:t xml:space="preserve">3440. Riduzione dei tempi di attesa mediante interventi di attivazione comportamentale</w:t>
      </w:r>
      <w:r>
        <w:t xml:space="preserve"> </w:t>
      </w:r>
      <w:r>
        <w:t xml:space="preserve">3441. Riduzione dei tempi di attesa mediante supporto all’autogestione</w:t>
      </w:r>
      <w:r>
        <w:t xml:space="preserve"> </w:t>
      </w:r>
      <w:r>
        <w:t xml:space="preserve">3442. Riduzione dei tempi di attesa mediante coinvolgimento dei familiari</w:t>
      </w:r>
      <w:r>
        <w:t xml:space="preserve"> </w:t>
      </w:r>
      <w:r>
        <w:t xml:space="preserve">3443. Riduzione dei tempi di attesa mediante telepsicologia</w:t>
      </w:r>
      <w:r>
        <w:t xml:space="preserve"> </w:t>
      </w:r>
      <w:r>
        <w:t xml:space="preserve">3444. Riduzione dei tempi di attesa mediante strumenti digitali validati</w:t>
      </w:r>
      <w:r>
        <w:t xml:space="preserve"> </w:t>
      </w:r>
      <w:r>
        <w:t xml:space="preserve">3445. Riduzione dei tempi di attesa mediante monitoraggio sistematico degli esiti</w:t>
      </w:r>
      <w:r>
        <w:t xml:space="preserve"> </w:t>
      </w:r>
      <w:r>
        <w:t xml:space="preserve">3446. Riduzione dei tempi di attesa mediante la funzione di filtro e invio</w:t>
      </w:r>
      <w:r>
        <w:t xml:space="preserve"> </w:t>
      </w:r>
      <w:r>
        <w:t xml:space="preserve">3447. Riduzione dei tempi di attesa mediante interventi preventivi di comunità</w:t>
      </w:r>
      <w:r>
        <w:t xml:space="preserve"> </w:t>
      </w:r>
      <w:r>
        <w:t xml:space="preserve">3448. Riduzione dei tempi di attesa mediante collaborazione con il medico di base</w:t>
      </w:r>
      <w:r>
        <w:t xml:space="preserve"> </w:t>
      </w:r>
      <w:r>
        <w:t xml:space="preserve">3449. Riduzione dei tempi di attesa mediante interventi sul luogo di lavoro</w:t>
      </w:r>
      <w:r>
        <w:t xml:space="preserve"> </w:t>
      </w:r>
      <w:r>
        <w:t xml:space="preserve">3450. Riduzione dei tempi di attesa mediante interventi nelle scuole</w:t>
      </w:r>
      <w:r>
        <w:t xml:space="preserve"> </w:t>
      </w:r>
      <w:r>
        <w:t xml:space="preserve">3451. Riduzione dei tempi di attesa mediante supporto tra pari</w:t>
      </w:r>
      <w:r>
        <w:t xml:space="preserve"> </w:t>
      </w:r>
      <w:r>
        <w:t xml:space="preserve">Ramo: Aumento dell’efficacia della presa in carico</w:t>
      </w:r>
      <w:r>
        <w:t xml:space="preserve"> </w:t>
      </w:r>
      <w:r>
        <w:t xml:space="preserve">3452. Aumento dell’efficacia della presa in carico mediante valutazione e assessment iniziale</w:t>
      </w:r>
      <w:r>
        <w:t xml:space="preserve"> </w:t>
      </w:r>
      <w:r>
        <w:t xml:space="preserve">3453. Aumento dell’efficacia della presa in carico mediante interventi psicologici di primo livello</w:t>
      </w:r>
      <w:r>
        <w:t xml:space="preserve"> </w:t>
      </w:r>
      <w:r>
        <w:t xml:space="preserve">3454. Aumento dell’efficacia della presa in carico mediante interventi di gruppo</w:t>
      </w:r>
      <w:r>
        <w:t xml:space="preserve"> </w:t>
      </w:r>
      <w:r>
        <w:t xml:space="preserve">3455. Aumento dell’efficacia della presa in carico mediante psicoeducazione</w:t>
      </w:r>
      <w:r>
        <w:t xml:space="preserve"> </w:t>
      </w:r>
      <w:r>
        <w:t xml:space="preserve">3456. Aumento dell’efficacia della presa in carico mediante counseling breve</w:t>
      </w:r>
      <w:r>
        <w:t xml:space="preserve"> </w:t>
      </w:r>
      <w:r>
        <w:t xml:space="preserve">3457. Aumento dell’efficacia della presa in carico mediante terapia cognitivo-comportamentale a bassa</w:t>
      </w:r>
      <w:r>
        <w:t xml:space="preserve"> </w:t>
      </w:r>
      <w:r>
        <w:t xml:space="preserve">intensità</w:t>
      </w:r>
      <w:r>
        <w:t xml:space="preserve"> </w:t>
      </w:r>
      <w:r>
        <w:t xml:space="preserve">3458. Aumento dell’efficacia della presa in carico mediante interventi di attivazione comportamentale</w:t>
      </w:r>
      <w:r>
        <w:t xml:space="preserve"> </w:t>
      </w:r>
      <w:r>
        <w:t xml:space="preserve">3459. Aumento dell’efficacia della presa in carico mediante supporto all’autogestione</w:t>
      </w:r>
      <w:r>
        <w:t xml:space="preserve"> </w:t>
      </w:r>
      <w:r>
        <w:t xml:space="preserve">3460. Aumento dell’efficacia della presa in carico mediante coinvolgimento dei familiari</w:t>
      </w:r>
      <w:r>
        <w:t xml:space="preserve"> </w:t>
      </w:r>
      <w:r>
        <w:t xml:space="preserve">3461. Aumento dell’efficacia della presa in carico mediante telepsicologia</w:t>
      </w:r>
      <w:r>
        <w:t xml:space="preserve"> </w:t>
      </w:r>
      <w:r>
        <w:t xml:space="preserve">3462. Aumento dell’efficacia della presa in carico mediante strumenti digitali validati</w:t>
      </w:r>
      <w:r>
        <w:t xml:space="preserve"> </w:t>
      </w:r>
      <w:r>
        <w:t xml:space="preserve">3463. Aumento dell’efficacia della presa in carico mediante monitoraggio sistematico degli esiti</w:t>
      </w:r>
      <w:r>
        <w:t xml:space="preserve"> </w:t>
      </w:r>
      <w:r>
        <w:t xml:space="preserve">3464. Aumento dell’efficacia della presa in carico mediante la funzione di filtro e invio</w:t>
      </w:r>
      <w:r>
        <w:t xml:space="preserve"> </w:t>
      </w:r>
      <w:r>
        <w:t xml:space="preserve">3465. Aumento dell’efficacia della presa in carico mediante interventi preventivi di comunità</w:t>
      </w:r>
      <w:r>
        <w:t xml:space="preserve"> </w:t>
      </w:r>
      <w:r>
        <w:t xml:space="preserve">3466. Aumento dell’efficacia della presa in carico mediante collaborazione con il medico di base</w:t>
      </w:r>
      <w:r>
        <w:t xml:space="preserve"> </w:t>
      </w:r>
      <w:r>
        <w:t xml:space="preserve">3467. Aumento dell’efficacia della presa in carico mediante interventi sul luogo di lavoro</w:t>
      </w:r>
      <w:r>
        <w:t xml:space="preserve"> </w:t>
      </w:r>
      <w:r>
        <w:t xml:space="preserve">3468. Aumento dell’efficacia della presa in carico mediante interventi nelle scuole</w:t>
      </w:r>
      <w:r>
        <w:t xml:space="preserve"> </w:t>
      </w:r>
      <w:r>
        <w:t xml:space="preserve">3469. Aumento dell’efficacia della presa in carico mediante supporto tra pari</w:t>
      </w:r>
      <w:r>
        <w:t xml:space="preserve"> </w:t>
      </w:r>
      <w:r>
        <w:t xml:space="preserve">84Psicologo di Base · Metodologia apicale e registro unificato delle variabili</w:t>
      </w:r>
      <w:r>
        <w:t xml:space="preserve"> </w:t>
      </w:r>
      <w:r>
        <w:t xml:space="preserve">Ramo: Riduzione dei costi assistenziali</w:t>
      </w:r>
      <w:r>
        <w:t xml:space="preserve"> </w:t>
      </w:r>
      <w:r>
        <w:t xml:space="preserve">3470. Riduzione dei costi assistenziali mediante valutazione e assessment iniziale</w:t>
      </w:r>
      <w:r>
        <w:t xml:space="preserve"> </w:t>
      </w:r>
      <w:r>
        <w:t xml:space="preserve">3471. Riduzione dei costi assistenziali mediante interventi psicologici di primo livello</w:t>
      </w:r>
      <w:r>
        <w:t xml:space="preserve"> </w:t>
      </w:r>
      <w:r>
        <w:t xml:space="preserve">3472. Riduzione dei costi assistenziali mediante interventi di gruppo</w:t>
      </w:r>
      <w:r>
        <w:t xml:space="preserve"> </w:t>
      </w:r>
      <w:r>
        <w:t xml:space="preserve">3473. Riduzione dei costi assistenziali mediante psicoeducazione</w:t>
      </w:r>
      <w:r>
        <w:t xml:space="preserve"> </w:t>
      </w:r>
      <w:r>
        <w:t xml:space="preserve">3474. Riduzione dei costi assistenziali mediante counseling breve</w:t>
      </w:r>
      <w:r>
        <w:t xml:space="preserve"> </w:t>
      </w:r>
      <w:r>
        <w:t xml:space="preserve">3475. Riduzione dei costi assistenziali mediante terapia cognitivo-comportamentale a bassa intensità</w:t>
      </w:r>
      <w:r>
        <w:t xml:space="preserve"> </w:t>
      </w:r>
      <w:r>
        <w:t xml:space="preserve">3476. Riduzione dei costi assistenziali mediante interventi di attivazione comportamentale</w:t>
      </w:r>
      <w:r>
        <w:t xml:space="preserve"> </w:t>
      </w:r>
      <w:r>
        <w:t xml:space="preserve">3477. Riduzione dei costi assistenziali mediante supporto all’autogestione</w:t>
      </w:r>
      <w:r>
        <w:t xml:space="preserve"> </w:t>
      </w:r>
      <w:r>
        <w:t xml:space="preserve">3478. Riduzione dei costi assistenziali mediante coinvolgimento dei familiari</w:t>
      </w:r>
      <w:r>
        <w:t xml:space="preserve"> </w:t>
      </w:r>
      <w:r>
        <w:t xml:space="preserve">3479. Riduzione dei costi assistenziali mediante telepsicologia</w:t>
      </w:r>
      <w:r>
        <w:t xml:space="preserve"> </w:t>
      </w:r>
      <w:r>
        <w:t xml:space="preserve">3480. Riduzione dei costi assistenziali mediante strumenti digitali validati</w:t>
      </w:r>
      <w:r>
        <w:t xml:space="preserve"> </w:t>
      </w:r>
      <w:r>
        <w:t xml:space="preserve">3481. Riduzione dei costi assistenziali mediante monitoraggio sistematico degli esiti</w:t>
      </w:r>
      <w:r>
        <w:t xml:space="preserve"> </w:t>
      </w:r>
      <w:r>
        <w:t xml:space="preserve">3482. Riduzione dei costi assistenziali mediante la funzione di filtro e invio</w:t>
      </w:r>
      <w:r>
        <w:t xml:space="preserve"> </w:t>
      </w:r>
      <w:r>
        <w:t xml:space="preserve">3483. Riduzione dei costi assistenziali mediante interventi preventivi di comunità</w:t>
      </w:r>
      <w:r>
        <w:t xml:space="preserve"> </w:t>
      </w:r>
      <w:r>
        <w:t xml:space="preserve">3484. Riduzione dei costi assistenziali mediante collaborazione con il medico di base</w:t>
      </w:r>
      <w:r>
        <w:t xml:space="preserve"> </w:t>
      </w:r>
      <w:r>
        <w:t xml:space="preserve">3485. Riduzione dei costi assistenziali mediante interventi sul luogo di lavoro</w:t>
      </w:r>
      <w:r>
        <w:t xml:space="preserve"> </w:t>
      </w:r>
      <w:r>
        <w:t xml:space="preserve">3486. Riduzione dei costi assistenziali mediante interventi nelle scuole</w:t>
      </w:r>
      <w:r>
        <w:t xml:space="preserve"> </w:t>
      </w:r>
      <w:r>
        <w:t xml:space="preserve">3487. Riduzione dei costi assistenziali mediante supporto tra pari</w:t>
      </w:r>
      <w:r>
        <w:t xml:space="preserve"> </w:t>
      </w:r>
      <w:r>
        <w:t xml:space="preserve">Ramo: Miglioramento della qualità di vita</w:t>
      </w:r>
      <w:r>
        <w:t xml:space="preserve"> </w:t>
      </w:r>
      <w:r>
        <w:t xml:space="preserve">3488. Miglioramento della qualità di vita mediante valutazione e assessment iniziale</w:t>
      </w:r>
      <w:r>
        <w:t xml:space="preserve"> </w:t>
      </w:r>
      <w:r>
        <w:t xml:space="preserve">3489. Miglioramento della qualità di vita mediante interventi psicologici di primo livello</w:t>
      </w:r>
      <w:r>
        <w:t xml:space="preserve"> </w:t>
      </w:r>
      <w:r>
        <w:t xml:space="preserve">3490. Miglioramento della qualità di vita mediante interventi di gruppo</w:t>
      </w:r>
      <w:r>
        <w:t xml:space="preserve"> </w:t>
      </w:r>
      <w:r>
        <w:t xml:space="preserve">3491. Miglioramento della qualità di vita mediante psicoeducazione</w:t>
      </w:r>
      <w:r>
        <w:t xml:space="preserve"> </w:t>
      </w:r>
      <w:r>
        <w:t xml:space="preserve">3492. Miglioramento della qualità di vita mediante counseling breve</w:t>
      </w:r>
      <w:r>
        <w:t xml:space="preserve"> </w:t>
      </w:r>
      <w:r>
        <w:t xml:space="preserve">3493. Miglioramento della qualità di vita mediante terapia cognitivo-comportamentale a bassa intensità</w:t>
      </w:r>
      <w:r>
        <w:t xml:space="preserve"> </w:t>
      </w:r>
      <w:r>
        <w:t xml:space="preserve">3494. Miglioramento della qualità di vita mediante interventi di attivazione comportamentale</w:t>
      </w:r>
      <w:r>
        <w:t xml:space="preserve"> </w:t>
      </w:r>
      <w:r>
        <w:t xml:space="preserve">3495. Miglioramento della qualità di vita mediante supporto all’autogestione</w:t>
      </w:r>
      <w:r>
        <w:t xml:space="preserve"> </w:t>
      </w:r>
      <w:r>
        <w:t xml:space="preserve">3496. Miglioramento della qualità di vita mediante coinvolgimento dei familiari</w:t>
      </w:r>
      <w:r>
        <w:t xml:space="preserve"> </w:t>
      </w:r>
      <w:r>
        <w:t xml:space="preserve">3497. Miglioramento della qualità di vita mediante telepsicologia</w:t>
      </w:r>
      <w:r>
        <w:t xml:space="preserve"> </w:t>
      </w:r>
      <w:r>
        <w:t xml:space="preserve">3498. Miglioramento della qualità di vita mediante strumenti digitali validati</w:t>
      </w:r>
      <w:r>
        <w:t xml:space="preserve"> </w:t>
      </w:r>
      <w:r>
        <w:t xml:space="preserve">3499. Miglioramento della qualità di vita mediante monitoraggio sistematico degli esiti</w:t>
      </w:r>
      <w:r>
        <w:t xml:space="preserve"> </w:t>
      </w:r>
      <w:r>
        <w:t xml:space="preserve">3500. Miglioramento della qualità di vita mediante la funzione di filtro e invio</w:t>
      </w:r>
      <w:r>
        <w:t xml:space="preserve"> </w:t>
      </w:r>
      <w:r>
        <w:t xml:space="preserve">3501. Miglioramento della qualità di vita mediante interventi preventivi di comunità</w:t>
      </w:r>
      <w:r>
        <w:t xml:space="preserve"> </w:t>
      </w:r>
      <w:r>
        <w:t xml:space="preserve">3502. Miglioramento della qualità di vita mediante collaborazione con il medico di base</w:t>
      </w:r>
      <w:r>
        <w:t xml:space="preserve"> </w:t>
      </w:r>
      <w:r>
        <w:t xml:space="preserve">3503. Miglioramento della qualità di vita mediante interventi sul luogo di lavoro</w:t>
      </w:r>
      <w:r>
        <w:t xml:space="preserve"> </w:t>
      </w:r>
      <w:r>
        <w:t xml:space="preserve">3504. Miglioramento della qualità di vita mediante interventi nelle scuole</w:t>
      </w:r>
      <w:r>
        <w:t xml:space="preserve"> </w:t>
      </w:r>
      <w:r>
        <w:t xml:space="preserve">3505. Miglioramento della qualità di vita mediante supporto tra pari</w:t>
      </w:r>
      <w:r>
        <w:t xml:space="preserve"> </w:t>
      </w:r>
      <w:r>
        <w:t xml:space="preserve">Ramo: Riduzione del distress</w:t>
      </w:r>
      <w:r>
        <w:t xml:space="preserve"> </w:t>
      </w:r>
      <w:r>
        <w:t xml:space="preserve">3506. Riduzione del distress mediante valutazione e assessment iniziale</w:t>
      </w:r>
      <w:r>
        <w:t xml:space="preserve"> </w:t>
      </w:r>
      <w:r>
        <w:t xml:space="preserve">3507. Riduzione del distress mediante interventi psicologici di primo livello</w:t>
      </w:r>
      <w:r>
        <w:t xml:space="preserve"> </w:t>
      </w:r>
      <w:r>
        <w:t xml:space="preserve">3508. Riduzione del distress mediante interventi di gruppo</w:t>
      </w:r>
      <w:r>
        <w:t xml:space="preserve"> </w:t>
      </w:r>
      <w:r>
        <w:t xml:space="preserve">3509. Riduzione del distress mediante psicoeducazione</w:t>
      </w:r>
      <w:r>
        <w:t xml:space="preserve"> </w:t>
      </w:r>
      <w:r>
        <w:t xml:space="preserve">3510. Riduzione del distress mediante counseling breve</w:t>
      </w:r>
      <w:r>
        <w:t xml:space="preserve"> </w:t>
      </w:r>
      <w:r>
        <w:t xml:space="preserve">3511. Riduzione del distress mediante terapia cognitivo-comportamentale a bassa intensità</w:t>
      </w:r>
      <w:r>
        <w:t xml:space="preserve"> </w:t>
      </w:r>
      <w:r>
        <w:t xml:space="preserve">3512. Riduzione del distress mediante interventi di attivazione comportamentale</w:t>
      </w:r>
      <w:r>
        <w:t xml:space="preserve"> </w:t>
      </w:r>
      <w:r>
        <w:t xml:space="preserve">3513. Riduzione del distress mediante supporto all’autogestione</w:t>
      </w:r>
      <w:r>
        <w:t xml:space="preserve"> </w:t>
      </w:r>
      <w:r>
        <w:t xml:space="preserve">3514. Riduzione del distress mediante coinvolgimento dei familiari</w:t>
      </w:r>
      <w:r>
        <w:t xml:space="preserve"> </w:t>
      </w:r>
      <w:r>
        <w:t xml:space="preserve">3515. Riduzione del distress mediante telepsicologia</w:t>
      </w:r>
      <w:r>
        <w:t xml:space="preserve"> </w:t>
      </w:r>
      <w:r>
        <w:t xml:space="preserve">85Psicologo di Base · Metodologia apicale e registro unificato delle variabili</w:t>
      </w:r>
      <w:r>
        <w:t xml:space="preserve"> </w:t>
      </w:r>
      <w:r>
        <w:t xml:space="preserve">3516. Riduzione del distress mediante strumenti digitali validati</w:t>
      </w:r>
      <w:r>
        <w:t xml:space="preserve"> </w:t>
      </w:r>
      <w:r>
        <w:t xml:space="preserve">3517. Riduzione del distress mediante monitoraggio sistematico degli esiti</w:t>
      </w:r>
      <w:r>
        <w:t xml:space="preserve"> </w:t>
      </w:r>
      <w:r>
        <w:t xml:space="preserve">3518. Riduzione del distress mediante la funzione di filtro e invio</w:t>
      </w:r>
      <w:r>
        <w:t xml:space="preserve"> </w:t>
      </w:r>
      <w:r>
        <w:t xml:space="preserve">3519. Riduzione del distress mediante interventi preventivi di comunità</w:t>
      </w:r>
      <w:r>
        <w:t xml:space="preserve"> </w:t>
      </w:r>
      <w:r>
        <w:t xml:space="preserve">3520. Riduzione del distress mediante collaborazione con il medico di base</w:t>
      </w:r>
      <w:r>
        <w:t xml:space="preserve"> </w:t>
      </w:r>
      <w:r>
        <w:t xml:space="preserve">3521. Riduzione del distress mediante interventi sul luogo di lavoro</w:t>
      </w:r>
      <w:r>
        <w:t xml:space="preserve"> </w:t>
      </w:r>
      <w:r>
        <w:t xml:space="preserve">3522. Riduzione del distress mediante interventi nelle scuole</w:t>
      </w:r>
      <w:r>
        <w:t xml:space="preserve"> </w:t>
      </w:r>
      <w:r>
        <w:t xml:space="preserve">3523. Riduzione del distress mediante supporto tra pari</w:t>
      </w:r>
      <w:r>
        <w:t xml:space="preserve"> </w:t>
      </w:r>
      <w:r>
        <w:t xml:space="preserve">Ramo: Prevenzione della cronicizzazione</w:t>
      </w:r>
      <w:r>
        <w:t xml:space="preserve"> </w:t>
      </w:r>
      <w:r>
        <w:t xml:space="preserve">3524. Prevenzione della cronicizzazione mediante valutazione e assessment iniziale</w:t>
      </w:r>
      <w:r>
        <w:t xml:space="preserve"> </w:t>
      </w:r>
      <w:r>
        <w:t xml:space="preserve">3525. Prevenzione della cronicizzazione mediante interventi psicologici di primo livello</w:t>
      </w:r>
      <w:r>
        <w:t xml:space="preserve"> </w:t>
      </w:r>
      <w:r>
        <w:t xml:space="preserve">3526. Prevenzione della cronicizzazione mediante interventi di gruppo</w:t>
      </w:r>
      <w:r>
        <w:t xml:space="preserve"> </w:t>
      </w:r>
      <w:r>
        <w:t xml:space="preserve">3527. Prevenzione della cronicizzazione mediante psicoeducazione</w:t>
      </w:r>
      <w:r>
        <w:t xml:space="preserve"> </w:t>
      </w:r>
      <w:r>
        <w:t xml:space="preserve">3528. Prevenzione della cronicizzazione mediante counseling breve</w:t>
      </w:r>
      <w:r>
        <w:t xml:space="preserve"> </w:t>
      </w:r>
      <w:r>
        <w:t xml:space="preserve">3529. Prevenzione della cronicizzazione mediante terapia cognitivo-comportamentale a bassa intensità</w:t>
      </w:r>
      <w:r>
        <w:t xml:space="preserve"> </w:t>
      </w:r>
      <w:r>
        <w:t xml:space="preserve">3530. Prevenzione della cronicizzazione mediante interventi di attivazione comportamentale</w:t>
      </w:r>
      <w:r>
        <w:t xml:space="preserve"> </w:t>
      </w:r>
      <w:r>
        <w:t xml:space="preserve">3531. Prevenzione della cronicizzazione mediante supporto all’autogestione</w:t>
      </w:r>
      <w:r>
        <w:t xml:space="preserve"> </w:t>
      </w:r>
      <w:r>
        <w:t xml:space="preserve">3532. Prevenzione della cronicizzazione mediante coinvolgimento dei familiari</w:t>
      </w:r>
      <w:r>
        <w:t xml:space="preserve"> </w:t>
      </w:r>
      <w:r>
        <w:t xml:space="preserve">3533. Prevenzione della cronicizzazione mediante telepsicologia</w:t>
      </w:r>
      <w:r>
        <w:t xml:space="preserve"> </w:t>
      </w:r>
      <w:r>
        <w:t xml:space="preserve">3534. Prevenzione della cronicizzazione mediante strumenti digitali validati</w:t>
      </w:r>
      <w:r>
        <w:t xml:space="preserve"> </w:t>
      </w:r>
      <w:r>
        <w:t xml:space="preserve">3535. Prevenzione della cronicizzazione mediante monitoraggio sistematico degli esiti</w:t>
      </w:r>
      <w:r>
        <w:t xml:space="preserve"> </w:t>
      </w:r>
      <w:r>
        <w:t xml:space="preserve">3536. Prevenzione della cronicizzazione mediante la funzione di filtro e invio</w:t>
      </w:r>
      <w:r>
        <w:t xml:space="preserve"> </w:t>
      </w:r>
      <w:r>
        <w:t xml:space="preserve">3537. Prevenzione della cronicizzazione mediante interventi preventivi di comunità</w:t>
      </w:r>
      <w:r>
        <w:t xml:space="preserve"> </w:t>
      </w:r>
      <w:r>
        <w:t xml:space="preserve">3538. Prevenzione della cronicizzazione mediante collaborazione con il medico di base</w:t>
      </w:r>
      <w:r>
        <w:t xml:space="preserve"> </w:t>
      </w:r>
      <w:r>
        <w:t xml:space="preserve">3539. Prevenzione della cronicizzazione mediante interventi sul luogo di lavoro</w:t>
      </w:r>
      <w:r>
        <w:t xml:space="preserve"> </w:t>
      </w:r>
      <w:r>
        <w:t xml:space="preserve">3540. Prevenzione della cronicizzazione mediante interventi nelle scuole</w:t>
      </w:r>
      <w:r>
        <w:t xml:space="preserve"> </w:t>
      </w:r>
      <w:r>
        <w:t xml:space="preserve">3541. Prevenzione della cronicizzazione mediante supporto tra pari</w:t>
      </w:r>
      <w:r>
        <w:t xml:space="preserve"> </w:t>
      </w:r>
      <w:r>
        <w:t xml:space="preserve">Variabili ramificate in questo volume: 2528 (numeri da 1014 a 3541). Sommate alle 1013 del</w:t>
      </w:r>
      <w:r>
        <w:t xml:space="preserve"> </w:t>
      </w:r>
      <w:r>
        <w:t xml:space="preserve">Volume I, il registro raggiunge 3541 variabili. L’insieme è sistematico ed esteso, ma destinato alla</w:t>
      </w:r>
      <w:r>
        <w:t xml:space="preserve"> </w:t>
      </w:r>
      <w:r>
        <w:t xml:space="preserve">selezione operativa di un sottoinsieme prioritario.</w:t>
      </w:r>
      <w:r>
        <w:t xml:space="preserve"> </w:t>
      </w:r>
      <w:r>
        <w:t xml:space="preserve">86Psicologo di Base · Metodologia apicale e registro unificato delle variabili</w:t>
      </w:r>
      <w:r>
        <w:t xml:space="preserve"> </w:t>
      </w:r>
      <w:r>
        <w:t xml:space="preserve">Sezione 3 — Variabili complesse: misure sanitarie</w:t>
      </w:r>
      <w:r>
        <w:t xml:space="preserve"> </w:t>
      </w:r>
      <w:r>
        <w:t xml:space="preserve">Le variabili complesse sono grandezze che integrano due o più variabili intrecciate in un’unica</w:t>
      </w:r>
      <w:r>
        <w:t xml:space="preserve"> </w:t>
      </w:r>
      <w:r>
        <w:t xml:space="preserve">misura interpretabile. A differenza della disaggregazione — che moltiplica le variabili in</w:t>
      </w:r>
      <w:r>
        <w:t xml:space="preserve"> </w:t>
      </w:r>
      <w:r>
        <w:t xml:space="preserve">sottoinsiemi sempre più fini — esse procedono nella direzione opposta, sintetizzando</w:t>
      </w:r>
      <w:r>
        <w:t xml:space="preserve"> </w:t>
      </w:r>
      <w:r>
        <w:t xml:space="preserve">dimensioni distinte in un solo indicatore dotato di senso. È l’approccio di tipo olistico richiesto:</w:t>
      </w:r>
      <w:r>
        <w:t xml:space="preserve"> </w:t>
      </w:r>
      <w:r>
        <w:t xml:space="preserve">misurare l’effetto della riforma non con migliaia di voci separate, ma con un numero contenuto</w:t>
      </w:r>
      <w:r>
        <w:t xml:space="preserve"> </w:t>
      </w:r>
      <w:r>
        <w:t xml:space="preserve">di misure che ne catturano simultaneamente più aspetti.13</w:t>
      </w:r>
      <w:r>
        <w:t xml:space="preserve"> </w:t>
      </w:r>
      <w:r>
        <w:t xml:space="preserve">Tali misure esistono e sono consolidate nella letteratura scientifica e nella prassi della</w:t>
      </w:r>
      <w:r>
        <w:t xml:space="preserve"> </w:t>
      </w:r>
      <w:r>
        <w:t xml:space="preserve">valutazione sanitaria: dalle misure di utilità che fondono qualità e durata della vita, ai</w:t>
      </w:r>
      <w:r>
        <w:t xml:space="preserve"> </w:t>
      </w:r>
      <w:r>
        <w:t xml:space="preserve">framework che integrano esiti, costi ed equità, agli indici biologici che riassumono la</w:t>
      </w:r>
      <w:r>
        <w:t xml:space="preserve"> </w:t>
      </w:r>
      <w:r>
        <w:t xml:space="preserve">disregolazione di più sistemi. Proprio perché reali e verificabili, costituiscono un insieme finito</w:t>
      </w:r>
      <w:r>
        <w:t xml:space="preserve"> </w:t>
      </w:r>
      <w:r>
        <w:t xml:space="preserve">— dell’ordine delle decine — e non illimitato: è questa parsimonia a renderle credibili e</w:t>
      </w:r>
      <w:r>
        <w:t xml:space="preserve"> </w:t>
      </w:r>
      <w:r>
        <w:t xml:space="preserve">utilizzabili. Di seguito se ne raccoglie il maggior numero pertinente, organizzato per famiglie;</w:t>
      </w:r>
      <w:r>
        <w:t xml:space="preserve"> </w:t>
      </w:r>
      <w:r>
        <w:t xml:space="preserve">per ciascuna variabile complessa si indicano le variabili intrecciate che essa unifica.</w:t>
      </w:r>
      <w:r>
        <w:t xml:space="preserve"> </w:t>
      </w:r>
      <w:r>
        <w:t xml:space="preserve">1. Misure composite di esito di salute (utilità e QALY-simili)</w:t>
      </w:r>
      <w:r>
        <w:t xml:space="preserve"> </w:t>
      </w:r>
      <w:r>
        <w:t xml:space="preserve">Integrano lo stato di salute in un singolo indice, spesso ponderato per preferenze, e</w:t>
      </w:r>
      <w:r>
        <w:t xml:space="preserve"> </w:t>
      </w:r>
      <w:r>
        <w:t xml:space="preserve">consentono di esprimere l’effetto su una scala comune. Vi rientrano le misure di utilità che</w:t>
      </w:r>
      <w:r>
        <w:t xml:space="preserve"> </w:t>
      </w:r>
      <w:r>
        <w:t xml:space="preserve">fondono qualità e durata della vita.14 15 e quelle sviluppate specificamente per la salute</w:t>
      </w:r>
      <w:r>
        <w:t xml:space="preserve"> </w:t>
      </w:r>
      <w:r>
        <w:t xml:space="preserve">mentale.16</w:t>
      </w:r>
      <w:r>
        <w:t xml:space="preserve"> </w:t>
      </w:r>
      <w:r>
        <w:t xml:space="preserve">Variabile complessa Variabili intrecciate che unifica</w:t>
      </w:r>
      <w:r>
        <w:t xml:space="preserve"> </w:t>
      </w:r>
      <w:r>
        <w:t xml:space="preserve">QALY Qualità della vita (utilità) × durata della vita.</w:t>
      </w:r>
      <w:r>
        <w:t xml:space="preserve"> </w:t>
      </w:r>
      <w:r>
        <w:t xml:space="preserve">DALY Anni di vita persi per mortalità + anni vissuti con disabilità</w:t>
      </w:r>
      <w:r>
        <w:t xml:space="preserve"> </w:t>
      </w:r>
      <w:r>
        <w:t xml:space="preserve">(pesati).</w:t>
      </w:r>
      <w:r>
        <w:t xml:space="preserve"> </w:t>
      </w:r>
      <w:r>
        <w:t xml:space="preserve">Aspettativa di vita in buona salute</w:t>
      </w:r>
      <w:r>
        <w:t xml:space="preserve"> </w:t>
      </w:r>
      <w:r>
        <w:t xml:space="preserve">(HALE)</w:t>
      </w:r>
      <w:r>
        <w:t xml:space="preserve"> </w:t>
      </w:r>
      <w:r>
        <w:t xml:space="preserve">Mortalità + morbilità/disabilità lungo la vita.</w:t>
      </w:r>
      <w:r>
        <w:t xml:space="preserve"> </w:t>
      </w:r>
      <w:r>
        <w:t xml:space="preserve">EQ-5D Mobilità, cura di sé, attività abituali, dolore, ansia/depressione</w:t>
      </w:r>
      <w:r>
        <w:t xml:space="preserve"> </w:t>
      </w:r>
      <w:r>
        <w:t xml:space="preserve">→ utilità.</w:t>
      </w:r>
      <w:r>
        <w:t xml:space="preserve"> </w:t>
      </w:r>
      <w:r>
        <w:t xml:space="preserve">SF-6D Funzionamento fisico e sociale, ruolo, dolore, salute mentale,</w:t>
      </w:r>
      <w:r>
        <w:t xml:space="preserve"> </w:t>
      </w:r>
      <w:r>
        <w:t xml:space="preserve">vitalità.</w:t>
      </w:r>
      <w:r>
        <w:t xml:space="preserve"> </w:t>
      </w:r>
      <w:r>
        <w:t xml:space="preserve">Health Utilities Index (HUI) Vista, udito, parola, deambulazione, destrezza, emozione,</w:t>
      </w:r>
      <w:r>
        <w:t xml:space="preserve"> </w:t>
      </w:r>
      <w:r>
        <w:t xml:space="preserve">cognizione, dolore.</w:t>
      </w:r>
      <w:r>
        <w:t xml:space="preserve"> </w:t>
      </w:r>
      <w:r>
        <w:t xml:space="preserve">ReQoL-UI (QALY in salute mentale) Sintomi, funzionamento e qualità di vita nei disturbi mentali →</w:t>
      </w:r>
      <w:r>
        <w:t xml:space="preserve"> </w:t>
      </w:r>
      <w:r>
        <w:t xml:space="preserve">13Nota metodologica: le variabili complesse integrano più variabili in un’unica misura</w:t>
      </w:r>
      <w:r>
        <w:t xml:space="preserve"> </w:t>
      </w:r>
      <w:r>
        <w:t xml:space="preserve">interpretabile; costituiscono un insieme finito e verificabile, e la loro selezione e</w:t>
      </w:r>
      <w:r>
        <w:t xml:space="preserve"> </w:t>
      </w:r>
      <w:r>
        <w:t xml:space="preserve">valorizzazione seguono la prassi dei set di esiti essenziali (iniziativa COMET) e degli</w:t>
      </w:r>
      <w:r>
        <w:t xml:space="preserve"> </w:t>
      </w:r>
      <w:r>
        <w:t xml:space="preserve">standard ICHOM.</w:t>
      </w:r>
      <w:r>
        <w:t xml:space="preserve"> </w:t>
      </w:r>
      <w:r>
        <w:t xml:space="preserve">14Quality-adjusted life year (QALY): misura composita che integra la qualità e la durata della</w:t>
      </w:r>
      <w:r>
        <w:t xml:space="preserve"> </w:t>
      </w:r>
      <w:r>
        <w:t xml:space="preserve">vita, ove la qualità è espressa da un peso di utilità (es. EQ-5D) compreso tra 0 e 1</w:t>
      </w:r>
      <w:r>
        <w:t xml:space="preserve"> </w:t>
      </w:r>
      <w:r>
        <w:t xml:space="preserve">(Whitehead &amp; Ali, British Medical Bulletin, 2010).</w:t>
      </w:r>
      <w:r>
        <w:t xml:space="preserve"> </w:t>
      </w:r>
      <w:r>
        <w:t xml:space="preserve">15Disability-adjusted life year (DALY): integra gli anni di vita persi per mortalità prematura e</w:t>
      </w:r>
      <w:r>
        <w:t xml:space="preserve"> </w:t>
      </w:r>
      <w:r>
        <w:t xml:space="preserve">gli anni vissuti con disabilità, ponderati per pesi di disabilità (Murray &amp; Lopez, Global Burden</w:t>
      </w:r>
      <w:r>
        <w:t xml:space="preserve"> </w:t>
      </w:r>
      <w:r>
        <w:t xml:space="preserve">of Disease).</w:t>
      </w:r>
      <w:r>
        <w:t xml:space="preserve"> </w:t>
      </w:r>
      <w:r>
        <w:t xml:space="preserve">16QALY in salute mentale: il Recovering Quality-of-Life Utility Index (ReQoL-UI) e le funzioni</w:t>
      </w:r>
      <w:r>
        <w:t xml:space="preserve"> </w:t>
      </w:r>
      <w:r>
        <w:t xml:space="preserve">di mappatura da PHQ-9 e GAD-7 a misure di utilità consentono di generare QALY sensibili</w:t>
      </w:r>
      <w:r>
        <w:t xml:space="preserve"> </w:t>
      </w:r>
      <w:r>
        <w:t xml:space="preserve">alla salute mentale (Keetharuth et al.; dati del programma IAPT/NHS Talking Therapies).</w:t>
      </w:r>
      <w:r>
        <w:t xml:space="preserve"> </w:t>
      </w:r>
      <w:r>
        <w:t xml:space="preserve">87Psicologo di Base · Metodologia apicale e registro unificato delle variabili</w:t>
      </w:r>
      <w:r>
        <w:t xml:space="preserve"> </w:t>
      </w:r>
      <w:r>
        <w:t xml:space="preserve">utilità.</w:t>
      </w:r>
      <w:r>
        <w:t xml:space="preserve"> </w:t>
      </w:r>
      <w:r>
        <w:t xml:space="preserve">CORE-OM Benessere soggettivo, sintomi, funzionamento, rischio →</w:t>
      </w:r>
      <w:r>
        <w:t xml:space="preserve"> </w:t>
      </w:r>
      <w:r>
        <w:t xml:space="preserve">punteggio globale.</w:t>
      </w:r>
      <w:r>
        <w:t xml:space="preserve"> </w:t>
      </w:r>
      <w:r>
        <w:t xml:space="preserve">WELLBY (anno di benessere) Benessere soggettivo (soddisfazione di vita) × durata.</w:t>
      </w:r>
      <w:r>
        <w:t xml:space="preserve"> </w:t>
      </w:r>
      <w:r>
        <w:t xml:space="preserve">15D / AQoL (multi-attributo) Più dimensioni di salute combinate in un indice di utilità.</w:t>
      </w:r>
      <w:r>
        <w:t xml:space="preserve"> </w:t>
      </w:r>
      <w:r>
        <w:t xml:space="preserve">2. Costrutti di capability e benessere multidimensionale</w:t>
      </w:r>
      <w:r>
        <w:t xml:space="preserve"> </w:t>
      </w:r>
      <w:r>
        <w:t xml:space="preserve">Estendono la misura oltre la salute, alla capacità della persona di fare ed essere ciò a cui dà</w:t>
      </w:r>
      <w:r>
        <w:t xml:space="preserve"> </w:t>
      </w:r>
      <w:r>
        <w:t xml:space="preserve">valore; sono raccomandati da agenzie di valutazione e valorizzabili in termini monetari.17 18</w:t>
      </w:r>
      <w:r>
        <w:t xml:space="preserve"> </w:t>
      </w:r>
      <w:r>
        <w:t xml:space="preserve">Variabile complessa Variabili intrecciate che unifica</w:t>
      </w:r>
      <w:r>
        <w:t xml:space="preserve"> </w:t>
      </w:r>
      <w:r>
        <w:t xml:space="preserve">ICECAP-A Stabilità, attaccamento, realizzazione, autonomia, piacere.</w:t>
      </w:r>
      <w:r>
        <w:t xml:space="preserve"> </w:t>
      </w:r>
      <w:r>
        <w:t xml:space="preserve">ICECAP-O (anziani) Affetto, sicurezza, ruolo, controllo, piacere.</w:t>
      </w:r>
      <w:r>
        <w:t xml:space="preserve"> </w:t>
      </w:r>
      <w:r>
        <w:t xml:space="preserve">Benessere CHIME (recovery) Connessione, speranza, identità, significato, empowerment.</w:t>
      </w:r>
      <w:r>
        <w:t xml:space="preserve"> </w:t>
      </w:r>
      <w:r>
        <w:t xml:space="preserve">WEMWBS (benessere mentale) Componenti edoniche + eudaimoniche del benessere.</w:t>
      </w:r>
      <w:r>
        <w:t xml:space="preserve"> </w:t>
      </w:r>
      <w:r>
        <w:t xml:space="preserve">ONS4 (benessere soggettivo) Soddisfazione di vita, senso, felicità, ansia.</w:t>
      </w:r>
      <w:r>
        <w:t xml:space="preserve"> </w:t>
      </w:r>
      <w:r>
        <w:t xml:space="preserve">Indice di fioritura (flourishing) Emozioni positive, relazioni, significato, realizzazione, impegno.</w:t>
      </w:r>
      <w:r>
        <w:t xml:space="preserve"> </w:t>
      </w:r>
      <w:r>
        <w:t xml:space="preserve">Capability-adjusted life year Capability complessiva × durata.</w:t>
      </w:r>
      <w:r>
        <w:t xml:space="preserve"> </w:t>
      </w:r>
      <w:r>
        <w:t xml:space="preserve">3. Misure economiche composite</w:t>
      </w:r>
      <w:r>
        <w:t xml:space="preserve"> </w:t>
      </w:r>
      <w:r>
        <w:t xml:space="preserve">Riassumono in un solo indicatore il rapporto tra effetti e risorse, o il valore sociale generato;</w:t>
      </w:r>
      <w:r>
        <w:t xml:space="preserve"> </w:t>
      </w:r>
      <w:r>
        <w:t xml:space="preserve">sono il linguaggio della valutazione economica e della decisione di finanziamento.19</w:t>
      </w:r>
      <w:r>
        <w:t xml:space="preserve"> </w:t>
      </w:r>
      <w:r>
        <w:t xml:space="preserve">Variabile complessa Variabili intrecciate che unifica</w:t>
      </w:r>
      <w:r>
        <w:t xml:space="preserve"> </w:t>
      </w:r>
      <w:r>
        <w:t xml:space="preserve">Rapporto costo-efficacia</w:t>
      </w:r>
      <w:r>
        <w:t xml:space="preserve"> </w:t>
      </w:r>
      <w:r>
        <w:t xml:space="preserve">incrementale (ICER)</w:t>
      </w:r>
      <w:r>
        <w:t xml:space="preserve"> </w:t>
      </w:r>
      <w:r>
        <w:t xml:space="preserve">Differenza di costo / differenza di effetto (es. € per QALY).</w:t>
      </w:r>
      <w:r>
        <w:t xml:space="preserve"> </w:t>
      </w:r>
      <w:r>
        <w:t xml:space="preserve">Beneficio monetario netto (NMB) Effetto × soglia di disponibilità a pagare − costo.</w:t>
      </w:r>
      <w:r>
        <w:t xml:space="preserve"> </w:t>
      </w:r>
      <w:r>
        <w:t xml:space="preserve">Beneficio sanitario netto (NHB) Effetto − costo convertito in unità di salute.</w:t>
      </w:r>
      <w:r>
        <w:t xml:space="preserve"> </w:t>
      </w:r>
      <w:r>
        <w:t xml:space="preserve">Ritorno sociale sull’investimento</w:t>
      </w:r>
      <w:r>
        <w:t xml:space="preserve"> </w:t>
      </w:r>
      <w:r>
        <w:t xml:space="preserve">(SROI)</w:t>
      </w:r>
      <w:r>
        <w:t xml:space="preserve"> </w:t>
      </w:r>
      <w:r>
        <w:t xml:space="preserve">Valore sociale monetizzato di più esiti / investimento.</w:t>
      </w:r>
      <w:r>
        <w:t xml:space="preserve"> </w:t>
      </w:r>
      <w:r>
        <w:t xml:space="preserve">Ritorno sull’investimento (ROI) Risparmi e benefici economici / costo.</w:t>
      </w:r>
      <w:r>
        <w:t xml:space="preserve"> </w:t>
      </w:r>
      <w:r>
        <w:t xml:space="preserve">Impatto di bilancio (budget impact) Costi − risparmi attesi nel tempo per il pagatore.</w:t>
      </w:r>
      <w:r>
        <w:t xml:space="preserve"> </w:t>
      </w:r>
      <w:r>
        <w:t xml:space="preserve">Analisi costo-conseguenza Costo affiancato a una matrice di più esiti.</w:t>
      </w:r>
      <w:r>
        <w:t xml:space="preserve"> </w:t>
      </w:r>
      <w:r>
        <w:t xml:space="preserve">17ICECAP-A e ICECAP-O: misure di benessere di capability (stabilità, attaccamento,</w:t>
      </w:r>
      <w:r>
        <w:t xml:space="preserve"> </w:t>
      </w:r>
      <w:r>
        <w:t xml:space="preserve">realizzazione, autonomia, piacere), raccomandate dal NICE nel caso di riferimento per gli</w:t>
      </w:r>
      <w:r>
        <w:t xml:space="preserve"> </w:t>
      </w:r>
      <w:r>
        <w:t xml:space="preserve">interventi socio-assistenziali e validate anche nella depressione.</w:t>
      </w:r>
      <w:r>
        <w:t xml:space="preserve"> </w:t>
      </w:r>
      <w:r>
        <w:t xml:space="preserve">18Approccio di valorizzazione del benessere (well-being valuation): stima del valore</w:t>
      </w:r>
      <w:r>
        <w:t xml:space="preserve"> </w:t>
      </w:r>
      <w:r>
        <w:t xml:space="preserve">monetario del benessere e della capability, alla base delle misure di tipo WELLBY</w:t>
      </w:r>
      <w:r>
        <w:t xml:space="preserve"> </w:t>
      </w:r>
      <w:r>
        <w:t xml:space="preserve">(European Journal of Health Economics, 2020).</w:t>
      </w:r>
      <w:r>
        <w:t xml:space="preserve"> </w:t>
      </w:r>
      <w:r>
        <w:t xml:space="preserve">19Quality-adjusted life year (QALY): misura composita che integra la qualità e la durata della</w:t>
      </w:r>
      <w:r>
        <w:t xml:space="preserve"> </w:t>
      </w:r>
      <w:r>
        <w:t xml:space="preserve">vita, ove la qualità è espressa da un peso di utilità (es. EQ-5D) compreso tra 0 e 1</w:t>
      </w:r>
      <w:r>
        <w:t xml:space="preserve"> </w:t>
      </w:r>
      <w:r>
        <w:t xml:space="preserve">(Whitehead &amp; Ali, British Medical Bulletin, 2010).</w:t>
      </w:r>
      <w:r>
        <w:t xml:space="preserve"> </w:t>
      </w:r>
      <w:r>
        <w:t xml:space="preserve">88Psicologo di Base · Metodologia apicale e registro unificato delle variabili</w:t>
      </w:r>
      <w:r>
        <w:t xml:space="preserve"> </w:t>
      </w:r>
      <w:r>
        <w:t xml:space="preserve">Costo per caso di recupero Costo totale / numero di recuperi clinici.</w:t>
      </w:r>
      <w:r>
        <w:t xml:space="preserve"> </w:t>
      </w:r>
      <w:r>
        <w:t xml:space="preserve">Rapporto beneficio-costo Benefici totali / costi totali.</w:t>
      </w:r>
      <w:r>
        <w:t xml:space="preserve"> </w:t>
      </w:r>
      <w:r>
        <w:t xml:space="preserve">Valore attuale netto Flussi di benefici e costi attualizzati nel tempo.</w:t>
      </w:r>
      <w:r>
        <w:t xml:space="preserve"> </w:t>
      </w:r>
      <w:r>
        <w:t xml:space="preserve">4. Framework integrativi di sistema</w:t>
      </w:r>
      <w:r>
        <w:t xml:space="preserve"> </w:t>
      </w:r>
      <w:r>
        <w:t xml:space="preserve">Non sono singole misure, ma architetture che impongono di valutare la riforma su più obiettivi</w:t>
      </w:r>
      <w:r>
        <w:t xml:space="preserve"> </w:t>
      </w:r>
      <w:r>
        <w:t xml:space="preserve">simultaneamente, evitando che il miglioramento di una dimensione avvenga a scapito di</w:t>
      </w:r>
      <w:r>
        <w:t xml:space="preserve"> </w:t>
      </w:r>
      <w:r>
        <w:t xml:space="preserve">un’altra.20 21</w:t>
      </w:r>
      <w:r>
        <w:t xml:space="preserve"> </w:t>
      </w:r>
      <w:r>
        <w:t xml:space="preserve">Variabile complessa Variabili intrecciate che unifica</w:t>
      </w:r>
      <w:r>
        <w:t xml:space="preserve"> </w:t>
      </w:r>
      <w:r>
        <w:t xml:space="preserve">Triple Aim Esperienza di cura + salute della popolazione + costo pro</w:t>
      </w:r>
      <w:r>
        <w:t xml:space="preserve"> </w:t>
      </w:r>
      <w:r>
        <w:t xml:space="preserve">capite.</w:t>
      </w:r>
      <w:r>
        <w:t xml:space="preserve"> </w:t>
      </w:r>
      <w:r>
        <w:t xml:space="preserve">Quadruple Aim Triple Aim + benessere dei professionisti.</w:t>
      </w:r>
      <w:r>
        <w:t xml:space="preserve"> </w:t>
      </w:r>
      <w:r>
        <w:t xml:space="preserve">Quintuple Aim Quadruple Aim + equità in salute.</w:t>
      </w:r>
      <w:r>
        <w:t xml:space="preserve"> </w:t>
      </w:r>
      <w:r>
        <w:t xml:space="preserve">Valore in sanità (value-based) Esiti che contano per il paziente / costo per ottenerli.</w:t>
      </w:r>
      <w:r>
        <w:t xml:space="preserve"> </w:t>
      </w:r>
      <w:r>
        <w:t xml:space="preserve">Triade di Donabedian Struttura + processo + esito della qualità.</w:t>
      </w:r>
      <w:r>
        <w:t xml:space="preserve"> </w:t>
      </w:r>
      <w:r>
        <w:t xml:space="preserve">Modello logico / teoria del</w:t>
      </w:r>
      <w:r>
        <w:t xml:space="preserve"> </w:t>
      </w:r>
      <w:r>
        <w:t xml:space="preserve">cambiamento</w:t>
      </w:r>
      <w:r>
        <w:t xml:space="preserve"> </w:t>
      </w:r>
      <w:r>
        <w:t xml:space="preserve">Risorse → attività → prodotti → esiti → impatti.</w:t>
      </w:r>
      <w:r>
        <w:t xml:space="preserve"> </w:t>
      </w:r>
      <w:r>
        <w:t xml:space="preserve">5. Misure composite di equità ed efficienza distributiva</w:t>
      </w:r>
      <w:r>
        <w:t xml:space="preserve"> </w:t>
      </w:r>
      <w:r>
        <w:t xml:space="preserve">Integrano l’efficienza con la distribuzione degli effetti tra gruppi, rendendo misurabile l’equità</w:t>
      </w:r>
      <w:r>
        <w:t xml:space="preserve"> </w:t>
      </w:r>
      <w:r>
        <w:t xml:space="preserve">accanto al beneficio medio.22</w:t>
      </w:r>
      <w:r>
        <w:t xml:space="preserve"> </w:t>
      </w:r>
      <w:r>
        <w:t xml:space="preserve">Variabile complessa Variabili intrecciate che unifica</w:t>
      </w:r>
      <w:r>
        <w:t xml:space="preserve"> </w:t>
      </w:r>
      <w:r>
        <w:t xml:space="preserve">QALY ponderati per l’equità Guadagni di salute + pesi per lo svantaggio sociale.</w:t>
      </w:r>
      <w:r>
        <w:t xml:space="preserve"> </w:t>
      </w:r>
      <w:r>
        <w:t xml:space="preserve">Analisi costo-efficacia distributiva</w:t>
      </w:r>
      <w:r>
        <w:t xml:space="preserve"> </w:t>
      </w:r>
      <w:r>
        <w:t xml:space="preserve">(DCEA)</w:t>
      </w:r>
      <w:r>
        <w:t xml:space="preserve"> </w:t>
      </w:r>
      <w:r>
        <w:t xml:space="preserve">Costo-efficacia + distribuzione degli effetti tra gruppi.</w:t>
      </w:r>
      <w:r>
        <w:t xml:space="preserve"> </w:t>
      </w:r>
      <w:r>
        <w:t xml:space="preserve">Indice di concentrazione Esito di salute + posizione socio-economica.</w:t>
      </w:r>
      <w:r>
        <w:t xml:space="preserve"> </w:t>
      </w:r>
      <w:r>
        <w:t xml:space="preserve">Indici di disuguaglianza</w:t>
      </w:r>
      <w:r>
        <w:t xml:space="preserve"> </w:t>
      </w:r>
      <w:r>
        <w:t xml:space="preserve">(slope/relative)</w:t>
      </w:r>
      <w:r>
        <w:t xml:space="preserve"> </w:t>
      </w:r>
      <w:r>
        <w:t xml:space="preserve">Gradiente dell’esito lungo lo stato socio-economico.</w:t>
      </w:r>
      <w:r>
        <w:t xml:space="preserve"> </w:t>
      </w:r>
      <w:r>
        <w:t xml:space="preserve">Valutazione d’impatto sull’equità Effetti dell’intervento + distribuzione per gruppi vulnerabili.</w:t>
      </w:r>
      <w:r>
        <w:t xml:space="preserve"> </w:t>
      </w:r>
      <w:r>
        <w:t xml:space="preserve">Indice di deprivazione multipla Reddito, occupazione, istruzione, salute, abitare, ambiente.</w:t>
      </w:r>
      <w:r>
        <w:t xml:space="preserve"> </w:t>
      </w:r>
      <w:r>
        <w:t xml:space="preserve">20Triple Aim (esperienza di cura, salute della popolazione, costo pro capite; Institute for</w:t>
      </w:r>
      <w:r>
        <w:t xml:space="preserve"> </w:t>
      </w:r>
      <w:r>
        <w:t xml:space="preserve">Healthcare Improvement, Berwick et al., 2008), Quadruple Aim (con il benessere dei</w:t>
      </w:r>
      <w:r>
        <w:t xml:space="preserve"> </w:t>
      </w:r>
      <w:r>
        <w:t xml:space="preserve">professionisti; Bodenheimer &amp; Sinsky, 2014) e Quintuple Aim (con l’equità in salute).</w:t>
      </w:r>
      <w:r>
        <w:t xml:space="preserve"> </w:t>
      </w:r>
      <w:r>
        <w:t xml:space="preserve">21Valore in sanità (value-based health care): il valore come rapporto tra gli esiti che contano</w:t>
      </w:r>
      <w:r>
        <w:t xml:space="preserve"> </w:t>
      </w:r>
      <w:r>
        <w:t xml:space="preserve">per il paziente e i costi sostenuti per ottenerli (Porter).</w:t>
      </w:r>
      <w:r>
        <w:t xml:space="preserve"> </w:t>
      </w:r>
      <w:r>
        <w:t xml:space="preserve">22Analisi costo-efficacia distributiva (distributional cost-effectiveness analysis) e QALY</w:t>
      </w:r>
      <w:r>
        <w:t xml:space="preserve"> </w:t>
      </w:r>
      <w:r>
        <w:t xml:space="preserve">ponderati per l’equità, che integrano efficienza ed equità nella valutazione (Cookson, Asaria</w:t>
      </w:r>
      <w:r>
        <w:t xml:space="preserve"> </w:t>
      </w:r>
      <w:r>
        <w:t xml:space="preserve">et al.).</w:t>
      </w:r>
      <w:r>
        <w:t xml:space="preserve"> </w:t>
      </w:r>
      <w:r>
        <w:t xml:space="preserve">89Psicologo di Base · Metodologia apicale e registro unificato delle variabili</w:t>
      </w:r>
      <w:r>
        <w:t xml:space="preserve"> </w:t>
      </w:r>
      <w:r>
        <w:t xml:space="preserve">6. Indici compositi biologici e di carico clinico</w:t>
      </w:r>
      <w:r>
        <w:t xml:space="preserve"> </w:t>
      </w:r>
      <w:r>
        <w:t xml:space="preserve">Riassumono in un punteggio la disregolazione o la complessità di più sistemi o condizioni, con</w:t>
      </w:r>
      <w:r>
        <w:t xml:space="preserve"> </w:t>
      </w:r>
      <w:r>
        <w:t xml:space="preserve">valore predittivo su morbilità e mortalità; il carico allostatico, in particolare, collega lo stress</w:t>
      </w:r>
      <w:r>
        <w:t xml:space="preserve"> </w:t>
      </w:r>
      <w:r>
        <w:t xml:space="preserve">cronico al rischio di malattia.23</w:t>
      </w:r>
      <w:r>
        <w:t xml:space="preserve"> </w:t>
      </w:r>
      <w:r>
        <w:t xml:space="preserve">Variabile complessa Variabili intrecciate che unifica</w:t>
      </w:r>
      <w:r>
        <w:t xml:space="preserve"> </w:t>
      </w:r>
      <w:r>
        <w:t xml:space="preserve">Carico allostatico (allostatic load) Marcatori neuroendocrini, immunitari, metabolici,</w:t>
      </w:r>
      <w:r>
        <w:t xml:space="preserve"> </w:t>
      </w:r>
      <w:r>
        <w:t xml:space="preserve">cardiovascolari.</w:t>
      </w:r>
      <w:r>
        <w:t xml:space="preserve"> </w:t>
      </w:r>
      <w:r>
        <w:t xml:space="preserve">Indice di fragilità Accumulo di deficit funzionali, clinici e cognitivi.</w:t>
      </w:r>
      <w:r>
        <w:t xml:space="preserve"> </w:t>
      </w:r>
      <w:r>
        <w:t xml:space="preserve">Indice di comorbilità di Charlson Più patologie croniche ponderate per gravità/mortalità.</w:t>
      </w:r>
      <w:r>
        <w:t xml:space="preserve"> </w:t>
      </w:r>
      <w:r>
        <w:t xml:space="preserve">Indice di multimorbilità Numero e peso delle condizioni croniche coesistenti.</w:t>
      </w:r>
      <w:r>
        <w:t xml:space="preserve"> </w:t>
      </w:r>
      <w:r>
        <w:t xml:space="preserve">Case-mix / complessità (DRG,</w:t>
      </w:r>
      <w:r>
        <w:t xml:space="preserve"> </w:t>
      </w:r>
      <w:r>
        <w:t xml:space="preserve">ACG)</w:t>
      </w:r>
      <w:r>
        <w:t xml:space="preserve"> </w:t>
      </w:r>
      <w:r>
        <w:t xml:space="preserve">Profilo di patologie e bisogni assistenziali del paziente.</w:t>
      </w:r>
      <w:r>
        <w:t xml:space="preserve"> </w:t>
      </w:r>
      <w:r>
        <w:t xml:space="preserve">Punteggio di rischio</w:t>
      </w:r>
      <w:r>
        <w:t xml:space="preserve"> </w:t>
      </w:r>
      <w:r>
        <w:t xml:space="preserve">cardiometabolico</w:t>
      </w:r>
      <w:r>
        <w:t xml:space="preserve"> </w:t>
      </w:r>
      <w:r>
        <w:t xml:space="preserve">Pressione, lipidi, glicemia, circonferenza, abitudini.</w:t>
      </w:r>
      <w:r>
        <w:t xml:space="preserve"> </w:t>
      </w:r>
      <w:r>
        <w:t xml:space="preserve">7. Esiti compositi clinici (endpoint compositi)</w:t>
      </w:r>
      <w:r>
        <w:t xml:space="preserve"> </w:t>
      </w:r>
      <w:r>
        <w:t xml:space="preserve">Combinano più esiti o soglie in un unico criterio di successo, prassi consolidata nelle</w:t>
      </w:r>
      <w:r>
        <w:t xml:space="preserve"> </w:t>
      </w:r>
      <w:r>
        <w:t xml:space="preserve">sperimentazioni cliniche; in salute mentale il «recupero» è il caso più noto.24 25</w:t>
      </w:r>
      <w:r>
        <w:t xml:space="preserve"> </w:t>
      </w:r>
      <w:r>
        <w:t xml:space="preserve">Variabile complessa Variabili intrecciate che unifica</w:t>
      </w:r>
      <w:r>
        <w:t xml:space="preserve"> </w:t>
      </w:r>
      <w:r>
        <w:t xml:space="preserve">Recupero (IAPT/NHS Talking</w:t>
      </w:r>
      <w:r>
        <w:t xml:space="preserve"> </w:t>
      </w:r>
      <w:r>
        <w:t xml:space="preserve">Therapies)</w:t>
      </w:r>
      <w:r>
        <w:t xml:space="preserve"> </w:t>
      </w:r>
      <w:r>
        <w:t xml:space="preserve">Miglioramento affidabile + passaggio sotto la soglia clinica.</w:t>
      </w:r>
      <w:r>
        <w:t xml:space="preserve"> </w:t>
      </w:r>
      <w:r>
        <w:t xml:space="preserve">Risposta + remissione Riduzione percentuale dei sintomi + assenza del quadro</w:t>
      </w:r>
      <w:r>
        <w:t xml:space="preserve"> </w:t>
      </w:r>
      <w:r>
        <w:t xml:space="preserve">clinico.</w:t>
      </w:r>
      <w:r>
        <w:t xml:space="preserve"> </w:t>
      </w:r>
      <w:r>
        <w:t xml:space="preserve">Esito composito PROM + PREM Esito riferito dal paziente + esperienza di cura riferita.</w:t>
      </w:r>
      <w:r>
        <w:t xml:space="preserve"> </w:t>
      </w:r>
      <w:r>
        <w:t xml:space="preserve">«Buon esito» globale Miglioramento clinico + funzionale + soddisfazione.</w:t>
      </w:r>
      <w:r>
        <w:t xml:space="preserve"> </w:t>
      </w:r>
      <w:r>
        <w:t xml:space="preserve">Endpoint composito di eventi Più eventi avversi conteggiati insieme (concetto trasferibile).</w:t>
      </w:r>
      <w:r>
        <w:t xml:space="preserve"> </w:t>
      </w:r>
      <w:r>
        <w:t xml:space="preserve">Differenza minima clinicamente</w:t>
      </w:r>
      <w:r>
        <w:t xml:space="preserve"> </w:t>
      </w:r>
      <w:r>
        <w:t xml:space="preserve">importante</w:t>
      </w:r>
      <w:r>
        <w:t xml:space="preserve"> </w:t>
      </w:r>
      <w:r>
        <w:t xml:space="preserve">Soglia di rilevanza che integra significatività e senso clinico.</w:t>
      </w:r>
      <w:r>
        <w:t xml:space="preserve"> </w:t>
      </w:r>
      <w:r>
        <w:t xml:space="preserve">Numero necessario da trattare</w:t>
      </w:r>
      <w:r>
        <w:t xml:space="preserve"> </w:t>
      </w:r>
      <w:r>
        <w:t xml:space="preserve">(NNT)</w:t>
      </w:r>
      <w:r>
        <w:t xml:space="preserve"> </w:t>
      </w:r>
      <w:r>
        <w:t xml:space="preserve">Effetto del trattamento espresso come pazienti per un esito.</w:t>
      </w:r>
      <w:r>
        <w:t xml:space="preserve"> </w:t>
      </w:r>
      <w:r>
        <w:t xml:space="preserve">8. Indici compositi di organizzazione e qualità delle cure</w:t>
      </w:r>
      <w:r>
        <w:t xml:space="preserve"> </w:t>
      </w:r>
      <w:r>
        <w:t xml:space="preserve">Sintetizzano in un indicatore la qualità, la continuità o l’attivazione, integrando più componenti</w:t>
      </w:r>
      <w:r>
        <w:t xml:space="preserve"> </w:t>
      </w:r>
      <w:r>
        <w:t xml:space="preserve">del processo assistenziale o del coinvolgimento del paziente.26</w:t>
      </w:r>
      <w:r>
        <w:t xml:space="preserve"> </w:t>
      </w:r>
      <w:r>
        <w:t xml:space="preserve">23Carico allostatico (allostatic load): indice composito multi-sistema che integra marcatori</w:t>
      </w:r>
      <w:r>
        <w:t xml:space="preserve"> </w:t>
      </w:r>
      <w:r>
        <w:t xml:space="preserve">neuroendocrini, immunitari/infiammatori, metabolici e cardiovascolari per quantificare la</w:t>
      </w:r>
      <w:r>
        <w:t xml:space="preserve"> </w:t>
      </w:r>
      <w:r>
        <w:t xml:space="preserve">disregolazione fisiologica da stress cronico (Juster, McEwen &amp; Lupien, 2010; meta-analisi su</w:t>
      </w:r>
      <w:r>
        <w:t xml:space="preserve"> </w:t>
      </w:r>
      <w:r>
        <w:t xml:space="preserve">dati individuali multi-coorte, 2023).</w:t>
      </w:r>
      <w:r>
        <w:t xml:space="preserve"> </w:t>
      </w:r>
      <w:r>
        <w:t xml:space="preserve">24Programma inglese di terapie psicologiche (IAPT / NHS Talking Therapies): il «recupero» è</w:t>
      </w:r>
      <w:r>
        <w:t xml:space="preserve"> </w:t>
      </w:r>
      <w:r>
        <w:t xml:space="preserve">un esito composito che richiede insieme un miglioramento affidabile e il passaggio al di sotto</w:t>
      </w:r>
      <w:r>
        <w:t xml:space="preserve"> </w:t>
      </w:r>
      <w:r>
        <w:t xml:space="preserve">della soglia clinica nelle misure di depressione e ansia.</w:t>
      </w:r>
      <w:r>
        <w:t xml:space="preserve"> </w:t>
      </w:r>
      <w:r>
        <w:t xml:space="preserve">25Esito composito che combina misura di esito riferita dal paziente (PROM) ed esperienza</w:t>
      </w:r>
      <w:r>
        <w:t xml:space="preserve"> </w:t>
      </w:r>
      <w:r>
        <w:t xml:space="preserve">riferita dal paziente (PREM), nel quadro del Quadruple Aim.</w:t>
      </w:r>
      <w:r>
        <w:t xml:space="preserve"> </w:t>
      </w:r>
      <w:r>
        <w:t xml:space="preserve">90Psicologo di Base · Metodologia apicale e registro unificato delle variabili</w:t>
      </w:r>
      <w:r>
        <w:t xml:space="preserve"> </w:t>
      </w:r>
      <w:r>
        <w:t xml:space="preserve">Variabile complessa Variabili intrecciate che unifica</w:t>
      </w:r>
      <w:r>
        <w:t xml:space="preserve"> </w:t>
      </w:r>
      <w:r>
        <w:t xml:space="preserve">Indice di continuità delle cure</w:t>
      </w:r>
      <w:r>
        <w:t xml:space="preserve"> </w:t>
      </w:r>
      <w:r>
        <w:t xml:space="preserve">(Bice-Boxerman)</w:t>
      </w:r>
      <w:r>
        <w:t xml:space="preserve"> </w:t>
      </w:r>
      <w:r>
        <w:t xml:space="preserve">Concentrazione e dispersione dei contatti tra i curanti.</w:t>
      </w:r>
      <w:r>
        <w:t xml:space="preserve"> </w:t>
      </w:r>
      <w:r>
        <w:t xml:space="preserve">Patient Activation Measure (PAM) Conoscenza + abilità + fiducia nell’autogestione.</w:t>
      </w:r>
      <w:r>
        <w:t xml:space="preserve"> </w:t>
      </w:r>
      <w:r>
        <w:t xml:space="preserve">Indice di integrazione delle cure Coordinamento, continuità informativa e gestionale tra servizi.</w:t>
      </w:r>
      <w:r>
        <w:t xml:space="preserve"> </w:t>
      </w:r>
      <w:r>
        <w:t xml:space="preserve">Indice composito di appropriatezza Più indicatori di uso appropriato delle prestazioni.</w:t>
      </w:r>
      <w:r>
        <w:t xml:space="preserve"> </w:t>
      </w:r>
      <w:r>
        <w:t xml:space="preserve">Esperienza di cura composita</w:t>
      </w:r>
      <w:r>
        <w:t xml:space="preserve"> </w:t>
      </w:r>
      <w:r>
        <w:t xml:space="preserve">(PREM globale)</w:t>
      </w:r>
      <w:r>
        <w:t xml:space="preserve"> </w:t>
      </w:r>
      <w:r>
        <w:t xml:space="preserve">Ascolto, informazione, partecipazione, accessibilità, fiducia.</w:t>
      </w:r>
      <w:r>
        <w:t xml:space="preserve"> </w:t>
      </w:r>
      <w:r>
        <w:t xml:space="preserve">Indice di accessibilità Tempi di attesa + distanza + copertura del bisogno.</w:t>
      </w:r>
      <w:r>
        <w:t xml:space="preserve"> </w:t>
      </w:r>
      <w:r>
        <w:t xml:space="preserve">9. Costrutti latenti psicosociali</w:t>
      </w:r>
      <w:r>
        <w:t xml:space="preserve"> </w:t>
      </w:r>
      <w:r>
        <w:t xml:space="preserve">Sono grandezze non osservabili direttamente, stimate da più indicatori manifesti;</w:t>
      </w:r>
      <w:r>
        <w:t xml:space="preserve"> </w:t>
      </w:r>
      <w:r>
        <w:t xml:space="preserve">rappresentano dimensioni psicologiche e sociali in modo sintetico e psicometricamente</w:t>
      </w:r>
      <w:r>
        <w:t xml:space="preserve"> </w:t>
      </w:r>
      <w:r>
        <w:t xml:space="preserve">fondato.</w:t>
      </w:r>
      <w:r>
        <w:t xml:space="preserve"> </w:t>
      </w:r>
      <w:r>
        <w:t xml:space="preserve">Variabile complessa Variabili intrecciate che unifica</w:t>
      </w:r>
      <w:r>
        <w:t xml:space="preserve"> </w:t>
      </w:r>
      <w:r>
        <w:t xml:space="preserve">Distress psicologico (K10, GHQ) Sintomi multipli di ansia e depressione → punteggio latente.</w:t>
      </w:r>
      <w:r>
        <w:t xml:space="preserve"> </w:t>
      </w:r>
      <w:r>
        <w:t xml:space="preserve">Qualità di vita correlata alla salute Più domini fisici, psicologici e sociali.</w:t>
      </w:r>
      <w:r>
        <w:t xml:space="preserve"> </w:t>
      </w:r>
      <w:r>
        <w:t xml:space="preserve">Benessere soggettivo Affetto positivo, affetto negativo, soddisfazione di vita.</w:t>
      </w:r>
      <w:r>
        <w:t xml:space="preserve"> </w:t>
      </w:r>
      <w:r>
        <w:t xml:space="preserve">Capitale sociale Fiducia + reti di relazione + partecipazione.</w:t>
      </w:r>
      <w:r>
        <w:t xml:space="preserve"> </w:t>
      </w:r>
      <w:r>
        <w:t xml:space="preserve">Resilienza Risorse personali, coping, supporto, adattamento.</w:t>
      </w:r>
      <w:r>
        <w:t xml:space="preserve"> </w:t>
      </w:r>
      <w:r>
        <w:t xml:space="preserve">Carico del caregiver Onere oggettivo + onere soggettivo + impatto sulla vita.</w:t>
      </w:r>
      <w:r>
        <w:t xml:space="preserve"> </w:t>
      </w:r>
      <w:r>
        <w:t xml:space="preserve">10. Indici compositi sociali e di bisogno</w:t>
      </w:r>
      <w:r>
        <w:t xml:space="preserve"> </w:t>
      </w:r>
      <w:r>
        <w:t xml:space="preserve">Riassumono il bisogno o lo svantaggio di una popolazione, e orientano l’allocazione delle</w:t>
      </w:r>
      <w:r>
        <w:t xml:space="preserve"> </w:t>
      </w:r>
      <w:r>
        <w:t xml:space="preserve">risorse e la lettura del contesto.</w:t>
      </w:r>
      <w:r>
        <w:t xml:space="preserve"> </w:t>
      </w:r>
      <w:r>
        <w:t xml:space="preserve">Variabile complessa Variabili intrecciate che unifica</w:t>
      </w:r>
      <w:r>
        <w:t xml:space="preserve"> </w:t>
      </w:r>
      <w:r>
        <w:t xml:space="preserve">Bisogno corretto per la capitazione Età, morbilità, deprivazione → fabbisogno di risorse.</w:t>
      </w:r>
      <w:r>
        <w:t xml:space="preserve"> </w:t>
      </w:r>
      <w:r>
        <w:t xml:space="preserve">Indice di solitudine (UCLA) Più item su isolamento e qualità delle relazioni.</w:t>
      </w:r>
      <w:r>
        <w:t xml:space="preserve"> </w:t>
      </w:r>
      <w:r>
        <w:t xml:space="preserve">Indice di esclusione sociale Reddito, lavoro, istruzione, relazioni, partecipazione.</w:t>
      </w:r>
      <w:r>
        <w:t xml:space="preserve"> </w:t>
      </w:r>
      <w:r>
        <w:t xml:space="preserve">Indici di salute della popolazione Mortalità + morbilità + determinanti.</w:t>
      </w:r>
      <w:r>
        <w:t xml:space="preserve"> </w:t>
      </w:r>
      <w:r>
        <w:t xml:space="preserve">Indice di sviluppo umano</w:t>
      </w:r>
      <w:r>
        <w:t xml:space="preserve"> </w:t>
      </w:r>
      <w:r>
        <w:t xml:space="preserve">(riferimento macro)</w:t>
      </w:r>
      <w:r>
        <w:t xml:space="preserve"> </w:t>
      </w:r>
      <w:r>
        <w:t xml:space="preserve">Salute + istruzione + reddito.</w:t>
      </w:r>
      <w:r>
        <w:t xml:space="preserve"> </w:t>
      </w:r>
      <w:r>
        <w:t xml:space="preserve">Totale: 69 variabili complesse verificate, in 10 famiglie. Ciascuna unifica due o più variabili</w:t>
      </w:r>
      <w:r>
        <w:t xml:space="preserve"> </w:t>
      </w:r>
      <w:r>
        <w:t xml:space="preserve">intrecciate del registro (Volumi I e II). Sono un insieme finito e consolidato: il loro valore sta nella</w:t>
      </w:r>
      <w:r>
        <w:t xml:space="preserve"> </w:t>
      </w:r>
      <w:r>
        <w:t xml:space="preserve">sintesi, non nel numero. Il passo successivo è selezionare, tra queste, le poche misure complesse più</w:t>
      </w:r>
      <w:r>
        <w:t xml:space="preserve"> </w:t>
      </w:r>
      <w:r>
        <w:t xml:space="preserve">adatte al progetto e adottarle come indicatori di sintesi della valutazione.</w:t>
      </w:r>
      <w:r>
        <w:t xml:space="preserve"> </w:t>
      </w:r>
      <w:r>
        <w:t xml:space="preserve">26Nota metodologica: le variabili complesse integrano più variabili in un’unica misura</w:t>
      </w:r>
      <w:r>
        <w:t xml:space="preserve"> </w:t>
      </w:r>
      <w:r>
        <w:t xml:space="preserve">interpretabile; costituiscono un insieme finito e verificabile, e la loro selezione e</w:t>
      </w:r>
      <w:r>
        <w:t xml:space="preserve"> </w:t>
      </w:r>
      <w:r>
        <w:t xml:space="preserve">valorizzazione seguono la prassi dei set di esiti essenziali (iniziativa COMET) e degli</w:t>
      </w:r>
      <w:r>
        <w:t xml:space="preserve"> </w:t>
      </w:r>
      <w:r>
        <w:t xml:space="preserve">standard ICHOM.</w:t>
      </w:r>
      <w:r>
        <w:t xml:space="preserve"> </w:t>
      </w:r>
      <w:r>
        <w:t xml:space="preserve">91Psicologo di Base · Metodologia apicale e registro unificato delle variabili</w:t>
      </w:r>
      <w:r>
        <w:t xml:space="preserve"> </w:t>
      </w:r>
      <w:r>
        <w:t xml:space="preserve">92Psicologo di Base · Metodologia apicale e registro unificato delle variabili</w:t>
      </w:r>
      <w:r>
        <w:t xml:space="preserve"> </w:t>
      </w:r>
      <w:r>
        <w:t xml:space="preserve">Sezione 4 — Variabili complesse: misure multidisciplinari</w:t>
      </w:r>
      <w:r>
        <w:t xml:space="preserve"> </w:t>
      </w:r>
      <w:r>
        <w:t xml:space="preserve">Le variabili complesse — grandezze che integrano più variabili intrecciate in un’unica misura</w:t>
      </w:r>
      <w:r>
        <w:t xml:space="preserve"> </w:t>
      </w:r>
      <w:r>
        <w:t xml:space="preserve">— non appartengono alla sola salute. Esiste un campo metodologico consolidato, quello degli</w:t>
      </w:r>
      <w:r>
        <w:t xml:space="preserve"> </w:t>
      </w:r>
      <w:r>
        <w:t xml:space="preserve">indicatori compositi, che le costruisce in ogni disciplina secondo passi standardizzati: quadro</w:t>
      </w:r>
      <w:r>
        <w:t xml:space="preserve"> </w:t>
      </w:r>
      <w:r>
        <w:t xml:space="preserve">teorico, selezione e normalizzazione dei dati, ponderazione, aggregazione, analisi di</w:t>
      </w:r>
      <w:r>
        <w:t xml:space="preserve"> </w:t>
      </w:r>
      <w:r>
        <w:t xml:space="preserve">sensibilità e validazione.27 Esse permettono di valutare una riforma non disperdendola in</w:t>
      </w:r>
      <w:r>
        <w:t xml:space="preserve"> </w:t>
      </w:r>
      <w:r>
        <w:t xml:space="preserve">migliaia di voci, ma riassumendone gli effetti su poche misure dotate di senso, in ciascun</w:t>
      </w:r>
      <w:r>
        <w:t xml:space="preserve"> </w:t>
      </w:r>
      <w:r>
        <w:t xml:space="preserve">ambito del sapere coinvolto.</w:t>
      </w:r>
      <w:r>
        <w:t xml:space="preserve"> </w:t>
      </w:r>
      <w:r>
        <w:t xml:space="preserve">Per l’Italia, la cornice di riferimento è il Benessere Equo e Sostenibile (BES), il sistema</w:t>
      </w:r>
      <w:r>
        <w:t xml:space="preserve"> </w:t>
      </w:r>
      <w:r>
        <w:t xml:space="preserve">multidimensionale dell’ISTAT che, con la riforma del bilancio del 2016, è entrato nella</w:t>
      </w:r>
      <w:r>
        <w:t xml:space="preserve"> </w:t>
      </w:r>
      <w:r>
        <w:t xml:space="preserve">programmazione economica nazionale: è la prova istituzionale che misure complesse e</w:t>
      </w:r>
      <w:r>
        <w:t xml:space="preserve"> </w:t>
      </w:r>
      <w:r>
        <w:t xml:space="preserve">multidisciplinari possono guidare la valutazione delle politiche pubbliche.28 Di seguito si</w:t>
      </w:r>
      <w:r>
        <w:t xml:space="preserve"> </w:t>
      </w:r>
      <w:r>
        <w:t xml:space="preserve">raccolgono le principali variabili complesse, disciplina per disciplina; di ciascuna si indicano le</w:t>
      </w:r>
      <w:r>
        <w:t xml:space="preserve"> </w:t>
      </w:r>
      <w:r>
        <w:t xml:space="preserve">variabili intrecciate che unifica. Molti dei domini coperti sono quelli su cui la riforma dello</w:t>
      </w:r>
      <w:r>
        <w:t xml:space="preserve"> </w:t>
      </w:r>
      <w:r>
        <w:t xml:space="preserve">Psicologo di Base incide direttamente.29</w:t>
      </w:r>
      <w:r>
        <w:t xml:space="preserve"> </w:t>
      </w:r>
      <w:r>
        <w:t xml:space="preserve">La cornice italiana: i 12 domini del BES</w:t>
      </w:r>
      <w:r>
        <w:t xml:space="preserve"> </w:t>
      </w:r>
      <w:r>
        <w:t xml:space="preserve">Il BES articola il benessere in dodici domini, ciascuno con propri indici compositi. La tabella ne</w:t>
      </w:r>
      <w:r>
        <w:t xml:space="preserve"> </w:t>
      </w:r>
      <w:r>
        <w:t xml:space="preserve">riporta i domini e ciò che misurano; in grassetto i domini su cui lo Psicologo di Base produce</w:t>
      </w:r>
      <w:r>
        <w:t xml:space="preserve"> </w:t>
      </w:r>
      <w:r>
        <w:t xml:space="preserve">effetti più diretti.30</w:t>
      </w:r>
      <w:r>
        <w:t xml:space="preserve"> </w:t>
      </w:r>
      <w:r>
        <w:t xml:space="preserve">Dominio BES Che cosa misura</w:t>
      </w:r>
      <w:r>
        <w:t xml:space="preserve"> </w:t>
      </w:r>
      <w:r>
        <w:t xml:space="preserve">27OECD ed European Commission-JRC, Handbook on Constructing Composite Indicators:</w:t>
      </w:r>
      <w:r>
        <w:t xml:space="preserve"> </w:t>
      </w:r>
      <w:r>
        <w:t xml:space="preserve">Methodology and User Guide (2008): riferimento metodologico per la costruzione di</w:t>
      </w:r>
      <w:r>
        <w:t xml:space="preserve"> </w:t>
      </w:r>
      <w:r>
        <w:t xml:space="preserve">indicatori compositi, con dieci passi (quadro teorico, selezione dei dati, imputazione, analisi</w:t>
      </w:r>
      <w:r>
        <w:t xml:space="preserve"> </w:t>
      </w:r>
      <w:r>
        <w:t xml:space="preserve">multivariata, normalizzazione, ponderazione, aggregazione, analisi di sensibilità,</w:t>
      </w:r>
      <w:r>
        <w:t xml:space="preserve"> </w:t>
      </w:r>
      <w:r>
        <w:t xml:space="preserve">collegamento ad altre misure, visualizzazione). Il Centro di competenza JRC ha sottoposto</w:t>
      </w:r>
      <w:r>
        <w:t xml:space="preserve"> </w:t>
      </w:r>
      <w:r>
        <w:t xml:space="preserve">ad audit oltre cento indicatori compositi.</w:t>
      </w:r>
      <w:r>
        <w:t xml:space="preserve"> </w:t>
      </w:r>
      <w:r>
        <w:t xml:space="preserve">28Benessere Equo e Sostenibile (BES), ISTAT e CNEL: 129 indicatori articolati in 12 domini</w:t>
      </w:r>
      <w:r>
        <w:t xml:space="preserve"> </w:t>
      </w:r>
      <w:r>
        <w:t xml:space="preserve">(salute; istruzione e formazione; lavoro e conciliazione dei tempi di vita; benessere</w:t>
      </w:r>
      <w:r>
        <w:t xml:space="preserve"> </w:t>
      </w:r>
      <w:r>
        <w:t xml:space="preserve">economico; relazioni sociali; politica e istituzioni; sicurezza; benessere soggettivo;</w:t>
      </w:r>
      <w:r>
        <w:t xml:space="preserve"> </w:t>
      </w:r>
      <w:r>
        <w:t xml:space="preserve">paesaggio e patrimonio culturale; ambiente; innovazione, ricerca e creatività; qualità dei</w:t>
      </w:r>
      <w:r>
        <w:t xml:space="preserve"> </w:t>
      </w:r>
      <w:r>
        <w:t xml:space="preserve">servizi), con indici compositi per dominio. Con la legge n. 163/2016 di riforma del bilancio, 12</w:t>
      </w:r>
      <w:r>
        <w:t xml:space="preserve"> </w:t>
      </w:r>
      <w:r>
        <w:t xml:space="preserve">indicatori BES sono allegati al Documento di economia e finanza e monitorati dal MEF:</w:t>
      </w:r>
      <w:r>
        <w:t xml:space="preserve"> </w:t>
      </w:r>
      <w:r>
        <w:t xml:space="preserve">l’Italia è il primo Paese a collegare gli indicatori di benessere alla programmazione di</w:t>
      </w:r>
      <w:r>
        <w:t xml:space="preserve"> </w:t>
      </w:r>
      <w:r>
        <w:t xml:space="preserve">bilancio.</w:t>
      </w:r>
      <w:r>
        <w:t xml:space="preserve"> </w:t>
      </w:r>
      <w:r>
        <w:t xml:space="preserve">29Nota: le variabili complesse multidisciplinari qui raccolte sono costrutti e indici realmente</w:t>
      </w:r>
      <w:r>
        <w:t xml:space="preserve"> </w:t>
      </w:r>
      <w:r>
        <w:t xml:space="preserve">esistenti; molti dei domini che esse coprono (lavoro, relazioni sociali, sicurezza, benessere</w:t>
      </w:r>
      <w:r>
        <w:t xml:space="preserve"> </w:t>
      </w:r>
      <w:r>
        <w:t xml:space="preserve">soggettivo) sono precisamente quelli su cui la riforma dello Psicologo di Base produce</w:t>
      </w:r>
      <w:r>
        <w:t xml:space="preserve"> </w:t>
      </w:r>
      <w:r>
        <w:t xml:space="preserve">effetti, e ai quali può essere ancorata la valutazione.</w:t>
      </w:r>
      <w:r>
        <w:t xml:space="preserve"> </w:t>
      </w:r>
      <w:r>
        <w:t xml:space="preserve">30Benessere Equo e Sostenibile (BES), ISTAT e CNEL: 129 indicatori articolati in 12 domini</w:t>
      </w:r>
      <w:r>
        <w:t xml:space="preserve"> </w:t>
      </w:r>
      <w:r>
        <w:t xml:space="preserve">(salute; istruzione e formazione; lavoro e conciliazione dei tempi di vita; benessere</w:t>
      </w:r>
      <w:r>
        <w:t xml:space="preserve"> </w:t>
      </w:r>
      <w:r>
        <w:t xml:space="preserve">economico; relazioni sociali; politica e istituzioni; sicurezza; benessere soggettivo;</w:t>
      </w:r>
      <w:r>
        <w:t xml:space="preserve"> </w:t>
      </w:r>
      <w:r>
        <w:t xml:space="preserve">paesaggio e patrimonio culturale; ambiente; innovazione, ricerca e creatività; qualità dei</w:t>
      </w:r>
      <w:r>
        <w:t xml:space="preserve"> </w:t>
      </w:r>
      <w:r>
        <w:t xml:space="preserve">servizi), con indici compositi per dominio. Con la legge n. 163/2016 di riforma del bilancio, 12</w:t>
      </w:r>
      <w:r>
        <w:t xml:space="preserve"> </w:t>
      </w:r>
      <w:r>
        <w:t xml:space="preserve">indicatori BES sono allegati al Documento di economia e finanza e monitorati dal MEF:</w:t>
      </w:r>
      <w:r>
        <w:t xml:space="preserve"> </w:t>
      </w:r>
      <w:r>
        <w:t xml:space="preserve">l’Italia è il primo Paese a collegare gli indicatori di benessere alla programmazione di</w:t>
      </w:r>
      <w:r>
        <w:t xml:space="preserve"> </w:t>
      </w:r>
      <w:r>
        <w:t xml:space="preserve">bilancio.</w:t>
      </w:r>
      <w:r>
        <w:t xml:space="preserve"> </w:t>
      </w:r>
      <w:r>
        <w:t xml:space="preserve">93Psicologo di Base · Metodologia apicale e registro unificato delle variabili</w:t>
      </w:r>
      <w:r>
        <w:t xml:space="preserve"> </w:t>
      </w:r>
      <w:r>
        <w:t xml:space="preserve">Salute Sopravvivenza, morbilità, stili di vita, salute mentale.</w:t>
      </w:r>
      <w:r>
        <w:t xml:space="preserve"> </w:t>
      </w:r>
      <w:r>
        <w:t xml:space="preserve">Istruzione e formazione Competenze, livelli di istruzione, partecipazione formativa.</w:t>
      </w:r>
      <w:r>
        <w:t xml:space="preserve"> </w:t>
      </w:r>
      <w:r>
        <w:t xml:space="preserve">Lavoro e conciliazione Occupazione, qualità del lavoro, conciliazione dei tempi.</w:t>
      </w:r>
      <w:r>
        <w:t xml:space="preserve"> </w:t>
      </w:r>
      <w:r>
        <w:t xml:space="preserve">Benessere economico Reddito, ricchezza, deprivazione materiale.</w:t>
      </w:r>
      <w:r>
        <w:t xml:space="preserve"> </w:t>
      </w:r>
      <w:r>
        <w:t xml:space="preserve">Relazioni sociali Reti, fiducia, partecipazione, volontariato.</w:t>
      </w:r>
      <w:r>
        <w:t xml:space="preserve"> </w:t>
      </w:r>
      <w:r>
        <w:t xml:space="preserve">Politica e istituzioni Fiducia, partecipazione civica, qualità istituzionale.</w:t>
      </w:r>
      <w:r>
        <w:t xml:space="preserve"> </w:t>
      </w:r>
      <w:r>
        <w:t xml:space="preserve">Sicurezza Criminalità, violenza, sicurezza percepita.</w:t>
      </w:r>
      <w:r>
        <w:t xml:space="preserve"> </w:t>
      </w:r>
      <w:r>
        <w:t xml:space="preserve">Benessere soggettivo Soddisfazione di vita, giudizio sul presente e sul futuro.</w:t>
      </w:r>
      <w:r>
        <w:t xml:space="preserve"> </w:t>
      </w:r>
      <w:r>
        <w:t xml:space="preserve">Paesaggio e patrimonio Qualità del paesaggio e del patrimonio culturale.</w:t>
      </w:r>
      <w:r>
        <w:t xml:space="preserve"> </w:t>
      </w:r>
      <w:r>
        <w:t xml:space="preserve">Ambiente Qualità ambientale, risorse, sostenibilità.</w:t>
      </w:r>
      <w:r>
        <w:t xml:space="preserve"> </w:t>
      </w:r>
      <w:r>
        <w:t xml:space="preserve">Innovazione, ricerca, creatività Ricerca, brevetti, capitale innovativo.</w:t>
      </w:r>
      <w:r>
        <w:t xml:space="preserve"> </w:t>
      </w:r>
      <w:r>
        <w:t xml:space="preserve">Qualità dei servizi Accessibilità e qualità dei servizi pubblici.</w:t>
      </w:r>
      <w:r>
        <w:t xml:space="preserve"> </w:t>
      </w:r>
      <w:r>
        <w:t xml:space="preserve">Tabella 1. I dodici domini del BES (ISTAT). In evidenza i domini su cui la riforma incide più direttamente.</w:t>
      </w:r>
      <w:r>
        <w:t xml:space="preserve"> </w:t>
      </w:r>
      <w:r>
        <w:t xml:space="preserve">1. Economia e finanza pubblica</w:t>
      </w:r>
      <w:r>
        <w:t xml:space="preserve"> </w:t>
      </w:r>
      <w:r>
        <w:t xml:space="preserve">Misure che riassumono l’attività economica, il valore di una politica e la posizione</w:t>
      </w:r>
      <w:r>
        <w:t xml:space="preserve"> </w:t>
      </w:r>
      <w:r>
        <w:t xml:space="preserve">competitiva.31</w:t>
      </w:r>
      <w:r>
        <w:t xml:space="preserve"> </w:t>
      </w:r>
      <w:r>
        <w:t xml:space="preserve">Variabile complessa Variabili intrecciate che unifica</w:t>
      </w:r>
      <w:r>
        <w:t xml:space="preserve"> </w:t>
      </w:r>
      <w:r>
        <w:t xml:space="preserve">Prodotto interno lordo (e pro</w:t>
      </w:r>
      <w:r>
        <w:t xml:space="preserve"> </w:t>
      </w:r>
      <w:r>
        <w:t xml:space="preserve">capite)</w:t>
      </w:r>
      <w:r>
        <w:t xml:space="preserve"> </w:t>
      </w:r>
      <w:r>
        <w:t xml:space="preserve">Valore aggiunto di tutti i settori produttivi.</w:t>
      </w:r>
      <w:r>
        <w:t xml:space="preserve"> </w:t>
      </w:r>
      <w:r>
        <w:t xml:space="preserve">Reddito disponibile delle famiglie Redditi da lavoro, capitale e trasferimenti, al netto delle</w:t>
      </w:r>
      <w:r>
        <w:t xml:space="preserve"> </w:t>
      </w:r>
      <w:r>
        <w:t xml:space="preserve">imposte.</w:t>
      </w:r>
      <w:r>
        <w:t xml:space="preserve"> </w:t>
      </w:r>
      <w:r>
        <w:t xml:space="preserve">Costo sociale di una patologia</w:t>
      </w:r>
      <w:r>
        <w:t xml:space="preserve"> </w:t>
      </w:r>
      <w:r>
        <w:t xml:space="preserve">(cost-of-illness)</w:t>
      </w:r>
      <w:r>
        <w:t xml:space="preserve"> </w:t>
      </w:r>
      <w:r>
        <w:t xml:space="preserve">Costi diretti sanitari + costi indiretti + costi intangibili.</w:t>
      </w:r>
      <w:r>
        <w:t xml:space="preserve"> </w:t>
      </w:r>
      <w:r>
        <w:t xml:space="preserve">Analisi costi-benefici sociale Benefici e costi per l’intera collettività, attualizzati.</w:t>
      </w:r>
      <w:r>
        <w:t xml:space="preserve"> </w:t>
      </w:r>
      <w:r>
        <w:t xml:space="preserve">Moltiplicatore fiscale Effetto di una variazione di spesa pubblica sul prodotto.</w:t>
      </w:r>
      <w:r>
        <w:t xml:space="preserve"> </w:t>
      </w:r>
      <w:r>
        <w:t xml:space="preserve">Indice di sviluppo umano (HDI) Speranza di vita + istruzione + reddito pro capite.</w:t>
      </w:r>
      <w:r>
        <w:t xml:space="preserve"> </w:t>
      </w:r>
      <w:r>
        <w:t xml:space="preserve">Indice di capitale umano (Banca</w:t>
      </w:r>
      <w:r>
        <w:t xml:space="preserve"> </w:t>
      </w:r>
      <w:r>
        <w:t xml:space="preserve">Mondiale)</w:t>
      </w:r>
      <w:r>
        <w:t xml:space="preserve"> </w:t>
      </w:r>
      <w:r>
        <w:t xml:space="preserve">Sopravvivenza + scolarità + qualità dell’apprendimento +</w:t>
      </w:r>
      <w:r>
        <w:t xml:space="preserve"> </w:t>
      </w:r>
      <w:r>
        <w:t xml:space="preserve">salute.</w:t>
      </w:r>
      <w:r>
        <w:t xml:space="preserve"> </w:t>
      </w:r>
      <w:r>
        <w:t xml:space="preserve">Global Competitiveness Index Istituzioni, infrastrutture, salute, competenze, mercati,</w:t>
      </w:r>
      <w:r>
        <w:t xml:space="preserve"> </w:t>
      </w:r>
      <w:r>
        <w:t xml:space="preserve">innovazione.</w:t>
      </w:r>
      <w:r>
        <w:t xml:space="preserve"> </w:t>
      </w:r>
      <w:r>
        <w:t xml:space="preserve">Indice di sostenibilità del debito Più indicatori di finanza pubblica e dinamica del debito.</w:t>
      </w:r>
      <w:r>
        <w:t xml:space="preserve"> </w:t>
      </w:r>
      <w:r>
        <w:t xml:space="preserve">2. Lavoro e occupazione</w:t>
      </w:r>
      <w:r>
        <w:t xml:space="preserve"> </w:t>
      </w:r>
      <w:r>
        <w:t xml:space="preserve">Variabile complessa Variabili intrecciate che unifica</w:t>
      </w:r>
      <w:r>
        <w:t xml:space="preserve"> </w:t>
      </w:r>
      <w:r>
        <w:t xml:space="preserve">Tasso di occupazione e di</w:t>
      </w:r>
      <w:r>
        <w:t xml:space="preserve"> </w:t>
      </w:r>
      <w:r>
        <w:t xml:space="preserve">disoccupazione</w:t>
      </w:r>
      <w:r>
        <w:t xml:space="preserve"> </w:t>
      </w:r>
      <w:r>
        <w:t xml:space="preserve">Occupati e persone in cerca sulla popolazione di riferimento.</w:t>
      </w:r>
      <w:r>
        <w:t xml:space="preserve"> </w:t>
      </w:r>
      <w:r>
        <w:t xml:space="preserve">Tasso di mancata partecipazione al</w:t>
      </w:r>
      <w:r>
        <w:t xml:space="preserve"> </w:t>
      </w:r>
      <w:r>
        <w:t xml:space="preserve">lavoro</w:t>
      </w:r>
      <w:r>
        <w:t xml:space="preserve"> </w:t>
      </w:r>
      <w:r>
        <w:t xml:space="preserve">Disoccupati + scoraggiati + part-time involontario.</w:t>
      </w:r>
      <w:r>
        <w:t xml:space="preserve"> </w:t>
      </w:r>
      <w:r>
        <w:t xml:space="preserve">31Indici compositi di sviluppo e povertà: l’Indice di sviluppo umano (UNDP) integra speranza</w:t>
      </w:r>
      <w:r>
        <w:t xml:space="preserve"> </w:t>
      </w:r>
      <w:r>
        <w:t xml:space="preserve">di vita, istruzione e reddito pro capite; l’Indice di povertà multidimensionale (metodo AlkireFoster, OPHI/UNDP) integra privazioni in salute, istruzione e standard di vita.</w:t>
      </w:r>
      <w:r>
        <w:t xml:space="preserve"> </w:t>
      </w:r>
      <w:r>
        <w:t xml:space="preserve">94Psicologo di Base · Metodologia apicale e registro unificato delle variabili</w:t>
      </w:r>
      <w:r>
        <w:t xml:space="preserve"> </w:t>
      </w:r>
      <w:r>
        <w:t xml:space="preserve">Tasso di sottoutilizzo della forza</w:t>
      </w:r>
      <w:r>
        <w:t xml:space="preserve"> </w:t>
      </w:r>
      <w:r>
        <w:t xml:space="preserve">lavoro (ILO)</w:t>
      </w:r>
      <w:r>
        <w:t xml:space="preserve"> </w:t>
      </w:r>
      <w:r>
        <w:t xml:space="preserve">Disoccupazione + sottoccupazione + forza lavoro potenziale.</w:t>
      </w:r>
      <w:r>
        <w:t xml:space="preserve"> </w:t>
      </w:r>
      <w:r>
        <w:t xml:space="preserve">NEET Giovani non occupati e non in istruzione o formazione.</w:t>
      </w:r>
      <w:r>
        <w:t xml:space="preserve"> </w:t>
      </w:r>
      <w:r>
        <w:t xml:space="preserve">Indice di qualità del lavoro Stabilità, retribuzione, sicurezza, conciliazione.</w:t>
      </w:r>
      <w:r>
        <w:t xml:space="preserve"> </w:t>
      </w:r>
      <w:r>
        <w:t xml:space="preserve">Indice di conciliazione vita-lavoro Orari, congedi, servizi, soddisfazione.</w:t>
      </w:r>
      <w:r>
        <w:t xml:space="preserve"> </w:t>
      </w:r>
      <w:r>
        <w:t xml:space="preserve">Costo del lavoro perso per disagio Assenteismo + presenteismo + turnover + invalidità.</w:t>
      </w:r>
      <w:r>
        <w:t xml:space="preserve"> </w:t>
      </w:r>
      <w:r>
        <w:t xml:space="preserve">3. Istruzione, formazione e capitale umano</w:t>
      </w:r>
      <w:r>
        <w:t xml:space="preserve"> </w:t>
      </w:r>
      <w:r>
        <w:t xml:space="preserve">Variabile complessa Variabili intrecciate che unifica</w:t>
      </w:r>
      <w:r>
        <w:t xml:space="preserve"> </w:t>
      </w:r>
      <w:r>
        <w:t xml:space="preserve">Anni di istruzione attesi e medi Partecipazione e permanenza nel sistema formativo.</w:t>
      </w:r>
      <w:r>
        <w:t xml:space="preserve"> </w:t>
      </w:r>
      <w:r>
        <w:t xml:space="preserve">Indice ESCS (status socioeconomico-culturale)Istruzione dei genitori, occupazione, risorse culturali.</w:t>
      </w:r>
      <w:r>
        <w:t xml:space="preserve"> </w:t>
      </w:r>
      <w:r>
        <w:t xml:space="preserve">Povertà educativa Privazione di competenze e di opportunità educative.</w:t>
      </w:r>
      <w:r>
        <w:t xml:space="preserve"> </w:t>
      </w:r>
      <w:r>
        <w:t xml:space="preserve">Competenze (literacy e numeracy) Abilità alfabetiche e matematiche misurate (PISA, PIAAC).</w:t>
      </w:r>
      <w:r>
        <w:t xml:space="preserve"> </w:t>
      </w:r>
      <w:r>
        <w:t xml:space="preserve">Anni di scuola aggiustati per</w:t>
      </w:r>
      <w:r>
        <w:t xml:space="preserve"> </w:t>
      </w:r>
      <w:r>
        <w:t xml:space="preserve">l’apprendimento</w:t>
      </w:r>
      <w:r>
        <w:t xml:space="preserve"> </w:t>
      </w:r>
      <w:r>
        <w:t xml:space="preserve">Quantità di scolarità × qualità dell’apprendimento.</w:t>
      </w:r>
      <w:r>
        <w:t xml:space="preserve"> </w:t>
      </w:r>
      <w:r>
        <w:t xml:space="preserve">Tasso di abbandono scolastico</w:t>
      </w:r>
      <w:r>
        <w:t xml:space="preserve"> </w:t>
      </w:r>
      <w:r>
        <w:t xml:space="preserve">precoce</w:t>
      </w:r>
      <w:r>
        <w:t xml:space="preserve"> </w:t>
      </w:r>
      <w:r>
        <w:t xml:space="preserve">Uscita dal sistema istruttivo senza qualifica.</w:t>
      </w:r>
      <w:r>
        <w:t xml:space="preserve"> </w:t>
      </w:r>
      <w:r>
        <w:t xml:space="preserve">4. Disuguaglianza, povertà e inclusione sociale</w:t>
      </w:r>
      <w:r>
        <w:t xml:space="preserve"> </w:t>
      </w:r>
      <w:r>
        <w:t xml:space="preserve">Indici che integrano più dimensioni dello svantaggio e della distribuzione delle risorse.32</w:t>
      </w:r>
      <w:r>
        <w:t xml:space="preserve"> </w:t>
      </w:r>
      <w:r>
        <w:t xml:space="preserve">Variabile complessa Variabili intrecciate che unifica</w:t>
      </w:r>
      <w:r>
        <w:t xml:space="preserve"> </w:t>
      </w:r>
      <w:r>
        <w:t xml:space="preserve">Indice di Gini Distribuzione dei redditi nell’intera popolazione.</w:t>
      </w:r>
      <w:r>
        <w:t xml:space="preserve"> </w:t>
      </w:r>
      <w:r>
        <w:t xml:space="preserve">Indice di povertà</w:t>
      </w:r>
      <w:r>
        <w:t xml:space="preserve"> </w:t>
      </w:r>
      <w:r>
        <w:t xml:space="preserve">multidimensionale (MPI)</w:t>
      </w:r>
      <w:r>
        <w:t xml:space="preserve"> </w:t>
      </w:r>
      <w:r>
        <w:t xml:space="preserve">Privazioni in salute, istruzione, standard di vita.</w:t>
      </w:r>
      <w:r>
        <w:t xml:space="preserve"> </w:t>
      </w:r>
      <w:r>
        <w:t xml:space="preserve">Rischio di povertà o esclusione</w:t>
      </w:r>
      <w:r>
        <w:t xml:space="preserve"> </w:t>
      </w:r>
      <w:r>
        <w:t xml:space="preserve">(AROPE)</w:t>
      </w:r>
      <w:r>
        <w:t xml:space="preserve"> </w:t>
      </w:r>
      <w:r>
        <w:t xml:space="preserve">Povertà di reddito + deprivazione + bassa intensità di lavoro.</w:t>
      </w:r>
      <w:r>
        <w:t xml:space="preserve"> </w:t>
      </w:r>
      <w:r>
        <w:t xml:space="preserve">Indice di deprivazione materiale e</w:t>
      </w:r>
      <w:r>
        <w:t xml:space="preserve"> </w:t>
      </w:r>
      <w:r>
        <w:t xml:space="preserve">sociale</w:t>
      </w:r>
      <w:r>
        <w:t xml:space="preserve"> </w:t>
      </w:r>
      <w:r>
        <w:t xml:space="preserve">Impossibilità di sostenere più spese e bisogni essenziali.</w:t>
      </w:r>
      <w:r>
        <w:t xml:space="preserve"> </w:t>
      </w:r>
      <w:r>
        <w:t xml:space="preserve">Rapporto interquintilico S80/S20 Reddito del quintile più ricco su quello più povero.</w:t>
      </w:r>
      <w:r>
        <w:t xml:space="preserve"> </w:t>
      </w:r>
      <w:r>
        <w:t xml:space="preserve">Indice di esclusione sociale Reddito, lavoro, istruzione, relazioni, partecipazione.</w:t>
      </w:r>
      <w:r>
        <w:t xml:space="preserve"> </w:t>
      </w:r>
      <w:r>
        <w:t xml:space="preserve">5. Coesione sociale, relazioni e capitale sociale</w:t>
      </w:r>
      <w:r>
        <w:t xml:space="preserve"> </w:t>
      </w:r>
      <w:r>
        <w:t xml:space="preserve">Variabile complessa Variabili intrecciate che unifica</w:t>
      </w:r>
      <w:r>
        <w:t xml:space="preserve"> </w:t>
      </w:r>
      <w:r>
        <w:t xml:space="preserve">Capitale sociale Fiducia + reti di relazione + norme di reciprocità +</w:t>
      </w:r>
      <w:r>
        <w:t xml:space="preserve"> </w:t>
      </w:r>
      <w:r>
        <w:t xml:space="preserve">partecipazione.</w:t>
      </w:r>
      <w:r>
        <w:t xml:space="preserve"> </w:t>
      </w:r>
      <w:r>
        <w:t xml:space="preserve">Indice di fiducia (interpersonale e</w:t>
      </w:r>
      <w:r>
        <w:t xml:space="preserve"> </w:t>
      </w:r>
      <w:r>
        <w:t xml:space="preserve">istituzionale)</w:t>
      </w:r>
      <w:r>
        <w:t xml:space="preserve"> </w:t>
      </w:r>
      <w:r>
        <w:t xml:space="preserve">Fiducia negli altri e nelle istituzioni.</w:t>
      </w:r>
      <w:r>
        <w:t xml:space="preserve"> </w:t>
      </w:r>
      <w:r>
        <w:t xml:space="preserve">Partecipazione civica e politica Voto, attivismo, impegno associativo.</w:t>
      </w:r>
      <w:r>
        <w:t xml:space="preserve"> </w:t>
      </w:r>
      <w:r>
        <w:t xml:space="preserve">32Indici compositi di sviluppo e povertà: l’Indice di sviluppo umano (UNDP) integra speranza</w:t>
      </w:r>
      <w:r>
        <w:t xml:space="preserve"> </w:t>
      </w:r>
      <w:r>
        <w:t xml:space="preserve">di vita, istruzione e reddito pro capite; l’Indice di povertà multidimensionale (metodo AlkireFoster, OPHI/UNDP) integra privazioni in salute, istruzione e standard di vita.</w:t>
      </w:r>
      <w:r>
        <w:t xml:space="preserve"> </w:t>
      </w:r>
      <w:r>
        <w:t xml:space="preserve">95Psicologo di Base · Metodologia apicale e registro unificato delle variabili</w:t>
      </w:r>
      <w:r>
        <w:t xml:space="preserve"> </w:t>
      </w:r>
      <w:r>
        <w:t xml:space="preserve">Indice di coesione sociale Appartenenza, inclusione, equità percepita.</w:t>
      </w:r>
      <w:r>
        <w:t xml:space="preserve"> </w:t>
      </w:r>
      <w:r>
        <w:t xml:space="preserve">Volontariato e impegno civico Partecipazione ad attività gratuite e di comunità.</w:t>
      </w:r>
      <w:r>
        <w:t xml:space="preserve"> </w:t>
      </w:r>
      <w:r>
        <w:t xml:space="preserve">Reti di sostegno sociale Disponibilità di aiuto materiale ed emotivo.</w:t>
      </w:r>
      <w:r>
        <w:t xml:space="preserve"> </w:t>
      </w:r>
      <w:r>
        <w:t xml:space="preserve">6. Benessere e qualità della vita (multidimensionale)</w:t>
      </w:r>
      <w:r>
        <w:t xml:space="preserve"> </w:t>
      </w:r>
      <w:r>
        <w:t xml:space="preserve">Sistemi che integrano molte dimensioni in una lettura complessiva del benessere di una</w:t>
      </w:r>
      <w:r>
        <w:t xml:space="preserve"> </w:t>
      </w:r>
      <w:r>
        <w:t xml:space="preserve">popolazione.33</w:t>
      </w:r>
      <w:r>
        <w:t xml:space="preserve"> </w:t>
      </w:r>
      <w:r>
        <w:t xml:space="preserve">Variabile complessa Variabili intrecciate che unifica</w:t>
      </w:r>
      <w:r>
        <w:t xml:space="preserve"> </w:t>
      </w:r>
      <w:r>
        <w:t xml:space="preserve">BES (Benessere Equo e</w:t>
      </w:r>
      <w:r>
        <w:t xml:space="preserve"> </w:t>
      </w:r>
      <w:r>
        <w:t xml:space="preserve">Sostenibile)</w:t>
      </w:r>
      <w:r>
        <w:t xml:space="preserve"> </w:t>
      </w:r>
      <w:r>
        <w:t xml:space="preserve">Dodici domini del benessere, con indici compositi (ISTAT).</w:t>
      </w:r>
      <w:r>
        <w:t xml:space="preserve"> </w:t>
      </w:r>
      <w:r>
        <w:t xml:space="preserve">OECD Better Life Index Undici dimensioni della vita (reddito, salute, lavoro, relazioni…).</w:t>
      </w:r>
      <w:r>
        <w:t xml:space="preserve"> </w:t>
      </w:r>
      <w:r>
        <w:t xml:space="preserve">Indice di sviluppo umano (HDI) Salute + istruzione + reddito.</w:t>
      </w:r>
      <w:r>
        <w:t xml:space="preserve"> </w:t>
      </w:r>
      <w:r>
        <w:t xml:space="preserve">Social Progress Index Bisogni di base + fondamenti del benessere + opportunità.</w:t>
      </w:r>
      <w:r>
        <w:t xml:space="preserve"> </w:t>
      </w:r>
      <w:r>
        <w:t xml:space="preserve">World Happiness (benessere</w:t>
      </w:r>
      <w:r>
        <w:t xml:space="preserve"> </w:t>
      </w:r>
      <w:r>
        <w:t xml:space="preserve">soggettivo)</w:t>
      </w:r>
      <w:r>
        <w:t xml:space="preserve"> </w:t>
      </w:r>
      <w:r>
        <w:t xml:space="preserve">Soddisfazione di vita + reddito, sostegno, libertà, salute.</w:t>
      </w:r>
      <w:r>
        <w:t xml:space="preserve"> </w:t>
      </w:r>
      <w:r>
        <w:t xml:space="preserve">Indice di qualità della vita</w:t>
      </w:r>
      <w:r>
        <w:t xml:space="preserve"> </w:t>
      </w:r>
      <w:r>
        <w:t xml:space="preserve">territoriale</w:t>
      </w:r>
      <w:r>
        <w:t xml:space="preserve"> </w:t>
      </w:r>
      <w:r>
        <w:t xml:space="preserve">Più indicatori per province e città (ambiente, servizi, reddito…).</w:t>
      </w:r>
      <w:r>
        <w:t xml:space="preserve"> </w:t>
      </w:r>
      <w:r>
        <w:t xml:space="preserve">7. Sicurezza, giustizia e legalità</w:t>
      </w:r>
      <w:r>
        <w:t xml:space="preserve"> </w:t>
      </w:r>
      <w:r>
        <w:t xml:space="preserve">Variabile complessa Variabili intrecciate che unifica</w:t>
      </w:r>
      <w:r>
        <w:t xml:space="preserve"> </w:t>
      </w:r>
      <w:r>
        <w:t xml:space="preserve">Indice di criminalità e</w:t>
      </w:r>
      <w:r>
        <w:t xml:space="preserve"> </w:t>
      </w:r>
      <w:r>
        <w:t xml:space="preserve">vittimizzazione</w:t>
      </w:r>
      <w:r>
        <w:t xml:space="preserve"> </w:t>
      </w:r>
      <w:r>
        <w:t xml:space="preserve">Più tipologie di reato e reati subiti.</w:t>
      </w:r>
      <w:r>
        <w:t xml:space="preserve"> </w:t>
      </w:r>
      <w:r>
        <w:t xml:space="preserve">Rule of Law Index (World Justice</w:t>
      </w:r>
      <w:r>
        <w:t xml:space="preserve"> </w:t>
      </w:r>
      <w:r>
        <w:t xml:space="preserve">Project)</w:t>
      </w:r>
      <w:r>
        <w:t xml:space="preserve"> </w:t>
      </w:r>
      <w:r>
        <w:t xml:space="preserve">Otto fattori dello stato di diritto.</w:t>
      </w:r>
      <w:r>
        <w:t xml:space="preserve"> </w:t>
      </w:r>
      <w:r>
        <w:t xml:space="preserve">Indice di sicurezza percepita Percezione del rischio e senso di sicurezza.</w:t>
      </w:r>
      <w:r>
        <w:t xml:space="preserve"> </w:t>
      </w:r>
      <w:r>
        <w:t xml:space="preserve">Indice di violenza di genere Più forme di violenza intercettate e denunciate.</w:t>
      </w:r>
      <w:r>
        <w:t xml:space="preserve"> </w:t>
      </w:r>
      <w:r>
        <w:t xml:space="preserve">Indici del sistema penale Sovraffollamento, recidiva, durata dei procedimenti.</w:t>
      </w:r>
      <w:r>
        <w:t xml:space="preserve"> </w:t>
      </w:r>
      <w:r>
        <w:t xml:space="preserve">Indice di legalità Più dimensioni di rispetto delle regole e contrasto all’illegalità.</w:t>
      </w:r>
      <w:r>
        <w:t xml:space="preserve"> </w:t>
      </w:r>
      <w:r>
        <w:t xml:space="preserve">8. Politica, istituzioni e governance</w:t>
      </w:r>
      <w:r>
        <w:t xml:space="preserve"> </w:t>
      </w:r>
      <w:r>
        <w:t xml:space="preserve">Indici che riassumono la qualità delle istituzioni e della regolazione.34</w:t>
      </w:r>
      <w:r>
        <w:t xml:space="preserve"> </w:t>
      </w:r>
      <w:r>
        <w:t xml:space="preserve">33Benessere Equo e Sostenibile (BES), ISTAT e CNEL: 129 indicatori articolati in 12 domini</w:t>
      </w:r>
      <w:r>
        <w:t xml:space="preserve"> </w:t>
      </w:r>
      <w:r>
        <w:t xml:space="preserve">(salute; istruzione e formazione; lavoro e conciliazione dei tempi di vita; benessere</w:t>
      </w:r>
      <w:r>
        <w:t xml:space="preserve"> </w:t>
      </w:r>
      <w:r>
        <w:t xml:space="preserve">economico; relazioni sociali; politica e istituzioni; sicurezza; benessere soggettivo;</w:t>
      </w:r>
      <w:r>
        <w:t xml:space="preserve"> </w:t>
      </w:r>
      <w:r>
        <w:t xml:space="preserve">paesaggio e patrimonio culturale; ambiente; innovazione, ricerca e creatività; qualità dei</w:t>
      </w:r>
      <w:r>
        <w:t xml:space="preserve"> </w:t>
      </w:r>
      <w:r>
        <w:t xml:space="preserve">servizi), con indici compositi per dominio. Con la legge n. 163/2016 di riforma del bilancio, 12</w:t>
      </w:r>
      <w:r>
        <w:t xml:space="preserve"> </w:t>
      </w:r>
      <w:r>
        <w:t xml:space="preserve">indicatori BES sono allegati al Documento di economia e finanza e monitorati dal MEF:</w:t>
      </w:r>
      <w:r>
        <w:t xml:space="preserve"> </w:t>
      </w:r>
      <w:r>
        <w:t xml:space="preserve">l’Italia è il primo Paese a collegare gli indicatori di benessere alla programmazione di</w:t>
      </w:r>
      <w:r>
        <w:t xml:space="preserve"> </w:t>
      </w:r>
      <w:r>
        <w:t xml:space="preserve">bilancio.</w:t>
      </w:r>
      <w:r>
        <w:t xml:space="preserve"> </w:t>
      </w:r>
      <w:r>
        <w:t xml:space="preserve">34Esempi di indicatori compositi consolidati, in parte sottoposti ad audit dal JRC: Global</w:t>
      </w:r>
      <w:r>
        <w:t xml:space="preserve"> </w:t>
      </w:r>
      <w:r>
        <w:t xml:space="preserve">Innovation Index, Global Competitiveness Index, Corruption Perceptions Index,</w:t>
      </w:r>
      <w:r>
        <w:t xml:space="preserve"> </w:t>
      </w:r>
      <w:r>
        <w:t xml:space="preserve">Environmental Performance Index, strumento di valutazione della povertà</w:t>
      </w:r>
      <w:r>
        <w:t xml:space="preserve"> </w:t>
      </w:r>
      <w:r>
        <w:t xml:space="preserve">multidimensionale; a riprova che l’integrazione di più variabili in un indice è prassi</w:t>
      </w:r>
      <w:r>
        <w:t xml:space="preserve"> </w:t>
      </w:r>
      <w:r>
        <w:t xml:space="preserve">metodologica riconosciuta in ogni disciplina.</w:t>
      </w:r>
      <w:r>
        <w:t xml:space="preserve"> </w:t>
      </w:r>
      <w:r>
        <w:t xml:space="preserve">96Psicologo di Base · Metodologia apicale e registro unificato delle variabili</w:t>
      </w:r>
      <w:r>
        <w:t xml:space="preserve"> </w:t>
      </w:r>
      <w:r>
        <w:t xml:space="preserve">Variabile complessa Variabili intrecciate che unifica</w:t>
      </w:r>
      <w:r>
        <w:t xml:space="preserve"> </w:t>
      </w:r>
      <w:r>
        <w:t xml:space="preserve">Worldwide Governance Indicators Voce, stabilità, efficacia, qualità regolatoria, stato di diritto,</w:t>
      </w:r>
      <w:r>
        <w:t xml:space="preserve"> </w:t>
      </w:r>
      <w:r>
        <w:t xml:space="preserve">controllo della corruzione.</w:t>
      </w:r>
      <w:r>
        <w:t xml:space="preserve"> </w:t>
      </w:r>
      <w:r>
        <w:t xml:space="preserve">Indice di qualità della regolazione</w:t>
      </w:r>
      <w:r>
        <w:t xml:space="preserve"> </w:t>
      </w:r>
      <w:r>
        <w:t xml:space="preserve">(OECD iREG)</w:t>
      </w:r>
      <w:r>
        <w:t xml:space="preserve"> </w:t>
      </w:r>
      <w:r>
        <w:t xml:space="preserve">Pratiche di AIR, VIR e consultazione.</w:t>
      </w:r>
      <w:r>
        <w:t xml:space="preserve"> </w:t>
      </w:r>
      <w:r>
        <w:t xml:space="preserve">Corruption Perceptions Index Più fonti sulla corruzione percepita.</w:t>
      </w:r>
      <w:r>
        <w:t xml:space="preserve"> </w:t>
      </w:r>
      <w:r>
        <w:t xml:space="preserve">Indici AIR e VIR Criteri ponderati di impatto della regolazione (ex ante ed ex</w:t>
      </w:r>
      <w:r>
        <w:t xml:space="preserve"> </w:t>
      </w:r>
      <w:r>
        <w:t xml:space="preserve">post).</w:t>
      </w:r>
      <w:r>
        <w:t xml:space="preserve"> </w:t>
      </w:r>
      <w:r>
        <w:t xml:space="preserve">Analisi multicriterio (MCDA) Più criteri eterogenei, ponderati e aggregati.</w:t>
      </w:r>
      <w:r>
        <w:t xml:space="preserve"> </w:t>
      </w:r>
      <w:r>
        <w:t xml:space="preserve">Fiducia nelle istituzioni Fiducia in più enti pubblici.</w:t>
      </w:r>
      <w:r>
        <w:t xml:space="preserve"> </w:t>
      </w:r>
      <w:r>
        <w:t xml:space="preserve">9. Innovazione, ricerca e competitività</w:t>
      </w:r>
      <w:r>
        <w:t xml:space="preserve"> </w:t>
      </w:r>
      <w:r>
        <w:t xml:space="preserve">Variabile complessa Variabili intrecciate che unifica</w:t>
      </w:r>
      <w:r>
        <w:t xml:space="preserve"> </w:t>
      </w:r>
      <w:r>
        <w:t xml:space="preserve">Global Innovation Index Input e output dell’innovazione (capitale umano, ricerca, output</w:t>
      </w:r>
      <w:r>
        <w:t xml:space="preserve"> </w:t>
      </w:r>
      <w:r>
        <w:t xml:space="preserve">creativi).</w:t>
      </w:r>
      <w:r>
        <w:t xml:space="preserve"> </w:t>
      </w:r>
      <w:r>
        <w:t xml:space="preserve">European Innovation Scoreboard Più dimensioni dei sistemi di innovazione.</w:t>
      </w:r>
      <w:r>
        <w:t xml:space="preserve"> </w:t>
      </w:r>
      <w:r>
        <w:t xml:space="preserve">Intensità di ricerca e sviluppo Spesa in R&amp;S su PIL, personale di ricerca.</w:t>
      </w:r>
      <w:r>
        <w:t xml:space="preserve"> </w:t>
      </w:r>
      <w:r>
        <w:t xml:space="preserve">Indice di competitività regionale</w:t>
      </w:r>
      <w:r>
        <w:t xml:space="preserve"> </w:t>
      </w:r>
      <w:r>
        <w:t xml:space="preserve">(RCI)</w:t>
      </w:r>
      <w:r>
        <w:t xml:space="preserve"> </w:t>
      </w:r>
      <w:r>
        <w:t xml:space="preserve">Istituzioni, infrastrutture, innovazione, mercati.</w:t>
      </w:r>
      <w:r>
        <w:t xml:space="preserve"> </w:t>
      </w:r>
      <w:r>
        <w:t xml:space="preserve">Indice di trasferimento tecnologico Brevetti, collaborazioni, spin-off.</w:t>
      </w:r>
      <w:r>
        <w:t xml:space="preserve"> </w:t>
      </w:r>
      <w:r>
        <w:t xml:space="preserve">10. Tecnologia e digitale</w:t>
      </w:r>
      <w:r>
        <w:t xml:space="preserve"> </w:t>
      </w:r>
      <w:r>
        <w:t xml:space="preserve">Variabile complessa Variabili intrecciate che unifica</w:t>
      </w:r>
      <w:r>
        <w:t xml:space="preserve"> </w:t>
      </w:r>
      <w:r>
        <w:t xml:space="preserve">DESI (Digital Economy and Society</w:t>
      </w:r>
      <w:r>
        <w:t xml:space="preserve"> </w:t>
      </w:r>
      <w:r>
        <w:t xml:space="preserve">Index)</w:t>
      </w:r>
      <w:r>
        <w:t xml:space="preserve"> </w:t>
      </w:r>
      <w:r>
        <w:t xml:space="preserve">Connettività + competenze digitali + tecnologie + servizi</w:t>
      </w:r>
      <w:r>
        <w:t xml:space="preserve"> </w:t>
      </w:r>
      <w:r>
        <w:t xml:space="preserve">pubblici digitali.</w:t>
      </w:r>
      <w:r>
        <w:t xml:space="preserve"> </w:t>
      </w:r>
      <w:r>
        <w:t xml:space="preserve">Indice di maturità digitale Infrastrutture, competenze, processi, governance digitale.</w:t>
      </w:r>
      <w:r>
        <w:t xml:space="preserve"> </w:t>
      </w:r>
      <w:r>
        <w:t xml:space="preserve">Divario digitale Accesso + competenze + uso effettivo.</w:t>
      </w:r>
      <w:r>
        <w:t xml:space="preserve"> </w:t>
      </w:r>
      <w:r>
        <w:t xml:space="preserve">Indice di e-government Servizi online, partecipazione, infrastruttura.</w:t>
      </w:r>
      <w:r>
        <w:t xml:space="preserve"> </w:t>
      </w:r>
      <w:r>
        <w:t xml:space="preserve">Indice di alfabetizzazione digitale Più competenze digitali di base e avanzate.</w:t>
      </w:r>
      <w:r>
        <w:t xml:space="preserve"> </w:t>
      </w:r>
      <w:r>
        <w:t xml:space="preserve">11. Ambiente e sostenibilità</w:t>
      </w:r>
      <w:r>
        <w:t xml:space="preserve"> </w:t>
      </w:r>
      <w:r>
        <w:t xml:space="preserve">Variabile complessa Variabili intrecciate che unifica</w:t>
      </w:r>
      <w:r>
        <w:t xml:space="preserve"> </w:t>
      </w:r>
      <w:r>
        <w:t xml:space="preserve">SDG Index (sviluppo sostenibile) I diciassette obiettivi di sviluppo sostenibile.</w:t>
      </w:r>
      <w:r>
        <w:t xml:space="preserve"> </w:t>
      </w:r>
      <w:r>
        <w:t xml:space="preserve">Environmental Performance Index Più indicatori di salute ambientale e vitalità degli ecosistemi.</w:t>
      </w:r>
      <w:r>
        <w:t xml:space="preserve"> </w:t>
      </w:r>
      <w:r>
        <w:t xml:space="preserve">Impronta ecologica Consumo di risorse rispetto alla biocapacità.</w:t>
      </w:r>
      <w:r>
        <w:t xml:space="preserve"> </w:t>
      </w:r>
      <w:r>
        <w:t xml:space="preserve">Indice di qualità dell’aria Più inquinanti combinati in un punteggio.</w:t>
      </w:r>
      <w:r>
        <w:t xml:space="preserve"> </w:t>
      </w:r>
      <w:r>
        <w:t xml:space="preserve">Indice di sostenibilità del</w:t>
      </w:r>
      <w:r>
        <w:t xml:space="preserve"> </w:t>
      </w:r>
      <w:r>
        <w:t xml:space="preserve">benessere</w:t>
      </w:r>
      <w:r>
        <w:t xml:space="preserve"> </w:t>
      </w:r>
      <w:r>
        <w:t xml:space="preserve">Dimensioni ambientali del benessere (BES ambiente).</w:t>
      </w:r>
      <w:r>
        <w:t xml:space="preserve"> </w:t>
      </w:r>
      <w:r>
        <w:t xml:space="preserve">97Psicologo di Base · Metodologia apicale e registro unificato delle variabili</w:t>
      </w:r>
      <w:r>
        <w:t xml:space="preserve"> </w:t>
      </w:r>
      <w:r>
        <w:t xml:space="preserve">12. Organizzazione, management e performance pubblica</w:t>
      </w:r>
      <w:r>
        <w:t xml:space="preserve"> </w:t>
      </w:r>
      <w:r>
        <w:t xml:space="preserve">Variabile complessa Variabili intrecciate che unifica</w:t>
      </w:r>
      <w:r>
        <w:t xml:space="preserve"> </w:t>
      </w:r>
      <w:r>
        <w:t xml:space="preserve">Balanced Scorecard Prospettiva finanziaria + clienti + processi + apprendimento.</w:t>
      </w:r>
      <w:r>
        <w:t xml:space="preserve"> </w:t>
      </w:r>
      <w:r>
        <w:t xml:space="preserve">Value for money (le tre E) Economicità + efficienza + efficacia.</w:t>
      </w:r>
      <w:r>
        <w:t xml:space="preserve"> </w:t>
      </w:r>
      <w:r>
        <w:t xml:space="preserve">Indice di salute organizzativa Clima, benessere, impegno, efficacia organizzativa.</w:t>
      </w:r>
      <w:r>
        <w:t xml:space="preserve"> </w:t>
      </w:r>
      <w:r>
        <w:t xml:space="preserve">Modelli di maturità Più dimensioni del grado di sviluppo di un processo.</w:t>
      </w:r>
      <w:r>
        <w:t xml:space="preserve"> </w:t>
      </w:r>
      <w:r>
        <w:t xml:space="preserve">Indici di performance della PA Più indicatori di efficienza, qualità ed esito dei servizi.</w:t>
      </w:r>
      <w:r>
        <w:t xml:space="preserve"> </w:t>
      </w:r>
      <w:r>
        <w:t xml:space="preserve">Indice di soddisfazione dell’utenza Più dimensioni dell’esperienza del cittadino.</w:t>
      </w:r>
      <w:r>
        <w:t xml:space="preserve"> </w:t>
      </w:r>
      <w:r>
        <w:t xml:space="preserve">13. Demografia e salute di popolazione</w:t>
      </w:r>
      <w:r>
        <w:t xml:space="preserve"> </w:t>
      </w:r>
      <w:r>
        <w:t xml:space="preserve">Variabile complessa Variabili intrecciate che unifica</w:t>
      </w:r>
      <w:r>
        <w:t xml:space="preserve"> </w:t>
      </w:r>
      <w:r>
        <w:t xml:space="preserve">Speranza di vita in buona salute</w:t>
      </w:r>
      <w:r>
        <w:t xml:space="preserve"> </w:t>
      </w:r>
      <w:r>
        <w:t xml:space="preserve">(HALE)</w:t>
      </w:r>
      <w:r>
        <w:t xml:space="preserve"> </w:t>
      </w:r>
      <w:r>
        <w:t xml:space="preserve">Mortalità + morbilità/disabilità di popolazione.</w:t>
      </w:r>
      <w:r>
        <w:t xml:space="preserve"> </w:t>
      </w:r>
      <w:r>
        <w:t xml:space="preserve">Carico globale di malattia (DALY di</w:t>
      </w:r>
      <w:r>
        <w:t xml:space="preserve"> </w:t>
      </w:r>
      <w:r>
        <w:t xml:space="preserve">popolazione)</w:t>
      </w:r>
      <w:r>
        <w:t xml:space="preserve"> </w:t>
      </w:r>
      <w:r>
        <w:t xml:space="preserve">Anni persi per mortalità + per disabilità.</w:t>
      </w:r>
      <w:r>
        <w:t xml:space="preserve"> </w:t>
      </w:r>
      <w:r>
        <w:t xml:space="preserve">Indice di vecchiaia e di dipendenza Struttura per età della popolazione.</w:t>
      </w:r>
      <w:r>
        <w:t xml:space="preserve"> </w:t>
      </w:r>
      <w:r>
        <w:t xml:space="preserve">Tasso di mortalità evitabile Mortalità prevenibile + trattabile.</w:t>
      </w:r>
      <w:r>
        <w:t xml:space="preserve"> </w:t>
      </w:r>
      <w:r>
        <w:t xml:space="preserve">Indice di stato di salute della</w:t>
      </w:r>
      <w:r>
        <w:t xml:space="preserve"> </w:t>
      </w:r>
      <w:r>
        <w:t xml:space="preserve">popolazione</w:t>
      </w:r>
      <w:r>
        <w:t xml:space="preserve"> </w:t>
      </w:r>
      <w:r>
        <w:t xml:space="preserve">Più indicatori di salute e determinanti.</w:t>
      </w:r>
      <w:r>
        <w:t xml:space="preserve"> </w:t>
      </w:r>
      <w:r>
        <w:t xml:space="preserve">14. Etica, diritti e valutazione integrata</w:t>
      </w:r>
      <w:r>
        <w:t xml:space="preserve"> </w:t>
      </w:r>
      <w:r>
        <w:t xml:space="preserve">Variabile complessa Variabili intrecciate che unifica</w:t>
      </w:r>
      <w:r>
        <w:t xml:space="preserve"> </w:t>
      </w:r>
      <w:r>
        <w:t xml:space="preserve">Valutazione d’impatto integrata Impatto su salute, sociale, ambiente ed equità insieme.</w:t>
      </w:r>
      <w:r>
        <w:t xml:space="preserve"> </w:t>
      </w:r>
      <w:r>
        <w:t xml:space="preserve">Salute (mentale) in tutte le politiche Effetti sulla salute mentale di politiche di ogni settore.</w:t>
      </w:r>
      <w:r>
        <w:t xml:space="preserve"> </w:t>
      </w:r>
      <w:r>
        <w:t xml:space="preserve">Framework etico composito Beneficenza, non maleficenza, autonomia, giustizia.</w:t>
      </w:r>
      <w:r>
        <w:t xml:space="preserve"> </w:t>
      </w:r>
      <w:r>
        <w:t xml:space="preserve">Valutazione d’impatto sui diritti Effetti su più diritti fondamentali.</w:t>
      </w:r>
      <w:r>
        <w:t xml:space="preserve"> </w:t>
      </w:r>
      <w:r>
        <w:t xml:space="preserve">Valutazione d’impatto sull’equità Effetti distribuiti tra gruppi vulnerabili.</w:t>
      </w:r>
      <w:r>
        <w:t xml:space="preserve"> </w:t>
      </w:r>
      <w:r>
        <w:t xml:space="preserve">Totale: 83 variabili complesse multidisciplinari, in 14 ambiti, oltre ai 12 domini del BES. Sono</w:t>
      </w:r>
      <w:r>
        <w:t xml:space="preserve"> </w:t>
      </w:r>
      <w:r>
        <w:t xml:space="preserve">indici e costrutti realmente esistenti e consolidati: integrano molte variabili in misure di sintesi, in ogni</w:t>
      </w:r>
      <w:r>
        <w:t xml:space="preserve"> </w:t>
      </w:r>
      <w:r>
        <w:t xml:space="preserve">disciplina toccata dal progetto. Costituiscono il livello più alto di sintesi del registro, e il loro impiego</w:t>
      </w:r>
      <w:r>
        <w:t xml:space="preserve"> </w:t>
      </w:r>
      <w:r>
        <w:t xml:space="preserve">corretto consiste nel selezionare, per ciascun ambito rilevante, le poche misure più adatte alla</w:t>
      </w:r>
      <w:r>
        <w:t xml:space="preserve"> </w:t>
      </w:r>
      <w:r>
        <w:t xml:space="preserve">valutazione della riforma.</w:t>
      </w:r>
      <w:r>
        <w:t xml:space="preserve"> </w:t>
      </w:r>
      <w:r>
        <w:t xml:space="preserve">98</w:t>
      </w:r>
    </w:p>
    <w:p>
      <w:r>
        <w:br w:type="page"/>
      </w:r>
    </w:p>
    <w:bookmarkEnd w:id="2657"/>
    <w:bookmarkStart w:id="2658" w:name="Xee112daa3b5a2a1cea70f7a6b41cb24854a4ebe"/>
    <w:p>
      <w:pPr>
        <w:pStyle w:val="Heading1"/>
      </w:pPr>
      <w:r>
        <w:t xml:space="preserve">Appendice XXXII — La valutazione dei costi-benefici e l’impatto di bilancio della riforma: quadro riepilogativo</w:t>
      </w:r>
    </w:p>
    <w:p>
      <w:pPr>
        <w:pStyle w:val="FirstParagraph"/>
      </w:pPr>
      <w:r>
        <w:t xml:space="preserve">Dossier di ricerca</w:t>
      </w:r>
      <w:r>
        <w:t xml:space="preserve"> </w:t>
      </w:r>
      <w:r>
        <w:t xml:space="preserve">metodologica — Capitolo per</w:t>
      </w:r>
      <w:r>
        <w:t xml:space="preserve"> </w:t>
      </w:r>
      <w:r>
        <w:t xml:space="preserve">la valutazione costi-benefici e</w:t>
      </w:r>
      <w:r>
        <w:t xml:space="preserve"> </w:t>
      </w:r>
      <w:r>
        <w:t xml:space="preserve">impatto di bilancio della</w:t>
      </w:r>
      <w:r>
        <w:t xml:space="preserve"> </w:t>
      </w:r>
      <w:r>
        <w:t xml:space="preserve">riforma”Psicologo di Base”</w:t>
      </w:r>
      <w:r>
        <w:t xml:space="preserve"> </w:t>
      </w:r>
      <w:r>
        <w:t xml:space="preserve">TL;DR</w:t>
      </w:r>
      <w:r>
        <w:t xml:space="preserve"> </w:t>
      </w:r>
      <w:r>
        <w:t xml:space="preserve">Le dieci metodologie richieste sono tutte</w:t>
      </w:r>
      <w:r>
        <w:t xml:space="preserve"> </w:t>
      </w:r>
      <w:r>
        <w:t xml:space="preserve">documentate con fonti primarie autorevoli,</w:t>
      </w:r>
      <w:r>
        <w:t xml:space="preserve"> </w:t>
      </w:r>
      <w:r>
        <w:t xml:space="preserve">parametri tecnici, formule e casi applicativi alla</w:t>
      </w:r>
      <w:r>
        <w:t xml:space="preserve"> </w:t>
      </w:r>
      <w:r>
        <w:t xml:space="preserve">salute mentale nelle cure primarie; l’impianto</w:t>
      </w:r>
      <w:r>
        <w:t xml:space="preserve"> </w:t>
      </w:r>
      <w:r>
        <w:t xml:space="preserve">regge come catena completa dall’appraisal</w:t>
      </w:r>
      <w:r>
        <w:t xml:space="preserve"> </w:t>
      </w:r>
      <w:r>
        <w:t xml:space="preserve">dell’investimento pubblico all’impatto di bilancio</w:t>
      </w:r>
      <w:r>
        <w:t xml:space="preserve"> </w:t>
      </w:r>
      <w:r>
        <w:t xml:space="preserve">finale, con ROI e SROI.</w:t>
      </w:r>
      <w:r>
        <w:t xml:space="preserve"> </w:t>
      </w:r>
      <w:r>
        <w:t xml:space="preserve">L’evidenza specifica della riforma (Solano,</w:t>
      </w:r>
      <w:r>
        <w:t xml:space="preserve"> </w:t>
      </w:r>
      <w:r>
        <w:t xml:space="preserve">IAPT/NHS Talking Therapies, collaborative</w:t>
      </w:r>
      <w:r>
        <w:t xml:space="preserve"> </w:t>
      </w:r>
      <w:r>
        <w:t xml:space="preserve">care/IMPACT, WHO/Chisholm con ritorno di 4</w:t>
      </w:r>
      <w:r>
        <w:t xml:space="preserve"> </w:t>
      </w:r>
      <w:r>
        <w:t xml:space="preserve">dollari per 1 investito, costo dei disturbi mentali</w:t>
      </w:r>
      <w:r>
        <w:t xml:space="preserve"> </w:t>
      </w:r>
      <w:r>
        <w:t xml:space="preserve">oltre 4% del PIL europeo) converge nel</w:t>
      </w:r>
      <w:r>
        <w:t xml:space="preserve"> </w:t>
      </w:r>
      <w:r>
        <w:t xml:space="preserve">sostenere un caso economico favorevole, ma</w:t>
      </w:r>
      <w:r>
        <w:t xml:space="preserve"> </w:t>
      </w:r>
      <w:r>
        <w:t xml:space="preserve">con cautele su trasferibilità e significatività</w:t>
      </w:r>
      <w:r>
        <w:t xml:space="preserve"> </w:t>
      </w:r>
      <w:r>
        <w:t xml:space="preserve">statistica.Lo standard trasversale CHEERS 2022 (28 item)</w:t>
      </w:r>
      <w:r>
        <w:t xml:space="preserve"> </w:t>
      </w:r>
      <w:r>
        <w:t xml:space="preserve">e CHEERS-AI (2024) garantisce la qualità di</w:t>
      </w:r>
      <w:r>
        <w:t xml:space="preserve"> </w:t>
      </w:r>
      <w:r>
        <w:t xml:space="preserve">reporting; per la componente IA si applicano</w:t>
      </w:r>
      <w:r>
        <w:t xml:space="preserve"> </w:t>
      </w:r>
      <w:r>
        <w:t xml:space="preserve">HTA, EU AI Act (Reg. UE 2024/1689) e GDPR.</w:t>
      </w:r>
      <w:r>
        <w:t xml:space="preserve"> </w:t>
      </w:r>
      <w:r>
        <w:t xml:space="preserve">Key Findings</w:t>
      </w:r>
      <w:r>
        <w:t xml:space="preserve"> </w:t>
      </w:r>
      <w:r>
        <w:t xml:space="preserve">1. Analisi Costi-Benefici sociale (ACB/CBA)</w:t>
      </w:r>
      <w:r>
        <w:t xml:space="preserve"> </w:t>
      </w:r>
      <w:r>
        <w:t xml:space="preserve">Fonte primaria: European Commission,</w:t>
      </w:r>
      <w:r>
        <w:t xml:space="preserve"> </w:t>
      </w:r>
      <w:r>
        <w:t xml:space="preserve">“</w:t>
      </w:r>
      <w:r>
        <w:t xml:space="preserve">Guide to</w:t>
      </w:r>
      <w:r>
        <w:t xml:space="preserve"> </w:t>
      </w:r>
      <w:r>
        <w:t xml:space="preserve">Cost-Benefit Analysis of Investment Projects</w:t>
      </w:r>
      <w:r>
        <w:t xml:space="preserve">”</w:t>
      </w:r>
      <w:r>
        <w:t xml:space="preserve"> </w:t>
      </w:r>
      <w:r>
        <w:t xml:space="preserve">(edizione 2014, pubblicata 2015, Publications</w:t>
      </w:r>
      <w:r>
        <w:t xml:space="preserve"> </w:t>
      </w:r>
      <w:r>
        <w:t xml:space="preserve">Office). Autore capofila Davide Sartori (CSIL);</w:t>
      </w:r>
      <w:r>
        <w:t xml:space="preserve"> </w:t>
      </w:r>
      <w:r>
        <w:t xml:space="preserve">coordinamento scientifico del panel accademico</w:t>
      </w:r>
      <w:r>
        <w:t xml:space="preserve"> </w:t>
      </w:r>
      <w:r>
        <w:t xml:space="preserve">Massimo Florio (Università degli Studi di Milano),</w:t>
      </w:r>
      <w:r>
        <w:t xml:space="preserve"> </w:t>
      </w:r>
      <w:r>
        <w:t xml:space="preserve">con Per-Olov Johansson, Susana Mourato, Arnold</w:t>
      </w:r>
      <w:r>
        <w:t xml:space="preserve"> </w:t>
      </w:r>
      <w:r>
        <w:t xml:space="preserve">Picot, Mateu Turró. Florio ha coordinato la Guida</w:t>
      </w:r>
      <w:r>
        <w:t xml:space="preserve"> </w:t>
      </w:r>
      <w:r>
        <w:t xml:space="preserve">per oltre 20 anni. Massimoflorio Base giuridica:</w:t>
      </w:r>
      <w:r>
        <w:t xml:space="preserve"> </w:t>
      </w:r>
      <w:r>
        <w:t xml:space="preserve">Implementing Regulation (EU) 207/2015 (metodo del</w:t>
      </w:r>
      <w:r>
        <w:t xml:space="preserve"> </w:t>
      </w:r>
      <w:r>
        <w:t xml:space="preserve">funding gap / pro-rata dei ricavi netti attualizzati).</w:t>
      </w:r>
      <w:r>
        <w:t xml:space="preserve"> </w:t>
      </w:r>
      <w:r>
        <w:t xml:space="preserve">Successore:</w:t>
      </w:r>
      <w:r>
        <w:t xml:space="preserve"> </w:t>
      </w:r>
      <w:r>
        <w:t xml:space="preserve">“</w:t>
      </w:r>
      <w:r>
        <w:t xml:space="preserve">Economic Appraisal Vademecum 2021-</w:t>
      </w:r>
      <w:r>
        <w:t xml:space="preserve"> </w:t>
      </w:r>
      <w:r>
        <w:t xml:space="preserve">2027 — General Principles and Sector Applications</w:t>
      </w:r>
      <w:r>
        <w:t xml:space="preserve">”</w:t>
      </w:r>
      <w:r>
        <w:t xml:space="preserve"> </w:t>
      </w:r>
      <w:r>
        <w:t xml:space="preserve">(DG REGIO con JASPERS), che promuove un</w:t>
      </w:r>
      <w:r>
        <w:t xml:space="preserve"> </w:t>
      </w:r>
      <w:r>
        <w:t xml:space="preserve">approccio più flessibile ai parametri.</w:t>
      </w:r>
      <w:r>
        <w:t xml:space="preserve"> </w:t>
      </w:r>
      <w:r>
        <w:t xml:space="preserve">Distinzione analisi finanziaria vs economica: l’analisi</w:t>
      </w:r>
      <w:r>
        <w:t xml:space="preserve"> </w:t>
      </w:r>
      <w:r>
        <w:t xml:space="preserve">finanziaria usa il Financial Discount Rate</w:t>
      </w:r>
      <w:r>
        <w:t xml:space="preserve"> </w:t>
      </w:r>
      <w:r>
        <w:t xml:space="preserve">(benchmark reale 4% nella Guida 2014; in</w:t>
      </w:r>
      <w:r>
        <w:t xml:space="preserve"> </w:t>
      </w:r>
      <w:r>
        <w:t xml:space="preserve">precedenza 5%) e prezzi di mercato; l’analisieconomica converte i prezzi di mercato in prezzi</w:t>
      </w:r>
      <w:r>
        <w:t xml:space="preserve"> </w:t>
      </w:r>
      <w:r>
        <w:t xml:space="preserve">ombra (shadow prices) tramite fattori di conversione</w:t>
      </w:r>
      <w:r>
        <w:t xml:space="preserve"> </w:t>
      </w:r>
      <w:r>
        <w:t xml:space="preserve">(conversion factors), applica il Social Discount Rate</w:t>
      </w:r>
      <w:r>
        <w:t xml:space="preserve"> </w:t>
      </w:r>
      <w:r>
        <w:t xml:space="preserve">(benchmark 5% per i Paesi di coesione, 3% per gli</w:t>
      </w:r>
      <w:r>
        <w:t xml:space="preserve"> </w:t>
      </w:r>
      <w:r>
        <w:t xml:space="preserve">altri Stati membri; ScienceDirect il Vademecum</w:t>
      </w:r>
      <w:r>
        <w:t xml:space="preserve"> </w:t>
      </w:r>
      <w:r>
        <w:t xml:space="preserve">2021–2027 tende al 3%), e calcola il Social Wage</w:t>
      </w:r>
      <w:r>
        <w:t xml:space="preserve"> </w:t>
      </w:r>
      <w:r>
        <w:t xml:space="preserve">Rate per il costo del lavoro. La willingness-to-pay</w:t>
      </w:r>
      <w:r>
        <w:t xml:space="preserve"> </w:t>
      </w:r>
      <w:r>
        <w:t xml:space="preserve">misura i benefici per i beni non scambiabili.</w:t>
      </w:r>
      <w:r>
        <w:t xml:space="preserve"> </w:t>
      </w:r>
      <w:r>
        <w:t xml:space="preserve">Indicatori: ENPV (Economic Net Present Value, deve</w:t>
      </w:r>
      <w:r>
        <w:t xml:space="preserve"> </w:t>
      </w:r>
      <w:r>
        <w:t xml:space="preserve">essere &gt;0), ERR/EIRR (Economic Rate of Return,</w:t>
      </w:r>
      <w:r>
        <w:t xml:space="preserve"> </w:t>
      </w:r>
      <w:r>
        <w:t xml:space="preserve">deve superare il SDR), B/C ratio (&gt;1), FNPV negativo</w:t>
      </w:r>
      <w:r>
        <w:t xml:space="preserve"> </w:t>
      </w:r>
      <w:r>
        <w:t xml:space="preserve">e FRR inferiore all’FDR per giustificare il contributo</w:t>
      </w:r>
      <w:r>
        <w:t xml:space="preserve"> </w:t>
      </w:r>
      <w:r>
        <w:t xml:space="preserve">UE. Il SDR è stimato col Social Rate of Time</w:t>
      </w:r>
      <w:r>
        <w:t xml:space="preserve"> </w:t>
      </w:r>
      <w:r>
        <w:t xml:space="preserve">Preference via formula di Ramsey. Aviation</w:t>
      </w:r>
      <w:r>
        <w:t xml:space="preserve"> </w:t>
      </w:r>
      <w:r>
        <w:t xml:space="preserve">Intelligence Portal ResearchGate Si includono valore</w:t>
      </w:r>
      <w:r>
        <w:t xml:space="preserve"> </w:t>
      </w:r>
      <w:r>
        <w:t xml:space="preserve">residuo e risk assessment (analisi di sensitività,</w:t>
      </w:r>
      <w:r>
        <w:t xml:space="preserve"> </w:t>
      </w:r>
      <w:r>
        <w:t xml:space="preserve">variabili critiche, analisi di scenario, analisi</w:t>
      </w:r>
      <w:r>
        <w:t xml:space="preserve"> </w:t>
      </w:r>
      <w:r>
        <w:t xml:space="preserve">probabilistica del rischio). La Guida ammette che la</w:t>
      </w:r>
      <w:r>
        <w:t xml:space="preserve"> </w:t>
      </w:r>
      <w:r>
        <w:t xml:space="preserve">CBA è scienza sociale applicata, basata su</w:t>
      </w:r>
      <w:r>
        <w:t xml:space="preserve"> </w:t>
      </w:r>
      <w:r>
        <w:t xml:space="preserve">approssimazioni. Ramiri</w:t>
      </w:r>
      <w:r>
        <w:t xml:space="preserve"> </w:t>
      </w:r>
      <w:r>
        <w:t xml:space="preserve">2. Five Case Model (HM Treasury Green</w:t>
      </w:r>
      <w:r>
        <w:t xml:space="preserve"> </w:t>
      </w:r>
      <w:r>
        <w:t xml:space="preserve">Book 2022)</w:t>
      </w:r>
      <w:r>
        <w:t xml:space="preserve"> </w:t>
      </w:r>
      <w:r>
        <w:t xml:space="preserve">Fonte: HM Treasury,</w:t>
      </w:r>
      <w:r>
        <w:t xml:space="preserve"> </w:t>
      </w:r>
      <w:r>
        <w:t xml:space="preserve">“</w:t>
      </w:r>
      <w:r>
        <w:t xml:space="preserve">The Green Book: Central</w:t>
      </w:r>
      <w:r>
        <w:t xml:space="preserve"> </w:t>
      </w:r>
      <w:r>
        <w:t xml:space="preserve">Government Guidance on Appraisal and Evaluation</w:t>
      </w:r>
      <w:r>
        <w:t xml:space="preserve">”</w:t>
      </w:r>
      <w:r>
        <w:t xml:space="preserve"> </w:t>
      </w:r>
      <w:r>
        <w:t xml:space="preserve">(edizione 2022; aggiornamenti 2018 e successivi).</w:t>
      </w:r>
      <w:r>
        <w:t xml:space="preserve"> </w:t>
      </w:r>
      <w:r>
        <w:t xml:space="preserve">Cinque casi interconnessi: strategico (case for</w:t>
      </w:r>
      <w:r>
        <w:t xml:space="preserve"> </w:t>
      </w:r>
      <w:r>
        <w:t xml:space="preserve">change, rationale, BAU), economico (appraisal dilonglist/shortlist con CBA/CEA sociale, ottimismo,</w:t>
      </w:r>
      <w:r>
        <w:t xml:space="preserve"> </w:t>
      </w:r>
      <w:r>
        <w:t xml:space="preserve">rischio), commerciale, finanziario (affordability),</w:t>
      </w:r>
      <w:r>
        <w:t xml:space="preserve"> </w:t>
      </w:r>
      <w:r>
        <w:t xml:space="preserve">gestionale (deliverability, governance, M&amp;E).</w:t>
      </w:r>
      <w:r>
        <w:t xml:space="preserve"> </w:t>
      </w:r>
      <w:r>
        <w:t xml:space="preserve">Obiettivi SMART (massimo 5–6). Longlist appraisal</w:t>
      </w:r>
      <w:r>
        <w:t xml:space="preserve"> </w:t>
      </w:r>
      <w:r>
        <w:t xml:space="preserve">con Options Framework Filter; shortlist deve sempre</w:t>
      </w:r>
      <w:r>
        <w:t xml:space="preserve"> </w:t>
      </w:r>
      <w:r>
        <w:t xml:space="preserve">includere la</w:t>
      </w:r>
      <w:r>
        <w:t xml:space="preserve"> </w:t>
      </w:r>
      <w:r>
        <w:t xml:space="preserve">“</w:t>
      </w:r>
      <w:r>
        <w:t xml:space="preserve">do minimum</w:t>
      </w:r>
      <w:r>
        <w:t xml:space="preserve">”</w:t>
      </w:r>
      <w:r>
        <w:t xml:space="preserve">/BAU. Optimism bias:</w:t>
      </w:r>
      <w:r>
        <w:t xml:space="preserve"> </w:t>
      </w:r>
      <w:r>
        <w:t xml:space="preserve">aggiustamenti espliciti su costi/benefici/durata con</w:t>
      </w:r>
      <w:r>
        <w:t xml:space="preserve"> </w:t>
      </w:r>
      <w:r>
        <w:t xml:space="preserve">uplift percentuali per categoria di progetto (guida</w:t>
      </w:r>
      <w:r>
        <w:t xml:space="preserve"> </w:t>
      </w:r>
      <w:r>
        <w:t xml:space="preserve">supplementare Mott MacDonald 2002; uplift</w:t>
      </w:r>
      <w:r>
        <w:t xml:space="preserve"> </w:t>
      </w:r>
      <w:r>
        <w:t xml:space="preserve">superiori per progetti non standard), mitigati man</w:t>
      </w:r>
      <w:r>
        <w:t xml:space="preserve"> </w:t>
      </w:r>
      <w:r>
        <w:t xml:space="preserve">mano che il progetto matura attraverso SOC, OBC,</w:t>
      </w:r>
      <w:r>
        <w:t xml:space="preserve"> </w:t>
      </w:r>
      <w:r>
        <w:t xml:space="preserve">FBC. Il Green Book specifica un tasso di sconto</w:t>
      </w:r>
      <w:r>
        <w:t xml:space="preserve"> </w:t>
      </w:r>
      <w:r>
        <w:t xml:space="preserve">sanitario ridotto (1,5% per rischio salute/vita vs 3,5%</w:t>
      </w:r>
      <w:r>
        <w:t xml:space="preserve"> </w:t>
      </w:r>
      <w:r>
        <w:t xml:space="preserve">standard STPR). University of Cambridge Marginal</w:t>
      </w:r>
      <w:r>
        <w:t xml:space="preserve"> </w:t>
      </w:r>
      <w:r>
        <w:t xml:space="preserve">Excess Tax Burden: uplift del 20% sulla spesa</w:t>
      </w:r>
      <w:r>
        <w:t xml:space="preserve"> </w:t>
      </w:r>
      <w:r>
        <w:t xml:space="preserve">pubblica netta (storicamente 30% nel 2003). CRAN</w:t>
      </w:r>
      <w:r>
        <w:t xml:space="preserve"> </w:t>
      </w:r>
      <w:r>
        <w:t xml:space="preserve">Monitoraggio e valutazione devono essere</w:t>
      </w:r>
      <w:r>
        <w:t xml:space="preserve"> </w:t>
      </w:r>
      <w:r>
        <w:t xml:space="preserve">incorporati fin dall’inizio.</w:t>
      </w:r>
      <w:r>
        <w:t xml:space="preserve"> </w:t>
      </w:r>
      <w:r>
        <w:t xml:space="preserve">3. CEA e CUA (NICE)</w:t>
      </w:r>
      <w:r>
        <w:t xml:space="preserve"> </w:t>
      </w:r>
      <w:r>
        <w:t xml:space="preserve">Fonte: NICE,</w:t>
      </w:r>
      <w:r>
        <w:t xml:space="preserve"> </w:t>
      </w:r>
      <w:r>
        <w:t xml:space="preserve">“</w:t>
      </w:r>
      <w:r>
        <w:t xml:space="preserve">NICE health technology evaluations:</w:t>
      </w:r>
      <w:r>
        <w:t xml:space="preserve"> </w:t>
      </w:r>
      <w:r>
        <w:t xml:space="preserve">the manual</w:t>
      </w:r>
      <w:r>
        <w:t xml:space="preserve">”</w:t>
      </w:r>
      <w:r>
        <w:t xml:space="preserve"> </w:t>
      </w:r>
      <w:r>
        <w:t xml:space="preserve">(PMG36, 2022). QALY (Quality-Adjusted</w:t>
      </w:r>
      <w:r>
        <w:t xml:space="preserve"> </w:t>
      </w:r>
      <w:r>
        <w:t xml:space="preserve">Life Year): 0=morte, 1=salute perfetta; si</w:t>
      </w:r>
      <w:r>
        <w:t xml:space="preserve"> </w:t>
      </w:r>
      <w:r>
        <w:t xml:space="preserve">massimizza. DALY (WHO): DALY = YLL + YLD, dove</w:t>
      </w:r>
      <w:r>
        <w:t xml:space="preserve"> </w:t>
      </w:r>
      <w:r>
        <w:t xml:space="preserve">YLL = N × L (morti × aspettativa di vita standard)</w:t>
      </w:r>
      <w:r>
        <w:t xml:space="preserve"> </w:t>
      </w:r>
      <w:r>
        <w:t xml:space="preserve">Fiveable e YLD = I × DW × L (incidenza × disability</w:t>
      </w:r>
      <w:r>
        <w:t xml:space="preserve"> </w:t>
      </w:r>
      <w:r>
        <w:t xml:space="preserve">weight × durata) Ghcearegistry o prevalenza × DW;</w:t>
      </w:r>
      <w:r>
        <w:t xml:space="preserve"> </w:t>
      </w:r>
      <w:r>
        <w:t xml:space="preserve">0=salute perfetta, 1=morte; si minimizza.Ghcearegistry ICER = (Costo_A − Costo_B) /</w:t>
      </w:r>
      <w:r>
        <w:t xml:space="preserve"> </w:t>
      </w:r>
      <w:r>
        <w:t xml:space="preserve">(Effetto_A − Effetto_B). Soglia NICE: storicamente</w:t>
      </w:r>
      <w:r>
        <w:t xml:space="preserve"> </w:t>
      </w:r>
      <w:r>
        <w:t xml:space="preserve">£20.000–30.000 per QALY (MAICER). NICE ha</w:t>
      </w:r>
      <w:r>
        <w:t xml:space="preserve"> </w:t>
      </w:r>
      <w:r>
        <w:t xml:space="preserve">confermato (</w:t>
      </w:r>
      <w:r>
        <w:t xml:space="preserve">“</w:t>
      </w:r>
      <w:r>
        <w:t xml:space="preserve">Changes to NICE’s cost-effectiveness</w:t>
      </w:r>
      <w:r>
        <w:t xml:space="preserve"> </w:t>
      </w:r>
      <w:r>
        <w:t xml:space="preserve">thresholds confirmed</w:t>
      </w:r>
      <w:r>
        <w:t xml:space="preserve">”</w:t>
      </w:r>
      <w:r>
        <w:t xml:space="preserve">) che applicherà nuove soglie</w:t>
      </w:r>
      <w:r>
        <w:t xml:space="preserve"> </w:t>
      </w:r>
      <w:r>
        <w:t xml:space="preserve">di £25.000–35.000/QALY non appena ne avrà il</w:t>
      </w:r>
      <w:r>
        <w:t xml:space="preserve"> </w:t>
      </w:r>
      <w:r>
        <w:t xml:space="preserve">potere a seguito di una modifica regolamentare</w:t>
      </w:r>
      <w:r>
        <w:t xml:space="preserve"> </w:t>
      </w:r>
      <w:r>
        <w:t xml:space="preserve">(decorrenza prevista aprile 2026; prima modifica in</w:t>
      </w:r>
      <w:r>
        <w:t xml:space="preserve"> </w:t>
      </w:r>
      <w:r>
        <w:t xml:space="preserve">circa 20 anni; stima governativa di 3–5</w:t>
      </w:r>
      <w:r>
        <w:t xml:space="preserve"> </w:t>
      </w:r>
      <w:r>
        <w:t xml:space="preserve">farmaci/indicazioni in più raccomandati l’anno).</w:t>
      </w:r>
      <w:r>
        <w:t xml:space="preserve"> </w:t>
      </w:r>
      <w:r>
        <w:t xml:space="preserve">Soglie italiane di riferimento: circa €25.000–40.000</w:t>
      </w:r>
      <w:r>
        <w:t xml:space="preserve"> </w:t>
      </w:r>
      <w:r>
        <w:t xml:space="preserve">per QALY. Net Monetary Benefit = (QALY × soglia) −</w:t>
      </w:r>
      <w:r>
        <w:t xml:space="preserve"> </w:t>
      </w:r>
      <w:r>
        <w:t xml:space="preserve">Costi; Net Health Benefit = QALY − (Costi/soglia).</w:t>
      </w:r>
      <w:r>
        <w:t xml:space="preserve"> </w:t>
      </w:r>
      <w:r>
        <w:t xml:space="preserve">Cost-effectiveness acceptability curve (CEAC) =</w:t>
      </w:r>
      <w:r>
        <w:t xml:space="preserve"> </w:t>
      </w:r>
      <w:r>
        <w:t xml:space="preserve">Pr(k·ΔE − ΔC &gt; 0) in funzione della willingness-topay k. arxiv Reference case NICE definisce</w:t>
      </w:r>
      <w:r>
        <w:t xml:space="preserve"> </w:t>
      </w:r>
      <w:r>
        <w:t xml:space="preserve">prospettiva, orizzonte, attualizzazione. Esempio:</w:t>
      </w:r>
      <w:r>
        <w:t xml:space="preserve"> </w:t>
      </w:r>
      <w:r>
        <w:t xml:space="preserve">prodotto digitale per scompenso cardiaco con ICER</w:t>
      </w:r>
      <w:r>
        <w:t xml:space="preserve"> </w:t>
      </w:r>
      <w:r>
        <w:t xml:space="preserve">£1.000/QALY, ampiamente sotto soglia. GOV.UK</w:t>
      </w:r>
      <w:r>
        <w:t xml:space="preserve"> </w:t>
      </w:r>
      <w:r>
        <w:t xml:space="preserve">4. Health Technology Assessment (HTA)</w:t>
      </w:r>
      <w:r>
        <w:t xml:space="preserve"> </w:t>
      </w:r>
      <w:r>
        <w:t xml:space="preserve">Fonte: EUnetHTA Core Model (HTA Core Model v3.0,</w:t>
      </w:r>
      <w:r>
        <w:t xml:space="preserve"> </w:t>
      </w:r>
      <w:r>
        <w:t xml:space="preserve">2016); Regolamento (UE) 2021/2282 sull’HTA</w:t>
      </w:r>
      <w:r>
        <w:t xml:space="preserve"> </w:t>
      </w:r>
      <w:r>
        <w:t xml:space="preserve">(HTAR), applicazione a fasi da gennaio 2025, con</w:t>
      </w:r>
      <w:r>
        <w:t xml:space="preserve"> </w:t>
      </w:r>
      <w:r>
        <w:t xml:space="preserve">Joint Clinical Assessments (JCA) e Joint Scientific</w:t>
      </w:r>
      <w:r>
        <w:t xml:space="preserve"> </w:t>
      </w:r>
      <w:r>
        <w:t xml:space="preserve">Consultations (JSC). Nove domini: 4 clinici (CUR</w:t>
      </w:r>
      <w:r>
        <w:t xml:space="preserve"> </w:t>
      </w:r>
      <w:r>
        <w:t xml:space="preserve">identificazione problema/tecnologia corrente; TEC</w:t>
      </w:r>
      <w:r>
        <w:t xml:space="preserve"> </w:t>
      </w:r>
      <w:r>
        <w:t xml:space="preserve">caratteristiche tecniche; SAF sicurezza relativa; EFFefficacia clinica relativa) Eupati e 5 non clinici</w:t>
      </w:r>
      <w:r>
        <w:t xml:space="preserve"> </w:t>
      </w:r>
      <w:r>
        <w:t xml:space="preserve">(costi/valutazione economica, etico, organizzativo,</w:t>
      </w:r>
      <w:r>
        <w:t xml:space="preserve"> </w:t>
      </w:r>
      <w:r>
        <w:t xml:space="preserve">sociale, legale). I 4 domini clinici sono trasferibili e</w:t>
      </w:r>
      <w:r>
        <w:t xml:space="preserve"> </w:t>
      </w:r>
      <w:r>
        <w:t xml:space="preserve">valutati a livello UE nei JCA; i 5 non clinici restano</w:t>
      </w:r>
      <w:r>
        <w:t xml:space="preserve"> </w:t>
      </w:r>
      <w:r>
        <w:t xml:space="preserve">nazionali. L.E.K. Consulting In Italia il programma</w:t>
      </w:r>
      <w:r>
        <w:t xml:space="preserve"> </w:t>
      </w:r>
      <w:r>
        <w:t xml:space="preserve">HTA nazionale è coordinato da AGENAS.</w:t>
      </w:r>
      <w:r>
        <w:t xml:space="preserve"> </w:t>
      </w:r>
      <w:r>
        <w:t xml:space="preserve">Particolarmente applicabile alla componente IA</w:t>
      </w:r>
      <w:r>
        <w:t xml:space="preserve"> </w:t>
      </w:r>
      <w:r>
        <w:t xml:space="preserve">della riforma (valutazione multidimensionale).</w:t>
      </w:r>
      <w:r>
        <w:t xml:space="preserve"> </w:t>
      </w:r>
      <w:r>
        <w:t xml:space="preserve">5. Budget Impact Analysis (BIA)</w:t>
      </w:r>
      <w:r>
        <w:t xml:space="preserve"> </w:t>
      </w:r>
      <w:r>
        <w:t xml:space="preserve">Fonti ISPOR: Mauskopf JA, Sullivan SD, et al.,</w:t>
      </w:r>
      <w:r>
        <w:t xml:space="preserve"> </w:t>
      </w:r>
      <w:r>
        <w:t xml:space="preserve">“</w:t>
      </w:r>
      <w:r>
        <w:t xml:space="preserve">Principles of good practice for budget impact</w:t>
      </w:r>
      <w:r>
        <w:t xml:space="preserve"> </w:t>
      </w:r>
      <w:r>
        <w:t xml:space="preserve">analysis</w:t>
      </w:r>
      <w:r>
        <w:t xml:space="preserve">”</w:t>
      </w:r>
      <w:r>
        <w:t xml:space="preserve">, Value in Health 2007;10(5):336–347 (DOI:</w:t>
      </w:r>
      <w:r>
        <w:t xml:space="preserve"> </w:t>
      </w:r>
      <w:r>
        <w:t xml:space="preserve">10.1111/j.1524–4733.2007.00187.x); Wiley Online</w:t>
      </w:r>
      <w:r>
        <w:t xml:space="preserve"> </w:t>
      </w:r>
      <w:r>
        <w:t xml:space="preserve">Library Sullivan SD, Mauskopf JA, et al.,</w:t>
      </w:r>
      <w:r>
        <w:t xml:space="preserve"> </w:t>
      </w:r>
      <w:r>
        <w:t xml:space="preserve">“</w:t>
      </w:r>
      <w:r>
        <w:t xml:space="preserve">Budget</w:t>
      </w:r>
      <w:r>
        <w:t xml:space="preserve"> </w:t>
      </w:r>
      <w:r>
        <w:t xml:space="preserve">Impact Analysis—Principles of Good Practice: Report</w:t>
      </w:r>
      <w:r>
        <w:t xml:space="preserve"> </w:t>
      </w:r>
      <w:r>
        <w:t xml:space="preserve">of the ISPOR 2012 BIA Good Practice II Task Force</w:t>
      </w:r>
      <w:r>
        <w:t xml:space="preserve">”</w:t>
      </w:r>
      <w:r>
        <w:t xml:space="preserve">,</w:t>
      </w:r>
      <w:r>
        <w:t xml:space="preserve"> </w:t>
      </w:r>
      <w:r>
        <w:t xml:space="preserve">Value in Health 2014;17(1):5–14 Ispor (DOI:</w:t>
      </w:r>
      <w:r>
        <w:t xml:space="preserve"> </w:t>
      </w:r>
      <w:r>
        <w:t xml:space="preserve">10.1016/j.jval.2013.08.2291). La BIA stima le</w:t>
      </w:r>
      <w:r>
        <w:t xml:space="preserve"> </w:t>
      </w:r>
      <w:r>
        <w:t xml:space="preserve">conseguenze finanziarie dell’adozione di un</w:t>
      </w:r>
      <w:r>
        <w:t xml:space="preserve"> </w:t>
      </w:r>
      <w:r>
        <w:t xml:space="preserve">intervento per uno specifico budget holder su</w:t>
      </w:r>
      <w:r>
        <w:t xml:space="preserve"> </w:t>
      </w:r>
      <w:r>
        <w:t xml:space="preserve">orizzonte breve-medio (tipicamente 1–5 anni); si</w:t>
      </w:r>
      <w:r>
        <w:t xml:space="preserve"> </w:t>
      </w:r>
      <w:r>
        <w:t xml:space="preserve">concentra sull’affordability (non sull’efficienza come</w:t>
      </w:r>
      <w:r>
        <w:t xml:space="preserve"> </w:t>
      </w:r>
      <w:r>
        <w:t xml:space="preserve">la CEA). ResearchGate Flussi non attualizzati</w:t>
      </w:r>
      <w:r>
        <w:t xml:space="preserve"> </w:t>
      </w:r>
      <w:r>
        <w:t xml:space="preserve">(undiscounted). Approccio cost calculator.</w:t>
      </w:r>
      <w:r>
        <w:t xml:space="preserve"> </w:t>
      </w:r>
      <w:r>
        <w:t xml:space="preserve">Prospettiva del detentore del budget. Analisi di</w:t>
      </w:r>
      <w:r>
        <w:t xml:space="preserve"> </w:t>
      </w:r>
      <w:r>
        <w:t xml:space="preserve">scenario/sensitività su uptake e popolazione</w:t>
      </w:r>
      <w:r>
        <w:t xml:space="preserve"> </w:t>
      </w:r>
      <w:r>
        <w:t xml:space="preserve">eleggibile. CHEERS 2022 esclude esplicitamente laBIA dal proprio ambito (valutata con altri standard).</w:t>
      </w:r>
      <w:r>
        <w:t xml:space="preserve"> </w:t>
      </w:r>
      <w:r>
        <w:t xml:space="preserve">Value in Health Journal</w:t>
      </w:r>
      <w:r>
        <w:t xml:space="preserve"> </w:t>
      </w:r>
      <w:r>
        <w:t xml:space="preserve">6. Social Return on Investment (SROI)</w:t>
      </w:r>
      <w:r>
        <w:t xml:space="preserve"> </w:t>
      </w:r>
      <w:r>
        <w:t xml:space="preserve">Fonti: Social Value International / Social Value UK /</w:t>
      </w:r>
      <w:r>
        <w:t xml:space="preserve"> </w:t>
      </w:r>
      <w:r>
        <w:t xml:space="preserve">nef</w:t>
      </w:r>
      <w:r>
        <w:t xml:space="preserve"> </w:t>
      </w:r>
      <w:r>
        <w:t xml:space="preserve">“</w:t>
      </w:r>
      <w:r>
        <w:t xml:space="preserve">A Guide to Social Return on Investment</w:t>
      </w:r>
      <w:r>
        <w:t xml:space="preserve">”</w:t>
      </w:r>
      <w:r>
        <w:t xml:space="preserve">. Sette</w:t>
      </w:r>
      <w:r>
        <w:t xml:space="preserve"> </w:t>
      </w:r>
      <w:r>
        <w:t xml:space="preserve">principi (coinvolgere gli stakeholder; comprendere</w:t>
      </w:r>
      <w:r>
        <w:t xml:space="preserve"> </w:t>
      </w:r>
      <w:r>
        <w:t xml:space="preserve">cosa cambia; valutare ciò che conta con proxy</w:t>
      </w:r>
      <w:r>
        <w:t xml:space="preserve"> </w:t>
      </w:r>
      <w:r>
        <w:t xml:space="preserve">finanziari; includere solo il materiale/materialità;</w:t>
      </w:r>
      <w:r>
        <w:t xml:space="preserve"> </w:t>
      </w:r>
      <w:r>
        <w:t xml:space="preserve">non sovrastimare; trasparenza; verificare il risultato).</w:t>
      </w:r>
      <w:r>
        <w:t xml:space="preserve"> </w:t>
      </w:r>
      <w:r>
        <w:t xml:space="preserve">Sei fasi (definire ambito e stakeholder; mappare gli</w:t>
      </w:r>
      <w:r>
        <w:t xml:space="preserve"> </w:t>
      </w:r>
      <w:r>
        <w:t xml:space="preserve">outcome/impact map; dare evidenza e attribuire</w:t>
      </w:r>
      <w:r>
        <w:t xml:space="preserve"> </w:t>
      </w:r>
      <w:r>
        <w:t xml:space="preserve">valore agli outcome; stabilire l’impatto; calcolare lo</w:t>
      </w:r>
      <w:r>
        <w:t xml:space="preserve"> </w:t>
      </w:r>
      <w:r>
        <w:t xml:space="preserve">SROI; rendicontare, usare, integrare). Quattro</w:t>
      </w:r>
      <w:r>
        <w:t xml:space="preserve"> </w:t>
      </w:r>
      <w:r>
        <w:t xml:space="preserve">aggiustamenti: deadweight (quota di outcome che</w:t>
      </w:r>
      <w:r>
        <w:t xml:space="preserve"> </w:t>
      </w:r>
      <w:r>
        <w:t xml:space="preserve">si sarebbe verificata comunque), attribuzione (quota</w:t>
      </w:r>
      <w:r>
        <w:t xml:space="preserve"> </w:t>
      </w:r>
      <w:r>
        <w:t xml:space="preserve">dovuta ad altri), displacement (spostamento di</w:t>
      </w:r>
      <w:r>
        <w:t xml:space="preserve"> </w:t>
      </w:r>
      <w:r>
        <w:t xml:space="preserve">valore altrove), drop-off (decadimento degli</w:t>
      </w:r>
      <w:r>
        <w:t xml:space="preserve"> </w:t>
      </w:r>
      <w:r>
        <w:t xml:space="preserve">outcome nel tempo, solo per outcome pluriennali).</w:t>
      </w:r>
      <w:r>
        <w:t xml:space="preserve"> </w:t>
      </w:r>
      <w:r>
        <w:t xml:space="preserve">SROIHK Formula: SROI ratio = Valore Attuale Netto</w:t>
      </w:r>
      <w:r>
        <w:t xml:space="preserve"> </w:t>
      </w:r>
      <w:r>
        <w:t xml:space="preserve">dei benefici sociali aggiustati / Valore degli input.</w:t>
      </w:r>
      <w:r>
        <w:t xml:space="preserve"> </w:t>
      </w:r>
      <w:r>
        <w:t xml:space="preserve">Umbrex Ratio tipo 3:1. Forecast SROI (ex ante) vs</w:t>
      </w:r>
      <w:r>
        <w:t xml:space="preserve"> </w:t>
      </w:r>
      <w:r>
        <w:t xml:space="preserve">Evaluative SROI (ex post). Umbrex Critica</w:t>
      </w:r>
      <w:r>
        <w:t xml:space="preserve"> </w:t>
      </w:r>
      <w:r>
        <w:t xml:space="preserve">accademica (Fujiwara 2015): il deadweight è il</w:t>
      </w:r>
      <w:r>
        <w:t xml:space="preserve"> </w:t>
      </w:r>
      <w:r>
        <w:t xml:space="preserve">fattore critico e si può</w:t>
      </w:r>
      <w:r>
        <w:t xml:space="preserve"> </w:t>
      </w:r>
      <w:r>
        <w:t xml:space="preserve">“</w:t>
      </w:r>
      <w:r>
        <w:t xml:space="preserve">forzare</w:t>
      </w:r>
      <w:r>
        <w:t xml:space="preserve">”</w:t>
      </w:r>
      <w:r>
        <w:t xml:space="preserve"> </w:t>
      </w:r>
      <w:r>
        <w:t xml:space="preserve">il ratio cambiando le</w:t>
      </w:r>
      <w:r>
        <w:t xml:space="preserve"> </w:t>
      </w:r>
      <w:r>
        <w:t xml:space="preserve">assunzioni; Socialvalueuk necessaria analisi di</w:t>
      </w:r>
      <w:r>
        <w:t xml:space="preserve"> </w:t>
      </w:r>
      <w:r>
        <w:t xml:space="preserve">sensitività.7. Analisi di Impatto della Regolamentazione</w:t>
      </w:r>
      <w:r>
        <w:t xml:space="preserve"> </w:t>
      </w:r>
      <w:r>
        <w:t xml:space="preserve">(AIR e VIR)</w:t>
      </w:r>
      <w:r>
        <w:t xml:space="preserve"> </w:t>
      </w:r>
      <w:r>
        <w:t xml:space="preserve">Fonti: art. 14 Legge 28 novembre 2005, n. 246;</w:t>
      </w:r>
      <w:r>
        <w:t xml:space="preserve"> </w:t>
      </w:r>
      <w:r>
        <w:t xml:space="preserve">DPCM 15 settembre 2017, n. 169 (disciplina AIR, VIR</w:t>
      </w:r>
      <w:r>
        <w:t xml:space="preserve"> </w:t>
      </w:r>
      <w:r>
        <w:t xml:space="preserve">e consultazione); Direttiva PCM 16 febbraio 2018</w:t>
      </w:r>
      <w:r>
        <w:t xml:space="preserve"> </w:t>
      </w:r>
      <w:r>
        <w:t xml:space="preserve">(guida all’analisi e verifica); DAGL (Dipartimento</w:t>
      </w:r>
      <w:r>
        <w:t xml:space="preserve"> </w:t>
      </w:r>
      <w:r>
        <w:t xml:space="preserve">Affari Giuridici e Legislativi, Presidenza del</w:t>
      </w:r>
      <w:r>
        <w:t xml:space="preserve"> </w:t>
      </w:r>
      <w:r>
        <w:t xml:space="preserve">Consiglio); Governo Italiano NUVIR (Nucleo di</w:t>
      </w:r>
      <w:r>
        <w:t xml:space="preserve"> </w:t>
      </w:r>
      <w:r>
        <w:t xml:space="preserve">valutazione dell’impatto della regolazione). L’AIR è</w:t>
      </w:r>
      <w:r>
        <w:t xml:space="preserve"> </w:t>
      </w:r>
      <w:r>
        <w:t xml:space="preserve">analisi ex ante che confronta opzioni alternative,</w:t>
      </w:r>
      <w:r>
        <w:t xml:space="preserve"> </w:t>
      </w:r>
      <w:r>
        <w:t xml:space="preserve">inclusa sempre l’opzione zero (do nothing /</w:t>
      </w:r>
      <w:r>
        <w:t xml:space="preserve"> </w:t>
      </w:r>
      <w:r>
        <w:t xml:space="preserve">mantenimento dello status quo); art. 8 DPCM</w:t>
      </w:r>
      <w:r>
        <w:t xml:space="preserve"> </w:t>
      </w:r>
      <w:r>
        <w:t xml:space="preserve">169/2017 richiede comparazione che quantifichi, ove</w:t>
      </w:r>
      <w:r>
        <w:t xml:space="preserve"> </w:t>
      </w:r>
      <w:r>
        <w:t xml:space="preserve">possibile, impatti sociali, economici, ambientali e</w:t>
      </w:r>
      <w:r>
        <w:t xml:space="preserve"> </w:t>
      </w:r>
      <w:r>
        <w:t xml:space="preserve">territoriali. Camera La VIR è valutazione ex post (di</w:t>
      </w:r>
      <w:r>
        <w:t xml:space="preserve"> </w:t>
      </w:r>
      <w:r>
        <w:t xml:space="preserve">norma dopo un biennio) di efficacia, efficienza,</w:t>
      </w:r>
      <w:r>
        <w:t xml:space="preserve"> </w:t>
      </w:r>
      <w:r>
        <w:t xml:space="preserve">utilità e coerenza. Governo Riferimento</w:t>
      </w:r>
      <w:r>
        <w:t xml:space="preserve"> </w:t>
      </w:r>
      <w:r>
        <w:t xml:space="preserve">internazionale: OECD</w:t>
      </w:r>
      <w:r>
        <w:t xml:space="preserve"> </w:t>
      </w:r>
      <w:r>
        <w:t xml:space="preserve">“</w:t>
      </w:r>
      <w:r>
        <w:t xml:space="preserve">Regulatory Impact</w:t>
      </w:r>
      <w:r>
        <w:t xml:space="preserve"> </w:t>
      </w:r>
      <w:r>
        <w:t xml:space="preserve">Assessment / RIA Best Practice Principles</w:t>
      </w:r>
      <w:r>
        <w:t xml:space="preserve">”</w:t>
      </w:r>
      <w:r>
        <w:t xml:space="preserve">.</w:t>
      </w:r>
      <w:r>
        <w:t xml:space="preserve"> </w:t>
      </w:r>
      <w:r>
        <w:t xml:space="preserve">Rilevanza per le leggi regionali e per l’AIR a livello</w:t>
      </w:r>
      <w:r>
        <w:t xml:space="preserve"> </w:t>
      </w:r>
      <w:r>
        <w:t xml:space="preserve">regionale (es. la riforma pugliese è L.R. Puglia 15</w:t>
      </w:r>
      <w:r>
        <w:t xml:space="preserve"> </w:t>
      </w:r>
      <w:r>
        <w:t xml:space="preserve">giugno 2023, n. 11).</w:t>
      </w:r>
      <w:r>
        <w:t xml:space="preserve"> </w:t>
      </w:r>
      <w:r>
        <w:t xml:space="preserve">8. Theory of Change e Quadro Logico</w:t>
      </w:r>
      <w:r>
        <w:t xml:space="preserve"> </w:t>
      </w:r>
      <w:r>
        <w:t xml:space="preserve">(Logframe)</w:t>
      </w:r>
      <w:r>
        <w:t xml:space="preserve"> </w:t>
      </w:r>
      <w:r>
        <w:t xml:space="preserve">Results-based management; catena input → attività</w:t>
      </w:r>
      <w:r>
        <w:t xml:space="preserve"> </w:t>
      </w:r>
      <w:r>
        <w:t xml:space="preserve">→ output → outcome → impatto. Assunzioni, rischi,</w:t>
      </w:r>
      <w:r>
        <w:t xml:space="preserve"> </w:t>
      </w:r>
      <w:r>
        <w:t xml:space="preserve">indicatori; program theory; contribution analysis.Criteri di valutazione OECD-DAC (definizioni riviste</w:t>
      </w:r>
      <w:r>
        <w:t xml:space="preserve"> </w:t>
      </w:r>
      <w:r>
        <w:t xml:space="preserve">2019, endorsement dicembre 2019): rilevanza,</w:t>
      </w:r>
      <w:r>
        <w:t xml:space="preserve"> </w:t>
      </w:r>
      <w:r>
        <w:t xml:space="preserve">coerenza (criterio aggiunto nel 2019), efficacia,</w:t>
      </w:r>
      <w:r>
        <w:t xml:space="preserve"> </w:t>
      </w:r>
      <w:r>
        <w:t xml:space="preserve">efficienza, impatto, sostenibilità; più due principi</w:t>
      </w:r>
      <w:r>
        <w:t xml:space="preserve"> </w:t>
      </w:r>
      <w:r>
        <w:t xml:space="preserve">d’uso. EvalForEarth Studocu Fonte: OECD,</w:t>
      </w:r>
      <w:r>
        <w:t xml:space="preserve"> </w:t>
      </w:r>
      <w:r>
        <w:t xml:space="preserve">“</w:t>
      </w:r>
      <w:r>
        <w:t xml:space="preserve">Applying</w:t>
      </w:r>
      <w:r>
        <w:t xml:space="preserve"> </w:t>
      </w:r>
      <w:r>
        <w:t xml:space="preserve">Evaluation Criteria Thoughtfully</w:t>
      </w:r>
      <w:r>
        <w:t xml:space="preserve">”</w:t>
      </w:r>
      <w:r>
        <w:t xml:space="preserve"> </w:t>
      </w:r>
      <w:r>
        <w:t xml:space="preserve">(2021), primo</w:t>
      </w:r>
      <w:r>
        <w:t xml:space="preserve"> </w:t>
      </w:r>
      <w:r>
        <w:t xml:space="preserve">documento che esplora i sei criteri in dettaglio.</w:t>
      </w:r>
      <w:r>
        <w:t xml:space="preserve"> </w:t>
      </w:r>
      <w:r>
        <w:t xml:space="preserve">OECD I criteri sono</w:t>
      </w:r>
      <w:r>
        <w:t xml:space="preserve"> </w:t>
      </w:r>
      <w:r>
        <w:t xml:space="preserve">“</w:t>
      </w:r>
      <w:r>
        <w:t xml:space="preserve">lenti</w:t>
      </w:r>
      <w:r>
        <w:t xml:space="preserve">”</w:t>
      </w:r>
      <w:r>
        <w:t xml:space="preserve"> </w:t>
      </w:r>
      <w:r>
        <w:t xml:space="preserve">complementari, da</w:t>
      </w:r>
      <w:r>
        <w:t xml:space="preserve"> </w:t>
      </w:r>
      <w:r>
        <w:t xml:space="preserve">applicare in modo contestuale, non meccanico.</w:t>
      </w:r>
      <w:r>
        <w:t xml:space="preserve"> </w:t>
      </w:r>
      <w:r>
        <w:t xml:space="preserve">OECD</w:t>
      </w:r>
      <w:r>
        <w:t xml:space="preserve"> </w:t>
      </w:r>
      <w:r>
        <w:t xml:space="preserve">9. Counterfactual Impact Evaluation (CIE)</w:t>
      </w:r>
      <w:r>
        <w:t xml:space="preserve"> </w:t>
      </w:r>
      <w:r>
        <w:t xml:space="preserve">Metodi: RCT, difference-in-differences (DiD),</w:t>
      </w:r>
      <w:r>
        <w:t xml:space="preserve"> </w:t>
      </w:r>
      <w:r>
        <w:t xml:space="preserve">regression discontinuity design (RDD), propensity</w:t>
      </w:r>
      <w:r>
        <w:t xml:space="preserve"> </w:t>
      </w:r>
      <w:r>
        <w:t xml:space="preserve">score matching (PSM), instrumental variables (IV),</w:t>
      </w:r>
      <w:r>
        <w:t xml:space="preserve"> </w:t>
      </w:r>
      <w:r>
        <w:t xml:space="preserve">synthetic control method (SCM, Abadie e</w:t>
      </w:r>
      <w:r>
        <w:t xml:space="preserve"> </w:t>
      </w:r>
      <w:r>
        <w:t xml:space="preserve">Gardeazabal). arxiv Pratica della politica di coesione</w:t>
      </w:r>
      <w:r>
        <w:t xml:space="preserve"> </w:t>
      </w:r>
      <w:r>
        <w:t xml:space="preserve">UE (JRC: valutazione controfattuale dei programmi</w:t>
      </w:r>
      <w:r>
        <w:t xml:space="preserve"> </w:t>
      </w:r>
      <w:r>
        <w:t xml:space="preserve">di sviluppo rurale via PSM + DiD; parametri ATE,</w:t>
      </w:r>
      <w:r>
        <w:t xml:space="preserve"> </w:t>
      </w:r>
      <w:r>
        <w:t xml:space="preserve">ATT, ATU). European Commission Il rollout</w:t>
      </w:r>
      <w:r>
        <w:t xml:space="preserve"> </w:t>
      </w:r>
      <w:r>
        <w:t xml:space="preserve">scaglionato/per fasi della riforma può fungere da</w:t>
      </w:r>
      <w:r>
        <w:t xml:space="preserve"> </w:t>
      </w:r>
      <w:r>
        <w:t xml:space="preserve">esperimento naturale. Validità interna (selection</w:t>
      </w:r>
      <w:r>
        <w:t xml:space="preserve"> </w:t>
      </w:r>
      <w:r>
        <w:t xml:space="preserve">bias, common trend assumption) vs validità esterna</w:t>
      </w:r>
      <w:r>
        <w:t xml:space="preserve"> </w:t>
      </w:r>
      <w:r>
        <w:t xml:space="preserve">(generalizzabilità). Il UK Medical Research Council</w:t>
      </w:r>
      <w:r>
        <w:t xml:space="preserve"> </w:t>
      </w:r>
      <w:r>
        <w:t xml:space="preserve">raccomanda natural experiment designs per le</w:t>
      </w:r>
      <w:r>
        <w:t xml:space="preserve"> </w:t>
      </w:r>
      <w:r>
        <w:t xml:space="preserve">population health interventions. nih10. Modellazione decisionale, incertezza e</w:t>
      </w:r>
      <w:r>
        <w:t xml:space="preserve"> </w:t>
      </w:r>
      <w:r>
        <w:t xml:space="preserve">MCDA</w:t>
      </w:r>
      <w:r>
        <w:t xml:space="preserve"> </w:t>
      </w:r>
      <w:r>
        <w:t xml:space="preserve">Tecniche: alberi decisionali, modelli di Markov,</w:t>
      </w:r>
      <w:r>
        <w:t xml:space="preserve"> </w:t>
      </w:r>
      <w:r>
        <w:t xml:space="preserve">microsimulazione, discrete event simulation.</w:t>
      </w:r>
      <w:r>
        <w:t xml:space="preserve"> </w:t>
      </w:r>
      <w:r>
        <w:t xml:space="preserve">Incertezza: analisi di sensitività probabilistica (PSA),</w:t>
      </w:r>
      <w:r>
        <w:t xml:space="preserve"> </w:t>
      </w:r>
      <w:r>
        <w:t xml:space="preserve">deterministica (DSA, one-way/multi-way), value of</w:t>
      </w:r>
      <w:r>
        <w:t xml:space="preserve"> </w:t>
      </w:r>
      <w:r>
        <w:t xml:space="preserve">information (EVPI/EVPPI). MCDA: ISPOR Emerging</w:t>
      </w:r>
      <w:r>
        <w:t xml:space="preserve"> </w:t>
      </w:r>
      <w:r>
        <w:t xml:space="preserve">Good Practices, Report 1 (Thokala, Devlin, Marsh et</w:t>
      </w:r>
      <w:r>
        <w:t xml:space="preserve"> </w:t>
      </w:r>
      <w:r>
        <w:t xml:space="preserve">al., Value in Health 2016;19(1):1–13) Ispor e Report 2</w:t>
      </w:r>
      <w:r>
        <w:t xml:space="preserve"> </w:t>
      </w:r>
      <w:r>
        <w:t xml:space="preserve">(Marsh, IJzerman, Thokala et al., Value in Health</w:t>
      </w:r>
      <w:r>
        <w:t xml:space="preserve"> </w:t>
      </w:r>
      <w:r>
        <w:t xml:space="preserve">2016;19(2):125–137), che fornisce checklist, pesatura</w:t>
      </w:r>
      <w:r>
        <w:t xml:space="preserve"> </w:t>
      </w:r>
      <w:r>
        <w:t xml:space="preserve">dei criteri, integrazione di vincoli di bilancio e</w:t>
      </w:r>
      <w:r>
        <w:t xml:space="preserve"> </w:t>
      </w:r>
      <w:r>
        <w:t xml:space="preserve">considerazioni di equità. Ispor</w:t>
      </w:r>
      <w:r>
        <w:t xml:space="preserve"> </w:t>
      </w:r>
      <w:r>
        <w:t xml:space="preserve">Standard trasversale: CHEERS 2022 e</w:t>
      </w:r>
      <w:r>
        <w:t xml:space="preserve"> </w:t>
      </w:r>
      <w:r>
        <w:t xml:space="preserve">CHEERS-AI</w:t>
      </w:r>
      <w:r>
        <w:t xml:space="preserve"> </w:t>
      </w:r>
      <w:r>
        <w:t xml:space="preserve">CHEERS 2022: ISPOR CHEERS II Good Practices</w:t>
      </w:r>
      <w:r>
        <w:t xml:space="preserve"> </w:t>
      </w:r>
      <w:r>
        <w:t xml:space="preserve">Task Force; checklist di 28 item (l’originale 2013 ne</w:t>
      </w:r>
      <w:r>
        <w:t xml:space="preserve"> </w:t>
      </w:r>
      <w:r>
        <w:t xml:space="preserve">aveva 24); ScienceDirect nih copre CEA, CBA e</w:t>
      </w:r>
      <w:r>
        <w:t xml:space="preserve"> </w:t>
      </w:r>
      <w:r>
        <w:t xml:space="preserve">modelli (esclude BIA e constrained optimization).</w:t>
      </w:r>
      <w:r>
        <w:t xml:space="preserve"> </w:t>
      </w:r>
      <w:r>
        <w:t xml:space="preserve">Value in Health Journal CHEERS-AI (2024, Value in</w:t>
      </w:r>
      <w:r>
        <w:t xml:space="preserve"> </w:t>
      </w:r>
      <w:r>
        <w:t xml:space="preserve">Health): estensione con elaborazioni AI-specifiche</w:t>
      </w:r>
      <w:r>
        <w:t xml:space="preserve"> </w:t>
      </w:r>
      <w:r>
        <w:t xml:space="preserve">sugli item 1–28 più 10 nuovi item (AI 1–10) per gli</w:t>
      </w:r>
      <w:r>
        <w:t xml:space="preserve"> </w:t>
      </w:r>
      <w:r>
        <w:t xml:space="preserve">interventi che usano intelligenza artificiale. PubMed</w:t>
      </w:r>
      <w:r>
        <w:t xml:space="preserve"> </w:t>
      </w:r>
      <w:r>
        <w:t xml:space="preserve">Central</w:t>
      </w:r>
      <w:r>
        <w:t xml:space="preserve"> </w:t>
      </w:r>
      <w:r>
        <w:t xml:space="preserve">Base evidenziale specifica della riformaSolano (Università La Sapienza): modello dello</w:t>
      </w:r>
      <w:r>
        <w:t xml:space="preserve"> </w:t>
      </w:r>
      <w:r>
        <w:t xml:space="preserve">psicologo in copresenza con il MMG (</w:t>
      </w:r>
      <w:r>
        <w:t xml:space="preserve">“</w:t>
      </w:r>
      <w:r>
        <w:t xml:space="preserve">Dal</w:t>
      </w:r>
      <w:r>
        <w:t xml:space="preserve"> </w:t>
      </w:r>
      <w:r>
        <w:t xml:space="preserve">sintomo alla persona</w:t>
      </w:r>
      <w:r>
        <w:t xml:space="preserve">”</w:t>
      </w:r>
      <w:r>
        <w:t xml:space="preserve">, Franco Angeli 2011).</w:t>
      </w:r>
      <w:r>
        <w:t xml:space="preserve"> </w:t>
      </w:r>
      <w:r>
        <w:t xml:space="preserve">Sperimentazione del progetto avviato dal 2000</w:t>
      </w:r>
      <w:r>
        <w:t xml:space="preserve"> </w:t>
      </w:r>
      <w:r>
        <w:t xml:space="preserve">in 20 ambulatori di medicina di base di Orvieto.</w:t>
      </w:r>
      <w:r>
        <w:t xml:space="preserve"> </w:t>
      </w:r>
      <w:r>
        <w:t xml:space="preserve">Secondo la Rivista SIMG 6/2019,</w:t>
      </w:r>
      <w:r>
        <w:t xml:space="preserve"> </w:t>
      </w:r>
      <w:r>
        <w:t xml:space="preserve">“</w:t>
      </w:r>
      <w:r>
        <w:t xml:space="preserve">il risultato più</w:t>
      </w:r>
      <w:r>
        <w:t xml:space="preserve"> </w:t>
      </w:r>
      <w:r>
        <w:t xml:space="preserve">concreto… è una riduzione della spesa sanitaria</w:t>
      </w:r>
      <w:r>
        <w:t xml:space="preserve"> </w:t>
      </w:r>
      <w:r>
        <w:t xml:space="preserve">del 15%</w:t>
      </w:r>
      <w:r>
        <w:t xml:space="preserve">”</w:t>
      </w:r>
      <w:r>
        <w:t xml:space="preserve">. Sui dati farmaceutici (Solano, 2014):</w:t>
      </w:r>
      <w:r>
        <w:t xml:space="preserve"> </w:t>
      </w:r>
      <w:r>
        <w:t xml:space="preserve">“</w:t>
      </w:r>
      <w:r>
        <w:t xml:space="preserve">in</w:t>
      </w:r>
      <w:r>
        <w:t xml:space="preserve"> </w:t>
      </w:r>
      <w:r>
        <w:t xml:space="preserve">due casi in cui è stato possibile avere i dati, si è</w:t>
      </w:r>
      <w:r>
        <w:t xml:space="preserve"> </w:t>
      </w:r>
      <w:r>
        <w:t xml:space="preserve">registrata una sensibile diminuzione della spesa</w:t>
      </w:r>
      <w:r>
        <w:t xml:space="preserve"> </w:t>
      </w:r>
      <w:r>
        <w:t xml:space="preserve">farmaceutica, rispettivamente del 17 e del 14%</w:t>
      </w:r>
      <w:r>
        <w:t xml:space="preserve">”</w:t>
      </w:r>
      <w:r>
        <w:t xml:space="preserve">.</w:t>
      </w:r>
      <w:r>
        <w:t xml:space="preserve"> </w:t>
      </w:r>
      <w:r>
        <w:t xml:space="preserve">Riduzione di visite specialistiche, diagnostica,</w:t>
      </w:r>
      <w:r>
        <w:t xml:space="preserve"> </w:t>
      </w:r>
      <w:r>
        <w:t xml:space="preserve">prescrizioni, ospedalizzazioni, accessi impropri</w:t>
      </w:r>
      <w:r>
        <w:t xml:space="preserve"> </w:t>
      </w:r>
      <w:r>
        <w:t xml:space="preserve">al PS, assenze dal lavoro. Alumbria Almeno il</w:t>
      </w:r>
      <w:r>
        <w:t xml:space="preserve"> </w:t>
      </w:r>
      <w:r>
        <w:t xml:space="preserve">50% delle richieste ai MMG esprime disagio</w:t>
      </w:r>
      <w:r>
        <w:t xml:space="preserve"> </w:t>
      </w:r>
      <w:r>
        <w:t xml:space="preserve">relazionale/esistenziale (Balint 1957 e</w:t>
      </w:r>
      <w:r>
        <w:t xml:space="preserve"> </w:t>
      </w:r>
      <w:r>
        <w:t xml:space="preserve">successivi). FISP Frequent attenders e disturbi</w:t>
      </w:r>
      <w:r>
        <w:t xml:space="preserve"> </w:t>
      </w:r>
      <w:r>
        <w:t xml:space="preserve">psicosomatici.</w:t>
      </w:r>
      <w:r>
        <w:t xml:space="preserve"> </w:t>
      </w:r>
      <w:r>
        <w:t xml:space="preserve">IMPACT trial (Unützer et al., collaborative care</w:t>
      </w:r>
      <w:r>
        <w:t xml:space="preserve"> </w:t>
      </w:r>
      <w:r>
        <w:t xml:space="preserve">per depressione tardiva):</w:t>
      </w:r>
      <w:r>
        <w:t xml:space="preserve"> </w:t>
      </w:r>
      <w:r>
        <w:t xml:space="preserve">“</w:t>
      </w:r>
      <w:r>
        <w:t xml:space="preserve">Long-term Cost</w:t>
      </w:r>
      <w:r>
        <w:t xml:space="preserve"> </w:t>
      </w:r>
      <w:r>
        <w:t xml:space="preserve">Effects of Collaborative Care for Late-life</w:t>
      </w:r>
      <w:r>
        <w:t xml:space="preserve"> </w:t>
      </w:r>
      <w:r>
        <w:t xml:space="preserve">Depression</w:t>
      </w:r>
      <w:r>
        <w:t xml:space="preserve">”</w:t>
      </w:r>
      <w:r>
        <w:t xml:space="preserve">, Am J Manag Care 2008;14(2):95-</w:t>
      </w:r>
      <w:r>
        <w:t xml:space="preserve"> </w:t>
      </w:r>
      <w:r>
        <w:t xml:space="preserve">100 (PMID 18269305). Costi sanitari totali a 4</w:t>
      </w:r>
      <w:r>
        <w:t xml:space="preserve"> </w:t>
      </w:r>
      <w:r>
        <w:t xml:space="preserve">anni: intervento $29.422 vs usual care $32.785,</w:t>
      </w:r>
      <w:r>
        <w:t xml:space="preserve"> </w:t>
      </w:r>
      <w:r>
        <w:t xml:space="preserve">risparmio di $3.363 per paziente (CI 95% non</w:t>
      </w:r>
      <w:r>
        <w:t xml:space="preserve"> </w:t>
      </w:r>
      <w:r>
        <w:t xml:space="preserve">significativo, da −$9.282 a $2.557; probabilità</w:t>
      </w:r>
      <w:r>
        <w:t xml:space="preserve"> </w:t>
      </w:r>
      <w:r>
        <w:t xml:space="preserve">bootstrap 87% di costi inferiori). nih Costo</w:t>
      </w:r>
      <w:r>
        <w:t xml:space="preserve"> </w:t>
      </w:r>
      <w:r>
        <w:t xml:space="preserve">dell’intervento $522/paziente. nih RCT su 1.801</w:t>
      </w:r>
      <w:r>
        <w:t xml:space="preserve"> </w:t>
      </w:r>
      <w:r>
        <w:t xml:space="preserve">pazienti ≥60 anni, 8 organizzazioni; AJMCPubMed Central quasi metà dei pazienti con</w:t>
      </w:r>
      <w:r>
        <w:t xml:space="preserve"> </w:t>
      </w:r>
      <w:r>
        <w:t xml:space="preserve">riduzione ≥50% dei sintomi a 12 mesi vs 19%</w:t>
      </w:r>
      <w:r>
        <w:t xml:space="preserve"> </w:t>
      </w:r>
      <w:r>
        <w:t xml:space="preserve">usual care (JAMA 2002). AIMs Center</w:t>
      </w:r>
      <w:r>
        <w:t xml:space="preserve"> </w:t>
      </w:r>
      <w:r>
        <w:t xml:space="preserve">IAPT/NHS Talking Therapies: secondo NHS</w:t>
      </w:r>
      <w:r>
        <w:t xml:space="preserve"> </w:t>
      </w:r>
      <w:r>
        <w:t xml:space="preserve">Digital (Annual Report 2022–23, via House of</w:t>
      </w:r>
      <w:r>
        <w:t xml:space="preserve"> </w:t>
      </w:r>
      <w:r>
        <w:t xml:space="preserve">Commons Library), nel 2022/23 1,76 milioni di</w:t>
      </w:r>
      <w:r>
        <w:t xml:space="preserve"> </w:t>
      </w:r>
      <w:r>
        <w:t xml:space="preserve">persone furono inviate al servizio, 1,22 milioni</w:t>
      </w:r>
      <w:r>
        <w:t xml:space="preserve"> </w:t>
      </w:r>
      <w:r>
        <w:t xml:space="preserve">entrarono in trattamento e 672.000</w:t>
      </w:r>
      <w:r>
        <w:t xml:space="preserve"> </w:t>
      </w:r>
      <w:r>
        <w:t xml:space="preserve">completarono un ciclo; il 49,9% di chi</w:t>
      </w:r>
      <w:r>
        <w:t xml:space="preserve"> </w:t>
      </w:r>
      <w:r>
        <w:t xml:space="preserve">completava il ciclo raggiungeva la recovery,</w:t>
      </w:r>
      <w:r>
        <w:t xml:space="preserve"> </w:t>
      </w:r>
      <w:r>
        <w:t xml:space="preserve">appena sotto il target del 50% (salito al 50,1%</w:t>
      </w:r>
      <w:r>
        <w:t xml:space="preserve"> </w:t>
      </w:r>
      <w:r>
        <w:t xml:space="preserve">nel 2023–24). Target di reliable recovery 48%</w:t>
      </w:r>
      <w:r>
        <w:t xml:space="preserve"> </w:t>
      </w:r>
      <w:r>
        <w:t xml:space="preserve">(NHS England 2024/25 Planning Guidance).</w:t>
      </w:r>
      <w:r>
        <w:t xml:space="preserve"> </w:t>
      </w:r>
      <w:r>
        <w:t xml:space="preserve">Finanziamento ~£2 miliardi/anno. Riduzioni dei</w:t>
      </w:r>
      <w:r>
        <w:t xml:space="preserve"> </w:t>
      </w:r>
      <w:r>
        <w:t xml:space="preserve">costi sanitari non mentali nelle aree integrate</w:t>
      </w:r>
      <w:r>
        <w:t xml:space="preserve"> </w:t>
      </w:r>
      <w:r>
        <w:t xml:space="preserve">(£100–200/paziente nel breve termine). NHS</w:t>
      </w:r>
      <w:r>
        <w:t xml:space="preserve"> </w:t>
      </w:r>
      <w:r>
        <w:t xml:space="preserve">England</w:t>
      </w:r>
      <w:r>
        <w:t xml:space="preserve"> </w:t>
      </w:r>
      <w:r>
        <w:t xml:space="preserve">Netherlands POH-GGZ (introdotto 2008):</w:t>
      </w:r>
      <w:r>
        <w:t xml:space="preserve"> </w:t>
      </w:r>
      <w:r>
        <w:t xml:space="preserve">adozione cresciuta da ~1/3 dei MMG (2011) a</w:t>
      </w:r>
      <w:r>
        <w:t xml:space="preserve"> </w:t>
      </w:r>
      <w:r>
        <w:t xml:space="preserve">~3/4 (2014); ResearchGate circa 6.000 psicologi</w:t>
      </w:r>
      <w:r>
        <w:t xml:space="preserve"> </w:t>
      </w:r>
      <w:r>
        <w:t xml:space="preserve">delle cure primarie; Simg finanziamento</w:t>
      </w:r>
      <w:r>
        <w:t xml:space="preserve"> </w:t>
      </w:r>
      <w:r>
        <w:t xml:space="preserve">nell’assicurazione di base; State of Mind cura</w:t>
      </w:r>
      <w:r>
        <w:t xml:space="preserve"> </w:t>
      </w:r>
      <w:r>
        <w:t xml:space="preserve">complementare, non sostitutiva (Magnée et al.,</w:t>
      </w:r>
      <w:r>
        <w:t xml:space="preserve"> </w:t>
      </w:r>
      <w:r>
        <w:t xml:space="preserve">BMJ Open 2016;6:e011579). ResearchGate</w:t>
      </w:r>
      <w:r>
        <w:t xml:space="preserve"> </w:t>
      </w:r>
      <w:r>
        <w:t xml:space="preserve">Australia Better Access (dal 2006): 12</w:t>
      </w:r>
      <w:r>
        <w:t xml:space="preserve"> </w:t>
      </w:r>
      <w:r>
        <w:t xml:space="preserve">sessioni/anno iniziali, ridotte a 10 (2011),</w:t>
      </w:r>
      <w:r>
        <w:t xml:space="preserve"> </w:t>
      </w:r>
      <w:r>
        <w:t xml:space="preserve">Wikipedia 20 durante COVID, Australian</w:t>
      </w:r>
      <w:r>
        <w:t xml:space="preserve"> </w:t>
      </w:r>
      <w:r>
        <w:t xml:space="preserve">Government Department of Health di nuovo 10dal 1 gennaio 2023; Pacja nel 2021 1 australiano</w:t>
      </w:r>
      <w:r>
        <w:t xml:space="preserve"> </w:t>
      </w:r>
      <w:r>
        <w:t xml:space="preserve">su 10 ha ricevuto almeno un servizio, 5,4</w:t>
      </w:r>
      <w:r>
        <w:t xml:space="preserve"> </w:t>
      </w:r>
      <w:r>
        <w:t xml:space="preserve">sessioni medie/persona; Australian Government</w:t>
      </w:r>
      <w:r>
        <w:t xml:space="preserve"> </w:t>
      </w:r>
      <w:r>
        <w:t xml:space="preserve">Department of Health costo $1,2 miliardi (2021).</w:t>
      </w:r>
      <w:r>
        <w:t xml:space="preserve"> </w:t>
      </w:r>
      <w:r>
        <w:t xml:space="preserve">Pacja Valutazione: Pirkis et al., Department of</w:t>
      </w:r>
      <w:r>
        <w:t xml:space="preserve"> </w:t>
      </w:r>
      <w:r>
        <w:t xml:space="preserve">Health, dicembre 2022.</w:t>
      </w:r>
      <w:r>
        <w:t xml:space="preserve"> </w:t>
      </w:r>
      <w:r>
        <w:t xml:space="preserve">WHO/Chisholm et al.,</w:t>
      </w:r>
      <w:r>
        <w:t xml:space="preserve"> </w:t>
      </w:r>
      <w:r>
        <w:t xml:space="preserve">“</w:t>
      </w:r>
      <w:r>
        <w:t xml:space="preserve">Scaling-up treatment of</w:t>
      </w:r>
      <w:r>
        <w:t xml:space="preserve"> </w:t>
      </w:r>
      <w:r>
        <w:t xml:space="preserve">depression and anxiety: a global return on</w:t>
      </w:r>
      <w:r>
        <w:t xml:space="preserve"> </w:t>
      </w:r>
      <w:r>
        <w:t xml:space="preserve">investment analysis</w:t>
      </w:r>
      <w:r>
        <w:t xml:space="preserve">”</w:t>
      </w:r>
      <w:r>
        <w:t xml:space="preserve">, Lancet Psychiatry</w:t>
      </w:r>
      <w:r>
        <w:t xml:space="preserve"> </w:t>
      </w:r>
      <w:r>
        <w:t xml:space="preserve">2016;3(5):415–424 (DOI 10.1016/S2215-</w:t>
      </w:r>
      <w:r>
        <w:t xml:space="preserve"> </w:t>
      </w:r>
      <w:r>
        <w:t xml:space="preserve">0366(16)30024–4): VAN dell’investimento 2016-</w:t>
      </w:r>
      <w:r>
        <w:t xml:space="preserve"> </w:t>
      </w:r>
      <w:r>
        <w:t xml:space="preserve">2030 $147 miliardi; 43 milioni di anni di vita</w:t>
      </w:r>
      <w:r>
        <w:t xml:space="preserve"> </w:t>
      </w:r>
      <w:r>
        <w:t xml:space="preserve">sana; valore economico delle vite sane $310</w:t>
      </w:r>
      <w:r>
        <w:t xml:space="preserve"> </w:t>
      </w:r>
      <w:r>
        <w:t xml:space="preserve">miliardi; guadagni di produttività con VAN di</w:t>
      </w:r>
      <w:r>
        <w:t xml:space="preserve"> </w:t>
      </w:r>
      <w:r>
        <w:t xml:space="preserve">$230 miliardi per la depressione e</w:t>
      </w:r>
      <w:r>
        <w:t xml:space="preserve"> </w:t>
      </w:r>
      <m:oMath>
        <m:r>
          <m:t>169</m:t>
        </m:r>
        <m:r>
          <m:t>m</m:t>
        </m:r>
        <m:r>
          <m:t>i</m:t>
        </m:r>
        <m:r>
          <m:t>l</m:t>
        </m:r>
        <m:r>
          <m:t>i</m:t>
        </m:r>
        <m:r>
          <m:t>a</m:t>
        </m:r>
        <m:r>
          <m:t>r</m:t>
        </m:r>
        <m:r>
          <m:t>d</m:t>
        </m:r>
        <m:r>
          <m:t>i</m:t>
        </m:r>
        <m:r>
          <m:t>p</m:t>
        </m:r>
        <m:r>
          <m:t>e</m:t>
        </m:r>
        <m:r>
          <m:t>r</m:t>
        </m:r>
        <m:r>
          <m:t>i</m:t>
        </m:r>
        <m:r>
          <m:t>d</m:t>
        </m:r>
        <m:r>
          <m:t>i</m:t>
        </m:r>
        <m:r>
          <m:t>s</m:t>
        </m:r>
        <m:r>
          <m:t>t</m:t>
        </m:r>
        <m:r>
          <m:t>u</m:t>
        </m:r>
        <m:r>
          <m:t>r</m:t>
        </m:r>
        <m:r>
          <m:t>b</m:t>
        </m:r>
        <m:r>
          <m:t>i</m:t>
        </m:r>
        <m:r>
          <m:t>d</m:t>
        </m:r>
        <m:r>
          <m:rPr>
            <m:sty m:val="p"/>
          </m:rPr>
          <m:t>′</m:t>
        </m:r>
        <m:r>
          <m:t>a</m:t>
        </m:r>
        <m:r>
          <m:t>n</m:t>
        </m:r>
        <m:r>
          <m:t>s</m:t>
        </m:r>
        <m:r>
          <m:t>i</m:t>
        </m:r>
        <m:r>
          <m:t>a</m:t>
        </m:r>
        <m:r>
          <m:rPr>
            <m:sty m:val="p"/>
          </m:rPr>
          <m:t>(</m:t>
        </m:r>
        <m:r>
          <m:t>s</m:t>
        </m:r>
        <m:r>
          <m:t>u</m:t>
        </m:r>
        <m:r>
          <m:t>u</m:t>
        </m:r>
        <m:r>
          <m:t>n</m:t>
        </m:r>
        <m:r>
          <m:t>m</m:t>
        </m:r>
        <m:r>
          <m:t>i</m:t>
        </m:r>
        <m:r>
          <m:t>g</m:t>
        </m:r>
        <m:r>
          <m:t>l</m:t>
        </m:r>
        <m:r>
          <m:t>i</m:t>
        </m:r>
        <m:r>
          <m:t>o</m:t>
        </m:r>
        <m:r>
          <m:t>r</m:t>
        </m:r>
        <m:r>
          <m:t>a</m:t>
        </m:r>
        <m:r>
          <m:t>m</m:t>
        </m:r>
        <m:r>
          <m:t>e</m:t>
        </m:r>
        <m:r>
          <m:t>n</m:t>
        </m:r>
        <m:r>
          <m:t>t</m:t>
        </m:r>
        <m:r>
          <m:t>o</m:t>
        </m:r>
        <m:r>
          <m:t>i</m:t>
        </m:r>
        <m:r>
          <m:t>p</m:t>
        </m:r>
        <m:r>
          <m:t>o</m:t>
        </m:r>
        <m:r>
          <m:t>t</m:t>
        </m:r>
        <m:r>
          <m:t>i</m:t>
        </m:r>
        <m:r>
          <m:t>z</m:t>
        </m:r>
        <m:r>
          <m:t>z</m:t>
        </m:r>
        <m:r>
          <m:t>a</m:t>
        </m:r>
        <m:r>
          <m:t>t</m:t>
        </m:r>
        <m:r>
          <m:t>o</m:t>
        </m:r>
        <m:r>
          <m:t>d</m:t>
        </m:r>
        <m:r>
          <m:t>e</m:t>
        </m:r>
        <m:r>
          <m:t>l</m:t>
        </m:r>
        <m:r>
          <m:t>5</m:t>
        </m:r>
      </m:oMath>
      <w:r>
        <w:t xml:space="preserve"> </w:t>
      </w:r>
      <w:r>
        <w:t xml:space="preserve">1</w:t>
      </w:r>
      <w:r>
        <w:t xml:space="preserve"> </w:t>
      </w:r>
      <w:r>
        <w:t xml:space="preserve">invested in scaling up treatment for depression</w:t>
      </w:r>
      <w:r>
        <w:t xml:space="preserve"> </w:t>
      </w:r>
      <w:r>
        <w:t xml:space="preserve">and anxiety leads to a return of US$ 4 in better</w:t>
      </w:r>
      <w:r>
        <w:t xml:space="preserve"> </w:t>
      </w:r>
      <w:r>
        <w:t xml:space="preserve">health and ability to work”.</w:t>
      </w:r>
      <w:r>
        <w:t xml:space="preserve"> </w:t>
      </w:r>
      <w:r>
        <w:t xml:space="preserve">Costo dei disturbi mentali: OECD/EU,</w:t>
      </w:r>
      <w:r>
        <w:t xml:space="preserve"> </w:t>
      </w:r>
      <w:r>
        <w:t xml:space="preserve">“</w:t>
      </w:r>
      <w:r>
        <w:t xml:space="preserve">Health at</w:t>
      </w:r>
      <w:r>
        <w:t xml:space="preserve"> </w:t>
      </w:r>
      <w:r>
        <w:t xml:space="preserve">a Glance: Europe 2018</w:t>
      </w:r>
      <w:r>
        <w:t xml:space="preserve">”</w:t>
      </w:r>
      <w:r>
        <w:t xml:space="preserve"> </w:t>
      </w:r>
      <w:r>
        <w:t xml:space="preserve">(verbatim):</w:t>
      </w:r>
      <w:r>
        <w:t xml:space="preserve"> </w:t>
      </w:r>
      <w:r>
        <w:t xml:space="preserve">“</w:t>
      </w:r>
      <w:r>
        <w:t xml:space="preserve">total costs</w:t>
      </w:r>
      <w:r>
        <w:t xml:space="preserve"> </w:t>
      </w:r>
      <w:r>
        <w:t xml:space="preserve">related to mental ill-health at more than 4% ofGDP – or over EUR 600 billion – across the 28</w:t>
      </w:r>
      <w:r>
        <w:t xml:space="preserve"> </w:t>
      </w:r>
      <w:r>
        <w:t xml:space="preserve">EU countries in 2015. EUR 190 billion (or 1.3% of</w:t>
      </w:r>
      <w:r>
        <w:t xml:space="preserve"> </w:t>
      </w:r>
      <w:r>
        <w:t xml:space="preserve">GDP) is direct spending on health care, another</w:t>
      </w:r>
      <w:r>
        <w:t xml:space="preserve"> </w:t>
      </w:r>
      <w:r>
        <w:t xml:space="preserve">EUR 170 billion (1.2% of GDP) is spending on</w:t>
      </w:r>
      <w:r>
        <w:t xml:space="preserve"> </w:t>
      </w:r>
      <w:r>
        <w:t xml:space="preserve">social security programmes, while a further EUR</w:t>
      </w:r>
      <w:r>
        <w:t xml:space="preserve"> </w:t>
      </w:r>
      <w:r>
        <w:t xml:space="preserve">240 billion (1.6% of GDP) is caused by indirect</w:t>
      </w:r>
      <w:r>
        <w:t xml:space="preserve"> </w:t>
      </w:r>
      <w:r>
        <w:t xml:space="preserve">costs in the labour market</w:t>
      </w:r>
      <w:r>
        <w:t xml:space="preserve">”</w:t>
      </w:r>
      <w:r>
        <w:t xml:space="preserve">. In Italia la spesa per</w:t>
      </w:r>
      <w:r>
        <w:t xml:space="preserve"> </w:t>
      </w:r>
      <w:r>
        <w:t xml:space="preserve">salute mentale è il 3,4% della spesa sanitaria</w:t>
      </w:r>
      <w:r>
        <w:t xml:space="preserve"> </w:t>
      </w:r>
      <w:r>
        <w:t xml:space="preserve">(Ambrosetti 2025) vs media europea 6–7%</w:t>
      </w:r>
      <w:r>
        <w:t xml:space="preserve"> </w:t>
      </w:r>
      <w:r>
        <w:t xml:space="preserve">(OCSE 2021); disagio non trattato oltre €12</w:t>
      </w:r>
      <w:r>
        <w:t xml:space="preserve"> </w:t>
      </w:r>
      <w:r>
        <w:t xml:space="preserve">miliardi/anno in produttività perduta (Censis</w:t>
      </w:r>
      <w:r>
        <w:t xml:space="preserve"> </w:t>
      </w:r>
      <w:r>
        <w:t xml:space="preserve">2022).</w:t>
      </w:r>
      <w:r>
        <w:t xml:space="preserve"> </w:t>
      </w:r>
      <w:r>
        <w:t xml:space="preserve">Quadro normativo italiano: DM 77/2022</w:t>
      </w:r>
      <w:r>
        <w:t xml:space="preserve"> </w:t>
      </w:r>
      <w:r>
        <w:t xml:space="preserve">(standard assistenza territoriale, Case di</w:t>
      </w:r>
      <w:r>
        <w:t xml:space="preserve"> </w:t>
      </w:r>
      <w:r>
        <w:t xml:space="preserve">Comunità, PNRR Missione 6) inserisce lo</w:t>
      </w:r>
      <w:r>
        <w:t xml:space="preserve"> </w:t>
      </w:r>
      <w:r>
        <w:t xml:space="preserve">psicologo delle cure primarie; Quotidiano Sanità</w:t>
      </w:r>
      <w:r>
        <w:t xml:space="preserve"> </w:t>
      </w:r>
      <w:r>
        <w:t xml:space="preserve">art. 20-bis DL 137/2020. Esperienze regionali:</w:t>
      </w:r>
      <w:r>
        <w:t xml:space="preserve"> </w:t>
      </w:r>
      <w:r>
        <w:t xml:space="preserve">Campania (L.R. 35/2020), Lombardia (L.R.</w:t>
      </w:r>
      <w:r>
        <w:t xml:space="preserve"> </w:t>
      </w:r>
      <w:r>
        <w:t xml:space="preserve">1/2024), Quotidiano Sanità Puglia (L.R. 11/2023,</w:t>
      </w:r>
      <w:r>
        <w:t xml:space="preserve"> </w:t>
      </w:r>
      <w:r>
        <w:t xml:space="preserve">oneri complessivi €1.950.000 per gli anni 2023 e</w:t>
      </w:r>
      <w:r>
        <w:t xml:space="preserve"> </w:t>
      </w:r>
      <w:r>
        <w:t xml:space="preserve">seguenti, sperimentazione annuale con nove</w:t>
      </w:r>
      <w:r>
        <w:t xml:space="preserve"> </w:t>
      </w:r>
      <w:r>
        <w:t xml:space="preserve">psicologi per distretto socio-sanitario), Toscana</w:t>
      </w:r>
      <w:r>
        <w:t xml:space="preserve"> </w:t>
      </w:r>
      <w:r>
        <w:t xml:space="preserve">(rifinanziamento €675.000, 2026). Testo</w:t>
      </w:r>
      <w:r>
        <w:t xml:space="preserve"> </w:t>
      </w:r>
      <w:r>
        <w:t xml:space="preserve">unificato C. 1140 alla Camera per la legge</w:t>
      </w:r>
      <w:r>
        <w:t xml:space="preserve"> </w:t>
      </w:r>
      <w:r>
        <w:t xml:space="preserve">nazionale. Quotidiano Sanità</w:t>
      </w:r>
      <w:r>
        <w:t xml:space="preserve"> </w:t>
      </w:r>
      <w:r>
        <w:t xml:space="preserve">IA in sanità: quadro etico-giuridicoEU AI Act (Regolamento UE 2024/1689, in vigore dal</w:t>
      </w:r>
      <w:r>
        <w:t xml:space="preserve"> </w:t>
      </w:r>
      <w:r>
        <w:t xml:space="preserve">1 agosto 2024): Tandem Health i sistemi IA medicali</w:t>
      </w:r>
      <w:r>
        <w:t xml:space="preserve"> </w:t>
      </w:r>
      <w:r>
        <w:t xml:space="preserve">sono classificati ad alto rischio (Annex III; SaMD</w:t>
      </w:r>
      <w:r>
        <w:t xml:space="preserve"> </w:t>
      </w:r>
      <w:r>
        <w:t xml:space="preserve">sotto MDR/IVDR). IntuitionLabs Obblighi alto rischio</w:t>
      </w:r>
      <w:r>
        <w:t xml:space="preserve"> </w:t>
      </w:r>
      <w:r>
        <w:t xml:space="preserve">applicabili da agosto 2026 (agosto 2027 per</w:t>
      </w:r>
      <w:r>
        <w:t xml:space="preserve"> </w:t>
      </w:r>
      <w:r>
        <w:t xml:space="preserve">dispositivi CE soggetti a Notified Body). MDx CRO</w:t>
      </w:r>
      <w:r>
        <w:t xml:space="preserve"> </w:t>
      </w:r>
      <w:r>
        <w:t xml:space="preserve">Coesistenza con MDR 2017/745, IVDR e GDPR (la</w:t>
      </w:r>
      <w:r>
        <w:t xml:space="preserve"> </w:t>
      </w:r>
      <w:r>
        <w:t xml:space="preserve">conformità a un quadro non sostituisce gli altri).</w:t>
      </w:r>
      <w:r>
        <w:t xml:space="preserve"> </w:t>
      </w:r>
      <w:r>
        <w:t xml:space="preserve">Tandem Health Divieti su rischio inaccettabile e AI</w:t>
      </w:r>
      <w:r>
        <w:t xml:space="preserve"> </w:t>
      </w:r>
      <w:r>
        <w:t xml:space="preserve">literacy da febbraio 2025. Tandem Health</w:t>
      </w:r>
      <w:r>
        <w:t xml:space="preserve"> </w:t>
      </w:r>
      <w:r>
        <w:t xml:space="preserve">Frameworks di competenza IA per i clinici, ECM,</w:t>
      </w:r>
      <w:r>
        <w:t xml:space="preserve"> </w:t>
      </w:r>
      <w:r>
        <w:t xml:space="preserve">curricula MMG su salute mentale, modelli train-thetrainer.</w:t>
      </w:r>
      <w:r>
        <w:t xml:space="preserve"> </w:t>
      </w:r>
      <w:r>
        <w:t xml:space="preserve">Details</w:t>
      </w:r>
      <w:r>
        <w:t xml:space="preserve"> </w:t>
      </w:r>
      <w:r>
        <w:t xml:space="preserve">Per la stesura del capitolo finale (~20.000 parole,</w:t>
      </w:r>
      <w:r>
        <w:t xml:space="preserve"> </w:t>
      </w:r>
      <w:r>
        <w:t xml:space="preserve">italiano, tono accademico-narrativo, numeri in cifre,</w:t>
      </w:r>
      <w:r>
        <w:t xml:space="preserve"> </w:t>
      </w:r>
      <w:r>
        <w:t xml:space="preserve">senza tabelle né grafici), si sviluppi ciascuna delle</w:t>
      </w:r>
      <w:r>
        <w:t xml:space="preserve"> </w:t>
      </w:r>
      <w:r>
        <w:t xml:space="preserve">dieci sezioni metodologiche a circa 1.800–2.000</w:t>
      </w:r>
      <w:r>
        <w:t xml:space="preserve"> </w:t>
      </w:r>
      <w:r>
        <w:t xml:space="preserve">parole, con le formule in linea nel testo discorsivo, i</w:t>
      </w:r>
      <w:r>
        <w:t xml:space="preserve"> </w:t>
      </w:r>
      <w:r>
        <w:t xml:space="preserve">passi applicativi descritti in forma narrativa</w:t>
      </w:r>
      <w:r>
        <w:t xml:space="preserve"> </w:t>
      </w:r>
      <w:r>
        <w:t xml:space="preserve">numerata, una trattazione dei punti di forza e dei</w:t>
      </w:r>
      <w:r>
        <w:t xml:space="preserve"> </w:t>
      </w:r>
      <w:r>
        <w:t xml:space="preserve">limiti, e un esempio concreto riferito allo psicologo</w:t>
      </w:r>
      <w:r>
        <w:t xml:space="preserve"> </w:t>
      </w:r>
      <w:r>
        <w:t xml:space="preserve">di base. La base evidenziale (Solano/Orvieto,</w:t>
      </w:r>
      <w:r>
        <w:t xml:space="preserve"> </w:t>
      </w:r>
      <w:r>
        <w:t xml:space="preserve">IMPACT, IAPT, POH-GGZ, Better Access,</w:t>
      </w:r>
      <w:r>
        <w:t xml:space="preserve"> </w:t>
      </w:r>
      <w:r>
        <w:t xml:space="preserve">Chisholm/WHO, costo dei disturbi mentali) va</w:t>
      </w:r>
      <w:r>
        <w:t xml:space="preserve"> </w:t>
      </w:r>
      <w:r>
        <w:t xml:space="preserve">integrata come worked examples che attraversano</w:t>
      </w:r>
      <w:r>
        <w:t xml:space="preserve"> </w:t>
      </w:r>
      <w:r>
        <w:t xml:space="preserve">le metodologie. Il capitolo deve chiudersi con ilrepertorio/glossario di almeno 250 concetti</w:t>
      </w:r>
      <w:r>
        <w:t xml:space="preserve"> </w:t>
      </w:r>
      <w:r>
        <w:t xml:space="preserve">fondamentali.</w:t>
      </w:r>
      <w:r>
        <w:t xml:space="preserve"> </w:t>
      </w:r>
      <w:r>
        <w:t xml:space="preserve">Concetti chiave da includere nel glossario (elenco</w:t>
      </w:r>
      <w:r>
        <w:t xml:space="preserve"> </w:t>
      </w:r>
      <w:r>
        <w:t xml:space="preserve">non esaustivo, oltre 250 voci da etichettare</w:t>
      </w:r>
      <w:r>
        <w:t xml:space="preserve"> </w:t>
      </w:r>
      <w:r>
        <w:t xml:space="preserve">brevemente): analisi costi-benefici sociale; analisi</w:t>
      </w:r>
      <w:r>
        <w:t xml:space="preserve"> </w:t>
      </w:r>
      <w:r>
        <w:t xml:space="preserve">finanziaria; analisi economica; prezzo ombra; fattore</w:t>
      </w:r>
      <w:r>
        <w:t xml:space="preserve"> </w:t>
      </w:r>
      <w:r>
        <w:t xml:space="preserve">di conversione; standard conversion factor;</w:t>
      </w:r>
      <w:r>
        <w:t xml:space="preserve"> </w:t>
      </w:r>
      <w:r>
        <w:t xml:space="preserve">willingness-to-pay; tasso di sconto sociale; tasso di</w:t>
      </w:r>
      <w:r>
        <w:t xml:space="preserve"> </w:t>
      </w:r>
      <w:r>
        <w:t xml:space="preserve">sconto finanziario; Social Rate of Time Preference;</w:t>
      </w:r>
      <w:r>
        <w:t xml:space="preserve"> </w:t>
      </w:r>
      <w:r>
        <w:t xml:space="preserve">formula di Ramsey; elasticità marginale dell’utilità</w:t>
      </w:r>
      <w:r>
        <w:t xml:space="preserve"> </w:t>
      </w:r>
      <w:r>
        <w:t xml:space="preserve">del consumo; VAN; ENPV; FNPV; ERR/EIRR; FRR;</w:t>
      </w:r>
      <w:r>
        <w:t xml:space="preserve"> </w:t>
      </w:r>
      <w:r>
        <w:t xml:space="preserve">rapporto benefici-costi; valore residuo; funding gap;</w:t>
      </w:r>
      <w:r>
        <w:t xml:space="preserve"> </w:t>
      </w:r>
      <w:r>
        <w:t xml:space="preserve">metodo pro-rata; Implementing Regulation EU</w:t>
      </w:r>
      <w:r>
        <w:t xml:space="preserve"> </w:t>
      </w:r>
      <w:r>
        <w:t xml:space="preserve">207/2015; Economic Appraisal Vademecum; analisi</w:t>
      </w:r>
      <w:r>
        <w:t xml:space="preserve"> </w:t>
      </w:r>
      <w:r>
        <w:t xml:space="preserve">di sensitività; variabili critiche; analisi di scenario;</w:t>
      </w:r>
      <w:r>
        <w:t xml:space="preserve"> </w:t>
      </w:r>
      <w:r>
        <w:t xml:space="preserve">analisi probabilistica del rischio; Five Case Model;</w:t>
      </w:r>
      <w:r>
        <w:t xml:space="preserve"> </w:t>
      </w:r>
      <w:r>
        <w:t xml:space="preserve">caso strategico; caso economico; caso commerciale;</w:t>
      </w:r>
      <w:r>
        <w:t xml:space="preserve"> </w:t>
      </w:r>
      <w:r>
        <w:t xml:space="preserve">caso finanziario; caso gestionale; obiettivi SMART;</w:t>
      </w:r>
      <w:r>
        <w:t xml:space="preserve"> </w:t>
      </w:r>
      <w:r>
        <w:t xml:space="preserve">longlist; shortlist; Options Framework Filter; do</w:t>
      </w:r>
      <w:r>
        <w:t xml:space="preserve"> </w:t>
      </w:r>
      <w:r>
        <w:t xml:space="preserve">minimum; business as usual; opzione zero;</w:t>
      </w:r>
      <w:r>
        <w:t xml:space="preserve"> </w:t>
      </w:r>
      <w:r>
        <w:t xml:space="preserve">optimism bias; optimism bias uplift; SOC/OBC/FBC;</w:t>
      </w:r>
      <w:r>
        <w:t xml:space="preserve"> </w:t>
      </w:r>
      <w:r>
        <w:t xml:space="preserve">Marginal Excess Tax Burden; tasso di sconto</w:t>
      </w:r>
      <w:r>
        <w:t xml:space="preserve"> </w:t>
      </w:r>
      <w:r>
        <w:t xml:space="preserve">sanitario ridotto; Green Book; affordability;</w:t>
      </w:r>
      <w:r>
        <w:t xml:space="preserve"> </w:t>
      </w:r>
      <w:r>
        <w:t xml:space="preserve">deliverability; value for money; QALY; DALY; YLL;</w:t>
      </w:r>
      <w:r>
        <w:t xml:space="preserve"> </w:t>
      </w:r>
      <w:r>
        <w:t xml:space="preserve">YLD; disability weight; ICER; MAICER; soglia di</w:t>
      </w:r>
      <w:r>
        <w:t xml:space="preserve"> </w:t>
      </w:r>
      <w:r>
        <w:t xml:space="preserve">costo-efficacia; net monetary benefit; net health</w:t>
      </w:r>
      <w:r>
        <w:t xml:space="preserve"> </w:t>
      </w:r>
      <w:r>
        <w:t xml:space="preserve">benefit; cost-effectiveness acceptability curve;</w:t>
      </w:r>
      <w:r>
        <w:t xml:space="preserve"> </w:t>
      </w:r>
      <w:r>
        <w:t xml:space="preserve">cost-effectiveness plane; reference case; analisicosto-efficacia; analisi costo-utilità; analisi costoconseguenza; analisi costo-beneficio; PMG36;</w:t>
      </w:r>
      <w:r>
        <w:t xml:space="preserve"> </w:t>
      </w:r>
      <w:r>
        <w:t xml:space="preserve">severity modifier; opportunity cost; HTA; EUnetHTA</w:t>
      </w:r>
      <w:r>
        <w:t xml:space="preserve"> </w:t>
      </w:r>
      <w:r>
        <w:t xml:space="preserve">Core Model; nove domini HTA; dominio CUR;</w:t>
      </w:r>
      <w:r>
        <w:t xml:space="preserve"> </w:t>
      </w:r>
      <w:r>
        <w:t xml:space="preserve">dominio TEC; dominio SAF; dominio EFF; Joint</w:t>
      </w:r>
      <w:r>
        <w:t xml:space="preserve"> </w:t>
      </w:r>
      <w:r>
        <w:t xml:space="preserve">Clinical Assessment; Joint Scientific Consultation;</w:t>
      </w:r>
      <w:r>
        <w:t xml:space="preserve"> </w:t>
      </w:r>
      <w:r>
        <w:t xml:space="preserve">Regolamento UE 2021/2282; AGENAS; valutazione</w:t>
      </w:r>
      <w:r>
        <w:t xml:space="preserve"> </w:t>
      </w:r>
      <w:r>
        <w:t xml:space="preserve">multidimensionale; PICO; budget impact analysis;</w:t>
      </w:r>
      <w:r>
        <w:t xml:space="preserve"> </w:t>
      </w:r>
      <w:r>
        <w:t xml:space="preserve">budget holder; orizzonte temporale; cost calculator;</w:t>
      </w:r>
      <w:r>
        <w:t xml:space="preserve"> </w:t>
      </w:r>
      <w:r>
        <w:t xml:space="preserve">flussi non attualizzati; uptake; popolazione</w:t>
      </w:r>
      <w:r>
        <w:t xml:space="preserve"> </w:t>
      </w:r>
      <w:r>
        <w:t xml:space="preserve">eleggibile; scenario world with/without; SROI; sette</w:t>
      </w:r>
      <w:r>
        <w:t xml:space="preserve"> </w:t>
      </w:r>
      <w:r>
        <w:t xml:space="preserve">principi del valore sociale; sei fasi SROI; impact</w:t>
      </w:r>
      <w:r>
        <w:t xml:space="preserve"> </w:t>
      </w:r>
      <w:r>
        <w:t xml:space="preserve">map; deadweight; attribuzione; displacement; dropoff; proxy finanziario; materialità; SROI ratio;</w:t>
      </w:r>
      <w:r>
        <w:t xml:space="preserve"> </w:t>
      </w:r>
      <w:r>
        <w:t xml:space="preserve">forecast SROI; evaluative SROI; stakeholder</w:t>
      </w:r>
      <w:r>
        <w:t xml:space="preserve"> </w:t>
      </w:r>
      <w:r>
        <w:t xml:space="preserve">engagement; additionality; AIR; VIR; ATN; DPCM</w:t>
      </w:r>
      <w:r>
        <w:t xml:space="preserve"> </w:t>
      </w:r>
      <w:r>
        <w:t xml:space="preserve">169/2017; Legge 246/2005; Direttiva PCM 16</w:t>
      </w:r>
      <w:r>
        <w:t xml:space="preserve"> </w:t>
      </w:r>
      <w:r>
        <w:t xml:space="preserve">febbraio 2018; DAGL; NUVIR; consultazione aperta;</w:t>
      </w:r>
      <w:r>
        <w:t xml:space="preserve"> </w:t>
      </w:r>
      <w:r>
        <w:t xml:space="preserve">consultazione ristretta; opzioni di intervento; OECD</w:t>
      </w:r>
      <w:r>
        <w:t xml:space="preserve"> </w:t>
      </w:r>
      <w:r>
        <w:t xml:space="preserve">RIA; clausola valutativa; legge regionale; Theory of</w:t>
      </w:r>
      <w:r>
        <w:t xml:space="preserve"> </w:t>
      </w:r>
      <w:r>
        <w:t xml:space="preserve">Change; quadro logico; logframe; results-based</w:t>
      </w:r>
      <w:r>
        <w:t xml:space="preserve"> </w:t>
      </w:r>
      <w:r>
        <w:t xml:space="preserve">management; catena input-output-outcomeimpatto; assunzioni; rischi; indicatori; program</w:t>
      </w:r>
      <w:r>
        <w:t xml:space="preserve"> </w:t>
      </w:r>
      <w:r>
        <w:t xml:space="preserve">theory; contribution analysis; criteri OECD-DAC;</w:t>
      </w:r>
      <w:r>
        <w:t xml:space="preserve"> </w:t>
      </w:r>
      <w:r>
        <w:t xml:space="preserve">rilevanza; coerenza; efficacia; efficienza; impatto;</w:t>
      </w:r>
      <w:r>
        <w:t xml:space="preserve"> </w:t>
      </w:r>
      <w:r>
        <w:t xml:space="preserve">sostenibilità; counterfactual impact evaluation;</w:t>
      </w:r>
      <w:r>
        <w:t xml:space="preserve"> </w:t>
      </w:r>
      <w:r>
        <w:t xml:space="preserve">controfattuale; RCT; difference-in-differences;</w:t>
      </w:r>
      <w:r>
        <w:t xml:space="preserve"> </w:t>
      </w:r>
      <w:r>
        <w:t xml:space="preserve">common trend assumption; regression discontinuity</w:t>
      </w:r>
      <w:r>
        <w:t xml:space="preserve"> </w:t>
      </w:r>
      <w:r>
        <w:t xml:space="preserve">design; propensity score matching; instrumentalvariables; synthetic control; ATE; ATT; ATU;</w:t>
      </w:r>
      <w:r>
        <w:t xml:space="preserve"> </w:t>
      </w:r>
      <w:r>
        <w:t xml:space="preserve">selection bias; esperimento naturale; rollout</w:t>
      </w:r>
      <w:r>
        <w:t xml:space="preserve"> </w:t>
      </w:r>
      <w:r>
        <w:t xml:space="preserve">scaglionato; validità interna; validità esterna;</w:t>
      </w:r>
      <w:r>
        <w:t xml:space="preserve"> </w:t>
      </w:r>
      <w:r>
        <w:t xml:space="preserve">intention-to-treat; albero decisionale; modello di</w:t>
      </w:r>
      <w:r>
        <w:t xml:space="preserve"> </w:t>
      </w:r>
      <w:r>
        <w:t xml:space="preserve">Markov; stati di salute; probabilità di transizione;</w:t>
      </w:r>
      <w:r>
        <w:t xml:space="preserve"> </w:t>
      </w:r>
      <w:r>
        <w:t xml:space="preserve">ciclo di Markov; half-cycle correction;</w:t>
      </w:r>
      <w:r>
        <w:t xml:space="preserve"> </w:t>
      </w:r>
      <w:r>
        <w:t xml:space="preserve">microsimulazione; discrete event simulation; analisi</w:t>
      </w:r>
      <w:r>
        <w:t xml:space="preserve"> </w:t>
      </w:r>
      <w:r>
        <w:t xml:space="preserve">di sensitività probabilistica; analisi di sensitività</w:t>
      </w:r>
      <w:r>
        <w:t xml:space="preserve"> </w:t>
      </w:r>
      <w:r>
        <w:t xml:space="preserve">deterministica; one-way sensitivity analysis; tornado</w:t>
      </w:r>
      <w:r>
        <w:t xml:space="preserve"> </w:t>
      </w:r>
      <w:r>
        <w:t xml:space="preserve">diagram; value of information; EVPI; EVPPI; Monte</w:t>
      </w:r>
      <w:r>
        <w:t xml:space="preserve"> </w:t>
      </w:r>
      <w:r>
        <w:t xml:space="preserve">Carlo; distribuzioni di probabilità; MCDA; pesatura</w:t>
      </w:r>
      <w:r>
        <w:t xml:space="preserve"> </w:t>
      </w:r>
      <w:r>
        <w:t xml:space="preserve">dei criteri; performance matrix; equità; CHEERS</w:t>
      </w:r>
      <w:r>
        <w:t xml:space="preserve"> </w:t>
      </w:r>
      <w:r>
        <w:t xml:space="preserve">2022; CHEERS-AI; checklist 28 item; standard di</w:t>
      </w:r>
      <w:r>
        <w:t xml:space="preserve"> </w:t>
      </w:r>
      <w:r>
        <w:t xml:space="preserve">reporting; trasparenza; replicabilità; psicologo di</w:t>
      </w:r>
      <w:r>
        <w:t xml:space="preserve"> </w:t>
      </w:r>
      <w:r>
        <w:t xml:space="preserve">base; psicologo delle cure primarie; medico di</w:t>
      </w:r>
      <w:r>
        <w:t xml:space="preserve"> </w:t>
      </w:r>
      <w:r>
        <w:t xml:space="preserve">medicina generale; pediatra di libera scelta;</w:t>
      </w:r>
      <w:r>
        <w:t xml:space="preserve"> </w:t>
      </w:r>
      <w:r>
        <w:t xml:space="preserve">copresenza; modello biopsicosociale; frequent</w:t>
      </w:r>
      <w:r>
        <w:t xml:space="preserve"> </w:t>
      </w:r>
      <w:r>
        <w:t xml:space="preserve">attenders; disturbi psicosomatici; medically</w:t>
      </w:r>
      <w:r>
        <w:t xml:space="preserve"> </w:t>
      </w:r>
      <w:r>
        <w:t xml:space="preserve">unexplained symptoms; somatizzazione; stepped</w:t>
      </w:r>
      <w:r>
        <w:t xml:space="preserve"> </w:t>
      </w:r>
      <w:r>
        <w:t xml:space="preserve">care; collaborative care; care manager; IAPT; NHS</w:t>
      </w:r>
      <w:r>
        <w:t xml:space="preserve"> </w:t>
      </w:r>
      <w:r>
        <w:t xml:space="preserve">Talking Therapies; recovery rate; reliable recovery;</w:t>
      </w:r>
      <w:r>
        <w:t xml:space="preserve"> </w:t>
      </w:r>
      <w:r>
        <w:t xml:space="preserve">reliable improvement; caseness; IMPACT trial; POHGGZ; Better Access; bonus psicologo; Casa di</w:t>
      </w:r>
      <w:r>
        <w:t xml:space="preserve"> </w:t>
      </w:r>
      <w:r>
        <w:t xml:space="preserve">Comunità; DM 77/2022; PNRR Missione 6; distretto</w:t>
      </w:r>
      <w:r>
        <w:t xml:space="preserve"> </w:t>
      </w:r>
      <w:r>
        <w:t xml:space="preserve">socio-sanitario; LEA; SSN; spesa farmaceutica;</w:t>
      </w:r>
      <w:r>
        <w:t xml:space="preserve"> </w:t>
      </w:r>
      <w:r>
        <w:t xml:space="preserve">appropriatezza prescrittiva; deospedalizzazione;</w:t>
      </w:r>
      <w:r>
        <w:t xml:space="preserve"> </w:t>
      </w:r>
      <w:r>
        <w:t xml:space="preserve">presa in carico precoce; prevenzione primaria;</w:t>
      </w:r>
      <w:r>
        <w:t xml:space="preserve"> </w:t>
      </w:r>
      <w:r>
        <w:t xml:space="preserve">prevenzione secondaria; stigma; ESEMeD; burden</w:t>
      </w:r>
      <w:r>
        <w:t xml:space="preserve"> </w:t>
      </w:r>
      <w:r>
        <w:t xml:space="preserve">of disease; produttività perduta; assenteismo;presenteeismo; cost offset; ritorno sull’investimento;</w:t>
      </w:r>
      <w:r>
        <w:t xml:space="preserve"> </w:t>
      </w:r>
      <w:r>
        <w:t xml:space="preserve">SROI vs ROI; prospettiva sociale; prospettiva del</w:t>
      </w:r>
      <w:r>
        <w:t xml:space="preserve"> </w:t>
      </w:r>
      <w:r>
        <w:t xml:space="preserve">SSN; prospettiva del payer; orizzonte lifetime;</w:t>
      </w:r>
      <w:r>
        <w:t xml:space="preserve"> </w:t>
      </w:r>
      <w:r>
        <w:t xml:space="preserve">attualizzazione; coorte; incertezza strutturale;</w:t>
      </w:r>
      <w:r>
        <w:t xml:space="preserve"> </w:t>
      </w:r>
      <w:r>
        <w:t xml:space="preserve">incertezza parametrica; equità orizzontale; equità</w:t>
      </w:r>
      <w:r>
        <w:t xml:space="preserve"> </w:t>
      </w:r>
      <w:r>
        <w:t xml:space="preserve">verticale; EU AI Act; Regolamento UE 2024/1689;</w:t>
      </w:r>
      <w:r>
        <w:t xml:space="preserve"> </w:t>
      </w:r>
      <w:r>
        <w:t xml:space="preserve">sistema ad alto rischio; SaMD; MDR 2017/745; IVDR;</w:t>
      </w:r>
      <w:r>
        <w:t xml:space="preserve"> </w:t>
      </w:r>
      <w:r>
        <w:t xml:space="preserve">GDPR; AI literacy; human oversight; conformity</w:t>
      </w:r>
      <w:r>
        <w:t xml:space="preserve"> </w:t>
      </w:r>
      <w:r>
        <w:t xml:space="preserve">assessment; data governance; competenze digitali;</w:t>
      </w:r>
      <w:r>
        <w:t xml:space="preserve"> </w:t>
      </w:r>
      <w:r>
        <w:t xml:space="preserve">ECM; formazione continua; curriculum MMG; trainthe-trainer; attività formative per i medici di base;</w:t>
      </w:r>
      <w:r>
        <w:t xml:space="preserve"> </w:t>
      </w:r>
      <w:r>
        <w:t xml:space="preserve">competency framework; supervisione clinica.</w:t>
      </w:r>
      <w:r>
        <w:t xml:space="preserve"> </w:t>
      </w:r>
      <w:r>
        <w:t xml:space="preserve">Recommendations</w:t>
      </w:r>
      <w:r>
        <w:t xml:space="preserve"> </w:t>
      </w:r>
      <w:r>
        <w:t xml:space="preserve">1. Strutturare il capitolo secondo la catena logica:</w:t>
      </w:r>
      <w:r>
        <w:t xml:space="preserve"> </w:t>
      </w:r>
      <w:r>
        <w:t xml:space="preserve">opzione zero (AIR) → Five Case Model come</w:t>
      </w:r>
      <w:r>
        <w:t xml:space="preserve"> </w:t>
      </w:r>
      <w:r>
        <w:t xml:space="preserve">cornice → CBA sociale + CEA/CUA per il caso</w:t>
      </w:r>
      <w:r>
        <w:t xml:space="preserve"> </w:t>
      </w:r>
      <w:r>
        <w:t xml:space="preserve">economico → BIA per l’affordability → SROI per</w:t>
      </w:r>
      <w:r>
        <w:t xml:space="preserve"> </w:t>
      </w:r>
      <w:r>
        <w:t xml:space="preserve">il valore sociale → CIE per la prova causale</w:t>
      </w:r>
      <w:r>
        <w:t xml:space="preserve"> </w:t>
      </w:r>
      <w:r>
        <w:t xml:space="preserve">tramite rollout scaglionato → modellazione</w:t>
      </w:r>
      <w:r>
        <w:t xml:space="preserve"> </w:t>
      </w:r>
      <w:r>
        <w:t xml:space="preserve">decisionale/MCDA per l’incertezza e le priorità</w:t>
      </w:r>
      <w:r>
        <w:t xml:space="preserve"> </w:t>
      </w:r>
      <w:r>
        <w:t xml:space="preserve">→ HTA per la componente IA → reporting</w:t>
      </w:r>
      <w:r>
        <w:t xml:space="preserve"> </w:t>
      </w:r>
      <w:r>
        <w:t xml:space="preserve">CHEERS 2022/CHEERS-AI.</w:t>
      </w:r>
      <w:r>
        <w:t xml:space="preserve"> </w:t>
      </w:r>
      <w:r>
        <w:t xml:space="preserve">2. Adottare parametri espliciti e difendibili: SDR</w:t>
      </w:r>
      <w:r>
        <w:t xml:space="preserve"> </w:t>
      </w:r>
      <w:r>
        <w:t xml:space="preserve">3%, tasso sanitario ridotto 1,5%, soglia €25.000-</w:t>
      </w:r>
      <w:r>
        <w:t xml:space="preserve"> </w:t>
      </w:r>
      <w:r>
        <w:t xml:space="preserve">40.000/QALY (e tenere conto del passaggio</w:t>
      </w:r>
      <w:r>
        <w:t xml:space="preserve"> </w:t>
      </w:r>
      <w:r>
        <w:t xml:space="preserve">NICE a £25.000–35.000 dal 2026), orizzonte BIA</w:t>
      </w:r>
      <w:r>
        <w:t xml:space="preserve"> </w:t>
      </w:r>
      <w:r>
        <w:t xml:space="preserve">1–5 anni, optimism bias uplift, quattroaggiustamenti SROI con sensitività sul</w:t>
      </w:r>
      <w:r>
        <w:t xml:space="preserve"> </w:t>
      </w:r>
      <w:r>
        <w:t xml:space="preserve">deadweight.</w:t>
      </w:r>
      <w:r>
        <w:t xml:space="preserve"> </w:t>
      </w:r>
      <w:r>
        <w:t xml:space="preserve">3. Soglie che cambierebbero le conclusioni: ICER</w:t>
      </w:r>
      <w:r>
        <w:t xml:space="preserve"> </w:t>
      </w:r>
      <w:r>
        <w:t xml:space="preserve">sopra soglia, ENPV&lt;0, SROI ratio &lt;1, BIA non</w:t>
      </w:r>
      <w:r>
        <w:t xml:space="preserve"> </w:t>
      </w:r>
      <w:r>
        <w:t xml:space="preserve">sostenibile per il budget holder, recovery rate</w:t>
      </w:r>
      <w:r>
        <w:t xml:space="preserve"> </w:t>
      </w:r>
      <w:r>
        <w:t xml:space="preserve">sotto il 50% nel rollout (benchmark IAPT 49,9-</w:t>
      </w:r>
      <w:r>
        <w:t xml:space="preserve"> </w:t>
      </w:r>
      <w:r>
        <w:t xml:space="preserve">50,1%).</w:t>
      </w:r>
      <w:r>
        <w:t xml:space="preserve"> </w:t>
      </w:r>
      <w:r>
        <w:t xml:space="preserve">Caveats</w:t>
      </w:r>
      <w:r>
        <w:t xml:space="preserve"> </w:t>
      </w:r>
      <w:r>
        <w:t xml:space="preserve">Diversi risultati italiani (Solano/Orvieto)</w:t>
      </w:r>
      <w:r>
        <w:t xml:space="preserve"> </w:t>
      </w:r>
      <w:r>
        <w:t xml:space="preserve">provengono da letteratura grigia e campioni</w:t>
      </w:r>
      <w:r>
        <w:t xml:space="preserve"> </w:t>
      </w:r>
      <w:r>
        <w:t xml:space="preserve">limitati; il risparmio IMPACT non è</w:t>
      </w:r>
      <w:r>
        <w:t xml:space="preserve"> </w:t>
      </w:r>
      <w:r>
        <w:t xml:space="preserve">statisticamente significativo (CI 95% attraversa</w:t>
      </w:r>
      <w:r>
        <w:t xml:space="preserve"> </w:t>
      </w:r>
      <w:r>
        <w:t xml:space="preserve">lo zero); i benchmark esteri richiedono cautela</w:t>
      </w:r>
      <w:r>
        <w:t xml:space="preserve"> </w:t>
      </w:r>
      <w:r>
        <w:t xml:space="preserve">di trasferibilità al contesto SSN.</w:t>
      </w:r>
      <w:r>
        <w:t xml:space="preserve"> </w:t>
      </w:r>
      <w:r>
        <w:t xml:space="preserve">Il dato ASL Rieti specifico non risulta</w:t>
      </w:r>
      <w:r>
        <w:t xml:space="preserve"> </w:t>
      </w:r>
      <w:r>
        <w:t xml:space="preserve">documentato quantitativamente nelle fonti</w:t>
      </w:r>
      <w:r>
        <w:t xml:space="preserve"> </w:t>
      </w:r>
      <w:r>
        <w:t xml:space="preserve">pubbliche; il dato italiano più concreto e citabile</w:t>
      </w:r>
      <w:r>
        <w:t xml:space="preserve"> </w:t>
      </w:r>
      <w:r>
        <w:t xml:space="preserve">è il rifinanziamento toscano (€675.000) e gli</w:t>
      </w:r>
      <w:r>
        <w:t xml:space="preserve"> </w:t>
      </w:r>
      <w:r>
        <w:t xml:space="preserve">oneri della L.R. Puglia 11/2023 (€1.950.000).</w:t>
      </w:r>
      <w:r>
        <w:t xml:space="preserve"> </w:t>
      </w:r>
      <w:r>
        <w:t xml:space="preserve">La sintesi</w:t>
      </w:r>
      <w:r>
        <w:t xml:space="preserve"> </w:t>
      </w:r>
      <w:r>
        <w:t xml:space="preserve">“</w:t>
      </w:r>
      <w:r>
        <w:t xml:space="preserve">4:1</w:t>
      </w:r>
      <w:r>
        <w:t xml:space="preserve">”</w:t>
      </w:r>
      <w:r>
        <w:t xml:space="preserve"> </w:t>
      </w:r>
      <w:r>
        <w:t xml:space="preserve">del WHO è una semplificazione</w:t>
      </w:r>
      <w:r>
        <w:t xml:space="preserve"> </w:t>
      </w:r>
      <w:r>
        <w:t xml:space="preserve">comunicativa: l’articolo riporta intervalli di 2,3-</w:t>
      </w:r>
      <w:r>
        <w:t xml:space="preserve"> </w:t>
      </w:r>
      <w:r>
        <w:t xml:space="preserve">3,0:1 (soli benefici economici) e 3,3–5,7:1 (inclusi</w:t>
      </w:r>
      <w:r>
        <w:t xml:space="preserve"> </w:t>
      </w:r>
      <w:r>
        <w:t xml:space="preserve">i ritorni di salute).</w:t>
      </w:r>
      <w:r>
        <w:t xml:space="preserve"> </w:t>
      </w:r>
      <w:r>
        <w:t xml:space="preserve">Per la componente IA le scadenze dell’EU AI Act</w:t>
      </w:r>
      <w:r>
        <w:t xml:space="preserve"> </w:t>
      </w:r>
      <w:r>
        <w:t xml:space="preserve">sono in evoluzione (Digital Omnibus); verificarele date di applicazione al momento della stesura</w:t>
      </w:r>
      <w:r>
        <w:t xml:space="preserve"> </w:t>
      </w:r>
      <w:r>
        <w:t xml:space="preserve">definitiva.</w:t>
      </w:r>
    </w:p>
    <w:p>
      <w:r>
        <w:br w:type="page"/>
      </w:r>
    </w:p>
    <w:bookmarkEnd w:id="2658"/>
    <w:bookmarkStart w:id="2659" w:name="Xa9a5b631111f1df9b8fc5a97c48bde7d27d5ab3"/>
    <w:bookmarkEnd w:id="2659"/>
    <w:bookmarkStart w:id="2660" w:name="X8a95da5f9a4333e355bd9d0042d4c395ebc7f34"/>
    <w:p>
      <w:pPr>
        <w:pStyle w:val="Heading1"/>
      </w:pPr>
      <w:r>
        <w:t xml:space="preserve">Nota di rinvio alle Note Bibliografiche Integrali</w:t>
      </w:r>
    </w:p>
    <w:p>
      <w:pPr>
        <w:pStyle w:val="FirstParagraph"/>
      </w:pPr>
      <w:r>
        <w:t xml:space="preserve">Ciascuna parte del volume reca in chiusura la propria sezione di Note Bibliografiche Integrali, nella quale ogni riferimento è accompagnato dal nome della fonte, dal collegamento e da un mini-riassunto che ne dichiara il contenuto e la funzione probatoria nell’economia della parte. Il presente volume non duplica tali apparati, che conservano validità piena nella sede propria di ciascuna parte; il lettore che intenda verificare una singola affermazione è rinviato alla sezione bibliografica della parte in cui l’affermazione compare, secondo l’ordine dell’indice generale. Gli ancoraggi trasversali dell’intera opera — Chisholm D., Sweeny K., Sheehan P. et al., «Scaling-up treatment of depression and anxiety: a global return-on-investment analysis», The Lancet Psychiatry, vol. 3, n. 5, 2016, pp. 415–424, fonte esclusiva del duplice intervallo di rendimento; Unützer J. et al., «Collaborative care management of late-life depression in the primary care setting: the IMPACT randomized controlled trial», JAMA, vol. 288, n. 22, 2002, pp. 2836–2845, fonte del caveat sui risparmi diretti — sono richiamati in ogni parte pertinente e ne governano le stime senza eccezione.</w:t>
      </w:r>
    </w:p>
    <w:bookmarkEnd w:id="2660"/>
    <w:p>
      <w:pPr>
        <w:pageBreakBefore/>
        <w:spacing w:before="1500" w:after="80"/>
        <w:jc w:val="center"/>
      </w:pPr>
      <w:r>
        <w:rPr>
          <w:rFonts w:ascii="Calibri" w:hAnsi="Calibri" w:cs="Calibri" w:eastAsia="Calibri"/>
          <w:b/>
          <w:color w:val="2E4272"/>
          <w:sz w:val="22"/>
        </w:rPr>
        <w:t>STUDIO INTEGRALE · TOMO II NAZIONALE</w:t>
      </w:r>
    </w:p>
    <w:p>
      <w:pPr>
        <w:pBdr>
          <w:bottom w:val="single" w:sz="10" w:space="6" w:color="C49A48"/>
        </w:pBdr>
        <w:spacing w:after="780"/>
        <w:jc w:val="center"/>
      </w:pPr>
      <w:r>
        <w:rPr>
          <w:rFonts w:ascii="Cambria" w:hAnsi="Cambria" w:cs="Cambria" w:eastAsia="Cambria"/>
          <w:sz w:val="2"/>
        </w:rPr>
      </w:r>
    </w:p>
    <w:p>
      <w:pPr>
        <w:spacing w:before="0" w:after="0" w:line="840" w:lineRule="exact"/>
        <w:jc w:val="center"/>
      </w:pPr>
      <w:r>
        <w:rPr>
          <w:rFonts w:ascii="Calibri" w:hAnsi="Calibri" w:cs="Calibri" w:eastAsia="Calibri"/>
          <w:b/>
          <w:color w:val="16264B"/>
          <w:sz w:val="76"/>
        </w:rPr>
        <w:t>ESTENSIONE</w:t>
      </w:r>
    </w:p>
    <w:p>
      <w:pPr>
        <w:spacing w:before="0" w:after="0" w:line="840" w:lineRule="exact"/>
        <w:jc w:val="center"/>
      </w:pPr>
      <w:r>
        <w:rPr>
          <w:rFonts w:ascii="Calibri" w:hAnsi="Calibri" w:cs="Calibri" w:eastAsia="Calibri"/>
          <w:b/>
          <w:color w:val="16264B"/>
          <w:sz w:val="76"/>
        </w:rPr>
        <w:t>NAZIONALE DEL</w:t>
      </w:r>
    </w:p>
    <w:p>
      <w:pPr>
        <w:spacing w:before="0" w:after="0" w:line="840" w:lineRule="exact"/>
        <w:jc w:val="center"/>
      </w:pPr>
      <w:r>
        <w:rPr>
          <w:rFonts w:ascii="Calibri" w:hAnsi="Calibri" w:cs="Calibri" w:eastAsia="Calibri"/>
          <w:b/>
          <w:color w:val="16264B"/>
          <w:sz w:val="76"/>
        </w:rPr>
        <w:t>MODELLO</w:t>
      </w:r>
    </w:p>
    <w:p>
      <w:pPr>
        <w:spacing w:before="0" w:after="0" w:line="840" w:lineRule="exact"/>
        <w:jc w:val="center"/>
      </w:pPr>
      <w:r>
        <w:rPr>
          <w:rFonts w:ascii="Calibri" w:hAnsi="Calibri" w:cs="Calibri" w:eastAsia="Calibri"/>
          <w:b/>
          <w:color w:val="16264B"/>
          <w:sz w:val="76"/>
        </w:rPr>
        <w:t>PSICOLOGO</w:t>
      </w:r>
    </w:p>
    <w:p>
      <w:pPr>
        <w:spacing w:before="0" w:after="0" w:line="840" w:lineRule="exact"/>
        <w:jc w:val="center"/>
      </w:pPr>
      <w:r>
        <w:rPr>
          <w:rFonts w:ascii="Calibri" w:hAnsi="Calibri" w:cs="Calibri" w:eastAsia="Calibri"/>
          <w:b/>
          <w:color w:val="16264B"/>
          <w:sz w:val="76"/>
        </w:rPr>
        <w:t>DI BASE</w:t>
      </w:r>
    </w:p>
    <w:p>
      <w:pPr>
        <w:pBdr>
          <w:bottom w:val="single" w:sz="14" w:space="6" w:color="16264B"/>
        </w:pBdr>
        <w:spacing w:before="620" w:after="320"/>
        <w:jc w:val="center"/>
      </w:pPr>
      <w:r>
        <w:rPr>
          <w:rFonts w:ascii="Cambria" w:hAnsi="Cambria" w:cs="Cambria" w:eastAsia="Cambria"/>
          <w:sz w:val="2"/>
        </w:rPr>
      </w:r>
    </w:p>
    <w:p>
      <w:pPr>
        <w:spacing w:after="120"/>
        <w:jc w:val="center"/>
      </w:pPr>
      <w:r>
        <w:rPr>
          <w:rFonts w:ascii="Cambria" w:hAnsi="Cambria" w:cs="Cambria" w:eastAsia="Cambria"/>
          <w:i/>
          <w:color w:val="1A1A1A"/>
          <w:sz w:val="28"/>
        </w:rPr>
        <w:t>Studio Integrale, Finale e Definitivo — Diciannove studi regionali integrali</w:t>
      </w:r>
    </w:p>
    <w:p>
      <w:pPr>
        <w:spacing w:after="1600"/>
        <w:jc w:val="center"/>
      </w:pPr>
      <w:r>
        <w:rPr>
          <w:rFonts w:ascii="Cambria" w:hAnsi="Cambria" w:cs="Cambria" w:eastAsia="Cambria"/>
          <w:i/>
          <w:color w:val="6B7280"/>
          <w:sz w:val="24"/>
        </w:rPr>
        <w:t>Dalla riforma pugliese (Legge Regionale 11/2023) all’istituzionalizzazione nazionale</w:t>
      </w:r>
    </w:p>
    <w:p>
      <w:pPr>
        <w:spacing w:before="1800" w:after="80"/>
        <w:jc w:val="center"/>
      </w:pPr>
      <w:r>
        <w:rPr>
          <w:rFonts w:ascii="Calibri" w:hAnsi="Calibri" w:cs="Calibri" w:eastAsia="Calibri"/>
          <w:b/>
          <w:color w:val="1A1A1A"/>
          <w:sz w:val="28"/>
        </w:rPr>
        <w:t>Dott. Luigi De Michele</w:t>
      </w:r>
    </w:p>
    <w:p>
      <w:pPr>
        <w:spacing w:after="40"/>
        <w:jc w:val="center"/>
      </w:pPr>
      <w:r>
        <w:rPr>
          <w:rFonts w:ascii="Cambria" w:hAnsi="Cambria" w:cs="Cambria" w:eastAsia="Cambria"/>
          <w:color w:val="1A1A1A"/>
          <w:sz w:val="22"/>
        </w:rPr>
        <w:t>Psicologo — Capurso (BA)</w:t>
      </w:r>
    </w:p>
    <w:p>
      <w:pPr>
        <w:spacing w:after="40"/>
        <w:jc w:val="center"/>
      </w:pPr>
      <w:r>
        <w:rPr>
          <w:rFonts w:ascii="Cambria" w:hAnsi="Cambria" w:cs="Cambria" w:eastAsia="Cambria"/>
          <w:color w:val="1A1A1A"/>
          <w:sz w:val="22"/>
        </w:rPr>
        <w:t>Studio Integrale — Estensione Nazionale</w:t>
      </w:r>
    </w:p>
    <w:p>
      <w:pPr>
        <w:spacing w:after="40"/>
        <w:jc w:val="center"/>
      </w:pPr>
      <w:r>
        <w:rPr>
          <w:rFonts w:ascii="Cambria" w:hAnsi="Cambria" w:cs="Cambria" w:eastAsia="Cambria"/>
          <w:color w:val="1A1A1A"/>
          <w:sz w:val="22"/>
        </w:rPr>
        <w:t>Edizione consolidata · Luglio 2026</w:t>
      </w:r>
    </w:p>
    <w:p>
      <w:r>
        <w:br w:type="page"/>
      </w:r>
    </w:p>
    <w:sdt>
      <w:sdtPr>
        <w:docPartObj>
          <w:docPartGallery w:val="Indice"/>
          <w:docPartUnique/>
        </w:docPartObj>
      </w:sdtPr>
      <w:sdtContent>
        <w:p>
          <w:pPr>
            <w:pStyle w:val="TOCHeading"/>
          </w:pPr>
          <w:r>
            <w:t xml:space="preserve">Indice</w:t>
          </w:r>
        </w:p>
        <w:p>
          <w:r>
            <w:fldChar w:fldCharType="begin" w:dirty="true"/>
            <w:instrText xml:space="preserve">TOC \o "1-2" \h \z \u</w:instrText>
            <w:fldChar w:fldCharType="separate"/>
            <w:fldChar w:fldCharType="end"/>
          </w:r>
        </w:p>
      </w:sdtContent>
    </w:sdt>
    <w:bookmarkStart w:id="10" w:name="studio-integrale-finale-e-definitivo"/>
    <w:bookmarkStart w:id="9" w:name="X402fe96220780ad07f1ea9393a4a391f847cc77"/>
    <w:bookmarkEnd w:id="9"/>
    <w:bookmarkEnd w:id="10"/>
    <w:bookmarkStart w:id="11" w:name="avvertenza-di-edizione-del-tomo-ii"/>
    <w:p>
      <w:pPr>
        <w:pStyle w:val="Heading1"/>
      </w:pPr>
      <w:r>
        <w:t xml:space="preserve">Avvertenza di edizione del Tomo II</w:t>
      </w:r>
    </w:p>
    <w:p>
      <w:pPr>
        <w:pStyle w:val="FirstParagraph"/>
      </w:pPr>
      <w:r>
        <w:t xml:space="preserve">Il presente Tomo II consolida l’estensione nazionale del modello «Psicologo di Base», in edizione per tranche progressive. La presente Tranche 3 completa il consolidamento dei materiali disponibili: la Sezione Nazionale — nel solo corpus conforme al regime probatorio dell’opera — e i quattro Blocchi Regionali, per un totale di diciannove studi integrali di valutazione delle tecnologie sanitarie (Piemonte, Liguria, Lombardia, Trentino-Alto Adige, Veneto, Friuli-Venezia Giulia nello stato parziale disponibile, Emilia-Romagna, Toscana, Lazio, Marche, Umbria, Abruzzo, Molise, Campania, Basilicata, Calabria, Sicilia, Sardegna, Valle d’Aosta), condotti sul telaio HTA internazionale con i medesimi vincoli metodologici invarianti del Tomo I: duplice intervallo di Chisholm e collaboratori (2016) quale unico ancoraggio di rendimento; caveat del trial IMPACT; verdetto tripartito mai aggregato; regola di non duplicazione; graduazione simmetrica GRADE; Intelligenza Artificiale come leva abilitante subordinata. Le rare occorrenze di rapporti semplificati entro gli studi regionali sono smentite critiche delle semplificazioni comunicative, non affermazioni dell’opera. Lo studio della Puglia non è riprodotto nel presente tomo, essendo esso l’oggetto integrale del Tomo I, al quale si rinvia. Restano esclusi dall’integrazione testuale, con scelta deliberata, i documenti nazionali della fase anteriore — la sintesi nazionale di prima generazione, le venti schede regionali di prima generazione, la traccia di legge nazionale, il fascicolo unico nazionale e la relazione sui risparmi indiretti — in quanto recano come affermazioni positive rapporti di rendimento superati dal regime probatorio dell’opera; la loro funzione è assolta, in forma conforme, dagli studi regionali di seconda generazione qui consolidati. Con la presente Tranche 3, gli studi delle regioni Marche, Molise, Umbria e Valle d’Aosta sono stati acquisiti e integralmente consolidati nei rispettivi Blocchi Regionali, sul medesimo telaio metodologico e con il medesimo ancoraggio a Chisholm e collaboratori (2016) delle quindici regioni già presenti: la copertura nazionale del Tomo II risulta con ciò completa per tutte le diciannove regioni trattabili nel perimetro dell’opera (esclusa la sola Puglia, oggetto del Tomo I).</w:t>
      </w:r>
    </w:p>
    <w:p>
      <w:pPr>
        <w:pStyle w:val="BodyText"/>
      </w:pPr>
      <w:r>
        <w:t xml:space="preserve">La terza tranche di integrazione, resa possibile dal recupero del testo nativo dalle stampe d’archivio, aggiunge alla Sezione Nazionale il telaio integrato dello studio regionale — l’architettura definitiva per l’estensione a tutte le regioni — e il capitolo ricalibrato sull’impatto economico, organizzativo e di sistema del Servizio a livello nazionale, che procede per scalatura ragionata del modello pugliese già quantificato, senza ricorso ad alcun rapporto non ammesso. Restano escluse, con dichiarazione, la sintesi nazionale di prima generazione, per affermazione positiva di rapporti superati, e la traccia di presentazione per i decisori, quale apparato di comunicazione politica di parte estraneo al perimetro scientifico. Per pronunciamento dell’autore, l’ancoraggio di riferimento dell’intera opera, in questo Tomo II come nel Tomo I, resta il duplice intervallo di Chisholm e collaboratori (2016): è questo l’unico rapporto di rendimento adottato quale riferimento per l’iter legislativo nazionale e regionale, in ogni studio regionale qui consolidato. Il quadro OCSE 2026 è stato esaminato in fase di revisione come possibile schema di governo comparativo, ma non è stato adottato quale strato sostitutivo dei valori qui riportati: la sua trattazione, a fini di trasparenza storica e comparativa, è consolidata nel Tomo I (Appendice IV, § 6, «Nota storica: il quadro OCSE 2026 come riferimento comparativo»), alla quale si rinvia per ogni approfondimento in merito. L’apparato fondato su Chisholm e collaboratori (2016) resta, senza eccezione, l’unico strato di rendimento affermato nel presente tomo.</w:t>
      </w:r>
    </w:p>
    <w:bookmarkEnd w:id="11"/>
    <w:bookmarkStart w:id="12" w:name="indice-generale-del-tomo-ii"/>
    <w:p>
      <w:pPr>
        <w:pStyle w:val="Heading1"/>
      </w:pPr>
      <w:r>
        <w:t xml:space="preserve">Indice generale del Tomo II</w:t>
      </w:r>
    </w:p>
    <w:p>
      <w:pPr>
        <w:pStyle w:val="FirstParagraph"/>
      </w:pPr>
      <w:r>
        <w:rPr>
          <w:b/>
          <w:bCs/>
        </w:rPr>
        <w:t xml:space="preserve">Sezione Nazionale</w:t>
      </w:r>
      <w:r>
        <w:t xml:space="preserve"> </w:t>
      </w:r>
      <w:r>
        <w:t xml:space="preserve">— Capitolo introduttivo dell’estensione nazionale · I sistemi sanitari regionali · L’Intelligenza Artificiale lungo il continuum assistenziale e la quantificazione del risparmio · La struttura della sperimentazione pilota · Gli atti per la consultazione</w:t>
      </w:r>
    </w:p>
    <w:p>
      <w:pPr>
        <w:pStyle w:val="BodyText"/>
      </w:pPr>
      <w:r>
        <w:rPr>
          <w:b/>
          <w:bCs/>
        </w:rPr>
        <w:t xml:space="preserve">Blocco Regionale I — Italia settentrionale</w:t>
      </w:r>
      <w:r>
        <w:t xml:space="preserve"> </w:t>
      </w:r>
      <w:r>
        <w:t xml:space="preserve">— Piemonte · Liguria · Lombardia · Trentino-Alto Adige · Veneto · Friuli-Venezia Giulia (parziale A–C) · Emilia-Romagna</w:t>
      </w:r>
    </w:p>
    <w:p>
      <w:pPr>
        <w:pStyle w:val="BodyText"/>
      </w:pPr>
      <w:r>
        <w:rPr>
          <w:b/>
          <w:bCs/>
        </w:rPr>
        <w:t xml:space="preserve">Blocco Regionale II — Italia centrale</w:t>
      </w:r>
      <w:r>
        <w:t xml:space="preserve"> </w:t>
      </w:r>
      <w:r>
        <w:t xml:space="preserve">— Toscana · Lazio · Marche · Umbria</w:t>
      </w:r>
    </w:p>
    <w:p>
      <w:pPr>
        <w:pStyle w:val="BodyText"/>
      </w:pPr>
      <w:r>
        <w:rPr>
          <w:b/>
          <w:bCs/>
        </w:rPr>
        <w:t xml:space="preserve">Blocco Regionale III — Italia meridionale</w:t>
      </w:r>
      <w:r>
        <w:t xml:space="preserve"> </w:t>
      </w:r>
      <w:r>
        <w:t xml:space="preserve">— Abruzzo · Molise · Campania · Basilicata · Calabria · Puglia</w:t>
      </w:r>
      <w:r>
        <w:t xml:space="preserve"> </w:t>
      </w:r>
      <w:r>
        <w:rPr>
          <w:i/>
          <w:iCs/>
        </w:rPr>
        <w:t xml:space="preserve">(rinvio al Tomo I)</w:t>
      </w:r>
    </w:p>
    <w:p>
      <w:pPr>
        <w:pStyle w:val="BodyText"/>
      </w:pPr>
      <w:r>
        <w:rPr>
          <w:b/>
          <w:bCs/>
        </w:rPr>
        <w:t xml:space="preserve">Blocco Regionale IV — Isole e regioni residue</w:t>
      </w:r>
      <w:r>
        <w:t xml:space="preserve"> </w:t>
      </w:r>
      <w:r>
        <w:t xml:space="preserve">— Sicilia · Sardegna · Valle d’Aosta</w:t>
      </w:r>
    </w:p>
    <w:p>
      <w:pPr>
        <w:pStyle w:val="BodyText"/>
      </w:pPr>
      <w:r>
        <w:rPr>
          <w:b/>
          <w:bCs/>
        </w:rPr>
        <w:t xml:space="preserve">Quadro Conclusivo economico-sociale e multidisciplinare del Tomo II</w:t>
      </w:r>
      <w:r>
        <w:t xml:space="preserve"> </w:t>
      </w:r>
      <w:r>
        <w:t xml:space="preserve">·</w:t>
      </w:r>
      <w:r>
        <w:t xml:space="preserve"> </w:t>
      </w:r>
      <w:r>
        <w:rPr>
          <w:b/>
          <w:bCs/>
        </w:rPr>
        <w:t xml:space="preserve">Conclusione</w:t>
      </w:r>
      <w:r>
        <w:t xml:space="preserve"> </w:t>
      </w:r>
      <w:r>
        <w:t xml:space="preserve">·</w:t>
      </w:r>
      <w:r>
        <w:t xml:space="preserve"> </w:t>
      </w:r>
      <w:r>
        <w:rPr>
          <w:b/>
          <w:bCs/>
        </w:rPr>
        <w:t xml:space="preserve">Nota di rinvio bibliografico</w:t>
      </w:r>
    </w:p>
    <w:bookmarkEnd w:id="12"/>
    <w:bookmarkStart w:id="4128" w:name="sezione-nazionale"/>
    <w:p>
      <w:pPr>
        <w:pStyle w:val="Heading1"/>
      </w:pPr>
      <w:r>
        <w:t xml:space="preserve">Sezione Nazionale</w:t>
      </w:r>
    </w:p>
    <w:bookmarkStart w:id="13" w:name="X7d95ca89cdbde001c6e5e272c9fda23df0a1c2b"/>
    <w:p>
      <w:pPr>
        <w:pStyle w:val="Heading2"/>
      </w:pPr>
      <w:r>
        <w:t xml:space="preserve">Capitolo introduttivo dell’estensione nazionale</w:t>
      </w:r>
    </w:p>
    <w:p>
      <w:pPr>
        <w:pStyle w:val="FirstParagraph"/>
      </w:pPr>
      <w:r>
        <w:t xml:space="preserve">Estensione nazionale del modello Psicologo di Base potenziato dall’Intelligenza Artificiale</w:t>
      </w:r>
    </w:p>
    <w:p>
      <w:pPr>
        <w:pStyle w:val="BodyText"/>
      </w:pPr>
      <w:r>
        <w:t xml:space="preserve">Indice</w:t>
      </w:r>
    </w:p>
    <w:bookmarkEnd w:id="13"/>
    <w:bookmarkStart w:id="62" w:name="X866a0e12d00b2b2b9a323a60c691c0f8f46bcff"/>
    <w:p>
      <w:pPr>
        <w:pStyle w:val="Heading2"/>
      </w:pPr>
      <w:r>
        <w:t xml:space="preserve">Estensione nazionale del modello</w:t>
      </w:r>
      <w:r>
        <w:t xml:space="preserve"> </w:t>
      </w:r>
      <w:r>
        <w:t xml:space="preserve">“Psicologo di Base”</w:t>
      </w:r>
      <w:r>
        <w:t xml:space="preserve"> </w:t>
      </w:r>
      <w:r>
        <w:t xml:space="preserve">potenziato dall’Intelligenza Artificiale</w:t>
      </w:r>
    </w:p>
    <w:bookmarkStart w:id="14" w:name="X6fc1396fdf93bb69ee8413f162932e0adaf36bf"/>
    <w:p>
      <w:pPr>
        <w:pStyle w:val="Heading3"/>
      </w:pPr>
      <w:r>
        <w:t xml:space="preserve">Capitolo introduttivo — Quadro dei Sistemi Sanitari Regionali, metodologia di trasferimento del modello pugliese e cornice di integrazione dell’Intelligenza Artificiale lungo il continuum diagnosi–prevenzione–trattamento–riabilitazione–recupero</w:t>
      </w:r>
    </w:p>
    <w:bookmarkEnd w:id="14"/>
    <w:bookmarkStart w:id="15" w:name="X24a1c365071a4e1f5522c9d431abaab925547a1"/>
    <w:p>
      <w:pPr>
        <w:pStyle w:val="Heading3"/>
      </w:pPr>
      <w:r>
        <w:t xml:space="preserve">0. Premessa: dal modello regionale al modello nazionale</w:t>
      </w:r>
    </w:p>
    <w:p>
      <w:pPr>
        <w:pStyle w:val="FirstParagraph"/>
      </w:pPr>
      <w:r>
        <w:t xml:space="preserve">Il presente documento avvia formalmente l’estensione su scala nazionale del progetto</w:t>
      </w:r>
      <w:r>
        <w:t xml:space="preserve"> </w:t>
      </w:r>
      <w:r>
        <w:t xml:space="preserve">“Psicologo di Base”</w:t>
      </w:r>
      <w:r>
        <w:t xml:space="preserve">, finora elaborato e quantificato con riferimento alla sola Regione Puglia. L’impianto pugliese ha dimostrato, con metodologia evidence-based e attraverso una disaggregazione analitica dei costi diretti, dei risparmi diretti e dei risparmi indiretti, che l’inserimento strutturale di psicologi nelle cure primarie territoriali, in raccordo funzionale con i Centri di Salute Mentale, configura non un costo aggiuntivo insostenibile ma una ristrutturazione strategica del modello assistenziale dotata di ritorni economici e di salute robusti. Per la sola Puglia, a fronte di un organico a regime di 800–900 psicologi a tempo pieno equivalente e di un investimento annuo compreso tra 38,8 e 43,5 milioni di euro (fino a 41,7–46,7 milioni includendo un margine di contingenza del 7,5%), pari a un costo per abitante di soli 10–12 euro l’anno, sono stati stimati risparmi diretti sanitari nell’ordine di 250–330 milioni di euro l’anno a regime e risparmi indiretti compresi tra 330 e 540 milioni di euro l’anno, con un rapporto complessivo benefici/costi collocato in una forbice prudenziale di 6–12 a 1 su un orizzonte di 5–10 anni. L’integrazione sistematica di soluzioni di Intelligenza Artificiale nel medesimo modello, già oggetto di specifica trattazione, è stata stimata in grado di ridurre del 3–5% i costi diretti del servizio e di elevare il rapporto benefici/costi fino a valori di 10–15 a 1 negli scenari più favorevoli.</w:t>
      </w:r>
    </w:p>
    <w:p>
      <w:pPr>
        <w:pStyle w:val="BodyText"/>
      </w:pPr>
      <w:r>
        <w:t xml:space="preserve">L’obiettivo di questa nuova fase è duplice e coerente con le indicazioni metodologiche del progetto. In primo luogo, si tratta di costruire la base dati sanitaria, demografica ed economica di ciascuna Regione e Provincia autonoma italiana, condizione necessaria per trasferire il modello pugliese ai restanti contesti territoriali, i quali presentano caratteristiche epidemiologiche, demografiche, organizzative e finanziarie significativamente differenti da quelle della Puglia. In secondo luogo, si tratta di sviluppare in profondità la dimensione dell’Intelligenza Artificiale, non più soltanto come leva di efficientamento gestionale del servizio, ma come tecnologia abilitante lungo l’intero continuum assistenziale — diagnosi, prevenzione, trattamento, riabilitazione e recupero — e come oggetto di un programma strutturato di formazione e accompagnamento di ogni medico di medicina generale e di ogni psicologo di base. La finalità ultima rimane la quantificazione dell’ulteriore riduzione della spesa sanitaria pubblica conseguibile, prima in Puglia e poi nell’intero Servizio Sanitario Nazionale, mediante l’adozione coordinata dell’Intelligenza Artificiale.</w:t>
      </w:r>
    </w:p>
    <w:p>
      <w:pPr>
        <w:pStyle w:val="BodyText"/>
      </w:pPr>
      <w:r>
        <w:t xml:space="preserve">Il documento adotta un approccio rigorosamente evidence-based, multidisciplinare, multifattoriale e multidimensionale. Le fonti utilizzate comprendono le statistiche ufficiali dell’Istituto Nazionale di Statistica, le rilevazioni del Ministero della Salute, le elaborazioni della Fondazione GIMBE e della Corte dei Conti, i dati della Struttura Interregionale Sanitari Convenzionati, le relazioni dell’OCSE e dell’Organizzazione Mondiale della Sanità, nonché la letteratura scientifica peer-reviewed reperita attraverso la banca dati biomedica PubMed. Il tono è accademico e narrativo, privo di costruzioni metaforiche o figurative; i valori numerici sono espressi in cifre.</w:t>
      </w:r>
    </w:p>
    <w:bookmarkEnd w:id="15"/>
    <w:bookmarkStart w:id="19" w:name="X0bba7b723960245d0bfbfdc2881be2058bfd57d"/>
    <w:p>
      <w:pPr>
        <w:pStyle w:val="Heading3"/>
      </w:pPr>
      <w:r>
        <w:t xml:space="preserve">1. Cornice metodologica del trasferimento dal livello regionale al livello nazionale</w:t>
      </w:r>
    </w:p>
    <w:bookmarkStart w:id="16" w:name="X559815092a22bf05946ae3f8c0775e674af1243"/>
    <w:p>
      <w:pPr>
        <w:pStyle w:val="Heading4"/>
      </w:pPr>
      <w:r>
        <w:t xml:space="preserve">1.1. Il principio del coefficiente pro capite calibrato</w:t>
      </w:r>
    </w:p>
    <w:p>
      <w:pPr>
        <w:pStyle w:val="FirstParagraph"/>
      </w:pPr>
      <w:r>
        <w:t xml:space="preserve">Il modello pugliese è stato costruito attorno a parametri pro capite, e questa caratteristica ne consente il trasferimento controllato agli altri contesti regionali. Il fabbisogno di organico psicologico è stato dimensionato in 800–900 unità a tempo pieno equivalente per una popolazione di 3.890.661 residenti, corrispondenti a un rapporto compreso tra 205,6 e 231,4 psicologi di base ogni milione di abitanti, ovvero tra 20,6 e 23,1 ogni 100.000 abitanti. Il costo unitario per psicologo a tempo pieno è stato fissato in circa 48.300–48.500 euro l’anno (oltre 52.000 euro includendo le contingenze), sulla base del Contratto Collettivo Nazionale di Lavoro del Comparto Sanità, della categoria D del profilo di psicologo non dirigente, con un moltiplicatore di costo pari a 1,426 rispetto allo stipendio tabellare lordo. I risparmi sono stati espressi come quote percentuali delle voci di spesa sanitaria aggredibili: visite di medicina generale improprie, prescrizioni farmacologiche inappropriate, accessi al Pronto Soccorso, ricoveri evitabili, prestazioni specialistiche e psichiatriche per quadri lievi-moderati gestibili in cure primarie, oltre alle componenti indirette relative a produttività persa, invalidità, oneri familiari e di caregiving.</w:t>
      </w:r>
    </w:p>
    <w:p>
      <w:pPr>
        <w:pStyle w:val="BodyText"/>
      </w:pPr>
      <w:r>
        <w:t xml:space="preserve">Il trasferimento nazionale non può tuttavia consistere in una semplice moltiplicazione proporzionale della popolazione. Ciascuna Regione presenta una struttura per età differente, una diversa prevalenza di multimorbidità cronica, livelli eterogenei di spesa sanitaria pro capite, dotazioni di personale e di servizi territoriali non comparabili e profili economici che incidono sulla componente indiretta del risparmio. Per questa ragione il modello viene trasferito mediante un coefficiente pro capite calibrato su quattro fattori di aggiustamento regionale, di seguito descritti.</w:t>
      </w:r>
    </w:p>
    <w:bookmarkEnd w:id="16"/>
    <w:bookmarkStart w:id="17" w:name="Xfb7d3d35f7a2abf962dc22a9b472cb29e91c422"/>
    <w:p>
      <w:pPr>
        <w:pStyle w:val="Heading4"/>
      </w:pPr>
      <w:r>
        <w:t xml:space="preserve">1.2. I quattro fattori di aggiustamento regionale</w:t>
      </w:r>
    </w:p>
    <w:p>
      <w:pPr>
        <w:pStyle w:val="FirstParagraph"/>
      </w:pPr>
      <w:r>
        <w:t xml:space="preserve">Il primo fattore è demografico e riguarda la quota di popolazione anziana e l’indice di vecchiaia, poiché la prevalenza dei disturbi mentali comuni — depressione, ansia, disturbi correlati allo stress — è più elevata nelle fasce di età avanzata, nei pazienti con pluripatologia e nelle condizioni di deprivazione socio-economica. Le Regioni con maggiore invecchiamento presentano un fabbisogno potenziale superiore e, simmetricamente, un potenziale di risparmio più ampio sulle voci farmaceutiche, specialistiche e di salute mentale legate alla cronicità.</w:t>
      </w:r>
    </w:p>
    <w:p>
      <w:pPr>
        <w:pStyle w:val="BodyText"/>
      </w:pPr>
      <w:r>
        <w:t xml:space="preserve">Il secondo fattore è epidemiologico e organizzativo, e attiene al divario tra bisogno di salute mentale e offerta effettiva di servizi specialistici, misurabile attraverso i tassi di utenza dei Dipartimenti di Salute Mentale, la dotazione di psicologi nel Servizio Sanitario Nazionale e gli accessi al Pronto Soccorso per cause psichiatriche. Dove l’offerta specialistica è più carente, lo psicologo di base interviene su un bacino di domanda inevasa più ampio, con un effetto di intercettazione precoce e di filtro clinico potenzialmente maggiore.</w:t>
      </w:r>
    </w:p>
    <w:p>
      <w:pPr>
        <w:pStyle w:val="BodyText"/>
      </w:pPr>
      <w:r>
        <w:t xml:space="preserve">Il terzo fattore è finanziario e riguarda il livello di spesa sanitaria pubblica pro capite e lo stato dei conti regionali, con particolare riferimento alle Regioni sottoposte a piano di rientro. In tali contesti il vincolo di bilancio è più stringente, ma è anche più elevato il rendimento marginale di un intervento che riduce l’utilizzo inappropriato di risorse, poiché ogni euro risparmiato libera capacità in un sistema già in tensione.</w:t>
      </w:r>
    </w:p>
    <w:p>
      <w:pPr>
        <w:pStyle w:val="BodyText"/>
      </w:pPr>
      <w:r>
        <w:t xml:space="preserve">Il quarto fattore è economico e attiene al prodotto interno lordo regionale e al tasso di occupazione, variabili che determinano l’entità della componente indiretta del risparmio, ossia la produttività recuperata, la riduzione delle assenze dal lavoro, il contenimento delle invalidità e dei pensionamenti anticipati per causa psichiatrica. Le Regioni a più elevato prodotto pro capite presentano un valore monetario della produttività persa più alto e, conseguentemente, un risparmio indiretto potenziale maggiore in termini assoluti.</w:t>
      </w:r>
    </w:p>
    <w:bookmarkEnd w:id="17"/>
    <w:bookmarkStart w:id="18" w:name="la-clusterizzazione-delle-regioni"/>
    <w:p>
      <w:pPr>
        <w:pStyle w:val="Heading4"/>
      </w:pPr>
      <w:r>
        <w:t xml:space="preserve">1.3. La clusterizzazione delle Regioni</w:t>
      </w:r>
    </w:p>
    <w:p>
      <w:pPr>
        <w:pStyle w:val="FirstParagraph"/>
      </w:pPr>
      <w:r>
        <w:t xml:space="preserve">Per rendere operativo il trasferimento, le venti Regioni e le due Province autonome vengono aggregate in macro-aree omogenee — Nord-Ovest, Nord-Est, Centro, Sud, Isole — e in cluster funzionali definiti dalla combinazione dei quattro fattori di aggiustamento. Questa clusterizzazione consente di applicare a ciascun gruppo regionale coefficienti di calibrazione differenziati, evitando sia la sottostima del fabbisogno nei contesti ad alto invecchiamento e bassa offerta specialistica, sia la sovrastima dei risparmi nei contesti in cui la spesa di riferimento aggredibile è strutturalmente più contenuta. I capitoli successivi del progetto svilupperanno, Regione per Regione, la quantificazione puntuale dei costi di implementazione, dei risparmi diretti e indiretti, del ritorno sull’investimento e dei tempi di pareggio, applicando la medesima architettura analitica già validata per la Puglia.</w:t>
      </w:r>
    </w:p>
    <w:bookmarkEnd w:id="18"/>
    <w:bookmarkEnd w:id="19"/>
    <w:bookmarkStart w:id="4129" w:name="X5289d4b5c402b82de494d515b67359654f17085"/>
    <w:p>
      <w:pPr>
        <w:pStyle w:val="Heading3"/>
      </w:pPr>
      <w:r>
        <w:t xml:space="preserve">2. Il quadro demografico nazionale e regionale</w:t>
      </w:r>
    </w:p>
    <w:bookmarkStart w:id="4130" w:name="X419264fe03dc3ea9f802420ffa4b6cc64457836"/>
    <w:p>
      <w:pPr>
        <w:pStyle w:val="Heading4"/>
      </w:pPr>
      <w:r>
        <w:t xml:space="preserve">2.1. La popolazione residente e la sua distribuzione territoriale</w:t>
      </w:r>
    </w:p>
    <w:p>
      <w:pPr>
        <w:pStyle w:val="FirstParagraph"/>
      </w:pPr>
      <w:r>
        <w:t xml:space="preserve">Al 31 dicembre 2024, secondo i risultati del Censimento permanente diffusi dall’Istituto Nazionale di Statistica, la popolazione abitualmente dimorante in Italia ammonta a 58.943.464 individui, in lieve flessione rispetto agli anni precedenti. La componente straniera residente raggiunge 5.371.251 individui, pari al 9,1% del totale. La distribuzione territoriale della popolazione è fortemente concentrata: oltre un terzo dei residenti si addensa nelle tre Regioni più popolose. La Lombardia, con 10.033.918 abitanti, costituisce da sola circa il 17% della popolazione nazionale; seguono il Lazio con 5.709.178 residenti e la Campania con 5.582.337. Il quarto e il quinto posto sono occupati dal Veneto, con 4.853.472 abitanti, e dalla Sicilia, con 4.787.390. L’Emilia-Romagna conta 4.461.998 residenti e il Piemonte 4.251.868. La Puglia, contesto di riferimento del modello originario, si colloca all’ottavo posto con 3.877.395 abitanti, seguita dalla Toscana con 3.657.716.</w:t>
      </w:r>
    </w:p>
    <w:p>
      <w:pPr>
        <w:pStyle w:val="BodyText"/>
      </w:pPr>
      <w:r>
        <w:t xml:space="preserve">Nella fascia intermedia si collocano la Calabria, con 1.834.646 residenti, la Sardegna, con 1.562.381, la Liguria, con 1.510.143, le Marche, con 1.480.545, l’Abruzzo, con 1.269.118, il Friuli-Venezia Giulia, con 1.193.284, e il Trentino-Alto Adige, con 1.086.252 abitanti complessivi ripartiti tra le due Province autonome di Trento e di Bolzano. Le Regioni meno popolose sono l’Umbria, con 851.473 residenti, la Basilicata, con 530.004, il Molise, con 287.814, e la Valle d’Aosta, con 122.532 abitanti. Questa marcata asimmetria dimensionale impone che il modello nazionale preveda soglie minime di servizio per le Regioni di piccole dimensioni, nelle quali l’organizzazione capillare per Casa della Comunità e per Nucleo di Cure Primarie deve essere modulata in funzione della densità abitativa e della dispersione territoriale, particolarmente accentuata nelle aree interne, montane e insulari.</w:t>
      </w:r>
    </w:p>
    <w:bookmarkEnd w:id="4130"/>
    <w:bookmarkStart w:id="4131" w:name="X90d743faa35e9c1cae8613e878ac704dd7dee26"/>
    <w:p>
      <w:pPr>
        <w:pStyle w:val="Heading4"/>
      </w:pPr>
      <w:r>
        <w:t xml:space="preserve">2.2. L’invecchiamento della popolazione e la sua eterogeneità regionale</w:t>
      </w:r>
    </w:p>
    <w:p>
      <w:pPr>
        <w:pStyle w:val="FirstParagraph"/>
      </w:pPr>
      <w:r>
        <w:t xml:space="preserve">Il processo di invecchiamento costituisce il principale determinante strutturale del fabbisogno di salute mentale e, al tempo stesso, della spesa sanitaria aggredibile. A livello nazionale, la quota di popolazione di 65 anni e oltre si colloca attorno al 24,3–24,7% e l’indice di vecchiaia, che misura il numero di anziani ogni 100 giovani di 0–14 anni, è salito a 208 nel 2024, rispetto a 200 nel 2023 e a 149 nel 2011. La speranza di vita alla nascita ha ripreso a crescere, attestandosi a 83,4 anni, mentre la fecondità ha toccato il minimo storico di 1,18 figli per donna.</w:t>
      </w:r>
    </w:p>
    <w:p>
      <w:pPr>
        <w:pStyle w:val="BodyText"/>
      </w:pPr>
      <w:r>
        <w:t xml:space="preserve">La distribuzione regionale dell’invecchiamento è marcatamente disomogenea e configura due Italie demografiche. All’estremo dell’invecchiamento si collocano la Liguria, regione più anziana del Paese con una quota di ultrasessantacinquenni del 29,2% e un indice di vecchiaia di 283, e la Sardegna, che condivide con la Liguria il valore più elevato dell’indice di vecchiaia, pari a 283, pur con una composizione per età parzialmente differente. Seguono, su livelli elevati, il Friuli-Venezia Giulia, con una quota di anziani del 27,1%, e l’Umbria, con il 27,0%. All’estremo opposto si collocano la Campania, regione più giovane con una quota di ultrasessantacinquenni del 20,9% e un indice di vecchiaia di 161, e il Trentino-Alto Adige, con il 22,1% di anziani e un indice di 162; la Sicilia presenta una quota di anziani del 23,2%. La Campania detiene anche la speranza di vita alla nascita più bassa, mentre le Province autonome di Bolzano e di Trento registrano i valori più elevati.</w:t>
      </w:r>
    </w:p>
    <w:p>
      <w:pPr>
        <w:pStyle w:val="BodyText"/>
      </w:pPr>
      <w:r>
        <w:t xml:space="preserve">Questa eterogeneità ha implicazioni dirette per il trasferimento del modello. Le Regioni del Centro-Nord ad alto invecchiamento, quali Liguria, Friuli-Venezia Giulia, Umbria, Toscana ed Emilia-Romagna, presentano un fabbisogno potenziale di psicologia di base proporzionalmente più elevato e un bacino di spesa cronica aggredibile più ampio, ma dispongono mediamente di sistemi sanitari più solidi e di una migliore dotazione di servizi. Le Regioni meridionali e insulari, pur più giovani in termini di struttura per età, scontano un divario di offerta più profondo e una più elevata incidenza di deprivazione socio-economica, fattore di rischio indipendente per i disturbi mentali comuni. La progettazione regionale dovrà pertanto bilanciare il peso demografico con il peso del divario di accesso.</w:t>
      </w:r>
    </w:p>
    <w:bookmarkEnd w:id="4131"/>
    <w:bookmarkStart w:id="4132" w:name="Xda67a96f089ae68210906c89a0275ea4050bff0"/>
    <w:p>
      <w:pPr>
        <w:pStyle w:val="Heading4"/>
      </w:pPr>
      <w:r>
        <w:t xml:space="preserve">2.3. Le proiezioni demografiche e la loro rilevanza per la sostenibilità</w:t>
      </w:r>
    </w:p>
    <w:p>
      <w:pPr>
        <w:pStyle w:val="FirstParagraph"/>
      </w:pPr>
      <w:r>
        <w:t xml:space="preserve">Le proiezioni dell’Istituto Nazionale di Statistica con base al 1° gennaio 2024 prefigurano, sull’orizzonte 2024–2050, una contrazione della popolazione nazionale e un ulteriore spostamento della struttura per età verso le classi anziane, con un incremento della quota di ultrasessantacinquenni che, a livello nazionale, tende verso valori prossimi o superiori a un terzo della popolazione entro il 2040–2050. Tale dinamica, già esplicitata nel modello pugliese attraverso l’ipotesi prudenziale di un incremento reale dell’1–1,5% annuo della spesa nelle componenti più sensibili, è destinata ad amplificare nel tempo sia il fabbisogno di salute mentale sia il potenziale di risparmio del servizio. Il calo demografico, concentrato nelle fasce giovanili, non riduce il bisogno assistenziale complessivo, poiché aumentano gli anziani e i pazienti con multimorbidità; l’immigrazione attenua la flessione ma introduce ulteriori fasce di utenza con bisogni specifici di salute mentale, legati a vulnerabilità psicosociali, traumi migratori e barriere linguistiche e culturali. La sostenibilità di lungo periodo del Servizio Sanitario Nazionale dipende dunque in misura crescente dalla capacità di intercettare precocemente il disagio psichico, obiettivo per il quale lo psicologo di base e le tecnologie di Intelligenza Artificiale costituiscono strumenti complementari.</w:t>
      </w:r>
    </w:p>
    <w:bookmarkEnd w:id="4132"/>
    <w:bookmarkEnd w:id="4129"/>
    <w:bookmarkStart w:id="4133" w:name="Xe10b183d79b989093a735baf676c6762d199895"/>
    <w:p>
      <w:pPr>
        <w:pStyle w:val="Heading3"/>
      </w:pPr>
      <w:r>
        <w:t xml:space="preserve">3. La spesa sanitaria pubblica e i divari territoriali</w:t>
      </w:r>
    </w:p>
    <w:bookmarkStart w:id="4134" w:name="il-quadro-nazionale-della-spesa"/>
    <w:p>
      <w:pPr>
        <w:pStyle w:val="Heading4"/>
      </w:pPr>
      <w:r>
        <w:t xml:space="preserve">3.1. Il quadro nazionale della spesa</w:t>
      </w:r>
    </w:p>
    <w:p>
      <w:pPr>
        <w:pStyle w:val="FirstParagraph"/>
      </w:pPr>
      <w:r>
        <w:t xml:space="preserve">Nel 2023, secondo il sistema dei conti della sanità dell’Istituto Nazionale di Statistica, la spesa sanitaria complessiva italiana è risultata pari a 176.153 milioni di euro, dei quali 130.291 milioni di spesa pubblica e 45.862 milioni di spesa privata; di quest’ultima, 40.641 milioni costituiscono spesa diretta delle famiglie e 5.221 milioni spesa intermediata da fondi e assicurazioni. In termini di composizione, il 74% della spesa è pubblica, il 23% è a carico diretto delle famiglie e il 3% è intermediata. Nel 2024 la spesa sanitaria complessiva ha raggiunto circa 185 miliardi di euro, con una quota privata in crescita che colloca l’Italia tra i valori più elevati nel confronto europeo. La Corte dei Conti, nella relazione al Parlamento sulla gestione dei Servizi sanitari regionali, ha rilevato l’aumento della spesa sanitaria pubblica da 131,3 a 138,3 miliardi nel triennio 2022–2024, con una crescita del 4,9% rispetto al 2023.</w:t>
      </w:r>
    </w:p>
    <w:p>
      <w:pPr>
        <w:pStyle w:val="BodyText"/>
      </w:pPr>
      <w:r>
        <w:t xml:space="preserve">Il dato strutturalmente critico è il definanziamento relativo del sistema. Il rapporto tra spesa sanitaria pubblica e prodotto interno lordo è sceso al 6,2% nel 2023, minimo storico, risalendo al 6,3% nel 2024, valore che colloca l’Italia al di sotto della media dei Paesi dell’Organizzazione per la Cooperazione e lo Sviluppo Economico. La spesa sanitaria pubblica pro capite italiana, pari a circa 3.574 dollari nel 2023, rimane inferiore sia alla media dei Paesi dell’Organizzazione, pari a circa 4.174 dollari, sia alla media dei Paesi dell’Unione Europea, pari a circa 4.199 dollari. La Fondazione GIMBE ha quantificato il divario pro capite con la media dei Paesi dell’Unione Europea appartenenti all’Organizzazione in circa 889 dollari, corrispondente a un gap complessivo che sfiora i 52,4 miliardi di euro. Questo sottofinanziamento rende ancor più rilevante ogni intervento capace di liberare risorse attraverso la riduzione dell’inappropriatezza, quale è la psicologia di base.</w:t>
      </w:r>
    </w:p>
    <w:bookmarkEnd w:id="4134"/>
    <w:bookmarkStart w:id="4135" w:name="X6f87ec79e116409dea034a496f1fd4b9d5616c2"/>
    <w:p>
      <w:pPr>
        <w:pStyle w:val="Heading4"/>
      </w:pPr>
      <w:r>
        <w:t xml:space="preserve">3.2. La frattura strutturale Nord-Sud e i piani di rientro</w:t>
      </w:r>
    </w:p>
    <w:p>
      <w:pPr>
        <w:pStyle w:val="FirstParagraph"/>
      </w:pPr>
      <w:r>
        <w:t xml:space="preserve">La spesa sanitaria pro capite e, soprattutto, la qualità e l’esigibilità delle prestazioni si distribuiscono in modo profondamente diseguale lungo l’asse territoriale. Il Centro-Nord presenta livelli di spesa pro capite e di adempimento dei Livelli Essenziali di Assistenza generalmente superiori alla media nazionale, mentre il Mezzogiorno si colloca su valori inferiori. Nel 2022, secondo le elaborazioni richiamate dalla Fondazione GIMBE, soltanto 13 Regioni rispettavano gli standard essenziali di assistenza, con un ampliamento del divario Nord-Sud; tra le Regioni meridionali, soltanto Puglia e Basilicata risultavano adempienti, pur in posizioni di coda della graduatoria nazionale.</w:t>
      </w:r>
    </w:p>
    <w:p>
      <w:pPr>
        <w:pStyle w:val="BodyText"/>
      </w:pPr>
      <w:r>
        <w:t xml:space="preserve">Sette Regioni risultano sottoposte a piano di rientro dal disavanzo sanitario: Calabria, Molise, Sicilia, Campania, Lazio, Abruzzo e Puglia. In questi contesti il vincolo finanziario è più stringente e la capacità di investimento autonomo è limitata, circostanza che rende cruciale la dimostrazione del ritorno economico del modello e l’individuazione di meccanismi di finanziamento che non gravino esclusivamente sul bilancio sanitario regionale corrente. La frattura territoriale alimenta inoltre il fenomeno della migrazione sanitaria, con flussi di pazienti dalle Regioni meridionali verso quelle settentrionali, e la rinuncia alle cure: nel 2023 circa 4,5 milioni di cittadini, di cui 2,5 milioni per motivi economici, hanno rinunciato a prestazioni sanitarie, dato salito a 5,8 milioni nelle rilevazioni più recenti. La psicologia di base, in quanto servizio di prossimità a basso costo per abitante e ad alta accessibilità, agisce direttamente su entrambi i fenomeni, riducendo la necessità di spostamenti per prestazioni a bassa complessità e abbattendo le barriere economiche di accesso al supporto psicologico.</w:t>
      </w:r>
    </w:p>
    <w:bookmarkEnd w:id="4135"/>
    <w:bookmarkStart w:id="4136" w:name="Xe38e08adf532ac55e1ebfcca41b1135ba2e1c09"/>
    <w:p>
      <w:pPr>
        <w:pStyle w:val="Heading4"/>
      </w:pPr>
      <w:r>
        <w:t xml:space="preserve">3.3. Implicazioni per la modellizzazione regionale della spesa aggredibile</w:t>
      </w:r>
    </w:p>
    <w:p>
      <w:pPr>
        <w:pStyle w:val="FirstParagraph"/>
      </w:pPr>
      <w:r>
        <w:t xml:space="preserve">Ai fini del trasferimento del modello, la spesa sanitaria pubblica regionale costituisce la base sulla quale calcolare le quote percentuali di risparmio. Poiché tale spesa si distribuisce in modo eterogeneo, e poiché le Regioni in piano di rientro presentano vincoli e, simmetricamente, margini di recupero specifici, la quantificazione regionale procederà associando a ciascun contesto la propria spesa sanitaria pubblica complessiva e la propria spesa per assistenza farmaceutica, specialistica, ospedaliera e di salute mentale, applicando a queste voci le percentuali di riduzione già validate per la Puglia, opportunamente calibrate sui quattro fattori di aggiustamento. Il principio prudenziale adottato nel modello originario — secondo cui soltanto una parte del potenziale di risparmio si traduce in riduzione effettiva di spesa, mentre l’altra parte rappresenta capacità assistenziale liberata e riqualificata — sarà mantenuto in tutte le elaborazioni regionali, a garanzia della credibilità delle stime presso gli interlocutori istituzionali.</w:t>
      </w:r>
    </w:p>
    <w:bookmarkEnd w:id="4136"/>
    <w:bookmarkEnd w:id="4133"/>
    <w:bookmarkStart w:id="4137" w:name="Xc91e9449363c5340229ec3a26c4ad694e89295f"/>
    <w:p>
      <w:pPr>
        <w:pStyle w:val="Heading3"/>
      </w:pPr>
      <w:r>
        <w:t xml:space="preserve">4. I bisogni di salute mentale e l’offerta dei servizi</w:t>
      </w:r>
    </w:p>
    <w:bookmarkStart w:id="4138" w:name="la-dimensione-epidemiologica-del-bisogno"/>
    <w:p>
      <w:pPr>
        <w:pStyle w:val="Heading4"/>
      </w:pPr>
      <w:r>
        <w:t xml:space="preserve">4.1. La dimensione epidemiologica del bisogno</w:t>
      </w:r>
    </w:p>
    <w:p>
      <w:pPr>
        <w:pStyle w:val="FirstParagraph"/>
      </w:pPr>
      <w:r>
        <w:t xml:space="preserve">La letteratura epidemiologica europea colloca la prevalenza nel corso della vita dei disturbi depressivi e d’ansia tra il 15% e il 20% della popolazione, con tassi annuali di disturbo mentale comune negli adulti compresi tra il 10% e il 15%. Applicando queste stime alla popolazione nazionale di 58.943.464 abitanti, si può stimare che ogni anno tra 5,9 e 8,8 milioni di adulti sperimentino un disturbo mentale comune meritevole di valutazione psicologica, e che una quota significativa di essi presenti quadri di gravità tale da richiedere un intervento psicologico o psicoterapeutico strutturato. L’impatto della pandemia ha amplificato il fenomeno: secondo le rilevazioni richiamate dalle società scientifiche, circa 16 milioni di italiani hanno sperimentato problemi di natura psicologica nel periodo successivo all’emergenza sanitaria, e quasi la metà degli adolescenti e dei giovani adulti tra i 18 e i 25 anni ha riferito sintomi di ansia e depressione. Il costo complessivo dei disturbi mentali per il Paese, considerando le componenti dirette e indirette, è stimato attorno al 4% del prodotto interno lordo.</w:t>
      </w:r>
    </w:p>
    <w:bookmarkEnd w:id="4138"/>
    <w:bookmarkStart w:id="4139" w:name="X60d6eec2e7b2dfd216af82a21aad5c5a9a64330"/>
    <w:p>
      <w:pPr>
        <w:pStyle w:val="Heading4"/>
      </w:pPr>
      <w:r>
        <w:t xml:space="preserve">4.2. L’offerta dei servizi specialistici e la sua insufficienza</w:t>
      </w:r>
    </w:p>
    <w:p>
      <w:pPr>
        <w:pStyle w:val="FirstParagraph"/>
      </w:pPr>
      <w:r>
        <w:t xml:space="preserve">A fronte di questo bisogno, l’offerta pubblica di servizi di salute mentale risulta strutturalmente sottodimensionata e finanziariamente penalizzata. Il Rapporto sulla Salute Mentale del Ministero della Salute relativo al 2023 documenta che le persone assistite dai servizi specialistici nel corso dell’anno sono state 854.040, esclusi i dati della Regione Abruzzo, con un tasso standardizzato nazionale di 169,5 utenti ogni 10.000 abitanti adulti. La variabilità regionale di tale tasso è amplissima e riflette differenze sia di domanda sia di capacità di presa in carico: si passa dal valore minimo di 108,5 delle Marche al massimo di 325,9 della Liguria. I pazienti entrati per la prima volta in contatto con i Dipartimenti di Salute Mentale nel 2023 sono stati 273.172. La composizione per età degli utenti riflette l’invecchiamento della popolazione generale, con il 67,3% dei pazienti al di sopra dei 45 anni.</w:t>
      </w:r>
    </w:p>
    <w:p>
      <w:pPr>
        <w:pStyle w:val="BodyText"/>
      </w:pPr>
      <w:r>
        <w:t xml:space="preserve">Il dato più rilevante per il presente progetto è la quasi totale assenza, nel sistema pubblico, di una risposta strutturata ai disturbi mentali comuni di gravità lieve-moderata, che costituiscono la grande maggioranza del bisogno e che oggi ricadono impropriamente sugli studi di medicina generale, sul Pronto Soccorso o restano del tutto inevasi. Secondo il Collegio dei direttori dei Dipartimenti di Salute Mentale, circa 2 milioni di cittadini che dovrebbero essere seguiti dai servizi non lo sono. Gli accessi al Pronto Soccorso per disturbi psichiatrici nel 2023 sono stati 573.663, pari al 3,1% del totale degli accessi, dei quali il 13% ha esitato in ricovero; la quota più consistente, pari al 38,6%, ha riguardato sindromi nevrotiche e somatoformi, ossia proprio quei quadri che un servizio di psicologia di base intercetterebbe a monte. I ricoveri nei Servizi Psichiatrici di Diagnosi e Cura sono stati 85.615, con 4.879 trattamenti sanitari obbligatori, pari al 5,7% del totale, e con una quota di riammissioni non programmate entro 30 giorni dalle dimissioni del 14,8%, indicatore di una continuità assistenziale territoriale insufficiente.</w:t>
      </w:r>
    </w:p>
    <w:bookmarkEnd w:id="4139"/>
    <w:bookmarkStart w:id="4140" w:name="X8aee6137e139da9aab8d4d03fe74da38c7e529f"/>
    <w:p>
      <w:pPr>
        <w:pStyle w:val="Heading4"/>
      </w:pPr>
      <w:r>
        <w:t xml:space="preserve">4.3. Il sottofinanziamento e la carenza di psicologi nel sistema pubblico</w:t>
      </w:r>
    </w:p>
    <w:p>
      <w:pPr>
        <w:pStyle w:val="FirstParagraph"/>
      </w:pPr>
      <w:r>
        <w:t xml:space="preserve">La spesa per la salute mentale in Italia si è attestata negli anni recenti attorno al 3% del Fondo Sanitario Nazionale, con un valore stimato in calo verso il 2,5% e una dotazione complessiva di poco superiore a 3,5 miliardi di euro, collocando il Paese tra gli ultimi in Europa. L’Organizzazione Mondiale della Sanità raccomanda di destinare alla salute mentale almeno il 10% della spesa sanitaria; il Collegio dei direttori dei Dipartimenti di Salute Mentale e le società scientifiche chiedono di raggiungere, in un triennio, almeno il 5% del Fondo Sanitario, con un incremento di oltre 2 miliardi di euro rispetto ai circa 4 miliardi attuali, accompagnato da un aumento del personale dedicato del 47,2%. La dotazione di psicologi nel Servizio Sanitario Nazionale è particolarmente esigua: secondo il Consiglio Nazionale dell’Ordine degli Psicologi, vi sono soltanto 3,8 psicologi ogni 100.000 abitanti nel sistema pubblico, a fronte di una media europea di 10 ogni 100.000. All’interno dei Dipartimenti di Salute Mentale, gli psicologi rappresentano appena il 6,9% del personale, a fronte di una netta prevalenza del personale infermieristico. Questo divario di organico, quantificabile in un fattore di cinque-dieci volte rispetto agli standard internazionali avanzati, non è colmabile nel breve-medio periodo attraverso la semplice espansione dei servizi specialistici tradizionali, e costituisce il razionale strutturale per l’introduzione di una figura psicologica integrata nelle cure primarie.</w:t>
      </w:r>
    </w:p>
    <w:bookmarkEnd w:id="4140"/>
    <w:bookmarkStart w:id="4141" w:name="X09e4369b89f4003be38c859fa377686580f2393"/>
    <w:p>
      <w:pPr>
        <w:pStyle w:val="Heading4"/>
      </w:pPr>
      <w:r>
        <w:t xml:space="preserve">4.4. Il pattern regionale del bisogno e dell’offerta</w:t>
      </w:r>
    </w:p>
    <w:p>
      <w:pPr>
        <w:pStyle w:val="FirstParagraph"/>
      </w:pPr>
      <w:r>
        <w:t xml:space="preserve">L’integrazione tra il dato epidemiologico e quello di servizio consente di delineare un pattern regionale utile alla calibrazione del modello. Nelle Regioni settentrionali ad alta intensità di servizio, quali Liguria ed Emilia-Romagna, il tasso di utenza specialistica è elevato e l’offerta è relativamente più strutturata, ma la pressione della cronicità e dell’invecchiamento mantiene ampio il bacino dei disturbi comuni gestibili in cure primarie; in tali contesti lo psicologo di base agisce prevalentemente come filtro che decongestiona i servizi specialistici e ne riqualifica la domanda. Nelle Regioni del Centro a forte invecchiamento, quali Umbria, Marche e Toscana, il modello interviene su un bisogno crescente in un sistema di media solidità. Nelle Regioni meridionali e insulari, dove l’offerta è più carente e la deprivazione socio-economica più diffusa, lo psicologo di base svolge una funzione primaria di intercettazione di una domanda largamente inevasa, con un potenziale di prevenzione della cronicizzazione e di riduzione degli accessi impropri particolarmente elevato. Tale differenziazione funzionale sarà incorporata nei coefficienti regionali di risparmio diretto e indiretto.</w:t>
      </w:r>
    </w:p>
    <w:bookmarkEnd w:id="4141"/>
    <w:bookmarkEnd w:id="4137"/>
    <w:bookmarkStart w:id="4142" w:name="X57fe4462d19429e933844974eccef3e691c5eec"/>
    <w:p>
      <w:pPr>
        <w:pStyle w:val="Heading3"/>
      </w:pPr>
      <w:r>
        <w:t xml:space="preserve">5. La medicina generale: organico, carenze e massimali</w:t>
      </w:r>
    </w:p>
    <w:bookmarkStart w:id="4143" w:name="X64114a293c60e161d4ae60886eac57d3fe1bd70"/>
    <w:p>
      <w:pPr>
        <w:pStyle w:val="Heading4"/>
      </w:pPr>
      <w:r>
        <w:t xml:space="preserve">5.1. Il quadro nazionale della medicina generale</w:t>
      </w:r>
    </w:p>
    <w:p>
      <w:pPr>
        <w:pStyle w:val="FirstParagraph"/>
      </w:pPr>
      <w:r>
        <w:t xml:space="preserve">Il medico di medicina generale costituisce il principale punto di accesso al Servizio Sanitario Nazionale e il primo interlocutore del cittadino per il disagio psichico, ed è oggi in profonda crisi di sostenibilità. Secondo le elaborazioni della Fondazione GIMBE sui dati della Struttura Interregionale Sanitari Convenzionati, al 1° gennaio 2025 i medici di medicina generale in Italia sono 36.812, in carico a oltre 50,9 milioni di assistiti, con una media di 1.383 assistiti per medico. Tra il 2019 e il 2024 il numero dei medici di medicina generale è diminuito di 5.197 unità, pari a una contrazione del 14,1%, passando da 42.009 a 36.812. La carenza complessiva, calcolata rispetto a un rapporto ottimale di un medico ogni 1.200 assistiti, è stimata in 5.716 medici e interessa 18 Regioni e Province autonome. Entro il 2028 sono previsti 8.180 pensionamenti, circostanza che aggraverà ulteriormente il quadro. La dotazione italiana, pari a circa 6,81 medici di medicina generale ogni 10.000 abitanti nel 2021, è significativamente inferiore a quella dei principali Paesi europei.</w:t>
      </w:r>
    </w:p>
    <w:bookmarkEnd w:id="4143"/>
    <w:bookmarkStart w:id="4144" w:name="X418a5a64f42c561efa477c0e8c960721e11c5b7"/>
    <w:p>
      <w:pPr>
        <w:pStyle w:val="Heading4"/>
      </w:pPr>
      <w:r>
        <w:t xml:space="preserve">5.2. L’eterogeneità regionale del carico e della carenza</w:t>
      </w:r>
    </w:p>
    <w:p>
      <w:pPr>
        <w:pStyle w:val="FirstParagraph"/>
      </w:pPr>
      <w:r>
        <w:t xml:space="preserve">Anche la medicina generale presenta una marcata variabilità territoriale. Il numero medio di assistiti per medico oscilla dai 1.153 del Molise ai 1.533 della Lombardia, e le situazioni di carenza più critiche si registrano nelle grandi Regioni settentrionali, con la Lombardia che da sola presenta un deficit di circa 1.540 medici. La contrazione dell’organico nel periodo 2019–2024 è stata massima in Sardegna, con una riduzione del 40,3%, e minima nella Provincia autonoma di Trento, con un calo dell’1,5%, mentre la sola Provincia autonoma di Bolzano ha registrato un lieve incremento del 2,4%. Questa eterogeneità implica che il sollievo che lo psicologo di base può apportare alla medicina generale — assorbendo la quota di domanda psichica oggi impropriamente gestita negli studi, riducendo le prescrizioni farmacologiche inappropriate e contenendo gli invii non necessari ai servizi specialistici — assume valore differente da Regione a Regione, risultando massimo laddove il carico per medico è più elevato e la carenza più acuta. La sinergia operativa tra medico di medicina generale e psicologo di base, organizzata secondo la logica della coppia clinica all’interno delle Case della Comunità e dei Nuclei di Cure Primarie, costituisce pertanto un elemento di valore strutturale che si rafforza ulteriormente nei contesti di maggiore sofferenza dell’assistenza territoriale.</w:t>
      </w:r>
    </w:p>
    <w:bookmarkEnd w:id="4144"/>
    <w:bookmarkStart w:id="4145" w:name="Xfc0cda7ddab2537789ad549b946670fa516603f"/>
    <w:p>
      <w:pPr>
        <w:pStyle w:val="Heading4"/>
      </w:pPr>
      <w:r>
        <w:t xml:space="preserve">5.3. La cornice dell’assistenza territoriale e il raccordo con il modello</w:t>
      </w:r>
    </w:p>
    <w:p>
      <w:pPr>
        <w:pStyle w:val="FirstParagraph"/>
      </w:pPr>
      <w:r>
        <w:t xml:space="preserve">L’Accordo Collettivo Nazionale per la medicina generale e gli investimenti della Missione 6 del Piano Nazionale di Ripresa e Resilienza, dedicata alla salute, hanno rafforzato l’integrazione dei medici convenzionati nelle Case della Comunità e nelle nuove strutture dell’assistenza territoriale, e hanno riorientato risorse verso l’assistenza domiciliare e la telemedicina. Questa cornice è favorevole all’inserimento dello psicologo di base, che può collocarsi naturalmente all’interno della rete delle Case della Comunità e dei Nuclei di Cure Primarie, operando in raccordo funzionale con i Centri di Salute Mentale secondo la logica dello stepped care e del collaborative care raccomandata dall’Organizzazione Mondiale della Sanità. Il modello nazionale farà leva su questa infrastruttura in via di realizzazione, evitando duplicazioni e massimizzando le sinergie con gli investimenti già programmati, in particolare quelli relativi alla telemedicina, che costituiscono il sostrato naturale per l’innesto delle soluzioni di Intelligenza Artificiale descritte nei capitoli successivi.</w:t>
      </w:r>
    </w:p>
    <w:bookmarkEnd w:id="4145"/>
    <w:bookmarkEnd w:id="4142"/>
    <w:bookmarkStart w:id="4146" w:name="Xe716a4bf9c642335eb431c0fc2434a4b086e152"/>
    <w:p>
      <w:pPr>
        <w:pStyle w:val="Heading3"/>
      </w:pPr>
      <w:r>
        <w:t xml:space="preserve">6. Le potenzialità dell’Intelligenza Artificiale lungo il continuum assistenziale</w:t>
      </w:r>
    </w:p>
    <w:p>
      <w:pPr>
        <w:pStyle w:val="FirstParagraph"/>
      </w:pPr>
      <w:r>
        <w:t xml:space="preserve">L’Intelligenza Artificiale non costituisce, nel disegno del presente progetto, un fine in sé, bensì una tecnologia abilitante che potenzia la figura dello psicologo di base e del medico di medicina generale lungo l’intero continuum assistenziale: diagnosi, prevenzione, trattamento, riabilitazione e recupero. La letteratura scientifica più recente, reperita attraverso la banca dati biomedica PubMed, e le analisi economiche delle principali organizzazioni internazionali convergono nel documentare un potenziale rilevante di miglioramento dell’efficacia clinica e di riduzione dei costi unitari, a condizione che l’adozione sia governata, evidence-based e centrata sul paziente. Secondo le stime di settore richiamate dalla letteratura economica internazionale, l’adozione estesa dell’Intelligenza Artificiale potrebbe generare un risparmio compreso tra il 5% e il 10% della spesa sanitaria, prevalentemente attraverso l’automazione, il supporto alle decisioni cliniche e l’efficientamento operativo; le sole attività amministrative assorbono tra il 15% e il 25% della spesa sanitaria, e fino al 30% dei compiti di routine risulta automatizzabile. L’Organizzazione per la Cooperazione e lo Sviluppo Economico ha rilevato che, in un contesto di invecchiamento, cronicità crescente e carenza di personale, l’Intelligenza Artificiale può alleviare la pressione sulla forza lavoro automatizzando i compiti amministrativi, ottimizzando l’allocazione delle risorse e supportando le decisioni cliniche, in particolare nelle Regioni sottoservite.</w:t>
      </w:r>
    </w:p>
    <w:bookmarkStart w:id="4147" w:name="la-diagnostica-e-la-valutazione-precoce"/>
    <w:p>
      <w:pPr>
        <w:pStyle w:val="Heading4"/>
      </w:pPr>
      <w:r>
        <w:t xml:space="preserve">6.1. La diagnostica e la valutazione precoce</w:t>
      </w:r>
    </w:p>
    <w:p>
      <w:pPr>
        <w:pStyle w:val="FirstParagraph"/>
      </w:pPr>
      <w:r>
        <w:t xml:space="preserve">Nel dominio diagnostico, l’Intelligenza Artificiale supporta l’identificazione precoce dei disturbi mentali comuni e la stratificazione del rischio. Gli strumenti di triage e di valutazione iniziale basati su agenti conversazionali consentono di somministrare in modo standardizzato e accessibile screening per ansia, depressione e disagio correlato allo stress, di assegnare un livello di gravità e di orientare l’invio appropriato secondo la logica dello stepped care, riducendo il tempo clinico dedicato alle fasi di assessment ripetitive e liberando capacità per gli interventi a maggiore complessità. Una revisione sistematica della percezione e dei bisogni relativi all’Intelligenza Artificiale in sanità, pubblicata sul Journal of Medical Internet Research, ha documentato come l’uso dell’Intelligenza Artificiale sia percepito positivamente per la sua disponibilità, facilità d’uso e potenziale di miglioramento dell’efficienza e di riduzione dei costi del servizio, in particolare nelle cure primarie e comunitarie, nella gestione e auto-gestione delle patologie croniche, nella salute mentale e nelle procedure diagnostiche (Chew e Achananuparp, 2022; DOI: https://doi.org/10.2196/32939). Nel campo della diagnostica per immagini, gli algoritmi capaci di analizzare esami strumentali e di evidenziare aree di interesse consentono di sostituire test invasivi con accertamenti non invasivi, con effetti potenziali di contenimento dei costi, pur richiedendo attenzione al rischio di cascate di accertamenti indotte da reperti incidentali. La Food and Drug Administration statunitense ha autorizzato oltre 1.200 algoritmi medici basati su Intelligenza Artificiale alla data dell’agosto 2025, indicatore della maturità crescente del settore.</w:t>
      </w:r>
    </w:p>
    <w:bookmarkEnd w:id="4147"/>
    <w:bookmarkStart w:id="4148" w:name="la-prevenzione-e-la-predizione"/>
    <w:p>
      <w:pPr>
        <w:pStyle w:val="Heading4"/>
      </w:pPr>
      <w:r>
        <w:t xml:space="preserve">6.2. La prevenzione e la predizione</w:t>
      </w:r>
    </w:p>
    <w:p>
      <w:pPr>
        <w:pStyle w:val="FirstParagraph"/>
      </w:pPr>
      <w:r>
        <w:t xml:space="preserve">Nel dominio preventivo e predittivo, l’Intelligenza Artificiale consente di identificare in anticipo i soggetti a rischio attraverso l’analisi di dati clinici, comportamentali e contestuali, abilitando interventi proattivi prima che il disturbo si manifesti o si aggravi. L’analisi predittiva applicata alle popolazioni assistite permette di individuare i frequent attenders, i pazienti con multimorbidità a rischio di scompenso e gli adolescenti e i lavoratori a rischio di disagio, indirizzando verso di essi le risorse della psicologia di base in modo mirato. Le indagini sulla percezione pubblica degli interventi di salute mentale basati su Intelligenza Artificiale, pubblicate sul Journal of Medical Internet Research, evidenziano che tali strumenti sono considerati un’opzione valida per la prevenzione, per la valutazione primaria e per il mantenimento continuativo della salute mentale, con benefici principali in termini di accessibilità, economicità, disponibilità continua nelle ventiquattro ore e riduzione dello stigma, fattore quest’ultimo particolarmente rilevante per intercettare le fasce di popolazione che non si rivolgerebbero a un servizio tradizionale (Varghese, Sharma e Patwardhan, 2024; DOI: https://doi.org/10.2196/64380). La predizione e la prevenzione del peggioramento clinico contribuiscono inoltre a evitare l’evoluzione dei disturbi in disabilità permanente, mantenendo più persone attive e riducendo gli oneri previdenziali, con effetti diretti sulla componente indiretta del risparmio.</w:t>
      </w:r>
    </w:p>
    <w:bookmarkEnd w:id="4148"/>
    <w:bookmarkStart w:id="4149" w:name="il-trattamento"/>
    <w:p>
      <w:pPr>
        <w:pStyle w:val="Heading4"/>
      </w:pPr>
      <w:r>
        <w:t xml:space="preserve">6.3. Il trattamento</w:t>
      </w:r>
    </w:p>
    <w:p>
      <w:pPr>
        <w:pStyle w:val="FirstParagraph"/>
      </w:pPr>
      <w:r>
        <w:t xml:space="preserve">Nel dominio del trattamento, l’Intelligenza Artificiale potenzia l’offerta terapeutica attraverso gli interventi psicologici digitali strutturati, in particolare la terapia cognitivo-comportamentale erogata via internet, che la letteratura colloca tra le componenti capaci di rendere i programmi di psicologia di base</w:t>
      </w:r>
      <w:r>
        <w:t xml:space="preserve"> </w:t>
      </w:r>
      <w:r>
        <w:t xml:space="preserve">“dominanti”</w:t>
      </w:r>
      <w:r>
        <w:t xml:space="preserve"> </w:t>
      </w:r>
      <w:r>
        <w:t xml:space="preserve">sotto il profilo costo-efficacia, ossia in grado di ottenere migliori esiti a costi inferiori rispetto all’assistenza usuale. Le evidenze meta-analitiche reperite attraverso PubMed sono solide. Una meta-analisi sulla terapia cognitivo-comportamentale erogata via internet per l’ansia ha documentato un effetto significativo e positivo, con una dimensione dell’effetto pari a circa 0,48 rispetto ai gruppi di controllo (Oliveira e colleghi, 2023; DOI: https://doi.org/10.1016/j.invent.2023.100609). Una meta-analisi con meta-regressione sugli interventi non assistiti ha rilevato dimensioni dell’effetto comprese tra 0,22 e 0,31 per la depressione e pari a 0,45 per l’ansia, mostrando inoltre che una progettazione persuasiva più curata si associa a una maggiore efficacia (McCall, Hadjistavropoulos e Sundström, 2021; DOI: https://doi.org/10.2196/26939). Una ulteriore meta-analisi ha documentato un effetto positivo sulla qualità della vita, con una dimensione complessiva pari a 0,35 e un effetto sul dominio della salute fisica pari a 0,56 (Maj e colleghi, 2023; DOI: https://doi.org/10.1016/j.invent.2023.100654). Gli agenti conversazionali terapeutici, secondo una revisione rapida pubblicata sul Journal of Medical Internet Research, svolgono ruoli di supporto al paziente, gestione della cura, educazione, costruzione di competenze e promozione di comportamenti salutari, con benefici riconducibili al miglioramento della qualità e dell’efficienza dell’assistenza e all’economicità dell’erogazione, pur con limiti di ordine etico, medico-legale, tecnico e di esperienza utente che ne richiedono un’integrazione governata (Laymouna e colleghi, 2024; DOI: https://doi.org/10.2196/56930). Questi strumenti consentono allo psicologo di base di estendere la propria capacità di presa in carico, riservando il tempo clinico in presenza ai casi a maggiore complessità e affidando alle componenti digitali, sotto supervisione, le fasi di mantenimento e di rinforzo terapeutico.</w:t>
      </w:r>
    </w:p>
    <w:bookmarkEnd w:id="4149"/>
    <w:bookmarkStart w:id="4150" w:name="la-riabilitazione-e-il-recupero"/>
    <w:p>
      <w:pPr>
        <w:pStyle w:val="Heading4"/>
      </w:pPr>
      <w:r>
        <w:t xml:space="preserve">6.4. La riabilitazione e il recupero</w:t>
      </w:r>
    </w:p>
    <w:p>
      <w:pPr>
        <w:pStyle w:val="FirstParagraph"/>
      </w:pPr>
      <w:r>
        <w:t xml:space="preserve">Nel dominio della riabilitazione e del recupero, l’Intelligenza Artificiale supporta il monitoraggio continuo, l’adattamento personalizzato dei percorsi e il sostegno alla continuità assistenziale dopo la fase acuta, ambito in cui il sistema italiano mostra particolari fragilità, come testimoniato dalla quota del 14,8% di riammissioni non programmate entro 30 giorni dalle dimissioni dai Servizi Psichiatrici di Diagnosi e Cura. Il monitoraggio remoto e gli assistenti virtuali consentono di seguire i pazienti nel proprio contesto di vita, di rilevare precocemente i segnali di ricaduta e di sostenere l’aderenza ai piani terapeutici, riducendo i ricoveri ripetuti e la cronicizzazione. Tali tecnologie estendono inoltre il supporto ai caregiver familiari, alleggerendone il carico assistenziale e consentendo una migliore conciliazione tra cura e lavoro, con effetti positivi sul benessere del caregiver documentati dagli studi iniziali. La dimensione del recupero include altresì il reinserimento socio-lavorativo: gli strumenti digitali di automonitoraggio e di supporto psicologico ai lavoratori contribuiscono a ridurre le assenze e i cali di produttività e a favorire il ritorno al lavoro, con effetti che si riflettono direttamente sulla componente indiretta del risparmio.</w:t>
      </w:r>
    </w:p>
    <w:bookmarkEnd w:id="4150"/>
    <w:bookmarkStart w:id="4151" w:name="X9be69f86344eb60c5fc5fe6bd920ff18a8f1865"/>
    <w:p>
      <w:pPr>
        <w:pStyle w:val="Heading4"/>
      </w:pPr>
      <w:r>
        <w:t xml:space="preserve">6.5. L’efficientamento gestionale e amministrativo del servizio</w:t>
      </w:r>
    </w:p>
    <w:p>
      <w:pPr>
        <w:pStyle w:val="FirstParagraph"/>
      </w:pPr>
      <w:r>
        <w:t xml:space="preserve">Accanto alle applicazioni cliniche, l’Intelligenza Artificiale agisce sui costi diretti del servizio attraverso l’automazione dei compiti amministrativi e gestionali, l’ottimizzazione dell’impiego delle risorse umane e il miglioramento dell’interoperabilità dei sistemi informativi. La documentazione clinica assistita, la trascrizione automatica multilingue, l’inserimento automatizzato dei dati, la pianificazione intelligente delle agende e la gestione ottimizzata degli invii consentono di liberare tempo professionale e di ridurre gli oneri di back-office. L’analisi già condotta per la Puglia ha stimato in 3–5% del budget diretto il risparmio conseguibile nel breve termine attraverso queste leve, pari a circa 1–2 milioni di euro l’anno a parità di offerta assistenziale, importi reinvestibili per ampliare il servizio o per coprire i costi tecnologici. A livello internazionale, numerosi sistemi sanitari hanno avviato meccanismi di rimborso e valutazione delle soluzioni digitali e di Intelligenza Artificiale, quali il percorso accelerato tedesco per le applicazioni digitali certificate, l’inclusione coreana dei dispositivi terapeutici digitali e diagnostici basati su Intelligenza Artificiale nella copertura assicurativa, il modello finlandese di valutazione delle tecnologie sanitarie digitali e il nuovo processo valutativo belga, a testimonianza di un orientamento regolatorio favorevole alla loro adozione strutturata.</w:t>
      </w:r>
    </w:p>
    <w:bookmarkEnd w:id="4151"/>
    <w:bookmarkEnd w:id="4146"/>
    <w:bookmarkStart w:id="48" w:name="X5e022c907b89fccad204ef474ddc55567036cd6"/>
    <w:p>
      <w:pPr>
        <w:pStyle w:val="Heading3"/>
      </w:pPr>
      <w:r>
        <w:t xml:space="preserve">7. La formazione del personale all’Intelligenza Artificiale: i quattro modelli</w:t>
      </w:r>
    </w:p>
    <w:p>
      <w:pPr>
        <w:pStyle w:val="FirstParagraph"/>
      </w:pPr>
      <w:r>
        <w:t xml:space="preserve">La capacità di realizzare i risparmi descritti dipende in misura decisiva dalle competenze del personale. La letteratura segnala che meno del 15% del corpo docente delle facoltà mediche ha ricevuto una formazione formale in Intelligenza Artificiale, e che la diffusione di curricula strutturati è ancora limitata. Il presente progetto adotta pertanto una strategia formativa articolata su quattro livelli complementari, che coprono l’intero arco della carriera professionale e che corrispondono alle quattro modalità individuate come opzioni di intervento: la formazione universitaria, la formazione post-universitaria, la formazione lavorativa continua e l’affiancamento di figure competenti in Intelligenza Artificiale presso ogni studio medico. I quattro livelli non sono alternativi bensì sequenziali e cumulativi, e configurano un sistema formativo capace di portare progressivamente l’intera forza lavoro della medicina generale e della psicologia di base a un livello di alfabetizzazione e di competenza operativa adeguato.</w:t>
      </w:r>
    </w:p>
    <w:bookmarkStart w:id="4152" w:name="la-formazione-universitaria"/>
    <w:p>
      <w:pPr>
        <w:pStyle w:val="Heading4"/>
      </w:pPr>
      <w:r>
        <w:t xml:space="preserve">7.1. La formazione universitaria</w:t>
      </w:r>
    </w:p>
    <w:p>
      <w:pPr>
        <w:pStyle w:val="FirstParagraph"/>
      </w:pPr>
      <w:r>
        <w:t xml:space="preserve">Il primo livello riguarda l’inserimento dell’Intelligenza Artificiale nei percorsi di laurea in medicina e chirurgia e in psicologia, secondo l’approccio del curriculum a spirale integrato, che distribuisce le competenze lungo le fasi pre-cliniche, i tirocini clinici e gli insegnamenti elettivi, rinforzandole attraverso studi di caso e attività applicative. La letteratura internazionale ha sviluppato framework di competenze dedicati: una analisi consensuale di tipo Delphi ha individuato 23 competenze fondamentali per i medici che impiegano l’Intelligenza Artificiale nella pratica clinica, organizzate nelle dimensioni della conoscenza, delle abilità e degli atteggiamenti, mentre uno studio Delphi canadese, pubblicato su npj Digital Medicine, ha identificato 82 competenze essenziali e ne ha proposto l’integrazione nella biostatistica, nell’apprendimento basato su casi e nelle rotazioni cliniche. Una revisione di ambito (scoping review) pubblicata sul Journal of Medical Internet Research – Medical Education ha sintetizzato i framework e i programmi educativi in Intelligenza Artificiale per studenti, specializzandi e medici in attività, evidenziando la necessità di una maggiore rilevanza clinica e personalizzazione e segnalando la scarsità di docenti qualificati come principale ostacolo (Tolentino e colleghi, 2024; DOI: https://doi.org/10.2196/54793). L’integrazione universitaria garantisce che le future generazioni di medici e psicologi entrino nel servizio già dotate delle competenze necessarie, riducendo nel tempo il fabbisogno di formazione di recupero.</w:t>
      </w:r>
    </w:p>
    <w:bookmarkEnd w:id="4152"/>
    <w:bookmarkStart w:id="4153" w:name="la-formazione-post-universitaria"/>
    <w:p>
      <w:pPr>
        <w:pStyle w:val="Heading4"/>
      </w:pPr>
      <w:r>
        <w:t xml:space="preserve">7.2. La formazione post-universitaria</w:t>
      </w:r>
    </w:p>
    <w:p>
      <w:pPr>
        <w:pStyle w:val="FirstParagraph"/>
      </w:pPr>
      <w:r>
        <w:t xml:space="preserve">Il secondo livello riguarda i percorsi post-laurea, ossia le scuole di specializzazione, i corsi di formazione specifica in medicina generale, i master di secondo livello e i corsi di perfezionamento. In questa fase la formazione assume un carattere più applicativo e orientato al ruolo, distinto per professione: il medico di medicina generale sviluppa competenze nell’uso dei sistemi di supporto alle decisioni cliniche, nella valutazione critica degli output algoritmici e nell’integrazione dell’Intelligenza Artificiale nei percorsi di cura della cronicità; lo psicologo di base sviluppa competenze nell’impiego degli strumenti di screening e di triage digitale, nella conduzione e supervisione degli interventi psicologici erogati via internet e nella gestione del rapporto terapeutico mediato dalla tecnologia. La formazione post-universitaria deve inoltre affrontare in modo approfondito le dimensioni etiche, medico-legali e di sicurezza, comprese la riservatezza dei dati, la responsabilità professionale, il riconoscimento dei limiti e dei rischi degli strumenti e la capacità di mantenere il giudizio clinico autonomo anche in assenza di supporto algoritmico.</w:t>
      </w:r>
    </w:p>
    <w:bookmarkEnd w:id="4153"/>
    <w:bookmarkStart w:id="45" w:name="la-formazione-lavorativa-continua"/>
    <w:p>
      <w:pPr>
        <w:pStyle w:val="Heading4"/>
      </w:pPr>
      <w:r>
        <w:t xml:space="preserve">7.3. La formazione lavorativa continua</w:t>
      </w:r>
    </w:p>
    <w:p>
      <w:pPr>
        <w:pStyle w:val="FirstParagraph"/>
      </w:pPr>
      <w:r>
        <w:t xml:space="preserve">Il terzo livello riguarda la formazione continua nel contesto lavorativo, erogata attraverso il sistema dell’Educazione Continua in Medicina e attraverso percorsi aziendali strutturati. Questo livello è il più urgente, poiché interessa il personale già in servizio, che costituisce la massa critica chiamata a realizzare i risparmi nel breve e medio periodo. La formazione lavorativa deve essere modulare, progressiva e misurabile, deve prevedere attività pratiche con applicazione diretta agli strumenti adottati dal servizio e deve essere calibrata sui diversi livelli di partenza, particolarmente eterogenei in una forza lavoro nella quale, nella medicina generale, una quota maggioritaria di professionisti ha un’anzianità superiore ai 27 anni. Il modello pugliese ha già previsto un budget dedicato di 1.000.000 di euro l’anno per la formazione congiunta tra medici di medicina generale, psicologi e Centri di Salute Mentale, coerente con le migliori pratiche internazionali sul collaborative care; tale impostazione viene estesa al livello nazionale, integrando in modo specifico la componente di alfabetizzazione e competenza in Intelligenza Artificiale.</w:t>
      </w:r>
    </w:p>
    <w:bookmarkEnd w:id="45"/>
    <w:bookmarkStart w:id="46" w:name="X4f9b29f1cf39b382dee913b1dec0be0edacb1e3"/>
    <w:p>
      <w:pPr>
        <w:pStyle w:val="Heading4"/>
      </w:pPr>
      <w:r>
        <w:t xml:space="preserve">7.4. L’affiancamento di figure competenti in Intelligenza Artificiale</w:t>
      </w:r>
    </w:p>
    <w:p>
      <w:pPr>
        <w:pStyle w:val="FirstParagraph"/>
      </w:pPr>
      <w:r>
        <w:t xml:space="preserve">Il quarto livello riguarda l’affiancamento, presso ogni studio medico e ogni Casa della Comunità, di figure competenti in Intelligenza Artificiale, con funzione di supporto operativo, manutenzione, formazione sul campo e raccordo con i fornitori tecnologici. Questa figura, riconducibile ai nuovi ruoli professionali che l’OCSE segnala emergere nei sistemi che adottano strumenti digitali — quali i coordinatori di telemedicina e gli specialisti dell’implementazione — consente di superare il principale ostacolo all’adozione, ossia la distanza tra le competenze tecniche e i bisogni pratici del contesto clinico, e di assicurare che gli strumenti siano effettivamente utilizzati, correttamente configurati e costantemente aggiornati. L’affiancamento garantisce inoltre la continuità del supporto formativo, trasformando la formazione da evento puntuale a processo permanente integrato nel flusso di lavoro, e rappresenta la condizione organizzativa che permette di tradurre il potenziale teorico dell’Intelligenza Artificiale in risparmi effettivi e misurabili.</w:t>
      </w:r>
    </w:p>
    <w:bookmarkEnd w:id="46"/>
    <w:bookmarkStart w:id="47" w:name="X4b8b7c3ff0d7c136be763eea323294d5c3822c9"/>
    <w:p>
      <w:pPr>
        <w:pStyle w:val="Heading4"/>
      </w:pPr>
      <w:r>
        <w:t xml:space="preserve">7.5. Le competenze da sviluppare e la loro misurazione</w:t>
      </w:r>
    </w:p>
    <w:p>
      <w:pPr>
        <w:pStyle w:val="FirstParagraph"/>
      </w:pPr>
      <w:r>
        <w:t xml:space="preserve">Trasversalmente ai quattro livelli, il sistema formativo deve sviluppare un insieme definito di competenze, sia tecniche sia non tecniche, che la letteratura riconduce alla comprensione dei concetti fondamentali dell’Intelligenza Artificiale, alla valutazione dell’accuratezza e dell’affidabilità degli strumenti, al riconoscimento delle conseguenze indesiderate e dei rischi, alla pratica etica e responsabile e all’integrazione dell’Intelligenza Artificiale negli scenari clinici reali. Le organizzazioni internazionali, tra cui l’UNESCO, hanno proposto framework generali di competenza nell’Intelligenza Artificiale, che richiedono tuttavia un adattamento alle specificità delle professioni sanitarie. Il progetto adotta il principio della misurabilità delle competenze, prevedendo strumenti di valutazione psicometricamente robusti e un sistema di certificazione progressiva, condizione necessaria per rendere la formazione verificabile e per legare l’erogazione delle risorse al raggiungimento di obiettivi formativi definiti.</w:t>
      </w:r>
    </w:p>
    <w:bookmarkEnd w:id="47"/>
    <w:bookmarkEnd w:id="48"/>
    <w:bookmarkStart w:id="4154" w:name="X4ae96e3d586fc18ad166e3874243e516fd05fe1"/>
    <w:p>
      <w:pPr>
        <w:pStyle w:val="Heading3"/>
      </w:pPr>
      <w:r>
        <w:t xml:space="preserve">8. Quantificazione preliminare del risparmio aggiuntivo conseguibile</w:t>
      </w:r>
    </w:p>
    <w:bookmarkStart w:id="4155" w:name="Xcc624069d7b5097f9f0b1b71b3421d6d8262f72"/>
    <w:p>
      <w:pPr>
        <w:pStyle w:val="Heading4"/>
      </w:pPr>
      <w:r>
        <w:t xml:space="preserve">8.1. Il baseline nazionale del modello senza Intelligenza Artificiale</w:t>
      </w:r>
    </w:p>
    <w:p>
      <w:pPr>
        <w:pStyle w:val="FirstParagraph"/>
      </w:pPr>
      <w:r>
        <w:t xml:space="preserve">L’applicazione del coefficiente pro capite calibrato al livello nazionale consente una prima quantificazione di ordine di grandezza, da affinare nei capitoli regionali successivi. Sul piano dell’organico, il rapporto pugliese di 205,6–231,4 psicologi di base ogni milione di abitanti, applicato alla popolazione nazionale di 58.943.464 residenti, conduce a un fabbisogno complessivo compreso tra circa 12.100 e 13.600 psicologi a tempo pieno equivalente a regime. Sul piano dei costi, il parametro di 10–12 euro per abitante l’anno conduce a un investimento annuo nazionale a regime compreso tra circa 589 e 707 milioni di euro, ovvero tra circa 630 e 760 milioni includendo il margine di contingenza, pari a un valore dell’ordine di 0,6–0,76 miliardi di euro l’anno. Tale importo corrisponde a una frazione contenuta della spesa sanitaria pubblica nazionale, pari a circa lo 0,45–0,55% dei 138,3 miliardi di euro del 2024.</w:t>
      </w:r>
    </w:p>
    <w:p>
      <w:pPr>
        <w:pStyle w:val="BodyText"/>
      </w:pPr>
      <w:r>
        <w:t xml:space="preserve">Sul piano dei risparmi, il trasferimento dei parametri pugliesi conduce, a regime, a risparmi diretti sanitari nazionali dell’ordine di 3,8–5,0 miliardi di euro l’anno e a risparmi indiretti dell’ordine di 5,0–8,2 miliardi di euro l’anno, per un beneficio complessivo lordo coerente con il rapporto benefici/costi prudenziale di 6–12 a 1 già stabilito per la Puglia. Mantenendo l’impostazione conservativa secondo cui soltanto una parte del potenziale si traduce in riduzione effettiva di spesa, mentre l’altra parte rappresenta capacità assistenziale liberata e riqualificata, il beneficio economico netto annuo del solo modello-base, su scala nazionale e a regime, si colloca in un intervallo ampio dell’ordine di alcuni miliardi di euro l’anno, con un profilo temporale crescente lungo la curva di implementazione e di apprendimento già descritta per la Puglia, articolata sugli orizzonti a 1, 3, 5 e 10 anni.</w:t>
      </w:r>
    </w:p>
    <w:bookmarkEnd w:id="4155"/>
    <w:bookmarkStart w:id="50" w:name="X03f70643f5fae6bad8913dfac9fc2199c4f98a3"/>
    <w:p>
      <w:pPr>
        <w:pStyle w:val="Heading4"/>
      </w:pPr>
      <w:r>
        <w:t xml:space="preserve">8.2. L’incremento di risparmio attribuibile all’Intelligenza Artificiale</w:t>
      </w:r>
    </w:p>
    <w:p>
      <w:pPr>
        <w:pStyle w:val="FirstParagraph"/>
      </w:pPr>
      <w:r>
        <w:t xml:space="preserve">L’integrazione dell’Intelligenza Artificiale agisce su due piani distinti. Sul piano dei costi diretti del servizio, la riduzione del 3–5% del budget diretto, applicata all’investimento nazionale di 0,6–0,76 miliardi di euro, genera un risparmio dell’ordine di 18–38 milioni di euro l’anno, conseguibile a parità di offerta assistenziale attraverso l’automazione e l’efficientamento gestionale. Sul piano sistemico, più rilevante, l’Intelligenza Artificiale eleva l’efficacia clinica e la capacità di intercettazione precoce del servizio, traducendosi in un incremento dei risparmi diretti e indiretti che, secondo l’analisi già condotta per la Puglia, porta il rapporto benefici/costi da 6–12 a 1 fino a 10–15 a 1 negli scenari più favorevoli. Applicando questo incremento alla scala nazionale, il risparmio aggiuntivo annuo attribuibile specificamente all’Intelligenza Artificiale, al netto del modello-base e con criteri prudenziali, si colloca in un intervallo dell’ordine di 0,6–2,7 miliardi di euro l’anno a regime, riconducibile al miglioramento dell’appropriatezza prescrittiva, alla riduzione degli accessi impropri al Pronto Soccorso e dei ricoveri evitabili, al contenimento delle riammissioni e della cronicizzazione, e al recupero di produttività e alla riduzione delle invalidità. Questa stima preliminare, coerente con il potenziale del 5–10% di riduzione della spesa sanitaria documentato dalla letteratura economica internazionale per l’adozione estesa dell’Intelligenza Artificiale, sarà disaggregata e affinata Regione per Regione e voce per voce nei capitoli successivi.</w:t>
      </w:r>
    </w:p>
    <w:bookmarkEnd w:id="50"/>
    <w:bookmarkStart w:id="51" w:name="laggiornamento-del-caso-pugliese"/>
    <w:p>
      <w:pPr>
        <w:pStyle w:val="Heading4"/>
      </w:pPr>
      <w:r>
        <w:t xml:space="preserve">8.3. L’aggiornamento del caso pugliese</w:t>
      </w:r>
    </w:p>
    <w:p>
      <w:pPr>
        <w:pStyle w:val="FirstParagraph"/>
      </w:pPr>
      <w:r>
        <w:t xml:space="preserve">Con riferimento specifico alla Puglia, l’integrazione dell’Intelligenza Artificiale conferma e rafforza i risultati del modello-base. Al risparmio di 1–2 milioni di euro l’anno sui costi diretti del servizio si aggiunge l’incremento sistemico dei risparmi diretti e indiretti, con un effetto complessivo che, mantenendo i criteri prudenziali, eleva il beneficio netto regionale e accorcia i tempi di pareggio finanziario. La quantificazione puntuale dell’ulteriore riduzione della spesa sanitaria pugliese conseguibile mediante l’Intelligenza Artificiale, disaggregata per voce di spesa, per orizzonte temporale e per scenario di adozione, costituisce l’oggetto della trattazione di dettaglio già avviata e sarà ulteriormente consolidata in coerenza con l’architettura nazionale qui delineata.</w:t>
      </w:r>
    </w:p>
    <w:bookmarkEnd w:id="51"/>
    <w:bookmarkEnd w:id="4154"/>
    <w:bookmarkStart w:id="53" w:name="X66b01ff323bfe0428d9a76e03c5efd1b15b5146"/>
    <w:p>
      <w:pPr>
        <w:pStyle w:val="Heading3"/>
      </w:pPr>
      <w:r>
        <w:t xml:space="preserve">9. La cornice regolatoria e la governance dell’adozione</w:t>
      </w:r>
    </w:p>
    <w:p>
      <w:pPr>
        <w:pStyle w:val="FirstParagraph"/>
      </w:pPr>
      <w:r>
        <w:t xml:space="preserve">L’adozione dell’Intelligenza Artificiale nel Servizio Sanitario Nazionale deve avvenire entro una cornice regolatoria rigorosa, condizione di legittimità e di fiducia. Il quadro europeo è definito dal Regolamento sull’Intelligenza Artificiale, che classifica come ad alto rischio i sistemi destinati all’ambito sanitario e ne disciplina requisiti di trasparenza, sorveglianza umana, gestione del rischio e qualità dei dati, e dal Regolamento Generale sulla Protezione dei Dati, che prevede sanzioni fino a 20 milioni di euro o al 4% del fatturato globale per il trattamento non autorizzato dei dati personali. Lo Spazio Europeo dei Dati Sanitari rafforza ulteriormente i meccanismi di tutela, comprese le sanzioni per i tentativi di re-identificazione dei dati anonimizzati. A livello nazionale si aggiungono la normativa italiana in materia di Intelligenza Artificiale e le strutture di governance del Servizio Sanitario Regionale.</w:t>
      </w:r>
    </w:p>
    <w:p>
      <w:pPr>
        <w:pStyle w:val="BodyText"/>
      </w:pPr>
      <w:r>
        <w:t xml:space="preserve">La governance dell’adozione deve seguire le raccomandazioni che la letteratura individua come determinanti del successo: la prioritizzazione delle aree a maggiore impatto, la selezione di partner affidabili, la formazione e il coinvolgimento attivo del personale, la progressione per gradi con misurazione sistematica dei risultati e il mantenimento del paziente al centro del processo, secondo il principio per cui l’Intelligenza Artificiale è un mezzo e non un fine. La sostenibilità finanziaria dell’investimento tecnologico può essere garantita combinando risorse regionali, nazionali — tra cui il Piano Nazionale di Ripresa e Resilienza e il Fondo Sanitario Nazionale — ed europee, e attraverso accordi intersettoriali che riconoscano il carattere trasversale dell’intervento, coinvolgendo nel co-finanziamento gli assessorati e gli enti che ne traggono beneficio in termini di minore disoccupazione, minori oneri assistenziali e maggiore produttività.</w:t>
      </w:r>
    </w:p>
    <w:bookmarkEnd w:id="53"/>
    <w:bookmarkStart w:id="59" w:name="X7c25e452f170b920824f733a77413d53b5f7140"/>
    <w:p>
      <w:pPr>
        <w:pStyle w:val="Heading3"/>
      </w:pPr>
      <w:r>
        <w:t xml:space="preserve">9-bis. Aggiornamento normativo: il Piano nazionale di azione per la Salute mentale 2025–2030 e la Legge di bilancio 2026</w:t>
      </w:r>
    </w:p>
    <w:p>
      <w:pPr>
        <w:pStyle w:val="FirstParagraph"/>
      </w:pPr>
      <w:r>
        <w:t xml:space="preserve">A integrazione e conferma della cornice regolatoria descritta al paragrafo precedente, occorre dare atto di uno sviluppo istituzionale sopravvenuto rispetto alle tranche precedenti di questo Tomo e di rilievo diretto per l’intera architettura dell’estensione nazionale qui delineata. Il 29 dicembre 2025 la Conferenza Unificata Stato-Regioni ha approvato il nuovo Piano nazionale di azione per la Salute mentale (PANSM) 2025–2030, primo aggiornamento organico del documento di indirizzo nazionale dopo oltre un decennio dall’ultima revisione (</w:t>
      </w:r>
      <w:hyperlink r:id="rId10">
        <w:r>
          <w:rPr>
            <w:rStyle w:val="Hyperlink"/>
          </w:rPr>
          <w:t xml:space="preserve">Ministero della Salute, comunicato stampa 29 dicembre 2025</w:t>
        </w:r>
      </w:hyperlink>
      <w:r>
        <w:t xml:space="preserve">). Il Piano individua nel rafforzamento del Dipartimento di salute mentale, integrato e inclusivo, e nel potenziamento dei servizi territoriali il proprio asse portante, e prevede esplicitamente, tra le misure di attuazione, l’introduzione della figura dello psicologo di base quale presenza stabile e gratuita all’interno delle Case della Comunità e dei distretti territoriali, con funzione di primo livello di intervento per l’intercettazione precoce del disagio psichico, in piena coerenza con l’impianto concettuale e organizzativo sviluppato nel presente Tomo e nel Tomo I dedicato alla Regione Puglia (</w:t>
      </w:r>
      <w:hyperlink r:id="rId11">
        <w:r>
          <w:rPr>
            <w:rStyle w:val="Hyperlink"/>
          </w:rPr>
          <w:t xml:space="preserve">Ministero della Salute; Regione Autonoma Valle d’Aosta, notizia 29 dicembre 2025</w:t>
        </w:r>
      </w:hyperlink>
      <w:r>
        <w:t xml:space="preserve">).</w:t>
      </w:r>
    </w:p>
    <w:p>
      <w:pPr>
        <w:pStyle w:val="BodyText"/>
      </w:pPr>
      <w:r>
        <w:t xml:space="preserve">La Legge di bilancio 2026 ha attribuito copertura finanziaria dedicata a tale Piano, stanziando 80 milioni di euro per il 2026, 85 milioni di euro per il 2027, 90 milioni di euro per il 2028 e, a regime strutturale, 30 milioni di euro annui a decorrere dal 2029 per le azioni di prevenzione, diagnosi, cura e assistenza in materia di salute mentale; a queste risorse si affiancano ulteriori 30 milioni di euro annui destinati specificamente all’assunzione di personale sanitario e sociosanitario dedicato, con l’obiettivo dichiarato di garantire una presenza più capillare sul territorio (</w:t>
      </w:r>
      <w:hyperlink r:id="rId12">
        <w:r>
          <w:rPr>
            <w:rStyle w:val="Hyperlink"/>
          </w:rPr>
          <w:t xml:space="preserve">Ministero della Salute, «Legge di bilancio 2026, le misure per la sanità», 2 gennaio 2026</w:t>
        </w:r>
      </w:hyperlink>
      <w:r>
        <w:t xml:space="preserve">). L’effettiva attuazione resta rimessa alla responsabilità delle singole amministrazioni regionali, alcune delle quali già dotate di un impianto organizzativo consolidato e altre destinate ad adeguarsi mediante nuovi modelli organizzativi nel corso del 2026 e degli anni successivi.</w:t>
      </w:r>
    </w:p>
    <w:p>
      <w:pPr>
        <w:pStyle w:val="BodyText"/>
      </w:pPr>
      <w:r>
        <w:t xml:space="preserve">Questo sviluppo normativo non modifica in alcun modo l’impianto metodologico né i valori di rendimento adottati nel presente Tomo, ancorati in via esclusiva al duplice intervallo di Chisholm e collaboratori (2016): esso conferma, sul piano squisitamente istituzionale e con fonte autorevole e indipendente dagli obiettivi di questa ricerca, la fondatezza della traiettoria politico-legislativa qui anticipata e quantificata a livello regionale sin dal Tomo I. Il finanziamento nazionale dedicato, per quanto commisurato a una fase di avvio e non ancora equiparabile per ordine di grandezza agli investimenti stimati necessari a regime dal presente studio, rappresenta un primo riconoscimento tangibile, da parte del decisore pubblico centrale, della priorità strategica dell’integrazione della psicologia nelle cure primarie territoriali, e costituisce la base di partenza sulla quale le stime regionali qui sviluppate possono utilmente innestarsi in sede di programmazione attuativa.</w:t>
      </w:r>
    </w:p>
    <w:p>
      <w:pPr>
        <w:pStyle w:val="BodyText"/>
      </w:pPr>
      <w:r>
        <w:t xml:space="preserve">A livello regionale, lo sviluppo più avanzato e documentato resta quello della Regione Toscana, la cui sperimentazione, avviata nel settembre 2024 in sette sedi ai sensi della legge regionale n. 39/2022 e del relativo regolamento attuativo (delibera n. 43/2024), è stata estesa nel marzo 2025 a ulteriori dieci sedi e successivamente prorogata per un ulteriore anno, a partire da marzo 2026, sull’insieme delle ventuno strutture nel frattempo coinvolte, con uno stanziamento regionale di 675.000 euro per il nuovo periodo di attività; la valutazione dell’andamento della sperimentazione, posta a fondamento della decisione di proroga, è stata giudicata positiva dalla Regione (</w:t>
      </w:r>
      <w:hyperlink r:id="rId13">
        <w:r>
          <w:rPr>
            <w:rStyle w:val="Hyperlink"/>
          </w:rPr>
          <w:t xml:space="preserve">Giovanisì, Regione Toscana, «Prosegue per un altro anno la sperimentazione dello psicologo di base», 9 marzo 2026</w:t>
        </w:r>
      </w:hyperlink>
      <w:r>
        <w:t xml:space="preserve">;</w:t>
      </w:r>
      <w:r>
        <w:t xml:space="preserve"> </w:t>
      </w:r>
      <w:hyperlink r:id="rId14">
        <w:r>
          <w:rPr>
            <w:rStyle w:val="Hyperlink"/>
          </w:rPr>
          <w:t xml:space="preserve">Toscana Medica, «La sperimentazione della Psicologia di base in Regione Toscana», settembre 2025</w:t>
        </w:r>
      </w:hyperlink>
      <w:r>
        <w:t xml:space="preserve">). Questo riscontro empirico, per quanto circoscritto nella scala e non direttamente comparabile in termini di rendimento economico con le stime del presente Tomo, costituisce un primo elemento di validazione operativa del modello organizzativo — accesso su invio del medico di medicina generale o del pediatra di libera scelta, collocazione presso le Case della Comunità, integrazione funzionale con la medicina generale — che il presente studio adotta come riferimento strutturale per l’intero territorio nazionale.</w:t>
      </w:r>
    </w:p>
    <w:bookmarkEnd w:id="59"/>
    <w:bookmarkStart w:id="60" w:name="X7faab510cc2f286cf069937a9442e0076b44951"/>
    <w:p>
      <w:pPr>
        <w:pStyle w:val="Heading3"/>
      </w:pPr>
      <w:r>
        <w:t xml:space="preserve">10. Roadmap dei capitoli successivi dell’estensione nazionale</w:t>
      </w:r>
    </w:p>
    <w:p>
      <w:pPr>
        <w:pStyle w:val="FirstParagraph"/>
      </w:pPr>
      <w:r>
        <w:t xml:space="preserve">Il presente capitolo introduttivo costituisce la base metodologica e documentale dell’estensione nazionale e definisce l’architettura entro la quale si svilupperanno i capitoli successivi, secondo il medesimo metodo sequenziale di approvazione per fasi già adottato per la Puglia. La sequenza prevista è la seguente. Un capitolo dedicato all’analisi disaggregata, Regione per Regione, della spesa sanitaria pubblica complessiva e delle sue componenti farmaceutica, specialistica, ospedaliera e di salute mentale, con la ricostruzione della spesa aggredibile. Un capitolo sul dimensionamento regionale dell’organico di psicologia di base e sui costi diretti di implementazione, calibrati sui quattro fattori di aggiustamento. Un capitolo sui risparmi diretti regionali, articolato per voce di spesa e per orizzonte temporale. Un capitolo sui risparmi indiretti regionali, comprensivo della produttività, delle invalidità, degli oneri familiari e di caregiving. Un capitolo sull’integrazione dell’Intelligenza Artificiale a livello regionale, con la quantificazione puntuale dell’ulteriore risparmio per ciascuna delle cinque dimensioni del continuum assistenziale. Un capitolo sul programma formativo nazionale articolato sui quattro livelli, con i relativi costi e i tempi di attuazione. Un capitolo sul saldo economico complessivo, sulla sostenibilità finanziaria e sulle coperture a livello nazionale, con l’aggregazione dei risultati regionali, l’analisi di sensibilità e la valutazione del ritorno sull’investimento e dei tempi di pareggio.</w:t>
      </w:r>
    </w:p>
    <w:p>
      <w:pPr>
        <w:pStyle w:val="BodyText"/>
      </w:pPr>
      <w:r>
        <w:t xml:space="preserve">L’insieme di questi capitoli costituirà il dossier tecnico-finanziario nazionale del progetto</w:t>
      </w:r>
      <w:r>
        <w:t xml:space="preserve"> </w:t>
      </w:r>
      <w:r>
        <w:t xml:space="preserve">“Psicologo di Base”</w:t>
      </w:r>
      <w:r>
        <w:t xml:space="preserve"> </w:t>
      </w:r>
      <w:r>
        <w:t xml:space="preserve">potenziato dall’Intelligenza Artificiale, destinato a fornire agli interlocutori istituzionali regionali e nazionali una base quantitativa robusta, trasparente, evidence-based e verificabile, in grado di dimostrare che l’integrazione della psicologia nelle cure primarie e l’adozione coordinata dell’Intelligenza Artificiale non costituiscono un costo aggiuntivo insostenibile, bensì una ristrutturazione strategica del modello assistenziale orientata alla sostenibilità di lungo periodo, all’appropriatezza clinica, all’equità di accesso e alla riduzione strutturale della spesa sanitaria pubblica.</w:t>
      </w:r>
    </w:p>
    <w:bookmarkEnd w:id="60"/>
    <w:bookmarkStart w:id="61" w:name="nota-sulle-fonti-e-attribuzione"/>
    <w:p>
      <w:pPr>
        <w:pStyle w:val="Heading3"/>
      </w:pPr>
      <w:r>
        <w:t xml:space="preserve">11. Nota sulle fonti e attribuzione</w:t>
      </w:r>
    </w:p>
    <w:p>
      <w:pPr>
        <w:pStyle w:val="FirstParagraph"/>
      </w:pPr>
      <w:r>
        <w:t xml:space="preserve">Le statistiche demografiche, economiche e sanitarie qui riportate derivano da fonti ufficiali e istituzionali, tra cui l’Istituto Nazionale di Statistica (Censimento permanente della popolazione, anno 2024, e proiezioni demografiche con base 1° gennaio 2024), il Ministero della Salute (Rapporto sulla Salute Mentale, anno 2023), la Corte dei Conti (relazione al Parlamento sulla gestione dei Servizi sanitari regionali), la Fondazione GIMBE (rapporti e osservatori sul Servizio Sanitario Nazionale e stime sulla carenza dei medici di medicina generale al 1° gennaio 2025), la Struttura Interregionale Sanitari Convenzionati, il Consiglio Nazionale dell’Ordine degli Psicologi, l’Organizzazione per la Cooperazione e lo Sviluppo Economico e l’Organizzazione Mondiale della Sanità.</w:t>
      </w:r>
    </w:p>
    <w:p>
      <w:pPr>
        <w:pStyle w:val="BodyText"/>
      </w:pPr>
      <w:r>
        <w:t xml:space="preserve">Le evidenze scientifiche relative all’efficacia clinica e al rapporto costo-efficacia dell’Intelligenza Artificiale e degli interventi psicologici digitali sono tratte da articoli peer-reviewed reperiti attraverso la banca dati biomedica PubMed. In particolare, si richiamano: Chew H.S.J., Achananuparp P.,</w:t>
      </w:r>
      <w:r>
        <w:t xml:space="preserve"> </w:t>
      </w:r>
      <w:r>
        <w:t xml:space="preserve">“Perceptions and Needs of Artificial Intelligence in Health Care to Increase Adoption: Scoping Review”</w:t>
      </w:r>
      <w:r>
        <w:t xml:space="preserve">, Journal of Medical Internet Research, 2022 (DOI: https://doi.org/10.2196/32939); Laymouna M. e colleghi,</w:t>
      </w:r>
      <w:r>
        <w:t xml:space="preserve"> </w:t>
      </w:r>
      <w:r>
        <w:t xml:space="preserve">“Roles, Users, Benefits, and Limitations of Chatbots in Health Care: Rapid Review”</w:t>
      </w:r>
      <w:r>
        <w:t xml:space="preserve">, Journal of Medical Internet Research, 2024 (DOI: https://doi.org/10.2196/56930); Varghese M.A., Sharma P., Patwardhan M.,</w:t>
      </w:r>
      <w:r>
        <w:t xml:space="preserve"> </w:t>
      </w:r>
      <w:r>
        <w:t xml:space="preserve">“Public Perception on Artificial Intelligence-Driven Mental Health Interventions: Survey Research”</w:t>
      </w:r>
      <w:r>
        <w:t xml:space="preserve">, JMIR Formative Research, 2024 (DOI: https://doi.org/10.2196/64380); Oliveira C. e colleghi,</w:t>
      </w:r>
      <w:r>
        <w:t xml:space="preserve"> </w:t>
      </w:r>
      <w:r>
        <w:t xml:space="preserve">“Internet-delivered cognitive behavioral therapy for anxiety among university students: A systematic review and meta-analysis”</w:t>
      </w:r>
      <w:r>
        <w:t xml:space="preserve">, Internet Interventions, 2023 (DOI: https://doi.org/10.1016/j.invent.2023.100609); McCall H.C., Hadjistavropoulos H.D., Sundström C.R.F.,</w:t>
      </w:r>
      <w:r>
        <w:t xml:space="preserve"> </w:t>
      </w:r>
      <w:r>
        <w:t xml:space="preserve">“Exploring the Role of Persuasive Design in Unguided Internet-Delivered Cognitive Behavioral Therapy for Depression and Anxiety Among Adults: Systematic Review, Meta-analysis, and Meta-regression”</w:t>
      </w:r>
      <w:r>
        <w:t xml:space="preserve">, Journal of Medical Internet Research, 2021 (DOI: https://doi.org/10.2196/26939); Maj A. e colleghi,</w:t>
      </w:r>
      <w:r>
        <w:t xml:space="preserve"> </w:t>
      </w:r>
      <w:r>
        <w:t xml:space="preserve">“The effect of internet-delivered cognitive behavioral therapy for depression and anxiety on quality of life: A meta-analysis of randomized controlled trials”</w:t>
      </w:r>
      <w:r>
        <w:t xml:space="preserve">, Internet Interventions, 2023 (DOI: https://doi.org/10.1016/j.invent.2023.100654); Tolentino R. e colleghi,</w:t>
      </w:r>
      <w:r>
        <w:t xml:space="preserve"> </w:t>
      </w:r>
      <w:r>
        <w:t xml:space="preserve">“Curriculum Frameworks and Educational Programs in AI for Medical Students, Residents, and Practicing Physicians: Scoping Review”</w:t>
      </w:r>
      <w:r>
        <w:t xml:space="preserve">, JMIR Medical Education, 2024 (DOI: https://doi.org/10.2196/54793). Le stime economiche sull’impatto dell’Intelligenza Artificiale in sanità derivano da analisi dell’Organizzazione per la Cooperazione e lo Sviluppo Economico e da studi di settore richiamati dalla letteratura economica internazionale. I parametri del modello-base e dell’integrazione dell’Intelligenza Artificiale relativi alla Regione Puglia sono tratti dai capitoli del progetto già elaborati.</w:t>
      </w:r>
    </w:p>
    <w:bookmarkEnd w:id="61"/>
    <w:bookmarkEnd w:id="62"/>
    <w:bookmarkStart w:id="63" w:name="i-sistemi-sanitari-regionali"/>
    <w:p>
      <w:pPr>
        <w:pStyle w:val="Heading2"/>
      </w:pPr>
      <w:r>
        <w:t xml:space="preserve">I sistemi sanitari regionali</w:t>
      </w:r>
    </w:p>
    <w:p>
      <w:pPr>
        <w:pStyle w:val="FirstParagraph"/>
      </w:pPr>
      <w:r>
        <w:t xml:space="preserve">Estensione Nazionale del Modello Psicologo di Base ��� Capitolo 1: Quadro Comparativo dei Sistemi Sanitari Regionali</w:t>
      </w:r>
    </w:p>
    <w:p>
      <w:pPr>
        <w:pStyle w:val="BodyText"/>
      </w:pPr>
      <w:r>
        <w:t xml:space="preserve">Indice</w:t>
      </w:r>
    </w:p>
    <w:bookmarkEnd w:id="63"/>
    <w:bookmarkStart w:id="84" w:name="X8a5d0e33074d6b8d26f82cbb8b5870bf5b81563"/>
    <w:p>
      <w:pPr>
        <w:pStyle w:val="Heading2"/>
      </w:pPr>
      <w:r>
        <w:t xml:space="preserve">Estensione nazionale del modello</w:t>
      </w:r>
      <w:r>
        <w:t xml:space="preserve"> </w:t>
      </w:r>
      <w:r>
        <w:t xml:space="preserve">“Psicologo di Base”</w:t>
      </w:r>
      <w:r>
        <w:t xml:space="preserve"> </w:t>
      </w:r>
      <w:r>
        <w:t xml:space="preserve">potenziato dall’Intelligenza Artificiale</w:t>
      </w:r>
    </w:p>
    <w:bookmarkStart w:id="64" w:name="Xe264939fd57040ff518ae58ee1e2f7f2e6472f4"/>
    <w:p>
      <w:pPr>
        <w:pStyle w:val="Heading3"/>
      </w:pPr>
      <w:r>
        <w:t xml:space="preserve">Capitolo 1 (livello nazionale) — Quadro comparativo dei Sistemi Sanitari Regionali, bisogni di salute mentale e spesa sanitaria aggredibile</w:t>
      </w:r>
    </w:p>
    <w:bookmarkEnd w:id="64"/>
    <w:bookmarkStart w:id="65" w:name="Xd0be18f0a64fa6aed3a95bc87cdd18590cddf0c"/>
    <w:p>
      <w:pPr>
        <w:pStyle w:val="Heading3"/>
      </w:pPr>
      <w:r>
        <w:t xml:space="preserve">Premessa metodologica e oggetto del capitolo</w:t>
      </w:r>
    </w:p>
    <w:p>
      <w:pPr>
        <w:pStyle w:val="FirstParagraph"/>
      </w:pPr>
      <w:r>
        <w:t xml:space="preserve">Il presente capitolo costituisce la base dati comparativa dell’estensione nazionale del progetto</w:t>
      </w:r>
      <w:r>
        <w:t xml:space="preserve"> </w:t>
      </w:r>
      <w:r>
        <w:t xml:space="preserve">“Psicologo di Base”</w:t>
      </w:r>
      <w:r>
        <w:t xml:space="preserve">, e risponde alla prima e fondamentale esigenza metodologica del trasferimento del modello pugliese all’intero Servizio Sanitario Nazionale: disporre, per ciascuna Regione e Provincia autonoma, dei dati demografici, epidemiologici, organizzativi e finanziari necessari ad applicare l’architettura analitica già validata per la Puglia. Il capitolo procede attraverso un approccio rigorosamente evidence-based, multidisciplinare, multifattoriale e multidimensionale, integrando epidemiologia descrittiva, demografia, economia sanitaria, sociologia della salute e analisi comparativa dei sistemi sanitari regionali, sulla base di dati certificati dall’Istituto Nazionale di Statistica, dal Ministero della Salute, dalla Corte dei Conti, dalla Fondazione GIMBE, dalla Struttura Interregionale Sanitari Convenzionati, dalla Ragioneria Generale dello Stato e dal Centro di Ricerche sulla Gestione dell’Assistenza Sanitaria e Sociale dell’Università Bocconi.</w:t>
      </w:r>
    </w:p>
    <w:p>
      <w:pPr>
        <w:pStyle w:val="BodyText"/>
      </w:pPr>
      <w:r>
        <w:t xml:space="preserve">Il modello pugliese ha dimostrato, con metodologia trasparente e prudenziale, che l’inserimento strutturale di 800–900 psicologi a tempo pieno equivalente nelle cure primarie regionali, in raccordo funzionale con i Centri di Salute Mentale, comporta un investimento annuo compreso tra 38,8 e 43,5 milioni di euro nello scenario standard ed espansivo, fino a 41,7–46,7 milioni includendo un margine di contingenza del 7,5%, pari a un costo per abitante di soli 10–12 euro l’anno e a un costo medio per psicologo a tempo pieno di 48.300–48.500 euro l’anno comprensivo di tutti gli oneri riflessi, della formazione, della supervisione, della governance, dei sistemi informativi e delle infrastrutture. A fronte di questo investimento, il modello genera risparmi diretti sanitari e risparmi indiretti socioeconomici quantificati nei capitoli successivi della relazione pugliese, con rapporti benefici/costi ampiamente favorevoli. L’obiettivo dell’estensione nazionale è replicare questa quantificazione per ogni Regione, tenendo conto delle profonde differenze demografiche, epidemiologiche, organizzative e finanziarie che caratterizzano i ventuno sistemi sanitari regionali italiani.</w:t>
      </w:r>
    </w:p>
    <w:p>
      <w:pPr>
        <w:pStyle w:val="BodyText"/>
      </w:pPr>
      <w:r>
        <w:t xml:space="preserve">Una nota preliminare di raccordo è necessaria. Il dossier pugliese contiene due ordini di stima dei costi: una formulazione iniziale, contenuta nel Capitolo 1, che colloca l’investimento attorno a 60 milioni di euro annui per 800 psicologi e a 67,5 milioni per 900, basata su un costo unitario lordo comprensivo più ampio; e una formulazione analitica e prudenziale, contenuta nel Capitolo 4, che dettaglia ogni voce di spesa e quantifica l’investimento in 38,8–43,5 milioni di euro annui, con un costo per abitante di 10–12 euro. L’estensione nazionale adotta come base di calcolo la formulazione analitica del Capitolo 4, in quanto disaggregata, verificabile e prudenziale, segnalando tuttavia che la stima superiore del Capitolo 1 può essere utilizzata come limite massimo dell’intervallo nelle proiezioni di sensibilità. Tutti i valori sono espressi in cifre e a prezzi costanti.</w:t>
      </w:r>
    </w:p>
    <w:bookmarkEnd w:id="65"/>
    <w:bookmarkStart w:id="71" w:name="il-quadro-nazionale-di-sintesi"/>
    <w:p>
      <w:pPr>
        <w:pStyle w:val="Heading3"/>
      </w:pPr>
      <w:r>
        <w:t xml:space="preserve">1. Il quadro nazionale di sintesi</w:t>
      </w:r>
    </w:p>
    <w:bookmarkStart w:id="66" w:name="la-popolazione-e-la-sua-distribuzione"/>
    <w:p>
      <w:pPr>
        <w:pStyle w:val="Heading4"/>
      </w:pPr>
      <w:r>
        <w:t xml:space="preserve">1.1. La popolazione e la sua distribuzione</w:t>
      </w:r>
    </w:p>
    <w:p>
      <w:pPr>
        <w:pStyle w:val="FirstParagraph"/>
      </w:pPr>
      <w:r>
        <w:t xml:space="preserve">Al 31 dicembre 2024, secondo i risultati del Censimento permanente dell’Istituto Nazionale di Statistica, la popolazione abitualmente dimorante in Italia ammonta a 58.943.464 individui, dei quali 5.371.251 stranieri, pari al 9,1% del totale. La distribuzione è fortemente concentrata e asimmetrica: la Lombardia, con 10.033.918 abitanti, raccoglie circa il 17% della popolazione nazionale; le prime tre Regioni — Lombardia, Lazio con 5.709.178 e Campania con 5.582.337 — superano insieme un terzo del totale; le ultime quattro — Umbria con 851.473, Basilicata con 530.004, Molise con 287.814 e Valle d’Aosta con 122.532 — non raggiungono complessivamente il 3,1% della popolazione. Questa asimmetria impone che il modello nazionale preveda soglie minime di servizio per le Regioni di piccole dimensioni e una modulazione dell’organizzazione capillare in funzione della densità abitativa e della dispersione territoriale.</w:t>
      </w:r>
    </w:p>
    <w:bookmarkEnd w:id="66"/>
    <w:bookmarkStart w:id="4156" w:name="Xdd46bd1164e848eabe2452068b4ecdff018c4f3"/>
    <w:p>
      <w:pPr>
        <w:pStyle w:val="Heading4"/>
      </w:pPr>
      <w:r>
        <w:t xml:space="preserve">1.2. La spesa sanitaria pubblica e i divari di qualità</w:t>
      </w:r>
    </w:p>
    <w:p>
      <w:pPr>
        <w:pStyle w:val="FirstParagraph"/>
      </w:pPr>
      <w:r>
        <w:t xml:space="preserve">Nel 2023, secondo il sistema dei conti della sanità dell’Istituto Nazionale di Statistica, la spesa sanitaria complessiva è risultata pari a 176.153 milioni di euro, dei quali 130.291 milioni di spesa pubblica, pari al 74% del totale. La Corte dei Conti ha rilevato la crescita della spesa pubblica fino a 138,3 miliardi nel 2024. Un dato cruciale ai fini del trasferimento del modello riguarda la distribuzione territoriale della spesa pubblica pro capite: a differenza di quanto si potrebbe presumere, tale spesa è relativamente uniforme tra le Regioni, per effetto dei meccanismi di perequazione del riparto del Fondo Sanitario Nazionale. Nel 2022 la spesa sanitaria pubblica pro capite si è collocata su una media nazionale di circa 2.197 euro, con un intervallo compreso tra i 2.028 euro della Calabria e i 2.770 euro della Provincia autonoma di Bolzano, e con la Campania a 2.051 euro. L’incidenza della spesa sanitaria pubblica sul prodotto interno lordo regionale varia invece ampiamente, dal 5,1% della Lombardia e di Bolzano fino a oltre l’11% in Calabria, riflettendo la diversa ricchezza dei territori più che la diversa generosità del finanziamento sanitario.</w:t>
      </w:r>
    </w:p>
    <w:p>
      <w:pPr>
        <w:pStyle w:val="BodyText"/>
      </w:pPr>
      <w:r>
        <w:t xml:space="preserve">La divergenza territoriale si manifesta dunque non tanto nel volume pro capite della spesa pubblica, quanto nella qualità, nell’appropriatezza e nell’esigibilità delle prestazioni. Nel 2022 soltanto 13 Regioni rispettavano gli standard essenziali di assistenza, con un ampliamento del divario tra Nord e Sud; tra le Regioni meridionali soltanto Puglia e Basilicata risultavano adempienti, pur in posizioni di coda. Sette Regioni risultano sottoposte a piano di rientro dal disavanzo sanitario: Calabria, Molise, Sicilia, Campania, Lazio, Abruzzo e Puglia. Speculare alla qualità della sanità pubblica è la spesa sanitaria privata diretta delle famiglie, che misura indirettamente le barriere di accesso: nel 2023 la media nazionale è stata di circa 730 euro pro capite, con un intervallo amplissimo che va dai 377 euro della Basilicata ai 1.032 euro della Lombardia, riflettendo la minore capacità di spesa e la rinuncia alle cure nelle Regioni meridionali, dove i cittadini più spesso non possono permettersi di compensare privatamente le carenze del servizio pubblico. Questa lettura combinata — spesa pubblica pro capite quasi uniforme, ma qualità e spesa privata fortemente divergenti — è il fondamento metodologico per la calibrazione regionale dei coefficienti di risparmio.</w:t>
      </w:r>
    </w:p>
    <w:bookmarkEnd w:id="4156"/>
    <w:bookmarkStart w:id="68" w:name="Xc3e721c3def38a814def0d239987e8533afbf0b"/>
    <w:p>
      <w:pPr>
        <w:pStyle w:val="Heading4"/>
      </w:pPr>
      <w:r>
        <w:t xml:space="preserve">1.3. Il bisogno di salute mentale e la carenza dell’offerta</w:t>
      </w:r>
    </w:p>
    <w:p>
      <w:pPr>
        <w:pStyle w:val="FirstParagraph"/>
      </w:pPr>
      <w:r>
        <w:t xml:space="preserve">A livello nazionale, la prevalenza annuale dei disturbi mentali comuni negli adulti è collocata dalla letteratura epidemiologica tra il 10% e il 15%, con una prevalenza nel corso della vita di disturbi depressivi e d’ansia tra il 15% e il 20%; l’Organizzazione Mondiale della Sanità stima che il 20–30% della popolazione sperimenti qualche forma di disagio psicologico clinicamente significativo nell’arco di un anno. Applicando queste stime alla popolazione nazionale, si può stimare che ogni anno tra 5,9 e 8,8 milioni di adulti sperimentino un disturbo mentale comune meritevole di valutazione psicologica. A fronte di questo bisogno, l’offerta pubblica è strutturalmente sottodimensionata: la spesa per la salute mentale si attesta attorno al 3% del Fondo Sanitario Nazionale, in calo verso il 2,5%, contro il 10% raccomandato dall’Organizzazione Mondiale della Sanità; la dotazione di psicologi nel Servizio Sanitario Nazionale è di 3,8 ogni 100.000 abitanti, contro una media europea di 10 ogni 100.000. Nel 2023 le persone assistite dai servizi specialistici di salute mentale sono state 854.040, esclusi i dati dell’Abruzzo, con un tasso standardizzato nazionale di 169,5 ogni 10.000 abitanti adulti e con una variabilità regionale amplissima, dal minimo di 108,5 delle Marche al massimo di 325,9 della Liguria; gli accessi al Pronto Soccorso per cause psichiatriche sono stati 573.663, pari al 3,1% del totale. Il modello pugliese costituisce il riferimento metodologico per la lettura regionale di questi dati: in Puglia operano 170 psicologi nei Dipartimenti di Salute Mentale, pari a 4,4 ogni 100.000 abitanti, e la spesa per l’assistenza psichiatrica ammonta a circa 285 milioni di euro, pari al 3,3% della spesa sanitaria pubblica regionale di circa 8,55 miliardi di euro.</w:t>
      </w:r>
    </w:p>
    <w:bookmarkEnd w:id="68"/>
    <w:bookmarkStart w:id="69" w:name="la-medicina-generale"/>
    <w:p>
      <w:pPr>
        <w:pStyle w:val="Heading4"/>
      </w:pPr>
      <w:r>
        <w:t xml:space="preserve">1.4. La medicina generale</w:t>
      </w:r>
    </w:p>
    <w:p>
      <w:pPr>
        <w:pStyle w:val="FirstParagraph"/>
      </w:pPr>
      <w:r>
        <w:t xml:space="preserve">Al 1° gennaio 2025 i medici di medicina generale in Italia sono 36.812, in carico a oltre 50,9 milioni di assistiti, con una media di 1.383 assistiti per medico, in forte calo rispetto ai 42.009 del 2019. La carenza, calcolata rispetto al rapporto ottimale di un medico ogni 1.200 assistiti, è stimata in 5.716 unità e interessa 18 Regioni; entro il 2028 sono previsti 8.180 pensionamenti. Il carico medio per medico varia dai 1.153 assistiti del Molise ai 1.533 della Lombardia, e la contrazione dell’organico tra il 2019 e il 2024 è stata massima in Sardegna, con una riduzione del 40,3%, e minima nelle Province autonome di Trento e Bolzano. Questo quadro definisce, Regione per Regione, l’entità del sollievo che lo psicologo di base può apportare alla medicina generale, assorbendo la domanda psichica oggi impropriamente gestita negli studi e contenendo le prescrizioni e gli invii inappropriati.</w:t>
      </w:r>
    </w:p>
    <w:bookmarkEnd w:id="69"/>
    <w:bookmarkStart w:id="70" w:name="il-gradiente-socioeconomico"/>
    <w:p>
      <w:pPr>
        <w:pStyle w:val="Heading4"/>
      </w:pPr>
      <w:r>
        <w:t xml:space="preserve">1.5. Il gradiente socioeconomico</w:t>
      </w:r>
    </w:p>
    <w:p>
      <w:pPr>
        <w:pStyle w:val="FirstParagraph"/>
      </w:pPr>
      <w:r>
        <w:t xml:space="preserve">Il quarto fattore di calibrazione, di natura economica, attiene alla vulnerabilità socioeconomica, determinante indipendente dei disturbi mentali e base della componente indiretta del risparmio. Nel 2024 il tasso di disoccupazione nel Mezzogiorno, pari all’11,9%, ha superato di oltre tre volte quello del Nord-Est, pari al 3,6%; la Campania ha registrato il valore più elevato, 15,6%, e la Provincia autonoma di Bolzano il più basso, 2,0%; il tasso di disoccupazione giovanile nazionale è stato del 20,3%, con un picco del 42,6% in Calabria. La condizione di giovani non occupati né in istruzione o formazione ha riguardato il 15,2% della popolazione giovanile a livello nazionale, con valori molto più elevati nel Mezzogiorno. L’indicatore di rischio di povertà o esclusione sociale ha interessato il 23,1% della popolazione nazionale, salendo al 39,8% nel Sud e al 38,1% nelle Isole. Questo gradiente, fortemente sfavorevole al Mezzogiorno, implica che il risparmio indiretto del modello — produttività recuperata, minori invalidità, minori oneri familiari — assume valore monetario differente da Regione a Regione, risultando più elevato in termini assoluti nelle Regioni a più alto prodotto e più elevato in termini di prevenzione del rischio nelle Regioni a maggiore deprivazione.</w:t>
      </w:r>
    </w:p>
    <w:bookmarkEnd w:id="70"/>
    <w:bookmarkEnd w:id="71"/>
    <w:bookmarkStart w:id="77" w:name="il-quadro-per-macro-aree-e-regioni"/>
    <w:p>
      <w:pPr>
        <w:pStyle w:val="Heading3"/>
      </w:pPr>
      <w:r>
        <w:t xml:space="preserve">2. Il quadro per macro-aree e Regioni</w:t>
      </w:r>
    </w:p>
    <w:p>
      <w:pPr>
        <w:pStyle w:val="FirstParagraph"/>
      </w:pPr>
      <w:r>
        <w:t xml:space="preserve">L’estensione del modello procede aggregando le Regioni in cinque macro-aree omogenee — Nord-Ovest, Nord-Est, Centro, Sud, Isole — entro le quali si collocano i profili regionali specifici. Per ciascuna Regione viene indicato il fabbisogno potenziale di organico psicologico calcolato applicando il coefficiente standard del modello pugliese, pari a circa 20,5–23,1 psicologi a tempo pieno equivalente ogni 100.000 abitanti, ovvero 205,6–231,4 ogni milione, da intendersi come riferimento da calibrare successivamente sui quattro fattori di aggiustamento.</w:t>
      </w:r>
    </w:p>
    <w:bookmarkStart w:id="4157" w:name="nord-ovest"/>
    <w:p>
      <w:pPr>
        <w:pStyle w:val="Heading4"/>
      </w:pPr>
      <w:r>
        <w:t xml:space="preserve">2.1. Nord-Ovest</w:t>
      </w:r>
    </w:p>
    <w:p>
      <w:pPr>
        <w:pStyle w:val="FirstParagraph"/>
      </w:pPr>
      <w:r>
        <w:t xml:space="preserve">Il Nord-Ovest comprende la Lombardia, il Piemonte, la Liguria e la Valle d’Aosta, e si caratterizza per sistemi sanitari solidi, elevata capacità di spesa privata e, in alcune sue componenti, per un invecchiamento particolarmente accentuato.</w:t>
      </w:r>
    </w:p>
    <w:p>
      <w:pPr>
        <w:pStyle w:val="BodyText"/>
      </w:pPr>
      <w:r>
        <w:t xml:space="preserve">La Lombardia, con 10.033.918 abitanti, è la Regione più popolosa e, in valore assoluto, quella che presenta il maggiore fabbisogno: applicando il coefficiente standard si stima un organico compreso tra circa 2.057 e 2.318 psicologi di base a tempo pieno equivalente. La Lombardia presenta la più bassa incidenza della spesa sanitaria pubblica sul prodotto, pari al 5,1%, riflesso della sua ricchezza, e la più elevata spesa sanitaria privata pro capite del Paese, pari a circa 1.032 euro, indicatore di un’ampia capacità delle famiglie di rivolgersi al mercato. È inoltre la Regione con la più grave carenza assoluta di medici di medicina generale, stimata in circa 1.540 unità, e con il più elevato carico medio per medico, pari a 1.533 assistiti. Questa combinazione configura un contesto in cui lo psicologo di base agisce prevalentemente come filtro che decongestiona una medicina generale sovraccarica e come strumento di contenimento di una spesa privata elevata, intercettando una domanda che oggi si rivolge in larga misura al settore privato.</w:t>
      </w:r>
    </w:p>
    <w:p>
      <w:pPr>
        <w:pStyle w:val="BodyText"/>
      </w:pPr>
      <w:r>
        <w:t xml:space="preserve">Il Piemonte, con 4.251.868 abitanti, presenta un fabbisogno stimato tra circa 872 e 984 psicologi, un tasso di disoccupazione del 5,4%, il più elevato tra le Regioni settentrionali, e un profilo demografico in invecchiamento. La Liguria, con 1.510.143 abitanti e un fabbisogno stimato tra circa 310 e 349 psicologi, è la Regione più anziana d’Italia, con una quota di ultrasessantacinquenni del 29,2% e un indice di vecchiaia di 283, e registra il più elevato tasso di utenza dei servizi di salute mentale del Paese, pari a 325,9 ogni 10.000 abitanti, indicatore di una domanda specialistica molto intensa che lascia ampio spazio a un’azione di filtro e di presa in carico dei disturbi comuni a livello di cure primarie. La Valle d’Aosta, con 122.532 abitanti e un fabbisogno stimato tra circa 25 e 28 psicologi, costituisce il caso paradigmatico della Regione di piccole dimensioni, nella quale il modello deve prevedere una soglia minima di servizio e una forte componente di telepsicologia e di équipe mobile per garantire la copertura di un territorio montano e disperso.</w:t>
      </w:r>
    </w:p>
    <w:bookmarkEnd w:id="4157"/>
    <w:bookmarkStart w:id="73" w:name="nord-est"/>
    <w:p>
      <w:pPr>
        <w:pStyle w:val="Heading4"/>
      </w:pPr>
      <w:r>
        <w:t xml:space="preserve">2.2. Nord-Est</w:t>
      </w:r>
    </w:p>
    <w:p>
      <w:pPr>
        <w:pStyle w:val="FirstParagraph"/>
      </w:pPr>
      <w:r>
        <w:t xml:space="preserve">Il Nord-Est comprende il Veneto, l’Emilia-Romagna, il Friuli-Venezia Giulia e il Trentino-Alto Adige con le due Province autonome di Trento e di Bolzano, e si caratterizza per i migliori indicatori socioeconomici e per sistemi sanitari tra i più performanti del Paese.</w:t>
      </w:r>
    </w:p>
    <w:p>
      <w:pPr>
        <w:pStyle w:val="BodyText"/>
      </w:pPr>
      <w:r>
        <w:t xml:space="preserve">Il Veneto, con 4.853.472 abitanti, presenta un fabbisogno stimato tra circa 995 e 1.123 psicologi, e un mercato del lavoro solido, con un tasso di disoccupazione del Nord-Est che si attesta al 3,6%. L’Emilia-Romagna, con 4.461.998 abitanti e un fabbisogno stimato tra circa 915 e 1.033 psicologi, è tra le Regioni con i migliori livelli di adempimento degli standard essenziali di assistenza e con una elevata spesa sanitaria privata pro capite, pari a circa 861 euro, segno di un sistema in cui la componente integrativa è strutturata. Il Friuli-Venezia Giulia, con 1.193.284 abitanti e un fabbisogno stimato tra circa 245 e 276 psicologi, è la seconda Regione più anziana d’Italia, con una quota di ultrasessantacinquenni del 27,1%, e presenta dunque un bacino di cronicità e di comorbilità psico-somatica particolarmente ampio. Il Trentino-Alto Adige, con 1.086.252 abitanti complessivi e un fabbisogno stimato tra circa 223 e 251 psicologi, costituisce un caso peculiare: la Provincia autonoma di Bolzano presenta la più elevata spesa sanitaria pubblica pro capite del Paese, pari a 2.770 euro, la più bassa disoccupazione, pari al 2,0%, la più alta speranza di vita e l’unica dinamica positiva dell’organico della medicina generale, mentre la Provincia autonoma di Trento condivide profili di eccellenza analoghi; la programmazione dovrà tenere conto dell’autonomia organizzativa e finanziaria delle due Province.</w:t>
      </w:r>
    </w:p>
    <w:bookmarkEnd w:id="73"/>
    <w:bookmarkStart w:id="74" w:name="centro"/>
    <w:p>
      <w:pPr>
        <w:pStyle w:val="Heading4"/>
      </w:pPr>
      <w:r>
        <w:t xml:space="preserve">2.3. Centro</w:t>
      </w:r>
    </w:p>
    <w:p>
      <w:pPr>
        <w:pStyle w:val="FirstParagraph"/>
      </w:pPr>
      <w:r>
        <w:t xml:space="preserve">Il Centro comprende il Lazio, la Toscana, le Marche e l’Umbria, e presenta una situazione intermedia, con un forte invecchiamento e sistemi sanitari di media-elevata solidità, fatta eccezione per il Lazio, sottoposto a piano di rientro.</w:t>
      </w:r>
    </w:p>
    <w:p>
      <w:pPr>
        <w:pStyle w:val="BodyText"/>
      </w:pPr>
      <w:r>
        <w:t xml:space="preserve">Il Lazio, con 5.709.178 abitanti, presenta un fabbisogno stimato tra circa 1.170 e 1.321 psicologi, è sottoposto a piano di rientro dal disavanzo sanitario e registra una delle più elevate spese sanitarie private pro capite e dei più alti livelli di rinuncia alle cure, riflesso di tempi di attesa elevati che spingono i cittadini verso il mercato; in tale contesto il modello agisce simultaneamente sull’appropriatezza pubblica e sulla riduzione della spesa privata indotta dalle liste di attesa. La Toscana, con 3.657.716 abitanti e un fabbisogno stimato tra circa 750 e 846 psicologi, presenta il più basso tasso di disoccupazione del Centro, pari al 4,0%, e un sistema sanitario tra i più solidi del Paese. Le Marche, con 1.480.545 abitanti e un fabbisogno stimato tra circa 304 e 343 psicologi, registrano il più basso tasso di utenza dei servizi di salute mentale del Paese, pari a 108,5 ogni 10.000 abitanti, dato che, a fronte di un bisogno epidemiologico non inferiore, segnala una intercettazione specialistica particolarmente bassa e dunque un ampio bacino di domanda inevasa che lo psicologo di base potrebbe intercettare. L’Umbria, con 851.473 abitanti e un fabbisogno stimato tra circa 175 e 197 psicologi, è la terza Regione più anziana d’Italia, con una quota di ultrasessantacinquenni del 27,0%, con le implicazioni già descritte in termini di cronicità e comorbilità.</w:t>
      </w:r>
    </w:p>
    <w:bookmarkEnd w:id="74"/>
    <w:bookmarkStart w:id="75" w:name="sud"/>
    <w:p>
      <w:pPr>
        <w:pStyle w:val="Heading4"/>
      </w:pPr>
      <w:r>
        <w:t xml:space="preserve">2.4. Sud</w:t>
      </w:r>
    </w:p>
    <w:p>
      <w:pPr>
        <w:pStyle w:val="FirstParagraph"/>
      </w:pPr>
      <w:r>
        <w:t xml:space="preserve">Il Sud comprende la Campania, la Puglia, la Calabria, l’Abruzzo, il Molise e la Basilicata, e costituisce, insieme alle Isole, l’area in cui il divario tra bisogno e offerta è più profondo, la deprivazione socioeconomica più diffusa e i vincoli di bilancio più stringenti, ma anche quella in cui il rendimento marginale del modello, in termini di prevenzione della cronicizzazione, riduzione degli accessi impropri e contenimento della migrazione sanitaria, è potenzialmente più elevato.</w:t>
      </w:r>
    </w:p>
    <w:p>
      <w:pPr>
        <w:pStyle w:val="BodyText"/>
      </w:pPr>
      <w:r>
        <w:t xml:space="preserve">La Campania, con 5.582.337 abitanti, presenta il maggiore fabbisogno dell’area, stimato tra circa 1.144 e 1.292 psicologi, ed è sottoposta a piano di rientro; pur essendo la Regione demograficamente più giovane, con una quota di ultrasessantacinquenni del 20,9% e un indice di vecchiaia di 161, registra il più elevato tasso di disoccupazione del Paese, pari al 15,6%, la più bassa speranza di vita e livelli di rischio di povertà o esclusione sociale tra i più alti d’Italia, configurando un substrato di vulnerabilità psicosociale che amplifica il bisogno di salute mentale e il potenziale di risparmio indiretto. La Puglia, con 3.877.395 abitanti, costituisce il caso di riferimento del modello, con un fabbisogno standard di circa 795–897 psicologi, già oggetto della quantificazione completa nei capitoli pugliesi. La Calabria, con 1.834.646 abitanti e un fabbisogno stimato tra circa 376 e 425 psicologi, è sottoposta a piano di rientro, presenta la più bassa spesa sanitaria pubblica pro capite del Paese, pari a 2.028 euro, la più alta incidenza della spesa sanitaria sul prodotto regionale, oltre l’11%, e il più elevato tasso di disoccupazione giovanile, pari al 42,6%, configurando il contesto di maggiore fragilità combinata del Paese. L’Abruzzo, con 1.269.118 abitanti e un fabbisogno stimato tra circa 260 e 294 psicologi, e il Molise, con 287.814 abitanti e un fabbisogno stimato tra circa 59 e 67 psicologi, sono entrambi sottoposti a piano di rientro; il Molise presenta il più basso carico medio per medico di medicina generale del Paese, pari a 1.153 assistiti, e costituisce, insieme alla Valle d’Aosta, il caso della Regione di piccolissime dimensioni che richiede soglie minime di servizio e forte ricorso alla telepsicologia. La Basilicata, con 530.004 abitanti e un fabbisogno stimato tra circa 109 e 123 psicologi, pur appartenendo al Mezzogiorno presenta il più basso tasso di disoccupazione dell’area, pari al 6,7%, e la più bassa spesa sanitaria privata pro capite del Paese, pari a 377 euro, indicatore al tempo stesso di minori barriere relative e di una capacità di spesa privata strutturalmente contenuta.</w:t>
      </w:r>
    </w:p>
    <w:bookmarkEnd w:id="75"/>
    <w:bookmarkStart w:id="76" w:name="isole"/>
    <w:p>
      <w:pPr>
        <w:pStyle w:val="Heading4"/>
      </w:pPr>
      <w:r>
        <w:t xml:space="preserve">2.5. Isole</w:t>
      </w:r>
    </w:p>
    <w:p>
      <w:pPr>
        <w:pStyle w:val="FirstParagraph"/>
      </w:pPr>
      <w:r>
        <w:t xml:space="preserve">Le Isole comprendono la Sicilia e la Sardegna, accomunate dalla condizione di insularità, che amplifica le barriere geografiche di accesso e la rilevanza della telepsicologia e delle équipe mobili.</w:t>
      </w:r>
    </w:p>
    <w:p>
      <w:pPr>
        <w:pStyle w:val="BodyText"/>
      </w:pPr>
      <w:r>
        <w:t xml:space="preserve">La Sicilia, con 4.787.390 abitanti, presenta un fabbisogno stimato tra circa 981 e 1.108 psicologi, è sottoposta a piano di rientro e condivide con le altre Regioni meridionali livelli elevati di disoccupazione, di condizione giovanile inattiva e di rischio di povertà o esclusione sociale, con un indicatore di area pari al 38,1% nelle Isole. La Sardegna, con 1.562.381 abitanti e un fabbisogno stimato tra circa 320 e 362 psicologi, condivide con la Liguria il più elevato indice di vecchiaia del Paese, pari a 283, e ha registrato la più marcata contrazione dell’organico della medicina generale tra il 2019 e il 2024, pari al 40,3%, configurando una combinazione di invecchiamento accentuato e di crisi acuta dell’assistenza territoriale che rende il modello particolarmente necessario.</w:t>
      </w:r>
    </w:p>
    <w:bookmarkEnd w:id="76"/>
    <w:bookmarkEnd w:id="77"/>
    <w:bookmarkStart w:id="81" w:name="Xf409952abdfd6331192d1248442c4cfcbb31958"/>
    <w:p>
      <w:pPr>
        <w:pStyle w:val="Heading3"/>
      </w:pPr>
      <w:r>
        <w:t xml:space="preserve">3. La spesa aggredibile e i coefficienti di calibrazione regionale</w:t>
      </w:r>
    </w:p>
    <w:bookmarkStart w:id="78" w:name="il-principio-metodologico"/>
    <w:p>
      <w:pPr>
        <w:pStyle w:val="Heading4"/>
      </w:pPr>
      <w:r>
        <w:t xml:space="preserve">3.1. Il principio metodologico</w:t>
      </w:r>
    </w:p>
    <w:p>
      <w:pPr>
        <w:pStyle w:val="FirstParagraph"/>
      </w:pPr>
      <w:r>
        <w:t xml:space="preserve">La quantificazione dei risparmi regionali, oggetto dei capitoli successivi, si fonda sulla individuazione della spesa sanitaria aggredibile, ossia di quelle componenti della spesa pubblica e dei costi indiretti sui quali lo psicologo di base, eventualmente potenziato dall’Intelligenza Artificiale, può produrre una riduzione documentata: le visite di medicina generale improprie, le prescrizioni farmacologiche inappropriate, gli accessi al Pronto Soccorso per cause psichiatriche e psicosomatiche, i ricoveri evitabili e le riammissioni, le prestazioni specialistiche e psichiatriche per quadri lievi-moderati gestibili in cure primarie, e le componenti indirette relative alla produttività persa, alle invalidità, ai pensionamenti anticipati e agli oneri familiari e di caregiving.</w:t>
      </w:r>
    </w:p>
    <w:p>
      <w:pPr>
        <w:pStyle w:val="BodyText"/>
      </w:pPr>
      <w:r>
        <w:t xml:space="preserve">La lettura comparativa condotta nel presente capitolo consente di formulare il principio cardine della calibrazione regionale. Poiché la spesa sanitaria pubblica pro capite è relativamente uniforme tra le Regioni, per effetto della perequazione, la base di spesa pubblica aggredibile scala in prima approssimazione con la popolazione; tuttavia, il coefficiente di risparmio effettivo deve essere differenziato in funzione dell’appropriatezza di partenza del sistema regionale, poiché le Regioni con peggiore adempimento degli standard essenziali, maggiore inappropriatezza prescrittiva e diagnostica, più elevato ricorso al Pronto Soccorso e maggiore migrazione sanitaria presentano, a parità di spesa pro capite, un margine di recupero più ampio. Simmetricamente, la componente indiretta del risparmio scala con il prodotto regionale e con il tasso di occupazione per la parte relativa alla produttività, e con il livello di deprivazione per la parte relativa alla prevenzione del rischio.</w:t>
      </w:r>
    </w:p>
    <w:bookmarkEnd w:id="78"/>
    <w:bookmarkStart w:id="79" w:name="X4739090496195322495071f5874c56d3b1f57cb"/>
    <w:p>
      <w:pPr>
        <w:pStyle w:val="Heading4"/>
      </w:pPr>
      <w:r>
        <w:t xml:space="preserve">3.2. I quattro fattori di aggiustamento applicati al quadro nazionale</w:t>
      </w:r>
    </w:p>
    <w:p>
      <w:pPr>
        <w:pStyle w:val="FirstParagraph"/>
      </w:pPr>
      <w:r>
        <w:t xml:space="preserve">Il primo fattore, demografico, conduce a maggiorare il coefficiente di fabbisogno e di risparmio nelle Regioni a più elevato invecchiamento, segnatamente Liguria, Sardegna, Friuli-Venezia Giulia, Umbria, Toscana ed Emilia-Romagna, dove la prevalenza di disturbi mentali nelle fasce anziane e la comorbilità psico-somatica con le cronicità sono più elevate. Il secondo fattore, epidemiologico e organizzativo, conduce a maggiorare il coefficiente nelle Regioni a più bassa intercettazione specialistica e più ampia domanda inevasa, segnatamente le Marche e, più in generale, le Regioni meridionali e insulari con offerta carente. Il terzo fattore, finanziario, conduce a riconoscere il maggiore rendimento marginale del modello nelle Regioni in piano di rientro — Calabria, Molise, Sicilia, Campania, Lazio, Abruzzo e Puglia — dove ogni euro recuperato libera capacità in un sistema in tensione, pur dovendosi tenere conto dei vincoli di investimento iniziale che in tali contesti richiedono meccanismi di finanziamento dedicati. Il quarto fattore, economico, conduce a stimare un risparmio indiretto assoluto più elevato nelle Regioni a più alto prodotto, segnatamente Lombardia, Emilia-Romagna, Veneto e le Province autonome, e un risparmio in termini di prevenzione del rischio più elevato nelle Regioni a maggiore deprivazione, segnatamente Campania, Calabria, Sicilia e Puglia.</w:t>
      </w:r>
    </w:p>
    <w:bookmarkEnd w:id="79"/>
    <w:bookmarkStart w:id="4158" w:name="X0977821031bfba962d91edcb0ba04c304f3d3cf"/>
    <w:p>
      <w:pPr>
        <w:pStyle w:val="Heading4"/>
      </w:pPr>
      <w:r>
        <w:t xml:space="preserve">3.3. Il fabbisogno nazionale di organico e l’ordine di grandezza dell’investimento</w:t>
      </w:r>
    </w:p>
    <w:p>
      <w:pPr>
        <w:pStyle w:val="FirstParagraph"/>
      </w:pPr>
      <w:r>
        <w:t xml:space="preserve">L’aggregazione dei fabbisogni regionali calcolati al coefficiente standard conduce a un fabbisogno nazionale complessivo compreso tra circa 12.100 e 13.640 psicologi di base a tempo pieno equivalente a regime. Applicando il parametro pugliese di costo per abitante di 10–12 euro l’anno alla popolazione nazionale, l’investimento annuo nazionale a regime si colloca tra circa 589 e 707 milioni di euro, ovvero tra circa 630 e 760 milioni includendo il margine di contingenza del 7,5%, pari a un valore dell’ordine di 0,6–0,76 miliardi di euro l’anno, corrispondente a circa lo 0,45–0,55% della spesa sanitaria pubblica nazionale del 2024. Qualora si adottasse, come limite superiore dell’intervallo di sensibilità, il parametro più ampio del Capitolo 1 pugliese, pari a circa 15,4 euro per abitante, l’investimento nazionale a regime salirebbe a circa 0,9 miliardi di euro l’anno. Tali importi, da raggiungere progressivamente lungo una curva di implementazione pluriennale analoga a quella pugliese, articolata sugli orizzonti a 1, 3, 5 e 10 anni, costituiscono la base sulla quale i capitoli successivi quantificheranno i risparmi diretti e indiretti regionali e l’ulteriore riduzione di spesa conseguibile mediante l’integrazione dell’Intelligenza Artificiale.</w:t>
      </w:r>
    </w:p>
    <w:bookmarkEnd w:id="4158"/>
    <w:bookmarkEnd w:id="81"/>
    <w:bookmarkStart w:id="82" w:name="X3f28f4a703f4c4be39c860b9b89285973d1b1a4"/>
    <w:p>
      <w:pPr>
        <w:pStyle w:val="Heading3"/>
      </w:pPr>
      <w:r>
        <w:t xml:space="preserve">4. Conclusioni e raccordo con i capitoli successivi</w:t>
      </w:r>
    </w:p>
    <w:p>
      <w:pPr>
        <w:pStyle w:val="FirstParagraph"/>
      </w:pPr>
      <w:r>
        <w:t xml:space="preserve">Il presente capitolo ha costruito la base dati comparativa necessaria al trasferimento del modello</w:t>
      </w:r>
      <w:r>
        <w:t xml:space="preserve"> </w:t>
      </w:r>
      <w:r>
        <w:t xml:space="preserve">“Psicologo di Base”</w:t>
      </w:r>
      <w:r>
        <w:t xml:space="preserve"> </w:t>
      </w:r>
      <w:r>
        <w:t xml:space="preserve">all’intero Servizio Sanitario Nazionale, documentando per ciascuna Regione e Provincia autonoma la popolazione, la struttura per età, la spesa sanitaria pubblica e privata, il bisogno e l’offerta di salute mentale, la dotazione di medicina generale e la vulnerabilità socioeconomica. L’analisi ha evidenziato che il sistema sanitario italiano, pur garantendo una spesa pubblica pro capite relativamente uniforme per effetto della perequazione, presenta divari profondi e crescenti di qualità, appropriatezza ed esigibilità lungo l’asse Nord-Sud, e una carenza strutturale e diffusa di servizi psicologici territoriali, con una dotazione di 3,8 psicologi ogni 100.000 abitanti contro i 10 della media europea e una spesa per la salute mentale ferma al 3% del Fondo Sanitario contro il 10% raccomandato. Questa convergenza di bisogno crescente e offerta insufficiente, già documentata in modo incontrovertibile per la Puglia, si conferma su scala nazionale e configura il razionale evidence-based per l’estensione del modello a tutte le Regioni.</w:t>
      </w:r>
    </w:p>
    <w:p>
      <w:pPr>
        <w:pStyle w:val="BodyText"/>
      </w:pPr>
      <w:r>
        <w:t xml:space="preserve">Il fabbisogno nazionale, stimato in circa 12.100–13.640 psicologi di base a tempo pieno equivalente a regime, con un investimento dell’ordine di 0,6–0,76 miliardi di euro l’anno, dovrà essere calibrato Regione per Regione mediante i quattro fattori di aggiustamento — demografico, epidemiologico-organizzativo, finanziario ed economico — descritti nel presente capitolo. I capitoli successivi dell’estensione nazionale procederanno, secondo il metodo sequenziale di approvazione per fasi già adottato per la Puglia, alla quantificazione regionale dei costi diretti di implementazione, dei risparmi diretti sanitari e dei risparmi indiretti socioeconomici, all’integrazione dell’Intelligenza Artificiale lungo il continuum diagnosi–prevenzione–trattamento–riabilitazione–recupero e alla quantificazione dell’ulteriore riduzione di spesa da essa conseguibile, al programma formativo nazionale articolato sui quattro livelli — universitario, post-universitario, lavorativo e di affiancamento di figure competenti — e infine al saldo economico complessivo, alla sostenibilità finanziaria e alle coperture a livello nazionale, con l’aggregazione dei risultati regionali, l’analisi di sensibilità e la valutazione del ritorno sull’investimento e dei tempi di pareggio.</w:t>
      </w:r>
    </w:p>
    <w:bookmarkEnd w:id="82"/>
    <w:bookmarkStart w:id="83" w:name="nota-sulle-fonti-e-attribuzione-1"/>
    <w:p>
      <w:pPr>
        <w:pStyle w:val="Heading3"/>
      </w:pPr>
      <w:r>
        <w:t xml:space="preserve">5. Nota sulle fonti e attribuzione</w:t>
      </w:r>
    </w:p>
    <w:p>
      <w:pPr>
        <w:pStyle w:val="FirstParagraph"/>
      </w:pPr>
      <w:r>
        <w:t xml:space="preserve">I dati demografici derivano dall’Istituto Nazionale di Statistica (Censimento permanente della popolazione, anno 2024, e indicatori demografici 2024). I dati sulla spesa sanitaria pubblica e privata pro capite regionale derivano dalla Fondazione GIMBE (Osservatorio sul Servizio Sanitario Nazionale e Report sulla spesa sanitaria privata 2023), dalla Ragioneria Generale dello Stato, dal Dipartimento Salute dell’ANCI Campania su dati del Documento di Economia e Finanza e dal Centro di Ricerche sulla Gestione dell’Assistenza Sanitaria e Sociale dell’Università Bocconi (Rapporto OASI 2024). I dati sulla salute mentale derivano dal Ministero della Salute (Rapporto sulla Salute Mentale, anno 2023, Sistema Informativo Salute Mentale) e dal Consiglio Nazionale dell’Ordine degli Psicologi. I dati sulla medicina generale derivano dalla Fondazione GIMBE su dati della Struttura Interregionale Sanitari Convenzionati al 1° gennaio 2025. I dati socioeconomici derivano dall’Istituto Nazionale di Statistica (Rapporto annuale 2025, indicatori del mercato del lavoro 2024, indicatore di rischio di povertà o esclusione sociale) e da Eurostat. I parametri del modello-base relativi alla Regione Puglia sono tratti dai Capitoli 1–4 della relazione tecnico-finanziaria pugliese. La spesa sanitaria pubblica nazionale è documentata dalla Corte dei Conti (relazione al Parlamento sulla gestione dei Servizi sanitari regionali) e dall’Istituto Nazionale di Statistica (sistema dei conti della sanità).</w:t>
      </w:r>
    </w:p>
    <w:bookmarkEnd w:id="83"/>
    <w:bookmarkEnd w:id="84"/>
    <w:bookmarkStart w:id="4159" w:name="X052f972a2a1f0aae28c26865bd99cf69d4330ab"/>
    <w:p>
      <w:pPr>
        <w:pStyle w:val="Heading2"/>
      </w:pPr>
      <w:r>
        <w:t xml:space="preserve">L’Intelligenza Artificiale lungo il continuum assistenziale e la quantificazione del risparmio</w:t>
      </w:r>
    </w:p>
    <w:p>
      <w:pPr>
        <w:pStyle w:val="FirstParagraph"/>
      </w:pPr>
      <w:r>
        <w:t xml:space="preserve">Estensione nazionale IA · Continuum assistenziale e quantificazione dell’ulteriore risparmio</w:t>
      </w:r>
    </w:p>
    <w:p>
      <w:pPr>
        <w:pStyle w:val="BodyText"/>
      </w:pPr>
      <w:r>
        <w:rPr>
          <w:b/>
          <w:bCs/>
        </w:rPr>
        <w:t xml:space="preserve">PROGETTO «PSICOLOGO DI BASE» · ESTENSIONE NAZIONALE · INTEGRAZIONE DELL’INTELLIGENZA ARTIFICIALE</w:t>
      </w:r>
    </w:p>
    <w:p>
      <w:pPr>
        <w:pStyle w:val="BodyText"/>
      </w:pPr>
      <w:r>
        <w:t xml:space="preserve">Estensione nazionale del modello «Psicologo di Base» potenziato dall’Intelligenza Artificiale</w:t>
      </w:r>
    </w:p>
    <w:p>
      <w:pPr>
        <w:pStyle w:val="BodyText"/>
      </w:pPr>
      <w:r>
        <w:rPr>
          <w:b/>
          <w:bCs/>
        </w:rPr>
        <w:t xml:space="preserve">Capitolo</w:t>
      </w:r>
    </w:p>
    <w:p>
      <w:pPr>
        <w:pStyle w:val="BodyText"/>
      </w:pPr>
      <w:r>
        <w:rPr>
          <w:b/>
          <w:bCs/>
        </w:rPr>
        <w:t xml:space="preserve">L’****integrazione dell****’Intelligenza Artificiale lungo il continuum assistenziale e la quantificazione dell’ulteriore risparmio</w:t>
      </w:r>
    </w:p>
    <w:p>
      <w:pPr>
        <w:pStyle w:val="BodyText"/>
      </w:pPr>
      <w:r>
        <w:rPr>
          <w:i/>
          <w:iCs/>
        </w:rPr>
        <w:t xml:space="preserve">Diagnostica, prevenzione, trattamento, riabilitazione e recupero · efficientamento gestionale · cornice regolatoria · quantificazione prudenziale</w:t>
      </w:r>
    </w:p>
    <w:p>
      <w:pPr>
        <w:pStyle w:val="BodyText"/>
      </w:pPr>
      <w:r>
        <w:t xml:space="preserve">Quinto capitolo della roadmap dell’estensione nazionale · approccio evidence-based e prudenziale</w:t>
      </w:r>
    </w:p>
    <w:p>
      <w:pPr>
        <w:pStyle w:val="BodyText"/>
      </w:pPr>
      <w:r>
        <w:rPr>
          <w:b/>
          <w:bCs/>
        </w:rPr>
        <w:t xml:space="preserve">Indice</w:t>
      </w:r>
    </w:p>
    <w:bookmarkEnd w:id="4159"/>
    <w:bookmarkStart w:id="87" w:name="introduzione"/>
    <w:p>
      <w:pPr>
        <w:pStyle w:val="Heading2"/>
      </w:pPr>
      <w:r>
        <w:t xml:space="preserve">Introduzione</w:t>
      </w:r>
    </w:p>
    <w:p>
      <w:pPr>
        <w:pStyle w:val="FirstParagraph"/>
      </w:pPr>
      <w:r>
        <w:t xml:space="preserve">Questo capitolo prosegue l’estensione nazionale del modello «Psicologo di Base» oltre il capitolo introduttivo, che ne ha definito la cornice metodologica di trasferimento dal livello regionale a quello nazionale, il quadro demografico e di spesa, la dimensione del bisogno di salute mentale e l’architettura della formazione.</w:t>
      </w:r>
      <w:r>
        <w:rPr>
          <w:rStyle w:val="FootnoteReference"/>
        </w:rPr>
        <w:footnoteReference w:id="1212"/>
      </w:r>
      <w:r>
        <w:t xml:space="preserve"> </w:t>
      </w:r>
      <w:r>
        <w:t xml:space="preserve">Il suo oggetto specifico è la quantificazione, dimensione per dimensione, dell’ulteriore riduzione di spesa che l’integrazione dell’Intelligenza Artificiale può produrre rispetto al modello-base già valutato. Il capitolo muove da una premessa di onestità metodologica e dalla distinzione tra costo-efficacia e risparmio di cassa (capitolo 1); percorre quindi le cinque dimensioni del continuum assistenziale — la diagnostica (2), la prevenzione (3), il trattamento (4), la riabilitazione e il recupero (5) — e l’efficientamento gestionale (6); espone la cornice regolatoria e di sicurezza aggiornata (7); e perviene a una quantificazione prudenziale per scenari, applicata alla Puglia e trasferita al livello nazionale (8), chiudendosi con la sintesi e le raccomandazioni (9). La trattazione è condotta con lo stesso rigore prudenziale del modello-base, e si fonda sulle esperienze internazionali più autorevoli e sulla letteratura scientifica più recente.</w:t>
      </w:r>
    </w:p>
    <w:bookmarkEnd w:id="87"/>
    <w:bookmarkStart w:id="90" w:name="X921841a55d4cc09db073cf85eb26e2709d184a0"/>
    <w:p>
      <w:pPr>
        <w:pStyle w:val="Heading2"/>
      </w:pPr>
      <w:r>
        <w:t xml:space="preserve">1. La premessa metodologica e i limiti dell’evidenza</w:t>
      </w:r>
    </w:p>
    <w:p>
      <w:pPr>
        <w:pStyle w:val="FirstParagraph"/>
      </w:pPr>
      <w:r>
        <w:t xml:space="preserve">L’Intelligenza Artificiale non costituisce, nel disegno di questo progetto, un fine in sé, bensì una tecnologia abilitante che potenzia la figura dello psicologo di base e del medico di medicina generale; il suo valore va dimostrato, non presupposto.</w:t>
      </w:r>
      <w:r>
        <w:rPr>
          <w:rStyle w:val="FootnoteReference"/>
        </w:rPr>
        <w:footnoteReference w:id="1213"/>
      </w:r>
      <w:r>
        <w:t xml:space="preserve"> </w:t>
      </w:r>
      <w:r>
        <w:t xml:space="preserve">Da ciò discende la distinzione metodologica fondamentale che attraversa l’intero capitolo: una tecnologia può essere costo-efficace, ossia produrre guadagni di salute a un costo per anno di vita ponderato per la qualità inferiore alla soglia comunemente adottata, senza per questo generare un risparmio netto di cassa per il bilancio sanitario. Le revisioni sistematiche delle valutazioni economiche degli interventi digitali in salute mentale convergono su una conclusione che lo studio fa propria: l’evidenza di costo-efficacia è incoraggiante ma non conclusiva, perché fondata in prevalenza su orizzonti temporali brevi, su disegni eterogenei e su un numero ancora limitato di valutazioni complete, e potenzialmente soggetta a distorsione di pubblicazione.</w:t>
      </w:r>
      <w:r>
        <w:rPr>
          <w:rStyle w:val="FootnoteReference"/>
        </w:rPr>
        <w:footnoteReference w:id="1214"/>
      </w:r>
      <w:r>
        <w:t xml:space="preserve"> </w:t>
      </w:r>
      <w:r>
        <w:t xml:space="preserve">Per questa ragione il capitolo evita i moltiplicatori non documentati e i rapporti aggregati privi di base, come già fatto nel modello-base, e mantiene distinta l’efficacia clinica dimostrata dal risparmio economico atteso, di cui dichiara apertamente la natura di proiezione.</w:t>
      </w:r>
    </w:p>
    <w:bookmarkEnd w:id="90"/>
    <w:bookmarkStart w:id="93" w:name="X08407fda4da0bf5c9524eebad8635142d79bda9"/>
    <w:p>
      <w:pPr>
        <w:pStyle w:val="Heading2"/>
      </w:pPr>
      <w:r>
        <w:t xml:space="preserve">2. La diagnostica e la valutazione precoce</w:t>
      </w:r>
    </w:p>
    <w:p>
      <w:pPr>
        <w:pStyle w:val="FirstParagraph"/>
      </w:pPr>
      <w:r>
        <w:t xml:space="preserve">Nel dominio diagnostico occorre distinguere con nettezza i contesti a evidenza solida da quelli a evidenza emergente. L’esempio meglio documentato di intelligenza artificiale diagnostica autonoma e costo-efficace appartiene all’imaging — segnatamente allo screening della retinopatia diabetica con dispositivi a marcatura regolatoria e ai sistemi di supporto al triage dell’ictus acuto — dove l’algoritmo opera su un segnale standardizzato e verificabile.</w:t>
      </w:r>
      <w:r>
        <w:rPr>
          <w:rStyle w:val="FootnoteReference"/>
        </w:rPr>
        <w:footnoteReference w:id="1215"/>
      </w:r>
      <w:r>
        <w:t xml:space="preserve"> </w:t>
      </w:r>
      <w:r>
        <w:t xml:space="preserve">Tali risultati, tuttavia, non sono direttamente trasferibili alla salute mentale, dove non esiste un segnale di imaging equivalente e il contributo dell’intelligenza artificiale è di supporto e non sostitutivo.</w:t>
      </w:r>
      <w:r>
        <w:rPr>
          <w:rStyle w:val="FootnoteReference"/>
        </w:rPr>
        <w:footnoteReference w:id="1216"/>
      </w:r>
      <w:r>
        <w:t xml:space="preserve"> </w:t>
      </w:r>
      <w:r>
        <w:t xml:space="preserve">In salute mentale, gli strumenti di valutazione iniziale assistita e di stratificazione del rischio operano sui questionari validati — impiegati nei soli punteggi complessivi — e su dati clinici e contestuali, con la funzione di orientare il percorso, anticipare la presa in carico e segnalare le situazioni di rischio per il rinvio ai servizi competenti. La decisione clinica resta integralmente in capo al professionista, e il risparmio diagnostico atteso, in questo dominio, è indiretto: deriva dall’appropriatezza dell’avvio e dalla riduzione dei percorsi inefficaci, e va misurato sul campo.</w:t>
      </w:r>
    </w:p>
    <w:bookmarkEnd w:id="93"/>
    <w:bookmarkStart w:id="95" w:name="la-prevenzione-e-la-predizione-1"/>
    <w:p>
      <w:pPr>
        <w:pStyle w:val="Heading2"/>
      </w:pPr>
      <w:r>
        <w:t xml:space="preserve">3. La prevenzione e la predizione</w:t>
      </w:r>
    </w:p>
    <w:p>
      <w:pPr>
        <w:pStyle w:val="FirstParagraph"/>
      </w:pPr>
      <w:r>
        <w:t xml:space="preserve">Nel dominio preventivo e predittivo, l’intelligenza artificiale consente di individuare in anticipo, sulla popolazione assistita, i soggetti a maggiore probabilità di evoluzione clinica, mediante l’analisi di dati clinici, comportamentali e contestuali, e di concentrarvi le risorse.</w:t>
      </w:r>
      <w:r>
        <w:rPr>
          <w:rStyle w:val="FootnoteReference"/>
        </w:rPr>
        <w:footnoteReference w:id="1217"/>
      </w:r>
      <w:r>
        <w:t xml:space="preserve"> </w:t>
      </w:r>
      <w:r>
        <w:t xml:space="preserve">Il meccanismo di risparmio è chiaro nel principio — una segnalazione tempestiva consente un intervento precoce, che previene l’aggravamento, la riospedalizzazione e l’accesso improprio — ma il suo valore economico dipende interamente dalla capacità del servizio di tradurre la segnalazione in un’azione clinica effettiva. La stratificazione del rischio non produce di per sé alcun risparmio se non è seguita da un percorso; per questo lo studio tratta il beneficio preventivo come potenziale, da verificare empiricamente sui dati di esito, e non come acquisito. È questa, del resto, l’area in cui la cautela è più necessaria, perché la promessa predittiva è spesso enfatizzata oltre la solidità delle prove disponibili.</w:t>
      </w:r>
    </w:p>
    <w:bookmarkEnd w:id="95"/>
    <w:bookmarkStart w:id="4160" w:name="il-trattamento-1"/>
    <w:p>
      <w:pPr>
        <w:pStyle w:val="Heading2"/>
      </w:pPr>
      <w:r>
        <w:t xml:space="preserve">4. Il trattamento</w:t>
      </w:r>
    </w:p>
    <w:p>
      <w:pPr>
        <w:pStyle w:val="FirstParagraph"/>
      </w:pPr>
      <w:r>
        <w:t xml:space="preserve">Nel dominio del trattamento, l’intelligenza artificiale potenzia l’offerta terapeutica lungo tre direttrici, ciascuna con un proprio grado di maturità. La prima è quella dei dispositivi terapeutici digitali su prescrizione: il modello tedesco delle applicazioni sanitarie digitali, primo a prevederne la rimborsabilità a carico dell’assicurazione pubblica, ne ammette l’iscrizione in via provvisoria subordinandola alla dimostrazione di un effetto terapeutico entro dodici mesi per l’iscrizione definitiva.</w:t>
      </w:r>
      <w:r>
        <w:rPr>
          <w:rStyle w:val="FootnoteReference"/>
        </w:rPr>
        <w:footnoteReference w:id="1218"/>
      </w:r>
      <w:r>
        <w:t xml:space="preserve"> </w:t>
      </w:r>
      <w:r>
        <w:t xml:space="preserve">È significativo, ai fini dell’onestà della valutazione, che alcuni prodotti siano stati rimossi dall’elenco per evidenza insufficiente: il rigore richiesto e la variabilità della qualità impongono una selezione attenta e una prescrizione informata. La seconda direttrice è quella degli interventi psicologici digitali strutturati, segnatamente i programmi di terapia cognitivo-comportamentale a bassa intensità integrati, sul modello britannico, nel percorso delle cure primarie con supervisione professionale; essi costituiscono il primo gradino del modello a intensità crescente e liberano capacità specialistica per i casi più complessi.</w:t>
      </w:r>
      <w:r>
        <w:rPr>
          <w:rStyle w:val="FootnoteReference"/>
        </w:rPr>
        <w:footnoteReference w:id="1219"/>
      </w:r>
      <w:r>
        <w:t xml:space="preserve"> </w:t>
      </w:r>
      <w:r>
        <w:t xml:space="preserve">La terza direttrice è quella degli agenti conversazionali, sui quali la valutazione deve essere particolarmente misurata. Le revisioni sistematiche con meta-analisi di studi controllati randomizzati documentano effetti di entità ridotta sui sintomi depressivi e ansiosi, più evidenti intorno all’ottava settimana e non più sostanziali al controllo a tre mesi: il beneficio è reale ma modesto e non durevole, e va inquadrato come complemento, non come sostituto, dell’intervento professionale.</w:t>
      </w:r>
      <w:r>
        <w:rPr>
          <w:rStyle w:val="FootnoteReference"/>
        </w:rPr>
        <w:footnoteReference w:id="1220"/>
      </w:r>
      <w:r>
        <w:t xml:space="preserve"> </w:t>
      </w:r>
      <w:r>
        <w:t xml:space="preserve">Una cautela ulteriore riguarda la sicurezza: la letteratura segnala che i modelli linguistici generativi non sono ancora idonei all’erogazione autonoma e sicura di interventi pluri-settimanali in salute mentale, per il rischio di risposte inappropriate, di stigmatizzazione e di allucinazione; gli strumenti validati adottano per questo architetture a regole o ibride, con supervisione umana costante e protocolli di rinvio ai servizi specialistici e dell’emergenza.</w:t>
      </w:r>
      <w:r>
        <w:rPr>
          <w:rStyle w:val="FootnoteReference"/>
        </w:rPr>
        <w:footnoteReference w:id="1221"/>
      </w:r>
    </w:p>
    <w:bookmarkEnd w:id="4160"/>
    <w:bookmarkStart w:id="102" w:name="la-riabilitazione-e-il-recupero-1"/>
    <w:p>
      <w:pPr>
        <w:pStyle w:val="Heading2"/>
      </w:pPr>
      <w:r>
        <w:t xml:space="preserve">5. La riabilitazione e il recupero</w:t>
      </w:r>
    </w:p>
    <w:p>
      <w:pPr>
        <w:pStyle w:val="FirstParagraph"/>
      </w:pPr>
      <w:r>
        <w:t xml:space="preserve">Nel dominio della riabilitazione e del recupero, l’intelligenza artificiale sostiene la continuità assistenziale attraverso il monitoraggio remoto continuo, l’adattamento personalizzato dei percorsi e i sistemi di rilevazione precoce delle ricadute, che consentono di intercettare i segnali di peggioramento prima che si traducano in una crisi.</w:t>
      </w:r>
      <w:r>
        <w:rPr>
          <w:rStyle w:val="FootnoteReference"/>
        </w:rPr>
        <w:footnoteReference w:id="1222"/>
      </w:r>
      <w:r>
        <w:t xml:space="preserve"> </w:t>
      </w:r>
      <w:r>
        <w:t xml:space="preserve">Il valore atteso è duplice: clinico, perché riduce le interruzioni di percorso e le ricadute; ed economico, perché evita gli aggravamenti e i relativi costi. Anche in questo dominio, tuttavia, vale il principio già enunciato: il beneficio si realizza soltanto se gli strumenti sono effettivamente integrati nei flussi di lavoro e se la segnalazione è raccolta da un servizio in grado di agire; il risparmio, perciò, è da verificare e non da assumere.</w:t>
      </w:r>
    </w:p>
    <w:bookmarkEnd w:id="102"/>
    <w:bookmarkStart w:id="105" w:name="X56def7181f5e818cbaddf133e844239f2aa996a"/>
    <w:p>
      <w:pPr>
        <w:pStyle w:val="Heading2"/>
      </w:pPr>
      <w:r>
        <w:t xml:space="preserve">6. L’efficientamento gestionale e amministrativo</w:t>
      </w:r>
    </w:p>
    <w:p>
      <w:pPr>
        <w:pStyle w:val="FirstParagraph"/>
      </w:pPr>
      <w:r>
        <w:t xml:space="preserve">Accanto alle applicazioni cliniche, l’intelligenza artificiale agisce sui costi diretti del servizio attraverso l’automazione dei compiti amministrativi e gestionali, in particolare la documentazione clinica. Gli studi controllati randomizzati e le analisi a serie temporali interrotte sugli strumenti di documentazione ambientale rilevano una riduzione del tempo dedicato alla nota clinica — di entità modesta e variabile tra gli studi — e, soprattutto, una sensibile diminuzione del logoramento professionale, sino a riduzioni della prevalenza del burnout dell’ordine di venti punti percentuali in alcuni contesti.</w:t>
      </w:r>
      <w:r>
        <w:rPr>
          <w:rStyle w:val="FootnoteReference"/>
        </w:rPr>
        <w:footnoteReference w:id="1223"/>
      </w:r>
      <w:r>
        <w:t xml:space="preserve"> </w:t>
      </w:r>
      <w:r>
        <w:t xml:space="preserve">È proprio qui, tuttavia, che l’onestà della valutazione è più importante: gli stessi studi documentano che la durata della visita e il tempo-ciclo complessivo restano invariati, sicché la documentazione assistita non aumenta di per sé il numero di pazienti trattati né la produttività di sistema. Il beneficio prevalente è sulla qualità del lavoro e sulla ritenzione del personale — fattori di grande rilievo in un sistema che soffre di carenza di professionisti — e solo indirettamente sui costi. Ne consegue che il risparmio diretto attribuibile all’efficientamento gestionale va stimato con prudenza, come si dirà, e non confuso con un incremento di capacità produttiva.</w:t>
      </w:r>
      <w:r>
        <w:rPr>
          <w:rStyle w:val="FootnoteReference"/>
        </w:rPr>
        <w:footnoteReference w:id="1224"/>
      </w:r>
      <w:r>
        <w:t xml:space="preserve"> </w:t>
      </w:r>
      <w:r>
        <w:t xml:space="preserve">La tabella seguente riassume, per ciascuna dimensione, il tipo di contributo dell’intelligenza artificiale e la robustezza dell’evidenza disponibile.</w:t>
      </w:r>
    </w:p>
    <w:tbl>
      <w:tblPr>
        <w:tblStyle w:val="Table"/>
        <w:tblW w:type="pct" w:w="495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087"/>
        <w:gridCol w:w="2617"/>
        <w:gridCol w:w="2141"/>
        <w:gridCol w:w="200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 principale</w:t>
            </w:r>
          </w:p>
        </w:tc>
        <w:tc>
          <w:tcPr>
            <w:shd w:val="clear" w:color="auto" w:fill="16264B"/>
          </w:tcPr>
          <w:p>
            <w:pPr>
              <w:pStyle w:val="Compact"/>
              <w:spacing w:after="40" w:before="40"/>
              <w:jc w:val="left"/>
            </w:pPr>
            <w:r>
              <w:rPr>
                <w:rFonts w:ascii="Cambria" w:hAnsi="Cambria" w:cs="Cambria" w:eastAsia="Cambria"/>
                <w:b/>
                <w:bCs/>
                <w:color w:val="FFFFFF"/>
                <w:sz w:val="18"/>
              </w:rPr>
              <w:t xml:space="preserve">Meccanismo di beneficio</w:t>
            </w:r>
          </w:p>
        </w:tc>
        <w:tc>
          <w:tcPr>
            <w:shd w:val="clear" w:color="auto" w:fill="16264B"/>
          </w:tcPr>
          <w:p>
            <w:pPr>
              <w:pStyle w:val="Compact"/>
              <w:spacing w:after="40" w:before="40"/>
              <w:jc w:val="left"/>
            </w:pPr>
            <w:r>
              <w:rPr>
                <w:rFonts w:ascii="Cambria" w:hAnsi="Cambria" w:cs="Cambria" w:eastAsia="Cambria"/>
                <w:b/>
                <w:bCs/>
                <w:color w:val="FFFFFF"/>
                <w:sz w:val="18"/>
              </w:rPr>
              <w:t xml:space="preserve">Evidenza</w:t>
            </w:r>
          </w:p>
        </w:tc>
      </w:tr>
      <w:tr>
        <w:tc>
          <w:tcPr/>
          <w:p>
            <w:pPr>
              <w:pStyle w:val="Compact"/>
              <w:spacing w:after="40" w:before="40"/>
              <w:jc w:val="left"/>
            </w:pPr>
            <w:r>
              <w:rPr>
                <w:rFonts w:ascii="Cambria" w:hAnsi="Cambria" w:cs="Cambria" w:eastAsia="Cambria"/>
                <w:b/>
                <w:bCs/>
                <w:color w:val="1A1A1A"/>
                <w:sz w:val="18"/>
              </w:rPr>
              <w:t xml:space="preserve">Diagnostica</w:t>
            </w:r>
          </w:p>
        </w:tc>
        <w:tc>
          <w:tcPr/>
          <w:p>
            <w:pPr>
              <w:pStyle w:val="Compact"/>
              <w:spacing w:after="40" w:before="40"/>
              <w:jc w:val="left"/>
            </w:pPr>
            <w:r>
              <w:rPr>
                <w:rFonts w:ascii="Cambria" w:hAnsi="Cambria" w:cs="Cambria" w:eastAsia="Cambria"/>
                <w:color w:val="1A1A1A"/>
                <w:sz w:val="18"/>
              </w:rPr>
              <w:t xml:space="preserve">Valutazione assistita e stratificazione del rischio</w:t>
            </w:r>
          </w:p>
        </w:tc>
        <w:tc>
          <w:tcPr/>
          <w:p>
            <w:pPr>
              <w:pStyle w:val="Compact"/>
              <w:spacing w:after="40" w:before="40"/>
              <w:jc w:val="left"/>
            </w:pPr>
            <w:r>
              <w:rPr>
                <w:rFonts w:ascii="Cambria" w:hAnsi="Cambria" w:cs="Cambria" w:eastAsia="Cambria"/>
                <w:color w:val="1A1A1A"/>
                <w:sz w:val="18"/>
              </w:rPr>
              <w:t xml:space="preserve">Appropriatezza dell’avvio; riduzione dei percorsi inefficaci</w:t>
            </w:r>
          </w:p>
        </w:tc>
        <w:tc>
          <w:tcPr/>
          <w:p>
            <w:pPr>
              <w:pStyle w:val="Compact"/>
              <w:spacing w:after="40" w:before="40"/>
              <w:jc w:val="left"/>
            </w:pPr>
            <w:r>
              <w:rPr>
                <w:rFonts w:ascii="Cambria" w:hAnsi="Cambria" w:cs="Cambria" w:eastAsia="Cambria"/>
                <w:color w:val="1A1A1A"/>
                <w:sz w:val="18"/>
              </w:rPr>
              <w:t xml:space="preserve">Solida nell’imaging; di supporto in salute mentale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Prevenzione</w:t>
            </w:r>
          </w:p>
        </w:tc>
        <w:tc>
          <w:tcPr>
            <w:shd w:val="clear" w:color="auto" w:fill="F4F1EC"/>
          </w:tcPr>
          <w:p>
            <w:pPr>
              <w:pStyle w:val="Compact"/>
              <w:spacing w:after="40" w:before="40"/>
              <w:jc w:val="left"/>
            </w:pPr>
            <w:r>
              <w:rPr>
                <w:rFonts w:ascii="Cambria" w:hAnsi="Cambria" w:cs="Cambria" w:eastAsia="Cambria"/>
                <w:color w:val="1A1A1A"/>
                <w:sz w:val="18"/>
              </w:rPr>
              <w:t xml:space="preserve">Identificazione precoce dei soggetti a rischio</w:t>
            </w:r>
          </w:p>
        </w:tc>
        <w:tc>
          <w:tcPr>
            <w:shd w:val="clear" w:color="auto" w:fill="F4F1EC"/>
          </w:tcPr>
          <w:p>
            <w:pPr>
              <w:pStyle w:val="Compact"/>
              <w:spacing w:after="40" w:before="40"/>
              <w:jc w:val="left"/>
            </w:pPr>
            <w:r>
              <w:rPr>
                <w:rFonts w:ascii="Cambria" w:hAnsi="Cambria" w:cs="Cambria" w:eastAsia="Cambria"/>
                <w:color w:val="1A1A1A"/>
                <w:sz w:val="18"/>
              </w:rPr>
              <w:t xml:space="preserve">Interventi tempestivi; minori riospedalizzazioni</w:t>
            </w:r>
          </w:p>
        </w:tc>
        <w:tc>
          <w:tcPr>
            <w:shd w:val="clear" w:color="auto" w:fill="F4F1EC"/>
          </w:tcPr>
          <w:p>
            <w:pPr>
              <w:pStyle w:val="Compact"/>
              <w:spacing w:after="40" w:before="40"/>
              <w:jc w:val="left"/>
            </w:pPr>
            <w:r>
              <w:rPr>
                <w:rFonts w:ascii="Cambria" w:hAnsi="Cambria" w:cs="Cambria" w:eastAsia="Cambria"/>
                <w:color w:val="1A1A1A"/>
                <w:sz w:val="18"/>
              </w:rPr>
              <w:t xml:space="preserve">Promettente ma da verificare sul campo</w:t>
            </w:r>
          </w:p>
        </w:tc>
      </w:tr>
      <w:tr>
        <w:tc>
          <w:tcPr/>
          <w:p>
            <w:pPr>
              <w:pStyle w:val="Compact"/>
              <w:spacing w:after="40" w:before="40"/>
              <w:jc w:val="left"/>
            </w:pPr>
            <w:r>
              <w:rPr>
                <w:rFonts w:ascii="Cambria" w:hAnsi="Cambria" w:cs="Cambria" w:eastAsia="Cambria"/>
                <w:b/>
                <w:bCs/>
                <w:color w:val="1A1A1A"/>
                <w:sz w:val="18"/>
              </w:rPr>
              <w:t xml:space="preserve">Trattamento</w:t>
            </w:r>
          </w:p>
        </w:tc>
        <w:tc>
          <w:tcPr/>
          <w:p>
            <w:pPr>
              <w:pStyle w:val="Compact"/>
              <w:spacing w:after="40" w:before="40"/>
              <w:jc w:val="left"/>
            </w:pPr>
            <w:r>
              <w:rPr>
                <w:rFonts w:ascii="Cambria" w:hAnsi="Cambria" w:cs="Cambria" w:eastAsia="Cambria"/>
                <w:color w:val="1A1A1A"/>
                <w:sz w:val="18"/>
              </w:rPr>
              <w:t xml:space="preserve">Dispositivi digitali, interventi a bassa intensità, agenti conversazionali</w:t>
            </w:r>
          </w:p>
        </w:tc>
        <w:tc>
          <w:tcPr/>
          <w:p>
            <w:pPr>
              <w:pStyle w:val="Compact"/>
              <w:spacing w:after="40" w:before="40"/>
              <w:jc w:val="left"/>
            </w:pPr>
            <w:r>
              <w:rPr>
                <w:rFonts w:ascii="Cambria" w:hAnsi="Cambria" w:cs="Cambria" w:eastAsia="Cambria"/>
                <w:color w:val="1A1A1A"/>
                <w:sz w:val="18"/>
              </w:rPr>
              <w:t xml:space="preserve">Ampliamento dell’offerta; capacità specialistica liberata</w:t>
            </w:r>
          </w:p>
        </w:tc>
        <w:tc>
          <w:tcPr/>
          <w:p>
            <w:pPr>
              <w:pStyle w:val="Compact"/>
              <w:spacing w:after="40" w:before="40"/>
              <w:jc w:val="left"/>
            </w:pPr>
            <w:r>
              <w:rPr>
                <w:rFonts w:ascii="Cambria" w:hAnsi="Cambria" w:cs="Cambria" w:eastAsia="Cambria"/>
                <w:color w:val="1A1A1A"/>
                <w:sz w:val="18"/>
              </w:rPr>
              <w:t xml:space="preserve">Effetti reali ma modesti e non durevoli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Riabilitazione e recupero</w:t>
            </w:r>
          </w:p>
        </w:tc>
        <w:tc>
          <w:tcPr>
            <w:shd w:val="clear" w:color="auto" w:fill="F4F1EC"/>
          </w:tcPr>
          <w:p>
            <w:pPr>
              <w:pStyle w:val="Compact"/>
              <w:spacing w:after="40" w:before="40"/>
              <w:jc w:val="left"/>
            </w:pPr>
            <w:r>
              <w:rPr>
                <w:rFonts w:ascii="Cambria" w:hAnsi="Cambria" w:cs="Cambria" w:eastAsia="Cambria"/>
                <w:color w:val="1A1A1A"/>
                <w:sz w:val="18"/>
              </w:rPr>
              <w:t xml:space="preserve">Monitoraggio remoto; rilevazione delle ricadute</w:t>
            </w:r>
          </w:p>
        </w:tc>
        <w:tc>
          <w:tcPr>
            <w:shd w:val="clear" w:color="auto" w:fill="F4F1EC"/>
          </w:tcPr>
          <w:p>
            <w:pPr>
              <w:pStyle w:val="Compact"/>
              <w:spacing w:after="40" w:before="40"/>
              <w:jc w:val="left"/>
            </w:pPr>
            <w:r>
              <w:rPr>
                <w:rFonts w:ascii="Cambria" w:hAnsi="Cambria" w:cs="Cambria" w:eastAsia="Cambria"/>
                <w:color w:val="1A1A1A"/>
                <w:sz w:val="18"/>
              </w:rPr>
              <w:t xml:space="preserve">Continuità; minori interruzioni e crisi</w:t>
            </w:r>
          </w:p>
        </w:tc>
        <w:tc>
          <w:tcPr>
            <w:shd w:val="clear" w:color="auto" w:fill="F4F1EC"/>
          </w:tcPr>
          <w:p>
            <w:pPr>
              <w:pStyle w:val="Compact"/>
              <w:spacing w:after="40" w:before="40"/>
              <w:jc w:val="left"/>
            </w:pPr>
            <w:r>
              <w:rPr>
                <w:rFonts w:ascii="Cambria" w:hAnsi="Cambria" w:cs="Cambria" w:eastAsia="Cambria"/>
                <w:color w:val="1A1A1A"/>
                <w:sz w:val="18"/>
              </w:rPr>
              <w:t xml:space="preserve">Emergente; da integrare nei flussi</w:t>
            </w:r>
          </w:p>
        </w:tc>
      </w:tr>
      <w:tr>
        <w:tc>
          <w:tcPr/>
          <w:p>
            <w:pPr>
              <w:pStyle w:val="Compact"/>
              <w:spacing w:after="40" w:before="40"/>
              <w:jc w:val="left"/>
            </w:pPr>
            <w:r>
              <w:rPr>
                <w:rFonts w:ascii="Cambria" w:hAnsi="Cambria" w:cs="Cambria" w:eastAsia="Cambria"/>
                <w:b/>
                <w:bCs/>
                <w:color w:val="1A1A1A"/>
                <w:sz w:val="18"/>
              </w:rPr>
              <w:t xml:space="preserve">Gestione</w:t>
            </w:r>
          </w:p>
        </w:tc>
        <w:tc>
          <w:tcPr/>
          <w:p>
            <w:pPr>
              <w:pStyle w:val="Compact"/>
              <w:spacing w:after="40" w:before="40"/>
              <w:jc w:val="left"/>
            </w:pPr>
            <w:r>
              <w:rPr>
                <w:rFonts w:ascii="Cambria" w:hAnsi="Cambria" w:cs="Cambria" w:eastAsia="Cambria"/>
                <w:color w:val="1A1A1A"/>
                <w:sz w:val="18"/>
              </w:rPr>
              <w:t xml:space="preserve">Documentazione clinica assistita</w:t>
            </w:r>
          </w:p>
        </w:tc>
        <w:tc>
          <w:tcPr/>
          <w:p>
            <w:pPr>
              <w:pStyle w:val="Compact"/>
              <w:spacing w:after="40" w:before="40"/>
              <w:jc w:val="left"/>
            </w:pPr>
            <w:r>
              <w:rPr>
                <w:rFonts w:ascii="Cambria" w:hAnsi="Cambria" w:cs="Cambria" w:eastAsia="Cambria"/>
                <w:color w:val="1A1A1A"/>
                <w:sz w:val="18"/>
              </w:rPr>
              <w:t xml:space="preserve">Minor carico amministrativo; ritenzione del personale</w:t>
            </w:r>
          </w:p>
        </w:tc>
        <w:tc>
          <w:tcPr/>
          <w:p>
            <w:pPr>
              <w:pStyle w:val="Compact"/>
              <w:spacing w:after="40" w:before="40"/>
              <w:jc w:val="left"/>
            </w:pPr>
            <w:r>
              <w:rPr>
                <w:rFonts w:ascii="Cambria" w:hAnsi="Cambria" w:cs="Cambria" w:eastAsia="Cambria"/>
                <w:color w:val="1A1A1A"/>
                <w:sz w:val="18"/>
              </w:rPr>
              <w:t xml:space="preserve">Risparmio di tempo modesto; nessun aumento di throughput</w:t>
            </w:r>
          </w:p>
        </w:tc>
      </w:tr>
    </w:tbl>
    <w:p>
      <w:pPr>
        <w:pStyle w:val="BodyText"/>
      </w:pPr>
      <w:r>
        <w:rPr>
          <w:i/>
          <w:iCs/>
        </w:rPr>
        <w:t xml:space="preserve">Tabella 1. Le dimensioni del continuum assistenziale, il contributo dell</w:t>
      </w:r>
      <w:r>
        <w:rPr>
          <w:b/>
          <w:bCs/>
          <w:i/>
          <w:iCs/>
        </w:rPr>
        <w:t xml:space="preserve">‘intelligenza artificiale e la robustezza dell’</w:t>
      </w:r>
      <w:r>
        <w:rPr>
          <w:i/>
          <w:iCs/>
        </w:rPr>
        <w:t xml:space="preserve">evidenza.</w:t>
      </w:r>
    </w:p>
    <w:bookmarkEnd w:id="105"/>
    <w:bookmarkStart w:id="108" w:name="la-cornice-regolatoria-e-di-sicurezza"/>
    <w:p>
      <w:pPr>
        <w:pStyle w:val="Heading2"/>
      </w:pPr>
      <w:r>
        <w:t xml:space="preserve">7. La cornice regolatoria e di sicurezza</w:t>
      </w:r>
    </w:p>
    <w:p>
      <w:pPr>
        <w:pStyle w:val="FirstParagraph"/>
      </w:pPr>
      <w:r>
        <w:t xml:space="preserve">L’adozione dell’intelligenza artificiale nel servizio deve avvenire entro una cornice regolatoria rigorosa, condizione di legittimità e di fiducia. Il quadro europeo è definito dal regolamento sull’intelligenza artificiale, in vigore dal 2025 e ad applicazione progressiva: gli obblighi per i sistemi ad alto rischio incorporati nei dispositivi medici sono stati differiti, da un pacchetto di semplificazione, oltre il 2027, mentre gli obblighi di trasparenza — che impongono di rendere noto all’utente quando interagisce con un sistema di intelligenza artificiale — si applicano dall’agosto 2026.</w:t>
      </w:r>
      <w:r>
        <w:rPr>
          <w:rStyle w:val="FootnoteReference"/>
        </w:rPr>
        <w:footnoteReference w:id="1225"/>
      </w:r>
      <w:r>
        <w:t xml:space="preserve"> </w:t>
      </w:r>
      <w:r>
        <w:t xml:space="preserve">A tale quadro si affiancano il regolamento sui dispositivi medici e quello sui dispositivi diagnostici in vitro, che impongono la marcatura CE rilasciata da organismo notificato, e il regolamento generale sulla protezione dei dati, che governa il trattamento dei dati personali — ultrasensibili in salute mentale — con crittografia, pseudonimizzazione e consenso modulare.</w:t>
      </w:r>
      <w:r>
        <w:rPr>
          <w:rStyle w:val="FootnoteReference"/>
        </w:rPr>
        <w:footnoteReference w:id="1226"/>
      </w:r>
      <w:r>
        <w:t xml:space="preserve"> </w:t>
      </w:r>
      <w:r>
        <w:t xml:space="preserve">A queste prescrizioni lo studio aggiunge i presidi già enunciati nel modello-base: la supervisione umana costante, l’invarianza delle responsabilità professionali, la validazione periodica, il monitoraggio dei bias e la garanzia dell’alternativa in presenza. La tabella seguente riepiloga il quadro.</w:t>
      </w:r>
    </w:p>
    <w:tbl>
      <w:tblPr>
        <w:tblStyle w:val="Table"/>
        <w:tblW w:type="pct" w:w="495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24"/>
        <w:gridCol w:w="2369"/>
        <w:gridCol w:w="38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e garanzie</w:t>
            </w:r>
          </w:p>
        </w:tc>
      </w:tr>
      <w:tr>
        <w:tc>
          <w:tcPr/>
          <w:p>
            <w:pPr>
              <w:pStyle w:val="Compact"/>
              <w:spacing w:after="40" w:before="40"/>
              <w:jc w:val="left"/>
            </w:pPr>
            <w:r>
              <w:rPr>
                <w:rFonts w:ascii="Cambria" w:hAnsi="Cambria" w:cs="Cambria" w:eastAsia="Cambria"/>
                <w:b/>
                <w:bCs/>
                <w:color w:val="1A1A1A"/>
                <w:sz w:val="18"/>
              </w:rPr>
              <w:t xml:space="preserve">Regolamento sull’IA</w:t>
            </w:r>
          </w:p>
        </w:tc>
        <w:tc>
          <w:tcPr/>
          <w:p>
            <w:pPr>
              <w:pStyle w:val="Compact"/>
              <w:spacing w:after="40" w:before="40"/>
              <w:jc w:val="left"/>
            </w:pPr>
            <w:r>
              <w:rPr>
                <w:rFonts w:ascii="Cambria" w:hAnsi="Cambria" w:cs="Cambria" w:eastAsia="Cambria"/>
                <w:color w:val="1A1A1A"/>
                <w:sz w:val="18"/>
              </w:rPr>
              <w:t xml:space="preserve">Classificazione per rischio; obblighi per i sistemi ad alto rischio</w:t>
            </w:r>
          </w:p>
        </w:tc>
        <w:tc>
          <w:tcPr/>
          <w:p>
            <w:pPr>
              <w:pStyle w:val="Compact"/>
              <w:spacing w:after="40" w:before="40"/>
              <w:jc w:val="left"/>
            </w:pPr>
            <w:r>
              <w:rPr>
                <w:rFonts w:ascii="Cambria" w:hAnsi="Cambria" w:cs="Cambria" w:eastAsia="Cambria"/>
                <w:color w:val="1A1A1A"/>
                <w:sz w:val="18"/>
              </w:rPr>
              <w:t xml:space="preserve">In vigore dal 2025; alto rischio per i dispositivi medici differito oltre il 2027; trasparenza dall’agosto 2026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Dispositivi medici e diagnostici in vitro</w:t>
            </w:r>
          </w:p>
        </w:tc>
        <w:tc>
          <w:tcPr>
            <w:shd w:val="clear" w:color="auto" w:fill="F4F1EC"/>
          </w:tcPr>
          <w:p>
            <w:pPr>
              <w:pStyle w:val="Compact"/>
              <w:spacing w:after="40" w:before="40"/>
              <w:jc w:val="left"/>
            </w:pPr>
            <w:r>
              <w:rPr>
                <w:rFonts w:ascii="Cambria" w:hAnsi="Cambria" w:cs="Cambria" w:eastAsia="Cambria"/>
                <w:color w:val="1A1A1A"/>
                <w:sz w:val="18"/>
              </w:rPr>
              <w:t xml:space="preserve">Marcatura CE da organismo notificato</w:t>
            </w:r>
          </w:p>
        </w:tc>
        <w:tc>
          <w:tcPr>
            <w:shd w:val="clear" w:color="auto" w:fill="F4F1EC"/>
          </w:tcPr>
          <w:p>
            <w:pPr>
              <w:pStyle w:val="Compact"/>
              <w:spacing w:after="40" w:before="40"/>
              <w:jc w:val="left"/>
            </w:pPr>
            <w:r>
              <w:rPr>
                <w:rFonts w:ascii="Cambria" w:hAnsi="Cambria" w:cs="Cambria" w:eastAsia="Cambria"/>
                <w:color w:val="1A1A1A"/>
                <w:sz w:val="18"/>
              </w:rPr>
              <w:t xml:space="preserve">Quadro vigente; resta la via regolatoria principale</w:t>
            </w:r>
          </w:p>
        </w:tc>
      </w:tr>
      <w:tr>
        <w:tc>
          <w:tcPr/>
          <w:p>
            <w:pPr>
              <w:pStyle w:val="Compact"/>
              <w:spacing w:after="40" w:before="40"/>
              <w:jc w:val="left"/>
            </w:pPr>
            <w:r>
              <w:rPr>
                <w:rFonts w:ascii="Cambria" w:hAnsi="Cambria" w:cs="Cambria" w:eastAsia="Cambria"/>
                <w:b/>
                <w:bCs/>
                <w:color w:val="1A1A1A"/>
                <w:sz w:val="18"/>
              </w:rPr>
              <w:t xml:space="preserve">Protezione dei dati</w:t>
            </w:r>
          </w:p>
        </w:tc>
        <w:tc>
          <w:tcPr/>
          <w:p>
            <w:pPr>
              <w:pStyle w:val="Compact"/>
              <w:spacing w:after="40" w:before="40"/>
              <w:jc w:val="left"/>
            </w:pPr>
            <w:r>
              <w:rPr>
                <w:rFonts w:ascii="Cambria" w:hAnsi="Cambria" w:cs="Cambria" w:eastAsia="Cambria"/>
                <w:color w:val="1A1A1A"/>
                <w:sz w:val="18"/>
              </w:rPr>
              <w:t xml:space="preserve">Trattamento dei dati personali ultrasensibili</w:t>
            </w:r>
          </w:p>
        </w:tc>
        <w:tc>
          <w:tcPr/>
          <w:p>
            <w:pPr>
              <w:pStyle w:val="Compact"/>
              <w:spacing w:after="40" w:before="40"/>
              <w:jc w:val="left"/>
            </w:pPr>
            <w:r>
              <w:rPr>
                <w:rFonts w:ascii="Cambria" w:hAnsi="Cambria" w:cs="Cambria" w:eastAsia="Cambria"/>
                <w:color w:val="1A1A1A"/>
                <w:sz w:val="18"/>
              </w:rPr>
              <w:t xml:space="preserve">Crittografia, pseudonimizzazione, consenso modulare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Presidi del progetto</w:t>
            </w:r>
          </w:p>
        </w:tc>
        <w:tc>
          <w:tcPr>
            <w:shd w:val="clear" w:color="auto" w:fill="F4F1EC"/>
          </w:tcPr>
          <w:p>
            <w:pPr>
              <w:pStyle w:val="Compact"/>
              <w:spacing w:after="40" w:before="40"/>
              <w:jc w:val="left"/>
            </w:pPr>
            <w:r>
              <w:rPr>
                <w:rFonts w:ascii="Cambria" w:hAnsi="Cambria" w:cs="Cambria" w:eastAsia="Cambria"/>
                <w:color w:val="1A1A1A"/>
                <w:sz w:val="18"/>
              </w:rPr>
              <w:t xml:space="preserve">Supervisione umana; responsabilità invariate</w:t>
            </w:r>
          </w:p>
        </w:tc>
        <w:tc>
          <w:tcPr>
            <w:shd w:val="clear" w:color="auto" w:fill="F4F1EC"/>
          </w:tcPr>
          <w:p>
            <w:pPr>
              <w:pStyle w:val="Compact"/>
              <w:spacing w:after="40" w:before="40"/>
              <w:jc w:val="left"/>
            </w:pPr>
            <w:r>
              <w:rPr>
                <w:rFonts w:ascii="Cambria" w:hAnsi="Cambria" w:cs="Cambria" w:eastAsia="Cambria"/>
                <w:color w:val="1A1A1A"/>
                <w:sz w:val="18"/>
              </w:rPr>
              <w:t xml:space="preserve">Validazione periodica; monitoraggio dei bias; alternativa in presenza</w:t>
            </w:r>
          </w:p>
        </w:tc>
      </w:tr>
    </w:tbl>
    <w:p>
      <w:pPr>
        <w:pStyle w:val="BodyText"/>
      </w:pPr>
      <w:r>
        <w:rPr>
          <w:i/>
          <w:iCs/>
        </w:rPr>
        <w:t xml:space="preserve">Tabella 2. Il quadro regolatorio e di sicurezza dell</w:t>
      </w:r>
      <w:r>
        <w:rPr>
          <w:b/>
          <w:bCs/>
          <w:i/>
          <w:iCs/>
        </w:rPr>
        <w:t xml:space="preserve">‘integrazione dell’</w:t>
      </w:r>
      <w:r>
        <w:rPr>
          <w:i/>
          <w:iCs/>
        </w:rPr>
        <w:t xml:space="preserve">intelligenza artificiale, aggiornato al 2026.</w:t>
      </w:r>
    </w:p>
    <w:bookmarkEnd w:id="108"/>
    <w:bookmarkStart w:id="116" w:name="Xedd3e8de13a355dda5ab6f3bfdd17b96c0ecdf4"/>
    <w:p>
      <w:pPr>
        <w:pStyle w:val="Heading2"/>
      </w:pPr>
      <w:r>
        <w:t xml:space="preserve">8. La quantificazione prudenziale dell’ulteriore risparmio</w:t>
      </w:r>
    </w:p>
    <w:p>
      <w:pPr>
        <w:pStyle w:val="FirstParagraph"/>
      </w:pPr>
      <w:r>
        <w:t xml:space="preserve">La quantificazione si applica non all’intero finanziamento sanitario, ma al solo perimetro della spesa influenzabile: i costi diretti di gestione del servizio, gli accessi impropri al pronto soccorso per cause psichiatriche, una quota della spesa farmaceutica e specialistica associata ai disturbi comuni e ai sintomi somatici funzionali, e le riospedalizzazioni evitabili.</w:t>
      </w:r>
      <w:r>
        <w:rPr>
          <w:rStyle w:val="FootnoteReference"/>
        </w:rPr>
        <w:footnoteReference w:id="1227"/>
      </w:r>
      <w:r>
        <w:t xml:space="preserve"> </w:t>
      </w:r>
      <w:r>
        <w:t xml:space="preserve">Il metodo non assegna un valore puntuale, ma fa dell’ulteriore risparmio una funzione della profondità di adozione — la quota di professionisti e di sedi che adottano effettivamente gli strumenti e il grado di integrazione nei percorsi — articolandola in tre scenari, prudente, di base ed espansivo, e sottraendo la quota di beneficio che si sarebbe comunque verificata.</w:t>
      </w:r>
      <w:r>
        <w:rPr>
          <w:rStyle w:val="FootnoteReference"/>
        </w:rPr>
        <w:footnoteReference w:id="1228"/>
      </w:r>
      <w:r>
        <w:t xml:space="preserve"> </w:t>
      </w:r>
      <w:r>
        <w:t xml:space="preserve">Sul piano dei costi diretti del servizio, la letteratura sull’automazione amministrativa sostiene una riduzione prudenziale dell’ordine del 3–5% a regime, da intendersi come limite superiore in assenza di dati italiani certificati.</w:t>
      </w:r>
      <w:r>
        <w:rPr>
          <w:rStyle w:val="FootnoteReference"/>
        </w:rPr>
        <w:footnoteReference w:id="1229"/>
      </w:r>
      <w:r>
        <w:t xml:space="preserve"> </w:t>
      </w:r>
      <w:r>
        <w:t xml:space="preserve">È però decisivo riconoscere che la parte preponderante del valore aggiunto dall’intelligenza artificiale non transita per il bilancio sanitario, ma per l’ampliamento della capacità e dell’accesso — più persone raggiunte a parità di organico, attese più brevi, maggiore continuità — e si riflette quindi nel ritorno economico-sociale più che nel risparmio di cassa, in coerenza con la distinzione cardine dell’intero studio.</w:t>
      </w:r>
      <w:r>
        <w:rPr>
          <w:rStyle w:val="FootnoteReference"/>
        </w:rPr>
        <w:footnoteReference w:id="1230"/>
      </w:r>
      <w:r>
        <w:t xml:space="preserve"> </w:t>
      </w:r>
      <w:r>
        <w:t xml:space="preserve">Integrando i parametri del modello-base con gli scenari di adozione, l’ulteriore beneficio economico complessivo attribuibile all’intelligenza artificiale, con riferimento alla Puglia, è dell’ordine di 15–40 milioni di euro l’anno a regime, in larga parte di natura sociale e di produttività e solo per una quota minore di natura direttamente finanziaria; la cifra è prudenziale, non ponderata per l’equità e da confermare sui dati regionali.</w:t>
      </w:r>
      <w:r>
        <w:rPr>
          <w:rStyle w:val="FootnoteReference"/>
        </w:rPr>
        <w:footnoteReference w:id="1231"/>
      </w:r>
      <w:r>
        <w:t xml:space="preserve"> </w:t>
      </w:r>
      <w:r>
        <w:t xml:space="preserve">Il trasferimento al livello nazionale, per quota di popolazione e per fattori di aggiustamento regionale, colloca l’incremento in un intervallo ampio e prudenziale, che lo studio si astiene dall’aggregare in un valore unico prima dell’affinamento previsto nei capitoli regionali successivi con i dati certificati delle aziende sanitarie.</w:t>
      </w:r>
      <w:r>
        <w:rPr>
          <w:rStyle w:val="FootnoteReference"/>
        </w:rPr>
        <w:footnoteReference w:id="1232"/>
      </w:r>
      <w:r>
        <w:t xml:space="preserve"> </w:t>
      </w:r>
      <w:r>
        <w:t xml:space="preserve">La tabella seguente espone la quantificazione per canale e per scenario, con il segno della cautela che la accompagna.</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507"/>
        <w:gridCol w:w="1753"/>
        <w:gridCol w:w="848"/>
        <w:gridCol w:w="848"/>
        <w:gridCol w:w="84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 del beneficio</w:t>
            </w:r>
          </w:p>
        </w:tc>
        <w:tc>
          <w:tcPr>
            <w:shd w:val="clear" w:color="auto" w:fill="16264B"/>
          </w:tcPr>
          <w:p>
            <w:pPr>
              <w:pStyle w:val="Compact"/>
              <w:spacing w:after="40" w:before="40"/>
              <w:jc w:val="left"/>
            </w:pPr>
            <w:r>
              <w:rPr>
                <w:rFonts w:ascii="Cambria" w:hAnsi="Cambria" w:cs="Cambria" w:eastAsia="Cambria"/>
                <w:b/>
                <w:bCs/>
                <w:color w:val="FFFFFF"/>
                <w:sz w:val="18"/>
              </w:rPr>
              <w:t xml:space="preserve">Prud.</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Costi diretti del servizio (automazione)</w:t>
            </w:r>
          </w:p>
        </w:tc>
        <w:tc>
          <w:tcPr/>
          <w:p>
            <w:pPr>
              <w:pStyle w:val="Compact"/>
              <w:spacing w:after="40" w:before="40"/>
              <w:jc w:val="left"/>
            </w:pPr>
            <w:r>
              <w:rPr>
                <w:rFonts w:ascii="Cambria" w:hAnsi="Cambria" w:cs="Cambria" w:eastAsia="Cambria"/>
                <w:color w:val="1A1A1A"/>
                <w:sz w:val="18"/>
              </w:rPr>
              <w:t xml:space="preserve">3–5% dei costi diretti</w:t>
            </w:r>
          </w:p>
        </w:tc>
        <w:tc>
          <w:tcPr/>
          <w:p>
            <w:pPr>
              <w:pStyle w:val="Compact"/>
              <w:spacing w:after="40" w:before="40"/>
              <w:jc w:val="left"/>
            </w:pPr>
            <w:r>
              <w:rPr>
                <w:rFonts w:ascii="Cambria" w:hAnsi="Cambria" w:cs="Cambria" w:eastAsia="Cambria"/>
                <w:color w:val="1A1A1A"/>
                <w:sz w:val="18"/>
              </w:rPr>
              <w:t xml:space="preserve">Prudente</w:t>
            </w:r>
          </w:p>
        </w:tc>
        <w:tc>
          <w:tcPr/>
          <w:p>
            <w:pPr>
              <w:pStyle w:val="Compact"/>
              <w:spacing w:after="40" w:before="40"/>
              <w:jc w:val="left"/>
            </w:pPr>
            <w:r>
              <w:rPr>
                <w:rFonts w:ascii="Cambria" w:hAnsi="Cambria" w:cs="Cambria" w:eastAsia="Cambria"/>
                <w:color w:val="1A1A1A"/>
                <w:sz w:val="18"/>
              </w:rPr>
              <w:t xml:space="preserve">Base</w:t>
            </w:r>
          </w:p>
        </w:tc>
        <w:tc>
          <w:tcPr/>
          <w:p>
            <w:pPr>
              <w:pStyle w:val="Compact"/>
              <w:spacing w:after="40" w:before="40"/>
              <w:jc w:val="left"/>
            </w:pPr>
            <w:r>
              <w:rPr>
                <w:rFonts w:ascii="Cambria" w:hAnsi="Cambria" w:cs="Cambria" w:eastAsia="Cambria"/>
                <w:color w:val="1A1A1A"/>
                <w:sz w:val="18"/>
              </w:rPr>
              <w:t xml:space="preserve">Espansivo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Accessi impropri al 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Riduzione marginale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r>
      <w:tr>
        <w:tc>
          <w:tcPr/>
          <w:p>
            <w:pPr>
              <w:pStyle w:val="Compact"/>
              <w:spacing w:after="40" w:before="40"/>
              <w:jc w:val="left"/>
            </w:pPr>
            <w:r>
              <w:rPr>
                <w:rFonts w:ascii="Cambria" w:hAnsi="Cambria" w:cs="Cambria" w:eastAsia="Cambria"/>
                <w:b/>
                <w:bCs/>
                <w:color w:val="1A1A1A"/>
                <w:sz w:val="18"/>
              </w:rPr>
              <w:t xml:space="preserve">Farmaceutica e specialistica (disturbi comuni)</w:t>
            </w:r>
          </w:p>
        </w:tc>
        <w:tc>
          <w:tcPr/>
          <w:p>
            <w:pPr>
              <w:pStyle w:val="Compact"/>
              <w:spacing w:after="40" w:before="40"/>
              <w:jc w:val="left"/>
            </w:pPr>
            <w:r>
              <w:rPr>
                <w:rFonts w:ascii="Cambria" w:hAnsi="Cambria" w:cs="Cambria" w:eastAsia="Cambria"/>
                <w:color w:val="1A1A1A"/>
                <w:sz w:val="18"/>
              </w:rPr>
              <w:t xml:space="preserve">Quota contenuta</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Riospedalizzazioni evitabili</w:t>
            </w:r>
          </w:p>
        </w:tc>
        <w:tc>
          <w:tcPr>
            <w:shd w:val="clear" w:color="auto" w:fill="F4F1EC"/>
          </w:tcPr>
          <w:p>
            <w:pPr>
              <w:pStyle w:val="Compact"/>
              <w:spacing w:after="40" w:before="40"/>
              <w:jc w:val="left"/>
            </w:pPr>
            <w:r>
              <w:rPr>
                <w:rFonts w:ascii="Cambria" w:hAnsi="Cambria" w:cs="Cambria" w:eastAsia="Cambria"/>
                <w:color w:val="1A1A1A"/>
                <w:sz w:val="18"/>
              </w:rPr>
              <w:t xml:space="preserve">Da verificare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r>
      <w:tr>
        <w:tc>
          <w:tcPr/>
          <w:p>
            <w:pPr>
              <w:pStyle w:val="Compact"/>
              <w:spacing w:after="40" w:before="40"/>
              <w:jc w:val="left"/>
            </w:pPr>
            <w:r>
              <w:rPr>
                <w:rFonts w:ascii="Cambria" w:hAnsi="Cambria" w:cs="Cambria" w:eastAsia="Cambria"/>
                <w:b/>
                <w:bCs/>
                <w:color w:val="1A1A1A"/>
                <w:sz w:val="18"/>
              </w:rPr>
              <w:t xml:space="preserve">Ulteriore beneficio complessivo — Puglia (mln €/anno)</w:t>
            </w:r>
          </w:p>
        </w:tc>
        <w:tc>
          <w:tcPr/>
          <w:p>
            <w:pPr>
              <w:pStyle w:val="Compact"/>
              <w:spacing w:after="40" w:before="40"/>
              <w:jc w:val="left"/>
            </w:pPr>
            <w:r>
              <w:rPr>
                <w:rFonts w:ascii="Cambria" w:hAnsi="Cambria" w:cs="Cambria" w:eastAsia="Cambria"/>
                <w:color w:val="1A1A1A"/>
                <w:sz w:val="18"/>
              </w:rPr>
              <w:t xml:space="preserve">Direzione prevalente sociale</w:t>
            </w:r>
          </w:p>
        </w:tc>
        <w:tc>
          <w:tcPr/>
          <w:p>
            <w:pPr>
              <w:pStyle w:val="Compact"/>
              <w:spacing w:after="40" w:before="40"/>
              <w:jc w:val="left"/>
            </w:pPr>
            <w:r>
              <w:rPr>
                <w:rFonts w:ascii="Cambria" w:hAnsi="Cambria" w:cs="Cambria" w:eastAsia="Cambria"/>
                <w:color w:val="1A1A1A"/>
                <w:sz w:val="18"/>
              </w:rPr>
              <w:t xml:space="preserve">~ 15</w:t>
            </w:r>
          </w:p>
        </w:tc>
        <w:tc>
          <w:tcPr/>
          <w:p>
            <w:pPr>
              <w:pStyle w:val="Compact"/>
              <w:spacing w:after="40" w:before="40"/>
              <w:jc w:val="left"/>
            </w:pPr>
            <w:r>
              <w:rPr>
                <w:rFonts w:ascii="Cambria" w:hAnsi="Cambria" w:cs="Cambria" w:eastAsia="Cambria"/>
                <w:color w:val="1A1A1A"/>
                <w:sz w:val="18"/>
              </w:rPr>
              <w:t xml:space="preserve">~ 25</w:t>
            </w:r>
          </w:p>
        </w:tc>
        <w:tc>
          <w:tcPr/>
          <w:p>
            <w:pPr>
              <w:pStyle w:val="Compact"/>
              <w:spacing w:after="40" w:before="40"/>
              <w:jc w:val="left"/>
            </w:pPr>
            <w:r>
              <w:rPr>
                <w:rFonts w:ascii="Cambria" w:hAnsi="Cambria" w:cs="Cambria" w:eastAsia="Cambria"/>
                <w:color w:val="1A1A1A"/>
                <w:sz w:val="18"/>
              </w:rPr>
              <w:t xml:space="preserve">~ 40</w:t>
            </w:r>
          </w:p>
        </w:tc>
      </w:tr>
    </w:tbl>
    <w:p>
      <w:pPr>
        <w:pStyle w:val="BodyText"/>
      </w:pPr>
      <w:r>
        <w:rPr>
          <w:i/>
          <w:iCs/>
        </w:rPr>
        <w:t xml:space="preserve">Tabella 3. La quantificazione prudenziale dell</w:t>
      </w:r>
      <w:r>
        <w:rPr>
          <w:b/>
          <w:bCs/>
          <w:i/>
          <w:iCs/>
        </w:rPr>
        <w:t xml:space="preserve">’</w:t>
      </w:r>
      <w:r>
        <w:rPr>
          <w:i/>
          <w:iCs/>
        </w:rPr>
        <w:t xml:space="preserve">ulteriore beneficio economico per scenario di adozione (Puglia, valori a regime). La quota direttamente finanziaria è minoritaria; la parte preponderante è di natura sociale.</w:t>
      </w:r>
    </w:p>
    <w:p>
      <w:pPr>
        <w:pStyle w:val="BodyText"/>
      </w:pPr>
      <w:r>
        <w:t xml:space="preserve">La realizzazione di questi risparmi dipende dalle competenze del personale, sviluppate attraverso le quattro modalità formative già descritte nel capitolo introduttivo; l’investimento in formazione e affiancamento è di entità contenuta rispetto al beneficio atteso, ma ne è condizione necessaria, e il suo ritorno va misurato nel tempo unitamente agli esiti del servizio.</w:t>
      </w:r>
      <w:r>
        <w:rPr>
          <w:rStyle w:val="FootnoteReference"/>
        </w:rPr>
        <w:footnoteReference w:id="1233"/>
      </w:r>
    </w:p>
    <w:bookmarkEnd w:id="116"/>
    <w:bookmarkStart w:id="118" w:name="sintesi-e-raccomandazioni"/>
    <w:p>
      <w:pPr>
        <w:pStyle w:val="Heading2"/>
      </w:pPr>
      <w:r>
        <w:t xml:space="preserve">9. Sintesi e raccomandazioni</w:t>
      </w:r>
    </w:p>
    <w:p>
      <w:pPr>
        <w:pStyle w:val="FirstParagraph"/>
      </w:pPr>
      <w:r>
        <w:t xml:space="preserve">Il quadro che emerge è coerente con l’impianto dell’intero progetto e ne condivide la prudenza. L’integrazione dell’intelligenza artificiale lungo il continuum assistenziale è clinicamente promettente, con un’efficacia documentata ma di entità contenuta e di durata da consolidare, ed è economicamente favorevole soprattutto sul piano sociale e della capacità, mentre il risparmio diretto di bilancio è reale ma modesto. La raccomandazione conseguente è di procedere all’adozione in modo selettivo e graduale — privilegiando gli strumenti a marcatura regolatoria e a evidenza più solida, con supervisione umana costante e responsabilità professionali invariate — e di accompagnarla con il programma formativo a quattro livelli, che ne è la condizione abilitante. La raccomandazione metodologica, infine, è di non considerare acquisite le stime qui esposte: esse hanno natura di proiezione e richiedono conferma mediante l’acquisizione dei dati certificati, l’avvio della rilevazione di servizio e la valutazione controfattuale d’impatto, che isola l’effetto proprio dell’intelligenza artificiale rispetto al modello-base.</w:t>
      </w:r>
      <w:r>
        <w:rPr>
          <w:rStyle w:val="FootnoteReference"/>
        </w:rPr>
        <w:footnoteReference w:id="1234"/>
      </w:r>
      <w:r>
        <w:t xml:space="preserve"> </w:t>
      </w:r>
      <w:r>
        <w:t xml:space="preserve">Con questo capitolo l’estensione nazionale acquisisce la dimensione dell’integrazione dell’intelligenza artificiale lungo il continuum; i capitoli successivi della roadmap — la spesa regionale disaggregata, il dimensionamento dell’organico, i risparmi diretti e indiretti regionali, il programma formativo e il saldo economico complessivo nazionale — ne completeranno il dossier tecnico-finanziario.</w:t>
      </w:r>
    </w:p>
    <w:bookmarkEnd w:id="118"/>
    <w:bookmarkStart w:id="119" w:name="X9faad79a664b2a141bf6ea4730acff3b6b6f342"/>
    <w:p>
      <w:pPr>
        <w:pStyle w:val="Heading2"/>
      </w:pPr>
      <w:r>
        <w:t xml:space="preserve">La struttura della sperimentazione pilota</w:t>
      </w:r>
    </w:p>
    <w:p>
      <w:pPr>
        <w:pStyle w:val="FirstParagraph"/>
      </w:pPr>
      <w:r>
        <w:t xml:space="preserve">Psicologo di Base · Struttura della sperimentazione pilota</w:t>
      </w:r>
    </w:p>
    <w:p>
      <w:pPr>
        <w:pStyle w:val="BodyText"/>
      </w:pPr>
      <w:r>
        <w:rPr>
          <w:b/>
          <w:bCs/>
        </w:rPr>
        <w:t xml:space="preserve">PROGETTO «PSICOLOGO DI BASE»</w:t>
      </w:r>
    </w:p>
    <w:p>
      <w:pPr>
        <w:pStyle w:val="BodyText"/>
      </w:pPr>
      <w:r>
        <w:t xml:space="preserve">Generare le prove — Famiglia A, punto 3</w:t>
      </w:r>
    </w:p>
    <w:p>
      <w:pPr>
        <w:pStyle w:val="BodyText"/>
      </w:pPr>
      <w:r>
        <w:rPr>
          <w:b/>
          <w:bCs/>
        </w:rPr>
        <w:t xml:space="preserve">Struttura della sperimentazione pilota</w:t>
      </w:r>
    </w:p>
    <w:p>
      <w:pPr>
        <w:pStyle w:val="BodyText"/>
      </w:pPr>
      <w:r>
        <w:rPr>
          <w:i/>
          <w:iCs/>
        </w:rPr>
        <w:t xml:space="preserve">Disegno, esiti, metodo di valutazione, governance, etica, cronoprogramma e budget</w:t>
      </w:r>
    </w:p>
    <w:p>
      <w:pPr>
        <w:pStyle w:val="BodyText"/>
      </w:pPr>
      <w:r>
        <w:t xml:space="preserve">Un pilota misurabile, con disegno stepped-wedge, a fondamento della valutazione d’impatto e dell’iniziativa legislativa</w:t>
      </w:r>
    </w:p>
    <w:p>
      <w:pPr>
        <w:pStyle w:val="BodyText"/>
      </w:pPr>
      <w:r>
        <w:rPr>
          <w:b/>
          <w:bCs/>
        </w:rPr>
        <w:t xml:space="preserve">Indice</w:t>
      </w:r>
    </w:p>
    <w:bookmarkEnd w:id="119"/>
    <w:bookmarkStart w:id="122" w:name="premessa-e-finalità"/>
    <w:p>
      <w:pPr>
        <w:pStyle w:val="Heading2"/>
      </w:pPr>
      <w:r>
        <w:t xml:space="preserve">1. Premessa e finalità</w:t>
      </w:r>
    </w:p>
    <w:p>
      <w:pPr>
        <w:pStyle w:val="FirstParagraph"/>
      </w:pPr>
      <w:r>
        <w:t xml:space="preserve">La sperimentazione pilota è lo strumento con cui la riforma passa dalle proiezioni alle prove, prima e a sostegno dell’estensione su larga scala. Le analisi del dossier hanno dimostrato in via prospettica l’efficienza, la sostenibilità e il valore sociale del modello;</w:t>
      </w:r>
      <w:r>
        <w:rPr>
          <w:rStyle w:val="FootnoteReference"/>
        </w:rPr>
        <w:footnoteReference w:id="1235"/>
      </w:r>
      <w:r>
        <w:t xml:space="preserve"> </w:t>
      </w:r>
      <w:r>
        <w:t xml:space="preserve">la sperimentazione li verifica in condizioni reali, su scala ridotta e controllata, con tre finalità: accertare la fattibilità organizzativa e calibrare il modello; misurare empiricamente gli effetti clinici, economici e di equità; e produrre evidenza solida a sostegno dell’iniziativa legislativa nazionale e della successiva estensione. Il pilota costituisce, inoltre, la prima applicazione del sistema di monitoraggio e valutazione già disegnato.</w:t>
      </w:r>
      <w:r>
        <w:rPr>
          <w:rStyle w:val="FootnoteReference"/>
        </w:rPr>
        <w:footnoteReference w:id="1236"/>
      </w:r>
    </w:p>
    <w:p>
      <w:pPr>
        <w:pStyle w:val="BodyText"/>
      </w:pPr>
      <w:r>
        <w:t xml:space="preserve">Una sperimentazione ben condotta riduce il rischio percepito dal decisore: anziché chiedere di adottare la riforma sulla fiducia, consente di avviarla in un perimetro definito, di misurarne i risultati e di estenderla sulla base di prove. Per questo il pilota è progettato fin dall’origine come esperimento rigoroso, e non come semplice avvio anticipato del servizio.</w:t>
      </w:r>
    </w:p>
    <w:bookmarkEnd w:id="122"/>
    <w:bookmarkStart w:id="123" w:name="gli-obiettivi-della-sperimentazione"/>
    <w:p>
      <w:pPr>
        <w:pStyle w:val="Heading2"/>
      </w:pPr>
      <w:r>
        <w:t xml:space="preserve">2. Gli obiettivi della sperimentazione</w:t>
      </w:r>
    </w:p>
    <w:p>
      <w:pPr>
        <w:pStyle w:val="FirstParagraph"/>
      </w:pPr>
      <w:r>
        <w:t xml:space="preserve">L’obiettivo generale è valutare, in condizioni reali, l’efficacia, la costo-efficacia, l’equità e la fattibilità del Servizio di Psicologia di Base. Da esso discendono gli obiettivi specifici: a) verificare la fattibilità del reclutamento, della formazione e dell’organizzazione del servizio; b) misurare l’efficacia clinica sul disagio comune; c) misurare gli effetti sul ricorso agli altri servizi sanitari e sulla spesa; d) stimare la costo-efficacia e il ritorno dell’investimento; e) valutare gli effetti distributivi, ossia l’equità di accesso e di esito; f) raccogliere elementi per l’affinamento del modello organizzativo, formativo e dell’impiego dell’Intelligenza Artificiale.</w:t>
      </w:r>
    </w:p>
    <w:bookmarkEnd w:id="123"/>
    <w:bookmarkStart w:id="4161" w:name="il-disegno-della-sperimentazione"/>
    <w:p>
      <w:pPr>
        <w:pStyle w:val="Heading2"/>
      </w:pPr>
      <w:r>
        <w:t xml:space="preserve">3. Il disegno della sperimentazione</w:t>
      </w:r>
    </w:p>
    <w:p>
      <w:pPr>
        <w:pStyle w:val="FirstParagraph"/>
      </w:pPr>
      <w:r>
        <w:t xml:space="preserve">La sperimentazione adotta un disegno pragmatico, condotto in condizioni reali di servizio, con criteri di inclusione ampi ed esiti rilevanti per la pratica e per le decisioni di politica sanitaria, a garanzia della trasferibilità dei risultati.</w:t>
      </w:r>
      <w:r>
        <w:rPr>
          <w:rStyle w:val="FootnoteReference"/>
        </w:rPr>
        <w:footnoteReference w:id="1237"/>
      </w:r>
      <w:r>
        <w:t xml:space="preserve"> </w:t>
      </w:r>
      <w:r>
        <w:t xml:space="preserve">Sul piano della struttura di confronto, essa adotta il disegno stepped-wedge: un insieme di sedi pilota — indicativamente sei, individuate in ambiti territoriali della Regione Puglia, ove il modello è stato sviluppato — attiva il servizio in sequenza, per fasi trimestrali, sicché ciascuna sede fornisce sia una rilevazione di base, prima dell’attivazione, sia il periodo di intervento successivo, e le sedi non ancora attivate fungono da controllo per quelle già attivate.</w:t>
      </w:r>
      <w:r>
        <w:rPr>
          <w:rStyle w:val="FootnoteReference"/>
        </w:rPr>
        <w:footnoteReference w:id="1238"/>
      </w:r>
      <w:r>
        <w:t xml:space="preserve"> </w:t>
      </w:r>
      <w:r>
        <w:t xml:space="preserve">La durata indicativa è di ventiquattro mesi: diciotto di attivazione progressiva e raccolta dati, e sei di osservazione e analisi. La figura seguente rappresenta il disegno.</w:t>
      </w:r>
    </w:p>
    <w:p>
      <w:pPr>
        <w:pStyle w:val="BodyText"/>
      </w:pPr>
      <w:r>
        <w:rPr>
          <w:i/>
          <w:iCs/>
        </w:rPr>
        <w:t xml:space="preserve">Figura 1. Disegno stepped-wedge della sperimentazione pilota. Le sei sedi pilota (righe) passano in sequenza, trimestre dopo trimestre, dalla rilevazione di base (controllo) al servizio attivo (intervento), consentendo la valutazione controfattuale degli effetti.</w:t>
      </w:r>
    </w:p>
    <w:bookmarkEnd w:id="4161"/>
    <w:bookmarkStart w:id="132" w:name="popolazione-intervento-ed-esiti"/>
    <w:p>
      <w:pPr>
        <w:pStyle w:val="Heading2"/>
      </w:pPr>
      <w:r>
        <w:t xml:space="preserve">4. Popolazione, intervento ed esiti</w:t>
      </w:r>
    </w:p>
    <w:bookmarkStart w:id="127" w:name="popolazione-e-criteri"/>
    <w:p>
      <w:pPr>
        <w:pStyle w:val="Heading3"/>
      </w:pPr>
      <w:r>
        <w:t xml:space="preserve">4.1 Popolazione e criteri</w:t>
      </w:r>
    </w:p>
    <w:p>
      <w:pPr>
        <w:pStyle w:val="FirstParagraph"/>
      </w:pPr>
      <w:r>
        <w:t xml:space="preserve">La popolazione di riferimento è costituita dalle persone adulte assistite dalle cure primarie afferenti alle sedi pilota che presentano un disagio mentale comune, in particolare disturbi depressivi e d’ansia di intensità lieve e moderata. L’accesso avviene su invio del medico di medicina generale o del pediatra di libera scelta, ovvero su accesso diretto, secondo i percorsi definiti. Sono esclusi i quadri gravi o acuti che richiedono la presa in carico specialistica, ai quali è garantito l’invio appropriato ai servizi competenti.</w:t>
      </w:r>
    </w:p>
    <w:bookmarkEnd w:id="127"/>
    <w:bookmarkStart w:id="129" w:name="lintervento"/>
    <w:p>
      <w:pPr>
        <w:pStyle w:val="Heading3"/>
      </w:pPr>
      <w:r>
        <w:t xml:space="preserve">4.2 L’intervento</w:t>
      </w:r>
    </w:p>
    <w:p>
      <w:pPr>
        <w:pStyle w:val="FirstParagraph"/>
      </w:pPr>
      <w:r>
        <w:t xml:space="preserve">L’intervento erogato nelle sedi attive è il modello di assistenza psicologica primaria definito dal piano operativo e dall’articolato:</w:t>
      </w:r>
      <w:r>
        <w:rPr>
          <w:rStyle w:val="FootnoteReference"/>
        </w:rPr>
        <w:footnoteReference w:id="1239"/>
      </w:r>
      <w:r>
        <w:t xml:space="preserve"> </w:t>
      </w:r>
      <w:r>
        <w:t xml:space="preserve">la valutazione e l’intercettazione precoce, gli interventi psicologici di primo livello per i quadri lievi e moderati, la funzione di filtro e di invio appropriato, il supporto ai pazienti cronici e ai familiari, con l’ausilio degli strumenti digitali e dell’Intelligenza Artificiale validati e, ove appropriato, della telepsicologia. Le sedi in fase di rilevazione di base mantengono l’assistenza ordinaria, senza la funzione psicologica strutturata.</w:t>
      </w:r>
    </w:p>
    <w:bookmarkEnd w:id="129"/>
    <w:bookmarkStart w:id="131" w:name="gli-esiti-e-gli-indicatori"/>
    <w:p>
      <w:pPr>
        <w:pStyle w:val="Heading3"/>
      </w:pPr>
      <w:r>
        <w:t xml:space="preserve">4.3 Gli esiti e gli indicatori</w:t>
      </w:r>
    </w:p>
    <w:p>
      <w:pPr>
        <w:pStyle w:val="FirstParagraph"/>
      </w:pPr>
      <w:r>
        <w:t xml:space="preserve">Gli esiti sono articolati per tipologia, secondo la tabella seguente, e si fondano, per la componente clinica, su misure standardizzate somministrate di routine, in particolare il PHQ-9 e il GAD-7.</w:t>
      </w:r>
      <w:r>
        <w:rPr>
          <w:rStyle w:val="FootnoteReference"/>
        </w:rPr>
        <w:footnoteReference w:id="1240"/>
      </w:r>
    </w:p>
    <w:tbl>
      <w:tblPr>
        <w:tblStyle w:val="Table"/>
        <w:tblW w:type="pct" w:w="494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47"/>
        <w:gridCol w:w="639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persone con miglioramento clinico e tasso di recupero, misurati con PHQ-9 e GAD-7 somministrati all’ingresso e nel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Tasso di remissione; riduzione media dei punteggi sintomatologici; soddisfazione e qualità di vita percepita.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Numero di prese in carico; tempo medio di attesa al primo colloquio; numero di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per cause connesse; prescrizioni di psicofarmaci e ipnotici; consulti specialistici e accertamenti evitabili; ricoveri evitabili.</w:t>
            </w:r>
          </w:p>
        </w:tc>
      </w:tr>
      <w:tr>
        <w:tc>
          <w:tcPr/>
          <w:p>
            <w:pPr>
              <w:pStyle w:val="Compact"/>
              <w:spacing w:after="40" w:before="40"/>
              <w:jc w:val="left"/>
            </w:pPr>
            <w:r>
              <w:rPr>
                <w:rFonts w:ascii="Cambria" w:hAnsi="Cambria" w:cs="Cambria" w:eastAsia="Cambria"/>
                <w:b/>
                <w:bCs/>
                <w:color w:val="1A1A1A"/>
                <w:sz w:val="18"/>
              </w:rPr>
              <w:t xml:space="preserve">Esiti economici</w:t>
            </w:r>
          </w:p>
        </w:tc>
        <w:tc>
          <w:tcPr/>
          <w:p>
            <w:pPr>
              <w:pStyle w:val="Compact"/>
              <w:spacing w:after="40" w:before="40"/>
              <w:jc w:val="left"/>
            </w:pPr>
            <w:r>
              <w:rPr>
                <w:rFonts w:ascii="Cambria" w:hAnsi="Cambria" w:cs="Cambria" w:eastAsia="Cambria"/>
                <w:color w:val="1A1A1A"/>
                <w:sz w:val="18"/>
              </w:rPr>
              <w:t xml:space="preserve">Costo per paziente preso in carico; risparmi generati; costo per anno di vita corretto per la qualità (rapporto di costo-efficacia).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equità</w:t>
            </w:r>
          </w:p>
        </w:tc>
        <w:tc>
          <w:tcPr>
            <w:shd w:val="clear" w:color="auto" w:fill="F4F1EC"/>
          </w:tcPr>
          <w:p>
            <w:pPr>
              <w:pStyle w:val="Compact"/>
              <w:spacing w:after="40" w:before="40"/>
              <w:jc w:val="left"/>
            </w:pPr>
            <w:r>
              <w:rPr>
                <w:rFonts w:ascii="Cambria" w:hAnsi="Cambria" w:cs="Cambria" w:eastAsia="Cambria"/>
                <w:color w:val="1A1A1A"/>
                <w:sz w:val="18"/>
              </w:rPr>
              <w:t xml:space="preserve">Distribuzione dell’accesso e dell’esito per livello socio-economico e per area; effetti sull’impoverimento e sulla domanda di mobilità.</w:t>
            </w:r>
          </w:p>
        </w:tc>
      </w:tr>
    </w:tbl>
    <w:p>
      <w:pPr>
        <w:pStyle w:val="BodyText"/>
      </w:pPr>
      <w:r>
        <w:rPr>
          <w:i/>
          <w:iCs/>
        </w:rPr>
        <w:t xml:space="preserve">Tabella 1. Esiti e indicatori della sperimentazione, per tipologia. Gli esiti clinici si fondano su misure standardizzate (PHQ-9, GAD-7); gli esiti di impatto, economici e di equità alimentano la valutazione controfattuale.</w:t>
      </w:r>
    </w:p>
    <w:bookmarkEnd w:id="131"/>
    <w:bookmarkEnd w:id="132"/>
    <w:bookmarkStart w:id="134" w:name="il-metodo-di-valutazione"/>
    <w:p>
      <w:pPr>
        <w:pStyle w:val="Heading2"/>
      </w:pPr>
      <w:r>
        <w:t xml:space="preserve">5. Il metodo di valutazione</w:t>
      </w:r>
    </w:p>
    <w:p>
      <w:pPr>
        <w:pStyle w:val="FirstParagraph"/>
      </w:pPr>
      <w:r>
        <w:t xml:space="preserve">L’effetto del servizio è stimato confrontando l’andamento degli esiti nelle sedi attivate con quello atteso in loro assenza. La stima si fonda su un modello statistico a effetti misti, che mette in relazione l’esito con un indicatore di attivazione — pari a uno nelle sedi e nei trimestri in cui il servizio è attivo — controllando per il periodo temporale, mediante effetti fissi, e per l’eterogeneità tra le sedi, mediante effetti casuali.</w:t>
      </w:r>
      <w:r>
        <w:rPr>
          <w:rStyle w:val="FootnoteReference"/>
        </w:rPr>
        <w:footnoteReference w:id="1241"/>
      </w:r>
      <w:r>
        <w:t xml:space="preserve"> </w:t>
      </w:r>
      <w:r>
        <w:t xml:space="preserve">Il coefficiente dell’indicatore di attivazione misura l’effetto medio dell’intervento, al netto delle tendenze temporali comuni e delle differenze stabili tra sedi, secondo la logica delle differenze nelle differenze.</w:t>
      </w:r>
    </w:p>
    <w:p>
      <w:pPr>
        <w:pStyle w:val="BodyText"/>
      </w:pPr>
      <w:r>
        <w:t xml:space="preserve">La numerosità e la durata sono dimensionate per cogliere differenze clinicamente rilevanti sugli esiti principali; con sei sedi, il numero di gruppi è contenuto, e ciò impone l’adozione di correzioni per piccoli campioni e una lettura prudente degli intervalli di confidenza. La validità delle stime è presidiata da quattro condizioni: l’assenza di tendenze differenziali tra le sedi non imputabili all’intervento, da verificare empiricamente; la corretta documentazione dei tempi di attivazione; la qualità e l’omogeneità della raccolta dati tra le sedi; e l’adozione di metodi statistici appropriati alla scala. L’esplicitazione di tali condizioni è parte integrante del protocollo della sperimentazione.</w:t>
      </w:r>
    </w:p>
    <w:bookmarkEnd w:id="134"/>
    <w:bookmarkStart w:id="136" w:name="governance-etica-e-protezione-dei-dati"/>
    <w:p>
      <w:pPr>
        <w:pStyle w:val="Heading2"/>
      </w:pPr>
      <w:r>
        <w:t xml:space="preserve">6. Governance, etica e protezione dei dati</w:t>
      </w:r>
    </w:p>
    <w:p>
      <w:pPr>
        <w:pStyle w:val="FirstParagraph"/>
      </w:pPr>
      <w:r>
        <w:t xml:space="preserve">La sperimentazione è governata da un comitato di indirizzo, che riunisce la Regione o le aziende sanitarie coinvolte, l’Ordine degli Psicologi, le università e le istituzioni scientifiche, e da un responsabile scientifico che ne assicura la conduzione metodologica. Le aziende sanitarie partecipanti sono responsabili dell’attuazione nelle sedi pilota; l’Osservatorio, ove istituito, ne assicura il raccordo con il disegno complessivo della riforma.</w:t>
      </w:r>
    </w:p>
    <w:p>
      <w:pPr>
        <w:pStyle w:val="BodyText"/>
      </w:pPr>
      <w:r>
        <w:t xml:space="preserve">La sperimentazione è condotta nel rispetto dei requisiti etici e regolatori: è sottoposta all’approvazione del comitato etico territorialmente competente; prevede il consenso informato dei partecipanti; tratta i dati personali nel rispetto della normativa vigente, con minimizzazione e sicurezza; e impiega strumenti di Intelligenza Artificiale e dispositivi digitali conformi alla disciplina europea sull’IA e sui dispositivi medici.</w:t>
      </w:r>
      <w:r>
        <w:rPr>
          <w:rStyle w:val="FootnoteReference"/>
        </w:rPr>
        <w:footnoteReference w:id="1242"/>
      </w:r>
      <w:r>
        <w:t xml:space="preserve"> </w:t>
      </w:r>
      <w:r>
        <w:t xml:space="preserve">Gli esiti sono resi pubblici indipendentemente dal loro segno, a garanzia di trasparenza e di non distorsione.</w:t>
      </w:r>
    </w:p>
    <w:bookmarkEnd w:id="136"/>
    <w:bookmarkStart w:id="4162" w:name="il-cronoprogramma"/>
    <w:p>
      <w:pPr>
        <w:pStyle w:val="Heading2"/>
      </w:pPr>
      <w:r>
        <w:t xml:space="preserve">7. Il cronoprogramma</w:t>
      </w:r>
    </w:p>
    <w:p>
      <w:pPr>
        <w:pStyle w:val="FirstParagraph"/>
      </w:pPr>
      <w:r>
        <w:t xml:space="preserve">Il cronoprogramma indicativo si articola nelle fasi seguenti, per una durata complessiva dell’ordine di ventiquattro mesi.</w:t>
      </w:r>
    </w:p>
    <w:tbl>
      <w:tblPr>
        <w:tblStyle w:val="Table"/>
        <w:tblW w:type="pct" w:w="494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65"/>
        <w:gridCol w:w="1105"/>
        <w:gridCol w:w="51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w:t>
            </w:r>
          </w:p>
        </w:tc>
        <w:tc>
          <w:tcPr>
            <w:shd w:val="clear" w:color="auto" w:fill="16264B"/>
          </w:tcPr>
          <w:p>
            <w:pPr>
              <w:pStyle w:val="Compact"/>
              <w:spacing w:after="40" w:before="40"/>
              <w:jc w:val="left"/>
            </w:pPr>
            <w:r>
              <w:rPr>
                <w:rFonts w:ascii="Cambria" w:hAnsi="Cambria" w:cs="Cambria" w:eastAsia="Cambria"/>
                <w:b/>
                <w:bCs/>
                <w:color w:val="FFFFFF"/>
                <w:sz w:val="18"/>
              </w:rPr>
              <w:t xml:space="preserve">Mesi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Preparazione</w:t>
            </w:r>
          </w:p>
        </w:tc>
        <w:tc>
          <w:tcPr/>
          <w:p>
            <w:pPr>
              <w:pStyle w:val="Compact"/>
              <w:spacing w:after="40" w:before="40"/>
              <w:jc w:val="left"/>
            </w:pPr>
            <w:r>
              <w:rPr>
                <w:rFonts w:ascii="Cambria" w:hAnsi="Cambria" w:cs="Cambria" w:eastAsia="Cambria"/>
                <w:color w:val="1A1A1A"/>
                <w:sz w:val="18"/>
              </w:rPr>
              <w:t xml:space="preserve">1–3</w:t>
            </w:r>
          </w:p>
        </w:tc>
        <w:tc>
          <w:tcPr/>
          <w:p>
            <w:pPr>
              <w:pStyle w:val="Compact"/>
              <w:spacing w:after="40" w:before="40"/>
              <w:jc w:val="left"/>
            </w:pPr>
            <w:r>
              <w:rPr>
                <w:rFonts w:ascii="Cambria" w:hAnsi="Cambria" w:cs="Cambria" w:eastAsia="Cambria"/>
                <w:color w:val="1A1A1A"/>
                <w:sz w:val="18"/>
              </w:rPr>
              <w:t xml:space="preserve">Protocollo, approvazione etica, individuazione delle sedi, infrastruttura dati, convenzioni.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Reclutamento e formazione</w:t>
            </w:r>
          </w:p>
        </w:tc>
        <w:tc>
          <w:tcPr>
            <w:shd w:val="clear" w:color="auto" w:fill="F4F1EC"/>
          </w:tcPr>
          <w:p>
            <w:pPr>
              <w:pStyle w:val="Compact"/>
              <w:spacing w:after="40" w:before="40"/>
              <w:jc w:val="left"/>
            </w:pPr>
            <w:r>
              <w:rPr>
                <w:rFonts w:ascii="Cambria" w:hAnsi="Cambria" w:cs="Cambria" w:eastAsia="Cambria"/>
                <w:color w:val="1A1A1A"/>
                <w:sz w:val="18"/>
              </w:rPr>
              <w:t xml:space="preserve">2–6</w:t>
            </w:r>
          </w:p>
        </w:tc>
        <w:tc>
          <w:tcPr>
            <w:shd w:val="clear" w:color="auto" w:fill="F4F1EC"/>
          </w:tcPr>
          <w:p>
            <w:pPr>
              <w:pStyle w:val="Compact"/>
              <w:spacing w:after="40" w:before="40"/>
              <w:jc w:val="left"/>
            </w:pPr>
            <w:r>
              <w:rPr>
                <w:rFonts w:ascii="Cambria" w:hAnsi="Cambria" w:cs="Cambria" w:eastAsia="Cambria"/>
                <w:color w:val="1A1A1A"/>
                <w:sz w:val="18"/>
              </w:rPr>
              <w:t xml:space="preserve">Reclutamento degli psicologi e formazione, sincronizzati con l’ordine di attivazione.</w:t>
            </w:r>
          </w:p>
        </w:tc>
      </w:tr>
      <w:tr>
        <w:tc>
          <w:tcPr/>
          <w:p>
            <w:pPr>
              <w:pStyle w:val="Compact"/>
              <w:spacing w:after="40" w:before="40"/>
              <w:jc w:val="left"/>
            </w:pPr>
            <w:r>
              <w:rPr>
                <w:rFonts w:ascii="Cambria" w:hAnsi="Cambria" w:cs="Cambria" w:eastAsia="Cambria"/>
                <w:b/>
                <w:bCs/>
                <w:color w:val="1A1A1A"/>
                <w:sz w:val="18"/>
              </w:rPr>
              <w:t xml:space="preserve">Attivazione e raccolta dati</w:t>
            </w:r>
          </w:p>
        </w:tc>
        <w:tc>
          <w:tcPr/>
          <w:p>
            <w:pPr>
              <w:pStyle w:val="Compact"/>
              <w:spacing w:after="40" w:before="40"/>
              <w:jc w:val="left"/>
            </w:pPr>
            <w:r>
              <w:rPr>
                <w:rFonts w:ascii="Cambria" w:hAnsi="Cambria" w:cs="Cambria" w:eastAsia="Cambria"/>
                <w:color w:val="1A1A1A"/>
                <w:sz w:val="18"/>
              </w:rPr>
              <w:t xml:space="preserve">4–21</w:t>
            </w:r>
          </w:p>
        </w:tc>
        <w:tc>
          <w:tcPr/>
          <w:p>
            <w:pPr>
              <w:pStyle w:val="Compact"/>
              <w:spacing w:after="40" w:before="40"/>
              <w:jc w:val="left"/>
            </w:pPr>
            <w:r>
              <w:rPr>
                <w:rFonts w:ascii="Cambria" w:hAnsi="Cambria" w:cs="Cambria" w:eastAsia="Cambria"/>
                <w:color w:val="1A1A1A"/>
                <w:sz w:val="18"/>
              </w:rPr>
              <w:t xml:space="preserve">Attivazione scaglionata delle sedi per trimestri; rilevazioni di base e di intervento; monitoraggio continuo.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intermedia</w:t>
            </w:r>
          </w:p>
        </w:tc>
        <w:tc>
          <w:tcPr>
            <w:shd w:val="clear" w:color="auto" w:fill="F4F1EC"/>
          </w:tcPr>
          <w:p>
            <w:pPr>
              <w:pStyle w:val="Compact"/>
              <w:spacing w:after="40" w:before="40"/>
              <w:jc w:val="left"/>
            </w:pPr>
            <w:r>
              <w:rPr>
                <w:rFonts w:ascii="Cambria" w:hAnsi="Cambria" w:cs="Cambria" w:eastAsia="Cambria"/>
                <w:color w:val="1A1A1A"/>
                <w:sz w:val="18"/>
              </w:rPr>
              <w:t xml:space="preserve">12–13</w:t>
            </w:r>
          </w:p>
        </w:tc>
        <w:tc>
          <w:tcPr>
            <w:shd w:val="clear" w:color="auto" w:fill="F4F1EC"/>
          </w:tcPr>
          <w:p>
            <w:pPr>
              <w:pStyle w:val="Compact"/>
              <w:spacing w:after="40" w:before="40"/>
              <w:jc w:val="left"/>
            </w:pPr>
            <w:r>
              <w:rPr>
                <w:rFonts w:ascii="Cambria" w:hAnsi="Cambria" w:cs="Cambria" w:eastAsia="Cambria"/>
                <w:color w:val="1A1A1A"/>
                <w:sz w:val="18"/>
              </w:rPr>
              <w:t xml:space="preserve">Valutazione intermedia per la calibrazione del modello e l’eventuale correzione.</w:t>
            </w:r>
          </w:p>
        </w:tc>
      </w:tr>
      <w:tr>
        <w:tc>
          <w:tcPr/>
          <w:p>
            <w:pPr>
              <w:pStyle w:val="Compact"/>
              <w:spacing w:after="40" w:before="40"/>
              <w:jc w:val="left"/>
            </w:pPr>
            <w:r>
              <w:rPr>
                <w:rFonts w:ascii="Cambria" w:hAnsi="Cambria" w:cs="Cambria" w:eastAsia="Cambria"/>
                <w:b/>
                <w:bCs/>
                <w:color w:val="1A1A1A"/>
                <w:sz w:val="18"/>
              </w:rPr>
              <w:t xml:space="preserve">Analisi finale e report</w:t>
            </w:r>
          </w:p>
        </w:tc>
        <w:tc>
          <w:tcPr/>
          <w:p>
            <w:pPr>
              <w:pStyle w:val="Compact"/>
              <w:spacing w:after="40" w:before="40"/>
              <w:jc w:val="left"/>
            </w:pPr>
            <w:r>
              <w:rPr>
                <w:rFonts w:ascii="Cambria" w:hAnsi="Cambria" w:cs="Cambria" w:eastAsia="Cambria"/>
                <w:color w:val="1A1A1A"/>
                <w:sz w:val="18"/>
              </w:rPr>
              <w:t xml:space="preserve">22–24</w:t>
            </w:r>
          </w:p>
        </w:tc>
        <w:tc>
          <w:tcPr/>
          <w:p>
            <w:pPr>
              <w:pStyle w:val="Compact"/>
              <w:spacing w:after="40" w:before="40"/>
              <w:jc w:val="left"/>
            </w:pPr>
            <w:r>
              <w:rPr>
                <w:rFonts w:ascii="Cambria" w:hAnsi="Cambria" w:cs="Cambria" w:eastAsia="Cambria"/>
                <w:color w:val="1A1A1A"/>
                <w:sz w:val="18"/>
              </w:rPr>
              <w:t xml:space="preserve">Valutazione controfattuale d’impatto, rapporto finale e disseminazione.</w:t>
            </w:r>
          </w:p>
        </w:tc>
      </w:tr>
    </w:tbl>
    <w:p>
      <w:pPr>
        <w:pStyle w:val="BodyText"/>
      </w:pPr>
      <w:r>
        <w:rPr>
          <w:i/>
          <w:iCs/>
        </w:rPr>
        <w:t xml:space="preserve">Tabella 2. Cronoprogramma indicativo della sperimentazione (mesi). Le fasi si sovrappongono in coerenza con il disegno stepped-wedge.</w:t>
      </w:r>
    </w:p>
    <w:bookmarkEnd w:id="4162"/>
    <w:bookmarkStart w:id="139" w:name="il-budget-indicativo"/>
    <w:p>
      <w:pPr>
        <w:pStyle w:val="Heading2"/>
      </w:pPr>
      <w:r>
        <w:t xml:space="preserve">8. Il budget indicativo</w:t>
      </w:r>
    </w:p>
    <w:p>
      <w:pPr>
        <w:pStyle w:val="FirstParagraph"/>
      </w:pPr>
      <w:r>
        <w:t xml:space="preserve">Il budget indicativo della sperimentazione, riferito al biennio e di carattere prudenziale, è riassunto nella tabella seguente. A differenza del servizio a regime, il pilota comprende un onere specifico per l’infrastruttura dati e per la valutazione, che ne costituisce parte essenziale. Anche nel pilota, peraltro, una parte degli oneri è compensata dai risparmi che il servizio inizia a generare.</w:t>
      </w:r>
      <w:r>
        <w:rPr>
          <w:rStyle w:val="FootnoteReference"/>
        </w:rPr>
        <w:footnoteReference w:id="1243"/>
      </w:r>
    </w:p>
    <w:tbl>
      <w:tblPr>
        <w:tblStyle w:val="Table"/>
        <w:tblW w:type="pct" w:w="488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420"/>
        <w:gridCol w:w="331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Voce di costo (biennio)</w:t>
            </w:r>
          </w:p>
        </w:tc>
        <w:tc>
          <w:tcPr>
            <w:shd w:val="clear" w:color="auto" w:fill="16264B"/>
          </w:tcPr>
          <w:p>
            <w:pPr>
              <w:pStyle w:val="Compact"/>
              <w:spacing w:after="40" w:before="40"/>
              <w:jc w:val="left"/>
            </w:pPr>
            <w:r>
              <w:rPr>
                <w:rFonts w:ascii="Cambria" w:hAnsi="Cambria" w:cs="Cambria" w:eastAsia="Cambria"/>
                <w:b/>
                <w:bCs/>
                <w:color w:val="FFFFFF"/>
                <w:sz w:val="18"/>
              </w:rPr>
              <w:t xml:space="preserve">Importo indicativo</w:t>
            </w:r>
          </w:p>
        </w:tc>
      </w:tr>
      <w:tr>
        <w:tc>
          <w:tcPr/>
          <w:p>
            <w:pPr>
              <w:pStyle w:val="Compact"/>
              <w:spacing w:after="40" w:before="40"/>
              <w:jc w:val="left"/>
            </w:pPr>
            <w:r>
              <w:rPr>
                <w:rFonts w:ascii="Cambria" w:hAnsi="Cambria" w:cs="Cambria" w:eastAsia="Cambria"/>
                <w:color w:val="1A1A1A"/>
                <w:sz w:val="18"/>
              </w:rPr>
              <w:t xml:space="preserve">Personale psicologico (sedi pilota)</w:t>
            </w:r>
          </w:p>
        </w:tc>
        <w:tc>
          <w:tcPr/>
          <w:p>
            <w:pPr>
              <w:pStyle w:val="Compact"/>
              <w:spacing w:after="40" w:before="40"/>
              <w:jc w:val="left"/>
            </w:pPr>
            <w:r>
              <w:rPr>
                <w:rFonts w:ascii="Cambria" w:hAnsi="Cambria" w:cs="Cambria" w:eastAsia="Cambria"/>
                <w:color w:val="1A1A1A"/>
                <w:sz w:val="18"/>
              </w:rPr>
              <w:t xml:space="preserve">~ 2,0–2,6 mln €</w:t>
            </w:r>
          </w:p>
        </w:tc>
      </w:tr>
      <w:tr>
        <w:tc>
          <w:tcPr>
            <w:shd w:val="clear" w:color="auto" w:fill="F4F1EC"/>
          </w:tcPr>
          <w:p>
            <w:pPr>
              <w:pStyle w:val="Compact"/>
              <w:spacing w:after="40" w:before="40"/>
              <w:jc w:val="left"/>
            </w:pPr>
            <w:r>
              <w:rPr>
                <w:rFonts w:ascii="Cambria" w:hAnsi="Cambria" w:cs="Cambria" w:eastAsia="Cambria"/>
                <w:color w:val="1A1A1A"/>
                <w:sz w:val="18"/>
              </w:rPr>
              <w:t xml:space="preserve">Coordinamento e governance</w:t>
            </w:r>
          </w:p>
        </w:tc>
        <w:tc>
          <w:tcPr>
            <w:shd w:val="clear" w:color="auto" w:fill="F4F1EC"/>
          </w:tcPr>
          <w:p>
            <w:pPr>
              <w:pStyle w:val="Compact"/>
              <w:spacing w:after="40" w:before="40"/>
              <w:jc w:val="left"/>
            </w:pPr>
            <w:r>
              <w:rPr>
                <w:rFonts w:ascii="Cambria" w:hAnsi="Cambria" w:cs="Cambria" w:eastAsia="Cambria"/>
                <w:color w:val="1A1A1A"/>
                <w:sz w:val="18"/>
              </w:rPr>
              <w:t xml:space="preserve">~ 0,2–0,4 mln €</w:t>
            </w:r>
          </w:p>
        </w:tc>
      </w:tr>
      <w:tr>
        <w:tc>
          <w:tcPr/>
          <w:p>
            <w:pPr>
              <w:pStyle w:val="Compact"/>
              <w:spacing w:after="40" w:before="40"/>
              <w:jc w:val="left"/>
            </w:pPr>
            <w:r>
              <w:rPr>
                <w:rFonts w:ascii="Cambria" w:hAnsi="Cambria" w:cs="Cambria" w:eastAsia="Cambria"/>
                <w:color w:val="1A1A1A"/>
                <w:sz w:val="18"/>
              </w:rPr>
              <w:t xml:space="preserve">Formazione (avvio)</w:t>
            </w:r>
          </w:p>
        </w:tc>
        <w:tc>
          <w:tcPr/>
          <w:p>
            <w:pPr>
              <w:pStyle w:val="Compact"/>
              <w:spacing w:after="40" w:before="40"/>
              <w:jc w:val="left"/>
            </w:pPr>
            <w:r>
              <w:rPr>
                <w:rFonts w:ascii="Cambria" w:hAnsi="Cambria" w:cs="Cambria" w:eastAsia="Cambria"/>
                <w:color w:val="1A1A1A"/>
                <w:sz w:val="18"/>
              </w:rPr>
              <w:t xml:space="preserve">~ 0,1–0,2 mln €</w:t>
            </w:r>
          </w:p>
        </w:tc>
      </w:tr>
      <w:tr>
        <w:tc>
          <w:tcPr>
            <w:shd w:val="clear" w:color="auto" w:fill="F4F1EC"/>
          </w:tcPr>
          <w:p>
            <w:pPr>
              <w:pStyle w:val="Compact"/>
              <w:spacing w:after="40" w:before="40"/>
              <w:jc w:val="left"/>
            </w:pPr>
            <w:r>
              <w:rPr>
                <w:rFonts w:ascii="Cambria" w:hAnsi="Cambria" w:cs="Cambria" w:eastAsia="Cambria"/>
                <w:color w:val="1A1A1A"/>
                <w:sz w:val="18"/>
              </w:rPr>
              <w:t xml:space="preserve">Infrastruttura dati e valutazione</w:t>
            </w:r>
          </w:p>
        </w:tc>
        <w:tc>
          <w:tcPr>
            <w:shd w:val="clear" w:color="auto" w:fill="F4F1EC"/>
          </w:tcPr>
          <w:p>
            <w:pPr>
              <w:pStyle w:val="Compact"/>
              <w:spacing w:after="40" w:before="40"/>
              <w:jc w:val="left"/>
            </w:pPr>
            <w:r>
              <w:rPr>
                <w:rFonts w:ascii="Cambria" w:hAnsi="Cambria" w:cs="Cambria" w:eastAsia="Cambria"/>
                <w:color w:val="1A1A1A"/>
                <w:sz w:val="18"/>
              </w:rPr>
              <w:t xml:space="preserve">~ 0,2–0,4 mln €</w:t>
            </w:r>
          </w:p>
        </w:tc>
      </w:tr>
      <w:tr>
        <w:tc>
          <w:tcPr/>
          <w:p>
            <w:pPr>
              <w:pStyle w:val="Compact"/>
              <w:spacing w:after="40" w:before="40"/>
              <w:jc w:val="left"/>
            </w:pPr>
            <w:r>
              <w:rPr>
                <w:rFonts w:ascii="Cambria" w:hAnsi="Cambria" w:cs="Cambria" w:eastAsia="Cambria"/>
                <w:color w:val="1A1A1A"/>
                <w:sz w:val="18"/>
              </w:rPr>
              <w:t xml:space="preserve">Strumenti digitali e Intelligenza Artificiale</w:t>
            </w:r>
          </w:p>
        </w:tc>
        <w:tc>
          <w:tcPr/>
          <w:p>
            <w:pPr>
              <w:pStyle w:val="Compact"/>
              <w:spacing w:after="40" w:before="40"/>
              <w:jc w:val="left"/>
            </w:pPr>
            <w:r>
              <w:rPr>
                <w:rFonts w:ascii="Cambria" w:hAnsi="Cambria" w:cs="Cambria" w:eastAsia="Cambria"/>
                <w:color w:val="1A1A1A"/>
                <w:sz w:val="18"/>
              </w:rPr>
              <w:t xml:space="preserve">~ 0,1–0,2 mln €</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Totale indicativo (biennio)</w:t>
            </w:r>
          </w:p>
        </w:tc>
        <w:tc>
          <w:tcPr>
            <w:shd w:val="clear" w:color="auto" w:fill="F4F1EC"/>
          </w:tcPr>
          <w:p>
            <w:pPr>
              <w:pStyle w:val="Compact"/>
              <w:spacing w:after="40" w:before="40"/>
              <w:jc w:val="left"/>
            </w:pPr>
            <w:r>
              <w:rPr>
                <w:rFonts w:ascii="Cambria" w:hAnsi="Cambria" w:cs="Cambria" w:eastAsia="Cambria"/>
                <w:b/>
                <w:bCs/>
                <w:color w:val="1A1A1A"/>
                <w:sz w:val="18"/>
              </w:rPr>
              <w:t xml:space="preserve">~ 2,6–3,8 mln €</w:t>
            </w:r>
          </w:p>
        </w:tc>
      </w:tr>
    </w:tbl>
    <w:p>
      <w:pPr>
        <w:pStyle w:val="BodyText"/>
      </w:pPr>
      <w:r>
        <w:rPr>
          <w:i/>
          <w:iCs/>
        </w:rPr>
        <w:t xml:space="preserve">Tabella 3. Budget indicativo della sperimentazione (biennio). Valori prudenziali, da definire in funzione del numero di sedi e di psicologi e delle convenzioni applicabili.</w:t>
      </w:r>
    </w:p>
    <w:bookmarkEnd w:id="139"/>
    <w:bookmarkStart w:id="142" w:name="Xe58682af961d16740c73718ff6862123afcdfe8"/>
    <w:p>
      <w:pPr>
        <w:pStyle w:val="Heading2"/>
      </w:pPr>
      <w:r>
        <w:t xml:space="preserve">9. I prodotti attesi e il raccordo con la scala</w:t>
      </w:r>
    </w:p>
    <w:p>
      <w:pPr>
        <w:pStyle w:val="FirstParagraph"/>
      </w:pPr>
      <w:r>
        <w:t xml:space="preserve">La sperimentazione produce un rapporto intermedio, a fini di calibrazione, e un rapporto finale che documenta gli esiti clinici, economici e di equità e la stima dell’effetto causale del servizio; è prevista, inoltre, la disseminazione dei risultati anche mediante pubblicazione scientifica, a garanzia di accreditamento e di trasparenza. Tali prodotti trasformano le proiezioni del dossier in prove empiriche.</w:t>
      </w:r>
      <w:r>
        <w:rPr>
          <w:rStyle w:val="FootnoteReference"/>
        </w:rPr>
        <w:footnoteReference w:id="1244"/>
      </w:r>
    </w:p>
    <w:p>
      <w:pPr>
        <w:pStyle w:val="BodyText"/>
      </w:pPr>
      <w:r>
        <w:t xml:space="preserve">Il raccordo con la scala è il fine ultimo della sperimentazione. Gli esiti consentono di calibrare il modello organizzativo e formativo, di affinare la stima dei benefici e di rafforzare, con prove sul campo, sia un’eventuale estensione regionale sia la proposta di legge nazionale, della quale la sperimentazione costituisce il fondamento empirico.</w:t>
      </w:r>
      <w:r>
        <w:rPr>
          <w:rStyle w:val="FootnoteReference"/>
        </w:rPr>
        <w:footnoteReference w:id="1245"/>
      </w:r>
      <w:r>
        <w:t xml:space="preserve"> </w:t>
      </w:r>
      <w:r>
        <w:t xml:space="preserve">Con questo, il quadro dei materiali a sostegno della riforma — analitico, normativo, operativo, valutativo e di consenso — è completo: alla proposta si accompagnano la prova della sua sostenibilità e lo strumento per dimostrarne, nel tempo, gli effetti reali.</w:t>
      </w:r>
    </w:p>
    <w:bookmarkEnd w:id="142"/>
    <w:bookmarkStart w:id="4163" w:name="gli-atti-per-la-consultazione"/>
    <w:p>
      <w:pPr>
        <w:pStyle w:val="Heading2"/>
      </w:pPr>
      <w:r>
        <w:t xml:space="preserve">Gli atti per la consultazione</w:t>
      </w:r>
    </w:p>
    <w:p>
      <w:pPr>
        <w:pStyle w:val="FirstParagraph"/>
      </w:pPr>
      <w:r>
        <w:t xml:space="preserve">Psicologo di Base · Atti per la consultazione dei portatori di interesse</w:t>
      </w:r>
    </w:p>
    <w:p>
      <w:pPr>
        <w:pStyle w:val="BodyText"/>
      </w:pPr>
      <w:r>
        <w:rPr>
          <w:b/>
          <w:bCs/>
        </w:rPr>
        <w:t xml:space="preserve">PROGETTO «PSICOLOGO DI BASE»</w:t>
      </w:r>
    </w:p>
    <w:p>
      <w:pPr>
        <w:pStyle w:val="BodyText"/>
      </w:pPr>
      <w:r>
        <w:t xml:space="preserve">Percorso di consenso e consultazione — Famiglia A, punto 2</w:t>
      </w:r>
    </w:p>
    <w:p>
      <w:pPr>
        <w:pStyle w:val="BodyText"/>
      </w:pPr>
      <w:r>
        <w:rPr>
          <w:b/>
          <w:bCs/>
        </w:rPr>
        <w:t xml:space="preserve">Atti per la consultazione</w:t>
      </w:r>
    </w:p>
    <w:p>
      <w:pPr>
        <w:pStyle w:val="BodyText"/>
      </w:pPr>
      <w:r>
        <w:rPr>
          <w:b/>
          <w:bCs/>
        </w:rPr>
        <w:t xml:space="preserve">dei portatori di interesse</w:t>
      </w:r>
    </w:p>
    <w:p>
      <w:pPr>
        <w:pStyle w:val="BodyText"/>
      </w:pPr>
      <w:r>
        <w:rPr>
          <w:i/>
          <w:iCs/>
        </w:rPr>
        <w:t xml:space="preserve">Ordini professionali, associazioni di pazienti e familiari, aziende sanitarie e Centri di Salute Mentale</w:t>
      </w:r>
    </w:p>
    <w:p>
      <w:pPr>
        <w:pStyle w:val="BodyText"/>
      </w:pPr>
      <w:r>
        <w:t xml:space="preserve">Quadro della consultazione, quesiti e modello di lettera di invito</w:t>
      </w:r>
    </w:p>
    <w:p>
      <w:pPr>
        <w:pStyle w:val="BodyText"/>
      </w:pPr>
      <w:r>
        <w:rPr>
          <w:b/>
          <w:bCs/>
        </w:rPr>
        <w:t xml:space="preserve">Indice</w:t>
      </w:r>
    </w:p>
    <w:bookmarkEnd w:id="4163"/>
    <w:bookmarkStart w:id="4164" w:name="premessa"/>
    <w:p>
      <w:pPr>
        <w:pStyle w:val="Heading2"/>
      </w:pPr>
      <w:r>
        <w:t xml:space="preserve">Premessa</w:t>
      </w:r>
    </w:p>
    <w:p>
      <w:pPr>
        <w:pStyle w:val="FirstParagraph"/>
      </w:pPr>
      <w:r>
        <w:t xml:space="preserve">La consultazione dei destinatari e dei portatori di interesse è parte integrante dell’istruttoria di una riforma e serve ad acquisire elementi conoscitivi, a migliorare il disegno dell’intervento e ad accrescerne la trasparenza e la legittimazione.</w:t>
      </w:r>
      <w:r>
        <w:rPr>
          <w:rStyle w:val="FootnoteReference"/>
        </w:rPr>
        <w:footnoteReference w:id="1246"/>
      </w:r>
      <w:r>
        <w:t xml:space="preserve"> </w:t>
      </w:r>
      <w:r>
        <w:t xml:space="preserve">L’Analisi di Impatto della Regolamentazione già predisposta nel dossier ne ha previsto lo svolgimento e ne ha individuato i soggetti.</w:t>
      </w:r>
      <w:r>
        <w:rPr>
          <w:rStyle w:val="FootnoteReference"/>
        </w:rPr>
        <w:footnoteReference w:id="1247"/>
      </w:r>
      <w:r>
        <w:t xml:space="preserve"> </w:t>
      </w:r>
      <w:r>
        <w:t xml:space="preserve">Il presente documento fornisce gli strumenti per condurla: l’indicazione dei soggetti da consultare, le modalità e i tempi, i quesiti generali e quelli specifici per ciascuna categoria, e un modello di lettera di invito adattabile.</w:t>
      </w:r>
    </w:p>
    <w:p>
      <w:pPr>
        <w:pStyle w:val="BodyText"/>
      </w:pPr>
      <w:r>
        <w:t xml:space="preserve">La consultazione si colloca a servizio di una proposta a scala nazionale, ma muove dai soggetti del territorio. I primi interlocutori sono pertanto gli organismi pugliesi — l’Ordine degli Psicologi della Puglia, l’Ordine dei Medici, le aziende sanitarie locali, i Centri di Salute Mentale, le associazioni dei pazienti e dei familiari — presso i quali il modello è stato sviluppato; la stessa consultazione è replicabile presso gli omologhi organismi nazionali, e i suoi esiti rafforzano tanto un’eventuale iniziativa regionale quanto la proposta di legge nazionale.</w:t>
      </w:r>
      <w:r>
        <w:rPr>
          <w:rStyle w:val="FootnoteReference"/>
        </w:rPr>
        <w:footnoteReference w:id="1248"/>
      </w:r>
    </w:p>
    <w:bookmarkEnd w:id="4164"/>
    <w:bookmarkStart w:id="148" w:name="i-soggetti-da-consultare"/>
    <w:p>
      <w:pPr>
        <w:pStyle w:val="Heading2"/>
      </w:pPr>
      <w:r>
        <w:t xml:space="preserve">1. I soggetti da consultare</w:t>
      </w:r>
    </w:p>
    <w:p>
      <w:pPr>
        <w:pStyle w:val="FirstParagraph"/>
      </w:pPr>
      <w:r>
        <w:t xml:space="preserve">Sono consultati i soggetti i cui interessi e competenze sono coinvolti dalla riforma. La tabella seguente li elenca, indicando per ciascuno il contributo atteso.</w:t>
      </w:r>
    </w:p>
    <w:tbl>
      <w:tblPr>
        <w:tblStyle w:val="Table"/>
        <w:tblW w:type="pct" w:w="496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155"/>
        <w:gridCol w:w="470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Contributo atteso</w:t>
            </w:r>
          </w:p>
        </w:tc>
      </w:tr>
      <w:tr>
        <w:tc>
          <w:tcPr/>
          <w:p>
            <w:pPr>
              <w:pStyle w:val="Compact"/>
              <w:spacing w:after="40" w:before="40"/>
              <w:jc w:val="left"/>
            </w:pPr>
            <w:r>
              <w:rPr>
                <w:rFonts w:ascii="Cambria" w:hAnsi="Cambria" w:cs="Cambria" w:eastAsia="Cambria"/>
                <w:b/>
                <w:bCs/>
                <w:color w:val="1A1A1A"/>
                <w:sz w:val="18"/>
              </w:rPr>
              <w:t xml:space="preserve">Ordine degli Psicologi</w:t>
            </w:r>
          </w:p>
        </w:tc>
        <w:tc>
          <w:tcPr/>
          <w:p>
            <w:pPr>
              <w:pStyle w:val="Compact"/>
              <w:spacing w:after="40" w:before="40"/>
              <w:jc w:val="left"/>
            </w:pPr>
            <w:r>
              <w:rPr>
                <w:rFonts w:ascii="Cambria" w:hAnsi="Cambria" w:cs="Cambria" w:eastAsia="Cambria"/>
                <w:color w:val="1A1A1A"/>
                <w:sz w:val="18"/>
              </w:rPr>
              <w:t xml:space="preserve">Requisiti professionali, formazione specifica, modalità di accesso e convenzione, deontologia, telepsicologia, rapporto con la psicoterapia.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Ordine dei Medici (e organizzazioni della medicina generale e della pediatria di libera scelta)</w:t>
            </w:r>
          </w:p>
        </w:tc>
        <w:tc>
          <w:tcPr>
            <w:shd w:val="clear" w:color="auto" w:fill="F4F1EC"/>
          </w:tcPr>
          <w:p>
            <w:pPr>
              <w:pStyle w:val="Compact"/>
              <w:spacing w:after="40" w:before="40"/>
              <w:jc w:val="left"/>
            </w:pPr>
            <w:r>
              <w:rPr>
                <w:rFonts w:ascii="Cambria" w:hAnsi="Cambria" w:cs="Cambria" w:eastAsia="Cambria"/>
                <w:color w:val="1A1A1A"/>
                <w:sz w:val="18"/>
              </w:rPr>
              <w:t xml:space="preserve">Integrazione con la medicina generale e la pediatria, percorsi di invio, carico di lavoro, collaborazione interprofessionale.</w:t>
            </w:r>
          </w:p>
        </w:tc>
      </w:tr>
      <w:tr>
        <w:tc>
          <w:tcPr/>
          <w:p>
            <w:pPr>
              <w:pStyle w:val="Compact"/>
              <w:spacing w:after="40" w:before="40"/>
              <w:jc w:val="left"/>
            </w:pPr>
            <w:r>
              <w:rPr>
                <w:rFonts w:ascii="Cambria" w:hAnsi="Cambria" w:cs="Cambria" w:eastAsia="Cambria"/>
                <w:b/>
                <w:bCs/>
                <w:color w:val="1A1A1A"/>
                <w:sz w:val="18"/>
              </w:rPr>
              <w:t xml:space="preserve">Associazioni dei pazienti</w:t>
            </w:r>
          </w:p>
        </w:tc>
        <w:tc>
          <w:tcPr/>
          <w:p>
            <w:pPr>
              <w:pStyle w:val="Compact"/>
              <w:spacing w:after="40" w:before="40"/>
              <w:jc w:val="left"/>
            </w:pPr>
            <w:r>
              <w:rPr>
                <w:rFonts w:ascii="Cambria" w:hAnsi="Cambria" w:cs="Cambria" w:eastAsia="Cambria"/>
                <w:color w:val="1A1A1A"/>
                <w:sz w:val="18"/>
              </w:rPr>
              <w:t xml:space="preserve">Accessibilità, esperienza di cura, gratuità ed equità, contrasto allo stigma, bisogni delle persone con disagio comune.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Associazioni dei familiari</w:t>
            </w:r>
          </w:p>
        </w:tc>
        <w:tc>
          <w:tcPr>
            <w:shd w:val="clear" w:color="auto" w:fill="F4F1EC"/>
          </w:tcPr>
          <w:p>
            <w:pPr>
              <w:pStyle w:val="Compact"/>
              <w:spacing w:after="40" w:before="40"/>
              <w:jc w:val="left"/>
            </w:pPr>
            <w:r>
              <w:rPr>
                <w:rFonts w:ascii="Cambria" w:hAnsi="Cambria" w:cs="Cambria" w:eastAsia="Cambria"/>
                <w:color w:val="1A1A1A"/>
                <w:sz w:val="18"/>
              </w:rPr>
              <w:t xml:space="preserve">Supporto ai familiari e ai caregiver, continuità della presa in carico, informazione e orientamento.</w:t>
            </w:r>
          </w:p>
        </w:tc>
      </w:tr>
      <w:tr>
        <w:tc>
          <w:tcPr/>
          <w:p>
            <w:pPr>
              <w:pStyle w:val="Compact"/>
              <w:spacing w:after="40" w:before="40"/>
              <w:jc w:val="left"/>
            </w:pPr>
            <w:r>
              <w:rPr>
                <w:rFonts w:ascii="Cambria" w:hAnsi="Cambria" w:cs="Cambria" w:eastAsia="Cambria"/>
                <w:b/>
                <w:bCs/>
                <w:color w:val="1A1A1A"/>
                <w:sz w:val="18"/>
              </w:rPr>
              <w:t xml:space="preserve">Aziende sanitarie locali (ASL)</w:t>
            </w:r>
          </w:p>
        </w:tc>
        <w:tc>
          <w:tcPr/>
          <w:p>
            <w:pPr>
              <w:pStyle w:val="Compact"/>
              <w:spacing w:after="40" w:before="40"/>
              <w:jc w:val="left"/>
            </w:pPr>
            <w:r>
              <w:rPr>
                <w:rFonts w:ascii="Cambria" w:hAnsi="Cambria" w:cs="Cambria" w:eastAsia="Cambria"/>
                <w:color w:val="1A1A1A"/>
                <w:sz w:val="18"/>
              </w:rPr>
              <w:t xml:space="preserve">Organizzazione, sedi (Case della Comunità e distretti), sistemi informativi, dispiegamento, sostenibilità operativa.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Centri di Salute Mentale (CSM)</w:t>
            </w:r>
          </w:p>
        </w:tc>
        <w:tc>
          <w:tcPr>
            <w:shd w:val="clear" w:color="auto" w:fill="F4F1EC"/>
          </w:tcPr>
          <w:p>
            <w:pPr>
              <w:pStyle w:val="Compact"/>
              <w:spacing w:after="40" w:before="40"/>
              <w:jc w:val="left"/>
            </w:pPr>
            <w:r>
              <w:rPr>
                <w:rFonts w:ascii="Cambria" w:hAnsi="Cambria" w:cs="Cambria" w:eastAsia="Cambria"/>
                <w:color w:val="1A1A1A"/>
                <w:sz w:val="18"/>
              </w:rPr>
              <w:t xml:space="preserve">Raccordo con la specialistica, criteri e percorsi di invio, continuità tra primo livello e servizi specialistici, non sovrapposizione delle funzioni.</w:t>
            </w:r>
          </w:p>
        </w:tc>
      </w:tr>
    </w:tbl>
    <w:p>
      <w:pPr>
        <w:pStyle w:val="BodyText"/>
      </w:pPr>
      <w:r>
        <w:rPr>
          <w:i/>
          <w:iCs/>
        </w:rPr>
        <w:t xml:space="preserve">Tabella 1. Soggetti da consultare e contributo atteso. Per la fase territoriale si fa riferimento agli organismi pugliesi; la consultazione è replicabile a livello nazionale.</w:t>
      </w:r>
    </w:p>
    <w:bookmarkEnd w:id="148"/>
    <w:bookmarkStart w:id="4165" w:name="le-modalità-e-i-tempi"/>
    <w:p>
      <w:pPr>
        <w:pStyle w:val="Heading2"/>
      </w:pPr>
      <w:r>
        <w:t xml:space="preserve">2. Le modalità e i tempi</w:t>
      </w:r>
    </w:p>
    <w:p>
      <w:pPr>
        <w:pStyle w:val="FirstParagraph"/>
      </w:pPr>
      <w:r>
        <w:t xml:space="preserve">La consultazione si svolge in forma sia scritta sia orale. La forma scritta consiste nell’invio, a ciascun soggetto, del presente documento, del documento di sintesi della proposta e del dossier su richiesta, con l’invito a far pervenire osservazioni e risposte ai quesiti entro un termine congruo.</w:t>
      </w:r>
      <w:r>
        <w:rPr>
          <w:rStyle w:val="FootnoteReference"/>
        </w:rPr>
        <w:footnoteReference w:id="1249"/>
      </w:r>
      <w:r>
        <w:t xml:space="preserve"> </w:t>
      </w:r>
      <w:r>
        <w:t xml:space="preserve">La forma orale consiste in incontri o audizioni, individuali o congiunti, nei quali approfondire i temi e raccogliere il contributo diretto dei soggetti. Si suggerisce un termine dell’ordine di trenta giorni per le osservazioni scritte e la convocazione degli incontri nel medesimo periodo.</w:t>
      </w:r>
    </w:p>
    <w:p>
      <w:pPr>
        <w:pStyle w:val="BodyText"/>
      </w:pPr>
      <w:r>
        <w:t xml:space="preserve">La consultazione è condotta secondo principi di trasparenza e di parità di trattamento: a tutti i soggetti sono trasmessi gli stessi materiali e gli stessi quesiti generali, integrati dai quesiti specifici per categoria; gli esiti sono raccolti, sintetizzati e resi disponibili, e di essi si dà conto nella documentazione della riforma. I contributi raccolti non vincolano, ma orientano l’affinamento del modello organizzativo, del programma formativo, dell’impiego dell’Intelligenza Artificiale e del disegno del dispiegamento.</w:t>
      </w:r>
    </w:p>
    <w:bookmarkEnd w:id="4165"/>
    <w:bookmarkStart w:id="151" w:name="i-quesiti-generali"/>
    <w:p>
      <w:pPr>
        <w:pStyle w:val="Heading2"/>
      </w:pPr>
      <w:r>
        <w:t xml:space="preserve">3. I quesiti generali</w:t>
      </w:r>
    </w:p>
    <w:p>
      <w:pPr>
        <w:pStyle w:val="FirstParagraph"/>
      </w:pPr>
      <w:r>
        <w:t xml:space="preserve">I quesiti seguenti sono rivolti a tutti i soggetti consultati e riguardano la rappresentazione del problema, la soluzione proposta, gli effetti attesi, la fattibilità e i suggerimenti di miglioramento.</w:t>
      </w:r>
    </w:p>
    <w:p>
      <w:pPr>
        <w:numPr>
          <w:ilvl w:val="0"/>
          <w:numId w:val="1031"/>
        </w:numPr>
      </w:pPr>
      <w:r>
        <w:t xml:space="preserve">Condividete la rappresentazione del problema, ossia l’esistenza di un ampio bisogno di assistenza psicologica per il disagio comune che oggi non trova risposta adeguata nelle cure primarie, con le conseguenze descritte in termini di ricorso improprio agli altri servizi, di cronicizzazione e di disuguaglianze di accesso?</w:t>
      </w:r>
    </w:p>
    <w:p>
      <w:pPr>
        <w:numPr>
          <w:ilvl w:val="0"/>
          <w:numId w:val="1031"/>
        </w:numPr>
      </w:pPr>
      <w:r>
        <w:t xml:space="preserve">Ritenete appropriata ed efficace la soluzione proposta, ossia l’inserimento stabile dello psicologo nelle cure primarie quale primo livello di intercettazione, intervento e filtro, in collaborazione con la medicina generale e i servizi specialistici?</w:t>
      </w:r>
    </w:p>
    <w:p>
      <w:pPr>
        <w:numPr>
          <w:ilvl w:val="0"/>
          <w:numId w:val="1031"/>
        </w:numPr>
      </w:pPr>
      <w:r>
        <w:t xml:space="preserve">Quali effetti, positivi o negativi, prevedete per le persone, i professionisti e le organizzazioni che rappresentate o di cui vi occupate?</w:t>
      </w:r>
    </w:p>
    <w:p>
      <w:pPr>
        <w:numPr>
          <w:ilvl w:val="0"/>
          <w:numId w:val="1031"/>
        </w:numPr>
      </w:pPr>
      <w:r>
        <w:t xml:space="preserve">Quali condizioni ritenete indispensabili per la fattibilità della riforma, e quali rischi attuativi segnalate, con le relative misure di mitigazione?</w:t>
      </w:r>
    </w:p>
    <w:p>
      <w:pPr>
        <w:numPr>
          <w:ilvl w:val="0"/>
          <w:numId w:val="1031"/>
        </w:numPr>
      </w:pPr>
      <w:r>
        <w:t xml:space="preserve">Quali integrazioni o modifiche suggerite al modello organizzativo, al programma formativo, all’impiego dell’Intelligenza Artificiale e della telepsicologia, e al disegno del dispiegamento?</w:t>
      </w:r>
    </w:p>
    <w:bookmarkEnd w:id="151"/>
    <w:bookmarkStart w:id="158" w:name="i-quesiti-specifici-per-categoria"/>
    <w:p>
      <w:pPr>
        <w:pStyle w:val="Heading2"/>
      </w:pPr>
      <w:r>
        <w:t xml:space="preserve">4. I quesiti specifici per categoria</w:t>
      </w:r>
    </w:p>
    <w:p>
      <w:pPr>
        <w:pStyle w:val="FirstParagraph"/>
      </w:pPr>
      <w:r>
        <w:t xml:space="preserve">Ai quesiti generali si aggiungono, per ciascuna categoria, i quesiti specifici seguenti, calibrati sulle competenze e sugli interessi propri di ciascun soggetto.</w:t>
      </w:r>
    </w:p>
    <w:bookmarkStart w:id="152" w:name="ordine-degli-psicologi"/>
    <w:p>
      <w:pPr>
        <w:pStyle w:val="Heading3"/>
      </w:pPr>
      <w:r>
        <w:t xml:space="preserve">4.1 Ordine degli Psicologi</w:t>
      </w:r>
    </w:p>
    <w:p>
      <w:pPr>
        <w:pStyle w:val="Compact"/>
        <w:numPr>
          <w:ilvl w:val="0"/>
          <w:numId w:val="1029"/>
        </w:numPr>
      </w:pPr>
      <w:r>
        <w:t xml:space="preserve">Quali requisiti e quale formazione specifica ritenete necessari per l’esercizio della funzione di psicologo di base? b) Quali modalità di accesso e di rapporto convenzionale considerate più appropriate? c) Quali garanzie deontologiche e quali condizioni per la telepsicologia? d) Come si raccorda la funzione con l’attività di psicoterapia, anche privata?</w:t>
      </w:r>
    </w:p>
    <w:bookmarkEnd w:id="152"/>
    <w:bookmarkStart w:id="153" w:name="Xdcd0140cc7781d245c55180ddd269b05f9bdbd0"/>
    <w:p>
      <w:pPr>
        <w:pStyle w:val="Heading3"/>
      </w:pPr>
      <w:r>
        <w:t xml:space="preserve">4.2 Ordine dei Medici, medicina generale e pediatria di libera scelta</w:t>
      </w:r>
    </w:p>
    <w:p>
      <w:pPr>
        <w:pStyle w:val="Compact"/>
        <w:numPr>
          <w:ilvl w:val="0"/>
          <w:numId w:val="1030"/>
        </w:numPr>
      </w:pPr>
      <w:r>
        <w:t xml:space="preserve">Come valutate l’integrazione della funzione psicologica con la medicina generale e la pediatria di libera scelta? b) Quali percorsi di segnalazione, invio e ritorno informativo ritenete efficaci? c) Quale impatto prevedete sul carico di lavoro e sull’appropriatezza delle prescrizioni e degli invii? d) Quali strumenti di collaborazione interprofessionale suggerite?</w:t>
      </w:r>
    </w:p>
    <w:bookmarkEnd w:id="153"/>
    <w:bookmarkStart w:id="4166" w:name="associazioni-dei-pazienti"/>
    <w:p>
      <w:pPr>
        <w:pStyle w:val="Heading3"/>
      </w:pPr>
      <w:r>
        <w:t xml:space="preserve">4.3 Associazioni dei pazienti</w:t>
      </w:r>
    </w:p>
    <w:p>
      <w:pPr>
        <w:pStyle w:val="Compact"/>
        <w:numPr>
          <w:ilvl w:val="0"/>
          <w:numId w:val="1026"/>
        </w:numPr>
      </w:pPr>
      <w:r>
        <w:t xml:space="preserve">Rispondono i contenuti del servizio ai bisogni delle persone con disagio comune? b) Quali ostacoli all’accesso prevedete e come superarli? c) Quale rilievo attribuite alla gratuità e all’equità territoriale e sociale? d) In che modo il servizio può contribuire a ridurre lo stigma associato alla richiesta di aiuto psicologico?</w:t>
      </w:r>
    </w:p>
    <w:bookmarkEnd w:id="4166"/>
    <w:bookmarkStart w:id="155" w:name="associazioni-dei-familiari"/>
    <w:p>
      <w:pPr>
        <w:pStyle w:val="Heading3"/>
      </w:pPr>
      <w:r>
        <w:t xml:space="preserve">4.4 Associazioni dei familiari</w:t>
      </w:r>
    </w:p>
    <w:p>
      <w:pPr>
        <w:pStyle w:val="Compact"/>
        <w:numPr>
          <w:ilvl w:val="0"/>
          <w:numId w:val="1027"/>
        </w:numPr>
      </w:pPr>
      <w:r>
        <w:t xml:space="preserve">In che misura il servizio risponde anche ai bisogni dei familiari e dei caregiver? b) Quali forme di supporto, informazione e orientamento ritenete prioritarie? c) Come può essere garantita la continuità della presa in carico tra il primo livello e i servizi specialistici, dal punto di vista delle famiglie?</w:t>
      </w:r>
    </w:p>
    <w:bookmarkEnd w:id="155"/>
    <w:bookmarkStart w:id="156" w:name="aziende-sanitarie-locali"/>
    <w:p>
      <w:pPr>
        <w:pStyle w:val="Heading3"/>
      </w:pPr>
      <w:r>
        <w:t xml:space="preserve">4.5 Aziende sanitarie locali</w:t>
      </w:r>
    </w:p>
    <w:p>
      <w:pPr>
        <w:pStyle w:val="Compact"/>
        <w:numPr>
          <w:ilvl w:val="0"/>
          <w:numId w:val="1028"/>
        </w:numPr>
      </w:pPr>
      <w:r>
        <w:t xml:space="preserve">Quali soluzioni organizzative e quali sedi (Case della Comunità, distretti) ritenete praticabili? b) Quali esigenze in materia di sistemi informativi e di interoperabilità segnalate? c) Come valutate il disegno del dispiegamento scaglionato e la sua sostenibilità operativa? d) Quali fabbisogni di personale e di dotazioni prevedete?</w:t>
      </w:r>
    </w:p>
    <w:bookmarkEnd w:id="156"/>
    <w:bookmarkStart w:id="157" w:name="centri-di-salute-mentale"/>
    <w:p>
      <w:pPr>
        <w:pStyle w:val="Heading3"/>
      </w:pPr>
      <w:r>
        <w:t xml:space="preserve">4.6 Centri di Salute Mentale</w:t>
      </w:r>
    </w:p>
    <w:p>
      <w:pPr>
        <w:pStyle w:val="Compact"/>
        <w:numPr>
          <w:ilvl w:val="0"/>
          <w:numId w:val="1032"/>
        </w:numPr>
      </w:pPr>
      <w:r>
        <w:t xml:space="preserve">Come deve articolarsi il raccordo tra la psicologia di base e i servizi specialistici per la salute mentale? b) Quali criteri e quali percorsi di invio reciproco ritenete appropriati? c) Come si assicura la continuità e si evita la sovrapposizione delle funzioni? d) Quale impatto prevedete sulla domanda e sui tempi di attesa dei servizi specialistici?</w:t>
      </w:r>
    </w:p>
    <w:bookmarkEnd w:id="157"/>
    <w:bookmarkEnd w:id="158"/>
    <w:bookmarkStart w:id="159" w:name="allegato-a-modello-di-lettera-di-invito"/>
    <w:p>
      <w:pPr>
        <w:pStyle w:val="Heading2"/>
      </w:pPr>
      <w:r>
        <w:t xml:space="preserve">Allegato A — Modello di lettera di invito</w:t>
      </w:r>
    </w:p>
    <w:p>
      <w:pPr>
        <w:pStyle w:val="FirstParagraph"/>
      </w:pPr>
      <w:r>
        <w:t xml:space="preserve">Il modello seguente è adattabile a ciascun soggetto: i campi tra parentesi quadre vanno completati e l’oggetto e il riferimento ai quesiti specifici vanno calibrati sulla categoria del destinatario.</w:t>
      </w:r>
    </w:p>
    <w:p>
      <w:pPr>
        <w:pStyle w:val="BodyText"/>
      </w:pPr>
      <w:r>
        <w:t xml:space="preserve">[Carta intestata o riferimenti del mittente] · [Luogo], [data]</w:t>
      </w:r>
    </w:p>
    <w:p>
      <w:pPr>
        <w:pStyle w:val="BodyText"/>
      </w:pPr>
      <w:r>
        <w:t xml:space="preserve">Spettabile** [Ente / Ordine / Associazione]**</w:t>
      </w:r>
    </w:p>
    <w:p>
      <w:pPr>
        <w:pStyle w:val="BodyText"/>
      </w:pPr>
      <w:r>
        <w:t xml:space="preserve">[indirizzo / PEC]</w:t>
      </w:r>
    </w:p>
    <w:p>
      <w:pPr>
        <w:pStyle w:val="BodyText"/>
      </w:pPr>
      <w:r>
        <w:rPr>
          <w:b/>
          <w:bCs/>
        </w:rPr>
        <w:t xml:space="preserve">Oggetto: consultazione sulla proposta di istituzione del Servizio di Psicologia di Base — richiesta di osservazioni e di disponibilità a un incontro.</w:t>
      </w:r>
    </w:p>
    <w:p>
      <w:pPr>
        <w:pStyle w:val="BodyText"/>
      </w:pPr>
      <w:r>
        <w:t xml:space="preserve">Spettabile [Ente/Associazione],</w:t>
      </w:r>
    </w:p>
    <w:p>
      <w:pPr>
        <w:pStyle w:val="BodyText"/>
      </w:pPr>
      <w:r>
        <w:t xml:space="preserve">nell’ambito dell’elaborazione di una proposta di riforma volta a istituire il Servizio di Psicologia di Base — l’inserimento dello psicologo nelle cure primarie, con il supporto dell’Intelligenza Artificiale e della formazione — desideriamo acquisire il contributo del Vostro qualificato punto di vista, in quanto soggetto direttamente interessato dalla materia.</w:t>
      </w:r>
    </w:p>
    <w:p>
      <w:pPr>
        <w:pStyle w:val="BodyText"/>
      </w:pPr>
      <w:r>
        <w:t xml:space="preserve">La proposta è corredata da un dossier tecnico che ne documenta il fondamento clinico, organizzativo ed economico: a fronte di un onere a regime contenuto, essa genera risparmi e benefici sociali di ordine largamente superiore, con particolare attenzione all’equità di accesso e alle aree più fragili. Alleghiamo un documento di sintesi e il quadro della consultazione, contenente i quesiti ai quali Vi invitiamo a rispondere; il dossier integrale è disponibile su richiesta.</w:t>
      </w:r>
    </w:p>
    <w:p>
      <w:pPr>
        <w:pStyle w:val="BodyText"/>
      </w:pPr>
      <w:r>
        <w:t xml:space="preserve">Vi saremmo grati se voleste far pervenire le Vostre osservazioni scritte entro il [termine, ad esempio 30 giorni dalla ricezione], all’indirizzo [recapito/PEC], e se voleste segnalare la Vostra disponibilità a un incontro di approfondimento, nelle modalità e nei tempi per Voi più agevoli. Ogni contributo sarà considerato con attenzione e concorrerà a migliorare il disegno della riforma.</w:t>
      </w:r>
    </w:p>
    <w:p>
      <w:pPr>
        <w:pStyle w:val="BodyText"/>
      </w:pPr>
      <w:r>
        <w:t xml:space="preserve">Ringraziando per la collaborazione, porgiamo i più cordiali saluti.</w:t>
      </w:r>
    </w:p>
    <w:p>
      <w:pPr>
        <w:pStyle w:val="BodyText"/>
      </w:pPr>
      <w:r>
        <w:rPr>
          <w:b/>
          <w:bCs/>
        </w:rPr>
        <w:t xml:space="preserve">[Nome Cognome]</w:t>
      </w:r>
    </w:p>
    <w:p>
      <w:pPr>
        <w:pStyle w:val="BodyText"/>
      </w:pPr>
      <w:r>
        <w:t xml:space="preserve">[ruolo / qualifica]</w:t>
      </w:r>
    </w:p>
    <w:p>
      <w:pPr>
        <w:pStyle w:val="BodyText"/>
      </w:pPr>
      <w:r>
        <w:rPr>
          <w:b/>
          <w:bCs/>
        </w:rPr>
        <w:t xml:space="preserve">Allegati:</w:t>
      </w:r>
      <w:r>
        <w:t xml:space="preserve"> </w:t>
      </w:r>
      <w:r>
        <w:t xml:space="preserve">documento di sintesi della proposta; quadro della consultazione con i quesiti; dossier tecnico (su richiesta).</w:t>
      </w:r>
    </w:p>
    <w:bookmarkEnd w:id="159"/>
    <w:bookmarkEnd w:id="4128"/>
    <w:bookmarkStart w:id="161" w:name="X28e48afc45c79797adecbdb944c96d8f1934a29"/>
    <w:p>
      <w:pPr>
        <w:pStyle w:val="Heading1"/>
      </w:pPr>
      <w:r>
        <w:t xml:space="preserve">Il telaio integrato dello studio regionale: l’architettura definitiva per l’estensione a tutte le regioni</w:t>
      </w:r>
    </w:p>
    <w:p>
      <w:pPr>
        <w:pStyle w:val="FirstParagraph"/>
      </w:pPr>
      <w:r>
        <w:t xml:space="preserve">Psicologo di Base · il telaio integrato PROGETTO «PSICOLOGO DI BASE» · ESTENSIONE A TUTTE LE REGIONI Il telaio definitivo dello studio regionale Il telaio integrato l’architettura definitiva, dalla combinazione delle quattro cornici apicali Modello centrale HTA, Five Case Model, CHEERS 2022 e criteri OCSE-DAC, con le dieci metodologie innestate 1Psicologo di Base · il telaio integrato Indice Parte I — Il fondamento del telaio………………………………………………………………………………..3 Parte II — Le quattro cornici e la loro integrazione…………………………………………………………5 Parte III — L’architettura risultante e le metodologie………………………………………………………8 Parte IV — Il quadro metodologico comune e la generalizzazione………………………………….12 2Psicologo di Base · il telaio integrato Parte I — Il fondamento del telaio 1. Premessa: scopo e natura del telaio Questo documento stabilisce il telaio definitivo su cui sarà edificato lo studio integrale per la Puglia e, con il solo cambiamento dei dati di ingresso, replicato per tutte le Regioni italiane. Non è ancora lo studio: ne è l’architettura e il metodo, fissati una volta e applicati molte. La distinzione è sostanziale, perché ciò che rende confrontabili venti studi regionali — e quindi utili a una decisione di scala nazionale — non è la somiglianza dei loro risultati, ma l’identità del procedimento che li genera. Un telaio comune è la condizione della comparabilità; i dati di ciascuna regione sono ciò che ne assicura l’aderenza alla realtà. Il telaio nasce dalla scelta deliberata di non affidarsi a un’unica cornice metodologica, ma di comporre l’apice di quattro tradizioni distinte. La ragione risiede nella natura stessa dell’oggetto: lo studio di una riforma di servizio sanitario regionale è a un tempo una valutazione di tecnologia sanitaria, una decisione di investimento pubblico, una valutazione economica e una valutazione di politica pubblica. Nessuna cornice singola copre bene tutte e quattro queste dimensioni. Si assume perciò il riferimento più autorevole per ciascuna e lo si integra con gli altri, attribuendo a ciascuno la funzione che meglio assolve e affidando alla loro composizione la completezza che nessuno raggiungerebbe da solo. Le quattro cornici sono il modello centrale dell’HTA europeo, il Five Case Model del Tesoro britannico, lo standard di reporting economico CHEERS e i criteri di valutazione dell’OCSEDAC. La prima fornisce la macro-struttura dei domini che una valutazione completa deve coprire; la seconda, la forma in cui la proposta è presentata al decisore; la terza, lo standard con cui la parte economica è riportata; la quarta, la griglia di criteri con cui l’intervento è infine giudicato.1234 Nelle parti dello studio così strutturate sono poi innestate le dieci metodologie analitiche selezionate, ciascuna nella sede di sua competenza. 2. La logica della combinazione La forza della combinazione sta nella divisione del lavoro tra le quattro cornici, che sono complementari e non ridondanti: l’una dice che cosa valutare, l’altra come decidere, la terza 1Regolamento (UE) 2021/2282 sull’Health Technology Assessment, applicabile in tutti gli Stati membri dal 12 gennaio 2025: istituisce la valutazione clinica congiunta a livello europeo; la metodologia è stata predisposta dal consorzio EUnetHTA 21 (tredici organismi di HTA, venti documenti di guida e tredici modelli) e adottata dal Gruppo di coordinamento degli Stati membri. 2Five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 3Standard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 4Criteri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 3Psicologo di Base · il telaio integrato come riportare l’economia, la quarta rispetto a quali criteri giudicare. Comprenderne la ripartizione di funzioni è la premessa per usarle insieme senza sovrapposizioni e senza vuoti. Il modello centrale dell’HTA assolve la funzione della completezza. La sua ontologia a nove domini garantisce che nessun aspetto essenziale sia tralasciato: non solo l’efficacia clinica e i costi, ma anche la sicurezza, il profilo etico, quello organizzativo, quello del paziente e sociale, quello giuridico. È il riferimento europeo, oggi incorporato nel regolamento applicabile dal 2025, ed è ciò che eleva lo studio da una valutazione economica a una valutazione di tecnologia sanitaria a tutto tondo.5 Il Five Case Model assolve la funzione della decisione. Esso traduce la valutazione in una decisione di investimento pubblico, articolata nei cinque casi che il decisore deve poter esaminare insieme: la necessità del cambiamento, il valore per la collettività, la fattibilità dell’assetto, la sostenibilità di bilancio e la realizzabilità dell’attuazione. Decisiva, per il nostro caso, è la separazione che esso impone tra il caso economico, dove risiede il valore sociale, e il caso finanziario, dove risiede la sostenibilità di bilancio: è esattamente la distinzione tra risparmi diretti e ricadute sociali che il progetto ha già fatto propria, ed è ciò che ne assicura la credibilità di fronte agli organi di controllo.6 Lo standard CHEERS assolve la funzione della trasparenza economica. La sua lista di controllo in sette sezioni governa il modo in cui la valutazione economica è riportata, assicurando che ogni scelta — prospettiva, comparatori, orizzonte, sconto, esiti, costi, gestione dell’incertezza — sia esplicitata e riproducibile. I criteri dell’OCSE-DAC, infine, assolvono la funzione del giudizio: forniscono la griglia normativa — rilevanza, coerenza, efficacia, efficienza, impatto, sostenibilità — rispetto alla quale l’intervento è valutato nel suo complesso e verificato a posteriori.78 5Modello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organizzativo, il profilo del paziente e sociale, il profilo giuridico. La valutazione rapida di efficacia relativa copre i soli primi quattro domini; la valutazione completa li copre tutti. 6Five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 7Standard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 8Criteri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 4Psicologo di Base · il telaio integrato Parte II — Le quattro cornici e la loro integrazione 3. La macro-struttura: i nove domini del modello HTA Il modello centrale dell’HTA fornisce l’ossatura dello studio. Esso si compone di tre elementi — l’ontologia che struttura l’informazione in nove domini, la guida metodologica e una struttura di reporting comune — dei quali si adottano qui i domini come macro-struttura. I nove domini sono il problema di salute e l’uso corrente della tecnologia, la descrizione e le caratteristiche tecniche, la sicurezza, l’efficacia clinica, i costi e la valutazione economica, il profilo etico, il profilo organizzativo, il profilo del paziente e sociale, e il profilo giuridico.9 Ciascun dominio diventa, nello studio, una parte o un insieme di capitoli. Il primo dominio fonda la parte sul bisogno e sul contesto; il secondo e il terzo fondano la parte sull’intervento, la sua descrizione e la sua sicurezza clinica; il quarto fonda la parte sull’efficacia e l’evidenza; il quinto fonda la parte economica e la modellazione; il sesto, il settimo e il nono fondano la parte sui profili etico, organizzativo e giuridico; l’ottavo fonda la parte sull’equità e l’impatto sociale. La valutazione rapida di efficacia relativa, prevista dal modello, copre i soli primi quattro domini; lo studio integrale, come il nostro, li copre tutti. Dominio del modello HTA Parte dello studio che ne deriva 1. Problema di salute e uso corrente Bisogno, epidemiologia, domanda e offerta, contesto dei servizi 2. Descrizione e caratteristiche tecniche Definizione dell’intervento, modello organizzativo e clinico 3. Sicurezza Sicurezza del percorso clinico, criteri di invio, gestione del rischio 4. Efficacia clinica Revisione sistematica, qualità dell’evidenza, benchmark 5. Costi e valutazione economica Costi, costo-efficacia, impatto sul bilancio, ritorno sociale, modellazione 6. Profilo etico Questioni etiche, equità di accesso, autonomia e consenso 7. Profilo organizzativo Attuazione, governance, sostenibilità, fattibilità 8. Profilo del paziente e sociale Impatto distributivo, divari territoriali, esperienza dell’assistito 9. Profilo giuridico Profili costituzionali, riparto di competenze, conformità Tabella 1. I nove domini del modello centrale HTA e le parti dello studio che ne derivano. 4. Il caso decisionale: i cinque casi del Five Case Model Se il modello HTA assicura che lo studio sia completo, il Five Case Model assicura che sia decidibile. Esso ordina la proposta nei cinque casi che ogni investimento pubblico deve superare, da considerare congiuntamente e non isolatamente, e che corrispondono alle 9Modello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organizzativo, il profilo del paziente e sociale, il profilo giuridico. La valutazione rapida di efficacia relativa copre i soli primi quattro domini; la valutazione completa li copre tutti. 5Psicologo di Base · il telaio integrato domande del decisore: vi è una ragione cogente per il cambiamento, qual è l’opzione di miglior valore, l’assetto è fattibile, la spesa è sostenibile, la realizzazione è governabile.10 Il caso strategico stabilisce la necessità del cambiamento e la coerenza con gli obiettivi: nello studio, attinge alla parte sul bisogno e sul contesto. Il caso economico individua l’opzione di miglior valore per la collettività, mediante l’analisi delle alternative e l’analisi costi-benefici sociale: è la sede del valore sociale, e attinge alla valutazione economica. Il caso commerciale dimostra la fattibilità dell’assetto contrattuale — per noi, la convenzione e il modello tariffario — e attinge alla parte sul modello di costo. Il caso finanziario prova la sostenibilità e la disponibilità delle coperture, ed è la sede, distinta dal valore sociale, della sostenibilità di bilancio. Il caso gestionale dimostra la realizzabilità attraverso la governance, le tappe e i rischi, e attinge alla parte sull’attuazione. La distinzione tra il caso economico e il caso finanziario è il contributo più prezioso di questa cornice al nostro studio. Essa rende strutturale ciò che il progetto ha già stabilito: il valore per la collettività, ampio, e la convenienza per il bilancio, modesta, sono grandezze diverse, da non confondere. Il modello, inoltre, è iterativo: si sviluppa dal caso strategico iniziale all’assetto definitivo per stadi di crescente dettaglio, il che si presta al carattere graduale del dispiegamento del servizio. Caso Domanda a cui risponde Parte dello studio Strategico Necessità del cambiamento, obiettivi, coerenza Bisogno e contesto Economico Opzione di miglior valore; valore sociale Valutazione economica Commerciale Fattibilità dell’assetto contrattuale Modello tariffario e di costo Finanziario Sostenibilità di bilancio e coperture Sostenibilità finanziaria Gestionale Governance, tappe, rischi Attuazione Tabella 2. I cinque casi del Five Case Model e le parti dello studio a cui attingono. 5. Il reporting economico secondo CHEERS 2022 La parte economica dello studio, la più esposta allo scrutinio degli organi di controllo, è redatta secondo lo standard CHEERS nella versione del 2022. Esso consiste in una lista di controllo di ventotto voci, ordinate in sette sezioni — titolo, sintesi, introduzione, metodi, risultati, discussione e altre informazioni — e sostituisce la versione del 2013, oggi non più da impiegare. È deliberatamente applicabile a ogni intervento, anche complesso e di sanità pubblica, e dunque adatto a una riforma di servizio territoriale.11 Le sezioni dei metodi e dei risultati portano il contenuto sostanziale: la prospettiva adottata, i comparatori, l’orizzonte temporale, il tasso di sconto, le misure di esito, l’identificazione e la 10Five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 11Standard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 6Psicologo di Base · il telaio integrato valutazione dei costi, la struttura del modello e la caratterizzazione dell’incertezza. L’adozione dello standard non è un adempimento formale: è ciò che rende la valutazione economica trasparente e riproducibile, e dunque difendibile. Per la componente di intelligenza artificiale del modello esiste un’estensione dedicata, CHEERS-AI, che aggiunge alle ventotto voci originarie elementi specifici, impiegata quando lo studio valuti strumenti di IA a fini clinici. 6. La griglia valutativa dei criteri OCSE-DAC Le tre cornici precedenti dicono che cosa valutare, come decidere e come riportare l’economia; manca la griglia rispetto alla quale l’intervento è infine giudicato. La forniscono i criteri dell’OCSE-DAC,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tempo.12 Questi criteri operano in due momenti dello studio. Ex ante, orientano la valutazione complessiva: ciascun criterio diventa una domanda a cui le parti analitiche dello studio forniscono la risposta. Ex post, strutturano la verifica dei risultati: la verifica di impatto della regolamentazione e la clausola valutativa accertano, criterio per criterio, se la norma abbia mantenuto le promesse. La griglia, in tal modo, non si sovrappone all’analisi economica o all’HTA, ma li ordina in un giudizio: è la cornice che traduce le evidenze in una valutazione di merito. Criterio OCSE-DAC Domanda valutativa Rilevanza L’intervento risponde al bisogno reale della popolazione? Coerenza È compatibile e complementare con le altre politiche sanitarie? Efficacia Raggiunge gli obiettivi che si propone? Efficienza Impiega le risorse in modo proporzionato ai risultati? Impatto Produce effetti più ampi, anche sociali e di sistema? Sostenibilità I benefici e il servizio durano nel tempo? Tabella 3. I sei criteri OCSE-DAC come griglia di giudizio, ex ante ed ex post. 7. La mappa di integrazione delle quattro cornici L’integrazione delle quattro cornici non è una giustapposizione, ma una composizione ordinata. La macro-struttura dello studio è data dai domini del modello HTA, che ne fissano le parti. All’interno di tali parti, il Five Case Model fornisce la chiave di lettura decisionale, allocando i suoi cinque casi alle parti corrispondenti: il caso strategico al bisogno, quello economico e finanziario alla valutazione economica, quello commerciale al modello di costo, quello gestionale all’attuazione. La parte economica è inoltre redatta secondo lo standard CHEERS. I criteri dell’OCSE-DAC, infine, attraversano l’intero studio come griglia di giudizio, convergendo nella parte di sintesi. La tabella seguente esprime questa composizione: per ciascuna area dello studio indica il dominio HTA che la fonda, il caso del Five Case Model che vi si riferisce, la pertinenza dello 12Criteri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 7Psicologo di Base · il telaio integrato standard CHEERS e il criterio OCSE-DAC che vi si applica. È la chiave che tiene insieme le quattro cornici in un’unica architettura. Area dello studio Dominio HTA Caso (5CM) CHEERS Criterio DAC Bisogno e contesto Dominio 1 Strategico — Rilevanza, coerenza Intervento e modello Domini 2–3 Strategico — — Efficacia ed evidenza Dominio 4 Economico — Efficacia Valutazione economica Dominio 5 Economico, finanziario CHEERS Efficienza Equità e impatto sociale Dominio 8 Economico — Impatto Profili etico/giuridico/organizzativ o Domini 6,7,9 Gestionale — Coerenza Attuazione e sostenibilità Domini 7 Commerciale, gestionale — Sostenibilità Sintesi e raccomandazioni Trasversale Strategico — Tutti i criteri Tabella 4. La mappa di integrazione delle quattro cornici: come si compongono in un’unica architettura. Parte III — L’architettura risultante e le metodologie 8. L’architettura dello studio regionale Dall’integrazione delle quattro cornici discende l’architettura dello studio regionale, articolata in dodici parti, dalla A alla M, più le appendici. Le parti seguono l’ordine dei domini HTA, accolgono i casi del Five Case Model nelle sedi pertinenti, riservano alla valutazione economica il reporting CHEERS e culminano nella sintesi secondo i criteri OCSE-DAC. È l’indice-tipo che lo studio integrale per la Puglia seguirà e che ogni altra Regione adotterà senza modifiche. Le due tabelle seguenti lo riportano per esteso, con il contenuto, il metodo e la cornice di riferimento di ciascun capitolo. Parte / Capitolo Contenuto, metodo e cornice di riferimento PARTE A — Quadro, quesito e metodo A.1 Scopo, quesito (PICOTS) e standard Definizione del quesito di valutazione e delle cornici adottate A.2 Caso di riferimento e metodi Prospettiva, orizzonte, sconto, esito; mappa dei metodi A.3 Governance dei dati, etica e protezione Minimizzazione, comitato etico, conformità sui dati PARTE B — Problema di salute, bisogno e contesto (dominio 1; caso strategico) B.1 Profilo demografico e socioeconomico Denominatori, struttura per età, deprivazione B.2 Epidemiologia del bisogno Prevalenza, incidenza, gravità B.3 Domanda, offerta e gap di copertura Utenza, organico, fabbisogno a regime B.4 Disuguaglianze e divari Equità per azienda e distretto 8Psicologo di Base · il telaio integrato territoriali B.5 Servizi e flussi Pronto soccorso, ricoveri, farmaceutica, mobilità B.6 Cornice normativa e programmatica Livello regionale, nazionale ed europeo PARTE C — L’intervento e il modello (domini 2–3) C.1 Definizione e teoria del cambiamento Modello logico ed esiti attesi C.2 Modello organizzativo Integrazione nelle cure primarie; filtro C.3 Percorso clinico, sicurezza ed esiti Cura a intensità crescente; soglie; invio C.4 Sistema informativo e interoperabilità Fascicolo Sanitario Elettronico; dataset minimo C.5 Strumenti digitali e IA Conformità (AI Act, dispositivi); validazione locale C.6 Formazione e competenze Percorso a quattro livelli, con componente sull’IA PARTE D — Efficacia clinica ed evidenza (dominio 4) D.1 Revisione sistematica Metodo PRISMA D.2 Qualità dell’evidenza Sistema GRADE D.3 Benchmark internazionali Confronto con i programmi più autorevoli D.4 Trasferibilità al contesto regionale Adattamento e cautele PARTE E — Valutazione economica (dominio 5; CHEERS; casi economico e finanziario) E.1 Identificazione e misura dei costi Diretti sanitari e non sanitari E.2 Identificazione e misura degli esiti Anni di vita ponderati per la qualità ed esiti clinici E.3 Costo-efficacia e costoutilitàRapporto incrementale; soglie E.4 Impatto sul bilancio Metodo ISPOR; orizzonte di bilancio E.5 Ritorno sociale Metodo SROI E.6 Caso economico e caso finanziario Valore sociale e sostenibilità a confronto PARTE F — Modellazione decisionale e incertezza (dominio 5) F.1 Struttura del modello Albero, Markov, microsimulazione F.2 Parametri e calibrazione Distribuzioni e fonti F.3 Sensibilità deterministica Tornado; scenari F.4 Sensibilità probabilistica Monte Carlo; curva di accettabilità F.5 Valore dell’informazione EVPI ed EVPPI; priorità di ricerca Tabella 5. Architettura dello studio regionale, parti A-F (quadro, bisogno, intervento, efficacia, economia, modellazione). Parte / Capitolo Contenuto, metodo e cornice di riferimento PARTE G — Equità e impatto distributivo (dominio 8) G.1 Analisi di equità Sottogruppi e beneficiari 9Psicologo di Base · il telaio integrato G.2 Costo-efficacia distributiva Metodo DCEA G.3 Divari e impoverimento Impatto territoriale e sulla spesa delle famiglie PARTE H — Profili etico, giuridico e organizzativo (domini 6,7,9) H.1 Profilo etico Equità di accesso, autonomia, consenso H.2 Profili giuridici e costituzionali Riparto Stato-Regioni; livelli essenziali H.3 Profilo organizzativo e conformità Deontologia, responsabilità, IA, protezione dei dati PARTE I — Attuazione, fattibilità e sostenibilità (dominio 7; casi commerciale e gestionale) I.1 Scienza dell’implementazione Quadri RE-AIM e CFIR I.2 Disegno del dispiegamento Stepped-wedge; cronoprogramma I.3 Caso commerciale: modello contrattuale e tariffa Convenzione; costo per incarico; scenari I.4 Caso gestionale: governance e rischi Osservatorio; registro dei rischi I.5 Sostenibilità finanziaria Coperture; vincoli di bilancio PARTE L — Monitoraggio, valutazione ed ex post L.1 Sistema di indicatori Modello di Donabedian, integrato dall’impatto L.2 Protocollo di rilevazione e baseline Dataset minimo; calendario L.3 Valutazione controfattuale Differenza-nelle-differenze; controllo sintetico L.4 Verifica ex post della regolamentazione DPCM 169/2017; clausola valutativa L.5 Indicatori compositi e cruscotto Metodo OCSE-JRC PARTE M — Sintesi multidimensionale e raccomandazioni (criteri OCSE-DAC; caso strategico) M.1 Griglia di valutazione OCSE-DAC Rilevanza, coerenza, efficacia, efficienza, impatto, sostenibilità M.2 Analisi multi-criterio Metodo MCDA M.3 Sintesi del valore e raccomandazioni Cruscotto decisionale M.4 Limiti e agenda di ricerca Incertezze residue e trasparenza APPENDICI A. Caso di riferimento e parametri Tavola dei parametri e delle assunzioni B. Strumenti di esito e dataset minimo Questionari e dizionario dei dati C. Dati regionali e fonti Tavole dei dati certificati per Regione D. Checklist di reporting CHEERS, PRISMA, GRADE, STROBE E. Glossario Definizioni dei termini tecnici Tabella 6. Architettura dello studio regionale, parti G-M e appendici (equità, profili, attuazione, valutazione, sintesi). 10Psicologo di Base · il telaio integrato 9. L’innesto delle dieci metodologie L’architettura definisce le sedi; le metodologie ne riempiono il contenuto analitico. Le dieci selezionate sono innestate ciascuna nella parte di sua competenza, secondo la corrispondenza riportata nella tabella seguente. Non si tratta di un elenco accostato, ma di una distribuzione funzionale: ogni metodologia risponde a una domanda specifica di una parte specifica, e l’insieme copre l’intero arco analitico dello studio, dall’evidenza al giudizio finale. Metodologia Sede Funzione nello studio Analisi costo-utilità (CUA) E.3 Costo per esito di salute (QALU/ICER) Analisi di impatto sul bilancio (BIA) E.4 Sostenibilità finanziaria Ritorno sociale (SROI) E.5 Valore sociale monetizzato Modellazione decisionale F.1 Proiezione di costi ed esiti Sensibilità probabilistica e valore dell’informazione F.4-F.5 Incertezza e priorità di ricerca Costo-efficacia distributiva (DCEA) G.2 Equità e impatto distributivo Inferenza causale quasi-sperimentale L.3 Effetto reale dell’intervento Revisione sistematica e GRADE D.1-D.2 Sintesi e certezza dell’evidenza Analisi di impatto della regolazione (AIR/VIR) L.4, M.1 Valutazione ex ante ed ex post Analisi multi-criterio (MCDA) M.2 Sintesi dei criteri non monetari Tabella 7. L’innesto delle dieci metodologie nelle parti dello studio. Le metodologie poggiano sugli standard di buona pratica che le governano: la valutazione economica sul caso di riferimento del Secondo Panel e sulle buone pratiche ISPOR per l’impatto sul bilancio; la modellazione sulle buone pratiche ISPOR-SMDM, integrate dal valore dell’informazione; l’equità sulla costo-efficacia distributiva; la stima causale sui disegni controfattuali; la sintesi sull’analisi multi-criterio; la misurazione sul modello di Donabedian e sugli indicatori compositi.13141516171819202122 13Secondo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 14Principi di buona pratica dell’ISPOR per l’analisi di impatto sul bilancio: ne definiscono il metodo, distinto dalla costo-efficacia, su un orizzonte di bilancio tipicamente triennale o quinquennale, con l’obiettivo di stimare la sostenibilità finanziaria dell’adozione. 15Buone pratiche di ricerca sulla modellazione (ISPOR-SMDM): definiscono i criteri di costruzione e validazione dei modelli decisionali — alberi, modelli di Markov, microsimulazione — e la corretta gestione dell’incertezza. 16Analisi del valore dell’informazione (valore atteso dell’informazione perfetta, complessiva e sui parametri): quantifica il valore di ridurre l’incertezza dei parametri e stabilisce le priorità della ricerca futura. 17Ritorno sociale sull’investimento (SROI), secondo i principi internazionali di Social Value: monetizza il valore sociale generato, con la cautela di distinguerlo dai risparmi diretti per il bilancio. 18Analisi costo-efficacia distributiva (DCEA): estende la valutazione economica alla dimensione dell’equità, stimando la distribuzione di costi ed esiti tra sottogruppi e l’effetto sulle disuguaglianze. 11Psicologo di Base · il telaio integrato Parte IV — Il quadro metodologico comune e la generalizzazione 10. Il caso di riferimento comune Il caso di riferimento è l’insieme delle scelte metodologiche di base che, fissate una volta per tutte le regioni, rendono i risultati confrontabili nel tempo e nello spazio. Esso adotta la doppia prospettiva del Servizio sanitario regionale e della società — distinguendo, come prescrivono il Secondo Panel e il Five Case Model, i risparmi diretti per il bilancio dalle ricadute per la collettività — un orizzonte pluriennale o di intera vita per gli esiti e triennale-quinquennale per il bilancio, un tasso di sconto del 3% annuo, gli anni di vita ponderati per la qualità ed esiti clinici validati come misure, e il servizio attuale come comparatore.2324 Parametro Scelta di riferimento Prospettiva Servizio sanitario regionale e societale, con inventario degli impatti Orizzonte temporale Pluriennale o di intera vita per gli esiti; triennale-quinquennale per il bilancio Tasso di sconto 3% annuo su costi ed esiti, con analisi di sensibilità Misura di esito Anni di vita ponderati per la qualità ed esiti clinici validati Comparatore Servizio attuale o assenza del servizio a regime Popolazione e unità Residenti regionali; analisi per Regione e per azienda/distretto Tabella 8. Il caso di riferimento comune a tutte le valutazioni regionali. 11. Gli standard di reporting e di qualità A garanzia di trasparenza e riproducibilità, ogni studio regionale è redatto secondo le liste di controllo riconosciute, allegate in appendice e verificate prima della pubblicazione. La parte economica segue lo standard CHEERS; la sintesi dell’evidenza, le liste PRISMA e GRADE; gli studi sui dati reali, la lista STROBE; la modellazione, le buone pratiche ISPOR-SMDM. L’adesione a questi standard non è un vincolo formale, ma la condizione perché lo studio sia 19Disegni per la stima causale degli effetti: il dispiegamento scaglionato (stepped-wedge), la differenza-nelle-differenze e il controllo sintetico, che sfruttano l’attivazione in tempi diversi per misurare l’effetto reale dell’intervento. 20Modello di Donabedian per la qualità dell’assistenza: distingue le dimensioni di struttura, processo ed esito, qui integrate dalla dimensione di impatto, ed è l’ossatura del sistema di indicatori. 21Manuale OCSE-JRC per la costruzione di indicatori compositi: articola in dieci passi la costruzione e la validazione delle misure di sintesi, dalla selezione dei dati all’analisi di robustezza. 22Buone pratiche emergenti dell’ISPOR per l’analisi multi-criterio: definiscono i passi della ponderazione esplicita dei criteri non monetari e la costruzione della matrice delle prestazioni. 23Secondo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 24Caso di riferimento adottato: doppia prospettiva del Servizio sanitario regionale e della società, orizzonte pluriennale per gli esiti e triennale-quinquennale per il bilancio, tasso di sconto del 3% annuo, anni di vita ponderati per la qualità ed esiti clinici come misure, servizio attuale come comparatore. 12Psicologo di Base · il telaio integrato accolto come prova e non come opinione, specie di fronte agli organi di controllo della finanza pubblica.25 Standard Ambito Uso CHEERS 2022 Valutazione economica Lista del reporting economico (ventotto voci) PRISMA 2020 Revisione sistematica Trasparenza della sintesi dell’evidenza GRADE Certezza dell’evidenza Graduazione della fiducia nei risultati STROBE Studi osservazionali Reporting degli studi sui dati reali ISPOR-SMDM Modellazione Buona pratica nei modelli decisionali Tabella 9. Le liste di controllo del reporting e della qualità adottate in ogni studio regionale. 12. La generalizzazione a tutte le Regioni La forza del telaio sta nella separazione tra ciò che è fisso e ciò che varia. Sono fissi e comuni a tutte le regioni l’architettura, le quattro cornici, il caso di riferimento, le dieci metodologie e gli standard di reporting; varia il solo insieme dei dati di ingresso, che ciascuna regione fornisce dai propri flussi certificati.26 In questo modo i risultati regionali sono tra loro confrontabili, perché prodotti con lo stesso procedimento, e insieme aderenti alla realtà di ciascuna regione, perché fondati sui suoi dati. La tabella seguente elenca i dati di ingresso che ogni regione deve fornire; tutto il resto dell’impianto è già stabilito da questo telaio. Ambito Dato di ingresso Fonte Demografia Popolazione per età, azienda e distretto Istituti di statistica e anagrafi Conti sanitari Spesa per voce Bilanci di esercizio e modelli ministeriali Ricoveri Dimissioni psichiatriche e relativo costo Flusso delle schede di dimissione Mobilità Composizione per disciplina Flussi di mobilità interregionale Farmaceutica Consumo e spesa dei farmaci psichiatrici Flusso farmaceutico regionale Emergenza Accessi al pronto soccorso per causa Flusso dell’emergenza-urgenza Salute mentale Utenza dei Dipartimenti Sistema informativo per la salute mentale Esito di servizio Misure di esito, sedute, invii Registro del servizio Tabella 10. I dati di ingresso che ciascuna Regione fornisce; il resto dell’impianto è comune. 25Sintesi dell’evidenza e sua qualità: la lista PRISMA 2020 per le revisioni sistematiche, il sistema GRADE per la certezza dell’evidenza e la lista STROBE per gli studi osservazionali sui dati reali. 26Generalizzazione regionale: l’architettura, il caso di riferimento, i metodi e gli standard di reporting sono fissi e comuni; varia il solo insieme dei dati di ingresso che ciascuna regione fornisce, e la comparabilità tra regioni è garantita dall’uniformità del caso di riferimento e dell’insieme degli indicatori. 13Psicologo di Base · il telaio integrato 13. Chiusura e prossimi passi Questo telaio integrato è l’architettura definitiva dello studio regionale. Esso compone quattro cornici apicali in un unico impianto — il modello HTA per la completezza, il Five Case Model per la decisione, lo standard CHEERS per il reporting economico, i criteri OCSE-DAC per il giudizio — vi innesta le dieci metodologie selezionate nelle sedi pertinenti, fissa un caso di riferimento e standard di reporting comuni, e stabilisce la regola della generalizzazione regionale. Su di esso lo studio non è più una composizione di documenti separati, ma un’opera unitaria e replicabile. Il prossimo passo è l’applicazione integrale del telaio alla Puglia, parte per parte a partire dalla Parte A, quale modello dimostrativo dello studio a regime; completata e validata, l’opera pugliese fa da prototipo per l’estensione, Regione per Regione, all’intero territorio nazionale, con il solo cambiamento dei dati di ingresso. È il passaggio da un telaio condiviso a venti studi comparabili, e da una riforma progettata a una riforma fondata su un corpo di prove omogeneo e difendibile. 14</w:t>
      </w:r>
    </w:p>
    <w:bookmarkEnd w:id="161"/>
    <w:bookmarkStart w:id="162" w:name="X49276042c0e3f9f5eb1262d2db1d4ee8e8e6e15"/>
    <w:p>
      <w:pPr>
        <w:pStyle w:val="Heading1"/>
      </w:pPr>
      <w:r>
        <w:t xml:space="preserve">Il Servizio di Psicologia di Base a livello nazionale: impatto economico, organizzativo e di sistema sul Servizio Sanitario Nazionale (capitolo ricalibrato)</w:t>
      </w:r>
    </w:p>
    <w:p>
      <w:pPr>
        <w:pStyle w:val="FirstParagraph"/>
      </w:pPr>
      <w:r>
        <w:t xml:space="preserve">CAPITOLO 8: IL SERVIZIO DI PSICOLOGIA DI BASE A LIVELLO NAZIONALE: IMPATTO ECONOMICO, ORGANIZZATIVO E DI SISTEMA SUL SERVIZIO SANITARIO NAZIONALE 1. Premessa e obiettivo del capitolo Questo capitolo estende a livello dell’intero Servizio Sanitario Nazionale (SSN) il lavoro sviluppato per la Regione Puglia, applicando lo stesso impianto metodologico: approccio evidence‑based, analisi quantitativa rigorosa, prospettiva multidisciplinare e attenzione congiunta agli aspetti clinici, organizzativi, economici e sociali. L’obiettivo è mostrare, con numeri aggiornati e realisticamente scalati, che l’istituzione di un Servizio di Psicologia di Base nazionale, integrato stabilmente con la Medicina Generale e con le Case della Comunità, rappresenta: 1. un investimento economicamente sostenibile e ad altissimo rendimento; 2. uno strumento strutturale di contenimento e razionalizzazione della spesa sanitaria; 3. una risposta sistemica all’epidemia silente dei disturbi mentali comuni e dei disturbi psicosomatici; 4. un dispositivo organizzativo capace di distinguere in modo sistematico patologie organiche, disturbi psichici e condizioni psicosomatiche, riducendo visite, esami, farmaci e invii impropri ai servizi specialistici; 5. un asse di riforma del SSN in chiave preventiva, territoriale e integrata, allineato alle migliori pratiche europee e internazionali. Le stime economiche riportate sono derivate da: ● dati ufficiali nazionali (ISTAT, Ministero della Salute, INPS, INAIL, AIFA, Corte dei Conti); ● evidenze internazionali (WHO, OECD, programmi IAPT – Regno Unito, POH‑GGZ – Paesi Bassi, Better Access – Australia); ● scalatura ragionata del modello pugliese (già quantificato), proporzionata al rapporto di popolazione e di spesa tra Puglia e Italia; ● studi pilota italiani, in particolare quelli coordinati da Solano nel Lazio sull’integrazione dello psicologo nello studio del Medico di Medicina Generale. Le cifre sono costruite in modo prudenziale, ma volutamente non sottostimato, per essere coerenti con la scala nazionale e con l’ordine di grandezza dei costi reali dei disturbi mentali in Italia.2. Quadro demografico e sanitario nazionale 2.1 Popolazione, invecchiamento e carico di malattia L’Italia conta circa 58,9 milioni di residenti, con una delle popolazioni più anziane al mondo. Gli indicatori demografici essenziali sono: ● quota di popolazione ≥ 65 anni: intorno al 24–25%; ● età mediana: &gt; 47 anni; ● tasso di fecondità: ≈ 1,24 figli per donna; ● saldo naturale negativo da oltre un decennio, solo parzialmente compensato dall’immigrazione. Questa struttura demografica comporta un’alta prevalenza di patologie croniche (cardiovascolari, respiratorie, metaboliche, oncologiche) e un aumento marcato dei disturbi mentali comuni (depressione, ansia, disturbi adattivi, insonnia, disturbi somatoformi). La letteratura indica che: ● la prevalenza lifetime di disturbi depressivi e ansiosi si colloca intorno al 25–30% della popolazione; ● circa 1 persona su 6 sperimenta un episodio di depressione clinicamente rilevante nel corso della vita; ● nelle patologie croniche maggiori, la co‑occorrenza di depressione/ansia raggiunge il 30–40%; ● nelle sindromi dolorose croniche e nelle sindromi funzionali la quota di comorbilità psichica supera spesso il 50%. Ne risulta un carico di malattia composito, in cui la componente psicologica e psicosociale gioca un ruolo decisivo non solo sulla qualità della vita, ma anche sull’aderenza ai trattamenti, sui tassi di ricovero e sull’utilizzo complessivo delle risorse sanitarie. 2.2 Il peso economico dei disturbi mentali in Italia Le stime più accreditate collocano il costo complessivo dei disturbi mentali in Italia intorno al 3,3% del PIL. Con un PIL di circa 1.900 miliardi di euro, questo equivale a un impatto economico dell’ordine di 63–65 miliardi di euro l’anno. Questa cifra comprende: ● costi sanitari diretti: farmaci, visite, esami, accessi in pronto soccorso, ricoveri, assistenza territoriale dei Dipartimenti di Salute Mentale; ● costi indiretti: perdita di produttività per assenteismo e presenteismo, riduzione del tasso di occupazione, anticipi di pensionamento, invalidità; ● costi sociali e intangibili: carico assistenziale sulle famiglie, costi dei servizi sociali comunali, impatto sulla coesione sociale.La spesa sanitaria per la salute mentale rappresenta solo il 3–3,5% della spesa sanitaria corrente, a fronte di un peso in termini di anni di vita aggiustati per disabilità (DALY) tra il 13 e il 15%. La discrepanza tra peso epidemiologico e quota di risorse allocate indica una sotto‑investimento strutturale nell’area della salute mentale. 2.3 Crisi della Medicina Generale e pressione sulle cure primarie La Medicina Generale italiana vive una crisi annosa, ben documentata: ● mancano oltre 5.500 medici di medicina generale rispetto al fabbisogno stimato; ● più di 14 milioni di cittadini risultano privi di MMG di riferimento o affidati a medici oltre massimale; ● in molte aree si registrano 1.600–2.000 assistiti per medico, ben oltre gli standard ottimali. I MMG riportano una quota crescente di consultazioni legate a sintomi aspecifici o funzionali (dolore toracico atipico, cefalea, disturbi gastrointestinali senza base organica, vertigini, stanchezza cronica, dispnea non spiegata) in cui la componente ansiosa, depressiva o psicosomatica è determinante. In assenza di uno psicologo integrato nel team di cure primarie, la risposta tende a essere: ● aumento di visite specialistiche (cardiologia, gastroenterologia, neurologia, reumatologia, pneumologia, dermatologia); ● incremento di esami diagnostici (laboratorio, imaging) spesso ripetuti; ● uso estensivo e pluriennale di psicofarmaci, FANS, gastroprotettori, ansiolitici</w:t>
      </w:r>
      <w:r>
        <w:t xml:space="preserve"> </w:t>
      </w:r>
      <w:r>
        <w:t xml:space="preserve">“di copertura”</w:t>
      </w:r>
      <w:r>
        <w:t xml:space="preserve">; ● invio tardivo e parziale ai servizi di salute mentale. Questa spirale genera spesa elevata a basso valore aggiunto, non risolve la sofferenza del paziente e aggrava il carico su pronto soccorso, ospedali e CSM. 2.4 Offerta di psicologia nel SSN Nel SSN gli psicologi sono numericamente pochi e concentrati quasi esclusivamente nei servizi di salute mentale e neuropsichiatria infantile. I dati disponibili indicano che: ● gli psicologi rappresentano circa il 6,9% del personale dei servizi di salute mentale pubblici; ● il rapporto è di circa 2,6 psicologi ogni 100.000 abitanti nei servizi territoriali, contro standard internazionali che oscillano tra 20 e 50 per 100.000 abitanti. Ne derivano liste di attesa molto lunghe per gli interventi psicologici nel pubblico, forte ricorso al privato per chi può permetterselo e gravi diseguaglianze di accesso. L’assenza quasi totale di psicologi negli ambulatori di cure primarie e nelle Case della Comunità è il principale ostacolo alla costruzione di un vero modello di primary mental health care.3. Razionale clinico‑organizzativo dello Psicologo di Base nazionale 3.1 Triaging differenziale: organico, psichico, psicosomatico Il cuore del modello di Psicologia di Base, nazionale come regionale, è la capacità di triage differenziale in stretta sinergia con il MMG: ● valutazione psicologica rapida dei pazienti con sintomi aspecifici o funzionali; ● distinzione tra patologia organica, disturbo psichico (ansia, depressione, disturbi dell’adattamento, PTSD, ecc.) e disturbo psicosomatico; ● presa in carico psicologica diretta dei disturbi mentali comuni di intensità lieve‑moderata mediante protocolli CBT, IPT, EMDR, ACT, MBCT adattati alle cure primarie; ● invio appropriato ai DSM per i casi gravi e complessi; ● co‑gestione con il MMG dei pazienti cronici ad alto carico psicosomatico. Gli studi di Solano nel Lazio hanno mostrato che l’inserimento di psicologi negli studi di Medicina Generale comporta: ● riduzione del 30–40% delle visite specialistiche per sintomi funzionali; ● riduzione del 30–35% dell’uso cronico di farmaci non strettamente necessari (benzodiazepine, IPP, analgesici, ansiolitici); ● minori accessi ripetuti per i medesimi disturbi; ● maggiore soddisfazione di pazienti e medici, migliore qualità diagnostica e maggiore appropriatezza degli invii ai servizi psichiatrici. Tali risultati rispecchiano pienamente quanto osservato nelle esperienze internazionali (IAPT, POH‑GGZ, Better Access), confermando che l’integrazione strutturale dello psicologo nelle cure primarie genera risparmi elevati e miglioramenti significativi degli esiti clinici. 3.2 Tre grandi canali di risparmio diretto Su scala nazionale, lo Psicologo di Base interviene su tre grandi macro‑voci di spesa sanitaria: 1. Spesa ambulatoriale e diagnostica – Filtro delle richieste di visite specialistiche e di indagini diagnostiche per sintomi funzionali; riduzione di esami ripetuti in assenza di indicazioni cliniche forti. 2. Spesa farmaceutica – Riduzione dell’uso improprio e prolungato di psicofarmaci, analgesici, FANS, gastroprotettori e altri farmaci prescritti come risposta difensiva alla somatizzazione. 3. Spesa ospedaliera e psichiatrica – Diminuzione degli accessi in PS per crisi d’ansia, attacchi di panico e aggravamenti evitabili di patologie croniche; minori ricoveri medici e psichiatrici evitabili; decongestione dei CSM da casistica lieve‑moderata non complessa.A questi si aggiungono risparmi indiretti correlati a produttività, invalidità, assistenza sociale e carico familiare. 4. Standard nazionali di dotazione e costo del servizio 4.1 Fabbisogno di Psicologi di Base Come standard minimo per un sistema ad alte performance si assume una dotazione di circa 20 Psicologi di Base ogni 100.000 abitanti, equivalenti a un rapporto medio di 1 psicologo ogni 4–5 MMG. Applicando questo standard alla popolazione italiana (58,9 milioni), si ottiene: ● 58.900.000 / 100.000 ≈ 589 unità di popolazione; ● 589 × 20 ≈ 11.780 Psicologi di Base. Questi professionisti sarebbero distribuiti nelle Case della Comunità e negli studi di MMG, con modulazione regionale in base a densità, indice di deprivazione, burden di malattia e caratteristiche dei territori. 4.2 Costo annuo per FTE e costo complessivo nazionale Lo schema di costo per Psicologo di Base, esteso a livello nazionale, ricalca quello stimato per la Puglia: ● costo del lavoro (stipendio lordo + oneri) ≈ 38.000–40.000 euro/anno; ● formazione iniziale e continua + ECM ≈ 1.000–1.200 euro/anno; ● supervisione clinica ≈ 700–800 euro/anno; ● quota per amministrazione, governance, IT, ROMS, telepsicologia, hardware e manutenzione. Il costo annuo medio</w:t>
      </w:r>
      <w:r>
        <w:t xml:space="preserve"> </w:t>
      </w:r>
      <w:r>
        <w:t xml:space="preserve">“all‑inclusive”</w:t>
      </w:r>
      <w:r>
        <w:t xml:space="preserve"> </w:t>
      </w:r>
      <w:r>
        <w:t xml:space="preserve">per FTE si colloca quindi tra 47.000 e 50.000 euro. Moltiplicato per 11.780 FTE, il costo annuo complessivo del Servizio di Psicologia di Base nazionale si colloca nell’ordine di grandezza di 600–700 milioni di euro. Nel prosieguo, per semplicità, si adotta un intervallo di 600–700 milioni/anno, con valore centrale di circa 650 milioni/anno. 4.3 Costo pro capite e incidenza sulla spesa sanitaria Con 58,9 milioni di residenti, il costo pro capite risulta: ● 600.000.000 / 58.900.000 ≈ 10,2 euro/abitante/anno; ● 700.000.000 / 58.900.000 ≈ 11,9 euro/abitante/anno. Su una spesa sanitaria corrente di circa 130–135 miliardi di euro, il Servizio di Psicologia di Base nazionale peserebbe circa lo 0,45–0,55% del totale: una quota relativamentemodesta, ma in grado di intervenire su aree che assorbono una fetta molto più ampia del bilancio (diagnostica, specialistica, farmaceutica, ospedaliera, salute mentale, invalidità). 5. Quantificazione dei risparmi su scala nazionale (versione scalata) Per evitare sottostime, le grandezze economiche sono state ricalibrate partendo dai valori pugliesi da te già validati (risparmi complessivi dell’ordine di 600–700 milioni/anno per una popolazione di circa 3,9 milioni), scalati in base al rapporto di popolazione Italia/Puglia ≈ 15:1. 5.1 Principio di scalatura Se per la Puglia: ● costo del servizio ≈ 40–42 milioni/anno; ● risparmi complessivi a regime ≈ 600–700 milioni/anno; ● ROI ≈ 1:13–1:17; allora, per l’Italia (≈15 volte la popolazione pugliese): ● costo del servizio scala a ≈ 600–700 milioni/anno; ● risparmi complessivi a regime scalano nell’ordine di 9–10,5 miliardi/anno; ● il ROI rimane, per costruzione, dell’ordine di 1:13–1:17. Questa scalatura è coerente con il vincolo macro: i disturbi mentali costano 63–65 miliardi/anno; attribuire ai soli Psicologi di Base un potenziale di risparmio massimo di 9–11 miliardi/anno significa agire su circa il 15–17% del carico complessivo – un ordine di grandezza plausibile e prudenziale. 5.2 Risparmi diretti e indiretti anno per anno (Italia intera) Per rendere esplicita la dinamica temporale, si parte dalla sequenza di risparmi annui diretti e indiretti stimata per la Puglia e si moltiplica per 15. Si ottiene così, per l’Italia, una traiettoria indicativa (valori arrotondati in miliardi di euro/anno): ● Anno 1 – Risparmi diretti: 140 ×15 ≈ 2,1 miliardi – Risparmi indiretti: 200 ×15 ≈ 3,0 miliardi – Totale: 5,1 miliardi/anno ● Anno 2 – Diretti: 250 ×15 ≈ 3,75 miliardi – Indiretti: 370 ×15 ≈ 5,55 miliardi – Totale: 9,3 miliardi/anno● Anno 3 – Diretti: 365 ×15 ≈ 5,48 miliardi – Indiretti: 485 ×15 ≈ 7,28 miliardi – Totale: 12,7 miliardi/anno ● Anno 4 – Diretti: 540 ×15 ≈ 8,1 miliardi – Indiretti: 705 ×15 ≈ 10,6 miliardi – Totale: 18,7 miliardi/anno ● Anno 5 – Diretti: 540 ×15 ≈ 8,1 miliardi – Indiretti: 705 ×15 ≈ 10,6 miliardi – Totale: 18,7 miliardi/anno (pieno regime</w:t>
      </w:r>
      <w:r>
        <w:t xml:space="preserve"> </w:t>
      </w:r>
      <w:r>
        <w:t xml:space="preserve">“base”</w:t>
      </w:r>
      <w:r>
        <w:t xml:space="preserve">) ● Anno 6 – Diretti: 565 ×15 ≈ 8,5 miliardi – Indiretti: 734 ×15 ≈ 11,0 miliardi – Totale: 19,5 miliardi/anno ● Anno 7 – Diretti: 565 ×15 ≈ 8,5 miliardi – Indiretti: 734 ×15 ≈ 11,0 miliardi – Totale: 19,5 miliardi/anno ● Anno 8 – Diretti: 565 ×15 ≈ 8,5 miliardi – Indiretti: 734 ×15 ≈ 11,0 miliardi – Totale: 19,5 miliardi/anno ● Anno 9 – Diretti: 565 ×15 ≈ 8,5 miliardi – Indiretti: 734 ×15 ≈ 11,0 miliardi – Totale: 19,5 miliardi/anno ● Anno 10 – Diretti: 655 ×15 ≈ 9,8 miliardi – Indiretti: 870 ×15 ≈ 13,1 miliardi – Totale: 22,9 miliardi/anno In questa dinamica: ● gli anni 1–3 corrispondono alla fase di implementazione progressiva (copertura crescente delle regioni, costruzione degli assetti organizzativi, diffusione dei ROMS); ● gli anni 4–5 segnano il pieno regime del modello</w:t>
      </w:r>
      <w:r>
        <w:t xml:space="preserve"> </w:t>
      </w:r>
      <w:r>
        <w:t xml:space="preserve">“base”</w:t>
      </w:r>
      <w:r>
        <w:t xml:space="preserve">; ● gli anni 6–9 riflettono un regime ottimizzato, con ulteriori guadagni derivanti da telepsicologia, programmi digitali e integrazione matura con DSM e CSM;● l’anno 10 integra anche il pieno effetto su invalidità, cronicità e produttività. 5.3 Risparmi cumulati su 1, 3, 5 e 10 anni Sommando i valori anno per anno si ottengono i seguenti cumulati nazionali, sempre in miliardi di euro: ● Primo anno – Diretti: ≈ 2,1 miliardi – Indiretti: ≈ 3,0 miliardi – Totale: ≈ 5,1 miliardi ● Primi 3 anni (1+2+3) – Diretti: 2,1 + 3,75 + 5,48 ≈ 11,3 miliardi – Indiretti: 3,0 + 5,55 + 7,28 ≈ 15,8 miliardi – Totale: ≈ 27,1 miliardi ● Primi 5 anni (1–5) – Diretti: 11,3 + 8,1 + 8,1 ≈ 27,5–27,8 miliardi (arrotondato: 27,8) – Indiretti: 15,8 + 10,6 + 10,6 ≈ 37,0–37,1 miliardi (arrotondato: 36,9–37,0) – Totale: ≈ 64,7 miliardi ● Primi 10 anni (1–10) – Diretti: somma di tutti gli anni ≈ 87 miliardi – Indiretti: somma di tutti gli anni ≈ 109,5 miliardi – Totale: ≈ 196,5 miliardi Questi valori decennali – circa 87 miliardi di risparmi sanitari diretti e 109,5 miliardi di risparmi indiretti – rappresentano la ricalibratura esplicita dei valori pugliesi (5,8 e 7,3 miliardi in 10 anni) moltiplicati per il rapporto di popolazione e corretti per il contesto nazionale. 5.4 Rapporto costi‑benefici e ROI nazionale A fronte di questi risparmi, il costo del Servizio di Psicologia di Base nazionale è dell’ordine di 600–700 milioni/anno. Su un orizzonte decennale, la spesa cumulata si colloca quindi tra 6 e 7 miliardi di euro. Mettere a confronto 196,5 miliardi di risparmi cumulati con 6–7 miliardi di costi significa ottenere un rapporto costi‑benefici complessivo nell’ordine di 1:13–1:17: ● se si considera solo la parte più prudente dei risparmi; ● se si include una quota di costi di implementazione aggiuntivi (es. start‑up, formazione intensiva, potenziamento ROMS). In scenari meno conservativi – ovvero se una quota più ampia dei risparmi indiretti venisse effettivamente</w:t>
      </w:r>
      <w:r>
        <w:t xml:space="preserve"> </w:t>
      </w:r>
      <w:r>
        <w:t xml:space="preserve">“catturata”</w:t>
      </w:r>
      <w:r>
        <w:t xml:space="preserve"> </w:t>
      </w:r>
      <w:r>
        <w:t xml:space="preserve">dai bilanci pubblici – il ROI potrebbe risultare ancora più elevato. Tuttavia, per mantenere un profilo metodologico prudente e credibile, ci si attesta sull’intervallo 1:13–1:17, già straordinariamente vantaggioso per una politica pubblica.6. Coerenza con le best‑practices internazionali e gli studi di Solano Il modello nazionale di Psicologia di Base così ricalibrato è pienamente coerente con: ● IAPT (Regno Unito) – che ha dimostrato l’elevata costo‑efficacia delle psicoterapie evidence‑based erogate in setting territoriali, con recovery rate attorno al 50% e costi per QALY ben al di sotto delle soglie di costo‑efficacia; ● POH‑GGZ (Paesi Bassi) – che ha integrato psicologi di base negli studi di medicina generale, ottenendo riduzioni nette di invii impropri alla psichiatria e consumo farmacologico, con finanziamenti dedicati; ● Better Access (Australia) – che ha ampliato l’accesso alla psicoterapia tramite rimborsi pubblici, mostrando importante impatto in termini di esiti clinici, pur con alcune criticità di equità. In aggiunta, il modello italiano è rafforzato dalle esperienze autoctone, in particolare gli studi di Solano nel Lazio, che hanno già documentato – nel contesto del SSN – la capacità dello Psicologo di Base di: ● ridurre visite specialistiche ed esami non necessari; ● migliorare la qualità diagnostica e il triage tra organico, psichico e psicosomatico; ● diminuire l’uso cronico di farmaci impropri; ● alleggerire il carico di lavoro dei MMG e migliorare la soddisfazione degli utenti. La riforma proposta non è dunque un mero trapianto di esperienze straniere, ma una scalatura sistemica di sperimentazioni italiane già riuscite. 7. Implicazioni di policy per il SSN Le cifre ricalibrate mostrano che lo Psicologo di Base nazionale è una misura di riforma strutturale del SSN con caratteristiche peculiari: 1. Costo relativamente contenuto (600–700 milioni/anno, meno dell’1% della spesa sanitaria) rispetto ai benefici potenziali (risparmi diretti+indiretti nell’ordine di 9–11 miliardi/anno a regime). 2. Capacità di incidere trasversalmente su molte voci di spesa: diagnostica, specialistica, farmaceutica, ospedaliera, salute mentale, invalidità, welfare comunale. 3. Allineamento con il PNRR e le Case della Comunità, che forniscono gli spazi fisici ideali per collocare gli Psicologi di Base senza costi aggiuntivi significativi per infrastrutture. 4. Potenziale di riduzione delle diseguaglianze: l’accesso a interventi psicologici di qualità diventerebbe un diritto garantito, non un privilegio legato al reddito.La governance del servizio dovrebbe prevedere una cabina di regia nazionale e un ruolo forte delle Regioni, con indicatori di performance chiari (riduzione di farmaci, visite, ricoveri, tempi di attesa, invalidità; miglioramento di esiti clinici e soddisfazione), integrati in un sistema di monitoraggio continuo basato su ROMS. 8. Conclusioni La versione rivista di questo capitolo, con cifre ricalibrate per l’Italia intera, consente di affermare che: ● il Servizio di Psicologia di Base nazionale comporta un costo annuo di 600–700 milioni di euro, pari a circa 10–12 euro per abitante e a meno dello 0,6% della spesa sanitaria; ● genera, a regime, risparmi annuali complessivi (diretti + indiretti) dell’ordine di 9–11 miliardi di euro, con una traiettoria di crescita che porta, su dieci anni, a circa 87 miliardi di risparmi sanitari diretti e 109,5 miliardi di risparmi indiretti; ● il ROI complessivo si colloca in modo robusto nell’intervallo 1:13–1:17, anche adottando ipotesi prudenti sulla quota di risparmi effettivamente catturabile dai bilanci pubblici; ● il modello è pienamente coerente con le evidenze internazionali e con gli studi italiani di Solano, e non presenta salti logici o ordini di grandezza incompatibili con i costi reali dei disturbi mentali in Italia. In sintesi, lo Psicologo di Base, applicato all’intero territorio nazionale, emerge come una delle riforme più promettenti per coniugare sostenibilità economica, qualità delle cure e giustizia sociale nel Servizio Sanitario Nazionale italiano: un investimento limitato, ma capace di produrre effetti sistemici di enorme portata sull’intero ciclo di vita della spesa sanitaria e sul benessere della popolazione.</w:t>
      </w:r>
    </w:p>
    <w:bookmarkEnd w:id="162"/>
    <w:bookmarkStart w:id="4167" w:name="blocco-regionale-i-italia-settentrionale"/>
    <w:p>
      <w:pPr>
        <w:pStyle w:val="Heading1"/>
      </w:pPr>
      <w:r>
        <w:t xml:space="preserve">Blocco Regionale I — Italia settentrionale</w:t>
      </w:r>
    </w:p>
    <w:bookmarkStart w:id="163" w:name="piemonte-studio-hta-integrale"/>
    <w:p>
      <w:pPr>
        <w:pStyle w:val="Heading2"/>
      </w:pPr>
      <w:r>
        <w:t xml:space="preserve">Piemonte — Studio HTA integrale</w:t>
      </w:r>
    </w:p>
    <w:p>
      <w:pPr>
        <w:pStyle w:val="FirstParagraph"/>
      </w:pPr>
      <w:r>
        <w:t xml:space="preserve">Studio Integrale Regionale · Regione Piemonte</w:t>
      </w:r>
    </w:p>
    <w:p>
      <w:pPr>
        <w:pStyle w:val="BodyText"/>
      </w:pPr>
      <w:r>
        <w:t xml:space="preserve">Progetto «Psicologo di Base» — Riforma «Psicologo di Base»: dal primato operativo al servizio strutturato per legge. Applicazione del telaio integrato in undici parti e cinque appendici (Modello HTA · Five Case Model · CHEERS 2022 · criteri OCSE-DAC).</w:t>
      </w:r>
    </w:p>
    <w:p>
      <w:pPr>
        <w:pStyle w:val="BodyText"/>
      </w:pPr>
      <w:r>
        <w:t xml:space="preserve">Indice</w:t>
      </w:r>
    </w:p>
    <w:bookmarkEnd w:id="163"/>
    <w:bookmarkStart w:id="4168" w:name="premessa-generale"/>
    <w:p>
      <w:pPr>
        <w:pStyle w:val="Heading2"/>
      </w:pPr>
      <w:r>
        <w:t xml:space="preserve">Premessa generale</w:t>
      </w:r>
    </w:p>
    <w:p>
      <w:pPr>
        <w:pStyle w:val="FirstParagraph"/>
      </w:pPr>
      <w:r>
        <w:t xml:space="preserve">Questo documento apre e ordina lo studio integrale per la Regione Piemonte sulla riforma «Psicologo di Base». Esso non contiene una nuova analisi, ma fornisce la chiave di navigazione dell’intero corpus: la premessa, l’indice generale di tutte le parti e di tutte le appendici, la mappa di integrazione delle cornici metodologiche e la sintesi del valore. Il Piemonte occupa, nel panorama nazionale, una posizione del tutto peculiare: è la prima e inizialmente unica Regione ad aver attivato a livello regionale il servizio di psicologia delle cure primarie, operativo da marzo 2023, con oltre 3.000 pazienti presi in carico e oltre 15.000 prestazioni erogate al 31 dicembre 2023, finanziato dapprima con fondi statali e poi rifinanziato con risorse regionali a quota capitaria. Il servizio gira tuttavia su base libero-professionale e non è ancora istituzionalizzato da una legge regionale dedicata: sono stati presentati più disegni di legge, nessuno dei quali approvato, mentre è stata già approvata per legge la psicologia scolastica. La decisione rilevante non è dunque se introdurre il servizio — già operativo e pioniere in Italia — ma se dotarlo di una base giuridica stabile e dimensionarlo, dando forma compiuta e duratura a una funzione già praticata.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4168"/>
    <w:bookmarkStart w:id="165" w:name="indice-generale-del-corpus"/>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05"/>
        <w:gridCol w:w="1105"/>
        <w:gridCol w:w="561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A.1-A.3</w:t>
            </w:r>
          </w:p>
        </w:tc>
        <w:tc>
          <w:tcPr/>
          <w:p>
            <w:pPr>
              <w:pStyle w:val="Compact"/>
              <w:spacing w:after="40" w:before="40"/>
              <w:jc w:val="left"/>
            </w:pPr>
            <w:r>
              <w:rPr>
                <w:rFonts w:ascii="Cambria" w:hAnsi="Cambria" w:cs="Cambria" w:eastAsia="Cambria"/>
                <w:color w:val="1A1A1A"/>
                <w:sz w:val="18"/>
              </w:rPr>
              <w:t xml:space="preserve">Quadro, quesito e metodo: scopo e quesito (PICOTS),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Problema di salute, bisogno e contesto: demografia, epidemiologia, domanda e offerta, disuguaglianze,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L’intervento e il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clinica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casi economico e finanziario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parametri, sensibilità,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G.1-G.3</w:t>
            </w:r>
          </w:p>
        </w:tc>
        <w:tc>
          <w:tcPr/>
          <w:p>
            <w:pPr>
              <w:pStyle w:val="Compact"/>
              <w:spacing w:after="40" w:before="40"/>
              <w:jc w:val="left"/>
            </w:pPr>
            <w:r>
              <w:rPr>
                <w:rFonts w:ascii="Cambria" w:hAnsi="Cambria" w:cs="Cambria" w:eastAsia="Cambria"/>
                <w:color w:val="1A1A1A"/>
                <w:sz w:val="18"/>
              </w:rPr>
              <w:t xml:space="preserve">Equità e impatto distributivo: analisi di equità, costo-efficacia distributiva, divari territoriali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H.1-H.3</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etico, costituzionale, organizzativo e conformità</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implementazione, dimensionamento, casi commerciale e gestionale,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valutazione ed ex post: indicatori, protocollo, controfattuale, verifica ex post, cruscotto</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M.1-M.4</w:t>
            </w:r>
          </w:p>
        </w:tc>
        <w:tc>
          <w:tcPr/>
          <w:p>
            <w:pPr>
              <w:pStyle w:val="Compact"/>
              <w:spacing w:after="40" w:before="40"/>
              <w:jc w:val="left"/>
            </w:pPr>
            <w:r>
              <w:rPr>
                <w:rFonts w:ascii="Cambria" w:hAnsi="Cambria" w:cs="Cambria" w:eastAsia="Cambria"/>
                <w:color w:val="1A1A1A"/>
                <w:sz w:val="18"/>
              </w:rPr>
              <w:t xml:space="preserve">Sintesi multidimensionale e raccomandazioni: griglia OCSE-DAC, analisi multi-criterio, raccomandazioni, limiti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A</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tavola delle assunzioni e dei parametri</w:t>
            </w:r>
          </w:p>
        </w:tc>
      </w:tr>
      <w:tr>
        <w:tc>
          <w:tcPr/>
          <w:p>
            <w:pPr>
              <w:pStyle w:val="Compact"/>
              <w:spacing w:after="40" w:before="40"/>
              <w:jc w:val="left"/>
            </w:pPr>
            <w:r>
              <w:rPr>
                <w:rFonts w:ascii="Cambria" w:hAnsi="Cambria" w:cs="Cambria" w:eastAsia="Cambria"/>
                <w:b/>
                <w:bCs/>
                <w:color w:val="1A1A1A"/>
                <w:sz w:val="18"/>
              </w:rPr>
              <w:t xml:space="preserve">Appendice B</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Strumenti di esito e dataset minimo: questionari e dizionario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C</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Dati regionali e fonti: valori di ancoraggio e dati da acquisire</w:t>
            </w:r>
          </w:p>
        </w:tc>
      </w:tr>
      <w:tr>
        <w:tc>
          <w:tcPr/>
          <w:p>
            <w:pPr>
              <w:pStyle w:val="Compact"/>
              <w:spacing w:after="40" w:before="40"/>
              <w:jc w:val="left"/>
            </w:pPr>
            <w:r>
              <w:rPr>
                <w:rFonts w:ascii="Cambria" w:hAnsi="Cambria" w:cs="Cambria" w:eastAsia="Cambria"/>
                <w:b/>
                <w:bCs/>
                <w:color w:val="1A1A1A"/>
                <w:sz w:val="18"/>
              </w:rPr>
              <w:t xml:space="preserve">Appendice D</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Checklist di reporting: CHEERS, PRISMA, GRADE, STROBE, ISPOR-SMDM, OCSE-JRC</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165"/>
    <w:bookmarkStart w:id="166" w:name="la-mappa-di-integrazione-del-telaio"/>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87"/>
        <w:gridCol w:w="1208"/>
        <w:gridCol w:w="1745"/>
        <w:gridCol w:w="17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Parte</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HTA</w:t>
            </w:r>
          </w:p>
        </w:tc>
        <w:tc>
          <w:tcPr>
            <w:shd w:val="clear" w:color="auto" w:fill="16264B"/>
          </w:tcPr>
          <w:p>
            <w:pPr>
              <w:pStyle w:val="Compact"/>
              <w:spacing w:after="40" w:before="40"/>
              <w:jc w:val="left"/>
            </w:pPr>
            <w:r>
              <w:rPr>
                <w:rFonts w:ascii="Cambria" w:hAnsi="Cambria" w:cs="Cambria" w:eastAsia="Cambria"/>
                <w:b/>
                <w:bCs/>
                <w:color w:val="FFFFFF"/>
                <w:sz w:val="18"/>
              </w:rPr>
              <w:t xml:space="preserve">Caso (5CM)</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Criterio OCSE-DAC</w:t>
            </w:r>
          </w:p>
        </w:tc>
      </w:tr>
      <w:tr>
        <w:tc>
          <w:tcPr/>
          <w:p>
            <w:pPr>
              <w:pStyle w:val="Compact"/>
              <w:spacing w:after="40" w:before="40"/>
              <w:jc w:val="left"/>
            </w:pPr>
            <w:r>
              <w:rPr>
                <w:rFonts w:ascii="Cambria" w:hAnsi="Cambria" w:cs="Cambria" w:eastAsia="Cambria"/>
                <w:b/>
                <w:bCs/>
                <w:color w:val="1A1A1A"/>
                <w:sz w:val="18"/>
              </w:rPr>
              <w:t xml:space="preserve">A — Quadro e metodo</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Imposta la griglia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 — Bisogno e contesto</w:t>
            </w:r>
          </w:p>
        </w:tc>
        <w:tc>
          <w:tcPr>
            <w:shd w:val="clear" w:color="auto" w:fill="F4F1EC"/>
          </w:tcPr>
          <w:p>
            <w:pPr>
              <w:pStyle w:val="Compact"/>
              <w:spacing w:after="40" w:before="40"/>
              <w:jc w:val="left"/>
            </w:pPr>
            <w:r>
              <w:rPr>
                <w:rFonts w:ascii="Cambria" w:hAnsi="Cambria" w:cs="Cambria" w:eastAsia="Cambria"/>
                <w:color w:val="1A1A1A"/>
                <w:sz w:val="18"/>
              </w:rPr>
              <w:t xml:space="preserve">Dominio 1</w:t>
            </w:r>
          </w:p>
        </w:tc>
        <w:tc>
          <w:tcPr>
            <w:shd w:val="clear" w:color="auto" w:fill="F4F1EC"/>
          </w:tcPr>
          <w:p>
            <w:pPr>
              <w:pStyle w:val="Compact"/>
              <w:spacing w:after="40" w:before="40"/>
              <w:jc w:val="left"/>
            </w:pPr>
            <w:r>
              <w:rPr>
                <w:rFonts w:ascii="Cambria" w:hAnsi="Cambria" w:cs="Cambria" w:eastAsia="Cambria"/>
                <w:color w:val="1A1A1A"/>
                <w:sz w:val="18"/>
              </w:rPr>
              <w:t xml:space="preserve">Strategico</w:t>
            </w:r>
          </w:p>
        </w:tc>
        <w:tc>
          <w:tcPr>
            <w:shd w:val="clear" w:color="auto" w:fill="F4F1EC"/>
          </w:tcPr>
          <w:p>
            <w:pPr>
              <w:pStyle w:val="Compact"/>
              <w:spacing w:after="40" w:before="40"/>
              <w:jc w:val="left"/>
            </w:pPr>
            <w:r>
              <w:rPr>
                <w:rFonts w:ascii="Cambria" w:hAnsi="Cambria" w:cs="Cambria" w:eastAsia="Cambria"/>
                <w:color w:val="1A1A1A"/>
                <w:sz w:val="18"/>
              </w:rPr>
              <w:t xml:space="preserve">Rilevanza, coerenza</w:t>
            </w:r>
          </w:p>
        </w:tc>
      </w:tr>
      <w:tr>
        <w:tc>
          <w:tcPr/>
          <w:p>
            <w:pPr>
              <w:pStyle w:val="Compact"/>
              <w:spacing w:after="40" w:before="40"/>
              <w:jc w:val="left"/>
            </w:pPr>
            <w:r>
              <w:rPr>
                <w:rFonts w:ascii="Cambria" w:hAnsi="Cambria" w:cs="Cambria" w:eastAsia="Cambria"/>
                <w:b/>
                <w:bCs/>
                <w:color w:val="1A1A1A"/>
                <w:sz w:val="18"/>
              </w:rPr>
              <w:t xml:space="preserve">C — Intervento e modello</w:t>
            </w:r>
          </w:p>
        </w:tc>
        <w:tc>
          <w:tcPr/>
          <w:p>
            <w:pPr>
              <w:pStyle w:val="Compact"/>
              <w:spacing w:after="40" w:before="40"/>
              <w:jc w:val="left"/>
            </w:pPr>
            <w:r>
              <w:rPr>
                <w:rFonts w:ascii="Cambria" w:hAnsi="Cambria" w:cs="Cambria" w:eastAsia="Cambria"/>
                <w:color w:val="1A1A1A"/>
                <w:sz w:val="18"/>
              </w:rPr>
              <w:t xml:space="preserve">Domini 2–3</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 — Efficacia ed evidenza</w:t>
            </w:r>
          </w:p>
        </w:tc>
        <w:tc>
          <w:tcPr>
            <w:shd w:val="clear" w:color="auto" w:fill="F4F1EC"/>
          </w:tcPr>
          <w:p>
            <w:pPr>
              <w:pStyle w:val="Compact"/>
              <w:spacing w:after="40" w:before="40"/>
              <w:jc w:val="left"/>
            </w:pPr>
            <w:r>
              <w:rPr>
                <w:rFonts w:ascii="Cambria" w:hAnsi="Cambria" w:cs="Cambria" w:eastAsia="Cambria"/>
                <w:color w:val="1A1A1A"/>
                <w:sz w:val="18"/>
              </w:rPr>
              <w:t xml:space="preserve">Dominio 4</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Efficacia</w:t>
            </w:r>
          </w:p>
        </w:tc>
      </w:tr>
      <w:tr>
        <w:tc>
          <w:tcPr/>
          <w:p>
            <w:pPr>
              <w:pStyle w:val="Compact"/>
              <w:spacing w:after="40" w:before="40"/>
              <w:jc w:val="left"/>
            </w:pPr>
            <w:r>
              <w:rPr>
                <w:rFonts w:ascii="Cambria" w:hAnsi="Cambria" w:cs="Cambria" w:eastAsia="Cambria"/>
                <w:b/>
                <w:bCs/>
                <w:color w:val="1A1A1A"/>
                <w:sz w:val="18"/>
              </w:rPr>
              <w:t xml:space="preserve">E — Valutazione economica</w:t>
            </w:r>
          </w:p>
        </w:tc>
        <w:tc>
          <w:tcPr/>
          <w:p>
            <w:pPr>
              <w:pStyle w:val="Compact"/>
              <w:spacing w:after="40" w:before="40"/>
              <w:jc w:val="left"/>
            </w:pPr>
            <w:r>
              <w:rPr>
                <w:rFonts w:ascii="Cambria" w:hAnsi="Cambria" w:cs="Cambria" w:eastAsia="Cambria"/>
                <w:color w:val="1A1A1A"/>
                <w:sz w:val="18"/>
              </w:rPr>
              <w:t xml:space="preserve">Dominio 5</w:t>
            </w:r>
          </w:p>
        </w:tc>
        <w:tc>
          <w:tcPr/>
          <w:p>
            <w:pPr>
              <w:pStyle w:val="Compact"/>
              <w:spacing w:after="40" w:before="40"/>
              <w:jc w:val="left"/>
            </w:pPr>
            <w:r>
              <w:rPr>
                <w:rFonts w:ascii="Cambria" w:hAnsi="Cambria" w:cs="Cambria" w:eastAsia="Cambria"/>
                <w:color w:val="1A1A1A"/>
                <w:sz w:val="18"/>
              </w:rPr>
              <w:t xml:space="preserve">Economico, finanziario</w:t>
            </w:r>
          </w:p>
        </w:tc>
        <w:tc>
          <w:tcPr/>
          <w:p>
            <w:pPr>
              <w:pStyle w:val="Compact"/>
              <w:spacing w:after="40" w:before="40"/>
              <w:jc w:val="left"/>
            </w:pPr>
            <w:r>
              <w:rPr>
                <w:rFonts w:ascii="Cambria" w:hAnsi="Cambria" w:cs="Cambria" w:eastAsia="Cambria"/>
                <w:color w:val="1A1A1A"/>
                <w:sz w:val="18"/>
              </w:rPr>
              <w:t xml:space="preserve">Efficienza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 — 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Dominio 5</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Efficienza</w:t>
            </w:r>
          </w:p>
        </w:tc>
      </w:tr>
      <w:tr>
        <w:tc>
          <w:tcPr/>
          <w:p>
            <w:pPr>
              <w:pStyle w:val="Compact"/>
              <w:spacing w:after="40" w:before="40"/>
              <w:jc w:val="left"/>
            </w:pPr>
            <w:r>
              <w:rPr>
                <w:rFonts w:ascii="Cambria" w:hAnsi="Cambria" w:cs="Cambria" w:eastAsia="Cambria"/>
                <w:b/>
                <w:bCs/>
                <w:color w:val="1A1A1A"/>
                <w:sz w:val="18"/>
              </w:rPr>
              <w:t xml:space="preserve">G — Equità e impatto</w:t>
            </w:r>
          </w:p>
        </w:tc>
        <w:tc>
          <w:tcPr/>
          <w:p>
            <w:pPr>
              <w:pStyle w:val="Compact"/>
              <w:spacing w:after="40" w:before="40"/>
              <w:jc w:val="left"/>
            </w:pPr>
            <w:r>
              <w:rPr>
                <w:rFonts w:ascii="Cambria" w:hAnsi="Cambria" w:cs="Cambria" w:eastAsia="Cambria"/>
                <w:color w:val="1A1A1A"/>
                <w:sz w:val="18"/>
              </w:rPr>
              <w:t xml:space="preserve">Dominio 8</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Impatto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H — Profili etico/giuridico/organizz.</w:t>
            </w:r>
          </w:p>
        </w:tc>
        <w:tc>
          <w:tcPr>
            <w:shd w:val="clear" w:color="auto" w:fill="F4F1EC"/>
          </w:tcPr>
          <w:p>
            <w:pPr>
              <w:pStyle w:val="Compact"/>
              <w:spacing w:after="40" w:before="40"/>
              <w:jc w:val="left"/>
            </w:pPr>
            <w:r>
              <w:rPr>
                <w:rFonts w:ascii="Cambria" w:hAnsi="Cambria" w:cs="Cambria" w:eastAsia="Cambria"/>
                <w:color w:val="1A1A1A"/>
                <w:sz w:val="18"/>
              </w:rPr>
              <w:t xml:space="preserve">Domini 6, 7, 9</w:t>
            </w:r>
          </w:p>
        </w:tc>
        <w:tc>
          <w:tcPr>
            <w:shd w:val="clear" w:color="auto" w:fill="F4F1EC"/>
          </w:tcPr>
          <w:p>
            <w:pPr>
              <w:pStyle w:val="Compact"/>
              <w:spacing w:after="40" w:before="40"/>
              <w:jc w:val="left"/>
            </w:pPr>
            <w:r>
              <w:rPr>
                <w:rFonts w:ascii="Cambria" w:hAnsi="Cambria" w:cs="Cambria" w:eastAsia="Cambria"/>
                <w:color w:val="1A1A1A"/>
                <w:sz w:val="18"/>
              </w:rPr>
              <w:t xml:space="preserve">Gestionale</w:t>
            </w:r>
          </w:p>
        </w:tc>
        <w:tc>
          <w:tcPr>
            <w:shd w:val="clear" w:color="auto" w:fill="F4F1EC"/>
          </w:tcPr>
          <w:p>
            <w:pPr>
              <w:pStyle w:val="Compact"/>
              <w:spacing w:after="40" w:before="40"/>
              <w:jc w:val="left"/>
            </w:pPr>
            <w:r>
              <w:rPr>
                <w:rFonts w:ascii="Cambria" w:hAnsi="Cambria" w:cs="Cambria" w:eastAsia="Cambria"/>
                <w:color w:val="1A1A1A"/>
                <w:sz w:val="18"/>
              </w:rPr>
              <w:t xml:space="preserve">Coerenza</w:t>
            </w:r>
          </w:p>
        </w:tc>
      </w:tr>
      <w:tr>
        <w:tc>
          <w:tcPr/>
          <w:p>
            <w:pPr>
              <w:pStyle w:val="Compact"/>
              <w:spacing w:after="40" w:before="40"/>
              <w:jc w:val="left"/>
            </w:pPr>
            <w:r>
              <w:rPr>
                <w:rFonts w:ascii="Cambria" w:hAnsi="Cambria" w:cs="Cambria" w:eastAsia="Cambria"/>
                <w:b/>
                <w:bCs/>
                <w:color w:val="1A1A1A"/>
                <w:sz w:val="18"/>
              </w:rPr>
              <w:t xml:space="preserve">I — Attuazione e sostenibilità</w:t>
            </w:r>
          </w:p>
        </w:tc>
        <w:tc>
          <w:tcPr/>
          <w:p>
            <w:pPr>
              <w:pStyle w:val="Compact"/>
              <w:spacing w:after="40" w:before="40"/>
              <w:jc w:val="left"/>
            </w:pPr>
            <w:r>
              <w:rPr>
                <w:rFonts w:ascii="Cambria" w:hAnsi="Cambria" w:cs="Cambria" w:eastAsia="Cambria"/>
                <w:color w:val="1A1A1A"/>
                <w:sz w:val="18"/>
              </w:rPr>
              <w:t xml:space="preserve">Dominio 7</w:t>
            </w:r>
          </w:p>
        </w:tc>
        <w:tc>
          <w:tcPr/>
          <w:p>
            <w:pPr>
              <w:pStyle w:val="Compact"/>
              <w:spacing w:after="40" w:before="40"/>
              <w:jc w:val="left"/>
            </w:pPr>
            <w:r>
              <w:rPr>
                <w:rFonts w:ascii="Cambria" w:hAnsi="Cambria" w:cs="Cambria" w:eastAsia="Cambria"/>
                <w:color w:val="1A1A1A"/>
                <w:sz w:val="18"/>
              </w:rPr>
              <w:t xml:space="preserve">Commerciale, gestionale</w:t>
            </w:r>
          </w:p>
        </w:tc>
        <w:tc>
          <w:tcPr/>
          <w:p>
            <w:pPr>
              <w:pStyle w:val="Compact"/>
              <w:spacing w:after="40" w:before="40"/>
              <w:jc w:val="left"/>
            </w:pPr>
            <w:r>
              <w:rPr>
                <w:rFonts w:ascii="Cambria" w:hAnsi="Cambria" w:cs="Cambria" w:eastAsia="Cambria"/>
                <w:color w:val="1A1A1A"/>
                <w:sz w:val="18"/>
              </w:rPr>
              <w:t xml:space="preserve">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 — Monitoraggio ed ex post</w:t>
            </w:r>
          </w:p>
        </w:tc>
        <w:tc>
          <w:tcPr>
            <w:shd w:val="clear" w:color="auto" w:fill="F4F1EC"/>
          </w:tcPr>
          <w:p>
            <w:pPr>
              <w:pStyle w:val="Compact"/>
              <w:spacing w:after="40" w:before="40"/>
              <w:jc w:val="left"/>
            </w:pPr>
            <w:r>
              <w:rPr>
                <w:rFonts w:ascii="Cambria" w:hAnsi="Cambria" w:cs="Cambria" w:eastAsia="Cambria"/>
                <w:color w:val="1A1A1A"/>
                <w:sz w:val="18"/>
              </w:rPr>
              <w:t xml:space="preserve">Trasversale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Verifica ex post</w:t>
            </w:r>
          </w:p>
        </w:tc>
      </w:tr>
      <w:tr>
        <w:tc>
          <w:tcPr/>
          <w:p>
            <w:pPr>
              <w:pStyle w:val="Compact"/>
              <w:spacing w:after="40" w:before="40"/>
              <w:jc w:val="left"/>
            </w:pPr>
            <w:r>
              <w:rPr>
                <w:rFonts w:ascii="Cambria" w:hAnsi="Cambria" w:cs="Cambria" w:eastAsia="Cambria"/>
                <w:b/>
                <w:bCs/>
                <w:color w:val="1A1A1A"/>
                <w:sz w:val="18"/>
              </w:rPr>
              <w:t xml:space="preserve">M — Sintesi e raccomandazioni</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Tutti i criteri</w:t>
            </w:r>
          </w:p>
        </w:tc>
      </w:tr>
    </w:tbl>
    <w:p>
      <w:pPr>
        <w:pStyle w:val="BodyText"/>
      </w:pPr>
      <w:r>
        <w:rPr>
          <w:i/>
          <w:iCs/>
        </w:rPr>
        <w:t xml:space="preserve">Tabella 2. La mappa di integrazione delle quattro cornici, parte per parte.</w:t>
      </w:r>
    </w:p>
    <w:bookmarkEnd w:id="166"/>
    <w:bookmarkStart w:id="4169" w:name="la-sintesi-del-valore"/>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il Piemonte, regione con un sistema già efficiente, un livello essenziale di assistenza elevato e un saldo di mobilità sostanzialmente in equilibrio, sicché il canale del recupero della mobilità è solo marginalmente pertinente — e il saldo complessivo, ampiamente positivo. La tabella seguente lo riepiloga.</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26</w:t>
            </w:r>
          </w:p>
        </w:tc>
        <w:tc>
          <w:tcPr/>
          <w:p>
            <w:pPr>
              <w:pStyle w:val="Compact"/>
              <w:spacing w:after="40" w:before="40"/>
              <w:jc w:val="left"/>
            </w:pPr>
            <w:r>
              <w:rPr>
                <w:rFonts w:ascii="Cambria" w:hAnsi="Cambria" w:cs="Cambria" w:eastAsia="Cambria"/>
                <w:color w:val="1A1A1A"/>
                <w:sz w:val="18"/>
              </w:rPr>
              <w:t xml:space="preserve">~ 38</w:t>
            </w:r>
          </w:p>
        </w:tc>
        <w:tc>
          <w:tcPr/>
          <w:p>
            <w:pPr>
              <w:pStyle w:val="Compact"/>
              <w:spacing w:after="40" w:before="40"/>
              <w:jc w:val="left"/>
            </w:pPr>
            <w:r>
              <w:rPr>
                <w:rFonts w:ascii="Cambria" w:hAnsi="Cambria" w:cs="Cambria" w:eastAsia="Cambria"/>
                <w:color w:val="1A1A1A"/>
                <w:sz w:val="18"/>
              </w:rPr>
              <w:t xml:space="preserve">~ 51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16</w:t>
            </w:r>
          </w:p>
        </w:tc>
        <w:tc>
          <w:tcPr>
            <w:shd w:val="clear" w:color="auto" w:fill="F4F1EC"/>
          </w:tcPr>
          <w:p>
            <w:pPr>
              <w:pStyle w:val="Compact"/>
              <w:spacing w:after="40" w:before="40"/>
              <w:jc w:val="left"/>
            </w:pPr>
            <w:r>
              <w:rPr>
                <w:rFonts w:ascii="Cambria" w:hAnsi="Cambria" w:cs="Cambria" w:eastAsia="Cambria"/>
                <w:color w:val="1A1A1A"/>
                <w:sz w:val="18"/>
              </w:rPr>
              <w:t xml:space="preserve">~ 26</w:t>
            </w:r>
          </w:p>
        </w:tc>
        <w:tc>
          <w:tcPr>
            <w:shd w:val="clear" w:color="auto" w:fill="F4F1EC"/>
          </w:tcPr>
          <w:p>
            <w:pPr>
              <w:pStyle w:val="Compact"/>
              <w:spacing w:after="40" w:before="40"/>
              <w:jc w:val="left"/>
            </w:pPr>
            <w:r>
              <w:rPr>
                <w:rFonts w:ascii="Cambria" w:hAnsi="Cambria" w:cs="Cambria" w:eastAsia="Cambria"/>
                <w:color w:val="1A1A1A"/>
                <w:sz w:val="18"/>
              </w:rPr>
              <w:t xml:space="preserve">~ 39</w:t>
            </w:r>
          </w:p>
        </w:tc>
      </w:tr>
      <w:tr>
        <w:tc>
          <w:tcPr/>
          <w:p>
            <w:pPr>
              <w:pStyle w:val="Compact"/>
              <w:spacing w:after="40" w:before="40"/>
              <w:jc w:val="left"/>
            </w:pPr>
            <w:r>
              <w:rPr>
                <w:rFonts w:ascii="Cambria" w:hAnsi="Cambria" w:cs="Cambria" w:eastAsia="Cambria"/>
                <w:b/>
                <w:bCs/>
                <w:color w:val="1A1A1A"/>
                <w:sz w:val="18"/>
              </w:rPr>
              <w:t xml:space="preserve">Ricadute economico-sociali</w:t>
            </w:r>
          </w:p>
        </w:tc>
        <w:tc>
          <w:tcPr/>
          <w:p>
            <w:pPr>
              <w:pStyle w:val="Compact"/>
              <w:spacing w:after="40" w:before="40"/>
              <w:jc w:val="left"/>
            </w:pPr>
            <w:r>
              <w:rPr>
                <w:rFonts w:ascii="Cambria" w:hAnsi="Cambria" w:cs="Cambria" w:eastAsia="Cambria"/>
                <w:color w:val="1A1A1A"/>
                <w:sz w:val="18"/>
              </w:rPr>
              <w:t xml:space="preserve">~ 83</w:t>
            </w:r>
          </w:p>
        </w:tc>
        <w:tc>
          <w:tcPr/>
          <w:p>
            <w:pPr>
              <w:pStyle w:val="Compact"/>
              <w:spacing w:after="40" w:before="40"/>
              <w:jc w:val="left"/>
            </w:pPr>
            <w:r>
              <w:rPr>
                <w:rFonts w:ascii="Cambria" w:hAnsi="Cambria" w:cs="Cambria" w:eastAsia="Cambria"/>
                <w:color w:val="1A1A1A"/>
                <w:sz w:val="18"/>
              </w:rPr>
              <w:t xml:space="preserve">~ 154</w:t>
            </w:r>
          </w:p>
        </w:tc>
        <w:tc>
          <w:tcPr/>
          <w:p>
            <w:pPr>
              <w:pStyle w:val="Compact"/>
              <w:spacing w:after="40" w:before="40"/>
              <w:jc w:val="left"/>
            </w:pPr>
            <w:r>
              <w:rPr>
                <w:rFonts w:ascii="Cambria" w:hAnsi="Cambria" w:cs="Cambria" w:eastAsia="Cambria"/>
                <w:color w:val="1A1A1A"/>
                <w:sz w:val="18"/>
              </w:rPr>
              <w:t xml:space="preserve">~ 240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−10</w:t>
            </w:r>
          </w:p>
        </w:tc>
        <w:tc>
          <w:tcPr>
            <w:shd w:val="clear" w:color="auto" w:fill="F4F1EC"/>
          </w:tcPr>
          <w:p>
            <w:pPr>
              <w:pStyle w:val="Compact"/>
              <w:spacing w:after="40" w:before="40"/>
              <w:jc w:val="left"/>
            </w:pPr>
            <w:r>
              <w:rPr>
                <w:rFonts w:ascii="Cambria" w:hAnsi="Cambria" w:cs="Cambria" w:eastAsia="Cambria"/>
                <w:color w:val="1A1A1A"/>
                <w:sz w:val="18"/>
              </w:rPr>
              <w:t xml:space="preserve">~ −12</w:t>
            </w:r>
          </w:p>
        </w:tc>
        <w:tc>
          <w:tcPr>
            <w:shd w:val="clear" w:color="auto" w:fill="F4F1EC"/>
          </w:tcPr>
          <w:p>
            <w:pPr>
              <w:pStyle w:val="Compact"/>
              <w:spacing w:after="40" w:before="40"/>
              <w:jc w:val="left"/>
            </w:pPr>
            <w:r>
              <w:rPr>
                <w:rFonts w:ascii="Cambria" w:hAnsi="Cambria" w:cs="Cambria" w:eastAsia="Cambria"/>
                <w:color w:val="1A1A1A"/>
                <w:sz w:val="18"/>
              </w:rPr>
              <w:t xml:space="preserve">~ −12</w:t>
            </w:r>
          </w:p>
        </w:tc>
      </w:tr>
      <w:tr>
        <w:tc>
          <w:tcPr/>
          <w:p>
            <w:pPr>
              <w:pStyle w:val="Compact"/>
              <w:spacing w:after="40" w:before="40"/>
              <w:jc w:val="left"/>
            </w:pPr>
            <w:r>
              <w:rPr>
                <w:rFonts w:ascii="Cambria" w:hAnsi="Cambria" w:cs="Cambria" w:eastAsia="Cambria"/>
                <w:b/>
                <w:bCs/>
                <w:color w:val="1A1A1A"/>
                <w:sz w:val="18"/>
              </w:rPr>
              <w:t xml:space="preserve">Saldo complessivo (caso economico)</w:t>
            </w:r>
          </w:p>
        </w:tc>
        <w:tc>
          <w:tcPr/>
          <w:p>
            <w:pPr>
              <w:pStyle w:val="Compact"/>
              <w:spacing w:after="40" w:before="40"/>
              <w:jc w:val="left"/>
            </w:pPr>
            <w:r>
              <w:rPr>
                <w:rFonts w:ascii="Cambria" w:hAnsi="Cambria" w:cs="Cambria" w:eastAsia="Cambria"/>
                <w:color w:val="1A1A1A"/>
                <w:sz w:val="18"/>
              </w:rPr>
              <w:t xml:space="preserve">+73</w:t>
            </w:r>
          </w:p>
        </w:tc>
        <w:tc>
          <w:tcPr/>
          <w:p>
            <w:pPr>
              <w:pStyle w:val="Compact"/>
              <w:spacing w:after="40" w:before="40"/>
              <w:jc w:val="left"/>
            </w:pPr>
            <w:r>
              <w:rPr>
                <w:rFonts w:ascii="Cambria" w:hAnsi="Cambria" w:cs="Cambria" w:eastAsia="Cambria"/>
                <w:color w:val="1A1A1A"/>
                <w:sz w:val="18"/>
              </w:rPr>
              <w:t xml:space="preserve">+142</w:t>
            </w:r>
          </w:p>
        </w:tc>
        <w:tc>
          <w:tcPr/>
          <w:p>
            <w:pPr>
              <w:pStyle w:val="Compact"/>
              <w:spacing w:after="40" w:before="40"/>
              <w:jc w:val="left"/>
            </w:pPr>
            <w:r>
              <w:rPr>
                <w:rFonts w:ascii="Cambria" w:hAnsi="Cambria" w:cs="Cambria" w:eastAsia="Cambria"/>
                <w:color w:val="1A1A1A"/>
                <w:sz w:val="18"/>
              </w:rPr>
              <w:t xml:space="preserve">+228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~3,8:1</w:t>
            </w:r>
          </w:p>
        </w:tc>
        <w:tc>
          <w:tcPr>
            <w:shd w:val="clear" w:color="auto" w:fill="F4F1EC"/>
          </w:tcPr>
          <w:p>
            <w:pPr>
              <w:pStyle w:val="Compact"/>
              <w:spacing w:after="40" w:before="40"/>
              <w:jc w:val="left"/>
            </w:pPr>
            <w:r>
              <w:rPr>
                <w:rFonts w:ascii="Cambria" w:hAnsi="Cambria" w:cs="Cambria" w:eastAsia="Cambria"/>
                <w:color w:val="1A1A1A"/>
                <w:sz w:val="18"/>
              </w:rPr>
              <w:t xml:space="preserve">~4,7:1</w:t>
            </w:r>
          </w:p>
        </w:tc>
        <w:tc>
          <w:tcPr>
            <w:shd w:val="clear" w:color="auto" w:fill="F4F1E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operativo in tutte le dodici Aziende Sanitarie Locali dal 2023 — ma se dotarlo di una base giuridica stabile, con una legge regionale e un rapporto convenzionale analogo a quello dei medici di medicina generale, e dimensionarlo, portandolo dalla copertura attuale, dell’ordine del 5% del fabbisogno, alla copertura sistematica, dell’ordine di 920 incarichi nello scenario espansivo. Il limite principale è il radicamento dei dati: le grandezze economiche sono in parte ricostruite a partire dai conti nazionali scalati per la quota di popolazione piemontese, del 7,2%, e non estratte dai conti regionali certificati delle Aziende Sanitarie Locali e delle Aziende Ospedaliero-Universitarie; la loro sostituzione con dati certificati è la condizione per la presentazione agli organi di controllo, ed è in Piemonte agevolata dalla disponibilità dei dati del servizio già attivo.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piemontese. Il primato operativo del Piemonte — prima Regione ad aver reso operativo il servizio, con dati di esito già disponibili — ne fa una candidata naturale a fungere da riferimento nazionale per la fase di strutturazione e di stabilizzazione per legge, anche per l’integrazione dell’intelligenza artificiale nel percorso assistenziale. Su questa base, e con la dichiarazione trasparente dei propri limiti, il corpus consegna al decisore un quadro completo e onesto su cui deliberare.</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4169"/>
    <w:bookmarkStart w:id="4170" w:name="parte-a-quadro-quesito-e-metodo"/>
    <w:p>
      <w:pPr>
        <w:pStyle w:val="Heading2"/>
      </w:pPr>
      <w:r>
        <w:t xml:space="preserve">Parte A — Quadro, quesito e metodo</w:t>
      </w:r>
    </w:p>
    <w:p>
      <w:pPr>
        <w:pStyle w:val="FirstParagraph"/>
      </w:pPr>
      <w:r>
        <w:t xml:space="preserve">Questa è la prima parte dello studio integrale per il Piemonte, che applica alla regione il telaio integrato sviluppato e validato per la Puglia e già esteso alla Lombardia, al Veneto e all’Emilia-Romagna. L’architettura e il caso di riferimento sono i medesimi, e mutano soltanto i dati di ingresso, ancorati al Piemonte.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veneto ed emiliano-romagnolo e con quelli delle altre Regioni.</w:t>
      </w:r>
    </w:p>
    <w:bookmarkStart w:id="169" w:name="Xbf179aa01538e10d1fb064e2923aa965a94c2f5"/>
    <w:p>
      <w:pPr>
        <w:pStyle w:val="Heading3"/>
      </w:pPr>
      <w:r>
        <w:t xml:space="preserve">A.1 Scopo, quesito di valutazione e standard adottati</w:t>
      </w:r>
    </w:p>
    <w:p>
      <w:pPr>
        <w:pStyle w:val="FirstParagraph"/>
      </w:pPr>
      <w:r>
        <w:t xml:space="preserve">Lo studio ha per oggetto il Servizio di Psicologia di Base nelle cure primarie del Piemonte, inteso come consolidamento strutturato e quantificato di una funzione che la regione ha già attivato e reso operativa su tutto il territorio — prima Regione in Italia a farlo, dal marzo 2023, con finanziamento regionale a quota capitaria e oltre tremila pazienti presi in carico nel primo anno — ma che non è ancora stata istituzionalizzata da una legge regionale dedicata né portata a un dimensionamento adeguato al fabbisogno.</w:t>
      </w:r>
      <w:r>
        <w:rPr>
          <w:rStyle w:val="FootnoteReference"/>
        </w:rPr>
        <w:footnoteReference w:id="1250"/>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già attiva e operante, oltre che oggetto di più disegni di legge — ma se darle una base giuridica stabile e dimensionarla: l’esperienza operativa esiste e produce numeri verificabili, ma una legge dedicata, un rapporto convenzionale e una copertura adeguata sono ancora da definire, a fronte di un fabbisogno a regime stimato nell’ordine di 920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850.000 persone, si somma un’utenza specialistica in carico ai Dipartimenti di Salute Mentale, in un quadro segnato da componenti convergenti — il bisogno dell’età anziana accentuato nelle aree interne e alpine, il disagio connesso al lavoro nella popolazione attiva e il disagio giovanile — cui si aggiunge la pressione delle liste di attesa, che sospinge la mobilità verso altre regioni.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piemontesi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il servizio è già operativo su base sperimentale e libero-professionale, ma non strutturato per legge né dimensionato al fabbisogno. Gli esiti sono clinici, economici, sociali e di sistema. I tempi distinguono l’orizzonte pluriennale degli esiti dall’orizzonte triennale-quinquennale del bilancio. Il contesto è il Servizio sanitario del Piemonte, con le sue dodici Aziende Sanitarie Locali, le quattro Aziende Ospedaliero-Universitarie, le due Aziende Ospedaliere e la rete delle Case della Comunità e delle Case della Salute. La tabella seguente riepiloga gli elementi del quesito.</w:t>
      </w:r>
    </w:p>
    <w:tbl>
      <w:tblPr>
        <w:tblStyle w:val="Table"/>
        <w:tblW w:type="pct" w:w="495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83"/>
        <w:gridCol w:w="667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il Piemonte</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piemontesi con disagio psichico comune (~850.000);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Psicologo di base nelle cure primarie, primo livello e filtro, portato a regime (~470/700/920 incarichi); stabilizzazione e dimensionamento del servizio già attivo</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Condizione attuale: servizio già operativo a livello regionale dal 2023 su base libero-professionale, privo di legge dedicata e dimensionato a circa il 5% del fabbisogno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liste di attesa)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Servizio sanitario regionale del Piemonte; dodici Aziende Sanitarie Locali, quattro Aziende Ospedaliero-Universitarie, due Aziende Ospedaliere, rete delle Case della Comunità e delle Case della Salute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69"/>
    <w:bookmarkStart w:id="4171" w:name="a.2-il-caso-di-riferimento-e-i-metodi"/>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Sanitarie Locali e i distretti, per dare conto anche dei divari territoriali interni.</w:t>
      </w:r>
    </w:p>
    <w:tbl>
      <w:tblPr>
        <w:tblStyle w:val="Table"/>
        <w:tblW w:type="pct" w:w="494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92"/>
        <w:gridCol w:w="62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Condizione attuale, ovvero servizio attivo su base sperimentale e libero-professionale, non strutturato per legge né dimensionato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Regione, con disaggregazione per Azienda Sanitaria Locale e distretto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il Piemonte, un rilievo particolare e di segno diverso da quello delle regioni nettamente creditrici: il saldo di mobilità sanitaria è in sostanziale equilibrio, marginalmente negativo e in peggioramento, ma il passivo è trainato dalla specialistica e dal ricovero nelle province di confine più che dalla domanda psicologica, sicché il canale del recupero della mobilità è solo marginalmente pertinente. Ne consegue che il saldo diretto risulta lievemente negativo e che il caso economico poggia in misura preponderante sulle ricadute sociali, che lo studio stima con criteri conservativi; in un contesto di pressione finanziaria e di liste di attesa,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il Piemonte il disegno controfattuale assume una forma propria: poiché il servizio è già attivo in tutte le Aziende Sanitarie Locali, non vi è un dispiegamento scaglionato a partire da zero da sfruttare, e l’effetto causale va stimato dal confronto prima-dopo l’attivazione del 2023 e dall’eterogeneità dell’intensità di copertura tra le aziende, con i metodi della differenza-nelle-differenze e del controllo sintetico. La tabella seguente colloca ciascuna metodologia nella sua sede.</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357"/>
        <w:gridCol w:w="30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generato oltre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 nel tempo</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Parte F</w:t>
            </w:r>
          </w:p>
        </w:tc>
        <w:tc>
          <w:tcPr/>
          <w:p>
            <w:pPr>
              <w:pStyle w:val="Compact"/>
              <w:spacing w:after="40" w:before="40"/>
              <w:jc w:val="left"/>
            </w:pPr>
            <w:r>
              <w:rPr>
                <w:rFonts w:ascii="Cambria" w:hAnsi="Cambria" w:cs="Cambria" w:eastAsia="Cambria"/>
                <w:color w:val="1A1A1A"/>
                <w:sz w:val="18"/>
              </w:rPr>
              <w:t xml:space="preserve">Governo dell’incertezza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w:t>
            </w:r>
          </w:p>
        </w:tc>
        <w:tc>
          <w:tcPr>
            <w:shd w:val="clear" w:color="auto" w:fill="F4F1EC"/>
          </w:tcPr>
          <w:p>
            <w:pPr>
              <w:pStyle w:val="Compact"/>
              <w:spacing w:after="40" w:before="40"/>
              <w:jc w:val="left"/>
            </w:pPr>
            <w:r>
              <w:rPr>
                <w:rFonts w:ascii="Cambria" w:hAnsi="Cambria" w:cs="Cambria" w:eastAsia="Cambria"/>
                <w:color w:val="1A1A1A"/>
                <w:sz w:val="18"/>
              </w:rPr>
              <w:t xml:space="preserve">Parte G</w:t>
            </w:r>
          </w:p>
        </w:tc>
        <w:tc>
          <w:tcPr>
            <w:shd w:val="clear" w:color="auto" w:fill="F4F1EC"/>
          </w:tcPr>
          <w:p>
            <w:pPr>
              <w:pStyle w:val="Compact"/>
              <w:spacing w:after="40" w:before="40"/>
              <w:jc w:val="left"/>
            </w:pPr>
            <w:r>
              <w:rPr>
                <w:rFonts w:ascii="Cambria" w:hAnsi="Cambria" w:cs="Cambria" w:eastAsia="Cambria"/>
                <w:color w:val="1A1A1A"/>
                <w:sz w:val="18"/>
              </w:rPr>
              <w:t xml:space="preserve">Misura dell’equità distributiva</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Parte L</w:t>
            </w:r>
          </w:p>
        </w:tc>
        <w:tc>
          <w:tcPr/>
          <w:p>
            <w:pPr>
              <w:pStyle w:val="Compact"/>
              <w:spacing w:after="40" w:before="40"/>
              <w:jc w:val="left"/>
            </w:pPr>
            <w:r>
              <w:rPr>
                <w:rFonts w:ascii="Cambria" w:hAnsi="Cambria" w:cs="Cambria" w:eastAsia="Cambria"/>
                <w:color w:val="1A1A1A"/>
                <w:sz w:val="18"/>
              </w:rPr>
              <w:t xml:space="preserve">Stima dell’effetto reale sul campo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sistema GRADE</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Fondazione e graduazione dell’evidenza</w:t>
            </w:r>
          </w:p>
        </w:tc>
      </w:tr>
      <w:tr>
        <w:tc>
          <w:tcPr/>
          <w:p>
            <w:pPr>
              <w:pStyle w:val="Compact"/>
              <w:spacing w:after="40" w:before="40"/>
              <w:jc w:val="left"/>
            </w:pPr>
            <w:r>
              <w:rPr>
                <w:rFonts w:ascii="Cambria" w:hAnsi="Cambria" w:cs="Cambria" w:eastAsia="Cambria"/>
                <w:b/>
                <w:bCs/>
                <w:color w:val="1A1A1A"/>
                <w:sz w:val="18"/>
              </w:rPr>
              <w:t xml:space="preserve">Analisi multi-criterio</w:t>
            </w:r>
          </w:p>
        </w:tc>
        <w:tc>
          <w:tcPr/>
          <w:p>
            <w:pPr>
              <w:pStyle w:val="Compact"/>
              <w:spacing w:after="40" w:before="40"/>
              <w:jc w:val="left"/>
            </w:pPr>
            <w:r>
              <w:rPr>
                <w:rFonts w:ascii="Cambria" w:hAnsi="Cambria" w:cs="Cambria" w:eastAsia="Cambria"/>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Composizione dei criteri non monetari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della regolamentazione</w:t>
            </w:r>
          </w:p>
        </w:tc>
        <w:tc>
          <w:tcPr>
            <w:shd w:val="clear" w:color="auto" w:fill="F4F1EC"/>
          </w:tcPr>
          <w:p>
            <w:pPr>
              <w:pStyle w:val="Compact"/>
              <w:spacing w:after="40" w:before="40"/>
              <w:jc w:val="left"/>
            </w:pPr>
            <w:r>
              <w:rPr>
                <w:rFonts w:ascii="Cambria" w:hAnsi="Cambria" w:cs="Cambria" w:eastAsia="Cambria"/>
                <w:color w:val="1A1A1A"/>
                <w:sz w:val="18"/>
              </w:rPr>
              <w:t xml:space="preserve">Parti H, L</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della norma ex ante ed ex post</w:t>
            </w:r>
          </w:p>
        </w:tc>
      </w:tr>
    </w:tbl>
    <w:p>
      <w:pPr>
        <w:pStyle w:val="BodyText"/>
      </w:pPr>
      <w:r>
        <w:rPr>
          <w:i/>
          <w:iCs/>
        </w:rPr>
        <w:t xml:space="preserve">Tabella A.3. Le dieci metodologie analitiche e la loro collocazione nello studio.</w:t>
      </w:r>
    </w:p>
    <w:bookmarkEnd w:id="4171"/>
    <w:bookmarkStart w:id="171" w:name="X6e1c9f68da77d3fd1864c47a0e7847e8262efb5"/>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dodici Aziende Sanitarie Locali, le Aziende Ospedaliero-Universitarie e le Aziende Ospedaliere, l’Ordine degli Psicologi del Piemonte, le rappresentanze della medicina generale e della pediatria di libera scelta e le università regionali. Come l’Emilia-Romagna, e a differenza del Veneto, il Piemonte non dispone di un’azienda regionale unica di coordinamento: il veicolo per una progettazione unitaria e un’attuazione omogenea è costituito dalla Regione, attraverso la sua Direzione competente, eventualmente affiancata da una cabina di regia regionale. Poiché il servizio è già operativo e ripartito tra le aziende a quota capitaria, la rete territoriale delle Case della Comunità e delle Case della Salute costituisce l’infrastruttura su cui esso è già innestato, e la sfida del governo è di stabilizzarlo e dimensionarlo, non di avviarlo: è il tratto che distingue il Piemonte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l’infrastruttura informatica regionale, incluso il sistema informativo per la salute mentale, costituisce una base per 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 Piemonte.</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disuguaglianze, flussi e cornice normativa</w:t>
      </w:r>
    </w:p>
    <w:p>
      <w:pPr>
        <w:pStyle w:val="BodyText"/>
      </w:pPr>
      <w:r>
        <w:t xml:space="preserve">Primo dominio dell’HTA · il problema di salute e il suo contesto</w:t>
      </w:r>
    </w:p>
    <w:bookmarkEnd w:id="171"/>
    <w:bookmarkEnd w:id="4170"/>
    <w:bookmarkStart w:id="4172" w:name="X447242122b1f74f81062061830309c3c36f33d2"/>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Piemonte. La struttura è quella già adottata per la Puglia, per la Lombardia, per il Veneto e per l’Emilia-Romagna,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Piemonte: non un sistema da introdurre ex novo, ma un servizio già operativo — primo in Italia — che attende di essere stabilizzato per legge e dimensionato al fabbisogno.</w:t>
      </w:r>
    </w:p>
    <w:bookmarkStart w:id="173" w:name="b.1-quadro-demografico"/>
    <w:p>
      <w:pPr>
        <w:pStyle w:val="Heading3"/>
      </w:pPr>
      <w:r>
        <w:t xml:space="preserve">B.1 Quadro demografico</w:t>
      </w:r>
    </w:p>
    <w:p>
      <w:pPr>
        <w:pStyle w:val="FirstParagraph"/>
      </w:pPr>
      <w:r>
        <w:t xml:space="preserve">Il Piemonte conta 4.251.868 residenti, pari a circa il 7,2% della popolazione nazionale, e presenta una popolazione sostanzialmente stabile e segnata da un marcato invecchiamento, con un saldo naturale fortemente negativo solo in parte compensato dal saldo migratorio. L’aspettativa di vita, dell’ordine degli ottantatré anni, è in linea con la media nazionale, ma la struttura per età è tra le più anziane del Paese. La componente straniera, pari al 10,4%, è prossima alla media nazionale e contribuisce a contenere il calo demografico, ma non costituisce il tratto distintivo del fabbisogno regionale. Il territorio si articola in otto province, con la sola provincia di Torino a raccogliere oltre la metà dei residenti e con una marcata variabilità interna fra l’area metropolitana e le aree interne e alpine. La tabella seguente ne riepiloga il profilo.</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36"/>
        <w:gridCol w:w="577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Piemonte</w:t>
            </w:r>
          </w:p>
        </w:tc>
      </w:tr>
      <w:tr>
        <w:tc>
          <w:tcPr/>
          <w:p>
            <w:pPr>
              <w:pStyle w:val="Compact"/>
              <w:spacing w:after="40" w:before="40"/>
              <w:jc w:val="left"/>
            </w:pPr>
            <w:r>
              <w:rPr>
                <w:rFonts w:ascii="Cambria" w:hAnsi="Cambria" w:cs="Cambria" w:eastAsia="Cambria"/>
                <w:b/>
                <w:bCs/>
                <w:color w:val="1A1A1A"/>
                <w:sz w:val="18"/>
              </w:rPr>
              <w:t xml:space="preserve">Popolazione (Censimento 2024)</w:t>
            </w:r>
          </w:p>
        </w:tc>
        <w:tc>
          <w:tcPr/>
          <w:p>
            <w:pPr>
              <w:pStyle w:val="Compact"/>
              <w:spacing w:after="40" w:before="40"/>
              <w:jc w:val="left"/>
            </w:pPr>
            <w:r>
              <w:rPr>
                <w:rFonts w:ascii="Cambria" w:hAnsi="Cambria" w:cs="Cambria" w:eastAsia="Cambria"/>
                <w:color w:val="1A1A1A"/>
                <w:sz w:val="18"/>
              </w:rPr>
              <w:t xml:space="preserve">4.251.868 (~7,2% del totale nazionale); sostanzialmente stabile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Aspettativa di vita</w:t>
            </w:r>
          </w:p>
        </w:tc>
        <w:tc>
          <w:tcPr>
            <w:shd w:val="clear" w:color="auto" w:fill="F4F1EC"/>
          </w:tcPr>
          <w:p>
            <w:pPr>
              <w:pStyle w:val="Compact"/>
              <w:spacing w:after="40" w:before="40"/>
              <w:jc w:val="left"/>
            </w:pPr>
            <w:r>
              <w:rPr>
                <w:rFonts w:ascii="Cambria" w:hAnsi="Cambria" w:cs="Cambria" w:eastAsia="Cambria"/>
                <w:color w:val="1A1A1A"/>
                <w:sz w:val="18"/>
              </w:rPr>
              <w:t xml:space="preserve">~ 83 anni, in linea con la media nazionale</w:t>
            </w:r>
          </w:p>
        </w:tc>
      </w:tr>
      <w:tr>
        <w:tc>
          <w:tcPr/>
          <w:p>
            <w:pPr>
              <w:pStyle w:val="Compact"/>
              <w:spacing w:after="40" w:before="40"/>
              <w:jc w:val="left"/>
            </w:pPr>
            <w:r>
              <w:rPr>
                <w:rFonts w:ascii="Cambria" w:hAnsi="Cambria" w:cs="Cambria" w:eastAsia="Cambria"/>
                <w:b/>
                <w:bCs/>
                <w:color w:val="1A1A1A"/>
                <w:sz w:val="18"/>
              </w:rPr>
              <w:t xml:space="preserve">Età media</w:t>
            </w:r>
          </w:p>
        </w:tc>
        <w:tc>
          <w:tcPr/>
          <w:p>
            <w:pPr>
              <w:pStyle w:val="Compact"/>
              <w:spacing w:after="40" w:before="40"/>
              <w:jc w:val="left"/>
            </w:pPr>
            <w:r>
              <w:rPr>
                <w:rFonts w:ascii="Cambria" w:hAnsi="Cambria" w:cs="Cambria" w:eastAsia="Cambria"/>
                <w:color w:val="1A1A1A"/>
                <w:sz w:val="18"/>
              </w:rPr>
              <w:t xml:space="preserve">~ 47–48 anni; struttura tra le più anziane d’Italia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Componente straniera</w:t>
            </w:r>
          </w:p>
        </w:tc>
        <w:tc>
          <w:tcPr>
            <w:shd w:val="clear" w:color="auto" w:fill="F4F1EC"/>
          </w:tcPr>
          <w:p>
            <w:pPr>
              <w:pStyle w:val="Compact"/>
              <w:spacing w:after="40" w:before="40"/>
              <w:jc w:val="left"/>
            </w:pPr>
            <w:r>
              <w:rPr>
                <w:rFonts w:ascii="Cambria" w:hAnsi="Cambria" w:cs="Cambria" w:eastAsia="Cambria"/>
                <w:color w:val="1A1A1A"/>
                <w:sz w:val="18"/>
              </w:rPr>
              <w:t xml:space="preserve">10,4% dei residenti, prossima alla media nazionale</w:t>
            </w:r>
          </w:p>
        </w:tc>
      </w:tr>
      <w:tr>
        <w:tc>
          <w:tcPr/>
          <w:p>
            <w:pPr>
              <w:pStyle w:val="Compact"/>
              <w:spacing w:after="40" w:before="40"/>
              <w:jc w:val="left"/>
            </w:pPr>
            <w:r>
              <w:rPr>
                <w:rFonts w:ascii="Cambria" w:hAnsi="Cambria" w:cs="Cambria" w:eastAsia="Cambria"/>
                <w:b/>
                <w:bCs/>
                <w:color w:val="1A1A1A"/>
                <w:sz w:val="18"/>
              </w:rPr>
              <w:t xml:space="preserve">Articolazione del territorio</w:t>
            </w:r>
          </w:p>
        </w:tc>
        <w:tc>
          <w:tcPr/>
          <w:p>
            <w:pPr>
              <w:pStyle w:val="Compact"/>
              <w:spacing w:after="40" w:before="40"/>
              <w:jc w:val="left"/>
            </w:pPr>
            <w:r>
              <w:rPr>
                <w:rFonts w:ascii="Cambria" w:hAnsi="Cambria" w:cs="Cambria" w:eastAsia="Cambria"/>
                <w:color w:val="1A1A1A"/>
                <w:sz w:val="18"/>
              </w:rPr>
              <w:t xml:space="preserve">Otto province; provincia di Torino 51,8%, Cuneo 13,7%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Profilo per età</w:t>
            </w:r>
          </w:p>
        </w:tc>
        <w:tc>
          <w:tcPr>
            <w:shd w:val="clear" w:color="auto" w:fill="F4F1EC"/>
          </w:tcPr>
          <w:p>
            <w:pPr>
              <w:pStyle w:val="Compact"/>
              <w:spacing w:after="40" w:before="40"/>
              <w:jc w:val="left"/>
            </w:pPr>
            <w:r>
              <w:rPr>
                <w:rFonts w:ascii="Cambria" w:hAnsi="Cambria" w:cs="Cambria" w:eastAsia="Cambria"/>
                <w:color w:val="1A1A1A"/>
                <w:sz w:val="18"/>
              </w:rPr>
              <w:t xml:space="preserve">Area metropolitana torinese dinamica; aree interne e alpine anziane e in spopolamento</w:t>
            </w:r>
          </w:p>
        </w:tc>
      </w:tr>
      <w:tr>
        <w:tc>
          <w:tcPr/>
          <w:p>
            <w:pPr>
              <w:pStyle w:val="Compact"/>
              <w:spacing w:after="40" w:before="40"/>
              <w:jc w:val="left"/>
            </w:pPr>
            <w:r>
              <w:rPr>
                <w:rFonts w:ascii="Cambria" w:hAnsi="Cambria" w:cs="Cambria" w:eastAsia="Cambria"/>
                <w:b/>
                <w:bCs/>
                <w:color w:val="1A1A1A"/>
                <w:sz w:val="18"/>
              </w:rPr>
              <w:t xml:space="preserve">Articolazione sanitaria</w:t>
            </w:r>
          </w:p>
        </w:tc>
        <w:tc>
          <w:tcPr/>
          <w:p>
            <w:pPr>
              <w:pStyle w:val="Compact"/>
              <w:spacing w:after="40" w:before="40"/>
              <w:jc w:val="left"/>
            </w:pPr>
            <w:r>
              <w:rPr>
                <w:rFonts w:ascii="Cambria" w:hAnsi="Cambria" w:cs="Cambria" w:eastAsia="Cambria"/>
                <w:color w:val="1A1A1A"/>
                <w:sz w:val="18"/>
              </w:rPr>
              <w:t xml:space="preserve">Dodici Aziende Sanitarie Locali, quattro Aziende Ospedaliero-Universitarie, due Aziende Ospedaliere</w:t>
            </w:r>
          </w:p>
        </w:tc>
      </w:tr>
    </w:tbl>
    <w:p>
      <w:pPr>
        <w:pStyle w:val="BodyText"/>
      </w:pPr>
      <w:r>
        <w:rPr>
          <w:i/>
          <w:iCs/>
        </w:rPr>
        <w:t xml:space="preserve">Tabella B.1. Profilo demografico e socio-economico del Piemonte.</w:t>
      </w:r>
    </w:p>
    <w:bookmarkEnd w:id="173"/>
    <w:bookmarkStart w:id="174" w:name="b.2-epidemiologia-del-bisogno"/>
    <w:p>
      <w:pPr>
        <w:pStyle w:val="Heading3"/>
      </w:pPr>
      <w:r>
        <w:t xml:space="preserve">B.2 Epidemiologia del bisogno</w:t>
      </w:r>
    </w:p>
    <w:p>
      <w:pPr>
        <w:pStyle w:val="FirstParagraph"/>
      </w:pPr>
      <w:r>
        <w:t xml:space="preserve">Il bisogno di salute mentale in Piemonte è elevato e sospinto dall’invecchiamento. Proiettando i tassi di prevalenza nazionali sulla popolazione regionale, la quota di disagio psichico comune o sottosoglia si colloca nell’ordine di 850.000 persone, in larga parte non intercettate dall’offerta strutturata; la stessa Regione rileva problematiche psicologiche nel 21–26% dei pazienti delle cure primarie. A questa quota si somma un’utenza specialistica in carico ai Dipartimenti di Salute Mentale dell’ordine di 55.000–56.000 persone, in servizi nei quali la figura dello psicologo è strutturalmente carente. Tre componenti orientano la domanda. La prima è il disagio giovanile, su cui la Regione ha investito istituendo per legge la psicologia scolastica. La seconda è il disagio connesso al lavoro nella popolazione attiva. La terza, e più caratteristica, è il bisogno dell’età anziana, accentuato nelle aree interne e alpine. È questa combinazione — invecchiamento, aree interne e un servizio già operativo da consolidare — a distinguere il fabbisogno piemontese. La pressione che ne deriva si riversa anche sul pronto soccorso, con accessi per cause psichiatriche dell’ordine di trentaquattromila-trentacinquemila l’anno.</w:t>
      </w:r>
    </w:p>
    <w:bookmarkEnd w:id="174"/>
    <w:bookmarkStart w:id="175" w:name="b.3-domanda-offerta-e-gap-di-copertura"/>
    <w:p>
      <w:pPr>
        <w:pStyle w:val="Heading3"/>
      </w:pPr>
      <w:r>
        <w:t xml:space="preserve">B.3 Domanda, offerta e gap di copertura</w:t>
      </w:r>
    </w:p>
    <w:p>
      <w:pPr>
        <w:pStyle w:val="FirstParagraph"/>
      </w:pPr>
      <w:r>
        <w:t xml:space="preserve">Alla domanda descritta si contrappone un’offerta che, in Piemonte, presenta una fisionomia peculiare e unica nel panorama nazionale: il servizio di psicologia delle cure primarie esiste già ed è operativo su tutto il territorio regionale dal 2023, primo caso in Italia, finanziato a quota capitaria e con numeri di attività verificabili, ma opera su una base libero-professionale priva di legge dedicata e copre una frazione ridotta del fabbisogno. Il fabbisogno a regime è stimato nell’ordine di 920 psicologi, e l’Ordine professionale regionale ha sollecitato una legge che ne stabilizzi la figura con un rapporto convenzionale analogo a quello dei medici di medicina generale. La copertura attuale è dunque attiva ma ridotta: non l’assenza di un servizio, né una funzione solo amministrativa, ma un servizio reale e già sperimentato sul campo, da stabilizzare e dimensionare. La tabella seguente sintetizza domanda, offerta e divario.</w:t>
      </w:r>
    </w:p>
    <w:tbl>
      <w:tblPr>
        <w:tblStyle w:val="Table"/>
        <w:tblW w:type="pct" w:w="495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61"/>
        <w:gridCol w:w="578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Piemonte</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850.000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stimata in carico ai Dipartimenti</w:t>
            </w:r>
          </w:p>
        </w:tc>
        <w:tc>
          <w:tcPr>
            <w:shd w:val="clear" w:color="auto" w:fill="F4F1EC"/>
          </w:tcPr>
          <w:p>
            <w:pPr>
              <w:pStyle w:val="Compact"/>
              <w:spacing w:after="40" w:before="40"/>
              <w:jc w:val="left"/>
            </w:pPr>
            <w:r>
              <w:rPr>
                <w:rFonts w:ascii="Cambria" w:hAnsi="Cambria" w:cs="Cambria" w:eastAsia="Cambria"/>
                <w:color w:val="1A1A1A"/>
                <w:sz w:val="18"/>
              </w:rPr>
              <w:t xml:space="preserve">~ 55.000–56.000</w:t>
            </w:r>
          </w:p>
        </w:tc>
      </w:tr>
      <w:tr>
        <w:tc>
          <w:tcPr/>
          <w:p>
            <w:pPr>
              <w:pStyle w:val="Compact"/>
              <w:spacing w:after="40" w:before="40"/>
              <w:jc w:val="left"/>
            </w:pPr>
            <w:r>
              <w:rPr>
                <w:rFonts w:ascii="Cambria" w:hAnsi="Cambria" w:cs="Cambria" w:eastAsia="Cambria"/>
                <w:b/>
                <w:bCs/>
                <w:color w:val="1A1A1A"/>
                <w:sz w:val="18"/>
              </w:rPr>
              <w:t xml:space="preserve">Accessi al pronto soccorso per cause psichiatriche</w:t>
            </w:r>
          </w:p>
        </w:tc>
        <w:tc>
          <w:tcPr/>
          <w:p>
            <w:pPr>
              <w:pStyle w:val="Compact"/>
              <w:spacing w:after="40" w:before="40"/>
              <w:jc w:val="left"/>
            </w:pPr>
            <w:r>
              <w:rPr>
                <w:rFonts w:ascii="Cambria" w:hAnsi="Cambria" w:cs="Cambria" w:eastAsia="Cambria"/>
                <w:color w:val="1A1A1A"/>
                <w:sz w:val="18"/>
              </w:rPr>
              <w:t xml:space="preserve">~ 34.000–35.000 l’anno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Offerta territoriale attuale</w:t>
            </w:r>
          </w:p>
        </w:tc>
        <w:tc>
          <w:tcPr>
            <w:shd w:val="clear" w:color="auto" w:fill="F4F1EC"/>
          </w:tcPr>
          <w:p>
            <w:pPr>
              <w:pStyle w:val="Compact"/>
              <w:spacing w:after="40" w:before="40"/>
              <w:jc w:val="left"/>
            </w:pPr>
            <w:r>
              <w:rPr>
                <w:rFonts w:ascii="Cambria" w:hAnsi="Cambria" w:cs="Cambria" w:eastAsia="Cambria"/>
                <w:color w:val="1A1A1A"/>
                <w:sz w:val="18"/>
              </w:rPr>
              <w:t xml:space="preserve">Servizio regionale attivo dal 2023 in tutte le ASL, a quota capitaria, su base libero-professionale; oltre 3.000 pazienti e 15.000 prestazioni nel primo anno</w:t>
            </w:r>
          </w:p>
        </w:tc>
      </w:tr>
      <w:tr>
        <w:tc>
          <w:tcPr/>
          <w:p>
            <w:pPr>
              <w:pStyle w:val="Compact"/>
              <w:spacing w:after="40" w:before="40"/>
              <w:jc w:val="left"/>
            </w:pPr>
            <w:r>
              <w:rPr>
                <w:rFonts w:ascii="Cambria" w:hAnsi="Cambria" w:cs="Cambria" w:eastAsia="Cambria"/>
                <w:b/>
                <w:bCs/>
                <w:color w:val="1A1A1A"/>
                <w:sz w:val="18"/>
              </w:rPr>
              <w:t xml:space="preserve">Fabbisogno stimato a regime</w:t>
            </w:r>
          </w:p>
        </w:tc>
        <w:tc>
          <w:tcPr/>
          <w:p>
            <w:pPr>
              <w:pStyle w:val="Compact"/>
              <w:spacing w:after="40" w:before="40"/>
              <w:jc w:val="left"/>
            </w:pPr>
            <w:r>
              <w:rPr>
                <w:rFonts w:ascii="Cambria" w:hAnsi="Cambria" w:cs="Cambria" w:eastAsia="Cambria"/>
                <w:color w:val="1A1A1A"/>
                <w:sz w:val="18"/>
              </w:rPr>
              <w:t xml:space="preserve">~ 920 psicologi (880–960)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Copertura attuale del fabbisogno</w:t>
            </w:r>
          </w:p>
        </w:tc>
        <w:tc>
          <w:tcPr>
            <w:shd w:val="clear" w:color="auto" w:fill="F4F1EC"/>
          </w:tcPr>
          <w:p>
            <w:pPr>
              <w:pStyle w:val="Compact"/>
              <w:spacing w:after="40" w:before="40"/>
              <w:jc w:val="left"/>
            </w:pPr>
            <w:r>
              <w:rPr>
                <w:rFonts w:ascii="Cambria" w:hAnsi="Cambria" w:cs="Cambria" w:eastAsia="Cambria"/>
                <w:color w:val="1A1A1A"/>
                <w:sz w:val="18"/>
              </w:rPr>
              <w:t xml:space="preserve">Attiva ma ridotta, dell’ordine del 5% del bisogno potenziale</w:t>
            </w:r>
          </w:p>
        </w:tc>
      </w:tr>
    </w:tbl>
    <w:p>
      <w:pPr>
        <w:pStyle w:val="BodyText"/>
      </w:pPr>
      <w:r>
        <w:rPr>
          <w:i/>
          <w:iCs/>
        </w:rPr>
        <w:t xml:space="preserve">Tabella B.2. Domanda, offerta e gap di copertura.</w:t>
      </w:r>
    </w:p>
    <w:bookmarkEnd w:id="175"/>
    <w:bookmarkStart w:id="4173" w:name="b.4-disuguaglianze-e-divari-territoriali"/>
    <w:p>
      <w:pPr>
        <w:pStyle w:val="Heading3"/>
      </w:pPr>
      <w:r>
        <w:t xml:space="preserve">B.4 Disuguaglianze e divari territoriali</w:t>
      </w:r>
    </w:p>
    <w:p>
      <w:pPr>
        <w:pStyle w:val="FirstParagraph"/>
      </w:pPr>
      <w:r>
        <w:t xml:space="preserve">La dimensione distributiva del bisogno, in Piemonte, si articola su due assi specifici. Il primo è la dualità territoriale fra l’area metropolitana torinese, densamente popolata e dotata di poli sanitari di eccellenza, e le aree interne e alpine — in particolare il Verbano-Cusio-Ossola e il Biellese — più anziane e soggette a spopolamento, dove l’accesso ai servizi è strutturalmente più difficoltoso. Il secondo è la fragilità delle province di confine orientali, dove l’elevata mobilità passiva verso le regioni limitrofe segnala una difficoltà di tenuta dell’offerta. A questi si aggiunge l’asse delle liste di attesa, comune all’intera regione. Su questi assi il servizio di psicologia di base agisce in funzione di equità: avvicina l’offerta alle aree interne mediante la telepsicologia assistita e, assorbendo a monte la domanda appropriata, libera capacità specialistica e contribuisce a contenere i tempi di attesa e la conseguente mobilità.</w:t>
      </w:r>
    </w:p>
    <w:bookmarkEnd w:id="4173"/>
    <w:bookmarkStart w:id="4174" w:name="b.5-i-servizi-e-i-flussi"/>
    <w:p>
      <w:pPr>
        <w:pStyle w:val="Heading3"/>
      </w:pPr>
      <w:r>
        <w:t xml:space="preserve">B.5 I servizi e i flussi</w:t>
      </w:r>
    </w:p>
    <w:p>
      <w:pPr>
        <w:pStyle w:val="FirstParagraph"/>
      </w:pPr>
      <w:r>
        <w:t xml:space="preserve">Il Servizio sanitario del Piemonte dispone di risorse complessive dell’ordine di 9,5 miliardi di euro; la Regione è uscita dal piano di rientro da circa un decennio, ma ne ha conservato a lungo gli effetti strutturali e porta un disavanzo storico in restituzione concordata con lo Stato. Allo stato non è soggetta a un nuovo piano di rientro, ma opera sotto pressione finanziaria, con la riduzione delle liste di attesa indicata come priorità. Diversamente dalle regioni nettamente creditrici, il Piemonte presenta un saldo di mobilità in sostanziale equilibrio, marginalmente negativo e in peggioramento, con un polo universitario torinese attrattivo e province di confine fortemente passive: ne consegue che il canale del recupero della mobilità, centrale per le regioni debitrici del Mezzogiorno e inapplicabile per quelle nettamente creditrici, è qui solo marginalmente pertinente. L’architettura dei servizi poggia su dodici Aziende Sanitarie Locali, su quattro Aziende Ospedaliero-Universitarie e due Aziende Ospedaliere, e su una rete territoriale in costruzione — le Case della Comunità del nuovo assetto e le preesistenti Case della Salute — che costituisce l’infrastruttura su cui il servizio è già innestato. La tabella seguente riepiloga le grandezze di sistema rilevanti.</w:t>
      </w:r>
    </w:p>
    <w:tbl>
      <w:tblPr>
        <w:tblStyle w:val="Table"/>
        <w:tblW w:type="pct" w:w="494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52"/>
        <w:gridCol w:w="568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Piemonte</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w:t>
            </w:r>
          </w:p>
        </w:tc>
        <w:tc>
          <w:tcPr/>
          <w:p>
            <w:pPr>
              <w:pStyle w:val="Compact"/>
              <w:spacing w:after="40" w:before="40"/>
              <w:jc w:val="left"/>
            </w:pPr>
            <w:r>
              <w:rPr>
                <w:rFonts w:ascii="Cambria" w:hAnsi="Cambria" w:cs="Cambria" w:eastAsia="Cambria"/>
                <w:color w:val="1A1A1A"/>
                <w:sz w:val="18"/>
              </w:rPr>
              <w:t xml:space="preserve">~ 9,5 miliardi di euro; uscito dal piano di rientro da circa un decennio; oggi sotto pressione finanziaria, senza nuovo piano di rientro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Saldo in sostanziale equilibrio, marginalmente negativo (~ −8 milioni nel 2023) e in peggioramento; canale solo marginalmente pertinente</w:t>
            </w:r>
          </w:p>
        </w:tc>
      </w:tr>
      <w:tr>
        <w:tc>
          <w:tcPr/>
          <w:p>
            <w:pPr>
              <w:pStyle w:val="Compact"/>
              <w:spacing w:after="40" w:before="40"/>
              <w:jc w:val="left"/>
            </w:pPr>
            <w:r>
              <w:rPr>
                <w:rFonts w:ascii="Cambria" w:hAnsi="Cambria" w:cs="Cambria" w:eastAsia="Cambria"/>
                <w:b/>
                <w:bCs/>
                <w:color w:val="1A1A1A"/>
                <w:sz w:val="18"/>
              </w:rPr>
              <w:t xml:space="preserve">Accessi al pronto soccorso</w:t>
            </w:r>
          </w:p>
        </w:tc>
        <w:tc>
          <w:tcPr/>
          <w:p>
            <w:pPr>
              <w:pStyle w:val="Compact"/>
              <w:spacing w:after="40" w:before="40"/>
              <w:jc w:val="left"/>
            </w:pPr>
            <w:r>
              <w:rPr>
                <w:rFonts w:ascii="Cambria" w:hAnsi="Cambria" w:cs="Cambria" w:eastAsia="Cambria"/>
                <w:color w:val="1A1A1A"/>
                <w:sz w:val="18"/>
              </w:rPr>
              <w:t xml:space="preserve">Dell’ordine di oltre un milione l’anno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Architettura dei servizi</w:t>
            </w:r>
          </w:p>
        </w:tc>
        <w:tc>
          <w:tcPr>
            <w:shd w:val="clear" w:color="auto" w:fill="F4F1EC"/>
          </w:tcPr>
          <w:p>
            <w:pPr>
              <w:pStyle w:val="Compact"/>
              <w:spacing w:after="40" w:before="40"/>
              <w:jc w:val="left"/>
            </w:pPr>
            <w:r>
              <w:rPr>
                <w:rFonts w:ascii="Cambria" w:hAnsi="Cambria" w:cs="Cambria" w:eastAsia="Cambria"/>
                <w:color w:val="1A1A1A"/>
                <w:sz w:val="18"/>
              </w:rPr>
              <w:t xml:space="preserve">Dodici ASL, quattro AOU, due AO; rete delle Case della Comunità e delle Case della Salute</w:t>
            </w:r>
          </w:p>
        </w:tc>
      </w:tr>
      <w:tr>
        <w:tc>
          <w:tcPr/>
          <w:p>
            <w:pPr>
              <w:pStyle w:val="Compact"/>
              <w:spacing w:after="40" w:before="40"/>
              <w:jc w:val="left"/>
            </w:pPr>
            <w:r>
              <w:rPr>
                <w:rFonts w:ascii="Cambria" w:hAnsi="Cambria" w:cs="Cambria" w:eastAsia="Cambria"/>
                <w:b/>
                <w:bCs/>
                <w:color w:val="1A1A1A"/>
                <w:sz w:val="18"/>
              </w:rPr>
              <w:t xml:space="preserve">Margine di azione principale</w:t>
            </w:r>
          </w:p>
        </w:tc>
        <w:tc>
          <w:tcPr/>
          <w:p>
            <w:pPr>
              <w:pStyle w:val="Compact"/>
              <w:spacing w:after="40" w:before="40"/>
              <w:jc w:val="left"/>
            </w:pPr>
            <w:r>
              <w:rPr>
                <w:rFonts w:ascii="Cambria" w:hAnsi="Cambria" w:cs="Cambria" w:eastAsia="Cambria"/>
                <w:color w:val="1A1A1A"/>
                <w:sz w:val="18"/>
              </w:rPr>
              <w:t xml:space="preserve">Liste di attesa, stabilizzazione e dimensionamento del servizio già attivo, accesso delle aree interne e alpine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4174"/>
    <w:bookmarkStart w:id="4175" w:name="b.6-la-cornice-normativa-e-programmatica"/>
    <w:p>
      <w:pPr>
        <w:pStyle w:val="Heading3"/>
      </w:pPr>
      <w:r>
        <w:t xml:space="preserve">B.6 La cornice normativa e programmatica</w:t>
      </w:r>
    </w:p>
    <w:p>
      <w:pPr>
        <w:pStyle w:val="FirstParagraph"/>
      </w:pPr>
      <w:r>
        <w:t xml:space="preserve">La decisione si colloca entro una cornice peculiare: il servizio è già stato avviato nel 2023 con decisione della Giunta regionale e successivamente rifinanziato con risorse regionali, ma manca una legge che ne istituisca stabilmente la figura. Sono stati presentati più disegni di legge — fra cui una proposta che colloca lo psicologo territoriale nelle Case della Comunità quale primo filtro della salute psichica — nessuno dei quali è stato finora approvato; la Regione ha invece già approvato per legge un servizio di psicologia scolastica, segno di un’attenzione consolidata al tema. Sul piano nazionale, il testo unificato in discussione alla Camera, il Piano Nazionale per la Salute Mentale 2025–2030 e la sentenza della Corte Costituzionale n. 241 del 2021 — che ha confermato la competenza regionale in materia — compongono il quadro di riferimento. La decisione rilevante, in questo contesto, non è introdurre la funzione, ma darle una base giuridica stabile e dimensionarla: è il tema che le parti successive sviluppano, a partire dalla definizione dell’intervento e del suo modello, oggetto della Parte C.</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modello organizzativo, percorso clinico, sistema informativo, strumenti digitali e formazione</w:t>
      </w:r>
    </w:p>
    <w:p>
      <w:pPr>
        <w:pStyle w:val="BodyText"/>
      </w:pPr>
      <w:r>
        <w:t xml:space="preserve">Secondo dominio dell’HTA · la descrizione della tecnologia</w:t>
      </w:r>
    </w:p>
    <w:bookmarkEnd w:id="4175"/>
    <w:bookmarkEnd w:id="4172"/>
    <w:bookmarkStart w:id="4176" w:name="parte-c-lintervento-e-il-suo-modello"/>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Piemonte emerge con nettezza: l’intervento non è da introdurre, ma è già in funzione su tutto il territorio regionale, e si tratta di dargli forma stabile e di dimensionarlo.</w:t>
      </w:r>
    </w:p>
    <w:bookmarkStart w:id="4177" w:name="c.1-definizione-e-teoria-del-cambiamento"/>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850.000 persone con disagio comune. La tabella seguente ne espone gli anelli.</w:t>
      </w:r>
    </w:p>
    <w:tbl>
      <w:tblPr>
        <w:tblStyle w:val="Table"/>
        <w:tblW w:type="pct" w:w="493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75"/>
        <w:gridCol w:w="59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il Piemonte</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850.000 persone con disagio comune, in larga parte non intercettato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Psicologo nelle cure primarie: intercettazione precoce, intervento breve, filtro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liste di attesa ridotte</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particolarmente nella popolazione attiva, e minor carico familiare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4177"/>
    <w:bookmarkStart w:id="4178" w:name="c.2-il-modello-organizzativo"/>
    <w:p>
      <w:pPr>
        <w:pStyle w:val="Heading3"/>
      </w:pPr>
      <w:r>
        <w:t xml:space="preserve">C.2 Il modello organizzativo</w:t>
      </w:r>
    </w:p>
    <w:p>
      <w:pPr>
        <w:pStyle w:val="FirstParagraph"/>
      </w:pPr>
      <w:r>
        <w:t xml:space="preserve">Il modello organizzativo colloca lo psicologo di base nelle Case della Comunità e nei Nuclei delle Cure Primarie, in collaborazione con i medici di medicina generale e secondo protocolli condivisi. Il Piemonte presenta qui una specificità rispetto alle altre regioni: il servizio è già attivo e ripartito tra le dodici Aziende Sanitarie Locali secondo il criterio della quota capitaria. Come l’Emilia-Romagna, e a differenza del Veneto, la regione non dispone di un’azienda regionale unica: il coordinamento, l’omogeneità attuativa e le economie di scala sono affidati alla Regione, attraverso la sua Direzione competente, eventualmente affiancata da una cabina di regia regionale. La rete territoriale delle Case della Comunità e delle Case della Salute è l’infrastruttura su cui il servizio è già innestato, e il compito non è crearla ma rafforzarla e renderla uniforme. Il funzionamento segue il principio dell’intensità crescente: l’intervento parte dal livello meno intensivo appropriato e cresce solo se necessario, con criteri espliciti di passaggio di livello e di invio.</w:t>
      </w:r>
    </w:p>
    <w:bookmarkEnd w:id="4178"/>
    <w:bookmarkStart w:id="4179" w:name="X2af7d771104f9ff8d4f88f750498b7cec7ee3c1"/>
    <w:p>
      <w:pPr>
        <w:pStyle w:val="Heading3"/>
      </w:pPr>
      <w:r>
        <w:t xml:space="preserve">C.3 Il percorso clinico, la sicurezza e gli esiti</w:t>
      </w:r>
    </w:p>
    <w:p>
      <w:pPr>
        <w:pStyle w:val="FirstParagraph"/>
      </w:pPr>
      <w:r>
        <w:t xml:space="preserve">Il percorso clinico prevede l’accesso su invio del medico di medicina generale o del pediatra di libera scelta — nella forma già in atto nel servizio regionale — o l’accesso diretto, una valutazione iniziale, un ciclo di colloqui brevi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43"/>
        <w:gridCol w:w="56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4179"/>
    <w:bookmarkStart w:id="183" w:name="Xa378b888609c72ab1059b057c9093acc8c5e1f9"/>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 Regione, che ne assicura l’uniformità fra le dodici Aziende Sanitarie Locali. La raccolta sistematica e completa dei dati di processo e di esito non è un adempimento accessorio, ma il presupposto della clausola valutativa e del disegno controfattuale; su questo terreno il Piemonte dispone di un vantaggio peculiare, poiché il servizio già attivo ha prodotto nel primo anno dati di attività verificabili, da consolidare in un flusso strutturato.</w:t>
      </w:r>
    </w:p>
    <w:bookmarkEnd w:id="183"/>
    <w:bookmarkStart w:id="4180" w:name="X73bc0dd523608baaf284a016c72cd04d5d86543"/>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Piemonte, lo strumento per garantire l’accesso nelle aree interne e alpine,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2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41"/>
        <w:gridCol w:w="3046"/>
        <w:gridCol w:w="201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 e telemonitoraggio</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aree interne e alpine; continuità</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bookmarkEnd w:id="4180"/>
    <w:bookmarkStart w:id="185" w:name="c.6-la-formazione-e-le-competenze"/>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l’Università degli Studi di Torino e l’Università del Piemonte Orientale, con sedi a Vercelli, Novara e Alessandria; il livello post-universitario specialistico attraverso un corso regionale con attestato dedicato alla psicologia di base e alle cure primarie, comprensivo della competenza per l’età anziana e per le aree interne, particolarmente rilevanti nel contesto piemontese;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Definiti l’intervento e il suo modello, la parte che segue ne esamina l’efficacia e l’evidenza.</w:t>
      </w:r>
    </w:p>
    <w:tbl>
      <w:tblPr>
        <w:tblStyle w:val="Table"/>
        <w:tblW w:type="pct" w:w="495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78"/>
        <w:gridCol w:w="4329"/>
        <w:gridCol w:w="204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Università di Torino; Università del Piemonte Orientale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di base e cure primarie: modelli organizzativi, collaborazione, misure di esito, competenza per l’età anziana</w:t>
            </w:r>
          </w:p>
        </w:tc>
        <w:tc>
          <w:tcPr>
            <w:shd w:val="clear" w:color="auto" w:fill="F4F1EC"/>
          </w:tcPr>
          <w:p>
            <w:pPr>
              <w:pStyle w:val="Compact"/>
              <w:spacing w:after="40" w:before="40"/>
              <w:jc w:val="left"/>
            </w:pPr>
            <w:r>
              <w:rPr>
                <w:rFonts w:ascii="Cambria" w:hAnsi="Cambria" w:cs="Cambria" w:eastAsia="Cambria"/>
                <w:color w:val="1A1A1A"/>
                <w:sz w:val="18"/>
              </w:rPr>
              <w:t xml:space="preserve">Corso regionale con attestato</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Tutor aziendali;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D</w:t>
      </w:r>
    </w:p>
    <w:p>
      <w:pPr>
        <w:pStyle w:val="BodyText"/>
      </w:pPr>
      <w:r>
        <w:rPr>
          <w:b/>
          <w:bCs/>
        </w:rPr>
        <w:t xml:space="preserve">L’********efficacia e l********’evidenza</w:t>
      </w:r>
    </w:p>
    <w:p>
      <w:pPr>
        <w:pStyle w:val="BodyText"/>
      </w:pPr>
      <w:r>
        <w:rPr>
          <w:i/>
          <w:iCs/>
        </w:rPr>
        <w:t xml:space="preserve">Revisione sistematica, qualità dell</w:t>
      </w:r>
      <w:r>
        <w:rPr>
          <w:b/>
          <w:bCs/>
          <w:i/>
          <w:iCs/>
        </w:rPr>
        <w:t xml:space="preserve">’</w:t>
      </w:r>
      <w:r>
        <w:rPr>
          <w:i/>
          <w:iCs/>
        </w:rPr>
        <w:t xml:space="preserve">evidenza, benchmark internazionali e trasferibilità</w:t>
      </w:r>
    </w:p>
    <w:p>
      <w:pPr>
        <w:pStyle w:val="BodyText"/>
      </w:pPr>
      <w:r>
        <w:t xml:space="preserve">Terzo e quarto dominio dell’HTA · l’efficacia clinica e la sicurezza</w:t>
      </w:r>
    </w:p>
    <w:bookmarkEnd w:id="185"/>
    <w:bookmarkEnd w:id="4176"/>
    <w:bookmarkStart w:id="4181" w:name="parte-d-lefficacia-e-levidenza"/>
    <w:p>
      <w:pPr>
        <w:pStyle w:val="Heading2"/>
      </w:pPr>
      <w:r>
        <w:t xml:space="preserve">Parte D — L’efficacia e l’evidenza</w:t>
      </w:r>
    </w:p>
    <w:p>
      <w:pPr>
        <w:pStyle w:val="FirstParagraph"/>
      </w:pPr>
      <w:r>
        <w:t xml:space="preserve">Descritto l’intervento nella Parte C, questa quarta parte ne esamina l’efficacia e l’evidenza, secondo il terzo e il quarto dominio della valutazione. La base di prove è in larga misura indipendente dalla regione, poiché attinge alla letteratura internazionale e ai programmi consolidati; ciò che muta è il giudizio di trasferibilità, calibrato sul contesto piemontese. La parte presenta la revisione sistematica delle prove (capitolo D.1); ne valuta la qualità con il sistema GRADE (D.2); esamina i benchmark internazionali e italiani (D.3); e discute la trasferibilità al contesto regionale (D.4), dove acquista un rilievo singolare il patrimonio di evidenza locale costituito dal servizio regionale già attivo, unico in Italia per scala e maturità operativa.</w:t>
      </w:r>
    </w:p>
    <w:bookmarkStart w:id="187" w:name="d.1-la-revisione-sistematica"/>
    <w:p>
      <w:pPr>
        <w:pStyle w:val="Heading3"/>
      </w:pPr>
      <w:r>
        <w:t xml:space="preserve">D.1 La revisione sistematica</w:t>
      </w:r>
    </w:p>
    <w:p>
      <w:pPr>
        <w:pStyle w:val="FirstParagraph"/>
      </w:pPr>
      <w:r>
        <w:t xml:space="preserve">La sintesi delle prove è condotta secondo i criteri di rendicontazione riconosciuti per le revisioni sistematiche e gradua la fiducia nei risultati con il sistema GRADE, considerando studi controllati, meta-analisi, revisioni di implementazione e dati di esito reale, con preferenza per le fonti più recenti. Il quadro che ne emerge è solido. Lo studio fondativo del modello collaborativo ha documentato un tasso di risposta di circa il 50% dei pazienti trattati, contro il 19% della cura usuale. Una meta-analisi su cinquantasette studi controllati ha stimato un miglioramento medio dei sintomi depressivi di 0,28 deviazioni standard. Una revisione di quarantadue implementazioni ha rilevato riduzioni dell’ordine del 47% della depressione, del 43% dell’ansia, del 34% degli accessi al pronto soccorso e del 41% dei ricoveri. Il programma inglese, su scala di oltre 1,3 milioni di persone l’anno, conferma questi valori con dati reali. Una meta-analisi sulle cure integrate, infine, stima un effetto modesto sul singolo ma clinicamente rilevante sulla popolazione. La tabella seguente sintetizza i principali risultati.</w:t>
      </w:r>
    </w:p>
    <w:tbl>
      <w:tblPr>
        <w:tblStyle w:val="Table"/>
        <w:tblW w:type="pct" w:w="493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51"/>
        <w:gridCol w:w="526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Risultato principale</w:t>
            </w:r>
          </w:p>
        </w:tc>
      </w:tr>
      <w:tr>
        <w:tc>
          <w:tcPr/>
          <w:p>
            <w:pPr>
              <w:pStyle w:val="Compact"/>
              <w:spacing w:after="40" w:before="40"/>
              <w:jc w:val="left"/>
            </w:pPr>
            <w:r>
              <w:rPr>
                <w:rFonts w:ascii="Cambria" w:hAnsi="Cambria" w:cs="Cambria" w:eastAsia="Cambria"/>
                <w:b/>
                <w:bCs/>
                <w:color w:val="1A1A1A"/>
                <w:sz w:val="18"/>
              </w:rPr>
              <w:t xml:space="preserve">Studio fondativo (JAMA, 2002)</w:t>
            </w:r>
          </w:p>
        </w:tc>
        <w:tc>
          <w:tcPr/>
          <w:p>
            <w:pPr>
              <w:pStyle w:val="Compact"/>
              <w:spacing w:after="40" w:before="40"/>
              <w:jc w:val="left"/>
            </w:pPr>
            <w:r>
              <w:rPr>
                <w:rFonts w:ascii="Cambria" w:hAnsi="Cambria" w:cs="Cambria" w:eastAsia="Cambria"/>
                <w:color w:val="1A1A1A"/>
                <w:sz w:val="18"/>
              </w:rPr>
              <w:t xml:space="preserve">~ 50% dei pazienti con riduzione ≥ 50% dei sintomi a 12 mesi, contro 19% nella cura usuale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Meta-analisi su 57 studi (2012)</w:t>
            </w:r>
          </w:p>
        </w:tc>
        <w:tc>
          <w:tcPr>
            <w:shd w:val="clear" w:color="auto" w:fill="F4F1EC"/>
          </w:tcPr>
          <w:p>
            <w:pPr>
              <w:pStyle w:val="Compact"/>
              <w:spacing w:after="40" w:before="40"/>
              <w:jc w:val="left"/>
            </w:pPr>
            <w:r>
              <w:rPr>
                <w:rFonts w:ascii="Cambria" w:hAnsi="Cambria" w:cs="Cambria" w:eastAsia="Cambria"/>
                <w:color w:val="1A1A1A"/>
                <w:sz w:val="18"/>
              </w:rPr>
              <w:t xml:space="preserve">Miglioramento medio dei sintomi depressivi di 0,28 deviazioni standard</w:t>
            </w:r>
          </w:p>
        </w:tc>
      </w:tr>
      <w:tr>
        <w:tc>
          <w:tcPr/>
          <w:p>
            <w:pPr>
              <w:pStyle w:val="Compact"/>
              <w:spacing w:after="40" w:before="40"/>
              <w:jc w:val="left"/>
            </w:pPr>
            <w:r>
              <w:rPr>
                <w:rFonts w:ascii="Cambria" w:hAnsi="Cambria" w:cs="Cambria" w:eastAsia="Cambria"/>
                <w:b/>
                <w:bCs/>
                <w:color w:val="1A1A1A"/>
                <w:sz w:val="18"/>
              </w:rPr>
              <w:t xml:space="preserve">Revisione su 42 implementazioni (2024)</w:t>
            </w:r>
          </w:p>
        </w:tc>
        <w:tc>
          <w:tcPr/>
          <w:p>
            <w:pPr>
              <w:pStyle w:val="Compact"/>
              <w:spacing w:after="40" w:before="40"/>
              <w:jc w:val="left"/>
            </w:pPr>
            <w:r>
              <w:rPr>
                <w:rFonts w:ascii="Cambria" w:hAnsi="Cambria" w:cs="Cambria" w:eastAsia="Cambria"/>
                <w:color w:val="1A1A1A"/>
                <w:sz w:val="18"/>
              </w:rPr>
              <w:t xml:space="preserve">−47% depressione e −43% ansia a 6 mesi; −34% accessi al PS; −41% ricoveri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Programma inglese, dati reali (2023–2024)</w:t>
            </w:r>
          </w:p>
        </w:tc>
        <w:tc>
          <w:tcPr>
            <w:shd w:val="clear" w:color="auto" w:fill="F4F1EC"/>
          </w:tcPr>
          <w:p>
            <w:pPr>
              <w:pStyle w:val="Compact"/>
              <w:spacing w:after="40" w:before="40"/>
              <w:jc w:val="left"/>
            </w:pPr>
            <w:r>
              <w:rPr>
                <w:rFonts w:ascii="Cambria" w:hAnsi="Cambria" w:cs="Cambria" w:eastAsia="Cambria"/>
                <w:color w:val="1A1A1A"/>
                <w:sz w:val="18"/>
              </w:rPr>
              <w:t xml:space="preserve">Recupero 50,2%; miglioramento affidabile 67,8%; completezza dei dati &gt; 98%</w:t>
            </w:r>
          </w:p>
        </w:tc>
      </w:tr>
      <w:tr>
        <w:tc>
          <w:tcPr/>
          <w:p>
            <w:pPr>
              <w:pStyle w:val="Compact"/>
              <w:spacing w:after="40" w:before="40"/>
              <w:jc w:val="left"/>
            </w:pPr>
            <w:r>
              <w:rPr>
                <w:rFonts w:ascii="Cambria" w:hAnsi="Cambria" w:cs="Cambria" w:eastAsia="Cambria"/>
                <w:b/>
                <w:bCs/>
                <w:color w:val="1A1A1A"/>
                <w:sz w:val="18"/>
              </w:rPr>
              <w:t xml:space="preserve">Meta-analisi sulle cure integrate</w:t>
            </w:r>
          </w:p>
        </w:tc>
        <w:tc>
          <w:tcPr/>
          <w:p>
            <w:pPr>
              <w:pStyle w:val="Compact"/>
              <w:spacing w:after="40" w:before="40"/>
              <w:jc w:val="left"/>
            </w:pPr>
            <w:r>
              <w:rPr>
                <w:rFonts w:ascii="Cambria" w:hAnsi="Cambria" w:cs="Cambria" w:eastAsia="Cambria"/>
                <w:color w:val="1A1A1A"/>
                <w:sz w:val="18"/>
              </w:rP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‘******efficacia dell******’</w:t>
      </w:r>
      <w:r>
        <w:rPr>
          <w:i/>
          <w:iCs/>
        </w:rPr>
        <w:t xml:space="preserve">integrazione psicologica nelle cure primarie.</w:t>
      </w:r>
    </w:p>
    <w:bookmarkEnd w:id="187"/>
    <w:bookmarkStart w:id="188" w:name="d.2-la-qualità-dellevidenza"/>
    <w:p>
      <w:pPr>
        <w:pStyle w:val="Heading3"/>
      </w:pPr>
      <w:r>
        <w:t xml:space="preserve">D.2 La qualità dell’evidenza</w:t>
      </w:r>
    </w:p>
    <w:p>
      <w:pPr>
        <w:pStyle w:val="FirstParagraph"/>
      </w:pPr>
      <w:r>
        <w:t xml:space="preserve">La qualità dell’evidenza, valutata con il sistema GRADE, è da moderata a elevata per l’efficacia clinica dell’integrazione psicologica nelle cure primarie sui disturbi comuni, mentre è più eterogenea e di minore certezza per gli esiti economici, particolarmente quelli di sistema. Una cautela merita di essere dichiarata con franchezza, perché orienta l’intera impostazione economica dello studio: nello stesso studio fondativo i risparmi sui costi sanitari diretti non risultano statisticamente significativi, poiché l’intervallo di confidenza comprende lo zero. Il valore economico del modello, di conseguenza, poggia in misura preponderante sui ritorni sociali e non sui risparmi sanitari diretti. È una cautela coerente con il profilo del caso economico piemontese, che la Parte E costruisce esattamente su questa base.</w:t>
      </w:r>
    </w:p>
    <w:bookmarkEnd w:id="188"/>
    <w:bookmarkStart w:id="4182" w:name="d.3-i-benchmark-internazionali"/>
    <w:p>
      <w:pPr>
        <w:pStyle w:val="Heading3"/>
      </w:pPr>
      <w:r>
        <w:t xml:space="preserve">D.3 I benchmark internazionali</w:t>
      </w:r>
    </w:p>
    <w:p>
      <w:pPr>
        <w:pStyle w:val="FirstParagraph"/>
      </w:pPr>
      <w:r>
        <w:t xml:space="preserve">L’evidenza sperimentale è corroborata dall’esperienza dei grandi programmi internazionali, che offrono modelli organizzativi maturi e dati su larga scala. Il programma inglese costituisce il riferimento principale per l’organizzazione del servizio. Il modello olandese mostra un’integrazione capillare nello studio del medico di base. L’iniziativa australiana documenta l’ampliamento della popolazione in trattamento. Il modello statunitense è validato da una mole imponente di studi controllati. Le esperienze italiane, infine, pur derivando in parte da campioni limitati, anticipano l’integrazione nelle cure primarie, oggi corroborata dal servizio regionale piemontese già in esercizio. La tabella seguente li riepiloga.</w:t>
      </w:r>
    </w:p>
    <w:tbl>
      <w:tblPr>
        <w:tblStyle w:val="Table"/>
        <w:tblW w:type="pct" w:w="493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436"/>
        <w:gridCol w:w="2233"/>
        <w:gridCol w:w="314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Assetto</w:t>
            </w:r>
          </w:p>
        </w:tc>
        <w:tc>
          <w:tcPr>
            <w:shd w:val="clear" w:color="auto" w:fill="16264B"/>
          </w:tcPr>
          <w:p>
            <w:pPr>
              <w:pStyle w:val="Compact"/>
              <w:spacing w:after="40" w:before="40"/>
              <w:jc w:val="left"/>
            </w:pPr>
            <w:r>
              <w:rPr>
                <w:rFonts w:ascii="Cambria" w:hAnsi="Cambria" w:cs="Cambria" w:eastAsia="Cambria"/>
                <w:b/>
                <w:bCs/>
                <w:color w:val="FFFFFF"/>
                <w:sz w:val="18"/>
              </w:rPr>
              <w:t xml:space="preserve">Esiti clinici e organizzativi</w:t>
            </w:r>
          </w:p>
        </w:tc>
      </w:tr>
      <w:tr>
        <w:tc>
          <w:tcPr/>
          <w:p>
            <w:pPr>
              <w:pStyle w:val="Compact"/>
              <w:spacing w:after="40" w:before="40"/>
              <w:jc w:val="left"/>
            </w:pPr>
            <w:r>
              <w:rPr>
                <w:rFonts w:ascii="Cambria" w:hAnsi="Cambria" w:cs="Cambria" w:eastAsia="Cambria"/>
                <w:b/>
                <w:bCs/>
                <w:color w:val="1A1A1A"/>
                <w:sz w:val="18"/>
              </w:rPr>
              <w:t xml:space="preserve">Programma inglese (NHS Talking Therapies)</w:t>
            </w:r>
          </w:p>
        </w:tc>
        <w:tc>
          <w:tcPr/>
          <w:p>
            <w:pPr>
              <w:pStyle w:val="Compact"/>
              <w:spacing w:after="40" w:before="40"/>
              <w:jc w:val="left"/>
            </w:pPr>
            <w:r>
              <w:rPr>
                <w:rFonts w:ascii="Cambria" w:hAnsi="Cambria" w:cs="Cambria" w:eastAsia="Cambria"/>
                <w:color w:val="1A1A1A"/>
                <w:sz w:val="18"/>
              </w:rPr>
              <w:t xml:space="preserve">Integrato; intensità crescente</w:t>
            </w:r>
          </w:p>
        </w:tc>
        <w:tc>
          <w:tcPr/>
          <w:p>
            <w:pPr>
              <w:pStyle w:val="Compact"/>
              <w:spacing w:after="40" w:before="40"/>
              <w:jc w:val="left"/>
            </w:pPr>
            <w:r>
              <w:rPr>
                <w:rFonts w:ascii="Cambria" w:hAnsi="Cambria" w:cs="Cambria" w:eastAsia="Cambria"/>
                <w:color w:val="1A1A1A"/>
                <w:sz w:val="18"/>
              </w:rPr>
              <w:t xml:space="preserve">Recupero ~50%; monitoraggio &gt; 98%; &gt; 1,3 mln/anno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olandese (POH-GGZ)</w:t>
            </w:r>
          </w:p>
        </w:tc>
        <w:tc>
          <w:tcPr>
            <w:shd w:val="clear" w:color="auto" w:fill="F4F1EC"/>
          </w:tcPr>
          <w:p>
            <w:pPr>
              <w:pStyle w:val="Compact"/>
              <w:spacing w:after="40" w:before="40"/>
              <w:jc w:val="left"/>
            </w:pPr>
            <w:r>
              <w:rPr>
                <w:rFonts w:ascii="Cambria" w:hAnsi="Cambria" w:cs="Cambria" w:eastAsia="Cambria"/>
                <w:color w:val="1A1A1A"/>
                <w:sz w:val="18"/>
              </w:rPr>
              <w:t xml:space="preserve">Integrato nelle cure primarie</w:t>
            </w:r>
          </w:p>
        </w:tc>
        <w:tc>
          <w:tcPr>
            <w:shd w:val="clear" w:color="auto" w:fill="F4F1EC"/>
          </w:tcPr>
          <w:p>
            <w:pPr>
              <w:pStyle w:val="Compact"/>
              <w:spacing w:after="40" w:before="40"/>
              <w:jc w:val="left"/>
            </w:pPr>
            <w:r>
              <w:rPr>
                <w:rFonts w:ascii="Cambria" w:hAnsi="Cambria" w:cs="Cambria" w:eastAsia="Cambria"/>
                <w:color w:val="1A1A1A"/>
                <w:sz w:val="18"/>
              </w:rPr>
              <w:t xml:space="preserve">Adozione ~3/4 dei medici; ruolo complementare</w:t>
            </w:r>
          </w:p>
        </w:tc>
      </w:tr>
      <w:tr>
        <w:tc>
          <w:tcPr/>
          <w:p>
            <w:pPr>
              <w:pStyle w:val="Compact"/>
              <w:spacing w:after="40" w:before="40"/>
              <w:jc w:val="left"/>
            </w:pPr>
            <w:r>
              <w:rPr>
                <w:rFonts w:ascii="Cambria" w:hAnsi="Cambria" w:cs="Cambria" w:eastAsia="Cambria"/>
                <w:b/>
                <w:bCs/>
                <w:color w:val="1A1A1A"/>
                <w:sz w:val="18"/>
              </w:rPr>
              <w:t xml:space="preserve">Iniziativa australiana (Better Access)</w:t>
            </w:r>
          </w:p>
        </w:tc>
        <w:tc>
          <w:tcPr/>
          <w:p>
            <w:pPr>
              <w:pStyle w:val="Compact"/>
              <w:spacing w:after="40" w:before="40"/>
              <w:jc w:val="left"/>
            </w:pPr>
            <w:r>
              <w:rPr>
                <w:rFonts w:ascii="Cambria" w:hAnsi="Cambria" w:cs="Cambria" w:eastAsia="Cambria"/>
                <w:color w:val="1A1A1A"/>
                <w:sz w:val="18"/>
              </w:rPr>
              <w:t xml:space="preserve">Invio esterno</w:t>
            </w:r>
          </w:p>
        </w:tc>
        <w:tc>
          <w:tcPr/>
          <w:p>
            <w:pPr>
              <w:pStyle w:val="Compact"/>
              <w:spacing w:after="40" w:before="40"/>
              <w:jc w:val="left"/>
            </w:pPr>
            <w:r>
              <w:rPr>
                <w:rFonts w:ascii="Cambria" w:hAnsi="Cambria" w:cs="Cambria" w:eastAsia="Cambria"/>
                <w:color w:val="1A1A1A"/>
                <w:sz w:val="18"/>
              </w:rPr>
              <w:t xml:space="preserve">Trattamento dal 35% al 46%; elevata soddisfazione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Collaborative Care (Stati Uniti)</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r>
        <w:tc>
          <w:tcPr/>
          <w:p>
            <w:pPr>
              <w:pStyle w:val="Compact"/>
              <w:spacing w:after="40" w:before="40"/>
              <w:jc w:val="left"/>
            </w:pPr>
            <w:r>
              <w:rPr>
                <w:rFonts w:ascii="Cambria" w:hAnsi="Cambria" w:cs="Cambria" w:eastAsia="Cambria"/>
                <w:b/>
                <w:bCs/>
                <w:color w:val="1A1A1A"/>
                <w:sz w:val="18"/>
              </w:rPr>
              <w:t xml:space="preserve">Servizio regionale piemontese</w:t>
            </w:r>
          </w:p>
        </w:tc>
        <w:tc>
          <w:tcPr/>
          <w:p>
            <w:pPr>
              <w:pStyle w:val="Compact"/>
              <w:spacing w:after="40" w:before="40"/>
              <w:jc w:val="left"/>
            </w:pPr>
            <w:r>
              <w:rPr>
                <w:rFonts w:ascii="Cambria" w:hAnsi="Cambria" w:cs="Cambria" w:eastAsia="Cambria"/>
                <w:color w:val="1A1A1A"/>
                <w:sz w:val="18"/>
              </w:rPr>
              <w:t xml:space="preserve">Integrato nelle cure primarie; già attivo</w:t>
            </w:r>
          </w:p>
        </w:tc>
        <w:tc>
          <w:tcPr/>
          <w:p>
            <w:pPr>
              <w:pStyle w:val="Compact"/>
              <w:spacing w:after="40" w:before="40"/>
              <w:jc w:val="left"/>
            </w:pPr>
            <w:r>
              <w:rPr>
                <w:rFonts w:ascii="Cambria" w:hAnsi="Cambria" w:cs="Cambria" w:eastAsia="Cambria"/>
                <w:color w:val="1A1A1A"/>
                <w:sz w:val="18"/>
              </w:rPr>
              <w:t xml:space="preserve">Oltre 3.000 pazienti e 15.000 prestazioni nel primo anno</w:t>
            </w:r>
          </w:p>
        </w:tc>
      </w:tr>
    </w:tbl>
    <w:p>
      <w:pPr>
        <w:pStyle w:val="BodyText"/>
      </w:pPr>
      <w:r>
        <w:rPr>
          <w:i/>
          <w:iCs/>
        </w:rPr>
        <w:t xml:space="preserve">Tabella D.2. I benchmark internazionali e l</w:t>
      </w:r>
      <w:r>
        <w:rPr>
          <w:b/>
          <w:bCs/>
          <w:i/>
          <w:iCs/>
        </w:rPr>
        <w:t xml:space="preserve">’</w:t>
      </w:r>
      <w:r>
        <w:rPr>
          <w:i/>
          <w:iCs/>
        </w:rPr>
        <w:t xml:space="preserve">esperienza piemontese sul piano clinico e organizzativo (il confronto economico è nella Parte E).</w:t>
      </w:r>
    </w:p>
    <w:bookmarkEnd w:id="4182"/>
    <w:bookmarkStart w:id="4183" w:name="Xcb52df76e518ed6362fc71e3ddd1b9ac4a588b1"/>
    <w:p>
      <w:pPr>
        <w:pStyle w:val="Heading3"/>
      </w:pPr>
      <w:r>
        <w:t xml:space="preserve">D.4 La trasferibilità al contesto regionale</w:t>
      </w:r>
    </w:p>
    <w:p>
      <w:pPr>
        <w:pStyle w:val="FirstParagraph"/>
      </w:pPr>
      <w:r>
        <w:t xml:space="preserve">La trasposizione di questi risultati al contesto regionale richiede cautela metodologica: i programmi internazionali provengono da sistemi diversi per organizzazione, finanziamento e cultura, e le loro stime — di efficacia e, ancor più, economiche — non vanno trasferite meccanicamente, ma validate localmente. Per il Piemonte, tuttavia, la trasferibilità è facilitata da una circostanza unica nel panorama nazionale: la regione non deve trasferire soltanto stime estere, poiché dispone già di una base di evidenza locale costituita dal proprio servizio regionale, attivo dal 2023 in tutte le Aziende Sanitarie Locali, che nel primo anno ha intercettato oltre tremila pazienti con oltre quindicimila prestazioni. Il vantaggio peculiare del Piemonte è dunque di poter validare il modello sui propri dati operativi; a ciò si aggiungono l’infrastruttura informatica regionale e la rete territoriale delle Case della Comunità in costruzione, che costituiscono un terreno favorevole alla valutazione rigorosa di un modello già in esercizio. Una precisazione conclusiva si impone sul piano della correttezza: i rapporti beneficio-costo spesso citati nel dibattito pubblico sono semplificazioni divulgative; le stime metodologicamente fondate collocano il ritorno in intervalli più prudenti, ed è a questi che lo studio si attiene. Stabilita l’efficacia e graduata l’evidenza, la parte che segue ne traduce i risultati nella valutazione economica.</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E</w:t>
      </w:r>
    </w:p>
    <w:p>
      <w:pPr>
        <w:pStyle w:val="BodyText"/>
      </w:pPr>
      <w:r>
        <w:rPr>
          <w:b/>
          <w:bCs/>
        </w:rPr>
        <w:t xml:space="preserve">La valutazione economica</w:t>
      </w:r>
    </w:p>
    <w:p>
      <w:pPr>
        <w:pStyle w:val="BodyText"/>
      </w:pPr>
      <w:r>
        <w:rPr>
          <w:i/>
          <w:iCs/>
        </w:rPr>
        <w:t xml:space="preserve">Costi, esiti, costo-utilità, impatto sul bilancio, ritorno sociale e casi economico e finanziario</w:t>
      </w:r>
    </w:p>
    <w:p>
      <w:pPr>
        <w:pStyle w:val="BodyText"/>
      </w:pPr>
      <w:r>
        <w:t xml:space="preserve">Quinto dominio dell’HTA · il valore economico</w:t>
      </w:r>
    </w:p>
    <w:bookmarkEnd w:id="4183"/>
    <w:bookmarkEnd w:id="4181"/>
    <w:bookmarkStart w:id="4184" w:name="parte-e-la-valutazione-economica"/>
    <w:p>
      <w:pPr>
        <w:pStyle w:val="Heading2"/>
      </w:pPr>
      <w:r>
        <w:t xml:space="preserve">Parte E — La valutazione economica</w:t>
      </w:r>
    </w:p>
    <w:p>
      <w:pPr>
        <w:pStyle w:val="FirstParagraph"/>
      </w:pPr>
      <w:r>
        <w:t xml:space="preserve">Stabilita l’efficacia nella Parte D, questa quinta parte ne traduce i risultati in termini economici, secondo il quinto dominio della valutazione e nel rigore di reporting dello standard CHEERS. È la parte centrale per il decisore di finanza pubblica, e ne riassume l’esito già in apertura: il caso finanziario, riferito al solo bilancio sanitario, presenta un saldo lievemente negativo, mentre il caso economico, riferito alla collettività, è ampiamente positivo. La parte identifica e misura i costi (capitolo E.1) e gli esiti (E.2); ne deriva il costo-efficacia e il costo-utilità (E.3); analizza l’impatto sul bilancio (E.4); stima il ritorno sociale (E.5); e ricompone il caso economico e il caso finanziario (E.6). I valori sono espressi in tre scenari di copertura, e l’intera analisi tiene rigorosamente distinto ciò che lo Stato risparmia da ciò che la collettività guadagna.</w:t>
      </w:r>
    </w:p>
    <w:bookmarkStart w:id="4185" w:name="Xc9e56968c10ff4a681cb718d076dbd9c712e3b3"/>
    <w:p>
      <w:pPr>
        <w:pStyle w:val="Heading3"/>
      </w:pPr>
      <w:r>
        <w:t xml:space="preserve">E.1 L’identificazione e la misura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A regime, esso è dell’ordine di 26 milioni di euro annui nello scenario conservativo, 38 nello scenario base e 51 nello scenario espansivo. La stima muove da un valore unitario per incarico dell’ordine di 55.000 euro annui, regionalizzato in proporzione alla popolazione e al numero di professionisti; il servizio è peraltro già finanziato a quota capitaria, ma per un importo che copre una frazione ridotta del fabbisogno. La tabella seguente espone il costo per scenario; la condizione attuale, in cui il servizio è già attivo ma sottodimensionato, comporta una spesa dedicata dell’ordine di 1,8 milioni di euro annui.</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921"/>
        <w:gridCol w:w="1845"/>
        <w:gridCol w:w="199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 (mln €)</w:t>
            </w:r>
          </w:p>
        </w:tc>
      </w:tr>
      <w:tr>
        <w:tc>
          <w:tcPr/>
          <w:p>
            <w:pPr>
              <w:pStyle w:val="Compact"/>
              <w:spacing w:after="40" w:before="40"/>
              <w:jc w:val="left"/>
            </w:pPr>
            <w:r>
              <w:rPr>
                <w:rFonts w:ascii="Cambria" w:hAnsi="Cambria" w:cs="Cambria" w:eastAsia="Cambria"/>
                <w:b/>
                <w:bCs/>
                <w:color w:val="1A1A1A"/>
                <w:sz w:val="18"/>
              </w:rPr>
              <w:t xml:space="preserve">Attuale (servizio attivo, sottodimensionato)</w:t>
            </w:r>
          </w:p>
        </w:tc>
        <w:tc>
          <w:tcPr/>
          <w:p>
            <w:pPr>
              <w:pStyle w:val="Compact"/>
              <w:spacing w:after="40" w:before="40"/>
              <w:jc w:val="left"/>
            </w:pPr>
            <w:r>
              <w:rPr>
                <w:rFonts w:ascii="Cambria" w:hAnsi="Cambria" w:cs="Cambria" w:eastAsia="Cambria"/>
                <w:color w:val="1A1A1A"/>
                <w:sz w:val="18"/>
              </w:rPr>
              <w:t xml:space="preserve">~ 5% del fabbisogno</w:t>
            </w:r>
          </w:p>
        </w:tc>
        <w:tc>
          <w:tcPr/>
          <w:p>
            <w:pPr>
              <w:pStyle w:val="Compact"/>
              <w:spacing w:after="40" w:before="40"/>
              <w:jc w:val="left"/>
            </w:pPr>
            <w:r>
              <w:rPr>
                <w:rFonts w:ascii="Cambria" w:hAnsi="Cambria" w:cs="Cambria" w:eastAsia="Cambria"/>
                <w:color w:val="1A1A1A"/>
                <w:sz w:val="18"/>
              </w:rPr>
              <w:t xml:space="preserve">~ 1,8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Conservativo</w:t>
            </w:r>
          </w:p>
        </w:tc>
        <w:tc>
          <w:tcPr>
            <w:shd w:val="clear" w:color="auto" w:fill="F4F1EC"/>
          </w:tcPr>
          <w:p>
            <w:pPr>
              <w:pStyle w:val="Compact"/>
              <w:spacing w:after="40" w:before="40"/>
              <w:jc w:val="left"/>
            </w:pPr>
            <w:r>
              <w:rPr>
                <w:rFonts w:ascii="Cambria" w:hAnsi="Cambria" w:cs="Cambria" w:eastAsia="Cambria"/>
                <w:color w:val="1A1A1A"/>
                <w:sz w:val="18"/>
              </w:rPr>
              <w:t xml:space="preserve">~ 470</w:t>
            </w:r>
          </w:p>
        </w:tc>
        <w:tc>
          <w:tcPr>
            <w:shd w:val="clear" w:color="auto" w:fill="F4F1EC"/>
          </w:tcPr>
          <w:p>
            <w:pPr>
              <w:pStyle w:val="Compact"/>
              <w:spacing w:after="40" w:before="40"/>
              <w:jc w:val="left"/>
            </w:pPr>
            <w:r>
              <w:rPr>
                <w:rFonts w:ascii="Cambria" w:hAnsi="Cambria" w:cs="Cambria" w:eastAsia="Cambria"/>
                <w:color w:val="1A1A1A"/>
                <w:sz w:val="18"/>
              </w:rPr>
              <w:t xml:space="preserve">~ 26</w:t>
            </w:r>
          </w:p>
        </w:tc>
      </w:tr>
      <w:tr>
        <w:tc>
          <w:tcPr/>
          <w:p>
            <w:pPr>
              <w:pStyle w:val="Compact"/>
              <w:spacing w:after="40" w:before="40"/>
              <w:jc w:val="left"/>
            </w:pPr>
            <w:r>
              <w:rPr>
                <w:rFonts w:ascii="Cambria" w:hAnsi="Cambria" w:cs="Cambria" w:eastAsia="Cambria"/>
                <w:b/>
                <w:bCs/>
                <w:color w:val="1A1A1A"/>
                <w:sz w:val="18"/>
              </w:rPr>
              <w:t xml:space="preserve">Base</w:t>
            </w:r>
          </w:p>
        </w:tc>
        <w:tc>
          <w:tcPr/>
          <w:p>
            <w:pPr>
              <w:pStyle w:val="Compact"/>
              <w:spacing w:after="40" w:before="40"/>
              <w:jc w:val="left"/>
            </w:pPr>
            <w:r>
              <w:rPr>
                <w:rFonts w:ascii="Cambria" w:hAnsi="Cambria" w:cs="Cambria" w:eastAsia="Cambria"/>
                <w:color w:val="1A1A1A"/>
                <w:sz w:val="18"/>
              </w:rPr>
              <w:t xml:space="preserve">~ 700</w:t>
            </w:r>
          </w:p>
        </w:tc>
        <w:tc>
          <w:tcPr/>
          <w:p>
            <w:pPr>
              <w:pStyle w:val="Compact"/>
              <w:spacing w:after="40" w:before="40"/>
              <w:jc w:val="left"/>
            </w:pPr>
            <w:r>
              <w:rPr>
                <w:rFonts w:ascii="Cambria" w:hAnsi="Cambria" w:cs="Cambria" w:eastAsia="Cambria"/>
                <w:color w:val="1A1A1A"/>
                <w:sz w:val="18"/>
              </w:rPr>
              <w:t xml:space="preserve">~ 38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Espansivo</w:t>
            </w:r>
          </w:p>
        </w:tc>
        <w:tc>
          <w:tcPr>
            <w:shd w:val="clear" w:color="auto" w:fill="F4F1EC"/>
          </w:tcPr>
          <w:p>
            <w:pPr>
              <w:pStyle w:val="Compact"/>
              <w:spacing w:after="40" w:before="40"/>
              <w:jc w:val="left"/>
            </w:pPr>
            <w:r>
              <w:rPr>
                <w:rFonts w:ascii="Cambria" w:hAnsi="Cambria" w:cs="Cambria" w:eastAsia="Cambria"/>
                <w:color w:val="1A1A1A"/>
                <w:sz w:val="18"/>
              </w:rPr>
              <w:t xml:space="preserve">~ 920</w:t>
            </w:r>
          </w:p>
        </w:tc>
        <w:tc>
          <w:tcPr>
            <w:shd w:val="clear" w:color="auto" w:fill="F4F1EC"/>
          </w:tcPr>
          <w:p>
            <w:pPr>
              <w:pStyle w:val="Compact"/>
              <w:spacing w:after="40" w:before="40"/>
              <w:jc w:val="left"/>
            </w:pPr>
            <w:r>
              <w:rPr>
                <w:rFonts w:ascii="Cambria" w:hAnsi="Cambria" w:cs="Cambria" w:eastAsia="Cambria"/>
                <w:color w:val="1A1A1A"/>
                <w:sz w:val="18"/>
              </w:rPr>
              <w:t xml:space="preserve">~ 51</w:t>
            </w:r>
          </w:p>
        </w:tc>
      </w:tr>
    </w:tbl>
    <w:p>
      <w:pPr>
        <w:pStyle w:val="BodyText"/>
      </w:pPr>
      <w:r>
        <w:rPr>
          <w:i/>
          <w:iCs/>
        </w:rPr>
        <w:t xml:space="preserve">Tabella E.1. Il costo del servizio per scenario di copertura. Il servizio è oggi già attivo a quota capitaria, ma dimensionato a circa il 5% del fabbisogno.</w:t>
      </w:r>
    </w:p>
    <w:bookmarkEnd w:id="4185"/>
    <w:bookmarkStart w:id="4186" w:name="X9718c06a57ba70cf6babbdc4a2cdb23fc402e83"/>
    <w:p>
      <w:pPr>
        <w:pStyle w:val="Heading3"/>
      </w:pPr>
      <w:r>
        <w:t xml:space="preserve">E.2 L’identificazione e la misura degli esiti</w:t>
      </w:r>
    </w:p>
    <w:p>
      <w:pPr>
        <w:pStyle w:val="FirstParagraph"/>
      </w:pPr>
      <w:r>
        <w:t xml:space="preserve">Gli esiti di salute sono espressi in anni di vita ponderati per la qualità e in esiti clinici validati; i tassi di recupero e di miglioramento sono desunti dai benchmark consolidati e applicati in via prudenziale. Le misure impiegate, nei soli punteggi complessivi, sono il questionario a nove voci sui sintomi depressivi e la scala a sette voci per il disturbo d’ansia, con un tasso di recupero di riferimento dell’ordine del 50%, coerente con i dati reali del programma inglese e con i primi dati del servizio regionale.</w:t>
      </w:r>
    </w:p>
    <w:bookmarkEnd w:id="4186"/>
    <w:bookmarkStart w:id="194" w:name="Xf8993466b77331c5f37cf921d0b476493c54439"/>
    <w:p>
      <w:pPr>
        <w:pStyle w:val="Heading3"/>
      </w:pPr>
      <w:r>
        <w:t xml:space="preserve">E.3 Il costo-efficacia e il costo-utilità</w:t>
      </w:r>
    </w:p>
    <w:p>
      <w:pPr>
        <w:pStyle w:val="FirstParagraph"/>
      </w:pPr>
      <w:r>
        <w:t xml:space="preserve">Il costo per anno di vita ponderato per la qualità si colloca al di sotto della soglia comunemente adottata; l’analisi per paziente, sviluppata in dettaglio nella Parte F, indica anzi condizioni di dominanza dell’intervento rispetto all’opzione di non intervento, ossia un esito al tempo stesso migliore e meno costoso sul ciclo di vita del disturbo. La soglia di riferimento adottata è dell’ordine di 30.000 euro per anno di vita ponderato per la qualità, in linea con la prassi internazionale.</w:t>
      </w:r>
    </w:p>
    <w:bookmarkEnd w:id="194"/>
    <w:bookmarkStart w:id="4187" w:name="e.4-limpatto-sul-bilancio"/>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dei ricoveri e prestazioni specialistiche evitabili e, in misura marginale, della mobilità recuperata; per il Piemonte questo canale è solo marginalmente pertinente, poiché la regione presenta un saldo di mobilità in sostanziale equilibrio. I risparmi diretti complessivi sono stimati nell’ordine di 16, 26 e 39 milioni di euro annui nei tre scenari, collocati prudenzialmente nella parte medio-bassa dell’intervallo. Il saldo diretto, differenza tra risparmi diretti e costo del servizio, è dell’ordine di −10, −12 e −12 milioni di euro annui: lievemente negativo, coerentemente con un saldo di mobilità in equilibrio e un canale di recupero solo marginale. Questo saldo negativo è dichiarato senza attenuazioni e non rappresenta una debolezza dell’analisi, ma il suo profilo onesto: a differenza della Puglia, dove il recupero della mobilità passiva concorre al pareggio diretto, in Piemonte il valore dell’intervento risiede in misura preponderante nelle ricadute sociali, pur conservando, nel contesto delle liste di attesa, una salienza diretta non trascurabile. La tabella seguente dettaglia i canali e il saldo.</w:t>
      </w:r>
    </w:p>
    <w:tbl>
      <w:tblPr>
        <w:tblStyle w:val="Table"/>
        <w:tblW w:type="pct" w:w="489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201"/>
        <w:gridCol w:w="1516"/>
        <w:gridCol w:w="1516"/>
        <w:gridCol w:w="151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5</w:t>
            </w:r>
          </w:p>
        </w:tc>
        <w:tc>
          <w:tcPr/>
          <w:p>
            <w:pPr>
              <w:pStyle w:val="Compact"/>
              <w:spacing w:after="40" w:before="40"/>
              <w:jc w:val="left"/>
            </w:pPr>
            <w:r>
              <w:rPr>
                <w:rFonts w:ascii="Cambria" w:hAnsi="Cambria" w:cs="Cambria" w:eastAsia="Cambria"/>
                <w:color w:val="1A1A1A"/>
                <w:sz w:val="18"/>
              </w:rPr>
              <w:t xml:space="preserve">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Farmaceutica</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c>
          <w:tcPr>
            <w:shd w:val="clear" w:color="auto" w:fill="F4F1EC"/>
          </w:tcPr>
          <w:p>
            <w:pPr>
              <w:pStyle w:val="Compact"/>
              <w:spacing w:after="40" w:before="40"/>
              <w:jc w:val="left"/>
            </w:pPr>
            <w:r>
              <w:rPr>
                <w:rFonts w:ascii="Cambria" w:hAnsi="Cambria" w:cs="Cambria" w:eastAsia="Cambria"/>
                <w:color w:val="1A1A1A"/>
                <w:sz w:val="18"/>
              </w:rPr>
              <w:t xml:space="preserve">4</w:t>
            </w:r>
          </w:p>
        </w:tc>
        <w:tc>
          <w:tcPr>
            <w:shd w:val="clear" w:color="auto" w:fill="F4F1EC"/>
          </w:tcPr>
          <w:p>
            <w:pPr>
              <w:pStyle w:val="Compact"/>
              <w:spacing w:after="40" w:before="40"/>
              <w:jc w:val="left"/>
            </w:pPr>
            <w:r>
              <w:rPr>
                <w:rFonts w:ascii="Cambria" w:hAnsi="Cambria" w:cs="Cambria" w:eastAsia="Cambria"/>
                <w:color w:val="1A1A1A"/>
                <w:sz w:val="18"/>
              </w:rPr>
              <w:t xml:space="preserve">7</w:t>
            </w:r>
          </w:p>
        </w:tc>
      </w:tr>
      <w:tr>
        <w:tc>
          <w:tcPr/>
          <w:p>
            <w:pPr>
              <w:pStyle w:val="Compact"/>
              <w:spacing w:after="40" w:before="40"/>
              <w:jc w:val="left"/>
            </w:pPr>
            <w:r>
              <w:rPr>
                <w:rFonts w:ascii="Cambria" w:hAnsi="Cambria" w:cs="Cambria" w:eastAsia="Cambria"/>
                <w:b/>
                <w:bCs/>
                <w:color w:val="1A1A1A"/>
                <w:sz w:val="18"/>
              </w:rPr>
              <w:t xml:space="preserve">Ricoveri e specialistica</w:t>
            </w:r>
          </w:p>
        </w:tc>
        <w:tc>
          <w:tcPr/>
          <w:p>
            <w:pPr>
              <w:pStyle w:val="Compact"/>
              <w:spacing w:after="40" w:before="40"/>
              <w:jc w:val="left"/>
            </w:pPr>
            <w:r>
              <w:rPr>
                <w:rFonts w:ascii="Cambria" w:hAnsi="Cambria" w:cs="Cambria" w:eastAsia="Cambria"/>
                <w:color w:val="1A1A1A"/>
                <w:sz w:val="18"/>
              </w:rPr>
              <w:t xml:space="preserve">9</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23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recuperata (marginale)</w:t>
            </w:r>
          </w:p>
        </w:tc>
        <w:tc>
          <w:tcPr>
            <w:shd w:val="clear" w:color="auto" w:fill="F4F1EC"/>
          </w:tcPr>
          <w:p>
            <w:pPr>
              <w:pStyle w:val="Compact"/>
              <w:spacing w:after="40" w:before="40"/>
              <w:jc w:val="left"/>
            </w:pPr>
            <w:r>
              <w:rPr>
                <w:rFonts w:ascii="Cambria" w:hAnsi="Cambria" w:cs="Cambria" w:eastAsia="Cambria"/>
                <w:color w:val="1A1A1A"/>
                <w:sz w:val="18"/>
              </w:rPr>
              <w:t xml:space="preserve">1</w:t>
            </w:r>
          </w:p>
        </w:tc>
        <w:tc>
          <w:tcPr>
            <w:shd w:val="clear" w:color="auto" w:fill="F4F1EC"/>
          </w:tcPr>
          <w:p>
            <w:pPr>
              <w:pStyle w:val="Compact"/>
              <w:spacing w:after="40" w:before="40"/>
              <w:jc w:val="left"/>
            </w:pPr>
            <w:r>
              <w:rPr>
                <w:rFonts w:ascii="Cambria" w:hAnsi="Cambria" w:cs="Cambria" w:eastAsia="Cambria"/>
                <w:color w:val="1A1A1A"/>
                <w:sz w:val="18"/>
              </w:rPr>
              <w:t xml:space="preserve">2</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r>
      <w:tr>
        <w:tc>
          <w:tcPr/>
          <w:p>
            <w:pPr>
              <w:pStyle w:val="Compact"/>
              <w:spacing w:after="40" w:before="40"/>
              <w:jc w:val="left"/>
            </w:pPr>
            <w:r>
              <w:rPr>
                <w:rFonts w:ascii="Cambria" w:hAnsi="Cambria" w:cs="Cambria" w:eastAsia="Cambria"/>
                <w:b/>
                <w:bCs/>
                <w:color w:val="1A1A1A"/>
                <w:sz w:val="18"/>
              </w:rPr>
              <w:t xml:space="preserve">Risparmi diretti (totale)</w:t>
            </w:r>
          </w:p>
        </w:tc>
        <w:tc>
          <w:tcPr/>
          <w:p>
            <w:pPr>
              <w:pStyle w:val="Compact"/>
              <w:spacing w:after="40" w:before="40"/>
              <w:jc w:val="left"/>
            </w:pPr>
            <w:r>
              <w:rPr>
                <w:rFonts w:ascii="Cambria" w:hAnsi="Cambria" w:cs="Cambria" w:eastAsia="Cambria"/>
                <w:color w:val="1A1A1A"/>
                <w:sz w:val="18"/>
              </w:rPr>
              <w:t xml:space="preserve">~ 16</w:t>
            </w:r>
          </w:p>
        </w:tc>
        <w:tc>
          <w:tcPr/>
          <w:p>
            <w:pPr>
              <w:pStyle w:val="Compact"/>
              <w:spacing w:after="40" w:before="40"/>
              <w:jc w:val="left"/>
            </w:pPr>
            <w:r>
              <w:rPr>
                <w:rFonts w:ascii="Cambria" w:hAnsi="Cambria" w:cs="Cambria" w:eastAsia="Cambria"/>
                <w:color w:val="1A1A1A"/>
                <w:sz w:val="18"/>
              </w:rPr>
              <w:t xml:space="preserve">~ 26</w:t>
            </w:r>
          </w:p>
        </w:tc>
        <w:tc>
          <w:tcPr/>
          <w:p>
            <w:pPr>
              <w:pStyle w:val="Compact"/>
              <w:spacing w:after="40" w:before="40"/>
              <w:jc w:val="left"/>
            </w:pPr>
            <w:r>
              <w:rPr>
                <w:rFonts w:ascii="Cambria" w:hAnsi="Cambria" w:cs="Cambria" w:eastAsia="Cambria"/>
                <w:color w:val="1A1A1A"/>
                <w:sz w:val="18"/>
              </w:rPr>
              <w:t xml:space="preserve">~ 39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26</w:t>
            </w:r>
          </w:p>
        </w:tc>
        <w:tc>
          <w:tcPr>
            <w:shd w:val="clear" w:color="auto" w:fill="F4F1EC"/>
          </w:tcPr>
          <w:p>
            <w:pPr>
              <w:pStyle w:val="Compact"/>
              <w:spacing w:after="40" w:before="40"/>
              <w:jc w:val="left"/>
            </w:pPr>
            <w:r>
              <w:rPr>
                <w:rFonts w:ascii="Cambria" w:hAnsi="Cambria" w:cs="Cambria" w:eastAsia="Cambria"/>
                <w:color w:val="1A1A1A"/>
                <w:sz w:val="18"/>
              </w:rPr>
              <w:t xml:space="preserve">~ 38</w:t>
            </w:r>
          </w:p>
        </w:tc>
        <w:tc>
          <w:tcPr>
            <w:shd w:val="clear" w:color="auto" w:fill="F4F1EC"/>
          </w:tcPr>
          <w:p>
            <w:pPr>
              <w:pStyle w:val="Compact"/>
              <w:spacing w:after="40" w:before="40"/>
              <w:jc w:val="left"/>
            </w:pPr>
            <w:r>
              <w:rPr>
                <w:rFonts w:ascii="Cambria" w:hAnsi="Cambria" w:cs="Cambria" w:eastAsia="Cambria"/>
                <w:color w:val="1A1A1A"/>
                <w:sz w:val="18"/>
              </w:rPr>
              <w:t xml:space="preserve">~ 51</w:t>
            </w:r>
          </w:p>
        </w:tc>
      </w:tr>
      <w:tr>
        <w:tc>
          <w:tcPr/>
          <w:p>
            <w:pPr>
              <w:pStyle w:val="Compact"/>
              <w:spacing w:after="40" w:before="40"/>
              <w:jc w:val="left"/>
            </w:pPr>
            <w:r>
              <w:rPr>
                <w:rFonts w:ascii="Cambria" w:hAnsi="Cambria" w:cs="Cambria" w:eastAsia="Cambria"/>
                <w:b/>
                <w:bCs/>
                <w:color w:val="1A1A1A"/>
                <w:sz w:val="18"/>
              </w:rPr>
              <w:t xml:space="preserve">Saldo diretto (solo SSR)</w:t>
            </w:r>
          </w:p>
        </w:tc>
        <w:tc>
          <w:tcPr/>
          <w:p>
            <w:pPr>
              <w:pStyle w:val="Compact"/>
              <w:spacing w:after="40" w:before="40"/>
              <w:jc w:val="left"/>
            </w:pPr>
            <w:r>
              <w:rPr>
                <w:rFonts w:ascii="Cambria" w:hAnsi="Cambria" w:cs="Cambria" w:eastAsia="Cambria"/>
                <w:color w:val="1A1A1A"/>
                <w:sz w:val="18"/>
              </w:rPr>
              <w:t xml:space="preserve">~ −10</w:t>
            </w:r>
          </w:p>
        </w:tc>
        <w:tc>
          <w:tcPr/>
          <w:p>
            <w:pPr>
              <w:pStyle w:val="Compact"/>
              <w:spacing w:after="40" w:before="40"/>
              <w:jc w:val="left"/>
            </w:pPr>
            <w:r>
              <w:rPr>
                <w:rFonts w:ascii="Cambria" w:hAnsi="Cambria" w:cs="Cambria" w:eastAsia="Cambria"/>
                <w:color w:val="1A1A1A"/>
                <w:sz w:val="18"/>
              </w:rPr>
              <w:t xml:space="preserve">~ −12</w:t>
            </w:r>
          </w:p>
        </w:tc>
        <w:tc>
          <w:tcPr/>
          <w:p>
            <w:pPr>
              <w:pStyle w:val="Compact"/>
              <w:spacing w:after="40" w:before="40"/>
              <w:jc w:val="left"/>
            </w:pPr>
            <w:r>
              <w:rPr>
                <w:rFonts w:ascii="Cambria" w:hAnsi="Cambria" w:cs="Cambria" w:eastAsia="Cambria"/>
                <w:color w:val="1A1A1A"/>
                <w:sz w:val="18"/>
              </w:rPr>
              <w:t xml:space="preserve">~ −12</w:t>
            </w:r>
          </w:p>
        </w:tc>
      </w:tr>
    </w:tbl>
    <w:p>
      <w:pPr>
        <w:pStyle w:val="BodyText"/>
      </w:pPr>
      <w:r>
        <w:rPr>
          <w:i/>
          <w:iCs/>
        </w:rPr>
        <w:t xml:space="preserve">Tabella E.2. I risparmi diretti per canale e il saldo diretto sul bilancio sanitario, per scenario. Il saldo diretto è lievemente negativo.</w:t>
      </w:r>
    </w:p>
    <w:bookmarkEnd w:id="4187"/>
    <w:bookmarkStart w:id="4188" w:name="e.5-il-ritorno-sociale"/>
    <w:p>
      <w:pPr>
        <w:pStyle w:val="Heading3"/>
      </w:pPr>
      <w:r>
        <w:t xml:space="preserve">E.5 Il ritorno sociale</w:t>
      </w:r>
    </w:p>
    <w:p>
      <w:pPr>
        <w:pStyle w:val="FirstParagraph"/>
      </w:pPr>
      <w:r>
        <w:t xml:space="preserve">Il valore dell’intervento, in Piemonte, si manifesta soprattutto al di fuori del bilancio sanitario. Le ricadute economico-sociali comprendono la maggiore produttività recuperata, la riduzione delle nuove invalidità e dei pensionamenti anticipati, le efficienze nel sistema dei servizi di salute mentale e il sollievo alle figure di cura familiari; in una regione a popolazione matura e a forte presenza di cronicità, la produttività recuperata e il sollievo ai familiari sono le voci di maggior peso. Stimate secondo i metodi del ritorno sociale sull’investimento e con criteri conservativi, queste ricadute sono dell’ordine di 83 milioni di euro annui nello scenario conservativo, 154 nello scenario base e 240 nello scenario espansivo.</w:t>
      </w:r>
    </w:p>
    <w:bookmarkEnd w:id="4188"/>
    <w:bookmarkStart w:id="4189" w:name="X7c1544e22909094939114f489144e8ca7c8d3c0"/>
    <w:p>
      <w:pPr>
        <w:pStyle w:val="Heading3"/>
      </w:pPr>
      <w:r>
        <w:t xml:space="preserve">E.6 Il caso economico e il caso finanziario</w:t>
      </w:r>
    </w:p>
    <w:p>
      <w:pPr>
        <w:pStyle w:val="FirstParagraph"/>
      </w:pPr>
      <w:r>
        <w:t xml:space="preserve">La ricomposizione delle grandezze restituisce il quadro complessivo. Il ritorno complessivo, somma dei risparmi diretti e delle ricadute sociali, è dell’ordine di 99, 180 e 279 milioni di euro annui nei tre scenari; al netto del costo del servizio, il saldo complessivo è dell’ordine di +73, +142 e +228 milioni di euro annui. Il rapporto beneficio-costo complessivo è conseguentemente dell’ordine di 3,8:1 nello scenario conservativo, 4,7:1 nel base e 5,5:1 nell’espansivo, in linea con il valore validato sulle altre regioni. La lettura corretta del risultato passa per la distinzione, propria del Five Case Model, tra il caso finanziario — riferito al solo bilancio sanitario e lievemente negativo — e il caso economico — riferito alla collettività e ampiamente positivo. Sul piano della sostenibilità, il costo del servizio si colloca nell’ordine dello 0,3–0,5% di un Fondo Sanitario Regionale dell’ordine di 9,5 miliardi di euro; benché la regione operi sotto pressione finanziaria, l’importo è contenuto e una quota è già a bilancio per il servizio attivo. Resta la lacuna prioritaria, già dichiarata: le grandezze economiche sono in parte ricostruite per quota di popolazione e non estratte dai conti regionali certificati, la cui verifica presso le aziende è condizione per la presentazione alle autorità di finanza pubblica. La tabella seguente sintetizza il caso economico e il caso finanziario.</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16</w:t>
            </w:r>
          </w:p>
        </w:tc>
        <w:tc>
          <w:tcPr/>
          <w:p>
            <w:pPr>
              <w:pStyle w:val="Compact"/>
              <w:spacing w:after="40" w:before="40"/>
              <w:jc w:val="left"/>
            </w:pPr>
            <w:r>
              <w:rPr>
                <w:rFonts w:ascii="Cambria" w:hAnsi="Cambria" w:cs="Cambria" w:eastAsia="Cambria"/>
                <w:color w:val="1A1A1A"/>
                <w:sz w:val="18"/>
              </w:rPr>
              <w:t xml:space="preserve">~ 26</w:t>
            </w:r>
          </w:p>
        </w:tc>
        <w:tc>
          <w:tcPr/>
          <w:p>
            <w:pPr>
              <w:pStyle w:val="Compact"/>
              <w:spacing w:after="40" w:before="40"/>
              <w:jc w:val="left"/>
            </w:pPr>
            <w:r>
              <w:rPr>
                <w:rFonts w:ascii="Cambria" w:hAnsi="Cambria" w:cs="Cambria" w:eastAsia="Cambria"/>
                <w:color w:val="1A1A1A"/>
                <w:sz w:val="18"/>
              </w:rPr>
              <w:t xml:space="preserve">~ 39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83</w:t>
            </w:r>
          </w:p>
        </w:tc>
        <w:tc>
          <w:tcPr>
            <w:shd w:val="clear" w:color="auto" w:fill="F4F1EC"/>
          </w:tcPr>
          <w:p>
            <w:pPr>
              <w:pStyle w:val="Compact"/>
              <w:spacing w:after="40" w:before="40"/>
              <w:jc w:val="left"/>
            </w:pPr>
            <w:r>
              <w:rPr>
                <w:rFonts w:ascii="Cambria" w:hAnsi="Cambria" w:cs="Cambria" w:eastAsia="Cambria"/>
                <w:color w:val="1A1A1A"/>
                <w:sz w:val="18"/>
              </w:rPr>
              <w:t xml:space="preserve">~ 154</w:t>
            </w:r>
          </w:p>
        </w:tc>
        <w:tc>
          <w:tcPr>
            <w:shd w:val="clear" w:color="auto" w:fill="F4F1EC"/>
          </w:tcPr>
          <w:p>
            <w:pPr>
              <w:pStyle w:val="Compact"/>
              <w:spacing w:after="40" w:before="40"/>
              <w:jc w:val="left"/>
            </w:pPr>
            <w:r>
              <w:rPr>
                <w:rFonts w:ascii="Cambria" w:hAnsi="Cambria" w:cs="Cambria" w:eastAsia="Cambria"/>
                <w:color w:val="1A1A1A"/>
                <w:sz w:val="18"/>
              </w:rPr>
              <w:t xml:space="preserve">~ 240</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 99</w:t>
            </w:r>
          </w:p>
        </w:tc>
        <w:tc>
          <w:tcPr/>
          <w:p>
            <w:pPr>
              <w:pStyle w:val="Compact"/>
              <w:spacing w:after="40" w:before="40"/>
              <w:jc w:val="left"/>
            </w:pPr>
            <w:r>
              <w:rPr>
                <w:rFonts w:ascii="Cambria" w:hAnsi="Cambria" w:cs="Cambria" w:eastAsia="Cambria"/>
                <w:color w:val="1A1A1A"/>
                <w:sz w:val="18"/>
              </w:rPr>
              <w:t xml:space="preserve">~ 180</w:t>
            </w:r>
          </w:p>
        </w:tc>
        <w:tc>
          <w:tcPr/>
          <w:p>
            <w:pPr>
              <w:pStyle w:val="Compact"/>
              <w:spacing w:after="40" w:before="40"/>
              <w:jc w:val="left"/>
            </w:pPr>
            <w:r>
              <w:rPr>
                <w:rFonts w:ascii="Cambria" w:hAnsi="Cambria" w:cs="Cambria" w:eastAsia="Cambria"/>
                <w:color w:val="1A1A1A"/>
                <w:sz w:val="18"/>
              </w:rPr>
              <w:t xml:space="preserve">~ 279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26</w:t>
            </w:r>
          </w:p>
        </w:tc>
        <w:tc>
          <w:tcPr>
            <w:shd w:val="clear" w:color="auto" w:fill="F4F1EC"/>
          </w:tcPr>
          <w:p>
            <w:pPr>
              <w:pStyle w:val="Compact"/>
              <w:spacing w:after="40" w:before="40"/>
              <w:jc w:val="left"/>
            </w:pPr>
            <w:r>
              <w:rPr>
                <w:rFonts w:ascii="Cambria" w:hAnsi="Cambria" w:cs="Cambria" w:eastAsia="Cambria"/>
                <w:color w:val="1A1A1A"/>
                <w:sz w:val="18"/>
              </w:rPr>
              <w:t xml:space="preserve">~ 38</w:t>
            </w:r>
          </w:p>
        </w:tc>
        <w:tc>
          <w:tcPr>
            <w:shd w:val="clear" w:color="auto" w:fill="F4F1EC"/>
          </w:tcPr>
          <w:p>
            <w:pPr>
              <w:pStyle w:val="Compact"/>
              <w:spacing w:after="40" w:before="40"/>
              <w:jc w:val="left"/>
            </w:pPr>
            <w:r>
              <w:rPr>
                <w:rFonts w:ascii="Cambria" w:hAnsi="Cambria" w:cs="Cambria" w:eastAsia="Cambria"/>
                <w:color w:val="1A1A1A"/>
                <w:sz w:val="18"/>
              </w:rPr>
              <w:t xml:space="preserve">~ 51</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−10</w:t>
            </w:r>
          </w:p>
        </w:tc>
        <w:tc>
          <w:tcPr/>
          <w:p>
            <w:pPr>
              <w:pStyle w:val="Compact"/>
              <w:spacing w:after="40" w:before="40"/>
              <w:jc w:val="left"/>
            </w:pPr>
            <w:r>
              <w:rPr>
                <w:rFonts w:ascii="Cambria" w:hAnsi="Cambria" w:cs="Cambria" w:eastAsia="Cambria"/>
                <w:color w:val="1A1A1A"/>
                <w:sz w:val="18"/>
              </w:rPr>
              <w:t xml:space="preserve">~ −12</w:t>
            </w:r>
          </w:p>
        </w:tc>
        <w:tc>
          <w:tcPr/>
          <w:p>
            <w:pPr>
              <w:pStyle w:val="Compact"/>
              <w:spacing w:after="40" w:before="40"/>
              <w:jc w:val="left"/>
            </w:pPr>
            <w:r>
              <w:rPr>
                <w:rFonts w:ascii="Cambria" w:hAnsi="Cambria" w:cs="Cambria" w:eastAsia="Cambria"/>
                <w:color w:val="1A1A1A"/>
                <w:sz w:val="18"/>
              </w:rPr>
              <w:t xml:space="preserve">~ −12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+73</w:t>
            </w:r>
          </w:p>
        </w:tc>
        <w:tc>
          <w:tcPr>
            <w:shd w:val="clear" w:color="auto" w:fill="F4F1EC"/>
          </w:tcPr>
          <w:p>
            <w:pPr>
              <w:pStyle w:val="Compact"/>
              <w:spacing w:after="40" w:before="40"/>
              <w:jc w:val="left"/>
            </w:pPr>
            <w:r>
              <w:rPr>
                <w:rFonts w:ascii="Cambria" w:hAnsi="Cambria" w:cs="Cambria" w:eastAsia="Cambria"/>
                <w:color w:val="1A1A1A"/>
                <w:sz w:val="18"/>
              </w:rPr>
              <w:t xml:space="preserve">+142</w:t>
            </w:r>
          </w:p>
        </w:tc>
        <w:tc>
          <w:tcPr>
            <w:shd w:val="clear" w:color="auto" w:fill="F4F1EC"/>
          </w:tcPr>
          <w:p>
            <w:pPr>
              <w:pStyle w:val="Compact"/>
              <w:spacing w:after="40" w:before="40"/>
              <w:jc w:val="left"/>
            </w:pPr>
            <w:r>
              <w:rPr>
                <w:rFonts w:ascii="Cambria" w:hAnsi="Cambria" w:cs="Cambria" w:eastAsia="Cambria"/>
                <w:color w:val="1A1A1A"/>
                <w:sz w:val="18"/>
              </w:rPr>
              <w:t xml:space="preserve">+228</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~3,8:1</w:t>
            </w:r>
          </w:p>
        </w:tc>
        <w:tc>
          <w:tcPr/>
          <w:p>
            <w:pPr>
              <w:pStyle w:val="Compact"/>
              <w:spacing w:after="40" w:before="40"/>
              <w:jc w:val="left"/>
            </w:pPr>
            <w:r>
              <w:rPr>
                <w:rFonts w:ascii="Cambria" w:hAnsi="Cambria" w:cs="Cambria" w:eastAsia="Cambria"/>
                <w:color w:val="1A1A1A"/>
                <w:sz w:val="18"/>
              </w:rPr>
              <w:t xml:space="preserve">~4,7:1</w:t>
            </w:r>
          </w:p>
        </w:tc>
        <w:t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E.3. Sintesi economica per scenario: il caso finanziario (saldo diretto negativo) e il caso economico (saldo complessivo positivo).</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F</w:t>
      </w:r>
    </w:p>
    <w:p>
      <w:pPr>
        <w:pStyle w:val="BodyText"/>
      </w:pPr>
      <w:r>
        <w:rPr>
          <w:b/>
          <w:bCs/>
        </w:rPr>
        <w:t xml:space="preserve">Modellazione decisionale e incertezza</w:t>
      </w:r>
    </w:p>
    <w:p>
      <w:pPr>
        <w:pStyle w:val="BodyText"/>
      </w:pPr>
      <w:r>
        <w:rPr>
          <w:i/>
          <w:iCs/>
        </w:rPr>
        <w:t xml:space="preserve">Struttura del modello, parametri, sensibilità deterministica e probabilistica, valore dell</w:t>
      </w:r>
      <w:r>
        <w:rPr>
          <w:b/>
          <w:bCs/>
          <w:i/>
          <w:iCs/>
        </w:rPr>
        <w:t xml:space="preserve">’</w:t>
      </w:r>
      <w:r>
        <w:rPr>
          <w:i/>
          <w:iCs/>
        </w:rPr>
        <w:t xml:space="preserve">informazione</w:t>
      </w:r>
    </w:p>
    <w:p>
      <w:pPr>
        <w:pStyle w:val="BodyText"/>
      </w:pPr>
      <w:r>
        <w:t xml:space="preserve">Quinto dominio dell’HTA · la modellazione e l’incertezza</w:t>
      </w:r>
    </w:p>
    <w:bookmarkEnd w:id="4189"/>
    <w:bookmarkEnd w:id="4184"/>
    <w:bookmarkStart w:id="4190" w:name="X24fec26b0444ee927d9e5eb9e0b9407af59bd67"/>
    <w:p>
      <w:pPr>
        <w:pStyle w:val="Heading2"/>
      </w:pPr>
      <w:r>
        <w:t xml:space="preserve">Parte F — Modellazione decisionale e incertezza</w:t>
      </w:r>
    </w:p>
    <w:p>
      <w:pPr>
        <w:pStyle w:val="FirstParagraph"/>
      </w:pPr>
      <w:r>
        <w:t xml:space="preserve">Questa parte completa il quinto dominio sviluppando la modellazione decisionale che sorregge le stime economiche della Parte E e la gestione esplicita dell’incertezza. Il modello e i suoi risultati per paziente sono di natura clinica ed economica generale e sono pertanto indipendenti dalla regione: ciò che muta sono i soli riferimenti al contesto e alle fonti di calibrazione regionale. La parte descrive la struttura del modello (capitolo F.1); ne specifica i parametri e la calibrazione (F.2); ne saggia la robustezza con la sensibilità deterministica (F.3) e con quella probabilistica (F.4); e ne trae le priorità di acquisizione dei dati con il valore dell’informazione (F.5). Il risultato per paziente — una dominanza dell’intervento — è il fondamento microeconomico su cui poggiano le stime aggregate, e ne spiega la coerenza con il saldo diretto regionale.</w:t>
      </w:r>
    </w:p>
    <w:bookmarkStart w:id="205" w:name="f.1-la-struttura-del-modello"/>
    <w:p>
      <w:pPr>
        <w:pStyle w:val="Heading3"/>
      </w:pPr>
      <w:r>
        <w:t xml:space="preserve">F.1 La struttura del modello</w:t>
      </w:r>
    </w:p>
    <w:p>
      <w:pPr>
        <w:pStyle w:val="FirstParagraph"/>
      </w:pPr>
      <w:r>
        <w:t xml:space="preserve">La modellazione segue le buone pratiche di ricerca riconosciute ed è riportata secondo lo standard CHEERS.</w:t>
      </w:r>
      <w:r>
        <w:rPr>
          <w:rStyle w:val="FootnoteReference"/>
        </w:rPr>
        <w:footnoteReference w:id="1251"/>
      </w:r>
      <w:r>
        <w:rPr>
          <w:rStyle w:val="FootnoteReference"/>
        </w:rPr>
        <w:footnoteReference w:id="1252"/>
      </w:r>
      <w:r>
        <w:rPr>
          <w:rStyle w:val="FootnoteReference"/>
        </w:rPr>
        <w:footnoteReference w:id="1253"/>
      </w:r>
      <w:r>
        <w:t xml:space="preserve"> </w:t>
      </w:r>
      <w:r>
        <w:t xml:space="preserve">Lo strumento adottato è un modello di Markov a coorte,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1254"/>
      </w:r>
      <w:r>
        <w:t xml:space="preserve"> </w:t>
      </w:r>
      <w:r>
        <w:t xml:space="preserve">Nel caso base, riferito a un singolo paziente su orizzonte quinquennale e a valori scontati, il braccio dell’intervento produce un costo sanitario di circa 2.495 euro e un’utilità di 3,627 anni di vita ponderati, contro 3.799 euro e 3,392 dell’assistenza usuale: l’intervento è al tempo stesso meno costoso e più efficace, configurando una dominanza.</w:t>
      </w:r>
      <w:r>
        <w:rPr>
          <w:rStyle w:val="FootnoteReference"/>
        </w:rPr>
        <w:footnoteReference w:id="1255"/>
      </w:r>
      <w:r>
        <w:t xml:space="preserve"> </w:t>
      </w:r>
      <w:r>
        <w:t xml:space="preserve">La dominanza non è un artificio, ma la conseguenza della struttura del modello: l’intervento accresce il tempo nello stato di recupero, a bassa utilizzazione di risorse, e riduce il tempo nello stato cronico, ad alta utilizzazione, sicché il risparmio a valle eccede il costo a monte.</w:t>
      </w:r>
      <w:r>
        <w:rPr>
          <w:rStyle w:val="FootnoteReference"/>
        </w:rPr>
        <w:footnoteReference w:id="1256"/>
      </w:r>
      <w:r>
        <w:t xml:space="preserve"> </w:t>
      </w:r>
      <w:r>
        <w:t xml:space="preserve">La tabella seguente riporta i risultati del caso base.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1188"/>
        <w:gridCol w:w="1188"/>
        <w:gridCol w:w="270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Caso base,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Cura usuale</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sanitario (5 anni, scontato)</w:t>
            </w:r>
          </w:p>
        </w:tc>
        <w:tc>
          <w:tcPr/>
          <w:p>
            <w:pPr>
              <w:pStyle w:val="Compact"/>
              <w:spacing w:after="40" w:before="40"/>
              <w:jc w:val="left"/>
            </w:pPr>
            <w:r>
              <w:rPr>
                <w:rFonts w:ascii="Cambria" w:hAnsi="Cambria" w:cs="Cambria" w:eastAsia="Cambria"/>
                <w:color w:val="1A1A1A"/>
                <w:sz w:val="18"/>
              </w:rPr>
              <w:t xml:space="preserve">~ 2.495 €</w:t>
            </w:r>
          </w:p>
        </w:tc>
        <w:tc>
          <w:tcPr/>
          <w:p>
            <w:pPr>
              <w:pStyle w:val="Compact"/>
              <w:spacing w:after="40" w:before="40"/>
              <w:jc w:val="left"/>
            </w:pPr>
            <w:r>
              <w:rPr>
                <w:rFonts w:ascii="Cambria" w:hAnsi="Cambria" w:cs="Cambria" w:eastAsia="Cambria"/>
                <w:color w:val="1A1A1A"/>
                <w:sz w:val="18"/>
              </w:rPr>
              <w:t xml:space="preserve">~ 3.799 €</w:t>
            </w:r>
          </w:p>
        </w:tc>
        <w:tc>
          <w:tcPr/>
          <w:p>
            <w:pPr>
              <w:pStyle w:val="Compact"/>
              <w:spacing w:after="40" w:before="40"/>
              <w:jc w:val="left"/>
            </w:pPr>
            <w:r>
              <w:rPr>
                <w:rFonts w:ascii="Cambria" w:hAnsi="Cambria" w:cs="Cambria" w:eastAsia="Cambria"/>
                <w:color w:val="1A1A1A"/>
                <w:sz w:val="18"/>
              </w:rPr>
              <w:t xml:space="preserve">− 1.304 €</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(anni di vita ponderati)</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205"/>
    <w:bookmarkStart w:id="4191" w:name="f.2-i-parametri-e-la-calibrazione"/>
    <w:p>
      <w:pPr>
        <w:pStyle w:val="Heading3"/>
      </w:pPr>
      <w:r>
        <w:t xml:space="preserve">F.2 I parametri e la calibrazione</w:t>
      </w:r>
    </w:p>
    <w:p>
      <w:pPr>
        <w:pStyle w:val="FirstParagraph"/>
      </w:pPr>
      <w:r>
        <w:t xml:space="preserve">I parametri di costo del modello, per ciclo, sono dell’ordine di 40 euro per lo stato di recupero, 700 euro per lo stato cronico e 300 euro per l’intervento psicologico una tantum; è questa struttura di costo a generare la dominanza, poiché lo stato cronico, che l’intervento riduce, è di gran lunga il più oneroso.</w:t>
      </w:r>
      <w:r>
        <w:rPr>
          <w:rStyle w:val="FootnoteReference"/>
        </w:rPr>
        <w:footnoteReference w:id="1257"/>
      </w:r>
      <w:r>
        <w:t xml:space="preserve"> </w:t>
      </w:r>
      <w:r>
        <w:t xml:space="preserve">Alle grandezze sono assegnate distribuzioni di probabilità per l’analisi probabilistica: Beta per le probabilità di transizione e per le utilità, vincolate tra zero e uno, e Gamma per i costi, vincolati ai valori positivi; i valori centrali sono tratti dall’evidenza internazionale e, per i parametri regionali, sono da calibrare sui valori piemontesi certificati e sui dati di esito del servizio già attivo non appena consolidati.</w:t>
      </w:r>
      <w:r>
        <w:rPr>
          <w:rStyle w:val="FootnoteReference"/>
        </w:rPr>
        <w:footnoteReference w:id="1258"/>
      </w:r>
      <w:r>
        <w:t xml:space="preserve"> </w:t>
      </w:r>
      <w:r>
        <w:t xml:space="preserve">La tabella seguente riepiloga i principali parametri e le distribuzioni assegnate.</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075"/>
        <w:gridCol w:w="1845"/>
        <w:gridCol w:w="18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Costo per ciclo — stato di recupero</w:t>
            </w:r>
          </w:p>
        </w:tc>
        <w:tc>
          <w:tcPr/>
          <w:p>
            <w:pPr>
              <w:pStyle w:val="Compact"/>
              <w:spacing w:after="40" w:before="40"/>
              <w:jc w:val="left"/>
            </w:pPr>
            <w:r>
              <w:rPr>
                <w:rFonts w:ascii="Cambria" w:hAnsi="Cambria" w:cs="Cambria" w:eastAsia="Cambria"/>
                <w:color w:val="1A1A1A"/>
                <w:sz w:val="18"/>
              </w:rPr>
              <w:t xml:space="preserve">40 €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stato cronico</w:t>
            </w:r>
          </w:p>
        </w:tc>
        <w:tc>
          <w:tcPr>
            <w:shd w:val="clear" w:color="auto" w:fill="F4F1EC"/>
          </w:tcPr>
          <w:p>
            <w:pPr>
              <w:pStyle w:val="Compact"/>
              <w:spacing w:after="40" w:before="40"/>
              <w:jc w:val="left"/>
            </w:pPr>
            <w:r>
              <w:rPr>
                <w:rFonts w:ascii="Cambria" w:hAnsi="Cambria" w:cs="Cambria" w:eastAsia="Cambria"/>
                <w:color w:val="1A1A1A"/>
                <w:sz w:val="18"/>
              </w:rPr>
              <w:t xml:space="preserve">700 €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dell’intervento psicologico (una tantum)</w:t>
            </w:r>
          </w:p>
        </w:tc>
        <w:tc>
          <w:tcPr/>
          <w:p>
            <w:pPr>
              <w:pStyle w:val="Compact"/>
              <w:spacing w:after="40" w:before="40"/>
              <w:jc w:val="left"/>
            </w:pPr>
            <w:r>
              <w:rPr>
                <w:rFonts w:ascii="Cambria" w:hAnsi="Cambria" w:cs="Cambria" w:eastAsia="Cambria"/>
                <w:color w:val="1A1A1A"/>
                <w:sz w:val="18"/>
              </w:rPr>
              <w:t xml:space="preserve">300 €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transizione tra gli stati</w:t>
            </w:r>
          </w:p>
        </w:tc>
        <w:tc>
          <w:tcPr>
            <w:shd w:val="clear" w:color="auto" w:fill="F4F1EC"/>
          </w:tcPr>
          <w:p>
            <w:pPr>
              <w:pStyle w:val="Compact"/>
              <w:spacing w:after="40" w:before="40"/>
              <w:jc w:val="left"/>
            </w:pPr>
            <w:r>
              <w:rPr>
                <w:rFonts w:ascii="Cambria" w:hAnsi="Cambria" w:cs="Cambria" w:eastAsia="Cambria"/>
                <w:color w:val="1A1A1A"/>
                <w:sz w:val="18"/>
              </w:rPr>
              <w:t xml:space="preserve">da fonti, per braccio</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Utilità associate agli stati</w:t>
            </w:r>
          </w:p>
        </w:tc>
        <w:tc>
          <w:tcPr/>
          <w:p>
            <w:pPr>
              <w:pStyle w:val="Compact"/>
              <w:spacing w:after="40" w:before="40"/>
              <w:jc w:val="left"/>
            </w:pPr>
            <w:r>
              <w:rPr>
                <w:rFonts w:ascii="Cambria" w:hAnsi="Cambria" w:cs="Cambria" w:eastAsia="Cambria"/>
                <w:color w:val="1A1A1A"/>
                <w:sz w:val="18"/>
              </w:rPr>
              <w:t xml:space="preserve">da fonti</w:t>
            </w:r>
          </w:p>
        </w:tc>
        <w:tc>
          <w:tcPr/>
          <w:p>
            <w:pPr>
              <w:pStyle w:val="Compact"/>
              <w:spacing w:after="40" w:before="40"/>
              <w:jc w:val="left"/>
            </w:pPr>
            <w:r>
              <w:rPr>
                <w:rFonts w:ascii="Cambria" w:hAnsi="Cambria" w:cs="Cambria" w:eastAsia="Cambria"/>
                <w:color w:val="1A1A1A"/>
                <w:sz w:val="18"/>
              </w:rP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4191"/>
    <w:bookmarkStart w:id="211" w:name="f.3-la-sensibilità-deterministica"/>
    <w:p>
      <w:pPr>
        <w:pStyle w:val="Heading3"/>
      </w:pPr>
      <w:r>
        <w:t xml:space="preserve">F.3 La sensibilità deterministica</w:t>
      </w:r>
    </w:p>
    <w:p>
      <w:pPr>
        <w:pStyle w:val="FirstParagraph"/>
      </w:pPr>
      <w:r>
        <w:t xml:space="preserve">La robustezza del risultato è saggiata, in prima istanza, con un’analisi di sensibilità a una via, nella quale ciascun parametro è fatto variare del 25% in più e in meno, misurandone l’effetto sul beneficio monetario netto; il diagramma a tornado ordina i parametri per influenza, individuando nell’efficacia clinica, nei tassi di ricaduta e di cronicizzazione e nel costo dello stato cronico i fattori più determinanti.</w:t>
      </w:r>
      <w:r>
        <w:rPr>
          <w:rStyle w:val="FootnoteReference"/>
        </w:rPr>
        <w:footnoteReference w:id="1259"/>
      </w:r>
      <w:r>
        <w:t xml:space="preserve"> </w:t>
      </w:r>
      <w:r>
        <w:t xml:space="preserve">Oltre all’incertezza dei parametri, l’incertezza sulla struttura e sulle assunzioni del modello è trattata mediante analisi di scenario, con validazione della coerenza interna ed esterna secondo lo standard di reporting adottato.</w:t>
      </w:r>
      <w:r>
        <w:rPr>
          <w:rStyle w:val="FootnoteReference"/>
        </w:rPr>
        <w:footnoteReference w:id="1260"/>
      </w:r>
    </w:p>
    <w:bookmarkEnd w:id="211"/>
    <w:bookmarkStart w:id="216" w:name="X50e92c896e8544069e49388db4361905cfb34fb"/>
    <w:p>
      <w:pPr>
        <w:pStyle w:val="Heading3"/>
      </w:pPr>
      <w:r>
        <w:t xml:space="preserve">F.4 La sensibilità probabilistica e la curva di accettabilità</w:t>
      </w:r>
    </w:p>
    <w:p>
      <w:pPr>
        <w:pStyle w:val="FirstParagraph"/>
      </w:pPr>
      <w:r>
        <w:t xml:space="preserve">L’analisi di sensibilità probabilistica esegue il modello diecimila volte, estraendo a ogni iterazione i parametri dalle rispettive distribuzioni, così da propagare l’incertezza dei parametri sull’incertezza del risultato.</w:t>
      </w:r>
      <w:r>
        <w:rPr>
          <w:rStyle w:val="FootnoteReference"/>
        </w:rPr>
        <w:footnoteReference w:id="1261"/>
      </w:r>
      <w:r>
        <w:t xml:space="preserve"> </w:t>
      </w:r>
      <w:r>
        <w:t xml:space="preserve">Adottando la soglia di disponibilità a pagare di 30.000 euro per anno di vita ponderato per la qualità,</w:t>
      </w:r>
      <w:r>
        <w:rPr>
          <w:rStyle w:val="FootnoteReference"/>
        </w:rPr>
        <w:footnoteReference w:id="1262"/>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compreso fra circa −5.736 e circa +21.501 euro.</w:t>
      </w:r>
      <w:r>
        <w:rPr>
          <w:rStyle w:val="FootnoteReference"/>
        </w:rPr>
        <w:footnoteReference w:id="1263"/>
      </w:r>
      <w:r>
        <w:t xml:space="preserve"> </w:t>
      </w:r>
      <w:r>
        <w:t xml:space="preserve">È qui necessario chiarire la coerenza, solo apparentemente paradossale, tra questo risultato e il saldo diretto regionale: la probabilità di costo-efficacia è una misura di efficienza per paziente, che valorizza il guadagno di salute e l’intera traiettoria di costo, mentre il saldo diretto aggregato della Parte E, lievemente negativo per il Piemonte, incorpora le correzioni per peso morto e per l’effettiva monetizzabilità nel bilancio dei costi evitati e sconta la pertinenza solo marginale del canale della mobilità. L’efficienza per paziente è robusta; la convenienza per il solo bilancio è lievemente negativa; il forte ritorno per la collettività proviene dalle ricadute sociali.</w:t>
      </w:r>
      <w:r>
        <w:rPr>
          <w:rStyle w:val="FootnoteReference"/>
        </w:rPr>
        <w:footnoteReference w:id="1264"/>
      </w:r>
      <w:r>
        <w:t xml:space="preserve"> </w:t>
      </w:r>
      <w:r>
        <w:t xml:space="preserve">La tabella seguente sintetizza i risultati.</w:t>
      </w:r>
    </w:p>
    <w:tbl>
      <w:tblPr>
        <w:tblStyle w:val="Table"/>
        <w:tblW w:type="pct" w:w="489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848"/>
        <w:gridCol w:w="290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Misura dell’analisi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Risultato</w:t>
            </w:r>
          </w:p>
        </w:tc>
      </w:tr>
      <w:tr>
        <w:tc>
          <w:tcPr/>
          <w:p>
            <w:pPr>
              <w:pStyle w:val="Compact"/>
              <w:spacing w:after="40" w:before="40"/>
              <w:jc w:val="left"/>
            </w:pPr>
            <w:r>
              <w:rPr>
                <w:rFonts w:ascii="Cambria" w:hAnsi="Cambria" w:cs="Cambria" w:eastAsia="Cambria"/>
                <w:b/>
                <w:bCs/>
                <w:color w:val="1A1A1A"/>
                <w:sz w:val="18"/>
              </w:rPr>
              <w:t xml:space="preserve">Iterazioni della simulazione Monte Carlo</w:t>
            </w:r>
          </w:p>
        </w:tc>
        <w:tc>
          <w:tcPr/>
          <w:p>
            <w:pPr>
              <w:pStyle w:val="Compact"/>
              <w:spacing w:after="40" w:before="40"/>
              <w:jc w:val="left"/>
            </w:pPr>
            <w:r>
              <w:rPr>
                <w:rFonts w:ascii="Cambria" w:hAnsi="Cambria" w:cs="Cambria" w:eastAsia="Cambria"/>
                <w:color w:val="1A1A1A"/>
                <w:sz w:val="18"/>
              </w:rPr>
              <w:t xml:space="preserve">10.000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costo-efficacia (soglia 30.000 €/QALY)</w:t>
            </w:r>
          </w:p>
        </w:tc>
        <w:tc>
          <w:tcPr>
            <w:shd w:val="clear" w:color="auto" w:fill="F4F1EC"/>
          </w:tcPr>
          <w:p>
            <w:pPr>
              <w:pStyle w:val="Compact"/>
              <w:spacing w:after="40" w:before="40"/>
              <w:jc w:val="left"/>
            </w:pPr>
            <w:r>
              <w:rPr>
                <w:rFonts w:ascii="Cambria" w:hAnsi="Cambria" w:cs="Cambria" w:eastAsia="Cambria"/>
                <w:color w:val="1A1A1A"/>
                <w:sz w:val="18"/>
              </w:rPr>
              <w:t xml:space="preserve">88,9%</w:t>
            </w:r>
          </w:p>
        </w:tc>
      </w:tr>
      <w:tr>
        <w:tc>
          <w:tcPr/>
          <w:p>
            <w:pPr>
              <w:pStyle w:val="Compact"/>
              <w:spacing w:after="40" w:before="40"/>
              <w:jc w:val="left"/>
            </w:pPr>
            <w:r>
              <w:rPr>
                <w:rFonts w:ascii="Cambria" w:hAnsi="Cambria" w:cs="Cambria" w:eastAsia="Cambria"/>
                <w:b/>
                <w:bCs/>
                <w:color w:val="1A1A1A"/>
                <w:sz w:val="18"/>
              </w:rPr>
              <w:t xml:space="preserve">Probabilità di dominanza</w:t>
            </w:r>
          </w:p>
        </w:tc>
        <w:tc>
          <w:tcPr/>
          <w:p>
            <w:pPr>
              <w:pStyle w:val="Compact"/>
              <w:spacing w:after="40" w:before="40"/>
              <w:jc w:val="left"/>
            </w:pPr>
            <w:r>
              <w:rPr>
                <w:rFonts w:ascii="Cambria" w:hAnsi="Cambria" w:cs="Cambria" w:eastAsia="Cambria"/>
                <w:color w:val="1A1A1A"/>
                <w:sz w:val="18"/>
              </w:rPr>
              <w:t xml:space="preserve">84,6%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Beneficio monetario netto medio</w:t>
            </w:r>
          </w:p>
        </w:tc>
        <w:tc>
          <w:tcPr>
            <w:shd w:val="clear" w:color="auto" w:fill="F4F1EC"/>
          </w:tcPr>
          <w:p>
            <w:pPr>
              <w:pStyle w:val="Compact"/>
              <w:spacing w:after="40" w:before="40"/>
              <w:jc w:val="left"/>
            </w:pPr>
            <w:r>
              <w:rPr>
                <w:rFonts w:ascii="Cambria" w:hAnsi="Cambria" w:cs="Cambria" w:eastAsia="Cambria"/>
                <w:color w:val="1A1A1A"/>
                <w:sz w:val="18"/>
              </w:rPr>
              <w:t xml:space="preserve">~ 7.815 € per paziente</w:t>
            </w:r>
          </w:p>
        </w:tc>
      </w:tr>
      <w:tr>
        <w:tc>
          <w:tcPr/>
          <w:p>
            <w:pPr>
              <w:pStyle w:val="Compact"/>
              <w:spacing w:after="40" w:before="40"/>
              <w:jc w:val="left"/>
            </w:pPr>
            <w:r>
              <w:rPr>
                <w:rFonts w:ascii="Cambria" w:hAnsi="Cambria" w:cs="Cambria" w:eastAsia="Cambria"/>
                <w:b/>
                <w:bCs/>
                <w:color w:val="1A1A1A"/>
                <w:sz w:val="18"/>
              </w:rPr>
              <w:t xml:space="preserve">Intervallo di credibilità al 95%</w:t>
            </w:r>
          </w:p>
        </w:tc>
        <w:tc>
          <w:tcPr/>
          <w:p>
            <w:pPr>
              <w:pStyle w:val="Compact"/>
              <w:spacing w:after="40" w:before="40"/>
              <w:jc w:val="left"/>
            </w:pPr>
            <w:r>
              <w:rPr>
                <w:rFonts w:ascii="Cambria" w:hAnsi="Cambria" w:cs="Cambria" w:eastAsia="Cambria"/>
                <w:color w:val="1A1A1A"/>
                <w:sz w:val="18"/>
              </w:rPr>
              <w:t xml:space="preserve">da ~ −5.736 a ~ +21.501 €</w:t>
            </w:r>
          </w:p>
        </w:tc>
      </w:tr>
    </w:tbl>
    <w:p>
      <w:pPr>
        <w:pStyle w:val="BodyText"/>
      </w:pPr>
      <w:r>
        <w:rPr>
          <w:i/>
          <w:iCs/>
        </w:rPr>
        <w:t xml:space="preserve">Tabella F.3. Risultati dell</w:t>
      </w:r>
      <w:r>
        <w:rPr>
          <w:b/>
          <w:bCs/>
          <w:i/>
          <w:iCs/>
        </w:rPr>
        <w:t xml:space="preserve">’</w:t>
      </w:r>
      <w:r>
        <w:rPr>
          <w:i/>
          <w:iCs/>
        </w:rPr>
        <w:t xml:space="preserve">analisi di sensibilità probabilistica (per paziente, soglia 30.000 €/QALY).</w:t>
      </w:r>
    </w:p>
    <w:bookmarkEnd w:id="216"/>
    <w:bookmarkStart w:id="4192" w:name="f.5-il-valore-dellinformazione"/>
    <w:p>
      <w:pPr>
        <w:pStyle w:val="Heading3"/>
      </w:pPr>
      <w:r>
        <w:t xml:space="preserve">F.5 Il valore dell’informazione</w:t>
      </w:r>
    </w:p>
    <w:p>
      <w:pPr>
        <w:pStyle w:val="FirstParagraph"/>
      </w:pPr>
      <w:r>
        <w:t xml:space="preserve">L’analisi del valore dell’informazione chiude il dominio traducendo l’incertezza residua in priorità di ricerca: il valore atteso dell’informazione perfetta quantifica il beneficio massimo conseguibile eliminando del tutto l’incertezza, e il valore atteso dell’informazione perfetta sui parametri indica quali grandezze sia prioritario misurare con precisione.</w:t>
      </w:r>
      <w:r>
        <w:rPr>
          <w:rStyle w:val="FootnoteReference"/>
        </w:rPr>
        <w:footnoteReference w:id="1265"/>
      </w:r>
      <w:r>
        <w:t xml:space="preserve"> </w:t>
      </w:r>
      <w:r>
        <w:t xml:space="preserve">Per il Piemonte,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aziende; un vantaggio peculiare è che la regione dispone già dei propri dati di esito del servizio attivo, da consolidare come fonte primaria di calibrazione.</w:t>
      </w:r>
      <w:r>
        <w:rPr>
          <w:rStyle w:val="FootnoteReference"/>
        </w:rPr>
        <w:footnoteReference w:id="1266"/>
      </w:r>
      <w:r>
        <w:t xml:space="preserve"> </w:t>
      </w:r>
      <w:r>
        <w:t xml:space="preserve">La via maestra per ridurre l’incertezza, infine, non è soltanto analitica ma empirica: poiché il servizio è già attivo in tutte le Aziende Sanitarie Locali, la riduzione dell’incertezza poggia sul confronto prima-dopo l’attivazione del 2023 e sull’eterogeneità dell’intensità di copertura tra le aziende, oggetto della Parte L, che consente di sostituire progressivamente le stime con misure osservate sui dati regionali.</w:t>
      </w:r>
      <w:r>
        <w:rPr>
          <w:rStyle w:val="FootnoteReference"/>
        </w:rPr>
        <w:footnoteReference w:id="1267"/>
      </w:r>
      <w:r>
        <w:t xml:space="preserve"> </w:t>
      </w:r>
      <w:r>
        <w:t xml:space="preserve">Completato così il nucleo della valutazione — efficacia, economia, modellazione — le parti successive ne affrontano le dimensioni distributive, etiche, organizzative e valutative, a partire dall’equità.</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costo-efficacia distributiva, divari territoriali e impoverimento</w:t>
      </w:r>
    </w:p>
    <w:p>
      <w:pPr>
        <w:pStyle w:val="BodyText"/>
      </w:pPr>
      <w:r>
        <w:t xml:space="preserve">Ottavo dominio dell’HTA · il profilo del paziente e sociale</w:t>
      </w:r>
    </w:p>
    <w:bookmarkEnd w:id="4192"/>
    <w:bookmarkEnd w:id="4190"/>
    <w:bookmarkStart w:id="252" w:name="parte-g-equità-e-impatto-distributivo"/>
    <w:p>
      <w:pPr>
        <w:pStyle w:val="Heading2"/>
      </w:pPr>
      <w:r>
        <w:t xml:space="preserve">Parte G — Equità e impatto distributivo</w:t>
      </w:r>
    </w:p>
    <w:p>
      <w:pPr>
        <w:pStyle w:val="FirstParagraph"/>
      </w:pPr>
      <w:r>
        <w:t xml:space="preserve">Misurato il valore economico nelle Parti E ed F, questa settima parte ne esamina la distribuzione, secondo l’ottavo dominio della valutazione. La domanda non è soltanto se l’intervento generi valore, ma a chi quel valore arrivi: un intervento può essere efficiente e tuttavia accrescere le disuguaglianze, oppure, come in questo caso, migliorare l’esito medio e ridurle insieme. La parte definisce le dimensioni dell’equità e le variabili seguite (capitolo G.1); applica gli strumenti della costo-efficacia distributiva (G.2); e analizza i divari territoriali e l’impoverimento (G.3). Per il Piemonte, l’equità si gioca su assi peculiari — la dualità fra l’area metropolitana torinese e le aree interne e alpine e l’invecchiamento — e sull’esigenza di rendere uniforme fra le dodici Aziende Sanitarie Locali un servizio già attivo ma disomogeneo.</w:t>
      </w:r>
    </w:p>
    <w:bookmarkStart w:id="4193" w:name="g.1-lanalisi-di-equità"/>
    <w:p>
      <w:pPr>
        <w:pStyle w:val="Heading3"/>
      </w:pPr>
      <w:r>
        <w:t xml:space="preserve">G.1 L’analisi di equità</w:t>
      </w:r>
    </w:p>
    <w:p>
      <w:pPr>
        <w:pStyle w:val="FirstParagraph"/>
      </w:pPr>
      <w:r>
        <w:t xml:space="preserve">L’equità è trattata come dimensione costitutiva della valutazione, e non come considerazione accessoria.</w:t>
      </w:r>
      <w:r>
        <w:rPr>
          <w:rStyle w:val="FootnoteReference"/>
        </w:rPr>
        <w:footnoteReference w:id="1268"/>
      </w:r>
      <w:r>
        <w:rPr>
          <w:rStyle w:val="FootnoteReference"/>
        </w:rPr>
        <w:footnoteReference w:id="1269"/>
      </w:r>
      <w:r>
        <w:rPr>
          <w:rStyle w:val="FootnoteReference"/>
        </w:rPr>
        <w:footnoteReference w:id="1270"/>
      </w:r>
      <w:r>
        <w:rPr>
          <w:rStyle w:val="FootnoteReference"/>
        </w:rPr>
        <w:footnoteReference w:id="1271"/>
      </w:r>
      <w:r>
        <w:rPr>
          <w:rStyle w:val="FootnoteReference"/>
        </w:rPr>
        <w:footnoteReference w:id="1272"/>
      </w:r>
      <w:r>
        <w:rPr>
          <w:rStyle w:val="FootnoteReference"/>
        </w:rPr>
        <w:footnoteReference w:id="1273"/>
      </w:r>
      <w:r>
        <w:rPr>
          <w:rStyle w:val="FootnoteReference"/>
        </w:rPr>
        <w:footnoteReference w:id="1274"/>
      </w:r>
      <w:r>
        <w:rPr>
          <w:rStyle w:val="FootnoteReference"/>
        </w:rPr>
        <w:footnoteReference w:id="1275"/>
      </w:r>
      <w:r>
        <w:rPr>
          <w:rStyle w:val="FootnoteReference"/>
        </w:rPr>
        <w:footnoteReference w:id="1276"/>
      </w:r>
      <w:r>
        <w:rPr>
          <w:rStyle w:val="FootnoteReference"/>
        </w:rPr>
        <w:footnoteReference w:id="1277"/>
      </w:r>
      <w:r>
        <w:rPr>
          <w:rStyle w:val="FootnoteReference"/>
        </w:rPr>
        <w:footnoteReference w:id="1278"/>
      </w:r>
      <w:r>
        <w:rPr>
          <w:rStyle w:val="FootnoteReference"/>
        </w:rPr>
        <w:footnoteReference w:id="1279"/>
      </w:r>
      <w:r>
        <w:rPr>
          <w:rStyle w:val="FootnoteReference"/>
        </w:rPr>
        <w:footnoteReference w:id="1280"/>
      </w:r>
      <w:r>
        <w:rPr>
          <w:rStyle w:val="FootnoteReference"/>
        </w:rPr>
        <w:footnoteReference w:id="1281"/>
      </w:r>
      <w:r>
        <w:t xml:space="preserve"> </w:t>
      </w:r>
      <w:r>
        <w:t xml:space="preserve">La salute mentale presenta ovunque un gradiente sociale, ma in Piemonte, dove il rischio di povertà o esclusione è contenuto in aggregato, il gradiente socio-economico non è il tratto distintivo: prevalgono due dimensioni diverse, la dualità fra l’area metropolitana torinese e le aree interne e alpine e l’invecchiamento della popolazione, accentuato in vaste zone della regione.</w:t>
      </w:r>
      <w:r>
        <w:rPr>
          <w:rStyle w:val="FootnoteReference"/>
        </w:rPr>
        <w:footnoteReference w:id="1282"/>
      </w:r>
      <w:r>
        <w:t xml:space="preserve"> </w:t>
      </w:r>
      <w:r>
        <w:t xml:space="preserve">La gratuità, la prossimità e l’assenza di stigma del servizio di primo livello abbattono le barriere che gravano sulle popolazioni svantaggiate, e in Piemonte rileva in particolare l’abbattimento della barriera geografica nelle aree interne e alpine, dove la distanza dai servizi è il principale ostacolo.</w:t>
      </w:r>
      <w:r>
        <w:rPr>
          <w:rStyle w:val="FootnoteReference"/>
        </w:rPr>
        <w:footnoteReference w:id="1283"/>
      </w:r>
      <w:r>
        <w:t xml:space="preserve"> </w:t>
      </w:r>
      <w:r>
        <w:t xml:space="preserve">La tabella seguente espone le dimensioni dell’equità e le variabili che lo studio segue.</w:t>
      </w:r>
      <w:r>
        <w:rPr>
          <w:rStyle w:val="FootnoteReference"/>
        </w:rPr>
        <w:footnoteReference w:id="1284"/>
      </w:r>
    </w:p>
    <w:tbl>
      <w:tblPr>
        <w:tblStyle w:val="Table"/>
        <w:tblW w:type="pct" w:w="494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01"/>
        <w:gridCol w:w="622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 equità</w:t>
            </w:r>
          </w:p>
        </w:tc>
        <w:tc>
          <w:tcPr>
            <w:shd w:val="clear" w:color="auto" w:fill="16264B"/>
          </w:tcPr>
          <w:p>
            <w:pPr>
              <w:pStyle w:val="Compact"/>
              <w:spacing w:after="40" w:before="40"/>
              <w:jc w:val="left"/>
            </w:pPr>
            <w:r>
              <w:rPr>
                <w:rFonts w:ascii="Cambria" w:hAnsi="Cambria" w:cs="Cambria" w:eastAsia="Cambria"/>
                <w:b/>
                <w:bCs/>
                <w:color w:val="FFFFFF"/>
                <w:sz w:val="18"/>
              </w:rPr>
              <w:t xml:space="preserve">Variabili seguite dallo studio</w:t>
            </w:r>
          </w:p>
        </w:tc>
      </w:tr>
      <w:tr>
        <w:tc>
          <w:tcPr/>
          <w:p>
            <w:pPr>
              <w:pStyle w:val="Compact"/>
              <w:spacing w:after="40" w:before="40"/>
              <w:jc w:val="left"/>
            </w:pPr>
            <w:r>
              <w:rPr>
                <w:rFonts w:ascii="Cambria" w:hAnsi="Cambria" w:cs="Cambria" w:eastAsia="Cambria"/>
                <w:b/>
                <w:bCs/>
                <w:color w:val="1A1A1A"/>
                <w:sz w:val="18"/>
              </w:rPr>
              <w:t xml:space="preserve">Accesso</w:t>
            </w:r>
          </w:p>
        </w:tc>
        <w:tc>
          <w:tcPr/>
          <w:p>
            <w:pPr>
              <w:pStyle w:val="Compact"/>
              <w:spacing w:after="40" w:before="40"/>
              <w:jc w:val="left"/>
            </w:pPr>
            <w:r>
              <w:rPr>
                <w:rFonts w:ascii="Cambria" w:hAnsi="Cambria" w:cs="Cambria" w:eastAsia="Cambria"/>
                <w:color w:val="1A1A1A"/>
                <w:sz w:val="18"/>
              </w:rPr>
              <w:t xml:space="preserve">Tempi di attesa; accessibilità geografica nelle aree interne e alpine; contrasto alle liste di attesa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Protezione finanziaria</w:t>
            </w:r>
          </w:p>
        </w:tc>
        <w:tc>
          <w:tcPr>
            <w:shd w:val="clear" w:color="auto" w:fill="F4F1EC"/>
          </w:tcPr>
          <w:p>
            <w:pPr>
              <w:pStyle w:val="Compact"/>
              <w:spacing w:after="40" w:before="40"/>
              <w:jc w:val="left"/>
            </w:pPr>
            <w:r>
              <w:rPr>
                <w:rFonts w:ascii="Cambria" w:hAnsi="Cambria" w:cs="Cambria" w:eastAsia="Cambria"/>
                <w:color w:val="1A1A1A"/>
                <w:sz w:val="18"/>
              </w:rPr>
              <w:t xml:space="preserve">Riduzione della spesa privata diretta; dell’impoverimento connesso alle cure; delle spese catastrofiche</w:t>
            </w:r>
          </w:p>
        </w:tc>
      </w:tr>
      <w:tr>
        <w:tc>
          <w:tcPr/>
          <w:p>
            <w:pPr>
              <w:pStyle w:val="Compact"/>
              <w:spacing w:after="40" w:before="40"/>
              <w:jc w:val="left"/>
            </w:pPr>
            <w:r>
              <w:rPr>
                <w:rFonts w:ascii="Cambria" w:hAnsi="Cambria" w:cs="Cambria" w:eastAsia="Cambria"/>
                <w:b/>
                <w:bCs/>
                <w:color w:val="1A1A1A"/>
                <w:sz w:val="18"/>
              </w:rPr>
              <w:t xml:space="preserve">Gruppi vulnerabili</w:t>
            </w:r>
          </w:p>
        </w:tc>
        <w:tc>
          <w:tcPr/>
          <w:p>
            <w:pPr>
              <w:pStyle w:val="Compact"/>
              <w:spacing w:after="40" w:before="40"/>
              <w:jc w:val="left"/>
            </w:pPr>
            <w:r>
              <w:rPr>
                <w:rFonts w:ascii="Cambria" w:hAnsi="Cambria" w:cs="Cambria" w:eastAsia="Cambria"/>
                <w:color w:val="1A1A1A"/>
                <w:sz w:val="18"/>
              </w:rPr>
              <w:t xml:space="preserve">Equità di genere; età anziana e gruppi fragili; popolazione straniera (10,4%); persone con disabilità; gratuità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Territorio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divario area metropolitana-aree interne e alpine; uniformità del servizio fra le ASL;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4193"/>
    <w:bookmarkStart w:id="4194" w:name="g.2-la-costo-efficacia-distributiva"/>
    <w:p>
      <w:pPr>
        <w:pStyle w:val="Heading3"/>
      </w:pPr>
      <w:r>
        <w:t xml:space="preserve">G.2 La costo-efficacia distributiva</w:t>
      </w:r>
    </w:p>
    <w:p>
      <w:pPr>
        <w:pStyle w:val="FirstParagraph"/>
      </w:pPr>
      <w:r>
        <w:t xml:space="preserve">La dimensione distributiva è misurata con gli strumenti della costo-efficacia distributiva, che estendono la valutazione economica all’equità stimando come costi ed esiti si distribuiscano tra i sottogruppi e quale ne sia l’effetto sulle disuguaglianze.</w:t>
      </w:r>
      <w:r>
        <w:rPr>
          <w:rStyle w:val="FootnoteReference"/>
        </w:rPr>
        <w:footnoteReference w:id="1285"/>
      </w:r>
      <w:r>
        <w:t xml:space="preserve"> </w:t>
      </w:r>
      <w:r>
        <w:t xml:space="preserve">La direzione del risultato è favorevole: poiché il guadagno di accesso è più ampio dove l’accesso è oggi più difficile — le aree interne e alpine, l’età anziana e i gruppi gravati dalle liste di attesa — i benefici si concentrano sui più svantaggiati, riducendo il gradiente territoriale e migliorando al tempo stesso l’esito medio.</w:t>
      </w:r>
      <w:r>
        <w:rPr>
          <w:rStyle w:val="FootnoteReference"/>
        </w:rPr>
        <w:footnoteReference w:id="1286"/>
      </w:r>
      <w:r>
        <w:t xml:space="preserve"> </w:t>
      </w:r>
      <w:r>
        <w:t xml:space="preserve">L’attribuzione di pesi maggiori ai benefici dei più svantaggiati accrescerebbe il valore sociale stimato; lo studio adotta tuttavia, in via conservativa, il rapporto non ponderato già esposto, tanto più prudente in una regione non prevalentemente deprivata.</w:t>
      </w:r>
      <w:r>
        <w:rPr>
          <w:rStyle w:val="FootnoteReference"/>
        </w:rPr>
        <w:footnoteReference w:id="1287"/>
      </w:r>
      <w:r>
        <w:t xml:space="preserve"> </w:t>
      </w:r>
      <w:r>
        <w:t xml:space="preserve">Il meccanismo operativo dell’equità è un algoritmo allocativo che distribuisce gli incarichi non secondo la sola popolazione, ma ponderando ciascun distretto per l’invecchiamento, la deprivazione, la cronicità e la presenza straniera, con l’indice di vecchiaia quale fattore di maggior peso nel contesto piemontese.</w:t>
      </w:r>
      <w:r>
        <w:rPr>
          <w:rStyle w:val="FootnoteReference"/>
        </w:rPr>
        <w:footnoteReference w:id="1288"/>
      </w:r>
      <w:r>
        <w:t xml:space="preserve"> </w:t>
      </w:r>
      <w:r>
        <w:t xml:space="preserve">A tal fine si impiega un indice di deprivazione multipla che sintetizza reddito, occupazione, istruzione, salute, condizione abitativa e ambiente.</w:t>
      </w:r>
      <w:r>
        <w:rPr>
          <w:rStyle w:val="FootnoteReference"/>
        </w:rPr>
        <w:footnoteReference w:id="1289"/>
      </w:r>
      <w:r>
        <w:t xml:space="preserve"> </w:t>
      </w:r>
      <w:r>
        <w:t xml:space="preserve">La tabella seguente riepiloga gli strumenti.</w:t>
      </w:r>
    </w:p>
    <w:tbl>
      <w:tblPr>
        <w:tblStyle w:val="Table"/>
        <w:tblW w:type="pct" w:w="492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132"/>
        <w:gridCol w:w="36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della costo-efficacia distributiva</w:t>
            </w:r>
          </w:p>
        </w:tc>
        <w:tc>
          <w:tcPr>
            <w:shd w:val="clear" w:color="auto" w:fill="16264B"/>
          </w:tcPr>
          <w:p>
            <w:pPr>
              <w:pStyle w:val="Compact"/>
              <w:spacing w:after="40" w:before="40"/>
              <w:jc w:val="left"/>
            </w:pPr>
            <w:r>
              <w:rPr>
                <w:rFonts w:ascii="Cambria" w:hAnsi="Cambria" w:cs="Cambria" w:eastAsia="Cambria"/>
                <w:b/>
                <w:bCs/>
                <w:color w:val="FFFFFF"/>
                <w:sz w:val="18"/>
              </w:rPr>
              <w:t xml:space="preserve">Che cosa misura</w:t>
            </w:r>
          </w:p>
        </w:tc>
      </w:tr>
      <w:tr>
        <w:tc>
          <w:tcPr/>
          <w:p>
            <w:pPr>
              <w:pStyle w:val="Compact"/>
              <w:spacing w:after="40" w:before="40"/>
              <w:jc w:val="left"/>
            </w:pPr>
            <w:r>
              <w:rPr>
                <w:rFonts w:ascii="Cambria" w:hAnsi="Cambria" w:cs="Cambria" w:eastAsia="Cambria"/>
                <w:b/>
                <w:bCs/>
                <w:color w:val="1A1A1A"/>
                <w:sz w:val="18"/>
              </w:rPr>
              <w:t xml:space="preserve">Anni di vita ponderati per l’equità</w:t>
            </w:r>
          </w:p>
        </w:tc>
        <w:tc>
          <w:tcPr/>
          <w:p>
            <w:pPr>
              <w:pStyle w:val="Compact"/>
              <w:spacing w:after="40" w:before="40"/>
              <w:jc w:val="left"/>
            </w:pPr>
            <w:r>
              <w:rPr>
                <w:rFonts w:ascii="Cambria" w:hAnsi="Cambria" w:cs="Cambria" w:eastAsia="Cambria"/>
                <w:color w:val="1A1A1A"/>
                <w:sz w:val="18"/>
              </w:rPr>
              <w:t xml:space="preserve">Guadagni di salute con pesi per lo svantaggio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concentrazione</w:t>
            </w:r>
          </w:p>
        </w:tc>
        <w:tc>
          <w:tcPr>
            <w:shd w:val="clear" w:color="auto" w:fill="F4F1EC"/>
          </w:tcPr>
          <w:p>
            <w:pPr>
              <w:pStyle w:val="Compact"/>
              <w:spacing w:after="40" w:before="40"/>
              <w:jc w:val="left"/>
            </w:pPr>
            <w:r>
              <w:rPr>
                <w:rFonts w:ascii="Cambria" w:hAnsi="Cambria" w:cs="Cambria" w:eastAsia="Cambria"/>
                <w:color w:val="1A1A1A"/>
                <w:sz w:val="18"/>
              </w:rPr>
              <w:t xml:space="preserve">Relazione tra esito di salute e posizione socio-economica</w:t>
            </w:r>
          </w:p>
        </w:tc>
      </w:tr>
      <w:tr>
        <w:tc>
          <w:tcPr/>
          <w:p>
            <w:pPr>
              <w:pStyle w:val="Compact"/>
              <w:spacing w:after="40" w:before="40"/>
              <w:jc w:val="left"/>
            </w:pPr>
            <w:r>
              <w:rPr>
                <w:rFonts w:ascii="Cambria" w:hAnsi="Cambria" w:cs="Cambria" w:eastAsia="Cambria"/>
                <w:b/>
                <w:bCs/>
                <w:color w:val="1A1A1A"/>
                <w:sz w:val="18"/>
              </w:rPr>
              <w:t xml:space="preserve">Indici di disuguaglianza (assoluta e relativa)</w:t>
            </w:r>
          </w:p>
        </w:tc>
        <w:tc>
          <w:tcPr/>
          <w:p>
            <w:pPr>
              <w:pStyle w:val="Compact"/>
              <w:spacing w:after="40" w:before="40"/>
              <w:jc w:val="left"/>
            </w:pPr>
            <w:r>
              <w:rPr>
                <w:rFonts w:ascii="Cambria" w:hAnsi="Cambria" w:cs="Cambria" w:eastAsia="Cambria"/>
                <w:color w:val="1A1A1A"/>
                <w:sz w:val="18"/>
              </w:rPr>
              <w:t xml:space="preserve">Gradiente dell’esito lungo lo stato socio-economico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d’********impatto sull********’equità</w:t>
            </w:r>
          </w:p>
        </w:tc>
        <w:tc>
          <w:tcPr>
            <w:shd w:val="clear" w:color="auto" w:fill="F4F1EC"/>
          </w:tcPr>
          <w:p>
            <w:pPr>
              <w:pStyle w:val="Compact"/>
              <w:spacing w:after="40" w:before="40"/>
              <w:jc w:val="left"/>
            </w:pPr>
            <w:r>
              <w:rPr>
                <w:rFonts w:ascii="Cambria" w:hAnsi="Cambria" w:cs="Cambria" w:eastAsia="Cambria"/>
                <w:color w:val="1A1A1A"/>
                <w:sz w:val="18"/>
              </w:rPr>
              <w:t xml:space="preserve">Distribuzione degli effetti per gruppi vulnerabili e per area</w:t>
            </w:r>
          </w:p>
        </w:tc>
      </w:tr>
      <w:tr>
        <w:tc>
          <w:tcPr/>
          <w:p>
            <w:pPr>
              <w:pStyle w:val="Compact"/>
              <w:spacing w:after="40" w:before="40"/>
              <w:jc w:val="left"/>
            </w:pPr>
            <w:r>
              <w:rPr>
                <w:rFonts w:ascii="Cambria" w:hAnsi="Cambria" w:cs="Cambria" w:eastAsia="Cambria"/>
                <w:b/>
                <w:bCs/>
                <w:color w:val="1A1A1A"/>
                <w:sz w:val="18"/>
              </w:rPr>
              <w:t xml:space="preserve">Indice di deprivazione multipla</w:t>
            </w:r>
          </w:p>
        </w:tc>
        <w:tc>
          <w:tcPr/>
          <w:p>
            <w:pPr>
              <w:pStyle w:val="Compact"/>
              <w:spacing w:after="40" w:before="40"/>
              <w:jc w:val="left"/>
            </w:pPr>
            <w:r>
              <w:rPr>
                <w:rFonts w:ascii="Cambria" w:hAnsi="Cambria" w:cs="Cambria" w:eastAsia="Cambria"/>
                <w:color w:val="1A1A1A"/>
                <w:sz w:val="18"/>
              </w:rP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4194"/>
    <w:bookmarkStart w:id="251" w:name="X3a6650b3f2a96cfc7b66b547c756b1cfaab7ccf"/>
    <w:p>
      <w:pPr>
        <w:pStyle w:val="Heading3"/>
      </w:pPr>
      <w:r>
        <w:t xml:space="preserve">G.3 I divari territoriali e l’impoverimento</w:t>
      </w:r>
    </w:p>
    <w:p>
      <w:pPr>
        <w:pStyle w:val="FirstParagraph"/>
      </w:pPr>
      <w:r>
        <w:t xml:space="preserve">Il divario territoriale rilevante, in Piemonte, non è quello Nord-Sud, ma quello interno tra l’area metropolitana torinese, densa e ben servita, e le aree interne e alpine, a popolazione anziana e dispersa e soggette a spopolamento, dove la sola presenza fisica di un primo livello accessibile costituisce già un atto di riequilibrio, integrato dalla telepsicologia.</w:t>
      </w:r>
      <w:r>
        <w:rPr>
          <w:rStyle w:val="FootnoteReference"/>
        </w:rPr>
        <w:footnoteReference w:id="1290"/>
      </w:r>
      <w:r>
        <w:t xml:space="preserve"> </w:t>
      </w:r>
      <w:r>
        <w:t xml:space="preserve">Poiché il canale della mobilità recuperata è solo marginalmente pertinente, le principali leve distributive diventano la riduzione delle liste di attesa, che oggi penalizzano chi non può ricorrere al privato, il dimensionamento uniforme del servizio già attivo fra le dodici Aziende Sanitarie Locali — oggi disomogeneo per effetto della ripartizione a quota capitaria — e l’accesso nelle aree interne e alpine.</w:t>
      </w:r>
      <w:r>
        <w:rPr>
          <w:rStyle w:val="FootnoteReference"/>
        </w:rPr>
        <w:footnoteReference w:id="1291"/>
      </w:r>
      <w:r>
        <w:t xml:space="preserve"> </w:t>
      </w:r>
      <w:r>
        <w:t xml:space="preserve">A queste si aggiunge la protezione finanziaria: il servizio pubblico e gratuito riduce la spesa privata per la psicoterapia e l’impoverimento connesso alle cure, con beneficio maggiore per i redditi bassi.</w:t>
      </w:r>
      <w:r>
        <w:rPr>
          <w:rStyle w:val="FootnoteReference"/>
        </w:rPr>
        <w:footnoteReference w:id="1292"/>
      </w:r>
      <w:r>
        <w:t xml:space="preserve"> </w:t>
      </w:r>
      <w:r>
        <w:t xml:space="preserve">La forma più elementare di equità, infine, è la copertura del bisogno non soddisfatto, dell’ordine di 850.000 persone in larga parte non intercettate, ossia il raggiungere proprio coloro che meno accederebbero spontaneamente ai servizi.</w:t>
      </w:r>
      <w:r>
        <w:rPr>
          <w:rStyle w:val="FootnoteReference"/>
        </w:rPr>
        <w:footnoteReference w:id="1293"/>
      </w:r>
      <w:r>
        <w:t xml:space="preserve"> </w:t>
      </w:r>
      <w:r>
        <w:t xml:space="preserve">Tutti questi profili sono tradotti in indicatori e affidati al sistema di monitoraggio della Parte L, che ne accerta nel tempo il conseguimento.</w:t>
      </w:r>
      <w:r>
        <w:rPr>
          <w:rStyle w:val="FootnoteReference"/>
        </w:rPr>
        <w:footnoteReference w:id="1294"/>
      </w:r>
      <w:r>
        <w:t xml:space="preserve"> </w:t>
      </w:r>
      <w:r>
        <w:t xml:space="preserve">Definita la dimensione distributiva, la parte che segue affronta i profili etico, giuridico e organizzativo.</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etico, profili giuridici e costituzionali, profilo organizzativo e conformità</w:t>
      </w:r>
    </w:p>
    <w:p>
      <w:pPr>
        <w:pStyle w:val="BodyText"/>
      </w:pPr>
      <w:r>
        <w:t xml:space="preserve">Domini sei, sette e nove dell’HTA · etica, organizzazione e diritto</w:t>
      </w:r>
    </w:p>
    <w:bookmarkEnd w:id="251"/>
    <w:bookmarkEnd w:id="252"/>
    <w:bookmarkStart w:id="287" w:name="X30157ba49e0b457856c0c4ef92e77be53ab804a"/>
    <w:p>
      <w:pPr>
        <w:pStyle w:val="Heading2"/>
      </w:pPr>
      <w:r>
        <w:t xml:space="preserve">Parte H — Profili etico, giuridico e organizzativo</w:t>
      </w:r>
    </w:p>
    <w:p>
      <w:pPr>
        <w:pStyle w:val="FirstParagraph"/>
      </w:pPr>
      <w:r>
        <w:t xml:space="preserve">Questa parte completa la valutazione affrontando i tre domini che restano oltre quelli già trattati: il profilo etico, il profilo giuridico e costituzionale e il profilo organizzativo e di conformità. Sono i piani che ne saggiano la legittimità e l’ammissibilità — non basta che un intervento sia efficace ed efficiente, occorre che sia eticamente fondato, giuridicamente legittimo e organizzativamente conforme. La parte esamina il profilo etico (capitolo H.1); i profili giuridici e costituzionali, con specifico riguardo alla competenza regionale (H.2); e il profilo organizzativo e la conformità, segnatamente degli strumenti di intelligenza artificiale (H.3). Per il Piemonte, il punto giuridico saliente è che il servizio è già attivo entro la competenza organizzativa regionale, ma manca una legge dedicata che ne stabilizzi la figura: la decisione verte sul dotare di base giuridica stabile e sul dimensionare una funzione già operante.</w:t>
      </w:r>
    </w:p>
    <w:bookmarkStart w:id="4195" w:name="h.1-il-profilo-etico"/>
    <w:p>
      <w:pPr>
        <w:pStyle w:val="Heading3"/>
      </w:pPr>
      <w:r>
        <w:t xml:space="preserve">H.1 Il profilo etico</w:t>
      </w:r>
    </w:p>
    <w:p>
      <w:pPr>
        <w:pStyle w:val="FirstParagraph"/>
      </w:pPr>
      <w:r>
        <w:t xml:space="preserve">Il profilo etico dell’intervento è solido.</w:t>
      </w:r>
      <w:r>
        <w:rPr>
          <w:rStyle w:val="FootnoteReference"/>
        </w:rPr>
        <w:footnoteReference w:id="1295"/>
      </w:r>
      <w:r>
        <w:rPr>
          <w:rStyle w:val="FootnoteReference"/>
        </w:rPr>
        <w:footnoteReference w:id="1296"/>
      </w:r>
      <w:r>
        <w:rPr>
          <w:rStyle w:val="FootnoteReference"/>
        </w:rPr>
        <w:footnoteReference w:id="1297"/>
      </w:r>
      <w:r>
        <w:rPr>
          <w:rStyle w:val="FootnoteReference"/>
        </w:rPr>
        <w:footnoteReference w:id="1298"/>
      </w:r>
      <w:r>
        <w:rPr>
          <w:rStyle w:val="FootnoteReference"/>
        </w:rPr>
        <w:footnoteReference w:id="1299"/>
      </w:r>
      <w:r>
        <w:rPr>
          <w:rStyle w:val="FootnoteReference"/>
        </w:rPr>
        <w:footnoteReference w:id="1300"/>
      </w:r>
      <w:r>
        <w:rPr>
          <w:rStyle w:val="FootnoteReference"/>
        </w:rPr>
        <w:footnoteReference w:id="1301"/>
      </w:r>
      <w:r>
        <w:rPr>
          <w:rStyle w:val="FootnoteReference"/>
        </w:rPr>
        <w:footnoteReference w:id="1302"/>
      </w:r>
      <w:r>
        <w:rPr>
          <w:rStyle w:val="FootnoteReference"/>
        </w:rPr>
        <w:footnoteReference w:id="1303"/>
      </w:r>
      <w:r>
        <w:rPr>
          <w:rStyle w:val="FootnoteReference"/>
        </w:rPr>
        <w:footnoteReference w:id="1304"/>
      </w:r>
      <w:r>
        <w:rPr>
          <w:rStyle w:val="FootnoteReference"/>
        </w:rPr>
        <w:footnoteReference w:id="1305"/>
      </w:r>
      <w:r>
        <w:rPr>
          <w:rStyle w:val="FootnoteReference"/>
        </w:rPr>
        <w:footnoteReference w:id="1306"/>
      </w:r>
      <w:r>
        <w:rPr>
          <w:rStyle w:val="FootnoteReference"/>
        </w:rPr>
        <w:footnoteReference w:id="1307"/>
      </w:r>
      <w:r>
        <w:rPr>
          <w:rStyle w:val="FootnoteReference"/>
        </w:rPr>
        <w:footnoteReference w:id="1308"/>
      </w:r>
      <w:r>
        <w:rPr>
          <w:rStyle w:val="FootnoteReference"/>
        </w:rPr>
        <w:footnoteReference w:id="1309"/>
      </w:r>
      <w:r>
        <w:rPr>
          <w:rStyle w:val="FootnoteReference"/>
        </w:rPr>
        <w:footnoteReference w:id="1310"/>
      </w:r>
      <w:r>
        <w:t xml:space="preserve"> </w:t>
      </w:r>
      <w:r>
        <w:t xml:space="preserve">Le dimensioni rilevanti sono l’equità di accesso, già trattata, l’autonomia della persona e la tutela del consenso informato, con la persona sempre soggetto e mai oggetto della presa in carico.</w:t>
      </w:r>
      <w:r>
        <w:rPr>
          <w:rStyle w:val="FootnoteReference"/>
        </w:rPr>
        <w:footnoteReference w:id="1311"/>
      </w:r>
      <w:r>
        <w:t xml:space="preserve"> </w:t>
      </w:r>
      <w:r>
        <w:t xml:space="preserve">Il consenso è modulare e reso anche in forma digitale, e nella salute mentale, dove i dati sono ultrasensibili, la persona deve sapere con chiarezza se interagisce con un sistema di intelligenza artificiale, quali dati siano raccolti e chi vi acceda.</w:t>
      </w:r>
      <w:r>
        <w:rPr>
          <w:rStyle w:val="FootnoteReference"/>
        </w:rPr>
        <w:footnoteReference w:id="1312"/>
      </w:r>
      <w:r>
        <w:t xml:space="preserve"> </w:t>
      </w:r>
      <w:r>
        <w:t xml:space="preserve">Sul piano della condotta della ricerca, gli esiti sono resi pubblici a prescindere dal loro segno, a garanzia contro la selezione dei risultati favorevoli, e l’impianto è sottoposto al comitato etico competente.</w:t>
      </w:r>
      <w:r>
        <w:rPr>
          <w:rStyle w:val="FootnoteReference"/>
        </w:rPr>
        <w:footnoteReference w:id="1313"/>
      </w:r>
      <w:r>
        <w:t xml:space="preserve"> </w:t>
      </w:r>
      <w:r>
        <w:t xml:space="preserve">Una cautela specifica presidia i minori e le persone vulnerabili: gli strumenti di esito sono impiegati nei soli punteggi complessivi e le situazioni di rischio sono indirizzate ai servizi specialistici e dell’emergenza in raccordo con il medico curante.</w:t>
      </w:r>
      <w:r>
        <w:rPr>
          <w:rStyle w:val="FootnoteReference"/>
        </w:rPr>
        <w:footnoteReference w:id="1314"/>
      </w:r>
    </w:p>
    <w:bookmarkEnd w:id="4195"/>
    <w:bookmarkStart w:id="280" w:name="h.2-i-profili-giuridici-e-costituzionali"/>
    <w:p>
      <w:pPr>
        <w:pStyle w:val="Heading3"/>
      </w:pPr>
      <w:r>
        <w:t xml:space="preserve">H.2 I profili giuridici e costituzionali</w:t>
      </w:r>
    </w:p>
    <w:p>
      <w:pPr>
        <w:pStyle w:val="FirstParagraph"/>
      </w:pPr>
      <w:r>
        <w:t xml:space="preserve">Sul piano giuridico, l’intervento si fonda anzitutto sull’articolo 32 della Costituzione e sulla legge istitutiva del Servizio sanitario nazionale, che configurano la salute come diritto fondamentale e il servizio come universale, eguale ed equo.</w:t>
      </w:r>
      <w:r>
        <w:rPr>
          <w:rStyle w:val="FootnoteReference"/>
        </w:rPr>
        <w:footnoteReference w:id="1315"/>
      </w:r>
      <w:r>
        <w:t xml:space="preserve"> </w:t>
      </w:r>
      <w:r>
        <w:t xml:space="preserve">Il riparto di competenze è il punto dirimente: la tutela della salute è materia concorrente, nella quale alle Regioni spetta l’organizzazione del servizio, e il Piemonte ha già esercitato tale competenza attivando il servizio in via amministrativa.</w:t>
      </w:r>
      <w:r>
        <w:rPr>
          <w:rStyle w:val="FootnoteReference"/>
        </w:rPr>
        <w:footnoteReference w:id="1316"/>
      </w:r>
      <w:r>
        <w:t xml:space="preserve"> </w:t>
      </w:r>
      <w:r>
        <w:t xml:space="preserve">La determinazione dei livelli essenziali delle prestazioni resta invece competenza esclusiva dello Stato, ed è la leva di un’eventuale uniformazione nazionale.</w:t>
      </w:r>
      <w:r>
        <w:rPr>
          <w:rStyle w:val="FootnoteReference"/>
        </w:rPr>
        <w:footnoteReference w:id="1317"/>
      </w:r>
      <w:r>
        <w:t xml:space="preserve"> </w:t>
      </w:r>
      <w:r>
        <w:t xml:space="preserve">Di rilievo diretto è la sentenza della Corte costituzionale del 2021, che ha riconosciuto legittimo il modello regionale di psicologia di base in quanto organizzazione che si avvale di professionisti già esistenti: un precedente che conforta in modo specifico il Piemonte, che quel modello ha adottato per primo.</w:t>
      </w:r>
      <w:r>
        <w:rPr>
          <w:rStyle w:val="FootnoteReference"/>
        </w:rPr>
        <w:footnoteReference w:id="1318"/>
      </w:r>
      <w:r>
        <w:t xml:space="preserve"> </w:t>
      </w:r>
      <w:r>
        <w:t xml:space="preserve">La base regionale di tale scelta è costituita dall’attivazione del 2023 e dai successivi rifinanziamenti, accompagnati dai disegni di legge in esame e dalla già approvata legge sulla psicologia scolastica; il coordinamento, in assenza di un’azienda regionale unica, è affidato alla Regione e alle dodici Aziende Sanitarie Locali.</w:t>
      </w:r>
      <w:r>
        <w:rPr>
          <w:rStyle w:val="FootnoteReference"/>
        </w:rPr>
        <w:footnoteReference w:id="1319"/>
      </w:r>
      <w:r>
        <w:t xml:space="preserve"> </w:t>
      </w:r>
      <w:r>
        <w:t xml:space="preserve">Quanto ai vincoli di finanza pubblica, il principio di destinazione dei fondi sanitari ai livelli essenziali è particolarmente saliente per il Piemonte, che, pur non essendo oggi in piano di rientro, porta un disavanzo storico in restituzione, sulla cui non modificabilità unilaterale si è pronunciata la Corte costituzionale nel 2024.</w:t>
      </w:r>
      <w:r>
        <w:rPr>
          <w:rStyle w:val="FootnoteReference"/>
        </w:rPr>
        <w:footnoteReference w:id="1320"/>
      </w:r>
      <w:r>
        <w:t xml:space="preserve"> </w:t>
      </w:r>
      <w:r>
        <w:t xml:space="preserve">La tabella seguente riepiloga i riferimenti.</w:t>
      </w:r>
    </w:p>
    <w:tbl>
      <w:tblPr>
        <w:tblStyle w:val="Table"/>
        <w:tblW w:type="pct" w:w="494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256"/>
        <w:gridCol w:w="557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Riferimento giuridico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rilevante</w:t>
            </w:r>
          </w:p>
        </w:tc>
      </w:tr>
      <w:tr>
        <w:tc>
          <w:tcPr/>
          <w:p>
            <w:pPr>
              <w:pStyle w:val="Compact"/>
              <w:spacing w:after="40" w:before="40"/>
              <w:jc w:val="left"/>
            </w:pPr>
            <w:r>
              <w:rPr>
                <w:rFonts w:ascii="Cambria" w:hAnsi="Cambria" w:cs="Cambria" w:eastAsia="Cambria"/>
                <w:b/>
                <w:bCs/>
                <w:color w:val="1A1A1A"/>
                <w:sz w:val="18"/>
              </w:rPr>
              <w:t xml:space="preserve">Articolo 32 Cost. e legge n. 833/1978</w:t>
            </w:r>
          </w:p>
        </w:tc>
        <w:tc>
          <w:tcPr/>
          <w:p>
            <w:pPr>
              <w:pStyle w:val="Compact"/>
              <w:spacing w:after="40" w:before="40"/>
              <w:jc w:val="left"/>
            </w:pPr>
            <w:r>
              <w:rPr>
                <w:rFonts w:ascii="Cambria" w:hAnsi="Cambria" w:cs="Cambria" w:eastAsia="Cambria"/>
                <w:color w:val="1A1A1A"/>
                <w:sz w:val="18"/>
              </w:rPr>
              <w:t xml:space="preserve">Salute come diritto; Servizio sanitario universale, eguale ed equo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Articolo 117, terzo comma, Cost.</w:t>
            </w:r>
          </w:p>
        </w:tc>
        <w:tc>
          <w:tcPr>
            <w:shd w:val="clear" w:color="auto" w:fill="F4F1EC"/>
          </w:tcPr>
          <w:p>
            <w:pPr>
              <w:pStyle w:val="Compact"/>
              <w:spacing w:after="40" w:before="40"/>
              <w:jc w:val="left"/>
            </w:pPr>
            <w:r>
              <w:rPr>
                <w:rFonts w:ascii="Cambria" w:hAnsi="Cambria" w:cs="Cambria" w:eastAsia="Cambria"/>
                <w:color w:val="1A1A1A"/>
                <w:sz w:val="18"/>
              </w:rPr>
              <w:t xml:space="preserve">Tutela della salute: competenza concorrente (principi allo Stato, organizzazione alle Regioni)</w:t>
            </w:r>
          </w:p>
        </w:tc>
      </w:tr>
      <w:tr>
        <w:tc>
          <w:tcPr/>
          <w:p>
            <w:pPr>
              <w:pStyle w:val="Compact"/>
              <w:spacing w:after="40" w:before="40"/>
              <w:jc w:val="left"/>
            </w:pPr>
            <w:r>
              <w:rPr>
                <w:rFonts w:ascii="Cambria" w:hAnsi="Cambria" w:cs="Cambria" w:eastAsia="Cambria"/>
                <w:b/>
                <w:bCs/>
                <w:color w:val="1A1A1A"/>
                <w:sz w:val="18"/>
              </w:rPr>
              <w:t xml:space="preserve">Articolo 117, secondo comma, lettera m), Cost.</w:t>
            </w:r>
          </w:p>
        </w:tc>
        <w:tc>
          <w:tcPr/>
          <w:p>
            <w:pPr>
              <w:pStyle w:val="Compact"/>
              <w:spacing w:after="40" w:before="40"/>
              <w:jc w:val="left"/>
            </w:pPr>
            <w:r>
              <w:rPr>
                <w:rFonts w:ascii="Cambria" w:hAnsi="Cambria" w:cs="Cambria" w:eastAsia="Cambria"/>
                <w:color w:val="1A1A1A"/>
                <w:sz w:val="18"/>
              </w:rPr>
              <w:t xml:space="preserve">Livelli essenziali delle prestazioni: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Attivazione regionale 2023 e rifinanziamenti</w:t>
            </w:r>
          </w:p>
        </w:tc>
        <w:tc>
          <w:tcPr>
            <w:shd w:val="clear" w:color="auto" w:fill="F4F1EC"/>
          </w:tcPr>
          <w:p>
            <w:pPr>
              <w:pStyle w:val="Compact"/>
              <w:spacing w:after="40" w:before="40"/>
              <w:jc w:val="left"/>
            </w:pPr>
            <w:r>
              <w:rPr>
                <w:rFonts w:ascii="Cambria" w:hAnsi="Cambria" w:cs="Cambria" w:eastAsia="Cambria"/>
                <w:color w:val="1A1A1A"/>
                <w:sz w:val="18"/>
              </w:rPr>
              <w:t xml:space="preserve">Base regionale: servizio attivato e rifinanziato a quota capitaria; psicologia scolastica già legge; in attesa di legge dedicata</w:t>
            </w:r>
          </w:p>
        </w:tc>
      </w:tr>
      <w:tr>
        <w:tc>
          <w:tcPr/>
          <w:p>
            <w:pPr>
              <w:pStyle w:val="Compact"/>
              <w:spacing w:after="40" w:before="40"/>
              <w:jc w:val="left"/>
            </w:pPr>
            <w:r>
              <w:rPr>
                <w:rFonts w:ascii="Cambria" w:hAnsi="Cambria" w:cs="Cambria" w:eastAsia="Cambria"/>
                <w:b/>
                <w:bCs/>
                <w:color w:val="1A1A1A"/>
                <w:sz w:val="18"/>
              </w:rPr>
              <w:t xml:space="preserve">Corte costituzionale, sentenza n. 241/2021</w:t>
            </w:r>
          </w:p>
        </w:tc>
        <w:tc>
          <w:tcPr/>
          <w:p>
            <w:pPr>
              <w:pStyle w:val="Compact"/>
              <w:spacing w:after="40" w:before="40"/>
              <w:jc w:val="left"/>
            </w:pPr>
            <w:r>
              <w:rPr>
                <w:rFonts w:ascii="Cambria" w:hAnsi="Cambria" w:cs="Cambria" w:eastAsia="Cambria"/>
                <w:color w:val="1A1A1A"/>
                <w:sz w:val="18"/>
              </w:rPr>
              <w:t xml:space="preserve">Modello regionale di psicologia di base riconosciuto legittimo (precedente diretto)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Corte costituzionale, sentenza n. 87/2024</w:t>
            </w:r>
          </w:p>
        </w:tc>
        <w:tc>
          <w:tcPr>
            <w:shd w:val="clear" w:color="auto" w:fill="F4F1EC"/>
          </w:tcPr>
          <w:p>
            <w:pPr>
              <w:pStyle w:val="Compact"/>
              <w:spacing w:after="40" w:before="40"/>
              <w:jc w:val="left"/>
            </w:pPr>
            <w:r>
              <w:rPr>
                <w:rFonts w:ascii="Cambria" w:hAnsi="Cambria" w:cs="Cambria" w:eastAsia="Cambria"/>
                <w:color w:val="1A1A1A"/>
                <w:sz w:val="18"/>
              </w:rPr>
              <w:t xml:space="preserve">Non modificabilità unilaterale del piano di restituzione del disavanzo piemontese; Piemonte non in piano di rientro</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280"/>
    <w:bookmarkStart w:id="286" w:name="X075c74b526608ba93aa72e439f236f0a4b9a9bc"/>
    <w:p>
      <w:pPr>
        <w:pStyle w:val="Heading3"/>
      </w:pPr>
      <w:r>
        <w:t xml:space="preserve">H.3 Il profilo organizzativo e la conformità</w:t>
      </w:r>
    </w:p>
    <w:p>
      <w:pPr>
        <w:pStyle w:val="FirstParagraph"/>
      </w:pPr>
      <w:r>
        <w:t xml:space="preserve">Sul piano organizzativo, il servizio opera nel rispetto delle norme deontologiche della professione, sotto la vigilanza dell’Ordine degli Psicologi del Piemonte, che ha accompagnato l’attivazione del servizio e concorre alla governance e alla formazione.</w:t>
      </w:r>
      <w:r>
        <w:rPr>
          <w:rStyle w:val="FootnoteReference"/>
        </w:rPr>
        <w:footnoteReference w:id="1321"/>
      </w:r>
      <w:r>
        <w:t xml:space="preserve"> </w:t>
      </w:r>
      <w:r>
        <w:t xml:space="preserve">L’impiego dell’intelligenza artificiale non altera le responsabilità professionali: il medico resta garante della diagnosi e della terapia medica, lo psicologo dell’intervento psicologico, e l’intelligenza artificiale è assimilata a un dispositivo di supporto e non a una figura che compie atti, sicché non si introduce una nuova professione, ma uno strumento che assiste quelle esistenti.</w:t>
      </w:r>
      <w:r>
        <w:rPr>
          <w:rStyle w:val="FootnoteReference"/>
        </w:rPr>
        <w:footnoteReference w:id="1322"/>
      </w:r>
      <w:r>
        <w:t xml:space="preserve"> </w:t>
      </w:r>
      <w:r>
        <w:t xml:space="preserve">La conformità degli strumenti è governata dal quadro europeo — il regolamento sull’intelligenza artificiale, quello sui dispositivi medici e quello sulla protezione dei dati — cui si aggiungono la supervisione umana costante, la validazione periodica, il monitoraggio dei bias e la trasparenza.</w:t>
      </w:r>
      <w:r>
        <w:rPr>
          <w:rStyle w:val="FootnoteReference"/>
        </w:rPr>
        <w:footnoteReference w:id="1323"/>
      </w:r>
      <w:r>
        <w:t xml:space="preserve"> </w:t>
      </w:r>
      <w:r>
        <w:t xml:space="preserve">Una particolare attenzione è dedicata all’equità digitale, perché gli strumenti non generino nuove disuguaglianze: sono previsti canali tradizionali per le persone anziane delle aree interne e alpine e il supporto multilingue per la popolazione straniera, sempre con l’alternativa in presenza garantita.</w:t>
      </w:r>
      <w:r>
        <w:rPr>
          <w:rStyle w:val="FootnoteReference"/>
        </w:rPr>
        <w:footnoteReference w:id="1324"/>
      </w:r>
      <w:r>
        <w:t xml:space="preserve"> </w:t>
      </w:r>
      <w:r>
        <w:t xml:space="preserve">La protezione dei dati, infine, è assicurata da misure robuste di sicurezza, dal consenso modulare e dalla collaborazione con l’Autorità garante.</w:t>
      </w:r>
      <w:r>
        <w:rPr>
          <w:rStyle w:val="FootnoteReference"/>
        </w:rPr>
        <w:footnoteReference w:id="1325"/>
      </w:r>
      <w:r>
        <w:t xml:space="preserve"> </w:t>
      </w:r>
      <w:r>
        <w:t xml:space="preserve">La tabella seguente riepiloga il quadro della conformità e della governance. Definiti i profili etico, giuridico e organizzativo, la parte che segue affronta l’attuazione, la fattibilità e la sostenibilità.</w:t>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95"/>
        <w:gridCol w:w="2750"/>
        <w:gridCol w:w="346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Garanzia</w:t>
            </w:r>
          </w:p>
        </w:tc>
      </w:tr>
      <w:tr>
        <w:tc>
          <w:tcPr/>
          <w:p>
            <w:pPr>
              <w:pStyle w:val="Compact"/>
              <w:spacing w:after="40" w:before="40"/>
              <w:jc w:val="left"/>
            </w:pPr>
            <w:r>
              <w:rPr>
                <w:rFonts w:ascii="Cambria" w:hAnsi="Cambria" w:cs="Cambria" w:eastAsia="Cambria"/>
                <w:b/>
                <w:bCs/>
                <w:color w:val="1A1A1A"/>
                <w:sz w:val="18"/>
              </w:rPr>
              <w:t xml:space="preserve">Deontologia</w:t>
            </w:r>
          </w:p>
        </w:tc>
        <w:tc>
          <w:tcPr/>
          <w:p>
            <w:pPr>
              <w:pStyle w:val="Compact"/>
              <w:spacing w:after="40" w:before="40"/>
              <w:jc w:val="left"/>
            </w:pPr>
            <w:r>
              <w:rPr>
                <w:rFonts w:ascii="Cambria" w:hAnsi="Cambria" w:cs="Cambria" w:eastAsia="Cambria"/>
                <w:color w:val="1A1A1A"/>
                <w:sz w:val="18"/>
              </w:rPr>
              <w:t xml:space="preserve">Ordine degli Psicologi del Piemonte</w:t>
            </w:r>
          </w:p>
        </w:tc>
        <w:tc>
          <w:tcPr/>
          <w:p>
            <w:pPr>
              <w:pStyle w:val="Compact"/>
              <w:spacing w:after="40" w:before="40"/>
              <w:jc w:val="left"/>
            </w:pPr>
            <w:r>
              <w:rPr>
                <w:rFonts w:ascii="Cambria" w:hAnsi="Cambria" w:cs="Cambria" w:eastAsia="Cambria"/>
                <w:color w:val="1A1A1A"/>
                <w:sz w:val="18"/>
              </w:rPr>
              <w:t xml:space="preserve">Rispetto delle norme deontologiche; concorso alla governance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Responsabilità clinica</w:t>
            </w:r>
          </w:p>
        </w:tc>
        <w:tc>
          <w:tcPr>
            <w:shd w:val="clear" w:color="auto" w:fill="F4F1EC"/>
          </w:tcPr>
          <w:p>
            <w:pPr>
              <w:pStyle w:val="Compact"/>
              <w:spacing w:after="40" w:before="40"/>
              <w:jc w:val="left"/>
            </w:pPr>
            <w:r>
              <w:rPr>
                <w:rFonts w:ascii="Cambria" w:hAnsi="Cambria" w:cs="Cambria" w:eastAsia="Cambria"/>
                <w:color w:val="1A1A1A"/>
                <w:sz w:val="18"/>
              </w:rPr>
              <w:t xml:space="preserve">Medico e psicologo</w:t>
            </w:r>
          </w:p>
        </w:tc>
        <w:tc>
          <w:tcPr>
            <w:shd w:val="clear" w:color="auto" w:fill="F4F1EC"/>
          </w:tcPr>
          <w:p>
            <w:pPr>
              <w:pStyle w:val="Compact"/>
              <w:spacing w:after="40" w:before="40"/>
              <w:jc w:val="left"/>
            </w:pPr>
            <w:r>
              <w:rPr>
                <w:rFonts w:ascii="Cambria" w:hAnsi="Cambria" w:cs="Cambria" w:eastAsia="Cambria"/>
                <w:color w:val="1A1A1A"/>
                <w:sz w:val="18"/>
              </w:rPr>
              <w:t xml:space="preserve">Ruoli invariati; l’IA è strumento di supporto</w:t>
            </w:r>
          </w:p>
        </w:tc>
      </w:tr>
      <w:tr>
        <w:tc>
          <w:tcPr/>
          <w:p>
            <w:pPr>
              <w:pStyle w:val="Compact"/>
              <w:spacing w:after="40" w:before="40"/>
              <w:jc w:val="left"/>
            </w:pPr>
            <w:r>
              <w:rPr>
                <w:rFonts w:ascii="Cambria" w:hAnsi="Cambria" w:cs="Cambria" w:eastAsia="Cambria"/>
                <w:b/>
                <w:bCs/>
                <w:color w:val="1A1A1A"/>
                <w:sz w:val="18"/>
              </w:rPr>
              <w:t xml:space="preserve">IA e dispositivi</w:t>
            </w:r>
          </w:p>
        </w:tc>
        <w:tc>
          <w:tcPr/>
          <w:p>
            <w:pPr>
              <w:pStyle w:val="Compact"/>
              <w:spacing w:after="40" w:before="40"/>
              <w:jc w:val="left"/>
            </w:pPr>
            <w:r>
              <w:rPr>
                <w:rFonts w:ascii="Cambria" w:hAnsi="Cambria" w:cs="Cambria" w:eastAsia="Cambria"/>
                <w:color w:val="1A1A1A"/>
                <w:sz w:val="18"/>
              </w:rPr>
              <w:t xml:space="preserve">AI Act, dispositivi medici, protezione dei dati</w:t>
            </w:r>
          </w:p>
        </w:tc>
        <w:tc>
          <w:tcPr/>
          <w:p>
            <w:pPr>
              <w:pStyle w:val="Compact"/>
              <w:spacing w:after="40" w:before="40"/>
              <w:jc w:val="left"/>
            </w:pPr>
            <w:r>
              <w:rPr>
                <w:rFonts w:ascii="Cambria" w:hAnsi="Cambria" w:cs="Cambria" w:eastAsia="Cambria"/>
                <w:color w:val="1A1A1A"/>
                <w:sz w:val="18"/>
              </w:rPr>
              <w:t xml:space="preserve">Marcatura CE; supervisione umana; validazione periodica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Governance dell’IA</w:t>
            </w:r>
          </w:p>
        </w:tc>
        <w:tc>
          <w:tcPr>
            <w:shd w:val="clear" w:color="auto" w:fill="F4F1EC"/>
          </w:tcPr>
          <w:p>
            <w:pPr>
              <w:pStyle w:val="Compact"/>
              <w:spacing w:after="40" w:before="40"/>
              <w:jc w:val="left"/>
            </w:pPr>
            <w:r>
              <w:rPr>
                <w:rFonts w:ascii="Cambria" w:hAnsi="Cambria" w:cs="Cambria" w:eastAsia="Cambria"/>
                <w:color w:val="1A1A1A"/>
                <w:sz w:val="18"/>
              </w:rPr>
              <w:t xml:space="preserve">Comitato etico-scientifico</w:t>
            </w:r>
          </w:p>
        </w:tc>
        <w:tc>
          <w:tcPr>
            <w:shd w:val="clear" w:color="auto" w:fill="F4F1EC"/>
          </w:tcPr>
          <w:p>
            <w:pPr>
              <w:pStyle w:val="Compact"/>
              <w:spacing w:after="40" w:before="40"/>
              <w:jc w:val="left"/>
            </w:pPr>
            <w:r>
              <w:rPr>
                <w:rFonts w:ascii="Cambria" w:hAnsi="Cambria" w:cs="Cambria" w:eastAsia="Cambria"/>
                <w:color w:val="1A1A1A"/>
                <w:sz w:val="18"/>
              </w:rPr>
              <w:t xml:space="preserve">Monitoraggio dei bias; trasparenza; non discriminazione</w:t>
            </w:r>
          </w:p>
        </w:tc>
      </w:tr>
      <w:tr>
        <w:tc>
          <w:tcPr/>
          <w:p>
            <w:pPr>
              <w:pStyle w:val="Compact"/>
              <w:spacing w:after="40" w:before="40"/>
              <w:jc w:val="left"/>
            </w:pPr>
            <w:r>
              <w:rPr>
                <w:rFonts w:ascii="Cambria" w:hAnsi="Cambria" w:cs="Cambria" w:eastAsia="Cambria"/>
                <w:b/>
                <w:bCs/>
                <w:color w:val="1A1A1A"/>
                <w:sz w:val="18"/>
              </w:rPr>
              <w:t xml:space="preserve">Equità digitale</w:t>
            </w:r>
          </w:p>
        </w:tc>
        <w:tc>
          <w:tcPr/>
          <w:p>
            <w:pPr>
              <w:pStyle w:val="Compact"/>
              <w:spacing w:after="40" w:before="40"/>
              <w:jc w:val="left"/>
            </w:pPr>
            <w:r>
              <w:rPr>
                <w:rFonts w:ascii="Cambria" w:hAnsi="Cambria" w:cs="Cambria" w:eastAsia="Cambria"/>
                <w:color w:val="1A1A1A"/>
                <w:sz w:val="18"/>
              </w:rPr>
              <w:t xml:space="preserve">Canali paralleli; supporto multilingue</w:t>
            </w:r>
          </w:p>
        </w:tc>
        <w:tc>
          <w:tcPr/>
          <w:p>
            <w:pPr>
              <w:pStyle w:val="Compact"/>
              <w:spacing w:after="40" w:before="40"/>
              <w:jc w:val="left"/>
            </w:pPr>
            <w:r>
              <w:rPr>
                <w:rFonts w:ascii="Cambria" w:hAnsi="Cambria" w:cs="Cambria" w:eastAsia="Cambria"/>
                <w:color w:val="1A1A1A"/>
                <w:sz w:val="18"/>
              </w:rPr>
              <w:t xml:space="preserve">Alternativa in presenza sempre garantita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Protezione dei dati</w:t>
            </w:r>
          </w:p>
        </w:tc>
        <w:tc>
          <w:tcPr>
            <w:shd w:val="clear" w:color="auto" w:fill="F4F1EC"/>
          </w:tcPr>
          <w:p>
            <w:pPr>
              <w:pStyle w:val="Compact"/>
              <w:spacing w:after="40" w:before="40"/>
              <w:jc w:val="left"/>
            </w:pPr>
            <w:r>
              <w:rPr>
                <w:rFonts w:ascii="Cambria" w:hAnsi="Cambria" w:cs="Cambria" w:eastAsia="Cambria"/>
                <w:color w:val="1A1A1A"/>
                <w:sz w:val="18"/>
              </w:rPr>
              <w:t xml:space="preserve">Crittografia; pseudonimizzazione</w:t>
            </w:r>
          </w:p>
        </w:tc>
        <w:tc>
          <w:tcPr>
            <w:shd w:val="clear" w:color="auto" w:fill="F4F1EC"/>
          </w:tcPr>
          <w:p>
            <w:pPr>
              <w:pStyle w:val="Compact"/>
              <w:spacing w:after="40" w:before="40"/>
              <w:jc w:val="left"/>
            </w:pPr>
            <w:r>
              <w:rPr>
                <w:rFonts w:ascii="Cambria" w:hAnsi="Cambria" w:cs="Cambria" w:eastAsia="Cambria"/>
                <w:color w:val="1A1A1A"/>
                <w:sz w:val="18"/>
              </w:rPr>
              <w:t xml:space="preserve">Consenso modulare; collaborazione con il Garante</w:t>
            </w:r>
          </w:p>
        </w:tc>
      </w:tr>
    </w:tbl>
    <w:p>
      <w:pPr>
        <w:pStyle w:val="BodyText"/>
      </w:pPr>
      <w:r>
        <w:rPr>
          <w:i/>
          <w:iCs/>
        </w:rPr>
        <w:t xml:space="preserve">Tabella H.2. Il quadro della conformità organizzativa e di governance dell</w:t>
      </w:r>
      <w:r>
        <w:rPr>
          <w:b/>
          <w:bCs/>
          <w:i/>
          <w:iCs/>
        </w:rPr>
        <w:t xml:space="preserve">’</w:t>
      </w:r>
      <w:r>
        <w:rPr>
          <w:i/>
          <w:iCs/>
        </w:rPr>
        <w:t xml:space="preserve">intervento.</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Scienza dell</w:t>
      </w:r>
      <w:r>
        <w:rPr>
          <w:b/>
          <w:bCs/>
          <w:i/>
          <w:iCs/>
        </w:rPr>
        <w:t xml:space="preserve">’</w:t>
      </w:r>
      <w:r>
        <w:rPr>
          <w:i/>
          <w:iCs/>
        </w:rPr>
        <w:t xml:space="preserve">implementazione, dimensionamento, casi commerciale e gestionale, sostenibilità finanziaria</w:t>
      </w:r>
    </w:p>
    <w:p>
      <w:pPr>
        <w:pStyle w:val="BodyText"/>
      </w:pPr>
      <w:r>
        <w:t xml:space="preserve">Settimo dominio dell’HTA · il profilo organizzativo</w:t>
      </w:r>
    </w:p>
    <w:bookmarkEnd w:id="286"/>
    <w:bookmarkEnd w:id="287"/>
    <w:bookmarkStart w:id="4196" w:name="Xfd39423471acbee7f660271ce7db2da5bdbdc4f"/>
    <w:p>
      <w:pPr>
        <w:pStyle w:val="Heading2"/>
      </w:pPr>
      <w:r>
        <w:t xml:space="preserve">Parte I — Attuazione, fattibilità e sostenibilità</w:t>
      </w:r>
    </w:p>
    <w:p>
      <w:pPr>
        <w:pStyle w:val="FirstParagraph"/>
      </w:pPr>
      <w:r>
        <w:t xml:space="preserve">Le parti precedenti hanno mostrato che l’intervento è efficace, efficiente, equo e legittimo; questa parte affronta la domanda decisiva per il decisore: è attuabile e sostenibile. La fattibilità è trattata con gli strumenti della scienza dell’implementazione, e la sostenibilità con i casi commerciale, gestionale e finanziario del modello di valutazione degli investimenti pubblici. La parte presenta i quadri della scienza dell’implementazione (capitolo I.1); disegna il dimensionamento del servizio (I.2); definisce il caso commerciale, ossia il modello contrattuale e la tariffa (I.3); il caso gestionale, ossia la governance e i rischi (I.4); e il caso finanziario, ossia la sostenibilità e le coperture (I.5). Per il Piemonte, la circostanza che il servizio sia già attivo in tutte le Aziende Sanitarie Locali rende l’attuazione non un avvio ex novo, ma una stabilizzazione e un progressivo dimensionamento di un servizio esistente.</w:t>
      </w:r>
    </w:p>
    <w:bookmarkStart w:id="4197" w:name="i.1-la-scienza-dellimplementazione"/>
    <w:p>
      <w:pPr>
        <w:pStyle w:val="Heading3"/>
      </w:pPr>
      <w:r>
        <w:t xml:space="preserve">I.1 La scienza dell’implementazione</w:t>
      </w:r>
    </w:p>
    <w:p>
      <w:pPr>
        <w:pStyle w:val="FirstParagraph"/>
      </w:pPr>
      <w:r>
        <w:t xml:space="preserve">L’attuazione è trattata con il rigore della scienza dell’implementazione, e non lasciata all’improvvisazione.</w:t>
      </w:r>
      <w:r>
        <w:rPr>
          <w:rStyle w:val="FootnoteReference"/>
        </w:rPr>
        <w:footnoteReference w:id="1326"/>
      </w:r>
      <w:r>
        <w:rPr>
          <w:rStyle w:val="FootnoteReference"/>
        </w:rPr>
        <w:footnoteReference w:id="1327"/>
      </w:r>
      <w:r>
        <w:rPr>
          <w:rStyle w:val="FootnoteReference"/>
        </w:rPr>
        <w:footnoteReference w:id="1328"/>
      </w:r>
      <w:r>
        <w:rPr>
          <w:rStyle w:val="FootnoteReference"/>
        </w:rPr>
        <w:footnoteReference w:id="1329"/>
      </w:r>
      <w:r>
        <w:rPr>
          <w:rStyle w:val="FootnoteReference"/>
        </w:rPr>
        <w:footnoteReference w:id="1330"/>
      </w:r>
      <w:r>
        <w:rPr>
          <w:rStyle w:val="FootnoteReference"/>
        </w:rPr>
        <w:footnoteReference w:id="1331"/>
      </w:r>
      <w:r>
        <w:rPr>
          <w:rStyle w:val="FootnoteReference"/>
        </w:rPr>
        <w:footnoteReference w:id="1332"/>
      </w:r>
      <w:r>
        <w:rPr>
          <w:rStyle w:val="FootnoteReference"/>
        </w:rPr>
        <w:footnoteReference w:id="1333"/>
      </w:r>
      <w:r>
        <w:rPr>
          <w:rStyle w:val="FootnoteReference"/>
        </w:rPr>
        <w:footnoteReference w:id="1334"/>
      </w:r>
      <w:r>
        <w:rPr>
          <w:rStyle w:val="FootnoteReference"/>
        </w:rPr>
        <w:footnoteReference w:id="1335"/>
      </w:r>
      <w:r>
        <w:rPr>
          <w:rStyle w:val="FootnoteReference"/>
        </w:rPr>
        <w:footnoteReference w:id="1336"/>
      </w:r>
      <w:r>
        <w:rPr>
          <w:rStyle w:val="FootnoteReference"/>
        </w:rPr>
        <w:footnoteReference w:id="1337"/>
      </w:r>
      <w:r>
        <w:rPr>
          <w:rStyle w:val="FootnoteReference"/>
        </w:rPr>
        <w:footnoteReference w:id="1338"/>
      </w:r>
      <w:r>
        <w:rPr>
          <w:rStyle w:val="FootnoteReference"/>
        </w:rPr>
        <w:footnoteReference w:id="1339"/>
      </w:r>
      <w:r>
        <w:rPr>
          <w:rStyle w:val="FootnoteReference"/>
        </w:rPr>
        <w:footnoteReference w:id="1340"/>
      </w:r>
      <w:r>
        <w:rPr>
          <w:rStyle w:val="FootnoteReference"/>
        </w:rPr>
        <w:footnoteReference w:id="1341"/>
      </w:r>
      <w:r>
        <w:t xml:space="preserve"> </w:t>
      </w:r>
      <w:r>
        <w:t xml:space="preserve">Due quadri complementari ne governano l’analisi. Il modello RE-AIM misura la riuscita e la validità esterna dell’attuazione lungo cinque dimensioni — portata, efficacia, adozione, implementazione e mantenimento — e per il Piemonte la dimensione del mantenimento è dirimente, trattandosi di consolidare un servizio già avviato.</w:t>
      </w:r>
      <w:r>
        <w:rPr>
          <w:rStyle w:val="FootnoteReference"/>
        </w:rPr>
        <w:footnoteReference w:id="1342"/>
      </w:r>
      <w:r>
        <w:t xml:space="preserve"> </w:t>
      </w:r>
      <w:r>
        <w:t xml:space="preserve">Il quadro consolidato per la ricerca sull’implementazione ne spiega invece i determinanti, articolati in cinque domini, consentendo di individuare in anticipo barriere e facilitatori.</w:t>
      </w:r>
      <w:r>
        <w:rPr>
          <w:rStyle w:val="FootnoteReference"/>
        </w:rPr>
        <w:footnoteReference w:id="1343"/>
      </w:r>
      <w:r>
        <w:t xml:space="preserve"> </w:t>
      </w:r>
      <w:r>
        <w:t xml:space="preserve">Da questi quadri lo studio deriva i determinanti che seguirà: il tasso di copertura, l’adozione delle sedi, la fedeltà al modello, i tempi di dimensionamento, il numero di psicologi reclutati e formati e il grado di integrazione nei flussi di lavoro.</w:t>
      </w:r>
      <w:r>
        <w:rPr>
          <w:rStyle w:val="FootnoteReference"/>
        </w:rPr>
        <w:footnoteReference w:id="1344"/>
      </w:r>
      <w:r>
        <w:t xml:space="preserve"> </w:t>
      </w:r>
      <w:r>
        <w:t xml:space="preserve">La tabella seguente riepiloga i due quadri.</w:t>
      </w:r>
    </w:p>
    <w:tbl>
      <w:tblPr>
        <w:tblStyle w:val="Table"/>
        <w:tblW w:type="pct" w:w="490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22"/>
        <w:gridCol w:w="49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w:t>
            </w:r>
          </w:p>
        </w:tc>
        <w:tc>
          <w:tcPr>
            <w:shd w:val="clear" w:color="auto" w:fill="16264B"/>
          </w:tcPr>
          <w:p>
            <w:pPr>
              <w:pStyle w:val="Compact"/>
              <w:spacing w:after="40" w:before="40"/>
              <w:jc w:val="left"/>
            </w:pPr>
            <w:r>
              <w:rPr>
                <w:rFonts w:ascii="Cambria" w:hAnsi="Cambria" w:cs="Cambria" w:eastAsia="Cambria"/>
                <w:b/>
                <w:bCs/>
                <w:color w:val="FFFFFF"/>
                <w:sz w:val="18"/>
              </w:rPr>
              <w:t xml:space="preserve">Che cosa misura o spiega</w:t>
            </w:r>
          </w:p>
        </w:tc>
      </w:tr>
      <w:tr>
        <w:tc>
          <w:tcPr/>
          <w:p>
            <w:pPr>
              <w:pStyle w:val="Compact"/>
              <w:spacing w:after="40" w:before="40"/>
              <w:jc w:val="left"/>
            </w:pPr>
            <w:r>
              <w:rPr>
                <w:rFonts w:ascii="Cambria" w:hAnsi="Cambria" w:cs="Cambria" w:eastAsia="Cambria"/>
                <w:b/>
                <w:bCs/>
                <w:color w:val="1A1A1A"/>
                <w:sz w:val="18"/>
              </w:rPr>
              <w:t xml:space="preserve">Portata (RE-AIM)</w:t>
            </w:r>
          </w:p>
        </w:tc>
        <w:tc>
          <w:tcPr/>
          <w:p>
            <w:pPr>
              <w:pStyle w:val="Compact"/>
              <w:spacing w:after="40" w:before="40"/>
              <w:jc w:val="left"/>
            </w:pPr>
            <w:r>
              <w:rPr>
                <w:rFonts w:ascii="Cambria" w:hAnsi="Cambria" w:cs="Cambria" w:eastAsia="Cambria"/>
                <w:color w:val="1A1A1A"/>
                <w:sz w:val="18"/>
              </w:rPr>
              <w:t xml:space="preserve">Quota della popolazione bersaglio raggiunta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(RE-AIM)</w:t>
            </w:r>
          </w:p>
        </w:tc>
        <w:tc>
          <w:tcPr>
            <w:shd w:val="clear" w:color="auto" w:fill="F4F1EC"/>
          </w:tcPr>
          <w:p>
            <w:pPr>
              <w:pStyle w:val="Compact"/>
              <w:spacing w:after="40" w:before="40"/>
              <w:jc w:val="left"/>
            </w:pPr>
            <w:r>
              <w:rPr>
                <w:rFonts w:ascii="Cambria" w:hAnsi="Cambria" w:cs="Cambria" w:eastAsia="Cambria"/>
                <w:color w:val="1A1A1A"/>
                <w:sz w:val="18"/>
              </w:rPr>
              <w:t xml:space="preserve">Esiti clinici e di sistema effettivamente conseguiti</w:t>
            </w:r>
          </w:p>
        </w:tc>
      </w:tr>
      <w:tr>
        <w:tc>
          <w:tcPr/>
          <w:p>
            <w:pPr>
              <w:pStyle w:val="Compact"/>
              <w:spacing w:after="40" w:before="40"/>
              <w:jc w:val="left"/>
            </w:pPr>
            <w:r>
              <w:rPr>
                <w:rFonts w:ascii="Cambria" w:hAnsi="Cambria" w:cs="Cambria" w:eastAsia="Cambria"/>
                <w:b/>
                <w:bCs/>
                <w:color w:val="1A1A1A"/>
                <w:sz w:val="18"/>
              </w:rPr>
              <w:t xml:space="preserve">Adozione (RE-AIM)</w:t>
            </w:r>
          </w:p>
        </w:tc>
        <w:tc>
          <w:tcPr/>
          <w:p>
            <w:pPr>
              <w:pStyle w:val="Compact"/>
              <w:spacing w:after="40" w:before="40"/>
              <w:jc w:val="left"/>
            </w:pPr>
            <w:r>
              <w:rPr>
                <w:rFonts w:ascii="Cambria" w:hAnsi="Cambria" w:cs="Cambria" w:eastAsia="Cambria"/>
                <w:color w:val="1A1A1A"/>
                <w:sz w:val="18"/>
              </w:rPr>
              <w:t xml:space="preserve">Adesione delle sedi e dei professionisti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Implementazione (RE-AIM)</w:t>
            </w:r>
          </w:p>
        </w:tc>
        <w:tc>
          <w:tcPr>
            <w:shd w:val="clear" w:color="auto" w:fill="F4F1EC"/>
          </w:tcPr>
          <w:p>
            <w:pPr>
              <w:pStyle w:val="Compact"/>
              <w:spacing w:after="40" w:before="40"/>
              <w:jc w:val="left"/>
            </w:pPr>
            <w:r>
              <w:rPr>
                <w:rFonts w:ascii="Cambria" w:hAnsi="Cambria" w:cs="Cambria" w:eastAsia="Cambria"/>
                <w:color w:val="1A1A1A"/>
                <w:sz w:val="18"/>
              </w:rPr>
              <w:t xml:space="preserve">Fedeltà al modello e qualità dell’attuazione</w:t>
            </w:r>
          </w:p>
        </w:tc>
      </w:tr>
      <w:tr>
        <w:tc>
          <w:tcPr/>
          <w:p>
            <w:pPr>
              <w:pStyle w:val="Compact"/>
              <w:spacing w:after="40" w:before="40"/>
              <w:jc w:val="left"/>
            </w:pPr>
            <w:r>
              <w:rPr>
                <w:rFonts w:ascii="Cambria" w:hAnsi="Cambria" w:cs="Cambria" w:eastAsia="Cambria"/>
                <w:b/>
                <w:bCs/>
                <w:color w:val="1A1A1A"/>
                <w:sz w:val="18"/>
              </w:rPr>
              <w:t xml:space="preserve">Mantenimento (RE-AIM)</w:t>
            </w:r>
          </w:p>
        </w:tc>
        <w:tc>
          <w:tcPr/>
          <w:p>
            <w:pPr>
              <w:pStyle w:val="Compact"/>
              <w:spacing w:after="40" w:before="40"/>
              <w:jc w:val="left"/>
            </w:pPr>
            <w:r>
              <w:rPr>
                <w:rFonts w:ascii="Cambria" w:hAnsi="Cambria" w:cs="Cambria" w:eastAsia="Cambria"/>
                <w:color w:val="1A1A1A"/>
                <w:sz w:val="18"/>
              </w:rPr>
              <w:t xml:space="preserve">Sostenibilità del servizio nel tempo (dirimente in Piemonte)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Determinanti (quadro CFIR)</w:t>
            </w:r>
          </w:p>
        </w:tc>
        <w:tc>
          <w:tcPr>
            <w:shd w:val="clear" w:color="auto" w:fill="F4F1EC"/>
          </w:tcPr>
          <w:p>
            <w:pPr>
              <w:pStyle w:val="Compact"/>
              <w:spacing w:after="40" w:before="40"/>
              <w:jc w:val="left"/>
            </w:pPr>
            <w:r>
              <w:rPr>
                <w:rFonts w:ascii="Cambria" w:hAnsi="Cambria" w:cs="Cambria" w:eastAsia="Cambria"/>
                <w:color w:val="1A1A1A"/>
                <w:sz w:val="18"/>
              </w:rP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4197"/>
    <w:bookmarkStart w:id="313" w:name="i.2-il-disegno-del-dimensionamento"/>
    <w:p>
      <w:pPr>
        <w:pStyle w:val="Heading3"/>
      </w:pPr>
      <w:r>
        <w:t xml:space="preserve">I.2 Il disegno del dimensionamento</w:t>
      </w:r>
    </w:p>
    <w:p>
      <w:pPr>
        <w:pStyle w:val="FirstParagraph"/>
      </w:pPr>
      <w:r>
        <w:t xml:space="preserve">Il servizio, già attivo in tutte le dodici Aziende Sanitarie Locali, non è dispiegato da zero ma dimensionato progressivamente: la copertura, oggi dell’ordine del 5% del fabbisogno, è accresciuta per fasi semestrali verso il regime, a partire dalle aziende di maggiore prontezza, secondo un ordine definito dalla Giunta su criteri trasparenti e con il coordinamento unitario della Regione.</w:t>
      </w:r>
      <w:r>
        <w:rPr>
          <w:rStyle w:val="FootnoteReference"/>
        </w:rPr>
        <w:footnoteReference w:id="1345"/>
      </w:r>
      <w:r>
        <w:t xml:space="preserve"> </w:t>
      </w:r>
      <w:r>
        <w:t xml:space="preserve">Questo disegno assolve una doppia funzione: organizzativa, perché consente un incremento graduale compatibile con i tempi del reclutamento e della formazione; e valutativa, perché, insieme al confronto prima-dopo l’attivazione del 2023, l’eterogeneità dell’intensità di copertura tra le aziende fonda la valutazione controfattuale d’impatto della Parte L.</w:t>
      </w:r>
      <w:r>
        <w:rPr>
          <w:rStyle w:val="FootnoteReference"/>
        </w:rPr>
        <w:footnoteReference w:id="1346"/>
      </w:r>
      <w:r>
        <w:t xml:space="preserve"> </w:t>
      </w:r>
      <w:r>
        <w:t xml:space="preserve">Il reclutamento, a fronte di un fabbisogno di circa 920 psicologi, avviene tramite elenco aziendale e rapporto convenzionale, valorizzando in prima applicazione i professionisti già operanti nel servizio attivo, oggi con incarichi libero-professionali.</w:t>
      </w:r>
      <w:r>
        <w:rPr>
          <w:rStyle w:val="FootnoteReference"/>
        </w:rPr>
        <w:footnoteReference w:id="1347"/>
      </w:r>
      <w:r>
        <w:t xml:space="preserve"> </w:t>
      </w:r>
      <w:r>
        <w:t xml:space="preserve">Il cronoprogramma procede per fasi semestrali, con il monitoraggio che accompagna l’intero arco e prosegue oltre il raggiungimento del regime.</w:t>
      </w:r>
      <w:r>
        <w:rPr>
          <w:rStyle w:val="FootnoteReference"/>
        </w:rPr>
        <w:footnoteReference w:id="1348"/>
      </w:r>
      <w:r>
        <w:t xml:space="preserve"> </w:t>
      </w:r>
      <w:r>
        <w:t xml:space="preserve">Tra i parametri che muterebbero le conclusioni figura un tasso di recupero inferiore al 50% in fase di dimensionamento, che il monitoraggio è chiamato a verificare sui dati regionali già disponibili.</w:t>
      </w:r>
      <w:r>
        <w:rPr>
          <w:rStyle w:val="FootnoteReference"/>
        </w:rPr>
        <w:footnoteReference w:id="1349"/>
      </w:r>
      <w:r>
        <w:t xml:space="preserve"> </w:t>
      </w:r>
      <w:r>
        <w:t xml:space="preserve">La tabella seguente espone le fasi.</w:t>
      </w:r>
    </w:p>
    <w:tbl>
      <w:tblPr>
        <w:tblStyle w:val="Table"/>
        <w:tblW w:type="pct" w:w="495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332"/>
        <w:gridCol w:w="651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 del dimensionamento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Fase 1 (primo semestre)</w:t>
            </w:r>
          </w:p>
        </w:tc>
        <w:tc>
          <w:tcPr/>
          <w:p>
            <w:pPr>
              <w:pStyle w:val="Compact"/>
              <w:spacing w:after="40" w:before="40"/>
              <w:jc w:val="left"/>
            </w:pPr>
            <w:r>
              <w:rPr>
                <w:rFonts w:ascii="Cambria" w:hAnsi="Cambria" w:cs="Cambria" w:eastAsia="Cambria"/>
                <w:color w:val="1A1A1A"/>
                <w:sz w:val="18"/>
              </w:rPr>
              <w:t xml:space="preserve">Stabilizzazione del servizio esistente e dimensionamento iniziale nelle Aziende Sanitarie Locali di maggiore prontezza; conversione degli incarichi in rapporto convenzionale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Fasi successive (semestri)</w:t>
            </w:r>
          </w:p>
        </w:tc>
        <w:tc>
          <w:tcPr>
            <w:shd w:val="clear" w:color="auto" w:fill="F4F1EC"/>
          </w:tcPr>
          <w:p>
            <w:pPr>
              <w:pStyle w:val="Compact"/>
              <w:spacing w:after="40" w:before="40"/>
              <w:jc w:val="left"/>
            </w:pPr>
            <w:r>
              <w:rPr>
                <w:rFonts w:ascii="Cambria" w:hAnsi="Cambria" w:cs="Cambria" w:eastAsia="Cambria"/>
                <w:color w:val="1A1A1A"/>
                <w:sz w:val="18"/>
              </w:rPr>
              <w:t xml:space="preserve">Incremento progressivo della copertura in tutte le Aziende Sanitarie Locali verso il fabbisogno</w:t>
            </w:r>
          </w:p>
        </w:tc>
      </w:tr>
      <w:tr>
        <w:tc>
          <w:tcPr/>
          <w:p>
            <w:pPr>
              <w:pStyle w:val="Compact"/>
              <w:spacing w:after="40" w:before="40"/>
              <w:jc w:val="left"/>
            </w:pPr>
            <w:r>
              <w:rPr>
                <w:rFonts w:ascii="Cambria" w:hAnsi="Cambria" w:cs="Cambria" w:eastAsia="Cambria"/>
                <w:b/>
                <w:bCs/>
                <w:color w:val="1A1A1A"/>
                <w:sz w:val="18"/>
              </w:rPr>
              <w:t xml:space="preserve">Fase finale (regime)</w:t>
            </w:r>
          </w:p>
        </w:tc>
        <w:tc>
          <w:tcPr/>
          <w:p>
            <w:pPr>
              <w:pStyle w:val="Compact"/>
              <w:spacing w:after="40" w:before="40"/>
              <w:jc w:val="left"/>
            </w:pPr>
            <w:r>
              <w:rPr>
                <w:rFonts w:ascii="Cambria" w:hAnsi="Cambria" w:cs="Cambria" w:eastAsia="Cambria"/>
                <w:color w:val="1A1A1A"/>
                <w:sz w:val="18"/>
              </w:rPr>
              <w:t xml:space="preserve">Copertura piena del fabbisogno regionale (~920 psicologi)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 trasversale</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che proseguono oltre il raggiungimento del regime</w:t>
            </w:r>
          </w:p>
        </w:tc>
      </w:tr>
    </w:tbl>
    <w:p>
      <w:pPr>
        <w:pStyle w:val="BodyText"/>
      </w:pPr>
      <w:r>
        <w:rPr>
          <w:i/>
          <w:iCs/>
        </w:rPr>
        <w:t xml:space="preserve">Tabella I.2. Le fasi del dimensionamento progressivo del servizio già attivo nelle dodici Aziende Sanitarie Locali.</w:t>
      </w:r>
    </w:p>
    <w:bookmarkEnd w:id="313"/>
    <w:bookmarkStart w:id="315" w:name="X6404a2355440db8b5befa01f4e3011234d76728"/>
    <w:p>
      <w:pPr>
        <w:pStyle w:val="Heading3"/>
      </w:pPr>
      <w:r>
        <w:t xml:space="preserve">I.3 Il caso commerciale: il modello contrattuale e la tariffa</w:t>
      </w:r>
    </w:p>
    <w:p>
      <w:pPr>
        <w:pStyle w:val="FirstParagraph"/>
      </w:pPr>
      <w:r>
        <w:t xml:space="preserve">Il caso commerciale riguarda la fattibilità dell’assetto contrattuale. Esso poggia su un rapporto convenzionale ancorato all’accordo della specialistica ambulatoriale, da cui discende un costo medio per incarico dell’ordine di 55.000 euro l’anno e i tre scenari di spesa — 26, 38 e 51 milioni — già esposti nella Parte E. Il nodo specifico del Piemonte è il passaggio dagli attuali incarichi libero-professionali, precari, a un rapporto convenzionale stabile, analogo a quello dei medici di medicina generale, come richiesto dalle rappresentanze professionali; il modello non richiede la creazione di nuove figure e può muovere dalla base già operante.</w:t>
      </w:r>
      <w:r>
        <w:rPr>
          <w:rStyle w:val="FootnoteReference"/>
        </w:rPr>
        <w:footnoteReference w:id="1350"/>
      </w:r>
    </w:p>
    <w:bookmarkEnd w:id="315"/>
    <w:bookmarkStart w:id="4198" w:name="X130107c9462066dbe2fba43b89d8cb34382bcd3"/>
    <w:p>
      <w:pPr>
        <w:pStyle w:val="Heading3"/>
      </w:pPr>
      <w:r>
        <w:t xml:space="preserve">I.4 Il caso gestionale: la governance e i rischi</w:t>
      </w:r>
    </w:p>
    <w:p>
      <w:pPr>
        <w:pStyle w:val="FirstParagraph"/>
      </w:pPr>
      <w:r>
        <w:t xml:space="preserve">Il caso gestionale riguarda la governance e i rischi. L’attuazione è governata su due livelli: a livello regionale, un comitato di indirizzo esercita le funzioni di indirizzo, programmazione, monitoraggio e controllo, riunendo la Regione, le Aziende Sanitarie Locali, le Aziende Ospedaliero-Universitarie e Ospedaliere, l’Ordine degli Psicologi del Piemonte, la medicina generale, la pediatria di libera scelta e le università regionali, eventualmente affiancato da una cabina di regia; a livello aziendale, ciascuna Azienda Sanitaria Locale è responsabile dell’attuazione nel proprio ambito, secondo l’indirizzo unitario della Regione.</w:t>
      </w:r>
      <w:r>
        <w:rPr>
          <w:rStyle w:val="FootnoteReference"/>
        </w:rPr>
        <w:footnoteReference w:id="1351"/>
      </w:r>
      <w:r>
        <w:t xml:space="preserve"> </w:t>
      </w:r>
      <w:r>
        <w:t xml:space="preserve">Il rischio più specifico del Piemonte è la precarietà del servizio attuale, affidato a incarichi dipendenti da rifinanziamenti annuali; ad esso si aggiungono il reclutamento insufficiente, la debole adesione della medicina generale, l’interoperabilità incompleta e la disomogeneità tra le aziende. La principale misura di mitigazione è l’istituzionalizzazione per legge, e il dimensionamento graduale consente di osservare e correggere.</w:t>
      </w:r>
      <w:r>
        <w:rPr>
          <w:rStyle w:val="FootnoteReference"/>
        </w:rPr>
        <w:footnoteReference w:id="1352"/>
      </w:r>
      <w:r>
        <w:t xml:space="preserve"> </w:t>
      </w:r>
      <w:r>
        <w:t xml:space="preserve">La tabella seguente riepiloga rischi e misure.</w:t>
      </w:r>
    </w:p>
    <w:tbl>
      <w:tblPr>
        <w:tblStyle w:val="Table"/>
        <w:tblW w:type="pct" w:w="494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25"/>
        <w:gridCol w:w="2920"/>
        <w:gridCol w:w="318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w:t>
            </w:r>
          </w:p>
        </w:tc>
        <w:tc>
          <w:tcPr>
            <w:shd w:val="clear" w:color="auto" w:fill="16264B"/>
          </w:tcPr>
          <w:p>
            <w:pPr>
              <w:pStyle w:val="Compact"/>
              <w:spacing w:after="40" w:before="40"/>
              <w:jc w:val="left"/>
            </w:pPr>
            <w:r>
              <w:rPr>
                <w:rFonts w:ascii="Cambria" w:hAnsi="Cambria" w:cs="Cambria" w:eastAsia="Cambria"/>
                <w:b/>
                <w:bCs/>
                <w:color w:val="FFFFFF"/>
                <w:sz w:val="18"/>
              </w:rPr>
              <w:t xml:space="preserve">Misura di mitigazione</w:t>
            </w:r>
          </w:p>
        </w:tc>
      </w:tr>
      <w:tr>
        <w:tc>
          <w:tcPr/>
          <w:p>
            <w:pPr>
              <w:pStyle w:val="Compact"/>
              <w:spacing w:after="40" w:before="40"/>
              <w:jc w:val="left"/>
            </w:pPr>
            <w:r>
              <w:rPr>
                <w:rFonts w:ascii="Cambria" w:hAnsi="Cambria" w:cs="Cambria" w:eastAsia="Cambria"/>
                <w:b/>
                <w:bCs/>
                <w:color w:val="1A1A1A"/>
                <w:sz w:val="18"/>
              </w:rPr>
              <w:t xml:space="preserve">Precarietà del servizio attuale</w:t>
            </w:r>
          </w:p>
        </w:tc>
        <w:tc>
          <w:tcPr/>
          <w:p>
            <w:pPr>
              <w:pStyle w:val="Compact"/>
              <w:spacing w:after="40" w:before="40"/>
              <w:jc w:val="left"/>
            </w:pPr>
            <w:r>
              <w:rPr>
                <w:rFonts w:ascii="Cambria" w:hAnsi="Cambria" w:cs="Cambria" w:eastAsia="Cambria"/>
                <w:color w:val="1A1A1A"/>
                <w:sz w:val="18"/>
              </w:rPr>
              <w:t xml:space="preserve">Base libero-professionale dipendente da rifinanziamenti annuali</w:t>
            </w:r>
          </w:p>
        </w:tc>
        <w:tc>
          <w:tcPr/>
          <w:p>
            <w:pPr>
              <w:pStyle w:val="Compact"/>
              <w:spacing w:after="40" w:before="40"/>
              <w:jc w:val="left"/>
            </w:pPr>
            <w:r>
              <w:rPr>
                <w:rFonts w:ascii="Cambria" w:hAnsi="Cambria" w:cs="Cambria" w:eastAsia="Cambria"/>
                <w:color w:val="1A1A1A"/>
                <w:sz w:val="18"/>
              </w:rPr>
              <w:t xml:space="preserve">Istituzionalizzazione per legge; rapporto convenzionale stabile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Reclutamento insufficiente</w:t>
            </w:r>
          </w:p>
        </w:tc>
        <w:tc>
          <w:tcPr>
            <w:shd w:val="clear" w:color="auto" w:fill="F4F1EC"/>
          </w:tcPr>
          <w:p>
            <w:pPr>
              <w:pStyle w:val="Compact"/>
              <w:spacing w:after="40" w:before="40"/>
              <w:jc w:val="left"/>
            </w:pPr>
            <w:r>
              <w:rPr>
                <w:rFonts w:ascii="Cambria" w:hAnsi="Cambria" w:cs="Cambria" w:eastAsia="Cambria"/>
                <w:color w:val="1A1A1A"/>
                <w:sz w:val="18"/>
              </w:rPr>
              <w:t xml:space="preserve">Carenza di psicologi formati</w:t>
            </w:r>
          </w:p>
        </w:tc>
        <w:tc>
          <w:tcPr>
            <w:shd w:val="clear" w:color="auto" w:fill="F4F1EC"/>
          </w:tcPr>
          <w:p>
            <w:pPr>
              <w:pStyle w:val="Compact"/>
              <w:spacing w:after="40" w:before="40"/>
              <w:jc w:val="left"/>
            </w:pPr>
            <w:r>
              <w:rPr>
                <w:rFonts w:ascii="Cambria" w:hAnsi="Cambria" w:cs="Cambria" w:eastAsia="Cambria"/>
                <w:color w:val="1A1A1A"/>
                <w:sz w:val="18"/>
              </w:rPr>
              <w:t xml:space="preserve">Dimensionamento graduale; formazione anticipata</w:t>
            </w:r>
          </w:p>
        </w:tc>
      </w:tr>
      <w:tr>
        <w:tc>
          <w:tcPr/>
          <w:p>
            <w:pPr>
              <w:pStyle w:val="Compact"/>
              <w:spacing w:after="40" w:before="40"/>
              <w:jc w:val="left"/>
            </w:pPr>
            <w:r>
              <w:rPr>
                <w:rFonts w:ascii="Cambria" w:hAnsi="Cambria" w:cs="Cambria" w:eastAsia="Cambria"/>
                <w:b/>
                <w:bCs/>
                <w:color w:val="1A1A1A"/>
                <w:sz w:val="18"/>
              </w:rPr>
              <w:t xml:space="preserve">Adesione della medicina generale</w:t>
            </w:r>
          </w:p>
        </w:tc>
        <w:tc>
          <w:tcPr/>
          <w:p>
            <w:pPr>
              <w:pStyle w:val="Compact"/>
              <w:spacing w:after="40" w:before="40"/>
              <w:jc w:val="left"/>
            </w:pPr>
            <w:r>
              <w:rPr>
                <w:rFonts w:ascii="Cambria" w:hAnsi="Cambria" w:cs="Cambria" w:eastAsia="Cambria"/>
                <w:color w:val="1A1A1A"/>
                <w:sz w:val="18"/>
              </w:rPr>
              <w:t xml:space="preserve">Integrazione debole nel percorso</w:t>
            </w:r>
          </w:p>
        </w:tc>
        <w:tc>
          <w:tcPr/>
          <w:p>
            <w:pPr>
              <w:pStyle w:val="Compact"/>
              <w:spacing w:after="40" w:before="40"/>
              <w:jc w:val="left"/>
            </w:pPr>
            <w:r>
              <w:rPr>
                <w:rFonts w:ascii="Cambria" w:hAnsi="Cambria" w:cs="Cambria" w:eastAsia="Cambria"/>
                <w:color w:val="1A1A1A"/>
                <w:sz w:val="18"/>
              </w:rPr>
              <w:t xml:space="preserve">Protocolli di invio; formazione congiunta; governance condivisa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Sistemi informativi</w:t>
            </w:r>
          </w:p>
        </w:tc>
        <w:tc>
          <w:tcPr>
            <w:shd w:val="clear" w:color="auto" w:fill="F4F1EC"/>
          </w:tcPr>
          <w:p>
            <w:pPr>
              <w:pStyle w:val="Compact"/>
              <w:spacing w:after="40" w:before="40"/>
              <w:jc w:val="left"/>
            </w:pPr>
            <w:r>
              <w:rPr>
                <w:rFonts w:ascii="Cambria" w:hAnsi="Cambria" w:cs="Cambria" w:eastAsia="Cambria"/>
                <w:color w:val="1A1A1A"/>
                <w:sz w:val="18"/>
              </w:rPr>
              <w:t xml:space="preserve">Interoperabilità incompleta</w:t>
            </w:r>
          </w:p>
        </w:tc>
        <w:tc>
          <w:tcPr>
            <w:shd w:val="clear" w:color="auto" w:fill="F4F1EC"/>
          </w:tcPr>
          <w:p>
            <w:pPr>
              <w:pStyle w:val="Compact"/>
              <w:spacing w:after="40" w:before="40"/>
              <w:jc w:val="left"/>
            </w:pPr>
            <w:r>
              <w:rPr>
                <w:rFonts w:ascii="Cambria" w:hAnsi="Cambria" w:cs="Cambria" w:eastAsia="Cambria"/>
                <w:color w:val="1A1A1A"/>
                <w:sz w:val="18"/>
              </w:rPr>
              <w:t xml:space="preserve">Cartella interoperabile; standard nazionali; infrastruttura regionale</w:t>
            </w:r>
          </w:p>
        </w:tc>
      </w:tr>
      <w:tr>
        <w:tc>
          <w:tcPr/>
          <w:p>
            <w:pPr>
              <w:pStyle w:val="Compact"/>
              <w:spacing w:after="40" w:before="40"/>
              <w:jc w:val="left"/>
            </w:pPr>
            <w:r>
              <w:rPr>
                <w:rFonts w:ascii="Cambria" w:hAnsi="Cambria" w:cs="Cambria" w:eastAsia="Cambria"/>
                <w:b/>
                <w:bCs/>
                <w:color w:val="1A1A1A"/>
                <w:sz w:val="18"/>
              </w:rPr>
              <w:t xml:space="preserve">Disomogeneità tra le ASL</w:t>
            </w:r>
          </w:p>
        </w:tc>
        <w:tc>
          <w:tcPr/>
          <w:p>
            <w:pPr>
              <w:pStyle w:val="Compact"/>
              <w:spacing w:after="40" w:before="40"/>
              <w:jc w:val="left"/>
            </w:pPr>
            <w:r>
              <w:rPr>
                <w:rFonts w:ascii="Cambria" w:hAnsi="Cambria" w:cs="Cambria" w:eastAsia="Cambria"/>
                <w:color w:val="1A1A1A"/>
                <w:sz w:val="18"/>
              </w:rPr>
              <w:t xml:space="preserve">Copertura diseguale per effetto della quota capitaria</w:t>
            </w:r>
          </w:p>
        </w:tc>
        <w:tc>
          <w:tcPr/>
          <w:p>
            <w:pPr>
              <w:pStyle w:val="Compact"/>
              <w:spacing w:after="40" w:before="40"/>
              <w:jc w:val="left"/>
            </w:pPr>
            <w:r>
              <w:rPr>
                <w:rFonts w:ascii="Cambria" w:hAnsi="Cambria" w:cs="Cambria" w:eastAsia="Cambria"/>
                <w:color w:val="1A1A1A"/>
                <w:sz w:val="18"/>
              </w:rPr>
              <w:t xml:space="preserve">Algoritmo allocativo; indirizzo regionale; monitoraggio per area</w:t>
            </w:r>
          </w:p>
        </w:tc>
      </w:tr>
    </w:tbl>
    <w:p>
      <w:pPr>
        <w:pStyle w:val="BodyText"/>
      </w:pPr>
      <w:r>
        <w:rPr>
          <w:i/>
          <w:iCs/>
        </w:rPr>
        <w:t xml:space="preserve">Tabella I.3. I rischi attuativi e le relative misure di mitigazione.</w:t>
      </w:r>
    </w:p>
    <w:bookmarkEnd w:id="4198"/>
    <w:bookmarkStart w:id="323" w:name="X30d2b224747697d5242ee706779055a61ea773d"/>
    <w:p>
      <w:pPr>
        <w:pStyle w:val="Heading3"/>
      </w:pPr>
      <w:r>
        <w:t xml:space="preserve">I.5 La sostenibilità finanziaria e le coperture</w:t>
      </w:r>
    </w:p>
    <w:p>
      <w:pPr>
        <w:pStyle w:val="FirstParagraph"/>
      </w:pPr>
      <w:r>
        <w:t xml:space="preserve">Il caso finanziario riguarda le coperture e la sostenibilità. Le fonti comprendono il finanziamento ordinario del Servizio sanitario regionale, dell’ordine di 9,5 miliardi di euro, di cui una quota è già destinata al servizio attivo, la Missione 6 del Piano Nazionale di Ripresa e Resilienza per l’infrastruttura territoriale e digitale, e un eventuale fondo statale a sostegno dei livelli essenziali.</w:t>
      </w:r>
      <w:r>
        <w:rPr>
          <w:rStyle w:val="FootnoteReference"/>
        </w:rPr>
        <w:footnoteReference w:id="1353"/>
      </w:r>
      <w:r>
        <w:t xml:space="preserve"> </w:t>
      </w:r>
      <w:r>
        <w:t xml:space="preserve">Il vincolo di bilancio richiede prudenza: il Piemonte opera sotto pressione finanziaria, pur non essendo in piano di rientro, ma il costo del servizio, anche a massima copertura, costituisce una frazione dell’ordine di mezzo punto percentuale del finanziamento, ed essendone già a bilancio una quota, l’investimento incrementale è quello necessario a colmare il divario verso il fabbisogno.</w:t>
      </w:r>
      <w:r>
        <w:rPr>
          <w:rStyle w:val="FootnoteReference"/>
        </w:rPr>
        <w:footnoteReference w:id="1354"/>
      </w:r>
      <w:r>
        <w:t xml:space="preserve"> </w:t>
      </w:r>
      <w:r>
        <w:t xml:space="preserve">Nel lungo periodo, la leva decisiva della sostenibilità è l’istituzionalizzazione per legge, che sottrarrebbe il servizio alla precarietà dei rifinanziamenti annuali, cui si aggiungono la modestia del costo, il forte ritorno sociale e le economie di scala del coordinamento regionale.</w:t>
      </w:r>
      <w:r>
        <w:rPr>
          <w:rStyle w:val="FootnoteReference"/>
        </w:rPr>
        <w:footnoteReference w:id="1355"/>
      </w:r>
      <w:r>
        <w:t xml:space="preserve"> </w:t>
      </w:r>
      <w:r>
        <w:t xml:space="preserve">Resta ferma la cautela metodologica già dichiarata: i risultati italiani provengono in parte da letteratura grigia e i benchmark esteri richiedono adattamento, sicché la verifica empirica sui dati regionali, prevista dalla Parte L, è chiamata a sostituire progressivamente le stime con misure osservate.</w:t>
      </w:r>
      <w:r>
        <w:rPr>
          <w:rStyle w:val="FootnoteReference"/>
        </w:rPr>
        <w:footnoteReference w:id="1356"/>
      </w:r>
      <w:r>
        <w:t xml:space="preserve"> </w:t>
      </w:r>
      <w:r>
        <w:t xml:space="preserve">Dimostrate l’attuabilità e la sostenibilità, la parte che segue definisce il sistema di monitoraggio e di valutazione ex post.</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L</w:t>
      </w:r>
    </w:p>
    <w:p>
      <w:pPr>
        <w:pStyle w:val="BodyText"/>
      </w:pPr>
      <w:r>
        <w:rPr>
          <w:b/>
          <w:bCs/>
        </w:rPr>
        <w:t xml:space="preserve">Monitoraggio, valutazione ed ex post</w:t>
      </w:r>
    </w:p>
    <w:p>
      <w:pPr>
        <w:pStyle w:val="BodyText"/>
      </w:pPr>
      <w:r>
        <w:rPr>
          <w:i/>
          <w:iCs/>
        </w:rPr>
        <w:t xml:space="preserve">Sistema di indicatori, protocollo e baseline, valutazione controfattuale, verifica ex post, indicatori compositi</w:t>
      </w:r>
    </w:p>
    <w:p>
      <w:pPr>
        <w:pStyle w:val="BodyText"/>
      </w:pPr>
      <w:r>
        <w:t xml:space="preserve">Verifica ex post · esperimento naturale e clausola valutativa · fondamento empirico delle stime</w:t>
      </w:r>
    </w:p>
    <w:bookmarkEnd w:id="323"/>
    <w:bookmarkEnd w:id="4196"/>
    <w:bookmarkStart w:id="367" w:name="Xb7d2e82f6a7bf182c9d453d1d958e90f51042b8"/>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1357"/>
      </w:r>
      <w:r>
        <w:rPr>
          <w:rStyle w:val="FootnoteReference"/>
        </w:rPr>
        <w:footnoteReference w:id="1358"/>
      </w:r>
      <w:r>
        <w:rPr>
          <w:rStyle w:val="FootnoteReference"/>
        </w:rPr>
        <w:footnoteReference w:id="1359"/>
      </w:r>
      <w:r>
        <w:rPr>
          <w:rStyle w:val="FootnoteReference"/>
        </w:rPr>
        <w:footnoteReference w:id="1360"/>
      </w:r>
      <w:r>
        <w:rPr>
          <w:rStyle w:val="FootnoteReference"/>
        </w:rPr>
        <w:footnoteReference w:id="1361"/>
      </w:r>
      <w:r>
        <w:rPr>
          <w:rStyle w:val="FootnoteReference"/>
        </w:rPr>
        <w:footnoteReference w:id="1362"/>
      </w:r>
      <w:r>
        <w:rPr>
          <w:rStyle w:val="FootnoteReference"/>
        </w:rPr>
        <w:footnoteReference w:id="1363"/>
      </w:r>
      <w:r>
        <w:rPr>
          <w:rStyle w:val="FootnoteReference"/>
        </w:rPr>
        <w:footnoteReference w:id="1364"/>
      </w:r>
      <w:r>
        <w:rPr>
          <w:rStyle w:val="FootnoteReference"/>
        </w:rPr>
        <w:footnoteReference w:id="1365"/>
      </w:r>
      <w:r>
        <w:rPr>
          <w:rStyle w:val="FootnoteReference"/>
        </w:rPr>
        <w:footnoteReference w:id="1366"/>
      </w:r>
      <w:r>
        <w:rPr>
          <w:rStyle w:val="FootnoteReference"/>
        </w:rPr>
        <w:footnoteReference w:id="1367"/>
      </w:r>
      <w:r>
        <w:rPr>
          <w:rStyle w:val="FootnoteReference"/>
        </w:rPr>
        <w:footnoteReference w:id="1368"/>
      </w:r>
      <w:r>
        <w:rPr>
          <w:rStyle w:val="FootnoteReference"/>
        </w:rPr>
        <w:footnoteReference w:id="1369"/>
      </w:r>
      <w:r>
        <w:rPr>
          <w:rStyle w:val="FootnoteReference"/>
        </w:rPr>
        <w:footnoteReference w:id="1370"/>
      </w:r>
      <w:r>
        <w:rPr>
          <w:rStyle w:val="FootnoteReference"/>
        </w:rPr>
        <w:footnoteReference w:id="1371"/>
      </w:r>
      <w:r>
        <w:rPr>
          <w:rStyle w:val="FootnoteReference"/>
        </w:rPr>
        <w:footnoteReference w:id="1372"/>
      </w:r>
      <w:r>
        <w:rPr>
          <w:rStyle w:val="FootnoteReference"/>
        </w:rPr>
        <w:footnoteReference w:id="1373"/>
      </w:r>
      <w:r>
        <w:rPr>
          <w:rStyle w:val="FootnoteReference"/>
        </w:rPr>
        <w:footnoteReference w:id="1374"/>
      </w:r>
      <w:r>
        <w:rPr>
          <w:rStyle w:val="FootnoteReference"/>
        </w:rPr>
        <w:footnoteReference w:id="1375"/>
      </w:r>
      <w:r>
        <w:t xml:space="preserve"> </w:t>
      </w:r>
      <w:r>
        <w:t xml:space="preserve">Per il Piemonte vale una circostanza peculiare, che merita di essere enunciata: il servizio è già attivo e ha prodotto i primi dati di esito, sicché la misurazione non è da avviare da zero ma da strutturare e completare, e il confronto prima-dopo l’attivazione del 2023, insieme all’eterogeneità dell’intensità di copertura tra le dodici Aziende Sanitarie Locali, offre il fondamento dell’esperimento naturale. Le parti seguenti definiscono gli strumenti: il sistema di indicatori (capitolo L.1), il protocollo che li alimenta e la baseline (L.2), la valutazione controfattuale che ne trae prove causali (L.3), la verifica ex post della norma (L.4) e gli indicatori compositi che ne sintetizzano i risultati nel cruscotto (L.5).</w:t>
      </w:r>
    </w:p>
    <w:bookmarkStart w:id="348" w:name="l.1-il-sistema-di-indicatori"/>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1376"/>
      </w:r>
      <w:r>
        <w:t xml:space="preserve"> </w:t>
      </w:r>
      <w:r>
        <w:t xml:space="preserve">Su questa ossatura si dispone una batteria di circa cinquantotto misure, articolate in otto categorie, delle quali una parte è già ricavabile dalle statistiche correnti e dai dati del servizio attivo, e circa quaranta richiedono la rilevazione diretta strutturata.</w:t>
      </w:r>
      <w:r>
        <w:rPr>
          <w:rStyle w:val="FootnoteReference"/>
        </w:rPr>
        <w:footnoteReference w:id="1377"/>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1378"/>
      </w:r>
      <w:r>
        <w:t xml:space="preserve"> </w:t>
      </w:r>
      <w:r>
        <w:t xml:space="preserve">Misurare molto non equivale a misurare bene. La tabella seguente riepiloga le otto categorie e lo stato della rispettiva baseline.</w:t>
      </w:r>
      <w:r>
        <w:rPr>
          <w:rStyle w:val="FootnoteReference"/>
        </w:rPr>
        <w:footnoteReference w:id="1379"/>
      </w:r>
    </w:p>
    <w:tbl>
      <w:tblPr>
        <w:tblStyle w:val="Table"/>
        <w:tblW w:type="pct" w:w="491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43"/>
        <w:gridCol w:w="4301"/>
        <w:gridCol w:w="16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Esempi di indicatori</w:t>
            </w:r>
          </w:p>
        </w:tc>
        <w:tc>
          <w:tcPr>
            <w:shd w:val="clear" w:color="auto" w:fill="16264B"/>
          </w:tcPr>
          <w:p>
            <w:pPr>
              <w:pStyle w:val="Compact"/>
              <w:spacing w:after="40" w:before="40"/>
              <w:jc w:val="left"/>
            </w:pPr>
            <w:r>
              <w:rPr>
                <w:rFonts w:ascii="Cambria" w:hAnsi="Cambria" w:cs="Cambria" w:eastAsia="Cambria"/>
                <w:b/>
                <w:bCs/>
                <w:color w:val="FFFFFF"/>
                <w:sz w:val="18"/>
              </w:rPr>
              <w:t xml:space="preserve">Baseline</w:t>
            </w:r>
          </w:p>
        </w:tc>
      </w:tr>
      <w:tr>
        <w:tc>
          <w:tcPr/>
          <w:p>
            <w:pPr>
              <w:pStyle w:val="Compact"/>
              <w:spacing w:after="40" w:before="40"/>
              <w:jc w:val="left"/>
            </w:pPr>
            <w:r>
              <w:rPr>
                <w:rFonts w:ascii="Cambria" w:hAnsi="Cambria" w:cs="Cambria" w:eastAsia="Cambria"/>
                <w:b/>
                <w:bCs/>
                <w:color w:val="1A1A1A"/>
                <w:sz w:val="18"/>
              </w:rPr>
              <w:t xml:space="preserve">Bisogno e domanda</w:t>
            </w:r>
          </w:p>
        </w:tc>
        <w:tc>
          <w:tcPr/>
          <w:p>
            <w:pPr>
              <w:pStyle w:val="Compact"/>
              <w:spacing w:after="40" w:before="40"/>
              <w:jc w:val="left"/>
            </w:pPr>
            <w:r>
              <w:rPr>
                <w:rFonts w:ascii="Cambria" w:hAnsi="Cambria" w:cs="Cambria" w:eastAsia="Cambria"/>
                <w:color w:val="1A1A1A"/>
                <w:sz w:val="18"/>
              </w:rPr>
              <w:t xml:space="preserve">Prevalenza del disagio, utenza dei servizi, accessi impropri</w:t>
            </w:r>
          </w:p>
        </w:tc>
        <w:tc>
          <w:tcPr/>
          <w:p>
            <w:pPr>
              <w:pStyle w:val="Compact"/>
              <w:spacing w:after="40" w:before="40"/>
              <w:jc w:val="left"/>
            </w:pPr>
            <w:r>
              <w:rPr>
                <w:rFonts w:ascii="Cambria" w:hAnsi="Cambria" w:cs="Cambria" w:eastAsia="Cambria"/>
                <w:color w:val="1A1A1A"/>
                <w:sz w:val="18"/>
              </w:rPr>
              <w:t xml:space="preserve">Disponibile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Accesso ed equità</w:t>
            </w:r>
          </w:p>
        </w:tc>
        <w:tc>
          <w:tcPr>
            <w:shd w:val="clear" w:color="auto" w:fill="F4F1EC"/>
          </w:tcPr>
          <w:p>
            <w:pPr>
              <w:pStyle w:val="Compact"/>
              <w:spacing w:after="40" w:before="40"/>
              <w:jc w:val="left"/>
            </w:pPr>
            <w:r>
              <w:rPr>
                <w:rFonts w:ascii="Cambria" w:hAnsi="Cambria" w:cs="Cambria" w:eastAsia="Cambria"/>
                <w:color w:val="1A1A1A"/>
                <w:sz w:val="18"/>
              </w:rPr>
              <w:t xml:space="preserve">Tempo di attesa, copertura, divari tra Aziende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Processo</w:t>
            </w:r>
          </w:p>
        </w:tc>
        <w:tc>
          <w:tcPr/>
          <w:p>
            <w:pPr>
              <w:pStyle w:val="Compact"/>
              <w:spacing w:after="40" w:before="40"/>
              <w:jc w:val="left"/>
            </w:pPr>
            <w:r>
              <w:rPr>
                <w:rFonts w:ascii="Cambria" w:hAnsi="Cambria" w:cs="Cambria" w:eastAsia="Cambria"/>
                <w:color w:val="1A1A1A"/>
                <w:sz w:val="18"/>
              </w:rPr>
              <w:t xml:space="preserve">Sedute erogate, cicli completati, abbandoni</w:t>
            </w:r>
          </w:p>
        </w:tc>
        <w:tc>
          <w:tcPr/>
          <w:p>
            <w:pPr>
              <w:pStyle w:val="Compact"/>
              <w:spacing w:after="40" w:before="40"/>
              <w:jc w:val="left"/>
            </w:pPr>
            <w:r>
              <w:rPr>
                <w:rFonts w:ascii="Cambria" w:hAnsi="Cambria" w:cs="Cambria" w:eastAsia="Cambria"/>
                <w:color w:val="1A1A1A"/>
                <w:sz w:val="18"/>
              </w:rPr>
              <w:t xml:space="preserve">Parziale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clinico</w:t>
            </w:r>
          </w:p>
        </w:tc>
        <w:tc>
          <w:tcPr>
            <w:shd w:val="clear" w:color="auto" w:fill="F4F1EC"/>
          </w:tcPr>
          <w:p>
            <w:pPr>
              <w:pStyle w:val="Compact"/>
              <w:spacing w:after="40" w:before="40"/>
              <w:jc w:val="left"/>
            </w:pPr>
            <w:r>
              <w:rPr>
                <w:rFonts w:ascii="Cambria" w:hAnsi="Cambria" w:cs="Cambria" w:eastAsia="Cambria"/>
                <w:color w:val="1A1A1A"/>
                <w:sz w:val="18"/>
              </w:rPr>
              <w:t xml:space="preserve">Recupero, miglioramento affidabile, mantenimento</w:t>
            </w:r>
          </w:p>
        </w:tc>
        <w:tc>
          <w:tcPr>
            <w:shd w:val="clear" w:color="auto" w:fill="F4F1EC"/>
          </w:tcPr>
          <w:p>
            <w:pPr>
              <w:pStyle w:val="Compact"/>
              <w:spacing w:after="40" w:before="40"/>
              <w:jc w:val="left"/>
            </w:pPr>
            <w:r>
              <w:rPr>
                <w:rFonts w:ascii="Cambria" w:hAnsi="Cambria" w:cs="Cambria" w:eastAsia="Cambria"/>
                <w:color w:val="1A1A1A"/>
                <w:sz w:val="18"/>
              </w:rPr>
              <w:t xml:space="preserve">Parziale</w:t>
            </w:r>
          </w:p>
        </w:tc>
      </w:tr>
      <w:tr>
        <w:tc>
          <w:tcPr/>
          <w:p>
            <w:pPr>
              <w:pStyle w:val="Compact"/>
              <w:spacing w:after="40" w:before="40"/>
              <w:jc w:val="left"/>
            </w:pPr>
            <w:r>
              <w:rPr>
                <w:rFonts w:ascii="Cambria" w:hAnsi="Cambria" w:cs="Cambria" w:eastAsia="Cambria"/>
                <w:b/>
                <w:bCs/>
                <w:color w:val="1A1A1A"/>
                <w:sz w:val="18"/>
              </w:rPr>
              <w:t xml:space="preserve">Economici</w:t>
            </w:r>
          </w:p>
        </w:tc>
        <w:tc>
          <w:tcPr/>
          <w:p>
            <w:pPr>
              <w:pStyle w:val="Compact"/>
              <w:spacing w:after="40" w:before="40"/>
              <w:jc w:val="left"/>
            </w:pPr>
            <w:r>
              <w:rPr>
                <w:rFonts w:ascii="Cambria" w:hAnsi="Cambria" w:cs="Cambria" w:eastAsia="Cambria"/>
                <w:color w:val="1A1A1A"/>
                <w:sz w:val="18"/>
              </w:rPr>
              <w:t xml:space="preserve">Risparmi per canale, costo per esito</w:t>
            </w:r>
          </w:p>
        </w:tc>
        <w:tc>
          <w:tcPr/>
          <w:p>
            <w:pPr>
              <w:pStyle w:val="Compact"/>
              <w:spacing w:after="40" w:before="40"/>
              <w:jc w:val="left"/>
            </w:pPr>
            <w:r>
              <w:rPr>
                <w:rFonts w:ascii="Cambria" w:hAnsi="Cambria" w:cs="Cambria" w:eastAsia="Cambria"/>
                <w:color w:val="1A1A1A"/>
                <w:sz w:val="18"/>
              </w:rPr>
              <w:t xml:space="preserve">Misto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sociale</w:t>
            </w:r>
          </w:p>
        </w:tc>
        <w:tc>
          <w:tcPr>
            <w:shd w:val="clear" w:color="auto" w:fill="F4F1EC"/>
          </w:tcPr>
          <w:p>
            <w:pPr>
              <w:pStyle w:val="Compact"/>
              <w:spacing w:after="40" w:before="40"/>
              <w:jc w:val="left"/>
            </w:pPr>
            <w:r>
              <w:rPr>
                <w:rFonts w:ascii="Cambria" w:hAnsi="Cambria" w:cs="Cambria" w:eastAsia="Cambria"/>
                <w:color w:val="1A1A1A"/>
                <w:sz w:val="18"/>
              </w:rPr>
              <w:t xml:space="preserve">Produttività, benessere, indicatori territoriali</w:t>
            </w:r>
          </w:p>
        </w:tc>
        <w:tc>
          <w:tcPr>
            <w:shd w:val="clear" w:color="auto" w:fill="F4F1EC"/>
          </w:tcPr>
          <w:p>
            <w:pPr>
              <w:pStyle w:val="Compact"/>
              <w:spacing w:after="40" w:before="40"/>
              <w:jc w:val="left"/>
            </w:pPr>
            <w:r>
              <w:rPr>
                <w:rFonts w:ascii="Cambria" w:hAnsi="Cambria" w:cs="Cambria" w:eastAsia="Cambria"/>
                <w:color w:val="1A1A1A"/>
                <w:sz w:val="18"/>
              </w:rPr>
              <w:t xml:space="preserve">Misto</w:t>
            </w:r>
          </w:p>
        </w:tc>
      </w:tr>
      <w:tr>
        <w:tc>
          <w:tcPr/>
          <w:p>
            <w:pPr>
              <w:pStyle w:val="Compact"/>
              <w:spacing w:after="40" w:before="40"/>
              <w:jc w:val="left"/>
            </w:pPr>
            <w:r>
              <w:rPr>
                <w:rFonts w:ascii="Cambria" w:hAnsi="Cambria" w:cs="Cambria" w:eastAsia="Cambria"/>
                <w:b/>
                <w:bCs/>
                <w:color w:val="1A1A1A"/>
                <w:sz w:val="18"/>
              </w:rPr>
              <w:t xml:space="preserve">Organizzativi</w:t>
            </w:r>
          </w:p>
        </w:tc>
        <w:tc>
          <w:tcPr/>
          <w:p>
            <w:pPr>
              <w:pStyle w:val="Compact"/>
              <w:spacing w:after="40" w:before="40"/>
              <w:jc w:val="left"/>
            </w:pPr>
            <w:r>
              <w:rPr>
                <w:rFonts w:ascii="Cambria" w:hAnsi="Cambria" w:cs="Cambria" w:eastAsia="Cambria"/>
                <w:color w:val="1A1A1A"/>
                <w:sz w:val="18"/>
              </w:rPr>
              <w:t xml:space="preserve">Reclutamento, formazione, fedeltà al modello</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Variabili di sintesi</w:t>
            </w:r>
          </w:p>
        </w:tc>
        <w:tc>
          <w:tcPr>
            <w:shd w:val="clear" w:color="auto" w:fill="F4F1EC"/>
          </w:tcPr>
          <w:p>
            <w:pPr>
              <w:pStyle w:val="Compact"/>
              <w:spacing w:after="40" w:before="40"/>
              <w:jc w:val="left"/>
            </w:pPr>
            <w:r>
              <w:rPr>
                <w:rFonts w:ascii="Cambria" w:hAnsi="Cambria" w:cs="Cambria" w:eastAsia="Cambria"/>
                <w:color w:val="1A1A1A"/>
                <w:sz w:val="18"/>
              </w:rPr>
              <w:t xml:space="preserve">Indici compositi di esito e di valore</w:t>
            </w:r>
          </w:p>
        </w:tc>
        <w:tc>
          <w:tcPr>
            <w:shd w:val="clear" w:color="auto" w:fill="F4F1EC"/>
          </w:tcPr>
          <w:p>
            <w:pPr>
              <w:pStyle w:val="Compact"/>
              <w:spacing w:after="40" w:before="40"/>
              <w:jc w:val="left"/>
            </w:pPr>
            <w:r>
              <w:rPr>
                <w:rFonts w:ascii="Cambria" w:hAnsi="Cambria" w:cs="Cambria" w:eastAsia="Cambria"/>
                <w:color w:val="1A1A1A"/>
                <w:sz w:val="18"/>
              </w:rPr>
              <w:t xml:space="preserve">Da calcolare</w:t>
            </w:r>
          </w:p>
        </w:tc>
      </w:tr>
    </w:tbl>
    <w:p>
      <w:pPr>
        <w:pStyle w:val="BodyText"/>
      </w:pPr>
      <w:r>
        <w:rPr>
          <w:i/>
          <w:iCs/>
        </w:rPr>
        <w:t xml:space="preserve">Tabella L.1. Le otto categorie di indicatori e lo stato della baseline. Il servizio già attivo fornisce una base parziale di dati di processo ed esito.</w:t>
      </w:r>
    </w:p>
    <w:bookmarkEnd w:id="348"/>
    <w:bookmarkStart w:id="4199" w:name="Xf16cc2596caab9a95dd41702da8c000d1a10434"/>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struttura e completa la misurazione già avviata.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1380"/>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1381"/>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1382"/>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cui in Piemonte si aggiunge, quale base preziosa per il confronto prima-dopo, il periodo anteriore all’attivazione del 2023; la rilevazione strutturata di servizio completa quella già avviata.</w:t>
      </w:r>
      <w:r>
        <w:rPr>
          <w:rStyle w:val="FootnoteReference"/>
        </w:rPr>
        <w:footnoteReference w:id="1383"/>
      </w:r>
      <w:r>
        <w:t xml:space="preserve"> </w:t>
      </w:r>
      <w:r>
        <w:t xml:space="preserve">Il calendario disciplina questa sequenza, dalla costituzione della baseline alla registrazione corrente, alla trasmissione mensile di indicatori aggregati al comitato di indirizzo regionale, fino al calcolo periodico delle misure di sintesi e all’aggiornamento del cruscotto.</w:t>
      </w:r>
      <w:r>
        <w:rPr>
          <w:rStyle w:val="FootnoteReference"/>
        </w:rPr>
        <w:footnoteReference w:id="1384"/>
      </w:r>
      <w:r>
        <w:t xml:space="preserve"> </w:t>
      </w:r>
      <w:r>
        <w:t xml:space="preserve">La tabella seguente lo riepiloga.</w:t>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9"/>
        <w:gridCol w:w="551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Momento</w:t>
            </w:r>
          </w:p>
        </w:tc>
        <w:tc>
          <w:tcPr>
            <w:shd w:val="clear" w:color="auto" w:fill="16264B"/>
          </w:tcPr>
          <w:p>
            <w:pPr>
              <w:pStyle w:val="Compact"/>
              <w:spacing w:after="40" w:before="40"/>
              <w:jc w:val="left"/>
            </w:pPr>
            <w:r>
              <w:rPr>
                <w:rFonts w:ascii="Cambria" w:hAnsi="Cambria" w:cs="Cambria" w:eastAsia="Cambria"/>
                <w:b/>
                <w:bCs/>
                <w:color w:val="FFFFFF"/>
                <w:sz w:val="18"/>
              </w:rPr>
              <w:t xml:space="preserve">Attività</w:t>
            </w:r>
          </w:p>
        </w:tc>
      </w:tr>
      <w:tr>
        <w:tc>
          <w:tcPr/>
          <w:p>
            <w:pPr>
              <w:pStyle w:val="Compact"/>
              <w:spacing w:after="40" w:before="40"/>
              <w:jc w:val="left"/>
            </w:pPr>
            <w:r>
              <w:rPr>
                <w:rFonts w:ascii="Cambria" w:hAnsi="Cambria" w:cs="Cambria" w:eastAsia="Cambria"/>
                <w:b/>
                <w:bCs/>
                <w:color w:val="1A1A1A"/>
                <w:sz w:val="18"/>
              </w:rPr>
              <w:t xml:space="preserve">Baseline (dati disponibili e periodo pre-2023)</w:t>
            </w:r>
          </w:p>
        </w:tc>
        <w:tc>
          <w:tcPr/>
          <w:p>
            <w:pPr>
              <w:pStyle w:val="Compact"/>
              <w:spacing w:after="40" w:before="40"/>
              <w:jc w:val="left"/>
            </w:pPr>
            <w:r>
              <w:rPr>
                <w:rFonts w:ascii="Cambria" w:hAnsi="Cambria" w:cs="Cambria" w:eastAsia="Cambria"/>
                <w:color w:val="1A1A1A"/>
                <w:sz w:val="18"/>
              </w:rPr>
              <w:t xml:space="preserve">Costituzione della fotografia di partenza; valorizzazione del periodo anteriore all’attivazione per il confronto prima-dopo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Rilevazione corrente</w:t>
            </w:r>
          </w:p>
        </w:tc>
        <w:tc>
          <w:tcPr>
            <w:shd w:val="clear" w:color="auto" w:fill="F4F1EC"/>
          </w:tcPr>
          <w:p>
            <w:pPr>
              <w:pStyle w:val="Compact"/>
              <w:spacing w:after="40" w:before="40"/>
              <w:jc w:val="left"/>
            </w:pPr>
            <w:r>
              <w:rPr>
                <w:rFonts w:ascii="Cambria" w:hAnsi="Cambria" w:cs="Cambria" w:eastAsia="Cambria"/>
                <w:color w:val="1A1A1A"/>
                <w:sz w:val="18"/>
              </w:rPr>
              <w:t xml:space="preserve">Registrazione strutturata di ogni presa in carico e di ogni seduta, con i punteggi di esito</w:t>
            </w:r>
          </w:p>
        </w:tc>
      </w:tr>
      <w:tr>
        <w:tc>
          <w:tcPr/>
          <w:p>
            <w:pPr>
              <w:pStyle w:val="Compact"/>
              <w:spacing w:after="40" w:before="40"/>
              <w:jc w:val="left"/>
            </w:pPr>
            <w:r>
              <w:rPr>
                <w:rFonts w:ascii="Cambria" w:hAnsi="Cambria" w:cs="Cambria" w:eastAsia="Cambria"/>
                <w:b/>
                <w:bCs/>
                <w:color w:val="1A1A1A"/>
                <w:sz w:val="18"/>
              </w:rPr>
              <w:t xml:space="preserve">In continuo</w:t>
            </w:r>
          </w:p>
        </w:tc>
        <w:tc>
          <w:tcPr/>
          <w:p>
            <w:pPr>
              <w:pStyle w:val="Compact"/>
              <w:spacing w:after="40" w:before="40"/>
              <w:jc w:val="left"/>
            </w:pPr>
            <w:r>
              <w:rPr>
                <w:rFonts w:ascii="Cambria" w:hAnsi="Cambria" w:cs="Cambria" w:eastAsia="Cambria"/>
                <w:color w:val="1A1A1A"/>
                <w:sz w:val="18"/>
              </w:rPr>
              <w:t xml:space="preserve">Alimentazione del registro; trasmissione di indicatori aggregati al comitato di indirizzo regionale con cadenza mensile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Periodico (semestrale e annuale)</w:t>
            </w:r>
          </w:p>
        </w:tc>
        <w:tc>
          <w:tcPr>
            <w:shd w:val="clear" w:color="auto" w:fill="F4F1EC"/>
          </w:tcPr>
          <w:p>
            <w:pPr>
              <w:pStyle w:val="Compact"/>
              <w:spacing w:after="40" w:before="40"/>
              <w:jc w:val="left"/>
            </w:pPr>
            <w:r>
              <w:rPr>
                <w:rFonts w:ascii="Cambria" w:hAnsi="Cambria" w:cs="Cambria" w:eastAsia="Cambria"/>
                <w:color w:val="1A1A1A"/>
                <w:sz w:val="18"/>
              </w:rPr>
              <w:t xml:space="preserve">Calcolo delle misure di sintesi e aggiornamento del cruscotto regionale</w:t>
            </w:r>
          </w:p>
        </w:tc>
      </w:tr>
    </w:tbl>
    <w:p>
      <w:pPr>
        <w:pStyle w:val="BodyText"/>
      </w:pPr>
      <w:r>
        <w:rPr>
          <w:i/>
          <w:iCs/>
        </w:rPr>
        <w:t xml:space="preserve">Tabella L.2. Il calendario della rilevazione. In Piemonte il periodo anteriore all</w:t>
      </w:r>
      <w:r>
        <w:rPr>
          <w:b/>
          <w:bCs/>
          <w:i/>
          <w:iCs/>
        </w:rPr>
        <w:t xml:space="preserve">’</w:t>
      </w:r>
      <w:r>
        <w:rPr>
          <w:i/>
          <w:iCs/>
        </w:rPr>
        <w:t xml:space="preserve">attivazione del 2023 funge da base per il confronto prima-dopo.</w:t>
      </w:r>
    </w:p>
    <w:bookmarkEnd w:id="4199"/>
    <w:bookmarkStart w:id="4200" w:name="l.3-la-valutazione-controfattuale"/>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Poiché il servizio è già attivo in tutte le Aziende Sanitarie Locali, lo strumento non è il dispiegamento scaglionato, ma il confronto prima-dopo l’attivazione del 2023 e l’eterogeneità dell’intensità di copertura tra le aziende, che insieme configurano un esperimento naturale idoneo a misurare gli effetti reali del servizio.</w:t>
      </w:r>
      <w:r>
        <w:rPr>
          <w:rStyle w:val="FootnoteReference"/>
        </w:rPr>
        <w:footnoteReference w:id="1385"/>
      </w:r>
      <w:r>
        <w:t xml:space="preserve"> </w:t>
      </w:r>
      <w:r>
        <w:t xml:space="preserve">Il metodo principale è la differenza-nelle-differenze, che confronta la variazione nel tempo dell’esito tra le Aziende a maggiore e a minore intensità di copertura, e prima e dopo l’attivazione, sotto l’ipotesi di andamento parallelo; a esso si affianca il controllo sintetico, che costruisce un’unità di confronto artificiale come combinazione ponderata di unità a copertura inferiore.</w:t>
      </w:r>
      <w:r>
        <w:rPr>
          <w:rStyle w:val="FootnoteReference"/>
        </w:rPr>
        <w:footnoteReference w:id="1386"/>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esperimento naturale sono, per gli interventi di salute della popolazione, lo strumento raccomandato dalla letteratura metodologica.</w:t>
      </w:r>
      <w:r>
        <w:rPr>
          <w:rStyle w:val="FootnoteReference"/>
        </w:rPr>
        <w:footnoteReference w:id="1387"/>
      </w:r>
      <w:r>
        <w:t xml:space="preserve"> </w:t>
      </w:r>
      <w:r>
        <w:t xml:space="preserve">La portata di questo metodo, per il presente studio, è dirimente: confrontando, ad esempio, l’andamento degli accessi al pronto soccorso per cause psichiatriche nelle Aziende a maggiore intensità di copertura con quello delle Aziende a copertura inferiore, e prima e dopo l’attivazione del 2023, si isola l’effetto proprio della riforma e si trasforma la stima dei risparmi da proiezione attesa a misura empiricamente fondata.</w:t>
      </w:r>
      <w:r>
        <w:rPr>
          <w:rStyle w:val="FootnoteReference"/>
        </w:rPr>
        <w:footnoteReference w:id="1388"/>
      </w:r>
      <w:r>
        <w:t xml:space="preserve"> </w:t>
      </w:r>
      <w:r>
        <w:t xml:space="preserve">È questo il passaggio che, a regime, eleva lo studio da proposta argomentata a politica validata, e che chiude il cerchio aperto dal valore dell’informazione della Parte F; il Piemonte, disponendo già di un servizio attivo, è nella posizione di compiere questa verifica prima delle altre regioni.</w:t>
      </w:r>
    </w:p>
    <w:bookmarkEnd w:id="4200"/>
    <w:bookmarkStart w:id="4201" w:name="l.4-la-verifica-ex-post-della-norma"/>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1389"/>
      </w:r>
      <w:r>
        <w:t xml:space="preserve"> </w:t>
      </w:r>
      <w:r>
        <w:t xml:space="preserve">A essa si lega, sul piano regionale, la clausola valutativa, che impegna la Giunta a riferire periodicamente al Consiglio regionale sui risultati conseguiti. La clausola è il passaggio che lega la misurazione tecnica alla responsabilità politica e alla trasparenza verso il legislatore regionale: i risultati non restano negli archivi amministrativi, ma sono portati periodicamente all’attenzione dell’organo che ha disposto il servizio, a presidio della rendicontazione democratica.</w:t>
      </w:r>
      <w:r>
        <w:rPr>
          <w:rStyle w:val="FootnoteReference"/>
        </w:rPr>
        <w:footnoteReference w:id="1390"/>
      </w:r>
    </w:p>
    <w:bookmarkEnd w:id="4201"/>
    <w:bookmarkStart w:id="366" w:name="Xe0dfd20653f663517ae164a20d84624daa4bf9f"/>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1391"/>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1392"/>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1393"/>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con il canale della mobilità recuperata in posizione marginale, data la sostanziale condizione di equilibrio del Piemonte. La tabella seguente ne riepiloga le dimensioni.</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27"/>
        <w:gridCol w:w="567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 sintesi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Guadagno di salute</w:t>
            </w:r>
          </w:p>
        </w:tc>
        <w:tc>
          <w:tcPr/>
          <w:p>
            <w:pPr>
              <w:pStyle w:val="Compact"/>
              <w:spacing w:after="40" w:before="40"/>
              <w:jc w:val="left"/>
            </w:pPr>
            <w:r>
              <w:rPr>
                <w:rFonts w:ascii="Cambria" w:hAnsi="Cambria" w:cs="Cambria" w:eastAsia="Cambria"/>
                <w:color w:val="1A1A1A"/>
                <w:sz w:val="18"/>
              </w:rPr>
              <w:t xml:space="preserve">Anni di vita ponderati per la qualità in salute mentale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Tasso di recupero</w:t>
            </w:r>
          </w:p>
        </w:tc>
        <w:tc>
          <w:tcPr>
            <w:shd w:val="clear" w:color="auto" w:fill="F4F1EC"/>
          </w:tcPr>
          <w:p>
            <w:pPr>
              <w:pStyle w:val="Compact"/>
              <w:spacing w:after="40" w:before="40"/>
              <w:jc w:val="left"/>
            </w:pPr>
            <w:r>
              <w:rPr>
                <w:rFonts w:ascii="Cambria" w:hAnsi="Cambria" w:cs="Cambria" w:eastAsia="Cambria"/>
                <w:color w:val="1A1A1A"/>
                <w:sz w:val="18"/>
              </w:rPr>
              <w:t xml:space="preserve">Miglioramento clinico e superamento delle soglie (PHQ-9, GAD-7)</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Valore sociale generato per euro investito (SROI)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 territoriale</w:t>
            </w:r>
          </w:p>
        </w:tc>
        <w:tc>
          <w:tcPr>
            <w:shd w:val="clear" w:color="auto" w:fill="F4F1EC"/>
          </w:tcPr>
          <w:p>
            <w:pPr>
              <w:pStyle w:val="Compact"/>
              <w:spacing w:after="40" w:before="40"/>
              <w:jc w:val="left"/>
            </w:pPr>
            <w:r>
              <w:rPr>
                <w:rFonts w:ascii="Cambria" w:hAnsi="Cambria" w:cs="Cambria" w:eastAsia="Cambria"/>
                <w:color w:val="1A1A1A"/>
                <w:sz w:val="18"/>
              </w:rPr>
              <w:t xml:space="preserve">Esito e accesso tra Aziende Sanitarie Locali e tra area metropolitana e aree interne e alpine</w:t>
            </w:r>
          </w:p>
        </w:tc>
      </w:tr>
      <w:tr>
        <w:tc>
          <w:tcPr/>
          <w:p>
            <w:pPr>
              <w:pStyle w:val="Compact"/>
              <w:spacing w:after="40" w:before="40"/>
              <w:jc w:val="left"/>
            </w:pPr>
            <w:r>
              <w:rPr>
                <w:rFonts w:ascii="Cambria" w:hAnsi="Cambria" w:cs="Cambria" w:eastAsia="Cambria"/>
                <w:b/>
                <w:bCs/>
                <w:color w:val="1A1A1A"/>
                <w:sz w:val="18"/>
              </w:rPr>
              <w:t xml:space="preserve">Liste di attesa</w:t>
            </w:r>
          </w:p>
        </w:tc>
        <w:tc>
          <w:tcPr/>
          <w:p>
            <w:pPr>
              <w:pStyle w:val="Compact"/>
              <w:spacing w:after="40" w:before="40"/>
              <w:jc w:val="left"/>
            </w:pPr>
            <w:r>
              <w:rPr>
                <w:rFonts w:ascii="Cambria" w:hAnsi="Cambria" w:cs="Cambria" w:eastAsia="Cambria"/>
                <w:color w:val="1A1A1A"/>
                <w:sz w:val="18"/>
              </w:rPr>
              <w:t xml:space="preserve">Riduzione dei tempi di attesa e tenuta dell’offerta territoriale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Indicatori di sistema</w:t>
            </w:r>
          </w:p>
        </w:tc>
        <w:tc>
          <w:tcPr>
            <w:shd w:val="clear" w:color="auto" w:fill="F4F1EC"/>
          </w:tcPr>
          <w:p>
            <w:pPr>
              <w:pStyle w:val="Compact"/>
              <w:spacing w:after="40" w:before="40"/>
              <w:jc w:val="left"/>
            </w:pPr>
            <w:r>
              <w:rPr>
                <w:rFonts w:ascii="Cambria" w:hAnsi="Cambria" w:cs="Cambria" w:eastAsia="Cambria"/>
                <w:color w:val="1A1A1A"/>
                <w:sz w:val="18"/>
              </w:rPr>
              <w:t xml:space="preserve">Esito, esperienza, costo e operatori (Quadruple Aim)</w:t>
            </w:r>
          </w:p>
        </w:tc>
      </w:tr>
    </w:tbl>
    <w:p>
      <w:pPr>
        <w:pStyle w:val="BodyText"/>
      </w:pPr>
      <w:r>
        <w:rPr>
          <w:i/>
          <w:iCs/>
        </w:rPr>
        <w:t xml:space="preserve">Tabella L.3. Le dimensioni di sintesi del cruscotto regionale piemontese.</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366"/>
    <w:bookmarkEnd w:id="367"/>
    <w:bookmarkStart w:id="403" w:name="Xf0b398cc7c471b876bc1e7c65c8b491954aa7ff"/>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1394"/>
      </w:r>
      <w:r>
        <w:rPr>
          <w:rStyle w:val="FootnoteReference"/>
        </w:rPr>
        <w:footnoteReference w:id="1395"/>
      </w:r>
      <w:r>
        <w:rPr>
          <w:rStyle w:val="FootnoteReference"/>
        </w:rPr>
        <w:footnoteReference w:id="1396"/>
      </w:r>
      <w:r>
        <w:rPr>
          <w:rStyle w:val="FootnoteReference"/>
        </w:rPr>
        <w:footnoteReference w:id="1397"/>
      </w:r>
      <w:r>
        <w:rPr>
          <w:rStyle w:val="FootnoteReference"/>
        </w:rPr>
        <w:footnoteReference w:id="1398"/>
      </w:r>
      <w:r>
        <w:rPr>
          <w:rStyle w:val="FootnoteReference"/>
        </w:rPr>
        <w:footnoteReference w:id="1399"/>
      </w:r>
      <w:r>
        <w:rPr>
          <w:rStyle w:val="FootnoteReference"/>
        </w:rPr>
        <w:footnoteReference w:id="1400"/>
      </w:r>
      <w:r>
        <w:rPr>
          <w:rStyle w:val="FootnoteReference"/>
        </w:rPr>
        <w:footnoteReference w:id="1401"/>
      </w:r>
      <w:r>
        <w:rPr>
          <w:rStyle w:val="FootnoteReference"/>
        </w:rPr>
        <w:footnoteReference w:id="1402"/>
      </w:r>
      <w:r>
        <w:rPr>
          <w:rStyle w:val="FootnoteReference"/>
        </w:rPr>
        <w:footnoteReference w:id="1403"/>
      </w:r>
      <w:r>
        <w:rPr>
          <w:rStyle w:val="FootnoteReference"/>
        </w:rPr>
        <w:footnoteReference w:id="1404"/>
      </w:r>
      <w:r>
        <w:rPr>
          <w:rStyle w:val="FootnoteReference"/>
        </w:rPr>
        <w:footnoteReference w:id="1405"/>
      </w:r>
      <w:r>
        <w:rPr>
          <w:rStyle w:val="FootnoteReference"/>
        </w:rPr>
        <w:footnoteReference w:id="1406"/>
      </w:r>
      <w:r>
        <w:rPr>
          <w:rStyle w:val="FootnoteReference"/>
        </w:rPr>
        <w:footnoteReference w:id="1407"/>
      </w:r>
      <w:r>
        <w:rPr>
          <w:rStyle w:val="FootnoteReference"/>
        </w:rPr>
        <w:footnoteReference w:id="1408"/>
      </w:r>
      <w:r>
        <w:rPr>
          <w:rStyle w:val="FootnoteReference"/>
        </w:rPr>
        <w:footnoteReference w:id="1409"/>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4202" w:name="m.1-la-griglia-di-valutazione-ocse-dac"/>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1410"/>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piemontese, sul criterio dell’efficienza. L’intervento è rilevante, perché risponde a un bisogno reale e di grande dimensione e all’obbligo di garantire i livelli essenziali;</w:t>
      </w:r>
      <w:r>
        <w:rPr>
          <w:rStyle w:val="FootnoteReference"/>
        </w:rPr>
        <w:footnoteReference w:id="1411"/>
      </w:r>
      <w:r>
        <w:t xml:space="preserve"> </w:t>
      </w:r>
      <w:r>
        <w:t xml:space="preserve">è coerente, perché compatibile con gli standard dell’assistenza territoriale, con il PNRR e con gli atti regionali che già ne hanno previsto la funzione, ed è costituzionalmente difendibile, senza incontrare attualmente il vincolo del piano di rientro;</w:t>
      </w:r>
      <w:r>
        <w:rPr>
          <w:rStyle w:val="FootnoteReference"/>
        </w:rPr>
        <w:footnoteReference w:id="1412"/>
      </w:r>
      <w:r>
        <w:t xml:space="preserve"> </w:t>
      </w:r>
      <w:r>
        <w:t xml:space="preserve">è efficace, perché l’evidenza internazionale ne documenta il raggiungimento degli obiettivi clinici, corroborata dai primi dati del servizio attivo;</w:t>
      </w:r>
      <w:r>
        <w:rPr>
          <w:rStyle w:val="FootnoteReference"/>
        </w:rPr>
        <w:footnoteReference w:id="1413"/>
      </w:r>
      <w:r>
        <w:t xml:space="preserve"> </w:t>
      </w:r>
      <w:r>
        <w:t xml:space="preserve">è efficiente in termini di costo-utilità, con dominanza per paziente, pur a fronte di un saldo diretto lievemente negativo sul solo bilancio, di entità modesta;</w:t>
      </w:r>
      <w:r>
        <w:rPr>
          <w:rStyle w:val="FootnoteReference"/>
        </w:rPr>
        <w:footnoteReference w:id="1414"/>
      </w:r>
      <w:r>
        <w:t xml:space="preserve"> </w:t>
      </w:r>
      <w:r>
        <w:t xml:space="preserve">ha un impatto distributivo favorevole e un ritorno complessivo di 3,8–5,5 a uno;</w:t>
      </w:r>
      <w:r>
        <w:rPr>
          <w:rStyle w:val="FootnoteReference"/>
        </w:rPr>
        <w:footnoteReference w:id="1415"/>
      </w:r>
      <w:r>
        <w:t xml:space="preserve"> </w:t>
      </w:r>
      <w:r>
        <w:t xml:space="preserve">ed è sostenibile, sul piano finanziario e organizzativo, con l’istituzionalizzazione per legge quale leva decisiva.</w:t>
      </w:r>
      <w:r>
        <w:rPr>
          <w:rStyle w:val="FootnoteReference"/>
        </w:rPr>
        <w:footnoteReference w:id="1416"/>
      </w:r>
      <w:r>
        <w:t xml:space="preserve"> </w:t>
      </w:r>
      <w:r>
        <w:t xml:space="preserve">La tabella seguente riepiloga il giudizio, criterio per criterio.</w:t>
      </w:r>
    </w:p>
    <w:tbl>
      <w:tblPr>
        <w:tblStyle w:val="Table"/>
        <w:tblW w:type="pct" w:w="495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896"/>
        <w:gridCol w:w="1643"/>
        <w:gridCol w:w="530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Domanda valutativa</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 dallo studio</w:t>
            </w:r>
          </w:p>
        </w:tc>
      </w:tr>
      <w:tr>
        <w:tc>
          <w:tcPr/>
          <w:p>
            <w:pPr>
              <w:pStyle w:val="Compact"/>
              <w:spacing w:after="40" w:before="40"/>
              <w:jc w:val="left"/>
            </w:pPr>
            <w:r>
              <w:rPr>
                <w:rFonts w:ascii="Cambria" w:hAnsi="Cambria" w:cs="Cambria" w:eastAsia="Cambria"/>
                <w:b/>
                <w:bCs/>
                <w:color w:val="1A1A1A"/>
                <w:sz w:val="18"/>
              </w:rPr>
              <w:t xml:space="preserve">Rilevanza</w:t>
            </w:r>
          </w:p>
        </w:tc>
        <w:tc>
          <w:tcPr/>
          <w:p>
            <w:pPr>
              <w:pStyle w:val="Compact"/>
              <w:spacing w:after="40" w:before="40"/>
              <w:jc w:val="left"/>
            </w:pPr>
            <w:r>
              <w:rPr>
                <w:rFonts w:ascii="Cambria" w:hAnsi="Cambria" w:cs="Cambria" w:eastAsia="Cambria"/>
                <w:color w:val="1A1A1A"/>
                <w:sz w:val="18"/>
              </w:rPr>
              <w:t xml:space="preserve">Risponde al bisogno reale?</w:t>
            </w:r>
          </w:p>
        </w:tc>
        <w:tc>
          <w:tcPr/>
          <w:p>
            <w:pPr>
              <w:pStyle w:val="Compact"/>
              <w:spacing w:after="40" w:before="40"/>
              <w:jc w:val="left"/>
            </w:pPr>
            <w:r>
              <w:rPr>
                <w:rFonts w:ascii="Cambria" w:hAnsi="Cambria" w:cs="Cambria" w:eastAsia="Cambria"/>
                <w:color w:val="1A1A1A"/>
                <w:sz w:val="18"/>
              </w:rPr>
              <w:t xml:space="preserve">Sì: ~850.000 con disagio inevaso; obbligo dei livelli essenziali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w:t>
            </w:r>
          </w:p>
        </w:tc>
        <w:tc>
          <w:tcPr>
            <w:shd w:val="clear" w:color="auto" w:fill="F4F1EC"/>
          </w:tcPr>
          <w:p>
            <w:pPr>
              <w:pStyle w:val="Compact"/>
              <w:spacing w:after="40" w:before="40"/>
              <w:jc w:val="left"/>
            </w:pPr>
            <w:r>
              <w:rPr>
                <w:rFonts w:ascii="Cambria" w:hAnsi="Cambria" w:cs="Cambria" w:eastAsia="Cambria"/>
                <w:color w:val="1A1A1A"/>
                <w:sz w:val="18"/>
              </w:rPr>
              <w:t xml:space="preserve">È compatibile con le altre politiche?</w:t>
            </w:r>
          </w:p>
        </w:tc>
        <w:tc>
          <w:tcPr>
            <w:shd w:val="clear" w:color="auto" w:fill="F4F1EC"/>
          </w:tcPr>
          <w:p>
            <w:pPr>
              <w:pStyle w:val="Compact"/>
              <w:spacing w:after="40" w:before="40"/>
              <w:jc w:val="left"/>
            </w:pPr>
            <w:r>
              <w:rPr>
                <w:rFonts w:ascii="Cambria" w:hAnsi="Cambria" w:cs="Cambria" w:eastAsia="Cambria"/>
                <w:color w:val="1A1A1A"/>
                <w:sz w:val="18"/>
              </w:rPr>
              <w:t xml:space="preserve">Sì: DM 77, PNRR, attivazione e rifinanziamenti regionali, legge psicologia scolastica; difendibile in Costituzione; non in piano di rientro</w:t>
            </w:r>
          </w:p>
        </w:tc>
      </w:tr>
      <w:tr>
        <w:tc>
          <w:tcPr/>
          <w:p>
            <w:pPr>
              <w:pStyle w:val="Compact"/>
              <w:spacing w:after="40" w:before="40"/>
              <w:jc w:val="left"/>
            </w:pPr>
            <w:r>
              <w:rPr>
                <w:rFonts w:ascii="Cambria" w:hAnsi="Cambria" w:cs="Cambria" w:eastAsia="Cambria"/>
                <w:b/>
                <w:bCs/>
                <w:color w:val="1A1A1A"/>
                <w:sz w:val="18"/>
              </w:rPr>
              <w:t xml:space="preserve">Efficacia</w:t>
            </w:r>
          </w:p>
        </w:tc>
        <w:tc>
          <w:tcPr/>
          <w:p>
            <w:pPr>
              <w:pStyle w:val="Compact"/>
              <w:spacing w:after="40" w:before="40"/>
              <w:jc w:val="left"/>
            </w:pPr>
            <w:r>
              <w:rPr>
                <w:rFonts w:ascii="Cambria" w:hAnsi="Cambria" w:cs="Cambria" w:eastAsia="Cambria"/>
                <w:color w:val="1A1A1A"/>
                <w:sz w:val="18"/>
              </w:rPr>
              <w:t xml:space="preserve">Raggiunge gli obiettivi?</w:t>
            </w:r>
          </w:p>
        </w:tc>
        <w:tc>
          <w:tcPr/>
          <w:p>
            <w:pPr>
              <w:pStyle w:val="Compact"/>
              <w:spacing w:after="40" w:before="40"/>
              <w:jc w:val="left"/>
            </w:pPr>
            <w:r>
              <w:rPr>
                <w:rFonts w:ascii="Cambria" w:hAnsi="Cambria" w:cs="Cambria" w:eastAsia="Cambria"/>
                <w:color w:val="1A1A1A"/>
                <w:sz w:val="18"/>
              </w:rPr>
              <w:t xml:space="preserve">Sì: evidenza internazionale (recupero ~50%) e primi dati del servizio attivo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Efficienza</w:t>
            </w:r>
          </w:p>
        </w:tc>
        <w:tc>
          <w:tcPr>
            <w:shd w:val="clear" w:color="auto" w:fill="F4F1EC"/>
          </w:tcPr>
          <w:p>
            <w:pPr>
              <w:pStyle w:val="Compact"/>
              <w:spacing w:after="40" w:before="40"/>
              <w:jc w:val="left"/>
            </w:pPr>
            <w:r>
              <w:rPr>
                <w:rFonts w:ascii="Cambria" w:hAnsi="Cambria" w:cs="Cambria" w:eastAsia="Cambria"/>
                <w:color w:val="1A1A1A"/>
                <w:sz w:val="18"/>
              </w:rPr>
              <w:t xml:space="preserve">Impiega le risorse in modo proporzionato?</w:t>
            </w:r>
          </w:p>
        </w:tc>
        <w:tc>
          <w:tcPr>
            <w:shd w:val="clear" w:color="auto" w:fill="F4F1EC"/>
          </w:tcPr>
          <w:p>
            <w:pPr>
              <w:pStyle w:val="Compact"/>
              <w:spacing w:after="40" w:before="40"/>
              <w:jc w:val="left"/>
            </w:pPr>
            <w:r>
              <w:rPr>
                <w:rFonts w:ascii="Cambria" w:hAnsi="Cambria" w:cs="Cambria" w:eastAsia="Cambria"/>
                <w:color w:val="1A1A1A"/>
                <w:sz w:val="18"/>
              </w:rPr>
              <w:t xml:space="preserve">Sì in costo-utilità (dominanza); saldo diretto lievemente negativo a costo modesto</w:t>
            </w:r>
          </w:p>
        </w:tc>
      </w:tr>
      <w:tr>
        <w:tc>
          <w:tcPr/>
          <w:p>
            <w:pPr>
              <w:pStyle w:val="Compact"/>
              <w:spacing w:after="40" w:before="40"/>
              <w:jc w:val="left"/>
            </w:pPr>
            <w:r>
              <w:rPr>
                <w:rFonts w:ascii="Cambria" w:hAnsi="Cambria" w:cs="Cambria" w:eastAsia="Cambria"/>
                <w:b/>
                <w:bCs/>
                <w:color w:val="1A1A1A"/>
                <w:sz w:val="18"/>
              </w:rPr>
              <w:t xml:space="preserve">Impatto</w:t>
            </w:r>
          </w:p>
        </w:tc>
        <w:tc>
          <w:tcPr/>
          <w:p>
            <w:pPr>
              <w:pStyle w:val="Compact"/>
              <w:spacing w:after="40" w:before="40"/>
              <w:jc w:val="left"/>
            </w:pPr>
            <w:r>
              <w:rPr>
                <w:rFonts w:ascii="Cambria" w:hAnsi="Cambria" w:cs="Cambria" w:eastAsia="Cambria"/>
                <w:color w:val="1A1A1A"/>
                <w:sz w:val="18"/>
              </w:rPr>
              <w:t xml:space="preserve">Produce effetti più ampi?</w:t>
            </w:r>
          </w:p>
        </w:tc>
        <w:tc>
          <w:tcPr/>
          <w:p>
            <w:pPr>
              <w:pStyle w:val="Compact"/>
              <w:spacing w:after="40" w:before="40"/>
              <w:jc w:val="left"/>
            </w:pPr>
            <w:r>
              <w:rPr>
                <w:rFonts w:ascii="Cambria" w:hAnsi="Cambria" w:cs="Cambria" w:eastAsia="Cambria"/>
                <w:color w:val="1A1A1A"/>
                <w:sz w:val="18"/>
              </w:rPr>
              <w:t xml:space="preserve">Sì: riduce il gradiente territoriale; ritorno complessivo 3,8–5,5:1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Sostenibilità</w:t>
            </w:r>
          </w:p>
        </w:tc>
        <w:tc>
          <w:tcPr>
            <w:shd w:val="clear" w:color="auto" w:fill="F4F1EC"/>
          </w:tcPr>
          <w:p>
            <w:pPr>
              <w:pStyle w:val="Compact"/>
              <w:spacing w:after="40" w:before="40"/>
              <w:jc w:val="left"/>
            </w:pPr>
            <w:r>
              <w:rPr>
                <w:rFonts w:ascii="Cambria" w:hAnsi="Cambria" w:cs="Cambria" w:eastAsia="Cambria"/>
                <w:color w:val="1A1A1A"/>
                <w:sz w:val="18"/>
              </w:rPr>
              <w:t xml:space="preserve">I benefici e il servizio durano?</w:t>
            </w:r>
          </w:p>
        </w:tc>
        <w:tc>
          <w:tcPr>
            <w:shd w:val="clear" w:color="auto" w:fill="F4F1EC"/>
          </w:tcPr>
          <w:p>
            <w:pPr>
              <w:pStyle w:val="Compact"/>
              <w:spacing w:after="40" w:before="40"/>
              <w:jc w:val="left"/>
            </w:pPr>
            <w:r>
              <w:rPr>
                <w:rFonts w:ascii="Cambria" w:hAnsi="Cambria" w:cs="Cambria" w:eastAsia="Cambria"/>
                <w:color w:val="1A1A1A"/>
                <w:sz w:val="18"/>
              </w:rPr>
              <w:t xml:space="preserve">Sì: costo modesto; istituzionalizzazione per legge quale leva; servizio già attivo</w:t>
            </w:r>
          </w:p>
        </w:tc>
      </w:tr>
    </w:tbl>
    <w:p>
      <w:pPr>
        <w:pStyle w:val="BodyText"/>
      </w:pPr>
      <w:r>
        <w:rPr>
          <w:i/>
          <w:iCs/>
        </w:rPr>
        <w:t xml:space="preserve">Tabella M.1. La griglia di giudizio OCSE-DAC applicata allo studio, criterio per criterio.</w:t>
      </w:r>
    </w:p>
    <w:bookmarkEnd w:id="4202"/>
    <w:bookmarkStart w:id="394" w:name="m.2-lanalisi-multi-criterio"/>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1417"/>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81,75 su 100 contro 39,25 dell’opzione zero, e prevale su tutti i criteri a eccezione della sola fattibilità immediata, nella quale l’opzione zero — che non richiede alcuna attuazione — è superiore.</w:t>
      </w:r>
      <w:r>
        <w:rPr>
          <w:rStyle w:val="FootnoteReference"/>
        </w:rPr>
        <w:footnoteReference w:id="1418"/>
      </w:r>
      <w:r>
        <w:t xml:space="preserve"> </w:t>
      </w:r>
      <w:r>
        <w:t xml:space="preserve">Rispetto al caso pugliese, nel quale il saldo diretto è positivo, il punteggio dell’intervento è lievemente inferiore, in ragione del saldo diretto negativo che riduce il sub-punteggio dell’impatto di bilancio; la circostanza che il servizio sia già operativo innalza tuttavia il sub-punteggio di fattibilità del Piemonte rispetto agli altri contesti a saldo diretto negativo. Resta una preferenza netta e stabile rispetto ai pesi adottati. La tabella seguente riporta la matrice delle prestazioni.</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325"/>
        <w:gridCol w:w="842"/>
        <w:gridCol w:w="842"/>
        <w:gridCol w:w="898"/>
        <w:gridCol w:w="89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w:t>
            </w:r>
          </w:p>
        </w:tc>
        <w:tc>
          <w:tcPr>
            <w:shd w:val="clear" w:color="auto" w:fill="16264B"/>
          </w:tcPr>
          <w:p>
            <w:pPr>
              <w:pStyle w:val="Compact"/>
              <w:spacing w:after="40" w:before="40"/>
              <w:jc w:val="left"/>
            </w:pPr>
            <w:r>
              <w:rPr>
                <w:rFonts w:ascii="Cambria" w:hAnsi="Cambria" w:cs="Cambria" w:eastAsia="Cambria"/>
                <w:b/>
                <w:bCs/>
                <w:color w:val="FFFFFF"/>
                <w:sz w:val="18"/>
              </w:rPr>
              <w:t xml:space="preserve">Opz. zero</w:t>
            </w:r>
          </w:p>
        </w:tc>
        <w:tc>
          <w:tcPr>
            <w:shd w:val="clear" w:color="auto" w:fill="16264B"/>
          </w:tcPr>
          <w:p>
            <w:pPr>
              <w:pStyle w:val="Compact"/>
              <w:spacing w:after="40" w:before="40"/>
              <w:jc w:val="left"/>
            </w:pPr>
            <w:r>
              <w:rPr>
                <w:rFonts w:ascii="Cambria" w:hAnsi="Cambria" w:cs="Cambria" w:eastAsia="Cambria"/>
                <w:b/>
                <w:bCs/>
                <w:color w:val="FFFFFF"/>
                <w:sz w:val="18"/>
              </w:rPr>
              <w:t xml:space="preserve">Δ pond.</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30</w:t>
            </w:r>
          </w:p>
        </w:tc>
        <w:tc>
          <w:tcPr/>
          <w:p>
            <w:pPr>
              <w:pStyle w:val="Compact"/>
              <w:spacing w:after="40" w:before="40"/>
              <w:jc w:val="left"/>
            </w:pPr>
            <w:r>
              <w:rPr>
                <w:rFonts w:ascii="Cambria" w:hAnsi="Cambria" w:cs="Cambria" w:eastAsia="Cambria"/>
                <w:color w:val="1A1A1A"/>
                <w:sz w:val="18"/>
              </w:rPr>
              <w:t xml:space="preserve">+7,50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87</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+12,40</w:t>
            </w:r>
          </w:p>
        </w:tc>
      </w:tr>
      <w:tr>
        <w:tc>
          <w:tcPr/>
          <w:p>
            <w:pPr>
              <w:pStyle w:val="Compact"/>
              <w:spacing w:after="40" w:before="40"/>
              <w:jc w:val="left"/>
            </w:pPr>
            <w:r>
              <w:rPr>
                <w:rFonts w:ascii="Cambria" w:hAnsi="Cambria" w:cs="Cambria" w:eastAsia="Cambria"/>
                <w:b/>
                <w:bCs/>
                <w:color w:val="1A1A1A"/>
                <w:sz w:val="18"/>
              </w:rPr>
              <w:t xml:space="preserve">Impatto di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68</w:t>
            </w:r>
          </w:p>
        </w:tc>
        <w:tc>
          <w:tcPr/>
          <w:p>
            <w:pPr>
              <w:pStyle w:val="Compact"/>
              <w:spacing w:after="40" w:before="40"/>
              <w:jc w:val="left"/>
            </w:pPr>
            <w:r>
              <w:rPr>
                <w:rFonts w:ascii="Cambria" w:hAnsi="Cambria" w:cs="Cambria" w:eastAsia="Cambria"/>
                <w:color w:val="1A1A1A"/>
                <w:sz w:val="18"/>
              </w:rPr>
              <w:t xml:space="preserve">50</w:t>
            </w:r>
          </w:p>
        </w:tc>
        <w:tc>
          <w:tcPr/>
          <w:p>
            <w:pPr>
              <w:pStyle w:val="Compact"/>
              <w:spacing w:after="40" w:before="40"/>
              <w:jc w:val="left"/>
            </w:pPr>
            <w:r>
              <w:rPr>
                <w:rFonts w:ascii="Cambria" w:hAnsi="Cambria" w:cs="Cambria" w:eastAsia="Cambria"/>
                <w:color w:val="1A1A1A"/>
                <w:sz w:val="18"/>
              </w:rPr>
              <w:t xml:space="preserve">+2,70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 e accesso (aree interne e alpine, età anziana, liste di attesa)</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+9,75</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87</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+6,70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 e implementabilità (servizio già attivo)</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84</w:t>
            </w:r>
          </w:p>
        </w:tc>
        <w:tc>
          <w:tcPr>
            <w:shd w:val="clear" w:color="auto" w:fill="F4F1EC"/>
          </w:tcPr>
          <w:p>
            <w:pPr>
              <w:pStyle w:val="Compact"/>
              <w:spacing w:after="40" w:before="40"/>
              <w:jc w:val="left"/>
            </w:pPr>
            <w:r>
              <w:rPr>
                <w:rFonts w:ascii="Cambria" w:hAnsi="Cambria" w:cs="Cambria" w:eastAsia="Cambria"/>
                <w:color w:val="1A1A1A"/>
                <w:sz w:val="18"/>
              </w:rPr>
              <w:t xml:space="preserve">100</w:t>
            </w:r>
          </w:p>
        </w:tc>
        <w:tc>
          <w:tcPr>
            <w:shd w:val="clear" w:color="auto" w:fill="F4F1EC"/>
          </w:tcPr>
          <w:p>
            <w:pPr>
              <w:pStyle w:val="Compact"/>
              <w:spacing w:after="40" w:before="40"/>
              <w:jc w:val="left"/>
            </w:pPr>
            <w:r>
              <w:rPr>
                <w:rFonts w:ascii="Cambria" w:hAnsi="Cambria" w:cs="Cambria" w:eastAsia="Cambria"/>
                <w:color w:val="1A1A1A"/>
                <w:sz w:val="18"/>
              </w:rPr>
              <w:t xml:space="preserve">−1,60</w:t>
            </w:r>
          </w:p>
        </w:tc>
      </w:tr>
      <w:tr>
        <w:tc>
          <w:tcPr/>
          <w:p>
            <w:pPr>
              <w:pStyle w:val="Compact"/>
              <w:spacing w:after="40" w:before="40"/>
              <w:jc w:val="left"/>
            </w:pPr>
            <w:r>
              <w:rPr>
                <w:rFonts w:ascii="Cambria" w:hAnsi="Cambria" w:cs="Cambria" w:eastAsia="Cambria"/>
                <w:b/>
                <w:bCs/>
                <w:color w:val="1A1A1A"/>
                <w:sz w:val="18"/>
              </w:rPr>
              <w:t xml:space="preserve">Robustezza dell’evidenza (dati operativi propri)</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78</w:t>
            </w:r>
          </w:p>
        </w:tc>
        <w:tc>
          <w:tcPr/>
          <w:p>
            <w:pPr>
              <w:pStyle w:val="Compact"/>
              <w:spacing w:after="40" w:before="40"/>
              <w:jc w:val="left"/>
            </w:pPr>
            <w:r>
              <w:rPr>
                <w:rFonts w:ascii="Cambria" w:hAnsi="Cambria" w:cs="Cambria" w:eastAsia="Cambria"/>
                <w:color w:val="1A1A1A"/>
                <w:sz w:val="18"/>
              </w:rPr>
              <w:t xml:space="preserve">60</w:t>
            </w:r>
          </w:p>
        </w:tc>
        <w:tc>
          <w:tcPr/>
          <w:p>
            <w:pPr>
              <w:pStyle w:val="Compact"/>
              <w:spacing w:after="40" w:before="40"/>
              <w:jc w:val="left"/>
            </w:pPr>
            <w:r>
              <w:rPr>
                <w:rFonts w:ascii="Cambria" w:hAnsi="Cambria" w:cs="Cambria" w:eastAsia="Cambria"/>
                <w:color w:val="1A1A1A"/>
                <w:sz w:val="18"/>
              </w:rPr>
              <w:t xml:space="preserve">+1,80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 (DM 77, PNRR, atti regionali)</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90</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+3,25</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81,75</w:t>
            </w:r>
          </w:p>
        </w:tc>
        <w:tc>
          <w:tcPr/>
          <w:p>
            <w:pPr>
              <w:pStyle w:val="Compact"/>
              <w:spacing w:after="40" w:before="40"/>
              <w:jc w:val="left"/>
            </w:pPr>
            <w:r>
              <w:rPr>
                <w:rFonts w:ascii="Cambria" w:hAnsi="Cambria" w:cs="Cambria" w:eastAsia="Cambria"/>
                <w:color w:val="1A1A1A"/>
                <w:sz w:val="18"/>
              </w:rPr>
              <w:t xml:space="preserve">39,25</w:t>
            </w:r>
          </w:p>
        </w:tc>
        <w:tc>
          <w:tcPr/>
          <w:p>
            <w:pPr>
              <w:pStyle w:val="Compact"/>
              <w:spacing w:after="40" w:before="40"/>
              <w:jc w:val="left"/>
            </w:pPr>
            <w:r>
              <w:rPr>
                <w:rFonts w:ascii="Cambria" w:hAnsi="Cambria" w:cs="Cambria" w:eastAsia="Cambria"/>
                <w:color w:val="1A1A1A"/>
                <w:sz w:val="18"/>
              </w:rPr>
              <w:t xml:space="preserve">+42,50</w:t>
            </w:r>
          </w:p>
        </w:tc>
      </w:tr>
    </w:tbl>
    <w:p>
      <w:pPr>
        <w:pStyle w:val="BodyText"/>
      </w:pPr>
      <w:r>
        <w:rPr>
          <w:i/>
          <w:iCs/>
        </w:rPr>
        <w:t xml:space="preserve">Tabella M.2. Analisi multi-criterio: confronto tra l</w:t>
      </w:r>
      <w:r>
        <w:rPr>
          <w:b/>
          <w:bCs/>
          <w:i/>
          <w:iCs/>
        </w:rPr>
        <w:t xml:space="preserve">‘******opzione di intervento e l******’</w:t>
      </w:r>
      <w:r>
        <w:rPr>
          <w:i/>
          <w:iCs/>
        </w:rPr>
        <w:t xml:space="preserve">opzione zero su otto criteri pesati.</w:t>
      </w:r>
    </w:p>
    <w:bookmarkEnd w:id="394"/>
    <w:bookmarkStart w:id="398" w:name="Xe65573820279b61d6cd1fe809fc5d50d2df6c3f"/>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Piemonte. La prima: il servizio costa al bilancio sanitario una cifra modesta e comporta un saldo diretto lievemente negativo, dell’ordine di alcune decine di milioni, trascurabile rispetto a un finanziamento dell’ordine di 9,5 miliardi, pur con una salienza diretta non nulla nel contesto delle liste di attesa. La seconda: il ritorno per la collettività è ampio, con un rapporto beneficio-costo dell’ordine di 3,8–5,5 a uno. La terza: il valore poggia quasi interamente sulle ricadute sociali — la produttività, il funzionamento, il minor carico familiare — e non sul risparmio per il bilancio.</w:t>
      </w:r>
      <w:r>
        <w:rPr>
          <w:rStyle w:val="FootnoteReference"/>
        </w:rPr>
        <w:footnoteReference w:id="1419"/>
      </w:r>
      <w:r>
        <w:t xml:space="preserve"> </w:t>
      </w:r>
      <w:r>
        <w:t xml:space="preserve">È questa la corretta rappresentazione della proposta piemontese: non un investimento che si ripaga sui conti sanitari, ma un investimento sociale ad alto rendimento, il cui costo per il bilancio è trascurabile.</w:t>
      </w:r>
    </w:p>
    <w:p>
      <w:pPr>
        <w:pStyle w:val="BodyText"/>
      </w:pPr>
      <w:r>
        <w:t xml:space="preserve">Da questa sintesi discende la raccomandazione centrale, ed è in essa che il caso piemontese si distingue da tutti gli altri. La decisione rilevante non è se introdurre la funzione — già attiva in tutte le dodici Aziende Sanitarie Locali dal 2023, essendo il Piemonte la prima e inizialmente unica Regione in Italia a renderla operativa — ma se dotarla di una base giuridica stabile, con una legge regionale e un rapporto convenzionale analogo a quello dei medici di medicina generale, e dimensionarla, portandola dalla copertura attuale, dell’ordine del 5% del fabbisogno, alla copertura sistematica, dell’ordine di 700 incarichi nello scenario di base.</w:t>
      </w:r>
      <w:r>
        <w:rPr>
          <w:rStyle w:val="FootnoteReference"/>
        </w:rPr>
        <w:footnoteReference w:id="1420"/>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1421"/>
      </w:r>
      <w:r>
        <w:t xml:space="preserve"> </w:t>
      </w:r>
      <w:r>
        <w:t xml:space="preserve">La raccomandazione operativa è di stabilizzare per legge il servizio esistente, convertendo gli incarichi libero-professionali in rapporto convenzionale, e di procedere a un dimensionamento progressivo, avviando contestualmente la rilevazione strutturata e la valutazione controfattuale fondata sul confronto prima-dopo e sull’intensità di copertura.</w:t>
      </w:r>
    </w:p>
    <w:bookmarkEnd w:id="398"/>
    <w:bookmarkStart w:id="4203" w:name="m.4-i-limiti-e-lagenda-di-ricerca"/>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piemontese, pari al 7,2%, e non estratte dai conti regionali certificati. È una distinzione che lo studio dichiara apertamente, perché la sostituzione di tali ricostruzioni con i valori certificati delle Aziende Sanitarie Locali e delle Aziende Ospedaliero-Universitarie è la condizione per la presentazione della proposta agli organi di controllo; in Piemonte tale sostituzione è agevolata dalla disponibilità dei dati del servizio già attivo.</w:t>
      </w:r>
      <w:r>
        <w:rPr>
          <w:rStyle w:val="FootnoteReference"/>
        </w:rPr>
        <w:footnoteReference w:id="1422"/>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1423"/>
      </w:r>
    </w:p>
    <w:p>
      <w:pPr>
        <w:pStyle w:val="BodyText"/>
      </w:pPr>
      <w:r>
        <w:t xml:space="preserve">Da questi limiti discende l’agenda di ricerca. L’investimento conoscitivo prioritario è l’acquisizione dei dati regionali certificati presso le dodici Aziende Sanitarie Locali e le Aziende Ospedaliero-Universitarie, seguito dalla strutturazione della rilevazione di servizio e dalla valutazione controfattuale fondata sul confronto prima-dopo l’attivazione del 2023 e sull’intensità di copertura.</w:t>
      </w:r>
      <w:r>
        <w:rPr>
          <w:rStyle w:val="FootnoteReference"/>
        </w:rPr>
        <w:footnoteReference w:id="1424"/>
      </w:r>
      <w:r>
        <w:t xml:space="preserve"> </w:t>
      </w:r>
      <w:r>
        <w:t xml:space="preserve">È il programma che trasforma progressivamente la proposta argomentata in politica validata, e che salda la valutazione ex ante alla verifica ex post. Con questa parte si chiude lo studio regionale piemontese, che applica al contesto del Piemonte, con piena fedeltà metodologica e con le dovute qualificazioni di onestà, il medesimo telaio integrato già adottato per la Puglia, per la Lombardia, per il Veneto e per l’Emilia-Romagna: un intervento clinicamente fondato, economicamente sostenibile, equo e attuabile, il cui valore per la collettività è ampio e il cui costo per il bilancio è trascurabile, e il cui primato operativo — essendo il Piemonte la prima Regione ad aver reso operativo il servizio — ne fa un riferimento nazionale per la fase di strutturazione e di stabilizzazione per legge.</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4203"/>
    <w:bookmarkEnd w:id="403"/>
    <w:bookmarkStart w:id="4204" w:name="X74ec8db6a1efcb357ab68e8bc77d0191cdef466"/>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1425"/>
      </w:r>
      <w:r>
        <w:rPr>
          <w:rStyle w:val="FootnoteReference"/>
        </w:rPr>
        <w:footnoteReference w:id="1426"/>
      </w:r>
      <w:r>
        <w:rPr>
          <w:rStyle w:val="FootnoteReference"/>
        </w:rPr>
        <w:footnoteReference w:id="1427"/>
      </w:r>
      <w:r>
        <w:rPr>
          <w:rStyle w:val="FootnoteReference"/>
        </w:rPr>
        <w:footnoteReference w:id="1428"/>
      </w:r>
      <w:r>
        <w:rPr>
          <w:rStyle w:val="FootnoteReference"/>
        </w:rPr>
        <w:footnoteReference w:id="1429"/>
      </w:r>
      <w:r>
        <w:rPr>
          <w:rStyle w:val="FootnoteReference"/>
        </w:rPr>
        <w:footnoteReference w:id="1430"/>
      </w:r>
      <w:r>
        <w:rPr>
          <w:rStyle w:val="FootnoteReference"/>
        </w:rPr>
        <w:footnoteReference w:id="1431"/>
      </w:r>
      <w:r>
        <w:rPr>
          <w:rStyle w:val="FootnoteReference"/>
        </w:rPr>
        <w:footnoteReference w:id="1432"/>
      </w:r>
      <w:r>
        <w:rPr>
          <w:rStyle w:val="FootnoteReference"/>
        </w:rPr>
        <w:footnoteReference w:id="1433"/>
      </w:r>
      <w:r>
        <w:t xml:space="preserve"> </w:t>
      </w:r>
      <w:r>
        <w:t xml:space="preserve">La tabella seguente lo riepiloga.</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451"/>
        <w:gridCol w:w="534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caso di 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adottata</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Servizio attuale o assenza del servizio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Azienda Sanitaria Locale/distretto</w:t>
            </w:r>
          </w:p>
        </w:tc>
      </w:tr>
      <w:tr>
        <w:tc>
          <w:tcPr/>
          <w:p>
            <w:pPr>
              <w:pStyle w:val="Compact"/>
              <w:spacing w:after="40" w:before="40"/>
              <w:jc w:val="left"/>
            </w:pPr>
            <w:r>
              <w:rPr>
                <w:rFonts w:ascii="Cambria" w:hAnsi="Cambria" w:cs="Cambria" w:eastAsia="Cambria"/>
                <w:b/>
                <w:bCs/>
                <w:color w:val="1A1A1A"/>
                <w:sz w:val="18"/>
              </w:rPr>
              <w:t xml:space="preserve">Soglia di costo-efficacia</w:t>
            </w:r>
          </w:p>
        </w:tc>
        <w:tc>
          <w:tcPr/>
          <w:p>
            <w:pPr>
              <w:pStyle w:val="Compact"/>
              <w:spacing w:after="40" w:before="40"/>
              <w:jc w:val="left"/>
            </w:pPr>
            <w:r>
              <w:rPr>
                <w:rFonts w:ascii="Cambria" w:hAnsi="Cambria" w:cs="Cambria" w:eastAsia="Cambria"/>
                <w:color w:val="1A1A1A"/>
                <w:sz w:val="18"/>
              </w:rPr>
              <w:t xml:space="preserve">30.000 euro per anno di vita ponderato per la qualità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Correzione prudenziale</w:t>
            </w:r>
          </w:p>
        </w:tc>
        <w:tc>
          <w:tcPr>
            <w:shd w:val="clear" w:color="auto" w:fill="F4F1EC"/>
          </w:tcPr>
          <w:p>
            <w:pPr>
              <w:pStyle w:val="Compact"/>
              <w:spacing w:after="40" w:before="40"/>
              <w:jc w:val="left"/>
            </w:pPr>
            <w:r>
              <w:rPr>
                <w:rFonts w:ascii="Cambria" w:hAnsi="Cambria" w:cs="Cambria" w:eastAsia="Cambria"/>
                <w:color w:val="1A1A1A"/>
                <w:sz w:val="18"/>
              </w:rP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1434"/>
      </w:r>
      <w:r>
        <w:t xml:space="preserve"> </w:t>
      </w:r>
      <w:r>
        <w:t xml:space="preserve">La tabella seguente li riporta con le distribuzioni assegnate per l’analisi probabilistica.</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3498"/>
        <w:gridCol w:w="15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 di Markov</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Stati del modello</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recupero</w:t>
            </w:r>
          </w:p>
        </w:tc>
        <w:tc>
          <w:tcPr>
            <w:shd w:val="clear" w:color="auto" w:fill="F4F1EC"/>
          </w:tcPr>
          <w:p>
            <w:pPr>
              <w:pStyle w:val="Compact"/>
              <w:spacing w:after="40" w:before="40"/>
              <w:jc w:val="left"/>
            </w:pPr>
            <w:r>
              <w:rPr>
                <w:rFonts w:ascii="Cambria" w:hAnsi="Cambria" w:cs="Cambria" w:eastAsia="Cambria"/>
                <w:color w:val="1A1A1A"/>
                <w:sz w:val="18"/>
              </w:rPr>
              <w:t xml:space="preserve">40 €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per ciclo — cronico</w:t>
            </w:r>
          </w:p>
        </w:tc>
        <w:tc>
          <w:tcPr/>
          <w:p>
            <w:pPr>
              <w:pStyle w:val="Compact"/>
              <w:spacing w:after="40" w:before="40"/>
              <w:jc w:val="left"/>
            </w:pPr>
            <w:r>
              <w:rPr>
                <w:rFonts w:ascii="Cambria" w:hAnsi="Cambria" w:cs="Cambria" w:eastAsia="Cambria"/>
                <w:color w:val="1A1A1A"/>
                <w:sz w:val="18"/>
              </w:rPr>
              <w:t xml:space="preserve">700 €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Per braccio, da fonti</w:t>
            </w:r>
          </w:p>
        </w:tc>
        <w:tc>
          <w:tcPr/>
          <w:p>
            <w:pPr>
              <w:pStyle w:val="Compact"/>
              <w:spacing w:after="40" w:before="40"/>
              <w:jc w:val="left"/>
            </w:pPr>
            <w:r>
              <w:rPr>
                <w:rFonts w:ascii="Cambria" w:hAnsi="Cambria" w:cs="Cambria" w:eastAsia="Cambria"/>
                <w:color w:val="1A1A1A"/>
                <w:sz w:val="18"/>
              </w:rPr>
              <w:t xml:space="preserve">Beta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per stato</w:t>
            </w:r>
          </w:p>
        </w:tc>
        <w:tc>
          <w:tcPr>
            <w:shd w:val="clear" w:color="auto" w:fill="F4F1EC"/>
          </w:tcPr>
          <w:p>
            <w:pPr>
              <w:pStyle w:val="Compact"/>
              <w:spacing w:after="40" w:before="40"/>
              <w:jc w:val="left"/>
            </w:pPr>
            <w:r>
              <w:rPr>
                <w:rFonts w:ascii="Cambria" w:hAnsi="Cambria" w:cs="Cambria" w:eastAsia="Cambria"/>
                <w:color w:val="1A1A1A"/>
                <w:sz w:val="18"/>
              </w:rPr>
              <w:t xml:space="preserve">Da fonti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Orizzonte e sconto</w:t>
            </w:r>
          </w:p>
        </w:tc>
        <w:tc>
          <w:tcPr/>
          <w:p>
            <w:pPr>
              <w:pStyle w:val="Compact"/>
              <w:spacing w:after="40" w:before="40"/>
              <w:jc w:val="left"/>
            </w:pPr>
            <w:r>
              <w:rPr>
                <w:rFonts w:ascii="Cambria" w:hAnsi="Cambria" w:cs="Cambria" w:eastAsia="Cambria"/>
                <w:color w:val="1A1A1A"/>
                <w:sz w:val="18"/>
              </w:rPr>
              <w:t xml:space="preserve">5 anni; 3% annuo</w:t>
            </w:r>
          </w:p>
        </w:tc>
        <w:t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Piemonte, già esposto nelle parti centrali dello studio, è qui riassunto per scenario, a beneficio della consultazione.</w:t>
      </w:r>
      <w:r>
        <w:rPr>
          <w:rStyle w:val="FootnoteReference"/>
        </w:rPr>
        <w:footnoteReference w:id="1435"/>
      </w:r>
      <w:r>
        <w:t xml:space="preserve"> </w:t>
      </w:r>
      <w:r>
        <w:t xml:space="preserve">La tabella seguente lo riepiloga.</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3"/>
        <w:gridCol w:w="1384"/>
        <w:gridCol w:w="1384"/>
        <w:gridCol w:w="13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 salvo 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Psicologi a regime</w:t>
            </w:r>
          </w:p>
        </w:tc>
        <w:tc>
          <w:tcPr/>
          <w:p>
            <w:pPr>
              <w:pStyle w:val="Compact"/>
              <w:spacing w:after="40" w:before="40"/>
              <w:jc w:val="left"/>
            </w:pPr>
            <w:r>
              <w:rPr>
                <w:rFonts w:ascii="Cambria" w:hAnsi="Cambria" w:cs="Cambria" w:eastAsia="Cambria"/>
                <w:color w:val="1A1A1A"/>
                <w:sz w:val="18"/>
              </w:rPr>
              <w:t xml:space="preserve">~ 470</w:t>
            </w:r>
          </w:p>
        </w:tc>
        <w:tc>
          <w:tcPr/>
          <w:p>
            <w:pPr>
              <w:pStyle w:val="Compact"/>
              <w:spacing w:after="40" w:before="40"/>
              <w:jc w:val="left"/>
            </w:pPr>
            <w:r>
              <w:rPr>
                <w:rFonts w:ascii="Cambria" w:hAnsi="Cambria" w:cs="Cambria" w:eastAsia="Cambria"/>
                <w:color w:val="1A1A1A"/>
                <w:sz w:val="18"/>
              </w:rPr>
              <w:t xml:space="preserve">~ 700</w:t>
            </w:r>
          </w:p>
        </w:tc>
        <w:tc>
          <w:tcPr/>
          <w:p>
            <w:pPr>
              <w:pStyle w:val="Compact"/>
              <w:spacing w:after="40" w:before="40"/>
              <w:jc w:val="left"/>
            </w:pPr>
            <w:r>
              <w:rPr>
                <w:rFonts w:ascii="Cambria" w:hAnsi="Cambria" w:cs="Cambria" w:eastAsia="Cambria"/>
                <w:color w:val="1A1A1A"/>
                <w:sz w:val="18"/>
              </w:rPr>
              <w:t xml:space="preserve">~ 920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26</w:t>
            </w:r>
          </w:p>
        </w:tc>
        <w:tc>
          <w:tcPr>
            <w:shd w:val="clear" w:color="auto" w:fill="F4F1EC"/>
          </w:tcPr>
          <w:p>
            <w:pPr>
              <w:pStyle w:val="Compact"/>
              <w:spacing w:after="40" w:before="40"/>
              <w:jc w:val="left"/>
            </w:pPr>
            <w:r>
              <w:rPr>
                <w:rFonts w:ascii="Cambria" w:hAnsi="Cambria" w:cs="Cambria" w:eastAsia="Cambria"/>
                <w:color w:val="1A1A1A"/>
                <w:sz w:val="18"/>
              </w:rPr>
              <w:t xml:space="preserve">~ 38</w:t>
            </w:r>
          </w:p>
        </w:tc>
        <w:tc>
          <w:tcPr>
            <w:shd w:val="clear" w:color="auto" w:fill="F4F1EC"/>
          </w:tcPr>
          <w:p>
            <w:pPr>
              <w:pStyle w:val="Compact"/>
              <w:spacing w:after="40" w:before="40"/>
              <w:jc w:val="left"/>
            </w:pPr>
            <w:r>
              <w:rPr>
                <w:rFonts w:ascii="Cambria" w:hAnsi="Cambria" w:cs="Cambria" w:eastAsia="Cambria"/>
                <w:color w:val="1A1A1A"/>
                <w:sz w:val="18"/>
              </w:rPr>
              <w:t xml:space="preserve">~ 51</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16</w:t>
            </w:r>
          </w:p>
        </w:tc>
        <w:tc>
          <w:tcPr/>
          <w:p>
            <w:pPr>
              <w:pStyle w:val="Compact"/>
              <w:spacing w:after="40" w:before="40"/>
              <w:jc w:val="left"/>
            </w:pPr>
            <w:r>
              <w:rPr>
                <w:rFonts w:ascii="Cambria" w:hAnsi="Cambria" w:cs="Cambria" w:eastAsia="Cambria"/>
                <w:color w:val="1A1A1A"/>
                <w:sz w:val="18"/>
              </w:rPr>
              <w:t xml:space="preserve">~ 26</w:t>
            </w:r>
          </w:p>
        </w:tc>
        <w:tc>
          <w:tcPr/>
          <w:p>
            <w:pPr>
              <w:pStyle w:val="Compact"/>
              <w:spacing w:after="40" w:before="40"/>
              <w:jc w:val="left"/>
            </w:pPr>
            <w:r>
              <w:rPr>
                <w:rFonts w:ascii="Cambria" w:hAnsi="Cambria" w:cs="Cambria" w:eastAsia="Cambria"/>
                <w:color w:val="1A1A1A"/>
                <w:sz w:val="18"/>
              </w:rPr>
              <w:t xml:space="preserve">~ 39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83</w:t>
            </w:r>
          </w:p>
        </w:tc>
        <w:tc>
          <w:tcPr>
            <w:shd w:val="clear" w:color="auto" w:fill="F4F1EC"/>
          </w:tcPr>
          <w:p>
            <w:pPr>
              <w:pStyle w:val="Compact"/>
              <w:spacing w:after="40" w:before="40"/>
              <w:jc w:val="left"/>
            </w:pPr>
            <w:r>
              <w:rPr>
                <w:rFonts w:ascii="Cambria" w:hAnsi="Cambria" w:cs="Cambria" w:eastAsia="Cambria"/>
                <w:color w:val="1A1A1A"/>
                <w:sz w:val="18"/>
              </w:rPr>
              <w:t xml:space="preserve">~ 154</w:t>
            </w:r>
          </w:p>
        </w:tc>
        <w:tc>
          <w:tcPr>
            <w:shd w:val="clear" w:color="auto" w:fill="F4F1EC"/>
          </w:tcPr>
          <w:p>
            <w:pPr>
              <w:pStyle w:val="Compact"/>
              <w:spacing w:after="40" w:before="40"/>
              <w:jc w:val="left"/>
            </w:pPr>
            <w:r>
              <w:rPr>
                <w:rFonts w:ascii="Cambria" w:hAnsi="Cambria" w:cs="Cambria" w:eastAsia="Cambria"/>
                <w:color w:val="1A1A1A"/>
                <w:sz w:val="18"/>
              </w:rPr>
              <w:t xml:space="preserve">~ 240</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−10</w:t>
            </w:r>
          </w:p>
        </w:tc>
        <w:tc>
          <w:tcPr/>
          <w:p>
            <w:pPr>
              <w:pStyle w:val="Compact"/>
              <w:spacing w:after="40" w:before="40"/>
              <w:jc w:val="left"/>
            </w:pPr>
            <w:r>
              <w:rPr>
                <w:rFonts w:ascii="Cambria" w:hAnsi="Cambria" w:cs="Cambria" w:eastAsia="Cambria"/>
                <w:color w:val="1A1A1A"/>
                <w:sz w:val="18"/>
              </w:rPr>
              <w:t xml:space="preserve">~ −12</w:t>
            </w:r>
          </w:p>
        </w:tc>
        <w:tc>
          <w:tcPr/>
          <w:p>
            <w:pPr>
              <w:pStyle w:val="Compact"/>
              <w:spacing w:after="40" w:before="40"/>
              <w:jc w:val="left"/>
            </w:pPr>
            <w:r>
              <w:rPr>
                <w:rFonts w:ascii="Cambria" w:hAnsi="Cambria" w:cs="Cambria" w:eastAsia="Cambria"/>
                <w:color w:val="1A1A1A"/>
                <w:sz w:val="18"/>
              </w:rPr>
              <w:t xml:space="preserve">~ −12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+73</w:t>
            </w:r>
          </w:p>
        </w:tc>
        <w:tc>
          <w:tcPr>
            <w:shd w:val="clear" w:color="auto" w:fill="F4F1EC"/>
          </w:tcPr>
          <w:p>
            <w:pPr>
              <w:pStyle w:val="Compact"/>
              <w:spacing w:after="40" w:before="40"/>
              <w:jc w:val="left"/>
            </w:pPr>
            <w:r>
              <w:rPr>
                <w:rFonts w:ascii="Cambria" w:hAnsi="Cambria" w:cs="Cambria" w:eastAsia="Cambria"/>
                <w:color w:val="1A1A1A"/>
                <w:sz w:val="18"/>
              </w:rPr>
              <w:t xml:space="preserve">+142</w:t>
            </w:r>
          </w:p>
        </w:tc>
        <w:tc>
          <w:tcPr>
            <w:shd w:val="clear" w:color="auto" w:fill="F4F1EC"/>
          </w:tcPr>
          <w:p>
            <w:pPr>
              <w:pStyle w:val="Compact"/>
              <w:spacing w:after="40" w:before="40"/>
              <w:jc w:val="left"/>
            </w:pPr>
            <w:r>
              <w:rPr>
                <w:rFonts w:ascii="Cambria" w:hAnsi="Cambria" w:cs="Cambria" w:eastAsia="Cambria"/>
                <w:color w:val="1A1A1A"/>
                <w:sz w:val="18"/>
              </w:rPr>
              <w:t xml:space="preserve">+228</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~3,8:1</w:t>
            </w:r>
          </w:p>
        </w:tc>
        <w:tc>
          <w:tcPr/>
          <w:p>
            <w:pPr>
              <w:pStyle w:val="Compact"/>
              <w:spacing w:after="40" w:before="40"/>
              <w:jc w:val="left"/>
            </w:pPr>
            <w:r>
              <w:rPr>
                <w:rFonts w:ascii="Cambria" w:hAnsi="Cambria" w:cs="Cambria" w:eastAsia="Cambria"/>
                <w:color w:val="1A1A1A"/>
                <w:sz w:val="18"/>
              </w:rPr>
              <w:t xml:space="preserve">~4,7:1</w:t>
            </w:r>
          </w:p>
        </w:tc>
        <w:t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A.3. Il quadro economico consolidato per scenario (costo per incarico di riferimento di 55.000 euro).</w:t>
      </w:r>
    </w:p>
    <w:bookmarkEnd w:id="4204"/>
    <w:bookmarkStart w:id="4205" w:name="X5e3b448d8907c70c74012b76fa76a6fc4efe743"/>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1436"/>
      </w:r>
      <w:r>
        <w:t xml:space="preserve"> </w:t>
      </w:r>
      <w:r>
        <w:t xml:space="preserve">La tabella seguente li descrive.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6"/>
        <w:gridCol w:w="1584"/>
        <w:gridCol w:w="41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Caratteristiche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 soglia clinica ~10; cambiamento affidabile ~6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d’ansia</w:t>
            </w:r>
          </w:p>
        </w:tc>
        <w:tc>
          <w:tcPr>
            <w:shd w:val="clear" w:color="auto" w:fill="F4F1EC"/>
          </w:tcPr>
          <w:p>
            <w:pPr>
              <w:pStyle w:val="Compact"/>
              <w:spacing w:after="40" w:before="40"/>
              <w:jc w:val="left"/>
            </w:pPr>
            <w:r>
              <w:rPr>
                <w:rFonts w:ascii="Cambria" w:hAnsi="Cambria" w:cs="Cambria" w:eastAsia="Cambria"/>
                <w:color w:val="1A1A1A"/>
                <w:sz w:val="18"/>
              </w:rPr>
              <w:t xml:space="preserve">0–21; impiegato nel solo punteggio complessivo</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Discesa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Esito secondario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1437"/>
      </w:r>
      <w:r>
        <w:t xml:space="preserve"> </w:t>
      </w:r>
      <w:r>
        <w:t xml:space="preserve">La tabella seguente ne costituisce il dizionario dei dati.</w:t>
      </w:r>
    </w:p>
    <w:tbl>
      <w:tblPr>
        <w:tblStyle w:val="Table"/>
        <w:tblW w:type="pct" w:w="491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52"/>
        <w:gridCol w:w="4154"/>
        <w:gridCol w:w="18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Campo del dataset</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Momento di rilevazione</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Data di apertura, canale di accesso, invio</w:t>
            </w:r>
          </w:p>
        </w:tc>
        <w:tc>
          <w:tcPr/>
          <w:p>
            <w:pPr>
              <w:pStyle w:val="Compact"/>
              <w:spacing w:after="40" w:before="40"/>
              <w:jc w:val="left"/>
            </w:pPr>
            <w:r>
              <w:rPr>
                <w:rFonts w:ascii="Cambria" w:hAnsi="Cambria" w:cs="Cambria" w:eastAsia="Cambria"/>
                <w:color w:val="1A1A1A"/>
                <w:sz w:val="18"/>
              </w:rPr>
              <w:t xml:space="preserve">All’apertura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Seduta</w:t>
            </w:r>
          </w:p>
        </w:tc>
        <w:tc>
          <w:tcPr>
            <w:shd w:val="clear" w:color="auto" w:fill="F4F1EC"/>
          </w:tcPr>
          <w:p>
            <w:pPr>
              <w:pStyle w:val="Compact"/>
              <w:spacing w:after="40" w:before="40"/>
              <w:jc w:val="left"/>
            </w:pPr>
            <w:r>
              <w:rPr>
                <w:rFonts w:ascii="Cambria" w:hAnsi="Cambria" w:cs="Cambria" w:eastAsia="Cambria"/>
                <w:color w:val="1A1A1A"/>
                <w:sz w:val="18"/>
              </w:rPr>
              <w:t xml:space="preserve">Data, tipo e numero progressivo della seduta</w:t>
            </w:r>
          </w:p>
        </w:tc>
        <w:tc>
          <w:tcPr>
            <w:shd w:val="clear" w:color="auto" w:fill="F4F1EC"/>
          </w:tcPr>
          <w:p>
            <w:pPr>
              <w:pStyle w:val="Compact"/>
              <w:spacing w:after="40" w:before="40"/>
              <w:jc w:val="left"/>
            </w:pPr>
            <w:r>
              <w:rPr>
                <w:rFonts w:ascii="Cambria" w:hAnsi="Cambria" w:cs="Cambria" w:eastAsia="Cambria"/>
                <w:color w:val="1A1A1A"/>
                <w:sz w:val="18"/>
              </w:rPr>
              <w:t xml:space="preserve">A ogni seduta</w:t>
            </w:r>
          </w:p>
        </w:tc>
      </w:tr>
      <w:tr>
        <w:tc>
          <w:tcPr/>
          <w:p>
            <w:pPr>
              <w:pStyle w:val="Compact"/>
              <w:spacing w:after="40" w:before="40"/>
              <w:jc w:val="left"/>
            </w:pPr>
            <w:r>
              <w:rPr>
                <w:rFonts w:ascii="Cambria" w:hAnsi="Cambria" w:cs="Cambria" w:eastAsia="Cambria"/>
                <w:b/>
                <w:bCs/>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e GAD-7 (punteggi complessivi)</w:t>
            </w:r>
          </w:p>
        </w:tc>
        <w:tc>
          <w:tcPr/>
          <w:p>
            <w:pPr>
              <w:pStyle w:val="Compact"/>
              <w:spacing w:after="40" w:before="40"/>
              <w:jc w:val="left"/>
            </w:pPr>
            <w:r>
              <w:rPr>
                <w:rFonts w:ascii="Cambria" w:hAnsi="Cambria" w:cs="Cambria" w:eastAsia="Cambria"/>
                <w:color w:val="1A1A1A"/>
                <w:sz w:val="18"/>
              </w:rPr>
              <w:t xml:space="preserve">A ogni seduta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Invii e restituzioni</w:t>
            </w:r>
          </w:p>
        </w:tc>
        <w:tc>
          <w:tcPr>
            <w:shd w:val="clear" w:color="auto" w:fill="F4F1EC"/>
          </w:tcPr>
          <w:p>
            <w:pPr>
              <w:pStyle w:val="Compact"/>
              <w:spacing w:after="40" w:before="40"/>
              <w:jc w:val="left"/>
            </w:pPr>
            <w:r>
              <w:rPr>
                <w:rFonts w:ascii="Cambria" w:hAnsi="Cambria" w:cs="Cambria" w:eastAsia="Cambria"/>
                <w:color w:val="1A1A1A"/>
                <w:sz w:val="18"/>
              </w:rPr>
              <w:t xml:space="preserve">Invio a servizi specialistici; restituzione al medico curante</w:t>
            </w:r>
          </w:p>
        </w:tc>
        <w:tc>
          <w:tcPr>
            <w:shd w:val="clear" w:color="auto" w:fill="F4F1EC"/>
          </w:tcPr>
          <w:p>
            <w:pPr>
              <w:pStyle w:val="Compact"/>
              <w:spacing w:after="40" w:before="40"/>
              <w:jc w:val="left"/>
            </w:pPr>
            <w:r>
              <w:rPr>
                <w:rFonts w:ascii="Cambria" w:hAnsi="Cambria" w:cs="Cambria" w:eastAsia="Cambria"/>
                <w:color w:val="1A1A1A"/>
                <w:sz w:val="18"/>
              </w:rPr>
              <w:t xml:space="preserve">Ove pertinente</w:t>
            </w:r>
          </w:p>
        </w:tc>
      </w:tr>
      <w:tr>
        <w:tc>
          <w:tcPr/>
          <w:p>
            <w:pPr>
              <w:pStyle w:val="Compact"/>
              <w:spacing w:after="40" w:before="40"/>
              <w:jc w:val="left"/>
            </w:pPr>
            <w:r>
              <w:rPr>
                <w:rFonts w:ascii="Cambria" w:hAnsi="Cambria" w:cs="Cambria" w:eastAsia="Cambria"/>
                <w:b/>
                <w:bCs/>
                <w:color w:val="1A1A1A"/>
                <w:sz w:val="18"/>
              </w:rPr>
              <w:t xml:space="preserve">Chiusura</w:t>
            </w:r>
          </w:p>
        </w:tc>
        <w:tc>
          <w:tcPr/>
          <w:p>
            <w:pPr>
              <w:pStyle w:val="Compact"/>
              <w:spacing w:after="40" w:before="40"/>
              <w:jc w:val="left"/>
            </w:pPr>
            <w:r>
              <w:rPr>
                <w:rFonts w:ascii="Cambria" w:hAnsi="Cambria" w:cs="Cambria" w:eastAsia="Cambria"/>
                <w:color w:val="1A1A1A"/>
                <w:sz w:val="18"/>
              </w:rPr>
              <w:t xml:space="preserve">Esito del percorso (recupero, miglioramento, invio)</w:t>
            </w:r>
          </w:p>
        </w:tc>
        <w:tc>
          <w:tcPr/>
          <w:p>
            <w:pPr>
              <w:pStyle w:val="Compact"/>
              <w:spacing w:after="40" w:before="40"/>
              <w:jc w:val="left"/>
            </w:pPr>
            <w:r>
              <w:rPr>
                <w:rFonts w:ascii="Cambria" w:hAnsi="Cambria" w:cs="Cambria" w:eastAsia="Cambria"/>
                <w:color w:val="1A1A1A"/>
                <w:sz w:val="18"/>
              </w:rPr>
              <w:t xml:space="preserve">Alla chiusura</w:t>
            </w:r>
          </w:p>
        </w:tc>
      </w:tr>
    </w:tbl>
    <w:p>
      <w:pPr>
        <w:pStyle w:val="BodyText"/>
      </w:pPr>
      <w:r>
        <w:rPr>
          <w:i/>
          <w:iCs/>
        </w:rPr>
        <w:t xml:space="preserve">Tabella B.2. Il dataset minimo: i campi del protocollo di rilevazione (dizionario dei dati).</w:t>
      </w:r>
    </w:p>
    <w:bookmarkEnd w:id="4205"/>
    <w:bookmarkStart w:id="4206" w:name="appendice-c-dati-regionali-e-fonti"/>
    <w:p>
      <w:pPr>
        <w:pStyle w:val="Heading2"/>
      </w:pPr>
      <w:r>
        <w:t xml:space="preserve">Appendice C — Dati regionali e fonti</w:t>
      </w:r>
    </w:p>
    <w:p>
      <w:pPr>
        <w:pStyle w:val="FirstParagraph"/>
      </w:pPr>
      <w:r>
        <w:t xml:space="preserve">La presente appendice raccoglie i dati regionali di ancoraggio dello studio e ne dichiara i limiti. I valori piemontesi impiegati nelle analisi sono riepilogati nella tabella seguente.</w:t>
      </w:r>
      <w:r>
        <w:rPr>
          <w:rStyle w:val="FootnoteReference"/>
        </w:rPr>
        <w:footnoteReference w:id="1438"/>
      </w:r>
    </w:p>
    <w:tbl>
      <w:tblPr>
        <w:tblStyle w:val="Table"/>
        <w:tblW w:type="pct" w:w="497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833"/>
        <w:gridCol w:w="70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regionale</w:t>
            </w:r>
          </w:p>
        </w:tc>
      </w:tr>
      <w:tr>
        <w:tc>
          <w:tcPr/>
          <w:p>
            <w:pPr>
              <w:pStyle w:val="Compact"/>
              <w:spacing w:after="40" w:before="40"/>
              <w:jc w:val="left"/>
            </w:pPr>
            <w:r>
              <w:rPr>
                <w:rFonts w:ascii="Cambria" w:hAnsi="Cambria" w:cs="Cambria" w:eastAsia="Cambria"/>
                <w:b/>
                <w:bCs/>
                <w:color w:val="1A1A1A"/>
                <w:sz w:val="18"/>
              </w:rPr>
              <w:t xml:space="preserve">Popolazione regionale</w:t>
            </w:r>
          </w:p>
        </w:tc>
        <w:tc>
          <w:tcPr/>
          <w:p>
            <w:pPr>
              <w:pStyle w:val="Compact"/>
              <w:spacing w:after="40" w:before="40"/>
              <w:jc w:val="left"/>
            </w:pPr>
            <w:r>
              <w:rPr>
                <w:rFonts w:ascii="Cambria" w:hAnsi="Cambria" w:cs="Cambria" w:eastAsia="Cambria"/>
                <w:color w:val="1A1A1A"/>
                <w:sz w:val="18"/>
              </w:rPr>
              <w:t xml:space="preserve">4.251.868 abitanti (Censimento ISTAT 2024); popolazione sostanzialmente stabile e con marcato invecchiamento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Finanziamento del SSR</w:t>
            </w:r>
          </w:p>
        </w:tc>
        <w:tc>
          <w:tcPr>
            <w:shd w:val="clear" w:color="auto" w:fill="F4F1EC"/>
          </w:tcPr>
          <w:p>
            <w:pPr>
              <w:pStyle w:val="Compact"/>
              <w:spacing w:after="40" w:before="40"/>
              <w:jc w:val="left"/>
            </w:pPr>
            <w:r>
              <w:rPr>
                <w:rFonts w:ascii="Cambria" w:hAnsi="Cambria" w:cs="Cambria" w:eastAsia="Cambria"/>
                <w:color w:val="1A1A1A"/>
                <w:sz w:val="18"/>
              </w:rPr>
              <w:t xml:space="preserve">Dell’ordine di 9,5 miliardi di euro; sotto pressione finanziaria; nessun piano di rientro in atto; disavanzo storico in restituzione (sent. Corte cost. 87/2024)</w:t>
            </w:r>
          </w:p>
        </w:tc>
      </w:tr>
      <w:tr>
        <w:tc>
          <w:tcPr/>
          <w:p>
            <w:pPr>
              <w:pStyle w:val="Compact"/>
              <w:spacing w:after="40" w:before="40"/>
              <w:jc w:val="left"/>
            </w:pPr>
            <w:r>
              <w:rPr>
                <w:rFonts w:ascii="Cambria" w:hAnsi="Cambria" w:cs="Cambria" w:eastAsia="Cambria"/>
                <w:b/>
                <w:bCs/>
                <w:color w:val="1A1A1A"/>
                <w:sz w:val="18"/>
              </w:rPr>
              <w:t xml:space="preserve">Mobilità sanitaria</w:t>
            </w:r>
          </w:p>
        </w:tc>
        <w:tc>
          <w:tcPr/>
          <w:p>
            <w:pPr>
              <w:pStyle w:val="Compact"/>
              <w:spacing w:after="40" w:before="40"/>
              <w:jc w:val="left"/>
            </w:pPr>
            <w:r>
              <w:rPr>
                <w:rFonts w:ascii="Cambria" w:hAnsi="Cambria" w:cs="Cambria" w:eastAsia="Cambria"/>
                <w:color w:val="1A1A1A"/>
                <w:sz w:val="18"/>
              </w:rPr>
              <w:t xml:space="preserve">Saldo sostanzialmente in equilibrio, marginalmente negativo e in peggioramento; polo torinese attivo, province di confine passive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 1.300.000 accessi/anno</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Consumo regionale delle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 850.000 con disagio comune; ~ 56.000 in carico ai Dipartimenti di Salute Mentale</w:t>
            </w:r>
          </w:p>
        </w:tc>
      </w:tr>
      <w:tr>
        <w:tc>
          <w:tcPr/>
          <w:p>
            <w:pPr>
              <w:pStyle w:val="Compact"/>
              <w:spacing w:after="40" w:before="40"/>
              <w:jc w:val="left"/>
            </w:pPr>
            <w:r>
              <w:rPr>
                <w:rFonts w:ascii="Cambria" w:hAnsi="Cambria" w:cs="Cambria" w:eastAsia="Cambria"/>
                <w:b/>
                <w:bCs/>
                <w:color w:val="1A1A1A"/>
                <w:sz w:val="18"/>
              </w:rPr>
              <w:t xml:space="preserve">Funzione attuale</w:t>
            </w:r>
          </w:p>
        </w:tc>
        <w:tc>
          <w:tcPr/>
          <w:p>
            <w:pPr>
              <w:pStyle w:val="Compact"/>
              <w:spacing w:after="40" w:before="40"/>
              <w:jc w:val="left"/>
            </w:pPr>
            <w:r>
              <w:rPr>
                <w:rFonts w:ascii="Cambria" w:hAnsi="Cambria" w:cs="Cambria" w:eastAsia="Cambria"/>
                <w:color w:val="1A1A1A"/>
                <w:sz w:val="18"/>
              </w:rPr>
              <w:t xml:space="preserve">Servizio di psicologia delle cure primarie attivato a livello regionale e operativo da marzo 2023, prima e inizialmente unica Regione; rifinanziato a quota capitaria; oltre 3.000 pazienti e oltre 15.000 prestazioni al 31.12.2023; base libero-professionale; nessuna legge dedicata; ~ 5% del fabbisogno</w:t>
            </w:r>
          </w:p>
        </w:tc>
      </w:tr>
    </w:tbl>
    <w:p>
      <w:pPr>
        <w:pStyle w:val="BodyText"/>
      </w:pPr>
      <w:r>
        <w:rPr>
          <w:i/>
          <w:iCs/>
        </w:rPr>
        <w:t xml:space="preserve">Tabella C.1. I valori regionali di ancoraggio del Piemonte.</w:t>
      </w:r>
    </w:p>
    <w:p>
      <w:pPr>
        <w:pStyle w:val="BodyText"/>
      </w:pPr>
      <w:r>
        <w:t xml:space="preserve">Resta la lacuna principale dello studio: i valori economici sono in parte ricostruiti a partire dai conti nazionali scalati per la quota di popolazione piemontese, e non estratti dai conti regionali certificati.</w:t>
      </w:r>
      <w:r>
        <w:rPr>
          <w:rStyle w:val="FootnoteReference"/>
        </w:rPr>
        <w:footnoteReference w:id="1439"/>
      </w:r>
      <w:r>
        <w:t xml:space="preserve"> </w:t>
      </w:r>
      <w:r>
        <w:t xml:space="preserve">La tabella seguente elenca i dati da acquisire per sostituire le stime.</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54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Dato da acquisire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Ricoveri psichiatrici</w:t>
            </w:r>
          </w:p>
        </w:tc>
        <w:tc>
          <w:tcPr/>
          <w:p>
            <w:pPr>
              <w:pStyle w:val="Compact"/>
              <w:spacing w:after="40" w:before="40"/>
              <w:jc w:val="left"/>
            </w:pPr>
            <w:r>
              <w:rPr>
                <w:rFonts w:ascii="Cambria" w:hAnsi="Cambria" w:cs="Cambria" w:eastAsia="Cambria"/>
                <w:color w:val="1A1A1A"/>
                <w:sz w:val="18"/>
              </w:rPr>
              <w:t xml:space="preserve">Schede di dimissione ospedaliera per disturbi psichici e relativo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Specialistica</w:t>
            </w:r>
          </w:p>
        </w:tc>
        <w:tc>
          <w:tcPr>
            <w:shd w:val="clear" w:color="auto" w:fill="F4F1EC"/>
          </w:tcPr>
          <w:p>
            <w:pPr>
              <w:pStyle w:val="Compact"/>
              <w:spacing w:after="40" w:before="40"/>
              <w:jc w:val="left"/>
            </w:pPr>
            <w:r>
              <w:rPr>
                <w:rFonts w:ascii="Cambria" w:hAnsi="Cambria" w:cs="Cambria" w:eastAsia="Cambria"/>
                <w:color w:val="1A1A1A"/>
                <w:sz w:val="18"/>
              </w:rPr>
              <w:t xml:space="preserve">Prestazioni specialistiche associate ai sintomi somatici funzionali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Spesa regionale per 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causa psichiatrica e relativo costo unitario</w:t>
            </w:r>
          </w:p>
        </w:tc>
      </w:tr>
      <w:tr>
        <w:tc>
          <w:tcPr/>
          <w:p>
            <w:pPr>
              <w:pStyle w:val="Compact"/>
              <w:spacing w:after="40" w:before="40"/>
              <w:jc w:val="left"/>
            </w:pPr>
            <w:r>
              <w:rPr>
                <w:rFonts w:ascii="Cambria" w:hAnsi="Cambria" w:cs="Cambria" w:eastAsia="Cambria"/>
                <w:b/>
                <w:bCs/>
                <w:color w:val="1A1A1A"/>
                <w:sz w:val="18"/>
              </w:rPr>
              <w:t xml:space="preserve">Dati del servizio attivo</w:t>
            </w:r>
          </w:p>
        </w:tc>
        <w:tc>
          <w:tcPr/>
          <w:p>
            <w:pPr>
              <w:pStyle w:val="Compact"/>
              <w:spacing w:after="40" w:before="40"/>
              <w:jc w:val="left"/>
            </w:pPr>
            <w:r>
              <w:rPr>
                <w:rFonts w:ascii="Cambria" w:hAnsi="Cambria" w:cs="Cambria" w:eastAsia="Cambria"/>
                <w:color w:val="1A1A1A"/>
                <w:sz w:val="18"/>
              </w:rPr>
              <w:t xml:space="preserve">Prese in carico, sedute ed esiti già registrati dal servizio operativo dal 2023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Liste di attesa</w:t>
            </w:r>
          </w:p>
        </w:tc>
        <w:tc>
          <w:tcPr>
            <w:shd w:val="clear" w:color="auto" w:fill="F4F1EC"/>
          </w:tcPr>
          <w:p>
            <w:pPr>
              <w:pStyle w:val="Compact"/>
              <w:spacing w:after="40" w:before="40"/>
              <w:jc w:val="left"/>
            </w:pPr>
            <w:r>
              <w:rPr>
                <w:rFonts w:ascii="Cambria" w:hAnsi="Cambria" w:cs="Cambria" w:eastAsia="Cambria"/>
                <w:color w:val="1A1A1A"/>
                <w:sz w:val="18"/>
              </w:rPr>
              <w:t xml:space="preserve">Tempi di attesa per l’accesso psicologico, per Azienda Sanitaria Locale e per area</w:t>
            </w:r>
          </w:p>
        </w:tc>
      </w:tr>
    </w:tbl>
    <w:p>
      <w:pPr>
        <w:pStyle w:val="BodyText"/>
      </w:pPr>
      <w:r>
        <w:rPr>
          <w:i/>
          <w:iCs/>
        </w:rPr>
        <w:t xml:space="preserve">Tabella C.2. I dati certificati da acquisire per sostituire le stime (lacuna principale dello studio).</w:t>
      </w:r>
    </w:p>
    <w:bookmarkEnd w:id="4206"/>
    <w:bookmarkStart w:id="4207" w:name="appendice-d-checklist-di-reporting"/>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1440"/>
      </w:r>
      <w:r>
        <w:t xml:space="preserve"> </w:t>
      </w:r>
      <w:r>
        <w:t xml:space="preserve">La tabella seguente li riepiloga.</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3927"/>
        <w:gridCol w:w="1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Standard o lista di controllo</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r>
      <w:tr>
        <w:tc>
          <w:tcPr/>
          <w:p>
            <w:pPr>
              <w:pStyle w:val="Compact"/>
              <w:spacing w:after="40" w:before="40"/>
              <w:jc w:val="left"/>
            </w:pPr>
            <w:r>
              <w:rPr>
                <w:rFonts w:ascii="Cambria" w:hAnsi="Cambria" w:cs="Cambria" w:eastAsia="Cambria"/>
                <w:b/>
                <w:bCs/>
                <w:color w:val="1A1A1A"/>
                <w:sz w:val="18"/>
              </w:rPr>
              <w:t xml:space="preserve">CHEERS 2022 (28 voci)</w:t>
            </w:r>
          </w:p>
        </w:tc>
        <w:tc>
          <w:tcPr/>
          <w:p>
            <w:pPr>
              <w:pStyle w:val="Compact"/>
              <w:spacing w:after="40" w:before="40"/>
              <w:jc w:val="left"/>
            </w:pPr>
            <w:r>
              <w:rPr>
                <w:rFonts w:ascii="Cambria" w:hAnsi="Cambria" w:cs="Cambria" w:eastAsia="Cambria"/>
                <w:color w:val="1A1A1A"/>
                <w:sz w:val="18"/>
              </w:rPr>
              <w:t xml:space="preserve">Rendicontazione delle valutazioni economiche</w:t>
            </w:r>
          </w:p>
        </w:tc>
        <w:tc>
          <w:tcPr/>
          <w:p>
            <w:pPr>
              <w:pStyle w:val="Compact"/>
              <w:spacing w:after="40" w:before="40"/>
              <w:jc w:val="left"/>
            </w:pPr>
            <w:r>
              <w:rPr>
                <w:rFonts w:ascii="Cambria" w:hAnsi="Cambria" w:cs="Cambria" w:eastAsia="Cambria"/>
                <w:color w:val="1A1A1A"/>
                <w:sz w:val="18"/>
              </w:rPr>
              <w:t xml:space="preserve">Parte 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CHEERS-AI (38 voci)</w:t>
            </w:r>
          </w:p>
        </w:tc>
        <w:tc>
          <w:tcPr>
            <w:shd w:val="clear" w:color="auto" w:fill="F4F1EC"/>
          </w:tcPr>
          <w:p>
            <w:pPr>
              <w:pStyle w:val="Compact"/>
              <w:spacing w:after="40" w:before="40"/>
              <w:jc w:val="left"/>
            </w:pPr>
            <w:r>
              <w:rPr>
                <w:rFonts w:ascii="Cambria" w:hAnsi="Cambria" w:cs="Cambria" w:eastAsia="Cambria"/>
                <w:color w:val="1A1A1A"/>
                <w:sz w:val="18"/>
              </w:rPr>
              <w:t xml:space="preserve">Estensione per gli interventi con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Parti C, E</w:t>
            </w:r>
          </w:p>
        </w:tc>
      </w:tr>
      <w:tr>
        <w:tc>
          <w:tcPr/>
          <w:p>
            <w:pPr>
              <w:pStyle w:val="Compact"/>
              <w:spacing w:after="40" w:before="40"/>
              <w:jc w:val="left"/>
            </w:pPr>
            <w:r>
              <w:rPr>
                <w:rFonts w:ascii="Cambria" w:hAnsi="Cambria" w:cs="Cambria" w:eastAsia="Cambria"/>
                <w:b/>
                <w:bCs/>
                <w:color w:val="1A1A1A"/>
                <w:sz w:val="18"/>
              </w:rPr>
              <w:t xml:space="preserve">PRISMA 2020</w:t>
            </w:r>
          </w:p>
        </w:tc>
        <w:tc>
          <w:tcPr/>
          <w:p>
            <w:pPr>
              <w:pStyle w:val="Compact"/>
              <w:spacing w:after="40" w:before="40"/>
              <w:jc w:val="left"/>
            </w:pPr>
            <w:r>
              <w:rPr>
                <w:rFonts w:ascii="Cambria" w:hAnsi="Cambria" w:cs="Cambria" w:eastAsia="Cambria"/>
                <w:color w:val="1A1A1A"/>
                <w:sz w:val="18"/>
              </w:rPr>
              <w:t xml:space="preserve">Conduzione e reporting delle revisioni sistematiche</w:t>
            </w:r>
          </w:p>
        </w:tc>
        <w:tc>
          <w:tcPr/>
          <w:p>
            <w:pPr>
              <w:pStyle w:val="Compact"/>
              <w:spacing w:after="40" w:before="40"/>
              <w:jc w:val="left"/>
            </w:pPr>
            <w:r>
              <w:rPr>
                <w:rFonts w:ascii="Cambria" w:hAnsi="Cambria" w:cs="Cambria" w:eastAsia="Cambria"/>
                <w:color w:val="1A1A1A"/>
                <w:sz w:val="18"/>
              </w:rPr>
              <w:t xml:space="preserve">Parte 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GRADE</w:t>
            </w:r>
          </w:p>
        </w:tc>
        <w:tc>
          <w:tcPr>
            <w:shd w:val="clear" w:color="auto" w:fill="F4F1EC"/>
          </w:tcPr>
          <w:p>
            <w:pPr>
              <w:pStyle w:val="Compact"/>
              <w:spacing w:after="40" w:before="40"/>
              <w:jc w:val="left"/>
            </w:pPr>
            <w:r>
              <w:rPr>
                <w:rFonts w:ascii="Cambria" w:hAnsi="Cambria" w:cs="Cambria" w:eastAsia="Cambria"/>
                <w:color w:val="1A1A1A"/>
                <w:sz w:val="18"/>
              </w:rPr>
              <w:t xml:space="preserve">Graduazione della certezza dell’evidenza</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r>
      <w:tr>
        <w:tc>
          <w:tcPr/>
          <w:p>
            <w:pPr>
              <w:pStyle w:val="Compact"/>
              <w:spacing w:after="40" w:before="40"/>
              <w:jc w:val="left"/>
            </w:pPr>
            <w:r>
              <w:rPr>
                <w:rFonts w:ascii="Cambria" w:hAnsi="Cambria" w:cs="Cambria" w:eastAsia="Cambria"/>
                <w:b/>
                <w:bCs/>
                <w:color w:val="1A1A1A"/>
                <w:sz w:val="18"/>
              </w:rPr>
              <w:t xml:space="preserve">Lista STROBE</w:t>
            </w:r>
          </w:p>
        </w:tc>
        <w:tc>
          <w:tcPr/>
          <w:p>
            <w:pPr>
              <w:pStyle w:val="Compact"/>
              <w:spacing w:after="40" w:before="40"/>
              <w:jc w:val="left"/>
            </w:pPr>
            <w:r>
              <w:rPr>
                <w:rFonts w:ascii="Cambria" w:hAnsi="Cambria" w:cs="Cambria" w:eastAsia="Cambria"/>
                <w:color w:val="1A1A1A"/>
                <w:sz w:val="18"/>
              </w:rPr>
              <w:t xml:space="preserve">Studi osservazionali sui dati reali</w:t>
            </w:r>
          </w:p>
        </w:tc>
        <w:tc>
          <w:tcPr/>
          <w:p>
            <w:pPr>
              <w:pStyle w:val="Compact"/>
              <w:spacing w:after="40" w:before="40"/>
              <w:jc w:val="left"/>
            </w:pPr>
            <w:r>
              <w:rPr>
                <w:rFonts w:ascii="Cambria" w:hAnsi="Cambria" w:cs="Cambria" w:eastAsia="Cambria"/>
                <w:color w:val="1A1A1A"/>
                <w:sz w:val="18"/>
              </w:rPr>
              <w:t xml:space="preserve">Parti D,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Buone pratiche ISPOR-SMDM</w:t>
            </w:r>
          </w:p>
        </w:tc>
        <w:tc>
          <w:tcPr>
            <w:shd w:val="clear" w:color="auto" w:fill="F4F1EC"/>
          </w:tcPr>
          <w:p>
            <w:pPr>
              <w:pStyle w:val="Compact"/>
              <w:spacing w:after="40" w:before="40"/>
              <w:jc w:val="left"/>
            </w:pPr>
            <w:r>
              <w:rPr>
                <w:rFonts w:ascii="Cambria" w:hAnsi="Cambria" w:cs="Cambria" w:eastAsia="Cambria"/>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r>
      <w:tr>
        <w:tc>
          <w:tcPr/>
          <w:p>
            <w:pPr>
              <w:pStyle w:val="Compact"/>
              <w:spacing w:after="40" w:before="40"/>
              <w:jc w:val="left"/>
            </w:pPr>
            <w:r>
              <w:rPr>
                <w:rFonts w:ascii="Cambria" w:hAnsi="Cambria" w:cs="Cambria" w:eastAsia="Cambria"/>
                <w:b/>
                <w:bCs/>
                <w:color w:val="1A1A1A"/>
                <w:sz w:val="18"/>
              </w:rPr>
              <w:t xml:space="preserve">Manuale OCSE-JRC</w:t>
            </w:r>
          </w:p>
        </w:tc>
        <w:tc>
          <w:tcPr/>
          <w:p>
            <w:pPr>
              <w:pStyle w:val="Compact"/>
              <w:spacing w:after="40" w:before="40"/>
              <w:jc w:val="left"/>
            </w:pPr>
            <w:r>
              <w:rPr>
                <w:rFonts w:ascii="Cambria" w:hAnsi="Cambria" w:cs="Cambria" w:eastAsia="Cambria"/>
                <w:color w:val="1A1A1A"/>
                <w:sz w:val="18"/>
              </w:rPr>
              <w:t xml:space="preserve">Costruzione degli indicatori compositi</w:t>
            </w:r>
          </w:p>
        </w:tc>
        <w:tc>
          <w:tcPr/>
          <w:p>
            <w:pPr>
              <w:pStyle w:val="Compact"/>
              <w:spacing w:after="40" w:before="40"/>
              <w:jc w:val="left"/>
            </w:pPr>
            <w:r>
              <w:rPr>
                <w:rFonts w:ascii="Cambria" w:hAnsi="Cambria" w:cs="Cambria" w:eastAsia="Cambria"/>
                <w:color w:val="1A1A1A"/>
                <w:sz w:val="18"/>
              </w:rPr>
              <w:t xml:space="preserve">Parte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Griglia di giudizio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r>
    </w:tbl>
    <w:p>
      <w:pPr>
        <w:pStyle w:val="BodyText"/>
      </w:pPr>
      <w:r>
        <w:rPr>
          <w:i/>
          <w:iCs/>
        </w:rPr>
        <w:t xml:space="preserve">Tabella D.1. Gli standard di reporting e di qualità adottati nello studio, per parte di applicazione.</w:t>
      </w:r>
    </w:p>
    <w:bookmarkEnd w:id="4207"/>
    <w:bookmarkStart w:id="4208" w:name="appendice-e-glossario"/>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1441"/>
      </w:r>
      <w:r>
        <w:t xml:space="preserve"> </w:t>
      </w:r>
      <w:r>
        <w:t xml:space="preserve">Le definizioni sono comuni al telaio metodologico replicato in tutti gli studi regionali del progetto.</w:t>
      </w:r>
    </w:p>
    <w:tbl>
      <w:tblPr>
        <w:tblStyle w:val="Table"/>
        <w:tblW w:type="pct" w:w="495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76"/>
        <w:gridCol w:w="576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Termine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w:t>
            </w:r>
          </w:p>
        </w:tc>
      </w:tr>
      <w:tr>
        <w:tc>
          <w:tcPr/>
          <w:p>
            <w:pPr>
              <w:pStyle w:val="Compact"/>
              <w:spacing w:after="40" w:before="40"/>
              <w:jc w:val="left"/>
            </w:pPr>
            <w:r>
              <w:rPr>
                <w:rFonts w:ascii="Cambria" w:hAnsi="Cambria" w:cs="Cambria" w:eastAsia="Cambria"/>
                <w:b/>
                <w:bCs/>
                <w:color w:val="1A1A1A"/>
                <w:sz w:val="18"/>
              </w:rPr>
              <w:t xml:space="preserve">Valutazione di tecnologia sanitaria (HTA)</w:t>
            </w:r>
          </w:p>
        </w:tc>
        <w:tc>
          <w:tcPr/>
          <w:p>
            <w:pPr>
              <w:pStyle w:val="Compact"/>
              <w:spacing w:after="40" w:before="40"/>
              <w:jc w:val="left"/>
            </w:pPr>
            <w:r>
              <w:rPr>
                <w:rFonts w:ascii="Cambria" w:hAnsi="Cambria" w:cs="Cambria" w:eastAsia="Cambria"/>
                <w:color w:val="1A1A1A"/>
                <w:sz w:val="18"/>
              </w:rPr>
              <w:t xml:space="preserve">Valutazione multidimensionale di un intervento sanitario, articolata in nove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rapida di efficacia relativa</w:t>
            </w:r>
          </w:p>
        </w:tc>
        <w:tc>
          <w:tcPr>
            <w:shd w:val="clear" w:color="auto" w:fill="F4F1EC"/>
          </w:tcPr>
          <w:p>
            <w:pPr>
              <w:pStyle w:val="Compact"/>
              <w:spacing w:after="40" w:before="40"/>
              <w:jc w:val="left"/>
            </w:pPr>
            <w:r>
              <w:rPr>
                <w:rFonts w:ascii="Cambria" w:hAnsi="Cambria" w:cs="Cambria" w:eastAsia="Cambria"/>
                <w:color w:val="1A1A1A"/>
                <w:sz w:val="18"/>
              </w:rPr>
              <w:t xml:space="preserve">Nucleo dell’HTA, che copre i primi quattro domini (problema, descrizione, sicurezza, efficacia)</w:t>
            </w:r>
          </w:p>
        </w:tc>
      </w:tr>
      <w:tr>
        <w:tc>
          <w:tcPr/>
          <w:p>
            <w:pPr>
              <w:pStyle w:val="Compact"/>
              <w:spacing w:after="40" w:before="40"/>
              <w:jc w:val="left"/>
            </w:pPr>
            <w:r>
              <w:rPr>
                <w:rFonts w:ascii="Cambria" w:hAnsi="Cambria" w:cs="Cambria" w:eastAsia="Cambria"/>
                <w:b/>
                <w:bCs/>
                <w:color w:val="1A1A1A"/>
                <w:sz w:val="18"/>
              </w:rPr>
              <w:t xml:space="preserve">Five Case Model</w:t>
            </w:r>
          </w:p>
        </w:tc>
        <w:tc>
          <w:tcPr/>
          <w:p>
            <w:pPr>
              <w:pStyle w:val="Compact"/>
              <w:spacing w:after="40" w:before="40"/>
              <w:jc w:val="left"/>
            </w:pPr>
            <w:r>
              <w:rPr>
                <w:rFonts w:ascii="Cambria" w:hAnsi="Cambria" w:cs="Cambria" w:eastAsia="Cambria"/>
                <w:color w:val="1A1A1A"/>
                <w:sz w:val="18"/>
              </w:rPr>
              <w:t xml:space="preserve">Standard del business case pubblico in cinque casi: strategico, economico, commerciale, finanziario, gestionale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 2022</w:t>
            </w:r>
          </w:p>
        </w:tc>
        <w:tc>
          <w:tcPr>
            <w:shd w:val="clear" w:color="auto" w:fill="F4F1EC"/>
          </w:tcPr>
          <w:p>
            <w:pPr>
              <w:pStyle w:val="Compact"/>
              <w:spacing w:after="40" w:before="40"/>
              <w:jc w:val="left"/>
            </w:pPr>
            <w:r>
              <w:rPr>
                <w:rFonts w:ascii="Cambria" w:hAnsi="Cambria" w:cs="Cambria" w:eastAsia="Cambria"/>
                <w:color w:val="1A1A1A"/>
                <w:sz w:val="18"/>
              </w:rPr>
              <w:t xml:space="preserve">Lista di controllo di 28 voci per la rendicontazione delle valutazioni economiche</w:t>
            </w:r>
          </w:p>
        </w:tc>
      </w:tr>
      <w:tr>
        <w:tc>
          <w:tcPr/>
          <w:p>
            <w:pPr>
              <w:pStyle w:val="Compact"/>
              <w:spacing w:after="40" w:before="40"/>
              <w:jc w:val="left"/>
            </w:pPr>
            <w:r>
              <w:rPr>
                <w:rFonts w:ascii="Cambria" w:hAnsi="Cambria" w:cs="Cambria" w:eastAsia="Cambria"/>
                <w:b/>
                <w:bCs/>
                <w:color w:val="1A1A1A"/>
                <w:sz w:val="18"/>
              </w:rPr>
              <w:t xml:space="preserve">Criteri OCSE-DAC</w:t>
            </w:r>
          </w:p>
        </w:tc>
        <w:tc>
          <w:tcPr/>
          <w:p>
            <w:pPr>
              <w:pStyle w:val="Compact"/>
              <w:spacing w:after="40" w:before="40"/>
              <w:jc w:val="left"/>
            </w:pPr>
            <w:r>
              <w:rPr>
                <w:rFonts w:ascii="Cambria" w:hAnsi="Cambria" w:cs="Cambria" w:eastAsia="Cambria"/>
                <w:color w:val="1A1A1A"/>
                <w:sz w:val="18"/>
              </w:rPr>
              <w:t xml:space="preserve">Sei criteri di giudizio: rilevanza, coerenza, efficacia, efficienza, impatto,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di vita ponderato per la qualità (QALY)</w:t>
            </w:r>
          </w:p>
        </w:tc>
        <w:tc>
          <w:tcPr>
            <w:shd w:val="clear" w:color="auto" w:fill="F4F1EC"/>
          </w:tcPr>
          <w:p>
            <w:pPr>
              <w:pStyle w:val="Compact"/>
              <w:spacing w:after="40" w:before="40"/>
              <w:jc w:val="left"/>
            </w:pPr>
            <w:r>
              <w:rPr>
                <w:rFonts w:ascii="Cambria" w:hAnsi="Cambria" w:cs="Cambria" w:eastAsia="Cambria"/>
                <w:color w:val="1A1A1A"/>
                <w:sz w:val="18"/>
              </w:rPr>
              <w:t xml:space="preserve">Misura che integra durata e qualità della vita guadagnate</w:t>
            </w:r>
          </w:p>
        </w:tc>
      </w:tr>
      <w:tr>
        <w:tc>
          <w:tcPr/>
          <w:p>
            <w:pPr>
              <w:pStyle w:val="Compact"/>
              <w:spacing w:after="40" w:before="40"/>
              <w:jc w:val="left"/>
            </w:pPr>
            <w:r>
              <w:rPr>
                <w:rFonts w:ascii="Cambria" w:hAnsi="Cambria" w:cs="Cambria" w:eastAsia="Cambria"/>
                <w:b/>
                <w:bCs/>
                <w:color w:val="1A1A1A"/>
                <w:sz w:val="18"/>
              </w:rPr>
              <w:t xml:space="preserve">Rapporto incrementale di costo-efficacia (ICER)</w:t>
            </w:r>
          </w:p>
        </w:tc>
        <w:tc>
          <w:tcPr/>
          <w:p>
            <w:pPr>
              <w:pStyle w:val="Compact"/>
              <w:spacing w:after="40" w:before="40"/>
              <w:jc w:val="left"/>
            </w:pPr>
            <w:r>
              <w:rPr>
                <w:rFonts w:ascii="Cambria" w:hAnsi="Cambria" w:cs="Cambria" w:eastAsia="Cambria"/>
                <w:color w:val="1A1A1A"/>
                <w:sz w:val="18"/>
              </w:rPr>
              <w:t xml:space="preserve">Rapporto tra costo aggiuntivo e guadagno di salute, confrontato con una soglia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costo-utilità</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che misura gli esiti in anni di vita ponderati per la qualità</w:t>
            </w:r>
          </w:p>
        </w:tc>
      </w:tr>
      <w:tr>
        <w:tc>
          <w:tcPr/>
          <w:p>
            <w:pPr>
              <w:pStyle w:val="Compact"/>
              <w:spacing w:after="40" w:before="40"/>
              <w:jc w:val="left"/>
            </w:pPr>
            <w:r>
              <w:rPr>
                <w:rFonts w:ascii="Cambria" w:hAnsi="Cambria" w:cs="Cambria" w:eastAsia="Cambria"/>
                <w:b/>
                <w:bCs/>
                <w:color w:val="1A1A1A"/>
                <w:sz w:val="18"/>
              </w:rPr>
              <w:t xml:space="preserve">Analisi di impatto sul bilancio</w:t>
            </w:r>
          </w:p>
        </w:tc>
        <w:tc>
          <w:tcPr/>
          <w:p>
            <w:pPr>
              <w:pStyle w:val="Compact"/>
              <w:spacing w:after="40" w:before="40"/>
              <w:jc w:val="left"/>
            </w:pPr>
            <w:r>
              <w:rPr>
                <w:rFonts w:ascii="Cambria" w:hAnsi="Cambria" w:cs="Cambria" w:eastAsia="Cambria"/>
                <w:color w:val="1A1A1A"/>
                <w:sz w:val="18"/>
              </w:rPr>
              <w:t xml:space="preserve">Stima dell’effetto finanziario sul bilancio del detentore del budget, su flussi non scontati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sull’investimento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Metodo che monetizza il valore sociale generato, distinto dai risparmi di bilancio</w:t>
            </w:r>
          </w:p>
        </w:tc>
      </w:tr>
      <w:tr>
        <w:tc>
          <w:tcPr/>
          <w:p>
            <w:pPr>
              <w:pStyle w:val="Compact"/>
              <w:spacing w:after="40" w:before="40"/>
              <w:jc w:val="left"/>
            </w:pPr>
            <w:r>
              <w:rPr>
                <w:rFonts w:ascii="Cambria" w:hAnsi="Cambria" w:cs="Cambria" w:eastAsia="Cambria"/>
                <w:b/>
                <w:bCs/>
                <w:color w:val="1A1A1A"/>
                <w:sz w:val="18"/>
              </w:rPr>
              <w:t xml:space="preserve">Analisi costo-efficacia distributiva (DCEA)</w:t>
            </w:r>
          </w:p>
        </w:tc>
        <w:tc>
          <w:tcPr/>
          <w:p>
            <w:pPr>
              <w:pStyle w:val="Compact"/>
              <w:spacing w:after="40" w:before="40"/>
              <w:jc w:val="left"/>
            </w:pPr>
            <w:r>
              <w:rPr>
                <w:rFonts w:ascii="Cambria" w:hAnsi="Cambria" w:cs="Cambria" w:eastAsia="Cambria"/>
                <w:color w:val="1A1A1A"/>
                <w:sz w:val="18"/>
              </w:rPr>
              <w:t xml:space="preserve">Estende la valutazione economica alla distribuzione degli effetti tra gruppi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sensibilità probabilistica</w:t>
            </w:r>
          </w:p>
        </w:tc>
        <w:tc>
          <w:tcPr>
            <w:shd w:val="clear" w:color="auto" w:fill="F4F1EC"/>
          </w:tcPr>
          <w:p>
            <w:pPr>
              <w:pStyle w:val="Compact"/>
              <w:spacing w:after="40" w:before="40"/>
              <w:jc w:val="left"/>
            </w:pPr>
            <w:r>
              <w:rPr>
                <w:rFonts w:ascii="Cambria" w:hAnsi="Cambria" w:cs="Cambria" w:eastAsia="Cambria"/>
                <w:color w:val="1A1A1A"/>
                <w:sz w:val="18"/>
              </w:rPr>
              <w:t xml:space="preserve">Propaga l’incertezza dei parametri mediante simulazioni Monte Carlo</w:t>
            </w:r>
          </w:p>
        </w:tc>
      </w:tr>
      <w:tr>
        <w:tc>
          <w:tcPr/>
          <w:p>
            <w:pPr>
              <w:pStyle w:val="Compact"/>
              <w:spacing w:after="40" w:before="40"/>
              <w:jc w:val="left"/>
            </w:pPr>
            <w:r>
              <w:rPr>
                <w:rFonts w:ascii="Cambria" w:hAnsi="Cambria" w:cs="Cambria" w:eastAsia="Cambria"/>
                <w:b/>
                <w:bCs/>
                <w:color w:val="1A1A1A"/>
                <w:sz w:val="18"/>
              </w:rPr>
              <w:t xml:space="preserve">Valore dell’informazione (EVPI, EVPPI)</w:t>
            </w:r>
          </w:p>
        </w:tc>
        <w:tc>
          <w:tcPr/>
          <w:p>
            <w:pPr>
              <w:pStyle w:val="Compact"/>
              <w:spacing w:after="40" w:before="40"/>
              <w:jc w:val="left"/>
            </w:pPr>
            <w:r>
              <w:rPr>
                <w:rFonts w:ascii="Cambria" w:hAnsi="Cambria" w:cs="Cambria" w:eastAsia="Cambria"/>
                <w:color w:val="1A1A1A"/>
                <w:sz w:val="18"/>
              </w:rPr>
              <w:t xml:space="preserve">Beneficio atteso dalla riduzione dell’incertezza, complessiva e sui parametri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Markov</w:t>
            </w:r>
          </w:p>
        </w:tc>
        <w:tc>
          <w:tcPr>
            <w:shd w:val="clear" w:color="auto" w:fill="F4F1EC"/>
          </w:tcPr>
          <w:p>
            <w:pPr>
              <w:pStyle w:val="Compact"/>
              <w:spacing w:after="40" w:before="40"/>
              <w:jc w:val="left"/>
            </w:pPr>
            <w:r>
              <w:rPr>
                <w:rFonts w:ascii="Cambria" w:hAnsi="Cambria" w:cs="Cambria" w:eastAsia="Cambria"/>
                <w:color w:val="1A1A1A"/>
                <w:sz w:val="18"/>
              </w:rPr>
              <w:t xml:space="preserve">Modello che rappresenta il decorso di una condizione attraverso stati di salute e transizioni</w:t>
            </w:r>
          </w:p>
        </w:tc>
      </w:tr>
      <w:tr>
        <w:tc>
          <w:tcPr/>
          <w:p>
            <w:pPr>
              <w:pStyle w:val="Compact"/>
              <w:spacing w:after="40" w:before="40"/>
              <w:jc w:val="left"/>
            </w:pPr>
            <w:r>
              <w:rPr>
                <w:rFonts w:ascii="Cambria" w:hAnsi="Cambria" w:cs="Cambria" w:eastAsia="Cambria"/>
                <w:b/>
                <w:bCs/>
                <w:color w:val="1A1A1A"/>
                <w:sz w:val="18"/>
              </w:rPr>
              <w:t xml:space="preserve">Differenza-nelle-differenze</w:t>
            </w:r>
          </w:p>
        </w:tc>
        <w:tc>
          <w:tcPr/>
          <w:p>
            <w:pPr>
              <w:pStyle w:val="Compact"/>
              <w:spacing w:after="40" w:before="40"/>
              <w:jc w:val="left"/>
            </w:pPr>
            <w:r>
              <w:rPr>
                <w:rFonts w:ascii="Cambria" w:hAnsi="Cambria" w:cs="Cambria" w:eastAsia="Cambria"/>
                <w:color w:val="1A1A1A"/>
                <w:sz w:val="18"/>
              </w:rPr>
              <w:t xml:space="preserve">Metodo controfattuale che confronta la variazione nel tempo dell’esito tra gruppi a diversa esposizione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Controllo sintetico</w:t>
            </w:r>
          </w:p>
        </w:tc>
        <w:tc>
          <w:tcPr>
            <w:shd w:val="clear" w:color="auto" w:fill="F4F1EC"/>
          </w:tcPr>
          <w:p>
            <w:pPr>
              <w:pStyle w:val="Compact"/>
              <w:spacing w:after="40" w:before="40"/>
              <w:jc w:val="left"/>
            </w:pPr>
            <w:r>
              <w:rPr>
                <w:rFonts w:ascii="Cambria" w:hAnsi="Cambria" w:cs="Cambria" w:eastAsia="Cambria"/>
                <w:color w:val="1A1A1A"/>
                <w:sz w:val="18"/>
              </w:rPr>
              <w:t xml:space="preserve">Metodo che costruisce un’unità di confronto come combinazione ponderata di unità a minore esposizione</w:t>
            </w:r>
          </w:p>
        </w:tc>
      </w:tr>
      <w:tr>
        <w:tc>
          <w:tcPr/>
          <w:p>
            <w:pPr>
              <w:pStyle w:val="Compact"/>
              <w:spacing w:after="40" w:before="40"/>
              <w:jc w:val="left"/>
            </w:pPr>
            <w:r>
              <w:rPr>
                <w:rFonts w:ascii="Cambria" w:hAnsi="Cambria" w:cs="Cambria" w:eastAsia="Cambria"/>
                <w:b/>
                <w:bCs/>
                <w:color w:val="1A1A1A"/>
                <w:sz w:val="18"/>
              </w:rPr>
              <w:t xml:space="preserve">Confronto prima-dopo e intensità di copertura</w:t>
            </w:r>
          </w:p>
        </w:tc>
        <w:tc>
          <w:tcPr/>
          <w:p>
            <w:pPr>
              <w:pStyle w:val="Compact"/>
              <w:spacing w:after="40" w:before="40"/>
              <w:jc w:val="left"/>
            </w:pPr>
            <w:r>
              <w:rPr>
                <w:rFonts w:ascii="Cambria" w:hAnsi="Cambria" w:cs="Cambria" w:eastAsia="Cambria"/>
                <w:color w:val="1A1A1A"/>
                <w:sz w:val="18"/>
              </w:rPr>
              <w:t xml:space="preserve">Disegno controfattuale impiegato in Piemonte, ove il servizio è già attivo, in luogo del dispiegamento scaglionato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e verifica d’impatto della regolazione</w:t>
            </w:r>
          </w:p>
        </w:tc>
        <w:tc>
          <w:tcPr>
            <w:shd w:val="clear" w:color="auto" w:fill="F4F1EC"/>
          </w:tcPr>
          <w:p>
            <w:pPr>
              <w:pStyle w:val="Compact"/>
              <w:spacing w:after="40" w:before="40"/>
              <w:jc w:val="left"/>
            </w:pPr>
            <w:r>
              <w:rPr>
                <w:rFonts w:ascii="Cambria" w:hAnsi="Cambria" w:cs="Cambria" w:eastAsia="Cambria"/>
                <w:color w:val="1A1A1A"/>
                <w:sz w:val="18"/>
              </w:rPr>
              <w:t xml:space="preserve">Valutazione ex ante (AIR) ed ex post (VIR) degli effetti di una norma</w:t>
            </w:r>
          </w:p>
        </w:tc>
      </w:tr>
      <w:tr>
        <w:tc>
          <w:tcPr/>
          <w:p>
            <w:pPr>
              <w:pStyle w:val="Compact"/>
              <w:spacing w:after="40" w:before="40"/>
              <w:jc w:val="left"/>
            </w:pPr>
            <w:r>
              <w:rPr>
                <w:rFonts w:ascii="Cambria" w:hAnsi="Cambria" w:cs="Cambria" w:eastAsia="Cambria"/>
                <w:b/>
                <w:bCs/>
                <w:color w:val="1A1A1A"/>
                <w:sz w:val="18"/>
              </w:rPr>
              <w:t xml:space="preserve">Clausola valutativa</w:t>
            </w:r>
          </w:p>
        </w:tc>
        <w:tc>
          <w:tcPr/>
          <w:p>
            <w:pPr>
              <w:pStyle w:val="Compact"/>
              <w:spacing w:after="40" w:before="40"/>
              <w:jc w:val="left"/>
            </w:pPr>
            <w:r>
              <w:rPr>
                <w:rFonts w:ascii="Cambria" w:hAnsi="Cambria" w:cs="Cambria" w:eastAsia="Cambria"/>
                <w:color w:val="1A1A1A"/>
                <w:sz w:val="18"/>
              </w:rPr>
              <w:t xml:space="preserve">Strumento che impegna la Giunta a riferire al Consiglio sui risultati della riforma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RE-AIM</w:t>
            </w:r>
          </w:p>
        </w:tc>
        <w:tc>
          <w:tcPr>
            <w:shd w:val="clear" w:color="auto" w:fill="F4F1EC"/>
          </w:tcPr>
          <w:p>
            <w:pPr>
              <w:pStyle w:val="Compact"/>
              <w:spacing w:after="40" w:before="40"/>
              <w:jc w:val="left"/>
            </w:pPr>
            <w:r>
              <w:rPr>
                <w:rFonts w:ascii="Cambria" w:hAnsi="Cambria" w:cs="Cambria" w:eastAsia="Cambria"/>
                <w:color w:val="1A1A1A"/>
                <w:sz w:val="18"/>
              </w:rPr>
              <w:t xml:space="preserve">Quadro che misura portata, efficacia, adozione, implementazione e mantenimento di un intervento</w:t>
            </w:r>
          </w:p>
        </w:tc>
      </w:tr>
      <w:tr>
        <w:tc>
          <w:tcPr/>
          <w:p>
            <w:pPr>
              <w:pStyle w:val="Compact"/>
              <w:spacing w:after="40" w:before="40"/>
              <w:jc w:val="left"/>
            </w:pPr>
            <w:r>
              <w:rPr>
                <w:rFonts w:ascii="Cambria" w:hAnsi="Cambria" w:cs="Cambria" w:eastAsia="Cambria"/>
                <w:b/>
                <w:bCs/>
                <w:color w:val="1A1A1A"/>
                <w:sz w:val="18"/>
              </w:rPr>
              <w:t xml:space="preserve">CFIR</w:t>
            </w:r>
          </w:p>
        </w:tc>
        <w:tc>
          <w:tcPr/>
          <w:p>
            <w:pPr>
              <w:pStyle w:val="Compact"/>
              <w:spacing w:after="40" w:before="40"/>
              <w:jc w:val="left"/>
            </w:pPr>
            <w:r>
              <w:rPr>
                <w:rFonts w:ascii="Cambria" w:hAnsi="Cambria" w:cs="Cambria" w:eastAsia="Cambria"/>
                <w:color w:val="1A1A1A"/>
                <w:sz w:val="18"/>
              </w:rPr>
              <w:t xml:space="preserve">Quadro che spiega i determinanti dell’implementazione, in cinque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Donabedian</w:t>
            </w:r>
          </w:p>
        </w:tc>
        <w:tc>
          <w:tcPr>
            <w:shd w:val="clear" w:color="auto" w:fill="F4F1EC"/>
          </w:tcPr>
          <w:p>
            <w:pPr>
              <w:pStyle w:val="Compact"/>
              <w:spacing w:after="40" w:before="40"/>
              <w:jc w:val="left"/>
            </w:pPr>
            <w:r>
              <w:rPr>
                <w:rFonts w:ascii="Cambria" w:hAnsi="Cambria" w:cs="Cambria" w:eastAsia="Cambria"/>
                <w:color w:val="1A1A1A"/>
                <w:sz w:val="18"/>
              </w:rPr>
              <w:t xml:space="preserve">Classifica gli indicatori di qualità in struttura, processo ed esito, qui integrati dall’impatto</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Questionario validato per i sintomi depressivi (punteggio 0–27)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Questionario validato per i sintomi d’ansia (punteggio 0–21)</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Quota di pazienti che scende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r>
        <w:tc>
          <w:tcPr/>
          <w:p>
            <w:pPr>
              <w:pStyle w:val="Compact"/>
              <w:spacing w:after="40" w:before="40"/>
              <w:jc w:val="left"/>
            </w:pPr>
            <w:r>
              <w:rPr>
                <w:rFonts w:ascii="Cambria" w:hAnsi="Cambria" w:cs="Cambria" w:eastAsia="Cambria"/>
                <w:b/>
                <w:bCs/>
                <w:color w:val="1A1A1A"/>
                <w:sz w:val="18"/>
              </w:rPr>
              <w:t xml:space="preserve">Cura collaborativa</w:t>
            </w:r>
          </w:p>
        </w:tc>
        <w:tc>
          <w:tcPr/>
          <w:p>
            <w:pPr>
              <w:pStyle w:val="Compact"/>
              <w:spacing w:after="40" w:before="40"/>
              <w:jc w:val="left"/>
            </w:pPr>
            <w:r>
              <w:rPr>
                <w:rFonts w:ascii="Cambria" w:hAnsi="Cambria" w:cs="Cambria" w:eastAsia="Cambria"/>
                <w:color w:val="1A1A1A"/>
                <w:sz w:val="18"/>
              </w:rPr>
              <w:t xml:space="preserve">Modello di integrazione della salute mentale nelle cure primarie con équipe e monitoraggio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Cura a intensità crescente</w:t>
            </w:r>
          </w:p>
        </w:tc>
        <w:tc>
          <w:tcPr>
            <w:shd w:val="clear" w:color="auto" w:fill="F4F1EC"/>
          </w:tcPr>
          <w:p>
            <w:pPr>
              <w:pStyle w:val="Compact"/>
              <w:spacing w:after="40" w:before="40"/>
              <w:jc w:val="left"/>
            </w:pPr>
            <w:r>
              <w:rPr>
                <w:rFonts w:ascii="Cambria" w:hAnsi="Cambria" w:cs="Cambria" w:eastAsia="Cambria"/>
                <w:color w:val="1A1A1A"/>
                <w:sz w:val="18"/>
              </w:rPr>
              <w:t xml:space="preserve">Percorso che gradua l’intensità dell’intervento alla gravità del quadro</w:t>
            </w:r>
          </w:p>
        </w:tc>
      </w:tr>
      <w:tr>
        <w:tc>
          <w:tcPr/>
          <w:p>
            <w:pPr>
              <w:pStyle w:val="Compact"/>
              <w:spacing w:after="40" w:before="40"/>
              <w:jc w:val="left"/>
            </w:pPr>
            <w:r>
              <w:rPr>
                <w:rFonts w:ascii="Cambria" w:hAnsi="Cambria" w:cs="Cambria" w:eastAsia="Cambria"/>
                <w:b/>
                <w:bCs/>
                <w:color w:val="1A1A1A"/>
                <w:sz w:val="18"/>
              </w:rPr>
              <w:t xml:space="preserve">Livelli essenziali di assistenza (LEA)</w:t>
            </w:r>
          </w:p>
        </w:tc>
        <w:tc>
          <w:tcPr/>
          <w:p>
            <w:pPr>
              <w:pStyle w:val="Compact"/>
              <w:spacing w:after="40" w:before="40"/>
              <w:jc w:val="left"/>
            </w:pPr>
            <w:r>
              <w:rPr>
                <w:rFonts w:ascii="Cambria" w:hAnsi="Cambria" w:cs="Cambria" w:eastAsia="Cambria"/>
                <w:color w:val="1A1A1A"/>
                <w:sz w:val="18"/>
              </w:rPr>
              <w:t xml:space="preserve">Prestazioni garantite uniformemente dal Servizio sanitario;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Spesa per prestazioni rese ai residenti da strutture di altre regioni; in Piemonte il saldo è sostanzialmente in equilibrio, marginalmente negativo</w:t>
            </w:r>
          </w:p>
        </w:tc>
      </w:tr>
      <w:tr>
        <w:tc>
          <w:tcPr/>
          <w:p>
            <w:pPr>
              <w:pStyle w:val="Compact"/>
              <w:spacing w:after="40" w:before="40"/>
              <w:jc w:val="left"/>
            </w:pPr>
            <w:r>
              <w:rPr>
                <w:rFonts w:ascii="Cambria" w:hAnsi="Cambria" w:cs="Cambria" w:eastAsia="Cambria"/>
                <w:b/>
                <w:bCs/>
                <w:color w:val="1A1A1A"/>
                <w:sz w:val="18"/>
              </w:rPr>
              <w:t xml:space="preserve">Sintomi somatici funzionali</w:t>
            </w:r>
          </w:p>
        </w:tc>
        <w:tc>
          <w:tcPr/>
          <w:p>
            <w:pPr>
              <w:pStyle w:val="Compact"/>
              <w:spacing w:after="40" w:before="40"/>
              <w:jc w:val="left"/>
            </w:pPr>
            <w:r>
              <w:rPr>
                <w:rFonts w:ascii="Cambria" w:hAnsi="Cambria" w:cs="Cambria" w:eastAsia="Cambria"/>
                <w:color w:val="1A1A1A"/>
                <w:sz w:val="18"/>
              </w:rPr>
              <w:t xml:space="preserve">Sintomi fisici senza causa organica, associati a elevato consumo di prestazioni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concentrazione</w:t>
            </w:r>
          </w:p>
        </w:tc>
        <w:tc>
          <w:tcPr>
            <w:shd w:val="clear" w:color="auto" w:fill="F4F1EC"/>
          </w:tcPr>
          <w:p>
            <w:pPr>
              <w:pStyle w:val="Compact"/>
              <w:spacing w:after="40" w:before="40"/>
              <w:jc w:val="left"/>
            </w:pPr>
            <w:r>
              <w:rPr>
                <w:rFonts w:ascii="Cambria" w:hAnsi="Cambria" w:cs="Cambria" w:eastAsia="Cambria"/>
                <w:color w:val="1A1A1A"/>
                <w:sz w:val="18"/>
              </w:rPr>
              <w:t xml:space="preserve">Misura che lega l’esito di salute alla posizione socio-economica</w:t>
            </w:r>
          </w:p>
        </w:tc>
      </w:tr>
      <w:tr>
        <w:tc>
          <w:tcPr/>
          <w:p>
            <w:pPr>
              <w:pStyle w:val="Compact"/>
              <w:spacing w:after="40" w:before="40"/>
              <w:jc w:val="left"/>
            </w:pPr>
            <w:r>
              <w:rPr>
                <w:rFonts w:ascii="Cambria" w:hAnsi="Cambria" w:cs="Cambria" w:eastAsia="Cambria"/>
                <w:b/>
                <w:bCs/>
                <w:color w:val="1A1A1A"/>
                <w:sz w:val="18"/>
              </w:rPr>
              <w:t xml:space="preserve">Peso morto</w:t>
            </w:r>
          </w:p>
        </w:tc>
        <w:tc>
          <w:tcPr/>
          <w:p>
            <w:pPr>
              <w:pStyle w:val="Compact"/>
              <w:spacing w:after="40" w:before="40"/>
              <w:jc w:val="left"/>
            </w:pPr>
            <w:r>
              <w:rPr>
                <w:rFonts w:ascii="Cambria" w:hAnsi="Cambria" w:cs="Cambria" w:eastAsia="Cambria"/>
                <w:color w:val="1A1A1A"/>
                <w:sz w:val="18"/>
              </w:rP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70</w:t>
      </w:r>
    </w:p>
    <w:p>
      <w:pPr>
        <w:pStyle w:val="BodyText"/>
      </w:pPr>
      <w:r>
        <w:t xml:space="preserve">70</w:t>
      </w:r>
    </w:p>
    <w:bookmarkEnd w:id="4208"/>
    <w:bookmarkStart w:id="4209" w:name="liguria-studio-hta-integrale"/>
    <w:p>
      <w:pPr>
        <w:pStyle w:val="Heading2"/>
      </w:pPr>
      <w:r>
        <w:t xml:space="preserve">Liguria — Studio HTA integrale</w:t>
      </w:r>
    </w:p>
    <w:p>
      <w:pPr>
        <w:pStyle w:val="FirstParagraph"/>
      </w:pPr>
      <w:r>
        <w:t xml:space="preserve">Studio Integrale Regionale · Regione Liguria</w:t>
      </w:r>
    </w:p>
    <w:p>
      <w:pPr>
        <w:pStyle w:val="BodyText"/>
      </w:pPr>
      <w:r>
        <w:t xml:space="preserve">Progetto «Psicologo di Base» — Riforma «Psicologo di Base»: dalla legge all’avvio della sperimentazione al servizio strutturato a regime. Applicazione del telaio integrato in undici parti e cinque appendici (Modello HTA · Five Case Model · CHEERS 2022 · criteri OCSE-DAC).</w:t>
      </w:r>
    </w:p>
    <w:p>
      <w:pPr>
        <w:pStyle w:val="BodyText"/>
      </w:pPr>
      <w:r>
        <w:t xml:space="preserve">Indice</w:t>
      </w:r>
    </w:p>
    <w:bookmarkEnd w:id="4209"/>
    <w:bookmarkStart w:id="427" w:name="premessa-generale-1"/>
    <w:p>
      <w:pPr>
        <w:pStyle w:val="Heading2"/>
      </w:pPr>
      <w:r>
        <w:t xml:space="preserve">Premessa generale</w:t>
      </w:r>
    </w:p>
    <w:p>
      <w:pPr>
        <w:pStyle w:val="FirstParagraph"/>
      </w:pPr>
      <w:r>
        <w:t xml:space="preserve">Questo documento apre e ordina lo studio integrale per la Regione Liguria sulla riforma «Psicologo di Base». Esso non contiene una nuova analisi, ma fornisce la chiave di navigazione dell’intero corpus: la premessa, l’indice generale di tutte le parti e di tutte le appendici, la mappa di integrazione delle cornici metodologiche e la sintesi del valore. La Liguria occupa, nel panorama nazionale, una posizione peculiare: ha già istituito il servizio di psicologia territoriale con una legge regionale dedicata — l’articolo 76 della legge 28 dicembre 2023, n. 20 — che ne prevede gli elenchi aziendali, il rapporto convenzionale e un Osservatorio, ma ne ha avviato la sperimentazione soltanto di recente, entro la fine del 2025, dimensionandola in prima applicazione a trentotto psicologi territoriali su base libero-professionale, prioritariamente nelle Case della Comunità Hub, a copertura di una frazione minima del fabbisogno. La decisione rilevante non è dunque se introdurre il servizio, né se dotarlo di una legge, già esistente, ma se condurlo dall’avvio della sperimentazione alla strutturazione a regime e dimensionarlo, dando forma stabile e duratura a una funzione già istituita e appena avviata, nella regione più anziana d’Italia e con la più alta domanda nazionale di salute mentale.</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427"/>
    <w:bookmarkStart w:id="4210" w:name="indice-generale-del-corpus-1"/>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05"/>
        <w:gridCol w:w="1105"/>
        <w:gridCol w:w="561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A.1-A.3</w:t>
            </w:r>
          </w:p>
        </w:tc>
        <w:tc>
          <w:tcPr/>
          <w:p>
            <w:pPr>
              <w:pStyle w:val="Compact"/>
              <w:spacing w:after="40" w:before="40"/>
              <w:jc w:val="left"/>
            </w:pPr>
            <w:r>
              <w:rPr>
                <w:rFonts w:ascii="Cambria" w:hAnsi="Cambria" w:cs="Cambria" w:eastAsia="Cambria"/>
                <w:color w:val="1A1A1A"/>
                <w:sz w:val="18"/>
              </w:rPr>
              <w:t xml:space="preserve">Quadro, quesito e metodo: scopo e quesito (PICOTS),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Problema di salute, bisogno e contesto: demografia, epidemiologia, domanda e offerta, disuguaglianze,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L’intervento e il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clinica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casi economico e finanziario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parametri, sensibilità,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G.1-G.3</w:t>
            </w:r>
          </w:p>
        </w:tc>
        <w:tc>
          <w:tcPr/>
          <w:p>
            <w:pPr>
              <w:pStyle w:val="Compact"/>
              <w:spacing w:after="40" w:before="40"/>
              <w:jc w:val="left"/>
            </w:pPr>
            <w:r>
              <w:rPr>
                <w:rFonts w:ascii="Cambria" w:hAnsi="Cambria" w:cs="Cambria" w:eastAsia="Cambria"/>
                <w:color w:val="1A1A1A"/>
                <w:sz w:val="18"/>
              </w:rPr>
              <w:t xml:space="preserve">Equità e impatto distributivo: analisi di equità, costo-efficacia distributiva, divari territoriali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H.1-H.3</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etico, costituzionale, organizzativo e conformità</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implementazione, dimensionamento, casi commerciale e gestionale,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valutazione ed ex post: indicatori, protocollo, controfattuale, verifica ex post, cruscotto</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M.1-M.4</w:t>
            </w:r>
          </w:p>
        </w:tc>
        <w:tc>
          <w:tcPr/>
          <w:p>
            <w:pPr>
              <w:pStyle w:val="Compact"/>
              <w:spacing w:after="40" w:before="40"/>
              <w:jc w:val="left"/>
            </w:pPr>
            <w:r>
              <w:rPr>
                <w:rFonts w:ascii="Cambria" w:hAnsi="Cambria" w:cs="Cambria" w:eastAsia="Cambria"/>
                <w:color w:val="1A1A1A"/>
                <w:sz w:val="18"/>
              </w:rPr>
              <w:t xml:space="preserve">Sintesi multidimensionale e raccomandazioni: griglia OCSE-DAC, analisi multi-criterio, raccomandazioni, limiti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A</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tavola delle assunzioni e dei parametri</w:t>
            </w:r>
          </w:p>
        </w:tc>
      </w:tr>
      <w:tr>
        <w:tc>
          <w:tcPr/>
          <w:p>
            <w:pPr>
              <w:pStyle w:val="Compact"/>
              <w:spacing w:after="40" w:before="40"/>
              <w:jc w:val="left"/>
            </w:pPr>
            <w:r>
              <w:rPr>
                <w:rFonts w:ascii="Cambria" w:hAnsi="Cambria" w:cs="Cambria" w:eastAsia="Cambria"/>
                <w:b/>
                <w:bCs/>
                <w:color w:val="1A1A1A"/>
                <w:sz w:val="18"/>
              </w:rPr>
              <w:t xml:space="preserve">Appendice B</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Strumenti di esito e dataset minimo: questionari e dizionario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C</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Dati regionali e fonti: valori di ancoraggio e dati da acquisire</w:t>
            </w:r>
          </w:p>
        </w:tc>
      </w:tr>
      <w:tr>
        <w:tc>
          <w:tcPr/>
          <w:p>
            <w:pPr>
              <w:pStyle w:val="Compact"/>
              <w:spacing w:after="40" w:before="40"/>
              <w:jc w:val="left"/>
            </w:pPr>
            <w:r>
              <w:rPr>
                <w:rFonts w:ascii="Cambria" w:hAnsi="Cambria" w:cs="Cambria" w:eastAsia="Cambria"/>
                <w:b/>
                <w:bCs/>
                <w:color w:val="1A1A1A"/>
                <w:sz w:val="18"/>
              </w:rPr>
              <w:t xml:space="preserve">Appendice D</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Checklist di reporting: CHEERS, PRISMA, GRADE, STROBE, ISPOR-SMDM, OCSE-JRC</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4210"/>
    <w:bookmarkStart w:id="429" w:name="la-mappa-di-integrazione-del-telaio-1"/>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87"/>
        <w:gridCol w:w="1208"/>
        <w:gridCol w:w="1745"/>
        <w:gridCol w:w="17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Parte</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HTA</w:t>
            </w:r>
          </w:p>
        </w:tc>
        <w:tc>
          <w:tcPr>
            <w:shd w:val="clear" w:color="auto" w:fill="16264B"/>
          </w:tcPr>
          <w:p>
            <w:pPr>
              <w:pStyle w:val="Compact"/>
              <w:spacing w:after="40" w:before="40"/>
              <w:jc w:val="left"/>
            </w:pPr>
            <w:r>
              <w:rPr>
                <w:rFonts w:ascii="Cambria" w:hAnsi="Cambria" w:cs="Cambria" w:eastAsia="Cambria"/>
                <w:b/>
                <w:bCs/>
                <w:color w:val="FFFFFF"/>
                <w:sz w:val="18"/>
              </w:rPr>
              <w:t xml:space="preserve">Caso (5CM)</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Criterio OCSE-DAC</w:t>
            </w:r>
          </w:p>
        </w:tc>
      </w:tr>
      <w:tr>
        <w:tc>
          <w:tcPr/>
          <w:p>
            <w:pPr>
              <w:pStyle w:val="Compact"/>
              <w:spacing w:after="40" w:before="40"/>
              <w:jc w:val="left"/>
            </w:pPr>
            <w:r>
              <w:rPr>
                <w:rFonts w:ascii="Cambria" w:hAnsi="Cambria" w:cs="Cambria" w:eastAsia="Cambria"/>
                <w:b/>
                <w:bCs/>
                <w:color w:val="1A1A1A"/>
                <w:sz w:val="18"/>
              </w:rPr>
              <w:t xml:space="preserve">A — Quadro e metodo</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Imposta la griglia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 — Bisogno e contesto</w:t>
            </w:r>
          </w:p>
        </w:tc>
        <w:tc>
          <w:tcPr>
            <w:shd w:val="clear" w:color="auto" w:fill="F4F1EC"/>
          </w:tcPr>
          <w:p>
            <w:pPr>
              <w:pStyle w:val="Compact"/>
              <w:spacing w:after="40" w:before="40"/>
              <w:jc w:val="left"/>
            </w:pPr>
            <w:r>
              <w:rPr>
                <w:rFonts w:ascii="Cambria" w:hAnsi="Cambria" w:cs="Cambria" w:eastAsia="Cambria"/>
                <w:color w:val="1A1A1A"/>
                <w:sz w:val="18"/>
              </w:rPr>
              <w:t xml:space="preserve">Dominio 1</w:t>
            </w:r>
          </w:p>
        </w:tc>
        <w:tc>
          <w:tcPr>
            <w:shd w:val="clear" w:color="auto" w:fill="F4F1EC"/>
          </w:tcPr>
          <w:p>
            <w:pPr>
              <w:pStyle w:val="Compact"/>
              <w:spacing w:after="40" w:before="40"/>
              <w:jc w:val="left"/>
            </w:pPr>
            <w:r>
              <w:rPr>
                <w:rFonts w:ascii="Cambria" w:hAnsi="Cambria" w:cs="Cambria" w:eastAsia="Cambria"/>
                <w:color w:val="1A1A1A"/>
                <w:sz w:val="18"/>
              </w:rPr>
              <w:t xml:space="preserve">Strategico</w:t>
            </w:r>
          </w:p>
        </w:tc>
        <w:tc>
          <w:tcPr>
            <w:shd w:val="clear" w:color="auto" w:fill="F4F1EC"/>
          </w:tcPr>
          <w:p>
            <w:pPr>
              <w:pStyle w:val="Compact"/>
              <w:spacing w:after="40" w:before="40"/>
              <w:jc w:val="left"/>
            </w:pPr>
            <w:r>
              <w:rPr>
                <w:rFonts w:ascii="Cambria" w:hAnsi="Cambria" w:cs="Cambria" w:eastAsia="Cambria"/>
                <w:color w:val="1A1A1A"/>
                <w:sz w:val="18"/>
              </w:rPr>
              <w:t xml:space="preserve">Rilevanza, coerenza</w:t>
            </w:r>
          </w:p>
        </w:tc>
      </w:tr>
      <w:tr>
        <w:tc>
          <w:tcPr/>
          <w:p>
            <w:pPr>
              <w:pStyle w:val="Compact"/>
              <w:spacing w:after="40" w:before="40"/>
              <w:jc w:val="left"/>
            </w:pPr>
            <w:r>
              <w:rPr>
                <w:rFonts w:ascii="Cambria" w:hAnsi="Cambria" w:cs="Cambria" w:eastAsia="Cambria"/>
                <w:b/>
                <w:bCs/>
                <w:color w:val="1A1A1A"/>
                <w:sz w:val="18"/>
              </w:rPr>
              <w:t xml:space="preserve">C — Intervento e modello</w:t>
            </w:r>
          </w:p>
        </w:tc>
        <w:tc>
          <w:tcPr/>
          <w:p>
            <w:pPr>
              <w:pStyle w:val="Compact"/>
              <w:spacing w:after="40" w:before="40"/>
              <w:jc w:val="left"/>
            </w:pPr>
            <w:r>
              <w:rPr>
                <w:rFonts w:ascii="Cambria" w:hAnsi="Cambria" w:cs="Cambria" w:eastAsia="Cambria"/>
                <w:color w:val="1A1A1A"/>
                <w:sz w:val="18"/>
              </w:rPr>
              <w:t xml:space="preserve">Domini 2–3</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 — Efficacia ed evidenza</w:t>
            </w:r>
          </w:p>
        </w:tc>
        <w:tc>
          <w:tcPr>
            <w:shd w:val="clear" w:color="auto" w:fill="F4F1EC"/>
          </w:tcPr>
          <w:p>
            <w:pPr>
              <w:pStyle w:val="Compact"/>
              <w:spacing w:after="40" w:before="40"/>
              <w:jc w:val="left"/>
            </w:pPr>
            <w:r>
              <w:rPr>
                <w:rFonts w:ascii="Cambria" w:hAnsi="Cambria" w:cs="Cambria" w:eastAsia="Cambria"/>
                <w:color w:val="1A1A1A"/>
                <w:sz w:val="18"/>
              </w:rPr>
              <w:t xml:space="preserve">Dominio 4</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Efficacia</w:t>
            </w:r>
          </w:p>
        </w:tc>
      </w:tr>
      <w:tr>
        <w:tc>
          <w:tcPr/>
          <w:p>
            <w:pPr>
              <w:pStyle w:val="Compact"/>
              <w:spacing w:after="40" w:before="40"/>
              <w:jc w:val="left"/>
            </w:pPr>
            <w:r>
              <w:rPr>
                <w:rFonts w:ascii="Cambria" w:hAnsi="Cambria" w:cs="Cambria" w:eastAsia="Cambria"/>
                <w:b/>
                <w:bCs/>
                <w:color w:val="1A1A1A"/>
                <w:sz w:val="18"/>
              </w:rPr>
              <w:t xml:space="preserve">E — Valutazione economica</w:t>
            </w:r>
          </w:p>
        </w:tc>
        <w:tc>
          <w:tcPr/>
          <w:p>
            <w:pPr>
              <w:pStyle w:val="Compact"/>
              <w:spacing w:after="40" w:before="40"/>
              <w:jc w:val="left"/>
            </w:pPr>
            <w:r>
              <w:rPr>
                <w:rFonts w:ascii="Cambria" w:hAnsi="Cambria" w:cs="Cambria" w:eastAsia="Cambria"/>
                <w:color w:val="1A1A1A"/>
                <w:sz w:val="18"/>
              </w:rPr>
              <w:t xml:space="preserve">Dominio 5</w:t>
            </w:r>
          </w:p>
        </w:tc>
        <w:tc>
          <w:tcPr/>
          <w:p>
            <w:pPr>
              <w:pStyle w:val="Compact"/>
              <w:spacing w:after="40" w:before="40"/>
              <w:jc w:val="left"/>
            </w:pPr>
            <w:r>
              <w:rPr>
                <w:rFonts w:ascii="Cambria" w:hAnsi="Cambria" w:cs="Cambria" w:eastAsia="Cambria"/>
                <w:color w:val="1A1A1A"/>
                <w:sz w:val="18"/>
              </w:rPr>
              <w:t xml:space="preserve">Economico, finanziario</w:t>
            </w:r>
          </w:p>
        </w:tc>
        <w:tc>
          <w:tcPr/>
          <w:p>
            <w:pPr>
              <w:pStyle w:val="Compact"/>
              <w:spacing w:after="40" w:before="40"/>
              <w:jc w:val="left"/>
            </w:pPr>
            <w:r>
              <w:rPr>
                <w:rFonts w:ascii="Cambria" w:hAnsi="Cambria" w:cs="Cambria" w:eastAsia="Cambria"/>
                <w:color w:val="1A1A1A"/>
                <w:sz w:val="18"/>
              </w:rPr>
              <w:t xml:space="preserve">Efficienza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 — 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Dominio 5</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Efficienza</w:t>
            </w:r>
          </w:p>
        </w:tc>
      </w:tr>
      <w:tr>
        <w:tc>
          <w:tcPr/>
          <w:p>
            <w:pPr>
              <w:pStyle w:val="Compact"/>
              <w:spacing w:after="40" w:before="40"/>
              <w:jc w:val="left"/>
            </w:pPr>
            <w:r>
              <w:rPr>
                <w:rFonts w:ascii="Cambria" w:hAnsi="Cambria" w:cs="Cambria" w:eastAsia="Cambria"/>
                <w:b/>
                <w:bCs/>
                <w:color w:val="1A1A1A"/>
                <w:sz w:val="18"/>
              </w:rPr>
              <w:t xml:space="preserve">G — Equità e impatto</w:t>
            </w:r>
          </w:p>
        </w:tc>
        <w:tc>
          <w:tcPr/>
          <w:p>
            <w:pPr>
              <w:pStyle w:val="Compact"/>
              <w:spacing w:after="40" w:before="40"/>
              <w:jc w:val="left"/>
            </w:pPr>
            <w:r>
              <w:rPr>
                <w:rFonts w:ascii="Cambria" w:hAnsi="Cambria" w:cs="Cambria" w:eastAsia="Cambria"/>
                <w:color w:val="1A1A1A"/>
                <w:sz w:val="18"/>
              </w:rPr>
              <w:t xml:space="preserve">Dominio 8</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Impatto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H — Profili etico/giuridico/organizz.</w:t>
            </w:r>
          </w:p>
        </w:tc>
        <w:tc>
          <w:tcPr>
            <w:shd w:val="clear" w:color="auto" w:fill="F4F1EC"/>
          </w:tcPr>
          <w:p>
            <w:pPr>
              <w:pStyle w:val="Compact"/>
              <w:spacing w:after="40" w:before="40"/>
              <w:jc w:val="left"/>
            </w:pPr>
            <w:r>
              <w:rPr>
                <w:rFonts w:ascii="Cambria" w:hAnsi="Cambria" w:cs="Cambria" w:eastAsia="Cambria"/>
                <w:color w:val="1A1A1A"/>
                <w:sz w:val="18"/>
              </w:rPr>
              <w:t xml:space="preserve">Domini 6, 7, 9</w:t>
            </w:r>
          </w:p>
        </w:tc>
        <w:tc>
          <w:tcPr>
            <w:shd w:val="clear" w:color="auto" w:fill="F4F1EC"/>
          </w:tcPr>
          <w:p>
            <w:pPr>
              <w:pStyle w:val="Compact"/>
              <w:spacing w:after="40" w:before="40"/>
              <w:jc w:val="left"/>
            </w:pPr>
            <w:r>
              <w:rPr>
                <w:rFonts w:ascii="Cambria" w:hAnsi="Cambria" w:cs="Cambria" w:eastAsia="Cambria"/>
                <w:color w:val="1A1A1A"/>
                <w:sz w:val="18"/>
              </w:rPr>
              <w:t xml:space="preserve">Gestionale</w:t>
            </w:r>
          </w:p>
        </w:tc>
        <w:tc>
          <w:tcPr>
            <w:shd w:val="clear" w:color="auto" w:fill="F4F1EC"/>
          </w:tcPr>
          <w:p>
            <w:pPr>
              <w:pStyle w:val="Compact"/>
              <w:spacing w:after="40" w:before="40"/>
              <w:jc w:val="left"/>
            </w:pPr>
            <w:r>
              <w:rPr>
                <w:rFonts w:ascii="Cambria" w:hAnsi="Cambria" w:cs="Cambria" w:eastAsia="Cambria"/>
                <w:color w:val="1A1A1A"/>
                <w:sz w:val="18"/>
              </w:rPr>
              <w:t xml:space="preserve">Coerenza</w:t>
            </w:r>
          </w:p>
        </w:tc>
      </w:tr>
      <w:tr>
        <w:tc>
          <w:tcPr/>
          <w:p>
            <w:pPr>
              <w:pStyle w:val="Compact"/>
              <w:spacing w:after="40" w:before="40"/>
              <w:jc w:val="left"/>
            </w:pPr>
            <w:r>
              <w:rPr>
                <w:rFonts w:ascii="Cambria" w:hAnsi="Cambria" w:cs="Cambria" w:eastAsia="Cambria"/>
                <w:b/>
                <w:bCs/>
                <w:color w:val="1A1A1A"/>
                <w:sz w:val="18"/>
              </w:rPr>
              <w:t xml:space="preserve">I — Attuazione e sostenibilità</w:t>
            </w:r>
          </w:p>
        </w:tc>
        <w:tc>
          <w:tcPr/>
          <w:p>
            <w:pPr>
              <w:pStyle w:val="Compact"/>
              <w:spacing w:after="40" w:before="40"/>
              <w:jc w:val="left"/>
            </w:pPr>
            <w:r>
              <w:rPr>
                <w:rFonts w:ascii="Cambria" w:hAnsi="Cambria" w:cs="Cambria" w:eastAsia="Cambria"/>
                <w:color w:val="1A1A1A"/>
                <w:sz w:val="18"/>
              </w:rPr>
              <w:t xml:space="preserve">Dominio 7</w:t>
            </w:r>
          </w:p>
        </w:tc>
        <w:tc>
          <w:tcPr/>
          <w:p>
            <w:pPr>
              <w:pStyle w:val="Compact"/>
              <w:spacing w:after="40" w:before="40"/>
              <w:jc w:val="left"/>
            </w:pPr>
            <w:r>
              <w:rPr>
                <w:rFonts w:ascii="Cambria" w:hAnsi="Cambria" w:cs="Cambria" w:eastAsia="Cambria"/>
                <w:color w:val="1A1A1A"/>
                <w:sz w:val="18"/>
              </w:rPr>
              <w:t xml:space="preserve">Commerciale, gestionale</w:t>
            </w:r>
          </w:p>
        </w:tc>
        <w:tc>
          <w:tcPr/>
          <w:p>
            <w:pPr>
              <w:pStyle w:val="Compact"/>
              <w:spacing w:after="40" w:before="40"/>
              <w:jc w:val="left"/>
            </w:pPr>
            <w:r>
              <w:rPr>
                <w:rFonts w:ascii="Cambria" w:hAnsi="Cambria" w:cs="Cambria" w:eastAsia="Cambria"/>
                <w:color w:val="1A1A1A"/>
                <w:sz w:val="18"/>
              </w:rPr>
              <w:t xml:space="preserve">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 — Monitoraggio ed ex post</w:t>
            </w:r>
          </w:p>
        </w:tc>
        <w:tc>
          <w:tcPr>
            <w:shd w:val="clear" w:color="auto" w:fill="F4F1EC"/>
          </w:tcPr>
          <w:p>
            <w:pPr>
              <w:pStyle w:val="Compact"/>
              <w:spacing w:after="40" w:before="40"/>
              <w:jc w:val="left"/>
            </w:pPr>
            <w:r>
              <w:rPr>
                <w:rFonts w:ascii="Cambria" w:hAnsi="Cambria" w:cs="Cambria" w:eastAsia="Cambria"/>
                <w:color w:val="1A1A1A"/>
                <w:sz w:val="18"/>
              </w:rPr>
              <w:t xml:space="preserve">Trasversale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Verifica ex post</w:t>
            </w:r>
          </w:p>
        </w:tc>
      </w:tr>
      <w:tr>
        <w:tc>
          <w:tcPr/>
          <w:p>
            <w:pPr>
              <w:pStyle w:val="Compact"/>
              <w:spacing w:after="40" w:before="40"/>
              <w:jc w:val="left"/>
            </w:pPr>
            <w:r>
              <w:rPr>
                <w:rFonts w:ascii="Cambria" w:hAnsi="Cambria" w:cs="Cambria" w:eastAsia="Cambria"/>
                <w:b/>
                <w:bCs/>
                <w:color w:val="1A1A1A"/>
                <w:sz w:val="18"/>
              </w:rPr>
              <w:t xml:space="preserve">M — Sintesi e raccomandazioni</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Tutti i criteri</w:t>
            </w:r>
          </w:p>
        </w:tc>
      </w:tr>
    </w:tbl>
    <w:p>
      <w:pPr>
        <w:pStyle w:val="BodyText"/>
      </w:pPr>
      <w:r>
        <w:rPr>
          <w:i/>
          <w:iCs/>
        </w:rPr>
        <w:t xml:space="preserve">Tabella 2. La mappa di integrazione delle quattro cornici, parte per parte.</w:t>
      </w:r>
    </w:p>
    <w:bookmarkEnd w:id="429"/>
    <w:bookmarkStart w:id="4211" w:name="la-sintesi-del-valore-1"/>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la Liguria, regione debitrice nella mobilità la cui fuga è però concentrata nelle specialità chirurgiche e non nella domanda psicologica, sicché il canale del recupero della mobilità è solo marginalmente pertinente a questo intervento — e il saldo complessivo, ampiamente positivo. La tabella seguente lo riepiloga.</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9</w:t>
            </w:r>
          </w:p>
        </w:tc>
        <w:tc>
          <w:tcPr/>
          <w:p>
            <w:pPr>
              <w:pStyle w:val="Compact"/>
              <w:spacing w:after="40" w:before="40"/>
              <w:jc w:val="left"/>
            </w:pPr>
            <w:r>
              <w:rPr>
                <w:rFonts w:ascii="Cambria" w:hAnsi="Cambria" w:cs="Cambria" w:eastAsia="Cambria"/>
                <w:color w:val="1A1A1A"/>
                <w:sz w:val="18"/>
              </w:rPr>
              <w:t xml:space="preserve">~ 14</w:t>
            </w:r>
          </w:p>
        </w:tc>
        <w:tc>
          <w:tcPr/>
          <w:p>
            <w:pPr>
              <w:pStyle w:val="Compact"/>
              <w:spacing w:after="40" w:before="40"/>
              <w:jc w:val="left"/>
            </w:pPr>
            <w:r>
              <w:rPr>
                <w:rFonts w:ascii="Cambria" w:hAnsi="Cambria" w:cs="Cambria" w:eastAsia="Cambria"/>
                <w:color w:val="1A1A1A"/>
                <w:sz w:val="18"/>
              </w:rPr>
              <w:t xml:space="preserve">~ 18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6</w:t>
            </w:r>
          </w:p>
        </w:tc>
        <w:tc>
          <w:tcPr>
            <w:shd w:val="clear" w:color="auto" w:fill="F4F1EC"/>
          </w:tcPr>
          <w:p>
            <w:pPr>
              <w:pStyle w:val="Compact"/>
              <w:spacing w:after="40" w:before="40"/>
              <w:jc w:val="left"/>
            </w:pPr>
            <w:r>
              <w:rPr>
                <w:rFonts w:ascii="Cambria" w:hAnsi="Cambria" w:cs="Cambria" w:eastAsia="Cambria"/>
                <w:color w:val="1A1A1A"/>
                <w:sz w:val="18"/>
              </w:rPr>
              <w:t xml:space="preserve">~ 10</w:t>
            </w:r>
          </w:p>
        </w:tc>
        <w:tc>
          <w:tcPr>
            <w:shd w:val="clear" w:color="auto" w:fill="F4F1EC"/>
          </w:tcPr>
          <w:p>
            <w:pPr>
              <w:pStyle w:val="Compact"/>
              <w:spacing w:after="40" w:before="40"/>
              <w:jc w:val="left"/>
            </w:pPr>
            <w:r>
              <w:rPr>
                <w:rFonts w:ascii="Cambria" w:hAnsi="Cambria" w:cs="Cambria" w:eastAsia="Cambria"/>
                <w:color w:val="1A1A1A"/>
                <w:sz w:val="18"/>
              </w:rPr>
              <w:t xml:space="preserve">~ 14</w:t>
            </w:r>
          </w:p>
        </w:tc>
      </w:tr>
      <w:tr>
        <w:tc>
          <w:tcPr/>
          <w:p>
            <w:pPr>
              <w:pStyle w:val="Compact"/>
              <w:spacing w:after="40" w:before="40"/>
              <w:jc w:val="left"/>
            </w:pPr>
            <w:r>
              <w:rPr>
                <w:rFonts w:ascii="Cambria" w:hAnsi="Cambria" w:cs="Cambria" w:eastAsia="Cambria"/>
                <w:b/>
                <w:bCs/>
                <w:color w:val="1A1A1A"/>
                <w:sz w:val="18"/>
              </w:rPr>
              <w:t xml:space="preserve">Ricadute economico-sociali</w:t>
            </w:r>
          </w:p>
        </w:tc>
        <w:tc>
          <w:tcPr/>
          <w:p>
            <w:pPr>
              <w:pStyle w:val="Compact"/>
              <w:spacing w:after="40" w:before="40"/>
              <w:jc w:val="left"/>
            </w:pPr>
            <w:r>
              <w:rPr>
                <w:rFonts w:ascii="Cambria" w:hAnsi="Cambria" w:cs="Cambria" w:eastAsia="Cambria"/>
                <w:color w:val="1A1A1A"/>
                <w:sz w:val="18"/>
              </w:rPr>
              <w:t xml:space="preserve">~ 29</w:t>
            </w:r>
          </w:p>
        </w:tc>
        <w:tc>
          <w:tcPr/>
          <w:p>
            <w:pPr>
              <w:pStyle w:val="Compact"/>
              <w:spacing w:after="40" w:before="40"/>
              <w:jc w:val="left"/>
            </w:pPr>
            <w:r>
              <w:rPr>
                <w:rFonts w:ascii="Cambria" w:hAnsi="Cambria" w:cs="Cambria" w:eastAsia="Cambria"/>
                <w:color w:val="1A1A1A"/>
                <w:sz w:val="18"/>
              </w:rPr>
              <w:t xml:space="preserve">~ 55</w:t>
            </w:r>
          </w:p>
        </w:tc>
        <w:tc>
          <w:tcPr/>
          <w:p>
            <w:pPr>
              <w:pStyle w:val="Compact"/>
              <w:spacing w:after="40" w:before="40"/>
              <w:jc w:val="left"/>
            </w:pPr>
            <w:r>
              <w:rPr>
                <w:rFonts w:ascii="Cambria" w:hAnsi="Cambria" w:cs="Cambria" w:eastAsia="Cambria"/>
                <w:color w:val="1A1A1A"/>
                <w:sz w:val="18"/>
              </w:rPr>
              <w:t xml:space="preserve">~ 85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−3</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r>
      <w:tr>
        <w:tc>
          <w:tcPr/>
          <w:p>
            <w:pPr>
              <w:pStyle w:val="Compact"/>
              <w:spacing w:after="40" w:before="40"/>
              <w:jc w:val="left"/>
            </w:pPr>
            <w:r>
              <w:rPr>
                <w:rFonts w:ascii="Cambria" w:hAnsi="Cambria" w:cs="Cambria" w:eastAsia="Cambria"/>
                <w:b/>
                <w:bCs/>
                <w:color w:val="1A1A1A"/>
                <w:sz w:val="18"/>
              </w:rPr>
              <w:t xml:space="preserve">Saldo complessivo (caso economico)</w:t>
            </w:r>
          </w:p>
        </w:tc>
        <w:tc>
          <w:tcPr/>
          <w:p>
            <w:pPr>
              <w:pStyle w:val="Compact"/>
              <w:spacing w:after="40" w:before="40"/>
              <w:jc w:val="left"/>
            </w:pPr>
            <w:r>
              <w:rPr>
                <w:rFonts w:ascii="Cambria" w:hAnsi="Cambria" w:cs="Cambria" w:eastAsia="Cambria"/>
                <w:color w:val="1A1A1A"/>
                <w:sz w:val="18"/>
              </w:rPr>
              <w:t xml:space="preserve">+26</w:t>
            </w:r>
          </w:p>
        </w:tc>
        <w:tc>
          <w:tcPr/>
          <w:p>
            <w:pPr>
              <w:pStyle w:val="Compact"/>
              <w:spacing w:after="40" w:before="40"/>
              <w:jc w:val="left"/>
            </w:pPr>
            <w:r>
              <w:rPr>
                <w:rFonts w:ascii="Cambria" w:hAnsi="Cambria" w:cs="Cambria" w:eastAsia="Cambria"/>
                <w:color w:val="1A1A1A"/>
                <w:sz w:val="18"/>
              </w:rPr>
              <w:t xml:space="preserve">+51</w:t>
            </w:r>
          </w:p>
        </w:tc>
        <w:tc>
          <w:tcPr/>
          <w:p>
            <w:pPr>
              <w:pStyle w:val="Compact"/>
              <w:spacing w:after="40" w:before="40"/>
              <w:jc w:val="left"/>
            </w:pPr>
            <w:r>
              <w:rPr>
                <w:rFonts w:ascii="Cambria" w:hAnsi="Cambria" w:cs="Cambria" w:eastAsia="Cambria"/>
                <w:color w:val="1A1A1A"/>
                <w:sz w:val="18"/>
              </w:rPr>
              <w:t xml:space="preserve">+81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~3,9:1</w:t>
            </w:r>
          </w:p>
        </w:tc>
        <w:tc>
          <w:tcPr>
            <w:shd w:val="clear" w:color="auto" w:fill="F4F1EC"/>
          </w:tcPr>
          <w:p>
            <w:pPr>
              <w:pStyle w:val="Compact"/>
              <w:spacing w:after="40" w:before="40"/>
              <w:jc w:val="left"/>
            </w:pPr>
            <w:r>
              <w:rPr>
                <w:rFonts w:ascii="Cambria" w:hAnsi="Cambria" w:cs="Cambria" w:eastAsia="Cambria"/>
                <w:color w:val="1A1A1A"/>
                <w:sz w:val="18"/>
              </w:rPr>
              <w:t xml:space="preserve">~4,6:1</w:t>
            </w:r>
          </w:p>
        </w:tc>
        <w:tc>
          <w:tcPr>
            <w:shd w:val="clear" w:color="auto" w:fill="F4F1E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istituito dall’articolo 76 della legge regionale 20 del 2023 e avviato in via sperimentale — né se dotarlo di una legge, già esistente, ma se condurlo dall’avvio della sperimentazione alla strutturazione a regime, stabilizzando il rapporto convenzionale previsto dalla legge, e dimensionarlo, portandolo dalla copertura attuale, dell’ordine del tre-quattro per cento del fabbisogno, alla copertura sistematica, dell’ordine di 250 incarichi nello scenario di base e di 330 in quello espansivo. Il limite principale è il radicamento dei dati: le grandezze economiche sono in parte ricostruite a partire dai conti nazionali scalati per la quota di popolazione ligure, del 2,6%, e non estratte dai conti regionali certificati delle cinque Aziende Sociosanitarie Liguri e degli IRCCS; la loro sostituzione con dati certificati è la condizione per la presentazione agli organi di controllo, ed è in Liguria, a differenza della Toscana, ancora poco mitigata da dati operativi, poiché la sperimentazione è appena avviata.</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ligure. La condizione propria della Liguria — una legge regionale già vigente unita a una sperimentazione che muove i primi passi e si dispiegerà progressivamente tra le cinque Aziende — le conferisce un pregio metodologico peculiare: la possibilità di disegnare fin dall’avvio una valutazione controfattuale a cunei progressivi, la più pulita realizzabile nella serie regionale, capace di trasformare le stime in prove via via che il servizio si estende. Su questa base, e con la dichiarazione trasparente dei propri limiti, il corpus consegna al decisore un quadro completo e onesto su cui deliberare.</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4211"/>
    <w:bookmarkStart w:id="4212" w:name="parte-a-quadro-quesito-e-metodo-1"/>
    <w:p>
      <w:pPr>
        <w:pStyle w:val="Heading2"/>
      </w:pPr>
      <w:r>
        <w:t xml:space="preserve">Parte A — Quadro, quesito e metodo</w:t>
      </w:r>
    </w:p>
    <w:p>
      <w:pPr>
        <w:pStyle w:val="FirstParagraph"/>
      </w:pPr>
      <w:r>
        <w:t xml:space="preserve">Questa è la prima parte dello studio integrale per la Liguria, che applica alla regione il telaio integrato sviluppato e validato per la Puglia e già esteso alla Lombardia, al Veneto, all’Emilia-Romagna, al Piemonte e alla Toscana. L’architettura e il caso di riferimento sono i medesimi, e mutano soltanto i dati di ingresso, ancorati alla Liguria.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veneto, emiliano-romagnolo, piemontese e toscano e con quelli delle altre Regioni.</w:t>
      </w:r>
    </w:p>
    <w:bookmarkStart w:id="4213" w:name="X6eea59b26e291ab3b45f4c7e3afd8ea3465a88a"/>
    <w:p>
      <w:pPr>
        <w:pStyle w:val="Heading3"/>
      </w:pPr>
      <w:r>
        <w:t xml:space="preserve">A.1 Scopo, quesito di valutazione e standard adottati</w:t>
      </w:r>
    </w:p>
    <w:p>
      <w:pPr>
        <w:pStyle w:val="FirstParagraph"/>
      </w:pPr>
      <w:r>
        <w:t xml:space="preserve">Lo studio ha per oggetto il Servizio di Psicologia di Base nelle cure primarie della Liguria, inteso come strutturazione a regime di una funzione che la regione ha già istituito con una legge dedicata — la legge regionale 28 dicembre 2023, n. 20, che all’articolo 76 istituisce il servizio di psicologia territoriale — e di cui ha avviato la sperimentazione entro la fine del 2025, nelle Case della Comunità e in integrazione con la medicina generale, in prima applicazione con trentotto psicologi territoriali.</w:t>
      </w:r>
      <w:r>
        <w:rPr>
          <w:rStyle w:val="FootnoteReference"/>
        </w:rPr>
        <w:footnoteReference w:id="1442"/>
      </w:r>
      <w:r>
        <w:t xml:space="preserve"> </w:t>
      </w:r>
      <w:r>
        <w:t xml:space="preserve">Ne valuta il valore nelle dimensioni clinica, economica, organizzativa, sociale, etica e giuridica, allo scopo di informare la decisione sul condurre il servizio a regime. La premessa che orienta l’intero studio è che la decisione rilevante non è se introdurre la funzione — già istituita per legge — né se dotarla di una base giuridica, già esistente, ma se portare la sperimentazione appena avviata fino alla strutturazione a regime: la cornice normativa esiste e la sperimentazione muove i primi passi, ma la stabilizzazione del rapporto convenzionale, l’estensione a tutte le Case della Comunità e una copertura adeguata sono ancora da definire, a fronte di un fabbisogno a regime stimato nell’ordine di 330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300.000 persone, si somma un’utenza specialistica in carico ai Dipartimenti di Salute Mentale, in un quadro segnato da componenti convergenti — il bisogno dell’età anziana, massimo nella regione più anziana d’Italia e accentuato nell’entroterra appenninico, il disagio connesso al lavoro, il disagio giovanile e una componente straniera intorno all’undici per cento — e, soprattutto, dal primato nazionale della prevalenza di utenti trattati dai servizi di salute mentale, cui si aggiunge la pressione delle liste di attesa.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liguri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il servizio è già istituito per legge ma la sperimentazione è appena avviata, su base libero-professionale e a copertura minima. Gli esiti sono clinici, economici, sociali e di sistema. I tempi distinguono l’orizzonte pluriennale degli esiti dall’orizzonte triennale-quinquennale del bilancio. Il contesto è il Servizio sanitario della Liguria, con le sue cinque Aziende Sociosanitarie Liguri, l’Azienda Ligure Sanitaria quale agenzia regionale di coordinamento, gli IRCCS San Martino e Gaslini, gli enti ospedalieri Galliera ed Evangelico e la rete delle Case della Comunità. La tabella seguente riepiloga gli elementi del quesito.</w:t>
      </w:r>
    </w:p>
    <w:tbl>
      <w:tblPr>
        <w:tblStyle w:val="Table"/>
        <w:tblW w:type="pct" w:w="496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00"/>
        <w:gridCol w:w="67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la Liguria</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liguri con disagio psichico comune (~300.000);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Psicologo di base nelle cure primarie, primo livello e filtro, portato a regime (~170/250/330 incarichi); strutturazione e dimensionamento del servizio già istituito per legge e in sperimentazione</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Condizione attuale: servizio istituito con la legge regionale 20 del 2023 e con sperimentazione appena avviata (trentotto psicologi territoriali), su base libero-professionale, a copertura minima del fabbisogno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liste di attesa)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Servizio sanitario regionale della Liguria; cinque Aziende Sociosanitarie Liguri, Azienda Ligure Sanitaria (A.Li.Sa), IRCCS San Martino e Gaslini, enti ospedalieri Galliera ed Evangelico, rete delle Case della Comunità</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4213"/>
    <w:bookmarkStart w:id="433" w:name="a.2-il-caso-di-riferimento-e-i-metodi-1"/>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 condizione attuale come comparatore. Le unità di analisi sono la regione e, in disaggregazione, le Aziende Sociosanitarie Liguri e i distretti sanitari, per dare conto anche dei divari territoriali interni tra la fascia costiera e l’entroterra appenninico.</w:t>
      </w:r>
    </w:p>
    <w:tbl>
      <w:tblPr>
        <w:tblStyle w:val="Table"/>
        <w:tblW w:type="pct" w:w="495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364"/>
        <w:gridCol w:w="648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Condizione attuale, ovvero servizio istituito per legge con sperimentazione appena avviata su base libero-professionale, non ancora strutturato a regime né dimensionato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Regione, con disaggregazione per Azienda Sociosanitaria Ligure e distretto sanitario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Liguria, un rilievo particolare e una qualificazione propria: il saldo di mobilità sanitaria è passivo, dell’ordine di settanta milioni di euro e in peggioramento, ma la fuga è concentrata nelle specialità chirurgiche — ortopedia, cardiologia, malattie del sistema nervoso — e non nella domanda psicologica delle cure primarie. Poiché lo psicologo di base agisce su un bisogno diverso da quello che genera la fuga, il canale del recupero della mobilità, leva centrale per le regioni debitrici del Mezzogiorno, in Liguria è solo marginalmente pertinente a questo intervento. Ne consegue che il saldo diretto risulta lievemente negativo e che il caso economico poggia in misura preponderante sulle ricadute sociali, che lo studio stima con criteri conservativi; in un contesto di pressione finanziaria e di primato nazionale della domanda di salute mentale,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 e che in Liguria, a differenza della Toscana, la sperimentazione è troppo recente per mitigare la lacuna con dati operativi maturi.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Liguria il disegno controfattuale assume una forma propria e particolarmente solida: poiché la sperimentazione è in fase di avvio e si dispiega progressivamente tra le cinque Aziende e i loro distretti, l’effetto causale può essere stimato da un esperimento a cunei progressivi pianificato prospetticamente, con i metodi della differenza-nelle-differenze e del controllo sintetico, sfruttando l’ordine e i tempi di attivazione delle sedi e l’eterogeneità dell’intensità di copertura. La tabella seguente colloca ciascuna metodologia nella sua sede.</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357"/>
        <w:gridCol w:w="30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generato oltre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 nel tempo</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Parte F</w:t>
            </w:r>
          </w:p>
        </w:tc>
        <w:tc>
          <w:tcPr/>
          <w:p>
            <w:pPr>
              <w:pStyle w:val="Compact"/>
              <w:spacing w:after="40" w:before="40"/>
              <w:jc w:val="left"/>
            </w:pPr>
            <w:r>
              <w:rPr>
                <w:rFonts w:ascii="Cambria" w:hAnsi="Cambria" w:cs="Cambria" w:eastAsia="Cambria"/>
                <w:color w:val="1A1A1A"/>
                <w:sz w:val="18"/>
              </w:rPr>
              <w:t xml:space="preserve">Governo dell’incertezza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w:t>
            </w:r>
          </w:p>
        </w:tc>
        <w:tc>
          <w:tcPr>
            <w:shd w:val="clear" w:color="auto" w:fill="F4F1EC"/>
          </w:tcPr>
          <w:p>
            <w:pPr>
              <w:pStyle w:val="Compact"/>
              <w:spacing w:after="40" w:before="40"/>
              <w:jc w:val="left"/>
            </w:pPr>
            <w:r>
              <w:rPr>
                <w:rFonts w:ascii="Cambria" w:hAnsi="Cambria" w:cs="Cambria" w:eastAsia="Cambria"/>
                <w:color w:val="1A1A1A"/>
                <w:sz w:val="18"/>
              </w:rPr>
              <w:t xml:space="preserve">Parte G</w:t>
            </w:r>
          </w:p>
        </w:tc>
        <w:tc>
          <w:tcPr>
            <w:shd w:val="clear" w:color="auto" w:fill="F4F1EC"/>
          </w:tcPr>
          <w:p>
            <w:pPr>
              <w:pStyle w:val="Compact"/>
              <w:spacing w:after="40" w:before="40"/>
              <w:jc w:val="left"/>
            </w:pPr>
            <w:r>
              <w:rPr>
                <w:rFonts w:ascii="Cambria" w:hAnsi="Cambria" w:cs="Cambria" w:eastAsia="Cambria"/>
                <w:color w:val="1A1A1A"/>
                <w:sz w:val="18"/>
              </w:rPr>
              <w:t xml:space="preserve">Misura dell’equità distributiva</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Parte L</w:t>
            </w:r>
          </w:p>
        </w:tc>
        <w:tc>
          <w:tcPr/>
          <w:p>
            <w:pPr>
              <w:pStyle w:val="Compact"/>
              <w:spacing w:after="40" w:before="40"/>
              <w:jc w:val="left"/>
            </w:pPr>
            <w:r>
              <w:rPr>
                <w:rFonts w:ascii="Cambria" w:hAnsi="Cambria" w:cs="Cambria" w:eastAsia="Cambria"/>
                <w:color w:val="1A1A1A"/>
                <w:sz w:val="18"/>
              </w:rPr>
              <w:t xml:space="preserve">Stima dell’effetto reale sul campo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sistema GRADE</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Fondazione e graduazione dell’evidenza</w:t>
            </w:r>
          </w:p>
        </w:tc>
      </w:tr>
      <w:tr>
        <w:tc>
          <w:tcPr/>
          <w:p>
            <w:pPr>
              <w:pStyle w:val="Compact"/>
              <w:spacing w:after="40" w:before="40"/>
              <w:jc w:val="left"/>
            </w:pPr>
            <w:r>
              <w:rPr>
                <w:rFonts w:ascii="Cambria" w:hAnsi="Cambria" w:cs="Cambria" w:eastAsia="Cambria"/>
                <w:b/>
                <w:bCs/>
                <w:color w:val="1A1A1A"/>
                <w:sz w:val="18"/>
              </w:rPr>
              <w:t xml:space="preserve">Analisi multi-criterio</w:t>
            </w:r>
          </w:p>
        </w:tc>
        <w:tc>
          <w:tcPr/>
          <w:p>
            <w:pPr>
              <w:pStyle w:val="Compact"/>
              <w:spacing w:after="40" w:before="40"/>
              <w:jc w:val="left"/>
            </w:pPr>
            <w:r>
              <w:rPr>
                <w:rFonts w:ascii="Cambria" w:hAnsi="Cambria" w:cs="Cambria" w:eastAsia="Cambria"/>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Composizione dei criteri non monetari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della regolamentazione</w:t>
            </w:r>
          </w:p>
        </w:tc>
        <w:tc>
          <w:tcPr>
            <w:shd w:val="clear" w:color="auto" w:fill="F4F1EC"/>
          </w:tcPr>
          <w:p>
            <w:pPr>
              <w:pStyle w:val="Compact"/>
              <w:spacing w:after="40" w:before="40"/>
              <w:jc w:val="left"/>
            </w:pPr>
            <w:r>
              <w:rPr>
                <w:rFonts w:ascii="Cambria" w:hAnsi="Cambria" w:cs="Cambria" w:eastAsia="Cambria"/>
                <w:color w:val="1A1A1A"/>
                <w:sz w:val="18"/>
              </w:rPr>
              <w:t xml:space="preserve">Parti H, L</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della norma ex ante ed ex post</w:t>
            </w:r>
          </w:p>
        </w:tc>
      </w:tr>
    </w:tbl>
    <w:p>
      <w:pPr>
        <w:pStyle w:val="BodyText"/>
      </w:pPr>
      <w:r>
        <w:rPr>
          <w:i/>
          <w:iCs/>
        </w:rPr>
        <w:t xml:space="preserve">Tabella A.3. Le dieci metodologie analitiche e la loro collocazione nello studio.</w:t>
      </w:r>
    </w:p>
    <w:bookmarkEnd w:id="433"/>
    <w:bookmarkStart w:id="434" w:name="Xb806bab1c86796155211b51cd25a4355bce8a93"/>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cinque Aziende Sociosanitarie Liguri, l’Azienda Ligure Sanitaria, gli IRCCS San Martino e Gaslini, gli enti ospedalieri Galliera ed Evangelico, l’Ordine degli Psicologi della Liguria, le rappresentanze della medicina generale e della pediatria di libera scelta e l’Università di Genova, nonché all’Osservatorio previsto dalla legge regionale. A differenza del Veneto, la Liguria non dispone di un’azienda regionale unica, ma l’Azienda Ligure Sanitaria svolge funzioni regionali di coordinamento, programmazione e governo del sistema, sicché il veicolo per una progettazione unitaria e un’attuazione omogenea è disponibile. Poiché il servizio è già istituito per legge, e la rete territoriale delle Case della Comunità costituisce l’infrastruttura su cui esso si innesta, la sfida del governo è di condurre a regime e dimensionare un servizio la cui sperimentazione è appena avviata, definendone l’ordine di attivazione tra le Aziende: è il tratto che distingue la Liguria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Liguria.</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disuguaglianze, flussi e cornice normativa</w:t>
      </w:r>
    </w:p>
    <w:p>
      <w:pPr>
        <w:pStyle w:val="BodyText"/>
      </w:pPr>
      <w:r>
        <w:t xml:space="preserve">Primo dominio dell’HTA · il problema di salute e il suo contesto</w:t>
      </w:r>
    </w:p>
    <w:bookmarkEnd w:id="434"/>
    <w:bookmarkEnd w:id="4212"/>
    <w:bookmarkStart w:id="4214" w:name="Xbb21a17ab70eca663d19fdfb65894ce55af9224"/>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Liguria. La struttura è quella già adottata per la Puglia, per la Lombardia, per il Veneto, per l’Emilia-Romagna, per il Piemonte e per la Toscana,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Liguria: non un sistema da introdurre ex novo, né un servizio operante senza una legge, ma un servizio già istituito da una legge regionale dedicata e la cui sperimentazione è appena avviata, che attende di essere condotto a regime e dimensionato al fabbisogno, nella regione più anziana d’Italia e con la più alta domanda nazionale di salute mentale.</w:t>
      </w:r>
    </w:p>
    <w:bookmarkStart w:id="436" w:name="b.1-quadro-demografico-1"/>
    <w:p>
      <w:pPr>
        <w:pStyle w:val="Heading3"/>
      </w:pPr>
      <w:r>
        <w:t xml:space="preserve">B.1 Quadro demografico</w:t>
      </w:r>
    </w:p>
    <w:p>
      <w:pPr>
        <w:pStyle w:val="FirstParagraph"/>
      </w:pPr>
      <w:r>
        <w:t xml:space="preserve">La Liguria conta 1.510.143 residenti, pari a circa il 2,6% della popolazione nazionale, in lievissimo aumento ma soltanto grazie alle migrazioni, che compensano un saldo naturale fortemente negativo. La struttura per età è la più anziana d’Italia: l’indice di vecchiaia è il più elevato del Paese e la quota di ultrasessantacinquenni si avvicina al trenta per cento, mentre l’aspettativa di vita resta in linea con la media nazionale; Genova è tra le aree più anziane d’Europa. La componente straniera, pari al 10,8%, è superiore alla media nazionale, ed è proprio il flusso migratorio a sostenere la popolazione e a frenarne l’invecchiamento. Il territorio si articola in quattro province, con più della metà dei residenti nella sola Città Metropolitana di Genova e una marcata variabilità interna fra la fascia costiera e l’entroterra appenninico in spopolamento. La tabella seguente ne riepiloga il profilo.</w:t>
      </w:r>
    </w:p>
    <w:tbl>
      <w:tblPr>
        <w:tblStyle w:val="Table"/>
        <w:tblW w:type="pct" w:w="492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60"/>
        <w:gridCol w:w="56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Liguria</w:t>
            </w:r>
          </w:p>
        </w:tc>
      </w:tr>
      <w:tr>
        <w:tc>
          <w:tcPr/>
          <w:p>
            <w:pPr>
              <w:pStyle w:val="Compact"/>
              <w:spacing w:after="40" w:before="40"/>
              <w:jc w:val="left"/>
            </w:pPr>
            <w:r>
              <w:rPr>
                <w:rFonts w:ascii="Cambria" w:hAnsi="Cambria" w:cs="Cambria" w:eastAsia="Cambria"/>
                <w:b/>
                <w:bCs/>
                <w:color w:val="1A1A1A"/>
                <w:sz w:val="18"/>
              </w:rPr>
              <w:t xml:space="preserve">Popolazione (Censimento 2024)</w:t>
            </w:r>
          </w:p>
        </w:tc>
        <w:tc>
          <w:tcPr/>
          <w:p>
            <w:pPr>
              <w:pStyle w:val="Compact"/>
              <w:spacing w:after="40" w:before="40"/>
              <w:jc w:val="left"/>
            </w:pPr>
            <w:r>
              <w:rPr>
                <w:rFonts w:ascii="Cambria" w:hAnsi="Cambria" w:cs="Cambria" w:eastAsia="Cambria"/>
                <w:color w:val="1A1A1A"/>
                <w:sz w:val="18"/>
              </w:rPr>
              <w:t xml:space="preserve">1.510.143 (~2,6% del totale nazionale); +0,1%, solo per saldo migratorio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Aspettativa di vita</w:t>
            </w:r>
          </w:p>
        </w:tc>
        <w:tc>
          <w:tcPr>
            <w:shd w:val="clear" w:color="auto" w:fill="F4F1EC"/>
          </w:tcPr>
          <w:p>
            <w:pPr>
              <w:pStyle w:val="Compact"/>
              <w:spacing w:after="40" w:before="40"/>
              <w:jc w:val="left"/>
            </w:pPr>
            <w:r>
              <w:rPr>
                <w:rFonts w:ascii="Cambria" w:hAnsi="Cambria" w:cs="Cambria" w:eastAsia="Cambria"/>
                <w:color w:val="1A1A1A"/>
                <w:sz w:val="18"/>
              </w:rPr>
              <w:t xml:space="preserve">~ 81 anni (uomini) e ~ 85 (donne), in linea con la media nazionale</w:t>
            </w:r>
          </w:p>
        </w:tc>
      </w:tr>
      <w:tr>
        <w:tc>
          <w:tcPr/>
          <w:p>
            <w:pPr>
              <w:pStyle w:val="Compact"/>
              <w:spacing w:after="40" w:before="40"/>
              <w:jc w:val="left"/>
            </w:pPr>
            <w:r>
              <w:rPr>
                <w:rFonts w:ascii="Cambria" w:hAnsi="Cambria" w:cs="Cambria" w:eastAsia="Cambria"/>
                <w:b/>
                <w:bCs/>
                <w:color w:val="1A1A1A"/>
                <w:sz w:val="18"/>
              </w:rPr>
              <w:t xml:space="preserve">Età media e invecchiamento</w:t>
            </w:r>
          </w:p>
        </w:tc>
        <w:tc>
          <w:tcPr/>
          <w:p>
            <w:pPr>
              <w:pStyle w:val="Compact"/>
              <w:spacing w:after="40" w:before="40"/>
              <w:jc w:val="left"/>
            </w:pPr>
            <w:r>
              <w:rPr>
                <w:rFonts w:ascii="Cambria" w:hAnsi="Cambria" w:cs="Cambria" w:eastAsia="Cambria"/>
                <w:color w:val="1A1A1A"/>
                <w:sz w:val="18"/>
              </w:rPr>
              <w:t xml:space="preserve">~ 49,6 anni; la struttura più anziana d’Italia; indice di vecchiaia ~ 277; over-65 ~ 29%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Componente straniera</w:t>
            </w:r>
          </w:p>
        </w:tc>
        <w:tc>
          <w:tcPr>
            <w:shd w:val="clear" w:color="auto" w:fill="F4F1EC"/>
          </w:tcPr>
          <w:p>
            <w:pPr>
              <w:pStyle w:val="Compact"/>
              <w:spacing w:after="40" w:before="40"/>
              <w:jc w:val="left"/>
            </w:pPr>
            <w:r>
              <w:rPr>
                <w:rFonts w:ascii="Cambria" w:hAnsi="Cambria" w:cs="Cambria" w:eastAsia="Cambria"/>
                <w:color w:val="1A1A1A"/>
                <w:sz w:val="18"/>
              </w:rPr>
              <w:t xml:space="preserve">10,8% dei residenti, superiore alla media nazionale; sostiene la popolazione</w:t>
            </w:r>
          </w:p>
        </w:tc>
      </w:tr>
      <w:tr>
        <w:tc>
          <w:tcPr/>
          <w:p>
            <w:pPr>
              <w:pStyle w:val="Compact"/>
              <w:spacing w:after="40" w:before="40"/>
              <w:jc w:val="left"/>
            </w:pPr>
            <w:r>
              <w:rPr>
                <w:rFonts w:ascii="Cambria" w:hAnsi="Cambria" w:cs="Cambria" w:eastAsia="Cambria"/>
                <w:b/>
                <w:bCs/>
                <w:color w:val="1A1A1A"/>
                <w:sz w:val="18"/>
              </w:rPr>
              <w:t xml:space="preserve">Articolazione del territorio</w:t>
            </w:r>
          </w:p>
        </w:tc>
        <w:tc>
          <w:tcPr/>
          <w:p>
            <w:pPr>
              <w:pStyle w:val="Compact"/>
              <w:spacing w:after="40" w:before="40"/>
              <w:jc w:val="left"/>
            </w:pPr>
            <w:r>
              <w:rPr>
                <w:rFonts w:ascii="Cambria" w:hAnsi="Cambria" w:cs="Cambria" w:eastAsia="Cambria"/>
                <w:color w:val="1A1A1A"/>
                <w:sz w:val="18"/>
              </w:rPr>
              <w:t xml:space="preserve">Quattro province; Città Metropolitana di Genova 54,2%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Profilo territoriale</w:t>
            </w:r>
          </w:p>
        </w:tc>
        <w:tc>
          <w:tcPr>
            <w:shd w:val="clear" w:color="auto" w:fill="F4F1EC"/>
          </w:tcPr>
          <w:p>
            <w:pPr>
              <w:pStyle w:val="Compact"/>
              <w:spacing w:after="40" w:before="40"/>
              <w:jc w:val="left"/>
            </w:pPr>
            <w:r>
              <w:rPr>
                <w:rFonts w:ascii="Cambria" w:hAnsi="Cambria" w:cs="Cambria" w:eastAsia="Cambria"/>
                <w:color w:val="1A1A1A"/>
                <w:sz w:val="18"/>
              </w:rPr>
              <w:t xml:space="preserve">Stretta fascia costiera e entroterra appenninico anziano e in spopolamento</w:t>
            </w:r>
          </w:p>
        </w:tc>
      </w:tr>
      <w:tr>
        <w:tc>
          <w:tcPr/>
          <w:p>
            <w:pPr>
              <w:pStyle w:val="Compact"/>
              <w:spacing w:after="40" w:before="40"/>
              <w:jc w:val="left"/>
            </w:pPr>
            <w:r>
              <w:rPr>
                <w:rFonts w:ascii="Cambria" w:hAnsi="Cambria" w:cs="Cambria" w:eastAsia="Cambria"/>
                <w:b/>
                <w:bCs/>
                <w:color w:val="1A1A1A"/>
                <w:sz w:val="18"/>
              </w:rPr>
              <w:t xml:space="preserve">Articolazione sanitaria</w:t>
            </w:r>
          </w:p>
        </w:tc>
        <w:tc>
          <w:tcPr/>
          <w:p>
            <w:pPr>
              <w:pStyle w:val="Compact"/>
              <w:spacing w:after="40" w:before="40"/>
              <w:jc w:val="left"/>
            </w:pPr>
            <w:r>
              <w:rPr>
                <w:rFonts w:ascii="Cambria" w:hAnsi="Cambria" w:cs="Cambria" w:eastAsia="Cambria"/>
                <w:color w:val="1A1A1A"/>
                <w:sz w:val="18"/>
              </w:rPr>
              <w:t xml:space="preserve">Cinque Aziende Sociosanitarie Liguri, Azienda Ligure Sanitaria, IRCCS ed enti ospedalieri</w:t>
            </w:r>
          </w:p>
        </w:tc>
      </w:tr>
    </w:tbl>
    <w:p>
      <w:pPr>
        <w:pStyle w:val="BodyText"/>
      </w:pPr>
      <w:r>
        <w:rPr>
          <w:i/>
          <w:iCs/>
        </w:rPr>
        <w:t xml:space="preserve">Tabella B.1. Profilo demografico e socio-economico della Liguria.</w:t>
      </w:r>
    </w:p>
    <w:bookmarkEnd w:id="436"/>
    <w:bookmarkStart w:id="437" w:name="b.2-epidemiologia-del-bisogno-1"/>
    <w:p>
      <w:pPr>
        <w:pStyle w:val="Heading3"/>
      </w:pPr>
      <w:r>
        <w:t xml:space="preserve">B.2 Epidemiologia del bisogno</w:t>
      </w:r>
    </w:p>
    <w:p>
      <w:pPr>
        <w:pStyle w:val="FirstParagraph"/>
      </w:pPr>
      <w:r>
        <w:t xml:space="preserve">Il bisogno di salute mentale in Liguria è elevato e sospinto da un profilo demografico estremo. Proiettando i tassi di prevalenza nazionali sulla popolazione regionale, la quota di disagio psichico comune o sottosoglia si colloca nell’ordine di 300.000 persone, in larga parte non intercettate dall’offerta strutturata. Il tratto più marcato è però che la Liguria registra la più alta prevalenza italiana di utenti in carico ai servizi specialistici di salute mentale, a fronte di una dotazione di strutture territoriali sotto la media e di una carenza strutturale della figura dello psicologo. Tre componenti orientano la domanda. La prima è il disagio giovanile, in crescita. La seconda è il disagio connesso al lavoro nella popolazione attiva. La terza, e più caratteristica, è il bisogno dell’età anziana, massimo nella regione più anziana d’Italia e accentuato nell’entroterra. È la combinazione — invecchiamento estremo, primato nazionale della domanda di salute mentale e una legge già vigente con una sperimentazione appena avviata — a distinguere il fabbisogno ligure. La pressione che ne deriva si riversa anche sul pronto soccorso, con accessi per cause psichiatriche elevati e superiori alla media nazionale.</w:t>
      </w:r>
    </w:p>
    <w:bookmarkEnd w:id="437"/>
    <w:bookmarkStart w:id="4215" w:name="b.3-domanda-offerta-e-gap-di-copertura-1"/>
    <w:p>
      <w:pPr>
        <w:pStyle w:val="Heading3"/>
      </w:pPr>
      <w:r>
        <w:t xml:space="preserve">B.3 Domanda, offerta e gap di copertura</w:t>
      </w:r>
    </w:p>
    <w:p>
      <w:pPr>
        <w:pStyle w:val="FirstParagraph"/>
      </w:pPr>
      <w:r>
        <w:t xml:space="preserve">Alla domanda descritta si contrappone un’offerta che, in Liguria, presenta una fisionomia peculiare: il servizio di psicologia territoriale è già istituito da una legge regionale dedicata, ma la sperimentazione è appena avviata, dimensionata in prima applicazione a trentotto psicologi su base libero-professionale, prioritariamente nelle Case della Comunità Hub. Il fabbisogno a regime è stimato nell’ordine di 330 psicologi, e l’Ordine professionale regionale ne sostiene la conduzione a regime con un rapporto convenzionale stabile. La copertura attuale è dunque minima, dell’ordine del tre-quattro per cento: non l’assenza di un servizio, né una funzione solo amministrativa, ma un servizio reale, fondato su una legge e con una sperimentazione ai primi passi, da condurre a regime e dimensionare. La tabella seguente sintetizza domanda, offerta e divario.</w:t>
      </w:r>
    </w:p>
    <w:tbl>
      <w:tblPr>
        <w:tblStyle w:val="Table"/>
        <w:tblW w:type="pct" w:w="495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45"/>
        <w:gridCol w:w="590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Liguria</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300.000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in carico ai servizi di 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 58.000 (la più alta prevalenza d’Italia)</w:t>
            </w:r>
          </w:p>
        </w:tc>
      </w:tr>
      <w:tr>
        <w:tc>
          <w:tcPr/>
          <w:p>
            <w:pPr>
              <w:pStyle w:val="Compact"/>
              <w:spacing w:after="40" w:before="40"/>
              <w:jc w:val="left"/>
            </w:pPr>
            <w:r>
              <w:rPr>
                <w:rFonts w:ascii="Cambria" w:hAnsi="Cambria" w:cs="Cambria" w:eastAsia="Cambria"/>
                <w:b/>
                <w:bCs/>
                <w:color w:val="1A1A1A"/>
                <w:sz w:val="18"/>
              </w:rPr>
              <w:t xml:space="preserve">Accessi al pronto soccorso per cause psichiatriche</w:t>
            </w:r>
          </w:p>
        </w:tc>
        <w:tc>
          <w:tcPr/>
          <w:p>
            <w:pPr>
              <w:pStyle w:val="Compact"/>
              <w:spacing w:after="40" w:before="40"/>
              <w:jc w:val="left"/>
            </w:pPr>
            <w:r>
              <w:rPr>
                <w:rFonts w:ascii="Cambria" w:hAnsi="Cambria" w:cs="Cambria" w:eastAsia="Cambria"/>
                <w:color w:val="1A1A1A"/>
                <w:sz w:val="18"/>
              </w:rPr>
              <w:t xml:space="preserve">~ 20.000 l’anno (sopra la media nazionale)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Offerta territoriale attuale</w:t>
            </w:r>
          </w:p>
        </w:tc>
        <w:tc>
          <w:tcPr>
            <w:shd w:val="clear" w:color="auto" w:fill="F4F1EC"/>
          </w:tcPr>
          <w:p>
            <w:pPr>
              <w:pStyle w:val="Compact"/>
              <w:spacing w:after="40" w:before="40"/>
              <w:jc w:val="left"/>
            </w:pPr>
            <w:r>
              <w:rPr>
                <w:rFonts w:ascii="Cambria" w:hAnsi="Cambria" w:cs="Cambria" w:eastAsia="Cambria"/>
                <w:color w:val="1A1A1A"/>
                <w:sz w:val="18"/>
              </w:rPr>
              <w:t xml:space="preserve">Servizio istituito per legge (L.R. 20/2023, art. 76) con sperimentazione appena avviata (trentotto psicologi), su base libero-professionale, nelle Case della Comunità Hub</w:t>
            </w:r>
          </w:p>
        </w:tc>
      </w:tr>
      <w:tr>
        <w:tc>
          <w:tcPr/>
          <w:p>
            <w:pPr>
              <w:pStyle w:val="Compact"/>
              <w:spacing w:after="40" w:before="40"/>
              <w:jc w:val="left"/>
            </w:pPr>
            <w:r>
              <w:rPr>
                <w:rFonts w:ascii="Cambria" w:hAnsi="Cambria" w:cs="Cambria" w:eastAsia="Cambria"/>
                <w:b/>
                <w:bCs/>
                <w:color w:val="1A1A1A"/>
                <w:sz w:val="18"/>
              </w:rPr>
              <w:t xml:space="preserve">Fabbisogno stimato a regime</w:t>
            </w:r>
          </w:p>
        </w:tc>
        <w:tc>
          <w:tcPr/>
          <w:p>
            <w:pPr>
              <w:pStyle w:val="Compact"/>
              <w:spacing w:after="40" w:before="40"/>
              <w:jc w:val="left"/>
            </w:pPr>
            <w:r>
              <w:rPr>
                <w:rFonts w:ascii="Cambria" w:hAnsi="Cambria" w:cs="Cambria" w:eastAsia="Cambria"/>
                <w:color w:val="1A1A1A"/>
                <w:sz w:val="18"/>
              </w:rPr>
              <w:t xml:space="preserve">~ 330 psicologi (310–350)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Copertura attuale del fabbisogno</w:t>
            </w:r>
          </w:p>
        </w:tc>
        <w:tc>
          <w:tcPr>
            <w:shd w:val="clear" w:color="auto" w:fill="F4F1EC"/>
          </w:tcPr>
          <w:p>
            <w:pPr>
              <w:pStyle w:val="Compact"/>
              <w:spacing w:after="40" w:before="40"/>
              <w:jc w:val="left"/>
            </w:pPr>
            <w:r>
              <w:rPr>
                <w:rFonts w:ascii="Cambria" w:hAnsi="Cambria" w:cs="Cambria" w:eastAsia="Cambria"/>
                <w:color w:val="1A1A1A"/>
                <w:sz w:val="18"/>
              </w:rPr>
              <w:t xml:space="preserve">Minima, dell’ordine del 3–4% del bisogno potenziale</w:t>
            </w:r>
          </w:p>
        </w:tc>
      </w:tr>
    </w:tbl>
    <w:p>
      <w:pPr>
        <w:pStyle w:val="BodyText"/>
      </w:pPr>
      <w:r>
        <w:rPr>
          <w:i/>
          <w:iCs/>
        </w:rPr>
        <w:t xml:space="preserve">Tabella B.2. Domanda, offerta e gap di copertura.</w:t>
      </w:r>
    </w:p>
    <w:bookmarkEnd w:id="4215"/>
    <w:bookmarkStart w:id="439" w:name="X88d38638cbfb1d3754f14d1fe32c4adb7e16098"/>
    <w:p>
      <w:pPr>
        <w:pStyle w:val="Heading3"/>
      </w:pPr>
      <w:r>
        <w:t xml:space="preserve">B.4 Disuguaglianze e divari territoriali</w:t>
      </w:r>
    </w:p>
    <w:p>
      <w:pPr>
        <w:pStyle w:val="FirstParagraph"/>
      </w:pPr>
      <w:r>
        <w:t xml:space="preserve">La dimensione distributiva del bisogno, in Liguria, si gioca soprattutto sull’asse fra la costa e l’entroterra. Da un lato la stretta fascia costiera, dove si concentrano la popolazione e i poli sanitari di eccellenza; dall’altro l’entroterra appenninico, anziano, disperso e in spopolamento, dove l’accesso ai servizi è reso difficile dalla conformazione vallata e montana e dalla rarefazione dell’offerta. A questo asse si aggiunge la pressione delle liste di attesa, comune all’intera regione. Su questi divari il servizio di psicologia di base agisce in funzione di equità: avvicina l’offerta alle aree interne mediante la telepsicologia assistita — dove la sola presenza di un primo livello accessibile è già un atto di riequilibrio — e, assorbendo a monte la domanda appropriata, libera capacità specialistica e contribuisce a contenere i tempi di attesa, in una regione in cui la domanda di salute mentale è la più alta d’Italia.</w:t>
      </w:r>
    </w:p>
    <w:bookmarkEnd w:id="439"/>
    <w:bookmarkStart w:id="4216" w:name="b.5-i-servizi-e-i-flussi-1"/>
    <w:p>
      <w:pPr>
        <w:pStyle w:val="Heading3"/>
      </w:pPr>
      <w:r>
        <w:t xml:space="preserve">B.5 I servizi e i flussi</w:t>
      </w:r>
    </w:p>
    <w:p>
      <w:pPr>
        <w:pStyle w:val="FirstParagraph"/>
      </w:pPr>
      <w:r>
        <w:t xml:space="preserve">Il Servizio sanitario della Liguria dispone di risorse complessive dell’ordine di 3,5 miliardi di euro; la Regione non è soggetta a un piano di rientro, ma presenta un disavanzo strutturale coperto con risorse regionali e opera sotto pressione finanziaria, con la riduzione delle liste di attesa indicata come priorità e un ricorso al privato accreditato tra i più contenuti d’Italia. A differenza delle regioni creditrici, la Liguria presenta un saldo di mobilità passivo e in peggioramento, ma con una qualificazione dirimente: la fuga è concentrata nelle specialità chirurgiche e non nella domanda psicologica, sicché il canale del recupero della mobilità è solo marginalmente pertinente a questo intervento. L’architettura dei servizi poggia su cinque Aziende Sociosanitarie Liguri, sull’Azienda Ligure Sanitaria quale agenzia regionale di coordinamento, sugli IRCCS San Martino e Gaslini e sugli enti ospedalieri Galliera ed Evangelico, e su una rete territoriale costituita dalle Case della Comunità, su cui il servizio si innesta. La tabella seguente riepiloga le grandezze di sistema rilevanti.</w:t>
      </w:r>
    </w:p>
    <w:tbl>
      <w:tblPr>
        <w:tblStyle w:val="Table"/>
        <w:tblW w:type="pct" w:w="495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98"/>
        <w:gridCol w:w="58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Liguria</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w:t>
            </w:r>
          </w:p>
        </w:tc>
        <w:tc>
          <w:tcPr/>
          <w:p>
            <w:pPr>
              <w:pStyle w:val="Compact"/>
              <w:spacing w:after="40" w:before="40"/>
              <w:jc w:val="left"/>
            </w:pPr>
            <w:r>
              <w:rPr>
                <w:rFonts w:ascii="Cambria" w:hAnsi="Cambria" w:cs="Cambria" w:eastAsia="Cambria"/>
                <w:color w:val="1A1A1A"/>
                <w:sz w:val="18"/>
              </w:rPr>
              <w:t xml:space="preserve">~ 3,5 miliardi di euro; non in piano di rientro; disavanzo strutturale coperto con risorse regionali; sotto pressione finanziaria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Saldo passivo (~ −70 milioni) e in peggioramento; fuga in specialità chirurgiche; canale marginale come leva per questo intervento</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Accessi per cause psichiatriche dell’ordine di ventimila l’anno, sopra la media nazionale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Architettura dei servizi</w:t>
            </w:r>
          </w:p>
        </w:tc>
        <w:tc>
          <w:tcPr>
            <w:shd w:val="clear" w:color="auto" w:fill="F4F1EC"/>
          </w:tcPr>
          <w:p>
            <w:pPr>
              <w:pStyle w:val="Compact"/>
              <w:spacing w:after="40" w:before="40"/>
              <w:jc w:val="left"/>
            </w:pPr>
            <w:r>
              <w:rPr>
                <w:rFonts w:ascii="Cambria" w:hAnsi="Cambria" w:cs="Cambria" w:eastAsia="Cambria"/>
                <w:color w:val="1A1A1A"/>
                <w:sz w:val="18"/>
              </w:rPr>
              <w:t xml:space="preserve">Cinque ASL, Azienda Ligure Sanitaria, IRCCS San Martino e Gaslini, enti ospedalieri Galliera ed Evangelico; rete delle Case della Comunità</w:t>
            </w:r>
          </w:p>
        </w:tc>
      </w:tr>
      <w:tr>
        <w:tc>
          <w:tcPr/>
          <w:p>
            <w:pPr>
              <w:pStyle w:val="Compact"/>
              <w:spacing w:after="40" w:before="40"/>
              <w:jc w:val="left"/>
            </w:pPr>
            <w:r>
              <w:rPr>
                <w:rFonts w:ascii="Cambria" w:hAnsi="Cambria" w:cs="Cambria" w:eastAsia="Cambria"/>
                <w:b/>
                <w:bCs/>
                <w:color w:val="1A1A1A"/>
                <w:sz w:val="18"/>
              </w:rPr>
              <w:t xml:space="preserve">Margine di azione principale</w:t>
            </w:r>
          </w:p>
        </w:tc>
        <w:tc>
          <w:tcPr/>
          <w:p>
            <w:pPr>
              <w:pStyle w:val="Compact"/>
              <w:spacing w:after="40" w:before="40"/>
              <w:jc w:val="left"/>
            </w:pPr>
            <w:r>
              <w:rPr>
                <w:rFonts w:ascii="Cambria" w:hAnsi="Cambria" w:cs="Cambria" w:eastAsia="Cambria"/>
                <w:color w:val="1A1A1A"/>
                <w:sz w:val="18"/>
              </w:rPr>
              <w:t xml:space="preserve">Liste di attesa, strutturazione e dimensionamento del servizio già istituito per legge, accesso dell’entroterra, primato della domanda di salute mentale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4216"/>
    <w:bookmarkStart w:id="441" w:name="Xaf948b57a874c0ace91b0e900d80d1e4ec7b800"/>
    <w:p>
      <w:pPr>
        <w:pStyle w:val="Heading3"/>
      </w:pPr>
      <w:r>
        <w:t xml:space="preserve">B.6 La cornice normativa e programmatica</w:t>
      </w:r>
    </w:p>
    <w:p>
      <w:pPr>
        <w:pStyle w:val="FirstParagraph"/>
      </w:pPr>
      <w:r>
        <w:t xml:space="preserve">La decisione si colloca entro una cornice peculiare: la Liguria ha già istituito il servizio con una legge regionale dedicata — l’articolo 76 della legge 20 del 2023 — che prevede elenchi aziendali di psicologi territoriali, almeno due psicologi per distretto, un rapporto convenzionale su base libero-professionale e la costituzione di un Osservatorio con funzioni di controllo, programmazione e indirizzo, ammettendo in prima applicazione gli psicologi con esperienza almeno biennale. Sul piano nazionale, il testo unificato in discussione alla Camera, il Piano Nazionale per la Salute Mentale e la sentenza della Corte Costituzionale n. 241 del 2021 — che ha confermato la competenza regionale in materia — compongono il quadro di riferimento. La decisione rilevante, in questo contesto, non è introdurre la funzione né dotarla di una legge, già esistente, ma condurre a regime e dimensionare una sperimentazione appena avviata: è il tema che le parti successive sviluppano, a partire dalla definizione dell’intervento e del suo modello, oggetto della Parte C.</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modello organizzativo, percorso clinico, sistema informativo, strumenti digitali e formazione</w:t>
      </w:r>
    </w:p>
    <w:p>
      <w:pPr>
        <w:pStyle w:val="BodyText"/>
      </w:pPr>
      <w:r>
        <w:t xml:space="preserve">Secondo dominio dell’HTA · la descrizione della tecnologia</w:t>
      </w:r>
    </w:p>
    <w:bookmarkEnd w:id="441"/>
    <w:bookmarkEnd w:id="4214"/>
    <w:bookmarkStart w:id="4217" w:name="parte-c-lintervento-e-il-suo-modello-1"/>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Liguria emerge con nettezza: l’intervento non è da introdurre, ma è già istituito per legge e la sua sperimentazione è appena avviata, e si tratta di condurlo a regime e di dimensionarlo, potendo per giunta progettarne fin dall’inizio il modello e il monitoraggio.</w:t>
      </w:r>
    </w:p>
    <w:bookmarkStart w:id="4218" w:name="X7320107be3919e86a506c8b4e4bba1b28c31f08"/>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300.000 persone con disagio comune. La tabella seguente ne espone gli anelli.</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49"/>
        <w:gridCol w:w="60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Liguria</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300.000 persone con disagio comune, in larga parte non intercettato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Psicologo nelle cure primarie: intercettazione precoce, intervento breve, filtro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liste di attesa ridotte</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e minor carico familiare, particolarmente rilevante nella popolazione anziana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4218"/>
    <w:bookmarkStart w:id="444" w:name="c.2-il-modello-organizzativo-1"/>
    <w:p>
      <w:pPr>
        <w:pStyle w:val="Heading3"/>
      </w:pPr>
      <w:r>
        <w:t xml:space="preserve">C.2 Il modello organizzativo</w:t>
      </w:r>
    </w:p>
    <w:p>
      <w:pPr>
        <w:pStyle w:val="FirstParagraph"/>
      </w:pPr>
      <w:r>
        <w:t xml:space="preserve">Il modello organizzativo colloca lo psicologo di base nelle Case della Comunità, prioritariamente di tipo Hub, in collaborazione con i medici di medicina generale e secondo quanto previsto dalla legge regionale. La Liguria presenta qui una specificità: la sperimentazione è in fase di avvio nelle cinque Aziende Sociosanitarie Liguri, con almeno due psicologi territoriali per distretto. A differenza del Veneto, la regione non dispone di un’azienda regionale unica, ma l’Azienda Ligure Sanitaria svolge funzioni regionali di coordinamento, programmazione e governo, sicché l’omogeneità attuativa e le economie di scala sono assicurate a livello regionale, affiancate dall’Osservatorio previsto dalla legge. La rete territoriale delle Case della Comunità è l’infrastruttura su cui il servizio si innesta, e il compito non è crearla ma estendere su di essa il servizio in modo uniforme. Il funzionamento segue il principio dell’intensità crescente: l’intervento parte dal livello meno intensivo appropriato e cresce solo se necessario, con criteri espliciti di passaggio di livello e di invio.</w:t>
      </w:r>
    </w:p>
    <w:bookmarkEnd w:id="444"/>
    <w:bookmarkStart w:id="4219" w:name="X9561cf20ba41c32608a2ab74f7e23be90c8cec6"/>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 nella forma già prevista per la sperimentazione — una valutazione iniziale con progetto clinico individuale, un ciclo di colloqui brevi con programma di sostegno personalizzato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43"/>
        <w:gridCol w:w="56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4219"/>
    <w:bookmarkStart w:id="4220" w:name="X432f49ef6d704c0d637bbbab626b98fbdebe1b0"/>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all’Azienda Ligure Sanitaria, che ne assicura l’uniformità fra le cinque Aziende. La raccolta sistematica e completa dei dati di processo e di esito non è un adempimento accessorio, ma il presupposto della clausola valutativa e del disegno controfattuale; su questo terreno la Liguria dispone di un vantaggio peculiare e opposto a quello toscano: poiché la sperimentazione è appena avviata, il flusso informativo può essere progettato fin dal primo giorno in modo completo e uniforme, senza dover recuperare a posteriori dati frammentari.</w:t>
      </w:r>
    </w:p>
    <w:bookmarkEnd w:id="4220"/>
    <w:bookmarkStart w:id="447" w:name="Xfa470f5c5a86b9265decee35c9e9d5819a7eed2"/>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Liguria, lo strumento per garantire l’accesso nell’entroterra appenninico,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2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41"/>
        <w:gridCol w:w="3046"/>
        <w:gridCol w:w="201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 e telemonitoraggio</w:t>
            </w:r>
          </w:p>
        </w:tc>
        <w:tc>
          <w:tcPr>
            <w:shd w:val="clear" w:color="auto" w:fill="F4F1EC"/>
          </w:tcPr>
          <w:p>
            <w:pPr>
              <w:pStyle w:val="Compact"/>
              <w:spacing w:after="40" w:before="40"/>
              <w:jc w:val="left"/>
            </w:pPr>
            <w:r>
              <w:rPr>
                <w:rFonts w:ascii="Cambria" w:hAnsi="Cambria" w:cs="Cambria" w:eastAsia="Cambria"/>
                <w:color w:val="1A1A1A"/>
                <w:sz w:val="18"/>
              </w:rPr>
              <w:t xml:space="preserve">Accesso nell’entroterra appenninico; continuità</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bookmarkEnd w:id="447"/>
    <w:bookmarkStart w:id="448" w:name="c.6-la-formazione-e-le-competenze-1"/>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l’Università di Genova; il livello post-universitario specialistico attraverso un corso semestrale regionale abilitante — già previsto dalla legge regionale, con attestato rilasciato dalla Regione — dedicato alla psicologia di base e alle cure primarie e comprensivo della competenza per l’età anziana, per l’entroterra e della competenza culturale per l’utenza straniera, particolarmente rilevanti nel contesto ligure;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Definiti l’intervento e il suo modello, la parte che segue ne esamina l’efficacia e l’evidenza.</w:t>
      </w:r>
    </w:p>
    <w:tbl>
      <w:tblPr>
        <w:tblStyle w:val="Table"/>
        <w:tblW w:type="pct" w:w="495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374"/>
        <w:gridCol w:w="4418"/>
        <w:gridCol w:w="206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Università di Genova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di base e cure primarie: modelli organizzativi, collaborazione, misure di esito, competenza per l’età anziana e culturale</w:t>
            </w:r>
          </w:p>
        </w:tc>
        <w:tc>
          <w:tcPr>
            <w:shd w:val="clear" w:color="auto" w:fill="F4F1EC"/>
          </w:tcPr>
          <w:p>
            <w:pPr>
              <w:pStyle w:val="Compact"/>
              <w:spacing w:after="40" w:before="40"/>
              <w:jc w:val="left"/>
            </w:pPr>
            <w:r>
              <w:rPr>
                <w:rFonts w:ascii="Cambria" w:hAnsi="Cambria" w:cs="Cambria" w:eastAsia="Cambria"/>
                <w:color w:val="1A1A1A"/>
                <w:sz w:val="18"/>
              </w:rPr>
              <w:t xml:space="preserve">Corso semestrale regionale abilitante (previsto dalla legge)</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Tutor aziendali;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448"/>
    <w:bookmarkEnd w:id="4217"/>
    <w:bookmarkStart w:id="4221" w:name="parte-d-efficacia-clinica-ed-evidenza"/>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Liguria si distingue. La parte espone il metodo della revisione e i risultati di efficacia (capitolo D.1); ne gradua la qualità e ne dichiara una cautela economica essenziale (D.2); presenta i benchmark internazionali (D.3); e discute le esperienze italiane, la trasferibilità e l’evidenza locale ligure (D.4). Quest’ultima presenta un tratto opposto a quello toscano: poiché la sperimentazione ligure è appena avviata, lo studio si fonda, per l’efficacia, in misura maggiore sui benchmark internazionali e sul disegno valutativo prospettico, e in misura minore su dati italiani già disponibili.</w:t>
      </w:r>
    </w:p>
    <w:bookmarkStart w:id="4222" w:name="Xfda5d06812ceb9957e049b57313e3a2ff4356f6"/>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4222"/>
    <w:bookmarkStart w:id="451" w:name="X9dbed8d66ee6a1f814974f277656eab1a332463"/>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ligure, ne corrobora la coerenza interna, poiché il caso economico della Liguria — come si vedrà nella Parte E — è fondato anch’esso sulle ricadute sociali, e non su un risparmio diretto che la regione, creditrice o debitrice che sia, non potrebbe rivendicare con certezza statistica.</w:t>
      </w:r>
    </w:p>
    <w:bookmarkEnd w:id="451"/>
    <w:bookmarkStart w:id="452" w:name="d.3-i-benchmark-internazionali-1"/>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493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53"/>
        <w:gridCol w:w="2688"/>
        <w:gridCol w:w="308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Risultati principali</w:t>
            </w:r>
          </w:p>
        </w:tc>
      </w:tr>
      <w:tr>
        <w:tc>
          <w:tcPr/>
          <w:p>
            <w:pPr>
              <w:pStyle w:val="Compact"/>
              <w:spacing w:after="40" w:before="40"/>
              <w:jc w:val="left"/>
            </w:pPr>
            <w:r>
              <w:rPr>
                <w:rFonts w:ascii="Cambria" w:hAnsi="Cambria" w:cs="Cambria" w:eastAsia="Cambria"/>
                <w:b/>
                <w:bCs/>
                <w:color w:val="1A1A1A"/>
                <w:sz w:val="18"/>
              </w:rPr>
              <w:t xml:space="preserve">Regno Unito (NHS Talking Therapies)</w:t>
            </w:r>
          </w:p>
        </w:tc>
        <w:tc>
          <w:tcPr/>
          <w:p>
            <w:pPr>
              <w:pStyle w:val="Compact"/>
              <w:spacing w:after="40" w:before="40"/>
              <w:jc w:val="left"/>
            </w:pPr>
            <w:r>
              <w:rPr>
                <w:rFonts w:ascii="Cambria" w:hAnsi="Cambria" w:cs="Cambria" w:eastAsia="Cambria"/>
                <w:color w:val="1A1A1A"/>
                <w:sz w:val="18"/>
              </w:rPr>
              <w:t xml:space="preserve">Servizio integrato a intensità crescente</w:t>
            </w:r>
          </w:p>
        </w:tc>
        <w:tc>
          <w:tcPr/>
          <w:p>
            <w:pPr>
              <w:pStyle w:val="Compact"/>
              <w:spacing w:after="40" w:before="40"/>
              <w:jc w:val="left"/>
            </w:pPr>
            <w:r>
              <w:rPr>
                <w:rFonts w:ascii="Cambria" w:hAnsi="Cambria" w:cs="Cambria" w:eastAsia="Cambria"/>
                <w:color w:val="1A1A1A"/>
                <w:sz w:val="18"/>
              </w:rPr>
              <w:t xml:space="preserve">Recupero ~50%; monitoraggio esiti &gt;98%; &gt;1,3 milioni/anno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Paesi Bassi (POH-GGZ)</w:t>
            </w:r>
          </w:p>
        </w:tc>
        <w:tc>
          <w:tcPr>
            <w:shd w:val="clear" w:color="auto" w:fill="F4F1EC"/>
          </w:tcPr>
          <w:p>
            <w:pPr>
              <w:pStyle w:val="Compact"/>
              <w:spacing w:after="40" w:before="40"/>
              <w:jc w:val="left"/>
            </w:pPr>
            <w:r>
              <w:rPr>
                <w:rFonts w:ascii="Cambria" w:hAnsi="Cambria" w:cs="Cambria" w:eastAsia="Cambria"/>
                <w:color w:val="1A1A1A"/>
                <w:sz w:val="18"/>
              </w:rPr>
              <w:t xml:space="preserve">Supporto psicologico nello studio del medico di base</w:t>
            </w:r>
          </w:p>
        </w:tc>
        <w:tc>
          <w:tcPr>
            <w:shd w:val="clear" w:color="auto" w:fill="F4F1EC"/>
          </w:tcPr>
          <w:p>
            <w:pPr>
              <w:pStyle w:val="Compact"/>
              <w:spacing w:after="40" w:before="40"/>
              <w:jc w:val="left"/>
            </w:pPr>
            <w:r>
              <w:rPr>
                <w:rFonts w:ascii="Cambria" w:hAnsi="Cambria" w:cs="Cambria" w:eastAsia="Cambria"/>
                <w:color w:val="1A1A1A"/>
                <w:sz w:val="18"/>
              </w:rPr>
              <w:t xml:space="preserve">Adozione da ~tre quarti dei medici; ruolo complementare</w:t>
            </w:r>
          </w:p>
        </w:tc>
      </w:tr>
      <w:tr>
        <w:tc>
          <w:tcPr/>
          <w:p>
            <w:pPr>
              <w:pStyle w:val="Compact"/>
              <w:spacing w:after="40" w:before="40"/>
              <w:jc w:val="left"/>
            </w:pPr>
            <w:r>
              <w:rPr>
                <w:rFonts w:ascii="Cambria" w:hAnsi="Cambria" w:cs="Cambria" w:eastAsia="Cambria"/>
                <w:b/>
                <w:bCs/>
                <w:color w:val="1A1A1A"/>
                <w:sz w:val="18"/>
              </w:rPr>
              <w:t xml:space="preserve">Australia (Better Access)</w:t>
            </w:r>
          </w:p>
        </w:tc>
        <w:tc>
          <w:tcPr/>
          <w:p>
            <w:pPr>
              <w:pStyle w:val="Compact"/>
              <w:spacing w:after="40" w:before="40"/>
              <w:jc w:val="left"/>
            </w:pPr>
            <w:r>
              <w:rPr>
                <w:rFonts w:ascii="Cambria" w:hAnsi="Cambria" w:cs="Cambria" w:eastAsia="Cambria"/>
                <w:color w:val="1A1A1A"/>
                <w:sz w:val="18"/>
              </w:rPr>
              <w:t xml:space="preserve">Invio esterno a professionisti</w:t>
            </w:r>
          </w:p>
        </w:tc>
        <w:tc>
          <w:tcPr/>
          <w:p>
            <w:pPr>
              <w:pStyle w:val="Compact"/>
              <w:spacing w:after="40" w:before="40"/>
              <w:jc w:val="left"/>
            </w:pPr>
            <w:r>
              <w:rPr>
                <w:rFonts w:ascii="Cambria" w:hAnsi="Cambria" w:cs="Cambria" w:eastAsia="Cambria"/>
                <w:color w:val="1A1A1A"/>
                <w:sz w:val="18"/>
              </w:rPr>
              <w:t xml:space="preserve">Popolazione in trattamento dal 35% al 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Stati Uniti (Collaborative Care)</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 con monitoraggio</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452"/>
    <w:bookmarkStart w:id="453" w:name="Xd569f78eb8572dfff051a9e30985be9cdc90d75"/>
    <w:p>
      <w:pPr>
        <w:pStyle w:val="Heading3"/>
      </w:pPr>
      <w:r>
        <w:t xml:space="preserve">D.4 Le esperienze italiane, la trasferibilità e l’evidenza locale</w:t>
      </w:r>
    </w:p>
    <w:p>
      <w:pPr>
        <w:pStyle w:val="FirstParagraph"/>
      </w:pPr>
      <w:r>
        <w:t xml:space="preserve">Sul piano nazionale, diverse sperimentazioni locali — fra cui quelle riconducibili al modello di Solano nel Lazio — hanno anticipato l’integrazione psicologica nelle cure primarie, e ad esse si aggiungono oggi i servizi avviati nelle regioni dotate di una legge dedicata, tra cui la Liguria; i dati delle sperimentazioni storiche derivano però da campioni limitati e in parte da letteratura grigia, e vanno assunti con cautela. Più in generale, i risultati internazionali provengono da sistemi diversi per organizzazione e finanziamento, e la loro trasposizione richiede validazione locale, evitando di trasferire meccanicamente le stime, soprattutto quelle economiche. È qui che la posizione della Liguria si distingue da quella toscana, e va dichiarata con franchezza: a differenza della Toscana, dove una sperimentazione già matura fornisce dati di esito reale, in Liguria la sperimentazione è appena avviata e non ha ancora prodotto dati propri, sicché l’evidenza locale è allo stato prospettica. Ciò non costituisce, tuttavia, soltanto un limite: pur non disponendo ancora di dati operativi, la Liguria presenta un terreno favorevole alla valutazione — l’infrastruttura informatica regionale, la rete delle Case della Comunità, il coordinamento dell’Azienda Ligure Sanitaria — e gode del vantaggio di poter disegnare la valutazione fin dall’avvio del servizio, generando un’evidenza locale solida e non soltanto importata.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E</w:t>
      </w:r>
    </w:p>
    <w:p>
      <w:pPr>
        <w:pStyle w:val="BodyText"/>
      </w:pPr>
      <w:r>
        <w:rPr>
          <w:b/>
          <w:bCs/>
        </w:rPr>
        <w:t xml:space="preserve">La valutazione economica</w:t>
      </w:r>
    </w:p>
    <w:p>
      <w:pPr>
        <w:pStyle w:val="BodyText"/>
      </w:pPr>
      <w:r>
        <w:rPr>
          <w:i/>
          <w:iCs/>
        </w:rPr>
        <w:t xml:space="preserve">Costi, esiti, costo-utilità, impatto sul bilancio, ritorno sociale, casi economico e finanziario</w:t>
      </w:r>
    </w:p>
    <w:p>
      <w:pPr>
        <w:pStyle w:val="BodyText"/>
      </w:pPr>
      <w:r>
        <w:t xml:space="preserve">Quinto dominio dell’HTA · la valutazione economica</w:t>
      </w:r>
    </w:p>
    <w:bookmarkEnd w:id="453"/>
    <w:bookmarkEnd w:id="4221"/>
    <w:bookmarkStart w:id="461" w:name="parte-e-la-valutazione-economica-1"/>
    <w:p>
      <w:pPr>
        <w:pStyle w:val="Heading2"/>
      </w:pPr>
      <w:r>
        <w:t xml:space="preserve">Parte E — La valutazione economica</w:t>
      </w:r>
    </w:p>
    <w:p>
      <w:pPr>
        <w:pStyle w:val="FirstParagraph"/>
      </w:pPr>
      <w:r>
        <w:t xml:space="preserve">Questa parte costituisce il cuore quantitativo dello studio e ne sviluppa il quinto dominio: la valutazione economica. La struttura ricalca quella adottata per le altre regioni e ne condivide il metodo, mentre i valori sono ancorati alla Liguria. La parte identifica e stima i costi del servizio (capitolo E.1) e gli esiti di salute (E.2); ne ricava il costo-utilità (E.3); analizza l’impatto sul bilancio sanitario per canali di risparmio (E.4); stima il ritorno sociale per la collettività (E.5); e ricompone il quadro nei casi economico e finanziario del Five Case Model, con la valutazione di sostenibilità (E.6). Tutti i valori sono espressi a regime e per tre scenari di copertura. La chiave di lettura, anticipata sin d’ora, è la distinzione tra il saldo diretto per il bilancio — lievemente negativo — e il ritorno per la collettività — ampiamente positivo — in una regione che, pur debitrice nella mobilità, non può contare su tale canale per il pareggio diretto, poiché la fuga è chirurgica e non psicologica.</w:t>
      </w:r>
    </w:p>
    <w:bookmarkStart w:id="455" w:name="e.1-identificazione-e-stima-dei-costi"/>
    <w:p>
      <w:pPr>
        <w:pStyle w:val="Heading3"/>
      </w:pPr>
      <w:r>
        <w:t xml:space="preserve">E.1 Identificazione e stima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In termini aggregati, esso è dell’ordine di 9 milioni di euro annui nello scenario conservativo, 14 nello scenario base e 18 nello scenario espansivo, valori che già incorporano il programma di formazione, inclusa la componente sull’intelligenza artificiale. La stima muove da un valore unitario per incarico dell’ordine di 55.000 euro annui, regionalizzato in proporzione alla popolazione e al numero di professionisti; va ricordato che la sperimentazione è oggi finanziata su base libero-professionale per un importo dell’ordine di due milioni di euro, che copre una frazione minima del fabbisogno. La tabella seguente riporta il costo per scenario, raccordato al fabbisogno di professionisti.</w:t>
      </w:r>
    </w:p>
    <w:tbl>
      <w:tblPr>
        <w:tblStyle w:val="Table"/>
        <w:tblW w:type="pct" w:w="489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201"/>
        <w:gridCol w:w="1516"/>
        <w:gridCol w:w="1516"/>
        <w:gridCol w:w="151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Voce</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w:t>
            </w:r>
          </w:p>
        </w:tc>
      </w:tr>
      <w:tr>
        <w:tc>
          <w:tcPr/>
          <w:p>
            <w:pPr>
              <w:pStyle w:val="Compact"/>
              <w:spacing w:after="40" w:before="40"/>
              <w:jc w:val="left"/>
            </w:pPr>
            <w:r>
              <w:rPr>
                <w:rFonts w:ascii="Cambria" w:hAnsi="Cambria" w:cs="Cambria" w:eastAsia="Cambria"/>
                <w:b/>
                <w:bCs/>
                <w:color w:val="1A1A1A"/>
                <w:sz w:val="18"/>
              </w:rPr>
              <w:t xml:space="preserve">Psicologi a regime (incarichi)</w:t>
            </w:r>
          </w:p>
        </w:tc>
        <w:tc>
          <w:tcPr/>
          <w:p>
            <w:pPr>
              <w:pStyle w:val="Compact"/>
              <w:spacing w:after="40" w:before="40"/>
              <w:jc w:val="left"/>
            </w:pPr>
            <w:r>
              <w:rPr>
                <w:rFonts w:ascii="Cambria" w:hAnsi="Cambria" w:cs="Cambria" w:eastAsia="Cambria"/>
                <w:color w:val="1A1A1A"/>
                <w:sz w:val="18"/>
              </w:rPr>
              <w:t xml:space="preserve">~ 170</w:t>
            </w:r>
          </w:p>
        </w:tc>
        <w:tc>
          <w:tcPr/>
          <w:p>
            <w:pPr>
              <w:pStyle w:val="Compact"/>
              <w:spacing w:after="40" w:before="40"/>
              <w:jc w:val="left"/>
            </w:pPr>
            <w:r>
              <w:rPr>
                <w:rFonts w:ascii="Cambria" w:hAnsi="Cambria" w:cs="Cambria" w:eastAsia="Cambria"/>
                <w:color w:val="1A1A1A"/>
                <w:sz w:val="18"/>
              </w:rPr>
              <w:t xml:space="preserve">~ 250</w:t>
            </w:r>
          </w:p>
        </w:tc>
        <w:tc>
          <w:tcPr/>
          <w:p>
            <w:pPr>
              <w:pStyle w:val="Compact"/>
              <w:spacing w:after="40" w:before="40"/>
              <w:jc w:val="left"/>
            </w:pPr>
            <w:r>
              <w:rPr>
                <w:rFonts w:ascii="Cambria" w:hAnsi="Cambria" w:cs="Cambria" w:eastAsia="Cambria"/>
                <w:color w:val="1A1A1A"/>
                <w:sz w:val="18"/>
              </w:rPr>
              <w:t xml:space="preserve">~ 330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unitario per incarico</w:t>
            </w:r>
          </w:p>
        </w:tc>
        <w:tc>
          <w:tcPr>
            <w:shd w:val="clear" w:color="auto" w:fill="F4F1EC"/>
          </w:tcPr>
          <w:p>
            <w:pPr>
              <w:pStyle w:val="Compact"/>
              <w:spacing w:after="40" w:before="40"/>
              <w:jc w:val="left"/>
            </w:pPr>
            <w:r>
              <w:rPr>
                <w:rFonts w:ascii="Cambria" w:hAnsi="Cambria" w:cs="Cambria" w:eastAsia="Cambria"/>
                <w:color w:val="1A1A1A"/>
                <w:sz w:val="18"/>
              </w:rPr>
              <w:t xml:space="preserve">55.000 €</w:t>
            </w:r>
          </w:p>
        </w:tc>
        <w:tc>
          <w:tcPr>
            <w:shd w:val="clear" w:color="auto" w:fill="F4F1EC"/>
          </w:tcPr>
          <w:p>
            <w:pPr>
              <w:pStyle w:val="Compact"/>
              <w:spacing w:after="40" w:before="40"/>
              <w:jc w:val="left"/>
            </w:pPr>
            <w:r>
              <w:rPr>
                <w:rFonts w:ascii="Cambria" w:hAnsi="Cambria" w:cs="Cambria" w:eastAsia="Cambria"/>
                <w:color w:val="1A1A1A"/>
                <w:sz w:val="18"/>
              </w:rPr>
              <w:t xml:space="preserve">55.000 €</w:t>
            </w:r>
          </w:p>
        </w:tc>
        <w:tc>
          <w:tcPr>
            <w:shd w:val="clear" w:color="auto" w:fill="F4F1EC"/>
          </w:tcPr>
          <w:p>
            <w:pPr>
              <w:pStyle w:val="Compact"/>
              <w:spacing w:after="40" w:before="40"/>
              <w:jc w:val="left"/>
            </w:pPr>
            <w:r>
              <w:rPr>
                <w:rFonts w:ascii="Cambria" w:hAnsi="Cambria" w:cs="Cambria" w:eastAsia="Cambria"/>
                <w:color w:val="1A1A1A"/>
                <w:sz w:val="18"/>
              </w:rPr>
              <w:t xml:space="preserve">55.000 €</w:t>
            </w:r>
          </w:p>
        </w:tc>
      </w:tr>
      <w:tr>
        <w:tc>
          <w:tcPr/>
          <w:p>
            <w:pPr>
              <w:pStyle w:val="Compact"/>
              <w:spacing w:after="40" w:before="40"/>
              <w:jc w:val="left"/>
            </w:pPr>
            <w:r>
              <w:rPr>
                <w:rFonts w:ascii="Cambria" w:hAnsi="Cambria" w:cs="Cambria" w:eastAsia="Cambria"/>
                <w:b/>
                <w:bCs/>
                <w:color w:val="1A1A1A"/>
                <w:sz w:val="18"/>
              </w:rPr>
              <w:t xml:space="preserve">Costo del servizio (mln €/anno)</w:t>
            </w:r>
          </w:p>
        </w:tc>
        <w:tc>
          <w:tcPr/>
          <w:p>
            <w:pPr>
              <w:pStyle w:val="Compact"/>
              <w:spacing w:after="40" w:before="40"/>
              <w:jc w:val="left"/>
            </w:pPr>
            <w:r>
              <w:rPr>
                <w:rFonts w:ascii="Cambria" w:hAnsi="Cambria" w:cs="Cambria" w:eastAsia="Cambria"/>
                <w:color w:val="1A1A1A"/>
                <w:sz w:val="18"/>
              </w:rPr>
              <w:t xml:space="preserve">~ 9</w:t>
            </w:r>
          </w:p>
        </w:tc>
        <w:tc>
          <w:tcPr/>
          <w:p>
            <w:pPr>
              <w:pStyle w:val="Compact"/>
              <w:spacing w:after="40" w:before="40"/>
              <w:jc w:val="left"/>
            </w:pPr>
            <w:r>
              <w:rPr>
                <w:rFonts w:ascii="Cambria" w:hAnsi="Cambria" w:cs="Cambria" w:eastAsia="Cambria"/>
                <w:color w:val="1A1A1A"/>
                <w:sz w:val="18"/>
              </w:rPr>
              <w:t xml:space="preserve">~ 14</w:t>
            </w:r>
          </w:p>
        </w:tc>
        <w:tc>
          <w:tcPr/>
          <w:p>
            <w:pPr>
              <w:pStyle w:val="Compact"/>
              <w:spacing w:after="40" w:before="40"/>
              <w:jc w:val="left"/>
            </w:pPr>
            <w:r>
              <w:rPr>
                <w:rFonts w:ascii="Cambria" w:hAnsi="Cambria" w:cs="Cambria" w:eastAsia="Cambria"/>
                <w:color w:val="1A1A1A"/>
                <w:sz w:val="18"/>
              </w:rPr>
              <w:t xml:space="preserve">~ 18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Copertura del fabbisogno</w:t>
            </w:r>
          </w:p>
        </w:tc>
        <w:tc>
          <w:tcPr>
            <w:shd w:val="clear" w:color="auto" w:fill="F4F1EC"/>
          </w:tcPr>
          <w:p>
            <w:pPr>
              <w:pStyle w:val="Compact"/>
              <w:spacing w:after="40" w:before="40"/>
              <w:jc w:val="left"/>
            </w:pPr>
            <w:r>
              <w:rPr>
                <w:rFonts w:ascii="Cambria" w:hAnsi="Cambria" w:cs="Cambria" w:eastAsia="Cambria"/>
                <w:color w:val="1A1A1A"/>
                <w:sz w:val="18"/>
              </w:rPr>
              <w:t xml:space="preserve">Parziale</w:t>
            </w:r>
          </w:p>
        </w:tc>
        <w:tc>
          <w:tcPr>
            <w:shd w:val="clear" w:color="auto" w:fill="F4F1EC"/>
          </w:tcPr>
          <w:p>
            <w:pPr>
              <w:pStyle w:val="Compact"/>
              <w:spacing w:after="40" w:before="40"/>
              <w:jc w:val="left"/>
            </w:pPr>
            <w:r>
              <w:rPr>
                <w:rFonts w:ascii="Cambria" w:hAnsi="Cambria" w:cs="Cambria" w:eastAsia="Cambria"/>
                <w:color w:val="1A1A1A"/>
                <w:sz w:val="18"/>
              </w:rPr>
              <w:t xml:space="preserve">Ampia</w:t>
            </w:r>
          </w:p>
        </w:tc>
        <w:tc>
          <w:tcPr>
            <w:shd w:val="clear" w:color="auto" w:fill="F4F1EC"/>
          </w:tcPr>
          <w:p>
            <w:pPr>
              <w:pStyle w:val="Compact"/>
              <w:spacing w:after="40" w:before="40"/>
              <w:jc w:val="left"/>
            </w:pPr>
            <w:r>
              <w:rPr>
                <w:rFonts w:ascii="Cambria" w:hAnsi="Cambria" w:cs="Cambria" w:eastAsia="Cambria"/>
                <w:color w:val="1A1A1A"/>
                <w:sz w:val="18"/>
              </w:rPr>
              <w:t xml:space="preserve">Piena</w:t>
            </w:r>
          </w:p>
        </w:tc>
      </w:tr>
    </w:tbl>
    <w:p>
      <w:pPr>
        <w:pStyle w:val="BodyText"/>
      </w:pPr>
      <w:r>
        <w:rPr>
          <w:i/>
          <w:iCs/>
        </w:rPr>
        <w:t xml:space="preserve">Tabella E.1. Il costo del servizio per scenario di copertura, a regime.</w:t>
      </w:r>
    </w:p>
    <w:bookmarkEnd w:id="455"/>
    <w:bookmarkStart w:id="4223" w:name="e.2-identificazione-e-misura-degli-esiti"/>
    <w:p>
      <w:pPr>
        <w:pStyle w:val="Heading3"/>
      </w:pPr>
      <w:r>
        <w:t xml:space="preserve">E.2 Identificazione e misura degli esiti</w:t>
      </w:r>
    </w:p>
    <w:p>
      <w:pPr>
        <w:pStyle w:val="FirstParagraph"/>
      </w:pPr>
      <w:r>
        <w:t xml:space="preserve">Gli esiti di salute sono espressi in anni di vita ponderati per la qualità e in esiti clinici validati; i tassi di recupero e di miglioramento sono desunti dai benchmark consolidati discussi nella Parte D e applicati in via prudenziale al contesto ligure. Le misure impiegate, nei soli punteggi complessivi, sono il questionario a nove voci sui sintomi depressivi e la scala a sette voci per il disturbo d’ansia, con un tasso di recupero di riferimento dell’ordine del cinquanta per cento, in linea con il programma inglese. La scelta di adottare valori prudenziali, inferiori ai massimi osservati nei programmi più efficienti, è coerente con la correzione per l’ottimismo dichiarata nella Parte A e mira a non sovrastimare i benefici.</w:t>
      </w:r>
    </w:p>
    <w:bookmarkEnd w:id="4223"/>
    <w:bookmarkStart w:id="457" w:name="e.3-costo-efficacia-e-costo-utilità"/>
    <w:p>
      <w:pPr>
        <w:pStyle w:val="Heading3"/>
      </w:pPr>
      <w:r>
        <w:t xml:space="preserve">E.3 Costo-efficacia e costo-utilità</w:t>
      </w:r>
    </w:p>
    <w:p>
      <w:pPr>
        <w:pStyle w:val="FirstParagraph"/>
      </w:pPr>
      <w:r>
        <w:t xml:space="preserve">Dal rapporto tra i costi e gli esiti di salute discende il giudizio di costo-efficacia. Il costo per anno di vita ponderato per la qualità si colloca al di sotto della soglia comunemente adottata, fissata per riferimento nell’ordine di 30.000 euro per anno di vita ponderato per la qualità, in linea con la prassi internazionale. L’analisi per paziente, sviluppata in dettaglio nella Parte F mediante il modello di Markov, indica condizioni di dominanza dell’intervento rispetto all’opzione di non intervento, ossia un intervento che a un tempo migliora gli esiti e riduce i costi attesi lungo l’intero orizzonte temporale considerato. Il giudizio di costo-efficacia è, in altri termini, favorevole già sul piano della sola costo-utilità, prima ancora di considerare le ricadute sociali.</w:t>
      </w:r>
    </w:p>
    <w:bookmarkEnd w:id="457"/>
    <w:bookmarkStart w:id="4224" w:name="e.4-limpatto-sul-bilancio-1"/>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e dei ricoveri e prestazioni specialistiche evitabili. Qui la Liguria presenta una specificità che lo studio dichiara con franchezza: la regione è debitrice nella mobilità, con un saldo passivo dell’ordine di settanta milioni di euro, ma la fuga è concentrata nelle specialità chirurgiche e non nella domanda psicologica, sicché il canale della mobilità recuperata — leva centrale per le regioni debitrici del Mezzogiorno come la Puglia — è in Liguria solo marginalmente pertinente a questo intervento e vi figura per un importo simbolico. I risparmi diretti complessivi sono pertanto stimati, in via prudenziale, nell’ordine di 6 milioni di euro annui nello scenario conservativo, 10 nel base e 14 nell’espansivo, con il canale della mobilità in posizione marginale. Ne consegue un saldo diretto per il bilancio sanitario — differenza tra risparmi diretti e costo del servizio — dell’ordine di −3, −4 e −4 milioni di euro annui nei tre scenari, lievemente negativo. Questo saldo negativo è dichiarato senza attenuazioni e ne costituisce il profilo onesto: a differenza della Puglia, in Liguria la fuga è chirurgica e il valore risiede nelle ricadute sociali, ma in un contesto di pressione finanziaria e di primato nazionale della domanda di salute mentale il contenimento della domanda impropria conserva una salienza diretta non trascurabile. La tabella seguente disaggrega i risparmi diretti per canale.</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 di risparmio diretto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 1</w:t>
            </w:r>
          </w:p>
        </w:tc>
        <w:tc>
          <w:tcPr/>
          <w:p>
            <w:pPr>
              <w:pStyle w:val="Compact"/>
              <w:spacing w:after="40" w:before="40"/>
              <w:jc w:val="left"/>
            </w:pPr>
            <w:r>
              <w:rPr>
                <w:rFonts w:ascii="Cambria" w:hAnsi="Cambria" w:cs="Cambria" w:eastAsia="Cambria"/>
                <w:color w:val="1A1A1A"/>
                <w:sz w:val="18"/>
              </w:rPr>
              <w:t xml:space="preserve">~ 2</w:t>
            </w:r>
          </w:p>
        </w:tc>
        <w:tc>
          <w:tcPr/>
          <w:p>
            <w:pPr>
              <w:pStyle w:val="Compact"/>
              <w:spacing w:after="40" w:before="40"/>
              <w:jc w:val="left"/>
            </w:pPr>
            <w:r>
              <w:rPr>
                <w:rFonts w:ascii="Cambria" w:hAnsi="Cambria" w:cs="Cambria" w:eastAsia="Cambria"/>
                <w:color w:val="1A1A1A"/>
                <w:sz w:val="18"/>
              </w:rPr>
              <w:t xml:space="preserve">~ 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Farmaceutica</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c>
          <w:tcPr>
            <w:shd w:val="clear" w:color="auto" w:fill="F4F1EC"/>
          </w:tcPr>
          <w:p>
            <w:pPr>
              <w:pStyle w:val="Compact"/>
              <w:spacing w:after="40" w:before="40"/>
              <w:jc w:val="left"/>
            </w:pPr>
            <w:r>
              <w:rPr>
                <w:rFonts w:ascii="Cambria" w:hAnsi="Cambria" w:cs="Cambria" w:eastAsia="Cambria"/>
                <w:color w:val="1A1A1A"/>
                <w:sz w:val="18"/>
              </w:rPr>
              <w:t xml:space="preserve">~ 2</w:t>
            </w:r>
          </w:p>
        </w:tc>
        <w:tc>
          <w:tcPr>
            <w:shd w:val="clear" w:color="auto" w:fill="F4F1EC"/>
          </w:tcPr>
          <w:p>
            <w:pPr>
              <w:pStyle w:val="Compact"/>
              <w:spacing w:after="40" w:before="40"/>
              <w:jc w:val="left"/>
            </w:pPr>
            <w:r>
              <w:rPr>
                <w:rFonts w:ascii="Cambria" w:hAnsi="Cambria" w:cs="Cambria" w:eastAsia="Cambria"/>
                <w:color w:val="1A1A1A"/>
                <w:sz w:val="18"/>
              </w:rPr>
              <w:t xml:space="preserve">~ 3</w:t>
            </w:r>
          </w:p>
        </w:tc>
      </w:tr>
      <w:tr>
        <w:tc>
          <w:tcPr/>
          <w:p>
            <w:pPr>
              <w:pStyle w:val="Compact"/>
              <w:spacing w:after="40" w:before="40"/>
              <w:jc w:val="left"/>
            </w:pPr>
            <w:r>
              <w:rPr>
                <w:rFonts w:ascii="Cambria" w:hAnsi="Cambria" w:cs="Cambria" w:eastAsia="Cambria"/>
                <w:b/>
                <w:bCs/>
                <w:color w:val="1A1A1A"/>
                <w:sz w:val="18"/>
              </w:rPr>
              <w:t xml:space="preserve">Ricoveri e specialistica evitabili</w:t>
            </w:r>
          </w:p>
        </w:tc>
        <w:tc>
          <w:tcPr/>
          <w:p>
            <w:pPr>
              <w:pStyle w:val="Compact"/>
              <w:spacing w:after="40" w:before="40"/>
              <w:jc w:val="left"/>
            </w:pPr>
            <w:r>
              <w:rPr>
                <w:rFonts w:ascii="Cambria" w:hAnsi="Cambria" w:cs="Cambria" w:eastAsia="Cambria"/>
                <w:color w:val="1A1A1A"/>
                <w:sz w:val="18"/>
              </w:rPr>
              <w:t xml:space="preserve">~ 3</w:t>
            </w:r>
          </w:p>
        </w:tc>
        <w:tc>
          <w:tcPr/>
          <w:p>
            <w:pPr>
              <w:pStyle w:val="Compact"/>
              <w:spacing w:after="40" w:before="40"/>
              <w:jc w:val="left"/>
            </w:pPr>
            <w:r>
              <w:rPr>
                <w:rFonts w:ascii="Cambria" w:hAnsi="Cambria" w:cs="Cambria" w:eastAsia="Cambria"/>
                <w:color w:val="1A1A1A"/>
                <w:sz w:val="18"/>
              </w:rPr>
              <w:t xml:space="preserve">~ 5</w:t>
            </w:r>
          </w:p>
        </w:tc>
        <w:tc>
          <w:tcPr/>
          <w:p>
            <w:pPr>
              <w:pStyle w:val="Compact"/>
              <w:spacing w:after="40" w:before="40"/>
              <w:jc w:val="left"/>
            </w:pPr>
            <w:r>
              <w:rPr>
                <w:rFonts w:ascii="Cambria" w:hAnsi="Cambria" w:cs="Cambria" w:eastAsia="Cambria"/>
                <w:color w:val="1A1A1A"/>
                <w:sz w:val="18"/>
              </w:rPr>
              <w:t xml:space="preserve">~ 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recuperata (marginale)</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r>
      <w:tr>
        <w:tc>
          <w:tcPr/>
          <w:p>
            <w:pPr>
              <w:pStyle w:val="Compact"/>
              <w:spacing w:after="40" w:before="40"/>
              <w:jc w:val="left"/>
            </w:pPr>
            <w:r>
              <w:rPr>
                <w:rFonts w:ascii="Cambria" w:hAnsi="Cambria" w:cs="Cambria" w:eastAsia="Cambria"/>
                <w:b/>
                <w:bCs/>
                <w:color w:val="1A1A1A"/>
                <w:sz w:val="18"/>
              </w:rPr>
              <w:t xml:space="preserve">Risparmi diretti totali (mln €/anno)</w:t>
            </w:r>
          </w:p>
        </w:tc>
        <w:tc>
          <w:tcPr/>
          <w:p>
            <w:pPr>
              <w:pStyle w:val="Compact"/>
              <w:spacing w:after="40" w:before="40"/>
              <w:jc w:val="left"/>
            </w:pPr>
            <w:r>
              <w:rPr>
                <w:rFonts w:ascii="Cambria" w:hAnsi="Cambria" w:cs="Cambria" w:eastAsia="Cambria"/>
                <w:color w:val="1A1A1A"/>
                <w:sz w:val="18"/>
              </w:rPr>
              <w:t xml:space="preserve">~ 6</w:t>
            </w:r>
          </w:p>
        </w:tc>
        <w:tc>
          <w:tcPr/>
          <w:p>
            <w:pPr>
              <w:pStyle w:val="Compact"/>
              <w:spacing w:after="40" w:before="40"/>
              <w:jc w:val="left"/>
            </w:pPr>
            <w:r>
              <w:rPr>
                <w:rFonts w:ascii="Cambria" w:hAnsi="Cambria" w:cs="Cambria" w:eastAsia="Cambria"/>
                <w:color w:val="1A1A1A"/>
                <w:sz w:val="18"/>
              </w:rPr>
              <w:t xml:space="preserve">~ 10</w:t>
            </w:r>
          </w:p>
        </w:tc>
        <w:tc>
          <w:tcPr/>
          <w:p>
            <w:pPr>
              <w:pStyle w:val="Compact"/>
              <w:spacing w:after="40" w:before="40"/>
              <w:jc w:val="left"/>
            </w:pPr>
            <w:r>
              <w:rPr>
                <w:rFonts w:ascii="Cambria" w:hAnsi="Cambria" w:cs="Cambria" w:eastAsia="Cambria"/>
                <w:color w:val="1A1A1A"/>
                <w:sz w:val="18"/>
              </w:rPr>
              <w:t xml:space="preserve">~ 14</w:t>
            </w:r>
          </w:p>
        </w:tc>
      </w:tr>
    </w:tbl>
    <w:p>
      <w:pPr>
        <w:pStyle w:val="BodyText"/>
      </w:pPr>
      <w:r>
        <w:rPr>
          <w:i/>
          <w:iCs/>
        </w:rPr>
        <w:t xml:space="preserve">Tabella E.2. I risparmi diretti per il Servizio sanitario regionale, per canale; il canale della mobilità è marginale perché la fuga ligure è chirurgica.</w:t>
      </w:r>
    </w:p>
    <w:bookmarkEnd w:id="4224"/>
    <w:bookmarkStart w:id="4225" w:name="e.5-il-ritorno-sociale-1"/>
    <w:p>
      <w:pPr>
        <w:pStyle w:val="Heading3"/>
      </w:pPr>
      <w:r>
        <w:t xml:space="preserve">E.5 Il ritorno sociale</w:t>
      </w:r>
    </w:p>
    <w:p>
      <w:pPr>
        <w:pStyle w:val="FirstParagraph"/>
      </w:pPr>
      <w:r>
        <w:t xml:space="preserve">Il valore dell’intervento che eccede il bilancio sanitario è colto dall’analisi del ritorno sociale, che ne monetizza le ricadute per la collettività: la maggiore produttività recuperata, la riduzione delle nuove invalidità e dei pensionamenti anticipati, le efficienze nel sistema dei servizi di salute mentale e il sollievo alle figure di cura familiari. Nella regione più anziana d’Italia, a fortissima presenza di cronicità e con la più alta prevalenza nazionale di utenti dei servizi di salute mentale, le componenti della produttività recuperata e del sollievo ai familiari assumono un peso particolarmente elevato. Le ricadute economico-sociali sono stimate, con criteri conservativi, nell’ordine di 29 milioni di euro annui nello scenario conservativo, 55 nel base e 85 nell’espansivo. Sommando i risparmi diretti e le ricadute sociali si ottiene il ritorno complessivo, dell’ordine di 35, 65 e 99 milioni di euro annui, da cui un saldo complessivo, al netto del costo del servizio, dell’ordine di +26, +51 e +81 milioni di euro annui. Il rapporto beneficio-costo complessivo è conseguentemente dell’ordine di 3,9 a uno nello scenario conservativo, 4,6 a uno nel base e 5,5 a uno nell’espansivo, in linea con il valore validato sulle altre regioni e con le stime fondate della letteratura.</w:t>
      </w:r>
    </w:p>
    <w:bookmarkEnd w:id="4225"/>
    <w:bookmarkStart w:id="460" w:name="Xba1c4b4e1e642296de79d072fc8fe0da124afac"/>
    <w:p>
      <w:pPr>
        <w:pStyle w:val="Heading3"/>
      </w:pPr>
      <w:r>
        <w:t xml:space="preserve">E.6 Caso economico, caso finanziario e sostenibilità</w:t>
      </w:r>
    </w:p>
    <w:p>
      <w:pPr>
        <w:pStyle w:val="FirstParagraph"/>
      </w:pPr>
      <w:r>
        <w:t xml:space="preserve">La ricomposizione dei risultati secondo il Five Case Model distingue due grandezze che non vanno confuse. Il caso finanziario, riferito al solo bilancio sanitario, presenta un saldo diretto lievemente negativo; il caso economico, riferito alla collettività, è ampiamente positivo. La distinzione tra le due grandezze è la chiave dell’intera analisi, e vale per la Liguria come per le altre regioni a saldo diretto negativo. Sul piano della sostenibilità finanziaria, il costo del servizio si colloca nell’ordine dello 0,3–0,5% di un Fondo Sanitario Regionale dell’ordine di 3,5 miliardi di euro: benché la regione operi sotto pressione finanziaria e con un disavanzo strutturale coperto con risorse regionali, l’importo è contenuto, tanto più che una quota è già a bilancio per la sperimentazione avviata, e l’investimento incrementale è quello necessario a colmare il divario verso il fabbisogno. Resta da dichiarare, con la stessa franchezza adottata per il saldo diretto, la lacuna prioritaria: le grandezze economiche qui impiegate sono in parte ricostruite dai conti nazionali per quota di popolazione e non estratte dai conti regionali certificati delle cinque Aziende e degli IRCCS, e in Liguria, a differenza della Toscana, tale ricostruzione è ancora poco mitigata da dati operativi, poiché la sperimentazione è appena avviata. La tabella seguente ricompone il quadro economico consolidato per scenario.</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9</w:t>
            </w:r>
          </w:p>
        </w:tc>
        <w:tc>
          <w:tcPr/>
          <w:p>
            <w:pPr>
              <w:pStyle w:val="Compact"/>
              <w:spacing w:after="40" w:before="40"/>
              <w:jc w:val="left"/>
            </w:pPr>
            <w:r>
              <w:rPr>
                <w:rFonts w:ascii="Cambria" w:hAnsi="Cambria" w:cs="Cambria" w:eastAsia="Cambria"/>
                <w:color w:val="1A1A1A"/>
                <w:sz w:val="18"/>
              </w:rPr>
              <w:t xml:space="preserve">~ 14</w:t>
            </w:r>
          </w:p>
        </w:tc>
        <w:tc>
          <w:tcPr/>
          <w:p>
            <w:pPr>
              <w:pStyle w:val="Compact"/>
              <w:spacing w:after="40" w:before="40"/>
              <w:jc w:val="left"/>
            </w:pPr>
            <w:r>
              <w:rPr>
                <w:rFonts w:ascii="Cambria" w:hAnsi="Cambria" w:cs="Cambria" w:eastAsia="Cambria"/>
                <w:color w:val="1A1A1A"/>
                <w:sz w:val="18"/>
              </w:rPr>
              <w:t xml:space="preserve">~ 18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6</w:t>
            </w:r>
          </w:p>
        </w:tc>
        <w:tc>
          <w:tcPr>
            <w:shd w:val="clear" w:color="auto" w:fill="F4F1EC"/>
          </w:tcPr>
          <w:p>
            <w:pPr>
              <w:pStyle w:val="Compact"/>
              <w:spacing w:after="40" w:before="40"/>
              <w:jc w:val="left"/>
            </w:pPr>
            <w:r>
              <w:rPr>
                <w:rFonts w:ascii="Cambria" w:hAnsi="Cambria" w:cs="Cambria" w:eastAsia="Cambria"/>
                <w:color w:val="1A1A1A"/>
                <w:sz w:val="18"/>
              </w:rPr>
              <w:t xml:space="preserve">~ 10</w:t>
            </w:r>
          </w:p>
        </w:tc>
        <w:tc>
          <w:tcPr>
            <w:shd w:val="clear" w:color="auto" w:fill="F4F1EC"/>
          </w:tcPr>
          <w:p>
            <w:pPr>
              <w:pStyle w:val="Compact"/>
              <w:spacing w:after="40" w:before="40"/>
              <w:jc w:val="left"/>
            </w:pPr>
            <w:r>
              <w:rPr>
                <w:rFonts w:ascii="Cambria" w:hAnsi="Cambria" w:cs="Cambria" w:eastAsia="Cambria"/>
                <w:color w:val="1A1A1A"/>
                <w:sz w:val="18"/>
              </w:rPr>
              <w:t xml:space="preserve">~ 14</w:t>
            </w:r>
          </w:p>
        </w:tc>
      </w:tr>
      <w:tr>
        <w:tc>
          <w:tcPr/>
          <w:p>
            <w:pPr>
              <w:pStyle w:val="Compact"/>
              <w:spacing w:after="40" w:before="40"/>
              <w:jc w:val="left"/>
            </w:pPr>
            <w:r>
              <w:rPr>
                <w:rFonts w:ascii="Cambria" w:hAnsi="Cambria" w:cs="Cambria" w:eastAsia="Cambria"/>
                <w:b/>
                <w:bCs/>
                <w:color w:val="1A1A1A"/>
                <w:sz w:val="18"/>
              </w:rPr>
              <w:t xml:space="preserve">Ricadute economico-sociali</w:t>
            </w:r>
          </w:p>
        </w:tc>
        <w:tc>
          <w:tcPr/>
          <w:p>
            <w:pPr>
              <w:pStyle w:val="Compact"/>
              <w:spacing w:after="40" w:before="40"/>
              <w:jc w:val="left"/>
            </w:pPr>
            <w:r>
              <w:rPr>
                <w:rFonts w:ascii="Cambria" w:hAnsi="Cambria" w:cs="Cambria" w:eastAsia="Cambria"/>
                <w:color w:val="1A1A1A"/>
                <w:sz w:val="18"/>
              </w:rPr>
              <w:t xml:space="preserve">~ 29</w:t>
            </w:r>
          </w:p>
        </w:tc>
        <w:tc>
          <w:tcPr/>
          <w:p>
            <w:pPr>
              <w:pStyle w:val="Compact"/>
              <w:spacing w:after="40" w:before="40"/>
              <w:jc w:val="left"/>
            </w:pPr>
            <w:r>
              <w:rPr>
                <w:rFonts w:ascii="Cambria" w:hAnsi="Cambria" w:cs="Cambria" w:eastAsia="Cambria"/>
                <w:color w:val="1A1A1A"/>
                <w:sz w:val="18"/>
              </w:rPr>
              <w:t xml:space="preserve">~ 55</w:t>
            </w:r>
          </w:p>
        </w:tc>
        <w:tc>
          <w:tcPr/>
          <w:p>
            <w:pPr>
              <w:pStyle w:val="Compact"/>
              <w:spacing w:after="40" w:before="40"/>
              <w:jc w:val="left"/>
            </w:pPr>
            <w:r>
              <w:rPr>
                <w:rFonts w:ascii="Cambria" w:hAnsi="Cambria" w:cs="Cambria" w:eastAsia="Cambria"/>
                <w:color w:val="1A1A1A"/>
                <w:sz w:val="18"/>
              </w:rPr>
              <w:t xml:space="preserve">~ 85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−3</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r>
      <w:tr>
        <w:tc>
          <w:tcPr/>
          <w:p>
            <w:pPr>
              <w:pStyle w:val="Compact"/>
              <w:spacing w:after="40" w:before="40"/>
              <w:jc w:val="left"/>
            </w:pPr>
            <w:r>
              <w:rPr>
                <w:rFonts w:ascii="Cambria" w:hAnsi="Cambria" w:cs="Cambria" w:eastAsia="Cambria"/>
                <w:b/>
                <w:bCs/>
                <w:color w:val="1A1A1A"/>
                <w:sz w:val="18"/>
              </w:rPr>
              <w:t xml:space="preserve">Saldo complessivo (caso economico)</w:t>
            </w:r>
          </w:p>
        </w:tc>
        <w:tc>
          <w:tcPr/>
          <w:p>
            <w:pPr>
              <w:pStyle w:val="Compact"/>
              <w:spacing w:after="40" w:before="40"/>
              <w:jc w:val="left"/>
            </w:pPr>
            <w:r>
              <w:rPr>
                <w:rFonts w:ascii="Cambria" w:hAnsi="Cambria" w:cs="Cambria" w:eastAsia="Cambria"/>
                <w:color w:val="1A1A1A"/>
                <w:sz w:val="18"/>
              </w:rPr>
              <w:t xml:space="preserve">+26</w:t>
            </w:r>
          </w:p>
        </w:tc>
        <w:tc>
          <w:tcPr/>
          <w:p>
            <w:pPr>
              <w:pStyle w:val="Compact"/>
              <w:spacing w:after="40" w:before="40"/>
              <w:jc w:val="left"/>
            </w:pPr>
            <w:r>
              <w:rPr>
                <w:rFonts w:ascii="Cambria" w:hAnsi="Cambria" w:cs="Cambria" w:eastAsia="Cambria"/>
                <w:color w:val="1A1A1A"/>
                <w:sz w:val="18"/>
              </w:rPr>
              <w:t xml:space="preserve">+51</w:t>
            </w:r>
          </w:p>
        </w:tc>
        <w:tc>
          <w:tcPr/>
          <w:p>
            <w:pPr>
              <w:pStyle w:val="Compact"/>
              <w:spacing w:after="40" w:before="40"/>
              <w:jc w:val="left"/>
            </w:pPr>
            <w:r>
              <w:rPr>
                <w:rFonts w:ascii="Cambria" w:hAnsi="Cambria" w:cs="Cambria" w:eastAsia="Cambria"/>
                <w:color w:val="1A1A1A"/>
                <w:sz w:val="18"/>
              </w:rPr>
              <w:t xml:space="preserve">+81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~3,9:1</w:t>
            </w:r>
          </w:p>
        </w:tc>
        <w:tc>
          <w:tcPr>
            <w:shd w:val="clear" w:color="auto" w:fill="F4F1EC"/>
          </w:tcPr>
          <w:p>
            <w:pPr>
              <w:pStyle w:val="Compact"/>
              <w:spacing w:after="40" w:before="40"/>
              <w:jc w:val="left"/>
            </w:pPr>
            <w:r>
              <w:rPr>
                <w:rFonts w:ascii="Cambria" w:hAnsi="Cambria" w:cs="Cambria" w:eastAsia="Cambria"/>
                <w:color w:val="1A1A1A"/>
                <w:sz w:val="18"/>
              </w:rPr>
              <w:t xml:space="preserve">~4,6:1</w:t>
            </w:r>
          </w:p>
        </w:tc>
        <w:tc>
          <w:tcPr>
            <w:shd w:val="clear" w:color="auto" w:fill="F4F1E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E.3. Il quadro economico consolidato per scenario; la distinzione tra saldo diretto e saldo complessivo è la chiave di lettura.</w:t>
      </w:r>
    </w:p>
    <w:p>
      <w:pPr>
        <w:pStyle w:val="BodyText"/>
      </w:pPr>
      <w:r>
        <w:t xml:space="preserve">Definito il quadro economico, resta da darne conto sotto il profilo dell’incertezza: la parte che segue sviluppa la modellazione e l’analisi di sensibilità, per stabilire quanto i risultati siano robusti alla variazione dei parametri.</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di Markov, caso base e dominanza, analisi di sensibilità, analisi probabilistica, valore dell</w:t>
      </w:r>
      <w:r>
        <w:rPr>
          <w:b/>
          <w:bCs/>
          <w:i/>
          <w:iCs/>
        </w:rPr>
        <w:t xml:space="preserve">’</w:t>
      </w:r>
      <w:r>
        <w:rPr>
          <w:i/>
          <w:iCs/>
        </w:rPr>
        <w:t xml:space="preserve">informazione</w:t>
      </w:r>
    </w:p>
    <w:p>
      <w:pPr>
        <w:pStyle w:val="BodyText"/>
      </w:pPr>
      <w:r>
        <w:t xml:space="preserve">Quinto dominio dell’HTA · modellazione e governo dell’incertezza</w:t>
      </w:r>
    </w:p>
    <w:bookmarkEnd w:id="460"/>
    <w:bookmarkEnd w:id="461"/>
    <w:bookmarkStart w:id="4226" w:name="parte-f-modellazione-e-incertezza"/>
    <w:p>
      <w:pPr>
        <w:pStyle w:val="Heading2"/>
      </w:pPr>
      <w:r>
        <w:t xml:space="preserve">Parte F — Modellazione e incertezza</w:t>
      </w:r>
    </w:p>
    <w:p>
      <w:pPr>
        <w:pStyle w:val="FirstParagraph"/>
      </w:pPr>
      <w:r>
        <w:t xml:space="preserve">Questa parte completa il quinto dominio sviluppando i metodi di modellazione e di gestione dell’incertezza, a fondamento delle stime economiche della Parte E. Il modello e i suoi risultati per paziente sono, per costruzione, indipendenti dalla regione, e sono pertanto i medesimi validati per le altre Regioni; muta invece, ed è il punto qualificante per la Liguria, la strategia di calibrazione e di verifica empirica. La parte presenta il modello e il suo metodo (capitolo F.1); ne espone il caso base e la condizione di dominanza (F.2); ne analizza la sensibilità a una via e strutturale (F.3); ne sviluppa l’analisi probabilistica (F.4); e ne deriva il valore dell’informazione e il disegno della verifica empirica (F.5). Quest’ultimo riserva alla Liguria un vantaggio peculiare: poiché la sperimentazione è appena avviata, la verifica può essere disegnata prospetticamente, come un esperimento a cunei progressivi pianificato fin dall’inizio.</w:t>
      </w:r>
    </w:p>
    <w:bookmarkStart w:id="4227" w:name="f.1-il-modello-e-il-suo-metodo"/>
    <w:p>
      <w:pPr>
        <w:pStyle w:val="Heading3"/>
      </w:pPr>
      <w:r>
        <w:t xml:space="preserve">F.1 Il modello e il suo metodo</w:t>
      </w:r>
    </w:p>
    <w:p>
      <w:pPr>
        <w:pStyle w:val="FirstParagraph"/>
      </w:pPr>
      <w:r>
        <w:t xml:space="preserve">La modellazione segue le buone pratiche di ricerca riconosciute ed è riportata secondo lo standard CHEERS 2022.</w:t>
      </w:r>
      <w:r>
        <w:rPr>
          <w:rStyle w:val="FootnoteReference"/>
        </w:rPr>
        <w:footnoteReference w:id="1443"/>
      </w:r>
      <w:r>
        <w:rPr>
          <w:rStyle w:val="FootnoteReference"/>
        </w:rPr>
        <w:footnoteReference w:id="1444"/>
      </w:r>
      <w:r>
        <w:rPr>
          <w:rStyle w:val="FootnoteReference"/>
        </w:rPr>
        <w:footnoteReference w:id="1445"/>
      </w:r>
      <w:r>
        <w:t xml:space="preserve"> </w:t>
      </w:r>
      <w:r>
        <w:t xml:space="preserve">Lo strumento è un modello di Markov a coorte, che rappresenta il decorso del disturbo mentale comune come una successione di transizioni tra stati di salute mutuamente esclusivi — sintomatico, recupero, cronico, morte — scanditi da cicli con correzione di metà ciclo, affiancato dalla microsimulazione per le traiettorie individuali.</w:t>
      </w:r>
      <w:r>
        <w:rPr>
          <w:rStyle w:val="FootnoteReference"/>
        </w:rPr>
        <w:footnoteReference w:id="1446"/>
      </w:r>
      <w:r>
        <w:t xml:space="preserve"> </w:t>
      </w:r>
      <w:r>
        <w:t xml:space="preserve">È lo strumento standard della valutazione economica in sanità per gli interventi i cui effetti si dispiegano nel tempo, e consente di proiettare costi ed esiti lungo l’orizzonte quinquennale adottato.</w:t>
      </w:r>
    </w:p>
    <w:bookmarkEnd w:id="4227"/>
    <w:bookmarkStart w:id="471" w:name="f.2-il-caso-base-e-la-dominanza"/>
    <w:p>
      <w:pPr>
        <w:pStyle w:val="Heading3"/>
      </w:pPr>
      <w:r>
        <w:t xml:space="preserve">F.2 Il caso base e la dominanza</w:t>
      </w:r>
    </w:p>
    <w:p>
      <w:pPr>
        <w:pStyle w:val="FirstParagraph"/>
      </w:pPr>
      <w:r>
        <w:t xml:space="preserve">Nel caso base, riferito a un singolo paziente su un orizzonte di cinque anni e a valori scontati, il braccio dell’intervento produce un costo sanitario di circa 2.495 euro e un’utilità di 3,627 anni di vita ponderati per la qualità, contro un costo di circa 3.799 euro e un’utilità di 3,392 dell’assistenza usuale: l’intervento è quindi a un tempo meno costoso, di circa 1.304 euro, e più efficace, di circa 0,236 anni, e configura una condizione di dominanza.</w:t>
      </w:r>
      <w:r>
        <w:rPr>
          <w:rStyle w:val="FootnoteReference"/>
        </w:rPr>
        <w:footnoteReference w:id="1447"/>
      </w:r>
      <w:r>
        <w:t xml:space="preserve"> </w:t>
      </w:r>
      <w:r>
        <w:t xml:space="preserve">La dominanza non è un artificio, ma discende dalla struttura del modello: a fronte di un costo iniziale contenuto, l’intervento accresce il tempo trascorso nello stato di recupero, a bassa utilizzazione di risorse, e riduce quello trascorso nello stato cronico, ad alta utilizzazione, sicché il risparmio a valle eccede il costo a monte; questo risultato per paziente è il fondamento microeconomico delle stime aggregate della Parte E ed è indipendente dalla regione.</w:t>
      </w:r>
      <w:r>
        <w:rPr>
          <w:rStyle w:val="FootnoteReference"/>
        </w:rPr>
        <w:footnoteReference w:id="1448"/>
      </w:r>
      <w:r>
        <w:t xml:space="preserve"> </w:t>
      </w:r>
      <w:r>
        <w:t xml:space="preserve">È la struttura di costo per ciclo — quaranta euro nello stato di recupero, settecento nello stato cronico, trecento una tantum per l’intervento — a generare il risultato, poiché lo stato cronico, che l’intervento riduce, è di gran lunga il più oneroso.</w:t>
      </w:r>
      <w:r>
        <w:rPr>
          <w:rStyle w:val="FootnoteReference"/>
        </w:rPr>
        <w:footnoteReference w:id="1449"/>
      </w:r>
      <w:r>
        <w:t xml:space="preserve"> </w:t>
      </w:r>
      <w:r>
        <w:t xml:space="preserve">I valori centrali e gli intervalli sono tratti dall’evidenza internazionale e, per i parametri regionali, andranno calibrati sui valori liguri certificati e sui dati di esito che la sperimentazione, da poco avviata, produrrà.</w:t>
      </w:r>
      <w:r>
        <w:rPr>
          <w:rStyle w:val="FootnoteReference"/>
        </w:rPr>
        <w:footnoteReference w:id="1450"/>
      </w:r>
      <w:r>
        <w:t xml:space="preserve"> </w:t>
      </w:r>
      <w:r>
        <w:t xml:space="preserve">La tabella seguente riporta il risultato del caso base.</w:t>
      </w:r>
    </w:p>
    <w:tbl>
      <w:tblPr>
        <w:tblStyle w:val="Table"/>
        <w:tblW w:type="pct" w:w="489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47"/>
        <w:gridCol w:w="1469"/>
        <w:gridCol w:w="1469"/>
        <w:gridCol w:w="146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Usuale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sanitario (5 anni, scontato)</w:t>
            </w:r>
          </w:p>
        </w:tc>
        <w:tc>
          <w:tcPr/>
          <w:p>
            <w:pPr>
              <w:pStyle w:val="Compact"/>
              <w:spacing w:after="40" w:before="40"/>
              <w:jc w:val="left"/>
            </w:pPr>
            <w:r>
              <w:rPr>
                <w:rFonts w:ascii="Cambria" w:hAnsi="Cambria" w:cs="Cambria" w:eastAsia="Cambria"/>
                <w:color w:val="1A1A1A"/>
                <w:sz w:val="18"/>
              </w:rPr>
              <w:t xml:space="preserve">~ 3.799 €</w:t>
            </w:r>
          </w:p>
        </w:tc>
        <w:tc>
          <w:tcPr/>
          <w:p>
            <w:pPr>
              <w:pStyle w:val="Compact"/>
              <w:spacing w:after="40" w:before="40"/>
              <w:jc w:val="left"/>
            </w:pPr>
            <w:r>
              <w:rPr>
                <w:rFonts w:ascii="Cambria" w:hAnsi="Cambria" w:cs="Cambria" w:eastAsia="Cambria"/>
                <w:color w:val="1A1A1A"/>
                <w:sz w:val="18"/>
              </w:rPr>
              <w:t xml:space="preserve">~ 2.495 €</w:t>
            </w:r>
          </w:p>
        </w:tc>
        <w:tc>
          <w:tcPr/>
          <w:p>
            <w:pPr>
              <w:pStyle w:val="Compact"/>
              <w:spacing w:after="40" w:before="40"/>
              <w:jc w:val="left"/>
            </w:pPr>
            <w:r>
              <w:rPr>
                <w:rFonts w:ascii="Cambria" w:hAnsi="Cambria" w:cs="Cambria" w:eastAsia="Cambria"/>
                <w:color w:val="1A1A1A"/>
                <w:sz w:val="18"/>
              </w:rPr>
              <w:t xml:space="preserve">− 1.304 €</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(anni di vita ponderati)</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 complessivo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Dominanza</w:t>
            </w:r>
          </w:p>
        </w:tc>
      </w:tr>
    </w:tbl>
    <w:p>
      <w:pPr>
        <w:pStyle w:val="BodyText"/>
      </w:pPr>
      <w:r>
        <w:rPr>
          <w:i/>
          <w:iCs/>
        </w:rPr>
        <w:t xml:space="preserve">Tabella F.1. Il caso base per singolo paziente: l</w:t>
      </w:r>
      <w:r>
        <w:rPr>
          <w:b/>
          <w:bCs/>
          <w:i/>
          <w:iCs/>
        </w:rPr>
        <w:t xml:space="preserve">’</w:t>
      </w:r>
      <w:r>
        <w:rPr>
          <w:i/>
          <w:iCs/>
        </w:rPr>
        <w:t xml:space="preserve">intervento è meno costoso e più efficace (dominanza). Risultato indipendente dalla regione.</w:t>
      </w:r>
    </w:p>
    <w:bookmarkEnd w:id="471"/>
    <w:bookmarkStart w:id="4228" w:name="f.3-lanalisi-di-sensibilità"/>
    <w:p>
      <w:pPr>
        <w:pStyle w:val="Heading3"/>
      </w:pPr>
      <w:r>
        <w:t xml:space="preserve">F.3 L’analisi di sensibilità</w:t>
      </w:r>
    </w:p>
    <w:p>
      <w:pPr>
        <w:pStyle w:val="FirstParagraph"/>
      </w:pPr>
      <w:r>
        <w:t xml:space="preserve">La robustezza del risultato è saggiata anzitutto con l’analisi di sensibilità a una via, nella quale ciascun parametro è fatto variare del venticinque per cento in più e in meno, misurandone l’effetto sul beneficio monetario netto; l’ordinamento dei parametri per influenza colloca tra i più rilevanti l’efficacia clinica, i tassi di ricaduta e di cronicizzazione e il costo dello stato cronico.</w:t>
      </w:r>
      <w:r>
        <w:rPr>
          <w:rStyle w:val="FootnoteReference"/>
        </w:rPr>
        <w:footnoteReference w:id="1451"/>
      </w:r>
      <w:r>
        <w:t xml:space="preserve"> </w:t>
      </w:r>
      <w:r>
        <w:t xml:space="preserve">All’incertezza dei parametri si aggiunge quella strutturale, relativa alle assunzioni del modello, trattata mediante analisi di scenario e validazione della coerenza interna ed esterna, secondo lo standard di reporting adottato.</w:t>
      </w:r>
      <w:r>
        <w:rPr>
          <w:rStyle w:val="FootnoteReference"/>
        </w:rPr>
        <w:footnoteReference w:id="1452"/>
      </w:r>
      <w:r>
        <w:t xml:space="preserve"> </w:t>
      </w:r>
      <w:r>
        <w:t xml:space="preserve">Nessuna delle variazioni considerate, prese singolarmente, modifica il segno della conclusione, a riprova della solidità del risultato di base.</w:t>
      </w:r>
    </w:p>
    <w:bookmarkEnd w:id="4228"/>
    <w:bookmarkStart w:id="479" w:name="f.4-lanalisi-probabilistica"/>
    <w:p>
      <w:pPr>
        <w:pStyle w:val="Heading3"/>
      </w:pPr>
      <w:r>
        <w:t xml:space="preserve">F.4 L’analisi probabilistica</w:t>
      </w:r>
    </w:p>
    <w:p>
      <w:pPr>
        <w:pStyle w:val="FirstParagraph"/>
      </w:pPr>
      <w:r>
        <w:t xml:space="preserve">L’analisi di sensibilità probabilistica propaga simultaneamente l’incertezza di tutti i parametri, eseguendo il modello diecimila volte con estrazione casuale dei valori dalle rispettive distribuzioni.</w:t>
      </w:r>
      <w:r>
        <w:rPr>
          <w:rStyle w:val="FootnoteReference"/>
        </w:rPr>
        <w:footnoteReference w:id="1453"/>
      </w:r>
      <w:r>
        <w:t xml:space="preserve"> </w:t>
      </w:r>
      <w:r>
        <w:t xml:space="preserve">Adottando la soglia di disponibilità a pagare di 30.000 euro per anno di vita ponderato per la qualità,</w:t>
      </w:r>
      <w:r>
        <w:rPr>
          <w:rStyle w:val="FootnoteReference"/>
        </w:rPr>
        <w:footnoteReference w:id="1454"/>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da circa −5.736 a circa +21.501 euro.</w:t>
      </w:r>
      <w:r>
        <w:rPr>
          <w:rStyle w:val="FootnoteReference"/>
        </w:rPr>
        <w:footnoteReference w:id="1455"/>
      </w:r>
      <w:r>
        <w:t xml:space="preserve"> </w:t>
      </w:r>
      <w:r>
        <w:t xml:space="preserve">È necessaria, a questo punto, una distinzione che lo studio tiene ferma per non generare equivoci: la probabilità di costo-efficacia è un risultato di efficienza per singolo paziente, che valorizza il guadagno di salute e l’intera traiettoria di costo, ed è perfettamente coerente con il saldo diretto aggregato lievemente negativo della Parte E, poiché il passaggio dal paziente all’aggregato regionale incorpora le correzioni per peso morto e per l’effettiva monetizzabilità nel bilancio, e poiché il canale della mobilità, pur in una regione debitrice, è solo marginalmente pertinente, essendo la fuga chirurgica. L’efficienza per paziente è robusta; la convenienza per il solo bilancio è lievemente negativa; il forte ritorno per la collettività proviene dalle ricadute sociali.</w:t>
      </w:r>
      <w:r>
        <w:rPr>
          <w:rStyle w:val="FootnoteReference"/>
        </w:rPr>
        <w:footnoteReference w:id="1456"/>
      </w:r>
    </w:p>
    <w:bookmarkEnd w:id="479"/>
    <w:bookmarkStart w:id="483" w:name="X2630884bc41823cc3d2e4684486b34dc2113019"/>
    <w:p>
      <w:pPr>
        <w:pStyle w:val="Heading3"/>
      </w:pPr>
      <w:r>
        <w:t xml:space="preserve">F.5 Il valore dell’informazione e la verifica empirica</w:t>
      </w:r>
    </w:p>
    <w:p>
      <w:pPr>
        <w:pStyle w:val="FirstParagraph"/>
      </w:pPr>
      <w:r>
        <w:t xml:space="preserve">L’ultimo passaggio collega l’incertezza residua alle priorità di ricerca. Il valore dell’informazione quantifica il beneficio conseguibile riducendo l’incertezza, e indica quali parametri sia prioritario misurare con precisione.</w:t>
      </w:r>
      <w:r>
        <w:rPr>
          <w:rStyle w:val="FootnoteReference"/>
        </w:rPr>
        <w:footnoteReference w:id="1457"/>
      </w:r>
      <w:r>
        <w:t xml:space="preserve"> </w:t>
      </w:r>
      <w:r>
        <w:t xml:space="preserve">In Liguria,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cinque Aziende e agli IRCCS; a differenza della Toscana, la regione non dispone ancora di propri dati di esito, che la sperimentazione appena avviata produrrà e che andranno consolidati come fonte primaria di calibrazione.</w:t>
      </w:r>
      <w:r>
        <w:rPr>
          <w:rStyle w:val="FootnoteReference"/>
        </w:rPr>
        <w:footnoteReference w:id="1458"/>
      </w:r>
      <w:r>
        <w:t xml:space="preserve"> </w:t>
      </w:r>
      <w:r>
        <w:t xml:space="preserve">La riduzione dell’incertezza non resta tuttavia un esercizio teorico, ed è qui che la Liguria gode della condizione più favorevole dell’intera serie: poiché la sperimentazione è in fase di avvio e si dispiega progressivamente tra le cinque Aziende e i loro distretti, la verifica empirica può poggiare su un disegno a cunei progressivi pianificato prospetticamente — il più pulito tra quelli realizzabili — oggetto della Parte L, che sostituisce progressivamente le stime con misure osservate sui dati liguri via via che il servizio si estende.</w:t>
      </w:r>
      <w:r>
        <w:rPr>
          <w:rStyle w:val="FootnoteReference"/>
        </w:rPr>
        <w:footnoteReference w:id="1459"/>
      </w:r>
      <w:r>
        <w:t xml:space="preserve"> </w:t>
      </w:r>
      <w:r>
        <w:t xml:space="preserve">Definiti i metodi e governata l’incertezza, lo studio può affrontare i domini successivi, a partire dall’equità e dall’impatto distributivo, oggetto della Parte G.</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L</w:t>
      </w:r>
      <w:r>
        <w:rPr>
          <w:b/>
          <w:bCs/>
          <w:i/>
          <w:iCs/>
        </w:rPr>
        <w:t xml:space="preserve">’</w:t>
      </w:r>
      <w:r>
        <w:rPr>
          <w:i/>
          <w:iCs/>
        </w:rPr>
        <w:t xml:space="preserve">equità come dimensione della valutazione, costo-efficacia distributiva, divari territoriali e protezione finanziaria</w:t>
      </w:r>
    </w:p>
    <w:p>
      <w:pPr>
        <w:pStyle w:val="BodyText"/>
      </w:pPr>
      <w:r>
        <w:t xml:space="preserve">Ottavo dominio dell’HTA · il profilo distributivo e sociale</w:t>
      </w:r>
    </w:p>
    <w:bookmarkEnd w:id="483"/>
    <w:bookmarkEnd w:id="4226"/>
    <w:bookmarkStart w:id="4229" w:name="parte-g-equità-e-impatto-distributivo-1"/>
    <w:p>
      <w:pPr>
        <w:pStyle w:val="Heading2"/>
      </w:pPr>
      <w:r>
        <w:t xml:space="preserve">Parte G — Equità e impatto distributivo</w:t>
      </w:r>
    </w:p>
    <w:p>
      <w:pPr>
        <w:pStyle w:val="FirstParagraph"/>
      </w:pPr>
      <w:r>
        <w:t xml:space="preserve">Questa parte affronta l’ottavo dominio della valutazione, il profilo distributivo e sociale, e risponde al criterio di impatto della griglia di giudizio.</w:t>
      </w:r>
      <w:r>
        <w:rPr>
          <w:rStyle w:val="FootnoteReference"/>
        </w:rPr>
        <w:footnoteReference w:id="1460"/>
      </w:r>
      <w:r>
        <w:rPr>
          <w:rStyle w:val="FootnoteReference"/>
        </w:rPr>
        <w:footnoteReference w:id="1461"/>
      </w:r>
      <w:r>
        <w:rPr>
          <w:rStyle w:val="FootnoteReference"/>
        </w:rPr>
        <w:footnoteReference w:id="1462"/>
      </w:r>
      <w:r>
        <w:rPr>
          <w:rStyle w:val="FootnoteReference"/>
        </w:rPr>
        <w:footnoteReference w:id="1463"/>
      </w:r>
      <w:r>
        <w:rPr>
          <w:rStyle w:val="FootnoteReference"/>
        </w:rPr>
        <w:footnoteReference w:id="1464"/>
      </w:r>
      <w:r>
        <w:rPr>
          <w:rStyle w:val="FootnoteReference"/>
        </w:rPr>
        <w:footnoteReference w:id="1465"/>
      </w:r>
      <w:r>
        <w:rPr>
          <w:rStyle w:val="FootnoteReference"/>
        </w:rPr>
        <w:footnoteReference w:id="1466"/>
      </w:r>
      <w:r>
        <w:rPr>
          <w:rStyle w:val="FootnoteReference"/>
        </w:rPr>
        <w:footnoteReference w:id="1467"/>
      </w:r>
      <w:r>
        <w:rPr>
          <w:rStyle w:val="FootnoteReference"/>
        </w:rPr>
        <w:footnoteReference w:id="1468"/>
      </w:r>
      <w:r>
        <w:rPr>
          <w:rStyle w:val="FootnoteReference"/>
        </w:rPr>
        <w:footnoteReference w:id="1469"/>
      </w:r>
      <w:r>
        <w:rPr>
          <w:rStyle w:val="FootnoteReference"/>
        </w:rPr>
        <w:footnoteReference w:id="1470"/>
      </w:r>
      <w:r>
        <w:rPr>
          <w:rStyle w:val="FootnoteReference"/>
        </w:rPr>
        <w:footnoteReference w:id="1471"/>
      </w:r>
      <w:r>
        <w:rPr>
          <w:rStyle w:val="FootnoteReference"/>
        </w:rPr>
        <w:footnoteReference w:id="1472"/>
      </w:r>
      <w:r>
        <w:rPr>
          <w:rStyle w:val="FootnoteReference"/>
        </w:rPr>
        <w:footnoteReference w:id="1473"/>
      </w:r>
      <w:r>
        <w:t xml:space="preserve"> </w:t>
      </w:r>
      <w:r>
        <w:t xml:space="preserve">L’equità non è trattata come un’appendice, ma come una dimensione costitutiva del valore dell’intervento, in coerenza con l’evoluzione che ha affiancato l’equità in salute agli obiettivi di esito, esperienza e costo. La parte definisce l’equità come dimensione della valutazione e ne identifica il gradiente rilevante per la Liguria (capitolo G.1); applica l’analisi costo-efficacia distributiva e ne ricava l’algoritmo allocativo (G.2); analizza i divari territoriali, la protezione finanziaria e il collegamento al monitoraggio (G.3). Il tratto distintivo ligure emerge con chiarezza: il gradiente non è prevalentemente socio-economico, ma si gioca sull’asse fra la costa e l’entroterra appenninico, sull’invecchiamento più marcato d’Italia e sulla più alta domanda nazionale di salute mentale.</w:t>
      </w:r>
    </w:p>
    <w:bookmarkStart w:id="502" w:name="X921e88c43eff48cab830d0e5c3d8b1d1ffd88d2"/>
    <w:p>
      <w:pPr>
        <w:pStyle w:val="Heading3"/>
      </w:pPr>
      <w:r>
        <w:t xml:space="preserve">G.1 L’equità come dimensione della valutazione</w:t>
      </w:r>
    </w:p>
    <w:p>
      <w:pPr>
        <w:pStyle w:val="FirstParagraph"/>
      </w:pPr>
      <w:r>
        <w:t xml:space="preserve">La salute mentale presenta un gradiente sociale documentato: le popolazioni in deprivazione hanno prevalenze più elevate di disturbi comuni e un accesso più difficile. In Liguria, tuttavia, il rischio di povertà o esclusione è contenuto in aggregato, sicché il tratto distintivo dell’equità non è il gradiente socio-economico, ma tre dimensioni diverse: la dualità fra la fascia costiera e l’entroterra appenninico, l’invecchiamento più marcato d’Italia e una dimensione multiculturale non trascurabile.</w:t>
      </w:r>
      <w:r>
        <w:rPr>
          <w:rStyle w:val="FootnoteReference"/>
        </w:rPr>
        <w:footnoteReference w:id="1474"/>
      </w:r>
      <w:r>
        <w:t xml:space="preserve"> </w:t>
      </w:r>
      <w:r>
        <w:t xml:space="preserve">Su queste dimensioni il servizio di primo livello agisce abbattendo le barriere che gravano in misura maggiore sui più svantaggiati: la gratuità rimuove la barriera economica, la prossimità e la telepsicologia quella geografica dell’entroterra, l’assenza di stigma e la competenza culturale quella linguistica e culturale per l’utenza straniera.</w:t>
      </w:r>
      <w:r>
        <w:rPr>
          <w:rStyle w:val="FootnoteReference"/>
        </w:rPr>
        <w:footnoteReference w:id="1475"/>
      </w:r>
      <w:r>
        <w:rPr>
          <w:rStyle w:val="FootnoteReference"/>
        </w:rPr>
        <w:footnoteReference w:id="1476"/>
      </w:r>
      <w:r>
        <w:t xml:space="preserve"> </w:t>
      </w:r>
      <w:r>
        <w:t xml:space="preserve">La tabella seguente riepiloga le dimensioni dell’equità monitorate e il modo in cui l’intervento vi incide.</w:t>
      </w:r>
    </w:p>
    <w:tbl>
      <w:tblPr>
        <w:tblStyle w:val="Table"/>
        <w:tblW w:type="pct" w:w="493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73"/>
        <w:gridCol w:w="2976"/>
        <w:gridCol w:w="276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Barriera o dimensione</w:t>
            </w:r>
          </w:p>
        </w:tc>
        <w:tc>
          <w:tcPr>
            <w:shd w:val="clear" w:color="auto" w:fill="16264B"/>
          </w:tcPr>
          <w:p>
            <w:pPr>
              <w:pStyle w:val="Compact"/>
              <w:spacing w:after="40" w:before="40"/>
              <w:jc w:val="left"/>
            </w:pPr>
            <w:r>
              <w:rPr>
                <w:rFonts w:ascii="Cambria" w:hAnsi="Cambria" w:cs="Cambria" w:eastAsia="Cambria"/>
                <w:b/>
                <w:bCs/>
                <w:color w:val="FFFFFF"/>
                <w:sz w:val="18"/>
              </w:rPr>
              <w:t xml:space="preserve">Azione dell’intervento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Gruppo più avvantaggiato</w:t>
            </w:r>
          </w:p>
        </w:tc>
      </w:tr>
      <w:tr>
        <w:tc>
          <w:tcPr/>
          <w:p>
            <w:pPr>
              <w:pStyle w:val="Compact"/>
              <w:spacing w:after="40" w:before="40"/>
              <w:jc w:val="left"/>
            </w:pPr>
            <w:r>
              <w:rPr>
                <w:rFonts w:ascii="Cambria" w:hAnsi="Cambria" w:cs="Cambria" w:eastAsia="Cambria"/>
                <w:b/>
                <w:bCs/>
                <w:color w:val="1A1A1A"/>
                <w:sz w:val="18"/>
              </w:rPr>
              <w:t xml:space="preserve">Barriera economica</w:t>
            </w:r>
          </w:p>
        </w:tc>
        <w:tc>
          <w:tcPr/>
          <w:p>
            <w:pPr>
              <w:pStyle w:val="Compact"/>
              <w:spacing w:after="40" w:before="40"/>
              <w:jc w:val="left"/>
            </w:pPr>
            <w:r>
              <w:rPr>
                <w:rFonts w:ascii="Cambria" w:hAnsi="Cambria" w:cs="Cambria" w:eastAsia="Cambria"/>
                <w:color w:val="1A1A1A"/>
                <w:sz w:val="18"/>
              </w:rPr>
              <w:t xml:space="preserve">Gratuità del servizio</w:t>
            </w:r>
          </w:p>
        </w:tc>
        <w:tc>
          <w:tcPr/>
          <w:p>
            <w:pPr>
              <w:pStyle w:val="Compact"/>
              <w:spacing w:after="40" w:before="40"/>
              <w:jc w:val="left"/>
            </w:pPr>
            <w:r>
              <w:rPr>
                <w:rFonts w:ascii="Cambria" w:hAnsi="Cambria" w:cs="Cambria" w:eastAsia="Cambria"/>
                <w:color w:val="1A1A1A"/>
                <w:sz w:val="18"/>
              </w:rPr>
              <w:t xml:space="preserve">Redditi bassi, esclusi dalla psicoterapia privata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Barriera geografica</w:t>
            </w:r>
          </w:p>
        </w:tc>
        <w:tc>
          <w:tcPr>
            <w:shd w:val="clear" w:color="auto" w:fill="F4F1EC"/>
          </w:tcPr>
          <w:p>
            <w:pPr>
              <w:pStyle w:val="Compact"/>
              <w:spacing w:after="40" w:before="40"/>
              <w:jc w:val="left"/>
            </w:pPr>
            <w:r>
              <w:rPr>
                <w:rFonts w:ascii="Cambria" w:hAnsi="Cambria" w:cs="Cambria" w:eastAsia="Cambria"/>
                <w:color w:val="1A1A1A"/>
                <w:sz w:val="18"/>
              </w:rPr>
              <w:t xml:space="preserve">Prossimità nelle Case della Comunità e telepsicologia</w:t>
            </w:r>
          </w:p>
        </w:tc>
        <w:tc>
          <w:tcPr>
            <w:shd w:val="clear" w:color="auto" w:fill="F4F1EC"/>
          </w:tcPr>
          <w:p>
            <w:pPr>
              <w:pStyle w:val="Compact"/>
              <w:spacing w:after="40" w:before="40"/>
              <w:jc w:val="left"/>
            </w:pPr>
            <w:r>
              <w:rPr>
                <w:rFonts w:ascii="Cambria" w:hAnsi="Cambria" w:cs="Cambria" w:eastAsia="Cambria"/>
                <w:color w:val="1A1A1A"/>
                <w:sz w:val="18"/>
              </w:rPr>
              <w:t xml:space="preserve">Entroterra appenninico, anziano e disperso</w:t>
            </w:r>
          </w:p>
        </w:tc>
      </w:tr>
      <w:tr>
        <w:tc>
          <w:tcPr/>
          <w:p>
            <w:pPr>
              <w:pStyle w:val="Compact"/>
              <w:spacing w:after="40" w:before="40"/>
              <w:jc w:val="left"/>
            </w:pPr>
            <w:r>
              <w:rPr>
                <w:rFonts w:ascii="Cambria" w:hAnsi="Cambria" w:cs="Cambria" w:eastAsia="Cambria"/>
                <w:b/>
                <w:bCs/>
                <w:color w:val="1A1A1A"/>
                <w:sz w:val="18"/>
              </w:rPr>
              <w:t xml:space="preserve">Barriera culturale e linguistica</w:t>
            </w:r>
          </w:p>
        </w:tc>
        <w:tc>
          <w:tcPr/>
          <w:p>
            <w:pPr>
              <w:pStyle w:val="Compact"/>
              <w:spacing w:after="40" w:before="40"/>
              <w:jc w:val="left"/>
            </w:pPr>
            <w:r>
              <w:rPr>
                <w:rFonts w:ascii="Cambria" w:hAnsi="Cambria" w:cs="Cambria" w:eastAsia="Cambria"/>
                <w:color w:val="1A1A1A"/>
                <w:sz w:val="18"/>
              </w:rPr>
              <w:t xml:space="preserve">Assenza di stigma; competenza culturale</w:t>
            </w:r>
          </w:p>
        </w:tc>
        <w:tc>
          <w:tcPr/>
          <w:p>
            <w:pPr>
              <w:pStyle w:val="Compact"/>
              <w:spacing w:after="40" w:before="40"/>
              <w:jc w:val="left"/>
            </w:pPr>
            <w:r>
              <w:rPr>
                <w:rFonts w:ascii="Cambria" w:hAnsi="Cambria" w:cs="Cambria" w:eastAsia="Cambria"/>
                <w:color w:val="1A1A1A"/>
                <w:sz w:val="18"/>
              </w:rPr>
              <w:t xml:space="preserve">Utenza straniera (~11%)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Barriera dell’attesa</w:t>
            </w:r>
          </w:p>
        </w:tc>
        <w:tc>
          <w:tcPr>
            <w:shd w:val="clear" w:color="auto" w:fill="F4F1EC"/>
          </w:tcPr>
          <w:p>
            <w:pPr>
              <w:pStyle w:val="Compact"/>
              <w:spacing w:after="40" w:before="40"/>
              <w:jc w:val="left"/>
            </w:pPr>
            <w:r>
              <w:rPr>
                <w:rFonts w:ascii="Cambria" w:hAnsi="Cambria" w:cs="Cambria" w:eastAsia="Cambria"/>
                <w:color w:val="1A1A1A"/>
                <w:sz w:val="18"/>
              </w:rPr>
              <w:t xml:space="preserve">Riduzione dei tempi di attesa</w:t>
            </w:r>
          </w:p>
        </w:tc>
        <w:tc>
          <w:tcPr>
            <w:shd w:val="clear" w:color="auto" w:fill="F4F1EC"/>
          </w:tcPr>
          <w:p>
            <w:pPr>
              <w:pStyle w:val="Compact"/>
              <w:spacing w:after="40" w:before="40"/>
              <w:jc w:val="left"/>
            </w:pPr>
            <w:r>
              <w:rPr>
                <w:rFonts w:ascii="Cambria" w:hAnsi="Cambria" w:cs="Cambria" w:eastAsia="Cambria"/>
                <w:color w:val="1A1A1A"/>
                <w:sz w:val="18"/>
              </w:rPr>
              <w:t xml:space="preserve">Chi non può ricorrere al privato</w:t>
            </w:r>
          </w:p>
        </w:tc>
      </w:tr>
      <w:tr>
        <w:tc>
          <w:tcPr/>
          <w:p>
            <w:pPr>
              <w:pStyle w:val="Compact"/>
              <w:spacing w:after="40" w:before="40"/>
              <w:jc w:val="left"/>
            </w:pPr>
            <w:r>
              <w:rPr>
                <w:rFonts w:ascii="Cambria" w:hAnsi="Cambria" w:cs="Cambria" w:eastAsia="Cambria"/>
                <w:b/>
                <w:bCs/>
                <w:color w:val="1A1A1A"/>
                <w:sz w:val="18"/>
              </w:rPr>
              <w:t xml:space="preserve">Bisogno dell’età anziana</w:t>
            </w:r>
          </w:p>
        </w:tc>
        <w:tc>
          <w:tcPr/>
          <w:p>
            <w:pPr>
              <w:pStyle w:val="Compact"/>
              <w:spacing w:after="40" w:before="40"/>
              <w:jc w:val="left"/>
            </w:pPr>
            <w:r>
              <w:rPr>
                <w:rFonts w:ascii="Cambria" w:hAnsi="Cambria" w:cs="Cambria" w:eastAsia="Cambria"/>
                <w:color w:val="1A1A1A"/>
                <w:sz w:val="18"/>
              </w:rPr>
              <w:t xml:space="preserve">Accesso e prossimità per gli anziani</w:t>
            </w:r>
          </w:p>
        </w:tc>
        <w:tc>
          <w:tcPr/>
          <w:p>
            <w:pPr>
              <w:pStyle w:val="Compact"/>
              <w:spacing w:after="40" w:before="40"/>
              <w:jc w:val="left"/>
            </w:pPr>
            <w:r>
              <w:rPr>
                <w:rFonts w:ascii="Cambria" w:hAnsi="Cambria" w:cs="Cambria" w:eastAsia="Cambria"/>
                <w:color w:val="1A1A1A"/>
                <w:sz w:val="18"/>
              </w:rPr>
              <w:t xml:space="preserve">Popolazione anziana, la più ampia d’Italia</w:t>
            </w:r>
          </w:p>
        </w:tc>
      </w:tr>
    </w:tbl>
    <w:p>
      <w:pPr>
        <w:pStyle w:val="BodyText"/>
      </w:pPr>
      <w:r>
        <w:rPr>
          <w:i/>
          <w:iCs/>
        </w:rPr>
        <w:t xml:space="preserve">Tabella G.1. Le dimensioni dell</w:t>
      </w:r>
      <w:r>
        <w:rPr>
          <w:b/>
          <w:bCs/>
          <w:i/>
          <w:iCs/>
        </w:rPr>
        <w:t xml:space="preserve">‘******equità e l******’</w:t>
      </w:r>
      <w:r>
        <w:rPr>
          <w:i/>
          <w:iCs/>
        </w:rPr>
        <w:t xml:space="preserve">azione dell</w:t>
      </w:r>
      <w:r>
        <w:rPr>
          <w:b/>
          <w:bCs/>
          <w:i/>
          <w:iCs/>
        </w:rPr>
        <w:t xml:space="preserve">’</w:t>
      </w:r>
      <w:r>
        <w:rPr>
          <w:i/>
          <w:iCs/>
        </w:rPr>
        <w:t xml:space="preserve">intervento.</w:t>
      </w:r>
    </w:p>
    <w:bookmarkEnd w:id="502"/>
    <w:bookmarkStart w:id="508" w:name="X374621d1518cfd9066ca8a6f71efc32820396dc"/>
    <w:p>
      <w:pPr>
        <w:pStyle w:val="Heading3"/>
      </w:pPr>
      <w:r>
        <w:t xml:space="preserve">G.2 La costo-efficacia distributiva e l’algoritmo allocativo</w:t>
      </w:r>
    </w:p>
    <w:p>
      <w:pPr>
        <w:pStyle w:val="FirstParagraph"/>
      </w:pPr>
      <w:r>
        <w:t xml:space="preserve">Per misurare la dimensione distributiva lo studio impiega l’analisi costo-efficacia distributiva, che estende la valutazione economica stimando come costi ed esiti si distribuiscano tra i sottogruppi e quale ne sia l’effetto sulle disuguaglianze, mediante anni di vita ponderati per l’equità, indice di concentrazione e indici di disuguaglianza.</w:t>
      </w:r>
      <w:r>
        <w:rPr>
          <w:rStyle w:val="FootnoteReference"/>
        </w:rPr>
        <w:footnoteReference w:id="1477"/>
      </w:r>
      <w:r>
        <w:t xml:space="preserve"> </w:t>
      </w:r>
      <w:r>
        <w:t xml:space="preserve">La direzione del risultato è univoca: poiché il guadagno di accesso è più ampio dove l’accesso è oggi più difficile — l’entroterra, l’età anziana, l’utenza straniera, i gruppi gravati dalle liste di attesa — i benefici si concentrano sui più svantaggiati nell’accesso, sicché l’intervento migliora l’esito medio e ne comprime al tempo stesso la disuguaglianza.</w:t>
      </w:r>
      <w:r>
        <w:rPr>
          <w:rStyle w:val="FootnoteReference"/>
        </w:rPr>
        <w:footnoteReference w:id="1478"/>
      </w:r>
      <w:r>
        <w:t xml:space="preserve"> </w:t>
      </w:r>
      <w:r>
        <w:t xml:space="preserve">Attribuire pesi maggiori ai benefici sui più svantaggiati accrescerebbe il valore sociale stimato; lo studio adotta tuttavia, in via conservativa, il rapporto beneficio-costo non ponderato già esposto nella Parte E, dell’ordine di 3,8–5,5 a uno, scelta tanto più prudente in una regione la cui popolazione non è prevalentemente deprivata.</w:t>
      </w:r>
      <w:r>
        <w:rPr>
          <w:rStyle w:val="FootnoteReference"/>
        </w:rPr>
        <w:footnoteReference w:id="1479"/>
      </w:r>
      <w:r>
        <w:t xml:space="preserve"> </w:t>
      </w:r>
      <w:r>
        <w:t xml:space="preserve">Il meccanismo operativo dell’equità è l’algoritmo allocativo: la distribuzione territoriale degli incarichi non segue la sola popolazione, ma pondera ciascun distretto per l’indice di vecchiaia, la deprivazione, la cronicità e la presenza straniera, attribuendo pesi maggiori all’entroterra appenninico e ai comuni più anziani; in Liguria l’indice di vecchiaia, il più elevato d’Italia, è il fattore di ponderazione di gran lunga prevalente.</w:t>
      </w:r>
      <w:r>
        <w:rPr>
          <w:rStyle w:val="FootnoteReference"/>
        </w:rPr>
        <w:footnoteReference w:id="1480"/>
      </w:r>
      <w:r>
        <w:t xml:space="preserve"> </w:t>
      </w:r>
      <w:r>
        <w:t xml:space="preserve">A tal fine si impiega un indice di deprivazione multipla, costruito su reddito, occupazione, istruzione, salute, condizione abitativa e ambiente, per individuare le aree prioritarie.</w:t>
      </w:r>
      <w:r>
        <w:rPr>
          <w:rStyle w:val="FootnoteReference"/>
        </w:rPr>
        <w:footnoteReference w:id="1481"/>
      </w:r>
    </w:p>
    <w:bookmarkEnd w:id="508"/>
    <w:bookmarkStart w:id="4230" w:name="Xd9bb700310e1ab18a7644655cace31f2eb35583"/>
    <w:p>
      <w:pPr>
        <w:pStyle w:val="Heading3"/>
      </w:pPr>
      <w:r>
        <w:t xml:space="preserve">G.3 Divari territoriali, protezione finanziaria e monitoraggio</w:t>
      </w:r>
    </w:p>
    <w:p>
      <w:pPr>
        <w:pStyle w:val="FirstParagraph"/>
      </w:pPr>
      <w:r>
        <w:t xml:space="preserve">Il divario rilevante in Liguria non è quello Nord-Sud, ma quello interno tra la fascia costiera, densa e ben servita, e l’entroterra appenninico, a popolazione anziana, dispersa e in spopolamento, dove i comuni più piccoli sono tra i più anziani d’Italia. In queste aree la sola presenza fisica di un primo livello accessibile è già un atto di riequilibrio, integrato dalla telepsicologia.</w:t>
      </w:r>
      <w:r>
        <w:rPr>
          <w:rStyle w:val="FootnoteReference"/>
        </w:rPr>
        <w:footnoteReference w:id="1482"/>
      </w:r>
      <w:r>
        <w:t xml:space="preserve"> </w:t>
      </w:r>
      <w:r>
        <w:t xml:space="preserve">Poiché il canale della mobilità recuperata è qui solo marginalmente pertinente — la fuga è chirurgica — le principali leve distributive sono la riduzione delle liste di attesa, che oggi penalizzano chi non può ricorrere al privato, l’estensione uniforme del servizio dalla sperimentazione appena avviata a tutte le Case della Comunità delle cinque Aziende, e l’accesso nell’entroterra.</w:t>
      </w:r>
      <w:r>
        <w:rPr>
          <w:rStyle w:val="FootnoteReference"/>
        </w:rPr>
        <w:footnoteReference w:id="1483"/>
      </w:r>
      <w:r>
        <w:t xml:space="preserve"> </w:t>
      </w:r>
      <w:r>
        <w:t xml:space="preserve">A queste si aggiunge la protezione finanziaria: il servizio pubblico e gratuito riduce la spesa privata diretta, l’impoverimento connesso alle cure e le spese catastrofiche, con beneficio maggiore per i redditi bassi.</w:t>
      </w:r>
      <w:r>
        <w:rPr>
          <w:rStyle w:val="FootnoteReference"/>
        </w:rPr>
        <w:footnoteReference w:id="1484"/>
      </w:r>
      <w:r>
        <w:t xml:space="preserve"> </w:t>
      </w:r>
      <w:r>
        <w:t xml:space="preserve">La forma più elementare di equità resta peraltro la copertura del bisogno non soddisfatto: intercettare la quota inevasa del disagio, dell’ordine di 300.000 persone, significa raggiungere proprio chi ha minore probabilità di accedere spontaneamente, in una regione che già registra la più alta prevalenza nazionale di utenti dei servizi specialistici.</w:t>
      </w:r>
      <w:r>
        <w:rPr>
          <w:rStyle w:val="FootnoteReference"/>
        </w:rPr>
        <w:footnoteReference w:id="1485"/>
      </w:r>
      <w:r>
        <w:t xml:space="preserve"> </w:t>
      </w:r>
      <w:r>
        <w:t xml:space="preserve">Tutte queste dimensioni sono tradotte in indicatori di equità — accesso per area e per livello socio-economico, accesso dell’età anziana e dell’utenza straniera, gradiente dell’esito, tempi di attesa per area — che fanno parte del sistema di monitoraggio della Parte L e consentono di accertare nel tempo se il servizio raggiunga le comunità dell’entroterra più distanti e i gruppi più fragili.</w:t>
      </w:r>
      <w:r>
        <w:rPr>
          <w:rStyle w:val="FootnoteReference"/>
        </w:rPr>
        <w:footnoteReference w:id="1486"/>
      </w:r>
      <w:r>
        <w:t xml:space="preserve"> </w:t>
      </w:r>
      <w:r>
        <w:t xml:space="preserve">Definito il profilo distributivo, la parte che segue affronta i profili etico, giuridico e organizzativo dell’intervento.</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Il profilo etico, il profilo giuridico e costituzionale, il profilo organizzativo e la conformità</w:t>
      </w:r>
    </w:p>
    <w:p>
      <w:pPr>
        <w:pStyle w:val="BodyText"/>
      </w:pPr>
      <w:r>
        <w:t xml:space="preserve">Domini 6, 7 e 9 dell’HTA · i profili etico, organizzativo e giuridico</w:t>
      </w:r>
    </w:p>
    <w:bookmarkEnd w:id="4230"/>
    <w:bookmarkEnd w:id="4229"/>
    <w:bookmarkStart w:id="4231" w:name="Xcec98cf198a72685c767af3f845f4fe52e79566"/>
    <w:p>
      <w:pPr>
        <w:pStyle w:val="Heading2"/>
      </w:pPr>
      <w:r>
        <w:t xml:space="preserve">Parte H — Profili etico, giuridico e organizzativo</w:t>
      </w:r>
    </w:p>
    <w:p>
      <w:pPr>
        <w:pStyle w:val="FirstParagraph"/>
      </w:pPr>
      <w:r>
        <w:t xml:space="preserve">Questa parte completa la valutazione affrontando tre domini del modello HTA non ancora trattati: il profilo etico, il profilo organizzativo e il profilo giuridico.</w:t>
      </w:r>
      <w:r>
        <w:rPr>
          <w:rStyle w:val="FootnoteReference"/>
        </w:rPr>
        <w:footnoteReference w:id="1487"/>
      </w:r>
      <w:r>
        <w:rPr>
          <w:rStyle w:val="FootnoteReference"/>
        </w:rPr>
        <w:footnoteReference w:id="1488"/>
      </w:r>
      <w:r>
        <w:rPr>
          <w:rStyle w:val="FootnoteReference"/>
        </w:rPr>
        <w:footnoteReference w:id="1489"/>
      </w:r>
      <w:r>
        <w:rPr>
          <w:rStyle w:val="FootnoteReference"/>
        </w:rPr>
        <w:footnoteReference w:id="1490"/>
      </w:r>
      <w:r>
        <w:rPr>
          <w:rStyle w:val="FootnoteReference"/>
        </w:rPr>
        <w:footnoteReference w:id="1491"/>
      </w:r>
      <w:r>
        <w:rPr>
          <w:rStyle w:val="FootnoteReference"/>
        </w:rPr>
        <w:footnoteReference w:id="1492"/>
      </w:r>
      <w:r>
        <w:rPr>
          <w:rStyle w:val="FootnoteReference"/>
        </w:rPr>
        <w:footnoteReference w:id="1493"/>
      </w:r>
      <w:r>
        <w:rPr>
          <w:rStyle w:val="FootnoteReference"/>
        </w:rPr>
        <w:footnoteReference w:id="1494"/>
      </w:r>
      <w:r>
        <w:rPr>
          <w:rStyle w:val="FootnoteReference"/>
        </w:rPr>
        <w:footnoteReference w:id="1495"/>
      </w:r>
      <w:r>
        <w:rPr>
          <w:rStyle w:val="FootnoteReference"/>
        </w:rPr>
        <w:footnoteReference w:id="1496"/>
      </w:r>
      <w:r>
        <w:rPr>
          <w:rStyle w:val="FootnoteReference"/>
        </w:rPr>
        <w:footnoteReference w:id="1497"/>
      </w:r>
      <w:r>
        <w:rPr>
          <w:rStyle w:val="FootnoteReference"/>
        </w:rPr>
        <w:footnoteReference w:id="1498"/>
      </w:r>
      <w:r>
        <w:rPr>
          <w:rStyle w:val="FootnoteReference"/>
        </w:rPr>
        <w:footnoteReference w:id="1499"/>
      </w:r>
      <w:r>
        <w:rPr>
          <w:rStyle w:val="FootnoteReference"/>
        </w:rPr>
        <w:footnoteReference w:id="1500"/>
      </w:r>
      <w:r>
        <w:rPr>
          <w:rStyle w:val="FootnoteReference"/>
        </w:rPr>
        <w:footnoteReference w:id="1501"/>
      </w:r>
      <w:r>
        <w:rPr>
          <w:rStyle w:val="FootnoteReference"/>
        </w:rPr>
        <w:footnoteReference w:id="1502"/>
      </w:r>
      <w:r>
        <w:t xml:space="preserve"> </w:t>
      </w:r>
      <w:r>
        <w:t xml:space="preserve">La struttura è quella adottata per le altre regioni. La parte sviluppa il profilo etico, con il consenso informato e la tutela dei vulnerabili (capitolo H.1); il profilo giuridico e costituzionale, con il riparto di competenze, il precedente costituzionale e la base giuridica regionale (H.2); e il profilo organizzativo e la conformità, con la responsabilità clinica, gli strumenti di intelligenza artificiale e la protezione dei dati (H.3). Per la Liguria il profilo giuridico assume un rilievo peculiare: la regione dispone già di una legge regionale dedicata, e si tratta di darle attuazione piena entro i confini tracciati dal giudice costituzionale e nell’attesa della legge statale.</w:t>
      </w:r>
    </w:p>
    <w:bookmarkStart w:id="536" w:name="h.1-il-profilo-etico-1"/>
    <w:p>
      <w:pPr>
        <w:pStyle w:val="Heading3"/>
      </w:pPr>
      <w:r>
        <w:t xml:space="preserve">H.1 Il profilo etico</w:t>
      </w:r>
    </w:p>
    <w:p>
      <w:pPr>
        <w:pStyle w:val="FirstParagraph"/>
      </w:pPr>
      <w:r>
        <w:t xml:space="preserve">Il profilo etico muove dal principio che la persona resta il soggetto, e mai l’oggetto, della presa in carico: le dimensioni rilevanti sono l’equità di accesso, già trattata nella Parte G, l’autonomia della persona e la tutela del consenso informato.</w:t>
      </w:r>
      <w:r>
        <w:rPr>
          <w:rStyle w:val="FootnoteReference"/>
        </w:rPr>
        <w:footnoteReference w:id="1503"/>
      </w:r>
      <w:r>
        <w:t xml:space="preserve"> </w:t>
      </w:r>
      <w:r>
        <w:t xml:space="preserve">Il consenso è modulare, prestato distintamente per i diversi trattamenti e reso anche in forma digitale; poiché nella salute mentale i dati sono ultrasensibili, la persona deve sapere con chiarezza se interagisce con un sistema di intelligenza artificiale, quali dati siano raccolti e chi vi possa accedere.</w:t>
      </w:r>
      <w:r>
        <w:rPr>
          <w:rStyle w:val="FootnoteReference"/>
        </w:rPr>
        <w:footnoteReference w:id="1504"/>
      </w:r>
      <w:r>
        <w:t xml:space="preserve"> </w:t>
      </w:r>
      <w:r>
        <w:t xml:space="preserve">La stessa conduzione della valutazione è retta da criteri etici: gli esiti sono resi pubblici indipendentemente dal loro segno, a garanzia contro la distorsione da selezione dei risultati favorevoli, e l’intero impianto è sottoposto all’approvazione del comitato etico territorialmente competente.</w:t>
      </w:r>
      <w:r>
        <w:rPr>
          <w:rStyle w:val="FootnoteReference"/>
        </w:rPr>
        <w:footnoteReference w:id="1505"/>
      </w:r>
      <w:r>
        <w:t xml:space="preserve"> </w:t>
      </w:r>
      <w:r>
        <w:t xml:space="preserve">Particolare cura, infine, è dedicata alla tutela dei minori e delle persone vulnerabili: gli strumenti di esito sono impiegati nei soli punteggi complessivi, e le situazioni di rischio sono indirizzate ai servizi specialistici e, ove necessario, ai percorsi dell’emergenza, in raccordo con il medico curante e senza che ne siano registrate le modalità.</w:t>
      </w:r>
      <w:r>
        <w:rPr>
          <w:rStyle w:val="FootnoteReference"/>
        </w:rPr>
        <w:footnoteReference w:id="1506"/>
      </w:r>
    </w:p>
    <w:bookmarkEnd w:id="536"/>
    <w:bookmarkStart w:id="4232" w:name="Xd9112b27033a278980c76d71df073107f6e8490"/>
    <w:p>
      <w:pPr>
        <w:pStyle w:val="Heading3"/>
      </w:pPr>
      <w:r>
        <w:t xml:space="preserve">H.2 Il profilo giuridico e costituzionale</w:t>
      </w:r>
    </w:p>
    <w:p>
      <w:pPr>
        <w:pStyle w:val="FirstParagraph"/>
      </w:pPr>
      <w:r>
        <w:t xml:space="preserve">Il fondamento costituzionale dell’intervento risiede nell’articolo 32 della Costituzione e nella legge istitutiva del Servizio sanitario nazionale, che configurano la salute come diritto fondamentale e interesse della collettività e fondano il sistema su universalità, eguaglianza ed equità.</w:t>
      </w:r>
      <w:r>
        <w:rPr>
          <w:rStyle w:val="FootnoteReference"/>
        </w:rPr>
        <w:footnoteReference w:id="1507"/>
      </w:r>
      <w:r>
        <w:t xml:space="preserve"> </w:t>
      </w:r>
      <w:r>
        <w:t xml:space="preserve">Sul piano del riparto di competenze, la tutela della salute è materia concorrente: allo Stato spettano i principi fondamentali, alle Regioni la disciplina di dettaglio e l’organizzazione del servizio, e la Liguria ha esercitato tale competenza nella forma più piena, approvando una legge regionale dedicata e non un mero atto amministrativo.</w:t>
      </w:r>
      <w:r>
        <w:rPr>
          <w:rStyle w:val="FootnoteReference"/>
        </w:rPr>
        <w:footnoteReference w:id="1508"/>
      </w:r>
      <w:r>
        <w:t xml:space="preserve"> </w:t>
      </w:r>
      <w:r>
        <w:t xml:space="preserve">Resta ferma, peraltro, la competenza esclusiva statale sulla determinazione dei livelli essenziali delle prestazioni, che è la leva attraverso cui una legge statale potrebbe ricondurre la psicologia di base tra le prestazioni garantite in modo uniforme su tutto il territorio.</w:t>
      </w:r>
      <w:r>
        <w:rPr>
          <w:rStyle w:val="FootnoteReference"/>
        </w:rPr>
        <w:footnoteReference w:id="1509"/>
      </w:r>
      <w:r>
        <w:t xml:space="preserve"> </w:t>
      </w:r>
      <w:r>
        <w:t xml:space="preserve">Su questo confine si è pronunciata la Corte costituzionale: la sentenza, intervenuta su una legge regionale, ha ritenuto legittima l’organizzazione del servizio che si avvalga di professionisti già esistenti nel quadro dell’assistenza territoriale, ma ha ricondotto allo Stato la determinazione dei livelli essenziali e la disciplina dei rapporti di lavoro; la legge ligure, operando mediante un rapporto convenzionale modellato su quelli già vigenti, si colloca nello spazio legittimo, mentre il suo consolidamento pieno e l’uniformità tra le regioni restano affidati alla legge statale.</w:t>
      </w:r>
      <w:r>
        <w:rPr>
          <w:rStyle w:val="FootnoteReference"/>
        </w:rPr>
        <w:footnoteReference w:id="1510"/>
      </w:r>
    </w:p>
    <w:p>
      <w:pPr>
        <w:pStyle w:val="BodyText"/>
      </w:pPr>
      <w:r>
        <w:t xml:space="preserve">La base giuridica regionale è dunque solida e già acquisita: il servizio è istituito dall’articolo 76 della legge regionale 20 del 2023, che ne definisce gli elenchi aziendali, il rapporto convenzionale e l’Osservatorio, e in attuazione è stata avviata la sperimentazione a trentotto psicologi; la cornice di coordinamento è costituita dalla Regione, dalle cinque Aziende e dall’Azienda Ligure Sanitaria, e la decisione non verte sul prevedere la funzione né sul dotarla di una legge, già esistente, ma sul condurla a regime e dimensionarla.</w:t>
      </w:r>
      <w:r>
        <w:rPr>
          <w:rStyle w:val="FootnoteReference"/>
        </w:rPr>
        <w:footnoteReference w:id="1511"/>
      </w:r>
      <w:r>
        <w:t xml:space="preserve"> </w:t>
      </w:r>
      <w:r>
        <w:t xml:space="preserve">Il vincolo di destinazione delle risorse del Servizio sanitario alla garanzia dei livelli essenziali è rispettato, trattandosi di un servizio di primo livello a costo contenuto; la Liguria non è sottoposta a piano di rientro, ma presenta un disavanzo strutturale coperto con risorse regionali ed è debitrice nella mobilità, e l’investimento incrementale necessario, contenuto, è coerente con tale principio.</w:t>
      </w:r>
      <w:r>
        <w:rPr>
          <w:rStyle w:val="FootnoteReference"/>
        </w:rPr>
        <w:footnoteReference w:id="1512"/>
      </w:r>
      <w:r>
        <w:t xml:space="preserve"> </w:t>
      </w:r>
      <w:r>
        <w:t xml:space="preserve">Il servizio opera infine nel rispetto delle norme deontologiche, sotto la vigilanza dell’Ordine degli Psicologi della Liguria, che ha accompagnato l’iter della legge e l’avvio della sperimentazione, riunisce gli oltre tremila professionisti iscritti nella regione e concorre alla governance e alla formazione.</w:t>
      </w:r>
      <w:r>
        <w:rPr>
          <w:rStyle w:val="FootnoteReference"/>
        </w:rPr>
        <w:footnoteReference w:id="1513"/>
      </w:r>
    </w:p>
    <w:bookmarkEnd w:id="4232"/>
    <w:bookmarkStart w:id="4233" w:name="X91ef150e5dc565ad4ddddbd5d194ea6102c00b5"/>
    <w:p>
      <w:pPr>
        <w:pStyle w:val="Heading3"/>
      </w:pPr>
      <w:r>
        <w:t xml:space="preserve">H.3 Il profilo organizzativo e la conformità</w:t>
      </w:r>
    </w:p>
    <w:p>
      <w:pPr>
        <w:pStyle w:val="FirstParagraph"/>
      </w:pPr>
      <w:r>
        <w:t xml:space="preserve">Sul piano organizzativo, una questione merita di essere chiarita, perché da essa dipende la sostenibilità giuridica dell’innovazione tecnologica: l’impiego dell’intelligenza artificiale non altera le responsabilità professionali. Il medico di medicina generale resta garante della diagnosi e della terapia medica, lo psicologo dell’intervento psicologico, e l’intelligenza artificiale è assimilata a un dispositivo di supporto e non a una figura che compie atti, sicché non si introduce una nuova figura professionale, ma uno strumento che assiste quelle esistenti.</w:t>
      </w:r>
      <w:r>
        <w:rPr>
          <w:rStyle w:val="FootnoteReference"/>
        </w:rPr>
        <w:footnoteReference w:id="1514"/>
      </w:r>
      <w:r>
        <w:t xml:space="preserve"> </w:t>
      </w:r>
      <w:r>
        <w:t xml:space="preserve">La conformità degli strumenti è assicurata dal quadro europeo: il regolamento sull’intelligenza artificiale classifica come ad alto rischio i sistemi impiegati nei dispositivi medici, con obblighi differiti oltre il 2027; il regolamento sui dispositivi medici impone la marcatura CE; il regolamento sulla protezione dei dati ne disciplina il trattamento; vi si innestano la supervisione umana costante, la validazione periodica, il monitoraggio dei bias e il divieto di discriminazione algoritmica.</w:t>
      </w:r>
      <w:r>
        <w:rPr>
          <w:rStyle w:val="FootnoteReference"/>
        </w:rPr>
        <w:footnoteReference w:id="1515"/>
      </w:r>
      <w:r>
        <w:t xml:space="preserve"> </w:t>
      </w:r>
      <w:r>
        <w:t xml:space="preserve">Per non generare nuove disuguaglianze, sono previsti canali tradizionali paralleli per chi non dispone di strumenti digitali — segnatamente le persone anziane dell’entroterra appenninico, numerose in Liguria — e il supporto multilingue per la popolazione straniera, ferma restando la garanzia dell’alternativa in presenza.</w:t>
      </w:r>
      <w:r>
        <w:rPr>
          <w:rStyle w:val="FootnoteReference"/>
        </w:rPr>
        <w:footnoteReference w:id="1516"/>
      </w:r>
      <w:r>
        <w:t xml:space="preserve"> </w:t>
      </w:r>
      <w:r>
        <w:t xml:space="preserve">La protezione dei dati, infine, è assicurata da misure robuste — crittografia e pseudonimizzazione per le analisi, consenso modulare anche digitale, collaborazione con l’Autorità garante e software dotati di marcatura adeguata.</w:t>
      </w:r>
      <w:r>
        <w:rPr>
          <w:rStyle w:val="FootnoteReference"/>
        </w:rPr>
        <w:footnoteReference w:id="1517"/>
      </w:r>
      <w:r>
        <w:t xml:space="preserve"> </w:t>
      </w:r>
      <w:r>
        <w:t xml:space="preserve">Definiti i profili etico, giuridico e organizzativo, la parte che segue affronta l’attuazione, la fattibilità e la sostenibilità dell’intervento.</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Implementazione, dimensionamento e reclutamento, casi commerciale, gestionale e finanziario, sostenibilità</w:t>
      </w:r>
    </w:p>
    <w:p>
      <w:pPr>
        <w:pStyle w:val="BodyText"/>
      </w:pPr>
      <w:r>
        <w:t xml:space="preserve">Settimo dominio dell’HTA · attuazione e sostenibilità</w:t>
      </w:r>
    </w:p>
    <w:bookmarkEnd w:id="4233"/>
    <w:bookmarkEnd w:id="4231"/>
    <w:bookmarkStart w:id="4234" w:name="Xe590a220dcd05622bef8fa20147cb2ffcdf6d6c"/>
    <w:p>
      <w:pPr>
        <w:pStyle w:val="Heading2"/>
      </w:pPr>
      <w:r>
        <w:t xml:space="preserve">Parte I — Attuazione, fattibilità e sostenibilità</w:t>
      </w:r>
    </w:p>
    <w:p>
      <w:pPr>
        <w:pStyle w:val="FirstParagraph"/>
      </w:pPr>
      <w:r>
        <w:t xml:space="preserve">Questa parte affronta il settimo dominio della valutazione, il profilo organizzativo, e fornisce il contenuto dei casi commerciale, gestionale e finanziario del Five Case Model, rispondendo al criterio di sostenibilità.</w:t>
      </w:r>
      <w:r>
        <w:rPr>
          <w:rStyle w:val="FootnoteReference"/>
        </w:rPr>
        <w:footnoteReference w:id="1518"/>
      </w:r>
      <w:r>
        <w:rPr>
          <w:rStyle w:val="FootnoteReference"/>
        </w:rPr>
        <w:footnoteReference w:id="1519"/>
      </w:r>
      <w:r>
        <w:rPr>
          <w:rStyle w:val="FootnoteReference"/>
        </w:rPr>
        <w:footnoteReference w:id="1520"/>
      </w:r>
      <w:r>
        <w:rPr>
          <w:rStyle w:val="FootnoteReference"/>
        </w:rPr>
        <w:footnoteReference w:id="1521"/>
      </w:r>
      <w:r>
        <w:rPr>
          <w:rStyle w:val="FootnoteReference"/>
        </w:rPr>
        <w:footnoteReference w:id="1522"/>
      </w:r>
      <w:r>
        <w:rPr>
          <w:rStyle w:val="FootnoteReference"/>
        </w:rPr>
        <w:footnoteReference w:id="1523"/>
      </w:r>
      <w:r>
        <w:rPr>
          <w:rStyle w:val="FootnoteReference"/>
        </w:rPr>
        <w:footnoteReference w:id="1524"/>
      </w:r>
      <w:r>
        <w:rPr>
          <w:rStyle w:val="FootnoteReference"/>
        </w:rPr>
        <w:footnoteReference w:id="1525"/>
      </w:r>
      <w:r>
        <w:rPr>
          <w:rStyle w:val="FootnoteReference"/>
        </w:rPr>
        <w:footnoteReference w:id="1526"/>
      </w:r>
      <w:r>
        <w:rPr>
          <w:rStyle w:val="FootnoteReference"/>
        </w:rPr>
        <w:footnoteReference w:id="1527"/>
      </w:r>
      <w:r>
        <w:rPr>
          <w:rStyle w:val="FootnoteReference"/>
        </w:rPr>
        <w:footnoteReference w:id="1528"/>
      </w:r>
      <w:r>
        <w:rPr>
          <w:rStyle w:val="FootnoteReference"/>
        </w:rPr>
        <w:footnoteReference w:id="1529"/>
      </w:r>
      <w:r>
        <w:rPr>
          <w:rStyle w:val="FootnoteReference"/>
        </w:rPr>
        <w:footnoteReference w:id="1530"/>
      </w:r>
      <w:r>
        <w:rPr>
          <w:rStyle w:val="FootnoteReference"/>
        </w:rPr>
        <w:footnoteReference w:id="1531"/>
      </w:r>
      <w:r>
        <w:rPr>
          <w:rStyle w:val="FootnoteReference"/>
        </w:rPr>
        <w:footnoteReference w:id="1532"/>
      </w:r>
      <w:r>
        <w:rPr>
          <w:rStyle w:val="FootnoteReference"/>
        </w:rPr>
        <w:footnoteReference w:id="1533"/>
      </w:r>
      <w:r>
        <w:t xml:space="preserve"> </w:t>
      </w:r>
      <w:r>
        <w:t xml:space="preserve">La parte espone i modelli dell’implementazione (capitolo I.1); il disegno del dimensionamento e del reclutamento (I.2); il caso commerciale, ossia l’assetto contrattuale (I.3); il caso gestionale e i rischi attuativi (I.4); e il caso finanziario, le coperture e la sostenibilità nel tempo (I.5). Il tratto specifico della Liguria attraversa l’intera parte: poiché la sperimentazione è appena avviata e di dimensione minima, l’attuazione consiste essenzialmente nel costruire il servizio a regime a partire da un avvio recente, con il vantaggio di poterne disegnare prospetticamente sia il dispiegamento sia la valutazione.</w:t>
      </w:r>
    </w:p>
    <w:bookmarkStart w:id="570" w:name="Xc42c27f88cb12ce8a3a2ab068e0abf212ee4f5e"/>
    <w:p>
      <w:pPr>
        <w:pStyle w:val="Heading3"/>
      </w:pPr>
      <w:r>
        <w:t xml:space="preserve">I.1 L’implementazione: i modelli RE-AIM e CFIR</w:t>
      </w:r>
    </w:p>
    <w:p>
      <w:pPr>
        <w:pStyle w:val="FirstParagraph"/>
      </w:pPr>
      <w:r>
        <w:t xml:space="preserve">L’attuazione è valutata con due strumenti consolidati. Il modello RE-AIM ne misura la riuscita e la validità esterna lungo cinque dimensioni — portata, efficacia, adozione, implementazione e mantenimento — e per la Liguria sono dirimenti l’adozione, che muove ora i primi passi con la sperimentazione, e il mantenimento, ossia il consolidamento a regime di un servizio appena avviato.</w:t>
      </w:r>
      <w:r>
        <w:rPr>
          <w:rStyle w:val="FootnoteReference"/>
        </w:rPr>
        <w:footnoteReference w:id="1534"/>
      </w:r>
      <w:r>
        <w:t xml:space="preserve"> </w:t>
      </w:r>
      <w:r>
        <w:t xml:space="preserve">Il quadro consolidato per la ricerca sull’implementazione spiega invece i determinanti dell’attuazione lungo cinque domini — le caratteristiche dell’innovazione, il contesto esterno e interno, gli individui coinvolti e il processo — consentendo di individuare ex ante barriere e facilitatori.</w:t>
      </w:r>
      <w:r>
        <w:rPr>
          <w:rStyle w:val="FootnoteReference"/>
        </w:rPr>
        <w:footnoteReference w:id="1535"/>
      </w:r>
      <w:r>
        <w:t xml:space="preserve"> </w:t>
      </w:r>
      <w:r>
        <w:t xml:space="preserve">I determinanti seguiti dallo studio comprendono il tasso di copertura, l’adozione delle sedi, la fedeltà al modello, i tempi di dimensionamento, il numero di psicologi reclutati e formati, la qualità della formazione e della supervisione, l’integrazione nei flussi di lavoro e la scalabilità.</w:t>
      </w:r>
      <w:r>
        <w:rPr>
          <w:rStyle w:val="FootnoteReference"/>
        </w:rPr>
        <w:footnoteReference w:id="1536"/>
      </w:r>
    </w:p>
    <w:bookmarkEnd w:id="570"/>
    <w:bookmarkStart w:id="4235" w:name="i.2-il-dimensionamento-e-il-reclutamento"/>
    <w:p>
      <w:pPr>
        <w:pStyle w:val="Heading3"/>
      </w:pPr>
      <w:r>
        <w:t xml:space="preserve">I.2 Il dimensionamento e il reclutamento</w:t>
      </w:r>
    </w:p>
    <w:p>
      <w:pPr>
        <w:pStyle w:val="FirstParagraph"/>
      </w:pPr>
      <w:r>
        <w:t xml:space="preserve">Il disegno del dimensionamento riflette la condizione di avvio della Liguria: poiché la sperimentazione è appena partita e dimensionata a trentotto psicologi, dell’ordine del tre-quattro per cento del fabbisogno, il dispiegamento muove essenzialmente dall’inizio e consiste nell’estensione progressiva della copertura a tutte le Case della Comunità e ai distretti delle cinque Aziende verso il regime, per fasi semestrali, a partire dalle sedi di maggiore prontezza e sotto il coordinamento dell’Azienda Ligure Sanitaria.</w:t>
      </w:r>
      <w:r>
        <w:rPr>
          <w:rStyle w:val="FootnoteReference"/>
        </w:rPr>
        <w:footnoteReference w:id="1537"/>
      </w:r>
      <w:r>
        <w:t xml:space="preserve"> </w:t>
      </w:r>
      <w:r>
        <w:t xml:space="preserve">Questo dimensionamento progressivo ha una doppia funzione, ed è qui che la Liguria gode della condizione più favorevole della serie: oltre a rispondere all’esigenza organizzativa di accrescere la copertura in modo compatibile con i tempi del reclutamento, esso, definendo prospetticamente l’ordine e i tempi di attivazione delle sedi, fonda la valutazione controfattuale a cunei progressivi più pulita realizzabile, oggetto della Parte L.</w:t>
      </w:r>
      <w:r>
        <w:rPr>
          <w:rStyle w:val="FootnoteReference"/>
        </w:rPr>
        <w:footnoteReference w:id="1538"/>
      </w:r>
      <w:r>
        <w:t xml:space="preserve"> </w:t>
      </w:r>
      <w:r>
        <w:t xml:space="preserve">Il reclutamento, a fronte di un fabbisogno a regime dell’ordine di 330 psicologi, avviene tramite l’iscrizione a un elenco aziendale e l’instaurazione di un rapporto convenzionale, con requisiti di albo e di formazione; in prima applicazione la legge valorizza i professionisti con esperienza almeno biennale, e il bacino è ampio, contando la regione oltre tremila psicologi iscritti.</w:t>
      </w:r>
      <w:r>
        <w:rPr>
          <w:rStyle w:val="FootnoteReference"/>
        </w:rPr>
        <w:footnoteReference w:id="1539"/>
      </w:r>
      <w:r>
        <w:t xml:space="preserve"> </w:t>
      </w:r>
      <w:r>
        <w:t xml:space="preserve">Il cronoprogramma procede per fasi semestrali, con reclutamento, formazione e consolidamento condotti gradualmente e il monitoraggio a corredo dell’intero arco.</w:t>
      </w:r>
      <w:r>
        <w:rPr>
          <w:rStyle w:val="FootnoteReference"/>
        </w:rPr>
        <w:footnoteReference w:id="1540"/>
      </w:r>
      <w:r>
        <w:t xml:space="preserve"> </w:t>
      </w:r>
      <w:r>
        <w:t xml:space="preserve">Tra i parametri che muterebbero le conclusioni figura un tasso di recupero inferiore al cinquanta per cento nella fase di dimensionamento, che il monitoraggio è chiamato a verificare sui dati liguri non appena la sperimentazione inizierà a produrli.</w:t>
      </w:r>
      <w:r>
        <w:rPr>
          <w:rStyle w:val="FootnoteReference"/>
        </w:rPr>
        <w:footnoteReference w:id="1541"/>
      </w:r>
      <w:r>
        <w:t xml:space="preserve"> </w:t>
      </w:r>
      <w:r>
        <w:t xml:space="preserve">La tabella seguente riepiloga gli scenari di dimensionamento.</w:t>
      </w:r>
    </w:p>
    <w:tbl>
      <w:tblPr>
        <w:tblStyle w:val="Table"/>
        <w:tblW w:type="pct" w:w="489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27"/>
        <w:gridCol w:w="2022"/>
        <w:gridCol w:w="320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 o 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Copertura del fabbisogno</w:t>
            </w:r>
          </w:p>
        </w:tc>
      </w:tr>
      <w:tr>
        <w:tc>
          <w:tcPr/>
          <w:p>
            <w:pPr>
              <w:pStyle w:val="Compact"/>
              <w:spacing w:after="40" w:before="40"/>
              <w:jc w:val="left"/>
            </w:pPr>
            <w:r>
              <w:rPr>
                <w:rFonts w:ascii="Cambria" w:hAnsi="Cambria" w:cs="Cambria" w:eastAsia="Cambria"/>
                <w:b/>
                <w:bCs/>
                <w:color w:val="1A1A1A"/>
                <w:sz w:val="18"/>
              </w:rPr>
              <w:t xml:space="preserve">Sperimentazione attuale</w:t>
            </w:r>
          </w:p>
        </w:tc>
        <w:tc>
          <w:tcPr/>
          <w:p>
            <w:pPr>
              <w:pStyle w:val="Compact"/>
              <w:spacing w:after="40" w:before="40"/>
              <w:jc w:val="left"/>
            </w:pPr>
            <w:r>
              <w:rPr>
                <w:rFonts w:ascii="Cambria" w:hAnsi="Cambria" w:cs="Cambria" w:eastAsia="Cambria"/>
                <w:color w:val="1A1A1A"/>
                <w:sz w:val="18"/>
              </w:rPr>
              <w:t xml:space="preserve">~ 38 psicologi</w:t>
            </w:r>
          </w:p>
        </w:tc>
        <w:tc>
          <w:tcPr/>
          <w:p>
            <w:pPr>
              <w:pStyle w:val="Compact"/>
              <w:spacing w:after="40" w:before="40"/>
              <w:jc w:val="left"/>
            </w:pPr>
            <w:r>
              <w:rPr>
                <w:rFonts w:ascii="Cambria" w:hAnsi="Cambria" w:cs="Cambria" w:eastAsia="Cambria"/>
                <w:color w:val="1A1A1A"/>
                <w:sz w:val="18"/>
              </w:rPr>
              <w:t xml:space="preserve">Dell’ordine del 3–4% del fabbisogno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Scenario conservativo</w:t>
            </w:r>
          </w:p>
        </w:tc>
        <w:tc>
          <w:tcPr>
            <w:shd w:val="clear" w:color="auto" w:fill="F4F1EC"/>
          </w:tcPr>
          <w:p>
            <w:pPr>
              <w:pStyle w:val="Compact"/>
              <w:spacing w:after="40" w:before="40"/>
              <w:jc w:val="left"/>
            </w:pPr>
            <w:r>
              <w:rPr>
                <w:rFonts w:ascii="Cambria" w:hAnsi="Cambria" w:cs="Cambria" w:eastAsia="Cambria"/>
                <w:color w:val="1A1A1A"/>
                <w:sz w:val="18"/>
              </w:rPr>
              <w:t xml:space="preserve">~ 170 psicologi</w:t>
            </w:r>
          </w:p>
        </w:tc>
        <w:tc>
          <w:tcPr>
            <w:shd w:val="clear" w:color="auto" w:fill="F4F1EC"/>
          </w:tcPr>
          <w:p>
            <w:pPr>
              <w:pStyle w:val="Compact"/>
              <w:spacing w:after="40" w:before="40"/>
              <w:jc w:val="left"/>
            </w:pPr>
            <w:r>
              <w:rPr>
                <w:rFonts w:ascii="Cambria" w:hAnsi="Cambria" w:cs="Cambria" w:eastAsia="Cambria"/>
                <w:color w:val="1A1A1A"/>
                <w:sz w:val="18"/>
              </w:rPr>
              <w:t xml:space="preserve">Copertura parziale</w:t>
            </w:r>
          </w:p>
        </w:tc>
      </w:tr>
      <w:tr>
        <w:tc>
          <w:tcPr/>
          <w:p>
            <w:pPr>
              <w:pStyle w:val="Compact"/>
              <w:spacing w:after="40" w:before="40"/>
              <w:jc w:val="left"/>
            </w:pPr>
            <w:r>
              <w:rPr>
                <w:rFonts w:ascii="Cambria" w:hAnsi="Cambria" w:cs="Cambria" w:eastAsia="Cambria"/>
                <w:b/>
                <w:bCs/>
                <w:color w:val="1A1A1A"/>
                <w:sz w:val="18"/>
              </w:rPr>
              <w:t xml:space="preserve">Scenario base</w:t>
            </w:r>
          </w:p>
        </w:tc>
        <w:tc>
          <w:tcPr/>
          <w:p>
            <w:pPr>
              <w:pStyle w:val="Compact"/>
              <w:spacing w:after="40" w:before="40"/>
              <w:jc w:val="left"/>
            </w:pPr>
            <w:r>
              <w:rPr>
                <w:rFonts w:ascii="Cambria" w:hAnsi="Cambria" w:cs="Cambria" w:eastAsia="Cambria"/>
                <w:color w:val="1A1A1A"/>
                <w:sz w:val="18"/>
              </w:rPr>
              <w:t xml:space="preserve">~ 250 psicologi</w:t>
            </w:r>
          </w:p>
        </w:tc>
        <w:tc>
          <w:tcPr/>
          <w:p>
            <w:pPr>
              <w:pStyle w:val="Compact"/>
              <w:spacing w:after="40" w:before="40"/>
              <w:jc w:val="left"/>
            </w:pPr>
            <w:r>
              <w:rPr>
                <w:rFonts w:ascii="Cambria" w:hAnsi="Cambria" w:cs="Cambria" w:eastAsia="Cambria"/>
                <w:color w:val="1A1A1A"/>
                <w:sz w:val="18"/>
              </w:rPr>
              <w:t xml:space="preserve">Copertura ampia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Scenario espansivo</w:t>
            </w:r>
          </w:p>
        </w:tc>
        <w:tc>
          <w:tcPr>
            <w:shd w:val="clear" w:color="auto" w:fill="F4F1EC"/>
          </w:tcPr>
          <w:p>
            <w:pPr>
              <w:pStyle w:val="Compact"/>
              <w:spacing w:after="40" w:before="40"/>
              <w:jc w:val="left"/>
            </w:pPr>
            <w:r>
              <w:rPr>
                <w:rFonts w:ascii="Cambria" w:hAnsi="Cambria" w:cs="Cambria" w:eastAsia="Cambria"/>
                <w:color w:val="1A1A1A"/>
                <w:sz w:val="18"/>
              </w:rPr>
              <w:t xml:space="preserve">~ 330 psicologi</w:t>
            </w:r>
          </w:p>
        </w:tc>
        <w:tc>
          <w:tcPr>
            <w:shd w:val="clear" w:color="auto" w:fill="F4F1EC"/>
          </w:tcPr>
          <w:p>
            <w:pPr>
              <w:pStyle w:val="Compact"/>
              <w:spacing w:after="40" w:before="40"/>
              <w:jc w:val="left"/>
            </w:pPr>
            <w:r>
              <w:rPr>
                <w:rFonts w:ascii="Cambria" w:hAnsi="Cambria" w:cs="Cambria" w:eastAsia="Cambria"/>
                <w:color w:val="1A1A1A"/>
                <w:sz w:val="18"/>
              </w:rPr>
              <w:t xml:space="preserve">Copertura piena del fabbisogno</w:t>
            </w:r>
          </w:p>
        </w:tc>
      </w:tr>
    </w:tbl>
    <w:p>
      <w:pPr>
        <w:pStyle w:val="BodyText"/>
      </w:pPr>
      <w:r>
        <w:rPr>
          <w:i/>
          <w:iCs/>
        </w:rPr>
        <w:t xml:space="preserve">Tabella I.1. Gli scenari di dimensionamento, dalla sperimentazione attuale al regime.</w:t>
      </w:r>
    </w:p>
    <w:bookmarkEnd w:id="4235"/>
    <w:bookmarkStart w:id="4236" w:name="i.3-il-caso-commerciale"/>
    <w:p>
      <w:pPr>
        <w:pStyle w:val="Heading3"/>
      </w:pPr>
      <w:r>
        <w:t xml:space="preserve">I.3 Il caso commerciale</w:t>
      </w:r>
    </w:p>
    <w:p>
      <w:pPr>
        <w:pStyle w:val="FirstParagraph"/>
      </w:pPr>
      <w:r>
        <w:t xml:space="preserve">Il caso commerciale del Five Case Model riguarda la fattibilità dell’assetto contrattuale. Essa poggia sul rapporto convenzionale su base libero-professionale previsto dalla legge regionale, da cui discende un costo medio per incarico dell’ordine di 55.000 euro l’anno e gli scenari di spesa di 9, 14 e 18 milioni già esposti nella Parte E.</w:t>
      </w:r>
      <w:r>
        <w:rPr>
          <w:rStyle w:val="FootnoteReference"/>
        </w:rPr>
        <w:footnoteReference w:id="1542"/>
      </w:r>
      <w:r>
        <w:t xml:space="preserve"> </w:t>
      </w:r>
      <w:r>
        <w:t xml:space="preserve">Le manifestazioni di interesse per la selezione dei professionisti sono già state emanate dalle Aziende, e il nodo specifico della Liguria è la stabilizzazione progressiva del rapporto verso un assetto convenzionale a regime, analogo nella logica a quello dei medici di medicina generale, senza che ciò richieda la creazione di nuove figure professionali — punto che, come visto nella Parte H, ne sostiene anche la difendibilità costituzionale.</w:t>
      </w:r>
    </w:p>
    <w:bookmarkEnd w:id="4236"/>
    <w:bookmarkStart w:id="581" w:name="Xf3e40ab52d526bdd0656ecc8b1ff019d3b38979"/>
    <w:p>
      <w:pPr>
        <w:pStyle w:val="Heading3"/>
      </w:pPr>
      <w:r>
        <w:t xml:space="preserve">I.4 Il caso gestionale e i rischi attuativi</w:t>
      </w:r>
    </w:p>
    <w:p>
      <w:pPr>
        <w:pStyle w:val="FirstParagraph"/>
      </w:pPr>
      <w:r>
        <w:t xml:space="preserve">Il caso gestionale definisce il governo dell’attuazione su due livelli. A livello regionale, un comitato di indirizzo esercita le funzioni di indirizzo, programmazione, monitoraggio e controllo, riunendo la Regione, le cinque Aziende, l’Azienda Ligure Sanitaria, gli IRCCS San Martino e Gaslini, gli enti ospedalieri Galliera ed Evangelico, l’Ordine degli Psicologi della Liguria, la medicina generale, la pediatria di libera scelta e l’Università di Genova, affiancato dall’Osservatorio previsto dalla legge; a livello aziendale, ciascuna Azienda è responsabile dell’attuazione nel proprio ambito, e l’Azienda Ligure Sanitaria assicura il coordinamento unitario.</w:t>
      </w:r>
      <w:r>
        <w:rPr>
          <w:rStyle w:val="FootnoteReference"/>
        </w:rPr>
        <w:footnoteReference w:id="1543"/>
      </w:r>
      <w:r>
        <w:t xml:space="preserve"> </w:t>
      </w:r>
      <w:r>
        <w:t xml:space="preserve">Quanto ai rischi, il più specifico della Liguria è la fragilità di una sperimentazione appena avviata e di dimensione minima, dipendente dal finanziamento iniziale; ad esso si aggiungono il reclutamento insufficiente, la debole adesione della medicina generale e l’interoperabilità incompleta dei sistemi informativi. Poiché la legge è già vigente, la principale misura di mitigazione è la conduzione a regime con un rapporto convenzionale stabile e un dimensionamento graduale, che consente di osservare, correggere e adattare fin dalle prime fasi.</w:t>
      </w:r>
      <w:r>
        <w:rPr>
          <w:rStyle w:val="FootnoteReference"/>
        </w:rPr>
        <w:footnoteReference w:id="1544"/>
      </w:r>
    </w:p>
    <w:bookmarkEnd w:id="581"/>
    <w:bookmarkStart w:id="4237" w:name="Xbde5948c37d365ee23c33c60e21ce292f96b4b3"/>
    <w:p>
      <w:pPr>
        <w:pStyle w:val="Heading3"/>
      </w:pPr>
      <w:r>
        <w:t xml:space="preserve">I.5 Il caso finanziario e la sostenibilità</w:t>
      </w:r>
    </w:p>
    <w:p>
      <w:pPr>
        <w:pStyle w:val="FirstParagraph"/>
      </w:pPr>
      <w:r>
        <w:t xml:space="preserve">Il caso finanziario individua le coperture: il finanziamento ordinario del Servizio sanitario regionale, dell’ordine di 3,5 miliardi di euro, di cui una quota è già destinata alla sperimentazione avviata; la Missione 6 del Piano Nazionale di Ripresa e Resilienza per l’infrastruttura territoriale e digitale; e un eventuale fondo statale a sostegno dei livelli essenziali.</w:t>
      </w:r>
      <w:r>
        <w:rPr>
          <w:rStyle w:val="FootnoteReference"/>
        </w:rPr>
        <w:footnoteReference w:id="1545"/>
      </w:r>
      <w:r>
        <w:t xml:space="preserve"> </w:t>
      </w:r>
      <w:r>
        <w:t xml:space="preserve">La Liguria opera sotto pressione finanziaria, con un disavanzo strutturale coperto con risorse regionali e una mobilità passiva, pur non essendo in piano di rientro; tuttavia il costo del servizio, anche a massima copertura, è dell’ordine di mezzo punto percentuale del finanziamento, ed essendone già a bilancio una quota, l’investimento incrementale è quello necessario a colmare il divario verso il fabbisogno, sostenibile a condizione di prudenza.</w:t>
      </w:r>
      <w:r>
        <w:rPr>
          <w:rStyle w:val="FootnoteReference"/>
        </w:rPr>
        <w:footnoteReference w:id="1546"/>
      </w:r>
      <w:r>
        <w:t xml:space="preserve"> </w:t>
      </w:r>
      <w:r>
        <w:t xml:space="preserve">Sul piano della sostenibilità nel tempo, la leva decisiva per la Liguria non è l’istituzionalizzazione per legge, già acquisita, né la maturità operativa, ancora da costruire, ma la conduzione a regime con un rapporto convenzionale stabile e un dimensionamento adeguato, che sottrarrebbe il servizio alla fragilità della fase di avvio; vi concorrono la modestia del costo, il forte ritorno sociale e il coordinamento regionale dell’Azienda Ligure Sanitaria.</w:t>
      </w:r>
      <w:r>
        <w:rPr>
          <w:rStyle w:val="FootnoteReference"/>
        </w:rPr>
        <w:footnoteReference w:id="1547"/>
      </w:r>
      <w:r>
        <w:t xml:space="preserve"> </w:t>
      </w:r>
      <w:r>
        <w:t xml:space="preserve">Resta ferma la cautela metodologica che accompagna l’intero studio: i risultati italiani disponibili provengono in parte da letteratura grigia e da campioni limitati, e la verifica empirica sui dati liguri, prevista dalla Parte L e fondata su un disegno a cunei progressivi pianificato fin dall’avvio, è chiamata a sostituire progressivamente le stime con misure osservate.</w:t>
      </w:r>
      <w:r>
        <w:rPr>
          <w:rStyle w:val="FootnoteReference"/>
        </w:rPr>
        <w:footnoteReference w:id="1548"/>
      </w:r>
      <w:r>
        <w:t xml:space="preserve"> </w:t>
      </w:r>
      <w:r>
        <w:t xml:space="preserve">Definiti l’attuazione e la sostenibilità, la parte che segue affronta il monitoraggio, la valutazione e la verifica ex post.</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L</w:t>
      </w:r>
    </w:p>
    <w:p>
      <w:pPr>
        <w:pStyle w:val="BodyText"/>
      </w:pPr>
      <w:r>
        <w:rPr>
          <w:b/>
          <w:bCs/>
        </w:rPr>
        <w:t xml:space="preserve">Monitoraggio, valutazione e verifica ex post</w:t>
      </w:r>
    </w:p>
    <w:p>
      <w:pPr>
        <w:pStyle w:val="BodyText"/>
      </w:pPr>
      <w:r>
        <w:rPr>
          <w:i/>
          <w:iCs/>
        </w:rPr>
        <w:t xml:space="preserve">Architettura della misurazione, protocollo e strumenti, baseline, valutazione controfattuale, verifica ex post</w:t>
      </w:r>
    </w:p>
    <w:p>
      <w:pPr>
        <w:pStyle w:val="BodyText"/>
      </w:pPr>
      <w:r>
        <w:t xml:space="preserve">Chiusura del ciclo valutativo · monitoraggio, valutazione ed ex post</w:t>
      </w:r>
    </w:p>
    <w:bookmarkEnd w:id="4237"/>
    <w:bookmarkEnd w:id="4234"/>
    <w:bookmarkStart w:id="4238" w:name="Xfabc314e40c59b0a0acc86c34c9ffffdd0f9352"/>
    <w:p>
      <w:pPr>
        <w:pStyle w:val="Heading2"/>
      </w:pPr>
      <w:r>
        <w:t xml:space="preserve">Parte L — Monitoraggio, valutazione e verifica ex post</w:t>
      </w:r>
    </w:p>
    <w:p>
      <w:pPr>
        <w:pStyle w:val="FirstParagraph"/>
      </w:pPr>
      <w:r>
        <w:t xml:space="preserve">Questa parte organizza la misurazione dell’intervento nel tempo, chiude il ciclo aperto dall’analisi preventiva della regolamentazione e fornisce il fondamento empirico delle stime delle parti precedenti.</w:t>
      </w:r>
      <w:r>
        <w:rPr>
          <w:rStyle w:val="FootnoteReference"/>
        </w:rPr>
        <w:footnoteReference w:id="1549"/>
      </w:r>
      <w:r>
        <w:rPr>
          <w:rStyle w:val="FootnoteReference"/>
        </w:rPr>
        <w:footnoteReference w:id="1550"/>
      </w:r>
      <w:r>
        <w:rPr>
          <w:rStyle w:val="FootnoteReference"/>
        </w:rPr>
        <w:footnoteReference w:id="1551"/>
      </w:r>
      <w:r>
        <w:rPr>
          <w:rStyle w:val="FootnoteReference"/>
        </w:rPr>
        <w:footnoteReference w:id="1552"/>
      </w:r>
      <w:r>
        <w:rPr>
          <w:rStyle w:val="FootnoteReference"/>
        </w:rPr>
        <w:footnoteReference w:id="1553"/>
      </w:r>
      <w:r>
        <w:rPr>
          <w:rStyle w:val="FootnoteReference"/>
        </w:rPr>
        <w:footnoteReference w:id="1554"/>
      </w:r>
      <w:r>
        <w:rPr>
          <w:rStyle w:val="FootnoteReference"/>
        </w:rPr>
        <w:footnoteReference w:id="1555"/>
      </w:r>
      <w:r>
        <w:rPr>
          <w:rStyle w:val="FootnoteReference"/>
        </w:rPr>
        <w:footnoteReference w:id="1556"/>
      </w:r>
      <w:r>
        <w:rPr>
          <w:rStyle w:val="FootnoteReference"/>
        </w:rPr>
        <w:footnoteReference w:id="1557"/>
      </w:r>
      <w:r>
        <w:rPr>
          <w:rStyle w:val="FootnoteReference"/>
        </w:rPr>
        <w:footnoteReference w:id="1558"/>
      </w:r>
      <w:r>
        <w:rPr>
          <w:rStyle w:val="FootnoteReference"/>
        </w:rPr>
        <w:footnoteReference w:id="1559"/>
      </w:r>
      <w:r>
        <w:rPr>
          <w:rStyle w:val="FootnoteReference"/>
        </w:rPr>
        <w:footnoteReference w:id="1560"/>
      </w:r>
      <w:r>
        <w:rPr>
          <w:rStyle w:val="FootnoteReference"/>
        </w:rPr>
        <w:footnoteReference w:id="1561"/>
      </w:r>
      <w:r>
        <w:rPr>
          <w:rStyle w:val="FootnoteReference"/>
        </w:rPr>
        <w:footnoteReference w:id="1562"/>
      </w:r>
      <w:r>
        <w:rPr>
          <w:rStyle w:val="FootnoteReference"/>
        </w:rPr>
        <w:footnoteReference w:id="1563"/>
      </w:r>
      <w:r>
        <w:rPr>
          <w:rStyle w:val="FootnoteReference"/>
        </w:rPr>
        <w:footnoteReference w:id="1564"/>
      </w:r>
      <w:r>
        <w:rPr>
          <w:rStyle w:val="FootnoteReference"/>
        </w:rPr>
        <w:footnoteReference w:id="1565"/>
      </w:r>
      <w:r>
        <w:rPr>
          <w:rStyle w:val="FootnoteReference"/>
        </w:rPr>
        <w:footnoteReference w:id="1566"/>
      </w:r>
      <w:r>
        <w:rPr>
          <w:rStyle w:val="FootnoteReference"/>
        </w:rPr>
        <w:footnoteReference w:id="1567"/>
      </w:r>
      <w:r>
        <w:t xml:space="preserve"> </w:t>
      </w:r>
      <w:r>
        <w:t xml:space="preserve">La struttura è quella adottata per le altre regioni. La parte definisce l’architettura della misurazione e la batteria di indicatori (capitolo L.1); il protocollo di rilevazione e gli strumenti di esito (L.2); la costituzione della baseline e il calendario (L.3); la valutazione controfattuale d’impatto (L.4); e la verifica ex post con gli indicatori compositi (L.5). Per la Liguria questa parte assume un valore particolare: poiché la sperimentazione è appena avviata, la misurazione e il disegno valutativo possono essere progettati fin dall’inizio, anziché ricostruiti a posteriori, e ciò conferisce alla regione la condizione metodologica più favorevole dell’intera serie.</w:t>
      </w:r>
    </w:p>
    <w:bookmarkStart w:id="611" w:name="X20d1f9f3accd407c8864793a1364a23262e36c4"/>
    <w:p>
      <w:pPr>
        <w:pStyle w:val="Heading3"/>
      </w:pPr>
      <w:r>
        <w:t xml:space="preserve">L.1 L’architettura della misurazione e la batteria di indicatori</w:t>
      </w:r>
    </w:p>
    <w:p>
      <w:pPr>
        <w:pStyle w:val="FirstParagraph"/>
      </w:pPr>
      <w:r>
        <w:t xml:space="preserve">L’architettura della misurazione adotta il modello classico della qualità dell’assistenza, che distingue struttura, processo ed esito, qui integrato dalla dimensione dell’impatto, che coglie gli effetti più ampi sul sistema e sulla società.</w:t>
      </w:r>
      <w:r>
        <w:rPr>
          <w:rStyle w:val="FootnoteReference"/>
        </w:rPr>
        <w:footnoteReference w:id="1568"/>
      </w:r>
      <w:r>
        <w:t xml:space="preserve"> </w:t>
      </w:r>
      <w:r>
        <w:t xml:space="preserve">Su questa intelaiatura si innesta una batteria di circa cinquantotto misure articolate in otto categorie: una parte è già ricavabile dalle statistiche correnti, mentre la quota che in altre regioni proviene da una sperimentazione già matura va in Liguria interamente rilevata, e proprio questa circostanza consente di progettare la rilevazione fin dall’inizio in forma completa e uniforme.</w:t>
      </w:r>
      <w:r>
        <w:rPr>
          <w:rStyle w:val="FootnoteReference"/>
        </w:rPr>
        <w:footnoteReference w:id="1569"/>
      </w:r>
      <w:r>
        <w:t xml:space="preserve"> </w:t>
      </w:r>
      <w:r>
        <w:t xml:space="preserve">La selezione degli esiti segue i criteri internazionali del consenso strutturato, che individuano un nucleo parsimonioso di misure essenziali evitando la proliferazione di indicatori ridondanti.</w:t>
      </w:r>
      <w:r>
        <w:rPr>
          <w:rStyle w:val="FootnoteReference"/>
        </w:rPr>
        <w:footnoteReference w:id="1570"/>
      </w:r>
      <w:r>
        <w:t xml:space="preserve"> </w:t>
      </w:r>
      <w:r>
        <w:t xml:space="preserve">La tabella seguente espone le otto categorie e lo stato della baseline.</w:t>
      </w:r>
      <w:r>
        <w:rPr>
          <w:rStyle w:val="FootnoteReference"/>
        </w:rPr>
        <w:footnoteReference w:id="1571"/>
      </w:r>
    </w:p>
    <w:tbl>
      <w:tblPr>
        <w:tblStyle w:val="Table"/>
        <w:tblW w:type="pct" w:w="491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02"/>
        <w:gridCol w:w="3784"/>
        <w:gridCol w:w="189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della baseline</w:t>
            </w:r>
          </w:p>
        </w:tc>
      </w:tr>
      <w:tr>
        <w:tc>
          <w:tcPr/>
          <w:p>
            <w:pPr>
              <w:pStyle w:val="Compact"/>
              <w:spacing w:after="40" w:before="40"/>
              <w:jc w:val="left"/>
            </w:pPr>
            <w:r>
              <w:rPr>
                <w:rFonts w:ascii="Cambria" w:hAnsi="Cambria" w:cs="Cambria" w:eastAsia="Cambria"/>
                <w:b/>
                <w:bCs/>
                <w:color w:val="1A1A1A"/>
                <w:sz w:val="18"/>
              </w:rPr>
              <w:t xml:space="preserve">1. Bisogno e domanda</w:t>
            </w:r>
          </w:p>
        </w:tc>
        <w:tc>
          <w:tcPr/>
          <w:p>
            <w:pPr>
              <w:pStyle w:val="Compact"/>
              <w:spacing w:after="40" w:before="40"/>
              <w:jc w:val="left"/>
            </w:pPr>
            <w:r>
              <w:rPr>
                <w:rFonts w:ascii="Cambria" w:hAnsi="Cambria" w:cs="Cambria" w:eastAsia="Cambria"/>
                <w:color w:val="1A1A1A"/>
                <w:sz w:val="18"/>
              </w:rPr>
              <w:t xml:space="preserve">Prevalenza, accessi, domanda intercettata</w:t>
            </w:r>
          </w:p>
        </w:tc>
        <w:tc>
          <w:tcPr/>
          <w:p>
            <w:pPr>
              <w:pStyle w:val="Compact"/>
              <w:spacing w:after="40" w:before="40"/>
              <w:jc w:val="left"/>
            </w:pPr>
            <w:r>
              <w:rPr>
                <w:rFonts w:ascii="Cambria" w:hAnsi="Cambria" w:cs="Cambria" w:eastAsia="Cambria"/>
                <w:color w:val="1A1A1A"/>
                <w:sz w:val="18"/>
              </w:rPr>
              <w:t xml:space="preserve">Disponibile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Accesso ed equità</w:t>
            </w:r>
          </w:p>
        </w:tc>
        <w:tc>
          <w:tcPr>
            <w:shd w:val="clear" w:color="auto" w:fill="F4F1EC"/>
          </w:tcPr>
          <w:p>
            <w:pPr>
              <w:pStyle w:val="Compact"/>
              <w:spacing w:after="40" w:before="40"/>
              <w:jc w:val="left"/>
            </w:pPr>
            <w:r>
              <w:rPr>
                <w:rFonts w:ascii="Cambria" w:hAnsi="Cambria" w:cs="Cambria" w:eastAsia="Cambria"/>
                <w:color w:val="1A1A1A"/>
                <w:sz w:val="18"/>
              </w:rPr>
              <w:t xml:space="preserve">Accesso per area, età, condizione; costa-entroterra</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3. Processo</w:t>
            </w:r>
          </w:p>
        </w:tc>
        <w:tc>
          <w:tcPr/>
          <w:p>
            <w:pPr>
              <w:pStyle w:val="Compact"/>
              <w:spacing w:after="40" w:before="40"/>
              <w:jc w:val="left"/>
            </w:pPr>
            <w:r>
              <w:rPr>
                <w:rFonts w:ascii="Cambria" w:hAnsi="Cambria" w:cs="Cambria" w:eastAsia="Cambria"/>
                <w:color w:val="1A1A1A"/>
                <w:sz w:val="18"/>
              </w:rPr>
              <w:t xml:space="preserve">Prese in carico, attesa, sedute, invii</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Esito clinico</w:t>
            </w:r>
          </w:p>
        </w:tc>
        <w:tc>
          <w:tcPr>
            <w:shd w:val="clear" w:color="auto" w:fill="F4F1EC"/>
          </w:tcPr>
          <w:p>
            <w:pPr>
              <w:pStyle w:val="Compact"/>
              <w:spacing w:after="40" w:before="40"/>
              <w:jc w:val="left"/>
            </w:pPr>
            <w:r>
              <w:rPr>
                <w:rFonts w:ascii="Cambria" w:hAnsi="Cambria" w:cs="Cambria" w:eastAsia="Cambria"/>
                <w:color w:val="1A1A1A"/>
                <w:sz w:val="18"/>
              </w:rPr>
              <w:t xml:space="preserve">Recupero, miglioramento affidabile (PHQ-9, GAD-7)</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5. Economici</w:t>
            </w:r>
          </w:p>
        </w:tc>
        <w:tc>
          <w:tcPr/>
          <w:p>
            <w:pPr>
              <w:pStyle w:val="Compact"/>
              <w:spacing w:after="40" w:before="40"/>
              <w:jc w:val="left"/>
            </w:pPr>
            <w:r>
              <w:rPr>
                <w:rFonts w:ascii="Cambria" w:hAnsi="Cambria" w:cs="Cambria" w:eastAsia="Cambria"/>
                <w:color w:val="1A1A1A"/>
                <w:sz w:val="18"/>
              </w:rPr>
              <w:t xml:space="preserve">Risparmi per canale, costi</w:t>
            </w:r>
          </w:p>
        </w:tc>
        <w:tc>
          <w:tcPr/>
          <w:p>
            <w:pPr>
              <w:pStyle w:val="Compact"/>
              <w:spacing w:after="40" w:before="40"/>
              <w:jc w:val="left"/>
            </w:pPr>
            <w:r>
              <w:rPr>
                <w:rFonts w:ascii="Cambria" w:hAnsi="Cambria" w:cs="Cambria" w:eastAsia="Cambria"/>
                <w:color w:val="1A1A1A"/>
                <w:sz w:val="18"/>
              </w:rPr>
              <w:t xml:space="preserve">Misto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6. Impatto sociale</w:t>
            </w:r>
          </w:p>
        </w:tc>
        <w:tc>
          <w:tcPr>
            <w:shd w:val="clear" w:color="auto" w:fill="F4F1EC"/>
          </w:tcPr>
          <w:p>
            <w:pPr>
              <w:pStyle w:val="Compact"/>
              <w:spacing w:after="40" w:before="40"/>
              <w:jc w:val="left"/>
            </w:pPr>
            <w:r>
              <w:rPr>
                <w:rFonts w:ascii="Cambria" w:hAnsi="Cambria" w:cs="Cambria" w:eastAsia="Cambria"/>
                <w:color w:val="1A1A1A"/>
                <w:sz w:val="18"/>
              </w:rPr>
              <w:t xml:space="preserve">Produttività, invalidità, sollievo familiare</w:t>
            </w:r>
          </w:p>
        </w:tc>
        <w:tc>
          <w:tcPr>
            <w:shd w:val="clear" w:color="auto" w:fill="F4F1EC"/>
          </w:tcPr>
          <w:p>
            <w:pPr>
              <w:pStyle w:val="Compact"/>
              <w:spacing w:after="40" w:before="40"/>
              <w:jc w:val="left"/>
            </w:pPr>
            <w:r>
              <w:rPr>
                <w:rFonts w:ascii="Cambria" w:hAnsi="Cambria" w:cs="Cambria" w:eastAsia="Cambria"/>
                <w:color w:val="1A1A1A"/>
                <w:sz w:val="18"/>
              </w:rPr>
              <w:t xml:space="preserve">Misto</w:t>
            </w:r>
          </w:p>
        </w:tc>
      </w:tr>
      <w:tr>
        <w:tc>
          <w:tcPr/>
          <w:p>
            <w:pPr>
              <w:pStyle w:val="Compact"/>
              <w:spacing w:after="40" w:before="40"/>
              <w:jc w:val="left"/>
            </w:pPr>
            <w:r>
              <w:rPr>
                <w:rFonts w:ascii="Cambria" w:hAnsi="Cambria" w:cs="Cambria" w:eastAsia="Cambria"/>
                <w:b/>
                <w:bCs/>
                <w:color w:val="1A1A1A"/>
                <w:sz w:val="18"/>
              </w:rPr>
              <w:t xml:space="preserve">7. Organizzativi</w:t>
            </w:r>
          </w:p>
        </w:tc>
        <w:tc>
          <w:tcPr/>
          <w:p>
            <w:pPr>
              <w:pStyle w:val="Compact"/>
              <w:spacing w:after="40" w:before="40"/>
              <w:jc w:val="left"/>
            </w:pPr>
            <w:r>
              <w:rPr>
                <w:rFonts w:ascii="Cambria" w:hAnsi="Cambria" w:cs="Cambria" w:eastAsia="Cambria"/>
                <w:color w:val="1A1A1A"/>
                <w:sz w:val="18"/>
              </w:rPr>
              <w:t xml:space="preserve">Copertura, adozione, fedeltà al modello</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8. Variabili di sintesi</w:t>
            </w:r>
          </w:p>
        </w:tc>
        <w:tc>
          <w:tcPr>
            <w:shd w:val="clear" w:color="auto" w:fill="F4F1EC"/>
          </w:tcPr>
          <w:p>
            <w:pPr>
              <w:pStyle w:val="Compact"/>
              <w:spacing w:after="40" w:before="40"/>
              <w:jc w:val="left"/>
            </w:pPr>
            <w:r>
              <w:rPr>
                <w:rFonts w:ascii="Cambria" w:hAnsi="Cambria" w:cs="Cambria" w:eastAsia="Cambria"/>
                <w:color w:val="1A1A1A"/>
                <w:sz w:val="18"/>
              </w:rPr>
              <w:t xml:space="preserve">Indicatori compositi</w:t>
            </w:r>
          </w:p>
        </w:tc>
        <w:tc>
          <w:tcPr>
            <w:shd w:val="clear" w:color="auto" w:fill="F4F1EC"/>
          </w:tcPr>
          <w:p>
            <w:pPr>
              <w:pStyle w:val="Compact"/>
              <w:spacing w:after="40" w:before="40"/>
              <w:jc w:val="left"/>
            </w:pPr>
            <w:r>
              <w:rPr>
                <w:rFonts w:ascii="Cambria" w:hAnsi="Cambria" w:cs="Cambria" w:eastAsia="Cambria"/>
                <w:color w:val="1A1A1A"/>
                <w:sz w:val="18"/>
              </w:rPr>
              <w:t xml:space="preserve">Da calcolare</w:t>
            </w:r>
          </w:p>
        </w:tc>
      </w:tr>
    </w:tbl>
    <w:p>
      <w:pPr>
        <w:pStyle w:val="BodyText"/>
      </w:pPr>
      <w:r>
        <w:rPr>
          <w:i/>
          <w:iCs/>
        </w:rPr>
        <w:t xml:space="preserve">Tabella L.1. Le otto categorie di indicatori e lo stato della baseline; la quota da rilevare è ampia, ma progettabile fin dall</w:t>
      </w:r>
      <w:r>
        <w:rPr>
          <w:b/>
          <w:bCs/>
          <w:i/>
          <w:iCs/>
        </w:rPr>
        <w:t xml:space="preserve">’</w:t>
      </w:r>
      <w:r>
        <w:rPr>
          <w:i/>
          <w:iCs/>
        </w:rPr>
        <w:t xml:space="preserve">avvio.</w:t>
      </w:r>
    </w:p>
    <w:bookmarkEnd w:id="611"/>
    <w:bookmarkStart w:id="4239" w:name="X1763455bdef556e6bf36482cf8481d77db9308e"/>
    <w:p>
      <w:pPr>
        <w:pStyle w:val="Heading3"/>
      </w:pPr>
      <w:r>
        <w:t xml:space="preserve">L.2 Il protocollo di rilevazione e gli strumenti di esito</w:t>
      </w:r>
    </w:p>
    <w:p>
      <w:pPr>
        <w:pStyle w:val="FirstParagraph"/>
      </w:pPr>
      <w:r>
        <w:t xml:space="preserve">Il protocollo minimo di rilevazione è attivo dal primo giorno e registra la presa in carico, ogni seduta, i punteggi di esito raccolti a ogni incontro, gli invii e le restituzioni; è deliberatamente essenziale per non gravare sull’attività clinica, e in Liguria, poiché la sperimentazione è appena avviata, può essere disegnato fin dall’inizio in forma completa e uniforme, anziché strutturare a posteriori una rilevazione già in corso.</w:t>
      </w:r>
      <w:r>
        <w:rPr>
          <w:rStyle w:val="FootnoteReference"/>
        </w:rPr>
        <w:footnoteReference w:id="1572"/>
      </w:r>
      <w:r>
        <w:t xml:space="preserve"> </w:t>
      </w:r>
      <w:r>
        <w:t xml:space="preserve">Gli strumenti di esito sono i questionari validati e di uso internazionale già richiamati — il PHQ-9, con punteggio da 0 a 27, soglia di rilevanza clinica intorno a 10 e cambiamento affidabile dell’ordine di 6 punti, e il GAD-7 per l’ansia — impiegati nei soli punteggi complessivi.</w:t>
      </w:r>
      <w:r>
        <w:rPr>
          <w:rStyle w:val="FootnoteReference"/>
        </w:rPr>
        <w:footnoteReference w:id="1573"/>
      </w:r>
      <w:r>
        <w:t xml:space="preserve"> </w:t>
      </w:r>
      <w:r>
        <w:t xml:space="preserve">La raccolta delle misure a ogni seduta, secondo il modello inglese, consente di calcolare il tasso di recupero e il miglioramento affidabile e di non protrarre percorsi inefficaci.</w:t>
      </w:r>
      <w:r>
        <w:rPr>
          <w:rStyle w:val="FootnoteReference"/>
        </w:rPr>
        <w:footnoteReference w:id="1574"/>
      </w:r>
    </w:p>
    <w:bookmarkEnd w:id="4239"/>
    <w:bookmarkStart w:id="4240" w:name="X31211c05a0149e17dd289d8d68316612b1399e8"/>
    <w:p>
      <w:pPr>
        <w:pStyle w:val="Heading3"/>
      </w:pPr>
      <w:r>
        <w:t xml:space="preserve">L.3 La costituzione della baseline e il calendario</w:t>
      </w:r>
    </w:p>
    <w:p>
      <w:pPr>
        <w:pStyle w:val="FirstParagraph"/>
      </w:pPr>
      <w:r>
        <w:t xml:space="preserve">La baseline si costituisce su due binari. Gli indicatori già disponibili dalle statistiche correnti — demografici, epidemiologici, di benessere, di mortalità — forniscono la fotografia del prima; e poiché in Liguria il servizio si dispiega essenzialmente dall’inizio, il periodo anteriore all’attivazione costituisce per tutte le cinque Aziende una base di confronto particolarmente pulita, completata dalla rilevazione strutturata di servizio.</w:t>
      </w:r>
      <w:r>
        <w:rPr>
          <w:rStyle w:val="FootnoteReference"/>
        </w:rPr>
        <w:footnoteReference w:id="1575"/>
      </w:r>
      <w:r>
        <w:t xml:space="preserve"> </w:t>
      </w:r>
      <w:r>
        <w:t xml:space="preserve">Il calendario prevede la costituzione della baseline con i dati disponibili e con il periodo pre-attivazione, la registrazione corrente, la trasmissione di indicatori aggregati al comitato di indirizzo regionale e all’Osservatorio con cadenza mensile, e il calcolo periodico delle misure di sintesi con aggiornamento del cruscotto regionale.</w:t>
      </w:r>
      <w:r>
        <w:rPr>
          <w:rStyle w:val="FootnoteReference"/>
        </w:rPr>
        <w:footnoteReference w:id="1576"/>
      </w:r>
    </w:p>
    <w:bookmarkEnd w:id="4240"/>
    <w:bookmarkStart w:id="623" w:name="Xc9b29f077e763e21e40d60776ba25015983e42e"/>
    <w:p>
      <w:pPr>
        <w:pStyle w:val="Heading3"/>
      </w:pPr>
      <w:r>
        <w:t xml:space="preserve">L.4 La valutazione controfattuale d’impatto</w:t>
      </w:r>
    </w:p>
    <w:p>
      <w:pPr>
        <w:pStyle w:val="FirstParagraph"/>
      </w:pPr>
      <w:r>
        <w:t xml:space="preserve">Il cuore metodologico della parte è la valutazione controfattuale d’impatto, che misura l’effetto causale dell’intervento confrontando gli esiti dei trattati con ciò che sarebbe accaduto in loro assenza. È qui che la Liguria gode della condizione più favorevole dell’intera serie: poiché la sperimentazione è appena avviata e si dispiega progressivamente tra le cinque Aziende e i loro distretti, lo strumento è un vero disegno a cunei progressivi pianificato prospetticamente, nel quale l’ordine e i tempi di attivazione delle sedi sono stabiliti in anticipo a fini valutativi, e non ricostruiti a posteriori.</w:t>
      </w:r>
      <w:r>
        <w:rPr>
          <w:rStyle w:val="FootnoteReference"/>
        </w:rPr>
        <w:footnoteReference w:id="1577"/>
      </w:r>
      <w:r>
        <w:t xml:space="preserve"> </w:t>
      </w:r>
      <w:r>
        <w:t xml:space="preserve">L’analisi impiega la differenza-nelle-differenze, che confronta la variazione nel tempo dell’esito tra le sedi attivate prima e quelle attivate dopo, sotto l’ipotesi di andamento parallelo, affiancata dal controllo sintetico, che costruisce un’unità di confronto artificiale come combinazione ponderata delle sedi non ancora attivate.</w:t>
      </w:r>
      <w:r>
        <w:rPr>
          <w:rStyle w:val="FootnoteReference"/>
        </w:rPr>
        <w:footnoteReference w:id="1578"/>
      </w:r>
      <w:r>
        <w:t xml:space="preserve"> </w:t>
      </w:r>
      <w:r>
        <w:t xml:space="preserve">L’analisi restituisce l’effetto medio sull’intera popolazione e quello sui soli trattati; i disegni a cunei progressivi sono lo strumento raccomandato dalla letteratura per gli interventi di salute della popolazione, e la loro pianificazione prospettica ne accresce la validità interna.</w:t>
      </w:r>
      <w:r>
        <w:rPr>
          <w:rStyle w:val="FootnoteReference"/>
        </w:rPr>
        <w:footnoteReference w:id="1579"/>
      </w:r>
      <w:r>
        <w:t xml:space="preserve"> </w:t>
      </w:r>
      <w:r>
        <w:t xml:space="preserve">Concretamente, confrontando l’andamento degli accessi al pronto soccorso per cause psichiatriche — particolarmente elevati in Liguria — nelle sedi attivate per prime con quello delle sedi attivate più tardi, si isola l’effetto proprio della riforma e si trasforma la stima dei risparmi da proiezione attesa a misura empiricamente fondata sui dati liguri.</w:t>
      </w:r>
      <w:r>
        <w:rPr>
          <w:rStyle w:val="FootnoteReference"/>
        </w:rPr>
        <w:footnoteReference w:id="1580"/>
      </w:r>
    </w:p>
    <w:bookmarkEnd w:id="623"/>
    <w:bookmarkStart w:id="629" w:name="X9d3dad09078302e763ceaf49992814a57145ad0"/>
    <w:p>
      <w:pPr>
        <w:pStyle w:val="Heading3"/>
      </w:pPr>
      <w:r>
        <w:t xml:space="preserve">L.5 La verifica ex post e gli indicatori compositi</w:t>
      </w:r>
    </w:p>
    <w:p>
      <w:pPr>
        <w:pStyle w:val="FirstParagraph"/>
      </w:pPr>
      <w:r>
        <w:t xml:space="preserve">Il ciclo valutativo si chiude con la verifica ex post. Sul piano nazionale, la verifica dell’impatto della regolamentazione è una valutazione ex post, di norma dopo un biennio, dell’efficacia, dell’efficienza e dell’attuazione della norma.</w:t>
      </w:r>
      <w:r>
        <w:rPr>
          <w:rStyle w:val="FootnoteReference"/>
        </w:rPr>
        <w:footnoteReference w:id="1581"/>
      </w:r>
      <w:r>
        <w:t xml:space="preserve"> </w:t>
      </w:r>
      <w:r>
        <w:t xml:space="preserve">Sul piano regionale, la clausola valutativa impegna la Giunta a riferire periodicamente al Consiglio regionale; in Liguria, dove il servizio è già istituito dalla legge regionale 20 del 2023 e dove la legge stessa prevede un Osservatorio, tale clausola si innesta su una base legislativa già esistente e lega la misurazione tecnica alla responsabilità politica e alla trasparenza verso il legislatore.</w:t>
      </w:r>
      <w:r>
        <w:rPr>
          <w:rStyle w:val="FootnoteReference"/>
        </w:rPr>
        <w:footnoteReference w:id="1582"/>
      </w:r>
      <w:r>
        <w:t xml:space="preserve"> </w:t>
      </w:r>
      <w:r>
        <w:t xml:space="preserve">Le misure di sintesi sono costruite secondo il manuale internazionale per gli indicatori compositi, che ne articola in dieci passi la costruzione e la validazione,</w:t>
      </w:r>
      <w:r>
        <w:rPr>
          <w:rStyle w:val="FootnoteReference"/>
        </w:rPr>
        <w:footnoteReference w:id="1583"/>
      </w:r>
      <w:r>
        <w:t xml:space="preserve"> </w:t>
      </w:r>
      <w:r>
        <w:t xml:space="preserve">sull’esempio istituzionale degli indicatori di benessere equo e sostenibile entrati nel ciclo della programmazione economica.</w:t>
      </w:r>
      <w:r>
        <w:rPr>
          <w:rStyle w:val="FootnoteReference"/>
        </w:rPr>
        <w:footnoteReference w:id="1584"/>
      </w:r>
      <w:r>
        <w:t xml:space="preserve"> </w:t>
      </w:r>
      <w:r>
        <w:t xml:space="preserve">A garanzia della coerenza, il divieto di doppia contabilizzazione impone che ogni grandezza sia conteggiata una sola volta, segnatamente nella separazione tra risparmi diretti e ricadute sociali adottata nella Parte E.</w:t>
      </w:r>
      <w:r>
        <w:rPr>
          <w:rStyle w:val="FootnoteReference"/>
        </w:rPr>
        <w:footnoteReference w:id="1585"/>
      </w:r>
      <w:r>
        <w:t xml:space="preserve"> </w:t>
      </w:r>
      <w:r>
        <w:t xml:space="preserve">Definito il sistema di monitoraggio e valutazione, la parte conclusiva ricompone l’intera analisi e formula le raccomandazioni operative.</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Ricomposizione secondo i criteri OCSE-DAC, analisi multi-criterio, cruscotto decisionale, raccomandazioni e limiti</w:t>
      </w:r>
    </w:p>
    <w:p>
      <w:pPr>
        <w:pStyle w:val="BodyText"/>
      </w:pPr>
      <w:r>
        <w:t xml:space="preserve">Sintesi conclusiva · la griglia di giudizio e il caso strategico</w:t>
      </w:r>
    </w:p>
    <w:bookmarkEnd w:id="629"/>
    <w:bookmarkEnd w:id="4238"/>
    <w:bookmarkStart w:id="666" w:name="X38a1f0086c5fe455a4b8d436dc12b63c57e52d8"/>
    <w:p>
      <w:pPr>
        <w:pStyle w:val="Heading2"/>
      </w:pPr>
      <w:r>
        <w:t xml:space="preserve">Parte M — Sintesi multidimensionale e raccomandazioni</w:t>
      </w:r>
    </w:p>
    <w:p>
      <w:pPr>
        <w:pStyle w:val="FirstParagraph"/>
      </w:pPr>
      <w:r>
        <w:t xml:space="preserve">Questa parte conclusiva ricompone l’intera analisi applicando la griglia di giudizio del telaio — i criteri dell’OCSE-DAC — e fornisce il contenuto del caso strategico del Five Case Model.</w:t>
      </w:r>
      <w:r>
        <w:rPr>
          <w:rStyle w:val="FootnoteReference"/>
        </w:rPr>
        <w:footnoteReference w:id="1586"/>
      </w:r>
      <w:r>
        <w:rPr>
          <w:rStyle w:val="FootnoteReference"/>
        </w:rPr>
        <w:footnoteReference w:id="1587"/>
      </w:r>
      <w:r>
        <w:rPr>
          <w:rStyle w:val="FootnoteReference"/>
        </w:rPr>
        <w:footnoteReference w:id="1588"/>
      </w:r>
      <w:r>
        <w:rPr>
          <w:rStyle w:val="FootnoteReference"/>
        </w:rPr>
        <w:footnoteReference w:id="1589"/>
      </w:r>
      <w:r>
        <w:rPr>
          <w:rStyle w:val="FootnoteReference"/>
        </w:rPr>
        <w:footnoteReference w:id="1590"/>
      </w:r>
      <w:r>
        <w:rPr>
          <w:rStyle w:val="FootnoteReference"/>
        </w:rPr>
        <w:footnoteReference w:id="1591"/>
      </w:r>
      <w:r>
        <w:rPr>
          <w:rStyle w:val="FootnoteReference"/>
        </w:rPr>
        <w:footnoteReference w:id="1592"/>
      </w:r>
      <w:r>
        <w:rPr>
          <w:rStyle w:val="FootnoteReference"/>
        </w:rPr>
        <w:footnoteReference w:id="1593"/>
      </w:r>
      <w:r>
        <w:rPr>
          <w:rStyle w:val="FootnoteReference"/>
        </w:rPr>
        <w:footnoteReference w:id="1594"/>
      </w:r>
      <w:r>
        <w:rPr>
          <w:rStyle w:val="FootnoteReference"/>
        </w:rPr>
        <w:footnoteReference w:id="1595"/>
      </w:r>
      <w:r>
        <w:rPr>
          <w:rStyle w:val="FootnoteReference"/>
        </w:rPr>
        <w:footnoteReference w:id="1596"/>
      </w:r>
      <w:r>
        <w:rPr>
          <w:rStyle w:val="FootnoteReference"/>
        </w:rPr>
        <w:footnoteReference w:id="1597"/>
      </w:r>
      <w:r>
        <w:rPr>
          <w:rStyle w:val="FootnoteReference"/>
        </w:rPr>
        <w:footnoteReference w:id="1598"/>
      </w:r>
      <w:r>
        <w:rPr>
          <w:rStyle w:val="FootnoteReference"/>
        </w:rPr>
        <w:footnoteReference w:id="1599"/>
      </w:r>
      <w:r>
        <w:rPr>
          <w:rStyle w:val="FootnoteReference"/>
        </w:rPr>
        <w:footnoteReference w:id="1600"/>
      </w:r>
      <w:r>
        <w:rPr>
          <w:rStyle w:val="FootnoteReference"/>
        </w:rPr>
        <w:footnoteReference w:id="1601"/>
      </w:r>
      <w:r>
        <w:t xml:space="preserve"> </w:t>
      </w:r>
      <w:r>
        <w:t xml:space="preserve">La parte ricompone l’intervento secondo i sei criteri dell’OCSE-DAC (capitolo M.1); ne formalizza il bilanciamento con l’analisi multi-criterio (M.2); ne sintetizza il risultato nel cruscotto decisionale e nella raccomandazione centrale (M.3); e ne dichiara i limiti, le cautele e l’agenda di ricerca (M.4). Nel chiudere lo studio della Liguria, la parte ne ribadisce il tratto specifico, che la distingue dalle sei regioni già esaminate: un servizio già istituito da una legge regionale dedicata, la cui sperimentazione è però appena avviata e va condotta a regime e dimensionata.</w:t>
      </w:r>
    </w:p>
    <w:bookmarkStart w:id="4241" w:name="Xd4ee8a745629cd094b581a1e36b28ab2ec8a84a"/>
    <w:p>
      <w:pPr>
        <w:pStyle w:val="Heading3"/>
      </w:pPr>
      <w:r>
        <w:t xml:space="preserve">M.1 La ricomposizione secondo i criteri OCSE-DAC</w:t>
      </w:r>
    </w:p>
    <w:p>
      <w:pPr>
        <w:pStyle w:val="FirstParagraph"/>
      </w:pPr>
      <w:r>
        <w:t xml:space="preserve">I criteri internazionali di valutazione, riveduti nel 2019, offrono sei lenti complementari per un giudizio complessivo: rilevanza, coerenza, efficacia, efficienza, impatto e sostenibilità.</w:t>
      </w:r>
      <w:r>
        <w:rPr>
          <w:rStyle w:val="FootnoteReference"/>
        </w:rPr>
        <w:footnoteReference w:id="1602"/>
      </w:r>
      <w:r>
        <w:t xml:space="preserve"> </w:t>
      </w:r>
      <w:r>
        <w:t xml:space="preserve">Applicate alla Liguria, esse convergono in un giudizio coerente. L’intervento è rilevante, poiché risponde a un bisogno reale e ampio — dell’ordine di 300.000 persone con disagio comune in larga parte inevaso, nella regione con la più alta prevalenza nazionale di utenti dei servizi di salute mentale.</w:t>
      </w:r>
      <w:r>
        <w:rPr>
          <w:rStyle w:val="FootnoteReference"/>
        </w:rPr>
        <w:footnoteReference w:id="1603"/>
      </w:r>
      <w:r>
        <w:t xml:space="preserve"> </w:t>
      </w:r>
      <w:r>
        <w:t xml:space="preserve">È coerente con gli standard dell’assistenza territoriale, con la Missione 6 del PNRR e con la legge regionale che già ne ha istituito la funzione, ed è costituzionalmente difendibile entro i confini tracciati dal giudice delle leggi.</w:t>
      </w:r>
      <w:r>
        <w:rPr>
          <w:rStyle w:val="FootnoteReference"/>
        </w:rPr>
        <w:footnoteReference w:id="1604"/>
      </w:r>
      <w:r>
        <w:t xml:space="preserve"> </w:t>
      </w:r>
      <w:r>
        <w:t xml:space="preserve">È efficace secondo l’evidenza internazionale, con la riserva, dichiarata, che la Liguria non dispone ancora di dati di esito propri e poggia perciò sui benchmark e sul disegno prospettico.</w:t>
      </w:r>
      <w:r>
        <w:rPr>
          <w:rStyle w:val="FootnoteReference"/>
        </w:rPr>
        <w:footnoteReference w:id="1605"/>
      </w:r>
      <w:r>
        <w:t xml:space="preserve"> </w:t>
      </w:r>
      <w:r>
        <w:t xml:space="preserve">È efficiente in termini di costo-utilità, con dominanza per paziente, a fronte di un saldo diretto lievemente negativo di entità modesta rispetto al finanziamento regionale.</w:t>
      </w:r>
      <w:r>
        <w:rPr>
          <w:rStyle w:val="FootnoteReference"/>
        </w:rPr>
        <w:footnoteReference w:id="1606"/>
      </w:r>
      <w:r>
        <w:t xml:space="preserve"> </w:t>
      </w:r>
      <w:r>
        <w:t xml:space="preserve">Ha un impatto distributivo favorevole, concentrando i benefici dove l’accesso è più difficile e riducendo il gradiente territoriale, con un ritorno complessivo di 3,8–5,5 a uno.</w:t>
      </w:r>
      <w:r>
        <w:rPr>
          <w:rStyle w:val="FootnoteReference"/>
        </w:rPr>
        <w:footnoteReference w:id="1607"/>
      </w:r>
      <w:r>
        <w:t xml:space="preserve"> </w:t>
      </w:r>
      <w:r>
        <w:t xml:space="preserve">È, infine, sostenibile, con la precisazione che la leva decisiva non è la legge, già vigente, né la maturità operativa, ancora da costruire, ma la conduzione a regime con un rapporto convenzionale stabile.</w:t>
      </w:r>
      <w:r>
        <w:rPr>
          <w:rStyle w:val="FootnoteReference"/>
        </w:rPr>
        <w:footnoteReference w:id="1608"/>
      </w:r>
      <w:r>
        <w:t xml:space="preserve"> </w:t>
      </w:r>
      <w:r>
        <w:t xml:space="preserve">La tabella seguente sintetizza il giudizio per criterio.</w:t>
      </w:r>
    </w:p>
    <w:tbl>
      <w:tblPr>
        <w:tblStyle w:val="Table"/>
        <w:tblW w:type="pct" w:w="493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301"/>
        <w:gridCol w:w="1735"/>
        <w:gridCol w:w="47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w:t>
            </w:r>
          </w:p>
        </w:tc>
        <w:tc>
          <w:tcPr>
            <w:shd w:val="clear" w:color="auto" w:fill="16264B"/>
          </w:tcPr>
          <w:p>
            <w:pPr>
              <w:pStyle w:val="Compact"/>
              <w:spacing w:after="40" w:before="40"/>
              <w:jc w:val="left"/>
            </w:pPr>
            <w:r>
              <w:rPr>
                <w:rFonts w:ascii="Cambria" w:hAnsi="Cambria" w:cs="Cambria" w:eastAsia="Cambria"/>
                <w:b/>
                <w:bCs/>
                <w:color w:val="FFFFFF"/>
                <w:sz w:val="18"/>
              </w:rPr>
              <w:t xml:space="preserve">Motivazione sintetica per la Liguria</w:t>
            </w:r>
          </w:p>
        </w:tc>
      </w:tr>
      <w:tr>
        <w:tc>
          <w:tcPr/>
          <w:p>
            <w:pPr>
              <w:pStyle w:val="Compact"/>
              <w:spacing w:after="40" w:before="40"/>
              <w:jc w:val="left"/>
            </w:pPr>
            <w:r>
              <w:rPr>
                <w:rFonts w:ascii="Cambria" w:hAnsi="Cambria" w:cs="Cambria" w:eastAsia="Cambria"/>
                <w:b/>
                <w:bCs/>
                <w:color w:val="1A1A1A"/>
                <w:sz w:val="18"/>
              </w:rPr>
              <w:t xml:space="preserve">Rilevanza</w:t>
            </w:r>
          </w:p>
        </w:tc>
        <w:tc>
          <w:tcPr/>
          <w:p>
            <w:pPr>
              <w:pStyle w:val="Compact"/>
              <w:spacing w:after="40" w:before="40"/>
              <w:jc w:val="left"/>
            </w:pPr>
            <w:r>
              <w:rPr>
                <w:rFonts w:ascii="Cambria" w:hAnsi="Cambria" w:cs="Cambria" w:eastAsia="Cambria"/>
                <w:color w:val="1A1A1A"/>
                <w:sz w:val="18"/>
              </w:rPr>
              <w:t xml:space="preserve">Alta</w:t>
            </w:r>
          </w:p>
        </w:tc>
        <w:tc>
          <w:tcPr/>
          <w:p>
            <w:pPr>
              <w:pStyle w:val="Compact"/>
              <w:spacing w:after="40" w:before="40"/>
              <w:jc w:val="left"/>
            </w:pPr>
            <w:r>
              <w:rPr>
                <w:rFonts w:ascii="Cambria" w:hAnsi="Cambria" w:cs="Cambria" w:eastAsia="Cambria"/>
                <w:color w:val="1A1A1A"/>
                <w:sz w:val="18"/>
              </w:rPr>
              <w:t xml:space="preserve">Bisogno ampio (~300.000); più alta domanda nazionale; obbligo dei livelli essenziali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w:t>
            </w:r>
          </w:p>
        </w:tc>
        <w:tc>
          <w:tcPr>
            <w:shd w:val="clear" w:color="auto" w:fill="F4F1EC"/>
          </w:tcPr>
          <w:p>
            <w:pPr>
              <w:pStyle w:val="Compact"/>
              <w:spacing w:after="40" w:before="40"/>
              <w:jc w:val="left"/>
            </w:pPr>
            <w:r>
              <w:rPr>
                <w:rFonts w:ascii="Cambria" w:hAnsi="Cambria" w:cs="Cambria" w:eastAsia="Cambria"/>
                <w:color w:val="1A1A1A"/>
                <w:sz w:val="18"/>
              </w:rPr>
              <w:t xml:space="preserve">Alta</w:t>
            </w:r>
          </w:p>
        </w:tc>
        <w:tc>
          <w:tcPr>
            <w:shd w:val="clear" w:color="auto" w:fill="F4F1EC"/>
          </w:tcPr>
          <w:p>
            <w:pPr>
              <w:pStyle w:val="Compact"/>
              <w:spacing w:after="40" w:before="40"/>
              <w:jc w:val="left"/>
            </w:pPr>
            <w:r>
              <w:rPr>
                <w:rFonts w:ascii="Cambria" w:hAnsi="Cambria" w:cs="Cambria" w:eastAsia="Cambria"/>
                <w:color w:val="1A1A1A"/>
                <w:sz w:val="18"/>
              </w:rPr>
              <w:t xml:space="preserve">Coerente con DM 77, PNRR e L.R. 20/2023; difendibile entro i confini costituzionali</w:t>
            </w:r>
          </w:p>
        </w:tc>
      </w:tr>
      <w:tr>
        <w:tc>
          <w:tcPr/>
          <w:p>
            <w:pPr>
              <w:pStyle w:val="Compact"/>
              <w:spacing w:after="40" w:before="40"/>
              <w:jc w:val="left"/>
            </w:pPr>
            <w:r>
              <w:rPr>
                <w:rFonts w:ascii="Cambria" w:hAnsi="Cambria" w:cs="Cambria" w:eastAsia="Cambria"/>
                <w:b/>
                <w:bCs/>
                <w:color w:val="1A1A1A"/>
                <w:sz w:val="18"/>
              </w:rPr>
              <w:t xml:space="preserve">Efficacia</w:t>
            </w:r>
          </w:p>
        </w:tc>
        <w:tc>
          <w:tcPr/>
          <w:p>
            <w:pPr>
              <w:pStyle w:val="Compact"/>
              <w:spacing w:after="40" w:before="40"/>
              <w:jc w:val="left"/>
            </w:pPr>
            <w:r>
              <w:rPr>
                <w:rFonts w:ascii="Cambria" w:hAnsi="Cambria" w:cs="Cambria" w:eastAsia="Cambria"/>
                <w:color w:val="1A1A1A"/>
                <w:sz w:val="18"/>
              </w:rPr>
              <w:t xml:space="preserve">Da confermare sui dati locali</w:t>
            </w:r>
          </w:p>
        </w:tc>
        <w:tc>
          <w:tcPr/>
          <w:p>
            <w:pPr>
              <w:pStyle w:val="Compact"/>
              <w:spacing w:after="40" w:before="40"/>
              <w:jc w:val="left"/>
            </w:pPr>
            <w:r>
              <w:rPr>
                <w:rFonts w:ascii="Cambria" w:hAnsi="Cambria" w:cs="Cambria" w:eastAsia="Cambria"/>
                <w:color w:val="1A1A1A"/>
                <w:sz w:val="18"/>
              </w:rPr>
              <w:t xml:space="preserve">Evidenza internazionale solida (recupero ~50%); dati propri non ancora disponibili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Efficienza</w:t>
            </w:r>
          </w:p>
        </w:tc>
        <w:tc>
          <w:tcPr>
            <w:shd w:val="clear" w:color="auto" w:fill="F4F1EC"/>
          </w:tcPr>
          <w:p>
            <w:pPr>
              <w:pStyle w:val="Compact"/>
              <w:spacing w:after="40" w:before="40"/>
              <w:jc w:val="left"/>
            </w:pPr>
            <w:r>
              <w:rPr>
                <w:rFonts w:ascii="Cambria" w:hAnsi="Cambria" w:cs="Cambria" w:eastAsia="Cambria"/>
                <w:color w:val="1A1A1A"/>
                <w:sz w:val="18"/>
              </w:rPr>
              <w:t xml:space="preserve">Elevata (allocativa)</w:t>
            </w:r>
          </w:p>
        </w:tc>
        <w:tc>
          <w:tcPr>
            <w:shd w:val="clear" w:color="auto" w:fill="F4F1EC"/>
          </w:tcPr>
          <w:p>
            <w:pPr>
              <w:pStyle w:val="Compact"/>
              <w:spacing w:after="40" w:before="40"/>
              <w:jc w:val="left"/>
            </w:pPr>
            <w:r>
              <w:rPr>
                <w:rFonts w:ascii="Cambria" w:hAnsi="Cambria" w:cs="Cambria" w:eastAsia="Cambria"/>
                <w:color w:val="1A1A1A"/>
                <w:sz w:val="18"/>
              </w:rPr>
              <w:t xml:space="preserve">Dominanza per paziente; saldo diretto lievemente negativo</w:t>
            </w:r>
          </w:p>
        </w:tc>
      </w:tr>
      <w:tr>
        <w:tc>
          <w:tcPr/>
          <w:p>
            <w:pPr>
              <w:pStyle w:val="Compact"/>
              <w:spacing w:after="40" w:before="40"/>
              <w:jc w:val="left"/>
            </w:pPr>
            <w:r>
              <w:rPr>
                <w:rFonts w:ascii="Cambria" w:hAnsi="Cambria" w:cs="Cambria" w:eastAsia="Cambria"/>
                <w:b/>
                <w:bCs/>
                <w:color w:val="1A1A1A"/>
                <w:sz w:val="18"/>
              </w:rPr>
              <w:t xml:space="preserve">Impatto</w:t>
            </w:r>
          </w:p>
        </w:tc>
        <w:tc>
          <w:tcPr/>
          <w:p>
            <w:pPr>
              <w:pStyle w:val="Compact"/>
              <w:spacing w:after="40" w:before="40"/>
              <w:jc w:val="left"/>
            </w:pPr>
            <w:r>
              <w:rPr>
                <w:rFonts w:ascii="Cambria" w:hAnsi="Cambria" w:cs="Cambria" w:eastAsia="Cambria"/>
                <w:color w:val="1A1A1A"/>
                <w:sz w:val="18"/>
              </w:rPr>
              <w:t xml:space="preserve">Favorevole</w:t>
            </w:r>
          </w:p>
        </w:tc>
        <w:tc>
          <w:tcPr/>
          <w:p>
            <w:pPr>
              <w:pStyle w:val="Compact"/>
              <w:spacing w:after="40" w:before="40"/>
              <w:jc w:val="left"/>
            </w:pPr>
            <w:r>
              <w:rPr>
                <w:rFonts w:ascii="Cambria" w:hAnsi="Cambria" w:cs="Cambria" w:eastAsia="Cambria"/>
                <w:color w:val="1A1A1A"/>
                <w:sz w:val="18"/>
              </w:rPr>
              <w:t xml:space="preserve">Benefici sui più svantaggiati nell’accesso; ritorno 3,8–5,5 a uno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Sostenibilità</w:t>
            </w:r>
          </w:p>
        </w:tc>
        <w:tc>
          <w:tcPr>
            <w:shd w:val="clear" w:color="auto" w:fill="F4F1EC"/>
          </w:tcPr>
          <w:p>
            <w:pPr>
              <w:pStyle w:val="Compact"/>
              <w:spacing w:after="40" w:before="40"/>
              <w:jc w:val="left"/>
            </w:pPr>
            <w:r>
              <w:rPr>
                <w:rFonts w:ascii="Cambria" w:hAnsi="Cambria" w:cs="Cambria" w:eastAsia="Cambria"/>
                <w:color w:val="1A1A1A"/>
                <w:sz w:val="18"/>
              </w:rPr>
              <w:t xml:space="preserve">Buona, condizionata</w:t>
            </w:r>
          </w:p>
        </w:tc>
        <w:tc>
          <w:tcPr>
            <w:shd w:val="clear" w:color="auto" w:fill="F4F1EC"/>
          </w:tcPr>
          <w:p>
            <w:pPr>
              <w:pStyle w:val="Compact"/>
              <w:spacing w:after="40" w:before="40"/>
              <w:jc w:val="left"/>
            </w:pPr>
            <w:r>
              <w:rPr>
                <w:rFonts w:ascii="Cambria" w:hAnsi="Cambria" w:cs="Cambria" w:eastAsia="Cambria"/>
                <w:color w:val="1A1A1A"/>
                <w:sz w:val="18"/>
              </w:rPr>
              <w:t xml:space="preserve">Costo modesto; leva = strutturazione a regime e rapporto convenzionale stabile</w:t>
            </w:r>
          </w:p>
        </w:tc>
      </w:tr>
    </w:tbl>
    <w:p>
      <w:pPr>
        <w:pStyle w:val="BodyText"/>
      </w:pPr>
      <w:r>
        <w:rPr>
          <w:i/>
          <w:iCs/>
        </w:rPr>
        <w:t xml:space="preserve">Tabella M.1. La ricomposizione dell</w:t>
      </w:r>
      <w:r>
        <w:rPr>
          <w:b/>
          <w:bCs/>
          <w:i/>
          <w:iCs/>
        </w:rPr>
        <w:t xml:space="preserve">’</w:t>
      </w:r>
      <w:r>
        <w:rPr>
          <w:i/>
          <w:iCs/>
        </w:rPr>
        <w:t xml:space="preserve">intervento secondo i sei criteri di valutazione OCSE-DAC.</w:t>
      </w:r>
    </w:p>
    <w:bookmarkEnd w:id="4241"/>
    <w:bookmarkStart w:id="657" w:name="m.2-lanalisi-multi-criterio-1"/>
    <w:p>
      <w:pPr>
        <w:pStyle w:val="Heading3"/>
      </w:pPr>
      <w:r>
        <w:t xml:space="preserve">M.2 L’analisi multi-criterio</w:t>
      </w:r>
    </w:p>
    <w:p>
      <w:pPr>
        <w:pStyle w:val="FirstParagraph"/>
      </w:pPr>
      <w:r>
        <w:t xml:space="preserve">Per rendere esplicito il bilanciamento dei criteri non riducibili a denaro — l’equità, la fattibilità, la coerenza strategica, la robustezza dell’evidenza — lo studio impiega l’analisi multi-criterio, che attribuisce a ciascun criterio un peso e a ciascuna opzione un punteggio.</w:t>
      </w:r>
      <w:r>
        <w:rPr>
          <w:rStyle w:val="FootnoteReference"/>
        </w:rPr>
        <w:footnoteReference w:id="1609"/>
      </w:r>
      <w:r>
        <w:t xml:space="preserve"> </w:t>
      </w:r>
      <w:r>
        <w:t xml:space="preserve">Su otto criteri pesati, l’opzione di intervento ottiene un punteggio complessivo dell’ordine di 80,80 su 100 contro 39,25 dell’opzione di non intervento, e prevale su tutti i criteri tranne la fattibilità immediata. Rispetto alla Toscana, il risultato ligure presenta una differenza istruttiva: il sub-punteggio di fattibilità resta elevato, poiché la regione dispone già di una legge dedicata e di una sperimentazione avviata, mentre il sub-punteggio di robustezza dell’evidenza propria è più contenuto, non disponendo la Liguria di dati di esito già maturi; il risultato resta comunque stabile rispetto ai pesi adottati.</w:t>
      </w:r>
      <w:r>
        <w:rPr>
          <w:rStyle w:val="FootnoteReference"/>
        </w:rPr>
        <w:footnoteReference w:id="1610"/>
      </w:r>
      <w:r>
        <w:t xml:space="preserve"> </w:t>
      </w:r>
      <w:r>
        <w:t xml:space="preserve">La tabella seguente riporta i criteri, i pesi e i punteggi delle due opzioni.</w:t>
      </w:r>
    </w:p>
    <w:tbl>
      <w:tblPr>
        <w:tblStyle w:val="Table"/>
        <w:tblW w:type="pct" w:w="490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05"/>
        <w:gridCol w:w="1425"/>
        <w:gridCol w:w="1425"/>
        <w:gridCol w:w="150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Opzione zero</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r>
      <w:tr>
        <w:tc>
          <w:tcPr/>
          <w:p>
            <w:pPr>
              <w:pStyle w:val="Compact"/>
              <w:spacing w:after="40" w:before="40"/>
              <w:jc w:val="left"/>
            </w:pPr>
            <w:r>
              <w:rPr>
                <w:rFonts w:ascii="Cambria" w:hAnsi="Cambria" w:cs="Cambria" w:eastAsia="Cambria"/>
                <w:b/>
                <w:bCs/>
                <w:color w:val="1A1A1A"/>
                <w:sz w:val="18"/>
              </w:rPr>
              <w:t xml:space="preserve">Impatto sul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70</w:t>
            </w:r>
          </w:p>
        </w:tc>
        <w:tc>
          <w:tcPr/>
          <w:p>
            <w:pPr>
              <w:pStyle w:val="Compact"/>
              <w:spacing w:after="40" w:before="40"/>
              <w:jc w:val="left"/>
            </w:pPr>
            <w:r>
              <w:rPr>
                <w:rFonts w:ascii="Cambria" w:hAnsi="Cambria" w:cs="Cambria" w:eastAsia="Cambria"/>
                <w:color w:val="1A1A1A"/>
                <w:sz w:val="18"/>
              </w:rPr>
              <w:t xml:space="preserve">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88</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90</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80</w:t>
            </w:r>
          </w:p>
        </w:tc>
      </w:tr>
      <w:tr>
        <w:tc>
          <w:tcPr/>
          <w:p>
            <w:pPr>
              <w:pStyle w:val="Compact"/>
              <w:spacing w:after="40" w:before="40"/>
              <w:jc w:val="left"/>
            </w:pPr>
            <w:r>
              <w:rPr>
                <w:rFonts w:ascii="Cambria" w:hAnsi="Cambria" w:cs="Cambria" w:eastAsia="Cambria"/>
                <w:b/>
                <w:bCs/>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62</w:t>
            </w:r>
          </w:p>
        </w:tc>
        <w:tc>
          <w:tcPr/>
          <w:p>
            <w:pPr>
              <w:pStyle w:val="Compact"/>
              <w:spacing w:after="40" w:before="40"/>
              <w:jc w:val="left"/>
            </w:pPr>
            <w:r>
              <w:rPr>
                <w:rFonts w:ascii="Cambria" w:hAnsi="Cambria" w:cs="Cambria" w:eastAsia="Cambria"/>
                <w:color w:val="1A1A1A"/>
                <w:sz w:val="18"/>
              </w:rPr>
              <w:t xml:space="preserve">55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88</w:t>
            </w:r>
          </w:p>
        </w:tc>
        <w:tc>
          <w:tcPr>
            <w:shd w:val="clear" w:color="auto" w:fill="F4F1EC"/>
          </w:tcPr>
          <w:p>
            <w:pPr>
              <w:pStyle w:val="Compact"/>
              <w:spacing w:after="40" w:before="40"/>
              <w:jc w:val="left"/>
            </w:pPr>
            <w:r>
              <w:rPr>
                <w:rFonts w:ascii="Cambria" w:hAnsi="Cambria" w:cs="Cambria" w:eastAsia="Cambria"/>
                <w:color w:val="1A1A1A"/>
                <w:sz w:val="18"/>
              </w:rPr>
              <w:t xml:space="preserve">35</w:t>
            </w:r>
          </w:p>
        </w:tc>
      </w:tr>
      <w:tr>
        <w:tc>
          <w:tcPr/>
          <w:p>
            <w:pPr>
              <w:pStyle w:val="Compact"/>
              <w:spacing w:after="40" w:before="40"/>
              <w:jc w:val="left"/>
            </w:pPr>
            <w:r>
              <w:rPr>
                <w:rFonts w:ascii="Cambria" w:hAnsi="Cambria" w:cs="Cambria" w:eastAsia="Cambria"/>
                <w:b/>
                <w:bCs/>
                <w:color w:val="1A1A1A"/>
                <w:sz w:val="18"/>
              </w:rPr>
              <w:t xml:space="preserve">Punteggio complessivo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80,80</w:t>
            </w:r>
          </w:p>
        </w:tc>
        <w:tc>
          <w:tcPr/>
          <w:p>
            <w:pPr>
              <w:pStyle w:val="Compact"/>
              <w:spacing w:after="40" w:before="40"/>
              <w:jc w:val="left"/>
            </w:pPr>
            <w:r>
              <w:rPr>
                <w:rFonts w:ascii="Cambria" w:hAnsi="Cambria" w:cs="Cambria" w:eastAsia="Cambria"/>
                <w:color w:val="1A1A1A"/>
                <w:sz w:val="18"/>
              </w:rPr>
              <w:t xml:space="preserve">39,25</w:t>
            </w:r>
          </w:p>
        </w:tc>
      </w:tr>
    </w:tbl>
    <w:p>
      <w:pPr>
        <w:pStyle w:val="BodyText"/>
      </w:pPr>
      <w:r>
        <w:rPr>
          <w:i/>
          <w:iCs/>
        </w:rPr>
        <w:t xml:space="preserve">Tabella M.2. L</w:t>
      </w:r>
      <w:r>
        <w:rPr>
          <w:b/>
          <w:bCs/>
          <w:i/>
          <w:iCs/>
        </w:rPr>
        <w:t xml:space="preserve">‘******analisi multi-criterio: punteggi delle due opzioni; la robustezza dell******’</w:t>
      </w:r>
      <w:r>
        <w:rPr>
          <w:i/>
          <w:iCs/>
        </w:rPr>
        <w:t xml:space="preserve">evidenza propria è il criterio su cui la Liguria è oggi più esposta.</w:t>
      </w:r>
    </w:p>
    <w:bookmarkEnd w:id="657"/>
    <w:bookmarkStart w:id="4242" w:name="X795587c27b6fe9279ccf52c15fe71fb5bc336cf"/>
    <w:p>
      <w:pPr>
        <w:pStyle w:val="Heading3"/>
      </w:pPr>
      <w:r>
        <w:t xml:space="preserve">M.3 Il cruscotto decisionale e la raccomandazione</w:t>
      </w:r>
    </w:p>
    <w:p>
      <w:pPr>
        <w:pStyle w:val="FirstParagraph"/>
      </w:pPr>
      <w:r>
        <w:t xml:space="preserve">La sintesi per il decisore si lascia condensare in tre affermazioni. Il servizio costa al bilancio sanitario una cifra modesta e comporta un saldo diretto lievemente negativo, trascurabile rispetto a un finanziamento dell’ordine di 3,5 miliardi, pur con una salienza diretta non nulla nel contesto delle liste di attesa e della più alta domanda nazionale di salute mentale; il ritorno per la collettività è ampio, dell’ordine di 3,8–5,5 a uno; e il valore poggia quasi interamente sulle ricadute sociali.</w:t>
      </w:r>
      <w:r>
        <w:rPr>
          <w:rStyle w:val="FootnoteReference"/>
        </w:rPr>
        <w:footnoteReference w:id="1611"/>
      </w:r>
      <w:r>
        <w:t xml:space="preserve"> </w:t>
      </w:r>
      <w:r>
        <w:t xml:space="preserve">Da qui la raccomandazione centrale, che per la Liguria è netta: la decisione rilevante non è se introdurre la funzione, già istituita dalla legge regionale e avviata in via sperimentale, né se dotarla di una legge, già esistente, ma se condurla dall’avvio della sperimentazione alla strutturazione a regime, stabilizzando il rapporto convenzionale previsto dalla legge, e dimensionarla, portandola dalla copertura attuale, dell’ordine del tre-quattro per cento del fabbisogno, alla copertura sistematica, dell’ordine di 250 incarichi nello scenario di base e di 330 in quello espansivo.</w:t>
      </w:r>
      <w:r>
        <w:rPr>
          <w:rStyle w:val="FootnoteReference"/>
        </w:rPr>
        <w:footnoteReference w:id="1612"/>
      </w:r>
      <w:r>
        <w:t xml:space="preserve"> </w:t>
      </w:r>
      <w:r>
        <w:t xml:space="preserve">Letta lungo le cinque dimensioni dell’esito di salute, dell’esperienza, del costo, del benessere degli operatori e dell’equità, la sintesi del valore conferma un beneficio multidimensionale e non riducibile al solo saldo di bilancio.</w:t>
      </w:r>
      <w:r>
        <w:rPr>
          <w:rStyle w:val="FootnoteReference"/>
        </w:rPr>
        <w:footnoteReference w:id="1613"/>
      </w:r>
    </w:p>
    <w:bookmarkEnd w:id="4242"/>
    <w:bookmarkStart w:id="4243" w:name="X022eafed937ace88c5ee8a61d2ce1efdc8feabc"/>
    <w:p>
      <w:pPr>
        <w:pStyle w:val="Heading3"/>
      </w:pPr>
      <w:r>
        <w:t xml:space="preserve">M.4 I limiti, le cautele e l’agenda di ricerca</w:t>
      </w:r>
    </w:p>
    <w:p>
      <w:pPr>
        <w:pStyle w:val="FirstParagraph"/>
      </w:pPr>
      <w:r>
        <w:t xml:space="preserve">La credibilità dello studio richiede di dichiararne i limiti senza attenuazioni. Il limite principale attiene al radicamento nei dati: le grandezze economiche sono in parte ricostruite dai conti nazionali scalati per la quota di popolazione ligure, e non estratte dai conti regionali certificati delle cinque Aziende e degli IRCCS; tale sostituzione è la condizione per la presentazione agli organi di controllo, ed è in Liguria, a differenza della Toscana, ancora poco mitigata da dati operativi, poiché la sperimentazione è appena avviata.</w:t>
      </w:r>
      <w:r>
        <w:rPr>
          <w:rStyle w:val="FootnoteReference"/>
        </w:rPr>
        <w:footnoteReference w:id="1614"/>
      </w:r>
      <w:r>
        <w:t xml:space="preserve"> </w:t>
      </w:r>
      <w:r>
        <w:t xml:space="preserve">A ciò si aggiungono le cautele di trasferibilità e di fonte già richiamate, e il fatto che la cifra del ritorno è prudenziale e non ponderata per l’equità.</w:t>
      </w:r>
      <w:r>
        <w:rPr>
          <w:rStyle w:val="FootnoteReference"/>
        </w:rPr>
        <w:footnoteReference w:id="1615"/>
      </w:r>
      <w:r>
        <w:t xml:space="preserve"> </w:t>
      </w:r>
      <w:r>
        <w:t xml:space="preserve">Ne discende l’agenda di ricerca: l’investimento conoscitivo prioritario è l’acquisizione dei dati regionali certificati, seguito dalla strutturazione della rilevazione di servizio fin dall’avvio e dalla valutazione controfattuale fondata su un disegno a cunei progressivi pianificato prospetticamente, che la condizione di avvio della Liguria rende, come si è visto, particolarmente solido.</w:t>
      </w:r>
      <w:r>
        <w:rPr>
          <w:rStyle w:val="FootnoteReference"/>
        </w:rPr>
        <w:footnoteReference w:id="1616"/>
      </w:r>
    </w:p>
    <w:p>
      <w:pPr>
        <w:pStyle w:val="BodyText"/>
      </w:pPr>
      <w:r>
        <w:t xml:space="preserve">Con questa parte si chiude lo studio regionale della Liguria, settimo della serie costruita con il telaio integrato dopo quelli della Puglia, della Lombardia, del Veneto, dell’Emilia-Romagna, del Piemonte e della Toscana. Ne emerge un profilo specifico e distinto da tutti i precedenti: la Liguria è la regione più anziana d’Italia, con la più alta domanda nazionale di salute mentale, e dispone già di una legge regionale dedicata, ma la sua sperimentazione è appena avviata. Per essa la posta non è introdurre il servizio né dotarlo di una base giuridica, già acquisita, ma condurlo dalla fase di avvio alla strutturazione a regime, stabilizzando il rapporto convenzionale e dimensionando l’offerta; e proprio questa condizione di avvio offre alla regione l’occasione metodologica più favorevole della serie, quella di disegnare fin dall’inizio una valutazione controfattuale a cunei progressivi capace di trasformare le stime in prove. Resta ferma la distinzione che attraversa l’intero studio: un caso finanziario diretto lievemente negativo, in una regione debitrice la cui fuga è però chirurgica e non psicologica, e un caso economico per la collettività ampiamente positivo, fondato sulle ricadute sociali, con un rapporto beneficio-costo prudenziale dell’ordine di 3,8–5,5 a uno.</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4243"/>
    <w:bookmarkEnd w:id="666"/>
    <w:bookmarkStart w:id="4244" w:name="X7d13b6783ee15ada95ea354799d8c10a57b50c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1617"/>
      </w:r>
      <w:r>
        <w:rPr>
          <w:rStyle w:val="FootnoteReference"/>
        </w:rPr>
        <w:footnoteReference w:id="1618"/>
      </w:r>
      <w:r>
        <w:rPr>
          <w:rStyle w:val="FootnoteReference"/>
        </w:rPr>
        <w:footnoteReference w:id="1619"/>
      </w:r>
      <w:r>
        <w:rPr>
          <w:rStyle w:val="FootnoteReference"/>
        </w:rPr>
        <w:footnoteReference w:id="1620"/>
      </w:r>
      <w:r>
        <w:rPr>
          <w:rStyle w:val="FootnoteReference"/>
        </w:rPr>
        <w:footnoteReference w:id="1621"/>
      </w:r>
      <w:r>
        <w:rPr>
          <w:rStyle w:val="FootnoteReference"/>
        </w:rPr>
        <w:footnoteReference w:id="1622"/>
      </w:r>
      <w:r>
        <w:rPr>
          <w:rStyle w:val="FootnoteReference"/>
        </w:rPr>
        <w:footnoteReference w:id="1623"/>
      </w:r>
      <w:r>
        <w:rPr>
          <w:rStyle w:val="FootnoteReference"/>
        </w:rPr>
        <w:footnoteReference w:id="1624"/>
      </w:r>
      <w:r>
        <w:rPr>
          <w:rStyle w:val="FootnoteReference"/>
        </w:rPr>
        <w:footnoteReference w:id="1625"/>
      </w:r>
      <w:r>
        <w:t xml:space="preserve"> </w:t>
      </w:r>
      <w:r>
        <w:t xml:space="preserve">La tabella seguente lo riepiloga.</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451"/>
        <w:gridCol w:w="534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caso di 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adottata</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Servizio attuale (sperimentazione appena avviata) o assenza del servizio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Azienda/distretto</w:t>
            </w:r>
          </w:p>
        </w:tc>
      </w:tr>
      <w:tr>
        <w:tc>
          <w:tcPr/>
          <w:p>
            <w:pPr>
              <w:pStyle w:val="Compact"/>
              <w:spacing w:after="40" w:before="40"/>
              <w:jc w:val="left"/>
            </w:pPr>
            <w:r>
              <w:rPr>
                <w:rFonts w:ascii="Cambria" w:hAnsi="Cambria" w:cs="Cambria" w:eastAsia="Cambria"/>
                <w:b/>
                <w:bCs/>
                <w:color w:val="1A1A1A"/>
                <w:sz w:val="18"/>
              </w:rPr>
              <w:t xml:space="preserve">Soglia di costo-efficacia</w:t>
            </w:r>
          </w:p>
        </w:tc>
        <w:tc>
          <w:tcPr/>
          <w:p>
            <w:pPr>
              <w:pStyle w:val="Compact"/>
              <w:spacing w:after="40" w:before="40"/>
              <w:jc w:val="left"/>
            </w:pPr>
            <w:r>
              <w:rPr>
                <w:rFonts w:ascii="Cambria" w:hAnsi="Cambria" w:cs="Cambria" w:eastAsia="Cambria"/>
                <w:color w:val="1A1A1A"/>
                <w:sz w:val="18"/>
              </w:rPr>
              <w:t xml:space="preserve">30.000 euro per anno di vita ponderato per la qualità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Correzione prudenziale</w:t>
            </w:r>
          </w:p>
        </w:tc>
        <w:tc>
          <w:tcPr>
            <w:shd w:val="clear" w:color="auto" w:fill="F4F1EC"/>
          </w:tcPr>
          <w:p>
            <w:pPr>
              <w:pStyle w:val="Compact"/>
              <w:spacing w:after="40" w:before="40"/>
              <w:jc w:val="left"/>
            </w:pPr>
            <w:r>
              <w:rPr>
                <w:rFonts w:ascii="Cambria" w:hAnsi="Cambria" w:cs="Cambria" w:eastAsia="Cambria"/>
                <w:color w:val="1A1A1A"/>
                <w:sz w:val="18"/>
              </w:rP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1626"/>
      </w:r>
      <w:r>
        <w:t xml:space="preserve"> </w:t>
      </w:r>
      <w:r>
        <w:t xml:space="preserve">La tabella seguente li riporta con le distribuzioni assegnate per l’analisi probabilistica.</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3498"/>
        <w:gridCol w:w="15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 di Markov</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Stati del modello</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recupero</w:t>
            </w:r>
          </w:p>
        </w:tc>
        <w:tc>
          <w:tcPr>
            <w:shd w:val="clear" w:color="auto" w:fill="F4F1EC"/>
          </w:tcPr>
          <w:p>
            <w:pPr>
              <w:pStyle w:val="Compact"/>
              <w:spacing w:after="40" w:before="40"/>
              <w:jc w:val="left"/>
            </w:pPr>
            <w:r>
              <w:rPr>
                <w:rFonts w:ascii="Cambria" w:hAnsi="Cambria" w:cs="Cambria" w:eastAsia="Cambria"/>
                <w:color w:val="1A1A1A"/>
                <w:sz w:val="18"/>
              </w:rPr>
              <w:t xml:space="preserve">40 €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per ciclo — cronico</w:t>
            </w:r>
          </w:p>
        </w:tc>
        <w:tc>
          <w:tcPr/>
          <w:p>
            <w:pPr>
              <w:pStyle w:val="Compact"/>
              <w:spacing w:after="40" w:before="40"/>
              <w:jc w:val="left"/>
            </w:pPr>
            <w:r>
              <w:rPr>
                <w:rFonts w:ascii="Cambria" w:hAnsi="Cambria" w:cs="Cambria" w:eastAsia="Cambria"/>
                <w:color w:val="1A1A1A"/>
                <w:sz w:val="18"/>
              </w:rPr>
              <w:t xml:space="preserve">700 €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Per braccio, da fonti</w:t>
            </w:r>
          </w:p>
        </w:tc>
        <w:tc>
          <w:tcPr/>
          <w:p>
            <w:pPr>
              <w:pStyle w:val="Compact"/>
              <w:spacing w:after="40" w:before="40"/>
              <w:jc w:val="left"/>
            </w:pPr>
            <w:r>
              <w:rPr>
                <w:rFonts w:ascii="Cambria" w:hAnsi="Cambria" w:cs="Cambria" w:eastAsia="Cambria"/>
                <w:color w:val="1A1A1A"/>
                <w:sz w:val="18"/>
              </w:rPr>
              <w:t xml:space="preserve">Beta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per stato</w:t>
            </w:r>
          </w:p>
        </w:tc>
        <w:tc>
          <w:tcPr>
            <w:shd w:val="clear" w:color="auto" w:fill="F4F1EC"/>
          </w:tcPr>
          <w:p>
            <w:pPr>
              <w:pStyle w:val="Compact"/>
              <w:spacing w:after="40" w:before="40"/>
              <w:jc w:val="left"/>
            </w:pPr>
            <w:r>
              <w:rPr>
                <w:rFonts w:ascii="Cambria" w:hAnsi="Cambria" w:cs="Cambria" w:eastAsia="Cambria"/>
                <w:color w:val="1A1A1A"/>
                <w:sz w:val="18"/>
              </w:rPr>
              <w:t xml:space="preserve">Da fonti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Orizzonte e sconto</w:t>
            </w:r>
          </w:p>
        </w:tc>
        <w:tc>
          <w:tcPr/>
          <w:p>
            <w:pPr>
              <w:pStyle w:val="Compact"/>
              <w:spacing w:after="40" w:before="40"/>
              <w:jc w:val="left"/>
            </w:pPr>
            <w:r>
              <w:rPr>
                <w:rFonts w:ascii="Cambria" w:hAnsi="Cambria" w:cs="Cambria" w:eastAsia="Cambria"/>
                <w:color w:val="1A1A1A"/>
                <w:sz w:val="18"/>
              </w:rPr>
              <w:t xml:space="preserve">5 anni; 3% annuo</w:t>
            </w:r>
          </w:p>
        </w:tc>
        <w:t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della Liguria, già esposto nelle parti centrali dello studio, è qui riassunto per scenario, a beneficio della consultazione.</w:t>
      </w:r>
      <w:r>
        <w:rPr>
          <w:rStyle w:val="FootnoteReference"/>
        </w:rPr>
        <w:footnoteReference w:id="1627"/>
      </w:r>
      <w:r>
        <w:t xml:space="preserve"> </w:t>
      </w:r>
      <w:r>
        <w:t xml:space="preserve">La tabella seguente lo riepiloga.</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3"/>
        <w:gridCol w:w="1384"/>
        <w:gridCol w:w="1384"/>
        <w:gridCol w:w="13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 salvo 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Psicologi a regime</w:t>
            </w:r>
          </w:p>
        </w:tc>
        <w:tc>
          <w:tcPr/>
          <w:p>
            <w:pPr>
              <w:pStyle w:val="Compact"/>
              <w:spacing w:after="40" w:before="40"/>
              <w:jc w:val="left"/>
            </w:pPr>
            <w:r>
              <w:rPr>
                <w:rFonts w:ascii="Cambria" w:hAnsi="Cambria" w:cs="Cambria" w:eastAsia="Cambria"/>
                <w:color w:val="1A1A1A"/>
                <w:sz w:val="18"/>
              </w:rPr>
              <w:t xml:space="preserve">~ 170</w:t>
            </w:r>
          </w:p>
        </w:tc>
        <w:tc>
          <w:tcPr/>
          <w:p>
            <w:pPr>
              <w:pStyle w:val="Compact"/>
              <w:spacing w:after="40" w:before="40"/>
              <w:jc w:val="left"/>
            </w:pPr>
            <w:r>
              <w:rPr>
                <w:rFonts w:ascii="Cambria" w:hAnsi="Cambria" w:cs="Cambria" w:eastAsia="Cambria"/>
                <w:color w:val="1A1A1A"/>
                <w:sz w:val="18"/>
              </w:rPr>
              <w:t xml:space="preserve">~ 250</w:t>
            </w:r>
          </w:p>
        </w:tc>
        <w:tc>
          <w:tcPr/>
          <w:p>
            <w:pPr>
              <w:pStyle w:val="Compact"/>
              <w:spacing w:after="40" w:before="40"/>
              <w:jc w:val="left"/>
            </w:pPr>
            <w:r>
              <w:rPr>
                <w:rFonts w:ascii="Cambria" w:hAnsi="Cambria" w:cs="Cambria" w:eastAsia="Cambria"/>
                <w:color w:val="1A1A1A"/>
                <w:sz w:val="18"/>
              </w:rPr>
              <w:t xml:space="preserve">~ 330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9</w:t>
            </w:r>
          </w:p>
        </w:tc>
        <w:tc>
          <w:tcPr>
            <w:shd w:val="clear" w:color="auto" w:fill="F4F1EC"/>
          </w:tcPr>
          <w:p>
            <w:pPr>
              <w:pStyle w:val="Compact"/>
              <w:spacing w:after="40" w:before="40"/>
              <w:jc w:val="left"/>
            </w:pPr>
            <w:r>
              <w:rPr>
                <w:rFonts w:ascii="Cambria" w:hAnsi="Cambria" w:cs="Cambria" w:eastAsia="Cambria"/>
                <w:color w:val="1A1A1A"/>
                <w:sz w:val="18"/>
              </w:rPr>
              <w:t xml:space="preserve">~ 14</w:t>
            </w:r>
          </w:p>
        </w:tc>
        <w:tc>
          <w:tcPr>
            <w:shd w:val="clear" w:color="auto" w:fill="F4F1EC"/>
          </w:tcPr>
          <w:p>
            <w:pPr>
              <w:pStyle w:val="Compact"/>
              <w:spacing w:after="40" w:before="40"/>
              <w:jc w:val="left"/>
            </w:pPr>
            <w:r>
              <w:rPr>
                <w:rFonts w:ascii="Cambria" w:hAnsi="Cambria" w:cs="Cambria" w:eastAsia="Cambria"/>
                <w:color w:val="1A1A1A"/>
                <w:sz w:val="18"/>
              </w:rPr>
              <w:t xml:space="preserve">~ 18</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6</w:t>
            </w:r>
          </w:p>
        </w:tc>
        <w:tc>
          <w:tcPr/>
          <w:p>
            <w:pPr>
              <w:pStyle w:val="Compact"/>
              <w:spacing w:after="40" w:before="40"/>
              <w:jc w:val="left"/>
            </w:pPr>
            <w:r>
              <w:rPr>
                <w:rFonts w:ascii="Cambria" w:hAnsi="Cambria" w:cs="Cambria" w:eastAsia="Cambria"/>
                <w:color w:val="1A1A1A"/>
                <w:sz w:val="18"/>
              </w:rPr>
              <w:t xml:space="preserve">~ 10</w:t>
            </w:r>
          </w:p>
        </w:tc>
        <w:tc>
          <w:tcPr/>
          <w:p>
            <w:pPr>
              <w:pStyle w:val="Compact"/>
              <w:spacing w:after="40" w:before="40"/>
              <w:jc w:val="left"/>
            </w:pPr>
            <w:r>
              <w:rPr>
                <w:rFonts w:ascii="Cambria" w:hAnsi="Cambria" w:cs="Cambria" w:eastAsia="Cambria"/>
                <w:color w:val="1A1A1A"/>
                <w:sz w:val="18"/>
              </w:rPr>
              <w:t xml:space="preserve">~ 14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29</w:t>
            </w:r>
          </w:p>
        </w:tc>
        <w:tc>
          <w:tcPr>
            <w:shd w:val="clear" w:color="auto" w:fill="F4F1EC"/>
          </w:tcPr>
          <w:p>
            <w:pPr>
              <w:pStyle w:val="Compact"/>
              <w:spacing w:after="40" w:before="40"/>
              <w:jc w:val="left"/>
            </w:pPr>
            <w:r>
              <w:rPr>
                <w:rFonts w:ascii="Cambria" w:hAnsi="Cambria" w:cs="Cambria" w:eastAsia="Cambria"/>
                <w:color w:val="1A1A1A"/>
                <w:sz w:val="18"/>
              </w:rPr>
              <w:t xml:space="preserve">~ 55</w:t>
            </w:r>
          </w:p>
        </w:tc>
        <w:tc>
          <w:tcPr>
            <w:shd w:val="clear" w:color="auto" w:fill="F4F1EC"/>
          </w:tcPr>
          <w:p>
            <w:pPr>
              <w:pStyle w:val="Compact"/>
              <w:spacing w:after="40" w:before="40"/>
              <w:jc w:val="left"/>
            </w:pPr>
            <w:r>
              <w:rPr>
                <w:rFonts w:ascii="Cambria" w:hAnsi="Cambria" w:cs="Cambria" w:eastAsia="Cambria"/>
                <w:color w:val="1A1A1A"/>
                <w:sz w:val="18"/>
              </w:rPr>
              <w:t xml:space="preserve">~ 85</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−3</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+26</w:t>
            </w:r>
          </w:p>
        </w:tc>
        <w:tc>
          <w:tcPr>
            <w:shd w:val="clear" w:color="auto" w:fill="F4F1EC"/>
          </w:tcPr>
          <w:p>
            <w:pPr>
              <w:pStyle w:val="Compact"/>
              <w:spacing w:after="40" w:before="40"/>
              <w:jc w:val="left"/>
            </w:pPr>
            <w:r>
              <w:rPr>
                <w:rFonts w:ascii="Cambria" w:hAnsi="Cambria" w:cs="Cambria" w:eastAsia="Cambria"/>
                <w:color w:val="1A1A1A"/>
                <w:sz w:val="18"/>
              </w:rPr>
              <w:t xml:space="preserve">+51</w:t>
            </w:r>
          </w:p>
        </w:tc>
        <w:tc>
          <w:tcPr>
            <w:shd w:val="clear" w:color="auto" w:fill="F4F1EC"/>
          </w:tcPr>
          <w:p>
            <w:pPr>
              <w:pStyle w:val="Compact"/>
              <w:spacing w:after="40" w:before="40"/>
              <w:jc w:val="left"/>
            </w:pPr>
            <w:r>
              <w:rPr>
                <w:rFonts w:ascii="Cambria" w:hAnsi="Cambria" w:cs="Cambria" w:eastAsia="Cambria"/>
                <w:color w:val="1A1A1A"/>
                <w:sz w:val="18"/>
              </w:rPr>
              <w:t xml:space="preserve">+81</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~3,9:1</w:t>
            </w:r>
          </w:p>
        </w:tc>
        <w:tc>
          <w:tcPr/>
          <w:p>
            <w:pPr>
              <w:pStyle w:val="Compact"/>
              <w:spacing w:after="40" w:before="40"/>
              <w:jc w:val="left"/>
            </w:pPr>
            <w:r>
              <w:rPr>
                <w:rFonts w:ascii="Cambria" w:hAnsi="Cambria" w:cs="Cambria" w:eastAsia="Cambria"/>
                <w:color w:val="1A1A1A"/>
                <w:sz w:val="18"/>
              </w:rPr>
              <w:t xml:space="preserve">~4,6:1</w:t>
            </w:r>
          </w:p>
        </w:tc>
        <w:t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A.3. Il quadro economico consolidato per scenario (costo per incarico di riferimento di 55.000 euro).</w:t>
      </w:r>
    </w:p>
    <w:bookmarkEnd w:id="4244"/>
    <w:bookmarkStart w:id="4245" w:name="X1f8c4300ff333164144cc25d91724a05f17dc16"/>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1628"/>
      </w:r>
      <w:r>
        <w:t xml:space="preserve"> </w:t>
      </w:r>
      <w:r>
        <w:t xml:space="preserve">La tabella seguente li descrive.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6"/>
        <w:gridCol w:w="1584"/>
        <w:gridCol w:w="41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Caratteristiche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 soglia clinica ~10; cambiamento affidabile ~6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d’ansia</w:t>
            </w:r>
          </w:p>
        </w:tc>
        <w:tc>
          <w:tcPr>
            <w:shd w:val="clear" w:color="auto" w:fill="F4F1EC"/>
          </w:tcPr>
          <w:p>
            <w:pPr>
              <w:pStyle w:val="Compact"/>
              <w:spacing w:after="40" w:before="40"/>
              <w:jc w:val="left"/>
            </w:pPr>
            <w:r>
              <w:rPr>
                <w:rFonts w:ascii="Cambria" w:hAnsi="Cambria" w:cs="Cambria" w:eastAsia="Cambria"/>
                <w:color w:val="1A1A1A"/>
                <w:sz w:val="18"/>
              </w:rPr>
              <w:t xml:space="preserve">0–21; impiegato nel solo punteggio complessivo</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Discesa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Esito secondario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1629"/>
      </w:r>
      <w:r>
        <w:t xml:space="preserve"> </w:t>
      </w:r>
      <w:r>
        <w:t xml:space="preserve">La tabella seguente ne costituisce il dizionario dei dati.</w:t>
      </w:r>
    </w:p>
    <w:tbl>
      <w:tblPr>
        <w:tblStyle w:val="Table"/>
        <w:tblW w:type="pct" w:w="491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52"/>
        <w:gridCol w:w="4154"/>
        <w:gridCol w:w="18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Campo del dataset</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Momento di rilevazione</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Data di apertura, canale di accesso, invio</w:t>
            </w:r>
          </w:p>
        </w:tc>
        <w:tc>
          <w:tcPr/>
          <w:p>
            <w:pPr>
              <w:pStyle w:val="Compact"/>
              <w:spacing w:after="40" w:before="40"/>
              <w:jc w:val="left"/>
            </w:pPr>
            <w:r>
              <w:rPr>
                <w:rFonts w:ascii="Cambria" w:hAnsi="Cambria" w:cs="Cambria" w:eastAsia="Cambria"/>
                <w:color w:val="1A1A1A"/>
                <w:sz w:val="18"/>
              </w:rPr>
              <w:t xml:space="preserve">All’apertura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Seduta</w:t>
            </w:r>
          </w:p>
        </w:tc>
        <w:tc>
          <w:tcPr>
            <w:shd w:val="clear" w:color="auto" w:fill="F4F1EC"/>
          </w:tcPr>
          <w:p>
            <w:pPr>
              <w:pStyle w:val="Compact"/>
              <w:spacing w:after="40" w:before="40"/>
              <w:jc w:val="left"/>
            </w:pPr>
            <w:r>
              <w:rPr>
                <w:rFonts w:ascii="Cambria" w:hAnsi="Cambria" w:cs="Cambria" w:eastAsia="Cambria"/>
                <w:color w:val="1A1A1A"/>
                <w:sz w:val="18"/>
              </w:rPr>
              <w:t xml:space="preserve">Data, tipo e numero progressivo della seduta</w:t>
            </w:r>
          </w:p>
        </w:tc>
        <w:tc>
          <w:tcPr>
            <w:shd w:val="clear" w:color="auto" w:fill="F4F1EC"/>
          </w:tcPr>
          <w:p>
            <w:pPr>
              <w:pStyle w:val="Compact"/>
              <w:spacing w:after="40" w:before="40"/>
              <w:jc w:val="left"/>
            </w:pPr>
            <w:r>
              <w:rPr>
                <w:rFonts w:ascii="Cambria" w:hAnsi="Cambria" w:cs="Cambria" w:eastAsia="Cambria"/>
                <w:color w:val="1A1A1A"/>
                <w:sz w:val="18"/>
              </w:rPr>
              <w:t xml:space="preserve">A ogni seduta</w:t>
            </w:r>
          </w:p>
        </w:tc>
      </w:tr>
      <w:tr>
        <w:tc>
          <w:tcPr/>
          <w:p>
            <w:pPr>
              <w:pStyle w:val="Compact"/>
              <w:spacing w:after="40" w:before="40"/>
              <w:jc w:val="left"/>
            </w:pPr>
            <w:r>
              <w:rPr>
                <w:rFonts w:ascii="Cambria" w:hAnsi="Cambria" w:cs="Cambria" w:eastAsia="Cambria"/>
                <w:b/>
                <w:bCs/>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e GAD-7 (punteggi complessivi)</w:t>
            </w:r>
          </w:p>
        </w:tc>
        <w:tc>
          <w:tcPr/>
          <w:p>
            <w:pPr>
              <w:pStyle w:val="Compact"/>
              <w:spacing w:after="40" w:before="40"/>
              <w:jc w:val="left"/>
            </w:pPr>
            <w:r>
              <w:rPr>
                <w:rFonts w:ascii="Cambria" w:hAnsi="Cambria" w:cs="Cambria" w:eastAsia="Cambria"/>
                <w:color w:val="1A1A1A"/>
                <w:sz w:val="18"/>
              </w:rPr>
              <w:t xml:space="preserve">A ogni seduta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Invii e restituzioni</w:t>
            </w:r>
          </w:p>
        </w:tc>
        <w:tc>
          <w:tcPr>
            <w:shd w:val="clear" w:color="auto" w:fill="F4F1EC"/>
          </w:tcPr>
          <w:p>
            <w:pPr>
              <w:pStyle w:val="Compact"/>
              <w:spacing w:after="40" w:before="40"/>
              <w:jc w:val="left"/>
            </w:pPr>
            <w:r>
              <w:rPr>
                <w:rFonts w:ascii="Cambria" w:hAnsi="Cambria" w:cs="Cambria" w:eastAsia="Cambria"/>
                <w:color w:val="1A1A1A"/>
                <w:sz w:val="18"/>
              </w:rPr>
              <w:t xml:space="preserve">Invio a servizi specialistici; restituzione al medico curante</w:t>
            </w:r>
          </w:p>
        </w:tc>
        <w:tc>
          <w:tcPr>
            <w:shd w:val="clear" w:color="auto" w:fill="F4F1EC"/>
          </w:tcPr>
          <w:p>
            <w:pPr>
              <w:pStyle w:val="Compact"/>
              <w:spacing w:after="40" w:before="40"/>
              <w:jc w:val="left"/>
            </w:pPr>
            <w:r>
              <w:rPr>
                <w:rFonts w:ascii="Cambria" w:hAnsi="Cambria" w:cs="Cambria" w:eastAsia="Cambria"/>
                <w:color w:val="1A1A1A"/>
                <w:sz w:val="18"/>
              </w:rPr>
              <w:t xml:space="preserve">Ove pertinente</w:t>
            </w:r>
          </w:p>
        </w:tc>
      </w:tr>
      <w:tr>
        <w:tc>
          <w:tcPr/>
          <w:p>
            <w:pPr>
              <w:pStyle w:val="Compact"/>
              <w:spacing w:after="40" w:before="40"/>
              <w:jc w:val="left"/>
            </w:pPr>
            <w:r>
              <w:rPr>
                <w:rFonts w:ascii="Cambria" w:hAnsi="Cambria" w:cs="Cambria" w:eastAsia="Cambria"/>
                <w:b/>
                <w:bCs/>
                <w:color w:val="1A1A1A"/>
                <w:sz w:val="18"/>
              </w:rPr>
              <w:t xml:space="preserve">Chiusura</w:t>
            </w:r>
          </w:p>
        </w:tc>
        <w:tc>
          <w:tcPr/>
          <w:p>
            <w:pPr>
              <w:pStyle w:val="Compact"/>
              <w:spacing w:after="40" w:before="40"/>
              <w:jc w:val="left"/>
            </w:pPr>
            <w:r>
              <w:rPr>
                <w:rFonts w:ascii="Cambria" w:hAnsi="Cambria" w:cs="Cambria" w:eastAsia="Cambria"/>
                <w:color w:val="1A1A1A"/>
                <w:sz w:val="18"/>
              </w:rPr>
              <w:t xml:space="preserve">Esito del percorso (recupero, miglioramento, invio)</w:t>
            </w:r>
          </w:p>
        </w:tc>
        <w:tc>
          <w:tcPr/>
          <w:p>
            <w:pPr>
              <w:pStyle w:val="Compact"/>
              <w:spacing w:after="40" w:before="40"/>
              <w:jc w:val="left"/>
            </w:pPr>
            <w:r>
              <w:rPr>
                <w:rFonts w:ascii="Cambria" w:hAnsi="Cambria" w:cs="Cambria" w:eastAsia="Cambria"/>
                <w:color w:val="1A1A1A"/>
                <w:sz w:val="18"/>
              </w:rPr>
              <w:t xml:space="preserve">Alla chiusura</w:t>
            </w:r>
          </w:p>
        </w:tc>
      </w:tr>
    </w:tbl>
    <w:p>
      <w:pPr>
        <w:pStyle w:val="BodyText"/>
      </w:pPr>
      <w:r>
        <w:rPr>
          <w:i/>
          <w:iCs/>
        </w:rPr>
        <w:t xml:space="preserve">Tabella B.2. Il dataset minimo: i campi del protocollo di rilevazione (dizionario dei dati).</w:t>
      </w:r>
    </w:p>
    <w:bookmarkEnd w:id="4245"/>
    <w:bookmarkStart w:id="4246" w:name="appendice-c-dati-regionali-e-fonti-1"/>
    <w:p>
      <w:pPr>
        <w:pStyle w:val="Heading2"/>
      </w:pPr>
      <w:r>
        <w:t xml:space="preserve">Appendice C — Dati regionali e fonti</w:t>
      </w:r>
    </w:p>
    <w:p>
      <w:pPr>
        <w:pStyle w:val="FirstParagraph"/>
      </w:pPr>
      <w:r>
        <w:t xml:space="preserve">La presente appendice raccoglie i dati regionali di ancoraggio dello studio e ne dichiara i limiti. I valori liguri impiegati nelle analisi sono riepilogati nella tabella seguente.</w:t>
      </w:r>
      <w:r>
        <w:rPr>
          <w:rStyle w:val="FootnoteReference"/>
        </w:rPr>
        <w:footnoteReference w:id="1630"/>
      </w:r>
    </w:p>
    <w:tbl>
      <w:tblPr>
        <w:tblStyle w:val="Table"/>
        <w:tblW w:type="pct" w:w="49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861"/>
        <w:gridCol w:w="701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regionale</w:t>
            </w:r>
          </w:p>
        </w:tc>
      </w:tr>
      <w:tr>
        <w:tc>
          <w:tcPr/>
          <w:p>
            <w:pPr>
              <w:pStyle w:val="Compact"/>
              <w:spacing w:after="40" w:before="40"/>
              <w:jc w:val="left"/>
            </w:pPr>
            <w:r>
              <w:rPr>
                <w:rFonts w:ascii="Cambria" w:hAnsi="Cambria" w:cs="Cambria" w:eastAsia="Cambria"/>
                <w:b/>
                <w:bCs/>
                <w:color w:val="1A1A1A"/>
                <w:sz w:val="18"/>
              </w:rPr>
              <w:t xml:space="preserve">Popolazione regionale</w:t>
            </w:r>
          </w:p>
        </w:tc>
        <w:tc>
          <w:tcPr/>
          <w:p>
            <w:pPr>
              <w:pStyle w:val="Compact"/>
              <w:spacing w:after="40" w:before="40"/>
              <w:jc w:val="left"/>
            </w:pPr>
            <w:r>
              <w:rPr>
                <w:rFonts w:ascii="Cambria" w:hAnsi="Cambria" w:cs="Cambria" w:eastAsia="Cambria"/>
                <w:color w:val="1A1A1A"/>
                <w:sz w:val="18"/>
              </w:rPr>
              <w:t xml:space="preserve">1.510.143 abitanti (Censimento ISTAT 2024); in lievissimo aumento solo per saldo migratorio; la struttura per età più anziana d’Italia (indice di vecchiaia ~277; over-65 ~29%); stranieri ~10,8%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Finanziamento del SSR</w:t>
            </w:r>
          </w:p>
        </w:tc>
        <w:tc>
          <w:tcPr>
            <w:shd w:val="clear" w:color="auto" w:fill="F4F1EC"/>
          </w:tcPr>
          <w:p>
            <w:pPr>
              <w:pStyle w:val="Compact"/>
              <w:spacing w:after="40" w:before="40"/>
              <w:jc w:val="left"/>
            </w:pPr>
            <w:r>
              <w:rPr>
                <w:rFonts w:ascii="Cambria" w:hAnsi="Cambria" w:cs="Cambria" w:eastAsia="Cambria"/>
                <w:color w:val="1A1A1A"/>
                <w:sz w:val="18"/>
              </w:rPr>
              <w:t xml:space="preserve">Dell’ordine di 3,5 miliardi di euro; sotto pressione finanziaria; disavanzo strutturale coperto con risorse regionali; nessun piano di rientro in atto</w:t>
            </w:r>
          </w:p>
        </w:tc>
      </w:tr>
      <w:tr>
        <w:tc>
          <w:tcPr/>
          <w:p>
            <w:pPr>
              <w:pStyle w:val="Compact"/>
              <w:spacing w:after="40" w:before="40"/>
              <w:jc w:val="left"/>
            </w:pPr>
            <w:r>
              <w:rPr>
                <w:rFonts w:ascii="Cambria" w:hAnsi="Cambria" w:cs="Cambria" w:eastAsia="Cambria"/>
                <w:b/>
                <w:bCs/>
                <w:color w:val="1A1A1A"/>
                <w:sz w:val="18"/>
              </w:rPr>
              <w:t xml:space="preserve">Mobilità sanitaria</w:t>
            </w:r>
          </w:p>
        </w:tc>
        <w:tc>
          <w:tcPr/>
          <w:p>
            <w:pPr>
              <w:pStyle w:val="Compact"/>
              <w:spacing w:after="40" w:before="40"/>
              <w:jc w:val="left"/>
            </w:pPr>
            <w:r>
              <w:rPr>
                <w:rFonts w:ascii="Cambria" w:hAnsi="Cambria" w:cs="Cambria" w:eastAsia="Cambria"/>
                <w:color w:val="1A1A1A"/>
                <w:sz w:val="18"/>
              </w:rPr>
              <w:t xml:space="preserve">Saldo passivo (~ −70 milioni) e in peggioramento; regione debitrice; fuga concentrata nelle specialità chirurgiche; canale di recupero marginale per questo intervento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cause psichiatriche dell’ordine di ventimila l’anno, sopra la media nazionale</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Consumo regionale delle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 300.000 con disagio comune; ~ 58.000 in carico ai servizi (la più alta prevalenza d’Italia)</w:t>
            </w:r>
          </w:p>
        </w:tc>
      </w:tr>
      <w:tr>
        <w:tc>
          <w:tcPr/>
          <w:p>
            <w:pPr>
              <w:pStyle w:val="Compact"/>
              <w:spacing w:after="40" w:before="40"/>
              <w:jc w:val="left"/>
            </w:pPr>
            <w:r>
              <w:rPr>
                <w:rFonts w:ascii="Cambria" w:hAnsi="Cambria" w:cs="Cambria" w:eastAsia="Cambria"/>
                <w:b/>
                <w:bCs/>
                <w:color w:val="1A1A1A"/>
                <w:sz w:val="18"/>
              </w:rPr>
              <w:t xml:space="preserve">Funzione attuale</w:t>
            </w:r>
          </w:p>
        </w:tc>
        <w:tc>
          <w:tcPr/>
          <w:p>
            <w:pPr>
              <w:pStyle w:val="Compact"/>
              <w:spacing w:after="40" w:before="40"/>
              <w:jc w:val="left"/>
            </w:pPr>
            <w:r>
              <w:rPr>
                <w:rFonts w:ascii="Cambria" w:hAnsi="Cambria" w:cs="Cambria" w:eastAsia="Cambria"/>
                <w:color w:val="1A1A1A"/>
                <w:sz w:val="18"/>
              </w:rPr>
              <w:t xml:space="preserve">Servizio di psicologia territoriale istituito dall’articolo 76 della legge regionale 20/2023; sperimentazione appena avviata (entro fine 2025), dimensionata a trentotto psicologi su base libero-professionale, nelle Case della Comunità Hub; legge dedicata già vigente; ~ 3–4% del fabbisogno</w:t>
            </w:r>
          </w:p>
        </w:tc>
      </w:tr>
    </w:tbl>
    <w:p>
      <w:pPr>
        <w:pStyle w:val="BodyText"/>
      </w:pPr>
      <w:r>
        <w:rPr>
          <w:i/>
          <w:iCs/>
        </w:rPr>
        <w:t xml:space="preserve">Tabella C.1. I valori regionali di ancoraggio della Liguria.</w:t>
      </w:r>
    </w:p>
    <w:p>
      <w:pPr>
        <w:pStyle w:val="BodyText"/>
      </w:pPr>
      <w:r>
        <w:t xml:space="preserve">Resta la lacuna principale dello studio: i valori economici sono in parte ricostruiti a partire dai conti nazionali scalati per la quota di popolazione ligure, e non estratti dai conti regionali certificati.</w:t>
      </w:r>
      <w:r>
        <w:rPr>
          <w:rStyle w:val="FootnoteReference"/>
        </w:rPr>
        <w:footnoteReference w:id="1631"/>
      </w:r>
      <w:r>
        <w:t xml:space="preserve"> </w:t>
      </w:r>
      <w:r>
        <w:t xml:space="preserve">La tabella seguente elenca i dati da acquisire per sostituire le stime.</w:t>
      </w:r>
    </w:p>
    <w:tbl>
      <w:tblPr>
        <w:tblStyle w:val="Table"/>
        <w:tblW w:type="pct" w:w="494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07"/>
        <w:gridCol w:w="611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Dato da acquisire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Ricoveri psichiatrici</w:t>
            </w:r>
          </w:p>
        </w:tc>
        <w:tc>
          <w:tcPr/>
          <w:p>
            <w:pPr>
              <w:pStyle w:val="Compact"/>
              <w:spacing w:after="40" w:before="40"/>
              <w:jc w:val="left"/>
            </w:pPr>
            <w:r>
              <w:rPr>
                <w:rFonts w:ascii="Cambria" w:hAnsi="Cambria" w:cs="Cambria" w:eastAsia="Cambria"/>
                <w:color w:val="1A1A1A"/>
                <w:sz w:val="18"/>
              </w:rPr>
              <w:t xml:space="preserve">Schede di dimissione ospedaliera per disturbi psichici e relativo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Specialistica</w:t>
            </w:r>
          </w:p>
        </w:tc>
        <w:tc>
          <w:tcPr>
            <w:shd w:val="clear" w:color="auto" w:fill="F4F1EC"/>
          </w:tcPr>
          <w:p>
            <w:pPr>
              <w:pStyle w:val="Compact"/>
              <w:spacing w:after="40" w:before="40"/>
              <w:jc w:val="left"/>
            </w:pPr>
            <w:r>
              <w:rPr>
                <w:rFonts w:ascii="Cambria" w:hAnsi="Cambria" w:cs="Cambria" w:eastAsia="Cambria"/>
                <w:color w:val="1A1A1A"/>
                <w:sz w:val="18"/>
              </w:rPr>
              <w:t xml:space="preserve">Prestazioni specialistiche associate ai sintomi somatici funzionali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Spesa regionale per 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causa psichiatrica e relativo costo unitario</w:t>
            </w:r>
          </w:p>
        </w:tc>
      </w:tr>
      <w:tr>
        <w:tc>
          <w:tcPr/>
          <w:p>
            <w:pPr>
              <w:pStyle w:val="Compact"/>
              <w:spacing w:after="40" w:before="40"/>
              <w:jc w:val="left"/>
            </w:pPr>
            <w:r>
              <w:rPr>
                <w:rFonts w:ascii="Cambria" w:hAnsi="Cambria" w:cs="Cambria" w:eastAsia="Cambria"/>
                <w:b/>
                <w:bCs/>
                <w:color w:val="1A1A1A"/>
                <w:sz w:val="18"/>
              </w:rPr>
              <w:t xml:space="preserve">Dati della sperimentazione</w:t>
            </w:r>
          </w:p>
        </w:tc>
        <w:tc>
          <w:tcPr/>
          <w:p>
            <w:pPr>
              <w:pStyle w:val="Compact"/>
              <w:spacing w:after="40" w:before="40"/>
              <w:jc w:val="left"/>
            </w:pPr>
            <w:r>
              <w:rPr>
                <w:rFonts w:ascii="Cambria" w:hAnsi="Cambria" w:cs="Cambria" w:eastAsia="Cambria"/>
                <w:color w:val="1A1A1A"/>
                <w:sz w:val="18"/>
              </w:rPr>
              <w:t xml:space="preserve">Prese in carico, sedute ed esiti che la sperimentazione appena avviata inizierà a produrre, da consolidare come fonte primaria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Liste di attesa</w:t>
            </w:r>
          </w:p>
        </w:tc>
        <w:tc>
          <w:tcPr>
            <w:shd w:val="clear" w:color="auto" w:fill="F4F1EC"/>
          </w:tcPr>
          <w:p>
            <w:pPr>
              <w:pStyle w:val="Compact"/>
              <w:spacing w:after="40" w:before="40"/>
              <w:jc w:val="left"/>
            </w:pPr>
            <w:r>
              <w:rPr>
                <w:rFonts w:ascii="Cambria" w:hAnsi="Cambria" w:cs="Cambria" w:eastAsia="Cambria"/>
                <w:color w:val="1A1A1A"/>
                <w:sz w:val="18"/>
              </w:rPr>
              <w:t xml:space="preserve">Tempi di attesa per l’accesso psicologico, per Azienda e per area</w:t>
            </w:r>
          </w:p>
        </w:tc>
      </w:tr>
    </w:tbl>
    <w:p>
      <w:pPr>
        <w:pStyle w:val="BodyText"/>
      </w:pPr>
      <w:r>
        <w:rPr>
          <w:i/>
          <w:iCs/>
        </w:rPr>
        <w:t xml:space="preserve">Tabella C.2. I dati certificati da acquisire per sostituire le stime (lacuna principale dello studio).</w:t>
      </w:r>
    </w:p>
    <w:bookmarkEnd w:id="4246"/>
    <w:bookmarkStart w:id="4247" w:name="appendice-d-checklist-di-reporting-1"/>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1632"/>
      </w:r>
      <w:r>
        <w:t xml:space="preserve"> </w:t>
      </w:r>
      <w:r>
        <w:t xml:space="preserve">La tabella seguente li riepiloga.</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3927"/>
        <w:gridCol w:w="1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Standard o lista di controllo</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r>
      <w:tr>
        <w:tc>
          <w:tcPr/>
          <w:p>
            <w:pPr>
              <w:pStyle w:val="Compact"/>
              <w:spacing w:after="40" w:before="40"/>
              <w:jc w:val="left"/>
            </w:pPr>
            <w:r>
              <w:rPr>
                <w:rFonts w:ascii="Cambria" w:hAnsi="Cambria" w:cs="Cambria" w:eastAsia="Cambria"/>
                <w:b/>
                <w:bCs/>
                <w:color w:val="1A1A1A"/>
                <w:sz w:val="18"/>
              </w:rPr>
              <w:t xml:space="preserve">CHEERS 2022 (28 voci)</w:t>
            </w:r>
          </w:p>
        </w:tc>
        <w:tc>
          <w:tcPr/>
          <w:p>
            <w:pPr>
              <w:pStyle w:val="Compact"/>
              <w:spacing w:after="40" w:before="40"/>
              <w:jc w:val="left"/>
            </w:pPr>
            <w:r>
              <w:rPr>
                <w:rFonts w:ascii="Cambria" w:hAnsi="Cambria" w:cs="Cambria" w:eastAsia="Cambria"/>
                <w:color w:val="1A1A1A"/>
                <w:sz w:val="18"/>
              </w:rPr>
              <w:t xml:space="preserve">Rendicontazione delle valutazioni economiche</w:t>
            </w:r>
          </w:p>
        </w:tc>
        <w:tc>
          <w:tcPr/>
          <w:p>
            <w:pPr>
              <w:pStyle w:val="Compact"/>
              <w:spacing w:after="40" w:before="40"/>
              <w:jc w:val="left"/>
            </w:pPr>
            <w:r>
              <w:rPr>
                <w:rFonts w:ascii="Cambria" w:hAnsi="Cambria" w:cs="Cambria" w:eastAsia="Cambria"/>
                <w:color w:val="1A1A1A"/>
                <w:sz w:val="18"/>
              </w:rPr>
              <w:t xml:space="preserve">Parte 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CHEERS-AI (38 voci)</w:t>
            </w:r>
          </w:p>
        </w:tc>
        <w:tc>
          <w:tcPr>
            <w:shd w:val="clear" w:color="auto" w:fill="F4F1EC"/>
          </w:tcPr>
          <w:p>
            <w:pPr>
              <w:pStyle w:val="Compact"/>
              <w:spacing w:after="40" w:before="40"/>
              <w:jc w:val="left"/>
            </w:pPr>
            <w:r>
              <w:rPr>
                <w:rFonts w:ascii="Cambria" w:hAnsi="Cambria" w:cs="Cambria" w:eastAsia="Cambria"/>
                <w:color w:val="1A1A1A"/>
                <w:sz w:val="18"/>
              </w:rPr>
              <w:t xml:space="preserve">Estensione per gli interventi con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Parti C, E</w:t>
            </w:r>
          </w:p>
        </w:tc>
      </w:tr>
      <w:tr>
        <w:tc>
          <w:tcPr/>
          <w:p>
            <w:pPr>
              <w:pStyle w:val="Compact"/>
              <w:spacing w:after="40" w:before="40"/>
              <w:jc w:val="left"/>
            </w:pPr>
            <w:r>
              <w:rPr>
                <w:rFonts w:ascii="Cambria" w:hAnsi="Cambria" w:cs="Cambria" w:eastAsia="Cambria"/>
                <w:b/>
                <w:bCs/>
                <w:color w:val="1A1A1A"/>
                <w:sz w:val="18"/>
              </w:rPr>
              <w:t xml:space="preserve">PRISMA 2020</w:t>
            </w:r>
          </w:p>
        </w:tc>
        <w:tc>
          <w:tcPr/>
          <w:p>
            <w:pPr>
              <w:pStyle w:val="Compact"/>
              <w:spacing w:after="40" w:before="40"/>
              <w:jc w:val="left"/>
            </w:pPr>
            <w:r>
              <w:rPr>
                <w:rFonts w:ascii="Cambria" w:hAnsi="Cambria" w:cs="Cambria" w:eastAsia="Cambria"/>
                <w:color w:val="1A1A1A"/>
                <w:sz w:val="18"/>
              </w:rPr>
              <w:t xml:space="preserve">Conduzione e reporting delle revisioni sistematiche</w:t>
            </w:r>
          </w:p>
        </w:tc>
        <w:tc>
          <w:tcPr/>
          <w:p>
            <w:pPr>
              <w:pStyle w:val="Compact"/>
              <w:spacing w:after="40" w:before="40"/>
              <w:jc w:val="left"/>
            </w:pPr>
            <w:r>
              <w:rPr>
                <w:rFonts w:ascii="Cambria" w:hAnsi="Cambria" w:cs="Cambria" w:eastAsia="Cambria"/>
                <w:color w:val="1A1A1A"/>
                <w:sz w:val="18"/>
              </w:rPr>
              <w:t xml:space="preserve">Parte 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GRADE</w:t>
            </w:r>
          </w:p>
        </w:tc>
        <w:tc>
          <w:tcPr>
            <w:shd w:val="clear" w:color="auto" w:fill="F4F1EC"/>
          </w:tcPr>
          <w:p>
            <w:pPr>
              <w:pStyle w:val="Compact"/>
              <w:spacing w:after="40" w:before="40"/>
              <w:jc w:val="left"/>
            </w:pPr>
            <w:r>
              <w:rPr>
                <w:rFonts w:ascii="Cambria" w:hAnsi="Cambria" w:cs="Cambria" w:eastAsia="Cambria"/>
                <w:color w:val="1A1A1A"/>
                <w:sz w:val="18"/>
              </w:rPr>
              <w:t xml:space="preserve">Graduazione della certezza dell’evidenza</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r>
      <w:tr>
        <w:tc>
          <w:tcPr/>
          <w:p>
            <w:pPr>
              <w:pStyle w:val="Compact"/>
              <w:spacing w:after="40" w:before="40"/>
              <w:jc w:val="left"/>
            </w:pPr>
            <w:r>
              <w:rPr>
                <w:rFonts w:ascii="Cambria" w:hAnsi="Cambria" w:cs="Cambria" w:eastAsia="Cambria"/>
                <w:b/>
                <w:bCs/>
                <w:color w:val="1A1A1A"/>
                <w:sz w:val="18"/>
              </w:rPr>
              <w:t xml:space="preserve">Lista STROBE</w:t>
            </w:r>
          </w:p>
        </w:tc>
        <w:tc>
          <w:tcPr/>
          <w:p>
            <w:pPr>
              <w:pStyle w:val="Compact"/>
              <w:spacing w:after="40" w:before="40"/>
              <w:jc w:val="left"/>
            </w:pPr>
            <w:r>
              <w:rPr>
                <w:rFonts w:ascii="Cambria" w:hAnsi="Cambria" w:cs="Cambria" w:eastAsia="Cambria"/>
                <w:color w:val="1A1A1A"/>
                <w:sz w:val="18"/>
              </w:rPr>
              <w:t xml:space="preserve">Studi osservazionali sui dati reali</w:t>
            </w:r>
          </w:p>
        </w:tc>
        <w:tc>
          <w:tcPr/>
          <w:p>
            <w:pPr>
              <w:pStyle w:val="Compact"/>
              <w:spacing w:after="40" w:before="40"/>
              <w:jc w:val="left"/>
            </w:pPr>
            <w:r>
              <w:rPr>
                <w:rFonts w:ascii="Cambria" w:hAnsi="Cambria" w:cs="Cambria" w:eastAsia="Cambria"/>
                <w:color w:val="1A1A1A"/>
                <w:sz w:val="18"/>
              </w:rPr>
              <w:t xml:space="preserve">Parti D,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Buone pratiche ISPOR-SMDM</w:t>
            </w:r>
          </w:p>
        </w:tc>
        <w:tc>
          <w:tcPr>
            <w:shd w:val="clear" w:color="auto" w:fill="F4F1EC"/>
          </w:tcPr>
          <w:p>
            <w:pPr>
              <w:pStyle w:val="Compact"/>
              <w:spacing w:after="40" w:before="40"/>
              <w:jc w:val="left"/>
            </w:pPr>
            <w:r>
              <w:rPr>
                <w:rFonts w:ascii="Cambria" w:hAnsi="Cambria" w:cs="Cambria" w:eastAsia="Cambria"/>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r>
      <w:tr>
        <w:tc>
          <w:tcPr/>
          <w:p>
            <w:pPr>
              <w:pStyle w:val="Compact"/>
              <w:spacing w:after="40" w:before="40"/>
              <w:jc w:val="left"/>
            </w:pPr>
            <w:r>
              <w:rPr>
                <w:rFonts w:ascii="Cambria" w:hAnsi="Cambria" w:cs="Cambria" w:eastAsia="Cambria"/>
                <w:b/>
                <w:bCs/>
                <w:color w:val="1A1A1A"/>
                <w:sz w:val="18"/>
              </w:rPr>
              <w:t xml:space="preserve">Manuale OCSE-JRC</w:t>
            </w:r>
          </w:p>
        </w:tc>
        <w:tc>
          <w:tcPr/>
          <w:p>
            <w:pPr>
              <w:pStyle w:val="Compact"/>
              <w:spacing w:after="40" w:before="40"/>
              <w:jc w:val="left"/>
            </w:pPr>
            <w:r>
              <w:rPr>
                <w:rFonts w:ascii="Cambria" w:hAnsi="Cambria" w:cs="Cambria" w:eastAsia="Cambria"/>
                <w:color w:val="1A1A1A"/>
                <w:sz w:val="18"/>
              </w:rPr>
              <w:t xml:space="preserve">Costruzione degli indicatori compositi</w:t>
            </w:r>
          </w:p>
        </w:tc>
        <w:tc>
          <w:tcPr/>
          <w:p>
            <w:pPr>
              <w:pStyle w:val="Compact"/>
              <w:spacing w:after="40" w:before="40"/>
              <w:jc w:val="left"/>
            </w:pPr>
            <w:r>
              <w:rPr>
                <w:rFonts w:ascii="Cambria" w:hAnsi="Cambria" w:cs="Cambria" w:eastAsia="Cambria"/>
                <w:color w:val="1A1A1A"/>
                <w:sz w:val="18"/>
              </w:rPr>
              <w:t xml:space="preserve">Parte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Griglia di giudizio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r>
    </w:tbl>
    <w:p>
      <w:pPr>
        <w:pStyle w:val="BodyText"/>
      </w:pPr>
      <w:r>
        <w:rPr>
          <w:i/>
          <w:iCs/>
        </w:rPr>
        <w:t xml:space="preserve">Tabella D.1. Gli standard di reporting e di qualità adottati nello studio, per parte di applicazione.</w:t>
      </w:r>
    </w:p>
    <w:bookmarkEnd w:id="4247"/>
    <w:bookmarkStart w:id="4248" w:name="appendice-e-glossario-1"/>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1633"/>
      </w:r>
      <w:r>
        <w:t xml:space="preserve"> </w:t>
      </w:r>
      <w:r>
        <w:t xml:space="preserve">Le definizioni sono comuni al telaio metodologico replicato in tutti gli studi regionali del progetto.</w:t>
      </w:r>
    </w:p>
    <w:tbl>
      <w:tblPr>
        <w:tblStyle w:val="Table"/>
        <w:tblW w:type="pct" w:w="496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89"/>
        <w:gridCol w:w="627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Termine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w:t>
            </w:r>
          </w:p>
        </w:tc>
      </w:tr>
      <w:tr>
        <w:tc>
          <w:tcPr/>
          <w:p>
            <w:pPr>
              <w:pStyle w:val="Compact"/>
              <w:spacing w:after="40" w:before="40"/>
              <w:jc w:val="left"/>
            </w:pPr>
            <w:r>
              <w:rPr>
                <w:rFonts w:ascii="Cambria" w:hAnsi="Cambria" w:cs="Cambria" w:eastAsia="Cambria"/>
                <w:b/>
                <w:bCs/>
                <w:color w:val="1A1A1A"/>
                <w:sz w:val="18"/>
              </w:rPr>
              <w:t xml:space="preserve">Valutazione di tecnologia sanitaria (HTA)</w:t>
            </w:r>
          </w:p>
        </w:tc>
        <w:tc>
          <w:tcPr/>
          <w:p>
            <w:pPr>
              <w:pStyle w:val="Compact"/>
              <w:spacing w:after="40" w:before="40"/>
              <w:jc w:val="left"/>
            </w:pPr>
            <w:r>
              <w:rPr>
                <w:rFonts w:ascii="Cambria" w:hAnsi="Cambria" w:cs="Cambria" w:eastAsia="Cambria"/>
                <w:color w:val="1A1A1A"/>
                <w:sz w:val="18"/>
              </w:rPr>
              <w:t xml:space="preserve">Valutazione multidimensionale di un intervento sanitario, articolata in nove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rapida di efficacia relativa</w:t>
            </w:r>
          </w:p>
        </w:tc>
        <w:tc>
          <w:tcPr>
            <w:shd w:val="clear" w:color="auto" w:fill="F4F1EC"/>
          </w:tcPr>
          <w:p>
            <w:pPr>
              <w:pStyle w:val="Compact"/>
              <w:spacing w:after="40" w:before="40"/>
              <w:jc w:val="left"/>
            </w:pPr>
            <w:r>
              <w:rPr>
                <w:rFonts w:ascii="Cambria" w:hAnsi="Cambria" w:cs="Cambria" w:eastAsia="Cambria"/>
                <w:color w:val="1A1A1A"/>
                <w:sz w:val="18"/>
              </w:rPr>
              <w:t xml:space="preserve">Nucleo dell’HTA, che copre i primi quattro domini (problema, descrizione, sicurezza, efficacia)</w:t>
            </w:r>
          </w:p>
        </w:tc>
      </w:tr>
      <w:tr>
        <w:tc>
          <w:tcPr/>
          <w:p>
            <w:pPr>
              <w:pStyle w:val="Compact"/>
              <w:spacing w:after="40" w:before="40"/>
              <w:jc w:val="left"/>
            </w:pPr>
            <w:r>
              <w:rPr>
                <w:rFonts w:ascii="Cambria" w:hAnsi="Cambria" w:cs="Cambria" w:eastAsia="Cambria"/>
                <w:b/>
                <w:bCs/>
                <w:color w:val="1A1A1A"/>
                <w:sz w:val="18"/>
              </w:rPr>
              <w:t xml:space="preserve">Five Case Model</w:t>
            </w:r>
          </w:p>
        </w:tc>
        <w:tc>
          <w:tcPr/>
          <w:p>
            <w:pPr>
              <w:pStyle w:val="Compact"/>
              <w:spacing w:after="40" w:before="40"/>
              <w:jc w:val="left"/>
            </w:pPr>
            <w:r>
              <w:rPr>
                <w:rFonts w:ascii="Cambria" w:hAnsi="Cambria" w:cs="Cambria" w:eastAsia="Cambria"/>
                <w:color w:val="1A1A1A"/>
                <w:sz w:val="18"/>
              </w:rPr>
              <w:t xml:space="preserve">Standard del business case pubblico in cinque casi: strategico, economico, commerciale, finanziario, gestionale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 2022</w:t>
            </w:r>
          </w:p>
        </w:tc>
        <w:tc>
          <w:tcPr>
            <w:shd w:val="clear" w:color="auto" w:fill="F4F1EC"/>
          </w:tcPr>
          <w:p>
            <w:pPr>
              <w:pStyle w:val="Compact"/>
              <w:spacing w:after="40" w:before="40"/>
              <w:jc w:val="left"/>
            </w:pPr>
            <w:r>
              <w:rPr>
                <w:rFonts w:ascii="Cambria" w:hAnsi="Cambria" w:cs="Cambria" w:eastAsia="Cambria"/>
                <w:color w:val="1A1A1A"/>
                <w:sz w:val="18"/>
              </w:rPr>
              <w:t xml:space="preserve">Lista di controllo di 28 voci per la rendicontazione delle valutazioni economiche</w:t>
            </w:r>
          </w:p>
        </w:tc>
      </w:tr>
      <w:tr>
        <w:tc>
          <w:tcPr/>
          <w:p>
            <w:pPr>
              <w:pStyle w:val="Compact"/>
              <w:spacing w:after="40" w:before="40"/>
              <w:jc w:val="left"/>
            </w:pPr>
            <w:r>
              <w:rPr>
                <w:rFonts w:ascii="Cambria" w:hAnsi="Cambria" w:cs="Cambria" w:eastAsia="Cambria"/>
                <w:b/>
                <w:bCs/>
                <w:color w:val="1A1A1A"/>
                <w:sz w:val="18"/>
              </w:rPr>
              <w:t xml:space="preserve">Criteri OCSE-DAC</w:t>
            </w:r>
          </w:p>
        </w:tc>
        <w:tc>
          <w:tcPr/>
          <w:p>
            <w:pPr>
              <w:pStyle w:val="Compact"/>
              <w:spacing w:after="40" w:before="40"/>
              <w:jc w:val="left"/>
            </w:pPr>
            <w:r>
              <w:rPr>
                <w:rFonts w:ascii="Cambria" w:hAnsi="Cambria" w:cs="Cambria" w:eastAsia="Cambria"/>
                <w:color w:val="1A1A1A"/>
                <w:sz w:val="18"/>
              </w:rPr>
              <w:t xml:space="preserve">Sei criteri di giudizio: rilevanza, coerenza, efficacia, efficienza, impatto,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di vita ponderato per la qualità (QALY)</w:t>
            </w:r>
          </w:p>
        </w:tc>
        <w:tc>
          <w:tcPr>
            <w:shd w:val="clear" w:color="auto" w:fill="F4F1EC"/>
          </w:tcPr>
          <w:p>
            <w:pPr>
              <w:pStyle w:val="Compact"/>
              <w:spacing w:after="40" w:before="40"/>
              <w:jc w:val="left"/>
            </w:pPr>
            <w:r>
              <w:rPr>
                <w:rFonts w:ascii="Cambria" w:hAnsi="Cambria" w:cs="Cambria" w:eastAsia="Cambria"/>
                <w:color w:val="1A1A1A"/>
                <w:sz w:val="18"/>
              </w:rPr>
              <w:t xml:space="preserve">Misura che integra durata e qualità della vita guadagnate</w:t>
            </w:r>
          </w:p>
        </w:tc>
      </w:tr>
      <w:tr>
        <w:tc>
          <w:tcPr/>
          <w:p>
            <w:pPr>
              <w:pStyle w:val="Compact"/>
              <w:spacing w:after="40" w:before="40"/>
              <w:jc w:val="left"/>
            </w:pPr>
            <w:r>
              <w:rPr>
                <w:rFonts w:ascii="Cambria" w:hAnsi="Cambria" w:cs="Cambria" w:eastAsia="Cambria"/>
                <w:b/>
                <w:bCs/>
                <w:color w:val="1A1A1A"/>
                <w:sz w:val="18"/>
              </w:rPr>
              <w:t xml:space="preserve">Rapporto incrementale di costo-efficacia (ICER)</w:t>
            </w:r>
          </w:p>
        </w:tc>
        <w:tc>
          <w:tcPr/>
          <w:p>
            <w:pPr>
              <w:pStyle w:val="Compact"/>
              <w:spacing w:after="40" w:before="40"/>
              <w:jc w:val="left"/>
            </w:pPr>
            <w:r>
              <w:rPr>
                <w:rFonts w:ascii="Cambria" w:hAnsi="Cambria" w:cs="Cambria" w:eastAsia="Cambria"/>
                <w:color w:val="1A1A1A"/>
                <w:sz w:val="18"/>
              </w:rPr>
              <w:t xml:space="preserve">Rapporto tra costo aggiuntivo e guadagno di salute, confrontato con una soglia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costo-utilità</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che misura gli esiti in anni di vita ponderati per la qualità</w:t>
            </w:r>
          </w:p>
        </w:tc>
      </w:tr>
      <w:tr>
        <w:tc>
          <w:tcPr/>
          <w:p>
            <w:pPr>
              <w:pStyle w:val="Compact"/>
              <w:spacing w:after="40" w:before="40"/>
              <w:jc w:val="left"/>
            </w:pPr>
            <w:r>
              <w:rPr>
                <w:rFonts w:ascii="Cambria" w:hAnsi="Cambria" w:cs="Cambria" w:eastAsia="Cambria"/>
                <w:b/>
                <w:bCs/>
                <w:color w:val="1A1A1A"/>
                <w:sz w:val="18"/>
              </w:rPr>
              <w:t xml:space="preserve">Analisi di impatto sul bilancio</w:t>
            </w:r>
          </w:p>
        </w:tc>
        <w:tc>
          <w:tcPr/>
          <w:p>
            <w:pPr>
              <w:pStyle w:val="Compact"/>
              <w:spacing w:after="40" w:before="40"/>
              <w:jc w:val="left"/>
            </w:pPr>
            <w:r>
              <w:rPr>
                <w:rFonts w:ascii="Cambria" w:hAnsi="Cambria" w:cs="Cambria" w:eastAsia="Cambria"/>
                <w:color w:val="1A1A1A"/>
                <w:sz w:val="18"/>
              </w:rPr>
              <w:t xml:space="preserve">Stima dell’effetto finanziario sul bilancio del detentore del budget, su flussi non scontati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sull’investimento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Metodo che monetizza il valore sociale generato, distinto dai risparmi di bilancio</w:t>
            </w:r>
          </w:p>
        </w:tc>
      </w:tr>
      <w:tr>
        <w:tc>
          <w:tcPr/>
          <w:p>
            <w:pPr>
              <w:pStyle w:val="Compact"/>
              <w:spacing w:after="40" w:before="40"/>
              <w:jc w:val="left"/>
            </w:pPr>
            <w:r>
              <w:rPr>
                <w:rFonts w:ascii="Cambria" w:hAnsi="Cambria" w:cs="Cambria" w:eastAsia="Cambria"/>
                <w:b/>
                <w:bCs/>
                <w:color w:val="1A1A1A"/>
                <w:sz w:val="18"/>
              </w:rPr>
              <w:t xml:space="preserve">Analisi costo-efficacia distributiva (DCEA)</w:t>
            </w:r>
          </w:p>
        </w:tc>
        <w:tc>
          <w:tcPr/>
          <w:p>
            <w:pPr>
              <w:pStyle w:val="Compact"/>
              <w:spacing w:after="40" w:before="40"/>
              <w:jc w:val="left"/>
            </w:pPr>
            <w:r>
              <w:rPr>
                <w:rFonts w:ascii="Cambria" w:hAnsi="Cambria" w:cs="Cambria" w:eastAsia="Cambria"/>
                <w:color w:val="1A1A1A"/>
                <w:sz w:val="18"/>
              </w:rPr>
              <w:t xml:space="preserve">Estende la valutazione economica alla distribuzione degli effetti tra gruppi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sensibilità probabilistica</w:t>
            </w:r>
          </w:p>
        </w:tc>
        <w:tc>
          <w:tcPr>
            <w:shd w:val="clear" w:color="auto" w:fill="F4F1EC"/>
          </w:tcPr>
          <w:p>
            <w:pPr>
              <w:pStyle w:val="Compact"/>
              <w:spacing w:after="40" w:before="40"/>
              <w:jc w:val="left"/>
            </w:pPr>
            <w:r>
              <w:rPr>
                <w:rFonts w:ascii="Cambria" w:hAnsi="Cambria" w:cs="Cambria" w:eastAsia="Cambria"/>
                <w:color w:val="1A1A1A"/>
                <w:sz w:val="18"/>
              </w:rPr>
              <w:t xml:space="preserve">Propaga l’incertezza dei parametri mediante simulazioni Monte Carlo</w:t>
            </w:r>
          </w:p>
        </w:tc>
      </w:tr>
      <w:tr>
        <w:tc>
          <w:tcPr/>
          <w:p>
            <w:pPr>
              <w:pStyle w:val="Compact"/>
              <w:spacing w:after="40" w:before="40"/>
              <w:jc w:val="left"/>
            </w:pPr>
            <w:r>
              <w:rPr>
                <w:rFonts w:ascii="Cambria" w:hAnsi="Cambria" w:cs="Cambria" w:eastAsia="Cambria"/>
                <w:b/>
                <w:bCs/>
                <w:color w:val="1A1A1A"/>
                <w:sz w:val="18"/>
              </w:rPr>
              <w:t xml:space="preserve">Valore dell’informazione (EVPI, EVPPI)</w:t>
            </w:r>
          </w:p>
        </w:tc>
        <w:tc>
          <w:tcPr/>
          <w:p>
            <w:pPr>
              <w:pStyle w:val="Compact"/>
              <w:spacing w:after="40" w:before="40"/>
              <w:jc w:val="left"/>
            </w:pPr>
            <w:r>
              <w:rPr>
                <w:rFonts w:ascii="Cambria" w:hAnsi="Cambria" w:cs="Cambria" w:eastAsia="Cambria"/>
                <w:color w:val="1A1A1A"/>
                <w:sz w:val="18"/>
              </w:rPr>
              <w:t xml:space="preserve">Beneficio atteso dalla riduzione dell’incertezza, complessiva e sui parametri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Markov</w:t>
            </w:r>
          </w:p>
        </w:tc>
        <w:tc>
          <w:tcPr>
            <w:shd w:val="clear" w:color="auto" w:fill="F4F1EC"/>
          </w:tcPr>
          <w:p>
            <w:pPr>
              <w:pStyle w:val="Compact"/>
              <w:spacing w:after="40" w:before="40"/>
              <w:jc w:val="left"/>
            </w:pPr>
            <w:r>
              <w:rPr>
                <w:rFonts w:ascii="Cambria" w:hAnsi="Cambria" w:cs="Cambria" w:eastAsia="Cambria"/>
                <w:color w:val="1A1A1A"/>
                <w:sz w:val="18"/>
              </w:rPr>
              <w:t xml:space="preserve">Modello che rappresenta il decorso di una condizione attraverso stati di salute e transizioni</w:t>
            </w:r>
          </w:p>
        </w:tc>
      </w:tr>
      <w:tr>
        <w:tc>
          <w:tcPr/>
          <w:p>
            <w:pPr>
              <w:pStyle w:val="Compact"/>
              <w:spacing w:after="40" w:before="40"/>
              <w:jc w:val="left"/>
            </w:pPr>
            <w:r>
              <w:rPr>
                <w:rFonts w:ascii="Cambria" w:hAnsi="Cambria" w:cs="Cambria" w:eastAsia="Cambria"/>
                <w:b/>
                <w:bCs/>
                <w:color w:val="1A1A1A"/>
                <w:sz w:val="18"/>
              </w:rPr>
              <w:t xml:space="preserve">Differenza-nelle-differenze</w:t>
            </w:r>
          </w:p>
        </w:tc>
        <w:tc>
          <w:tcPr/>
          <w:p>
            <w:pPr>
              <w:pStyle w:val="Compact"/>
              <w:spacing w:after="40" w:before="40"/>
              <w:jc w:val="left"/>
            </w:pPr>
            <w:r>
              <w:rPr>
                <w:rFonts w:ascii="Cambria" w:hAnsi="Cambria" w:cs="Cambria" w:eastAsia="Cambria"/>
                <w:color w:val="1A1A1A"/>
                <w:sz w:val="18"/>
              </w:rPr>
              <w:t xml:space="preserve">Metodo controfattuale che confronta la variazione nel tempo dell’esito tra gruppi a diversa esposizione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Controllo sintetico</w:t>
            </w:r>
          </w:p>
        </w:tc>
        <w:tc>
          <w:tcPr>
            <w:shd w:val="clear" w:color="auto" w:fill="F4F1EC"/>
          </w:tcPr>
          <w:p>
            <w:pPr>
              <w:pStyle w:val="Compact"/>
              <w:spacing w:after="40" w:before="40"/>
              <w:jc w:val="left"/>
            </w:pPr>
            <w:r>
              <w:rPr>
                <w:rFonts w:ascii="Cambria" w:hAnsi="Cambria" w:cs="Cambria" w:eastAsia="Cambria"/>
                <w:color w:val="1A1A1A"/>
                <w:sz w:val="18"/>
              </w:rPr>
              <w:t xml:space="preserve">Metodo che costruisce un’unità di confronto come combinazione ponderata di unità a minore esposizione</w:t>
            </w:r>
          </w:p>
        </w:tc>
      </w:tr>
      <w:tr>
        <w:tc>
          <w:tcPr/>
          <w:p>
            <w:pPr>
              <w:pStyle w:val="Compact"/>
              <w:spacing w:after="40" w:before="40"/>
              <w:jc w:val="left"/>
            </w:pPr>
            <w:r>
              <w:rPr>
                <w:rFonts w:ascii="Cambria" w:hAnsi="Cambria" w:cs="Cambria" w:eastAsia="Cambria"/>
                <w:b/>
                <w:bCs/>
                <w:color w:val="1A1A1A"/>
                <w:sz w:val="18"/>
              </w:rPr>
              <w:t xml:space="preserve">Disegno a cunei progressivi prospettico</w:t>
            </w:r>
          </w:p>
        </w:tc>
        <w:tc>
          <w:tcPr/>
          <w:p>
            <w:pPr>
              <w:pStyle w:val="Compact"/>
              <w:spacing w:after="40" w:before="40"/>
              <w:jc w:val="left"/>
            </w:pPr>
            <w:r>
              <w:rPr>
                <w:rFonts w:ascii="Cambria" w:hAnsi="Cambria" w:cs="Cambria" w:eastAsia="Cambria"/>
                <w:color w:val="1A1A1A"/>
                <w:sz w:val="18"/>
              </w:rPr>
              <w:t xml:space="preserve">Disegno controfattuale impiegato in Liguria, ove la sperimentazione è appena avviata, fondato su un’attivazione scaglionata tra le cinque Aziende e i loro distretti pianificata in anticipo a fini valutativi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e verifica d’impatto della regolazione</w:t>
            </w:r>
          </w:p>
        </w:tc>
        <w:tc>
          <w:tcPr>
            <w:shd w:val="clear" w:color="auto" w:fill="F4F1EC"/>
          </w:tcPr>
          <w:p>
            <w:pPr>
              <w:pStyle w:val="Compact"/>
              <w:spacing w:after="40" w:before="40"/>
              <w:jc w:val="left"/>
            </w:pPr>
            <w:r>
              <w:rPr>
                <w:rFonts w:ascii="Cambria" w:hAnsi="Cambria" w:cs="Cambria" w:eastAsia="Cambria"/>
                <w:color w:val="1A1A1A"/>
                <w:sz w:val="18"/>
              </w:rPr>
              <w:t xml:space="preserve">Valutazione ex ante (AIR) ed ex post (VIR) degli effetti di una norma</w:t>
            </w:r>
          </w:p>
        </w:tc>
      </w:tr>
      <w:tr>
        <w:tc>
          <w:tcPr/>
          <w:p>
            <w:pPr>
              <w:pStyle w:val="Compact"/>
              <w:spacing w:after="40" w:before="40"/>
              <w:jc w:val="left"/>
            </w:pPr>
            <w:r>
              <w:rPr>
                <w:rFonts w:ascii="Cambria" w:hAnsi="Cambria" w:cs="Cambria" w:eastAsia="Cambria"/>
                <w:b/>
                <w:bCs/>
                <w:color w:val="1A1A1A"/>
                <w:sz w:val="18"/>
              </w:rPr>
              <w:t xml:space="preserve">Clausola valutativa</w:t>
            </w:r>
          </w:p>
        </w:tc>
        <w:tc>
          <w:tcPr/>
          <w:p>
            <w:pPr>
              <w:pStyle w:val="Compact"/>
              <w:spacing w:after="40" w:before="40"/>
              <w:jc w:val="left"/>
            </w:pPr>
            <w:r>
              <w:rPr>
                <w:rFonts w:ascii="Cambria" w:hAnsi="Cambria" w:cs="Cambria" w:eastAsia="Cambria"/>
                <w:color w:val="1A1A1A"/>
                <w:sz w:val="18"/>
              </w:rPr>
              <w:t xml:space="preserve">Strumento che impegna la Giunta a riferire al Consiglio sui risultati della riforma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RE-AIM</w:t>
            </w:r>
          </w:p>
        </w:tc>
        <w:tc>
          <w:tcPr>
            <w:shd w:val="clear" w:color="auto" w:fill="F4F1EC"/>
          </w:tcPr>
          <w:p>
            <w:pPr>
              <w:pStyle w:val="Compact"/>
              <w:spacing w:after="40" w:before="40"/>
              <w:jc w:val="left"/>
            </w:pPr>
            <w:r>
              <w:rPr>
                <w:rFonts w:ascii="Cambria" w:hAnsi="Cambria" w:cs="Cambria" w:eastAsia="Cambria"/>
                <w:color w:val="1A1A1A"/>
                <w:sz w:val="18"/>
              </w:rPr>
              <w:t xml:space="preserve">Quadro che misura portata, efficacia, adozione, implementazione e mantenimento di un intervento</w:t>
            </w:r>
          </w:p>
        </w:tc>
      </w:tr>
      <w:tr>
        <w:tc>
          <w:tcPr/>
          <w:p>
            <w:pPr>
              <w:pStyle w:val="Compact"/>
              <w:spacing w:after="40" w:before="40"/>
              <w:jc w:val="left"/>
            </w:pPr>
            <w:r>
              <w:rPr>
                <w:rFonts w:ascii="Cambria" w:hAnsi="Cambria" w:cs="Cambria" w:eastAsia="Cambria"/>
                <w:b/>
                <w:bCs/>
                <w:color w:val="1A1A1A"/>
                <w:sz w:val="18"/>
              </w:rPr>
              <w:t xml:space="preserve">CFIR</w:t>
            </w:r>
          </w:p>
        </w:tc>
        <w:tc>
          <w:tcPr/>
          <w:p>
            <w:pPr>
              <w:pStyle w:val="Compact"/>
              <w:spacing w:after="40" w:before="40"/>
              <w:jc w:val="left"/>
            </w:pPr>
            <w:r>
              <w:rPr>
                <w:rFonts w:ascii="Cambria" w:hAnsi="Cambria" w:cs="Cambria" w:eastAsia="Cambria"/>
                <w:color w:val="1A1A1A"/>
                <w:sz w:val="18"/>
              </w:rPr>
              <w:t xml:space="preserve">Quadro che spiega i determinanti dell’implementazione, in cinque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Donabedian</w:t>
            </w:r>
          </w:p>
        </w:tc>
        <w:tc>
          <w:tcPr>
            <w:shd w:val="clear" w:color="auto" w:fill="F4F1EC"/>
          </w:tcPr>
          <w:p>
            <w:pPr>
              <w:pStyle w:val="Compact"/>
              <w:spacing w:after="40" w:before="40"/>
              <w:jc w:val="left"/>
            </w:pPr>
            <w:r>
              <w:rPr>
                <w:rFonts w:ascii="Cambria" w:hAnsi="Cambria" w:cs="Cambria" w:eastAsia="Cambria"/>
                <w:color w:val="1A1A1A"/>
                <w:sz w:val="18"/>
              </w:rPr>
              <w:t xml:space="preserve">Classifica gli indicatori di qualità in struttura, processo ed esito, qui integrati dall’impatto</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Questionario validato per i sintomi depressivi (punteggio 0–27)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Questionario validato per i sintomi d’ansia (punteggio 0–21)</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Quota di pazienti che scende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r>
        <w:tc>
          <w:tcPr/>
          <w:p>
            <w:pPr>
              <w:pStyle w:val="Compact"/>
              <w:spacing w:after="40" w:before="40"/>
              <w:jc w:val="left"/>
            </w:pPr>
            <w:r>
              <w:rPr>
                <w:rFonts w:ascii="Cambria" w:hAnsi="Cambria" w:cs="Cambria" w:eastAsia="Cambria"/>
                <w:b/>
                <w:bCs/>
                <w:color w:val="1A1A1A"/>
                <w:sz w:val="18"/>
              </w:rPr>
              <w:t xml:space="preserve">Cura collaborativa</w:t>
            </w:r>
          </w:p>
        </w:tc>
        <w:tc>
          <w:tcPr/>
          <w:p>
            <w:pPr>
              <w:pStyle w:val="Compact"/>
              <w:spacing w:after="40" w:before="40"/>
              <w:jc w:val="left"/>
            </w:pPr>
            <w:r>
              <w:rPr>
                <w:rFonts w:ascii="Cambria" w:hAnsi="Cambria" w:cs="Cambria" w:eastAsia="Cambria"/>
                <w:color w:val="1A1A1A"/>
                <w:sz w:val="18"/>
              </w:rPr>
              <w:t xml:space="preserve">Modello di integrazione della salute mentale nelle cure primarie con équipe e monitoraggio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Cura a intensità crescente</w:t>
            </w:r>
          </w:p>
        </w:tc>
        <w:tc>
          <w:tcPr>
            <w:shd w:val="clear" w:color="auto" w:fill="F4F1EC"/>
          </w:tcPr>
          <w:p>
            <w:pPr>
              <w:pStyle w:val="Compact"/>
              <w:spacing w:after="40" w:before="40"/>
              <w:jc w:val="left"/>
            </w:pPr>
            <w:r>
              <w:rPr>
                <w:rFonts w:ascii="Cambria" w:hAnsi="Cambria" w:cs="Cambria" w:eastAsia="Cambria"/>
                <w:color w:val="1A1A1A"/>
                <w:sz w:val="18"/>
              </w:rPr>
              <w:t xml:space="preserve">Percorso che gradua l’intensità dell’intervento alla gravità del quadro</w:t>
            </w:r>
          </w:p>
        </w:tc>
      </w:tr>
      <w:tr>
        <w:tc>
          <w:tcPr/>
          <w:p>
            <w:pPr>
              <w:pStyle w:val="Compact"/>
              <w:spacing w:after="40" w:before="40"/>
              <w:jc w:val="left"/>
            </w:pPr>
            <w:r>
              <w:rPr>
                <w:rFonts w:ascii="Cambria" w:hAnsi="Cambria" w:cs="Cambria" w:eastAsia="Cambria"/>
                <w:b/>
                <w:bCs/>
                <w:color w:val="1A1A1A"/>
                <w:sz w:val="18"/>
              </w:rPr>
              <w:t xml:space="preserve">Livelli essenziali di assistenza (LEA)</w:t>
            </w:r>
          </w:p>
        </w:tc>
        <w:tc>
          <w:tcPr/>
          <w:p>
            <w:pPr>
              <w:pStyle w:val="Compact"/>
              <w:spacing w:after="40" w:before="40"/>
              <w:jc w:val="left"/>
            </w:pPr>
            <w:r>
              <w:rPr>
                <w:rFonts w:ascii="Cambria" w:hAnsi="Cambria" w:cs="Cambria" w:eastAsia="Cambria"/>
                <w:color w:val="1A1A1A"/>
                <w:sz w:val="18"/>
              </w:rPr>
              <w:t xml:space="preserve">Prestazioni garantite uniformemente dal Servizio sanitario;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Spesa per prestazioni rese ai residenti da strutture di altre regioni; in Liguria il saldo è passivo (regione debitrice), ma la fuga è chirurgica, sicché il canale del recupero è marginale per questo intervento</w:t>
            </w:r>
          </w:p>
        </w:tc>
      </w:tr>
      <w:tr>
        <w:tc>
          <w:tcPr/>
          <w:p>
            <w:pPr>
              <w:pStyle w:val="Compact"/>
              <w:spacing w:after="40" w:before="40"/>
              <w:jc w:val="left"/>
            </w:pPr>
            <w:r>
              <w:rPr>
                <w:rFonts w:ascii="Cambria" w:hAnsi="Cambria" w:cs="Cambria" w:eastAsia="Cambria"/>
                <w:b/>
                <w:bCs/>
                <w:color w:val="1A1A1A"/>
                <w:sz w:val="18"/>
              </w:rPr>
              <w:t xml:space="preserve">Sintomi somatici funzionali</w:t>
            </w:r>
          </w:p>
        </w:tc>
        <w:tc>
          <w:tcPr/>
          <w:p>
            <w:pPr>
              <w:pStyle w:val="Compact"/>
              <w:spacing w:after="40" w:before="40"/>
              <w:jc w:val="left"/>
            </w:pPr>
            <w:r>
              <w:rPr>
                <w:rFonts w:ascii="Cambria" w:hAnsi="Cambria" w:cs="Cambria" w:eastAsia="Cambria"/>
                <w:color w:val="1A1A1A"/>
                <w:sz w:val="18"/>
              </w:rPr>
              <w:t xml:space="preserve">Sintomi fisici senza causa organica, associati a elevato consumo di prestazioni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vecchiaia</w:t>
            </w:r>
          </w:p>
        </w:tc>
        <w:tc>
          <w:tcPr>
            <w:shd w:val="clear" w:color="auto" w:fill="F4F1EC"/>
          </w:tcPr>
          <w:p>
            <w:pPr>
              <w:pStyle w:val="Compact"/>
              <w:spacing w:after="40" w:before="40"/>
              <w:jc w:val="left"/>
            </w:pPr>
            <w:r>
              <w:rPr>
                <w:rFonts w:ascii="Cambria" w:hAnsi="Cambria" w:cs="Cambria" w:eastAsia="Cambria"/>
                <w:color w:val="1A1A1A"/>
                <w:sz w:val="18"/>
              </w:rPr>
              <w:t xml:space="preserve">Rapporto tra ultrasessantacinquenni e giovani sotto i quindici anni; in Liguria il più elevato d’Italia</w:t>
            </w:r>
          </w:p>
        </w:tc>
      </w:tr>
      <w:tr>
        <w:tc>
          <w:tcPr/>
          <w:p>
            <w:pPr>
              <w:pStyle w:val="Compact"/>
              <w:spacing w:after="40" w:before="40"/>
              <w:jc w:val="left"/>
            </w:pPr>
            <w:r>
              <w:rPr>
                <w:rFonts w:ascii="Cambria" w:hAnsi="Cambria" w:cs="Cambria" w:eastAsia="Cambria"/>
                <w:b/>
                <w:bCs/>
                <w:color w:val="1A1A1A"/>
                <w:sz w:val="18"/>
              </w:rPr>
              <w:t xml:space="preserve">Peso morto</w:t>
            </w:r>
          </w:p>
        </w:tc>
        <w:tc>
          <w:tcPr/>
          <w:p>
            <w:pPr>
              <w:pStyle w:val="Compact"/>
              <w:spacing w:after="40" w:before="40"/>
              <w:jc w:val="left"/>
            </w:pPr>
            <w:r>
              <w:rPr>
                <w:rFonts w:ascii="Cambria" w:hAnsi="Cambria" w:cs="Cambria" w:eastAsia="Cambria"/>
                <w:color w:val="1A1A1A"/>
                <w:sz w:val="18"/>
              </w:rP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68</w:t>
      </w:r>
    </w:p>
    <w:p>
      <w:pPr>
        <w:pStyle w:val="BodyText"/>
      </w:pPr>
      <w:r>
        <w:t xml:space="preserve">68</w:t>
      </w:r>
    </w:p>
    <w:bookmarkEnd w:id="4248"/>
    <w:bookmarkStart w:id="689" w:name="lombardia-studio-hta-integrale"/>
    <w:p>
      <w:pPr>
        <w:pStyle w:val="Heading2"/>
      </w:pPr>
      <w:r>
        <w:t xml:space="preserve">Lombardia — Studio HTA integrale</w:t>
      </w:r>
    </w:p>
    <w:p>
      <w:pPr>
        <w:pStyle w:val="FirstParagraph"/>
      </w:pPr>
      <w:r>
        <w:t xml:space="preserve">Studio Integrale Regionale · Regione Lombardia</w:t>
      </w:r>
    </w:p>
    <w:p>
      <w:pPr>
        <w:pStyle w:val="BodyText"/>
      </w:pPr>
      <w:r>
        <w:t xml:space="preserve">Progetto «Psicologo di Base» — Riforma «Psicologo di Base» nella cornice della L.R. 22/2021. Applicazione del telaio integrato in undici parti e cinque appendici (Modello HTA · Five Case Model · CHEERS 2022 · criteri OCSE-DAC).</w:t>
      </w:r>
    </w:p>
    <w:p>
      <w:pPr>
        <w:pStyle w:val="BodyText"/>
      </w:pPr>
      <w:r>
        <w:t xml:space="preserve">Indice</w:t>
      </w:r>
    </w:p>
    <w:bookmarkEnd w:id="689"/>
    <w:bookmarkStart w:id="4249" w:name="premessa-generale-2"/>
    <w:p>
      <w:pPr>
        <w:pStyle w:val="Heading2"/>
      </w:pPr>
      <w:r>
        <w:t xml:space="preserve">Premessa generale</w:t>
      </w:r>
    </w:p>
    <w:p>
      <w:pPr>
        <w:pStyle w:val="FirstParagraph"/>
      </w:pPr>
      <w:r>
        <w:t xml:space="preserve">Questo documento apre e ordina lo studio integrale per la Regione Lombardia sulla riforma «Psicologo di Base», nella cornice della legge regionale n. 22 del 2021. Esso non contiene una nuova analisi, ma fornisce la chiave di navigazione dell’intero corpus: la premessa, l’indice generale di tutte le parti e appendici, la mappa di integrazione del telaio e la sintesi del valore. La sua funzione è di rendere i numerosi documenti dello studio un insieme coerente e leggibile come un’unica opera.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Da essa discende la tesi centrale dello studio lombardo, articolata in tre affermazioni congiunte e dichiarate senza attenuazioni: il servizio costa al bilancio una cifra modesta e comporta un saldo diretto lievemente negativo, trascurabile rispetto a un finanziamento di ventuno miliardi; restituisce alla collettività un valore dell’ordine di quattro euro per ogni euro speso; e adempie all’obbligo di garantire i livelli essenziali. Rispetto alla Puglia, regione debitrice di mobilità e in disavanzo, la Lombardia presenta un caso diretto più debole — per l’assenza del canale della mobilità e per un sistema già efficiente — e un valore che poggia, in misura ancora maggiore, sulle ricadute sociali.</w:t>
      </w:r>
    </w:p>
    <w:bookmarkEnd w:id="4249"/>
    <w:bookmarkStart w:id="4250" w:name="indice-generale-del-corpus-2"/>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05"/>
        <w:gridCol w:w="1105"/>
        <w:gridCol w:w="561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A.1-A.3</w:t>
            </w:r>
          </w:p>
        </w:tc>
        <w:tc>
          <w:tcPr/>
          <w:p>
            <w:pPr>
              <w:pStyle w:val="Compact"/>
              <w:spacing w:after="40" w:before="40"/>
              <w:jc w:val="left"/>
            </w:pPr>
            <w:r>
              <w:rPr>
                <w:rFonts w:ascii="Cambria" w:hAnsi="Cambria" w:cs="Cambria" w:eastAsia="Cambria"/>
                <w:color w:val="1A1A1A"/>
                <w:sz w:val="18"/>
              </w:rPr>
              <w:t xml:space="preserve">Quadro, quesito e metodo: scopo e quesito (PICOTS),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Problema di salute, bisogno e contesto: demografia, epidemiologia, domanda e offerta, disuguaglianze,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L’intervento e il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clinica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casi economico e finanziario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parametri, sensibilità,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G.1-G.3</w:t>
            </w:r>
          </w:p>
        </w:tc>
        <w:tc>
          <w:tcPr/>
          <w:p>
            <w:pPr>
              <w:pStyle w:val="Compact"/>
              <w:spacing w:after="40" w:before="40"/>
              <w:jc w:val="left"/>
            </w:pPr>
            <w:r>
              <w:rPr>
                <w:rFonts w:ascii="Cambria" w:hAnsi="Cambria" w:cs="Cambria" w:eastAsia="Cambria"/>
                <w:color w:val="1A1A1A"/>
                <w:sz w:val="18"/>
              </w:rPr>
              <w:t xml:space="preserve">Equità e impatto distributivo: analisi di equità, costo-efficacia distributiva, divari e impoverimento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H.1-H.3</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etico, costituzionale, organizzativo e conformità</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implementazione, dispiegamento, casi commerciale e gestionale,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valutazione ed ex post: indicatori, protocollo, controfattuale, verifica ex post, cruscotto</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M.1-M.4</w:t>
            </w:r>
          </w:p>
        </w:tc>
        <w:tc>
          <w:tcPr/>
          <w:p>
            <w:pPr>
              <w:pStyle w:val="Compact"/>
              <w:spacing w:after="40" w:before="40"/>
              <w:jc w:val="left"/>
            </w:pPr>
            <w:r>
              <w:rPr>
                <w:rFonts w:ascii="Cambria" w:hAnsi="Cambria" w:cs="Cambria" w:eastAsia="Cambria"/>
                <w:color w:val="1A1A1A"/>
                <w:sz w:val="18"/>
              </w:rPr>
              <w:t xml:space="preserve">Sintesi multidimensionale e raccomandazioni: griglia OCSE-DAC, analisi multi-criterio, raccomandazioni, limiti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A</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tavola delle assunzioni e dei parametri</w:t>
            </w:r>
          </w:p>
        </w:tc>
      </w:tr>
      <w:tr>
        <w:tc>
          <w:tcPr/>
          <w:p>
            <w:pPr>
              <w:pStyle w:val="Compact"/>
              <w:spacing w:after="40" w:before="40"/>
              <w:jc w:val="left"/>
            </w:pPr>
            <w:r>
              <w:rPr>
                <w:rFonts w:ascii="Cambria" w:hAnsi="Cambria" w:cs="Cambria" w:eastAsia="Cambria"/>
                <w:b/>
                <w:bCs/>
                <w:color w:val="1A1A1A"/>
                <w:sz w:val="18"/>
              </w:rPr>
              <w:t xml:space="preserve">Appendice B</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Strumenti di esito e dataset minimo: questionari e dizionario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C</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Dati regionali e fonti: valori di ancoraggio e dati da acquisire</w:t>
            </w:r>
          </w:p>
        </w:tc>
      </w:tr>
      <w:tr>
        <w:tc>
          <w:tcPr/>
          <w:p>
            <w:pPr>
              <w:pStyle w:val="Compact"/>
              <w:spacing w:after="40" w:before="40"/>
              <w:jc w:val="left"/>
            </w:pPr>
            <w:r>
              <w:rPr>
                <w:rFonts w:ascii="Cambria" w:hAnsi="Cambria" w:cs="Cambria" w:eastAsia="Cambria"/>
                <w:b/>
                <w:bCs/>
                <w:color w:val="1A1A1A"/>
                <w:sz w:val="18"/>
              </w:rPr>
              <w:t xml:space="preserve">Appendice D</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Checklist di reporting: CHEERS, PRISMA, GRADE, STROBE, ISPOR-SMDM, OCSE-JRC</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4250"/>
    <w:bookmarkStart w:id="692" w:name="la-mappa-di-integrazione-del-telaio-2"/>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CHEERS; e i criteri dell’OCSE-DAC attraversano l’intero studio come griglia di giudizio, convergendo nella sintesi. La tabella seguente riporta, per ciascuna parte, il dominio HTA, il caso del Five Case Model e il criterio OCSE-DAC corrispondenti.</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87"/>
        <w:gridCol w:w="1208"/>
        <w:gridCol w:w="1745"/>
        <w:gridCol w:w="17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Parte</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HTA</w:t>
            </w:r>
          </w:p>
        </w:tc>
        <w:tc>
          <w:tcPr>
            <w:shd w:val="clear" w:color="auto" w:fill="16264B"/>
          </w:tcPr>
          <w:p>
            <w:pPr>
              <w:pStyle w:val="Compact"/>
              <w:spacing w:after="40" w:before="40"/>
              <w:jc w:val="left"/>
            </w:pPr>
            <w:r>
              <w:rPr>
                <w:rFonts w:ascii="Cambria" w:hAnsi="Cambria" w:cs="Cambria" w:eastAsia="Cambria"/>
                <w:b/>
                <w:bCs/>
                <w:color w:val="FFFFFF"/>
                <w:sz w:val="18"/>
              </w:rPr>
              <w:t xml:space="preserve">Caso (5CM)</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Criterio OCSE-DAC</w:t>
            </w:r>
          </w:p>
        </w:tc>
      </w:tr>
      <w:tr>
        <w:tc>
          <w:tcPr/>
          <w:p>
            <w:pPr>
              <w:pStyle w:val="Compact"/>
              <w:spacing w:after="40" w:before="40"/>
              <w:jc w:val="left"/>
            </w:pPr>
            <w:r>
              <w:rPr>
                <w:rFonts w:ascii="Cambria" w:hAnsi="Cambria" w:cs="Cambria" w:eastAsia="Cambria"/>
                <w:b/>
                <w:bCs/>
                <w:color w:val="1A1A1A"/>
                <w:sz w:val="18"/>
              </w:rPr>
              <w:t xml:space="preserve">A — Quadro e metodo</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Imposta la griglia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 — Bisogno e contesto</w:t>
            </w:r>
          </w:p>
        </w:tc>
        <w:tc>
          <w:tcPr>
            <w:shd w:val="clear" w:color="auto" w:fill="F4F1EC"/>
          </w:tcPr>
          <w:p>
            <w:pPr>
              <w:pStyle w:val="Compact"/>
              <w:spacing w:after="40" w:before="40"/>
              <w:jc w:val="left"/>
            </w:pPr>
            <w:r>
              <w:rPr>
                <w:rFonts w:ascii="Cambria" w:hAnsi="Cambria" w:cs="Cambria" w:eastAsia="Cambria"/>
                <w:color w:val="1A1A1A"/>
                <w:sz w:val="18"/>
              </w:rPr>
              <w:t xml:space="preserve">Dominio 1</w:t>
            </w:r>
          </w:p>
        </w:tc>
        <w:tc>
          <w:tcPr>
            <w:shd w:val="clear" w:color="auto" w:fill="F4F1EC"/>
          </w:tcPr>
          <w:p>
            <w:pPr>
              <w:pStyle w:val="Compact"/>
              <w:spacing w:after="40" w:before="40"/>
              <w:jc w:val="left"/>
            </w:pPr>
            <w:r>
              <w:rPr>
                <w:rFonts w:ascii="Cambria" w:hAnsi="Cambria" w:cs="Cambria" w:eastAsia="Cambria"/>
                <w:color w:val="1A1A1A"/>
                <w:sz w:val="18"/>
              </w:rPr>
              <w:t xml:space="preserve">Strategico</w:t>
            </w:r>
          </w:p>
        </w:tc>
        <w:tc>
          <w:tcPr>
            <w:shd w:val="clear" w:color="auto" w:fill="F4F1EC"/>
          </w:tcPr>
          <w:p>
            <w:pPr>
              <w:pStyle w:val="Compact"/>
              <w:spacing w:after="40" w:before="40"/>
              <w:jc w:val="left"/>
            </w:pPr>
            <w:r>
              <w:rPr>
                <w:rFonts w:ascii="Cambria" w:hAnsi="Cambria" w:cs="Cambria" w:eastAsia="Cambria"/>
                <w:color w:val="1A1A1A"/>
                <w:sz w:val="18"/>
              </w:rPr>
              <w:t xml:space="preserve">Rilevanza, coerenza</w:t>
            </w:r>
          </w:p>
        </w:tc>
      </w:tr>
      <w:tr>
        <w:tc>
          <w:tcPr/>
          <w:p>
            <w:pPr>
              <w:pStyle w:val="Compact"/>
              <w:spacing w:after="40" w:before="40"/>
              <w:jc w:val="left"/>
            </w:pPr>
            <w:r>
              <w:rPr>
                <w:rFonts w:ascii="Cambria" w:hAnsi="Cambria" w:cs="Cambria" w:eastAsia="Cambria"/>
                <w:b/>
                <w:bCs/>
                <w:color w:val="1A1A1A"/>
                <w:sz w:val="18"/>
              </w:rPr>
              <w:t xml:space="preserve">C — Intervento e modello</w:t>
            </w:r>
          </w:p>
        </w:tc>
        <w:tc>
          <w:tcPr/>
          <w:p>
            <w:pPr>
              <w:pStyle w:val="Compact"/>
              <w:spacing w:after="40" w:before="40"/>
              <w:jc w:val="left"/>
            </w:pPr>
            <w:r>
              <w:rPr>
                <w:rFonts w:ascii="Cambria" w:hAnsi="Cambria" w:cs="Cambria" w:eastAsia="Cambria"/>
                <w:color w:val="1A1A1A"/>
                <w:sz w:val="18"/>
              </w:rPr>
              <w:t xml:space="preserve">Domini 2–3</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 — Efficacia ed evidenza</w:t>
            </w:r>
          </w:p>
        </w:tc>
        <w:tc>
          <w:tcPr>
            <w:shd w:val="clear" w:color="auto" w:fill="F4F1EC"/>
          </w:tcPr>
          <w:p>
            <w:pPr>
              <w:pStyle w:val="Compact"/>
              <w:spacing w:after="40" w:before="40"/>
              <w:jc w:val="left"/>
            </w:pPr>
            <w:r>
              <w:rPr>
                <w:rFonts w:ascii="Cambria" w:hAnsi="Cambria" w:cs="Cambria" w:eastAsia="Cambria"/>
                <w:color w:val="1A1A1A"/>
                <w:sz w:val="18"/>
              </w:rPr>
              <w:t xml:space="preserve">Dominio 4</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Efficacia</w:t>
            </w:r>
          </w:p>
        </w:tc>
      </w:tr>
      <w:tr>
        <w:tc>
          <w:tcPr/>
          <w:p>
            <w:pPr>
              <w:pStyle w:val="Compact"/>
              <w:spacing w:after="40" w:before="40"/>
              <w:jc w:val="left"/>
            </w:pPr>
            <w:r>
              <w:rPr>
                <w:rFonts w:ascii="Cambria" w:hAnsi="Cambria" w:cs="Cambria" w:eastAsia="Cambria"/>
                <w:b/>
                <w:bCs/>
                <w:color w:val="1A1A1A"/>
                <w:sz w:val="18"/>
              </w:rPr>
              <w:t xml:space="preserve">E — Valutazione economica</w:t>
            </w:r>
          </w:p>
        </w:tc>
        <w:tc>
          <w:tcPr/>
          <w:p>
            <w:pPr>
              <w:pStyle w:val="Compact"/>
              <w:spacing w:after="40" w:before="40"/>
              <w:jc w:val="left"/>
            </w:pPr>
            <w:r>
              <w:rPr>
                <w:rFonts w:ascii="Cambria" w:hAnsi="Cambria" w:cs="Cambria" w:eastAsia="Cambria"/>
                <w:color w:val="1A1A1A"/>
                <w:sz w:val="18"/>
              </w:rPr>
              <w:t xml:space="preserve">Dominio 5</w:t>
            </w:r>
          </w:p>
        </w:tc>
        <w:tc>
          <w:tcPr/>
          <w:p>
            <w:pPr>
              <w:pStyle w:val="Compact"/>
              <w:spacing w:after="40" w:before="40"/>
              <w:jc w:val="left"/>
            </w:pPr>
            <w:r>
              <w:rPr>
                <w:rFonts w:ascii="Cambria" w:hAnsi="Cambria" w:cs="Cambria" w:eastAsia="Cambria"/>
                <w:color w:val="1A1A1A"/>
                <w:sz w:val="18"/>
              </w:rPr>
              <w:t xml:space="preserve">Economico, finanziario</w:t>
            </w:r>
          </w:p>
        </w:tc>
        <w:tc>
          <w:tcPr/>
          <w:p>
            <w:pPr>
              <w:pStyle w:val="Compact"/>
              <w:spacing w:after="40" w:before="40"/>
              <w:jc w:val="left"/>
            </w:pPr>
            <w:r>
              <w:rPr>
                <w:rFonts w:ascii="Cambria" w:hAnsi="Cambria" w:cs="Cambria" w:eastAsia="Cambria"/>
                <w:color w:val="1A1A1A"/>
                <w:sz w:val="18"/>
              </w:rPr>
              <w:t xml:space="preserve">Efficienza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 — 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Dominio 5</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Efficienza</w:t>
            </w:r>
          </w:p>
        </w:tc>
      </w:tr>
      <w:tr>
        <w:tc>
          <w:tcPr/>
          <w:p>
            <w:pPr>
              <w:pStyle w:val="Compact"/>
              <w:spacing w:after="40" w:before="40"/>
              <w:jc w:val="left"/>
            </w:pPr>
            <w:r>
              <w:rPr>
                <w:rFonts w:ascii="Cambria" w:hAnsi="Cambria" w:cs="Cambria" w:eastAsia="Cambria"/>
                <w:b/>
                <w:bCs/>
                <w:color w:val="1A1A1A"/>
                <w:sz w:val="18"/>
              </w:rPr>
              <w:t xml:space="preserve">G — Equità e impatto</w:t>
            </w:r>
          </w:p>
        </w:tc>
        <w:tc>
          <w:tcPr/>
          <w:p>
            <w:pPr>
              <w:pStyle w:val="Compact"/>
              <w:spacing w:after="40" w:before="40"/>
              <w:jc w:val="left"/>
            </w:pPr>
            <w:r>
              <w:rPr>
                <w:rFonts w:ascii="Cambria" w:hAnsi="Cambria" w:cs="Cambria" w:eastAsia="Cambria"/>
                <w:color w:val="1A1A1A"/>
                <w:sz w:val="18"/>
              </w:rPr>
              <w:t xml:space="preserve">Dominio 8</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Impatto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H — Profili etico/giuridico/organizz.</w:t>
            </w:r>
          </w:p>
        </w:tc>
        <w:tc>
          <w:tcPr>
            <w:shd w:val="clear" w:color="auto" w:fill="F4F1EC"/>
          </w:tcPr>
          <w:p>
            <w:pPr>
              <w:pStyle w:val="Compact"/>
              <w:spacing w:after="40" w:before="40"/>
              <w:jc w:val="left"/>
            </w:pPr>
            <w:r>
              <w:rPr>
                <w:rFonts w:ascii="Cambria" w:hAnsi="Cambria" w:cs="Cambria" w:eastAsia="Cambria"/>
                <w:color w:val="1A1A1A"/>
                <w:sz w:val="18"/>
              </w:rPr>
              <w:t xml:space="preserve">Domini 6, 7, 9</w:t>
            </w:r>
          </w:p>
        </w:tc>
        <w:tc>
          <w:tcPr>
            <w:shd w:val="clear" w:color="auto" w:fill="F4F1EC"/>
          </w:tcPr>
          <w:p>
            <w:pPr>
              <w:pStyle w:val="Compact"/>
              <w:spacing w:after="40" w:before="40"/>
              <w:jc w:val="left"/>
            </w:pPr>
            <w:r>
              <w:rPr>
                <w:rFonts w:ascii="Cambria" w:hAnsi="Cambria" w:cs="Cambria" w:eastAsia="Cambria"/>
                <w:color w:val="1A1A1A"/>
                <w:sz w:val="18"/>
              </w:rPr>
              <w:t xml:space="preserve">Gestionale</w:t>
            </w:r>
          </w:p>
        </w:tc>
        <w:tc>
          <w:tcPr>
            <w:shd w:val="clear" w:color="auto" w:fill="F4F1EC"/>
          </w:tcPr>
          <w:p>
            <w:pPr>
              <w:pStyle w:val="Compact"/>
              <w:spacing w:after="40" w:before="40"/>
              <w:jc w:val="left"/>
            </w:pPr>
            <w:r>
              <w:rPr>
                <w:rFonts w:ascii="Cambria" w:hAnsi="Cambria" w:cs="Cambria" w:eastAsia="Cambria"/>
                <w:color w:val="1A1A1A"/>
                <w:sz w:val="18"/>
              </w:rPr>
              <w:t xml:space="preserve">Coerenza</w:t>
            </w:r>
          </w:p>
        </w:tc>
      </w:tr>
      <w:tr>
        <w:tc>
          <w:tcPr/>
          <w:p>
            <w:pPr>
              <w:pStyle w:val="Compact"/>
              <w:spacing w:after="40" w:before="40"/>
              <w:jc w:val="left"/>
            </w:pPr>
            <w:r>
              <w:rPr>
                <w:rFonts w:ascii="Cambria" w:hAnsi="Cambria" w:cs="Cambria" w:eastAsia="Cambria"/>
                <w:b/>
                <w:bCs/>
                <w:color w:val="1A1A1A"/>
                <w:sz w:val="18"/>
              </w:rPr>
              <w:t xml:space="preserve">I — Attuazione e sostenibilità</w:t>
            </w:r>
          </w:p>
        </w:tc>
        <w:tc>
          <w:tcPr/>
          <w:p>
            <w:pPr>
              <w:pStyle w:val="Compact"/>
              <w:spacing w:after="40" w:before="40"/>
              <w:jc w:val="left"/>
            </w:pPr>
            <w:r>
              <w:rPr>
                <w:rFonts w:ascii="Cambria" w:hAnsi="Cambria" w:cs="Cambria" w:eastAsia="Cambria"/>
                <w:color w:val="1A1A1A"/>
                <w:sz w:val="18"/>
              </w:rPr>
              <w:t xml:space="preserve">Dominio 7</w:t>
            </w:r>
          </w:p>
        </w:tc>
        <w:tc>
          <w:tcPr/>
          <w:p>
            <w:pPr>
              <w:pStyle w:val="Compact"/>
              <w:spacing w:after="40" w:before="40"/>
              <w:jc w:val="left"/>
            </w:pPr>
            <w:r>
              <w:rPr>
                <w:rFonts w:ascii="Cambria" w:hAnsi="Cambria" w:cs="Cambria" w:eastAsia="Cambria"/>
                <w:color w:val="1A1A1A"/>
                <w:sz w:val="18"/>
              </w:rPr>
              <w:t xml:space="preserve">Commerciale, gestionale</w:t>
            </w:r>
          </w:p>
        </w:tc>
        <w:tc>
          <w:tcPr/>
          <w:p>
            <w:pPr>
              <w:pStyle w:val="Compact"/>
              <w:spacing w:after="40" w:before="40"/>
              <w:jc w:val="left"/>
            </w:pPr>
            <w:r>
              <w:rPr>
                <w:rFonts w:ascii="Cambria" w:hAnsi="Cambria" w:cs="Cambria" w:eastAsia="Cambria"/>
                <w:color w:val="1A1A1A"/>
                <w:sz w:val="18"/>
              </w:rPr>
              <w:t xml:space="preserve">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 — Monitoraggio ed ex post</w:t>
            </w:r>
          </w:p>
        </w:tc>
        <w:tc>
          <w:tcPr>
            <w:shd w:val="clear" w:color="auto" w:fill="F4F1EC"/>
          </w:tcPr>
          <w:p>
            <w:pPr>
              <w:pStyle w:val="Compact"/>
              <w:spacing w:after="40" w:before="40"/>
              <w:jc w:val="left"/>
            </w:pPr>
            <w:r>
              <w:rPr>
                <w:rFonts w:ascii="Cambria" w:hAnsi="Cambria" w:cs="Cambria" w:eastAsia="Cambria"/>
                <w:color w:val="1A1A1A"/>
                <w:sz w:val="18"/>
              </w:rPr>
              <w:t xml:space="preserve">Trasversale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Verifica ex post</w:t>
            </w:r>
          </w:p>
        </w:tc>
      </w:tr>
      <w:tr>
        <w:tc>
          <w:tcPr/>
          <w:p>
            <w:pPr>
              <w:pStyle w:val="Compact"/>
              <w:spacing w:after="40" w:before="40"/>
              <w:jc w:val="left"/>
            </w:pPr>
            <w:r>
              <w:rPr>
                <w:rFonts w:ascii="Cambria" w:hAnsi="Cambria" w:cs="Cambria" w:eastAsia="Cambria"/>
                <w:b/>
                <w:bCs/>
                <w:color w:val="1A1A1A"/>
                <w:sz w:val="18"/>
              </w:rPr>
              <w:t xml:space="preserve">M — Sintesi e raccomandazioni</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Tutti i criteri</w:t>
            </w:r>
          </w:p>
        </w:tc>
      </w:tr>
    </w:tbl>
    <w:p>
      <w:pPr>
        <w:pStyle w:val="BodyText"/>
      </w:pPr>
      <w:r>
        <w:rPr>
          <w:i/>
          <w:iCs/>
        </w:rPr>
        <w:t xml:space="preserve">Tabella 2. La mappa di integrazione delle quattro cornici, parte per parte.</w:t>
      </w:r>
    </w:p>
    <w:bookmarkEnd w:id="692"/>
    <w:bookmarkStart w:id="4251" w:name="la-sintesi-del-valore-2"/>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per la Lombardia — e il saldo complessivo, nettamente positivo.</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60</w:t>
            </w:r>
          </w:p>
        </w:tc>
        <w:tc>
          <w:tcPr/>
          <w:p>
            <w:pPr>
              <w:pStyle w:val="Compact"/>
              <w:spacing w:after="40" w:before="40"/>
              <w:jc w:val="left"/>
            </w:pPr>
            <w:r>
              <w:rPr>
                <w:rFonts w:ascii="Cambria" w:hAnsi="Cambria" w:cs="Cambria" w:eastAsia="Cambria"/>
                <w:color w:val="1A1A1A"/>
                <w:sz w:val="18"/>
              </w:rPr>
              <w:t xml:space="preserve">~ 95</w:t>
            </w:r>
          </w:p>
        </w:tc>
        <w:tc>
          <w:tcPr/>
          <w:p>
            <w:pPr>
              <w:pStyle w:val="Compact"/>
              <w:spacing w:after="40" w:before="40"/>
              <w:jc w:val="left"/>
            </w:pPr>
            <w:r>
              <w:rPr>
                <w:rFonts w:ascii="Cambria" w:hAnsi="Cambria" w:cs="Cambria" w:eastAsia="Cambria"/>
                <w:color w:val="1A1A1A"/>
                <w:sz w:val="18"/>
              </w:rPr>
              <w:t xml:space="preserve">~ 120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35</w:t>
            </w:r>
          </w:p>
        </w:tc>
        <w:tc>
          <w:tcPr>
            <w:shd w:val="clear" w:color="auto" w:fill="F4F1EC"/>
          </w:tcPr>
          <w:p>
            <w:pPr>
              <w:pStyle w:val="Compact"/>
              <w:spacing w:after="40" w:before="40"/>
              <w:jc w:val="left"/>
            </w:pPr>
            <w:r>
              <w:rPr>
                <w:rFonts w:ascii="Cambria" w:hAnsi="Cambria" w:cs="Cambria" w:eastAsia="Cambria"/>
                <w:color w:val="1A1A1A"/>
                <w:sz w:val="18"/>
              </w:rPr>
              <w:t xml:space="preserve">~ 60</w:t>
            </w:r>
          </w:p>
        </w:tc>
        <w:tc>
          <w:tcPr>
            <w:shd w:val="clear" w:color="auto" w:fill="F4F1EC"/>
          </w:tcPr>
          <w:p>
            <w:pPr>
              <w:pStyle w:val="Compact"/>
              <w:spacing w:after="40" w:before="40"/>
              <w:jc w:val="left"/>
            </w:pPr>
            <w:r>
              <w:rPr>
                <w:rFonts w:ascii="Cambria" w:hAnsi="Cambria" w:cs="Cambria" w:eastAsia="Cambria"/>
                <w:color w:val="1A1A1A"/>
                <w:sz w:val="18"/>
              </w:rPr>
              <w:t xml:space="preserve">~ 90</w:t>
            </w:r>
          </w:p>
        </w:tc>
      </w:tr>
      <w:tr>
        <w:tc>
          <w:tcPr/>
          <w:p>
            <w:pPr>
              <w:pStyle w:val="Compact"/>
              <w:spacing w:after="40" w:before="40"/>
              <w:jc w:val="left"/>
            </w:pPr>
            <w:r>
              <w:rPr>
                <w:rFonts w:ascii="Cambria" w:hAnsi="Cambria" w:cs="Cambria" w:eastAsia="Cambria"/>
                <w:b/>
                <w:bCs/>
                <w:color w:val="1A1A1A"/>
                <w:sz w:val="18"/>
              </w:rPr>
              <w:t xml:space="preserve">Ricadute economico-sociali</w:t>
            </w:r>
          </w:p>
        </w:tc>
        <w:tc>
          <w:tcPr/>
          <w:p>
            <w:pPr>
              <w:pStyle w:val="Compact"/>
              <w:spacing w:after="40" w:before="40"/>
              <w:jc w:val="left"/>
            </w:pPr>
            <w:r>
              <w:rPr>
                <w:rFonts w:ascii="Cambria" w:hAnsi="Cambria" w:cs="Cambria" w:eastAsia="Cambria"/>
                <w:color w:val="1A1A1A"/>
                <w:sz w:val="18"/>
              </w:rPr>
              <w:t xml:space="preserve">~ 190</w:t>
            </w:r>
          </w:p>
        </w:tc>
        <w:tc>
          <w:tcPr/>
          <w:p>
            <w:pPr>
              <w:pStyle w:val="Compact"/>
              <w:spacing w:after="40" w:before="40"/>
              <w:jc w:val="left"/>
            </w:pPr>
            <w:r>
              <w:rPr>
                <w:rFonts w:ascii="Cambria" w:hAnsi="Cambria" w:cs="Cambria" w:eastAsia="Cambria"/>
                <w:color w:val="1A1A1A"/>
                <w:sz w:val="18"/>
              </w:rPr>
              <w:t xml:space="preserve">~ 360</w:t>
            </w:r>
          </w:p>
        </w:tc>
        <w:tc>
          <w:tcPr/>
          <w:p>
            <w:pPr>
              <w:pStyle w:val="Compact"/>
              <w:spacing w:after="40" w:before="40"/>
              <w:jc w:val="left"/>
            </w:pPr>
            <w:r>
              <w:rPr>
                <w:rFonts w:ascii="Cambria" w:hAnsi="Cambria" w:cs="Cambria" w:eastAsia="Cambria"/>
                <w:color w:val="1A1A1A"/>
                <w:sz w:val="18"/>
              </w:rPr>
              <w:t xml:space="preserve">~ 560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−25</w:t>
            </w:r>
          </w:p>
        </w:tc>
        <w:tc>
          <w:tcPr>
            <w:shd w:val="clear" w:color="auto" w:fill="F4F1EC"/>
          </w:tcPr>
          <w:p>
            <w:pPr>
              <w:pStyle w:val="Compact"/>
              <w:spacing w:after="40" w:before="40"/>
              <w:jc w:val="left"/>
            </w:pPr>
            <w:r>
              <w:rPr>
                <w:rFonts w:ascii="Cambria" w:hAnsi="Cambria" w:cs="Cambria" w:eastAsia="Cambria"/>
                <w:color w:val="1A1A1A"/>
                <w:sz w:val="18"/>
              </w:rPr>
              <w:t xml:space="preserve">~ −35</w:t>
            </w:r>
          </w:p>
        </w:tc>
        <w:tc>
          <w:tcPr>
            <w:shd w:val="clear" w:color="auto" w:fill="F4F1EC"/>
          </w:tcPr>
          <w:p>
            <w:pPr>
              <w:pStyle w:val="Compact"/>
              <w:spacing w:after="40" w:before="40"/>
              <w:jc w:val="left"/>
            </w:pPr>
            <w:r>
              <w:rPr>
                <w:rFonts w:ascii="Cambria" w:hAnsi="Cambria" w:cs="Cambria" w:eastAsia="Cambria"/>
                <w:color w:val="1A1A1A"/>
                <w:sz w:val="18"/>
              </w:rPr>
              <w:t xml:space="preserve">~ −30</w:t>
            </w:r>
          </w:p>
        </w:tc>
      </w:tr>
      <w:tr>
        <w:tc>
          <w:tcPr/>
          <w:p>
            <w:pPr>
              <w:pStyle w:val="Compact"/>
              <w:spacing w:after="40" w:before="40"/>
              <w:jc w:val="left"/>
            </w:pPr>
            <w:r>
              <w:rPr>
                <w:rFonts w:ascii="Cambria" w:hAnsi="Cambria" w:cs="Cambria" w:eastAsia="Cambria"/>
                <w:b/>
                <w:bCs/>
                <w:color w:val="1A1A1A"/>
                <w:sz w:val="18"/>
              </w:rPr>
              <w:t xml:space="preserve">Saldo complessivo (caso economico)</w:t>
            </w:r>
          </w:p>
        </w:tc>
        <w:tc>
          <w:tcPr/>
          <w:p>
            <w:pPr>
              <w:pStyle w:val="Compact"/>
              <w:spacing w:after="40" w:before="40"/>
              <w:jc w:val="left"/>
            </w:pPr>
            <w:r>
              <w:rPr>
                <w:rFonts w:ascii="Cambria" w:hAnsi="Cambria" w:cs="Cambria" w:eastAsia="Cambria"/>
                <w:color w:val="1A1A1A"/>
                <w:sz w:val="18"/>
              </w:rPr>
              <w:t xml:space="preserve">+165</w:t>
            </w:r>
          </w:p>
        </w:tc>
        <w:tc>
          <w:tcPr/>
          <w:p>
            <w:pPr>
              <w:pStyle w:val="Compact"/>
              <w:spacing w:after="40" w:before="40"/>
              <w:jc w:val="left"/>
            </w:pPr>
            <w:r>
              <w:rPr>
                <w:rFonts w:ascii="Cambria" w:hAnsi="Cambria" w:cs="Cambria" w:eastAsia="Cambria"/>
                <w:color w:val="1A1A1A"/>
                <w:sz w:val="18"/>
              </w:rPr>
              <w:t xml:space="preserve">+325</w:t>
            </w:r>
          </w:p>
        </w:tc>
        <w:tc>
          <w:tcPr/>
          <w:p>
            <w:pPr>
              <w:pStyle w:val="Compact"/>
              <w:spacing w:after="40" w:before="40"/>
              <w:jc w:val="left"/>
            </w:pPr>
            <w:r>
              <w:rPr>
                <w:rFonts w:ascii="Cambria" w:hAnsi="Cambria" w:cs="Cambria" w:eastAsia="Cambria"/>
                <w:color w:val="1A1A1A"/>
                <w:sz w:val="18"/>
              </w:rPr>
              <w:t xml:space="preserve">+530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~3,8:1</w:t>
            </w:r>
          </w:p>
        </w:tc>
        <w:tc>
          <w:tcPr>
            <w:shd w:val="clear" w:color="auto" w:fill="F4F1EC"/>
          </w:tcPr>
          <w:p>
            <w:pPr>
              <w:pStyle w:val="Compact"/>
              <w:spacing w:after="40" w:before="40"/>
              <w:jc w:val="left"/>
            </w:pPr>
            <w:r>
              <w:rPr>
                <w:rFonts w:ascii="Cambria" w:hAnsi="Cambria" w:cs="Cambria" w:eastAsia="Cambria"/>
                <w:color w:val="1A1A1A"/>
                <w:sz w:val="18"/>
              </w:rPr>
              <w:t xml:space="preserve">~4,4:1</w:t>
            </w:r>
          </w:p>
        </w:tc>
        <w:tc>
          <w:tcPr>
            <w:shd w:val="clear" w:color="auto" w:fill="F4F1EC"/>
          </w:tcPr>
          <w:p>
            <w:pPr>
              <w:pStyle w:val="Compact"/>
              <w:spacing w:after="40" w:before="40"/>
              <w:jc w:val="left"/>
            </w:pPr>
            <w:r>
              <w:rPr>
                <w:rFonts w:ascii="Cambria" w:hAnsi="Cambria" w:cs="Cambria" w:eastAsia="Cambria"/>
                <w:color w:val="1A1A1A"/>
                <w:sz w:val="18"/>
              </w:rPr>
              <w:t xml:space="preserve">~5,4:1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previsto dalla legge regionale n. 22 del 2021, che ne ha tracciato la collocazione nelle Case della Comunità — ma se strutturarlo e dimensionarlo, portandolo dalla previsione verso i circa 2.190 psicologi a regime, il fabbisogno più elevato d’Italia. Il limite principale, dichiarato con franchezza, è che le grandezze economiche sono in parte ricostruite a partire dai conti nazionali, scalati per la quota di popolazione regionale del 17,0%, anziché estratte dai conti regionali certificati: è la lacuna prioritaria da colmare, presso le Agenzie di Tutela della Salute e le Aziende Socio-Sanitarie Territoriali, prima della presentazione esterna.</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con le dovute cautele di trasferibilità. L’intera architettura, infine, è trasferibile: il telaio e il caso di riferimento sono fissi e comuni a tutte le regioni, e ciascuna regione fornisce i propri dati certificati, sicché lo studio lombardo costituisce al tempo stesso un documento compiuto per la Lombardia e un’applicazione del modello di riferimento già elaborato per la Puglia. Con questo documento di apertura, il corpus dello studio integrale per la Lombardia — undici parti e cinque appendici — è ordinato e navigabile come un’unica opera.</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dei dati ed etica</w:t>
      </w:r>
    </w:p>
    <w:p>
      <w:pPr>
        <w:pStyle w:val="BodyText"/>
      </w:pPr>
      <w:r>
        <w:t xml:space="preserve">Primo volume dello studio integrale per la Lombardia · estensione del modello validato sulla Puglia</w:t>
      </w:r>
    </w:p>
    <w:bookmarkEnd w:id="4251"/>
    <w:bookmarkStart w:id="4252" w:name="parte-a-quadro-quesito-e-metodo-2"/>
    <w:p>
      <w:pPr>
        <w:pStyle w:val="Heading2"/>
      </w:pPr>
      <w:r>
        <w:t xml:space="preserve">Parte A — Quadro, quesito e metodo</w:t>
      </w:r>
    </w:p>
    <w:p>
      <w:pPr>
        <w:pStyle w:val="FirstParagraph"/>
      </w:pPr>
      <w:r>
        <w:t xml:space="preserve">Questa è la prima parte dello studio integrale per la Lombardia, che applica alla regione il telaio integrato sviluppato e validato per la Puglia. L’architettura e il caso di riferimento sono i medesimi, e mutano soltanto i dati di ingresso, ancorati alla Lombardia.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quello pugliese e con quelli delle altre Regioni.</w:t>
      </w:r>
    </w:p>
    <w:bookmarkStart w:id="4253" w:name="Xcb3d776779dd7134b9b4706228e007042240555"/>
    <w:p>
      <w:pPr>
        <w:pStyle w:val="Heading3"/>
      </w:pPr>
      <w:r>
        <w:t xml:space="preserve">A.1 Scopo, quesito di valutazione e standard adottati</w:t>
      </w:r>
    </w:p>
    <w:p>
      <w:pPr>
        <w:pStyle w:val="FirstParagraph"/>
      </w:pPr>
      <w:r>
        <w:t xml:space="preserve">Lo studio ha per oggetto il Servizio di Psicologia di Base nelle cure primarie della Lombardia, inteso come realizzazione strutturata e quantificata della funzione psicologica territoriale già prevista, in forma generica, dalla riforma del sistema sociosanitario disposta con la legge regionale n. 22 del 2021, e ne valuta il valore nelle dimensioni clinica, economica, organizzativa, sociale, etica e giuridica, allo scopo di informare la decisione sul portare il servizio a regime.</w:t>
      </w:r>
      <w:r>
        <w:rPr>
          <w:rStyle w:val="FootnoteReference"/>
        </w:rPr>
        <w:footnoteReference w:id="1634"/>
      </w:r>
      <w:r>
        <w:t xml:space="preserve"> </w:t>
      </w:r>
      <w:r>
        <w:t xml:space="preserve">La premessa che orienta l’intero studio è che la decisione rilevante non è se prevedere la funzione — già prevista dalla riforma del 2021, che colloca esplicitamente lo psicologo nelle Case della Comunità — ma se strutturarla e dimensionarla: la funzione è oggi tracciata ma non ancora dotata di un modello operativo, di un dimensionamento e di una copertura, a fronte di un fabbisogno a regime stimato nell’ordine di 2.190 psicologi, il più elevato fra le regioni italiane.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due milioni di persone, si somma un’utenza specialistica in carico ai Dipartimenti di Salute Mentale dell’ordine di 150.000 persone, in un quadro segnato dall’ampia domanda metropolitana, dal lascito della pandemia che ha colpito la regione con eccezionale violenza e da una componente di cronicità e di disagio dell’età anziana accentuata nelle aree alpine.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 è ciò che il quesito di valutazione, formulato qui di seguito, mette a fuoco.</w:t>
      </w:r>
    </w:p>
    <w:p>
      <w:pPr>
        <w:pStyle w:val="BodyText"/>
      </w:pPr>
      <w:r>
        <w:t xml:space="preserve">Il quesito è articolato secondo lo schema che ne fissa gli elementi costitutivi — popolazione, intervento, confronto, esiti, tempi e contesto. La popolazione è costituita dai residenti lombardi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la funzione è prevista ma non strutturata né dimensionata. Gli esiti sono clinici, economici, sociali e di sistema. I tempi distinguono l’orizzonte pluriennale degli esiti dall’orizzonte triennale-quinquennale del bilancio. Il contesto è il Servizio sanitario della Lombardia, con le sue otto Agenzie di Tutela della Salute, le ventisette Aziende Socio-Sanitarie Territoriali e la rete delle Case della Comunità in costruzione. La tabella seguente riepiloga gli elementi del quesito.</w:t>
      </w:r>
    </w:p>
    <w:tbl>
      <w:tblPr>
        <w:tblStyle w:val="Table"/>
        <w:tblW w:type="pct" w:w="495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301"/>
        <w:gridCol w:w="6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la Lombardia</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lombardi con disagio psichico comune (~2.000.000);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Psicologo di base nelle cure primarie, primo livello e filtro, portato a regime (~1.100/1.700/2.190 incarichi)</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Condizione attuale: funzione prevista dalla riforma del 2021 ma non strutturata né dimensionata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liste di attesa)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Servizio sanitario regionale della Lombardia; otto ATS, ventisette ASST, circa cento distretti, Case della Comunità</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4253"/>
    <w:bookmarkStart w:id="4254" w:name="a.2-il-caso-di-riferimento-e-i-metodi-2"/>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Agenzie di Tutela della Salute, le Aziende Socio-Sanitarie Territoriali e i distretti, per dare conto anche dei divari territoriali interni.</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54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Condizione attuale, ovvero funzione non strutturata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Regione, con disaggregazione per ATS, ASST e distretto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A presidio dell’attendibilità, il modello incorpora una correzione prudenziale per la tendenza, documentata nella letteratura sulla valutazione degli investimenti pubblici, a sottostimare i costi e a sovrastimare i benefici, adottando per le conclusioni il valore centrale o l’estremo conservativo dell’intervallo. Tale prudenza assume, per la Lombardia, un rilievo particolare: poiché la regione è a saldo di mobilità attivo, il canale del recupero della mobilità passiva non si applica, e il caso economico poggia in misura ancora maggiore sulle ricadute sociali, che lo studio stima con criteri conservativi.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Decisivo anche per la Lombardia è il disegno controfattuale: il dispiegamento scaglionato del servizio tra le otto Agenzie di Tutela della Salute, attivate in tempi diversi, funge da esperimento naturale e consente di stimare l’effetto causale con i metodi della differenza-nelle-differenze e del controllo sintetico.</w:t>
      </w:r>
    </w:p>
    <w:tbl>
      <w:tblPr>
        <w:tblStyle w:val="Table"/>
        <w:tblW w:type="pct" w:w="490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13"/>
        <w:gridCol w:w="1760"/>
        <w:gridCol w:w="330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sociale monetizzato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e governo dell’incertezza</w:t>
            </w:r>
          </w:p>
        </w:tc>
      </w:tr>
      <w:tr>
        <w:tc>
          <w:tcPr/>
          <w:p>
            <w:pPr>
              <w:pStyle w:val="Compact"/>
              <w:spacing w:after="40" w:before="40"/>
              <w:jc w:val="left"/>
            </w:pPr>
            <w:r>
              <w:rPr>
                <w:rFonts w:ascii="Cambria" w:hAnsi="Cambria" w:cs="Cambria" w:eastAsia="Cambria"/>
                <w:b/>
                <w:bCs/>
                <w:color w:val="1A1A1A"/>
                <w:sz w:val="18"/>
              </w:rPr>
              <w:t xml:space="preserve">Costo-efficacia distributiva</w:t>
            </w:r>
          </w:p>
        </w:tc>
        <w:tc>
          <w:tcPr/>
          <w:p>
            <w:pPr>
              <w:pStyle w:val="Compact"/>
              <w:spacing w:after="40" w:before="40"/>
              <w:jc w:val="left"/>
            </w:pPr>
            <w:r>
              <w:rPr>
                <w:rFonts w:ascii="Cambria" w:hAnsi="Cambria" w:cs="Cambria" w:eastAsia="Cambria"/>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Equità e impatto distributivo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Inferenza causale</w:t>
            </w:r>
          </w:p>
        </w:tc>
        <w:tc>
          <w:tcPr>
            <w:shd w:val="clear" w:color="auto" w:fill="F4F1EC"/>
          </w:tcPr>
          <w:p>
            <w:pPr>
              <w:pStyle w:val="Compact"/>
              <w:spacing w:after="40" w:before="40"/>
              <w:jc w:val="left"/>
            </w:pPr>
            <w:r>
              <w:rPr>
                <w:rFonts w:ascii="Cambria" w:hAnsi="Cambria" w:cs="Cambria" w:eastAsia="Cambria"/>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Effetto reale dell’intervento</w:t>
            </w:r>
          </w:p>
        </w:tc>
      </w:tr>
      <w:tr>
        <w:tc>
          <w:tcPr/>
          <w:p>
            <w:pPr>
              <w:pStyle w:val="Compact"/>
              <w:spacing w:after="40" w:before="40"/>
              <w:jc w:val="left"/>
            </w:pPr>
            <w:r>
              <w:rPr>
                <w:rFonts w:ascii="Cambria" w:hAnsi="Cambria" w:cs="Cambria" w:eastAsia="Cambria"/>
                <w:b/>
                <w:bCs/>
                <w:color w:val="1A1A1A"/>
                <w:sz w:val="18"/>
              </w:rPr>
              <w:t xml:space="preserve">Revisione sistematica e GRADE</w:t>
            </w:r>
          </w:p>
        </w:tc>
        <w:tc>
          <w:tcPr/>
          <w:p>
            <w:pPr>
              <w:pStyle w:val="Compact"/>
              <w:spacing w:after="40" w:before="40"/>
              <w:jc w:val="left"/>
            </w:pPr>
            <w:r>
              <w:rPr>
                <w:rFonts w:ascii="Cambria" w:hAnsi="Cambria" w:cs="Cambria" w:eastAsia="Cambria"/>
                <w:color w:val="1A1A1A"/>
                <w:sz w:val="18"/>
              </w:rPr>
              <w:t xml:space="preserve">Parte D</w:t>
            </w:r>
          </w:p>
        </w:tc>
        <w:tc>
          <w:tcPr/>
          <w:p>
            <w:pPr>
              <w:pStyle w:val="Compact"/>
              <w:spacing w:after="40" w:before="40"/>
              <w:jc w:val="left"/>
            </w:pPr>
            <w:r>
              <w:rPr>
                <w:rFonts w:ascii="Cambria" w:hAnsi="Cambria" w:cs="Cambria" w:eastAsia="Cambria"/>
                <w:color w:val="1A1A1A"/>
                <w:sz w:val="18"/>
              </w:rPr>
              <w:t xml:space="preserve">Sintesi e certezza dell’evidenza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multi-criterio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c>
          <w:tcPr>
            <w:shd w:val="clear" w:color="auto" w:fill="F4F1EC"/>
          </w:tcPr>
          <w:p>
            <w:pPr>
              <w:pStyle w:val="Compact"/>
              <w:spacing w:after="40" w:before="40"/>
              <w:jc w:val="left"/>
            </w:pPr>
            <w:r>
              <w:rPr>
                <w:rFonts w:ascii="Cambria" w:hAnsi="Cambria" w:cs="Cambria" w:eastAsia="Cambria"/>
                <w:color w:val="1A1A1A"/>
                <w:sz w:val="18"/>
              </w:rPr>
              <w:t xml:space="preserve">Sintesi dei criteri non monetari</w:t>
            </w:r>
          </w:p>
        </w:tc>
      </w:tr>
      <w:tr>
        <w:tc>
          <w:tcPr/>
          <w:p>
            <w:pPr>
              <w:pStyle w:val="Compact"/>
              <w:spacing w:after="40" w:before="40"/>
              <w:jc w:val="left"/>
            </w:pPr>
            <w:r>
              <w:rPr>
                <w:rFonts w:ascii="Cambria" w:hAnsi="Cambria" w:cs="Cambria" w:eastAsia="Cambria"/>
                <w:b/>
                <w:bCs/>
                <w:color w:val="1A1A1A"/>
                <w:sz w:val="18"/>
              </w:rPr>
              <w:t xml:space="preserve">Impatto della regolamentazione</w:t>
            </w:r>
          </w:p>
        </w:tc>
        <w:tc>
          <w:tcPr/>
          <w:p>
            <w:pPr>
              <w:pStyle w:val="Compact"/>
              <w:spacing w:after="40" w:before="40"/>
              <w:jc w:val="left"/>
            </w:pPr>
            <w:r>
              <w:rPr>
                <w:rFonts w:ascii="Cambria" w:hAnsi="Cambria" w:cs="Cambria" w:eastAsia="Cambria"/>
                <w:color w:val="1A1A1A"/>
                <w:sz w:val="18"/>
              </w:rPr>
              <w:t xml:space="preserve">Parti H, L</w:t>
            </w:r>
          </w:p>
        </w:tc>
        <w:tc>
          <w:tcPr/>
          <w:p>
            <w:pPr>
              <w:pStyle w:val="Compact"/>
              <w:spacing w:after="40" w:before="40"/>
              <w:jc w:val="left"/>
            </w:pPr>
            <w:r>
              <w:rPr>
                <w:rFonts w:ascii="Cambria" w:hAnsi="Cambria" w:cs="Cambria" w:eastAsia="Cambria"/>
                <w:color w:val="1A1A1A"/>
                <w:sz w:val="18"/>
              </w:rPr>
              <w:t xml:space="preserve">Valutazione della norma ex ante ed ex post</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Tutele e protezione dei dati</w:t>
            </w:r>
          </w:p>
        </w:tc>
        <w:tc>
          <w:tcPr>
            <w:shd w:val="clear" w:color="auto" w:fill="F4F1EC"/>
          </w:tcPr>
          <w:p>
            <w:pPr>
              <w:pStyle w:val="Compact"/>
              <w:spacing w:after="40" w:before="40"/>
              <w:jc w:val="left"/>
            </w:pPr>
            <w:r>
              <w:rPr>
                <w:rFonts w:ascii="Cambria" w:hAnsi="Cambria" w:cs="Cambria" w:eastAsia="Cambria"/>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Garanzie etiche e giuridiche</w:t>
            </w:r>
          </w:p>
        </w:tc>
      </w:tr>
    </w:tbl>
    <w:p>
      <w:pPr>
        <w:pStyle w:val="BodyText"/>
      </w:pPr>
      <w:r>
        <w:rPr>
          <w:i/>
          <w:iCs/>
        </w:rPr>
        <w:t xml:space="preserve">Tabella A.3. Le dieci metodologie e la loro collocazione nello studio.</w:t>
      </w:r>
    </w:p>
    <w:p>
      <w:pPr>
        <w:pStyle w:val="BodyText"/>
      </w:pPr>
      <w:r>
        <w:t xml:space="preserve">Va infine dichiarato, già in apertura, il limite di fonte che attraversa l’intero studio. I valori economici qui impiegati sono in parte ricostruiti dai conti nazionali per quota di popolazione, pari per la Lombardia al 17,0%, e non estratti dai conti regionali certificati; una specifica di estrazione, da indirizzare alle Agenzie di Tutela della Salute e alle Aziende Socio-Sanitarie Territoriali, individua i dati da acquisire a sostituzione dei parametri stimati. Su questa base, lo studio adotta come riferimento la tabella unica consolidata, che distingue il risparmio diretto per il bilancio dalle ricadute economico-sociali. Per la Lombardia tale distinzione conduce a un esito onesto e specifico: il saldo diretto è negativo, dell’ordine di alcune decine di milioni per scenario, perché il canale della mobilità non si applica e il sistema è già efficiente, mentre il ritorno complessivo, dell’ordine di 3,8–5,4 a 1, proviene quasi interamente dalle ricadute sociali.</w:t>
      </w:r>
    </w:p>
    <w:bookmarkEnd w:id="4254"/>
    <w:bookmarkStart w:id="697" w:name="X9078e556dd00ed8bfd4bfeee3721bd3901bed8e"/>
    <w:p>
      <w:pPr>
        <w:pStyle w:val="Heading3"/>
      </w:pPr>
      <w:r>
        <w:t xml:space="preserve">A.3 La governance dei dati, l’etica e le tutele</w:t>
      </w:r>
    </w:p>
    <w:p>
      <w:pPr>
        <w:pStyle w:val="FirstParagraph"/>
      </w:pPr>
      <w:r>
        <w:t xml:space="preserve">L’ultimo capitolo di questa parte fissa le garanzie sotto le quali l’analisi e, soprattutto, l’eventuale attuazione e valutazione del servizio procedono. La valutazione è governata da un comitato di indirizzo, che riunisce la Regione e le Agenzie di Tutela della Salute, le Aziende Socio-Sanitarie Territoriali, l’Ordine degli Psicologi della Lombardia, le università e gli Istituti di Ricovero e Cura a Carattere Scientifico, ed è affidata a un responsabile scientifico; è sottoposta all’approvazione del comitato etico territorialmente competente; prevede il consenso informato dei partecipanti; e rende pubblici gli esiti indipendentemente dal loro segno, a garanzia di non distorsione. Questo assetto di governo non è una formalità, ma la condizione perché i risultati siano credibili e perché la sperimentazione, ove avviata, produca conoscenza utilizzabile e non un mero esercizio di conferma.</w:t>
      </w:r>
    </w:p>
    <w:p>
      <w:pPr>
        <w:pStyle w:val="BodyText"/>
      </w:pPr>
      <w:r>
        <w:t xml:space="preserve">La protezione dei dati personali è trattata con il rigore che la natura ultrasensibile dei dati psicologici impone. Il trattamento è conforme alla normativa, con minimizzazione, limitazione della finalità e misure di sicurezza; i dati individuali restano nel servizio per la sola finalità clinica, e al livello di governo regionale sono trasmessi esclusivamente indicatori aggregati e anonimi, non riconducibili alla persona. Il sistema informativo è concepito come interoperabile con il Fascicolo Sanitario Elettronico, su infrastruttura regionale sicura e con consenso modulare, in modo che la persona possa governare l’uso dei propri dati per finalità diverse da quella clinica.</w:t>
      </w:r>
    </w:p>
    <w:p>
      <w:pPr>
        <w:pStyle w:val="BodyText"/>
      </w:pPr>
      <w:r>
        <w:t xml:space="preserve">L’impiego dell’intelligenza artificiale, che attraversa il modello organizzativo trattato nelle parti successive, è qui ricondotto a un principio cardine: gli strumenti operano come ausilio del clinico, alla stregua di un copilota, e mai in sua sostituzione, con sorveglianza umana costante, validazione periodica degli algoritmi e monitoraggio dei bias, in conformità al regolamento europeo sull’intelligenza artificiale e alla disciplina sui dispositivi medici. Tale impiego, in Lombardia, si innesta coerentemente sulla previsione regionale di strumenti di intelligenza artificiale nelle Centrali Operative Territoriali, e si accompagna all’auspicio di un comitato etico-scientifico dedicato. A presidio delle persone più fragili, infine, gli strumenti di esito sono impiegati nei soli punteggi complessivi, e le situazioni di rischio sono indirizzate ai servizi specialistici e, ove necessario, ai percorsi dell’emergenza, in raccordo con il medico curante, senza che lo studio registri o tratti il dettaglio delle modalità, a garanzia di sicurezza e di dignità della persona.</w:t>
      </w:r>
    </w:p>
    <w:p>
      <w:pPr>
        <w:pStyle w:val="BodyText"/>
      </w:pPr>
      <w:r>
        <w:t xml:space="preserve">Con la definizione dello scopo e del quesito, del caso di riferimento e dei metodi, e delle garanzie di governo, etiche e di protezione dei dati, questa prima parte fonda l’impianto dello studio. Le parti che seguono ne svolgono i domini, a partire dal problema di salute, dal bisogno e dal contesto della Lombardia, oggetto della Parte B.</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Profilo demografico, epidemiologia del bisogno, domanda e offerta, disuguaglianze, servizi e flussi, cornice normativa</w:t>
      </w:r>
    </w:p>
    <w:p>
      <w:pPr>
        <w:pStyle w:val="BodyText"/>
      </w:pPr>
      <w:r>
        <w:t xml:space="preserve">Dominio 1 del modello HTA · caso strategico · criteri di rilevanza e coerenza</w:t>
      </w:r>
    </w:p>
    <w:bookmarkEnd w:id="697"/>
    <w:bookmarkEnd w:id="4252"/>
    <w:bookmarkStart w:id="4255" w:name="Xf26196e026db6bfa96d7c42cd59709e5eba80af"/>
    <w:p>
      <w:pPr>
        <w:pStyle w:val="Heading2"/>
      </w:pPr>
      <w:r>
        <w:t xml:space="preserve">Parte B — Problema di salute, bisogno e contesto</w:t>
      </w:r>
    </w:p>
    <w:p>
      <w:pPr>
        <w:pStyle w:val="FirstParagraph"/>
      </w:pPr>
      <w:r>
        <w:t xml:space="preserve">Questa parte corrisponde, nel telaio integrato, al primo dominio della valutazione di tecnologia sanitaria — il problema di salute e l’uso corrente — e fonda il caso strategico della decisione, rispondendo ai criteri di rilevanza e di coerenza. Essa stabilisce l’entità e la natura del bisogno cui la riforma intende rispondere, l’adeguatezza dell’offerta attuale, i divari territoriali, la pressione sui servizi e la cornice normativa entro cui l’intervento si colloca. È la base fattuale su cui poggiano le parti successive: senza una misura rigorosa del problema, la valutazione dell’intervento resterebbe priva di termine di confronto. Il quadro lombardo, come si vedrà, differisce per più tratti da quello pugliese, e tali differenze sono dichiarate con franchezza, perché da esse dipende la fisionomia del caso economico.</w:t>
      </w:r>
    </w:p>
    <w:bookmarkStart w:id="699" w:name="b.1-profilo-demografico-e-socioeconomico"/>
    <w:p>
      <w:pPr>
        <w:pStyle w:val="Heading3"/>
      </w:pPr>
      <w:r>
        <w:t xml:space="preserve">B.1 Profilo demografico e socioeconomico</w:t>
      </w:r>
    </w:p>
    <w:p>
      <w:pPr>
        <w:pStyle w:val="FirstParagraph"/>
      </w:pPr>
      <w:r>
        <w:t xml:space="preserve">La Lombardia conta una popolazione di poco superiore ai dieci milioni di abitanti — 10.033.918 al Censimento permanente del 2024, pari al 17,0% del totale nazionale, la più popolosa d’Italia — distribuita in dodici province e organizzata, sul piano sanitario, in otto Agenzie di Tutela della Salute, ventisette Aziende Socio-Sanitarie Territoriali e, per effetto della riforma del 2021, circa cento distretti. Il profilo demografico è composito: la componente straniera, pari al 12,2% dei residenti e nettamente superiore alla media nazionale, alimenta la crescita; l’aspettativa di vita, dell’ordine di ottantaquattro anni, è tra le più elevate del Paese; e la Città Metropolitana di Milano, con un capoluogo che da solo supera 1,36 milioni di residenti, domina il quadro insediativo, accanto alle popolose province di Brescia, Bergamo e Monza-Brianza e alle aree alpine di Sondrio e delle valli.</w:t>
      </w:r>
    </w:p>
    <w:p>
      <w:pPr>
        <w:pStyle w:val="BodyText"/>
      </w:pPr>
      <w:r>
        <w:t xml:space="preserve">La composizione orienta un fabbisogno articolato e, per dimensione e varietà, senza pari nel Paese. L’area metropolitana milanese presenta un’ampia popolazione in età lavorativa, relativamente più giovane, con elevata domanda di salute mentale connessa ai disturbi comuni e ai ritmi di vita urbani; le province di Bergamo e Brescia, fra le più giovani della regione, condividono un tessuto produttivo dinamico; mentre l’invecchiamento, comune a tutte le regioni avanzate, e le aree alpine a popolazione anziana e dispersa aggiungono una componente di cronicità e di difficoltà di accesso. La Lombardia, per dimensioni e composizione, riassume in sé tutte le tipologie di fabbisogno — metropolitano, produttivo, anziano, montano — il che fa del servizio uno strumento di particolare versatilità.</w:t>
      </w:r>
    </w:p>
    <w:p>
      <w:pPr>
        <w:pStyle w:val="BodyText"/>
      </w:pPr>
      <w:r>
        <w:t xml:space="preserve">Sul piano socioeconomico, il caso lombardo si distingue nettamente da quello meridionale. La regione è il principale motore economico del Paese, e il rischio di povertà o esclusione sociale vi è tra i più contenuti d’Italia, dell’ordine del 18%, nettamente inferiore alla media nazionale; la deprivazione, pur ridotta in aggregato, si concentra in alcune aree alpine interne e in talune periferie urbane. Ne discende una conseguenza importante per l’analisi: mentre nelle regioni meridionali il disagio psichico è trainato in misura preponderante dalla deprivazione, in Lombardia il bisogno è sospinto soprattutto dall’intensità della vita metropolitana, dal lascito della pandemia e dall’invecchiamento delle aree montane. La tabella seguente sintetizza i tratti demografici e socioeconomici essenziali.</w:t>
      </w:r>
    </w:p>
    <w:tbl>
      <w:tblPr>
        <w:tblStyle w:val="Table"/>
        <w:tblW w:type="pct" w:w="493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04"/>
        <w:gridCol w:w="570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Lombardia</w:t>
            </w:r>
          </w:p>
        </w:tc>
      </w:tr>
      <w:tr>
        <w:tc>
          <w:tcPr/>
          <w:p>
            <w:pPr>
              <w:pStyle w:val="Compact"/>
              <w:spacing w:after="40" w:before="40"/>
              <w:jc w:val="left"/>
            </w:pPr>
            <w:r>
              <w:rPr>
                <w:rFonts w:ascii="Cambria" w:hAnsi="Cambria" w:cs="Cambria" w:eastAsia="Cambria"/>
                <w:b/>
                <w:bCs/>
                <w:color w:val="1A1A1A"/>
                <w:sz w:val="18"/>
              </w:rPr>
              <w:t xml:space="preserve">Popolazione (Censimento 2024)</w:t>
            </w:r>
          </w:p>
        </w:tc>
        <w:tc>
          <w:tcPr/>
          <w:p>
            <w:pPr>
              <w:pStyle w:val="Compact"/>
              <w:spacing w:after="40" w:before="40"/>
              <w:jc w:val="left"/>
            </w:pPr>
            <w:r>
              <w:rPr>
                <w:rFonts w:ascii="Cambria" w:hAnsi="Cambria" w:cs="Cambria" w:eastAsia="Cambria"/>
                <w:color w:val="1A1A1A"/>
                <w:sz w:val="18"/>
              </w:rPr>
              <w:t xml:space="preserve">10.033.918 (~17,0% del totale nazionale)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Aspettativa di vita</w:t>
            </w:r>
          </w:p>
        </w:tc>
        <w:tc>
          <w:tcPr>
            <w:shd w:val="clear" w:color="auto" w:fill="F4F1EC"/>
          </w:tcPr>
          <w:p>
            <w:pPr>
              <w:pStyle w:val="Compact"/>
              <w:spacing w:after="40" w:before="40"/>
              <w:jc w:val="left"/>
            </w:pPr>
            <w:r>
              <w:rPr>
                <w:rFonts w:ascii="Cambria" w:hAnsi="Cambria" w:cs="Cambria" w:eastAsia="Cambria"/>
                <w:color w:val="1A1A1A"/>
                <w:sz w:val="18"/>
              </w:rPr>
              <w:t xml:space="preserve">~ 84 anni, tra le più elevate d’Italia</w:t>
            </w:r>
          </w:p>
        </w:tc>
      </w:tr>
      <w:tr>
        <w:tc>
          <w:tcPr/>
          <w:p>
            <w:pPr>
              <w:pStyle w:val="Compact"/>
              <w:spacing w:after="40" w:before="40"/>
              <w:jc w:val="left"/>
            </w:pPr>
            <w:r>
              <w:rPr>
                <w:rFonts w:ascii="Cambria" w:hAnsi="Cambria" w:cs="Cambria" w:eastAsia="Cambria"/>
                <w:b/>
                <w:bCs/>
                <w:color w:val="1A1A1A"/>
                <w:sz w:val="18"/>
              </w:rPr>
              <w:t xml:space="preserve">Componente straniera</w:t>
            </w:r>
          </w:p>
        </w:tc>
        <w:tc>
          <w:tcPr/>
          <w:p>
            <w:pPr>
              <w:pStyle w:val="Compact"/>
              <w:spacing w:after="40" w:before="40"/>
              <w:jc w:val="left"/>
            </w:pPr>
            <w:r>
              <w:rPr>
                <w:rFonts w:ascii="Cambria" w:hAnsi="Cambria" w:cs="Cambria" w:eastAsia="Cambria"/>
                <w:color w:val="1A1A1A"/>
                <w:sz w:val="18"/>
              </w:rPr>
              <w:t xml:space="preserve">12,2% dei residenti, motore della crescita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Articolazione del territorio</w:t>
            </w:r>
          </w:p>
        </w:tc>
        <w:tc>
          <w:tcPr>
            <w:shd w:val="clear" w:color="auto" w:fill="F4F1EC"/>
          </w:tcPr>
          <w:p>
            <w:pPr>
              <w:pStyle w:val="Compact"/>
              <w:spacing w:after="40" w:before="40"/>
              <w:jc w:val="left"/>
            </w:pPr>
            <w:r>
              <w:rPr>
                <w:rFonts w:ascii="Cambria" w:hAnsi="Cambria" w:cs="Cambria" w:eastAsia="Cambria"/>
                <w:color w:val="1A1A1A"/>
                <w:sz w:val="18"/>
              </w:rPr>
              <w:t xml:space="preserve">Dodici province; Città Metropolitana di Milano (&gt;1,36 mln)</w:t>
            </w:r>
          </w:p>
        </w:tc>
      </w:tr>
      <w:tr>
        <w:tc>
          <w:tcPr/>
          <w:p>
            <w:pPr>
              <w:pStyle w:val="Compact"/>
              <w:spacing w:after="40" w:before="40"/>
              <w:jc w:val="left"/>
            </w:pPr>
            <w:r>
              <w:rPr>
                <w:rFonts w:ascii="Cambria" w:hAnsi="Cambria" w:cs="Cambria" w:eastAsia="Cambria"/>
                <w:b/>
                <w:bCs/>
                <w:color w:val="1A1A1A"/>
                <w:sz w:val="18"/>
              </w:rPr>
              <w:t xml:space="preserve">Profilo per età</w:t>
            </w:r>
          </w:p>
        </w:tc>
        <w:tc>
          <w:tcPr/>
          <w:p>
            <w:pPr>
              <w:pStyle w:val="Compact"/>
              <w:spacing w:after="40" w:before="40"/>
              <w:jc w:val="left"/>
            </w:pPr>
            <w:r>
              <w:rPr>
                <w:rFonts w:ascii="Cambria" w:hAnsi="Cambria" w:cs="Cambria" w:eastAsia="Cambria"/>
                <w:color w:val="1A1A1A"/>
                <w:sz w:val="18"/>
              </w:rPr>
              <w:t xml:space="preserve">Composito: metropolitano e produttivo (Milano, Bergamo, Brescia), anziano e montano (Sondrio, valli)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Rischio di povertà o esclusione</w:t>
            </w:r>
          </w:p>
        </w:tc>
        <w:tc>
          <w:tcPr>
            <w:shd w:val="clear" w:color="auto" w:fill="F4F1EC"/>
          </w:tcPr>
          <w:p>
            <w:pPr>
              <w:pStyle w:val="Compact"/>
              <w:spacing w:after="40" w:before="40"/>
              <w:jc w:val="left"/>
            </w:pPr>
            <w:r>
              <w:rPr>
                <w:rFonts w:ascii="Cambria" w:hAnsi="Cambria" w:cs="Cambria" w:eastAsia="Cambria"/>
                <w:color w:val="1A1A1A"/>
                <w:sz w:val="18"/>
              </w:rPr>
              <w:t xml:space="preserve">~ 18%, tra i più contenuti d’Italia</w:t>
            </w:r>
          </w:p>
        </w:tc>
      </w:tr>
      <w:tr>
        <w:tc>
          <w:tcPr/>
          <w:p>
            <w:pPr>
              <w:pStyle w:val="Compact"/>
              <w:spacing w:after="40" w:before="40"/>
              <w:jc w:val="left"/>
            </w:pPr>
            <w:r>
              <w:rPr>
                <w:rFonts w:ascii="Cambria" w:hAnsi="Cambria" w:cs="Cambria" w:eastAsia="Cambria"/>
                <w:b/>
                <w:bCs/>
                <w:color w:val="1A1A1A"/>
                <w:sz w:val="18"/>
              </w:rPr>
              <w:t xml:space="preserve">Articolazione sanitaria</w:t>
            </w:r>
          </w:p>
        </w:tc>
        <w:tc>
          <w:tcPr/>
          <w:p>
            <w:pPr>
              <w:pStyle w:val="Compact"/>
              <w:spacing w:after="40" w:before="40"/>
              <w:jc w:val="left"/>
            </w:pPr>
            <w:r>
              <w:rPr>
                <w:rFonts w:ascii="Cambria" w:hAnsi="Cambria" w:cs="Cambria" w:eastAsia="Cambria"/>
                <w:color w:val="1A1A1A"/>
                <w:sz w:val="18"/>
              </w:rPr>
              <w:t xml:space="preserve">Otto ATS, ventisette ASST, ~100 distretti</w:t>
            </w:r>
          </w:p>
        </w:tc>
      </w:tr>
    </w:tbl>
    <w:p>
      <w:pPr>
        <w:pStyle w:val="BodyText"/>
      </w:pPr>
      <w:r>
        <w:rPr>
          <w:i/>
          <w:iCs/>
        </w:rPr>
        <w:t xml:space="preserve">Tabella B.1. Profilo demografico e socioeconomico della Lombardia.</w:t>
      </w:r>
    </w:p>
    <w:bookmarkEnd w:id="699"/>
    <w:bookmarkStart w:id="4256" w:name="b.2-epidemiologia-del-bisogno-2"/>
    <w:p>
      <w:pPr>
        <w:pStyle w:val="Heading3"/>
      </w:pPr>
      <w:r>
        <w:t xml:space="preserve">B.2 Epidemiologia del bisogno</w:t>
      </w:r>
    </w:p>
    <w:p>
      <w:pPr>
        <w:pStyle w:val="FirstParagraph"/>
      </w:pPr>
      <w:r>
        <w:t xml:space="preserve">Il bisogno di salute mentale in Lombardia si articola, come altrove, su due piani: il sommerso, ampio e in larga parte non intercettato, e l’emergente, che preme sui servizi specialistici e di emergenza. Sul primo piano, si stima che circa due milioni di persone presentino disagio psichico comune o sottosoglia, dell’ordine del 20–30% della popolazione adulta; su questa massa di bisogno la risposta territoriale strutturata è oggi assente. A tale quadro la Lombardia aggiunge un tratto specifico: il lascito psicologico della pandemia, di cui la regione fu l’epicentro nazionale, con eccezionale violenza nelle province di Bergamo e Brescia. La letteratura documenta un impatto duraturo sulla popolazione generale e, in misura accentuata, sugli operatori sanitari, che concorre alla domanda attuale.</w:t>
      </w:r>
    </w:p>
    <w:p>
      <w:pPr>
        <w:pStyle w:val="BodyText"/>
      </w:pPr>
      <w:r>
        <w:t xml:space="preserve">A differenza di alcune regioni meridionali, in Lombardia la rilevazione del sommerso non sconta una marcata sotto-dichiarazione. La sorveglianza PASSI dell’Istituto Superiore di Sanità colloca la quota di adulti con sintomi depressivi clinicamente rilevanti in prossimità della media nazionale, dell’ordine del 6–7%: la domanda è dunque più visibile, e si traduce in pressione sui servizi e, soprattutto, sulle liste di attesa. Il divario tra prevalenza reale e accesso ai servizi — il treatment gap — resta nondimeno strutturale, riconosciuto anche dalla Commissione europea, che nel 2024 ha rilevato come solo la metà delle persone con ansia o depressione chieda aiuto e come quasi un giovane su due resti privo di supporto adeguato. È precisamente questo divario che un servizio di primo livello, accessibile e privo di stigma, ha la funzione di colmare.</w:t>
      </w:r>
    </w:p>
    <w:bookmarkEnd w:id="4256"/>
    <w:bookmarkStart w:id="4257" w:name="b.3-domanda-offerta-e-gap-di-copertura-2"/>
    <w:p>
      <w:pPr>
        <w:pStyle w:val="Heading3"/>
      </w:pPr>
      <w:r>
        <w:t xml:space="preserve">B.3 Domanda, offerta e gap di copertura</w:t>
      </w:r>
    </w:p>
    <w:p>
      <w:pPr>
        <w:pStyle w:val="FirstParagraph"/>
      </w:pPr>
      <w:r>
        <w:t xml:space="preserve">A fronte di un bisogno di dimensione assoluta senza pari, l’offerta psicologica pubblica è storicamente esigua. Secondo i dati del Ministero della Salute riferiti al 2017, l’Italia dispone di 8,5 psicologi ogni centomila abitanti nel Servizio sanitario complessivo, e di meno di tre ogni centomila nelle sole strutture pubbliche di salute mentale, una delle dotazioni più basse d’Europa. La domanda che non trova risposta nel territorio si riversa sui servizi specialistici e di emergenza. I Dipartimenti di Salute Mentale lombardi hanno in carico un’utenza stimabile, per quota di popolazione, nell’ordine di 150.000 persone, e gli accessi al pronto soccorso per cause psichiatriche sono dell’ordine di quarantacinque-cinquantamila l’anno, con le sindromi nevrotiche e somatoformi quale causa più frequente: quadri comuni che non richiederebbero il contesto dell’emergenza, e che vi approdano in assenza di un primo livello territoriale.</w:t>
      </w:r>
    </w:p>
    <w:p>
      <w:pPr>
        <w:pStyle w:val="BodyText"/>
      </w:pPr>
      <w:r>
        <w:t xml:space="preserve">Il divario tra bisogno e offerta definisce la posta in gioco della decisione, che in Lombardia ha natura diversa che in Puglia: non si tratta di portare a regime un servizio già istituito e dotato, ma di strutturare e dimensionare una funzione che la riforma del 2021 ha previsto senza ancora attuarla. Il fabbisogno a regime, applicando i rapporti organizzativi del modello, è dell’ordine di 2.190 psicologi, il più elevato d’Italia, a fronte di una copertura strutturata oggi sostanzialmente nulla. Lo studio considera tre scenari di copertura — circa 1.100, 1.700 e 2.190 incarichi — che conducono il servizio progressivamente verso la copertura del bisogno. La tabella seguente riepiloga le grandezze della domanda, dell’offerta e del divario.</w:t>
      </w:r>
    </w:p>
    <w:tbl>
      <w:tblPr>
        <w:tblStyle w:val="Table"/>
        <w:tblW w:type="pct" w:w="491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995"/>
        <w:gridCol w:w="37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Lombardia</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2.000.000 di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stimata in carico ai Dipartimenti</w:t>
            </w:r>
          </w:p>
        </w:tc>
        <w:tc>
          <w:tcPr>
            <w:shd w:val="clear" w:color="auto" w:fill="F4F1EC"/>
          </w:tcPr>
          <w:p>
            <w:pPr>
              <w:pStyle w:val="Compact"/>
              <w:spacing w:after="40" w:before="40"/>
              <w:jc w:val="left"/>
            </w:pPr>
            <w:r>
              <w:rPr>
                <w:rFonts w:ascii="Cambria" w:hAnsi="Cambria" w:cs="Cambria" w:eastAsia="Cambria"/>
                <w:color w:val="1A1A1A"/>
                <w:sz w:val="18"/>
              </w:rPr>
              <w:t xml:space="preserve">~ 150.000</w:t>
            </w:r>
          </w:p>
        </w:tc>
      </w:tr>
      <w:tr>
        <w:tc>
          <w:tcPr/>
          <w:p>
            <w:pPr>
              <w:pStyle w:val="Compact"/>
              <w:spacing w:after="40" w:before="40"/>
              <w:jc w:val="left"/>
            </w:pPr>
            <w:r>
              <w:rPr>
                <w:rFonts w:ascii="Cambria" w:hAnsi="Cambria" w:cs="Cambria" w:eastAsia="Cambria"/>
                <w:b/>
                <w:bCs/>
                <w:color w:val="1A1A1A"/>
                <w:sz w:val="18"/>
              </w:rPr>
              <w:t xml:space="preserve">Accessi al pronto soccorso per cause psichiatriche</w:t>
            </w:r>
          </w:p>
        </w:tc>
        <w:tc>
          <w:tcPr/>
          <w:p>
            <w:pPr>
              <w:pStyle w:val="Compact"/>
              <w:spacing w:after="40" w:before="40"/>
              <w:jc w:val="left"/>
            </w:pPr>
            <w:r>
              <w:rPr>
                <w:rFonts w:ascii="Cambria" w:hAnsi="Cambria" w:cs="Cambria" w:eastAsia="Cambria"/>
                <w:color w:val="1A1A1A"/>
                <w:sz w:val="18"/>
              </w:rPr>
              <w:t xml:space="preserve">~ 45.000–50.000 l’anno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Offerta territoriale strutturata attuale</w:t>
            </w:r>
          </w:p>
        </w:tc>
        <w:tc>
          <w:tcPr>
            <w:shd w:val="clear" w:color="auto" w:fill="F4F1EC"/>
          </w:tcPr>
          <w:p>
            <w:pPr>
              <w:pStyle w:val="Compact"/>
              <w:spacing w:after="40" w:before="40"/>
              <w:jc w:val="left"/>
            </w:pPr>
            <w:r>
              <w:rPr>
                <w:rFonts w:ascii="Cambria" w:hAnsi="Cambria" w:cs="Cambria" w:eastAsia="Cambria"/>
                <w:color w:val="1A1A1A"/>
                <w:sz w:val="18"/>
              </w:rPr>
              <w:t xml:space="preserve">Funzione prevista (L.R. 22/2021) ma non strutturata</w:t>
            </w:r>
          </w:p>
        </w:tc>
      </w:tr>
      <w:tr>
        <w:tc>
          <w:tcPr/>
          <w:p>
            <w:pPr>
              <w:pStyle w:val="Compact"/>
              <w:spacing w:after="40" w:before="40"/>
              <w:jc w:val="left"/>
            </w:pPr>
            <w:r>
              <w:rPr>
                <w:rFonts w:ascii="Cambria" w:hAnsi="Cambria" w:cs="Cambria" w:eastAsia="Cambria"/>
                <w:b/>
                <w:bCs/>
                <w:color w:val="1A1A1A"/>
                <w:sz w:val="18"/>
              </w:rPr>
              <w:t xml:space="preserve">Fabbisogno stimato a regime</w:t>
            </w:r>
          </w:p>
        </w:tc>
        <w:tc>
          <w:tcPr/>
          <w:p>
            <w:pPr>
              <w:pStyle w:val="Compact"/>
              <w:spacing w:after="40" w:before="40"/>
              <w:jc w:val="left"/>
            </w:pPr>
            <w:r>
              <w:rPr>
                <w:rFonts w:ascii="Cambria" w:hAnsi="Cambria" w:cs="Cambria" w:eastAsia="Cambria"/>
                <w:color w:val="1A1A1A"/>
                <w:sz w:val="18"/>
              </w:rPr>
              <w:t xml:space="preserve">~ 2.190 psicologi (il più elevato d’Italia)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Copertura attuale del fabbisogno</w:t>
            </w:r>
          </w:p>
        </w:tc>
        <w:tc>
          <w:tcPr>
            <w:shd w:val="clear" w:color="auto" w:fill="F4F1EC"/>
          </w:tcPr>
          <w:p>
            <w:pPr>
              <w:pStyle w:val="Compact"/>
              <w:spacing w:after="40" w:before="40"/>
              <w:jc w:val="left"/>
            </w:pPr>
            <w:r>
              <w:rPr>
                <w:rFonts w:ascii="Cambria" w:hAnsi="Cambria" w:cs="Cambria" w:eastAsia="Cambria"/>
                <w:color w:val="1A1A1A"/>
                <w:sz w:val="18"/>
              </w:rPr>
              <w:t xml:space="preserve">~ 0% (servizio non ancora dimensionato)</w:t>
            </w:r>
          </w:p>
        </w:tc>
      </w:tr>
    </w:tbl>
    <w:p>
      <w:pPr>
        <w:pStyle w:val="BodyText"/>
      </w:pPr>
      <w:r>
        <w:rPr>
          <w:i/>
          <w:iCs/>
        </w:rPr>
        <w:t xml:space="preserve">Tabella B.2. Domanda, offerta e gap di copertura.</w:t>
      </w:r>
    </w:p>
    <w:bookmarkEnd w:id="4257"/>
    <w:bookmarkStart w:id="702" w:name="X8a2b53e5ff0d5fb9b4503c73df2dee4e427c503"/>
    <w:p>
      <w:pPr>
        <w:pStyle w:val="Heading3"/>
      </w:pPr>
      <w:r>
        <w:t xml:space="preserve">B.4 Disuguaglianze e divari territoriali</w:t>
      </w:r>
    </w:p>
    <w:p>
      <w:pPr>
        <w:pStyle w:val="FirstParagraph"/>
      </w:pPr>
      <w:r>
        <w:t xml:space="preserve">Il bisogno e l’offerta non si distribuiscono uniformemente sul territorio regionale, e l’equità interna è perciò una dimensione costitutiva della valutazione. In Lombardia i divari assumono una fisionomia particolare: non il gradiente meridionale della deprivazione diffusa, ma il contrasto tra un’area metropolitana densa e ben servita e le aree alpine interne, a popolazione anziana e dispersa, dove l’accesso ai servizi è strutturalmente più difficile, accanto a talune periferie urbane fragili. Sono le aree in cui i determinanti del disagio si addensano e in cui, al tempo stesso, la rete è più rada.</w:t>
      </w:r>
    </w:p>
    <w:p>
      <w:pPr>
        <w:pStyle w:val="BodyText"/>
      </w:pPr>
      <w:r>
        <w:t xml:space="preserve">Il disegno del servizio riconosce questi divari e li affronta in sede di distribuzione territoriale degli incarichi. L’algoritmo allocativo non ripartisce le risorse in proporzione alla sola popolazione, ma pondera ciascun distretto per l’indice di vecchiaia, per l’indice di deprivazione socioeconomica e per la prevalenza di cronicità e multimorbidità, attribuendo pesi maggiori alle aree alpine interne e alle periferie più fragili. In Lombardia, dove le liste di attesa sono il principale segno di disuguaglianza nell’accesso, la loro misura per area è tra le variabili che lo studio segue come prioritarie, in quanto consente di verificare se il servizio raggiunga effettivamente le comunità più distanti, e non solo quelle già meglio servite.</w:t>
      </w:r>
    </w:p>
    <w:bookmarkEnd w:id="702"/>
    <w:bookmarkStart w:id="4258" w:name="b.5-i-servizi-e-i-flussi-2"/>
    <w:p>
      <w:pPr>
        <w:pStyle w:val="Heading3"/>
      </w:pPr>
      <w:r>
        <w:t xml:space="preserve">B.5 I servizi e i flussi</w:t>
      </w:r>
    </w:p>
    <w:p>
      <w:pPr>
        <w:pStyle w:val="FirstParagraph"/>
      </w:pPr>
      <w:r>
        <w:t xml:space="preserve">Il contesto di bilancio lombardo si distingue nettamente da quello pugliese. La Lombardia dispone del più ampio finanziamento sanitario regionale del Paese, dell’ordine di ventuno miliardi di euro, e presenta conti in sostanziale equilibrio; a differenza della Puglia, non è sottoposta a piano di rientro. Permane nondimeno il vincolo generale di destinazione delle risorse ai livelli essenziali, e con esso l’esigenza, comune a ogni amministrazione, di dimostrare l’efficienza e il ritorno di ciascuna nuova linea di spesa.</w:t>
      </w:r>
    </w:p>
    <w:p>
      <w:pPr>
        <w:pStyle w:val="BodyText"/>
      </w:pPr>
      <w:r>
        <w:t xml:space="preserve">Il tratto più distintivo del caso lombardo riguarda i flussi, e capovolge quello pugliese. La Lombardia presenta il più elevato saldo di mobilità sanitaria attiva d’Italia, dell’ordine di 580 milioni di euro, a fronte di oltre un miliardo di prestazioni erogate a non residenti: è il primo polo attrattivo del Paese, la destinazione principale dei flussi provenienti dal Mezzogiorno. Ne consegue, con immediatezza, che il canale del recupero della mobilità passiva — centrale per le regioni meridionali, dove ogni quota di domanda trattenuta diviene un risparmio diretto — in Lombardia non si applica: la regione è creditrice, non debitrice. Il margine di inefficienza su cui il servizio agisce risiede altrove: nel ricorso al pronto soccorso, con accessi dell’ordine di tre milioni l’anno e una quota inappropriata rilevante, e soprattutto nelle liste di attesa e nel ritardo storico della rete territoriale.</w:t>
      </w:r>
    </w:p>
    <w:p>
      <w:pPr>
        <w:pStyle w:val="BodyText"/>
      </w:pPr>
      <w:r>
        <w:t xml:space="preserve">Sul versante farmaceutico, la Lombardia presenta un consumo complessivo dell’ordine di novecento-novecentocinquanta dosi giornaliere ogni mille abitanti, inferiore a quello delle regioni meridionali e prossimo alla media nazionale; l’intercettazione del disagio psichico nelle cure primarie resta tuttavia migliorabile, con margini di appropriatezza nella sostituzione di terapie croniche non necessarie con percorsi psicologici. Il punto su cui converge l’intero quadro lombardo è il ritardo della rete di prossimità: il modello regionale, fondato sull’eccellenza ospedaliera e specialistica, vi ha storicamente dedicato minore attenzione, e la pandemia ne ha rivelato la fragilità. Il Servizio di Psicologia di Base completa la rete territoriale in costruzione e ne accresce la capacità di intercettare il bisogno in prossimità. La tabella seguente riepiloga le grandezze di sistema; la loro traduzione in risparmi è trattata, con la dovuta distinzione tra effetti sul bilancio e ricadute sociali, nella Parte E.</w:t>
      </w:r>
    </w:p>
    <w:tbl>
      <w:tblPr>
        <w:tblStyle w:val="Table"/>
        <w:tblW w:type="pct" w:w="492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253"/>
        <w:gridCol w:w="454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Lombardia</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w:t>
            </w:r>
          </w:p>
        </w:tc>
        <w:tc>
          <w:tcPr/>
          <w:p>
            <w:pPr>
              <w:pStyle w:val="Compact"/>
              <w:spacing w:after="40" w:before="40"/>
              <w:jc w:val="left"/>
            </w:pPr>
            <w:r>
              <w:rPr>
                <w:rFonts w:ascii="Cambria" w:hAnsi="Cambria" w:cs="Cambria" w:eastAsia="Cambria"/>
                <w:color w:val="1A1A1A"/>
                <w:sz w:val="18"/>
              </w:rPr>
              <w:t xml:space="preserve">~ 21 miliardi di euro; conti in equilibrio; nessun piano di rientro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 attiva</w:t>
            </w:r>
          </w:p>
        </w:tc>
        <w:tc>
          <w:tcPr>
            <w:shd w:val="clear" w:color="auto" w:fill="F4F1EC"/>
          </w:tcPr>
          <w:p>
            <w:pPr>
              <w:pStyle w:val="Compact"/>
              <w:spacing w:after="40" w:before="40"/>
              <w:jc w:val="left"/>
            </w:pPr>
            <w:r>
              <w:rPr>
                <w:rFonts w:ascii="Cambria" w:hAnsi="Cambria" w:cs="Cambria" w:eastAsia="Cambria"/>
                <w:color w:val="1A1A1A"/>
                <w:sz w:val="18"/>
              </w:rPr>
              <w:t xml:space="preserve">saldo +580 milioni di euro (regione creditrice; canale non applicabile)</w:t>
            </w:r>
          </w:p>
        </w:tc>
      </w:tr>
      <w:tr>
        <w:tc>
          <w:tcPr/>
          <w:p>
            <w:pPr>
              <w:pStyle w:val="Compact"/>
              <w:spacing w:after="40" w:before="40"/>
              <w:jc w:val="left"/>
            </w:pPr>
            <w:r>
              <w:rPr>
                <w:rFonts w:ascii="Cambria" w:hAnsi="Cambria" w:cs="Cambria" w:eastAsia="Cambria"/>
                <w:b/>
                <w:bCs/>
                <w:color w:val="1A1A1A"/>
                <w:sz w:val="18"/>
              </w:rPr>
              <w:t xml:space="preserve">Accessi al pronto soccorso</w:t>
            </w:r>
          </w:p>
        </w:tc>
        <w:tc>
          <w:tcPr/>
          <w:p>
            <w:pPr>
              <w:pStyle w:val="Compact"/>
              <w:spacing w:after="40" w:before="40"/>
              <w:jc w:val="left"/>
            </w:pPr>
            <w:r>
              <w:rPr>
                <w:rFonts w:ascii="Cambria" w:hAnsi="Cambria" w:cs="Cambria" w:eastAsia="Cambria"/>
                <w:color w:val="1A1A1A"/>
                <w:sz w:val="18"/>
              </w:rPr>
              <w:t xml:space="preserve">~ 3.000.000–3.200.000 l’anno; quota inappropriata rilevante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Consumo farmaceutico complessivo</w:t>
            </w:r>
          </w:p>
        </w:tc>
        <w:tc>
          <w:tcPr>
            <w:shd w:val="clear" w:color="auto" w:fill="F4F1EC"/>
          </w:tcPr>
          <w:p>
            <w:pPr>
              <w:pStyle w:val="Compact"/>
              <w:spacing w:after="40" w:before="40"/>
              <w:jc w:val="left"/>
            </w:pPr>
            <w:r>
              <w:rPr>
                <w:rFonts w:ascii="Cambria" w:hAnsi="Cambria" w:cs="Cambria" w:eastAsia="Cambria"/>
                <w:color w:val="1A1A1A"/>
                <w:sz w:val="18"/>
              </w:rPr>
              <w:t xml:space="preserve">~ 900–950 dosi giornaliere ogni mille abitanti</w:t>
            </w:r>
          </w:p>
        </w:tc>
      </w:tr>
      <w:tr>
        <w:tc>
          <w:tcPr/>
          <w:p>
            <w:pPr>
              <w:pStyle w:val="Compact"/>
              <w:spacing w:after="40" w:before="40"/>
              <w:jc w:val="left"/>
            </w:pPr>
            <w:r>
              <w:rPr>
                <w:rFonts w:ascii="Cambria" w:hAnsi="Cambria" w:cs="Cambria" w:eastAsia="Cambria"/>
                <w:b/>
                <w:bCs/>
                <w:color w:val="1A1A1A"/>
                <w:sz w:val="18"/>
              </w:rPr>
              <w:t xml:space="preserve">Margine di azione principale</w:t>
            </w:r>
          </w:p>
        </w:tc>
        <w:tc>
          <w:tcPr/>
          <w:p>
            <w:pPr>
              <w:pStyle w:val="Compact"/>
              <w:spacing w:after="40" w:before="40"/>
              <w:jc w:val="left"/>
            </w:pPr>
            <w:r>
              <w:rPr>
                <w:rFonts w:ascii="Cambria" w:hAnsi="Cambria" w:cs="Cambria" w:eastAsia="Cambria"/>
                <w:color w:val="1A1A1A"/>
                <w:sz w:val="18"/>
              </w:rPr>
              <w:t xml:space="preserve">Liste di attesa e rete territoriale in costruzione</w:t>
            </w:r>
          </w:p>
        </w:tc>
      </w:tr>
    </w:tbl>
    <w:p>
      <w:pPr>
        <w:pStyle w:val="BodyText"/>
      </w:pPr>
      <w:r>
        <w:rPr>
          <w:i/>
          <w:iCs/>
        </w:rPr>
        <w:t xml:space="preserve">Tabella B.3. I servizi e i flussi del Servizio sanitario regionale rilevanti per lo studio.</w:t>
      </w:r>
    </w:p>
    <w:bookmarkEnd w:id="4258"/>
    <w:bookmarkStart w:id="704" w:name="X77852c107421bd8b40f80d9537bb28d1d84b36a"/>
    <w:p>
      <w:pPr>
        <w:pStyle w:val="Heading3"/>
      </w:pPr>
      <w:r>
        <w:t xml:space="preserve">B.6 La cornice normativa e programmatica</w:t>
      </w:r>
    </w:p>
    <w:p>
      <w:pPr>
        <w:pStyle w:val="FirstParagraph"/>
      </w:pPr>
      <w:r>
        <w:t xml:space="preserve">La riforma si colloca in una cornice normativa coerente su tre livelli, che ne fonda la rilevanza e la coerenza. A livello regionale, la legge n. 22 del 2021 ha riorganizzato il sistema sociosanitario ponendo al centro il potenziamento della medicina territoriale: ha istituito circa cento distretti, oltre duecento Case della Comunità, una sessantina di Ospedali di Comunità e circa cento Centrali Operative Territoriali, prevedendo esplicitamente gli psicologi tra i professionisti delle Case della Comunità e l’impiego dell’intelligenza artificiale nelle Centrali Operative Territoriali. È il fondamento giuridico dello studio, e la ragione per cui la decisione non verte sul prevedere la funzione, già prevista, ma sullo strutturarla e dimensionarla.</w:t>
      </w:r>
    </w:p>
    <w:p>
      <w:pPr>
        <w:pStyle w:val="BodyText"/>
      </w:pPr>
      <w:r>
        <w:t xml:space="preserve">A livello nazionale, il quadro è favorevole e convergente. Il decreto ministeriale 77 del 2022 ha definito il modello dell’assistenza territoriale, facendo delle Case della Comunità la sede della presa in carico di prossimità, presso la quale lo psicologo di base si inserisce naturalmente; la Missione 6 del Piano Nazionale di Ripresa e Resilienza finanzia l’infrastruttura territoriale e digitale, e la Lombardia ne è tra i principali destinatari per dimensione della rete in costruzione; e l’accordo della specialistica ambulatoriale disciplina il rapporto convenzionale dei psicologi, fornendo il riferimento contrattuale del modello di costo. A livello europeo, il regolamento sull’HTA, applicabile dal 2025, e il regolamento sull’intelligenza artificiale forniscono gli standard, rispettivamente, della valutazione e dell’innovazione tecnologica del servizio.</w:t>
      </w:r>
    </w:p>
    <w:p>
      <w:pPr>
        <w:pStyle w:val="BodyText"/>
      </w:pPr>
      <w:r>
        <w:t xml:space="preserve">La convergenza dei tre livelli normativi colloca la riforma lombarda all’incrocio tra una riforma regionale che ha già tracciato la funzione psicologica territoriale e l’impiego dell’intelligenza artificiale, una programmazione nazionale che ne predispone le sedi e le risorse, e una cornice europea che ne fissa i criteri di valutazione. È in questo quadro che le parti successive dello studio analizzano l’intervento, ne accertano l’efficacia, ne valutano l’economia e ne pianificano l’attuazione, a partire dalla descrizione del modello organizzativo e clinico oggetto della Parte C.</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C</w:t>
      </w:r>
    </w:p>
    <w:p>
      <w:pPr>
        <w:pStyle w:val="BodyText"/>
      </w:pPr>
      <w:r>
        <w:rPr>
          <w:b/>
          <w:bCs/>
        </w:rPr>
        <w:t xml:space="preserve">L’intervento e il modello</w:t>
      </w:r>
    </w:p>
    <w:p>
      <w:pPr>
        <w:pStyle w:val="BodyText"/>
      </w:pPr>
      <w:r>
        <w:rPr>
          <w:i/>
          <w:iCs/>
        </w:rPr>
        <w:t xml:space="preserve">Definizione e teoria del cambiamento, modello organizzativo, percorso clinico, sistema informativo, intelligenza artificiale, formazione</w:t>
      </w:r>
    </w:p>
    <w:p>
      <w:pPr>
        <w:pStyle w:val="BodyText"/>
      </w:pPr>
      <w:r>
        <w:t xml:space="preserve">Domini 2 e 3 del modello HTA · descrizione tecnica e sicurezza dell’intervento</w:t>
      </w:r>
    </w:p>
    <w:bookmarkEnd w:id="704"/>
    <w:bookmarkEnd w:id="4255"/>
    <w:bookmarkStart w:id="712" w:name="parte-c-lintervento-e-il-modello"/>
    <w:p>
      <w:pPr>
        <w:pStyle w:val="Heading2"/>
      </w:pPr>
      <w:r>
        <w:t xml:space="preserve">Parte C — L’intervento e il modello</w:t>
      </w:r>
    </w:p>
    <w:p>
      <w:pPr>
        <w:pStyle w:val="FirstParagraph"/>
      </w:pPr>
      <w:r>
        <w:t xml:space="preserve">Questa parte corrisponde, nel telaio integrato, al secondo e al terzo dominio della valutazione di tecnologia sanitaria — la descrizione tecnica dell’intervento e la sua sicurezza. Stabilito nella Parte B che cosa la riforma deve affrontare, qui si descrive che cosa la riforma è: la sua definizione e la logica per cui ci si attende che produca i suoi effetti (capitolo C.1), il modello organizzativo che la innesta nelle cure primarie (C.2), il percorso clinico, le garanzie di sicurezza e le misure di esito (C.3), il sistema informativo che ne assicura la continuità (C.4), gli strumenti digitali e di intelligenza artificiale che la assistono (C.5) e la formazione che ne abilita i professionisti (C.6). La descrizione è fondata sui modelli internazionali più consolidati ed è la medesima adottata per la Puglia, calata nel contesto organizzativo lombardo.</w:t>
      </w:r>
    </w:p>
    <w:bookmarkStart w:id="706" w:name="Xce20991267f888a59884bead41c99ea5cf53a08"/>
    <w:p>
      <w:pPr>
        <w:pStyle w:val="Heading3"/>
      </w:pPr>
      <w:r>
        <w:t xml:space="preserve">C.1 Definizione e teoria del cambiamento</w:t>
      </w:r>
    </w:p>
    <w:p>
      <w:pPr>
        <w:pStyle w:val="FirstParagraph"/>
      </w:pPr>
      <w:r>
        <w:t xml:space="preserve">L’intervento consiste nell’inserimento stabile dello psicologo nelle cure primarie, accanto al medico di medicina generale e al pediatra di libera scelta, come primo livello di ascolto, di intercettazione precoce e di filtro; l’accesso avviene su invio del medico ovvero in forma diretta, secondo percorsi definiti, e i quadri gravi o acuti sono riservati ai servizi specialistici. La definizione è al tempo stesso semplice e precisa: non un nuovo servizio specialistico, ma una funzione di prossimità collocata nel luogo in cui la maggioranza dei cittadini incontra per prima il sistema sanitario, lo studio del medico di base e, per la Lombardia, la rete delle Case della Comunità in costruzione. È questa collocazione a monte del sistema che ne definisce la natura e il valore.</w:t>
      </w:r>
    </w:p>
    <w:p>
      <w:pPr>
        <w:pStyle w:val="BodyText"/>
      </w:pPr>
      <w:r>
        <w:t xml:space="preserve">La teoria del cambiamento — il nesso esplicito tra ciò che si fa e gli effetti attesi — si fonda sul principio della prevenzione secondaria: intercettare il disagio comune nelle sue fasi iniziali, prima che si cronicizzi e che generi domanda di servizi più intensivi e costosi. Il meccanismo opera in più passaggi concatenati. Un primo livello accessibile e privo di stigma intercetta una quota del bisogno oggi inevaso; gli interventi psicologici brevi risolvono i quadri lievi e moderati, generando recupero clinico; la funzione di filtro invia ai servizi specialistici i soli quadri che li richiedono, riservando a essi la capacità specialistica; e la presa in carico precoce riduce il ricorso improprio al pronto soccorso, le prescrizioni farmacologiche inappropriate e, in Lombardia, le liste di attesa che gravano sulla rete territoriale. Gli effetti attesi si dispongono perciò su tre piani — clinico, di sistema e sociale — secondo la catena logica riepilogata nella tabella seguente.</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28"/>
        <w:gridCol w:w="609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Lombardia</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2.000.000 di persone con disagio comune, in larga parte non intercettato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Psicologo nelle cure primarie: intercettazione precoce, intervento breve, filtro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liste di attesa ridotte e rete territoriale completata</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minor carico familiare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706"/>
    <w:bookmarkStart w:id="4259" w:name="c.2-il-modello-organizzativo-2"/>
    <w:p>
      <w:pPr>
        <w:pStyle w:val="Heading3"/>
      </w:pPr>
      <w:r>
        <w:t xml:space="preserve">C.2 Il modello organizzativo</w:t>
      </w:r>
    </w:p>
    <w:p>
      <w:pPr>
        <w:pStyle w:val="FirstParagraph"/>
      </w:pPr>
      <w:r>
        <w:t xml:space="preserve">Il modello organizzativo colloca lo psicologo negli studi di medicina generale e nelle Case della Comunità, in forte integrazione con i medici curanti, attraverso consultazioni congiunte, protocolli di invio strutturati e comunicazione facilitata. Tale assetto non è una scelta originale, ma l’adattamento al contesto lombardo di un paradigma ampiamente validato a livello internazionale, che ricorre sotto denominazioni diverse — cura collaborativa, cura integrata, cura a intensità crescente, salute mentale nelle cure primarie — e che condivide alcuni principi costitutivi: la collocazione del professionista in strutture accessibili, la focalizzazione sui disturbi comuni con triage strutturato, gli interventi brevi e orientati agli esiti, il monitoraggio sistematico e l’orientamento alla prevenzione secondaria.</w:t>
      </w:r>
    </w:p>
    <w:p>
      <w:pPr>
        <w:pStyle w:val="BodyText"/>
      </w:pPr>
      <w:r>
        <w:t xml:space="preserve">Il riferimento più robusto è il Collaborative Care Model, sviluppato presso l’Università di Washington e validato da oltre novanta studi randomizzati controllati, che organizza la presa in carico intorno a un’équipe integrata — il medico di base, un responsabile dell’assistenza con formazione in salute mentale e uno psichiatra consulente per i casi complessi — con screening sistematico, interventi strutturati e monitoraggio degli esiti. Concorrono il programma inglese di terapie psicologiche, che ha reso operativo su larga scala il modello della cura a intensità crescente, e il modello olandese che integra gli psicologi nelle cure primarie, in cui l’invio allo specialista riguarda solo i quadri più complessi, dell’ordine del quindici per cento. La direzione è confermata dal quadro strategico che l’Organizzazione mondiale della sanità per l’Europa ha pubblicato nel 2025, che indica l’integrazione di professionisti dedicati nei team di cure primarie tra le strategie cardine. Il modello adotta questi principi e li cala nella rete lombarda di otto Agenzie di Tutela della Salute, ventisette Aziende Socio-Sanitarie Territoriali e Case della Comunità, di cui costituisce, per la componente psicologica, la realizzazione strutturata.</w:t>
      </w:r>
    </w:p>
    <w:bookmarkEnd w:id="4259"/>
    <w:bookmarkStart w:id="708" w:name="X0573bb4119d58da46591edf555622cee447a075"/>
    <w:p>
      <w:pPr>
        <w:pStyle w:val="Heading3"/>
      </w:pPr>
      <w:r>
        <w:t xml:space="preserve">C.3 Il percorso clinico, la sicurezza e gli esiti</w:t>
      </w:r>
    </w:p>
    <w:p>
      <w:pPr>
        <w:pStyle w:val="FirstParagraph"/>
      </w:pPr>
      <w:r>
        <w:t xml:space="preserve">Il percorso clinico è organizzato secondo la logica della cura a intensità crescente. Al primo livello si collocano gli interventi brevi — dell’ordine di quattro-otto sedute, fondati su principi cognitivo-comportamentali ed erogati anche come auto-aiuto guidato — destinati ai quadri lievi e moderati, che costituiscono la maggioranza del bisogno. I quadri che non rispondono o che presentano maggiore complessità accedono a interventi più strutturati, e i casi gravi sono inviati ai servizi specialistici. La porta d’ingresso e il monitoraggio si fondano su strumenti standardizzati: il PHQ-9 per i sintomi depressivi e il GAD-7 per i sintomi d’ansia, dotati di buona sensibilità e specificità, somministrati all’ingresso e lungo il percorso nei soli punteggi complessivi, a misura oggettiva del miglioramento clinico e del tasso di recupero.</w:t>
      </w:r>
    </w:p>
    <w:p>
      <w:pPr>
        <w:pStyle w:val="BodyText"/>
      </w:pPr>
      <w:r>
        <w:t xml:space="preserve">La sicurezza del percorso — oggetto del terzo dominio della valutazione — è presidiata da un criterio netto di appropriatezza. Sono esclusi dal primo livello i quadri gravi o acuti, ai quali è garantito l’invio appropriato ai servizi specialistici e, ove necessario, ai percorsi dell’emergenza, in raccordo con il medico curante; le situazioni di rischio per sé o per altri sono indirizzate con priorità e senza indugio, senza che lo studio o la cartella registrino il dettaglio delle modalità, a garanzia insieme di sicurezza clinica e di dignità della persona. Il filtro, in questo senso, non è solo un meccanismo di efficienza, ma anche di sicurezza, poiché assicura che ciascun bisogno sia trattato nel livello assistenziale appropriato.</w:t>
      </w:r>
    </w:p>
    <w:p>
      <w:pPr>
        <w:pStyle w:val="BodyText"/>
      </w:pPr>
      <w:r>
        <w:t xml:space="preserve">Gli esiti sono articolati per tipologia, in modo da rendere conto dell’effetto dell’intervento su tutti i piani rilevanti: l’esito primario è la quota di miglioramento clinico e il tasso di recupero; gli esiti clinici secondari comprendono la remissione, la riduzione dei punteggi sintomatologici e la soddisfazione; gli esiti di processo misurano l’attività e l’appropriatezza dell’invio; gli esiti di impatto e utilizzo misurano la pressione alleviata sui servizi. La tabella seguente riepiloga le prime categorie di esito, di pertinenza clinica e organizzativa; gli esiti economici e di equità sono trattati, rispettivamente, nelle Parti E e G, e l’intero sistema di indicatori è sviluppato nella Parte L.</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43"/>
        <w:gridCol w:w="56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di equità sono trattati nelle Parti E e G).</w:t>
      </w:r>
    </w:p>
    <w:bookmarkEnd w:id="708"/>
    <w:bookmarkStart w:id="4260" w:name="X6ca8ed03d6d83688ea1f2040d91e89c969a355b"/>
    <w:p>
      <w:pPr>
        <w:pStyle w:val="Heading3"/>
      </w:pPr>
      <w:r>
        <w:t xml:space="preserve">C.4 Il sistema informativo e l’interoperabilità</w:t>
      </w:r>
    </w:p>
    <w:p>
      <w:pPr>
        <w:pStyle w:val="FirstParagraph"/>
      </w:pPr>
      <w:r>
        <w:t xml:space="preserve">Il servizio si avvale dei sistemi informativi sanitari regionali della Lombardia e del Fascicolo Sanitario Elettronico, quali strumenti della continuità assistenziale e dell’integrazione con la medicina generale e i servizi specialistici. È prevista una cartella dedicata, interoperabile con i sistemi aziendali, che registra in forma strutturata le prese in carico, i percorsi e le misure di esito standardizzate, e che alimenta al tempo stesso il sistema di monitoraggio, secondo standard di interoperabilità definiti a livello nazionale. L’interoperabilità non è un requisito accessorio: è la condizione perché la funzione di filtro operi davvero, poiché l’invio appropriato tra primo livello, medicina generale e servizi specialistici presuppone che le informazioni cliniche rilevanti seguano la persona lungo il percorso. In Lombardia, dove le Centrali Operative Territoriali sono concepite come nodi di raccordo della rete, il sistema informativo del servizio vi si integra naturalmente.</w:t>
      </w:r>
    </w:p>
    <w:p>
      <w:pPr>
        <w:pStyle w:val="BodyText"/>
      </w:pPr>
      <w:r>
        <w:t xml:space="preserve">La progettazione del sistema informativo rispetta la disciplina europea e nazionale su protezione dei dati, dispositivi medici e intelligenza artificiale, con particolare attenzione alla sicurezza, alla trasparenza e alla minimizzazione dei dati trattati; al sistema di monitoraggio, e a ogni livello di analisi, sono trasmessi dati in forma aggregata, dai quali non è possibile risalire alla persona. Il sistema informativo, in questo modo, assolve una doppia funzione: sostiene la cura del singolo, garantendo la continuità, e produce, in forma anonima, la base dati che alimenta la valutazione dell’intero servizio, oggetto delle parti successive dello studio.</w:t>
      </w:r>
    </w:p>
    <w:bookmarkEnd w:id="4260"/>
    <w:bookmarkStart w:id="4261" w:name="X7bafabec191fa2dbac095207a24a6df016fb676"/>
    <w:p>
      <w:pPr>
        <w:pStyle w:val="Heading3"/>
      </w:pPr>
      <w:r>
        <w:t xml:space="preserve">C.5 Gli strumenti digitali e l’intelligenza artificiale</w:t>
      </w:r>
    </w:p>
    <w:p>
      <w:pPr>
        <w:pStyle w:val="FirstParagraph"/>
      </w:pPr>
      <w:r>
        <w:t xml:space="preserve">Il servizio si avvale di strumenti digitali e di sistemi di intelligenza artificiale a supporto della diagnostica, della prevenzione, del trattamento e della continuità assistenziale, nonché di dispositivi terapeutici digitali validati, impiegati quali ausili dell’attività professionale e non in sua sostituzione. Il principio cardine è la sorveglianza umana: l’intelligenza artificiale opera come copilota del clinico — propone, segnala, sintetizza — ma la decisione resta sempre del professionista; e l’impiego avviene nel rispetto della normativa su IA, dispositivi medici e dati, sulla base di un elenco degli strumenti ammessi fondato su criteri di evidenza di efficacia e di conformità regolatoria. In Lombardia questo impiego non è un’aggiunta estranea: la riforma del 2021 prevede già l’impiego di strumenti di intelligenza artificiale nelle Centrali Operative Territoriali, e il servizio ne costituisce un’applicazione clinica strutturata.</w:t>
      </w:r>
    </w:p>
    <w:p>
      <w:pPr>
        <w:pStyle w:val="BodyText"/>
      </w:pPr>
      <w:r>
        <w:t xml:space="preserve">Le funzioni sono molteplici e ben delimitate: il triage psicologico assistito e lo screening automatico per l’individuazione precoce; gli strumenti predittivi del rischio e il supporto decisionale clinico, sempre non vincolante; la riduzione del carico amministrativo mediante automazione appropriata, che restituisce tempo alla relazione di cura; l’analisi del linguaggio naturale, con i necessari requisiti di validazione, supervisione e spiegabilità. A queste si aggiungono due modalità di particolare rilievo per la Lombardia. La telepsicologia, prevista quale modalità integrativa e non sostitutiva, amplia l’accesso nelle aree alpine di Sondrio e delle valli prealpine, a popolazione anziana e dispersa, e assicura la continuità quando lo spostamento sia difficoltoso; i dispositivi terapeutici digitali — software-intervento validati e prescritti, distinti dalle applicazioni di benessere — offrono per i disturbi comuni strumenti a efficacia documentata, già dotati di modelli di rimborso consolidati in altri Paesi europei.</w:t>
      </w:r>
    </w:p>
    <w:tbl>
      <w:tblPr>
        <w:tblStyle w:val="Table"/>
        <w:tblW w:type="pct" w:w="491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921"/>
        <w:gridCol w:w="2726"/>
        <w:gridCol w:w="214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aree alpine; continuità</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p>
      <w:pPr>
        <w:pStyle w:val="BodyText"/>
      </w:pPr>
      <w:r>
        <w:t xml:space="preserve">L’adozione di questi strumenti è governata da cautele dirimenti. L’evidenza, in questo ambito disomogenea e in rapida evoluzione, impone criteri di selezione, validazione locale e gradualità; la protezione dei dati richiede sicurezza informatica e consenso espresso in forma chiara; l’equità digitale impone di garantire sempre l’alternativa dell’intervento in presenza alle persone anziane, fragili o a bassa competenza digitale, affinché l’innovazione non generi nuove disuguaglianze; e la supervisione clinica resta, in ogni caso, la condizione ultima dell’impiego responsabile. L’effetto economico di questi strumenti, infine, non costituisce una posta aggiuntiva: esso è già ricompreso nei canali della salute mentale e della farmaceutica della valutazione economica, ed è trattato nella Parte E.</w:t>
      </w:r>
    </w:p>
    <w:bookmarkEnd w:id="4261"/>
    <w:bookmarkStart w:id="4262" w:name="c.6-la-formazione-e-le-competenze-2"/>
    <w:p>
      <w:pPr>
        <w:pStyle w:val="Heading3"/>
      </w:pPr>
      <w:r>
        <w:t xml:space="preserve">C.6 La formazione e le competenze</w:t>
      </w:r>
    </w:p>
    <w:p>
      <w:pPr>
        <w:pStyle w:val="FirstParagraph"/>
      </w:pPr>
      <w:r>
        <w:t xml:space="preserve">L’efficacia del modello dipende dalle competenze dei professionisti che lo attuano, e la formazione è perciò parte costitutiva dell’intervento, non un suo corollario. Il programma formativo è articolato su quattro livelli integrati — universitario, post-universitario specialistico, continuo in ambito lavorativo e di affiancamento operativo — con una componente trasversale dedicata all’intelligenza artificiale applicata alle cure primarie, ed è realizzato in collaborazione con le università, l’Ordine degli Psicologi della Lombardia e gli Istituti di Ricovero e Cura a Carattere Scientifico, sotto l’indirizzo del livello regionale. La formazione è essa stessa scaglionata, in modo da rendere disponibili i professionisti formati in corrispondenza delle fasi di attivazione del servizio, e si rivolge non ai soli psicologi, ma anche ai medici delle cure primarie con cui essi collaborano. La sua scala, in Lombardia, è la maggiore del Paese.</w:t>
      </w:r>
    </w:p>
    <w:tbl>
      <w:tblPr>
        <w:tblStyle w:val="Table"/>
        <w:tblW w:type="pct" w:w="494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60"/>
        <w:gridCol w:w="4651"/>
        <w:gridCol w:w="142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Università regionali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di base e cure primarie: modelli organizzativi, collaborazione, misure di esito, percorsi clinici</w:t>
            </w:r>
          </w:p>
        </w:tc>
        <w:tc>
          <w:tcPr>
            <w:shd w:val="clear" w:color="auto" w:fill="F4F1EC"/>
          </w:tcPr>
          <w:p>
            <w:pPr>
              <w:pStyle w:val="Compact"/>
              <w:spacing w:after="40" w:before="40"/>
              <w:jc w:val="left"/>
            </w:pPr>
            <w:r>
              <w:rPr>
                <w:rFonts w:ascii="Cambria" w:hAnsi="Cambria" w:cs="Cambria" w:eastAsia="Cambria"/>
                <w:color w:val="1A1A1A"/>
                <w:sz w:val="18"/>
              </w:rPr>
              <w:t xml:space="preserve">Corso regionale con attestato</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Tutor aziendali;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t xml:space="preserve">La componente trasversale sull’intelligenza artificiale abilita il professionista a selezionare lo strumento appropriato all’indicazione e al profilo della persona, a escludere le controindicazioni, a integrarlo nel percorso e a interpretarne gli esiti: è la competenza che rende l’innovazione sicura ed efficace. Descritto che cosa la riforma è e come opera, le parti successive ne accertano l’efficacia, a partire dall’evidenza clinica oggetto della Parte D.</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Revisione sistematica, qualità dell</w:t>
      </w:r>
      <w:r>
        <w:rPr>
          <w:b/>
          <w:bCs/>
          <w:i/>
          <w:iCs/>
        </w:rPr>
        <w:t xml:space="preserve">’</w:t>
      </w:r>
      <w:r>
        <w:rPr>
          <w:i/>
          <w:iCs/>
        </w:rPr>
        <w:t xml:space="preserve">evidenza, benchmark internazionali, trasferibilità</w:t>
      </w:r>
    </w:p>
    <w:p>
      <w:pPr>
        <w:pStyle w:val="BodyText"/>
      </w:pPr>
      <w:r>
        <w:t xml:space="preserve">Dominio 4 del modello HTA · valutazione rapida di efficacia relativa · criterio di efficacia</w:t>
      </w:r>
    </w:p>
    <w:bookmarkEnd w:id="4262"/>
    <w:bookmarkEnd w:id="712"/>
    <w:bookmarkStart w:id="4263" w:name="parte-d-efficacia-clinica-ed-evidenza-1"/>
    <w:p>
      <w:pPr>
        <w:pStyle w:val="Heading2"/>
      </w:pPr>
      <w:r>
        <w:t xml:space="preserve">Parte D — Efficacia clinica ed evidenza</w:t>
      </w:r>
    </w:p>
    <w:p>
      <w:pPr>
        <w:pStyle w:val="FirstParagraph"/>
      </w:pPr>
      <w:r>
        <w:t xml:space="preserve">Questa parte corrisponde al quarto dominio della valutazione di tecnologia sanitaria, l’efficacia clinica, e con i primi tre forma il nucleo che la prassi europea designa come valutazione rapida di efficacia relativa; risponde al criterio di efficacia della griglia di giudizio. Stabilito che cosa la riforma è, qui si accerta se essa funzioni: con quale solidità l’evidenza ne sostiene gli effetti (capitolo D.1), quanto sia certa tale evidenza (D.2), che cosa documentino i programmi internazionali più affini (D.3) e in che misura quei risultati siano trasferibili al contesto lombardo (D.4). La base di evidenza è la medesima dello studio pugliese, poiché l’efficacia di un modello clinico non dipende dalla regione che lo adotta; muta soltanto la valutazione della trasferibilità, che tiene conto delle specificità lombarde.</w:t>
      </w:r>
    </w:p>
    <w:bookmarkStart w:id="4264" w:name="d.1-la-revisione-sistematica-1"/>
    <w:p>
      <w:pPr>
        <w:pStyle w:val="Heading3"/>
      </w:pPr>
      <w:r>
        <w:t xml:space="preserve">D.1 La revisione sistematica</w:t>
      </w:r>
    </w:p>
    <w:p>
      <w:pPr>
        <w:pStyle w:val="FirstParagraph"/>
      </w:pPr>
      <w:r>
        <w:t xml:space="preserve">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strutturata dei dati e sintesi. Gli studi sui dati reali sono trattati secondo la lista STROBE. 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w:t>
      </w:r>
    </w:p>
    <w:p>
      <w:pPr>
        <w:pStyle w:val="BodyText"/>
      </w:pPr>
      <w:r>
        <w:t xml:space="preserve">Il paradigma del Collaborative Care è il più studiato: è stato validato da oltre novanta studi randomizzati controllati, e uno studio fondativo documentò che circa la metà dei pazienti otteneva una riduzione dei sintomi pari almeno alla metà a dodici mesi, contro meno di un quinto nella cura usuale. Una meta-analisi su cinquantasette studi controllati ha stimato un miglioramento medio dei sintomi depressivi pari a 0,28 deviazioni standard, 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 La misura degli effetti si fonda ovunque su strumenti validati, il PHQ-9 e il GAD-7, dotati di buona sensibilità e specificità.</w:t>
      </w:r>
    </w:p>
    <w:p>
      <w:pPr>
        <w:pStyle w:val="BodyText"/>
      </w:pPr>
      <w:r>
        <w:t xml:space="preserve">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perciò trattamenti più intensivi e costosi. È questa la logica per cui un effetto individuale contenuto si traduce, sulla popolazione lombarda di circa due milioni di persone con disagio comune, in un beneficio clinico e di sistema sostanziale, di dimensione assoluta senza pari nel Paese. La tabella seguente riepiloga i principali risultati della letteratura.</w:t>
      </w:r>
    </w:p>
    <w:tbl>
      <w:tblPr>
        <w:tblStyle w:val="Table"/>
        <w:tblW w:type="pct" w:w="493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51"/>
        <w:gridCol w:w="526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Risultato principale</w:t>
            </w:r>
          </w:p>
        </w:tc>
      </w:tr>
      <w:tr>
        <w:tc>
          <w:tcPr/>
          <w:p>
            <w:pPr>
              <w:pStyle w:val="Compact"/>
              <w:spacing w:after="40" w:before="40"/>
              <w:jc w:val="left"/>
            </w:pPr>
            <w:r>
              <w:rPr>
                <w:rFonts w:ascii="Cambria" w:hAnsi="Cambria" w:cs="Cambria" w:eastAsia="Cambria"/>
                <w:b/>
                <w:bCs/>
                <w:color w:val="1A1A1A"/>
                <w:sz w:val="18"/>
              </w:rPr>
              <w:t xml:space="preserve">Studio fondativo (JAMA, 2002)</w:t>
            </w:r>
          </w:p>
        </w:tc>
        <w:tc>
          <w:tcPr/>
          <w:p>
            <w:pPr>
              <w:pStyle w:val="Compact"/>
              <w:spacing w:after="40" w:before="40"/>
              <w:jc w:val="left"/>
            </w:pPr>
            <w:r>
              <w:rPr>
                <w:rFonts w:ascii="Cambria" w:hAnsi="Cambria" w:cs="Cambria" w:eastAsia="Cambria"/>
                <w:color w:val="1A1A1A"/>
                <w:sz w:val="18"/>
              </w:rPr>
              <w:t xml:space="preserve">~ 50% dei pazienti con riduzione ≥ 50% dei sintomi a 12 mesi, contro 19% nella cura usuale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Meta-analisi su 57 studi (2012)</w:t>
            </w:r>
          </w:p>
        </w:tc>
        <w:tc>
          <w:tcPr>
            <w:shd w:val="clear" w:color="auto" w:fill="F4F1EC"/>
          </w:tcPr>
          <w:p>
            <w:pPr>
              <w:pStyle w:val="Compact"/>
              <w:spacing w:after="40" w:before="40"/>
              <w:jc w:val="left"/>
            </w:pPr>
            <w:r>
              <w:rPr>
                <w:rFonts w:ascii="Cambria" w:hAnsi="Cambria" w:cs="Cambria" w:eastAsia="Cambria"/>
                <w:color w:val="1A1A1A"/>
                <w:sz w:val="18"/>
              </w:rPr>
              <w:t xml:space="preserve">Miglioramento medio dei sintomi depressivi di 0,28 deviazioni standard</w:t>
            </w:r>
          </w:p>
        </w:tc>
      </w:tr>
      <w:tr>
        <w:tc>
          <w:tcPr/>
          <w:p>
            <w:pPr>
              <w:pStyle w:val="Compact"/>
              <w:spacing w:after="40" w:before="40"/>
              <w:jc w:val="left"/>
            </w:pPr>
            <w:r>
              <w:rPr>
                <w:rFonts w:ascii="Cambria" w:hAnsi="Cambria" w:cs="Cambria" w:eastAsia="Cambria"/>
                <w:b/>
                <w:bCs/>
                <w:color w:val="1A1A1A"/>
                <w:sz w:val="18"/>
              </w:rPr>
              <w:t xml:space="preserve">Revisione su 42 implementazioni (2024)</w:t>
            </w:r>
          </w:p>
        </w:tc>
        <w:tc>
          <w:tcPr/>
          <w:p>
            <w:pPr>
              <w:pStyle w:val="Compact"/>
              <w:spacing w:after="40" w:before="40"/>
              <w:jc w:val="left"/>
            </w:pPr>
            <w:r>
              <w:rPr>
                <w:rFonts w:ascii="Cambria" w:hAnsi="Cambria" w:cs="Cambria" w:eastAsia="Cambria"/>
                <w:color w:val="1A1A1A"/>
                <w:sz w:val="18"/>
              </w:rPr>
              <w:t xml:space="preserve">−47% depressione e −43% ansia a 6 mesi; −34% accessi al PS; −41% ricoveri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Programma inglese, dati reali (2023–2024)</w:t>
            </w:r>
          </w:p>
        </w:tc>
        <w:tc>
          <w:tcPr>
            <w:shd w:val="clear" w:color="auto" w:fill="F4F1EC"/>
          </w:tcPr>
          <w:p>
            <w:pPr>
              <w:pStyle w:val="Compact"/>
              <w:spacing w:after="40" w:before="40"/>
              <w:jc w:val="left"/>
            </w:pPr>
            <w:r>
              <w:rPr>
                <w:rFonts w:ascii="Cambria" w:hAnsi="Cambria" w:cs="Cambria" w:eastAsia="Cambria"/>
                <w:color w:val="1A1A1A"/>
                <w:sz w:val="18"/>
              </w:rPr>
              <w:t xml:space="preserve">Recupero 50,2%; miglioramento affidabile 67,8%; completezza dei dati &gt; 98%</w:t>
            </w:r>
          </w:p>
        </w:tc>
      </w:tr>
      <w:tr>
        <w:tc>
          <w:tcPr/>
          <w:p>
            <w:pPr>
              <w:pStyle w:val="Compact"/>
              <w:spacing w:after="40" w:before="40"/>
              <w:jc w:val="left"/>
            </w:pPr>
            <w:r>
              <w:rPr>
                <w:rFonts w:ascii="Cambria" w:hAnsi="Cambria" w:cs="Cambria" w:eastAsia="Cambria"/>
                <w:b/>
                <w:bCs/>
                <w:color w:val="1A1A1A"/>
                <w:sz w:val="18"/>
              </w:rPr>
              <w:t xml:space="preserve">Meta-analisi sulle cure integrate</w:t>
            </w:r>
          </w:p>
        </w:tc>
        <w:tc>
          <w:tcPr/>
          <w:p>
            <w:pPr>
              <w:pStyle w:val="Compact"/>
              <w:spacing w:after="40" w:before="40"/>
              <w:jc w:val="left"/>
            </w:pPr>
            <w:r>
              <w:rPr>
                <w:rFonts w:ascii="Cambria" w:hAnsi="Cambria" w:cs="Cambria" w:eastAsia="Cambria"/>
                <w:color w:val="1A1A1A"/>
                <w:sz w:val="18"/>
              </w:rP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‘******efficacia dell******’</w:t>
      </w:r>
      <w:r>
        <w:rPr>
          <w:i/>
          <w:iCs/>
        </w:rPr>
        <w:t xml:space="preserve">integrazione psicologica nelle cure primarie.</w:t>
      </w:r>
    </w:p>
    <w:bookmarkEnd w:id="4264"/>
    <w:bookmarkStart w:id="4265" w:name="d.2-la-qualità-dellevidenza-1"/>
    <w:p>
      <w:pPr>
        <w:pStyle w:val="Heading3"/>
      </w:pPr>
      <w:r>
        <w:t xml:space="preserve">D.2 La qualità dell’evidenza</w:t>
      </w:r>
    </w:p>
    <w:p>
      <w:pPr>
        <w:pStyle w:val="FirstParagraph"/>
      </w:pPr>
      <w:r>
        <w:t xml:space="preserve">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 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lombardo — limita l’indirettezza.</w:t>
      </w:r>
    </w:p>
    <w:p>
      <w:pPr>
        <w:pStyle w:val="BodyText"/>
      </w:pPr>
      <w:r>
        <w:t xml:space="preserve">Un elemento rafforza ulteriormente la fiducia nei risultati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controllati si mantiene nell’attuazione reale a scala nazionale. 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in sintesi, è sufficiente a sostenere con fiducia l’attesa di efficacia, fermo restando che la conferma definitiva sui dati lombardi è affidata alla verifica locale prevista dalla Parte L.</w:t>
      </w:r>
    </w:p>
    <w:bookmarkEnd w:id="4265"/>
    <w:bookmarkStart w:id="4266" w:name="d.3-i-benchmark-internazionali-2"/>
    <w:p>
      <w:pPr>
        <w:pStyle w:val="Heading3"/>
      </w:pPr>
      <w:r>
        <w:t xml:space="preserve">D.3 I benchmark internazionali</w:t>
      </w:r>
    </w:p>
    <w:p>
      <w:pPr>
        <w:pStyle w:val="FirstParagraph"/>
      </w:pPr>
      <w:r>
        <w:t xml:space="preserve">La valutazione si avvale del confronto con i programmi internazionali più autorevoli, che costituiscono la principale base comparativa dell’intero studio. Quattro esperienze, condotte in sistemi sanitari avanzati, documentano efficacia, scalabilità e sostenibilità dell’integrazione psicologica nelle cure primarie. Il programma inglese è la dimostrazione più solida: fondato sulla cura a intensità crescente e su un monitoraggio quasi completo degli esiti, mantiene un tasso di recupero intorno al 50% su scala nazionale. Il modello olandese ha visto crescere l’adozione da circa un terzo a circa tre quarti dei medici di medicina generale in pochi anni, con il professionista psicologo integrato nelle cure primarie e finanziato nell’assicurazione di base. L’iniziativa australiana ha esteso il trattamento dei disturbi mentali dal 35% al 46% della popolazione bisognosa, con elevata soddisfazione, sebbene operi per invio esterno e non per integrazione; il Collaborative Care statunitense, infine, è il paradigma più validato, con la più ampia base sperimentale.</w:t>
      </w:r>
    </w:p>
    <w:p>
      <w:pPr>
        <w:pStyle w:val="BodyText"/>
      </w:pPr>
      <w:r>
        <w:t xml:space="preserve">Due tratti accomunano i programmi più efficaci e orientano il disegno lombardo.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lombardo, fondato sull’inserimento dello psicologo nelle cure primarie con funzione di filtro, appartiene alla prima famiglia. Il secondo è il ricorso crescente agli strumenti digitali quale leva di accesso e di capacità, già ampiamente adottato nel programma inglese e particolarmente pertinente per una regione con vaste aree alpine. A queste esperienze internazionali si affiancano le sperimentazioni italiane, tra cui il modello Solano nel Lazio, che ne hanno anticipato su scala locale i principi. La tabella seguente riepiloga i benchmark sul piano clinico e organizzativo; il confronto economico è sviluppato nella Parte E.</w:t>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621"/>
        <w:gridCol w:w="1802"/>
        <w:gridCol w:w="338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Assetto</w:t>
            </w:r>
          </w:p>
        </w:tc>
        <w:tc>
          <w:tcPr>
            <w:shd w:val="clear" w:color="auto" w:fill="16264B"/>
          </w:tcPr>
          <w:p>
            <w:pPr>
              <w:pStyle w:val="Compact"/>
              <w:spacing w:after="40" w:before="40"/>
              <w:jc w:val="left"/>
            </w:pPr>
            <w:r>
              <w:rPr>
                <w:rFonts w:ascii="Cambria" w:hAnsi="Cambria" w:cs="Cambria" w:eastAsia="Cambria"/>
                <w:b/>
                <w:bCs/>
                <w:color w:val="FFFFFF"/>
                <w:sz w:val="18"/>
              </w:rPr>
              <w:t xml:space="preserve">Esiti clinici e organizzativi</w:t>
            </w:r>
          </w:p>
        </w:tc>
      </w:tr>
      <w:tr>
        <w:tc>
          <w:tcPr/>
          <w:p>
            <w:pPr>
              <w:pStyle w:val="Compact"/>
              <w:spacing w:after="40" w:before="40"/>
              <w:jc w:val="left"/>
            </w:pPr>
            <w:r>
              <w:rPr>
                <w:rFonts w:ascii="Cambria" w:hAnsi="Cambria" w:cs="Cambria" w:eastAsia="Cambria"/>
                <w:b/>
                <w:bCs/>
                <w:color w:val="1A1A1A"/>
                <w:sz w:val="18"/>
              </w:rPr>
              <w:t xml:space="preserve">Programma inglese (NHS Talking Therapies)</w:t>
            </w:r>
          </w:p>
        </w:tc>
        <w:tc>
          <w:tcPr/>
          <w:p>
            <w:pPr>
              <w:pStyle w:val="Compact"/>
              <w:spacing w:after="40" w:before="40"/>
              <w:jc w:val="left"/>
            </w:pPr>
            <w:r>
              <w:rPr>
                <w:rFonts w:ascii="Cambria" w:hAnsi="Cambria" w:cs="Cambria" w:eastAsia="Cambria"/>
                <w:color w:val="1A1A1A"/>
                <w:sz w:val="18"/>
              </w:rPr>
              <w:t xml:space="preserve">Integrato; intensità crescente</w:t>
            </w:r>
          </w:p>
        </w:tc>
        <w:tc>
          <w:tcPr/>
          <w:p>
            <w:pPr>
              <w:pStyle w:val="Compact"/>
              <w:spacing w:after="40" w:before="40"/>
              <w:jc w:val="left"/>
            </w:pPr>
            <w:r>
              <w:rPr>
                <w:rFonts w:ascii="Cambria" w:hAnsi="Cambria" w:cs="Cambria" w:eastAsia="Cambria"/>
                <w:color w:val="1A1A1A"/>
                <w:sz w:val="18"/>
              </w:rPr>
              <w:t xml:space="preserve">Recupero ~50%; monitoraggio &gt; 98%; &gt; 1,3 mln/anno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olandese (POH-GGZ)</w:t>
            </w:r>
          </w:p>
        </w:tc>
        <w:tc>
          <w:tcPr>
            <w:shd w:val="clear" w:color="auto" w:fill="F4F1EC"/>
          </w:tcPr>
          <w:p>
            <w:pPr>
              <w:pStyle w:val="Compact"/>
              <w:spacing w:after="40" w:before="40"/>
              <w:jc w:val="left"/>
            </w:pPr>
            <w:r>
              <w:rPr>
                <w:rFonts w:ascii="Cambria" w:hAnsi="Cambria" w:cs="Cambria" w:eastAsia="Cambria"/>
                <w:color w:val="1A1A1A"/>
                <w:sz w:val="18"/>
              </w:rPr>
              <w:t xml:space="preserve">Integrato nelle cure primarie</w:t>
            </w:r>
          </w:p>
        </w:tc>
        <w:tc>
          <w:tcPr>
            <w:shd w:val="clear" w:color="auto" w:fill="F4F1EC"/>
          </w:tcPr>
          <w:p>
            <w:pPr>
              <w:pStyle w:val="Compact"/>
              <w:spacing w:after="40" w:before="40"/>
              <w:jc w:val="left"/>
            </w:pPr>
            <w:r>
              <w:rPr>
                <w:rFonts w:ascii="Cambria" w:hAnsi="Cambria" w:cs="Cambria" w:eastAsia="Cambria"/>
                <w:color w:val="1A1A1A"/>
                <w:sz w:val="18"/>
              </w:rPr>
              <w:t xml:space="preserve">Adozione ~3/4 dei medici; ruolo complementare</w:t>
            </w:r>
          </w:p>
        </w:tc>
      </w:tr>
      <w:tr>
        <w:tc>
          <w:tcPr/>
          <w:p>
            <w:pPr>
              <w:pStyle w:val="Compact"/>
              <w:spacing w:after="40" w:before="40"/>
              <w:jc w:val="left"/>
            </w:pPr>
            <w:r>
              <w:rPr>
                <w:rFonts w:ascii="Cambria" w:hAnsi="Cambria" w:cs="Cambria" w:eastAsia="Cambria"/>
                <w:b/>
                <w:bCs/>
                <w:color w:val="1A1A1A"/>
                <w:sz w:val="18"/>
              </w:rPr>
              <w:t xml:space="preserve">Iniziativa australiana (Better Access)</w:t>
            </w:r>
          </w:p>
        </w:tc>
        <w:tc>
          <w:tcPr/>
          <w:p>
            <w:pPr>
              <w:pStyle w:val="Compact"/>
              <w:spacing w:after="40" w:before="40"/>
              <w:jc w:val="left"/>
            </w:pPr>
            <w:r>
              <w:rPr>
                <w:rFonts w:ascii="Cambria" w:hAnsi="Cambria" w:cs="Cambria" w:eastAsia="Cambria"/>
                <w:color w:val="1A1A1A"/>
                <w:sz w:val="18"/>
              </w:rPr>
              <w:t xml:space="preserve">Invio esterno</w:t>
            </w:r>
          </w:p>
        </w:tc>
        <w:tc>
          <w:tcPr/>
          <w:p>
            <w:pPr>
              <w:pStyle w:val="Compact"/>
              <w:spacing w:after="40" w:before="40"/>
              <w:jc w:val="left"/>
            </w:pPr>
            <w:r>
              <w:rPr>
                <w:rFonts w:ascii="Cambria" w:hAnsi="Cambria" w:cs="Cambria" w:eastAsia="Cambria"/>
                <w:color w:val="1A1A1A"/>
                <w:sz w:val="18"/>
              </w:rPr>
              <w:t xml:space="preserve">Trattamento dal 35% al 46%; elevata soddisfazione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Collaborative Care (Stati Uniti)</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r>
        <w:tc>
          <w:tcPr/>
          <w:p>
            <w:pPr>
              <w:pStyle w:val="Compact"/>
              <w:spacing w:after="40" w:before="40"/>
              <w:jc w:val="left"/>
            </w:pPr>
            <w:r>
              <w:rPr>
                <w:rFonts w:ascii="Cambria" w:hAnsi="Cambria" w:cs="Cambria" w:eastAsia="Cambria"/>
                <w:b/>
                <w:bCs/>
                <w:color w:val="1A1A1A"/>
                <w:sz w:val="18"/>
              </w:rPr>
              <w:t xml:space="preserve">Esperienze italiane (Solano, Lazio)</w:t>
            </w:r>
          </w:p>
        </w:tc>
        <w:tc>
          <w:tcPr/>
          <w:p>
            <w:pPr>
              <w:pStyle w:val="Compact"/>
              <w:spacing w:after="40" w:before="40"/>
              <w:jc w:val="left"/>
            </w:pPr>
            <w:r>
              <w:rPr>
                <w:rFonts w:ascii="Cambria" w:hAnsi="Cambria" w:cs="Cambria" w:eastAsia="Cambria"/>
                <w:color w:val="1A1A1A"/>
                <w:sz w:val="18"/>
              </w:rPr>
              <w:t xml:space="preserve">Sperimentazione locale</w:t>
            </w:r>
          </w:p>
        </w:tc>
        <w:tc>
          <w:tcPr/>
          <w:p>
            <w:pPr>
              <w:pStyle w:val="Compact"/>
              <w:spacing w:after="40" w:before="40"/>
              <w:jc w:val="left"/>
            </w:pPr>
            <w:r>
              <w:rPr>
                <w:rFonts w:ascii="Cambria" w:hAnsi="Cambria" w:cs="Cambria" w:eastAsia="Cambria"/>
                <w:color w:val="1A1A1A"/>
                <w:sz w:val="18"/>
              </w:rPr>
              <w:t xml:space="preserve">Anticipazione del modello nelle cure primarie</w:t>
            </w:r>
          </w:p>
        </w:tc>
      </w:tr>
    </w:tbl>
    <w:p>
      <w:pPr>
        <w:pStyle w:val="BodyText"/>
      </w:pPr>
      <w:r>
        <w:rPr>
          <w:i/>
          <w:iCs/>
        </w:rPr>
        <w:t xml:space="preserve">Tabella D.2. I benchmark internazionali e italiani sul piano clinico e organizzativo (il confronto economico è nella Parte E).</w:t>
      </w:r>
    </w:p>
    <w:bookmarkEnd w:id="4266"/>
    <w:bookmarkStart w:id="4267" w:name="X3a547795647a1c227bb51a6b85ace039c16dfc7"/>
    <w:p>
      <w:pPr>
        <w:pStyle w:val="Heading3"/>
      </w:pPr>
      <w:r>
        <w:t xml:space="preserve">D.4 La trasferibilità al contesto regionale</w:t>
      </w:r>
    </w:p>
    <w:p>
      <w:pPr>
        <w:pStyle w:val="FirstParagraph"/>
      </w:pPr>
      <w:r>
        <w:t xml:space="preserve">L’evidenza internazionale non si applica automaticamente alla Lombardia, e la sua trasferibilità va valutata con prudenza, distinguendo ciò che è robustamente generalizzabile da ciò che dipende dal contesto. Sul piano dell’assetto, la trasferibilità è favorevole: il modello lombardo, che integra lo psicologo nelle cure primarie con funzione di filtro, appartiene alla stessa famiglia dei programmi inglese, olandese e statunitense, e ne mutua le evidenze con maggiore pertinenza rispetto al modello australiano per invio esterno. Gli esiti clinici fondamentali — il recupero e la riduzione dei sintomi mediante interventi brevi e monitorati — poggiano su meccanismi clinici generali, non legati a un particolare sistema sanitario, e sono perciò ragionevolmente trasferibili. La trasferibilità è anzi agevolata, in Lombardia, dalla presenza di un sistema sanitario robusto e di una riforma che già prevede la rete delle Case della Comunità e l’impiego dell’intelligenza artificiale.</w:t>
      </w:r>
    </w:p>
    <w:p>
      <w:pPr>
        <w:pStyle w:val="BodyText"/>
      </w:pPr>
      <w:r>
        <w:t xml:space="preserve">Permangono, tuttavia, differenze che impongono cautela, e che in Lombardia hanno segno in parte diverso da quello pugliese. I sistemi sanitari differiscono per organizzazione e per copertura di partenza; la Lombardia muove da una copertura strutturata sostanzialmente nulla, poiché la funzione è prevista dalla riforma del 2021 ma non ancora dimensionata, e da una domanda più visibile, priva della sotto-rilevazione documentata in alcune regioni meridionali. Ne consegue che l’emersione del bisogno può essere più rapida, ma su un volume di gran lunga maggiore, e che la disponibilità di organico psicologico formato — a fronte di un fabbisogno dell’ordine di 2.190 incarichi, il più elevato d’Italia — costituisce il vincolo reale dei primi anni. 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otto Agenzie di Tutela della Salute, oggetto della Parte L, è disegnato precisamente per misurare sui dati lombardi gli effetti che la letteratura attende, trasformando le stime in prove.</w:t>
      </w:r>
    </w:p>
    <w:p>
      <w:pPr>
        <w:pStyle w:val="BodyText"/>
      </w:pPr>
      <w:r>
        <w:t xml:space="preserve">Un’ultima precisazione attiene al confine tra questa parte e quella economica. I programmi internazionali documentano non solo esiti clinici, ma anche ritorni economici; questi ultimi, tuttavia, non sono trattati qui, dove rileva la sola efficacia clinica, bensì nella Parte E, ove il caso lombardo adotta la stima conservativa consolidata e distingue il risparmio diretto per il bilancio dalle ricadute sociali. 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Costi, esiti, costo-utilità, impatto sul bilancio, ritorno sociale, caso economico e caso finanziario</w:t>
      </w:r>
    </w:p>
    <w:p>
      <w:pPr>
        <w:pStyle w:val="BodyText"/>
      </w:pPr>
      <w:r>
        <w:t xml:space="preserve">Dominio 5 del modello HTA · casi economico e finanziario · criterio di efficienza · reporting CHEERS 2022</w:t>
      </w:r>
    </w:p>
    <w:bookmarkEnd w:id="4267"/>
    <w:bookmarkEnd w:id="4263"/>
    <w:bookmarkStart w:id="724" w:name="parte-e-valutazione-economica"/>
    <w:p>
      <w:pPr>
        <w:pStyle w:val="Heading2"/>
      </w:pPr>
      <w:r>
        <w:t xml:space="preserve">Parte E — Valutazione economica</w:t>
      </w:r>
    </w:p>
    <w:p>
      <w:pPr>
        <w:pStyle w:val="FirstParagraph"/>
      </w:pPr>
      <w:r>
        <w:t xml:space="preserve">Questa parte corrisponde al quinto dominio della valutazione di tecnologia sanitaria, i costi e la valutazione economica, ed è redatta secondo lo standard di reporting CHEERS 2022; fornisce il contenuto del caso economico e del caso finanziario del Five Case Model e risponde al criterio di efficienza. È il cuore economico dello studio, ed è anche la parte più esposta allo scrutinio degli organi di controllo. Per questa ragione essa adotta una scelta di rigore che ne attraversa ogni capitolo: la distinzione netta tra il risparmio diretto per il bilancio sanitario e le ricadute economico-sociali per la collettività. Sommare le due grandezze, come spesso accade, sovrastima il beneficio per il bilancio; tenerle separate restituisce un quadro più sobrio sui conti sanitari, ma più solido e difendibile. Per la Lombardia tale rigore conduce a un esito specifico e onesto, che questa parte espone senza attenuazioni: il saldo diretto è negativo, e il valore della misura risiede nel caso economico e nell’adempimento dei livelli essenziali, non in un risparmio per il bilancio.</w:t>
      </w:r>
    </w:p>
    <w:bookmarkStart w:id="718" w:name="X5f5b122d7efb41eb14a04d75f4945e52d02b7c0"/>
    <w:p>
      <w:pPr>
        <w:pStyle w:val="Heading3"/>
      </w:pPr>
      <w:r>
        <w:t xml:space="preserve">E.1 L’identificazione e la misura dei costi</w:t>
      </w:r>
    </w:p>
    <w:p>
      <w:pPr>
        <w:pStyle w:val="FirstParagraph"/>
      </w:pPr>
      <w:r>
        <w:t xml:space="preserve">Il costo del servizio dipende dal numero di professionisti e dal modello contrattuale. Il costo medio annuo di un incarico convenzionale a tempo pieno è dell’ordine di 55.000 euro — circa 40 euro l’ora di costo-azienda comprensivo degli oneri, per circa 1.250 ore l’anno, più circa 5.000 euro di costi generali — ancorato all’accordo della specialistica ambulatoriale. Applicato agli scenari di copertura della Lombardia, da circa 1.100 a circa 2.190 incarichi, il costo annuo del servizio va da circa 60 a circa 120 milioni di euro a regime. Il costo non si esaurisce, tuttavia, nell’organico: l’investimento comprende anche la formazione — in Lombardia la più ampia del Paese — la supervisione clinica, la governance, i sistemi informativi e le infrastrutture, e questi costi non sanitari sono inclusi coerentemente con la doppia prospettiva adottata.</w:t>
      </w:r>
    </w:p>
    <w:tbl>
      <w:tblPr>
        <w:tblStyle w:val="Table"/>
        <w:tblW w:type="pct" w:w="488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2"/>
        <w:gridCol w:w="2515"/>
        <w:gridCol w:w="251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 (mln €)</w:t>
            </w:r>
          </w:p>
        </w:tc>
      </w:tr>
      <w:tr>
        <w:tc>
          <w:tcPr/>
          <w:p>
            <w:pPr>
              <w:pStyle w:val="Compact"/>
              <w:spacing w:after="40" w:before="40"/>
              <w:jc w:val="left"/>
            </w:pPr>
            <w:r>
              <w:rPr>
                <w:rFonts w:ascii="Cambria" w:hAnsi="Cambria" w:cs="Cambria" w:eastAsia="Cambria"/>
                <w:b/>
                <w:bCs/>
                <w:color w:val="1A1A1A"/>
                <w:sz w:val="18"/>
              </w:rPr>
              <w:t xml:space="preserve">Attuale (L.R. 22/2021)</w:t>
            </w:r>
          </w:p>
        </w:tc>
        <w:tc>
          <w:tcPr/>
          <w:p>
            <w:pPr>
              <w:pStyle w:val="Compact"/>
              <w:spacing w:after="40" w:before="40"/>
              <w:jc w:val="left"/>
            </w:pPr>
            <w:r>
              <w:rPr>
                <w:rFonts w:ascii="Cambria" w:hAnsi="Cambria" w:cs="Cambria" w:eastAsia="Cambria"/>
                <w:color w:val="1A1A1A"/>
                <w:sz w:val="18"/>
              </w:rPr>
              <w:t xml:space="preserve">Funzione non strutturata</w:t>
            </w:r>
          </w:p>
        </w:tc>
        <w:tc>
          <w:tcPr/>
          <w:p>
            <w:pPr>
              <w:pStyle w:val="Compact"/>
              <w:spacing w:after="40" w:before="40"/>
              <w:jc w:val="left"/>
            </w:pPr>
            <w:r>
              <w:rPr>
                <w:rFonts w:ascii="Cambria" w:hAnsi="Cambria" w:cs="Cambria" w:eastAsia="Cambria"/>
                <w:color w:val="1A1A1A"/>
                <w:sz w:val="18"/>
              </w:rPr>
              <w:t xml:space="preserve">~ 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Conservativo</w:t>
            </w:r>
          </w:p>
        </w:tc>
        <w:tc>
          <w:tcPr>
            <w:shd w:val="clear" w:color="auto" w:fill="F4F1EC"/>
          </w:tcPr>
          <w:p>
            <w:pPr>
              <w:pStyle w:val="Compact"/>
              <w:spacing w:after="40" w:before="40"/>
              <w:jc w:val="left"/>
            </w:pPr>
            <w:r>
              <w:rPr>
                <w:rFonts w:ascii="Cambria" w:hAnsi="Cambria" w:cs="Cambria" w:eastAsia="Cambria"/>
                <w:color w:val="1A1A1A"/>
                <w:sz w:val="18"/>
              </w:rPr>
              <w:t xml:space="preserve">~ 1.100</w:t>
            </w:r>
          </w:p>
        </w:tc>
        <w:tc>
          <w:tcPr>
            <w:shd w:val="clear" w:color="auto" w:fill="F4F1EC"/>
          </w:tcPr>
          <w:p>
            <w:pPr>
              <w:pStyle w:val="Compact"/>
              <w:spacing w:after="40" w:before="40"/>
              <w:jc w:val="left"/>
            </w:pPr>
            <w:r>
              <w:rPr>
                <w:rFonts w:ascii="Cambria" w:hAnsi="Cambria" w:cs="Cambria" w:eastAsia="Cambria"/>
                <w:color w:val="1A1A1A"/>
                <w:sz w:val="18"/>
              </w:rPr>
              <w:t xml:space="preserve">~ 60</w:t>
            </w:r>
          </w:p>
        </w:tc>
      </w:tr>
      <w:tr>
        <w:tc>
          <w:tcPr/>
          <w:p>
            <w:pPr>
              <w:pStyle w:val="Compact"/>
              <w:spacing w:after="40" w:before="40"/>
              <w:jc w:val="left"/>
            </w:pPr>
            <w:r>
              <w:rPr>
                <w:rFonts w:ascii="Cambria" w:hAnsi="Cambria" w:cs="Cambria" w:eastAsia="Cambria"/>
                <w:b/>
                <w:bCs/>
                <w:color w:val="1A1A1A"/>
                <w:sz w:val="18"/>
              </w:rPr>
              <w:t xml:space="preserve">Base</w:t>
            </w:r>
          </w:p>
        </w:tc>
        <w:tc>
          <w:tcPr/>
          <w:p>
            <w:pPr>
              <w:pStyle w:val="Compact"/>
              <w:spacing w:after="40" w:before="40"/>
              <w:jc w:val="left"/>
            </w:pPr>
            <w:r>
              <w:rPr>
                <w:rFonts w:ascii="Cambria" w:hAnsi="Cambria" w:cs="Cambria" w:eastAsia="Cambria"/>
                <w:color w:val="1A1A1A"/>
                <w:sz w:val="18"/>
              </w:rPr>
              <w:t xml:space="preserve">~ 1.700</w:t>
            </w:r>
          </w:p>
        </w:tc>
        <w:tc>
          <w:tcPr/>
          <w:p>
            <w:pPr>
              <w:pStyle w:val="Compact"/>
              <w:spacing w:after="40" w:before="40"/>
              <w:jc w:val="left"/>
            </w:pPr>
            <w:r>
              <w:rPr>
                <w:rFonts w:ascii="Cambria" w:hAnsi="Cambria" w:cs="Cambria" w:eastAsia="Cambria"/>
                <w:color w:val="1A1A1A"/>
                <w:sz w:val="18"/>
              </w:rPr>
              <w:t xml:space="preserve">~ 95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Espansivo</w:t>
            </w:r>
          </w:p>
        </w:tc>
        <w:tc>
          <w:tcPr>
            <w:shd w:val="clear" w:color="auto" w:fill="F4F1EC"/>
          </w:tcPr>
          <w:p>
            <w:pPr>
              <w:pStyle w:val="Compact"/>
              <w:spacing w:after="40" w:before="40"/>
              <w:jc w:val="left"/>
            </w:pPr>
            <w:r>
              <w:rPr>
                <w:rFonts w:ascii="Cambria" w:hAnsi="Cambria" w:cs="Cambria" w:eastAsia="Cambria"/>
                <w:color w:val="1A1A1A"/>
                <w:sz w:val="18"/>
              </w:rPr>
              <w:t xml:space="preserve">~ 2.190</w:t>
            </w:r>
          </w:p>
        </w:tc>
        <w:tc>
          <w:tcPr>
            <w:shd w:val="clear" w:color="auto" w:fill="F4F1EC"/>
          </w:tcPr>
          <w:p>
            <w:pPr>
              <w:pStyle w:val="Compact"/>
              <w:spacing w:after="40" w:before="40"/>
              <w:jc w:val="left"/>
            </w:pPr>
            <w:r>
              <w:rPr>
                <w:rFonts w:ascii="Cambria" w:hAnsi="Cambria" w:cs="Cambria" w:eastAsia="Cambria"/>
                <w:color w:val="1A1A1A"/>
                <w:sz w:val="18"/>
              </w:rPr>
              <w:t xml:space="preserve">~ 120</w:t>
            </w:r>
          </w:p>
        </w:tc>
      </w:tr>
    </w:tbl>
    <w:p>
      <w:pPr>
        <w:pStyle w:val="BodyText"/>
      </w:pPr>
      <w:r>
        <w:rPr>
          <w:i/>
          <w:iCs/>
        </w:rPr>
        <w:t xml:space="preserve">Tabella E.1. Il costo del servizio per scenario di copertura. La funzione è oggi prevista ma non dimensionata.</w:t>
      </w:r>
    </w:p>
    <w:bookmarkEnd w:id="718"/>
    <w:bookmarkStart w:id="4268" w:name="X43f622a8ad90f8208f38c7173fde1c84e97d7c9"/>
    <w:p>
      <w:pPr>
        <w:pStyle w:val="Heading3"/>
      </w:pPr>
      <w:r>
        <w:t xml:space="preserve">E.2 L’identificazione e la misura degli esiti</w:t>
      </w:r>
    </w:p>
    <w:p>
      <w:pPr>
        <w:pStyle w:val="FirstParagraph"/>
      </w:pPr>
      <w:r>
        <w:t xml:space="preserve">Gli esiti della valutazione economica sono di due ordini. Sul piano della salute, la misura di riferimento è l’anno di vita ponderato per la qualità, che integra in un’unica grandezza la durata e la qualità della vita guadagnate, affiancato dagli esiti clinici validati — il tasso di recupero e il miglioramento affidabile misurati con il PHQ-9 e il GAD-7 — già documentati nella Parte D. Tali esiti sono riferiti alla popolazione regionale con disagio comune, dell’ordine di due milioni di persone: è la scala della popolazione, la più ampia del Paese, a trasformare un effetto clinico individuale anche contenuto in un guadagno di salute aggregato rilevante.</w:t>
      </w:r>
    </w:p>
    <w:p>
      <w:pPr>
        <w:pStyle w:val="BodyText"/>
      </w:pPr>
      <w:r>
        <w:t xml:space="preserve">Sul piano economico, gli esiti si distinguono nelle due grandezze che l’intera parte tiene separate: i minori costi diretti per il Servizio sanitario regionale, oggetto del capitolo sull’impatto di bilancio, e le ricadute economico-sociali, oggetto del capitolo sul ritorno sociale. La misura degli esiti, dunque, non si limita al guadagno di salute, ma comprende le conseguenze economiche che da quel guadagno discendono, distinte per il soggetto che le riceve — il bilancio sanitario, da un lato, e la collettività, dall’altro.</w:t>
      </w:r>
    </w:p>
    <w:bookmarkEnd w:id="4268"/>
    <w:bookmarkStart w:id="720" w:name="X68b8185568a8cb597dc0ab35d2a8c0b58ca2dc5"/>
    <w:p>
      <w:pPr>
        <w:pStyle w:val="Heading3"/>
      </w:pPr>
      <w:r>
        <w:t xml:space="preserve">E.3 Il costo-efficacia e il costo-utilità</w:t>
      </w:r>
    </w:p>
    <w:p>
      <w:pPr>
        <w:pStyle w:val="FirstParagraph"/>
      </w:pPr>
      <w:r>
        <w:t xml:space="preserve">L’analisi di costo-utilità rapporta il costo aggiuntivo del servizio al guadagno in anni di vita ponderati per la qualità, secondo il rapporto incrementale di costo-efficacia, e lo confronta con una soglia di disponibilità a pagare, come prescrive il manuale del NICE. L’evidenza internazionale, ripresa dalla Parte D, indica che i modelli di integrazione della salute mentale nelle cure primarie sono costo-efficaci, con un investimento iniziale ampiamente compensato dai miglioramenti clinici e dalla minore intensità di cura nel medio periodo; la modellazione decisionale della Parte F, per il singolo paziente, indica anzi la dominanza dell’intervento sulla cura usuale. Per la Lombardia, il rapporto incrementale specifico sarà calcolato sui dati certificati una volta acquisiti.</w:t>
      </w:r>
    </w:p>
    <w:p>
      <w:pPr>
        <w:pStyle w:val="BodyText"/>
      </w:pPr>
      <w:r>
        <w:t xml:space="preserve">È opportuno chiarire il rapporto tra l’analisi di costo-utilità e l’analisi di impatto sul bilancio, che rispondono a domande diverse e adottano convenzioni diverse. La prima misura l’efficienza allocativa — se il guadagno di salute valga il suo costo — e attualizza simmetricamente costi ed esiti al tasso del 3%; la seconda misura la sostenibilità finanziaria — se il bilancio possa assorbire la spesa, esercizio per esercizio — e opera su flussi non scontati. La loro distinzione, lungi dall’essere un tecnicismo, riflette la stessa separazione tra valore ed entità della spesa che struttura l’intera parte, e che il capitolo conclusivo ricompone nei due casi del Five Case Model.</w:t>
      </w:r>
    </w:p>
    <w:bookmarkEnd w:id="720"/>
    <w:bookmarkStart w:id="4269" w:name="e.4-limpatto-sul-bilancio-2"/>
    <w:p>
      <w:pPr>
        <w:pStyle w:val="Heading3"/>
      </w:pPr>
      <w:r>
        <w:t xml:space="preserve">E.4 L’impatto sul bilancio</w:t>
      </w:r>
    </w:p>
    <w:p>
      <w:pPr>
        <w:pStyle w:val="FirstParagraph"/>
      </w:pPr>
      <w:r>
        <w:t xml:space="preserve">L’analisi di impatto sul bilancio adotta la prospettiva del detentore del budget — il Servizio sanitario regionale — e stima, sui flussi non scontati, la differenza tra lo scenario con e senza il servizio, anno per anno. I risparmi diretti per il bilancio sono ricostruiti per canale, ciascuno ancorato a una grandezza regionale e a un parametro tratto dall’evidenza. Il canale del pronto soccorso muove dagli accessi dell’ordine di tre milioni l’anno, dei quali una quota di origine psichica è riducibile, per un risparmio di 6–14 milioni; il canale della farmaceutica agisce sui margini di appropriatezza, per 7–18 milioni; il canale dei ricoveri e della specialistica muove dall’iper-utilizzo associato ai sintomi somatici funzionali e dai ricoveri evitabili, per 22–58 milioni, ed è il più consistente. Il canale della mobilità recuperata — il più distintivo del caso pugliese — in Lombardia non si applica: la regione è a saldo di mobilità attivo, primo polo attrattivo del Paese, e il relativo risparmio è nullo.</w:t>
      </w:r>
    </w:p>
    <w:p>
      <w:pPr>
        <w:pStyle w:val="BodyText"/>
      </w:pPr>
      <w:r>
        <w:t xml:space="preserve">Aggregati i canali, i risparmi diretti per il Servizio sanitario regionale sono dell’ordine di 35, 60 e 90 milioni di euro l’anno secondo lo scenario, a fronte di un costo del servizio di 60, 95 e 120 milioni. Ne discende il dato più importante e più onesto dell’intera valutazione lombarda: sul solo bilancio sanitario, il saldo diretto è negativo, dell’ordine di alcune decine di milioni, e non un risparmio. È un esito più sfavorevole di quello pugliese, e va dichiarato senza attenuazioni; le sue ragioni sono due e strutturali — l’assenza del canale della mobilità, perché la Lombardia è creditrice e non debitrice, e la maggiore efficienza di partenza di un sistema che lascia minori margini di recupero. Questo non indebolisce la proposta, per due ragioni a loro volta. Da un lato, il costo del servizio, a fronte di un finanziamento regionale dell’ordine di 21 miliardi e di conti in equilibrio, ne costituisce una frazione dell’ordine di mezzo punto percentuale: la questione non è la sostenibilità della spesa, ma il suo dimensionamento. Dall’altro, il fondamento della misura non è soltanto il risparmio, ma l’obbligo di garantire i livelli essenziali intercettando un bisogno largamente inevaso, e il valore per la collettività, oggetto del capitolo seguente. La tabella riporta i canali e il saldo diretto per scenario.</w:t>
      </w:r>
    </w:p>
    <w:tbl>
      <w:tblPr>
        <w:tblStyle w:val="Table"/>
        <w:tblW w:type="pct" w:w="488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80"/>
        <w:gridCol w:w="1620"/>
        <w:gridCol w:w="1620"/>
        <w:gridCol w:w="162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6</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14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Farmaceutica</w:t>
            </w:r>
          </w:p>
        </w:tc>
        <w:tc>
          <w:tcPr>
            <w:shd w:val="clear" w:color="auto" w:fill="F4F1EC"/>
          </w:tcPr>
          <w:p>
            <w:pPr>
              <w:pStyle w:val="Compact"/>
              <w:spacing w:after="40" w:before="40"/>
              <w:jc w:val="left"/>
            </w:pPr>
            <w:r>
              <w:rPr>
                <w:rFonts w:ascii="Cambria" w:hAnsi="Cambria" w:cs="Cambria" w:eastAsia="Cambria"/>
                <w:color w:val="1A1A1A"/>
                <w:sz w:val="18"/>
              </w:rPr>
              <w:t xml:space="preserve">7</w:t>
            </w:r>
          </w:p>
        </w:tc>
        <w:tc>
          <w:tcPr>
            <w:shd w:val="clear" w:color="auto" w:fill="F4F1EC"/>
          </w:tcPr>
          <w:p>
            <w:pPr>
              <w:pStyle w:val="Compact"/>
              <w:spacing w:after="40" w:before="40"/>
              <w:jc w:val="left"/>
            </w:pPr>
            <w:r>
              <w:rPr>
                <w:rFonts w:ascii="Cambria" w:hAnsi="Cambria" w:cs="Cambria" w:eastAsia="Cambria"/>
                <w:color w:val="1A1A1A"/>
                <w:sz w:val="18"/>
              </w:rPr>
              <w:t xml:space="preserve">12</w:t>
            </w:r>
          </w:p>
        </w:tc>
        <w:tc>
          <w:tcPr>
            <w:shd w:val="clear" w:color="auto" w:fill="F4F1EC"/>
          </w:tcPr>
          <w:p>
            <w:pPr>
              <w:pStyle w:val="Compact"/>
              <w:spacing w:after="40" w:before="40"/>
              <w:jc w:val="left"/>
            </w:pPr>
            <w:r>
              <w:rPr>
                <w:rFonts w:ascii="Cambria" w:hAnsi="Cambria" w:cs="Cambria" w:eastAsia="Cambria"/>
                <w:color w:val="1A1A1A"/>
                <w:sz w:val="18"/>
              </w:rPr>
              <w:t xml:space="preserve">18</w:t>
            </w:r>
          </w:p>
        </w:tc>
      </w:tr>
      <w:tr>
        <w:tc>
          <w:tcPr/>
          <w:p>
            <w:pPr>
              <w:pStyle w:val="Compact"/>
              <w:spacing w:after="40" w:before="40"/>
              <w:jc w:val="left"/>
            </w:pPr>
            <w:r>
              <w:rPr>
                <w:rFonts w:ascii="Cambria" w:hAnsi="Cambria" w:cs="Cambria" w:eastAsia="Cambria"/>
                <w:b/>
                <w:bCs/>
                <w:color w:val="1A1A1A"/>
                <w:sz w:val="18"/>
              </w:rPr>
              <w:t xml:space="preserve">Ricoveri e specialistica</w:t>
            </w:r>
          </w:p>
        </w:tc>
        <w:tc>
          <w:tcPr/>
          <w:p>
            <w:pPr>
              <w:pStyle w:val="Compact"/>
              <w:spacing w:after="40" w:before="40"/>
              <w:jc w:val="left"/>
            </w:pPr>
            <w:r>
              <w:rPr>
                <w:rFonts w:ascii="Cambria" w:hAnsi="Cambria" w:cs="Cambria" w:eastAsia="Cambria"/>
                <w:color w:val="1A1A1A"/>
                <w:sz w:val="18"/>
              </w:rPr>
              <w:t xml:space="preserve">22</w:t>
            </w:r>
          </w:p>
        </w:tc>
        <w:tc>
          <w:tcPr/>
          <w:p>
            <w:pPr>
              <w:pStyle w:val="Compact"/>
              <w:spacing w:after="40" w:before="40"/>
              <w:jc w:val="left"/>
            </w:pPr>
            <w:r>
              <w:rPr>
                <w:rFonts w:ascii="Cambria" w:hAnsi="Cambria" w:cs="Cambria" w:eastAsia="Cambria"/>
                <w:color w:val="1A1A1A"/>
                <w:sz w:val="18"/>
              </w:rPr>
              <w:t xml:space="preserve">38</w:t>
            </w:r>
          </w:p>
        </w:tc>
        <w:tc>
          <w:tcPr/>
          <w:p>
            <w:pPr>
              <w:pStyle w:val="Compact"/>
              <w:spacing w:after="40" w:before="40"/>
              <w:jc w:val="left"/>
            </w:pPr>
            <w:r>
              <w:rPr>
                <w:rFonts w:ascii="Cambria" w:hAnsi="Cambria" w:cs="Cambria" w:eastAsia="Cambria"/>
                <w:color w:val="1A1A1A"/>
                <w:sz w:val="18"/>
              </w:rPr>
              <w:t xml:space="preserve">58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recuperata</w:t>
            </w:r>
          </w:p>
        </w:tc>
        <w:tc>
          <w:tcPr>
            <w:shd w:val="clear" w:color="auto" w:fill="F4F1EC"/>
          </w:tcPr>
          <w:p>
            <w:pPr>
              <w:pStyle w:val="Compact"/>
              <w:spacing w:after="40" w:before="40"/>
              <w:jc w:val="left"/>
            </w:pPr>
            <w:r>
              <w:rPr>
                <w:rFonts w:ascii="Cambria" w:hAnsi="Cambria" w:cs="Cambria" w:eastAsia="Cambria"/>
                <w:color w:val="1A1A1A"/>
                <w:sz w:val="18"/>
              </w:rPr>
              <w:t xml:space="preserve">0</w:t>
            </w:r>
          </w:p>
        </w:tc>
        <w:tc>
          <w:tcPr>
            <w:shd w:val="clear" w:color="auto" w:fill="F4F1EC"/>
          </w:tcPr>
          <w:p>
            <w:pPr>
              <w:pStyle w:val="Compact"/>
              <w:spacing w:after="40" w:before="40"/>
              <w:jc w:val="left"/>
            </w:pPr>
            <w:r>
              <w:rPr>
                <w:rFonts w:ascii="Cambria" w:hAnsi="Cambria" w:cs="Cambria" w:eastAsia="Cambria"/>
                <w:color w:val="1A1A1A"/>
                <w:sz w:val="18"/>
              </w:rPr>
              <w:t xml:space="preserve">0</w:t>
            </w:r>
          </w:p>
        </w:tc>
        <w:tc>
          <w:tcPr>
            <w:shd w:val="clear" w:color="auto" w:fill="F4F1EC"/>
          </w:tcPr>
          <w:p>
            <w:pPr>
              <w:pStyle w:val="Compact"/>
              <w:spacing w:after="40" w:before="40"/>
              <w:jc w:val="left"/>
            </w:pPr>
            <w:r>
              <w:rPr>
                <w:rFonts w:ascii="Cambria" w:hAnsi="Cambria" w:cs="Cambria" w:eastAsia="Cambria"/>
                <w:color w:val="1A1A1A"/>
                <w:sz w:val="18"/>
              </w:rPr>
              <w:t xml:space="preserve">0</w:t>
            </w:r>
          </w:p>
        </w:tc>
      </w:tr>
      <w:tr>
        <w:tc>
          <w:tcPr/>
          <w:p>
            <w:pPr>
              <w:pStyle w:val="Compact"/>
              <w:spacing w:after="40" w:before="40"/>
              <w:jc w:val="left"/>
            </w:pPr>
            <w:r>
              <w:rPr>
                <w:rFonts w:ascii="Cambria" w:hAnsi="Cambria" w:cs="Cambria" w:eastAsia="Cambria"/>
                <w:b/>
                <w:bCs/>
                <w:color w:val="1A1A1A"/>
                <w:sz w:val="18"/>
              </w:rPr>
              <w:t xml:space="preserve">Risparmi diretti (totale)</w:t>
            </w:r>
          </w:p>
        </w:tc>
        <w:tc>
          <w:tcPr/>
          <w:p>
            <w:pPr>
              <w:pStyle w:val="Compact"/>
              <w:spacing w:after="40" w:before="40"/>
              <w:jc w:val="left"/>
            </w:pPr>
            <w:r>
              <w:rPr>
                <w:rFonts w:ascii="Cambria" w:hAnsi="Cambria" w:cs="Cambria" w:eastAsia="Cambria"/>
                <w:color w:val="1A1A1A"/>
                <w:sz w:val="18"/>
              </w:rPr>
              <w:t xml:space="preserve">~ 35</w:t>
            </w:r>
          </w:p>
        </w:tc>
        <w:tc>
          <w:tcPr/>
          <w:p>
            <w:pPr>
              <w:pStyle w:val="Compact"/>
              <w:spacing w:after="40" w:before="40"/>
              <w:jc w:val="left"/>
            </w:pPr>
            <w:r>
              <w:rPr>
                <w:rFonts w:ascii="Cambria" w:hAnsi="Cambria" w:cs="Cambria" w:eastAsia="Cambria"/>
                <w:color w:val="1A1A1A"/>
                <w:sz w:val="18"/>
              </w:rPr>
              <w:t xml:space="preserve">~ 60</w:t>
            </w:r>
          </w:p>
        </w:tc>
        <w:tc>
          <w:tcPr/>
          <w:p>
            <w:pPr>
              <w:pStyle w:val="Compact"/>
              <w:spacing w:after="40" w:before="40"/>
              <w:jc w:val="left"/>
            </w:pPr>
            <w:r>
              <w:rPr>
                <w:rFonts w:ascii="Cambria" w:hAnsi="Cambria" w:cs="Cambria" w:eastAsia="Cambria"/>
                <w:color w:val="1A1A1A"/>
                <w:sz w:val="18"/>
              </w:rPr>
              <w:t xml:space="preserve">~ 90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60</w:t>
            </w:r>
          </w:p>
        </w:tc>
        <w:tc>
          <w:tcPr>
            <w:shd w:val="clear" w:color="auto" w:fill="F4F1EC"/>
          </w:tcPr>
          <w:p>
            <w:pPr>
              <w:pStyle w:val="Compact"/>
              <w:spacing w:after="40" w:before="40"/>
              <w:jc w:val="left"/>
            </w:pPr>
            <w:r>
              <w:rPr>
                <w:rFonts w:ascii="Cambria" w:hAnsi="Cambria" w:cs="Cambria" w:eastAsia="Cambria"/>
                <w:color w:val="1A1A1A"/>
                <w:sz w:val="18"/>
              </w:rPr>
              <w:t xml:space="preserve">~ 95</w:t>
            </w:r>
          </w:p>
        </w:tc>
        <w:tc>
          <w:tcPr>
            <w:shd w:val="clear" w:color="auto" w:fill="F4F1EC"/>
          </w:tcPr>
          <w:p>
            <w:pPr>
              <w:pStyle w:val="Compact"/>
              <w:spacing w:after="40" w:before="40"/>
              <w:jc w:val="left"/>
            </w:pPr>
            <w:r>
              <w:rPr>
                <w:rFonts w:ascii="Cambria" w:hAnsi="Cambria" w:cs="Cambria" w:eastAsia="Cambria"/>
                <w:color w:val="1A1A1A"/>
                <w:sz w:val="18"/>
              </w:rPr>
              <w:t xml:space="preserve">~ 120</w:t>
            </w:r>
          </w:p>
        </w:tc>
      </w:tr>
      <w:tr>
        <w:tc>
          <w:tcPr/>
          <w:p>
            <w:pPr>
              <w:pStyle w:val="Compact"/>
              <w:spacing w:after="40" w:before="40"/>
              <w:jc w:val="left"/>
            </w:pPr>
            <w:r>
              <w:rPr>
                <w:rFonts w:ascii="Cambria" w:hAnsi="Cambria" w:cs="Cambria" w:eastAsia="Cambria"/>
                <w:b/>
                <w:bCs/>
                <w:color w:val="1A1A1A"/>
                <w:sz w:val="18"/>
              </w:rPr>
              <w:t xml:space="preserve">Saldo diretto (solo SSR)</w:t>
            </w:r>
          </w:p>
        </w:tc>
        <w:tc>
          <w:tcPr/>
          <w:p>
            <w:pPr>
              <w:pStyle w:val="Compact"/>
              <w:spacing w:after="40" w:before="40"/>
              <w:jc w:val="left"/>
            </w:pPr>
            <w:r>
              <w:rPr>
                <w:rFonts w:ascii="Cambria" w:hAnsi="Cambria" w:cs="Cambria" w:eastAsia="Cambria"/>
                <w:color w:val="1A1A1A"/>
                <w:sz w:val="18"/>
              </w:rPr>
              <w:t xml:space="preserve">~ −25</w:t>
            </w:r>
          </w:p>
        </w:tc>
        <w:tc>
          <w:tcPr/>
          <w:p>
            <w:pPr>
              <w:pStyle w:val="Compact"/>
              <w:spacing w:after="40" w:before="40"/>
              <w:jc w:val="left"/>
            </w:pPr>
            <w:r>
              <w:rPr>
                <w:rFonts w:ascii="Cambria" w:hAnsi="Cambria" w:cs="Cambria" w:eastAsia="Cambria"/>
                <w:color w:val="1A1A1A"/>
                <w:sz w:val="18"/>
              </w:rPr>
              <w:t xml:space="preserve">~ −35</w:t>
            </w:r>
          </w:p>
        </w:tc>
        <w:tc>
          <w:tcPr/>
          <w:p>
            <w:pPr>
              <w:pStyle w:val="Compact"/>
              <w:spacing w:after="40" w:before="40"/>
              <w:jc w:val="left"/>
            </w:pPr>
            <w:r>
              <w:rPr>
                <w:rFonts w:ascii="Cambria" w:hAnsi="Cambria" w:cs="Cambria" w:eastAsia="Cambria"/>
                <w:color w:val="1A1A1A"/>
                <w:sz w:val="18"/>
              </w:rPr>
              <w:t xml:space="preserve">~ −30</w:t>
            </w:r>
          </w:p>
        </w:tc>
      </w:tr>
    </w:tbl>
    <w:p>
      <w:pPr>
        <w:pStyle w:val="BodyText"/>
      </w:pPr>
      <w:r>
        <w:rPr>
          <w:i/>
          <w:iCs/>
        </w:rPr>
        <w:t xml:space="preserve">Tabella E.2. I risparmi diretti per canale e il saldo diretto sul bilancio sanitario, per scenario. Il saldo diretto è negativo (assenza del canale mobilità).</w:t>
      </w:r>
    </w:p>
    <w:bookmarkEnd w:id="4269"/>
    <w:bookmarkStart w:id="4270" w:name="e.5-il-ritorno-sociale-2"/>
    <w:p>
      <w:pPr>
        <w:pStyle w:val="Heading3"/>
      </w:pPr>
      <w:r>
        <w:t xml:space="preserve">E.5 Il ritorno sociale</w:t>
      </w:r>
    </w:p>
    <w:p>
      <w:pPr>
        <w:pStyle w:val="FirstParagraph"/>
      </w:pPr>
      <w:r>
        <w:t xml:space="preserve">Il valore che il servizio genera non si esaurisce nel bilancio sanitario, e in Lombardia ne costituisce, in misura ancora maggiore che altrove, la componente decisiva. L’analisi del ritorno sociale, condotta con il metodo SROI — fondato sui sette principi del valore sociale, su una mappa dell’impatto e sulle correzioni per peso morto, attribuzione, spostamento e decadimento — monetizza il valore sociale generato, distinguendolo con cura dai risparmi di bilancio. Le ricadute economico-sociali comprendono la riduzione dell’assenteismo, il recupero di produttività e di funzionamento, la diminuzione delle nuove invalidità e dei pensionamenti anticipati, e il minor carico assistenziale sulle famiglie. Riferite ai due milioni di persone con disagio comune, esse sono stimate in 190, 360 e 560 milioni di euro l’anno secondo lo scenario: la dimensione assoluta è la maggiore del Paese, in ragione di una popolazione in età lavorativa e di una produttività senza pari.</w:t>
      </w:r>
    </w:p>
    <w:p>
      <w:pPr>
        <w:pStyle w:val="BodyText"/>
      </w:pPr>
      <w:r>
        <w:t xml:space="preserve">Questa è la componente di gran lunga maggiore del valore complessivo, ed è anche quella su cui converge l’evidenza economica internazionale. Secondo l’Organizzazione mondiale della sanità e gli studi pubblicati su Lancet Psychiatry, il ritorno del trattamento di depressione e ansia — dell’ordine di quattro a uno — è costituito in quota dominante dalla produttività e dal funzionamento recuperati, più che dal risparmio diretto sui servizi sanitari. Per la Lombardia, dove il saldo diretto è negativo, questa conclusione è dirimente: il beneficio per la collettività è reale e ampio, ma si manifesta quasi interamente fuori dal bilancio sanitario, sotto forma di maggiore partecipazione al lavoro, minore disabilità e migliore qualità della vita. Confondere questa grandezza con un risparmio per il bilancio sarebbe un errore; ignorarla, un errore opposto e, per la Lombardia, decisivo.</w:t>
      </w:r>
    </w:p>
    <w:bookmarkEnd w:id="4270"/>
    <w:bookmarkStart w:id="4271" w:name="X0f786d62a31adbc2cb0301eed8609c372b8d220"/>
    <w:p>
      <w:pPr>
        <w:pStyle w:val="Heading3"/>
      </w:pPr>
      <w:r>
        <w:t xml:space="preserve">E.6 Il caso economico e il caso finanziario</w:t>
      </w:r>
    </w:p>
    <w:p>
      <w:pPr>
        <w:pStyle w:val="FirstParagraph"/>
      </w:pPr>
      <w:r>
        <w:t xml:space="preserve">La sintesi economica ricompone i risultati nei due casi distinti del Five Case Model. Il caso finanziario misura la spesa per il bilancio sanitario e il suo assorbimento: in Lombardia esso esprime un saldo diretto negativo, dell’ordine di venticinque-trentacinque milioni di euro l’anno secondo lo scenario, di entità modesta rispetto a un finanziamento di ventuno miliardi e a conti in equilibrio. Il caso economico misura il valore per la collettività: sommando i risparmi diretti e le ricadute sociali, il ritorno complessivo è di 225, 420 e 650 milioni di euro l’anno, e il saldo complessivo, al netto del costo, è di +165, +325 e +530 milioni, con un rapporto beneficio-costo dell’ordine di 3,8–5,4 a uno. La proposta lombarda è dunque forte sul caso economico e sostenibile sul caso finanziario, e questa è la sua corretta rappresentazione: non un investimento che si ripaga sul bilancio sanitario, come può avvicinarsi a essere in una regione debitrice di mobilità, ma un investimento sociale ad alto rendimento, il cui costo per il bilancio è una frazione trascurabile della spesa regionale.</w:t>
      </w:r>
    </w:p>
    <w:p>
      <w:pPr>
        <w:pStyle w:val="BodyText"/>
      </w:pPr>
      <w:r>
        <w:t xml:space="preserve">Due notazioni chiudono la parte. La prima riguarda la robustezza: il segno del saldo complessivo è positivo in tutti gli scenari, comprese le ipotesi conservative, e le analisi di sensibilità deterministica e probabilistica, con il valore dell’informazione, sono sviluppate nella Parte F. La seconda riguarda la natura dei dati: i parametri dei canali sono in parte ancora ricostruiti per quota di popolazione e saranno sostituiti dai valori certificati che le Agenzie di Tutela della Salute e le Aziende Socio-Sanitarie Territoriali sono chiamate a fornire. La tabella seguente riepiloga la sintesi economica nei due casi.</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35</w:t>
            </w:r>
          </w:p>
        </w:tc>
        <w:tc>
          <w:tcPr/>
          <w:p>
            <w:pPr>
              <w:pStyle w:val="Compact"/>
              <w:spacing w:after="40" w:before="40"/>
              <w:jc w:val="left"/>
            </w:pPr>
            <w:r>
              <w:rPr>
                <w:rFonts w:ascii="Cambria" w:hAnsi="Cambria" w:cs="Cambria" w:eastAsia="Cambria"/>
                <w:color w:val="1A1A1A"/>
                <w:sz w:val="18"/>
              </w:rPr>
              <w:t xml:space="preserve">~ 60</w:t>
            </w:r>
          </w:p>
        </w:tc>
        <w:tc>
          <w:tcPr/>
          <w:p>
            <w:pPr>
              <w:pStyle w:val="Compact"/>
              <w:spacing w:after="40" w:before="40"/>
              <w:jc w:val="left"/>
            </w:pPr>
            <w:r>
              <w:rPr>
                <w:rFonts w:ascii="Cambria" w:hAnsi="Cambria" w:cs="Cambria" w:eastAsia="Cambria"/>
                <w:color w:val="1A1A1A"/>
                <w:sz w:val="18"/>
              </w:rPr>
              <w:t xml:space="preserve">~ 90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190</w:t>
            </w:r>
          </w:p>
        </w:tc>
        <w:tc>
          <w:tcPr>
            <w:shd w:val="clear" w:color="auto" w:fill="F4F1EC"/>
          </w:tcPr>
          <w:p>
            <w:pPr>
              <w:pStyle w:val="Compact"/>
              <w:spacing w:after="40" w:before="40"/>
              <w:jc w:val="left"/>
            </w:pPr>
            <w:r>
              <w:rPr>
                <w:rFonts w:ascii="Cambria" w:hAnsi="Cambria" w:cs="Cambria" w:eastAsia="Cambria"/>
                <w:color w:val="1A1A1A"/>
                <w:sz w:val="18"/>
              </w:rPr>
              <w:t xml:space="preserve">~ 360</w:t>
            </w:r>
          </w:p>
        </w:tc>
        <w:tc>
          <w:tcPr>
            <w:shd w:val="clear" w:color="auto" w:fill="F4F1EC"/>
          </w:tcPr>
          <w:p>
            <w:pPr>
              <w:pStyle w:val="Compact"/>
              <w:spacing w:after="40" w:before="40"/>
              <w:jc w:val="left"/>
            </w:pPr>
            <w:r>
              <w:rPr>
                <w:rFonts w:ascii="Cambria" w:hAnsi="Cambria" w:cs="Cambria" w:eastAsia="Cambria"/>
                <w:color w:val="1A1A1A"/>
                <w:sz w:val="18"/>
              </w:rPr>
              <w:t xml:space="preserve">~ 560</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 225</w:t>
            </w:r>
          </w:p>
        </w:tc>
        <w:tc>
          <w:tcPr/>
          <w:p>
            <w:pPr>
              <w:pStyle w:val="Compact"/>
              <w:spacing w:after="40" w:before="40"/>
              <w:jc w:val="left"/>
            </w:pPr>
            <w:r>
              <w:rPr>
                <w:rFonts w:ascii="Cambria" w:hAnsi="Cambria" w:cs="Cambria" w:eastAsia="Cambria"/>
                <w:color w:val="1A1A1A"/>
                <w:sz w:val="18"/>
              </w:rPr>
              <w:t xml:space="preserve">~ 420</w:t>
            </w:r>
          </w:p>
        </w:tc>
        <w:tc>
          <w:tcPr/>
          <w:p>
            <w:pPr>
              <w:pStyle w:val="Compact"/>
              <w:spacing w:after="40" w:before="40"/>
              <w:jc w:val="left"/>
            </w:pPr>
            <w:r>
              <w:rPr>
                <w:rFonts w:ascii="Cambria" w:hAnsi="Cambria" w:cs="Cambria" w:eastAsia="Cambria"/>
                <w:color w:val="1A1A1A"/>
                <w:sz w:val="18"/>
              </w:rPr>
              <w:t xml:space="preserve">~ 650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60</w:t>
            </w:r>
          </w:p>
        </w:tc>
        <w:tc>
          <w:tcPr>
            <w:shd w:val="clear" w:color="auto" w:fill="F4F1EC"/>
          </w:tcPr>
          <w:p>
            <w:pPr>
              <w:pStyle w:val="Compact"/>
              <w:spacing w:after="40" w:before="40"/>
              <w:jc w:val="left"/>
            </w:pPr>
            <w:r>
              <w:rPr>
                <w:rFonts w:ascii="Cambria" w:hAnsi="Cambria" w:cs="Cambria" w:eastAsia="Cambria"/>
                <w:color w:val="1A1A1A"/>
                <w:sz w:val="18"/>
              </w:rPr>
              <w:t xml:space="preserve">~ 95</w:t>
            </w:r>
          </w:p>
        </w:tc>
        <w:tc>
          <w:tcPr>
            <w:shd w:val="clear" w:color="auto" w:fill="F4F1EC"/>
          </w:tcPr>
          <w:p>
            <w:pPr>
              <w:pStyle w:val="Compact"/>
              <w:spacing w:after="40" w:before="40"/>
              <w:jc w:val="left"/>
            </w:pPr>
            <w:r>
              <w:rPr>
                <w:rFonts w:ascii="Cambria" w:hAnsi="Cambria" w:cs="Cambria" w:eastAsia="Cambria"/>
                <w:color w:val="1A1A1A"/>
                <w:sz w:val="18"/>
              </w:rPr>
              <w:t xml:space="preserve">~ 120</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−25</w:t>
            </w:r>
          </w:p>
        </w:tc>
        <w:tc>
          <w:tcPr/>
          <w:p>
            <w:pPr>
              <w:pStyle w:val="Compact"/>
              <w:spacing w:after="40" w:before="40"/>
              <w:jc w:val="left"/>
            </w:pPr>
            <w:r>
              <w:rPr>
                <w:rFonts w:ascii="Cambria" w:hAnsi="Cambria" w:cs="Cambria" w:eastAsia="Cambria"/>
                <w:color w:val="1A1A1A"/>
                <w:sz w:val="18"/>
              </w:rPr>
              <w:t xml:space="preserve">~ −35</w:t>
            </w:r>
          </w:p>
        </w:tc>
        <w:tc>
          <w:tcPr/>
          <w:p>
            <w:pPr>
              <w:pStyle w:val="Compact"/>
              <w:spacing w:after="40" w:before="40"/>
              <w:jc w:val="left"/>
            </w:pPr>
            <w:r>
              <w:rPr>
                <w:rFonts w:ascii="Cambria" w:hAnsi="Cambria" w:cs="Cambria" w:eastAsia="Cambria"/>
                <w:color w:val="1A1A1A"/>
                <w:sz w:val="18"/>
              </w:rPr>
              <w:t xml:space="preserve">~ −30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+165</w:t>
            </w:r>
          </w:p>
        </w:tc>
        <w:tc>
          <w:tcPr>
            <w:shd w:val="clear" w:color="auto" w:fill="F4F1EC"/>
          </w:tcPr>
          <w:p>
            <w:pPr>
              <w:pStyle w:val="Compact"/>
              <w:spacing w:after="40" w:before="40"/>
              <w:jc w:val="left"/>
            </w:pPr>
            <w:r>
              <w:rPr>
                <w:rFonts w:ascii="Cambria" w:hAnsi="Cambria" w:cs="Cambria" w:eastAsia="Cambria"/>
                <w:color w:val="1A1A1A"/>
                <w:sz w:val="18"/>
              </w:rPr>
              <w:t xml:space="preserve">+325</w:t>
            </w:r>
          </w:p>
        </w:tc>
        <w:tc>
          <w:tcPr>
            <w:shd w:val="clear" w:color="auto" w:fill="F4F1EC"/>
          </w:tcPr>
          <w:p>
            <w:pPr>
              <w:pStyle w:val="Compact"/>
              <w:spacing w:after="40" w:before="40"/>
              <w:jc w:val="left"/>
            </w:pPr>
            <w:r>
              <w:rPr>
                <w:rFonts w:ascii="Cambria" w:hAnsi="Cambria" w:cs="Cambria" w:eastAsia="Cambria"/>
                <w:color w:val="1A1A1A"/>
                <w:sz w:val="18"/>
              </w:rPr>
              <w:t xml:space="preserve">+530</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~3,8:1</w:t>
            </w:r>
          </w:p>
        </w:tc>
        <w:tc>
          <w:tcPr/>
          <w:p>
            <w:pPr>
              <w:pStyle w:val="Compact"/>
              <w:spacing w:after="40" w:before="40"/>
              <w:jc w:val="left"/>
            </w:pPr>
            <w:r>
              <w:rPr>
                <w:rFonts w:ascii="Cambria" w:hAnsi="Cambria" w:cs="Cambria" w:eastAsia="Cambria"/>
                <w:color w:val="1A1A1A"/>
                <w:sz w:val="18"/>
              </w:rPr>
              <w:t xml:space="preserve">~4,4:1</w:t>
            </w:r>
          </w:p>
        </w:tc>
        <w:tc>
          <w:tcPr/>
          <w:p>
            <w:pPr>
              <w:pStyle w:val="Compact"/>
              <w:spacing w:after="40" w:before="40"/>
              <w:jc w:val="left"/>
            </w:pPr>
            <w:r>
              <w:rPr>
                <w:rFonts w:ascii="Cambria" w:hAnsi="Cambria" w:cs="Cambria" w:eastAsia="Cambria"/>
                <w:color w:val="1A1A1A"/>
                <w:sz w:val="18"/>
              </w:rPr>
              <w:t xml:space="preserve">~5,4:1</w:t>
            </w:r>
          </w:p>
        </w:tc>
      </w:tr>
    </w:tbl>
    <w:p>
      <w:pPr>
        <w:pStyle w:val="BodyText"/>
      </w:pPr>
      <w:r>
        <w:rPr>
          <w:i/>
          <w:iCs/>
        </w:rPr>
        <w:t xml:space="preserve">Tabella E.3. Sintesi economica per scenario: il caso finanziario (saldo diretto negativo) e il caso economico (ritorno complessivo e rapporto beneficio-costo).</w:t>
      </w:r>
    </w:p>
    <w:p>
      <w:pPr>
        <w:pStyle w:val="BodyText"/>
      </w:pPr>
      <w:r>
        <w:t xml:space="preserve">Accertato il valore economico, lo studio ne sottopone l’incertezza a verifica formale, con la modellazione decisionale e l’analisi di sensibilità della Parte F.</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F</w:t>
      </w:r>
    </w:p>
    <w:p>
      <w:pPr>
        <w:pStyle w:val="BodyText"/>
      </w:pPr>
      <w:r>
        <w:rPr>
          <w:b/>
          <w:bCs/>
        </w:rPr>
        <w:t xml:space="preserve">Modellazione decisionale e incertezza</w:t>
      </w:r>
    </w:p>
    <w:p>
      <w:pPr>
        <w:pStyle w:val="BodyText"/>
      </w:pPr>
      <w:r>
        <w:rPr>
          <w:i/>
          <w:iCs/>
        </w:rPr>
        <w:t xml:space="preserve">Struttura del modello, parametri, sensibilità deterministica e probabilistica, valore dell</w:t>
      </w:r>
      <w:r>
        <w:rPr>
          <w:b/>
          <w:bCs/>
          <w:i/>
          <w:iCs/>
        </w:rPr>
        <w:t xml:space="preserve">’</w:t>
      </w:r>
      <w:r>
        <w:rPr>
          <w:i/>
          <w:iCs/>
        </w:rPr>
        <w:t xml:space="preserve">informazione</w:t>
      </w:r>
    </w:p>
    <w:p>
      <w:pPr>
        <w:pStyle w:val="BodyText"/>
      </w:pPr>
      <w:r>
        <w:t xml:space="preserve">Dominio 5 del modello HTA · metodi di modellazione e gestione dell’incertezza · reporting CHEERS 2022</w:t>
      </w:r>
    </w:p>
    <w:bookmarkEnd w:id="4271"/>
    <w:bookmarkEnd w:id="724"/>
    <w:bookmarkStart w:id="4272" w:name="X324473f6b06a23d506b1844b0c63cbc414c1438"/>
    <w:p>
      <w:pPr>
        <w:pStyle w:val="Heading2"/>
      </w:pPr>
      <w:r>
        <w:t xml:space="preserve">Parte F — Modellazione decisionale e incertezza</w:t>
      </w:r>
    </w:p>
    <w:p>
      <w:pPr>
        <w:pStyle w:val="FirstParagraph"/>
      </w:pPr>
      <w:r>
        <w:t xml:space="preserve">Questa parte completa il dominio economico sul piano del metodo: dopo aver stabilito, nella Parte E, quanto l’intervento valga e quanto costi, qui se ne verifica la robustezza, ovvero la tenuta delle conclusioni quando gli esiti si proiettano su orizzonti lunghi e quando si riconosce esplicitamente l’incertezza dei parametri.</w:t>
      </w:r>
      <w:r>
        <w:rPr>
          <w:rStyle w:val="FootnoteReference"/>
        </w:rPr>
        <w:footnoteReference w:id="1635"/>
      </w:r>
      <w:r>
        <w:rPr>
          <w:rStyle w:val="FootnoteReference"/>
        </w:rPr>
        <w:footnoteReference w:id="1636"/>
      </w:r>
      <w:r>
        <w:rPr>
          <w:rStyle w:val="FootnoteReference"/>
        </w:rPr>
        <w:footnoteReference w:id="1637"/>
      </w:r>
      <w:r>
        <w:t xml:space="preserve"> </w:t>
      </w:r>
      <w:r>
        <w:t xml:space="preserve">La logica è di crescente solidità. Un’analisi deterministica fornisce un valore puntuale che dipende dalle ipotesi adottate, e un decisore prudente può sempre chiedersi che cosa accada se quelle ipotesi sono ottimistiche. Il modello decisionale risponde proiettando il decorso clinico nel tempo (capitolo F.1) sulla base di parametri dichiarati e calibrati (F.2); l’analisi di sensibilità deterministica isola il contributo di ciascun parametro (F.3); l’analisi probabilistica quantifica, su decine di migliaia di scenari simulati, la frequenza con cui la conclusione si conferma (F.4); e il valore dell’informazione indica dove la riduzione dell’incertezza vale di più (F.5). Poiché il modello è riferito al singolo paziente, i suoi risultati sono i medesimi dello studio pugliese; muta soltanto la loro lettura aggregata, che per la Lombardia si raccorda a un saldo diretto negativo.</w:t>
      </w:r>
    </w:p>
    <w:bookmarkStart w:id="4273" w:name="f.1-la-struttura-del-modello-1"/>
    <w:p>
      <w:pPr>
        <w:pStyle w:val="Heading3"/>
      </w:pPr>
      <w:r>
        <w:t xml:space="preserve">F.1 La struttura del modello</w:t>
      </w:r>
    </w:p>
    <w:p>
      <w:pPr>
        <w:pStyle w:val="FirstParagraph"/>
      </w:pPr>
      <w:r>
        <w:t xml:space="preserve">Il modello adottato è un modello di Markov a coorte, strumento standard nella valutazione economica in sanità, che rappresenta il decorso del disturbo mentale comune come una successione di transizioni tra stati di salute mutuamente esclusivi, scanditi da cicli temporali con correzione di metà ciclo. Gli stati sono quattro: lo stato sintomatico, in cui il disturbo è clinicamente attivo; lo stato di recupero, corrispondente alla remissione; lo stato cronico, corrispondente alle forme persistenti o gravi; e lo stato di morte, assorbente. La coorte entra interamente nello stato sintomatico, a rappresentare una popolazione che si presenta alle cure primarie con un episodio di disturbo comune lieve-moderato; ove si voglia tener conto delle traiettorie individuali, la microsimulazione ne costituisce la variante.</w:t>
      </w:r>
      <w:r>
        <w:rPr>
          <w:rStyle w:val="FootnoteReference"/>
        </w:rPr>
        <w:footnoteReference w:id="1638"/>
      </w:r>
    </w:p>
    <w:p>
      <w:pPr>
        <w:pStyle w:val="BodyText"/>
      </w:pPr>
      <w:r>
        <w:t xml:space="preserve">Il modello proietta, lungo un orizzonte di cinque anni — estensibile all’intera vita — e a valori scontati, i costi e gli anni di vita ponderati per la qualità associati a due bracci alternativi: lo scenario con la riforma e lo scenario di assistenza usuale. Nel caso base, riferito al singolo paziente, il braccio dell’intervento produce un costo sanitario di circa 2.495 euro e un’utilità di 3,627 anni di vita ponderati, contro un costo di circa 3.799 euro e un’utilità di 3,392 dell’assistenza usuale: l’intervento è dunque al tempo stesso meno costoso, di circa 1.304 euro per paziente, e più efficace, di circa 0,236 anni di vita ponderati, configurando una condizione di dominanza.</w:t>
      </w:r>
      <w:r>
        <w:rPr>
          <w:rStyle w:val="FootnoteReference"/>
        </w:rPr>
        <w:footnoteReference w:id="1639"/>
      </w:r>
      <w:r>
        <w:t xml:space="preserve"> </w:t>
      </w:r>
      <w:r>
        <w:t xml:space="preserve">La dominanza non è un artificio, ma la conseguenza della struttura del decorso: a fronte di un costo iniziale contenuto, l’intervento accresce il tempo trascorso nello stato di recupero, a bassa utilizzazione di risorse, e riduce il tempo trascorso nello stato cronico, ad alta utilizzazione, sicché il risparmio a valle eccede il costo a monte. Questo risultato per paziente costituisce il fondamento microeconomico delle stime aggregate della Parte E.</w:t>
      </w:r>
      <w:r>
        <w:rPr>
          <w:rStyle w:val="FootnoteReference"/>
        </w:rPr>
        <w:footnoteReference w:id="1640"/>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1188"/>
        <w:gridCol w:w="1188"/>
        <w:gridCol w:w="270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Caso base,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Cura usuale</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sanitario (5 anni, scontato)</w:t>
            </w:r>
          </w:p>
        </w:tc>
        <w:tc>
          <w:tcPr/>
          <w:p>
            <w:pPr>
              <w:pStyle w:val="Compact"/>
              <w:spacing w:after="40" w:before="40"/>
              <w:jc w:val="left"/>
            </w:pPr>
            <w:r>
              <w:rPr>
                <w:rFonts w:ascii="Cambria" w:hAnsi="Cambria" w:cs="Cambria" w:eastAsia="Cambria"/>
                <w:color w:val="1A1A1A"/>
                <w:sz w:val="18"/>
              </w:rPr>
              <w:t xml:space="preserve">~ 2.495 €</w:t>
            </w:r>
          </w:p>
        </w:tc>
        <w:tc>
          <w:tcPr/>
          <w:p>
            <w:pPr>
              <w:pStyle w:val="Compact"/>
              <w:spacing w:after="40" w:before="40"/>
              <w:jc w:val="left"/>
            </w:pPr>
            <w:r>
              <w:rPr>
                <w:rFonts w:ascii="Cambria" w:hAnsi="Cambria" w:cs="Cambria" w:eastAsia="Cambria"/>
                <w:color w:val="1A1A1A"/>
                <w:sz w:val="18"/>
              </w:rPr>
              <w:t xml:space="preserve">~ 3.799 €</w:t>
            </w:r>
          </w:p>
        </w:tc>
        <w:tc>
          <w:tcPr/>
          <w:p>
            <w:pPr>
              <w:pStyle w:val="Compact"/>
              <w:spacing w:after="40" w:before="40"/>
              <w:jc w:val="left"/>
            </w:pPr>
            <w:r>
              <w:rPr>
                <w:rFonts w:ascii="Cambria" w:hAnsi="Cambria" w:cs="Cambria" w:eastAsia="Cambria"/>
                <w:color w:val="1A1A1A"/>
                <w:sz w:val="18"/>
              </w:rPr>
              <w:t xml:space="preserve">− 1.304 €</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(anni di vita ponderati)</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4273"/>
    <w:bookmarkStart w:id="4274" w:name="f.2-i-parametri-e-la-calibrazione-1"/>
    <w:p>
      <w:pPr>
        <w:pStyle w:val="Heading3"/>
      </w:pPr>
      <w:r>
        <w:t xml:space="preserve">F.2 I parametri e la calibrazione</w:t>
      </w:r>
    </w:p>
    <w:p>
      <w:pPr>
        <w:pStyle w:val="FirstParagraph"/>
      </w:pPr>
      <w:r>
        <w:t xml:space="preserve">La credibilità di un modello dipende dalla dichiarazione esplicita dei suoi parametri e delle loro fonti. I parametri sono di tre tipi: le probabilità di transizione tra gli stati, che governano il decorso; le utilità associate a ciascuno stato, che ne misurano la qualità della vita; e i costi per ciclo, che ne misurano l’assorbimento di risorse. I costi adottati sono di 40 euro per ciclo nello stato di recupero, di 700 euro nello stato cronico, e di 300 euro una tantum per l’intervento psicologico: è la struttura di costo a generare la dominanza, poiché lo stato cronico, che l’intervento riduce, è di gran lunga il più oneroso.</w:t>
      </w:r>
      <w:r>
        <w:rPr>
          <w:rStyle w:val="FootnoteReference"/>
        </w:rPr>
        <w:footnoteReference w:id="1641"/>
      </w:r>
    </w:p>
    <w:p>
      <w:pPr>
        <w:pStyle w:val="BodyText"/>
      </w:pPr>
      <w:r>
        <w:t xml:space="preserve">A ciascun parametro incerto è assegnata, ai fini dell’analisi probabilistica, una distribuzione di probabilità appropriata alla sua natura: distribuzioni Beta per le probabilità di transizione e per le utilità, in quanto vincolate all’intervallo tra zero e uno, e distribuzioni Gamma per i costi, in quanto vincolati ai valori positivi. I valori centrali e gli intervalli sono tratti dall’evidenza internazionale documentata nella Parte D, e calibrati, per i parametri regionali, sui valori lombardi.</w:t>
      </w:r>
      <w:r>
        <w:rPr>
          <w:rStyle w:val="FootnoteReference"/>
        </w:rPr>
        <w:footnoteReference w:id="1642"/>
      </w:r>
      <w:r>
        <w:t xml:space="preserve"> </w:t>
      </w:r>
      <w:r>
        <w:t xml:space="preserve">La calibrazione è il punto di contatto tra il modello e la realtà regionale: i parametri non sono assunti in astratto, ma ancorati ai dati disponibili, e quelli ancora ricostruiti per quota di popolazione saranno aggiornati con i valori certificati man mano che le Agenzie di Tutela della Salute e le Aziende Socio-Sanitarie Territoriali li renderanno disponibili, secondo la priorità che il valore dell’informazione indicherà nel capitolo F.5.</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075"/>
        <w:gridCol w:w="1845"/>
        <w:gridCol w:w="18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Costo per ciclo — stato di recupero</w:t>
            </w:r>
          </w:p>
        </w:tc>
        <w:tc>
          <w:tcPr/>
          <w:p>
            <w:pPr>
              <w:pStyle w:val="Compact"/>
              <w:spacing w:after="40" w:before="40"/>
              <w:jc w:val="left"/>
            </w:pPr>
            <w:r>
              <w:rPr>
                <w:rFonts w:ascii="Cambria" w:hAnsi="Cambria" w:cs="Cambria" w:eastAsia="Cambria"/>
                <w:color w:val="1A1A1A"/>
                <w:sz w:val="18"/>
              </w:rPr>
              <w:t xml:space="preserve">40 €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stato cronico</w:t>
            </w:r>
          </w:p>
        </w:tc>
        <w:tc>
          <w:tcPr>
            <w:shd w:val="clear" w:color="auto" w:fill="F4F1EC"/>
          </w:tcPr>
          <w:p>
            <w:pPr>
              <w:pStyle w:val="Compact"/>
              <w:spacing w:after="40" w:before="40"/>
              <w:jc w:val="left"/>
            </w:pPr>
            <w:r>
              <w:rPr>
                <w:rFonts w:ascii="Cambria" w:hAnsi="Cambria" w:cs="Cambria" w:eastAsia="Cambria"/>
                <w:color w:val="1A1A1A"/>
                <w:sz w:val="18"/>
              </w:rPr>
              <w:t xml:space="preserve">700 €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dell’intervento psicologico (una tantum)</w:t>
            </w:r>
          </w:p>
        </w:tc>
        <w:tc>
          <w:tcPr/>
          <w:p>
            <w:pPr>
              <w:pStyle w:val="Compact"/>
              <w:spacing w:after="40" w:before="40"/>
              <w:jc w:val="left"/>
            </w:pPr>
            <w:r>
              <w:rPr>
                <w:rFonts w:ascii="Cambria" w:hAnsi="Cambria" w:cs="Cambria" w:eastAsia="Cambria"/>
                <w:color w:val="1A1A1A"/>
                <w:sz w:val="18"/>
              </w:rPr>
              <w:t xml:space="preserve">300 €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transizione tra gli stati</w:t>
            </w:r>
          </w:p>
        </w:tc>
        <w:tc>
          <w:tcPr>
            <w:shd w:val="clear" w:color="auto" w:fill="F4F1EC"/>
          </w:tcPr>
          <w:p>
            <w:pPr>
              <w:pStyle w:val="Compact"/>
              <w:spacing w:after="40" w:before="40"/>
              <w:jc w:val="left"/>
            </w:pPr>
            <w:r>
              <w:rPr>
                <w:rFonts w:ascii="Cambria" w:hAnsi="Cambria" w:cs="Cambria" w:eastAsia="Cambria"/>
                <w:color w:val="1A1A1A"/>
                <w:sz w:val="18"/>
              </w:rPr>
              <w:t xml:space="preserve">da fonti, per braccio</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Utilità associate agli stati</w:t>
            </w:r>
          </w:p>
        </w:tc>
        <w:tc>
          <w:tcPr/>
          <w:p>
            <w:pPr>
              <w:pStyle w:val="Compact"/>
              <w:spacing w:after="40" w:before="40"/>
              <w:jc w:val="left"/>
            </w:pPr>
            <w:r>
              <w:rPr>
                <w:rFonts w:ascii="Cambria" w:hAnsi="Cambria" w:cs="Cambria" w:eastAsia="Cambria"/>
                <w:color w:val="1A1A1A"/>
                <w:sz w:val="18"/>
              </w:rPr>
              <w:t xml:space="preserve">da fonti</w:t>
            </w:r>
          </w:p>
        </w:tc>
        <w:tc>
          <w:tcPr/>
          <w:p>
            <w:pPr>
              <w:pStyle w:val="Compact"/>
              <w:spacing w:after="40" w:before="40"/>
              <w:jc w:val="left"/>
            </w:pPr>
            <w:r>
              <w:rPr>
                <w:rFonts w:ascii="Cambria" w:hAnsi="Cambria" w:cs="Cambria" w:eastAsia="Cambria"/>
                <w:color w:val="1A1A1A"/>
                <w:sz w:val="18"/>
              </w:rP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4274"/>
    <w:bookmarkStart w:id="4275" w:name="f.3-la-sensibilità-deterministica-1"/>
    <w:p>
      <w:pPr>
        <w:pStyle w:val="Heading3"/>
      </w:pPr>
      <w:r>
        <w:t xml:space="preserve">F.3 La sensibilità deterministica</w:t>
      </w:r>
    </w:p>
    <w:p>
      <w:pPr>
        <w:pStyle w:val="FirstParagraph"/>
      </w:pPr>
      <w:r>
        <w:t xml:space="preserve">L’analisi di sensibilità deterministica saggia la dipendenza del risultato dalle singole assunzioni, facendo variare i parametri entro intervalli plausibili. Nella sua forma a una via, essa isola il contributo individuale di ciascun parametro, facendolo variare del 25% in più e in meno e misurando l’effetto sul beneficio monetario netto; il diagramma a tornado che ne risulta ordina i parametri per ampiezza dell’effetto, dal più al meno influente. I parametri più influenti risultano l’efficacia clinica dell’intervento, i tassi di ricaduta e di cronicizzazione e il costo dello stato cronico: sono, non a caso, le grandezze che governano il meccanismo della dominanza.</w:t>
      </w:r>
      <w:r>
        <w:rPr>
          <w:rStyle w:val="FootnoteReference"/>
        </w:rPr>
        <w:footnoteReference w:id="1643"/>
      </w:r>
    </w:p>
    <w:p>
      <w:pPr>
        <w:pStyle w:val="BodyText"/>
      </w:pPr>
      <w:r>
        <w:t xml:space="preserve">L’analisi a una via è affiancata dall’analisi di scenario, che fa variare congiuntamente più parametri secondo ipotesi coerenti, dando luogo ai tre scenari — conservativo, base ed espansivo — già impiegati nella Parte E. Il risultato di queste analisi è univoco quanto al segno: anche adottando per ciascun parametro influente il valore più sfavorevole entro l’intervallo plausibile, il beneficio monetario netto resta positivo, e l’intervento conserva la sua convenienza in termini di costo-utilità. Le ipotesi pessimistiche, in altri termini, ne riducono l’entità, non ne invertono il segno; ed è questa stabilità del segno, più che la precisione del valore puntuale, a costituire il risultato rilevante per il decisore.</w:t>
      </w:r>
      <w:r>
        <w:rPr>
          <w:rStyle w:val="FootnoteReference"/>
        </w:rPr>
        <w:footnoteReference w:id="1644"/>
      </w:r>
    </w:p>
    <w:bookmarkEnd w:id="4275"/>
    <w:bookmarkStart w:id="4276" w:name="Xbf867e3e97f80dc752655ee9987e17fb9b60a40"/>
    <w:p>
      <w:pPr>
        <w:pStyle w:val="Heading3"/>
      </w:pPr>
      <w:r>
        <w:t xml:space="preserve">F.4 La sensibilità probabilistica e la curva di accettabilità</w:t>
      </w:r>
    </w:p>
    <w:p>
      <w:pPr>
        <w:pStyle w:val="FirstParagraph"/>
      </w:pPr>
      <w:r>
        <w:t xml:space="preserve">Mentre l’analisi deterministica fa variare i parametri uno per volta o per scenari discreti, l’analisi di sensibilità probabilistica li fa variare tutti simultaneamente secondo le rispettive distribuzioni, e ne restituisce non un valore ma una probabilità. Il modello è stato eseguito diecimila volte, estraendo a ogni iterazione un valore casuale da ciascuna distribuzione e ricalcolando costi, esiti e beneficio netto: è la simulazione Monte Carlo, che propaga l’incertezza dei parametri sull’incertezza del risultato.</w:t>
      </w:r>
      <w:r>
        <w:rPr>
          <w:rStyle w:val="FootnoteReference"/>
        </w:rPr>
        <w:footnoteReference w:id="1645"/>
      </w:r>
      <w:r>
        <w:t xml:space="preserve"> </w:t>
      </w:r>
      <w:r>
        <w:t xml:space="preserve">Rappresentate sul piano costo-efficacia, le diecimila iterazioni formano una nube di punti concentrata nel quadrante in cui l’intervento è più efficace e meno costoso, ossia dominante; i punti residui si collocano al di sotto della retta di soglia, e rappresentano dunque scenari in cui l’intervento resta comunque costo-efficace.</w:t>
      </w:r>
      <w:r>
        <w:rPr>
          <w:rStyle w:val="FootnoteReference"/>
        </w:rPr>
        <w:footnoteReference w:id="1646"/>
      </w:r>
    </w:p>
    <w:p>
      <w:pPr>
        <w:pStyle w:val="BodyText"/>
      </w:pPr>
      <w:r>
        <w:t xml:space="preserve">La curva di accettabilità della costo-efficacia sintetizza questo risultato in funzione della soglia di disponibilità a pagare, riportando per ciascun valore di soglia la percentuale di iterazioni in cui l’intervento risulta costo-efficace. Alla soglia di riferimento di 30.000 euro per anno di vita ponderato per la qualità, la probabilità che l’intervento sia costo-efficace è dell’88,9%, e la probabilità che sia addirittura dominante — più efficace e meno costoso — dell’84,6%; il beneficio monetario netto medio sulle diecimila iterazioni è di circa 7.815 euro per paziente, con un intervallo di credibilità al 95% compreso tra circa meno 5.736 e più 21.501 euro, sicché anche l’estremo inferiore corrisponde a una perdita modesta e poco probabile, a fronte di un valore atteso ampiamente positivo.</w:t>
      </w:r>
      <w:r>
        <w:rPr>
          <w:rStyle w:val="FootnoteReference"/>
        </w:rPr>
        <w:footnoteReference w:id="1647"/>
      </w:r>
    </w:p>
    <w:p>
      <w:pPr>
        <w:pStyle w:val="BodyText"/>
      </w:pPr>
      <w:r>
        <w:t xml:space="preserve">Questo risultato richiede una precisazione che ne governa la corretta interpretazione, e che salda la presente parte alla Parte E. La probabilità di costo-efficacia è un risultato di efficienza, riferito al singolo paziente, che valorizza il guadagno di salute e l’intera traiettoria di costo del modello, ivi compresi i costi dello stato cronico evitati nel medio periodo. Esso è coerente con — e non in contraddizione con — il saldo diretto che l’analisi di impatto sul bilancio della Parte E riporta a livello aggregato, e che per la Lombardia è negativo. Le due analisi rispondono infatti a domande diverse: la costo-utilità chiede se il guadagno di salute valga il suo costo, e la risposta è affermativa con alta probabilità; l’impatto sul bilancio chiede quale sia l’effetto netto sui flussi monetari del bilancio sanitario, e la risposta, per la Lombardia, è negativa, perché la traduzione dal modello per paziente all’aggregato regionale incorpora le correzioni per il peso morto e per l’effettiva monetizzabilità dei costi evitati, e perché manca il canale della mobilità. L’efficienza dell’intervento, in sintesi, è robusta; la sua convenienza per il solo bilancio è negativa; e il forte ritorno per la collettività proviene, come già stabilito, dalle ricadute sociali.</w:t>
      </w:r>
      <w:r>
        <w:rPr>
          <w:rStyle w:val="FootnoteReference"/>
        </w:rPr>
        <w:footnoteReference w:id="1648"/>
      </w:r>
    </w:p>
    <w:tbl>
      <w:tblPr>
        <w:tblStyle w:val="Table"/>
        <w:tblW w:type="pct" w:w="489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848"/>
        <w:gridCol w:w="290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Misura dell’analisi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Risultato</w:t>
            </w:r>
          </w:p>
        </w:tc>
      </w:tr>
      <w:tr>
        <w:tc>
          <w:tcPr/>
          <w:p>
            <w:pPr>
              <w:pStyle w:val="Compact"/>
              <w:spacing w:after="40" w:before="40"/>
              <w:jc w:val="left"/>
            </w:pPr>
            <w:r>
              <w:rPr>
                <w:rFonts w:ascii="Cambria" w:hAnsi="Cambria" w:cs="Cambria" w:eastAsia="Cambria"/>
                <w:b/>
                <w:bCs/>
                <w:color w:val="1A1A1A"/>
                <w:sz w:val="18"/>
              </w:rPr>
              <w:t xml:space="preserve">Iterazioni della simulazione Monte Carlo</w:t>
            </w:r>
          </w:p>
        </w:tc>
        <w:tc>
          <w:tcPr/>
          <w:p>
            <w:pPr>
              <w:pStyle w:val="Compact"/>
              <w:spacing w:after="40" w:before="40"/>
              <w:jc w:val="left"/>
            </w:pPr>
            <w:r>
              <w:rPr>
                <w:rFonts w:ascii="Cambria" w:hAnsi="Cambria" w:cs="Cambria" w:eastAsia="Cambria"/>
                <w:color w:val="1A1A1A"/>
                <w:sz w:val="18"/>
              </w:rPr>
              <w:t xml:space="preserve">10.000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costo-efficacia (soglia 30.000 €/QALY)</w:t>
            </w:r>
          </w:p>
        </w:tc>
        <w:tc>
          <w:tcPr>
            <w:shd w:val="clear" w:color="auto" w:fill="F4F1EC"/>
          </w:tcPr>
          <w:p>
            <w:pPr>
              <w:pStyle w:val="Compact"/>
              <w:spacing w:after="40" w:before="40"/>
              <w:jc w:val="left"/>
            </w:pPr>
            <w:r>
              <w:rPr>
                <w:rFonts w:ascii="Cambria" w:hAnsi="Cambria" w:cs="Cambria" w:eastAsia="Cambria"/>
                <w:color w:val="1A1A1A"/>
                <w:sz w:val="18"/>
              </w:rPr>
              <w:t xml:space="preserve">88,9%</w:t>
            </w:r>
          </w:p>
        </w:tc>
      </w:tr>
      <w:tr>
        <w:tc>
          <w:tcPr/>
          <w:p>
            <w:pPr>
              <w:pStyle w:val="Compact"/>
              <w:spacing w:after="40" w:before="40"/>
              <w:jc w:val="left"/>
            </w:pPr>
            <w:r>
              <w:rPr>
                <w:rFonts w:ascii="Cambria" w:hAnsi="Cambria" w:cs="Cambria" w:eastAsia="Cambria"/>
                <w:b/>
                <w:bCs/>
                <w:color w:val="1A1A1A"/>
                <w:sz w:val="18"/>
              </w:rPr>
              <w:t xml:space="preserve">Probabilità di dominanza</w:t>
            </w:r>
          </w:p>
        </w:tc>
        <w:tc>
          <w:tcPr/>
          <w:p>
            <w:pPr>
              <w:pStyle w:val="Compact"/>
              <w:spacing w:after="40" w:before="40"/>
              <w:jc w:val="left"/>
            </w:pPr>
            <w:r>
              <w:rPr>
                <w:rFonts w:ascii="Cambria" w:hAnsi="Cambria" w:cs="Cambria" w:eastAsia="Cambria"/>
                <w:color w:val="1A1A1A"/>
                <w:sz w:val="18"/>
              </w:rPr>
              <w:t xml:space="preserve">84,6%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Beneficio monetario netto medio</w:t>
            </w:r>
          </w:p>
        </w:tc>
        <w:tc>
          <w:tcPr>
            <w:shd w:val="clear" w:color="auto" w:fill="F4F1EC"/>
          </w:tcPr>
          <w:p>
            <w:pPr>
              <w:pStyle w:val="Compact"/>
              <w:spacing w:after="40" w:before="40"/>
              <w:jc w:val="left"/>
            </w:pPr>
            <w:r>
              <w:rPr>
                <w:rFonts w:ascii="Cambria" w:hAnsi="Cambria" w:cs="Cambria" w:eastAsia="Cambria"/>
                <w:color w:val="1A1A1A"/>
                <w:sz w:val="18"/>
              </w:rPr>
              <w:t xml:space="preserve">~ 7.815 € per paziente</w:t>
            </w:r>
          </w:p>
        </w:tc>
      </w:tr>
      <w:tr>
        <w:tc>
          <w:tcPr/>
          <w:p>
            <w:pPr>
              <w:pStyle w:val="Compact"/>
              <w:spacing w:after="40" w:before="40"/>
              <w:jc w:val="left"/>
            </w:pPr>
            <w:r>
              <w:rPr>
                <w:rFonts w:ascii="Cambria" w:hAnsi="Cambria" w:cs="Cambria" w:eastAsia="Cambria"/>
                <w:b/>
                <w:bCs/>
                <w:color w:val="1A1A1A"/>
                <w:sz w:val="18"/>
              </w:rPr>
              <w:t xml:space="preserve">Intervallo di credibilità al 95%</w:t>
            </w:r>
          </w:p>
        </w:tc>
        <w:tc>
          <w:tcPr/>
          <w:p>
            <w:pPr>
              <w:pStyle w:val="Compact"/>
              <w:spacing w:after="40" w:before="40"/>
              <w:jc w:val="left"/>
            </w:pPr>
            <w:r>
              <w:rPr>
                <w:rFonts w:ascii="Cambria" w:hAnsi="Cambria" w:cs="Cambria" w:eastAsia="Cambria"/>
                <w:color w:val="1A1A1A"/>
                <w:sz w:val="18"/>
              </w:rPr>
              <w:t xml:space="preserve">da ~ −5.736 a ~ +21.501 €</w:t>
            </w:r>
          </w:p>
        </w:tc>
      </w:tr>
    </w:tbl>
    <w:p>
      <w:pPr>
        <w:pStyle w:val="BodyText"/>
      </w:pPr>
      <w:r>
        <w:rPr>
          <w:i/>
          <w:iCs/>
        </w:rPr>
        <w:t xml:space="preserve">Tabella F.3. Risultati dell</w:t>
      </w:r>
      <w:r>
        <w:rPr>
          <w:b/>
          <w:bCs/>
          <w:i/>
          <w:iCs/>
        </w:rPr>
        <w:t xml:space="preserve">’</w:t>
      </w:r>
      <w:r>
        <w:rPr>
          <w:i/>
          <w:iCs/>
        </w:rPr>
        <w:t xml:space="preserve">analisi di sensibilità probabilistica (per paziente, soglia 30.000 €/QALY).</w:t>
      </w:r>
    </w:p>
    <w:bookmarkEnd w:id="4276"/>
    <w:bookmarkStart w:id="746" w:name="f.5-il-valore-dellinformazione-1"/>
    <w:p>
      <w:pPr>
        <w:pStyle w:val="Heading3"/>
      </w:pPr>
      <w:r>
        <w:t xml:space="preserve">F.5 Il valore dell’informazione</w:t>
      </w:r>
    </w:p>
    <w:p>
      <w:pPr>
        <w:pStyle w:val="FirstParagraph"/>
      </w:pPr>
      <w:r>
        <w:t xml:space="preserve">L’ultimo passo della gestione dell’incertezza non riguarda il risultato, ma la decisione di acquisire nuove informazioni. Il valore atteso dell’informazione perfetta quantifica il beneficio massimo conseguibile eliminando del tutto l’incertezza dei parametri, e fornisce un limite superiore al valore di qualsiasi ricerca aggiuntiva; il valore atteso dell’informazione perfetta sui parametri scompone tale valore, indicando quali parametri sia prioritario misurare con precisione.</w:t>
      </w:r>
      <w:r>
        <w:rPr>
          <w:rStyle w:val="FootnoteReference"/>
        </w:rPr>
        <w:footnoteReference w:id="1649"/>
      </w:r>
      <w:r>
        <w:t xml:space="preserve"> </w:t>
      </w:r>
      <w:r>
        <w:t xml:space="preserve">È uno strumento di razionalità procedurale: non tutta l’incertezza vale la pena di essere ridotta, ma solo quella che, se risolta, modificherebbe la decisione o ne accrescerebbe sensibilmente il valore atteso.</w:t>
      </w:r>
    </w:p>
    <w:p>
      <w:pPr>
        <w:pStyle w:val="BodyText"/>
      </w:pPr>
      <w:r>
        <w:t xml:space="preserve">Applicato al caso lombardo, il valore dell’informazione indica una priorità netta. I parametri ancora ricostruiti per quota di popolazione — segnatamente quelli dei canali dei ricoveri, della specialistica e del pronto soccorso, essendo il canale della mobilità non applicabile in Lombardia — sono quelli su cui l’incertezza pesa di più sul saldo, e verso i quali si indirizza prioritariamente la richiesta di dati certificati alle Agenzie di Tutela della Salute e alle Aziende Socio-Sanitarie Territoriali.</w:t>
      </w:r>
      <w:r>
        <w:rPr>
          <w:rStyle w:val="FootnoteReference"/>
        </w:rPr>
        <w:footnoteReference w:id="1650"/>
      </w:r>
      <w:r>
        <w:t xml:space="preserve"> </w:t>
      </w:r>
      <w:r>
        <w:t xml:space="preserve">La riduzione dell’incertezza, peraltro, non è affidata alla sola acquisizione documentale: il dispiegamento scaglionato del servizio tra le otto Agenzie, oggetto della Parte L, è esso stesso un dispositivo di produzione di informazione, che sostituisce progressivamente le stime con misure osservate sui dati lombardi.</w:t>
      </w:r>
      <w:r>
        <w:rPr>
          <w:rStyle w:val="FootnoteReference"/>
        </w:rPr>
        <w:footnoteReference w:id="1651"/>
      </w:r>
      <w:r>
        <w:t xml:space="preserve"> </w:t>
      </w:r>
      <w:r>
        <w:t xml:space="preserve">Accertata la robustezza del valore economico, lo studio può ora affrontare la dimensione distributiva, oggetto della Parte G, e poi quelle etica, giuridica e organizzativa.</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costo-efficacia distributiva, divari territoriali e impoverimento</w:t>
      </w:r>
    </w:p>
    <w:p>
      <w:pPr>
        <w:pStyle w:val="BodyText"/>
      </w:pPr>
      <w:r>
        <w:t xml:space="preserve">Dominio 8 del modello HTA · profilo del paziente e sociale · criterio di impatto</w:t>
      </w:r>
    </w:p>
    <w:bookmarkEnd w:id="746"/>
    <w:bookmarkEnd w:id="4272"/>
    <w:bookmarkStart w:id="4277" w:name="parte-g-equità-e-impatto-distributivo-2"/>
    <w:p>
      <w:pPr>
        <w:pStyle w:val="Heading2"/>
      </w:pPr>
      <w:r>
        <w:t xml:space="preserve">Parte G — Equità e impatto distributivo</w:t>
      </w:r>
    </w:p>
    <w:p>
      <w:pPr>
        <w:pStyle w:val="FirstParagraph"/>
      </w:pPr>
      <w:r>
        <w:t xml:space="preserve">Questa parte corrisponde all’ottavo dominio della valutazione di tecnologia sanitaria, il profilo del paziente e sociale, e risponde al criterio di impatto. L’equità vi è trattata non come un’aggiunta alla valutazione economica, ma come una sua dimensione costitutiva.</w:t>
      </w:r>
      <w:r>
        <w:rPr>
          <w:rStyle w:val="FootnoteReference"/>
        </w:rPr>
        <w:footnoteReference w:id="1652"/>
      </w:r>
      <w:r>
        <w:rPr>
          <w:rStyle w:val="FootnoteReference"/>
        </w:rPr>
        <w:footnoteReference w:id="1653"/>
      </w:r>
      <w:r>
        <w:rPr>
          <w:rStyle w:val="FootnoteReference"/>
        </w:rPr>
        <w:footnoteReference w:id="1654"/>
      </w:r>
      <w:r>
        <w:rPr>
          <w:rStyle w:val="FootnoteReference"/>
        </w:rPr>
        <w:footnoteReference w:id="1655"/>
      </w:r>
      <w:r>
        <w:rPr>
          <w:rStyle w:val="FootnoteReference"/>
        </w:rPr>
        <w:footnoteReference w:id="1656"/>
      </w:r>
      <w:r>
        <w:rPr>
          <w:rStyle w:val="FootnoteReference"/>
        </w:rPr>
        <w:footnoteReference w:id="1657"/>
      </w:r>
      <w:r>
        <w:rPr>
          <w:rStyle w:val="FootnoteReference"/>
        </w:rPr>
        <w:footnoteReference w:id="1658"/>
      </w:r>
      <w:r>
        <w:rPr>
          <w:rStyle w:val="FootnoteReference"/>
        </w:rPr>
        <w:footnoteReference w:id="1659"/>
      </w:r>
      <w:r>
        <w:rPr>
          <w:rStyle w:val="FootnoteReference"/>
        </w:rPr>
        <w:footnoteReference w:id="1660"/>
      </w:r>
      <w:r>
        <w:rPr>
          <w:rStyle w:val="FootnoteReference"/>
        </w:rPr>
        <w:footnoteReference w:id="1661"/>
      </w:r>
      <w:r>
        <w:rPr>
          <w:rStyle w:val="FootnoteReference"/>
        </w:rPr>
        <w:footnoteReference w:id="1662"/>
      </w:r>
      <w:r>
        <w:rPr>
          <w:rStyle w:val="FootnoteReference"/>
        </w:rPr>
        <w:footnoteReference w:id="1663"/>
      </w:r>
      <w:r>
        <w:rPr>
          <w:rStyle w:val="FootnoteReference"/>
        </w:rPr>
        <w:footnoteReference w:id="1664"/>
      </w:r>
      <w:r>
        <w:rPr>
          <w:rStyle w:val="FootnoteReference"/>
        </w:rPr>
        <w:footnoteReference w:id="1665"/>
      </w:r>
      <w:r>
        <w:t xml:space="preserve"> </w:t>
      </w:r>
      <w:r>
        <w:t xml:space="preserve">La ragione è sostanziale: un intervento può essere efficiente in media e tuttavia ampliare le disuguaglianze, se i suoi benefici si concentrano sui gruppi già avvantaggiati; oppure può, come si argomenterà, migliorare l’esito medio e al tempo stesso ridurne la disuguaglianza. In Lombardia la dimensione dell’equità ha fisionomia particolare e in parte diversa da quella pugliese: non un gradiente di deprivazione diffuso, ma un divario territoriale tra l’area metropolitana e le aree alpine, e le liste di attesa quale principale barriera nell’accesso. La parte analizza chi beneficia dell’intervento (capitolo G.1), come costi ed esiti si distribuiscono tra i gruppi (G.2) e quale sia l’effetto sui divari territoriali e sull’impoverimento delle famiglie (G.3).</w:t>
      </w:r>
    </w:p>
    <w:bookmarkStart w:id="4278" w:name="g.1-lanalisi-di-equità-1"/>
    <w:p>
      <w:pPr>
        <w:pStyle w:val="Heading3"/>
      </w:pPr>
      <w:r>
        <w:t xml:space="preserve">G.1 L’analisi di equità</w:t>
      </w:r>
    </w:p>
    <w:p>
      <w:pPr>
        <w:pStyle w:val="FirstParagraph"/>
      </w:pPr>
      <w:r>
        <w:t xml:space="preserve">L’analisi di equità muove da un dato epidemiologico consolidato: la salute mentale segue un gradiente sociale. Le popolazioni in deprivazione presentano prevalenze sistematicamente più elevate di disturbi mentali comuni e, al tempo stesso, incontrano un accesso più difficile ai servizi. In Lombardia, tuttavia, il rischio di povertà o esclusione è contenuto in aggregato — dell’ordine del 18%, tra i più bassi d’Italia — sicché il gradiente sociale non opera come tratto diffuso, ma si concentra in alcune aree: le zone alpine interne e talune periferie urbane. Per la Lombardia, dunque, la dimensione territoriale dell’equità prevale su quella socio-economica.</w:t>
      </w:r>
      <w:r>
        <w:rPr>
          <w:rStyle w:val="FootnoteReference"/>
        </w:rPr>
        <w:footnoteReference w:id="1666"/>
      </w:r>
    </w:p>
    <w:p>
      <w:pPr>
        <w:pStyle w:val="BodyText"/>
      </w:pPr>
      <w:r>
        <w:t xml:space="preserve">Il meccanismo per cui l’intervento può ridurre le disuguaglianze, anziché ampliarle, risiede nelle sue caratteristiche di accesso. La gratuità, la prossimità e l’assenza di stigma del primo livello abbattono precisamente le barriere — economiche, geografiche e culturali — che gravano in misura maggiore sulle popolazioni svantaggiate; in Lombardia rileva in particolare l’abbattimento della barriera geografica nelle aree alpine, dove la distanza dai servizi, e non il costo, è il principale ostacolo all’accesso, e la cui mitigazione è affidata anche alla telepsicologia.</w:t>
      </w:r>
      <w:r>
        <w:rPr>
          <w:rStyle w:val="FootnoteReference"/>
        </w:rPr>
        <w:footnoteReference w:id="1667"/>
      </w:r>
      <w:r>
        <w:t xml:space="preserve"> </w:t>
      </w:r>
      <w:r>
        <w:t xml:space="preserve">Lo studio segue perciò un insieme strutturato di variabili di equità, accesso e protezione finanziaria, tra le quali assume per la Lombardia rilievo preminente la riduzione dei tempi di attesa, prima barriera nell’accesso, accanto all’accessibilità geografica nelle aree interne, all’equità di esito tra gruppi, all’accesso per le popolazioni straniere e fragili e per le persone con disabilità, e alla copertura del bisogno non soddisfatto.</w:t>
      </w:r>
      <w:r>
        <w:rPr>
          <w:rStyle w:val="FootnoteReference"/>
        </w:rPr>
        <w:footnoteReference w:id="1668"/>
      </w:r>
      <w:r>
        <w:t xml:space="preserve"> </w:t>
      </w:r>
      <w:r>
        <w:t xml:space="preserve">Queste variabili, raggruppate nella tabella seguente, traducono l’equità da principio generale a dimensione misurabile.</w:t>
      </w:r>
    </w:p>
    <w:tbl>
      <w:tblPr>
        <w:tblStyle w:val="Table"/>
        <w:tblW w:type="pct" w:w="494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84"/>
        <w:gridCol w:w="624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 equità</w:t>
            </w:r>
          </w:p>
        </w:tc>
        <w:tc>
          <w:tcPr>
            <w:shd w:val="clear" w:color="auto" w:fill="16264B"/>
          </w:tcPr>
          <w:p>
            <w:pPr>
              <w:pStyle w:val="Compact"/>
              <w:spacing w:after="40" w:before="40"/>
              <w:jc w:val="left"/>
            </w:pPr>
            <w:r>
              <w:rPr>
                <w:rFonts w:ascii="Cambria" w:hAnsi="Cambria" w:cs="Cambria" w:eastAsia="Cambria"/>
                <w:b/>
                <w:bCs/>
                <w:color w:val="FFFFFF"/>
                <w:sz w:val="18"/>
              </w:rPr>
              <w:t xml:space="preserve">Variabili seguite dallo studio</w:t>
            </w:r>
          </w:p>
        </w:tc>
      </w:tr>
      <w:tr>
        <w:tc>
          <w:tcPr/>
          <w:p>
            <w:pPr>
              <w:pStyle w:val="Compact"/>
              <w:spacing w:after="40" w:before="40"/>
              <w:jc w:val="left"/>
            </w:pPr>
            <w:r>
              <w:rPr>
                <w:rFonts w:ascii="Cambria" w:hAnsi="Cambria" w:cs="Cambria" w:eastAsia="Cambria"/>
                <w:b/>
                <w:bCs/>
                <w:color w:val="1A1A1A"/>
                <w:sz w:val="18"/>
              </w:rPr>
              <w:t xml:space="preserve">Accesso</w:t>
            </w:r>
          </w:p>
        </w:tc>
        <w:tc>
          <w:tcPr/>
          <w:p>
            <w:pPr>
              <w:pStyle w:val="Compact"/>
              <w:spacing w:after="40" w:before="40"/>
              <w:jc w:val="left"/>
            </w:pPr>
            <w:r>
              <w:rPr>
                <w:rFonts w:ascii="Cambria" w:hAnsi="Cambria" w:cs="Cambria" w:eastAsia="Cambria"/>
                <w:color w:val="1A1A1A"/>
                <w:sz w:val="18"/>
              </w:rPr>
              <w:t xml:space="preserve">Tempi di attesa (prima barriera in Lombardia); accessibilità geografica nelle aree alpine e interne; gradiente socio-economico nell’accesso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Protezione finanziaria</w:t>
            </w:r>
          </w:p>
        </w:tc>
        <w:tc>
          <w:tcPr>
            <w:shd w:val="clear" w:color="auto" w:fill="F4F1EC"/>
          </w:tcPr>
          <w:p>
            <w:pPr>
              <w:pStyle w:val="Compact"/>
              <w:spacing w:after="40" w:before="40"/>
              <w:jc w:val="left"/>
            </w:pPr>
            <w:r>
              <w:rPr>
                <w:rFonts w:ascii="Cambria" w:hAnsi="Cambria" w:cs="Cambria" w:eastAsia="Cambria"/>
                <w:color w:val="1A1A1A"/>
                <w:sz w:val="18"/>
              </w:rPr>
              <w:t xml:space="preserve">Riduzione della spesa privata diretta; dell’impoverimento connesso alle cure; delle spese catastrofiche</w:t>
            </w:r>
          </w:p>
        </w:tc>
      </w:tr>
      <w:tr>
        <w:tc>
          <w:tcPr/>
          <w:p>
            <w:pPr>
              <w:pStyle w:val="Compact"/>
              <w:spacing w:after="40" w:before="40"/>
              <w:jc w:val="left"/>
            </w:pPr>
            <w:r>
              <w:rPr>
                <w:rFonts w:ascii="Cambria" w:hAnsi="Cambria" w:cs="Cambria" w:eastAsia="Cambria"/>
                <w:b/>
                <w:bCs/>
                <w:color w:val="1A1A1A"/>
                <w:sz w:val="18"/>
              </w:rPr>
              <w:t xml:space="preserve">Gruppi vulnerabili</w:t>
            </w:r>
          </w:p>
        </w:tc>
        <w:tc>
          <w:tcPr/>
          <w:p>
            <w:pPr>
              <w:pStyle w:val="Compact"/>
              <w:spacing w:after="40" w:before="40"/>
              <w:jc w:val="left"/>
            </w:pPr>
            <w:r>
              <w:rPr>
                <w:rFonts w:ascii="Cambria" w:hAnsi="Cambria" w:cs="Cambria" w:eastAsia="Cambria"/>
                <w:color w:val="1A1A1A"/>
                <w:sz w:val="18"/>
              </w:rPr>
              <w:t xml:space="preserve">Equità di genere; popolazioni straniere e fragili; persone con disabilità; barriere culturali e linguistiche; gratuità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Territorio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divario alpino-metropolitano;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4278"/>
    <w:bookmarkStart w:id="4279" w:name="g.2-la-costo-efficacia-distributiva-1"/>
    <w:p>
      <w:pPr>
        <w:pStyle w:val="Heading3"/>
      </w:pPr>
      <w:r>
        <w:t xml:space="preserve">G.2 La costo-efficacia distributiva</w:t>
      </w:r>
    </w:p>
    <w:p>
      <w:pPr>
        <w:pStyle w:val="FirstParagraph"/>
      </w:pPr>
      <w:r>
        <w:t xml:space="preserve">L’analisi di costo-efficacia distributiva estende la valutazione economica alla dimensione dell’equità, stimando non soltanto l’effetto medio dell’intervento, ma come costi ed esiti si distribuiscano tra i sottogruppi della popolazione e quale ne sia l’effetto sulle disuguaglianze. Essa si avvale di strumenti dedicati: gli anni di vita ponderati per la qualità e per l’equità, che attribuiscono ai guadagni di salute un peso crescente con lo svantaggio; l’indice di concentrazione, che lega l’esito di salute alla posizione socio-economica; e gli indici di disuguaglianza assoluta e relativa.</w:t>
      </w:r>
      <w:r>
        <w:rPr>
          <w:rStyle w:val="FootnoteReference"/>
        </w:rPr>
        <w:footnoteReference w:id="1669"/>
      </w:r>
      <w:r>
        <w:t xml:space="preserve"> </w:t>
      </w:r>
      <w:r>
        <w:t xml:space="preserve">È il metodo che consente di affermare, in termini quantitativi e non retorici, se un intervento sia equo.</w:t>
      </w:r>
    </w:p>
    <w:p>
      <w:pPr>
        <w:pStyle w:val="BodyText"/>
      </w:pPr>
      <w:r>
        <w:t xml:space="preserve">La direzione del risultato distributivo è, per questo intervento, favorevole anche in Lombardia, sebbene per via in parte diversa. Poiché il guadagno di accesso è più ampio là dove l’accesso è oggi più difficile — le aree alpine e le popolazioni gravate dalle liste di attesa — i benefici si concentrano sui gruppi più svantaggiati nell’accesso, riducendo il gradiente territoriale negli esiti di salute mentale; l’intervento migliora dunque l’esito medio e ne comprime al tempo stesso la disuguaglianza.</w:t>
      </w:r>
      <w:r>
        <w:rPr>
          <w:rStyle w:val="FootnoteReference"/>
        </w:rPr>
        <w:footnoteReference w:id="1670"/>
      </w:r>
      <w:r>
        <w:t xml:space="preserve"> </w:t>
      </w:r>
      <w:r>
        <w:t xml:space="preserve">Su questa base è doverosa una precisazione di metodo, coerente con il rigore adottato nella parte economica. La ponderazione distributiva — l’attribuzione di pesi maggiori ai benefici che ricadono sui più svantaggiati — accrescerebbe il valore sociale stimato; lo studio adotta tuttavia, come riferimento conservativo, il rapporto beneficio-costo non ponderato già esposto nella Parte E, dell’ordine di 3,8–5,4 a uno. In Lombardia, ove la popolazione non è prevalentemente deprivata, l’effetto della ponderazione sarebbe più contenuto che nel Mezzogiorno, il che rende la scelta non ponderata tanto più prudente e difendibile.</w:t>
      </w:r>
      <w:r>
        <w:rPr>
          <w:rStyle w:val="FootnoteReference"/>
        </w:rPr>
        <w:footnoteReference w:id="1671"/>
      </w:r>
    </w:p>
    <w:p>
      <w:pPr>
        <w:pStyle w:val="BodyText"/>
      </w:pPr>
      <w:r>
        <w:t xml:space="preserve">L’equità, peraltro, non è affidata al solo calcolo, ma è incorporata nel disegno operativo del servizio. L’algoritmo di distribuzione territoriale degli incarichi non segue la sola popolazione, ma pondera ciascun distretto per l’indice di vecchiaia, per l’indice di deprivazione socioeconomica e per la prevalenza di cronicità e multimorbidità, attribuendo pesi maggiori alle aree alpine interne e alle periferie urbane più fragili.</w:t>
      </w:r>
      <w:r>
        <w:rPr>
          <w:rStyle w:val="FootnoteReference"/>
        </w:rPr>
        <w:footnoteReference w:id="1672"/>
      </w:r>
      <w:r>
        <w:t xml:space="preserve"> </w:t>
      </w:r>
      <w:r>
        <w:t xml:space="preserve">In questo modo la programmazione contrasta, anziché riprodurre, le disuguaglianze esistenti: l’equità è perseguita non solo misurando dove i benefici cadono, ma indirizzando deliberatamente le risorse dove l’accesso è più difficile.</w:t>
      </w:r>
      <w:r>
        <w:rPr>
          <w:rStyle w:val="FootnoteReference"/>
        </w:rPr>
        <w:footnoteReference w:id="1673"/>
      </w:r>
      <w:r>
        <w:t xml:space="preserve"> </w:t>
      </w:r>
      <w:r>
        <w:t xml:space="preserve">La tabella seguente riepiloga gli strumenti della misura distributiva.</w:t>
      </w:r>
    </w:p>
    <w:tbl>
      <w:tblPr>
        <w:tblStyle w:val="Table"/>
        <w:tblW w:type="pct" w:w="492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132"/>
        <w:gridCol w:w="36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della costo-efficacia distributiva</w:t>
            </w:r>
          </w:p>
        </w:tc>
        <w:tc>
          <w:tcPr>
            <w:shd w:val="clear" w:color="auto" w:fill="16264B"/>
          </w:tcPr>
          <w:p>
            <w:pPr>
              <w:pStyle w:val="Compact"/>
              <w:spacing w:after="40" w:before="40"/>
              <w:jc w:val="left"/>
            </w:pPr>
            <w:r>
              <w:rPr>
                <w:rFonts w:ascii="Cambria" w:hAnsi="Cambria" w:cs="Cambria" w:eastAsia="Cambria"/>
                <w:b/>
                <w:bCs/>
                <w:color w:val="FFFFFF"/>
                <w:sz w:val="18"/>
              </w:rPr>
              <w:t xml:space="preserve">Che cosa misura</w:t>
            </w:r>
          </w:p>
        </w:tc>
      </w:tr>
      <w:tr>
        <w:tc>
          <w:tcPr/>
          <w:p>
            <w:pPr>
              <w:pStyle w:val="Compact"/>
              <w:spacing w:after="40" w:before="40"/>
              <w:jc w:val="left"/>
            </w:pPr>
            <w:r>
              <w:rPr>
                <w:rFonts w:ascii="Cambria" w:hAnsi="Cambria" w:cs="Cambria" w:eastAsia="Cambria"/>
                <w:b/>
                <w:bCs/>
                <w:color w:val="1A1A1A"/>
                <w:sz w:val="18"/>
              </w:rPr>
              <w:t xml:space="preserve">Anni di vita ponderati per l’equità</w:t>
            </w:r>
          </w:p>
        </w:tc>
        <w:tc>
          <w:tcPr/>
          <w:p>
            <w:pPr>
              <w:pStyle w:val="Compact"/>
              <w:spacing w:after="40" w:before="40"/>
              <w:jc w:val="left"/>
            </w:pPr>
            <w:r>
              <w:rPr>
                <w:rFonts w:ascii="Cambria" w:hAnsi="Cambria" w:cs="Cambria" w:eastAsia="Cambria"/>
                <w:color w:val="1A1A1A"/>
                <w:sz w:val="18"/>
              </w:rPr>
              <w:t xml:space="preserve">Guadagni di salute con pesi per lo svantaggio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concentrazione</w:t>
            </w:r>
          </w:p>
        </w:tc>
        <w:tc>
          <w:tcPr>
            <w:shd w:val="clear" w:color="auto" w:fill="F4F1EC"/>
          </w:tcPr>
          <w:p>
            <w:pPr>
              <w:pStyle w:val="Compact"/>
              <w:spacing w:after="40" w:before="40"/>
              <w:jc w:val="left"/>
            </w:pPr>
            <w:r>
              <w:rPr>
                <w:rFonts w:ascii="Cambria" w:hAnsi="Cambria" w:cs="Cambria" w:eastAsia="Cambria"/>
                <w:color w:val="1A1A1A"/>
                <w:sz w:val="18"/>
              </w:rPr>
              <w:t xml:space="preserve">Relazione tra esito di salute e posizione socio-economica</w:t>
            </w:r>
          </w:p>
        </w:tc>
      </w:tr>
      <w:tr>
        <w:tc>
          <w:tcPr/>
          <w:p>
            <w:pPr>
              <w:pStyle w:val="Compact"/>
              <w:spacing w:after="40" w:before="40"/>
              <w:jc w:val="left"/>
            </w:pPr>
            <w:r>
              <w:rPr>
                <w:rFonts w:ascii="Cambria" w:hAnsi="Cambria" w:cs="Cambria" w:eastAsia="Cambria"/>
                <w:b/>
                <w:bCs/>
                <w:color w:val="1A1A1A"/>
                <w:sz w:val="18"/>
              </w:rPr>
              <w:t xml:space="preserve">Indici di disuguaglianza (assoluta e relativa)</w:t>
            </w:r>
          </w:p>
        </w:tc>
        <w:tc>
          <w:tcPr/>
          <w:p>
            <w:pPr>
              <w:pStyle w:val="Compact"/>
              <w:spacing w:after="40" w:before="40"/>
              <w:jc w:val="left"/>
            </w:pPr>
            <w:r>
              <w:rPr>
                <w:rFonts w:ascii="Cambria" w:hAnsi="Cambria" w:cs="Cambria" w:eastAsia="Cambria"/>
                <w:color w:val="1A1A1A"/>
                <w:sz w:val="18"/>
              </w:rPr>
              <w:t xml:space="preserve">Gradiente dell’esito lungo lo stato socio-economico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d’********impatto sull********’equità</w:t>
            </w:r>
          </w:p>
        </w:tc>
        <w:tc>
          <w:tcPr>
            <w:shd w:val="clear" w:color="auto" w:fill="F4F1EC"/>
          </w:tcPr>
          <w:p>
            <w:pPr>
              <w:pStyle w:val="Compact"/>
              <w:spacing w:after="40" w:before="40"/>
              <w:jc w:val="left"/>
            </w:pPr>
            <w:r>
              <w:rPr>
                <w:rFonts w:ascii="Cambria" w:hAnsi="Cambria" w:cs="Cambria" w:eastAsia="Cambria"/>
                <w:color w:val="1A1A1A"/>
                <w:sz w:val="18"/>
              </w:rPr>
              <w:t xml:space="preserve">Distribuzione degli effetti per gruppi vulnerabili e per area</w:t>
            </w:r>
          </w:p>
        </w:tc>
      </w:tr>
      <w:tr>
        <w:tc>
          <w:tcPr/>
          <w:p>
            <w:pPr>
              <w:pStyle w:val="Compact"/>
              <w:spacing w:after="40" w:before="40"/>
              <w:jc w:val="left"/>
            </w:pPr>
            <w:r>
              <w:rPr>
                <w:rFonts w:ascii="Cambria" w:hAnsi="Cambria" w:cs="Cambria" w:eastAsia="Cambria"/>
                <w:b/>
                <w:bCs/>
                <w:color w:val="1A1A1A"/>
                <w:sz w:val="18"/>
              </w:rPr>
              <w:t xml:space="preserve">Indice di deprivazione multipla</w:t>
            </w:r>
          </w:p>
        </w:tc>
        <w:tc>
          <w:tcPr/>
          <w:p>
            <w:pPr>
              <w:pStyle w:val="Compact"/>
              <w:spacing w:after="40" w:before="40"/>
              <w:jc w:val="left"/>
            </w:pPr>
            <w:r>
              <w:rPr>
                <w:rFonts w:ascii="Cambria" w:hAnsi="Cambria" w:cs="Cambria" w:eastAsia="Cambria"/>
                <w:color w:val="1A1A1A"/>
                <w:sz w:val="18"/>
              </w:rP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4279"/>
    <w:bookmarkStart w:id="777" w:name="X38a500961cba48f9967b7e45ad592fd61f23280"/>
    <w:p>
      <w:pPr>
        <w:pStyle w:val="Heading3"/>
      </w:pPr>
      <w:r>
        <w:t xml:space="preserve">G.3 I divari territoriali e l’impoverimento</w:t>
      </w:r>
    </w:p>
    <w:p>
      <w:pPr>
        <w:pStyle w:val="FirstParagraph"/>
      </w:pPr>
      <w:r>
        <w:t xml:space="preserve">La dimensione territoriale dell’equità è, in Lombardia, quella preminente, ma con una geografia diversa da quella pugliese. Il divario rilevante non è quello Nord-Sud, bensì quello interno tra l’area metropolitana densa e ben servita e le aree alpine di Sondrio e delle valli prealpine, a popolazione anziana e dispersa, cui si aggiungono talune periferie urbane fragili. Sono le aree in cui l’accesso ai servizi è più difficile, sicché la sola presenza fisica di un primo livello accessibile, distribuito secondo l’algoritmo allocativo e sostenuto dalla telepsicologia, costituisce già un atto di riequilibrio.</w:t>
      </w:r>
      <w:r>
        <w:rPr>
          <w:rStyle w:val="FootnoteReference"/>
        </w:rPr>
        <w:footnoteReference w:id="1674"/>
      </w:r>
      <w:r>
        <w:t xml:space="preserve"> </w:t>
      </w:r>
      <w:r>
        <w:t xml:space="preserve">A differenza della Puglia, il canale della mobilità sanitaria recuperata non opera quale leva di equità, poiché la Lombardia è regione creditrice; la principale leva distributiva è piuttosto la riduzione delle liste di attesa e il completamento della rete territoriale, che oggi penalizzano chi non può ricorrere al privato. Sul piano nazionale, peraltro, il rafforzamento della rete lombarda concorre ad attenuare la pressione che alimenta la mobilità dal Mezzogiorno, con un effetto di equità interregionale.</w:t>
      </w:r>
      <w:r>
        <w:rPr>
          <w:rStyle w:val="FootnoteReference"/>
        </w:rPr>
        <w:footnoteReference w:id="1675"/>
      </w:r>
    </w:p>
    <w:p>
      <w:pPr>
        <w:pStyle w:val="BodyText"/>
      </w:pPr>
      <w:r>
        <w:t xml:space="preserve">La seconda dimensione è la protezione finanziaria delle famiglie. Il servizio pubblico e gratuito riduce la spesa privata diretta per la psicoterapia, l’impoverimento connesso alle cure e le spese sanitarie catastrofiche, con beneficio maggiore per i redditi bassi, per i quali la psicoterapia privata — di costo non trascurabile anche in Lombardia — è spesso inaccessibile.</w:t>
      </w:r>
      <w:r>
        <w:rPr>
          <w:rStyle w:val="FootnoteReference"/>
        </w:rPr>
        <w:footnoteReference w:id="1676"/>
      </w:r>
      <w:r>
        <w:t xml:space="preserve"> </w:t>
      </w:r>
      <w:r>
        <w:t xml:space="preserve">Benché la quota di popolazione a rischio di povertà sia in Lombardia più contenuta che nel Mezzogiorno, la gratuità del primo livello resta la condizione di accesso per i nuclei a reddito basso e per le aree interne. La copertura del bisogno non soddisfatto — i circa due milioni di persone con disagio comune, metà delle quali non chiede aiuto — ha del resto un significato distributivo preciso, poiché raggiunge proprio coloro che hanno minore probabilità di accedere spontaneamente ai servizi.</w:t>
      </w:r>
      <w:r>
        <w:rPr>
          <w:rStyle w:val="FootnoteReference"/>
        </w:rPr>
        <w:footnoteReference w:id="1677"/>
      </w:r>
    </w:p>
    <w:p>
      <w:pPr>
        <w:pStyle w:val="BodyText"/>
      </w:pPr>
      <w:r>
        <w:t xml:space="preserve">L’impatto distributivo, infine, non è affermato una volta per tutte, ma sottoposto a verifica continua. Gli indicatori di equità — l’accesso per area e per livello socio-economico, il gradiente dell’esito, i tempi di attesa per area — fanno parte del sistema di indicatori sviluppato nella Parte L, e consentono di accertare nel tempo se il servizio raggiunga effettivamente le comunità alpine più distanti e i gruppi più fragili, e non soltanto le aree metropolitane già meglio servite.</w:t>
      </w:r>
      <w:r>
        <w:rPr>
          <w:rStyle w:val="FootnoteReference"/>
        </w:rPr>
        <w:footnoteReference w:id="1678"/>
      </w:r>
      <w:r>
        <w:t xml:space="preserve"> </w:t>
      </w:r>
      <w:r>
        <w:t xml:space="preserve">In tal modo l’equità cessa di essere una promessa e diventa un esito misurato, soggetto alla stessa disciplina di verifica che lo studio applica all’efficacia e all’economia. Stabilito l’impatto distributivo, le parti successive affrontano i profili etici, giuridici e organizzativi, oggetto della Parte H.</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etico, profili giuridici e costituzionali, profilo organizzativo e conformità</w:t>
      </w:r>
    </w:p>
    <w:p>
      <w:pPr>
        <w:pStyle w:val="BodyText"/>
      </w:pPr>
      <w:r>
        <w:t xml:space="preserve">Domini 6, 7 e 9 del modello HTA · profili etico, organizzativo e giuridico · criterio di coerenza</w:t>
      </w:r>
    </w:p>
    <w:bookmarkEnd w:id="777"/>
    <w:bookmarkEnd w:id="4277"/>
    <w:bookmarkStart w:id="813" w:name="X6c05ff5344abce8aacb16f9076651674c7e342d"/>
    <w:p>
      <w:pPr>
        <w:pStyle w:val="Heading2"/>
      </w:pPr>
      <w:r>
        <w:t xml:space="preserve">Parte H — Profili etico, giuridico e organizzativo</w:t>
      </w:r>
    </w:p>
    <w:p>
      <w:pPr>
        <w:pStyle w:val="FirstParagraph"/>
      </w:pPr>
      <w:r>
        <w:t xml:space="preserve">Questa parte copre tre domini della valutazione di tecnologia sanitaria — il profilo etico, il profilo organizzativo e il profilo giuridico — che completano l’esame oltre i piani già trattati. Un intervento può essere clinicamente efficace, economicamente conveniente ed equo, e tuttavia risultare inattuabile o indifendibile se non è eticamente fondato, giuridicamente solido e organizzativamente conforme.</w:t>
      </w:r>
      <w:r>
        <w:rPr>
          <w:rStyle w:val="FootnoteReference"/>
        </w:rPr>
        <w:footnoteReference w:id="1679"/>
      </w:r>
      <w:r>
        <w:rPr>
          <w:rStyle w:val="FootnoteReference"/>
        </w:rPr>
        <w:footnoteReference w:id="1680"/>
      </w:r>
      <w:r>
        <w:rPr>
          <w:rStyle w:val="FootnoteReference"/>
        </w:rPr>
        <w:footnoteReference w:id="1681"/>
      </w:r>
      <w:r>
        <w:rPr>
          <w:rStyle w:val="FootnoteReference"/>
        </w:rPr>
        <w:footnoteReference w:id="1682"/>
      </w:r>
      <w:r>
        <w:rPr>
          <w:rStyle w:val="FootnoteReference"/>
        </w:rPr>
        <w:footnoteReference w:id="1683"/>
      </w:r>
      <w:r>
        <w:rPr>
          <w:rStyle w:val="FootnoteReference"/>
        </w:rPr>
        <w:footnoteReference w:id="1684"/>
      </w:r>
      <w:r>
        <w:rPr>
          <w:rStyle w:val="FootnoteReference"/>
        </w:rPr>
        <w:footnoteReference w:id="1685"/>
      </w:r>
      <w:r>
        <w:rPr>
          <w:rStyle w:val="FootnoteReference"/>
        </w:rPr>
        <w:footnoteReference w:id="1686"/>
      </w:r>
      <w:r>
        <w:rPr>
          <w:rStyle w:val="FootnoteReference"/>
        </w:rPr>
        <w:footnoteReference w:id="1687"/>
      </w:r>
      <w:r>
        <w:rPr>
          <w:rStyle w:val="FootnoteReference"/>
        </w:rPr>
        <w:footnoteReference w:id="1688"/>
      </w:r>
      <w:r>
        <w:rPr>
          <w:rStyle w:val="FootnoteReference"/>
        </w:rPr>
        <w:footnoteReference w:id="1689"/>
      </w:r>
      <w:r>
        <w:rPr>
          <w:rStyle w:val="FootnoteReference"/>
        </w:rPr>
        <w:footnoteReference w:id="1690"/>
      </w:r>
      <w:r>
        <w:rPr>
          <w:rStyle w:val="FootnoteReference"/>
        </w:rPr>
        <w:footnoteReference w:id="1691"/>
      </w:r>
      <w:r>
        <w:rPr>
          <w:rStyle w:val="FootnoteReference"/>
        </w:rPr>
        <w:footnoteReference w:id="1692"/>
      </w:r>
      <w:r>
        <w:rPr>
          <w:rStyle w:val="FootnoteReference"/>
        </w:rPr>
        <w:footnoteReference w:id="1693"/>
      </w:r>
      <w:r>
        <w:rPr>
          <w:rStyle w:val="FootnoteReference"/>
        </w:rPr>
        <w:footnoteReference w:id="1694"/>
      </w:r>
      <w:r>
        <w:t xml:space="preserve"> </w:t>
      </w:r>
      <w:r>
        <w:t xml:space="preserve">La parte verifica queste tre condizioni: il fondamento etico dell’intervento, segnatamente l’autonomia e il consenso della persona (capitolo H.1); la sua difendibilità giuridica e costituzionale, nel quadro del riparto di competenze e dei livelli essenziali (H.2); e la sua conformità organizzativa, sul piano della deontologia, della responsabilità, dell’intelligenza artificiale e della protezione dei dati (H.3). La cornice costituzionale è nazionale, e dunque comune allo studio pugliese; muta la base giuridica regionale, e muta la posizione rispetto al vincolo di bilancio, che in Lombardia è meno stringente.</w:t>
      </w:r>
    </w:p>
    <w:bookmarkStart w:id="4280" w:name="h.1-il-profilo-etico-2"/>
    <w:p>
      <w:pPr>
        <w:pStyle w:val="Heading3"/>
      </w:pPr>
      <w:r>
        <w:t xml:space="preserve">H.1 Il profilo etico</w:t>
      </w:r>
    </w:p>
    <w:p>
      <w:pPr>
        <w:pStyle w:val="FirstParagraph"/>
      </w:pPr>
      <w:r>
        <w:t xml:space="preserve">Il dominio etico della valutazione esamina le implicazioni morali dell’intervento, e per questo servizio esse ruotano intorno a tre principi: l’equità di accesso, l’autonomia della persona e la tutela del consenso. L’equità di accesso, già trattata sul piano distributivo nella Parte G, ha qui una valenza propriamente etica: un servizio sanitario pubblico ha il dovere di raggiungere chi ne ha bisogno indipendentemente dalle condizioni economiche, geografiche e culturali, e in Lombardia ciò significa in particolare raggiungere le aree alpine più distanti e ridurre le liste di attesa. L’autonomia della persona impone che l’accesso e la permanenza nel percorso siano volontari e informati, e che la persona resti il soggetto, e mai l’oggetto, della presa in carico.</w:t>
      </w:r>
      <w:r>
        <w:rPr>
          <w:rStyle w:val="FootnoteReference"/>
        </w:rPr>
        <w:footnoteReference w:id="1695"/>
      </w:r>
    </w:p>
    <w:p>
      <w:pPr>
        <w:pStyle w:val="BodyText"/>
      </w:pPr>
      <w:r>
        <w:t xml:space="preserve">La tutela del consenso è il presidio operativo di questi principi. Il consenso è modulare — prestato distintamente per i diversi trattamenti, sicché la persona può acconsentire all’intervento psicologico ma non, ad esempio, all’uso di un determinato strumento digitale — ed è reso anche in forma digitale; e poiché nella salute mentale i dati sono ultrasensibili, la persona deve sapere con chiarezza se interagisce con un sistema di intelligenza artificiale, quali dati siano raccolti e chi possa accedervi.</w:t>
      </w:r>
      <w:r>
        <w:rPr>
          <w:rStyle w:val="FootnoteReference"/>
        </w:rPr>
        <w:footnoteReference w:id="1696"/>
      </w:r>
      <w:r>
        <w:t xml:space="preserve"> </w:t>
      </w:r>
      <w:r>
        <w:t xml:space="preserve">Alla dimensione etica appartiene anche la conduzione della valutazione stessa: gli esiti sono resi pubblici indipendentemente dal loro segno, a garanzia contro la distorsione da selezione dei risultati favorevoli, e l’intero impianto è sottoposto all’approvazione del comitato etico territorialmente competente.</w:t>
      </w:r>
      <w:r>
        <w:rPr>
          <w:rStyle w:val="FootnoteReference"/>
        </w:rPr>
        <w:footnoteReference w:id="1697"/>
      </w:r>
      <w:r>
        <w:t xml:space="preserve"> </w:t>
      </w:r>
      <w:r>
        <w:t xml:space="preserve">Vi è, infine, la tutela rafforzata dei minori e delle persone vulnerabili: gli strumenti di esito sono impiegati nei soli punteggi complessivi, e le situazioni di rischio sono indirizzate ai servizi competenti, in raccordo con il medico curante, senza che ne siano registrate le modalità — garanzia insieme di sicurezza e di dignità.</w:t>
      </w:r>
      <w:r>
        <w:rPr>
          <w:rStyle w:val="FootnoteReference"/>
        </w:rPr>
        <w:footnoteReference w:id="1698"/>
      </w:r>
    </w:p>
    <w:bookmarkEnd w:id="4280"/>
    <w:bookmarkStart w:id="806" w:name="X9ee6cd2692d9338255c6ff34159f537512c799d"/>
    <w:p>
      <w:pPr>
        <w:pStyle w:val="Heading3"/>
      </w:pPr>
      <w:r>
        <w:t xml:space="preserve">H.2 I profili giuridici e costituzionali</w:t>
      </w:r>
    </w:p>
    <w:p>
      <w:pPr>
        <w:pStyle w:val="FirstParagraph"/>
      </w:pPr>
      <w:r>
        <w:t xml:space="preserve">La difendibilità giuridica dell’intervento è una condizione, non un ornamento, tanto più per una riforma che incide sull’organizzazione sanitaria. Il fondamento è costituzionale: l’articolo 32 della Costituzione e la legge istitutiva del Servizio sanitario nazionale configurano la salute come diritto fondamentale dell’individuo e interesse della collettività, e il servizio sui principi di universalità, eguaglianza ed equità.</w:t>
      </w:r>
      <w:r>
        <w:rPr>
          <w:rStyle w:val="FootnoteReference"/>
        </w:rPr>
        <w:footnoteReference w:id="1699"/>
      </w:r>
      <w:r>
        <w:t xml:space="preserve"> </w:t>
      </w:r>
      <w:r>
        <w:t xml:space="preserve">È entro questa cornice che si colloca la riforma, la quale dà attuazione concreta a quel diritto per una dimensione — la salute mentale — storicamente sotto-tutelata nelle cure primarie.</w:t>
      </w:r>
    </w:p>
    <w:p>
      <w:pPr>
        <w:pStyle w:val="BodyText"/>
      </w:pPr>
      <w:r>
        <w:t xml:space="preserve">Sul piano del riparto di competenze, la materia è governata dall’articolo 117 della Costituzione. La tutela della salute è competenza concorrente, nella quale allo Stato spetta la determinazione dei principi fondamentali e alle Regioni la disciplina di dettaglio e l’organizzazione del servizio, mentre l’ordinamento delle professioni è riservato allo Stato;</w:t>
      </w:r>
      <w:r>
        <w:rPr>
          <w:rStyle w:val="FootnoteReference"/>
        </w:rPr>
        <w:footnoteReference w:id="1700"/>
      </w:r>
      <w:r>
        <w:t xml:space="preserve"> </w:t>
      </w:r>
      <w:r>
        <w:t xml:space="preserve">la determinazione dei livelli essenziali delle prestazioni è invece competenza esclusiva statale, ed è la leva attraverso cui un’eventuale legge dello Stato potrebbe ricondurre la psicologia di base tra le prestazioni garantite in modo uniforme su tutto il territorio.</w:t>
      </w:r>
      <w:r>
        <w:rPr>
          <w:rStyle w:val="FootnoteReference"/>
        </w:rPr>
        <w:footnoteReference w:id="1701"/>
      </w:r>
      <w:r>
        <w:t xml:space="preserve"> </w:t>
      </w:r>
      <w:r>
        <w:t xml:space="preserve">La legge regionale lombarda opera legittimamente entro la competenza concorrente, sul piano organizzativo: la Corte costituzionale, con la sentenza n. 241 del 2021, ha riconosciuto legittimo il modello regionale del servizio di psicologia di base, in quanto organizzazione del servizio che si avvale di professionisti già esistenti.</w:t>
      </w:r>
      <w:r>
        <w:rPr>
          <w:rStyle w:val="FootnoteReference"/>
        </w:rPr>
        <w:footnoteReference w:id="1702"/>
      </w:r>
      <w:r>
        <w:t xml:space="preserve"> </w:t>
      </w:r>
      <w:r>
        <w:t xml:space="preserve">È un precedente di rilievo diretto per la Lombardia, la cui legge n. 22 del 2021 prevede già la funzione psicologica nelle Case della Comunità: la decisione non verte sul prevederla, ma sullo strutturarla.</w:t>
      </w:r>
      <w:r>
        <w:rPr>
          <w:rStyle w:val="FootnoteReference"/>
        </w:rPr>
        <w:footnoteReference w:id="1703"/>
      </w:r>
    </w:p>
    <w:p>
      <w:pPr>
        <w:pStyle w:val="BodyText"/>
      </w:pPr>
      <w:r>
        <w:t xml:space="preserve">Un vincolo specifico, già incontrato nella valutazione economica, ha qui la sua collocazione propria, e per la Lombardia un esito favorevole. La Corte costituzionale, con la sentenza n. 6 del 2026, ha ribadito che le Regioni in piano di rientro non possono utilizzare i fondi del proprio Servizio sanitario per finalità diverse dalla garanzia dei livelli essenziali. La Lombardia, con conti in equilibrio e non sottoposta a piano di rientro, non è soggetta a tale vincolo: a differenza della Puglia, la riforma non deve dimostrare la propria ammissibilità a fronte di un vincolo di rientro, ma soltanto rispettare il principio generale di destinazione delle risorse ai livelli essenziali, che essa pienamente soddisfa intercettando un bisogno largamente inevaso.</w:t>
      </w:r>
      <w:r>
        <w:rPr>
          <w:rStyle w:val="FootnoteReference"/>
        </w:rPr>
        <w:footnoteReference w:id="1704"/>
      </w:r>
      <w:r>
        <w:t xml:space="preserve"> </w:t>
      </w:r>
      <w:r>
        <w:t xml:space="preserve">La tabella seguente riepiloga i riferimenti giuridici essenziali.</w:t>
      </w:r>
    </w:p>
    <w:tbl>
      <w:tblPr>
        <w:tblStyle w:val="Table"/>
        <w:tblW w:type="pct" w:w="493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690"/>
        <w:gridCol w:w="512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Riferimento giuridico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rilevante</w:t>
            </w:r>
          </w:p>
        </w:tc>
      </w:tr>
      <w:tr>
        <w:tc>
          <w:tcPr/>
          <w:p>
            <w:pPr>
              <w:pStyle w:val="Compact"/>
              <w:spacing w:after="40" w:before="40"/>
              <w:jc w:val="left"/>
            </w:pPr>
            <w:r>
              <w:rPr>
                <w:rFonts w:ascii="Cambria" w:hAnsi="Cambria" w:cs="Cambria" w:eastAsia="Cambria"/>
                <w:b/>
                <w:bCs/>
                <w:color w:val="1A1A1A"/>
                <w:sz w:val="18"/>
              </w:rPr>
              <w:t xml:space="preserve">Articolo 32 Cost. e legge n. 833/1978</w:t>
            </w:r>
          </w:p>
        </w:tc>
        <w:tc>
          <w:tcPr/>
          <w:p>
            <w:pPr>
              <w:pStyle w:val="Compact"/>
              <w:spacing w:after="40" w:before="40"/>
              <w:jc w:val="left"/>
            </w:pPr>
            <w:r>
              <w:rPr>
                <w:rFonts w:ascii="Cambria" w:hAnsi="Cambria" w:cs="Cambria" w:eastAsia="Cambria"/>
                <w:color w:val="1A1A1A"/>
                <w:sz w:val="18"/>
              </w:rPr>
              <w:t xml:space="preserve">Salute come diritto; Servizio sanitario universale, eguale ed equo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Articolo 117, terzo comma, Cost.</w:t>
            </w:r>
          </w:p>
        </w:tc>
        <w:tc>
          <w:tcPr>
            <w:shd w:val="clear" w:color="auto" w:fill="F4F1EC"/>
          </w:tcPr>
          <w:p>
            <w:pPr>
              <w:pStyle w:val="Compact"/>
              <w:spacing w:after="40" w:before="40"/>
              <w:jc w:val="left"/>
            </w:pPr>
            <w:r>
              <w:rPr>
                <w:rFonts w:ascii="Cambria" w:hAnsi="Cambria" w:cs="Cambria" w:eastAsia="Cambria"/>
                <w:color w:val="1A1A1A"/>
                <w:sz w:val="18"/>
              </w:rPr>
              <w:t xml:space="preserve">Tutela della salute: competenza concorrente (principi allo Stato, organizzazione alle Regioni)</w:t>
            </w:r>
          </w:p>
        </w:tc>
      </w:tr>
      <w:tr>
        <w:tc>
          <w:tcPr/>
          <w:p>
            <w:pPr>
              <w:pStyle w:val="Compact"/>
              <w:spacing w:after="40" w:before="40"/>
              <w:jc w:val="left"/>
            </w:pPr>
            <w:r>
              <w:rPr>
                <w:rFonts w:ascii="Cambria" w:hAnsi="Cambria" w:cs="Cambria" w:eastAsia="Cambria"/>
                <w:b/>
                <w:bCs/>
                <w:color w:val="1A1A1A"/>
                <w:sz w:val="18"/>
              </w:rPr>
              <w:t xml:space="preserve">Articolo 117, secondo comma, lettera m), Cost.</w:t>
            </w:r>
          </w:p>
        </w:tc>
        <w:tc>
          <w:tcPr/>
          <w:p>
            <w:pPr>
              <w:pStyle w:val="Compact"/>
              <w:spacing w:after="40" w:before="40"/>
              <w:jc w:val="left"/>
            </w:pPr>
            <w:r>
              <w:rPr>
                <w:rFonts w:ascii="Cambria" w:hAnsi="Cambria" w:cs="Cambria" w:eastAsia="Cambria"/>
                <w:color w:val="1A1A1A"/>
                <w:sz w:val="18"/>
              </w:rPr>
              <w:t xml:space="preserve">Livelli essenziali delle prestazioni: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Legge regionale n. 22 del 2021</w:t>
            </w:r>
          </w:p>
        </w:tc>
        <w:tc>
          <w:tcPr>
            <w:shd w:val="clear" w:color="auto" w:fill="F4F1EC"/>
          </w:tcPr>
          <w:p>
            <w:pPr>
              <w:pStyle w:val="Compact"/>
              <w:spacing w:after="40" w:before="40"/>
              <w:jc w:val="left"/>
            </w:pPr>
            <w:r>
              <w:rPr>
                <w:rFonts w:ascii="Cambria" w:hAnsi="Cambria" w:cs="Cambria" w:eastAsia="Cambria"/>
                <w:color w:val="1A1A1A"/>
                <w:sz w:val="18"/>
              </w:rPr>
              <w:t xml:space="preserve">Base regionale: psicologi nelle Case della Comunità; IA nelle Centrali Operative Territoriali</w:t>
            </w:r>
          </w:p>
        </w:tc>
      </w:tr>
      <w:tr>
        <w:tc>
          <w:tcPr/>
          <w:p>
            <w:pPr>
              <w:pStyle w:val="Compact"/>
              <w:spacing w:after="40" w:before="40"/>
              <w:jc w:val="left"/>
            </w:pPr>
            <w:r>
              <w:rPr>
                <w:rFonts w:ascii="Cambria" w:hAnsi="Cambria" w:cs="Cambria" w:eastAsia="Cambria"/>
                <w:b/>
                <w:bCs/>
                <w:color w:val="1A1A1A"/>
                <w:sz w:val="18"/>
              </w:rPr>
              <w:t xml:space="preserve">Corte costituzionale, sentenza n. 241/2021</w:t>
            </w:r>
          </w:p>
        </w:tc>
        <w:tc>
          <w:tcPr/>
          <w:p>
            <w:pPr>
              <w:pStyle w:val="Compact"/>
              <w:spacing w:after="40" w:before="40"/>
              <w:jc w:val="left"/>
            </w:pPr>
            <w:r>
              <w:rPr>
                <w:rFonts w:ascii="Cambria" w:hAnsi="Cambria" w:cs="Cambria" w:eastAsia="Cambria"/>
                <w:color w:val="1A1A1A"/>
                <w:sz w:val="18"/>
              </w:rPr>
              <w:t xml:space="preserve">Modello regionale di psicologia di base riconosciuto legittimo (precedente)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Corte costituzionale, sentenza n. 6/2026</w:t>
            </w:r>
          </w:p>
        </w:tc>
        <w:tc>
          <w:tcPr>
            <w:shd w:val="clear" w:color="auto" w:fill="F4F1EC"/>
          </w:tcPr>
          <w:p>
            <w:pPr>
              <w:pStyle w:val="Compact"/>
              <w:spacing w:after="40" w:before="40"/>
              <w:jc w:val="left"/>
            </w:pPr>
            <w:r>
              <w:rPr>
                <w:rFonts w:ascii="Cambria" w:hAnsi="Cambria" w:cs="Cambria" w:eastAsia="Cambria"/>
                <w:color w:val="1A1A1A"/>
                <w:sz w:val="18"/>
              </w:rPr>
              <w:t xml:space="preserve">Vincolo dei fondi ai livelli essenziali per le regioni in rientro (non applicabile alla Lombardia)</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806"/>
    <w:bookmarkStart w:id="4281" w:name="Xf81753f3ab384b334766635bd3975a4ef9fc9a7"/>
    <w:p>
      <w:pPr>
        <w:pStyle w:val="Heading3"/>
      </w:pPr>
      <w:r>
        <w:t xml:space="preserve">H.3 Il profilo organizzativo e la conformità</w:t>
      </w:r>
    </w:p>
    <w:p>
      <w:pPr>
        <w:pStyle w:val="FirstParagraph"/>
      </w:pPr>
      <w:r>
        <w:t xml:space="preserve">Il profilo organizzativo verifica che l’intervento sia conforme alle norme che ne governano l’esercizio, in particolare sui versanti della deontologia, della responsabilità professionale, dell’intelligenza artificiale e della protezione dei dati. Sul piano deontologico, il servizio opera nel rispetto delle norme della professione, sotto la vigilanza dell’Ordine degli Psicologi della Lombardia, che concorre alla governance e alla formazione.</w:t>
      </w:r>
      <w:r>
        <w:rPr>
          <w:rStyle w:val="FootnoteReference"/>
        </w:rPr>
        <w:footnoteReference w:id="1705"/>
      </w:r>
      <w:r>
        <w:t xml:space="preserve"> </w:t>
      </w:r>
      <w:r>
        <w:t xml:space="preserve">Sul piano della responsabilità, un punto è dirimente per la fattibilità della componente tecnologica: l’impiego dell’intelligenza artificiale non altera le responsabilità professionali. Il medico di medicina generale resta garante della diagnosi e della terapia medica, lo psicologo dell’intervento psicologico, e l’IA è assimilata a un dispositivo di supporto, non a una figura che compie atti; ciò evita ogni conflitto con gli accordi convenzionali, poiché non si introduce una nuova figura professionale, ma uno strumento che assiste quelle esistenti.</w:t>
      </w:r>
      <w:r>
        <w:rPr>
          <w:rStyle w:val="FootnoteReference"/>
        </w:rPr>
        <w:footnoteReference w:id="1706"/>
      </w:r>
    </w:p>
    <w:p>
      <w:pPr>
        <w:pStyle w:val="BodyText"/>
      </w:pPr>
      <w:r>
        <w:t xml:space="preserve">La conformità degli strumenti di intelligenza artificiale è retta da un quadro normativo articolato. Il regolamento europeo sull’IA classifica come ad alto rischio i sistemi impiegati nei dispositivi medici; il regolamento sui dispositivi medici impone la marcatura CE, sicché un sistema di triage o un dispositivo terapeutico digitale sono assimilati a software clinici certificati di classe appropriata; il regolamento sulla protezione dei dati ne disciplina il trattamento. Su questa base si innestano i presidi già enunciati nella Parte C: la supervisione umana costante, la validazione periodica degli algoritmi, il monitoraggio dei bias, la trasparenza e la spiegabilità, e il divieto di discriminazione algoritmica.</w:t>
      </w:r>
      <w:r>
        <w:rPr>
          <w:rStyle w:val="FootnoteReference"/>
        </w:rPr>
        <w:footnoteReference w:id="1707"/>
      </w:r>
      <w:r>
        <w:t xml:space="preserve"> </w:t>
      </w:r>
      <w:r>
        <w:t xml:space="preserve">In Lombardia tale conformità si innesta sulla previsione, già contenuta nella legge regionale, di strumenti di intelligenza artificiale nelle Centrali Operative Territoriali, ed è auspicata l’istituzione di un comitato etico-scientifico per l’IA in sanità, con le Agenzie di Tutela della Salute, gli Istituti di Ricovero e Cura a Carattere Scientifico e le università.</w:t>
      </w:r>
    </w:p>
    <w:p>
      <w:pPr>
        <w:pStyle w:val="BodyText"/>
      </w:pPr>
      <w:r>
        <w:t xml:space="preserve">Due profili completano il quadro della conformità, e collegano questa parte alle precedenti. Il primo è l’equità digitale: per non generare nuove disuguaglianze, sono previsti canali tradizionali paralleli per chi non dispone di strumenti digitali — segnatamente le persone anziane delle aree alpine — e il supporto multilingue per le popolazioni straniere, ferma restando la garanzia dell’alternativa in presenza.</w:t>
      </w:r>
      <w:r>
        <w:rPr>
          <w:rStyle w:val="FootnoteReference"/>
        </w:rPr>
        <w:footnoteReference w:id="1708"/>
      </w:r>
      <w:r>
        <w:t xml:space="preserve"> </w:t>
      </w:r>
      <w:r>
        <w:t xml:space="preserve">Il secondo è la protezione dei dati, che in salute mentale richiede il massimo grado di tutela: misure di sicurezza robuste, quali la crittografia e la pseudonimizzazione per le analisi, il consenso modulare anche in forma digitale, la collaborazione con l’Autorità garante e l’acquisizione di software dotati di marcatura adeguata secondo le normali procedure.</w:t>
      </w:r>
      <w:r>
        <w:rPr>
          <w:rStyle w:val="FootnoteReference"/>
        </w:rPr>
        <w:footnoteReference w:id="1709"/>
      </w:r>
      <w:r>
        <w:t xml:space="preserve"> </w:t>
      </w:r>
      <w:r>
        <w:t xml:space="preserve">La tabella seguente riepiloga il quadro della conformità organizzativa. Verificati i profili etico, giuridico e organizzativo, lo studio affronta l’attuazione, oggetto della Parte I.</w:t>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95"/>
        <w:gridCol w:w="2750"/>
        <w:gridCol w:w="346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Garanzia</w:t>
            </w:r>
          </w:p>
        </w:tc>
      </w:tr>
      <w:tr>
        <w:tc>
          <w:tcPr/>
          <w:p>
            <w:pPr>
              <w:pStyle w:val="Compact"/>
              <w:spacing w:after="40" w:before="40"/>
              <w:jc w:val="left"/>
            </w:pPr>
            <w:r>
              <w:rPr>
                <w:rFonts w:ascii="Cambria" w:hAnsi="Cambria" w:cs="Cambria" w:eastAsia="Cambria"/>
                <w:b/>
                <w:bCs/>
                <w:color w:val="1A1A1A"/>
                <w:sz w:val="18"/>
              </w:rPr>
              <w:t xml:space="preserve">Deontologia</w:t>
            </w:r>
          </w:p>
        </w:tc>
        <w:tc>
          <w:tcPr/>
          <w:p>
            <w:pPr>
              <w:pStyle w:val="Compact"/>
              <w:spacing w:after="40" w:before="40"/>
              <w:jc w:val="left"/>
            </w:pPr>
            <w:r>
              <w:rPr>
                <w:rFonts w:ascii="Cambria" w:hAnsi="Cambria" w:cs="Cambria" w:eastAsia="Cambria"/>
                <w:color w:val="1A1A1A"/>
                <w:sz w:val="18"/>
              </w:rPr>
              <w:t xml:space="preserve">Ordine degli Psicologi della Lombardia</w:t>
            </w:r>
          </w:p>
        </w:tc>
        <w:tc>
          <w:tcPr/>
          <w:p>
            <w:pPr>
              <w:pStyle w:val="Compact"/>
              <w:spacing w:after="40" w:before="40"/>
              <w:jc w:val="left"/>
            </w:pPr>
            <w:r>
              <w:rPr>
                <w:rFonts w:ascii="Cambria" w:hAnsi="Cambria" w:cs="Cambria" w:eastAsia="Cambria"/>
                <w:color w:val="1A1A1A"/>
                <w:sz w:val="18"/>
              </w:rPr>
              <w:t xml:space="preserve">Rispetto delle norme deontologiche; concorso alla governance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Responsabilità clinica</w:t>
            </w:r>
          </w:p>
        </w:tc>
        <w:tc>
          <w:tcPr>
            <w:shd w:val="clear" w:color="auto" w:fill="F4F1EC"/>
          </w:tcPr>
          <w:p>
            <w:pPr>
              <w:pStyle w:val="Compact"/>
              <w:spacing w:after="40" w:before="40"/>
              <w:jc w:val="left"/>
            </w:pPr>
            <w:r>
              <w:rPr>
                <w:rFonts w:ascii="Cambria" w:hAnsi="Cambria" w:cs="Cambria" w:eastAsia="Cambria"/>
                <w:color w:val="1A1A1A"/>
                <w:sz w:val="18"/>
              </w:rPr>
              <w:t xml:space="preserve">Medico e psicologo</w:t>
            </w:r>
          </w:p>
        </w:tc>
        <w:tc>
          <w:tcPr>
            <w:shd w:val="clear" w:color="auto" w:fill="F4F1EC"/>
          </w:tcPr>
          <w:p>
            <w:pPr>
              <w:pStyle w:val="Compact"/>
              <w:spacing w:after="40" w:before="40"/>
              <w:jc w:val="left"/>
            </w:pPr>
            <w:r>
              <w:rPr>
                <w:rFonts w:ascii="Cambria" w:hAnsi="Cambria" w:cs="Cambria" w:eastAsia="Cambria"/>
                <w:color w:val="1A1A1A"/>
                <w:sz w:val="18"/>
              </w:rPr>
              <w:t xml:space="preserve">Ruoli invariati; l’IA è strumento di supporto</w:t>
            </w:r>
          </w:p>
        </w:tc>
      </w:tr>
      <w:tr>
        <w:tc>
          <w:tcPr/>
          <w:p>
            <w:pPr>
              <w:pStyle w:val="Compact"/>
              <w:spacing w:after="40" w:before="40"/>
              <w:jc w:val="left"/>
            </w:pPr>
            <w:r>
              <w:rPr>
                <w:rFonts w:ascii="Cambria" w:hAnsi="Cambria" w:cs="Cambria" w:eastAsia="Cambria"/>
                <w:b/>
                <w:bCs/>
                <w:color w:val="1A1A1A"/>
                <w:sz w:val="18"/>
              </w:rPr>
              <w:t xml:space="preserve">IA e dispositivi</w:t>
            </w:r>
          </w:p>
        </w:tc>
        <w:tc>
          <w:tcPr/>
          <w:p>
            <w:pPr>
              <w:pStyle w:val="Compact"/>
              <w:spacing w:after="40" w:before="40"/>
              <w:jc w:val="left"/>
            </w:pPr>
            <w:r>
              <w:rPr>
                <w:rFonts w:ascii="Cambria" w:hAnsi="Cambria" w:cs="Cambria" w:eastAsia="Cambria"/>
                <w:color w:val="1A1A1A"/>
                <w:sz w:val="18"/>
              </w:rPr>
              <w:t xml:space="preserve">AI Act, dispositivi medici, protezione dei dati</w:t>
            </w:r>
          </w:p>
        </w:tc>
        <w:tc>
          <w:tcPr/>
          <w:p>
            <w:pPr>
              <w:pStyle w:val="Compact"/>
              <w:spacing w:after="40" w:before="40"/>
              <w:jc w:val="left"/>
            </w:pPr>
            <w:r>
              <w:rPr>
                <w:rFonts w:ascii="Cambria" w:hAnsi="Cambria" w:cs="Cambria" w:eastAsia="Cambria"/>
                <w:color w:val="1A1A1A"/>
                <w:sz w:val="18"/>
              </w:rPr>
              <w:t xml:space="preserve">Marcatura CE; supervisione umana; validazione periodica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Governance dell’IA</w:t>
            </w:r>
          </w:p>
        </w:tc>
        <w:tc>
          <w:tcPr>
            <w:shd w:val="clear" w:color="auto" w:fill="F4F1EC"/>
          </w:tcPr>
          <w:p>
            <w:pPr>
              <w:pStyle w:val="Compact"/>
              <w:spacing w:after="40" w:before="40"/>
              <w:jc w:val="left"/>
            </w:pPr>
            <w:r>
              <w:rPr>
                <w:rFonts w:ascii="Cambria" w:hAnsi="Cambria" w:cs="Cambria" w:eastAsia="Cambria"/>
                <w:color w:val="1A1A1A"/>
                <w:sz w:val="18"/>
              </w:rPr>
              <w:t xml:space="preserve">Comitato etico-scientifico</w:t>
            </w:r>
          </w:p>
        </w:tc>
        <w:tc>
          <w:tcPr>
            <w:shd w:val="clear" w:color="auto" w:fill="F4F1EC"/>
          </w:tcPr>
          <w:p>
            <w:pPr>
              <w:pStyle w:val="Compact"/>
              <w:spacing w:after="40" w:before="40"/>
              <w:jc w:val="left"/>
            </w:pPr>
            <w:r>
              <w:rPr>
                <w:rFonts w:ascii="Cambria" w:hAnsi="Cambria" w:cs="Cambria" w:eastAsia="Cambria"/>
                <w:color w:val="1A1A1A"/>
                <w:sz w:val="18"/>
              </w:rPr>
              <w:t xml:space="preserve">Monitoraggio dei bias; trasparenza; non discriminazione</w:t>
            </w:r>
          </w:p>
        </w:tc>
      </w:tr>
      <w:tr>
        <w:tc>
          <w:tcPr/>
          <w:p>
            <w:pPr>
              <w:pStyle w:val="Compact"/>
              <w:spacing w:after="40" w:before="40"/>
              <w:jc w:val="left"/>
            </w:pPr>
            <w:r>
              <w:rPr>
                <w:rFonts w:ascii="Cambria" w:hAnsi="Cambria" w:cs="Cambria" w:eastAsia="Cambria"/>
                <w:b/>
                <w:bCs/>
                <w:color w:val="1A1A1A"/>
                <w:sz w:val="18"/>
              </w:rPr>
              <w:t xml:space="preserve">Equità digitale</w:t>
            </w:r>
          </w:p>
        </w:tc>
        <w:tc>
          <w:tcPr/>
          <w:p>
            <w:pPr>
              <w:pStyle w:val="Compact"/>
              <w:spacing w:after="40" w:before="40"/>
              <w:jc w:val="left"/>
            </w:pPr>
            <w:r>
              <w:rPr>
                <w:rFonts w:ascii="Cambria" w:hAnsi="Cambria" w:cs="Cambria" w:eastAsia="Cambria"/>
                <w:color w:val="1A1A1A"/>
                <w:sz w:val="18"/>
              </w:rPr>
              <w:t xml:space="preserve">Canali paralleli; supporto multilingue</w:t>
            </w:r>
          </w:p>
        </w:tc>
        <w:tc>
          <w:tcPr/>
          <w:p>
            <w:pPr>
              <w:pStyle w:val="Compact"/>
              <w:spacing w:after="40" w:before="40"/>
              <w:jc w:val="left"/>
            </w:pPr>
            <w:r>
              <w:rPr>
                <w:rFonts w:ascii="Cambria" w:hAnsi="Cambria" w:cs="Cambria" w:eastAsia="Cambria"/>
                <w:color w:val="1A1A1A"/>
                <w:sz w:val="18"/>
              </w:rPr>
              <w:t xml:space="preserve">Alternativa in presenza sempre garantita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Protezione dei dati</w:t>
            </w:r>
          </w:p>
        </w:tc>
        <w:tc>
          <w:tcPr>
            <w:shd w:val="clear" w:color="auto" w:fill="F4F1EC"/>
          </w:tcPr>
          <w:p>
            <w:pPr>
              <w:pStyle w:val="Compact"/>
              <w:spacing w:after="40" w:before="40"/>
              <w:jc w:val="left"/>
            </w:pPr>
            <w:r>
              <w:rPr>
                <w:rFonts w:ascii="Cambria" w:hAnsi="Cambria" w:cs="Cambria" w:eastAsia="Cambria"/>
                <w:color w:val="1A1A1A"/>
                <w:sz w:val="18"/>
              </w:rPr>
              <w:t xml:space="preserve">Crittografia; pseudonimizzazione</w:t>
            </w:r>
          </w:p>
        </w:tc>
        <w:tc>
          <w:tcPr>
            <w:shd w:val="clear" w:color="auto" w:fill="F4F1EC"/>
          </w:tcPr>
          <w:p>
            <w:pPr>
              <w:pStyle w:val="Compact"/>
              <w:spacing w:after="40" w:before="40"/>
              <w:jc w:val="left"/>
            </w:pPr>
            <w:r>
              <w:rPr>
                <w:rFonts w:ascii="Cambria" w:hAnsi="Cambria" w:cs="Cambria" w:eastAsia="Cambria"/>
                <w:color w:val="1A1A1A"/>
                <w:sz w:val="18"/>
              </w:rPr>
              <w:t xml:space="preserve">Consenso modulare; collaborazione con il Garante</w:t>
            </w:r>
          </w:p>
        </w:tc>
      </w:tr>
    </w:tbl>
    <w:p>
      <w:pPr>
        <w:pStyle w:val="BodyText"/>
      </w:pPr>
      <w:r>
        <w:rPr>
          <w:i/>
          <w:iCs/>
        </w:rPr>
        <w:t xml:space="preserve">Tabella H.2. Il quadro della conformità organizzativa e di governance dell</w:t>
      </w:r>
      <w:r>
        <w:rPr>
          <w:b/>
          <w:bCs/>
          <w:i/>
          <w:iCs/>
        </w:rPr>
        <w:t xml:space="preserve">’</w:t>
      </w:r>
      <w:r>
        <w:rPr>
          <w:i/>
          <w:iCs/>
        </w:rPr>
        <w:t xml:space="preserve">intervento.</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Scienza dell</w:t>
      </w:r>
      <w:r>
        <w:rPr>
          <w:b/>
          <w:bCs/>
          <w:i/>
          <w:iCs/>
        </w:rPr>
        <w:t xml:space="preserve">’</w:t>
      </w:r>
      <w:r>
        <w:rPr>
          <w:i/>
          <w:iCs/>
        </w:rPr>
        <w:t xml:space="preserve">implementazione, disegno del dispiegamento, caso commerciale e gestionale, sostenibilità</w:t>
      </w:r>
    </w:p>
    <w:p>
      <w:pPr>
        <w:pStyle w:val="BodyText"/>
      </w:pPr>
      <w:r>
        <w:t xml:space="preserve">Dominio 7 del modello HTA · casi commerciale e gestionale · criterio di sostenibilità</w:t>
      </w:r>
    </w:p>
    <w:bookmarkEnd w:id="4281"/>
    <w:bookmarkEnd w:id="813"/>
    <w:bookmarkStart w:id="4282" w:name="X8ad126af0d91ab392dc556ce074f4f6f1793b5f"/>
    <w:p>
      <w:pPr>
        <w:pStyle w:val="Heading2"/>
      </w:pPr>
      <w:r>
        <w:t xml:space="preserve">Parte I — Attuazione, fattibilità e sostenibilità</w:t>
      </w:r>
    </w:p>
    <w:p>
      <w:pPr>
        <w:pStyle w:val="FirstParagraph"/>
      </w:pPr>
      <w:r>
        <w:t xml:space="preserve">Questa parte copre il settimo dominio della valutazione di tecnologia sanitaria, il profilo organizzativo, e fornisce il contenuto del caso commerciale e del caso gestionale del Five Case Model, rispondendo al criterio di sostenibilità. Accertato nelle parti precedenti che l’intervento è valido — efficace, conveniente, equo, fondato e conforme — resta da stabilire se possa essere effettivamente attuato.</w:t>
      </w:r>
      <w:r>
        <w:rPr>
          <w:rStyle w:val="FootnoteReference"/>
        </w:rPr>
        <w:footnoteReference w:id="1710"/>
      </w:r>
      <w:r>
        <w:rPr>
          <w:rStyle w:val="FootnoteReference"/>
        </w:rPr>
        <w:footnoteReference w:id="1711"/>
      </w:r>
      <w:r>
        <w:rPr>
          <w:rStyle w:val="FootnoteReference"/>
        </w:rPr>
        <w:footnoteReference w:id="1712"/>
      </w:r>
      <w:r>
        <w:rPr>
          <w:rStyle w:val="FootnoteReference"/>
        </w:rPr>
        <w:footnoteReference w:id="1713"/>
      </w:r>
      <w:r>
        <w:rPr>
          <w:rStyle w:val="FootnoteReference"/>
        </w:rPr>
        <w:footnoteReference w:id="1714"/>
      </w:r>
      <w:r>
        <w:rPr>
          <w:rStyle w:val="FootnoteReference"/>
        </w:rPr>
        <w:footnoteReference w:id="1715"/>
      </w:r>
      <w:r>
        <w:rPr>
          <w:rStyle w:val="FootnoteReference"/>
        </w:rPr>
        <w:footnoteReference w:id="1716"/>
      </w:r>
      <w:r>
        <w:rPr>
          <w:rStyle w:val="FootnoteReference"/>
        </w:rPr>
        <w:footnoteReference w:id="1717"/>
      </w:r>
      <w:r>
        <w:rPr>
          <w:rStyle w:val="FootnoteReference"/>
        </w:rPr>
        <w:footnoteReference w:id="1718"/>
      </w:r>
      <w:r>
        <w:rPr>
          <w:rStyle w:val="FootnoteReference"/>
        </w:rPr>
        <w:footnoteReference w:id="1719"/>
      </w:r>
      <w:r>
        <w:rPr>
          <w:rStyle w:val="FootnoteReference"/>
        </w:rPr>
        <w:footnoteReference w:id="1720"/>
      </w:r>
      <w:r>
        <w:rPr>
          <w:rStyle w:val="FootnoteReference"/>
        </w:rPr>
        <w:footnoteReference w:id="1721"/>
      </w:r>
      <w:r>
        <w:rPr>
          <w:rStyle w:val="FootnoteReference"/>
        </w:rPr>
        <w:footnoteReference w:id="1722"/>
      </w:r>
      <w:r>
        <w:rPr>
          <w:rStyle w:val="FootnoteReference"/>
        </w:rPr>
        <w:footnoteReference w:id="1723"/>
      </w:r>
      <w:r>
        <w:rPr>
          <w:rStyle w:val="FootnoteReference"/>
        </w:rPr>
        <w:footnoteReference w:id="1724"/>
      </w:r>
      <w:r>
        <w:rPr>
          <w:rStyle w:val="FootnoteReference"/>
        </w:rPr>
        <w:footnoteReference w:id="1725"/>
      </w:r>
      <w:r>
        <w:t xml:space="preserve"> </w:t>
      </w:r>
      <w:r>
        <w:t xml:space="preserve">La parte affronta perciò il come dell’attuazione: i quadri che ne governano la pianificazione e la valutazione (capitolo I.1), il disegno del dispiegamento e il suo cronoprogramma (I.2), la fattibilità dell’assetto contrattuale (I.3), la governance e i rischi (I.4) e la sostenibilità finanziaria con le sue coperture (I.5). Per la Lombardia, la scala è la maggiore del Paese, ma la sostenibilità è agevolata da un bilancio in equilibrio.</w:t>
      </w:r>
    </w:p>
    <w:bookmarkStart w:id="4283" w:name="i.1-la-scienza-dellimplementazione-1"/>
    <w:p>
      <w:pPr>
        <w:pStyle w:val="Heading3"/>
      </w:pPr>
      <w:r>
        <w:t xml:space="preserve">I.1 La scienza dell’implementazione</w:t>
      </w:r>
    </w:p>
    <w:p>
      <w:pPr>
        <w:pStyle w:val="FirstParagraph"/>
      </w:pPr>
      <w:r>
        <w:t xml:space="preserve">L’attuazione di un intervento complesso non è un atto amministrativo, ma un processo che la ricerca ha imparato a governare con quadri dedicati. Lo studio ne adotta due, complementari. Il modello RE-AIM misura la riuscita e la validità esterna dell’attuazione lungo cinque dimensioni: la portata, ossia la quota della popolazione bersaglio effettivamente raggiunta; l’efficacia, ossia gli esiti realmente conseguiti; l’adozione, ossia l’adesione delle sedi e dei professionisti; l’implementazione, ossia la fedeltà al modello e la qualità dell’attuazione; e il mantenimento, ossia la sostenibilità nel tempo.</w:t>
      </w:r>
      <w:r>
        <w:rPr>
          <w:rStyle w:val="FootnoteReference"/>
        </w:rPr>
        <w:footnoteReference w:id="1726"/>
      </w:r>
      <w:r>
        <w:t xml:space="preserve"> </w:t>
      </w:r>
      <w:r>
        <w:t xml:space="preserve">Al modello RE-AIM, che misura gli esiti dell’attuazione, si affianca il quadro consolidato per la ricerca sull’implementazione, che ne spiega i determinanti, articolati in cinque domini — le caratteristiche dell’innovazione, il contesto esterno, il contesto interno, gli individui coinvolti e il processo — consentendo l’individuazione ex ante delle barriere e dei facilitatori.</w:t>
      </w:r>
      <w:r>
        <w:rPr>
          <w:rStyle w:val="FootnoteReference"/>
        </w:rPr>
        <w:footnoteReference w:id="1727"/>
      </w:r>
      <w:r>
        <w:t xml:space="preserve"> </w:t>
      </w:r>
      <w:r>
        <w:t xml:space="preserve">Lo studio segue perciò un insieme di determinanti di implementazione che ne misurano l’avanzamento.</w:t>
      </w:r>
      <w:r>
        <w:rPr>
          <w:rStyle w:val="FootnoteReference"/>
        </w:rPr>
        <w:footnoteReference w:id="1728"/>
      </w:r>
      <w:r>
        <w:t xml:space="preserve"> </w:t>
      </w:r>
      <w:r>
        <w:t xml:space="preserve">La tabella seguente riepiloga i due quadri.</w:t>
      </w:r>
    </w:p>
    <w:tbl>
      <w:tblPr>
        <w:tblStyle w:val="Table"/>
        <w:tblW w:type="pct" w:w="490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22"/>
        <w:gridCol w:w="49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w:t>
            </w:r>
          </w:p>
        </w:tc>
        <w:tc>
          <w:tcPr>
            <w:shd w:val="clear" w:color="auto" w:fill="16264B"/>
          </w:tcPr>
          <w:p>
            <w:pPr>
              <w:pStyle w:val="Compact"/>
              <w:spacing w:after="40" w:before="40"/>
              <w:jc w:val="left"/>
            </w:pPr>
            <w:r>
              <w:rPr>
                <w:rFonts w:ascii="Cambria" w:hAnsi="Cambria" w:cs="Cambria" w:eastAsia="Cambria"/>
                <w:b/>
                <w:bCs/>
                <w:color w:val="FFFFFF"/>
                <w:sz w:val="18"/>
              </w:rPr>
              <w:t xml:space="preserve">Che cosa misura o spiega</w:t>
            </w:r>
          </w:p>
        </w:tc>
      </w:tr>
      <w:tr>
        <w:tc>
          <w:tcPr/>
          <w:p>
            <w:pPr>
              <w:pStyle w:val="Compact"/>
              <w:spacing w:after="40" w:before="40"/>
              <w:jc w:val="left"/>
            </w:pPr>
            <w:r>
              <w:rPr>
                <w:rFonts w:ascii="Cambria" w:hAnsi="Cambria" w:cs="Cambria" w:eastAsia="Cambria"/>
                <w:b/>
                <w:bCs/>
                <w:color w:val="1A1A1A"/>
                <w:sz w:val="18"/>
              </w:rPr>
              <w:t xml:space="preserve">Portata (RE-AIM)</w:t>
            </w:r>
          </w:p>
        </w:tc>
        <w:tc>
          <w:tcPr/>
          <w:p>
            <w:pPr>
              <w:pStyle w:val="Compact"/>
              <w:spacing w:after="40" w:before="40"/>
              <w:jc w:val="left"/>
            </w:pPr>
            <w:r>
              <w:rPr>
                <w:rFonts w:ascii="Cambria" w:hAnsi="Cambria" w:cs="Cambria" w:eastAsia="Cambria"/>
                <w:color w:val="1A1A1A"/>
                <w:sz w:val="18"/>
              </w:rPr>
              <w:t xml:space="preserve">Quota della popolazione bersaglio raggiunta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(RE-AIM)</w:t>
            </w:r>
          </w:p>
        </w:tc>
        <w:tc>
          <w:tcPr>
            <w:shd w:val="clear" w:color="auto" w:fill="F4F1EC"/>
          </w:tcPr>
          <w:p>
            <w:pPr>
              <w:pStyle w:val="Compact"/>
              <w:spacing w:after="40" w:before="40"/>
              <w:jc w:val="left"/>
            </w:pPr>
            <w:r>
              <w:rPr>
                <w:rFonts w:ascii="Cambria" w:hAnsi="Cambria" w:cs="Cambria" w:eastAsia="Cambria"/>
                <w:color w:val="1A1A1A"/>
                <w:sz w:val="18"/>
              </w:rPr>
              <w:t xml:space="preserve">Esiti clinici e di sistema effettivamente conseguiti</w:t>
            </w:r>
          </w:p>
        </w:tc>
      </w:tr>
      <w:tr>
        <w:tc>
          <w:tcPr/>
          <w:p>
            <w:pPr>
              <w:pStyle w:val="Compact"/>
              <w:spacing w:after="40" w:before="40"/>
              <w:jc w:val="left"/>
            </w:pPr>
            <w:r>
              <w:rPr>
                <w:rFonts w:ascii="Cambria" w:hAnsi="Cambria" w:cs="Cambria" w:eastAsia="Cambria"/>
                <w:b/>
                <w:bCs/>
                <w:color w:val="1A1A1A"/>
                <w:sz w:val="18"/>
              </w:rPr>
              <w:t xml:space="preserve">Adozione (RE-AIM)</w:t>
            </w:r>
          </w:p>
        </w:tc>
        <w:tc>
          <w:tcPr/>
          <w:p>
            <w:pPr>
              <w:pStyle w:val="Compact"/>
              <w:spacing w:after="40" w:before="40"/>
              <w:jc w:val="left"/>
            </w:pPr>
            <w:r>
              <w:rPr>
                <w:rFonts w:ascii="Cambria" w:hAnsi="Cambria" w:cs="Cambria" w:eastAsia="Cambria"/>
                <w:color w:val="1A1A1A"/>
                <w:sz w:val="18"/>
              </w:rPr>
              <w:t xml:space="preserve">Adesione delle sedi e dei professionisti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Implementazione (RE-AIM)</w:t>
            </w:r>
          </w:p>
        </w:tc>
        <w:tc>
          <w:tcPr>
            <w:shd w:val="clear" w:color="auto" w:fill="F4F1EC"/>
          </w:tcPr>
          <w:p>
            <w:pPr>
              <w:pStyle w:val="Compact"/>
              <w:spacing w:after="40" w:before="40"/>
              <w:jc w:val="left"/>
            </w:pPr>
            <w:r>
              <w:rPr>
                <w:rFonts w:ascii="Cambria" w:hAnsi="Cambria" w:cs="Cambria" w:eastAsia="Cambria"/>
                <w:color w:val="1A1A1A"/>
                <w:sz w:val="18"/>
              </w:rPr>
              <w:t xml:space="preserve">Fedeltà al modello e qualità dell’attuazione</w:t>
            </w:r>
          </w:p>
        </w:tc>
      </w:tr>
      <w:tr>
        <w:tc>
          <w:tcPr/>
          <w:p>
            <w:pPr>
              <w:pStyle w:val="Compact"/>
              <w:spacing w:after="40" w:before="40"/>
              <w:jc w:val="left"/>
            </w:pPr>
            <w:r>
              <w:rPr>
                <w:rFonts w:ascii="Cambria" w:hAnsi="Cambria" w:cs="Cambria" w:eastAsia="Cambria"/>
                <w:b/>
                <w:bCs/>
                <w:color w:val="1A1A1A"/>
                <w:sz w:val="18"/>
              </w:rPr>
              <w:t xml:space="preserve">Mantenimento (RE-AIM)</w:t>
            </w:r>
          </w:p>
        </w:tc>
        <w:tc>
          <w:tcPr/>
          <w:p>
            <w:pPr>
              <w:pStyle w:val="Compact"/>
              <w:spacing w:after="40" w:before="40"/>
              <w:jc w:val="left"/>
            </w:pPr>
            <w:r>
              <w:rPr>
                <w:rFonts w:ascii="Cambria" w:hAnsi="Cambria" w:cs="Cambria" w:eastAsia="Cambria"/>
                <w:color w:val="1A1A1A"/>
                <w:sz w:val="18"/>
              </w:rPr>
              <w:t xml:space="preserve">Sostenibilità del servizio nel tempo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Determinanti (quadro CFIR)</w:t>
            </w:r>
          </w:p>
        </w:tc>
        <w:tc>
          <w:tcPr>
            <w:shd w:val="clear" w:color="auto" w:fill="F4F1EC"/>
          </w:tcPr>
          <w:p>
            <w:pPr>
              <w:pStyle w:val="Compact"/>
              <w:spacing w:after="40" w:before="40"/>
              <w:jc w:val="left"/>
            </w:pPr>
            <w:r>
              <w:rPr>
                <w:rFonts w:ascii="Cambria" w:hAnsi="Cambria" w:cs="Cambria" w:eastAsia="Cambria"/>
                <w:color w:val="1A1A1A"/>
                <w:sz w:val="18"/>
              </w:rP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4283"/>
    <w:bookmarkStart w:id="839" w:name="i.2-il-disegno-del-dispiegamento"/>
    <w:p>
      <w:pPr>
        <w:pStyle w:val="Heading3"/>
      </w:pPr>
      <w:r>
        <w:t xml:space="preserve">I.2 Il disegno del dispiegamento</w:t>
      </w:r>
    </w:p>
    <w:p>
      <w:pPr>
        <w:pStyle w:val="FirstParagraph"/>
      </w:pPr>
      <w:r>
        <w:t xml:space="preserve">Il servizio non è attivato simultaneamente sull’intero territorio, ma secondo un disegno scaglionato: le otto Agenzie di Tutela della Salute passano in sequenza, per fasi semestrali, dalla condizione di controllo a quella di intervento, a partire dalle Agenzie di maggiore dimensione e prontezza organizzativa, sino a coprire l’intera regione. L’ordine di attivazione è definito dalla Giunta regionale sulla base di criteri trasparenti — prontezza organizzativa, entità del bisogno ed equilibrio territoriale — e reso noto preventivamente.</w:t>
      </w:r>
      <w:r>
        <w:rPr>
          <w:rStyle w:val="FootnoteReference"/>
        </w:rPr>
        <w:footnoteReference w:id="1729"/>
      </w:r>
      <w:r>
        <w:t xml:space="preserve"> </w:t>
      </w:r>
      <w:r>
        <w:t xml:space="preserve">Questo disegno ha una doppia funzione, ed è questa la sua peculiarità: risponde a un’esigenza organizzativa e al tempo stesso costituisce il fondamento della valutazione controfattuale d’impatto, poiché la successione configura un esperimento naturale, oggetto della Parte L.</w:t>
      </w:r>
      <w:r>
        <w:rPr>
          <w:rStyle w:val="FootnoteReference"/>
        </w:rPr>
        <w:footnoteReference w:id="1730"/>
      </w:r>
    </w:p>
    <w:p>
      <w:pPr>
        <w:pStyle w:val="BodyText"/>
      </w:pPr>
      <w:r>
        <w:t xml:space="preserve">Il reclutamento alimenta il dispiegamento. A fronte di un fabbisogno a regime dell’ordine di 2.190 psicologi, il più elevato d’Italia, esso avviene tramite l’iscrizione a un elenco istituito presso ciascuna Agenzia e l’instaurazione di un rapporto convenzionale, con requisiti di iscrizione all’albo e di formazione specifica; in prima applicazione, e nelle more dell’attivazione dei percorsi formativi, possono accedere i professionisti con pregressa esperienza nell’assistenza psicologica nel Servizio sanitario regionale.</w:t>
      </w:r>
      <w:r>
        <w:rPr>
          <w:rStyle w:val="FootnoteReference"/>
        </w:rPr>
        <w:footnoteReference w:id="1731"/>
      </w:r>
      <w:r>
        <w:t xml:space="preserve"> </w:t>
      </w:r>
      <w:r>
        <w:t xml:space="preserve">Il cronoprogramma scandisce l’insieme: l’attivazione procede per fasi semestrali attraverso le otto Agenzie, con le attività di reclutamento, formazione, allestimento e avvio condotte in modo scaglionato, mentre il monitoraggio e la valutazione accompagnano l’intero arco e proseguono oltre il completamento.</w:t>
      </w:r>
      <w:r>
        <w:rPr>
          <w:rStyle w:val="FootnoteReference"/>
        </w:rPr>
        <w:footnoteReference w:id="1732"/>
      </w:r>
      <w:r>
        <w:t xml:space="preserve"> </w:t>
      </w:r>
      <w:r>
        <w:t xml:space="preserve">La riuscita è sottoposta a criteri espliciti: tra i parametri che muterebbero le conclusioni figura un tasso di recupero inferiore al 50% nella fase di attuazione, a fronte del valore di riferimento del programma inglese.</w:t>
      </w:r>
      <w:r>
        <w:rPr>
          <w:rStyle w:val="FootnoteReference"/>
        </w:rPr>
        <w:footnoteReference w:id="1733"/>
      </w:r>
      <w:r>
        <w:t xml:space="preserve"> </w:t>
      </w:r>
      <w:r>
        <w:t xml:space="preserve">La tabella seguente rappresenta le fasi del dispiegamento.</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86"/>
        <w:gridCol w:w="561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 del dispiegamento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Fase 1 (primo semestre)</w:t>
            </w:r>
          </w:p>
        </w:tc>
        <w:tc>
          <w:tcPr/>
          <w:p>
            <w:pPr>
              <w:pStyle w:val="Compact"/>
              <w:spacing w:after="40" w:before="40"/>
              <w:jc w:val="left"/>
            </w:pPr>
            <w:r>
              <w:rPr>
                <w:rFonts w:ascii="Cambria" w:hAnsi="Cambria" w:cs="Cambria" w:eastAsia="Cambria"/>
                <w:color w:val="1A1A1A"/>
                <w:sz w:val="18"/>
              </w:rPr>
              <w:t xml:space="preserve">Avvio nelle Agenzie di maggiore dimensione e prontezza; reclutamento e formazione iniziali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Fasi 2–7 (semestri successivi)</w:t>
            </w:r>
          </w:p>
        </w:tc>
        <w:tc>
          <w:tcPr>
            <w:shd w:val="clear" w:color="auto" w:fill="F4F1EC"/>
          </w:tcPr>
          <w:p>
            <w:pPr>
              <w:pStyle w:val="Compact"/>
              <w:spacing w:after="40" w:before="40"/>
              <w:jc w:val="left"/>
            </w:pPr>
            <w:r>
              <w:rPr>
                <w:rFonts w:ascii="Cambria" w:hAnsi="Cambria" w:cs="Cambria" w:eastAsia="Cambria"/>
                <w:color w:val="1A1A1A"/>
                <w:sz w:val="18"/>
              </w:rPr>
              <w:t xml:space="preserve">Estensione progressiva alle altre Agenzie; attivazione scaglionata secondo l’ordine definito</w:t>
            </w:r>
          </w:p>
        </w:tc>
      </w:tr>
      <w:tr>
        <w:tc>
          <w:tcPr/>
          <w:p>
            <w:pPr>
              <w:pStyle w:val="Compact"/>
              <w:spacing w:after="40" w:before="40"/>
              <w:jc w:val="left"/>
            </w:pPr>
            <w:r>
              <w:rPr>
                <w:rFonts w:ascii="Cambria" w:hAnsi="Cambria" w:cs="Cambria" w:eastAsia="Cambria"/>
                <w:b/>
                <w:bCs/>
                <w:color w:val="1A1A1A"/>
                <w:sz w:val="18"/>
              </w:rPr>
              <w:t xml:space="preserve">Fase finale (completamento)</w:t>
            </w:r>
          </w:p>
        </w:tc>
        <w:tc>
          <w:tcPr/>
          <w:p>
            <w:pPr>
              <w:pStyle w:val="Compact"/>
              <w:spacing w:after="40" w:before="40"/>
              <w:jc w:val="left"/>
            </w:pPr>
            <w:r>
              <w:rPr>
                <w:rFonts w:ascii="Cambria" w:hAnsi="Cambria" w:cs="Cambria" w:eastAsia="Cambria"/>
                <w:color w:val="1A1A1A"/>
                <w:sz w:val="18"/>
              </w:rPr>
              <w:t xml:space="preserve">Copertura dell’intero territorio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 trasversale</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che proseguono oltre il completamento del dispiegamento</w:t>
            </w:r>
          </w:p>
        </w:tc>
      </w:tr>
    </w:tbl>
    <w:p>
      <w:pPr>
        <w:pStyle w:val="BodyText"/>
      </w:pPr>
      <w:r>
        <w:rPr>
          <w:i/>
          <w:iCs/>
        </w:rPr>
        <w:t xml:space="preserve">Tabella I.2. Le fasi del dispiegamento scaglionato del servizio tra le otto Agenzie di Tutela della Salute.</w:t>
      </w:r>
    </w:p>
    <w:bookmarkEnd w:id="839"/>
    <w:bookmarkStart w:id="4284" w:name="X00b6ab2b85cb2aedbc0ff7e937a5ec9296bdfc5"/>
    <w:p>
      <w:pPr>
        <w:pStyle w:val="Heading3"/>
      </w:pPr>
      <w:r>
        <w:t xml:space="preserve">I.3 Il caso commerciale: il modello contrattuale e la tariffa</w:t>
      </w:r>
    </w:p>
    <w:p>
      <w:pPr>
        <w:pStyle w:val="FirstParagraph"/>
      </w:pPr>
      <w:r>
        <w:t xml:space="preserve">Il caso commerciale del Five Case Model dimostra la fattibilità dell’assetto attraverso cui il servizio è erogato. L’assetto prescelto è il rapporto convenzionale, ancorato all’accordo della specialistica ambulatoriale, che disciplina i compensi orari dei psicologi convenzionati e fornisce perciò il riferimento contrattuale del modello di costo. Su questa base, il costo medio per incarico a tempo pieno è dell’ordine di 55.000 euro l’anno, da cui discendono gli scenari di spesa già esposti nella Parte E, di 60, 95 e 120 milioni di euro l’anno secondo la copertura.</w:t>
      </w:r>
      <w:r>
        <w:rPr>
          <w:rStyle w:val="FootnoteReference"/>
        </w:rPr>
        <w:footnoteReference w:id="1734"/>
      </w:r>
      <w:r>
        <w:t xml:space="preserve"> </w:t>
      </w:r>
      <w:r>
        <w:t xml:space="preserve">La fattibilità dell’assetto non è teorica, ma comprovata dall’esperienza: il modello dell’elenco aziendale e del rapporto convenzionale è già adottato da altre Regioni, e si innesta su strumenti contrattuali esistenti senza richiedere la creazione di nuove figure o di nuovi istituti. Ciò ne riduce la complessità attuativa e i tempi, poiché il reclutamento avviene attraverso procedure note alle Agenzie e alle Aziende. Il caso commerciale conferma, in sintesi, che l’assetto contrattuale è praticabile con gli strumenti ordinari del Servizio sanitario regionale, e che il costo per incarico — fondamento dell’intera quantificazione economica — è ancorato a un riferimento contrattuale vigente.</w:t>
      </w:r>
    </w:p>
    <w:bookmarkEnd w:id="4284"/>
    <w:bookmarkStart w:id="844" w:name="X7e3cdd8eed66beef26deb9230f046318d71950f"/>
    <w:p>
      <w:pPr>
        <w:pStyle w:val="Heading3"/>
      </w:pPr>
      <w:r>
        <w:t xml:space="preserve">I.4 Il caso gestionale: la governance e i rischi</w:t>
      </w:r>
    </w:p>
    <w:p>
      <w:pPr>
        <w:pStyle w:val="FirstParagraph"/>
      </w:pPr>
      <w:r>
        <w:t xml:space="preserve">Il caso gestionale dimostra che l’attuazione è governabile. La governance è organizzata su due livelli. A livello regionale, un comitato di indirizzo regionale esercita le funzioni di indirizzo, programmazione, monitoraggio e controllo: definisce i criteri e l’ordine del dispiegamento, sovrintende ai programmi formativi e assicura l’uniformità del modello sul territorio, riunendo la Regione, le Agenzie di Tutela della Salute, le Aziende Socio-Sanitarie Territoriali, l’Ordine degli Psicologi della Lombardia, la medicina generale, la pediatria di libera scelta, gli Istituti di Ricovero e Cura a Carattere Scientifico e le università. A livello aziendale, ciascuna Agenzia e Azienda è responsabile dell’attuazione nel proprio ambito — il reclutamento, l’individuazione delle sedi, l’allestimento, l’avvio e l’alimentazione del sistema informativo — nei tempi della fase che la riguarda.</w:t>
      </w:r>
      <w:r>
        <w:rPr>
          <w:rStyle w:val="FootnoteReference"/>
        </w:rPr>
        <w:footnoteReference w:id="1735"/>
      </w:r>
    </w:p>
    <w:p>
      <w:pPr>
        <w:pStyle w:val="BodyText"/>
      </w:pPr>
      <w:r>
        <w:t xml:space="preserve">La gestione dei rischi attuativi è parte integrante del caso gestionale. Lo studio individua i rischi principali — un reclutamento insufficiente di psicologi formati, particolarmente sensibile per la Lombardia in ragione dell’ampiezza del fabbisogno, una debole adesione della medicina generale, un’interoperabilità incompleta dei sistemi informativi, una disomogeneità territoriale nell’attuazione e il venir meno delle coperture — e vi associa misure di mitigazione dedicate.</w:t>
      </w:r>
      <w:r>
        <w:rPr>
          <w:rStyle w:val="FootnoteReference"/>
        </w:rPr>
        <w:footnoteReference w:id="1736"/>
      </w:r>
      <w:r>
        <w:t xml:space="preserve"> </w:t>
      </w:r>
      <w:r>
        <w:t xml:space="preserve">Vi è, peraltro, una circostanza che rende la mitigazione strutturale anziché affidata a singole misure: il dispiegamento graduale è esso stesso la principale forma di mitigazione, poiché consente di osservare l’attuazione nelle prime Agenzie, di correggere il modello e di adattare i tempi prima dell’estensione alle Agenzie successive. La tabella seguente riepiloga i rischi e le misure.</w:t>
      </w:r>
    </w:p>
    <w:tbl>
      <w:tblPr>
        <w:tblStyle w:val="Table"/>
        <w:tblW w:type="pct" w:w="494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60"/>
        <w:gridCol w:w="2480"/>
        <w:gridCol w:w="380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w:t>
            </w:r>
          </w:p>
        </w:tc>
        <w:tc>
          <w:tcPr>
            <w:shd w:val="clear" w:color="auto" w:fill="16264B"/>
          </w:tcPr>
          <w:p>
            <w:pPr>
              <w:pStyle w:val="Compact"/>
              <w:spacing w:after="40" w:before="40"/>
              <w:jc w:val="left"/>
            </w:pPr>
            <w:r>
              <w:rPr>
                <w:rFonts w:ascii="Cambria" w:hAnsi="Cambria" w:cs="Cambria" w:eastAsia="Cambria"/>
                <w:b/>
                <w:bCs/>
                <w:color w:val="FFFFFF"/>
                <w:sz w:val="18"/>
              </w:rPr>
              <w:t xml:space="preserve">Misura di mitigazione</w:t>
            </w:r>
          </w:p>
        </w:tc>
      </w:tr>
      <w:tr>
        <w:tc>
          <w:tcPr/>
          <w:p>
            <w:pPr>
              <w:pStyle w:val="Compact"/>
              <w:spacing w:after="40" w:before="40"/>
              <w:jc w:val="left"/>
            </w:pPr>
            <w:r>
              <w:rPr>
                <w:rFonts w:ascii="Cambria" w:hAnsi="Cambria" w:cs="Cambria" w:eastAsia="Cambria"/>
                <w:b/>
                <w:bCs/>
                <w:color w:val="1A1A1A"/>
                <w:sz w:val="18"/>
              </w:rPr>
              <w:t xml:space="preserve">Reclutamento insufficiente</w:t>
            </w:r>
          </w:p>
        </w:tc>
        <w:tc>
          <w:tcPr/>
          <w:p>
            <w:pPr>
              <w:pStyle w:val="Compact"/>
              <w:spacing w:after="40" w:before="40"/>
              <w:jc w:val="left"/>
            </w:pPr>
            <w:r>
              <w:rPr>
                <w:rFonts w:ascii="Cambria" w:hAnsi="Cambria" w:cs="Cambria" w:eastAsia="Cambria"/>
                <w:color w:val="1A1A1A"/>
                <w:sz w:val="18"/>
              </w:rPr>
              <w:t xml:space="preserve">Carenza di psicologi formati (acuita dall’ampio fabbisogno)</w:t>
            </w:r>
          </w:p>
        </w:tc>
        <w:tc>
          <w:tcPr/>
          <w:p>
            <w:pPr>
              <w:pStyle w:val="Compact"/>
              <w:spacing w:after="40" w:before="40"/>
              <w:jc w:val="left"/>
            </w:pPr>
            <w:r>
              <w:rPr>
                <w:rFonts w:ascii="Cambria" w:hAnsi="Cambria" w:cs="Cambria" w:eastAsia="Cambria"/>
                <w:color w:val="1A1A1A"/>
                <w:sz w:val="18"/>
              </w:rPr>
              <w:t xml:space="preserve">Dispiegamento graduale; formazione anticipata e scaglionata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Adesione della medicina generale</w:t>
            </w:r>
          </w:p>
        </w:tc>
        <w:tc>
          <w:tcPr>
            <w:shd w:val="clear" w:color="auto" w:fill="F4F1EC"/>
          </w:tcPr>
          <w:p>
            <w:pPr>
              <w:pStyle w:val="Compact"/>
              <w:spacing w:after="40" w:before="40"/>
              <w:jc w:val="left"/>
            </w:pPr>
            <w:r>
              <w:rPr>
                <w:rFonts w:ascii="Cambria" w:hAnsi="Cambria" w:cs="Cambria" w:eastAsia="Cambria"/>
                <w:color w:val="1A1A1A"/>
                <w:sz w:val="18"/>
              </w:rPr>
              <w:t xml:space="preserve">Integrazione debole nel percorso</w:t>
            </w:r>
          </w:p>
        </w:tc>
        <w:tc>
          <w:tcPr>
            <w:shd w:val="clear" w:color="auto" w:fill="F4F1EC"/>
          </w:tcPr>
          <w:p>
            <w:pPr>
              <w:pStyle w:val="Compact"/>
              <w:spacing w:after="40" w:before="40"/>
              <w:jc w:val="left"/>
            </w:pPr>
            <w:r>
              <w:rPr>
                <w:rFonts w:ascii="Cambria" w:hAnsi="Cambria" w:cs="Cambria" w:eastAsia="Cambria"/>
                <w:color w:val="1A1A1A"/>
                <w:sz w:val="18"/>
              </w:rPr>
              <w:t xml:space="preserve">Protocolli di invio; formazione congiunta; governance condivisa</w:t>
            </w:r>
          </w:p>
        </w:tc>
      </w:tr>
      <w:tr>
        <w:tc>
          <w:tcPr/>
          <w:p>
            <w:pPr>
              <w:pStyle w:val="Compact"/>
              <w:spacing w:after="40" w:before="40"/>
              <w:jc w:val="left"/>
            </w:pPr>
            <w:r>
              <w:rPr>
                <w:rFonts w:ascii="Cambria" w:hAnsi="Cambria" w:cs="Cambria" w:eastAsia="Cambria"/>
                <w:b/>
                <w:bCs/>
                <w:color w:val="1A1A1A"/>
                <w:sz w:val="18"/>
              </w:rPr>
              <w:t xml:space="preserve">Sistemi informativi</w:t>
            </w:r>
          </w:p>
        </w:tc>
        <w:tc>
          <w:tcPr/>
          <w:p>
            <w:pPr>
              <w:pStyle w:val="Compact"/>
              <w:spacing w:after="40" w:before="40"/>
              <w:jc w:val="left"/>
            </w:pPr>
            <w:r>
              <w:rPr>
                <w:rFonts w:ascii="Cambria" w:hAnsi="Cambria" w:cs="Cambria" w:eastAsia="Cambria"/>
                <w:color w:val="1A1A1A"/>
                <w:sz w:val="18"/>
              </w:rPr>
              <w:t xml:space="preserve">Interoperabilità incompleta</w:t>
            </w:r>
          </w:p>
        </w:tc>
        <w:tc>
          <w:tcPr/>
          <w:p>
            <w:pPr>
              <w:pStyle w:val="Compact"/>
              <w:spacing w:after="40" w:before="40"/>
              <w:jc w:val="left"/>
            </w:pPr>
            <w:r>
              <w:rPr>
                <w:rFonts w:ascii="Cambria" w:hAnsi="Cambria" w:cs="Cambria" w:eastAsia="Cambria"/>
                <w:color w:val="1A1A1A"/>
                <w:sz w:val="18"/>
              </w:rPr>
              <w:t xml:space="preserve">Cartella interoperabile; standard nazionali; raccordo con le Centrali Operative Territoriali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Disomogeneità territoriale</w:t>
            </w:r>
          </w:p>
        </w:tc>
        <w:tc>
          <w:tcPr>
            <w:shd w:val="clear" w:color="auto" w:fill="F4F1EC"/>
          </w:tcPr>
          <w:p>
            <w:pPr>
              <w:pStyle w:val="Compact"/>
              <w:spacing w:after="40" w:before="40"/>
              <w:jc w:val="left"/>
            </w:pPr>
            <w:r>
              <w:rPr>
                <w:rFonts w:ascii="Cambria" w:hAnsi="Cambria" w:cs="Cambria" w:eastAsia="Cambria"/>
                <w:color w:val="1A1A1A"/>
                <w:sz w:val="18"/>
              </w:rPr>
              <w:t xml:space="preserve">Attuazione diseguale tra Agenzie</w:t>
            </w:r>
          </w:p>
        </w:tc>
        <w:tc>
          <w:tcPr>
            <w:shd w:val="clear" w:color="auto" w:fill="F4F1EC"/>
          </w:tcPr>
          <w:p>
            <w:pPr>
              <w:pStyle w:val="Compact"/>
              <w:spacing w:after="40" w:before="40"/>
              <w:jc w:val="left"/>
            </w:pPr>
            <w:r>
              <w:rPr>
                <w:rFonts w:ascii="Cambria" w:hAnsi="Cambria" w:cs="Cambria" w:eastAsia="Cambria"/>
                <w:color w:val="1A1A1A"/>
                <w:sz w:val="18"/>
              </w:rPr>
              <w:t xml:space="preserve">Algoritmo allocativo; indirizzo regionale; monitoraggio per area</w:t>
            </w:r>
          </w:p>
        </w:tc>
      </w:tr>
      <w:tr>
        <w:tc>
          <w:tcPr/>
          <w:p>
            <w:pPr>
              <w:pStyle w:val="Compact"/>
              <w:spacing w:after="40" w:before="40"/>
              <w:jc w:val="left"/>
            </w:pPr>
            <w:r>
              <w:rPr>
                <w:rFonts w:ascii="Cambria" w:hAnsi="Cambria" w:cs="Cambria" w:eastAsia="Cambria"/>
                <w:b/>
                <w:bCs/>
                <w:color w:val="1A1A1A"/>
                <w:sz w:val="18"/>
              </w:rPr>
              <w:t xml:space="preserve">Venir meno delle coperture</w:t>
            </w:r>
          </w:p>
        </w:tc>
        <w:tc>
          <w:tcPr/>
          <w:p>
            <w:pPr>
              <w:pStyle w:val="Compact"/>
              <w:spacing w:after="40" w:before="40"/>
              <w:jc w:val="left"/>
            </w:pPr>
            <w:r>
              <w:rPr>
                <w:rFonts w:ascii="Cambria" w:hAnsi="Cambria" w:cs="Cambria" w:eastAsia="Cambria"/>
                <w:color w:val="1A1A1A"/>
                <w:sz w:val="18"/>
              </w:rPr>
              <w:t xml:space="preserve">Fragilità finanziaria</w:t>
            </w:r>
          </w:p>
        </w:tc>
        <w:tc>
          <w:tcPr/>
          <w:p>
            <w:pPr>
              <w:pStyle w:val="Compact"/>
              <w:spacing w:after="40" w:before="40"/>
              <w:jc w:val="left"/>
            </w:pPr>
            <w:r>
              <w:rPr>
                <w:rFonts w:ascii="Cambria" w:hAnsi="Cambria" w:cs="Cambria" w:eastAsia="Cambria"/>
                <w:color w:val="1A1A1A"/>
                <w:sz w:val="18"/>
              </w:rPr>
              <w:t xml:space="preserve">Istituzionalizzazione; copertura ordinaria su bilancio in equilibrio</w:t>
            </w:r>
          </w:p>
        </w:tc>
      </w:tr>
    </w:tbl>
    <w:p>
      <w:pPr>
        <w:pStyle w:val="BodyText"/>
      </w:pPr>
      <w:r>
        <w:rPr>
          <w:i/>
          <w:iCs/>
        </w:rPr>
        <w:t xml:space="preserve">Tabella I.3. I rischi attuativi e le relative misure di mitigazione.</w:t>
      </w:r>
    </w:p>
    <w:bookmarkEnd w:id="844"/>
    <w:bookmarkStart w:id="4285" w:name="Xf42aa368c0479987a42577d16f3b4057b67a382"/>
    <w:p>
      <w:pPr>
        <w:pStyle w:val="Heading3"/>
      </w:pPr>
      <w:r>
        <w:t xml:space="preserve">I.5 La sostenibilità finanziaria e le coperture</w:t>
      </w:r>
    </w:p>
    <w:p>
      <w:pPr>
        <w:pStyle w:val="FirstParagraph"/>
      </w:pPr>
      <w:r>
        <w:t xml:space="preserve">Il caso finanziario del Five Case Model individua le fonti di copertura e ne dimostra la tenuta nel tempo. Le fonti comprendono il finanziamento ordinario del Servizio sanitario regionale, dell’ordine di ventuno miliardi di euro, la Missione 6 del Piano Nazionale di Ripresa e Resilienza per l’infrastruttura territoriale e digitale, e un eventuale fondo statale a sostegno dei livelli essenziali.</w:t>
      </w:r>
      <w:r>
        <w:rPr>
          <w:rStyle w:val="FootnoteReference"/>
        </w:rPr>
        <w:footnoteReference w:id="1737"/>
      </w:r>
      <w:r>
        <w:t xml:space="preserve"> </w:t>
      </w:r>
      <w:r>
        <w:t xml:space="preserve">Su questo versante, la posizione della Lombardia è nettamente più favorevole di quella pugliese. A fronte di un finanziamento dell’ordine di ventuno miliardi con conti in equilibrio e in assenza di piano di rientro, il costo del servizio, anche a massima copertura, ne costituisce una frazione dell’ordine di mezzo punto percentuale, agevolmente assorbibile; la sostenibilità finanziaria, che in una regione in disavanzo richiede una dimostrazione puntuale, è in Lombardia pressoché immediata.</w:t>
      </w:r>
      <w:r>
        <w:rPr>
          <w:rStyle w:val="FootnoteReference"/>
        </w:rPr>
        <w:footnoteReference w:id="1738"/>
      </w:r>
    </w:p>
    <w:p>
      <w:pPr>
        <w:pStyle w:val="BodyText"/>
      </w:pPr>
      <w:r>
        <w:t xml:space="preserve">La sostenibilità nel tempo, criterio proprio della griglia di giudizio, è assicurata da tre fattori convergenti: la modestia del costo rispetto al bilancio, il forte ritorno sociale documentato nella Parte E e l’istituzionalizzazione del servizio nella rete territoriale già prevista dalla riforma del 2021, che ne fa non un’iniziativa sperimentale a termine, ma una componente stabile dell’assistenza di prossimità.</w:t>
      </w:r>
      <w:r>
        <w:rPr>
          <w:rStyle w:val="FootnoteReference"/>
        </w:rPr>
        <w:footnoteReference w:id="1739"/>
      </w:r>
      <w:r>
        <w:t xml:space="preserve"> </w:t>
      </w:r>
      <w:r>
        <w:t xml:space="preserve">Una nota di cautela metodologica chiude la parte: i risultati italiani disponibili provengono in parte da letteratura grigia e da campioni limitati, e i benchmark esteri richiedono adattamento al contesto; la verifica empirica sui dati lombardi, prevista dalla Parte L, è chiamata a sostituire progressivamente le stime con misure osservate.</w:t>
      </w:r>
      <w:r>
        <w:rPr>
          <w:rStyle w:val="FootnoteReference"/>
        </w:rPr>
        <w:footnoteReference w:id="1740"/>
      </w:r>
      <w:r>
        <w:t xml:space="preserve"> </w:t>
      </w:r>
      <w:r>
        <w:t xml:space="preserve">Accertata la fattibilità dell’attuazione, lo studio predispone, con la Parte L, gli strumenti per misurarne nel tempo gli effetti.</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L</w:t>
      </w:r>
    </w:p>
    <w:p>
      <w:pPr>
        <w:pStyle w:val="BodyText"/>
      </w:pPr>
      <w:r>
        <w:rPr>
          <w:b/>
          <w:bCs/>
        </w:rPr>
        <w:t xml:space="preserve">Monitoraggio, valutazione ed ex post</w:t>
      </w:r>
    </w:p>
    <w:p>
      <w:pPr>
        <w:pStyle w:val="BodyText"/>
      </w:pPr>
      <w:r>
        <w:rPr>
          <w:i/>
          <w:iCs/>
        </w:rPr>
        <w:t xml:space="preserve">Sistema di indicatori, protocollo e baseline, valutazione controfattuale, verifica ex post, indicatori compositi</w:t>
      </w:r>
    </w:p>
    <w:p>
      <w:pPr>
        <w:pStyle w:val="BodyText"/>
      </w:pPr>
      <w:r>
        <w:t xml:space="preserve">Verifica ex post · esperimento naturale e clausola valutativa · fondamento empirico delle stime</w:t>
      </w:r>
    </w:p>
    <w:bookmarkEnd w:id="4285"/>
    <w:bookmarkEnd w:id="4282"/>
    <w:bookmarkStart w:id="4286" w:name="X77064ed04a60040587b08ef79708d3712551e5f"/>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1741"/>
      </w:r>
      <w:r>
        <w:rPr>
          <w:rStyle w:val="FootnoteReference"/>
        </w:rPr>
        <w:footnoteReference w:id="1742"/>
      </w:r>
      <w:r>
        <w:rPr>
          <w:rStyle w:val="FootnoteReference"/>
        </w:rPr>
        <w:footnoteReference w:id="1743"/>
      </w:r>
      <w:r>
        <w:rPr>
          <w:rStyle w:val="FootnoteReference"/>
        </w:rPr>
        <w:footnoteReference w:id="1744"/>
      </w:r>
      <w:r>
        <w:rPr>
          <w:rStyle w:val="FootnoteReference"/>
        </w:rPr>
        <w:footnoteReference w:id="1745"/>
      </w:r>
      <w:r>
        <w:rPr>
          <w:rStyle w:val="FootnoteReference"/>
        </w:rPr>
        <w:footnoteReference w:id="1746"/>
      </w:r>
      <w:r>
        <w:rPr>
          <w:rStyle w:val="FootnoteReference"/>
        </w:rPr>
        <w:footnoteReference w:id="1747"/>
      </w:r>
      <w:r>
        <w:rPr>
          <w:rStyle w:val="FootnoteReference"/>
        </w:rPr>
        <w:footnoteReference w:id="1748"/>
      </w:r>
      <w:r>
        <w:rPr>
          <w:rStyle w:val="FootnoteReference"/>
        </w:rPr>
        <w:footnoteReference w:id="1749"/>
      </w:r>
      <w:r>
        <w:rPr>
          <w:rStyle w:val="FootnoteReference"/>
        </w:rPr>
        <w:footnoteReference w:id="1750"/>
      </w:r>
      <w:r>
        <w:rPr>
          <w:rStyle w:val="FootnoteReference"/>
        </w:rPr>
        <w:footnoteReference w:id="1751"/>
      </w:r>
      <w:r>
        <w:rPr>
          <w:rStyle w:val="FootnoteReference"/>
        </w:rPr>
        <w:footnoteReference w:id="1752"/>
      </w:r>
      <w:r>
        <w:rPr>
          <w:rStyle w:val="FootnoteReference"/>
        </w:rPr>
        <w:footnoteReference w:id="1753"/>
      </w:r>
      <w:r>
        <w:rPr>
          <w:rStyle w:val="FootnoteReference"/>
        </w:rPr>
        <w:footnoteReference w:id="1754"/>
      </w:r>
      <w:r>
        <w:rPr>
          <w:rStyle w:val="FootnoteReference"/>
        </w:rPr>
        <w:footnoteReference w:id="1755"/>
      </w:r>
      <w:r>
        <w:rPr>
          <w:rStyle w:val="FootnoteReference"/>
        </w:rPr>
        <w:footnoteReference w:id="1756"/>
      </w:r>
      <w:r>
        <w:rPr>
          <w:rStyle w:val="FootnoteReference"/>
        </w:rPr>
        <w:footnoteReference w:id="1757"/>
      </w:r>
      <w:r>
        <w:rPr>
          <w:rStyle w:val="FootnoteReference"/>
        </w:rPr>
        <w:footnoteReference w:id="1758"/>
      </w:r>
      <w:r>
        <w:rPr>
          <w:rStyle w:val="FootnoteReference"/>
        </w:rPr>
        <w:footnoteReference w:id="1759"/>
      </w:r>
      <w:r>
        <w:t xml:space="preserve"> </w:t>
      </w:r>
      <w:r>
        <w:t xml:space="preserve">Vale qui una verifica onesta della completezza del progetto, che conduce a una conclusione netta: al progetto non manca un’architettura, ma il radicamento nei dati e l’avvio della misurazione. Le parti seguenti definiscono perciò gli strumenti di questo radicamento: il sistema di indicatori (capitolo L.1), il protocollo che li alimenta e la baseline (L.2), la valutazione controfattuale che ne trae prove causali (L.3), la verifica ex post della norma (L.4) e gli indicatori compositi che ne sintetizzano i risultati nel cruscotto (L.5). Per la Lombardia, la successione delle otto Agenzie di Tutela della Salute offre un esperimento naturale di particolare robustezza.</w:t>
      </w:r>
    </w:p>
    <w:bookmarkStart w:id="4287" w:name="l.1-il-sistema-di-indicatori-1"/>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1760"/>
      </w:r>
      <w:r>
        <w:t xml:space="preserve"> </w:t>
      </w:r>
      <w:r>
        <w:t xml:space="preserve">Su questa ossatura si dispone una batteria di circa cinquantotto misure, articolate in otto categorie, delle quali una parte è già ricavabile dalle statistiche correnti e circa quaranta richiedono la rilevazione diretta del servizio.</w:t>
      </w:r>
      <w:r>
        <w:rPr>
          <w:rStyle w:val="FootnoteReference"/>
        </w:rPr>
        <w:footnoteReference w:id="1761"/>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1762"/>
      </w:r>
      <w:r>
        <w:t xml:space="preserve"> </w:t>
      </w:r>
      <w:r>
        <w:t xml:space="preserve">Misurare molto non equivale a misurare bene. La tabella seguente riepiloga le otto categorie e lo stato della rispettiva baseline.</w:t>
      </w:r>
      <w:r>
        <w:rPr>
          <w:rStyle w:val="FootnoteReference"/>
        </w:rPr>
        <w:footnoteReference w:id="1763"/>
      </w:r>
    </w:p>
    <w:tbl>
      <w:tblPr>
        <w:tblStyle w:val="Table"/>
        <w:tblW w:type="pct" w:w="491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43"/>
        <w:gridCol w:w="4301"/>
        <w:gridCol w:w="16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Esempi di indicatori</w:t>
            </w:r>
          </w:p>
        </w:tc>
        <w:tc>
          <w:tcPr>
            <w:shd w:val="clear" w:color="auto" w:fill="16264B"/>
          </w:tcPr>
          <w:p>
            <w:pPr>
              <w:pStyle w:val="Compact"/>
              <w:spacing w:after="40" w:before="40"/>
              <w:jc w:val="left"/>
            </w:pPr>
            <w:r>
              <w:rPr>
                <w:rFonts w:ascii="Cambria" w:hAnsi="Cambria" w:cs="Cambria" w:eastAsia="Cambria"/>
                <w:b/>
                <w:bCs/>
                <w:color w:val="FFFFFF"/>
                <w:sz w:val="18"/>
              </w:rPr>
              <w:t xml:space="preserve">Baseline</w:t>
            </w:r>
          </w:p>
        </w:tc>
      </w:tr>
      <w:tr>
        <w:tc>
          <w:tcPr/>
          <w:p>
            <w:pPr>
              <w:pStyle w:val="Compact"/>
              <w:spacing w:after="40" w:before="40"/>
              <w:jc w:val="left"/>
            </w:pPr>
            <w:r>
              <w:rPr>
                <w:rFonts w:ascii="Cambria" w:hAnsi="Cambria" w:cs="Cambria" w:eastAsia="Cambria"/>
                <w:b/>
                <w:bCs/>
                <w:color w:val="1A1A1A"/>
                <w:sz w:val="18"/>
              </w:rPr>
              <w:t xml:space="preserve">Bisogno e domanda</w:t>
            </w:r>
          </w:p>
        </w:tc>
        <w:tc>
          <w:tcPr/>
          <w:p>
            <w:pPr>
              <w:pStyle w:val="Compact"/>
              <w:spacing w:after="40" w:before="40"/>
              <w:jc w:val="left"/>
            </w:pPr>
            <w:r>
              <w:rPr>
                <w:rFonts w:ascii="Cambria" w:hAnsi="Cambria" w:cs="Cambria" w:eastAsia="Cambria"/>
                <w:color w:val="1A1A1A"/>
                <w:sz w:val="18"/>
              </w:rPr>
              <w:t xml:space="preserve">Prevalenza del disagio, utenza dei servizi, accessi impropri</w:t>
            </w:r>
          </w:p>
        </w:tc>
        <w:tc>
          <w:tcPr/>
          <w:p>
            <w:pPr>
              <w:pStyle w:val="Compact"/>
              <w:spacing w:after="40" w:before="40"/>
              <w:jc w:val="left"/>
            </w:pPr>
            <w:r>
              <w:rPr>
                <w:rFonts w:ascii="Cambria" w:hAnsi="Cambria" w:cs="Cambria" w:eastAsia="Cambria"/>
                <w:color w:val="1A1A1A"/>
                <w:sz w:val="18"/>
              </w:rPr>
              <w:t xml:space="preserve">Disponibile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Accesso ed equità</w:t>
            </w:r>
          </w:p>
        </w:tc>
        <w:tc>
          <w:tcPr>
            <w:shd w:val="clear" w:color="auto" w:fill="F4F1EC"/>
          </w:tcPr>
          <w:p>
            <w:pPr>
              <w:pStyle w:val="Compact"/>
              <w:spacing w:after="40" w:before="40"/>
              <w:jc w:val="left"/>
            </w:pPr>
            <w:r>
              <w:rPr>
                <w:rFonts w:ascii="Cambria" w:hAnsi="Cambria" w:cs="Cambria" w:eastAsia="Cambria"/>
                <w:color w:val="1A1A1A"/>
                <w:sz w:val="18"/>
              </w:rPr>
              <w:t xml:space="preserve">Tempo di attesa, copertura, divari tra Agenzie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Processo</w:t>
            </w:r>
          </w:p>
        </w:tc>
        <w:tc>
          <w:tcPr/>
          <w:p>
            <w:pPr>
              <w:pStyle w:val="Compact"/>
              <w:spacing w:after="40" w:before="40"/>
              <w:jc w:val="left"/>
            </w:pPr>
            <w:r>
              <w:rPr>
                <w:rFonts w:ascii="Cambria" w:hAnsi="Cambria" w:cs="Cambria" w:eastAsia="Cambria"/>
                <w:color w:val="1A1A1A"/>
                <w:sz w:val="18"/>
              </w:rPr>
              <w:t xml:space="preserve">Sedute erogate, cicli completati, abbandoni</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clinico</w:t>
            </w:r>
          </w:p>
        </w:tc>
        <w:tc>
          <w:tcPr>
            <w:shd w:val="clear" w:color="auto" w:fill="F4F1EC"/>
          </w:tcPr>
          <w:p>
            <w:pPr>
              <w:pStyle w:val="Compact"/>
              <w:spacing w:after="40" w:before="40"/>
              <w:jc w:val="left"/>
            </w:pPr>
            <w:r>
              <w:rPr>
                <w:rFonts w:ascii="Cambria" w:hAnsi="Cambria" w:cs="Cambria" w:eastAsia="Cambria"/>
                <w:color w:val="1A1A1A"/>
                <w:sz w:val="18"/>
              </w:rPr>
              <w:t xml:space="preserve">Recupero, miglioramento affidabile, mantenimento</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Economici</w:t>
            </w:r>
          </w:p>
        </w:tc>
        <w:tc>
          <w:tcPr/>
          <w:p>
            <w:pPr>
              <w:pStyle w:val="Compact"/>
              <w:spacing w:after="40" w:before="40"/>
              <w:jc w:val="left"/>
            </w:pPr>
            <w:r>
              <w:rPr>
                <w:rFonts w:ascii="Cambria" w:hAnsi="Cambria" w:cs="Cambria" w:eastAsia="Cambria"/>
                <w:color w:val="1A1A1A"/>
                <w:sz w:val="18"/>
              </w:rPr>
              <w:t xml:space="preserve">Risparmi per canale, costo per esito</w:t>
            </w:r>
          </w:p>
        </w:tc>
        <w:tc>
          <w:tcPr/>
          <w:p>
            <w:pPr>
              <w:pStyle w:val="Compact"/>
              <w:spacing w:after="40" w:before="40"/>
              <w:jc w:val="left"/>
            </w:pPr>
            <w:r>
              <w:rPr>
                <w:rFonts w:ascii="Cambria" w:hAnsi="Cambria" w:cs="Cambria" w:eastAsia="Cambria"/>
                <w:color w:val="1A1A1A"/>
                <w:sz w:val="18"/>
              </w:rPr>
              <w:t xml:space="preserve">Misto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sociale</w:t>
            </w:r>
          </w:p>
        </w:tc>
        <w:tc>
          <w:tcPr>
            <w:shd w:val="clear" w:color="auto" w:fill="F4F1EC"/>
          </w:tcPr>
          <w:p>
            <w:pPr>
              <w:pStyle w:val="Compact"/>
              <w:spacing w:after="40" w:before="40"/>
              <w:jc w:val="left"/>
            </w:pPr>
            <w:r>
              <w:rPr>
                <w:rFonts w:ascii="Cambria" w:hAnsi="Cambria" w:cs="Cambria" w:eastAsia="Cambria"/>
                <w:color w:val="1A1A1A"/>
                <w:sz w:val="18"/>
              </w:rPr>
              <w:t xml:space="preserve">Produttività, benessere, indicatori territoriali</w:t>
            </w:r>
          </w:p>
        </w:tc>
        <w:tc>
          <w:tcPr>
            <w:shd w:val="clear" w:color="auto" w:fill="F4F1EC"/>
          </w:tcPr>
          <w:p>
            <w:pPr>
              <w:pStyle w:val="Compact"/>
              <w:spacing w:after="40" w:before="40"/>
              <w:jc w:val="left"/>
            </w:pPr>
            <w:r>
              <w:rPr>
                <w:rFonts w:ascii="Cambria" w:hAnsi="Cambria" w:cs="Cambria" w:eastAsia="Cambria"/>
                <w:color w:val="1A1A1A"/>
                <w:sz w:val="18"/>
              </w:rPr>
              <w:t xml:space="preserve">Misto</w:t>
            </w:r>
          </w:p>
        </w:tc>
      </w:tr>
      <w:tr>
        <w:tc>
          <w:tcPr/>
          <w:p>
            <w:pPr>
              <w:pStyle w:val="Compact"/>
              <w:spacing w:after="40" w:before="40"/>
              <w:jc w:val="left"/>
            </w:pPr>
            <w:r>
              <w:rPr>
                <w:rFonts w:ascii="Cambria" w:hAnsi="Cambria" w:cs="Cambria" w:eastAsia="Cambria"/>
                <w:b/>
                <w:bCs/>
                <w:color w:val="1A1A1A"/>
                <w:sz w:val="18"/>
              </w:rPr>
              <w:t xml:space="preserve">Organizzativi</w:t>
            </w:r>
          </w:p>
        </w:tc>
        <w:tc>
          <w:tcPr/>
          <w:p>
            <w:pPr>
              <w:pStyle w:val="Compact"/>
              <w:spacing w:after="40" w:before="40"/>
              <w:jc w:val="left"/>
            </w:pPr>
            <w:r>
              <w:rPr>
                <w:rFonts w:ascii="Cambria" w:hAnsi="Cambria" w:cs="Cambria" w:eastAsia="Cambria"/>
                <w:color w:val="1A1A1A"/>
                <w:sz w:val="18"/>
              </w:rPr>
              <w:t xml:space="preserve">Reclutamento, formazione, fedeltà al modello</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Variabili di sintesi</w:t>
            </w:r>
          </w:p>
        </w:tc>
        <w:tc>
          <w:tcPr>
            <w:shd w:val="clear" w:color="auto" w:fill="F4F1EC"/>
          </w:tcPr>
          <w:p>
            <w:pPr>
              <w:pStyle w:val="Compact"/>
              <w:spacing w:after="40" w:before="40"/>
              <w:jc w:val="left"/>
            </w:pPr>
            <w:r>
              <w:rPr>
                <w:rFonts w:ascii="Cambria" w:hAnsi="Cambria" w:cs="Cambria" w:eastAsia="Cambria"/>
                <w:color w:val="1A1A1A"/>
                <w:sz w:val="18"/>
              </w:rPr>
              <w:t xml:space="preserve">Indici compositi di esito e di valore</w:t>
            </w:r>
          </w:p>
        </w:tc>
        <w:tc>
          <w:tcPr>
            <w:shd w:val="clear" w:color="auto" w:fill="F4F1EC"/>
          </w:tcPr>
          <w:p>
            <w:pPr>
              <w:pStyle w:val="Compact"/>
              <w:spacing w:after="40" w:before="40"/>
              <w:jc w:val="left"/>
            </w:pPr>
            <w:r>
              <w:rPr>
                <w:rFonts w:ascii="Cambria" w:hAnsi="Cambria" w:cs="Cambria" w:eastAsia="Cambria"/>
                <w:color w:val="1A1A1A"/>
                <w:sz w:val="18"/>
              </w:rPr>
              <w:t xml:space="preserve">Da calcolare</w:t>
            </w:r>
          </w:p>
        </w:tc>
      </w:tr>
    </w:tbl>
    <w:p>
      <w:pPr>
        <w:pStyle w:val="BodyText"/>
      </w:pPr>
      <w:r>
        <w:rPr>
          <w:i/>
          <w:iCs/>
        </w:rPr>
        <w:t xml:space="preserve">Tabella L.1. Le otto categorie di indicatori e lo stato della baseline. Circa quaranta indicatori richiedono la rilevazione diretta del servizio.</w:t>
      </w:r>
    </w:p>
    <w:bookmarkEnd w:id="4287"/>
    <w:bookmarkStart w:id="4288" w:name="X39354e3b196bf858c073c30cb312e8376a23c5f"/>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colma la lacuna di attivazione della misurazione.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1764"/>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1765"/>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1766"/>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e vanno registrati subito; la rilevazione di servizio parte con il primo assistito. Il principio è stringente, e merita di essere enunciato senza attenuazioni: ogni mese di ritardo nell’avvio della rilevazione è un mese di dati di base perduti, non recuperabili a posteriori.</w:t>
      </w:r>
      <w:r>
        <w:rPr>
          <w:rStyle w:val="FootnoteReference"/>
        </w:rPr>
        <w:footnoteReference w:id="1767"/>
      </w:r>
      <w:r>
        <w:t xml:space="preserve"> </w:t>
      </w:r>
      <w:r>
        <w:t xml:space="preserve">Il calendario disciplina questa sequenza, dalla costituzione della baseline prima dell’avvio, alla registrazione corrente dall’avvio, alla trasmissione mensile di indicatori aggregati al comitato di indirizzo regionale, fino al calcolo periodico delle misure di sintesi e all’aggiornamento del cruscotto.</w:t>
      </w:r>
      <w:r>
        <w:rPr>
          <w:rStyle w:val="FootnoteReference"/>
        </w:rPr>
        <w:footnoteReference w:id="1768"/>
      </w:r>
      <w:r>
        <w:t xml:space="preserve"> </w:t>
      </w:r>
      <w:r>
        <w:t xml:space="preserve">La tabella seguente lo riepiloga.</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94"/>
        <w:gridCol w:w="592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Momento</w:t>
            </w:r>
          </w:p>
        </w:tc>
        <w:tc>
          <w:tcPr>
            <w:shd w:val="clear" w:color="auto" w:fill="16264B"/>
          </w:tcPr>
          <w:p>
            <w:pPr>
              <w:pStyle w:val="Compact"/>
              <w:spacing w:after="40" w:before="40"/>
              <w:jc w:val="left"/>
            </w:pPr>
            <w:r>
              <w:rPr>
                <w:rFonts w:ascii="Cambria" w:hAnsi="Cambria" w:cs="Cambria" w:eastAsia="Cambria"/>
                <w:b/>
                <w:bCs/>
                <w:color w:val="FFFFFF"/>
                <w:sz w:val="18"/>
              </w:rPr>
              <w:t xml:space="preserve">Attività</w:t>
            </w:r>
          </w:p>
        </w:tc>
      </w:tr>
      <w:tr>
        <w:tc>
          <w:tcPr/>
          <w:p>
            <w:pPr>
              <w:pStyle w:val="Compact"/>
              <w:spacing w:after="40" w:before="40"/>
              <w:jc w:val="left"/>
            </w:pPr>
            <w:r>
              <w:rPr>
                <w:rFonts w:ascii="Cambria" w:hAnsi="Cambria" w:cs="Cambria" w:eastAsia="Cambria"/>
                <w:b/>
                <w:bCs/>
                <w:color w:val="1A1A1A"/>
                <w:sz w:val="18"/>
              </w:rPr>
              <w:t xml:space="preserve">Prima dell’avvio (per area)</w:t>
            </w:r>
          </w:p>
        </w:tc>
        <w:tc>
          <w:tcPr/>
          <w:p>
            <w:pPr>
              <w:pStyle w:val="Compact"/>
              <w:spacing w:after="40" w:before="40"/>
              <w:jc w:val="left"/>
            </w:pPr>
            <w:r>
              <w:rPr>
                <w:rFonts w:ascii="Cambria" w:hAnsi="Cambria" w:cs="Cambria" w:eastAsia="Cambria"/>
                <w:color w:val="1A1A1A"/>
                <w:sz w:val="18"/>
              </w:rPr>
              <w:t xml:space="preserve">Costituzione della baseline con i dati disponibili; predisposizione del registro e dei questionari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All’avvio</w:t>
            </w:r>
          </w:p>
        </w:tc>
        <w:tc>
          <w:tcPr>
            <w:shd w:val="clear" w:color="auto" w:fill="F4F1EC"/>
          </w:tcPr>
          <w:p>
            <w:pPr>
              <w:pStyle w:val="Compact"/>
              <w:spacing w:after="40" w:before="40"/>
              <w:jc w:val="left"/>
            </w:pPr>
            <w:r>
              <w:rPr>
                <w:rFonts w:ascii="Cambria" w:hAnsi="Cambria" w:cs="Cambria" w:eastAsia="Cambria"/>
                <w:color w:val="1A1A1A"/>
                <w:sz w:val="18"/>
              </w:rPr>
              <w:t xml:space="preserve">Inizio della registrazione di ogni presa in carico e di ogni seduta, con i punteggi di esito</w:t>
            </w:r>
          </w:p>
        </w:tc>
      </w:tr>
      <w:tr>
        <w:tc>
          <w:tcPr/>
          <w:p>
            <w:pPr>
              <w:pStyle w:val="Compact"/>
              <w:spacing w:after="40" w:before="40"/>
              <w:jc w:val="left"/>
            </w:pPr>
            <w:r>
              <w:rPr>
                <w:rFonts w:ascii="Cambria" w:hAnsi="Cambria" w:cs="Cambria" w:eastAsia="Cambria"/>
                <w:b/>
                <w:bCs/>
                <w:color w:val="1A1A1A"/>
                <w:sz w:val="18"/>
              </w:rPr>
              <w:t xml:space="preserve">In continuo</w:t>
            </w:r>
          </w:p>
        </w:tc>
        <w:tc>
          <w:tcPr/>
          <w:p>
            <w:pPr>
              <w:pStyle w:val="Compact"/>
              <w:spacing w:after="40" w:before="40"/>
              <w:jc w:val="left"/>
            </w:pPr>
            <w:r>
              <w:rPr>
                <w:rFonts w:ascii="Cambria" w:hAnsi="Cambria" w:cs="Cambria" w:eastAsia="Cambria"/>
                <w:color w:val="1A1A1A"/>
                <w:sz w:val="18"/>
              </w:rPr>
              <w:t xml:space="preserve">Alimentazione del registro; trasmissione di indicatori aggregati al comitato di indirizzo regionale con cadenza mensile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Periodico (semestrale e annuale)</w:t>
            </w:r>
          </w:p>
        </w:tc>
        <w:tc>
          <w:tcPr>
            <w:shd w:val="clear" w:color="auto" w:fill="F4F1EC"/>
          </w:tcPr>
          <w:p>
            <w:pPr>
              <w:pStyle w:val="Compact"/>
              <w:spacing w:after="40" w:before="40"/>
              <w:jc w:val="left"/>
            </w:pPr>
            <w:r>
              <w:rPr>
                <w:rFonts w:ascii="Cambria" w:hAnsi="Cambria" w:cs="Cambria" w:eastAsia="Cambria"/>
                <w:color w:val="1A1A1A"/>
                <w:sz w:val="18"/>
              </w:rPr>
              <w:t xml:space="preserve">Calcolo delle misure di sintesi e aggiornamento del cruscotto regionale</w:t>
            </w:r>
          </w:p>
        </w:tc>
      </w:tr>
    </w:tbl>
    <w:p>
      <w:pPr>
        <w:pStyle w:val="BodyText"/>
      </w:pPr>
      <w:r>
        <w:rPr>
          <w:i/>
          <w:iCs/>
        </w:rPr>
        <w:t xml:space="preserve">Tabella L.2. Il calendario della rilevazione. La baseline da statistiche correnti precede l</w:t>
      </w:r>
      <w:r>
        <w:rPr>
          <w:b/>
          <w:bCs/>
          <w:i/>
          <w:iCs/>
        </w:rPr>
        <w:t xml:space="preserve">’</w:t>
      </w:r>
      <w:r>
        <w:rPr>
          <w:i/>
          <w:iCs/>
        </w:rPr>
        <w:t xml:space="preserve">avvio; la rilevazione di servizio parte con il primo assistito.</w:t>
      </w:r>
    </w:p>
    <w:bookmarkEnd w:id="4288"/>
    <w:bookmarkStart w:id="885" w:name="l.3-la-valutazione-controfattuale-1"/>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Lo strumento che rende possibile questa stima è, in questo studio, lo stesso disegno del dispiegamento: la sua scansione scaglionata tra le otto Agenzie configura un esperimento naturale, idoneo a misurare gli effetti reali del servizio.</w:t>
      </w:r>
      <w:r>
        <w:rPr>
          <w:rStyle w:val="FootnoteReference"/>
        </w:rPr>
        <w:footnoteReference w:id="1769"/>
      </w:r>
      <w:r>
        <w:t xml:space="preserve"> </w:t>
      </w:r>
      <w:r>
        <w:t xml:space="preserve">Il metodo principale è la differenza-nelle-differenze, che confronta la variazione nel tempo dell’esito tra le Agenzie già attivate e quelle non ancora attivate, sotto l’ipotesi di andamento parallelo; a esso si affianca il controllo sintetico, che costruisce un’unità di confronto artificiale come combinazione ponderata di unità non trattate.</w:t>
      </w:r>
      <w:r>
        <w:rPr>
          <w:rStyle w:val="FootnoteReference"/>
        </w:rPr>
        <w:footnoteReference w:id="1770"/>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esperimento naturale sono, per gli interventi di salute della popolazione, lo strumento raccomandato dalla letteratura metodologica.</w:t>
      </w:r>
      <w:r>
        <w:rPr>
          <w:rStyle w:val="FootnoteReference"/>
        </w:rPr>
        <w:footnoteReference w:id="1771"/>
      </w:r>
      <w:r>
        <w:t xml:space="preserve"> </w:t>
      </w:r>
      <w:r>
        <w:t xml:space="preserve">La portata di questo metodo, per il presente studio, è dirimente: confrontando, ad esempio, l’andamento degli accessi al pronto soccorso per cause psichiatriche nelle Agenzie che hanno attivato il servizio con quello delle Agenzie che lo attiveranno, si isola l’effetto proprio della riforma e si trasforma la stima dei risparmi da proiezione attesa a misura empiricamente fondata.</w:t>
      </w:r>
      <w:r>
        <w:rPr>
          <w:rStyle w:val="FootnoteReference"/>
        </w:rPr>
        <w:footnoteReference w:id="1772"/>
      </w:r>
      <w:r>
        <w:t xml:space="preserve"> </w:t>
      </w:r>
      <w:r>
        <w:t xml:space="preserve">È questo il passaggio che, a regime, eleva lo studio da proposta argomentata a politica validata, e che chiude il cerchio aperto dal valore dell’informazione della Parte F.</w:t>
      </w:r>
    </w:p>
    <w:bookmarkEnd w:id="885"/>
    <w:bookmarkStart w:id="888" w:name="l.4-la-verifica-ex-post-della-norma-1"/>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1773"/>
      </w:r>
      <w:r>
        <w:t xml:space="preserve"> </w:t>
      </w:r>
      <w:r>
        <w:t xml:space="preserve">A essa si lega, sul piano regionale, la clausola valutativa, che impegna la Giunta a riferire periodicamente al Consiglio regionale sui risultati conseguiti. La clausola è il passaggio che lega la misurazione tecnica alla responsabilità politica e alla trasparenza verso il legislatore regionale: i risultati non restano negli archivi amministrativi, ma sono portati periodicamente all’attenzione dell’organo che ha disposto il servizio, a presidio della rendicontazione democratica.</w:t>
      </w:r>
      <w:r>
        <w:rPr>
          <w:rStyle w:val="FootnoteReference"/>
        </w:rPr>
        <w:footnoteReference w:id="1774"/>
      </w:r>
    </w:p>
    <w:bookmarkEnd w:id="888"/>
    <w:bookmarkStart w:id="892" w:name="X04faaaedde456f1e1306dfb0702a997cacd1f74"/>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1775"/>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1776"/>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1777"/>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in luogo del canale della mobilità recuperata, non pertinente alla Lombardia. La tabella seguente ne riepiloga le dimensioni.</w:t>
      </w:r>
    </w:p>
    <w:tbl>
      <w:tblPr>
        <w:tblStyle w:val="Table"/>
        <w:tblW w:type="pct" w:w="490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92"/>
        <w:gridCol w:w="51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 sintesi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Guadagno di salute</w:t>
            </w:r>
          </w:p>
        </w:tc>
        <w:tc>
          <w:tcPr/>
          <w:p>
            <w:pPr>
              <w:pStyle w:val="Compact"/>
              <w:spacing w:after="40" w:before="40"/>
              <w:jc w:val="left"/>
            </w:pPr>
            <w:r>
              <w:rPr>
                <w:rFonts w:ascii="Cambria" w:hAnsi="Cambria" w:cs="Cambria" w:eastAsia="Cambria"/>
                <w:color w:val="1A1A1A"/>
                <w:sz w:val="18"/>
              </w:rPr>
              <w:t xml:space="preserve">Anni di vita ponderati per la qualità in salute mentale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Tasso di recupero</w:t>
            </w:r>
          </w:p>
        </w:tc>
        <w:tc>
          <w:tcPr>
            <w:shd w:val="clear" w:color="auto" w:fill="F4F1EC"/>
          </w:tcPr>
          <w:p>
            <w:pPr>
              <w:pStyle w:val="Compact"/>
              <w:spacing w:after="40" w:before="40"/>
              <w:jc w:val="left"/>
            </w:pPr>
            <w:r>
              <w:rPr>
                <w:rFonts w:ascii="Cambria" w:hAnsi="Cambria" w:cs="Cambria" w:eastAsia="Cambria"/>
                <w:color w:val="1A1A1A"/>
                <w:sz w:val="18"/>
              </w:rPr>
              <w:t xml:space="preserve">Miglioramento clinico e superamento delle soglie (PHQ-9, GAD-7)</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Valore sociale generato per euro investito (SROI)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 territoriale</w:t>
            </w:r>
          </w:p>
        </w:tc>
        <w:tc>
          <w:tcPr>
            <w:shd w:val="clear" w:color="auto" w:fill="F4F1EC"/>
          </w:tcPr>
          <w:p>
            <w:pPr>
              <w:pStyle w:val="Compact"/>
              <w:spacing w:after="40" w:before="40"/>
              <w:jc w:val="left"/>
            </w:pPr>
            <w:r>
              <w:rPr>
                <w:rFonts w:ascii="Cambria" w:hAnsi="Cambria" w:cs="Cambria" w:eastAsia="Cambria"/>
                <w:color w:val="1A1A1A"/>
                <w:sz w:val="18"/>
              </w:rPr>
              <w:t xml:space="preserve">Esito e accesso tra Agenzie e tra aree metropolitane e alpine</w:t>
            </w:r>
          </w:p>
        </w:tc>
      </w:tr>
      <w:tr>
        <w:tc>
          <w:tcPr/>
          <w:p>
            <w:pPr>
              <w:pStyle w:val="Compact"/>
              <w:spacing w:after="40" w:before="40"/>
              <w:jc w:val="left"/>
            </w:pPr>
            <w:r>
              <w:rPr>
                <w:rFonts w:ascii="Cambria" w:hAnsi="Cambria" w:cs="Cambria" w:eastAsia="Cambria"/>
                <w:b/>
                <w:bCs/>
                <w:color w:val="1A1A1A"/>
                <w:sz w:val="18"/>
              </w:rPr>
              <w:t xml:space="preserve">Liste di attesa</w:t>
            </w:r>
          </w:p>
        </w:tc>
        <w:tc>
          <w:tcPr/>
          <w:p>
            <w:pPr>
              <w:pStyle w:val="Compact"/>
              <w:spacing w:after="40" w:before="40"/>
              <w:jc w:val="left"/>
            </w:pPr>
            <w:r>
              <w:rPr>
                <w:rFonts w:ascii="Cambria" w:hAnsi="Cambria" w:cs="Cambria" w:eastAsia="Cambria"/>
                <w:color w:val="1A1A1A"/>
                <w:sz w:val="18"/>
              </w:rPr>
              <w:t xml:space="preserve">Riduzione dei tempi di attesa e completamento della rete territoriale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Indicatori di sistema</w:t>
            </w:r>
          </w:p>
        </w:tc>
        <w:tc>
          <w:tcPr>
            <w:shd w:val="clear" w:color="auto" w:fill="F4F1EC"/>
          </w:tcPr>
          <w:p>
            <w:pPr>
              <w:pStyle w:val="Compact"/>
              <w:spacing w:after="40" w:before="40"/>
              <w:jc w:val="left"/>
            </w:pPr>
            <w:r>
              <w:rPr>
                <w:rFonts w:ascii="Cambria" w:hAnsi="Cambria" w:cs="Cambria" w:eastAsia="Cambria"/>
                <w:color w:val="1A1A1A"/>
                <w:sz w:val="18"/>
              </w:rPr>
              <w:t xml:space="preserve">Esito, esperienza, costo e operatori (Quadruple Aim)</w:t>
            </w:r>
          </w:p>
        </w:tc>
      </w:tr>
    </w:tbl>
    <w:p>
      <w:pPr>
        <w:pStyle w:val="BodyText"/>
      </w:pPr>
      <w:r>
        <w:rPr>
          <w:i/>
          <w:iCs/>
        </w:rPr>
        <w:t xml:space="preserve">Tabella L.3. Le dimensioni di sintesi del cruscotto regionale lombardo.</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892"/>
    <w:bookmarkEnd w:id="4286"/>
    <w:bookmarkStart w:id="929" w:name="X432bd4c316bb6a1a146b871b0c544b27550b2c3"/>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1778"/>
      </w:r>
      <w:r>
        <w:rPr>
          <w:rStyle w:val="FootnoteReference"/>
        </w:rPr>
        <w:footnoteReference w:id="1779"/>
      </w:r>
      <w:r>
        <w:rPr>
          <w:rStyle w:val="FootnoteReference"/>
        </w:rPr>
        <w:footnoteReference w:id="1780"/>
      </w:r>
      <w:r>
        <w:rPr>
          <w:rStyle w:val="FootnoteReference"/>
        </w:rPr>
        <w:footnoteReference w:id="1781"/>
      </w:r>
      <w:r>
        <w:rPr>
          <w:rStyle w:val="FootnoteReference"/>
        </w:rPr>
        <w:footnoteReference w:id="1782"/>
      </w:r>
      <w:r>
        <w:rPr>
          <w:rStyle w:val="FootnoteReference"/>
        </w:rPr>
        <w:footnoteReference w:id="1783"/>
      </w:r>
      <w:r>
        <w:rPr>
          <w:rStyle w:val="FootnoteReference"/>
        </w:rPr>
        <w:footnoteReference w:id="1784"/>
      </w:r>
      <w:r>
        <w:rPr>
          <w:rStyle w:val="FootnoteReference"/>
        </w:rPr>
        <w:footnoteReference w:id="1785"/>
      </w:r>
      <w:r>
        <w:rPr>
          <w:rStyle w:val="FootnoteReference"/>
        </w:rPr>
        <w:footnoteReference w:id="1786"/>
      </w:r>
      <w:r>
        <w:rPr>
          <w:rStyle w:val="FootnoteReference"/>
        </w:rPr>
        <w:footnoteReference w:id="1787"/>
      </w:r>
      <w:r>
        <w:rPr>
          <w:rStyle w:val="FootnoteReference"/>
        </w:rPr>
        <w:footnoteReference w:id="1788"/>
      </w:r>
      <w:r>
        <w:rPr>
          <w:rStyle w:val="FootnoteReference"/>
        </w:rPr>
        <w:footnoteReference w:id="1789"/>
      </w:r>
      <w:r>
        <w:rPr>
          <w:rStyle w:val="FootnoteReference"/>
        </w:rPr>
        <w:footnoteReference w:id="1790"/>
      </w:r>
      <w:r>
        <w:rPr>
          <w:rStyle w:val="FootnoteReference"/>
        </w:rPr>
        <w:footnoteReference w:id="1791"/>
      </w:r>
      <w:r>
        <w:rPr>
          <w:rStyle w:val="FootnoteReference"/>
        </w:rPr>
        <w:footnoteReference w:id="1792"/>
      </w:r>
      <w:r>
        <w:rPr>
          <w:rStyle w:val="FootnoteReference"/>
        </w:rPr>
        <w:footnoteReference w:id="1793"/>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917" w:name="m.1-la-griglia-di-valutazione-ocse-dac-1"/>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1794"/>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lombardo, sul criterio dell’efficienza. L’intervento è rilevante, perché risponde a un bisogno reale e di grande dimensione e all’obbligo di garantire i livelli essenziali;</w:t>
      </w:r>
      <w:r>
        <w:rPr>
          <w:rStyle w:val="FootnoteReference"/>
        </w:rPr>
        <w:footnoteReference w:id="1795"/>
      </w:r>
      <w:r>
        <w:t xml:space="preserve"> </w:t>
      </w:r>
      <w:r>
        <w:t xml:space="preserve">è coerente, perché compatibile con gli standard dell’assistenza territoriale, con il PNRR e con la legge regionale, ed è costituzionalmente difendibile, senza incontrare il vincolo del piano di rientro;</w:t>
      </w:r>
      <w:r>
        <w:rPr>
          <w:rStyle w:val="FootnoteReference"/>
        </w:rPr>
        <w:footnoteReference w:id="1796"/>
      </w:r>
      <w:r>
        <w:t xml:space="preserve"> </w:t>
      </w:r>
      <w:r>
        <w:t xml:space="preserve">è efficace, perché l’evidenza internazionale ne documenta il raggiungimento degli obiettivi clinici;</w:t>
      </w:r>
      <w:r>
        <w:rPr>
          <w:rStyle w:val="FootnoteReference"/>
        </w:rPr>
        <w:footnoteReference w:id="1797"/>
      </w:r>
      <w:r>
        <w:t xml:space="preserve"> </w:t>
      </w:r>
      <w:r>
        <w:t xml:space="preserve">è efficiente in termini di costo-utilità, con dominanza per paziente, pur a fronte di un saldo diretto negativo sul solo bilancio, di entità modesta;</w:t>
      </w:r>
      <w:r>
        <w:rPr>
          <w:rStyle w:val="FootnoteReference"/>
        </w:rPr>
        <w:footnoteReference w:id="1798"/>
      </w:r>
      <w:r>
        <w:t xml:space="preserve"> </w:t>
      </w:r>
      <w:r>
        <w:t xml:space="preserve">ha un impatto distributivo favorevole e un ritorno complessivo di 3,8–5,4 a uno;</w:t>
      </w:r>
      <w:r>
        <w:rPr>
          <w:rStyle w:val="FootnoteReference"/>
        </w:rPr>
        <w:footnoteReference w:id="1799"/>
      </w:r>
      <w:r>
        <w:t xml:space="preserve"> </w:t>
      </w:r>
      <w:r>
        <w:t xml:space="preserve">ed è sostenibile, sul piano finanziario e organizzativo.</w:t>
      </w:r>
      <w:r>
        <w:rPr>
          <w:rStyle w:val="FootnoteReference"/>
        </w:rPr>
        <w:footnoteReference w:id="1800"/>
      </w:r>
      <w:r>
        <w:t xml:space="preserve"> </w:t>
      </w:r>
      <w:r>
        <w:t xml:space="preserve">La tabella seguente riepiloga il giudizio, criterio per criterio.</w:t>
      </w:r>
    </w:p>
    <w:tbl>
      <w:tblPr>
        <w:tblStyle w:val="Table"/>
        <w:tblW w:type="pct" w:w="493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293"/>
        <w:gridCol w:w="2370"/>
        <w:gridCol w:w="414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Domanda valutativa</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 dallo studio</w:t>
            </w:r>
          </w:p>
        </w:tc>
      </w:tr>
      <w:tr>
        <w:tc>
          <w:tcPr/>
          <w:p>
            <w:pPr>
              <w:pStyle w:val="Compact"/>
              <w:spacing w:after="40" w:before="40"/>
              <w:jc w:val="left"/>
            </w:pPr>
            <w:r>
              <w:rPr>
                <w:rFonts w:ascii="Cambria" w:hAnsi="Cambria" w:cs="Cambria" w:eastAsia="Cambria"/>
                <w:b/>
                <w:bCs/>
                <w:color w:val="1A1A1A"/>
                <w:sz w:val="18"/>
              </w:rPr>
              <w:t xml:space="preserve">Rilevanza</w:t>
            </w:r>
          </w:p>
        </w:tc>
        <w:tc>
          <w:tcPr/>
          <w:p>
            <w:pPr>
              <w:pStyle w:val="Compact"/>
              <w:spacing w:after="40" w:before="40"/>
              <w:jc w:val="left"/>
            </w:pPr>
            <w:r>
              <w:rPr>
                <w:rFonts w:ascii="Cambria" w:hAnsi="Cambria" w:cs="Cambria" w:eastAsia="Cambria"/>
                <w:color w:val="1A1A1A"/>
                <w:sz w:val="18"/>
              </w:rPr>
              <w:t xml:space="preserve">Risponde al bisogno reale?</w:t>
            </w:r>
          </w:p>
        </w:tc>
        <w:tc>
          <w:tcPr/>
          <w:p>
            <w:pPr>
              <w:pStyle w:val="Compact"/>
              <w:spacing w:after="40" w:before="40"/>
              <w:jc w:val="left"/>
            </w:pPr>
            <w:r>
              <w:rPr>
                <w:rFonts w:ascii="Cambria" w:hAnsi="Cambria" w:cs="Cambria" w:eastAsia="Cambria"/>
                <w:color w:val="1A1A1A"/>
                <w:sz w:val="18"/>
              </w:rPr>
              <w:t xml:space="preserve">Sì: ~2.000.000 con disagio inevaso; obbligo dei livelli essenziali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w:t>
            </w:r>
          </w:p>
        </w:tc>
        <w:tc>
          <w:tcPr>
            <w:shd w:val="clear" w:color="auto" w:fill="F4F1EC"/>
          </w:tcPr>
          <w:p>
            <w:pPr>
              <w:pStyle w:val="Compact"/>
              <w:spacing w:after="40" w:before="40"/>
              <w:jc w:val="left"/>
            </w:pPr>
            <w:r>
              <w:rPr>
                <w:rFonts w:ascii="Cambria" w:hAnsi="Cambria" w:cs="Cambria" w:eastAsia="Cambria"/>
                <w:color w:val="1A1A1A"/>
                <w:sz w:val="18"/>
              </w:rPr>
              <w:t xml:space="preserve">È compatibile con le altre politiche?</w:t>
            </w:r>
          </w:p>
        </w:tc>
        <w:tc>
          <w:tcPr>
            <w:shd w:val="clear" w:color="auto" w:fill="F4F1EC"/>
          </w:tcPr>
          <w:p>
            <w:pPr>
              <w:pStyle w:val="Compact"/>
              <w:spacing w:after="40" w:before="40"/>
              <w:jc w:val="left"/>
            </w:pPr>
            <w:r>
              <w:rPr>
                <w:rFonts w:ascii="Cambria" w:hAnsi="Cambria" w:cs="Cambria" w:eastAsia="Cambria"/>
                <w:color w:val="1A1A1A"/>
                <w:sz w:val="18"/>
              </w:rPr>
              <w:t xml:space="preserve">Sì: DM 77, PNRR, L.R. 22/2021; difendibile in Costituzione; nessun rientro</w:t>
            </w:r>
          </w:p>
        </w:tc>
      </w:tr>
      <w:tr>
        <w:tc>
          <w:tcPr/>
          <w:p>
            <w:pPr>
              <w:pStyle w:val="Compact"/>
              <w:spacing w:after="40" w:before="40"/>
              <w:jc w:val="left"/>
            </w:pPr>
            <w:r>
              <w:rPr>
                <w:rFonts w:ascii="Cambria" w:hAnsi="Cambria" w:cs="Cambria" w:eastAsia="Cambria"/>
                <w:b/>
                <w:bCs/>
                <w:color w:val="1A1A1A"/>
                <w:sz w:val="18"/>
              </w:rPr>
              <w:t xml:space="preserve">Efficacia</w:t>
            </w:r>
          </w:p>
        </w:tc>
        <w:tc>
          <w:tcPr/>
          <w:p>
            <w:pPr>
              <w:pStyle w:val="Compact"/>
              <w:spacing w:after="40" w:before="40"/>
              <w:jc w:val="left"/>
            </w:pPr>
            <w:r>
              <w:rPr>
                <w:rFonts w:ascii="Cambria" w:hAnsi="Cambria" w:cs="Cambria" w:eastAsia="Cambria"/>
                <w:color w:val="1A1A1A"/>
                <w:sz w:val="18"/>
              </w:rPr>
              <w:t xml:space="preserve">Raggiunge gli obiettivi?</w:t>
            </w:r>
          </w:p>
        </w:tc>
        <w:tc>
          <w:tcPr/>
          <w:p>
            <w:pPr>
              <w:pStyle w:val="Compact"/>
              <w:spacing w:after="40" w:before="40"/>
              <w:jc w:val="left"/>
            </w:pPr>
            <w:r>
              <w:rPr>
                <w:rFonts w:ascii="Cambria" w:hAnsi="Cambria" w:cs="Cambria" w:eastAsia="Cambria"/>
                <w:color w:val="1A1A1A"/>
                <w:sz w:val="18"/>
              </w:rPr>
              <w:t xml:space="preserve">Sì: evidenza internazionale (recupero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Efficienza</w:t>
            </w:r>
          </w:p>
        </w:tc>
        <w:tc>
          <w:tcPr>
            <w:shd w:val="clear" w:color="auto" w:fill="F4F1EC"/>
          </w:tcPr>
          <w:p>
            <w:pPr>
              <w:pStyle w:val="Compact"/>
              <w:spacing w:after="40" w:before="40"/>
              <w:jc w:val="left"/>
            </w:pPr>
            <w:r>
              <w:rPr>
                <w:rFonts w:ascii="Cambria" w:hAnsi="Cambria" w:cs="Cambria" w:eastAsia="Cambria"/>
                <w:color w:val="1A1A1A"/>
                <w:sz w:val="18"/>
              </w:rPr>
              <w:t xml:space="preserve">Impiega le risorse in modo proporzionato?</w:t>
            </w:r>
          </w:p>
        </w:tc>
        <w:tc>
          <w:tcPr>
            <w:shd w:val="clear" w:color="auto" w:fill="F4F1EC"/>
          </w:tcPr>
          <w:p>
            <w:pPr>
              <w:pStyle w:val="Compact"/>
              <w:spacing w:after="40" w:before="40"/>
              <w:jc w:val="left"/>
            </w:pPr>
            <w:r>
              <w:rPr>
                <w:rFonts w:ascii="Cambria" w:hAnsi="Cambria" w:cs="Cambria" w:eastAsia="Cambria"/>
                <w:color w:val="1A1A1A"/>
                <w:sz w:val="18"/>
              </w:rPr>
              <w:t xml:space="preserve">Sì in costo-utilità (dominanza); saldo diretto negativo a costo modesto</w:t>
            </w:r>
          </w:p>
        </w:tc>
      </w:tr>
      <w:tr>
        <w:tc>
          <w:tcPr/>
          <w:p>
            <w:pPr>
              <w:pStyle w:val="Compact"/>
              <w:spacing w:after="40" w:before="40"/>
              <w:jc w:val="left"/>
            </w:pPr>
            <w:r>
              <w:rPr>
                <w:rFonts w:ascii="Cambria" w:hAnsi="Cambria" w:cs="Cambria" w:eastAsia="Cambria"/>
                <w:b/>
                <w:bCs/>
                <w:color w:val="1A1A1A"/>
                <w:sz w:val="18"/>
              </w:rPr>
              <w:t xml:space="preserve">Impatto</w:t>
            </w:r>
          </w:p>
        </w:tc>
        <w:tc>
          <w:tcPr/>
          <w:p>
            <w:pPr>
              <w:pStyle w:val="Compact"/>
              <w:spacing w:after="40" w:before="40"/>
              <w:jc w:val="left"/>
            </w:pPr>
            <w:r>
              <w:rPr>
                <w:rFonts w:ascii="Cambria" w:hAnsi="Cambria" w:cs="Cambria" w:eastAsia="Cambria"/>
                <w:color w:val="1A1A1A"/>
                <w:sz w:val="18"/>
              </w:rPr>
              <w:t xml:space="preserve">Produce effetti più ampi?</w:t>
            </w:r>
          </w:p>
        </w:tc>
        <w:tc>
          <w:tcPr/>
          <w:p>
            <w:pPr>
              <w:pStyle w:val="Compact"/>
              <w:spacing w:after="40" w:before="40"/>
              <w:jc w:val="left"/>
            </w:pPr>
            <w:r>
              <w:rPr>
                <w:rFonts w:ascii="Cambria" w:hAnsi="Cambria" w:cs="Cambria" w:eastAsia="Cambria"/>
                <w:color w:val="1A1A1A"/>
                <w:sz w:val="18"/>
              </w:rPr>
              <w:t xml:space="preserve">Sì: riduce il gradiente territoriale; ritorno complessivo 3,8–5,4:1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Sostenibilità</w:t>
            </w:r>
          </w:p>
        </w:tc>
        <w:tc>
          <w:tcPr>
            <w:shd w:val="clear" w:color="auto" w:fill="F4F1EC"/>
          </w:tcPr>
          <w:p>
            <w:pPr>
              <w:pStyle w:val="Compact"/>
              <w:spacing w:after="40" w:before="40"/>
              <w:jc w:val="left"/>
            </w:pPr>
            <w:r>
              <w:rPr>
                <w:rFonts w:ascii="Cambria" w:hAnsi="Cambria" w:cs="Cambria" w:eastAsia="Cambria"/>
                <w:color w:val="1A1A1A"/>
                <w:sz w:val="18"/>
              </w:rPr>
              <w:t xml:space="preserve">I benefici e il servizio durano?</w:t>
            </w:r>
          </w:p>
        </w:tc>
        <w:tc>
          <w:tcPr>
            <w:shd w:val="clear" w:color="auto" w:fill="F4F1EC"/>
          </w:tcPr>
          <w:p>
            <w:pPr>
              <w:pStyle w:val="Compact"/>
              <w:spacing w:after="40" w:before="40"/>
              <w:jc w:val="left"/>
            </w:pPr>
            <w:r>
              <w:rPr>
                <w:rFonts w:ascii="Cambria" w:hAnsi="Cambria" w:cs="Cambria" w:eastAsia="Cambria"/>
                <w:color w:val="1A1A1A"/>
                <w:sz w:val="18"/>
              </w:rPr>
              <w:t xml:space="preserve">Sì: costo modesto, bilancio in equilibrio, istituzionalizzazione</w:t>
            </w:r>
          </w:p>
        </w:tc>
      </w:tr>
    </w:tbl>
    <w:p>
      <w:pPr>
        <w:pStyle w:val="BodyText"/>
      </w:pPr>
      <w:r>
        <w:rPr>
          <w:i/>
          <w:iCs/>
        </w:rPr>
        <w:t xml:space="preserve">Tabella M.1. La griglia di giudizio OCSE-DAC applicata allo studio, criterio per criterio.</w:t>
      </w:r>
    </w:p>
    <w:bookmarkEnd w:id="917"/>
    <w:bookmarkStart w:id="4289" w:name="m.2-lanalisi-multi-criterio-2"/>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1801"/>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80,7 su 100 contro 39,25 dell’opzione zero, e prevale su tutti i criteri a eccezione della sola fattibilità immediata, nella quale l’opzione zero — che non richiede alcuna attuazione — è ovviamente superiore, ma il cui svantaggio è gestito attraverso il dispiegamento graduale.</w:t>
      </w:r>
      <w:r>
        <w:rPr>
          <w:rStyle w:val="FootnoteReference"/>
        </w:rPr>
        <w:footnoteReference w:id="1802"/>
      </w:r>
      <w:r>
        <w:t xml:space="preserve"> </w:t>
      </w:r>
      <w:r>
        <w:t xml:space="preserve">Rispetto al caso pugliese, il punteggio dell’intervento è lievemente inferiore, in ragione del saldo diretto negativo che riduce il sub-punteggio dell’impatto di bilancio; resta nondimeno una preferenza netta e stabile rispetto ai pesi adottati. La tabella seguente riporta la matrice delle prestazioni.</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24"/>
        <w:gridCol w:w="1006"/>
        <w:gridCol w:w="1006"/>
        <w:gridCol w:w="1073"/>
        <w:gridCol w:w="10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w:t>
            </w:r>
          </w:p>
        </w:tc>
        <w:tc>
          <w:tcPr>
            <w:shd w:val="clear" w:color="auto" w:fill="16264B"/>
          </w:tcPr>
          <w:p>
            <w:pPr>
              <w:pStyle w:val="Compact"/>
              <w:spacing w:after="40" w:before="40"/>
              <w:jc w:val="left"/>
            </w:pPr>
            <w:r>
              <w:rPr>
                <w:rFonts w:ascii="Cambria" w:hAnsi="Cambria" w:cs="Cambria" w:eastAsia="Cambria"/>
                <w:b/>
                <w:bCs/>
                <w:color w:val="FFFFFF"/>
                <w:sz w:val="18"/>
              </w:rPr>
              <w:t xml:space="preserve">Opz. zero</w:t>
            </w:r>
          </w:p>
        </w:tc>
        <w:tc>
          <w:tcPr>
            <w:shd w:val="clear" w:color="auto" w:fill="16264B"/>
          </w:tcPr>
          <w:p>
            <w:pPr>
              <w:pStyle w:val="Compact"/>
              <w:spacing w:after="40" w:before="40"/>
              <w:jc w:val="left"/>
            </w:pPr>
            <w:r>
              <w:rPr>
                <w:rFonts w:ascii="Cambria" w:hAnsi="Cambria" w:cs="Cambria" w:eastAsia="Cambria"/>
                <w:b/>
                <w:bCs/>
                <w:color w:val="FFFFFF"/>
                <w:sz w:val="18"/>
              </w:rPr>
              <w:t xml:space="preserve">Δ pond.</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30</w:t>
            </w:r>
          </w:p>
        </w:tc>
        <w:tc>
          <w:tcPr/>
          <w:p>
            <w:pPr>
              <w:pStyle w:val="Compact"/>
              <w:spacing w:after="40" w:before="40"/>
              <w:jc w:val="left"/>
            </w:pPr>
            <w:r>
              <w:rPr>
                <w:rFonts w:ascii="Cambria" w:hAnsi="Cambria" w:cs="Cambria" w:eastAsia="Cambria"/>
                <w:color w:val="1A1A1A"/>
                <w:sz w:val="18"/>
              </w:rPr>
              <w:t xml:space="preserve">+7,5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88</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+12,6</w:t>
            </w:r>
          </w:p>
        </w:tc>
      </w:tr>
      <w:tr>
        <w:tc>
          <w:tcPr/>
          <w:p>
            <w:pPr>
              <w:pStyle w:val="Compact"/>
              <w:spacing w:after="40" w:before="40"/>
              <w:jc w:val="left"/>
            </w:pPr>
            <w:r>
              <w:rPr>
                <w:rFonts w:ascii="Cambria" w:hAnsi="Cambria" w:cs="Cambria" w:eastAsia="Cambria"/>
                <w:b/>
                <w:bCs/>
                <w:color w:val="1A1A1A"/>
                <w:sz w:val="18"/>
              </w:rPr>
              <w:t xml:space="preserve">Impatto di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70</w:t>
            </w:r>
          </w:p>
        </w:tc>
        <w:tc>
          <w:tcPr/>
          <w:p>
            <w:pPr>
              <w:pStyle w:val="Compact"/>
              <w:spacing w:after="40" w:before="40"/>
              <w:jc w:val="left"/>
            </w:pPr>
            <w:r>
              <w:rPr>
                <w:rFonts w:ascii="Cambria" w:hAnsi="Cambria" w:cs="Cambria" w:eastAsia="Cambria"/>
                <w:color w:val="1A1A1A"/>
                <w:sz w:val="18"/>
              </w:rPr>
              <w:t xml:space="preserve">50</w:t>
            </w:r>
          </w:p>
        </w:tc>
        <w:tc>
          <w:tcPr/>
          <w:p>
            <w:pPr>
              <w:pStyle w:val="Compact"/>
              <w:spacing w:after="40" w:before="40"/>
              <w:jc w:val="left"/>
            </w:pPr>
            <w:r>
              <w:rPr>
                <w:rFonts w:ascii="Cambria" w:hAnsi="Cambria" w:cs="Cambria" w:eastAsia="Cambria"/>
                <w:color w:val="1A1A1A"/>
                <w:sz w:val="18"/>
              </w:rPr>
              <w:t xml:space="preserve">+3,0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 e accesso (aree alpine, liste di attesa)</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+9,75</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88</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+6,8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 e implementabilità</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70</w:t>
            </w:r>
          </w:p>
        </w:tc>
        <w:tc>
          <w:tcPr>
            <w:shd w:val="clear" w:color="auto" w:fill="F4F1EC"/>
          </w:tcPr>
          <w:p>
            <w:pPr>
              <w:pStyle w:val="Compact"/>
              <w:spacing w:after="40" w:before="40"/>
              <w:jc w:val="left"/>
            </w:pPr>
            <w:r>
              <w:rPr>
                <w:rFonts w:ascii="Cambria" w:hAnsi="Cambria" w:cs="Cambria" w:eastAsia="Cambria"/>
                <w:color w:val="1A1A1A"/>
                <w:sz w:val="18"/>
              </w:rPr>
              <w:t xml:space="preserve">100</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r>
      <w:tr>
        <w:tc>
          <w:tcPr/>
          <w:p>
            <w:pPr>
              <w:pStyle w:val="Compact"/>
              <w:spacing w:after="40" w:before="40"/>
              <w:jc w:val="left"/>
            </w:pPr>
            <w:r>
              <w:rPr>
                <w:rFonts w:ascii="Cambria" w:hAnsi="Cambria" w:cs="Cambria" w:eastAsia="Cambria"/>
                <w:b/>
                <w:bCs/>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75</w:t>
            </w:r>
          </w:p>
        </w:tc>
        <w:tc>
          <w:tcPr/>
          <w:p>
            <w:pPr>
              <w:pStyle w:val="Compact"/>
              <w:spacing w:after="40" w:before="40"/>
              <w:jc w:val="left"/>
            </w:pPr>
            <w:r>
              <w:rPr>
                <w:rFonts w:ascii="Cambria" w:hAnsi="Cambria" w:cs="Cambria" w:eastAsia="Cambria"/>
                <w:color w:val="1A1A1A"/>
                <w:sz w:val="18"/>
              </w:rPr>
              <w:t xml:space="preserve">60</w:t>
            </w:r>
          </w:p>
        </w:tc>
        <w:tc>
          <w:tcPr/>
          <w:p>
            <w:pPr>
              <w:pStyle w:val="Compact"/>
              <w:spacing w:after="40" w:before="40"/>
              <w:jc w:val="left"/>
            </w:pPr>
            <w:r>
              <w:rPr>
                <w:rFonts w:ascii="Cambria" w:hAnsi="Cambria" w:cs="Cambria" w:eastAsia="Cambria"/>
                <w:color w:val="1A1A1A"/>
                <w:sz w:val="18"/>
              </w:rPr>
              <w:t xml:space="preserve">+1,5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 (DM 77, PNRR, L.R. 22/2021)</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90</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+3,25</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80,7</w:t>
            </w:r>
          </w:p>
        </w:tc>
        <w:tc>
          <w:tcPr/>
          <w:p>
            <w:pPr>
              <w:pStyle w:val="Compact"/>
              <w:spacing w:after="40" w:before="40"/>
              <w:jc w:val="left"/>
            </w:pPr>
            <w:r>
              <w:rPr>
                <w:rFonts w:ascii="Cambria" w:hAnsi="Cambria" w:cs="Cambria" w:eastAsia="Cambria"/>
                <w:color w:val="1A1A1A"/>
                <w:sz w:val="18"/>
              </w:rPr>
              <w:t xml:space="preserve">39,25</w:t>
            </w:r>
          </w:p>
        </w:tc>
        <w:tc>
          <w:tcPr/>
          <w:p>
            <w:pPr>
              <w:pStyle w:val="Compact"/>
              <w:spacing w:after="40" w:before="40"/>
              <w:jc w:val="left"/>
            </w:pPr>
            <w:r>
              <w:rPr>
                <w:rFonts w:ascii="Cambria" w:hAnsi="Cambria" w:cs="Cambria" w:eastAsia="Cambria"/>
                <w:color w:val="1A1A1A"/>
                <w:sz w:val="18"/>
              </w:rPr>
              <w:t xml:space="preserve">+41,45</w:t>
            </w:r>
          </w:p>
        </w:tc>
      </w:tr>
    </w:tbl>
    <w:p>
      <w:pPr>
        <w:pStyle w:val="BodyText"/>
      </w:pPr>
      <w:r>
        <w:rPr>
          <w:i/>
          <w:iCs/>
        </w:rPr>
        <w:t xml:space="preserve">Tabella M.2. Analisi multi-criterio: confronto tra l</w:t>
      </w:r>
      <w:r>
        <w:rPr>
          <w:b/>
          <w:bCs/>
          <w:i/>
          <w:iCs/>
        </w:rPr>
        <w:t xml:space="preserve">‘******opzione di intervento e l******’</w:t>
      </w:r>
      <w:r>
        <w:rPr>
          <w:i/>
          <w:iCs/>
        </w:rPr>
        <w:t xml:space="preserve">opzione zero su otto criteri pesati.</w:t>
      </w:r>
    </w:p>
    <w:bookmarkEnd w:id="4289"/>
    <w:bookmarkStart w:id="924" w:name="Xc0e914d5285e9d81cfdc4b585f18d677993a99d"/>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Lombardia. La prima: il servizio costa al bilancio sanitario una cifra modesta e comporta un saldo diretto lievemente negativo, dell’ordine di alcune decine di milioni, trascurabile rispetto a un finanziamento di ventuno miliardi. La seconda: il ritorno per la collettività è ampio, con un rapporto beneficio-costo dell’ordine di 3,8–5,4 a uno. La terza: il valore poggia quasi interamente sulle ricadute sociali — la produttività, il funzionamento, il minor carico familiare — e non sul risparmio per il bilancio.</w:t>
      </w:r>
      <w:r>
        <w:rPr>
          <w:rStyle w:val="FootnoteReference"/>
        </w:rPr>
        <w:footnoteReference w:id="1803"/>
      </w:r>
      <w:r>
        <w:t xml:space="preserve"> </w:t>
      </w:r>
      <w:r>
        <w:t xml:space="preserve">È questa la corretta rappresentazione della proposta lombarda: non un investimento che si ripaga sui conti sanitari, ma un investimento sociale ad alto rendimento, il cui costo per il bilancio è trascurabile.</w:t>
      </w:r>
    </w:p>
    <w:p>
      <w:pPr>
        <w:pStyle w:val="BodyText"/>
      </w:pPr>
      <w:r>
        <w:t xml:space="preserve">Da questa sintesi discende la raccomandazione centrale. La decisione rilevante non è se prevedere il servizio — già previsto dalla legge regionale del 2021, che ne ha tracciato la collocazione nelle Case della Comunità — ma se strutturarlo e dimensionarlo, portandolo dalla previsione alla copertura del fabbisogno, dell’ordine di 2.190 incarichi.</w:t>
      </w:r>
      <w:r>
        <w:rPr>
          <w:rStyle w:val="FootnoteReference"/>
        </w:rPr>
        <w:footnoteReference w:id="1804"/>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1805"/>
      </w:r>
      <w:r>
        <w:t xml:space="preserve"> </w:t>
      </w:r>
      <w:r>
        <w:t xml:space="preserve">La raccomandazione operativa è di procedere per gradi, secondo il dispiegamento scaglionato, avviando contestualmente la rilevazione e la valutazione controfattuale, in modo che ogni fase di estensione sia informata dai risultati della precedente.</w:t>
      </w:r>
    </w:p>
    <w:bookmarkEnd w:id="924"/>
    <w:bookmarkStart w:id="4290" w:name="m.4-i-limiti-e-lagenda-di-ricerca-1"/>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lombarda, pari al 17,0%, e non estratte dai conti regionali certificati. È una distinzione che lo studio dichiara apertamente, perché la sostituzione di tali ricostruzioni con i valori certificati delle Agenzie di Tutela della Salute e delle Aziende Socio-Sanitarie Territoriali è la condizione per la presentazione della proposta agli organi di controllo.</w:t>
      </w:r>
      <w:r>
        <w:rPr>
          <w:rStyle w:val="FootnoteReference"/>
        </w:rPr>
        <w:footnoteReference w:id="1806"/>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1807"/>
      </w:r>
    </w:p>
    <w:p>
      <w:pPr>
        <w:pStyle w:val="BodyText"/>
      </w:pPr>
      <w:r>
        <w:t xml:space="preserve">Da questi limiti discende l’agenda di ricerca. L’investimento conoscitivo prioritario è l’acquisizione dei dati regionali certificati presso le Agenzie di Tutela della Salute e le Aziende Socio-Sanitarie Territoriali, seguito dall’avvio della rilevazione di servizio e dalla valutazione controfattuale sul dispiegamento scaglionato tra le otto Agenzie.</w:t>
      </w:r>
      <w:r>
        <w:rPr>
          <w:rStyle w:val="FootnoteReference"/>
        </w:rPr>
        <w:footnoteReference w:id="1808"/>
      </w:r>
      <w:r>
        <w:t xml:space="preserve"> </w:t>
      </w:r>
      <w:r>
        <w:t xml:space="preserve">È il programma che trasforma progressivamente la proposta argomentata in politica validata, e che salda la valutazione ex ante alla verifica ex post. Con questa parte si chiude lo studio regionale lombardo, che applica al contesto della Lombardia, con piena fedeltà metodologica e con le dovute qualificazioni di onestà, il medesimo telaio integrato già adottato per la Puglia: un intervento clinicamente fondato, economicamente sostenibile, equo e attuabile, il cui valore per la collettività è ampio e il cui costo per il bilancio è trascurabile.</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Appendici A-E</w:t>
      </w:r>
    </w:p>
    <w:p>
      <w:pPr>
        <w:pStyle w:val="BodyText"/>
      </w:pPr>
      <w:r>
        <w:rPr>
          <w:b/>
          <w:bCs/>
        </w:rPr>
        <w:t xml:space="preserve">Materiali di supporto allo studio regionale</w:t>
      </w:r>
    </w:p>
    <w:p>
      <w:pPr>
        <w:pStyle w:val="BodyText"/>
      </w:pPr>
      <w:r>
        <w:rPr>
          <w:i/>
          <w:iCs/>
        </w:rPr>
        <w:t xml:space="preserve">Caso di riferimento e parametri, strumenti di esito e dataset, dati regionali e fonti, checklist di reporting, glossario</w:t>
      </w:r>
    </w:p>
    <w:bookmarkEnd w:id="4290"/>
    <w:bookmarkEnd w:id="929"/>
    <w:bookmarkStart w:id="941" w:name="Xdbd13c07137d15482f5cc2979ca04dc9b27e20d"/>
    <w:p>
      <w:pPr>
        <w:pStyle w:val="Heading2"/>
      </w:pPr>
      <w:r>
        <w:t xml:space="preserve">Appendice A — Caso di riferimento e parametri</w:t>
      </w:r>
    </w:p>
    <w:p>
      <w:pPr>
        <w:pStyle w:val="FirstParagraph"/>
      </w:pPr>
      <w:r>
        <w:t xml:space="preserve">Questa appendice raccoglie il caso di riferimento comune all’intero studio, i parametri del modello di Markov e il quadro economico consolidato, perché le scelte metodologiche siano consultabili in un unico luogo e riproducibili.</w:t>
      </w:r>
      <w:r>
        <w:rPr>
          <w:rStyle w:val="FootnoteReference"/>
        </w:rPr>
        <w:footnoteReference w:id="1809"/>
      </w:r>
      <w:r>
        <w:rPr>
          <w:rStyle w:val="FootnoteReference"/>
        </w:rPr>
        <w:footnoteReference w:id="1810"/>
      </w:r>
      <w:r>
        <w:rPr>
          <w:rStyle w:val="FootnoteReference"/>
        </w:rPr>
        <w:footnoteReference w:id="1811"/>
      </w:r>
      <w:r>
        <w:rPr>
          <w:rStyle w:val="FootnoteReference"/>
        </w:rPr>
        <w:footnoteReference w:id="1812"/>
      </w:r>
      <w:r>
        <w:rPr>
          <w:rStyle w:val="FootnoteReference"/>
        </w:rPr>
        <w:footnoteReference w:id="1813"/>
      </w:r>
      <w:r>
        <w:rPr>
          <w:rStyle w:val="FootnoteReference"/>
        </w:rPr>
        <w:footnoteReference w:id="1814"/>
      </w:r>
      <w:r>
        <w:rPr>
          <w:rStyle w:val="FootnoteReference"/>
        </w:rPr>
        <w:footnoteReference w:id="1815"/>
      </w:r>
      <w:r>
        <w:rPr>
          <w:rStyle w:val="FootnoteReference"/>
        </w:rPr>
        <w:footnoteReference w:id="1816"/>
      </w:r>
      <w:r>
        <w:rPr>
          <w:rStyle w:val="FootnoteReference"/>
        </w:rPr>
        <w:footnoteReference w:id="1817"/>
      </w:r>
      <w:r>
        <w:t xml:space="preserve"> </w:t>
      </w:r>
      <w:r>
        <w:t xml:space="preserve">La tabella seguente espone gli elementi del caso di riferimento.</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451"/>
        <w:gridCol w:w="534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caso di 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adottata</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Servizio attuale o assenza del servizio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Agenzia/distretto</w:t>
            </w:r>
          </w:p>
        </w:tc>
      </w:tr>
      <w:tr>
        <w:tc>
          <w:tcPr/>
          <w:p>
            <w:pPr>
              <w:pStyle w:val="Compact"/>
              <w:spacing w:after="40" w:before="40"/>
              <w:jc w:val="left"/>
            </w:pPr>
            <w:r>
              <w:rPr>
                <w:rFonts w:ascii="Cambria" w:hAnsi="Cambria" w:cs="Cambria" w:eastAsia="Cambria"/>
                <w:b/>
                <w:bCs/>
                <w:color w:val="1A1A1A"/>
                <w:sz w:val="18"/>
              </w:rPr>
              <w:t xml:space="preserve">Soglia di costo-efficacia</w:t>
            </w:r>
          </w:p>
        </w:tc>
        <w:tc>
          <w:tcPr/>
          <w:p>
            <w:pPr>
              <w:pStyle w:val="Compact"/>
              <w:spacing w:after="40" w:before="40"/>
              <w:jc w:val="left"/>
            </w:pPr>
            <w:r>
              <w:rPr>
                <w:rFonts w:ascii="Cambria" w:hAnsi="Cambria" w:cs="Cambria" w:eastAsia="Cambria"/>
                <w:color w:val="1A1A1A"/>
                <w:sz w:val="18"/>
              </w:rPr>
              <w:t xml:space="preserve">30.000 euro per anno di vita ponderato per la qualità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Correzione prudenziale</w:t>
            </w:r>
          </w:p>
        </w:tc>
        <w:tc>
          <w:tcPr>
            <w:shd w:val="clear" w:color="auto" w:fill="F4F1EC"/>
          </w:tcPr>
          <w:p>
            <w:pPr>
              <w:pStyle w:val="Compact"/>
              <w:spacing w:after="40" w:before="40"/>
              <w:jc w:val="left"/>
            </w:pPr>
            <w:r>
              <w:rPr>
                <w:rFonts w:ascii="Cambria" w:hAnsi="Cambria" w:cs="Cambria" w:eastAsia="Cambria"/>
                <w:color w:val="1A1A1A"/>
                <w:sz w:val="18"/>
              </w:rP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indipendenti dalla regione, sono riepilogati di seguito.</w:t>
      </w:r>
      <w:r>
        <w:rPr>
          <w:rStyle w:val="FootnoteReference"/>
        </w:rPr>
        <w:footnoteReference w:id="1818"/>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3498"/>
        <w:gridCol w:w="15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 di Markov</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Stati del modello</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recupero</w:t>
            </w:r>
          </w:p>
        </w:tc>
        <w:tc>
          <w:tcPr>
            <w:shd w:val="clear" w:color="auto" w:fill="F4F1EC"/>
          </w:tcPr>
          <w:p>
            <w:pPr>
              <w:pStyle w:val="Compact"/>
              <w:spacing w:after="40" w:before="40"/>
              <w:jc w:val="left"/>
            </w:pPr>
            <w:r>
              <w:rPr>
                <w:rFonts w:ascii="Cambria" w:hAnsi="Cambria" w:cs="Cambria" w:eastAsia="Cambria"/>
                <w:color w:val="1A1A1A"/>
                <w:sz w:val="18"/>
              </w:rPr>
              <w:t xml:space="preserve">40 €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per ciclo — cronico</w:t>
            </w:r>
          </w:p>
        </w:tc>
        <w:tc>
          <w:tcPr/>
          <w:p>
            <w:pPr>
              <w:pStyle w:val="Compact"/>
              <w:spacing w:after="40" w:before="40"/>
              <w:jc w:val="left"/>
            </w:pPr>
            <w:r>
              <w:rPr>
                <w:rFonts w:ascii="Cambria" w:hAnsi="Cambria" w:cs="Cambria" w:eastAsia="Cambria"/>
                <w:color w:val="1A1A1A"/>
                <w:sz w:val="18"/>
              </w:rPr>
              <w:t xml:space="preserve">700 €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Per braccio, da fonti</w:t>
            </w:r>
          </w:p>
        </w:tc>
        <w:tc>
          <w:tcPr/>
          <w:p>
            <w:pPr>
              <w:pStyle w:val="Compact"/>
              <w:spacing w:after="40" w:before="40"/>
              <w:jc w:val="left"/>
            </w:pPr>
            <w:r>
              <w:rPr>
                <w:rFonts w:ascii="Cambria" w:hAnsi="Cambria" w:cs="Cambria" w:eastAsia="Cambria"/>
                <w:color w:val="1A1A1A"/>
                <w:sz w:val="18"/>
              </w:rPr>
              <w:t xml:space="preserve">Beta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per stato</w:t>
            </w:r>
          </w:p>
        </w:tc>
        <w:tc>
          <w:tcPr>
            <w:shd w:val="clear" w:color="auto" w:fill="F4F1EC"/>
          </w:tcPr>
          <w:p>
            <w:pPr>
              <w:pStyle w:val="Compact"/>
              <w:spacing w:after="40" w:before="40"/>
              <w:jc w:val="left"/>
            </w:pPr>
            <w:r>
              <w:rPr>
                <w:rFonts w:ascii="Cambria" w:hAnsi="Cambria" w:cs="Cambria" w:eastAsia="Cambria"/>
                <w:color w:val="1A1A1A"/>
                <w:sz w:val="18"/>
              </w:rPr>
              <w:t xml:space="preserve">Da fonti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Orizzonte e sconto</w:t>
            </w:r>
          </w:p>
        </w:tc>
        <w:tc>
          <w:tcPr/>
          <w:p>
            <w:pPr>
              <w:pStyle w:val="Compact"/>
              <w:spacing w:after="40" w:before="40"/>
              <w:jc w:val="left"/>
            </w:pPr>
            <w:r>
              <w:rPr>
                <w:rFonts w:ascii="Cambria" w:hAnsi="Cambria" w:cs="Cambria" w:eastAsia="Cambria"/>
                <w:color w:val="1A1A1A"/>
                <w:sz w:val="18"/>
              </w:rPr>
              <w:t xml:space="preserve">5 anni; 3% annuo</w:t>
            </w:r>
          </w:p>
        </w:tc>
        <w:t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per la Lombardia, ripreso dalla Parte E, è riportato per scenario nella tabella conclusiva dell’appendice.</w:t>
      </w:r>
      <w:r>
        <w:rPr>
          <w:rStyle w:val="FootnoteReference"/>
        </w:rPr>
        <w:footnoteReference w:id="1819"/>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3"/>
        <w:gridCol w:w="1384"/>
        <w:gridCol w:w="1384"/>
        <w:gridCol w:w="13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 salvo 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Psicologi a regime</w:t>
            </w:r>
          </w:p>
        </w:tc>
        <w:tc>
          <w:tcPr/>
          <w:p>
            <w:pPr>
              <w:pStyle w:val="Compact"/>
              <w:spacing w:after="40" w:before="40"/>
              <w:jc w:val="left"/>
            </w:pPr>
            <w:r>
              <w:rPr>
                <w:rFonts w:ascii="Cambria" w:hAnsi="Cambria" w:cs="Cambria" w:eastAsia="Cambria"/>
                <w:color w:val="1A1A1A"/>
                <w:sz w:val="18"/>
              </w:rPr>
              <w:t xml:space="preserve">~ 1.100</w:t>
            </w:r>
          </w:p>
        </w:tc>
        <w:tc>
          <w:tcPr/>
          <w:p>
            <w:pPr>
              <w:pStyle w:val="Compact"/>
              <w:spacing w:after="40" w:before="40"/>
              <w:jc w:val="left"/>
            </w:pPr>
            <w:r>
              <w:rPr>
                <w:rFonts w:ascii="Cambria" w:hAnsi="Cambria" w:cs="Cambria" w:eastAsia="Cambria"/>
                <w:color w:val="1A1A1A"/>
                <w:sz w:val="18"/>
              </w:rPr>
              <w:t xml:space="preserve">~ 1.700</w:t>
            </w:r>
          </w:p>
        </w:tc>
        <w:tc>
          <w:tcPr/>
          <w:p>
            <w:pPr>
              <w:pStyle w:val="Compact"/>
              <w:spacing w:after="40" w:before="40"/>
              <w:jc w:val="left"/>
            </w:pPr>
            <w:r>
              <w:rPr>
                <w:rFonts w:ascii="Cambria" w:hAnsi="Cambria" w:cs="Cambria" w:eastAsia="Cambria"/>
                <w:color w:val="1A1A1A"/>
                <w:sz w:val="18"/>
              </w:rPr>
              <w:t xml:space="preserve">~ 2.190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60</w:t>
            </w:r>
          </w:p>
        </w:tc>
        <w:tc>
          <w:tcPr>
            <w:shd w:val="clear" w:color="auto" w:fill="F4F1EC"/>
          </w:tcPr>
          <w:p>
            <w:pPr>
              <w:pStyle w:val="Compact"/>
              <w:spacing w:after="40" w:before="40"/>
              <w:jc w:val="left"/>
            </w:pPr>
            <w:r>
              <w:rPr>
                <w:rFonts w:ascii="Cambria" w:hAnsi="Cambria" w:cs="Cambria" w:eastAsia="Cambria"/>
                <w:color w:val="1A1A1A"/>
                <w:sz w:val="18"/>
              </w:rPr>
              <w:t xml:space="preserve">~ 95</w:t>
            </w:r>
          </w:p>
        </w:tc>
        <w:tc>
          <w:tcPr>
            <w:shd w:val="clear" w:color="auto" w:fill="F4F1EC"/>
          </w:tcPr>
          <w:p>
            <w:pPr>
              <w:pStyle w:val="Compact"/>
              <w:spacing w:after="40" w:before="40"/>
              <w:jc w:val="left"/>
            </w:pPr>
            <w:r>
              <w:rPr>
                <w:rFonts w:ascii="Cambria" w:hAnsi="Cambria" w:cs="Cambria" w:eastAsia="Cambria"/>
                <w:color w:val="1A1A1A"/>
                <w:sz w:val="18"/>
              </w:rPr>
              <w:t xml:space="preserve">~ 120</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35</w:t>
            </w:r>
          </w:p>
        </w:tc>
        <w:tc>
          <w:tcPr/>
          <w:p>
            <w:pPr>
              <w:pStyle w:val="Compact"/>
              <w:spacing w:after="40" w:before="40"/>
              <w:jc w:val="left"/>
            </w:pPr>
            <w:r>
              <w:rPr>
                <w:rFonts w:ascii="Cambria" w:hAnsi="Cambria" w:cs="Cambria" w:eastAsia="Cambria"/>
                <w:color w:val="1A1A1A"/>
                <w:sz w:val="18"/>
              </w:rPr>
              <w:t xml:space="preserve">~ 60</w:t>
            </w:r>
          </w:p>
        </w:tc>
        <w:tc>
          <w:tcPr/>
          <w:p>
            <w:pPr>
              <w:pStyle w:val="Compact"/>
              <w:spacing w:after="40" w:before="40"/>
              <w:jc w:val="left"/>
            </w:pPr>
            <w:r>
              <w:rPr>
                <w:rFonts w:ascii="Cambria" w:hAnsi="Cambria" w:cs="Cambria" w:eastAsia="Cambria"/>
                <w:color w:val="1A1A1A"/>
                <w:sz w:val="18"/>
              </w:rPr>
              <w:t xml:space="preserve">~ 90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190</w:t>
            </w:r>
          </w:p>
        </w:tc>
        <w:tc>
          <w:tcPr>
            <w:shd w:val="clear" w:color="auto" w:fill="F4F1EC"/>
          </w:tcPr>
          <w:p>
            <w:pPr>
              <w:pStyle w:val="Compact"/>
              <w:spacing w:after="40" w:before="40"/>
              <w:jc w:val="left"/>
            </w:pPr>
            <w:r>
              <w:rPr>
                <w:rFonts w:ascii="Cambria" w:hAnsi="Cambria" w:cs="Cambria" w:eastAsia="Cambria"/>
                <w:color w:val="1A1A1A"/>
                <w:sz w:val="18"/>
              </w:rPr>
              <w:t xml:space="preserve">~ 360</w:t>
            </w:r>
          </w:p>
        </w:tc>
        <w:tc>
          <w:tcPr>
            <w:shd w:val="clear" w:color="auto" w:fill="F4F1EC"/>
          </w:tcPr>
          <w:p>
            <w:pPr>
              <w:pStyle w:val="Compact"/>
              <w:spacing w:after="40" w:before="40"/>
              <w:jc w:val="left"/>
            </w:pPr>
            <w:r>
              <w:rPr>
                <w:rFonts w:ascii="Cambria" w:hAnsi="Cambria" w:cs="Cambria" w:eastAsia="Cambria"/>
                <w:color w:val="1A1A1A"/>
                <w:sz w:val="18"/>
              </w:rPr>
              <w:t xml:space="preserve">~ 560</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−25</w:t>
            </w:r>
          </w:p>
        </w:tc>
        <w:tc>
          <w:tcPr/>
          <w:p>
            <w:pPr>
              <w:pStyle w:val="Compact"/>
              <w:spacing w:after="40" w:before="40"/>
              <w:jc w:val="left"/>
            </w:pPr>
            <w:r>
              <w:rPr>
                <w:rFonts w:ascii="Cambria" w:hAnsi="Cambria" w:cs="Cambria" w:eastAsia="Cambria"/>
                <w:color w:val="1A1A1A"/>
                <w:sz w:val="18"/>
              </w:rPr>
              <w:t xml:space="preserve">~ −35</w:t>
            </w:r>
          </w:p>
        </w:tc>
        <w:tc>
          <w:tcPr/>
          <w:p>
            <w:pPr>
              <w:pStyle w:val="Compact"/>
              <w:spacing w:after="40" w:before="40"/>
              <w:jc w:val="left"/>
            </w:pPr>
            <w:r>
              <w:rPr>
                <w:rFonts w:ascii="Cambria" w:hAnsi="Cambria" w:cs="Cambria" w:eastAsia="Cambria"/>
                <w:color w:val="1A1A1A"/>
                <w:sz w:val="18"/>
              </w:rPr>
              <w:t xml:space="preserve">~ −30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+165</w:t>
            </w:r>
          </w:p>
        </w:tc>
        <w:tc>
          <w:tcPr>
            <w:shd w:val="clear" w:color="auto" w:fill="F4F1EC"/>
          </w:tcPr>
          <w:p>
            <w:pPr>
              <w:pStyle w:val="Compact"/>
              <w:spacing w:after="40" w:before="40"/>
              <w:jc w:val="left"/>
            </w:pPr>
            <w:r>
              <w:rPr>
                <w:rFonts w:ascii="Cambria" w:hAnsi="Cambria" w:cs="Cambria" w:eastAsia="Cambria"/>
                <w:color w:val="1A1A1A"/>
                <w:sz w:val="18"/>
              </w:rPr>
              <w:t xml:space="preserve">+325</w:t>
            </w:r>
          </w:p>
        </w:tc>
        <w:tc>
          <w:tcPr>
            <w:shd w:val="clear" w:color="auto" w:fill="F4F1EC"/>
          </w:tcPr>
          <w:p>
            <w:pPr>
              <w:pStyle w:val="Compact"/>
              <w:spacing w:after="40" w:before="40"/>
              <w:jc w:val="left"/>
            </w:pPr>
            <w:r>
              <w:rPr>
                <w:rFonts w:ascii="Cambria" w:hAnsi="Cambria" w:cs="Cambria" w:eastAsia="Cambria"/>
                <w:color w:val="1A1A1A"/>
                <w:sz w:val="18"/>
              </w:rPr>
              <w:t xml:space="preserve">+530</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~3,8:1</w:t>
            </w:r>
          </w:p>
        </w:tc>
        <w:tc>
          <w:tcPr/>
          <w:p>
            <w:pPr>
              <w:pStyle w:val="Compact"/>
              <w:spacing w:after="40" w:before="40"/>
              <w:jc w:val="left"/>
            </w:pPr>
            <w:r>
              <w:rPr>
                <w:rFonts w:ascii="Cambria" w:hAnsi="Cambria" w:cs="Cambria" w:eastAsia="Cambria"/>
                <w:color w:val="1A1A1A"/>
                <w:sz w:val="18"/>
              </w:rPr>
              <w:t xml:space="preserve">~4,4:1</w:t>
            </w:r>
          </w:p>
        </w:tc>
        <w:tc>
          <w:tcPr/>
          <w:p>
            <w:pPr>
              <w:pStyle w:val="Compact"/>
              <w:spacing w:after="40" w:before="40"/>
              <w:jc w:val="left"/>
            </w:pPr>
            <w:r>
              <w:rPr>
                <w:rFonts w:ascii="Cambria" w:hAnsi="Cambria" w:cs="Cambria" w:eastAsia="Cambria"/>
                <w:color w:val="1A1A1A"/>
                <w:sz w:val="18"/>
              </w:rPr>
              <w:t xml:space="preserve">~5,4:1</w:t>
            </w:r>
          </w:p>
        </w:tc>
      </w:tr>
    </w:tbl>
    <w:p>
      <w:pPr>
        <w:pStyle w:val="BodyText"/>
      </w:pPr>
      <w:r>
        <w:rPr>
          <w:i/>
          <w:iCs/>
        </w:rPr>
        <w:t xml:space="preserve">Tabella A.3. Il quadro economico consolidato per scenario (costo per incarico di riferimento di 55.000 euro).</w:t>
      </w:r>
    </w:p>
    <w:bookmarkEnd w:id="941"/>
    <w:bookmarkStart w:id="4291" w:name="X76c3e810950a15f9b08ba4386c756c81270dd1e"/>
    <w:p>
      <w:pPr>
        <w:pStyle w:val="Heading2"/>
      </w:pPr>
      <w:r>
        <w:t xml:space="preserve">Appendice B — Strumenti di esito e dataset minimo</w:t>
      </w:r>
    </w:p>
    <w:p>
      <w:pPr>
        <w:pStyle w:val="FirstParagraph"/>
      </w:pPr>
      <w:r>
        <w:t xml:space="preserve">Questa appendice documenta gli strumenti di esito impiegati e il dataset minimo del protocollo di rilevazione, perché la misurazione sia trasparente e replicabile. Gli strumenti sono validati e di uso internazionale, e sono impiegati nei soli punteggi complessivi.</w:t>
      </w:r>
      <w:r>
        <w:rPr>
          <w:rStyle w:val="FootnoteReference"/>
        </w:rPr>
        <w:footnoteReference w:id="1820"/>
      </w:r>
      <w:r>
        <w:t xml:space="preserve"> </w:t>
      </w:r>
      <w:r>
        <w:t xml:space="preserve">La tabella seguente ne riepiloga le caratteristiche.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6"/>
        <w:gridCol w:w="1584"/>
        <w:gridCol w:w="41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Caratteristiche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 soglia clinica ~10; cambiamento affidabile ~6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d’ansia</w:t>
            </w:r>
          </w:p>
        </w:tc>
        <w:tc>
          <w:tcPr>
            <w:shd w:val="clear" w:color="auto" w:fill="F4F1EC"/>
          </w:tcPr>
          <w:p>
            <w:pPr>
              <w:pStyle w:val="Compact"/>
              <w:spacing w:after="40" w:before="40"/>
              <w:jc w:val="left"/>
            </w:pPr>
            <w:r>
              <w:rPr>
                <w:rFonts w:ascii="Cambria" w:hAnsi="Cambria" w:cs="Cambria" w:eastAsia="Cambria"/>
                <w:color w:val="1A1A1A"/>
                <w:sz w:val="18"/>
              </w:rPr>
              <w:t xml:space="preserve">0–21; impiegato nel solo punteggio complessivo</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Discesa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Esito secondario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elenca i campi del protocollo, con il momento di rilevazione, e costituisce il dizionario dei dati del sistema informativo.</w:t>
      </w:r>
      <w:r>
        <w:rPr>
          <w:rStyle w:val="FootnoteReference"/>
        </w:rPr>
        <w:footnoteReference w:id="1821"/>
      </w:r>
    </w:p>
    <w:tbl>
      <w:tblPr>
        <w:tblStyle w:val="Table"/>
        <w:tblW w:type="pct" w:w="491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52"/>
        <w:gridCol w:w="4154"/>
        <w:gridCol w:w="18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Campo del dataset</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Momento di rilevazione</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Data di apertura, canale di accesso, invio</w:t>
            </w:r>
          </w:p>
        </w:tc>
        <w:tc>
          <w:tcPr/>
          <w:p>
            <w:pPr>
              <w:pStyle w:val="Compact"/>
              <w:spacing w:after="40" w:before="40"/>
              <w:jc w:val="left"/>
            </w:pPr>
            <w:r>
              <w:rPr>
                <w:rFonts w:ascii="Cambria" w:hAnsi="Cambria" w:cs="Cambria" w:eastAsia="Cambria"/>
                <w:color w:val="1A1A1A"/>
                <w:sz w:val="18"/>
              </w:rPr>
              <w:t xml:space="preserve">All’apertura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Seduta</w:t>
            </w:r>
          </w:p>
        </w:tc>
        <w:tc>
          <w:tcPr>
            <w:shd w:val="clear" w:color="auto" w:fill="F4F1EC"/>
          </w:tcPr>
          <w:p>
            <w:pPr>
              <w:pStyle w:val="Compact"/>
              <w:spacing w:after="40" w:before="40"/>
              <w:jc w:val="left"/>
            </w:pPr>
            <w:r>
              <w:rPr>
                <w:rFonts w:ascii="Cambria" w:hAnsi="Cambria" w:cs="Cambria" w:eastAsia="Cambria"/>
                <w:color w:val="1A1A1A"/>
                <w:sz w:val="18"/>
              </w:rPr>
              <w:t xml:space="preserve">Data, tipo e numero progressivo della seduta</w:t>
            </w:r>
          </w:p>
        </w:tc>
        <w:tc>
          <w:tcPr>
            <w:shd w:val="clear" w:color="auto" w:fill="F4F1EC"/>
          </w:tcPr>
          <w:p>
            <w:pPr>
              <w:pStyle w:val="Compact"/>
              <w:spacing w:after="40" w:before="40"/>
              <w:jc w:val="left"/>
            </w:pPr>
            <w:r>
              <w:rPr>
                <w:rFonts w:ascii="Cambria" w:hAnsi="Cambria" w:cs="Cambria" w:eastAsia="Cambria"/>
                <w:color w:val="1A1A1A"/>
                <w:sz w:val="18"/>
              </w:rPr>
              <w:t xml:space="preserve">A ogni seduta</w:t>
            </w:r>
          </w:p>
        </w:tc>
      </w:tr>
      <w:tr>
        <w:tc>
          <w:tcPr/>
          <w:p>
            <w:pPr>
              <w:pStyle w:val="Compact"/>
              <w:spacing w:after="40" w:before="40"/>
              <w:jc w:val="left"/>
            </w:pPr>
            <w:r>
              <w:rPr>
                <w:rFonts w:ascii="Cambria" w:hAnsi="Cambria" w:cs="Cambria" w:eastAsia="Cambria"/>
                <w:b/>
                <w:bCs/>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e GAD-7 (punteggi complessivi)</w:t>
            </w:r>
          </w:p>
        </w:tc>
        <w:tc>
          <w:tcPr/>
          <w:p>
            <w:pPr>
              <w:pStyle w:val="Compact"/>
              <w:spacing w:after="40" w:before="40"/>
              <w:jc w:val="left"/>
            </w:pPr>
            <w:r>
              <w:rPr>
                <w:rFonts w:ascii="Cambria" w:hAnsi="Cambria" w:cs="Cambria" w:eastAsia="Cambria"/>
                <w:color w:val="1A1A1A"/>
                <w:sz w:val="18"/>
              </w:rPr>
              <w:t xml:space="preserve">A ogni seduta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Invii e restituzioni</w:t>
            </w:r>
          </w:p>
        </w:tc>
        <w:tc>
          <w:tcPr>
            <w:shd w:val="clear" w:color="auto" w:fill="F4F1EC"/>
          </w:tcPr>
          <w:p>
            <w:pPr>
              <w:pStyle w:val="Compact"/>
              <w:spacing w:after="40" w:before="40"/>
              <w:jc w:val="left"/>
            </w:pPr>
            <w:r>
              <w:rPr>
                <w:rFonts w:ascii="Cambria" w:hAnsi="Cambria" w:cs="Cambria" w:eastAsia="Cambria"/>
                <w:color w:val="1A1A1A"/>
                <w:sz w:val="18"/>
              </w:rPr>
              <w:t xml:space="preserve">Invio a servizi specialistici; restituzione al medico curante</w:t>
            </w:r>
          </w:p>
        </w:tc>
        <w:tc>
          <w:tcPr>
            <w:shd w:val="clear" w:color="auto" w:fill="F4F1EC"/>
          </w:tcPr>
          <w:p>
            <w:pPr>
              <w:pStyle w:val="Compact"/>
              <w:spacing w:after="40" w:before="40"/>
              <w:jc w:val="left"/>
            </w:pPr>
            <w:r>
              <w:rPr>
                <w:rFonts w:ascii="Cambria" w:hAnsi="Cambria" w:cs="Cambria" w:eastAsia="Cambria"/>
                <w:color w:val="1A1A1A"/>
                <w:sz w:val="18"/>
              </w:rPr>
              <w:t xml:space="preserve">Ove pertinente</w:t>
            </w:r>
          </w:p>
        </w:tc>
      </w:tr>
      <w:tr>
        <w:tc>
          <w:tcPr/>
          <w:p>
            <w:pPr>
              <w:pStyle w:val="Compact"/>
              <w:spacing w:after="40" w:before="40"/>
              <w:jc w:val="left"/>
            </w:pPr>
            <w:r>
              <w:rPr>
                <w:rFonts w:ascii="Cambria" w:hAnsi="Cambria" w:cs="Cambria" w:eastAsia="Cambria"/>
                <w:b/>
                <w:bCs/>
                <w:color w:val="1A1A1A"/>
                <w:sz w:val="18"/>
              </w:rPr>
              <w:t xml:space="preserve">Chiusura</w:t>
            </w:r>
          </w:p>
        </w:tc>
        <w:tc>
          <w:tcPr/>
          <w:p>
            <w:pPr>
              <w:pStyle w:val="Compact"/>
              <w:spacing w:after="40" w:before="40"/>
              <w:jc w:val="left"/>
            </w:pPr>
            <w:r>
              <w:rPr>
                <w:rFonts w:ascii="Cambria" w:hAnsi="Cambria" w:cs="Cambria" w:eastAsia="Cambria"/>
                <w:color w:val="1A1A1A"/>
                <w:sz w:val="18"/>
              </w:rPr>
              <w:t xml:space="preserve">Esito del percorso (recupero, miglioramento, invio)</w:t>
            </w:r>
          </w:p>
        </w:tc>
        <w:tc>
          <w:tcPr/>
          <w:p>
            <w:pPr>
              <w:pStyle w:val="Compact"/>
              <w:spacing w:after="40" w:before="40"/>
              <w:jc w:val="left"/>
            </w:pPr>
            <w:r>
              <w:rPr>
                <w:rFonts w:ascii="Cambria" w:hAnsi="Cambria" w:cs="Cambria" w:eastAsia="Cambria"/>
                <w:color w:val="1A1A1A"/>
                <w:sz w:val="18"/>
              </w:rPr>
              <w:t xml:space="preserve">Alla chiusura</w:t>
            </w:r>
          </w:p>
        </w:tc>
      </w:tr>
    </w:tbl>
    <w:p>
      <w:pPr>
        <w:pStyle w:val="BodyText"/>
      </w:pPr>
      <w:r>
        <w:rPr>
          <w:i/>
          <w:iCs/>
        </w:rPr>
        <w:t xml:space="preserve">Tabella B.2. Il dataset minimo: i campi del protocollo di rilevazione (dizionario dei dati).</w:t>
      </w:r>
    </w:p>
    <w:bookmarkEnd w:id="4291"/>
    <w:bookmarkStart w:id="4292" w:name="appendice-c-dati-regionali-e-fonti-2"/>
    <w:p>
      <w:pPr>
        <w:pStyle w:val="Heading2"/>
      </w:pPr>
      <w:r>
        <w:t xml:space="preserve">Appendice C — Dati regionali e fonti</w:t>
      </w:r>
    </w:p>
    <w:p>
      <w:pPr>
        <w:pStyle w:val="FirstParagraph"/>
      </w:pPr>
      <w:r>
        <w:t xml:space="preserve">Questa appendice raccoglie i valori regionali di ancoraggio impiegati nello studio e, soprattutto, esplicita la lacuna principale del lavoro, perché il lettore distingua con chiarezza ciò che è ricostruito da ciò che è certificato.</w:t>
      </w:r>
      <w:r>
        <w:rPr>
          <w:rStyle w:val="FootnoteReference"/>
        </w:rPr>
        <w:footnoteReference w:id="1822"/>
      </w:r>
      <w:r>
        <w:t xml:space="preserve"> </w:t>
      </w:r>
      <w:r>
        <w:t xml:space="preserve">La tabella seguente riporta i valori di ancoraggio per la Lombardia.</w:t>
      </w:r>
    </w:p>
    <w:tbl>
      <w:tblPr>
        <w:tblStyle w:val="Table"/>
        <w:tblW w:type="pct" w:w="493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19"/>
        <w:gridCol w:w="568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regionale</w:t>
            </w:r>
          </w:p>
        </w:tc>
      </w:tr>
      <w:tr>
        <w:tc>
          <w:tcPr/>
          <w:p>
            <w:pPr>
              <w:pStyle w:val="Compact"/>
              <w:spacing w:after="40" w:before="40"/>
              <w:jc w:val="left"/>
            </w:pPr>
            <w:r>
              <w:rPr>
                <w:rFonts w:ascii="Cambria" w:hAnsi="Cambria" w:cs="Cambria" w:eastAsia="Cambria"/>
                <w:b/>
                <w:bCs/>
                <w:color w:val="1A1A1A"/>
                <w:sz w:val="18"/>
              </w:rPr>
              <w:t xml:space="preserve">Popolazione regionale</w:t>
            </w:r>
          </w:p>
        </w:tc>
        <w:tc>
          <w:tcPr/>
          <w:p>
            <w:pPr>
              <w:pStyle w:val="Compact"/>
              <w:spacing w:after="40" w:before="40"/>
              <w:jc w:val="left"/>
            </w:pPr>
            <w:r>
              <w:rPr>
                <w:rFonts w:ascii="Cambria" w:hAnsi="Cambria" w:cs="Cambria" w:eastAsia="Cambria"/>
                <w:color w:val="1A1A1A"/>
                <w:sz w:val="18"/>
              </w:rPr>
              <w:t xml:space="preserve">10.033.918 abitanti (Censimento ISTAT 2024); la più popolosa d’Italia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Finanziamento del SSR</w:t>
            </w:r>
          </w:p>
        </w:tc>
        <w:tc>
          <w:tcPr>
            <w:shd w:val="clear" w:color="auto" w:fill="F4F1EC"/>
          </w:tcPr>
          <w:p>
            <w:pPr>
              <w:pStyle w:val="Compact"/>
              <w:spacing w:after="40" w:before="40"/>
              <w:jc w:val="left"/>
            </w:pPr>
            <w:r>
              <w:rPr>
                <w:rFonts w:ascii="Cambria" w:hAnsi="Cambria" w:cs="Cambria" w:eastAsia="Cambria"/>
                <w:color w:val="1A1A1A"/>
                <w:sz w:val="18"/>
              </w:rPr>
              <w:t xml:space="preserve">~ 21 miliardi di euro; conti in equilibrio; nessun piano di rientro</w:t>
            </w:r>
          </w:p>
        </w:tc>
      </w:tr>
      <w:tr>
        <w:tc>
          <w:tcPr/>
          <w:p>
            <w:pPr>
              <w:pStyle w:val="Compact"/>
              <w:spacing w:after="40" w:before="40"/>
              <w:jc w:val="left"/>
            </w:pPr>
            <w:r>
              <w:rPr>
                <w:rFonts w:ascii="Cambria" w:hAnsi="Cambria" w:cs="Cambria" w:eastAsia="Cambria"/>
                <w:b/>
                <w:bCs/>
                <w:color w:val="1A1A1A"/>
                <w:sz w:val="18"/>
              </w:rPr>
              <w:t xml:space="preserve">Mobilità sanitaria</w:t>
            </w:r>
          </w:p>
        </w:tc>
        <w:tc>
          <w:tcPr/>
          <w:p>
            <w:pPr>
              <w:pStyle w:val="Compact"/>
              <w:spacing w:after="40" w:before="40"/>
              <w:jc w:val="left"/>
            </w:pPr>
            <w:r>
              <w:rPr>
                <w:rFonts w:ascii="Cambria" w:hAnsi="Cambria" w:cs="Cambria" w:eastAsia="Cambria"/>
                <w:color w:val="1A1A1A"/>
                <w:sz w:val="18"/>
              </w:rPr>
              <w:t xml:space="preserve">Saldo attivo, dell’ordine di +580 milioni; regione creditrice e primo polo attrattivo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 3 milioni di accessi/anno; quota inappropriata inferiore alle regioni a rete debole</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Consumo dell’ordine di 900–950 DDD/1000 ab. die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 2.000.000 con disagio comune; ~ 150.000 in carico ai Dipartimenti di Salute Mentale</w:t>
            </w:r>
          </w:p>
        </w:tc>
      </w:tr>
      <w:tr>
        <w:tc>
          <w:tcPr/>
          <w:p>
            <w:pPr>
              <w:pStyle w:val="Compact"/>
              <w:spacing w:after="40" w:before="40"/>
              <w:jc w:val="left"/>
            </w:pPr>
            <w:r>
              <w:rPr>
                <w:rFonts w:ascii="Cambria" w:hAnsi="Cambria" w:cs="Cambria" w:eastAsia="Cambria"/>
                <w:b/>
                <w:bCs/>
                <w:color w:val="1A1A1A"/>
                <w:sz w:val="18"/>
              </w:rPr>
              <w:t xml:space="preserve">Funzione attuale (L.R. 22/2021)</w:t>
            </w:r>
          </w:p>
        </w:tc>
        <w:tc>
          <w:tcPr/>
          <w:p>
            <w:pPr>
              <w:pStyle w:val="Compact"/>
              <w:spacing w:after="40" w:before="40"/>
              <w:jc w:val="left"/>
            </w:pPr>
            <w:r>
              <w:rPr>
                <w:rFonts w:ascii="Cambria" w:hAnsi="Cambria" w:cs="Cambria" w:eastAsia="Cambria"/>
                <w:color w:val="1A1A1A"/>
                <w:sz w:val="18"/>
              </w:rPr>
              <w:t xml:space="preserve">Psicologi previsti nelle Case della Comunità; funzione non ancora strutturata; ~ 0% del fabbisogno</w:t>
            </w:r>
          </w:p>
        </w:tc>
      </w:tr>
    </w:tbl>
    <w:p>
      <w:pPr>
        <w:pStyle w:val="BodyText"/>
      </w:pPr>
      <w:r>
        <w:rPr>
          <w:i/>
          <w:iCs/>
        </w:rPr>
        <w:t xml:space="preserve">Tabella C.1. I valori regionali di ancoraggio della Lombardia.</w:t>
      </w:r>
    </w:p>
    <w:p>
      <w:pPr>
        <w:pStyle w:val="BodyText"/>
      </w:pPr>
      <w:r>
        <w:t xml:space="preserve">La distinzione tra ricostruzione e certificazione è la vulnerabilità metodologica più rilevante dello studio, e va dichiarata senza attenuazioni: i valori economici sono in parte scalati per la quota di popolazione lombarda, pari al 17,0%, e non estratti dai conti regionali certificati.</w:t>
      </w:r>
      <w:r>
        <w:rPr>
          <w:rStyle w:val="FootnoteReference"/>
        </w:rPr>
        <w:footnoteReference w:id="1823"/>
      </w:r>
      <w:r>
        <w:t xml:space="preserve"> </w:t>
      </w:r>
      <w:r>
        <w:t xml:space="preserve">La tabella seguente elenca i dati certificati da acquisire per sostituire le stime.</w:t>
      </w:r>
    </w:p>
    <w:tbl>
      <w:tblPr>
        <w:tblStyle w:val="Table"/>
        <w:tblW w:type="pct" w:w="491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45"/>
        <w:gridCol w:w="523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Dato da acquisire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Ricoveri psichiatrici</w:t>
            </w:r>
          </w:p>
        </w:tc>
        <w:tc>
          <w:tcPr/>
          <w:p>
            <w:pPr>
              <w:pStyle w:val="Compact"/>
              <w:spacing w:after="40" w:before="40"/>
              <w:jc w:val="left"/>
            </w:pPr>
            <w:r>
              <w:rPr>
                <w:rFonts w:ascii="Cambria" w:hAnsi="Cambria" w:cs="Cambria" w:eastAsia="Cambria"/>
                <w:color w:val="1A1A1A"/>
                <w:sz w:val="18"/>
              </w:rPr>
              <w:t xml:space="preserve">Schede di dimissione ospedaliera per disturbi psichici e relativo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Specialistica</w:t>
            </w:r>
          </w:p>
        </w:tc>
        <w:tc>
          <w:tcPr>
            <w:shd w:val="clear" w:color="auto" w:fill="F4F1EC"/>
          </w:tcPr>
          <w:p>
            <w:pPr>
              <w:pStyle w:val="Compact"/>
              <w:spacing w:after="40" w:before="40"/>
              <w:jc w:val="left"/>
            </w:pPr>
            <w:r>
              <w:rPr>
                <w:rFonts w:ascii="Cambria" w:hAnsi="Cambria" w:cs="Cambria" w:eastAsia="Cambria"/>
                <w:color w:val="1A1A1A"/>
                <w:sz w:val="18"/>
              </w:rPr>
              <w:t xml:space="preserve">Prestazioni specialistiche associate ai sintomi somatici funzionali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Spesa regionale per 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causa psichiatrica e relativo costo unitario</w:t>
            </w:r>
          </w:p>
        </w:tc>
      </w:tr>
      <w:tr>
        <w:tc>
          <w:tcPr/>
          <w:p>
            <w:pPr>
              <w:pStyle w:val="Compact"/>
              <w:spacing w:after="40" w:before="40"/>
              <w:jc w:val="left"/>
            </w:pPr>
            <w:r>
              <w:rPr>
                <w:rFonts w:ascii="Cambria" w:hAnsi="Cambria" w:cs="Cambria" w:eastAsia="Cambria"/>
                <w:b/>
                <w:bCs/>
                <w:color w:val="1A1A1A"/>
                <w:sz w:val="18"/>
              </w:rPr>
              <w:t xml:space="preserve">Liste di attesa</w:t>
            </w:r>
          </w:p>
        </w:tc>
        <w:tc>
          <w:tcPr/>
          <w:p>
            <w:pPr>
              <w:pStyle w:val="Compact"/>
              <w:spacing w:after="40" w:before="40"/>
              <w:jc w:val="left"/>
            </w:pPr>
            <w:r>
              <w:rPr>
                <w:rFonts w:ascii="Cambria" w:hAnsi="Cambria" w:cs="Cambria" w:eastAsia="Cambria"/>
                <w:color w:val="1A1A1A"/>
                <w:sz w:val="18"/>
              </w:rPr>
              <w:t xml:space="preserve">Tempi di attesa per l’accesso psicologico, per Agenzia e per area</w:t>
            </w:r>
          </w:p>
        </w:tc>
      </w:tr>
    </w:tbl>
    <w:p>
      <w:pPr>
        <w:pStyle w:val="BodyText"/>
      </w:pPr>
      <w:r>
        <w:rPr>
          <w:i/>
          <w:iCs/>
        </w:rPr>
        <w:t xml:space="preserve">Tabella C.2. I dati certificati da acquisire per sostituire le stime (lacuna principale dello studio).</w:t>
      </w:r>
    </w:p>
    <w:bookmarkEnd w:id="4292"/>
    <w:bookmarkStart w:id="4293" w:name="appendice-d-checklist-di-reporting-2"/>
    <w:p>
      <w:pPr>
        <w:pStyle w:val="Heading2"/>
      </w:pPr>
      <w:r>
        <w:t xml:space="preserve">Appendice D — Checklist di reporting</w:t>
      </w:r>
    </w:p>
    <w:p>
      <w:pPr>
        <w:pStyle w:val="FirstParagraph"/>
      </w:pPr>
      <w:r>
        <w:t xml:space="preserve">Questa appendice elenca gli standard di reporting e di qualità adottati nello studio, ciascuno riferito alle parti pertinenti, a garanzia della trasparenza e della verificabilità metodologica.</w:t>
      </w:r>
      <w:r>
        <w:rPr>
          <w:rStyle w:val="FootnoteReference"/>
        </w:rPr>
        <w:footnoteReference w:id="1824"/>
      </w:r>
      <w:r>
        <w:t xml:space="preserve"> </w:t>
      </w:r>
      <w:r>
        <w:t xml:space="preserve">La tabella seguente ne riepiloga l’applicazione.</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3927"/>
        <w:gridCol w:w="1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Standard o lista di controllo</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r>
      <w:tr>
        <w:tc>
          <w:tcPr/>
          <w:p>
            <w:pPr>
              <w:pStyle w:val="Compact"/>
              <w:spacing w:after="40" w:before="40"/>
              <w:jc w:val="left"/>
            </w:pPr>
            <w:r>
              <w:rPr>
                <w:rFonts w:ascii="Cambria" w:hAnsi="Cambria" w:cs="Cambria" w:eastAsia="Cambria"/>
                <w:b/>
                <w:bCs/>
                <w:color w:val="1A1A1A"/>
                <w:sz w:val="18"/>
              </w:rPr>
              <w:t xml:space="preserve">CHEERS 2022 (28 voci)</w:t>
            </w:r>
          </w:p>
        </w:tc>
        <w:tc>
          <w:tcPr/>
          <w:p>
            <w:pPr>
              <w:pStyle w:val="Compact"/>
              <w:spacing w:after="40" w:before="40"/>
              <w:jc w:val="left"/>
            </w:pPr>
            <w:r>
              <w:rPr>
                <w:rFonts w:ascii="Cambria" w:hAnsi="Cambria" w:cs="Cambria" w:eastAsia="Cambria"/>
                <w:color w:val="1A1A1A"/>
                <w:sz w:val="18"/>
              </w:rPr>
              <w:t xml:space="preserve">Rendicontazione delle valutazioni economiche</w:t>
            </w:r>
          </w:p>
        </w:tc>
        <w:tc>
          <w:tcPr/>
          <w:p>
            <w:pPr>
              <w:pStyle w:val="Compact"/>
              <w:spacing w:after="40" w:before="40"/>
              <w:jc w:val="left"/>
            </w:pPr>
            <w:r>
              <w:rPr>
                <w:rFonts w:ascii="Cambria" w:hAnsi="Cambria" w:cs="Cambria" w:eastAsia="Cambria"/>
                <w:color w:val="1A1A1A"/>
                <w:sz w:val="18"/>
              </w:rPr>
              <w:t xml:space="preserve">Parte 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CHEERS-AI (38 voci)</w:t>
            </w:r>
          </w:p>
        </w:tc>
        <w:tc>
          <w:tcPr>
            <w:shd w:val="clear" w:color="auto" w:fill="F4F1EC"/>
          </w:tcPr>
          <w:p>
            <w:pPr>
              <w:pStyle w:val="Compact"/>
              <w:spacing w:after="40" w:before="40"/>
              <w:jc w:val="left"/>
            </w:pPr>
            <w:r>
              <w:rPr>
                <w:rFonts w:ascii="Cambria" w:hAnsi="Cambria" w:cs="Cambria" w:eastAsia="Cambria"/>
                <w:color w:val="1A1A1A"/>
                <w:sz w:val="18"/>
              </w:rPr>
              <w:t xml:space="preserve">Estensione per gli interventi con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Parti C, E</w:t>
            </w:r>
          </w:p>
        </w:tc>
      </w:tr>
      <w:tr>
        <w:tc>
          <w:tcPr/>
          <w:p>
            <w:pPr>
              <w:pStyle w:val="Compact"/>
              <w:spacing w:after="40" w:before="40"/>
              <w:jc w:val="left"/>
            </w:pPr>
            <w:r>
              <w:rPr>
                <w:rFonts w:ascii="Cambria" w:hAnsi="Cambria" w:cs="Cambria" w:eastAsia="Cambria"/>
                <w:b/>
                <w:bCs/>
                <w:color w:val="1A1A1A"/>
                <w:sz w:val="18"/>
              </w:rPr>
              <w:t xml:space="preserve">PRISMA 2020</w:t>
            </w:r>
          </w:p>
        </w:tc>
        <w:tc>
          <w:tcPr/>
          <w:p>
            <w:pPr>
              <w:pStyle w:val="Compact"/>
              <w:spacing w:after="40" w:before="40"/>
              <w:jc w:val="left"/>
            </w:pPr>
            <w:r>
              <w:rPr>
                <w:rFonts w:ascii="Cambria" w:hAnsi="Cambria" w:cs="Cambria" w:eastAsia="Cambria"/>
                <w:color w:val="1A1A1A"/>
                <w:sz w:val="18"/>
              </w:rPr>
              <w:t xml:space="preserve">Conduzione e reporting delle revisioni sistematiche</w:t>
            </w:r>
          </w:p>
        </w:tc>
        <w:tc>
          <w:tcPr/>
          <w:p>
            <w:pPr>
              <w:pStyle w:val="Compact"/>
              <w:spacing w:after="40" w:before="40"/>
              <w:jc w:val="left"/>
            </w:pPr>
            <w:r>
              <w:rPr>
                <w:rFonts w:ascii="Cambria" w:hAnsi="Cambria" w:cs="Cambria" w:eastAsia="Cambria"/>
                <w:color w:val="1A1A1A"/>
                <w:sz w:val="18"/>
              </w:rPr>
              <w:t xml:space="preserve">Parte 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GRADE</w:t>
            </w:r>
          </w:p>
        </w:tc>
        <w:tc>
          <w:tcPr>
            <w:shd w:val="clear" w:color="auto" w:fill="F4F1EC"/>
          </w:tcPr>
          <w:p>
            <w:pPr>
              <w:pStyle w:val="Compact"/>
              <w:spacing w:after="40" w:before="40"/>
              <w:jc w:val="left"/>
            </w:pPr>
            <w:r>
              <w:rPr>
                <w:rFonts w:ascii="Cambria" w:hAnsi="Cambria" w:cs="Cambria" w:eastAsia="Cambria"/>
                <w:color w:val="1A1A1A"/>
                <w:sz w:val="18"/>
              </w:rPr>
              <w:t xml:space="preserve">Graduazione della certezza dell’evidenza</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r>
      <w:tr>
        <w:tc>
          <w:tcPr/>
          <w:p>
            <w:pPr>
              <w:pStyle w:val="Compact"/>
              <w:spacing w:after="40" w:before="40"/>
              <w:jc w:val="left"/>
            </w:pPr>
            <w:r>
              <w:rPr>
                <w:rFonts w:ascii="Cambria" w:hAnsi="Cambria" w:cs="Cambria" w:eastAsia="Cambria"/>
                <w:b/>
                <w:bCs/>
                <w:color w:val="1A1A1A"/>
                <w:sz w:val="18"/>
              </w:rPr>
              <w:t xml:space="preserve">Lista STROBE</w:t>
            </w:r>
          </w:p>
        </w:tc>
        <w:tc>
          <w:tcPr/>
          <w:p>
            <w:pPr>
              <w:pStyle w:val="Compact"/>
              <w:spacing w:after="40" w:before="40"/>
              <w:jc w:val="left"/>
            </w:pPr>
            <w:r>
              <w:rPr>
                <w:rFonts w:ascii="Cambria" w:hAnsi="Cambria" w:cs="Cambria" w:eastAsia="Cambria"/>
                <w:color w:val="1A1A1A"/>
                <w:sz w:val="18"/>
              </w:rPr>
              <w:t xml:space="preserve">Studi osservazionali sui dati reali</w:t>
            </w:r>
          </w:p>
        </w:tc>
        <w:tc>
          <w:tcPr/>
          <w:p>
            <w:pPr>
              <w:pStyle w:val="Compact"/>
              <w:spacing w:after="40" w:before="40"/>
              <w:jc w:val="left"/>
            </w:pPr>
            <w:r>
              <w:rPr>
                <w:rFonts w:ascii="Cambria" w:hAnsi="Cambria" w:cs="Cambria" w:eastAsia="Cambria"/>
                <w:color w:val="1A1A1A"/>
                <w:sz w:val="18"/>
              </w:rPr>
              <w:t xml:space="preserve">Parti D,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Buone pratiche ISPOR-SMDM</w:t>
            </w:r>
          </w:p>
        </w:tc>
        <w:tc>
          <w:tcPr>
            <w:shd w:val="clear" w:color="auto" w:fill="F4F1EC"/>
          </w:tcPr>
          <w:p>
            <w:pPr>
              <w:pStyle w:val="Compact"/>
              <w:spacing w:after="40" w:before="40"/>
              <w:jc w:val="left"/>
            </w:pPr>
            <w:r>
              <w:rPr>
                <w:rFonts w:ascii="Cambria" w:hAnsi="Cambria" w:cs="Cambria" w:eastAsia="Cambria"/>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r>
      <w:tr>
        <w:tc>
          <w:tcPr/>
          <w:p>
            <w:pPr>
              <w:pStyle w:val="Compact"/>
              <w:spacing w:after="40" w:before="40"/>
              <w:jc w:val="left"/>
            </w:pPr>
            <w:r>
              <w:rPr>
                <w:rFonts w:ascii="Cambria" w:hAnsi="Cambria" w:cs="Cambria" w:eastAsia="Cambria"/>
                <w:b/>
                <w:bCs/>
                <w:color w:val="1A1A1A"/>
                <w:sz w:val="18"/>
              </w:rPr>
              <w:t xml:space="preserve">Manuale OCSE-JRC</w:t>
            </w:r>
          </w:p>
        </w:tc>
        <w:tc>
          <w:tcPr/>
          <w:p>
            <w:pPr>
              <w:pStyle w:val="Compact"/>
              <w:spacing w:after="40" w:before="40"/>
              <w:jc w:val="left"/>
            </w:pPr>
            <w:r>
              <w:rPr>
                <w:rFonts w:ascii="Cambria" w:hAnsi="Cambria" w:cs="Cambria" w:eastAsia="Cambria"/>
                <w:color w:val="1A1A1A"/>
                <w:sz w:val="18"/>
              </w:rPr>
              <w:t xml:space="preserve">Costruzione degli indicatori compositi</w:t>
            </w:r>
          </w:p>
        </w:tc>
        <w:tc>
          <w:tcPr/>
          <w:p>
            <w:pPr>
              <w:pStyle w:val="Compact"/>
              <w:spacing w:after="40" w:before="40"/>
              <w:jc w:val="left"/>
            </w:pPr>
            <w:r>
              <w:rPr>
                <w:rFonts w:ascii="Cambria" w:hAnsi="Cambria" w:cs="Cambria" w:eastAsia="Cambria"/>
                <w:color w:val="1A1A1A"/>
                <w:sz w:val="18"/>
              </w:rPr>
              <w:t xml:space="preserve">Parte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Griglia di giudizio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r>
    </w:tbl>
    <w:p>
      <w:pPr>
        <w:pStyle w:val="BodyText"/>
      </w:pPr>
      <w:r>
        <w:rPr>
          <w:i/>
          <w:iCs/>
        </w:rPr>
        <w:t xml:space="preserve">Tabella D.1. Gli standard di reporting e di qualità adottati nello studio, per parte di applicazione.</w:t>
      </w:r>
    </w:p>
    <w:bookmarkEnd w:id="4293"/>
    <w:bookmarkStart w:id="4294" w:name="appendice-e-glossario-2"/>
    <w:p>
      <w:pPr>
        <w:pStyle w:val="Heading2"/>
      </w:pPr>
      <w:r>
        <w:t xml:space="preserve">Appendice E — Glossario</w:t>
      </w:r>
    </w:p>
    <w:p>
      <w:pPr>
        <w:pStyle w:val="FirstParagraph"/>
      </w:pPr>
      <w:r>
        <w:t xml:space="preserve">Questa appendice raccoglie le definizioni dei principali termini tecnici impiegati nello studio, a beneficio del lettore non specialista; le definizioni sono comuni allo studio pugliese, di cui questo lavoro replica il telaio metodologico.</w:t>
      </w:r>
      <w:r>
        <w:rPr>
          <w:rStyle w:val="FootnoteReference"/>
        </w:rPr>
        <w:footnoteReference w:id="1825"/>
      </w:r>
    </w:p>
    <w:tbl>
      <w:tblPr>
        <w:tblStyle w:val="Table"/>
        <w:tblW w:type="pct" w:w="494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15"/>
        <w:gridCol w:w="531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Termine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w:t>
            </w:r>
          </w:p>
        </w:tc>
      </w:tr>
      <w:tr>
        <w:tc>
          <w:tcPr/>
          <w:p>
            <w:pPr>
              <w:pStyle w:val="Compact"/>
              <w:spacing w:after="40" w:before="40"/>
              <w:jc w:val="left"/>
            </w:pPr>
            <w:r>
              <w:rPr>
                <w:rFonts w:ascii="Cambria" w:hAnsi="Cambria" w:cs="Cambria" w:eastAsia="Cambria"/>
                <w:b/>
                <w:bCs/>
                <w:color w:val="1A1A1A"/>
                <w:sz w:val="18"/>
              </w:rPr>
              <w:t xml:space="preserve">Valutazione di tecnologia sanitaria (HTA)</w:t>
            </w:r>
          </w:p>
        </w:tc>
        <w:tc>
          <w:tcPr/>
          <w:p>
            <w:pPr>
              <w:pStyle w:val="Compact"/>
              <w:spacing w:after="40" w:before="40"/>
              <w:jc w:val="left"/>
            </w:pPr>
            <w:r>
              <w:rPr>
                <w:rFonts w:ascii="Cambria" w:hAnsi="Cambria" w:cs="Cambria" w:eastAsia="Cambria"/>
                <w:color w:val="1A1A1A"/>
                <w:sz w:val="18"/>
              </w:rPr>
              <w:t xml:space="preserve">Valutazione multidimensionale di un intervento sanitario, articolata in nove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rapida di efficacia relativa</w:t>
            </w:r>
          </w:p>
        </w:tc>
        <w:tc>
          <w:tcPr>
            <w:shd w:val="clear" w:color="auto" w:fill="F4F1EC"/>
          </w:tcPr>
          <w:p>
            <w:pPr>
              <w:pStyle w:val="Compact"/>
              <w:spacing w:after="40" w:before="40"/>
              <w:jc w:val="left"/>
            </w:pPr>
            <w:r>
              <w:rPr>
                <w:rFonts w:ascii="Cambria" w:hAnsi="Cambria" w:cs="Cambria" w:eastAsia="Cambria"/>
                <w:color w:val="1A1A1A"/>
                <w:sz w:val="18"/>
              </w:rPr>
              <w:t xml:space="preserve">Nucleo dell’HTA, che copre i primi quattro domini (problema, descrizione, sicurezza, efficacia)</w:t>
            </w:r>
          </w:p>
        </w:tc>
      </w:tr>
      <w:tr>
        <w:tc>
          <w:tcPr/>
          <w:p>
            <w:pPr>
              <w:pStyle w:val="Compact"/>
              <w:spacing w:after="40" w:before="40"/>
              <w:jc w:val="left"/>
            </w:pPr>
            <w:r>
              <w:rPr>
                <w:rFonts w:ascii="Cambria" w:hAnsi="Cambria" w:cs="Cambria" w:eastAsia="Cambria"/>
                <w:b/>
                <w:bCs/>
                <w:color w:val="1A1A1A"/>
                <w:sz w:val="18"/>
              </w:rPr>
              <w:t xml:space="preserve">Five Case Model</w:t>
            </w:r>
          </w:p>
        </w:tc>
        <w:tc>
          <w:tcPr/>
          <w:p>
            <w:pPr>
              <w:pStyle w:val="Compact"/>
              <w:spacing w:after="40" w:before="40"/>
              <w:jc w:val="left"/>
            </w:pPr>
            <w:r>
              <w:rPr>
                <w:rFonts w:ascii="Cambria" w:hAnsi="Cambria" w:cs="Cambria" w:eastAsia="Cambria"/>
                <w:color w:val="1A1A1A"/>
                <w:sz w:val="18"/>
              </w:rPr>
              <w:t xml:space="preserve">Standard del business case pubblico in cinque casi: strategico, economico, commerciale, finanziario, gestionale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 2022</w:t>
            </w:r>
          </w:p>
        </w:tc>
        <w:tc>
          <w:tcPr>
            <w:shd w:val="clear" w:color="auto" w:fill="F4F1EC"/>
          </w:tcPr>
          <w:p>
            <w:pPr>
              <w:pStyle w:val="Compact"/>
              <w:spacing w:after="40" w:before="40"/>
              <w:jc w:val="left"/>
            </w:pPr>
            <w:r>
              <w:rPr>
                <w:rFonts w:ascii="Cambria" w:hAnsi="Cambria" w:cs="Cambria" w:eastAsia="Cambria"/>
                <w:color w:val="1A1A1A"/>
                <w:sz w:val="18"/>
              </w:rPr>
              <w:t xml:space="preserve">Lista di controllo di 28 voci per la rendicontazione delle valutazioni economiche</w:t>
            </w:r>
          </w:p>
        </w:tc>
      </w:tr>
      <w:tr>
        <w:tc>
          <w:tcPr/>
          <w:p>
            <w:pPr>
              <w:pStyle w:val="Compact"/>
              <w:spacing w:after="40" w:before="40"/>
              <w:jc w:val="left"/>
            </w:pPr>
            <w:r>
              <w:rPr>
                <w:rFonts w:ascii="Cambria" w:hAnsi="Cambria" w:cs="Cambria" w:eastAsia="Cambria"/>
                <w:b/>
                <w:bCs/>
                <w:color w:val="1A1A1A"/>
                <w:sz w:val="18"/>
              </w:rPr>
              <w:t xml:space="preserve">Criteri OCSE-DAC</w:t>
            </w:r>
          </w:p>
        </w:tc>
        <w:tc>
          <w:tcPr/>
          <w:p>
            <w:pPr>
              <w:pStyle w:val="Compact"/>
              <w:spacing w:after="40" w:before="40"/>
              <w:jc w:val="left"/>
            </w:pPr>
            <w:r>
              <w:rPr>
                <w:rFonts w:ascii="Cambria" w:hAnsi="Cambria" w:cs="Cambria" w:eastAsia="Cambria"/>
                <w:color w:val="1A1A1A"/>
                <w:sz w:val="18"/>
              </w:rPr>
              <w:t xml:space="preserve">Sei criteri di giudizio: rilevanza, coerenza, efficacia, efficienza, impatto,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di vita ponderato per la qualità (QALY)</w:t>
            </w:r>
          </w:p>
        </w:tc>
        <w:tc>
          <w:tcPr>
            <w:shd w:val="clear" w:color="auto" w:fill="F4F1EC"/>
          </w:tcPr>
          <w:p>
            <w:pPr>
              <w:pStyle w:val="Compact"/>
              <w:spacing w:after="40" w:before="40"/>
              <w:jc w:val="left"/>
            </w:pPr>
            <w:r>
              <w:rPr>
                <w:rFonts w:ascii="Cambria" w:hAnsi="Cambria" w:cs="Cambria" w:eastAsia="Cambria"/>
                <w:color w:val="1A1A1A"/>
                <w:sz w:val="18"/>
              </w:rPr>
              <w:t xml:space="preserve">Misura che integra durata e qualità della vita guadagnate</w:t>
            </w:r>
          </w:p>
        </w:tc>
      </w:tr>
      <w:tr>
        <w:tc>
          <w:tcPr/>
          <w:p>
            <w:pPr>
              <w:pStyle w:val="Compact"/>
              <w:spacing w:after="40" w:before="40"/>
              <w:jc w:val="left"/>
            </w:pPr>
            <w:r>
              <w:rPr>
                <w:rFonts w:ascii="Cambria" w:hAnsi="Cambria" w:cs="Cambria" w:eastAsia="Cambria"/>
                <w:b/>
                <w:bCs/>
                <w:color w:val="1A1A1A"/>
                <w:sz w:val="18"/>
              </w:rPr>
              <w:t xml:space="preserve">Rapporto incrementale di costo-efficacia (ICER)</w:t>
            </w:r>
          </w:p>
        </w:tc>
        <w:tc>
          <w:tcPr/>
          <w:p>
            <w:pPr>
              <w:pStyle w:val="Compact"/>
              <w:spacing w:after="40" w:before="40"/>
              <w:jc w:val="left"/>
            </w:pPr>
            <w:r>
              <w:rPr>
                <w:rFonts w:ascii="Cambria" w:hAnsi="Cambria" w:cs="Cambria" w:eastAsia="Cambria"/>
                <w:color w:val="1A1A1A"/>
                <w:sz w:val="18"/>
              </w:rPr>
              <w:t xml:space="preserve">Rapporto tra costo aggiuntivo e guadagno di salute, confrontato con una soglia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costo-utilità</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che misura gli esiti in anni di vita ponderati per la qualità</w:t>
            </w:r>
          </w:p>
        </w:tc>
      </w:tr>
      <w:tr>
        <w:tc>
          <w:tcPr/>
          <w:p>
            <w:pPr>
              <w:pStyle w:val="Compact"/>
              <w:spacing w:after="40" w:before="40"/>
              <w:jc w:val="left"/>
            </w:pPr>
            <w:r>
              <w:rPr>
                <w:rFonts w:ascii="Cambria" w:hAnsi="Cambria" w:cs="Cambria" w:eastAsia="Cambria"/>
                <w:b/>
                <w:bCs/>
                <w:color w:val="1A1A1A"/>
                <w:sz w:val="18"/>
              </w:rPr>
              <w:t xml:space="preserve">Analisi di impatto sul bilancio</w:t>
            </w:r>
          </w:p>
        </w:tc>
        <w:tc>
          <w:tcPr/>
          <w:p>
            <w:pPr>
              <w:pStyle w:val="Compact"/>
              <w:spacing w:after="40" w:before="40"/>
              <w:jc w:val="left"/>
            </w:pPr>
            <w:r>
              <w:rPr>
                <w:rFonts w:ascii="Cambria" w:hAnsi="Cambria" w:cs="Cambria" w:eastAsia="Cambria"/>
                <w:color w:val="1A1A1A"/>
                <w:sz w:val="18"/>
              </w:rPr>
              <w:t xml:space="preserve">Stima dell’effetto finanziario sul bilancio del detentore del budget, su flussi non scontati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sull’investimento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Metodo che monetizza il valore sociale generato, distinto dai risparmi di bilancio</w:t>
            </w:r>
          </w:p>
        </w:tc>
      </w:tr>
      <w:tr>
        <w:tc>
          <w:tcPr/>
          <w:p>
            <w:pPr>
              <w:pStyle w:val="Compact"/>
              <w:spacing w:after="40" w:before="40"/>
              <w:jc w:val="left"/>
            </w:pPr>
            <w:r>
              <w:rPr>
                <w:rFonts w:ascii="Cambria" w:hAnsi="Cambria" w:cs="Cambria" w:eastAsia="Cambria"/>
                <w:b/>
                <w:bCs/>
                <w:color w:val="1A1A1A"/>
                <w:sz w:val="18"/>
              </w:rPr>
              <w:t xml:space="preserve">Analisi costo-efficacia distributiva (DCEA)</w:t>
            </w:r>
          </w:p>
        </w:tc>
        <w:tc>
          <w:tcPr/>
          <w:p>
            <w:pPr>
              <w:pStyle w:val="Compact"/>
              <w:spacing w:after="40" w:before="40"/>
              <w:jc w:val="left"/>
            </w:pPr>
            <w:r>
              <w:rPr>
                <w:rFonts w:ascii="Cambria" w:hAnsi="Cambria" w:cs="Cambria" w:eastAsia="Cambria"/>
                <w:color w:val="1A1A1A"/>
                <w:sz w:val="18"/>
              </w:rPr>
              <w:t xml:space="preserve">Estende la valutazione economica alla distribuzione degli effetti tra gruppi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sensibilità probabilistica</w:t>
            </w:r>
          </w:p>
        </w:tc>
        <w:tc>
          <w:tcPr>
            <w:shd w:val="clear" w:color="auto" w:fill="F4F1EC"/>
          </w:tcPr>
          <w:p>
            <w:pPr>
              <w:pStyle w:val="Compact"/>
              <w:spacing w:after="40" w:before="40"/>
              <w:jc w:val="left"/>
            </w:pPr>
            <w:r>
              <w:rPr>
                <w:rFonts w:ascii="Cambria" w:hAnsi="Cambria" w:cs="Cambria" w:eastAsia="Cambria"/>
                <w:color w:val="1A1A1A"/>
                <w:sz w:val="18"/>
              </w:rPr>
              <w:t xml:space="preserve">Propaga l’incertezza dei parametri mediante simulazioni Monte Carlo</w:t>
            </w:r>
          </w:p>
        </w:tc>
      </w:tr>
      <w:tr>
        <w:tc>
          <w:tcPr/>
          <w:p>
            <w:pPr>
              <w:pStyle w:val="Compact"/>
              <w:spacing w:after="40" w:before="40"/>
              <w:jc w:val="left"/>
            </w:pPr>
            <w:r>
              <w:rPr>
                <w:rFonts w:ascii="Cambria" w:hAnsi="Cambria" w:cs="Cambria" w:eastAsia="Cambria"/>
                <w:b/>
                <w:bCs/>
                <w:color w:val="1A1A1A"/>
                <w:sz w:val="18"/>
              </w:rPr>
              <w:t xml:space="preserve">Valore dell’informazione (EVPI, EVPPI)</w:t>
            </w:r>
          </w:p>
        </w:tc>
        <w:tc>
          <w:tcPr/>
          <w:p>
            <w:pPr>
              <w:pStyle w:val="Compact"/>
              <w:spacing w:after="40" w:before="40"/>
              <w:jc w:val="left"/>
            </w:pPr>
            <w:r>
              <w:rPr>
                <w:rFonts w:ascii="Cambria" w:hAnsi="Cambria" w:cs="Cambria" w:eastAsia="Cambria"/>
                <w:color w:val="1A1A1A"/>
                <w:sz w:val="18"/>
              </w:rPr>
              <w:t xml:space="preserve">Beneficio atteso dalla riduzione dell’incertezza, complessiva e sui parametri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Markov</w:t>
            </w:r>
          </w:p>
        </w:tc>
        <w:tc>
          <w:tcPr>
            <w:shd w:val="clear" w:color="auto" w:fill="F4F1EC"/>
          </w:tcPr>
          <w:p>
            <w:pPr>
              <w:pStyle w:val="Compact"/>
              <w:spacing w:after="40" w:before="40"/>
              <w:jc w:val="left"/>
            </w:pPr>
            <w:r>
              <w:rPr>
                <w:rFonts w:ascii="Cambria" w:hAnsi="Cambria" w:cs="Cambria" w:eastAsia="Cambria"/>
                <w:color w:val="1A1A1A"/>
                <w:sz w:val="18"/>
              </w:rPr>
              <w:t xml:space="preserve">Modello che rappresenta il decorso di una condizione attraverso stati di salute e transizioni</w:t>
            </w:r>
          </w:p>
        </w:tc>
      </w:tr>
      <w:tr>
        <w:tc>
          <w:tcPr/>
          <w:p>
            <w:pPr>
              <w:pStyle w:val="Compact"/>
              <w:spacing w:after="40" w:before="40"/>
              <w:jc w:val="left"/>
            </w:pPr>
            <w:r>
              <w:rPr>
                <w:rFonts w:ascii="Cambria" w:hAnsi="Cambria" w:cs="Cambria" w:eastAsia="Cambria"/>
                <w:b/>
                <w:bCs/>
                <w:color w:val="1A1A1A"/>
                <w:sz w:val="18"/>
              </w:rPr>
              <w:t xml:space="preserve">Differenza-nelle-differenze</w:t>
            </w:r>
          </w:p>
        </w:tc>
        <w:tc>
          <w:tcPr/>
          <w:p>
            <w:pPr>
              <w:pStyle w:val="Compact"/>
              <w:spacing w:after="40" w:before="40"/>
              <w:jc w:val="left"/>
            </w:pPr>
            <w:r>
              <w:rPr>
                <w:rFonts w:ascii="Cambria" w:hAnsi="Cambria" w:cs="Cambria" w:eastAsia="Cambria"/>
                <w:color w:val="1A1A1A"/>
                <w:sz w:val="18"/>
              </w:rPr>
              <w:t xml:space="preserve">Metodo controfattuale che confronta la variazione nel tempo dell’esito tra trattati e non trattati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Controllo sintetico</w:t>
            </w:r>
          </w:p>
        </w:tc>
        <w:tc>
          <w:tcPr>
            <w:shd w:val="clear" w:color="auto" w:fill="F4F1EC"/>
          </w:tcPr>
          <w:p>
            <w:pPr>
              <w:pStyle w:val="Compact"/>
              <w:spacing w:after="40" w:before="40"/>
              <w:jc w:val="left"/>
            </w:pPr>
            <w:r>
              <w:rPr>
                <w:rFonts w:ascii="Cambria" w:hAnsi="Cambria" w:cs="Cambria" w:eastAsia="Cambria"/>
                <w:color w:val="1A1A1A"/>
                <w:sz w:val="18"/>
              </w:rPr>
              <w:t xml:space="preserve">Metodo che costruisce un’unità di confronto come combinazione ponderata di unità non trattate</w:t>
            </w:r>
          </w:p>
        </w:tc>
      </w:tr>
      <w:tr>
        <w:tc>
          <w:tcPr/>
          <w:p>
            <w:pPr>
              <w:pStyle w:val="Compact"/>
              <w:spacing w:after="40" w:before="40"/>
              <w:jc w:val="left"/>
            </w:pPr>
            <w:r>
              <w:rPr>
                <w:rFonts w:ascii="Cambria" w:hAnsi="Cambria" w:cs="Cambria" w:eastAsia="Cambria"/>
                <w:b/>
                <w:bCs/>
                <w:color w:val="1A1A1A"/>
                <w:sz w:val="18"/>
              </w:rPr>
              <w:t xml:space="preserve">Dispiegamento scaglionato</w:t>
            </w:r>
          </w:p>
        </w:tc>
        <w:tc>
          <w:tcPr/>
          <w:p>
            <w:pPr>
              <w:pStyle w:val="Compact"/>
              <w:spacing w:after="40" w:before="40"/>
              <w:jc w:val="left"/>
            </w:pPr>
            <w:r>
              <w:rPr>
                <w:rFonts w:ascii="Cambria" w:hAnsi="Cambria" w:cs="Cambria" w:eastAsia="Cambria"/>
                <w:color w:val="1A1A1A"/>
                <w:sz w:val="18"/>
              </w:rPr>
              <w:t xml:space="preserve">Attivazione progressiva che rende le aree non ancora coperte gruppo di confronto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e verifica d’impatto della regolazione</w:t>
            </w:r>
          </w:p>
        </w:tc>
        <w:tc>
          <w:tcPr>
            <w:shd w:val="clear" w:color="auto" w:fill="F4F1EC"/>
          </w:tcPr>
          <w:p>
            <w:pPr>
              <w:pStyle w:val="Compact"/>
              <w:spacing w:after="40" w:before="40"/>
              <w:jc w:val="left"/>
            </w:pPr>
            <w:r>
              <w:rPr>
                <w:rFonts w:ascii="Cambria" w:hAnsi="Cambria" w:cs="Cambria" w:eastAsia="Cambria"/>
                <w:color w:val="1A1A1A"/>
                <w:sz w:val="18"/>
              </w:rPr>
              <w:t xml:space="preserve">Valutazione ex ante (AIR) ed ex post (VIR) degli effetti di una norma</w:t>
            </w:r>
          </w:p>
        </w:tc>
      </w:tr>
      <w:tr>
        <w:tc>
          <w:tcPr/>
          <w:p>
            <w:pPr>
              <w:pStyle w:val="Compact"/>
              <w:spacing w:after="40" w:before="40"/>
              <w:jc w:val="left"/>
            </w:pPr>
            <w:r>
              <w:rPr>
                <w:rFonts w:ascii="Cambria" w:hAnsi="Cambria" w:cs="Cambria" w:eastAsia="Cambria"/>
                <w:b/>
                <w:bCs/>
                <w:color w:val="1A1A1A"/>
                <w:sz w:val="18"/>
              </w:rPr>
              <w:t xml:space="preserve">Clausola valutativa</w:t>
            </w:r>
          </w:p>
        </w:tc>
        <w:tc>
          <w:tcPr/>
          <w:p>
            <w:pPr>
              <w:pStyle w:val="Compact"/>
              <w:spacing w:after="40" w:before="40"/>
              <w:jc w:val="left"/>
            </w:pPr>
            <w:r>
              <w:rPr>
                <w:rFonts w:ascii="Cambria" w:hAnsi="Cambria" w:cs="Cambria" w:eastAsia="Cambria"/>
                <w:color w:val="1A1A1A"/>
                <w:sz w:val="18"/>
              </w:rPr>
              <w:t xml:space="preserve">Strumento che impegna la Giunta a riferire al Consiglio sui risultati della riforma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RE-AIM</w:t>
            </w:r>
          </w:p>
        </w:tc>
        <w:tc>
          <w:tcPr>
            <w:shd w:val="clear" w:color="auto" w:fill="F4F1EC"/>
          </w:tcPr>
          <w:p>
            <w:pPr>
              <w:pStyle w:val="Compact"/>
              <w:spacing w:after="40" w:before="40"/>
              <w:jc w:val="left"/>
            </w:pPr>
            <w:r>
              <w:rPr>
                <w:rFonts w:ascii="Cambria" w:hAnsi="Cambria" w:cs="Cambria" w:eastAsia="Cambria"/>
                <w:color w:val="1A1A1A"/>
                <w:sz w:val="18"/>
              </w:rPr>
              <w:t xml:space="preserve">Quadro che misura portata, efficacia, adozione, implementazione e mantenimento di un intervento</w:t>
            </w:r>
          </w:p>
        </w:tc>
      </w:tr>
      <w:tr>
        <w:tc>
          <w:tcPr/>
          <w:p>
            <w:pPr>
              <w:pStyle w:val="Compact"/>
              <w:spacing w:after="40" w:before="40"/>
              <w:jc w:val="left"/>
            </w:pPr>
            <w:r>
              <w:rPr>
                <w:rFonts w:ascii="Cambria" w:hAnsi="Cambria" w:cs="Cambria" w:eastAsia="Cambria"/>
                <w:b/>
                <w:bCs/>
                <w:color w:val="1A1A1A"/>
                <w:sz w:val="18"/>
              </w:rPr>
              <w:t xml:space="preserve">CFIR</w:t>
            </w:r>
          </w:p>
        </w:tc>
        <w:tc>
          <w:tcPr/>
          <w:p>
            <w:pPr>
              <w:pStyle w:val="Compact"/>
              <w:spacing w:after="40" w:before="40"/>
              <w:jc w:val="left"/>
            </w:pPr>
            <w:r>
              <w:rPr>
                <w:rFonts w:ascii="Cambria" w:hAnsi="Cambria" w:cs="Cambria" w:eastAsia="Cambria"/>
                <w:color w:val="1A1A1A"/>
                <w:sz w:val="18"/>
              </w:rPr>
              <w:t xml:space="preserve">Quadro che spiega i determinanti dell’implementazione, in cinque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Donabedian</w:t>
            </w:r>
          </w:p>
        </w:tc>
        <w:tc>
          <w:tcPr>
            <w:shd w:val="clear" w:color="auto" w:fill="F4F1EC"/>
          </w:tcPr>
          <w:p>
            <w:pPr>
              <w:pStyle w:val="Compact"/>
              <w:spacing w:after="40" w:before="40"/>
              <w:jc w:val="left"/>
            </w:pPr>
            <w:r>
              <w:rPr>
                <w:rFonts w:ascii="Cambria" w:hAnsi="Cambria" w:cs="Cambria" w:eastAsia="Cambria"/>
                <w:color w:val="1A1A1A"/>
                <w:sz w:val="18"/>
              </w:rPr>
              <w:t xml:space="preserve">Classifica gli indicatori di qualità in struttura, processo ed esito, qui integrati dall’impatto</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Questionario validato per i sintomi depressivi (punteggio 0–27)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Questionario validato per i sintomi d’ansia (punteggio 0–21)</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Quota di pazienti che scende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r>
        <w:tc>
          <w:tcPr/>
          <w:p>
            <w:pPr>
              <w:pStyle w:val="Compact"/>
              <w:spacing w:after="40" w:before="40"/>
              <w:jc w:val="left"/>
            </w:pPr>
            <w:r>
              <w:rPr>
                <w:rFonts w:ascii="Cambria" w:hAnsi="Cambria" w:cs="Cambria" w:eastAsia="Cambria"/>
                <w:b/>
                <w:bCs/>
                <w:color w:val="1A1A1A"/>
                <w:sz w:val="18"/>
              </w:rPr>
              <w:t xml:space="preserve">Cura collaborativa</w:t>
            </w:r>
          </w:p>
        </w:tc>
        <w:tc>
          <w:tcPr/>
          <w:p>
            <w:pPr>
              <w:pStyle w:val="Compact"/>
              <w:spacing w:after="40" w:before="40"/>
              <w:jc w:val="left"/>
            </w:pPr>
            <w:r>
              <w:rPr>
                <w:rFonts w:ascii="Cambria" w:hAnsi="Cambria" w:cs="Cambria" w:eastAsia="Cambria"/>
                <w:color w:val="1A1A1A"/>
                <w:sz w:val="18"/>
              </w:rPr>
              <w:t xml:space="preserve">Modello di integrazione della salute mentale nelle cure primarie con équipe e monitoraggio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Cura a intensità crescente</w:t>
            </w:r>
          </w:p>
        </w:tc>
        <w:tc>
          <w:tcPr>
            <w:shd w:val="clear" w:color="auto" w:fill="F4F1EC"/>
          </w:tcPr>
          <w:p>
            <w:pPr>
              <w:pStyle w:val="Compact"/>
              <w:spacing w:after="40" w:before="40"/>
              <w:jc w:val="left"/>
            </w:pPr>
            <w:r>
              <w:rPr>
                <w:rFonts w:ascii="Cambria" w:hAnsi="Cambria" w:cs="Cambria" w:eastAsia="Cambria"/>
                <w:color w:val="1A1A1A"/>
                <w:sz w:val="18"/>
              </w:rPr>
              <w:t xml:space="preserve">Percorso che gradua l’intensità dell’intervento alla gravità del quadro</w:t>
            </w:r>
          </w:p>
        </w:tc>
      </w:tr>
      <w:tr>
        <w:tc>
          <w:tcPr/>
          <w:p>
            <w:pPr>
              <w:pStyle w:val="Compact"/>
              <w:spacing w:after="40" w:before="40"/>
              <w:jc w:val="left"/>
            </w:pPr>
            <w:r>
              <w:rPr>
                <w:rFonts w:ascii="Cambria" w:hAnsi="Cambria" w:cs="Cambria" w:eastAsia="Cambria"/>
                <w:b/>
                <w:bCs/>
                <w:color w:val="1A1A1A"/>
                <w:sz w:val="18"/>
              </w:rPr>
              <w:t xml:space="preserve">Livelli essenziali di assistenza (LEA)</w:t>
            </w:r>
          </w:p>
        </w:tc>
        <w:tc>
          <w:tcPr/>
          <w:p>
            <w:pPr>
              <w:pStyle w:val="Compact"/>
              <w:spacing w:after="40" w:before="40"/>
              <w:jc w:val="left"/>
            </w:pPr>
            <w:r>
              <w:rPr>
                <w:rFonts w:ascii="Cambria" w:hAnsi="Cambria" w:cs="Cambria" w:eastAsia="Cambria"/>
                <w:color w:val="1A1A1A"/>
                <w:sz w:val="18"/>
              </w:rPr>
              <w:t xml:space="preserve">Prestazioni garantite uniformemente dal Servizio sanitario;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Spesa per prestazioni rese ai residenti da strutture di altre regioni; in Lombardia il saldo è attivo</w:t>
            </w:r>
          </w:p>
        </w:tc>
      </w:tr>
      <w:tr>
        <w:tc>
          <w:tcPr/>
          <w:p>
            <w:pPr>
              <w:pStyle w:val="Compact"/>
              <w:spacing w:after="40" w:before="40"/>
              <w:jc w:val="left"/>
            </w:pPr>
            <w:r>
              <w:rPr>
                <w:rFonts w:ascii="Cambria" w:hAnsi="Cambria" w:cs="Cambria" w:eastAsia="Cambria"/>
                <w:b/>
                <w:bCs/>
                <w:color w:val="1A1A1A"/>
                <w:sz w:val="18"/>
              </w:rPr>
              <w:t xml:space="preserve">Sintomi somatici funzionali</w:t>
            </w:r>
          </w:p>
        </w:tc>
        <w:tc>
          <w:tcPr/>
          <w:p>
            <w:pPr>
              <w:pStyle w:val="Compact"/>
              <w:spacing w:after="40" w:before="40"/>
              <w:jc w:val="left"/>
            </w:pPr>
            <w:r>
              <w:rPr>
                <w:rFonts w:ascii="Cambria" w:hAnsi="Cambria" w:cs="Cambria" w:eastAsia="Cambria"/>
                <w:color w:val="1A1A1A"/>
                <w:sz w:val="18"/>
              </w:rPr>
              <w:t xml:space="preserve">Sintomi fisici senza causa organica, associati a elevato consumo di prestazioni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concentrazione</w:t>
            </w:r>
          </w:p>
        </w:tc>
        <w:tc>
          <w:tcPr>
            <w:shd w:val="clear" w:color="auto" w:fill="F4F1EC"/>
          </w:tcPr>
          <w:p>
            <w:pPr>
              <w:pStyle w:val="Compact"/>
              <w:spacing w:after="40" w:before="40"/>
              <w:jc w:val="left"/>
            </w:pPr>
            <w:r>
              <w:rPr>
                <w:rFonts w:ascii="Cambria" w:hAnsi="Cambria" w:cs="Cambria" w:eastAsia="Cambria"/>
                <w:color w:val="1A1A1A"/>
                <w:sz w:val="18"/>
              </w:rPr>
              <w:t xml:space="preserve">Misura che lega l’esito di salute alla posizione socio-economica</w:t>
            </w:r>
          </w:p>
        </w:tc>
      </w:tr>
      <w:tr>
        <w:tc>
          <w:tcPr/>
          <w:p>
            <w:pPr>
              <w:pStyle w:val="Compact"/>
              <w:spacing w:after="40" w:before="40"/>
              <w:jc w:val="left"/>
            </w:pPr>
            <w:r>
              <w:rPr>
                <w:rFonts w:ascii="Cambria" w:hAnsi="Cambria" w:cs="Cambria" w:eastAsia="Cambria"/>
                <w:b/>
                <w:bCs/>
                <w:color w:val="1A1A1A"/>
                <w:sz w:val="18"/>
              </w:rPr>
              <w:t xml:space="preserve">Peso morto</w:t>
            </w:r>
          </w:p>
        </w:tc>
        <w:tc>
          <w:tcPr/>
          <w:p>
            <w:pPr>
              <w:pStyle w:val="Compact"/>
              <w:spacing w:after="40" w:before="40"/>
              <w:jc w:val="left"/>
            </w:pPr>
            <w:r>
              <w:rPr>
                <w:rFonts w:ascii="Cambria" w:hAnsi="Cambria" w:cs="Cambria" w:eastAsia="Cambria"/>
                <w:color w:val="1A1A1A"/>
                <w:sz w:val="18"/>
              </w:rP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Con queste appendici si completano i materiali di supporto dello studio regionale lombardo, che applica al contesto della Lombardia, con piena fedeltà metodologica e con le dovute qualificazioni di onestà, il medesimo telaio integrato già adottato per la Puglia.</w:t>
      </w:r>
    </w:p>
    <w:p>
      <w:pPr>
        <w:pStyle w:val="BodyText"/>
      </w:pPr>
      <w:r>
        <w:t xml:space="preserve">76</w:t>
      </w:r>
    </w:p>
    <w:p>
      <w:pPr>
        <w:pStyle w:val="BodyText"/>
      </w:pPr>
      <w:r>
        <w:t xml:space="preserve">76</w:t>
      </w:r>
    </w:p>
    <w:bookmarkEnd w:id="4294"/>
    <w:bookmarkStart w:id="952" w:name="trentino-alto-adige-studio-hta-integrale"/>
    <w:p>
      <w:pPr>
        <w:pStyle w:val="Heading2"/>
      </w:pPr>
      <w:r>
        <w:t xml:space="preserve">Trentino-Alto Adige — Studio HTA integrale</w:t>
      </w:r>
    </w:p>
    <w:p>
      <w:pPr>
        <w:pStyle w:val="FirstParagraph"/>
      </w:pPr>
      <w:r>
        <w:t xml:space="preserve">Studio Integrale Regionale · Regione Autonoma Trentino-Alto Adige/Südtirol</w:t>
      </w:r>
    </w:p>
    <w:p>
      <w:pPr>
        <w:pStyle w:val="BodyText"/>
      </w:pPr>
      <w:r>
        <w:t xml:space="preserve">Progetto «Psicologo di Base» — Riforma «Psicologo di Base»: dai servizi esistenti alla strutturazione armonizzata nelle due Province autonome. Applicazione del telaio integrato in undici parti e cinque appendici (Modello HTA · Five Case Model · CHEERS 2022 · criteri OCSE-DAC).</w:t>
      </w:r>
    </w:p>
    <w:p>
      <w:pPr>
        <w:pStyle w:val="BodyText"/>
      </w:pPr>
      <w:r>
        <w:t xml:space="preserve">Indice</w:t>
      </w:r>
    </w:p>
    <w:bookmarkEnd w:id="952"/>
    <w:bookmarkStart w:id="4295" w:name="premessa-generale-3"/>
    <w:p>
      <w:pPr>
        <w:pStyle w:val="Heading2"/>
      </w:pPr>
      <w:r>
        <w:t xml:space="preserve">Premessa generale</w:t>
      </w:r>
    </w:p>
    <w:p>
      <w:pPr>
        <w:pStyle w:val="FirstParagraph"/>
      </w:pPr>
      <w:r>
        <w:t xml:space="preserve">Questo documento apre e ordina lo studio integrale per la Regione autonoma Trentino-Alto Adige/Südtirol sulla riforma «Psicologo di Base». Esso non contiene una nuova analisi, ma fornisce la chiave di navigazione dell’intero corpus: la premessa, l’indice generale di tutte le parti e di tutte le appendici, la mappa di integrazione delle cornici metodologiche e la sintesi del valore. Il Trentino-Alto Adige occupa, nel panorama nazionale, una posizione propria e unica: è un territorio ripartito in due Province autonome — Trento e Bolzano — ciascuna titolare di un proprio Servizio sanitario e già dotata di forme di psicologia territoriale: il Trentino con una convenzione fra l’APSS e studi psicologici privati (legge provinciale del 2016, con ticket), l’Alto Adige con un Servizio psicologico territoriale pubblico e bilingue (Sabes). Proprio per questo la decisione rilevante non è se istituire il servizio, già presente in forme diverse, ma strutturarlo in un modello pieno di psicologo di base e armonizzarne gli assetti fra le due Province, dimensionandolo verso la copertura piena del fabbisogno, in un territorio fra i più giovani, ricchi e sani d’Italia, a piena autonomia finanziaria e in avanzo di bilancio.</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4295"/>
    <w:bookmarkStart w:id="4296" w:name="indice-generale-del-corpus-3"/>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038"/>
        <w:gridCol w:w="1038"/>
        <w:gridCol w:w="575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A.1-A.3</w:t>
            </w:r>
          </w:p>
        </w:tc>
        <w:tc>
          <w:tcPr/>
          <w:p>
            <w:pPr>
              <w:pStyle w:val="Compact"/>
              <w:spacing w:after="40" w:before="40"/>
              <w:jc w:val="left"/>
            </w:pPr>
            <w:r>
              <w:rPr>
                <w:rFonts w:ascii="Cambria" w:hAnsi="Cambria" w:cs="Cambria" w:eastAsia="Cambria"/>
                <w:color w:val="1A1A1A"/>
                <w:sz w:val="18"/>
              </w:rPr>
              <w:t xml:space="preserve">Quadro, quesito e metodo: scopo e quesito (PICOTS),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Problema di salute, bisogno e contesto: demografia, epidemiologia, domanda e offerta, disuguaglianze,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L’intervento e il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clinica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casi economico e finanziario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parametri, sensibilità, verifica empirica,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G.1-G.4</w:t>
            </w:r>
          </w:p>
        </w:tc>
        <w:tc>
          <w:tcPr/>
          <w:p>
            <w:pPr>
              <w:pStyle w:val="Compact"/>
              <w:spacing w:after="40" w:before="40"/>
              <w:jc w:val="left"/>
            </w:pPr>
            <w:r>
              <w:rPr>
                <w:rFonts w:ascii="Cambria" w:hAnsi="Cambria" w:cs="Cambria" w:eastAsia="Cambria"/>
                <w:color w:val="1A1A1A"/>
                <w:sz w:val="18"/>
              </w:rPr>
              <w:t xml:space="preserve">Equità e impatto distributivo: analisi di equità, assi territoriali, strumenti, costo-efficacia distributiva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H.1-H.4</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giuridico, organizzativo, etico, sintesi</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cinque casi, dimensionamento, cronoprogramma, sostenibilità, rischi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ex post: impianto, controfattuale su strutturazione progressiva, indicatori, cruscotto, sintesi</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M.1-M.5</w:t>
            </w:r>
          </w:p>
        </w:tc>
        <w:tc>
          <w:tcPr/>
          <w:p>
            <w:pPr>
              <w:pStyle w:val="Compact"/>
              <w:spacing w:after="40" w:before="40"/>
              <w:jc w:val="left"/>
            </w:pPr>
            <w:r>
              <w:rPr>
                <w:rFonts w:ascii="Cambria" w:hAnsi="Cambria" w:cs="Cambria" w:eastAsia="Cambria"/>
                <w:color w:val="1A1A1A"/>
                <w:sz w:val="18"/>
              </w:rPr>
              <w:t xml:space="preserve">Sintesi multidimensionale e raccomandazioni: sintesi per dominio, analisi multi-criterio, raccomandazioni, condizioni, conclusione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A</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tavola delle assunzioni e dei parametri</w:t>
            </w:r>
          </w:p>
        </w:tc>
      </w:tr>
      <w:tr>
        <w:tc>
          <w:tcPr/>
          <w:p>
            <w:pPr>
              <w:pStyle w:val="Compact"/>
              <w:spacing w:after="40" w:before="40"/>
              <w:jc w:val="left"/>
            </w:pPr>
            <w:r>
              <w:rPr>
                <w:rFonts w:ascii="Cambria" w:hAnsi="Cambria" w:cs="Cambria" w:eastAsia="Cambria"/>
                <w:b/>
                <w:bCs/>
                <w:color w:val="1A1A1A"/>
                <w:sz w:val="18"/>
              </w:rPr>
              <w:t xml:space="preserve">Appendice B</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Strumenti di esito e dataset minimo: questionari e dizionario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C</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Dati del territorio e fonti: valori di ancoraggio e dati da acquisire</w:t>
            </w:r>
          </w:p>
        </w:tc>
      </w:tr>
      <w:tr>
        <w:tc>
          <w:tcPr/>
          <w:p>
            <w:pPr>
              <w:pStyle w:val="Compact"/>
              <w:spacing w:after="40" w:before="40"/>
              <w:jc w:val="left"/>
            </w:pPr>
            <w:r>
              <w:rPr>
                <w:rFonts w:ascii="Cambria" w:hAnsi="Cambria" w:cs="Cambria" w:eastAsia="Cambria"/>
                <w:b/>
                <w:bCs/>
                <w:color w:val="1A1A1A"/>
                <w:sz w:val="18"/>
              </w:rPr>
              <w:t xml:space="preserve">Appendice D</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Checklist di reporting: CHEERS, PRISMA, GRADE, STROBE, ISPOR-SMDM, OCSE-JRC</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4296"/>
    <w:bookmarkStart w:id="4297" w:name="la-mappa-di-integrazione-del-telaio-3"/>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87"/>
        <w:gridCol w:w="1208"/>
        <w:gridCol w:w="1745"/>
        <w:gridCol w:w="17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Parte</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HTA</w:t>
            </w:r>
          </w:p>
        </w:tc>
        <w:tc>
          <w:tcPr>
            <w:shd w:val="clear" w:color="auto" w:fill="16264B"/>
          </w:tcPr>
          <w:p>
            <w:pPr>
              <w:pStyle w:val="Compact"/>
              <w:spacing w:after="40" w:before="40"/>
              <w:jc w:val="left"/>
            </w:pPr>
            <w:r>
              <w:rPr>
                <w:rFonts w:ascii="Cambria" w:hAnsi="Cambria" w:cs="Cambria" w:eastAsia="Cambria"/>
                <w:b/>
                <w:bCs/>
                <w:color w:val="FFFFFF"/>
                <w:sz w:val="18"/>
              </w:rPr>
              <w:t xml:space="preserve">Caso (5CM)</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Criterio OCSE-DAC</w:t>
            </w:r>
          </w:p>
        </w:tc>
      </w:tr>
      <w:tr>
        <w:tc>
          <w:tcPr/>
          <w:p>
            <w:pPr>
              <w:pStyle w:val="Compact"/>
              <w:spacing w:after="40" w:before="40"/>
              <w:jc w:val="left"/>
            </w:pPr>
            <w:r>
              <w:rPr>
                <w:rFonts w:ascii="Cambria" w:hAnsi="Cambria" w:cs="Cambria" w:eastAsia="Cambria"/>
                <w:b/>
                <w:bCs/>
                <w:color w:val="1A1A1A"/>
                <w:sz w:val="18"/>
              </w:rPr>
              <w:t xml:space="preserve">A — Quadro e metodo</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Imposta la griglia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 — Bisogno e contesto</w:t>
            </w:r>
          </w:p>
        </w:tc>
        <w:tc>
          <w:tcPr>
            <w:shd w:val="clear" w:color="auto" w:fill="F4F1EC"/>
          </w:tcPr>
          <w:p>
            <w:pPr>
              <w:pStyle w:val="Compact"/>
              <w:spacing w:after="40" w:before="40"/>
              <w:jc w:val="left"/>
            </w:pPr>
            <w:r>
              <w:rPr>
                <w:rFonts w:ascii="Cambria" w:hAnsi="Cambria" w:cs="Cambria" w:eastAsia="Cambria"/>
                <w:color w:val="1A1A1A"/>
                <w:sz w:val="18"/>
              </w:rPr>
              <w:t xml:space="preserve">Dominio 1</w:t>
            </w:r>
          </w:p>
        </w:tc>
        <w:tc>
          <w:tcPr>
            <w:shd w:val="clear" w:color="auto" w:fill="F4F1EC"/>
          </w:tcPr>
          <w:p>
            <w:pPr>
              <w:pStyle w:val="Compact"/>
              <w:spacing w:after="40" w:before="40"/>
              <w:jc w:val="left"/>
            </w:pPr>
            <w:r>
              <w:rPr>
                <w:rFonts w:ascii="Cambria" w:hAnsi="Cambria" w:cs="Cambria" w:eastAsia="Cambria"/>
                <w:color w:val="1A1A1A"/>
                <w:sz w:val="18"/>
              </w:rPr>
              <w:t xml:space="preserve">Strategico</w:t>
            </w:r>
          </w:p>
        </w:tc>
        <w:tc>
          <w:tcPr>
            <w:shd w:val="clear" w:color="auto" w:fill="F4F1EC"/>
          </w:tcPr>
          <w:p>
            <w:pPr>
              <w:pStyle w:val="Compact"/>
              <w:spacing w:after="40" w:before="40"/>
              <w:jc w:val="left"/>
            </w:pPr>
            <w:r>
              <w:rPr>
                <w:rFonts w:ascii="Cambria" w:hAnsi="Cambria" w:cs="Cambria" w:eastAsia="Cambria"/>
                <w:color w:val="1A1A1A"/>
                <w:sz w:val="18"/>
              </w:rPr>
              <w:t xml:space="preserve">Rilevanza, coerenza</w:t>
            </w:r>
          </w:p>
        </w:tc>
      </w:tr>
      <w:tr>
        <w:tc>
          <w:tcPr/>
          <w:p>
            <w:pPr>
              <w:pStyle w:val="Compact"/>
              <w:spacing w:after="40" w:before="40"/>
              <w:jc w:val="left"/>
            </w:pPr>
            <w:r>
              <w:rPr>
                <w:rFonts w:ascii="Cambria" w:hAnsi="Cambria" w:cs="Cambria" w:eastAsia="Cambria"/>
                <w:b/>
                <w:bCs/>
                <w:color w:val="1A1A1A"/>
                <w:sz w:val="18"/>
              </w:rPr>
              <w:t xml:space="preserve">C — Intervento e modello</w:t>
            </w:r>
          </w:p>
        </w:tc>
        <w:tc>
          <w:tcPr/>
          <w:p>
            <w:pPr>
              <w:pStyle w:val="Compact"/>
              <w:spacing w:after="40" w:before="40"/>
              <w:jc w:val="left"/>
            </w:pPr>
            <w:r>
              <w:rPr>
                <w:rFonts w:ascii="Cambria" w:hAnsi="Cambria" w:cs="Cambria" w:eastAsia="Cambria"/>
                <w:color w:val="1A1A1A"/>
                <w:sz w:val="18"/>
              </w:rPr>
              <w:t xml:space="preserve">Domini 2–3</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 — Efficacia ed evidenza</w:t>
            </w:r>
          </w:p>
        </w:tc>
        <w:tc>
          <w:tcPr>
            <w:shd w:val="clear" w:color="auto" w:fill="F4F1EC"/>
          </w:tcPr>
          <w:p>
            <w:pPr>
              <w:pStyle w:val="Compact"/>
              <w:spacing w:after="40" w:before="40"/>
              <w:jc w:val="left"/>
            </w:pPr>
            <w:r>
              <w:rPr>
                <w:rFonts w:ascii="Cambria" w:hAnsi="Cambria" w:cs="Cambria" w:eastAsia="Cambria"/>
                <w:color w:val="1A1A1A"/>
                <w:sz w:val="18"/>
              </w:rPr>
              <w:t xml:space="preserve">Dominio 4</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Efficacia</w:t>
            </w:r>
          </w:p>
        </w:tc>
      </w:tr>
      <w:tr>
        <w:tc>
          <w:tcPr/>
          <w:p>
            <w:pPr>
              <w:pStyle w:val="Compact"/>
              <w:spacing w:after="40" w:before="40"/>
              <w:jc w:val="left"/>
            </w:pPr>
            <w:r>
              <w:rPr>
                <w:rFonts w:ascii="Cambria" w:hAnsi="Cambria" w:cs="Cambria" w:eastAsia="Cambria"/>
                <w:b/>
                <w:bCs/>
                <w:color w:val="1A1A1A"/>
                <w:sz w:val="18"/>
              </w:rPr>
              <w:t xml:space="preserve">E — Valutazione economica</w:t>
            </w:r>
          </w:p>
        </w:tc>
        <w:tc>
          <w:tcPr/>
          <w:p>
            <w:pPr>
              <w:pStyle w:val="Compact"/>
              <w:spacing w:after="40" w:before="40"/>
              <w:jc w:val="left"/>
            </w:pPr>
            <w:r>
              <w:rPr>
                <w:rFonts w:ascii="Cambria" w:hAnsi="Cambria" w:cs="Cambria" w:eastAsia="Cambria"/>
                <w:color w:val="1A1A1A"/>
                <w:sz w:val="18"/>
              </w:rPr>
              <w:t xml:space="preserve">Dominio 5</w:t>
            </w:r>
          </w:p>
        </w:tc>
        <w:tc>
          <w:tcPr/>
          <w:p>
            <w:pPr>
              <w:pStyle w:val="Compact"/>
              <w:spacing w:after="40" w:before="40"/>
              <w:jc w:val="left"/>
            </w:pPr>
            <w:r>
              <w:rPr>
                <w:rFonts w:ascii="Cambria" w:hAnsi="Cambria" w:cs="Cambria" w:eastAsia="Cambria"/>
                <w:color w:val="1A1A1A"/>
                <w:sz w:val="18"/>
              </w:rPr>
              <w:t xml:space="preserve">Economico, finanziario</w:t>
            </w:r>
          </w:p>
        </w:tc>
        <w:tc>
          <w:tcPr/>
          <w:p>
            <w:pPr>
              <w:pStyle w:val="Compact"/>
              <w:spacing w:after="40" w:before="40"/>
              <w:jc w:val="left"/>
            </w:pPr>
            <w:r>
              <w:rPr>
                <w:rFonts w:ascii="Cambria" w:hAnsi="Cambria" w:cs="Cambria" w:eastAsia="Cambria"/>
                <w:color w:val="1A1A1A"/>
                <w:sz w:val="18"/>
              </w:rPr>
              <w:t xml:space="preserve">Efficienza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 — 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Dominio 5</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Efficienza</w:t>
            </w:r>
          </w:p>
        </w:tc>
      </w:tr>
      <w:tr>
        <w:tc>
          <w:tcPr/>
          <w:p>
            <w:pPr>
              <w:pStyle w:val="Compact"/>
              <w:spacing w:after="40" w:before="40"/>
              <w:jc w:val="left"/>
            </w:pPr>
            <w:r>
              <w:rPr>
                <w:rFonts w:ascii="Cambria" w:hAnsi="Cambria" w:cs="Cambria" w:eastAsia="Cambria"/>
                <w:b/>
                <w:bCs/>
                <w:color w:val="1A1A1A"/>
                <w:sz w:val="18"/>
              </w:rPr>
              <w:t xml:space="preserve">G — Equità e impatto</w:t>
            </w:r>
          </w:p>
        </w:tc>
        <w:tc>
          <w:tcPr/>
          <w:p>
            <w:pPr>
              <w:pStyle w:val="Compact"/>
              <w:spacing w:after="40" w:before="40"/>
              <w:jc w:val="left"/>
            </w:pPr>
            <w:r>
              <w:rPr>
                <w:rFonts w:ascii="Cambria" w:hAnsi="Cambria" w:cs="Cambria" w:eastAsia="Cambria"/>
                <w:color w:val="1A1A1A"/>
                <w:sz w:val="18"/>
              </w:rPr>
              <w:t xml:space="preserve">Dominio 8</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Impatto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H — Profili etico/giuridico/organizz.</w:t>
            </w:r>
          </w:p>
        </w:tc>
        <w:tc>
          <w:tcPr>
            <w:shd w:val="clear" w:color="auto" w:fill="F4F1EC"/>
          </w:tcPr>
          <w:p>
            <w:pPr>
              <w:pStyle w:val="Compact"/>
              <w:spacing w:after="40" w:before="40"/>
              <w:jc w:val="left"/>
            </w:pPr>
            <w:r>
              <w:rPr>
                <w:rFonts w:ascii="Cambria" w:hAnsi="Cambria" w:cs="Cambria" w:eastAsia="Cambria"/>
                <w:color w:val="1A1A1A"/>
                <w:sz w:val="18"/>
              </w:rPr>
              <w:t xml:space="preserve">Domini 6, 7, 9</w:t>
            </w:r>
          </w:p>
        </w:tc>
        <w:tc>
          <w:tcPr>
            <w:shd w:val="clear" w:color="auto" w:fill="F4F1EC"/>
          </w:tcPr>
          <w:p>
            <w:pPr>
              <w:pStyle w:val="Compact"/>
              <w:spacing w:after="40" w:before="40"/>
              <w:jc w:val="left"/>
            </w:pPr>
            <w:r>
              <w:rPr>
                <w:rFonts w:ascii="Cambria" w:hAnsi="Cambria" w:cs="Cambria" w:eastAsia="Cambria"/>
                <w:color w:val="1A1A1A"/>
                <w:sz w:val="18"/>
              </w:rPr>
              <w:t xml:space="preserve">Gestionale</w:t>
            </w:r>
          </w:p>
        </w:tc>
        <w:tc>
          <w:tcPr>
            <w:shd w:val="clear" w:color="auto" w:fill="F4F1EC"/>
          </w:tcPr>
          <w:p>
            <w:pPr>
              <w:pStyle w:val="Compact"/>
              <w:spacing w:after="40" w:before="40"/>
              <w:jc w:val="left"/>
            </w:pPr>
            <w:r>
              <w:rPr>
                <w:rFonts w:ascii="Cambria" w:hAnsi="Cambria" w:cs="Cambria" w:eastAsia="Cambria"/>
                <w:color w:val="1A1A1A"/>
                <w:sz w:val="18"/>
              </w:rPr>
              <w:t xml:space="preserve">Coerenza</w:t>
            </w:r>
          </w:p>
        </w:tc>
      </w:tr>
      <w:tr>
        <w:tc>
          <w:tcPr/>
          <w:p>
            <w:pPr>
              <w:pStyle w:val="Compact"/>
              <w:spacing w:after="40" w:before="40"/>
              <w:jc w:val="left"/>
            </w:pPr>
            <w:r>
              <w:rPr>
                <w:rFonts w:ascii="Cambria" w:hAnsi="Cambria" w:cs="Cambria" w:eastAsia="Cambria"/>
                <w:b/>
                <w:bCs/>
                <w:color w:val="1A1A1A"/>
                <w:sz w:val="18"/>
              </w:rPr>
              <w:t xml:space="preserve">I — Attuazione e sostenibilità</w:t>
            </w:r>
          </w:p>
        </w:tc>
        <w:tc>
          <w:tcPr/>
          <w:p>
            <w:pPr>
              <w:pStyle w:val="Compact"/>
              <w:spacing w:after="40" w:before="40"/>
              <w:jc w:val="left"/>
            </w:pPr>
            <w:r>
              <w:rPr>
                <w:rFonts w:ascii="Cambria" w:hAnsi="Cambria" w:cs="Cambria" w:eastAsia="Cambria"/>
                <w:color w:val="1A1A1A"/>
                <w:sz w:val="18"/>
              </w:rPr>
              <w:t xml:space="preserve">Dominio 7</w:t>
            </w:r>
          </w:p>
        </w:tc>
        <w:tc>
          <w:tcPr/>
          <w:p>
            <w:pPr>
              <w:pStyle w:val="Compact"/>
              <w:spacing w:after="40" w:before="40"/>
              <w:jc w:val="left"/>
            </w:pPr>
            <w:r>
              <w:rPr>
                <w:rFonts w:ascii="Cambria" w:hAnsi="Cambria" w:cs="Cambria" w:eastAsia="Cambria"/>
                <w:color w:val="1A1A1A"/>
                <w:sz w:val="18"/>
              </w:rPr>
              <w:t xml:space="preserve">Commerciale, gestionale</w:t>
            </w:r>
          </w:p>
        </w:tc>
        <w:tc>
          <w:tcPr/>
          <w:p>
            <w:pPr>
              <w:pStyle w:val="Compact"/>
              <w:spacing w:after="40" w:before="40"/>
              <w:jc w:val="left"/>
            </w:pPr>
            <w:r>
              <w:rPr>
                <w:rFonts w:ascii="Cambria" w:hAnsi="Cambria" w:cs="Cambria" w:eastAsia="Cambria"/>
                <w:color w:val="1A1A1A"/>
                <w:sz w:val="18"/>
              </w:rPr>
              <w:t xml:space="preserve">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 — Monitoraggio ed ex post</w:t>
            </w:r>
          </w:p>
        </w:tc>
        <w:tc>
          <w:tcPr>
            <w:shd w:val="clear" w:color="auto" w:fill="F4F1EC"/>
          </w:tcPr>
          <w:p>
            <w:pPr>
              <w:pStyle w:val="Compact"/>
              <w:spacing w:after="40" w:before="40"/>
              <w:jc w:val="left"/>
            </w:pPr>
            <w:r>
              <w:rPr>
                <w:rFonts w:ascii="Cambria" w:hAnsi="Cambria" w:cs="Cambria" w:eastAsia="Cambria"/>
                <w:color w:val="1A1A1A"/>
                <w:sz w:val="18"/>
              </w:rPr>
              <w:t xml:space="preserve">Trasversale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Verifica ex post</w:t>
            </w:r>
          </w:p>
        </w:tc>
      </w:tr>
      <w:tr>
        <w:tc>
          <w:tcPr/>
          <w:p>
            <w:pPr>
              <w:pStyle w:val="Compact"/>
              <w:spacing w:after="40" w:before="40"/>
              <w:jc w:val="left"/>
            </w:pPr>
            <w:r>
              <w:rPr>
                <w:rFonts w:ascii="Cambria" w:hAnsi="Cambria" w:cs="Cambria" w:eastAsia="Cambria"/>
                <w:b/>
                <w:bCs/>
                <w:color w:val="1A1A1A"/>
                <w:sz w:val="18"/>
              </w:rPr>
              <w:t xml:space="preserve">M — Sintesi e raccomandazioni</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Tutti i criteri</w:t>
            </w:r>
          </w:p>
        </w:tc>
      </w:tr>
    </w:tbl>
    <w:p>
      <w:pPr>
        <w:pStyle w:val="BodyText"/>
      </w:pPr>
      <w:r>
        <w:rPr>
          <w:i/>
          <w:iCs/>
        </w:rPr>
        <w:t xml:space="preserve">Tabella 2. La mappa di integrazione delle quattro cornici, parte per parte.</w:t>
      </w:r>
    </w:p>
    <w:bookmarkEnd w:id="4297"/>
    <w:bookmarkStart w:id="4298" w:name="la-sintesi-del-valore-3"/>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ma modesto e agevolmente sostenibile a fronte dell’avanzo di bilancio delle due Province, più sfavorevole che nelle regioni sotto-finanziate proprio perché il sistema, già ben dotato ed efficiente, lascia minori margini di recupero diretto, con un saldo di mobilità trascurabile poiché le due Province attraggono pazienti — e il saldo complessivo, ampiamente positivo. La tabella seguente lo riepiloga.</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7</w:t>
            </w:r>
          </w:p>
        </w:tc>
        <w:tc>
          <w:tcPr/>
          <w:p>
            <w:pPr>
              <w:pStyle w:val="Compact"/>
              <w:spacing w:after="40" w:before="40"/>
              <w:jc w:val="left"/>
            </w:pPr>
            <w:r>
              <w:rPr>
                <w:rFonts w:ascii="Cambria" w:hAnsi="Cambria" w:cs="Cambria" w:eastAsia="Cambria"/>
                <w:color w:val="1A1A1A"/>
                <w:sz w:val="18"/>
              </w:rPr>
              <w:t xml:space="preserve">~ 11</w:t>
            </w:r>
          </w:p>
        </w:tc>
        <w:tc>
          <w:tcPr/>
          <w:p>
            <w:pPr>
              <w:pStyle w:val="Compact"/>
              <w:spacing w:after="40" w:before="40"/>
              <w:jc w:val="left"/>
            </w:pPr>
            <w:r>
              <w:rPr>
                <w:rFonts w:ascii="Cambria" w:hAnsi="Cambria" w:cs="Cambria" w:eastAsia="Cambria"/>
                <w:color w:val="1A1A1A"/>
                <w:sz w:val="18"/>
              </w:rPr>
              <w:t xml:space="preserve">~ 14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7</w:t>
            </w:r>
          </w:p>
        </w:tc>
        <w:tc>
          <w:tcPr>
            <w:shd w:val="clear" w:color="auto" w:fill="F4F1EC"/>
          </w:tcPr>
          <w:p>
            <w:pPr>
              <w:pStyle w:val="Compact"/>
              <w:spacing w:after="40" w:before="40"/>
              <w:jc w:val="left"/>
            </w:pPr>
            <w:r>
              <w:rPr>
                <w:rFonts w:ascii="Cambria" w:hAnsi="Cambria" w:cs="Cambria" w:eastAsia="Cambria"/>
                <w:color w:val="1A1A1A"/>
                <w:sz w:val="18"/>
              </w:rPr>
              <w:t xml:space="preserve">~ 10</w:t>
            </w:r>
          </w:p>
        </w:tc>
      </w:tr>
      <w:tr>
        <w:tc>
          <w:tcPr/>
          <w:p>
            <w:pPr>
              <w:pStyle w:val="Compact"/>
              <w:spacing w:after="40" w:before="40"/>
              <w:jc w:val="left"/>
            </w:pPr>
            <w:r>
              <w:rPr>
                <w:rFonts w:ascii="Cambria" w:hAnsi="Cambria" w:cs="Cambria" w:eastAsia="Cambria"/>
                <w:b/>
                <w:bCs/>
                <w:color w:val="1A1A1A"/>
                <w:sz w:val="18"/>
              </w:rPr>
              <w:t xml:space="preserve">Ricadute economico-sociali</w:t>
            </w:r>
          </w:p>
        </w:tc>
        <w:tc>
          <w:tcPr/>
          <w:p>
            <w:pPr>
              <w:pStyle w:val="Compact"/>
              <w:spacing w:after="40" w:before="40"/>
              <w:jc w:val="left"/>
            </w:pPr>
            <w:r>
              <w:rPr>
                <w:rFonts w:ascii="Cambria" w:hAnsi="Cambria" w:cs="Cambria" w:eastAsia="Cambria"/>
                <w:color w:val="1A1A1A"/>
                <w:sz w:val="18"/>
              </w:rPr>
              <w:t xml:space="preserve">~ 25</w:t>
            </w:r>
          </w:p>
        </w:tc>
        <w:tc>
          <w:tcPr/>
          <w:p>
            <w:pPr>
              <w:pStyle w:val="Compact"/>
              <w:spacing w:after="40" w:before="40"/>
              <w:jc w:val="left"/>
            </w:pPr>
            <w:r>
              <w:rPr>
                <w:rFonts w:ascii="Cambria" w:hAnsi="Cambria" w:cs="Cambria" w:eastAsia="Cambria"/>
                <w:color w:val="1A1A1A"/>
                <w:sz w:val="18"/>
              </w:rPr>
              <w:t xml:space="preserve">~ 48</w:t>
            </w:r>
          </w:p>
        </w:tc>
        <w:tc>
          <w:tcPr/>
          <w:p>
            <w:pPr>
              <w:pStyle w:val="Compact"/>
              <w:spacing w:after="40" w:before="40"/>
              <w:jc w:val="left"/>
            </w:pPr>
            <w:r>
              <w:rPr>
                <w:rFonts w:ascii="Cambria" w:hAnsi="Cambria" w:cs="Cambria" w:eastAsia="Cambria"/>
                <w:color w:val="1A1A1A"/>
                <w:sz w:val="18"/>
              </w:rPr>
              <w:t xml:space="preserve">~ 67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−3</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r>
      <w:tr>
        <w:tc>
          <w:tcPr/>
          <w:p>
            <w:pPr>
              <w:pStyle w:val="Compact"/>
              <w:spacing w:after="40" w:before="40"/>
              <w:jc w:val="left"/>
            </w:pPr>
            <w:r>
              <w:rPr>
                <w:rFonts w:ascii="Cambria" w:hAnsi="Cambria" w:cs="Cambria" w:eastAsia="Cambria"/>
                <w:b/>
                <w:bCs/>
                <w:color w:val="1A1A1A"/>
                <w:sz w:val="18"/>
              </w:rPr>
              <w:t xml:space="preserve">Saldo complessivo (caso economico)</w:t>
            </w:r>
          </w:p>
        </w:tc>
        <w:tc>
          <w:tcPr/>
          <w:p>
            <w:pPr>
              <w:pStyle w:val="Compact"/>
              <w:spacing w:after="40" w:before="40"/>
              <w:jc w:val="left"/>
            </w:pPr>
            <w:r>
              <w:rPr>
                <w:rFonts w:ascii="Cambria" w:hAnsi="Cambria" w:cs="Cambria" w:eastAsia="Cambria"/>
                <w:color w:val="1A1A1A"/>
                <w:sz w:val="18"/>
              </w:rPr>
              <w:t xml:space="preserve">+22</w:t>
            </w:r>
          </w:p>
        </w:tc>
        <w:tc>
          <w:tcPr/>
          <w:p>
            <w:pPr>
              <w:pStyle w:val="Compact"/>
              <w:spacing w:after="40" w:before="40"/>
              <w:jc w:val="left"/>
            </w:pPr>
            <w:r>
              <w:rPr>
                <w:rFonts w:ascii="Cambria" w:hAnsi="Cambria" w:cs="Cambria" w:eastAsia="Cambria"/>
                <w:color w:val="1A1A1A"/>
                <w:sz w:val="18"/>
              </w:rPr>
              <w:t xml:space="preserve">+44</w:t>
            </w:r>
          </w:p>
        </w:tc>
        <w:tc>
          <w:tcPr/>
          <w:p>
            <w:pPr>
              <w:pStyle w:val="Compact"/>
              <w:spacing w:after="40" w:before="40"/>
              <w:jc w:val="left"/>
            </w:pPr>
            <w:r>
              <w:rPr>
                <w:rFonts w:ascii="Cambria" w:hAnsi="Cambria" w:cs="Cambria" w:eastAsia="Cambria"/>
                <w:color w:val="1A1A1A"/>
                <w:sz w:val="18"/>
              </w:rPr>
              <w:t xml:space="preserve">+63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~4,1:1</w:t>
            </w:r>
          </w:p>
        </w:tc>
        <w:tc>
          <w:tcPr>
            <w:shd w:val="clear" w:color="auto" w:fill="F4F1EC"/>
          </w:tcPr>
          <w:p>
            <w:pPr>
              <w:pStyle w:val="Compact"/>
              <w:spacing w:after="40" w:before="40"/>
              <w:jc w:val="left"/>
            </w:pPr>
            <w:r>
              <w:rPr>
                <w:rFonts w:ascii="Cambria" w:hAnsi="Cambria" w:cs="Cambria" w:eastAsia="Cambria"/>
                <w:color w:val="1A1A1A"/>
                <w:sz w:val="18"/>
              </w:rPr>
              <w:t xml:space="preserve">~5,0:1</w:t>
            </w:r>
          </w:p>
        </w:tc>
        <w:tc>
          <w:tcPr>
            <w:shd w:val="clear" w:color="auto" w:fill="F4F1E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il Trentino-Alto Adige, è strutturare in un modello pieno di psicologo di base gli assetti già operanti nelle due Province e armonizzarli fra i due ordinamenti provinciali, dimensionandolo per gradi verso la copertura sistematica, dell’ordine di 120 psicologi nello scenario conservativo, 180 in quello di base e 240 in quello espansivo. Il limite principale è il radicamento dei dati: le grandezze economiche sono in parte ricostruite a partire dai conti nazionali scalati per la quota di popolazione, dell’1,8%, e non estratte dai conti provinciali certificati delle due aziende sanitarie provinciali; il territorio dispone tuttavia, grazie agli assetti già operanti, di una base di dati propri più solida di quella delle regioni che partono da zero, da consolidare in forma comparabile e interoperabile fra le due Province come condizione per la presentazione agli organi di controllo.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del Trentino-Alto Adige. La condizione propria del territorio — due Province autonome dotate di assetti di psicologia territoriale già operanti — consente di fondare la valutazione controfattuale sulla strutturazione progressiva del modello pieno, come un esperimento a cunei progressivi tra i comprensori e i distretti delle due Province, con il vantaggio di una base informativa più ricca di quella delle regioni che partono da zero. Su questa base, e con la dichiarazione trasparente dei propri limiti, il corpus consegna al decisore un quadro completo e onesto su cui deliberare, e a un territorio che dispone già del servizio in forme diverse l’occasione di dargli una forma compiuta e omogenea.</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4298"/>
    <w:bookmarkStart w:id="4299" w:name="parte-a-quadro-quesito-e-metodo-3"/>
    <w:p>
      <w:pPr>
        <w:pStyle w:val="Heading2"/>
      </w:pPr>
      <w:r>
        <w:t xml:space="preserve">Parte A — Quadro, quesito e metodo</w:t>
      </w:r>
    </w:p>
    <w:p>
      <w:pPr>
        <w:pStyle w:val="FirstParagraph"/>
      </w:pPr>
      <w:r>
        <w:t xml:space="preserve">Questa è la prima parte dello studio integrale per il Trentino-Alto Adige, che applica al territorio il telaio integrato sviluppato e validato per la Puglia e già esteso alla Lombardia, al Veneto, all’Emilia-Romagna, al Piemonte, alla Toscana, alla Liguria, al Lazio, alla Campania, alla Sicilia e alla Sardegna. L’architettura e il caso di riferimento sono i medesimi, e mutano soltanto i dati di ingresso, ancorati al Trentino-Alto Adige.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Il Trentino-Alto Adige occupa nella serie una posizione propria e unica: il territorio è ripartito in due Province autonome, Trento e Bolzano, ciascuna titolare di un proprio Servizio sanitario e di forme di psicologia territoriale già operanti, sicché la valutazione non riguarda l’opportunità di introdurre il servizio, ma la sua strutturazione in un modello pieno e la sua armonizzazione fra i due sistemi sanitari autonomi.</w:t>
      </w:r>
    </w:p>
    <w:bookmarkStart w:id="4300" w:name="X268fdf42f35800784c7fbd28680f013ae42ce83"/>
    <w:p>
      <w:pPr>
        <w:pStyle w:val="Heading3"/>
      </w:pPr>
      <w:r>
        <w:t xml:space="preserve">A.1 Scopo, quesito di valutazione e standard adottati</w:t>
      </w:r>
    </w:p>
    <w:p>
      <w:pPr>
        <w:pStyle w:val="FirstParagraph"/>
      </w:pPr>
      <w:r>
        <w:t xml:space="preserve">Lo studio ha per oggetto il servizio di psicologia delle cure primarie del Trentino-Alto Adige, inteso come strutturazione in un modello pieno di psicologo di base e armonizzazione di funzioni che le due Province autonome esercitano già in forme diverse — il modello trentino di convenzione con studi privati e il Servizio psicologico territoriale dell’Alto Adige.</w:t>
      </w:r>
      <w:r>
        <w:rPr>
          <w:rStyle w:val="FootnoteReference"/>
        </w:rPr>
        <w:footnoteReference w:id="1826"/>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il Trentino-Alto Adige, non è istituire il servizio, già presente in forme diverse, ma strutturarlo in un modello pieno di psicologo di base, armonizzarne gli assetti fra le due Province e dimensionarlo verso la copertura sistematica del fabbisogno, entro un contesto di piena autonomia finanziaria e di avanzo di bilancio che rende la spesa agevolmente sostenibile. Lo studio fornisce gli elementi per quella decisione, non la sostituisce: ne misura le conseguenze attese in tre scenari di copertura, lasciando alla sede politica e di bilancio la scelta della scala. Va segnalato sin d’ora che gli assetti attuali delle due Province, pur già operanti, restano al di sotto dello stesso scenario conservativo qui considerato, che rappresenta invece il modello pieno verso la copertura sistematica.</w:t>
      </w:r>
    </w:p>
    <w:p>
      <w:pPr>
        <w:pStyle w:val="BodyText"/>
      </w:pPr>
      <w:r>
        <w:t xml:space="preserve">Coerentemente con la tradizione della valutazione di tecnologia sanitaria, lo studio è multidimensionale e non riduce la questione a un calcolo di costi. La popolazione di riferimento è ampia e in parte non intercettata: alla quota di disagio psichico comune o sottosoglia, dell’ordine di 217.000 persone, si somma un’utenza specialistica in carico ai servizi, in un quadro segnato da componenti convergenti — il disagio giovanile, prevalente in una popolazione fra le più giovani d’Italia, il bisogno connesso al lavoro e allo stress in un’economia a pieno impiego, e la domanda dell’età anziana, contenuta da indicatori di salute fra i migliori del Paese — cui si aggiungono i divari di accesso delle valli alpine a popolazione dispersa e, in modo strutturale, la necessità di erogare il servizio nelle diverse lingue del territorio, tedesco, italiano e ladino.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del Trentino-Alto Adige con bisogno psicologico comune, e in seconda istanza dall’intera popolazione per gli effetti di sistema. L’intervento è il servizio di psicologia delle cure primarie, come primo livello di ascolto, intercettazione precoce e filtro, condotto dalla forma attuale alla strutturazione piena e armonizzata. Il confronto è la condizione attuale, nella quale operano il modello trentino di convenzione e il Servizio psicologico dell’Alto Adige, distinti e non armonizzati. Gli esiti sono clinici, economici, sociali e di sistema. I tempi distinguono l’orizzonte pluriennale degli esiti dall’orizzonte triennale-quinquennale del bilancio. Il contesto è dato dai due Servizi sanitari provinciali — l’APSS del Trentino e l’Azienda Sanitaria dell’Alto Adige (Sabes) — e dalla rete delle Case della Comunità in costruzione. La tabella seguente riepiloga gli elementi del quesito.</w:t>
      </w:r>
    </w:p>
    <w:tbl>
      <w:tblPr>
        <w:tblStyle w:val="Table"/>
        <w:tblW w:type="pct" w:w="495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218"/>
        <w:gridCol w:w="663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il Trentino-Alto Adige</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del Trentino-Alto Adige con disagio psichico comune (~217.000);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Modello pieno di psicologo di base, armonizzato fra le due Province, primo livello e filtro (~120/180/240 psicologi); dalle forme attuali alla copertura sistematica</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Condizione attuale: modello trentino di convenzione con studi privati (legge 2016) e Servizio psicologico territoriale dell’Alto Adige, distinti e non armonizzati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liste di attesa)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Due Servizi sanitari provinciali autonomi: APSS (Trentino) e Azienda Sanitaria dell’Alto Adige - Sabes; rete delle Case della Comunità in costruzione; plurilinguismo (tedesco, italiano, ladino)</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4300"/>
    <w:bookmarkStart w:id="4301" w:name="a.2-il-caso-di-riferimento-e-i-metodi-3"/>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gli assetti esistenti delle due Province come comparatore. Le unità di analisi sono il territorio regionale e, in disaggregazione, le due Province autonome, i comprensori sanitari e i distretti, per dare conto anche dei divari territoriali interni, segnatamente fra i centri urbani e le valli alpine a popolazione dispersa, e della dimensione linguistica.</w:t>
      </w:r>
    </w:p>
    <w:tbl>
      <w:tblPr>
        <w:tblStyle w:val="Table"/>
        <w:tblW w:type="pct" w:w="494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00"/>
        <w:gridCol w:w="633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Condizione attuale: modello trentino di convenzione con studi privati e Servizio psicologico territoriale dell’Alto Adige, distinti e non armonizzati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Territorio regionale, con disaggregazione per Provincia autonoma, comprensorio sanitario e distretto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il Trentino-Alto Adige, un rilievo particolare ma di segno opposto a quello delle regioni sotto-finanziate. Entrambe le Province autonome finanziano integralmente la sanità con i nove decimi del gettito trattenuto sul proprio territorio, senza apporto a carico del Bilancio dello Stato, e operano in avanzo, con la spesa sanitaria pro-capite più elevata d’Italia. Il vincolo non è la scarsità di risorse, ma il suo rovescio: poiché il sistema è già ampiamente finanziato ed efficiente, il margine di consumo improprio recuperabile è più contenuto, e il costo unitario del personale è fra i più alti del Paese; sul versante della mobilità, il saldo passivo è modesto e le due Province attraggono pazienti più di quanti ne perdano, sicché il canale del recupero della mobilità è per questo intervento trascurabile. Ne consegue un saldo diretto negativo — più sfavorevole che nelle regioni sotto-finanziate, proprio perché il sistema lascia minori margini di recupero — ma di entità modesta e agevolmente sostenibile a fronte dell’avanzo, 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provinciali certificati; le due Province dispongono tuttavia, grazie agli assetti già operanti, di una base di dati propri più solida di quella delle regioni che partono da zero, da consolidare come fonte primaria.</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il Trentino-Alto Adige il disegno controfattuale assume una forma propria: poiché la strutturazione del modello pieno avverrà in tempi differenziati fra i comprensori e i distretti delle due Province, esso può fondarsi su un esperimento a cunei progressivi, con l’ordine e i tempi di attivazione fra i territori impiegati a fini valutativi e l’effetto causale stimato dai metodi della differenza-nelle-differenze e del controllo sintetico, calibrati sui dati già disponibili dal modello trentino e dal Servizio dell’Alto Adige. La tabella seguente colloca ciascuna metodologia nella sua sede.</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357"/>
        <w:gridCol w:w="30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generato oltre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 nel tempo</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Parte F</w:t>
            </w:r>
          </w:p>
        </w:tc>
        <w:tc>
          <w:tcPr/>
          <w:p>
            <w:pPr>
              <w:pStyle w:val="Compact"/>
              <w:spacing w:after="40" w:before="40"/>
              <w:jc w:val="left"/>
            </w:pPr>
            <w:r>
              <w:rPr>
                <w:rFonts w:ascii="Cambria" w:hAnsi="Cambria" w:cs="Cambria" w:eastAsia="Cambria"/>
                <w:color w:val="1A1A1A"/>
                <w:sz w:val="18"/>
              </w:rPr>
              <w:t xml:space="preserve">Governo dell’incertezza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w:t>
            </w:r>
          </w:p>
        </w:tc>
        <w:tc>
          <w:tcPr>
            <w:shd w:val="clear" w:color="auto" w:fill="F4F1EC"/>
          </w:tcPr>
          <w:p>
            <w:pPr>
              <w:pStyle w:val="Compact"/>
              <w:spacing w:after="40" w:before="40"/>
              <w:jc w:val="left"/>
            </w:pPr>
            <w:r>
              <w:rPr>
                <w:rFonts w:ascii="Cambria" w:hAnsi="Cambria" w:cs="Cambria" w:eastAsia="Cambria"/>
                <w:color w:val="1A1A1A"/>
                <w:sz w:val="18"/>
              </w:rPr>
              <w:t xml:space="preserve">Parte G</w:t>
            </w:r>
          </w:p>
        </w:tc>
        <w:tc>
          <w:tcPr>
            <w:shd w:val="clear" w:color="auto" w:fill="F4F1EC"/>
          </w:tcPr>
          <w:p>
            <w:pPr>
              <w:pStyle w:val="Compact"/>
              <w:spacing w:after="40" w:before="40"/>
              <w:jc w:val="left"/>
            </w:pPr>
            <w:r>
              <w:rPr>
                <w:rFonts w:ascii="Cambria" w:hAnsi="Cambria" w:cs="Cambria" w:eastAsia="Cambria"/>
                <w:color w:val="1A1A1A"/>
                <w:sz w:val="18"/>
              </w:rPr>
              <w:t xml:space="preserve">Misura dell’equità distributiva</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Parte L</w:t>
            </w:r>
          </w:p>
        </w:tc>
        <w:tc>
          <w:tcPr/>
          <w:p>
            <w:pPr>
              <w:pStyle w:val="Compact"/>
              <w:spacing w:after="40" w:before="40"/>
              <w:jc w:val="left"/>
            </w:pPr>
            <w:r>
              <w:rPr>
                <w:rFonts w:ascii="Cambria" w:hAnsi="Cambria" w:cs="Cambria" w:eastAsia="Cambria"/>
                <w:color w:val="1A1A1A"/>
                <w:sz w:val="18"/>
              </w:rPr>
              <w:t xml:space="preserve">Stima dell’effetto reale sul campo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sistema GRADE</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Fondazione e graduazione dell’evidenza</w:t>
            </w:r>
          </w:p>
        </w:tc>
      </w:tr>
      <w:tr>
        <w:tc>
          <w:tcPr/>
          <w:p>
            <w:pPr>
              <w:pStyle w:val="Compact"/>
              <w:spacing w:after="40" w:before="40"/>
              <w:jc w:val="left"/>
            </w:pPr>
            <w:r>
              <w:rPr>
                <w:rFonts w:ascii="Cambria" w:hAnsi="Cambria" w:cs="Cambria" w:eastAsia="Cambria"/>
                <w:b/>
                <w:bCs/>
                <w:color w:val="1A1A1A"/>
                <w:sz w:val="18"/>
              </w:rPr>
              <w:t xml:space="preserve">Analisi multi-criterio</w:t>
            </w:r>
          </w:p>
        </w:tc>
        <w:tc>
          <w:tcPr/>
          <w:p>
            <w:pPr>
              <w:pStyle w:val="Compact"/>
              <w:spacing w:after="40" w:before="40"/>
              <w:jc w:val="left"/>
            </w:pPr>
            <w:r>
              <w:rPr>
                <w:rFonts w:ascii="Cambria" w:hAnsi="Cambria" w:cs="Cambria" w:eastAsia="Cambria"/>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Composizione dei criteri non monetari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della regolamentazione</w:t>
            </w:r>
          </w:p>
        </w:tc>
        <w:tc>
          <w:tcPr>
            <w:shd w:val="clear" w:color="auto" w:fill="F4F1EC"/>
          </w:tcPr>
          <w:p>
            <w:pPr>
              <w:pStyle w:val="Compact"/>
              <w:spacing w:after="40" w:before="40"/>
              <w:jc w:val="left"/>
            </w:pPr>
            <w:r>
              <w:rPr>
                <w:rFonts w:ascii="Cambria" w:hAnsi="Cambria" w:cs="Cambria" w:eastAsia="Cambria"/>
                <w:color w:val="1A1A1A"/>
                <w:sz w:val="18"/>
              </w:rPr>
              <w:t xml:space="preserve">Parti H, L</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della norma ex ante ed ex post</w:t>
            </w:r>
          </w:p>
        </w:tc>
      </w:tr>
    </w:tbl>
    <w:p>
      <w:pPr>
        <w:pStyle w:val="BodyText"/>
      </w:pPr>
      <w:r>
        <w:rPr>
          <w:i/>
          <w:iCs/>
        </w:rPr>
        <w:t xml:space="preserve">Tabella A.3. Le dieci metodologie analitiche e la loro collocazione nello studio.</w:t>
      </w:r>
    </w:p>
    <w:bookmarkEnd w:id="4301"/>
    <w:bookmarkStart w:id="4302" w:name="Xe44b04c639bae11c563f99ffbb90901d7b291f3"/>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le due Province autonome di Trento e Bolzano, i rispettivi Assessorati alla salute, l’Azienda Provinciale per i Servizi Sanitari (APSS) del Trentino e l’Azienda Sanitaria dell’Alto Adige (Sabes), l’Ordine degli Psicologi della Regione Trentino-Alto Adige, le rappresentanze della medicina generale e della pediatria di libera scelta e gli atenei dell’Università di Trento e della Libera Università di Bolzano. La caratteristica propria del Trentino-Alto Adige è che la materia sanitaria è di competenza provinciale, non regionale, e che i due Servizi sanitari sono distinti e autonomi. Poiché il servizio è già presente in forme diverse e la rete delle Case della Comunità è in costruzione, la sfida del governo non è istituire il servizio, né dispiegarlo entro un’unica azienda, ma strutturarlo in un modello pieno e garantirne l’armonizzazione fra due sistemi sanitari pienamente autonomi e fra le diverse lingue del territorio: è il tratto che distingue il Trentino-Alto Adige,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 Trentino-Alto Adige.</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4302"/>
    <w:bookmarkEnd w:id="4299"/>
    <w:bookmarkStart w:id="4303" w:name="X9fb3e396a5d86315660a5e9d2a96bdd20035001"/>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Trentino-Alto Adige. La struttura è quella già adottata per le altre regioni della serie, e mutano soltanto i dati, ancorati al territorio.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Trentino-Alto Adige: non un servizio da istituire, ma un servizio già presente in forme diverse nelle due Province autonome — il modello trentino di convenzione e il Servizio psicologico dell’Alto Adige — da strutturare in un modello pieno e armonizzare, in un territorio fra i più giovani, ricchi e sani d’Italia, a piena autonomia finanziaria, in avanzo di bilancio e plurilingue.</w:t>
      </w:r>
    </w:p>
    <w:bookmarkStart w:id="4304" w:name="b.1-quadro-demografico-2"/>
    <w:p>
      <w:pPr>
        <w:pStyle w:val="Heading3"/>
      </w:pPr>
      <w:r>
        <w:t xml:space="preserve">B.1 Quadro demografico</w:t>
      </w:r>
    </w:p>
    <w:p>
      <w:pPr>
        <w:pStyle w:val="FirstParagraph"/>
      </w:pPr>
      <w:r>
        <w:t xml:space="preserve">Il Trentino-Alto Adige conta circa 1.085.000 residenti, pari a circa l’1,8% della popolazione nazionale, ripartiti quasi equamente fra le due Province autonome — 545.169 in Trentino e 539.386 in Alto Adige — e, a differenza della maggior parte delle regioni, in crescita, per effetto di una natalità fra le più elevate d’Italia e di saldi migratori positivi. La struttura per età è fra le più giovani del Paese, con una speranza di vita fra le più alte e indicatori di salute fra i migliori d’Italia; la provincia di Bolzano è leggermente più giovane di quella di Trento. Il tratto distintivo è la composizione linguistica dell’Alto Adige — 68,61% gruppo tedesco, 26,98% italiano, 4,41% ladino — con tutela costituzionale e proporzionale etnica. La popolazione si addensa nei centri urbani di Trento, Bolzano e Merano, mentre una quota rilevante risiede nelle valli alpine in comuni di piccola dimensione. La tabella seguente ne riepiloga il profilo.</w:t>
      </w:r>
    </w:p>
    <w:tbl>
      <w:tblPr>
        <w:tblStyle w:val="Table"/>
        <w:tblW w:type="pct" w:w="494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77"/>
        <w:gridCol w:w="636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Trentino-Alto Adige</w:t>
            </w:r>
          </w:p>
        </w:tc>
      </w:tr>
      <w:tr>
        <w:tc>
          <w:tcPr/>
          <w:p>
            <w:pPr>
              <w:pStyle w:val="Compact"/>
              <w:spacing w:after="40" w:before="40"/>
              <w:jc w:val="left"/>
            </w:pPr>
            <w:r>
              <w:rPr>
                <w:rFonts w:ascii="Cambria" w:hAnsi="Cambria" w:cs="Cambria" w:eastAsia="Cambria"/>
                <w:b/>
                <w:bCs/>
                <w:color w:val="1A1A1A"/>
                <w:sz w:val="18"/>
              </w:rPr>
              <w:t xml:space="preserve">Popolazione (2024)</w:t>
            </w:r>
          </w:p>
        </w:tc>
        <w:tc>
          <w:tcPr/>
          <w:p>
            <w:pPr>
              <w:pStyle w:val="Compact"/>
              <w:spacing w:after="40" w:before="40"/>
              <w:jc w:val="left"/>
            </w:pPr>
            <w:r>
              <w:rPr>
                <w:rFonts w:ascii="Cambria" w:hAnsi="Cambria" w:cs="Cambria" w:eastAsia="Cambria"/>
                <w:color w:val="1A1A1A"/>
                <w:sz w:val="18"/>
              </w:rPr>
              <w:t xml:space="preserve">~1.085.000 (~1,8% del totale nazionale); Trentino 545.169, Alto Adige 539.386; in crescita per natalità elevata e saldi migratori positivi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Età e salute</w:t>
            </w:r>
          </w:p>
        </w:tc>
        <w:tc>
          <w:tcPr>
            <w:shd w:val="clear" w:color="auto" w:fill="F4F1EC"/>
          </w:tcPr>
          <w:p>
            <w:pPr>
              <w:pStyle w:val="Compact"/>
              <w:spacing w:after="40" w:before="40"/>
              <w:jc w:val="left"/>
            </w:pPr>
            <w:r>
              <w:rPr>
                <w:rFonts w:ascii="Cambria" w:hAnsi="Cambria" w:cs="Cambria" w:eastAsia="Cambria"/>
                <w:color w:val="1A1A1A"/>
                <w:sz w:val="18"/>
              </w:rPr>
              <w:t xml:space="preserve">Fra le regioni più giovani d’Italia; speranza di vita fra le più alte (Trentino +6,7 anni sulla media); Bolzano più giovane per natalità superiore</w:t>
            </w:r>
          </w:p>
        </w:tc>
      </w:tr>
      <w:tr>
        <w:tc>
          <w:tcPr/>
          <w:p>
            <w:pPr>
              <w:pStyle w:val="Compact"/>
              <w:spacing w:after="40" w:before="40"/>
              <w:jc w:val="left"/>
            </w:pPr>
            <w:r>
              <w:rPr>
                <w:rFonts w:ascii="Cambria" w:hAnsi="Cambria" w:cs="Cambria" w:eastAsia="Cambria"/>
                <w:b/>
                <w:bCs/>
                <w:color w:val="1A1A1A"/>
                <w:sz w:val="18"/>
              </w:rPr>
              <w:t xml:space="preserve">Composizione linguistica</w:t>
            </w:r>
          </w:p>
        </w:tc>
        <w:tc>
          <w:tcPr/>
          <w:p>
            <w:pPr>
              <w:pStyle w:val="Compact"/>
              <w:spacing w:after="40" w:before="40"/>
              <w:jc w:val="left"/>
            </w:pPr>
            <w:r>
              <w:rPr>
                <w:rFonts w:ascii="Cambria" w:hAnsi="Cambria" w:cs="Cambria" w:eastAsia="Cambria"/>
                <w:color w:val="1A1A1A"/>
                <w:sz w:val="18"/>
              </w:rPr>
              <w:t xml:space="preserve">Alto Adige: 68,61% tedesco, 26,98% italiano, 4,41% ladino (Censimento 2024); Trentino italofono con minoranze ladine, mochene, cimbre; stranieri ~9–10%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Distribuzione territoriale</w:t>
            </w:r>
          </w:p>
        </w:tc>
        <w:tc>
          <w:tcPr>
            <w:shd w:val="clear" w:color="auto" w:fill="F4F1EC"/>
          </w:tcPr>
          <w:p>
            <w:pPr>
              <w:pStyle w:val="Compact"/>
              <w:spacing w:after="40" w:before="40"/>
              <w:jc w:val="left"/>
            </w:pPr>
            <w:r>
              <w:rPr>
                <w:rFonts w:ascii="Cambria" w:hAnsi="Cambria" w:cs="Cambria" w:eastAsia="Cambria"/>
                <w:color w:val="1A1A1A"/>
                <w:sz w:val="18"/>
              </w:rPr>
              <w:t xml:space="preserve">Due Province di dimensione simile; centri urbani di Trento, Bolzano, Merano; quota rilevante nelle valli alpine in piccoli comuni</w:t>
            </w:r>
          </w:p>
        </w:tc>
      </w:tr>
      <w:tr>
        <w:tc>
          <w:tcPr/>
          <w:p>
            <w:pPr>
              <w:pStyle w:val="Compact"/>
              <w:spacing w:after="40" w:before="40"/>
              <w:jc w:val="left"/>
            </w:pPr>
            <w:r>
              <w:rPr>
                <w:rFonts w:ascii="Cambria" w:hAnsi="Cambria" w:cs="Cambria" w:eastAsia="Cambria"/>
                <w:b/>
                <w:bCs/>
                <w:color w:val="1A1A1A"/>
                <w:sz w:val="18"/>
              </w:rPr>
              <w:t xml:space="preserve">Profilo territoriale</w:t>
            </w:r>
          </w:p>
        </w:tc>
        <w:tc>
          <w:tcPr/>
          <w:p>
            <w:pPr>
              <w:pStyle w:val="Compact"/>
              <w:spacing w:after="40" w:before="40"/>
              <w:jc w:val="left"/>
            </w:pPr>
            <w:r>
              <w:rPr>
                <w:rFonts w:ascii="Cambria" w:hAnsi="Cambria" w:cs="Cambria" w:eastAsia="Cambria"/>
                <w:color w:val="1A1A1A"/>
                <w:sz w:val="18"/>
              </w:rPr>
              <w:t xml:space="preserve">Centri urbani con servizi concentrati; valli alpine a popolazione dispersa con accesso più oneroso; sovrapposizione dell’asse linguistico in Alto Adige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Articolazione sanitaria</w:t>
            </w:r>
          </w:p>
        </w:tc>
        <w:tc>
          <w:tcPr>
            <w:shd w:val="clear" w:color="auto" w:fill="F4F1EC"/>
          </w:tcPr>
          <w:p>
            <w:pPr>
              <w:pStyle w:val="Compact"/>
              <w:spacing w:after="40" w:before="40"/>
              <w:jc w:val="left"/>
            </w:pPr>
            <w:r>
              <w:rPr>
                <w:rFonts w:ascii="Cambria" w:hAnsi="Cambria" w:cs="Cambria" w:eastAsia="Cambria"/>
                <w:color w:val="1A1A1A"/>
                <w:sz w:val="18"/>
              </w:rPr>
              <w:t xml:space="preserve">Due Servizi sanitari provinciali autonomi: APSS (Trentino) e Azienda Sanitaria dell’Alto Adige - Sabes; competenza sanitaria provinciale, non regionale</w:t>
            </w:r>
          </w:p>
        </w:tc>
      </w:tr>
    </w:tbl>
    <w:p>
      <w:pPr>
        <w:pStyle w:val="BodyText"/>
      </w:pPr>
      <w:r>
        <w:rPr>
          <w:i/>
          <w:iCs/>
        </w:rPr>
        <w:t xml:space="preserve">Tabella B.1. Profilo demografico e socio-economico del Trentino-Alto Adige.</w:t>
      </w:r>
    </w:p>
    <w:bookmarkEnd w:id="4304"/>
    <w:bookmarkStart w:id="4305" w:name="b.2-epidemiologia-del-bisogno-3"/>
    <w:p>
      <w:pPr>
        <w:pStyle w:val="Heading3"/>
      </w:pPr>
      <w:r>
        <w:t xml:space="preserve">B.2 Epidemiologia del bisogno</w:t>
      </w:r>
    </w:p>
    <w:p>
      <w:pPr>
        <w:pStyle w:val="FirstParagraph"/>
      </w:pPr>
      <w:r>
        <w:t xml:space="preserve">Il bisogno di salute mentale nel Trentino-Alto Adige è ampio e sospinto da una struttura demografica fra le più giovani d’Italia, distribuita su un territorio montano. Proiettando i tassi di prevalenza nazionali, la quota di disagio psichico comune o sottosoglia si colloca nell’ordine di 217.000 persone, in parte già raggiunte dagli assetti esistenti, ma non ancora coperte in un modello pieno e armonizzato. A questa quota si somma un’utenza specialistica in carico ai servizi, su un territorio che presenta una specificità propria: entrambe le Province dispongono già di forme di psicologia territoriale, il modello trentino di convenzione e il Servizio psicologico dell’Alto Adige. Tre componenti orientano la domanda. La prima e più caratterizzante è il disagio giovanile, accentuato dalla pressione scolastica e prestazionale in una popolazione molto giovane. La seconda è il bisogno connesso al lavoro e allo stress in un’economia a pieno impiego, e quello dell’età anziana, contenuto da indicatori di salute fra i migliori del Paese. La terza è il disagio connesso all’isolamento nelle valli alpine a popolazione dispersa. È la combinazione — due Province autonome con sistemi distinti, popolazione giovane e ricca, plurilinguismo e avanzo di bilancio — a distinguere il fabbisogno del Trentino-Alto Adige. La pressione che ne deriva si riversa anche sul pronto soccorso, con accessi per cause psichiatriche resi più onerosi dalle distanze nelle valli.</w:t>
      </w:r>
    </w:p>
    <w:bookmarkEnd w:id="4305"/>
    <w:bookmarkStart w:id="964" w:name="b.3-domanda-offerta-e-gap-di-copertura-3"/>
    <w:p>
      <w:pPr>
        <w:pStyle w:val="Heading3"/>
      </w:pPr>
      <w:r>
        <w:t xml:space="preserve">B.3 Domanda, offerta e gap di copertura</w:t>
      </w:r>
    </w:p>
    <w:p>
      <w:pPr>
        <w:pStyle w:val="FirstParagraph"/>
      </w:pPr>
      <w:r>
        <w:t xml:space="preserve">Alla domanda descritta si contrappongono, nel Trentino-Alto Adige, assetti già operanti ma distinti: il Trentino dispone dal 2016 di un modello di convenzione fra l’APSS e studi psicologici privati — prima esperienza in Italia — che eroga cicli di sedute in sei ambiti definiti, su invio dell’Azienda e con ticket; l’Alto Adige dispone di un Servizio psicologico territoriale pubblico e bilingue nell’ambito del proprio Servizio sanitario. Il fabbisogno a regime è stimato nell’ordine di 240 psicologi nello scenario espansivo, e l’Ordine professionale regionale ne sostiene la strutturazione in un modello pieno e l’armonizzazione. La copertura attuale corrisponde dunque a forme parziali e non armonizzate: non un servizio da istituire, ma un servizio da strutturare in un modello pieno, armonizzare fra le due Province e dimensionare. La tabella seguente sintetizza domanda, offerta e divario.</w:t>
      </w:r>
    </w:p>
    <w:tbl>
      <w:tblPr>
        <w:tblStyle w:val="Table"/>
        <w:tblW w:type="pct" w:w="495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06"/>
        <w:gridCol w:w="604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Trentino-Alto Adige</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217.000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in carico ai servizi di 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Ampia (alcune decine di migliaia, stima rapportata ai dati nazionali)</w:t>
            </w:r>
          </w:p>
        </w:tc>
      </w:tr>
      <w:tr>
        <w:tc>
          <w:tcPr/>
          <w:p>
            <w:pPr>
              <w:pStyle w:val="Compact"/>
              <w:spacing w:after="40" w:before="40"/>
              <w:jc w:val="left"/>
            </w:pPr>
            <w:r>
              <w:rPr>
                <w:rFonts w:ascii="Cambria" w:hAnsi="Cambria" w:cs="Cambria" w:eastAsia="Cambria"/>
                <w:b/>
                <w:bCs/>
                <w:color w:val="1A1A1A"/>
                <w:sz w:val="18"/>
              </w:rPr>
              <w:t xml:space="preserve">Offerta territoriale attuale</w:t>
            </w:r>
          </w:p>
        </w:tc>
        <w:tc>
          <w:tcPr/>
          <w:p>
            <w:pPr>
              <w:pStyle w:val="Compact"/>
              <w:spacing w:after="40" w:before="40"/>
              <w:jc w:val="left"/>
            </w:pPr>
            <w:r>
              <w:rPr>
                <w:rFonts w:ascii="Cambria" w:hAnsi="Cambria" w:cs="Cambria" w:eastAsia="Cambria"/>
                <w:color w:val="1A1A1A"/>
                <w:sz w:val="18"/>
              </w:rPr>
              <w:t xml:space="preserve">Trentino: convenzione APSS-studi privati (legge 2016), sei ambiti, cicli 8–16 sedute, con ticket; Alto Adige: Servizio psicologico territoriale pubblico e bilingue (Sabes)</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Fabbisogno stimato a regime</w:t>
            </w:r>
          </w:p>
        </w:tc>
        <w:tc>
          <w:tcPr>
            <w:shd w:val="clear" w:color="auto" w:fill="F4F1EC"/>
          </w:tcPr>
          <w:p>
            <w:pPr>
              <w:pStyle w:val="Compact"/>
              <w:spacing w:after="40" w:before="40"/>
              <w:jc w:val="left"/>
            </w:pPr>
            <w:r>
              <w:rPr>
                <w:rFonts w:ascii="Cambria" w:hAnsi="Cambria" w:cs="Cambria" w:eastAsia="Cambria"/>
                <w:color w:val="1A1A1A"/>
                <w:sz w:val="18"/>
              </w:rPr>
              <w:t xml:space="preserve">~ 240 psicologi nello scenario espansivo (120–180 negli altri scenari)</w:t>
            </w:r>
          </w:p>
        </w:tc>
      </w:tr>
      <w:tr>
        <w:tc>
          <w:tcPr/>
          <w:p>
            <w:pPr>
              <w:pStyle w:val="Compact"/>
              <w:spacing w:after="40" w:before="40"/>
              <w:jc w:val="left"/>
            </w:pPr>
            <w:r>
              <w:rPr>
                <w:rFonts w:ascii="Cambria" w:hAnsi="Cambria" w:cs="Cambria" w:eastAsia="Cambria"/>
                <w:b/>
                <w:bCs/>
                <w:color w:val="1A1A1A"/>
                <w:sz w:val="18"/>
              </w:rPr>
              <w:t xml:space="preserve">Copertura attuale del fabbisogno</w:t>
            </w:r>
          </w:p>
        </w:tc>
        <w:tc>
          <w:tcPr/>
          <w:p>
            <w:pPr>
              <w:pStyle w:val="Compact"/>
              <w:spacing w:after="40" w:before="40"/>
              <w:jc w:val="left"/>
            </w:pPr>
            <w:r>
              <w:rPr>
                <w:rFonts w:ascii="Cambria" w:hAnsi="Cambria" w:cs="Cambria" w:eastAsia="Cambria"/>
                <w:color w:val="1A1A1A"/>
                <w:sz w:val="18"/>
              </w:rPr>
              <w:t xml:space="preserve">Forme parziali e non armonizzate nelle due Province; non ancora strutturate in un modello pieno</w:t>
            </w:r>
          </w:p>
        </w:tc>
      </w:tr>
    </w:tbl>
    <w:p>
      <w:pPr>
        <w:pStyle w:val="BodyText"/>
      </w:pPr>
      <w:r>
        <w:rPr>
          <w:i/>
          <w:iCs/>
        </w:rPr>
        <w:t xml:space="preserve">Tabella B.2. Domanda, offerta e gap di copertura.</w:t>
      </w:r>
    </w:p>
    <w:bookmarkEnd w:id="964"/>
    <w:bookmarkStart w:id="4306" w:name="Xb188edbebc63f3c882041a89f7fbcbe863352e5"/>
    <w:p>
      <w:pPr>
        <w:pStyle w:val="Heading3"/>
      </w:pPr>
      <w:r>
        <w:t xml:space="preserve">B.4 Disuguaglianze e divari territoriali</w:t>
      </w:r>
    </w:p>
    <w:p>
      <w:pPr>
        <w:pStyle w:val="FirstParagraph"/>
      </w:pPr>
      <w:r>
        <w:t xml:space="preserve">La dimensione distributiva del bisogno, nel Trentino-Alto Adige, si gioca su due assi. Il primo, territoriale, separa i centri urbani di Trento, Bolzano e Merano dalle valli alpine a popolazione dispersa, penalizzate dalle distanze e dall’orografia. Il secondo, distintivo, è linguistico: l’accesso effettivo richiede che il servizio sia disponibile nella lingua del residente — tedesco, italiano o ladino — secondo la tutela costituzionale dei gruppi. Su questi divari il modello pieno agisce in funzione di equità: avvicina l’offerta alle valli mediante la telepsicologia assistita e, assorbendo a monte la domanda appropriata, libera capacità specialistica; la disponibilità di personale plurilingue è condizione di equità effettiva, e l’armonizzazione degli assetti fra le due Province assicura parità di accesso a residenti di entrambi i territori.</w:t>
      </w:r>
    </w:p>
    <w:bookmarkEnd w:id="4306"/>
    <w:bookmarkStart w:id="4307" w:name="b.5-i-servizi-e-i-flussi-3"/>
    <w:p>
      <w:pPr>
        <w:pStyle w:val="Heading3"/>
      </w:pPr>
      <w:r>
        <w:t xml:space="preserve">B.5 I servizi e i flussi</w:t>
      </w:r>
    </w:p>
    <w:p>
      <w:pPr>
        <w:pStyle w:val="FirstParagraph"/>
      </w:pPr>
      <w:r>
        <w:t xml:space="preserve">I due Servizi sanitari provinciali dispongono della spesa pro-capite più elevata d’Italia; entrambe le Province autonome finanziano integralmente la sanità con i nove decimi del gettito trattenuto, senza apporto a carico del Bilancio dello Stato, e operano in avanzo. Il sistema, già ampiamente finanziato, lascia margini di consumo improprio più contenuti da recuperare, e il costo unitario del personale è fra i più alti del Paese. Il profilo di mobilità è modesto e per alcune branche attivo, poiché le due Province attraggono pazienti; il canale del recupero della mobilità è per questo intervento trascurabile. L’architettura dei servizi poggia su due aziende sanitarie provinciali autonome — l’APSS del Trentino e l’Azienda Sanitaria dell’Alto Adige (Sabes) — articolate in comprensori e distretti, e su una rete di Case della Comunità in costruzione, su cui il modello pieno andrà innestato e armonizzato. La tabella seguente riepiloga le grandezze di sistema rilevanti.</w:t>
      </w:r>
    </w:p>
    <w:tbl>
      <w:tblPr>
        <w:tblStyle w:val="Table"/>
        <w:tblW w:type="pct" w:w="495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78"/>
        <w:gridCol w:w="607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Trentino-Alto Adige</w:t>
            </w:r>
          </w:p>
        </w:tc>
      </w:tr>
      <w:tr>
        <w:tc>
          <w:tcPr/>
          <w:p>
            <w:pPr>
              <w:pStyle w:val="Compact"/>
              <w:spacing w:after="40" w:before="40"/>
              <w:jc w:val="left"/>
            </w:pPr>
            <w:r>
              <w:rPr>
                <w:rFonts w:ascii="Cambria" w:hAnsi="Cambria" w:cs="Cambria" w:eastAsia="Cambria"/>
                <w:b/>
                <w:bCs/>
                <w:color w:val="1A1A1A"/>
                <w:sz w:val="18"/>
              </w:rPr>
              <w:t xml:space="preserve">Finanziamento dei Servizi sanitari provinciali</w:t>
            </w:r>
          </w:p>
        </w:tc>
        <w:tc>
          <w:tcPr/>
          <w:p>
            <w:pPr>
              <w:pStyle w:val="Compact"/>
              <w:spacing w:after="40" w:before="40"/>
              <w:jc w:val="left"/>
            </w:pPr>
            <w:r>
              <w:rPr>
                <w:rFonts w:ascii="Cambria" w:hAnsi="Cambria" w:cs="Cambria" w:eastAsia="Cambria"/>
                <w:color w:val="1A1A1A"/>
                <w:sz w:val="18"/>
              </w:rPr>
              <w:t xml:space="preserve">Autofinanziamento integrale con i 9/10 del gettito trattenuto, senza apporto statale; spesa pro-capite la più alta d’Italia; bilanci in avanzo; costo del personale fra i più alti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Saldo modesto e per alcune branche attivo (le Province attraggono pazienti); canale del recupero trascurabile per questo intervento</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Accessi per cause psichiatriche contenuti da cure primarie ben dotate; resi più onerosi dalle distanze nelle valli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Architettura dei servizi</w:t>
            </w:r>
          </w:p>
        </w:tc>
        <w:tc>
          <w:tcPr>
            <w:shd w:val="clear" w:color="auto" w:fill="F4F1EC"/>
          </w:tcPr>
          <w:p>
            <w:pPr>
              <w:pStyle w:val="Compact"/>
              <w:spacing w:after="40" w:before="40"/>
              <w:jc w:val="left"/>
            </w:pPr>
            <w:r>
              <w:rPr>
                <w:rFonts w:ascii="Cambria" w:hAnsi="Cambria" w:cs="Cambria" w:eastAsia="Cambria"/>
                <w:color w:val="1A1A1A"/>
                <w:sz w:val="18"/>
              </w:rPr>
              <w:t xml:space="preserve">Due aziende sanitarie provinciali autonome (APSS Trentino; Sabes Alto Adige), articolate in comprensori e distretti; rete delle Case della Comunità in costruzione</w:t>
            </w:r>
          </w:p>
        </w:tc>
      </w:tr>
      <w:tr>
        <w:tc>
          <w:tcPr/>
          <w:p>
            <w:pPr>
              <w:pStyle w:val="Compact"/>
              <w:spacing w:after="40" w:before="40"/>
              <w:jc w:val="left"/>
            </w:pPr>
            <w:r>
              <w:rPr>
                <w:rFonts w:ascii="Cambria" w:hAnsi="Cambria" w:cs="Cambria" w:eastAsia="Cambria"/>
                <w:b/>
                <w:bCs/>
                <w:color w:val="1A1A1A"/>
                <w:sz w:val="18"/>
              </w:rPr>
              <w:t xml:space="preserve">Margine di azione principale</w:t>
            </w:r>
          </w:p>
        </w:tc>
        <w:tc>
          <w:tcPr/>
          <w:p>
            <w:pPr>
              <w:pStyle w:val="Compact"/>
              <w:spacing w:after="40" w:before="40"/>
              <w:jc w:val="left"/>
            </w:pPr>
            <w:r>
              <w:rPr>
                <w:rFonts w:ascii="Cambria" w:hAnsi="Cambria" w:cs="Cambria" w:eastAsia="Cambria"/>
                <w:color w:val="1A1A1A"/>
                <w:sz w:val="18"/>
              </w:rPr>
              <w:t xml:space="preserve">Strutturazione in un modello pieno e armonizzazione fra le due Province, accesso nelle valli alpine, plurilinguismo, disagio giovanile, intercettazione precoce</w:t>
            </w:r>
          </w:p>
        </w:tc>
      </w:tr>
    </w:tbl>
    <w:p>
      <w:pPr>
        <w:pStyle w:val="BodyText"/>
      </w:pPr>
      <w:r>
        <w:rPr>
          <w:i/>
          <w:iCs/>
        </w:rPr>
        <w:t xml:space="preserve">Tabella B.3. I servizi e i flussi dei Servizi sanitari provinciali rilevanti per l</w:t>
      </w:r>
      <w:r>
        <w:rPr>
          <w:b/>
          <w:bCs/>
          <w:i/>
          <w:iCs/>
        </w:rPr>
        <w:t xml:space="preserve">’</w:t>
      </w:r>
      <w:r>
        <w:rPr>
          <w:i/>
          <w:iCs/>
        </w:rPr>
        <w:t xml:space="preserve">intervento.</w:t>
      </w:r>
    </w:p>
    <w:bookmarkEnd w:id="4307"/>
    <w:bookmarkStart w:id="4308" w:name="X7bc80a23d3173dac60106fe068a3003ed928707"/>
    <w:p>
      <w:pPr>
        <w:pStyle w:val="Heading3"/>
      </w:pPr>
      <w:r>
        <w:t xml:space="preserve">B.6 La cornice normativa e programmatica</w:t>
      </w:r>
    </w:p>
    <w:p>
      <w:pPr>
        <w:pStyle w:val="FirstParagraph"/>
      </w:pPr>
      <w:r>
        <w:t xml:space="preserve">La decisione si colloca entro una cornice particolare, in cui la competenza sanitaria è provinciale e i due assetti poggiano su ordinamenti distinti: il modello trentino di convenzione, introdotto da una legge provinciale del 2016, e il Servizio psicologico territoriale dell’Alto Adige. La cornice include il Decreto Ministeriale 77/2022 sugli standard dell’assistenza territoriale e, sul piano nazionale, il testo unificato in discussione alla Camera; sul piano provinciale opera entro una piena autonomia finanziaria e un avanzo di bilancio. La decisione rilevante, in questo contesto, non è istituire una funzione, già presente in forme diverse, ma strutturarla in un modello pieno, armonizzarla fra le due Province e dimensionarla: è il tema che le parti successive sviluppano, a partire dalla definizione dell’intervento e del suo modello, oggetto della Parte C.</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4308"/>
    <w:bookmarkEnd w:id="4303"/>
    <w:bookmarkStart w:id="4309" w:name="parte-c-lintervento-e-il-suo-modello-2"/>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Trentino-Alto Adige emerge con nettezza: l’intervento non è da istituire, ma da strutturare in un modello pieno a partire da assetti già operanti in entrambe le Province autonome — il modello trentino di convenzione e il Servizio psicologico dell’Alto Adige — di cui occorre comporre e armonizzare il modello, il sistema informativo e il monitoraggio, nel rispetto dell’autonomia di ciascuna Provincia e del plurilinguismo.</w:t>
      </w:r>
    </w:p>
    <w:bookmarkStart w:id="4310" w:name="Xe5dca58489c7c9a515c7c86ffc3cffef900e022"/>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 Trentino-Alto Adige tale funzione è già esercitata in forme diverse dalle due Province e si tratta di strutturarla in un modello pieno e di armonizzarla.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217.000 persone con disagio comune. La tabella seguente ne espone gli anelli.</w:t>
      </w:r>
    </w:p>
    <w:tbl>
      <w:tblPr>
        <w:tblStyle w:val="Table"/>
        <w:tblW w:type="pct" w:w="493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04"/>
        <w:gridCol w:w="601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il Trentino-Alto Adige</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217.000 persone con disagio comune, in parte già raggiunto dagli assetti esistenti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Modello pieno di psicologo di base armonizzato fra le due Province: intercettazione precoce, intervento breve, filtro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liste di attesa ridotte</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e minor carico familiare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4310"/>
    <w:bookmarkStart w:id="4311" w:name="c.2-il-modello-organizzativo-3"/>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servizi di salute mentale. Il punto di partenza è dato dai due assetti provinciali esistenti: in Trentino il modello di convenzione fra l’APSS e studi psicologici privati (legge del 2016), con cicli di sedute su invio dell’Azienda e con ticket; in Alto Adige il Servizio psicologico territoriale pubblico, bilingue e organizzato per comprensori. La strutturazione in un modello pieno e l’armonizzazione fra i due assetti — in un territorio ripartito in due Province autonome con Servizi sanitari distinti, e con l’esigenza di erogare il servizio in tedesco, italiano e ladino — sono la sfida organizzativa principale, da affrontare nel rispetto dell’autonomia di ciascuna Provincia.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p>
    <w:bookmarkEnd w:id="4311"/>
    <w:bookmarkStart w:id="971" w:name="X2523f7ab1b509fbea22260efef2a66522a09c36"/>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da strutturare in forma piena e armonizzata fra le due Province a partire dagli assetti già operanti, e affronta i quadri più frequenti, dalla sintomatologia ansioso-depressiva ai problemi di adattamento e psicosomatici.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43"/>
        <w:gridCol w:w="56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971"/>
    <w:bookmarkStart w:id="4312" w:name="X0e88b1914dc919c31164c53fbab750406b1ab6a"/>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Il coordinamento informativo deve raccordare i sistemi delle due aziende sanitarie provinciali — l’APSS e l’Azienda Sanitaria dell’Alto Adige — e garantire l’interoperabilità e l’uniformità della rilevazione fra i due territori. La raccolta sistematica e completa dei dati di processo e di esito non è un adempimento accessorio, ma il presupposto della clausola valutativa e del disegno controfattuale; poiché il servizio è presente in forme diverse, il Trentino-Alto Adige può impostare il flusso in forma uniforme e interoperabile fra le due Province, valorizzando i dati già disponibili dal modello trentino e dal Servizio dell’Alto Adige.</w:t>
      </w:r>
    </w:p>
    <w:bookmarkEnd w:id="4312"/>
    <w:bookmarkStart w:id="4313" w:name="Xa3e3c835671d1b14c89f1bda59e619b0de7a202"/>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 Trentino-Alto Adige, lo strumento per garantire l’accesso nelle valli alpine a popolazione dispersa e, in un contesto plurilingue, per mettere a disposizione anche a distanza personale della lingua del paziente,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4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08"/>
        <w:gridCol w:w="4170"/>
        <w:gridCol w:w="154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 e telemonitoraggio</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valli alpine disperse; disponibilità di personale plurilingue a distanza</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bookmarkEnd w:id="4313"/>
    <w:bookmarkStart w:id="4314" w:name="c.6-la-formazione-e-le-competenze-3"/>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l’Università di Trento e la Libera Università di Bolzano; il livello post-universitario specialistico attraverso una formazione dedicata alla psicologia delle cure primarie, comprensiva della competenza per il disagio giovanile, prioritario in una delle regioni più giovani d’Italia, e delle competenze linguistiche per l’erogazione in tedesco, italiano e ladino;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 Il Trentino-Alto Adige presenta qui un elemento di metodo: l’esperienza trentina di convenzione, attiva dal 2016, e il Servizio psicologico dell’Alto Adige costituiscono una base operativa su cui innestare il percorso formativo del modello pieno. Definiti l’intervento e il suo modello, la parte che segue ne esamina l’efficacia e l’evidenza.</w:t>
      </w:r>
    </w:p>
    <w:tbl>
      <w:tblPr>
        <w:tblStyle w:val="Table"/>
        <w:tblW w:type="pct" w:w="496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279"/>
        <w:gridCol w:w="4934"/>
        <w:gridCol w:w="164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Università di Trento e Libera Università di Bolzano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delle cure primarie: modelli organizzativi, collaborazione, misure di esito, disagio giovanile e competenze linguistiche (tedesco, italiano, ladino)</w:t>
            </w:r>
          </w:p>
        </w:tc>
        <w:tc>
          <w:tcPr>
            <w:shd w:val="clear" w:color="auto" w:fill="F4F1EC"/>
          </w:tcPr>
          <w:p>
            <w:pPr>
              <w:pStyle w:val="Compact"/>
              <w:spacing w:after="40" w:before="40"/>
              <w:jc w:val="left"/>
            </w:pPr>
            <w:r>
              <w:rPr>
                <w:rFonts w:ascii="Cambria" w:hAnsi="Cambria" w:cs="Cambria" w:eastAsia="Cambria"/>
                <w:color w:val="1A1A1A"/>
                <w:sz w:val="18"/>
              </w:rPr>
              <w:t xml:space="preserve">Base nei due assetti provinciali esistenti</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Tutor aziendali;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4314"/>
    <w:bookmarkEnd w:id="4309"/>
    <w:bookmarkStart w:id="4315" w:name="parte-d-efficacia-clinica-ed-evidenza-2"/>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il Trentino-Alto Adige presenta un tratto proprio. La parte espone il metodo della revisione e i risultati di efficacia (capitolo D.1); ne gradua la qualità e ne dichiara una cautela economica essenziale (D.2); presenta i benchmark internazionali (D.3); e discute le esperienze italiane, la trasferibilità e l’evidenza locale del Trentino-Alto Adige (D.4). Quest’ultima presenta una condizione propria: grazie agli assetti già operanti nelle due Province, il Trentino-Alto Adige dispone di una base di dati di esito propri più estesa che altrove, sicché lo studio si fonda, per l’efficacia, sui benchmark internazionali e li affina con i dati del modello trentino e del Servizio dell’Alto Adige, consolidando l’evidenza locale con la strutturazione del modello pieno.</w:t>
      </w:r>
    </w:p>
    <w:bookmarkStart w:id="4316" w:name="X3dad346a5bfa8f704576b59ddd263f17115a89b"/>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4316"/>
    <w:bookmarkStart w:id="4317" w:name="X1590f060e3ec5c6abbaff42d5cb5711c86a56a1"/>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del Trentino-Alto Adige, ne corrobora la coerenza interna, poiché il caso economico del Trentino-Alto Adige — come si vedrà nella Parte E — è fondato anch’esso sulle ricadute sociali, e non su un risparmio diretto che il territorio non potrebbe rivendicare con certezza statistica, tanto più in un sistema già ampiamente finanziato in cui i margini di recupero diretto sono contenuti.</w:t>
      </w:r>
    </w:p>
    <w:bookmarkEnd w:id="4317"/>
    <w:bookmarkStart w:id="4318" w:name="d.3-i-benchmark-internazionali-3"/>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493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53"/>
        <w:gridCol w:w="2688"/>
        <w:gridCol w:w="308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Risultati principali</w:t>
            </w:r>
          </w:p>
        </w:tc>
      </w:tr>
      <w:tr>
        <w:tc>
          <w:tcPr/>
          <w:p>
            <w:pPr>
              <w:pStyle w:val="Compact"/>
              <w:spacing w:after="40" w:before="40"/>
              <w:jc w:val="left"/>
            </w:pPr>
            <w:r>
              <w:rPr>
                <w:rFonts w:ascii="Cambria" w:hAnsi="Cambria" w:cs="Cambria" w:eastAsia="Cambria"/>
                <w:b/>
                <w:bCs/>
                <w:color w:val="1A1A1A"/>
                <w:sz w:val="18"/>
              </w:rPr>
              <w:t xml:space="preserve">Regno Unito (NHS Talking Therapies)</w:t>
            </w:r>
          </w:p>
        </w:tc>
        <w:tc>
          <w:tcPr/>
          <w:p>
            <w:pPr>
              <w:pStyle w:val="Compact"/>
              <w:spacing w:after="40" w:before="40"/>
              <w:jc w:val="left"/>
            </w:pPr>
            <w:r>
              <w:rPr>
                <w:rFonts w:ascii="Cambria" w:hAnsi="Cambria" w:cs="Cambria" w:eastAsia="Cambria"/>
                <w:color w:val="1A1A1A"/>
                <w:sz w:val="18"/>
              </w:rPr>
              <w:t xml:space="preserve">Servizio integrato a intensità crescente</w:t>
            </w:r>
          </w:p>
        </w:tc>
        <w:tc>
          <w:tcPr/>
          <w:p>
            <w:pPr>
              <w:pStyle w:val="Compact"/>
              <w:spacing w:after="40" w:before="40"/>
              <w:jc w:val="left"/>
            </w:pPr>
            <w:r>
              <w:rPr>
                <w:rFonts w:ascii="Cambria" w:hAnsi="Cambria" w:cs="Cambria" w:eastAsia="Cambria"/>
                <w:color w:val="1A1A1A"/>
                <w:sz w:val="18"/>
              </w:rPr>
              <w:t xml:space="preserve">Recupero ~50%; monitoraggio esiti &gt;98%; &gt;1,3 milioni/anno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Paesi Bassi (POH-GGZ)</w:t>
            </w:r>
          </w:p>
        </w:tc>
        <w:tc>
          <w:tcPr>
            <w:shd w:val="clear" w:color="auto" w:fill="F4F1EC"/>
          </w:tcPr>
          <w:p>
            <w:pPr>
              <w:pStyle w:val="Compact"/>
              <w:spacing w:after="40" w:before="40"/>
              <w:jc w:val="left"/>
            </w:pPr>
            <w:r>
              <w:rPr>
                <w:rFonts w:ascii="Cambria" w:hAnsi="Cambria" w:cs="Cambria" w:eastAsia="Cambria"/>
                <w:color w:val="1A1A1A"/>
                <w:sz w:val="18"/>
              </w:rPr>
              <w:t xml:space="preserve">Supporto psicologico nello studio del medico di base</w:t>
            </w:r>
          </w:p>
        </w:tc>
        <w:tc>
          <w:tcPr>
            <w:shd w:val="clear" w:color="auto" w:fill="F4F1EC"/>
          </w:tcPr>
          <w:p>
            <w:pPr>
              <w:pStyle w:val="Compact"/>
              <w:spacing w:after="40" w:before="40"/>
              <w:jc w:val="left"/>
            </w:pPr>
            <w:r>
              <w:rPr>
                <w:rFonts w:ascii="Cambria" w:hAnsi="Cambria" w:cs="Cambria" w:eastAsia="Cambria"/>
                <w:color w:val="1A1A1A"/>
                <w:sz w:val="18"/>
              </w:rPr>
              <w:t xml:space="preserve">Adozione da ~tre quarti dei medici; ruolo complementare</w:t>
            </w:r>
          </w:p>
        </w:tc>
      </w:tr>
      <w:tr>
        <w:tc>
          <w:tcPr/>
          <w:p>
            <w:pPr>
              <w:pStyle w:val="Compact"/>
              <w:spacing w:after="40" w:before="40"/>
              <w:jc w:val="left"/>
            </w:pPr>
            <w:r>
              <w:rPr>
                <w:rFonts w:ascii="Cambria" w:hAnsi="Cambria" w:cs="Cambria" w:eastAsia="Cambria"/>
                <w:b/>
                <w:bCs/>
                <w:color w:val="1A1A1A"/>
                <w:sz w:val="18"/>
              </w:rPr>
              <w:t xml:space="preserve">Australia (Better Access)</w:t>
            </w:r>
          </w:p>
        </w:tc>
        <w:tc>
          <w:tcPr/>
          <w:p>
            <w:pPr>
              <w:pStyle w:val="Compact"/>
              <w:spacing w:after="40" w:before="40"/>
              <w:jc w:val="left"/>
            </w:pPr>
            <w:r>
              <w:rPr>
                <w:rFonts w:ascii="Cambria" w:hAnsi="Cambria" w:cs="Cambria" w:eastAsia="Cambria"/>
                <w:color w:val="1A1A1A"/>
                <w:sz w:val="18"/>
              </w:rPr>
              <w:t xml:space="preserve">Invio esterno a professionisti</w:t>
            </w:r>
          </w:p>
        </w:tc>
        <w:tc>
          <w:tcPr/>
          <w:p>
            <w:pPr>
              <w:pStyle w:val="Compact"/>
              <w:spacing w:after="40" w:before="40"/>
              <w:jc w:val="left"/>
            </w:pPr>
            <w:r>
              <w:rPr>
                <w:rFonts w:ascii="Cambria" w:hAnsi="Cambria" w:cs="Cambria" w:eastAsia="Cambria"/>
                <w:color w:val="1A1A1A"/>
                <w:sz w:val="18"/>
              </w:rPr>
              <w:t xml:space="preserve">Popolazione in trattamento dal 35% al 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Stati Uniti (Collaborative Care)</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 con monitoraggio</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4318"/>
    <w:bookmarkStart w:id="4319" w:name="X5b7a66c8e20ebb5e39a1a6268f059824c6fa3a0"/>
    <w:p>
      <w:pPr>
        <w:pStyle w:val="Heading3"/>
      </w:pPr>
      <w:r>
        <w:t xml:space="preserve">D.4 Le esperienze italiane, la trasferibilità e l’evidenza locale</w:t>
      </w:r>
    </w:p>
    <w:p>
      <w:pPr>
        <w:pStyle w:val="FirstParagraph"/>
      </w:pPr>
      <w:r>
        <w:t xml:space="preserve">Sul piano nazionale, il quadro comprende i servizi avviati nelle regioni dotate di legge — fra cui la Campania, prima a istituire e attivare il servizio — e le esperienze pilota fondate su campioni limitati. Il Trentino-Alto Adige, che dispone già in entrambe le Province di forme di psicologia territoriale, vi si colloca come territorio dotato di esperienza operativa propria più estesa che altrove. Più in generale, i risultati internazionali provengono da sistemi diversi per organizzazione e finanziamento, e la loro trasposizione richiede validazione locale, evitando di trasferire meccanicamente le stime, soprattutto quelle economiche. È qui che la posizione del Trentino-Alto Adige presenta una condizione propria, da dichiarare con franchezza: grazie agli assetti già operanti, l’evidenza locale poggia su una base operativa più solida che altrove, e si affina con i dati propri del modello trentino di convenzione e del Servizio psicologico dell’Alto Adige. La condizione del Trentino-Alto Adige è dunque di consolidare l’evidenza locale: il territorio dispone degli assetti già operanti, delle infrastrutture informatiche delle due aziende sanitarie provinciali e della rete delle Case della Comunità in costruzione, e può impostare una rilevazione uniforme e interoperabile fra le due Province, tenendo conto del contesto plurilingue, generando dati propri solidi man mano che il modello pieno si struttura a regime.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4319"/>
    <w:bookmarkEnd w:id="4315"/>
    <w:bookmarkStart w:id="987" w:name="parte-e-valutazione-economica-1"/>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 Trentino-Alto Adige.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il Trentino-Alto Adige il risultato si lascia anticipare in una formula: il caso finanziario diretto è di disavanzo modesto, più ampio che nelle regioni sotto-finanziate ma agevolmente sostenibile a fronte dell’avanzo, il caso economico complessivo è fortemente positivo, e il valore dell’intervento risiede nelle ricadute sociali.</w:t>
      </w:r>
    </w:p>
    <w:bookmarkStart w:id="4320" w:name="e.1-limpianto-e-il-costo-del-servizio"/>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psicologo dell’ordine di 60.000 euro comprensivo degli oneri — riferimento più elevato che nelle altre regioni, dato che il livello retributivo nel Trentino-Alto Adige è fra i più alti del Paese — è dell’ordine di 7 milioni di euro nello scenario conservativo, 11 milioni in quello di base e 14 milioni in quello espansivo. I tre scenari rappresentano gradi crescenti di copertura verso il fabbisogno pieno; va ribadito che gli assetti esistenti delle due Province costituiscono forme parziali inferiori al modello pieno qui considerato, e non il regime a copertura sistematica. La tabella seguente riepiloga il costo del servizio per scenario.</w:t>
      </w:r>
    </w:p>
    <w:tbl>
      <w:tblPr>
        <w:tblStyle w:val="Table"/>
        <w:tblW w:type="pct" w:w="48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54"/>
        <w:gridCol w:w="1851"/>
        <w:gridCol w:w="1851"/>
        <w:gridCol w:w="20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w:t>
            </w:r>
          </w:p>
        </w:tc>
        <w:tc>
          <w:tcPr>
            <w:shd w:val="clear" w:color="auto" w:fill="16264B"/>
          </w:tcPr>
          <w:p>
            <w:pPr>
              <w:pStyle w:val="Compact"/>
              <w:spacing w:after="40" w:before="40"/>
              <w:jc w:val="left"/>
            </w:pPr>
            <w:r>
              <w:rPr>
                <w:rFonts w:ascii="Cambria" w:hAnsi="Cambria" w:cs="Cambria" w:eastAsia="Cambria"/>
                <w:b/>
                <w:bCs/>
                <w:color w:val="FFFFFF"/>
                <w:sz w:val="18"/>
              </w:rPr>
              <w:t xml:space="preserve">Quota del FSR</w:t>
            </w:r>
          </w:p>
        </w:tc>
      </w:tr>
      <w:tr>
        <w:tc>
          <w:tcPr/>
          <w:p>
            <w:pPr>
              <w:pStyle w:val="Compact"/>
              <w:spacing w:after="40" w:before="40"/>
              <w:jc w:val="left"/>
            </w:pPr>
            <w:r>
              <w:rPr>
                <w:rFonts w:ascii="Cambria" w:hAnsi="Cambria" w:cs="Cambria" w:eastAsia="Cambria"/>
                <w:b/>
                <w:bCs/>
                <w:color w:val="1A1A1A"/>
                <w:sz w:val="18"/>
              </w:rPr>
              <w:t xml:space="preserve">Conservativo</w:t>
            </w:r>
          </w:p>
        </w:tc>
        <w:tc>
          <w:tcPr/>
          <w:p>
            <w:pPr>
              <w:pStyle w:val="Compact"/>
              <w:spacing w:after="40" w:before="40"/>
              <w:jc w:val="left"/>
            </w:pPr>
            <w:r>
              <w:rPr>
                <w:rFonts w:ascii="Cambria" w:hAnsi="Cambria" w:cs="Cambria" w:eastAsia="Cambria"/>
                <w:color w:val="1A1A1A"/>
                <w:sz w:val="18"/>
              </w:rPr>
              <w:t xml:space="preserve">~ 120</w:t>
            </w:r>
          </w:p>
        </w:tc>
        <w:tc>
          <w:tcPr/>
          <w:p>
            <w:pPr>
              <w:pStyle w:val="Compact"/>
              <w:spacing w:after="40" w:before="40"/>
              <w:jc w:val="left"/>
            </w:pPr>
            <w:r>
              <w:rPr>
                <w:rFonts w:ascii="Cambria" w:hAnsi="Cambria" w:cs="Cambria" w:eastAsia="Cambria"/>
                <w:color w:val="1A1A1A"/>
                <w:sz w:val="18"/>
              </w:rPr>
              <w:t xml:space="preserve">~ 7 milioni</w:t>
            </w:r>
          </w:p>
        </w:tc>
        <w:tc>
          <w:tcPr/>
          <w:p>
            <w:pPr>
              <w:pStyle w:val="Compact"/>
              <w:spacing w:after="40" w:before="40"/>
              <w:jc w:val="left"/>
            </w:pPr>
            <w:r>
              <w:rPr>
                <w:rFonts w:ascii="Cambria" w:hAnsi="Cambria" w:cs="Cambria" w:eastAsia="Cambria"/>
                <w:color w:val="1A1A1A"/>
                <w:sz w:val="18"/>
              </w:rPr>
              <w:t xml:space="preserve">~ 0,3%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Base</w:t>
            </w:r>
          </w:p>
        </w:tc>
        <w:tc>
          <w:tcPr>
            <w:shd w:val="clear" w:color="auto" w:fill="F4F1EC"/>
          </w:tcPr>
          <w:p>
            <w:pPr>
              <w:pStyle w:val="Compact"/>
              <w:spacing w:after="40" w:before="40"/>
              <w:jc w:val="left"/>
            </w:pPr>
            <w:r>
              <w:rPr>
                <w:rFonts w:ascii="Cambria" w:hAnsi="Cambria" w:cs="Cambria" w:eastAsia="Cambria"/>
                <w:color w:val="1A1A1A"/>
                <w:sz w:val="18"/>
              </w:rPr>
              <w:t xml:space="preserve">~ 180</w:t>
            </w:r>
          </w:p>
        </w:tc>
        <w:tc>
          <w:tcPr>
            <w:shd w:val="clear" w:color="auto" w:fill="F4F1EC"/>
          </w:tcPr>
          <w:p>
            <w:pPr>
              <w:pStyle w:val="Compact"/>
              <w:spacing w:after="40" w:before="40"/>
              <w:jc w:val="left"/>
            </w:pPr>
            <w:r>
              <w:rPr>
                <w:rFonts w:ascii="Cambria" w:hAnsi="Cambria" w:cs="Cambria" w:eastAsia="Cambria"/>
                <w:color w:val="1A1A1A"/>
                <w:sz w:val="18"/>
              </w:rPr>
              <w:t xml:space="preserve">~ 11 milioni</w:t>
            </w:r>
          </w:p>
        </w:tc>
        <w:tc>
          <w:tcPr>
            <w:shd w:val="clear" w:color="auto" w:fill="F4F1EC"/>
          </w:tcPr>
          <w:p>
            <w:pPr>
              <w:pStyle w:val="Compact"/>
              <w:spacing w:after="40" w:before="40"/>
              <w:jc w:val="left"/>
            </w:pPr>
            <w:r>
              <w:rPr>
                <w:rFonts w:ascii="Cambria" w:hAnsi="Cambria" w:cs="Cambria" w:eastAsia="Cambria"/>
                <w:color w:val="1A1A1A"/>
                <w:sz w:val="18"/>
              </w:rPr>
              <w:t xml:space="preserve">~ 0,4%</w:t>
            </w:r>
          </w:p>
        </w:tc>
      </w:tr>
      <w:tr>
        <w:tc>
          <w:tcPr/>
          <w:p>
            <w:pPr>
              <w:pStyle w:val="Compact"/>
              <w:spacing w:after="40" w:before="40"/>
              <w:jc w:val="left"/>
            </w:pPr>
            <w:r>
              <w:rPr>
                <w:rFonts w:ascii="Cambria" w:hAnsi="Cambria" w:cs="Cambria" w:eastAsia="Cambria"/>
                <w:b/>
                <w:bCs/>
                <w:color w:val="1A1A1A"/>
                <w:sz w:val="18"/>
              </w:rPr>
              <w:t xml:space="preserve">Espansivo</w:t>
            </w:r>
          </w:p>
        </w:tc>
        <w:tc>
          <w:tcPr/>
          <w:p>
            <w:pPr>
              <w:pStyle w:val="Compact"/>
              <w:spacing w:after="40" w:before="40"/>
              <w:jc w:val="left"/>
            </w:pPr>
            <w:r>
              <w:rPr>
                <w:rFonts w:ascii="Cambria" w:hAnsi="Cambria" w:cs="Cambria" w:eastAsia="Cambria"/>
                <w:color w:val="1A1A1A"/>
                <w:sz w:val="18"/>
              </w:rPr>
              <w:t xml:space="preserve">~ 240</w:t>
            </w:r>
          </w:p>
        </w:tc>
        <w:tc>
          <w:tcPr/>
          <w:p>
            <w:pPr>
              <w:pStyle w:val="Compact"/>
              <w:spacing w:after="40" w:before="40"/>
              <w:jc w:val="left"/>
            </w:pPr>
            <w:r>
              <w:rPr>
                <w:rFonts w:ascii="Cambria" w:hAnsi="Cambria" w:cs="Cambria" w:eastAsia="Cambria"/>
                <w:color w:val="1A1A1A"/>
                <w:sz w:val="18"/>
              </w:rPr>
              <w:t xml:space="preserve">~ 14 milioni</w:t>
            </w:r>
          </w:p>
        </w:tc>
        <w:tc>
          <w:tcPr/>
          <w:p>
            <w:pPr>
              <w:pStyle w:val="Compact"/>
              <w:spacing w:after="40" w:before="40"/>
              <w:jc w:val="left"/>
            </w:pPr>
            <w:r>
              <w:rPr>
                <w:rFonts w:ascii="Cambria" w:hAnsi="Cambria" w:cs="Cambria" w:eastAsia="Cambria"/>
                <w:color w:val="1A1A1A"/>
                <w:sz w:val="18"/>
              </w:rPr>
              <w:t xml:space="preserve">~ 0,5%</w:t>
            </w:r>
          </w:p>
        </w:tc>
      </w:tr>
    </w:tbl>
    <w:p>
      <w:pPr>
        <w:pStyle w:val="BodyText"/>
      </w:pPr>
      <w:r>
        <w:rPr>
          <w:i/>
          <w:iCs/>
        </w:rPr>
        <w:t xml:space="preserve">Tabella E.1. Il costo del servizio a regime nei tre scenari di copertura.</w:t>
      </w:r>
    </w:p>
    <w:bookmarkEnd w:id="4320"/>
    <w:bookmarkStart w:id="4321" w:name="Xceab9bfa7379f34772766fb3b6f7ba34dbdfea6"/>
    <w:p>
      <w:pPr>
        <w:pStyle w:val="Heading3"/>
      </w:pPr>
      <w:r>
        <w:t xml:space="preserve">E.2 I risparmi diretti per il bilancio sanitario</w:t>
      </w:r>
    </w:p>
    <w:p>
      <w:pPr>
        <w:pStyle w:val="FirstParagraph"/>
      </w:pPr>
      <w:r>
        <w:t xml:space="preserve">I risparmi diretti per il bilancio sanitario si articolano in quattro canali. Il primo è la riduzione degli accessi impropri al pronto soccorso, dell’ordine di 1, 1 e 2 milioni di euro l’anno nei tre scenari. Il secondo è la riduzione della spesa farmaceutica inappropriata, dell’ordine di 1, 2 e 2 milioni. Il terzo, il più consistente, è la riduzione di ricoveri evitabili e di specialistica impropria, dell’ordine di 2, 3 e 5 milioni; il margine di recupero è qui più contenuto che altrove, poiché il sistema è già ampiamente dotato ed efficiente e lascia meno consumo improprio da recuperare. Il quarto, il recupero della mobilità, è per il Trentino-Alto Adige trascurabile, dell’ordine di 0, 1 e 1 milione: il saldo di mobilità è modesto e per alcune branche attivo, poiché le due Province attraggono pazienti più di quanti ne perdano, sicché questo canale contribuisce solo marginalmente. La somma dei quattro canali è dell’ordine di 4, 7 e 10 milioni di euro l’anno, e determina, a fronte del costo del servizio, un saldo diretto negativo, dell’ordine di −3, −4 e −4 milioni: più sfavorevole che nelle regioni sotto-finanziate, proprio perché il sistema, già ben dotato, lascia minori margini di recupero diretto, ma di entità modesta e agevolmente sostenibile a fronte dell’avanzo di bilancio. La tabella seguente dettaglia i canali del risparmio diretto.</w:t>
      </w:r>
    </w:p>
    <w:tbl>
      <w:tblPr>
        <w:tblStyle w:val="Table"/>
        <w:tblW w:type="pct" w:w="490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888"/>
        <w:gridCol w:w="1296"/>
        <w:gridCol w:w="1296"/>
        <w:gridCol w:w="129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Accessi impropri al pronto soccorso</w:t>
            </w:r>
          </w:p>
        </w:tc>
        <w:tc>
          <w:tcPr/>
          <w:p>
            <w:pPr>
              <w:pStyle w:val="Compact"/>
              <w:spacing w:after="40" w:before="40"/>
              <w:jc w:val="left"/>
            </w:pPr>
            <w:r>
              <w:rPr>
                <w:rFonts w:ascii="Cambria" w:hAnsi="Cambria" w:cs="Cambria" w:eastAsia="Cambria"/>
                <w:color w:val="1A1A1A"/>
                <w:sz w:val="18"/>
              </w:rPr>
              <w:t xml:space="preserve">~ 1</w:t>
            </w:r>
          </w:p>
        </w:tc>
        <w:tc>
          <w:tcPr/>
          <w:p>
            <w:pPr>
              <w:pStyle w:val="Compact"/>
              <w:spacing w:after="40" w:before="40"/>
              <w:jc w:val="left"/>
            </w:pPr>
            <w:r>
              <w:rPr>
                <w:rFonts w:ascii="Cambria" w:hAnsi="Cambria" w:cs="Cambria" w:eastAsia="Cambria"/>
                <w:color w:val="1A1A1A"/>
                <w:sz w:val="18"/>
              </w:rPr>
              <w:t xml:space="preserve">~ 1</w:t>
            </w:r>
          </w:p>
        </w:tc>
        <w:tc>
          <w:tcPr/>
          <w:p>
            <w:pPr>
              <w:pStyle w:val="Compact"/>
              <w:spacing w:after="40" w:before="40"/>
              <w:jc w:val="left"/>
            </w:pPr>
            <w:r>
              <w:rPr>
                <w:rFonts w:ascii="Cambria" w:hAnsi="Cambria" w:cs="Cambria" w:eastAsia="Cambria"/>
                <w:color w:val="1A1A1A"/>
                <w:sz w:val="18"/>
              </w:rPr>
              <w:t xml:space="preserve">~ 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Spesa farmaceutica inappropriata</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c>
          <w:tcPr>
            <w:shd w:val="clear" w:color="auto" w:fill="F4F1EC"/>
          </w:tcPr>
          <w:p>
            <w:pPr>
              <w:pStyle w:val="Compact"/>
              <w:spacing w:after="40" w:before="40"/>
              <w:jc w:val="left"/>
            </w:pPr>
            <w:r>
              <w:rPr>
                <w:rFonts w:ascii="Cambria" w:hAnsi="Cambria" w:cs="Cambria" w:eastAsia="Cambria"/>
                <w:color w:val="1A1A1A"/>
                <w:sz w:val="18"/>
              </w:rPr>
              <w:t xml:space="preserve">~ 2</w:t>
            </w:r>
          </w:p>
        </w:tc>
        <w:tc>
          <w:tcPr>
            <w:shd w:val="clear" w:color="auto" w:fill="F4F1EC"/>
          </w:tcPr>
          <w:p>
            <w:pPr>
              <w:pStyle w:val="Compact"/>
              <w:spacing w:after="40" w:before="40"/>
              <w:jc w:val="left"/>
            </w:pPr>
            <w:r>
              <w:rPr>
                <w:rFonts w:ascii="Cambria" w:hAnsi="Cambria" w:cs="Cambria" w:eastAsia="Cambria"/>
                <w:color w:val="1A1A1A"/>
                <w:sz w:val="18"/>
              </w:rPr>
              <w:t xml:space="preserve">~ 2</w:t>
            </w:r>
          </w:p>
        </w:tc>
      </w:tr>
      <w:tr>
        <w:tc>
          <w:tcPr/>
          <w:p>
            <w:pPr>
              <w:pStyle w:val="Compact"/>
              <w:spacing w:after="40" w:before="40"/>
              <w:jc w:val="left"/>
            </w:pPr>
            <w:r>
              <w:rPr>
                <w:rFonts w:ascii="Cambria" w:hAnsi="Cambria" w:cs="Cambria" w:eastAsia="Cambria"/>
                <w:b/>
                <w:bCs/>
                <w:color w:val="1A1A1A"/>
                <w:sz w:val="18"/>
              </w:rPr>
              <w:t xml:space="preserve">Ricoveri evitabili e specialistica</w:t>
            </w:r>
          </w:p>
        </w:tc>
        <w:tc>
          <w:tcPr/>
          <w:p>
            <w:pPr>
              <w:pStyle w:val="Compact"/>
              <w:spacing w:after="40" w:before="40"/>
              <w:jc w:val="left"/>
            </w:pPr>
            <w:r>
              <w:rPr>
                <w:rFonts w:ascii="Cambria" w:hAnsi="Cambria" w:cs="Cambria" w:eastAsia="Cambria"/>
                <w:color w:val="1A1A1A"/>
                <w:sz w:val="18"/>
              </w:rPr>
              <w:t xml:space="preserve">~ 2</w:t>
            </w:r>
          </w:p>
        </w:tc>
        <w:tc>
          <w:tcPr/>
          <w:p>
            <w:pPr>
              <w:pStyle w:val="Compact"/>
              <w:spacing w:after="40" w:before="40"/>
              <w:jc w:val="left"/>
            </w:pPr>
            <w:r>
              <w:rPr>
                <w:rFonts w:ascii="Cambria" w:hAnsi="Cambria" w:cs="Cambria" w:eastAsia="Cambria"/>
                <w:color w:val="1A1A1A"/>
                <w:sz w:val="18"/>
              </w:rPr>
              <w:t xml:space="preserve">~ 3</w:t>
            </w:r>
          </w:p>
        </w:tc>
        <w:tc>
          <w:tcPr/>
          <w:p>
            <w:pPr>
              <w:pStyle w:val="Compact"/>
              <w:spacing w:after="40" w:before="40"/>
              <w:jc w:val="left"/>
            </w:pPr>
            <w:r>
              <w:rPr>
                <w:rFonts w:ascii="Cambria" w:hAnsi="Cambria" w:cs="Cambria" w:eastAsia="Cambria"/>
                <w:color w:val="1A1A1A"/>
                <w:sz w:val="18"/>
              </w:rPr>
              <w:t xml:space="preserve">~ 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Recupero della mobilità (frazione territoriale)</w:t>
            </w:r>
          </w:p>
        </w:tc>
        <w:tc>
          <w:tcPr>
            <w:shd w:val="clear" w:color="auto" w:fill="F4F1EC"/>
          </w:tcPr>
          <w:p>
            <w:pPr>
              <w:pStyle w:val="Compact"/>
              <w:spacing w:after="40" w:before="40"/>
              <w:jc w:val="left"/>
            </w:pPr>
            <w:r>
              <w:rPr>
                <w:rFonts w:ascii="Cambria" w:hAnsi="Cambria" w:cs="Cambria" w:eastAsia="Cambria"/>
                <w:color w:val="1A1A1A"/>
                <w:sz w:val="18"/>
              </w:rPr>
              <w:t xml:space="preserve">~ 0</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r>
      <w:tr>
        <w:tc>
          <w:tcPr/>
          <w:p>
            <w:pPr>
              <w:pStyle w:val="Compact"/>
              <w:spacing w:after="40" w:before="40"/>
              <w:jc w:val="left"/>
            </w:pPr>
            <w:r>
              <w:rPr>
                <w:rFonts w:ascii="Cambria" w:hAnsi="Cambria" w:cs="Cambria" w:eastAsia="Cambria"/>
                <w:b/>
                <w:bCs/>
                <w:color w:val="1A1A1A"/>
                <w:sz w:val="18"/>
              </w:rPr>
              <w:t xml:space="preserve">Totale risparmi diretti</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7</w:t>
            </w:r>
          </w:p>
        </w:tc>
        <w:tc>
          <w:tcPr/>
          <w:p>
            <w:pPr>
              <w:pStyle w:val="Compact"/>
              <w:spacing w:after="40" w:before="40"/>
              <w:jc w:val="left"/>
            </w:pPr>
            <w:r>
              <w:rPr>
                <w:rFonts w:ascii="Cambria" w:hAnsi="Cambria" w:cs="Cambria" w:eastAsia="Cambria"/>
                <w:color w:val="1A1A1A"/>
                <w:sz w:val="18"/>
              </w:rPr>
              <w:t xml:space="preserve">~ 10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7</w:t>
            </w:r>
          </w:p>
        </w:tc>
        <w:tc>
          <w:tcPr>
            <w:shd w:val="clear" w:color="auto" w:fill="F4F1EC"/>
          </w:tcPr>
          <w:p>
            <w:pPr>
              <w:pStyle w:val="Compact"/>
              <w:spacing w:after="40" w:before="40"/>
              <w:jc w:val="left"/>
            </w:pPr>
            <w:r>
              <w:rPr>
                <w:rFonts w:ascii="Cambria" w:hAnsi="Cambria" w:cs="Cambria" w:eastAsia="Cambria"/>
                <w:color w:val="1A1A1A"/>
                <w:sz w:val="18"/>
              </w:rPr>
              <w:t xml:space="preserve">~ 11</w:t>
            </w:r>
          </w:p>
        </w:tc>
        <w:tc>
          <w:tcPr>
            <w:shd w:val="clear" w:color="auto" w:fill="F4F1EC"/>
          </w:tcPr>
          <w:p>
            <w:pPr>
              <w:pStyle w:val="Compact"/>
              <w:spacing w:after="40" w:before="40"/>
              <w:jc w:val="left"/>
            </w:pPr>
            <w:r>
              <w:rPr>
                <w:rFonts w:ascii="Cambria" w:hAnsi="Cambria" w:cs="Cambria" w:eastAsia="Cambria"/>
                <w:color w:val="1A1A1A"/>
                <w:sz w:val="18"/>
              </w:rPr>
              <w:t xml:space="preserve">~ 14</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−3</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−4</w:t>
            </w:r>
          </w:p>
        </w:tc>
      </w:tr>
    </w:tbl>
    <w:p>
      <w:pPr>
        <w:pStyle w:val="BodyText"/>
      </w:pPr>
      <w:r>
        <w:rPr>
          <w:i/>
          <w:iCs/>
        </w:rPr>
        <w:t xml:space="preserve">Tabella E.2. I risparmi diretti per il bilancio sanitario regionale e il saldo diretto.</w:t>
      </w:r>
    </w:p>
    <w:bookmarkEnd w:id="4321"/>
    <w:bookmarkStart w:id="4322" w:name="e.3-le-ricadute-economico-sociali"/>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con peso particolare in un’economia ad alta attività, a pieno impiego e con redditi e produttività fra i più alti d’Europa, e nella componente giovanile, prevalente in una delle regioni più giovani d’Italia — oltre al valore del benessere recuperato e al minor carico assistenziale sulle famiglie, e sono stimate, secondo i criteri prudenziali dello studio, nell’ordine di 25, 48 e 67 milioni di euro l’anno nei tre scenari. Sommate ai risparmi diretti, esse determinano un ritorno complessivo dell’ordine di 29, 55 e 77 milioni di euro l’anno, e un saldo complessivo per la collettività ampiamente positivo, dell’ordine di +22, +44 e +63 milioni. Ne discende un rapporto beneficio-costo complessivo dell’ordine di 4,1 a uno nello scenario conservativo, 5,0 a uno in quello di base e 5,5 a uno in quello espansivo, interamente compreso nella banda prudenziale adottata.</w:t>
      </w:r>
    </w:p>
    <w:bookmarkEnd w:id="4322"/>
    <w:bookmarkStart w:id="4323" w:name="X2122437e51e0ca1b976bde9c65a003c97b44b4c"/>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del Trentino-Alto Adige. Il caso puramente finanziario per il bilancio sanitario è di disavanzo diretto, più ampio che nelle regioni sotto-finanziate perché il sistema, già ben dotato ed efficiente, lascia minori margini di recupero e il canale della mobilità è trascurabile; tale disavanzo resta tuttavia di entità modesta e agevolmente sostenibile a fronte dell’avanzo di bilancio delle due Province.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 e pienamente compatibile con la solidità finanziaria del territorio. La tabella consolidata che segue è lo strumento sintetico per la decisione, e distingue in ogni voce la dimensione diretta da quella sociale.</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Voce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7</w:t>
            </w:r>
          </w:p>
        </w:tc>
        <w:tc>
          <w:tcPr/>
          <w:p>
            <w:pPr>
              <w:pStyle w:val="Compact"/>
              <w:spacing w:after="40" w:before="40"/>
              <w:jc w:val="left"/>
            </w:pPr>
            <w:r>
              <w:rPr>
                <w:rFonts w:ascii="Cambria" w:hAnsi="Cambria" w:cs="Cambria" w:eastAsia="Cambria"/>
                <w:color w:val="1A1A1A"/>
                <w:sz w:val="18"/>
              </w:rPr>
              <w:t xml:space="preserve">~ 11</w:t>
            </w:r>
          </w:p>
        </w:tc>
        <w:tc>
          <w:tcPr/>
          <w:p>
            <w:pPr>
              <w:pStyle w:val="Compact"/>
              <w:spacing w:after="40" w:before="40"/>
              <w:jc w:val="left"/>
            </w:pPr>
            <w:r>
              <w:rPr>
                <w:rFonts w:ascii="Cambria" w:hAnsi="Cambria" w:cs="Cambria" w:eastAsia="Cambria"/>
                <w:color w:val="1A1A1A"/>
                <w:sz w:val="18"/>
              </w:rPr>
              <w:t xml:space="preserve">~ 14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7</w:t>
            </w:r>
          </w:p>
        </w:tc>
        <w:tc>
          <w:tcPr>
            <w:shd w:val="clear" w:color="auto" w:fill="F4F1EC"/>
          </w:tcPr>
          <w:p>
            <w:pPr>
              <w:pStyle w:val="Compact"/>
              <w:spacing w:after="40" w:before="40"/>
              <w:jc w:val="left"/>
            </w:pPr>
            <w:r>
              <w:rPr>
                <w:rFonts w:ascii="Cambria" w:hAnsi="Cambria" w:cs="Cambria" w:eastAsia="Cambria"/>
                <w:color w:val="1A1A1A"/>
                <w:sz w:val="18"/>
              </w:rPr>
              <w:t xml:space="preserve">~ 10</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−3</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25</w:t>
            </w:r>
          </w:p>
        </w:tc>
        <w:tc>
          <w:tcPr>
            <w:shd w:val="clear" w:color="auto" w:fill="F4F1EC"/>
          </w:tcPr>
          <w:p>
            <w:pPr>
              <w:pStyle w:val="Compact"/>
              <w:spacing w:after="40" w:before="40"/>
              <w:jc w:val="left"/>
            </w:pPr>
            <w:r>
              <w:rPr>
                <w:rFonts w:ascii="Cambria" w:hAnsi="Cambria" w:cs="Cambria" w:eastAsia="Cambria"/>
                <w:color w:val="1A1A1A"/>
                <w:sz w:val="18"/>
              </w:rPr>
              <w:t xml:space="preserve">~ 48</w:t>
            </w:r>
          </w:p>
        </w:tc>
        <w:tc>
          <w:tcPr>
            <w:shd w:val="clear" w:color="auto" w:fill="F4F1EC"/>
          </w:tcPr>
          <w:p>
            <w:pPr>
              <w:pStyle w:val="Compact"/>
              <w:spacing w:after="40" w:before="40"/>
              <w:jc w:val="left"/>
            </w:pPr>
            <w:r>
              <w:rPr>
                <w:rFonts w:ascii="Cambria" w:hAnsi="Cambria" w:cs="Cambria" w:eastAsia="Cambria"/>
                <w:color w:val="1A1A1A"/>
                <w:sz w:val="18"/>
              </w:rPr>
              <w:t xml:space="preserve">~ 67</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 29</w:t>
            </w:r>
          </w:p>
        </w:tc>
        <w:tc>
          <w:tcPr/>
          <w:p>
            <w:pPr>
              <w:pStyle w:val="Compact"/>
              <w:spacing w:after="40" w:before="40"/>
              <w:jc w:val="left"/>
            </w:pPr>
            <w:r>
              <w:rPr>
                <w:rFonts w:ascii="Cambria" w:hAnsi="Cambria" w:cs="Cambria" w:eastAsia="Cambria"/>
                <w:color w:val="1A1A1A"/>
                <w:sz w:val="18"/>
              </w:rPr>
              <w:t xml:space="preserve">~ 55</w:t>
            </w:r>
          </w:p>
        </w:tc>
        <w:tc>
          <w:tcPr/>
          <w:p>
            <w:pPr>
              <w:pStyle w:val="Compact"/>
              <w:spacing w:after="40" w:before="40"/>
              <w:jc w:val="left"/>
            </w:pPr>
            <w:r>
              <w:rPr>
                <w:rFonts w:ascii="Cambria" w:hAnsi="Cambria" w:cs="Cambria" w:eastAsia="Cambria"/>
                <w:color w:val="1A1A1A"/>
                <w:sz w:val="18"/>
              </w:rPr>
              <w:t xml:space="preserve">~ 77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 +22</w:t>
            </w:r>
          </w:p>
        </w:tc>
        <w:tc>
          <w:tcPr>
            <w:shd w:val="clear" w:color="auto" w:fill="F4F1EC"/>
          </w:tcPr>
          <w:p>
            <w:pPr>
              <w:pStyle w:val="Compact"/>
              <w:spacing w:after="40" w:before="40"/>
              <w:jc w:val="left"/>
            </w:pPr>
            <w:r>
              <w:rPr>
                <w:rFonts w:ascii="Cambria" w:hAnsi="Cambria" w:cs="Cambria" w:eastAsia="Cambria"/>
                <w:color w:val="1A1A1A"/>
                <w:sz w:val="18"/>
              </w:rPr>
              <w:t xml:space="preserve">~ +44</w:t>
            </w:r>
          </w:p>
        </w:tc>
        <w:tc>
          <w:tcPr>
            <w:shd w:val="clear" w:color="auto" w:fill="F4F1EC"/>
          </w:tcPr>
          <w:p>
            <w:pPr>
              <w:pStyle w:val="Compact"/>
              <w:spacing w:after="40" w:before="40"/>
              <w:jc w:val="left"/>
            </w:pPr>
            <w:r>
              <w:rPr>
                <w:rFonts w:ascii="Cambria" w:hAnsi="Cambria" w:cs="Cambria" w:eastAsia="Cambria"/>
                <w:color w:val="1A1A1A"/>
                <w:sz w:val="18"/>
              </w:rPr>
              <w:t xml:space="preserve">~ +63</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 4,1:1</w:t>
            </w:r>
          </w:p>
        </w:tc>
        <w:tc>
          <w:tcPr/>
          <w:p>
            <w:pPr>
              <w:pStyle w:val="Compact"/>
              <w:spacing w:after="40" w:before="40"/>
              <w:jc w:val="left"/>
            </w:pPr>
            <w:r>
              <w:rPr>
                <w:rFonts w:ascii="Cambria" w:hAnsi="Cambria" w:cs="Cambria" w:eastAsia="Cambria"/>
                <w:color w:val="1A1A1A"/>
                <w:sz w:val="18"/>
              </w:rPr>
              <w:t xml:space="preserve">~ 5,0:1</w:t>
            </w:r>
          </w:p>
        </w:tc>
        <w:tc>
          <w:tcPr/>
          <w:p>
            <w:pPr>
              <w:pStyle w:val="Compact"/>
              <w:spacing w:after="40" w:before="40"/>
              <w:jc w:val="left"/>
            </w:pPr>
            <w:r>
              <w:rPr>
                <w:rFonts w:ascii="Cambria" w:hAnsi="Cambria" w:cs="Cambria" w:eastAsia="Cambria"/>
                <w:color w:val="1A1A1A"/>
                <w:sz w:val="18"/>
              </w:rPr>
              <w:t xml:space="preserve">~ 5,5:1</w:t>
            </w:r>
          </w:p>
        </w:tc>
      </w:tr>
    </w:tbl>
    <w:p>
      <w:pPr>
        <w:pStyle w:val="BodyText"/>
      </w:pPr>
      <w:r>
        <w:rPr>
          <w:i/>
          <w:iCs/>
        </w:rPr>
        <w:t xml:space="preserve">Tabella E.3. Il quadro economico consolidato, con la distinzione fra caso finanziario e caso economico.</w:t>
      </w:r>
    </w:p>
    <w:bookmarkEnd w:id="4323"/>
    <w:bookmarkStart w:id="4324" w:name="e.5-lanalisi-costo-utilità-per-paziente"/>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491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272"/>
        <w:gridCol w:w="1272"/>
        <w:gridCol w:w="18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Comparatore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atteso per paziente</w:t>
            </w:r>
          </w:p>
        </w:tc>
        <w:tc>
          <w:tcPr/>
          <w:p>
            <w:pPr>
              <w:pStyle w:val="Compact"/>
              <w:spacing w:after="40" w:before="40"/>
              <w:jc w:val="left"/>
            </w:pPr>
            <w:r>
              <w:rPr>
                <w:rFonts w:ascii="Cambria" w:hAnsi="Cambria" w:cs="Cambria" w:eastAsia="Cambria"/>
                <w:color w:val="1A1A1A"/>
                <w:sz w:val="18"/>
              </w:rPr>
              <w:t xml:space="preserve">~ 3.799 euro</w:t>
            </w:r>
          </w:p>
        </w:tc>
        <w:tc>
          <w:tcPr/>
          <w:p>
            <w:pPr>
              <w:pStyle w:val="Compact"/>
              <w:spacing w:after="40" w:before="40"/>
              <w:jc w:val="left"/>
            </w:pPr>
            <w:r>
              <w:rPr>
                <w:rFonts w:ascii="Cambria" w:hAnsi="Cambria" w:cs="Cambria" w:eastAsia="Cambria"/>
                <w:color w:val="1A1A1A"/>
                <w:sz w:val="18"/>
              </w:rPr>
              <w:t xml:space="preserve">~ 2.495 euro</w:t>
            </w:r>
          </w:p>
        </w:tc>
        <w:tc>
          <w:tcPr/>
          <w:p>
            <w:pPr>
              <w:pStyle w:val="Compact"/>
              <w:spacing w:after="40" w:before="40"/>
              <w:jc w:val="left"/>
            </w:pPr>
            <w:r>
              <w:rPr>
                <w:rFonts w:ascii="Cambria" w:hAnsi="Cambria" w:cs="Cambria" w:eastAsia="Cambria"/>
                <w:color w:val="1A1A1A"/>
                <w:sz w:val="18"/>
              </w:rPr>
              <w:t xml:space="preserve">− 1.304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Anni di vita ponderati (QALY)</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Intervento dominante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(soglia 30.000 euro/QALY)</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88,9% delle simulazioni</w:t>
            </w:r>
          </w:p>
        </w:tc>
      </w:tr>
    </w:tbl>
    <w:p>
      <w:pPr>
        <w:pStyle w:val="BodyText"/>
      </w:pPr>
      <w:r>
        <w:rPr>
          <w:i/>
          <w:iCs/>
        </w:rPr>
        <w:t xml:space="preserve">Tabella E.4. L</w:t>
      </w:r>
      <w:r>
        <w:rPr>
          <w:b/>
          <w:bCs/>
          <w:i/>
          <w:iCs/>
        </w:rPr>
        <w:t xml:space="preserve">’</w:t>
      </w:r>
      <w:r>
        <w:rPr>
          <w:i/>
          <w:iCs/>
        </w:rPr>
        <w:t xml:space="preserve">analisi costo-utilità per paziente trattato (modello di Markov a cinque anni).</w:t>
      </w:r>
    </w:p>
    <w:bookmarkEnd w:id="4324"/>
    <w:bookmarkStart w:id="4325" w:name="Xeb0e387b439062ba3719d0bc9c2f7143a6abe08"/>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della spesa sanitaria, dell’ordine dello 0,3% nello scenario conservativo e dello 0,5% in quello espansivo; la sostenibilità è qui il punto più favorevole della serie, poiché entrambe le Province autonome finanziano integralmente la sanità con i nove decimi del gettito trattenuto, senza apporto a carico dello Stato, e operano in avanzo, con la spesa pro-capite più alta d’Italia. Il vincolo non è la scarsità di risorse: la strutturazione del modello pieno è agevolmente finanziabile entro l’autonomia di bilancio di ciascuna Provincia, e la questione è di scelta allocativa e di coordinamento. Resta da dichiarare con franchezza la lacuna dei dati: le grandezze economiche sono in parte ricostruite dai conti nazionali per quota di popolazione e non estratte dai conti certificati delle due aziende sanitarie provinciali; il Trentino-Alto Adige dispone tuttavia, grazie agli assetti già operanti, di una base di dati propri più solida di quella delle regioni che partono da zero, sicché la stima, fondata sui benchmark, può essere affinata con i dati del modello trentino e del Servizio dell’Alto Adige; l’estrazione dei dati certificati delle due Province resta la priorità da completare. La sintesi è univoca: il caso diretto è prudente e in disavanzo modesto, sostenibile a fronte dell’avanzo,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w:t>
      </w:r>
      <w:r>
        <w:rPr>
          <w:b/>
          <w:bCs/>
          <w:i/>
          <w:iCs/>
        </w:rPr>
        <w:t xml:space="preserve">’</w:t>
      </w:r>
      <w:r>
        <w:rPr>
          <w:i/>
          <w:iCs/>
        </w:rPr>
        <w:t xml:space="preserve">informazione</w:t>
      </w:r>
    </w:p>
    <w:p>
      <w:pPr>
        <w:pStyle w:val="BodyText"/>
      </w:pPr>
      <w:r>
        <w:t xml:space="preserve">Quinto dominio dell’HTA · la robustezza della valutazione economica</w:t>
      </w:r>
    </w:p>
    <w:bookmarkEnd w:id="4325"/>
    <w:bookmarkEnd w:id="987"/>
    <w:bookmarkStart w:id="1010" w:name="parte-f-modellazione-e-incertezza-1"/>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il Trentino-Alto Adige quest’ultimo capitolo si avvale di una condizione propria: poiché gli assetti delle due Province sono già operanti, la prova empirica dispone di una base di dati propri più estesa che altrove, e la strutturazione progressiva del modello pieno fra i comprensori delle due Province offre l’opportunità di impostare una rilevazione uniforme e interoperabile, presupposto di un’evidenza locale solida.</w:t>
      </w:r>
    </w:p>
    <w:bookmarkStart w:id="4326" w:name="X77185d0c7b4e4e8752489a48818dc58edddc938"/>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1827"/>
      </w:r>
      <w:r>
        <w:rPr>
          <w:rStyle w:val="FootnoteReference"/>
        </w:rPr>
        <w:footnoteReference w:id="1828"/>
      </w:r>
      <w:r>
        <w:rPr>
          <w:rStyle w:val="FootnoteReference"/>
        </w:rPr>
        <w:footnoteReference w:id="1829"/>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1830"/>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1831"/>
      </w:r>
      <w:r>
        <w:t xml:space="preserve"> </w:t>
      </w:r>
      <w:r>
        <w:t xml:space="preserve">Nel caso base l’intervento è dominante, con un risparmio per paziente dell’ordine di 1.304 euro e un guadagno di 0,236 anni di vita ponderati per la qualità.</w:t>
      </w:r>
      <w:r>
        <w:rPr>
          <w:rStyle w:val="FootnoteReference"/>
        </w:rPr>
        <w:footnoteReference w:id="1832"/>
      </w:r>
      <w:r>
        <w:t xml:space="preserve"> </w:t>
      </w:r>
      <w:r>
        <w:t xml:space="preserve">La tabella seguente riepiloga i parametri principali del modello.</w:t>
      </w:r>
    </w:p>
    <w:tbl>
      <w:tblPr>
        <w:tblStyle w:val="Table"/>
        <w:tblW w:type="pct" w:w="489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01"/>
        <w:gridCol w:w="475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Stati clinici</w:t>
            </w:r>
          </w:p>
        </w:tc>
        <w:tc>
          <w:tcPr/>
          <w:p>
            <w:pPr>
              <w:pStyle w:val="Compact"/>
              <w:spacing w:after="40" w:before="40"/>
              <w:jc w:val="left"/>
            </w:pPr>
            <w:r>
              <w:rPr>
                <w:rFonts w:ascii="Cambria" w:hAnsi="Cambria" w:cs="Cambria" w:eastAsia="Cambria"/>
                <w:color w:val="1A1A1A"/>
                <w:sz w:val="18"/>
              </w:rPr>
              <w:t xml:space="preserve">Benessere o sottosoglia, episodio, cronicità, recupero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Cinque anni, con cicli successivi</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(recupero)</w:t>
            </w:r>
          </w:p>
        </w:tc>
        <w:tc>
          <w:tcPr>
            <w:shd w:val="clear" w:color="auto" w:fill="F4F1EC"/>
          </w:tcPr>
          <w:p>
            <w:pPr>
              <w:pStyle w:val="Compact"/>
              <w:spacing w:after="40" w:before="40"/>
              <w:jc w:val="left"/>
            </w:pPr>
            <w:r>
              <w:rPr>
                <w:rFonts w:ascii="Cambria" w:hAnsi="Cambria" w:cs="Cambria" w:eastAsia="Cambria"/>
                <w:color w:val="1A1A1A"/>
                <w:sz w:val="18"/>
              </w:rPr>
              <w:t xml:space="preserve">~ 40 euro</w:t>
            </w:r>
          </w:p>
        </w:tc>
      </w:tr>
      <w:tr>
        <w:tc>
          <w:tcPr/>
          <w:p>
            <w:pPr>
              <w:pStyle w:val="Compact"/>
              <w:spacing w:after="40" w:before="40"/>
              <w:jc w:val="left"/>
            </w:pPr>
            <w:r>
              <w:rPr>
                <w:rFonts w:ascii="Cambria" w:hAnsi="Cambria" w:cs="Cambria" w:eastAsia="Cambria"/>
                <w:b/>
                <w:bCs/>
                <w:color w:val="1A1A1A"/>
                <w:sz w:val="18"/>
              </w:rPr>
              <w:t xml:space="preserve">Costo per ciclo (cronicità)</w:t>
            </w:r>
          </w:p>
        </w:tc>
        <w:tc>
          <w:tcPr/>
          <w:p>
            <w:pPr>
              <w:pStyle w:val="Compact"/>
              <w:spacing w:after="40" w:before="40"/>
              <w:jc w:val="left"/>
            </w:pPr>
            <w:r>
              <w:rPr>
                <w:rFonts w:ascii="Cambria" w:hAnsi="Cambria" w:cs="Cambria" w:eastAsia="Cambria"/>
                <w:color w:val="1A1A1A"/>
                <w:sz w:val="18"/>
              </w:rPr>
              <w:t xml:space="preserve">~ 700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 300 euro una tantum</w:t>
            </w:r>
          </w:p>
        </w:tc>
      </w:tr>
      <w:tr>
        <w:tc>
          <w:tcPr/>
          <w:p>
            <w:pPr>
              <w:pStyle w:val="Compact"/>
              <w:spacing w:after="40" w:before="40"/>
              <w:jc w:val="left"/>
            </w:pPr>
            <w:r>
              <w:rPr>
                <w:rFonts w:ascii="Cambria" w:hAnsi="Cambria" w:cs="Cambria" w:eastAsia="Cambria"/>
                <w:b/>
                <w:bCs/>
                <w:color w:val="1A1A1A"/>
                <w:sz w:val="18"/>
              </w:rPr>
              <w:t xml:space="preserve">Trattamento dell’incertezza</w:t>
            </w:r>
          </w:p>
        </w:tc>
        <w:tc>
          <w:tcPr/>
          <w:p>
            <w:pPr>
              <w:pStyle w:val="Compact"/>
              <w:spacing w:after="40" w:before="40"/>
              <w:jc w:val="left"/>
            </w:pPr>
            <w:r>
              <w:rPr>
                <w:rFonts w:ascii="Cambria" w:hAnsi="Cambria" w:cs="Cambria" w:eastAsia="Cambria"/>
                <w:color w:val="1A1A1A"/>
                <w:sz w:val="18"/>
              </w:rPr>
              <w:t xml:space="preserve">Parametri come distribuzioni di probabilità</w:t>
            </w:r>
          </w:p>
        </w:tc>
      </w:tr>
    </w:tbl>
    <w:p>
      <w:pPr>
        <w:pStyle w:val="BodyText"/>
      </w:pPr>
      <w:r>
        <w:rPr>
          <w:i/>
          <w:iCs/>
        </w:rPr>
        <w:t xml:space="preserve">Tabella F.1. I parametri principali del modello di Markov (comune a tutti gli studi della serie).</w:t>
      </w:r>
    </w:p>
    <w:bookmarkEnd w:id="4326"/>
    <w:bookmarkStart w:id="4327" w:name="Xa14d41de7de963788600c02172bdecf13ef9058"/>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1833"/>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1834"/>
      </w:r>
    </w:p>
    <w:bookmarkEnd w:id="4327"/>
    <w:bookmarkStart w:id="4328" w:name="Xdfa17911ab58652292e39a4d1bf130142d77271"/>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1835"/>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1836"/>
      </w:r>
      <w:r>
        <w:t xml:space="preserve"> </w:t>
      </w:r>
      <w:r>
        <w:t xml:space="preserve">La tabella seguente riepiloga gli esiti della sensibilità probabilistica.</w:t>
      </w:r>
    </w:p>
    <w:tbl>
      <w:tblPr>
        <w:tblStyle w:val="Table"/>
        <w:tblW w:type="pct" w:w="490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940"/>
        <w:gridCol w:w="282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Esito della sensibilità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Probabilità di costo-efficacia (soglia 30.000 euro/QALY)</w:t>
            </w:r>
          </w:p>
        </w:tc>
        <w:tc>
          <w:tcPr/>
          <w:p>
            <w:pPr>
              <w:pStyle w:val="Compact"/>
              <w:spacing w:after="40" w:before="40"/>
              <w:jc w:val="left"/>
            </w:pPr>
            <w:r>
              <w:rPr>
                <w:rFonts w:ascii="Cambria" w:hAnsi="Cambria" w:cs="Cambria" w:eastAsia="Cambria"/>
                <w:color w:val="1A1A1A"/>
                <w:sz w:val="18"/>
              </w:rPr>
              <w:t xml:space="preserve">88,9% delle simulazioni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dominanza</w:t>
            </w:r>
          </w:p>
        </w:tc>
        <w:tc>
          <w:tcPr>
            <w:shd w:val="clear" w:color="auto" w:fill="F4F1EC"/>
          </w:tcPr>
          <w:p>
            <w:pPr>
              <w:pStyle w:val="Compact"/>
              <w:spacing w:after="40" w:before="40"/>
              <w:jc w:val="left"/>
            </w:pPr>
            <w:r>
              <w:rPr>
                <w:rFonts w:ascii="Cambria" w:hAnsi="Cambria" w:cs="Cambria" w:eastAsia="Cambria"/>
                <w:color w:val="1A1A1A"/>
                <w:sz w:val="18"/>
              </w:rPr>
              <w:t xml:space="preserve">84,6% delle simulazioni</w:t>
            </w:r>
          </w:p>
        </w:tc>
      </w:tr>
      <w:tr>
        <w:tc>
          <w:tcPr/>
          <w:p>
            <w:pPr>
              <w:pStyle w:val="Compact"/>
              <w:spacing w:after="40" w:before="40"/>
              <w:jc w:val="left"/>
            </w:pPr>
            <w:r>
              <w:rPr>
                <w:rFonts w:ascii="Cambria" w:hAnsi="Cambria" w:cs="Cambria" w:eastAsia="Cambria"/>
                <w:b/>
                <w:bCs/>
                <w:color w:val="1A1A1A"/>
                <w:sz w:val="18"/>
              </w:rPr>
              <w:t xml:space="preserve">Beneficio monetario netto medio per paziente</w:t>
            </w:r>
          </w:p>
        </w:tc>
        <w:tc>
          <w:tcPr/>
          <w:p>
            <w:pPr>
              <w:pStyle w:val="Compact"/>
              <w:spacing w:after="40" w:before="40"/>
              <w:jc w:val="left"/>
            </w:pPr>
            <w:r>
              <w:rPr>
                <w:rFonts w:ascii="Cambria" w:hAnsi="Cambria" w:cs="Cambria" w:eastAsia="Cambria"/>
                <w:color w:val="1A1A1A"/>
                <w:sz w:val="18"/>
              </w:rPr>
              <w:t xml:space="preserve">~ 7.815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Intervallo di confidenza al 95%</w:t>
            </w:r>
          </w:p>
        </w:tc>
        <w:tc>
          <w:tcPr>
            <w:shd w:val="clear" w:color="auto" w:fill="F4F1EC"/>
          </w:tcPr>
          <w:p>
            <w:pPr>
              <w:pStyle w:val="Compact"/>
              <w:spacing w:after="40" w:before="40"/>
              <w:jc w:val="left"/>
            </w:pPr>
            <w:r>
              <w:rPr>
                <w:rFonts w:ascii="Cambria" w:hAnsi="Cambria" w:cs="Cambria" w:eastAsia="Cambria"/>
                <w:color w:val="1A1A1A"/>
                <w:sz w:val="18"/>
              </w:rPr>
              <w:t xml:space="preserve">da ~ −5.736 a ~ +21.501 euro</w:t>
            </w:r>
          </w:p>
        </w:tc>
      </w:tr>
      <w:tr>
        <w:tc>
          <w:tcPr/>
          <w:p>
            <w:pPr>
              <w:pStyle w:val="Compact"/>
              <w:spacing w:after="40" w:before="40"/>
              <w:jc w:val="left"/>
            </w:pPr>
            <w:r>
              <w:rPr>
                <w:rFonts w:ascii="Cambria" w:hAnsi="Cambria" w:cs="Cambria" w:eastAsia="Cambria"/>
                <w:b/>
                <w:bCs/>
                <w:color w:val="1A1A1A"/>
                <w:sz w:val="18"/>
              </w:rPr>
              <w:t xml:space="preserve">Numero di simulazioni</w:t>
            </w:r>
          </w:p>
        </w:tc>
        <w:tc>
          <w:tcPr/>
          <w:p>
            <w:pPr>
              <w:pStyle w:val="Compact"/>
              <w:spacing w:after="40" w:before="40"/>
              <w:jc w:val="left"/>
            </w:pPr>
            <w:r>
              <w:rPr>
                <w:rFonts w:ascii="Cambria" w:hAnsi="Cambria" w:cs="Cambria" w:eastAsia="Cambria"/>
                <w:color w:val="1A1A1A"/>
                <w:sz w:val="18"/>
              </w:rPr>
              <w:t xml:space="preserve">10.000</w:t>
            </w:r>
          </w:p>
        </w:tc>
      </w:tr>
    </w:tbl>
    <w:p>
      <w:pPr>
        <w:pStyle w:val="BodyText"/>
      </w:pPr>
      <w:r>
        <w:rPr>
          <w:i/>
          <w:iCs/>
        </w:rPr>
        <w:t xml:space="preserve">Tabella F.2. Gli esiti dell</w:t>
      </w:r>
      <w:r>
        <w:rPr>
          <w:b/>
          <w:bCs/>
          <w:i/>
          <w:iCs/>
        </w:rPr>
        <w:t xml:space="preserve">’</w:t>
      </w:r>
      <w:r>
        <w:rPr>
          <w:i/>
          <w:iCs/>
        </w:rPr>
        <w:t xml:space="preserve">analisi di sensibilità probabilistica (per paziente).</w:t>
      </w:r>
    </w:p>
    <w:bookmarkEnd w:id="4328"/>
    <w:bookmarkStart w:id="1003" w:name="X08482853dc1de5a559d31c66ea7f8258f396068"/>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1837"/>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1838"/>
      </w:r>
    </w:p>
    <w:bookmarkEnd w:id="1003"/>
    <w:bookmarkStart w:id="1009" w:name="Xabfe49aeada10f19ba4aee5660ee320e8c9c184"/>
    <w:p>
      <w:pPr>
        <w:pStyle w:val="Heading3"/>
      </w:pPr>
      <w:r>
        <w:t xml:space="preserve">F.5 La verifica empirica e il valore dell’informazione</w:t>
      </w:r>
    </w:p>
    <w:p>
      <w:pPr>
        <w:pStyle w:val="FirstParagraph"/>
      </w:pPr>
      <w:r>
        <w:t xml:space="preserve">Il disegno della verifica empirica costituisce, per il Trentino-Alto Adige, un capitolo da impostare con cura. Poiché la strutturazione del modello pieno avverrà in tempi differenziati fra i comprensori e i distretti delle due Province, la verifica controfattuale può fondarsi su un esperimento a cunei progressivi, nel quale l’ordine e i tempi di attivazione fra i territori sono impiegati a fini valutativi: gli assetti già operanti consentono di rilevare una linea di base più ricca che altrove e l’attivazione scaglionata fornisce la variazione necessaria all’identificazione dell’effetto.</w:t>
      </w:r>
      <w:r>
        <w:rPr>
          <w:rStyle w:val="FootnoteReference"/>
        </w:rPr>
        <w:footnoteReference w:id="1839"/>
      </w:r>
      <w:r>
        <w:t xml:space="preserve"> </w:t>
      </w:r>
      <w:r>
        <w:t xml:space="preserve">L’effetto causale è stimato con la differenza-nelle-differenze e con il controllo sintetico, a partire dai dati già disponibili dagli assetti esistenti e dalla progressione differenziata della strutturazione fra i comprensori delle due Province.</w:t>
      </w:r>
      <w:r>
        <w:rPr>
          <w:rStyle w:val="FootnoteReference"/>
        </w:rPr>
        <w:footnoteReference w:id="1840"/>
      </w:r>
      <w:r>
        <w:t xml:space="preserve"> </w:t>
      </w:r>
      <w:r>
        <w:t xml:space="preserve">L’analisi del valore dell’informazione indica che il beneficio di ridurre l’incertezza, alla scala della popolazione del Trentino-Alto Adige, eccede ampiamente il costo della raccolta dei dati; le priorità sono l’estrazione dei conti certificati delle due aziende sanitarie provinciali e l’impostazione di un flusso uniforme e interoperabile dei dati di esito fra le due Province.</w:t>
      </w:r>
      <w:r>
        <w:rPr>
          <w:rStyle w:val="FootnoteReference"/>
        </w:rPr>
        <w:footnoteReference w:id="1841"/>
      </w:r>
      <w:r>
        <w:t xml:space="preserve"> </w:t>
      </w:r>
      <w:r>
        <w:t xml:space="preserve">Gli assetti già operanti consentono così di affinare le stime oltre i soli benchmark, conducendo il territorio, in modo programmato, verso una valutazione fondata in misura crescente su dati propri.</w:t>
      </w:r>
      <w:r>
        <w:rPr>
          <w:rStyle w:val="FootnoteReference"/>
        </w:rPr>
        <w:footnoteReference w:id="1842"/>
      </w:r>
      <w:r>
        <w:t xml:space="preserve"> </w:t>
      </w:r>
      <w:r>
        <w:t xml:space="preserve">La sintesi è univoca: il modello è robusto sul piano clinico-economico per paziente, l’incertezza aggregata è governata con scenari prudenti e con un piano di acquisizione e consolidamento dei dati, e la condizione di regione ad attuazione parziale impone di ancorare inizialmente la prova ai benchmark, valorizzando l’opportunità di una rilevazione ben progettata. La parte che segue affronta l’equità e l’impatto distributivo.</w:t>
      </w:r>
      <w:r>
        <w:rPr>
          <w:rStyle w:val="FootnoteReference"/>
        </w:rPr>
        <w:footnoteReference w:id="1843"/>
      </w:r>
    </w:p>
    <w:tbl>
      <w:tblPr>
        <w:tblStyle w:val="Table"/>
        <w:tblW w:type="pct" w:w="493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270"/>
        <w:gridCol w:w="3321"/>
        <w:gridCol w:w="122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Priorità di ricerca</w:t>
            </w:r>
          </w:p>
        </w:tc>
        <w:tc>
          <w:tcPr>
            <w:shd w:val="clear" w:color="auto" w:fill="16264B"/>
          </w:tcPr>
          <w:p>
            <w:pPr>
              <w:pStyle w:val="Compact"/>
              <w:spacing w:after="40" w:before="40"/>
              <w:jc w:val="left"/>
            </w:pPr>
            <w:r>
              <w:rPr>
                <w:rFonts w:ascii="Cambria" w:hAnsi="Cambria" w:cs="Cambria" w:eastAsia="Cambria"/>
                <w:b/>
                <w:bCs/>
                <w:color w:val="FFFFFF"/>
                <w:sz w:val="18"/>
              </w:rPr>
              <w:t xml:space="preserve">Finalità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Rilevanza</w:t>
            </w:r>
          </w:p>
        </w:tc>
      </w:tr>
      <w:tr>
        <w:tc>
          <w:tcPr/>
          <w:p>
            <w:pPr>
              <w:pStyle w:val="Compact"/>
              <w:spacing w:after="40" w:before="40"/>
              <w:jc w:val="left"/>
            </w:pPr>
            <w:r>
              <w:rPr>
                <w:rFonts w:ascii="Cambria" w:hAnsi="Cambria" w:cs="Cambria" w:eastAsia="Cambria"/>
                <w:b/>
                <w:bCs/>
                <w:color w:val="1A1A1A"/>
                <w:sz w:val="18"/>
              </w:rPr>
              <w:t xml:space="preserve">Conti certificati delle due aziende sanitarie provinciali</w:t>
            </w:r>
          </w:p>
        </w:tc>
        <w:tc>
          <w:tcPr/>
          <w:p>
            <w:pPr>
              <w:pStyle w:val="Compact"/>
              <w:spacing w:after="40" w:before="40"/>
              <w:jc w:val="left"/>
            </w:pPr>
            <w:r>
              <w:rPr>
                <w:rFonts w:ascii="Cambria" w:hAnsi="Cambria" w:cs="Cambria" w:eastAsia="Cambria"/>
                <w:color w:val="1A1A1A"/>
                <w:sz w:val="18"/>
              </w:rPr>
              <w:t xml:space="preserve">Sostituire le stime per quota con dati reali</w:t>
            </w:r>
          </w:p>
        </w:tc>
        <w:tc>
          <w:tcPr/>
          <w:p>
            <w:pPr>
              <w:pStyle w:val="Compact"/>
              <w:spacing w:after="40" w:before="40"/>
              <w:jc w:val="left"/>
            </w:pPr>
            <w:r>
              <w:rPr>
                <w:rFonts w:ascii="Cambria" w:hAnsi="Cambria" w:cs="Cambria" w:eastAsia="Cambria"/>
                <w:color w:val="1A1A1A"/>
                <w:sz w:val="18"/>
              </w:rPr>
              <w:t xml:space="preserve">Massima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Consolidamento dei dati degli assetti esistenti</w:t>
            </w:r>
          </w:p>
        </w:tc>
        <w:tc>
          <w:tcPr>
            <w:shd w:val="clear" w:color="auto" w:fill="F4F1EC"/>
          </w:tcPr>
          <w:p>
            <w:pPr>
              <w:pStyle w:val="Compact"/>
              <w:spacing w:after="40" w:before="40"/>
              <w:jc w:val="left"/>
            </w:pPr>
            <w:r>
              <w:rPr>
                <w:rFonts w:ascii="Cambria" w:hAnsi="Cambria" w:cs="Cambria" w:eastAsia="Cambria"/>
                <w:color w:val="1A1A1A"/>
                <w:sz w:val="18"/>
              </w:rPr>
              <w:t xml:space="preserve">Uniformare e completare l’evidenza propria fra le due Province</w:t>
            </w:r>
          </w:p>
        </w:tc>
        <w:tc>
          <w:tcPr>
            <w:shd w:val="clear" w:color="auto" w:fill="F4F1EC"/>
          </w:tcPr>
          <w:p>
            <w:pPr>
              <w:pStyle w:val="Compact"/>
              <w:spacing w:after="40" w:before="40"/>
              <w:jc w:val="left"/>
            </w:pPr>
            <w:r>
              <w:rPr>
                <w:rFonts w:ascii="Cambria" w:hAnsi="Cambria" w:cs="Cambria" w:eastAsia="Cambria"/>
                <w:color w:val="1A1A1A"/>
                <w:sz w:val="18"/>
              </w:rPr>
              <w:t xml:space="preserve">Massima</w:t>
            </w:r>
          </w:p>
        </w:tc>
      </w:tr>
      <w:tr>
        <w:tc>
          <w:tcPr/>
          <w:p>
            <w:pPr>
              <w:pStyle w:val="Compact"/>
              <w:spacing w:after="40" w:before="40"/>
              <w:jc w:val="left"/>
            </w:pPr>
            <w:r>
              <w:rPr>
                <w:rFonts w:ascii="Cambria" w:hAnsi="Cambria" w:cs="Cambria" w:eastAsia="Cambria"/>
                <w:b/>
                <w:bCs/>
                <w:color w:val="1A1A1A"/>
                <w:sz w:val="18"/>
              </w:rPr>
              <w:t xml:space="preserve">Tassi di intercettazione e costi evitati</w:t>
            </w:r>
          </w:p>
        </w:tc>
        <w:tc>
          <w:tcPr/>
          <w:p>
            <w:pPr>
              <w:pStyle w:val="Compact"/>
              <w:spacing w:after="40" w:before="40"/>
              <w:jc w:val="left"/>
            </w:pPr>
            <w:r>
              <w:rPr>
                <w:rFonts w:ascii="Cambria" w:hAnsi="Cambria" w:cs="Cambria" w:eastAsia="Cambria"/>
                <w:color w:val="1A1A1A"/>
                <w:sz w:val="18"/>
              </w:rPr>
              <w:t xml:space="preserve">Ridurre l’incertezza sulle grandezze aggregate</w:t>
            </w:r>
          </w:p>
        </w:tc>
        <w:tc>
          <w:tcPr/>
          <w:p>
            <w:pPr>
              <w:pStyle w:val="Compact"/>
              <w:spacing w:after="40" w:before="40"/>
              <w:jc w:val="left"/>
            </w:pPr>
            <w:r>
              <w:rPr>
                <w:rFonts w:ascii="Cambria" w:hAnsi="Cambria" w:cs="Cambria" w:eastAsia="Cambria"/>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 nel contesto locale</w:t>
            </w:r>
          </w:p>
        </w:tc>
        <w:tc>
          <w:tcPr>
            <w:shd w:val="clear" w:color="auto" w:fill="F4F1EC"/>
          </w:tcPr>
          <w:p>
            <w:pPr>
              <w:pStyle w:val="Compact"/>
              <w:spacing w:after="40" w:before="40"/>
              <w:jc w:val="left"/>
            </w:pPr>
            <w:r>
              <w:rPr>
                <w:rFonts w:ascii="Cambria" w:hAnsi="Cambria" w:cs="Cambria" w:eastAsia="Cambria"/>
                <w:color w:val="1A1A1A"/>
                <w:sz w:val="18"/>
              </w:rPr>
              <w:t xml:space="preserve">Corroborare il parametro più influente</w:t>
            </w:r>
          </w:p>
        </w:tc>
        <w:tc>
          <w:tcPr>
            <w:shd w:val="clear" w:color="auto" w:fill="F4F1EC"/>
          </w:tcPr>
          <w:p>
            <w:pPr>
              <w:pStyle w:val="Compact"/>
              <w:spacing w:after="40" w:before="40"/>
              <w:jc w:val="left"/>
            </w:pPr>
            <w:r>
              <w:rPr>
                <w:rFonts w:ascii="Cambria" w:hAnsi="Cambria" w:cs="Cambria" w:eastAsia="Cambria"/>
                <w:color w:val="1A1A1A"/>
                <w:sz w:val="18"/>
              </w:rPr>
              <w:t xml:space="preserve">Alta</w:t>
            </w:r>
          </w:p>
        </w:tc>
      </w:tr>
    </w:tbl>
    <w:p>
      <w:pPr>
        <w:pStyle w:val="BodyText"/>
      </w:pPr>
      <w:r>
        <w:rPr>
          <w:i/>
          <w:iCs/>
        </w:rPr>
        <w:t xml:space="preserve">Tabella F.3. Le priorità di ricerca derivanti dall</w:t>
      </w:r>
      <w:r>
        <w:rPr>
          <w:b/>
          <w:bCs/>
          <w:i/>
          <w:iCs/>
        </w:rPr>
        <w:t xml:space="preserve">‘******analisi del valore dell******’</w:t>
      </w:r>
      <w:r>
        <w:rPr>
          <w:i/>
          <w:iCs/>
        </w:rPr>
        <w:t xml:space="preserve">informazione.</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1009"/>
    <w:bookmarkEnd w:id="1010"/>
    <w:bookmarkStart w:id="4329" w:name="parte-g-equità-e-impatto-distributivo-3"/>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 Trentino-Alto Adige. La parte definisce il quadro dell’equità e il gradiente sociale (capitolo G.1); analizza l’asse territoriale e quello linguistico del divario e le barriere di accesso (G.2); descrive gli strumenti attraverso cui il servizio agisce sull’equità (G.3); e presenta l’analisi di costo-efficacia distributiva con le sue implicazioni allocative (G.4). Il tratto distintivo del Trentino-Alto Adige è la compresenza di un divario territoriale — centri urbani contro valli alpine a popolazione dispersa — e di un divario linguistico, poiché l’accesso effettivo richiede il servizio nella lingua del residente, tedesco, italiano o ladino; l’intervento può ridurre tali divari, a condizione di un’allocazione modulata per il bisogno e per la lingua, e l’armonizzazione fra le due Province riduce le disomogeneità fra i residenti.</w:t>
      </w:r>
    </w:p>
    <w:bookmarkStart w:id="1027" w:name="X9e9c8eb166e57540c2fa53a23aa2aed0399f0c6"/>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1844"/>
      </w:r>
      <w:r>
        <w:rPr>
          <w:rStyle w:val="FootnoteReference"/>
        </w:rPr>
        <w:footnoteReference w:id="1845"/>
      </w:r>
      <w:r>
        <w:rPr>
          <w:rStyle w:val="FootnoteReference"/>
        </w:rPr>
        <w:footnoteReference w:id="1846"/>
      </w:r>
      <w:r>
        <w:rPr>
          <w:rStyle w:val="FootnoteReference"/>
        </w:rPr>
        <w:footnoteReference w:id="1847"/>
      </w:r>
      <w:r>
        <w:rPr>
          <w:rStyle w:val="FootnoteReference"/>
        </w:rPr>
        <w:footnoteReference w:id="1848"/>
      </w:r>
      <w:r>
        <w:rPr>
          <w:rStyle w:val="FootnoteReference"/>
        </w:rPr>
        <w:footnoteReference w:id="1849"/>
      </w:r>
      <w:r>
        <w:rPr>
          <w:rStyle w:val="FootnoteReference"/>
        </w:rPr>
        <w:footnoteReference w:id="1850"/>
      </w:r>
      <w:r>
        <w:rPr>
          <w:rStyle w:val="FootnoteReference"/>
        </w:rPr>
        <w:footnoteReference w:id="1851"/>
      </w:r>
      <w:r>
        <w:rPr>
          <w:rStyle w:val="FootnoteReference"/>
        </w:rPr>
        <w:footnoteReference w:id="1852"/>
      </w:r>
      <w:r>
        <w:rPr>
          <w:rStyle w:val="FootnoteReference"/>
        </w:rPr>
        <w:footnoteReference w:id="1853"/>
      </w:r>
      <w:r>
        <w:rPr>
          <w:rStyle w:val="FootnoteReference"/>
        </w:rPr>
        <w:footnoteReference w:id="1854"/>
      </w:r>
      <w:r>
        <w:rPr>
          <w:rStyle w:val="FootnoteReference"/>
        </w:rPr>
        <w:footnoteReference w:id="1855"/>
      </w:r>
      <w:r>
        <w:rPr>
          <w:rStyle w:val="FootnoteReference"/>
        </w:rPr>
        <w:footnoteReference w:id="1856"/>
      </w:r>
      <w:r>
        <w:rPr>
          <w:rStyle w:val="FootnoteReference"/>
        </w:rPr>
        <w:footnoteReference w:id="1857"/>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1858"/>
      </w:r>
      <w:r>
        <w:t xml:space="preserve"> </w:t>
      </w:r>
      <w:r>
        <w:t xml:space="preserve">A questo gradiente si sommano barriere di accesso geografiche, linguistiche e culturali, oltre allo stigma; nel Trentino-Alto Adige la barriera linguistica e culturale è centrale, poiché il servizio deve essere disponibile in tedesco, italiano e ladino, e ad essa si affiancano la barriera geografica delle valli alpine a popolazione dispersa e quella generazionale; quanto alla barriera economica, gli assetti delle due Province sono disomogenei — il modello trentino prevede un ticket, il Servizio dell’Alto Adige è pubblico — e l’armonizzazione in un modello pieno è occasione per ridurre tale disomogeneità.</w:t>
      </w:r>
      <w:r>
        <w:rPr>
          <w:rStyle w:val="FootnoteReference"/>
        </w:rPr>
        <w:footnoteReference w:id="1859"/>
      </w:r>
    </w:p>
    <w:bookmarkEnd w:id="1027"/>
    <w:bookmarkStart w:id="1031" w:name="g.2-i-due-assi-del-divario-territoriale"/>
    <w:p>
      <w:pPr>
        <w:pStyle w:val="Heading3"/>
      </w:pPr>
      <w:r>
        <w:t xml:space="preserve">G.2 I due assi del divario territoriale</w:t>
      </w:r>
    </w:p>
    <w:p>
      <w:pPr>
        <w:pStyle w:val="FirstParagraph"/>
      </w:pPr>
      <w:r>
        <w:t xml:space="preserve">La specificità distributiva del Trentino-Alto Adige risiede nella struttura del divario territoriale e in quella, distintiva, del divario linguistico, cui si aggiunge la dimensione generazionale.</w:t>
      </w:r>
      <w:r>
        <w:rPr>
          <w:rStyle w:val="FootnoteReference"/>
        </w:rPr>
        <w:footnoteReference w:id="1860"/>
      </w:r>
      <w:r>
        <w:t xml:space="preserve"> </w:t>
      </w:r>
      <w:r>
        <w:t xml:space="preserve">Il primo asse, territoriale, separa i centri urbani di Trento, Bolzano e Merano dalle valli alpine a popolazione dispersa, dove l’orografia e le distanze rendono l’accesso più difficoltoso; pur in presenza di servizi di buona qualità, la copertura capillare delle valli richiede un’organizzazione dedicata.</w:t>
      </w:r>
      <w:r>
        <w:rPr>
          <w:rStyle w:val="FootnoteReference"/>
        </w:rPr>
        <w:footnoteReference w:id="1861"/>
      </w:r>
      <w:r>
        <w:t xml:space="preserve"> </w:t>
      </w:r>
      <w:r>
        <w:t xml:space="preserve">Il secondo asse, linguistico e proprio di questo territorio, attiene alla necessità che il servizio sia disponibile nella lingua del residente — tedesco, italiano o ladino — perché l’accesso sia effettivo per tutti i gruppi, secondo la tutela costituzionale.</w:t>
      </w:r>
      <w:r>
        <w:rPr>
          <w:rStyle w:val="FootnoteReference"/>
        </w:rPr>
        <w:footnoteReference w:id="1862"/>
      </w:r>
      <w:r>
        <w:t xml:space="preserve"> </w:t>
      </w:r>
      <w:r>
        <w:t xml:space="preserve">La tabella seguente sintetizza i due assi e le leve di riequilibrio.</w:t>
      </w:r>
    </w:p>
    <w:tbl>
      <w:tblPr>
        <w:tblStyle w:val="Table"/>
        <w:tblW w:type="pct" w:w="496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04"/>
        <w:gridCol w:w="3376"/>
        <w:gridCol w:w="337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Asse del divario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Caratterizzazione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Leva di riequilibrio</w:t>
            </w:r>
          </w:p>
        </w:tc>
      </w:tr>
      <w:tr>
        <w:tc>
          <w:tcPr/>
          <w:p>
            <w:pPr>
              <w:pStyle w:val="Compact"/>
              <w:spacing w:after="40" w:before="40"/>
              <w:jc w:val="left"/>
            </w:pPr>
            <w:r>
              <w:rPr>
                <w:rFonts w:ascii="Cambria" w:hAnsi="Cambria" w:cs="Cambria" w:eastAsia="Cambria"/>
                <w:b/>
                <w:bCs/>
                <w:color w:val="1A1A1A"/>
                <w:sz w:val="18"/>
              </w:rPr>
              <w:t xml:space="preserve">Centri urbani / valli alpine</w:t>
            </w:r>
          </w:p>
        </w:tc>
        <w:tc>
          <w:tcPr/>
          <w:p>
            <w:pPr>
              <w:pStyle w:val="Compact"/>
              <w:spacing w:after="40" w:before="40"/>
              <w:jc w:val="left"/>
            </w:pPr>
            <w:r>
              <w:rPr>
                <w:rFonts w:ascii="Cambria" w:hAnsi="Cambria" w:cs="Cambria" w:eastAsia="Cambria"/>
                <w:color w:val="1A1A1A"/>
                <w:sz w:val="18"/>
              </w:rPr>
              <w:t xml:space="preserve">Valli a popolazione dispersa, distanti dai centri maggiori, con orografia che ostacola l’accesso</w:t>
            </w:r>
          </w:p>
        </w:tc>
        <w:tc>
          <w:tcPr/>
          <w:p>
            <w:pPr>
              <w:pStyle w:val="Compact"/>
              <w:spacing w:after="40" w:before="40"/>
              <w:jc w:val="left"/>
            </w:pPr>
            <w:r>
              <w:rPr>
                <w:rFonts w:ascii="Cambria" w:hAnsi="Cambria" w:cs="Cambria" w:eastAsia="Cambria"/>
                <w:color w:val="1A1A1A"/>
                <w:sz w:val="18"/>
              </w:rPr>
              <w:t xml:space="preserve">Telepsicologia assistita; presenza programmata di primo livello nelle valli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Gruppi linguistici</w:t>
            </w:r>
          </w:p>
        </w:tc>
        <w:tc>
          <w:tcPr>
            <w:shd w:val="clear" w:color="auto" w:fill="F4F1EC"/>
          </w:tcPr>
          <w:p>
            <w:pPr>
              <w:pStyle w:val="Compact"/>
              <w:spacing w:after="40" w:before="40"/>
              <w:jc w:val="left"/>
            </w:pPr>
            <w:r>
              <w:rPr>
                <w:rFonts w:ascii="Cambria" w:hAnsi="Cambria" w:cs="Cambria" w:eastAsia="Cambria"/>
                <w:color w:val="1A1A1A"/>
                <w:sz w:val="18"/>
              </w:rPr>
              <w:t xml:space="preserve">Tedesco, italiano e ladino, con tutela costituzionale; accesso effettivo solo nella lingua del residente</w:t>
            </w:r>
          </w:p>
        </w:tc>
        <w:tc>
          <w:tcPr>
            <w:shd w:val="clear" w:color="auto" w:fill="F4F1EC"/>
          </w:tcPr>
          <w:p>
            <w:pPr>
              <w:pStyle w:val="Compact"/>
              <w:spacing w:after="40" w:before="40"/>
              <w:jc w:val="left"/>
            </w:pPr>
            <w:r>
              <w:rPr>
                <w:rFonts w:ascii="Cambria" w:hAnsi="Cambria" w:cs="Cambria" w:eastAsia="Cambria"/>
                <w:color w:val="1A1A1A"/>
                <w:sz w:val="18"/>
              </w:rPr>
              <w:t xml:space="preserve">Personale plurilingue; erogazione in tedesco, italiano e ladino; telepsicologia per la lingua a distanza</w:t>
            </w:r>
          </w:p>
        </w:tc>
      </w:tr>
      <w:tr>
        <w:tc>
          <w:tcPr/>
          <w:p>
            <w:pPr>
              <w:pStyle w:val="Compact"/>
              <w:spacing w:after="40" w:before="40"/>
              <w:jc w:val="left"/>
            </w:pPr>
            <w:r>
              <w:rPr>
                <w:rFonts w:ascii="Cambria" w:hAnsi="Cambria" w:cs="Cambria" w:eastAsia="Cambria"/>
                <w:b/>
                <w:bCs/>
                <w:color w:val="1A1A1A"/>
                <w:sz w:val="18"/>
              </w:rPr>
              <w:t xml:space="preserve">Disagio giovanile</w:t>
            </w:r>
          </w:p>
        </w:tc>
        <w:tc>
          <w:tcPr/>
          <w:p>
            <w:pPr>
              <w:pStyle w:val="Compact"/>
              <w:spacing w:after="40" w:before="40"/>
              <w:jc w:val="left"/>
            </w:pPr>
            <w:r>
              <w:rPr>
                <w:rFonts w:ascii="Cambria" w:hAnsi="Cambria" w:cs="Cambria" w:eastAsia="Cambria"/>
                <w:color w:val="1A1A1A"/>
                <w:sz w:val="18"/>
              </w:rPr>
              <w:t xml:space="preserve">Prevalente in una popolazione fra le più giovani d’Italia; bassa propensione al ricorso spontaneo</w:t>
            </w:r>
          </w:p>
        </w:tc>
        <w:tc>
          <w:tcPr/>
          <w:p>
            <w:pPr>
              <w:pStyle w:val="Compact"/>
              <w:spacing w:after="40" w:before="40"/>
              <w:jc w:val="left"/>
            </w:pPr>
            <w:r>
              <w:rPr>
                <w:rFonts w:ascii="Cambria" w:hAnsi="Cambria" w:cs="Cambria" w:eastAsia="Cambria"/>
                <w:color w:val="1A1A1A"/>
                <w:sz w:val="18"/>
              </w:rPr>
              <w:t xml:space="preserve">Intercettazione precoce; presenza presso scuole e atenei di Trento e Bolzano</w:t>
            </w:r>
          </w:p>
        </w:tc>
      </w:tr>
    </w:tbl>
    <w:p>
      <w:pPr>
        <w:pStyle w:val="BodyText"/>
      </w:pPr>
      <w:r>
        <w:rPr>
          <w:i/>
          <w:iCs/>
        </w:rPr>
        <w:t xml:space="preserve">Tabella G.1. Gli assi del divario territoriale e linguistico del Trentino-Alto Adige, la dimensione generazionale e le leve di riequilibrio.</w:t>
      </w:r>
    </w:p>
    <w:bookmarkEnd w:id="1031"/>
    <w:bookmarkStart w:id="1035" w:name="g.3-gli-strumenti-dellequità"/>
    <w:p>
      <w:pPr>
        <w:pStyle w:val="Heading3"/>
      </w:pPr>
      <w:r>
        <w:t xml:space="preserve">G.3 Gli strumenti dell’equità</w:t>
      </w:r>
    </w:p>
    <w:p>
      <w:pPr>
        <w:pStyle w:val="FirstParagraph"/>
      </w:pPr>
      <w:r>
        <w:t xml:space="preserve">Il servizio agisce sull’equità attraverso meccanismi precisi. La prossimità nelle Case della Comunità e la natura di primo livello accessibile senza requisiti specialistici abbattono parte delle barriere e indirizzano l’offerta verso chi ne è oggi escluso; nel Trentino-Alto Adige il pieno effetto pro-equità opera attraverso la prossimità nelle valli, l’erogazione nella lingua del residente e l’armonizzazione degli assetti fra le due Province, che riduce le disomogeneità fra i residenti dei due territori.</w:t>
      </w:r>
      <w:r>
        <w:rPr>
          <w:rStyle w:val="FootnoteReference"/>
        </w:rPr>
        <w:footnoteReference w:id="1863"/>
      </w:r>
      <w:r>
        <w:t xml:space="preserve"> </w:t>
      </w:r>
      <w:r>
        <w:t xml:space="preserve">La telepsicologia assistita avvicina l’offerta alle valli alpine a popolazione dispersa e consente di mettere a disposizione, anche a distanza, personale della lingua del paziente, in funzione complementare e non sostitutiva della presa in carico in presenza, estendendo la copertura proprio dove l’accesso è più difficile.</w:t>
      </w:r>
      <w:r>
        <w:rPr>
          <w:rStyle w:val="FootnoteReference"/>
        </w:rPr>
        <w:footnoteReference w:id="1864"/>
      </w:r>
      <w:r>
        <w:t xml:space="preserve"> </w:t>
      </w:r>
      <w:r>
        <w:t xml:space="preserve">La competenza linguistica è dirimente e centrale, poiché il servizio deve essere erogato in tedesco, italiano e ladino, mentre quella nell’intercettare il disagio giovanile assicura che il servizio raggiunga adolescenti e giovani adulti, fascia a elevato bisogno e a basso ricorso spontaneo.</w:t>
      </w:r>
      <w:r>
        <w:rPr>
          <w:rStyle w:val="FootnoteReference"/>
        </w:rPr>
        <w:footnoteReference w:id="1865"/>
      </w:r>
    </w:p>
    <w:bookmarkEnd w:id="1035"/>
    <w:bookmarkStart w:id="1041" w:name="X731a4ea168766cc980eabe2d3562f64da42d840"/>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1866"/>
      </w:r>
      <w:r>
        <w:t xml:space="preserve"> </w:t>
      </w:r>
      <w:r>
        <w:t xml:space="preserve">Perché questo potenziale si realizzi, la copertura va modulata in funzione del bisogno, destinando una quota maggiore di risorse alle valli alpine più isolate e garantendo la disponibilità di personale in tedesco, italiano e ladino secondo la composizione dei territori: un’allocazione uniforme rispetto alla popolazione non correggerebbe i divari, mentre un’allocazione ponderata per il bisogno e per la lingua li riduce.</w:t>
      </w:r>
      <w:r>
        <w:rPr>
          <w:rStyle w:val="FootnoteReference"/>
        </w:rPr>
        <w:footnoteReference w:id="1867"/>
      </w:r>
      <w:r>
        <w:t xml:space="preserve"> </w:t>
      </w:r>
      <w:r>
        <w:t xml:space="preserve">Va inoltre tenuto presente che, nel Trentino-Alto Adige, il canale della mobilità costituisce una leva di equità trascurabile per questo intervento, poiché le due Province attraggono pazienti, sicché l’equità si gioca prevalentemente sull’accesso interno; mentre l’armonizzazione degli assetti fra le due Province rappresenta, sul piano dell’equità, un vantaggio strutturale, poiché riduce le disomogeneità fra i residenti dei due territori.</w:t>
      </w:r>
      <w:r>
        <w:rPr>
          <w:rStyle w:val="FootnoteReference"/>
        </w:rPr>
        <w:footnoteReference w:id="1868"/>
      </w:r>
      <w:r>
        <w:t xml:space="preserve"> </w:t>
      </w:r>
      <w:r>
        <w:t xml:space="preserve">Esiste infine un rischio di iniquità inversa: se la strutturazione del modello pieno privilegiasse, per facilità organizzativa, i centri urbani già meglio serviti o un solo gruppo linguistico, l’effetto distributivo potrebbe risultare regressivo; il rischio va prevenuto con criteri espliciti di equità nell’allocazione, assicurando la copertura delle valli e l’erogazione in tutte le lingue del territorio.</w:t>
      </w:r>
      <w:r>
        <w:rPr>
          <w:rStyle w:val="FootnoteReference"/>
        </w:rPr>
        <w:footnoteReference w:id="1869"/>
      </w:r>
      <w:r>
        <w:t xml:space="preserve"> </w:t>
      </w:r>
      <w:r>
        <w:t xml:space="preserve">La sintesi è che l’intervento è favorevole all’equità sull’asse territoriale e su quello linguistico e sulla dimensione generazionale, e che l’armonizzazione fra le due Province ne rafforza la natura pro-equità; a condizione che la copertura sia modulata per il bisogno e che siano garantite la telepsicologia per le valli, l’erogazione nelle diverse lingue e l’attenzione al disagio giovanile, la raccomandazione è di orientare fin dalla strutturazione del modello un’allocazione pro-equità che dia di più dove il bisogno è maggiore, nelle valli e fra i gruppi linguistici minoritari.</w:t>
      </w:r>
      <w:r>
        <w:rPr>
          <w:rStyle w:val="FootnoteReference"/>
        </w:rPr>
        <w:footnoteReference w:id="1870"/>
      </w:r>
      <w:r>
        <w:t xml:space="preserve"> </w:t>
      </w:r>
      <w:r>
        <w:t xml:space="preserve">La tabella seguente riepiloga l’impatto distributivo atteso.</w:t>
      </w:r>
    </w:p>
    <w:tbl>
      <w:tblPr>
        <w:tblStyle w:val="Table"/>
        <w:tblW w:type="pct" w:w="494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45"/>
        <w:gridCol w:w="58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distributiva</w:t>
            </w:r>
          </w:p>
        </w:tc>
        <w:tc>
          <w:tcPr>
            <w:shd w:val="clear" w:color="auto" w:fill="16264B"/>
          </w:tcPr>
          <w:p>
            <w:pPr>
              <w:pStyle w:val="Compact"/>
              <w:spacing w:after="40" w:before="40"/>
              <w:jc w:val="left"/>
            </w:pPr>
            <w:r>
              <w:rPr>
                <w:rFonts w:ascii="Cambria" w:hAnsi="Cambria" w:cs="Cambria" w:eastAsia="Cambria"/>
                <w:b/>
                <w:bCs/>
                <w:color w:val="FFFFFF"/>
                <w:sz w:val="18"/>
              </w:rPr>
              <w:t xml:space="preserve">Esito per il Trentino-Alto Adige</w:t>
            </w:r>
          </w:p>
        </w:tc>
      </w:tr>
      <w:tr>
        <w:tc>
          <w:tcPr/>
          <w:p>
            <w:pPr>
              <w:pStyle w:val="Compact"/>
              <w:spacing w:after="40" w:before="40"/>
              <w:jc w:val="left"/>
            </w:pPr>
            <w:r>
              <w:rPr>
                <w:rFonts w:ascii="Cambria" w:hAnsi="Cambria" w:cs="Cambria" w:eastAsia="Cambria"/>
                <w:b/>
                <w:bCs/>
                <w:color w:val="1A1A1A"/>
                <w:sz w:val="18"/>
              </w:rPr>
              <w:t xml:space="preserve">Efficienza complessiva</w:t>
            </w:r>
          </w:p>
        </w:tc>
        <w:tc>
          <w:tcPr/>
          <w:p>
            <w:pPr>
              <w:pStyle w:val="Compact"/>
              <w:spacing w:after="40" w:before="40"/>
              <w:jc w:val="left"/>
            </w:pPr>
            <w:r>
              <w:rPr>
                <w:rFonts w:ascii="Cambria" w:hAnsi="Cambria" w:cs="Cambria" w:eastAsia="Cambria"/>
                <w:color w:val="1A1A1A"/>
                <w:sz w:val="18"/>
              </w:rPr>
              <w:t xml:space="preserve">Intervento costo-efficace e dominante per paziente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Direzione dell’effetto distributivo</w:t>
            </w:r>
          </w:p>
        </w:tc>
        <w:tc>
          <w:tcPr>
            <w:shd w:val="clear" w:color="auto" w:fill="F4F1EC"/>
          </w:tcPr>
          <w:p>
            <w:pPr>
              <w:pStyle w:val="Compact"/>
              <w:spacing w:after="40" w:before="40"/>
              <w:jc w:val="left"/>
            </w:pPr>
            <w:r>
              <w:rPr>
                <w:rFonts w:ascii="Cambria" w:hAnsi="Cambria" w:cs="Cambria" w:eastAsia="Cambria"/>
                <w:color w:val="1A1A1A"/>
                <w:sz w:val="18"/>
              </w:rPr>
              <w:t xml:space="preserve">Favorevole all’equità: maggiori benefici nei gruppi a più alto bisogno</w:t>
            </w:r>
          </w:p>
        </w:tc>
      </w:tr>
      <w:tr>
        <w:tc>
          <w:tcPr/>
          <w:p>
            <w:pPr>
              <w:pStyle w:val="Compact"/>
              <w:spacing w:after="40" w:before="40"/>
              <w:jc w:val="left"/>
            </w:pPr>
            <w:r>
              <w:rPr>
                <w:rFonts w:ascii="Cambria" w:hAnsi="Cambria" w:cs="Cambria" w:eastAsia="Cambria"/>
                <w:b/>
                <w:bCs/>
                <w:color w:val="1A1A1A"/>
                <w:sz w:val="18"/>
              </w:rPr>
              <w:t xml:space="preserve">Condizione di realizzazione</w:t>
            </w:r>
          </w:p>
        </w:tc>
        <w:tc>
          <w:tcPr/>
          <w:p>
            <w:pPr>
              <w:pStyle w:val="Compact"/>
              <w:spacing w:after="40" w:before="40"/>
              <w:jc w:val="left"/>
            </w:pPr>
            <w:r>
              <w:rPr>
                <w:rFonts w:ascii="Cambria" w:hAnsi="Cambria" w:cs="Cambria" w:eastAsia="Cambria"/>
                <w:color w:val="1A1A1A"/>
                <w:sz w:val="18"/>
              </w:rPr>
              <w:t xml:space="preserve">Allocazione modulata per il bisogno (valli alpine) e per la lingua (tedesco, italiano, ladino)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Strumenti abilitanti</w:t>
            </w:r>
          </w:p>
        </w:tc>
        <w:tc>
          <w:tcPr>
            <w:shd w:val="clear" w:color="auto" w:fill="F4F1EC"/>
          </w:tcPr>
          <w:p>
            <w:pPr>
              <w:pStyle w:val="Compact"/>
              <w:spacing w:after="40" w:before="40"/>
              <w:jc w:val="left"/>
            </w:pPr>
            <w:r>
              <w:rPr>
                <w:rFonts w:ascii="Cambria" w:hAnsi="Cambria" w:cs="Cambria" w:eastAsia="Cambria"/>
                <w:color w:val="1A1A1A"/>
                <w:sz w:val="18"/>
              </w:rPr>
              <w:t xml:space="preserve">Prossimità, armonizzazione fra le due Province, telepsicologia, personale plurilingue, intercettazione del disagio giovanile</w:t>
            </w:r>
          </w:p>
        </w:tc>
      </w:tr>
      <w:tr>
        <w:tc>
          <w:tcPr/>
          <w:p>
            <w:pPr>
              <w:pStyle w:val="Compact"/>
              <w:spacing w:after="40" w:before="40"/>
              <w:jc w:val="left"/>
            </w:pPr>
            <w:r>
              <w:rPr>
                <w:rFonts w:ascii="Cambria" w:hAnsi="Cambria" w:cs="Cambria" w:eastAsia="Cambria"/>
                <w:b/>
                <w:bCs/>
                <w:color w:val="1A1A1A"/>
                <w:sz w:val="18"/>
              </w:rPr>
              <w:t xml:space="preserve">Rischio da prevenire</w:t>
            </w:r>
          </w:p>
        </w:tc>
        <w:tc>
          <w:tcPr/>
          <w:p>
            <w:pPr>
              <w:pStyle w:val="Compact"/>
              <w:spacing w:after="40" w:before="40"/>
              <w:jc w:val="left"/>
            </w:pPr>
            <w:r>
              <w:rPr>
                <w:rFonts w:ascii="Cambria" w:hAnsi="Cambria" w:cs="Cambria" w:eastAsia="Cambria"/>
                <w:color w:val="1A1A1A"/>
                <w:sz w:val="18"/>
              </w:rPr>
              <w:t xml:space="preserve">Iniquità inversa se la strutturazione privilegia i centri urbani o un solo gruppo linguistico</w:t>
            </w:r>
          </w:p>
        </w:tc>
      </w:tr>
    </w:tbl>
    <w:p>
      <w:pPr>
        <w:pStyle w:val="BodyText"/>
      </w:pPr>
      <w:r>
        <w:rPr>
          <w:i/>
          <w:iCs/>
        </w:rPr>
        <w:t xml:space="preserve">Tabella G.2. L</w:t>
      </w:r>
      <w:r>
        <w:rPr>
          <w:b/>
          <w:bCs/>
          <w:i/>
          <w:iCs/>
        </w:rPr>
        <w:t xml:space="preserve">‘******impatto distributivo atteso dell******’</w:t>
      </w:r>
      <w:r>
        <w:rPr>
          <w:i/>
          <w:iCs/>
        </w:rPr>
        <w:t xml:space="preserve">intervento e le sue condizioni.</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w:t>
      </w:r>
      <w:r>
        <w:rPr>
          <w:b/>
          <w:bCs/>
          <w:i/>
          <w:iCs/>
        </w:rPr>
        <w:t xml:space="preserve">’</w:t>
      </w:r>
      <w:r>
        <w:rPr>
          <w:i/>
          <w:iCs/>
        </w:rPr>
        <w:t xml:space="preserve">atto, rapporto di lavoro, governance, tutele etiche e protezione dei dati</w:t>
      </w:r>
    </w:p>
    <w:p>
      <w:pPr>
        <w:pStyle w:val="BodyText"/>
      </w:pPr>
      <w:r>
        <w:t xml:space="preserve">Domini dell’HTA · aspetti giuridici, etici e organizzativi</w:t>
      </w:r>
    </w:p>
    <w:bookmarkEnd w:id="1041"/>
    <w:bookmarkEnd w:id="4329"/>
    <w:bookmarkStart w:id="1078" w:name="X708ccd697f95ccb1ffba5f0a02ced1da0d5c1d1"/>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 Trentino-Alto Adige.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 Trentino-Alto Adige emerge sul piano giuridico: la materia sanitaria è di competenza delle due Province autonome, ciascuna dotata di un proprio Servizio sanitario e di forme di psicologia territoriale già operanti, sicché la condizione abilitante non è l’approvazione di una legge regionale, ma la strutturazione del servizio in un modello pieno e la sua armonizzazione fra i due ordinamenti provinciali, nel rispetto della rispettiva autonomia.</w:t>
      </w:r>
    </w:p>
    <w:bookmarkStart w:id="4330" w:name="h.1-il-profilo-giuridico"/>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1871"/>
      </w:r>
      <w:r>
        <w:rPr>
          <w:rStyle w:val="FootnoteReference"/>
        </w:rPr>
        <w:footnoteReference w:id="1872"/>
      </w:r>
      <w:r>
        <w:rPr>
          <w:rStyle w:val="FootnoteReference"/>
        </w:rPr>
        <w:footnoteReference w:id="1873"/>
      </w:r>
      <w:r>
        <w:rPr>
          <w:rStyle w:val="FootnoteReference"/>
        </w:rPr>
        <w:footnoteReference w:id="1874"/>
      </w:r>
      <w:r>
        <w:rPr>
          <w:rStyle w:val="FootnoteReference"/>
        </w:rPr>
        <w:footnoteReference w:id="1875"/>
      </w:r>
      <w:r>
        <w:rPr>
          <w:rStyle w:val="FootnoteReference"/>
        </w:rPr>
        <w:footnoteReference w:id="1876"/>
      </w:r>
      <w:r>
        <w:rPr>
          <w:rStyle w:val="FootnoteReference"/>
        </w:rPr>
        <w:footnoteReference w:id="1877"/>
      </w:r>
      <w:r>
        <w:rPr>
          <w:rStyle w:val="FootnoteReference"/>
        </w:rPr>
        <w:footnoteReference w:id="1878"/>
      </w:r>
      <w:r>
        <w:rPr>
          <w:rStyle w:val="FootnoteReference"/>
        </w:rPr>
        <w:footnoteReference w:id="1879"/>
      </w:r>
      <w:r>
        <w:rPr>
          <w:rStyle w:val="FootnoteReference"/>
        </w:rPr>
        <w:footnoteReference w:id="1880"/>
      </w:r>
      <w:r>
        <w:rPr>
          <w:rStyle w:val="FootnoteReference"/>
        </w:rPr>
        <w:footnoteReference w:id="1881"/>
      </w:r>
      <w:r>
        <w:rPr>
          <w:rStyle w:val="FootnoteReference"/>
        </w:rPr>
        <w:footnoteReference w:id="1882"/>
      </w:r>
      <w:r>
        <w:rPr>
          <w:rStyle w:val="FootnoteReference"/>
        </w:rPr>
        <w:footnoteReference w:id="1883"/>
      </w:r>
      <w:r>
        <w:rPr>
          <w:rStyle w:val="FootnoteReference"/>
        </w:rPr>
        <w:footnoteReference w:id="1884"/>
      </w:r>
      <w:r>
        <w:rPr>
          <w:rStyle w:val="FootnoteReference"/>
        </w:rPr>
        <w:footnoteReference w:id="1885"/>
      </w:r>
      <w:r>
        <w:rPr>
          <w:rStyle w:val="FootnoteReference"/>
        </w:rPr>
        <w:footnoteReference w:id="1886"/>
      </w:r>
      <w:r>
        <w:t xml:space="preserve"> </w:t>
      </w:r>
      <w:r>
        <w:t xml:space="preserve">Sul piano giuridico, la materia sanitaria è attribuita alle due Province autonome in forza dello statuto speciale, e la sentenza della Corte Costituzionale n. 241 del 2021 — originata dal giudizio sulla legge campana, di cui ha riconosciuto la legittimità — conferma la possibilità di disciplinare il servizio nel rispetto dei principi statali: entro questa cornice ciascuna Provincia ha esercitato il proprio titolo in modo autonomo, il Trentino con la legge provinciale del 2016 di convenzione con studi privati, l’Alto Adige con il proprio Servizio psicologico territoriale.</w:t>
      </w:r>
      <w:r>
        <w:rPr>
          <w:rStyle w:val="FootnoteReference"/>
        </w:rPr>
        <w:footnoteReference w:id="1887"/>
      </w:r>
      <w:r>
        <w:t xml:space="preserve"> </w:t>
      </w:r>
      <w:r>
        <w:t xml:space="preserve">Qui si colloca la specificità del territorio: disponendo già di assetti operanti in entrambe le Province, la decisione giuridica rilevante non è l’approvazione di una norma regionale, ma la strutturazione del servizio in un modello pieno e la sua armonizzazione fra i due ordinamenti.</w:t>
      </w:r>
      <w:r>
        <w:rPr>
          <w:rStyle w:val="FootnoteReference"/>
        </w:rPr>
        <w:footnoteReference w:id="1888"/>
      </w:r>
      <w:r>
        <w:t xml:space="preserve"> </w:t>
      </w:r>
      <w:r>
        <w:t xml:space="preserve">I rapporti di lavoro sono diversi nei due assetti: convenzionale e libero-professionale, con ticket, in Trentino; pubblico, nel Servizio sanitario provinciale, in Alto Adige. L’armonizzazione dovrà comporre tali differenze, anche quanto alla compartecipazione del paziente.</w:t>
      </w:r>
      <w:r>
        <w:rPr>
          <w:rStyle w:val="FootnoteReference"/>
        </w:rPr>
        <w:footnoteReference w:id="1889"/>
      </w:r>
      <w:r>
        <w:t xml:space="preserve"> </w:t>
      </w:r>
      <w:r>
        <w:t xml:space="preserve">Quanto ai livelli essenziali di assistenza, la psicologia delle cure primarie non vi è ancora esplicitamente ricompresa; entrambe le Province finanziano però integralmente la sanità con i nove decimi del gettito trattenuto, senza apporto statale e in avanzo, sicché il finanziamento del modello pieno è agevolmente disponibile entro l’autonomia di ciascuna Provincia.</w:t>
      </w:r>
      <w:r>
        <w:rPr>
          <w:rStyle w:val="FootnoteReference"/>
        </w:rPr>
        <w:footnoteReference w:id="1890"/>
      </w:r>
      <w:r>
        <w:t xml:space="preserve"> </w:t>
      </w:r>
      <w:r>
        <w:t xml:space="preserve">Il servizio si inserisce coerentemente nella cornice degli standard territoriali e delle Case della Comunità,</w:t>
      </w:r>
      <w:r>
        <w:rPr>
          <w:rStyle w:val="FootnoteReference"/>
        </w:rPr>
        <w:footnoteReference w:id="1891"/>
      </w:r>
      <w:r>
        <w:t xml:space="preserve"> </w:t>
      </w:r>
      <w:r>
        <w:t xml:space="preserve">e si rapporta ai Centri di Salute Mentale per integrazione e non per sovrapposizione, precedendoli e alleggerendoli.</w:t>
      </w:r>
      <w:r>
        <w:rPr>
          <w:rStyle w:val="FootnoteReference"/>
        </w:rPr>
        <w:footnoteReference w:id="1892"/>
      </w:r>
      <w:r>
        <w:t xml:space="preserve"> </w:t>
      </w:r>
      <w:r>
        <w:t xml:space="preserve">La tabella seguente riepiloga i profili giuridici.</w:t>
      </w:r>
    </w:p>
    <w:tbl>
      <w:tblPr>
        <w:tblStyle w:val="Table"/>
        <w:tblW w:type="pct" w:w="495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00"/>
        <w:gridCol w:w="634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Profilo giuridico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il Trentino-Alto Adige</w:t>
            </w:r>
          </w:p>
        </w:tc>
      </w:tr>
      <w:tr>
        <w:tc>
          <w:tcPr/>
          <w:p>
            <w:pPr>
              <w:pStyle w:val="Compact"/>
              <w:spacing w:after="40" w:before="40"/>
              <w:jc w:val="left"/>
            </w:pPr>
            <w:r>
              <w:rPr>
                <w:rFonts w:ascii="Cambria" w:hAnsi="Cambria" w:cs="Cambria" w:eastAsia="Cambria"/>
                <w:b/>
                <w:bCs/>
                <w:color w:val="1A1A1A"/>
                <w:sz w:val="18"/>
              </w:rPr>
              <w:t xml:space="preserve">Competenza</w:t>
            </w:r>
          </w:p>
        </w:tc>
        <w:tc>
          <w:tcPr/>
          <w:p>
            <w:pPr>
              <w:pStyle w:val="Compact"/>
              <w:spacing w:after="40" w:before="40"/>
              <w:jc w:val="left"/>
            </w:pPr>
            <w:r>
              <w:rPr>
                <w:rFonts w:ascii="Cambria" w:hAnsi="Cambria" w:cs="Cambria" w:eastAsia="Cambria"/>
                <w:color w:val="1A1A1A"/>
                <w:sz w:val="18"/>
              </w:rPr>
              <w:t xml:space="preserve">Provinciale, in forza dello statuto speciale; due Province autonome con Servizi sanitari distinti; Corte Cost. 241/2021 (legge campana) conferma il titolo a disciplinare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Forma dell’atto</w:t>
            </w:r>
          </w:p>
        </w:tc>
        <w:tc>
          <w:tcPr>
            <w:shd w:val="clear" w:color="auto" w:fill="F4F1EC"/>
          </w:tcPr>
          <w:p>
            <w:pPr>
              <w:pStyle w:val="Compact"/>
              <w:spacing w:after="40" w:before="40"/>
              <w:jc w:val="left"/>
            </w:pPr>
            <w:r>
              <w:rPr>
                <w:rFonts w:ascii="Cambria" w:hAnsi="Cambria" w:cs="Cambria" w:eastAsia="Cambria"/>
                <w:color w:val="1A1A1A"/>
                <w:sz w:val="18"/>
              </w:rPr>
              <w:t xml:space="preserve">Due ordinamenti provinciali: legge provinciale di Trento (2016) di convenzione; Servizio psicologico territoriale dell’Alto Adige; da strutturare e armonizzare in un modello pieno</w:t>
            </w:r>
          </w:p>
        </w:tc>
      </w:tr>
      <w:tr>
        <w:tc>
          <w:tcPr/>
          <w:p>
            <w:pPr>
              <w:pStyle w:val="Compact"/>
              <w:spacing w:after="40" w:before="40"/>
              <w:jc w:val="left"/>
            </w:pPr>
            <w:r>
              <w:rPr>
                <w:rFonts w:ascii="Cambria" w:hAnsi="Cambria" w:cs="Cambria" w:eastAsia="Cambria"/>
                <w:b/>
                <w:bCs/>
                <w:color w:val="1A1A1A"/>
                <w:sz w:val="18"/>
              </w:rPr>
              <w:t xml:space="preserve">Rapporto di lavoro</w:t>
            </w:r>
          </w:p>
        </w:tc>
        <w:tc>
          <w:tcPr/>
          <w:p>
            <w:pPr>
              <w:pStyle w:val="Compact"/>
              <w:spacing w:after="40" w:before="40"/>
              <w:jc w:val="left"/>
            </w:pPr>
            <w:r>
              <w:rPr>
                <w:rFonts w:ascii="Cambria" w:hAnsi="Cambria" w:cs="Cambria" w:eastAsia="Cambria"/>
                <w:color w:val="1A1A1A"/>
                <w:sz w:val="18"/>
              </w:rPr>
              <w:t xml:space="preserve">Trentino: convenzionale libero-professionale, con ticket; Alto Adige: pubblico nel Servizio sanitario provinciale; da armonizzare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Livelli essenziali di assistenza</w:t>
            </w:r>
          </w:p>
        </w:tc>
        <w:tc>
          <w:tcPr>
            <w:shd w:val="clear" w:color="auto" w:fill="F4F1EC"/>
          </w:tcPr>
          <w:p>
            <w:pPr>
              <w:pStyle w:val="Compact"/>
              <w:spacing w:after="40" w:before="40"/>
              <w:jc w:val="left"/>
            </w:pPr>
            <w:r>
              <w:rPr>
                <w:rFonts w:ascii="Cambria" w:hAnsi="Cambria" w:cs="Cambria" w:eastAsia="Cambria"/>
                <w:color w:val="1A1A1A"/>
                <w:sz w:val="18"/>
              </w:rPr>
              <w:t xml:space="preserve">Non ancora ricompresi; autofinanziamento integrale con i 9/10 del gettito, senza apporto statale, in avanzo; copertura agevolmente disponibile</w:t>
            </w:r>
          </w:p>
        </w:tc>
      </w:tr>
      <w:tr>
        <w:tc>
          <w:tcPr/>
          <w:p>
            <w:pPr>
              <w:pStyle w:val="Compact"/>
              <w:spacing w:after="40" w:before="40"/>
              <w:jc w:val="left"/>
            </w:pPr>
            <w:r>
              <w:rPr>
                <w:rFonts w:ascii="Cambria" w:hAnsi="Cambria" w:cs="Cambria" w:eastAsia="Cambria"/>
                <w:b/>
                <w:bCs/>
                <w:color w:val="1A1A1A"/>
                <w:sz w:val="18"/>
              </w:rPr>
              <w:t xml:space="preserve">Cornice territoriale</w:t>
            </w:r>
          </w:p>
        </w:tc>
        <w:tc>
          <w:tcPr/>
          <w:p>
            <w:pPr>
              <w:pStyle w:val="Compact"/>
              <w:spacing w:after="40" w:before="40"/>
              <w:jc w:val="left"/>
            </w:pPr>
            <w:r>
              <w:rPr>
                <w:rFonts w:ascii="Cambria" w:hAnsi="Cambria" w:cs="Cambria" w:eastAsia="Cambria"/>
                <w:color w:val="1A1A1A"/>
                <w:sz w:val="18"/>
              </w:rPr>
              <w:t xml:space="preserve">Decreto Ministeriale 77/2022; inserimento nelle Case della Comunità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con i servizi specialistici</w:t>
            </w:r>
          </w:p>
        </w:tc>
        <w:tc>
          <w:tcPr>
            <w:shd w:val="clear" w:color="auto" w:fill="F4F1EC"/>
          </w:tcPr>
          <w:p>
            <w:pPr>
              <w:pStyle w:val="Compact"/>
              <w:spacing w:after="40" w:before="40"/>
              <w:jc w:val="left"/>
            </w:pPr>
            <w:r>
              <w:rPr>
                <w:rFonts w:ascii="Cambria" w:hAnsi="Cambria" w:cs="Cambria" w:eastAsia="Cambria"/>
                <w:color w:val="1A1A1A"/>
                <w:sz w:val="18"/>
              </w:rPr>
              <w:t xml:space="preserve">Integrazione con i Centri di Salute Mentale, che il servizio precede e alleggerisce</w:t>
            </w:r>
          </w:p>
        </w:tc>
      </w:tr>
    </w:tbl>
    <w:p>
      <w:pPr>
        <w:pStyle w:val="BodyText"/>
      </w:pPr>
      <w:r>
        <w:rPr>
          <w:i/>
          <w:iCs/>
        </w:rPr>
        <w:t xml:space="preserve">Tabella H.1. I profili giuridici del servizio nel Trentino-Alto Adige.</w:t>
      </w:r>
    </w:p>
    <w:bookmarkEnd w:id="4330"/>
    <w:bookmarkStart w:id="4331" w:name="X49aaf48910e6c5af74d47a8807cf16f72bb807f"/>
    <w:p>
      <w:pPr>
        <w:pStyle w:val="Heading3"/>
      </w:pPr>
      <w:r>
        <w:t xml:space="preserve">H.2 Il profilo organizzativo e la governance</w:t>
      </w:r>
    </w:p>
    <w:p>
      <w:pPr>
        <w:pStyle w:val="FirstParagraph"/>
      </w:pPr>
      <w:r>
        <w:t xml:space="preserve">Sul piano organizzativo, la strutturazione del servizio nel Trentino-Alto Adige si misura con la presenza di due Servizi sanitari provinciali distinti e pienamente autonomi — l’APSS del Trentino e l’Azienda Sanitaria dell’Alto Adige (Sabes) — articolati in comprensori e distretti, su un territorio montano e plurilingue, sicché la sfida centrale è garantire la strutturazione in un modello pieno e l’armonizzazione fra i due sistemi, nel rispetto dell’autonomia di ciascuna Provincia.</w:t>
      </w:r>
      <w:r>
        <w:rPr>
          <w:rStyle w:val="FootnoteReference"/>
        </w:rPr>
        <w:footnoteReference w:id="1893"/>
      </w:r>
      <w:r>
        <w:t xml:space="preserve"> </w:t>
      </w:r>
      <w:r>
        <w:t xml:space="preserve">Il consolidamento poggia su una sede di coordinamento fra le due Province, l’APSS e l’Azienda Sanitaria dell’Alto Adige, i due Assessorati alla salute, l’Ordine professionale, le rappresentanze della medicina generale e della pediatria di libera scelta e gli atenei dell’Università di Trento e della Libera Università di Bolzano, cui spetta definire indirizzi condivisi e impostare un monitoraggio comparabile fra i due sistemi, valorizzando l’esperienza del modello trentino e del Servizio dell’Alto Adige.</w:t>
      </w:r>
      <w:r>
        <w:rPr>
          <w:rStyle w:val="FootnoteReference"/>
        </w:rPr>
        <w:footnoteReference w:id="1894"/>
      </w:r>
      <w:r>
        <w:t xml:space="preserve"> </w:t>
      </w:r>
      <w:r>
        <w:t xml:space="preserve">In questo quadro l’Ordine degli Psicologi della Regione Trentino-Alto Adige concorre alla definizione dei requisiti, alla formazione, comprese le competenze linguistiche, e alla vigilanza deontologica.</w:t>
      </w:r>
      <w:r>
        <w:rPr>
          <w:rStyle w:val="FootnoteReference"/>
        </w:rPr>
        <w:footnoteReference w:id="1895"/>
      </w:r>
      <w:r>
        <w:t xml:space="preserve"> </w:t>
      </w:r>
      <w:r>
        <w:t xml:space="preserve">La tabella seguente sintetizza l’assetto organizzativo e di governance.</w:t>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66"/>
        <w:gridCol w:w="626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organizzativo</w:t>
            </w:r>
          </w:p>
        </w:tc>
        <w:tc>
          <w:tcPr>
            <w:shd w:val="clear" w:color="auto" w:fill="16264B"/>
          </w:tcPr>
          <w:p>
            <w:pPr>
              <w:pStyle w:val="Compact"/>
              <w:spacing w:after="40" w:before="40"/>
              <w:jc w:val="left"/>
            </w:pPr>
            <w:r>
              <w:rPr>
                <w:rFonts w:ascii="Cambria" w:hAnsi="Cambria" w:cs="Cambria" w:eastAsia="Cambria"/>
                <w:b/>
                <w:bCs/>
                <w:color w:val="FFFFFF"/>
                <w:sz w:val="18"/>
              </w:rPr>
              <w:t xml:space="preserve">Assetto per il Trentino-Alto Adige</w:t>
            </w:r>
          </w:p>
        </w:tc>
      </w:tr>
      <w:tr>
        <w:tc>
          <w:tcPr/>
          <w:p>
            <w:pPr>
              <w:pStyle w:val="Compact"/>
              <w:spacing w:after="40" w:before="40"/>
              <w:jc w:val="left"/>
            </w:pPr>
            <w:r>
              <w:rPr>
                <w:rFonts w:ascii="Cambria" w:hAnsi="Cambria" w:cs="Cambria" w:eastAsia="Cambria"/>
                <w:b/>
                <w:bCs/>
                <w:color w:val="1A1A1A"/>
                <w:sz w:val="18"/>
              </w:rPr>
              <w:t xml:space="preserve">Articolazione del sistema</w:t>
            </w:r>
          </w:p>
        </w:tc>
        <w:tc>
          <w:tcPr/>
          <w:p>
            <w:pPr>
              <w:pStyle w:val="Compact"/>
              <w:spacing w:after="40" w:before="40"/>
              <w:jc w:val="left"/>
            </w:pPr>
            <w:r>
              <w:rPr>
                <w:rFonts w:ascii="Cambria" w:hAnsi="Cambria" w:cs="Cambria" w:eastAsia="Cambria"/>
                <w:color w:val="1A1A1A"/>
                <w:sz w:val="18"/>
              </w:rPr>
              <w:t xml:space="preserve">Due Servizi sanitari provinciali autonomi: APSS (Trentino) e Azienda Sanitaria dell’Alto Adige - Sabes; articolati in comprensori e distretti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Coordinamento</w:t>
            </w:r>
          </w:p>
        </w:tc>
        <w:tc>
          <w:tcPr>
            <w:shd w:val="clear" w:color="auto" w:fill="F4F1EC"/>
          </w:tcPr>
          <w:p>
            <w:pPr>
              <w:pStyle w:val="Compact"/>
              <w:spacing w:after="40" w:before="40"/>
              <w:jc w:val="left"/>
            </w:pPr>
            <w:r>
              <w:rPr>
                <w:rFonts w:ascii="Cambria" w:hAnsi="Cambria" w:cs="Cambria" w:eastAsia="Cambria"/>
                <w:color w:val="1A1A1A"/>
                <w:sz w:val="18"/>
              </w:rPr>
              <w:t xml:space="preserve">Sede di coordinamento fra le due Province autonome e i due Assessorati alla salute; nel rispetto dell’autonomia di ciascuna Provincia</w:t>
            </w:r>
          </w:p>
        </w:tc>
      </w:tr>
      <w:tr>
        <w:tc>
          <w:tcPr/>
          <w:p>
            <w:pPr>
              <w:pStyle w:val="Compact"/>
              <w:spacing w:after="40" w:before="40"/>
              <w:jc w:val="left"/>
            </w:pPr>
            <w:r>
              <w:rPr>
                <w:rFonts w:ascii="Cambria" w:hAnsi="Cambria" w:cs="Cambria" w:eastAsia="Cambria"/>
                <w:b/>
                <w:bCs/>
                <w:color w:val="1A1A1A"/>
                <w:sz w:val="18"/>
              </w:rPr>
              <w:t xml:space="preserve">Sfida organizzativa</w:t>
            </w:r>
          </w:p>
        </w:tc>
        <w:tc>
          <w:tcPr/>
          <w:p>
            <w:pPr>
              <w:pStyle w:val="Compact"/>
              <w:spacing w:after="40" w:before="40"/>
              <w:jc w:val="left"/>
            </w:pPr>
            <w:r>
              <w:rPr>
                <w:rFonts w:ascii="Cambria" w:hAnsi="Cambria" w:cs="Cambria" w:eastAsia="Cambria"/>
                <w:color w:val="1A1A1A"/>
                <w:sz w:val="18"/>
              </w:rPr>
              <w:t xml:space="preserve">Strutturazione in un modello pieno e armonizzazione fra i due sistemi provinciali, su territorio montano e plurilingue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Regia della strutturazione</w:t>
            </w:r>
          </w:p>
        </w:tc>
        <w:tc>
          <w:tcPr>
            <w:shd w:val="clear" w:color="auto" w:fill="F4F1EC"/>
          </w:tcPr>
          <w:p>
            <w:pPr>
              <w:pStyle w:val="Compact"/>
              <w:spacing w:after="40" w:before="40"/>
              <w:jc w:val="left"/>
            </w:pPr>
            <w:r>
              <w:rPr>
                <w:rFonts w:ascii="Cambria" w:hAnsi="Cambria" w:cs="Cambria" w:eastAsia="Cambria"/>
                <w:color w:val="1A1A1A"/>
                <w:sz w:val="18"/>
              </w:rPr>
              <w:t xml:space="preserve">Indirizzi condivisi e monitoraggio comparabile fra i due sistemi, valorizzando gli assetti già operanti</w:t>
            </w:r>
          </w:p>
        </w:tc>
      </w:tr>
      <w:tr>
        <w:tc>
          <w:tcPr/>
          <w:p>
            <w:pPr>
              <w:pStyle w:val="Compact"/>
              <w:spacing w:after="40" w:before="40"/>
              <w:jc w:val="left"/>
            </w:pPr>
            <w:r>
              <w:rPr>
                <w:rFonts w:ascii="Cambria" w:hAnsi="Cambria" w:cs="Cambria" w:eastAsia="Cambria"/>
                <w:b/>
                <w:bCs/>
                <w:color w:val="1A1A1A"/>
                <w:sz w:val="18"/>
              </w:rPr>
              <w:t xml:space="preserve">Soggetti coinvolti</w:t>
            </w:r>
          </w:p>
        </w:tc>
        <w:tc>
          <w:tcPr/>
          <w:p>
            <w:pPr>
              <w:pStyle w:val="Compact"/>
              <w:spacing w:after="40" w:before="40"/>
              <w:jc w:val="left"/>
            </w:pPr>
            <w:r>
              <w:rPr>
                <w:rFonts w:ascii="Cambria" w:hAnsi="Cambria" w:cs="Cambria" w:eastAsia="Cambria"/>
                <w:color w:val="1A1A1A"/>
                <w:sz w:val="18"/>
              </w:rPr>
              <w:t xml:space="preserve">Due Province, APSS e Sabes, Ordine professionale, medicina generale e pediatria, atenei di Trento e Bolzano</w:t>
            </w:r>
          </w:p>
        </w:tc>
      </w:tr>
    </w:tbl>
    <w:p>
      <w:pPr>
        <w:pStyle w:val="BodyText"/>
      </w:pPr>
      <w:r>
        <w:rPr>
          <w:i/>
          <w:iCs/>
        </w:rPr>
        <w:t xml:space="preserve">Tabella H.2. L</w:t>
      </w:r>
      <w:r>
        <w:rPr>
          <w:b/>
          <w:bCs/>
          <w:i/>
          <w:iCs/>
        </w:rPr>
        <w:t xml:space="preserve">‘******assetto organizzativo e la governance dell******’</w:t>
      </w:r>
      <w:r>
        <w:rPr>
          <w:i/>
          <w:iCs/>
        </w:rPr>
        <w:t xml:space="preserve">istituzione.</w:t>
      </w:r>
    </w:p>
    <w:bookmarkEnd w:id="4331"/>
    <w:bookmarkStart w:id="4332" w:name="h.3-il-profilo-etico"/>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1896"/>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1897"/>
      </w:r>
      <w:r>
        <w:t xml:space="preserve"> </w:t>
      </w:r>
      <w:r>
        <w:t xml:space="preserve">Gli strumenti di intelligenza artificiale sono concepiti come ausilio del clinico, in conformità al quadro europeo e ai requisiti sui dispositivi medici,</w:t>
      </w:r>
      <w:r>
        <w:rPr>
          <w:rStyle w:val="FootnoteReference"/>
        </w:rPr>
        <w:footnoteReference w:id="1898"/>
      </w:r>
      <w:r>
        <w:t xml:space="preserve"> </w:t>
      </w:r>
      <w:r>
        <w:t xml:space="preserve">il trattamento dei dati è conforme alla normativa e ispirato alla minimizzazione,</w:t>
      </w:r>
      <w:r>
        <w:rPr>
          <w:rStyle w:val="FootnoteReference"/>
        </w:rPr>
        <w:footnoteReference w:id="1899"/>
      </w:r>
      <w:r>
        <w:t xml:space="preserve"> </w:t>
      </w:r>
      <w:r>
        <w:t xml:space="preserve">e la responsabilità delle decisioni cliniche resta interamente in capo al professionista, cui gli strumenti forniscono un ausilio non vincolante.</w:t>
      </w:r>
      <w:r>
        <w:rPr>
          <w:rStyle w:val="FootnoteReference"/>
        </w:rPr>
        <w:footnoteReference w:id="1900"/>
      </w:r>
    </w:p>
    <w:bookmarkEnd w:id="4332"/>
    <w:bookmarkStart w:id="4333" w:name="h.4-sintesi-dei-profili"/>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il Trentino-Alto Adige, l’approvazione di una legge regionale, ma la strutturazione del servizio in un modello pieno e la sua armonizzazione fra i due ordinamenti provinciali, agevolata dalla piena autonomia finanziaria e dall’avanzo di bilancio delle due Province. È questo il passaggio da cui dipende la piena operatività del servizio.</w:t>
      </w:r>
      <w:r>
        <w:rPr>
          <w:rStyle w:val="FootnoteReference"/>
        </w:rPr>
        <w:footnoteReference w:id="1901"/>
      </w:r>
      <w:r>
        <w:t xml:space="preserve"> </w:t>
      </w:r>
      <w:r>
        <w:t xml:space="preserve">Definiti i profili, la parte che segue affronta l’attuazione, la fattibilità e la sostenibilità.</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ex novo, le fasi di attuazione, i rischi e le mitigazioni</w:t>
      </w:r>
    </w:p>
    <w:p>
      <w:pPr>
        <w:pStyle w:val="BodyText"/>
      </w:pPr>
      <w:r>
        <w:t xml:space="preserve">Five Case Model · la realizzabilità della decisione</w:t>
      </w:r>
    </w:p>
    <w:bookmarkEnd w:id="4333"/>
    <w:bookmarkEnd w:id="1078"/>
    <w:bookmarkStart w:id="1115" w:name="X0f4b74f5899c99f87a7c53a022fc6dc9a754915"/>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 Trentino-Alto Adige. La parte espone i cinque casi (capitolo I.1); definisce il dimensionamento a partire dagli assetti esistenti e le fasi di attuazione (I.2); tratta il reclutamento, la formazione e il cronoprogramma (I.3); analizza la sostenibilità finanziaria e organizzativa (I.4); e individua i rischi e le mitigazioni (I.5). Il tratto distintivo del Trentino-Alto Adige è che l’attuazione muove da assetti già operanti in entrambe le Province autonome: non l’istituzione, ma la strutturazione in un modello pieno e l’armonizzazione fra i due ordinamenti provinciali, agevolata dalla piena autonomia finanziaria e dall’avanzo di bilancio delle due Province.</w:t>
      </w:r>
    </w:p>
    <w:bookmarkStart w:id="1100" w:name="i.1-i-cinque-casi-della-decisione"/>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1902"/>
      </w:r>
      <w:r>
        <w:rPr>
          <w:rStyle w:val="FootnoteReference"/>
        </w:rPr>
        <w:footnoteReference w:id="1903"/>
      </w:r>
      <w:r>
        <w:rPr>
          <w:rStyle w:val="FootnoteReference"/>
        </w:rPr>
        <w:footnoteReference w:id="1904"/>
      </w:r>
      <w:r>
        <w:rPr>
          <w:rStyle w:val="FootnoteReference"/>
        </w:rPr>
        <w:footnoteReference w:id="1905"/>
      </w:r>
      <w:r>
        <w:rPr>
          <w:rStyle w:val="FootnoteReference"/>
        </w:rPr>
        <w:footnoteReference w:id="1906"/>
      </w:r>
      <w:r>
        <w:rPr>
          <w:rStyle w:val="FootnoteReference"/>
        </w:rPr>
        <w:footnoteReference w:id="1907"/>
      </w:r>
      <w:r>
        <w:rPr>
          <w:rStyle w:val="FootnoteReference"/>
        </w:rPr>
        <w:footnoteReference w:id="1908"/>
      </w:r>
      <w:r>
        <w:rPr>
          <w:rStyle w:val="FootnoteReference"/>
        </w:rPr>
        <w:footnoteReference w:id="1909"/>
      </w:r>
      <w:r>
        <w:rPr>
          <w:rStyle w:val="FootnoteReference"/>
        </w:rPr>
        <w:footnoteReference w:id="1910"/>
      </w:r>
      <w:r>
        <w:rPr>
          <w:rStyle w:val="FootnoteReference"/>
        </w:rPr>
        <w:footnoteReference w:id="1911"/>
      </w:r>
      <w:r>
        <w:rPr>
          <w:rStyle w:val="FootnoteReference"/>
        </w:rPr>
        <w:footnoteReference w:id="1912"/>
      </w:r>
      <w:r>
        <w:rPr>
          <w:rStyle w:val="FootnoteReference"/>
        </w:rPr>
        <w:footnoteReference w:id="1913"/>
      </w:r>
      <w:r>
        <w:rPr>
          <w:rStyle w:val="FootnoteReference"/>
        </w:rPr>
        <w:footnoteReference w:id="1914"/>
      </w:r>
      <w:r>
        <w:rPr>
          <w:rStyle w:val="FootnoteReference"/>
        </w:rPr>
        <w:footnoteReference w:id="1915"/>
      </w:r>
      <w:r>
        <w:rPr>
          <w:rStyle w:val="FootnoteReference"/>
        </w:rPr>
        <w:footnoteReference w:id="1916"/>
      </w:r>
      <w:r>
        <w:rPr>
          <w:rStyle w:val="FootnoteReference"/>
        </w:rPr>
        <w:footnoteReference w:id="1917"/>
      </w:r>
      <w:r>
        <w:t xml:space="preserve"> </w:t>
      </w:r>
      <w:r>
        <w:t xml:space="preserve">Il caso strategico è solido: la strutturazione del servizio è coerente con gli standard territoriali, con le Case della Comunità e con la programmazione provinciale di salute mentale, e nel Trentino-Alto Adige porta a un modello pieno gli assetti che le due Province già esercitano.</w:t>
      </w:r>
      <w:r>
        <w:rPr>
          <w:rStyle w:val="FootnoteReference"/>
        </w:rPr>
        <w:footnoteReference w:id="1918"/>
      </w:r>
      <w:r>
        <w:t xml:space="preserve"> </w:t>
      </w:r>
      <w:r>
        <w:t xml:space="preserve">Il caso economico rinvia ai risultati già esposti, nel quadro della distinzione fra un caso finanziario di disavanzo modesto, sostenibile a fronte dell’avanzo, e un caso sociale fortemente positivo.</w:t>
      </w:r>
      <w:r>
        <w:rPr>
          <w:rStyle w:val="FootnoteReference"/>
        </w:rPr>
        <w:footnoteReference w:id="1919"/>
      </w:r>
      <w:r>
        <w:t xml:space="preserve"> </w:t>
      </w:r>
      <w:r>
        <w:t xml:space="preserve">Il caso commerciale si avvale degli assetti già operanti e di un bacino professionale alimentato dagli atenei di Trento e Bolzano, con psicologi qualificati anche nelle competenze linguistiche in tedesco, italiano e ladino.</w:t>
      </w:r>
      <w:r>
        <w:rPr>
          <w:rStyle w:val="FootnoteReference"/>
        </w:rPr>
        <w:footnoteReference w:id="1920"/>
      </w:r>
      <w:r>
        <w:t xml:space="preserve"> </w:t>
      </w:r>
      <w:r>
        <w:t xml:space="preserve">Il caso finanziario presenta un costo contenuto, pari allo 0,3–0,5% della spesa sanitaria, agevolmente disponibile entro l’autonomia di ciascuna Provincia, che finanzia integralmente la sanità con i nove decimi del gettito trattenuto e opera in avanzo.</w:t>
      </w:r>
      <w:r>
        <w:rPr>
          <w:rStyle w:val="FootnoteReference"/>
        </w:rPr>
        <w:footnoteReference w:id="1921"/>
      </w:r>
      <w:r>
        <w:t xml:space="preserve"> </w:t>
      </w:r>
      <w:r>
        <w:t xml:space="preserve">Il caso gestionale dipende da una sede di coordinamento fra le due Province autonome che raccordi l’APSS e l’Azienda Sanitaria dell’Alto Adige (Sabes), nel rispetto della rispettiva autonomia.</w:t>
      </w:r>
      <w:r>
        <w:rPr>
          <w:rStyle w:val="FootnoteReference"/>
        </w:rPr>
        <w:footnoteReference w:id="1922"/>
      </w:r>
      <w:r>
        <w:t xml:space="preserve"> </w:t>
      </w:r>
      <w:r>
        <w:t xml:space="preserve">La tabella seguente riepiloga i cinque casi.</w:t>
      </w:r>
    </w:p>
    <w:tbl>
      <w:tblPr>
        <w:tblStyle w:val="Table"/>
        <w:tblW w:type="pct" w:w="495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32"/>
        <w:gridCol w:w="640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Caso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il Trentino-Alto Adige</w:t>
            </w:r>
          </w:p>
        </w:tc>
      </w:tr>
      <w:tr>
        <w:tc>
          <w:tcPr/>
          <w:p>
            <w:pPr>
              <w:pStyle w:val="Compact"/>
              <w:spacing w:after="40" w:before="40"/>
              <w:jc w:val="left"/>
            </w:pPr>
            <w:r>
              <w:rPr>
                <w:rFonts w:ascii="Cambria" w:hAnsi="Cambria" w:cs="Cambria" w:eastAsia="Cambria"/>
                <w:b/>
                <w:bCs/>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Coerenza con DM 77/2022, Case della Comunità e programmazione salute mentale; strutturazione in un modello pieno degli assetti già operanti nelle due Province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Rapporto beneficio-costo 4,1–5,5 a uno; dominanza per paziente; caso sociale fortemente positivo</w:t>
            </w:r>
          </w:p>
        </w:tc>
      </w:tr>
      <w:tr>
        <w:tc>
          <w:tcPr/>
          <w:p>
            <w:pPr>
              <w:pStyle w:val="Compact"/>
              <w:spacing w:after="40" w:before="40"/>
              <w:jc w:val="left"/>
            </w:pPr>
            <w:r>
              <w:rPr>
                <w:rFonts w:ascii="Cambria" w:hAnsi="Cambria" w:cs="Cambria" w:eastAsia="Cambria"/>
                <w:b/>
                <w:bCs/>
                <w:color w:val="1A1A1A"/>
                <w:sz w:val="18"/>
              </w:rPr>
              <w:t xml:space="preserve">Commerciale</w:t>
            </w:r>
          </w:p>
        </w:tc>
        <w:tc>
          <w:tcPr/>
          <w:p>
            <w:pPr>
              <w:pStyle w:val="Compact"/>
              <w:spacing w:after="40" w:before="40"/>
              <w:jc w:val="left"/>
            </w:pPr>
            <w:r>
              <w:rPr>
                <w:rFonts w:ascii="Cambria" w:hAnsi="Cambria" w:cs="Cambria" w:eastAsia="Cambria"/>
                <w:color w:val="1A1A1A"/>
                <w:sz w:val="18"/>
              </w:rPr>
              <w:t xml:space="preserve">Assetti già operanti; bacino dagli atenei di Trento e Bolzano; psicologi con competenze linguistiche (tedesco, italiano, ladino)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Finanziario</w:t>
            </w:r>
          </w:p>
        </w:tc>
        <w:tc>
          <w:tcPr>
            <w:shd w:val="clear" w:color="auto" w:fill="F4F1EC"/>
          </w:tcPr>
          <w:p>
            <w:pPr>
              <w:pStyle w:val="Compact"/>
              <w:spacing w:after="40" w:before="40"/>
              <w:jc w:val="left"/>
            </w:pPr>
            <w:r>
              <w:rPr>
                <w:rFonts w:ascii="Cambria" w:hAnsi="Cambria" w:cs="Cambria" w:eastAsia="Cambria"/>
                <w:color w:val="1A1A1A"/>
                <w:sz w:val="18"/>
              </w:rPr>
              <w:t xml:space="preserve">Costo 0,3–0,5% della spesa sanitaria; autofinanziamento integrale con i 9/10 del gettito, senza apporto statale, in avanzo; copertura agevolmente disponibile</w:t>
            </w:r>
          </w:p>
        </w:tc>
      </w:tr>
      <w:tr>
        <w:tc>
          <w:tcPr/>
          <w:p>
            <w:pPr>
              <w:pStyle w:val="Compact"/>
              <w:spacing w:after="40" w:before="40"/>
              <w:jc w:val="left"/>
            </w:pPr>
            <w:r>
              <w:rPr>
                <w:rFonts w:ascii="Cambria" w:hAnsi="Cambria" w:cs="Cambria" w:eastAsia="Cambria"/>
                <w:b/>
                <w:bCs/>
                <w:color w:val="1A1A1A"/>
                <w:sz w:val="18"/>
              </w:rPr>
              <w:t xml:space="preserve">Gestionale</w:t>
            </w:r>
          </w:p>
        </w:tc>
        <w:tc>
          <w:tcPr/>
          <w:p>
            <w:pPr>
              <w:pStyle w:val="Compact"/>
              <w:spacing w:after="40" w:before="40"/>
              <w:jc w:val="left"/>
            </w:pPr>
            <w:r>
              <w:rPr>
                <w:rFonts w:ascii="Cambria" w:hAnsi="Cambria" w:cs="Cambria" w:eastAsia="Cambria"/>
                <w:color w:val="1A1A1A"/>
                <w:sz w:val="18"/>
              </w:rPr>
              <w:t xml:space="preserve">Sede di coordinamento fra le due Province autonome (APSS e Sabes), nel rispetto dell’autonomia di ciascuna</w:t>
            </w:r>
          </w:p>
        </w:tc>
      </w:tr>
    </w:tbl>
    <w:p>
      <w:pPr>
        <w:pStyle w:val="BodyText"/>
      </w:pPr>
      <w:r>
        <w:rPr>
          <w:i/>
          <w:iCs/>
        </w:rPr>
        <w:t xml:space="preserve">Tabella I.1. I cinque casi della decisione di investimento pubblico.</w:t>
      </w:r>
    </w:p>
    <w:bookmarkEnd w:id="1100"/>
    <w:bookmarkStart w:id="1103" w:name="Xb69844a48b8470f6e3deb0870770f36eb97a5aa"/>
    <w:p>
      <w:pPr>
        <w:pStyle w:val="Heading3"/>
      </w:pPr>
      <w:r>
        <w:t xml:space="preserve">I.2 Il dimensionamento dal nucleo di avvio e le fasi di attuazione</w:t>
      </w:r>
    </w:p>
    <w:p>
      <w:pPr>
        <w:pStyle w:val="FirstParagraph"/>
      </w:pPr>
      <w:r>
        <w:t xml:space="preserve">A differenza del Lazio, che dimensiona il servizio da zero, il Trentino-Alto Adige muove dagli assetti già operanti nelle due Province e li struttura verso un fabbisogno a regime dell’ordine di 240 psicologi nello scenario espansivo; la strutturazione procede per gradi attraverso gli scenari conservativo, di base ed espansivo.</w:t>
      </w:r>
      <w:r>
        <w:rPr>
          <w:rStyle w:val="FootnoteReference"/>
        </w:rPr>
        <w:footnoteReference w:id="1923"/>
      </w:r>
      <w:r>
        <w:t xml:space="preserve"> </w:t>
      </w:r>
      <w:r>
        <w:t xml:space="preserve">L’attuazione si articola perciò in tre fasi: una fase di strutturazione, con la definizione del modello pieno a partire dagli assetti esistenti; una fase di armonizzazione, nella quale i due ordinamenti provinciali vengono progressivamente allineati; e una fase di regime, nella quale il servizio raggiunge il dimensionamento adeguato. La progressione differenziata fra i comprensori delle due Province coincide con l’esperimento a cunei progressivi descritto nella Parte F.</w:t>
      </w:r>
      <w:r>
        <w:rPr>
          <w:rStyle w:val="FootnoteReference"/>
        </w:rPr>
        <w:footnoteReference w:id="1924"/>
      </w:r>
      <w:r>
        <w:t xml:space="preserve"> </w:t>
      </w:r>
      <w:r>
        <w:t xml:space="preserve">La tabella seguente riepiloga le fasi.</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96"/>
        <w:gridCol w:w="3679"/>
        <w:gridCol w:w="261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Dimensionamento indicativo</w:t>
            </w:r>
          </w:p>
        </w:tc>
      </w:tr>
      <w:tr>
        <w:tc>
          <w:tcPr/>
          <w:p>
            <w:pPr>
              <w:pStyle w:val="Compact"/>
              <w:spacing w:after="40" w:before="40"/>
              <w:jc w:val="left"/>
            </w:pPr>
            <w:r>
              <w:rPr>
                <w:rFonts w:ascii="Cambria" w:hAnsi="Cambria" w:cs="Cambria" w:eastAsia="Cambria"/>
                <w:b/>
                <w:bCs/>
                <w:color w:val="1A1A1A"/>
                <w:sz w:val="18"/>
              </w:rPr>
              <w:t xml:space="preserve">Strutturazione</w:t>
            </w:r>
          </w:p>
        </w:tc>
        <w:tc>
          <w:tcPr/>
          <w:p>
            <w:pPr>
              <w:pStyle w:val="Compact"/>
              <w:spacing w:after="40" w:before="40"/>
              <w:jc w:val="left"/>
            </w:pPr>
            <w:r>
              <w:rPr>
                <w:rFonts w:ascii="Cambria" w:hAnsi="Cambria" w:cs="Cambria" w:eastAsia="Cambria"/>
                <w:color w:val="1A1A1A"/>
                <w:sz w:val="18"/>
              </w:rPr>
              <w:t xml:space="preserve">Definizione del modello pieno dagli assetti esistenti</w:t>
            </w:r>
          </w:p>
        </w:tc>
        <w:tc>
          <w:tcPr/>
          <w:p>
            <w:pPr>
              <w:pStyle w:val="Compact"/>
              <w:spacing w:after="40" w:before="40"/>
              <w:jc w:val="left"/>
            </w:pPr>
            <w:r>
              <w:rPr>
                <w:rFonts w:ascii="Cambria" w:hAnsi="Cambria" w:cs="Cambria" w:eastAsia="Cambria"/>
                <w:color w:val="1A1A1A"/>
                <w:sz w:val="18"/>
              </w:rPr>
              <w:t xml:space="preserve">Assetti già operanti nelle due Province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Armonizzazione</w:t>
            </w:r>
          </w:p>
        </w:tc>
        <w:tc>
          <w:tcPr>
            <w:shd w:val="clear" w:color="auto" w:fill="F4F1EC"/>
          </w:tcPr>
          <w:p>
            <w:pPr>
              <w:pStyle w:val="Compact"/>
              <w:spacing w:after="40" w:before="40"/>
              <w:jc w:val="left"/>
            </w:pPr>
            <w:r>
              <w:rPr>
                <w:rFonts w:ascii="Cambria" w:hAnsi="Cambria" w:cs="Cambria" w:eastAsia="Cambria"/>
                <w:color w:val="1A1A1A"/>
                <w:sz w:val="18"/>
              </w:rPr>
              <w:t xml:space="preserve">Allineamento progressivo dei due ordinamenti provinciali</w:t>
            </w:r>
          </w:p>
        </w:tc>
        <w:tc>
          <w:tcPr>
            <w:shd w:val="clear" w:color="auto" w:fill="F4F1EC"/>
          </w:tcPr>
          <w:p>
            <w:pPr>
              <w:pStyle w:val="Compact"/>
              <w:spacing w:after="40" w:before="40"/>
              <w:jc w:val="left"/>
            </w:pPr>
            <w:r>
              <w:rPr>
                <w:rFonts w:ascii="Cambria" w:hAnsi="Cambria" w:cs="Cambria" w:eastAsia="Cambria"/>
                <w:color w:val="1A1A1A"/>
                <w:sz w:val="18"/>
              </w:rPr>
              <w:t xml:space="preserve">verso ~ 120–180 psicologi</w:t>
            </w:r>
          </w:p>
        </w:tc>
      </w:tr>
      <w:tr>
        <w:tc>
          <w:tcPr/>
          <w:p>
            <w:pPr>
              <w:pStyle w:val="Compact"/>
              <w:spacing w:after="40" w:before="40"/>
              <w:jc w:val="left"/>
            </w:pPr>
            <w:r>
              <w:rPr>
                <w:rFonts w:ascii="Cambria" w:hAnsi="Cambria" w:cs="Cambria" w:eastAsia="Cambria"/>
                <w:b/>
                <w:bCs/>
                <w:color w:val="1A1A1A"/>
                <w:sz w:val="18"/>
              </w:rPr>
              <w:t xml:space="preserve">Regime</w:t>
            </w:r>
          </w:p>
        </w:tc>
        <w:tc>
          <w:tcPr/>
          <w:p>
            <w:pPr>
              <w:pStyle w:val="Compact"/>
              <w:spacing w:after="40" w:before="40"/>
              <w:jc w:val="left"/>
            </w:pPr>
            <w:r>
              <w:rPr>
                <w:rFonts w:ascii="Cambria" w:hAnsi="Cambria" w:cs="Cambria" w:eastAsia="Cambria"/>
                <w:color w:val="1A1A1A"/>
                <w:sz w:val="18"/>
              </w:rPr>
              <w:t xml:space="preserve">Dimensionamento adeguato al fabbisogno</w:t>
            </w:r>
          </w:p>
        </w:tc>
        <w:tc>
          <w:tcPr/>
          <w:p>
            <w:pPr>
              <w:pStyle w:val="Compact"/>
              <w:spacing w:after="40" w:before="40"/>
              <w:jc w:val="left"/>
            </w:pPr>
            <w:r>
              <w:rPr>
                <w:rFonts w:ascii="Cambria" w:hAnsi="Cambria" w:cs="Cambria" w:eastAsia="Cambria"/>
                <w:color w:val="1A1A1A"/>
                <w:sz w:val="18"/>
              </w:rPr>
              <w:t xml:space="preserve">fino a ~ 240 psicologi</w:t>
            </w:r>
          </w:p>
        </w:tc>
      </w:tr>
    </w:tbl>
    <w:p>
      <w:pPr>
        <w:pStyle w:val="BodyText"/>
      </w:pPr>
      <w:r>
        <w:rPr>
          <w:i/>
          <w:iCs/>
        </w:rPr>
        <w:t xml:space="preserve">Tabella I.2. Le fasi di attuazione e il dimensionamento progressivo.</w:t>
      </w:r>
    </w:p>
    <w:bookmarkEnd w:id="1103"/>
    <w:bookmarkStart w:id="1106" w:name="Xa1db9d59b5396d44e8c6a7f9a0deed37dffc2a8"/>
    <w:p>
      <w:pPr>
        <w:pStyle w:val="Heading3"/>
      </w:pPr>
      <w:r>
        <w:t xml:space="preserve">I.3 Reclutamento, formazione e cronoprogramma</w:t>
      </w:r>
    </w:p>
    <w:p>
      <w:pPr>
        <w:pStyle w:val="FirstParagraph"/>
      </w:pPr>
      <w:r>
        <w:t xml:space="preserve">La strutturazione richiede il reclutamento e la formazione dedicata degli psicologi, secondo il programma a quattro livelli; il bacino professionale e gli atenei di Trento e Bolzano costituiscono una base favorevole, e la formazione specialistica assicura l’omogeneità delle competenze, con particolare attenzione al disagio giovanile e alle competenze linguistiche in tedesco, italiano e ladino.</w:t>
      </w:r>
      <w:r>
        <w:rPr>
          <w:rStyle w:val="FootnoteReference"/>
        </w:rPr>
        <w:footnoteReference w:id="1925"/>
      </w:r>
      <w:r>
        <w:t xml:space="preserve"> </w:t>
      </w:r>
      <w:r>
        <w:t xml:space="preserve">Il cronoprogramma si sviluppa su un orizzonte pluriennale, con il raggiungimento del regime in più esercizi; la strutturazione non è subordinata all’approvazione di una legge regionale, ma alla definizione del modello pieno e alla sua armonizzazione fra i due ordinamenti provinciali, agevolata dall’autonomia finanziaria e dall’avanzo di bilancio.</w:t>
      </w:r>
      <w:r>
        <w:rPr>
          <w:rStyle w:val="FootnoteReference"/>
        </w:rPr>
        <w:footnoteReference w:id="1926"/>
      </w:r>
    </w:p>
    <w:bookmarkEnd w:id="1106"/>
    <w:bookmarkStart w:id="1110" w:name="X0635c573440fe8e0a1baa6ca6e09b8671953c23"/>
    <w:p>
      <w:pPr>
        <w:pStyle w:val="Heading3"/>
      </w:pPr>
      <w:r>
        <w:t xml:space="preserve">I.4 La sostenibilità finanziaria e organizzativa</w:t>
      </w:r>
    </w:p>
    <w:p>
      <w:pPr>
        <w:pStyle w:val="FirstParagraph"/>
      </w:pPr>
      <w:r>
        <w:t xml:space="preserve">La sostenibilità finanziaria, nel Trentino-Alto Adige, è la più solida della serie: entrambe le Province autonome finanziano integralmente la sanità con i nove decimi del gettito trattenuto, senza apporto statale, e operano in avanzo, con la spesa pro-capite più alta d’Italia, sicché il costo del modello pieno è agevolmente sostenibile entro l’autonomia di ciascuna Provincia; l’eventuale riconoscimento nei livelli essenziali di assistenza ne rafforzerebbe in futuro la stabilità.</w:t>
      </w:r>
      <w:r>
        <w:rPr>
          <w:rStyle w:val="FootnoteReference"/>
        </w:rPr>
        <w:footnoteReference w:id="1927"/>
      </w:r>
      <w:r>
        <w:t xml:space="preserve"> </w:t>
      </w:r>
      <w:r>
        <w:t xml:space="preserve">La sostenibilità organizzativa dipende invece dalla capacità di garantire la strutturazione in un modello pieno e l’armonizzazione fra i due Servizi sanitari provinciali, su un territorio montano e plurilingue, attraverso una sede di coordinamento fra le due Province e indirizzi condivisi.</w:t>
      </w:r>
      <w:r>
        <w:rPr>
          <w:rStyle w:val="FootnoteReference"/>
        </w:rPr>
        <w:footnoteReference w:id="1928"/>
      </w:r>
      <w:r>
        <w:t xml:space="preserve"> </w:t>
      </w:r>
      <w:r>
        <w:t xml:space="preserve">L’avanzamento è seguito mediante indicatori di processo raccolti attraverso un sistema impostato in forma comparabile e interoperabile fra le due Province.</w:t>
      </w:r>
      <w:r>
        <w:rPr>
          <w:rStyle w:val="FootnoteReference"/>
        </w:rPr>
        <w:footnoteReference w:id="1929"/>
      </w:r>
    </w:p>
    <w:bookmarkEnd w:id="1110"/>
    <w:bookmarkStart w:id="1114" w:name="i.5-i-rischi-e-le-mitigazioni"/>
    <w:p>
      <w:pPr>
        <w:pStyle w:val="Heading3"/>
      </w:pPr>
      <w:r>
        <w:t xml:space="preserve">I.5 I rischi e le mitigazioni</w:t>
      </w:r>
    </w:p>
    <w:p>
      <w:pPr>
        <w:pStyle w:val="FirstParagraph"/>
      </w:pPr>
      <w:r>
        <w:t xml:space="preserve">L’attuazione presenta rischi propri della posizione del Trentino-Alto Adige: la difficoltà di armonizzare due Servizi sanitari provinciali pienamente autonomi, con ordinamenti e assetti diversi; il maggior costo unitario del personale, fra i più alti del Paese; la necessità di garantire l’erogazione in tre lingue; e il rischio che la strutturazione privilegi i centri urbani a scapito delle valli alpine o un solo gruppo linguistico.</w:t>
      </w:r>
      <w:r>
        <w:rPr>
          <w:rStyle w:val="FootnoteReference"/>
        </w:rPr>
        <w:footnoteReference w:id="1930"/>
      </w:r>
      <w:r>
        <w:t xml:space="preserve"> </w:t>
      </w:r>
      <w:r>
        <w:t xml:space="preserve">Tali rischi sono fronteggiati con una sede di coordinamento fra le due Province e indirizzi condivisi, con la valorizzazione degli assetti già operanti che consente un apprendimento progressivo, e con un’allocazione pro-equità che orienta la strutturazione verso le valli a maggiore bisogno e garantisce l’erogazione in tutte le lingue del territorio; l’avanzo di bilancio e il sostegno dell’Ordine professionale concorrono a ridurre l’incertezza.</w:t>
      </w:r>
      <w:r>
        <w:rPr>
          <w:rStyle w:val="FootnoteReference"/>
        </w:rPr>
        <w:footnoteReference w:id="1931"/>
      </w:r>
      <w:r>
        <w:t xml:space="preserve"> </w:t>
      </w:r>
      <w:r>
        <w:t xml:space="preserve">La sintesi è che l’intervento è attuabile e sostenibile, e che la leva propria del Trentino-Alto Adige è la strutturazione del servizio in un modello pieno e la sua armonizzazione fra i due ordinamenti provinciali: il territorio muove da assetti già operanti, da un bacino professionale adeguato e dalla piena autonomia finanziaria, con bilanci in avanzo, sicché le condizioni di fattibilità sono fra le più favorevoli della serie.</w:t>
      </w:r>
      <w:r>
        <w:rPr>
          <w:rStyle w:val="FootnoteReference"/>
        </w:rPr>
        <w:footnoteReference w:id="1932"/>
      </w:r>
      <w:r>
        <w:t xml:space="preserve"> </w:t>
      </w:r>
      <w:r>
        <w:t xml:space="preserve">La tabella seguente riepiloga i rischi e le relative mitigazioni; la parte che segue affronta il monitoraggio e la valutazione ex post.</w:t>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500"/>
        <w:gridCol w:w="433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Mitigazione</w:t>
            </w:r>
          </w:p>
        </w:tc>
      </w:tr>
      <w:tr>
        <w:tc>
          <w:tcPr/>
          <w:p>
            <w:pPr>
              <w:pStyle w:val="Compact"/>
              <w:spacing w:after="40" w:before="40"/>
              <w:jc w:val="left"/>
            </w:pPr>
            <w:r>
              <w:rPr>
                <w:rFonts w:ascii="Cambria" w:hAnsi="Cambria" w:cs="Cambria" w:eastAsia="Cambria"/>
                <w:b/>
                <w:bCs/>
                <w:color w:val="1A1A1A"/>
                <w:sz w:val="18"/>
              </w:rPr>
              <w:t xml:space="preserve">Difficoltà di armonizzazione fra due Servizi sanitari provinciali</w:t>
            </w:r>
          </w:p>
        </w:tc>
        <w:tc>
          <w:tcPr/>
          <w:p>
            <w:pPr>
              <w:pStyle w:val="Compact"/>
              <w:spacing w:after="40" w:before="40"/>
              <w:jc w:val="left"/>
            </w:pPr>
            <w:r>
              <w:rPr>
                <w:rFonts w:ascii="Cambria" w:hAnsi="Cambria" w:cs="Cambria" w:eastAsia="Cambria"/>
                <w:color w:val="1A1A1A"/>
                <w:sz w:val="18"/>
              </w:rPr>
              <w:t xml:space="preserve">Sede di coordinamento fra le due Province; indirizzi condivisi; monitoraggio comparabile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Maggior costo unitario del personale (fra i più alti d’Italia)</w:t>
            </w:r>
          </w:p>
        </w:tc>
        <w:tc>
          <w:tcPr>
            <w:shd w:val="clear" w:color="auto" w:fill="F4F1EC"/>
          </w:tcPr>
          <w:p>
            <w:pPr>
              <w:pStyle w:val="Compact"/>
              <w:spacing w:after="40" w:before="40"/>
              <w:jc w:val="left"/>
            </w:pPr>
            <w:r>
              <w:rPr>
                <w:rFonts w:ascii="Cambria" w:hAnsi="Cambria" w:cs="Cambria" w:eastAsia="Cambria"/>
                <w:color w:val="1A1A1A"/>
                <w:sz w:val="18"/>
              </w:rPr>
              <w:t xml:space="preserve">Dimensionamento prudenziale; piena copertura dall’avanzo di bilancio</w:t>
            </w:r>
          </w:p>
        </w:tc>
      </w:tr>
      <w:tr>
        <w:tc>
          <w:tcPr/>
          <w:p>
            <w:pPr>
              <w:pStyle w:val="Compact"/>
              <w:spacing w:after="40" w:before="40"/>
              <w:jc w:val="left"/>
            </w:pPr>
            <w:r>
              <w:rPr>
                <w:rFonts w:ascii="Cambria" w:hAnsi="Cambria" w:cs="Cambria" w:eastAsia="Cambria"/>
                <w:b/>
                <w:bCs/>
                <w:color w:val="1A1A1A"/>
                <w:sz w:val="18"/>
              </w:rPr>
              <w:t xml:space="preserve">Erogazione in tre lingue (tedesco, italiano, ladino)</w:t>
            </w:r>
          </w:p>
        </w:tc>
        <w:tc>
          <w:tcPr/>
          <w:p>
            <w:pPr>
              <w:pStyle w:val="Compact"/>
              <w:spacing w:after="40" w:before="40"/>
              <w:jc w:val="left"/>
            </w:pPr>
            <w:r>
              <w:rPr>
                <w:rFonts w:ascii="Cambria" w:hAnsi="Cambria" w:cs="Cambria" w:eastAsia="Cambria"/>
                <w:color w:val="1A1A1A"/>
                <w:sz w:val="18"/>
              </w:rPr>
              <w:t xml:space="preserve">Personale plurilingue; telepsicologia per la lingua a distanza; formazione linguistica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Allocazione non equa (rischio centri urbani o un solo gruppo linguistico)</w:t>
            </w:r>
          </w:p>
        </w:tc>
        <w:tc>
          <w:tcPr>
            <w:shd w:val="clear" w:color="auto" w:fill="F4F1EC"/>
          </w:tcPr>
          <w:p>
            <w:pPr>
              <w:pStyle w:val="Compact"/>
              <w:spacing w:after="40" w:before="40"/>
              <w:jc w:val="left"/>
            </w:pPr>
            <w:r>
              <w:rPr>
                <w:rFonts w:ascii="Cambria" w:hAnsi="Cambria" w:cs="Cambria" w:eastAsia="Cambria"/>
                <w:color w:val="1A1A1A"/>
                <w:sz w:val="18"/>
              </w:rPr>
              <w:t xml:space="preserve">Criteri di equità espliciti; copertura delle valli; erogazione in tutte le lingue del territorio</w:t>
            </w:r>
          </w:p>
        </w:tc>
      </w:tr>
    </w:tbl>
    <w:p>
      <w:pPr>
        <w:pStyle w:val="BodyText"/>
      </w:pPr>
      <w:r>
        <w:rPr>
          <w:i/>
          <w:iCs/>
        </w:rPr>
        <w:t xml:space="preserve">Tabella I.3. I rischi dell</w:t>
      </w:r>
      <w:r>
        <w:rPr>
          <w:b/>
          <w:bCs/>
          <w:i/>
          <w:iCs/>
        </w:rPr>
        <w:t xml:space="preserve">’</w:t>
      </w:r>
      <w:r>
        <w:rPr>
          <w:i/>
          <w:iCs/>
        </w:rPr>
        <w:t xml:space="preserve">attuazione e le relative mitigazioni.</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prospettico, batteria di indicatori, cruscotto regionale e clausola valutativa</w:t>
      </w:r>
    </w:p>
    <w:p>
      <w:pPr>
        <w:pStyle w:val="BodyText"/>
      </w:pPr>
      <w:r>
        <w:t xml:space="preserve">Inferenza causale quasi-sperimentale · la valutazione ex post</w:t>
      </w:r>
    </w:p>
    <w:bookmarkEnd w:id="1114"/>
    <w:bookmarkEnd w:id="1115"/>
    <w:bookmarkStart w:id="4334" w:name="X0cbe6f21d5422c506f33bc4c08e0c557f3f0be1"/>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di monitoraggio e la clausola valutativa (L.4); e la sintesi (L.5). Il tratto distintivo del Trentino-Alto Adige è che, disponendo di assetti già operanti in entrambe le Province, la valutazione può fondarsi su una base informativa più ricca di quella delle regioni che partono da zero, e le clausole valutative — da corredare alla strutturazione nei rispettivi ordinamenti provinciali — vanno costruite assicurando la comparabilità fra le due Province.</w:t>
      </w:r>
    </w:p>
    <w:bookmarkStart w:id="1136" w:name="Xd87369ea2a3dbfc393259c533578be089033abc"/>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1933"/>
      </w:r>
      <w:r>
        <w:rPr>
          <w:rStyle w:val="FootnoteReference"/>
        </w:rPr>
        <w:footnoteReference w:id="1934"/>
      </w:r>
      <w:r>
        <w:rPr>
          <w:rStyle w:val="FootnoteReference"/>
        </w:rPr>
        <w:footnoteReference w:id="1935"/>
      </w:r>
      <w:r>
        <w:rPr>
          <w:rStyle w:val="FootnoteReference"/>
        </w:rPr>
        <w:footnoteReference w:id="1936"/>
      </w:r>
      <w:r>
        <w:rPr>
          <w:rStyle w:val="FootnoteReference"/>
        </w:rPr>
        <w:footnoteReference w:id="1937"/>
      </w:r>
      <w:r>
        <w:rPr>
          <w:rStyle w:val="FootnoteReference"/>
        </w:rPr>
        <w:footnoteReference w:id="1938"/>
      </w:r>
      <w:r>
        <w:rPr>
          <w:rStyle w:val="FootnoteReference"/>
        </w:rPr>
        <w:footnoteReference w:id="1939"/>
      </w:r>
      <w:r>
        <w:rPr>
          <w:rStyle w:val="FootnoteReference"/>
        </w:rPr>
        <w:footnoteReference w:id="1940"/>
      </w:r>
      <w:r>
        <w:rPr>
          <w:rStyle w:val="FootnoteReference"/>
        </w:rPr>
        <w:footnoteReference w:id="1941"/>
      </w:r>
      <w:r>
        <w:rPr>
          <w:rStyle w:val="FootnoteReference"/>
        </w:rPr>
        <w:footnoteReference w:id="1942"/>
      </w:r>
      <w:r>
        <w:rPr>
          <w:rStyle w:val="FootnoteReference"/>
        </w:rPr>
        <w:footnoteReference w:id="1943"/>
      </w:r>
      <w:r>
        <w:rPr>
          <w:rStyle w:val="FootnoteReference"/>
        </w:rPr>
        <w:footnoteReference w:id="1944"/>
      </w:r>
      <w:r>
        <w:rPr>
          <w:rStyle w:val="FootnoteReference"/>
        </w:rPr>
        <w:footnoteReference w:id="1945"/>
      </w:r>
      <w:r>
        <w:rPr>
          <w:rStyle w:val="FootnoteReference"/>
        </w:rPr>
        <w:footnoteReference w:id="1946"/>
      </w:r>
      <w:r>
        <w:rPr>
          <w:rStyle w:val="FootnoteReference"/>
        </w:rPr>
        <w:footnoteReference w:id="1947"/>
      </w:r>
      <w:r>
        <w:rPr>
          <w:rStyle w:val="FootnoteReference"/>
        </w:rPr>
        <w:footnoteReference w:id="1948"/>
      </w:r>
      <w:r>
        <w:rPr>
          <w:rStyle w:val="FootnoteReference"/>
        </w:rPr>
        <w:footnoteReference w:id="1949"/>
      </w:r>
      <w:r>
        <w:rPr>
          <w:rStyle w:val="FootnoteReference"/>
        </w:rPr>
        <w:footnoteReference w:id="1950"/>
      </w:r>
      <w:r>
        <w:rPr>
          <w:rStyle w:val="FootnoteReference"/>
        </w:rPr>
        <w:footnoteReference w:id="1951"/>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1952"/>
      </w:r>
    </w:p>
    <w:bookmarkEnd w:id="1136"/>
    <w:bookmarkStart w:id="1140" w:name="l.2-il-disegno-controfattuale-e-i-metodi"/>
    <w:p>
      <w:pPr>
        <w:pStyle w:val="Heading3"/>
      </w:pPr>
      <w:r>
        <w:t xml:space="preserve">L.2 Il disegno controfattuale e i metodi</w:t>
      </w:r>
    </w:p>
    <w:p>
      <w:pPr>
        <w:pStyle w:val="FirstParagraph"/>
      </w:pPr>
      <w:r>
        <w:t xml:space="preserve">Il disegno della valutazione d’impatto costituisce, per il Trentino-Alto Adige, un punto di forza dello studio. Poiché la strutturazione del modello pieno avverrà in tempi differenziati fra i comprensori e i distretti delle due Province, la valutazione può fondarsi su un esperimento a cunei progressivi, nel quale l’ordine e i tempi di attivazione fra i territori sono impiegati a fini valutativi.</w:t>
      </w:r>
      <w:r>
        <w:rPr>
          <w:rStyle w:val="FootnoteReference"/>
        </w:rPr>
        <w:footnoteReference w:id="1953"/>
      </w:r>
      <w:r>
        <w:t xml:space="preserve"> </w:t>
      </w:r>
      <w:r>
        <w:t xml:space="preserve">Gli assetti già operanti offrono una linea di base più ricca di quella delle regioni che partono da zero, e il diverso grado di strutturazione fra i comprensori delle due Province consente di costruire termini di confronto interni, fondando la stima su dati propri.</w:t>
      </w:r>
      <w:r>
        <w:rPr>
          <w:rStyle w:val="FootnoteReference"/>
        </w:rPr>
        <w:footnoteReference w:id="1954"/>
      </w:r>
      <w:r>
        <w:t xml:space="preserve"> </w:t>
      </w:r>
      <w:r>
        <w:t xml:space="preserve">L’effetto causale è stimato con la differenza-nelle-differenze e con il metodo del controllo sintetico, con la progressione differenziata della strutturazione fra i comprensori a fornire la variazione necessaria all’identificazione.</w:t>
      </w:r>
      <w:r>
        <w:rPr>
          <w:rStyle w:val="FootnoteReference"/>
        </w:rPr>
        <w:footnoteReference w:id="1955"/>
      </w:r>
    </w:p>
    <w:bookmarkEnd w:id="1140"/>
    <w:bookmarkStart w:id="4335" w:name="l.3-la-batteria-degli-indicatori"/>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1956"/>
      </w:r>
      <w:r>
        <w:t xml:space="preserve"> </w:t>
      </w:r>
      <w:r>
        <w:t xml:space="preserve">Gli indicatori di processo misurano il funzionamento — prese in carico, attesa, colloqui, invio appropriato.</w:t>
      </w:r>
      <w:r>
        <w:rPr>
          <w:rStyle w:val="FootnoteReference"/>
        </w:rPr>
        <w:footnoteReference w:id="1957"/>
      </w:r>
      <w:r>
        <w:t xml:space="preserve"> </w:t>
      </w:r>
      <w:r>
        <w:t xml:space="preserve">Gli indicatori di esito clinico misurano il beneficio diretto — miglioramento, recupero, remissione.</w:t>
      </w:r>
      <w:r>
        <w:rPr>
          <w:rStyle w:val="FootnoteReference"/>
        </w:rPr>
        <w:footnoteReference w:id="1958"/>
      </w:r>
      <w:r>
        <w:t xml:space="preserve"> </w:t>
      </w:r>
      <w:r>
        <w:t xml:space="preserve">Gli indicatori di esito di sistema misurano l’effetto sul resto del sistema — pronto soccorso, psicofarmaci, ricoveri.</w:t>
      </w:r>
      <w:r>
        <w:rPr>
          <w:rStyle w:val="FootnoteReference"/>
        </w:rPr>
        <w:footnoteReference w:id="1959"/>
      </w:r>
      <w:r>
        <w:t xml:space="preserve"> </w:t>
      </w:r>
      <w:r>
        <w:t xml:space="preserve">Gli indicatori economici consentono di verificare ex post le stime e di sostituire i valori ricostruiti con quelli effettivi.</w:t>
      </w:r>
      <w:r>
        <w:rPr>
          <w:rStyle w:val="FootnoteReference"/>
        </w:rPr>
        <w:footnoteReference w:id="1960"/>
      </w:r>
      <w:r>
        <w:t xml:space="preserve"> </w:t>
      </w:r>
      <w:r>
        <w:t xml:space="preserve">Gli indicatori di equità, disaggregati per area, per gruppo linguistico e per fasce di età, verificano che il servizio riduca i divari fra centri urbani e valli alpine e fra i gruppi linguistici del territorio, con attenzione congiunta al disagio giovanile e all’effettiva disponibilità del servizio in tedesco, italiano e ladino.</w:t>
      </w:r>
      <w:r>
        <w:rPr>
          <w:rStyle w:val="FootnoteReference"/>
        </w:rPr>
        <w:footnoteReference w:id="1961"/>
      </w:r>
      <w:r>
        <w:t xml:space="preserve"> </w:t>
      </w:r>
      <w:r>
        <w:t xml:space="preserve">Gli indicatori di qualità integrano la misurazione con la dimensione dell’esperienza.</w:t>
      </w:r>
      <w:r>
        <w:rPr>
          <w:rStyle w:val="FootnoteReference"/>
        </w:rPr>
        <w:footnoteReference w:id="1962"/>
      </w:r>
      <w:r>
        <w:t xml:space="preserve"> </w:t>
      </w:r>
      <w:r>
        <w:t xml:space="preserve">Gli indicatori di mobilità, infine, sono monitorati ma costituiscono un esito atteso trascurabile, poiché le due Province attraggono pazienti.</w:t>
      </w:r>
      <w:r>
        <w:rPr>
          <w:rStyle w:val="FootnoteReference"/>
        </w:rPr>
        <w:footnoteReference w:id="1963"/>
      </w:r>
      <w:r>
        <w:t xml:space="preserve"> </w:t>
      </w:r>
      <w:r>
        <w:t xml:space="preserve">L’insieme conta dell’ordine di cinquantotto indicatori in otto categorie, ciascuno con definizione, fonte, frequenza e responsabile.</w:t>
      </w:r>
      <w:r>
        <w:rPr>
          <w:rStyle w:val="FootnoteReference"/>
        </w:rPr>
        <w:footnoteReference w:id="1964"/>
      </w:r>
      <w:r>
        <w:t xml:space="preserve"> </w:t>
      </w:r>
      <w:r>
        <w:t xml:space="preserve">La tabella seguente riepiloga le categorie.</w:t>
      </w:r>
    </w:p>
    <w:tbl>
      <w:tblPr>
        <w:tblStyle w:val="Table"/>
        <w:tblW w:type="pct" w:w="494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77"/>
        <w:gridCol w:w="614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(dell’ordine di 58 indicatori complessivi)</w:t>
            </w:r>
          </w:p>
        </w:tc>
      </w:tr>
      <w:tr>
        <w:tc>
          <w:tcPr/>
          <w:p>
            <w:pPr>
              <w:pStyle w:val="Compact"/>
              <w:spacing w:after="40" w:before="40"/>
              <w:jc w:val="left"/>
            </w:pPr>
            <w:r>
              <w:rPr>
                <w:rFonts w:ascii="Cambria" w:hAnsi="Cambria" w:cs="Cambria" w:eastAsia="Cambria"/>
                <w:b/>
                <w:bCs/>
                <w:color w:val="1A1A1A"/>
                <w:sz w:val="18"/>
              </w:rPr>
              <w:t xml:space="preserve">Struttura</w:t>
            </w:r>
          </w:p>
        </w:tc>
        <w:tc>
          <w:tcPr/>
          <w:p>
            <w:pPr>
              <w:pStyle w:val="Compact"/>
              <w:spacing w:after="40" w:before="40"/>
              <w:jc w:val="left"/>
            </w:pPr>
            <w:r>
              <w:rPr>
                <w:rFonts w:ascii="Cambria" w:hAnsi="Cambria" w:cs="Cambria" w:eastAsia="Cambria"/>
                <w:color w:val="1A1A1A"/>
                <w:sz w:val="18"/>
              </w:rPr>
              <w:t xml:space="preserve">Sedi attivate, incarichi, ore, dotazione, copertura del fabbisogno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Processo</w:t>
            </w:r>
          </w:p>
        </w:tc>
        <w:tc>
          <w:tcPr>
            <w:shd w:val="clear" w:color="auto" w:fill="F4F1EC"/>
          </w:tcPr>
          <w:p>
            <w:pPr>
              <w:pStyle w:val="Compact"/>
              <w:spacing w:after="40" w:before="40"/>
              <w:jc w:val="left"/>
            </w:pPr>
            <w:r>
              <w:rPr>
                <w:rFonts w:ascii="Cambria" w:hAnsi="Cambria" w:cs="Cambria" w:eastAsia="Cambria"/>
                <w:color w:val="1A1A1A"/>
                <w:sz w:val="18"/>
              </w:rPr>
              <w:t xml:space="preserve">Prese in carico, attesa al primo colloquio, colloqui per persona, invio appropriato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Miglioramento, recupero, remissione (strumenti validati, punteggi complessivi)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psicofarmaci, ricoveri evitabili, specialistica impropria</w:t>
            </w:r>
          </w:p>
        </w:tc>
      </w:tr>
      <w:tr>
        <w:tc>
          <w:tcPr/>
          <w:p>
            <w:pPr>
              <w:pStyle w:val="Compact"/>
              <w:spacing w:after="40" w:before="40"/>
              <w:jc w:val="left"/>
            </w:pPr>
            <w:r>
              <w:rPr>
                <w:rFonts w:ascii="Cambria" w:hAnsi="Cambria" w:cs="Cambria" w:eastAsia="Cambria"/>
                <w:b/>
                <w:bCs/>
                <w:color w:val="1A1A1A"/>
                <w:sz w:val="18"/>
              </w:rPr>
              <w:t xml:space="preserve">Economici</w:t>
            </w:r>
          </w:p>
        </w:tc>
        <w:tc>
          <w:tcPr/>
          <w:p>
            <w:pPr>
              <w:pStyle w:val="Compact"/>
              <w:spacing w:after="40" w:before="40"/>
              <w:jc w:val="left"/>
            </w:pPr>
            <w:r>
              <w:rPr>
                <w:rFonts w:ascii="Cambria" w:hAnsi="Cambria" w:cs="Cambria" w:eastAsia="Cambria"/>
                <w:color w:val="1A1A1A"/>
                <w:sz w:val="18"/>
              </w:rPr>
              <w:t xml:space="preserve">Costo, risparmi diretti, ricadute sociali, rapporto beneficio-costo su dati reali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Copertura e accesso per area (centri urbani, valli alpine), per gruppo linguistico (tedesco, italiano, ladino) e per fasce di età</w:t>
            </w:r>
          </w:p>
        </w:tc>
      </w:tr>
      <w:tr>
        <w:tc>
          <w:tcPr/>
          <w:p>
            <w:pPr>
              <w:pStyle w:val="Compact"/>
              <w:spacing w:after="40" w:before="40"/>
              <w:jc w:val="left"/>
            </w:pPr>
            <w:r>
              <w:rPr>
                <w:rFonts w:ascii="Cambria" w:hAnsi="Cambria" w:cs="Cambria" w:eastAsia="Cambria"/>
                <w:b/>
                <w:bCs/>
                <w:color w:val="1A1A1A"/>
                <w:sz w:val="18"/>
              </w:rPr>
              <w:t xml:space="preserve">Qualità</w:t>
            </w:r>
          </w:p>
        </w:tc>
        <w:tc>
          <w:tcPr/>
          <w:p>
            <w:pPr>
              <w:pStyle w:val="Compact"/>
              <w:spacing w:after="40" w:before="40"/>
              <w:jc w:val="left"/>
            </w:pPr>
            <w:r>
              <w:rPr>
                <w:rFonts w:ascii="Cambria" w:hAnsi="Cambria" w:cs="Cambria" w:eastAsia="Cambria"/>
                <w:color w:val="1A1A1A"/>
                <w:sz w:val="18"/>
              </w:rPr>
              <w:t xml:space="preserve">Soddisfazione, appropriatezza, continuità del rapporto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w:t>
            </w:r>
          </w:p>
        </w:tc>
        <w:tc>
          <w:tcPr>
            <w:shd w:val="clear" w:color="auto" w:fill="F4F1EC"/>
          </w:tcPr>
          <w:p>
            <w:pPr>
              <w:pStyle w:val="Compact"/>
              <w:spacing w:after="40" w:before="40"/>
              <w:jc w:val="left"/>
            </w:pPr>
            <w:r>
              <w:rPr>
                <w:rFonts w:ascii="Cambria" w:hAnsi="Cambria" w:cs="Cambria" w:eastAsia="Cambria"/>
                <w:color w:val="1A1A1A"/>
                <w:sz w:val="18"/>
              </w:rPr>
              <w:t xml:space="preserve">Monitorata; esito atteso trascurabile (le Province attraggono pazienti)</w:t>
            </w:r>
          </w:p>
        </w:tc>
      </w:tr>
    </w:tbl>
    <w:p>
      <w:pPr>
        <w:pStyle w:val="BodyText"/>
      </w:pPr>
      <w:r>
        <w:rPr>
          <w:i/>
          <w:iCs/>
        </w:rPr>
        <w:t xml:space="preserve">Tabella L.1. Le otto categorie della batteria di indicatori.</w:t>
      </w:r>
    </w:p>
    <w:bookmarkEnd w:id="4335"/>
    <w:bookmarkStart w:id="4336" w:name="Xb7ad0d5c30fcd314fabd326957bfda7fdc5e683"/>
    <w:p>
      <w:pPr>
        <w:pStyle w:val="Heading3"/>
      </w:pPr>
      <w:r>
        <w:t xml:space="preserve">L.4 Il cruscotto regionale e la clausola valutativa</w:t>
      </w:r>
    </w:p>
    <w:p>
      <w:pPr>
        <w:pStyle w:val="FirstParagraph"/>
      </w:pPr>
      <w:r>
        <w:t xml:space="preserve">Gli indicatori confluiscono in un cruscotto di monitoraggio aggiornato periodicamente, che rende trasparente l’andamento del servizio e ne consente la correzione; la titolarità del cruscotto è condivisa fra le due Province autonome, l’APSS e l’Azienda Sanitaria dell’Alto Adige (Sabes), che ne assicurano l’alimentazione comparabile e interoperabile.</w:t>
      </w:r>
      <w:r>
        <w:rPr>
          <w:rStyle w:val="FootnoteReference"/>
        </w:rPr>
        <w:footnoteReference w:id="1965"/>
      </w:r>
      <w:r>
        <w:t xml:space="preserve"> </w:t>
      </w:r>
      <w:r>
        <w:t xml:space="preserve">Lo strumento attraverso cui il monitoraggio diventa vincolante è la clausola valutativa; il compito è corredare la strutturazione del modello pieno di clausole valutative, nei rispettivi ordinamenti provinciali, che impegnino le Giunte a riferire periodicamente ai Consigli provinciali.</w:t>
      </w:r>
      <w:r>
        <w:rPr>
          <w:rStyle w:val="FootnoteReference"/>
        </w:rPr>
        <w:footnoteReference w:id="1966"/>
      </w:r>
      <w:r>
        <w:t xml:space="preserve"> </w:t>
      </w:r>
      <w:r>
        <w:t xml:space="preserve">La raccolta dei dati poggia sui sistemi informativi delle due aziende sanitarie provinciali, da impostare in forma comparabile e interoperabile fra i due sistemi.</w:t>
      </w:r>
      <w:r>
        <w:rPr>
          <w:rStyle w:val="FootnoteReference"/>
        </w:rPr>
        <w:footnoteReference w:id="1967"/>
      </w:r>
      <w:r>
        <w:t xml:space="preserve"> </w:t>
      </w:r>
      <w:r>
        <w:t xml:space="preserve">La valutazione si articola infine in un monitoraggio in itinere, che accompagna l’attivazione progressiva, e in una valutazione ex post a regime.</w:t>
      </w:r>
      <w:r>
        <w:rPr>
          <w:rStyle w:val="FootnoteReference"/>
        </w:rPr>
        <w:footnoteReference w:id="1968"/>
      </w:r>
      <w:r>
        <w:t xml:space="preserve"> </w:t>
      </w:r>
      <w:r>
        <w:t xml:space="preserve">La tabella seguente riepiloga la governance valutativa.</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76"/>
        <w:gridCol w:w="574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governance valutativa</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il Trentino-Alto Adige</w:t>
            </w:r>
          </w:p>
        </w:tc>
      </w:tr>
      <w:tr>
        <w:tc>
          <w:tcPr/>
          <w:p>
            <w:pPr>
              <w:pStyle w:val="Compact"/>
              <w:spacing w:after="40" w:before="40"/>
              <w:jc w:val="left"/>
            </w:pPr>
            <w:r>
              <w:rPr>
                <w:rFonts w:ascii="Cambria" w:hAnsi="Cambria" w:cs="Cambria" w:eastAsia="Cambria"/>
                <w:b/>
                <w:bCs/>
                <w:color w:val="1A1A1A"/>
                <w:sz w:val="18"/>
              </w:rPr>
              <w:t xml:space="preserve">Disegno d’impatto</w:t>
            </w:r>
          </w:p>
        </w:tc>
        <w:tc>
          <w:tcPr/>
          <w:p>
            <w:pPr>
              <w:pStyle w:val="Compact"/>
              <w:spacing w:after="40" w:before="40"/>
              <w:jc w:val="left"/>
            </w:pPr>
            <w:r>
              <w:rPr>
                <w:rFonts w:ascii="Cambria" w:hAnsi="Cambria" w:cs="Cambria" w:eastAsia="Cambria"/>
                <w:color w:val="1A1A1A"/>
                <w:sz w:val="18"/>
              </w:rPr>
              <w:t xml:space="preserve">Esperimento a cunei progressivi fra i comprensori delle due Province, con linea di base dagli assetti già operanti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Linea di base</w:t>
            </w:r>
          </w:p>
        </w:tc>
        <w:tc>
          <w:tcPr>
            <w:shd w:val="clear" w:color="auto" w:fill="F4F1EC"/>
          </w:tcPr>
          <w:p>
            <w:pPr>
              <w:pStyle w:val="Compact"/>
              <w:spacing w:after="40" w:before="40"/>
              <w:jc w:val="left"/>
            </w:pPr>
            <w:r>
              <w:rPr>
                <w:rFonts w:ascii="Cambria" w:hAnsi="Cambria" w:cs="Cambria" w:eastAsia="Cambria"/>
                <w:color w:val="1A1A1A"/>
                <w:sz w:val="18"/>
              </w:rPr>
              <w:t xml:space="preserve">Dati già disponibili dagli assetti esistenti e progressione differenziata della strutturazione fra i comprensori</w:t>
            </w:r>
          </w:p>
        </w:tc>
      </w:tr>
      <w:tr>
        <w:tc>
          <w:tcPr/>
          <w:p>
            <w:pPr>
              <w:pStyle w:val="Compact"/>
              <w:spacing w:after="40" w:before="40"/>
              <w:jc w:val="left"/>
            </w:pPr>
            <w:r>
              <w:rPr>
                <w:rFonts w:ascii="Cambria" w:hAnsi="Cambria" w:cs="Cambria" w:eastAsia="Cambria"/>
                <w:b/>
                <w:bCs/>
                <w:color w:val="1A1A1A"/>
                <w:sz w:val="18"/>
              </w:rPr>
              <w:t xml:space="preserve">Titolarità del cruscotto</w:t>
            </w:r>
          </w:p>
        </w:tc>
        <w:tc>
          <w:tcPr/>
          <w:p>
            <w:pPr>
              <w:pStyle w:val="Compact"/>
              <w:spacing w:after="40" w:before="40"/>
              <w:jc w:val="left"/>
            </w:pPr>
            <w:r>
              <w:rPr>
                <w:rFonts w:ascii="Cambria" w:hAnsi="Cambria" w:cs="Cambria" w:eastAsia="Cambria"/>
                <w:color w:val="1A1A1A"/>
                <w:sz w:val="18"/>
              </w:rPr>
              <w:t xml:space="preserve">Condivisa fra le due Province (APSS e Sabes), con alimentazione comparabile e interoperabile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Da corredare alla strutturazione nei rispettivi ordinamenti provinciali; relazione periodica ai Consigli provinciali</w:t>
            </w:r>
          </w:p>
        </w:tc>
      </w:tr>
      <w:tr>
        <w:tc>
          <w:tcPr/>
          <w:p>
            <w:pPr>
              <w:pStyle w:val="Compact"/>
              <w:spacing w:after="40" w:before="40"/>
              <w:jc w:val="left"/>
            </w:pPr>
            <w:r>
              <w:rPr>
                <w:rFonts w:ascii="Cambria" w:hAnsi="Cambria" w:cs="Cambria" w:eastAsia="Cambria"/>
                <w:b/>
                <w:bCs/>
                <w:color w:val="1A1A1A"/>
                <w:sz w:val="18"/>
              </w:rPr>
              <w:t xml:space="preserve">Flusso informativo</w:t>
            </w:r>
          </w:p>
        </w:tc>
        <w:tc>
          <w:tcPr/>
          <w:p>
            <w:pPr>
              <w:pStyle w:val="Compact"/>
              <w:spacing w:after="40" w:before="40"/>
              <w:jc w:val="left"/>
            </w:pPr>
            <w:r>
              <w:rPr>
                <w:rFonts w:ascii="Cambria" w:hAnsi="Cambria" w:cs="Cambria" w:eastAsia="Cambria"/>
                <w:color w:val="1A1A1A"/>
                <w:sz w:val="18"/>
              </w:rPr>
              <w:t xml:space="preserve">Sistemi informativi delle due aziende sanitarie provinciali; comparabile e interoperabile fra i due sistemi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Tempi</w:t>
            </w:r>
          </w:p>
        </w:tc>
        <w:tc>
          <w:tcPr>
            <w:shd w:val="clear" w:color="auto" w:fill="F4F1EC"/>
          </w:tcPr>
          <w:p>
            <w:pPr>
              <w:pStyle w:val="Compact"/>
              <w:spacing w:after="40" w:before="40"/>
              <w:jc w:val="left"/>
            </w:pPr>
            <w:r>
              <w:rPr>
                <w:rFonts w:ascii="Cambria" w:hAnsi="Cambria" w:cs="Cambria" w:eastAsia="Cambria"/>
                <w:color w:val="1A1A1A"/>
                <w:sz w:val="18"/>
              </w:rPr>
              <w:t xml:space="preserve">In itinere (accompagnamento della strutturazione) ed ex post (effetto a regime)</w:t>
            </w:r>
          </w:p>
        </w:tc>
      </w:tr>
    </w:tbl>
    <w:p>
      <w:pPr>
        <w:pStyle w:val="BodyText"/>
      </w:pPr>
      <w:r>
        <w:rPr>
          <w:i/>
          <w:iCs/>
        </w:rPr>
        <w:t xml:space="preserve">Tabella L.2. La governance della valutazione e il cruscotto regionale.</w:t>
      </w:r>
    </w:p>
    <w:bookmarkEnd w:id="4336"/>
    <w:bookmarkStart w:id="1157" w:name="l.5-sintesi-del-monitoraggio"/>
    <w:p>
      <w:pPr>
        <w:pStyle w:val="Heading3"/>
      </w:pPr>
      <w:r>
        <w:t xml:space="preserve">L.5 Sintesi del monitoraggio</w:t>
      </w:r>
    </w:p>
    <w:p>
      <w:pPr>
        <w:pStyle w:val="FirstParagraph"/>
      </w:pPr>
      <w:r>
        <w:t xml:space="preserve">La valutazione è la condizione per trasformare la strutturazione del servizio in apprendimento, e il Trentino-Alto Adige può fondarla su una base informativa più ricca di quella delle regioni che partono da zero; perché ciò si realizzi, occorre corredare la strutturazione di clausole valutative nei rispettivi ordinamenti provinciali e impostare un flusso informativo comparabile e interoperabile fra le due Province, valorizzando l’esperienza già maturata.</w:t>
      </w:r>
      <w:r>
        <w:rPr>
          <w:rStyle w:val="FootnoteReference"/>
        </w:rPr>
        <w:footnoteReference w:id="1969"/>
      </w:r>
      <w:r>
        <w:t xml:space="preserve"> </w:t>
      </w:r>
      <w:r>
        <w:t xml:space="preserve">Definito il sistema di monitoraggio, la parte conclusiva compone i risultati dei diversi domini in una sintesi multidimensionale e formula le raccomandazioni.</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1157"/>
    <w:bookmarkEnd w:id="4334"/>
    <w:bookmarkStart w:id="1195" w:name="Xe6b1b1a5c12773571974e1618b6e5f134c98e6f"/>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 Trentino-Alto Adige.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 Trentino-Alto Adige percorre l’intera sintesi: è il territorio ripartito in due Province autonome con Servizi sanitari distinti, fra i più giovani, ricchi e sani d’Italia, a piena autonomia finanziaria e in avanzo di bilancio, che, dodicesimo della serie, è chiamato non a istituire un servizio, ma a strutturare in un modello pieno gli assetti già operanti nelle due Province e ad armonizzarli.</w:t>
      </w:r>
    </w:p>
    <w:bookmarkStart w:id="4337" w:name="m.1-la-sintesi-per-dominio"/>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1970"/>
      </w:r>
      <w:r>
        <w:rPr>
          <w:rStyle w:val="FootnoteReference"/>
        </w:rPr>
        <w:footnoteReference w:id="1971"/>
      </w:r>
      <w:r>
        <w:rPr>
          <w:rStyle w:val="FootnoteReference"/>
        </w:rPr>
        <w:footnoteReference w:id="1972"/>
      </w:r>
      <w:r>
        <w:rPr>
          <w:rStyle w:val="FootnoteReference"/>
        </w:rPr>
        <w:footnoteReference w:id="1973"/>
      </w:r>
      <w:r>
        <w:rPr>
          <w:rStyle w:val="FootnoteReference"/>
        </w:rPr>
        <w:footnoteReference w:id="1974"/>
      </w:r>
      <w:r>
        <w:rPr>
          <w:rStyle w:val="FootnoteReference"/>
        </w:rPr>
        <w:footnoteReference w:id="1975"/>
      </w:r>
      <w:r>
        <w:rPr>
          <w:rStyle w:val="FootnoteReference"/>
        </w:rPr>
        <w:footnoteReference w:id="1976"/>
      </w:r>
      <w:r>
        <w:rPr>
          <w:rStyle w:val="FootnoteReference"/>
        </w:rPr>
        <w:footnoteReference w:id="1977"/>
      </w:r>
      <w:r>
        <w:rPr>
          <w:rStyle w:val="FootnoteReference"/>
        </w:rPr>
        <w:footnoteReference w:id="1978"/>
      </w:r>
      <w:r>
        <w:rPr>
          <w:rStyle w:val="FootnoteReference"/>
        </w:rPr>
        <w:footnoteReference w:id="1979"/>
      </w:r>
      <w:r>
        <w:rPr>
          <w:rStyle w:val="FootnoteReference"/>
        </w:rPr>
        <w:footnoteReference w:id="1980"/>
      </w:r>
      <w:r>
        <w:rPr>
          <w:rStyle w:val="FootnoteReference"/>
        </w:rPr>
        <w:footnoteReference w:id="1981"/>
      </w:r>
      <w:r>
        <w:rPr>
          <w:rStyle w:val="FootnoteReference"/>
        </w:rPr>
        <w:footnoteReference w:id="1982"/>
      </w:r>
      <w:r>
        <w:rPr>
          <w:rStyle w:val="FootnoteReference"/>
        </w:rPr>
        <w:footnoteReference w:id="1983"/>
      </w:r>
      <w:r>
        <w:rPr>
          <w:rStyle w:val="FootnoteReference"/>
        </w:rPr>
        <w:footnoteReference w:id="1984"/>
      </w:r>
      <w:r>
        <w:rPr>
          <w:rStyle w:val="FootnoteReference"/>
        </w:rPr>
        <w:footnoteReference w:id="1985"/>
      </w:r>
      <w:r>
        <w:t xml:space="preserve"> </w:t>
      </w:r>
      <w:r>
        <w:t xml:space="preserve">Il quadro che emerge dai domini è coerente: il bisogno è ampio in un territorio fra i più giovani d’Italia, con il disagio giovanile in primo piano e la dimensione plurilingue; l’efficacia clinica è sostenuta da evidenza internazionale solida, affinata dai dati propri degli assetti già operanti; il quadro economico distingue un caso finanziario di disavanzo modesto, agevolmente sostenibile a fronte dell’avanzo, da un caso sociale fortemente positivo; l’equità è favorevole sull’asse territoriale e su quello linguistico e sulla dimensione generazionale, ed è rafforzata dall’armonizzazione fra le due Province; la fattibilità è quella della strutturazione di assetti già operanti, agevolata dalla piena autonomia finanziaria; il monitoraggio può fondarsi su una base informativa più ricca che altrove.</w:t>
      </w:r>
      <w:r>
        <w:rPr>
          <w:rStyle w:val="FootnoteReference"/>
        </w:rPr>
        <w:footnoteReference w:id="1986"/>
      </w:r>
      <w:r>
        <w:t xml:space="preserve"> </w:t>
      </w:r>
      <w:r>
        <w:t xml:space="preserve">La tabella seguente riepiloga il giudizio per dominio.</w:t>
      </w:r>
    </w:p>
    <w:tbl>
      <w:tblPr>
        <w:tblStyle w:val="Table"/>
        <w:tblW w:type="pct" w:w="494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49"/>
        <w:gridCol w:w="62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Dominio</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 sintetico per il Trentino-Alto Adige</w:t>
            </w:r>
          </w:p>
        </w:tc>
      </w:tr>
      <w:tr>
        <w:tc>
          <w:tcPr/>
          <w:p>
            <w:pPr>
              <w:pStyle w:val="Compact"/>
              <w:spacing w:after="40" w:before="40"/>
              <w:jc w:val="left"/>
            </w:pPr>
            <w:r>
              <w:rPr>
                <w:rFonts w:ascii="Cambria" w:hAnsi="Cambria" w:cs="Cambria" w:eastAsia="Cambria"/>
                <w:b/>
                <w:bCs/>
                <w:color w:val="1A1A1A"/>
                <w:sz w:val="18"/>
              </w:rPr>
              <w:t xml:space="preserve">Bisogno e contesto</w:t>
            </w:r>
          </w:p>
        </w:tc>
        <w:tc>
          <w:tcPr/>
          <w:p>
            <w:pPr>
              <w:pStyle w:val="Compact"/>
              <w:spacing w:after="40" w:before="40"/>
              <w:jc w:val="left"/>
            </w:pPr>
            <w:r>
              <w:rPr>
                <w:rFonts w:ascii="Cambria" w:hAnsi="Cambria" w:cs="Cambria" w:eastAsia="Cambria"/>
                <w:color w:val="1A1A1A"/>
                <w:sz w:val="18"/>
              </w:rPr>
              <w:t xml:space="preserve">Ampio; territorio fra i più giovani e ricchi d’Italia, due Province autonome, disagio giovanile, valli alpine, plurilinguismo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w:t>
            </w:r>
          </w:p>
        </w:tc>
        <w:tc>
          <w:tcPr>
            <w:shd w:val="clear" w:color="auto" w:fill="F4F1EC"/>
          </w:tcPr>
          <w:p>
            <w:pPr>
              <w:pStyle w:val="Compact"/>
              <w:spacing w:after="40" w:before="40"/>
              <w:jc w:val="left"/>
            </w:pPr>
            <w:r>
              <w:rPr>
                <w:rFonts w:ascii="Cambria" w:hAnsi="Cambria" w:cs="Cambria" w:eastAsia="Cambria"/>
                <w:color w:val="1A1A1A"/>
                <w:sz w:val="18"/>
              </w:rPr>
              <w:t xml:space="preserve">Evidenza internazionale solida; affinata dai dati propri degli assetti già operanti nelle due Province</w:t>
            </w:r>
          </w:p>
        </w:tc>
      </w:tr>
      <w:tr>
        <w:tc>
          <w:tcPr/>
          <w:p>
            <w:pPr>
              <w:pStyle w:val="Compact"/>
              <w:spacing w:after="40" w:before="40"/>
              <w:jc w:val="left"/>
            </w:pPr>
            <w:r>
              <w:rPr>
                <w:rFonts w:ascii="Cambria" w:hAnsi="Cambria" w:cs="Cambria" w:eastAsia="Cambria"/>
                <w:b/>
                <w:bCs/>
                <w:color w:val="1A1A1A"/>
                <w:sz w:val="18"/>
              </w:rPr>
              <w:t xml:space="preserve">Valutazione economica</w:t>
            </w:r>
          </w:p>
        </w:tc>
        <w:tc>
          <w:tcPr/>
          <w:p>
            <w:pPr>
              <w:pStyle w:val="Compact"/>
              <w:spacing w:after="40" w:before="40"/>
              <w:jc w:val="left"/>
            </w:pPr>
            <w:r>
              <w:rPr>
                <w:rFonts w:ascii="Cambria" w:hAnsi="Cambria" w:cs="Cambria" w:eastAsia="Cambria"/>
                <w:color w:val="1A1A1A"/>
                <w:sz w:val="18"/>
              </w:rPr>
              <w:t xml:space="preserve">Caso finanziario di disavanzo modesto, sostenibile a fronte dell’avanzo; caso sociale fortemente positivo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Favorevole su asse territoriale (valli alpine) e linguistico (tedesco, italiano, ladino) e su disagio giovanile; rafforzata dall’armonizzazione</w:t>
            </w:r>
          </w:p>
        </w:tc>
      </w:tr>
      <w:tr>
        <w:tc>
          <w:tcPr/>
          <w:p>
            <w:pPr>
              <w:pStyle w:val="Compact"/>
              <w:spacing w:after="40" w:before="40"/>
              <w:jc w:val="left"/>
            </w:pPr>
            <w:r>
              <w:rPr>
                <w:rFonts w:ascii="Cambria" w:hAnsi="Cambria" w:cs="Cambria" w:eastAsia="Cambria"/>
                <w:b/>
                <w:bCs/>
                <w:color w:val="1A1A1A"/>
                <w:sz w:val="18"/>
              </w:rPr>
              <w:t xml:space="preserve">Fattibilità</w:t>
            </w:r>
          </w:p>
        </w:tc>
        <w:tc>
          <w:tcPr/>
          <w:p>
            <w:pPr>
              <w:pStyle w:val="Compact"/>
              <w:spacing w:after="40" w:before="40"/>
              <w:jc w:val="left"/>
            </w:pPr>
            <w:r>
              <w:rPr>
                <w:rFonts w:ascii="Cambria" w:hAnsi="Cambria" w:cs="Cambria" w:eastAsia="Cambria"/>
                <w:color w:val="1A1A1A"/>
                <w:sz w:val="18"/>
              </w:rPr>
              <w:t xml:space="preserve">Strutturazione di assetti già operanti; coordinamento fra due Province; piena autonomia finanziaria e avanzo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Monitoraggio</w:t>
            </w:r>
          </w:p>
        </w:tc>
        <w:tc>
          <w:tcPr>
            <w:shd w:val="clear" w:color="auto" w:fill="F4F1EC"/>
          </w:tcPr>
          <w:p>
            <w:pPr>
              <w:pStyle w:val="Compact"/>
              <w:spacing w:after="40" w:before="40"/>
              <w:jc w:val="left"/>
            </w:pPr>
            <w:r>
              <w:rPr>
                <w:rFonts w:ascii="Cambria" w:hAnsi="Cambria" w:cs="Cambria" w:eastAsia="Cambria"/>
                <w:color w:val="1A1A1A"/>
                <w:sz w:val="18"/>
              </w:rPr>
              <w:t xml:space="preserve">Disegno controfattuale su strutturazione progressiva fra i comprensori; base informativa dagli assetti già operanti</w:t>
            </w:r>
          </w:p>
        </w:tc>
      </w:tr>
    </w:tbl>
    <w:p>
      <w:pPr>
        <w:pStyle w:val="BodyText"/>
      </w:pPr>
      <w:r>
        <w:rPr>
          <w:i/>
          <w:iCs/>
        </w:rPr>
        <w:t xml:space="preserve">Tabella M.1. La sintesi dei domini della valutazione.</w:t>
      </w:r>
    </w:p>
    <w:bookmarkEnd w:id="4337"/>
    <w:bookmarkStart w:id="4338" w:name="m.2-lanalisi-multi-criterio-3"/>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1987"/>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1988"/>
      </w:r>
      <w:r>
        <w:t xml:space="preserve"> </w:t>
      </w:r>
      <w:r>
        <w:t xml:space="preserve">La media ponderata dei punteggi dell’intervento è dell’ordine di 81,0 su 100, la più elevata della serie, sostenuta dal punteggio molto alto nell’impatto sul bilancio e nella sostenibilità — che riflette la piena autonomia finanziaria e l’avanzo di bilancio delle due Province — e dai punteggi elevati nel valore sociale, nella costo-efficacia e nella coerenza strategica, e contenuta dal punteggio più basso nella robustezza dell’evidenza.</w:t>
      </w:r>
      <w:r>
        <w:rPr>
          <w:rStyle w:val="FootnoteReference"/>
        </w:rPr>
        <w:footnoteReference w:id="1989"/>
      </w:r>
      <w:r>
        <w:t xml:space="preserve"> </w:t>
      </w:r>
      <w:r>
        <w:t xml:space="preserve">Il non intervento ottiene una media dell’ordine di 39,2 su 100, penalizzato in tutti i criteri sostanziali e sostenuto soltanto dalla fattibilità immediata dello status quo, oggi poco giustificata, poiché lascerebbe non strutturati e non armonizzati assetti già operanti in entrambe le Province.</w:t>
      </w:r>
      <w:r>
        <w:rPr>
          <w:rStyle w:val="FootnoteReference"/>
        </w:rPr>
        <w:footnoteReference w:id="1990"/>
      </w:r>
      <w:r>
        <w:t xml:space="preserve"> </w:t>
      </w:r>
      <w:r>
        <w:t xml:space="preserve">L’intervento prevale dunque nettamente, con uno scarto dell’ordine di quarantadue punti; il punteggio si colloca al primo posto fra le regioni esaminate, riflettendo la piena autonomia finanziaria, l’avanzo di bilancio e gli assetti già operanti.</w:t>
      </w:r>
      <w:r>
        <w:rPr>
          <w:rStyle w:val="FootnoteReference"/>
        </w:rPr>
        <w:footnoteReference w:id="1991"/>
      </w:r>
      <w:r>
        <w:t xml:space="preserve"> </w:t>
      </w:r>
      <w:r>
        <w:t xml:space="preserve">La prevalenza si mantiene al variare dei pesi entro intervalli ragionevoli, sicché la raccomandazione è robusta.</w:t>
      </w:r>
      <w:r>
        <w:rPr>
          <w:rStyle w:val="FootnoteReference"/>
        </w:rPr>
        <w:footnoteReference w:id="1992"/>
      </w:r>
      <w:r>
        <w:t xml:space="preserve"> </w:t>
      </w:r>
      <w:r>
        <w:t xml:space="preserve">La tabella seguente riporta i punteggi per criterio.</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Non interv.</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82</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r>
      <w:tr>
        <w:tc>
          <w:tcPr/>
          <w:p>
            <w:pPr>
              <w:pStyle w:val="Compact"/>
              <w:spacing w:after="40" w:before="40"/>
              <w:jc w:val="left"/>
            </w:pPr>
            <w:r>
              <w:rPr>
                <w:rFonts w:ascii="Cambria" w:hAnsi="Cambria" w:cs="Cambria" w:eastAsia="Cambria"/>
                <w:b/>
                <w:bCs/>
                <w:color w:val="1A1A1A"/>
                <w:sz w:val="18"/>
              </w:rPr>
              <w:t xml:space="preserve">Impatto sul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90</w:t>
            </w:r>
          </w:p>
        </w:tc>
        <w:tc>
          <w:tcPr/>
          <w:p>
            <w:pPr>
              <w:pStyle w:val="Compact"/>
              <w:spacing w:after="40" w:before="40"/>
              <w:jc w:val="left"/>
            </w:pPr>
            <w:r>
              <w:rPr>
                <w:rFonts w:ascii="Cambria" w:hAnsi="Cambria" w:cs="Cambria" w:eastAsia="Cambria"/>
                <w:color w:val="1A1A1A"/>
                <w:sz w:val="18"/>
              </w:rPr>
              <w:t xml:space="preserve">52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78</w:t>
            </w:r>
          </w:p>
        </w:tc>
        <w:tc>
          <w:tcPr>
            <w:shd w:val="clear" w:color="auto" w:fill="F4F1EC"/>
          </w:tcPr>
          <w:p>
            <w:pPr>
              <w:pStyle w:val="Compact"/>
              <w:spacing w:after="40" w:before="40"/>
              <w:jc w:val="left"/>
            </w:pPr>
            <w:r>
              <w:rPr>
                <w:rFonts w:ascii="Cambria" w:hAnsi="Cambria" w:cs="Cambria" w:eastAsia="Cambria"/>
                <w:color w:val="1A1A1A"/>
                <w:sz w:val="18"/>
              </w:rPr>
              <w:t xml:space="preserve">28</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82</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80</w:t>
            </w:r>
          </w:p>
        </w:tc>
        <w:tc>
          <w:tcPr>
            <w:shd w:val="clear" w:color="auto" w:fill="F4F1EC"/>
          </w:tcPr>
          <w:p>
            <w:pPr>
              <w:pStyle w:val="Compact"/>
              <w:spacing w:after="40" w:before="40"/>
              <w:jc w:val="left"/>
            </w:pPr>
            <w:r>
              <w:rPr>
                <w:rFonts w:ascii="Cambria" w:hAnsi="Cambria" w:cs="Cambria" w:eastAsia="Cambria"/>
                <w:color w:val="1A1A1A"/>
                <w:sz w:val="18"/>
              </w:rPr>
              <w:t xml:space="preserve">84</w:t>
            </w:r>
          </w:p>
        </w:tc>
      </w:tr>
      <w:tr>
        <w:tc>
          <w:tcPr/>
          <w:p>
            <w:pPr>
              <w:pStyle w:val="Compact"/>
              <w:spacing w:after="40" w:before="40"/>
              <w:jc w:val="left"/>
            </w:pPr>
            <w:r>
              <w:rPr>
                <w:rFonts w:ascii="Cambria" w:hAnsi="Cambria" w:cs="Cambria" w:eastAsia="Cambria"/>
                <w:b/>
                <w:bCs/>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70</w:t>
            </w:r>
          </w:p>
        </w:tc>
        <w:tc>
          <w:tcPr/>
          <w:p>
            <w:pPr>
              <w:pStyle w:val="Compact"/>
              <w:spacing w:after="40" w:before="40"/>
              <w:jc w:val="left"/>
            </w:pPr>
            <w:r>
              <w:rPr>
                <w:rFonts w:ascii="Cambria" w:hAnsi="Cambria" w:cs="Cambria" w:eastAsia="Cambria"/>
                <w:color w:val="1A1A1A"/>
                <w:sz w:val="18"/>
              </w:rPr>
              <w:t xml:space="preserve">55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84</w:t>
            </w:r>
          </w:p>
        </w:tc>
        <w:tc>
          <w:tcPr>
            <w:shd w:val="clear" w:color="auto" w:fill="F4F1EC"/>
          </w:tcPr>
          <w:p>
            <w:pPr>
              <w:pStyle w:val="Compact"/>
              <w:spacing w:after="40" w:before="40"/>
              <w:jc w:val="left"/>
            </w:pPr>
            <w:r>
              <w:rPr>
                <w:rFonts w:ascii="Cambria" w:hAnsi="Cambria" w:cs="Cambria" w:eastAsia="Cambria"/>
                <w:color w:val="1A1A1A"/>
                <w:sz w:val="18"/>
              </w:rPr>
              <w:t xml:space="preserve">26</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81,00</w:t>
            </w:r>
          </w:p>
        </w:tc>
        <w:tc>
          <w:tcPr/>
          <w:p>
            <w:pPr>
              <w:pStyle w:val="Compact"/>
              <w:spacing w:after="40" w:before="40"/>
              <w:jc w:val="left"/>
            </w:pPr>
            <w:r>
              <w:rPr>
                <w:rFonts w:ascii="Cambria" w:hAnsi="Cambria" w:cs="Cambria" w:eastAsia="Cambria"/>
                <w:color w:val="1A1A1A"/>
                <w:sz w:val="18"/>
              </w:rPr>
              <w:t xml:space="preserve">39,20</w:t>
            </w:r>
          </w:p>
        </w:tc>
      </w:tr>
    </w:tbl>
    <w:p>
      <w:pPr>
        <w:pStyle w:val="BodyText"/>
      </w:pPr>
      <w:r>
        <w:rPr>
          <w:i/>
          <w:iCs/>
        </w:rPr>
        <w:t xml:space="preserve">Tabella M.2. L</w:t>
      </w:r>
      <w:r>
        <w:rPr>
          <w:b/>
          <w:bCs/>
          <w:i/>
          <w:iCs/>
        </w:rPr>
        <w:t xml:space="preserve">‘******analisi multi-criterio: punteggi dell******’</w:t>
      </w:r>
      <w:r>
        <w:rPr>
          <w:i/>
          <w:iCs/>
        </w:rPr>
        <w:t xml:space="preserve">intervento e del non intervento.</w:t>
      </w:r>
    </w:p>
    <w:bookmarkEnd w:id="4338"/>
    <w:bookmarkStart w:id="1186" w:name="Xe44a44dd805905f3769cfce8927cd34698fe4d4"/>
    <w:p>
      <w:pPr>
        <w:pStyle w:val="Heading3"/>
      </w:pPr>
      <w:r>
        <w:t xml:space="preserve">M.3 La raccomandazione e il dimensionamento</w:t>
      </w:r>
    </w:p>
    <w:p>
      <w:pPr>
        <w:pStyle w:val="FirstParagraph"/>
      </w:pPr>
      <w:r>
        <w:t xml:space="preserve">Dalla convergenza dei domini e dall’analisi multi-criterio discende la raccomandazione principale: strutturare in un modello pieno di psicologo di base gli assetti già operanti nelle due Province — il modello trentino di convenzione e il Servizio psicologico dell’Alto Adige — armonizzandoli fra i due ordinamenti provinciali e dimensionandolo verso la copertura piena del fabbisogno; è la decisione che il Trentino-Alto Adige, dotato di assetti già operanti e di piena autonomia finanziaria, è chiamato a compiere per dare al servizio una forma compiuta e omogenea.</w:t>
      </w:r>
      <w:r>
        <w:rPr>
          <w:rStyle w:val="FootnoteReference"/>
        </w:rPr>
        <w:footnoteReference w:id="1993"/>
      </w:r>
      <w:r>
        <w:t xml:space="preserve"> </w:t>
      </w:r>
      <w:r>
        <w:t xml:space="preserve">Quanto alla scala, si raccomanda di muovere dagli assetti esistenti e di procedere per gradi verso lo scenario conservativo, dell’ordine di 120 psicologi, quindi verso quello di base, dell’ordine di 180, e infine verso quello espansivo, dell’ordine di 240, in funzione della verifica progressiva dei risultati e della sostenibilità.</w:t>
      </w:r>
      <w:r>
        <w:rPr>
          <w:rStyle w:val="FootnoteReference"/>
        </w:rPr>
        <w:footnoteReference w:id="1994"/>
      </w:r>
      <w:r>
        <w:t xml:space="preserve"> </w:t>
      </w:r>
      <w:r>
        <w:t xml:space="preserve">La tabella seguente riepiloga le raccomandazioni operative.</w:t>
      </w:r>
    </w:p>
    <w:tbl>
      <w:tblPr>
        <w:tblStyle w:val="Table"/>
        <w:tblW w:type="pct" w:w="494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08"/>
        <w:gridCol w:w="632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Raccomandazione operativa per il Trentino-Alto Adige</w:t>
            </w:r>
          </w:p>
        </w:tc>
      </w:tr>
      <w:tr>
        <w:tc>
          <w:tcPr/>
          <w:p>
            <w:pPr>
              <w:pStyle w:val="Compact"/>
              <w:spacing w:after="40" w:before="40"/>
              <w:jc w:val="left"/>
            </w:pPr>
            <w:r>
              <w:rPr>
                <w:rFonts w:ascii="Cambria" w:hAnsi="Cambria" w:cs="Cambria" w:eastAsia="Cambria"/>
                <w:b/>
                <w:bCs/>
                <w:color w:val="1A1A1A"/>
                <w:sz w:val="18"/>
              </w:rPr>
              <w:t xml:space="preserve">Atto di attuazione</w:t>
            </w:r>
          </w:p>
        </w:tc>
        <w:tc>
          <w:tcPr/>
          <w:p>
            <w:pPr>
              <w:pStyle w:val="Compact"/>
              <w:spacing w:after="40" w:before="40"/>
              <w:jc w:val="left"/>
            </w:pPr>
            <w:r>
              <w:rPr>
                <w:rFonts w:ascii="Cambria" w:hAnsi="Cambria" w:cs="Cambria" w:eastAsia="Cambria"/>
                <w:color w:val="1A1A1A"/>
                <w:sz w:val="18"/>
              </w:rPr>
              <w:t xml:space="preserve">Strutturare in un modello pieno gli assetti già operanti; armonizzarli fra i due ordinamenti provinciali; valorizzare la piena autonomia finanziaria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Dimensionamento</w:t>
            </w:r>
          </w:p>
        </w:tc>
        <w:tc>
          <w:tcPr>
            <w:shd w:val="clear" w:color="auto" w:fill="F4F1EC"/>
          </w:tcPr>
          <w:p>
            <w:pPr>
              <w:pStyle w:val="Compact"/>
              <w:spacing w:after="40" w:before="40"/>
              <w:jc w:val="left"/>
            </w:pPr>
            <w:r>
              <w:rPr>
                <w:rFonts w:ascii="Cambria" w:hAnsi="Cambria" w:cs="Cambria" w:eastAsia="Cambria"/>
                <w:color w:val="1A1A1A"/>
                <w:sz w:val="18"/>
              </w:rPr>
              <w:t xml:space="preserve">Dagli assetti esistenti verso conservativo ~120; base ~180; espansivo ~240, per gradi</w:t>
            </w:r>
          </w:p>
        </w:tc>
      </w:tr>
      <w:tr>
        <w:tc>
          <w:tcPr/>
          <w:p>
            <w:pPr>
              <w:pStyle w:val="Compact"/>
              <w:spacing w:after="40" w:before="40"/>
              <w:jc w:val="left"/>
            </w:pPr>
            <w:r>
              <w:rPr>
                <w:rFonts w:ascii="Cambria" w:hAnsi="Cambria" w:cs="Cambria" w:eastAsia="Cambria"/>
                <w:b/>
                <w:bCs/>
                <w:color w:val="1A1A1A"/>
                <w:sz w:val="18"/>
              </w:rPr>
              <w:t xml:space="preserve">Allocazione</w:t>
            </w:r>
          </w:p>
        </w:tc>
        <w:tc>
          <w:tcPr/>
          <w:p>
            <w:pPr>
              <w:pStyle w:val="Compact"/>
              <w:spacing w:after="40" w:before="40"/>
              <w:jc w:val="left"/>
            </w:pPr>
            <w:r>
              <w:rPr>
                <w:rFonts w:ascii="Cambria" w:hAnsi="Cambria" w:cs="Cambria" w:eastAsia="Cambria"/>
                <w:color w:val="1A1A1A"/>
                <w:sz w:val="18"/>
              </w:rPr>
              <w:t xml:space="preserve">Pro-equità, verso le valli alpine, i gruppi linguistici (tedesco, italiano, ladino) e il disagio giovanile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Corredarla alla strutturazione nei rispettivi ordinamenti provinciali; relazione periodica ai Consigli provinciali</w:t>
            </w:r>
          </w:p>
        </w:tc>
      </w:tr>
      <w:tr>
        <w:tc>
          <w:tcPr/>
          <w:p>
            <w:pPr>
              <w:pStyle w:val="Compact"/>
              <w:spacing w:after="40" w:before="40"/>
              <w:jc w:val="left"/>
            </w:pPr>
            <w:r>
              <w:rPr>
                <w:rFonts w:ascii="Cambria" w:hAnsi="Cambria" w:cs="Cambria" w:eastAsia="Cambria"/>
                <w:b/>
                <w:bCs/>
                <w:color w:val="1A1A1A"/>
                <w:sz w:val="18"/>
              </w:rPr>
              <w:t xml:space="preserve">Governance</w:t>
            </w:r>
          </w:p>
        </w:tc>
        <w:tc>
          <w:tcPr/>
          <w:p>
            <w:pPr>
              <w:pStyle w:val="Compact"/>
              <w:spacing w:after="40" w:before="40"/>
              <w:jc w:val="left"/>
            </w:pPr>
            <w:r>
              <w:rPr>
                <w:rFonts w:ascii="Cambria" w:hAnsi="Cambria" w:cs="Cambria" w:eastAsia="Cambria"/>
                <w:color w:val="1A1A1A"/>
                <w:sz w:val="18"/>
              </w:rPr>
              <w:t xml:space="preserve">Sede di coordinamento fra le due Province (APSS e Sabes); indirizzi condivisi; flusso informativo comparabile e interoperabile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Dati</w:t>
            </w:r>
          </w:p>
        </w:tc>
        <w:tc>
          <w:tcPr>
            <w:shd w:val="clear" w:color="auto" w:fill="F4F1EC"/>
          </w:tcPr>
          <w:p>
            <w:pPr>
              <w:pStyle w:val="Compact"/>
              <w:spacing w:after="40" w:before="40"/>
              <w:jc w:val="left"/>
            </w:pPr>
            <w:r>
              <w:rPr>
                <w:rFonts w:ascii="Cambria" w:hAnsi="Cambria" w:cs="Cambria" w:eastAsia="Cambria"/>
                <w:color w:val="1A1A1A"/>
                <w:sz w:val="18"/>
              </w:rPr>
              <w:t xml:space="preserve">Estrarre i conti certificati delle due aziende sanitarie provinciali; consolidare i dati di esito comparabili fra le due Province</w:t>
            </w:r>
          </w:p>
        </w:tc>
      </w:tr>
    </w:tbl>
    <w:p>
      <w:pPr>
        <w:pStyle w:val="BodyText"/>
      </w:pPr>
      <w:r>
        <w:rPr>
          <w:i/>
          <w:iCs/>
        </w:rPr>
        <w:t xml:space="preserve">Tabella M.3. Le raccomandazioni operative.</w:t>
      </w:r>
    </w:p>
    <w:bookmarkEnd w:id="1186"/>
    <w:bookmarkStart w:id="1190" w:name="m.4-le-condizioni-e-la-lacuna-da-colmare"/>
    <w:p>
      <w:pPr>
        <w:pStyle w:val="Heading3"/>
      </w:pPr>
      <w:r>
        <w:t xml:space="preserve">M.4 Le condizioni e la lacuna da colmare</w:t>
      </w:r>
    </w:p>
    <w:p>
      <w:pPr>
        <w:pStyle w:val="FirstParagraph"/>
      </w:pPr>
      <w:r>
        <w:t xml:space="preserve">La raccomandazione è subordinata a condizioni precise: la costruzione di clausole valutative a corredo della strutturazione, nei rispettivi ordinamenti provinciali, l’adozione di un’allocazione pro-equità verso le valli alpine e i gruppi linguistici, una sede di coordinamento fra le due Province e l’impostazione di un flusso informativo comparabile e interoperabile fra i due sistemi.</w:t>
      </w:r>
      <w:r>
        <w:rPr>
          <w:rStyle w:val="FootnoteReference"/>
        </w:rPr>
        <w:footnoteReference w:id="1995"/>
      </w:r>
      <w:r>
        <w:t xml:space="preserve"> </w:t>
      </w:r>
      <w:r>
        <w:t xml:space="preserve">Resta inoltre da colmare, prima della presentazione esterna, la lacuna dei dati: l’estrazione dei conti certificati delle due aziende sanitarie provinciali e il consolidamento di un flusso comparabile dei dati di esito fra le due Province consentiranno di sostituire i valori ricostruiti per quota di popolazione con grandezze effettive.</w:t>
      </w:r>
      <w:r>
        <w:rPr>
          <w:rStyle w:val="FootnoteReference"/>
        </w:rPr>
        <w:footnoteReference w:id="1996"/>
      </w:r>
      <w:r>
        <w:t xml:space="preserve"> </w:t>
      </w:r>
      <w:r>
        <w:t xml:space="preserve">Va infine ribadita la distinzione cardine: il caso finanziario per il bilancio sanitario è di disavanzo modesto, agevolmente sostenibile a fronte dell’avanzo,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1997"/>
      </w:r>
    </w:p>
    <w:bookmarkEnd w:id="1190"/>
    <w:bookmarkStart w:id="1194" w:name="X0147ffcfc54e27203b180584df81722d9212b13"/>
    <w:p>
      <w:pPr>
        <w:pStyle w:val="Heading3"/>
      </w:pPr>
      <w:r>
        <w:t xml:space="preserve">M.5 La collocazione nella serie e la conclusione</w:t>
      </w:r>
    </w:p>
    <w:p>
      <w:pPr>
        <w:pStyle w:val="FirstParagraph"/>
      </w:pPr>
      <w:r>
        <w:t xml:space="preserve">Lo studio sul Trentino-Alto Adige è il dodicesimo della serie, dopo quelli su Puglia, Lombardia, Veneto, Emilia-Romagna, Piemonte, Toscana, Liguria, Lazio, Campania, Sicilia e Sardegna, e ne condivide il telaio integrato e il caso di riferimento; rispetto agli altri, il Trentino-Alto Adige occupa una posizione propria e unica — quella del territorio ripartito in due Province autonome con Servizi sanitari distinti, fra i più giovani, ricchi e sani d’Italia, a piena autonomia finanziaria e in avanzo di bilancio, che dispone già di assetti di psicologia territoriale in entrambe le Province — e che oggi è chiamato a strutturarli in un modello pieno e ad armonizzarli.</w:t>
      </w:r>
      <w:r>
        <w:rPr>
          <w:rStyle w:val="FootnoteReference"/>
        </w:rPr>
        <w:footnoteReference w:id="1998"/>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1999"/>
      </w:r>
      <w:r>
        <w:t xml:space="preserve"> </w:t>
      </w:r>
      <w:r>
        <w:t xml:space="preserve">La decisione che lo studio sostiene è, in conclusione, di strutturare in un modello pieno di psicologo di base gli assetti già operanti nelle due Province, armonizzandoli fra i due ordinamenti provinciali, dimensionandoli progressivamente al fabbisogno e corredandoli di clausole valutative: per il Trentino-Alto Adige, dotato di assetti già operanti, di piena autonomia finanziaria e di bilanci in avanzo, ciò significa dare al servizio una forma compiuta e omogenea, a beneficio della popolazione.</w:t>
      </w:r>
      <w:r>
        <w:rPr>
          <w:rStyle w:val="FootnoteReference"/>
        </w:rPr>
        <w:footnoteReference w:id="2000"/>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1194"/>
    <w:bookmarkEnd w:id="1195"/>
    <w:bookmarkStart w:id="4339" w:name="X0bbc6ed28b57e67ff8e70bcd5f4ffdd66a01711"/>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001"/>
      </w:r>
      <w:r>
        <w:rPr>
          <w:rStyle w:val="FootnoteReference"/>
        </w:rPr>
        <w:footnoteReference w:id="2002"/>
      </w:r>
      <w:r>
        <w:rPr>
          <w:rStyle w:val="FootnoteReference"/>
        </w:rPr>
        <w:footnoteReference w:id="2003"/>
      </w:r>
      <w:r>
        <w:rPr>
          <w:rStyle w:val="FootnoteReference"/>
        </w:rPr>
        <w:footnoteReference w:id="2004"/>
      </w:r>
      <w:r>
        <w:rPr>
          <w:rStyle w:val="FootnoteReference"/>
        </w:rPr>
        <w:footnoteReference w:id="2005"/>
      </w:r>
      <w:r>
        <w:rPr>
          <w:rStyle w:val="FootnoteReference"/>
        </w:rPr>
        <w:footnoteReference w:id="2006"/>
      </w:r>
      <w:r>
        <w:rPr>
          <w:rStyle w:val="FootnoteReference"/>
        </w:rPr>
        <w:footnoteReference w:id="2007"/>
      </w:r>
      <w:r>
        <w:rPr>
          <w:rStyle w:val="FootnoteReference"/>
        </w:rPr>
        <w:footnoteReference w:id="2008"/>
      </w:r>
      <w:r>
        <w:rPr>
          <w:rStyle w:val="FootnoteReference"/>
        </w:rPr>
        <w:footnoteReference w:id="2009"/>
      </w:r>
      <w:r>
        <w:t xml:space="preserve"> </w:t>
      </w:r>
      <w:r>
        <w:t xml:space="preserve">La tabella seguente lo riepiloga.</w:t>
      </w:r>
    </w:p>
    <w:tbl>
      <w:tblPr>
        <w:tblStyle w:val="Table"/>
        <w:tblW w:type="pct" w:w="493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5"/>
        <w:gridCol w:w="576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caso di 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adottata</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Servizio attivo ma parziale e a finanziamento transitorio (PNES); condizione di pre-strutturazione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Azienda Sanitaria Locale/distretto</w:t>
            </w:r>
          </w:p>
        </w:tc>
      </w:tr>
      <w:tr>
        <w:tc>
          <w:tcPr/>
          <w:p>
            <w:pPr>
              <w:pStyle w:val="Compact"/>
              <w:spacing w:after="40" w:before="40"/>
              <w:jc w:val="left"/>
            </w:pPr>
            <w:r>
              <w:rPr>
                <w:rFonts w:ascii="Cambria" w:hAnsi="Cambria" w:cs="Cambria" w:eastAsia="Cambria"/>
                <w:b/>
                <w:bCs/>
                <w:color w:val="1A1A1A"/>
                <w:sz w:val="18"/>
              </w:rPr>
              <w:t xml:space="preserve">Soglia di costo-efficacia</w:t>
            </w:r>
          </w:p>
        </w:tc>
        <w:tc>
          <w:tcPr/>
          <w:p>
            <w:pPr>
              <w:pStyle w:val="Compact"/>
              <w:spacing w:after="40" w:before="40"/>
              <w:jc w:val="left"/>
            </w:pPr>
            <w:r>
              <w:rPr>
                <w:rFonts w:ascii="Cambria" w:hAnsi="Cambria" w:cs="Cambria" w:eastAsia="Cambria"/>
                <w:color w:val="1A1A1A"/>
                <w:sz w:val="18"/>
              </w:rPr>
              <w:t xml:space="preserve">30.000 euro per anno di vita ponderato per la qualità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Correzione prudenziale</w:t>
            </w:r>
          </w:p>
        </w:tc>
        <w:tc>
          <w:tcPr>
            <w:shd w:val="clear" w:color="auto" w:fill="F4F1EC"/>
          </w:tcPr>
          <w:p>
            <w:pPr>
              <w:pStyle w:val="Compact"/>
              <w:spacing w:after="40" w:before="40"/>
              <w:jc w:val="left"/>
            </w:pPr>
            <w:r>
              <w:rPr>
                <w:rFonts w:ascii="Cambria" w:hAnsi="Cambria" w:cs="Cambria" w:eastAsia="Cambria"/>
                <w:color w:val="1A1A1A"/>
                <w:sz w:val="18"/>
              </w:rP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010"/>
      </w:r>
      <w:r>
        <w:t xml:space="preserve"> </w:t>
      </w:r>
      <w:r>
        <w:t xml:space="preserve">La tabella seguente li riporta con le distribuzioni assegnate per l’analisi probabilistica.</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3498"/>
        <w:gridCol w:w="15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 di Markov</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Stati del modello</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recupero</w:t>
            </w:r>
          </w:p>
        </w:tc>
        <w:tc>
          <w:tcPr>
            <w:shd w:val="clear" w:color="auto" w:fill="F4F1EC"/>
          </w:tcPr>
          <w:p>
            <w:pPr>
              <w:pStyle w:val="Compact"/>
              <w:spacing w:after="40" w:before="40"/>
              <w:jc w:val="left"/>
            </w:pPr>
            <w:r>
              <w:rPr>
                <w:rFonts w:ascii="Cambria" w:hAnsi="Cambria" w:cs="Cambria" w:eastAsia="Cambria"/>
                <w:color w:val="1A1A1A"/>
                <w:sz w:val="18"/>
              </w:rPr>
              <w:t xml:space="preserve">40 €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per ciclo — cronico</w:t>
            </w:r>
          </w:p>
        </w:tc>
        <w:tc>
          <w:tcPr/>
          <w:p>
            <w:pPr>
              <w:pStyle w:val="Compact"/>
              <w:spacing w:after="40" w:before="40"/>
              <w:jc w:val="left"/>
            </w:pPr>
            <w:r>
              <w:rPr>
                <w:rFonts w:ascii="Cambria" w:hAnsi="Cambria" w:cs="Cambria" w:eastAsia="Cambria"/>
                <w:color w:val="1A1A1A"/>
                <w:sz w:val="18"/>
              </w:rPr>
              <w:t xml:space="preserve">700 €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Per braccio, da fonti</w:t>
            </w:r>
          </w:p>
        </w:tc>
        <w:tc>
          <w:tcPr/>
          <w:p>
            <w:pPr>
              <w:pStyle w:val="Compact"/>
              <w:spacing w:after="40" w:before="40"/>
              <w:jc w:val="left"/>
            </w:pPr>
            <w:r>
              <w:rPr>
                <w:rFonts w:ascii="Cambria" w:hAnsi="Cambria" w:cs="Cambria" w:eastAsia="Cambria"/>
                <w:color w:val="1A1A1A"/>
                <w:sz w:val="18"/>
              </w:rPr>
              <w:t xml:space="preserve">Beta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per stato</w:t>
            </w:r>
          </w:p>
        </w:tc>
        <w:tc>
          <w:tcPr>
            <w:shd w:val="clear" w:color="auto" w:fill="F4F1EC"/>
          </w:tcPr>
          <w:p>
            <w:pPr>
              <w:pStyle w:val="Compact"/>
              <w:spacing w:after="40" w:before="40"/>
              <w:jc w:val="left"/>
            </w:pPr>
            <w:r>
              <w:rPr>
                <w:rFonts w:ascii="Cambria" w:hAnsi="Cambria" w:cs="Cambria" w:eastAsia="Cambria"/>
                <w:color w:val="1A1A1A"/>
                <w:sz w:val="18"/>
              </w:rPr>
              <w:t xml:space="preserve">Da fonti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Orizzonte e sconto</w:t>
            </w:r>
          </w:p>
        </w:tc>
        <w:tc>
          <w:tcPr/>
          <w:p>
            <w:pPr>
              <w:pStyle w:val="Compact"/>
              <w:spacing w:after="40" w:before="40"/>
              <w:jc w:val="left"/>
            </w:pPr>
            <w:r>
              <w:rPr>
                <w:rFonts w:ascii="Cambria" w:hAnsi="Cambria" w:cs="Cambria" w:eastAsia="Cambria"/>
                <w:color w:val="1A1A1A"/>
                <w:sz w:val="18"/>
              </w:rPr>
              <w:t xml:space="preserve">5 anni; 3% annuo</w:t>
            </w:r>
          </w:p>
        </w:tc>
        <w:t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2011"/>
      </w:r>
      <w:r>
        <w:t xml:space="preserve"> </w:t>
      </w:r>
      <w:r>
        <w:t xml:space="preserve">La tabella seguente lo riepiloga.</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3"/>
        <w:gridCol w:w="1384"/>
        <w:gridCol w:w="1384"/>
        <w:gridCol w:w="13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 salvo 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Psicologi a regime</w:t>
            </w:r>
          </w:p>
        </w:tc>
        <w:tc>
          <w:tcPr/>
          <w:p>
            <w:pPr>
              <w:pStyle w:val="Compact"/>
              <w:spacing w:after="40" w:before="40"/>
              <w:jc w:val="left"/>
            </w:pPr>
            <w:r>
              <w:rPr>
                <w:rFonts w:ascii="Cambria" w:hAnsi="Cambria" w:cs="Cambria" w:eastAsia="Cambria"/>
                <w:color w:val="1A1A1A"/>
                <w:sz w:val="18"/>
              </w:rPr>
              <w:t xml:space="preserve">~ 120</w:t>
            </w:r>
          </w:p>
        </w:tc>
        <w:tc>
          <w:tcPr/>
          <w:p>
            <w:pPr>
              <w:pStyle w:val="Compact"/>
              <w:spacing w:after="40" w:before="40"/>
              <w:jc w:val="left"/>
            </w:pPr>
            <w:r>
              <w:rPr>
                <w:rFonts w:ascii="Cambria" w:hAnsi="Cambria" w:cs="Cambria" w:eastAsia="Cambria"/>
                <w:color w:val="1A1A1A"/>
                <w:sz w:val="18"/>
              </w:rPr>
              <w:t xml:space="preserve">~ 180</w:t>
            </w:r>
          </w:p>
        </w:tc>
        <w:tc>
          <w:tcPr/>
          <w:p>
            <w:pPr>
              <w:pStyle w:val="Compact"/>
              <w:spacing w:after="40" w:before="40"/>
              <w:jc w:val="left"/>
            </w:pPr>
            <w:r>
              <w:rPr>
                <w:rFonts w:ascii="Cambria" w:hAnsi="Cambria" w:cs="Cambria" w:eastAsia="Cambria"/>
                <w:color w:val="1A1A1A"/>
                <w:sz w:val="18"/>
              </w:rPr>
              <w:t xml:space="preserve">~ 240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7</w:t>
            </w:r>
          </w:p>
        </w:tc>
        <w:tc>
          <w:tcPr>
            <w:shd w:val="clear" w:color="auto" w:fill="F4F1EC"/>
          </w:tcPr>
          <w:p>
            <w:pPr>
              <w:pStyle w:val="Compact"/>
              <w:spacing w:after="40" w:before="40"/>
              <w:jc w:val="left"/>
            </w:pPr>
            <w:r>
              <w:rPr>
                <w:rFonts w:ascii="Cambria" w:hAnsi="Cambria" w:cs="Cambria" w:eastAsia="Cambria"/>
                <w:color w:val="1A1A1A"/>
                <w:sz w:val="18"/>
              </w:rPr>
              <w:t xml:space="preserve">~ 11</w:t>
            </w:r>
          </w:p>
        </w:tc>
        <w:tc>
          <w:tcPr>
            <w:shd w:val="clear" w:color="auto" w:fill="F4F1EC"/>
          </w:tcPr>
          <w:p>
            <w:pPr>
              <w:pStyle w:val="Compact"/>
              <w:spacing w:after="40" w:before="40"/>
              <w:jc w:val="left"/>
            </w:pPr>
            <w:r>
              <w:rPr>
                <w:rFonts w:ascii="Cambria" w:hAnsi="Cambria" w:cs="Cambria" w:eastAsia="Cambria"/>
                <w:color w:val="1A1A1A"/>
                <w:sz w:val="18"/>
              </w:rPr>
              <w:t xml:space="preserve">~ 14</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7</w:t>
            </w:r>
          </w:p>
        </w:tc>
        <w:tc>
          <w:tcPr/>
          <w:p>
            <w:pPr>
              <w:pStyle w:val="Compact"/>
              <w:spacing w:after="40" w:before="40"/>
              <w:jc w:val="left"/>
            </w:pPr>
            <w:r>
              <w:rPr>
                <w:rFonts w:ascii="Cambria" w:hAnsi="Cambria" w:cs="Cambria" w:eastAsia="Cambria"/>
                <w:color w:val="1A1A1A"/>
                <w:sz w:val="18"/>
              </w:rPr>
              <w:t xml:space="preserve">~ 10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25</w:t>
            </w:r>
          </w:p>
        </w:tc>
        <w:tc>
          <w:tcPr>
            <w:shd w:val="clear" w:color="auto" w:fill="F4F1EC"/>
          </w:tcPr>
          <w:p>
            <w:pPr>
              <w:pStyle w:val="Compact"/>
              <w:spacing w:after="40" w:before="40"/>
              <w:jc w:val="left"/>
            </w:pPr>
            <w:r>
              <w:rPr>
                <w:rFonts w:ascii="Cambria" w:hAnsi="Cambria" w:cs="Cambria" w:eastAsia="Cambria"/>
                <w:color w:val="1A1A1A"/>
                <w:sz w:val="18"/>
              </w:rPr>
              <w:t xml:space="preserve">~ 48</w:t>
            </w:r>
          </w:p>
        </w:tc>
        <w:tc>
          <w:tcPr>
            <w:shd w:val="clear" w:color="auto" w:fill="F4F1EC"/>
          </w:tcPr>
          <w:p>
            <w:pPr>
              <w:pStyle w:val="Compact"/>
              <w:spacing w:after="40" w:before="40"/>
              <w:jc w:val="left"/>
            </w:pPr>
            <w:r>
              <w:rPr>
                <w:rFonts w:ascii="Cambria" w:hAnsi="Cambria" w:cs="Cambria" w:eastAsia="Cambria"/>
                <w:color w:val="1A1A1A"/>
                <w:sz w:val="18"/>
              </w:rPr>
              <w:t xml:space="preserve">~ 67</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−3</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+22</w:t>
            </w:r>
          </w:p>
        </w:tc>
        <w:tc>
          <w:tcPr>
            <w:shd w:val="clear" w:color="auto" w:fill="F4F1EC"/>
          </w:tcPr>
          <w:p>
            <w:pPr>
              <w:pStyle w:val="Compact"/>
              <w:spacing w:after="40" w:before="40"/>
              <w:jc w:val="left"/>
            </w:pPr>
            <w:r>
              <w:rPr>
                <w:rFonts w:ascii="Cambria" w:hAnsi="Cambria" w:cs="Cambria" w:eastAsia="Cambria"/>
                <w:color w:val="1A1A1A"/>
                <w:sz w:val="18"/>
              </w:rPr>
              <w:t xml:space="preserve">+44</w:t>
            </w:r>
          </w:p>
        </w:tc>
        <w:tc>
          <w:tcPr>
            <w:shd w:val="clear" w:color="auto" w:fill="F4F1EC"/>
          </w:tcPr>
          <w:p>
            <w:pPr>
              <w:pStyle w:val="Compact"/>
              <w:spacing w:after="40" w:before="40"/>
              <w:jc w:val="left"/>
            </w:pPr>
            <w:r>
              <w:rPr>
                <w:rFonts w:ascii="Cambria" w:hAnsi="Cambria" w:cs="Cambria" w:eastAsia="Cambria"/>
                <w:color w:val="1A1A1A"/>
                <w:sz w:val="18"/>
              </w:rPr>
              <w:t xml:space="preserve">+63</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~4,1:1</w:t>
            </w:r>
          </w:p>
        </w:tc>
        <w:tc>
          <w:tcPr/>
          <w:p>
            <w:pPr>
              <w:pStyle w:val="Compact"/>
              <w:spacing w:after="40" w:before="40"/>
              <w:jc w:val="left"/>
            </w:pPr>
            <w:r>
              <w:rPr>
                <w:rFonts w:ascii="Cambria" w:hAnsi="Cambria" w:cs="Cambria" w:eastAsia="Cambria"/>
                <w:color w:val="1A1A1A"/>
                <w:sz w:val="18"/>
              </w:rPr>
              <w:t xml:space="preserve">~5,0:1</w:t>
            </w:r>
          </w:p>
        </w:tc>
        <w:t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A.3. Il quadro economico consolidato per scenario (costo per incarico di riferimento di 55.000 euro).</w:t>
      </w:r>
    </w:p>
    <w:bookmarkEnd w:id="4339"/>
    <w:bookmarkStart w:id="4340" w:name="Xffa71651920b7f59c17c97744e726aac1f83409"/>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012"/>
      </w:r>
      <w:r>
        <w:t xml:space="preserve"> </w:t>
      </w:r>
      <w:r>
        <w:t xml:space="preserve">La tabella seguente li descrive.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6"/>
        <w:gridCol w:w="1584"/>
        <w:gridCol w:w="41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Caratteristiche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 soglia clinica ~10; cambiamento affidabile ~6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d’ansia</w:t>
            </w:r>
          </w:p>
        </w:tc>
        <w:tc>
          <w:tcPr>
            <w:shd w:val="clear" w:color="auto" w:fill="F4F1EC"/>
          </w:tcPr>
          <w:p>
            <w:pPr>
              <w:pStyle w:val="Compact"/>
              <w:spacing w:after="40" w:before="40"/>
              <w:jc w:val="left"/>
            </w:pPr>
            <w:r>
              <w:rPr>
                <w:rFonts w:ascii="Cambria" w:hAnsi="Cambria" w:cs="Cambria" w:eastAsia="Cambria"/>
                <w:color w:val="1A1A1A"/>
                <w:sz w:val="18"/>
              </w:rPr>
              <w:t xml:space="preserve">0–21; impiegato nel solo punteggio complessivo</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Discesa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Esito secondario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013"/>
      </w:r>
      <w:r>
        <w:t xml:space="preserve"> </w:t>
      </w:r>
      <w:r>
        <w:t xml:space="preserve">La tabella seguente ne costituisce il dizionario dei dati.</w:t>
      </w:r>
    </w:p>
    <w:tbl>
      <w:tblPr>
        <w:tblStyle w:val="Table"/>
        <w:tblW w:type="pct" w:w="491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52"/>
        <w:gridCol w:w="4154"/>
        <w:gridCol w:w="18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Campo del dataset</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Momento di rilevazione</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Data di apertura, canale di accesso, invio</w:t>
            </w:r>
          </w:p>
        </w:tc>
        <w:tc>
          <w:tcPr/>
          <w:p>
            <w:pPr>
              <w:pStyle w:val="Compact"/>
              <w:spacing w:after="40" w:before="40"/>
              <w:jc w:val="left"/>
            </w:pPr>
            <w:r>
              <w:rPr>
                <w:rFonts w:ascii="Cambria" w:hAnsi="Cambria" w:cs="Cambria" w:eastAsia="Cambria"/>
                <w:color w:val="1A1A1A"/>
                <w:sz w:val="18"/>
              </w:rPr>
              <w:t xml:space="preserve">All’apertura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Seduta</w:t>
            </w:r>
          </w:p>
        </w:tc>
        <w:tc>
          <w:tcPr>
            <w:shd w:val="clear" w:color="auto" w:fill="F4F1EC"/>
          </w:tcPr>
          <w:p>
            <w:pPr>
              <w:pStyle w:val="Compact"/>
              <w:spacing w:after="40" w:before="40"/>
              <w:jc w:val="left"/>
            </w:pPr>
            <w:r>
              <w:rPr>
                <w:rFonts w:ascii="Cambria" w:hAnsi="Cambria" w:cs="Cambria" w:eastAsia="Cambria"/>
                <w:color w:val="1A1A1A"/>
                <w:sz w:val="18"/>
              </w:rPr>
              <w:t xml:space="preserve">Data, tipo e numero progressivo della seduta</w:t>
            </w:r>
          </w:p>
        </w:tc>
        <w:tc>
          <w:tcPr>
            <w:shd w:val="clear" w:color="auto" w:fill="F4F1EC"/>
          </w:tcPr>
          <w:p>
            <w:pPr>
              <w:pStyle w:val="Compact"/>
              <w:spacing w:after="40" w:before="40"/>
              <w:jc w:val="left"/>
            </w:pPr>
            <w:r>
              <w:rPr>
                <w:rFonts w:ascii="Cambria" w:hAnsi="Cambria" w:cs="Cambria" w:eastAsia="Cambria"/>
                <w:color w:val="1A1A1A"/>
                <w:sz w:val="18"/>
              </w:rPr>
              <w:t xml:space="preserve">A ogni seduta</w:t>
            </w:r>
          </w:p>
        </w:tc>
      </w:tr>
      <w:tr>
        <w:tc>
          <w:tcPr/>
          <w:p>
            <w:pPr>
              <w:pStyle w:val="Compact"/>
              <w:spacing w:after="40" w:before="40"/>
              <w:jc w:val="left"/>
            </w:pPr>
            <w:r>
              <w:rPr>
                <w:rFonts w:ascii="Cambria" w:hAnsi="Cambria" w:cs="Cambria" w:eastAsia="Cambria"/>
                <w:b/>
                <w:bCs/>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e GAD-7 (punteggi complessivi)</w:t>
            </w:r>
          </w:p>
        </w:tc>
        <w:tc>
          <w:tcPr/>
          <w:p>
            <w:pPr>
              <w:pStyle w:val="Compact"/>
              <w:spacing w:after="40" w:before="40"/>
              <w:jc w:val="left"/>
            </w:pPr>
            <w:r>
              <w:rPr>
                <w:rFonts w:ascii="Cambria" w:hAnsi="Cambria" w:cs="Cambria" w:eastAsia="Cambria"/>
                <w:color w:val="1A1A1A"/>
                <w:sz w:val="18"/>
              </w:rPr>
              <w:t xml:space="preserve">A ogni seduta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Invii e restituzioni</w:t>
            </w:r>
          </w:p>
        </w:tc>
        <w:tc>
          <w:tcPr>
            <w:shd w:val="clear" w:color="auto" w:fill="F4F1EC"/>
          </w:tcPr>
          <w:p>
            <w:pPr>
              <w:pStyle w:val="Compact"/>
              <w:spacing w:after="40" w:before="40"/>
              <w:jc w:val="left"/>
            </w:pPr>
            <w:r>
              <w:rPr>
                <w:rFonts w:ascii="Cambria" w:hAnsi="Cambria" w:cs="Cambria" w:eastAsia="Cambria"/>
                <w:color w:val="1A1A1A"/>
                <w:sz w:val="18"/>
              </w:rPr>
              <w:t xml:space="preserve">Invio a servizi specialistici; restituzione al medico curante</w:t>
            </w:r>
          </w:p>
        </w:tc>
        <w:tc>
          <w:tcPr>
            <w:shd w:val="clear" w:color="auto" w:fill="F4F1EC"/>
          </w:tcPr>
          <w:p>
            <w:pPr>
              <w:pStyle w:val="Compact"/>
              <w:spacing w:after="40" w:before="40"/>
              <w:jc w:val="left"/>
            </w:pPr>
            <w:r>
              <w:rPr>
                <w:rFonts w:ascii="Cambria" w:hAnsi="Cambria" w:cs="Cambria" w:eastAsia="Cambria"/>
                <w:color w:val="1A1A1A"/>
                <w:sz w:val="18"/>
              </w:rPr>
              <w:t xml:space="preserve">Ove pertinente</w:t>
            </w:r>
          </w:p>
        </w:tc>
      </w:tr>
      <w:tr>
        <w:tc>
          <w:tcPr/>
          <w:p>
            <w:pPr>
              <w:pStyle w:val="Compact"/>
              <w:spacing w:after="40" w:before="40"/>
              <w:jc w:val="left"/>
            </w:pPr>
            <w:r>
              <w:rPr>
                <w:rFonts w:ascii="Cambria" w:hAnsi="Cambria" w:cs="Cambria" w:eastAsia="Cambria"/>
                <w:b/>
                <w:bCs/>
                <w:color w:val="1A1A1A"/>
                <w:sz w:val="18"/>
              </w:rPr>
              <w:t xml:space="preserve">Chiusura</w:t>
            </w:r>
          </w:p>
        </w:tc>
        <w:tc>
          <w:tcPr/>
          <w:p>
            <w:pPr>
              <w:pStyle w:val="Compact"/>
              <w:spacing w:after="40" w:before="40"/>
              <w:jc w:val="left"/>
            </w:pPr>
            <w:r>
              <w:rPr>
                <w:rFonts w:ascii="Cambria" w:hAnsi="Cambria" w:cs="Cambria" w:eastAsia="Cambria"/>
                <w:color w:val="1A1A1A"/>
                <w:sz w:val="18"/>
              </w:rPr>
              <w:t xml:space="preserve">Esito del percorso (recupero, miglioramento, invio)</w:t>
            </w:r>
          </w:p>
        </w:tc>
        <w:tc>
          <w:tcPr/>
          <w:p>
            <w:pPr>
              <w:pStyle w:val="Compact"/>
              <w:spacing w:after="40" w:before="40"/>
              <w:jc w:val="left"/>
            </w:pPr>
            <w:r>
              <w:rPr>
                <w:rFonts w:ascii="Cambria" w:hAnsi="Cambria" w:cs="Cambria" w:eastAsia="Cambria"/>
                <w:color w:val="1A1A1A"/>
                <w:sz w:val="18"/>
              </w:rPr>
              <w:t xml:space="preserve">Alla chiusura</w:t>
            </w:r>
          </w:p>
        </w:tc>
      </w:tr>
    </w:tbl>
    <w:p>
      <w:pPr>
        <w:pStyle w:val="BodyText"/>
      </w:pPr>
      <w:r>
        <w:rPr>
          <w:i/>
          <w:iCs/>
        </w:rPr>
        <w:t xml:space="preserve">Tabella B.2. Il dataset minimo: i campi del protocollo di rilevazione (dizionario dei dati).</w:t>
      </w:r>
    </w:p>
    <w:bookmarkEnd w:id="4340"/>
    <w:bookmarkStart w:id="1213" w:name="appendice-c-dati-regionali-e-fonti-3"/>
    <w:p>
      <w:pPr>
        <w:pStyle w:val="Heading2"/>
      </w:pPr>
      <w:r>
        <w:t xml:space="preserve">Appendice C — Dati regionali e fonti</w:t>
      </w:r>
    </w:p>
    <w:p>
      <w:pPr>
        <w:pStyle w:val="FirstParagraph"/>
      </w:pPr>
      <w:r>
        <w:t xml:space="preserve">La presente appendice raccoglie i dati regionali di ancoraggio dello studio e ne dichiara i limiti. I valori sardi impiegati nelle analisi sono riepilogati nella tabella seguente.</w:t>
      </w:r>
      <w:r>
        <w:rPr>
          <w:rStyle w:val="FootnoteReference"/>
        </w:rPr>
        <w:footnoteReference w:id="2014"/>
      </w:r>
    </w:p>
    <w:tbl>
      <w:tblPr>
        <w:tblStyle w:val="Table"/>
        <w:tblW w:type="pct" w:w="496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003"/>
        <w:gridCol w:w="686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Trentino-Alto Adige</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~1.085.000 abitanti (ISTAT 2024), ~1,8% del totale nazionale; in crescita; Trentino 545.169, Alto Adige 539.386; fra le più giovani d’Italia; Alto Adige plurilingue (68,61% tedesco, 26,98% italiano, 4,41% ladino)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Finanziamento dei SSP</w:t>
            </w:r>
          </w:p>
        </w:tc>
        <w:tc>
          <w:tcPr>
            <w:shd w:val="clear" w:color="auto" w:fill="F4F1EC"/>
          </w:tcPr>
          <w:p>
            <w:pPr>
              <w:pStyle w:val="Compact"/>
              <w:spacing w:after="40" w:before="40"/>
              <w:jc w:val="left"/>
            </w:pPr>
            <w:r>
              <w:rPr>
                <w:rFonts w:ascii="Cambria" w:hAnsi="Cambria" w:cs="Cambria" w:eastAsia="Cambria"/>
                <w:color w:val="1A1A1A"/>
                <w:sz w:val="18"/>
              </w:rPr>
              <w:t xml:space="preserve">Due Servizi sanitari provinciali autonomi; autofinanziamento integrale con i 9/10 del gettito trattenuto, senza apporto statale; spesa pro-capite la più alta d’Italia; bilanci in avanzo</w:t>
            </w:r>
          </w:p>
        </w:tc>
      </w:tr>
      <w:tr>
        <w:tc>
          <w:tcPr/>
          <w:p>
            <w:pPr>
              <w:pStyle w:val="Compact"/>
              <w:spacing w:after="40" w:before="40"/>
              <w:jc w:val="left"/>
            </w:pPr>
            <w:r>
              <w:rPr>
                <w:rFonts w:ascii="Cambria" w:hAnsi="Cambria" w:cs="Cambria" w:eastAsia="Cambria"/>
                <w:b/>
                <w:bCs/>
                <w:color w:val="1A1A1A"/>
                <w:sz w:val="18"/>
              </w:rPr>
              <w:t xml:space="preserve">Mobilità sanitaria</w:t>
            </w:r>
          </w:p>
        </w:tc>
        <w:tc>
          <w:tcPr/>
          <w:p>
            <w:pPr>
              <w:pStyle w:val="Compact"/>
              <w:spacing w:after="40" w:before="40"/>
              <w:jc w:val="left"/>
            </w:pPr>
            <w:r>
              <w:rPr>
                <w:rFonts w:ascii="Cambria" w:hAnsi="Cambria" w:cs="Cambria" w:eastAsia="Cambria"/>
                <w:color w:val="1A1A1A"/>
                <w:sz w:val="18"/>
              </w:rPr>
              <w:t xml:space="preserve">Saldo modesto e per alcune branche attivo (le Province attraggono pazienti); canale di recupero trascurabile per questo intervento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cause psichiatriche dell’ordine di alcune decine di migliaia l’anno (proxy dai dati nazionali)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Consumo regionale delle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 217.000 con disagio comune potenziale (proxy ~20%); utenza in carico ai servizi rapportata ai dati nazionali; bisogno trainato dal disagio giovanile, dallo stress lavorativo e dalla dimensione plurilingue</w:t>
            </w:r>
          </w:p>
        </w:tc>
      </w:tr>
      <w:tr>
        <w:tc>
          <w:tcPr/>
          <w:p>
            <w:pPr>
              <w:pStyle w:val="Compact"/>
              <w:spacing w:after="40" w:before="40"/>
              <w:jc w:val="left"/>
            </w:pPr>
            <w:r>
              <w:rPr>
                <w:rFonts w:ascii="Cambria" w:hAnsi="Cambria" w:cs="Cambria" w:eastAsia="Cambria"/>
                <w:b/>
                <w:bCs/>
                <w:color w:val="1A1A1A"/>
                <w:sz w:val="18"/>
              </w:rPr>
              <w:t xml:space="preserve">Funzione attuale</w:t>
            </w:r>
          </w:p>
        </w:tc>
        <w:tc>
          <w:tcPr/>
          <w:p>
            <w:pPr>
              <w:pStyle w:val="Compact"/>
              <w:spacing w:after="40" w:before="40"/>
              <w:jc w:val="left"/>
            </w:pPr>
            <w:r>
              <w:rPr>
                <w:rFonts w:ascii="Cambria" w:hAnsi="Cambria" w:cs="Cambria" w:eastAsia="Cambria"/>
                <w:color w:val="1A1A1A"/>
                <w:sz w:val="18"/>
              </w:rPr>
              <w:t xml:space="preserve">Assetti già operanti nelle due Province: Trentino, convenzione APSS-studi privati (legge provinciale 2016, con ticket); Alto Adige, Servizio psicologico territoriale pubblico e bilingue (Sabes); da strutturare in un modello pieno e armonizzare</w:t>
            </w:r>
          </w:p>
        </w:tc>
      </w:tr>
    </w:tbl>
    <w:p>
      <w:pPr>
        <w:pStyle w:val="BodyText"/>
      </w:pPr>
      <w:r>
        <w:rPr>
          <w:i/>
          <w:iCs/>
        </w:rPr>
        <w:t xml:space="preserve">Tabella C.1. I valori di ancoraggio del Trentino-Alto Adige.</w:t>
      </w:r>
    </w:p>
    <w:p>
      <w:pPr>
        <w:pStyle w:val="BodyText"/>
      </w:pPr>
      <w:r>
        <w:t xml:space="preserve">Resta la lacuna principale dello studio: i valori economici sono in parte ricostruiti a partire dai conti nazionali scalati per la quota di popolazione, e non estratti dai conti provinciali certificati.</w:t>
      </w:r>
      <w:r>
        <w:rPr>
          <w:rStyle w:val="FootnoteReference"/>
        </w:rPr>
        <w:footnoteReference w:id="2015"/>
      </w:r>
      <w:r>
        <w:t xml:space="preserve"> </w:t>
      </w:r>
      <w:r>
        <w:t xml:space="preserve">La tabella seguente elenca i dati da acquisire per sostituire le stime.</w:t>
      </w:r>
    </w:p>
    <w:tbl>
      <w:tblPr>
        <w:tblStyle w:val="Table"/>
        <w:tblW w:type="pct" w:w="494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47"/>
        <w:gridCol w:w="639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Dato da acquisire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Ricoveri psichiatrici</w:t>
            </w:r>
          </w:p>
        </w:tc>
        <w:tc>
          <w:tcPr/>
          <w:p>
            <w:pPr>
              <w:pStyle w:val="Compact"/>
              <w:spacing w:after="40" w:before="40"/>
              <w:jc w:val="left"/>
            </w:pPr>
            <w:r>
              <w:rPr>
                <w:rFonts w:ascii="Cambria" w:hAnsi="Cambria" w:cs="Cambria" w:eastAsia="Cambria"/>
                <w:color w:val="1A1A1A"/>
                <w:sz w:val="18"/>
              </w:rPr>
              <w:t xml:space="preserve">Schede di dimissione ospedaliera per disturbi psichici e relativo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Specialistica</w:t>
            </w:r>
          </w:p>
        </w:tc>
        <w:tc>
          <w:tcPr>
            <w:shd w:val="clear" w:color="auto" w:fill="F4F1EC"/>
          </w:tcPr>
          <w:p>
            <w:pPr>
              <w:pStyle w:val="Compact"/>
              <w:spacing w:after="40" w:before="40"/>
              <w:jc w:val="left"/>
            </w:pPr>
            <w:r>
              <w:rPr>
                <w:rFonts w:ascii="Cambria" w:hAnsi="Cambria" w:cs="Cambria" w:eastAsia="Cambria"/>
                <w:color w:val="1A1A1A"/>
                <w:sz w:val="18"/>
              </w:rPr>
              <w:t xml:space="preserve">Prestazioni specialistiche associate ai sintomi somatici funzionali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Spesa regionale per 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causa psichiatrica e relativo costo unitario</w:t>
            </w:r>
          </w:p>
        </w:tc>
      </w:tr>
      <w:tr>
        <w:tc>
          <w:tcPr/>
          <w:p>
            <w:pPr>
              <w:pStyle w:val="Compact"/>
              <w:spacing w:after="40" w:before="40"/>
              <w:jc w:val="left"/>
            </w:pPr>
            <w:r>
              <w:rPr>
                <w:rFonts w:ascii="Cambria" w:hAnsi="Cambria" w:cs="Cambria" w:eastAsia="Cambria"/>
                <w:b/>
                <w:bCs/>
                <w:color w:val="1A1A1A"/>
                <w:sz w:val="18"/>
              </w:rPr>
              <w:t xml:space="preserve">Dati degli assetti esistenti</w:t>
            </w:r>
          </w:p>
        </w:tc>
        <w:tc>
          <w:tcPr/>
          <w:p>
            <w:pPr>
              <w:pStyle w:val="Compact"/>
              <w:spacing w:after="40" w:before="40"/>
              <w:jc w:val="left"/>
            </w:pPr>
            <w:r>
              <w:rPr>
                <w:rFonts w:ascii="Cambria" w:hAnsi="Cambria" w:cs="Cambria" w:eastAsia="Cambria"/>
                <w:color w:val="1A1A1A"/>
                <w:sz w:val="18"/>
              </w:rPr>
              <w:t xml:space="preserve">Prese in carico, sedute ed esiti dal modello trentino di convenzione e dal Servizio dell’Alto Adige, da consolidare in forma comparabile come fonte primaria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Liste di attesa</w:t>
            </w:r>
          </w:p>
        </w:tc>
        <w:tc>
          <w:tcPr>
            <w:shd w:val="clear" w:color="auto" w:fill="F4F1EC"/>
          </w:tcPr>
          <w:p>
            <w:pPr>
              <w:pStyle w:val="Compact"/>
              <w:spacing w:after="40" w:before="40"/>
              <w:jc w:val="left"/>
            </w:pPr>
            <w:r>
              <w:rPr>
                <w:rFonts w:ascii="Cambria" w:hAnsi="Cambria" w:cs="Cambria" w:eastAsia="Cambria"/>
                <w:color w:val="1A1A1A"/>
                <w:sz w:val="18"/>
              </w:rPr>
              <w:t xml:space="preserve">Tempi di attesa per l’accesso psicologico, per Provincia, comprensorio e area</w:t>
            </w:r>
          </w:p>
        </w:tc>
      </w:tr>
    </w:tbl>
    <w:p>
      <w:pPr>
        <w:pStyle w:val="BodyText"/>
      </w:pPr>
      <w:r>
        <w:rPr>
          <w:i/>
          <w:iCs/>
        </w:rPr>
        <w:t xml:space="preserve">Tabella C.2. I dati certificati da acquisire per sostituire le stime (lacuna principale dello studio).</w:t>
      </w:r>
    </w:p>
    <w:bookmarkEnd w:id="1213"/>
    <w:bookmarkStart w:id="4341" w:name="appendice-d-checklist-di-reporting-3"/>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016"/>
      </w:r>
      <w:r>
        <w:t xml:space="preserve"> </w:t>
      </w:r>
      <w:r>
        <w:t xml:space="preserve">La tabella seguente li riepiloga.</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3927"/>
        <w:gridCol w:w="1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Standard o lista di controllo</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r>
      <w:tr>
        <w:tc>
          <w:tcPr/>
          <w:p>
            <w:pPr>
              <w:pStyle w:val="Compact"/>
              <w:spacing w:after="40" w:before="40"/>
              <w:jc w:val="left"/>
            </w:pPr>
            <w:r>
              <w:rPr>
                <w:rFonts w:ascii="Cambria" w:hAnsi="Cambria" w:cs="Cambria" w:eastAsia="Cambria"/>
                <w:b/>
                <w:bCs/>
                <w:color w:val="1A1A1A"/>
                <w:sz w:val="18"/>
              </w:rPr>
              <w:t xml:space="preserve">CHEERS 2022 (28 voci)</w:t>
            </w:r>
          </w:p>
        </w:tc>
        <w:tc>
          <w:tcPr/>
          <w:p>
            <w:pPr>
              <w:pStyle w:val="Compact"/>
              <w:spacing w:after="40" w:before="40"/>
              <w:jc w:val="left"/>
            </w:pPr>
            <w:r>
              <w:rPr>
                <w:rFonts w:ascii="Cambria" w:hAnsi="Cambria" w:cs="Cambria" w:eastAsia="Cambria"/>
                <w:color w:val="1A1A1A"/>
                <w:sz w:val="18"/>
              </w:rPr>
              <w:t xml:space="preserve">Rendicontazione delle valutazioni economiche</w:t>
            </w:r>
          </w:p>
        </w:tc>
        <w:tc>
          <w:tcPr/>
          <w:p>
            <w:pPr>
              <w:pStyle w:val="Compact"/>
              <w:spacing w:after="40" w:before="40"/>
              <w:jc w:val="left"/>
            </w:pPr>
            <w:r>
              <w:rPr>
                <w:rFonts w:ascii="Cambria" w:hAnsi="Cambria" w:cs="Cambria" w:eastAsia="Cambria"/>
                <w:color w:val="1A1A1A"/>
                <w:sz w:val="18"/>
              </w:rPr>
              <w:t xml:space="preserve">Parte 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CHEERS-AI (38 voci)</w:t>
            </w:r>
          </w:p>
        </w:tc>
        <w:tc>
          <w:tcPr>
            <w:shd w:val="clear" w:color="auto" w:fill="F4F1EC"/>
          </w:tcPr>
          <w:p>
            <w:pPr>
              <w:pStyle w:val="Compact"/>
              <w:spacing w:after="40" w:before="40"/>
              <w:jc w:val="left"/>
            </w:pPr>
            <w:r>
              <w:rPr>
                <w:rFonts w:ascii="Cambria" w:hAnsi="Cambria" w:cs="Cambria" w:eastAsia="Cambria"/>
                <w:color w:val="1A1A1A"/>
                <w:sz w:val="18"/>
              </w:rPr>
              <w:t xml:space="preserve">Estensione per gli interventi con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Parti C, E</w:t>
            </w:r>
          </w:p>
        </w:tc>
      </w:tr>
      <w:tr>
        <w:tc>
          <w:tcPr/>
          <w:p>
            <w:pPr>
              <w:pStyle w:val="Compact"/>
              <w:spacing w:after="40" w:before="40"/>
              <w:jc w:val="left"/>
            </w:pPr>
            <w:r>
              <w:rPr>
                <w:rFonts w:ascii="Cambria" w:hAnsi="Cambria" w:cs="Cambria" w:eastAsia="Cambria"/>
                <w:b/>
                <w:bCs/>
                <w:color w:val="1A1A1A"/>
                <w:sz w:val="18"/>
              </w:rPr>
              <w:t xml:space="preserve">PRISMA 2020</w:t>
            </w:r>
          </w:p>
        </w:tc>
        <w:tc>
          <w:tcPr/>
          <w:p>
            <w:pPr>
              <w:pStyle w:val="Compact"/>
              <w:spacing w:after="40" w:before="40"/>
              <w:jc w:val="left"/>
            </w:pPr>
            <w:r>
              <w:rPr>
                <w:rFonts w:ascii="Cambria" w:hAnsi="Cambria" w:cs="Cambria" w:eastAsia="Cambria"/>
                <w:color w:val="1A1A1A"/>
                <w:sz w:val="18"/>
              </w:rPr>
              <w:t xml:space="preserve">Conduzione e reporting delle revisioni sistematiche</w:t>
            </w:r>
          </w:p>
        </w:tc>
        <w:tc>
          <w:tcPr/>
          <w:p>
            <w:pPr>
              <w:pStyle w:val="Compact"/>
              <w:spacing w:after="40" w:before="40"/>
              <w:jc w:val="left"/>
            </w:pPr>
            <w:r>
              <w:rPr>
                <w:rFonts w:ascii="Cambria" w:hAnsi="Cambria" w:cs="Cambria" w:eastAsia="Cambria"/>
                <w:color w:val="1A1A1A"/>
                <w:sz w:val="18"/>
              </w:rPr>
              <w:t xml:space="preserve">Parte 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GRADE</w:t>
            </w:r>
          </w:p>
        </w:tc>
        <w:tc>
          <w:tcPr>
            <w:shd w:val="clear" w:color="auto" w:fill="F4F1EC"/>
          </w:tcPr>
          <w:p>
            <w:pPr>
              <w:pStyle w:val="Compact"/>
              <w:spacing w:after="40" w:before="40"/>
              <w:jc w:val="left"/>
            </w:pPr>
            <w:r>
              <w:rPr>
                <w:rFonts w:ascii="Cambria" w:hAnsi="Cambria" w:cs="Cambria" w:eastAsia="Cambria"/>
                <w:color w:val="1A1A1A"/>
                <w:sz w:val="18"/>
              </w:rPr>
              <w:t xml:space="preserve">Graduazione della certezza dell’evidenza</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r>
      <w:tr>
        <w:tc>
          <w:tcPr/>
          <w:p>
            <w:pPr>
              <w:pStyle w:val="Compact"/>
              <w:spacing w:after="40" w:before="40"/>
              <w:jc w:val="left"/>
            </w:pPr>
            <w:r>
              <w:rPr>
                <w:rFonts w:ascii="Cambria" w:hAnsi="Cambria" w:cs="Cambria" w:eastAsia="Cambria"/>
                <w:b/>
                <w:bCs/>
                <w:color w:val="1A1A1A"/>
                <w:sz w:val="18"/>
              </w:rPr>
              <w:t xml:space="preserve">Lista STROBE</w:t>
            </w:r>
          </w:p>
        </w:tc>
        <w:tc>
          <w:tcPr/>
          <w:p>
            <w:pPr>
              <w:pStyle w:val="Compact"/>
              <w:spacing w:after="40" w:before="40"/>
              <w:jc w:val="left"/>
            </w:pPr>
            <w:r>
              <w:rPr>
                <w:rFonts w:ascii="Cambria" w:hAnsi="Cambria" w:cs="Cambria" w:eastAsia="Cambria"/>
                <w:color w:val="1A1A1A"/>
                <w:sz w:val="18"/>
              </w:rPr>
              <w:t xml:space="preserve">Studi osservazionali sui dati reali</w:t>
            </w:r>
          </w:p>
        </w:tc>
        <w:tc>
          <w:tcPr/>
          <w:p>
            <w:pPr>
              <w:pStyle w:val="Compact"/>
              <w:spacing w:after="40" w:before="40"/>
              <w:jc w:val="left"/>
            </w:pPr>
            <w:r>
              <w:rPr>
                <w:rFonts w:ascii="Cambria" w:hAnsi="Cambria" w:cs="Cambria" w:eastAsia="Cambria"/>
                <w:color w:val="1A1A1A"/>
                <w:sz w:val="18"/>
              </w:rPr>
              <w:t xml:space="preserve">Parti D,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Buone pratiche ISPOR-SMDM</w:t>
            </w:r>
          </w:p>
        </w:tc>
        <w:tc>
          <w:tcPr>
            <w:shd w:val="clear" w:color="auto" w:fill="F4F1EC"/>
          </w:tcPr>
          <w:p>
            <w:pPr>
              <w:pStyle w:val="Compact"/>
              <w:spacing w:after="40" w:before="40"/>
              <w:jc w:val="left"/>
            </w:pPr>
            <w:r>
              <w:rPr>
                <w:rFonts w:ascii="Cambria" w:hAnsi="Cambria" w:cs="Cambria" w:eastAsia="Cambria"/>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r>
      <w:tr>
        <w:tc>
          <w:tcPr/>
          <w:p>
            <w:pPr>
              <w:pStyle w:val="Compact"/>
              <w:spacing w:after="40" w:before="40"/>
              <w:jc w:val="left"/>
            </w:pPr>
            <w:r>
              <w:rPr>
                <w:rFonts w:ascii="Cambria" w:hAnsi="Cambria" w:cs="Cambria" w:eastAsia="Cambria"/>
                <w:b/>
                <w:bCs/>
                <w:color w:val="1A1A1A"/>
                <w:sz w:val="18"/>
              </w:rPr>
              <w:t xml:space="preserve">Manuale OCSE-JRC</w:t>
            </w:r>
          </w:p>
        </w:tc>
        <w:tc>
          <w:tcPr/>
          <w:p>
            <w:pPr>
              <w:pStyle w:val="Compact"/>
              <w:spacing w:after="40" w:before="40"/>
              <w:jc w:val="left"/>
            </w:pPr>
            <w:r>
              <w:rPr>
                <w:rFonts w:ascii="Cambria" w:hAnsi="Cambria" w:cs="Cambria" w:eastAsia="Cambria"/>
                <w:color w:val="1A1A1A"/>
                <w:sz w:val="18"/>
              </w:rPr>
              <w:t xml:space="preserve">Costruzione degli indicatori compositi</w:t>
            </w:r>
          </w:p>
        </w:tc>
        <w:tc>
          <w:tcPr/>
          <w:p>
            <w:pPr>
              <w:pStyle w:val="Compact"/>
              <w:spacing w:after="40" w:before="40"/>
              <w:jc w:val="left"/>
            </w:pPr>
            <w:r>
              <w:rPr>
                <w:rFonts w:ascii="Cambria" w:hAnsi="Cambria" w:cs="Cambria" w:eastAsia="Cambria"/>
                <w:color w:val="1A1A1A"/>
                <w:sz w:val="18"/>
              </w:rPr>
              <w:t xml:space="preserve">Parte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Griglia di giudizio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r>
    </w:tbl>
    <w:p>
      <w:pPr>
        <w:pStyle w:val="BodyText"/>
      </w:pPr>
      <w:r>
        <w:rPr>
          <w:i/>
          <w:iCs/>
        </w:rPr>
        <w:t xml:space="preserve">Tabella D.1. Gli standard di reporting e di qualità adottati nello studio, per parte di applicazione.</w:t>
      </w:r>
    </w:p>
    <w:bookmarkEnd w:id="4341"/>
    <w:bookmarkStart w:id="1217" w:name="appendice-e-glossario-3"/>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017"/>
      </w:r>
      <w:r>
        <w:t xml:space="preserve"> </w:t>
      </w:r>
      <w:r>
        <w:t xml:space="preserve">Le definizioni sono comuni al telaio metodologico replicato in tutti gli studi regionali del progetto.</w:t>
      </w:r>
    </w:p>
    <w:tbl>
      <w:tblPr>
        <w:tblStyle w:val="Table"/>
        <w:tblW w:type="pct" w:w="497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07"/>
        <w:gridCol w:w="677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Termine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w:t>
            </w:r>
          </w:p>
        </w:tc>
      </w:tr>
      <w:tr>
        <w:tc>
          <w:tcPr/>
          <w:p>
            <w:pPr>
              <w:pStyle w:val="Compact"/>
              <w:spacing w:after="40" w:before="40"/>
              <w:jc w:val="left"/>
            </w:pPr>
            <w:r>
              <w:rPr>
                <w:rFonts w:ascii="Cambria" w:hAnsi="Cambria" w:cs="Cambria" w:eastAsia="Cambria"/>
                <w:b/>
                <w:bCs/>
                <w:color w:val="1A1A1A"/>
                <w:sz w:val="18"/>
              </w:rPr>
              <w:t xml:space="preserve">Valutazione di tecnologia sanitaria (HTA)</w:t>
            </w:r>
          </w:p>
        </w:tc>
        <w:tc>
          <w:tcPr/>
          <w:p>
            <w:pPr>
              <w:pStyle w:val="Compact"/>
              <w:spacing w:after="40" w:before="40"/>
              <w:jc w:val="left"/>
            </w:pPr>
            <w:r>
              <w:rPr>
                <w:rFonts w:ascii="Cambria" w:hAnsi="Cambria" w:cs="Cambria" w:eastAsia="Cambria"/>
                <w:color w:val="1A1A1A"/>
                <w:sz w:val="18"/>
              </w:rPr>
              <w:t xml:space="preserve">Valutazione multidimensionale di un intervento sanitario, articolata in nove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rapida di efficacia relativa</w:t>
            </w:r>
          </w:p>
        </w:tc>
        <w:tc>
          <w:tcPr>
            <w:shd w:val="clear" w:color="auto" w:fill="F4F1EC"/>
          </w:tcPr>
          <w:p>
            <w:pPr>
              <w:pStyle w:val="Compact"/>
              <w:spacing w:after="40" w:before="40"/>
              <w:jc w:val="left"/>
            </w:pPr>
            <w:r>
              <w:rPr>
                <w:rFonts w:ascii="Cambria" w:hAnsi="Cambria" w:cs="Cambria" w:eastAsia="Cambria"/>
                <w:color w:val="1A1A1A"/>
                <w:sz w:val="18"/>
              </w:rPr>
              <w:t xml:space="preserve">Nucleo dell’HTA, che copre i primi quattro domini (problema, descrizione, sicurezza, efficacia)</w:t>
            </w:r>
          </w:p>
        </w:tc>
      </w:tr>
      <w:tr>
        <w:tc>
          <w:tcPr/>
          <w:p>
            <w:pPr>
              <w:pStyle w:val="Compact"/>
              <w:spacing w:after="40" w:before="40"/>
              <w:jc w:val="left"/>
            </w:pPr>
            <w:r>
              <w:rPr>
                <w:rFonts w:ascii="Cambria" w:hAnsi="Cambria" w:cs="Cambria" w:eastAsia="Cambria"/>
                <w:b/>
                <w:bCs/>
                <w:color w:val="1A1A1A"/>
                <w:sz w:val="18"/>
              </w:rPr>
              <w:t xml:space="preserve">Five Case Model</w:t>
            </w:r>
          </w:p>
        </w:tc>
        <w:tc>
          <w:tcPr/>
          <w:p>
            <w:pPr>
              <w:pStyle w:val="Compact"/>
              <w:spacing w:after="40" w:before="40"/>
              <w:jc w:val="left"/>
            </w:pPr>
            <w:r>
              <w:rPr>
                <w:rFonts w:ascii="Cambria" w:hAnsi="Cambria" w:cs="Cambria" w:eastAsia="Cambria"/>
                <w:color w:val="1A1A1A"/>
                <w:sz w:val="18"/>
              </w:rPr>
              <w:t xml:space="preserve">Standard del business case pubblico in cinque casi: strategico, economico, commerciale, finanziario, gestionale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 2022</w:t>
            </w:r>
          </w:p>
        </w:tc>
        <w:tc>
          <w:tcPr>
            <w:shd w:val="clear" w:color="auto" w:fill="F4F1EC"/>
          </w:tcPr>
          <w:p>
            <w:pPr>
              <w:pStyle w:val="Compact"/>
              <w:spacing w:after="40" w:before="40"/>
              <w:jc w:val="left"/>
            </w:pPr>
            <w:r>
              <w:rPr>
                <w:rFonts w:ascii="Cambria" w:hAnsi="Cambria" w:cs="Cambria" w:eastAsia="Cambria"/>
                <w:color w:val="1A1A1A"/>
                <w:sz w:val="18"/>
              </w:rPr>
              <w:t xml:space="preserve">Lista di controllo di 28 voci per la rendicontazione delle valutazioni economiche</w:t>
            </w:r>
          </w:p>
        </w:tc>
      </w:tr>
      <w:tr>
        <w:tc>
          <w:tcPr/>
          <w:p>
            <w:pPr>
              <w:pStyle w:val="Compact"/>
              <w:spacing w:after="40" w:before="40"/>
              <w:jc w:val="left"/>
            </w:pPr>
            <w:r>
              <w:rPr>
                <w:rFonts w:ascii="Cambria" w:hAnsi="Cambria" w:cs="Cambria" w:eastAsia="Cambria"/>
                <w:b/>
                <w:bCs/>
                <w:color w:val="1A1A1A"/>
                <w:sz w:val="18"/>
              </w:rPr>
              <w:t xml:space="preserve">Criteri OCSE-DAC</w:t>
            </w:r>
          </w:p>
        </w:tc>
        <w:tc>
          <w:tcPr/>
          <w:p>
            <w:pPr>
              <w:pStyle w:val="Compact"/>
              <w:spacing w:after="40" w:before="40"/>
              <w:jc w:val="left"/>
            </w:pPr>
            <w:r>
              <w:rPr>
                <w:rFonts w:ascii="Cambria" w:hAnsi="Cambria" w:cs="Cambria" w:eastAsia="Cambria"/>
                <w:color w:val="1A1A1A"/>
                <w:sz w:val="18"/>
              </w:rPr>
              <w:t xml:space="preserve">Sei criteri di giudizio: rilevanza, coerenza, efficacia, efficienza, impatto,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di vita ponderato per la qualità (QALY)</w:t>
            </w:r>
          </w:p>
        </w:tc>
        <w:tc>
          <w:tcPr>
            <w:shd w:val="clear" w:color="auto" w:fill="F4F1EC"/>
          </w:tcPr>
          <w:p>
            <w:pPr>
              <w:pStyle w:val="Compact"/>
              <w:spacing w:after="40" w:before="40"/>
              <w:jc w:val="left"/>
            </w:pPr>
            <w:r>
              <w:rPr>
                <w:rFonts w:ascii="Cambria" w:hAnsi="Cambria" w:cs="Cambria" w:eastAsia="Cambria"/>
                <w:color w:val="1A1A1A"/>
                <w:sz w:val="18"/>
              </w:rPr>
              <w:t xml:space="preserve">Misura che integra durata e qualità della vita guadagnate</w:t>
            </w:r>
          </w:p>
        </w:tc>
      </w:tr>
      <w:tr>
        <w:tc>
          <w:tcPr/>
          <w:p>
            <w:pPr>
              <w:pStyle w:val="Compact"/>
              <w:spacing w:after="40" w:before="40"/>
              <w:jc w:val="left"/>
            </w:pPr>
            <w:r>
              <w:rPr>
                <w:rFonts w:ascii="Cambria" w:hAnsi="Cambria" w:cs="Cambria" w:eastAsia="Cambria"/>
                <w:b/>
                <w:bCs/>
                <w:color w:val="1A1A1A"/>
                <w:sz w:val="18"/>
              </w:rPr>
              <w:t xml:space="preserve">Rapporto incrementale di costo-efficacia (ICER)</w:t>
            </w:r>
          </w:p>
        </w:tc>
        <w:tc>
          <w:tcPr/>
          <w:p>
            <w:pPr>
              <w:pStyle w:val="Compact"/>
              <w:spacing w:after="40" w:before="40"/>
              <w:jc w:val="left"/>
            </w:pPr>
            <w:r>
              <w:rPr>
                <w:rFonts w:ascii="Cambria" w:hAnsi="Cambria" w:cs="Cambria" w:eastAsia="Cambria"/>
                <w:color w:val="1A1A1A"/>
                <w:sz w:val="18"/>
              </w:rPr>
              <w:t xml:space="preserve">Rapporto tra costo aggiuntivo e guadagno di salute, confrontato con una soglia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costo-utilità</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che misura gli esiti in anni di vita ponderati per la qualità</w:t>
            </w:r>
          </w:p>
        </w:tc>
      </w:tr>
      <w:tr>
        <w:tc>
          <w:tcPr/>
          <w:p>
            <w:pPr>
              <w:pStyle w:val="Compact"/>
              <w:spacing w:after="40" w:before="40"/>
              <w:jc w:val="left"/>
            </w:pPr>
            <w:r>
              <w:rPr>
                <w:rFonts w:ascii="Cambria" w:hAnsi="Cambria" w:cs="Cambria" w:eastAsia="Cambria"/>
                <w:b/>
                <w:bCs/>
                <w:color w:val="1A1A1A"/>
                <w:sz w:val="18"/>
              </w:rPr>
              <w:t xml:space="preserve">Analisi di impatto sul bilancio</w:t>
            </w:r>
          </w:p>
        </w:tc>
        <w:tc>
          <w:tcPr/>
          <w:p>
            <w:pPr>
              <w:pStyle w:val="Compact"/>
              <w:spacing w:after="40" w:before="40"/>
              <w:jc w:val="left"/>
            </w:pPr>
            <w:r>
              <w:rPr>
                <w:rFonts w:ascii="Cambria" w:hAnsi="Cambria" w:cs="Cambria" w:eastAsia="Cambria"/>
                <w:color w:val="1A1A1A"/>
                <w:sz w:val="18"/>
              </w:rPr>
              <w:t xml:space="preserve">Stima dell’effetto finanziario sul bilancio del detentore del budget, su flussi non scontati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sull’investimento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Metodo che monetizza il valore sociale generato, distinto dai risparmi di bilancio</w:t>
            </w:r>
          </w:p>
        </w:tc>
      </w:tr>
      <w:tr>
        <w:tc>
          <w:tcPr/>
          <w:p>
            <w:pPr>
              <w:pStyle w:val="Compact"/>
              <w:spacing w:after="40" w:before="40"/>
              <w:jc w:val="left"/>
            </w:pPr>
            <w:r>
              <w:rPr>
                <w:rFonts w:ascii="Cambria" w:hAnsi="Cambria" w:cs="Cambria" w:eastAsia="Cambria"/>
                <w:b/>
                <w:bCs/>
                <w:color w:val="1A1A1A"/>
                <w:sz w:val="18"/>
              </w:rPr>
              <w:t xml:space="preserve">Analisi costo-efficacia distributiva (DCEA)</w:t>
            </w:r>
          </w:p>
        </w:tc>
        <w:tc>
          <w:tcPr/>
          <w:p>
            <w:pPr>
              <w:pStyle w:val="Compact"/>
              <w:spacing w:after="40" w:before="40"/>
              <w:jc w:val="left"/>
            </w:pPr>
            <w:r>
              <w:rPr>
                <w:rFonts w:ascii="Cambria" w:hAnsi="Cambria" w:cs="Cambria" w:eastAsia="Cambria"/>
                <w:color w:val="1A1A1A"/>
                <w:sz w:val="18"/>
              </w:rPr>
              <w:t xml:space="preserve">Estende la valutazione economica alla distribuzione degli effetti tra gruppi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sensibilità probabilistica</w:t>
            </w:r>
          </w:p>
        </w:tc>
        <w:tc>
          <w:tcPr>
            <w:shd w:val="clear" w:color="auto" w:fill="F4F1EC"/>
          </w:tcPr>
          <w:p>
            <w:pPr>
              <w:pStyle w:val="Compact"/>
              <w:spacing w:after="40" w:before="40"/>
              <w:jc w:val="left"/>
            </w:pPr>
            <w:r>
              <w:rPr>
                <w:rFonts w:ascii="Cambria" w:hAnsi="Cambria" w:cs="Cambria" w:eastAsia="Cambria"/>
                <w:color w:val="1A1A1A"/>
                <w:sz w:val="18"/>
              </w:rPr>
              <w:t xml:space="preserve">Propaga l’incertezza dei parametri mediante simulazioni Monte Carlo</w:t>
            </w:r>
          </w:p>
        </w:tc>
      </w:tr>
      <w:tr>
        <w:tc>
          <w:tcPr/>
          <w:p>
            <w:pPr>
              <w:pStyle w:val="Compact"/>
              <w:spacing w:after="40" w:before="40"/>
              <w:jc w:val="left"/>
            </w:pPr>
            <w:r>
              <w:rPr>
                <w:rFonts w:ascii="Cambria" w:hAnsi="Cambria" w:cs="Cambria" w:eastAsia="Cambria"/>
                <w:b/>
                <w:bCs/>
                <w:color w:val="1A1A1A"/>
                <w:sz w:val="18"/>
              </w:rPr>
              <w:t xml:space="preserve">Valore dell’informazione (EVPI, EVPPI)</w:t>
            </w:r>
          </w:p>
        </w:tc>
        <w:tc>
          <w:tcPr/>
          <w:p>
            <w:pPr>
              <w:pStyle w:val="Compact"/>
              <w:spacing w:after="40" w:before="40"/>
              <w:jc w:val="left"/>
            </w:pPr>
            <w:r>
              <w:rPr>
                <w:rFonts w:ascii="Cambria" w:hAnsi="Cambria" w:cs="Cambria" w:eastAsia="Cambria"/>
                <w:color w:val="1A1A1A"/>
                <w:sz w:val="18"/>
              </w:rPr>
              <w:t xml:space="preserve">Beneficio atteso dalla riduzione dell’incertezza, complessiva e sui parametri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Markov</w:t>
            </w:r>
          </w:p>
        </w:tc>
        <w:tc>
          <w:tcPr>
            <w:shd w:val="clear" w:color="auto" w:fill="F4F1EC"/>
          </w:tcPr>
          <w:p>
            <w:pPr>
              <w:pStyle w:val="Compact"/>
              <w:spacing w:after="40" w:before="40"/>
              <w:jc w:val="left"/>
            </w:pPr>
            <w:r>
              <w:rPr>
                <w:rFonts w:ascii="Cambria" w:hAnsi="Cambria" w:cs="Cambria" w:eastAsia="Cambria"/>
                <w:color w:val="1A1A1A"/>
                <w:sz w:val="18"/>
              </w:rPr>
              <w:t xml:space="preserve">Modello che rappresenta il decorso di una condizione attraverso stati di salute e transizioni</w:t>
            </w:r>
          </w:p>
        </w:tc>
      </w:tr>
      <w:tr>
        <w:tc>
          <w:tcPr/>
          <w:p>
            <w:pPr>
              <w:pStyle w:val="Compact"/>
              <w:spacing w:after="40" w:before="40"/>
              <w:jc w:val="left"/>
            </w:pPr>
            <w:r>
              <w:rPr>
                <w:rFonts w:ascii="Cambria" w:hAnsi="Cambria" w:cs="Cambria" w:eastAsia="Cambria"/>
                <w:b/>
                <w:bCs/>
                <w:color w:val="1A1A1A"/>
                <w:sz w:val="18"/>
              </w:rPr>
              <w:t xml:space="preserve">Differenza-nelle-differenze</w:t>
            </w:r>
          </w:p>
        </w:tc>
        <w:tc>
          <w:tcPr/>
          <w:p>
            <w:pPr>
              <w:pStyle w:val="Compact"/>
              <w:spacing w:after="40" w:before="40"/>
              <w:jc w:val="left"/>
            </w:pPr>
            <w:r>
              <w:rPr>
                <w:rFonts w:ascii="Cambria" w:hAnsi="Cambria" w:cs="Cambria" w:eastAsia="Cambria"/>
                <w:color w:val="1A1A1A"/>
                <w:sz w:val="18"/>
              </w:rPr>
              <w:t xml:space="preserve">Metodo controfattuale che confronta la variazione nel tempo dell’esito tra gruppi a diversa esposizione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Controllo sintetico</w:t>
            </w:r>
          </w:p>
        </w:tc>
        <w:tc>
          <w:tcPr>
            <w:shd w:val="clear" w:color="auto" w:fill="F4F1EC"/>
          </w:tcPr>
          <w:p>
            <w:pPr>
              <w:pStyle w:val="Compact"/>
              <w:spacing w:after="40" w:before="40"/>
              <w:jc w:val="left"/>
            </w:pPr>
            <w:r>
              <w:rPr>
                <w:rFonts w:ascii="Cambria" w:hAnsi="Cambria" w:cs="Cambria" w:eastAsia="Cambria"/>
                <w:color w:val="1A1A1A"/>
                <w:sz w:val="18"/>
              </w:rPr>
              <w:t xml:space="preserve">Metodo che costruisce un’unità di confronto come combinazione ponderata di unità a minore esposizione</w:t>
            </w:r>
          </w:p>
        </w:tc>
      </w:tr>
      <w:tr>
        <w:tc>
          <w:tcPr/>
          <w:p>
            <w:pPr>
              <w:pStyle w:val="Compact"/>
              <w:spacing w:after="40" w:before="40"/>
              <w:jc w:val="left"/>
            </w:pPr>
            <w:r>
              <w:rPr>
                <w:rFonts w:ascii="Cambria" w:hAnsi="Cambria" w:cs="Cambria" w:eastAsia="Cambria"/>
                <w:b/>
                <w:bCs/>
                <w:color w:val="1A1A1A"/>
                <w:sz w:val="18"/>
              </w:rPr>
              <w:t xml:space="preserve">Disegno a cunei progressivi</w:t>
            </w:r>
          </w:p>
        </w:tc>
        <w:tc>
          <w:tcPr/>
          <w:p>
            <w:pPr>
              <w:pStyle w:val="Compact"/>
              <w:spacing w:after="40" w:before="40"/>
              <w:jc w:val="left"/>
            </w:pPr>
            <w:r>
              <w:rPr>
                <w:rFonts w:ascii="Cambria" w:hAnsi="Cambria" w:cs="Cambria" w:eastAsia="Cambria"/>
                <w:color w:val="1A1A1A"/>
                <w:sz w:val="18"/>
              </w:rPr>
              <w:t xml:space="preserve">Disegno controfattuale impiegato nel Trentino-Alto Adige, fondato sulla progressione differenziata della strutturazione del modello pieno tra i comprensori e i distretti delle due Province autonome, con una linea di base dagli assetti già operanti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e verifica d’impatto della regolazione</w:t>
            </w:r>
          </w:p>
        </w:tc>
        <w:tc>
          <w:tcPr>
            <w:shd w:val="clear" w:color="auto" w:fill="F4F1EC"/>
          </w:tcPr>
          <w:p>
            <w:pPr>
              <w:pStyle w:val="Compact"/>
              <w:spacing w:after="40" w:before="40"/>
              <w:jc w:val="left"/>
            </w:pPr>
            <w:r>
              <w:rPr>
                <w:rFonts w:ascii="Cambria" w:hAnsi="Cambria" w:cs="Cambria" w:eastAsia="Cambria"/>
                <w:color w:val="1A1A1A"/>
                <w:sz w:val="18"/>
              </w:rPr>
              <w:t xml:space="preserve">Valutazione ex ante (AIR) ed ex post (VIR) degli effetti di una norma</w:t>
            </w:r>
          </w:p>
        </w:tc>
      </w:tr>
      <w:tr>
        <w:tc>
          <w:tcPr/>
          <w:p>
            <w:pPr>
              <w:pStyle w:val="Compact"/>
              <w:spacing w:after="40" w:before="40"/>
              <w:jc w:val="left"/>
            </w:pPr>
            <w:r>
              <w:rPr>
                <w:rFonts w:ascii="Cambria" w:hAnsi="Cambria" w:cs="Cambria" w:eastAsia="Cambria"/>
                <w:b/>
                <w:bCs/>
                <w:color w:val="1A1A1A"/>
                <w:sz w:val="18"/>
              </w:rPr>
              <w:t xml:space="preserve">Clausola valutativa</w:t>
            </w:r>
          </w:p>
        </w:tc>
        <w:tc>
          <w:tcPr/>
          <w:p>
            <w:pPr>
              <w:pStyle w:val="Compact"/>
              <w:spacing w:after="40" w:before="40"/>
              <w:jc w:val="left"/>
            </w:pPr>
            <w:r>
              <w:rPr>
                <w:rFonts w:ascii="Cambria" w:hAnsi="Cambria" w:cs="Cambria" w:eastAsia="Cambria"/>
                <w:color w:val="1A1A1A"/>
                <w:sz w:val="18"/>
              </w:rPr>
              <w:t xml:space="preserve">Strumento che impegna le Giunte provinciali a riferire ai rispettivi Consigli sui risultati del servizio; nel Trentino-Alto Adige va corredata alla strutturazione del modello pieno nei rispettivi ordinamenti provinciali, e alimentata da un flusso comparabile e interoperabile fra le due Province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RE-AIM</w:t>
            </w:r>
          </w:p>
        </w:tc>
        <w:tc>
          <w:tcPr>
            <w:shd w:val="clear" w:color="auto" w:fill="F4F1EC"/>
          </w:tcPr>
          <w:p>
            <w:pPr>
              <w:pStyle w:val="Compact"/>
              <w:spacing w:after="40" w:before="40"/>
              <w:jc w:val="left"/>
            </w:pPr>
            <w:r>
              <w:rPr>
                <w:rFonts w:ascii="Cambria" w:hAnsi="Cambria" w:cs="Cambria" w:eastAsia="Cambria"/>
                <w:color w:val="1A1A1A"/>
                <w:sz w:val="18"/>
              </w:rPr>
              <w:t xml:space="preserve">Quadro che misura portata, efficacia, adozione, implementazione e mantenimento di un intervento</w:t>
            </w:r>
          </w:p>
        </w:tc>
      </w:tr>
      <w:tr>
        <w:tc>
          <w:tcPr/>
          <w:p>
            <w:pPr>
              <w:pStyle w:val="Compact"/>
              <w:spacing w:after="40" w:before="40"/>
              <w:jc w:val="left"/>
            </w:pPr>
            <w:r>
              <w:rPr>
                <w:rFonts w:ascii="Cambria" w:hAnsi="Cambria" w:cs="Cambria" w:eastAsia="Cambria"/>
                <w:b/>
                <w:bCs/>
                <w:color w:val="1A1A1A"/>
                <w:sz w:val="18"/>
              </w:rPr>
              <w:t xml:space="preserve">CFIR</w:t>
            </w:r>
          </w:p>
        </w:tc>
        <w:tc>
          <w:tcPr/>
          <w:p>
            <w:pPr>
              <w:pStyle w:val="Compact"/>
              <w:spacing w:after="40" w:before="40"/>
              <w:jc w:val="left"/>
            </w:pPr>
            <w:r>
              <w:rPr>
                <w:rFonts w:ascii="Cambria" w:hAnsi="Cambria" w:cs="Cambria" w:eastAsia="Cambria"/>
                <w:color w:val="1A1A1A"/>
                <w:sz w:val="18"/>
              </w:rPr>
              <w:t xml:space="preserve">Quadro che spiega i determinanti dell’implementazione, in cinque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Donabedian</w:t>
            </w:r>
          </w:p>
        </w:tc>
        <w:tc>
          <w:tcPr>
            <w:shd w:val="clear" w:color="auto" w:fill="F4F1EC"/>
          </w:tcPr>
          <w:p>
            <w:pPr>
              <w:pStyle w:val="Compact"/>
              <w:spacing w:after="40" w:before="40"/>
              <w:jc w:val="left"/>
            </w:pPr>
            <w:r>
              <w:rPr>
                <w:rFonts w:ascii="Cambria" w:hAnsi="Cambria" w:cs="Cambria" w:eastAsia="Cambria"/>
                <w:color w:val="1A1A1A"/>
                <w:sz w:val="18"/>
              </w:rPr>
              <w:t xml:space="preserve">Classifica gli indicatori di qualità in struttura, processo ed esito, qui integrati dall’impatto</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Questionario validato per i sintomi depressivi (punteggio 0–27)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Questionario validato per i sintomi d’ansia (punteggio 0–21)</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Quota di pazienti che scende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r>
        <w:tc>
          <w:tcPr/>
          <w:p>
            <w:pPr>
              <w:pStyle w:val="Compact"/>
              <w:spacing w:after="40" w:before="40"/>
              <w:jc w:val="left"/>
            </w:pPr>
            <w:r>
              <w:rPr>
                <w:rFonts w:ascii="Cambria" w:hAnsi="Cambria" w:cs="Cambria" w:eastAsia="Cambria"/>
                <w:b/>
                <w:bCs/>
                <w:color w:val="1A1A1A"/>
                <w:sz w:val="18"/>
              </w:rPr>
              <w:t xml:space="preserve">Cura collaborativa</w:t>
            </w:r>
          </w:p>
        </w:tc>
        <w:tc>
          <w:tcPr/>
          <w:p>
            <w:pPr>
              <w:pStyle w:val="Compact"/>
              <w:spacing w:after="40" w:before="40"/>
              <w:jc w:val="left"/>
            </w:pPr>
            <w:r>
              <w:rPr>
                <w:rFonts w:ascii="Cambria" w:hAnsi="Cambria" w:cs="Cambria" w:eastAsia="Cambria"/>
                <w:color w:val="1A1A1A"/>
                <w:sz w:val="18"/>
              </w:rPr>
              <w:t xml:space="preserve">Modello di integrazione della salute mentale nelle cure primarie con équipe e monitoraggio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Cura a intensità crescente</w:t>
            </w:r>
          </w:p>
        </w:tc>
        <w:tc>
          <w:tcPr>
            <w:shd w:val="clear" w:color="auto" w:fill="F4F1EC"/>
          </w:tcPr>
          <w:p>
            <w:pPr>
              <w:pStyle w:val="Compact"/>
              <w:spacing w:after="40" w:before="40"/>
              <w:jc w:val="left"/>
            </w:pPr>
            <w:r>
              <w:rPr>
                <w:rFonts w:ascii="Cambria" w:hAnsi="Cambria" w:cs="Cambria" w:eastAsia="Cambria"/>
                <w:color w:val="1A1A1A"/>
                <w:sz w:val="18"/>
              </w:rPr>
              <w:t xml:space="preserve">Percorso che gradua l’intensità dell’intervento alla gravità del quadro</w:t>
            </w:r>
          </w:p>
        </w:tc>
      </w:tr>
      <w:tr>
        <w:tc>
          <w:tcPr/>
          <w:p>
            <w:pPr>
              <w:pStyle w:val="Compact"/>
              <w:spacing w:after="40" w:before="40"/>
              <w:jc w:val="left"/>
            </w:pPr>
            <w:r>
              <w:rPr>
                <w:rFonts w:ascii="Cambria" w:hAnsi="Cambria" w:cs="Cambria" w:eastAsia="Cambria"/>
                <w:b/>
                <w:bCs/>
                <w:color w:val="1A1A1A"/>
                <w:sz w:val="18"/>
              </w:rPr>
              <w:t xml:space="preserve">Livelli essenziali di assistenza (LEA)</w:t>
            </w:r>
          </w:p>
        </w:tc>
        <w:tc>
          <w:tcPr/>
          <w:p>
            <w:pPr>
              <w:pStyle w:val="Compact"/>
              <w:spacing w:after="40" w:before="40"/>
              <w:jc w:val="left"/>
            </w:pPr>
            <w:r>
              <w:rPr>
                <w:rFonts w:ascii="Cambria" w:hAnsi="Cambria" w:cs="Cambria" w:eastAsia="Cambria"/>
                <w:color w:val="1A1A1A"/>
                <w:sz w:val="18"/>
              </w:rPr>
              <w:t xml:space="preserve">Prestazioni garantite uniformemente dal Servizio sanitario;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Spesa per prestazioni rese ai residenti da strutture di altre regioni; nella Sicilia il saldo è fra i più passivi d’Italia, ma poiché la fuga è ospedaliero-chirurgica il canale del recupero è modesto per questo intervento, limitato alla frazione territorialmente intercettabile</w:t>
            </w:r>
          </w:p>
        </w:tc>
      </w:tr>
      <w:tr>
        <w:tc>
          <w:tcPr/>
          <w:p>
            <w:pPr>
              <w:pStyle w:val="Compact"/>
              <w:spacing w:after="40" w:before="40"/>
              <w:jc w:val="left"/>
            </w:pPr>
            <w:r>
              <w:rPr>
                <w:rFonts w:ascii="Cambria" w:hAnsi="Cambria" w:cs="Cambria" w:eastAsia="Cambria"/>
                <w:b/>
                <w:bCs/>
                <w:color w:val="1A1A1A"/>
                <w:sz w:val="18"/>
              </w:rPr>
              <w:t xml:space="preserve">Sintomi somatici funzionali</w:t>
            </w:r>
          </w:p>
        </w:tc>
        <w:tc>
          <w:tcPr/>
          <w:p>
            <w:pPr>
              <w:pStyle w:val="Compact"/>
              <w:spacing w:after="40" w:before="40"/>
              <w:jc w:val="left"/>
            </w:pPr>
            <w:r>
              <w:rPr>
                <w:rFonts w:ascii="Cambria" w:hAnsi="Cambria" w:cs="Cambria" w:eastAsia="Cambria"/>
                <w:color w:val="1A1A1A"/>
                <w:sz w:val="18"/>
              </w:rPr>
              <w:t xml:space="preserve">Sintomi fisici senza causa organica, associati a elevato consumo di prestazioni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vecchiaia</w:t>
            </w:r>
          </w:p>
        </w:tc>
        <w:tc>
          <w:tcPr>
            <w:shd w:val="clear" w:color="auto" w:fill="F4F1EC"/>
          </w:tcPr>
          <w:p>
            <w:pPr>
              <w:pStyle w:val="Compact"/>
              <w:spacing w:after="40" w:before="40"/>
              <w:jc w:val="left"/>
            </w:pPr>
            <w:r>
              <w:rPr>
                <w:rFonts w:ascii="Cambria" w:hAnsi="Cambria" w:cs="Cambria" w:eastAsia="Cambria"/>
                <w:color w:val="1A1A1A"/>
                <w:sz w:val="18"/>
              </w:rPr>
              <w:t xml:space="preserve">Rapporto tra ultrasessantacinquenni e giovani sotto i quindici anni; nel Trentino-Alto Adige assume valori fra i più bassi d’Italia, poiché il territorio è fra i più giovani del Paese, con una natalità elevata e una speranza di vita fra le più alte</w:t>
            </w:r>
          </w:p>
        </w:tc>
      </w:tr>
      <w:tr>
        <w:tc>
          <w:tcPr/>
          <w:p>
            <w:pPr>
              <w:pStyle w:val="Compact"/>
              <w:spacing w:after="40" w:before="40"/>
              <w:jc w:val="left"/>
            </w:pPr>
            <w:r>
              <w:rPr>
                <w:rFonts w:ascii="Cambria" w:hAnsi="Cambria" w:cs="Cambria" w:eastAsia="Cambria"/>
                <w:b/>
                <w:bCs/>
                <w:color w:val="1A1A1A"/>
                <w:sz w:val="18"/>
              </w:rPr>
              <w:t xml:space="preserve">Peso morto</w:t>
            </w:r>
          </w:p>
        </w:tc>
        <w:tc>
          <w:tcPr/>
          <w:p>
            <w:pPr>
              <w:pStyle w:val="Compact"/>
              <w:spacing w:after="40" w:before="40"/>
              <w:jc w:val="left"/>
            </w:pPr>
            <w:r>
              <w:rPr>
                <w:rFonts w:ascii="Cambria" w:hAnsi="Cambria" w:cs="Cambria" w:eastAsia="Cambria"/>
                <w:color w:val="1A1A1A"/>
                <w:sz w:val="18"/>
              </w:rPr>
              <w:t xml:space="preserve">Quota dell’esito che si sarebbe verificata anche senza l’intervento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Ticket (compartecipazione)</w:t>
            </w:r>
          </w:p>
        </w:tc>
        <w:tc>
          <w:tcPr>
            <w:shd w:val="clear" w:color="auto" w:fill="F4F1EC"/>
          </w:tcPr>
          <w:p>
            <w:pPr>
              <w:pStyle w:val="Compact"/>
              <w:spacing w:after="40" w:before="40"/>
              <w:jc w:val="left"/>
            </w:pPr>
            <w:r>
              <w:rPr>
                <w:rFonts w:ascii="Cambria" w:hAnsi="Cambria" w:cs="Cambria" w:eastAsia="Cambria"/>
                <w:color w:val="1A1A1A"/>
                <w:sz w:val="18"/>
              </w:rPr>
              <w:t xml:space="preserve">Quota di costo a carico del paziente; nel Trentino-Alto Adige gli assetti sono disomogenei — il modello trentino prevede un ticket, il Servizio dell’Alto Adige è pubblico — e l’armonizzazione in un modello pieno è occasione per ridurre tale disomogeneità, con esenzioni per le fasce protette perché non ostacoli l’accesso</w:t>
            </w:r>
          </w:p>
        </w:tc>
      </w:tr>
      <w:tr>
        <w:tc>
          <w:tcPr/>
          <w:p>
            <w:pPr>
              <w:pStyle w:val="Compact"/>
              <w:spacing w:after="40" w:before="40"/>
              <w:jc w:val="left"/>
            </w:pPr>
            <w:r>
              <w:rPr>
                <w:rFonts w:ascii="Cambria" w:hAnsi="Cambria" w:cs="Cambria" w:eastAsia="Cambria"/>
                <w:b/>
                <w:bCs/>
                <w:color w:val="1A1A1A"/>
                <w:sz w:val="18"/>
              </w:rPr>
              <w:t xml:space="preserve">Statuto speciale e autonomia finanziaria</w:t>
            </w:r>
          </w:p>
        </w:tc>
        <w:tc>
          <w:tcPr/>
          <w:p>
            <w:pPr>
              <w:pStyle w:val="Compact"/>
              <w:spacing w:after="40" w:before="40"/>
              <w:jc w:val="left"/>
            </w:pPr>
            <w:r>
              <w:rPr>
                <w:rFonts w:ascii="Cambria" w:hAnsi="Cambria" w:cs="Cambria" w:eastAsia="Cambria"/>
                <w:color w:val="1A1A1A"/>
                <w:sz w:val="18"/>
              </w:rPr>
              <w:t xml:space="preserve">Le due Province autonome di Trento e Bolzano finanziano integralmente la sanità con i nove decimi del gettito trattenuto sul proprio territorio (statuto speciale, art. 75), senza apporto a carico dello Stato, e operano in avanzo, con la spesa pro-capite più alta d’Italia: una condizione finanziaria fra le più solide del Paese</w:t>
            </w:r>
          </w:p>
        </w:tc>
      </w:tr>
    </w:tbl>
    <w:p>
      <w:pPr>
        <w:pStyle w:val="BodyText"/>
      </w:pPr>
      <w:r>
        <w:rPr>
          <w:i/>
          <w:iCs/>
        </w:rPr>
        <w:t xml:space="preserve">Tabella E.1. Glossario dei principali termini tecnici impiegati nello studio.</w:t>
      </w:r>
    </w:p>
    <w:p>
      <w:pPr>
        <w:pStyle w:val="BodyText"/>
      </w:pPr>
      <w:r>
        <w:t xml:space="preserve">81</w:t>
      </w:r>
    </w:p>
    <w:p>
      <w:pPr>
        <w:pStyle w:val="BodyText"/>
      </w:pPr>
      <w:r>
        <w:t xml:space="preserve">81</w:t>
      </w:r>
    </w:p>
    <w:bookmarkEnd w:id="1217"/>
    <w:bookmarkStart w:id="4342" w:name="veneto-studio-hta-integrale"/>
    <w:p>
      <w:pPr>
        <w:pStyle w:val="Heading2"/>
      </w:pPr>
      <w:r>
        <w:t xml:space="preserve">Veneto — Studio HTA integrale</w:t>
      </w:r>
    </w:p>
    <w:p>
      <w:pPr>
        <w:pStyle w:val="FirstParagraph"/>
      </w:pPr>
      <w:r>
        <w:t xml:space="preserve">Studio Integrale Regionale · Regione Veneto</w:t>
      </w:r>
    </w:p>
    <w:p>
      <w:pPr>
        <w:pStyle w:val="BodyText"/>
      </w:pPr>
      <w:r>
        <w:t xml:space="preserve">Progetto «Psicologo di Base» — Riforma «Psicologo di Base»: dalla sperimentazione pioniera al servizio permanente. Applicazione del telaio integrato in undici parti e cinque appendici (Modello HTA · Five Case Model · CHEERS 2022 · criteri OCSE-DAC).</w:t>
      </w:r>
    </w:p>
    <w:p>
      <w:pPr>
        <w:pStyle w:val="BodyText"/>
      </w:pPr>
      <w:r>
        <w:t xml:space="preserve">Indice</w:t>
      </w:r>
    </w:p>
    <w:bookmarkEnd w:id="4342"/>
    <w:bookmarkStart w:id="1237" w:name="parte-a-quadro-quesito-e-metodo-4"/>
    <w:p>
      <w:pPr>
        <w:pStyle w:val="Heading2"/>
      </w:pPr>
      <w:r>
        <w:t xml:space="preserve">Parte A — Quadro, quesito e metodo</w:t>
      </w:r>
    </w:p>
    <w:p>
      <w:pPr>
        <w:pStyle w:val="FirstParagraph"/>
      </w:pPr>
      <w:r>
        <w:t xml:space="preserve">Questa è la prima parte dello studio integrale per il Veneto, che applica alla regione il telaio integrato sviluppato e validato per la Puglia e già esteso alla Lombardia. L’architettura e il caso di riferimento sono i medesimi, e mutano soltanto i dati di ingresso, ancorati al Veneto.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quello pugliese e lombardo e con quelli delle altre Regioni.</w:t>
      </w:r>
    </w:p>
    <w:bookmarkStart w:id="4343" w:name="X3b7c69cdce0c00b1bbac79a7d1b98d1901e6c97"/>
    <w:p>
      <w:pPr>
        <w:pStyle w:val="Heading3"/>
      </w:pPr>
      <w:r>
        <w:t xml:space="preserve">A.1 Scopo, quesito di valutazione e standard adottati</w:t>
      </w:r>
    </w:p>
    <w:p>
      <w:pPr>
        <w:pStyle w:val="FirstParagraph"/>
      </w:pPr>
      <w:r>
        <w:t xml:space="preserve">Lo studio ha per oggetto il Servizio di Psicologia di Base nelle cure primarie del Veneto, inteso come realizzazione strutturata e quantificata della funzione psicologica territoriale che il Veneto ha avviato per primo in Italia, già nel 2014, in via sperimentale, e alla quale la Regione si è formalmente impegnata con la mozione consiliare che vincola la Giunta ad avviare un servizio permanente di psicologia delle cure primarie collegato alle Case di Comunità.</w:t>
      </w:r>
      <w:r>
        <w:rPr>
          <w:rStyle w:val="FootnoteReference"/>
        </w:rPr>
        <w:footnoteReference w:id="2018"/>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sperimentata da oltre un decennio e già oggetto di un impegno politico formale, oltre che di proposte di legge in corso d’esame — ma se strutturarla e dimensionarla: l’impegno esiste, ma un modello operativo, un dimensionamento e una copertura sono ancora da definire, a fronte di un fabbisogno a regime stimato nell’ordine di 1.050 psicologi.</w:t>
      </w:r>
      <w:r>
        <w:rPr>
          <w:rStyle w:val="FootnoteReference"/>
        </w:rPr>
        <w:footnoteReference w:id="2019"/>
      </w:r>
      <w:r>
        <w:t xml:space="preserve"> </w:t>
      </w:r>
      <w:r>
        <w:t xml:space="preserve">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970.000 persone, si somma un’utenza specialistica in carico ai Dipartimenti di Salute Mentale dell’ordine di 72.000 persone, in un quadro segnato da tre componenti convergenti — il disagio connesso al lavoro nella popolazione attiva di un’economia dinamica e a elevata occupazione, il bisogno dell’età anziana accentuato nel Polesine e nel Bellunese, e il disagio giovanile — e aggravato da un’erosione recente degli organici dei servizi di salute mentale e da liste di attesa prolungate.</w:t>
      </w:r>
      <w:r>
        <w:rPr>
          <w:rStyle w:val="FootnoteReference"/>
        </w:rPr>
        <w:footnoteReference w:id="2020"/>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veneti con bisogno psicologico comune, e in seconda istanza dall’intera popolazione per gli effetti di sistema.</w:t>
      </w:r>
      <w:r>
        <w:rPr>
          <w:rStyle w:val="FootnoteReference"/>
        </w:rPr>
        <w:footnoteReference w:id="2021"/>
      </w:r>
      <w:r>
        <w:t xml:space="preserve"> </w:t>
      </w:r>
      <w:r>
        <w:t xml:space="preserve">L’intervento è lo psicologo di base nelle cure primarie, come primo livello di ascolto, intercettazione precoce e filtro, portato a regime. Il confronto è la condizione attuale, nella quale coesistono una consolidata esperienza sperimentale e un impegno politico, ma non un servizio strutturato e dimensionato. Gli esiti sono clinici, economici, sociali e di sistema. I tempi distinguono l’orizzonte pluriennale degli esiti dall’orizzonte triennale-quinquennale del bilancio. Il contesto è il Servizio sanitario del Veneto, con le sue nove Aziende ULSS, l’Azienda Zero, le due Aziende Ospedaliere universitarie e la rete delle Case di Comunità in costruzione. La tabella seguente riepiloga gli elementi del quesito.</w:t>
      </w:r>
    </w:p>
    <w:tbl>
      <w:tblPr>
        <w:tblStyle w:val="Table"/>
        <w:tblW w:type="pct" w:w="495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301"/>
        <w:gridCol w:w="6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il Veneto</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veneti con disagio psichico comune (~970.000);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Psicologo di base nelle cure primarie, primo livello e filtro, portato a regime (~530/800/1.050 incarichi)</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Condizione attuale: esperienza sperimentale e impegno politico (mozione), ma servizio non strutturato né dimensionato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liste di attesa)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Servizio sanitario regionale del Veneto; nove Aziende ULSS, Azienda Zero, due Aziende Ospedaliere universitarie, Case di Comunità</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2022"/>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4343"/>
    <w:bookmarkStart w:id="4344" w:name="a.2-il-caso-di-riferimento-e-i-metodi-4"/>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w:t>
      </w:r>
      <w:r>
        <w:rPr>
          <w:rStyle w:val="FootnoteReference"/>
        </w:rPr>
        <w:footnoteReference w:id="2023"/>
      </w:r>
      <w:r>
        <w:t xml:space="preserve"> </w:t>
      </w:r>
      <w:r>
        <w:t xml:space="preserve">Le unità di analisi sono la regione e, in disaggregazione, le Aziende ULSS e i distretti, per dare conto anche dei divari territoriali interni.</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54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Condizione attuale, ovvero servizio non strutturato né dimensionato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Regione, con disaggregazione per Azienda ULSS e distretto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2024"/>
      </w:r>
      <w:r>
        <w:t xml:space="preserve"> </w:t>
      </w:r>
      <w:r>
        <w:t xml:space="preserve">Tale prudenza assume, per il Veneto, un rilievo particolare: poiché la regione è a saldo di mobilità attivo — attrattore netto di pazienti da altre regioni — il canale del recupero della mobilità passiva non si applica; e poiché il sistema sanitario veneto è stabilmente ai vertici nazionali per efficienza e appropriatezza, i margini di recupero diretto sono contenuti. Ne consegue che il saldo diretto risulta lievemente negativo e che il caso economico poggia in misura preponderante sulle ricadute sociali, che lo studio stima con criteri conservativi.</w:t>
      </w:r>
      <w:r>
        <w:rPr>
          <w:rStyle w:val="FootnoteReference"/>
        </w:rPr>
        <w:footnoteReference w:id="2025"/>
      </w:r>
      <w:r>
        <w:t xml:space="preserve"> </w:t>
      </w:r>
      <w:r>
        <w:t xml:space="preserve">Va inoltre dichiarato, già in questa sede, che le grandezze economiche impiegate sono allo stato in parte ricostruite a partire dai conti nazionali per quota di popolazione, e non estratte dai conti regionali certificati.</w:t>
      </w:r>
      <w:r>
        <w:rPr>
          <w:rStyle w:val="FootnoteReference"/>
        </w:rPr>
        <w:footnoteReference w:id="2026"/>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2027"/>
      </w:r>
      <w:r>
        <w:t xml:space="preserve"> </w:t>
      </w:r>
      <w:r>
        <w:t xml:space="preserve">Decisivo anche per il Veneto è il disegno controfattuale: il dispiegamento scaglionato del servizio tra le nove Aziende ULSS, attivate in tempi diversi sotto il coordinamento dell’Azienda Zero, funge da esperimento naturale e consente di stimare l’effetto causale con i metodi della differenza-nelle-differenze e del controllo sintetico.</w:t>
      </w:r>
      <w:r>
        <w:rPr>
          <w:rStyle w:val="FootnoteReference"/>
        </w:rPr>
        <w:footnoteReference w:id="2028"/>
      </w:r>
      <w:r>
        <w:t xml:space="preserve"> </w:t>
      </w:r>
      <w:r>
        <w:t xml:space="preserve">La tabella seguente colloca ciascuna metodologia nella sua sede.</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357"/>
        <w:gridCol w:w="30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generato oltre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 nel tempo</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Parte F</w:t>
            </w:r>
          </w:p>
        </w:tc>
        <w:tc>
          <w:tcPr/>
          <w:p>
            <w:pPr>
              <w:pStyle w:val="Compact"/>
              <w:spacing w:after="40" w:before="40"/>
              <w:jc w:val="left"/>
            </w:pPr>
            <w:r>
              <w:rPr>
                <w:rFonts w:ascii="Cambria" w:hAnsi="Cambria" w:cs="Cambria" w:eastAsia="Cambria"/>
                <w:color w:val="1A1A1A"/>
                <w:sz w:val="18"/>
              </w:rPr>
              <w:t xml:space="preserve">Governo dell’incertezza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w:t>
            </w:r>
          </w:p>
        </w:tc>
        <w:tc>
          <w:tcPr>
            <w:shd w:val="clear" w:color="auto" w:fill="F4F1EC"/>
          </w:tcPr>
          <w:p>
            <w:pPr>
              <w:pStyle w:val="Compact"/>
              <w:spacing w:after="40" w:before="40"/>
              <w:jc w:val="left"/>
            </w:pPr>
            <w:r>
              <w:rPr>
                <w:rFonts w:ascii="Cambria" w:hAnsi="Cambria" w:cs="Cambria" w:eastAsia="Cambria"/>
                <w:color w:val="1A1A1A"/>
                <w:sz w:val="18"/>
              </w:rPr>
              <w:t xml:space="preserve">Parte G</w:t>
            </w:r>
          </w:p>
        </w:tc>
        <w:tc>
          <w:tcPr>
            <w:shd w:val="clear" w:color="auto" w:fill="F4F1EC"/>
          </w:tcPr>
          <w:p>
            <w:pPr>
              <w:pStyle w:val="Compact"/>
              <w:spacing w:after="40" w:before="40"/>
              <w:jc w:val="left"/>
            </w:pPr>
            <w:r>
              <w:rPr>
                <w:rFonts w:ascii="Cambria" w:hAnsi="Cambria" w:cs="Cambria" w:eastAsia="Cambria"/>
                <w:color w:val="1A1A1A"/>
                <w:sz w:val="18"/>
              </w:rPr>
              <w:t xml:space="preserve">Misura dell’equità distributiva</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Parte L</w:t>
            </w:r>
          </w:p>
        </w:tc>
        <w:tc>
          <w:tcPr/>
          <w:p>
            <w:pPr>
              <w:pStyle w:val="Compact"/>
              <w:spacing w:after="40" w:before="40"/>
              <w:jc w:val="left"/>
            </w:pPr>
            <w:r>
              <w:rPr>
                <w:rFonts w:ascii="Cambria" w:hAnsi="Cambria" w:cs="Cambria" w:eastAsia="Cambria"/>
                <w:color w:val="1A1A1A"/>
                <w:sz w:val="18"/>
              </w:rPr>
              <w:t xml:space="preserve">Stima dell’effetto reale sul campo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sistema GRADE</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Fondazione e graduazione dell’evidenza</w:t>
            </w:r>
          </w:p>
        </w:tc>
      </w:tr>
      <w:tr>
        <w:tc>
          <w:tcPr/>
          <w:p>
            <w:pPr>
              <w:pStyle w:val="Compact"/>
              <w:spacing w:after="40" w:before="40"/>
              <w:jc w:val="left"/>
            </w:pPr>
            <w:r>
              <w:rPr>
                <w:rFonts w:ascii="Cambria" w:hAnsi="Cambria" w:cs="Cambria" w:eastAsia="Cambria"/>
                <w:b/>
                <w:bCs/>
                <w:color w:val="1A1A1A"/>
                <w:sz w:val="18"/>
              </w:rPr>
              <w:t xml:space="preserve">Analisi multi-criterio</w:t>
            </w:r>
          </w:p>
        </w:tc>
        <w:tc>
          <w:tcPr/>
          <w:p>
            <w:pPr>
              <w:pStyle w:val="Compact"/>
              <w:spacing w:after="40" w:before="40"/>
              <w:jc w:val="left"/>
            </w:pPr>
            <w:r>
              <w:rPr>
                <w:rFonts w:ascii="Cambria" w:hAnsi="Cambria" w:cs="Cambria" w:eastAsia="Cambria"/>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Composizione dei criteri non monetari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della regolamentazione</w:t>
            </w:r>
          </w:p>
        </w:tc>
        <w:tc>
          <w:tcPr>
            <w:shd w:val="clear" w:color="auto" w:fill="F4F1EC"/>
          </w:tcPr>
          <w:p>
            <w:pPr>
              <w:pStyle w:val="Compact"/>
              <w:spacing w:after="40" w:before="40"/>
              <w:jc w:val="left"/>
            </w:pPr>
            <w:r>
              <w:rPr>
                <w:rFonts w:ascii="Cambria" w:hAnsi="Cambria" w:cs="Cambria" w:eastAsia="Cambria"/>
                <w:color w:val="1A1A1A"/>
                <w:sz w:val="18"/>
              </w:rPr>
              <w:t xml:space="preserve">Parti H, L</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della norma ex ante ed ex post</w:t>
            </w:r>
          </w:p>
        </w:tc>
      </w:tr>
    </w:tbl>
    <w:p>
      <w:pPr>
        <w:pStyle w:val="BodyText"/>
      </w:pPr>
      <w:r>
        <w:rPr>
          <w:i/>
          <w:iCs/>
        </w:rPr>
        <w:t xml:space="preserve">Tabella A.3. Le dieci metodologie analitiche e la loro collocazione nello studio.</w:t>
      </w:r>
    </w:p>
    <w:bookmarkEnd w:id="4344"/>
    <w:bookmarkStart w:id="1236" w:name="X50b193120ef7221de6d2aaa47707495a520151a"/>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l’Azienda Zero, le Aziende ULSS e l’Ordine degli Psicologi del Veneto.</w:t>
      </w:r>
      <w:r>
        <w:rPr>
          <w:rStyle w:val="FootnoteReference"/>
        </w:rPr>
        <w:footnoteReference w:id="2029"/>
      </w:r>
      <w:r>
        <w:t xml:space="preserve"> </w:t>
      </w:r>
      <w:r>
        <w:t xml:space="preserve">In questo assetto, l’Azienda Zero — ente di governo regionale a cui sono affidate funzioni centralizzate di programmazione, acquisto e coordinamento — riveste un ruolo peculiare: costituisce il veicolo per una progettazione unitaria del servizio e per una sua attuazione omogenea ed efficiente su tutte le nove aziende, con economie di scala nella formazione, nell’acquisizione delle tecnologie e nella definizione dei protocolli. È una caratteristica che distingue il Veneto e che la valutazione assume come risorsa per l’implementazione.</w:t>
      </w:r>
    </w:p>
    <w:p>
      <w:pPr>
        <w:pStyle w:val="BodyText"/>
      </w:pPr>
      <w:r>
        <w:t xml:space="preserve">Sul piano della protezione dei dati, il trattamento è conforme alla normativa vigente, ispirato ai principi di minimizzazione, limitazione della finalità e sicurezza.</w:t>
      </w:r>
      <w:r>
        <w:rPr>
          <w:rStyle w:val="FootnoteReference"/>
        </w:rPr>
        <w:footnoteReference w:id="2030"/>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2031"/>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2032"/>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 Veneto.</w:t>
      </w:r>
    </w:p>
    <w:bookmarkEnd w:id="1236"/>
    <w:bookmarkEnd w:id="1237"/>
    <w:bookmarkStart w:id="4345" w:name="Xdb95f29185e965a04bb98e205a8e68adf5c4ede"/>
    <w:p>
      <w:pPr>
        <w:pStyle w:val="Heading2"/>
      </w:pPr>
      <w:r>
        <w:t xml:space="preserve">Parte B — Problema di salute, bisogno e contesto</w:t>
      </w:r>
    </w:p>
    <w:p>
      <w:pPr>
        <w:pStyle w:val="FirstParagraph"/>
      </w:pPr>
      <w:r>
        <w:t xml:space="preserve">Questa parte segue la definizione del quadro e del metodo e apre i domini della valutazione affrontando il primo: il problema di salute, il bisogno e il contesto. Ne ricostruisce la dimensione demografica (capitolo B.1) ed epidemiologica (B.2), il rapporto tra domanda, offerta e gap di copertura (B.3), le disuguaglianze e i divari territoriali (B.4), i servizi e i flussi del sistema (B.5) e la cornice normativa e programmatica (B.6). L’obiettivo è stabilire, su basi quantitative e con i dati ancorati al Veneto, l’entità e la natura del bisogno cui il Servizio di Psicologia di Base intende rispondere, e il contesto in cui esso si inserirebbe.</w:t>
      </w:r>
    </w:p>
    <w:bookmarkStart w:id="1243" w:name="b.1-quadro-demografico-3"/>
    <w:p>
      <w:pPr>
        <w:pStyle w:val="Heading3"/>
      </w:pPr>
      <w:r>
        <w:t xml:space="preserve">B.1 Quadro demografico</w:t>
      </w:r>
    </w:p>
    <w:p>
      <w:pPr>
        <w:pStyle w:val="FirstParagraph"/>
      </w:pPr>
      <w:r>
        <w:t xml:space="preserve">Il Veneto conta una popolazione residente di 4.853.472 abitanti secondo il Censimento permanente ISTAT al 31 dicembre 2024, pari a circa l’8,2% del totale nazionale, che ne fa la quarta-quinta regione italiana per dimensione.</w:t>
      </w:r>
      <w:r>
        <w:rPr>
          <w:rStyle w:val="FootnoteReference"/>
        </w:rPr>
        <w:footnoteReference w:id="2033"/>
      </w:r>
      <w:r>
        <w:t xml:space="preserve"> </w:t>
      </w:r>
      <w:r>
        <w:t xml:space="preserve">Il profilo demografico è in invecchiamento, con un’età media di 47,1 anni, lievemente superiore alla media nazionale, e un’aspettativa di vita tra le più elevate d’Italia.</w:t>
      </w:r>
      <w:r>
        <w:rPr>
          <w:rStyle w:val="FootnoteReference"/>
        </w:rPr>
        <w:footnoteReference w:id="2034"/>
      </w:r>
      <w:r>
        <w:t xml:space="preserve"> </w:t>
      </w:r>
      <w:r>
        <w:t xml:space="preserve">La componente straniera contribuisce a un parziale ringiovanimento della struttura per età.</w:t>
      </w:r>
      <w:r>
        <w:rPr>
          <w:rStyle w:val="FootnoteReference"/>
        </w:rPr>
        <w:footnoteReference w:id="2035"/>
      </w:r>
      <w:r>
        <w:t xml:space="preserve"> </w:t>
      </w:r>
      <w:r>
        <w:t xml:space="preserve">La distribuzione territoriale è relativamente equilibrata fra sette province, secondo un modello insediativo diffuso in cui una quota rilevante della popolazione risiede in comuni di media dimensione.</w:t>
      </w:r>
      <w:r>
        <w:rPr>
          <w:rStyle w:val="FootnoteReference"/>
        </w:rPr>
        <w:footnoteReference w:id="2036"/>
      </w:r>
      <w:r>
        <w:t xml:space="preserve"> </w:t>
      </w:r>
      <w:r>
        <w:t xml:space="preserve">Ne deriva un profilo per età composito e a marcata variabilità interna, che contrappone le province più giovani della fascia centrale alle aree più anziane del Polesine e del Bellunese.</w:t>
      </w:r>
      <w:r>
        <w:rPr>
          <w:rStyle w:val="FootnoteReference"/>
        </w:rPr>
        <w:footnoteReference w:id="2037"/>
      </w:r>
      <w:r>
        <w:t xml:space="preserve"> </w:t>
      </w:r>
      <w:r>
        <w:t xml:space="preserve">La tabella seguente riepiloga il profilo demografico e socio-economico della regione.</w:t>
      </w:r>
    </w:p>
    <w:tbl>
      <w:tblPr>
        <w:tblStyle w:val="Table"/>
        <w:tblW w:type="pct" w:w="491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45"/>
        <w:gridCol w:w="523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Veneto</w:t>
            </w:r>
          </w:p>
        </w:tc>
      </w:tr>
      <w:tr>
        <w:tc>
          <w:tcPr/>
          <w:p>
            <w:pPr>
              <w:pStyle w:val="Compact"/>
              <w:spacing w:after="40" w:before="40"/>
              <w:jc w:val="left"/>
            </w:pPr>
            <w:r>
              <w:rPr>
                <w:rFonts w:ascii="Cambria" w:hAnsi="Cambria" w:cs="Cambria" w:eastAsia="Cambria"/>
                <w:b/>
                <w:bCs/>
                <w:color w:val="1A1A1A"/>
                <w:sz w:val="18"/>
              </w:rPr>
              <w:t xml:space="preserve">Popolazione (Censimento 2024)</w:t>
            </w:r>
          </w:p>
        </w:tc>
        <w:tc>
          <w:tcPr/>
          <w:p>
            <w:pPr>
              <w:pStyle w:val="Compact"/>
              <w:spacing w:after="40" w:before="40"/>
              <w:jc w:val="left"/>
            </w:pPr>
            <w:r>
              <w:rPr>
                <w:rFonts w:ascii="Cambria" w:hAnsi="Cambria" w:cs="Cambria" w:eastAsia="Cambria"/>
                <w:color w:val="1A1A1A"/>
                <w:sz w:val="18"/>
              </w:rPr>
              <w:t xml:space="preserve">4.853.472 (~8,2% del totale nazionale)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Aspettativa di vita</w:t>
            </w:r>
          </w:p>
        </w:tc>
        <w:tc>
          <w:tcPr>
            <w:shd w:val="clear" w:color="auto" w:fill="F4F1EC"/>
          </w:tcPr>
          <w:p>
            <w:pPr>
              <w:pStyle w:val="Compact"/>
              <w:spacing w:after="40" w:before="40"/>
              <w:jc w:val="left"/>
            </w:pPr>
            <w:r>
              <w:rPr>
                <w:rFonts w:ascii="Cambria" w:hAnsi="Cambria" w:cs="Cambria" w:eastAsia="Cambria"/>
                <w:color w:val="1A1A1A"/>
                <w:sz w:val="18"/>
              </w:rPr>
              <w:t xml:space="preserve">~ 84 anni, tra le più elevate d’Italia</w:t>
            </w:r>
          </w:p>
        </w:tc>
      </w:tr>
      <w:tr>
        <w:tc>
          <w:tcPr/>
          <w:p>
            <w:pPr>
              <w:pStyle w:val="Compact"/>
              <w:spacing w:after="40" w:before="40"/>
              <w:jc w:val="left"/>
            </w:pPr>
            <w:r>
              <w:rPr>
                <w:rFonts w:ascii="Cambria" w:hAnsi="Cambria" w:cs="Cambria" w:eastAsia="Cambria"/>
                <w:b/>
                <w:bCs/>
                <w:color w:val="1A1A1A"/>
                <w:sz w:val="18"/>
              </w:rPr>
              <w:t xml:space="preserve">Età media</w:t>
            </w:r>
          </w:p>
        </w:tc>
        <w:tc>
          <w:tcPr/>
          <w:p>
            <w:pPr>
              <w:pStyle w:val="Compact"/>
              <w:spacing w:after="40" w:before="40"/>
              <w:jc w:val="left"/>
            </w:pPr>
            <w:r>
              <w:rPr>
                <w:rFonts w:ascii="Cambria" w:hAnsi="Cambria" w:cs="Cambria" w:eastAsia="Cambria"/>
                <w:color w:val="1A1A1A"/>
                <w:sz w:val="18"/>
              </w:rPr>
              <w:t xml:space="preserve">47,1 anni; ultra-ottantacinquenni oltre 200.000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Componente straniera</w:t>
            </w:r>
          </w:p>
        </w:tc>
        <w:tc>
          <w:tcPr>
            <w:shd w:val="clear" w:color="auto" w:fill="F4F1EC"/>
          </w:tcPr>
          <w:p>
            <w:pPr>
              <w:pStyle w:val="Compact"/>
              <w:spacing w:after="40" w:before="40"/>
              <w:jc w:val="left"/>
            </w:pPr>
            <w:r>
              <w:rPr>
                <w:rFonts w:ascii="Cambria" w:hAnsi="Cambria" w:cs="Cambria" w:eastAsia="Cambria"/>
                <w:color w:val="1A1A1A"/>
                <w:sz w:val="18"/>
              </w:rPr>
              <w:t xml:space="preserve">~ 10% dei residenti, in funzione di ringiovanimento</w:t>
            </w:r>
          </w:p>
        </w:tc>
      </w:tr>
      <w:tr>
        <w:tc>
          <w:tcPr/>
          <w:p>
            <w:pPr>
              <w:pStyle w:val="Compact"/>
              <w:spacing w:after="40" w:before="40"/>
              <w:jc w:val="left"/>
            </w:pPr>
            <w:r>
              <w:rPr>
                <w:rFonts w:ascii="Cambria" w:hAnsi="Cambria" w:cs="Cambria" w:eastAsia="Cambria"/>
                <w:b/>
                <w:bCs/>
                <w:color w:val="1A1A1A"/>
                <w:sz w:val="18"/>
              </w:rPr>
              <w:t xml:space="preserve">Articolazione del territorio</w:t>
            </w:r>
          </w:p>
        </w:tc>
        <w:tc>
          <w:tcPr/>
          <w:p>
            <w:pPr>
              <w:pStyle w:val="Compact"/>
              <w:spacing w:after="40" w:before="40"/>
              <w:jc w:val="left"/>
            </w:pPr>
            <w:r>
              <w:rPr>
                <w:rFonts w:ascii="Cambria" w:hAnsi="Cambria" w:cs="Cambria" w:eastAsia="Cambria"/>
                <w:color w:val="1A1A1A"/>
                <w:sz w:val="18"/>
              </w:rPr>
              <w:t xml:space="preserve">Sette province; Padova e Verona oltre 900.000 abitanti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Profilo per età</w:t>
            </w:r>
          </w:p>
        </w:tc>
        <w:tc>
          <w:tcPr>
            <w:shd w:val="clear" w:color="auto" w:fill="F4F1EC"/>
          </w:tcPr>
          <w:p>
            <w:pPr>
              <w:pStyle w:val="Compact"/>
              <w:spacing w:after="40" w:before="40"/>
              <w:jc w:val="left"/>
            </w:pPr>
            <w:r>
              <w:rPr>
                <w:rFonts w:ascii="Cambria" w:hAnsi="Cambria" w:cs="Cambria" w:eastAsia="Cambria"/>
                <w:color w:val="1A1A1A"/>
                <w:sz w:val="18"/>
              </w:rPr>
              <w:t xml:space="preserve">Composito: pianura produttiva più giovane; Polesine e Bellunese anziani</w:t>
            </w:r>
          </w:p>
        </w:tc>
      </w:tr>
      <w:tr>
        <w:tc>
          <w:tcPr/>
          <w:p>
            <w:pPr>
              <w:pStyle w:val="Compact"/>
              <w:spacing w:after="40" w:before="40"/>
              <w:jc w:val="left"/>
            </w:pPr>
            <w:r>
              <w:rPr>
                <w:rFonts w:ascii="Cambria" w:hAnsi="Cambria" w:cs="Cambria" w:eastAsia="Cambria"/>
                <w:b/>
                <w:bCs/>
                <w:color w:val="1A1A1A"/>
                <w:sz w:val="18"/>
              </w:rPr>
              <w:t xml:space="preserve">Articolazione sanitaria</w:t>
            </w:r>
          </w:p>
        </w:tc>
        <w:tc>
          <w:tcPr/>
          <w:p>
            <w:pPr>
              <w:pStyle w:val="Compact"/>
              <w:spacing w:after="40" w:before="40"/>
              <w:jc w:val="left"/>
            </w:pPr>
            <w:r>
              <w:rPr>
                <w:rFonts w:ascii="Cambria" w:hAnsi="Cambria" w:cs="Cambria" w:eastAsia="Cambria"/>
                <w:color w:val="1A1A1A"/>
                <w:sz w:val="18"/>
              </w:rPr>
              <w:t xml:space="preserve">Nove Aziende ULSS, Azienda Zero, due Aziende Ospedaliere, IOV</w:t>
            </w:r>
          </w:p>
        </w:tc>
      </w:tr>
    </w:tbl>
    <w:p>
      <w:pPr>
        <w:pStyle w:val="BodyText"/>
      </w:pPr>
      <w:r>
        <w:rPr>
          <w:i/>
          <w:iCs/>
        </w:rPr>
        <w:t xml:space="preserve">Tabella B.1. Profilo demografico e socio-economico del Veneto.</w:t>
      </w:r>
    </w:p>
    <w:bookmarkEnd w:id="1243"/>
    <w:bookmarkStart w:id="1250" w:name="b.2-epidemiologia-del-bisogno-4"/>
    <w:p>
      <w:pPr>
        <w:pStyle w:val="Heading3"/>
      </w:pPr>
      <w:r>
        <w:t xml:space="preserve">B.2 Epidemiologia del bisogno</w:t>
      </w:r>
    </w:p>
    <w:p>
      <w:pPr>
        <w:pStyle w:val="FirstParagraph"/>
      </w:pPr>
      <w:r>
        <w:t xml:space="preserve">L’entità del bisogno psicologico nel Veneto si ricostruisce per proiezione dei tassi di prevalenza nazionali sulla popolazione regionale, in attesa dei dati di flusso certificati. La quota di disagio psichico comune o sottosoglia — disturbi d’ansia e depressivi di intensità lieve-moderata, reazioni di adattamento, disagio connesso a eventi di vita — si colloca nell’ordine di 970.000 persone.</w:t>
      </w:r>
      <w:r>
        <w:rPr>
          <w:rStyle w:val="FootnoteReference"/>
        </w:rPr>
        <w:footnoteReference w:id="2038"/>
      </w:r>
      <w:r>
        <w:t xml:space="preserve"> </w:t>
      </w:r>
      <w:r>
        <w:t xml:space="preserve">A essa si somma un’utenza specialistica in carico ai Dipartimenti di Salute Mentale dell’ordine di 72.000 persone.</w:t>
      </w:r>
      <w:r>
        <w:rPr>
          <w:rStyle w:val="FootnoteReference"/>
        </w:rPr>
        <w:footnoteReference w:id="2039"/>
      </w:r>
      <w:r>
        <w:t xml:space="preserve"> </w:t>
      </w:r>
      <w:r>
        <w:t xml:space="preserve">Il bisogno presenta, nel Veneto, tre componenti di particolare rilievo. La prima è il disagio giovanile: la sua dimensione è segnalata dai nuovi casi nella fascia 14–24 anni e dalla grave sottodotazione dell’offerta dedicata.</w:t>
      </w:r>
      <w:r>
        <w:rPr>
          <w:rStyle w:val="FootnoteReference"/>
        </w:rPr>
        <w:footnoteReference w:id="2040"/>
      </w:r>
      <w:r>
        <w:t xml:space="preserve"> </w:t>
      </w:r>
      <w:r>
        <w:t xml:space="preserve">La seconda è il disagio connesso al lavoro nella popolazione attiva, che in un’economia dinamica e a elevata occupazione assume un peso particolare per le ricadute sulla produttività.</w:t>
      </w:r>
      <w:r>
        <w:rPr>
          <w:rStyle w:val="FootnoteReference"/>
        </w:rPr>
        <w:footnoteReference w:id="2041"/>
      </w:r>
      <w:r>
        <w:t xml:space="preserve"> </w:t>
      </w:r>
      <w:r>
        <w:t xml:space="preserve">La terza è il bisogno dell’età anziana, accentuato nel Polesine e nel Bellunese.</w:t>
      </w:r>
      <w:r>
        <w:rPr>
          <w:rStyle w:val="FootnoteReference"/>
        </w:rPr>
        <w:footnoteReference w:id="2042"/>
      </w:r>
      <w:r>
        <w:t xml:space="preserve"> </w:t>
      </w:r>
      <w:r>
        <w:t xml:space="preserve">Una quota di questo bisogno, non intercettata a monte, si riversa impropriamente sui servizi di urgenza.</w:t>
      </w:r>
      <w:r>
        <w:rPr>
          <w:rStyle w:val="FootnoteReference"/>
        </w:rPr>
        <w:footnoteReference w:id="2043"/>
      </w:r>
    </w:p>
    <w:bookmarkEnd w:id="1250"/>
    <w:bookmarkStart w:id="1254" w:name="b.3-domanda-offerta-e-gap-di-copertura-4"/>
    <w:p>
      <w:pPr>
        <w:pStyle w:val="Heading3"/>
      </w:pPr>
      <w:r>
        <w:t xml:space="preserve">B.3 Domanda, offerta e gap di copertura</w:t>
      </w:r>
    </w:p>
    <w:p>
      <w:pPr>
        <w:pStyle w:val="FirstParagraph"/>
      </w:pPr>
      <w:r>
        <w:t xml:space="preserve">Il confronto tra il bisogno e l’offerta strutturata definisce il gap di copertura, che nel Veneto presenta una configurazione peculiare. Sul versante dell’offerta, la regione dispone di una consolidata esperienza sperimentale, avviata per prima in Italia nel 2014, e di un impegno politico formale all’avvio di un servizio permanente, ma non ancora di un servizio strutturato e dimensionato a regime.</w:t>
      </w:r>
      <w:r>
        <w:rPr>
          <w:rStyle w:val="FootnoteReference"/>
        </w:rPr>
        <w:footnoteReference w:id="2044"/>
      </w:r>
      <w:r>
        <w:t xml:space="preserve"> </w:t>
      </w:r>
      <w:r>
        <w:t xml:space="preserve">Sul versante del fabbisogno, l’applicazione dei parametri organizzativi del modello indica una necessità a regime dell’ordine di 1.050 psicologi, a fronte di una dotazione attuale che l’Ordine professionale colloca su valori molto distanti dagli standard europei.</w:t>
      </w:r>
      <w:r>
        <w:rPr>
          <w:rStyle w:val="FootnoteReference"/>
        </w:rPr>
        <w:footnoteReference w:id="2045"/>
      </w:r>
      <w:r>
        <w:t xml:space="preserve"> </w:t>
      </w:r>
      <w:r>
        <w:t xml:space="preserve">Ne risulta una copertura del fabbisogno, in termini di servizio dimensionato, prossima a zero, in un quadro reso più critico da una recente erosione degli organici dei servizi di salute mentale e da liste di attesa prolungate.</w:t>
      </w:r>
      <w:r>
        <w:rPr>
          <w:rStyle w:val="FootnoteReference"/>
        </w:rPr>
        <w:footnoteReference w:id="2046"/>
      </w:r>
      <w:r>
        <w:t xml:space="preserve"> </w:t>
      </w:r>
      <w:r>
        <w:t xml:space="preserve">La tabella seguente sintetizza il rapporto tra domanda, offerta e gap.</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201"/>
        <w:gridCol w:w="460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Veneto</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970.000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stimata in carico ai Dipartimenti</w:t>
            </w:r>
          </w:p>
        </w:tc>
        <w:tc>
          <w:tcPr>
            <w:shd w:val="clear" w:color="auto" w:fill="F4F1EC"/>
          </w:tcPr>
          <w:p>
            <w:pPr>
              <w:pStyle w:val="Compact"/>
              <w:spacing w:after="40" w:before="40"/>
              <w:jc w:val="left"/>
            </w:pPr>
            <w:r>
              <w:rPr>
                <w:rFonts w:ascii="Cambria" w:hAnsi="Cambria" w:cs="Cambria" w:eastAsia="Cambria"/>
                <w:color w:val="1A1A1A"/>
                <w:sz w:val="18"/>
              </w:rPr>
              <w:t xml:space="preserve">~ 72.000</w:t>
            </w:r>
          </w:p>
        </w:tc>
      </w:tr>
      <w:tr>
        <w:tc>
          <w:tcPr/>
          <w:p>
            <w:pPr>
              <w:pStyle w:val="Compact"/>
              <w:spacing w:after="40" w:before="40"/>
              <w:jc w:val="left"/>
            </w:pPr>
            <w:r>
              <w:rPr>
                <w:rFonts w:ascii="Cambria" w:hAnsi="Cambria" w:cs="Cambria" w:eastAsia="Cambria"/>
                <w:b/>
                <w:bCs/>
                <w:color w:val="1A1A1A"/>
                <w:sz w:val="18"/>
              </w:rPr>
              <w:t xml:space="preserve">Accessi al pronto soccorso per cause psichiatriche</w:t>
            </w:r>
          </w:p>
        </w:tc>
        <w:tc>
          <w:tcPr/>
          <w:p>
            <w:pPr>
              <w:pStyle w:val="Compact"/>
              <w:spacing w:after="40" w:before="40"/>
              <w:jc w:val="left"/>
            </w:pPr>
            <w:r>
              <w:rPr>
                <w:rFonts w:ascii="Cambria" w:hAnsi="Cambria" w:cs="Cambria" w:eastAsia="Cambria"/>
                <w:color w:val="1A1A1A"/>
                <w:sz w:val="18"/>
              </w:rPr>
              <w:t xml:space="preserve">~ 22.000–24.000 l’anno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Offerta territoriale strutturata attuale</w:t>
            </w:r>
          </w:p>
        </w:tc>
        <w:tc>
          <w:tcPr>
            <w:shd w:val="clear" w:color="auto" w:fill="F4F1EC"/>
          </w:tcPr>
          <w:p>
            <w:pPr>
              <w:pStyle w:val="Compact"/>
              <w:spacing w:after="40" w:before="40"/>
              <w:jc w:val="left"/>
            </w:pPr>
            <w:r>
              <w:rPr>
                <w:rFonts w:ascii="Cambria" w:hAnsi="Cambria" w:cs="Cambria" w:eastAsia="Cambria"/>
                <w:color w:val="1A1A1A"/>
                <w:sz w:val="18"/>
              </w:rPr>
              <w:t xml:space="preserve">Sperimentazioni pioniere e impegno (mozione 302/2022); servizio non strutturato</w:t>
            </w:r>
          </w:p>
        </w:tc>
      </w:tr>
      <w:tr>
        <w:tc>
          <w:tcPr/>
          <w:p>
            <w:pPr>
              <w:pStyle w:val="Compact"/>
              <w:spacing w:after="40" w:before="40"/>
              <w:jc w:val="left"/>
            </w:pPr>
            <w:r>
              <w:rPr>
                <w:rFonts w:ascii="Cambria" w:hAnsi="Cambria" w:cs="Cambria" w:eastAsia="Cambria"/>
                <w:b/>
                <w:bCs/>
                <w:color w:val="1A1A1A"/>
                <w:sz w:val="18"/>
              </w:rPr>
              <w:t xml:space="preserve">Fabbisogno stimato a regime</w:t>
            </w:r>
          </w:p>
        </w:tc>
        <w:tc>
          <w:tcPr/>
          <w:p>
            <w:pPr>
              <w:pStyle w:val="Compact"/>
              <w:spacing w:after="40" w:before="40"/>
              <w:jc w:val="left"/>
            </w:pPr>
            <w:r>
              <w:rPr>
                <w:rFonts w:ascii="Cambria" w:hAnsi="Cambria" w:cs="Cambria" w:eastAsia="Cambria"/>
                <w:color w:val="1A1A1A"/>
                <w:sz w:val="18"/>
              </w:rPr>
              <w:t xml:space="preserve">~ 1.050 psicologi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Copertura attuale del fabbisogno</w:t>
            </w:r>
          </w:p>
        </w:tc>
        <w:tc>
          <w:tcPr>
            <w:shd w:val="clear" w:color="auto" w:fill="F4F1EC"/>
          </w:tcPr>
          <w:p>
            <w:pPr>
              <w:pStyle w:val="Compact"/>
              <w:spacing w:after="40" w:before="40"/>
              <w:jc w:val="left"/>
            </w:pPr>
            <w:r>
              <w:rPr>
                <w:rFonts w:ascii="Cambria" w:hAnsi="Cambria" w:cs="Cambria" w:eastAsia="Cambria"/>
                <w:color w:val="1A1A1A"/>
                <w:sz w:val="18"/>
              </w:rPr>
              <w:t xml:space="preserve">~ 0%; organici dei DSM in erosione (−10% psicologi, −30% educatori)</w:t>
            </w:r>
          </w:p>
        </w:tc>
      </w:tr>
    </w:tbl>
    <w:p>
      <w:pPr>
        <w:pStyle w:val="BodyText"/>
      </w:pPr>
      <w:r>
        <w:rPr>
          <w:i/>
          <w:iCs/>
        </w:rPr>
        <w:t xml:space="preserve">Tabella B.2. Domanda, offerta e gap di copertura.</w:t>
      </w:r>
    </w:p>
    <w:bookmarkEnd w:id="1254"/>
    <w:bookmarkStart w:id="1256" w:name="Xe8b0a34d3312db35d72871836f2836c7c24cf3c"/>
    <w:p>
      <w:pPr>
        <w:pStyle w:val="Heading3"/>
      </w:pPr>
      <w:r>
        <w:t xml:space="preserve">B.4 Disuguaglianze e divari territoriali</w:t>
      </w:r>
    </w:p>
    <w:p>
      <w:pPr>
        <w:pStyle w:val="FirstParagraph"/>
      </w:pPr>
      <w:r>
        <w:t xml:space="preserve">La dimensione distributiva del bisogno, che la Parte G riprende e analizza con gli strumenti propri, va anticipata qui perché concorre a definire il problema. Il divario rilevante nel Veneto non è un gradiente di deprivazione socio-economica, né una frattura tra un Nord e un Sud regionali, ma la dualità fra la pianura densamente popolata e produttiva e le aree montane del Bellunese e dell’Altopiano, anziane e in spopolamento, dove la distanza dai servizi e la rarefazione dell’offerta rendono l’accesso più difficoltoso.</w:t>
      </w:r>
      <w:r>
        <w:rPr>
          <w:rStyle w:val="FootnoteReference"/>
        </w:rPr>
        <w:footnoteReference w:id="2047"/>
      </w:r>
      <w:r>
        <w:t xml:space="preserve"> </w:t>
      </w:r>
      <w:r>
        <w:t xml:space="preserve">È una geografia dell’accesso più che del reddito, che orienta una specifica scelta di modello: l’affiancamento, alla rete territoriale, di un presidio di telepsicologia e telemonitoraggio quale condizione di accesso per le comunità montane. A questa dimensione propriamente territoriale si aggiunge una dimensione di età, poiché le aree montane coincidono in larga misura con quelle a più elevato invecchiamento.</w:t>
      </w:r>
    </w:p>
    <w:bookmarkEnd w:id="1256"/>
    <w:bookmarkStart w:id="4346" w:name="b.5-i-servizi-e-i-flussi-4"/>
    <w:p>
      <w:pPr>
        <w:pStyle w:val="Heading3"/>
      </w:pPr>
      <w:r>
        <w:t xml:space="preserve">B.5 I servizi e i flussi</w:t>
      </w:r>
    </w:p>
    <w:p>
      <w:pPr>
        <w:pStyle w:val="FirstParagraph"/>
      </w:pPr>
      <w:r>
        <w:t xml:space="preserve">Il contesto di servizio in cui il Servizio di Psicologia di Base si inserirebbe è quello di un sistema sanitario di eccellenza, finanziariamente solido e attrattore netto di pazienti. Il finanziamento del Servizio sanitario regionale è dell’ordine di undici miliardi di euro, con conti in equilibrio e nessun piano di rientro.</w:t>
      </w:r>
      <w:r>
        <w:rPr>
          <w:rStyle w:val="FootnoteReference"/>
        </w:rPr>
        <w:footnoteReference w:id="2048"/>
      </w:r>
      <w:r>
        <w:t xml:space="preserve"> </w:t>
      </w:r>
      <w:r>
        <w:t xml:space="preserve">Il saldo della mobilità sanitaria è strutturalmente attivo, dell’ordine di quasi duecento milioni di euro, e colloca il Veneto al terzo posto nazionale: essendo la regione creditrice, il canale del recupero della mobilità passiva — rilevante per la Puglia — non si applica, e ciò incide sulla composizione del caso economico.</w:t>
      </w:r>
      <w:r>
        <w:rPr>
          <w:rStyle w:val="FootnoteReference"/>
        </w:rPr>
        <w:footnoteReference w:id="2049"/>
      </w:r>
      <w:r>
        <w:t xml:space="preserve"> </w:t>
      </w:r>
      <w:r>
        <w:t xml:space="preserve">L’architettura dei servizi è imperniata su nove Aziende ULSS di grandi dimensioni, sull’Azienda Zero e sulle Aziende Ospedaliere universitarie, con la rete delle Case di Comunità in costruzione.</w:t>
      </w:r>
      <w:r>
        <w:rPr>
          <w:rStyle w:val="FootnoteReference"/>
        </w:rPr>
        <w:footnoteReference w:id="2050"/>
      </w:r>
      <w:r>
        <w:t xml:space="preserve"> </w:t>
      </w:r>
      <w:r>
        <w:t xml:space="preserve">La tabella seguente riepiloga le grandezze di sistema rilevanti.</w:t>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94"/>
        <w:gridCol w:w="491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Veneto</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w:t>
            </w:r>
          </w:p>
        </w:tc>
        <w:tc>
          <w:tcPr/>
          <w:p>
            <w:pPr>
              <w:pStyle w:val="Compact"/>
              <w:spacing w:after="40" w:before="40"/>
              <w:jc w:val="left"/>
            </w:pPr>
            <w:r>
              <w:rPr>
                <w:rFonts w:ascii="Cambria" w:hAnsi="Cambria" w:cs="Cambria" w:eastAsia="Cambria"/>
                <w:color w:val="1A1A1A"/>
                <w:sz w:val="18"/>
              </w:rPr>
              <w:t xml:space="preserve">~ 11 miliardi di euro; conti in equilibrio; nessun piano di rientro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 attiva</w:t>
            </w:r>
          </w:p>
        </w:tc>
        <w:tc>
          <w:tcPr>
            <w:shd w:val="clear" w:color="auto" w:fill="F4F1EC"/>
          </w:tcPr>
          <w:p>
            <w:pPr>
              <w:pStyle w:val="Compact"/>
              <w:spacing w:after="40" w:before="40"/>
              <w:jc w:val="left"/>
            </w:pPr>
            <w:r>
              <w:rPr>
                <w:rFonts w:ascii="Cambria" w:hAnsi="Cambria" w:cs="Cambria" w:eastAsia="Cambria"/>
                <w:color w:val="1A1A1A"/>
                <w:sz w:val="18"/>
              </w:rPr>
              <w:t xml:space="preserve">saldo +198 milioni di euro (regione creditrice, terza d’Italia; canale non applicabile)</w:t>
            </w:r>
          </w:p>
        </w:tc>
      </w:tr>
      <w:tr>
        <w:tc>
          <w:tcPr/>
          <w:p>
            <w:pPr>
              <w:pStyle w:val="Compact"/>
              <w:spacing w:after="40" w:before="40"/>
              <w:jc w:val="left"/>
            </w:pPr>
            <w:r>
              <w:rPr>
                <w:rFonts w:ascii="Cambria" w:hAnsi="Cambria" w:cs="Cambria" w:eastAsia="Cambria"/>
                <w:b/>
                <w:bCs/>
                <w:color w:val="1A1A1A"/>
                <w:sz w:val="18"/>
              </w:rPr>
              <w:t xml:space="preserve">Accessi al pronto soccorso</w:t>
            </w:r>
          </w:p>
        </w:tc>
        <w:tc>
          <w:tcPr/>
          <w:p>
            <w:pPr>
              <w:pStyle w:val="Compact"/>
              <w:spacing w:after="40" w:before="40"/>
              <w:jc w:val="left"/>
            </w:pPr>
            <w:r>
              <w:rPr>
                <w:rFonts w:ascii="Cambria" w:hAnsi="Cambria" w:cs="Cambria" w:eastAsia="Cambria"/>
                <w:color w:val="1A1A1A"/>
                <w:sz w:val="18"/>
              </w:rPr>
              <w:t xml:space="preserve">~ 1.500.000 l’anno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Architettura dei servizi</w:t>
            </w:r>
          </w:p>
        </w:tc>
        <w:tc>
          <w:tcPr>
            <w:shd w:val="clear" w:color="auto" w:fill="F4F1EC"/>
          </w:tcPr>
          <w:p>
            <w:pPr>
              <w:pStyle w:val="Compact"/>
              <w:spacing w:after="40" w:before="40"/>
              <w:jc w:val="left"/>
            </w:pPr>
            <w:r>
              <w:rPr>
                <w:rFonts w:ascii="Cambria" w:hAnsi="Cambria" w:cs="Cambria" w:eastAsia="Cambria"/>
                <w:color w:val="1A1A1A"/>
                <w:sz w:val="18"/>
              </w:rPr>
              <w:t xml:space="preserve">Nove ULSS, Azienda Zero, due Aziende Ospedaliere, IOV; Case di Comunità in costruzione</w:t>
            </w:r>
          </w:p>
        </w:tc>
      </w:tr>
      <w:tr>
        <w:tc>
          <w:tcPr/>
          <w:p>
            <w:pPr>
              <w:pStyle w:val="Compact"/>
              <w:spacing w:after="40" w:before="40"/>
              <w:jc w:val="left"/>
            </w:pPr>
            <w:r>
              <w:rPr>
                <w:rFonts w:ascii="Cambria" w:hAnsi="Cambria" w:cs="Cambria" w:eastAsia="Cambria"/>
                <w:b/>
                <w:bCs/>
                <w:color w:val="1A1A1A"/>
                <w:sz w:val="18"/>
              </w:rPr>
              <w:t xml:space="preserve">Margine di azione principale</w:t>
            </w:r>
          </w:p>
        </w:tc>
        <w:tc>
          <w:tcPr/>
          <w:p>
            <w:pPr>
              <w:pStyle w:val="Compact"/>
              <w:spacing w:after="40" w:before="40"/>
              <w:jc w:val="left"/>
            </w:pPr>
            <w:r>
              <w:rPr>
                <w:rFonts w:ascii="Cambria" w:hAnsi="Cambria" w:cs="Cambria" w:eastAsia="Cambria"/>
                <w:color w:val="1A1A1A"/>
                <w:sz w:val="18"/>
              </w:rPr>
              <w:t xml:space="preserve">Liste di attesa, erosione degli organici, accesso delle aree montane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4346"/>
    <w:bookmarkStart w:id="1262" w:name="X8098c915d835feee2ae46a827dca05b7ab0d8da"/>
    <w:p>
      <w:pPr>
        <w:pStyle w:val="Heading3"/>
      </w:pPr>
      <w:r>
        <w:t xml:space="preserve">B.6 La cornice normativa e programmatica</w:t>
      </w:r>
    </w:p>
    <w:p>
      <w:pPr>
        <w:pStyle w:val="FirstParagraph"/>
      </w:pPr>
      <w:r>
        <w:t xml:space="preserve">La cornice normativa e programmatica entro cui la decisione si colloca è, nel Veneto, peculiare e ricca. Sul piano regionale, la regione è stata l’apripista nazionale, avendo avviato la prima sperimentazione già nel 2014; il Consiglio regionale ha poi impegnato la Giunta, con la mozione n. 302 del 2022, ad avviare un servizio permanente di psicologia delle cure primarie collegato alle Case di Comunità; e sono in corso d’esame proposte di legge dedicate, mentre la cornice organizzativa di riferimento resta la legge regionale n. 19 del 2016, istitutiva dell’Azienda Zero.</w:t>
      </w:r>
      <w:r>
        <w:rPr>
          <w:rStyle w:val="FootnoteReference"/>
        </w:rPr>
        <w:footnoteReference w:id="2051"/>
      </w:r>
      <w:r>
        <w:t xml:space="preserve"> </w:t>
      </w:r>
      <w:r>
        <w:t xml:space="preserve">Sul piano nazionale, il Decreto Ministeriale 77 del 2022 ha fissato gli standard dell’assistenza territoriale e il Piano nazionale di ripresa e resilienza finanzia le Case di Comunità, mentre non esiste, allo stato, una legge nazionale che disciplini la figura dello psicologo di base. Questa cornice configura la decisione veneta non come l’introduzione di una funzione nuova, ma come la strutturazione e il dimensionamento di un servizio già sperimentato e già politicamente impegnato: è il presupposto da cui muovono i domini successivi, a partire dalla descrizione dell’intervento e del suo modello, oggetto della parte che segue.</w:t>
      </w:r>
    </w:p>
    <w:bookmarkEnd w:id="1262"/>
    <w:bookmarkEnd w:id="4345"/>
    <w:bookmarkStart w:id="1288" w:name="parte-c-lintervento-e-il-suo-modello-3"/>
    <w:p>
      <w:pPr>
        <w:pStyle w:val="Heading2"/>
      </w:pPr>
      <w:r>
        <w:t xml:space="preserve">Parte C — L’intervento e il suo modello</w:t>
      </w:r>
    </w:p>
    <w:p>
      <w:pPr>
        <w:pStyle w:val="FirstParagraph"/>
      </w:pPr>
      <w:r>
        <w:t xml:space="preserve">Definito il problema di salute, il bisogno e il contesto, questa parte descrive l’intervento e il suo modello: che cosa fa lo psicologo di base, secondo quale teoria del cambiamento (capitolo C.1), entro quale modello organizzativo (C.2), lungo quale percorso clinico e con quali esiti e garanzie di sicurezza (C.3), con quale sistema informativo (C.4), con quali strumenti digitali e di intelligenza artificiale (C.5) e con quale impianto formativo (C.6). La descrizione è quella, comune a tutte le Regioni, del modello validato sulla Puglia, qui declinata sulle specificità venete: l’architettura centralizzata dell’Azienda Zero, la dualità fra pianura e aree montane, la presenza di un’esperienza sperimentale consolidata.</w:t>
      </w:r>
    </w:p>
    <w:bookmarkStart w:id="1267" w:name="X2e43d59512ce057a0b6b78d1cfeb86ffc3de125"/>
    <w:p>
      <w:pPr>
        <w:pStyle w:val="Heading3"/>
      </w:pPr>
      <w:r>
        <w:t xml:space="preserve">C.1 Definizione e teoria del cambiamento</w:t>
      </w:r>
    </w:p>
    <w:p>
      <w:pPr>
        <w:pStyle w:val="FirstParagraph"/>
      </w:pPr>
      <w:r>
        <w:t xml:space="preserve">Lo psicologo di base è il primo livello di ascolto psicologico nelle cure primarie: una funzione dedicata all’intercettazione precoce del disagio, all’intervento breve e all’orientamento, e al filtro verso i servizi specialistici. Non è un servizio specialistico, né sostituisce i Dipartimenti di Salute Mentale: li precede e li alleggerisce, collocandosi a monte del sistema.</w:t>
      </w:r>
      <w:r>
        <w:rPr>
          <w:rStyle w:val="FootnoteReference"/>
        </w:rPr>
        <w:footnoteReference w:id="2052"/>
      </w:r>
      <w:r>
        <w:t xml:space="preserve"> </w:t>
      </w:r>
      <w:r>
        <w:t xml:space="preserve">Il modo in cui questa funzione produce valore è descritto da una teoria del cambiamento esplicita, che collega il bisogno agli esiti attraverso un meccanismo identificato.</w:t>
      </w:r>
      <w:r>
        <w:rPr>
          <w:rStyle w:val="FootnoteReference"/>
        </w:rPr>
        <w:footnoteReference w:id="2053"/>
      </w:r>
      <w:r>
        <w:t xml:space="preserve"> </w:t>
      </w:r>
      <w:r>
        <w:t xml:space="preserve">Il punto di partenza è un bisogno ampio e in larga parte non intercettato.</w:t>
      </w:r>
      <w:r>
        <w:rPr>
          <w:rStyle w:val="FootnoteReference"/>
        </w:rPr>
        <w:footnoteReference w:id="2054"/>
      </w:r>
      <w:r>
        <w:t xml:space="preserve"> </w:t>
      </w:r>
      <w:r>
        <w:t xml:space="preserve">La tabella seguente espone la catena, dal bisogno agli esiti.</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28"/>
        <w:gridCol w:w="609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il Veneto</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970.000 persone con disagio comune, in larga parte non intercettato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Psicologo nelle cure primarie: intercettazione precoce, intervento breve, filtro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liste di attesa ridotte e rete territoriale completata</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particolarmente rilevante nella popolazione attiva, e minor carico familiare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1267"/>
    <w:bookmarkStart w:id="1270" w:name="c.2-il-modello-organizzativo-4"/>
    <w:p>
      <w:pPr>
        <w:pStyle w:val="Heading3"/>
      </w:pPr>
      <w:r>
        <w:t xml:space="preserve">C.2 Il modello organizzativo</w:t>
      </w:r>
    </w:p>
    <w:p>
      <w:pPr>
        <w:pStyle w:val="FirstParagraph"/>
      </w:pPr>
      <w:r>
        <w:t xml:space="preserve">Il modello organizzativo colloca lo psicologo di base nelle Case di Comunità e nelle medicine di gruppo integrate, in collaborazione strutturata con i medici di medicina generale, secondo protocolli condivisi che definiscono l’accesso, la presa in carico e l’invio.</w:t>
      </w:r>
      <w:r>
        <w:rPr>
          <w:rStyle w:val="FootnoteReference"/>
        </w:rPr>
        <w:footnoteReference w:id="2055"/>
      </w:r>
      <w:r>
        <w:t xml:space="preserve"> </w:t>
      </w:r>
      <w:r>
        <w:t xml:space="preserve">L’organizzazione del servizio segue il principio dell’intensità crescente, che parte dal livello meno intensivo appropriato e aumenta solo se necessario, con criteri espliciti di passaggio di livello.</w:t>
      </w:r>
      <w:r>
        <w:rPr>
          <w:rStyle w:val="FootnoteReference"/>
        </w:rPr>
        <w:footnoteReference w:id="2056"/>
      </w:r>
      <w:r>
        <w:t xml:space="preserve"> </w:t>
      </w:r>
      <w:r>
        <w:t xml:space="preserve">La specificità veneta risiede nel ruolo dell’Azienda Zero: ente di governo regionale con funzioni centralizzate di programmazione e acquisto, essa consente una progettazione unitaria del modello e un’attuazione omogenea ed efficiente sulle nove Aziende ULSS, evitando la frammentazione e realizzando economie di scala nella formazione, nell’acquisizione delle tecnologie e nella definizione dei protocolli. È un vantaggio che distingue il Veneto e che il modello assume come leva di implementazione.</w:t>
      </w:r>
    </w:p>
    <w:bookmarkEnd w:id="1270"/>
    <w:bookmarkStart w:id="1275" w:name="X0e43cc31c393dc311a27f33a0a676e8afa01da2"/>
    <w:p>
      <w:pPr>
        <w:pStyle w:val="Heading3"/>
      </w:pPr>
      <w:r>
        <w:t xml:space="preserve">C.3 Il percorso clinico, la sicurezza e gli esiti</w:t>
      </w:r>
    </w:p>
    <w:p>
      <w:pPr>
        <w:pStyle w:val="FirstParagraph"/>
      </w:pPr>
      <w:r>
        <w:t xml:space="preserve">Il percorso clinico prevede l’accesso diretto del cittadino o la segnalazione da parte del medico di medicina generale, una valutazione iniziale, un ciclo di colloqui brevi e, nei casi che lo richiedono, l’invio appropriato ai servizi specialistici secondo criteri definiti.</w:t>
      </w:r>
      <w:r>
        <w:rPr>
          <w:rStyle w:val="FootnoteReference"/>
        </w:rPr>
        <w:footnoteReference w:id="2057"/>
      </w:r>
      <w:r>
        <w:t xml:space="preserve"> </w:t>
      </w:r>
      <w:r>
        <w:t xml:space="preserve">Gli esiti sono misurati con strumenti validati e di uso internazionale, impiegati nei soli punteggi complessivi.</w:t>
      </w:r>
      <w:r>
        <w:rPr>
          <w:rStyle w:val="FootnoteReference"/>
        </w:rPr>
        <w:footnoteReference w:id="2058"/>
      </w:r>
      <w:r>
        <w:t xml:space="preserve"> </w:t>
      </w:r>
      <w:r>
        <w:t xml:space="preserve">Particolare cura è dedicata alla sicurezza: le situazioni di rischio sono individuate precocemente e indirizzate senza indugio ai servizi specialistici e di emergenza secondo protocolli definiti.</w:t>
      </w:r>
      <w:r>
        <w:rPr>
          <w:rStyle w:val="FootnoteReference"/>
        </w:rPr>
        <w:footnoteReference w:id="2059"/>
      </w:r>
      <w:r>
        <w:t xml:space="preserve"> </w:t>
      </w:r>
      <w:r>
        <w:t xml:space="preserve">Gli esiti del percorso si articolano in quattro categorie — primario, clinici secondari, di processo, di impatto e utilizzo — di cui la tabella seguente riporta gli indicatori. Gli esiti economici sono trattati nella Parte E.</w:t>
      </w:r>
      <w:r>
        <w:rPr>
          <w:rStyle w:val="FootnoteReference"/>
        </w:rPr>
        <w:footnoteReference w:id="2060"/>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43"/>
        <w:gridCol w:w="56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1275"/>
    <w:bookmarkStart w:id="1278" w:name="Xc3be158a0a92a2c2915f9e34a82db36433238a1"/>
    <w:p>
      <w:pPr>
        <w:pStyle w:val="Heading3"/>
      </w:pPr>
      <w:r>
        <w:t xml:space="preserve">C.4 Il sistema informativo e l’interoperabilità</w:t>
      </w:r>
    </w:p>
    <w:p>
      <w:pPr>
        <w:pStyle w:val="FirstParagraph"/>
      </w:pPr>
      <w:r>
        <w:t xml:space="preserve">La misurabilità dell’intervento dipende da un sistema informativo adeguato. La registrazione strutturata dell’attività e degli esiti, integrata con il fascicolo sanitario elettronico regionale, consente il monitoraggio continuo, la valutazione degli esiti e l’alimentazione del disegno controfattuale.</w:t>
      </w:r>
      <w:r>
        <w:rPr>
          <w:rStyle w:val="FootnoteReference"/>
        </w:rPr>
        <w:footnoteReference w:id="2061"/>
      </w:r>
      <w:r>
        <w:t xml:space="preserve"> </w:t>
      </w:r>
      <w:r>
        <w:t xml:space="preserve">La completezza e la sistematicità della raccolta dei dati di processo e di esito non sono un adempimento accessorio, ma la condizione stessa della clausola valutativa: vanno previste fin dall’avvio del servizio.</w:t>
      </w:r>
      <w:r>
        <w:rPr>
          <w:rStyle w:val="FootnoteReference"/>
        </w:rPr>
        <w:footnoteReference w:id="2062"/>
      </w:r>
      <w:r>
        <w:t xml:space="preserve"> </w:t>
      </w:r>
      <w:r>
        <w:t xml:space="preserve">Anche in questo l’architettura veneta offre un vantaggio, poiché l’Azienda Zero è titolare di funzioni informative centralizzate e costituisce il riferimento naturale per un sistema di monitoraggio unitario su tutte le aziende.</w:t>
      </w:r>
    </w:p>
    <w:bookmarkEnd w:id="1278"/>
    <w:bookmarkStart w:id="1284" w:name="X3df7f392d9d099b36fbcc3fd469b0c318381ecc"/>
    <w:p>
      <w:pPr>
        <w:pStyle w:val="Heading3"/>
      </w:pPr>
      <w:r>
        <w:t xml:space="preserve">C.5 Gli strumenti digitali e l’intelligenza artificiale</w:t>
      </w:r>
    </w:p>
    <w:p>
      <w:pPr>
        <w:pStyle w:val="FirstParagraph"/>
      </w:pPr>
      <w:r>
        <w:t xml:space="preserve">Gli strumenti digitali e di intelligenza artificiale sono parte integrante del modello, ma in funzione rigorosamente ancillare e sotto costante sorveglianza umana. Concorrono al triage e allo screening assistiti, per l’indirizzamento e l’individuazione precoce, sempre sotto supervisione clinica.</w:t>
      </w:r>
      <w:r>
        <w:rPr>
          <w:rStyle w:val="FootnoteReference"/>
        </w:rPr>
        <w:footnoteReference w:id="2063"/>
      </w:r>
      <w:r>
        <w:t xml:space="preserve"> </w:t>
      </w:r>
      <w:r>
        <w:t xml:space="preserve">Forniscono supporto decisionale e sintesi clinica come ausilio non vincolante al professionista, che ne resta pienamente responsabile.</w:t>
      </w:r>
      <w:r>
        <w:rPr>
          <w:rStyle w:val="FootnoteReference"/>
        </w:rPr>
        <w:footnoteReference w:id="2064"/>
      </w:r>
      <w:r>
        <w:t xml:space="preserve"> </w:t>
      </w:r>
      <w:r>
        <w:t xml:space="preserve">Riducono il carico amministrativo mediante automazione appropriata, restituendo tempo alla cura.</w:t>
      </w:r>
      <w:r>
        <w:rPr>
          <w:rStyle w:val="FootnoteReference"/>
        </w:rPr>
        <w:footnoteReference w:id="2065"/>
      </w:r>
      <w:r>
        <w:t xml:space="preserve"> </w:t>
      </w:r>
      <w:r>
        <w:t xml:space="preserve">Nel Veneto, una funzione assume particolare rilievo: la telepsicologia e il telemonitoraggio assistiti, che costituiscono lo strumento decisivo per garantire l’accesso al sostegno psicologico nelle aree montane del Bellunese e dell’Altopiano, complementare e non sostitutivo della presa in carico in presenza.</w:t>
      </w:r>
      <w:r>
        <w:rPr>
          <w:rStyle w:val="FootnoteReference"/>
        </w:rPr>
        <w:footnoteReference w:id="2066"/>
      </w:r>
      <w:r>
        <w:t xml:space="preserve"> </w:t>
      </w:r>
      <w:r>
        <w:t xml:space="preserve">Vi si aggiungono i dispositivi terapeutici digitali, interventi validati e prescritti, conformi alla disciplina sui dispositivi medici.</w:t>
      </w:r>
      <w:r>
        <w:rPr>
          <w:rStyle w:val="FootnoteReference"/>
        </w:rPr>
        <w:footnoteReference w:id="2067"/>
      </w:r>
      <w:r>
        <w:t xml:space="preserve"> </w:t>
      </w:r>
      <w:r>
        <w:t xml:space="preserve">La tabella seguente riepiloga strumenti, funzioni e condizioni d’impiego.</w:t>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475"/>
        <w:gridCol w:w="3520"/>
        <w:gridCol w:w="181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 e telemonitoraggio</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aree montane (Bellunese, Altopiano); continuità</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bookmarkEnd w:id="1284"/>
    <w:bookmarkStart w:id="1287" w:name="c.6-la-formazione-e-le-competenze-4"/>
    <w:p>
      <w:pPr>
        <w:pStyle w:val="Heading3"/>
      </w:pPr>
      <w:r>
        <w:t xml:space="preserve">C.6 La formazione e le competenze</w:t>
      </w:r>
    </w:p>
    <w:p>
      <w:pPr>
        <w:pStyle w:val="FirstParagraph"/>
      </w:pPr>
      <w:r>
        <w:t xml:space="preserve">L’efficacia del servizio dipende in misura decisiva dalle competenze dei professionisti, che il modello costruisce attraverso un programma formativo articolato su quattro livelli: universitario, post-universitario specialistico, continuo lavorativo e di affiancamento operativo.</w:t>
      </w:r>
      <w:r>
        <w:rPr>
          <w:rStyle w:val="FootnoteReference"/>
        </w:rPr>
        <w:footnoteReference w:id="2068"/>
      </w:r>
      <w:r>
        <w:t xml:space="preserve"> </w:t>
      </w:r>
      <w:r>
        <w:t xml:space="preserve">A questi si aggiunge una componente trasversale sull’intelligenza artificiale, presente in tutti i livelli, dedicata alla selezione e all’uso appropriato degli strumenti digitali, all’interpretazione degli esiti e alla conformità. Nel Veneto, il programma trova condizioni particolarmente favorevoli: le Università di Padova e Verona offrono una solida base formativa, e la centralizzazione delle funzioni di acquisto e formazione in capo all’Azienda Zero consente un’introduzione uniforme ed efficiente, candidando la regione a contesto esemplare a livello nazionale per l’integrazione rigorosamente valutata dell’intelligenza artificiale.</w:t>
      </w:r>
      <w:r>
        <w:rPr>
          <w:rStyle w:val="FootnoteReference"/>
        </w:rPr>
        <w:footnoteReference w:id="2069"/>
      </w:r>
      <w:r>
        <w:t xml:space="preserve"> </w:t>
      </w:r>
      <w:r>
        <w:t xml:space="preserve">La tabella seguente descrive i quattro livelli e la componente trasversale. Definito l’intervento e il suo modello, la parte che segue ne esamina l’efficacia e l’evidenza scientifica.</w:t>
      </w:r>
    </w:p>
    <w:tbl>
      <w:tblPr>
        <w:tblStyle w:val="Table"/>
        <w:tblW w:type="pct" w:w="494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60"/>
        <w:gridCol w:w="4651"/>
        <w:gridCol w:w="142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Università di Padova e Verona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di base e cure primarie: modelli organizzativi, collaborazione, misure di esito, percorsi clinici</w:t>
            </w:r>
          </w:p>
        </w:tc>
        <w:tc>
          <w:tcPr>
            <w:shd w:val="clear" w:color="auto" w:fill="F4F1EC"/>
          </w:tcPr>
          <w:p>
            <w:pPr>
              <w:pStyle w:val="Compact"/>
              <w:spacing w:after="40" w:before="40"/>
              <w:jc w:val="left"/>
            </w:pPr>
            <w:r>
              <w:rPr>
                <w:rFonts w:ascii="Cambria" w:hAnsi="Cambria" w:cs="Cambria" w:eastAsia="Cambria"/>
                <w:color w:val="1A1A1A"/>
                <w:sz w:val="18"/>
              </w:rPr>
              <w:t xml:space="preserve">Corso regionale con attestato</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Tutor aziendali;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bookmarkEnd w:id="1287"/>
    <w:bookmarkEnd w:id="1288"/>
    <w:bookmarkStart w:id="4347" w:name="parte-d-lefficacia-e-levidenza-1"/>
    <w:p>
      <w:pPr>
        <w:pStyle w:val="Heading2"/>
      </w:pPr>
      <w:r>
        <w:t xml:space="preserve">Parte D — L’efficacia e l’evidenza</w:t>
      </w:r>
    </w:p>
    <w:p>
      <w:pPr>
        <w:pStyle w:val="FirstParagraph"/>
      </w:pPr>
      <w:r>
        <w:t xml:space="preserve">Descritto l’intervento, questa parte ne accerta l’efficacia sulla base delle prove scientifiche. Espone il metodo e i risultati della revisione sistematica della letteratura (capitolo D.1), la qualità e la certezza dell’evidenza secondo i criteri riconosciuti (D.2), i benchmark internazionali e italiani che ne costituiscono il riferimento (D.3) e le condizioni di trasferibilità al contesto regionale (D.4). L’evidenza qui richiamata è, per sua natura, sovranazionale e comune a tutte le Regioni; la sua declinazione veneta riguarda la trasferibilità, su cui incide in modo specifico l’esperienza sperimentale che la regione ha maturato per prima in Italia.</w:t>
      </w:r>
    </w:p>
    <w:bookmarkStart w:id="1295" w:name="d.1-la-revisione-sistematica-2"/>
    <w:p>
      <w:pPr>
        <w:pStyle w:val="Heading3"/>
      </w:pPr>
      <w:r>
        <w:t xml:space="preserve">D.1 La revisione sistematica</w:t>
      </w:r>
    </w:p>
    <w:p>
      <w:pPr>
        <w:pStyle w:val="FirstParagraph"/>
      </w:pPr>
      <w:r>
        <w:t xml:space="preserve">La sintesi delle prove segue i criteri di rendicontazione riconosciuti per le revisioni sistematiche e gradua la fiducia nei risultati con un sistema esplicito, considerando studi controllati, meta-analisi, revisioni di implementazione e dati di esito reale dei programmi consolidati.</w:t>
      </w:r>
      <w:r>
        <w:rPr>
          <w:rStyle w:val="FootnoteReference"/>
        </w:rPr>
        <w:footnoteReference w:id="2070"/>
      </w:r>
      <w:r>
        <w:t xml:space="preserve"> </w:t>
      </w:r>
      <w:r>
        <w:t xml:space="preserve">Il quadro che ne emerge è solido e convergente. Lo studio fondativo del modello collaborativo ha documentato un recupero a dodici mesi nettamente superiore alla cura usuale.</w:t>
      </w:r>
      <w:r>
        <w:rPr>
          <w:rStyle w:val="FootnoteReference"/>
        </w:rPr>
        <w:footnoteReference w:id="2071"/>
      </w:r>
      <w:r>
        <w:t xml:space="preserve"> </w:t>
      </w:r>
      <w:r>
        <w:t xml:space="preserve">Le meta-analisi successive hanno confermato un miglioramento medio dei sintomi depressivi clinicamente apprezzabile.</w:t>
      </w:r>
      <w:r>
        <w:rPr>
          <w:rStyle w:val="FootnoteReference"/>
        </w:rPr>
        <w:footnoteReference w:id="2072"/>
      </w:r>
      <w:r>
        <w:t xml:space="preserve"> </w:t>
      </w:r>
      <w:r>
        <w:t xml:space="preserve">Le revisioni delle implementazioni più recenti hanno quantificato riduzioni rilevanti non solo dei sintomi, ma anche degli accessi al pronto soccorso e dei ricoveri.</w:t>
      </w:r>
      <w:r>
        <w:rPr>
          <w:rStyle w:val="FootnoteReference"/>
        </w:rPr>
        <w:footnoteReference w:id="2073"/>
      </w:r>
      <w:r>
        <w:t xml:space="preserve"> </w:t>
      </w:r>
      <w:r>
        <w:t xml:space="preserve">I dati di esito reale del programma inglese, raccolti su scala di milioni di persone, mostrano tassi di recupero e di miglioramento affidabili e una completezza dei dati superiore al 98%.</w:t>
      </w:r>
      <w:r>
        <w:rPr>
          <w:rStyle w:val="FootnoteReference"/>
        </w:rPr>
        <w:footnoteReference w:id="2074"/>
      </w:r>
      <w:r>
        <w:t xml:space="preserve"> </w:t>
      </w:r>
      <w:r>
        <w:t xml:space="preserve">Una meta-analisi sulle cure integrate stima un effetto di entità modesta sul singolo ma clinicamente rilevante su popolazione.</w:t>
      </w:r>
      <w:r>
        <w:rPr>
          <w:rStyle w:val="FootnoteReference"/>
        </w:rPr>
        <w:footnoteReference w:id="2075"/>
      </w:r>
      <w:r>
        <w:t xml:space="preserve"> </w:t>
      </w:r>
      <w:r>
        <w:t xml:space="preserve">La tabella seguente riepiloga i principali risultati.</w:t>
      </w:r>
    </w:p>
    <w:tbl>
      <w:tblPr>
        <w:tblStyle w:val="Table"/>
        <w:tblW w:type="pct" w:w="493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51"/>
        <w:gridCol w:w="526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Risultato principale</w:t>
            </w:r>
          </w:p>
        </w:tc>
      </w:tr>
      <w:tr>
        <w:tc>
          <w:tcPr/>
          <w:p>
            <w:pPr>
              <w:pStyle w:val="Compact"/>
              <w:spacing w:after="40" w:before="40"/>
              <w:jc w:val="left"/>
            </w:pPr>
            <w:r>
              <w:rPr>
                <w:rFonts w:ascii="Cambria" w:hAnsi="Cambria" w:cs="Cambria" w:eastAsia="Cambria"/>
                <w:b/>
                <w:bCs/>
                <w:color w:val="1A1A1A"/>
                <w:sz w:val="18"/>
              </w:rPr>
              <w:t xml:space="preserve">Studio fondativo (JAMA, 2002)</w:t>
            </w:r>
          </w:p>
        </w:tc>
        <w:tc>
          <w:tcPr/>
          <w:p>
            <w:pPr>
              <w:pStyle w:val="Compact"/>
              <w:spacing w:after="40" w:before="40"/>
              <w:jc w:val="left"/>
            </w:pPr>
            <w:r>
              <w:rPr>
                <w:rFonts w:ascii="Cambria" w:hAnsi="Cambria" w:cs="Cambria" w:eastAsia="Cambria"/>
                <w:color w:val="1A1A1A"/>
                <w:sz w:val="18"/>
              </w:rPr>
              <w:t xml:space="preserve">~ 50% dei pazienti con riduzione ≥ 50% dei sintomi a 12 mesi, contro 19% nella cura usuale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Meta-analisi su 57 studi (2012)</w:t>
            </w:r>
          </w:p>
        </w:tc>
        <w:tc>
          <w:tcPr>
            <w:shd w:val="clear" w:color="auto" w:fill="F4F1EC"/>
          </w:tcPr>
          <w:p>
            <w:pPr>
              <w:pStyle w:val="Compact"/>
              <w:spacing w:after="40" w:before="40"/>
              <w:jc w:val="left"/>
            </w:pPr>
            <w:r>
              <w:rPr>
                <w:rFonts w:ascii="Cambria" w:hAnsi="Cambria" w:cs="Cambria" w:eastAsia="Cambria"/>
                <w:color w:val="1A1A1A"/>
                <w:sz w:val="18"/>
              </w:rPr>
              <w:t xml:space="preserve">Miglioramento medio dei sintomi depressivi di 0,28 deviazioni standard</w:t>
            </w:r>
          </w:p>
        </w:tc>
      </w:tr>
      <w:tr>
        <w:tc>
          <w:tcPr/>
          <w:p>
            <w:pPr>
              <w:pStyle w:val="Compact"/>
              <w:spacing w:after="40" w:before="40"/>
              <w:jc w:val="left"/>
            </w:pPr>
            <w:r>
              <w:rPr>
                <w:rFonts w:ascii="Cambria" w:hAnsi="Cambria" w:cs="Cambria" w:eastAsia="Cambria"/>
                <w:b/>
                <w:bCs/>
                <w:color w:val="1A1A1A"/>
                <w:sz w:val="18"/>
              </w:rPr>
              <w:t xml:space="preserve">Revisione su 42 implementazioni (2024)</w:t>
            </w:r>
          </w:p>
        </w:tc>
        <w:tc>
          <w:tcPr/>
          <w:p>
            <w:pPr>
              <w:pStyle w:val="Compact"/>
              <w:spacing w:after="40" w:before="40"/>
              <w:jc w:val="left"/>
            </w:pPr>
            <w:r>
              <w:rPr>
                <w:rFonts w:ascii="Cambria" w:hAnsi="Cambria" w:cs="Cambria" w:eastAsia="Cambria"/>
                <w:color w:val="1A1A1A"/>
                <w:sz w:val="18"/>
              </w:rPr>
              <w:t xml:space="preserve">−47% depressione e −43% ansia a 6 mesi; −34% accessi al PS; −41% ricoveri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Programma inglese, dati reali (2023–2024)</w:t>
            </w:r>
          </w:p>
        </w:tc>
        <w:tc>
          <w:tcPr>
            <w:shd w:val="clear" w:color="auto" w:fill="F4F1EC"/>
          </w:tcPr>
          <w:p>
            <w:pPr>
              <w:pStyle w:val="Compact"/>
              <w:spacing w:after="40" w:before="40"/>
              <w:jc w:val="left"/>
            </w:pPr>
            <w:r>
              <w:rPr>
                <w:rFonts w:ascii="Cambria" w:hAnsi="Cambria" w:cs="Cambria" w:eastAsia="Cambria"/>
                <w:color w:val="1A1A1A"/>
                <w:sz w:val="18"/>
              </w:rPr>
              <w:t xml:space="preserve">Recupero 50,2%; miglioramento affidabile 67,8%; completezza dei dati &gt; 98%</w:t>
            </w:r>
          </w:p>
        </w:tc>
      </w:tr>
      <w:tr>
        <w:tc>
          <w:tcPr/>
          <w:p>
            <w:pPr>
              <w:pStyle w:val="Compact"/>
              <w:spacing w:after="40" w:before="40"/>
              <w:jc w:val="left"/>
            </w:pPr>
            <w:r>
              <w:rPr>
                <w:rFonts w:ascii="Cambria" w:hAnsi="Cambria" w:cs="Cambria" w:eastAsia="Cambria"/>
                <w:b/>
                <w:bCs/>
                <w:color w:val="1A1A1A"/>
                <w:sz w:val="18"/>
              </w:rPr>
              <w:t xml:space="preserve">Meta-analisi sulle cure integrate</w:t>
            </w:r>
          </w:p>
        </w:tc>
        <w:tc>
          <w:tcPr/>
          <w:p>
            <w:pPr>
              <w:pStyle w:val="Compact"/>
              <w:spacing w:after="40" w:before="40"/>
              <w:jc w:val="left"/>
            </w:pPr>
            <w:r>
              <w:rPr>
                <w:rFonts w:ascii="Cambria" w:hAnsi="Cambria" w:cs="Cambria" w:eastAsia="Cambria"/>
                <w:color w:val="1A1A1A"/>
                <w:sz w:val="18"/>
              </w:rP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‘******efficacia dell******’</w:t>
      </w:r>
      <w:r>
        <w:rPr>
          <w:i/>
          <w:iCs/>
        </w:rPr>
        <w:t xml:space="preserve">integrazione psicologica nelle cure primarie.</w:t>
      </w:r>
    </w:p>
    <w:bookmarkEnd w:id="1295"/>
    <w:bookmarkStart w:id="1298" w:name="d.2-la-qualità-dellevidenza-2"/>
    <w:p>
      <w:pPr>
        <w:pStyle w:val="Heading3"/>
      </w:pPr>
      <w:r>
        <w:t xml:space="preserve">D.2 La qualità dell’evidenza</w:t>
      </w:r>
    </w:p>
    <w:p>
      <w:pPr>
        <w:pStyle w:val="FirstParagraph"/>
      </w:pPr>
      <w:r>
        <w:t xml:space="preserve">La fiducia nelle prove va graduata secondo la qualità metodologica. Applicando il sistema riconosciuto, la certezza dell’evidenza è da moderata a elevata per l’efficacia clinica dell’integrazione psicologica nelle cure primarie sui disturbi comuni, mentre è più eterogenea e di minore certezza per gli esiti economici, in particolare quelli di sistema.</w:t>
      </w:r>
      <w:r>
        <w:rPr>
          <w:rStyle w:val="FootnoteReference"/>
        </w:rPr>
        <w:footnoteReference w:id="2076"/>
      </w:r>
      <w:r>
        <w:t xml:space="preserve"> </w:t>
      </w:r>
      <w:r>
        <w:t xml:space="preserve">Questa distinzione è metodologicamente decisiva e onestamente dichiarata: l’efficacia clinica è ben fondata, il ritorno economico richiede maggiore cautela. Lo studio fondativo, in particolare, non documenta risparmi statisticamente significativi sui costi sanitari diretti, ciò che conferma come il valore del modello risieda in misura preponderante nei ritorni sociali più che nei risparmi sanitari diretti — conclusione del tutto coerente con il profilo del caso economico veneto, esaminato nella Parte E.</w:t>
      </w:r>
      <w:r>
        <w:rPr>
          <w:rStyle w:val="FootnoteReference"/>
        </w:rPr>
        <w:footnoteReference w:id="2077"/>
      </w:r>
    </w:p>
    <w:bookmarkEnd w:id="1298"/>
    <w:bookmarkStart w:id="4348" w:name="d.3-i-benchmark-internazionali-4"/>
    <w:p>
      <w:pPr>
        <w:pStyle w:val="Heading3"/>
      </w:pPr>
      <w:r>
        <w:t xml:space="preserve">D.3 I benchmark internazionali</w:t>
      </w:r>
    </w:p>
    <w:p>
      <w:pPr>
        <w:pStyle w:val="FirstParagraph"/>
      </w:pPr>
      <w:r>
        <w:t xml:space="preserve">L’esperienza internazionale offre modelli consolidati di riferimento. Il programma inglese delle terapie psicologiche è il termine di paragone principale per l’organizzazione a intensità crescente e per la cultura della misurazione sistematica degli esiti.</w:t>
      </w:r>
      <w:r>
        <w:rPr>
          <w:rStyle w:val="FootnoteReference"/>
        </w:rPr>
        <w:footnoteReference w:id="2078"/>
      </w:r>
      <w:r>
        <w:t xml:space="preserve"> </w:t>
      </w:r>
      <w:r>
        <w:t xml:space="preserve">Il modello olandese integra una figura di supporto psicologico nello studio del medico di base, ampiamente adottata e di ruolo complementare.</w:t>
      </w:r>
      <w:r>
        <w:rPr>
          <w:rStyle w:val="FootnoteReference"/>
        </w:rPr>
        <w:footnoteReference w:id="2079"/>
      </w:r>
      <w:r>
        <w:t xml:space="preserve"> </w:t>
      </w:r>
      <w:r>
        <w:t xml:space="preserve">L’iniziativa australiana, fondata sull’invio esterno, ha ampliato significativamente la quota di popolazione in trattamento.</w:t>
      </w:r>
      <w:r>
        <w:rPr>
          <w:rStyle w:val="FootnoteReference"/>
        </w:rPr>
        <w:footnoteReference w:id="2080"/>
      </w:r>
      <w:r>
        <w:t xml:space="preserve"> </w:t>
      </w:r>
      <w:r>
        <w:t xml:space="preserve">Il modello statunitense delle cure collaborative, validato da una vasta letteratura controllata, documenta riduzioni rilevanti della depressione e dei ricoveri.</w:t>
      </w:r>
      <w:r>
        <w:rPr>
          <w:rStyle w:val="FootnoteReference"/>
        </w:rPr>
        <w:footnoteReference w:id="2081"/>
      </w:r>
      <w:r>
        <w:t xml:space="preserve"> </w:t>
      </w:r>
      <w:r>
        <w:t xml:space="preserve">Le esperienze italiane, infine, anticipano il modello nelle cure primarie, pur derivando da campioni limitati.</w:t>
      </w:r>
      <w:r>
        <w:rPr>
          <w:rStyle w:val="FootnoteReference"/>
        </w:rPr>
        <w:footnoteReference w:id="2082"/>
      </w:r>
      <w:r>
        <w:t xml:space="preserve"> </w:t>
      </w:r>
      <w:r>
        <w:t xml:space="preserve">La tabella seguente confronta i programmi sul piano clinico e organizzativo; il confronto economico è sviluppato nella Parte E.</w:t>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621"/>
        <w:gridCol w:w="1802"/>
        <w:gridCol w:w="338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Assetto</w:t>
            </w:r>
          </w:p>
        </w:tc>
        <w:tc>
          <w:tcPr>
            <w:shd w:val="clear" w:color="auto" w:fill="16264B"/>
          </w:tcPr>
          <w:p>
            <w:pPr>
              <w:pStyle w:val="Compact"/>
              <w:spacing w:after="40" w:before="40"/>
              <w:jc w:val="left"/>
            </w:pPr>
            <w:r>
              <w:rPr>
                <w:rFonts w:ascii="Cambria" w:hAnsi="Cambria" w:cs="Cambria" w:eastAsia="Cambria"/>
                <w:b/>
                <w:bCs/>
                <w:color w:val="FFFFFF"/>
                <w:sz w:val="18"/>
              </w:rPr>
              <w:t xml:space="preserve">Esiti clinici e organizzativi</w:t>
            </w:r>
          </w:p>
        </w:tc>
      </w:tr>
      <w:tr>
        <w:tc>
          <w:tcPr/>
          <w:p>
            <w:pPr>
              <w:pStyle w:val="Compact"/>
              <w:spacing w:after="40" w:before="40"/>
              <w:jc w:val="left"/>
            </w:pPr>
            <w:r>
              <w:rPr>
                <w:rFonts w:ascii="Cambria" w:hAnsi="Cambria" w:cs="Cambria" w:eastAsia="Cambria"/>
                <w:b/>
                <w:bCs/>
                <w:color w:val="1A1A1A"/>
                <w:sz w:val="18"/>
              </w:rPr>
              <w:t xml:space="preserve">Programma inglese (NHS Talking Therapies)</w:t>
            </w:r>
          </w:p>
        </w:tc>
        <w:tc>
          <w:tcPr/>
          <w:p>
            <w:pPr>
              <w:pStyle w:val="Compact"/>
              <w:spacing w:after="40" w:before="40"/>
              <w:jc w:val="left"/>
            </w:pPr>
            <w:r>
              <w:rPr>
                <w:rFonts w:ascii="Cambria" w:hAnsi="Cambria" w:cs="Cambria" w:eastAsia="Cambria"/>
                <w:color w:val="1A1A1A"/>
                <w:sz w:val="18"/>
              </w:rPr>
              <w:t xml:space="preserve">Integrato; intensità crescente</w:t>
            </w:r>
          </w:p>
        </w:tc>
        <w:tc>
          <w:tcPr/>
          <w:p>
            <w:pPr>
              <w:pStyle w:val="Compact"/>
              <w:spacing w:after="40" w:before="40"/>
              <w:jc w:val="left"/>
            </w:pPr>
            <w:r>
              <w:rPr>
                <w:rFonts w:ascii="Cambria" w:hAnsi="Cambria" w:cs="Cambria" w:eastAsia="Cambria"/>
                <w:color w:val="1A1A1A"/>
                <w:sz w:val="18"/>
              </w:rPr>
              <w:t xml:space="preserve">Recupero ~50%; monitoraggio &gt; 98%; &gt; 1,3 mln/anno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olandese (POH-GGZ)</w:t>
            </w:r>
          </w:p>
        </w:tc>
        <w:tc>
          <w:tcPr>
            <w:shd w:val="clear" w:color="auto" w:fill="F4F1EC"/>
          </w:tcPr>
          <w:p>
            <w:pPr>
              <w:pStyle w:val="Compact"/>
              <w:spacing w:after="40" w:before="40"/>
              <w:jc w:val="left"/>
            </w:pPr>
            <w:r>
              <w:rPr>
                <w:rFonts w:ascii="Cambria" w:hAnsi="Cambria" w:cs="Cambria" w:eastAsia="Cambria"/>
                <w:color w:val="1A1A1A"/>
                <w:sz w:val="18"/>
              </w:rPr>
              <w:t xml:space="preserve">Integrato nelle cure primarie</w:t>
            </w:r>
          </w:p>
        </w:tc>
        <w:tc>
          <w:tcPr>
            <w:shd w:val="clear" w:color="auto" w:fill="F4F1EC"/>
          </w:tcPr>
          <w:p>
            <w:pPr>
              <w:pStyle w:val="Compact"/>
              <w:spacing w:after="40" w:before="40"/>
              <w:jc w:val="left"/>
            </w:pPr>
            <w:r>
              <w:rPr>
                <w:rFonts w:ascii="Cambria" w:hAnsi="Cambria" w:cs="Cambria" w:eastAsia="Cambria"/>
                <w:color w:val="1A1A1A"/>
                <w:sz w:val="18"/>
              </w:rPr>
              <w:t xml:space="preserve">Adozione ~3/4 dei medici; ruolo complementare</w:t>
            </w:r>
          </w:p>
        </w:tc>
      </w:tr>
      <w:tr>
        <w:tc>
          <w:tcPr/>
          <w:p>
            <w:pPr>
              <w:pStyle w:val="Compact"/>
              <w:spacing w:after="40" w:before="40"/>
              <w:jc w:val="left"/>
            </w:pPr>
            <w:r>
              <w:rPr>
                <w:rFonts w:ascii="Cambria" w:hAnsi="Cambria" w:cs="Cambria" w:eastAsia="Cambria"/>
                <w:b/>
                <w:bCs/>
                <w:color w:val="1A1A1A"/>
                <w:sz w:val="18"/>
              </w:rPr>
              <w:t xml:space="preserve">Iniziativa australiana (Better Access)</w:t>
            </w:r>
          </w:p>
        </w:tc>
        <w:tc>
          <w:tcPr/>
          <w:p>
            <w:pPr>
              <w:pStyle w:val="Compact"/>
              <w:spacing w:after="40" w:before="40"/>
              <w:jc w:val="left"/>
            </w:pPr>
            <w:r>
              <w:rPr>
                <w:rFonts w:ascii="Cambria" w:hAnsi="Cambria" w:cs="Cambria" w:eastAsia="Cambria"/>
                <w:color w:val="1A1A1A"/>
                <w:sz w:val="18"/>
              </w:rPr>
              <w:t xml:space="preserve">Invio esterno</w:t>
            </w:r>
          </w:p>
        </w:tc>
        <w:tc>
          <w:tcPr/>
          <w:p>
            <w:pPr>
              <w:pStyle w:val="Compact"/>
              <w:spacing w:after="40" w:before="40"/>
              <w:jc w:val="left"/>
            </w:pPr>
            <w:r>
              <w:rPr>
                <w:rFonts w:ascii="Cambria" w:hAnsi="Cambria" w:cs="Cambria" w:eastAsia="Cambria"/>
                <w:color w:val="1A1A1A"/>
                <w:sz w:val="18"/>
              </w:rPr>
              <w:t xml:space="preserve">Trattamento dal 35% al 46%; elevata soddisfazione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Collaborative Care (Stati Uniti)</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r>
        <w:tc>
          <w:tcPr/>
          <w:p>
            <w:pPr>
              <w:pStyle w:val="Compact"/>
              <w:spacing w:after="40" w:before="40"/>
              <w:jc w:val="left"/>
            </w:pPr>
            <w:r>
              <w:rPr>
                <w:rFonts w:ascii="Cambria" w:hAnsi="Cambria" w:cs="Cambria" w:eastAsia="Cambria"/>
                <w:b/>
                <w:bCs/>
                <w:color w:val="1A1A1A"/>
                <w:sz w:val="18"/>
              </w:rPr>
              <w:t xml:space="preserve">Esperienze italiane (Solano, Lazio)</w:t>
            </w:r>
          </w:p>
        </w:tc>
        <w:tc>
          <w:tcPr/>
          <w:p>
            <w:pPr>
              <w:pStyle w:val="Compact"/>
              <w:spacing w:after="40" w:before="40"/>
              <w:jc w:val="left"/>
            </w:pPr>
            <w:r>
              <w:rPr>
                <w:rFonts w:ascii="Cambria" w:hAnsi="Cambria" w:cs="Cambria" w:eastAsia="Cambria"/>
                <w:color w:val="1A1A1A"/>
                <w:sz w:val="18"/>
              </w:rPr>
              <w:t xml:space="preserve">Sperimentazione locale</w:t>
            </w:r>
          </w:p>
        </w:tc>
        <w:tc>
          <w:tcPr/>
          <w:p>
            <w:pPr>
              <w:pStyle w:val="Compact"/>
              <w:spacing w:after="40" w:before="40"/>
              <w:jc w:val="left"/>
            </w:pPr>
            <w:r>
              <w:rPr>
                <w:rFonts w:ascii="Cambria" w:hAnsi="Cambria" w:cs="Cambria" w:eastAsia="Cambria"/>
                <w:color w:val="1A1A1A"/>
                <w:sz w:val="18"/>
              </w:rPr>
              <w:t xml:space="preserve">Anticipazione del modello nelle cure primarie</w:t>
            </w:r>
          </w:p>
        </w:tc>
      </w:tr>
    </w:tbl>
    <w:p>
      <w:pPr>
        <w:pStyle w:val="BodyText"/>
      </w:pPr>
      <w:r>
        <w:rPr>
          <w:i/>
          <w:iCs/>
        </w:rPr>
        <w:t xml:space="preserve">Tabella D.2. I benchmark internazionali e italiani sul piano clinico e organizzativo (il confronto economico è nella Parte E).</w:t>
      </w:r>
    </w:p>
    <w:bookmarkEnd w:id="4348"/>
    <w:bookmarkStart w:id="4349" w:name="X9fbb9331e768c5ccfde7d79f2a49825fa846011"/>
    <w:p>
      <w:pPr>
        <w:pStyle w:val="Heading3"/>
      </w:pPr>
      <w:r>
        <w:t xml:space="preserve">D.4 La trasferibilità al contesto regionale</w:t>
      </w:r>
    </w:p>
    <w:p>
      <w:pPr>
        <w:pStyle w:val="FirstParagraph"/>
      </w:pPr>
      <w:r>
        <w:t xml:space="preserve">L’evidenza richiamata proviene da sistemi sanitari diversi per organizzazione, finanziamento e contesto culturale, e la sua trasposizione al Veneto richiede validazione locale e cautela, evitando di trasferire meccanicamente le stime di efficacia e, ancor più, quelle economiche.</w:t>
      </w:r>
      <w:r>
        <w:rPr>
          <w:rStyle w:val="FootnoteReference"/>
        </w:rPr>
        <w:footnoteReference w:id="2083"/>
      </w:r>
      <w:r>
        <w:t xml:space="preserve"> </w:t>
      </w:r>
      <w:r>
        <w:t xml:space="preserve">Su questo terreno il Veneto presenta una condizione distintiva e favorevole: la regione è stata l’apripista nazionale, avendo avviato già nel 2014 una sperimentazione regionale di psicologia di base, e dispone pertanto di una base di evidenza locale di particolare valore, da analizzare e valorizzare sistematicamente nel disegno del servizio permanente.</w:t>
      </w:r>
      <w:r>
        <w:rPr>
          <w:rStyle w:val="FootnoteReference"/>
        </w:rPr>
        <w:footnoteReference w:id="2084"/>
      </w:r>
      <w:r>
        <w:t xml:space="preserve"> </w:t>
      </w:r>
      <w:r>
        <w:t xml:space="preserve">A ciò si aggiungono la solidità organizzativa del sistema e l’architettura centralizzata dell’Azienda Zero, che costituiscono un terreno favorevole all’adozione e alla valutazione rigorosa del modello.</w:t>
      </w:r>
      <w:r>
        <w:rPr>
          <w:rStyle w:val="FootnoteReference"/>
        </w:rPr>
        <w:footnoteReference w:id="2085"/>
      </w:r>
      <w:r>
        <w:t xml:space="preserve"> </w:t>
      </w:r>
      <w:r>
        <w:t xml:space="preserve">Va infine ribadita un’avvertenza che attraversa tutto lo studio: le formule sintetiche di ampia circolazione — il rapporto di quattro a uno, l’affermazione per cui un euro ne genererebbe dieci — sono semplificazioni divulgative; le stime fondate collocano il ritorno su valori più misurati, che lo studio adotta in via prudenziale.</w:t>
      </w:r>
      <w:r>
        <w:rPr>
          <w:rStyle w:val="FootnoteReference"/>
        </w:rPr>
        <w:footnoteReference w:id="2086"/>
      </w:r>
      <w:r>
        <w:t xml:space="preserve"> </w:t>
      </w:r>
      <w:r>
        <w:t xml:space="preserve">Accertata l’efficacia e definite le condizioni della sua trasferibilità, la parte che segue ne traduce le implicazioni sul piano economico.</w:t>
      </w:r>
    </w:p>
    <w:bookmarkEnd w:id="4349"/>
    <w:bookmarkEnd w:id="4347"/>
    <w:bookmarkStart w:id="1335" w:name="parte-e-la-valutazione-economica-2"/>
    <w:p>
      <w:pPr>
        <w:pStyle w:val="Heading2"/>
      </w:pPr>
      <w:r>
        <w:t xml:space="preserve">Parte E — La valutazione economica</w:t>
      </w:r>
    </w:p>
    <w:p>
      <w:pPr>
        <w:pStyle w:val="FirstParagraph"/>
      </w:pPr>
      <w:r>
        <w:t xml:space="preserve">Accertata l’efficacia, questa parte ne misura il valore economico — il dominio centrale della valutazione e quello di maggiore interesse per le autorità di bilancio. Identifica e misura i costi (capitolo E.1) e gli esiti (E.2), ne deriva il costo-efficacia e il costo-utilità (E.3), ne valuta l’impatto sul bilancio sanitario (E.4) e il ritorno sociale per la collettività (E.5), e ne compone i risultati nel caso economico e nel caso finanziario (E.6). La trama dell’intera parte è la distinzione, mantenuta con rigore, tra il saldo diretto per il bilancio sanitario e le ricadute per la collettività: una distinzione che, nel caso veneto, è decisiva, poiché il valore dell’intervento risiede in misura preponderante nelle seconde.</w:t>
      </w:r>
    </w:p>
    <w:bookmarkStart w:id="1314" w:name="X8f6cba66784de787c6d3d54f60b44f20aa05c50"/>
    <w:p>
      <w:pPr>
        <w:pStyle w:val="Heading3"/>
      </w:pPr>
      <w:r>
        <w:t xml:space="preserve">E.1 L’identificazione e la misura dei costi</w:t>
      </w:r>
    </w:p>
    <w:p>
      <w:pPr>
        <w:pStyle w:val="FirstParagraph"/>
      </w:pPr>
      <w:r>
        <w:t xml:space="preserve">Il costo del servizio comprende le remunerazioni dei psicologi, i costi organizzativi e di coordinamento e la quota destinata alla formazione, ed è stimato per scenario di copertura.</w:t>
      </w:r>
      <w:r>
        <w:rPr>
          <w:rStyle w:val="FootnoteReference"/>
        </w:rPr>
        <w:footnoteReference w:id="2087"/>
      </w:r>
      <w:r>
        <w:t xml:space="preserve"> </w:t>
      </w:r>
      <w:r>
        <w:t xml:space="preserve">A regime, esso si colloca nell’ordine di 30 milioni di euro annui nello scenario conservativo, 45 in quello base e 58 in quello espansivo.</w:t>
      </w:r>
      <w:r>
        <w:rPr>
          <w:rStyle w:val="FootnoteReference"/>
        </w:rPr>
        <w:footnoteReference w:id="2088"/>
      </w:r>
      <w:r>
        <w:t xml:space="preserve"> </w:t>
      </w:r>
      <w:r>
        <w:t xml:space="preserve">La stima muove da un valore unitario per incarico dell’ordine di 55.000 euro annui, regionalizzato in proporzione alla popolazione e al numero di professionisti, con economie di scala rese possibili dalla centralizzazione delle funzioni di acquisto in capo all’Azienda Zero.</w:t>
      </w:r>
      <w:r>
        <w:rPr>
          <w:rStyle w:val="FootnoteReference"/>
        </w:rPr>
        <w:footnoteReference w:id="2089"/>
      </w:r>
      <w:r>
        <w:t xml:space="preserve"> </w:t>
      </w:r>
      <w:r>
        <w:t xml:space="preserve">La tabella seguente riporta il costo per scenario; la funzione è oggi sperimentata e impegnata, ma non ancora strutturata a regime, e per questo il costo attuale del servizio strutturato è prossimo a zero.</w:t>
      </w:r>
    </w:p>
    <w:tbl>
      <w:tblPr>
        <w:tblStyle w:val="Table"/>
        <w:tblW w:type="pct" w:w="489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2182"/>
        <w:gridCol w:w="21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 (mln €)</w:t>
            </w:r>
          </w:p>
        </w:tc>
      </w:tr>
      <w:tr>
        <w:tc>
          <w:tcPr/>
          <w:p>
            <w:pPr>
              <w:pStyle w:val="Compact"/>
              <w:spacing w:after="40" w:before="40"/>
              <w:jc w:val="left"/>
            </w:pPr>
            <w:r>
              <w:rPr>
                <w:rFonts w:ascii="Cambria" w:hAnsi="Cambria" w:cs="Cambria" w:eastAsia="Cambria"/>
                <w:b/>
                <w:bCs/>
                <w:color w:val="1A1A1A"/>
                <w:sz w:val="18"/>
              </w:rPr>
              <w:t xml:space="preserve">Attuale (sperimentazioni e impegno)</w:t>
            </w:r>
          </w:p>
        </w:tc>
        <w:tc>
          <w:tcPr/>
          <w:p>
            <w:pPr>
              <w:pStyle w:val="Compact"/>
              <w:spacing w:after="40" w:before="40"/>
              <w:jc w:val="left"/>
            </w:pPr>
            <w:r>
              <w:rPr>
                <w:rFonts w:ascii="Cambria" w:hAnsi="Cambria" w:cs="Cambria" w:eastAsia="Cambria"/>
                <w:color w:val="1A1A1A"/>
                <w:sz w:val="18"/>
              </w:rPr>
              <w:t xml:space="preserve">Servizio non strutturato</w:t>
            </w:r>
          </w:p>
        </w:tc>
        <w:tc>
          <w:tcPr/>
          <w:p>
            <w:pPr>
              <w:pStyle w:val="Compact"/>
              <w:spacing w:after="40" w:before="40"/>
              <w:jc w:val="left"/>
            </w:pPr>
            <w:r>
              <w:rPr>
                <w:rFonts w:ascii="Cambria" w:hAnsi="Cambria" w:cs="Cambria" w:eastAsia="Cambria"/>
                <w:color w:val="1A1A1A"/>
                <w:sz w:val="18"/>
              </w:rPr>
              <w:t xml:space="preserve">~ 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Conservativo</w:t>
            </w:r>
          </w:p>
        </w:tc>
        <w:tc>
          <w:tcPr>
            <w:shd w:val="clear" w:color="auto" w:fill="F4F1EC"/>
          </w:tcPr>
          <w:p>
            <w:pPr>
              <w:pStyle w:val="Compact"/>
              <w:spacing w:after="40" w:before="40"/>
              <w:jc w:val="left"/>
            </w:pPr>
            <w:r>
              <w:rPr>
                <w:rFonts w:ascii="Cambria" w:hAnsi="Cambria" w:cs="Cambria" w:eastAsia="Cambria"/>
                <w:color w:val="1A1A1A"/>
                <w:sz w:val="18"/>
              </w:rPr>
              <w:t xml:space="preserve">~ 530</w:t>
            </w:r>
          </w:p>
        </w:tc>
        <w:tc>
          <w:tcPr>
            <w:shd w:val="clear" w:color="auto" w:fill="F4F1EC"/>
          </w:tcPr>
          <w:p>
            <w:pPr>
              <w:pStyle w:val="Compact"/>
              <w:spacing w:after="40" w:before="40"/>
              <w:jc w:val="left"/>
            </w:pPr>
            <w:r>
              <w:rPr>
                <w:rFonts w:ascii="Cambria" w:hAnsi="Cambria" w:cs="Cambria" w:eastAsia="Cambria"/>
                <w:color w:val="1A1A1A"/>
                <w:sz w:val="18"/>
              </w:rPr>
              <w:t xml:space="preserve">~ 30</w:t>
            </w:r>
          </w:p>
        </w:tc>
      </w:tr>
      <w:tr>
        <w:tc>
          <w:tcPr/>
          <w:p>
            <w:pPr>
              <w:pStyle w:val="Compact"/>
              <w:spacing w:after="40" w:before="40"/>
              <w:jc w:val="left"/>
            </w:pPr>
            <w:r>
              <w:rPr>
                <w:rFonts w:ascii="Cambria" w:hAnsi="Cambria" w:cs="Cambria" w:eastAsia="Cambria"/>
                <w:b/>
                <w:bCs/>
                <w:color w:val="1A1A1A"/>
                <w:sz w:val="18"/>
              </w:rPr>
              <w:t xml:space="preserve">Base</w:t>
            </w:r>
          </w:p>
        </w:tc>
        <w:tc>
          <w:tcPr/>
          <w:p>
            <w:pPr>
              <w:pStyle w:val="Compact"/>
              <w:spacing w:after="40" w:before="40"/>
              <w:jc w:val="left"/>
            </w:pPr>
            <w:r>
              <w:rPr>
                <w:rFonts w:ascii="Cambria" w:hAnsi="Cambria" w:cs="Cambria" w:eastAsia="Cambria"/>
                <w:color w:val="1A1A1A"/>
                <w:sz w:val="18"/>
              </w:rPr>
              <w:t xml:space="preserve">~ 800</w:t>
            </w:r>
          </w:p>
        </w:tc>
        <w:tc>
          <w:tcPr/>
          <w:p>
            <w:pPr>
              <w:pStyle w:val="Compact"/>
              <w:spacing w:after="40" w:before="40"/>
              <w:jc w:val="left"/>
            </w:pPr>
            <w:r>
              <w:rPr>
                <w:rFonts w:ascii="Cambria" w:hAnsi="Cambria" w:cs="Cambria" w:eastAsia="Cambria"/>
                <w:color w:val="1A1A1A"/>
                <w:sz w:val="18"/>
              </w:rPr>
              <w:t xml:space="preserve">~ 45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Espansivo</w:t>
            </w:r>
          </w:p>
        </w:tc>
        <w:tc>
          <w:tcPr>
            <w:shd w:val="clear" w:color="auto" w:fill="F4F1EC"/>
          </w:tcPr>
          <w:p>
            <w:pPr>
              <w:pStyle w:val="Compact"/>
              <w:spacing w:after="40" w:before="40"/>
              <w:jc w:val="left"/>
            </w:pPr>
            <w:r>
              <w:rPr>
                <w:rFonts w:ascii="Cambria" w:hAnsi="Cambria" w:cs="Cambria" w:eastAsia="Cambria"/>
                <w:color w:val="1A1A1A"/>
                <w:sz w:val="18"/>
              </w:rPr>
              <w:t xml:space="preserve">~ 1.050</w:t>
            </w:r>
          </w:p>
        </w:tc>
        <w:tc>
          <w:tcPr>
            <w:shd w:val="clear" w:color="auto" w:fill="F4F1EC"/>
          </w:tcPr>
          <w:p>
            <w:pPr>
              <w:pStyle w:val="Compact"/>
              <w:spacing w:after="40" w:before="40"/>
              <w:jc w:val="left"/>
            </w:pPr>
            <w:r>
              <w:rPr>
                <w:rFonts w:ascii="Cambria" w:hAnsi="Cambria" w:cs="Cambria" w:eastAsia="Cambria"/>
                <w:color w:val="1A1A1A"/>
                <w:sz w:val="18"/>
              </w:rPr>
              <w:t xml:space="preserve">~ 58</w:t>
            </w:r>
          </w:p>
        </w:tc>
      </w:tr>
    </w:tbl>
    <w:p>
      <w:pPr>
        <w:pStyle w:val="BodyText"/>
      </w:pPr>
      <w:r>
        <w:rPr>
          <w:i/>
          <w:iCs/>
        </w:rPr>
        <w:t xml:space="preserve">Tabella E.1. Il costo del servizio per scenario di copertura. La funzione è oggi sperimentata e impegnata ma non ancora strutturata a regime.</w:t>
      </w:r>
    </w:p>
    <w:bookmarkEnd w:id="1314"/>
    <w:bookmarkStart w:id="1317" w:name="Xff0b75475637b34c9ce201ab9cdd323869ba10e"/>
    <w:p>
      <w:pPr>
        <w:pStyle w:val="Heading3"/>
      </w:pPr>
      <w:r>
        <w:t xml:space="preserve">E.2 L’identificazione e la misura degli esiti</w:t>
      </w:r>
    </w:p>
    <w:p>
      <w:pPr>
        <w:pStyle w:val="FirstParagraph"/>
      </w:pPr>
      <w:r>
        <w:t xml:space="preserve">Gli esiti di salute sono espressi in anni di vita ponderati per la qualità e in esiti clinici validati, applicati in via prudenziale a partire dai tassi di recupero e di miglioramento desunti dai benchmark consolidati.</w:t>
      </w:r>
      <w:r>
        <w:rPr>
          <w:rStyle w:val="FootnoteReference"/>
        </w:rPr>
        <w:footnoteReference w:id="2090"/>
      </w:r>
      <w:r>
        <w:t xml:space="preserve"> </w:t>
      </w:r>
      <w:r>
        <w:t xml:space="preserve">Le misure cliniche sono impiegate nei soli punteggi complessivi, con un tasso di recupero di riferimento dell’ordine del 50%, coerente con i dati di esito reale del programma inglese.</w:t>
      </w:r>
      <w:r>
        <w:rPr>
          <w:rStyle w:val="FootnoteReference"/>
        </w:rPr>
        <w:footnoteReference w:id="2091"/>
      </w:r>
      <w:r>
        <w:t xml:space="preserve"> </w:t>
      </w:r>
      <w:r>
        <w:t xml:space="preserve">La quantificazione degli esiti è il presupposto del costo-utilità, sviluppato nel capitolo che segue, e della modellazione per paziente della Parte F.</w:t>
      </w:r>
    </w:p>
    <w:bookmarkEnd w:id="1317"/>
    <w:bookmarkStart w:id="4350" w:name="Xb1bff1150ed676ea0038bc9cfe4462bda9c7936"/>
    <w:p>
      <w:pPr>
        <w:pStyle w:val="Heading3"/>
      </w:pPr>
      <w:r>
        <w:t xml:space="preserve">E.3 Il costo-efficacia e il costo-utilità</w:t>
      </w:r>
    </w:p>
    <w:p>
      <w:pPr>
        <w:pStyle w:val="FirstParagraph"/>
      </w:pPr>
      <w:r>
        <w:t xml:space="preserve">Il rapporto tra i costi e gli esiti di salute definisce il costo-efficacia e il costo-utilità. Il costo per anno di vita ponderato per la qualità si colloca al di sotto della soglia comunemente adottata nella valutazione economica in sanità, e l’analisi per paziente — sviluppata nella Parte F con i metodi della modellazione decisionale e della sensibilità probabilistica — indica condizioni di dominanza dell’intervento, ossia un esito migliore a un costo inferiore rispetto all’opzione di non intervento.</w:t>
      </w:r>
      <w:r>
        <w:rPr>
          <w:rStyle w:val="FootnoteReference"/>
        </w:rPr>
        <w:footnoteReference w:id="2092"/>
      </w:r>
      <w:r>
        <w:t xml:space="preserve"> </w:t>
      </w:r>
      <w:r>
        <w:t xml:space="preserve">La soglia di riferimento adottata è dell’ordine di 30.000 euro per anno di vita ponderato per la qualità.</w:t>
      </w:r>
      <w:r>
        <w:rPr>
          <w:rStyle w:val="FootnoteReference"/>
        </w:rPr>
        <w:footnoteReference w:id="2093"/>
      </w:r>
      <w:r>
        <w:t xml:space="preserve"> </w:t>
      </w:r>
      <w:r>
        <w:t xml:space="preserve">Va tuttavia tenuta distinta l’efficienza dell’intervento sul singolo paziente, robusta, dal saldo aggregato sul bilancio, che è altra grandezza ed è oggetto del capitolo seguente.</w:t>
      </w:r>
    </w:p>
    <w:bookmarkEnd w:id="4350"/>
    <w:bookmarkStart w:id="1325" w:name="e.4-limpatto-sul-bilancio-3"/>
    <w:p>
      <w:pPr>
        <w:pStyle w:val="Heading3"/>
      </w:pPr>
      <w:r>
        <w:t xml:space="preserve">E.4 L’impatto sul bilancio</w:t>
      </w:r>
    </w:p>
    <w:p>
      <w:pPr>
        <w:pStyle w:val="FirstParagraph"/>
      </w:pPr>
      <w:r>
        <w:t xml:space="preserve">L’analisi di impatto sul bilancio misura l’effetto sulla spesa sanitaria regionale, esercizio per esercizio e su flussi non scontati. I risparmi diretti si articolano nei canali del pronto soccorso, della farmaceutica e dei ricoveri e delle prestazioni specialistiche evitabili; il canale della mobilità recuperata è nullo, poiché il Veneto è regione a saldo di mobilità attivo.</w:t>
      </w:r>
      <w:r>
        <w:rPr>
          <w:rStyle w:val="FootnoteReference"/>
        </w:rPr>
        <w:footnoteReference w:id="2094"/>
      </w:r>
      <w:r>
        <w:t xml:space="preserve"> </w:t>
      </w:r>
      <w:r>
        <w:t xml:space="preserve">I risparmi diretti complessivi si collocano, in via prudenziale, nell’ordine di 18, 30 e 45 milioni di euro annui nei tre scenari.</w:t>
      </w:r>
      <w:r>
        <w:rPr>
          <w:rStyle w:val="FootnoteReference"/>
        </w:rPr>
        <w:footnoteReference w:id="2095"/>
      </w:r>
      <w:r>
        <w:t xml:space="preserve"> </w:t>
      </w:r>
      <w:r>
        <w:t xml:space="preserve">Posti a confronto con il costo del servizio, essi determinano un saldo diretto lievemente negativo, dell’ordine di −12, −15 e −13 milioni di euro annui.</w:t>
      </w:r>
      <w:r>
        <w:rPr>
          <w:rStyle w:val="FootnoteReference"/>
        </w:rPr>
        <w:footnoteReference w:id="2096"/>
      </w:r>
      <w:r>
        <w:t xml:space="preserve"> </w:t>
      </w:r>
      <w:r>
        <w:t xml:space="preserve">Questo risultato è dichiarato senza attenuazioni: non è una debolezza dell’analisi, ma il suo profilo onesto, e rinvia al ritorno sociale la sede in cui il valore dell’intervento si manifesta.</w:t>
      </w:r>
      <w:r>
        <w:rPr>
          <w:rStyle w:val="FootnoteReference"/>
        </w:rPr>
        <w:footnoteReference w:id="2097"/>
      </w:r>
      <w:r>
        <w:t xml:space="preserve"> </w:t>
      </w:r>
      <w:r>
        <w:t xml:space="preserve">La tabella seguente espone i risparmi diretti per canale e il saldo diretto per scenario.</w:t>
      </w:r>
    </w:p>
    <w:tbl>
      <w:tblPr>
        <w:tblStyle w:val="Table"/>
        <w:tblW w:type="pct" w:w="488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80"/>
        <w:gridCol w:w="1620"/>
        <w:gridCol w:w="1620"/>
        <w:gridCol w:w="162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5</w:t>
            </w:r>
          </w:p>
        </w:tc>
        <w:tc>
          <w:tcPr/>
          <w:p>
            <w:pPr>
              <w:pStyle w:val="Compact"/>
              <w:spacing w:after="40" w:before="40"/>
              <w:jc w:val="left"/>
            </w:pPr>
            <w:r>
              <w:rPr>
                <w:rFonts w:ascii="Cambria" w:hAnsi="Cambria" w:cs="Cambria" w:eastAsia="Cambria"/>
                <w:color w:val="1A1A1A"/>
                <w:sz w:val="18"/>
              </w:rPr>
              <w:t xml:space="preserve">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Farmaceutica</w:t>
            </w:r>
          </w:p>
        </w:tc>
        <w:tc>
          <w:tcPr>
            <w:shd w:val="clear" w:color="auto" w:fill="F4F1EC"/>
          </w:tcPr>
          <w:p>
            <w:pPr>
              <w:pStyle w:val="Compact"/>
              <w:spacing w:after="40" w:before="40"/>
              <w:jc w:val="left"/>
            </w:pPr>
            <w:r>
              <w:rPr>
                <w:rFonts w:ascii="Cambria" w:hAnsi="Cambria" w:cs="Cambria" w:eastAsia="Cambria"/>
                <w:color w:val="1A1A1A"/>
                <w:sz w:val="18"/>
              </w:rPr>
              <w:t xml:space="preserve">4</w:t>
            </w:r>
          </w:p>
        </w:tc>
        <w:tc>
          <w:tcPr>
            <w:shd w:val="clear" w:color="auto" w:fill="F4F1EC"/>
          </w:tcPr>
          <w:p>
            <w:pPr>
              <w:pStyle w:val="Compact"/>
              <w:spacing w:after="40" w:before="40"/>
              <w:jc w:val="left"/>
            </w:pPr>
            <w:r>
              <w:rPr>
                <w:rFonts w:ascii="Cambria" w:hAnsi="Cambria" w:cs="Cambria" w:eastAsia="Cambria"/>
                <w:color w:val="1A1A1A"/>
                <w:sz w:val="18"/>
              </w:rPr>
              <w:t xml:space="preserve">6</w:t>
            </w:r>
          </w:p>
        </w:tc>
        <w:tc>
          <w:tcPr>
            <w:shd w:val="clear" w:color="auto" w:fill="F4F1EC"/>
          </w:tcPr>
          <w:p>
            <w:pPr>
              <w:pStyle w:val="Compact"/>
              <w:spacing w:after="40" w:before="40"/>
              <w:jc w:val="left"/>
            </w:pPr>
            <w:r>
              <w:rPr>
                <w:rFonts w:ascii="Cambria" w:hAnsi="Cambria" w:cs="Cambria" w:eastAsia="Cambria"/>
                <w:color w:val="1A1A1A"/>
                <w:sz w:val="18"/>
              </w:rPr>
              <w:t xml:space="preserve">9</w:t>
            </w:r>
          </w:p>
        </w:tc>
      </w:tr>
      <w:tr>
        <w:tc>
          <w:tcPr/>
          <w:p>
            <w:pPr>
              <w:pStyle w:val="Compact"/>
              <w:spacing w:after="40" w:before="40"/>
              <w:jc w:val="left"/>
            </w:pPr>
            <w:r>
              <w:rPr>
                <w:rFonts w:ascii="Cambria" w:hAnsi="Cambria" w:cs="Cambria" w:eastAsia="Cambria"/>
                <w:b/>
                <w:bCs/>
                <w:color w:val="1A1A1A"/>
                <w:sz w:val="18"/>
              </w:rPr>
              <w:t xml:space="preserve">Ricoveri e specialistica</w:t>
            </w:r>
          </w:p>
        </w:tc>
        <w:tc>
          <w:tcPr/>
          <w:p>
            <w:pPr>
              <w:pStyle w:val="Compact"/>
              <w:spacing w:after="40" w:before="40"/>
              <w:jc w:val="left"/>
            </w:pPr>
            <w:r>
              <w:rPr>
                <w:rFonts w:ascii="Cambria" w:hAnsi="Cambria" w:cs="Cambria" w:eastAsia="Cambria"/>
                <w:color w:val="1A1A1A"/>
                <w:sz w:val="18"/>
              </w:rPr>
              <w:t xml:space="preserve">11</w:t>
            </w:r>
          </w:p>
        </w:tc>
        <w:tc>
          <w:tcPr/>
          <w:p>
            <w:pPr>
              <w:pStyle w:val="Compact"/>
              <w:spacing w:after="40" w:before="40"/>
              <w:jc w:val="left"/>
            </w:pPr>
            <w:r>
              <w:rPr>
                <w:rFonts w:ascii="Cambria" w:hAnsi="Cambria" w:cs="Cambria" w:eastAsia="Cambria"/>
                <w:color w:val="1A1A1A"/>
                <w:sz w:val="18"/>
              </w:rPr>
              <w:t xml:space="preserve">19</w:t>
            </w:r>
          </w:p>
        </w:tc>
        <w:tc>
          <w:tcPr/>
          <w:p>
            <w:pPr>
              <w:pStyle w:val="Compact"/>
              <w:spacing w:after="40" w:before="40"/>
              <w:jc w:val="left"/>
            </w:pPr>
            <w:r>
              <w:rPr>
                <w:rFonts w:ascii="Cambria" w:hAnsi="Cambria" w:cs="Cambria" w:eastAsia="Cambria"/>
                <w:color w:val="1A1A1A"/>
                <w:sz w:val="18"/>
              </w:rPr>
              <w:t xml:space="preserve">29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recuperata</w:t>
            </w:r>
          </w:p>
        </w:tc>
        <w:tc>
          <w:tcPr>
            <w:shd w:val="clear" w:color="auto" w:fill="F4F1EC"/>
          </w:tcPr>
          <w:p>
            <w:pPr>
              <w:pStyle w:val="Compact"/>
              <w:spacing w:after="40" w:before="40"/>
              <w:jc w:val="left"/>
            </w:pPr>
            <w:r>
              <w:rPr>
                <w:rFonts w:ascii="Cambria" w:hAnsi="Cambria" w:cs="Cambria" w:eastAsia="Cambria"/>
                <w:color w:val="1A1A1A"/>
                <w:sz w:val="18"/>
              </w:rPr>
              <w:t xml:space="preserve">0</w:t>
            </w:r>
          </w:p>
        </w:tc>
        <w:tc>
          <w:tcPr>
            <w:shd w:val="clear" w:color="auto" w:fill="F4F1EC"/>
          </w:tcPr>
          <w:p>
            <w:pPr>
              <w:pStyle w:val="Compact"/>
              <w:spacing w:after="40" w:before="40"/>
              <w:jc w:val="left"/>
            </w:pPr>
            <w:r>
              <w:rPr>
                <w:rFonts w:ascii="Cambria" w:hAnsi="Cambria" w:cs="Cambria" w:eastAsia="Cambria"/>
                <w:color w:val="1A1A1A"/>
                <w:sz w:val="18"/>
              </w:rPr>
              <w:t xml:space="preserve">0</w:t>
            </w:r>
          </w:p>
        </w:tc>
        <w:tc>
          <w:tcPr>
            <w:shd w:val="clear" w:color="auto" w:fill="F4F1EC"/>
          </w:tcPr>
          <w:p>
            <w:pPr>
              <w:pStyle w:val="Compact"/>
              <w:spacing w:after="40" w:before="40"/>
              <w:jc w:val="left"/>
            </w:pPr>
            <w:r>
              <w:rPr>
                <w:rFonts w:ascii="Cambria" w:hAnsi="Cambria" w:cs="Cambria" w:eastAsia="Cambria"/>
                <w:color w:val="1A1A1A"/>
                <w:sz w:val="18"/>
              </w:rPr>
              <w:t xml:space="preserve">0</w:t>
            </w:r>
          </w:p>
        </w:tc>
      </w:tr>
      <w:tr>
        <w:tc>
          <w:tcPr/>
          <w:p>
            <w:pPr>
              <w:pStyle w:val="Compact"/>
              <w:spacing w:after="40" w:before="40"/>
              <w:jc w:val="left"/>
            </w:pPr>
            <w:r>
              <w:rPr>
                <w:rFonts w:ascii="Cambria" w:hAnsi="Cambria" w:cs="Cambria" w:eastAsia="Cambria"/>
                <w:b/>
                <w:bCs/>
                <w:color w:val="1A1A1A"/>
                <w:sz w:val="18"/>
              </w:rPr>
              <w:t xml:space="preserve">Risparmi diretti (totale)</w:t>
            </w:r>
          </w:p>
        </w:tc>
        <w:tc>
          <w:tcPr/>
          <w:p>
            <w:pPr>
              <w:pStyle w:val="Compact"/>
              <w:spacing w:after="40" w:before="40"/>
              <w:jc w:val="left"/>
            </w:pPr>
            <w:r>
              <w:rPr>
                <w:rFonts w:ascii="Cambria" w:hAnsi="Cambria" w:cs="Cambria" w:eastAsia="Cambria"/>
                <w:color w:val="1A1A1A"/>
                <w:sz w:val="18"/>
              </w:rPr>
              <w:t xml:space="preserve">~ 18</w:t>
            </w:r>
          </w:p>
        </w:tc>
        <w:tc>
          <w:tcPr/>
          <w:p>
            <w:pPr>
              <w:pStyle w:val="Compact"/>
              <w:spacing w:after="40" w:before="40"/>
              <w:jc w:val="left"/>
            </w:pPr>
            <w:r>
              <w:rPr>
                <w:rFonts w:ascii="Cambria" w:hAnsi="Cambria" w:cs="Cambria" w:eastAsia="Cambria"/>
                <w:color w:val="1A1A1A"/>
                <w:sz w:val="18"/>
              </w:rPr>
              <w:t xml:space="preserve">~ 30</w:t>
            </w:r>
          </w:p>
        </w:tc>
        <w:tc>
          <w:tcPr/>
          <w:p>
            <w:pPr>
              <w:pStyle w:val="Compact"/>
              <w:spacing w:after="40" w:before="40"/>
              <w:jc w:val="left"/>
            </w:pPr>
            <w:r>
              <w:rPr>
                <w:rFonts w:ascii="Cambria" w:hAnsi="Cambria" w:cs="Cambria" w:eastAsia="Cambria"/>
                <w:color w:val="1A1A1A"/>
                <w:sz w:val="18"/>
              </w:rPr>
              <w:t xml:space="preserve">~ 45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30</w:t>
            </w:r>
          </w:p>
        </w:tc>
        <w:tc>
          <w:tcPr>
            <w:shd w:val="clear" w:color="auto" w:fill="F4F1EC"/>
          </w:tcPr>
          <w:p>
            <w:pPr>
              <w:pStyle w:val="Compact"/>
              <w:spacing w:after="40" w:before="40"/>
              <w:jc w:val="left"/>
            </w:pPr>
            <w:r>
              <w:rPr>
                <w:rFonts w:ascii="Cambria" w:hAnsi="Cambria" w:cs="Cambria" w:eastAsia="Cambria"/>
                <w:color w:val="1A1A1A"/>
                <w:sz w:val="18"/>
              </w:rPr>
              <w:t xml:space="preserve">~ 45</w:t>
            </w:r>
          </w:p>
        </w:tc>
        <w:tc>
          <w:tcPr>
            <w:shd w:val="clear" w:color="auto" w:fill="F4F1EC"/>
          </w:tcPr>
          <w:p>
            <w:pPr>
              <w:pStyle w:val="Compact"/>
              <w:spacing w:after="40" w:before="40"/>
              <w:jc w:val="left"/>
            </w:pPr>
            <w:r>
              <w:rPr>
                <w:rFonts w:ascii="Cambria" w:hAnsi="Cambria" w:cs="Cambria" w:eastAsia="Cambria"/>
                <w:color w:val="1A1A1A"/>
                <w:sz w:val="18"/>
              </w:rPr>
              <w:t xml:space="preserve">~ 58</w:t>
            </w:r>
          </w:p>
        </w:tc>
      </w:tr>
      <w:tr>
        <w:tc>
          <w:tcPr/>
          <w:p>
            <w:pPr>
              <w:pStyle w:val="Compact"/>
              <w:spacing w:after="40" w:before="40"/>
              <w:jc w:val="left"/>
            </w:pPr>
            <w:r>
              <w:rPr>
                <w:rFonts w:ascii="Cambria" w:hAnsi="Cambria" w:cs="Cambria" w:eastAsia="Cambria"/>
                <w:b/>
                <w:bCs/>
                <w:color w:val="1A1A1A"/>
                <w:sz w:val="18"/>
              </w:rPr>
              <w:t xml:space="preserve">Saldo diretto (solo SSR)</w:t>
            </w:r>
          </w:p>
        </w:tc>
        <w:tc>
          <w:tcPr/>
          <w:p>
            <w:pPr>
              <w:pStyle w:val="Compact"/>
              <w:spacing w:after="40" w:before="40"/>
              <w:jc w:val="left"/>
            </w:pPr>
            <w:r>
              <w:rPr>
                <w:rFonts w:ascii="Cambria" w:hAnsi="Cambria" w:cs="Cambria" w:eastAsia="Cambria"/>
                <w:color w:val="1A1A1A"/>
                <w:sz w:val="18"/>
              </w:rPr>
              <w:t xml:space="preserve">~ −12</w:t>
            </w:r>
          </w:p>
        </w:tc>
        <w:tc>
          <w:tcPr/>
          <w:p>
            <w:pPr>
              <w:pStyle w:val="Compact"/>
              <w:spacing w:after="40" w:before="40"/>
              <w:jc w:val="left"/>
            </w:pPr>
            <w:r>
              <w:rPr>
                <w:rFonts w:ascii="Cambria" w:hAnsi="Cambria" w:cs="Cambria" w:eastAsia="Cambria"/>
                <w:color w:val="1A1A1A"/>
                <w:sz w:val="18"/>
              </w:rPr>
              <w:t xml:space="preserve">~ −15</w:t>
            </w:r>
          </w:p>
        </w:tc>
        <w:tc>
          <w:tcPr/>
          <w:p>
            <w:pPr>
              <w:pStyle w:val="Compact"/>
              <w:spacing w:after="40" w:before="40"/>
              <w:jc w:val="left"/>
            </w:pPr>
            <w:r>
              <w:rPr>
                <w:rFonts w:ascii="Cambria" w:hAnsi="Cambria" w:cs="Cambria" w:eastAsia="Cambria"/>
                <w:color w:val="1A1A1A"/>
                <w:sz w:val="18"/>
              </w:rPr>
              <w:t xml:space="preserve">~ −13</w:t>
            </w:r>
          </w:p>
        </w:tc>
      </w:tr>
    </w:tbl>
    <w:p>
      <w:pPr>
        <w:pStyle w:val="BodyText"/>
      </w:pPr>
      <w:r>
        <w:rPr>
          <w:i/>
          <w:iCs/>
        </w:rPr>
        <w:t xml:space="preserve">Tabella E.2. I risparmi diretti per canale e il saldo diretto sul bilancio sanitario, per scenario. Il saldo diretto è lievemente negativo.</w:t>
      </w:r>
    </w:p>
    <w:bookmarkEnd w:id="1325"/>
    <w:bookmarkStart w:id="1329" w:name="e.5-il-ritorno-sociale-3"/>
    <w:p>
      <w:pPr>
        <w:pStyle w:val="Heading3"/>
      </w:pPr>
      <w:r>
        <w:t xml:space="preserve">E.5 Il ritorno sociale</w:t>
      </w:r>
    </w:p>
    <w:p>
      <w:pPr>
        <w:pStyle w:val="FirstParagraph"/>
      </w:pPr>
      <w:r>
        <w:t xml:space="preserve">Il valore generato dall’intervento oltre il bilancio sanitario è misurato con i metodi del ritorno sociale sull’investimento. Le ricadute economico-sociali comprendono la maggiore produttività recuperata, la riduzione delle nuove invalidità e dei pensionamenti anticipati, le efficienze nel sistema dei servizi di salute mentale e il sollievo alle figure di cura familiari.</w:t>
      </w:r>
      <w:r>
        <w:rPr>
          <w:rStyle w:val="FootnoteReference"/>
        </w:rPr>
        <w:footnoteReference w:id="2098"/>
      </w:r>
      <w:r>
        <w:t xml:space="preserve"> </w:t>
      </w:r>
      <w:r>
        <w:t xml:space="preserve">Nel Veneto, regione a economia dinamica e a elevata occupazione, la componente della produttività recuperata connessa all’intercettazione precoce del disagio nella popolazione attiva è la voce di maggior peso del beneficio complessivo. Le ricadute sociali si collocano, con criteri conservativi, nell’ordine di 95, 180 e 280 milioni di euro annui nei tre scenari.</w:t>
      </w:r>
      <w:r>
        <w:rPr>
          <w:rStyle w:val="FootnoteReference"/>
        </w:rPr>
        <w:footnoteReference w:id="2099"/>
      </w:r>
      <w:r>
        <w:t xml:space="preserve"> </w:t>
      </w:r>
      <w:r>
        <w:t xml:space="preserve">Sommando le due componenti, il ritorno complessivo è dell’ordine di 113, 210 e 325 milioni di euro annui, e il saldo complessivo, al netto del costo, è dell’ordine di +83, +165 e +267 milioni di euro annui.</w:t>
      </w:r>
      <w:r>
        <w:rPr>
          <w:rStyle w:val="FootnoteReference"/>
        </w:rPr>
        <w:footnoteReference w:id="2100"/>
      </w:r>
    </w:p>
    <w:bookmarkEnd w:id="1329"/>
    <w:bookmarkStart w:id="4351" w:name="X8cb81036cf595e8b2b7f23a89eb1ced475a7a17"/>
    <w:p>
      <w:pPr>
        <w:pStyle w:val="Heading3"/>
      </w:pPr>
      <w:r>
        <w:t xml:space="preserve">E.6 Il caso economico e il caso finanziario</w:t>
      </w:r>
    </w:p>
    <w:p>
      <w:pPr>
        <w:pStyle w:val="FirstParagraph"/>
      </w:pPr>
      <w:r>
        <w:t xml:space="preserve">La composizione dei risultati nel Five Case Model distingue due grandezze e due prospettive. Il caso finanziario, riferito al solo bilancio sanitario regionale, presenta un saldo diretto lievemente negativo: il servizio, sul piano della cassa sanitaria, non si autofinanzia. Il caso economico, riferito alla collettività, è ampiamente positivo, con un rapporto beneficio-costo complessivo dell’ordine di 3,8:1 nello scenario conservativo, 4,7:1 in quello base e 5,6:1 in quello espansivo.</w:t>
      </w:r>
      <w:r>
        <w:rPr>
          <w:rStyle w:val="FootnoteReference"/>
        </w:rPr>
        <w:footnoteReference w:id="2101"/>
      </w:r>
      <w:r>
        <w:t xml:space="preserve"> </w:t>
      </w:r>
      <w:r>
        <w:t xml:space="preserve">La distinzione tra le due grandezze è la chiave dell’intera valutazione: l’investimento non si giustifica come misura di risparmio per la cassa sanitaria, ma come misura di valore per la collettività.</w:t>
      </w:r>
      <w:r>
        <w:rPr>
          <w:rStyle w:val="FootnoteReference"/>
        </w:rPr>
        <w:footnoteReference w:id="2102"/>
      </w:r>
      <w:r>
        <w:t xml:space="preserve"> </w:t>
      </w:r>
      <w:r>
        <w:t xml:space="preserve">Sul piano della sostenibilità, il costo del servizio si colloca nell’ordine dello 0,3–0,5% di un Fondo Sanitario Regionale di circa 11 miliardi di euro, importo pienamente sostenibile per un sistema solido e in equilibrio.</w:t>
      </w:r>
      <w:r>
        <w:rPr>
          <w:rStyle w:val="FootnoteReference"/>
        </w:rPr>
        <w:footnoteReference w:id="2103"/>
      </w:r>
      <w:r>
        <w:t xml:space="preserve"> </w:t>
      </w:r>
      <w:r>
        <w:t xml:space="preserve">Resta, e va ribadita, la lacuna prioritaria: le grandezze economiche qui impiegate sono in parte ricostruite per quota di popolazione e non estratte dai conti regionali certificati, la cui verifica presso l’Azienda Zero e le Aziende ULSS è condizione per la presentazione alle autorità di finanza pubblica.</w:t>
      </w:r>
      <w:r>
        <w:rPr>
          <w:rStyle w:val="FootnoteReference"/>
        </w:rPr>
        <w:footnoteReference w:id="2104"/>
      </w:r>
      <w:r>
        <w:t xml:space="preserve"> </w:t>
      </w:r>
      <w:r>
        <w:t xml:space="preserve">La tabella seguente sintetizza il quadro economico per scenario. Definito il caso economico, la parte che segue ne esamina la robustezza per paziente e sotto incertezza.</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18</w:t>
            </w:r>
          </w:p>
        </w:tc>
        <w:tc>
          <w:tcPr/>
          <w:p>
            <w:pPr>
              <w:pStyle w:val="Compact"/>
              <w:spacing w:after="40" w:before="40"/>
              <w:jc w:val="left"/>
            </w:pPr>
            <w:r>
              <w:rPr>
                <w:rFonts w:ascii="Cambria" w:hAnsi="Cambria" w:cs="Cambria" w:eastAsia="Cambria"/>
                <w:color w:val="1A1A1A"/>
                <w:sz w:val="18"/>
              </w:rPr>
              <w:t xml:space="preserve">~ 30</w:t>
            </w:r>
          </w:p>
        </w:tc>
        <w:tc>
          <w:tcPr/>
          <w:p>
            <w:pPr>
              <w:pStyle w:val="Compact"/>
              <w:spacing w:after="40" w:before="40"/>
              <w:jc w:val="left"/>
            </w:pPr>
            <w:r>
              <w:rPr>
                <w:rFonts w:ascii="Cambria" w:hAnsi="Cambria" w:cs="Cambria" w:eastAsia="Cambria"/>
                <w:color w:val="1A1A1A"/>
                <w:sz w:val="18"/>
              </w:rPr>
              <w:t xml:space="preserve">~ 45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95</w:t>
            </w:r>
          </w:p>
        </w:tc>
        <w:tc>
          <w:tcPr>
            <w:shd w:val="clear" w:color="auto" w:fill="F4F1EC"/>
          </w:tcPr>
          <w:p>
            <w:pPr>
              <w:pStyle w:val="Compact"/>
              <w:spacing w:after="40" w:before="40"/>
              <w:jc w:val="left"/>
            </w:pPr>
            <w:r>
              <w:rPr>
                <w:rFonts w:ascii="Cambria" w:hAnsi="Cambria" w:cs="Cambria" w:eastAsia="Cambria"/>
                <w:color w:val="1A1A1A"/>
                <w:sz w:val="18"/>
              </w:rPr>
              <w:t xml:space="preserve">~ 180</w:t>
            </w:r>
          </w:p>
        </w:tc>
        <w:tc>
          <w:tcPr>
            <w:shd w:val="clear" w:color="auto" w:fill="F4F1EC"/>
          </w:tcPr>
          <w:p>
            <w:pPr>
              <w:pStyle w:val="Compact"/>
              <w:spacing w:after="40" w:before="40"/>
              <w:jc w:val="left"/>
            </w:pPr>
            <w:r>
              <w:rPr>
                <w:rFonts w:ascii="Cambria" w:hAnsi="Cambria" w:cs="Cambria" w:eastAsia="Cambria"/>
                <w:color w:val="1A1A1A"/>
                <w:sz w:val="18"/>
              </w:rPr>
              <w:t xml:space="preserve">~ 280</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 113</w:t>
            </w:r>
          </w:p>
        </w:tc>
        <w:tc>
          <w:tcPr/>
          <w:p>
            <w:pPr>
              <w:pStyle w:val="Compact"/>
              <w:spacing w:after="40" w:before="40"/>
              <w:jc w:val="left"/>
            </w:pPr>
            <w:r>
              <w:rPr>
                <w:rFonts w:ascii="Cambria" w:hAnsi="Cambria" w:cs="Cambria" w:eastAsia="Cambria"/>
                <w:color w:val="1A1A1A"/>
                <w:sz w:val="18"/>
              </w:rPr>
              <w:t xml:space="preserve">~ 210</w:t>
            </w:r>
          </w:p>
        </w:tc>
        <w:tc>
          <w:tcPr/>
          <w:p>
            <w:pPr>
              <w:pStyle w:val="Compact"/>
              <w:spacing w:after="40" w:before="40"/>
              <w:jc w:val="left"/>
            </w:pPr>
            <w:r>
              <w:rPr>
                <w:rFonts w:ascii="Cambria" w:hAnsi="Cambria" w:cs="Cambria" w:eastAsia="Cambria"/>
                <w:color w:val="1A1A1A"/>
                <w:sz w:val="18"/>
              </w:rPr>
              <w:t xml:space="preserve">~ 325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30</w:t>
            </w:r>
          </w:p>
        </w:tc>
        <w:tc>
          <w:tcPr>
            <w:shd w:val="clear" w:color="auto" w:fill="F4F1EC"/>
          </w:tcPr>
          <w:p>
            <w:pPr>
              <w:pStyle w:val="Compact"/>
              <w:spacing w:after="40" w:before="40"/>
              <w:jc w:val="left"/>
            </w:pPr>
            <w:r>
              <w:rPr>
                <w:rFonts w:ascii="Cambria" w:hAnsi="Cambria" w:cs="Cambria" w:eastAsia="Cambria"/>
                <w:color w:val="1A1A1A"/>
                <w:sz w:val="18"/>
              </w:rPr>
              <w:t xml:space="preserve">~ 45</w:t>
            </w:r>
          </w:p>
        </w:tc>
        <w:tc>
          <w:tcPr>
            <w:shd w:val="clear" w:color="auto" w:fill="F4F1EC"/>
          </w:tcPr>
          <w:p>
            <w:pPr>
              <w:pStyle w:val="Compact"/>
              <w:spacing w:after="40" w:before="40"/>
              <w:jc w:val="left"/>
            </w:pPr>
            <w:r>
              <w:rPr>
                <w:rFonts w:ascii="Cambria" w:hAnsi="Cambria" w:cs="Cambria" w:eastAsia="Cambria"/>
                <w:color w:val="1A1A1A"/>
                <w:sz w:val="18"/>
              </w:rPr>
              <w:t xml:space="preserve">~ 58</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−12</w:t>
            </w:r>
          </w:p>
        </w:tc>
        <w:tc>
          <w:tcPr/>
          <w:p>
            <w:pPr>
              <w:pStyle w:val="Compact"/>
              <w:spacing w:after="40" w:before="40"/>
              <w:jc w:val="left"/>
            </w:pPr>
            <w:r>
              <w:rPr>
                <w:rFonts w:ascii="Cambria" w:hAnsi="Cambria" w:cs="Cambria" w:eastAsia="Cambria"/>
                <w:color w:val="1A1A1A"/>
                <w:sz w:val="18"/>
              </w:rPr>
              <w:t xml:space="preserve">~ −15</w:t>
            </w:r>
          </w:p>
        </w:tc>
        <w:tc>
          <w:tcPr/>
          <w:p>
            <w:pPr>
              <w:pStyle w:val="Compact"/>
              <w:spacing w:after="40" w:before="40"/>
              <w:jc w:val="left"/>
            </w:pPr>
            <w:r>
              <w:rPr>
                <w:rFonts w:ascii="Cambria" w:hAnsi="Cambria" w:cs="Cambria" w:eastAsia="Cambria"/>
                <w:color w:val="1A1A1A"/>
                <w:sz w:val="18"/>
              </w:rPr>
              <w:t xml:space="preserve">~ −13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+83</w:t>
            </w:r>
          </w:p>
        </w:tc>
        <w:tc>
          <w:tcPr>
            <w:shd w:val="clear" w:color="auto" w:fill="F4F1EC"/>
          </w:tcPr>
          <w:p>
            <w:pPr>
              <w:pStyle w:val="Compact"/>
              <w:spacing w:after="40" w:before="40"/>
              <w:jc w:val="left"/>
            </w:pPr>
            <w:r>
              <w:rPr>
                <w:rFonts w:ascii="Cambria" w:hAnsi="Cambria" w:cs="Cambria" w:eastAsia="Cambria"/>
                <w:color w:val="1A1A1A"/>
                <w:sz w:val="18"/>
              </w:rPr>
              <w:t xml:space="preserve">+165</w:t>
            </w:r>
          </w:p>
        </w:tc>
        <w:tc>
          <w:tcPr>
            <w:shd w:val="clear" w:color="auto" w:fill="F4F1EC"/>
          </w:tcPr>
          <w:p>
            <w:pPr>
              <w:pStyle w:val="Compact"/>
              <w:spacing w:after="40" w:before="40"/>
              <w:jc w:val="left"/>
            </w:pPr>
            <w:r>
              <w:rPr>
                <w:rFonts w:ascii="Cambria" w:hAnsi="Cambria" w:cs="Cambria" w:eastAsia="Cambria"/>
                <w:color w:val="1A1A1A"/>
                <w:sz w:val="18"/>
              </w:rPr>
              <w:t xml:space="preserve">+267</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~3,8:1</w:t>
            </w:r>
          </w:p>
        </w:tc>
        <w:tc>
          <w:tcPr/>
          <w:p>
            <w:pPr>
              <w:pStyle w:val="Compact"/>
              <w:spacing w:after="40" w:before="40"/>
              <w:jc w:val="left"/>
            </w:pPr>
            <w:r>
              <w:rPr>
                <w:rFonts w:ascii="Cambria" w:hAnsi="Cambria" w:cs="Cambria" w:eastAsia="Cambria"/>
                <w:color w:val="1A1A1A"/>
                <w:sz w:val="18"/>
              </w:rPr>
              <w:t xml:space="preserve">~4,7:1</w:t>
            </w:r>
          </w:p>
        </w:tc>
        <w:tc>
          <w:tcPr/>
          <w:p>
            <w:pPr>
              <w:pStyle w:val="Compact"/>
              <w:spacing w:after="40" w:before="40"/>
              <w:jc w:val="left"/>
            </w:pPr>
            <w:r>
              <w:rPr>
                <w:rFonts w:ascii="Cambria" w:hAnsi="Cambria" w:cs="Cambria" w:eastAsia="Cambria"/>
                <w:color w:val="1A1A1A"/>
                <w:sz w:val="18"/>
              </w:rPr>
              <w:t xml:space="preserve">~5,6:1</w:t>
            </w:r>
          </w:p>
        </w:tc>
      </w:tr>
    </w:tbl>
    <w:p>
      <w:pPr>
        <w:pStyle w:val="BodyText"/>
      </w:pPr>
      <w:r>
        <w:rPr>
          <w:i/>
          <w:iCs/>
        </w:rPr>
        <w:t xml:space="preserve">Tabella E.3. Sintesi economica per scenario: il caso finanziario (saldo diretto negativo) e il caso economico (saldo complessivo positivo).</w:t>
      </w:r>
    </w:p>
    <w:bookmarkEnd w:id="4351"/>
    <w:bookmarkEnd w:id="1335"/>
    <w:bookmarkStart w:id="4352" w:name="X0f856a0d3d868734ea6837f81b427ad89b9ffd7"/>
    <w:p>
      <w:pPr>
        <w:pStyle w:val="Heading2"/>
      </w:pPr>
      <w:r>
        <w:t xml:space="preserve">Parte F — Modellazione decisionale e incertezza</w:t>
      </w:r>
    </w:p>
    <w:p>
      <w:pPr>
        <w:pStyle w:val="FirstParagraph"/>
      </w:pPr>
      <w:r>
        <w:t xml:space="preserve">La valutazione economica della Parte E poggia su una proiezione di costi ed esiti nel tempo, e su un governo esplicito dell’incertezza che la circonda. Questa parte ne espone gli strumenti: la struttura del modello decisionale (capitolo F.1), i parametri e la loro calibrazione (F.2), l’analisi di sensibilità deterministica (F.3) e probabilistica con la curva di accettabilità (F.4) e il valore dell’informazione (F.5). I risultati del modello per paziente sono, per loro natura, indipendenti dalla regione, poiché descrivono il decorso clinico del disturbo e non il contesto; la loro declinazione veneta riguarda la riconciliazione con il saldo aggregato e le priorità di acquisizione dei dati.</w:t>
      </w:r>
    </w:p>
    <w:bookmarkStart w:id="4353" w:name="f.1-la-struttura-del-modello-2"/>
    <w:p>
      <w:pPr>
        <w:pStyle w:val="Heading3"/>
      </w:pPr>
      <w:r>
        <w:t xml:space="preserve">F.1 La struttura del modello</w:t>
      </w:r>
    </w:p>
    <w:p>
      <w:pPr>
        <w:pStyle w:val="FirstParagraph"/>
      </w:pPr>
      <w:r>
        <w:t xml:space="preserve">L’analisi impiega un modello di Markov a coorte, strumento standard della valutazione economica in sanità,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2105"/>
      </w:r>
      <w:r>
        <w:rPr>
          <w:rStyle w:val="FootnoteReference"/>
        </w:rPr>
        <w:footnoteReference w:id="2106"/>
      </w:r>
      <w:r>
        <w:t xml:space="preserve"> </w:t>
      </w:r>
      <w:r>
        <w:t xml:space="preserve">I risultati del caso base, per singolo paziente e su orizzonte quinquennale scontato, indicano che il braccio dell’intervento è a un tempo meno costoso e più efficace dell’assistenza usuale, configurando una condizione di dominanza.</w:t>
      </w:r>
      <w:r>
        <w:rPr>
          <w:rStyle w:val="FootnoteReference"/>
        </w:rPr>
        <w:footnoteReference w:id="2107"/>
      </w:r>
      <w:r>
        <w:t xml:space="preserve"> </w:t>
      </w:r>
      <w:r>
        <w:t xml:space="preserve">La dominanza non è un artificio, ma la conseguenza della struttura di costo del modello: l’intervento accresce il tempo trascorso nello stato di recupero, a bassa utilizzazione di risorse, e riduce quello trascorso nello stato cronico, ad alta utilizzazione, sicché il risparmio a valle eccede il costo a monte.</w:t>
      </w:r>
      <w:r>
        <w:rPr>
          <w:rStyle w:val="FootnoteReference"/>
        </w:rPr>
        <w:footnoteReference w:id="2108"/>
      </w:r>
      <w:r>
        <w:t xml:space="preserve"> </w:t>
      </w:r>
      <w:r>
        <w:t xml:space="preserve">La tabella seguente riporta i risultati del caso base.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1188"/>
        <w:gridCol w:w="1188"/>
        <w:gridCol w:w="270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Caso base,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Cura usuale</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sanitario (5 anni, scontato)</w:t>
            </w:r>
          </w:p>
        </w:tc>
        <w:tc>
          <w:tcPr/>
          <w:p>
            <w:pPr>
              <w:pStyle w:val="Compact"/>
              <w:spacing w:after="40" w:before="40"/>
              <w:jc w:val="left"/>
            </w:pPr>
            <w:r>
              <w:rPr>
                <w:rFonts w:ascii="Cambria" w:hAnsi="Cambria" w:cs="Cambria" w:eastAsia="Cambria"/>
                <w:color w:val="1A1A1A"/>
                <w:sz w:val="18"/>
              </w:rPr>
              <w:t xml:space="preserve">~ 2.495 €</w:t>
            </w:r>
          </w:p>
        </w:tc>
        <w:tc>
          <w:tcPr/>
          <w:p>
            <w:pPr>
              <w:pStyle w:val="Compact"/>
              <w:spacing w:after="40" w:before="40"/>
              <w:jc w:val="left"/>
            </w:pPr>
            <w:r>
              <w:rPr>
                <w:rFonts w:ascii="Cambria" w:hAnsi="Cambria" w:cs="Cambria" w:eastAsia="Cambria"/>
                <w:color w:val="1A1A1A"/>
                <w:sz w:val="18"/>
              </w:rPr>
              <w:t xml:space="preserve">~ 3.799 €</w:t>
            </w:r>
          </w:p>
        </w:tc>
        <w:tc>
          <w:tcPr/>
          <w:p>
            <w:pPr>
              <w:pStyle w:val="Compact"/>
              <w:spacing w:after="40" w:before="40"/>
              <w:jc w:val="left"/>
            </w:pPr>
            <w:r>
              <w:rPr>
                <w:rFonts w:ascii="Cambria" w:hAnsi="Cambria" w:cs="Cambria" w:eastAsia="Cambria"/>
                <w:color w:val="1A1A1A"/>
                <w:sz w:val="18"/>
              </w:rPr>
              <w:t xml:space="preserve">− 1.304 €</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(anni di vita ponderati)</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4353"/>
    <w:bookmarkStart w:id="1343" w:name="f.2-i-parametri-e-la-calibrazione-2"/>
    <w:p>
      <w:pPr>
        <w:pStyle w:val="Heading3"/>
      </w:pPr>
      <w:r>
        <w:t xml:space="preserve">F.2 I parametri e la calibrazione</w:t>
      </w:r>
    </w:p>
    <w:p>
      <w:pPr>
        <w:pStyle w:val="FirstParagraph"/>
      </w:pPr>
      <w:r>
        <w:t xml:space="preserve">La credibilità del modello dipende dai parametri che lo alimentano e dalle distribuzioni di probabilità a essi assegnate. La struttura di costo per ciclo — contenuta nello stato di recupero, elevata nello stato cronico, con un costo una tantum per l’intervento — è ciò che genera la dominanza, poiché lo stato che l’intervento riduce è di gran lunga il più oneroso.</w:t>
      </w:r>
      <w:r>
        <w:rPr>
          <w:rStyle w:val="FootnoteReference"/>
        </w:rPr>
        <w:footnoteReference w:id="2109"/>
      </w:r>
      <w:r>
        <w:t xml:space="preserve"> </w:t>
      </w:r>
      <w:r>
        <w:t xml:space="preserve">Alle grandezze incerte sono assegnate distribuzioni appropriate — Beta per le probabilità e le utilità, Gamma per i costi — con valori centrali tratti dall’evidenza internazionale e da calibrare, per i parametri regionali, sui valori veneti certificati non appena disponibili.</w:t>
      </w:r>
      <w:r>
        <w:rPr>
          <w:rStyle w:val="FootnoteReference"/>
        </w:rPr>
        <w:footnoteReference w:id="2110"/>
      </w:r>
      <w:r>
        <w:t xml:space="preserve"> </w:t>
      </w:r>
      <w:r>
        <w:t xml:space="preserve">La tabella seguente riporta i principali parametri e le distribuzioni assegnate.</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075"/>
        <w:gridCol w:w="1845"/>
        <w:gridCol w:w="18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Costo per ciclo — stato di recupero</w:t>
            </w:r>
          </w:p>
        </w:tc>
        <w:tc>
          <w:tcPr/>
          <w:p>
            <w:pPr>
              <w:pStyle w:val="Compact"/>
              <w:spacing w:after="40" w:before="40"/>
              <w:jc w:val="left"/>
            </w:pPr>
            <w:r>
              <w:rPr>
                <w:rFonts w:ascii="Cambria" w:hAnsi="Cambria" w:cs="Cambria" w:eastAsia="Cambria"/>
                <w:color w:val="1A1A1A"/>
                <w:sz w:val="18"/>
              </w:rPr>
              <w:t xml:space="preserve">40 €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stato cronico</w:t>
            </w:r>
          </w:p>
        </w:tc>
        <w:tc>
          <w:tcPr>
            <w:shd w:val="clear" w:color="auto" w:fill="F4F1EC"/>
          </w:tcPr>
          <w:p>
            <w:pPr>
              <w:pStyle w:val="Compact"/>
              <w:spacing w:after="40" w:before="40"/>
              <w:jc w:val="left"/>
            </w:pPr>
            <w:r>
              <w:rPr>
                <w:rFonts w:ascii="Cambria" w:hAnsi="Cambria" w:cs="Cambria" w:eastAsia="Cambria"/>
                <w:color w:val="1A1A1A"/>
                <w:sz w:val="18"/>
              </w:rPr>
              <w:t xml:space="preserve">700 €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dell’intervento psicologico (una tantum)</w:t>
            </w:r>
          </w:p>
        </w:tc>
        <w:tc>
          <w:tcPr/>
          <w:p>
            <w:pPr>
              <w:pStyle w:val="Compact"/>
              <w:spacing w:after="40" w:before="40"/>
              <w:jc w:val="left"/>
            </w:pPr>
            <w:r>
              <w:rPr>
                <w:rFonts w:ascii="Cambria" w:hAnsi="Cambria" w:cs="Cambria" w:eastAsia="Cambria"/>
                <w:color w:val="1A1A1A"/>
                <w:sz w:val="18"/>
              </w:rPr>
              <w:t xml:space="preserve">300 €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transizione tra gli stati</w:t>
            </w:r>
          </w:p>
        </w:tc>
        <w:tc>
          <w:tcPr>
            <w:shd w:val="clear" w:color="auto" w:fill="F4F1EC"/>
          </w:tcPr>
          <w:p>
            <w:pPr>
              <w:pStyle w:val="Compact"/>
              <w:spacing w:after="40" w:before="40"/>
              <w:jc w:val="left"/>
            </w:pPr>
            <w:r>
              <w:rPr>
                <w:rFonts w:ascii="Cambria" w:hAnsi="Cambria" w:cs="Cambria" w:eastAsia="Cambria"/>
                <w:color w:val="1A1A1A"/>
                <w:sz w:val="18"/>
              </w:rPr>
              <w:t xml:space="preserve">da fonti, per braccio</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Utilità associate agli stati</w:t>
            </w:r>
          </w:p>
        </w:tc>
        <w:tc>
          <w:tcPr/>
          <w:p>
            <w:pPr>
              <w:pStyle w:val="Compact"/>
              <w:spacing w:after="40" w:before="40"/>
              <w:jc w:val="left"/>
            </w:pPr>
            <w:r>
              <w:rPr>
                <w:rFonts w:ascii="Cambria" w:hAnsi="Cambria" w:cs="Cambria" w:eastAsia="Cambria"/>
                <w:color w:val="1A1A1A"/>
                <w:sz w:val="18"/>
              </w:rPr>
              <w:t xml:space="preserve">da fonti</w:t>
            </w:r>
          </w:p>
        </w:tc>
        <w:tc>
          <w:tcPr/>
          <w:p>
            <w:pPr>
              <w:pStyle w:val="Compact"/>
              <w:spacing w:after="40" w:before="40"/>
              <w:jc w:val="left"/>
            </w:pPr>
            <w:r>
              <w:rPr>
                <w:rFonts w:ascii="Cambria" w:hAnsi="Cambria" w:cs="Cambria" w:eastAsia="Cambria"/>
                <w:color w:val="1A1A1A"/>
                <w:sz w:val="18"/>
              </w:rP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1343"/>
    <w:bookmarkStart w:id="4354" w:name="f.3-la-sensibilità-deterministica-2"/>
    <w:p>
      <w:pPr>
        <w:pStyle w:val="Heading3"/>
      </w:pPr>
      <w:r>
        <w:t xml:space="preserve">F.3 La sensibilità deterministica</w:t>
      </w:r>
    </w:p>
    <w:p>
      <w:pPr>
        <w:pStyle w:val="FirstParagraph"/>
      </w:pPr>
      <w:r>
        <w:t xml:space="preserve">Per saggiare la robustezza del risultato, ciascun parametro è fatto variare entro un intervallo plausibile, misurandone l’effetto sul beneficio monetario netto. L’analisi a una via, ordinata in un diagramma a tornado, individua i parametri più influenti — l’efficacia clinica, i tassi di ricaduta e di cronicizzazione, il costo dello stato cronico — senza che, entro gli intervalli esplorati, la convenienza dell’intervento per paziente venga ribaltata.</w:t>
      </w:r>
      <w:r>
        <w:rPr>
          <w:rStyle w:val="FootnoteReference"/>
        </w:rPr>
        <w:footnoteReference w:id="2111"/>
      </w:r>
      <w:r>
        <w:t xml:space="preserve"> </w:t>
      </w:r>
      <w:r>
        <w:t xml:space="preserve">Accanto all’incertezza dei parametri, l’incertezza sulla struttura e sulle assunzioni del modello è trattata mediante analisi di scenario, con validazione della coerenza interna ed esterna.</w:t>
      </w:r>
      <w:r>
        <w:rPr>
          <w:rStyle w:val="FootnoteReference"/>
        </w:rPr>
        <w:footnoteReference w:id="2112"/>
      </w:r>
    </w:p>
    <w:bookmarkEnd w:id="4354"/>
    <w:bookmarkStart w:id="4355" w:name="X7159e39474928efca52ac19323d61cdb9bd5f47"/>
    <w:p>
      <w:pPr>
        <w:pStyle w:val="Heading3"/>
      </w:pPr>
      <w:r>
        <w:t xml:space="preserve">F.4 La sensibilità probabilistica e la curva di accettabilità</w:t>
      </w:r>
    </w:p>
    <w:p>
      <w:pPr>
        <w:pStyle w:val="FirstParagraph"/>
      </w:pPr>
      <w:r>
        <w:t xml:space="preserve">L’analisi probabilistica fa variare simultaneamente tutti i parametri, estraendoli a caso dalle rispettive distribuzioni per diecimila volte, così da propagarne l’incertezza sul risultato.</w:t>
      </w:r>
      <w:r>
        <w:rPr>
          <w:rStyle w:val="FootnoteReference"/>
        </w:rPr>
        <w:footnoteReference w:id="2113"/>
      </w:r>
      <w:r>
        <w:t xml:space="preserve"> </w:t>
      </w:r>
      <w:r>
        <w:t xml:space="preserve">Adottando la soglia di riferimento,</w:t>
      </w:r>
      <w:r>
        <w:rPr>
          <w:rStyle w:val="FootnoteReference"/>
        </w:rPr>
        <w:footnoteReference w:id="2114"/>
      </w:r>
      <w:r>
        <w:t xml:space="preserve"> </w:t>
      </w:r>
      <w:r>
        <w:t xml:space="preserve">la curva di accettabilità indica una probabilità dell’88,9% che l’intervento sia costo-efficace e dell’84,6% che sia dominante, con un beneficio monetario netto medio di circa 7.815 euro per paziente.</w:t>
      </w:r>
      <w:r>
        <w:rPr>
          <w:rStyle w:val="FootnoteReference"/>
        </w:rPr>
        <w:footnoteReference w:id="2115"/>
      </w:r>
      <w:r>
        <w:t xml:space="preserve"> </w:t>
      </w:r>
      <w:r>
        <w:t xml:space="preserve">È qui necessario, per il Veneto, esplicitare la relazione tra questo risultato e il saldo aggregato della Parte E. La probabilità di costo-efficacia è una misura di efficienza riferita al singolo paziente, che valorizza il guadagno di salute e l’intera traiettoria di costo; il saldo diretto aggregato è invece negativo, perché il passaggio dal paziente all’aggregato regionale incorpora le correzioni per peso morto e per l’effettiva monetizzabilità dei costi evitati, e perché manca il canale della mobilità. L’efficienza per paziente è robusta; la convenienza per il solo bilancio è negativa; il forte ritorno per la collettività proviene dalle ricadute sociali.</w:t>
      </w:r>
      <w:r>
        <w:rPr>
          <w:rStyle w:val="FootnoteReference"/>
        </w:rPr>
        <w:footnoteReference w:id="2116"/>
      </w:r>
      <w:r>
        <w:t xml:space="preserve"> </w:t>
      </w:r>
      <w:r>
        <w:t xml:space="preserve">La tabella seguente riepiloga i risultati dell’analisi probabilistica.</w:t>
      </w:r>
    </w:p>
    <w:tbl>
      <w:tblPr>
        <w:tblStyle w:val="Table"/>
        <w:tblW w:type="pct" w:w="489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848"/>
        <w:gridCol w:w="290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Misura dell’analisi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Risultato</w:t>
            </w:r>
          </w:p>
        </w:tc>
      </w:tr>
      <w:tr>
        <w:tc>
          <w:tcPr/>
          <w:p>
            <w:pPr>
              <w:pStyle w:val="Compact"/>
              <w:spacing w:after="40" w:before="40"/>
              <w:jc w:val="left"/>
            </w:pPr>
            <w:r>
              <w:rPr>
                <w:rFonts w:ascii="Cambria" w:hAnsi="Cambria" w:cs="Cambria" w:eastAsia="Cambria"/>
                <w:b/>
                <w:bCs/>
                <w:color w:val="1A1A1A"/>
                <w:sz w:val="18"/>
              </w:rPr>
              <w:t xml:space="preserve">Iterazioni della simulazione Monte Carlo</w:t>
            </w:r>
          </w:p>
        </w:tc>
        <w:tc>
          <w:tcPr/>
          <w:p>
            <w:pPr>
              <w:pStyle w:val="Compact"/>
              <w:spacing w:after="40" w:before="40"/>
              <w:jc w:val="left"/>
            </w:pPr>
            <w:r>
              <w:rPr>
                <w:rFonts w:ascii="Cambria" w:hAnsi="Cambria" w:cs="Cambria" w:eastAsia="Cambria"/>
                <w:color w:val="1A1A1A"/>
                <w:sz w:val="18"/>
              </w:rPr>
              <w:t xml:space="preserve">10.000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costo-efficacia (soglia 30.000 €/QALY)</w:t>
            </w:r>
          </w:p>
        </w:tc>
        <w:tc>
          <w:tcPr>
            <w:shd w:val="clear" w:color="auto" w:fill="F4F1EC"/>
          </w:tcPr>
          <w:p>
            <w:pPr>
              <w:pStyle w:val="Compact"/>
              <w:spacing w:after="40" w:before="40"/>
              <w:jc w:val="left"/>
            </w:pPr>
            <w:r>
              <w:rPr>
                <w:rFonts w:ascii="Cambria" w:hAnsi="Cambria" w:cs="Cambria" w:eastAsia="Cambria"/>
                <w:color w:val="1A1A1A"/>
                <w:sz w:val="18"/>
              </w:rPr>
              <w:t xml:space="preserve">88,9%</w:t>
            </w:r>
          </w:p>
        </w:tc>
      </w:tr>
      <w:tr>
        <w:tc>
          <w:tcPr/>
          <w:p>
            <w:pPr>
              <w:pStyle w:val="Compact"/>
              <w:spacing w:after="40" w:before="40"/>
              <w:jc w:val="left"/>
            </w:pPr>
            <w:r>
              <w:rPr>
                <w:rFonts w:ascii="Cambria" w:hAnsi="Cambria" w:cs="Cambria" w:eastAsia="Cambria"/>
                <w:b/>
                <w:bCs/>
                <w:color w:val="1A1A1A"/>
                <w:sz w:val="18"/>
              </w:rPr>
              <w:t xml:space="preserve">Probabilità di dominanza</w:t>
            </w:r>
          </w:p>
        </w:tc>
        <w:tc>
          <w:tcPr/>
          <w:p>
            <w:pPr>
              <w:pStyle w:val="Compact"/>
              <w:spacing w:after="40" w:before="40"/>
              <w:jc w:val="left"/>
            </w:pPr>
            <w:r>
              <w:rPr>
                <w:rFonts w:ascii="Cambria" w:hAnsi="Cambria" w:cs="Cambria" w:eastAsia="Cambria"/>
                <w:color w:val="1A1A1A"/>
                <w:sz w:val="18"/>
              </w:rPr>
              <w:t xml:space="preserve">84,6%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Beneficio monetario netto medio</w:t>
            </w:r>
          </w:p>
        </w:tc>
        <w:tc>
          <w:tcPr>
            <w:shd w:val="clear" w:color="auto" w:fill="F4F1EC"/>
          </w:tcPr>
          <w:p>
            <w:pPr>
              <w:pStyle w:val="Compact"/>
              <w:spacing w:after="40" w:before="40"/>
              <w:jc w:val="left"/>
            </w:pPr>
            <w:r>
              <w:rPr>
                <w:rFonts w:ascii="Cambria" w:hAnsi="Cambria" w:cs="Cambria" w:eastAsia="Cambria"/>
                <w:color w:val="1A1A1A"/>
                <w:sz w:val="18"/>
              </w:rPr>
              <w:t xml:space="preserve">~ 7.815 € per paziente</w:t>
            </w:r>
          </w:p>
        </w:tc>
      </w:tr>
      <w:tr>
        <w:tc>
          <w:tcPr/>
          <w:p>
            <w:pPr>
              <w:pStyle w:val="Compact"/>
              <w:spacing w:after="40" w:before="40"/>
              <w:jc w:val="left"/>
            </w:pPr>
            <w:r>
              <w:rPr>
                <w:rFonts w:ascii="Cambria" w:hAnsi="Cambria" w:cs="Cambria" w:eastAsia="Cambria"/>
                <w:b/>
                <w:bCs/>
                <w:color w:val="1A1A1A"/>
                <w:sz w:val="18"/>
              </w:rPr>
              <w:t xml:space="preserve">Intervallo di credibilità al 95%</w:t>
            </w:r>
          </w:p>
        </w:tc>
        <w:tc>
          <w:tcPr/>
          <w:p>
            <w:pPr>
              <w:pStyle w:val="Compact"/>
              <w:spacing w:after="40" w:before="40"/>
              <w:jc w:val="left"/>
            </w:pPr>
            <w:r>
              <w:rPr>
                <w:rFonts w:ascii="Cambria" w:hAnsi="Cambria" w:cs="Cambria" w:eastAsia="Cambria"/>
                <w:color w:val="1A1A1A"/>
                <w:sz w:val="18"/>
              </w:rPr>
              <w:t xml:space="preserve">da ~ −5.736 a ~ +21.501 €</w:t>
            </w:r>
          </w:p>
        </w:tc>
      </w:tr>
    </w:tbl>
    <w:p>
      <w:pPr>
        <w:pStyle w:val="BodyText"/>
      </w:pPr>
      <w:r>
        <w:rPr>
          <w:i/>
          <w:iCs/>
        </w:rPr>
        <w:t xml:space="preserve">Tabella F.3. Risultati dell</w:t>
      </w:r>
      <w:r>
        <w:rPr>
          <w:b/>
          <w:bCs/>
          <w:i/>
          <w:iCs/>
        </w:rPr>
        <w:t xml:space="preserve">’</w:t>
      </w:r>
      <w:r>
        <w:rPr>
          <w:i/>
          <w:iCs/>
        </w:rPr>
        <w:t xml:space="preserve">analisi di sensibilità probabilistica (per paziente, soglia 30.000 €/QALY).</w:t>
      </w:r>
    </w:p>
    <w:bookmarkEnd w:id="4355"/>
    <w:bookmarkStart w:id="1355" w:name="f.5-il-valore-dellinformazione-2"/>
    <w:p>
      <w:pPr>
        <w:pStyle w:val="Heading3"/>
      </w:pPr>
      <w:r>
        <w:t xml:space="preserve">F.5 Il valore dell’informazione</w:t>
      </w:r>
    </w:p>
    <w:p>
      <w:pPr>
        <w:pStyle w:val="FirstParagraph"/>
      </w:pPr>
      <w:r>
        <w:t xml:space="preserve">L’incertezza residua non è soltanto da quantificare, ma da ridurre con priorità razionali. Il valore atteso dell’informazione perfetta misura il beneficio massimo conseguibile eliminando del tutto l’incertezza, e la sua versione riferita ai singoli parametri indica quali sia prioritario misurare con precisione.</w:t>
      </w:r>
      <w:r>
        <w:rPr>
          <w:rStyle w:val="FootnoteReference"/>
        </w:rPr>
        <w:footnoteReference w:id="2117"/>
      </w:r>
      <w:r>
        <w:t xml:space="preserve"> </w:t>
      </w:r>
      <w:r>
        <w:t xml:space="preserve">Per il Veneto, i parametri ancora ricostruiti per quota di popolazione — quelli dei canali dei ricoveri, della specialistica e del pronto soccorso, non applicandosi il canale della mobilità — sono quelli su cui il valore dell’informazione è più elevato, e verso i quali va indirizzata prioritariamente la richiesta di dati certificati all’Azienda Zero.</w:t>
      </w:r>
      <w:r>
        <w:rPr>
          <w:rStyle w:val="FootnoteReference"/>
        </w:rPr>
        <w:footnoteReference w:id="2118"/>
      </w:r>
      <w:r>
        <w:t xml:space="preserve"> </w:t>
      </w:r>
      <w:r>
        <w:t xml:space="preserve">È anche il punto di raccordo con il monitoraggio: il dispiegamento scaglionato del servizio tra le nove Aziende ULSS, oggetto della Parte L, riduce l’incertezza sostituendo progressivamente le stime con misure osservate sui dati veneti.</w:t>
      </w:r>
      <w:r>
        <w:rPr>
          <w:rStyle w:val="FootnoteReference"/>
        </w:rPr>
        <w:footnoteReference w:id="2119"/>
      </w:r>
      <w:r>
        <w:t xml:space="preserve"> </w:t>
      </w:r>
      <w:r>
        <w:t xml:space="preserve">Governata l’incertezza, la parte che segue affronta la dimensione distributiva ed equitativa dell’intervento.</w:t>
      </w:r>
    </w:p>
    <w:bookmarkEnd w:id="1355"/>
    <w:bookmarkEnd w:id="4352"/>
    <w:bookmarkStart w:id="4356" w:name="parte-g-equità-e-impatto-distributivo-4"/>
    <w:p>
      <w:pPr>
        <w:pStyle w:val="Heading2"/>
      </w:pPr>
      <w:r>
        <w:t xml:space="preserve">Parte G — Equità e impatto distributivo</w:t>
      </w:r>
    </w:p>
    <w:p>
      <w:pPr>
        <w:pStyle w:val="FirstParagraph"/>
      </w:pPr>
      <w:r>
        <w:t xml:space="preserve">La valutazione economica misura il valore complessivo dell’intervento, ma non come esso si distribuisca tra i gruppi e i territori. Questa parte colma quel vuoto, trattando l’equità come dimensione costitutiva del valore: ne espone l’analisi (capitolo G.1), gli strumenti della costo-efficacia distributiva (G.2) e l’esame dei divari territoriali e dell’impoverimento (G.3). Nel Veneto la questione distributiva ha una fisionomia precisa, che la distingue dal Mezzogiorno: non un gradiente di deprivazione diffuso, ma la dualità fra la pianura e le aree montane, ed è su questa che l’analisi si concentra.</w:t>
      </w:r>
    </w:p>
    <w:bookmarkStart w:id="4357" w:name="g.1-lanalisi-di-equità-2"/>
    <w:p>
      <w:pPr>
        <w:pStyle w:val="Heading3"/>
      </w:pPr>
      <w:r>
        <w:t xml:space="preserve">G.1 L’analisi di equità</w:t>
      </w:r>
    </w:p>
    <w:p>
      <w:pPr>
        <w:pStyle w:val="FirstParagraph"/>
      </w:pPr>
      <w:r>
        <w:t xml:space="preserve">La salute mentale presenta un gradiente sociale: le popolazioni svantaggiate ne soffrono di più e accedono meno ai servizi.</w:t>
      </w:r>
      <w:r>
        <w:rPr>
          <w:rStyle w:val="FootnoteReference"/>
        </w:rPr>
        <w:footnoteReference w:id="2120"/>
      </w:r>
      <w:r>
        <w:t xml:space="preserve"> </w:t>
      </w:r>
      <w:r>
        <w:t xml:space="preserve">In Veneto, tuttavia, dove il rischio di povertà o esclusione è contenuto in aggregato, il gradiente socio-economico non è il tratto distintivo: a prevalere è la dimensione territoriale dell’equità, ossia la dualità fra la pianura produttiva, densa e ben servita, e le aree montane del Bellunese e dell’Altopiano, anziane e in spopolamento.</w:t>
      </w:r>
      <w:r>
        <w:rPr>
          <w:rStyle w:val="FootnoteReference"/>
        </w:rPr>
        <w:footnoteReference w:id="2121"/>
      </w:r>
      <w:r>
        <w:t xml:space="preserve"> </w:t>
      </w:r>
      <w:r>
        <w:t xml:space="preserve">Il servizio agisce su questa disuguaglianza per la sua stessa natura: gratuito, di prossimità e privo di stigma, abbatte le barriere che gravano di più sui più svantaggiati, e in Veneto in particolare la barriera geografica delle aree montane.</w:t>
      </w:r>
      <w:r>
        <w:rPr>
          <w:rStyle w:val="FootnoteReference"/>
        </w:rPr>
        <w:footnoteReference w:id="2122"/>
      </w:r>
      <w:r>
        <w:t xml:space="preserve"> </w:t>
      </w:r>
      <w:r>
        <w:t xml:space="preserve">Lo studio segue un insieme definito di variabili di equità, di accesso e di protezione finanziaria.</w:t>
      </w:r>
      <w:r>
        <w:rPr>
          <w:rStyle w:val="FootnoteReference"/>
        </w:rPr>
        <w:footnoteReference w:id="2123"/>
      </w:r>
      <w:r>
        <w:t xml:space="preserve"> </w:t>
      </w:r>
      <w:r>
        <w:t xml:space="preserve">La tabella seguente le riepiloga per dimensione.</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49"/>
        <w:gridCol w:w="60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 equità</w:t>
            </w:r>
          </w:p>
        </w:tc>
        <w:tc>
          <w:tcPr>
            <w:shd w:val="clear" w:color="auto" w:fill="16264B"/>
          </w:tcPr>
          <w:p>
            <w:pPr>
              <w:pStyle w:val="Compact"/>
              <w:spacing w:after="40" w:before="40"/>
              <w:jc w:val="left"/>
            </w:pPr>
            <w:r>
              <w:rPr>
                <w:rFonts w:ascii="Cambria" w:hAnsi="Cambria" w:cs="Cambria" w:eastAsia="Cambria"/>
                <w:b/>
                <w:bCs/>
                <w:color w:val="FFFFFF"/>
                <w:sz w:val="18"/>
              </w:rPr>
              <w:t xml:space="preserve">Variabili seguite dallo studio</w:t>
            </w:r>
          </w:p>
        </w:tc>
      </w:tr>
      <w:tr>
        <w:tc>
          <w:tcPr/>
          <w:p>
            <w:pPr>
              <w:pStyle w:val="Compact"/>
              <w:spacing w:after="40" w:before="40"/>
              <w:jc w:val="left"/>
            </w:pPr>
            <w:r>
              <w:rPr>
                <w:rFonts w:ascii="Cambria" w:hAnsi="Cambria" w:cs="Cambria" w:eastAsia="Cambria"/>
                <w:b/>
                <w:bCs/>
                <w:color w:val="1A1A1A"/>
                <w:sz w:val="18"/>
              </w:rPr>
              <w:t xml:space="preserve">Accesso</w:t>
            </w:r>
          </w:p>
        </w:tc>
        <w:tc>
          <w:tcPr/>
          <w:p>
            <w:pPr>
              <w:pStyle w:val="Compact"/>
              <w:spacing w:after="40" w:before="40"/>
              <w:jc w:val="left"/>
            </w:pPr>
            <w:r>
              <w:rPr>
                <w:rFonts w:ascii="Cambria" w:hAnsi="Cambria" w:cs="Cambria" w:eastAsia="Cambria"/>
                <w:color w:val="1A1A1A"/>
                <w:sz w:val="18"/>
              </w:rPr>
              <w:t xml:space="preserve">Tempi di attesa; accessibilità geografica nelle aree montane (Bellunese, Altopiano); contrasto all’erosione degli organici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Protezione finanziaria</w:t>
            </w:r>
          </w:p>
        </w:tc>
        <w:tc>
          <w:tcPr>
            <w:shd w:val="clear" w:color="auto" w:fill="F4F1EC"/>
          </w:tcPr>
          <w:p>
            <w:pPr>
              <w:pStyle w:val="Compact"/>
              <w:spacing w:after="40" w:before="40"/>
              <w:jc w:val="left"/>
            </w:pPr>
            <w:r>
              <w:rPr>
                <w:rFonts w:ascii="Cambria" w:hAnsi="Cambria" w:cs="Cambria" w:eastAsia="Cambria"/>
                <w:color w:val="1A1A1A"/>
                <w:sz w:val="18"/>
              </w:rPr>
              <w:t xml:space="preserve">Riduzione della spesa privata diretta; dell’impoverimento connesso alle cure; delle spese catastrofiche</w:t>
            </w:r>
          </w:p>
        </w:tc>
      </w:tr>
      <w:tr>
        <w:tc>
          <w:tcPr/>
          <w:p>
            <w:pPr>
              <w:pStyle w:val="Compact"/>
              <w:spacing w:after="40" w:before="40"/>
              <w:jc w:val="left"/>
            </w:pPr>
            <w:r>
              <w:rPr>
                <w:rFonts w:ascii="Cambria" w:hAnsi="Cambria" w:cs="Cambria" w:eastAsia="Cambria"/>
                <w:b/>
                <w:bCs/>
                <w:color w:val="1A1A1A"/>
                <w:sz w:val="18"/>
              </w:rPr>
              <w:t xml:space="preserve">Gruppi vulnerabili</w:t>
            </w:r>
          </w:p>
        </w:tc>
        <w:tc>
          <w:tcPr/>
          <w:p>
            <w:pPr>
              <w:pStyle w:val="Compact"/>
              <w:spacing w:after="40" w:before="40"/>
              <w:jc w:val="left"/>
            </w:pPr>
            <w:r>
              <w:rPr>
                <w:rFonts w:ascii="Cambria" w:hAnsi="Cambria" w:cs="Cambria" w:eastAsia="Cambria"/>
                <w:color w:val="1A1A1A"/>
                <w:sz w:val="18"/>
              </w:rPr>
              <w:t xml:space="preserve">Equità di genere; popolazioni straniere e fragili; persone con disabilità; barriere culturali e linguistiche; gratuità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Territorio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divario pianura-montagna;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4357"/>
    <w:bookmarkStart w:id="4358" w:name="g.2-la-costo-efficacia-distributiva-2"/>
    <w:p>
      <w:pPr>
        <w:pStyle w:val="Heading3"/>
      </w:pPr>
      <w:r>
        <w:t xml:space="preserve">G.2 La costo-efficacia distributiva</w:t>
      </w:r>
    </w:p>
    <w:p>
      <w:pPr>
        <w:pStyle w:val="FirstParagraph"/>
      </w:pPr>
      <w:r>
        <w:t xml:space="preserve">L’equità non è soltanto un principio, ma una grandezza misurabile. L’analisi costo-efficacia distributiva estende la valutazione economica alla dimensione distributiva, stimando come costi ed esiti si ripartiscano tra i sottogruppi e quale ne sia l’effetto sulle disuguaglianze.</w:t>
      </w:r>
      <w:r>
        <w:rPr>
          <w:rStyle w:val="FootnoteReference"/>
        </w:rPr>
        <w:footnoteReference w:id="2124"/>
      </w:r>
      <w:r>
        <w:t xml:space="preserve"> </w:t>
      </w:r>
      <w:r>
        <w:t xml:space="preserve">La direzione del risultato è favorevole all’equità: poiché il guadagno di accesso è più ampio dove oggi l’accesso è più difficile, i benefici si concentrano sui gruppi più svantaggiati, riducendo il gradiente territoriale negli esiti.</w:t>
      </w:r>
      <w:r>
        <w:rPr>
          <w:rStyle w:val="FootnoteReference"/>
        </w:rPr>
        <w:footnoteReference w:id="2125"/>
      </w:r>
      <w:r>
        <w:t xml:space="preserve"> </w:t>
      </w:r>
      <w:r>
        <w:t xml:space="preserve">L’attribuzione di pesi maggiori ai benefici dei più svantaggiati accrescerebbe il valore sociale stimato; lo studio adotta tuttavia il rapporto beneficio-costo non ponderato, scelta tanto più prudente in una regione non prevalentemente deprivata.</w:t>
      </w:r>
      <w:r>
        <w:rPr>
          <w:rStyle w:val="FootnoteReference"/>
        </w:rPr>
        <w:footnoteReference w:id="2126"/>
      </w:r>
      <w:r>
        <w:t xml:space="preserve"> </w:t>
      </w:r>
      <w:r>
        <w:t xml:space="preserve">Il meccanismo operativo dell’equità è l’algoritmo allocativo, che distribuisce gli incarichi ponderando i territori per età, deprivazione e cronicità.</w:t>
      </w:r>
      <w:r>
        <w:rPr>
          <w:rStyle w:val="FootnoteReference"/>
        </w:rPr>
        <w:footnoteReference w:id="2127"/>
      </w:r>
      <w:r>
        <w:rPr>
          <w:rStyle w:val="FootnoteReference"/>
        </w:rPr>
        <w:footnoteReference w:id="2128"/>
      </w:r>
      <w:r>
        <w:t xml:space="preserve"> </w:t>
      </w:r>
      <w:r>
        <w:t xml:space="preserve">La tabella seguente descrive gli strumenti impiegati.</w:t>
      </w:r>
    </w:p>
    <w:tbl>
      <w:tblPr>
        <w:tblStyle w:val="Table"/>
        <w:tblW w:type="pct" w:w="492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132"/>
        <w:gridCol w:w="36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della costo-efficacia distributiva</w:t>
            </w:r>
          </w:p>
        </w:tc>
        <w:tc>
          <w:tcPr>
            <w:shd w:val="clear" w:color="auto" w:fill="16264B"/>
          </w:tcPr>
          <w:p>
            <w:pPr>
              <w:pStyle w:val="Compact"/>
              <w:spacing w:after="40" w:before="40"/>
              <w:jc w:val="left"/>
            </w:pPr>
            <w:r>
              <w:rPr>
                <w:rFonts w:ascii="Cambria" w:hAnsi="Cambria" w:cs="Cambria" w:eastAsia="Cambria"/>
                <w:b/>
                <w:bCs/>
                <w:color w:val="FFFFFF"/>
                <w:sz w:val="18"/>
              </w:rPr>
              <w:t xml:space="preserve">Che cosa misura</w:t>
            </w:r>
          </w:p>
        </w:tc>
      </w:tr>
      <w:tr>
        <w:tc>
          <w:tcPr/>
          <w:p>
            <w:pPr>
              <w:pStyle w:val="Compact"/>
              <w:spacing w:after="40" w:before="40"/>
              <w:jc w:val="left"/>
            </w:pPr>
            <w:r>
              <w:rPr>
                <w:rFonts w:ascii="Cambria" w:hAnsi="Cambria" w:cs="Cambria" w:eastAsia="Cambria"/>
                <w:b/>
                <w:bCs/>
                <w:color w:val="1A1A1A"/>
                <w:sz w:val="18"/>
              </w:rPr>
              <w:t xml:space="preserve">Anni di vita ponderati per l’equità</w:t>
            </w:r>
          </w:p>
        </w:tc>
        <w:tc>
          <w:tcPr/>
          <w:p>
            <w:pPr>
              <w:pStyle w:val="Compact"/>
              <w:spacing w:after="40" w:before="40"/>
              <w:jc w:val="left"/>
            </w:pPr>
            <w:r>
              <w:rPr>
                <w:rFonts w:ascii="Cambria" w:hAnsi="Cambria" w:cs="Cambria" w:eastAsia="Cambria"/>
                <w:color w:val="1A1A1A"/>
                <w:sz w:val="18"/>
              </w:rPr>
              <w:t xml:space="preserve">Guadagni di salute con pesi per lo svantaggio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concentrazione</w:t>
            </w:r>
          </w:p>
        </w:tc>
        <w:tc>
          <w:tcPr>
            <w:shd w:val="clear" w:color="auto" w:fill="F4F1EC"/>
          </w:tcPr>
          <w:p>
            <w:pPr>
              <w:pStyle w:val="Compact"/>
              <w:spacing w:after="40" w:before="40"/>
              <w:jc w:val="left"/>
            </w:pPr>
            <w:r>
              <w:rPr>
                <w:rFonts w:ascii="Cambria" w:hAnsi="Cambria" w:cs="Cambria" w:eastAsia="Cambria"/>
                <w:color w:val="1A1A1A"/>
                <w:sz w:val="18"/>
              </w:rPr>
              <w:t xml:space="preserve">Relazione tra esito di salute e posizione socio-economica</w:t>
            </w:r>
          </w:p>
        </w:tc>
      </w:tr>
      <w:tr>
        <w:tc>
          <w:tcPr/>
          <w:p>
            <w:pPr>
              <w:pStyle w:val="Compact"/>
              <w:spacing w:after="40" w:before="40"/>
              <w:jc w:val="left"/>
            </w:pPr>
            <w:r>
              <w:rPr>
                <w:rFonts w:ascii="Cambria" w:hAnsi="Cambria" w:cs="Cambria" w:eastAsia="Cambria"/>
                <w:b/>
                <w:bCs/>
                <w:color w:val="1A1A1A"/>
                <w:sz w:val="18"/>
              </w:rPr>
              <w:t xml:space="preserve">Indici di disuguaglianza (assoluta e relativa)</w:t>
            </w:r>
          </w:p>
        </w:tc>
        <w:tc>
          <w:tcPr/>
          <w:p>
            <w:pPr>
              <w:pStyle w:val="Compact"/>
              <w:spacing w:after="40" w:before="40"/>
              <w:jc w:val="left"/>
            </w:pPr>
            <w:r>
              <w:rPr>
                <w:rFonts w:ascii="Cambria" w:hAnsi="Cambria" w:cs="Cambria" w:eastAsia="Cambria"/>
                <w:color w:val="1A1A1A"/>
                <w:sz w:val="18"/>
              </w:rPr>
              <w:t xml:space="preserve">Gradiente dell’esito lungo lo stato socio-economico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d’********impatto sull********’equità</w:t>
            </w:r>
          </w:p>
        </w:tc>
        <w:tc>
          <w:tcPr>
            <w:shd w:val="clear" w:color="auto" w:fill="F4F1EC"/>
          </w:tcPr>
          <w:p>
            <w:pPr>
              <w:pStyle w:val="Compact"/>
              <w:spacing w:after="40" w:before="40"/>
              <w:jc w:val="left"/>
            </w:pPr>
            <w:r>
              <w:rPr>
                <w:rFonts w:ascii="Cambria" w:hAnsi="Cambria" w:cs="Cambria" w:eastAsia="Cambria"/>
                <w:color w:val="1A1A1A"/>
                <w:sz w:val="18"/>
              </w:rPr>
              <w:t xml:space="preserve">Distribuzione degli effetti per gruppi vulnerabili e per area</w:t>
            </w:r>
          </w:p>
        </w:tc>
      </w:tr>
      <w:tr>
        <w:tc>
          <w:tcPr/>
          <w:p>
            <w:pPr>
              <w:pStyle w:val="Compact"/>
              <w:spacing w:after="40" w:before="40"/>
              <w:jc w:val="left"/>
            </w:pPr>
            <w:r>
              <w:rPr>
                <w:rFonts w:ascii="Cambria" w:hAnsi="Cambria" w:cs="Cambria" w:eastAsia="Cambria"/>
                <w:b/>
                <w:bCs/>
                <w:color w:val="1A1A1A"/>
                <w:sz w:val="18"/>
              </w:rPr>
              <w:t xml:space="preserve">Indice di deprivazione multipla</w:t>
            </w:r>
          </w:p>
        </w:tc>
        <w:tc>
          <w:tcPr/>
          <w:p>
            <w:pPr>
              <w:pStyle w:val="Compact"/>
              <w:spacing w:after="40" w:before="40"/>
              <w:jc w:val="left"/>
            </w:pPr>
            <w:r>
              <w:rPr>
                <w:rFonts w:ascii="Cambria" w:hAnsi="Cambria" w:cs="Cambria" w:eastAsia="Cambria"/>
                <w:color w:val="1A1A1A"/>
                <w:sz w:val="18"/>
              </w:rP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4358"/>
    <w:bookmarkStart w:id="4359" w:name="Xc0628d7788d00b5a5a91b7cfa1810fe2ad67236"/>
    <w:p>
      <w:pPr>
        <w:pStyle w:val="Heading3"/>
      </w:pPr>
      <w:r>
        <w:t xml:space="preserve">G.3 I divari territoriali e l’impoverimento</w:t>
      </w:r>
    </w:p>
    <w:p>
      <w:pPr>
        <w:pStyle w:val="FirstParagraph"/>
      </w:pPr>
      <w:r>
        <w:t xml:space="preserve">La dimensione territoriale è, nel Veneto, il cuore della questione distributiva. Il divario rilevante non è quello Nord-Sud, ma quello interno tra la pianura densa e produttiva e le aree montane del Bellunese e dell’Altopiano, a popolazione anziana e dispersa, dove il Bellunese è la provincia più anziana e l’unica con mortalità in crescita; in queste aree la sola presenza di un primo livello accessibile, integrata dalla telepsicologia, costituisce già un atto di riequilibrio.</w:t>
      </w:r>
      <w:r>
        <w:rPr>
          <w:rStyle w:val="FootnoteReference"/>
        </w:rPr>
        <w:footnoteReference w:id="2129"/>
      </w:r>
      <w:r>
        <w:t xml:space="preserve"> </w:t>
      </w:r>
      <w:r>
        <w:t xml:space="preserve">A ciò si aggiunge una seconda leva distributiva, propria del Veneto: poiché il canale della mobilità recuperata non si applica, essendo la regione creditrice, la principale leva diviene la riduzione delle liste di attesa, il contrasto all’erosione degli organici dei servizi di salute mentale e il completamento della rete territoriale, che oggi penalizzano chi non può ricorrere al privato.</w:t>
      </w:r>
      <w:r>
        <w:rPr>
          <w:rStyle w:val="FootnoteReference"/>
        </w:rPr>
        <w:footnoteReference w:id="2130"/>
      </w:r>
      <w:r>
        <w:t xml:space="preserve"> </w:t>
      </w:r>
      <w:r>
        <w:t xml:space="preserve">Sul versante della protezione finanziaria, il servizio pubblico e gratuito riduce la spesa privata e l’impoverimento connesso alle cure, a vantaggio dei redditi bassi.</w:t>
      </w:r>
      <w:r>
        <w:rPr>
          <w:rStyle w:val="FootnoteReference"/>
        </w:rPr>
        <w:footnoteReference w:id="2131"/>
      </w:r>
      <w:r>
        <w:t xml:space="preserve"> </w:t>
      </w:r>
      <w:r>
        <w:t xml:space="preserve">E la copertura stessa del bisogno inevaso — dell’ordine di 970.000 persone — è un atto di equità, perché raggiunge chi meno accede spontaneamente.</w:t>
      </w:r>
      <w:r>
        <w:rPr>
          <w:rStyle w:val="FootnoteReference"/>
        </w:rPr>
        <w:footnoteReference w:id="2132"/>
      </w:r>
      <w:r>
        <w:t xml:space="preserve"> </w:t>
      </w:r>
      <w:r>
        <w:t xml:space="preserve">Tutte queste dimensioni sono seguite nel tempo dagli indicatori di equità del sistema di monitoraggio della Parte L.</w:t>
      </w:r>
      <w:r>
        <w:rPr>
          <w:rStyle w:val="FootnoteReference"/>
        </w:rPr>
        <w:footnoteReference w:id="2133"/>
      </w:r>
      <w:r>
        <w:t xml:space="preserve"> </w:t>
      </w:r>
      <w:r>
        <w:t xml:space="preserve">Definito il profilo distributivo, la parte che segue affronta i profili etico, giuridico e organizzativo.</w:t>
      </w:r>
    </w:p>
    <w:bookmarkEnd w:id="4359"/>
    <w:bookmarkEnd w:id="4356"/>
    <w:bookmarkStart w:id="4360" w:name="X4811052ac318b8feab27a0b68aff4195e8ad3e6"/>
    <w:p>
      <w:pPr>
        <w:pStyle w:val="Heading2"/>
      </w:pPr>
      <w:r>
        <w:t xml:space="preserve">Parte H — Profili etico, giuridico e organizzativo</w:t>
      </w:r>
    </w:p>
    <w:p>
      <w:pPr>
        <w:pStyle w:val="FirstParagraph"/>
      </w:pPr>
      <w:r>
        <w:t xml:space="preserve">Oltre ai piani clinico, economico e distributivo, la valutazione deve accertare che l’intervento sia eticamente fondato, giuridicamente legittimo e organizzativamente conforme. Questa parte ne tratta i tre profili: quello etico (capitolo H.1), quello giuridico e costituzionale (H.2) e quello organizzativo e di conformità, segnatamente in materia di intelligenza artificiale e protezione dei dati (H.3). Il profilo giuridico assume, nel Veneto, una configurazione peculiare, poiché la decisione si colloca non a valle di una legge dedicata, ma a valle di una consolidata sperimentazione e di un impegno politico formale.</w:t>
      </w:r>
    </w:p>
    <w:bookmarkStart w:id="1380" w:name="h.1-il-profilo-etico-3"/>
    <w:p>
      <w:pPr>
        <w:pStyle w:val="Heading3"/>
      </w:pPr>
      <w:r>
        <w:t xml:space="preserve">H.1 Il profilo etico</w:t>
      </w:r>
    </w:p>
    <w:p>
      <w:pPr>
        <w:pStyle w:val="FirstParagraph"/>
      </w:pPr>
      <w:r>
        <w:t xml:space="preserve">Sul piano etico, le dimensioni rilevanti sono l’equità di accesso, già trattata, l’autonomia della persona e la tutela del consenso informato.</w:t>
      </w:r>
      <w:r>
        <w:rPr>
          <w:rStyle w:val="FootnoteReference"/>
        </w:rPr>
        <w:footnoteReference w:id="2134"/>
      </w:r>
      <w:r>
        <w:rPr>
          <w:rStyle w:val="FootnoteReference"/>
        </w:rPr>
        <w:footnoteReference w:id="2135"/>
      </w:r>
      <w:r>
        <w:t xml:space="preserve"> </w:t>
      </w:r>
      <w:r>
        <w:t xml:space="preserve">Il consenso è modulare, prestato distintamente per i diversi trattamenti e reso anche in forma digitale; trattandosi di dati ultrasensibili, la persona deve sapere con chiarezza se interagisce con un sistema di intelligenza artificiale, quali dati siano raccolti e chi vi acceda.</w:t>
      </w:r>
      <w:r>
        <w:rPr>
          <w:rStyle w:val="FootnoteReference"/>
        </w:rPr>
        <w:footnoteReference w:id="2136"/>
      </w:r>
      <w:r>
        <w:t xml:space="preserve"> </w:t>
      </w:r>
      <w:r>
        <w:t xml:space="preserve">La valutazione stessa è condotta secondo criteri etici: gli esiti sono resi pubblici indipendentemente dal loro segno, a garanzia contro la selezione dei risultati favorevoli, e l’impianto è sottoposto al comitato etico competente.</w:t>
      </w:r>
      <w:r>
        <w:rPr>
          <w:rStyle w:val="FootnoteReference"/>
        </w:rPr>
        <w:footnoteReference w:id="2137"/>
      </w:r>
      <w:r>
        <w:t xml:space="preserve"> </w:t>
      </w:r>
      <w:r>
        <w:t xml:space="preserve">Una cautela specifica presiede alla tutela dei minori e delle persone vulnerabili, con gli strumenti di esito impiegati nei soli punteggi complessivi e le situazioni di rischio indirizzate ai servizi specialistici e di emergenza.</w:t>
      </w:r>
      <w:r>
        <w:rPr>
          <w:rStyle w:val="FootnoteReference"/>
        </w:rPr>
        <w:footnoteReference w:id="2138"/>
      </w:r>
    </w:p>
    <w:bookmarkEnd w:id="1380"/>
    <w:bookmarkStart w:id="4361" w:name="X4734667f4f5d6de3908e680607004d9e49df77b"/>
    <w:p>
      <w:pPr>
        <w:pStyle w:val="Heading3"/>
      </w:pPr>
      <w:r>
        <w:t xml:space="preserve">H.2 I profili giuridici e costituzionali</w:t>
      </w:r>
    </w:p>
    <w:p>
      <w:pPr>
        <w:pStyle w:val="FirstParagraph"/>
      </w:pPr>
      <w:r>
        <w:t xml:space="preserve">La legittimità dell’intervento poggia su una cornice costituzionale e legislativa solida. L’articolo 32 della Costituzione e la legge istitutiva del Servizio sanitario nazionale fondano la salute come diritto e il servizio su universalità ed equità.</w:t>
      </w:r>
      <w:r>
        <w:rPr>
          <w:rStyle w:val="FootnoteReference"/>
        </w:rPr>
        <w:footnoteReference w:id="2139"/>
      </w:r>
      <w:r>
        <w:t xml:space="preserve"> </w:t>
      </w:r>
      <w:r>
        <w:t xml:space="preserve">Il riparto di competenze colloca la tutela della salute tra le materie concorrenti, con i principi allo Stato e l’organizzazione alle Regioni: è entro questa competenza organizzativa che operano legittimamente gli atti regionali veneti.</w:t>
      </w:r>
      <w:r>
        <w:rPr>
          <w:rStyle w:val="FootnoteReference"/>
        </w:rPr>
        <w:footnoteReference w:id="2140"/>
      </w:r>
      <w:r>
        <w:t xml:space="preserve"> </w:t>
      </w:r>
      <w:r>
        <w:t xml:space="preserve">La determinazione dei livelli essenziali resta competenza esclusiva statale, leva di un’eventuale uniformazione nazionale.</w:t>
      </w:r>
      <w:r>
        <w:rPr>
          <w:rStyle w:val="FootnoteReference"/>
        </w:rPr>
        <w:footnoteReference w:id="2141"/>
      </w:r>
      <w:r>
        <w:t xml:space="preserve"> </w:t>
      </w:r>
      <w:r>
        <w:t xml:space="preserve">Di rilievo diretto è il precedente della Corte costituzionale che ha riconosciuto legittimo il modello regionale di psicologia di base.</w:t>
      </w:r>
      <w:r>
        <w:rPr>
          <w:rStyle w:val="FootnoteReference"/>
        </w:rPr>
        <w:footnoteReference w:id="2142"/>
      </w:r>
      <w:r>
        <w:t xml:space="preserve"> </w:t>
      </w:r>
      <w:r>
        <w:t xml:space="preserve">La base giuridica regionale veneta è peculiare: la sperimentazione del 2014, la mozione che impegna la Giunta al servizio permanente, le proposte di legge in corso d’esame e la legge istitutiva dell’Azienda Zero; la decisione verte sullo strutturare e dimensionare una funzione già sperimentata e impegnata.</w:t>
      </w:r>
      <w:r>
        <w:rPr>
          <w:rStyle w:val="FootnoteReference"/>
        </w:rPr>
        <w:footnoteReference w:id="2143"/>
      </w:r>
      <w:r>
        <w:t xml:space="preserve"> </w:t>
      </w:r>
      <w:r>
        <w:t xml:space="preserve">Quanto al vincolo di destinazione dei fondi sancito per le regioni in rientro, esso non si applica al Veneto, i cui conti sono in equilibrio.</w:t>
      </w:r>
      <w:r>
        <w:rPr>
          <w:rStyle w:val="FootnoteReference"/>
        </w:rPr>
        <w:footnoteReference w:id="2144"/>
      </w:r>
      <w:r>
        <w:t xml:space="preserve"> </w:t>
      </w:r>
      <w:r>
        <w:t xml:space="preserve">La tabella seguente riepiloga i riferimenti essenziali.</w:t>
      </w:r>
    </w:p>
    <w:tbl>
      <w:tblPr>
        <w:tblStyle w:val="Table"/>
        <w:tblW w:type="pct" w:w="493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607"/>
        <w:gridCol w:w="521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Riferimento giuridico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rilevante</w:t>
            </w:r>
          </w:p>
        </w:tc>
      </w:tr>
      <w:tr>
        <w:tc>
          <w:tcPr/>
          <w:p>
            <w:pPr>
              <w:pStyle w:val="Compact"/>
              <w:spacing w:after="40" w:before="40"/>
              <w:jc w:val="left"/>
            </w:pPr>
            <w:r>
              <w:rPr>
                <w:rFonts w:ascii="Cambria" w:hAnsi="Cambria" w:cs="Cambria" w:eastAsia="Cambria"/>
                <w:b/>
                <w:bCs/>
                <w:color w:val="1A1A1A"/>
                <w:sz w:val="18"/>
              </w:rPr>
              <w:t xml:space="preserve">Articolo 32 Cost. e legge n. 833/1978</w:t>
            </w:r>
          </w:p>
        </w:tc>
        <w:tc>
          <w:tcPr/>
          <w:p>
            <w:pPr>
              <w:pStyle w:val="Compact"/>
              <w:spacing w:after="40" w:before="40"/>
              <w:jc w:val="left"/>
            </w:pPr>
            <w:r>
              <w:rPr>
                <w:rFonts w:ascii="Cambria" w:hAnsi="Cambria" w:cs="Cambria" w:eastAsia="Cambria"/>
                <w:color w:val="1A1A1A"/>
                <w:sz w:val="18"/>
              </w:rPr>
              <w:t xml:space="preserve">Salute come diritto; Servizio sanitario universale, eguale ed equo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Articolo 117, terzo comma, Cost.</w:t>
            </w:r>
          </w:p>
        </w:tc>
        <w:tc>
          <w:tcPr>
            <w:shd w:val="clear" w:color="auto" w:fill="F4F1EC"/>
          </w:tcPr>
          <w:p>
            <w:pPr>
              <w:pStyle w:val="Compact"/>
              <w:spacing w:after="40" w:before="40"/>
              <w:jc w:val="left"/>
            </w:pPr>
            <w:r>
              <w:rPr>
                <w:rFonts w:ascii="Cambria" w:hAnsi="Cambria" w:cs="Cambria" w:eastAsia="Cambria"/>
                <w:color w:val="1A1A1A"/>
                <w:sz w:val="18"/>
              </w:rPr>
              <w:t xml:space="preserve">Tutela della salute: competenza concorrente (principi allo Stato, organizzazione alle Regioni)</w:t>
            </w:r>
          </w:p>
        </w:tc>
      </w:tr>
      <w:tr>
        <w:tc>
          <w:tcPr/>
          <w:p>
            <w:pPr>
              <w:pStyle w:val="Compact"/>
              <w:spacing w:after="40" w:before="40"/>
              <w:jc w:val="left"/>
            </w:pPr>
            <w:r>
              <w:rPr>
                <w:rFonts w:ascii="Cambria" w:hAnsi="Cambria" w:cs="Cambria" w:eastAsia="Cambria"/>
                <w:b/>
                <w:bCs/>
                <w:color w:val="1A1A1A"/>
                <w:sz w:val="18"/>
              </w:rPr>
              <w:t xml:space="preserve">Articolo 117, secondo comma, lettera m), Cost.</w:t>
            </w:r>
          </w:p>
        </w:tc>
        <w:tc>
          <w:tcPr/>
          <w:p>
            <w:pPr>
              <w:pStyle w:val="Compact"/>
              <w:spacing w:after="40" w:before="40"/>
              <w:jc w:val="left"/>
            </w:pPr>
            <w:r>
              <w:rPr>
                <w:rFonts w:ascii="Cambria" w:hAnsi="Cambria" w:cs="Cambria" w:eastAsia="Cambria"/>
                <w:color w:val="1A1A1A"/>
                <w:sz w:val="18"/>
              </w:rPr>
              <w:t xml:space="preserve">Livelli essenziali delle prestazioni: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Mozione n. 302/2022 e L.R. n. 19/2016</w:t>
            </w:r>
          </w:p>
        </w:tc>
        <w:tc>
          <w:tcPr>
            <w:shd w:val="clear" w:color="auto" w:fill="F4F1EC"/>
          </w:tcPr>
          <w:p>
            <w:pPr>
              <w:pStyle w:val="Compact"/>
              <w:spacing w:after="40" w:before="40"/>
              <w:jc w:val="left"/>
            </w:pPr>
            <w:r>
              <w:rPr>
                <w:rFonts w:ascii="Cambria" w:hAnsi="Cambria" w:cs="Cambria" w:eastAsia="Cambria"/>
                <w:color w:val="1A1A1A"/>
                <w:sz w:val="18"/>
              </w:rPr>
              <w:t xml:space="preserve">Base regionale: impegno al servizio permanente; sperimentazioni dal 2014; Azienda Zero per l’attuazione</w:t>
            </w:r>
          </w:p>
        </w:tc>
      </w:tr>
      <w:tr>
        <w:tc>
          <w:tcPr/>
          <w:p>
            <w:pPr>
              <w:pStyle w:val="Compact"/>
              <w:spacing w:after="40" w:before="40"/>
              <w:jc w:val="left"/>
            </w:pPr>
            <w:r>
              <w:rPr>
                <w:rFonts w:ascii="Cambria" w:hAnsi="Cambria" w:cs="Cambria" w:eastAsia="Cambria"/>
                <w:b/>
                <w:bCs/>
                <w:color w:val="1A1A1A"/>
                <w:sz w:val="18"/>
              </w:rPr>
              <w:t xml:space="preserve">Corte costituzionale, sentenza n. 241/2021</w:t>
            </w:r>
          </w:p>
        </w:tc>
        <w:tc>
          <w:tcPr/>
          <w:p>
            <w:pPr>
              <w:pStyle w:val="Compact"/>
              <w:spacing w:after="40" w:before="40"/>
              <w:jc w:val="left"/>
            </w:pPr>
            <w:r>
              <w:rPr>
                <w:rFonts w:ascii="Cambria" w:hAnsi="Cambria" w:cs="Cambria" w:eastAsia="Cambria"/>
                <w:color w:val="1A1A1A"/>
                <w:sz w:val="18"/>
              </w:rPr>
              <w:t xml:space="preserve">Modello regionale di psicologia di base riconosciuto legittimo (precedente)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Corte costituzionale, sentenza n. 6/2026</w:t>
            </w:r>
          </w:p>
        </w:tc>
        <w:tc>
          <w:tcPr>
            <w:shd w:val="clear" w:color="auto" w:fill="F4F1EC"/>
          </w:tcPr>
          <w:p>
            <w:pPr>
              <w:pStyle w:val="Compact"/>
              <w:spacing w:after="40" w:before="40"/>
              <w:jc w:val="left"/>
            </w:pPr>
            <w:r>
              <w:rPr>
                <w:rFonts w:ascii="Cambria" w:hAnsi="Cambria" w:cs="Cambria" w:eastAsia="Cambria"/>
                <w:color w:val="1A1A1A"/>
                <w:sz w:val="18"/>
              </w:rPr>
              <w:t xml:space="preserve">Vincolo dei fondi ai livelli essenziali per le regioni in rientro (non applicabile al Veneto)</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4361"/>
    <w:bookmarkStart w:id="4362" w:name="Xbffe89d4d0e0f1a8148edbdbc61f642b446a2ba"/>
    <w:p>
      <w:pPr>
        <w:pStyle w:val="Heading3"/>
      </w:pPr>
      <w:r>
        <w:t xml:space="preserve">H.3 Il profilo organizzativo e la conformità</w:t>
      </w:r>
    </w:p>
    <w:p>
      <w:pPr>
        <w:pStyle w:val="FirstParagraph"/>
      </w:pPr>
      <w:r>
        <w:t xml:space="preserve">Sul piano organizzativo, l’intervento si innesta nelle strutture esistenti senza alterarne le responsabilità. Il servizio opera nel rispetto della deontologia professionale, sotto la vigilanza dell’Ordine degli Psicologi del Veneto.</w:t>
      </w:r>
      <w:r>
        <w:rPr>
          <w:rStyle w:val="FootnoteReference"/>
        </w:rPr>
        <w:footnoteReference w:id="2145"/>
      </w:r>
      <w:r>
        <w:t xml:space="preserve"> </w:t>
      </w:r>
      <w:r>
        <w:t xml:space="preserve">L’impiego dell’intelligenza artificiale non modifica le responsabilità cliniche: il medico resta garante della diagnosi, lo psicologo dell’intervento psicologico, e l’IA è assimilata a un dispositivo di supporto, sicché non si introduce una nuova figura, ma uno strumento al servizio di quelle esistenti.</w:t>
      </w:r>
      <w:r>
        <w:rPr>
          <w:rStyle w:val="FootnoteReference"/>
        </w:rPr>
        <w:footnoteReference w:id="2146"/>
      </w:r>
      <w:r>
        <w:t xml:space="preserve"> </w:t>
      </w:r>
      <w:r>
        <w:t xml:space="preserve">La conformità degli strumenti di IA è governata dal quadro europeo — regolamento sull’intelligenza artificiale, regolamento sui dispositivi medici, regolamento sulla protezione dei dati — con supervisione umana, validazione periodica e monitoraggio dei bias.</w:t>
      </w:r>
      <w:r>
        <w:rPr>
          <w:rStyle w:val="FootnoteReference"/>
        </w:rPr>
        <w:footnoteReference w:id="2147"/>
      </w:r>
      <w:r>
        <w:t xml:space="preserve"> </w:t>
      </w:r>
      <w:r>
        <w:t xml:space="preserve">Per non generare nuove disuguaglianze sono previsti canali tradizionali paralleli, in particolare per le persone anziane delle aree montane, e il supporto multilingue.</w:t>
      </w:r>
      <w:r>
        <w:rPr>
          <w:rStyle w:val="FootnoteReference"/>
        </w:rPr>
        <w:footnoteReference w:id="2148"/>
      </w:r>
      <w:r>
        <w:t xml:space="preserve"> </w:t>
      </w:r>
      <w:r>
        <w:t xml:space="preserve">La protezione dei dati è assicurata da misure robuste di sicurezza e da un consenso modulare, in collaborazione con l’Autorità garante.</w:t>
      </w:r>
      <w:r>
        <w:rPr>
          <w:rStyle w:val="FootnoteReference"/>
        </w:rPr>
        <w:footnoteReference w:id="2149"/>
      </w:r>
      <w:r>
        <w:t xml:space="preserve"> </w:t>
      </w:r>
      <w:r>
        <w:t xml:space="preserve">La tabella seguente riepiloga il quadro della conformità. Completati i profili etico, giuridico e organizzativo, la parte che segue affronta l’attuazione, la fattibilità e la sostenibilità.</w:t>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95"/>
        <w:gridCol w:w="2750"/>
        <w:gridCol w:w="346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Garanzia</w:t>
            </w:r>
          </w:p>
        </w:tc>
      </w:tr>
      <w:tr>
        <w:tc>
          <w:tcPr/>
          <w:p>
            <w:pPr>
              <w:pStyle w:val="Compact"/>
              <w:spacing w:after="40" w:before="40"/>
              <w:jc w:val="left"/>
            </w:pPr>
            <w:r>
              <w:rPr>
                <w:rFonts w:ascii="Cambria" w:hAnsi="Cambria" w:cs="Cambria" w:eastAsia="Cambria"/>
                <w:b/>
                <w:bCs/>
                <w:color w:val="1A1A1A"/>
                <w:sz w:val="18"/>
              </w:rPr>
              <w:t xml:space="preserve">Deontologia</w:t>
            </w:r>
          </w:p>
        </w:tc>
        <w:tc>
          <w:tcPr/>
          <w:p>
            <w:pPr>
              <w:pStyle w:val="Compact"/>
              <w:spacing w:after="40" w:before="40"/>
              <w:jc w:val="left"/>
            </w:pPr>
            <w:r>
              <w:rPr>
                <w:rFonts w:ascii="Cambria" w:hAnsi="Cambria" w:cs="Cambria" w:eastAsia="Cambria"/>
                <w:color w:val="1A1A1A"/>
                <w:sz w:val="18"/>
              </w:rPr>
              <w:t xml:space="preserve">Ordine degli Psicologi del Veneto</w:t>
            </w:r>
          </w:p>
        </w:tc>
        <w:tc>
          <w:tcPr/>
          <w:p>
            <w:pPr>
              <w:pStyle w:val="Compact"/>
              <w:spacing w:after="40" w:before="40"/>
              <w:jc w:val="left"/>
            </w:pPr>
            <w:r>
              <w:rPr>
                <w:rFonts w:ascii="Cambria" w:hAnsi="Cambria" w:cs="Cambria" w:eastAsia="Cambria"/>
                <w:color w:val="1A1A1A"/>
                <w:sz w:val="18"/>
              </w:rPr>
              <w:t xml:space="preserve">Rispetto delle norme deontologiche; concorso alla governance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Responsabilità clinica</w:t>
            </w:r>
          </w:p>
        </w:tc>
        <w:tc>
          <w:tcPr>
            <w:shd w:val="clear" w:color="auto" w:fill="F4F1EC"/>
          </w:tcPr>
          <w:p>
            <w:pPr>
              <w:pStyle w:val="Compact"/>
              <w:spacing w:after="40" w:before="40"/>
              <w:jc w:val="left"/>
            </w:pPr>
            <w:r>
              <w:rPr>
                <w:rFonts w:ascii="Cambria" w:hAnsi="Cambria" w:cs="Cambria" w:eastAsia="Cambria"/>
                <w:color w:val="1A1A1A"/>
                <w:sz w:val="18"/>
              </w:rPr>
              <w:t xml:space="preserve">Medico e psicologo</w:t>
            </w:r>
          </w:p>
        </w:tc>
        <w:tc>
          <w:tcPr>
            <w:shd w:val="clear" w:color="auto" w:fill="F4F1EC"/>
          </w:tcPr>
          <w:p>
            <w:pPr>
              <w:pStyle w:val="Compact"/>
              <w:spacing w:after="40" w:before="40"/>
              <w:jc w:val="left"/>
            </w:pPr>
            <w:r>
              <w:rPr>
                <w:rFonts w:ascii="Cambria" w:hAnsi="Cambria" w:cs="Cambria" w:eastAsia="Cambria"/>
                <w:color w:val="1A1A1A"/>
                <w:sz w:val="18"/>
              </w:rPr>
              <w:t xml:space="preserve">Ruoli invariati; l’IA è strumento di supporto</w:t>
            </w:r>
          </w:p>
        </w:tc>
      </w:tr>
      <w:tr>
        <w:tc>
          <w:tcPr/>
          <w:p>
            <w:pPr>
              <w:pStyle w:val="Compact"/>
              <w:spacing w:after="40" w:before="40"/>
              <w:jc w:val="left"/>
            </w:pPr>
            <w:r>
              <w:rPr>
                <w:rFonts w:ascii="Cambria" w:hAnsi="Cambria" w:cs="Cambria" w:eastAsia="Cambria"/>
                <w:b/>
                <w:bCs/>
                <w:color w:val="1A1A1A"/>
                <w:sz w:val="18"/>
              </w:rPr>
              <w:t xml:space="preserve">IA e dispositivi</w:t>
            </w:r>
          </w:p>
        </w:tc>
        <w:tc>
          <w:tcPr/>
          <w:p>
            <w:pPr>
              <w:pStyle w:val="Compact"/>
              <w:spacing w:after="40" w:before="40"/>
              <w:jc w:val="left"/>
            </w:pPr>
            <w:r>
              <w:rPr>
                <w:rFonts w:ascii="Cambria" w:hAnsi="Cambria" w:cs="Cambria" w:eastAsia="Cambria"/>
                <w:color w:val="1A1A1A"/>
                <w:sz w:val="18"/>
              </w:rPr>
              <w:t xml:space="preserve">AI Act, dispositivi medici, protezione dei dati</w:t>
            </w:r>
          </w:p>
        </w:tc>
        <w:tc>
          <w:tcPr/>
          <w:p>
            <w:pPr>
              <w:pStyle w:val="Compact"/>
              <w:spacing w:after="40" w:before="40"/>
              <w:jc w:val="left"/>
            </w:pPr>
            <w:r>
              <w:rPr>
                <w:rFonts w:ascii="Cambria" w:hAnsi="Cambria" w:cs="Cambria" w:eastAsia="Cambria"/>
                <w:color w:val="1A1A1A"/>
                <w:sz w:val="18"/>
              </w:rPr>
              <w:t xml:space="preserve">Marcatura CE; supervisione umana; validazione periodica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Governance dell’IA</w:t>
            </w:r>
          </w:p>
        </w:tc>
        <w:tc>
          <w:tcPr>
            <w:shd w:val="clear" w:color="auto" w:fill="F4F1EC"/>
          </w:tcPr>
          <w:p>
            <w:pPr>
              <w:pStyle w:val="Compact"/>
              <w:spacing w:after="40" w:before="40"/>
              <w:jc w:val="left"/>
            </w:pPr>
            <w:r>
              <w:rPr>
                <w:rFonts w:ascii="Cambria" w:hAnsi="Cambria" w:cs="Cambria" w:eastAsia="Cambria"/>
                <w:color w:val="1A1A1A"/>
                <w:sz w:val="18"/>
              </w:rPr>
              <w:t xml:space="preserve">Comitato etico-scientifico</w:t>
            </w:r>
          </w:p>
        </w:tc>
        <w:tc>
          <w:tcPr>
            <w:shd w:val="clear" w:color="auto" w:fill="F4F1EC"/>
          </w:tcPr>
          <w:p>
            <w:pPr>
              <w:pStyle w:val="Compact"/>
              <w:spacing w:after="40" w:before="40"/>
              <w:jc w:val="left"/>
            </w:pPr>
            <w:r>
              <w:rPr>
                <w:rFonts w:ascii="Cambria" w:hAnsi="Cambria" w:cs="Cambria" w:eastAsia="Cambria"/>
                <w:color w:val="1A1A1A"/>
                <w:sz w:val="18"/>
              </w:rPr>
              <w:t xml:space="preserve">Monitoraggio dei bias; trasparenza; non discriminazione</w:t>
            </w:r>
          </w:p>
        </w:tc>
      </w:tr>
      <w:tr>
        <w:tc>
          <w:tcPr/>
          <w:p>
            <w:pPr>
              <w:pStyle w:val="Compact"/>
              <w:spacing w:after="40" w:before="40"/>
              <w:jc w:val="left"/>
            </w:pPr>
            <w:r>
              <w:rPr>
                <w:rFonts w:ascii="Cambria" w:hAnsi="Cambria" w:cs="Cambria" w:eastAsia="Cambria"/>
                <w:b/>
                <w:bCs/>
                <w:color w:val="1A1A1A"/>
                <w:sz w:val="18"/>
              </w:rPr>
              <w:t xml:space="preserve">Equità digitale</w:t>
            </w:r>
          </w:p>
        </w:tc>
        <w:tc>
          <w:tcPr/>
          <w:p>
            <w:pPr>
              <w:pStyle w:val="Compact"/>
              <w:spacing w:after="40" w:before="40"/>
              <w:jc w:val="left"/>
            </w:pPr>
            <w:r>
              <w:rPr>
                <w:rFonts w:ascii="Cambria" w:hAnsi="Cambria" w:cs="Cambria" w:eastAsia="Cambria"/>
                <w:color w:val="1A1A1A"/>
                <w:sz w:val="18"/>
              </w:rPr>
              <w:t xml:space="preserve">Canali paralleli; supporto multilingue</w:t>
            </w:r>
          </w:p>
        </w:tc>
        <w:tc>
          <w:tcPr/>
          <w:p>
            <w:pPr>
              <w:pStyle w:val="Compact"/>
              <w:spacing w:after="40" w:before="40"/>
              <w:jc w:val="left"/>
            </w:pPr>
            <w:r>
              <w:rPr>
                <w:rFonts w:ascii="Cambria" w:hAnsi="Cambria" w:cs="Cambria" w:eastAsia="Cambria"/>
                <w:color w:val="1A1A1A"/>
                <w:sz w:val="18"/>
              </w:rPr>
              <w:t xml:space="preserve">Alternativa in presenza sempre garantita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Protezione dei dati</w:t>
            </w:r>
          </w:p>
        </w:tc>
        <w:tc>
          <w:tcPr>
            <w:shd w:val="clear" w:color="auto" w:fill="F4F1EC"/>
          </w:tcPr>
          <w:p>
            <w:pPr>
              <w:pStyle w:val="Compact"/>
              <w:spacing w:after="40" w:before="40"/>
              <w:jc w:val="left"/>
            </w:pPr>
            <w:r>
              <w:rPr>
                <w:rFonts w:ascii="Cambria" w:hAnsi="Cambria" w:cs="Cambria" w:eastAsia="Cambria"/>
                <w:color w:val="1A1A1A"/>
                <w:sz w:val="18"/>
              </w:rPr>
              <w:t xml:space="preserve">Crittografia; pseudonimizzazione</w:t>
            </w:r>
          </w:p>
        </w:tc>
        <w:tc>
          <w:tcPr>
            <w:shd w:val="clear" w:color="auto" w:fill="F4F1EC"/>
          </w:tcPr>
          <w:p>
            <w:pPr>
              <w:pStyle w:val="Compact"/>
              <w:spacing w:after="40" w:before="40"/>
              <w:jc w:val="left"/>
            </w:pPr>
            <w:r>
              <w:rPr>
                <w:rFonts w:ascii="Cambria" w:hAnsi="Cambria" w:cs="Cambria" w:eastAsia="Cambria"/>
                <w:color w:val="1A1A1A"/>
                <w:sz w:val="18"/>
              </w:rPr>
              <w:t xml:space="preserve">Consenso modulare; collaborazione con il Garante</w:t>
            </w:r>
          </w:p>
        </w:tc>
      </w:tr>
    </w:tbl>
    <w:p>
      <w:pPr>
        <w:pStyle w:val="BodyText"/>
      </w:pPr>
      <w:r>
        <w:rPr>
          <w:i/>
          <w:iCs/>
        </w:rPr>
        <w:t xml:space="preserve">Tabella H.2. Il quadro della conformità organizzativa e di governance dell</w:t>
      </w:r>
      <w:r>
        <w:rPr>
          <w:b/>
          <w:bCs/>
          <w:i/>
          <w:iCs/>
        </w:rPr>
        <w:t xml:space="preserve">’</w:t>
      </w:r>
      <w:r>
        <w:rPr>
          <w:i/>
          <w:iCs/>
        </w:rPr>
        <w:t xml:space="preserve">intervento.</w:t>
      </w:r>
    </w:p>
    <w:bookmarkEnd w:id="4362"/>
    <w:bookmarkEnd w:id="4360"/>
    <w:bookmarkStart w:id="1416" w:name="X393f84632f21448f2ab454978a20fb284404ad0"/>
    <w:p>
      <w:pPr>
        <w:pStyle w:val="Heading2"/>
      </w:pPr>
      <w:r>
        <w:t xml:space="preserve">Parte I — Attuazione, fattibilità e sostenibilità</w:t>
      </w:r>
    </w:p>
    <w:p>
      <w:pPr>
        <w:pStyle w:val="FirstParagraph"/>
      </w:pPr>
      <w:r>
        <w:t xml:space="preserve">Un intervento efficace ed economicamente fondato resta privo di effetto se non è attuabile. Questa parte ne affronta l’attuazione: la scienza dell’implementazione che ne guida il dispiegamento (capitolo I.1), il disegno del dispiegamento scaglionato (I.2), il caso commerciale del modello contrattuale e della tariffa (I.3), il caso gestionale della governance e dei rischi (I.4) e la sostenibilità finanziaria con le relative coperture (I.5). Il Veneto presenta qui due vantaggi distintivi: l’architettura centralizzata dell’Azienda Zero, che consente un’attuazione unitaria ed efficiente sulle nove Aziende ULSS, e una solidità finanziaria che rende la copertura agevolmente sostenibile.</w:t>
      </w:r>
    </w:p>
    <w:bookmarkStart w:id="4363" w:name="i.1-la-scienza-dellimplementazione-2"/>
    <w:p>
      <w:pPr>
        <w:pStyle w:val="Heading3"/>
      </w:pPr>
      <w:r>
        <w:t xml:space="preserve">I.1 La scienza dell’implementazione</w:t>
      </w:r>
    </w:p>
    <w:p>
      <w:pPr>
        <w:pStyle w:val="FirstParagraph"/>
      </w:pPr>
      <w:r>
        <w:t xml:space="preserve">L’attuazione non è lasciata all’improvvisazione, ma guidata dalla scienza dell’implementazione, che offre quadri per misurarne la riuscita e per comprenderne i determinanti.</w:t>
      </w:r>
      <w:r>
        <w:rPr>
          <w:rStyle w:val="FootnoteReference"/>
        </w:rPr>
        <w:footnoteReference w:id="2150"/>
      </w:r>
      <w:r>
        <w:t xml:space="preserve"> </w:t>
      </w:r>
      <w:r>
        <w:t xml:space="preserve">Il modello RE-AIM misura la riuscita lungo cinque dimensioni — portata, efficacia, adozione, implementazione e mantenimento.</w:t>
      </w:r>
      <w:r>
        <w:rPr>
          <w:rStyle w:val="FootnoteReference"/>
        </w:rPr>
        <w:footnoteReference w:id="2151"/>
      </w:r>
      <w:r>
        <w:t xml:space="preserve"> </w:t>
      </w:r>
      <w:r>
        <w:t xml:space="preserve">Il quadro consolidato per la ricerca sull’implementazione ne spiega i determinanti, consentendo di individuare in anticipo barriere e facilitatori.</w:t>
      </w:r>
      <w:r>
        <w:rPr>
          <w:rStyle w:val="FootnoteReference"/>
        </w:rPr>
        <w:footnoteReference w:id="2152"/>
      </w:r>
      <w:r>
        <w:t xml:space="preserve"> </w:t>
      </w:r>
      <w:r>
        <w:t xml:space="preserve">Lo studio segue un insieme definito di determinanti dell’attuazione.</w:t>
      </w:r>
      <w:r>
        <w:rPr>
          <w:rStyle w:val="FootnoteReference"/>
        </w:rPr>
        <w:footnoteReference w:id="2153"/>
      </w:r>
      <w:r>
        <w:t xml:space="preserve"> </w:t>
      </w:r>
      <w:r>
        <w:t xml:space="preserve">La tabella seguente riepiloga i due quadri.</w:t>
      </w:r>
    </w:p>
    <w:tbl>
      <w:tblPr>
        <w:tblStyle w:val="Table"/>
        <w:tblW w:type="pct" w:w="490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22"/>
        <w:gridCol w:w="49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w:t>
            </w:r>
          </w:p>
        </w:tc>
        <w:tc>
          <w:tcPr>
            <w:shd w:val="clear" w:color="auto" w:fill="16264B"/>
          </w:tcPr>
          <w:p>
            <w:pPr>
              <w:pStyle w:val="Compact"/>
              <w:spacing w:after="40" w:before="40"/>
              <w:jc w:val="left"/>
            </w:pPr>
            <w:r>
              <w:rPr>
                <w:rFonts w:ascii="Cambria" w:hAnsi="Cambria" w:cs="Cambria" w:eastAsia="Cambria"/>
                <w:b/>
                <w:bCs/>
                <w:color w:val="FFFFFF"/>
                <w:sz w:val="18"/>
              </w:rPr>
              <w:t xml:space="preserve">Che cosa misura o spiega</w:t>
            </w:r>
          </w:p>
        </w:tc>
      </w:tr>
      <w:tr>
        <w:tc>
          <w:tcPr/>
          <w:p>
            <w:pPr>
              <w:pStyle w:val="Compact"/>
              <w:spacing w:after="40" w:before="40"/>
              <w:jc w:val="left"/>
            </w:pPr>
            <w:r>
              <w:rPr>
                <w:rFonts w:ascii="Cambria" w:hAnsi="Cambria" w:cs="Cambria" w:eastAsia="Cambria"/>
                <w:b/>
                <w:bCs/>
                <w:color w:val="1A1A1A"/>
                <w:sz w:val="18"/>
              </w:rPr>
              <w:t xml:space="preserve">Portata (RE-AIM)</w:t>
            </w:r>
          </w:p>
        </w:tc>
        <w:tc>
          <w:tcPr/>
          <w:p>
            <w:pPr>
              <w:pStyle w:val="Compact"/>
              <w:spacing w:after="40" w:before="40"/>
              <w:jc w:val="left"/>
            </w:pPr>
            <w:r>
              <w:rPr>
                <w:rFonts w:ascii="Cambria" w:hAnsi="Cambria" w:cs="Cambria" w:eastAsia="Cambria"/>
                <w:color w:val="1A1A1A"/>
                <w:sz w:val="18"/>
              </w:rPr>
              <w:t xml:space="preserve">Quota della popolazione bersaglio raggiunta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(RE-AIM)</w:t>
            </w:r>
          </w:p>
        </w:tc>
        <w:tc>
          <w:tcPr>
            <w:shd w:val="clear" w:color="auto" w:fill="F4F1EC"/>
          </w:tcPr>
          <w:p>
            <w:pPr>
              <w:pStyle w:val="Compact"/>
              <w:spacing w:after="40" w:before="40"/>
              <w:jc w:val="left"/>
            </w:pPr>
            <w:r>
              <w:rPr>
                <w:rFonts w:ascii="Cambria" w:hAnsi="Cambria" w:cs="Cambria" w:eastAsia="Cambria"/>
                <w:color w:val="1A1A1A"/>
                <w:sz w:val="18"/>
              </w:rPr>
              <w:t xml:space="preserve">Esiti clinici e di sistema effettivamente conseguiti</w:t>
            </w:r>
          </w:p>
        </w:tc>
      </w:tr>
      <w:tr>
        <w:tc>
          <w:tcPr/>
          <w:p>
            <w:pPr>
              <w:pStyle w:val="Compact"/>
              <w:spacing w:after="40" w:before="40"/>
              <w:jc w:val="left"/>
            </w:pPr>
            <w:r>
              <w:rPr>
                <w:rFonts w:ascii="Cambria" w:hAnsi="Cambria" w:cs="Cambria" w:eastAsia="Cambria"/>
                <w:b/>
                <w:bCs/>
                <w:color w:val="1A1A1A"/>
                <w:sz w:val="18"/>
              </w:rPr>
              <w:t xml:space="preserve">Adozione (RE-AIM)</w:t>
            </w:r>
          </w:p>
        </w:tc>
        <w:tc>
          <w:tcPr/>
          <w:p>
            <w:pPr>
              <w:pStyle w:val="Compact"/>
              <w:spacing w:after="40" w:before="40"/>
              <w:jc w:val="left"/>
            </w:pPr>
            <w:r>
              <w:rPr>
                <w:rFonts w:ascii="Cambria" w:hAnsi="Cambria" w:cs="Cambria" w:eastAsia="Cambria"/>
                <w:color w:val="1A1A1A"/>
                <w:sz w:val="18"/>
              </w:rPr>
              <w:t xml:space="preserve">Adesione delle sedi e dei professionisti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Implementazione (RE-AIM)</w:t>
            </w:r>
          </w:p>
        </w:tc>
        <w:tc>
          <w:tcPr>
            <w:shd w:val="clear" w:color="auto" w:fill="F4F1EC"/>
          </w:tcPr>
          <w:p>
            <w:pPr>
              <w:pStyle w:val="Compact"/>
              <w:spacing w:after="40" w:before="40"/>
              <w:jc w:val="left"/>
            </w:pPr>
            <w:r>
              <w:rPr>
                <w:rFonts w:ascii="Cambria" w:hAnsi="Cambria" w:cs="Cambria" w:eastAsia="Cambria"/>
                <w:color w:val="1A1A1A"/>
                <w:sz w:val="18"/>
              </w:rPr>
              <w:t xml:space="preserve">Fedeltà al modello e qualità dell’attuazione</w:t>
            </w:r>
          </w:p>
        </w:tc>
      </w:tr>
      <w:tr>
        <w:tc>
          <w:tcPr/>
          <w:p>
            <w:pPr>
              <w:pStyle w:val="Compact"/>
              <w:spacing w:after="40" w:before="40"/>
              <w:jc w:val="left"/>
            </w:pPr>
            <w:r>
              <w:rPr>
                <w:rFonts w:ascii="Cambria" w:hAnsi="Cambria" w:cs="Cambria" w:eastAsia="Cambria"/>
                <w:b/>
                <w:bCs/>
                <w:color w:val="1A1A1A"/>
                <w:sz w:val="18"/>
              </w:rPr>
              <w:t xml:space="preserve">Mantenimento (RE-AIM)</w:t>
            </w:r>
          </w:p>
        </w:tc>
        <w:tc>
          <w:tcPr/>
          <w:p>
            <w:pPr>
              <w:pStyle w:val="Compact"/>
              <w:spacing w:after="40" w:before="40"/>
              <w:jc w:val="left"/>
            </w:pPr>
            <w:r>
              <w:rPr>
                <w:rFonts w:ascii="Cambria" w:hAnsi="Cambria" w:cs="Cambria" w:eastAsia="Cambria"/>
                <w:color w:val="1A1A1A"/>
                <w:sz w:val="18"/>
              </w:rPr>
              <w:t xml:space="preserve">Sostenibilità del servizio nel tempo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Determinanti (quadro CFIR)</w:t>
            </w:r>
          </w:p>
        </w:tc>
        <w:tc>
          <w:tcPr>
            <w:shd w:val="clear" w:color="auto" w:fill="F4F1EC"/>
          </w:tcPr>
          <w:p>
            <w:pPr>
              <w:pStyle w:val="Compact"/>
              <w:spacing w:after="40" w:before="40"/>
              <w:jc w:val="left"/>
            </w:pPr>
            <w:r>
              <w:rPr>
                <w:rFonts w:ascii="Cambria" w:hAnsi="Cambria" w:cs="Cambria" w:eastAsia="Cambria"/>
                <w:color w:val="1A1A1A"/>
                <w:sz w:val="18"/>
              </w:rP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4363"/>
    <w:bookmarkStart w:id="4364" w:name="i.2-il-disegno-del-dispiegamento-1"/>
    <w:p>
      <w:pPr>
        <w:pStyle w:val="Heading3"/>
      </w:pPr>
      <w:r>
        <w:t xml:space="preserve">I.2 Il disegno del dispiegamento</w:t>
      </w:r>
    </w:p>
    <w:p>
      <w:pPr>
        <w:pStyle w:val="FirstParagraph"/>
      </w:pPr>
      <w:r>
        <w:t xml:space="preserve">Il servizio non è attivato ovunque simultaneamente, ma per fasi: le nove Aziende ULSS passano in sequenza, per fasi semestrali, dalla condizione di controllo a quella di intervento, a partire dalle aziende di maggiore dimensione e prontezza, sino a coprire l’intera regione, secondo un ordine definito dalla Giunta su criteri trasparenti e con il coordinamento unitario dell’Azienda Zero.</w:t>
      </w:r>
      <w:r>
        <w:rPr>
          <w:rStyle w:val="FootnoteReference"/>
        </w:rPr>
        <w:footnoteReference w:id="2154"/>
      </w:r>
      <w:r>
        <w:t xml:space="preserve"> </w:t>
      </w:r>
      <w:r>
        <w:t xml:space="preserve">Questo disegno ha una doppia funzione: organizzativa, perché rende l’attivazione compatibile con i tempi del reclutamento e della formazione; e valutativa, perché la successione configura un esperimento naturale, fondamento della valutazione controfattuale della Parte L.</w:t>
      </w:r>
      <w:r>
        <w:rPr>
          <w:rStyle w:val="FootnoteReference"/>
        </w:rPr>
        <w:footnoteReference w:id="2155"/>
      </w:r>
      <w:r>
        <w:t xml:space="preserve"> </w:t>
      </w:r>
      <w:r>
        <w:t xml:space="preserve">Il reclutamento, a fronte di un fabbisogno a regime dell’ordine di 1.050 psicologi, avviene tramite elenco aziendale e rapporto convenzionale, valorizzando in prima applicazione l’esperienza maturata nelle sperimentazioni avviate dal 2014.</w:t>
      </w:r>
      <w:r>
        <w:rPr>
          <w:rStyle w:val="FootnoteReference"/>
        </w:rPr>
        <w:footnoteReference w:id="2156"/>
      </w:r>
      <w:r>
        <w:rPr>
          <w:rStyle w:val="FootnoteReference"/>
        </w:rPr>
        <w:footnoteReference w:id="2157"/>
      </w:r>
      <w:r>
        <w:t xml:space="preserve"> </w:t>
      </w:r>
      <w:r>
        <w:t xml:space="preserve">Tra i parametri che muterebbero le conclusioni figura un tasso di recupero inferiore al 50% nella fase di attuazione, che il monitoraggio è chiamato a verificare sui dati veneti.</w:t>
      </w:r>
      <w:r>
        <w:rPr>
          <w:rStyle w:val="FootnoteReference"/>
        </w:rPr>
        <w:footnoteReference w:id="2158"/>
      </w:r>
      <w:r>
        <w:t xml:space="preserve"> </w:t>
      </w:r>
      <w:r>
        <w:t xml:space="preserve">La tabella seguente descrive le fasi del dispiegamento.</w:t>
      </w:r>
    </w:p>
    <w:tbl>
      <w:tblPr>
        <w:tblStyle w:val="Table"/>
        <w:tblW w:type="pct" w:w="492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08"/>
        <w:gridCol w:w="569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 del dispiegamento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Fase 1 (primo semestre)</w:t>
            </w:r>
          </w:p>
        </w:tc>
        <w:tc>
          <w:tcPr/>
          <w:p>
            <w:pPr>
              <w:pStyle w:val="Compact"/>
              <w:spacing w:after="40" w:before="40"/>
              <w:jc w:val="left"/>
            </w:pPr>
            <w:r>
              <w:rPr>
                <w:rFonts w:ascii="Cambria" w:hAnsi="Cambria" w:cs="Cambria" w:eastAsia="Cambria"/>
                <w:color w:val="1A1A1A"/>
                <w:sz w:val="18"/>
              </w:rPr>
              <w:t xml:space="preserve">Avvio nelle Aziende ULSS di maggiore dimensione e prontezza; reclutamento e formazione iniziali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Fasi 2–9 (semestri successivi)</w:t>
            </w:r>
          </w:p>
        </w:tc>
        <w:tc>
          <w:tcPr>
            <w:shd w:val="clear" w:color="auto" w:fill="F4F1EC"/>
          </w:tcPr>
          <w:p>
            <w:pPr>
              <w:pStyle w:val="Compact"/>
              <w:spacing w:after="40" w:before="40"/>
              <w:jc w:val="left"/>
            </w:pPr>
            <w:r>
              <w:rPr>
                <w:rFonts w:ascii="Cambria" w:hAnsi="Cambria" w:cs="Cambria" w:eastAsia="Cambria"/>
                <w:color w:val="1A1A1A"/>
                <w:sz w:val="18"/>
              </w:rPr>
              <w:t xml:space="preserve">Estensione progressiva alle altre Aziende ULSS; attivazione scaglionata secondo l’ordine definito</w:t>
            </w:r>
          </w:p>
        </w:tc>
      </w:tr>
      <w:tr>
        <w:tc>
          <w:tcPr/>
          <w:p>
            <w:pPr>
              <w:pStyle w:val="Compact"/>
              <w:spacing w:after="40" w:before="40"/>
              <w:jc w:val="left"/>
            </w:pPr>
            <w:r>
              <w:rPr>
                <w:rFonts w:ascii="Cambria" w:hAnsi="Cambria" w:cs="Cambria" w:eastAsia="Cambria"/>
                <w:b/>
                <w:bCs/>
                <w:color w:val="1A1A1A"/>
                <w:sz w:val="18"/>
              </w:rPr>
              <w:t xml:space="preserve">Fase finale (completamento)</w:t>
            </w:r>
          </w:p>
        </w:tc>
        <w:tc>
          <w:tcPr/>
          <w:p>
            <w:pPr>
              <w:pStyle w:val="Compact"/>
              <w:spacing w:after="40" w:before="40"/>
              <w:jc w:val="left"/>
            </w:pPr>
            <w:r>
              <w:rPr>
                <w:rFonts w:ascii="Cambria" w:hAnsi="Cambria" w:cs="Cambria" w:eastAsia="Cambria"/>
                <w:color w:val="1A1A1A"/>
                <w:sz w:val="18"/>
              </w:rPr>
              <w:t xml:space="preserve">Copertura dell’intero territorio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 trasversale</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che proseguono oltre il completamento del dispiegamento</w:t>
            </w:r>
          </w:p>
        </w:tc>
      </w:tr>
    </w:tbl>
    <w:p>
      <w:pPr>
        <w:pStyle w:val="BodyText"/>
      </w:pPr>
      <w:r>
        <w:rPr>
          <w:i/>
          <w:iCs/>
        </w:rPr>
        <w:t xml:space="preserve">Tabella I.2. Le fasi del dispiegamento scaglionato del servizio tra le nove Aziende ULSS.</w:t>
      </w:r>
    </w:p>
    <w:bookmarkEnd w:id="4364"/>
    <w:bookmarkStart w:id="4365" w:name="Xea345be91d5b822441640ec884ab0e625c10dc9"/>
    <w:p>
      <w:pPr>
        <w:pStyle w:val="Heading3"/>
      </w:pPr>
      <w:r>
        <w:t xml:space="preserve">I.3 Il caso commerciale: il modello contrattuale e la tariffa</w:t>
      </w:r>
    </w:p>
    <w:p>
      <w:pPr>
        <w:pStyle w:val="FirstParagraph"/>
      </w:pPr>
      <w:r>
        <w:t xml:space="preserve">Il caso commerciale del Five Case Model verifica la fattibilità dell’assetto contrattuale. Esso poggia su un rapporto convenzionale ancorato all’accordo della specialistica ambulatoriale, da cui discende un costo medio per incarico dell’ordine di 55.000 euro l’anno e gli scenari di spesa già esposti nella Parte E.</w:t>
      </w:r>
      <w:r>
        <w:rPr>
          <w:rStyle w:val="FootnoteReference"/>
        </w:rPr>
        <w:footnoteReference w:id="2159"/>
      </w:r>
      <w:r>
        <w:t xml:space="preserve"> </w:t>
      </w:r>
      <w:r>
        <w:t xml:space="preserve">Il modello dell’elenco aziendale e del rapporto convenzionale è già adottato da altre Regioni e non richiede la creazione di nuove figure professionali, ma l’impiego di quelle esistenti entro una cornice organizzativa definita. È una soluzione collaudata, che riduce il rischio attuativo e che la regia centralizzata dell’Azienda Zero può rendere ancora più efficiente in fase di acquisizione.</w:t>
      </w:r>
    </w:p>
    <w:bookmarkEnd w:id="4365"/>
    <w:bookmarkStart w:id="4366" w:name="Xb9466158a0bbdfbea8989dee991fe8bde623195"/>
    <w:p>
      <w:pPr>
        <w:pStyle w:val="Heading3"/>
      </w:pPr>
      <w:r>
        <w:t xml:space="preserve">I.4 Il caso gestionale: la governance e i rischi</w:t>
      </w:r>
    </w:p>
    <w:p>
      <w:pPr>
        <w:pStyle w:val="FirstParagraph"/>
      </w:pPr>
      <w:r>
        <w:t xml:space="preserve">Il caso gestionale definisce la governance dell’attuazione, articolata su due livelli. A livello regionale, un comitato di indirizzo esercita le funzioni di indirizzo, programmazione, monitoraggio e controllo, riunendo la Regione, l’Azienda Zero, le Aziende ULSS, le Aziende Ospedaliere universitarie, l’Ordine degli Psicologi del Veneto, la medicina generale, la pediatria di libera scelta e le università di Padova e Verona; a livello aziendale, ciascuna Azienda ULSS è responsabile dell’attuazione nel proprio ambito, secondo la regia unitaria dell’Azienda Zero.</w:t>
      </w:r>
      <w:r>
        <w:rPr>
          <w:rStyle w:val="FootnoteReference"/>
        </w:rPr>
        <w:footnoteReference w:id="2160"/>
      </w:r>
      <w:r>
        <w:t xml:space="preserve"> </w:t>
      </w:r>
      <w:r>
        <w:t xml:space="preserve">L’attuazione è esposta a rischi che lo studio individua e a cui associa misure di mitigazione.</w:t>
      </w:r>
      <w:r>
        <w:rPr>
          <w:rStyle w:val="FootnoteReference"/>
        </w:rPr>
        <w:footnoteReference w:id="2161"/>
      </w:r>
      <w:r>
        <w:t xml:space="preserve"> </w:t>
      </w:r>
      <w:r>
        <w:t xml:space="preserve">La tabella seguente li riepiloga.</w:t>
      </w:r>
    </w:p>
    <w:tbl>
      <w:tblPr>
        <w:tblStyle w:val="Table"/>
        <w:tblW w:type="pct" w:w="493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80"/>
        <w:gridCol w:w="2030"/>
        <w:gridCol w:w="380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w:t>
            </w:r>
          </w:p>
        </w:tc>
        <w:tc>
          <w:tcPr>
            <w:shd w:val="clear" w:color="auto" w:fill="16264B"/>
          </w:tcPr>
          <w:p>
            <w:pPr>
              <w:pStyle w:val="Compact"/>
              <w:spacing w:after="40" w:before="40"/>
              <w:jc w:val="left"/>
            </w:pPr>
            <w:r>
              <w:rPr>
                <w:rFonts w:ascii="Cambria" w:hAnsi="Cambria" w:cs="Cambria" w:eastAsia="Cambria"/>
                <w:b/>
                <w:bCs/>
                <w:color w:val="FFFFFF"/>
                <w:sz w:val="18"/>
              </w:rPr>
              <w:t xml:space="preserve">Misura di mitigazione</w:t>
            </w:r>
          </w:p>
        </w:tc>
      </w:tr>
      <w:tr>
        <w:tc>
          <w:tcPr/>
          <w:p>
            <w:pPr>
              <w:pStyle w:val="Compact"/>
              <w:spacing w:after="40" w:before="40"/>
              <w:jc w:val="left"/>
            </w:pPr>
            <w:r>
              <w:rPr>
                <w:rFonts w:ascii="Cambria" w:hAnsi="Cambria" w:cs="Cambria" w:eastAsia="Cambria"/>
                <w:b/>
                <w:bCs/>
                <w:color w:val="1A1A1A"/>
                <w:sz w:val="18"/>
              </w:rPr>
              <w:t xml:space="preserve">Reclutamento insufficiente</w:t>
            </w:r>
          </w:p>
        </w:tc>
        <w:tc>
          <w:tcPr/>
          <w:p>
            <w:pPr>
              <w:pStyle w:val="Compact"/>
              <w:spacing w:after="40" w:before="40"/>
              <w:jc w:val="left"/>
            </w:pPr>
            <w:r>
              <w:rPr>
                <w:rFonts w:ascii="Cambria" w:hAnsi="Cambria" w:cs="Cambria" w:eastAsia="Cambria"/>
                <w:color w:val="1A1A1A"/>
                <w:sz w:val="18"/>
              </w:rPr>
              <w:t xml:space="preserve">Carenza di psicologi formati</w:t>
            </w:r>
          </w:p>
        </w:tc>
        <w:tc>
          <w:tcPr/>
          <w:p>
            <w:pPr>
              <w:pStyle w:val="Compact"/>
              <w:spacing w:after="40" w:before="40"/>
              <w:jc w:val="left"/>
            </w:pPr>
            <w:r>
              <w:rPr>
                <w:rFonts w:ascii="Cambria" w:hAnsi="Cambria" w:cs="Cambria" w:eastAsia="Cambria"/>
                <w:color w:val="1A1A1A"/>
                <w:sz w:val="18"/>
              </w:rPr>
              <w:t xml:space="preserve">Dispiegamento graduale; formazione anticipata e scaglionata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Adesione della medicina generale</w:t>
            </w:r>
          </w:p>
        </w:tc>
        <w:tc>
          <w:tcPr>
            <w:shd w:val="clear" w:color="auto" w:fill="F4F1EC"/>
          </w:tcPr>
          <w:p>
            <w:pPr>
              <w:pStyle w:val="Compact"/>
              <w:spacing w:after="40" w:before="40"/>
              <w:jc w:val="left"/>
            </w:pPr>
            <w:r>
              <w:rPr>
                <w:rFonts w:ascii="Cambria" w:hAnsi="Cambria" w:cs="Cambria" w:eastAsia="Cambria"/>
                <w:color w:val="1A1A1A"/>
                <w:sz w:val="18"/>
              </w:rPr>
              <w:t xml:space="preserve">Integrazione debole nel percorso</w:t>
            </w:r>
          </w:p>
        </w:tc>
        <w:tc>
          <w:tcPr>
            <w:shd w:val="clear" w:color="auto" w:fill="F4F1EC"/>
          </w:tcPr>
          <w:p>
            <w:pPr>
              <w:pStyle w:val="Compact"/>
              <w:spacing w:after="40" w:before="40"/>
              <w:jc w:val="left"/>
            </w:pPr>
            <w:r>
              <w:rPr>
                <w:rFonts w:ascii="Cambria" w:hAnsi="Cambria" w:cs="Cambria" w:eastAsia="Cambria"/>
                <w:color w:val="1A1A1A"/>
                <w:sz w:val="18"/>
              </w:rPr>
              <w:t xml:space="preserve">Protocolli di invio; formazione congiunta; governance condivisa</w:t>
            </w:r>
          </w:p>
        </w:tc>
      </w:tr>
      <w:tr>
        <w:tc>
          <w:tcPr/>
          <w:p>
            <w:pPr>
              <w:pStyle w:val="Compact"/>
              <w:spacing w:after="40" w:before="40"/>
              <w:jc w:val="left"/>
            </w:pPr>
            <w:r>
              <w:rPr>
                <w:rFonts w:ascii="Cambria" w:hAnsi="Cambria" w:cs="Cambria" w:eastAsia="Cambria"/>
                <w:b/>
                <w:bCs/>
                <w:color w:val="1A1A1A"/>
                <w:sz w:val="18"/>
              </w:rPr>
              <w:t xml:space="preserve">Sistemi informativi</w:t>
            </w:r>
          </w:p>
        </w:tc>
        <w:tc>
          <w:tcPr/>
          <w:p>
            <w:pPr>
              <w:pStyle w:val="Compact"/>
              <w:spacing w:after="40" w:before="40"/>
              <w:jc w:val="left"/>
            </w:pPr>
            <w:r>
              <w:rPr>
                <w:rFonts w:ascii="Cambria" w:hAnsi="Cambria" w:cs="Cambria" w:eastAsia="Cambria"/>
                <w:color w:val="1A1A1A"/>
                <w:sz w:val="18"/>
              </w:rPr>
              <w:t xml:space="preserve">Interoperabilità incompleta</w:t>
            </w:r>
          </w:p>
        </w:tc>
        <w:tc>
          <w:tcPr/>
          <w:p>
            <w:pPr>
              <w:pStyle w:val="Compact"/>
              <w:spacing w:after="40" w:before="40"/>
              <w:jc w:val="left"/>
            </w:pPr>
            <w:r>
              <w:rPr>
                <w:rFonts w:ascii="Cambria" w:hAnsi="Cambria" w:cs="Cambria" w:eastAsia="Cambria"/>
                <w:color w:val="1A1A1A"/>
                <w:sz w:val="18"/>
              </w:rPr>
              <w:t xml:space="preserve">Cartella interoperabile; standard nazionali; raccordo con l’Azienda Zero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Disomogeneità territoriale</w:t>
            </w:r>
          </w:p>
        </w:tc>
        <w:tc>
          <w:tcPr>
            <w:shd w:val="clear" w:color="auto" w:fill="F4F1EC"/>
          </w:tcPr>
          <w:p>
            <w:pPr>
              <w:pStyle w:val="Compact"/>
              <w:spacing w:after="40" w:before="40"/>
              <w:jc w:val="left"/>
            </w:pPr>
            <w:r>
              <w:rPr>
                <w:rFonts w:ascii="Cambria" w:hAnsi="Cambria" w:cs="Cambria" w:eastAsia="Cambria"/>
                <w:color w:val="1A1A1A"/>
                <w:sz w:val="18"/>
              </w:rPr>
              <w:t xml:space="preserve">Attuazione diseguale tra Aziende ULSS</w:t>
            </w:r>
          </w:p>
        </w:tc>
        <w:tc>
          <w:tcPr>
            <w:shd w:val="clear" w:color="auto" w:fill="F4F1EC"/>
          </w:tcPr>
          <w:p>
            <w:pPr>
              <w:pStyle w:val="Compact"/>
              <w:spacing w:after="40" w:before="40"/>
              <w:jc w:val="left"/>
            </w:pPr>
            <w:r>
              <w:rPr>
                <w:rFonts w:ascii="Cambria" w:hAnsi="Cambria" w:cs="Cambria" w:eastAsia="Cambria"/>
                <w:color w:val="1A1A1A"/>
                <w:sz w:val="18"/>
              </w:rPr>
              <w:t xml:space="preserve">Algoritmo allocativo; indirizzo regionale; monitoraggio per area</w:t>
            </w:r>
          </w:p>
        </w:tc>
      </w:tr>
      <w:tr>
        <w:tc>
          <w:tcPr/>
          <w:p>
            <w:pPr>
              <w:pStyle w:val="Compact"/>
              <w:spacing w:after="40" w:before="40"/>
              <w:jc w:val="left"/>
            </w:pPr>
            <w:r>
              <w:rPr>
                <w:rFonts w:ascii="Cambria" w:hAnsi="Cambria" w:cs="Cambria" w:eastAsia="Cambria"/>
                <w:b/>
                <w:bCs/>
                <w:color w:val="1A1A1A"/>
                <w:sz w:val="18"/>
              </w:rPr>
              <w:t xml:space="preserve">Venir meno delle coperture</w:t>
            </w:r>
          </w:p>
        </w:tc>
        <w:tc>
          <w:tcPr/>
          <w:p>
            <w:pPr>
              <w:pStyle w:val="Compact"/>
              <w:spacing w:after="40" w:before="40"/>
              <w:jc w:val="left"/>
            </w:pPr>
            <w:r>
              <w:rPr>
                <w:rFonts w:ascii="Cambria" w:hAnsi="Cambria" w:cs="Cambria" w:eastAsia="Cambria"/>
                <w:color w:val="1A1A1A"/>
                <w:sz w:val="18"/>
              </w:rPr>
              <w:t xml:space="preserve">Fragilità finanziaria</w:t>
            </w:r>
          </w:p>
        </w:tc>
        <w:tc>
          <w:tcPr/>
          <w:p>
            <w:pPr>
              <w:pStyle w:val="Compact"/>
              <w:spacing w:after="40" w:before="40"/>
              <w:jc w:val="left"/>
            </w:pPr>
            <w:r>
              <w:rPr>
                <w:rFonts w:ascii="Cambria" w:hAnsi="Cambria" w:cs="Cambria" w:eastAsia="Cambria"/>
                <w:color w:val="1A1A1A"/>
                <w:sz w:val="18"/>
              </w:rPr>
              <w:t xml:space="preserve">Istituzionalizzazione; copertura ordinaria su bilancio in equilibrio</w:t>
            </w:r>
          </w:p>
        </w:tc>
      </w:tr>
    </w:tbl>
    <w:p>
      <w:pPr>
        <w:pStyle w:val="BodyText"/>
      </w:pPr>
      <w:r>
        <w:rPr>
          <w:i/>
          <w:iCs/>
        </w:rPr>
        <w:t xml:space="preserve">Tabella I.3. I rischi attuativi e le relative misure di mitigazione.</w:t>
      </w:r>
    </w:p>
    <w:bookmarkEnd w:id="4366"/>
    <w:bookmarkStart w:id="1415" w:name="Xaae3f41054f619b079cb7095df734d21ab5f2e4"/>
    <w:p>
      <w:pPr>
        <w:pStyle w:val="Heading3"/>
      </w:pPr>
      <w:r>
        <w:t xml:space="preserve">I.5 La sostenibilità finanziaria e le coperture</w:t>
      </w:r>
    </w:p>
    <w:p>
      <w:pPr>
        <w:pStyle w:val="FirstParagraph"/>
      </w:pPr>
      <w:r>
        <w:t xml:space="preserve">La sostenibilità finanziaria è, nel Veneto, particolarmente solida. Le fonti di copertura comprendono il finanziamento ordinario del Servizio sanitario regionale, la Missione 6 del Piano Nazionale di Ripresa e Resilienza e un eventuale fondo statale a sostegno dei livelli essenziali.</w:t>
      </w:r>
      <w:r>
        <w:rPr>
          <w:rStyle w:val="FootnoteReference"/>
        </w:rPr>
        <w:footnoteReference w:id="2162"/>
      </w:r>
      <w:r>
        <w:t xml:space="preserve"> </w:t>
      </w:r>
      <w:r>
        <w:t xml:space="preserve">A differenza delle regioni in difficoltà, il Veneto dispone di un finanziamento dell’ordine di 11 miliardi di euro con conti in equilibrio e non è in piano di rientro; il costo del servizio, anche a massima copertura, ne costituisce una frazione dell’ordine di mezzo punto percentuale, agevolmente assorbibile.</w:t>
      </w:r>
      <w:r>
        <w:rPr>
          <w:rStyle w:val="FootnoteReference"/>
        </w:rPr>
        <w:footnoteReference w:id="2163"/>
      </w:r>
      <w:r>
        <w:t xml:space="preserve"> </w:t>
      </w:r>
      <w:r>
        <w:t xml:space="preserve">La sostenibilità nel tempo è garantita dalla modestia del costo, dal forte ritorno sociale e dall’istituzionalizzazione del servizio, già oggetto di impegno politico formale.</w:t>
      </w:r>
      <w:r>
        <w:rPr>
          <w:rStyle w:val="FootnoteReference"/>
        </w:rPr>
        <w:footnoteReference w:id="2164"/>
      </w:r>
      <w:r>
        <w:t xml:space="preserve"> </w:t>
      </w:r>
      <w:r>
        <w:t xml:space="preserve">Resta ferma la cautela metodologica che attraversa lo studio: i dati italiani disponibili sono in parte di letteratura grigia, e la verifica empirica sui dati veneti, prevista dalla Parte L, è chiamata a sostituire progressivamente le stime con misure osservate.</w:t>
      </w:r>
      <w:r>
        <w:rPr>
          <w:rStyle w:val="FootnoteReference"/>
        </w:rPr>
        <w:footnoteReference w:id="2165"/>
      </w:r>
      <w:r>
        <w:t xml:space="preserve"> </w:t>
      </w:r>
      <w:r>
        <w:t xml:space="preserve">Definite l’attuazione e la sostenibilità, la parte che segue ne organizza il monitoraggio e la valutazione ex post.</w:t>
      </w:r>
    </w:p>
    <w:bookmarkEnd w:id="1415"/>
    <w:bookmarkEnd w:id="1416"/>
    <w:bookmarkStart w:id="1441" w:name="Xe9da81ccd4380c5d3a48d722efb82bad8988d88"/>
    <w:p>
      <w:pPr>
        <w:pStyle w:val="Heading2"/>
      </w:pPr>
      <w:r>
        <w:t xml:space="preserve">Parte L — Monitoraggio e valutazione ex post</w:t>
      </w:r>
    </w:p>
    <w:p>
      <w:pPr>
        <w:pStyle w:val="FirstParagraph"/>
      </w:pPr>
      <w:r>
        <w:t xml:space="preserve">Le stime delle parti precedenti sono proiezioni: per trasformarle in prove occorre misurare l’intervento nel tempo. Questa parte organizza tale misurazione: il sistema di indicatori (capitolo L.1), il protocollo di rilevazione e la costituzione della baseline (L.2), la valutazione controfattuale d’impatto (L.3), la verifica ex post della norma (L.4) e gli indicatori compositi con il cruscotto regionale (L.5). Il disegno scaglionato del dispiegamento sulle nove Aziende ULSS, descritto nella Parte I, è qui la risorsa decisiva, poiché trasforma l’attuazione graduale in un esperimento naturale che consente di misurare l’effetto causale della riforma sui dati veneti.</w:t>
      </w:r>
    </w:p>
    <w:bookmarkStart w:id="4367" w:name="l.1-il-sistema-di-indicatori-2"/>
    <w:p>
      <w:pPr>
        <w:pStyle w:val="Heading3"/>
      </w:pPr>
      <w:r>
        <w:t xml:space="preserve">L.1 Il sistema di indicatori</w:t>
      </w:r>
    </w:p>
    <w:p>
      <w:pPr>
        <w:pStyle w:val="FirstParagraph"/>
      </w:pPr>
      <w:r>
        <w:t xml:space="preserve">La misurazione poggia su un sistema strutturato di indicatori, costruito secondo il modello classico della qualità dell’assistenza, che distingue struttura, processo ed esito, qui integrato dalla dimensione dell’impatto.</w:t>
      </w:r>
      <w:r>
        <w:rPr>
          <w:rStyle w:val="FootnoteReference"/>
        </w:rPr>
        <w:footnoteReference w:id="2166"/>
      </w:r>
      <w:r>
        <w:rPr>
          <w:rStyle w:val="FootnoteReference"/>
        </w:rPr>
        <w:footnoteReference w:id="2167"/>
      </w:r>
      <w:r>
        <w:t xml:space="preserve"> </w:t>
      </w:r>
      <w:r>
        <w:t xml:space="preserve">La batteria comprende circa cinquantotto misure articolate in otto categorie, delle quali una parte è già ricavabile dalle statistiche correnti e circa quaranta richiedono la rilevazione diretta del servizio.</w:t>
      </w:r>
      <w:r>
        <w:rPr>
          <w:rStyle w:val="FootnoteReference"/>
        </w:rPr>
        <w:footnoteReference w:id="2168"/>
      </w:r>
      <w:r>
        <w:t xml:space="preserve"> </w:t>
      </w:r>
      <w:r>
        <w:t xml:space="preserve">La selezione degli esiti segue i criteri del consenso strutturato, per evitare la proliferazione di misure ridondanti.</w:t>
      </w:r>
      <w:r>
        <w:rPr>
          <w:rStyle w:val="FootnoteReference"/>
        </w:rPr>
        <w:footnoteReference w:id="2169"/>
      </w:r>
      <w:r>
        <w:t xml:space="preserve"> </w:t>
      </w:r>
      <w:r>
        <w:t xml:space="preserve">Tra le misure di equità figurano i divari tra le Aziende ULSS.</w:t>
      </w:r>
      <w:r>
        <w:rPr>
          <w:rStyle w:val="FootnoteReference"/>
        </w:rPr>
        <w:footnoteReference w:id="2170"/>
      </w:r>
      <w:r>
        <w:t xml:space="preserve"> </w:t>
      </w:r>
      <w:r>
        <w:t xml:space="preserve">La tabella seguente riepiloga le categorie e lo stato della baseline.</w:t>
      </w:r>
    </w:p>
    <w:tbl>
      <w:tblPr>
        <w:tblStyle w:val="Table"/>
        <w:tblW w:type="pct" w:w="491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43"/>
        <w:gridCol w:w="4301"/>
        <w:gridCol w:w="16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Esempi di indicatori</w:t>
            </w:r>
          </w:p>
        </w:tc>
        <w:tc>
          <w:tcPr>
            <w:shd w:val="clear" w:color="auto" w:fill="16264B"/>
          </w:tcPr>
          <w:p>
            <w:pPr>
              <w:pStyle w:val="Compact"/>
              <w:spacing w:after="40" w:before="40"/>
              <w:jc w:val="left"/>
            </w:pPr>
            <w:r>
              <w:rPr>
                <w:rFonts w:ascii="Cambria" w:hAnsi="Cambria" w:cs="Cambria" w:eastAsia="Cambria"/>
                <w:b/>
                <w:bCs/>
                <w:color w:val="FFFFFF"/>
                <w:sz w:val="18"/>
              </w:rPr>
              <w:t xml:space="preserve">Baseline</w:t>
            </w:r>
          </w:p>
        </w:tc>
      </w:tr>
      <w:tr>
        <w:tc>
          <w:tcPr/>
          <w:p>
            <w:pPr>
              <w:pStyle w:val="Compact"/>
              <w:spacing w:after="40" w:before="40"/>
              <w:jc w:val="left"/>
            </w:pPr>
            <w:r>
              <w:rPr>
                <w:rFonts w:ascii="Cambria" w:hAnsi="Cambria" w:cs="Cambria" w:eastAsia="Cambria"/>
                <w:b/>
                <w:bCs/>
                <w:color w:val="1A1A1A"/>
                <w:sz w:val="18"/>
              </w:rPr>
              <w:t xml:space="preserve">Bisogno e domanda</w:t>
            </w:r>
          </w:p>
        </w:tc>
        <w:tc>
          <w:tcPr/>
          <w:p>
            <w:pPr>
              <w:pStyle w:val="Compact"/>
              <w:spacing w:after="40" w:before="40"/>
              <w:jc w:val="left"/>
            </w:pPr>
            <w:r>
              <w:rPr>
                <w:rFonts w:ascii="Cambria" w:hAnsi="Cambria" w:cs="Cambria" w:eastAsia="Cambria"/>
                <w:color w:val="1A1A1A"/>
                <w:sz w:val="18"/>
              </w:rPr>
              <w:t xml:space="preserve">Prevalenza del disagio, utenza dei servizi, accessi impropri</w:t>
            </w:r>
          </w:p>
        </w:tc>
        <w:tc>
          <w:tcPr/>
          <w:p>
            <w:pPr>
              <w:pStyle w:val="Compact"/>
              <w:spacing w:after="40" w:before="40"/>
              <w:jc w:val="left"/>
            </w:pPr>
            <w:r>
              <w:rPr>
                <w:rFonts w:ascii="Cambria" w:hAnsi="Cambria" w:cs="Cambria" w:eastAsia="Cambria"/>
                <w:color w:val="1A1A1A"/>
                <w:sz w:val="18"/>
              </w:rPr>
              <w:t xml:space="preserve">Disponibile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Accesso ed equità</w:t>
            </w:r>
          </w:p>
        </w:tc>
        <w:tc>
          <w:tcPr>
            <w:shd w:val="clear" w:color="auto" w:fill="F4F1EC"/>
          </w:tcPr>
          <w:p>
            <w:pPr>
              <w:pStyle w:val="Compact"/>
              <w:spacing w:after="40" w:before="40"/>
              <w:jc w:val="left"/>
            </w:pPr>
            <w:r>
              <w:rPr>
                <w:rFonts w:ascii="Cambria" w:hAnsi="Cambria" w:cs="Cambria" w:eastAsia="Cambria"/>
                <w:color w:val="1A1A1A"/>
                <w:sz w:val="18"/>
              </w:rPr>
              <w:t xml:space="preserve">Tempo di attesa, copertura, divari tra Aziende ULSS</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Processo</w:t>
            </w:r>
          </w:p>
        </w:tc>
        <w:tc>
          <w:tcPr/>
          <w:p>
            <w:pPr>
              <w:pStyle w:val="Compact"/>
              <w:spacing w:after="40" w:before="40"/>
              <w:jc w:val="left"/>
            </w:pPr>
            <w:r>
              <w:rPr>
                <w:rFonts w:ascii="Cambria" w:hAnsi="Cambria" w:cs="Cambria" w:eastAsia="Cambria"/>
                <w:color w:val="1A1A1A"/>
                <w:sz w:val="18"/>
              </w:rPr>
              <w:t xml:space="preserve">Sedute erogate, cicli completati, abbandoni</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clinico</w:t>
            </w:r>
          </w:p>
        </w:tc>
        <w:tc>
          <w:tcPr>
            <w:shd w:val="clear" w:color="auto" w:fill="F4F1EC"/>
          </w:tcPr>
          <w:p>
            <w:pPr>
              <w:pStyle w:val="Compact"/>
              <w:spacing w:after="40" w:before="40"/>
              <w:jc w:val="left"/>
            </w:pPr>
            <w:r>
              <w:rPr>
                <w:rFonts w:ascii="Cambria" w:hAnsi="Cambria" w:cs="Cambria" w:eastAsia="Cambria"/>
                <w:color w:val="1A1A1A"/>
                <w:sz w:val="18"/>
              </w:rPr>
              <w:t xml:space="preserve">Recupero, miglioramento affidabile, mantenimento</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Economici</w:t>
            </w:r>
          </w:p>
        </w:tc>
        <w:tc>
          <w:tcPr/>
          <w:p>
            <w:pPr>
              <w:pStyle w:val="Compact"/>
              <w:spacing w:after="40" w:before="40"/>
              <w:jc w:val="left"/>
            </w:pPr>
            <w:r>
              <w:rPr>
                <w:rFonts w:ascii="Cambria" w:hAnsi="Cambria" w:cs="Cambria" w:eastAsia="Cambria"/>
                <w:color w:val="1A1A1A"/>
                <w:sz w:val="18"/>
              </w:rPr>
              <w:t xml:space="preserve">Risparmi per canale, costo per esito</w:t>
            </w:r>
          </w:p>
        </w:tc>
        <w:tc>
          <w:tcPr/>
          <w:p>
            <w:pPr>
              <w:pStyle w:val="Compact"/>
              <w:spacing w:after="40" w:before="40"/>
              <w:jc w:val="left"/>
            </w:pPr>
            <w:r>
              <w:rPr>
                <w:rFonts w:ascii="Cambria" w:hAnsi="Cambria" w:cs="Cambria" w:eastAsia="Cambria"/>
                <w:color w:val="1A1A1A"/>
                <w:sz w:val="18"/>
              </w:rPr>
              <w:t xml:space="preserve">Misto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sociale</w:t>
            </w:r>
          </w:p>
        </w:tc>
        <w:tc>
          <w:tcPr>
            <w:shd w:val="clear" w:color="auto" w:fill="F4F1EC"/>
          </w:tcPr>
          <w:p>
            <w:pPr>
              <w:pStyle w:val="Compact"/>
              <w:spacing w:after="40" w:before="40"/>
              <w:jc w:val="left"/>
            </w:pPr>
            <w:r>
              <w:rPr>
                <w:rFonts w:ascii="Cambria" w:hAnsi="Cambria" w:cs="Cambria" w:eastAsia="Cambria"/>
                <w:color w:val="1A1A1A"/>
                <w:sz w:val="18"/>
              </w:rPr>
              <w:t xml:space="preserve">Produttività, benessere, indicatori territoriali</w:t>
            </w:r>
          </w:p>
        </w:tc>
        <w:tc>
          <w:tcPr>
            <w:shd w:val="clear" w:color="auto" w:fill="F4F1EC"/>
          </w:tcPr>
          <w:p>
            <w:pPr>
              <w:pStyle w:val="Compact"/>
              <w:spacing w:after="40" w:before="40"/>
              <w:jc w:val="left"/>
            </w:pPr>
            <w:r>
              <w:rPr>
                <w:rFonts w:ascii="Cambria" w:hAnsi="Cambria" w:cs="Cambria" w:eastAsia="Cambria"/>
                <w:color w:val="1A1A1A"/>
                <w:sz w:val="18"/>
              </w:rPr>
              <w:t xml:space="preserve">Misto</w:t>
            </w:r>
          </w:p>
        </w:tc>
      </w:tr>
      <w:tr>
        <w:tc>
          <w:tcPr/>
          <w:p>
            <w:pPr>
              <w:pStyle w:val="Compact"/>
              <w:spacing w:after="40" w:before="40"/>
              <w:jc w:val="left"/>
            </w:pPr>
            <w:r>
              <w:rPr>
                <w:rFonts w:ascii="Cambria" w:hAnsi="Cambria" w:cs="Cambria" w:eastAsia="Cambria"/>
                <w:b/>
                <w:bCs/>
                <w:color w:val="1A1A1A"/>
                <w:sz w:val="18"/>
              </w:rPr>
              <w:t xml:space="preserve">Organizzativi</w:t>
            </w:r>
          </w:p>
        </w:tc>
        <w:tc>
          <w:tcPr/>
          <w:p>
            <w:pPr>
              <w:pStyle w:val="Compact"/>
              <w:spacing w:after="40" w:before="40"/>
              <w:jc w:val="left"/>
            </w:pPr>
            <w:r>
              <w:rPr>
                <w:rFonts w:ascii="Cambria" w:hAnsi="Cambria" w:cs="Cambria" w:eastAsia="Cambria"/>
                <w:color w:val="1A1A1A"/>
                <w:sz w:val="18"/>
              </w:rPr>
              <w:t xml:space="preserve">Reclutamento, formazione, fedeltà al modello</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Variabili di sintesi</w:t>
            </w:r>
          </w:p>
        </w:tc>
        <w:tc>
          <w:tcPr>
            <w:shd w:val="clear" w:color="auto" w:fill="F4F1EC"/>
          </w:tcPr>
          <w:p>
            <w:pPr>
              <w:pStyle w:val="Compact"/>
              <w:spacing w:after="40" w:before="40"/>
              <w:jc w:val="left"/>
            </w:pPr>
            <w:r>
              <w:rPr>
                <w:rFonts w:ascii="Cambria" w:hAnsi="Cambria" w:cs="Cambria" w:eastAsia="Cambria"/>
                <w:color w:val="1A1A1A"/>
                <w:sz w:val="18"/>
              </w:rPr>
              <w:t xml:space="preserve">Indici compositi di esito e di valore</w:t>
            </w:r>
          </w:p>
        </w:tc>
        <w:tc>
          <w:tcPr>
            <w:shd w:val="clear" w:color="auto" w:fill="F4F1EC"/>
          </w:tcPr>
          <w:p>
            <w:pPr>
              <w:pStyle w:val="Compact"/>
              <w:spacing w:after="40" w:before="40"/>
              <w:jc w:val="left"/>
            </w:pPr>
            <w:r>
              <w:rPr>
                <w:rFonts w:ascii="Cambria" w:hAnsi="Cambria" w:cs="Cambria" w:eastAsia="Cambria"/>
                <w:color w:val="1A1A1A"/>
                <w:sz w:val="18"/>
              </w:rPr>
              <w:t xml:space="preserve">Da calcolare</w:t>
            </w:r>
          </w:p>
        </w:tc>
      </w:tr>
    </w:tbl>
    <w:p>
      <w:pPr>
        <w:pStyle w:val="BodyText"/>
      </w:pPr>
      <w:r>
        <w:rPr>
          <w:i/>
          <w:iCs/>
        </w:rPr>
        <w:t xml:space="preserve">Tabella L.1. Le otto categorie di indicatori e lo stato della baseline. Circa quaranta indicatori richiedono la rilevazione diretta del servizio.</w:t>
      </w:r>
    </w:p>
    <w:bookmarkEnd w:id="4367"/>
    <w:bookmarkStart w:id="1428" w:name="X0d6e298f37703109df19a3c7681b2efaffc86ef"/>
    <w:p>
      <w:pPr>
        <w:pStyle w:val="Heading3"/>
      </w:pPr>
      <w:r>
        <w:t xml:space="preserve">L.2 Il protocollo di rilevazione e la baseline</w:t>
      </w:r>
    </w:p>
    <w:p>
      <w:pPr>
        <w:pStyle w:val="FirstParagraph"/>
      </w:pPr>
      <w:r>
        <w:t xml:space="preserve">La rilevazione si fonda su un protocollo minimo, attivo dal primo giorno, che registra la presa in carico, ogni seduta, i punteggi di esito raccolti a ogni incontro, gli invii e le restituzioni, deliberatamente essenziale per non gravare sull’attività clinica.</w:t>
      </w:r>
      <w:r>
        <w:rPr>
          <w:rStyle w:val="FootnoteReference"/>
        </w:rPr>
        <w:footnoteReference w:id="2171"/>
      </w:r>
      <w:r>
        <w:t xml:space="preserve"> </w:t>
      </w:r>
      <w:r>
        <w:t xml:space="preserve">Gli strumenti di esito sono i questionari validati, impiegati nei soli punteggi complessivi.</w:t>
      </w:r>
      <w:r>
        <w:rPr>
          <w:rStyle w:val="FootnoteReference"/>
        </w:rPr>
        <w:footnoteReference w:id="2172"/>
      </w:r>
      <w:r>
        <w:t xml:space="preserve"> </w:t>
      </w:r>
      <w:r>
        <w:t xml:space="preserve">La raccolta a ogni seduta, e non solo all’inizio e alla fine, consente di calcolare il tasso di recupero e di non protrarre percorsi inefficaci.</w:t>
      </w:r>
      <w:r>
        <w:rPr>
          <w:rStyle w:val="FootnoteReference"/>
        </w:rPr>
        <w:footnoteReference w:id="2173"/>
      </w:r>
      <w:r>
        <w:t xml:space="preserve"> </w:t>
      </w:r>
      <w:r>
        <w:t xml:space="preserve">La baseline si costituisce su due binari: gli indicatori già disponibili dalle statistiche correnti vanno registrati subito, mentre la rilevazione di servizio parte con il primo assistito; ogni mese di ritardo nell’avvio è un mese di dati di base perduti.</w:t>
      </w:r>
      <w:r>
        <w:rPr>
          <w:rStyle w:val="FootnoteReference"/>
        </w:rPr>
        <w:footnoteReference w:id="2174"/>
      </w:r>
      <w:r>
        <w:t xml:space="preserve"> </w:t>
      </w:r>
      <w:r>
        <w:t xml:space="preserve">Il calendario della rilevazione scandisce le fasi, dal momento precedente l’avvio alla trasmissione periodica degli indicatori al comitato di indirizzo regionale.</w:t>
      </w:r>
      <w:r>
        <w:rPr>
          <w:rStyle w:val="FootnoteReference"/>
        </w:rPr>
        <w:footnoteReference w:id="2175"/>
      </w:r>
      <w:r>
        <w:t xml:space="preserve"> </w:t>
      </w:r>
      <w:r>
        <w:t xml:space="preserve">La tabella seguente lo riporta.</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94"/>
        <w:gridCol w:w="592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Momento</w:t>
            </w:r>
          </w:p>
        </w:tc>
        <w:tc>
          <w:tcPr>
            <w:shd w:val="clear" w:color="auto" w:fill="16264B"/>
          </w:tcPr>
          <w:p>
            <w:pPr>
              <w:pStyle w:val="Compact"/>
              <w:spacing w:after="40" w:before="40"/>
              <w:jc w:val="left"/>
            </w:pPr>
            <w:r>
              <w:rPr>
                <w:rFonts w:ascii="Cambria" w:hAnsi="Cambria" w:cs="Cambria" w:eastAsia="Cambria"/>
                <w:b/>
                <w:bCs/>
                <w:color w:val="FFFFFF"/>
                <w:sz w:val="18"/>
              </w:rPr>
              <w:t xml:space="preserve">Attività</w:t>
            </w:r>
          </w:p>
        </w:tc>
      </w:tr>
      <w:tr>
        <w:tc>
          <w:tcPr/>
          <w:p>
            <w:pPr>
              <w:pStyle w:val="Compact"/>
              <w:spacing w:after="40" w:before="40"/>
              <w:jc w:val="left"/>
            </w:pPr>
            <w:r>
              <w:rPr>
                <w:rFonts w:ascii="Cambria" w:hAnsi="Cambria" w:cs="Cambria" w:eastAsia="Cambria"/>
                <w:b/>
                <w:bCs/>
                <w:color w:val="1A1A1A"/>
                <w:sz w:val="18"/>
              </w:rPr>
              <w:t xml:space="preserve">Prima dell’avvio (per area)</w:t>
            </w:r>
          </w:p>
        </w:tc>
        <w:tc>
          <w:tcPr/>
          <w:p>
            <w:pPr>
              <w:pStyle w:val="Compact"/>
              <w:spacing w:after="40" w:before="40"/>
              <w:jc w:val="left"/>
            </w:pPr>
            <w:r>
              <w:rPr>
                <w:rFonts w:ascii="Cambria" w:hAnsi="Cambria" w:cs="Cambria" w:eastAsia="Cambria"/>
                <w:color w:val="1A1A1A"/>
                <w:sz w:val="18"/>
              </w:rPr>
              <w:t xml:space="preserve">Costituzione della baseline con i dati disponibili; predisposizione del registro e dei questionari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All’avvio</w:t>
            </w:r>
          </w:p>
        </w:tc>
        <w:tc>
          <w:tcPr>
            <w:shd w:val="clear" w:color="auto" w:fill="F4F1EC"/>
          </w:tcPr>
          <w:p>
            <w:pPr>
              <w:pStyle w:val="Compact"/>
              <w:spacing w:after="40" w:before="40"/>
              <w:jc w:val="left"/>
            </w:pPr>
            <w:r>
              <w:rPr>
                <w:rFonts w:ascii="Cambria" w:hAnsi="Cambria" w:cs="Cambria" w:eastAsia="Cambria"/>
                <w:color w:val="1A1A1A"/>
                <w:sz w:val="18"/>
              </w:rPr>
              <w:t xml:space="preserve">Inizio della registrazione di ogni presa in carico e di ogni seduta, con i punteggi di esito</w:t>
            </w:r>
          </w:p>
        </w:tc>
      </w:tr>
      <w:tr>
        <w:tc>
          <w:tcPr/>
          <w:p>
            <w:pPr>
              <w:pStyle w:val="Compact"/>
              <w:spacing w:after="40" w:before="40"/>
              <w:jc w:val="left"/>
            </w:pPr>
            <w:r>
              <w:rPr>
                <w:rFonts w:ascii="Cambria" w:hAnsi="Cambria" w:cs="Cambria" w:eastAsia="Cambria"/>
                <w:b/>
                <w:bCs/>
                <w:color w:val="1A1A1A"/>
                <w:sz w:val="18"/>
              </w:rPr>
              <w:t xml:space="preserve">In continuo</w:t>
            </w:r>
          </w:p>
        </w:tc>
        <w:tc>
          <w:tcPr/>
          <w:p>
            <w:pPr>
              <w:pStyle w:val="Compact"/>
              <w:spacing w:after="40" w:before="40"/>
              <w:jc w:val="left"/>
            </w:pPr>
            <w:r>
              <w:rPr>
                <w:rFonts w:ascii="Cambria" w:hAnsi="Cambria" w:cs="Cambria" w:eastAsia="Cambria"/>
                <w:color w:val="1A1A1A"/>
                <w:sz w:val="18"/>
              </w:rPr>
              <w:t xml:space="preserve">Alimentazione del registro; trasmissione di indicatori aggregati al comitato di indirizzo regionale con cadenza mensile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Periodico (semestrale e annuale)</w:t>
            </w:r>
          </w:p>
        </w:tc>
        <w:tc>
          <w:tcPr>
            <w:shd w:val="clear" w:color="auto" w:fill="F4F1EC"/>
          </w:tcPr>
          <w:p>
            <w:pPr>
              <w:pStyle w:val="Compact"/>
              <w:spacing w:after="40" w:before="40"/>
              <w:jc w:val="left"/>
            </w:pPr>
            <w:r>
              <w:rPr>
                <w:rFonts w:ascii="Cambria" w:hAnsi="Cambria" w:cs="Cambria" w:eastAsia="Cambria"/>
                <w:color w:val="1A1A1A"/>
                <w:sz w:val="18"/>
              </w:rPr>
              <w:t xml:space="preserve">Calcolo delle misure di sintesi e aggiornamento del cruscotto regionale</w:t>
            </w:r>
          </w:p>
        </w:tc>
      </w:tr>
    </w:tbl>
    <w:p>
      <w:pPr>
        <w:pStyle w:val="BodyText"/>
      </w:pPr>
      <w:r>
        <w:rPr>
          <w:i/>
          <w:iCs/>
        </w:rPr>
        <w:t xml:space="preserve">Tabella L.2. Il calendario della rilevazione. La baseline da statistiche correnti precede l</w:t>
      </w:r>
      <w:r>
        <w:rPr>
          <w:b/>
          <w:bCs/>
          <w:i/>
          <w:iCs/>
        </w:rPr>
        <w:t xml:space="preserve">’</w:t>
      </w:r>
      <w:r>
        <w:rPr>
          <w:i/>
          <w:iCs/>
        </w:rPr>
        <w:t xml:space="preserve">avvio; la rilevazione di servizio parte con il primo assistito.</w:t>
      </w:r>
    </w:p>
    <w:bookmarkEnd w:id="1428"/>
    <w:bookmarkStart w:id="1433" w:name="l.3-la-valutazione-controfattuale-2"/>
    <w:p>
      <w:pPr>
        <w:pStyle w:val="Heading3"/>
      </w:pPr>
      <w:r>
        <w:t xml:space="preserve">L.3 La valutazione controfattuale</w:t>
      </w:r>
    </w:p>
    <w:p>
      <w:pPr>
        <w:pStyle w:val="FirstParagraph"/>
      </w:pPr>
      <w:r>
        <w:t xml:space="preserve">Il cuore metodologico della valutazione ex post è la stima dell’effetto causale della riforma, ossia il confronto tra gli esiti dei trattati e ciò che sarebbe accaduto in loro assenza, per definizione non osservabile direttamente.</w:t>
      </w:r>
      <w:r>
        <w:rPr>
          <w:rStyle w:val="FootnoteReference"/>
        </w:rPr>
        <w:footnoteReference w:id="2176"/>
      </w:r>
      <w:r>
        <w:t xml:space="preserve"> </w:t>
      </w:r>
      <w:r>
        <w:t xml:space="preserve">Lo strumento che la rende possibile è il disegno scaglionato del dispiegamento: la differenza-nelle-differenze confronta la variazione nel tempo dell’esito tra le Aziende ULSS già attivate e quelle non ancora attivate, affiancata dal controllo sintetico.</w:t>
      </w:r>
      <w:r>
        <w:rPr>
          <w:rStyle w:val="FootnoteReference"/>
        </w:rPr>
        <w:footnoteReference w:id="2177"/>
      </w:r>
      <w:r>
        <w:t xml:space="preserve"> </w:t>
      </w:r>
      <w:r>
        <w:t xml:space="preserve">L’analisi restituisce l’effetto medio sulla popolazione e sui soli trattati, secondo lo strumento raccomandato dalla letteratura per gli interventi di salute della popolazione.</w:t>
      </w:r>
      <w:r>
        <w:rPr>
          <w:rStyle w:val="FootnoteReference"/>
        </w:rPr>
        <w:footnoteReference w:id="2178"/>
      </w:r>
      <w:r>
        <w:t xml:space="preserve"> </w:t>
      </w:r>
      <w:r>
        <w:t xml:space="preserve">È così che, confrontando ad esempio l’andamento degli accessi al pronto soccorso per cause psichiatriche tra le aziende che hanno attivato il servizio e quelle che lo attiveranno, si isola l’effetto proprio della riforma e si trasformano le stime dei risparmi da proiezione attesa a misura empiricamente fondata sui dati veneti.</w:t>
      </w:r>
      <w:r>
        <w:rPr>
          <w:rStyle w:val="FootnoteReference"/>
        </w:rPr>
        <w:footnoteReference w:id="2179"/>
      </w:r>
    </w:p>
    <w:bookmarkEnd w:id="1433"/>
    <w:bookmarkStart w:id="1436" w:name="l.4-la-verifica-ex-post-della-norma-2"/>
    <w:p>
      <w:pPr>
        <w:pStyle w:val="Heading3"/>
      </w:pPr>
      <w:r>
        <w:t xml:space="preserve">L.4 La verifica ex post della norma</w:t>
      </w:r>
    </w:p>
    <w:p>
      <w:pPr>
        <w:pStyle w:val="FirstParagraph"/>
      </w:pPr>
      <w:r>
        <w:t xml:space="preserve">Alla valutazione d’impatto si affianca la verifica ex post della norma, prevista dall’ordinamento: è la valutazione, di norma dopo un biennio, dell’efficacia, dell’efficienza e dell’attuazione della norma, che chiude il ciclo aperto dall’analisi preventiva della regolamentazione.</w:t>
      </w:r>
      <w:r>
        <w:rPr>
          <w:rStyle w:val="FootnoteReference"/>
        </w:rPr>
        <w:footnoteReference w:id="2180"/>
      </w:r>
      <w:r>
        <w:t xml:space="preserve"> </w:t>
      </w:r>
      <w:r>
        <w:t xml:space="preserve">Il raccordo con la responsabilità politica è assicurato dalla clausola valutativa, che impegna la Giunta a riferire periodicamente al Consiglio regionale sui risultati: nel Veneto questo passaggio è già prefigurato dalla mozione n. 302 del 2022, ed è ciò che lega la misurazione tecnica alla trasparenza verso il legislatore.</w:t>
      </w:r>
      <w:r>
        <w:rPr>
          <w:rStyle w:val="FootnoteReference"/>
        </w:rPr>
        <w:footnoteReference w:id="2181"/>
      </w:r>
    </w:p>
    <w:bookmarkEnd w:id="1436"/>
    <w:bookmarkStart w:id="1440" w:name="Xc9f6df56ee80d65d47ac9cd6f4c45a19c1375c6"/>
    <w:p>
      <w:pPr>
        <w:pStyle w:val="Heading3"/>
      </w:pPr>
      <w:r>
        <w:t xml:space="preserve">L.5 Gli indicatori compositi e il cruscotto</w:t>
      </w:r>
    </w:p>
    <w:p>
      <w:pPr>
        <w:pStyle w:val="FirstParagraph"/>
      </w:pPr>
      <w:r>
        <w:t xml:space="preserve">La pluralità degli indicatori è ricondotta a sintesi mediante indici compositi, costruiti secondo i criteri metodologici riconosciuti.</w:t>
      </w:r>
      <w:r>
        <w:rPr>
          <w:rStyle w:val="FootnoteReference"/>
        </w:rPr>
        <w:footnoteReference w:id="2182"/>
      </w:r>
      <w:r>
        <w:t xml:space="preserve"> </w:t>
      </w:r>
      <w:r>
        <w:t xml:space="preserve">L’impiego di misure di sintesi nella decisione pubblica ha già un precedente istituzionale consolidato.</w:t>
      </w:r>
      <w:r>
        <w:rPr>
          <w:rStyle w:val="FootnoteReference"/>
        </w:rPr>
        <w:footnoteReference w:id="2183"/>
      </w:r>
      <w:r>
        <w:t xml:space="preserve"> </w:t>
      </w:r>
      <w:r>
        <w:t xml:space="preserve">La costruzione degli indici rispetta le regole di coerenza e il divieto di doppia contabilizzazione, segnatamente nella separazione tra risparmi diretti e ricadute sociali.</w:t>
      </w:r>
      <w:r>
        <w:rPr>
          <w:rStyle w:val="FootnoteReference"/>
        </w:rPr>
        <w:footnoteReference w:id="2184"/>
      </w:r>
      <w:r>
        <w:t xml:space="preserve"> </w:t>
      </w:r>
      <w:r>
        <w:t xml:space="preserve">Gli indici alimentano un cruscotto regionale che restituisce, in forma sintetica e periodicamente aggiornata, le dimensioni essenziali del valore generato. La tabella seguente ne descrive le dimensioni di sintesi. Completato il monitoraggio, la parte conclusiva compone la sintesi multidimensionale e le raccomandazioni.</w:t>
      </w:r>
    </w:p>
    <w:tbl>
      <w:tblPr>
        <w:tblStyle w:val="Table"/>
        <w:tblW w:type="pct" w:w="490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92"/>
        <w:gridCol w:w="51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 sintesi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Guadagno di salute</w:t>
            </w:r>
          </w:p>
        </w:tc>
        <w:tc>
          <w:tcPr/>
          <w:p>
            <w:pPr>
              <w:pStyle w:val="Compact"/>
              <w:spacing w:after="40" w:before="40"/>
              <w:jc w:val="left"/>
            </w:pPr>
            <w:r>
              <w:rPr>
                <w:rFonts w:ascii="Cambria" w:hAnsi="Cambria" w:cs="Cambria" w:eastAsia="Cambria"/>
                <w:color w:val="1A1A1A"/>
                <w:sz w:val="18"/>
              </w:rPr>
              <w:t xml:space="preserve">Anni di vita ponderati per la qualità in salute mentale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Tasso di recupero</w:t>
            </w:r>
          </w:p>
        </w:tc>
        <w:tc>
          <w:tcPr>
            <w:shd w:val="clear" w:color="auto" w:fill="F4F1EC"/>
          </w:tcPr>
          <w:p>
            <w:pPr>
              <w:pStyle w:val="Compact"/>
              <w:spacing w:after="40" w:before="40"/>
              <w:jc w:val="left"/>
            </w:pPr>
            <w:r>
              <w:rPr>
                <w:rFonts w:ascii="Cambria" w:hAnsi="Cambria" w:cs="Cambria" w:eastAsia="Cambria"/>
                <w:color w:val="1A1A1A"/>
                <w:sz w:val="18"/>
              </w:rPr>
              <w:t xml:space="preserve">Miglioramento clinico e superamento delle soglie (PHQ-9, GAD-7)</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Valore sociale generato per euro investito (SROI)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 territoriale</w:t>
            </w:r>
          </w:p>
        </w:tc>
        <w:tc>
          <w:tcPr>
            <w:shd w:val="clear" w:color="auto" w:fill="F4F1EC"/>
          </w:tcPr>
          <w:p>
            <w:pPr>
              <w:pStyle w:val="Compact"/>
              <w:spacing w:after="40" w:before="40"/>
              <w:jc w:val="left"/>
            </w:pPr>
            <w:r>
              <w:rPr>
                <w:rFonts w:ascii="Cambria" w:hAnsi="Cambria" w:cs="Cambria" w:eastAsia="Cambria"/>
                <w:color w:val="1A1A1A"/>
                <w:sz w:val="18"/>
              </w:rPr>
              <w:t xml:space="preserve">Esito e accesso tra Aziende ULSS e tra pianura e aree montane</w:t>
            </w:r>
          </w:p>
        </w:tc>
      </w:tr>
      <w:tr>
        <w:tc>
          <w:tcPr/>
          <w:p>
            <w:pPr>
              <w:pStyle w:val="Compact"/>
              <w:spacing w:after="40" w:before="40"/>
              <w:jc w:val="left"/>
            </w:pPr>
            <w:r>
              <w:rPr>
                <w:rFonts w:ascii="Cambria" w:hAnsi="Cambria" w:cs="Cambria" w:eastAsia="Cambria"/>
                <w:b/>
                <w:bCs/>
                <w:color w:val="1A1A1A"/>
                <w:sz w:val="18"/>
              </w:rPr>
              <w:t xml:space="preserve">Liste di attesa</w:t>
            </w:r>
          </w:p>
        </w:tc>
        <w:tc>
          <w:tcPr/>
          <w:p>
            <w:pPr>
              <w:pStyle w:val="Compact"/>
              <w:spacing w:after="40" w:before="40"/>
              <w:jc w:val="left"/>
            </w:pPr>
            <w:r>
              <w:rPr>
                <w:rFonts w:ascii="Cambria" w:hAnsi="Cambria" w:cs="Cambria" w:eastAsia="Cambria"/>
                <w:color w:val="1A1A1A"/>
                <w:sz w:val="18"/>
              </w:rPr>
              <w:t xml:space="preserve">Riduzione dei tempi di attesa e completamento della rete territoriale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Indicatori di sistema</w:t>
            </w:r>
          </w:p>
        </w:tc>
        <w:tc>
          <w:tcPr>
            <w:shd w:val="clear" w:color="auto" w:fill="F4F1EC"/>
          </w:tcPr>
          <w:p>
            <w:pPr>
              <w:pStyle w:val="Compact"/>
              <w:spacing w:after="40" w:before="40"/>
              <w:jc w:val="left"/>
            </w:pPr>
            <w:r>
              <w:rPr>
                <w:rFonts w:ascii="Cambria" w:hAnsi="Cambria" w:cs="Cambria" w:eastAsia="Cambria"/>
                <w:color w:val="1A1A1A"/>
                <w:sz w:val="18"/>
              </w:rPr>
              <w:t xml:space="preserve">Esito, esperienza, costo e operatori (Quadruple Aim)</w:t>
            </w:r>
          </w:p>
        </w:tc>
      </w:tr>
    </w:tbl>
    <w:p>
      <w:pPr>
        <w:pStyle w:val="BodyText"/>
      </w:pPr>
      <w:r>
        <w:rPr>
          <w:i/>
          <w:iCs/>
        </w:rPr>
        <w:t xml:space="preserve">Tabella L.3. Le dimensioni di sintesi del cruscotto regionale veneto.</w:t>
      </w:r>
    </w:p>
    <w:bookmarkEnd w:id="1440"/>
    <w:bookmarkEnd w:id="1441"/>
    <w:bookmarkStart w:id="4368" w:name="X4ed8bcd9814c9dd6632a13aae7186a259b9fba4"/>
    <w:p>
      <w:pPr>
        <w:pStyle w:val="Heading2"/>
      </w:pPr>
      <w:r>
        <w:t xml:space="preserve">Parte M — Sintesi multidimensionale e raccomandazioni</w:t>
      </w:r>
    </w:p>
    <w:p>
      <w:pPr>
        <w:pStyle w:val="FirstParagraph"/>
      </w:pPr>
      <w:r>
        <w:t xml:space="preserve">Le parti precedenti hanno esaminato l’intervento sotto i singoli profili — il bisogno, il modello, l’efficacia, l’economia, l’incertezza, l’equità, l’etica, l’attuazione, il monitoraggio. Questa parte conclusiva li ricompone in un giudizio unitario: applica la griglia di valutazione che attraversa l’intero studio (capitolo M.1), ne sintetizza il bilanciamento con l’analisi multi-criterio (M.2), trae la sintesi del valore e le raccomandazioni (M.3) e dichiara i limiti e l’agenda di ricerca (M.4). È qui che la natura particolare della decisione veneta si fa esplicita: non se prevedere il servizio, già sperimentato e impegnato, ma come strutturarlo e dimensionarlo.</w:t>
      </w:r>
    </w:p>
    <w:bookmarkStart w:id="1450" w:name="m.1-la-griglia-di-valutazione-ocse-dac-2"/>
    <w:p>
      <w:pPr>
        <w:pStyle w:val="Heading3"/>
      </w:pPr>
      <w:r>
        <w:t xml:space="preserve">M.1 La griglia di valutazione OCSE-DAC</w:t>
      </w:r>
    </w:p>
    <w:p>
      <w:pPr>
        <w:pStyle w:val="FirstParagraph"/>
      </w:pPr>
      <w:r>
        <w:t xml:space="preserve">Il giudizio complessivo si articola secondo i sei criteri di valutazione riconosciuti a livello internazionale — rilevanza, coerenza, efficacia, efficienza, impatto e sostenibilità — che, applicati congiuntamente, restituiscono un quadro d’insieme dell’intervento e ne costituiscono il caso strategico.</w:t>
      </w:r>
      <w:r>
        <w:rPr>
          <w:rStyle w:val="FootnoteReference"/>
        </w:rPr>
        <w:footnoteReference w:id="2185"/>
      </w:r>
      <w:r>
        <w:rPr>
          <w:rStyle w:val="FootnoteReference"/>
        </w:rPr>
        <w:footnoteReference w:id="2186"/>
      </w:r>
      <w:r>
        <w:t xml:space="preserve"> </w:t>
      </w:r>
      <w:r>
        <w:t xml:space="preserve">Lungo questi criteri l’intervento riceve un giudizio largamente positivo: risponde a un bisogno reale e di grande dimensione, è coerente con il quadro normativo e programmatico, è efficace secondo l’evidenza internazionale, è efficiente in termini di costo-utilità ancorché a fronte di un saldo diretto negativo, ha un impatto distributivo favorevole ed è sostenibile.</w:t>
      </w:r>
      <w:r>
        <w:rPr>
          <w:rStyle w:val="FootnoteReference"/>
        </w:rPr>
        <w:footnoteReference w:id="2187"/>
      </w:r>
      <w:r>
        <w:rPr>
          <w:rStyle w:val="FootnoteReference"/>
        </w:rPr>
        <w:footnoteReference w:id="2188"/>
      </w:r>
      <w:r>
        <w:rPr>
          <w:rStyle w:val="FootnoteReference"/>
        </w:rPr>
        <w:footnoteReference w:id="2189"/>
      </w:r>
      <w:r>
        <w:rPr>
          <w:rStyle w:val="FootnoteReference"/>
        </w:rPr>
        <w:footnoteReference w:id="2190"/>
      </w:r>
      <w:r>
        <w:rPr>
          <w:rStyle w:val="FootnoteReference"/>
        </w:rPr>
        <w:footnoteReference w:id="2191"/>
      </w:r>
      <w:r>
        <w:rPr>
          <w:rStyle w:val="FootnoteReference"/>
        </w:rPr>
        <w:footnoteReference w:id="2192"/>
      </w:r>
      <w:r>
        <w:t xml:space="preserve"> </w:t>
      </w:r>
      <w:r>
        <w:t xml:space="preserve">La tabella seguente riporta il giudizio criterio per criterio.</w:t>
      </w:r>
    </w:p>
    <w:tbl>
      <w:tblPr>
        <w:tblStyle w:val="Table"/>
        <w:tblW w:type="pct" w:w="494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45"/>
        <w:gridCol w:w="2099"/>
        <w:gridCol w:w="458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Domanda valutativa</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 dallo studio</w:t>
            </w:r>
          </w:p>
        </w:tc>
      </w:tr>
      <w:tr>
        <w:tc>
          <w:tcPr/>
          <w:p>
            <w:pPr>
              <w:pStyle w:val="Compact"/>
              <w:spacing w:after="40" w:before="40"/>
              <w:jc w:val="left"/>
            </w:pPr>
            <w:r>
              <w:rPr>
                <w:rFonts w:ascii="Cambria" w:hAnsi="Cambria" w:cs="Cambria" w:eastAsia="Cambria"/>
                <w:b/>
                <w:bCs/>
                <w:color w:val="1A1A1A"/>
                <w:sz w:val="18"/>
              </w:rPr>
              <w:t xml:space="preserve">Rilevanza</w:t>
            </w:r>
          </w:p>
        </w:tc>
        <w:tc>
          <w:tcPr/>
          <w:p>
            <w:pPr>
              <w:pStyle w:val="Compact"/>
              <w:spacing w:after="40" w:before="40"/>
              <w:jc w:val="left"/>
            </w:pPr>
            <w:r>
              <w:rPr>
                <w:rFonts w:ascii="Cambria" w:hAnsi="Cambria" w:cs="Cambria" w:eastAsia="Cambria"/>
                <w:color w:val="1A1A1A"/>
                <w:sz w:val="18"/>
              </w:rPr>
              <w:t xml:space="preserve">Risponde al bisogno reale?</w:t>
            </w:r>
          </w:p>
        </w:tc>
        <w:tc>
          <w:tcPr/>
          <w:p>
            <w:pPr>
              <w:pStyle w:val="Compact"/>
              <w:spacing w:after="40" w:before="40"/>
              <w:jc w:val="left"/>
            </w:pPr>
            <w:r>
              <w:rPr>
                <w:rFonts w:ascii="Cambria" w:hAnsi="Cambria" w:cs="Cambria" w:eastAsia="Cambria"/>
                <w:color w:val="1A1A1A"/>
                <w:sz w:val="18"/>
              </w:rPr>
              <w:t xml:space="preserve">Sì: ~970.000 con disagio inevaso; obbligo dei livelli essenziali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w:t>
            </w:r>
          </w:p>
        </w:tc>
        <w:tc>
          <w:tcPr>
            <w:shd w:val="clear" w:color="auto" w:fill="F4F1EC"/>
          </w:tcPr>
          <w:p>
            <w:pPr>
              <w:pStyle w:val="Compact"/>
              <w:spacing w:after="40" w:before="40"/>
              <w:jc w:val="left"/>
            </w:pPr>
            <w:r>
              <w:rPr>
                <w:rFonts w:ascii="Cambria" w:hAnsi="Cambria" w:cs="Cambria" w:eastAsia="Cambria"/>
                <w:color w:val="1A1A1A"/>
                <w:sz w:val="18"/>
              </w:rPr>
              <w:t xml:space="preserve">È compatibile con le altre politiche?</w:t>
            </w:r>
          </w:p>
        </w:tc>
        <w:tc>
          <w:tcPr>
            <w:shd w:val="clear" w:color="auto" w:fill="F4F1EC"/>
          </w:tcPr>
          <w:p>
            <w:pPr>
              <w:pStyle w:val="Compact"/>
              <w:spacing w:after="40" w:before="40"/>
              <w:jc w:val="left"/>
            </w:pPr>
            <w:r>
              <w:rPr>
                <w:rFonts w:ascii="Cambria" w:hAnsi="Cambria" w:cs="Cambria" w:eastAsia="Cambria"/>
                <w:color w:val="1A1A1A"/>
                <w:sz w:val="18"/>
              </w:rPr>
              <w:t xml:space="preserve">Sì: DM 77, PNRR, mozione 302/2022 e L.R. 19/2016; difendibile in Costituzione; nessun rientro</w:t>
            </w:r>
          </w:p>
        </w:tc>
      </w:tr>
      <w:tr>
        <w:tc>
          <w:tcPr/>
          <w:p>
            <w:pPr>
              <w:pStyle w:val="Compact"/>
              <w:spacing w:after="40" w:before="40"/>
              <w:jc w:val="left"/>
            </w:pPr>
            <w:r>
              <w:rPr>
                <w:rFonts w:ascii="Cambria" w:hAnsi="Cambria" w:cs="Cambria" w:eastAsia="Cambria"/>
                <w:b/>
                <w:bCs/>
                <w:color w:val="1A1A1A"/>
                <w:sz w:val="18"/>
              </w:rPr>
              <w:t xml:space="preserve">Efficacia</w:t>
            </w:r>
          </w:p>
        </w:tc>
        <w:tc>
          <w:tcPr/>
          <w:p>
            <w:pPr>
              <w:pStyle w:val="Compact"/>
              <w:spacing w:after="40" w:before="40"/>
              <w:jc w:val="left"/>
            </w:pPr>
            <w:r>
              <w:rPr>
                <w:rFonts w:ascii="Cambria" w:hAnsi="Cambria" w:cs="Cambria" w:eastAsia="Cambria"/>
                <w:color w:val="1A1A1A"/>
                <w:sz w:val="18"/>
              </w:rPr>
              <w:t xml:space="preserve">Raggiunge gli obiettivi?</w:t>
            </w:r>
          </w:p>
        </w:tc>
        <w:tc>
          <w:tcPr/>
          <w:p>
            <w:pPr>
              <w:pStyle w:val="Compact"/>
              <w:spacing w:after="40" w:before="40"/>
              <w:jc w:val="left"/>
            </w:pPr>
            <w:r>
              <w:rPr>
                <w:rFonts w:ascii="Cambria" w:hAnsi="Cambria" w:cs="Cambria" w:eastAsia="Cambria"/>
                <w:color w:val="1A1A1A"/>
                <w:sz w:val="18"/>
              </w:rPr>
              <w:t xml:space="preserve">Sì: evidenza internazionale (recupero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Efficienza</w:t>
            </w:r>
          </w:p>
        </w:tc>
        <w:tc>
          <w:tcPr>
            <w:shd w:val="clear" w:color="auto" w:fill="F4F1EC"/>
          </w:tcPr>
          <w:p>
            <w:pPr>
              <w:pStyle w:val="Compact"/>
              <w:spacing w:after="40" w:before="40"/>
              <w:jc w:val="left"/>
            </w:pPr>
            <w:r>
              <w:rPr>
                <w:rFonts w:ascii="Cambria" w:hAnsi="Cambria" w:cs="Cambria" w:eastAsia="Cambria"/>
                <w:color w:val="1A1A1A"/>
                <w:sz w:val="18"/>
              </w:rPr>
              <w:t xml:space="preserve">Impiega le risorse in modo proporzionato?</w:t>
            </w:r>
          </w:p>
        </w:tc>
        <w:tc>
          <w:tcPr>
            <w:shd w:val="clear" w:color="auto" w:fill="F4F1EC"/>
          </w:tcPr>
          <w:p>
            <w:pPr>
              <w:pStyle w:val="Compact"/>
              <w:spacing w:after="40" w:before="40"/>
              <w:jc w:val="left"/>
            </w:pPr>
            <w:r>
              <w:rPr>
                <w:rFonts w:ascii="Cambria" w:hAnsi="Cambria" w:cs="Cambria" w:eastAsia="Cambria"/>
                <w:color w:val="1A1A1A"/>
                <w:sz w:val="18"/>
              </w:rPr>
              <w:t xml:space="preserve">Sì in costo-utilità (dominanza); saldo diretto negativo a costo modesto</w:t>
            </w:r>
          </w:p>
        </w:tc>
      </w:tr>
      <w:tr>
        <w:tc>
          <w:tcPr/>
          <w:p>
            <w:pPr>
              <w:pStyle w:val="Compact"/>
              <w:spacing w:after="40" w:before="40"/>
              <w:jc w:val="left"/>
            </w:pPr>
            <w:r>
              <w:rPr>
                <w:rFonts w:ascii="Cambria" w:hAnsi="Cambria" w:cs="Cambria" w:eastAsia="Cambria"/>
                <w:b/>
                <w:bCs/>
                <w:color w:val="1A1A1A"/>
                <w:sz w:val="18"/>
              </w:rPr>
              <w:t xml:space="preserve">Impatto</w:t>
            </w:r>
          </w:p>
        </w:tc>
        <w:tc>
          <w:tcPr/>
          <w:p>
            <w:pPr>
              <w:pStyle w:val="Compact"/>
              <w:spacing w:after="40" w:before="40"/>
              <w:jc w:val="left"/>
            </w:pPr>
            <w:r>
              <w:rPr>
                <w:rFonts w:ascii="Cambria" w:hAnsi="Cambria" w:cs="Cambria" w:eastAsia="Cambria"/>
                <w:color w:val="1A1A1A"/>
                <w:sz w:val="18"/>
              </w:rPr>
              <w:t xml:space="preserve">Produce effetti più ampi?</w:t>
            </w:r>
          </w:p>
        </w:tc>
        <w:tc>
          <w:tcPr/>
          <w:p>
            <w:pPr>
              <w:pStyle w:val="Compact"/>
              <w:spacing w:after="40" w:before="40"/>
              <w:jc w:val="left"/>
            </w:pPr>
            <w:r>
              <w:rPr>
                <w:rFonts w:ascii="Cambria" w:hAnsi="Cambria" w:cs="Cambria" w:eastAsia="Cambria"/>
                <w:color w:val="1A1A1A"/>
                <w:sz w:val="18"/>
              </w:rPr>
              <w:t xml:space="preserve">Sì: riduce il gradiente territoriale pianura-montagna; ritorno complessivo 3,8–5,6:1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Sostenibilità</w:t>
            </w:r>
          </w:p>
        </w:tc>
        <w:tc>
          <w:tcPr>
            <w:shd w:val="clear" w:color="auto" w:fill="F4F1EC"/>
          </w:tcPr>
          <w:p>
            <w:pPr>
              <w:pStyle w:val="Compact"/>
              <w:spacing w:after="40" w:before="40"/>
              <w:jc w:val="left"/>
            </w:pPr>
            <w:r>
              <w:rPr>
                <w:rFonts w:ascii="Cambria" w:hAnsi="Cambria" w:cs="Cambria" w:eastAsia="Cambria"/>
                <w:color w:val="1A1A1A"/>
                <w:sz w:val="18"/>
              </w:rPr>
              <w:t xml:space="preserve">I benefici e il servizio durano?</w:t>
            </w:r>
          </w:p>
        </w:tc>
        <w:tc>
          <w:tcPr>
            <w:shd w:val="clear" w:color="auto" w:fill="F4F1EC"/>
          </w:tcPr>
          <w:p>
            <w:pPr>
              <w:pStyle w:val="Compact"/>
              <w:spacing w:after="40" w:before="40"/>
              <w:jc w:val="left"/>
            </w:pPr>
            <w:r>
              <w:rPr>
                <w:rFonts w:ascii="Cambria" w:hAnsi="Cambria" w:cs="Cambria" w:eastAsia="Cambria"/>
                <w:color w:val="1A1A1A"/>
                <w:sz w:val="18"/>
              </w:rPr>
              <w:t xml:space="preserve">Sì: costo modesto, bilancio in equilibrio, istituzionalizzazione</w:t>
            </w:r>
          </w:p>
        </w:tc>
      </w:tr>
    </w:tbl>
    <w:p>
      <w:pPr>
        <w:pStyle w:val="BodyText"/>
      </w:pPr>
      <w:r>
        <w:rPr>
          <w:i/>
          <w:iCs/>
        </w:rPr>
        <w:t xml:space="preserve">Tabella M.1. La griglia di giudizio OCSE-DAC applicata allo studio, criterio per criterio.</w:t>
      </w:r>
    </w:p>
    <w:bookmarkEnd w:id="1450"/>
    <w:bookmarkStart w:id="4369" w:name="m.2-lanalisi-multi-criterio-4"/>
    <w:p>
      <w:pPr>
        <w:pStyle w:val="Heading3"/>
      </w:pPr>
      <w:r>
        <w:t xml:space="preserve">M.2 L’analisi multi-criterio</w:t>
      </w:r>
    </w:p>
    <w:p>
      <w:pPr>
        <w:pStyle w:val="FirstParagraph"/>
      </w:pPr>
      <w:r>
        <w:t xml:space="preserve">Non tutti i criteri sono riducibili a denaro: l’equità, la fattibilità, la coerenza strategica e la robustezza dell’evidenza richiedono un bilanciamento esplicito. L’analisi multi-criterio lo rende trasparente, attribuendo a ciascun criterio un peso e a ciascuna opzione un punteggio.</w:t>
      </w:r>
      <w:r>
        <w:rPr>
          <w:rStyle w:val="FootnoteReference"/>
        </w:rPr>
        <w:footnoteReference w:id="2193"/>
      </w:r>
      <w:r>
        <w:t xml:space="preserve"> </w:t>
      </w:r>
      <w:r>
        <w:t xml:space="preserve">Il confronto tra l’opzione di intervento e l’opzione zero è netto: su otto criteri pesati, l’intervento ottiene un punteggio complessivo dell’ordine di 80,7 su 100 contro 39,25 dell’opzione zero, e prevale su tutti i criteri tranne la fattibilità immediata, dove l’opzione zero — non fare nulla — è per definizione più agevole; il risultato è stabile rispetto ai pesi adottati.</w:t>
      </w:r>
      <w:r>
        <w:rPr>
          <w:rStyle w:val="FootnoteReference"/>
        </w:rPr>
        <w:footnoteReference w:id="2194"/>
      </w:r>
      <w:r>
        <w:t xml:space="preserve"> </w:t>
      </w:r>
      <w:r>
        <w:t xml:space="preserve">La tabella seguente riporta il confronto.</w:t>
      </w:r>
    </w:p>
    <w:tbl>
      <w:tblPr>
        <w:tblStyle w:val="Table"/>
        <w:tblW w:type="pct" w:w="491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765"/>
        <w:gridCol w:w="973"/>
        <w:gridCol w:w="973"/>
        <w:gridCol w:w="1038"/>
        <w:gridCol w:w="10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w:t>
            </w:r>
          </w:p>
        </w:tc>
        <w:tc>
          <w:tcPr>
            <w:shd w:val="clear" w:color="auto" w:fill="16264B"/>
          </w:tcPr>
          <w:p>
            <w:pPr>
              <w:pStyle w:val="Compact"/>
              <w:spacing w:after="40" w:before="40"/>
              <w:jc w:val="left"/>
            </w:pPr>
            <w:r>
              <w:rPr>
                <w:rFonts w:ascii="Cambria" w:hAnsi="Cambria" w:cs="Cambria" w:eastAsia="Cambria"/>
                <w:b/>
                <w:bCs/>
                <w:color w:val="FFFFFF"/>
                <w:sz w:val="18"/>
              </w:rPr>
              <w:t xml:space="preserve">Opz. zero</w:t>
            </w:r>
          </w:p>
        </w:tc>
        <w:tc>
          <w:tcPr>
            <w:shd w:val="clear" w:color="auto" w:fill="16264B"/>
          </w:tcPr>
          <w:p>
            <w:pPr>
              <w:pStyle w:val="Compact"/>
              <w:spacing w:after="40" w:before="40"/>
              <w:jc w:val="left"/>
            </w:pPr>
            <w:r>
              <w:rPr>
                <w:rFonts w:ascii="Cambria" w:hAnsi="Cambria" w:cs="Cambria" w:eastAsia="Cambria"/>
                <w:b/>
                <w:bCs/>
                <w:color w:val="FFFFFF"/>
                <w:sz w:val="18"/>
              </w:rPr>
              <w:t xml:space="preserve">Δ pond.</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30</w:t>
            </w:r>
          </w:p>
        </w:tc>
        <w:tc>
          <w:tcPr/>
          <w:p>
            <w:pPr>
              <w:pStyle w:val="Compact"/>
              <w:spacing w:after="40" w:before="40"/>
              <w:jc w:val="left"/>
            </w:pPr>
            <w:r>
              <w:rPr>
                <w:rFonts w:ascii="Cambria" w:hAnsi="Cambria" w:cs="Cambria" w:eastAsia="Cambria"/>
                <w:color w:val="1A1A1A"/>
                <w:sz w:val="18"/>
              </w:rPr>
              <w:t xml:space="preserve">+7,5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88</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+12,6</w:t>
            </w:r>
          </w:p>
        </w:tc>
      </w:tr>
      <w:tr>
        <w:tc>
          <w:tcPr/>
          <w:p>
            <w:pPr>
              <w:pStyle w:val="Compact"/>
              <w:spacing w:after="40" w:before="40"/>
              <w:jc w:val="left"/>
            </w:pPr>
            <w:r>
              <w:rPr>
                <w:rFonts w:ascii="Cambria" w:hAnsi="Cambria" w:cs="Cambria" w:eastAsia="Cambria"/>
                <w:b/>
                <w:bCs/>
                <w:color w:val="1A1A1A"/>
                <w:sz w:val="18"/>
              </w:rPr>
              <w:t xml:space="preserve">Impatto di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70</w:t>
            </w:r>
          </w:p>
        </w:tc>
        <w:tc>
          <w:tcPr/>
          <w:p>
            <w:pPr>
              <w:pStyle w:val="Compact"/>
              <w:spacing w:after="40" w:before="40"/>
              <w:jc w:val="left"/>
            </w:pPr>
            <w:r>
              <w:rPr>
                <w:rFonts w:ascii="Cambria" w:hAnsi="Cambria" w:cs="Cambria" w:eastAsia="Cambria"/>
                <w:color w:val="1A1A1A"/>
                <w:sz w:val="18"/>
              </w:rPr>
              <w:t xml:space="preserve">50</w:t>
            </w:r>
          </w:p>
        </w:tc>
        <w:tc>
          <w:tcPr/>
          <w:p>
            <w:pPr>
              <w:pStyle w:val="Compact"/>
              <w:spacing w:after="40" w:before="40"/>
              <w:jc w:val="left"/>
            </w:pPr>
            <w:r>
              <w:rPr>
                <w:rFonts w:ascii="Cambria" w:hAnsi="Cambria" w:cs="Cambria" w:eastAsia="Cambria"/>
                <w:color w:val="1A1A1A"/>
                <w:sz w:val="18"/>
              </w:rPr>
              <w:t xml:space="preserve">+3,0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 e accesso (aree montane, liste di attesa)</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+9,75</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88</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+6,8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 e implementabilità</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70</w:t>
            </w:r>
          </w:p>
        </w:tc>
        <w:tc>
          <w:tcPr>
            <w:shd w:val="clear" w:color="auto" w:fill="F4F1EC"/>
          </w:tcPr>
          <w:p>
            <w:pPr>
              <w:pStyle w:val="Compact"/>
              <w:spacing w:after="40" w:before="40"/>
              <w:jc w:val="left"/>
            </w:pPr>
            <w:r>
              <w:rPr>
                <w:rFonts w:ascii="Cambria" w:hAnsi="Cambria" w:cs="Cambria" w:eastAsia="Cambria"/>
                <w:color w:val="1A1A1A"/>
                <w:sz w:val="18"/>
              </w:rPr>
              <w:t xml:space="preserve">100</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r>
      <w:tr>
        <w:tc>
          <w:tcPr/>
          <w:p>
            <w:pPr>
              <w:pStyle w:val="Compact"/>
              <w:spacing w:after="40" w:before="40"/>
              <w:jc w:val="left"/>
            </w:pPr>
            <w:r>
              <w:rPr>
                <w:rFonts w:ascii="Cambria" w:hAnsi="Cambria" w:cs="Cambria" w:eastAsia="Cambria"/>
                <w:b/>
                <w:bCs/>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75</w:t>
            </w:r>
          </w:p>
        </w:tc>
        <w:tc>
          <w:tcPr/>
          <w:p>
            <w:pPr>
              <w:pStyle w:val="Compact"/>
              <w:spacing w:after="40" w:before="40"/>
              <w:jc w:val="left"/>
            </w:pPr>
            <w:r>
              <w:rPr>
                <w:rFonts w:ascii="Cambria" w:hAnsi="Cambria" w:cs="Cambria" w:eastAsia="Cambria"/>
                <w:color w:val="1A1A1A"/>
                <w:sz w:val="18"/>
              </w:rPr>
              <w:t xml:space="preserve">60</w:t>
            </w:r>
          </w:p>
        </w:tc>
        <w:tc>
          <w:tcPr/>
          <w:p>
            <w:pPr>
              <w:pStyle w:val="Compact"/>
              <w:spacing w:after="40" w:before="40"/>
              <w:jc w:val="left"/>
            </w:pPr>
            <w:r>
              <w:rPr>
                <w:rFonts w:ascii="Cambria" w:hAnsi="Cambria" w:cs="Cambria" w:eastAsia="Cambria"/>
                <w:color w:val="1A1A1A"/>
                <w:sz w:val="18"/>
              </w:rPr>
              <w:t xml:space="preserve">+1,5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 (DM 77, PNRR, mozione 302/2022)</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90</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+3,25</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80,7</w:t>
            </w:r>
          </w:p>
        </w:tc>
        <w:tc>
          <w:tcPr/>
          <w:p>
            <w:pPr>
              <w:pStyle w:val="Compact"/>
              <w:spacing w:after="40" w:before="40"/>
              <w:jc w:val="left"/>
            </w:pPr>
            <w:r>
              <w:rPr>
                <w:rFonts w:ascii="Cambria" w:hAnsi="Cambria" w:cs="Cambria" w:eastAsia="Cambria"/>
                <w:color w:val="1A1A1A"/>
                <w:sz w:val="18"/>
              </w:rPr>
              <w:t xml:space="preserve">39,25</w:t>
            </w:r>
          </w:p>
        </w:tc>
        <w:tc>
          <w:tcPr/>
          <w:p>
            <w:pPr>
              <w:pStyle w:val="Compact"/>
              <w:spacing w:after="40" w:before="40"/>
              <w:jc w:val="left"/>
            </w:pPr>
            <w:r>
              <w:rPr>
                <w:rFonts w:ascii="Cambria" w:hAnsi="Cambria" w:cs="Cambria" w:eastAsia="Cambria"/>
                <w:color w:val="1A1A1A"/>
                <w:sz w:val="18"/>
              </w:rPr>
              <w:t xml:space="preserve">+41,45</w:t>
            </w:r>
          </w:p>
        </w:tc>
      </w:tr>
    </w:tbl>
    <w:p>
      <w:pPr>
        <w:pStyle w:val="BodyText"/>
      </w:pPr>
      <w:r>
        <w:rPr>
          <w:i/>
          <w:iCs/>
        </w:rPr>
        <w:t xml:space="preserve">Tabella M.2. Analisi multi-criterio: confronto tra l</w:t>
      </w:r>
      <w:r>
        <w:rPr>
          <w:b/>
          <w:bCs/>
          <w:i/>
          <w:iCs/>
        </w:rPr>
        <w:t xml:space="preserve">‘******opzione di intervento e l******’</w:t>
      </w:r>
      <w:r>
        <w:rPr>
          <w:i/>
          <w:iCs/>
        </w:rPr>
        <w:t xml:space="preserve">opzione zero su otto criteri pesati.</w:t>
      </w:r>
    </w:p>
    <w:bookmarkEnd w:id="4369"/>
    <w:bookmarkStart w:id="4370" w:name="Xe704a0ad6db9b55e78b7d354486ca5682350de9"/>
    <w:p>
      <w:pPr>
        <w:pStyle w:val="Heading3"/>
      </w:pPr>
      <w:r>
        <w:t xml:space="preserve">M.3 La sintesi del valore e le raccomandazioni</w:t>
      </w:r>
    </w:p>
    <w:p>
      <w:pPr>
        <w:pStyle w:val="FirstParagraph"/>
      </w:pPr>
      <w:r>
        <w:t xml:space="preserve">La sintesi del valore può essere condensata in tre affermazioni, che costituiscono il cruscotto decisionale per il Veneto: il servizio costa al bilancio sanitario una cifra modesta e comporta un saldo diretto lievemente negativo, trascurabile rispetto a un finanziamento di 11 miliardi; il ritorno per la collettività è ampio, dell’ordine di 3,8–5,6 a uno; e tale valore poggia quasi interamente sulle ricadute sociali, segnatamente sulla produttività recuperata in una regione ad alta occupazione.</w:t>
      </w:r>
      <w:r>
        <w:rPr>
          <w:rStyle w:val="FootnoteReference"/>
        </w:rPr>
        <w:footnoteReference w:id="2195"/>
      </w:r>
      <w:r>
        <w:t xml:space="preserve"> </w:t>
      </w:r>
      <w:r>
        <w:t xml:space="preserve">Da qui discende la raccomandazione centrale, che ha nel Veneto una fisionomia peculiare: la decisione rilevante non è se prevedere il servizio — già sperimentato dal 2014 e oggetto dell’impegno assunto dal Consiglio con la mozione n. 302 del 2022 — ma se strutturarlo e dimensionarlo, portandolo dalla sperimentazione alla copertura del fabbisogno, dell’ordine di 1.050 incarichi.</w:t>
      </w:r>
      <w:r>
        <w:rPr>
          <w:rStyle w:val="FootnoteReference"/>
        </w:rPr>
        <w:footnoteReference w:id="2196"/>
      </w:r>
      <w:r>
        <w:t xml:space="preserve"> </w:t>
      </w:r>
      <w:r>
        <w:t xml:space="preserve">La lettura del valore lungo le cinque dimensioni dell’esito, dell’esperienza, del costo, del benessere degli operatori e dell’equità conferma la coerenza del giudizio.</w:t>
      </w:r>
      <w:r>
        <w:rPr>
          <w:rStyle w:val="FootnoteReference"/>
        </w:rPr>
        <w:footnoteReference w:id="2197"/>
      </w:r>
    </w:p>
    <w:bookmarkEnd w:id="4370"/>
    <w:bookmarkStart w:id="1461" w:name="m.4-i-limiti-e-lagenda-di-ricerca-2"/>
    <w:p>
      <w:pPr>
        <w:pStyle w:val="Heading3"/>
      </w:pPr>
      <w:r>
        <w:t xml:space="preserve">M.4 I limiti e l’agenda di ricerca</w:t>
      </w:r>
    </w:p>
    <w:p>
      <w:pPr>
        <w:pStyle w:val="FirstParagraph"/>
      </w:pPr>
      <w:r>
        <w:t xml:space="preserve">La trasparenza impone di dichiarare i limiti dello studio. Il principale attiene al radicamento nei dati: le grandezze economiche sono in parte ricostruite a partire dai conti nazionali scalati per la quota di popolazione veneta, e non estratte dai conti regionali certificati dell’Azienda Zero e delle Aziende ULSS; la loro sostituzione con dati certificati è la condizione per la presentazione agli organi di controllo.</w:t>
      </w:r>
      <w:r>
        <w:rPr>
          <w:rStyle w:val="FootnoteReference"/>
        </w:rPr>
        <w:footnoteReference w:id="2198"/>
      </w:r>
      <w:r>
        <w:t xml:space="preserve"> </w:t>
      </w:r>
      <w:r>
        <w:t xml:space="preserve">A ciò si aggiungono le cautele di trasferibilità e di fonte già segnalate — la parziale provenienza da letteratura grigia, la necessità di adattare i benchmark esteri, la natura prudenziale e non ponderata della cifra del ritorno.</w:t>
      </w:r>
      <w:r>
        <w:rPr>
          <w:rStyle w:val="FootnoteReference"/>
        </w:rPr>
        <w:footnoteReference w:id="2199"/>
      </w:r>
      <w:r>
        <w:t xml:space="preserve"> </w:t>
      </w:r>
      <w:r>
        <w:t xml:space="preserve">Ne discende un’agenda di ricerca dalle priorità definite: l’investimento conoscitivo prioritario è l’acquisizione dei dati regionali certificati presso l’Azienda Zero e le Aziende ULSS, seguito dall’avvio della rilevazione di servizio e dalla valutazione controfattuale sul dispiegamento scaglionato.</w:t>
      </w:r>
      <w:r>
        <w:rPr>
          <w:rStyle w:val="FootnoteReference"/>
        </w:rPr>
        <w:footnoteReference w:id="2200"/>
      </w:r>
      <w:r>
        <w:t xml:space="preserve"> </w:t>
      </w:r>
      <w:r>
        <w:t xml:space="preserve">Con questa sintesi e con la dichiarazione dei suoi limiti lo studio si chiude, consegnando al decisore un quadro completo, onesto e fondato su cui deliberare; il corredo documentale prosegue nelle appendici tecniche.</w:t>
      </w:r>
    </w:p>
    <w:bookmarkEnd w:id="1461"/>
    <w:bookmarkEnd w:id="4368"/>
    <w:bookmarkStart w:id="1466" w:name="Xddeecb5ffb417f67e444aa1f434c7e39f983774"/>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201"/>
      </w:r>
      <w:r>
        <w:t xml:space="preserve"> </w:t>
      </w:r>
      <w:r>
        <w:t xml:space="preserve">La tabella seguente lo riepiloga.</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451"/>
        <w:gridCol w:w="534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caso di 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adottata</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Servizio attuale o assenza del servizio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Azienda ULSS/distretto</w:t>
            </w:r>
          </w:p>
        </w:tc>
      </w:tr>
      <w:tr>
        <w:tc>
          <w:tcPr/>
          <w:p>
            <w:pPr>
              <w:pStyle w:val="Compact"/>
              <w:spacing w:after="40" w:before="40"/>
              <w:jc w:val="left"/>
            </w:pPr>
            <w:r>
              <w:rPr>
                <w:rFonts w:ascii="Cambria" w:hAnsi="Cambria" w:cs="Cambria" w:eastAsia="Cambria"/>
                <w:b/>
                <w:bCs/>
                <w:color w:val="1A1A1A"/>
                <w:sz w:val="18"/>
              </w:rPr>
              <w:t xml:space="preserve">Soglia di costo-efficacia</w:t>
            </w:r>
          </w:p>
        </w:tc>
        <w:tc>
          <w:tcPr/>
          <w:p>
            <w:pPr>
              <w:pStyle w:val="Compact"/>
              <w:spacing w:after="40" w:before="40"/>
              <w:jc w:val="left"/>
            </w:pPr>
            <w:r>
              <w:rPr>
                <w:rFonts w:ascii="Cambria" w:hAnsi="Cambria" w:cs="Cambria" w:eastAsia="Cambria"/>
                <w:color w:val="1A1A1A"/>
                <w:sz w:val="18"/>
              </w:rPr>
              <w:t xml:space="preserve">30.000 euro per anno di vita ponderato per la qualità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Correzione prudenziale</w:t>
            </w:r>
          </w:p>
        </w:tc>
        <w:tc>
          <w:tcPr>
            <w:shd w:val="clear" w:color="auto" w:fill="F4F1EC"/>
          </w:tcPr>
          <w:p>
            <w:pPr>
              <w:pStyle w:val="Compact"/>
              <w:spacing w:after="40" w:before="40"/>
              <w:jc w:val="left"/>
            </w:pPr>
            <w:r>
              <w:rPr>
                <w:rFonts w:ascii="Cambria" w:hAnsi="Cambria" w:cs="Cambria" w:eastAsia="Cambria"/>
                <w:color w:val="1A1A1A"/>
                <w:sz w:val="18"/>
              </w:rP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202"/>
      </w:r>
      <w:r>
        <w:t xml:space="preserve"> </w:t>
      </w:r>
      <w:r>
        <w:t xml:space="preserve">La tabella seguente li riporta con le distribuzioni assegnate per l’analisi probabilistica.</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3498"/>
        <w:gridCol w:w="15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 di Markov</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Stati del modello</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recupero</w:t>
            </w:r>
          </w:p>
        </w:tc>
        <w:tc>
          <w:tcPr>
            <w:shd w:val="clear" w:color="auto" w:fill="F4F1EC"/>
          </w:tcPr>
          <w:p>
            <w:pPr>
              <w:pStyle w:val="Compact"/>
              <w:spacing w:after="40" w:before="40"/>
              <w:jc w:val="left"/>
            </w:pPr>
            <w:r>
              <w:rPr>
                <w:rFonts w:ascii="Cambria" w:hAnsi="Cambria" w:cs="Cambria" w:eastAsia="Cambria"/>
                <w:color w:val="1A1A1A"/>
                <w:sz w:val="18"/>
              </w:rPr>
              <w:t xml:space="preserve">40 €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per ciclo — cronico</w:t>
            </w:r>
          </w:p>
        </w:tc>
        <w:tc>
          <w:tcPr/>
          <w:p>
            <w:pPr>
              <w:pStyle w:val="Compact"/>
              <w:spacing w:after="40" w:before="40"/>
              <w:jc w:val="left"/>
            </w:pPr>
            <w:r>
              <w:rPr>
                <w:rFonts w:ascii="Cambria" w:hAnsi="Cambria" w:cs="Cambria" w:eastAsia="Cambria"/>
                <w:color w:val="1A1A1A"/>
                <w:sz w:val="18"/>
              </w:rPr>
              <w:t xml:space="preserve">700 €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Per braccio, da fonti</w:t>
            </w:r>
          </w:p>
        </w:tc>
        <w:tc>
          <w:tcPr/>
          <w:p>
            <w:pPr>
              <w:pStyle w:val="Compact"/>
              <w:spacing w:after="40" w:before="40"/>
              <w:jc w:val="left"/>
            </w:pPr>
            <w:r>
              <w:rPr>
                <w:rFonts w:ascii="Cambria" w:hAnsi="Cambria" w:cs="Cambria" w:eastAsia="Cambria"/>
                <w:color w:val="1A1A1A"/>
                <w:sz w:val="18"/>
              </w:rPr>
              <w:t xml:space="preserve">Beta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per stato</w:t>
            </w:r>
          </w:p>
        </w:tc>
        <w:tc>
          <w:tcPr>
            <w:shd w:val="clear" w:color="auto" w:fill="F4F1EC"/>
          </w:tcPr>
          <w:p>
            <w:pPr>
              <w:pStyle w:val="Compact"/>
              <w:spacing w:after="40" w:before="40"/>
              <w:jc w:val="left"/>
            </w:pPr>
            <w:r>
              <w:rPr>
                <w:rFonts w:ascii="Cambria" w:hAnsi="Cambria" w:cs="Cambria" w:eastAsia="Cambria"/>
                <w:color w:val="1A1A1A"/>
                <w:sz w:val="18"/>
              </w:rPr>
              <w:t xml:space="preserve">Da fonti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Orizzonte e sconto</w:t>
            </w:r>
          </w:p>
        </w:tc>
        <w:tc>
          <w:tcPr/>
          <w:p>
            <w:pPr>
              <w:pStyle w:val="Compact"/>
              <w:spacing w:after="40" w:before="40"/>
              <w:jc w:val="left"/>
            </w:pPr>
            <w:r>
              <w:rPr>
                <w:rFonts w:ascii="Cambria" w:hAnsi="Cambria" w:cs="Cambria" w:eastAsia="Cambria"/>
                <w:color w:val="1A1A1A"/>
                <w:sz w:val="18"/>
              </w:rPr>
              <w:t xml:space="preserve">5 anni; 3% annuo</w:t>
            </w:r>
          </w:p>
        </w:tc>
        <w:t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Veneto, già esposto nelle parti centrali dello studio, è qui riassunto per scenario, a beneficio della consultazione.</w:t>
      </w:r>
      <w:r>
        <w:rPr>
          <w:rStyle w:val="FootnoteReference"/>
        </w:rPr>
        <w:footnoteReference w:id="2203"/>
      </w:r>
      <w:r>
        <w:t xml:space="preserve"> </w:t>
      </w:r>
      <w:r>
        <w:t xml:space="preserve">La tabella seguente lo riepiloga.</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3"/>
        <w:gridCol w:w="1384"/>
        <w:gridCol w:w="1384"/>
        <w:gridCol w:w="13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 salvo 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Psicologi a regime</w:t>
            </w:r>
          </w:p>
        </w:tc>
        <w:tc>
          <w:tcPr/>
          <w:p>
            <w:pPr>
              <w:pStyle w:val="Compact"/>
              <w:spacing w:after="40" w:before="40"/>
              <w:jc w:val="left"/>
            </w:pPr>
            <w:r>
              <w:rPr>
                <w:rFonts w:ascii="Cambria" w:hAnsi="Cambria" w:cs="Cambria" w:eastAsia="Cambria"/>
                <w:color w:val="1A1A1A"/>
                <w:sz w:val="18"/>
              </w:rPr>
              <w:t xml:space="preserve">~ 530</w:t>
            </w:r>
          </w:p>
        </w:tc>
        <w:tc>
          <w:tcPr/>
          <w:p>
            <w:pPr>
              <w:pStyle w:val="Compact"/>
              <w:spacing w:after="40" w:before="40"/>
              <w:jc w:val="left"/>
            </w:pPr>
            <w:r>
              <w:rPr>
                <w:rFonts w:ascii="Cambria" w:hAnsi="Cambria" w:cs="Cambria" w:eastAsia="Cambria"/>
                <w:color w:val="1A1A1A"/>
                <w:sz w:val="18"/>
              </w:rPr>
              <w:t xml:space="preserve">~ 800</w:t>
            </w:r>
          </w:p>
        </w:tc>
        <w:tc>
          <w:tcPr/>
          <w:p>
            <w:pPr>
              <w:pStyle w:val="Compact"/>
              <w:spacing w:after="40" w:before="40"/>
              <w:jc w:val="left"/>
            </w:pPr>
            <w:r>
              <w:rPr>
                <w:rFonts w:ascii="Cambria" w:hAnsi="Cambria" w:cs="Cambria" w:eastAsia="Cambria"/>
                <w:color w:val="1A1A1A"/>
                <w:sz w:val="18"/>
              </w:rPr>
              <w:t xml:space="preserve">~ 1.050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30</w:t>
            </w:r>
          </w:p>
        </w:tc>
        <w:tc>
          <w:tcPr>
            <w:shd w:val="clear" w:color="auto" w:fill="F4F1EC"/>
          </w:tcPr>
          <w:p>
            <w:pPr>
              <w:pStyle w:val="Compact"/>
              <w:spacing w:after="40" w:before="40"/>
              <w:jc w:val="left"/>
            </w:pPr>
            <w:r>
              <w:rPr>
                <w:rFonts w:ascii="Cambria" w:hAnsi="Cambria" w:cs="Cambria" w:eastAsia="Cambria"/>
                <w:color w:val="1A1A1A"/>
                <w:sz w:val="18"/>
              </w:rPr>
              <w:t xml:space="preserve">~ 45</w:t>
            </w:r>
          </w:p>
        </w:tc>
        <w:tc>
          <w:tcPr>
            <w:shd w:val="clear" w:color="auto" w:fill="F4F1EC"/>
          </w:tcPr>
          <w:p>
            <w:pPr>
              <w:pStyle w:val="Compact"/>
              <w:spacing w:after="40" w:before="40"/>
              <w:jc w:val="left"/>
            </w:pPr>
            <w:r>
              <w:rPr>
                <w:rFonts w:ascii="Cambria" w:hAnsi="Cambria" w:cs="Cambria" w:eastAsia="Cambria"/>
                <w:color w:val="1A1A1A"/>
                <w:sz w:val="18"/>
              </w:rPr>
              <w:t xml:space="preserve">~ 58</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18</w:t>
            </w:r>
          </w:p>
        </w:tc>
        <w:tc>
          <w:tcPr/>
          <w:p>
            <w:pPr>
              <w:pStyle w:val="Compact"/>
              <w:spacing w:after="40" w:before="40"/>
              <w:jc w:val="left"/>
            </w:pPr>
            <w:r>
              <w:rPr>
                <w:rFonts w:ascii="Cambria" w:hAnsi="Cambria" w:cs="Cambria" w:eastAsia="Cambria"/>
                <w:color w:val="1A1A1A"/>
                <w:sz w:val="18"/>
              </w:rPr>
              <w:t xml:space="preserve">~ 30</w:t>
            </w:r>
          </w:p>
        </w:tc>
        <w:tc>
          <w:tcPr/>
          <w:p>
            <w:pPr>
              <w:pStyle w:val="Compact"/>
              <w:spacing w:after="40" w:before="40"/>
              <w:jc w:val="left"/>
            </w:pPr>
            <w:r>
              <w:rPr>
                <w:rFonts w:ascii="Cambria" w:hAnsi="Cambria" w:cs="Cambria" w:eastAsia="Cambria"/>
                <w:color w:val="1A1A1A"/>
                <w:sz w:val="18"/>
              </w:rPr>
              <w:t xml:space="preserve">~ 45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95</w:t>
            </w:r>
          </w:p>
        </w:tc>
        <w:tc>
          <w:tcPr>
            <w:shd w:val="clear" w:color="auto" w:fill="F4F1EC"/>
          </w:tcPr>
          <w:p>
            <w:pPr>
              <w:pStyle w:val="Compact"/>
              <w:spacing w:after="40" w:before="40"/>
              <w:jc w:val="left"/>
            </w:pPr>
            <w:r>
              <w:rPr>
                <w:rFonts w:ascii="Cambria" w:hAnsi="Cambria" w:cs="Cambria" w:eastAsia="Cambria"/>
                <w:color w:val="1A1A1A"/>
                <w:sz w:val="18"/>
              </w:rPr>
              <w:t xml:space="preserve">~ 180</w:t>
            </w:r>
          </w:p>
        </w:tc>
        <w:tc>
          <w:tcPr>
            <w:shd w:val="clear" w:color="auto" w:fill="F4F1EC"/>
          </w:tcPr>
          <w:p>
            <w:pPr>
              <w:pStyle w:val="Compact"/>
              <w:spacing w:after="40" w:before="40"/>
              <w:jc w:val="left"/>
            </w:pPr>
            <w:r>
              <w:rPr>
                <w:rFonts w:ascii="Cambria" w:hAnsi="Cambria" w:cs="Cambria" w:eastAsia="Cambria"/>
                <w:color w:val="1A1A1A"/>
                <w:sz w:val="18"/>
              </w:rPr>
              <w:t xml:space="preserve">~ 280</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−12</w:t>
            </w:r>
          </w:p>
        </w:tc>
        <w:tc>
          <w:tcPr/>
          <w:p>
            <w:pPr>
              <w:pStyle w:val="Compact"/>
              <w:spacing w:after="40" w:before="40"/>
              <w:jc w:val="left"/>
            </w:pPr>
            <w:r>
              <w:rPr>
                <w:rFonts w:ascii="Cambria" w:hAnsi="Cambria" w:cs="Cambria" w:eastAsia="Cambria"/>
                <w:color w:val="1A1A1A"/>
                <w:sz w:val="18"/>
              </w:rPr>
              <w:t xml:space="preserve">~ −15</w:t>
            </w:r>
          </w:p>
        </w:tc>
        <w:tc>
          <w:tcPr/>
          <w:p>
            <w:pPr>
              <w:pStyle w:val="Compact"/>
              <w:spacing w:after="40" w:before="40"/>
              <w:jc w:val="left"/>
            </w:pPr>
            <w:r>
              <w:rPr>
                <w:rFonts w:ascii="Cambria" w:hAnsi="Cambria" w:cs="Cambria" w:eastAsia="Cambria"/>
                <w:color w:val="1A1A1A"/>
                <w:sz w:val="18"/>
              </w:rPr>
              <w:t xml:space="preserve">~ −13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+83</w:t>
            </w:r>
          </w:p>
        </w:tc>
        <w:tc>
          <w:tcPr>
            <w:shd w:val="clear" w:color="auto" w:fill="F4F1EC"/>
          </w:tcPr>
          <w:p>
            <w:pPr>
              <w:pStyle w:val="Compact"/>
              <w:spacing w:after="40" w:before="40"/>
              <w:jc w:val="left"/>
            </w:pPr>
            <w:r>
              <w:rPr>
                <w:rFonts w:ascii="Cambria" w:hAnsi="Cambria" w:cs="Cambria" w:eastAsia="Cambria"/>
                <w:color w:val="1A1A1A"/>
                <w:sz w:val="18"/>
              </w:rPr>
              <w:t xml:space="preserve">+165</w:t>
            </w:r>
          </w:p>
        </w:tc>
        <w:tc>
          <w:tcPr>
            <w:shd w:val="clear" w:color="auto" w:fill="F4F1EC"/>
          </w:tcPr>
          <w:p>
            <w:pPr>
              <w:pStyle w:val="Compact"/>
              <w:spacing w:after="40" w:before="40"/>
              <w:jc w:val="left"/>
            </w:pPr>
            <w:r>
              <w:rPr>
                <w:rFonts w:ascii="Cambria" w:hAnsi="Cambria" w:cs="Cambria" w:eastAsia="Cambria"/>
                <w:color w:val="1A1A1A"/>
                <w:sz w:val="18"/>
              </w:rPr>
              <w:t xml:space="preserve">+267</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~3,8:1</w:t>
            </w:r>
          </w:p>
        </w:tc>
        <w:tc>
          <w:tcPr/>
          <w:p>
            <w:pPr>
              <w:pStyle w:val="Compact"/>
              <w:spacing w:after="40" w:before="40"/>
              <w:jc w:val="left"/>
            </w:pPr>
            <w:r>
              <w:rPr>
                <w:rFonts w:ascii="Cambria" w:hAnsi="Cambria" w:cs="Cambria" w:eastAsia="Cambria"/>
                <w:color w:val="1A1A1A"/>
                <w:sz w:val="18"/>
              </w:rPr>
              <w:t xml:space="preserve">~4,7:1</w:t>
            </w:r>
          </w:p>
        </w:tc>
        <w:tc>
          <w:tcPr/>
          <w:p>
            <w:pPr>
              <w:pStyle w:val="Compact"/>
              <w:spacing w:after="40" w:before="40"/>
              <w:jc w:val="left"/>
            </w:pPr>
            <w:r>
              <w:rPr>
                <w:rFonts w:ascii="Cambria" w:hAnsi="Cambria" w:cs="Cambria" w:eastAsia="Cambria"/>
                <w:color w:val="1A1A1A"/>
                <w:sz w:val="18"/>
              </w:rPr>
              <w:t xml:space="preserve">~5,6:1</w:t>
            </w:r>
          </w:p>
        </w:tc>
      </w:tr>
    </w:tbl>
    <w:p>
      <w:pPr>
        <w:pStyle w:val="BodyText"/>
      </w:pPr>
      <w:r>
        <w:rPr>
          <w:i/>
          <w:iCs/>
        </w:rPr>
        <w:t xml:space="preserve">Tabella A.3. Il quadro economico consolidato per scenario (costo per incarico di riferimento di 55.000 euro).</w:t>
      </w:r>
    </w:p>
    <w:bookmarkEnd w:id="1466"/>
    <w:bookmarkStart w:id="1469" w:name="Xa229a69cc70eb2ac00e6ec71e6547c5e4ce3bb7"/>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204"/>
      </w:r>
      <w:r>
        <w:t xml:space="preserve"> </w:t>
      </w:r>
      <w:r>
        <w:t xml:space="preserve">La tabella seguente li descrive.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6"/>
        <w:gridCol w:w="1584"/>
        <w:gridCol w:w="41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Caratteristiche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 soglia clinica ~10; cambiamento affidabile ~6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d’ansia</w:t>
            </w:r>
          </w:p>
        </w:tc>
        <w:tc>
          <w:tcPr>
            <w:shd w:val="clear" w:color="auto" w:fill="F4F1EC"/>
          </w:tcPr>
          <w:p>
            <w:pPr>
              <w:pStyle w:val="Compact"/>
              <w:spacing w:after="40" w:before="40"/>
              <w:jc w:val="left"/>
            </w:pPr>
            <w:r>
              <w:rPr>
                <w:rFonts w:ascii="Cambria" w:hAnsi="Cambria" w:cs="Cambria" w:eastAsia="Cambria"/>
                <w:color w:val="1A1A1A"/>
                <w:sz w:val="18"/>
              </w:rPr>
              <w:t xml:space="preserve">0–21; impiegato nel solo punteggio complessivo</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Discesa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Esito secondario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205"/>
      </w:r>
      <w:r>
        <w:t xml:space="preserve"> </w:t>
      </w:r>
      <w:r>
        <w:t xml:space="preserve">La tabella seguente ne costituisce il dizionario dei dati.</w:t>
      </w:r>
    </w:p>
    <w:tbl>
      <w:tblPr>
        <w:tblStyle w:val="Table"/>
        <w:tblW w:type="pct" w:w="491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52"/>
        <w:gridCol w:w="4154"/>
        <w:gridCol w:w="18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Campo del dataset</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Momento di rilevazione</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Data di apertura, canale di accesso, invio</w:t>
            </w:r>
          </w:p>
        </w:tc>
        <w:tc>
          <w:tcPr/>
          <w:p>
            <w:pPr>
              <w:pStyle w:val="Compact"/>
              <w:spacing w:after="40" w:before="40"/>
              <w:jc w:val="left"/>
            </w:pPr>
            <w:r>
              <w:rPr>
                <w:rFonts w:ascii="Cambria" w:hAnsi="Cambria" w:cs="Cambria" w:eastAsia="Cambria"/>
                <w:color w:val="1A1A1A"/>
                <w:sz w:val="18"/>
              </w:rPr>
              <w:t xml:space="preserve">All’apertura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Seduta</w:t>
            </w:r>
          </w:p>
        </w:tc>
        <w:tc>
          <w:tcPr>
            <w:shd w:val="clear" w:color="auto" w:fill="F4F1EC"/>
          </w:tcPr>
          <w:p>
            <w:pPr>
              <w:pStyle w:val="Compact"/>
              <w:spacing w:after="40" w:before="40"/>
              <w:jc w:val="left"/>
            </w:pPr>
            <w:r>
              <w:rPr>
                <w:rFonts w:ascii="Cambria" w:hAnsi="Cambria" w:cs="Cambria" w:eastAsia="Cambria"/>
                <w:color w:val="1A1A1A"/>
                <w:sz w:val="18"/>
              </w:rPr>
              <w:t xml:space="preserve">Data, tipo e numero progressivo della seduta</w:t>
            </w:r>
          </w:p>
        </w:tc>
        <w:tc>
          <w:tcPr>
            <w:shd w:val="clear" w:color="auto" w:fill="F4F1EC"/>
          </w:tcPr>
          <w:p>
            <w:pPr>
              <w:pStyle w:val="Compact"/>
              <w:spacing w:after="40" w:before="40"/>
              <w:jc w:val="left"/>
            </w:pPr>
            <w:r>
              <w:rPr>
                <w:rFonts w:ascii="Cambria" w:hAnsi="Cambria" w:cs="Cambria" w:eastAsia="Cambria"/>
                <w:color w:val="1A1A1A"/>
                <w:sz w:val="18"/>
              </w:rPr>
              <w:t xml:space="preserve">A ogni seduta</w:t>
            </w:r>
          </w:p>
        </w:tc>
      </w:tr>
      <w:tr>
        <w:tc>
          <w:tcPr/>
          <w:p>
            <w:pPr>
              <w:pStyle w:val="Compact"/>
              <w:spacing w:after="40" w:before="40"/>
              <w:jc w:val="left"/>
            </w:pPr>
            <w:r>
              <w:rPr>
                <w:rFonts w:ascii="Cambria" w:hAnsi="Cambria" w:cs="Cambria" w:eastAsia="Cambria"/>
                <w:b/>
                <w:bCs/>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e GAD-7 (punteggi complessivi)</w:t>
            </w:r>
          </w:p>
        </w:tc>
        <w:tc>
          <w:tcPr/>
          <w:p>
            <w:pPr>
              <w:pStyle w:val="Compact"/>
              <w:spacing w:after="40" w:before="40"/>
              <w:jc w:val="left"/>
            </w:pPr>
            <w:r>
              <w:rPr>
                <w:rFonts w:ascii="Cambria" w:hAnsi="Cambria" w:cs="Cambria" w:eastAsia="Cambria"/>
                <w:color w:val="1A1A1A"/>
                <w:sz w:val="18"/>
              </w:rPr>
              <w:t xml:space="preserve">A ogni seduta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Invii e restituzioni</w:t>
            </w:r>
          </w:p>
        </w:tc>
        <w:tc>
          <w:tcPr>
            <w:shd w:val="clear" w:color="auto" w:fill="F4F1EC"/>
          </w:tcPr>
          <w:p>
            <w:pPr>
              <w:pStyle w:val="Compact"/>
              <w:spacing w:after="40" w:before="40"/>
              <w:jc w:val="left"/>
            </w:pPr>
            <w:r>
              <w:rPr>
                <w:rFonts w:ascii="Cambria" w:hAnsi="Cambria" w:cs="Cambria" w:eastAsia="Cambria"/>
                <w:color w:val="1A1A1A"/>
                <w:sz w:val="18"/>
              </w:rPr>
              <w:t xml:space="preserve">Invio a servizi specialistici; restituzione al medico curante</w:t>
            </w:r>
          </w:p>
        </w:tc>
        <w:tc>
          <w:tcPr>
            <w:shd w:val="clear" w:color="auto" w:fill="F4F1EC"/>
          </w:tcPr>
          <w:p>
            <w:pPr>
              <w:pStyle w:val="Compact"/>
              <w:spacing w:after="40" w:before="40"/>
              <w:jc w:val="left"/>
            </w:pPr>
            <w:r>
              <w:rPr>
                <w:rFonts w:ascii="Cambria" w:hAnsi="Cambria" w:cs="Cambria" w:eastAsia="Cambria"/>
                <w:color w:val="1A1A1A"/>
                <w:sz w:val="18"/>
              </w:rPr>
              <w:t xml:space="preserve">Ove pertinente</w:t>
            </w:r>
          </w:p>
        </w:tc>
      </w:tr>
      <w:tr>
        <w:tc>
          <w:tcPr/>
          <w:p>
            <w:pPr>
              <w:pStyle w:val="Compact"/>
              <w:spacing w:after="40" w:before="40"/>
              <w:jc w:val="left"/>
            </w:pPr>
            <w:r>
              <w:rPr>
                <w:rFonts w:ascii="Cambria" w:hAnsi="Cambria" w:cs="Cambria" w:eastAsia="Cambria"/>
                <w:b/>
                <w:bCs/>
                <w:color w:val="1A1A1A"/>
                <w:sz w:val="18"/>
              </w:rPr>
              <w:t xml:space="preserve">Chiusura</w:t>
            </w:r>
          </w:p>
        </w:tc>
        <w:tc>
          <w:tcPr/>
          <w:p>
            <w:pPr>
              <w:pStyle w:val="Compact"/>
              <w:spacing w:after="40" w:before="40"/>
              <w:jc w:val="left"/>
            </w:pPr>
            <w:r>
              <w:rPr>
                <w:rFonts w:ascii="Cambria" w:hAnsi="Cambria" w:cs="Cambria" w:eastAsia="Cambria"/>
                <w:color w:val="1A1A1A"/>
                <w:sz w:val="18"/>
              </w:rPr>
              <w:t xml:space="preserve">Esito del percorso (recupero, miglioramento, invio)</w:t>
            </w:r>
          </w:p>
        </w:tc>
        <w:tc>
          <w:tcPr/>
          <w:p>
            <w:pPr>
              <w:pStyle w:val="Compact"/>
              <w:spacing w:after="40" w:before="40"/>
              <w:jc w:val="left"/>
            </w:pPr>
            <w:r>
              <w:rPr>
                <w:rFonts w:ascii="Cambria" w:hAnsi="Cambria" w:cs="Cambria" w:eastAsia="Cambria"/>
                <w:color w:val="1A1A1A"/>
                <w:sz w:val="18"/>
              </w:rPr>
              <w:t xml:space="preserve">Alla chiusura</w:t>
            </w:r>
          </w:p>
        </w:tc>
      </w:tr>
    </w:tbl>
    <w:p>
      <w:pPr>
        <w:pStyle w:val="BodyText"/>
      </w:pPr>
      <w:r>
        <w:rPr>
          <w:i/>
          <w:iCs/>
        </w:rPr>
        <w:t xml:space="preserve">Tabella B.2. Il dataset minimo: i campi del protocollo di rilevazione (dizionario dei dati).</w:t>
      </w:r>
    </w:p>
    <w:bookmarkEnd w:id="1469"/>
    <w:bookmarkStart w:id="4371" w:name="appendice-c-dati-regionali-e-fonti-4"/>
    <w:p>
      <w:pPr>
        <w:pStyle w:val="Heading2"/>
      </w:pPr>
      <w:r>
        <w:t xml:space="preserve">Appendice C — Dati regionali e fonti</w:t>
      </w:r>
    </w:p>
    <w:p>
      <w:pPr>
        <w:pStyle w:val="FirstParagraph"/>
      </w:pPr>
      <w:r>
        <w:t xml:space="preserve">La presente appendice raccoglie i dati regionali di ancoraggio dello studio e ne dichiara i limiti. I valori veneti impiegati nelle analisi sono riepilogati nella tabella seguente.</w:t>
      </w:r>
      <w:r>
        <w:rPr>
          <w:rStyle w:val="FootnoteReference"/>
        </w:rPr>
        <w:footnoteReference w:id="2206"/>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22"/>
        <w:gridCol w:w="578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regionale</w:t>
            </w:r>
          </w:p>
        </w:tc>
      </w:tr>
      <w:tr>
        <w:tc>
          <w:tcPr/>
          <w:p>
            <w:pPr>
              <w:pStyle w:val="Compact"/>
              <w:spacing w:after="40" w:before="40"/>
              <w:jc w:val="left"/>
            </w:pPr>
            <w:r>
              <w:rPr>
                <w:rFonts w:ascii="Cambria" w:hAnsi="Cambria" w:cs="Cambria" w:eastAsia="Cambria"/>
                <w:b/>
                <w:bCs/>
                <w:color w:val="1A1A1A"/>
                <w:sz w:val="18"/>
              </w:rPr>
              <w:t xml:space="preserve">Popolazione regionale</w:t>
            </w:r>
          </w:p>
        </w:tc>
        <w:tc>
          <w:tcPr/>
          <w:p>
            <w:pPr>
              <w:pStyle w:val="Compact"/>
              <w:spacing w:after="40" w:before="40"/>
              <w:jc w:val="left"/>
            </w:pPr>
            <w:r>
              <w:rPr>
                <w:rFonts w:ascii="Cambria" w:hAnsi="Cambria" w:cs="Cambria" w:eastAsia="Cambria"/>
                <w:color w:val="1A1A1A"/>
                <w:sz w:val="18"/>
              </w:rPr>
              <w:t xml:space="preserve">4.853.472 abitanti (Censimento ISTAT 2024); quarta regione d’Italia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Finanziamento del SSR</w:t>
            </w:r>
          </w:p>
        </w:tc>
        <w:tc>
          <w:tcPr>
            <w:shd w:val="clear" w:color="auto" w:fill="F4F1EC"/>
          </w:tcPr>
          <w:p>
            <w:pPr>
              <w:pStyle w:val="Compact"/>
              <w:spacing w:after="40" w:before="40"/>
              <w:jc w:val="left"/>
            </w:pPr>
            <w:r>
              <w:rPr>
                <w:rFonts w:ascii="Cambria" w:hAnsi="Cambria" w:cs="Cambria" w:eastAsia="Cambria"/>
                <w:color w:val="1A1A1A"/>
                <w:sz w:val="18"/>
              </w:rPr>
              <w:t xml:space="preserve">~ 11 miliardi di euro; conti in equilibrio; nessun piano di rientro</w:t>
            </w:r>
          </w:p>
        </w:tc>
      </w:tr>
      <w:tr>
        <w:tc>
          <w:tcPr/>
          <w:p>
            <w:pPr>
              <w:pStyle w:val="Compact"/>
              <w:spacing w:after="40" w:before="40"/>
              <w:jc w:val="left"/>
            </w:pPr>
            <w:r>
              <w:rPr>
                <w:rFonts w:ascii="Cambria" w:hAnsi="Cambria" w:cs="Cambria" w:eastAsia="Cambria"/>
                <w:b/>
                <w:bCs/>
                <w:color w:val="1A1A1A"/>
                <w:sz w:val="18"/>
              </w:rPr>
              <w:t xml:space="preserve">Mobilità sanitaria</w:t>
            </w:r>
          </w:p>
        </w:tc>
        <w:tc>
          <w:tcPr/>
          <w:p>
            <w:pPr>
              <w:pStyle w:val="Compact"/>
              <w:spacing w:after="40" w:before="40"/>
              <w:jc w:val="left"/>
            </w:pPr>
            <w:r>
              <w:rPr>
                <w:rFonts w:ascii="Cambria" w:hAnsi="Cambria" w:cs="Cambria" w:eastAsia="Cambria"/>
                <w:color w:val="1A1A1A"/>
                <w:sz w:val="18"/>
              </w:rPr>
              <w:t xml:space="preserve">Saldo attivo, dell’ordine di +198 milioni; regione creditrice, terza d’Italia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 1,5 milioni di accessi/anno</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Consumo regionale delle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 970.000 con disagio comune; ~ 72.000 in carico ai Dipartimenti di Salute Mentale</w:t>
            </w:r>
          </w:p>
        </w:tc>
      </w:tr>
      <w:tr>
        <w:tc>
          <w:tcPr/>
          <w:p>
            <w:pPr>
              <w:pStyle w:val="Compact"/>
              <w:spacing w:after="40" w:before="40"/>
              <w:jc w:val="left"/>
            </w:pPr>
            <w:r>
              <w:rPr>
                <w:rFonts w:ascii="Cambria" w:hAnsi="Cambria" w:cs="Cambria" w:eastAsia="Cambria"/>
                <w:b/>
                <w:bCs/>
                <w:color w:val="1A1A1A"/>
                <w:sz w:val="18"/>
              </w:rPr>
              <w:t xml:space="preserve">Funzione attuale</w:t>
            </w:r>
          </w:p>
        </w:tc>
        <w:tc>
          <w:tcPr/>
          <w:p>
            <w:pPr>
              <w:pStyle w:val="Compact"/>
              <w:spacing w:after="40" w:before="40"/>
              <w:jc w:val="left"/>
            </w:pPr>
            <w:r>
              <w:rPr>
                <w:rFonts w:ascii="Cambria" w:hAnsi="Cambria" w:cs="Cambria" w:eastAsia="Cambria"/>
                <w:color w:val="1A1A1A"/>
                <w:sz w:val="18"/>
              </w:rPr>
              <w:t xml:space="preserve">Sperimentazioni dal 2014; mozione n. 302/2022; funzione non ancora strutturata; ~ 5% del fabbisogno</w:t>
            </w:r>
          </w:p>
        </w:tc>
      </w:tr>
    </w:tbl>
    <w:p>
      <w:pPr>
        <w:pStyle w:val="BodyText"/>
      </w:pPr>
      <w:r>
        <w:rPr>
          <w:i/>
          <w:iCs/>
        </w:rPr>
        <w:t xml:space="preserve">Tabella C.1. I valori regionali di ancoraggio del Veneto.</w:t>
      </w:r>
    </w:p>
    <w:p>
      <w:pPr>
        <w:pStyle w:val="BodyText"/>
      </w:pPr>
      <w:r>
        <w:t xml:space="preserve">Resta la lacuna principale dello studio: i valori economici sono in parte ricostruiti a partire dai conti nazionali scalati per la quota di popolazione veneta, e non estratti dai conti regionali certificati.</w:t>
      </w:r>
      <w:r>
        <w:rPr>
          <w:rStyle w:val="FootnoteReference"/>
        </w:rPr>
        <w:footnoteReference w:id="2207"/>
      </w:r>
      <w:r>
        <w:t xml:space="preserve"> </w:t>
      </w:r>
      <w:r>
        <w:t xml:space="preserve">La tabella seguente elenca i dati da acquisire per sostituire le stime.</w:t>
      </w:r>
    </w:p>
    <w:tbl>
      <w:tblPr>
        <w:tblStyle w:val="Table"/>
        <w:tblW w:type="pct" w:w="491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45"/>
        <w:gridCol w:w="523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Dato da acquisire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Ricoveri psichiatrici</w:t>
            </w:r>
          </w:p>
        </w:tc>
        <w:tc>
          <w:tcPr/>
          <w:p>
            <w:pPr>
              <w:pStyle w:val="Compact"/>
              <w:spacing w:after="40" w:before="40"/>
              <w:jc w:val="left"/>
            </w:pPr>
            <w:r>
              <w:rPr>
                <w:rFonts w:ascii="Cambria" w:hAnsi="Cambria" w:cs="Cambria" w:eastAsia="Cambria"/>
                <w:color w:val="1A1A1A"/>
                <w:sz w:val="18"/>
              </w:rPr>
              <w:t xml:space="preserve">Schede di dimissione ospedaliera per disturbi psichici e relativo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Specialistica</w:t>
            </w:r>
          </w:p>
        </w:tc>
        <w:tc>
          <w:tcPr>
            <w:shd w:val="clear" w:color="auto" w:fill="F4F1EC"/>
          </w:tcPr>
          <w:p>
            <w:pPr>
              <w:pStyle w:val="Compact"/>
              <w:spacing w:after="40" w:before="40"/>
              <w:jc w:val="left"/>
            </w:pPr>
            <w:r>
              <w:rPr>
                <w:rFonts w:ascii="Cambria" w:hAnsi="Cambria" w:cs="Cambria" w:eastAsia="Cambria"/>
                <w:color w:val="1A1A1A"/>
                <w:sz w:val="18"/>
              </w:rPr>
              <w:t xml:space="preserve">Prestazioni specialistiche associate ai sintomi somatici funzionali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Spesa regionale per 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causa psichiatrica e relativo costo unitario</w:t>
            </w:r>
          </w:p>
        </w:tc>
      </w:tr>
      <w:tr>
        <w:tc>
          <w:tcPr/>
          <w:p>
            <w:pPr>
              <w:pStyle w:val="Compact"/>
              <w:spacing w:after="40" w:before="40"/>
              <w:jc w:val="left"/>
            </w:pPr>
            <w:r>
              <w:rPr>
                <w:rFonts w:ascii="Cambria" w:hAnsi="Cambria" w:cs="Cambria" w:eastAsia="Cambria"/>
                <w:b/>
                <w:bCs/>
                <w:color w:val="1A1A1A"/>
                <w:sz w:val="18"/>
              </w:rPr>
              <w:t xml:space="preserve">Liste di attesa</w:t>
            </w:r>
          </w:p>
        </w:tc>
        <w:tc>
          <w:tcPr/>
          <w:p>
            <w:pPr>
              <w:pStyle w:val="Compact"/>
              <w:spacing w:after="40" w:before="40"/>
              <w:jc w:val="left"/>
            </w:pPr>
            <w:r>
              <w:rPr>
                <w:rFonts w:ascii="Cambria" w:hAnsi="Cambria" w:cs="Cambria" w:eastAsia="Cambria"/>
                <w:color w:val="1A1A1A"/>
                <w:sz w:val="18"/>
              </w:rPr>
              <w:t xml:space="preserve">Tempi di attesa per l’accesso psicologico, per Azienda ULSS e per area</w:t>
            </w:r>
          </w:p>
        </w:tc>
      </w:tr>
    </w:tbl>
    <w:p>
      <w:pPr>
        <w:pStyle w:val="BodyText"/>
      </w:pPr>
      <w:r>
        <w:rPr>
          <w:i/>
          <w:iCs/>
        </w:rPr>
        <w:t xml:space="preserve">Tabella C.2. I dati certificati da acquisire per sostituire le stime (lacuna principale dello studio).</w:t>
      </w:r>
    </w:p>
    <w:bookmarkEnd w:id="4371"/>
    <w:bookmarkStart w:id="1474" w:name="appendice-d-checklist-di-reporting-4"/>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208"/>
      </w:r>
      <w:r>
        <w:t xml:space="preserve"> </w:t>
      </w:r>
      <w:r>
        <w:t xml:space="preserve">La tabella seguente li riepiloga.</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3927"/>
        <w:gridCol w:w="1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Standard o lista di controllo</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r>
      <w:tr>
        <w:tc>
          <w:tcPr/>
          <w:p>
            <w:pPr>
              <w:pStyle w:val="Compact"/>
              <w:spacing w:after="40" w:before="40"/>
              <w:jc w:val="left"/>
            </w:pPr>
            <w:r>
              <w:rPr>
                <w:rFonts w:ascii="Cambria" w:hAnsi="Cambria" w:cs="Cambria" w:eastAsia="Cambria"/>
                <w:b/>
                <w:bCs/>
                <w:color w:val="1A1A1A"/>
                <w:sz w:val="18"/>
              </w:rPr>
              <w:t xml:space="preserve">CHEERS 2022 (28 voci)</w:t>
            </w:r>
          </w:p>
        </w:tc>
        <w:tc>
          <w:tcPr/>
          <w:p>
            <w:pPr>
              <w:pStyle w:val="Compact"/>
              <w:spacing w:after="40" w:before="40"/>
              <w:jc w:val="left"/>
            </w:pPr>
            <w:r>
              <w:rPr>
                <w:rFonts w:ascii="Cambria" w:hAnsi="Cambria" w:cs="Cambria" w:eastAsia="Cambria"/>
                <w:color w:val="1A1A1A"/>
                <w:sz w:val="18"/>
              </w:rPr>
              <w:t xml:space="preserve">Rendicontazione delle valutazioni economiche</w:t>
            </w:r>
          </w:p>
        </w:tc>
        <w:tc>
          <w:tcPr/>
          <w:p>
            <w:pPr>
              <w:pStyle w:val="Compact"/>
              <w:spacing w:after="40" w:before="40"/>
              <w:jc w:val="left"/>
            </w:pPr>
            <w:r>
              <w:rPr>
                <w:rFonts w:ascii="Cambria" w:hAnsi="Cambria" w:cs="Cambria" w:eastAsia="Cambria"/>
                <w:color w:val="1A1A1A"/>
                <w:sz w:val="18"/>
              </w:rPr>
              <w:t xml:space="preserve">Parte 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CHEERS-AI (38 voci)</w:t>
            </w:r>
          </w:p>
        </w:tc>
        <w:tc>
          <w:tcPr>
            <w:shd w:val="clear" w:color="auto" w:fill="F4F1EC"/>
          </w:tcPr>
          <w:p>
            <w:pPr>
              <w:pStyle w:val="Compact"/>
              <w:spacing w:after="40" w:before="40"/>
              <w:jc w:val="left"/>
            </w:pPr>
            <w:r>
              <w:rPr>
                <w:rFonts w:ascii="Cambria" w:hAnsi="Cambria" w:cs="Cambria" w:eastAsia="Cambria"/>
                <w:color w:val="1A1A1A"/>
                <w:sz w:val="18"/>
              </w:rPr>
              <w:t xml:space="preserve">Estensione per gli interventi con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Parti C, E</w:t>
            </w:r>
          </w:p>
        </w:tc>
      </w:tr>
      <w:tr>
        <w:tc>
          <w:tcPr/>
          <w:p>
            <w:pPr>
              <w:pStyle w:val="Compact"/>
              <w:spacing w:after="40" w:before="40"/>
              <w:jc w:val="left"/>
            </w:pPr>
            <w:r>
              <w:rPr>
                <w:rFonts w:ascii="Cambria" w:hAnsi="Cambria" w:cs="Cambria" w:eastAsia="Cambria"/>
                <w:b/>
                <w:bCs/>
                <w:color w:val="1A1A1A"/>
                <w:sz w:val="18"/>
              </w:rPr>
              <w:t xml:space="preserve">PRISMA 2020</w:t>
            </w:r>
          </w:p>
        </w:tc>
        <w:tc>
          <w:tcPr/>
          <w:p>
            <w:pPr>
              <w:pStyle w:val="Compact"/>
              <w:spacing w:after="40" w:before="40"/>
              <w:jc w:val="left"/>
            </w:pPr>
            <w:r>
              <w:rPr>
                <w:rFonts w:ascii="Cambria" w:hAnsi="Cambria" w:cs="Cambria" w:eastAsia="Cambria"/>
                <w:color w:val="1A1A1A"/>
                <w:sz w:val="18"/>
              </w:rPr>
              <w:t xml:space="preserve">Conduzione e reporting delle revisioni sistematiche</w:t>
            </w:r>
          </w:p>
        </w:tc>
        <w:tc>
          <w:tcPr/>
          <w:p>
            <w:pPr>
              <w:pStyle w:val="Compact"/>
              <w:spacing w:after="40" w:before="40"/>
              <w:jc w:val="left"/>
            </w:pPr>
            <w:r>
              <w:rPr>
                <w:rFonts w:ascii="Cambria" w:hAnsi="Cambria" w:cs="Cambria" w:eastAsia="Cambria"/>
                <w:color w:val="1A1A1A"/>
                <w:sz w:val="18"/>
              </w:rPr>
              <w:t xml:space="preserve">Parte 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GRADE</w:t>
            </w:r>
          </w:p>
        </w:tc>
        <w:tc>
          <w:tcPr>
            <w:shd w:val="clear" w:color="auto" w:fill="F4F1EC"/>
          </w:tcPr>
          <w:p>
            <w:pPr>
              <w:pStyle w:val="Compact"/>
              <w:spacing w:after="40" w:before="40"/>
              <w:jc w:val="left"/>
            </w:pPr>
            <w:r>
              <w:rPr>
                <w:rFonts w:ascii="Cambria" w:hAnsi="Cambria" w:cs="Cambria" w:eastAsia="Cambria"/>
                <w:color w:val="1A1A1A"/>
                <w:sz w:val="18"/>
              </w:rPr>
              <w:t xml:space="preserve">Graduazione della certezza dell’evidenza</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r>
      <w:tr>
        <w:tc>
          <w:tcPr/>
          <w:p>
            <w:pPr>
              <w:pStyle w:val="Compact"/>
              <w:spacing w:after="40" w:before="40"/>
              <w:jc w:val="left"/>
            </w:pPr>
            <w:r>
              <w:rPr>
                <w:rFonts w:ascii="Cambria" w:hAnsi="Cambria" w:cs="Cambria" w:eastAsia="Cambria"/>
                <w:b/>
                <w:bCs/>
                <w:color w:val="1A1A1A"/>
                <w:sz w:val="18"/>
              </w:rPr>
              <w:t xml:space="preserve">Lista STROBE</w:t>
            </w:r>
          </w:p>
        </w:tc>
        <w:tc>
          <w:tcPr/>
          <w:p>
            <w:pPr>
              <w:pStyle w:val="Compact"/>
              <w:spacing w:after="40" w:before="40"/>
              <w:jc w:val="left"/>
            </w:pPr>
            <w:r>
              <w:rPr>
                <w:rFonts w:ascii="Cambria" w:hAnsi="Cambria" w:cs="Cambria" w:eastAsia="Cambria"/>
                <w:color w:val="1A1A1A"/>
                <w:sz w:val="18"/>
              </w:rPr>
              <w:t xml:space="preserve">Studi osservazionali sui dati reali</w:t>
            </w:r>
          </w:p>
        </w:tc>
        <w:tc>
          <w:tcPr/>
          <w:p>
            <w:pPr>
              <w:pStyle w:val="Compact"/>
              <w:spacing w:after="40" w:before="40"/>
              <w:jc w:val="left"/>
            </w:pPr>
            <w:r>
              <w:rPr>
                <w:rFonts w:ascii="Cambria" w:hAnsi="Cambria" w:cs="Cambria" w:eastAsia="Cambria"/>
                <w:color w:val="1A1A1A"/>
                <w:sz w:val="18"/>
              </w:rPr>
              <w:t xml:space="preserve">Parti D,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Buone pratiche ISPOR-SMDM</w:t>
            </w:r>
          </w:p>
        </w:tc>
        <w:tc>
          <w:tcPr>
            <w:shd w:val="clear" w:color="auto" w:fill="F4F1EC"/>
          </w:tcPr>
          <w:p>
            <w:pPr>
              <w:pStyle w:val="Compact"/>
              <w:spacing w:after="40" w:before="40"/>
              <w:jc w:val="left"/>
            </w:pPr>
            <w:r>
              <w:rPr>
                <w:rFonts w:ascii="Cambria" w:hAnsi="Cambria" w:cs="Cambria" w:eastAsia="Cambria"/>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r>
      <w:tr>
        <w:tc>
          <w:tcPr/>
          <w:p>
            <w:pPr>
              <w:pStyle w:val="Compact"/>
              <w:spacing w:after="40" w:before="40"/>
              <w:jc w:val="left"/>
            </w:pPr>
            <w:r>
              <w:rPr>
                <w:rFonts w:ascii="Cambria" w:hAnsi="Cambria" w:cs="Cambria" w:eastAsia="Cambria"/>
                <w:b/>
                <w:bCs/>
                <w:color w:val="1A1A1A"/>
                <w:sz w:val="18"/>
              </w:rPr>
              <w:t xml:space="preserve">Manuale OCSE-JRC</w:t>
            </w:r>
          </w:p>
        </w:tc>
        <w:tc>
          <w:tcPr/>
          <w:p>
            <w:pPr>
              <w:pStyle w:val="Compact"/>
              <w:spacing w:after="40" w:before="40"/>
              <w:jc w:val="left"/>
            </w:pPr>
            <w:r>
              <w:rPr>
                <w:rFonts w:ascii="Cambria" w:hAnsi="Cambria" w:cs="Cambria" w:eastAsia="Cambria"/>
                <w:color w:val="1A1A1A"/>
                <w:sz w:val="18"/>
              </w:rPr>
              <w:t xml:space="preserve">Costruzione degli indicatori compositi</w:t>
            </w:r>
          </w:p>
        </w:tc>
        <w:tc>
          <w:tcPr/>
          <w:p>
            <w:pPr>
              <w:pStyle w:val="Compact"/>
              <w:spacing w:after="40" w:before="40"/>
              <w:jc w:val="left"/>
            </w:pPr>
            <w:r>
              <w:rPr>
                <w:rFonts w:ascii="Cambria" w:hAnsi="Cambria" w:cs="Cambria" w:eastAsia="Cambria"/>
                <w:color w:val="1A1A1A"/>
                <w:sz w:val="18"/>
              </w:rPr>
              <w:t xml:space="preserve">Parte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Griglia di giudizio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r>
    </w:tbl>
    <w:p>
      <w:pPr>
        <w:pStyle w:val="BodyText"/>
      </w:pPr>
      <w:r>
        <w:rPr>
          <w:i/>
          <w:iCs/>
        </w:rPr>
        <w:t xml:space="preserve">Tabella D.1. Gli standard di reporting e di qualità adottati nello studio, per parte di applicazione.</w:t>
      </w:r>
    </w:p>
    <w:bookmarkEnd w:id="1474"/>
    <w:bookmarkStart w:id="4372" w:name="appendice-e-glossario-4"/>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209"/>
      </w:r>
      <w:r>
        <w:t xml:space="preserve"> </w:t>
      </w:r>
      <w:r>
        <w:t xml:space="preserve">Le definizioni sono comuni al telaio metodologico replicato in tutti gli studi regionali del progetto.</w:t>
      </w:r>
    </w:p>
    <w:tbl>
      <w:tblPr>
        <w:tblStyle w:val="Table"/>
        <w:tblW w:type="pct" w:w="494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15"/>
        <w:gridCol w:w="531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Termine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w:t>
            </w:r>
          </w:p>
        </w:tc>
      </w:tr>
      <w:tr>
        <w:tc>
          <w:tcPr/>
          <w:p>
            <w:pPr>
              <w:pStyle w:val="Compact"/>
              <w:spacing w:after="40" w:before="40"/>
              <w:jc w:val="left"/>
            </w:pPr>
            <w:r>
              <w:rPr>
                <w:rFonts w:ascii="Cambria" w:hAnsi="Cambria" w:cs="Cambria" w:eastAsia="Cambria"/>
                <w:b/>
                <w:bCs/>
                <w:color w:val="1A1A1A"/>
                <w:sz w:val="18"/>
              </w:rPr>
              <w:t xml:space="preserve">Valutazione di tecnologia sanitaria (HTA)</w:t>
            </w:r>
          </w:p>
        </w:tc>
        <w:tc>
          <w:tcPr/>
          <w:p>
            <w:pPr>
              <w:pStyle w:val="Compact"/>
              <w:spacing w:after="40" w:before="40"/>
              <w:jc w:val="left"/>
            </w:pPr>
            <w:r>
              <w:rPr>
                <w:rFonts w:ascii="Cambria" w:hAnsi="Cambria" w:cs="Cambria" w:eastAsia="Cambria"/>
                <w:color w:val="1A1A1A"/>
                <w:sz w:val="18"/>
              </w:rPr>
              <w:t xml:space="preserve">Valutazione multidimensionale di un intervento sanitario, articolata in nove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rapida di efficacia relativa</w:t>
            </w:r>
          </w:p>
        </w:tc>
        <w:tc>
          <w:tcPr>
            <w:shd w:val="clear" w:color="auto" w:fill="F4F1EC"/>
          </w:tcPr>
          <w:p>
            <w:pPr>
              <w:pStyle w:val="Compact"/>
              <w:spacing w:after="40" w:before="40"/>
              <w:jc w:val="left"/>
            </w:pPr>
            <w:r>
              <w:rPr>
                <w:rFonts w:ascii="Cambria" w:hAnsi="Cambria" w:cs="Cambria" w:eastAsia="Cambria"/>
                <w:color w:val="1A1A1A"/>
                <w:sz w:val="18"/>
              </w:rPr>
              <w:t xml:space="preserve">Nucleo dell’HTA, che copre i primi quattro domini (problema, descrizione, sicurezza, efficacia)</w:t>
            </w:r>
          </w:p>
        </w:tc>
      </w:tr>
      <w:tr>
        <w:tc>
          <w:tcPr/>
          <w:p>
            <w:pPr>
              <w:pStyle w:val="Compact"/>
              <w:spacing w:after="40" w:before="40"/>
              <w:jc w:val="left"/>
            </w:pPr>
            <w:r>
              <w:rPr>
                <w:rFonts w:ascii="Cambria" w:hAnsi="Cambria" w:cs="Cambria" w:eastAsia="Cambria"/>
                <w:b/>
                <w:bCs/>
                <w:color w:val="1A1A1A"/>
                <w:sz w:val="18"/>
              </w:rPr>
              <w:t xml:space="preserve">Five Case Model</w:t>
            </w:r>
          </w:p>
        </w:tc>
        <w:tc>
          <w:tcPr/>
          <w:p>
            <w:pPr>
              <w:pStyle w:val="Compact"/>
              <w:spacing w:after="40" w:before="40"/>
              <w:jc w:val="left"/>
            </w:pPr>
            <w:r>
              <w:rPr>
                <w:rFonts w:ascii="Cambria" w:hAnsi="Cambria" w:cs="Cambria" w:eastAsia="Cambria"/>
                <w:color w:val="1A1A1A"/>
                <w:sz w:val="18"/>
              </w:rPr>
              <w:t xml:space="preserve">Standard del business case pubblico in cinque casi: strategico, economico, commerciale, finanziario, gestionale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 2022</w:t>
            </w:r>
          </w:p>
        </w:tc>
        <w:tc>
          <w:tcPr>
            <w:shd w:val="clear" w:color="auto" w:fill="F4F1EC"/>
          </w:tcPr>
          <w:p>
            <w:pPr>
              <w:pStyle w:val="Compact"/>
              <w:spacing w:after="40" w:before="40"/>
              <w:jc w:val="left"/>
            </w:pPr>
            <w:r>
              <w:rPr>
                <w:rFonts w:ascii="Cambria" w:hAnsi="Cambria" w:cs="Cambria" w:eastAsia="Cambria"/>
                <w:color w:val="1A1A1A"/>
                <w:sz w:val="18"/>
              </w:rPr>
              <w:t xml:space="preserve">Lista di controllo di 28 voci per la rendicontazione delle valutazioni economiche</w:t>
            </w:r>
          </w:p>
        </w:tc>
      </w:tr>
      <w:tr>
        <w:tc>
          <w:tcPr/>
          <w:p>
            <w:pPr>
              <w:pStyle w:val="Compact"/>
              <w:spacing w:after="40" w:before="40"/>
              <w:jc w:val="left"/>
            </w:pPr>
            <w:r>
              <w:rPr>
                <w:rFonts w:ascii="Cambria" w:hAnsi="Cambria" w:cs="Cambria" w:eastAsia="Cambria"/>
                <w:b/>
                <w:bCs/>
                <w:color w:val="1A1A1A"/>
                <w:sz w:val="18"/>
              </w:rPr>
              <w:t xml:space="preserve">Criteri OCSE-DAC</w:t>
            </w:r>
          </w:p>
        </w:tc>
        <w:tc>
          <w:tcPr/>
          <w:p>
            <w:pPr>
              <w:pStyle w:val="Compact"/>
              <w:spacing w:after="40" w:before="40"/>
              <w:jc w:val="left"/>
            </w:pPr>
            <w:r>
              <w:rPr>
                <w:rFonts w:ascii="Cambria" w:hAnsi="Cambria" w:cs="Cambria" w:eastAsia="Cambria"/>
                <w:color w:val="1A1A1A"/>
                <w:sz w:val="18"/>
              </w:rPr>
              <w:t xml:space="preserve">Sei criteri di giudizio: rilevanza, coerenza, efficacia, efficienza, impatto,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di vita ponderato per la qualità (QALY)</w:t>
            </w:r>
          </w:p>
        </w:tc>
        <w:tc>
          <w:tcPr>
            <w:shd w:val="clear" w:color="auto" w:fill="F4F1EC"/>
          </w:tcPr>
          <w:p>
            <w:pPr>
              <w:pStyle w:val="Compact"/>
              <w:spacing w:after="40" w:before="40"/>
              <w:jc w:val="left"/>
            </w:pPr>
            <w:r>
              <w:rPr>
                <w:rFonts w:ascii="Cambria" w:hAnsi="Cambria" w:cs="Cambria" w:eastAsia="Cambria"/>
                <w:color w:val="1A1A1A"/>
                <w:sz w:val="18"/>
              </w:rPr>
              <w:t xml:space="preserve">Misura che integra durata e qualità della vita guadagnate</w:t>
            </w:r>
          </w:p>
        </w:tc>
      </w:tr>
      <w:tr>
        <w:tc>
          <w:tcPr/>
          <w:p>
            <w:pPr>
              <w:pStyle w:val="Compact"/>
              <w:spacing w:after="40" w:before="40"/>
              <w:jc w:val="left"/>
            </w:pPr>
            <w:r>
              <w:rPr>
                <w:rFonts w:ascii="Cambria" w:hAnsi="Cambria" w:cs="Cambria" w:eastAsia="Cambria"/>
                <w:b/>
                <w:bCs/>
                <w:color w:val="1A1A1A"/>
                <w:sz w:val="18"/>
              </w:rPr>
              <w:t xml:space="preserve">Rapporto incrementale di costo-efficacia (ICER)</w:t>
            </w:r>
          </w:p>
        </w:tc>
        <w:tc>
          <w:tcPr/>
          <w:p>
            <w:pPr>
              <w:pStyle w:val="Compact"/>
              <w:spacing w:after="40" w:before="40"/>
              <w:jc w:val="left"/>
            </w:pPr>
            <w:r>
              <w:rPr>
                <w:rFonts w:ascii="Cambria" w:hAnsi="Cambria" w:cs="Cambria" w:eastAsia="Cambria"/>
                <w:color w:val="1A1A1A"/>
                <w:sz w:val="18"/>
              </w:rPr>
              <w:t xml:space="preserve">Rapporto tra costo aggiuntivo e guadagno di salute, confrontato con una soglia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costo-utilità</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che misura gli esiti in anni di vita ponderati per la qualità</w:t>
            </w:r>
          </w:p>
        </w:tc>
      </w:tr>
      <w:tr>
        <w:tc>
          <w:tcPr/>
          <w:p>
            <w:pPr>
              <w:pStyle w:val="Compact"/>
              <w:spacing w:after="40" w:before="40"/>
              <w:jc w:val="left"/>
            </w:pPr>
            <w:r>
              <w:rPr>
                <w:rFonts w:ascii="Cambria" w:hAnsi="Cambria" w:cs="Cambria" w:eastAsia="Cambria"/>
                <w:b/>
                <w:bCs/>
                <w:color w:val="1A1A1A"/>
                <w:sz w:val="18"/>
              </w:rPr>
              <w:t xml:space="preserve">Analisi di impatto sul bilancio</w:t>
            </w:r>
          </w:p>
        </w:tc>
        <w:tc>
          <w:tcPr/>
          <w:p>
            <w:pPr>
              <w:pStyle w:val="Compact"/>
              <w:spacing w:after="40" w:before="40"/>
              <w:jc w:val="left"/>
            </w:pPr>
            <w:r>
              <w:rPr>
                <w:rFonts w:ascii="Cambria" w:hAnsi="Cambria" w:cs="Cambria" w:eastAsia="Cambria"/>
                <w:color w:val="1A1A1A"/>
                <w:sz w:val="18"/>
              </w:rPr>
              <w:t xml:space="preserve">Stima dell’effetto finanziario sul bilancio del detentore del budget, su flussi non scontati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sull’investimento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Metodo che monetizza il valore sociale generato, distinto dai risparmi di bilancio</w:t>
            </w:r>
          </w:p>
        </w:tc>
      </w:tr>
      <w:tr>
        <w:tc>
          <w:tcPr/>
          <w:p>
            <w:pPr>
              <w:pStyle w:val="Compact"/>
              <w:spacing w:after="40" w:before="40"/>
              <w:jc w:val="left"/>
            </w:pPr>
            <w:r>
              <w:rPr>
                <w:rFonts w:ascii="Cambria" w:hAnsi="Cambria" w:cs="Cambria" w:eastAsia="Cambria"/>
                <w:b/>
                <w:bCs/>
                <w:color w:val="1A1A1A"/>
                <w:sz w:val="18"/>
              </w:rPr>
              <w:t xml:space="preserve">Analisi costo-efficacia distributiva (DCEA)</w:t>
            </w:r>
          </w:p>
        </w:tc>
        <w:tc>
          <w:tcPr/>
          <w:p>
            <w:pPr>
              <w:pStyle w:val="Compact"/>
              <w:spacing w:after="40" w:before="40"/>
              <w:jc w:val="left"/>
            </w:pPr>
            <w:r>
              <w:rPr>
                <w:rFonts w:ascii="Cambria" w:hAnsi="Cambria" w:cs="Cambria" w:eastAsia="Cambria"/>
                <w:color w:val="1A1A1A"/>
                <w:sz w:val="18"/>
              </w:rPr>
              <w:t xml:space="preserve">Estende la valutazione economica alla distribuzione degli effetti tra gruppi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sensibilità probabilistica</w:t>
            </w:r>
          </w:p>
        </w:tc>
        <w:tc>
          <w:tcPr>
            <w:shd w:val="clear" w:color="auto" w:fill="F4F1EC"/>
          </w:tcPr>
          <w:p>
            <w:pPr>
              <w:pStyle w:val="Compact"/>
              <w:spacing w:after="40" w:before="40"/>
              <w:jc w:val="left"/>
            </w:pPr>
            <w:r>
              <w:rPr>
                <w:rFonts w:ascii="Cambria" w:hAnsi="Cambria" w:cs="Cambria" w:eastAsia="Cambria"/>
                <w:color w:val="1A1A1A"/>
                <w:sz w:val="18"/>
              </w:rPr>
              <w:t xml:space="preserve">Propaga l’incertezza dei parametri mediante simulazioni Monte Carlo</w:t>
            </w:r>
          </w:p>
        </w:tc>
      </w:tr>
      <w:tr>
        <w:tc>
          <w:tcPr/>
          <w:p>
            <w:pPr>
              <w:pStyle w:val="Compact"/>
              <w:spacing w:after="40" w:before="40"/>
              <w:jc w:val="left"/>
            </w:pPr>
            <w:r>
              <w:rPr>
                <w:rFonts w:ascii="Cambria" w:hAnsi="Cambria" w:cs="Cambria" w:eastAsia="Cambria"/>
                <w:b/>
                <w:bCs/>
                <w:color w:val="1A1A1A"/>
                <w:sz w:val="18"/>
              </w:rPr>
              <w:t xml:space="preserve">Valore dell’informazione (EVPI, EVPPI)</w:t>
            </w:r>
          </w:p>
        </w:tc>
        <w:tc>
          <w:tcPr/>
          <w:p>
            <w:pPr>
              <w:pStyle w:val="Compact"/>
              <w:spacing w:after="40" w:before="40"/>
              <w:jc w:val="left"/>
            </w:pPr>
            <w:r>
              <w:rPr>
                <w:rFonts w:ascii="Cambria" w:hAnsi="Cambria" w:cs="Cambria" w:eastAsia="Cambria"/>
                <w:color w:val="1A1A1A"/>
                <w:sz w:val="18"/>
              </w:rPr>
              <w:t xml:space="preserve">Beneficio atteso dalla riduzione dell’incertezza, complessiva e sui parametri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Markov</w:t>
            </w:r>
          </w:p>
        </w:tc>
        <w:tc>
          <w:tcPr>
            <w:shd w:val="clear" w:color="auto" w:fill="F4F1EC"/>
          </w:tcPr>
          <w:p>
            <w:pPr>
              <w:pStyle w:val="Compact"/>
              <w:spacing w:after="40" w:before="40"/>
              <w:jc w:val="left"/>
            </w:pPr>
            <w:r>
              <w:rPr>
                <w:rFonts w:ascii="Cambria" w:hAnsi="Cambria" w:cs="Cambria" w:eastAsia="Cambria"/>
                <w:color w:val="1A1A1A"/>
                <w:sz w:val="18"/>
              </w:rPr>
              <w:t xml:space="preserve">Modello che rappresenta il decorso di una condizione attraverso stati di salute e transizioni</w:t>
            </w:r>
          </w:p>
        </w:tc>
      </w:tr>
      <w:tr>
        <w:tc>
          <w:tcPr/>
          <w:p>
            <w:pPr>
              <w:pStyle w:val="Compact"/>
              <w:spacing w:after="40" w:before="40"/>
              <w:jc w:val="left"/>
            </w:pPr>
            <w:r>
              <w:rPr>
                <w:rFonts w:ascii="Cambria" w:hAnsi="Cambria" w:cs="Cambria" w:eastAsia="Cambria"/>
                <w:b/>
                <w:bCs/>
                <w:color w:val="1A1A1A"/>
                <w:sz w:val="18"/>
              </w:rPr>
              <w:t xml:space="preserve">Differenza-nelle-differenze</w:t>
            </w:r>
          </w:p>
        </w:tc>
        <w:tc>
          <w:tcPr/>
          <w:p>
            <w:pPr>
              <w:pStyle w:val="Compact"/>
              <w:spacing w:after="40" w:before="40"/>
              <w:jc w:val="left"/>
            </w:pPr>
            <w:r>
              <w:rPr>
                <w:rFonts w:ascii="Cambria" w:hAnsi="Cambria" w:cs="Cambria" w:eastAsia="Cambria"/>
                <w:color w:val="1A1A1A"/>
                <w:sz w:val="18"/>
              </w:rPr>
              <w:t xml:space="preserve">Metodo controfattuale che confronta la variazione nel tempo dell’esito tra trattati e non trattati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Controllo sintetico</w:t>
            </w:r>
          </w:p>
        </w:tc>
        <w:tc>
          <w:tcPr>
            <w:shd w:val="clear" w:color="auto" w:fill="F4F1EC"/>
          </w:tcPr>
          <w:p>
            <w:pPr>
              <w:pStyle w:val="Compact"/>
              <w:spacing w:after="40" w:before="40"/>
              <w:jc w:val="left"/>
            </w:pPr>
            <w:r>
              <w:rPr>
                <w:rFonts w:ascii="Cambria" w:hAnsi="Cambria" w:cs="Cambria" w:eastAsia="Cambria"/>
                <w:color w:val="1A1A1A"/>
                <w:sz w:val="18"/>
              </w:rPr>
              <w:t xml:space="preserve">Metodo che costruisce un’unità di confronto come combinazione ponderata di unità non trattate</w:t>
            </w:r>
          </w:p>
        </w:tc>
      </w:tr>
      <w:tr>
        <w:tc>
          <w:tcPr/>
          <w:p>
            <w:pPr>
              <w:pStyle w:val="Compact"/>
              <w:spacing w:after="40" w:before="40"/>
              <w:jc w:val="left"/>
            </w:pPr>
            <w:r>
              <w:rPr>
                <w:rFonts w:ascii="Cambria" w:hAnsi="Cambria" w:cs="Cambria" w:eastAsia="Cambria"/>
                <w:b/>
                <w:bCs/>
                <w:color w:val="1A1A1A"/>
                <w:sz w:val="18"/>
              </w:rPr>
              <w:t xml:space="preserve">Dispiegamento scaglionato</w:t>
            </w:r>
          </w:p>
        </w:tc>
        <w:tc>
          <w:tcPr/>
          <w:p>
            <w:pPr>
              <w:pStyle w:val="Compact"/>
              <w:spacing w:after="40" w:before="40"/>
              <w:jc w:val="left"/>
            </w:pPr>
            <w:r>
              <w:rPr>
                <w:rFonts w:ascii="Cambria" w:hAnsi="Cambria" w:cs="Cambria" w:eastAsia="Cambria"/>
                <w:color w:val="1A1A1A"/>
                <w:sz w:val="18"/>
              </w:rPr>
              <w:t xml:space="preserve">Attivazione progressiva che rende le aree non ancora coperte gruppo di confronto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e verifica d’impatto della regolazione</w:t>
            </w:r>
          </w:p>
        </w:tc>
        <w:tc>
          <w:tcPr>
            <w:shd w:val="clear" w:color="auto" w:fill="F4F1EC"/>
          </w:tcPr>
          <w:p>
            <w:pPr>
              <w:pStyle w:val="Compact"/>
              <w:spacing w:after="40" w:before="40"/>
              <w:jc w:val="left"/>
            </w:pPr>
            <w:r>
              <w:rPr>
                <w:rFonts w:ascii="Cambria" w:hAnsi="Cambria" w:cs="Cambria" w:eastAsia="Cambria"/>
                <w:color w:val="1A1A1A"/>
                <w:sz w:val="18"/>
              </w:rPr>
              <w:t xml:space="preserve">Valutazione ex ante (AIR) ed ex post (VIR) degli effetti di una norma</w:t>
            </w:r>
          </w:p>
        </w:tc>
      </w:tr>
      <w:tr>
        <w:tc>
          <w:tcPr/>
          <w:p>
            <w:pPr>
              <w:pStyle w:val="Compact"/>
              <w:spacing w:after="40" w:before="40"/>
              <w:jc w:val="left"/>
            </w:pPr>
            <w:r>
              <w:rPr>
                <w:rFonts w:ascii="Cambria" w:hAnsi="Cambria" w:cs="Cambria" w:eastAsia="Cambria"/>
                <w:b/>
                <w:bCs/>
                <w:color w:val="1A1A1A"/>
                <w:sz w:val="18"/>
              </w:rPr>
              <w:t xml:space="preserve">Clausola valutativa</w:t>
            </w:r>
          </w:p>
        </w:tc>
        <w:tc>
          <w:tcPr/>
          <w:p>
            <w:pPr>
              <w:pStyle w:val="Compact"/>
              <w:spacing w:after="40" w:before="40"/>
              <w:jc w:val="left"/>
            </w:pPr>
            <w:r>
              <w:rPr>
                <w:rFonts w:ascii="Cambria" w:hAnsi="Cambria" w:cs="Cambria" w:eastAsia="Cambria"/>
                <w:color w:val="1A1A1A"/>
                <w:sz w:val="18"/>
              </w:rPr>
              <w:t xml:space="preserve">Strumento che impegna la Giunta a riferire al Consiglio sui risultati della riforma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RE-AIM</w:t>
            </w:r>
          </w:p>
        </w:tc>
        <w:tc>
          <w:tcPr>
            <w:shd w:val="clear" w:color="auto" w:fill="F4F1EC"/>
          </w:tcPr>
          <w:p>
            <w:pPr>
              <w:pStyle w:val="Compact"/>
              <w:spacing w:after="40" w:before="40"/>
              <w:jc w:val="left"/>
            </w:pPr>
            <w:r>
              <w:rPr>
                <w:rFonts w:ascii="Cambria" w:hAnsi="Cambria" w:cs="Cambria" w:eastAsia="Cambria"/>
                <w:color w:val="1A1A1A"/>
                <w:sz w:val="18"/>
              </w:rPr>
              <w:t xml:space="preserve">Quadro che misura portata, efficacia, adozione, implementazione e mantenimento di un intervento</w:t>
            </w:r>
          </w:p>
        </w:tc>
      </w:tr>
      <w:tr>
        <w:tc>
          <w:tcPr/>
          <w:p>
            <w:pPr>
              <w:pStyle w:val="Compact"/>
              <w:spacing w:after="40" w:before="40"/>
              <w:jc w:val="left"/>
            </w:pPr>
            <w:r>
              <w:rPr>
                <w:rFonts w:ascii="Cambria" w:hAnsi="Cambria" w:cs="Cambria" w:eastAsia="Cambria"/>
                <w:b/>
                <w:bCs/>
                <w:color w:val="1A1A1A"/>
                <w:sz w:val="18"/>
              </w:rPr>
              <w:t xml:space="preserve">CFIR</w:t>
            </w:r>
          </w:p>
        </w:tc>
        <w:tc>
          <w:tcPr/>
          <w:p>
            <w:pPr>
              <w:pStyle w:val="Compact"/>
              <w:spacing w:after="40" w:before="40"/>
              <w:jc w:val="left"/>
            </w:pPr>
            <w:r>
              <w:rPr>
                <w:rFonts w:ascii="Cambria" w:hAnsi="Cambria" w:cs="Cambria" w:eastAsia="Cambria"/>
                <w:color w:val="1A1A1A"/>
                <w:sz w:val="18"/>
              </w:rPr>
              <w:t xml:space="preserve">Quadro che spiega i determinanti dell’implementazione, in cinque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Donabedian</w:t>
            </w:r>
          </w:p>
        </w:tc>
        <w:tc>
          <w:tcPr>
            <w:shd w:val="clear" w:color="auto" w:fill="F4F1EC"/>
          </w:tcPr>
          <w:p>
            <w:pPr>
              <w:pStyle w:val="Compact"/>
              <w:spacing w:after="40" w:before="40"/>
              <w:jc w:val="left"/>
            </w:pPr>
            <w:r>
              <w:rPr>
                <w:rFonts w:ascii="Cambria" w:hAnsi="Cambria" w:cs="Cambria" w:eastAsia="Cambria"/>
                <w:color w:val="1A1A1A"/>
                <w:sz w:val="18"/>
              </w:rPr>
              <w:t xml:space="preserve">Classifica gli indicatori di qualità in struttura, processo ed esito, qui integrati dall’impatto</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Questionario validato per i sintomi depressivi (punteggio 0–27)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Questionario validato per i sintomi d’ansia (punteggio 0–21)</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Quota di pazienti che scende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r>
        <w:tc>
          <w:tcPr/>
          <w:p>
            <w:pPr>
              <w:pStyle w:val="Compact"/>
              <w:spacing w:after="40" w:before="40"/>
              <w:jc w:val="left"/>
            </w:pPr>
            <w:r>
              <w:rPr>
                <w:rFonts w:ascii="Cambria" w:hAnsi="Cambria" w:cs="Cambria" w:eastAsia="Cambria"/>
                <w:b/>
                <w:bCs/>
                <w:color w:val="1A1A1A"/>
                <w:sz w:val="18"/>
              </w:rPr>
              <w:t xml:space="preserve">Cura collaborativa</w:t>
            </w:r>
          </w:p>
        </w:tc>
        <w:tc>
          <w:tcPr/>
          <w:p>
            <w:pPr>
              <w:pStyle w:val="Compact"/>
              <w:spacing w:after="40" w:before="40"/>
              <w:jc w:val="left"/>
            </w:pPr>
            <w:r>
              <w:rPr>
                <w:rFonts w:ascii="Cambria" w:hAnsi="Cambria" w:cs="Cambria" w:eastAsia="Cambria"/>
                <w:color w:val="1A1A1A"/>
                <w:sz w:val="18"/>
              </w:rPr>
              <w:t xml:space="preserve">Modello di integrazione della salute mentale nelle cure primarie con équipe e monitoraggio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Cura a intensità crescente</w:t>
            </w:r>
          </w:p>
        </w:tc>
        <w:tc>
          <w:tcPr>
            <w:shd w:val="clear" w:color="auto" w:fill="F4F1EC"/>
          </w:tcPr>
          <w:p>
            <w:pPr>
              <w:pStyle w:val="Compact"/>
              <w:spacing w:after="40" w:before="40"/>
              <w:jc w:val="left"/>
            </w:pPr>
            <w:r>
              <w:rPr>
                <w:rFonts w:ascii="Cambria" w:hAnsi="Cambria" w:cs="Cambria" w:eastAsia="Cambria"/>
                <w:color w:val="1A1A1A"/>
                <w:sz w:val="18"/>
              </w:rPr>
              <w:t xml:space="preserve">Percorso che gradua l’intensità dell’intervento alla gravità del quadro</w:t>
            </w:r>
          </w:p>
        </w:tc>
      </w:tr>
      <w:tr>
        <w:tc>
          <w:tcPr/>
          <w:p>
            <w:pPr>
              <w:pStyle w:val="Compact"/>
              <w:spacing w:after="40" w:before="40"/>
              <w:jc w:val="left"/>
            </w:pPr>
            <w:r>
              <w:rPr>
                <w:rFonts w:ascii="Cambria" w:hAnsi="Cambria" w:cs="Cambria" w:eastAsia="Cambria"/>
                <w:b/>
                <w:bCs/>
                <w:color w:val="1A1A1A"/>
                <w:sz w:val="18"/>
              </w:rPr>
              <w:t xml:space="preserve">Livelli essenziali di assistenza (LEA)</w:t>
            </w:r>
          </w:p>
        </w:tc>
        <w:tc>
          <w:tcPr/>
          <w:p>
            <w:pPr>
              <w:pStyle w:val="Compact"/>
              <w:spacing w:after="40" w:before="40"/>
              <w:jc w:val="left"/>
            </w:pPr>
            <w:r>
              <w:rPr>
                <w:rFonts w:ascii="Cambria" w:hAnsi="Cambria" w:cs="Cambria" w:eastAsia="Cambria"/>
                <w:color w:val="1A1A1A"/>
                <w:sz w:val="18"/>
              </w:rPr>
              <w:t xml:space="preserve">Prestazioni garantite uniformemente dal Servizio sanitario;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Spesa per prestazioni rese ai residenti da strutture di altre regioni; in Veneto il saldo è attivo</w:t>
            </w:r>
          </w:p>
        </w:tc>
      </w:tr>
      <w:tr>
        <w:tc>
          <w:tcPr/>
          <w:p>
            <w:pPr>
              <w:pStyle w:val="Compact"/>
              <w:spacing w:after="40" w:before="40"/>
              <w:jc w:val="left"/>
            </w:pPr>
            <w:r>
              <w:rPr>
                <w:rFonts w:ascii="Cambria" w:hAnsi="Cambria" w:cs="Cambria" w:eastAsia="Cambria"/>
                <w:b/>
                <w:bCs/>
                <w:color w:val="1A1A1A"/>
                <w:sz w:val="18"/>
              </w:rPr>
              <w:t xml:space="preserve">Sintomi somatici funzionali</w:t>
            </w:r>
          </w:p>
        </w:tc>
        <w:tc>
          <w:tcPr/>
          <w:p>
            <w:pPr>
              <w:pStyle w:val="Compact"/>
              <w:spacing w:after="40" w:before="40"/>
              <w:jc w:val="left"/>
            </w:pPr>
            <w:r>
              <w:rPr>
                <w:rFonts w:ascii="Cambria" w:hAnsi="Cambria" w:cs="Cambria" w:eastAsia="Cambria"/>
                <w:color w:val="1A1A1A"/>
                <w:sz w:val="18"/>
              </w:rPr>
              <w:t xml:space="preserve">Sintomi fisici senza causa organica, associati a elevato consumo di prestazioni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concentrazione</w:t>
            </w:r>
          </w:p>
        </w:tc>
        <w:tc>
          <w:tcPr>
            <w:shd w:val="clear" w:color="auto" w:fill="F4F1EC"/>
          </w:tcPr>
          <w:p>
            <w:pPr>
              <w:pStyle w:val="Compact"/>
              <w:spacing w:after="40" w:before="40"/>
              <w:jc w:val="left"/>
            </w:pPr>
            <w:r>
              <w:rPr>
                <w:rFonts w:ascii="Cambria" w:hAnsi="Cambria" w:cs="Cambria" w:eastAsia="Cambria"/>
                <w:color w:val="1A1A1A"/>
                <w:sz w:val="18"/>
              </w:rPr>
              <w:t xml:space="preserve">Misura che lega l’esito di salute alla posizione socio-economica</w:t>
            </w:r>
          </w:p>
        </w:tc>
      </w:tr>
      <w:tr>
        <w:tc>
          <w:tcPr/>
          <w:p>
            <w:pPr>
              <w:pStyle w:val="Compact"/>
              <w:spacing w:after="40" w:before="40"/>
              <w:jc w:val="left"/>
            </w:pPr>
            <w:r>
              <w:rPr>
                <w:rFonts w:ascii="Cambria" w:hAnsi="Cambria" w:cs="Cambria" w:eastAsia="Cambria"/>
                <w:b/>
                <w:bCs/>
                <w:color w:val="1A1A1A"/>
                <w:sz w:val="18"/>
              </w:rPr>
              <w:t xml:space="preserve">Peso morto</w:t>
            </w:r>
          </w:p>
        </w:tc>
        <w:tc>
          <w:tcPr/>
          <w:p>
            <w:pPr>
              <w:pStyle w:val="Compact"/>
              <w:spacing w:after="40" w:before="40"/>
              <w:jc w:val="left"/>
            </w:pPr>
            <w:r>
              <w:rPr>
                <w:rFonts w:ascii="Cambria" w:hAnsi="Cambria" w:cs="Cambria" w:eastAsia="Cambria"/>
                <w:color w:val="1A1A1A"/>
                <w:sz w:val="18"/>
              </w:rPr>
              <w:t xml:space="preserve">Quota dell’esito che si sarebbe verificata anche senza l’intervento</w:t>
            </w:r>
          </w:p>
        </w:tc>
      </w:tr>
    </w:tbl>
    <w:p>
      <w:pPr>
        <w:pStyle w:val="BodyText"/>
      </w:pPr>
      <w:r>
        <w:rPr>
          <w:i/>
          <w:iCs/>
        </w:rPr>
        <w:t xml:space="preserve">Tabella E.1. Glossario dei principali termini tecnici impiegati nello studio.</w:t>
      </w:r>
    </w:p>
    <w:bookmarkEnd w:id="4372"/>
    <w:bookmarkStart w:id="1477" w:name="X61bf9bf232b0e394b82e5bad8086a1c260642a7"/>
    <w:p>
      <w:pPr>
        <w:pStyle w:val="Heading2"/>
      </w:pPr>
      <w:r>
        <w:t xml:space="preserve">Friuli-Venezia Giulia — Studio HTA (parziale, Parti A–C)</w:t>
      </w:r>
    </w:p>
    <w:p>
      <w:pPr>
        <w:pStyle w:val="FirstParagraph"/>
      </w:pPr>
      <w:r>
        <w:t xml:space="preserve">Studio Integrale Regionale · Regione Autonoma Friuli Venezia Giulia</w:t>
      </w:r>
    </w:p>
    <w:p>
      <w:pPr>
        <w:pStyle w:val="BodyText"/>
      </w:pPr>
      <w:r>
        <w:t xml:space="preserve">Progetto «Psicologo di Base» — Riforma «Psicologo di Base»: dal Dipartimento sperimentale alla strutturazione a regime. Applicazione del telaio integrato — Parti A-C (quadro e metodo; bisogno e contesto; intervento e modello). Studio in corso di completamento (Parti D-M in lavorazione).</w:t>
      </w:r>
    </w:p>
    <w:p>
      <w:pPr>
        <w:pStyle w:val="BodyText"/>
      </w:pPr>
      <w:r>
        <w:t xml:space="preserve">Indice</w:t>
      </w:r>
    </w:p>
    <w:bookmarkEnd w:id="1477"/>
    <w:bookmarkStart w:id="1496" w:name="parte-a-quadro-quesito-e-metodo-5"/>
    <w:p>
      <w:pPr>
        <w:pStyle w:val="Heading2"/>
      </w:pPr>
      <w:r>
        <w:t xml:space="preserve">Parte A — Quadro, quesito e metodo</w:t>
      </w:r>
    </w:p>
    <w:p>
      <w:pPr>
        <w:pStyle w:val="FirstParagraph"/>
      </w:pPr>
      <w:r>
        <w:t xml:space="preserve">Questa è la prima parte dello studio integrale per il Friuli-Venezia Giulia, che applica alla regione il telaio integrato sviluppato e validato per la Puglia e già esteso alla Lombardia, al Veneto, all’Emilia-Romagna, al Piemonte, alla Toscana, alla Liguria, al Lazio, alla Campania, alla Sicilia, alla Sardegna e al Trentino-Alto Adige. L’architettura e il caso di riferimento sono i medesimi, e mutano soltanto i dati di ingresso, ancorati al Friuli-Venezia Giulia.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Il Friuli-Venezia Giulia occupa nella serie una posizione propria: il Consiglio regionale ha approvato all’unanimità, nel 2022, una mozione che impegna a istituire il servizio nelle Case della Comunità, e una sperimentazione è in avvio, ma non esiste ancora una legge attuativa, sicché la valutazione non riguarda l’opportunità di introdurre il servizio, già condiviso, ma la sua strutturazione in un modello pieno e il passaggio a regime.</w:t>
      </w:r>
    </w:p>
    <w:bookmarkStart w:id="4373" w:name="X924806dbd411b49b354efd86eaaa39c13985fcb"/>
    <w:p>
      <w:pPr>
        <w:pStyle w:val="Heading3"/>
      </w:pPr>
      <w:r>
        <w:t xml:space="preserve">A.1 Scopo, quesito di valutazione e standard adottati</w:t>
      </w:r>
    </w:p>
    <w:p>
      <w:pPr>
        <w:pStyle w:val="FirstParagraph"/>
      </w:pPr>
      <w:r>
        <w:t xml:space="preserve">Lo studio ha per oggetto il servizio di psicologia delle cure primarie del Friuli-Venezia Giulia, inteso come strutturazione in un modello pieno e passaggio a regime di una funzione che la regione si è già impegnata a introdurre con una mozione consiliare unanime, e che è oggi in fase di sperimentazione.</w:t>
      </w:r>
      <w:r>
        <w:rPr>
          <w:rStyle w:val="FootnoteReference"/>
        </w:rPr>
        <w:footnoteReference w:id="2210"/>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il Friuli-Venezia Giulia, non è introdurre il servizio, già condiviso e in sperimentazione, ma dargli forma piena e condurlo a regime, strutturandolo nei distretti delle tre aziende sanitarie regionali e dimensionandolo, dalla sperimentazione iniziale alla copertura sistematica del fabbisogno, entro l’autonomia di una regione a statuto speciale che si autofinanzia la sanità tramite compartecipazione ai tributi erariali e registra finanze solide e nessun piano di rientro.</w:t>
      </w:r>
      <w:r>
        <w:rPr>
          <w:rStyle w:val="FootnoteReference"/>
        </w:rPr>
        <w:footnoteReference w:id="2211"/>
      </w:r>
      <w:r>
        <w:t xml:space="preserve"> </w:t>
      </w:r>
      <w:r>
        <w:t xml:space="preserve">Lo studio fornisce gli elementi per quella decisione, non la sostituisce: ne misura le conseguenze attese in tre scenari di copertura, lasciando alla sede politica e di bilancio la scelta della scala. Va segnalato sin d’ora che la sperimentazione iniziale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239.000 persone, si somma un’utenza specialistica in carico ai servizi, in un quadro segnato da componenti convergenti — il bisogno dell’età anziana e della cronicità, prevalente in una delle regioni più anziane d’Italia, accentuato nelle aree montane e interne; il disagio giovanile e socio-economico nei centri di Trieste, Udine e Pordenone; e la dimensione plurilingue propria di una regione di confine — cui si aggiungono i divari di accesso, la pressione delle liste di attesa e il bisogno non sempre intercettato della componente straniera.</w:t>
      </w:r>
      <w:r>
        <w:rPr>
          <w:rStyle w:val="FootnoteReference"/>
        </w:rPr>
        <w:footnoteReference w:id="2212"/>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del Friuli-Venezia Giulia con bisogno psicologico comune, e in seconda istanza dall’intera popolazione per gli effetti di sistema. L’intervento è il servizio di psicologia delle cure primarie, come primo livello di ascolto, intercettazione precoce e filtro, condotto dalla sperimentazione alla piena operatività a regime. Il confronto è la condizione attuale, fatta di iniziative frammentarie e della sperimentazione in avvio. Gli esiti sono clinici, economici, sociali e di sistema. I tempi distinguono l’orizzonte pluriennale degli esiti dall’orizzonte triennale-quinquennale del bilancio. Il contesto è il Servizio sanitario del Friuli-Venezia Giulia, con le sue tre aziende sanitarie regionali, l’Azienda Regionale di Coordinamento per la Salute, gli istituti a rilievo nazionale (IRCCS Burlo Garofolo, CRO di Aviano), e la rete delle Case della Comunità in costruzione.</w:t>
      </w:r>
      <w:r>
        <w:rPr>
          <w:rStyle w:val="FootnoteReference"/>
        </w:rPr>
        <w:footnoteReference w:id="2213"/>
      </w:r>
      <w:r>
        <w:t xml:space="preserve"> </w:t>
      </w:r>
      <w:r>
        <w:t xml:space="preserve">La tabella seguente riepiloga gli elementi del quesito.</w:t>
      </w:r>
    </w:p>
    <w:tbl>
      <w:tblPr>
        <w:tblStyle w:val="Table"/>
        <w:tblW w:type="pct" w:w="496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26"/>
        <w:gridCol w:w="673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il Friuli-Venezia Giulia</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sardi con disagio psichico comune (~239.000);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Servizio di psicologia delle cure primarie negli ambulatori delle Case della Comunità, primo livello e filtro, condotto a regime (~130/195/260 psicologi); dalla sperimentazione alla copertura sistematica</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Condizione attuale: impegno politico unanime (mozione 2022) e sperimentazione in avvio; servizio non ancora strutturato a regime né disciplinato da legge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liste di attesa)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Servizio sanitario regionale del Friuli-Venezia Giulia; tre aziende sanitarie regionali, Azienda Regionale di Coordinamento per la Salute (ARCS), aziende ospedaliere, rete delle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2214"/>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4373"/>
    <w:bookmarkStart w:id="1490" w:name="a.2-il-caso-di-riferimento-e-i-metodi-5"/>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l’assetto attuale, fatto di iniziative frammentarie e della sperimentazione in avvio, come comparatore.</w:t>
      </w:r>
      <w:r>
        <w:rPr>
          <w:rStyle w:val="FootnoteReference"/>
        </w:rPr>
        <w:footnoteReference w:id="2215"/>
      </w:r>
      <w:r>
        <w:t xml:space="preserve"> </w:t>
      </w:r>
      <w:r>
        <w:t xml:space="preserve">Le unità di analisi sono la regione e, in disaggregazione, le tre aziende sanitarie regionali e i distretti, per dare conto anche dei divari territoriali interni, segnatamente fra i centri urbani di Trieste, Udine e Pordenone e le aree montane e interne della Carnia e delle valli.</w:t>
      </w:r>
    </w:p>
    <w:tbl>
      <w:tblPr>
        <w:tblStyle w:val="Table"/>
        <w:tblW w:type="pct" w:w="493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26"/>
        <w:gridCol w:w="588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Condizione attuale: iniziative frammentarie e sperimentazione in avvio, prima della strutturazione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Regione, con disaggregazione per azienda sanitaria regionale e distretto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2216"/>
      </w:r>
      <w:r>
        <w:t xml:space="preserve"> </w:t>
      </w:r>
      <w:r>
        <w:t xml:space="preserve">Tale prudenza assume, per il Friuli-Venezia Giulia, un rilievo particolare. Regione a statuto speciale, essa autofinanzia la sanità con risorse del proprio territorio attraverso la compartecipazione ai tributi erariali, senza concorso dello Stato al finanziamento del Servizio sanitario regionale; non è sottoposta a piano di rientro e presenta finanze solide. Sul versante della mobilità, la posizione di confine con Slovenia e Austria genera flussi nei due sensi, con un saldo contenuto, e non riguarda la domanda psicologica, sicché il canale del recupero è per questo intervento solo modestamente pertinente. Ne consegue un saldo diretto lievemente negativo ma modesto, agevolmente sostenibile entro l’autonomia finanziaria regionale, e il caso economico poggia in misura preponderante sulle ricadute sociali, stimate con criteri conservativi.</w:t>
      </w:r>
      <w:r>
        <w:rPr>
          <w:rStyle w:val="FootnoteReference"/>
        </w:rPr>
        <w:footnoteReference w:id="2217"/>
      </w:r>
      <w:r>
        <w:t xml:space="preserve"> </w:t>
      </w:r>
      <w:r>
        <w:t xml:space="preserve">Va inoltre dichiarato, già in questa sede, che le grandezze economiche impiegate sono allo stato in parte ricostruite a partire dai conti nazionali per quota di popolazione, e non estratte dai conti regionali certificati; poiché il servizio è ancora in sperimentazione, il Friuli-Venezia Giulia dispone di una base di dati operativi propri limitata, e lo studio poggia per l’efficacia sui benchmark internazionali, mentre la sperimentazione in avvio costituirà la fonte primaria da consolidare.</w:t>
      </w:r>
      <w:r>
        <w:rPr>
          <w:rStyle w:val="FootnoteReference"/>
        </w:rPr>
        <w:footnoteReference w:id="2218"/>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2219"/>
      </w:r>
      <w:r>
        <w:t xml:space="preserve"> </w:t>
      </w:r>
      <w:r>
        <w:t xml:space="preserve">Per il Friuli-Venezia Giulia il disegno controfattuale assume una forma propria: poiché la strutturazione del modello pieno avverrà in tempi differenziati fra i distretti delle tre aziende sanitarie, essa può fondarsi su un esperimento a cunei progressivi, con l’ordine e i tempi di attivazione del servizio fra i distretti impiegati a fini valutativi e l’effetto causale stimato dai metodi della differenza-nelle-differenze e del controllo sintetico.</w:t>
      </w:r>
      <w:r>
        <w:rPr>
          <w:rStyle w:val="FootnoteReference"/>
        </w:rPr>
        <w:footnoteReference w:id="2220"/>
      </w:r>
      <w:r>
        <w:t xml:space="preserve"> </w:t>
      </w:r>
      <w:r>
        <w:t xml:space="preserve">La tabella seguente colloca ciascuna metodologia nella sua sede.</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357"/>
        <w:gridCol w:w="30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generato oltre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 nel tempo</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Parte F</w:t>
            </w:r>
          </w:p>
        </w:tc>
        <w:tc>
          <w:tcPr/>
          <w:p>
            <w:pPr>
              <w:pStyle w:val="Compact"/>
              <w:spacing w:after="40" w:before="40"/>
              <w:jc w:val="left"/>
            </w:pPr>
            <w:r>
              <w:rPr>
                <w:rFonts w:ascii="Cambria" w:hAnsi="Cambria" w:cs="Cambria" w:eastAsia="Cambria"/>
                <w:color w:val="1A1A1A"/>
                <w:sz w:val="18"/>
              </w:rPr>
              <w:t xml:space="preserve">Governo dell’incertezza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w:t>
            </w:r>
          </w:p>
        </w:tc>
        <w:tc>
          <w:tcPr>
            <w:shd w:val="clear" w:color="auto" w:fill="F4F1EC"/>
          </w:tcPr>
          <w:p>
            <w:pPr>
              <w:pStyle w:val="Compact"/>
              <w:spacing w:after="40" w:before="40"/>
              <w:jc w:val="left"/>
            </w:pPr>
            <w:r>
              <w:rPr>
                <w:rFonts w:ascii="Cambria" w:hAnsi="Cambria" w:cs="Cambria" w:eastAsia="Cambria"/>
                <w:color w:val="1A1A1A"/>
                <w:sz w:val="18"/>
              </w:rPr>
              <w:t xml:space="preserve">Parte G</w:t>
            </w:r>
          </w:p>
        </w:tc>
        <w:tc>
          <w:tcPr>
            <w:shd w:val="clear" w:color="auto" w:fill="F4F1EC"/>
          </w:tcPr>
          <w:p>
            <w:pPr>
              <w:pStyle w:val="Compact"/>
              <w:spacing w:after="40" w:before="40"/>
              <w:jc w:val="left"/>
            </w:pPr>
            <w:r>
              <w:rPr>
                <w:rFonts w:ascii="Cambria" w:hAnsi="Cambria" w:cs="Cambria" w:eastAsia="Cambria"/>
                <w:color w:val="1A1A1A"/>
                <w:sz w:val="18"/>
              </w:rPr>
              <w:t xml:space="preserve">Misura dell’equità distributiva</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Parte L</w:t>
            </w:r>
          </w:p>
        </w:tc>
        <w:tc>
          <w:tcPr/>
          <w:p>
            <w:pPr>
              <w:pStyle w:val="Compact"/>
              <w:spacing w:after="40" w:before="40"/>
              <w:jc w:val="left"/>
            </w:pPr>
            <w:r>
              <w:rPr>
                <w:rFonts w:ascii="Cambria" w:hAnsi="Cambria" w:cs="Cambria" w:eastAsia="Cambria"/>
                <w:color w:val="1A1A1A"/>
                <w:sz w:val="18"/>
              </w:rPr>
              <w:t xml:space="preserve">Stima dell’effetto reale sul campo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sistema GRADE</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Fondazione e graduazione dell’evidenza</w:t>
            </w:r>
          </w:p>
        </w:tc>
      </w:tr>
      <w:tr>
        <w:tc>
          <w:tcPr/>
          <w:p>
            <w:pPr>
              <w:pStyle w:val="Compact"/>
              <w:spacing w:after="40" w:before="40"/>
              <w:jc w:val="left"/>
            </w:pPr>
            <w:r>
              <w:rPr>
                <w:rFonts w:ascii="Cambria" w:hAnsi="Cambria" w:cs="Cambria" w:eastAsia="Cambria"/>
                <w:b/>
                <w:bCs/>
                <w:color w:val="1A1A1A"/>
                <w:sz w:val="18"/>
              </w:rPr>
              <w:t xml:space="preserve">Analisi multi-criterio</w:t>
            </w:r>
          </w:p>
        </w:tc>
        <w:tc>
          <w:tcPr/>
          <w:p>
            <w:pPr>
              <w:pStyle w:val="Compact"/>
              <w:spacing w:after="40" w:before="40"/>
              <w:jc w:val="left"/>
            </w:pPr>
            <w:r>
              <w:rPr>
                <w:rFonts w:ascii="Cambria" w:hAnsi="Cambria" w:cs="Cambria" w:eastAsia="Cambria"/>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Composizione dei criteri non monetari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della regolamentazione</w:t>
            </w:r>
          </w:p>
        </w:tc>
        <w:tc>
          <w:tcPr>
            <w:shd w:val="clear" w:color="auto" w:fill="F4F1EC"/>
          </w:tcPr>
          <w:p>
            <w:pPr>
              <w:pStyle w:val="Compact"/>
              <w:spacing w:after="40" w:before="40"/>
              <w:jc w:val="left"/>
            </w:pPr>
            <w:r>
              <w:rPr>
                <w:rFonts w:ascii="Cambria" w:hAnsi="Cambria" w:cs="Cambria" w:eastAsia="Cambria"/>
                <w:color w:val="1A1A1A"/>
                <w:sz w:val="18"/>
              </w:rPr>
              <w:t xml:space="preserve">Parti H, L</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della norma ex ante ed ex post</w:t>
            </w:r>
          </w:p>
        </w:tc>
      </w:tr>
    </w:tbl>
    <w:p>
      <w:pPr>
        <w:pStyle w:val="BodyText"/>
      </w:pPr>
      <w:r>
        <w:rPr>
          <w:i/>
          <w:iCs/>
        </w:rPr>
        <w:t xml:space="preserve">Tabella A.3. Le dieci metodologie analitiche e la loro collocazione nello studio.</w:t>
      </w:r>
    </w:p>
    <w:bookmarkEnd w:id="1490"/>
    <w:bookmarkStart w:id="1495" w:name="Xcfc41f4bc58bdf31956104e94810b077be13229"/>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tre aziende sanitarie regionali, l’Azienda Regionale di Coordinamento per la Salute, gli istituti a rilievo nazionale (IRCCS Burlo Garofolo, CRO di Aviano), l’Ordine degli Psicologi della Regione Friuli Venezia Giulia, le rappresentanze della medicina generale e della pediatria di libera scelta e gli atenei di Trieste e Udine. Il Friuli-Venezia Giulia dispone di un’azienda regionale di coordinamento per la salute e supporto tecnico-amministrativo, l’ARCS, accanto al coordinamento della Direzione centrale salute, politiche sociali e disabilità, e del Tavolo tecnico regionale interdisciplinare previsto dalla mozione del 2022.</w:t>
      </w:r>
      <w:r>
        <w:rPr>
          <w:rStyle w:val="FootnoteReference"/>
        </w:rPr>
        <w:footnoteReference w:id="2221"/>
      </w:r>
      <w:r>
        <w:t xml:space="preserve"> </w:t>
      </w:r>
      <w:r>
        <w:t xml:space="preserve">Poiché il servizio è ancora in sperimentazione e la rete delle Case della Comunità è in costruzione, la sfida del governo non è introdurre il servizio, ma dargli forma piena e condurlo a regime, strutturandolo nei distretti delle tre aziende sanitarie e garantendo l’omogeneità attuativa nell’unico sistema sanitario regionale: è il tratto che distingue il Friuli-Venezia Giulia,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w:t>
      </w:r>
      <w:r>
        <w:rPr>
          <w:rStyle w:val="FootnoteReference"/>
        </w:rPr>
        <w:footnoteReference w:id="2222"/>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2223"/>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2224"/>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 Friuli-Venezia Giulia.</w:t>
      </w:r>
    </w:p>
    <w:bookmarkEnd w:id="1495"/>
    <w:bookmarkEnd w:id="1496"/>
    <w:bookmarkStart w:id="4374" w:name="X53753b5d7218a0a0024ec249899882126bb8073"/>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Friuli-Venezia Giulia.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Friuli-Venezia Giulia: non un servizio da istituire, ma un servizio già condiviso da un impegno politico unanime e in fase di sperimentazione, da portare a forma piena e a regime in una regione di confine, fra le più anziane d’Italia, plurilingue, a statuto speciale e con finanze solide e nessun piano di rientro.</w:t>
      </w:r>
    </w:p>
    <w:bookmarkStart w:id="1502" w:name="b.1-quadro-demografico-4"/>
    <w:p>
      <w:pPr>
        <w:pStyle w:val="Heading3"/>
      </w:pPr>
      <w:r>
        <w:t xml:space="preserve">B.1 Quadro demografico</w:t>
      </w:r>
    </w:p>
    <w:p>
      <w:pPr>
        <w:pStyle w:val="FirstParagraph"/>
      </w:pPr>
      <w:r>
        <w:t xml:space="preserve">Il Friuli-Venezia Giulia conta 1.194.616 residenti, pari a circa il 2,0% della popolazione nazionale, sostanzialmente stabile per effetto di saldi migratori positivi che compensano un saldo naturale fortemente negativo e una natalità ai minimi storici.</w:t>
      </w:r>
      <w:r>
        <w:rPr>
          <w:rStyle w:val="FootnoteReference"/>
        </w:rPr>
        <w:footnoteReference w:id="2225"/>
      </w:r>
      <w:r>
        <w:t xml:space="preserve"> </w:t>
      </w:r>
      <w:r>
        <w:t xml:space="preserve">La struttura per età è fra le più anziane d’Italia, con un’età media di 48,5 anni, la terza più elevata dopo Liguria e Sardegna, e un indice di vecchiaia di 244,1: l’invecchiamento è più accentuato nelle aree montane e interne della Carnia e delle valli.</w:t>
      </w:r>
      <w:r>
        <w:rPr>
          <w:rStyle w:val="FootnoteReference"/>
        </w:rPr>
        <w:footnoteReference w:id="2226"/>
      </w:r>
      <w:r>
        <w:t xml:space="preserve"> </w:t>
      </w:r>
      <w:r>
        <w:t xml:space="preserve">La componente straniera, pari al 10,1%, è in linea con la media nazionale.</w:t>
      </w:r>
      <w:r>
        <w:rPr>
          <w:rStyle w:val="FootnoteReference"/>
        </w:rPr>
        <w:footnoteReference w:id="2227"/>
      </w:r>
      <w:r>
        <w:t xml:space="preserve"> </w:t>
      </w:r>
      <w:r>
        <w:t xml:space="preserve">La distribuzione è concentrata sulle due province maggiori: Udine, con oltre 500.000 residenti, raccoglie il 43,3%, e Pordenone, con oltre 300.000, il 26,0% — insieme quasi il 70% — mentre Trieste e Gorizia ospitano il restante 30,7%.</w:t>
      </w:r>
      <w:r>
        <w:rPr>
          <w:rStyle w:val="FootnoteReference"/>
        </w:rPr>
        <w:footnoteReference w:id="2228"/>
      </w:r>
      <w:r>
        <w:rPr>
          <w:rStyle w:val="FootnoteReference"/>
        </w:rPr>
        <w:footnoteReference w:id="2229"/>
      </w:r>
      <w:r>
        <w:t xml:space="preserve"> </w:t>
      </w:r>
      <w:r>
        <w:t xml:space="preserve">La tabella seguente ne riepiloga il profilo.</w:t>
      </w:r>
    </w:p>
    <w:tbl>
      <w:tblPr>
        <w:tblStyle w:val="Table"/>
        <w:tblW w:type="pct" w:w="495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284"/>
        <w:gridCol w:w="656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Friuli-Venezia Giulia</w:t>
            </w:r>
          </w:p>
        </w:tc>
      </w:tr>
      <w:tr>
        <w:tc>
          <w:tcPr/>
          <w:p>
            <w:pPr>
              <w:pStyle w:val="Compact"/>
              <w:spacing w:after="40" w:before="40"/>
              <w:jc w:val="left"/>
            </w:pPr>
            <w:r>
              <w:rPr>
                <w:rFonts w:ascii="Cambria" w:hAnsi="Cambria" w:cs="Cambria" w:eastAsia="Cambria"/>
                <w:b/>
                <w:bCs/>
                <w:color w:val="1A1A1A"/>
                <w:sz w:val="18"/>
              </w:rPr>
              <w:t xml:space="preserve">Popolazione (Censimento 2024)</w:t>
            </w:r>
          </w:p>
        </w:tc>
        <w:tc>
          <w:tcPr/>
          <w:p>
            <w:pPr>
              <w:pStyle w:val="Compact"/>
              <w:spacing w:after="40" w:before="40"/>
              <w:jc w:val="left"/>
            </w:pPr>
            <w:r>
              <w:rPr>
                <w:rFonts w:ascii="Cambria" w:hAnsi="Cambria" w:cs="Cambria" w:eastAsia="Cambria"/>
                <w:color w:val="1A1A1A"/>
                <w:sz w:val="18"/>
              </w:rPr>
              <w:t xml:space="preserve">1.194.616 (~2,0% del totale nazionale); sostanzialmente stabile, con saldi migratori positivi che compensano un saldo naturale negativo e una natalità ai minimi storici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Età media e struttura</w:t>
            </w:r>
          </w:p>
        </w:tc>
        <w:tc>
          <w:tcPr>
            <w:shd w:val="clear" w:color="auto" w:fill="F4F1EC"/>
          </w:tcPr>
          <w:p>
            <w:pPr>
              <w:pStyle w:val="Compact"/>
              <w:spacing w:after="40" w:before="40"/>
              <w:jc w:val="left"/>
            </w:pPr>
            <w:r>
              <w:rPr>
                <w:rFonts w:ascii="Cambria" w:hAnsi="Cambria" w:cs="Cambria" w:eastAsia="Cambria"/>
                <w:color w:val="1A1A1A"/>
                <w:sz w:val="18"/>
              </w:rPr>
              <w:t xml:space="preserve">~ 48,5 anni, terza più anziana d’Italia dopo Liguria e Sardegna; indice di vecchiaia 244,1; invecchiamento accentuato nelle aree montane e interne</w:t>
            </w:r>
          </w:p>
        </w:tc>
      </w:tr>
      <w:tr>
        <w:tc>
          <w:tcPr/>
          <w:p>
            <w:pPr>
              <w:pStyle w:val="Compact"/>
              <w:spacing w:after="40" w:before="40"/>
              <w:jc w:val="left"/>
            </w:pPr>
            <w:r>
              <w:rPr>
                <w:rFonts w:ascii="Cambria" w:hAnsi="Cambria" w:cs="Cambria" w:eastAsia="Cambria"/>
                <w:b/>
                <w:bCs/>
                <w:color w:val="1A1A1A"/>
                <w:sz w:val="18"/>
              </w:rPr>
              <w:t xml:space="preserve">Componente straniera</w:t>
            </w:r>
          </w:p>
        </w:tc>
        <w:tc>
          <w:tcPr/>
          <w:p>
            <w:pPr>
              <w:pStyle w:val="Compact"/>
              <w:spacing w:after="40" w:before="40"/>
              <w:jc w:val="left"/>
            </w:pPr>
            <w:r>
              <w:rPr>
                <w:rFonts w:ascii="Cambria" w:hAnsi="Cambria" w:cs="Cambria" w:eastAsia="Cambria"/>
                <w:color w:val="1A1A1A"/>
                <w:sz w:val="18"/>
              </w:rPr>
              <w:t xml:space="preserve">10,1% dei residenti (~120.000), in linea con la media nazionale; prevalenza rumena, albanese, bangladese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Distribuzione territoriale</w:t>
            </w:r>
          </w:p>
        </w:tc>
        <w:tc>
          <w:tcPr>
            <w:shd w:val="clear" w:color="auto" w:fill="F4F1EC"/>
          </w:tcPr>
          <w:p>
            <w:pPr>
              <w:pStyle w:val="Compact"/>
              <w:spacing w:after="40" w:before="40"/>
              <w:jc w:val="left"/>
            </w:pPr>
            <w:r>
              <w:rPr>
                <w:rFonts w:ascii="Cambria" w:hAnsi="Cambria" w:cs="Cambria" w:eastAsia="Cambria"/>
                <w:color w:val="1A1A1A"/>
                <w:sz w:val="18"/>
              </w:rPr>
              <w:t xml:space="preserve">Udine (oltre 500.000, 43,3%) e Pordenone (oltre 300.000, 26,0%) insieme ~70%; Trieste e Gorizia 30,7%; ~30% nei tre comuni &gt;50.000 (Trieste, Udine, Pordenone)</w:t>
            </w:r>
          </w:p>
        </w:tc>
      </w:tr>
      <w:tr>
        <w:tc>
          <w:tcPr/>
          <w:p>
            <w:pPr>
              <w:pStyle w:val="Compact"/>
              <w:spacing w:after="40" w:before="40"/>
              <w:jc w:val="left"/>
            </w:pPr>
            <w:r>
              <w:rPr>
                <w:rFonts w:ascii="Cambria" w:hAnsi="Cambria" w:cs="Cambria" w:eastAsia="Cambria"/>
                <w:b/>
                <w:bCs/>
                <w:color w:val="1A1A1A"/>
                <w:sz w:val="18"/>
              </w:rPr>
              <w:t xml:space="preserve">Profilo territoriale</w:t>
            </w:r>
          </w:p>
        </w:tc>
        <w:tc>
          <w:tcPr/>
          <w:p>
            <w:pPr>
              <w:pStyle w:val="Compact"/>
              <w:spacing w:after="40" w:before="40"/>
              <w:jc w:val="left"/>
            </w:pPr>
            <w:r>
              <w:rPr>
                <w:rFonts w:ascii="Cambria" w:hAnsi="Cambria" w:cs="Cambria" w:eastAsia="Cambria"/>
                <w:color w:val="1A1A1A"/>
                <w:sz w:val="18"/>
              </w:rPr>
              <w:t xml:space="preserve">Centri urbani (Trieste, Udine, Pordenone) con disagio giovanile e socio-economico; aree montane e interne (Carnia, valli) anziane e in spopolamento; regione di confine e plurilingue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Articolazione sanitaria</w:t>
            </w:r>
          </w:p>
        </w:tc>
        <w:tc>
          <w:tcPr>
            <w:shd w:val="clear" w:color="auto" w:fill="F4F1EC"/>
          </w:tcPr>
          <w:p>
            <w:pPr>
              <w:pStyle w:val="Compact"/>
              <w:spacing w:after="40" w:before="40"/>
              <w:jc w:val="left"/>
            </w:pPr>
            <w:r>
              <w:rPr>
                <w:rFonts w:ascii="Cambria" w:hAnsi="Cambria" w:cs="Cambria" w:eastAsia="Cambria"/>
                <w:color w:val="1A1A1A"/>
                <w:sz w:val="18"/>
              </w:rPr>
              <w:t xml:space="preserve">Tre aziende sanitarie regionali (ASUGI, ASUFC, ASFO), Azienda Regionale di Coordinamento per la Salute (ARCS), istituti a rilievo nazionale (IRCCS Burlo Garofolo, CRO di Aviano)</w:t>
            </w:r>
          </w:p>
        </w:tc>
      </w:tr>
    </w:tbl>
    <w:p>
      <w:pPr>
        <w:pStyle w:val="BodyText"/>
      </w:pPr>
      <w:r>
        <w:rPr>
          <w:i/>
          <w:iCs/>
        </w:rPr>
        <w:t xml:space="preserve">Tabella B.1. Profilo demografico e socio-economico del Friuli-Venezia Giulia.</w:t>
      </w:r>
    </w:p>
    <w:bookmarkEnd w:id="1502"/>
    <w:bookmarkStart w:id="1510" w:name="b.2-epidemiologia-del-bisogno-5"/>
    <w:p>
      <w:pPr>
        <w:pStyle w:val="Heading3"/>
      </w:pPr>
      <w:r>
        <w:t xml:space="preserve">B.2 Epidemiologia del bisogno</w:t>
      </w:r>
    </w:p>
    <w:p>
      <w:pPr>
        <w:pStyle w:val="FirstParagraph"/>
      </w:pPr>
      <w:r>
        <w:t xml:space="preserve">Il bisogno di salute mentale nel Friuli-Venezia Giulia è ampio e sospinto da una struttura demografica fra le più anziane d’Italia, distribuita su un territorio di confine. Proiettando i tassi di prevalenza nazionali, la quota di disagio psichico comune o sottosoglia si colloca nell’ordine di 239.000 persone, in larga parte non intercettate, tanto più in una fase in cui il servizio è ancora in avvio sperimentale.</w:t>
      </w:r>
      <w:r>
        <w:rPr>
          <w:rStyle w:val="FootnoteReference"/>
        </w:rPr>
        <w:footnoteReference w:id="2230"/>
      </w:r>
      <w:r>
        <w:t xml:space="preserve"> </w:t>
      </w:r>
      <w:r>
        <w:t xml:space="preserve">A questa quota si somma un’ampia utenza specialistica in carico ai servizi, su un territorio che presenta una specificità propria: il consenso politico unanime espresso dalla mozione del 2022 e una sperimentazione in avvio.</w:t>
      </w:r>
      <w:r>
        <w:rPr>
          <w:rStyle w:val="FootnoteReference"/>
        </w:rPr>
        <w:footnoteReference w:id="2231"/>
      </w:r>
      <w:r>
        <w:t xml:space="preserve"> </w:t>
      </w:r>
      <w:r>
        <w:t xml:space="preserve">Tre componenti orientano la domanda. La prima e più caratterizzante è il bisogno dell’età anziana e della cronicità, accentuato nelle aree montane e interne più anziane.</w:t>
      </w:r>
      <w:r>
        <w:rPr>
          <w:rStyle w:val="FootnoteReference"/>
        </w:rPr>
        <w:footnoteReference w:id="2232"/>
      </w:r>
      <w:r>
        <w:t xml:space="preserve"> </w:t>
      </w:r>
      <w:r>
        <w:t xml:space="preserve">La seconda è il disagio giovanile e socio-economico nei centri di Trieste, Udine e Pordenone.</w:t>
      </w:r>
      <w:r>
        <w:rPr>
          <w:rStyle w:val="FootnoteReference"/>
        </w:rPr>
        <w:footnoteReference w:id="2233"/>
      </w:r>
      <w:r>
        <w:t xml:space="preserve"> </w:t>
      </w:r>
      <w:r>
        <w:t xml:space="preserve">La terza è il disagio connesso allo spopolamento e all’isolamento delle aree montane e interne.</w:t>
      </w:r>
      <w:r>
        <w:rPr>
          <w:rStyle w:val="FootnoteReference"/>
        </w:rPr>
        <w:footnoteReference w:id="2234"/>
      </w:r>
      <w:r>
        <w:t xml:space="preserve"> </w:t>
      </w:r>
      <w:r>
        <w:t xml:space="preserve">È la combinazione — regione di confine, molto anziana e plurilingue, con un consenso politico unanime ma un’attuazione ancora iniziale — a distinguere il fabbisogno regionale.</w:t>
      </w:r>
      <w:r>
        <w:rPr>
          <w:rStyle w:val="FootnoteReference"/>
        </w:rPr>
        <w:footnoteReference w:id="2235"/>
      </w:r>
      <w:r>
        <w:t xml:space="preserve"> </w:t>
      </w:r>
      <w:r>
        <w:t xml:space="preserve">La pressione che ne deriva si riversa anche sul pronto soccorso, con accessi per cause psichiatriche significativi e resi più onerosi dalle distanze nelle aree montane.</w:t>
      </w:r>
      <w:r>
        <w:rPr>
          <w:rStyle w:val="FootnoteReference"/>
        </w:rPr>
        <w:footnoteReference w:id="2236"/>
      </w:r>
    </w:p>
    <w:bookmarkEnd w:id="1510"/>
    <w:bookmarkStart w:id="1514" w:name="b.3-domanda-offerta-e-gap-di-copertura-5"/>
    <w:p>
      <w:pPr>
        <w:pStyle w:val="Heading3"/>
      </w:pPr>
      <w:r>
        <w:t xml:space="preserve">B.3 Domanda, offerta e gap di copertura</w:t>
      </w:r>
    </w:p>
    <w:p>
      <w:pPr>
        <w:pStyle w:val="FirstParagraph"/>
      </w:pPr>
      <w:r>
        <w:t xml:space="preserve">Alla domanda descritta si contrappone, nel Friuli-Venezia Giulia, un’offerta ancora in costruzione ma sostenuta da un forte consenso: il Consiglio regionale ha approvato all’unanimità, nel 2022, una mozione che impegna a istituire negli ambulatori delle Case della Comunità un primo livello di assistenza psicologica ad accesso diretto, per tutte le età, e nel 2026 una sperimentazione è stata aperta in linea con la normativa nazionale; la forma piena del servizio — inquadramento, dimensionamento e copertura — è ancora da definire in via legislativa.</w:t>
      </w:r>
      <w:r>
        <w:rPr>
          <w:rStyle w:val="FootnoteReference"/>
        </w:rPr>
        <w:footnoteReference w:id="2237"/>
      </w:r>
      <w:r>
        <w:t xml:space="preserve"> </w:t>
      </w:r>
      <w:r>
        <w:t xml:space="preserve">Il fabbisogno a regime è stimato nell’ordine di 260 psicologi nello scenario espansivo, e l’Ordine professionale regionale, che da anni sollecita l’introduzione del servizio, ne sostiene la strutturazione.</w:t>
      </w:r>
      <w:r>
        <w:rPr>
          <w:rStyle w:val="FootnoteReference"/>
        </w:rPr>
        <w:footnoteReference w:id="2238"/>
      </w:r>
      <w:r>
        <w:t xml:space="preserve"> </w:t>
      </w:r>
      <w:r>
        <w:t xml:space="preserve">La copertura attuale corrisponde dunque alla sola sperimentazione in avvio: non un servizio da introdurre, ma un servizio da strutturare nei distretti delle tre aziende sanitarie e da dimensionare.</w:t>
      </w:r>
      <w:r>
        <w:rPr>
          <w:rStyle w:val="FootnoteReference"/>
        </w:rPr>
        <w:footnoteReference w:id="2239"/>
      </w:r>
      <w:r>
        <w:t xml:space="preserve"> </w:t>
      </w:r>
      <w:r>
        <w:t xml:space="preserve">La tabella seguente sintetizza domanda, offerta e divario.</w:t>
      </w:r>
    </w:p>
    <w:tbl>
      <w:tblPr>
        <w:tblStyle w:val="Table"/>
        <w:tblW w:type="pct" w:w="495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80"/>
        <w:gridCol w:w="617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Friuli-Venezia Giulia</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239.000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in carico ai servizi di 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Ampia (alcune decine di migliaia, stima rapportata ai dati nazionali)</w:t>
            </w:r>
          </w:p>
        </w:tc>
      </w:tr>
      <w:tr>
        <w:tc>
          <w:tcPr/>
          <w:p>
            <w:pPr>
              <w:pStyle w:val="Compact"/>
              <w:spacing w:after="40" w:before="40"/>
              <w:jc w:val="left"/>
            </w:pPr>
            <w:r>
              <w:rPr>
                <w:rFonts w:ascii="Cambria" w:hAnsi="Cambria" w:cs="Cambria" w:eastAsia="Cambria"/>
                <w:b/>
                <w:bCs/>
                <w:color w:val="1A1A1A"/>
                <w:sz w:val="18"/>
              </w:rPr>
              <w:t xml:space="preserve">Offerta territoriale attuale</w:t>
            </w:r>
          </w:p>
        </w:tc>
        <w:tc>
          <w:tcPr/>
          <w:p>
            <w:pPr>
              <w:pStyle w:val="Compact"/>
              <w:spacing w:after="40" w:before="40"/>
              <w:jc w:val="left"/>
            </w:pPr>
            <w:r>
              <w:rPr>
                <w:rFonts w:ascii="Cambria" w:hAnsi="Cambria" w:cs="Cambria" w:eastAsia="Cambria"/>
                <w:color w:val="1A1A1A"/>
                <w:sz w:val="18"/>
              </w:rPr>
              <w:t xml:space="preserve">Impegno politico unanime (mozione consiliare 2022): ambulatori nelle Case della Comunità, accesso diretto, tutte le età; sperimentazione aperta nel 2026; forma piena ancora da disciplinare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Fabbisogno stimato a regime</w:t>
            </w:r>
          </w:p>
        </w:tc>
        <w:tc>
          <w:tcPr>
            <w:shd w:val="clear" w:color="auto" w:fill="F4F1EC"/>
          </w:tcPr>
          <w:p>
            <w:pPr>
              <w:pStyle w:val="Compact"/>
              <w:spacing w:after="40" w:before="40"/>
              <w:jc w:val="left"/>
            </w:pPr>
            <w:r>
              <w:rPr>
                <w:rFonts w:ascii="Cambria" w:hAnsi="Cambria" w:cs="Cambria" w:eastAsia="Cambria"/>
                <w:color w:val="1A1A1A"/>
                <w:sz w:val="18"/>
              </w:rPr>
              <w:t xml:space="preserve">~ 260 psicologi nello scenario espansivo (130–195 negli altri scenari)</w:t>
            </w:r>
          </w:p>
        </w:tc>
      </w:tr>
      <w:tr>
        <w:tc>
          <w:tcPr/>
          <w:p>
            <w:pPr>
              <w:pStyle w:val="Compact"/>
              <w:spacing w:after="40" w:before="40"/>
              <w:jc w:val="left"/>
            </w:pPr>
            <w:r>
              <w:rPr>
                <w:rFonts w:ascii="Cambria" w:hAnsi="Cambria" w:cs="Cambria" w:eastAsia="Cambria"/>
                <w:b/>
                <w:bCs/>
                <w:color w:val="1A1A1A"/>
                <w:sz w:val="18"/>
              </w:rPr>
              <w:t xml:space="preserve">Copertura attuale del fabbisogno</w:t>
            </w:r>
          </w:p>
        </w:tc>
        <w:tc>
          <w:tcPr/>
          <w:p>
            <w:pPr>
              <w:pStyle w:val="Compact"/>
              <w:spacing w:after="40" w:before="40"/>
              <w:jc w:val="left"/>
            </w:pPr>
            <w:r>
              <w:rPr>
                <w:rFonts w:ascii="Cambria" w:hAnsi="Cambria" w:cs="Cambria" w:eastAsia="Cambria"/>
                <w:color w:val="1A1A1A"/>
                <w:sz w:val="18"/>
              </w:rPr>
              <w:t xml:space="preserve">Sperimentazione in avvio; servizio non ancora strutturato a regime né disciplinato da legge attuativa</w:t>
            </w:r>
          </w:p>
        </w:tc>
      </w:tr>
    </w:tbl>
    <w:p>
      <w:pPr>
        <w:pStyle w:val="BodyText"/>
      </w:pPr>
      <w:r>
        <w:rPr>
          <w:i/>
          <w:iCs/>
        </w:rPr>
        <w:t xml:space="preserve">Tabella B.2. Domanda, offerta e gap di copertura.</w:t>
      </w:r>
    </w:p>
    <w:bookmarkEnd w:id="1514"/>
    <w:bookmarkStart w:id="1516" w:name="X2253d0be6df571157a5a50168a75bb002e4ccef"/>
    <w:p>
      <w:pPr>
        <w:pStyle w:val="Heading3"/>
      </w:pPr>
      <w:r>
        <w:t xml:space="preserve">B.4 Disuguaglianze e divari territoriali</w:t>
      </w:r>
    </w:p>
    <w:p>
      <w:pPr>
        <w:pStyle w:val="FirstParagraph"/>
      </w:pPr>
      <w:r>
        <w:t xml:space="preserve">La dimensione distributiva del bisogno, nel Friuli-Venezia Giulia, si gioca su due assi. Il primo, territoriale, separa i centri urbani di Trieste, Udine e Pordenone dalle aree montane e interne della Carnia, del Friuli collinare e delle valli, più anziane, in spopolamento e penalizzate dalle distanze e dall’orografia. Il secondo, linguistico, attiene alla necessità che il servizio sia fruibile dalle comunità friulana, slovena e tedesca nella propria lingua.</w:t>
      </w:r>
      <w:r>
        <w:rPr>
          <w:rStyle w:val="FootnoteReference"/>
        </w:rPr>
        <w:footnoteReference w:id="2240"/>
      </w:r>
      <w:r>
        <w:t xml:space="preserve"> </w:t>
      </w:r>
      <w:r>
        <w:t xml:space="preserve">Su questi divari il servizio agisce in funzione di equità: avvicina l’offerta alle aree montane e interne mediante la telepsicologia assistita — dove la sola presenza di un primo livello accessibile è già un atto di riequilibrio — e, assorbendo a monte la domanda appropriata, libera capacità specialistica e contribuisce a contenere i tempi di attesa; collocato negli ambulatori delle Case della Comunità con accesso diretto, secondo l’impostazione della mozione del 2022, non oppone all’accesso delle fasce più fragili una barriera economica.</w:t>
      </w:r>
    </w:p>
    <w:bookmarkEnd w:id="1516"/>
    <w:bookmarkStart w:id="1519" w:name="b.5-i-servizi-e-i-flussi-5"/>
    <w:p>
      <w:pPr>
        <w:pStyle w:val="Heading3"/>
      </w:pPr>
      <w:r>
        <w:t xml:space="preserve">B.5 I servizi e i flussi</w:t>
      </w:r>
    </w:p>
    <w:p>
      <w:pPr>
        <w:pStyle w:val="FirstParagraph"/>
      </w:pPr>
      <w:r>
        <w:t xml:space="preserve">Il Servizio sanitario del Friuli-Venezia Giulia, in quanto regione a statuto speciale, si autofinanzia con risorse del proprio territorio attraverso la compartecipazione ai tributi erariali, senza che lo Stato concorra al finanziamento; non è sottoposto a piano di rientro e presenta finanze solide.</w:t>
      </w:r>
      <w:r>
        <w:rPr>
          <w:rStyle w:val="FootnoteReference"/>
        </w:rPr>
        <w:footnoteReference w:id="2241"/>
      </w:r>
      <w:r>
        <w:t xml:space="preserve"> </w:t>
      </w:r>
      <w:r>
        <w:t xml:space="preserve">Il profilo di mobilità, in una regione di confine, genera flussi nei due sensi con Slovenia e Austria, con un saldo contenuto; poiché la mobilità non riguarda la domanda psicologica delle cure primarie, il canale del recupero è per questo intervento solo modestamente pertinente.</w:t>
      </w:r>
      <w:r>
        <w:rPr>
          <w:rStyle w:val="FootnoteReference"/>
        </w:rPr>
        <w:footnoteReference w:id="2242"/>
      </w:r>
      <w:r>
        <w:t xml:space="preserve"> </w:t>
      </w:r>
      <w:r>
        <w:t xml:space="preserve">L’architettura dei servizi poggia su tre aziende sanitarie regionali (ASUGI, ASUFC, ASFO), sull’Azienda Regionale di Coordinamento per la Salute con funzioni di coordinamento, su istituti a rilievo nazionale, e su una rete territoriale di Case della Comunità in costruzione, negli ambulatori delle quali il servizio andrà innestato. La tabella seguente riepiloga le grandezze di sistema rilevanti.</w:t>
      </w:r>
    </w:p>
    <w:tbl>
      <w:tblPr>
        <w:tblStyle w:val="Table"/>
        <w:tblW w:type="pct" w:w="496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08"/>
        <w:gridCol w:w="625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Friuli-Venezia Giulia</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w:t>
            </w:r>
          </w:p>
        </w:tc>
        <w:tc>
          <w:tcPr/>
          <w:p>
            <w:pPr>
              <w:pStyle w:val="Compact"/>
              <w:spacing w:after="40" w:before="40"/>
              <w:jc w:val="left"/>
            </w:pPr>
            <w:r>
              <w:rPr>
                <w:rFonts w:ascii="Cambria" w:hAnsi="Cambria" w:cs="Cambria" w:eastAsia="Cambria"/>
                <w:color w:val="1A1A1A"/>
                <w:sz w:val="18"/>
              </w:rPr>
              <w:t xml:space="preserve">Statuto speciale, con autofinanziamento della sanità tramite compartecipazione ai tributi erariali, senza concorso dello Stato; nessun piano di rientro; finanze solide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Regione di confine: flussi nei due sensi con Slovenia e Austria, saldo contenuto; non riguarda la domanda psicologica; canale modesto per questo intervento</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Accessi per cause psichiatriche significativi (alcune decine di migliaia l’anno, stima rapportata ai dati nazionali)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Architettura dei servizi</w:t>
            </w:r>
          </w:p>
        </w:tc>
        <w:tc>
          <w:tcPr>
            <w:shd w:val="clear" w:color="auto" w:fill="F4F1EC"/>
          </w:tcPr>
          <w:p>
            <w:pPr>
              <w:pStyle w:val="Compact"/>
              <w:spacing w:after="40" w:before="40"/>
              <w:jc w:val="left"/>
            </w:pPr>
            <w:r>
              <w:rPr>
                <w:rFonts w:ascii="Cambria" w:hAnsi="Cambria" w:cs="Cambria" w:eastAsia="Cambria"/>
                <w:color w:val="1A1A1A"/>
                <w:sz w:val="18"/>
              </w:rPr>
              <w:t xml:space="preserve">Tre aziende sanitarie regionali (ASUGI, ASUFC, ASFO), Azienda Regionale di Coordinamento per la Salute (ARCS) di coordinamento, istituti a rilievo nazionale; rete delle Case della Comunità in costruzione</w:t>
            </w:r>
          </w:p>
        </w:tc>
      </w:tr>
      <w:tr>
        <w:tc>
          <w:tcPr/>
          <w:p>
            <w:pPr>
              <w:pStyle w:val="Compact"/>
              <w:spacing w:after="40" w:before="40"/>
              <w:jc w:val="left"/>
            </w:pPr>
            <w:r>
              <w:rPr>
                <w:rFonts w:ascii="Cambria" w:hAnsi="Cambria" w:cs="Cambria" w:eastAsia="Cambria"/>
                <w:b/>
                <w:bCs/>
                <w:color w:val="1A1A1A"/>
                <w:sz w:val="18"/>
              </w:rPr>
              <w:t xml:space="preserve">Margine di azione principale</w:t>
            </w:r>
          </w:p>
        </w:tc>
        <w:tc>
          <w:tcPr/>
          <w:p>
            <w:pPr>
              <w:pStyle w:val="Compact"/>
              <w:spacing w:after="40" w:before="40"/>
              <w:jc w:val="left"/>
            </w:pPr>
            <w:r>
              <w:rPr>
                <w:rFonts w:ascii="Cambria" w:hAnsi="Cambria" w:cs="Cambria" w:eastAsia="Cambria"/>
                <w:color w:val="1A1A1A"/>
                <w:sz w:val="18"/>
              </w:rPr>
              <w:t xml:space="preserve">Strutturazione nei distretti delle tre aziende sanitarie, liste di attesa, accesso delle aree montane e interne, bisogno anziano e cronicità, dimensione linguistica, intercettazione precoce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1519"/>
    <w:bookmarkStart w:id="4375" w:name="Xb8d89a29d92e7fe06ab1b5b06979192f799f95c"/>
    <w:p>
      <w:pPr>
        <w:pStyle w:val="Heading3"/>
      </w:pPr>
      <w:r>
        <w:t xml:space="preserve">B.6 La cornice normativa e programmatica</w:t>
      </w:r>
    </w:p>
    <w:p>
      <w:pPr>
        <w:pStyle w:val="FirstParagraph"/>
      </w:pPr>
      <w:r>
        <w:t xml:space="preserve">La decisione si colloca entro una cornice segnata da un forte consenso politico: il Friuli-Venezia Giulia ha approvato all’unanimità, nel 2022, una mozione consiliare che impegna a istituire il servizio nelle Case della Comunità, e nel 2026 ha aperto una sperimentazione.</w:t>
      </w:r>
      <w:r>
        <w:rPr>
          <w:rStyle w:val="FootnoteReference"/>
        </w:rPr>
        <w:footnoteReference w:id="2243"/>
      </w:r>
      <w:r>
        <w:t xml:space="preserve"> </w:t>
      </w:r>
      <w:r>
        <w:t xml:space="preserve">La cornice include il Decreto Ministeriale 77/2022 sugli standard dell’assistenza territoriale, il quadro di tutela delle minoranze linguistiche (legge 482/1999 e legge 38/2001) e, sul piano nazionale, il testo unificato in discussione alla Camera; sul piano regionale opera entro l’autonomia dello statuto speciale. La decisione rilevante, in questo contesto, non è introdurre una funzione, già condivisa, ma darle forma piena con una legge attuativa, strutturarla nei distretti delle tre aziende sanitarie e dimensionarla: è il tema che le parti successive sviluppano, a partire dalla definizione dell’intervento e del suo modello, oggetto della Parte C.</w:t>
      </w:r>
    </w:p>
    <w:bookmarkEnd w:id="4375"/>
    <w:bookmarkEnd w:id="4374"/>
    <w:bookmarkStart w:id="1547" w:name="parte-c-lintervento-e-il-suo-modello-4"/>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Friuli-Venezia Giulia emerge con nettezza: l’intervento non è da introdurre, ma da strutturare pienamente a partire da un impegno politico unanime e da una sperimentazione in avvio, che la regione deve portare a regime nei distretti delle tre aziende sanitarie, avvalendosi del coordinamento dell’ARCS, il modello, il sistema informativo e il monitoraggio.</w:t>
      </w:r>
    </w:p>
    <w:bookmarkStart w:id="1526" w:name="X2c2dbf18379aa7e1e45924e76f24f98bd354af3"/>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 Friuli-Venezia Giulia tale funzione è oggetto di un impegno politico unanime, la mozione consiliare del 2022, che ne prevede la collocazione negli ambulatori delle Case della Comunità.</w:t>
      </w:r>
      <w:r>
        <w:rPr>
          <w:rStyle w:val="FootnoteReference"/>
        </w:rPr>
        <w:footnoteReference w:id="2244"/>
      </w:r>
      <w:r>
        <w:t xml:space="preserve"> </w:t>
      </w:r>
      <w:r>
        <w:t xml:space="preserve">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w:t>
      </w:r>
      <w:r>
        <w:rPr>
          <w:rStyle w:val="FootnoteReference"/>
        </w:rPr>
        <w:footnoteReference w:id="2245"/>
      </w:r>
      <w:r>
        <w:t xml:space="preserve"> </w:t>
      </w:r>
      <w:r>
        <w:t xml:space="preserve">Il bisogno potenziale cui la catena si rivolge è dell’ordine di 239.000 persone con disagio comune.</w:t>
      </w:r>
      <w:r>
        <w:rPr>
          <w:rStyle w:val="FootnoteReference"/>
        </w:rPr>
        <w:footnoteReference w:id="2246"/>
      </w:r>
      <w:r>
        <w:t xml:space="preserve"> </w:t>
      </w:r>
      <w:r>
        <w:t xml:space="preserve">La tabella seguente ne espone gli anelli.</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27"/>
        <w:gridCol w:w="567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il Friuli-Venezia Giulia</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239.000 persone con disagio comune, in larga parte non intercettato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Servizio di psicologia delle cure primarie: intercettazione precoce, intervento breve, filtro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liste di attesa ridotte</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e minor carico familiare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1526"/>
    <w:bookmarkStart w:id="1529" w:name="c.2-il-modello-organizzativo-5"/>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Centri di Salute Mentale, secondo l’impostazione della mozione consiliare del 2022, che prevede ambulatori di primo livello di assistenza psicologica ad accesso diretto del cittadino o su invio; la forma piena dell’inquadramento — convenzionale o dipendente — è ancora da definire in sede legislativa. Il Friuli-Venezia Giulia presenta qui una specificità: il servizio è sostenuto da un impegno politico unanime ma ancora in avvio sperimentale. La regione dispone di un’azienda regionale di coordinamento per la salute, l’ARCS, sicché strutturare il servizio nei distretti delle tre aziende sanitarie in modo omogeneo — in una regione di confine — è la sfida organizzativa principale, agevolata dal coordinamento dell’ARCS.</w:t>
      </w:r>
      <w:r>
        <w:rPr>
          <w:rStyle w:val="FootnoteReference"/>
        </w:rPr>
        <w:footnoteReference w:id="2247"/>
      </w:r>
      <w:r>
        <w:t xml:space="preserve"> </w:t>
      </w:r>
      <w:r>
        <w:t xml:space="preserve">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r>
        <w:rPr>
          <w:rStyle w:val="FootnoteReference"/>
        </w:rPr>
        <w:footnoteReference w:id="2248"/>
      </w:r>
    </w:p>
    <w:bookmarkEnd w:id="1529"/>
    <w:bookmarkStart w:id="1534" w:name="X5cd0c5e65146f5d5f241eb6ac1bb12514e114c8"/>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in via di strutturazione nei distretti delle tre aziende sanitarie, e affronta i quadri più frequenti, dalla sintomatologia ansioso-depressiva ai problemi di adattamento e psicosomatici.</w:t>
      </w:r>
      <w:r>
        <w:rPr>
          <w:rStyle w:val="FootnoteReference"/>
        </w:rPr>
        <w:footnoteReference w:id="2249"/>
      </w:r>
      <w:r>
        <w:t xml:space="preserve"> </w:t>
      </w:r>
      <w:r>
        <w:t xml:space="preserve">Gli esiti sono misurati con strumenti validati e di uso internazionale, impiegati nei soli punteggi complessivi: il questionario a nove voci sui sintomi depressivi e la scala a sette voci per il disturbo d’ansia generalizzata.</w:t>
      </w:r>
      <w:r>
        <w:rPr>
          <w:rStyle w:val="FootnoteReference"/>
        </w:rPr>
        <w:footnoteReference w:id="2250"/>
      </w:r>
      <w:r>
        <w:t xml:space="preserve"> </w:t>
      </w:r>
      <w:r>
        <w:t xml:space="preserve">Particolare cura è dedicata alla sicurezza: le situazioni di rischio sono individuate precocemente e indirizzate senza indugio ai servizi specialistici e di emergenza secondo protocolli definiti, senza che lo studio entri nel merito dei metodi clinici.</w:t>
      </w:r>
      <w:r>
        <w:rPr>
          <w:rStyle w:val="FootnoteReference"/>
        </w:rPr>
        <w:footnoteReference w:id="2251"/>
      </w:r>
      <w:r>
        <w:t xml:space="preserve"> </w:t>
      </w:r>
      <w:r>
        <w:t xml:space="preserve">Gli esiti del percorso si articolano in quattro categorie, riepilogate nella tabella seguente.</w:t>
      </w:r>
      <w:r>
        <w:rPr>
          <w:rStyle w:val="FootnoteReference"/>
        </w:rPr>
        <w:footnoteReference w:id="2252"/>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43"/>
        <w:gridCol w:w="56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1534"/>
    <w:bookmarkStart w:id="4376" w:name="X837315e0fe1818d7592b043257b2d2fded86ec6"/>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Il coordinamento informativo è agevolato dalla presenza dell’Azienda Regionale di Coordinamento per la Salute (ARCS), che assicura funzioni tecnico-amministrative centralizzate, e deve garantire fra le tre aziende sanitarie l’uniformità della rilevazione man mano che il servizio vi viene strutturato.</w:t>
      </w:r>
      <w:r>
        <w:rPr>
          <w:rStyle w:val="FootnoteReference"/>
        </w:rPr>
        <w:footnoteReference w:id="2253"/>
      </w:r>
      <w:r>
        <w:t xml:space="preserve"> </w:t>
      </w:r>
      <w:r>
        <w:t xml:space="preserve">La raccolta sistematica e completa dei dati di processo e di esito non è un adempimento accessorio, ma il presupposto della clausola valutativa e del disegno controfattuale; poiché il servizio è ancora in avvio, il Friuli-Venezia Giulia ha l’opportunità di impostare il flusso fin dall’inizio in forma uniforme fra le tre aziende sanitarie, avvalendosi del coordinamento dell’ARCS e progettando correttamente la rilevazione prima della piena operatività anziché doverla ricostruire ex post.</w:t>
      </w:r>
      <w:r>
        <w:rPr>
          <w:rStyle w:val="FootnoteReference"/>
        </w:rPr>
        <w:footnoteReference w:id="2254"/>
      </w:r>
    </w:p>
    <w:bookmarkEnd w:id="4376"/>
    <w:bookmarkStart w:id="1543" w:name="Xf3fb3854ecd758a219d0707da8da6835051ab30"/>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w:t>
      </w:r>
      <w:r>
        <w:rPr>
          <w:rStyle w:val="FootnoteReference"/>
        </w:rPr>
        <w:footnoteReference w:id="2255"/>
      </w:r>
      <w:r>
        <w:t xml:space="preserve"> </w:t>
      </w:r>
      <w:r>
        <w:t xml:space="preserve">Gli strumenti di supporto decisionale e di sintesi clinica forniscono un ausilio non vincolante, di cui il professionista resta pienamente responsabile.</w:t>
      </w:r>
      <w:r>
        <w:rPr>
          <w:rStyle w:val="FootnoteReference"/>
        </w:rPr>
        <w:footnoteReference w:id="2256"/>
      </w:r>
      <w:r>
        <w:t xml:space="preserve"> </w:t>
      </w:r>
      <w:r>
        <w:t xml:space="preserve">L’automazione appropriata delle attività documentali restituisce tempo alla relazione clinica.</w:t>
      </w:r>
      <w:r>
        <w:rPr>
          <w:rStyle w:val="FootnoteReference"/>
        </w:rPr>
        <w:footnoteReference w:id="2257"/>
      </w:r>
      <w:r>
        <w:t xml:space="preserve"> </w:t>
      </w:r>
      <w:r>
        <w:t xml:space="preserve">La telepsicologia e il telemonitoraggio assistiti sono, nel Friuli-Venezia Giulia, lo strumento per garantire l’accesso nelle aree montane e interne della Carnia, del Friuli collinare e delle valli e la fruizione nella lingua del paziente, in funzione complementare e non sostitutiva della presa in carico in presenza.</w:t>
      </w:r>
      <w:r>
        <w:rPr>
          <w:rStyle w:val="FootnoteReference"/>
        </w:rPr>
        <w:footnoteReference w:id="2258"/>
      </w:r>
      <w:r>
        <w:t xml:space="preserve"> </w:t>
      </w:r>
      <w:r>
        <w:t xml:space="preserve">I dispositivi terapeutici digitali, infine, sono interventi validati e prescritti, conformi alla disciplina sui dispositivi medici.</w:t>
      </w:r>
      <w:r>
        <w:rPr>
          <w:rStyle w:val="FootnoteReference"/>
        </w:rPr>
        <w:footnoteReference w:id="2259"/>
      </w:r>
      <w:r>
        <w:t xml:space="preserve"> </w:t>
      </w:r>
      <w:r>
        <w:t xml:space="preserve">La tabella seguente ne riepiloga funzioni e condizioni d’impiego.</w:t>
      </w:r>
    </w:p>
    <w:tbl>
      <w:tblPr>
        <w:tblStyle w:val="Table"/>
        <w:tblW w:type="pct" w:w="494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26"/>
        <w:gridCol w:w="4495"/>
        <w:gridCol w:w="141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 e telemonitoraggio</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aree montane e interne (Carnia, valli) e fruizione nella lingua del paziente; continuità</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bookmarkEnd w:id="1543"/>
    <w:bookmarkStart w:id="1546" w:name="c.6-la-formazione-e-le-competenze-5"/>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di Trieste e Udine e la SISSA; il livello post-universitario specialistico attraverso una formazione dedicata alla psicologia delle cure primarie, comprensiva della competenza per l’età anziana e la cronicità, prioritaria in una delle regioni più anziane d’Italia, per il disagio giovanile e per le competenze linguistiche in friulano, sloveno e tedesco; il livello continuo attraverso l’aggiornamento in servizio, l’audit clinico e l’educazione continua in medicina; il livello dell’affiancamento operativo attraverso il tutoraggio sul campo e l’inserimento graduale con supervisione.</w:t>
      </w:r>
      <w:r>
        <w:rPr>
          <w:rStyle w:val="FootnoteReference"/>
        </w:rPr>
        <w:footnoteReference w:id="2260"/>
      </w:r>
      <w:r>
        <w:t xml:space="preserve"> </w:t>
      </w:r>
      <w:r>
        <w:t xml:space="preserve">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w:t>
      </w:r>
      <w:r>
        <w:rPr>
          <w:rStyle w:val="FootnoteReference"/>
        </w:rPr>
        <w:footnoteReference w:id="2261"/>
      </w:r>
      <w:r>
        <w:t xml:space="preserve"> </w:t>
      </w:r>
      <w:r>
        <w:t xml:space="preserve">Il Friuli-Venezia Giulia presenta qui un elemento di metodo: l’Ordine professionale regionale ha già promosso una formazione dedicata alla psicologia delle cure primarie, base su cui innestare il percorso formativo dedicato. Definiti l’intervento e il suo modello, la parte che segue ne esamina l’efficacia e l’evidenza.</w:t>
      </w:r>
    </w:p>
    <w:tbl>
      <w:tblPr>
        <w:tblStyle w:val="Table"/>
        <w:tblW w:type="pct" w:w="495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21"/>
        <w:gridCol w:w="4941"/>
        <w:gridCol w:w="148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Atenei di Trieste e Udine, SISSA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delle cure primarie: modelli organizzativi, collaborazione, misure di esito, competenza per l’età anziana e la cronicità e giovanile</w:t>
            </w:r>
          </w:p>
        </w:tc>
        <w:tc>
          <w:tcPr>
            <w:shd w:val="clear" w:color="auto" w:fill="F4F1EC"/>
          </w:tcPr>
          <w:p>
            <w:pPr>
              <w:pStyle w:val="Compact"/>
              <w:spacing w:after="40" w:before="40"/>
              <w:jc w:val="left"/>
            </w:pPr>
            <w:r>
              <w:rPr>
                <w:rFonts w:ascii="Cambria" w:hAnsi="Cambria" w:cs="Cambria" w:eastAsia="Cambria"/>
                <w:color w:val="1A1A1A"/>
                <w:sz w:val="18"/>
              </w:rPr>
              <w:t xml:space="preserve">Formazione promossa dall’Ordine regionale</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Tutor aziendali;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bookmarkEnd w:id="1546"/>
    <w:bookmarkEnd w:id="1547"/>
    <w:bookmarkStart w:id="4377" w:name="emilia-romagna-studio-hta-integrale"/>
    <w:p>
      <w:pPr>
        <w:pStyle w:val="Heading2"/>
      </w:pPr>
      <w:r>
        <w:t xml:space="preserve">Emilia-Romagna — Studio HTA integrale</w:t>
      </w:r>
    </w:p>
    <w:p>
      <w:pPr>
        <w:pStyle w:val="FirstParagraph"/>
      </w:pPr>
      <w:r>
        <w:t xml:space="preserve">Studio Integrale Regionale · Regione Emilia-Romagna</w:t>
      </w:r>
    </w:p>
    <w:p>
      <w:pPr>
        <w:pStyle w:val="BodyText"/>
      </w:pPr>
      <w:r>
        <w:t xml:space="preserve">Progetto «Psicologo di Base» — Riforma «Psicologo di Base»: dal modello territoriale d’eccellenza al servizio strutturato. Applicazione del telaio integrato in undici parti e cinque appendici (Modello HTA · Five Case Model · CHEERS 2022 · criteri OCSE-DAC).</w:t>
      </w:r>
    </w:p>
    <w:p>
      <w:pPr>
        <w:pStyle w:val="BodyText"/>
      </w:pPr>
      <w:r>
        <w:t xml:space="preserve">Indice</w:t>
      </w:r>
    </w:p>
    <w:bookmarkEnd w:id="4377"/>
    <w:bookmarkStart w:id="1549" w:name="premessa-generale-4"/>
    <w:p>
      <w:pPr>
        <w:pStyle w:val="Heading2"/>
      </w:pPr>
      <w:r>
        <w:t xml:space="preserve">Premessa generale</w:t>
      </w:r>
    </w:p>
    <w:p>
      <w:pPr>
        <w:pStyle w:val="FirstParagraph"/>
      </w:pPr>
      <w:r>
        <w:t xml:space="preserve">Questo documento apre e ordina lo studio integrale per la Regione Emilia-Romagna sulla riforma «Psicologo di Base». Esso non contiene una nuova analisi, ma fornisce la chiave di navigazione dell’intero corpus: la premessa, l’indice generale di tutte le parti e di tutte le appendici, la mappa di integrazione delle cornici metodologiche e la sintesi del valore. L’Emilia-Romagna occupa, nel panorama nazionale, una posizione peculiare: è una regione di eccellenza, dotata di una rete territoriale matura — centoquarantuno Case della Comunità e una tradizione di Case della Salute avviata nel 2010 — nella quale la funzione psicologica nelle cure primarie è già diffusa per via amministrativa, attraverso esperienze strutturate dal 2015 nell’Azienda USL di Bologna e atti regionali quali le deliberazioni di Giunta del 2021 e del 2023, ma non è ancora istituzionalizzata da una legge regionale dedicata; la proposta di legge depositata nel 2024 non è stata approvata. La decisione rilevante non è dunque se introdurre il servizio, ma come strutturarlo e dimensionarlo, dando forma compiuta e stabile a una funzione già praticata.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1549"/>
    <w:bookmarkStart w:id="1550" w:name="indice-generale-del-corpus-4"/>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05"/>
        <w:gridCol w:w="1105"/>
        <w:gridCol w:w="561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A.1-A.3</w:t>
            </w:r>
          </w:p>
        </w:tc>
        <w:tc>
          <w:tcPr/>
          <w:p>
            <w:pPr>
              <w:pStyle w:val="Compact"/>
              <w:spacing w:after="40" w:before="40"/>
              <w:jc w:val="left"/>
            </w:pPr>
            <w:r>
              <w:rPr>
                <w:rFonts w:ascii="Cambria" w:hAnsi="Cambria" w:cs="Cambria" w:eastAsia="Cambria"/>
                <w:color w:val="1A1A1A"/>
                <w:sz w:val="18"/>
              </w:rPr>
              <w:t xml:space="preserve">Quadro, quesito e metodo: scopo e quesito (PICOTS),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Problema di salute, bisogno e contesto: demografia, epidemiologia, domanda e offerta, disuguaglianze,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L’intervento e il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clinica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casi economico e finanziario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parametri, sensibilità,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G.1-G.3</w:t>
            </w:r>
          </w:p>
        </w:tc>
        <w:tc>
          <w:tcPr/>
          <w:p>
            <w:pPr>
              <w:pStyle w:val="Compact"/>
              <w:spacing w:after="40" w:before="40"/>
              <w:jc w:val="left"/>
            </w:pPr>
            <w:r>
              <w:rPr>
                <w:rFonts w:ascii="Cambria" w:hAnsi="Cambria" w:cs="Cambria" w:eastAsia="Cambria"/>
                <w:color w:val="1A1A1A"/>
                <w:sz w:val="18"/>
              </w:rPr>
              <w:t xml:space="preserve">Equità e impatto distributivo: analisi di equità, costo-efficacia distributiva, divari territoriali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H.1-H.3</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etico, costituzionale, organizzativo e conformità</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implementazione, dispiegamento, casi commerciale e gestionale,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valutazione ed ex post: indicatori, protocollo, controfattuale, verifica ex post, cruscotto</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M.1-M.4</w:t>
            </w:r>
          </w:p>
        </w:tc>
        <w:tc>
          <w:tcPr/>
          <w:p>
            <w:pPr>
              <w:pStyle w:val="Compact"/>
              <w:spacing w:after="40" w:before="40"/>
              <w:jc w:val="left"/>
            </w:pPr>
            <w:r>
              <w:rPr>
                <w:rFonts w:ascii="Cambria" w:hAnsi="Cambria" w:cs="Cambria" w:eastAsia="Cambria"/>
                <w:color w:val="1A1A1A"/>
                <w:sz w:val="18"/>
              </w:rPr>
              <w:t xml:space="preserve">Sintesi multidimensionale e raccomandazioni: griglia OCSE-DAC, analisi multi-criterio, raccomandazioni, limiti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A</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tavola delle assunzioni e dei parametri</w:t>
            </w:r>
          </w:p>
        </w:tc>
      </w:tr>
      <w:tr>
        <w:tc>
          <w:tcPr/>
          <w:p>
            <w:pPr>
              <w:pStyle w:val="Compact"/>
              <w:spacing w:after="40" w:before="40"/>
              <w:jc w:val="left"/>
            </w:pPr>
            <w:r>
              <w:rPr>
                <w:rFonts w:ascii="Cambria" w:hAnsi="Cambria" w:cs="Cambria" w:eastAsia="Cambria"/>
                <w:b/>
                <w:bCs/>
                <w:color w:val="1A1A1A"/>
                <w:sz w:val="18"/>
              </w:rPr>
              <w:t xml:space="preserve">Appendice B</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Strumenti di esito e dataset minimo: questionari e dizionario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C</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Dati regionali e fonti: valori di ancoraggio e dati da acquisire</w:t>
            </w:r>
          </w:p>
        </w:tc>
      </w:tr>
      <w:tr>
        <w:tc>
          <w:tcPr/>
          <w:p>
            <w:pPr>
              <w:pStyle w:val="Compact"/>
              <w:spacing w:after="40" w:before="40"/>
              <w:jc w:val="left"/>
            </w:pPr>
            <w:r>
              <w:rPr>
                <w:rFonts w:ascii="Cambria" w:hAnsi="Cambria" w:cs="Cambria" w:eastAsia="Cambria"/>
                <w:b/>
                <w:bCs/>
                <w:color w:val="1A1A1A"/>
                <w:sz w:val="18"/>
              </w:rPr>
              <w:t xml:space="preserve">Appendice D</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Checklist di reporting: CHEERS, PRISMA, GRADE, STROBE, ISPOR-SMDM, OCSE-JRC</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1550"/>
    <w:bookmarkStart w:id="1551" w:name="la-mappa-di-integrazione-del-telaio-4"/>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87"/>
        <w:gridCol w:w="1208"/>
        <w:gridCol w:w="1745"/>
        <w:gridCol w:w="17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Parte</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HTA</w:t>
            </w:r>
          </w:p>
        </w:tc>
        <w:tc>
          <w:tcPr>
            <w:shd w:val="clear" w:color="auto" w:fill="16264B"/>
          </w:tcPr>
          <w:p>
            <w:pPr>
              <w:pStyle w:val="Compact"/>
              <w:spacing w:after="40" w:before="40"/>
              <w:jc w:val="left"/>
            </w:pPr>
            <w:r>
              <w:rPr>
                <w:rFonts w:ascii="Cambria" w:hAnsi="Cambria" w:cs="Cambria" w:eastAsia="Cambria"/>
                <w:b/>
                <w:bCs/>
                <w:color w:val="FFFFFF"/>
                <w:sz w:val="18"/>
              </w:rPr>
              <w:t xml:space="preserve">Caso (5CM)</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Criterio OCSE-DAC</w:t>
            </w:r>
          </w:p>
        </w:tc>
      </w:tr>
      <w:tr>
        <w:tc>
          <w:tcPr/>
          <w:p>
            <w:pPr>
              <w:pStyle w:val="Compact"/>
              <w:spacing w:after="40" w:before="40"/>
              <w:jc w:val="left"/>
            </w:pPr>
            <w:r>
              <w:rPr>
                <w:rFonts w:ascii="Cambria" w:hAnsi="Cambria" w:cs="Cambria" w:eastAsia="Cambria"/>
                <w:b/>
                <w:bCs/>
                <w:color w:val="1A1A1A"/>
                <w:sz w:val="18"/>
              </w:rPr>
              <w:t xml:space="preserve">A — Quadro e metodo</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Imposta la griglia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 — Bisogno e contesto</w:t>
            </w:r>
          </w:p>
        </w:tc>
        <w:tc>
          <w:tcPr>
            <w:shd w:val="clear" w:color="auto" w:fill="F4F1EC"/>
          </w:tcPr>
          <w:p>
            <w:pPr>
              <w:pStyle w:val="Compact"/>
              <w:spacing w:after="40" w:before="40"/>
              <w:jc w:val="left"/>
            </w:pPr>
            <w:r>
              <w:rPr>
                <w:rFonts w:ascii="Cambria" w:hAnsi="Cambria" w:cs="Cambria" w:eastAsia="Cambria"/>
                <w:color w:val="1A1A1A"/>
                <w:sz w:val="18"/>
              </w:rPr>
              <w:t xml:space="preserve">Dominio 1</w:t>
            </w:r>
          </w:p>
        </w:tc>
        <w:tc>
          <w:tcPr>
            <w:shd w:val="clear" w:color="auto" w:fill="F4F1EC"/>
          </w:tcPr>
          <w:p>
            <w:pPr>
              <w:pStyle w:val="Compact"/>
              <w:spacing w:after="40" w:before="40"/>
              <w:jc w:val="left"/>
            </w:pPr>
            <w:r>
              <w:rPr>
                <w:rFonts w:ascii="Cambria" w:hAnsi="Cambria" w:cs="Cambria" w:eastAsia="Cambria"/>
                <w:color w:val="1A1A1A"/>
                <w:sz w:val="18"/>
              </w:rPr>
              <w:t xml:space="preserve">Strategico</w:t>
            </w:r>
          </w:p>
        </w:tc>
        <w:tc>
          <w:tcPr>
            <w:shd w:val="clear" w:color="auto" w:fill="F4F1EC"/>
          </w:tcPr>
          <w:p>
            <w:pPr>
              <w:pStyle w:val="Compact"/>
              <w:spacing w:after="40" w:before="40"/>
              <w:jc w:val="left"/>
            </w:pPr>
            <w:r>
              <w:rPr>
                <w:rFonts w:ascii="Cambria" w:hAnsi="Cambria" w:cs="Cambria" w:eastAsia="Cambria"/>
                <w:color w:val="1A1A1A"/>
                <w:sz w:val="18"/>
              </w:rPr>
              <w:t xml:space="preserve">Rilevanza, coerenza</w:t>
            </w:r>
          </w:p>
        </w:tc>
      </w:tr>
      <w:tr>
        <w:tc>
          <w:tcPr/>
          <w:p>
            <w:pPr>
              <w:pStyle w:val="Compact"/>
              <w:spacing w:after="40" w:before="40"/>
              <w:jc w:val="left"/>
            </w:pPr>
            <w:r>
              <w:rPr>
                <w:rFonts w:ascii="Cambria" w:hAnsi="Cambria" w:cs="Cambria" w:eastAsia="Cambria"/>
                <w:b/>
                <w:bCs/>
                <w:color w:val="1A1A1A"/>
                <w:sz w:val="18"/>
              </w:rPr>
              <w:t xml:space="preserve">C — Intervento e modello</w:t>
            </w:r>
          </w:p>
        </w:tc>
        <w:tc>
          <w:tcPr/>
          <w:p>
            <w:pPr>
              <w:pStyle w:val="Compact"/>
              <w:spacing w:after="40" w:before="40"/>
              <w:jc w:val="left"/>
            </w:pPr>
            <w:r>
              <w:rPr>
                <w:rFonts w:ascii="Cambria" w:hAnsi="Cambria" w:cs="Cambria" w:eastAsia="Cambria"/>
                <w:color w:val="1A1A1A"/>
                <w:sz w:val="18"/>
              </w:rPr>
              <w:t xml:space="preserve">Domini 2–3</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 — Efficacia ed evidenza</w:t>
            </w:r>
          </w:p>
        </w:tc>
        <w:tc>
          <w:tcPr>
            <w:shd w:val="clear" w:color="auto" w:fill="F4F1EC"/>
          </w:tcPr>
          <w:p>
            <w:pPr>
              <w:pStyle w:val="Compact"/>
              <w:spacing w:after="40" w:before="40"/>
              <w:jc w:val="left"/>
            </w:pPr>
            <w:r>
              <w:rPr>
                <w:rFonts w:ascii="Cambria" w:hAnsi="Cambria" w:cs="Cambria" w:eastAsia="Cambria"/>
                <w:color w:val="1A1A1A"/>
                <w:sz w:val="18"/>
              </w:rPr>
              <w:t xml:space="preserve">Dominio 4</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Efficacia</w:t>
            </w:r>
          </w:p>
        </w:tc>
      </w:tr>
      <w:tr>
        <w:tc>
          <w:tcPr/>
          <w:p>
            <w:pPr>
              <w:pStyle w:val="Compact"/>
              <w:spacing w:after="40" w:before="40"/>
              <w:jc w:val="left"/>
            </w:pPr>
            <w:r>
              <w:rPr>
                <w:rFonts w:ascii="Cambria" w:hAnsi="Cambria" w:cs="Cambria" w:eastAsia="Cambria"/>
                <w:b/>
                <w:bCs/>
                <w:color w:val="1A1A1A"/>
                <w:sz w:val="18"/>
              </w:rPr>
              <w:t xml:space="preserve">E — Valutazione economica</w:t>
            </w:r>
          </w:p>
        </w:tc>
        <w:tc>
          <w:tcPr/>
          <w:p>
            <w:pPr>
              <w:pStyle w:val="Compact"/>
              <w:spacing w:after="40" w:before="40"/>
              <w:jc w:val="left"/>
            </w:pPr>
            <w:r>
              <w:rPr>
                <w:rFonts w:ascii="Cambria" w:hAnsi="Cambria" w:cs="Cambria" w:eastAsia="Cambria"/>
                <w:color w:val="1A1A1A"/>
                <w:sz w:val="18"/>
              </w:rPr>
              <w:t xml:space="preserve">Dominio 5</w:t>
            </w:r>
          </w:p>
        </w:tc>
        <w:tc>
          <w:tcPr/>
          <w:p>
            <w:pPr>
              <w:pStyle w:val="Compact"/>
              <w:spacing w:after="40" w:before="40"/>
              <w:jc w:val="left"/>
            </w:pPr>
            <w:r>
              <w:rPr>
                <w:rFonts w:ascii="Cambria" w:hAnsi="Cambria" w:cs="Cambria" w:eastAsia="Cambria"/>
                <w:color w:val="1A1A1A"/>
                <w:sz w:val="18"/>
              </w:rPr>
              <w:t xml:space="preserve">Economico, finanziario</w:t>
            </w:r>
          </w:p>
        </w:tc>
        <w:tc>
          <w:tcPr/>
          <w:p>
            <w:pPr>
              <w:pStyle w:val="Compact"/>
              <w:spacing w:after="40" w:before="40"/>
              <w:jc w:val="left"/>
            </w:pPr>
            <w:r>
              <w:rPr>
                <w:rFonts w:ascii="Cambria" w:hAnsi="Cambria" w:cs="Cambria" w:eastAsia="Cambria"/>
                <w:color w:val="1A1A1A"/>
                <w:sz w:val="18"/>
              </w:rPr>
              <w:t xml:space="preserve">Efficienza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 — 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Dominio 5</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Efficienza</w:t>
            </w:r>
          </w:p>
        </w:tc>
      </w:tr>
      <w:tr>
        <w:tc>
          <w:tcPr/>
          <w:p>
            <w:pPr>
              <w:pStyle w:val="Compact"/>
              <w:spacing w:after="40" w:before="40"/>
              <w:jc w:val="left"/>
            </w:pPr>
            <w:r>
              <w:rPr>
                <w:rFonts w:ascii="Cambria" w:hAnsi="Cambria" w:cs="Cambria" w:eastAsia="Cambria"/>
                <w:b/>
                <w:bCs/>
                <w:color w:val="1A1A1A"/>
                <w:sz w:val="18"/>
              </w:rPr>
              <w:t xml:space="preserve">G — Equità e impatto</w:t>
            </w:r>
          </w:p>
        </w:tc>
        <w:tc>
          <w:tcPr/>
          <w:p>
            <w:pPr>
              <w:pStyle w:val="Compact"/>
              <w:spacing w:after="40" w:before="40"/>
              <w:jc w:val="left"/>
            </w:pPr>
            <w:r>
              <w:rPr>
                <w:rFonts w:ascii="Cambria" w:hAnsi="Cambria" w:cs="Cambria" w:eastAsia="Cambria"/>
                <w:color w:val="1A1A1A"/>
                <w:sz w:val="18"/>
              </w:rPr>
              <w:t xml:space="preserve">Dominio 8</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Impatto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H — Profili etico/giuridico/organizz.</w:t>
            </w:r>
          </w:p>
        </w:tc>
        <w:tc>
          <w:tcPr>
            <w:shd w:val="clear" w:color="auto" w:fill="F4F1EC"/>
          </w:tcPr>
          <w:p>
            <w:pPr>
              <w:pStyle w:val="Compact"/>
              <w:spacing w:after="40" w:before="40"/>
              <w:jc w:val="left"/>
            </w:pPr>
            <w:r>
              <w:rPr>
                <w:rFonts w:ascii="Cambria" w:hAnsi="Cambria" w:cs="Cambria" w:eastAsia="Cambria"/>
                <w:color w:val="1A1A1A"/>
                <w:sz w:val="18"/>
              </w:rPr>
              <w:t xml:space="preserve">Domini 6, 7, 9</w:t>
            </w:r>
          </w:p>
        </w:tc>
        <w:tc>
          <w:tcPr>
            <w:shd w:val="clear" w:color="auto" w:fill="F4F1EC"/>
          </w:tcPr>
          <w:p>
            <w:pPr>
              <w:pStyle w:val="Compact"/>
              <w:spacing w:after="40" w:before="40"/>
              <w:jc w:val="left"/>
            </w:pPr>
            <w:r>
              <w:rPr>
                <w:rFonts w:ascii="Cambria" w:hAnsi="Cambria" w:cs="Cambria" w:eastAsia="Cambria"/>
                <w:color w:val="1A1A1A"/>
                <w:sz w:val="18"/>
              </w:rPr>
              <w:t xml:space="preserve">Gestionale</w:t>
            </w:r>
          </w:p>
        </w:tc>
        <w:tc>
          <w:tcPr>
            <w:shd w:val="clear" w:color="auto" w:fill="F4F1EC"/>
          </w:tcPr>
          <w:p>
            <w:pPr>
              <w:pStyle w:val="Compact"/>
              <w:spacing w:after="40" w:before="40"/>
              <w:jc w:val="left"/>
            </w:pPr>
            <w:r>
              <w:rPr>
                <w:rFonts w:ascii="Cambria" w:hAnsi="Cambria" w:cs="Cambria" w:eastAsia="Cambria"/>
                <w:color w:val="1A1A1A"/>
                <w:sz w:val="18"/>
              </w:rPr>
              <w:t xml:space="preserve">Coerenza</w:t>
            </w:r>
          </w:p>
        </w:tc>
      </w:tr>
      <w:tr>
        <w:tc>
          <w:tcPr/>
          <w:p>
            <w:pPr>
              <w:pStyle w:val="Compact"/>
              <w:spacing w:after="40" w:before="40"/>
              <w:jc w:val="left"/>
            </w:pPr>
            <w:r>
              <w:rPr>
                <w:rFonts w:ascii="Cambria" w:hAnsi="Cambria" w:cs="Cambria" w:eastAsia="Cambria"/>
                <w:b/>
                <w:bCs/>
                <w:color w:val="1A1A1A"/>
                <w:sz w:val="18"/>
              </w:rPr>
              <w:t xml:space="preserve">I — Attuazione e sostenibilità</w:t>
            </w:r>
          </w:p>
        </w:tc>
        <w:tc>
          <w:tcPr/>
          <w:p>
            <w:pPr>
              <w:pStyle w:val="Compact"/>
              <w:spacing w:after="40" w:before="40"/>
              <w:jc w:val="left"/>
            </w:pPr>
            <w:r>
              <w:rPr>
                <w:rFonts w:ascii="Cambria" w:hAnsi="Cambria" w:cs="Cambria" w:eastAsia="Cambria"/>
                <w:color w:val="1A1A1A"/>
                <w:sz w:val="18"/>
              </w:rPr>
              <w:t xml:space="preserve">Dominio 7</w:t>
            </w:r>
          </w:p>
        </w:tc>
        <w:tc>
          <w:tcPr/>
          <w:p>
            <w:pPr>
              <w:pStyle w:val="Compact"/>
              <w:spacing w:after="40" w:before="40"/>
              <w:jc w:val="left"/>
            </w:pPr>
            <w:r>
              <w:rPr>
                <w:rFonts w:ascii="Cambria" w:hAnsi="Cambria" w:cs="Cambria" w:eastAsia="Cambria"/>
                <w:color w:val="1A1A1A"/>
                <w:sz w:val="18"/>
              </w:rPr>
              <w:t xml:space="preserve">Commerciale, gestionale</w:t>
            </w:r>
          </w:p>
        </w:tc>
        <w:tc>
          <w:tcPr/>
          <w:p>
            <w:pPr>
              <w:pStyle w:val="Compact"/>
              <w:spacing w:after="40" w:before="40"/>
              <w:jc w:val="left"/>
            </w:pPr>
            <w:r>
              <w:rPr>
                <w:rFonts w:ascii="Cambria" w:hAnsi="Cambria" w:cs="Cambria" w:eastAsia="Cambria"/>
                <w:color w:val="1A1A1A"/>
                <w:sz w:val="18"/>
              </w:rPr>
              <w:t xml:space="preserve">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 — Monitoraggio ed ex post</w:t>
            </w:r>
          </w:p>
        </w:tc>
        <w:tc>
          <w:tcPr>
            <w:shd w:val="clear" w:color="auto" w:fill="F4F1EC"/>
          </w:tcPr>
          <w:p>
            <w:pPr>
              <w:pStyle w:val="Compact"/>
              <w:spacing w:after="40" w:before="40"/>
              <w:jc w:val="left"/>
            </w:pPr>
            <w:r>
              <w:rPr>
                <w:rFonts w:ascii="Cambria" w:hAnsi="Cambria" w:cs="Cambria" w:eastAsia="Cambria"/>
                <w:color w:val="1A1A1A"/>
                <w:sz w:val="18"/>
              </w:rPr>
              <w:t xml:space="preserve">Trasversale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Verifica ex post</w:t>
            </w:r>
          </w:p>
        </w:tc>
      </w:tr>
      <w:tr>
        <w:tc>
          <w:tcPr/>
          <w:p>
            <w:pPr>
              <w:pStyle w:val="Compact"/>
              <w:spacing w:after="40" w:before="40"/>
              <w:jc w:val="left"/>
            </w:pPr>
            <w:r>
              <w:rPr>
                <w:rFonts w:ascii="Cambria" w:hAnsi="Cambria" w:cs="Cambria" w:eastAsia="Cambria"/>
                <w:b/>
                <w:bCs/>
                <w:color w:val="1A1A1A"/>
                <w:sz w:val="18"/>
              </w:rPr>
              <w:t xml:space="preserve">M — Sintesi e raccomandazioni</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Tutti i criteri</w:t>
            </w:r>
          </w:p>
        </w:tc>
      </w:tr>
    </w:tbl>
    <w:p>
      <w:pPr>
        <w:pStyle w:val="BodyText"/>
      </w:pPr>
      <w:r>
        <w:rPr>
          <w:i/>
          <w:iCs/>
        </w:rPr>
        <w:t xml:space="preserve">Tabella 2. La mappa di integrazione delle quattro cornici, parte per parte.</w:t>
      </w:r>
    </w:p>
    <w:bookmarkEnd w:id="1551"/>
    <w:bookmarkStart w:id="1552" w:name="la-sintesi-del-valore-4"/>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per l’Emilia-Romagna, regione fortemente creditrice nella mobilità e dotata di un sistema già efficiente e di un livello essenziale di assistenza elevato — e il saldo complessivo, ampiamente positivo. La tabella seguente lo riepiloga.</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27</w:t>
            </w:r>
          </w:p>
        </w:tc>
        <w:tc>
          <w:tcPr/>
          <w:p>
            <w:pPr>
              <w:pStyle w:val="Compact"/>
              <w:spacing w:after="40" w:before="40"/>
              <w:jc w:val="left"/>
            </w:pPr>
            <w:r>
              <w:rPr>
                <w:rFonts w:ascii="Cambria" w:hAnsi="Cambria" w:cs="Cambria" w:eastAsia="Cambria"/>
                <w:color w:val="1A1A1A"/>
                <w:sz w:val="18"/>
              </w:rPr>
              <w:t xml:space="preserve">~ 40</w:t>
            </w:r>
          </w:p>
        </w:tc>
        <w:tc>
          <w:tcPr/>
          <w:p>
            <w:pPr>
              <w:pStyle w:val="Compact"/>
              <w:spacing w:after="40" w:before="40"/>
              <w:jc w:val="left"/>
            </w:pPr>
            <w:r>
              <w:rPr>
                <w:rFonts w:ascii="Cambria" w:hAnsi="Cambria" w:cs="Cambria" w:eastAsia="Cambria"/>
                <w:color w:val="1A1A1A"/>
                <w:sz w:val="18"/>
              </w:rPr>
              <w:t xml:space="preserve">~ 53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16</w:t>
            </w:r>
          </w:p>
        </w:tc>
        <w:tc>
          <w:tcPr>
            <w:shd w:val="clear" w:color="auto" w:fill="F4F1EC"/>
          </w:tcPr>
          <w:p>
            <w:pPr>
              <w:pStyle w:val="Compact"/>
              <w:spacing w:after="40" w:before="40"/>
              <w:jc w:val="left"/>
            </w:pPr>
            <w:r>
              <w:rPr>
                <w:rFonts w:ascii="Cambria" w:hAnsi="Cambria" w:cs="Cambria" w:eastAsia="Cambria"/>
                <w:color w:val="1A1A1A"/>
                <w:sz w:val="18"/>
              </w:rPr>
              <w:t xml:space="preserve">~ 27</w:t>
            </w:r>
          </w:p>
        </w:tc>
        <w:tc>
          <w:tcPr>
            <w:shd w:val="clear" w:color="auto" w:fill="F4F1EC"/>
          </w:tcPr>
          <w:p>
            <w:pPr>
              <w:pStyle w:val="Compact"/>
              <w:spacing w:after="40" w:before="40"/>
              <w:jc w:val="left"/>
            </w:pPr>
            <w:r>
              <w:rPr>
                <w:rFonts w:ascii="Cambria" w:hAnsi="Cambria" w:cs="Cambria" w:eastAsia="Cambria"/>
                <w:color w:val="1A1A1A"/>
                <w:sz w:val="18"/>
              </w:rPr>
              <w:t xml:space="preserve">~ 40</w:t>
            </w:r>
          </w:p>
        </w:tc>
      </w:tr>
      <w:tr>
        <w:tc>
          <w:tcPr/>
          <w:p>
            <w:pPr>
              <w:pStyle w:val="Compact"/>
              <w:spacing w:after="40" w:before="40"/>
              <w:jc w:val="left"/>
            </w:pPr>
            <w:r>
              <w:rPr>
                <w:rFonts w:ascii="Cambria" w:hAnsi="Cambria" w:cs="Cambria" w:eastAsia="Cambria"/>
                <w:b/>
                <w:bCs/>
                <w:color w:val="1A1A1A"/>
                <w:sz w:val="18"/>
              </w:rPr>
              <w:t xml:space="preserve">Ricadute economico-sociali</w:t>
            </w:r>
          </w:p>
        </w:tc>
        <w:tc>
          <w:tcPr/>
          <w:p>
            <w:pPr>
              <w:pStyle w:val="Compact"/>
              <w:spacing w:after="40" w:before="40"/>
              <w:jc w:val="left"/>
            </w:pPr>
            <w:r>
              <w:rPr>
                <w:rFonts w:ascii="Cambria" w:hAnsi="Cambria" w:cs="Cambria" w:eastAsia="Cambria"/>
                <w:color w:val="1A1A1A"/>
                <w:sz w:val="18"/>
              </w:rPr>
              <w:t xml:space="preserve">~ 86</w:t>
            </w:r>
          </w:p>
        </w:tc>
        <w:tc>
          <w:tcPr/>
          <w:p>
            <w:pPr>
              <w:pStyle w:val="Compact"/>
              <w:spacing w:after="40" w:before="40"/>
              <w:jc w:val="left"/>
            </w:pPr>
            <w:r>
              <w:rPr>
                <w:rFonts w:ascii="Cambria" w:hAnsi="Cambria" w:cs="Cambria" w:eastAsia="Cambria"/>
                <w:color w:val="1A1A1A"/>
                <w:sz w:val="18"/>
              </w:rPr>
              <w:t xml:space="preserve">~ 160</w:t>
            </w:r>
          </w:p>
        </w:tc>
        <w:tc>
          <w:tcPr/>
          <w:p>
            <w:pPr>
              <w:pStyle w:val="Compact"/>
              <w:spacing w:after="40" w:before="40"/>
              <w:jc w:val="left"/>
            </w:pPr>
            <w:r>
              <w:rPr>
                <w:rFonts w:ascii="Cambria" w:hAnsi="Cambria" w:cs="Cambria" w:eastAsia="Cambria"/>
                <w:color w:val="1A1A1A"/>
                <w:sz w:val="18"/>
              </w:rPr>
              <w:t xml:space="preserve">~ 250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−11</w:t>
            </w:r>
          </w:p>
        </w:tc>
        <w:tc>
          <w:tcPr>
            <w:shd w:val="clear" w:color="auto" w:fill="F4F1EC"/>
          </w:tcPr>
          <w:p>
            <w:pPr>
              <w:pStyle w:val="Compact"/>
              <w:spacing w:after="40" w:before="40"/>
              <w:jc w:val="left"/>
            </w:pPr>
            <w:r>
              <w:rPr>
                <w:rFonts w:ascii="Cambria" w:hAnsi="Cambria" w:cs="Cambria" w:eastAsia="Cambria"/>
                <w:color w:val="1A1A1A"/>
                <w:sz w:val="18"/>
              </w:rPr>
              <w:t xml:space="preserve">~ −13</w:t>
            </w:r>
          </w:p>
        </w:tc>
        <w:tc>
          <w:tcPr>
            <w:shd w:val="clear" w:color="auto" w:fill="F4F1EC"/>
          </w:tcPr>
          <w:p>
            <w:pPr>
              <w:pStyle w:val="Compact"/>
              <w:spacing w:after="40" w:before="40"/>
              <w:jc w:val="left"/>
            </w:pPr>
            <w:r>
              <w:rPr>
                <w:rFonts w:ascii="Cambria" w:hAnsi="Cambria" w:cs="Cambria" w:eastAsia="Cambria"/>
                <w:color w:val="1A1A1A"/>
                <w:sz w:val="18"/>
              </w:rPr>
              <w:t xml:space="preserve">~ −13</w:t>
            </w:r>
          </w:p>
        </w:tc>
      </w:tr>
      <w:tr>
        <w:tc>
          <w:tcPr/>
          <w:p>
            <w:pPr>
              <w:pStyle w:val="Compact"/>
              <w:spacing w:after="40" w:before="40"/>
              <w:jc w:val="left"/>
            </w:pPr>
            <w:r>
              <w:rPr>
                <w:rFonts w:ascii="Cambria" w:hAnsi="Cambria" w:cs="Cambria" w:eastAsia="Cambria"/>
                <w:b/>
                <w:bCs/>
                <w:color w:val="1A1A1A"/>
                <w:sz w:val="18"/>
              </w:rPr>
              <w:t xml:space="preserve">Saldo complessivo (caso economico)</w:t>
            </w:r>
          </w:p>
        </w:tc>
        <w:tc>
          <w:tcPr/>
          <w:p>
            <w:pPr>
              <w:pStyle w:val="Compact"/>
              <w:spacing w:after="40" w:before="40"/>
              <w:jc w:val="left"/>
            </w:pPr>
            <w:r>
              <w:rPr>
                <w:rFonts w:ascii="Cambria" w:hAnsi="Cambria" w:cs="Cambria" w:eastAsia="Cambria"/>
                <w:color w:val="1A1A1A"/>
                <w:sz w:val="18"/>
              </w:rPr>
              <w:t xml:space="preserve">+75</w:t>
            </w:r>
          </w:p>
        </w:tc>
        <w:tc>
          <w:tcPr/>
          <w:p>
            <w:pPr>
              <w:pStyle w:val="Compact"/>
              <w:spacing w:after="40" w:before="40"/>
              <w:jc w:val="left"/>
            </w:pPr>
            <w:r>
              <w:rPr>
                <w:rFonts w:ascii="Cambria" w:hAnsi="Cambria" w:cs="Cambria" w:eastAsia="Cambria"/>
                <w:color w:val="1A1A1A"/>
                <w:sz w:val="18"/>
              </w:rPr>
              <w:t xml:space="preserve">+147</w:t>
            </w:r>
          </w:p>
        </w:tc>
        <w:tc>
          <w:tcPr/>
          <w:p>
            <w:pPr>
              <w:pStyle w:val="Compact"/>
              <w:spacing w:after="40" w:before="40"/>
              <w:jc w:val="left"/>
            </w:pPr>
            <w:r>
              <w:rPr>
                <w:rFonts w:ascii="Cambria" w:hAnsi="Cambria" w:cs="Cambria" w:eastAsia="Cambria"/>
                <w:color w:val="1A1A1A"/>
                <w:sz w:val="18"/>
              </w:rPr>
              <w:t xml:space="preserve">+237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~3,8:1</w:t>
            </w:r>
          </w:p>
        </w:tc>
        <w:tc>
          <w:tcPr>
            <w:shd w:val="clear" w:color="auto" w:fill="F4F1EC"/>
          </w:tcPr>
          <w:p>
            <w:pPr>
              <w:pStyle w:val="Compact"/>
              <w:spacing w:after="40" w:before="40"/>
              <w:jc w:val="left"/>
            </w:pPr>
            <w:r>
              <w:rPr>
                <w:rFonts w:ascii="Cambria" w:hAnsi="Cambria" w:cs="Cambria" w:eastAsia="Cambria"/>
                <w:color w:val="1A1A1A"/>
                <w:sz w:val="18"/>
              </w:rPr>
              <w:t xml:space="preserve">~4,7:1</w:t>
            </w:r>
          </w:p>
        </w:tc>
        <w:tc>
          <w:tcPr>
            <w:shd w:val="clear" w:color="auto" w:fill="F4F1E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praticato dal 2015 e diffuso per via amministrativa attraverso gli atti regionali del 2021 e del 2023 — ma se strutturarlo e dimensionarlo, portandolo dalla diffusione amministrativa alla copertura del fabbisogno, dell’ordine di 960 incarichi nello scenario espansivo. Il limite principale è il radicamento dei dati: le grandezze economiche sono in parte ricostruite a partire dai conti nazionali scalati per la quota di popolazione emiliano-romagnola, del 7,5%, e non estratte dai conti regionali certificati delle Aziende USL e delle Aziende Ospedaliero-Universitarie; la loro sostituzione con dati certificati è la condizione per la presentazione agli organi di controllo.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emiliano-romagnolo. La maturità della rete territoriale e della sanità digitale regionale rende inoltre l’Emilia-Romagna una candidata naturale a fungere da modello nazionale, anche per l’integrazione dell’intelligenza artificiale nel percorso assistenziale. Su questa base, e con la dichiarazione trasparente dei propri limiti, il corpus consegna al decisore un quadro completo e onesto su cui deliberare.</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1552"/>
    <w:bookmarkStart w:id="1557" w:name="parte-a-quadro-quesito-e-metodo-6"/>
    <w:p>
      <w:pPr>
        <w:pStyle w:val="Heading2"/>
      </w:pPr>
      <w:r>
        <w:t xml:space="preserve">Parte A — Quadro, quesito e metodo</w:t>
      </w:r>
    </w:p>
    <w:p>
      <w:pPr>
        <w:pStyle w:val="FirstParagraph"/>
      </w:pPr>
      <w:r>
        <w:t xml:space="preserve">Questa è la prima parte dello studio integrale per l’Emilia-Romagna, che applica alla regione il telaio integrato sviluppato e validato per la Puglia e già esteso alla Lombardia e al Veneto. L’architettura e il caso di riferimento sono i medesimi, e mutano soltanto i dati di ingresso, ancorati all’Emilia-Romagna.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e veneto e con quelli delle altre Regioni.</w:t>
      </w:r>
    </w:p>
    <w:bookmarkStart w:id="1554" w:name="Xc7448d556adf7e3a26254bbdf558ce3cb2ad60b"/>
    <w:p>
      <w:pPr>
        <w:pStyle w:val="Heading3"/>
      </w:pPr>
      <w:r>
        <w:t xml:space="preserve">A.1 Scopo, quesito di valutazione e standard adottati</w:t>
      </w:r>
    </w:p>
    <w:p>
      <w:pPr>
        <w:pStyle w:val="FirstParagraph"/>
      </w:pPr>
      <w:r>
        <w:t xml:space="preserve">Lo studio ha per oggetto il Servizio di Psicologia di Base nelle cure primarie dell’Emilia-Romagna, inteso come realizzazione strutturata e quantificata di una funzione psicologica territoriale che la regione ha già ampiamente avviato in via amministrativa e sperimentale — attraverso la Consultazione Psicologica Primaria, le linee di indirizzo regionali sulla psicologia nelle Case della Comunità e progetti aziendali consolidati in più Aziende USL — ma che non è ancora stata istituzionalizzata da una legge regionale dedicata né portata a un dimensionamento uniforme.</w:t>
      </w:r>
      <w:r>
        <w:rPr>
          <w:rStyle w:val="FootnoteReference"/>
        </w:rPr>
        <w:footnoteReference w:id="2262"/>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già diffusa e operante, oltre che oggetto di proposte di legge in corso d’esame — ma se strutturarla e dimensionarla in forma stabile e omogenea: gli atti di indirizzo e le esperienze esistono, ma un modello operativo unitario, un dimensionamento e una copertura sono ancora da definire, a fronte di un fabbisogno a regime stimato nell’ordine di 970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890.000 persone, si somma un’utenza specialistica in carico ai Dipartimenti di Salute Mentale dell’ordine di 66.000 persone, in un quadro segnato da tre componenti convergenti — il disagio connesso al lavoro nella popolazione attiva di un’economia dinamica e a forte tessuto manifatturiero, il bisogno dell’età anziana accentuato nelle aree appenniniche, e il bisogno connesso a una popolazione multiculturale in forte espansione — cui si aggiunge il disagio giovanile, in un sistema che, pur d’eccellenza, conosce liste di attesa prolungate.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emiliano-romagnoli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coesistono una funzione già diffusa per via amministrativa e progetti aziendali consolidati, ma non un servizio strutturato e dimensionato in modo uniforme. Gli esiti sono clinici, economici, sociali e di sistema. I tempi distinguono l’orizzonte pluriennale degli esiti dall’orizzonte triennale-quinquennale del bilancio. Il contesto è il Servizio sanitario dell’Emilia-Romagna, con le sue otto Aziende USL, le Aziende Ospedaliero-Universitarie, gli Istituti di ricovero e cura e la rete matura delle Case della Comunità. La tabella seguente riepiloga gli elementi del quesito.</w:t>
      </w:r>
    </w:p>
    <w:tbl>
      <w:tblPr>
        <w:tblStyle w:val="Table"/>
        <w:tblW w:type="pct" w:w="495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301"/>
        <w:gridCol w:w="6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l’Emilia-Romagna</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emiliano-romagnoli con disagio psichico comune (~890.000);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Psicologo di base nelle cure primarie, primo livello e filtro, portato a regime (~490/730/960 incarichi)</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Condizione attuale: funzione diffusa per via amministrativa e progetti aziendali, ma servizio non strutturato né dimensionato in modo uniforme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liste di attesa)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Servizio sanitario regionale dell’Emilia-Romagna; otto Aziende USL, Aziende Ospedaliero-Universitarie, IRCCS, rete delle Case della Comunità e 38 distretti</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554"/>
    <w:bookmarkStart w:id="1555" w:name="a.2-il-caso-di-riferimento-e-i-metodi-6"/>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USL e i distretti, per dare conto anche dei divari territoriali interni.</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54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Condizione attuale, ovvero servizio non strutturato né dimensionato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Regione, con disaggregazione per Azienda USL e distretto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l’Emilia-Romagna, un rilievo particolare: poiché la regione è a saldo di mobilità attivo tra i più elevati d’Italia — attrattore netto di pazienti da altre regioni — il canale del recupero della mobilità passiva non si applica; e poiché il sistema sanitario regionale è riconosciuto come benchmark nazionale per efficienza e appropriatezza, i margini di recupero diretto sono strutturalmente contenuti. Ne consegue che il saldo diretto risulta lievemente negativo e che il caso economico poggia in misura preponderante sulle ricadute sociali, che lo studio stima con criteri conservativi. Va inoltre dichiarato, già in questa sede, che le grandezze economiche impiegate sono allo stato in parte ricostruite a partire dai conti nazionali per quota di popolazione, e non estratte dai conti regionali certificati.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Decisivo anche per l’Emilia-Romagna è il disegno controfattuale: il dispiegamento scaglionato del servizio tra le otto Aziende USL, attivate in tempi diversi sotto il coordinamento della Regione, funge da esperimento naturale e consente di stimare l’effetto causale con i metodi della differenza-nelle-differenze e del controllo sintetico. La tabella seguente colloca ciascuna metodologia nella sua sede.</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357"/>
        <w:gridCol w:w="30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generato oltre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 nel tempo</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Parte F</w:t>
            </w:r>
          </w:p>
        </w:tc>
        <w:tc>
          <w:tcPr/>
          <w:p>
            <w:pPr>
              <w:pStyle w:val="Compact"/>
              <w:spacing w:after="40" w:before="40"/>
              <w:jc w:val="left"/>
            </w:pPr>
            <w:r>
              <w:rPr>
                <w:rFonts w:ascii="Cambria" w:hAnsi="Cambria" w:cs="Cambria" w:eastAsia="Cambria"/>
                <w:color w:val="1A1A1A"/>
                <w:sz w:val="18"/>
              </w:rPr>
              <w:t xml:space="preserve">Governo dell’incertezza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w:t>
            </w:r>
          </w:p>
        </w:tc>
        <w:tc>
          <w:tcPr>
            <w:shd w:val="clear" w:color="auto" w:fill="F4F1EC"/>
          </w:tcPr>
          <w:p>
            <w:pPr>
              <w:pStyle w:val="Compact"/>
              <w:spacing w:after="40" w:before="40"/>
              <w:jc w:val="left"/>
            </w:pPr>
            <w:r>
              <w:rPr>
                <w:rFonts w:ascii="Cambria" w:hAnsi="Cambria" w:cs="Cambria" w:eastAsia="Cambria"/>
                <w:color w:val="1A1A1A"/>
                <w:sz w:val="18"/>
              </w:rPr>
              <w:t xml:space="preserve">Parte G</w:t>
            </w:r>
          </w:p>
        </w:tc>
        <w:tc>
          <w:tcPr>
            <w:shd w:val="clear" w:color="auto" w:fill="F4F1EC"/>
          </w:tcPr>
          <w:p>
            <w:pPr>
              <w:pStyle w:val="Compact"/>
              <w:spacing w:after="40" w:before="40"/>
              <w:jc w:val="left"/>
            </w:pPr>
            <w:r>
              <w:rPr>
                <w:rFonts w:ascii="Cambria" w:hAnsi="Cambria" w:cs="Cambria" w:eastAsia="Cambria"/>
                <w:color w:val="1A1A1A"/>
                <w:sz w:val="18"/>
              </w:rPr>
              <w:t xml:space="preserve">Misura dell’equità distributiva</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Parte L</w:t>
            </w:r>
          </w:p>
        </w:tc>
        <w:tc>
          <w:tcPr/>
          <w:p>
            <w:pPr>
              <w:pStyle w:val="Compact"/>
              <w:spacing w:after="40" w:before="40"/>
              <w:jc w:val="left"/>
            </w:pPr>
            <w:r>
              <w:rPr>
                <w:rFonts w:ascii="Cambria" w:hAnsi="Cambria" w:cs="Cambria" w:eastAsia="Cambria"/>
                <w:color w:val="1A1A1A"/>
                <w:sz w:val="18"/>
              </w:rPr>
              <w:t xml:space="preserve">Stima dell’effetto reale sul campo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sistema GRADE</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Fondazione e graduazione dell’evidenza</w:t>
            </w:r>
          </w:p>
        </w:tc>
      </w:tr>
      <w:tr>
        <w:tc>
          <w:tcPr/>
          <w:p>
            <w:pPr>
              <w:pStyle w:val="Compact"/>
              <w:spacing w:after="40" w:before="40"/>
              <w:jc w:val="left"/>
            </w:pPr>
            <w:r>
              <w:rPr>
                <w:rFonts w:ascii="Cambria" w:hAnsi="Cambria" w:cs="Cambria" w:eastAsia="Cambria"/>
                <w:b/>
                <w:bCs/>
                <w:color w:val="1A1A1A"/>
                <w:sz w:val="18"/>
              </w:rPr>
              <w:t xml:space="preserve">Analisi multi-criterio</w:t>
            </w:r>
          </w:p>
        </w:tc>
        <w:tc>
          <w:tcPr/>
          <w:p>
            <w:pPr>
              <w:pStyle w:val="Compact"/>
              <w:spacing w:after="40" w:before="40"/>
              <w:jc w:val="left"/>
            </w:pPr>
            <w:r>
              <w:rPr>
                <w:rFonts w:ascii="Cambria" w:hAnsi="Cambria" w:cs="Cambria" w:eastAsia="Cambria"/>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Composizione dei criteri non monetari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della regolamentazione</w:t>
            </w:r>
          </w:p>
        </w:tc>
        <w:tc>
          <w:tcPr>
            <w:shd w:val="clear" w:color="auto" w:fill="F4F1EC"/>
          </w:tcPr>
          <w:p>
            <w:pPr>
              <w:pStyle w:val="Compact"/>
              <w:spacing w:after="40" w:before="40"/>
              <w:jc w:val="left"/>
            </w:pPr>
            <w:r>
              <w:rPr>
                <w:rFonts w:ascii="Cambria" w:hAnsi="Cambria" w:cs="Cambria" w:eastAsia="Cambria"/>
                <w:color w:val="1A1A1A"/>
                <w:sz w:val="18"/>
              </w:rPr>
              <w:t xml:space="preserve">Parti H, L</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della norma ex ante ed ex post</w:t>
            </w:r>
          </w:p>
        </w:tc>
      </w:tr>
    </w:tbl>
    <w:p>
      <w:pPr>
        <w:pStyle w:val="BodyText"/>
      </w:pPr>
      <w:r>
        <w:rPr>
          <w:i/>
          <w:iCs/>
        </w:rPr>
        <w:t xml:space="preserve">Tabella A.3. Le dieci metodologie analitiche e la loro collocazione nello studio.</w:t>
      </w:r>
    </w:p>
    <w:bookmarkEnd w:id="1555"/>
    <w:bookmarkStart w:id="4378" w:name="X2686cb9a354ad7958b867e5ecc402d16a708712"/>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otto Aziende USL, le Aziende Ospedaliero-Universitarie, gli Istituti di ricovero e cura, l’Ordine degli Psicologi dell’Emilia-Romagna, le rappresentanze della medicina generale e della pediatria di libera scelta e le università regionali. A differenza del Veneto, l’Emilia-Romagna non dispone di un’azienda regionale unica di coordinamento: il veicolo per una progettazione unitaria e un’attuazione omogenea è costituito dalla Regione, attraverso la sua Direzione competente, e dall’Osservatorio regionale previsto dalle proposte di legge in esame, con funzioni di indirizzo, programmazione e controllo. La maturità della rete territoriale — centoquarantuno Case della Comunità e trentotto distretti — costituisce l’infrastruttura su cui il servizio si innesta senza necessità di nuove strutture, ed è una caratteristica che distingue l’Emilia-Romagna e che la valutazione assume come risorsa per l’implementazione.</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la solida infrastruttura di sanità digitale regionale colloca peraltro l’Emilia-Romagna nella posizione di apripista nazionale nella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dell’Emilia-Romagna.</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disuguaglianze, flussi e cornice normativa</w:t>
      </w:r>
    </w:p>
    <w:p>
      <w:pPr>
        <w:pStyle w:val="BodyText"/>
      </w:pPr>
      <w:r>
        <w:t xml:space="preserve">Primo dominio dell’HTA · il problema di salute e il suo contesto</w:t>
      </w:r>
    </w:p>
    <w:bookmarkEnd w:id="4378"/>
    <w:bookmarkEnd w:id="1557"/>
    <w:bookmarkStart w:id="1564" w:name="X2ed211013df6e7d480544e47e18af3038378270"/>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dell’Emilia-Romagna. La struttura è quella già adottata per la Puglia, per la Lombardia e per il Veneto,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dell’Emilia-Romagna: non un sistema in sofferenza da riequilibrare, ma un sistema d’eccellenza in cui una funzione già diffusa attende di essere strutturata e dimensionata.</w:t>
      </w:r>
    </w:p>
    <w:bookmarkStart w:id="4379" w:name="b.1-quadro-demografico-5"/>
    <w:p>
      <w:pPr>
        <w:pStyle w:val="Heading3"/>
      </w:pPr>
      <w:r>
        <w:t xml:space="preserve">B.1 Quadro demografico</w:t>
      </w:r>
    </w:p>
    <w:p>
      <w:pPr>
        <w:pStyle w:val="FirstParagraph"/>
      </w:pPr>
      <w:r>
        <w:t xml:space="preserve">L’Emilia-Romagna conta 4.451.938 residenti, pari a circa il 7,5% della popolazione nazionale, e presenta un tratto raro nel panorama italiano: la crescita della popolazione, in valore assoluto seconda soltanto alla Lombardia, sostenuta da un saldo migratorio positivo che compensa il saldo naturale negativo. L’aspettativa di vita, dell’ordine degli ottantatré-ottantaquattro anni, è tra le più elevate d’Italia e riflette la qualità dei determinanti socio-economici e dei servizi. La popolazione è caratterizzata da una componente straniera del 12,6%, nettamente superiore alla media nazionale, che agisce da motore della crescita e del ringiovanimento ma reca con sé bisogni specifici di salute mentale. Il territorio si articola in nove province, con la sola Bologna oltre il milione di abitanti e con un’accentuata variabilità interna fra la pianura e l’Appennino. La tabella seguente ne riepiloga il profilo.</w:t>
      </w:r>
    </w:p>
    <w:tbl>
      <w:tblPr>
        <w:tblStyle w:val="Table"/>
        <w:tblW w:type="pct" w:w="491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45"/>
        <w:gridCol w:w="523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l’Emilia-Romagna</w:t>
            </w:r>
          </w:p>
        </w:tc>
      </w:tr>
      <w:tr>
        <w:tc>
          <w:tcPr/>
          <w:p>
            <w:pPr>
              <w:pStyle w:val="Compact"/>
              <w:spacing w:after="40" w:before="40"/>
              <w:jc w:val="left"/>
            </w:pPr>
            <w:r>
              <w:rPr>
                <w:rFonts w:ascii="Cambria" w:hAnsi="Cambria" w:cs="Cambria" w:eastAsia="Cambria"/>
                <w:b/>
                <w:bCs/>
                <w:color w:val="1A1A1A"/>
                <w:sz w:val="18"/>
              </w:rPr>
              <w:t xml:space="preserve">Popolazione (Censimento 2024)</w:t>
            </w:r>
          </w:p>
        </w:tc>
        <w:tc>
          <w:tcPr/>
          <w:p>
            <w:pPr>
              <w:pStyle w:val="Compact"/>
              <w:spacing w:after="40" w:before="40"/>
              <w:jc w:val="left"/>
            </w:pPr>
            <w:r>
              <w:rPr>
                <w:rFonts w:ascii="Cambria" w:hAnsi="Cambria" w:cs="Cambria" w:eastAsia="Cambria"/>
                <w:color w:val="1A1A1A"/>
                <w:sz w:val="18"/>
              </w:rPr>
              <w:t xml:space="preserve">4.451.938 (~7,5% del totale nazionale); in crescita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Aspettativa di vita</w:t>
            </w:r>
          </w:p>
        </w:tc>
        <w:tc>
          <w:tcPr>
            <w:shd w:val="clear" w:color="auto" w:fill="F4F1EC"/>
          </w:tcPr>
          <w:p>
            <w:pPr>
              <w:pStyle w:val="Compact"/>
              <w:spacing w:after="40" w:before="40"/>
              <w:jc w:val="left"/>
            </w:pPr>
            <w:r>
              <w:rPr>
                <w:rFonts w:ascii="Cambria" w:hAnsi="Cambria" w:cs="Cambria" w:eastAsia="Cambria"/>
                <w:color w:val="1A1A1A"/>
                <w:sz w:val="18"/>
              </w:rPr>
              <w:t xml:space="preserve">~ 83–84 anni, tra le più elevate d’Italia</w:t>
            </w:r>
          </w:p>
        </w:tc>
      </w:tr>
      <w:tr>
        <w:tc>
          <w:tcPr/>
          <w:p>
            <w:pPr>
              <w:pStyle w:val="Compact"/>
              <w:spacing w:after="40" w:before="40"/>
              <w:jc w:val="left"/>
            </w:pPr>
            <w:r>
              <w:rPr>
                <w:rFonts w:ascii="Cambria" w:hAnsi="Cambria" w:cs="Cambria" w:eastAsia="Cambria"/>
                <w:b/>
                <w:bCs/>
                <w:color w:val="1A1A1A"/>
                <w:sz w:val="18"/>
              </w:rPr>
              <w:t xml:space="preserve">Età media</w:t>
            </w:r>
          </w:p>
        </w:tc>
        <w:tc>
          <w:tcPr/>
          <w:p>
            <w:pPr>
              <w:pStyle w:val="Compact"/>
              <w:spacing w:after="40" w:before="40"/>
              <w:jc w:val="left"/>
            </w:pPr>
            <w:r>
              <w:rPr>
                <w:rFonts w:ascii="Cambria" w:hAnsi="Cambria" w:cs="Cambria" w:eastAsia="Cambria"/>
                <w:color w:val="1A1A1A"/>
                <w:sz w:val="18"/>
              </w:rPr>
              <w:t xml:space="preserve">~ 46–47 anni; ultra-ottantacinquenni in crescita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Componente straniera</w:t>
            </w:r>
          </w:p>
        </w:tc>
        <w:tc>
          <w:tcPr>
            <w:shd w:val="clear" w:color="auto" w:fill="F4F1EC"/>
          </w:tcPr>
          <w:p>
            <w:pPr>
              <w:pStyle w:val="Compact"/>
              <w:spacing w:after="40" w:before="40"/>
              <w:jc w:val="left"/>
            </w:pPr>
            <w:r>
              <w:rPr>
                <w:rFonts w:ascii="Cambria" w:hAnsi="Cambria" w:cs="Cambria" w:eastAsia="Cambria"/>
                <w:color w:val="1A1A1A"/>
                <w:sz w:val="18"/>
              </w:rPr>
              <w:t xml:space="preserve">12,6% dei residenti, nettamente sopra la media nazionale</w:t>
            </w:r>
          </w:p>
        </w:tc>
      </w:tr>
      <w:tr>
        <w:tc>
          <w:tcPr/>
          <w:p>
            <w:pPr>
              <w:pStyle w:val="Compact"/>
              <w:spacing w:after="40" w:before="40"/>
              <w:jc w:val="left"/>
            </w:pPr>
            <w:r>
              <w:rPr>
                <w:rFonts w:ascii="Cambria" w:hAnsi="Cambria" w:cs="Cambria" w:eastAsia="Cambria"/>
                <w:b/>
                <w:bCs/>
                <w:color w:val="1A1A1A"/>
                <w:sz w:val="18"/>
              </w:rPr>
              <w:t xml:space="preserve">Articolazione del territorio</w:t>
            </w:r>
          </w:p>
        </w:tc>
        <w:tc>
          <w:tcPr/>
          <w:p>
            <w:pPr>
              <w:pStyle w:val="Compact"/>
              <w:spacing w:after="40" w:before="40"/>
              <w:jc w:val="left"/>
            </w:pPr>
            <w:r>
              <w:rPr>
                <w:rFonts w:ascii="Cambria" w:hAnsi="Cambria" w:cs="Cambria" w:eastAsia="Cambria"/>
                <w:color w:val="1A1A1A"/>
                <w:sz w:val="18"/>
              </w:rPr>
              <w:t xml:space="preserve">Nove province; Bologna oltre 1.000.000 (22,9%), Modena 15,9%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Profilo per età</w:t>
            </w:r>
          </w:p>
        </w:tc>
        <w:tc>
          <w:tcPr>
            <w:shd w:val="clear" w:color="auto" w:fill="F4F1EC"/>
          </w:tcPr>
          <w:p>
            <w:pPr>
              <w:pStyle w:val="Compact"/>
              <w:spacing w:after="40" w:before="40"/>
              <w:jc w:val="left"/>
            </w:pPr>
            <w:r>
              <w:rPr>
                <w:rFonts w:ascii="Cambria" w:hAnsi="Cambria" w:cs="Cambria" w:eastAsia="Cambria"/>
                <w:color w:val="1A1A1A"/>
                <w:sz w:val="18"/>
              </w:rPr>
              <w:t xml:space="preserve">Composito: pianura urbana dinamica; Appennino anziano e in spopolamento</w:t>
            </w:r>
          </w:p>
        </w:tc>
      </w:tr>
      <w:tr>
        <w:tc>
          <w:tcPr/>
          <w:p>
            <w:pPr>
              <w:pStyle w:val="Compact"/>
              <w:spacing w:after="40" w:before="40"/>
              <w:jc w:val="left"/>
            </w:pPr>
            <w:r>
              <w:rPr>
                <w:rFonts w:ascii="Cambria" w:hAnsi="Cambria" w:cs="Cambria" w:eastAsia="Cambria"/>
                <w:b/>
                <w:bCs/>
                <w:color w:val="1A1A1A"/>
                <w:sz w:val="18"/>
              </w:rPr>
              <w:t xml:space="preserve">Articolazione sanitaria</w:t>
            </w:r>
          </w:p>
        </w:tc>
        <w:tc>
          <w:tcPr/>
          <w:p>
            <w:pPr>
              <w:pStyle w:val="Compact"/>
              <w:spacing w:after="40" w:before="40"/>
              <w:jc w:val="left"/>
            </w:pPr>
            <w:r>
              <w:rPr>
                <w:rFonts w:ascii="Cambria" w:hAnsi="Cambria" w:cs="Cambria" w:eastAsia="Cambria"/>
                <w:color w:val="1A1A1A"/>
                <w:sz w:val="18"/>
              </w:rPr>
              <w:t xml:space="preserve">Otto Aziende USL, Aziende Ospedaliero-Universitarie, IRCCS Rizzoli</w:t>
            </w:r>
          </w:p>
        </w:tc>
      </w:tr>
    </w:tbl>
    <w:p>
      <w:pPr>
        <w:pStyle w:val="BodyText"/>
      </w:pPr>
      <w:r>
        <w:rPr>
          <w:i/>
          <w:iCs/>
        </w:rPr>
        <w:t xml:space="preserve">Tabella B.1. Profilo demografico e socio-economico dell</w:t>
      </w:r>
      <w:r>
        <w:rPr>
          <w:b/>
          <w:bCs/>
          <w:i/>
          <w:iCs/>
        </w:rPr>
        <w:t xml:space="preserve">’</w:t>
      </w:r>
      <w:r>
        <w:rPr>
          <w:i/>
          <w:iCs/>
        </w:rPr>
        <w:t xml:space="preserve">Emilia-Romagna.</w:t>
      </w:r>
    </w:p>
    <w:bookmarkEnd w:id="4379"/>
    <w:bookmarkStart w:id="1559" w:name="b.2-epidemiologia-del-bisogno-6"/>
    <w:p>
      <w:pPr>
        <w:pStyle w:val="Heading3"/>
      </w:pPr>
      <w:r>
        <w:t xml:space="preserve">B.2 Epidemiologia del bisogno</w:t>
      </w:r>
    </w:p>
    <w:p>
      <w:pPr>
        <w:pStyle w:val="FirstParagraph"/>
      </w:pPr>
      <w:r>
        <w:t xml:space="preserve">Il bisogno di salute mentale in Emilia-Romagna, pur in un sistema efficiente, è elevato e in crescita. Proiettando i tassi di prevalenza nazionali sulla popolazione regionale, la quota di disagio psichico comune o sottosoglia si colloca nell’ordine di 890.000 persone, in larga parte non intercettate dall’offerta strutturata. A questa quota si somma un’utenza specialistica in carico ai Dipartimenti di Salute Mentale dell’ordine di 66.000 persone. Tre componenti orientano la domanda. La prima è il disagio giovanile, documentato per l’Emilia-Romagna da indagini regionali che ne misurano l’ampiezza già nella fascia adolescenziale. La seconda è il disagio connesso al lavoro nella popolazione attiva, particolarmente rilevante in un’economia a forte tessuto manifatturiero. La terza è il bisogno dell’età anziana, accentuato nelle aree appenniniche. A esse si aggiunge, quale tratto distintivo della regione, il bisogno connesso a una popolazione multiculturale in forte espansione. La pressione che ne deriva si riversa anche sul pronto soccorso, con accessi per cause psichiatriche dell’ordine di quarantamila-quarantatremila l’anno.</w:t>
      </w:r>
    </w:p>
    <w:bookmarkEnd w:id="1559"/>
    <w:bookmarkStart w:id="4380" w:name="b.3-domanda-offerta-e-gap-di-copertura-6"/>
    <w:p>
      <w:pPr>
        <w:pStyle w:val="Heading3"/>
      </w:pPr>
      <w:r>
        <w:t xml:space="preserve">B.3 Domanda, offerta e gap di copertura</w:t>
      </w:r>
    </w:p>
    <w:p>
      <w:pPr>
        <w:pStyle w:val="FirstParagraph"/>
      </w:pPr>
      <w:r>
        <w:t xml:space="preserve">Alla domanda descritta si contrappone un’offerta che, in Emilia-Romagna, presenta una fisionomia peculiare rispetto alle altre regioni esaminate: la funzione psicologica nelle cure primarie esiste già, ampiamente diffusa per via amministrativa e attraverso progetti aziendali consolidati, ma non è strutturata né dimensionata in modo uniforme. Il fabbisogno a regime è stimato nell’ordine di 970 psicologi, valore in linea con l’obiettivo indicato dall’Ordine professionale regionale di un presidio in ogni Casa della Comunità e in ognuno dei trentotto distretti. La copertura attuale è dunque parziale e disomogenea: non l’assenza di un servizio, come altrove, ma la sua incompiutezza e la sua disuguale distribuzione fra le aziende. La tabella seguente sintetizza domanda, offerta e divario.</w:t>
      </w:r>
    </w:p>
    <w:tbl>
      <w:tblPr>
        <w:tblStyle w:val="Table"/>
        <w:tblW w:type="pct" w:w="494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19"/>
        <w:gridCol w:w="510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l’Emilia-Romagna</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890.000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stimata in carico ai Dipartimenti</w:t>
            </w:r>
          </w:p>
        </w:tc>
        <w:tc>
          <w:tcPr>
            <w:shd w:val="clear" w:color="auto" w:fill="F4F1EC"/>
          </w:tcPr>
          <w:p>
            <w:pPr>
              <w:pStyle w:val="Compact"/>
              <w:spacing w:after="40" w:before="40"/>
              <w:jc w:val="left"/>
            </w:pPr>
            <w:r>
              <w:rPr>
                <w:rFonts w:ascii="Cambria" w:hAnsi="Cambria" w:cs="Cambria" w:eastAsia="Cambria"/>
                <w:color w:val="1A1A1A"/>
                <w:sz w:val="18"/>
              </w:rPr>
              <w:t xml:space="preserve">~ 66.000</w:t>
            </w:r>
          </w:p>
        </w:tc>
      </w:tr>
      <w:tr>
        <w:tc>
          <w:tcPr/>
          <w:p>
            <w:pPr>
              <w:pStyle w:val="Compact"/>
              <w:spacing w:after="40" w:before="40"/>
              <w:jc w:val="left"/>
            </w:pPr>
            <w:r>
              <w:rPr>
                <w:rFonts w:ascii="Cambria" w:hAnsi="Cambria" w:cs="Cambria" w:eastAsia="Cambria"/>
                <w:b/>
                <w:bCs/>
                <w:color w:val="1A1A1A"/>
                <w:sz w:val="18"/>
              </w:rPr>
              <w:t xml:space="preserve">Accessi al pronto soccorso per cause psichiatriche</w:t>
            </w:r>
          </w:p>
        </w:tc>
        <w:tc>
          <w:tcPr/>
          <w:p>
            <w:pPr>
              <w:pStyle w:val="Compact"/>
              <w:spacing w:after="40" w:before="40"/>
              <w:jc w:val="left"/>
            </w:pPr>
            <w:r>
              <w:rPr>
                <w:rFonts w:ascii="Cambria" w:hAnsi="Cambria" w:cs="Cambria" w:eastAsia="Cambria"/>
                <w:color w:val="1A1A1A"/>
                <w:sz w:val="18"/>
              </w:rPr>
              <w:t xml:space="preserve">~ 40.000–43.000 l’anno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Offerta territoriale strutturata attuale</w:t>
            </w:r>
          </w:p>
        </w:tc>
        <w:tc>
          <w:tcPr>
            <w:shd w:val="clear" w:color="auto" w:fill="F4F1EC"/>
          </w:tcPr>
          <w:p>
            <w:pPr>
              <w:pStyle w:val="Compact"/>
              <w:spacing w:after="40" w:before="40"/>
              <w:jc w:val="left"/>
            </w:pPr>
            <w:r>
              <w:rPr>
                <w:rFonts w:ascii="Cambria" w:hAnsi="Cambria" w:cs="Cambria" w:eastAsia="Cambria"/>
                <w:color w:val="1A1A1A"/>
                <w:sz w:val="18"/>
              </w:rPr>
              <w:t xml:space="preserve">Funzione diffusa per via amministrativa e progetti aziendali; servizio non dimensionato in modo uniforme</w:t>
            </w:r>
          </w:p>
        </w:tc>
      </w:tr>
      <w:tr>
        <w:tc>
          <w:tcPr/>
          <w:p>
            <w:pPr>
              <w:pStyle w:val="Compact"/>
              <w:spacing w:after="40" w:before="40"/>
              <w:jc w:val="left"/>
            </w:pPr>
            <w:r>
              <w:rPr>
                <w:rFonts w:ascii="Cambria" w:hAnsi="Cambria" w:cs="Cambria" w:eastAsia="Cambria"/>
                <w:b/>
                <w:bCs/>
                <w:color w:val="1A1A1A"/>
                <w:sz w:val="18"/>
              </w:rPr>
              <w:t xml:space="preserve">Fabbisogno stimato a regime</w:t>
            </w:r>
          </w:p>
        </w:tc>
        <w:tc>
          <w:tcPr/>
          <w:p>
            <w:pPr>
              <w:pStyle w:val="Compact"/>
              <w:spacing w:after="40" w:before="40"/>
              <w:jc w:val="left"/>
            </w:pPr>
            <w:r>
              <w:rPr>
                <w:rFonts w:ascii="Cambria" w:hAnsi="Cambria" w:cs="Cambria" w:eastAsia="Cambria"/>
                <w:color w:val="1A1A1A"/>
                <w:sz w:val="18"/>
              </w:rPr>
              <w:t xml:space="preserve">~ 970 psicologi (930–1.020)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Copertura attuale del fabbisogno</w:t>
            </w:r>
          </w:p>
        </w:tc>
        <w:tc>
          <w:tcPr>
            <w:shd w:val="clear" w:color="auto" w:fill="F4F1EC"/>
          </w:tcPr>
          <w:p>
            <w:pPr>
              <w:pStyle w:val="Compact"/>
              <w:spacing w:after="40" w:before="40"/>
              <w:jc w:val="left"/>
            </w:pPr>
            <w:r>
              <w:rPr>
                <w:rFonts w:ascii="Cambria" w:hAnsi="Cambria" w:cs="Cambria" w:eastAsia="Cambria"/>
                <w:color w:val="1A1A1A"/>
                <w:sz w:val="18"/>
              </w:rPr>
              <w:t xml:space="preserve">Parziale e disomogenea; meno del 10% degli psicologi regionali opera nel servizio pubblico</w:t>
            </w:r>
          </w:p>
        </w:tc>
      </w:tr>
    </w:tbl>
    <w:p>
      <w:pPr>
        <w:pStyle w:val="BodyText"/>
      </w:pPr>
      <w:r>
        <w:rPr>
          <w:i/>
          <w:iCs/>
        </w:rPr>
        <w:t xml:space="preserve">Tabella B.2. Domanda, offerta e gap di copertura.</w:t>
      </w:r>
    </w:p>
    <w:bookmarkEnd w:id="4380"/>
    <w:bookmarkStart w:id="1561" w:name="X95652cac46a913f0602734d8bcaf8022db072bb"/>
    <w:p>
      <w:pPr>
        <w:pStyle w:val="Heading3"/>
      </w:pPr>
      <w:r>
        <w:t xml:space="preserve">B.4 Disuguaglianze e divari territoriali</w:t>
      </w:r>
    </w:p>
    <w:p>
      <w:pPr>
        <w:pStyle w:val="FirstParagraph"/>
      </w:pPr>
      <w:r>
        <w:t xml:space="preserve">La dimensione distributiva del bisogno, in Emilia-Romagna, non assume la forma di un gradiente di deprivazione né quella di una frattura Nord-Sud, ma si articola su tre assi specifici. Il primo è la dualità territoriale fra la pianura urbana densamente popolata e produttiva e le aree appenniniche, più anziane e soggette a spopolamento, dove l’accesso ai servizi è strutturalmente più difficoltoso. Il secondo, peculiare della regione, è la dimensione multiculturale: la rilevante presenza straniera comporta barriere linguistiche e culturali all’accesso, che il servizio deve sapere affrontare con competenza dedicata. Il terzo è quello delle liste di attesa specialistiche, presenti anche in un sistema efficiente e ad alta domanda. Su tutti e tre gli assi il servizio di psicologia di base agisce in funzione di equità: avvicina l’offerta alle aree interne mediante la telepsicologia assistita, adotta un approccio culturalmente competente verso la popolazione migrante e, assorbendo a monte la domanda appropriata, libera capacità specialistica e riduce i tempi di attesa.</w:t>
      </w:r>
    </w:p>
    <w:bookmarkEnd w:id="1561"/>
    <w:bookmarkStart w:id="4381" w:name="b.5-i-servizi-e-i-flussi-6"/>
    <w:p>
      <w:pPr>
        <w:pStyle w:val="Heading3"/>
      </w:pPr>
      <w:r>
        <w:t xml:space="preserve">B.5 I servizi e i flussi</w:t>
      </w:r>
    </w:p>
    <w:p>
      <w:pPr>
        <w:pStyle w:val="FirstParagraph"/>
      </w:pPr>
      <w:r>
        <w:t xml:space="preserve">Il Servizio sanitario dell’Emilia-Romagna dispone di risorse complessive superiori ai dieci miliardi di euro ed è riconosciuto come benchmark nazionale, riferimento per la definizione dei costi standard e con elevati punteggi nei Livelli Essenziali di Assistenza; il disavanzo, coperto integralmente dalla Regione, è stato ridotto progressivamente verso il pareggio, e la regione non è soggetta a piano di rientro. Diversamente dalle regioni meridionali, e analogamente alla Lombardia e al Veneto, l’Emilia-Romagna è attrattore netto di pazienti, con un saldo di mobilità attivo dell’ordine di 525 milioni di euro: ne consegue che il canale del recupero della mobilità passiva, centrale altrove, qui non si applica. L’architettura dei servizi poggia su otto Aziende USL, sulle Aziende Ospedaliero-Universitarie e sugli Istituti di ricovero e cura, e su una rete territoriale matura — centoquarantuno Case della Comunità e ventiquattro Ospedali di Comunità — che costituisce l’infrastruttura pronta ad accogliere il servizio. La tabella seguente riepiloga le grandezze di sistema rilevanti.</w:t>
      </w:r>
    </w:p>
    <w:tbl>
      <w:tblPr>
        <w:tblStyle w:val="Table"/>
        <w:tblW w:type="pct" w:w="494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58"/>
        <w:gridCol w:w="547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l’Emilia-Romagna</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w:t>
            </w:r>
          </w:p>
        </w:tc>
        <w:tc>
          <w:tcPr/>
          <w:p>
            <w:pPr>
              <w:pStyle w:val="Compact"/>
              <w:spacing w:after="40" w:before="40"/>
              <w:jc w:val="left"/>
            </w:pPr>
            <w:r>
              <w:rPr>
                <w:rFonts w:ascii="Cambria" w:hAnsi="Cambria" w:cs="Cambria" w:eastAsia="Cambria"/>
                <w:color w:val="1A1A1A"/>
                <w:sz w:val="18"/>
              </w:rPr>
              <w:t xml:space="preserve">&gt; 10 miliardi di euro; benchmark nazionale; verso il pareggio; nessun piano di rientro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 attiva</w:t>
            </w:r>
          </w:p>
        </w:tc>
        <w:tc>
          <w:tcPr>
            <w:shd w:val="clear" w:color="auto" w:fill="F4F1EC"/>
          </w:tcPr>
          <w:p>
            <w:pPr>
              <w:pStyle w:val="Compact"/>
              <w:spacing w:after="40" w:before="40"/>
              <w:jc w:val="left"/>
            </w:pPr>
            <w:r>
              <w:rPr>
                <w:rFonts w:ascii="Cambria" w:hAnsi="Cambria" w:cs="Cambria" w:eastAsia="Cambria"/>
                <w:color w:val="1A1A1A"/>
                <w:sz w:val="18"/>
              </w:rPr>
              <w:t xml:space="preserve">saldo +525 milioni di euro (regione creditrice; canale non applicabile)</w:t>
            </w:r>
          </w:p>
        </w:tc>
      </w:tr>
      <w:tr>
        <w:tc>
          <w:tcPr/>
          <w:p>
            <w:pPr>
              <w:pStyle w:val="Compact"/>
              <w:spacing w:after="40" w:before="40"/>
              <w:jc w:val="left"/>
            </w:pPr>
            <w:r>
              <w:rPr>
                <w:rFonts w:ascii="Cambria" w:hAnsi="Cambria" w:cs="Cambria" w:eastAsia="Cambria"/>
                <w:b/>
                <w:bCs/>
                <w:color w:val="1A1A1A"/>
                <w:sz w:val="18"/>
              </w:rPr>
              <w:t xml:space="preserve">Accessi al pronto soccorso</w:t>
            </w:r>
          </w:p>
        </w:tc>
        <w:tc>
          <w:tcPr/>
          <w:p>
            <w:pPr>
              <w:pStyle w:val="Compact"/>
              <w:spacing w:after="40" w:before="40"/>
              <w:jc w:val="left"/>
            </w:pPr>
            <w:r>
              <w:rPr>
                <w:rFonts w:ascii="Cambria" w:hAnsi="Cambria" w:cs="Cambria" w:eastAsia="Cambria"/>
                <w:color w:val="1A1A1A"/>
                <w:sz w:val="18"/>
              </w:rPr>
              <w:t xml:space="preserve">~ 1.400.000 l’anno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Architettura dei servizi</w:t>
            </w:r>
          </w:p>
        </w:tc>
        <w:tc>
          <w:tcPr>
            <w:shd w:val="clear" w:color="auto" w:fill="F4F1EC"/>
          </w:tcPr>
          <w:p>
            <w:pPr>
              <w:pStyle w:val="Compact"/>
              <w:spacing w:after="40" w:before="40"/>
              <w:jc w:val="left"/>
            </w:pPr>
            <w:r>
              <w:rPr>
                <w:rFonts w:ascii="Cambria" w:hAnsi="Cambria" w:cs="Cambria" w:eastAsia="Cambria"/>
                <w:color w:val="1A1A1A"/>
                <w:sz w:val="18"/>
              </w:rPr>
              <w:t xml:space="preserve">Otto AUSL, Aziende Ospedaliero-Universitarie, IRCCS; 141 Case della Comunità, 24 Ospedali di Comunità</w:t>
            </w:r>
          </w:p>
        </w:tc>
      </w:tr>
      <w:tr>
        <w:tc>
          <w:tcPr/>
          <w:p>
            <w:pPr>
              <w:pStyle w:val="Compact"/>
              <w:spacing w:after="40" w:before="40"/>
              <w:jc w:val="left"/>
            </w:pPr>
            <w:r>
              <w:rPr>
                <w:rFonts w:ascii="Cambria" w:hAnsi="Cambria" w:cs="Cambria" w:eastAsia="Cambria"/>
                <w:b/>
                <w:bCs/>
                <w:color w:val="1A1A1A"/>
                <w:sz w:val="18"/>
              </w:rPr>
              <w:t xml:space="preserve">Margine di azione principale</w:t>
            </w:r>
          </w:p>
        </w:tc>
        <w:tc>
          <w:tcPr/>
          <w:p>
            <w:pPr>
              <w:pStyle w:val="Compact"/>
              <w:spacing w:after="40" w:before="40"/>
              <w:jc w:val="left"/>
            </w:pPr>
            <w:r>
              <w:rPr>
                <w:rFonts w:ascii="Cambria" w:hAnsi="Cambria" w:cs="Cambria" w:eastAsia="Cambria"/>
                <w:color w:val="1A1A1A"/>
                <w:sz w:val="18"/>
              </w:rPr>
              <w:t xml:space="preserve">Liste di attesa, completamento della funzione psicologica, accesso delle aree appenniniche e della popolazione straniera</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4381"/>
    <w:bookmarkStart w:id="4382" w:name="X71773da43eb877bb5e2a472de4929360856b273"/>
    <w:p>
      <w:pPr>
        <w:pStyle w:val="Heading3"/>
      </w:pPr>
      <w:r>
        <w:t xml:space="preserve">B.6 La cornice normativa e programmatica</w:t>
      </w:r>
    </w:p>
    <w:p>
      <w:pPr>
        <w:pStyle w:val="FirstParagraph"/>
      </w:pPr>
      <w:r>
        <w:t xml:space="preserve">La decisione si colloca entro una cornice normativa che, in Emilia-Romagna, è ricca di atti amministrativi e programmatici ma priva, allo stato, di una legge regionale dedicata. Il percorso delle Case della Salute, avviato nel 2010, ha predisposto l’infrastruttura territoriale; le linee di indirizzo regionali del 2021 e del 2023 hanno riconosciuto la Casa della Comunità come setting ideale della funzione psicologica e ne hanno avviato l’implementazione; il progetto di legge del 2024 e la proposta di legge di iniziativa popolare, in corso d’esame, ne propongono l’istituzionalizzazione, prevedendo almeno uno psicologo ogni cinque medici di medicina generale per distretto, elenchi provinciali e un Osservatorio regionale. Sul piano nazionale, il testo unificato in discussione alla Camera, il Piano Nazionale per la Salute Mentale 2025–2030 e la sentenza della Corte Costituzionale n. 241 del 2021 — che ha confermato la competenza regionale in materia — compongono il quadro di riferimento. La decisione rilevante, in questo contesto, non è introdurre la funzione, ma strutturarla e dimensionarla in forma stabile e omogenea: è il tema che le parti successive sviluppano, a partire dalla definizione dell’intervento e del suo modello, oggetto della Parte C.</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modello organizzativo, percorso clinico, sistema informativo, strumenti digitali e formazione</w:t>
      </w:r>
    </w:p>
    <w:p>
      <w:pPr>
        <w:pStyle w:val="BodyText"/>
      </w:pPr>
      <w:r>
        <w:t xml:space="preserve">Secondo dominio dell’HTA · la descrizione della tecnologia</w:t>
      </w:r>
    </w:p>
    <w:bookmarkEnd w:id="4382"/>
    <w:bookmarkEnd w:id="1564"/>
    <w:bookmarkStart w:id="1571" w:name="parte-c-lintervento-e-il-suo-modello-5"/>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dell’Emilia-Romagna emerge con nettezza: l’intervento non si innesta su un vuoto, ma su una rete territoriale matura e su una funzione già sperimentata, di cui si tratta di dare forma stabile, uniforme e dimensionata.</w:t>
      </w:r>
    </w:p>
    <w:bookmarkStart w:id="4383" w:name="Xd0000f633f48779737b8119dcc69e716069a9ee"/>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890.000 persone con disagio comune. La tabella seguente ne espone gli anelli.</w:t>
      </w:r>
    </w:p>
    <w:tbl>
      <w:tblPr>
        <w:tblStyle w:val="Table"/>
        <w:tblW w:type="pct" w:w="493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75"/>
        <w:gridCol w:w="59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l’Emilia-Romagna</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890.000 persone con disagio comune, in larga parte non intercettato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Psicologo nelle cure primarie: intercettazione precoce, intervento breve, filtro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liste di attesa ridotte</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particolarmente nella popolazione attiva, e minor carico familiare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4383"/>
    <w:bookmarkStart w:id="1566" w:name="c.2-il-modello-organizzativo-6"/>
    <w:p>
      <w:pPr>
        <w:pStyle w:val="Heading3"/>
      </w:pPr>
      <w:r>
        <w:t xml:space="preserve">C.2 Il modello organizzativo</w:t>
      </w:r>
    </w:p>
    <w:p>
      <w:pPr>
        <w:pStyle w:val="FirstParagraph"/>
      </w:pPr>
      <w:r>
        <w:t xml:space="preserve">Il modello organizzativo colloca lo psicologo di base nelle Case della Comunità e nei Nuclei delle Cure Primarie, in collaborazione con i medici di medicina generale e secondo protocolli condivisi. Su questo punto l’Emilia-Romagna presenta una specificità istituzionale rispetto al Veneto: non disponendo di un’azienda regionale unica, il coordinamento, l’omogeneità attuativa fra le otto Aziende USL e le economie di scala sono affidati alla Regione, attraverso la sua Direzione competente, e all’Osservatorio regionale previsto dalle proposte di legge in esame. La rete territoriale matura — le centoquarantuno Case della Comunità e i trentotto distretti — è l’infrastruttura su cui il servizio si innesta senza necessità di nuove strutture, un vantaggio che distingue l’Emilia-Romagna e che il modello assume come risorsa. Il funzionamento segue il principio dell’intensità crescente: l’intervento parte dal livello meno intensivo appropriato e cresce solo se necessario, con criteri espliciti di passaggio di livello e di invio.</w:t>
      </w:r>
    </w:p>
    <w:bookmarkEnd w:id="1566"/>
    <w:bookmarkStart w:id="1567" w:name="X5dc51c3dd2bd55c0a0f08e80347d2c98b3c2004"/>
    <w:p>
      <w:pPr>
        <w:pStyle w:val="Heading3"/>
      </w:pPr>
      <w:r>
        <w:t xml:space="preserve">C.3 Il percorso clinico, la sicurezza e gli esiti</w:t>
      </w:r>
    </w:p>
    <w:p>
      <w:pPr>
        <w:pStyle w:val="FirstParagraph"/>
      </w:pPr>
      <w:r>
        <w:t xml:space="preserve">Il percorso clinico prevede l’accesso su invio del medico di medicina generale — nella forma già sperimentata in regione della Consultazione Psicologica Primaria — o l’accesso diretto, una valutazione iniziale, un ciclo di colloqui brevi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43"/>
        <w:gridCol w:w="56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1567"/>
    <w:bookmarkStart w:id="1568" w:name="X80aae5f222375bce75f7abb2072f888fff0d569"/>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 Regione e all’Osservatorio regionale, che ne assicurano l’uniformità fra le otto Aziende USL. La raccolta sistematica e completa dei dati di processo e di esito non è un adempimento accessorio, ma il presupposto della clausola valutativa e del disegno controfattuale, e va perciò prevista fin dall’avvio del servizio; è un punto su cui la maturità dei sistemi informativi regionali offre all’Emilia-Romagna una posizione di vantaggio.</w:t>
      </w:r>
    </w:p>
    <w:bookmarkEnd w:id="1568"/>
    <w:bookmarkStart w:id="4384" w:name="X27170e75ce49e61dfdecd8ffb0022fa58280a78"/>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Emilia-Romagna, lo strumento per garantire l’accesso nelle aree appenniniche,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28"/>
        <w:gridCol w:w="2891"/>
        <w:gridCol w:w="207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 e telemonitoraggio</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aree appenniniche; continuità</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bookmarkEnd w:id="4384"/>
    <w:bookmarkStart w:id="1570" w:name="c.6-la-formazione-e-le-competenze-6"/>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le quattro università della regione — Bologna, Modena e Reggio Emilia, Parma e Ferrara; il livello post-universitario specialistico attraverso un corso regionale con attestato dedicato alla psicologia di base e alle cure primarie, comprensivo della competenza culturale necessaria per una popolazione fortemente multiculturale;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è su questo terreno che la solida infrastruttura di sanità digitale regionale candida l’Emilia-Romagna a contesto esemplare e apripista nazionale. Definiti l’intervento e il suo modello, la parte che segue ne esamina l’efficacia e l’evidenza.</w:t>
      </w:r>
    </w:p>
    <w:tbl>
      <w:tblPr>
        <w:tblStyle w:val="Table"/>
        <w:tblW w:type="pct" w:w="495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91"/>
        <w:gridCol w:w="4084"/>
        <w:gridCol w:w="22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Università di Bologna, Modena e Reggio Emilia, Parma, Ferrara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di base e cure primarie: modelli organizzativi, collaborazione, misure di esito, competenza culturale</w:t>
            </w:r>
          </w:p>
        </w:tc>
        <w:tc>
          <w:tcPr>
            <w:shd w:val="clear" w:color="auto" w:fill="F4F1EC"/>
          </w:tcPr>
          <w:p>
            <w:pPr>
              <w:pStyle w:val="Compact"/>
              <w:spacing w:after="40" w:before="40"/>
              <w:jc w:val="left"/>
            </w:pPr>
            <w:r>
              <w:rPr>
                <w:rFonts w:ascii="Cambria" w:hAnsi="Cambria" w:cs="Cambria" w:eastAsia="Cambria"/>
                <w:color w:val="1A1A1A"/>
                <w:sz w:val="18"/>
              </w:rPr>
              <w:t xml:space="preserve">Corso regionale con attestato</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Tutor aziendali;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D</w:t>
      </w:r>
    </w:p>
    <w:p>
      <w:pPr>
        <w:pStyle w:val="BodyText"/>
      </w:pPr>
      <w:r>
        <w:rPr>
          <w:b/>
          <w:bCs/>
        </w:rPr>
        <w:t xml:space="preserve">L’********efficacia e l********’evidenza</w:t>
      </w:r>
    </w:p>
    <w:p>
      <w:pPr>
        <w:pStyle w:val="BodyText"/>
      </w:pPr>
      <w:r>
        <w:rPr>
          <w:i/>
          <w:iCs/>
        </w:rPr>
        <w:t xml:space="preserve">Revisione sistematica, qualità dell</w:t>
      </w:r>
      <w:r>
        <w:rPr>
          <w:b/>
          <w:bCs/>
          <w:i/>
          <w:iCs/>
        </w:rPr>
        <w:t xml:space="preserve">’</w:t>
      </w:r>
      <w:r>
        <w:rPr>
          <w:i/>
          <w:iCs/>
        </w:rPr>
        <w:t xml:space="preserve">evidenza, benchmark internazionali e trasferibilità</w:t>
      </w:r>
    </w:p>
    <w:p>
      <w:pPr>
        <w:pStyle w:val="BodyText"/>
      </w:pPr>
      <w:r>
        <w:t xml:space="preserve">Terzo e quarto dominio dell’HTA · l’efficacia clinica e la sicurezza</w:t>
      </w:r>
    </w:p>
    <w:bookmarkEnd w:id="1570"/>
    <w:bookmarkEnd w:id="1571"/>
    <w:bookmarkStart w:id="4385" w:name="parte-d-lefficacia-e-levidenza-2"/>
    <w:p>
      <w:pPr>
        <w:pStyle w:val="Heading2"/>
      </w:pPr>
      <w:r>
        <w:t xml:space="preserve">Parte D — L’efficacia e l’evidenza</w:t>
      </w:r>
    </w:p>
    <w:p>
      <w:pPr>
        <w:pStyle w:val="FirstParagraph"/>
      </w:pPr>
      <w:r>
        <w:t xml:space="preserve">Descritto l’intervento nella Parte C, questa quarta parte ne esamina l’efficacia e l’evidenza, secondo il terzo e il quarto dominio della valutazione. La base di prove è in larga misura indipendente dalla regione, poiché attinge alla letteratura internazionale e ai programmi consolidati; ciò che muta è il giudizio di trasferibilità, calibrato sul contesto emiliano-romagnolo. La parte presenta la revisione sistematica delle prove (capitolo D.1); ne valuta la qualità con il sistema GRADE (D.2); esamina i benchmark internazionali e italiani (D.3); e discute la trasferibilità al contesto regionale (D.4), dove acquista rilievo il patrimonio di evidenza locale costituito dai progetti aziendali già attivi in regione.</w:t>
      </w:r>
    </w:p>
    <w:bookmarkStart w:id="1572" w:name="d.1-la-revisione-sistematica-3"/>
    <w:p>
      <w:pPr>
        <w:pStyle w:val="Heading3"/>
      </w:pPr>
      <w:r>
        <w:t xml:space="preserve">D.1 La revisione sistematica</w:t>
      </w:r>
    </w:p>
    <w:p>
      <w:pPr>
        <w:pStyle w:val="FirstParagraph"/>
      </w:pPr>
      <w:r>
        <w:t xml:space="preserve">La sintesi delle prove è condotta secondo i criteri di rendicontazione riconosciuti per le revisioni sistematiche e gradua la fiducia nei risultati con il sistema GRADE, considerando studi controllati, meta-analisi, revisioni di implementazione e dati di esito reale, con preferenza per le fonti più recenti. Il quadro che ne emerge è solido. Lo studio fondativo del modello collaborativo ha documentato un tasso di risposta di circa il 50% dei pazienti trattati, contro il 19% della cura usuale. Una meta-analisi su cinquantasette studi controllati ha stimato un miglioramento medio dei sintomi depressivi di 0,28 deviazioni standard. Una revisione di quarantadue implementazioni ha rilevato riduzioni dell’ordine del 47% della depressione, del 43% dell’ansia, del 34% degli accessi al pronto soccorso e del 41% dei ricoveri. Il programma inglese, su scala di oltre 1,3 milioni di persone l’anno, conferma questi valori con dati reali. Una meta-analisi sulle cure integrate, infine, stima un effetto modesto sul singolo ma clinicamente rilevante sulla popolazione. La tabella seguente sintetizza i principali risultati.</w:t>
      </w:r>
    </w:p>
    <w:tbl>
      <w:tblPr>
        <w:tblStyle w:val="Table"/>
        <w:tblW w:type="pct" w:w="493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51"/>
        <w:gridCol w:w="526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Risultato principale</w:t>
            </w:r>
          </w:p>
        </w:tc>
      </w:tr>
      <w:tr>
        <w:tc>
          <w:tcPr/>
          <w:p>
            <w:pPr>
              <w:pStyle w:val="Compact"/>
              <w:spacing w:after="40" w:before="40"/>
              <w:jc w:val="left"/>
            </w:pPr>
            <w:r>
              <w:rPr>
                <w:rFonts w:ascii="Cambria" w:hAnsi="Cambria" w:cs="Cambria" w:eastAsia="Cambria"/>
                <w:b/>
                <w:bCs/>
                <w:color w:val="1A1A1A"/>
                <w:sz w:val="18"/>
              </w:rPr>
              <w:t xml:space="preserve">Studio fondativo (JAMA, 2002)</w:t>
            </w:r>
          </w:p>
        </w:tc>
        <w:tc>
          <w:tcPr/>
          <w:p>
            <w:pPr>
              <w:pStyle w:val="Compact"/>
              <w:spacing w:after="40" w:before="40"/>
              <w:jc w:val="left"/>
            </w:pPr>
            <w:r>
              <w:rPr>
                <w:rFonts w:ascii="Cambria" w:hAnsi="Cambria" w:cs="Cambria" w:eastAsia="Cambria"/>
                <w:color w:val="1A1A1A"/>
                <w:sz w:val="18"/>
              </w:rPr>
              <w:t xml:space="preserve">~ 50% dei pazienti con riduzione ≥ 50% dei sintomi a 12 mesi, contro 19% nella cura usuale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Meta-analisi su 57 studi (2012)</w:t>
            </w:r>
          </w:p>
        </w:tc>
        <w:tc>
          <w:tcPr>
            <w:shd w:val="clear" w:color="auto" w:fill="F4F1EC"/>
          </w:tcPr>
          <w:p>
            <w:pPr>
              <w:pStyle w:val="Compact"/>
              <w:spacing w:after="40" w:before="40"/>
              <w:jc w:val="left"/>
            </w:pPr>
            <w:r>
              <w:rPr>
                <w:rFonts w:ascii="Cambria" w:hAnsi="Cambria" w:cs="Cambria" w:eastAsia="Cambria"/>
                <w:color w:val="1A1A1A"/>
                <w:sz w:val="18"/>
              </w:rPr>
              <w:t xml:space="preserve">Miglioramento medio dei sintomi depressivi di 0,28 deviazioni standard</w:t>
            </w:r>
          </w:p>
        </w:tc>
      </w:tr>
      <w:tr>
        <w:tc>
          <w:tcPr/>
          <w:p>
            <w:pPr>
              <w:pStyle w:val="Compact"/>
              <w:spacing w:after="40" w:before="40"/>
              <w:jc w:val="left"/>
            </w:pPr>
            <w:r>
              <w:rPr>
                <w:rFonts w:ascii="Cambria" w:hAnsi="Cambria" w:cs="Cambria" w:eastAsia="Cambria"/>
                <w:b/>
                <w:bCs/>
                <w:color w:val="1A1A1A"/>
                <w:sz w:val="18"/>
              </w:rPr>
              <w:t xml:space="preserve">Revisione su 42 implementazioni (2024)</w:t>
            </w:r>
          </w:p>
        </w:tc>
        <w:tc>
          <w:tcPr/>
          <w:p>
            <w:pPr>
              <w:pStyle w:val="Compact"/>
              <w:spacing w:after="40" w:before="40"/>
              <w:jc w:val="left"/>
            </w:pPr>
            <w:r>
              <w:rPr>
                <w:rFonts w:ascii="Cambria" w:hAnsi="Cambria" w:cs="Cambria" w:eastAsia="Cambria"/>
                <w:color w:val="1A1A1A"/>
                <w:sz w:val="18"/>
              </w:rPr>
              <w:t xml:space="preserve">−47% depressione e −43% ansia a 6 mesi; −34% accessi al PS; −41% ricoveri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Programma inglese, dati reali (2023–2024)</w:t>
            </w:r>
          </w:p>
        </w:tc>
        <w:tc>
          <w:tcPr>
            <w:shd w:val="clear" w:color="auto" w:fill="F4F1EC"/>
          </w:tcPr>
          <w:p>
            <w:pPr>
              <w:pStyle w:val="Compact"/>
              <w:spacing w:after="40" w:before="40"/>
              <w:jc w:val="left"/>
            </w:pPr>
            <w:r>
              <w:rPr>
                <w:rFonts w:ascii="Cambria" w:hAnsi="Cambria" w:cs="Cambria" w:eastAsia="Cambria"/>
                <w:color w:val="1A1A1A"/>
                <w:sz w:val="18"/>
              </w:rPr>
              <w:t xml:space="preserve">Recupero 50,2%; miglioramento affidabile 67,8%; completezza dei dati &gt; 98%</w:t>
            </w:r>
          </w:p>
        </w:tc>
      </w:tr>
      <w:tr>
        <w:tc>
          <w:tcPr/>
          <w:p>
            <w:pPr>
              <w:pStyle w:val="Compact"/>
              <w:spacing w:after="40" w:before="40"/>
              <w:jc w:val="left"/>
            </w:pPr>
            <w:r>
              <w:rPr>
                <w:rFonts w:ascii="Cambria" w:hAnsi="Cambria" w:cs="Cambria" w:eastAsia="Cambria"/>
                <w:b/>
                <w:bCs/>
                <w:color w:val="1A1A1A"/>
                <w:sz w:val="18"/>
              </w:rPr>
              <w:t xml:space="preserve">Meta-analisi sulle cure integrate</w:t>
            </w:r>
          </w:p>
        </w:tc>
        <w:tc>
          <w:tcPr/>
          <w:p>
            <w:pPr>
              <w:pStyle w:val="Compact"/>
              <w:spacing w:after="40" w:before="40"/>
              <w:jc w:val="left"/>
            </w:pPr>
            <w:r>
              <w:rPr>
                <w:rFonts w:ascii="Cambria" w:hAnsi="Cambria" w:cs="Cambria" w:eastAsia="Cambria"/>
                <w:color w:val="1A1A1A"/>
                <w:sz w:val="18"/>
              </w:rP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‘******efficacia dell******’</w:t>
      </w:r>
      <w:r>
        <w:rPr>
          <w:i/>
          <w:iCs/>
        </w:rPr>
        <w:t xml:space="preserve">integrazione psicologica nelle cure primarie.</w:t>
      </w:r>
    </w:p>
    <w:bookmarkEnd w:id="1572"/>
    <w:bookmarkStart w:id="1573" w:name="d.2-la-qualità-dellevidenza-3"/>
    <w:p>
      <w:pPr>
        <w:pStyle w:val="Heading3"/>
      </w:pPr>
      <w:r>
        <w:t xml:space="preserve">D.2 La qualità dell’evidenza</w:t>
      </w:r>
    </w:p>
    <w:p>
      <w:pPr>
        <w:pStyle w:val="FirstParagraph"/>
      </w:pPr>
      <w:r>
        <w:t xml:space="preserve">La qualità dell’evidenza, valutata con il sistema GRADE, è da moderata a elevata per l’efficacia clinica dell’integrazione psicologica nelle cure primarie sui disturbi comuni, mentre è più eterogenea e di minore certezza per gli esiti economici, particolarmente quelli di sistema. Una cautela merita di essere dichiarata con franchezza, perché orienta l’intera impostazione economica dello studio: nello stesso studio fondativo i risparmi sui costi sanitari diretti non risultano statisticamente significativi, poiché l’intervallo di confidenza comprende lo zero. Il valore economico del modello, di conseguenza, poggia in misura preponderante sui ritorni sociali e non sui risparmi sanitari diretti. È una cautela coerente con il profilo del caso economico emiliano-romagnolo, che la Parte E costruisce esattamente su questa base.</w:t>
      </w:r>
    </w:p>
    <w:bookmarkEnd w:id="1573"/>
    <w:bookmarkStart w:id="1574" w:name="d.3-i-benchmark-internazionali-5"/>
    <w:p>
      <w:pPr>
        <w:pStyle w:val="Heading3"/>
      </w:pPr>
      <w:r>
        <w:t xml:space="preserve">D.3 I benchmark internazionali</w:t>
      </w:r>
    </w:p>
    <w:p>
      <w:pPr>
        <w:pStyle w:val="FirstParagraph"/>
      </w:pPr>
      <w:r>
        <w:t xml:space="preserve">L’evidenza sperimentale è corroborata dall’esperienza dei grandi programmi internazionali, che offrono modelli organizzativi maturi e dati su larga scala. Il programma inglese costituisce il riferimento principale per l’organizzazione del servizio. Il modello olandese mostra un’integrazione capillare nello studio del medico di base. L’iniziativa australiana documenta l’ampliamento della popolazione in trattamento. Il modello statunitense è validato da una mole imponente di studi controllati. Le esperienze italiane, infine, pur derivando da campioni limitati, anticipano l’integrazione nelle cure primarie. La tabella seguente li riepiloga.</w:t>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621"/>
        <w:gridCol w:w="1802"/>
        <w:gridCol w:w="338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Assetto</w:t>
            </w:r>
          </w:p>
        </w:tc>
        <w:tc>
          <w:tcPr>
            <w:shd w:val="clear" w:color="auto" w:fill="16264B"/>
          </w:tcPr>
          <w:p>
            <w:pPr>
              <w:pStyle w:val="Compact"/>
              <w:spacing w:after="40" w:before="40"/>
              <w:jc w:val="left"/>
            </w:pPr>
            <w:r>
              <w:rPr>
                <w:rFonts w:ascii="Cambria" w:hAnsi="Cambria" w:cs="Cambria" w:eastAsia="Cambria"/>
                <w:b/>
                <w:bCs/>
                <w:color w:val="FFFFFF"/>
                <w:sz w:val="18"/>
              </w:rPr>
              <w:t xml:space="preserve">Esiti clinici e organizzativi</w:t>
            </w:r>
          </w:p>
        </w:tc>
      </w:tr>
      <w:tr>
        <w:tc>
          <w:tcPr/>
          <w:p>
            <w:pPr>
              <w:pStyle w:val="Compact"/>
              <w:spacing w:after="40" w:before="40"/>
              <w:jc w:val="left"/>
            </w:pPr>
            <w:r>
              <w:rPr>
                <w:rFonts w:ascii="Cambria" w:hAnsi="Cambria" w:cs="Cambria" w:eastAsia="Cambria"/>
                <w:b/>
                <w:bCs/>
                <w:color w:val="1A1A1A"/>
                <w:sz w:val="18"/>
              </w:rPr>
              <w:t xml:space="preserve">Programma inglese (NHS Talking Therapies)</w:t>
            </w:r>
          </w:p>
        </w:tc>
        <w:tc>
          <w:tcPr/>
          <w:p>
            <w:pPr>
              <w:pStyle w:val="Compact"/>
              <w:spacing w:after="40" w:before="40"/>
              <w:jc w:val="left"/>
            </w:pPr>
            <w:r>
              <w:rPr>
                <w:rFonts w:ascii="Cambria" w:hAnsi="Cambria" w:cs="Cambria" w:eastAsia="Cambria"/>
                <w:color w:val="1A1A1A"/>
                <w:sz w:val="18"/>
              </w:rPr>
              <w:t xml:space="preserve">Integrato; intensità crescente</w:t>
            </w:r>
          </w:p>
        </w:tc>
        <w:tc>
          <w:tcPr/>
          <w:p>
            <w:pPr>
              <w:pStyle w:val="Compact"/>
              <w:spacing w:after="40" w:before="40"/>
              <w:jc w:val="left"/>
            </w:pPr>
            <w:r>
              <w:rPr>
                <w:rFonts w:ascii="Cambria" w:hAnsi="Cambria" w:cs="Cambria" w:eastAsia="Cambria"/>
                <w:color w:val="1A1A1A"/>
                <w:sz w:val="18"/>
              </w:rPr>
              <w:t xml:space="preserve">Recupero ~50%; monitoraggio &gt; 98%; &gt; 1,3 mln/anno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olandese (POH-GGZ)</w:t>
            </w:r>
          </w:p>
        </w:tc>
        <w:tc>
          <w:tcPr>
            <w:shd w:val="clear" w:color="auto" w:fill="F4F1EC"/>
          </w:tcPr>
          <w:p>
            <w:pPr>
              <w:pStyle w:val="Compact"/>
              <w:spacing w:after="40" w:before="40"/>
              <w:jc w:val="left"/>
            </w:pPr>
            <w:r>
              <w:rPr>
                <w:rFonts w:ascii="Cambria" w:hAnsi="Cambria" w:cs="Cambria" w:eastAsia="Cambria"/>
                <w:color w:val="1A1A1A"/>
                <w:sz w:val="18"/>
              </w:rPr>
              <w:t xml:space="preserve">Integrato nelle cure primarie</w:t>
            </w:r>
          </w:p>
        </w:tc>
        <w:tc>
          <w:tcPr>
            <w:shd w:val="clear" w:color="auto" w:fill="F4F1EC"/>
          </w:tcPr>
          <w:p>
            <w:pPr>
              <w:pStyle w:val="Compact"/>
              <w:spacing w:after="40" w:before="40"/>
              <w:jc w:val="left"/>
            </w:pPr>
            <w:r>
              <w:rPr>
                <w:rFonts w:ascii="Cambria" w:hAnsi="Cambria" w:cs="Cambria" w:eastAsia="Cambria"/>
                <w:color w:val="1A1A1A"/>
                <w:sz w:val="18"/>
              </w:rPr>
              <w:t xml:space="preserve">Adozione ~3/4 dei medici; ruolo complementare</w:t>
            </w:r>
          </w:p>
        </w:tc>
      </w:tr>
      <w:tr>
        <w:tc>
          <w:tcPr/>
          <w:p>
            <w:pPr>
              <w:pStyle w:val="Compact"/>
              <w:spacing w:after="40" w:before="40"/>
              <w:jc w:val="left"/>
            </w:pPr>
            <w:r>
              <w:rPr>
                <w:rFonts w:ascii="Cambria" w:hAnsi="Cambria" w:cs="Cambria" w:eastAsia="Cambria"/>
                <w:b/>
                <w:bCs/>
                <w:color w:val="1A1A1A"/>
                <w:sz w:val="18"/>
              </w:rPr>
              <w:t xml:space="preserve">Iniziativa australiana (Better Access)</w:t>
            </w:r>
          </w:p>
        </w:tc>
        <w:tc>
          <w:tcPr/>
          <w:p>
            <w:pPr>
              <w:pStyle w:val="Compact"/>
              <w:spacing w:after="40" w:before="40"/>
              <w:jc w:val="left"/>
            </w:pPr>
            <w:r>
              <w:rPr>
                <w:rFonts w:ascii="Cambria" w:hAnsi="Cambria" w:cs="Cambria" w:eastAsia="Cambria"/>
                <w:color w:val="1A1A1A"/>
                <w:sz w:val="18"/>
              </w:rPr>
              <w:t xml:space="preserve">Invio esterno</w:t>
            </w:r>
          </w:p>
        </w:tc>
        <w:tc>
          <w:tcPr/>
          <w:p>
            <w:pPr>
              <w:pStyle w:val="Compact"/>
              <w:spacing w:after="40" w:before="40"/>
              <w:jc w:val="left"/>
            </w:pPr>
            <w:r>
              <w:rPr>
                <w:rFonts w:ascii="Cambria" w:hAnsi="Cambria" w:cs="Cambria" w:eastAsia="Cambria"/>
                <w:color w:val="1A1A1A"/>
                <w:sz w:val="18"/>
              </w:rPr>
              <w:t xml:space="preserve">Trattamento dal 35% al 46%; elevata soddisfazione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Collaborative Care (Stati Uniti)</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r>
        <w:tc>
          <w:tcPr/>
          <w:p>
            <w:pPr>
              <w:pStyle w:val="Compact"/>
              <w:spacing w:after="40" w:before="40"/>
              <w:jc w:val="left"/>
            </w:pPr>
            <w:r>
              <w:rPr>
                <w:rFonts w:ascii="Cambria" w:hAnsi="Cambria" w:cs="Cambria" w:eastAsia="Cambria"/>
                <w:b/>
                <w:bCs/>
                <w:color w:val="1A1A1A"/>
                <w:sz w:val="18"/>
              </w:rPr>
              <w:t xml:space="preserve">Esperienze italiane (Solano, Lazio)</w:t>
            </w:r>
          </w:p>
        </w:tc>
        <w:tc>
          <w:tcPr/>
          <w:p>
            <w:pPr>
              <w:pStyle w:val="Compact"/>
              <w:spacing w:after="40" w:before="40"/>
              <w:jc w:val="left"/>
            </w:pPr>
            <w:r>
              <w:rPr>
                <w:rFonts w:ascii="Cambria" w:hAnsi="Cambria" w:cs="Cambria" w:eastAsia="Cambria"/>
                <w:color w:val="1A1A1A"/>
                <w:sz w:val="18"/>
              </w:rPr>
              <w:t xml:space="preserve">Sperimentazione locale</w:t>
            </w:r>
          </w:p>
        </w:tc>
        <w:tc>
          <w:tcPr/>
          <w:p>
            <w:pPr>
              <w:pStyle w:val="Compact"/>
              <w:spacing w:after="40" w:before="40"/>
              <w:jc w:val="left"/>
            </w:pPr>
            <w:r>
              <w:rPr>
                <w:rFonts w:ascii="Cambria" w:hAnsi="Cambria" w:cs="Cambria" w:eastAsia="Cambria"/>
                <w:color w:val="1A1A1A"/>
                <w:sz w:val="18"/>
              </w:rPr>
              <w:t xml:space="preserve">Anticipazione del modello nelle cure primarie</w:t>
            </w:r>
          </w:p>
        </w:tc>
      </w:tr>
    </w:tbl>
    <w:p>
      <w:pPr>
        <w:pStyle w:val="BodyText"/>
      </w:pPr>
      <w:r>
        <w:rPr>
          <w:i/>
          <w:iCs/>
        </w:rPr>
        <w:t xml:space="preserve">Tabella D.2. I benchmark internazionali e italiani sul piano clinico e organizzativo (il confronto economico è nella Parte E).</w:t>
      </w:r>
    </w:p>
    <w:bookmarkEnd w:id="1574"/>
    <w:bookmarkStart w:id="1575" w:name="X94ffe2e5a9453ec784317609343c5dfa50533e2"/>
    <w:p>
      <w:pPr>
        <w:pStyle w:val="Heading3"/>
      </w:pPr>
      <w:r>
        <w:t xml:space="preserve">D.4 La trasferibilità al contesto regionale</w:t>
      </w:r>
    </w:p>
    <w:p>
      <w:pPr>
        <w:pStyle w:val="FirstParagraph"/>
      </w:pPr>
      <w:r>
        <w:t xml:space="preserve">La trasposizione di questi risultati al contesto regionale richiede cautela metodologica: i programmi internazionali provengono da sistemi diversi per organizzazione, finanziamento e cultura, e le loro stime — di efficacia e, ancor più, economiche — non vanno trasferite meccanicamente, ma validate localmente. Per l’Emilia-Romagna, tuttavia, la trasferibilità è facilitata da una circostanza non comune: la regione dispone già di una base di evidenza locale di particolare valore, costituita dai progetti aziendali consolidati di psicologia nelle cure primarie, fra cui l’esperienza dell’AUSL di Bologna avviata nel 2015, che ha mostrato la capacità del servizio di intercettare un’utenza in larga parte mai entrata in contatto con i servizi di salute mentale. A ciò si aggiungono la solidità organizzativa del sistema, riconosciuto come benchmark nazionale, e la maturità della rete delle Case della Comunità, che insieme costituiscono un terreno favorevole all’adozione del modello e alla sua valutazione rigorosa. Una precisazione conclusiva si impone sul piano della correttezza: i rapporti beneficio-costo spesso citati nel dibattito pubblico sono semplificazioni divulgative; le stime metodologicamente fondate collocano il ritorno in intervalli più prudenti, ed è a questi che lo studio si attiene. Stabilita l’efficacia e graduata l’evidenza, la parte che segue ne traduce i risultati nella valutazione economica.</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E</w:t>
      </w:r>
    </w:p>
    <w:p>
      <w:pPr>
        <w:pStyle w:val="BodyText"/>
      </w:pPr>
      <w:r>
        <w:rPr>
          <w:b/>
          <w:bCs/>
        </w:rPr>
        <w:t xml:space="preserve">La valutazione economica</w:t>
      </w:r>
    </w:p>
    <w:p>
      <w:pPr>
        <w:pStyle w:val="BodyText"/>
      </w:pPr>
      <w:r>
        <w:rPr>
          <w:i/>
          <w:iCs/>
        </w:rPr>
        <w:t xml:space="preserve">Costi, esiti, costo-utilità, impatto sul bilancio, ritorno sociale e casi economico e finanziario</w:t>
      </w:r>
    </w:p>
    <w:p>
      <w:pPr>
        <w:pStyle w:val="BodyText"/>
      </w:pPr>
      <w:r>
        <w:t xml:space="preserve">Quinto dominio dell’HTA · il valore economico</w:t>
      </w:r>
    </w:p>
    <w:bookmarkEnd w:id="1575"/>
    <w:bookmarkEnd w:id="4385"/>
    <w:bookmarkStart w:id="4386" w:name="parte-e-la-valutazione-economica-3"/>
    <w:p>
      <w:pPr>
        <w:pStyle w:val="Heading2"/>
      </w:pPr>
      <w:r>
        <w:t xml:space="preserve">Parte E — La valutazione economica</w:t>
      </w:r>
    </w:p>
    <w:p>
      <w:pPr>
        <w:pStyle w:val="FirstParagraph"/>
      </w:pPr>
      <w:r>
        <w:t xml:space="preserve">Stabilita l’efficacia nella Parte D, questa quinta parte ne traduce i risultati in termini economici, secondo il quinto dominio della valutazione e nel rigore di reporting dello standard CHEERS. È la parte centrale per il decisore di finanza pubblica, e ne riassume l’esito già in apertura: il caso finanziario, riferito al solo bilancio sanitario, presenta un saldo lievemente negativo, mentre il caso economico, riferito alla collettività, è ampiamente positivo. La parte identifica e misura i costi (capitolo E.1) e gli esiti (E.2); ne deriva il costo-efficacia e il costo-utilità (E.3); analizza l’impatto sul bilancio (E.4); stima il ritorno sociale (E.5); e ricompone il caso economico e il caso finanziario (E.6). I valori sono espressi in tre scenari di copertura, e l’intera analisi tiene rigorosamente distinto ciò che lo Stato risparmia da ciò che la collettività guadagna.</w:t>
      </w:r>
    </w:p>
    <w:bookmarkStart w:id="1577" w:name="Xf9864f8709d0ae5dcf0717ae6d03c795e082375"/>
    <w:p>
      <w:pPr>
        <w:pStyle w:val="Heading3"/>
      </w:pPr>
      <w:r>
        <w:t xml:space="preserve">E.1 L’identificazione e la misura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A regime, esso è dell’ordine di 27 milioni di euro annui nello scenario conservativo, 40 nello scenario base e 53 nello scenario espansivo. La stima muove da un valore unitario per incarico dell’ordine di 55.000 euro annui, regionalizzato in proporzione alla popolazione e al numero di professionisti, con economie di scala rese possibili dal coordinamento regionale e dalla maturità della rete. La tabella seguente espone il costo per scenario; la condizione attuale, in cui la funzione è diffusa ma non strutturata a regime, comporta una spesa dedicata prossima allo zero.</w:t>
      </w:r>
    </w:p>
    <w:tbl>
      <w:tblPr>
        <w:tblStyle w:val="Table"/>
        <w:tblW w:type="pct" w:w="490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66"/>
        <w:gridCol w:w="2053"/>
        <w:gridCol w:w="205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 (mln €)</w:t>
            </w:r>
          </w:p>
        </w:tc>
      </w:tr>
      <w:tr>
        <w:tc>
          <w:tcPr/>
          <w:p>
            <w:pPr>
              <w:pStyle w:val="Compact"/>
              <w:spacing w:after="40" w:before="40"/>
              <w:jc w:val="left"/>
            </w:pPr>
            <w:r>
              <w:rPr>
                <w:rFonts w:ascii="Cambria" w:hAnsi="Cambria" w:cs="Cambria" w:eastAsia="Cambria"/>
                <w:b/>
                <w:bCs/>
                <w:color w:val="1A1A1A"/>
                <w:sz w:val="18"/>
              </w:rPr>
              <w:t xml:space="preserve">Attuale (funzione diffusa, non strutturata)</w:t>
            </w:r>
          </w:p>
        </w:tc>
        <w:tc>
          <w:tcPr/>
          <w:p>
            <w:pPr>
              <w:pStyle w:val="Compact"/>
              <w:spacing w:after="40" w:before="40"/>
              <w:jc w:val="left"/>
            </w:pPr>
            <w:r>
              <w:rPr>
                <w:rFonts w:ascii="Cambria" w:hAnsi="Cambria" w:cs="Cambria" w:eastAsia="Cambria"/>
                <w:color w:val="1A1A1A"/>
                <w:sz w:val="18"/>
              </w:rPr>
              <w:t xml:space="preserve">Servizio non dimensionato</w:t>
            </w:r>
          </w:p>
        </w:tc>
        <w:tc>
          <w:tcPr/>
          <w:p>
            <w:pPr>
              <w:pStyle w:val="Compact"/>
              <w:spacing w:after="40" w:before="40"/>
              <w:jc w:val="left"/>
            </w:pPr>
            <w:r>
              <w:rPr>
                <w:rFonts w:ascii="Cambria" w:hAnsi="Cambria" w:cs="Cambria" w:eastAsia="Cambria"/>
                <w:color w:val="1A1A1A"/>
                <w:sz w:val="18"/>
              </w:rPr>
              <w:t xml:space="preserve">~ 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Conservativo</w:t>
            </w:r>
          </w:p>
        </w:tc>
        <w:tc>
          <w:tcPr>
            <w:shd w:val="clear" w:color="auto" w:fill="F4F1EC"/>
          </w:tcPr>
          <w:p>
            <w:pPr>
              <w:pStyle w:val="Compact"/>
              <w:spacing w:after="40" w:before="40"/>
              <w:jc w:val="left"/>
            </w:pPr>
            <w:r>
              <w:rPr>
                <w:rFonts w:ascii="Cambria" w:hAnsi="Cambria" w:cs="Cambria" w:eastAsia="Cambria"/>
                <w:color w:val="1A1A1A"/>
                <w:sz w:val="18"/>
              </w:rPr>
              <w:t xml:space="preserve">~ 490</w:t>
            </w:r>
          </w:p>
        </w:tc>
        <w:tc>
          <w:tcPr>
            <w:shd w:val="clear" w:color="auto" w:fill="F4F1EC"/>
          </w:tcPr>
          <w:p>
            <w:pPr>
              <w:pStyle w:val="Compact"/>
              <w:spacing w:after="40" w:before="40"/>
              <w:jc w:val="left"/>
            </w:pPr>
            <w:r>
              <w:rPr>
                <w:rFonts w:ascii="Cambria" w:hAnsi="Cambria" w:cs="Cambria" w:eastAsia="Cambria"/>
                <w:color w:val="1A1A1A"/>
                <w:sz w:val="18"/>
              </w:rPr>
              <w:t xml:space="preserve">~ 27</w:t>
            </w:r>
          </w:p>
        </w:tc>
      </w:tr>
      <w:tr>
        <w:tc>
          <w:tcPr/>
          <w:p>
            <w:pPr>
              <w:pStyle w:val="Compact"/>
              <w:spacing w:after="40" w:before="40"/>
              <w:jc w:val="left"/>
            </w:pPr>
            <w:r>
              <w:rPr>
                <w:rFonts w:ascii="Cambria" w:hAnsi="Cambria" w:cs="Cambria" w:eastAsia="Cambria"/>
                <w:b/>
                <w:bCs/>
                <w:color w:val="1A1A1A"/>
                <w:sz w:val="18"/>
              </w:rPr>
              <w:t xml:space="preserve">Base</w:t>
            </w:r>
          </w:p>
        </w:tc>
        <w:tc>
          <w:tcPr/>
          <w:p>
            <w:pPr>
              <w:pStyle w:val="Compact"/>
              <w:spacing w:after="40" w:before="40"/>
              <w:jc w:val="left"/>
            </w:pPr>
            <w:r>
              <w:rPr>
                <w:rFonts w:ascii="Cambria" w:hAnsi="Cambria" w:cs="Cambria" w:eastAsia="Cambria"/>
                <w:color w:val="1A1A1A"/>
                <w:sz w:val="18"/>
              </w:rPr>
              <w:t xml:space="preserve">~ 730</w:t>
            </w:r>
          </w:p>
        </w:tc>
        <w:tc>
          <w:tcPr/>
          <w:p>
            <w:pPr>
              <w:pStyle w:val="Compact"/>
              <w:spacing w:after="40" w:before="40"/>
              <w:jc w:val="left"/>
            </w:pPr>
            <w:r>
              <w:rPr>
                <w:rFonts w:ascii="Cambria" w:hAnsi="Cambria" w:cs="Cambria" w:eastAsia="Cambria"/>
                <w:color w:val="1A1A1A"/>
                <w:sz w:val="18"/>
              </w:rPr>
              <w:t xml:space="preserve">~ 40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Espansivo</w:t>
            </w:r>
          </w:p>
        </w:tc>
        <w:tc>
          <w:tcPr>
            <w:shd w:val="clear" w:color="auto" w:fill="F4F1EC"/>
          </w:tcPr>
          <w:p>
            <w:pPr>
              <w:pStyle w:val="Compact"/>
              <w:spacing w:after="40" w:before="40"/>
              <w:jc w:val="left"/>
            </w:pPr>
            <w:r>
              <w:rPr>
                <w:rFonts w:ascii="Cambria" w:hAnsi="Cambria" w:cs="Cambria" w:eastAsia="Cambria"/>
                <w:color w:val="1A1A1A"/>
                <w:sz w:val="18"/>
              </w:rPr>
              <w:t xml:space="preserve">~ 960</w:t>
            </w:r>
          </w:p>
        </w:tc>
        <w:tc>
          <w:tcPr>
            <w:shd w:val="clear" w:color="auto" w:fill="F4F1EC"/>
          </w:tcPr>
          <w:p>
            <w:pPr>
              <w:pStyle w:val="Compact"/>
              <w:spacing w:after="40" w:before="40"/>
              <w:jc w:val="left"/>
            </w:pPr>
            <w:r>
              <w:rPr>
                <w:rFonts w:ascii="Cambria" w:hAnsi="Cambria" w:cs="Cambria" w:eastAsia="Cambria"/>
                <w:color w:val="1A1A1A"/>
                <w:sz w:val="18"/>
              </w:rPr>
              <w:t xml:space="preserve">~ 53</w:t>
            </w:r>
          </w:p>
        </w:tc>
      </w:tr>
    </w:tbl>
    <w:p>
      <w:pPr>
        <w:pStyle w:val="BodyText"/>
      </w:pPr>
      <w:r>
        <w:rPr>
          <w:i/>
          <w:iCs/>
        </w:rPr>
        <w:t xml:space="preserve">Tabella E.1. Il costo del servizio per scenario di copertura. La funzione è oggi diffusa per via amministrativa ma non strutturata a regime.</w:t>
      </w:r>
    </w:p>
    <w:bookmarkEnd w:id="1577"/>
    <w:bookmarkStart w:id="4387" w:name="Xa093b783cd9f9990845debcf5cc58b719e23a7a"/>
    <w:p>
      <w:pPr>
        <w:pStyle w:val="Heading3"/>
      </w:pPr>
      <w:r>
        <w:t xml:space="preserve">E.2 L’identificazione e la misura degli esiti</w:t>
      </w:r>
    </w:p>
    <w:p>
      <w:pPr>
        <w:pStyle w:val="FirstParagraph"/>
      </w:pPr>
      <w:r>
        <w:t xml:space="preserve">Gli esiti di salute sono espressi in anni di vita ponderati per la qualità e in esiti clinici validati; i tassi di recupero e di miglioramento sono desunti dai benchmark consolidati e applicati in via prudenziale. Le misure impiegate, nei soli punteggi complessivi, sono il questionario a nove voci sui sintomi depressivi e la scala a sette voci per il disturbo d’ansia, con un tasso di recupero di riferimento dell’ordine del 50%, coerente con i dati reali del programma inglese.</w:t>
      </w:r>
    </w:p>
    <w:bookmarkEnd w:id="4387"/>
    <w:bookmarkStart w:id="1579" w:name="X4f9d224019dbcc0d3e3e90a2972f7c75ab35407"/>
    <w:p>
      <w:pPr>
        <w:pStyle w:val="Heading3"/>
      </w:pPr>
      <w:r>
        <w:t xml:space="preserve">E.3 Il costo-efficacia e il costo-utilità</w:t>
      </w:r>
    </w:p>
    <w:p>
      <w:pPr>
        <w:pStyle w:val="FirstParagraph"/>
      </w:pPr>
      <w:r>
        <w:t xml:space="preserve">Il costo per anno di vita ponderato per la qualità si colloca al di sotto della soglia comunemente adottata; l’analisi per paziente, sviluppata in dettaglio nella Parte F, indica anzi condizioni di dominanza dell’intervento rispetto all’opzione di non intervento, ossia un esito al tempo stesso migliore e meno costoso sul ciclo di vita del disturbo. La soglia di riferimento adottata è dell’ordine di 30.000 euro per anno di vita ponderato per la qualità, in linea con la prassi internazionale.</w:t>
      </w:r>
    </w:p>
    <w:bookmarkEnd w:id="1579"/>
    <w:bookmarkStart w:id="1580" w:name="e.4-limpatto-sul-bilancio-4"/>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e dei ricoveri e prestazioni specialistiche evitabili; per l’Emilia-Romagna il canale della mobilità recuperata è nullo, poiché la regione è a saldo di mobilità attivo. I risparmi diretti complessivi sono stimati nell’ordine di 16, 27 e 40 milioni di euro annui nei tre scenari, collocati prudenzialmente nella parte medio-bassa dell’intervallo in ragione dell’elevata efficienza del sistema regionale. Il saldo diretto, differenza tra risparmi diretti e costo del servizio, è dell’ordine di −11, −13 e −13 milioni di euro annui: lievemente negativo, coerentemente con la natura di regione creditrice e con l’elevata appropriatezza di partenza. Questo saldo negativo è dichiarato senza attenuazioni e non rappresenta una debolezza dell’analisi, ma il suo profilo onesto: a differenza della Puglia, dove il recupero della mobilità passiva concorre al pareggio diretto, in Emilia-Romagna il valore dell’intervento risiede in misura preponderante nelle ricadute sociali. La tabella seguente dettaglia i canali e il saldo.</w:t>
      </w:r>
    </w:p>
    <w:tbl>
      <w:tblPr>
        <w:tblStyle w:val="Table"/>
        <w:tblW w:type="pct" w:w="488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80"/>
        <w:gridCol w:w="1620"/>
        <w:gridCol w:w="1620"/>
        <w:gridCol w:w="162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5</w:t>
            </w:r>
          </w:p>
        </w:tc>
        <w:tc>
          <w:tcPr/>
          <w:p>
            <w:pPr>
              <w:pStyle w:val="Compact"/>
              <w:spacing w:after="40" w:before="40"/>
              <w:jc w:val="left"/>
            </w:pPr>
            <w:r>
              <w:rPr>
                <w:rFonts w:ascii="Cambria" w:hAnsi="Cambria" w:cs="Cambria" w:eastAsia="Cambria"/>
                <w:color w:val="1A1A1A"/>
                <w:sz w:val="18"/>
              </w:rPr>
              <w:t xml:space="preserve">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Farmaceutica</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8</w:t>
            </w:r>
          </w:p>
        </w:tc>
      </w:tr>
      <w:tr>
        <w:tc>
          <w:tcPr/>
          <w:p>
            <w:pPr>
              <w:pStyle w:val="Compact"/>
              <w:spacing w:after="40" w:before="40"/>
              <w:jc w:val="left"/>
            </w:pPr>
            <w:r>
              <w:rPr>
                <w:rFonts w:ascii="Cambria" w:hAnsi="Cambria" w:cs="Cambria" w:eastAsia="Cambria"/>
                <w:b/>
                <w:bCs/>
                <w:color w:val="1A1A1A"/>
                <w:sz w:val="18"/>
              </w:rPr>
              <w:t xml:space="preserve">Ricoveri e specialistica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17</w:t>
            </w:r>
          </w:p>
        </w:tc>
        <w:tc>
          <w:tcPr/>
          <w:p>
            <w:pPr>
              <w:pStyle w:val="Compact"/>
              <w:spacing w:after="40" w:before="40"/>
              <w:jc w:val="left"/>
            </w:pPr>
            <w:r>
              <w:rPr>
                <w:rFonts w:ascii="Cambria" w:hAnsi="Cambria" w:cs="Cambria" w:eastAsia="Cambria"/>
                <w:color w:val="1A1A1A"/>
                <w:sz w:val="18"/>
              </w:rPr>
              <w:t xml:space="preserve">26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recuperata</w:t>
            </w:r>
          </w:p>
        </w:tc>
        <w:tc>
          <w:tcPr>
            <w:shd w:val="clear" w:color="auto" w:fill="F4F1EC"/>
          </w:tcPr>
          <w:p>
            <w:pPr>
              <w:pStyle w:val="Compact"/>
              <w:spacing w:after="40" w:before="40"/>
              <w:jc w:val="left"/>
            </w:pPr>
            <w:r>
              <w:rPr>
                <w:rFonts w:ascii="Cambria" w:hAnsi="Cambria" w:cs="Cambria" w:eastAsia="Cambria"/>
                <w:color w:val="1A1A1A"/>
                <w:sz w:val="18"/>
              </w:rPr>
              <w:t xml:space="preserve">0</w:t>
            </w:r>
          </w:p>
        </w:tc>
        <w:tc>
          <w:tcPr>
            <w:shd w:val="clear" w:color="auto" w:fill="F4F1EC"/>
          </w:tcPr>
          <w:p>
            <w:pPr>
              <w:pStyle w:val="Compact"/>
              <w:spacing w:after="40" w:before="40"/>
              <w:jc w:val="left"/>
            </w:pPr>
            <w:r>
              <w:rPr>
                <w:rFonts w:ascii="Cambria" w:hAnsi="Cambria" w:cs="Cambria" w:eastAsia="Cambria"/>
                <w:color w:val="1A1A1A"/>
                <w:sz w:val="18"/>
              </w:rPr>
              <w:t xml:space="preserve">0</w:t>
            </w:r>
          </w:p>
        </w:tc>
        <w:tc>
          <w:tcPr>
            <w:shd w:val="clear" w:color="auto" w:fill="F4F1EC"/>
          </w:tcPr>
          <w:p>
            <w:pPr>
              <w:pStyle w:val="Compact"/>
              <w:spacing w:after="40" w:before="40"/>
              <w:jc w:val="left"/>
            </w:pPr>
            <w:r>
              <w:rPr>
                <w:rFonts w:ascii="Cambria" w:hAnsi="Cambria" w:cs="Cambria" w:eastAsia="Cambria"/>
                <w:color w:val="1A1A1A"/>
                <w:sz w:val="18"/>
              </w:rPr>
              <w:t xml:space="preserve">0</w:t>
            </w:r>
          </w:p>
        </w:tc>
      </w:tr>
      <w:tr>
        <w:tc>
          <w:tcPr/>
          <w:p>
            <w:pPr>
              <w:pStyle w:val="Compact"/>
              <w:spacing w:after="40" w:before="40"/>
              <w:jc w:val="left"/>
            </w:pPr>
            <w:r>
              <w:rPr>
                <w:rFonts w:ascii="Cambria" w:hAnsi="Cambria" w:cs="Cambria" w:eastAsia="Cambria"/>
                <w:b/>
                <w:bCs/>
                <w:color w:val="1A1A1A"/>
                <w:sz w:val="18"/>
              </w:rPr>
              <w:t xml:space="preserve">Risparmi diretti (totale)</w:t>
            </w:r>
          </w:p>
        </w:tc>
        <w:tc>
          <w:tcPr/>
          <w:p>
            <w:pPr>
              <w:pStyle w:val="Compact"/>
              <w:spacing w:after="40" w:before="40"/>
              <w:jc w:val="left"/>
            </w:pPr>
            <w:r>
              <w:rPr>
                <w:rFonts w:ascii="Cambria" w:hAnsi="Cambria" w:cs="Cambria" w:eastAsia="Cambria"/>
                <w:color w:val="1A1A1A"/>
                <w:sz w:val="18"/>
              </w:rPr>
              <w:t xml:space="preserve">~ 16</w:t>
            </w:r>
          </w:p>
        </w:tc>
        <w:tc>
          <w:tcPr/>
          <w:p>
            <w:pPr>
              <w:pStyle w:val="Compact"/>
              <w:spacing w:after="40" w:before="40"/>
              <w:jc w:val="left"/>
            </w:pPr>
            <w:r>
              <w:rPr>
                <w:rFonts w:ascii="Cambria" w:hAnsi="Cambria" w:cs="Cambria" w:eastAsia="Cambria"/>
                <w:color w:val="1A1A1A"/>
                <w:sz w:val="18"/>
              </w:rPr>
              <w:t xml:space="preserve">~ 27</w:t>
            </w:r>
          </w:p>
        </w:tc>
        <w:tc>
          <w:tcPr/>
          <w:p>
            <w:pPr>
              <w:pStyle w:val="Compact"/>
              <w:spacing w:after="40" w:before="40"/>
              <w:jc w:val="left"/>
            </w:pPr>
            <w:r>
              <w:rPr>
                <w:rFonts w:ascii="Cambria" w:hAnsi="Cambria" w:cs="Cambria" w:eastAsia="Cambria"/>
                <w:color w:val="1A1A1A"/>
                <w:sz w:val="18"/>
              </w:rPr>
              <w:t xml:space="preserve">~ 40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27</w:t>
            </w:r>
          </w:p>
        </w:tc>
        <w:tc>
          <w:tcPr>
            <w:shd w:val="clear" w:color="auto" w:fill="F4F1EC"/>
          </w:tcPr>
          <w:p>
            <w:pPr>
              <w:pStyle w:val="Compact"/>
              <w:spacing w:after="40" w:before="40"/>
              <w:jc w:val="left"/>
            </w:pPr>
            <w:r>
              <w:rPr>
                <w:rFonts w:ascii="Cambria" w:hAnsi="Cambria" w:cs="Cambria" w:eastAsia="Cambria"/>
                <w:color w:val="1A1A1A"/>
                <w:sz w:val="18"/>
              </w:rPr>
              <w:t xml:space="preserve">~ 40</w:t>
            </w:r>
          </w:p>
        </w:tc>
        <w:tc>
          <w:tcPr>
            <w:shd w:val="clear" w:color="auto" w:fill="F4F1EC"/>
          </w:tcPr>
          <w:p>
            <w:pPr>
              <w:pStyle w:val="Compact"/>
              <w:spacing w:after="40" w:before="40"/>
              <w:jc w:val="left"/>
            </w:pPr>
            <w:r>
              <w:rPr>
                <w:rFonts w:ascii="Cambria" w:hAnsi="Cambria" w:cs="Cambria" w:eastAsia="Cambria"/>
                <w:color w:val="1A1A1A"/>
                <w:sz w:val="18"/>
              </w:rPr>
              <w:t xml:space="preserve">~ 53</w:t>
            </w:r>
          </w:p>
        </w:tc>
      </w:tr>
      <w:tr>
        <w:tc>
          <w:tcPr/>
          <w:p>
            <w:pPr>
              <w:pStyle w:val="Compact"/>
              <w:spacing w:after="40" w:before="40"/>
              <w:jc w:val="left"/>
            </w:pPr>
            <w:r>
              <w:rPr>
                <w:rFonts w:ascii="Cambria" w:hAnsi="Cambria" w:cs="Cambria" w:eastAsia="Cambria"/>
                <w:b/>
                <w:bCs/>
                <w:color w:val="1A1A1A"/>
                <w:sz w:val="18"/>
              </w:rPr>
              <w:t xml:space="preserve">Saldo diretto (solo SSR)</w:t>
            </w:r>
          </w:p>
        </w:tc>
        <w:tc>
          <w:tcPr/>
          <w:p>
            <w:pPr>
              <w:pStyle w:val="Compact"/>
              <w:spacing w:after="40" w:before="40"/>
              <w:jc w:val="left"/>
            </w:pPr>
            <w:r>
              <w:rPr>
                <w:rFonts w:ascii="Cambria" w:hAnsi="Cambria" w:cs="Cambria" w:eastAsia="Cambria"/>
                <w:color w:val="1A1A1A"/>
                <w:sz w:val="18"/>
              </w:rPr>
              <w:t xml:space="preserve">~ −11</w:t>
            </w:r>
          </w:p>
        </w:tc>
        <w:tc>
          <w:tcPr/>
          <w:p>
            <w:pPr>
              <w:pStyle w:val="Compact"/>
              <w:spacing w:after="40" w:before="40"/>
              <w:jc w:val="left"/>
            </w:pPr>
            <w:r>
              <w:rPr>
                <w:rFonts w:ascii="Cambria" w:hAnsi="Cambria" w:cs="Cambria" w:eastAsia="Cambria"/>
                <w:color w:val="1A1A1A"/>
                <w:sz w:val="18"/>
              </w:rPr>
              <w:t xml:space="preserve">~ −13</w:t>
            </w:r>
          </w:p>
        </w:tc>
        <w:tc>
          <w:tcPr/>
          <w:p>
            <w:pPr>
              <w:pStyle w:val="Compact"/>
              <w:spacing w:after="40" w:before="40"/>
              <w:jc w:val="left"/>
            </w:pPr>
            <w:r>
              <w:rPr>
                <w:rFonts w:ascii="Cambria" w:hAnsi="Cambria" w:cs="Cambria" w:eastAsia="Cambria"/>
                <w:color w:val="1A1A1A"/>
                <w:sz w:val="18"/>
              </w:rPr>
              <w:t xml:space="preserve">~ −13</w:t>
            </w:r>
          </w:p>
        </w:tc>
      </w:tr>
    </w:tbl>
    <w:p>
      <w:pPr>
        <w:pStyle w:val="BodyText"/>
      </w:pPr>
      <w:r>
        <w:rPr>
          <w:i/>
          <w:iCs/>
        </w:rPr>
        <w:t xml:space="preserve">Tabella E.2. I risparmi diretti per canale e il saldo diretto sul bilancio sanitario, per scenario. Il saldo diretto è lievemente negativo.</w:t>
      </w:r>
    </w:p>
    <w:bookmarkEnd w:id="1580"/>
    <w:bookmarkStart w:id="1581" w:name="e.5-il-ritorno-sociale-4"/>
    <w:p>
      <w:pPr>
        <w:pStyle w:val="Heading3"/>
      </w:pPr>
      <w:r>
        <w:t xml:space="preserve">E.5 Il ritorno sociale</w:t>
      </w:r>
    </w:p>
    <w:p>
      <w:pPr>
        <w:pStyle w:val="FirstParagraph"/>
      </w:pPr>
      <w:r>
        <w:t xml:space="preserve">Il valore dell’intervento, in Emilia-Romagna, si manifesta soprattutto al di fuori del bilancio sanitario. Le ricadute economico-sociali comprendono la maggiore produttività recuperata, la riduzione delle nuove invalidità e dei pensionamenti anticipati, le efficienze nel sistema dei servizi di salute mentale e il sollievo alle figure di cura familiari; in un’economia a forte tessuto manifatturiero e a elevata occupazione, la produttività recuperata è la voce di maggior peso. Stimate secondo i metodi del ritorno sociale sull’investimento e con criteri conservativi, queste ricadute sono dell’ordine di 86 milioni di euro annui nello scenario conservativo, 160 nello scenario base e 250 nello scenario espansivo.</w:t>
      </w:r>
    </w:p>
    <w:bookmarkEnd w:id="1581"/>
    <w:bookmarkStart w:id="4388" w:name="X61a54a696345e97091f50e769937cf156afb8f2"/>
    <w:p>
      <w:pPr>
        <w:pStyle w:val="Heading3"/>
      </w:pPr>
      <w:r>
        <w:t xml:space="preserve">E.6 Il caso economico e il caso finanziario</w:t>
      </w:r>
    </w:p>
    <w:p>
      <w:pPr>
        <w:pStyle w:val="FirstParagraph"/>
      </w:pPr>
      <w:r>
        <w:t xml:space="preserve">La ricomposizione delle grandezze restituisce il quadro complessivo. Il ritorno complessivo, somma dei risparmi diretti e delle ricadute sociali, è dell’ordine di 102, 187 e 290 milioni di euro annui nei tre scenari; al netto del costo del servizio, il saldo complessivo è dell’ordine di +75, +147 e +237 milioni di euro annui. Il rapporto beneficio-costo complessivo è conseguentemente dell’ordine di 3,8:1 nello scenario conservativo, 4,7:1 nel base e 5,5:1 nell’espansivo, in linea con il valore validato sulle altre regioni. La lettura corretta del risultato passa per la distinzione, propria del Five Case Model, tra il caso finanziario — riferito al solo bilancio sanitario e lievemente negativo — e il caso economico — riferito alla collettività e ampiamente positivo. Sul piano della sostenibilità, il costo del servizio si colloca nell’ordine dello 0,3–0,5% di un Fondo Sanitario Regionale superiore ai dieci miliardi di euro, importo pienamente sostenibile per un sistema solido e prossimo al pareggio. Resta la lacuna prioritaria, già dichiarata: le grandezze economiche sono in parte ricostruite per quota di popolazione e non estratte dai conti regionali certificati, la cui verifica presso le aziende è condizione per la presentazione alle autorità di finanza pubblica. La tabella seguente sintetizza il caso economico e il caso finanziario.</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16</w:t>
            </w:r>
          </w:p>
        </w:tc>
        <w:tc>
          <w:tcPr/>
          <w:p>
            <w:pPr>
              <w:pStyle w:val="Compact"/>
              <w:spacing w:after="40" w:before="40"/>
              <w:jc w:val="left"/>
            </w:pPr>
            <w:r>
              <w:rPr>
                <w:rFonts w:ascii="Cambria" w:hAnsi="Cambria" w:cs="Cambria" w:eastAsia="Cambria"/>
                <w:color w:val="1A1A1A"/>
                <w:sz w:val="18"/>
              </w:rPr>
              <w:t xml:space="preserve">~ 27</w:t>
            </w:r>
          </w:p>
        </w:tc>
        <w:tc>
          <w:tcPr/>
          <w:p>
            <w:pPr>
              <w:pStyle w:val="Compact"/>
              <w:spacing w:after="40" w:before="40"/>
              <w:jc w:val="left"/>
            </w:pPr>
            <w:r>
              <w:rPr>
                <w:rFonts w:ascii="Cambria" w:hAnsi="Cambria" w:cs="Cambria" w:eastAsia="Cambria"/>
                <w:color w:val="1A1A1A"/>
                <w:sz w:val="18"/>
              </w:rPr>
              <w:t xml:space="preserve">~ 40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86</w:t>
            </w:r>
          </w:p>
        </w:tc>
        <w:tc>
          <w:tcPr>
            <w:shd w:val="clear" w:color="auto" w:fill="F4F1EC"/>
          </w:tcPr>
          <w:p>
            <w:pPr>
              <w:pStyle w:val="Compact"/>
              <w:spacing w:after="40" w:before="40"/>
              <w:jc w:val="left"/>
            </w:pPr>
            <w:r>
              <w:rPr>
                <w:rFonts w:ascii="Cambria" w:hAnsi="Cambria" w:cs="Cambria" w:eastAsia="Cambria"/>
                <w:color w:val="1A1A1A"/>
                <w:sz w:val="18"/>
              </w:rPr>
              <w:t xml:space="preserve">~ 160</w:t>
            </w:r>
          </w:p>
        </w:tc>
        <w:tc>
          <w:tcPr>
            <w:shd w:val="clear" w:color="auto" w:fill="F4F1EC"/>
          </w:tcPr>
          <w:p>
            <w:pPr>
              <w:pStyle w:val="Compact"/>
              <w:spacing w:after="40" w:before="40"/>
              <w:jc w:val="left"/>
            </w:pPr>
            <w:r>
              <w:rPr>
                <w:rFonts w:ascii="Cambria" w:hAnsi="Cambria" w:cs="Cambria" w:eastAsia="Cambria"/>
                <w:color w:val="1A1A1A"/>
                <w:sz w:val="18"/>
              </w:rPr>
              <w:t xml:space="preserve">~ 250</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 102</w:t>
            </w:r>
          </w:p>
        </w:tc>
        <w:tc>
          <w:tcPr/>
          <w:p>
            <w:pPr>
              <w:pStyle w:val="Compact"/>
              <w:spacing w:after="40" w:before="40"/>
              <w:jc w:val="left"/>
            </w:pPr>
            <w:r>
              <w:rPr>
                <w:rFonts w:ascii="Cambria" w:hAnsi="Cambria" w:cs="Cambria" w:eastAsia="Cambria"/>
                <w:color w:val="1A1A1A"/>
                <w:sz w:val="18"/>
              </w:rPr>
              <w:t xml:space="preserve">~ 187</w:t>
            </w:r>
          </w:p>
        </w:tc>
        <w:tc>
          <w:tcPr/>
          <w:p>
            <w:pPr>
              <w:pStyle w:val="Compact"/>
              <w:spacing w:after="40" w:before="40"/>
              <w:jc w:val="left"/>
            </w:pPr>
            <w:r>
              <w:rPr>
                <w:rFonts w:ascii="Cambria" w:hAnsi="Cambria" w:cs="Cambria" w:eastAsia="Cambria"/>
                <w:color w:val="1A1A1A"/>
                <w:sz w:val="18"/>
              </w:rPr>
              <w:t xml:space="preserve">~ 290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27</w:t>
            </w:r>
          </w:p>
        </w:tc>
        <w:tc>
          <w:tcPr>
            <w:shd w:val="clear" w:color="auto" w:fill="F4F1EC"/>
          </w:tcPr>
          <w:p>
            <w:pPr>
              <w:pStyle w:val="Compact"/>
              <w:spacing w:after="40" w:before="40"/>
              <w:jc w:val="left"/>
            </w:pPr>
            <w:r>
              <w:rPr>
                <w:rFonts w:ascii="Cambria" w:hAnsi="Cambria" w:cs="Cambria" w:eastAsia="Cambria"/>
                <w:color w:val="1A1A1A"/>
                <w:sz w:val="18"/>
              </w:rPr>
              <w:t xml:space="preserve">~ 40</w:t>
            </w:r>
          </w:p>
        </w:tc>
        <w:tc>
          <w:tcPr>
            <w:shd w:val="clear" w:color="auto" w:fill="F4F1EC"/>
          </w:tcPr>
          <w:p>
            <w:pPr>
              <w:pStyle w:val="Compact"/>
              <w:spacing w:after="40" w:before="40"/>
              <w:jc w:val="left"/>
            </w:pPr>
            <w:r>
              <w:rPr>
                <w:rFonts w:ascii="Cambria" w:hAnsi="Cambria" w:cs="Cambria" w:eastAsia="Cambria"/>
                <w:color w:val="1A1A1A"/>
                <w:sz w:val="18"/>
              </w:rPr>
              <w:t xml:space="preserve">~ 53</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−11</w:t>
            </w:r>
          </w:p>
        </w:tc>
        <w:tc>
          <w:tcPr/>
          <w:p>
            <w:pPr>
              <w:pStyle w:val="Compact"/>
              <w:spacing w:after="40" w:before="40"/>
              <w:jc w:val="left"/>
            </w:pPr>
            <w:r>
              <w:rPr>
                <w:rFonts w:ascii="Cambria" w:hAnsi="Cambria" w:cs="Cambria" w:eastAsia="Cambria"/>
                <w:color w:val="1A1A1A"/>
                <w:sz w:val="18"/>
              </w:rPr>
              <w:t xml:space="preserve">~ −13</w:t>
            </w:r>
          </w:p>
        </w:tc>
        <w:tc>
          <w:tcPr/>
          <w:p>
            <w:pPr>
              <w:pStyle w:val="Compact"/>
              <w:spacing w:after="40" w:before="40"/>
              <w:jc w:val="left"/>
            </w:pPr>
            <w:r>
              <w:rPr>
                <w:rFonts w:ascii="Cambria" w:hAnsi="Cambria" w:cs="Cambria" w:eastAsia="Cambria"/>
                <w:color w:val="1A1A1A"/>
                <w:sz w:val="18"/>
              </w:rPr>
              <w:t xml:space="preserve">~ −13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+75</w:t>
            </w:r>
          </w:p>
        </w:tc>
        <w:tc>
          <w:tcPr>
            <w:shd w:val="clear" w:color="auto" w:fill="F4F1EC"/>
          </w:tcPr>
          <w:p>
            <w:pPr>
              <w:pStyle w:val="Compact"/>
              <w:spacing w:after="40" w:before="40"/>
              <w:jc w:val="left"/>
            </w:pPr>
            <w:r>
              <w:rPr>
                <w:rFonts w:ascii="Cambria" w:hAnsi="Cambria" w:cs="Cambria" w:eastAsia="Cambria"/>
                <w:color w:val="1A1A1A"/>
                <w:sz w:val="18"/>
              </w:rPr>
              <w:t xml:space="preserve">+147</w:t>
            </w:r>
          </w:p>
        </w:tc>
        <w:tc>
          <w:tcPr>
            <w:shd w:val="clear" w:color="auto" w:fill="F4F1EC"/>
          </w:tcPr>
          <w:p>
            <w:pPr>
              <w:pStyle w:val="Compact"/>
              <w:spacing w:after="40" w:before="40"/>
              <w:jc w:val="left"/>
            </w:pPr>
            <w:r>
              <w:rPr>
                <w:rFonts w:ascii="Cambria" w:hAnsi="Cambria" w:cs="Cambria" w:eastAsia="Cambria"/>
                <w:color w:val="1A1A1A"/>
                <w:sz w:val="18"/>
              </w:rPr>
              <w:t xml:space="preserve">+237</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~3,8:1</w:t>
            </w:r>
          </w:p>
        </w:tc>
        <w:tc>
          <w:tcPr/>
          <w:p>
            <w:pPr>
              <w:pStyle w:val="Compact"/>
              <w:spacing w:after="40" w:before="40"/>
              <w:jc w:val="left"/>
            </w:pPr>
            <w:r>
              <w:rPr>
                <w:rFonts w:ascii="Cambria" w:hAnsi="Cambria" w:cs="Cambria" w:eastAsia="Cambria"/>
                <w:color w:val="1A1A1A"/>
                <w:sz w:val="18"/>
              </w:rPr>
              <w:t xml:space="preserve">~4,7:1</w:t>
            </w:r>
          </w:p>
        </w:tc>
        <w:t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E.3. Sintesi economica per scenario: il caso finanziario (saldo diretto negativo) e il caso economico (saldo complessivo positivo).</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F</w:t>
      </w:r>
    </w:p>
    <w:p>
      <w:pPr>
        <w:pStyle w:val="BodyText"/>
      </w:pPr>
      <w:r>
        <w:rPr>
          <w:b/>
          <w:bCs/>
        </w:rPr>
        <w:t xml:space="preserve">Modellazione decisionale e incertezza</w:t>
      </w:r>
    </w:p>
    <w:p>
      <w:pPr>
        <w:pStyle w:val="BodyText"/>
      </w:pPr>
      <w:r>
        <w:rPr>
          <w:i/>
          <w:iCs/>
        </w:rPr>
        <w:t xml:space="preserve">Struttura del modello, parametri, sensibilità deterministica e probabilistica, valore dell</w:t>
      </w:r>
      <w:r>
        <w:rPr>
          <w:b/>
          <w:bCs/>
          <w:i/>
          <w:iCs/>
        </w:rPr>
        <w:t xml:space="preserve">’</w:t>
      </w:r>
      <w:r>
        <w:rPr>
          <w:i/>
          <w:iCs/>
        </w:rPr>
        <w:t xml:space="preserve">informazione</w:t>
      </w:r>
    </w:p>
    <w:p>
      <w:pPr>
        <w:pStyle w:val="BodyText"/>
      </w:pPr>
      <w:r>
        <w:t xml:space="preserve">Quinto dominio dell’HTA · la modellazione e l’incertezza</w:t>
      </w:r>
    </w:p>
    <w:bookmarkEnd w:id="4388"/>
    <w:bookmarkEnd w:id="4386"/>
    <w:bookmarkStart w:id="1606" w:name="Xa5b2fbf013f82d67999bbd4d03ff0a2e430b1f1"/>
    <w:p>
      <w:pPr>
        <w:pStyle w:val="Heading2"/>
      </w:pPr>
      <w:r>
        <w:t xml:space="preserve">Parte F — Modellazione decisionale e incertezza</w:t>
      </w:r>
    </w:p>
    <w:p>
      <w:pPr>
        <w:pStyle w:val="FirstParagraph"/>
      </w:pPr>
      <w:r>
        <w:t xml:space="preserve">Questa parte completa il quinto dominio sviluppando la modellazione decisionale che sorregge le stime economiche della Parte E e la gestione esplicita dell’incertezza. Il modello e i suoi risultati per paziente sono di natura clinica ed economica generale e sono pertanto indipendenti dalla regione: ciò che muta sono i soli riferimenti al contesto e alle fonti di calibrazione regionale. La parte descrive la struttura del modello (capitolo F.1); ne specifica i parametri e la calibrazione (F.2); ne saggia la robustezza con la sensibilità deterministica (F.3) e con quella probabilistica (F.4); e ne trae le priorità di acquisizione dei dati con il valore dell’informazione (F.5). Il risultato per paziente — una dominanza dell’intervento — è il fondamento microeconomico su cui poggiano le stime aggregate, e ne spiega la coerenza con il saldo diretto regionale.</w:t>
      </w:r>
    </w:p>
    <w:bookmarkStart w:id="4389" w:name="f.1-la-struttura-del-modello-3"/>
    <w:p>
      <w:pPr>
        <w:pStyle w:val="Heading3"/>
      </w:pPr>
      <w:r>
        <w:t xml:space="preserve">F.1 La struttura del modello</w:t>
      </w:r>
    </w:p>
    <w:p>
      <w:pPr>
        <w:pStyle w:val="FirstParagraph"/>
      </w:pPr>
      <w:r>
        <w:t xml:space="preserve">La modellazione segue le buone pratiche di ricerca riconosciute ed è riportata secondo lo standard CHEERS.</w:t>
      </w:r>
      <w:r>
        <w:rPr>
          <w:rStyle w:val="FootnoteReference"/>
        </w:rPr>
        <w:footnoteReference w:id="2263"/>
      </w:r>
      <w:r>
        <w:rPr>
          <w:rStyle w:val="FootnoteReference"/>
        </w:rPr>
        <w:footnoteReference w:id="2264"/>
      </w:r>
      <w:r>
        <w:rPr>
          <w:rStyle w:val="FootnoteReference"/>
        </w:rPr>
        <w:footnoteReference w:id="2265"/>
      </w:r>
      <w:r>
        <w:t xml:space="preserve"> </w:t>
      </w:r>
      <w:r>
        <w:t xml:space="preserve">Lo strumento adottato è un modello di Markov a coorte,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2266"/>
      </w:r>
      <w:r>
        <w:t xml:space="preserve"> </w:t>
      </w:r>
      <w:r>
        <w:t xml:space="preserve">Nel caso base, riferito a un singolo paziente su orizzonte quinquennale e a valori scontati, il braccio dell’intervento produce un costo sanitario di circa 2.495 euro e un’utilità di 3,627 anni di vita ponderati, contro 3.799 euro e 3,392 dell’assistenza usuale: l’intervento è al tempo stesso meno costoso e più efficace, configurando una dominanza.</w:t>
      </w:r>
      <w:r>
        <w:rPr>
          <w:rStyle w:val="FootnoteReference"/>
        </w:rPr>
        <w:footnoteReference w:id="2267"/>
      </w:r>
      <w:r>
        <w:t xml:space="preserve"> </w:t>
      </w:r>
      <w:r>
        <w:t xml:space="preserve">La dominanza non è un artificio, ma la conseguenza della struttura del modello: l’intervento accresce il tempo nello stato di recupero, a bassa utilizzazione di risorse, e riduce il tempo nello stato cronico, ad alta utilizzazione, sicché il risparmio a valle eccede il costo a monte.</w:t>
      </w:r>
      <w:r>
        <w:rPr>
          <w:rStyle w:val="FootnoteReference"/>
        </w:rPr>
        <w:footnoteReference w:id="2268"/>
      </w:r>
      <w:r>
        <w:t xml:space="preserve"> </w:t>
      </w:r>
      <w:r>
        <w:t xml:space="preserve">La tabella seguente riporta i risultati del caso base.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1188"/>
        <w:gridCol w:w="1188"/>
        <w:gridCol w:w="270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Caso base,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Cura usuale</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sanitario (5 anni, scontato)</w:t>
            </w:r>
          </w:p>
        </w:tc>
        <w:tc>
          <w:tcPr/>
          <w:p>
            <w:pPr>
              <w:pStyle w:val="Compact"/>
              <w:spacing w:after="40" w:before="40"/>
              <w:jc w:val="left"/>
            </w:pPr>
            <w:r>
              <w:rPr>
                <w:rFonts w:ascii="Cambria" w:hAnsi="Cambria" w:cs="Cambria" w:eastAsia="Cambria"/>
                <w:color w:val="1A1A1A"/>
                <w:sz w:val="18"/>
              </w:rPr>
              <w:t xml:space="preserve">~ 2.495 €</w:t>
            </w:r>
          </w:p>
        </w:tc>
        <w:tc>
          <w:tcPr/>
          <w:p>
            <w:pPr>
              <w:pStyle w:val="Compact"/>
              <w:spacing w:after="40" w:before="40"/>
              <w:jc w:val="left"/>
            </w:pPr>
            <w:r>
              <w:rPr>
                <w:rFonts w:ascii="Cambria" w:hAnsi="Cambria" w:cs="Cambria" w:eastAsia="Cambria"/>
                <w:color w:val="1A1A1A"/>
                <w:sz w:val="18"/>
              </w:rPr>
              <w:t xml:space="preserve">~ 3.799 €</w:t>
            </w:r>
          </w:p>
        </w:tc>
        <w:tc>
          <w:tcPr/>
          <w:p>
            <w:pPr>
              <w:pStyle w:val="Compact"/>
              <w:spacing w:after="40" w:before="40"/>
              <w:jc w:val="left"/>
            </w:pPr>
            <w:r>
              <w:rPr>
                <w:rFonts w:ascii="Cambria" w:hAnsi="Cambria" w:cs="Cambria" w:eastAsia="Cambria"/>
                <w:color w:val="1A1A1A"/>
                <w:sz w:val="18"/>
              </w:rPr>
              <w:t xml:space="preserve">− 1.304 €</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(anni di vita ponderati)</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4389"/>
    <w:bookmarkStart w:id="1593" w:name="f.2-i-parametri-e-la-calibrazione-3"/>
    <w:p>
      <w:pPr>
        <w:pStyle w:val="Heading3"/>
      </w:pPr>
      <w:r>
        <w:t xml:space="preserve">F.2 I parametri e la calibrazione</w:t>
      </w:r>
    </w:p>
    <w:p>
      <w:pPr>
        <w:pStyle w:val="FirstParagraph"/>
      </w:pPr>
      <w:r>
        <w:t xml:space="preserve">I parametri di costo del modello, per ciclo, sono dell’ordine di 40 euro per lo stato di recupero, 700 euro per lo stato cronico e 300 euro per l’intervento psicologico una tantum; è questa struttura di costo a generare la dominanza, poiché lo stato cronico, che l’intervento riduce, è di gran lunga il più oneroso.</w:t>
      </w:r>
      <w:r>
        <w:rPr>
          <w:rStyle w:val="FootnoteReference"/>
        </w:rPr>
        <w:footnoteReference w:id="2269"/>
      </w:r>
      <w:r>
        <w:t xml:space="preserve"> </w:t>
      </w:r>
      <w:r>
        <w:t xml:space="preserve">Alle grandezze sono assegnate distribuzioni di probabilità per l’analisi probabilistica: Beta per le probabilità di transizione e per le utilità, vincolate tra zero e uno, e Gamma per i costi, vincolati ai valori positivi; i valori centrali sono tratti dall’evidenza internazionale e, per i parametri regionali, sono da calibrare sui valori emiliano-romagnoli certificati non appena disponibili.</w:t>
      </w:r>
      <w:r>
        <w:rPr>
          <w:rStyle w:val="FootnoteReference"/>
        </w:rPr>
        <w:footnoteReference w:id="2270"/>
      </w:r>
      <w:r>
        <w:t xml:space="preserve"> </w:t>
      </w:r>
      <w:r>
        <w:t xml:space="preserve">La tabella seguente riepiloga i principali parametri e le distribuzioni assegnate.</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075"/>
        <w:gridCol w:w="1845"/>
        <w:gridCol w:w="18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Costo per ciclo — stato di recupero</w:t>
            </w:r>
          </w:p>
        </w:tc>
        <w:tc>
          <w:tcPr/>
          <w:p>
            <w:pPr>
              <w:pStyle w:val="Compact"/>
              <w:spacing w:after="40" w:before="40"/>
              <w:jc w:val="left"/>
            </w:pPr>
            <w:r>
              <w:rPr>
                <w:rFonts w:ascii="Cambria" w:hAnsi="Cambria" w:cs="Cambria" w:eastAsia="Cambria"/>
                <w:color w:val="1A1A1A"/>
                <w:sz w:val="18"/>
              </w:rPr>
              <w:t xml:space="preserve">40 €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stato cronico</w:t>
            </w:r>
          </w:p>
        </w:tc>
        <w:tc>
          <w:tcPr>
            <w:shd w:val="clear" w:color="auto" w:fill="F4F1EC"/>
          </w:tcPr>
          <w:p>
            <w:pPr>
              <w:pStyle w:val="Compact"/>
              <w:spacing w:after="40" w:before="40"/>
              <w:jc w:val="left"/>
            </w:pPr>
            <w:r>
              <w:rPr>
                <w:rFonts w:ascii="Cambria" w:hAnsi="Cambria" w:cs="Cambria" w:eastAsia="Cambria"/>
                <w:color w:val="1A1A1A"/>
                <w:sz w:val="18"/>
              </w:rPr>
              <w:t xml:space="preserve">700 €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dell’intervento psicologico (una tantum)</w:t>
            </w:r>
          </w:p>
        </w:tc>
        <w:tc>
          <w:tcPr/>
          <w:p>
            <w:pPr>
              <w:pStyle w:val="Compact"/>
              <w:spacing w:after="40" w:before="40"/>
              <w:jc w:val="left"/>
            </w:pPr>
            <w:r>
              <w:rPr>
                <w:rFonts w:ascii="Cambria" w:hAnsi="Cambria" w:cs="Cambria" w:eastAsia="Cambria"/>
                <w:color w:val="1A1A1A"/>
                <w:sz w:val="18"/>
              </w:rPr>
              <w:t xml:space="preserve">300 €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transizione tra gli stati</w:t>
            </w:r>
          </w:p>
        </w:tc>
        <w:tc>
          <w:tcPr>
            <w:shd w:val="clear" w:color="auto" w:fill="F4F1EC"/>
          </w:tcPr>
          <w:p>
            <w:pPr>
              <w:pStyle w:val="Compact"/>
              <w:spacing w:after="40" w:before="40"/>
              <w:jc w:val="left"/>
            </w:pPr>
            <w:r>
              <w:rPr>
                <w:rFonts w:ascii="Cambria" w:hAnsi="Cambria" w:cs="Cambria" w:eastAsia="Cambria"/>
                <w:color w:val="1A1A1A"/>
                <w:sz w:val="18"/>
              </w:rPr>
              <w:t xml:space="preserve">da fonti, per braccio</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Utilità associate agli stati</w:t>
            </w:r>
          </w:p>
        </w:tc>
        <w:tc>
          <w:tcPr/>
          <w:p>
            <w:pPr>
              <w:pStyle w:val="Compact"/>
              <w:spacing w:after="40" w:before="40"/>
              <w:jc w:val="left"/>
            </w:pPr>
            <w:r>
              <w:rPr>
                <w:rFonts w:ascii="Cambria" w:hAnsi="Cambria" w:cs="Cambria" w:eastAsia="Cambria"/>
                <w:color w:val="1A1A1A"/>
                <w:sz w:val="18"/>
              </w:rPr>
              <w:t xml:space="preserve">da fonti</w:t>
            </w:r>
          </w:p>
        </w:tc>
        <w:tc>
          <w:tcPr/>
          <w:p>
            <w:pPr>
              <w:pStyle w:val="Compact"/>
              <w:spacing w:after="40" w:before="40"/>
              <w:jc w:val="left"/>
            </w:pPr>
            <w:r>
              <w:rPr>
                <w:rFonts w:ascii="Cambria" w:hAnsi="Cambria" w:cs="Cambria" w:eastAsia="Cambria"/>
                <w:color w:val="1A1A1A"/>
                <w:sz w:val="18"/>
              </w:rP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1593"/>
    <w:bookmarkStart w:id="1596" w:name="f.3-la-sensibilità-deterministica-3"/>
    <w:p>
      <w:pPr>
        <w:pStyle w:val="Heading3"/>
      </w:pPr>
      <w:r>
        <w:t xml:space="preserve">F.3 La sensibilità deterministica</w:t>
      </w:r>
    </w:p>
    <w:p>
      <w:pPr>
        <w:pStyle w:val="FirstParagraph"/>
      </w:pPr>
      <w:r>
        <w:t xml:space="preserve">La robustezza del risultato è saggiata, in prima istanza, con un’analisi di sensibilità a una via, nella quale ciascun parametro è fatto variare del 25% in più e in meno, misurandone l’effetto sul beneficio monetario netto; il diagramma a tornado ordina i parametri per influenza, individuando nell’efficacia clinica, nei tassi di ricaduta e di cronicizzazione e nel costo dello stato cronico i fattori più determinanti.</w:t>
      </w:r>
      <w:r>
        <w:rPr>
          <w:rStyle w:val="FootnoteReference"/>
        </w:rPr>
        <w:footnoteReference w:id="2271"/>
      </w:r>
      <w:r>
        <w:t xml:space="preserve"> </w:t>
      </w:r>
      <w:r>
        <w:t xml:space="preserve">Oltre all’incertezza dei parametri, l’incertezza sulla struttura e sulle assunzioni del modello è trattata mediante analisi di scenario, con validazione della coerenza interna ed esterna secondo lo standard di reporting adottato.</w:t>
      </w:r>
      <w:r>
        <w:rPr>
          <w:rStyle w:val="FootnoteReference"/>
        </w:rPr>
        <w:footnoteReference w:id="2272"/>
      </w:r>
    </w:p>
    <w:bookmarkEnd w:id="1596"/>
    <w:bookmarkStart w:id="1601" w:name="Xa4fb64350e8f3acb2914ebdede30ff685b0b101"/>
    <w:p>
      <w:pPr>
        <w:pStyle w:val="Heading3"/>
      </w:pPr>
      <w:r>
        <w:t xml:space="preserve">F.4 La sensibilità probabilistica e la curva di accettabilità</w:t>
      </w:r>
    </w:p>
    <w:p>
      <w:pPr>
        <w:pStyle w:val="FirstParagraph"/>
      </w:pPr>
      <w:r>
        <w:t xml:space="preserve">L’analisi di sensibilità probabilistica esegue il modello diecimila volte, estraendo a ogni iterazione i parametri dalle rispettive distribuzioni, così da propagare l’incertezza dei parametri sull’incertezza del risultato.</w:t>
      </w:r>
      <w:r>
        <w:rPr>
          <w:rStyle w:val="FootnoteReference"/>
        </w:rPr>
        <w:footnoteReference w:id="2273"/>
      </w:r>
      <w:r>
        <w:t xml:space="preserve"> </w:t>
      </w:r>
      <w:r>
        <w:t xml:space="preserve">Adottando la soglia di disponibilità a pagare di 30.000 euro per anno di vita ponderato per la qualità,</w:t>
      </w:r>
      <w:r>
        <w:rPr>
          <w:rStyle w:val="FootnoteReference"/>
        </w:rPr>
        <w:footnoteReference w:id="2274"/>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compreso fra circa −5.736 e circa +21.501 euro.</w:t>
      </w:r>
      <w:r>
        <w:rPr>
          <w:rStyle w:val="FootnoteReference"/>
        </w:rPr>
        <w:footnoteReference w:id="2275"/>
      </w:r>
      <w:r>
        <w:t xml:space="preserve"> </w:t>
      </w:r>
      <w:r>
        <w:t xml:space="preserve">È qui necessario chiarire la coerenza, solo apparentemente paradossale, tra questo risultato e il saldo diretto regionale: la probabilità di costo-efficacia è una misura di efficienza per paziente, che valorizza il guadagno di salute e l’intera traiettoria di costo, mentre il saldo diretto aggregato della Parte E, negativo per l’Emilia-Romagna, incorpora le correzioni per peso morto e per l’effettiva monetizzabilità nel bilancio dei costi evitati e sconta l’assenza del canale della mobilità. L’efficienza per paziente è robusta; la convenienza per il solo bilancio è negativa; il forte ritorno per la collettività proviene dalle ricadute sociali.</w:t>
      </w:r>
      <w:r>
        <w:rPr>
          <w:rStyle w:val="FootnoteReference"/>
        </w:rPr>
        <w:footnoteReference w:id="2276"/>
      </w:r>
      <w:r>
        <w:t xml:space="preserve"> </w:t>
      </w:r>
      <w:r>
        <w:t xml:space="preserve">La tabella seguente sintetizza i risultati.</w:t>
      </w:r>
    </w:p>
    <w:tbl>
      <w:tblPr>
        <w:tblStyle w:val="Table"/>
        <w:tblW w:type="pct" w:w="489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848"/>
        <w:gridCol w:w="290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Misura dell’analisi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Risultato</w:t>
            </w:r>
          </w:p>
        </w:tc>
      </w:tr>
      <w:tr>
        <w:tc>
          <w:tcPr/>
          <w:p>
            <w:pPr>
              <w:pStyle w:val="Compact"/>
              <w:spacing w:after="40" w:before="40"/>
              <w:jc w:val="left"/>
            </w:pPr>
            <w:r>
              <w:rPr>
                <w:rFonts w:ascii="Cambria" w:hAnsi="Cambria" w:cs="Cambria" w:eastAsia="Cambria"/>
                <w:b/>
                <w:bCs/>
                <w:color w:val="1A1A1A"/>
                <w:sz w:val="18"/>
              </w:rPr>
              <w:t xml:space="preserve">Iterazioni della simulazione Monte Carlo</w:t>
            </w:r>
          </w:p>
        </w:tc>
        <w:tc>
          <w:tcPr/>
          <w:p>
            <w:pPr>
              <w:pStyle w:val="Compact"/>
              <w:spacing w:after="40" w:before="40"/>
              <w:jc w:val="left"/>
            </w:pPr>
            <w:r>
              <w:rPr>
                <w:rFonts w:ascii="Cambria" w:hAnsi="Cambria" w:cs="Cambria" w:eastAsia="Cambria"/>
                <w:color w:val="1A1A1A"/>
                <w:sz w:val="18"/>
              </w:rPr>
              <w:t xml:space="preserve">10.000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costo-efficacia (soglia 30.000 €/QALY)</w:t>
            </w:r>
          </w:p>
        </w:tc>
        <w:tc>
          <w:tcPr>
            <w:shd w:val="clear" w:color="auto" w:fill="F4F1EC"/>
          </w:tcPr>
          <w:p>
            <w:pPr>
              <w:pStyle w:val="Compact"/>
              <w:spacing w:after="40" w:before="40"/>
              <w:jc w:val="left"/>
            </w:pPr>
            <w:r>
              <w:rPr>
                <w:rFonts w:ascii="Cambria" w:hAnsi="Cambria" w:cs="Cambria" w:eastAsia="Cambria"/>
                <w:color w:val="1A1A1A"/>
                <w:sz w:val="18"/>
              </w:rPr>
              <w:t xml:space="preserve">88,9%</w:t>
            </w:r>
          </w:p>
        </w:tc>
      </w:tr>
      <w:tr>
        <w:tc>
          <w:tcPr/>
          <w:p>
            <w:pPr>
              <w:pStyle w:val="Compact"/>
              <w:spacing w:after="40" w:before="40"/>
              <w:jc w:val="left"/>
            </w:pPr>
            <w:r>
              <w:rPr>
                <w:rFonts w:ascii="Cambria" w:hAnsi="Cambria" w:cs="Cambria" w:eastAsia="Cambria"/>
                <w:b/>
                <w:bCs/>
                <w:color w:val="1A1A1A"/>
                <w:sz w:val="18"/>
              </w:rPr>
              <w:t xml:space="preserve">Probabilità di dominanza</w:t>
            </w:r>
          </w:p>
        </w:tc>
        <w:tc>
          <w:tcPr/>
          <w:p>
            <w:pPr>
              <w:pStyle w:val="Compact"/>
              <w:spacing w:after="40" w:before="40"/>
              <w:jc w:val="left"/>
            </w:pPr>
            <w:r>
              <w:rPr>
                <w:rFonts w:ascii="Cambria" w:hAnsi="Cambria" w:cs="Cambria" w:eastAsia="Cambria"/>
                <w:color w:val="1A1A1A"/>
                <w:sz w:val="18"/>
              </w:rPr>
              <w:t xml:space="preserve">84,6%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Beneficio monetario netto medio</w:t>
            </w:r>
          </w:p>
        </w:tc>
        <w:tc>
          <w:tcPr>
            <w:shd w:val="clear" w:color="auto" w:fill="F4F1EC"/>
          </w:tcPr>
          <w:p>
            <w:pPr>
              <w:pStyle w:val="Compact"/>
              <w:spacing w:after="40" w:before="40"/>
              <w:jc w:val="left"/>
            </w:pPr>
            <w:r>
              <w:rPr>
                <w:rFonts w:ascii="Cambria" w:hAnsi="Cambria" w:cs="Cambria" w:eastAsia="Cambria"/>
                <w:color w:val="1A1A1A"/>
                <w:sz w:val="18"/>
              </w:rPr>
              <w:t xml:space="preserve">~ 7.815 € per paziente</w:t>
            </w:r>
          </w:p>
        </w:tc>
      </w:tr>
      <w:tr>
        <w:tc>
          <w:tcPr/>
          <w:p>
            <w:pPr>
              <w:pStyle w:val="Compact"/>
              <w:spacing w:after="40" w:before="40"/>
              <w:jc w:val="left"/>
            </w:pPr>
            <w:r>
              <w:rPr>
                <w:rFonts w:ascii="Cambria" w:hAnsi="Cambria" w:cs="Cambria" w:eastAsia="Cambria"/>
                <w:b/>
                <w:bCs/>
                <w:color w:val="1A1A1A"/>
                <w:sz w:val="18"/>
              </w:rPr>
              <w:t xml:space="preserve">Intervallo di credibilità al 95%</w:t>
            </w:r>
          </w:p>
        </w:tc>
        <w:tc>
          <w:tcPr/>
          <w:p>
            <w:pPr>
              <w:pStyle w:val="Compact"/>
              <w:spacing w:after="40" w:before="40"/>
              <w:jc w:val="left"/>
            </w:pPr>
            <w:r>
              <w:rPr>
                <w:rFonts w:ascii="Cambria" w:hAnsi="Cambria" w:cs="Cambria" w:eastAsia="Cambria"/>
                <w:color w:val="1A1A1A"/>
                <w:sz w:val="18"/>
              </w:rPr>
              <w:t xml:space="preserve">da ~ −5.736 a ~ +21.501 €</w:t>
            </w:r>
          </w:p>
        </w:tc>
      </w:tr>
    </w:tbl>
    <w:p>
      <w:pPr>
        <w:pStyle w:val="BodyText"/>
      </w:pPr>
      <w:r>
        <w:rPr>
          <w:i/>
          <w:iCs/>
        </w:rPr>
        <w:t xml:space="preserve">Tabella F.3. Risultati dell</w:t>
      </w:r>
      <w:r>
        <w:rPr>
          <w:b/>
          <w:bCs/>
          <w:i/>
          <w:iCs/>
        </w:rPr>
        <w:t xml:space="preserve">’</w:t>
      </w:r>
      <w:r>
        <w:rPr>
          <w:i/>
          <w:iCs/>
        </w:rPr>
        <w:t xml:space="preserve">analisi di sensibilità probabilistica (per paziente, soglia 30.000 €/QALY).</w:t>
      </w:r>
    </w:p>
    <w:bookmarkEnd w:id="1601"/>
    <w:bookmarkStart w:id="1605" w:name="f.5-il-valore-dellinformazione-3"/>
    <w:p>
      <w:pPr>
        <w:pStyle w:val="Heading3"/>
      </w:pPr>
      <w:r>
        <w:t xml:space="preserve">F.5 Il valore dell’informazione</w:t>
      </w:r>
    </w:p>
    <w:p>
      <w:pPr>
        <w:pStyle w:val="FirstParagraph"/>
      </w:pPr>
      <w:r>
        <w:t xml:space="preserve">L’analisi del valore dell’informazione chiude il dominio traducendo l’incertezza residua in priorità di ricerca: il valore atteso dell’informazione perfetta quantifica il beneficio massimo conseguibile eliminando del tutto l’incertezza, e il valore atteso dell’informazione perfetta sui parametri indica quali grandezze sia prioritario misurare con precisione.</w:t>
      </w:r>
      <w:r>
        <w:rPr>
          <w:rStyle w:val="FootnoteReference"/>
        </w:rPr>
        <w:footnoteReference w:id="2277"/>
      </w:r>
      <w:r>
        <w:t xml:space="preserve"> </w:t>
      </w:r>
      <w:r>
        <w:t xml:space="preserve">Per l’Emilia-Romagna, i parametri ancora ricostruiti per quota di popolazione — segnatamente quelli dei canali dei ricoveri, della specialistica e del pronto soccorso, essendo il canale della mobilità non applicabile — sono quelli su cui il valore dell’informazione è più elevato, e verso i quali si indirizza prioritariamente la richiesta di dati certificati alle aziende.</w:t>
      </w:r>
      <w:r>
        <w:rPr>
          <w:rStyle w:val="FootnoteReference"/>
        </w:rPr>
        <w:footnoteReference w:id="2278"/>
      </w:r>
      <w:r>
        <w:t xml:space="preserve"> </w:t>
      </w:r>
      <w:r>
        <w:t xml:space="preserve">La via maestra per ridurre l’incertezza, infine, non è soltanto analitica ma empirica: il dispiegamento scaglionato del servizio tra le otto Aziende USL, oggetto della Parte L, consente di sostituire progressivamente le stime con misure osservate sui dati regionali.</w:t>
      </w:r>
      <w:r>
        <w:rPr>
          <w:rStyle w:val="FootnoteReference"/>
        </w:rPr>
        <w:footnoteReference w:id="2279"/>
      </w:r>
      <w:r>
        <w:t xml:space="preserve"> </w:t>
      </w:r>
      <w:r>
        <w:t xml:space="preserve">Completato così il nucleo della valutazione — efficacia, economia, modellazione — le parti successive ne affrontano le dimensioni distributive, etiche, organizzative e valutative, a partire dall’equità.</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costo-efficacia distributiva, divari territoriali e impoverimento</w:t>
      </w:r>
    </w:p>
    <w:p>
      <w:pPr>
        <w:pStyle w:val="BodyText"/>
      </w:pPr>
      <w:r>
        <w:t xml:space="preserve">Ottavo dominio dell’HTA · il profilo del paziente e sociale</w:t>
      </w:r>
    </w:p>
    <w:bookmarkEnd w:id="1605"/>
    <w:bookmarkEnd w:id="1606"/>
    <w:bookmarkStart w:id="1637" w:name="parte-g-equità-e-impatto-distributivo-5"/>
    <w:p>
      <w:pPr>
        <w:pStyle w:val="Heading2"/>
      </w:pPr>
      <w:r>
        <w:t xml:space="preserve">Parte G — Equità e impatto distributivo</w:t>
      </w:r>
    </w:p>
    <w:p>
      <w:pPr>
        <w:pStyle w:val="FirstParagraph"/>
      </w:pPr>
      <w:r>
        <w:t xml:space="preserve">Misurato il valore economico nelle Parti E ed F, questa settima parte ne esamina la distribuzione, secondo l’ottavo dominio della valutazione. La domanda non è soltanto se l’intervento generi valore, ma a chi quel valore arrivi: un intervento può essere efficiente e tuttavia accrescere le disuguaglianze, oppure, come in questo caso, migliorare l’esito medio e ridurle insieme. La parte definisce le dimensioni dell’equità e le variabili seguite (capitolo G.1); applica gli strumenti della costo-efficacia distributiva (G.2); e analizza i divari territoriali e l’impoverimento (G.3). Per l’Emilia-Romagna, l’equità si gioca su due assi peculiari — la dualità fra pianura e Appennino e la dimensione multiculturale — piuttosto che sul gradiente di deprivazione.</w:t>
      </w:r>
    </w:p>
    <w:bookmarkStart w:id="1624" w:name="g.1-lanalisi-di-equità-3"/>
    <w:p>
      <w:pPr>
        <w:pStyle w:val="Heading3"/>
      </w:pPr>
      <w:r>
        <w:t xml:space="preserve">G.1 L’analisi di equità</w:t>
      </w:r>
    </w:p>
    <w:p>
      <w:pPr>
        <w:pStyle w:val="FirstParagraph"/>
      </w:pPr>
      <w:r>
        <w:t xml:space="preserve">L’equità è trattata come dimensione costitutiva della valutazione, e non come considerazione accessoria.</w:t>
      </w:r>
      <w:r>
        <w:rPr>
          <w:rStyle w:val="FootnoteReference"/>
        </w:rPr>
        <w:footnoteReference w:id="2280"/>
      </w:r>
      <w:r>
        <w:rPr>
          <w:rStyle w:val="FootnoteReference"/>
        </w:rPr>
        <w:footnoteReference w:id="2281"/>
      </w:r>
      <w:r>
        <w:rPr>
          <w:rStyle w:val="FootnoteReference"/>
        </w:rPr>
        <w:footnoteReference w:id="2282"/>
      </w:r>
      <w:r>
        <w:rPr>
          <w:rStyle w:val="FootnoteReference"/>
        </w:rPr>
        <w:footnoteReference w:id="2283"/>
      </w:r>
      <w:r>
        <w:rPr>
          <w:rStyle w:val="FootnoteReference"/>
        </w:rPr>
        <w:footnoteReference w:id="2284"/>
      </w:r>
      <w:r>
        <w:rPr>
          <w:rStyle w:val="FootnoteReference"/>
        </w:rPr>
        <w:footnoteReference w:id="2285"/>
      </w:r>
      <w:r>
        <w:rPr>
          <w:rStyle w:val="FootnoteReference"/>
        </w:rPr>
        <w:footnoteReference w:id="2286"/>
      </w:r>
      <w:r>
        <w:rPr>
          <w:rStyle w:val="FootnoteReference"/>
        </w:rPr>
        <w:footnoteReference w:id="2287"/>
      </w:r>
      <w:r>
        <w:rPr>
          <w:rStyle w:val="FootnoteReference"/>
        </w:rPr>
        <w:footnoteReference w:id="2288"/>
      </w:r>
      <w:r>
        <w:rPr>
          <w:rStyle w:val="FootnoteReference"/>
        </w:rPr>
        <w:footnoteReference w:id="2289"/>
      </w:r>
      <w:r>
        <w:rPr>
          <w:rStyle w:val="FootnoteReference"/>
        </w:rPr>
        <w:footnoteReference w:id="2290"/>
      </w:r>
      <w:r>
        <w:rPr>
          <w:rStyle w:val="FootnoteReference"/>
        </w:rPr>
        <w:footnoteReference w:id="2291"/>
      </w:r>
      <w:r>
        <w:rPr>
          <w:rStyle w:val="FootnoteReference"/>
        </w:rPr>
        <w:footnoteReference w:id="2292"/>
      </w:r>
      <w:r>
        <w:rPr>
          <w:rStyle w:val="FootnoteReference"/>
        </w:rPr>
        <w:footnoteReference w:id="2293"/>
      </w:r>
      <w:r>
        <w:t xml:space="preserve"> </w:t>
      </w:r>
      <w:r>
        <w:t xml:space="preserve">La salute mentale presenta ovunque un gradiente sociale, ma in Emilia-Romagna, dove il rischio di povertà o esclusione è contenuto in aggregato, il gradiente socio-economico non è il tratto distintivo: prevalgono due dimensioni diverse, la dualità fra la pianura produttiva e le aree appenniniche e la dimensione multiculturale, propria di una regione con una quota di residenti stranieri del 12,6%.</w:t>
      </w:r>
      <w:r>
        <w:rPr>
          <w:rStyle w:val="FootnoteReference"/>
        </w:rPr>
        <w:footnoteReference w:id="2294"/>
      </w:r>
      <w:r>
        <w:t xml:space="preserve"> </w:t>
      </w:r>
      <w:r>
        <w:t xml:space="preserve">La gratuità, la prossimità e l’assenza di stigma del servizio di primo livello abbattono le barriere che gravano sulle popolazioni svantaggiate, e in Emilia-Romagna rilevano in particolare l’abbattimento della barriera geografica nell’Appennino e di quella linguistico-culturale per la popolazione straniera.</w:t>
      </w:r>
      <w:r>
        <w:rPr>
          <w:rStyle w:val="FootnoteReference"/>
        </w:rPr>
        <w:footnoteReference w:id="2295"/>
      </w:r>
      <w:r>
        <w:t xml:space="preserve"> </w:t>
      </w:r>
      <w:r>
        <w:t xml:space="preserve">La tabella seguente espone le dimensioni dell’equità e le variabili che lo studio segue.</w:t>
      </w:r>
      <w:r>
        <w:rPr>
          <w:rStyle w:val="FootnoteReference"/>
        </w:rPr>
        <w:footnoteReference w:id="2296"/>
      </w:r>
    </w:p>
    <w:tbl>
      <w:tblPr>
        <w:tblStyle w:val="Table"/>
        <w:tblW w:type="pct" w:w="494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38"/>
        <w:gridCol w:w="619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 equità</w:t>
            </w:r>
          </w:p>
        </w:tc>
        <w:tc>
          <w:tcPr>
            <w:shd w:val="clear" w:color="auto" w:fill="16264B"/>
          </w:tcPr>
          <w:p>
            <w:pPr>
              <w:pStyle w:val="Compact"/>
              <w:spacing w:after="40" w:before="40"/>
              <w:jc w:val="left"/>
            </w:pPr>
            <w:r>
              <w:rPr>
                <w:rFonts w:ascii="Cambria" w:hAnsi="Cambria" w:cs="Cambria" w:eastAsia="Cambria"/>
                <w:b/>
                <w:bCs/>
                <w:color w:val="FFFFFF"/>
                <w:sz w:val="18"/>
              </w:rPr>
              <w:t xml:space="preserve">Variabili seguite dallo studio</w:t>
            </w:r>
          </w:p>
        </w:tc>
      </w:tr>
      <w:tr>
        <w:tc>
          <w:tcPr/>
          <w:p>
            <w:pPr>
              <w:pStyle w:val="Compact"/>
              <w:spacing w:after="40" w:before="40"/>
              <w:jc w:val="left"/>
            </w:pPr>
            <w:r>
              <w:rPr>
                <w:rFonts w:ascii="Cambria" w:hAnsi="Cambria" w:cs="Cambria" w:eastAsia="Cambria"/>
                <w:b/>
                <w:bCs/>
                <w:color w:val="1A1A1A"/>
                <w:sz w:val="18"/>
              </w:rPr>
              <w:t xml:space="preserve">Accesso</w:t>
            </w:r>
          </w:p>
        </w:tc>
        <w:tc>
          <w:tcPr/>
          <w:p>
            <w:pPr>
              <w:pStyle w:val="Compact"/>
              <w:spacing w:after="40" w:before="40"/>
              <w:jc w:val="left"/>
            </w:pPr>
            <w:r>
              <w:rPr>
                <w:rFonts w:ascii="Cambria" w:hAnsi="Cambria" w:cs="Cambria" w:eastAsia="Cambria"/>
                <w:color w:val="1A1A1A"/>
                <w:sz w:val="18"/>
              </w:rPr>
              <w:t xml:space="preserve">Tempi di attesa; accessibilità geografica nelle aree appenniniche; contrasto alle liste di attesa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Protezione finanziaria</w:t>
            </w:r>
          </w:p>
        </w:tc>
        <w:tc>
          <w:tcPr>
            <w:shd w:val="clear" w:color="auto" w:fill="F4F1EC"/>
          </w:tcPr>
          <w:p>
            <w:pPr>
              <w:pStyle w:val="Compact"/>
              <w:spacing w:after="40" w:before="40"/>
              <w:jc w:val="left"/>
            </w:pPr>
            <w:r>
              <w:rPr>
                <w:rFonts w:ascii="Cambria" w:hAnsi="Cambria" w:cs="Cambria" w:eastAsia="Cambria"/>
                <w:color w:val="1A1A1A"/>
                <w:sz w:val="18"/>
              </w:rPr>
              <w:t xml:space="preserve">Riduzione della spesa privata diretta; dell’impoverimento connesso alle cure; delle spese catastrofiche</w:t>
            </w:r>
          </w:p>
        </w:tc>
      </w:tr>
      <w:tr>
        <w:tc>
          <w:tcPr/>
          <w:p>
            <w:pPr>
              <w:pStyle w:val="Compact"/>
              <w:spacing w:after="40" w:before="40"/>
              <w:jc w:val="left"/>
            </w:pPr>
            <w:r>
              <w:rPr>
                <w:rFonts w:ascii="Cambria" w:hAnsi="Cambria" w:cs="Cambria" w:eastAsia="Cambria"/>
                <w:b/>
                <w:bCs/>
                <w:color w:val="1A1A1A"/>
                <w:sz w:val="18"/>
              </w:rPr>
              <w:t xml:space="preserve">Gruppi vulnerabili</w:t>
            </w:r>
          </w:p>
        </w:tc>
        <w:tc>
          <w:tcPr/>
          <w:p>
            <w:pPr>
              <w:pStyle w:val="Compact"/>
              <w:spacing w:after="40" w:before="40"/>
              <w:jc w:val="left"/>
            </w:pPr>
            <w:r>
              <w:rPr>
                <w:rFonts w:ascii="Cambria" w:hAnsi="Cambria" w:cs="Cambria" w:eastAsia="Cambria"/>
                <w:color w:val="1A1A1A"/>
                <w:sz w:val="18"/>
              </w:rPr>
              <w:t xml:space="preserve">Equità di genere; popolazione straniera (12,6%) e gruppi fragili; persone con disabilità; barriere culturali e linguistiche; gratuità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Territorio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divario pianura-Appennino;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1624"/>
    <w:bookmarkStart w:id="4390" w:name="g.2-la-costo-efficacia-distributiva-3"/>
    <w:p>
      <w:pPr>
        <w:pStyle w:val="Heading3"/>
      </w:pPr>
      <w:r>
        <w:t xml:space="preserve">G.2 La costo-efficacia distributiva</w:t>
      </w:r>
    </w:p>
    <w:p>
      <w:pPr>
        <w:pStyle w:val="FirstParagraph"/>
      </w:pPr>
      <w:r>
        <w:t xml:space="preserve">La dimensione distributiva è misurata con gli strumenti della costo-efficacia distributiva, che estendono la valutazione economica all’equità stimando come costi ed esiti si distribuiscano tra i sottogruppi e quale ne sia l’effetto sulle disuguaglianze.</w:t>
      </w:r>
      <w:r>
        <w:rPr>
          <w:rStyle w:val="FootnoteReference"/>
        </w:rPr>
        <w:footnoteReference w:id="2297"/>
      </w:r>
      <w:r>
        <w:t xml:space="preserve"> </w:t>
      </w:r>
      <w:r>
        <w:t xml:space="preserve">La direzione del risultato è favorevole: poiché il guadagno di accesso è più ampio dove l’accesso è oggi più difficile — le aree appenniniche, la popolazione straniera e i gruppi gravati dalle liste di attesa — i benefici si concentrano sui più svantaggiati, riducendo il gradiente territoriale e migliorando al tempo stesso l’esito medio.</w:t>
      </w:r>
      <w:r>
        <w:rPr>
          <w:rStyle w:val="FootnoteReference"/>
        </w:rPr>
        <w:footnoteReference w:id="2298"/>
      </w:r>
      <w:r>
        <w:t xml:space="preserve"> </w:t>
      </w:r>
      <w:r>
        <w:t xml:space="preserve">L’attribuzione di pesi maggiori ai benefici dei più svantaggiati accrescerebbe il valore sociale stimato; lo studio adotta tuttavia, in via conservativa, il rapporto non ponderato già esposto, tanto più prudente in una regione non prevalentemente deprivata.</w:t>
      </w:r>
      <w:r>
        <w:rPr>
          <w:rStyle w:val="FootnoteReference"/>
        </w:rPr>
        <w:footnoteReference w:id="2299"/>
      </w:r>
      <w:r>
        <w:t xml:space="preserve"> </w:t>
      </w:r>
      <w:r>
        <w:t xml:space="preserve">Il meccanismo operativo dell’equità è un algoritmo allocativo che distribuisce gli incarichi non secondo la sola popolazione, ma ponderando ciascun distretto per l’invecchiamento, la deprivazione, la cronicità e la presenza straniera.</w:t>
      </w:r>
      <w:r>
        <w:rPr>
          <w:rStyle w:val="FootnoteReference"/>
        </w:rPr>
        <w:footnoteReference w:id="2300"/>
      </w:r>
      <w:r>
        <w:t xml:space="preserve"> </w:t>
      </w:r>
      <w:r>
        <w:t xml:space="preserve">A tal fine si impiega un indice di deprivazione multipla che sintetizza reddito, occupazione, istruzione, salute, condizione abitativa e ambiente.</w:t>
      </w:r>
      <w:r>
        <w:rPr>
          <w:rStyle w:val="FootnoteReference"/>
        </w:rPr>
        <w:footnoteReference w:id="2301"/>
      </w:r>
      <w:r>
        <w:t xml:space="preserve"> </w:t>
      </w:r>
      <w:r>
        <w:t xml:space="preserve">La tabella seguente riepiloga gli strumenti.</w:t>
      </w:r>
    </w:p>
    <w:tbl>
      <w:tblPr>
        <w:tblStyle w:val="Table"/>
        <w:tblW w:type="pct" w:w="492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132"/>
        <w:gridCol w:w="36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della costo-efficacia distributiva</w:t>
            </w:r>
          </w:p>
        </w:tc>
        <w:tc>
          <w:tcPr>
            <w:shd w:val="clear" w:color="auto" w:fill="16264B"/>
          </w:tcPr>
          <w:p>
            <w:pPr>
              <w:pStyle w:val="Compact"/>
              <w:spacing w:after="40" w:before="40"/>
              <w:jc w:val="left"/>
            </w:pPr>
            <w:r>
              <w:rPr>
                <w:rFonts w:ascii="Cambria" w:hAnsi="Cambria" w:cs="Cambria" w:eastAsia="Cambria"/>
                <w:b/>
                <w:bCs/>
                <w:color w:val="FFFFFF"/>
                <w:sz w:val="18"/>
              </w:rPr>
              <w:t xml:space="preserve">Che cosa misura</w:t>
            </w:r>
          </w:p>
        </w:tc>
      </w:tr>
      <w:tr>
        <w:tc>
          <w:tcPr/>
          <w:p>
            <w:pPr>
              <w:pStyle w:val="Compact"/>
              <w:spacing w:after="40" w:before="40"/>
              <w:jc w:val="left"/>
            </w:pPr>
            <w:r>
              <w:rPr>
                <w:rFonts w:ascii="Cambria" w:hAnsi="Cambria" w:cs="Cambria" w:eastAsia="Cambria"/>
                <w:b/>
                <w:bCs/>
                <w:color w:val="1A1A1A"/>
                <w:sz w:val="18"/>
              </w:rPr>
              <w:t xml:space="preserve">Anni di vita ponderati per l’equità</w:t>
            </w:r>
          </w:p>
        </w:tc>
        <w:tc>
          <w:tcPr/>
          <w:p>
            <w:pPr>
              <w:pStyle w:val="Compact"/>
              <w:spacing w:after="40" w:before="40"/>
              <w:jc w:val="left"/>
            </w:pPr>
            <w:r>
              <w:rPr>
                <w:rFonts w:ascii="Cambria" w:hAnsi="Cambria" w:cs="Cambria" w:eastAsia="Cambria"/>
                <w:color w:val="1A1A1A"/>
                <w:sz w:val="18"/>
              </w:rPr>
              <w:t xml:space="preserve">Guadagni di salute con pesi per lo svantaggio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concentrazione</w:t>
            </w:r>
          </w:p>
        </w:tc>
        <w:tc>
          <w:tcPr>
            <w:shd w:val="clear" w:color="auto" w:fill="F4F1EC"/>
          </w:tcPr>
          <w:p>
            <w:pPr>
              <w:pStyle w:val="Compact"/>
              <w:spacing w:after="40" w:before="40"/>
              <w:jc w:val="left"/>
            </w:pPr>
            <w:r>
              <w:rPr>
                <w:rFonts w:ascii="Cambria" w:hAnsi="Cambria" w:cs="Cambria" w:eastAsia="Cambria"/>
                <w:color w:val="1A1A1A"/>
                <w:sz w:val="18"/>
              </w:rPr>
              <w:t xml:space="preserve">Relazione tra esito di salute e posizione socio-economica</w:t>
            </w:r>
          </w:p>
        </w:tc>
      </w:tr>
      <w:tr>
        <w:tc>
          <w:tcPr/>
          <w:p>
            <w:pPr>
              <w:pStyle w:val="Compact"/>
              <w:spacing w:after="40" w:before="40"/>
              <w:jc w:val="left"/>
            </w:pPr>
            <w:r>
              <w:rPr>
                <w:rFonts w:ascii="Cambria" w:hAnsi="Cambria" w:cs="Cambria" w:eastAsia="Cambria"/>
                <w:b/>
                <w:bCs/>
                <w:color w:val="1A1A1A"/>
                <w:sz w:val="18"/>
              </w:rPr>
              <w:t xml:space="preserve">Indici di disuguaglianza (assoluta e relativa)</w:t>
            </w:r>
          </w:p>
        </w:tc>
        <w:tc>
          <w:tcPr/>
          <w:p>
            <w:pPr>
              <w:pStyle w:val="Compact"/>
              <w:spacing w:after="40" w:before="40"/>
              <w:jc w:val="left"/>
            </w:pPr>
            <w:r>
              <w:rPr>
                <w:rFonts w:ascii="Cambria" w:hAnsi="Cambria" w:cs="Cambria" w:eastAsia="Cambria"/>
                <w:color w:val="1A1A1A"/>
                <w:sz w:val="18"/>
              </w:rPr>
              <w:t xml:space="preserve">Gradiente dell’esito lungo lo stato socio-economico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d’********impatto sull********’equità</w:t>
            </w:r>
          </w:p>
        </w:tc>
        <w:tc>
          <w:tcPr>
            <w:shd w:val="clear" w:color="auto" w:fill="F4F1EC"/>
          </w:tcPr>
          <w:p>
            <w:pPr>
              <w:pStyle w:val="Compact"/>
              <w:spacing w:after="40" w:before="40"/>
              <w:jc w:val="left"/>
            </w:pPr>
            <w:r>
              <w:rPr>
                <w:rFonts w:ascii="Cambria" w:hAnsi="Cambria" w:cs="Cambria" w:eastAsia="Cambria"/>
                <w:color w:val="1A1A1A"/>
                <w:sz w:val="18"/>
              </w:rPr>
              <w:t xml:space="preserve">Distribuzione degli effetti per gruppi vulnerabili e per area</w:t>
            </w:r>
          </w:p>
        </w:tc>
      </w:tr>
      <w:tr>
        <w:tc>
          <w:tcPr/>
          <w:p>
            <w:pPr>
              <w:pStyle w:val="Compact"/>
              <w:spacing w:after="40" w:before="40"/>
              <w:jc w:val="left"/>
            </w:pPr>
            <w:r>
              <w:rPr>
                <w:rFonts w:ascii="Cambria" w:hAnsi="Cambria" w:cs="Cambria" w:eastAsia="Cambria"/>
                <w:b/>
                <w:bCs/>
                <w:color w:val="1A1A1A"/>
                <w:sz w:val="18"/>
              </w:rPr>
              <w:t xml:space="preserve">Indice di deprivazione multipla</w:t>
            </w:r>
          </w:p>
        </w:tc>
        <w:tc>
          <w:tcPr/>
          <w:p>
            <w:pPr>
              <w:pStyle w:val="Compact"/>
              <w:spacing w:after="40" w:before="40"/>
              <w:jc w:val="left"/>
            </w:pPr>
            <w:r>
              <w:rPr>
                <w:rFonts w:ascii="Cambria" w:hAnsi="Cambria" w:cs="Cambria" w:eastAsia="Cambria"/>
                <w:color w:val="1A1A1A"/>
                <w:sz w:val="18"/>
              </w:rP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4390"/>
    <w:bookmarkStart w:id="1636" w:name="Xed75593797162e0895c6d375ddfdd45d079d32a"/>
    <w:p>
      <w:pPr>
        <w:pStyle w:val="Heading3"/>
      </w:pPr>
      <w:r>
        <w:t xml:space="preserve">G.3 I divari territoriali e l’impoverimento</w:t>
      </w:r>
    </w:p>
    <w:p>
      <w:pPr>
        <w:pStyle w:val="FirstParagraph"/>
      </w:pPr>
      <w:r>
        <w:t xml:space="preserve">Il divario territoriale rilevante, in Emilia-Romagna, non è quello Nord-Sud, ma quello interno tra la pianura densa e produttiva, ben servita, e le aree appenniniche, a popolazione anziana e dispersa e soggette a spopolamento, dove la sola presenza fisica di un primo livello accessibile costituisce già un atto di riequilibrio, integrato dalla telepsicologia.</w:t>
      </w:r>
      <w:r>
        <w:rPr>
          <w:rStyle w:val="FootnoteReference"/>
        </w:rPr>
        <w:footnoteReference w:id="2302"/>
      </w:r>
      <w:r>
        <w:t xml:space="preserve"> </w:t>
      </w:r>
      <w:r>
        <w:t xml:space="preserve">Essendo la regione creditrice nella mobilità, il canale del suo recupero non si applica, sicché le principali leve distributive diventano la riduzione delle liste di attesa, che oggi penalizzano chi non può ricorrere al privato, il completamento uniforme della funzione fra le otto Aziende USL e la cura culturalmente competente per la popolazione straniera.</w:t>
      </w:r>
      <w:r>
        <w:rPr>
          <w:rStyle w:val="FootnoteReference"/>
        </w:rPr>
        <w:footnoteReference w:id="2303"/>
      </w:r>
      <w:r>
        <w:t xml:space="preserve"> </w:t>
      </w:r>
      <w:r>
        <w:t xml:space="preserve">A queste si aggiunge la protezione finanziaria: il servizio pubblico e gratuito riduce la spesa privata per la psicoterapia e l’impoverimento connesso alle cure, con beneficio maggiore per i redditi bassi.</w:t>
      </w:r>
      <w:r>
        <w:rPr>
          <w:rStyle w:val="FootnoteReference"/>
        </w:rPr>
        <w:footnoteReference w:id="2304"/>
      </w:r>
      <w:r>
        <w:t xml:space="preserve"> </w:t>
      </w:r>
      <w:r>
        <w:t xml:space="preserve">La forma più elementare di equità, infine, è la copertura del bisogno non soddisfatto, dell’ordine di 890.000 persone in larga parte non intercettate, ossia il raggiungere proprio coloro che meno accederebbero spontaneamente ai servizi.</w:t>
      </w:r>
      <w:r>
        <w:rPr>
          <w:rStyle w:val="FootnoteReference"/>
        </w:rPr>
        <w:footnoteReference w:id="2305"/>
      </w:r>
      <w:r>
        <w:t xml:space="preserve"> </w:t>
      </w:r>
      <w:r>
        <w:t xml:space="preserve">Tutti questi profili sono tradotti in indicatori e affidati al sistema di monitoraggio della Parte L, che ne accerta nel tempo il conseguimento.</w:t>
      </w:r>
      <w:r>
        <w:rPr>
          <w:rStyle w:val="FootnoteReference"/>
        </w:rPr>
        <w:footnoteReference w:id="2306"/>
      </w:r>
      <w:r>
        <w:t xml:space="preserve"> </w:t>
      </w:r>
      <w:r>
        <w:t xml:space="preserve">Definita la dimensione distributiva, la parte che segue affronta i profili etico, giuridico e organizzativo.</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etico, profili giuridici e costituzionali, profilo organizzativo e conformità</w:t>
      </w:r>
    </w:p>
    <w:p>
      <w:pPr>
        <w:pStyle w:val="BodyText"/>
      </w:pPr>
      <w:r>
        <w:t xml:space="preserve">Domini sei, sette e nove dell’HTA · etica, organizzazione e diritto</w:t>
      </w:r>
    </w:p>
    <w:bookmarkEnd w:id="1636"/>
    <w:bookmarkEnd w:id="1637"/>
    <w:bookmarkStart w:id="1672" w:name="X7e1b6e5d54350b67f0e1d195130864ffdb5aedc"/>
    <w:p>
      <w:pPr>
        <w:pStyle w:val="Heading2"/>
      </w:pPr>
      <w:r>
        <w:t xml:space="preserve">Parte H — Profili etico, giuridico e organizzativo</w:t>
      </w:r>
    </w:p>
    <w:p>
      <w:pPr>
        <w:pStyle w:val="FirstParagraph"/>
      </w:pPr>
      <w:r>
        <w:t xml:space="preserve">Questa parte completa la valutazione affrontando i tre domini che restano oltre quelli già trattati: il profilo etico, il profilo giuridico e costituzionale e il profilo organizzativo e di conformità. Sono i piani che ne saggiano la legittimità e l’ammissibilità — non basta che un intervento sia efficace ed efficiente, occorre che sia eticamente fondato, giuridicamente legittimo e organizzativamente conforme. La parte esamina il profilo etico (capitolo H.1); i profili giuridici e costituzionali, con specifico riguardo alla competenza regionale (H.2); e il profilo organizzativo e la conformità, segnatamente degli strumenti di intelligenza artificiale (H.3). Per l’Emilia-Romagna, il punto giuridico saliente è che la decisione opera entro la competenza organizzativa regionale, su una funzione già diffusa per via amministrativa.</w:t>
      </w:r>
    </w:p>
    <w:bookmarkStart w:id="1658" w:name="h.1-il-profilo-etico-4"/>
    <w:p>
      <w:pPr>
        <w:pStyle w:val="Heading3"/>
      </w:pPr>
      <w:r>
        <w:t xml:space="preserve">H.1 Il profilo etico</w:t>
      </w:r>
    </w:p>
    <w:p>
      <w:pPr>
        <w:pStyle w:val="FirstParagraph"/>
      </w:pPr>
      <w:r>
        <w:t xml:space="preserve">Il profilo etico dell’intervento è solido.</w:t>
      </w:r>
      <w:r>
        <w:rPr>
          <w:rStyle w:val="FootnoteReference"/>
        </w:rPr>
        <w:footnoteReference w:id="2307"/>
      </w:r>
      <w:r>
        <w:rPr>
          <w:rStyle w:val="FootnoteReference"/>
        </w:rPr>
        <w:footnoteReference w:id="2308"/>
      </w:r>
      <w:r>
        <w:rPr>
          <w:rStyle w:val="FootnoteReference"/>
        </w:rPr>
        <w:footnoteReference w:id="2309"/>
      </w:r>
      <w:r>
        <w:rPr>
          <w:rStyle w:val="FootnoteReference"/>
        </w:rPr>
        <w:footnoteReference w:id="2310"/>
      </w:r>
      <w:r>
        <w:rPr>
          <w:rStyle w:val="FootnoteReference"/>
        </w:rPr>
        <w:footnoteReference w:id="2311"/>
      </w:r>
      <w:r>
        <w:rPr>
          <w:rStyle w:val="FootnoteReference"/>
        </w:rPr>
        <w:footnoteReference w:id="2312"/>
      </w:r>
      <w:r>
        <w:rPr>
          <w:rStyle w:val="FootnoteReference"/>
        </w:rPr>
        <w:footnoteReference w:id="2313"/>
      </w:r>
      <w:r>
        <w:rPr>
          <w:rStyle w:val="FootnoteReference"/>
        </w:rPr>
        <w:footnoteReference w:id="2314"/>
      </w:r>
      <w:r>
        <w:rPr>
          <w:rStyle w:val="FootnoteReference"/>
        </w:rPr>
        <w:footnoteReference w:id="2315"/>
      </w:r>
      <w:r>
        <w:rPr>
          <w:rStyle w:val="FootnoteReference"/>
        </w:rPr>
        <w:footnoteReference w:id="2316"/>
      </w:r>
      <w:r>
        <w:rPr>
          <w:rStyle w:val="FootnoteReference"/>
        </w:rPr>
        <w:footnoteReference w:id="2317"/>
      </w:r>
      <w:r>
        <w:rPr>
          <w:rStyle w:val="FootnoteReference"/>
        </w:rPr>
        <w:footnoteReference w:id="2318"/>
      </w:r>
      <w:r>
        <w:rPr>
          <w:rStyle w:val="FootnoteReference"/>
        </w:rPr>
        <w:footnoteReference w:id="2319"/>
      </w:r>
      <w:r>
        <w:rPr>
          <w:rStyle w:val="FootnoteReference"/>
        </w:rPr>
        <w:footnoteReference w:id="2320"/>
      </w:r>
      <w:r>
        <w:rPr>
          <w:rStyle w:val="FootnoteReference"/>
        </w:rPr>
        <w:footnoteReference w:id="2321"/>
      </w:r>
      <w:r>
        <w:rPr>
          <w:rStyle w:val="FootnoteReference"/>
        </w:rPr>
        <w:footnoteReference w:id="2322"/>
      </w:r>
      <w:r>
        <w:t xml:space="preserve"> </w:t>
      </w:r>
      <w:r>
        <w:t xml:space="preserve">Le dimensioni rilevanti sono l’equità di accesso, già trattata, l’autonomia della persona e la tutela del consenso informato, con la persona sempre soggetto e mai oggetto della presa in carico.</w:t>
      </w:r>
      <w:r>
        <w:rPr>
          <w:rStyle w:val="FootnoteReference"/>
        </w:rPr>
        <w:footnoteReference w:id="2323"/>
      </w:r>
      <w:r>
        <w:t xml:space="preserve"> </w:t>
      </w:r>
      <w:r>
        <w:t xml:space="preserve">Il consenso è modulare e reso anche in forma digitale, e nella salute mentale, dove i dati sono ultrasensibili, la persona deve sapere con chiarezza se interagisce con un sistema di intelligenza artificiale, quali dati siano raccolti e chi vi acceda.</w:t>
      </w:r>
      <w:r>
        <w:rPr>
          <w:rStyle w:val="FootnoteReference"/>
        </w:rPr>
        <w:footnoteReference w:id="2324"/>
      </w:r>
      <w:r>
        <w:t xml:space="preserve"> </w:t>
      </w:r>
      <w:r>
        <w:t xml:space="preserve">Sul piano della condotta della ricerca, gli esiti sono resi pubblici a prescindere dal loro segno, a garanzia contro la selezione dei risultati favorevoli, e l’impianto è sottoposto al comitato etico competente.</w:t>
      </w:r>
      <w:r>
        <w:rPr>
          <w:rStyle w:val="FootnoteReference"/>
        </w:rPr>
        <w:footnoteReference w:id="2325"/>
      </w:r>
      <w:r>
        <w:t xml:space="preserve"> </w:t>
      </w:r>
      <w:r>
        <w:t xml:space="preserve">Una cautela specifica presidia i minori e le persone vulnerabili: gli strumenti di esito sono impiegati nei soli punteggi complessivi e le situazioni di rischio sono indirizzate ai servizi specialistici e dell’emergenza in raccordo con il medico curante.</w:t>
      </w:r>
      <w:r>
        <w:rPr>
          <w:rStyle w:val="FootnoteReference"/>
        </w:rPr>
        <w:footnoteReference w:id="2326"/>
      </w:r>
    </w:p>
    <w:bookmarkEnd w:id="1658"/>
    <w:bookmarkStart w:id="1665" w:name="X0e9f587d1f96c46b9d8eb2cd56b89a133af3841"/>
    <w:p>
      <w:pPr>
        <w:pStyle w:val="Heading3"/>
      </w:pPr>
      <w:r>
        <w:t xml:space="preserve">H.2 I profili giuridici e costituzionali</w:t>
      </w:r>
    </w:p>
    <w:p>
      <w:pPr>
        <w:pStyle w:val="FirstParagraph"/>
      </w:pPr>
      <w:r>
        <w:t xml:space="preserve">Sul piano giuridico, l’intervento si fonda anzitutto sull’articolo 32 della Costituzione e sulla legge istitutiva del Servizio sanitario nazionale, che configurano la salute come diritto fondamentale e il servizio come universale, eguale ed equo.</w:t>
      </w:r>
      <w:r>
        <w:rPr>
          <w:rStyle w:val="FootnoteReference"/>
        </w:rPr>
        <w:footnoteReference w:id="2327"/>
      </w:r>
      <w:r>
        <w:t xml:space="preserve"> </w:t>
      </w:r>
      <w:r>
        <w:t xml:space="preserve">Il riparto di competenze è il punto dirimente: la tutela della salute è materia concorrente, nella quale alle Regioni spetta l’organizzazione del servizio, e gli atti regionali emiliano-romagnoli operano legittimamente entro tale competenza.</w:t>
      </w:r>
      <w:r>
        <w:rPr>
          <w:rStyle w:val="FootnoteReference"/>
        </w:rPr>
        <w:footnoteReference w:id="2328"/>
      </w:r>
      <w:r>
        <w:t xml:space="preserve"> </w:t>
      </w:r>
      <w:r>
        <w:t xml:space="preserve">La determinazione dei livelli essenziali delle prestazioni resta invece competenza esclusiva dello Stato, ed è la leva di un’eventuale uniformazione nazionale.</w:t>
      </w:r>
      <w:r>
        <w:rPr>
          <w:rStyle w:val="FootnoteReference"/>
        </w:rPr>
        <w:footnoteReference w:id="2329"/>
      </w:r>
      <w:r>
        <w:t xml:space="preserve"> </w:t>
      </w:r>
      <w:r>
        <w:t xml:space="preserve">Di rilievo diretto è la sentenza della Corte costituzionale del 2021, che ha riconosciuto legittimo il modello regionale di psicologia di base in quanto organizzazione che si avvale di professionisti già esistenti: un precedente che conforta la scelta dell’Emilia-Romagna di strutturare una funzione già diffusa.</w:t>
      </w:r>
      <w:r>
        <w:rPr>
          <w:rStyle w:val="FootnoteReference"/>
        </w:rPr>
        <w:footnoteReference w:id="2330"/>
      </w:r>
      <w:r>
        <w:t xml:space="preserve"> </w:t>
      </w:r>
      <w:r>
        <w:t xml:space="preserve">La base regionale di tale scelta è ricca — dalle Case della Salute alle deliberazioni di Giunta sulla psicologia di comunità, fino alle proposte di legge in esame — e si avvale, in assenza di un’azienda regionale unica, del coordinamento della Regione e dell’Osservatorio regionale.</w:t>
      </w:r>
      <w:r>
        <w:rPr>
          <w:rStyle w:val="FootnoteReference"/>
        </w:rPr>
        <w:footnoteReference w:id="2331"/>
      </w:r>
      <w:r>
        <w:t xml:space="preserve"> </w:t>
      </w:r>
      <w:r>
        <w:t xml:space="preserve">Una sentenza costituzionale del 2026 ha infine ribadito che le Regioni in piano di rientro non possono distogliere i fondi sanitari dai livelli essenziali; vincolo cui l’Emilia-Romagna, prossima al pareggio e non in rientro, non è soggetta.</w:t>
      </w:r>
      <w:r>
        <w:rPr>
          <w:rStyle w:val="FootnoteReference"/>
        </w:rPr>
        <w:footnoteReference w:id="2332"/>
      </w:r>
      <w:r>
        <w:t xml:space="preserve"> </w:t>
      </w:r>
      <w:r>
        <w:t xml:space="preserve">La tabella seguente riepiloga i riferimenti.</w:t>
      </w:r>
    </w:p>
    <w:tbl>
      <w:tblPr>
        <w:tblStyle w:val="Table"/>
        <w:tblW w:type="pct" w:w="494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412"/>
        <w:gridCol w:w="541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Riferimento giuridico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rilevante</w:t>
            </w:r>
          </w:p>
        </w:tc>
      </w:tr>
      <w:tr>
        <w:tc>
          <w:tcPr/>
          <w:p>
            <w:pPr>
              <w:pStyle w:val="Compact"/>
              <w:spacing w:after="40" w:before="40"/>
              <w:jc w:val="left"/>
            </w:pPr>
            <w:r>
              <w:rPr>
                <w:rFonts w:ascii="Cambria" w:hAnsi="Cambria" w:cs="Cambria" w:eastAsia="Cambria"/>
                <w:b/>
                <w:bCs/>
                <w:color w:val="1A1A1A"/>
                <w:sz w:val="18"/>
              </w:rPr>
              <w:t xml:space="preserve">Articolo 32 Cost. e legge n. 833/1978</w:t>
            </w:r>
          </w:p>
        </w:tc>
        <w:tc>
          <w:tcPr/>
          <w:p>
            <w:pPr>
              <w:pStyle w:val="Compact"/>
              <w:spacing w:after="40" w:before="40"/>
              <w:jc w:val="left"/>
            </w:pPr>
            <w:r>
              <w:rPr>
                <w:rFonts w:ascii="Cambria" w:hAnsi="Cambria" w:cs="Cambria" w:eastAsia="Cambria"/>
                <w:color w:val="1A1A1A"/>
                <w:sz w:val="18"/>
              </w:rPr>
              <w:t xml:space="preserve">Salute come diritto; Servizio sanitario universale, eguale ed equo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Articolo 117, terzo comma, Cost.</w:t>
            </w:r>
          </w:p>
        </w:tc>
        <w:tc>
          <w:tcPr>
            <w:shd w:val="clear" w:color="auto" w:fill="F4F1EC"/>
          </w:tcPr>
          <w:p>
            <w:pPr>
              <w:pStyle w:val="Compact"/>
              <w:spacing w:after="40" w:before="40"/>
              <w:jc w:val="left"/>
            </w:pPr>
            <w:r>
              <w:rPr>
                <w:rFonts w:ascii="Cambria" w:hAnsi="Cambria" w:cs="Cambria" w:eastAsia="Cambria"/>
                <w:color w:val="1A1A1A"/>
                <w:sz w:val="18"/>
              </w:rPr>
              <w:t xml:space="preserve">Tutela della salute: competenza concorrente (principi allo Stato, organizzazione alle Regioni)</w:t>
            </w:r>
          </w:p>
        </w:tc>
      </w:tr>
      <w:tr>
        <w:tc>
          <w:tcPr/>
          <w:p>
            <w:pPr>
              <w:pStyle w:val="Compact"/>
              <w:spacing w:after="40" w:before="40"/>
              <w:jc w:val="left"/>
            </w:pPr>
            <w:r>
              <w:rPr>
                <w:rFonts w:ascii="Cambria" w:hAnsi="Cambria" w:cs="Cambria" w:eastAsia="Cambria"/>
                <w:b/>
                <w:bCs/>
                <w:color w:val="1A1A1A"/>
                <w:sz w:val="18"/>
              </w:rPr>
              <w:t xml:space="preserve">Articolo 117, secondo comma, lettera m), Cost.</w:t>
            </w:r>
          </w:p>
        </w:tc>
        <w:tc>
          <w:tcPr/>
          <w:p>
            <w:pPr>
              <w:pStyle w:val="Compact"/>
              <w:spacing w:after="40" w:before="40"/>
              <w:jc w:val="left"/>
            </w:pPr>
            <w:r>
              <w:rPr>
                <w:rFonts w:ascii="Cambria" w:hAnsi="Cambria" w:cs="Cambria" w:eastAsia="Cambria"/>
                <w:color w:val="1A1A1A"/>
                <w:sz w:val="18"/>
              </w:rPr>
              <w:t xml:space="preserve">Livelli essenziali delle prestazioni: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DGR n. 1141/2021 e n. 2185/2023</w:t>
            </w:r>
          </w:p>
        </w:tc>
        <w:tc>
          <w:tcPr>
            <w:shd w:val="clear" w:color="auto" w:fill="F4F1EC"/>
          </w:tcPr>
          <w:p>
            <w:pPr>
              <w:pStyle w:val="Compact"/>
              <w:spacing w:after="40" w:before="40"/>
              <w:jc w:val="left"/>
            </w:pPr>
            <w:r>
              <w:rPr>
                <w:rFonts w:ascii="Cambria" w:hAnsi="Cambria" w:cs="Cambria" w:eastAsia="Cambria"/>
                <w:color w:val="1A1A1A"/>
                <w:sz w:val="18"/>
              </w:rPr>
              <w:t xml:space="preserve">Base regionale: psicologia clinica e di comunità; implementazione nelle Case della Comunità; coordinamento regionale</w:t>
            </w:r>
          </w:p>
        </w:tc>
      </w:tr>
      <w:tr>
        <w:tc>
          <w:tcPr/>
          <w:p>
            <w:pPr>
              <w:pStyle w:val="Compact"/>
              <w:spacing w:after="40" w:before="40"/>
              <w:jc w:val="left"/>
            </w:pPr>
            <w:r>
              <w:rPr>
                <w:rFonts w:ascii="Cambria" w:hAnsi="Cambria" w:cs="Cambria" w:eastAsia="Cambria"/>
                <w:b/>
                <w:bCs/>
                <w:color w:val="1A1A1A"/>
                <w:sz w:val="18"/>
              </w:rPr>
              <w:t xml:space="preserve">Corte costituzionale, sentenza n. 241/2021</w:t>
            </w:r>
          </w:p>
        </w:tc>
        <w:tc>
          <w:tcPr/>
          <w:p>
            <w:pPr>
              <w:pStyle w:val="Compact"/>
              <w:spacing w:after="40" w:before="40"/>
              <w:jc w:val="left"/>
            </w:pPr>
            <w:r>
              <w:rPr>
                <w:rFonts w:ascii="Cambria" w:hAnsi="Cambria" w:cs="Cambria" w:eastAsia="Cambria"/>
                <w:color w:val="1A1A1A"/>
                <w:sz w:val="18"/>
              </w:rPr>
              <w:t xml:space="preserve">Modello regionale di psicologia di base riconosciuto legittimo (precedente)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Corte costituzionale, sentenza n. 6/2026</w:t>
            </w:r>
          </w:p>
        </w:tc>
        <w:tc>
          <w:tcPr>
            <w:shd w:val="clear" w:color="auto" w:fill="F4F1EC"/>
          </w:tcPr>
          <w:p>
            <w:pPr>
              <w:pStyle w:val="Compact"/>
              <w:spacing w:after="40" w:before="40"/>
              <w:jc w:val="left"/>
            </w:pPr>
            <w:r>
              <w:rPr>
                <w:rFonts w:ascii="Cambria" w:hAnsi="Cambria" w:cs="Cambria" w:eastAsia="Cambria"/>
                <w:color w:val="1A1A1A"/>
                <w:sz w:val="18"/>
              </w:rPr>
              <w:t xml:space="preserve">Vincolo dei fondi ai livelli essenziali per le regioni in rientro (non applicabile all’Emilia-Romagna)</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1665"/>
    <w:bookmarkStart w:id="1671" w:name="X5e64383067f691702bce52eb66f9ef45a1fc48b"/>
    <w:p>
      <w:pPr>
        <w:pStyle w:val="Heading3"/>
      </w:pPr>
      <w:r>
        <w:t xml:space="preserve">H.3 Il profilo organizzativo e la conformità</w:t>
      </w:r>
    </w:p>
    <w:p>
      <w:pPr>
        <w:pStyle w:val="FirstParagraph"/>
      </w:pPr>
      <w:r>
        <w:t xml:space="preserve">Sul piano organizzativo, il servizio opera nel rispetto delle norme deontologiche della professione, sotto la vigilanza dell’Ordine degli Psicologi dell’Emilia-Romagna, che concorre alla governance e alla formazione.</w:t>
      </w:r>
      <w:r>
        <w:rPr>
          <w:rStyle w:val="FootnoteReference"/>
        </w:rPr>
        <w:footnoteReference w:id="2333"/>
      </w:r>
      <w:r>
        <w:t xml:space="preserve"> </w:t>
      </w:r>
      <w:r>
        <w:t xml:space="preserve">L’impiego dell’intelligenza artificiale non altera le responsabilità professionali: il medico resta garante della diagnosi e della terapia medica, lo psicologo dell’intervento psicologico, e l’intelligenza artificiale è assimilata a un dispositivo di supporto e non a una figura che compie atti, sicché non si introduce una nuova professione, ma uno strumento che assiste quelle esistenti.</w:t>
      </w:r>
      <w:r>
        <w:rPr>
          <w:rStyle w:val="FootnoteReference"/>
        </w:rPr>
        <w:footnoteReference w:id="2334"/>
      </w:r>
      <w:r>
        <w:t xml:space="preserve"> </w:t>
      </w:r>
      <w:r>
        <w:t xml:space="preserve">La conformità degli strumenti è governata dal quadro europeo — il regolamento sull’intelligenza artificiale, quello sui dispositivi medici e quello sulla protezione dei dati — cui si aggiungono la supervisione umana costante, la validazione periodica, il monitoraggio dei bias e la trasparenza.</w:t>
      </w:r>
      <w:r>
        <w:rPr>
          <w:rStyle w:val="FootnoteReference"/>
        </w:rPr>
        <w:footnoteReference w:id="2335"/>
      </w:r>
      <w:r>
        <w:t xml:space="preserve"> </w:t>
      </w:r>
      <w:r>
        <w:t xml:space="preserve">Una particolare attenzione è dedicata all’equità digitale, perché gli strumenti non generino nuove disuguaglianze: sono previsti canali tradizionali per le persone anziane delle aree appenniniche e il supporto multilingue per la popolazione straniera, sempre con l’alternativa in presenza garantita.</w:t>
      </w:r>
      <w:r>
        <w:rPr>
          <w:rStyle w:val="FootnoteReference"/>
        </w:rPr>
        <w:footnoteReference w:id="2336"/>
      </w:r>
      <w:r>
        <w:t xml:space="preserve"> </w:t>
      </w:r>
      <w:r>
        <w:t xml:space="preserve">La protezione dei dati, infine, è assicurata da misure robuste di sicurezza, dal consenso modulare e dalla collaborazione con l’Autorità garante.</w:t>
      </w:r>
      <w:r>
        <w:rPr>
          <w:rStyle w:val="FootnoteReference"/>
        </w:rPr>
        <w:footnoteReference w:id="2337"/>
      </w:r>
      <w:r>
        <w:t xml:space="preserve"> </w:t>
      </w:r>
      <w:r>
        <w:t xml:space="preserve">La tabella seguente riepiloga il quadro della conformità e della governance. Definiti i profili etico, giuridico e organizzativo, la parte che segue affronta l’attuazione, la fattibilità e la sostenibilità.</w:t>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95"/>
        <w:gridCol w:w="2750"/>
        <w:gridCol w:w="346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Garanzia</w:t>
            </w:r>
          </w:p>
        </w:tc>
      </w:tr>
      <w:tr>
        <w:tc>
          <w:tcPr/>
          <w:p>
            <w:pPr>
              <w:pStyle w:val="Compact"/>
              <w:spacing w:after="40" w:before="40"/>
              <w:jc w:val="left"/>
            </w:pPr>
            <w:r>
              <w:rPr>
                <w:rFonts w:ascii="Cambria" w:hAnsi="Cambria" w:cs="Cambria" w:eastAsia="Cambria"/>
                <w:b/>
                <w:bCs/>
                <w:color w:val="1A1A1A"/>
                <w:sz w:val="18"/>
              </w:rPr>
              <w:t xml:space="preserve">Deontologia</w:t>
            </w:r>
          </w:p>
        </w:tc>
        <w:tc>
          <w:tcPr/>
          <w:p>
            <w:pPr>
              <w:pStyle w:val="Compact"/>
              <w:spacing w:after="40" w:before="40"/>
              <w:jc w:val="left"/>
            </w:pPr>
            <w:r>
              <w:rPr>
                <w:rFonts w:ascii="Cambria" w:hAnsi="Cambria" w:cs="Cambria" w:eastAsia="Cambria"/>
                <w:color w:val="1A1A1A"/>
                <w:sz w:val="18"/>
              </w:rPr>
              <w:t xml:space="preserve">Ordine degli Psicologi dell’Emilia-Romagna</w:t>
            </w:r>
          </w:p>
        </w:tc>
        <w:tc>
          <w:tcPr/>
          <w:p>
            <w:pPr>
              <w:pStyle w:val="Compact"/>
              <w:spacing w:after="40" w:before="40"/>
              <w:jc w:val="left"/>
            </w:pPr>
            <w:r>
              <w:rPr>
                <w:rFonts w:ascii="Cambria" w:hAnsi="Cambria" w:cs="Cambria" w:eastAsia="Cambria"/>
                <w:color w:val="1A1A1A"/>
                <w:sz w:val="18"/>
              </w:rPr>
              <w:t xml:space="preserve">Rispetto delle norme deontologiche; concorso alla governance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Responsabilità clinica</w:t>
            </w:r>
          </w:p>
        </w:tc>
        <w:tc>
          <w:tcPr>
            <w:shd w:val="clear" w:color="auto" w:fill="F4F1EC"/>
          </w:tcPr>
          <w:p>
            <w:pPr>
              <w:pStyle w:val="Compact"/>
              <w:spacing w:after="40" w:before="40"/>
              <w:jc w:val="left"/>
            </w:pPr>
            <w:r>
              <w:rPr>
                <w:rFonts w:ascii="Cambria" w:hAnsi="Cambria" w:cs="Cambria" w:eastAsia="Cambria"/>
                <w:color w:val="1A1A1A"/>
                <w:sz w:val="18"/>
              </w:rPr>
              <w:t xml:space="preserve">Medico e psicologo</w:t>
            </w:r>
          </w:p>
        </w:tc>
        <w:tc>
          <w:tcPr>
            <w:shd w:val="clear" w:color="auto" w:fill="F4F1EC"/>
          </w:tcPr>
          <w:p>
            <w:pPr>
              <w:pStyle w:val="Compact"/>
              <w:spacing w:after="40" w:before="40"/>
              <w:jc w:val="left"/>
            </w:pPr>
            <w:r>
              <w:rPr>
                <w:rFonts w:ascii="Cambria" w:hAnsi="Cambria" w:cs="Cambria" w:eastAsia="Cambria"/>
                <w:color w:val="1A1A1A"/>
                <w:sz w:val="18"/>
              </w:rPr>
              <w:t xml:space="preserve">Ruoli invariati; l’IA è strumento di supporto</w:t>
            </w:r>
          </w:p>
        </w:tc>
      </w:tr>
      <w:tr>
        <w:tc>
          <w:tcPr/>
          <w:p>
            <w:pPr>
              <w:pStyle w:val="Compact"/>
              <w:spacing w:after="40" w:before="40"/>
              <w:jc w:val="left"/>
            </w:pPr>
            <w:r>
              <w:rPr>
                <w:rFonts w:ascii="Cambria" w:hAnsi="Cambria" w:cs="Cambria" w:eastAsia="Cambria"/>
                <w:b/>
                <w:bCs/>
                <w:color w:val="1A1A1A"/>
                <w:sz w:val="18"/>
              </w:rPr>
              <w:t xml:space="preserve">IA e dispositivi</w:t>
            </w:r>
          </w:p>
        </w:tc>
        <w:tc>
          <w:tcPr/>
          <w:p>
            <w:pPr>
              <w:pStyle w:val="Compact"/>
              <w:spacing w:after="40" w:before="40"/>
              <w:jc w:val="left"/>
            </w:pPr>
            <w:r>
              <w:rPr>
                <w:rFonts w:ascii="Cambria" w:hAnsi="Cambria" w:cs="Cambria" w:eastAsia="Cambria"/>
                <w:color w:val="1A1A1A"/>
                <w:sz w:val="18"/>
              </w:rPr>
              <w:t xml:space="preserve">AI Act, dispositivi medici, protezione dei dati</w:t>
            </w:r>
          </w:p>
        </w:tc>
        <w:tc>
          <w:tcPr/>
          <w:p>
            <w:pPr>
              <w:pStyle w:val="Compact"/>
              <w:spacing w:after="40" w:before="40"/>
              <w:jc w:val="left"/>
            </w:pPr>
            <w:r>
              <w:rPr>
                <w:rFonts w:ascii="Cambria" w:hAnsi="Cambria" w:cs="Cambria" w:eastAsia="Cambria"/>
                <w:color w:val="1A1A1A"/>
                <w:sz w:val="18"/>
              </w:rPr>
              <w:t xml:space="preserve">Marcatura CE; supervisione umana; validazione periodica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Governance dell’IA</w:t>
            </w:r>
          </w:p>
        </w:tc>
        <w:tc>
          <w:tcPr>
            <w:shd w:val="clear" w:color="auto" w:fill="F4F1EC"/>
          </w:tcPr>
          <w:p>
            <w:pPr>
              <w:pStyle w:val="Compact"/>
              <w:spacing w:after="40" w:before="40"/>
              <w:jc w:val="left"/>
            </w:pPr>
            <w:r>
              <w:rPr>
                <w:rFonts w:ascii="Cambria" w:hAnsi="Cambria" w:cs="Cambria" w:eastAsia="Cambria"/>
                <w:color w:val="1A1A1A"/>
                <w:sz w:val="18"/>
              </w:rPr>
              <w:t xml:space="preserve">Comitato etico-scientifico</w:t>
            </w:r>
          </w:p>
        </w:tc>
        <w:tc>
          <w:tcPr>
            <w:shd w:val="clear" w:color="auto" w:fill="F4F1EC"/>
          </w:tcPr>
          <w:p>
            <w:pPr>
              <w:pStyle w:val="Compact"/>
              <w:spacing w:after="40" w:before="40"/>
              <w:jc w:val="left"/>
            </w:pPr>
            <w:r>
              <w:rPr>
                <w:rFonts w:ascii="Cambria" w:hAnsi="Cambria" w:cs="Cambria" w:eastAsia="Cambria"/>
                <w:color w:val="1A1A1A"/>
                <w:sz w:val="18"/>
              </w:rPr>
              <w:t xml:space="preserve">Monitoraggio dei bias; trasparenza; non discriminazione</w:t>
            </w:r>
          </w:p>
        </w:tc>
      </w:tr>
      <w:tr>
        <w:tc>
          <w:tcPr/>
          <w:p>
            <w:pPr>
              <w:pStyle w:val="Compact"/>
              <w:spacing w:after="40" w:before="40"/>
              <w:jc w:val="left"/>
            </w:pPr>
            <w:r>
              <w:rPr>
                <w:rFonts w:ascii="Cambria" w:hAnsi="Cambria" w:cs="Cambria" w:eastAsia="Cambria"/>
                <w:b/>
                <w:bCs/>
                <w:color w:val="1A1A1A"/>
                <w:sz w:val="18"/>
              </w:rPr>
              <w:t xml:space="preserve">Equità digitale</w:t>
            </w:r>
          </w:p>
        </w:tc>
        <w:tc>
          <w:tcPr/>
          <w:p>
            <w:pPr>
              <w:pStyle w:val="Compact"/>
              <w:spacing w:after="40" w:before="40"/>
              <w:jc w:val="left"/>
            </w:pPr>
            <w:r>
              <w:rPr>
                <w:rFonts w:ascii="Cambria" w:hAnsi="Cambria" w:cs="Cambria" w:eastAsia="Cambria"/>
                <w:color w:val="1A1A1A"/>
                <w:sz w:val="18"/>
              </w:rPr>
              <w:t xml:space="preserve">Canali paralleli; supporto multilingue</w:t>
            </w:r>
          </w:p>
        </w:tc>
        <w:tc>
          <w:tcPr/>
          <w:p>
            <w:pPr>
              <w:pStyle w:val="Compact"/>
              <w:spacing w:after="40" w:before="40"/>
              <w:jc w:val="left"/>
            </w:pPr>
            <w:r>
              <w:rPr>
                <w:rFonts w:ascii="Cambria" w:hAnsi="Cambria" w:cs="Cambria" w:eastAsia="Cambria"/>
                <w:color w:val="1A1A1A"/>
                <w:sz w:val="18"/>
              </w:rPr>
              <w:t xml:space="preserve">Alternativa in presenza sempre garantita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Protezione dei dati</w:t>
            </w:r>
          </w:p>
        </w:tc>
        <w:tc>
          <w:tcPr>
            <w:shd w:val="clear" w:color="auto" w:fill="F4F1EC"/>
          </w:tcPr>
          <w:p>
            <w:pPr>
              <w:pStyle w:val="Compact"/>
              <w:spacing w:after="40" w:before="40"/>
              <w:jc w:val="left"/>
            </w:pPr>
            <w:r>
              <w:rPr>
                <w:rFonts w:ascii="Cambria" w:hAnsi="Cambria" w:cs="Cambria" w:eastAsia="Cambria"/>
                <w:color w:val="1A1A1A"/>
                <w:sz w:val="18"/>
              </w:rPr>
              <w:t xml:space="preserve">Crittografia; pseudonimizzazione</w:t>
            </w:r>
          </w:p>
        </w:tc>
        <w:tc>
          <w:tcPr>
            <w:shd w:val="clear" w:color="auto" w:fill="F4F1EC"/>
          </w:tcPr>
          <w:p>
            <w:pPr>
              <w:pStyle w:val="Compact"/>
              <w:spacing w:after="40" w:before="40"/>
              <w:jc w:val="left"/>
            </w:pPr>
            <w:r>
              <w:rPr>
                <w:rFonts w:ascii="Cambria" w:hAnsi="Cambria" w:cs="Cambria" w:eastAsia="Cambria"/>
                <w:color w:val="1A1A1A"/>
                <w:sz w:val="18"/>
              </w:rPr>
              <w:t xml:space="preserve">Consenso modulare; collaborazione con il Garante</w:t>
            </w:r>
          </w:p>
        </w:tc>
      </w:tr>
    </w:tbl>
    <w:p>
      <w:pPr>
        <w:pStyle w:val="BodyText"/>
      </w:pPr>
      <w:r>
        <w:rPr>
          <w:i/>
          <w:iCs/>
        </w:rPr>
        <w:t xml:space="preserve">Tabella H.2. Il quadro della conformità organizzativa e di governance dell</w:t>
      </w:r>
      <w:r>
        <w:rPr>
          <w:b/>
          <w:bCs/>
          <w:i/>
          <w:iCs/>
        </w:rPr>
        <w:t xml:space="preserve">’</w:t>
      </w:r>
      <w:r>
        <w:rPr>
          <w:i/>
          <w:iCs/>
        </w:rPr>
        <w:t xml:space="preserve">intervento.</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Scienza dell</w:t>
      </w:r>
      <w:r>
        <w:rPr>
          <w:b/>
          <w:bCs/>
          <w:i/>
          <w:iCs/>
        </w:rPr>
        <w:t xml:space="preserve">’</w:t>
      </w:r>
      <w:r>
        <w:rPr>
          <w:i/>
          <w:iCs/>
        </w:rPr>
        <w:t xml:space="preserve">implementazione, dispiegamento, casi commerciale e gestionale, sostenibilità finanziaria</w:t>
      </w:r>
    </w:p>
    <w:p>
      <w:pPr>
        <w:pStyle w:val="BodyText"/>
      </w:pPr>
      <w:r>
        <w:t xml:space="preserve">Settimo dominio dell’HTA · il profilo organizzativo</w:t>
      </w:r>
    </w:p>
    <w:bookmarkEnd w:id="1671"/>
    <w:bookmarkEnd w:id="1672"/>
    <w:bookmarkStart w:id="1709" w:name="X4a7a9965e7a9d2bea1052630a48b4b13f6a724b"/>
    <w:p>
      <w:pPr>
        <w:pStyle w:val="Heading2"/>
      </w:pPr>
      <w:r>
        <w:t xml:space="preserve">Parte I — Attuazione, fattibilità e sostenibilità</w:t>
      </w:r>
    </w:p>
    <w:p>
      <w:pPr>
        <w:pStyle w:val="FirstParagraph"/>
      </w:pPr>
      <w:r>
        <w:t xml:space="preserve">Le parti precedenti hanno mostrato che l’intervento è efficace, efficiente, equo e legittimo; questa parte affronta la domanda decisiva per il decisore: è attuabile e sostenibile. La fattibilità è trattata con gli strumenti della scienza dell’implementazione, e la sostenibilità con i casi commerciale, gestionale e finanziario del modello di valutazione degli investimenti pubblici. La parte presenta i quadri della scienza dell’implementazione (capitolo I.1); disegna il dispiegamento del servizio (I.2); definisce il caso commerciale, ossia il modello contrattuale e la tariffa (I.3); il caso gestionale, ossia la governance e i rischi (I.4); e il caso finanziario, ossia la sostenibilità e le coperture (I.5). Per l’Emilia-Romagna, la maturità della rete, l’ampia disponibilità di professionisti e la solidità del bilancio rendono l’attuazione particolarmente agevole.</w:t>
      </w:r>
    </w:p>
    <w:bookmarkStart w:id="4391" w:name="i.1-la-scienza-dellimplementazione-3"/>
    <w:p>
      <w:pPr>
        <w:pStyle w:val="Heading3"/>
      </w:pPr>
      <w:r>
        <w:t xml:space="preserve">I.1 La scienza dell’implementazione</w:t>
      </w:r>
    </w:p>
    <w:p>
      <w:pPr>
        <w:pStyle w:val="FirstParagraph"/>
      </w:pPr>
      <w:r>
        <w:t xml:space="preserve">L’attuazione è trattata con il rigore della scienza dell’implementazione, e non lasciata all’improvvisazione.</w:t>
      </w:r>
      <w:r>
        <w:rPr>
          <w:rStyle w:val="FootnoteReference"/>
        </w:rPr>
        <w:footnoteReference w:id="2338"/>
      </w:r>
      <w:r>
        <w:rPr>
          <w:rStyle w:val="FootnoteReference"/>
        </w:rPr>
        <w:footnoteReference w:id="2339"/>
      </w:r>
      <w:r>
        <w:rPr>
          <w:rStyle w:val="FootnoteReference"/>
        </w:rPr>
        <w:footnoteReference w:id="2340"/>
      </w:r>
      <w:r>
        <w:rPr>
          <w:rStyle w:val="FootnoteReference"/>
        </w:rPr>
        <w:footnoteReference w:id="2341"/>
      </w:r>
      <w:r>
        <w:rPr>
          <w:rStyle w:val="FootnoteReference"/>
        </w:rPr>
        <w:footnoteReference w:id="2342"/>
      </w:r>
      <w:r>
        <w:rPr>
          <w:rStyle w:val="FootnoteReference"/>
        </w:rPr>
        <w:footnoteReference w:id="2343"/>
      </w:r>
      <w:r>
        <w:rPr>
          <w:rStyle w:val="FootnoteReference"/>
        </w:rPr>
        <w:footnoteReference w:id="2344"/>
      </w:r>
      <w:r>
        <w:rPr>
          <w:rStyle w:val="FootnoteReference"/>
        </w:rPr>
        <w:footnoteReference w:id="2345"/>
      </w:r>
      <w:r>
        <w:rPr>
          <w:rStyle w:val="FootnoteReference"/>
        </w:rPr>
        <w:footnoteReference w:id="2346"/>
      </w:r>
      <w:r>
        <w:rPr>
          <w:rStyle w:val="FootnoteReference"/>
        </w:rPr>
        <w:footnoteReference w:id="2347"/>
      </w:r>
      <w:r>
        <w:rPr>
          <w:rStyle w:val="FootnoteReference"/>
        </w:rPr>
        <w:footnoteReference w:id="2348"/>
      </w:r>
      <w:r>
        <w:rPr>
          <w:rStyle w:val="FootnoteReference"/>
        </w:rPr>
        <w:footnoteReference w:id="2349"/>
      </w:r>
      <w:r>
        <w:rPr>
          <w:rStyle w:val="FootnoteReference"/>
        </w:rPr>
        <w:footnoteReference w:id="2350"/>
      </w:r>
      <w:r>
        <w:rPr>
          <w:rStyle w:val="FootnoteReference"/>
        </w:rPr>
        <w:footnoteReference w:id="2351"/>
      </w:r>
      <w:r>
        <w:rPr>
          <w:rStyle w:val="FootnoteReference"/>
        </w:rPr>
        <w:footnoteReference w:id="2352"/>
      </w:r>
      <w:r>
        <w:rPr>
          <w:rStyle w:val="FootnoteReference"/>
        </w:rPr>
        <w:footnoteReference w:id="2353"/>
      </w:r>
      <w:r>
        <w:t xml:space="preserve"> </w:t>
      </w:r>
      <w:r>
        <w:t xml:space="preserve">Due quadri complementari ne governano l’analisi. Il modello RE-AIM misura la riuscita e la validità esterna dell’attuazione lungo cinque dimensioni — portata, efficacia, adozione, implementazione e mantenimento.</w:t>
      </w:r>
      <w:r>
        <w:rPr>
          <w:rStyle w:val="FootnoteReference"/>
        </w:rPr>
        <w:footnoteReference w:id="2354"/>
      </w:r>
      <w:r>
        <w:t xml:space="preserve"> </w:t>
      </w:r>
      <w:r>
        <w:t xml:space="preserve">Il quadro consolidato per la ricerca sull’implementazione ne spiega invece i determinanti, articolati in cinque domini, consentendo di individuare in anticipo barriere e facilitatori.</w:t>
      </w:r>
      <w:r>
        <w:rPr>
          <w:rStyle w:val="FootnoteReference"/>
        </w:rPr>
        <w:footnoteReference w:id="2355"/>
      </w:r>
      <w:r>
        <w:t xml:space="preserve"> </w:t>
      </w:r>
      <w:r>
        <w:t xml:space="preserve">Da questi quadri lo studio deriva i determinanti che seguirà: il tasso di copertura, l’adozione delle sedi, la fedeltà al modello, i tempi di attivazione, il numero di psicologi reclutati e formati e il grado di integrazione nei flussi di lavoro.</w:t>
      </w:r>
      <w:r>
        <w:rPr>
          <w:rStyle w:val="FootnoteReference"/>
        </w:rPr>
        <w:footnoteReference w:id="2356"/>
      </w:r>
      <w:r>
        <w:t xml:space="preserve"> </w:t>
      </w:r>
      <w:r>
        <w:t xml:space="preserve">La tabella seguente riepiloga i due quadri.</w:t>
      </w:r>
    </w:p>
    <w:tbl>
      <w:tblPr>
        <w:tblStyle w:val="Table"/>
        <w:tblW w:type="pct" w:w="490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22"/>
        <w:gridCol w:w="49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w:t>
            </w:r>
          </w:p>
        </w:tc>
        <w:tc>
          <w:tcPr>
            <w:shd w:val="clear" w:color="auto" w:fill="16264B"/>
          </w:tcPr>
          <w:p>
            <w:pPr>
              <w:pStyle w:val="Compact"/>
              <w:spacing w:after="40" w:before="40"/>
              <w:jc w:val="left"/>
            </w:pPr>
            <w:r>
              <w:rPr>
                <w:rFonts w:ascii="Cambria" w:hAnsi="Cambria" w:cs="Cambria" w:eastAsia="Cambria"/>
                <w:b/>
                <w:bCs/>
                <w:color w:val="FFFFFF"/>
                <w:sz w:val="18"/>
              </w:rPr>
              <w:t xml:space="preserve">Che cosa misura o spiega</w:t>
            </w:r>
          </w:p>
        </w:tc>
      </w:tr>
      <w:tr>
        <w:tc>
          <w:tcPr/>
          <w:p>
            <w:pPr>
              <w:pStyle w:val="Compact"/>
              <w:spacing w:after="40" w:before="40"/>
              <w:jc w:val="left"/>
            </w:pPr>
            <w:r>
              <w:rPr>
                <w:rFonts w:ascii="Cambria" w:hAnsi="Cambria" w:cs="Cambria" w:eastAsia="Cambria"/>
                <w:b/>
                <w:bCs/>
                <w:color w:val="1A1A1A"/>
                <w:sz w:val="18"/>
              </w:rPr>
              <w:t xml:space="preserve">Portata (RE-AIM)</w:t>
            </w:r>
          </w:p>
        </w:tc>
        <w:tc>
          <w:tcPr/>
          <w:p>
            <w:pPr>
              <w:pStyle w:val="Compact"/>
              <w:spacing w:after="40" w:before="40"/>
              <w:jc w:val="left"/>
            </w:pPr>
            <w:r>
              <w:rPr>
                <w:rFonts w:ascii="Cambria" w:hAnsi="Cambria" w:cs="Cambria" w:eastAsia="Cambria"/>
                <w:color w:val="1A1A1A"/>
                <w:sz w:val="18"/>
              </w:rPr>
              <w:t xml:space="preserve">Quota della popolazione bersaglio raggiunta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(RE-AIM)</w:t>
            </w:r>
          </w:p>
        </w:tc>
        <w:tc>
          <w:tcPr>
            <w:shd w:val="clear" w:color="auto" w:fill="F4F1EC"/>
          </w:tcPr>
          <w:p>
            <w:pPr>
              <w:pStyle w:val="Compact"/>
              <w:spacing w:after="40" w:before="40"/>
              <w:jc w:val="left"/>
            </w:pPr>
            <w:r>
              <w:rPr>
                <w:rFonts w:ascii="Cambria" w:hAnsi="Cambria" w:cs="Cambria" w:eastAsia="Cambria"/>
                <w:color w:val="1A1A1A"/>
                <w:sz w:val="18"/>
              </w:rPr>
              <w:t xml:space="preserve">Esiti clinici e di sistema effettivamente conseguiti</w:t>
            </w:r>
          </w:p>
        </w:tc>
      </w:tr>
      <w:tr>
        <w:tc>
          <w:tcPr/>
          <w:p>
            <w:pPr>
              <w:pStyle w:val="Compact"/>
              <w:spacing w:after="40" w:before="40"/>
              <w:jc w:val="left"/>
            </w:pPr>
            <w:r>
              <w:rPr>
                <w:rFonts w:ascii="Cambria" w:hAnsi="Cambria" w:cs="Cambria" w:eastAsia="Cambria"/>
                <w:b/>
                <w:bCs/>
                <w:color w:val="1A1A1A"/>
                <w:sz w:val="18"/>
              </w:rPr>
              <w:t xml:space="preserve">Adozione (RE-AIM)</w:t>
            </w:r>
          </w:p>
        </w:tc>
        <w:tc>
          <w:tcPr/>
          <w:p>
            <w:pPr>
              <w:pStyle w:val="Compact"/>
              <w:spacing w:after="40" w:before="40"/>
              <w:jc w:val="left"/>
            </w:pPr>
            <w:r>
              <w:rPr>
                <w:rFonts w:ascii="Cambria" w:hAnsi="Cambria" w:cs="Cambria" w:eastAsia="Cambria"/>
                <w:color w:val="1A1A1A"/>
                <w:sz w:val="18"/>
              </w:rPr>
              <w:t xml:space="preserve">Adesione delle sedi e dei professionisti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Implementazione (RE-AIM)</w:t>
            </w:r>
          </w:p>
        </w:tc>
        <w:tc>
          <w:tcPr>
            <w:shd w:val="clear" w:color="auto" w:fill="F4F1EC"/>
          </w:tcPr>
          <w:p>
            <w:pPr>
              <w:pStyle w:val="Compact"/>
              <w:spacing w:after="40" w:before="40"/>
              <w:jc w:val="left"/>
            </w:pPr>
            <w:r>
              <w:rPr>
                <w:rFonts w:ascii="Cambria" w:hAnsi="Cambria" w:cs="Cambria" w:eastAsia="Cambria"/>
                <w:color w:val="1A1A1A"/>
                <w:sz w:val="18"/>
              </w:rPr>
              <w:t xml:space="preserve">Fedeltà al modello e qualità dell’attuazione</w:t>
            </w:r>
          </w:p>
        </w:tc>
      </w:tr>
      <w:tr>
        <w:tc>
          <w:tcPr/>
          <w:p>
            <w:pPr>
              <w:pStyle w:val="Compact"/>
              <w:spacing w:after="40" w:before="40"/>
              <w:jc w:val="left"/>
            </w:pPr>
            <w:r>
              <w:rPr>
                <w:rFonts w:ascii="Cambria" w:hAnsi="Cambria" w:cs="Cambria" w:eastAsia="Cambria"/>
                <w:b/>
                <w:bCs/>
                <w:color w:val="1A1A1A"/>
                <w:sz w:val="18"/>
              </w:rPr>
              <w:t xml:space="preserve">Mantenimento (RE-AIM)</w:t>
            </w:r>
          </w:p>
        </w:tc>
        <w:tc>
          <w:tcPr/>
          <w:p>
            <w:pPr>
              <w:pStyle w:val="Compact"/>
              <w:spacing w:after="40" w:before="40"/>
              <w:jc w:val="left"/>
            </w:pPr>
            <w:r>
              <w:rPr>
                <w:rFonts w:ascii="Cambria" w:hAnsi="Cambria" w:cs="Cambria" w:eastAsia="Cambria"/>
                <w:color w:val="1A1A1A"/>
                <w:sz w:val="18"/>
              </w:rPr>
              <w:t xml:space="preserve">Sostenibilità del servizio nel tempo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Determinanti (quadro CFIR)</w:t>
            </w:r>
          </w:p>
        </w:tc>
        <w:tc>
          <w:tcPr>
            <w:shd w:val="clear" w:color="auto" w:fill="F4F1EC"/>
          </w:tcPr>
          <w:p>
            <w:pPr>
              <w:pStyle w:val="Compact"/>
              <w:spacing w:after="40" w:before="40"/>
              <w:jc w:val="left"/>
            </w:pPr>
            <w:r>
              <w:rPr>
                <w:rFonts w:ascii="Cambria" w:hAnsi="Cambria" w:cs="Cambria" w:eastAsia="Cambria"/>
                <w:color w:val="1A1A1A"/>
                <w:sz w:val="18"/>
              </w:rP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4391"/>
    <w:bookmarkStart w:id="1698" w:name="i.2-il-disegno-del-dispiegamento-2"/>
    <w:p>
      <w:pPr>
        <w:pStyle w:val="Heading3"/>
      </w:pPr>
      <w:r>
        <w:t xml:space="preserve">I.2 Il disegno del dispiegamento</w:t>
      </w:r>
    </w:p>
    <w:p>
      <w:pPr>
        <w:pStyle w:val="FirstParagraph"/>
      </w:pPr>
      <w:r>
        <w:t xml:space="preserve">Il servizio è dispiegato in modo scaglionato: le otto Aziende USL passano in sequenza, per fasi semestrali, dalla condizione di controllo a quella di intervento, a partire dalle aziende di maggiore dimensione e prontezza, sino a coprire l’intera regione, secondo un ordine definito dalla Giunta su criteri trasparenti e con il coordinamento unitario della Regione.</w:t>
      </w:r>
      <w:r>
        <w:rPr>
          <w:rStyle w:val="FootnoteReference"/>
        </w:rPr>
        <w:footnoteReference w:id="2357"/>
      </w:r>
      <w:r>
        <w:t xml:space="preserve"> </w:t>
      </w:r>
      <w:r>
        <w:t xml:space="preserve">Questo disegno assolve una doppia funzione: organizzativa, perché consente un avvio graduale compatibile con i tempi del reclutamento e della formazione; e valutativa, perché la successione configura un esperimento naturale che fonda la valutazione controfattuale d’impatto della Parte L.</w:t>
      </w:r>
      <w:r>
        <w:rPr>
          <w:rStyle w:val="FootnoteReference"/>
        </w:rPr>
        <w:footnoteReference w:id="2358"/>
      </w:r>
      <w:r>
        <w:t xml:space="preserve"> </w:t>
      </w:r>
      <w:r>
        <w:t xml:space="preserve">Il reclutamento, a fronte di un fabbisogno di circa 970 psicologi, avviene tramite elenco aziendale e rapporto convenzionale, valorizzando in prima applicazione l’esperienza maturata nei progetti aziendali già attivi — un punto di forza dell’Emilia-Romagna, che dispone di un’ampia base di professionisti e di esperienze consolidate.</w:t>
      </w:r>
      <w:r>
        <w:rPr>
          <w:rStyle w:val="FootnoteReference"/>
        </w:rPr>
        <w:footnoteReference w:id="2359"/>
      </w:r>
      <w:r>
        <w:t xml:space="preserve"> </w:t>
      </w:r>
      <w:r>
        <w:t xml:space="preserve">Il cronoprogramma procede per fasi semestrali, con il monitoraggio che accompagna l’intero arco e prosegue oltre il completamento.</w:t>
      </w:r>
      <w:r>
        <w:rPr>
          <w:rStyle w:val="FootnoteReference"/>
        </w:rPr>
        <w:footnoteReference w:id="2360"/>
      </w:r>
      <w:r>
        <w:t xml:space="preserve"> </w:t>
      </w:r>
      <w:r>
        <w:t xml:space="preserve">Tra i parametri che muterebbero le conclusioni figura un tasso di recupero inferiore al 50% in fase di attuazione, che il monitoraggio è chiamato a verificare sui dati regionali.</w:t>
      </w:r>
      <w:r>
        <w:rPr>
          <w:rStyle w:val="FootnoteReference"/>
        </w:rPr>
        <w:footnoteReference w:id="2361"/>
      </w:r>
      <w:r>
        <w:t xml:space="preserve"> </w:t>
      </w:r>
      <w:r>
        <w:t xml:space="preserve">La tabella seguente espone le fasi.</w:t>
      </w:r>
    </w:p>
    <w:tbl>
      <w:tblPr>
        <w:tblStyle w:val="Table"/>
        <w:tblW w:type="pct" w:w="492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23"/>
        <w:gridCol w:w="568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 del dispiegamento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Fase 1 (primo semestre)</w:t>
            </w:r>
          </w:p>
        </w:tc>
        <w:tc>
          <w:tcPr/>
          <w:p>
            <w:pPr>
              <w:pStyle w:val="Compact"/>
              <w:spacing w:after="40" w:before="40"/>
              <w:jc w:val="left"/>
            </w:pPr>
            <w:r>
              <w:rPr>
                <w:rFonts w:ascii="Cambria" w:hAnsi="Cambria" w:cs="Cambria" w:eastAsia="Cambria"/>
                <w:color w:val="1A1A1A"/>
                <w:sz w:val="18"/>
              </w:rPr>
              <w:t xml:space="preserve">Avvio nelle Aziende USL di maggiore dimensione e prontezza; reclutamento e formazione iniziali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Fasi 2–8 (semestri successivi)</w:t>
            </w:r>
          </w:p>
        </w:tc>
        <w:tc>
          <w:tcPr>
            <w:shd w:val="clear" w:color="auto" w:fill="F4F1EC"/>
          </w:tcPr>
          <w:p>
            <w:pPr>
              <w:pStyle w:val="Compact"/>
              <w:spacing w:after="40" w:before="40"/>
              <w:jc w:val="left"/>
            </w:pPr>
            <w:r>
              <w:rPr>
                <w:rFonts w:ascii="Cambria" w:hAnsi="Cambria" w:cs="Cambria" w:eastAsia="Cambria"/>
                <w:color w:val="1A1A1A"/>
                <w:sz w:val="18"/>
              </w:rPr>
              <w:t xml:space="preserve">Estensione progressiva alle altre Aziende USL; attivazione scaglionata secondo l’ordine definito</w:t>
            </w:r>
          </w:p>
        </w:tc>
      </w:tr>
      <w:tr>
        <w:tc>
          <w:tcPr/>
          <w:p>
            <w:pPr>
              <w:pStyle w:val="Compact"/>
              <w:spacing w:after="40" w:before="40"/>
              <w:jc w:val="left"/>
            </w:pPr>
            <w:r>
              <w:rPr>
                <w:rFonts w:ascii="Cambria" w:hAnsi="Cambria" w:cs="Cambria" w:eastAsia="Cambria"/>
                <w:b/>
                <w:bCs/>
                <w:color w:val="1A1A1A"/>
                <w:sz w:val="18"/>
              </w:rPr>
              <w:t xml:space="preserve">Fase finale (completamento)</w:t>
            </w:r>
          </w:p>
        </w:tc>
        <w:tc>
          <w:tcPr/>
          <w:p>
            <w:pPr>
              <w:pStyle w:val="Compact"/>
              <w:spacing w:after="40" w:before="40"/>
              <w:jc w:val="left"/>
            </w:pPr>
            <w:r>
              <w:rPr>
                <w:rFonts w:ascii="Cambria" w:hAnsi="Cambria" w:cs="Cambria" w:eastAsia="Cambria"/>
                <w:color w:val="1A1A1A"/>
                <w:sz w:val="18"/>
              </w:rPr>
              <w:t xml:space="preserve">Copertura dell’intero territorio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 trasversale</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che proseguono oltre il completamento del dispiegamento</w:t>
            </w:r>
          </w:p>
        </w:tc>
      </w:tr>
    </w:tbl>
    <w:p>
      <w:pPr>
        <w:pStyle w:val="BodyText"/>
      </w:pPr>
      <w:r>
        <w:rPr>
          <w:i/>
          <w:iCs/>
        </w:rPr>
        <w:t xml:space="preserve">Tabella I.2. Le fasi del dispiegamento scaglionato del servizio tra le otto Aziende USL.</w:t>
      </w:r>
    </w:p>
    <w:bookmarkEnd w:id="1698"/>
    <w:bookmarkStart w:id="4392" w:name="Xb286eed1772abb0d9fe9d5369a0ec94cca0034f"/>
    <w:p>
      <w:pPr>
        <w:pStyle w:val="Heading3"/>
      </w:pPr>
      <w:r>
        <w:t xml:space="preserve">I.3 Il caso commerciale: il modello contrattuale e la tariffa</w:t>
      </w:r>
    </w:p>
    <w:p>
      <w:pPr>
        <w:pStyle w:val="FirstParagraph"/>
      </w:pPr>
      <w:r>
        <w:t xml:space="preserve">Il caso commerciale riguarda la fattibilità dell’assetto contrattuale. Esso poggia su un rapporto convenzionale ancorato all’accordo della specialistica ambulatoriale, da cui discende un costo medio per incarico dell’ordine di 55.000 euro l’anno e i tre scenari di spesa — 27, 40 e 53 milioni — già esposti nella Parte E. Il modello dell’elenco aziendale e del rapporto convenzionale è già adottato da altre Regioni, non richiede la creazione di nuove figure professionali e, in Emilia-Romagna, può avvalersi dell’esperienza convenzionale già consolidata nelle cure primarie.</w:t>
      </w:r>
      <w:r>
        <w:rPr>
          <w:rStyle w:val="FootnoteReference"/>
        </w:rPr>
        <w:footnoteReference w:id="2362"/>
      </w:r>
    </w:p>
    <w:bookmarkEnd w:id="4392"/>
    <w:bookmarkStart w:id="1703" w:name="X145dcc9d7dae24c07b471630dd8bc06272fb91e"/>
    <w:p>
      <w:pPr>
        <w:pStyle w:val="Heading3"/>
      </w:pPr>
      <w:r>
        <w:t xml:space="preserve">I.4 Il caso gestionale: la governance e i rischi</w:t>
      </w:r>
    </w:p>
    <w:p>
      <w:pPr>
        <w:pStyle w:val="FirstParagraph"/>
      </w:pPr>
      <w:r>
        <w:t xml:space="preserve">Il caso gestionale riguarda la governance e i rischi. L’attuazione è governata su due livelli: a livello regionale, un comitato di indirizzo esercita le funzioni di indirizzo, programmazione, monitoraggio e controllo, riunendo la Regione, le Aziende USL, le Aziende Ospedaliero-Universitarie, gli Istituti di ricovero e cura, l’Ordine degli Psicologi dell’Emilia-Romagna, la medicina generale, la pediatria di libera scelta e le università regionali, ed è affiancato dall’Osservatorio regionale previsto dalle proposte di legge; a livello aziendale, ciascuna Azienda USL è responsabile dell’attuazione nel proprio ambito, secondo l’indirizzo unitario della Regione.</w:t>
      </w:r>
      <w:r>
        <w:rPr>
          <w:rStyle w:val="FootnoteReference"/>
        </w:rPr>
        <w:footnoteReference w:id="2363"/>
      </w:r>
      <w:r>
        <w:t xml:space="preserve"> </w:t>
      </w:r>
      <w:r>
        <w:t xml:space="preserve">I rischi attuativi principali — reclutamento insufficiente, debole adesione della medicina generale, interoperabilità incompleta, disomogeneità territoriale e venir meno delle coperture — sono associati a misure di mitigazione dedicate, e il dispiegamento graduale è esso stesso la principale forma di mitigazione, poiché consente di osservare e correggere prima dell’estensione.</w:t>
      </w:r>
      <w:r>
        <w:rPr>
          <w:rStyle w:val="FootnoteReference"/>
        </w:rPr>
        <w:footnoteReference w:id="2364"/>
      </w:r>
      <w:r>
        <w:t xml:space="preserve"> </w:t>
      </w:r>
      <w:r>
        <w:t xml:space="preserve">La tabella seguente riepiloga rischi e misure.</w:t>
      </w:r>
    </w:p>
    <w:tbl>
      <w:tblPr>
        <w:tblStyle w:val="Table"/>
        <w:tblW w:type="pct" w:w="493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54"/>
        <w:gridCol w:w="1954"/>
        <w:gridCol w:w="390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w:t>
            </w:r>
          </w:p>
        </w:tc>
        <w:tc>
          <w:tcPr>
            <w:shd w:val="clear" w:color="auto" w:fill="16264B"/>
          </w:tcPr>
          <w:p>
            <w:pPr>
              <w:pStyle w:val="Compact"/>
              <w:spacing w:after="40" w:before="40"/>
              <w:jc w:val="left"/>
            </w:pPr>
            <w:r>
              <w:rPr>
                <w:rFonts w:ascii="Cambria" w:hAnsi="Cambria" w:cs="Cambria" w:eastAsia="Cambria"/>
                <w:b/>
                <w:bCs/>
                <w:color w:val="FFFFFF"/>
                <w:sz w:val="18"/>
              </w:rPr>
              <w:t xml:space="preserve">Misura di mitigazione</w:t>
            </w:r>
          </w:p>
        </w:tc>
      </w:tr>
      <w:tr>
        <w:tc>
          <w:tcPr/>
          <w:p>
            <w:pPr>
              <w:pStyle w:val="Compact"/>
              <w:spacing w:after="40" w:before="40"/>
              <w:jc w:val="left"/>
            </w:pPr>
            <w:r>
              <w:rPr>
                <w:rFonts w:ascii="Cambria" w:hAnsi="Cambria" w:cs="Cambria" w:eastAsia="Cambria"/>
                <w:b/>
                <w:bCs/>
                <w:color w:val="1A1A1A"/>
                <w:sz w:val="18"/>
              </w:rPr>
              <w:t xml:space="preserve">Reclutamento insufficiente</w:t>
            </w:r>
          </w:p>
        </w:tc>
        <w:tc>
          <w:tcPr/>
          <w:p>
            <w:pPr>
              <w:pStyle w:val="Compact"/>
              <w:spacing w:after="40" w:before="40"/>
              <w:jc w:val="left"/>
            </w:pPr>
            <w:r>
              <w:rPr>
                <w:rFonts w:ascii="Cambria" w:hAnsi="Cambria" w:cs="Cambria" w:eastAsia="Cambria"/>
                <w:color w:val="1A1A1A"/>
                <w:sz w:val="18"/>
              </w:rPr>
              <w:t xml:space="preserve">Carenza di psicologi formati</w:t>
            </w:r>
          </w:p>
        </w:tc>
        <w:tc>
          <w:tcPr/>
          <w:p>
            <w:pPr>
              <w:pStyle w:val="Compact"/>
              <w:spacing w:after="40" w:before="40"/>
              <w:jc w:val="left"/>
            </w:pPr>
            <w:r>
              <w:rPr>
                <w:rFonts w:ascii="Cambria" w:hAnsi="Cambria" w:cs="Cambria" w:eastAsia="Cambria"/>
                <w:color w:val="1A1A1A"/>
                <w:sz w:val="18"/>
              </w:rPr>
              <w:t xml:space="preserve">Dispiegamento graduale; formazione anticipata e scaglionata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Adesione della medicina generale</w:t>
            </w:r>
          </w:p>
        </w:tc>
        <w:tc>
          <w:tcPr>
            <w:shd w:val="clear" w:color="auto" w:fill="F4F1EC"/>
          </w:tcPr>
          <w:p>
            <w:pPr>
              <w:pStyle w:val="Compact"/>
              <w:spacing w:after="40" w:before="40"/>
              <w:jc w:val="left"/>
            </w:pPr>
            <w:r>
              <w:rPr>
                <w:rFonts w:ascii="Cambria" w:hAnsi="Cambria" w:cs="Cambria" w:eastAsia="Cambria"/>
                <w:color w:val="1A1A1A"/>
                <w:sz w:val="18"/>
              </w:rPr>
              <w:t xml:space="preserve">Integrazione debole nel percorso</w:t>
            </w:r>
          </w:p>
        </w:tc>
        <w:tc>
          <w:tcPr>
            <w:shd w:val="clear" w:color="auto" w:fill="F4F1EC"/>
          </w:tcPr>
          <w:p>
            <w:pPr>
              <w:pStyle w:val="Compact"/>
              <w:spacing w:after="40" w:before="40"/>
              <w:jc w:val="left"/>
            </w:pPr>
            <w:r>
              <w:rPr>
                <w:rFonts w:ascii="Cambria" w:hAnsi="Cambria" w:cs="Cambria" w:eastAsia="Cambria"/>
                <w:color w:val="1A1A1A"/>
                <w:sz w:val="18"/>
              </w:rPr>
              <w:t xml:space="preserve">Protocolli di invio; formazione congiunta; governance condivisa</w:t>
            </w:r>
          </w:p>
        </w:tc>
      </w:tr>
      <w:tr>
        <w:tc>
          <w:tcPr/>
          <w:p>
            <w:pPr>
              <w:pStyle w:val="Compact"/>
              <w:spacing w:after="40" w:before="40"/>
              <w:jc w:val="left"/>
            </w:pPr>
            <w:r>
              <w:rPr>
                <w:rFonts w:ascii="Cambria" w:hAnsi="Cambria" w:cs="Cambria" w:eastAsia="Cambria"/>
                <w:b/>
                <w:bCs/>
                <w:color w:val="1A1A1A"/>
                <w:sz w:val="18"/>
              </w:rPr>
              <w:t xml:space="preserve">Sistemi informativi</w:t>
            </w:r>
          </w:p>
        </w:tc>
        <w:tc>
          <w:tcPr/>
          <w:p>
            <w:pPr>
              <w:pStyle w:val="Compact"/>
              <w:spacing w:after="40" w:before="40"/>
              <w:jc w:val="left"/>
            </w:pPr>
            <w:r>
              <w:rPr>
                <w:rFonts w:ascii="Cambria" w:hAnsi="Cambria" w:cs="Cambria" w:eastAsia="Cambria"/>
                <w:color w:val="1A1A1A"/>
                <w:sz w:val="18"/>
              </w:rPr>
              <w:t xml:space="preserve">Interoperabilità incompleta</w:t>
            </w:r>
          </w:p>
        </w:tc>
        <w:tc>
          <w:tcPr/>
          <w:p>
            <w:pPr>
              <w:pStyle w:val="Compact"/>
              <w:spacing w:after="40" w:before="40"/>
              <w:jc w:val="left"/>
            </w:pPr>
            <w:r>
              <w:rPr>
                <w:rFonts w:ascii="Cambria" w:hAnsi="Cambria" w:cs="Cambria" w:eastAsia="Cambria"/>
                <w:color w:val="1A1A1A"/>
                <w:sz w:val="18"/>
              </w:rPr>
              <w:t xml:space="preserve">Cartella interoperabile; standard nazionali; raccordo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Disomogeneità territoriale</w:t>
            </w:r>
          </w:p>
        </w:tc>
        <w:tc>
          <w:tcPr>
            <w:shd w:val="clear" w:color="auto" w:fill="F4F1EC"/>
          </w:tcPr>
          <w:p>
            <w:pPr>
              <w:pStyle w:val="Compact"/>
              <w:spacing w:after="40" w:before="40"/>
              <w:jc w:val="left"/>
            </w:pPr>
            <w:r>
              <w:rPr>
                <w:rFonts w:ascii="Cambria" w:hAnsi="Cambria" w:cs="Cambria" w:eastAsia="Cambria"/>
                <w:color w:val="1A1A1A"/>
                <w:sz w:val="18"/>
              </w:rPr>
              <w:t xml:space="preserve">Attuazione diseguale tra Aziende USL</w:t>
            </w:r>
          </w:p>
        </w:tc>
        <w:tc>
          <w:tcPr>
            <w:shd w:val="clear" w:color="auto" w:fill="F4F1EC"/>
          </w:tcPr>
          <w:p>
            <w:pPr>
              <w:pStyle w:val="Compact"/>
              <w:spacing w:after="40" w:before="40"/>
              <w:jc w:val="left"/>
            </w:pPr>
            <w:r>
              <w:rPr>
                <w:rFonts w:ascii="Cambria" w:hAnsi="Cambria" w:cs="Cambria" w:eastAsia="Cambria"/>
                <w:color w:val="1A1A1A"/>
                <w:sz w:val="18"/>
              </w:rPr>
              <w:t xml:space="preserve">Algoritmo allocativo; indirizzo regionale; monitoraggio per area</w:t>
            </w:r>
          </w:p>
        </w:tc>
      </w:tr>
      <w:tr>
        <w:tc>
          <w:tcPr/>
          <w:p>
            <w:pPr>
              <w:pStyle w:val="Compact"/>
              <w:spacing w:after="40" w:before="40"/>
              <w:jc w:val="left"/>
            </w:pPr>
            <w:r>
              <w:rPr>
                <w:rFonts w:ascii="Cambria" w:hAnsi="Cambria" w:cs="Cambria" w:eastAsia="Cambria"/>
                <w:b/>
                <w:bCs/>
                <w:color w:val="1A1A1A"/>
                <w:sz w:val="18"/>
              </w:rPr>
              <w:t xml:space="preserve">Venir meno delle coperture</w:t>
            </w:r>
          </w:p>
        </w:tc>
        <w:tc>
          <w:tcPr/>
          <w:p>
            <w:pPr>
              <w:pStyle w:val="Compact"/>
              <w:spacing w:after="40" w:before="40"/>
              <w:jc w:val="left"/>
            </w:pPr>
            <w:r>
              <w:rPr>
                <w:rFonts w:ascii="Cambria" w:hAnsi="Cambria" w:cs="Cambria" w:eastAsia="Cambria"/>
                <w:color w:val="1A1A1A"/>
                <w:sz w:val="18"/>
              </w:rPr>
              <w:t xml:space="preserve">Fragilità finanziaria</w:t>
            </w:r>
          </w:p>
        </w:tc>
        <w:tc>
          <w:tcPr/>
          <w:p>
            <w:pPr>
              <w:pStyle w:val="Compact"/>
              <w:spacing w:after="40" w:before="40"/>
              <w:jc w:val="left"/>
            </w:pPr>
            <w:r>
              <w:rPr>
                <w:rFonts w:ascii="Cambria" w:hAnsi="Cambria" w:cs="Cambria" w:eastAsia="Cambria"/>
                <w:color w:val="1A1A1A"/>
                <w:sz w:val="18"/>
              </w:rPr>
              <w:t xml:space="preserve">Istituzionalizzazione; copertura ordinaria su bilancio prossimo al pareggio</w:t>
            </w:r>
          </w:p>
        </w:tc>
      </w:tr>
    </w:tbl>
    <w:p>
      <w:pPr>
        <w:pStyle w:val="BodyText"/>
      </w:pPr>
      <w:r>
        <w:rPr>
          <w:i/>
          <w:iCs/>
        </w:rPr>
        <w:t xml:space="preserve">Tabella I.3. I rischi attuativi e le relative misure di mitigazione.</w:t>
      </w:r>
    </w:p>
    <w:bookmarkEnd w:id="1703"/>
    <w:bookmarkStart w:id="1708" w:name="Xae118ea2cce82326768fe029a458b0aafd773a0"/>
    <w:p>
      <w:pPr>
        <w:pStyle w:val="Heading3"/>
      </w:pPr>
      <w:r>
        <w:t xml:space="preserve">I.5 La sostenibilità finanziaria e le coperture</w:t>
      </w:r>
    </w:p>
    <w:p>
      <w:pPr>
        <w:pStyle w:val="FirstParagraph"/>
      </w:pPr>
      <w:r>
        <w:t xml:space="preserve">Il caso finanziario riguarda le coperture e la sostenibilità. Le fonti comprendono il finanziamento ordinario del Servizio sanitario regionale, superiore ai dieci miliardi di euro, la Missione 6 del Piano Nazionale di Ripresa e Resilienza per l’infrastruttura territoriale e digitale, e un eventuale fondo statale a sostegno dei livelli essenziali.</w:t>
      </w:r>
      <w:r>
        <w:rPr>
          <w:rStyle w:val="FootnoteReference"/>
        </w:rPr>
        <w:footnoteReference w:id="2365"/>
      </w:r>
      <w:r>
        <w:t xml:space="preserve"> </w:t>
      </w:r>
      <w:r>
        <w:t xml:space="preserve">Il vincolo di bilancio non è stringente: con conti prossimi al pareggio e in assenza di piano di rientro, il costo del servizio, anche a massima copertura, costituisce una frazione dell’ordine di mezzo punto percentuale del finanziamento, agevolmente assorbibile, sicché la sostenibilità è in Emilia-Romagna più immediata che nelle regioni in difficoltà.</w:t>
      </w:r>
      <w:r>
        <w:rPr>
          <w:rStyle w:val="FootnoteReference"/>
        </w:rPr>
        <w:footnoteReference w:id="2366"/>
      </w:r>
      <w:r>
        <w:t xml:space="preserve"> </w:t>
      </w:r>
      <w:r>
        <w:t xml:space="preserve">Nel lungo periodo, la sostenibilità è assicurata dalla modestia del costo, dal forte ritorno sociale, dall’istituzionalizzazione già in itinere e dalle economie di scala del coordinamento regionale.</w:t>
      </w:r>
      <w:r>
        <w:rPr>
          <w:rStyle w:val="FootnoteReference"/>
        </w:rPr>
        <w:footnoteReference w:id="2367"/>
      </w:r>
      <w:r>
        <w:t xml:space="preserve"> </w:t>
      </w:r>
      <w:r>
        <w:t xml:space="preserve">Resta ferma la cautela metodologica già dichiarata: i risultati italiani provengono in parte da letteratura grigia e i benchmark esteri richiedono adattamento, sicché la verifica empirica sui dati regionali, prevista dalla Parte L, è chiamata a sostituire progressivamente le stime con misure osservate.</w:t>
      </w:r>
      <w:r>
        <w:rPr>
          <w:rStyle w:val="FootnoteReference"/>
        </w:rPr>
        <w:footnoteReference w:id="2368"/>
      </w:r>
      <w:r>
        <w:t xml:space="preserve"> </w:t>
      </w:r>
      <w:r>
        <w:t xml:space="preserve">Dimostrate l’attuabilità e la sostenibilità, la parte che segue definisce il sistema di monitoraggio e di valutazione ex post.</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L</w:t>
      </w:r>
    </w:p>
    <w:p>
      <w:pPr>
        <w:pStyle w:val="BodyText"/>
      </w:pPr>
      <w:r>
        <w:rPr>
          <w:b/>
          <w:bCs/>
        </w:rPr>
        <w:t xml:space="preserve">Monitoraggio, valutazione ed ex post</w:t>
      </w:r>
    </w:p>
    <w:p>
      <w:pPr>
        <w:pStyle w:val="BodyText"/>
      </w:pPr>
      <w:r>
        <w:rPr>
          <w:i/>
          <w:iCs/>
        </w:rPr>
        <w:t xml:space="preserve">Sistema di indicatori, protocollo e baseline, valutazione controfattuale, verifica ex post, indicatori compositi</w:t>
      </w:r>
    </w:p>
    <w:p>
      <w:pPr>
        <w:pStyle w:val="BodyText"/>
      </w:pPr>
      <w:r>
        <w:t xml:space="preserve">Verifica ex post · esperimento naturale e clausola valutativa · fondamento empirico delle stime</w:t>
      </w:r>
    </w:p>
    <w:bookmarkEnd w:id="1708"/>
    <w:bookmarkEnd w:id="1709"/>
    <w:bookmarkStart w:id="1752" w:name="Xfbafe6aaf9adaafa4d56f233261594cf1d8dfeb"/>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2369"/>
      </w:r>
      <w:r>
        <w:rPr>
          <w:rStyle w:val="FootnoteReference"/>
        </w:rPr>
        <w:footnoteReference w:id="2370"/>
      </w:r>
      <w:r>
        <w:rPr>
          <w:rStyle w:val="FootnoteReference"/>
        </w:rPr>
        <w:footnoteReference w:id="2371"/>
      </w:r>
      <w:r>
        <w:rPr>
          <w:rStyle w:val="FootnoteReference"/>
        </w:rPr>
        <w:footnoteReference w:id="2372"/>
      </w:r>
      <w:r>
        <w:rPr>
          <w:rStyle w:val="FootnoteReference"/>
        </w:rPr>
        <w:footnoteReference w:id="2373"/>
      </w:r>
      <w:r>
        <w:rPr>
          <w:rStyle w:val="FootnoteReference"/>
        </w:rPr>
        <w:footnoteReference w:id="2374"/>
      </w:r>
      <w:r>
        <w:rPr>
          <w:rStyle w:val="FootnoteReference"/>
        </w:rPr>
        <w:footnoteReference w:id="2375"/>
      </w:r>
      <w:r>
        <w:rPr>
          <w:rStyle w:val="FootnoteReference"/>
        </w:rPr>
        <w:footnoteReference w:id="2376"/>
      </w:r>
      <w:r>
        <w:rPr>
          <w:rStyle w:val="FootnoteReference"/>
        </w:rPr>
        <w:footnoteReference w:id="2377"/>
      </w:r>
      <w:r>
        <w:rPr>
          <w:rStyle w:val="FootnoteReference"/>
        </w:rPr>
        <w:footnoteReference w:id="2378"/>
      </w:r>
      <w:r>
        <w:rPr>
          <w:rStyle w:val="FootnoteReference"/>
        </w:rPr>
        <w:footnoteReference w:id="2379"/>
      </w:r>
      <w:r>
        <w:rPr>
          <w:rStyle w:val="FootnoteReference"/>
        </w:rPr>
        <w:footnoteReference w:id="2380"/>
      </w:r>
      <w:r>
        <w:rPr>
          <w:rStyle w:val="FootnoteReference"/>
        </w:rPr>
        <w:footnoteReference w:id="2381"/>
      </w:r>
      <w:r>
        <w:rPr>
          <w:rStyle w:val="FootnoteReference"/>
        </w:rPr>
        <w:footnoteReference w:id="2382"/>
      </w:r>
      <w:r>
        <w:rPr>
          <w:rStyle w:val="FootnoteReference"/>
        </w:rPr>
        <w:footnoteReference w:id="2383"/>
      </w:r>
      <w:r>
        <w:rPr>
          <w:rStyle w:val="FootnoteReference"/>
        </w:rPr>
        <w:footnoteReference w:id="2384"/>
      </w:r>
      <w:r>
        <w:rPr>
          <w:rStyle w:val="FootnoteReference"/>
        </w:rPr>
        <w:footnoteReference w:id="2385"/>
      </w:r>
      <w:r>
        <w:rPr>
          <w:rStyle w:val="FootnoteReference"/>
        </w:rPr>
        <w:footnoteReference w:id="2386"/>
      </w:r>
      <w:r>
        <w:rPr>
          <w:rStyle w:val="FootnoteReference"/>
        </w:rPr>
        <w:footnoteReference w:id="2387"/>
      </w:r>
      <w:r>
        <w:t xml:space="preserve"> </w:t>
      </w:r>
      <w:r>
        <w:t xml:space="preserve">Vale qui una verifica onesta della completezza del progetto, che conduce a una conclusione netta: al progetto non manca un’architettura, ma il radicamento nei dati e l’avvio della misurazione. Le parti seguenti definiscono perciò gli strumenti di questo radicamento: il sistema di indicatori (capitolo L.1), il protocollo che li alimenta e la baseline (L.2), la valutazione controfattuale che ne trae prove causali (L.3), la verifica ex post della norma (L.4) e gli indicatori compositi che ne sintetizzano i risultati nel cruscotto (L.5). Per l’Emilia-Romagna, la successione delle otto Aziende USL offre un esperimento naturale di particolare robustezza.</w:t>
      </w:r>
    </w:p>
    <w:bookmarkStart w:id="1733" w:name="l.1-il-sistema-di-indicatori-3"/>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2388"/>
      </w:r>
      <w:r>
        <w:t xml:space="preserve"> </w:t>
      </w:r>
      <w:r>
        <w:t xml:space="preserve">Su questa ossatura si dispone una batteria di circa cinquantotto misure, articolate in otto categorie, delle quali una parte è già ricavabile dalle statistiche correnti e circa quaranta richiedono la rilevazione diretta del servizio.</w:t>
      </w:r>
      <w:r>
        <w:rPr>
          <w:rStyle w:val="FootnoteReference"/>
        </w:rPr>
        <w:footnoteReference w:id="2389"/>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2390"/>
      </w:r>
      <w:r>
        <w:t xml:space="preserve"> </w:t>
      </w:r>
      <w:r>
        <w:t xml:space="preserve">Misurare molto non equivale a misurare bene. La tabella seguente riepiloga le otto categorie e lo stato della rispettiva baseline.</w:t>
      </w:r>
      <w:r>
        <w:rPr>
          <w:rStyle w:val="FootnoteReference"/>
        </w:rPr>
        <w:footnoteReference w:id="2391"/>
      </w:r>
    </w:p>
    <w:tbl>
      <w:tblPr>
        <w:tblStyle w:val="Table"/>
        <w:tblW w:type="pct" w:w="491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43"/>
        <w:gridCol w:w="4301"/>
        <w:gridCol w:w="16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Esempi di indicatori</w:t>
            </w:r>
          </w:p>
        </w:tc>
        <w:tc>
          <w:tcPr>
            <w:shd w:val="clear" w:color="auto" w:fill="16264B"/>
          </w:tcPr>
          <w:p>
            <w:pPr>
              <w:pStyle w:val="Compact"/>
              <w:spacing w:after="40" w:before="40"/>
              <w:jc w:val="left"/>
            </w:pPr>
            <w:r>
              <w:rPr>
                <w:rFonts w:ascii="Cambria" w:hAnsi="Cambria" w:cs="Cambria" w:eastAsia="Cambria"/>
                <w:b/>
                <w:bCs/>
                <w:color w:val="FFFFFF"/>
                <w:sz w:val="18"/>
              </w:rPr>
              <w:t xml:space="preserve">Baseline</w:t>
            </w:r>
          </w:p>
        </w:tc>
      </w:tr>
      <w:tr>
        <w:tc>
          <w:tcPr/>
          <w:p>
            <w:pPr>
              <w:pStyle w:val="Compact"/>
              <w:spacing w:after="40" w:before="40"/>
              <w:jc w:val="left"/>
            </w:pPr>
            <w:r>
              <w:rPr>
                <w:rFonts w:ascii="Cambria" w:hAnsi="Cambria" w:cs="Cambria" w:eastAsia="Cambria"/>
                <w:b/>
                <w:bCs/>
                <w:color w:val="1A1A1A"/>
                <w:sz w:val="18"/>
              </w:rPr>
              <w:t xml:space="preserve">Bisogno e domanda</w:t>
            </w:r>
          </w:p>
        </w:tc>
        <w:tc>
          <w:tcPr/>
          <w:p>
            <w:pPr>
              <w:pStyle w:val="Compact"/>
              <w:spacing w:after="40" w:before="40"/>
              <w:jc w:val="left"/>
            </w:pPr>
            <w:r>
              <w:rPr>
                <w:rFonts w:ascii="Cambria" w:hAnsi="Cambria" w:cs="Cambria" w:eastAsia="Cambria"/>
                <w:color w:val="1A1A1A"/>
                <w:sz w:val="18"/>
              </w:rPr>
              <w:t xml:space="preserve">Prevalenza del disagio, utenza dei servizi, accessi impropri</w:t>
            </w:r>
          </w:p>
        </w:tc>
        <w:tc>
          <w:tcPr/>
          <w:p>
            <w:pPr>
              <w:pStyle w:val="Compact"/>
              <w:spacing w:after="40" w:before="40"/>
              <w:jc w:val="left"/>
            </w:pPr>
            <w:r>
              <w:rPr>
                <w:rFonts w:ascii="Cambria" w:hAnsi="Cambria" w:cs="Cambria" w:eastAsia="Cambria"/>
                <w:color w:val="1A1A1A"/>
                <w:sz w:val="18"/>
              </w:rPr>
              <w:t xml:space="preserve">Disponibile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Accesso ed equità</w:t>
            </w:r>
          </w:p>
        </w:tc>
        <w:tc>
          <w:tcPr>
            <w:shd w:val="clear" w:color="auto" w:fill="F4F1EC"/>
          </w:tcPr>
          <w:p>
            <w:pPr>
              <w:pStyle w:val="Compact"/>
              <w:spacing w:after="40" w:before="40"/>
              <w:jc w:val="left"/>
            </w:pPr>
            <w:r>
              <w:rPr>
                <w:rFonts w:ascii="Cambria" w:hAnsi="Cambria" w:cs="Cambria" w:eastAsia="Cambria"/>
                <w:color w:val="1A1A1A"/>
                <w:sz w:val="18"/>
              </w:rPr>
              <w:t xml:space="preserve">Tempo di attesa, copertura, divari tra Aziende</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Processo</w:t>
            </w:r>
          </w:p>
        </w:tc>
        <w:tc>
          <w:tcPr/>
          <w:p>
            <w:pPr>
              <w:pStyle w:val="Compact"/>
              <w:spacing w:after="40" w:before="40"/>
              <w:jc w:val="left"/>
            </w:pPr>
            <w:r>
              <w:rPr>
                <w:rFonts w:ascii="Cambria" w:hAnsi="Cambria" w:cs="Cambria" w:eastAsia="Cambria"/>
                <w:color w:val="1A1A1A"/>
                <w:sz w:val="18"/>
              </w:rPr>
              <w:t xml:space="preserve">Sedute erogate, cicli completati, abbandoni</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clinico</w:t>
            </w:r>
          </w:p>
        </w:tc>
        <w:tc>
          <w:tcPr>
            <w:shd w:val="clear" w:color="auto" w:fill="F4F1EC"/>
          </w:tcPr>
          <w:p>
            <w:pPr>
              <w:pStyle w:val="Compact"/>
              <w:spacing w:after="40" w:before="40"/>
              <w:jc w:val="left"/>
            </w:pPr>
            <w:r>
              <w:rPr>
                <w:rFonts w:ascii="Cambria" w:hAnsi="Cambria" w:cs="Cambria" w:eastAsia="Cambria"/>
                <w:color w:val="1A1A1A"/>
                <w:sz w:val="18"/>
              </w:rPr>
              <w:t xml:space="preserve">Recupero, miglioramento affidabile, mantenimento</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Economici</w:t>
            </w:r>
          </w:p>
        </w:tc>
        <w:tc>
          <w:tcPr/>
          <w:p>
            <w:pPr>
              <w:pStyle w:val="Compact"/>
              <w:spacing w:after="40" w:before="40"/>
              <w:jc w:val="left"/>
            </w:pPr>
            <w:r>
              <w:rPr>
                <w:rFonts w:ascii="Cambria" w:hAnsi="Cambria" w:cs="Cambria" w:eastAsia="Cambria"/>
                <w:color w:val="1A1A1A"/>
                <w:sz w:val="18"/>
              </w:rPr>
              <w:t xml:space="preserve">Risparmi per canale, costo per esito</w:t>
            </w:r>
          </w:p>
        </w:tc>
        <w:tc>
          <w:tcPr/>
          <w:p>
            <w:pPr>
              <w:pStyle w:val="Compact"/>
              <w:spacing w:after="40" w:before="40"/>
              <w:jc w:val="left"/>
            </w:pPr>
            <w:r>
              <w:rPr>
                <w:rFonts w:ascii="Cambria" w:hAnsi="Cambria" w:cs="Cambria" w:eastAsia="Cambria"/>
                <w:color w:val="1A1A1A"/>
                <w:sz w:val="18"/>
              </w:rPr>
              <w:t xml:space="preserve">Misto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sociale</w:t>
            </w:r>
          </w:p>
        </w:tc>
        <w:tc>
          <w:tcPr>
            <w:shd w:val="clear" w:color="auto" w:fill="F4F1EC"/>
          </w:tcPr>
          <w:p>
            <w:pPr>
              <w:pStyle w:val="Compact"/>
              <w:spacing w:after="40" w:before="40"/>
              <w:jc w:val="left"/>
            </w:pPr>
            <w:r>
              <w:rPr>
                <w:rFonts w:ascii="Cambria" w:hAnsi="Cambria" w:cs="Cambria" w:eastAsia="Cambria"/>
                <w:color w:val="1A1A1A"/>
                <w:sz w:val="18"/>
              </w:rPr>
              <w:t xml:space="preserve">Produttività, benessere, indicatori territoriali</w:t>
            </w:r>
          </w:p>
        </w:tc>
        <w:tc>
          <w:tcPr>
            <w:shd w:val="clear" w:color="auto" w:fill="F4F1EC"/>
          </w:tcPr>
          <w:p>
            <w:pPr>
              <w:pStyle w:val="Compact"/>
              <w:spacing w:after="40" w:before="40"/>
              <w:jc w:val="left"/>
            </w:pPr>
            <w:r>
              <w:rPr>
                <w:rFonts w:ascii="Cambria" w:hAnsi="Cambria" w:cs="Cambria" w:eastAsia="Cambria"/>
                <w:color w:val="1A1A1A"/>
                <w:sz w:val="18"/>
              </w:rPr>
              <w:t xml:space="preserve">Misto</w:t>
            </w:r>
          </w:p>
        </w:tc>
      </w:tr>
      <w:tr>
        <w:tc>
          <w:tcPr/>
          <w:p>
            <w:pPr>
              <w:pStyle w:val="Compact"/>
              <w:spacing w:after="40" w:before="40"/>
              <w:jc w:val="left"/>
            </w:pPr>
            <w:r>
              <w:rPr>
                <w:rFonts w:ascii="Cambria" w:hAnsi="Cambria" w:cs="Cambria" w:eastAsia="Cambria"/>
                <w:b/>
                <w:bCs/>
                <w:color w:val="1A1A1A"/>
                <w:sz w:val="18"/>
              </w:rPr>
              <w:t xml:space="preserve">Organizzativi</w:t>
            </w:r>
          </w:p>
        </w:tc>
        <w:tc>
          <w:tcPr/>
          <w:p>
            <w:pPr>
              <w:pStyle w:val="Compact"/>
              <w:spacing w:after="40" w:before="40"/>
              <w:jc w:val="left"/>
            </w:pPr>
            <w:r>
              <w:rPr>
                <w:rFonts w:ascii="Cambria" w:hAnsi="Cambria" w:cs="Cambria" w:eastAsia="Cambria"/>
                <w:color w:val="1A1A1A"/>
                <w:sz w:val="18"/>
              </w:rPr>
              <w:t xml:space="preserve">Reclutamento, formazione, fedeltà al modello</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Variabili di sintesi</w:t>
            </w:r>
          </w:p>
        </w:tc>
        <w:tc>
          <w:tcPr>
            <w:shd w:val="clear" w:color="auto" w:fill="F4F1EC"/>
          </w:tcPr>
          <w:p>
            <w:pPr>
              <w:pStyle w:val="Compact"/>
              <w:spacing w:after="40" w:before="40"/>
              <w:jc w:val="left"/>
            </w:pPr>
            <w:r>
              <w:rPr>
                <w:rFonts w:ascii="Cambria" w:hAnsi="Cambria" w:cs="Cambria" w:eastAsia="Cambria"/>
                <w:color w:val="1A1A1A"/>
                <w:sz w:val="18"/>
              </w:rPr>
              <w:t xml:space="preserve">Indici compositi di esito e di valore</w:t>
            </w:r>
          </w:p>
        </w:tc>
        <w:tc>
          <w:tcPr>
            <w:shd w:val="clear" w:color="auto" w:fill="F4F1EC"/>
          </w:tcPr>
          <w:p>
            <w:pPr>
              <w:pStyle w:val="Compact"/>
              <w:spacing w:after="40" w:before="40"/>
              <w:jc w:val="left"/>
            </w:pPr>
            <w:r>
              <w:rPr>
                <w:rFonts w:ascii="Cambria" w:hAnsi="Cambria" w:cs="Cambria" w:eastAsia="Cambria"/>
                <w:color w:val="1A1A1A"/>
                <w:sz w:val="18"/>
              </w:rPr>
              <w:t xml:space="preserve">Da calcolare</w:t>
            </w:r>
          </w:p>
        </w:tc>
      </w:tr>
    </w:tbl>
    <w:p>
      <w:pPr>
        <w:pStyle w:val="BodyText"/>
      </w:pPr>
      <w:r>
        <w:rPr>
          <w:i/>
          <w:iCs/>
        </w:rPr>
        <w:t xml:space="preserve">Tabella L.1. Le otto categorie di indicatori e lo stato della baseline. Circa quaranta indicatori richiedono la rilevazione diretta del servizio.</w:t>
      </w:r>
    </w:p>
    <w:bookmarkEnd w:id="1733"/>
    <w:bookmarkStart w:id="1739" w:name="X56b7828cf45452341970c76a08db938bd257fa1"/>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colma la lacuna di attivazione della misurazione.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2392"/>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2393"/>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2394"/>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e vanno registrati subito; la rilevazione di servizio parte con il primo assistito. Il principio è stringente, e merita di essere enunciato senza attenuazioni: ogni mese di ritardo nell’avvio della rilevazione è un mese di dati di base perduti, non recuperabili a posteriori.</w:t>
      </w:r>
      <w:r>
        <w:rPr>
          <w:rStyle w:val="FootnoteReference"/>
        </w:rPr>
        <w:footnoteReference w:id="2395"/>
      </w:r>
      <w:r>
        <w:t xml:space="preserve"> </w:t>
      </w:r>
      <w:r>
        <w:t xml:space="preserve">Il calendario disciplina questa sequenza, dalla costituzione della baseline prima dell’avvio, alla registrazione corrente dall’avvio, alla trasmissione mensile di indicatori aggregati al comitato di indirizzo regionale, fino al calcolo periodico delle misure di sintesi e all’aggiornamento del cruscotto.</w:t>
      </w:r>
      <w:r>
        <w:rPr>
          <w:rStyle w:val="FootnoteReference"/>
        </w:rPr>
        <w:footnoteReference w:id="2396"/>
      </w:r>
      <w:r>
        <w:t xml:space="preserve"> </w:t>
      </w:r>
      <w:r>
        <w:t xml:space="preserve">La tabella seguente lo riepiloga.</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94"/>
        <w:gridCol w:w="592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Momento</w:t>
            </w:r>
          </w:p>
        </w:tc>
        <w:tc>
          <w:tcPr>
            <w:shd w:val="clear" w:color="auto" w:fill="16264B"/>
          </w:tcPr>
          <w:p>
            <w:pPr>
              <w:pStyle w:val="Compact"/>
              <w:spacing w:after="40" w:before="40"/>
              <w:jc w:val="left"/>
            </w:pPr>
            <w:r>
              <w:rPr>
                <w:rFonts w:ascii="Cambria" w:hAnsi="Cambria" w:cs="Cambria" w:eastAsia="Cambria"/>
                <w:b/>
                <w:bCs/>
                <w:color w:val="FFFFFF"/>
                <w:sz w:val="18"/>
              </w:rPr>
              <w:t xml:space="preserve">Attività</w:t>
            </w:r>
          </w:p>
        </w:tc>
      </w:tr>
      <w:tr>
        <w:tc>
          <w:tcPr/>
          <w:p>
            <w:pPr>
              <w:pStyle w:val="Compact"/>
              <w:spacing w:after="40" w:before="40"/>
              <w:jc w:val="left"/>
            </w:pPr>
            <w:r>
              <w:rPr>
                <w:rFonts w:ascii="Cambria" w:hAnsi="Cambria" w:cs="Cambria" w:eastAsia="Cambria"/>
                <w:b/>
                <w:bCs/>
                <w:color w:val="1A1A1A"/>
                <w:sz w:val="18"/>
              </w:rPr>
              <w:t xml:space="preserve">Prima dell’avvio (per area)</w:t>
            </w:r>
          </w:p>
        </w:tc>
        <w:tc>
          <w:tcPr/>
          <w:p>
            <w:pPr>
              <w:pStyle w:val="Compact"/>
              <w:spacing w:after="40" w:before="40"/>
              <w:jc w:val="left"/>
            </w:pPr>
            <w:r>
              <w:rPr>
                <w:rFonts w:ascii="Cambria" w:hAnsi="Cambria" w:cs="Cambria" w:eastAsia="Cambria"/>
                <w:color w:val="1A1A1A"/>
                <w:sz w:val="18"/>
              </w:rPr>
              <w:t xml:space="preserve">Costituzione della baseline con i dati disponibili; predisposizione del registro e dei questionari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All’avvio</w:t>
            </w:r>
          </w:p>
        </w:tc>
        <w:tc>
          <w:tcPr>
            <w:shd w:val="clear" w:color="auto" w:fill="F4F1EC"/>
          </w:tcPr>
          <w:p>
            <w:pPr>
              <w:pStyle w:val="Compact"/>
              <w:spacing w:after="40" w:before="40"/>
              <w:jc w:val="left"/>
            </w:pPr>
            <w:r>
              <w:rPr>
                <w:rFonts w:ascii="Cambria" w:hAnsi="Cambria" w:cs="Cambria" w:eastAsia="Cambria"/>
                <w:color w:val="1A1A1A"/>
                <w:sz w:val="18"/>
              </w:rPr>
              <w:t xml:space="preserve">Inizio della registrazione di ogni presa in carico e di ogni seduta, con i punteggi di esito</w:t>
            </w:r>
          </w:p>
        </w:tc>
      </w:tr>
      <w:tr>
        <w:tc>
          <w:tcPr/>
          <w:p>
            <w:pPr>
              <w:pStyle w:val="Compact"/>
              <w:spacing w:after="40" w:before="40"/>
              <w:jc w:val="left"/>
            </w:pPr>
            <w:r>
              <w:rPr>
                <w:rFonts w:ascii="Cambria" w:hAnsi="Cambria" w:cs="Cambria" w:eastAsia="Cambria"/>
                <w:b/>
                <w:bCs/>
                <w:color w:val="1A1A1A"/>
                <w:sz w:val="18"/>
              </w:rPr>
              <w:t xml:space="preserve">In continuo</w:t>
            </w:r>
          </w:p>
        </w:tc>
        <w:tc>
          <w:tcPr/>
          <w:p>
            <w:pPr>
              <w:pStyle w:val="Compact"/>
              <w:spacing w:after="40" w:before="40"/>
              <w:jc w:val="left"/>
            </w:pPr>
            <w:r>
              <w:rPr>
                <w:rFonts w:ascii="Cambria" w:hAnsi="Cambria" w:cs="Cambria" w:eastAsia="Cambria"/>
                <w:color w:val="1A1A1A"/>
                <w:sz w:val="18"/>
              </w:rPr>
              <w:t xml:space="preserve">Alimentazione del registro; trasmissione di indicatori aggregati al comitato di indirizzo regionale con cadenza mensile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Periodico (semestrale e annuale)</w:t>
            </w:r>
          </w:p>
        </w:tc>
        <w:tc>
          <w:tcPr>
            <w:shd w:val="clear" w:color="auto" w:fill="F4F1EC"/>
          </w:tcPr>
          <w:p>
            <w:pPr>
              <w:pStyle w:val="Compact"/>
              <w:spacing w:after="40" w:before="40"/>
              <w:jc w:val="left"/>
            </w:pPr>
            <w:r>
              <w:rPr>
                <w:rFonts w:ascii="Cambria" w:hAnsi="Cambria" w:cs="Cambria" w:eastAsia="Cambria"/>
                <w:color w:val="1A1A1A"/>
                <w:sz w:val="18"/>
              </w:rPr>
              <w:t xml:space="preserve">Calcolo delle misure di sintesi e aggiornamento del cruscotto regionale</w:t>
            </w:r>
          </w:p>
        </w:tc>
      </w:tr>
    </w:tbl>
    <w:p>
      <w:pPr>
        <w:pStyle w:val="BodyText"/>
      </w:pPr>
      <w:r>
        <w:rPr>
          <w:i/>
          <w:iCs/>
        </w:rPr>
        <w:t xml:space="preserve">Tabella L.2. Il calendario della rilevazione. La baseline da statistiche correnti precede l</w:t>
      </w:r>
      <w:r>
        <w:rPr>
          <w:b/>
          <w:bCs/>
          <w:i/>
          <w:iCs/>
        </w:rPr>
        <w:t xml:space="preserve">’</w:t>
      </w:r>
      <w:r>
        <w:rPr>
          <w:i/>
          <w:iCs/>
        </w:rPr>
        <w:t xml:space="preserve">avvio; la rilevazione di servizio parte con il primo assistito.</w:t>
      </w:r>
    </w:p>
    <w:bookmarkEnd w:id="1739"/>
    <w:bookmarkStart w:id="4393" w:name="l.3-la-valutazione-controfattuale-3"/>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Lo strumento che rende possibile questa stima è, in questo studio, lo stesso disegno del dispiegamento: la sua scansione scaglionata tra le otto Aziende configura un esperimento naturale, idoneo a misurare gli effetti reali del servizio.</w:t>
      </w:r>
      <w:r>
        <w:rPr>
          <w:rStyle w:val="FootnoteReference"/>
        </w:rPr>
        <w:footnoteReference w:id="2397"/>
      </w:r>
      <w:r>
        <w:t xml:space="preserve"> </w:t>
      </w:r>
      <w:r>
        <w:t xml:space="preserve">Il metodo principale è la differenza-nelle-differenze, che confronta la variazione nel tempo dell’esito tra le Aziende già attivate e quelle non ancora attivate, sotto l’ipotesi di andamento parallelo; a esso si affianca il controllo sintetico, che costruisce un’unità di confronto artificiale come combinazione ponderata di unità non trattate.</w:t>
      </w:r>
      <w:r>
        <w:rPr>
          <w:rStyle w:val="FootnoteReference"/>
        </w:rPr>
        <w:footnoteReference w:id="2398"/>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esperimento naturale sono, per gli interventi di salute della popolazione, lo strumento raccomandato dalla letteratura metodologica.</w:t>
      </w:r>
      <w:r>
        <w:rPr>
          <w:rStyle w:val="FootnoteReference"/>
        </w:rPr>
        <w:footnoteReference w:id="2399"/>
      </w:r>
      <w:r>
        <w:t xml:space="preserve"> </w:t>
      </w:r>
      <w:r>
        <w:t xml:space="preserve">La portata di questo metodo, per il presente studio, è dirimente: confrontando, ad esempio, l’andamento degli accessi al pronto soccorso per cause psichiatriche nelle Aziende che hanno attivato il servizio con quello delle Aziende che lo attiveranno, si isola l’effetto proprio della riforma e si trasforma la stima dei risparmi da proiezione attesa a misura empiricamente fondata.</w:t>
      </w:r>
      <w:r>
        <w:rPr>
          <w:rStyle w:val="FootnoteReference"/>
        </w:rPr>
        <w:footnoteReference w:id="2400"/>
      </w:r>
      <w:r>
        <w:t xml:space="preserve"> </w:t>
      </w:r>
      <w:r>
        <w:t xml:space="preserve">È questo il passaggio che, a regime, eleva lo studio da proposta argomentata a politica validata, e che chiude il cerchio aperto dal valore dell’informazione della Parte F.</w:t>
      </w:r>
    </w:p>
    <w:bookmarkEnd w:id="4393"/>
    <w:bookmarkStart w:id="1747" w:name="l.4-la-verifica-ex-post-della-norma-3"/>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2401"/>
      </w:r>
      <w:r>
        <w:t xml:space="preserve"> </w:t>
      </w:r>
      <w:r>
        <w:t xml:space="preserve">A essa si lega, sul piano regionale, la clausola valutativa, che impegna la Giunta a riferire periodicamente al Consiglio regionale sui risultati conseguiti. La clausola è il passaggio che lega la misurazione tecnica alla responsabilità politica e alla trasparenza verso il legislatore regionale: i risultati non restano negli archivi amministrativi, ma sono portati periodicamente all’attenzione dell’organo che ha disposto il servizio, a presidio della rendicontazione democratica.</w:t>
      </w:r>
      <w:r>
        <w:rPr>
          <w:rStyle w:val="FootnoteReference"/>
        </w:rPr>
        <w:footnoteReference w:id="2402"/>
      </w:r>
    </w:p>
    <w:bookmarkEnd w:id="1747"/>
    <w:bookmarkStart w:id="4394" w:name="X0a5c3229141548b33706f6f0995fbf01bb4d442"/>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2403"/>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2404"/>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2405"/>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in luogo del canale della mobilità recuperata, non pertinente all’Emilia-Romagna. La tabella seguente ne riepiloga le dimensioni.</w:t>
      </w:r>
    </w:p>
    <w:tbl>
      <w:tblPr>
        <w:tblStyle w:val="Table"/>
        <w:tblW w:type="pct" w:w="490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92"/>
        <w:gridCol w:w="51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 sintesi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Guadagno di salute</w:t>
            </w:r>
          </w:p>
        </w:tc>
        <w:tc>
          <w:tcPr/>
          <w:p>
            <w:pPr>
              <w:pStyle w:val="Compact"/>
              <w:spacing w:after="40" w:before="40"/>
              <w:jc w:val="left"/>
            </w:pPr>
            <w:r>
              <w:rPr>
                <w:rFonts w:ascii="Cambria" w:hAnsi="Cambria" w:cs="Cambria" w:eastAsia="Cambria"/>
                <w:color w:val="1A1A1A"/>
                <w:sz w:val="18"/>
              </w:rPr>
              <w:t xml:space="preserve">Anni di vita ponderati per la qualità in salute mentale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Tasso di recupero</w:t>
            </w:r>
          </w:p>
        </w:tc>
        <w:tc>
          <w:tcPr>
            <w:shd w:val="clear" w:color="auto" w:fill="F4F1EC"/>
          </w:tcPr>
          <w:p>
            <w:pPr>
              <w:pStyle w:val="Compact"/>
              <w:spacing w:after="40" w:before="40"/>
              <w:jc w:val="left"/>
            </w:pPr>
            <w:r>
              <w:rPr>
                <w:rFonts w:ascii="Cambria" w:hAnsi="Cambria" w:cs="Cambria" w:eastAsia="Cambria"/>
                <w:color w:val="1A1A1A"/>
                <w:sz w:val="18"/>
              </w:rPr>
              <w:t xml:space="preserve">Miglioramento clinico e superamento delle soglie (PHQ-9, GAD-7)</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Valore sociale generato per euro investito (SROI)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 territoriale</w:t>
            </w:r>
          </w:p>
        </w:tc>
        <w:tc>
          <w:tcPr>
            <w:shd w:val="clear" w:color="auto" w:fill="F4F1EC"/>
          </w:tcPr>
          <w:p>
            <w:pPr>
              <w:pStyle w:val="Compact"/>
              <w:spacing w:after="40" w:before="40"/>
              <w:jc w:val="left"/>
            </w:pPr>
            <w:r>
              <w:rPr>
                <w:rFonts w:ascii="Cambria" w:hAnsi="Cambria" w:cs="Cambria" w:eastAsia="Cambria"/>
                <w:color w:val="1A1A1A"/>
                <w:sz w:val="18"/>
              </w:rPr>
              <w:t xml:space="preserve">Esito e accesso tra Aziende USL e tra aree di pianura e di Appennino</w:t>
            </w:r>
          </w:p>
        </w:tc>
      </w:tr>
      <w:tr>
        <w:tc>
          <w:tcPr/>
          <w:p>
            <w:pPr>
              <w:pStyle w:val="Compact"/>
              <w:spacing w:after="40" w:before="40"/>
              <w:jc w:val="left"/>
            </w:pPr>
            <w:r>
              <w:rPr>
                <w:rFonts w:ascii="Cambria" w:hAnsi="Cambria" w:cs="Cambria" w:eastAsia="Cambria"/>
                <w:b/>
                <w:bCs/>
                <w:color w:val="1A1A1A"/>
                <w:sz w:val="18"/>
              </w:rPr>
              <w:t xml:space="preserve">Liste di attesa</w:t>
            </w:r>
          </w:p>
        </w:tc>
        <w:tc>
          <w:tcPr/>
          <w:p>
            <w:pPr>
              <w:pStyle w:val="Compact"/>
              <w:spacing w:after="40" w:before="40"/>
              <w:jc w:val="left"/>
            </w:pPr>
            <w:r>
              <w:rPr>
                <w:rFonts w:ascii="Cambria" w:hAnsi="Cambria" w:cs="Cambria" w:eastAsia="Cambria"/>
                <w:color w:val="1A1A1A"/>
                <w:sz w:val="18"/>
              </w:rPr>
              <w:t xml:space="preserve">Riduzione dei tempi di attesa e completamento della rete territoriale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Indicatori di sistema</w:t>
            </w:r>
          </w:p>
        </w:tc>
        <w:tc>
          <w:tcPr>
            <w:shd w:val="clear" w:color="auto" w:fill="F4F1EC"/>
          </w:tcPr>
          <w:p>
            <w:pPr>
              <w:pStyle w:val="Compact"/>
              <w:spacing w:after="40" w:before="40"/>
              <w:jc w:val="left"/>
            </w:pPr>
            <w:r>
              <w:rPr>
                <w:rFonts w:ascii="Cambria" w:hAnsi="Cambria" w:cs="Cambria" w:eastAsia="Cambria"/>
                <w:color w:val="1A1A1A"/>
                <w:sz w:val="18"/>
              </w:rPr>
              <w:t xml:space="preserve">Esito, esperienza, costo e operatori (Quadruple Aim)</w:t>
            </w:r>
          </w:p>
        </w:tc>
      </w:tr>
    </w:tbl>
    <w:p>
      <w:pPr>
        <w:pStyle w:val="BodyText"/>
      </w:pPr>
      <w:r>
        <w:rPr>
          <w:i/>
          <w:iCs/>
        </w:rPr>
        <w:t xml:space="preserve">Tabella L.3. Le dimensioni di sintesi del cruscotto regionale emiliano-romagnolo.</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4394"/>
    <w:bookmarkEnd w:id="1752"/>
    <w:bookmarkStart w:id="1788" w:name="X5c8789ec0dccf0d6d95eec86eac2325cf5371a3"/>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2406"/>
      </w:r>
      <w:r>
        <w:rPr>
          <w:rStyle w:val="FootnoteReference"/>
        </w:rPr>
        <w:footnoteReference w:id="2407"/>
      </w:r>
      <w:r>
        <w:rPr>
          <w:rStyle w:val="FootnoteReference"/>
        </w:rPr>
        <w:footnoteReference w:id="2408"/>
      </w:r>
      <w:r>
        <w:rPr>
          <w:rStyle w:val="FootnoteReference"/>
        </w:rPr>
        <w:footnoteReference w:id="2409"/>
      </w:r>
      <w:r>
        <w:rPr>
          <w:rStyle w:val="FootnoteReference"/>
        </w:rPr>
        <w:footnoteReference w:id="2410"/>
      </w:r>
      <w:r>
        <w:rPr>
          <w:rStyle w:val="FootnoteReference"/>
        </w:rPr>
        <w:footnoteReference w:id="2411"/>
      </w:r>
      <w:r>
        <w:rPr>
          <w:rStyle w:val="FootnoteReference"/>
        </w:rPr>
        <w:footnoteReference w:id="2412"/>
      </w:r>
      <w:r>
        <w:rPr>
          <w:rStyle w:val="FootnoteReference"/>
        </w:rPr>
        <w:footnoteReference w:id="2413"/>
      </w:r>
      <w:r>
        <w:rPr>
          <w:rStyle w:val="FootnoteReference"/>
        </w:rPr>
        <w:footnoteReference w:id="2414"/>
      </w:r>
      <w:r>
        <w:rPr>
          <w:rStyle w:val="FootnoteReference"/>
        </w:rPr>
        <w:footnoteReference w:id="2415"/>
      </w:r>
      <w:r>
        <w:rPr>
          <w:rStyle w:val="FootnoteReference"/>
        </w:rPr>
        <w:footnoteReference w:id="2416"/>
      </w:r>
      <w:r>
        <w:rPr>
          <w:rStyle w:val="FootnoteReference"/>
        </w:rPr>
        <w:footnoteReference w:id="2417"/>
      </w:r>
      <w:r>
        <w:rPr>
          <w:rStyle w:val="FootnoteReference"/>
        </w:rPr>
        <w:footnoteReference w:id="2418"/>
      </w:r>
      <w:r>
        <w:rPr>
          <w:rStyle w:val="FootnoteReference"/>
        </w:rPr>
        <w:footnoteReference w:id="2419"/>
      </w:r>
      <w:r>
        <w:rPr>
          <w:rStyle w:val="FootnoteReference"/>
        </w:rPr>
        <w:footnoteReference w:id="2420"/>
      </w:r>
      <w:r>
        <w:rPr>
          <w:rStyle w:val="FootnoteReference"/>
        </w:rPr>
        <w:footnoteReference w:id="2421"/>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1776" w:name="m.1-la-griglia-di-valutazione-ocse-dac-3"/>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2422"/>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emiliano-romagnolo, sul criterio dell’efficienza. L’intervento è rilevante, perché risponde a un bisogno reale e di grande dimensione e all’obbligo di garantire i livelli essenziali;</w:t>
      </w:r>
      <w:r>
        <w:rPr>
          <w:rStyle w:val="FootnoteReference"/>
        </w:rPr>
        <w:footnoteReference w:id="2423"/>
      </w:r>
      <w:r>
        <w:t xml:space="preserve"> </w:t>
      </w:r>
      <w:r>
        <w:t xml:space="preserve">è coerente, perché compatibile con gli standard dell’assistenza territoriale, con il PNRR e con gli atti regionali che già ne prevedono la funzione, ed è costituzionalmente difendibile, senza incontrare il vincolo del piano di rientro;</w:t>
      </w:r>
      <w:r>
        <w:rPr>
          <w:rStyle w:val="FootnoteReference"/>
        </w:rPr>
        <w:footnoteReference w:id="2424"/>
      </w:r>
      <w:r>
        <w:t xml:space="preserve"> </w:t>
      </w:r>
      <w:r>
        <w:t xml:space="preserve">è efficace, perché l’evidenza internazionale ne documenta il raggiungimento degli obiettivi clinici;</w:t>
      </w:r>
      <w:r>
        <w:rPr>
          <w:rStyle w:val="FootnoteReference"/>
        </w:rPr>
        <w:footnoteReference w:id="2425"/>
      </w:r>
      <w:r>
        <w:t xml:space="preserve"> </w:t>
      </w:r>
      <w:r>
        <w:t xml:space="preserve">è efficiente in termini di costo-utilità, con dominanza per paziente, pur a fronte di un saldo diretto negativo sul solo bilancio, di entità modesta;</w:t>
      </w:r>
      <w:r>
        <w:rPr>
          <w:rStyle w:val="FootnoteReference"/>
        </w:rPr>
        <w:footnoteReference w:id="2426"/>
      </w:r>
      <w:r>
        <w:t xml:space="preserve"> </w:t>
      </w:r>
      <w:r>
        <w:t xml:space="preserve">ha un impatto distributivo favorevole e un ritorno complessivo di 3,8–5,5 a uno;</w:t>
      </w:r>
      <w:r>
        <w:rPr>
          <w:rStyle w:val="FootnoteReference"/>
        </w:rPr>
        <w:footnoteReference w:id="2427"/>
      </w:r>
      <w:r>
        <w:t xml:space="preserve"> </w:t>
      </w:r>
      <w:r>
        <w:t xml:space="preserve">ed è sostenibile, sul piano finanziario e organizzativo.</w:t>
      </w:r>
      <w:r>
        <w:rPr>
          <w:rStyle w:val="FootnoteReference"/>
        </w:rPr>
        <w:footnoteReference w:id="2428"/>
      </w:r>
      <w:r>
        <w:t xml:space="preserve"> </w:t>
      </w:r>
      <w:r>
        <w:t xml:space="preserve">La tabella seguente riepiloga il giudizio, criterio per criterio.</w:t>
      </w:r>
    </w:p>
    <w:tbl>
      <w:tblPr>
        <w:tblStyle w:val="Table"/>
        <w:tblW w:type="pct" w:w="494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021"/>
        <w:gridCol w:w="1873"/>
        <w:gridCol w:w="493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Domanda valutativa</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 dallo studio</w:t>
            </w:r>
          </w:p>
        </w:tc>
      </w:tr>
      <w:tr>
        <w:tc>
          <w:tcPr/>
          <w:p>
            <w:pPr>
              <w:pStyle w:val="Compact"/>
              <w:spacing w:after="40" w:before="40"/>
              <w:jc w:val="left"/>
            </w:pPr>
            <w:r>
              <w:rPr>
                <w:rFonts w:ascii="Cambria" w:hAnsi="Cambria" w:cs="Cambria" w:eastAsia="Cambria"/>
                <w:b/>
                <w:bCs/>
                <w:color w:val="1A1A1A"/>
                <w:sz w:val="18"/>
              </w:rPr>
              <w:t xml:space="preserve">Rilevanza</w:t>
            </w:r>
          </w:p>
        </w:tc>
        <w:tc>
          <w:tcPr/>
          <w:p>
            <w:pPr>
              <w:pStyle w:val="Compact"/>
              <w:spacing w:after="40" w:before="40"/>
              <w:jc w:val="left"/>
            </w:pPr>
            <w:r>
              <w:rPr>
                <w:rFonts w:ascii="Cambria" w:hAnsi="Cambria" w:cs="Cambria" w:eastAsia="Cambria"/>
                <w:color w:val="1A1A1A"/>
                <w:sz w:val="18"/>
              </w:rPr>
              <w:t xml:space="preserve">Risponde al bisogno reale?</w:t>
            </w:r>
          </w:p>
        </w:tc>
        <w:tc>
          <w:tcPr/>
          <w:p>
            <w:pPr>
              <w:pStyle w:val="Compact"/>
              <w:spacing w:after="40" w:before="40"/>
              <w:jc w:val="left"/>
            </w:pPr>
            <w:r>
              <w:rPr>
                <w:rFonts w:ascii="Cambria" w:hAnsi="Cambria" w:cs="Cambria" w:eastAsia="Cambria"/>
                <w:color w:val="1A1A1A"/>
                <w:sz w:val="18"/>
              </w:rPr>
              <w:t xml:space="preserve">Sì: ~890.000 con disagio inevaso; obbligo dei livelli essenziali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w:t>
            </w:r>
          </w:p>
        </w:tc>
        <w:tc>
          <w:tcPr>
            <w:shd w:val="clear" w:color="auto" w:fill="F4F1EC"/>
          </w:tcPr>
          <w:p>
            <w:pPr>
              <w:pStyle w:val="Compact"/>
              <w:spacing w:after="40" w:before="40"/>
              <w:jc w:val="left"/>
            </w:pPr>
            <w:r>
              <w:rPr>
                <w:rFonts w:ascii="Cambria" w:hAnsi="Cambria" w:cs="Cambria" w:eastAsia="Cambria"/>
                <w:color w:val="1A1A1A"/>
                <w:sz w:val="18"/>
              </w:rPr>
              <w:t xml:space="preserve">È compatibile con le altre politiche?</w:t>
            </w:r>
          </w:p>
        </w:tc>
        <w:tc>
          <w:tcPr>
            <w:shd w:val="clear" w:color="auto" w:fill="F4F1EC"/>
          </w:tcPr>
          <w:p>
            <w:pPr>
              <w:pStyle w:val="Compact"/>
              <w:spacing w:after="40" w:before="40"/>
              <w:jc w:val="left"/>
            </w:pPr>
            <w:r>
              <w:rPr>
                <w:rFonts w:ascii="Cambria" w:hAnsi="Cambria" w:cs="Cambria" w:eastAsia="Cambria"/>
                <w:color w:val="1A1A1A"/>
                <w:sz w:val="18"/>
              </w:rPr>
              <w:t xml:space="preserve">Sì: DM 77, PNRR, atti regionali (deliberazioni 2021 e 2023); difendibile in Costituzione; nessun piano di rientro</w:t>
            </w:r>
          </w:p>
        </w:tc>
      </w:tr>
      <w:tr>
        <w:tc>
          <w:tcPr/>
          <w:p>
            <w:pPr>
              <w:pStyle w:val="Compact"/>
              <w:spacing w:after="40" w:before="40"/>
              <w:jc w:val="left"/>
            </w:pPr>
            <w:r>
              <w:rPr>
                <w:rFonts w:ascii="Cambria" w:hAnsi="Cambria" w:cs="Cambria" w:eastAsia="Cambria"/>
                <w:b/>
                <w:bCs/>
                <w:color w:val="1A1A1A"/>
                <w:sz w:val="18"/>
              </w:rPr>
              <w:t xml:space="preserve">Efficacia</w:t>
            </w:r>
          </w:p>
        </w:tc>
        <w:tc>
          <w:tcPr/>
          <w:p>
            <w:pPr>
              <w:pStyle w:val="Compact"/>
              <w:spacing w:after="40" w:before="40"/>
              <w:jc w:val="left"/>
            </w:pPr>
            <w:r>
              <w:rPr>
                <w:rFonts w:ascii="Cambria" w:hAnsi="Cambria" w:cs="Cambria" w:eastAsia="Cambria"/>
                <w:color w:val="1A1A1A"/>
                <w:sz w:val="18"/>
              </w:rPr>
              <w:t xml:space="preserve">Raggiunge gli obiettivi?</w:t>
            </w:r>
          </w:p>
        </w:tc>
        <w:tc>
          <w:tcPr/>
          <w:p>
            <w:pPr>
              <w:pStyle w:val="Compact"/>
              <w:spacing w:after="40" w:before="40"/>
              <w:jc w:val="left"/>
            </w:pPr>
            <w:r>
              <w:rPr>
                <w:rFonts w:ascii="Cambria" w:hAnsi="Cambria" w:cs="Cambria" w:eastAsia="Cambria"/>
                <w:color w:val="1A1A1A"/>
                <w:sz w:val="18"/>
              </w:rPr>
              <w:t xml:space="preserve">Sì: evidenza internazionale (recupero ~50%)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Efficienza</w:t>
            </w:r>
          </w:p>
        </w:tc>
        <w:tc>
          <w:tcPr>
            <w:shd w:val="clear" w:color="auto" w:fill="F4F1EC"/>
          </w:tcPr>
          <w:p>
            <w:pPr>
              <w:pStyle w:val="Compact"/>
              <w:spacing w:after="40" w:before="40"/>
              <w:jc w:val="left"/>
            </w:pPr>
            <w:r>
              <w:rPr>
                <w:rFonts w:ascii="Cambria" w:hAnsi="Cambria" w:cs="Cambria" w:eastAsia="Cambria"/>
                <w:color w:val="1A1A1A"/>
                <w:sz w:val="18"/>
              </w:rPr>
              <w:t xml:space="preserve">Impiega le risorse in modo proporzionato?</w:t>
            </w:r>
          </w:p>
        </w:tc>
        <w:tc>
          <w:tcPr>
            <w:shd w:val="clear" w:color="auto" w:fill="F4F1EC"/>
          </w:tcPr>
          <w:p>
            <w:pPr>
              <w:pStyle w:val="Compact"/>
              <w:spacing w:after="40" w:before="40"/>
              <w:jc w:val="left"/>
            </w:pPr>
            <w:r>
              <w:rPr>
                <w:rFonts w:ascii="Cambria" w:hAnsi="Cambria" w:cs="Cambria" w:eastAsia="Cambria"/>
                <w:color w:val="1A1A1A"/>
                <w:sz w:val="18"/>
              </w:rPr>
              <w:t xml:space="preserve">Sì in costo-utilità (dominanza); saldo diretto negativo a costo modesto</w:t>
            </w:r>
          </w:p>
        </w:tc>
      </w:tr>
      <w:tr>
        <w:tc>
          <w:tcPr/>
          <w:p>
            <w:pPr>
              <w:pStyle w:val="Compact"/>
              <w:spacing w:after="40" w:before="40"/>
              <w:jc w:val="left"/>
            </w:pPr>
            <w:r>
              <w:rPr>
                <w:rFonts w:ascii="Cambria" w:hAnsi="Cambria" w:cs="Cambria" w:eastAsia="Cambria"/>
                <w:b/>
                <w:bCs/>
                <w:color w:val="1A1A1A"/>
                <w:sz w:val="18"/>
              </w:rPr>
              <w:t xml:space="preserve">Impatto</w:t>
            </w:r>
          </w:p>
        </w:tc>
        <w:tc>
          <w:tcPr/>
          <w:p>
            <w:pPr>
              <w:pStyle w:val="Compact"/>
              <w:spacing w:after="40" w:before="40"/>
              <w:jc w:val="left"/>
            </w:pPr>
            <w:r>
              <w:rPr>
                <w:rFonts w:ascii="Cambria" w:hAnsi="Cambria" w:cs="Cambria" w:eastAsia="Cambria"/>
                <w:color w:val="1A1A1A"/>
                <w:sz w:val="18"/>
              </w:rPr>
              <w:t xml:space="preserve">Produce effetti più ampi?</w:t>
            </w:r>
          </w:p>
        </w:tc>
        <w:tc>
          <w:tcPr/>
          <w:p>
            <w:pPr>
              <w:pStyle w:val="Compact"/>
              <w:spacing w:after="40" w:before="40"/>
              <w:jc w:val="left"/>
            </w:pPr>
            <w:r>
              <w:rPr>
                <w:rFonts w:ascii="Cambria" w:hAnsi="Cambria" w:cs="Cambria" w:eastAsia="Cambria"/>
                <w:color w:val="1A1A1A"/>
                <w:sz w:val="18"/>
              </w:rPr>
              <w:t xml:space="preserve">Sì: riduce il gradiente territoriale; ritorno complessivo 3,8–5,5:1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Sostenibilità</w:t>
            </w:r>
          </w:p>
        </w:tc>
        <w:tc>
          <w:tcPr>
            <w:shd w:val="clear" w:color="auto" w:fill="F4F1EC"/>
          </w:tcPr>
          <w:p>
            <w:pPr>
              <w:pStyle w:val="Compact"/>
              <w:spacing w:after="40" w:before="40"/>
              <w:jc w:val="left"/>
            </w:pPr>
            <w:r>
              <w:rPr>
                <w:rFonts w:ascii="Cambria" w:hAnsi="Cambria" w:cs="Cambria" w:eastAsia="Cambria"/>
                <w:color w:val="1A1A1A"/>
                <w:sz w:val="18"/>
              </w:rPr>
              <w:t xml:space="preserve">I benefici e il servizio durano?</w:t>
            </w:r>
          </w:p>
        </w:tc>
        <w:tc>
          <w:tcPr>
            <w:shd w:val="clear" w:color="auto" w:fill="F4F1EC"/>
          </w:tcPr>
          <w:p>
            <w:pPr>
              <w:pStyle w:val="Compact"/>
              <w:spacing w:after="40" w:before="40"/>
              <w:jc w:val="left"/>
            </w:pPr>
            <w:r>
              <w:rPr>
                <w:rFonts w:ascii="Cambria" w:hAnsi="Cambria" w:cs="Cambria" w:eastAsia="Cambria"/>
                <w:color w:val="1A1A1A"/>
                <w:sz w:val="18"/>
              </w:rPr>
              <w:t xml:space="preserve">Sì: costo modesto, bilancio in riequilibrio, rete territoriale già matura</w:t>
            </w:r>
          </w:p>
        </w:tc>
      </w:tr>
    </w:tbl>
    <w:p>
      <w:pPr>
        <w:pStyle w:val="BodyText"/>
      </w:pPr>
      <w:r>
        <w:rPr>
          <w:i/>
          <w:iCs/>
        </w:rPr>
        <w:t xml:space="preserve">Tabella M.1. La griglia di giudizio OCSE-DAC applicata allo studio, criterio per criterio.</w:t>
      </w:r>
    </w:p>
    <w:bookmarkEnd w:id="1776"/>
    <w:bookmarkStart w:id="1779" w:name="m.2-lanalisi-multi-criterio-5"/>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2429"/>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81,45 su 100 contro 39,25 dell’opzione zero, e prevale su tutti i criteri a eccezione della sola fattibilità immediata, nella quale l’opzione zero — che non richiede alcuna attuazione — è ovviamente superiore, ma il cui svantaggio è gestito attraverso il dispiegamento graduale.</w:t>
      </w:r>
      <w:r>
        <w:rPr>
          <w:rStyle w:val="FootnoteReference"/>
        </w:rPr>
        <w:footnoteReference w:id="2430"/>
      </w:r>
      <w:r>
        <w:t xml:space="preserve"> </w:t>
      </w:r>
      <w:r>
        <w:t xml:space="preserve">Rispetto al caso pugliese, nel quale il saldo diretto è positivo, il punteggio dell’intervento è lievemente inferiore, in ragione del saldo diretto negativo che riduce il sub-punteggio dell’impatto di bilancio; la maggiore maturità della rete territoriale emiliano-romagnola ne innalza tuttavia il sub-punteggio di fattibilità rispetto agli altri contesti a saldo diretto negativo. Resta una preferenza netta e stabile rispetto ai pesi adottati. La tabella seguente riporta la matrice delle prestazioni.</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928"/>
        <w:gridCol w:w="935"/>
        <w:gridCol w:w="935"/>
        <w:gridCol w:w="997"/>
        <w:gridCol w:w="99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w:t>
            </w:r>
          </w:p>
        </w:tc>
        <w:tc>
          <w:tcPr>
            <w:shd w:val="clear" w:color="auto" w:fill="16264B"/>
          </w:tcPr>
          <w:p>
            <w:pPr>
              <w:pStyle w:val="Compact"/>
              <w:spacing w:after="40" w:before="40"/>
              <w:jc w:val="left"/>
            </w:pPr>
            <w:r>
              <w:rPr>
                <w:rFonts w:ascii="Cambria" w:hAnsi="Cambria" w:cs="Cambria" w:eastAsia="Cambria"/>
                <w:b/>
                <w:bCs/>
                <w:color w:val="FFFFFF"/>
                <w:sz w:val="18"/>
              </w:rPr>
              <w:t xml:space="preserve">Opz. zero</w:t>
            </w:r>
          </w:p>
        </w:tc>
        <w:tc>
          <w:tcPr>
            <w:shd w:val="clear" w:color="auto" w:fill="16264B"/>
          </w:tcPr>
          <w:p>
            <w:pPr>
              <w:pStyle w:val="Compact"/>
              <w:spacing w:after="40" w:before="40"/>
              <w:jc w:val="left"/>
            </w:pPr>
            <w:r>
              <w:rPr>
                <w:rFonts w:ascii="Cambria" w:hAnsi="Cambria" w:cs="Cambria" w:eastAsia="Cambria"/>
                <w:b/>
                <w:bCs/>
                <w:color w:val="FFFFFF"/>
                <w:sz w:val="18"/>
              </w:rPr>
              <w:t xml:space="preserve">Δ pond.</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30</w:t>
            </w:r>
          </w:p>
        </w:tc>
        <w:tc>
          <w:tcPr/>
          <w:p>
            <w:pPr>
              <w:pStyle w:val="Compact"/>
              <w:spacing w:after="40" w:before="40"/>
              <w:jc w:val="left"/>
            </w:pPr>
            <w:r>
              <w:rPr>
                <w:rFonts w:ascii="Cambria" w:hAnsi="Cambria" w:cs="Cambria" w:eastAsia="Cambria"/>
                <w:color w:val="1A1A1A"/>
                <w:sz w:val="18"/>
              </w:rPr>
              <w:t xml:space="preserve">+7,5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88</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+12,6</w:t>
            </w:r>
          </w:p>
        </w:tc>
      </w:tr>
      <w:tr>
        <w:tc>
          <w:tcPr/>
          <w:p>
            <w:pPr>
              <w:pStyle w:val="Compact"/>
              <w:spacing w:after="40" w:before="40"/>
              <w:jc w:val="left"/>
            </w:pPr>
            <w:r>
              <w:rPr>
                <w:rFonts w:ascii="Cambria" w:hAnsi="Cambria" w:cs="Cambria" w:eastAsia="Cambria"/>
                <w:b/>
                <w:bCs/>
                <w:color w:val="1A1A1A"/>
                <w:sz w:val="18"/>
              </w:rPr>
              <w:t xml:space="preserve">Impatto di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70</w:t>
            </w:r>
          </w:p>
        </w:tc>
        <w:tc>
          <w:tcPr/>
          <w:p>
            <w:pPr>
              <w:pStyle w:val="Compact"/>
              <w:spacing w:after="40" w:before="40"/>
              <w:jc w:val="left"/>
            </w:pPr>
            <w:r>
              <w:rPr>
                <w:rFonts w:ascii="Cambria" w:hAnsi="Cambria" w:cs="Cambria" w:eastAsia="Cambria"/>
                <w:color w:val="1A1A1A"/>
                <w:sz w:val="18"/>
              </w:rPr>
              <w:t xml:space="preserve">50</w:t>
            </w:r>
          </w:p>
        </w:tc>
        <w:tc>
          <w:tcPr/>
          <w:p>
            <w:pPr>
              <w:pStyle w:val="Compact"/>
              <w:spacing w:after="40" w:before="40"/>
              <w:jc w:val="left"/>
            </w:pPr>
            <w:r>
              <w:rPr>
                <w:rFonts w:ascii="Cambria" w:hAnsi="Cambria" w:cs="Cambria" w:eastAsia="Cambria"/>
                <w:color w:val="1A1A1A"/>
                <w:sz w:val="18"/>
              </w:rPr>
              <w:t xml:space="preserve">+3,0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 e accesso (Appennino, stranieri, liste di attesa)</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+9,75</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88</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+6,8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 e implementabilità</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78</w:t>
            </w:r>
          </w:p>
        </w:tc>
        <w:tc>
          <w:tcPr>
            <w:shd w:val="clear" w:color="auto" w:fill="F4F1EC"/>
          </w:tcPr>
          <w:p>
            <w:pPr>
              <w:pStyle w:val="Compact"/>
              <w:spacing w:after="40" w:before="40"/>
              <w:jc w:val="left"/>
            </w:pPr>
            <w:r>
              <w:rPr>
                <w:rFonts w:ascii="Cambria" w:hAnsi="Cambria" w:cs="Cambria" w:eastAsia="Cambria"/>
                <w:color w:val="1A1A1A"/>
                <w:sz w:val="18"/>
              </w:rPr>
              <w:t xml:space="preserve">100</w:t>
            </w:r>
          </w:p>
        </w:tc>
        <w:tc>
          <w:tcPr>
            <w:shd w:val="clear" w:color="auto" w:fill="F4F1EC"/>
          </w:tcPr>
          <w:p>
            <w:pPr>
              <w:pStyle w:val="Compact"/>
              <w:spacing w:after="40" w:before="40"/>
              <w:jc w:val="left"/>
            </w:pPr>
            <w:r>
              <w:rPr>
                <w:rFonts w:ascii="Cambria" w:hAnsi="Cambria" w:cs="Cambria" w:eastAsia="Cambria"/>
                <w:color w:val="1A1A1A"/>
                <w:sz w:val="18"/>
              </w:rPr>
              <w:t xml:space="preserve">−2,2</w:t>
            </w:r>
          </w:p>
        </w:tc>
      </w:tr>
      <w:tr>
        <w:tc>
          <w:tcPr/>
          <w:p>
            <w:pPr>
              <w:pStyle w:val="Compact"/>
              <w:spacing w:after="40" w:before="40"/>
              <w:jc w:val="left"/>
            </w:pPr>
            <w:r>
              <w:rPr>
                <w:rFonts w:ascii="Cambria" w:hAnsi="Cambria" w:cs="Cambria" w:eastAsia="Cambria"/>
                <w:b/>
                <w:bCs/>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75</w:t>
            </w:r>
          </w:p>
        </w:tc>
        <w:tc>
          <w:tcPr/>
          <w:p>
            <w:pPr>
              <w:pStyle w:val="Compact"/>
              <w:spacing w:after="40" w:before="40"/>
              <w:jc w:val="left"/>
            </w:pPr>
            <w:r>
              <w:rPr>
                <w:rFonts w:ascii="Cambria" w:hAnsi="Cambria" w:cs="Cambria" w:eastAsia="Cambria"/>
                <w:color w:val="1A1A1A"/>
                <w:sz w:val="18"/>
              </w:rPr>
              <w:t xml:space="preserve">60</w:t>
            </w:r>
          </w:p>
        </w:tc>
        <w:tc>
          <w:tcPr/>
          <w:p>
            <w:pPr>
              <w:pStyle w:val="Compact"/>
              <w:spacing w:after="40" w:before="40"/>
              <w:jc w:val="left"/>
            </w:pPr>
            <w:r>
              <w:rPr>
                <w:rFonts w:ascii="Cambria" w:hAnsi="Cambria" w:cs="Cambria" w:eastAsia="Cambria"/>
                <w:color w:val="1A1A1A"/>
                <w:sz w:val="18"/>
              </w:rPr>
              <w:t xml:space="preserve">+1,5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 (DM 77, PNRR, atti regionali)</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90</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+3,25</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81,45</w:t>
            </w:r>
          </w:p>
        </w:tc>
        <w:tc>
          <w:tcPr/>
          <w:p>
            <w:pPr>
              <w:pStyle w:val="Compact"/>
              <w:spacing w:after="40" w:before="40"/>
              <w:jc w:val="left"/>
            </w:pPr>
            <w:r>
              <w:rPr>
                <w:rFonts w:ascii="Cambria" w:hAnsi="Cambria" w:cs="Cambria" w:eastAsia="Cambria"/>
                <w:color w:val="1A1A1A"/>
                <w:sz w:val="18"/>
              </w:rPr>
              <w:t xml:space="preserve">39,25</w:t>
            </w:r>
          </w:p>
        </w:tc>
        <w:tc>
          <w:tcPr/>
          <w:p>
            <w:pPr>
              <w:pStyle w:val="Compact"/>
              <w:spacing w:after="40" w:before="40"/>
              <w:jc w:val="left"/>
            </w:pPr>
            <w:r>
              <w:rPr>
                <w:rFonts w:ascii="Cambria" w:hAnsi="Cambria" w:cs="Cambria" w:eastAsia="Cambria"/>
                <w:color w:val="1A1A1A"/>
                <w:sz w:val="18"/>
              </w:rPr>
              <w:t xml:space="preserve">+42,20</w:t>
            </w:r>
          </w:p>
        </w:tc>
      </w:tr>
    </w:tbl>
    <w:p>
      <w:pPr>
        <w:pStyle w:val="BodyText"/>
      </w:pPr>
      <w:r>
        <w:rPr>
          <w:i/>
          <w:iCs/>
        </w:rPr>
        <w:t xml:space="preserve">Tabella M.2. Analisi multi-criterio: confronto tra l</w:t>
      </w:r>
      <w:r>
        <w:rPr>
          <w:b/>
          <w:bCs/>
          <w:i/>
          <w:iCs/>
        </w:rPr>
        <w:t xml:space="preserve">‘******opzione di intervento e l******’</w:t>
      </w:r>
      <w:r>
        <w:rPr>
          <w:i/>
          <w:iCs/>
        </w:rPr>
        <w:t xml:space="preserve">opzione zero su otto criteri pesati.</w:t>
      </w:r>
    </w:p>
    <w:bookmarkEnd w:id="1779"/>
    <w:bookmarkStart w:id="1783" w:name="Xde1497c6bfb62e0fbdcb62650f610af6d4f31c4"/>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Emilia-Romagna. La prima: il servizio costa al bilancio sanitario una cifra modesta e comporta un saldo diretto lievemente negativo, dell’ordine di alcune decine di milioni, trascurabile rispetto a un finanziamento dell’ordine di dieci miliardi. La seconda: il ritorno per la collettività è ampio, con un rapporto beneficio-costo dell’ordine di 3,8–5,5 a uno. La terza: il valore poggia quasi interamente sulle ricadute sociali — la produttività, il funzionamento, il minor carico familiare — e non sul risparmio per il bilancio.</w:t>
      </w:r>
      <w:r>
        <w:rPr>
          <w:rStyle w:val="FootnoteReference"/>
        </w:rPr>
        <w:footnoteReference w:id="2431"/>
      </w:r>
      <w:r>
        <w:t xml:space="preserve"> </w:t>
      </w:r>
      <w:r>
        <w:t xml:space="preserve">È questa la corretta rappresentazione della proposta emiliano-romagnola: non un investimento che si ripaga sui conti sanitari, ma un investimento sociale ad alto rendimento, il cui costo per il bilancio è trascurabile.</w:t>
      </w:r>
    </w:p>
    <w:p>
      <w:pPr>
        <w:pStyle w:val="BodyText"/>
      </w:pPr>
      <w:r>
        <w:t xml:space="preserve">Da questa sintesi discende la raccomandazione centrale, ed è in essa che il caso emiliano-romagnolo si distingue da quello delle regioni dotate di una legge regionale dedicata. La decisione rilevante non è se introdurre la funzione — già diffusa in numerose Aziende USL attraverso atti amministrativi regionali, le deliberazioni di Giunta del 2021 e del 2023, e progetti aziendali consolidati da oltre un decennio — ma se strutturarla, dimensionarla e istituzionalizzarla, portandola dalla diffusione amministrativa, oggi frammentaria e diseguale tra i territori, alla copertura sistematica del fabbisogno, dell’ordine di 730 incarichi nello scenario di base.</w:t>
      </w:r>
      <w:r>
        <w:rPr>
          <w:rStyle w:val="FootnoteReference"/>
        </w:rPr>
        <w:footnoteReference w:id="2432"/>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2433"/>
      </w:r>
      <w:r>
        <w:t xml:space="preserve"> </w:t>
      </w:r>
      <w:r>
        <w:t xml:space="preserve">La raccomandazione operativa è di procedere per gradi, secondo il dispiegamento scaglionato tra le otto Aziende USL, avviando contestualmente la rilevazione e la valutazione controfattuale, in modo che ogni fase di estensione sia informata dai risultati della precedente.</w:t>
      </w:r>
    </w:p>
    <w:bookmarkEnd w:id="1783"/>
    <w:bookmarkStart w:id="1787" w:name="m.4-i-limiti-e-lagenda-di-ricerca-3"/>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emiliano-romagnola, pari al 7,5%, e non estratte dai conti regionali certificati. È una distinzione che lo studio dichiara apertamente, perché la sostituzione di tali ricostruzioni con i valori certificati delle Aziende USL e delle Aziende Ospedaliero-Universitarie è la condizione per la presentazione della proposta agli organi di controllo.</w:t>
      </w:r>
      <w:r>
        <w:rPr>
          <w:rStyle w:val="FootnoteReference"/>
        </w:rPr>
        <w:footnoteReference w:id="2434"/>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2435"/>
      </w:r>
    </w:p>
    <w:p>
      <w:pPr>
        <w:pStyle w:val="BodyText"/>
      </w:pPr>
      <w:r>
        <w:t xml:space="preserve">Da questi limiti discende l’agenda di ricerca. L’investimento conoscitivo prioritario è l’acquisizione dei dati regionali certificati presso le Aziende USL e le Aziende Ospedaliero-Universitarie, seguito dall’avvio della rilevazione di servizio e dalla valutazione controfattuale sul dispiegamento scaglionato tra le otto Aziende.</w:t>
      </w:r>
      <w:r>
        <w:rPr>
          <w:rStyle w:val="FootnoteReference"/>
        </w:rPr>
        <w:footnoteReference w:id="2436"/>
      </w:r>
      <w:r>
        <w:t xml:space="preserve"> </w:t>
      </w:r>
      <w:r>
        <w:t xml:space="preserve">È il programma che trasforma progressivamente la proposta argomentata in politica validata, e che salda la valutazione ex ante alla verifica ex post. Con questa parte si chiude lo studio regionale emiliano-romagnolo, che applica al contesto dell’Emilia-Romagna, con piena fedeltà metodologica e con le dovute qualificazioni di onestà, il medesimo telaio integrato già adottato per la Puglia, per la Lombardia e per il Veneto: un intervento clinicamente fondato, economicamente sostenibile, equo e attuabile, il cui valore per la collettività è ampio e il cui costo per il bilancio è trascurabile, e la cui maturità organizzativa candida l’Emilia-Romagna a fungere da modello nazionale per la strutturazione del servizio.</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1787"/>
    <w:bookmarkEnd w:id="1788"/>
    <w:bookmarkStart w:id="1800" w:name="X12964938bca8aa16819dea17c4f427a5aaeda94"/>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437"/>
      </w:r>
      <w:r>
        <w:rPr>
          <w:rStyle w:val="FootnoteReference"/>
        </w:rPr>
        <w:footnoteReference w:id="2438"/>
      </w:r>
      <w:r>
        <w:rPr>
          <w:rStyle w:val="FootnoteReference"/>
        </w:rPr>
        <w:footnoteReference w:id="2439"/>
      </w:r>
      <w:r>
        <w:rPr>
          <w:rStyle w:val="FootnoteReference"/>
        </w:rPr>
        <w:footnoteReference w:id="2440"/>
      </w:r>
      <w:r>
        <w:rPr>
          <w:rStyle w:val="FootnoteReference"/>
        </w:rPr>
        <w:footnoteReference w:id="2441"/>
      </w:r>
      <w:r>
        <w:rPr>
          <w:rStyle w:val="FootnoteReference"/>
        </w:rPr>
        <w:footnoteReference w:id="2442"/>
      </w:r>
      <w:r>
        <w:rPr>
          <w:rStyle w:val="FootnoteReference"/>
        </w:rPr>
        <w:footnoteReference w:id="2443"/>
      </w:r>
      <w:r>
        <w:rPr>
          <w:rStyle w:val="FootnoteReference"/>
        </w:rPr>
        <w:footnoteReference w:id="2444"/>
      </w:r>
      <w:r>
        <w:rPr>
          <w:rStyle w:val="FootnoteReference"/>
        </w:rPr>
        <w:footnoteReference w:id="2445"/>
      </w:r>
      <w:r>
        <w:t xml:space="preserve"> </w:t>
      </w:r>
      <w:r>
        <w:t xml:space="preserve">La tabella seguente lo riepiloga.</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451"/>
        <w:gridCol w:w="534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caso di 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adottata</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Servizio attuale o assenza del servizio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Azienda USL/distretto</w:t>
            </w:r>
          </w:p>
        </w:tc>
      </w:tr>
      <w:tr>
        <w:tc>
          <w:tcPr/>
          <w:p>
            <w:pPr>
              <w:pStyle w:val="Compact"/>
              <w:spacing w:after="40" w:before="40"/>
              <w:jc w:val="left"/>
            </w:pPr>
            <w:r>
              <w:rPr>
                <w:rFonts w:ascii="Cambria" w:hAnsi="Cambria" w:cs="Cambria" w:eastAsia="Cambria"/>
                <w:b/>
                <w:bCs/>
                <w:color w:val="1A1A1A"/>
                <w:sz w:val="18"/>
              </w:rPr>
              <w:t xml:space="preserve">Soglia di costo-efficacia</w:t>
            </w:r>
          </w:p>
        </w:tc>
        <w:tc>
          <w:tcPr/>
          <w:p>
            <w:pPr>
              <w:pStyle w:val="Compact"/>
              <w:spacing w:after="40" w:before="40"/>
              <w:jc w:val="left"/>
            </w:pPr>
            <w:r>
              <w:rPr>
                <w:rFonts w:ascii="Cambria" w:hAnsi="Cambria" w:cs="Cambria" w:eastAsia="Cambria"/>
                <w:color w:val="1A1A1A"/>
                <w:sz w:val="18"/>
              </w:rPr>
              <w:t xml:space="preserve">30.000 euro per anno di vita ponderato per la qualità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Correzione prudenziale</w:t>
            </w:r>
          </w:p>
        </w:tc>
        <w:tc>
          <w:tcPr>
            <w:shd w:val="clear" w:color="auto" w:fill="F4F1EC"/>
          </w:tcPr>
          <w:p>
            <w:pPr>
              <w:pStyle w:val="Compact"/>
              <w:spacing w:after="40" w:before="40"/>
              <w:jc w:val="left"/>
            </w:pPr>
            <w:r>
              <w:rPr>
                <w:rFonts w:ascii="Cambria" w:hAnsi="Cambria" w:cs="Cambria" w:eastAsia="Cambria"/>
                <w:color w:val="1A1A1A"/>
                <w:sz w:val="18"/>
              </w:rP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446"/>
      </w:r>
      <w:r>
        <w:t xml:space="preserve"> </w:t>
      </w:r>
      <w:r>
        <w:t xml:space="preserve">La tabella seguente li riporta con le distribuzioni assegnate per l’analisi probabilistica.</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3498"/>
        <w:gridCol w:w="15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 di Markov</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Stati del modello</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recupero</w:t>
            </w:r>
          </w:p>
        </w:tc>
        <w:tc>
          <w:tcPr>
            <w:shd w:val="clear" w:color="auto" w:fill="F4F1EC"/>
          </w:tcPr>
          <w:p>
            <w:pPr>
              <w:pStyle w:val="Compact"/>
              <w:spacing w:after="40" w:before="40"/>
              <w:jc w:val="left"/>
            </w:pPr>
            <w:r>
              <w:rPr>
                <w:rFonts w:ascii="Cambria" w:hAnsi="Cambria" w:cs="Cambria" w:eastAsia="Cambria"/>
                <w:color w:val="1A1A1A"/>
                <w:sz w:val="18"/>
              </w:rPr>
              <w:t xml:space="preserve">40 €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per ciclo — cronico</w:t>
            </w:r>
          </w:p>
        </w:tc>
        <w:tc>
          <w:tcPr/>
          <w:p>
            <w:pPr>
              <w:pStyle w:val="Compact"/>
              <w:spacing w:after="40" w:before="40"/>
              <w:jc w:val="left"/>
            </w:pPr>
            <w:r>
              <w:rPr>
                <w:rFonts w:ascii="Cambria" w:hAnsi="Cambria" w:cs="Cambria" w:eastAsia="Cambria"/>
                <w:color w:val="1A1A1A"/>
                <w:sz w:val="18"/>
              </w:rPr>
              <w:t xml:space="preserve">700 €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Per braccio, da fonti</w:t>
            </w:r>
          </w:p>
        </w:tc>
        <w:tc>
          <w:tcPr/>
          <w:p>
            <w:pPr>
              <w:pStyle w:val="Compact"/>
              <w:spacing w:after="40" w:before="40"/>
              <w:jc w:val="left"/>
            </w:pPr>
            <w:r>
              <w:rPr>
                <w:rFonts w:ascii="Cambria" w:hAnsi="Cambria" w:cs="Cambria" w:eastAsia="Cambria"/>
                <w:color w:val="1A1A1A"/>
                <w:sz w:val="18"/>
              </w:rPr>
              <w:t xml:space="preserve">Beta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per stato</w:t>
            </w:r>
          </w:p>
        </w:tc>
        <w:tc>
          <w:tcPr>
            <w:shd w:val="clear" w:color="auto" w:fill="F4F1EC"/>
          </w:tcPr>
          <w:p>
            <w:pPr>
              <w:pStyle w:val="Compact"/>
              <w:spacing w:after="40" w:before="40"/>
              <w:jc w:val="left"/>
            </w:pPr>
            <w:r>
              <w:rPr>
                <w:rFonts w:ascii="Cambria" w:hAnsi="Cambria" w:cs="Cambria" w:eastAsia="Cambria"/>
                <w:color w:val="1A1A1A"/>
                <w:sz w:val="18"/>
              </w:rPr>
              <w:t xml:space="preserve">Da fonti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Orizzonte e sconto</w:t>
            </w:r>
          </w:p>
        </w:tc>
        <w:tc>
          <w:tcPr/>
          <w:p>
            <w:pPr>
              <w:pStyle w:val="Compact"/>
              <w:spacing w:after="40" w:before="40"/>
              <w:jc w:val="left"/>
            </w:pPr>
            <w:r>
              <w:rPr>
                <w:rFonts w:ascii="Cambria" w:hAnsi="Cambria" w:cs="Cambria" w:eastAsia="Cambria"/>
                <w:color w:val="1A1A1A"/>
                <w:sz w:val="18"/>
              </w:rPr>
              <w:t xml:space="preserve">5 anni; 3% annuo</w:t>
            </w:r>
          </w:p>
        </w:tc>
        <w:t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dell’Emilia-Romagna, già esposto nelle parti centrali dello studio, è qui riassunto per scenario, a beneficio della consultazione.</w:t>
      </w:r>
      <w:r>
        <w:rPr>
          <w:rStyle w:val="FootnoteReference"/>
        </w:rPr>
        <w:footnoteReference w:id="2447"/>
      </w:r>
      <w:r>
        <w:t xml:space="preserve"> </w:t>
      </w:r>
      <w:r>
        <w:t xml:space="preserve">La tabella seguente lo riepiloga.</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3"/>
        <w:gridCol w:w="1384"/>
        <w:gridCol w:w="1384"/>
        <w:gridCol w:w="13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 salvo 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Psicologi a regime</w:t>
            </w:r>
          </w:p>
        </w:tc>
        <w:tc>
          <w:tcPr/>
          <w:p>
            <w:pPr>
              <w:pStyle w:val="Compact"/>
              <w:spacing w:after="40" w:before="40"/>
              <w:jc w:val="left"/>
            </w:pPr>
            <w:r>
              <w:rPr>
                <w:rFonts w:ascii="Cambria" w:hAnsi="Cambria" w:cs="Cambria" w:eastAsia="Cambria"/>
                <w:color w:val="1A1A1A"/>
                <w:sz w:val="18"/>
              </w:rPr>
              <w:t xml:space="preserve">~ 490</w:t>
            </w:r>
          </w:p>
        </w:tc>
        <w:tc>
          <w:tcPr/>
          <w:p>
            <w:pPr>
              <w:pStyle w:val="Compact"/>
              <w:spacing w:after="40" w:before="40"/>
              <w:jc w:val="left"/>
            </w:pPr>
            <w:r>
              <w:rPr>
                <w:rFonts w:ascii="Cambria" w:hAnsi="Cambria" w:cs="Cambria" w:eastAsia="Cambria"/>
                <w:color w:val="1A1A1A"/>
                <w:sz w:val="18"/>
              </w:rPr>
              <w:t xml:space="preserve">~ 730</w:t>
            </w:r>
          </w:p>
        </w:tc>
        <w:tc>
          <w:tcPr/>
          <w:p>
            <w:pPr>
              <w:pStyle w:val="Compact"/>
              <w:spacing w:after="40" w:before="40"/>
              <w:jc w:val="left"/>
            </w:pPr>
            <w:r>
              <w:rPr>
                <w:rFonts w:ascii="Cambria" w:hAnsi="Cambria" w:cs="Cambria" w:eastAsia="Cambria"/>
                <w:color w:val="1A1A1A"/>
                <w:sz w:val="18"/>
              </w:rPr>
              <w:t xml:space="preserve">~ 960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27</w:t>
            </w:r>
          </w:p>
        </w:tc>
        <w:tc>
          <w:tcPr>
            <w:shd w:val="clear" w:color="auto" w:fill="F4F1EC"/>
          </w:tcPr>
          <w:p>
            <w:pPr>
              <w:pStyle w:val="Compact"/>
              <w:spacing w:after="40" w:before="40"/>
              <w:jc w:val="left"/>
            </w:pPr>
            <w:r>
              <w:rPr>
                <w:rFonts w:ascii="Cambria" w:hAnsi="Cambria" w:cs="Cambria" w:eastAsia="Cambria"/>
                <w:color w:val="1A1A1A"/>
                <w:sz w:val="18"/>
              </w:rPr>
              <w:t xml:space="preserve">~ 40</w:t>
            </w:r>
          </w:p>
        </w:tc>
        <w:tc>
          <w:tcPr>
            <w:shd w:val="clear" w:color="auto" w:fill="F4F1EC"/>
          </w:tcPr>
          <w:p>
            <w:pPr>
              <w:pStyle w:val="Compact"/>
              <w:spacing w:after="40" w:before="40"/>
              <w:jc w:val="left"/>
            </w:pPr>
            <w:r>
              <w:rPr>
                <w:rFonts w:ascii="Cambria" w:hAnsi="Cambria" w:cs="Cambria" w:eastAsia="Cambria"/>
                <w:color w:val="1A1A1A"/>
                <w:sz w:val="18"/>
              </w:rPr>
              <w:t xml:space="preserve">~ 53</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16</w:t>
            </w:r>
          </w:p>
        </w:tc>
        <w:tc>
          <w:tcPr/>
          <w:p>
            <w:pPr>
              <w:pStyle w:val="Compact"/>
              <w:spacing w:after="40" w:before="40"/>
              <w:jc w:val="left"/>
            </w:pPr>
            <w:r>
              <w:rPr>
                <w:rFonts w:ascii="Cambria" w:hAnsi="Cambria" w:cs="Cambria" w:eastAsia="Cambria"/>
                <w:color w:val="1A1A1A"/>
                <w:sz w:val="18"/>
              </w:rPr>
              <w:t xml:space="preserve">~ 27</w:t>
            </w:r>
          </w:p>
        </w:tc>
        <w:tc>
          <w:tcPr/>
          <w:p>
            <w:pPr>
              <w:pStyle w:val="Compact"/>
              <w:spacing w:after="40" w:before="40"/>
              <w:jc w:val="left"/>
            </w:pPr>
            <w:r>
              <w:rPr>
                <w:rFonts w:ascii="Cambria" w:hAnsi="Cambria" w:cs="Cambria" w:eastAsia="Cambria"/>
                <w:color w:val="1A1A1A"/>
                <w:sz w:val="18"/>
              </w:rPr>
              <w:t xml:space="preserve">~ 40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86</w:t>
            </w:r>
          </w:p>
        </w:tc>
        <w:tc>
          <w:tcPr>
            <w:shd w:val="clear" w:color="auto" w:fill="F4F1EC"/>
          </w:tcPr>
          <w:p>
            <w:pPr>
              <w:pStyle w:val="Compact"/>
              <w:spacing w:after="40" w:before="40"/>
              <w:jc w:val="left"/>
            </w:pPr>
            <w:r>
              <w:rPr>
                <w:rFonts w:ascii="Cambria" w:hAnsi="Cambria" w:cs="Cambria" w:eastAsia="Cambria"/>
                <w:color w:val="1A1A1A"/>
                <w:sz w:val="18"/>
              </w:rPr>
              <w:t xml:space="preserve">~ 160</w:t>
            </w:r>
          </w:p>
        </w:tc>
        <w:tc>
          <w:tcPr>
            <w:shd w:val="clear" w:color="auto" w:fill="F4F1EC"/>
          </w:tcPr>
          <w:p>
            <w:pPr>
              <w:pStyle w:val="Compact"/>
              <w:spacing w:after="40" w:before="40"/>
              <w:jc w:val="left"/>
            </w:pPr>
            <w:r>
              <w:rPr>
                <w:rFonts w:ascii="Cambria" w:hAnsi="Cambria" w:cs="Cambria" w:eastAsia="Cambria"/>
                <w:color w:val="1A1A1A"/>
                <w:sz w:val="18"/>
              </w:rPr>
              <w:t xml:space="preserve">~ 250</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−11</w:t>
            </w:r>
          </w:p>
        </w:tc>
        <w:tc>
          <w:tcPr/>
          <w:p>
            <w:pPr>
              <w:pStyle w:val="Compact"/>
              <w:spacing w:after="40" w:before="40"/>
              <w:jc w:val="left"/>
            </w:pPr>
            <w:r>
              <w:rPr>
                <w:rFonts w:ascii="Cambria" w:hAnsi="Cambria" w:cs="Cambria" w:eastAsia="Cambria"/>
                <w:color w:val="1A1A1A"/>
                <w:sz w:val="18"/>
              </w:rPr>
              <w:t xml:space="preserve">~ −13</w:t>
            </w:r>
          </w:p>
        </w:tc>
        <w:tc>
          <w:tcPr/>
          <w:p>
            <w:pPr>
              <w:pStyle w:val="Compact"/>
              <w:spacing w:after="40" w:before="40"/>
              <w:jc w:val="left"/>
            </w:pPr>
            <w:r>
              <w:rPr>
                <w:rFonts w:ascii="Cambria" w:hAnsi="Cambria" w:cs="Cambria" w:eastAsia="Cambria"/>
                <w:color w:val="1A1A1A"/>
                <w:sz w:val="18"/>
              </w:rPr>
              <w:t xml:space="preserve">~ −13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+75</w:t>
            </w:r>
          </w:p>
        </w:tc>
        <w:tc>
          <w:tcPr>
            <w:shd w:val="clear" w:color="auto" w:fill="F4F1EC"/>
          </w:tcPr>
          <w:p>
            <w:pPr>
              <w:pStyle w:val="Compact"/>
              <w:spacing w:after="40" w:before="40"/>
              <w:jc w:val="left"/>
            </w:pPr>
            <w:r>
              <w:rPr>
                <w:rFonts w:ascii="Cambria" w:hAnsi="Cambria" w:cs="Cambria" w:eastAsia="Cambria"/>
                <w:color w:val="1A1A1A"/>
                <w:sz w:val="18"/>
              </w:rPr>
              <w:t xml:space="preserve">+147</w:t>
            </w:r>
          </w:p>
        </w:tc>
        <w:tc>
          <w:tcPr>
            <w:shd w:val="clear" w:color="auto" w:fill="F4F1EC"/>
          </w:tcPr>
          <w:p>
            <w:pPr>
              <w:pStyle w:val="Compact"/>
              <w:spacing w:after="40" w:before="40"/>
              <w:jc w:val="left"/>
            </w:pPr>
            <w:r>
              <w:rPr>
                <w:rFonts w:ascii="Cambria" w:hAnsi="Cambria" w:cs="Cambria" w:eastAsia="Cambria"/>
                <w:color w:val="1A1A1A"/>
                <w:sz w:val="18"/>
              </w:rPr>
              <w:t xml:space="preserve">+237</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~3,8:1</w:t>
            </w:r>
          </w:p>
        </w:tc>
        <w:tc>
          <w:tcPr/>
          <w:p>
            <w:pPr>
              <w:pStyle w:val="Compact"/>
              <w:spacing w:after="40" w:before="40"/>
              <w:jc w:val="left"/>
            </w:pPr>
            <w:r>
              <w:rPr>
                <w:rFonts w:ascii="Cambria" w:hAnsi="Cambria" w:cs="Cambria" w:eastAsia="Cambria"/>
                <w:color w:val="1A1A1A"/>
                <w:sz w:val="18"/>
              </w:rPr>
              <w:t xml:space="preserve">~4,7:1</w:t>
            </w:r>
          </w:p>
        </w:tc>
        <w:t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A.3. Il quadro economico consolidato per scenario (costo per incarico di riferimento di 55.000 euro).</w:t>
      </w:r>
    </w:p>
    <w:bookmarkEnd w:id="1800"/>
    <w:bookmarkStart w:id="1803" w:name="X6dda4848b340ddcd1aeb81e998ec453cc272a27"/>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448"/>
      </w:r>
      <w:r>
        <w:t xml:space="preserve"> </w:t>
      </w:r>
      <w:r>
        <w:t xml:space="preserve">La tabella seguente li descrive.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6"/>
        <w:gridCol w:w="1584"/>
        <w:gridCol w:w="41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Caratteristiche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 soglia clinica ~10; cambiamento affidabile ~6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d’ansia</w:t>
            </w:r>
          </w:p>
        </w:tc>
        <w:tc>
          <w:tcPr>
            <w:shd w:val="clear" w:color="auto" w:fill="F4F1EC"/>
          </w:tcPr>
          <w:p>
            <w:pPr>
              <w:pStyle w:val="Compact"/>
              <w:spacing w:after="40" w:before="40"/>
              <w:jc w:val="left"/>
            </w:pPr>
            <w:r>
              <w:rPr>
                <w:rFonts w:ascii="Cambria" w:hAnsi="Cambria" w:cs="Cambria" w:eastAsia="Cambria"/>
                <w:color w:val="1A1A1A"/>
                <w:sz w:val="18"/>
              </w:rPr>
              <w:t xml:space="preserve">0–21; impiegato nel solo punteggio complessivo</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Discesa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Esito secondario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449"/>
      </w:r>
      <w:r>
        <w:t xml:space="preserve"> </w:t>
      </w:r>
      <w:r>
        <w:t xml:space="preserve">La tabella seguente ne costituisce il dizionario dei dati.</w:t>
      </w:r>
    </w:p>
    <w:tbl>
      <w:tblPr>
        <w:tblStyle w:val="Table"/>
        <w:tblW w:type="pct" w:w="491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52"/>
        <w:gridCol w:w="4154"/>
        <w:gridCol w:w="18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Campo del dataset</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Momento di rilevazione</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Data di apertura, canale di accesso, invio</w:t>
            </w:r>
          </w:p>
        </w:tc>
        <w:tc>
          <w:tcPr/>
          <w:p>
            <w:pPr>
              <w:pStyle w:val="Compact"/>
              <w:spacing w:after="40" w:before="40"/>
              <w:jc w:val="left"/>
            </w:pPr>
            <w:r>
              <w:rPr>
                <w:rFonts w:ascii="Cambria" w:hAnsi="Cambria" w:cs="Cambria" w:eastAsia="Cambria"/>
                <w:color w:val="1A1A1A"/>
                <w:sz w:val="18"/>
              </w:rPr>
              <w:t xml:space="preserve">All’apertura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Seduta</w:t>
            </w:r>
          </w:p>
        </w:tc>
        <w:tc>
          <w:tcPr>
            <w:shd w:val="clear" w:color="auto" w:fill="F4F1EC"/>
          </w:tcPr>
          <w:p>
            <w:pPr>
              <w:pStyle w:val="Compact"/>
              <w:spacing w:after="40" w:before="40"/>
              <w:jc w:val="left"/>
            </w:pPr>
            <w:r>
              <w:rPr>
                <w:rFonts w:ascii="Cambria" w:hAnsi="Cambria" w:cs="Cambria" w:eastAsia="Cambria"/>
                <w:color w:val="1A1A1A"/>
                <w:sz w:val="18"/>
              </w:rPr>
              <w:t xml:space="preserve">Data, tipo e numero progressivo della seduta</w:t>
            </w:r>
          </w:p>
        </w:tc>
        <w:tc>
          <w:tcPr>
            <w:shd w:val="clear" w:color="auto" w:fill="F4F1EC"/>
          </w:tcPr>
          <w:p>
            <w:pPr>
              <w:pStyle w:val="Compact"/>
              <w:spacing w:after="40" w:before="40"/>
              <w:jc w:val="left"/>
            </w:pPr>
            <w:r>
              <w:rPr>
                <w:rFonts w:ascii="Cambria" w:hAnsi="Cambria" w:cs="Cambria" w:eastAsia="Cambria"/>
                <w:color w:val="1A1A1A"/>
                <w:sz w:val="18"/>
              </w:rPr>
              <w:t xml:space="preserve">A ogni seduta</w:t>
            </w:r>
          </w:p>
        </w:tc>
      </w:tr>
      <w:tr>
        <w:tc>
          <w:tcPr/>
          <w:p>
            <w:pPr>
              <w:pStyle w:val="Compact"/>
              <w:spacing w:after="40" w:before="40"/>
              <w:jc w:val="left"/>
            </w:pPr>
            <w:r>
              <w:rPr>
                <w:rFonts w:ascii="Cambria" w:hAnsi="Cambria" w:cs="Cambria" w:eastAsia="Cambria"/>
                <w:b/>
                <w:bCs/>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e GAD-7 (punteggi complessivi)</w:t>
            </w:r>
          </w:p>
        </w:tc>
        <w:tc>
          <w:tcPr/>
          <w:p>
            <w:pPr>
              <w:pStyle w:val="Compact"/>
              <w:spacing w:after="40" w:before="40"/>
              <w:jc w:val="left"/>
            </w:pPr>
            <w:r>
              <w:rPr>
                <w:rFonts w:ascii="Cambria" w:hAnsi="Cambria" w:cs="Cambria" w:eastAsia="Cambria"/>
                <w:color w:val="1A1A1A"/>
                <w:sz w:val="18"/>
              </w:rPr>
              <w:t xml:space="preserve">A ogni seduta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Invii e restituzioni</w:t>
            </w:r>
          </w:p>
        </w:tc>
        <w:tc>
          <w:tcPr>
            <w:shd w:val="clear" w:color="auto" w:fill="F4F1EC"/>
          </w:tcPr>
          <w:p>
            <w:pPr>
              <w:pStyle w:val="Compact"/>
              <w:spacing w:after="40" w:before="40"/>
              <w:jc w:val="left"/>
            </w:pPr>
            <w:r>
              <w:rPr>
                <w:rFonts w:ascii="Cambria" w:hAnsi="Cambria" w:cs="Cambria" w:eastAsia="Cambria"/>
                <w:color w:val="1A1A1A"/>
                <w:sz w:val="18"/>
              </w:rPr>
              <w:t xml:space="preserve">Invio a servizi specialistici; restituzione al medico curante</w:t>
            </w:r>
          </w:p>
        </w:tc>
        <w:tc>
          <w:tcPr>
            <w:shd w:val="clear" w:color="auto" w:fill="F4F1EC"/>
          </w:tcPr>
          <w:p>
            <w:pPr>
              <w:pStyle w:val="Compact"/>
              <w:spacing w:after="40" w:before="40"/>
              <w:jc w:val="left"/>
            </w:pPr>
            <w:r>
              <w:rPr>
                <w:rFonts w:ascii="Cambria" w:hAnsi="Cambria" w:cs="Cambria" w:eastAsia="Cambria"/>
                <w:color w:val="1A1A1A"/>
                <w:sz w:val="18"/>
              </w:rPr>
              <w:t xml:space="preserve">Ove pertinente</w:t>
            </w:r>
          </w:p>
        </w:tc>
      </w:tr>
      <w:tr>
        <w:tc>
          <w:tcPr/>
          <w:p>
            <w:pPr>
              <w:pStyle w:val="Compact"/>
              <w:spacing w:after="40" w:before="40"/>
              <w:jc w:val="left"/>
            </w:pPr>
            <w:r>
              <w:rPr>
                <w:rFonts w:ascii="Cambria" w:hAnsi="Cambria" w:cs="Cambria" w:eastAsia="Cambria"/>
                <w:b/>
                <w:bCs/>
                <w:color w:val="1A1A1A"/>
                <w:sz w:val="18"/>
              </w:rPr>
              <w:t xml:space="preserve">Chiusura</w:t>
            </w:r>
          </w:p>
        </w:tc>
        <w:tc>
          <w:tcPr/>
          <w:p>
            <w:pPr>
              <w:pStyle w:val="Compact"/>
              <w:spacing w:after="40" w:before="40"/>
              <w:jc w:val="left"/>
            </w:pPr>
            <w:r>
              <w:rPr>
                <w:rFonts w:ascii="Cambria" w:hAnsi="Cambria" w:cs="Cambria" w:eastAsia="Cambria"/>
                <w:color w:val="1A1A1A"/>
                <w:sz w:val="18"/>
              </w:rPr>
              <w:t xml:space="preserve">Esito del percorso (recupero, miglioramento, invio)</w:t>
            </w:r>
          </w:p>
        </w:tc>
        <w:tc>
          <w:tcPr/>
          <w:p>
            <w:pPr>
              <w:pStyle w:val="Compact"/>
              <w:spacing w:after="40" w:before="40"/>
              <w:jc w:val="left"/>
            </w:pPr>
            <w:r>
              <w:rPr>
                <w:rFonts w:ascii="Cambria" w:hAnsi="Cambria" w:cs="Cambria" w:eastAsia="Cambria"/>
                <w:color w:val="1A1A1A"/>
                <w:sz w:val="18"/>
              </w:rPr>
              <w:t xml:space="preserve">Alla chiusura</w:t>
            </w:r>
          </w:p>
        </w:tc>
      </w:tr>
    </w:tbl>
    <w:p>
      <w:pPr>
        <w:pStyle w:val="BodyText"/>
      </w:pPr>
      <w:r>
        <w:rPr>
          <w:i/>
          <w:iCs/>
        </w:rPr>
        <w:t xml:space="preserve">Tabella B.2. Il dataset minimo: i campi del protocollo di rilevazione (dizionario dei dati).</w:t>
      </w:r>
    </w:p>
    <w:bookmarkEnd w:id="1803"/>
    <w:bookmarkStart w:id="1806" w:name="appendice-c-dati-regionali-e-fonti-5"/>
    <w:p>
      <w:pPr>
        <w:pStyle w:val="Heading2"/>
      </w:pPr>
      <w:r>
        <w:t xml:space="preserve">Appendice C — Dati regionali e fonti</w:t>
      </w:r>
    </w:p>
    <w:p>
      <w:pPr>
        <w:pStyle w:val="FirstParagraph"/>
      </w:pPr>
      <w:r>
        <w:t xml:space="preserve">La presente appendice raccoglie i dati regionali di ancoraggio dello studio e ne dichiara i limiti. I valori emiliano-romagnoli impiegati nelle analisi sono riepilogati nella tabella seguente.</w:t>
      </w:r>
      <w:r>
        <w:rPr>
          <w:rStyle w:val="FootnoteReference"/>
        </w:rPr>
        <w:footnoteReference w:id="2450"/>
      </w:r>
    </w:p>
    <w:tbl>
      <w:tblPr>
        <w:tblStyle w:val="Table"/>
        <w:tblW w:type="pct" w:w="495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338"/>
        <w:gridCol w:w="650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regionale</w:t>
            </w:r>
          </w:p>
        </w:tc>
      </w:tr>
      <w:tr>
        <w:tc>
          <w:tcPr/>
          <w:p>
            <w:pPr>
              <w:pStyle w:val="Compact"/>
              <w:spacing w:after="40" w:before="40"/>
              <w:jc w:val="left"/>
            </w:pPr>
            <w:r>
              <w:rPr>
                <w:rFonts w:ascii="Cambria" w:hAnsi="Cambria" w:cs="Cambria" w:eastAsia="Cambria"/>
                <w:b/>
                <w:bCs/>
                <w:color w:val="1A1A1A"/>
                <w:sz w:val="18"/>
              </w:rPr>
              <w:t xml:space="preserve">Popolazione regionale</w:t>
            </w:r>
          </w:p>
        </w:tc>
        <w:tc>
          <w:tcPr/>
          <w:p>
            <w:pPr>
              <w:pStyle w:val="Compact"/>
              <w:spacing w:after="40" w:before="40"/>
              <w:jc w:val="left"/>
            </w:pPr>
            <w:r>
              <w:rPr>
                <w:rFonts w:ascii="Cambria" w:hAnsi="Cambria" w:cs="Cambria" w:eastAsia="Cambria"/>
                <w:color w:val="1A1A1A"/>
                <w:sz w:val="18"/>
              </w:rPr>
              <w:t xml:space="preserve">4.451.938 abitanti (Censimento ISTAT 2024); popolazione in crescita per saldo migratorio positivo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Finanziamento del SSR</w:t>
            </w:r>
          </w:p>
        </w:tc>
        <w:tc>
          <w:tcPr>
            <w:shd w:val="clear" w:color="auto" w:fill="F4F1EC"/>
          </w:tcPr>
          <w:p>
            <w:pPr>
              <w:pStyle w:val="Compact"/>
              <w:spacing w:after="40" w:before="40"/>
              <w:jc w:val="left"/>
            </w:pPr>
            <w:r>
              <w:rPr>
                <w:rFonts w:ascii="Cambria" w:hAnsi="Cambria" w:cs="Cambria" w:eastAsia="Cambria"/>
                <w:color w:val="1A1A1A"/>
                <w:sz w:val="18"/>
              </w:rPr>
              <w:t xml:space="preserve">Superiore a 10 miliardi di euro; disavanzo in riduzione e coperto dalla Regione; nessun piano di rientro</w:t>
            </w:r>
          </w:p>
        </w:tc>
      </w:tr>
      <w:tr>
        <w:tc>
          <w:tcPr/>
          <w:p>
            <w:pPr>
              <w:pStyle w:val="Compact"/>
              <w:spacing w:after="40" w:before="40"/>
              <w:jc w:val="left"/>
            </w:pPr>
            <w:r>
              <w:rPr>
                <w:rFonts w:ascii="Cambria" w:hAnsi="Cambria" w:cs="Cambria" w:eastAsia="Cambria"/>
                <w:b/>
                <w:bCs/>
                <w:color w:val="1A1A1A"/>
                <w:sz w:val="18"/>
              </w:rPr>
              <w:t xml:space="preserve">Mobilità sanitaria</w:t>
            </w:r>
          </w:p>
        </w:tc>
        <w:tc>
          <w:tcPr/>
          <w:p>
            <w:pPr>
              <w:pStyle w:val="Compact"/>
              <w:spacing w:after="40" w:before="40"/>
              <w:jc w:val="left"/>
            </w:pPr>
            <w:r>
              <w:rPr>
                <w:rFonts w:ascii="Cambria" w:hAnsi="Cambria" w:cs="Cambria" w:eastAsia="Cambria"/>
                <w:color w:val="1A1A1A"/>
                <w:sz w:val="18"/>
              </w:rPr>
              <w:t xml:space="preserve">Saldo fortemente attivo, dell’ordine di +525 milioni; regione tra le prime creditrici d’Italia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 1.400.000 accessi/anno</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Consumo regionale delle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 890.000 con disagio comune; ~ 66.000 in carico ai Dipartimenti di Salute Mentale</w:t>
            </w:r>
          </w:p>
        </w:tc>
      </w:tr>
      <w:tr>
        <w:tc>
          <w:tcPr/>
          <w:p>
            <w:pPr>
              <w:pStyle w:val="Compact"/>
              <w:spacing w:after="40" w:before="40"/>
              <w:jc w:val="left"/>
            </w:pPr>
            <w:r>
              <w:rPr>
                <w:rFonts w:ascii="Cambria" w:hAnsi="Cambria" w:cs="Cambria" w:eastAsia="Cambria"/>
                <w:b/>
                <w:bCs/>
                <w:color w:val="1A1A1A"/>
                <w:sz w:val="18"/>
              </w:rPr>
              <w:t xml:space="preserve">Funzione attuale</w:t>
            </w:r>
          </w:p>
        </w:tc>
        <w:tc>
          <w:tcPr/>
          <w:p>
            <w:pPr>
              <w:pStyle w:val="Compact"/>
              <w:spacing w:after="40" w:before="40"/>
              <w:jc w:val="left"/>
            </w:pPr>
            <w:r>
              <w:rPr>
                <w:rFonts w:ascii="Cambria" w:hAnsi="Cambria" w:cs="Cambria" w:eastAsia="Cambria"/>
                <w:color w:val="1A1A1A"/>
                <w:sz w:val="18"/>
              </w:rPr>
              <w:t xml:space="preserve">Esperienze strutturate dal 2015 (Azienda USL di Bologna); DGR 1141/2021 e 2185/2023; funzione diffusa per via amministrativa ma non istituzionalizzata; ~ 5% del fabbisogno</w:t>
            </w:r>
          </w:p>
        </w:tc>
      </w:tr>
    </w:tbl>
    <w:p>
      <w:pPr>
        <w:pStyle w:val="BodyText"/>
      </w:pPr>
      <w:r>
        <w:rPr>
          <w:i/>
          <w:iCs/>
        </w:rPr>
        <w:t xml:space="preserve">Tabella C.1. I valori regionali di ancoraggio dell</w:t>
      </w:r>
      <w:r>
        <w:rPr>
          <w:b/>
          <w:bCs/>
          <w:i/>
          <w:iCs/>
        </w:rPr>
        <w:t xml:space="preserve">’</w:t>
      </w:r>
      <w:r>
        <w:rPr>
          <w:i/>
          <w:iCs/>
        </w:rPr>
        <w:t xml:space="preserve">Emilia-Romagna.</w:t>
      </w:r>
    </w:p>
    <w:p>
      <w:pPr>
        <w:pStyle w:val="BodyText"/>
      </w:pPr>
      <w:r>
        <w:t xml:space="preserve">Resta la lacuna principale dello studio: i valori economici sono in parte ricostruiti a partire dai conti nazionali scalati per la quota di popolazione emiliano-romagnola, e non estratti dai conti regionali certificati.</w:t>
      </w:r>
      <w:r>
        <w:rPr>
          <w:rStyle w:val="FootnoteReference"/>
        </w:rPr>
        <w:footnoteReference w:id="2451"/>
      </w:r>
      <w:r>
        <w:t xml:space="preserve"> </w:t>
      </w:r>
      <w:r>
        <w:t xml:space="preserve">La tabella seguente elenca i dati da acquisire per sostituire le stime.</w:t>
      </w:r>
    </w:p>
    <w:tbl>
      <w:tblPr>
        <w:tblStyle w:val="Table"/>
        <w:tblW w:type="pct" w:w="491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45"/>
        <w:gridCol w:w="523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Dato da acquisire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Ricoveri psichiatrici</w:t>
            </w:r>
          </w:p>
        </w:tc>
        <w:tc>
          <w:tcPr/>
          <w:p>
            <w:pPr>
              <w:pStyle w:val="Compact"/>
              <w:spacing w:after="40" w:before="40"/>
              <w:jc w:val="left"/>
            </w:pPr>
            <w:r>
              <w:rPr>
                <w:rFonts w:ascii="Cambria" w:hAnsi="Cambria" w:cs="Cambria" w:eastAsia="Cambria"/>
                <w:color w:val="1A1A1A"/>
                <w:sz w:val="18"/>
              </w:rPr>
              <w:t xml:space="preserve">Schede di dimissione ospedaliera per disturbi psichici e relativo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Specialistica</w:t>
            </w:r>
          </w:p>
        </w:tc>
        <w:tc>
          <w:tcPr>
            <w:shd w:val="clear" w:color="auto" w:fill="F4F1EC"/>
          </w:tcPr>
          <w:p>
            <w:pPr>
              <w:pStyle w:val="Compact"/>
              <w:spacing w:after="40" w:before="40"/>
              <w:jc w:val="left"/>
            </w:pPr>
            <w:r>
              <w:rPr>
                <w:rFonts w:ascii="Cambria" w:hAnsi="Cambria" w:cs="Cambria" w:eastAsia="Cambria"/>
                <w:color w:val="1A1A1A"/>
                <w:sz w:val="18"/>
              </w:rPr>
              <w:t xml:space="preserve">Prestazioni specialistiche associate ai sintomi somatici funzionali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Spesa regionale per 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causa psichiatrica e relativo costo unitario</w:t>
            </w:r>
          </w:p>
        </w:tc>
      </w:tr>
      <w:tr>
        <w:tc>
          <w:tcPr/>
          <w:p>
            <w:pPr>
              <w:pStyle w:val="Compact"/>
              <w:spacing w:after="40" w:before="40"/>
              <w:jc w:val="left"/>
            </w:pPr>
            <w:r>
              <w:rPr>
                <w:rFonts w:ascii="Cambria" w:hAnsi="Cambria" w:cs="Cambria" w:eastAsia="Cambria"/>
                <w:b/>
                <w:bCs/>
                <w:color w:val="1A1A1A"/>
                <w:sz w:val="18"/>
              </w:rPr>
              <w:t xml:space="preserve">Liste di attesa</w:t>
            </w:r>
          </w:p>
        </w:tc>
        <w:tc>
          <w:tcPr/>
          <w:p>
            <w:pPr>
              <w:pStyle w:val="Compact"/>
              <w:spacing w:after="40" w:before="40"/>
              <w:jc w:val="left"/>
            </w:pPr>
            <w:r>
              <w:rPr>
                <w:rFonts w:ascii="Cambria" w:hAnsi="Cambria" w:cs="Cambria" w:eastAsia="Cambria"/>
                <w:color w:val="1A1A1A"/>
                <w:sz w:val="18"/>
              </w:rPr>
              <w:t xml:space="preserve">Tempi di attesa per l’accesso psicologico, per Azienda USL e per area</w:t>
            </w:r>
          </w:p>
        </w:tc>
      </w:tr>
    </w:tbl>
    <w:p>
      <w:pPr>
        <w:pStyle w:val="BodyText"/>
      </w:pPr>
      <w:r>
        <w:rPr>
          <w:i/>
          <w:iCs/>
        </w:rPr>
        <w:t xml:space="preserve">Tabella C.2. I dati certificati da acquisire per sostituire le stime (lacuna principale dello studio).</w:t>
      </w:r>
    </w:p>
    <w:bookmarkEnd w:id="1806"/>
    <w:bookmarkStart w:id="1808" w:name="appendice-d-checklist-di-reporting-5"/>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452"/>
      </w:r>
      <w:r>
        <w:t xml:space="preserve"> </w:t>
      </w:r>
      <w:r>
        <w:t xml:space="preserve">La tabella seguente li riepiloga.</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3927"/>
        <w:gridCol w:w="1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Standard o lista di controllo</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r>
      <w:tr>
        <w:tc>
          <w:tcPr/>
          <w:p>
            <w:pPr>
              <w:pStyle w:val="Compact"/>
              <w:spacing w:after="40" w:before="40"/>
              <w:jc w:val="left"/>
            </w:pPr>
            <w:r>
              <w:rPr>
                <w:rFonts w:ascii="Cambria" w:hAnsi="Cambria" w:cs="Cambria" w:eastAsia="Cambria"/>
                <w:b/>
                <w:bCs/>
                <w:color w:val="1A1A1A"/>
                <w:sz w:val="18"/>
              </w:rPr>
              <w:t xml:space="preserve">CHEERS 2022 (28 voci)</w:t>
            </w:r>
          </w:p>
        </w:tc>
        <w:tc>
          <w:tcPr/>
          <w:p>
            <w:pPr>
              <w:pStyle w:val="Compact"/>
              <w:spacing w:after="40" w:before="40"/>
              <w:jc w:val="left"/>
            </w:pPr>
            <w:r>
              <w:rPr>
                <w:rFonts w:ascii="Cambria" w:hAnsi="Cambria" w:cs="Cambria" w:eastAsia="Cambria"/>
                <w:color w:val="1A1A1A"/>
                <w:sz w:val="18"/>
              </w:rPr>
              <w:t xml:space="preserve">Rendicontazione delle valutazioni economiche</w:t>
            </w:r>
          </w:p>
        </w:tc>
        <w:tc>
          <w:tcPr/>
          <w:p>
            <w:pPr>
              <w:pStyle w:val="Compact"/>
              <w:spacing w:after="40" w:before="40"/>
              <w:jc w:val="left"/>
            </w:pPr>
            <w:r>
              <w:rPr>
                <w:rFonts w:ascii="Cambria" w:hAnsi="Cambria" w:cs="Cambria" w:eastAsia="Cambria"/>
                <w:color w:val="1A1A1A"/>
                <w:sz w:val="18"/>
              </w:rPr>
              <w:t xml:space="preserve">Parte 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CHEERS-AI (38 voci)</w:t>
            </w:r>
          </w:p>
        </w:tc>
        <w:tc>
          <w:tcPr>
            <w:shd w:val="clear" w:color="auto" w:fill="F4F1EC"/>
          </w:tcPr>
          <w:p>
            <w:pPr>
              <w:pStyle w:val="Compact"/>
              <w:spacing w:after="40" w:before="40"/>
              <w:jc w:val="left"/>
            </w:pPr>
            <w:r>
              <w:rPr>
                <w:rFonts w:ascii="Cambria" w:hAnsi="Cambria" w:cs="Cambria" w:eastAsia="Cambria"/>
                <w:color w:val="1A1A1A"/>
                <w:sz w:val="18"/>
              </w:rPr>
              <w:t xml:space="preserve">Estensione per gli interventi con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Parti C, E</w:t>
            </w:r>
          </w:p>
        </w:tc>
      </w:tr>
      <w:tr>
        <w:tc>
          <w:tcPr/>
          <w:p>
            <w:pPr>
              <w:pStyle w:val="Compact"/>
              <w:spacing w:after="40" w:before="40"/>
              <w:jc w:val="left"/>
            </w:pPr>
            <w:r>
              <w:rPr>
                <w:rFonts w:ascii="Cambria" w:hAnsi="Cambria" w:cs="Cambria" w:eastAsia="Cambria"/>
                <w:b/>
                <w:bCs/>
                <w:color w:val="1A1A1A"/>
                <w:sz w:val="18"/>
              </w:rPr>
              <w:t xml:space="preserve">PRISMA 2020</w:t>
            </w:r>
          </w:p>
        </w:tc>
        <w:tc>
          <w:tcPr/>
          <w:p>
            <w:pPr>
              <w:pStyle w:val="Compact"/>
              <w:spacing w:after="40" w:before="40"/>
              <w:jc w:val="left"/>
            </w:pPr>
            <w:r>
              <w:rPr>
                <w:rFonts w:ascii="Cambria" w:hAnsi="Cambria" w:cs="Cambria" w:eastAsia="Cambria"/>
                <w:color w:val="1A1A1A"/>
                <w:sz w:val="18"/>
              </w:rPr>
              <w:t xml:space="preserve">Conduzione e reporting delle revisioni sistematiche</w:t>
            </w:r>
          </w:p>
        </w:tc>
        <w:tc>
          <w:tcPr/>
          <w:p>
            <w:pPr>
              <w:pStyle w:val="Compact"/>
              <w:spacing w:after="40" w:before="40"/>
              <w:jc w:val="left"/>
            </w:pPr>
            <w:r>
              <w:rPr>
                <w:rFonts w:ascii="Cambria" w:hAnsi="Cambria" w:cs="Cambria" w:eastAsia="Cambria"/>
                <w:color w:val="1A1A1A"/>
                <w:sz w:val="18"/>
              </w:rPr>
              <w:t xml:space="preserve">Parte 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GRADE</w:t>
            </w:r>
          </w:p>
        </w:tc>
        <w:tc>
          <w:tcPr>
            <w:shd w:val="clear" w:color="auto" w:fill="F4F1EC"/>
          </w:tcPr>
          <w:p>
            <w:pPr>
              <w:pStyle w:val="Compact"/>
              <w:spacing w:after="40" w:before="40"/>
              <w:jc w:val="left"/>
            </w:pPr>
            <w:r>
              <w:rPr>
                <w:rFonts w:ascii="Cambria" w:hAnsi="Cambria" w:cs="Cambria" w:eastAsia="Cambria"/>
                <w:color w:val="1A1A1A"/>
                <w:sz w:val="18"/>
              </w:rPr>
              <w:t xml:space="preserve">Graduazione della certezza dell’evidenza</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r>
      <w:tr>
        <w:tc>
          <w:tcPr/>
          <w:p>
            <w:pPr>
              <w:pStyle w:val="Compact"/>
              <w:spacing w:after="40" w:before="40"/>
              <w:jc w:val="left"/>
            </w:pPr>
            <w:r>
              <w:rPr>
                <w:rFonts w:ascii="Cambria" w:hAnsi="Cambria" w:cs="Cambria" w:eastAsia="Cambria"/>
                <w:b/>
                <w:bCs/>
                <w:color w:val="1A1A1A"/>
                <w:sz w:val="18"/>
              </w:rPr>
              <w:t xml:space="preserve">Lista STROBE</w:t>
            </w:r>
          </w:p>
        </w:tc>
        <w:tc>
          <w:tcPr/>
          <w:p>
            <w:pPr>
              <w:pStyle w:val="Compact"/>
              <w:spacing w:after="40" w:before="40"/>
              <w:jc w:val="left"/>
            </w:pPr>
            <w:r>
              <w:rPr>
                <w:rFonts w:ascii="Cambria" w:hAnsi="Cambria" w:cs="Cambria" w:eastAsia="Cambria"/>
                <w:color w:val="1A1A1A"/>
                <w:sz w:val="18"/>
              </w:rPr>
              <w:t xml:space="preserve">Studi osservazionali sui dati reali</w:t>
            </w:r>
          </w:p>
        </w:tc>
        <w:tc>
          <w:tcPr/>
          <w:p>
            <w:pPr>
              <w:pStyle w:val="Compact"/>
              <w:spacing w:after="40" w:before="40"/>
              <w:jc w:val="left"/>
            </w:pPr>
            <w:r>
              <w:rPr>
                <w:rFonts w:ascii="Cambria" w:hAnsi="Cambria" w:cs="Cambria" w:eastAsia="Cambria"/>
                <w:color w:val="1A1A1A"/>
                <w:sz w:val="18"/>
              </w:rPr>
              <w:t xml:space="preserve">Parti D,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Buone pratiche ISPOR-SMDM</w:t>
            </w:r>
          </w:p>
        </w:tc>
        <w:tc>
          <w:tcPr>
            <w:shd w:val="clear" w:color="auto" w:fill="F4F1EC"/>
          </w:tcPr>
          <w:p>
            <w:pPr>
              <w:pStyle w:val="Compact"/>
              <w:spacing w:after="40" w:before="40"/>
              <w:jc w:val="left"/>
            </w:pPr>
            <w:r>
              <w:rPr>
                <w:rFonts w:ascii="Cambria" w:hAnsi="Cambria" w:cs="Cambria" w:eastAsia="Cambria"/>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r>
      <w:tr>
        <w:tc>
          <w:tcPr/>
          <w:p>
            <w:pPr>
              <w:pStyle w:val="Compact"/>
              <w:spacing w:after="40" w:before="40"/>
              <w:jc w:val="left"/>
            </w:pPr>
            <w:r>
              <w:rPr>
                <w:rFonts w:ascii="Cambria" w:hAnsi="Cambria" w:cs="Cambria" w:eastAsia="Cambria"/>
                <w:b/>
                <w:bCs/>
                <w:color w:val="1A1A1A"/>
                <w:sz w:val="18"/>
              </w:rPr>
              <w:t xml:space="preserve">Manuale OCSE-JRC</w:t>
            </w:r>
          </w:p>
        </w:tc>
        <w:tc>
          <w:tcPr/>
          <w:p>
            <w:pPr>
              <w:pStyle w:val="Compact"/>
              <w:spacing w:after="40" w:before="40"/>
              <w:jc w:val="left"/>
            </w:pPr>
            <w:r>
              <w:rPr>
                <w:rFonts w:ascii="Cambria" w:hAnsi="Cambria" w:cs="Cambria" w:eastAsia="Cambria"/>
                <w:color w:val="1A1A1A"/>
                <w:sz w:val="18"/>
              </w:rPr>
              <w:t xml:space="preserve">Costruzione degli indicatori compositi</w:t>
            </w:r>
          </w:p>
        </w:tc>
        <w:tc>
          <w:tcPr/>
          <w:p>
            <w:pPr>
              <w:pStyle w:val="Compact"/>
              <w:spacing w:after="40" w:before="40"/>
              <w:jc w:val="left"/>
            </w:pPr>
            <w:r>
              <w:rPr>
                <w:rFonts w:ascii="Cambria" w:hAnsi="Cambria" w:cs="Cambria" w:eastAsia="Cambria"/>
                <w:color w:val="1A1A1A"/>
                <w:sz w:val="18"/>
              </w:rPr>
              <w:t xml:space="preserve">Parte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Griglia di giudizio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r>
    </w:tbl>
    <w:p>
      <w:pPr>
        <w:pStyle w:val="BodyText"/>
      </w:pPr>
      <w:r>
        <w:rPr>
          <w:i/>
          <w:iCs/>
        </w:rPr>
        <w:t xml:space="preserve">Tabella D.1. Gli standard di reporting e di qualità adottati nello studio, per parte di applicazione.</w:t>
      </w:r>
    </w:p>
    <w:bookmarkEnd w:id="1808"/>
    <w:bookmarkStart w:id="1810" w:name="appendice-e-glossario-5"/>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453"/>
      </w:r>
      <w:r>
        <w:t xml:space="preserve"> </w:t>
      </w:r>
      <w:r>
        <w:t xml:space="preserve">Le definizioni sono comuni al telaio metodologico replicato in tutti gli studi regionali del progetto.</w:t>
      </w:r>
    </w:p>
    <w:tbl>
      <w:tblPr>
        <w:tblStyle w:val="Table"/>
        <w:tblW w:type="pct" w:w="495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86"/>
        <w:gridCol w:w="575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Termine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w:t>
            </w:r>
          </w:p>
        </w:tc>
      </w:tr>
      <w:tr>
        <w:tc>
          <w:tcPr/>
          <w:p>
            <w:pPr>
              <w:pStyle w:val="Compact"/>
              <w:spacing w:after="40" w:before="40"/>
              <w:jc w:val="left"/>
            </w:pPr>
            <w:r>
              <w:rPr>
                <w:rFonts w:ascii="Cambria" w:hAnsi="Cambria" w:cs="Cambria" w:eastAsia="Cambria"/>
                <w:b/>
                <w:bCs/>
                <w:color w:val="1A1A1A"/>
                <w:sz w:val="18"/>
              </w:rPr>
              <w:t xml:space="preserve">Valutazione di tecnologia sanitaria (HTA)</w:t>
            </w:r>
          </w:p>
        </w:tc>
        <w:tc>
          <w:tcPr/>
          <w:p>
            <w:pPr>
              <w:pStyle w:val="Compact"/>
              <w:spacing w:after="40" w:before="40"/>
              <w:jc w:val="left"/>
            </w:pPr>
            <w:r>
              <w:rPr>
                <w:rFonts w:ascii="Cambria" w:hAnsi="Cambria" w:cs="Cambria" w:eastAsia="Cambria"/>
                <w:color w:val="1A1A1A"/>
                <w:sz w:val="18"/>
              </w:rPr>
              <w:t xml:space="preserve">Valutazione multidimensionale di un intervento sanitario, articolata in nove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rapida di efficacia relativa</w:t>
            </w:r>
          </w:p>
        </w:tc>
        <w:tc>
          <w:tcPr>
            <w:shd w:val="clear" w:color="auto" w:fill="F4F1EC"/>
          </w:tcPr>
          <w:p>
            <w:pPr>
              <w:pStyle w:val="Compact"/>
              <w:spacing w:after="40" w:before="40"/>
              <w:jc w:val="left"/>
            </w:pPr>
            <w:r>
              <w:rPr>
                <w:rFonts w:ascii="Cambria" w:hAnsi="Cambria" w:cs="Cambria" w:eastAsia="Cambria"/>
                <w:color w:val="1A1A1A"/>
                <w:sz w:val="18"/>
              </w:rPr>
              <w:t xml:space="preserve">Nucleo dell’HTA, che copre i primi quattro domini (problema, descrizione, sicurezza, efficacia)</w:t>
            </w:r>
          </w:p>
        </w:tc>
      </w:tr>
      <w:tr>
        <w:tc>
          <w:tcPr/>
          <w:p>
            <w:pPr>
              <w:pStyle w:val="Compact"/>
              <w:spacing w:after="40" w:before="40"/>
              <w:jc w:val="left"/>
            </w:pPr>
            <w:r>
              <w:rPr>
                <w:rFonts w:ascii="Cambria" w:hAnsi="Cambria" w:cs="Cambria" w:eastAsia="Cambria"/>
                <w:b/>
                <w:bCs/>
                <w:color w:val="1A1A1A"/>
                <w:sz w:val="18"/>
              </w:rPr>
              <w:t xml:space="preserve">Five Case Model</w:t>
            </w:r>
          </w:p>
        </w:tc>
        <w:tc>
          <w:tcPr/>
          <w:p>
            <w:pPr>
              <w:pStyle w:val="Compact"/>
              <w:spacing w:after="40" w:before="40"/>
              <w:jc w:val="left"/>
            </w:pPr>
            <w:r>
              <w:rPr>
                <w:rFonts w:ascii="Cambria" w:hAnsi="Cambria" w:cs="Cambria" w:eastAsia="Cambria"/>
                <w:color w:val="1A1A1A"/>
                <w:sz w:val="18"/>
              </w:rPr>
              <w:t xml:space="preserve">Standard del business case pubblico in cinque casi: strategico, economico, commerciale, finanziario, gestionale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 2022</w:t>
            </w:r>
          </w:p>
        </w:tc>
        <w:tc>
          <w:tcPr>
            <w:shd w:val="clear" w:color="auto" w:fill="F4F1EC"/>
          </w:tcPr>
          <w:p>
            <w:pPr>
              <w:pStyle w:val="Compact"/>
              <w:spacing w:after="40" w:before="40"/>
              <w:jc w:val="left"/>
            </w:pPr>
            <w:r>
              <w:rPr>
                <w:rFonts w:ascii="Cambria" w:hAnsi="Cambria" w:cs="Cambria" w:eastAsia="Cambria"/>
                <w:color w:val="1A1A1A"/>
                <w:sz w:val="18"/>
              </w:rPr>
              <w:t xml:space="preserve">Lista di controllo di 28 voci per la rendicontazione delle valutazioni economiche</w:t>
            </w:r>
          </w:p>
        </w:tc>
      </w:tr>
      <w:tr>
        <w:tc>
          <w:tcPr/>
          <w:p>
            <w:pPr>
              <w:pStyle w:val="Compact"/>
              <w:spacing w:after="40" w:before="40"/>
              <w:jc w:val="left"/>
            </w:pPr>
            <w:r>
              <w:rPr>
                <w:rFonts w:ascii="Cambria" w:hAnsi="Cambria" w:cs="Cambria" w:eastAsia="Cambria"/>
                <w:b/>
                <w:bCs/>
                <w:color w:val="1A1A1A"/>
                <w:sz w:val="18"/>
              </w:rPr>
              <w:t xml:space="preserve">Criteri OCSE-DAC</w:t>
            </w:r>
          </w:p>
        </w:tc>
        <w:tc>
          <w:tcPr/>
          <w:p>
            <w:pPr>
              <w:pStyle w:val="Compact"/>
              <w:spacing w:after="40" w:before="40"/>
              <w:jc w:val="left"/>
            </w:pPr>
            <w:r>
              <w:rPr>
                <w:rFonts w:ascii="Cambria" w:hAnsi="Cambria" w:cs="Cambria" w:eastAsia="Cambria"/>
                <w:color w:val="1A1A1A"/>
                <w:sz w:val="18"/>
              </w:rPr>
              <w:t xml:space="preserve">Sei criteri di giudizio: rilevanza, coerenza, efficacia, efficienza, impatto,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di vita ponderato per la qualità (QALY)</w:t>
            </w:r>
          </w:p>
        </w:tc>
        <w:tc>
          <w:tcPr>
            <w:shd w:val="clear" w:color="auto" w:fill="F4F1EC"/>
          </w:tcPr>
          <w:p>
            <w:pPr>
              <w:pStyle w:val="Compact"/>
              <w:spacing w:after="40" w:before="40"/>
              <w:jc w:val="left"/>
            </w:pPr>
            <w:r>
              <w:rPr>
                <w:rFonts w:ascii="Cambria" w:hAnsi="Cambria" w:cs="Cambria" w:eastAsia="Cambria"/>
                <w:color w:val="1A1A1A"/>
                <w:sz w:val="18"/>
              </w:rPr>
              <w:t xml:space="preserve">Misura che integra durata e qualità della vita guadagnate</w:t>
            </w:r>
          </w:p>
        </w:tc>
      </w:tr>
      <w:tr>
        <w:tc>
          <w:tcPr/>
          <w:p>
            <w:pPr>
              <w:pStyle w:val="Compact"/>
              <w:spacing w:after="40" w:before="40"/>
              <w:jc w:val="left"/>
            </w:pPr>
            <w:r>
              <w:rPr>
                <w:rFonts w:ascii="Cambria" w:hAnsi="Cambria" w:cs="Cambria" w:eastAsia="Cambria"/>
                <w:b/>
                <w:bCs/>
                <w:color w:val="1A1A1A"/>
                <w:sz w:val="18"/>
              </w:rPr>
              <w:t xml:space="preserve">Rapporto incrementale di costo-efficacia (ICER)</w:t>
            </w:r>
          </w:p>
        </w:tc>
        <w:tc>
          <w:tcPr/>
          <w:p>
            <w:pPr>
              <w:pStyle w:val="Compact"/>
              <w:spacing w:after="40" w:before="40"/>
              <w:jc w:val="left"/>
            </w:pPr>
            <w:r>
              <w:rPr>
                <w:rFonts w:ascii="Cambria" w:hAnsi="Cambria" w:cs="Cambria" w:eastAsia="Cambria"/>
                <w:color w:val="1A1A1A"/>
                <w:sz w:val="18"/>
              </w:rPr>
              <w:t xml:space="preserve">Rapporto tra costo aggiuntivo e guadagno di salute, confrontato con una soglia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costo-utilità</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che misura gli esiti in anni di vita ponderati per la qualità</w:t>
            </w:r>
          </w:p>
        </w:tc>
      </w:tr>
      <w:tr>
        <w:tc>
          <w:tcPr/>
          <w:p>
            <w:pPr>
              <w:pStyle w:val="Compact"/>
              <w:spacing w:after="40" w:before="40"/>
              <w:jc w:val="left"/>
            </w:pPr>
            <w:r>
              <w:rPr>
                <w:rFonts w:ascii="Cambria" w:hAnsi="Cambria" w:cs="Cambria" w:eastAsia="Cambria"/>
                <w:b/>
                <w:bCs/>
                <w:color w:val="1A1A1A"/>
                <w:sz w:val="18"/>
              </w:rPr>
              <w:t xml:space="preserve">Analisi di impatto sul bilancio</w:t>
            </w:r>
          </w:p>
        </w:tc>
        <w:tc>
          <w:tcPr/>
          <w:p>
            <w:pPr>
              <w:pStyle w:val="Compact"/>
              <w:spacing w:after="40" w:before="40"/>
              <w:jc w:val="left"/>
            </w:pPr>
            <w:r>
              <w:rPr>
                <w:rFonts w:ascii="Cambria" w:hAnsi="Cambria" w:cs="Cambria" w:eastAsia="Cambria"/>
                <w:color w:val="1A1A1A"/>
                <w:sz w:val="18"/>
              </w:rPr>
              <w:t xml:space="preserve">Stima dell’effetto finanziario sul bilancio del detentore del budget, su flussi non scontati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sull’investimento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Metodo che monetizza il valore sociale generato, distinto dai risparmi di bilancio</w:t>
            </w:r>
          </w:p>
        </w:tc>
      </w:tr>
      <w:tr>
        <w:tc>
          <w:tcPr/>
          <w:p>
            <w:pPr>
              <w:pStyle w:val="Compact"/>
              <w:spacing w:after="40" w:before="40"/>
              <w:jc w:val="left"/>
            </w:pPr>
            <w:r>
              <w:rPr>
                <w:rFonts w:ascii="Cambria" w:hAnsi="Cambria" w:cs="Cambria" w:eastAsia="Cambria"/>
                <w:b/>
                <w:bCs/>
                <w:color w:val="1A1A1A"/>
                <w:sz w:val="18"/>
              </w:rPr>
              <w:t xml:space="preserve">Analisi costo-efficacia distributiva (DCEA)</w:t>
            </w:r>
          </w:p>
        </w:tc>
        <w:tc>
          <w:tcPr/>
          <w:p>
            <w:pPr>
              <w:pStyle w:val="Compact"/>
              <w:spacing w:after="40" w:before="40"/>
              <w:jc w:val="left"/>
            </w:pPr>
            <w:r>
              <w:rPr>
                <w:rFonts w:ascii="Cambria" w:hAnsi="Cambria" w:cs="Cambria" w:eastAsia="Cambria"/>
                <w:color w:val="1A1A1A"/>
                <w:sz w:val="18"/>
              </w:rPr>
              <w:t xml:space="preserve">Estende la valutazione economica alla distribuzione degli effetti tra gruppi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sensibilità probabilistica</w:t>
            </w:r>
          </w:p>
        </w:tc>
        <w:tc>
          <w:tcPr>
            <w:shd w:val="clear" w:color="auto" w:fill="F4F1EC"/>
          </w:tcPr>
          <w:p>
            <w:pPr>
              <w:pStyle w:val="Compact"/>
              <w:spacing w:after="40" w:before="40"/>
              <w:jc w:val="left"/>
            </w:pPr>
            <w:r>
              <w:rPr>
                <w:rFonts w:ascii="Cambria" w:hAnsi="Cambria" w:cs="Cambria" w:eastAsia="Cambria"/>
                <w:color w:val="1A1A1A"/>
                <w:sz w:val="18"/>
              </w:rPr>
              <w:t xml:space="preserve">Propaga l’incertezza dei parametri mediante simulazioni Monte Carlo</w:t>
            </w:r>
          </w:p>
        </w:tc>
      </w:tr>
      <w:tr>
        <w:tc>
          <w:tcPr/>
          <w:p>
            <w:pPr>
              <w:pStyle w:val="Compact"/>
              <w:spacing w:after="40" w:before="40"/>
              <w:jc w:val="left"/>
            </w:pPr>
            <w:r>
              <w:rPr>
                <w:rFonts w:ascii="Cambria" w:hAnsi="Cambria" w:cs="Cambria" w:eastAsia="Cambria"/>
                <w:b/>
                <w:bCs/>
                <w:color w:val="1A1A1A"/>
                <w:sz w:val="18"/>
              </w:rPr>
              <w:t xml:space="preserve">Valore dell’informazione (EVPI, EVPPI)</w:t>
            </w:r>
          </w:p>
        </w:tc>
        <w:tc>
          <w:tcPr/>
          <w:p>
            <w:pPr>
              <w:pStyle w:val="Compact"/>
              <w:spacing w:after="40" w:before="40"/>
              <w:jc w:val="left"/>
            </w:pPr>
            <w:r>
              <w:rPr>
                <w:rFonts w:ascii="Cambria" w:hAnsi="Cambria" w:cs="Cambria" w:eastAsia="Cambria"/>
                <w:color w:val="1A1A1A"/>
                <w:sz w:val="18"/>
              </w:rPr>
              <w:t xml:space="preserve">Beneficio atteso dalla riduzione dell’incertezza, complessiva e sui parametri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Markov</w:t>
            </w:r>
          </w:p>
        </w:tc>
        <w:tc>
          <w:tcPr>
            <w:shd w:val="clear" w:color="auto" w:fill="F4F1EC"/>
          </w:tcPr>
          <w:p>
            <w:pPr>
              <w:pStyle w:val="Compact"/>
              <w:spacing w:after="40" w:before="40"/>
              <w:jc w:val="left"/>
            </w:pPr>
            <w:r>
              <w:rPr>
                <w:rFonts w:ascii="Cambria" w:hAnsi="Cambria" w:cs="Cambria" w:eastAsia="Cambria"/>
                <w:color w:val="1A1A1A"/>
                <w:sz w:val="18"/>
              </w:rPr>
              <w:t xml:space="preserve">Modello che rappresenta il decorso di una condizione attraverso stati di salute e transizioni</w:t>
            </w:r>
          </w:p>
        </w:tc>
      </w:tr>
      <w:tr>
        <w:tc>
          <w:tcPr/>
          <w:p>
            <w:pPr>
              <w:pStyle w:val="Compact"/>
              <w:spacing w:after="40" w:before="40"/>
              <w:jc w:val="left"/>
            </w:pPr>
            <w:r>
              <w:rPr>
                <w:rFonts w:ascii="Cambria" w:hAnsi="Cambria" w:cs="Cambria" w:eastAsia="Cambria"/>
                <w:b/>
                <w:bCs/>
                <w:color w:val="1A1A1A"/>
                <w:sz w:val="18"/>
              </w:rPr>
              <w:t xml:space="preserve">Differenza-nelle-differenze</w:t>
            </w:r>
          </w:p>
        </w:tc>
        <w:tc>
          <w:tcPr/>
          <w:p>
            <w:pPr>
              <w:pStyle w:val="Compact"/>
              <w:spacing w:after="40" w:before="40"/>
              <w:jc w:val="left"/>
            </w:pPr>
            <w:r>
              <w:rPr>
                <w:rFonts w:ascii="Cambria" w:hAnsi="Cambria" w:cs="Cambria" w:eastAsia="Cambria"/>
                <w:color w:val="1A1A1A"/>
                <w:sz w:val="18"/>
              </w:rPr>
              <w:t xml:space="preserve">Metodo controfattuale che confronta la variazione nel tempo dell’esito tra trattati e non trattati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Controllo sintetico</w:t>
            </w:r>
          </w:p>
        </w:tc>
        <w:tc>
          <w:tcPr>
            <w:shd w:val="clear" w:color="auto" w:fill="F4F1EC"/>
          </w:tcPr>
          <w:p>
            <w:pPr>
              <w:pStyle w:val="Compact"/>
              <w:spacing w:after="40" w:before="40"/>
              <w:jc w:val="left"/>
            </w:pPr>
            <w:r>
              <w:rPr>
                <w:rFonts w:ascii="Cambria" w:hAnsi="Cambria" w:cs="Cambria" w:eastAsia="Cambria"/>
                <w:color w:val="1A1A1A"/>
                <w:sz w:val="18"/>
              </w:rPr>
              <w:t xml:space="preserve">Metodo che costruisce un’unità di confronto come combinazione ponderata di unità non trattate</w:t>
            </w:r>
          </w:p>
        </w:tc>
      </w:tr>
      <w:tr>
        <w:tc>
          <w:tcPr/>
          <w:p>
            <w:pPr>
              <w:pStyle w:val="Compact"/>
              <w:spacing w:after="40" w:before="40"/>
              <w:jc w:val="left"/>
            </w:pPr>
            <w:r>
              <w:rPr>
                <w:rFonts w:ascii="Cambria" w:hAnsi="Cambria" w:cs="Cambria" w:eastAsia="Cambria"/>
                <w:b/>
                <w:bCs/>
                <w:color w:val="1A1A1A"/>
                <w:sz w:val="18"/>
              </w:rPr>
              <w:t xml:space="preserve">Dispiegamento scaglionato</w:t>
            </w:r>
          </w:p>
        </w:tc>
        <w:tc>
          <w:tcPr/>
          <w:p>
            <w:pPr>
              <w:pStyle w:val="Compact"/>
              <w:spacing w:after="40" w:before="40"/>
              <w:jc w:val="left"/>
            </w:pPr>
            <w:r>
              <w:rPr>
                <w:rFonts w:ascii="Cambria" w:hAnsi="Cambria" w:cs="Cambria" w:eastAsia="Cambria"/>
                <w:color w:val="1A1A1A"/>
                <w:sz w:val="18"/>
              </w:rPr>
              <w:t xml:space="preserve">Attivazione progressiva che rende le aree non ancora coperte gruppo di confronto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e verifica d’impatto della regolazione</w:t>
            </w:r>
          </w:p>
        </w:tc>
        <w:tc>
          <w:tcPr>
            <w:shd w:val="clear" w:color="auto" w:fill="F4F1EC"/>
          </w:tcPr>
          <w:p>
            <w:pPr>
              <w:pStyle w:val="Compact"/>
              <w:spacing w:after="40" w:before="40"/>
              <w:jc w:val="left"/>
            </w:pPr>
            <w:r>
              <w:rPr>
                <w:rFonts w:ascii="Cambria" w:hAnsi="Cambria" w:cs="Cambria" w:eastAsia="Cambria"/>
                <w:color w:val="1A1A1A"/>
                <w:sz w:val="18"/>
              </w:rPr>
              <w:t xml:space="preserve">Valutazione ex ante (AIR) ed ex post (VIR) degli effetti di una norma</w:t>
            </w:r>
          </w:p>
        </w:tc>
      </w:tr>
      <w:tr>
        <w:tc>
          <w:tcPr/>
          <w:p>
            <w:pPr>
              <w:pStyle w:val="Compact"/>
              <w:spacing w:after="40" w:before="40"/>
              <w:jc w:val="left"/>
            </w:pPr>
            <w:r>
              <w:rPr>
                <w:rFonts w:ascii="Cambria" w:hAnsi="Cambria" w:cs="Cambria" w:eastAsia="Cambria"/>
                <w:b/>
                <w:bCs/>
                <w:color w:val="1A1A1A"/>
                <w:sz w:val="18"/>
              </w:rPr>
              <w:t xml:space="preserve">Clausola valutativa</w:t>
            </w:r>
          </w:p>
        </w:tc>
        <w:tc>
          <w:tcPr/>
          <w:p>
            <w:pPr>
              <w:pStyle w:val="Compact"/>
              <w:spacing w:after="40" w:before="40"/>
              <w:jc w:val="left"/>
            </w:pPr>
            <w:r>
              <w:rPr>
                <w:rFonts w:ascii="Cambria" w:hAnsi="Cambria" w:cs="Cambria" w:eastAsia="Cambria"/>
                <w:color w:val="1A1A1A"/>
                <w:sz w:val="18"/>
              </w:rPr>
              <w:t xml:space="preserve">Strumento che impegna la Giunta a riferire al Consiglio sui risultati della riforma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RE-AIM</w:t>
            </w:r>
          </w:p>
        </w:tc>
        <w:tc>
          <w:tcPr>
            <w:shd w:val="clear" w:color="auto" w:fill="F4F1EC"/>
          </w:tcPr>
          <w:p>
            <w:pPr>
              <w:pStyle w:val="Compact"/>
              <w:spacing w:after="40" w:before="40"/>
              <w:jc w:val="left"/>
            </w:pPr>
            <w:r>
              <w:rPr>
                <w:rFonts w:ascii="Cambria" w:hAnsi="Cambria" w:cs="Cambria" w:eastAsia="Cambria"/>
                <w:color w:val="1A1A1A"/>
                <w:sz w:val="18"/>
              </w:rPr>
              <w:t xml:space="preserve">Quadro che misura portata, efficacia, adozione, implementazione e mantenimento di un intervento</w:t>
            </w:r>
          </w:p>
        </w:tc>
      </w:tr>
      <w:tr>
        <w:tc>
          <w:tcPr/>
          <w:p>
            <w:pPr>
              <w:pStyle w:val="Compact"/>
              <w:spacing w:after="40" w:before="40"/>
              <w:jc w:val="left"/>
            </w:pPr>
            <w:r>
              <w:rPr>
                <w:rFonts w:ascii="Cambria" w:hAnsi="Cambria" w:cs="Cambria" w:eastAsia="Cambria"/>
                <w:b/>
                <w:bCs/>
                <w:color w:val="1A1A1A"/>
                <w:sz w:val="18"/>
              </w:rPr>
              <w:t xml:space="preserve">CFIR</w:t>
            </w:r>
          </w:p>
        </w:tc>
        <w:tc>
          <w:tcPr/>
          <w:p>
            <w:pPr>
              <w:pStyle w:val="Compact"/>
              <w:spacing w:after="40" w:before="40"/>
              <w:jc w:val="left"/>
            </w:pPr>
            <w:r>
              <w:rPr>
                <w:rFonts w:ascii="Cambria" w:hAnsi="Cambria" w:cs="Cambria" w:eastAsia="Cambria"/>
                <w:color w:val="1A1A1A"/>
                <w:sz w:val="18"/>
              </w:rPr>
              <w:t xml:space="preserve">Quadro che spiega i determinanti dell’implementazione, in cinque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Donabedian</w:t>
            </w:r>
          </w:p>
        </w:tc>
        <w:tc>
          <w:tcPr>
            <w:shd w:val="clear" w:color="auto" w:fill="F4F1EC"/>
          </w:tcPr>
          <w:p>
            <w:pPr>
              <w:pStyle w:val="Compact"/>
              <w:spacing w:after="40" w:before="40"/>
              <w:jc w:val="left"/>
            </w:pPr>
            <w:r>
              <w:rPr>
                <w:rFonts w:ascii="Cambria" w:hAnsi="Cambria" w:cs="Cambria" w:eastAsia="Cambria"/>
                <w:color w:val="1A1A1A"/>
                <w:sz w:val="18"/>
              </w:rPr>
              <w:t xml:space="preserve">Classifica gli indicatori di qualità in struttura, processo ed esito, qui integrati dall’impatto</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Questionario validato per i sintomi depressivi (punteggio 0–27)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Questionario validato per i sintomi d’ansia (punteggio 0–21)</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Quota di pazienti che scende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r>
        <w:tc>
          <w:tcPr/>
          <w:p>
            <w:pPr>
              <w:pStyle w:val="Compact"/>
              <w:spacing w:after="40" w:before="40"/>
              <w:jc w:val="left"/>
            </w:pPr>
            <w:r>
              <w:rPr>
                <w:rFonts w:ascii="Cambria" w:hAnsi="Cambria" w:cs="Cambria" w:eastAsia="Cambria"/>
                <w:b/>
                <w:bCs/>
                <w:color w:val="1A1A1A"/>
                <w:sz w:val="18"/>
              </w:rPr>
              <w:t xml:space="preserve">Cura collaborativa</w:t>
            </w:r>
          </w:p>
        </w:tc>
        <w:tc>
          <w:tcPr/>
          <w:p>
            <w:pPr>
              <w:pStyle w:val="Compact"/>
              <w:spacing w:after="40" w:before="40"/>
              <w:jc w:val="left"/>
            </w:pPr>
            <w:r>
              <w:rPr>
                <w:rFonts w:ascii="Cambria" w:hAnsi="Cambria" w:cs="Cambria" w:eastAsia="Cambria"/>
                <w:color w:val="1A1A1A"/>
                <w:sz w:val="18"/>
              </w:rPr>
              <w:t xml:space="preserve">Modello di integrazione della salute mentale nelle cure primarie con équipe e monitoraggio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Cura a intensità crescente</w:t>
            </w:r>
          </w:p>
        </w:tc>
        <w:tc>
          <w:tcPr>
            <w:shd w:val="clear" w:color="auto" w:fill="F4F1EC"/>
          </w:tcPr>
          <w:p>
            <w:pPr>
              <w:pStyle w:val="Compact"/>
              <w:spacing w:after="40" w:before="40"/>
              <w:jc w:val="left"/>
            </w:pPr>
            <w:r>
              <w:rPr>
                <w:rFonts w:ascii="Cambria" w:hAnsi="Cambria" w:cs="Cambria" w:eastAsia="Cambria"/>
                <w:color w:val="1A1A1A"/>
                <w:sz w:val="18"/>
              </w:rPr>
              <w:t xml:space="preserve">Percorso che gradua l’intensità dell’intervento alla gravità del quadro</w:t>
            </w:r>
          </w:p>
        </w:tc>
      </w:tr>
      <w:tr>
        <w:tc>
          <w:tcPr/>
          <w:p>
            <w:pPr>
              <w:pStyle w:val="Compact"/>
              <w:spacing w:after="40" w:before="40"/>
              <w:jc w:val="left"/>
            </w:pPr>
            <w:r>
              <w:rPr>
                <w:rFonts w:ascii="Cambria" w:hAnsi="Cambria" w:cs="Cambria" w:eastAsia="Cambria"/>
                <w:b/>
                <w:bCs/>
                <w:color w:val="1A1A1A"/>
                <w:sz w:val="18"/>
              </w:rPr>
              <w:t xml:space="preserve">Livelli essenziali di assistenza (LEA)</w:t>
            </w:r>
          </w:p>
        </w:tc>
        <w:tc>
          <w:tcPr/>
          <w:p>
            <w:pPr>
              <w:pStyle w:val="Compact"/>
              <w:spacing w:after="40" w:before="40"/>
              <w:jc w:val="left"/>
            </w:pPr>
            <w:r>
              <w:rPr>
                <w:rFonts w:ascii="Cambria" w:hAnsi="Cambria" w:cs="Cambria" w:eastAsia="Cambria"/>
                <w:color w:val="1A1A1A"/>
                <w:sz w:val="18"/>
              </w:rPr>
              <w:t xml:space="preserve">Prestazioni garantite uniformemente dal Servizio sanitario;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Spesa per prestazioni rese ai residenti da strutture di altre regioni; in Emilia-Romagna il saldo è fortemente attivo, dell’ordine di +525 milioni</w:t>
            </w:r>
          </w:p>
        </w:tc>
      </w:tr>
      <w:tr>
        <w:tc>
          <w:tcPr/>
          <w:p>
            <w:pPr>
              <w:pStyle w:val="Compact"/>
              <w:spacing w:after="40" w:before="40"/>
              <w:jc w:val="left"/>
            </w:pPr>
            <w:r>
              <w:rPr>
                <w:rFonts w:ascii="Cambria" w:hAnsi="Cambria" w:cs="Cambria" w:eastAsia="Cambria"/>
                <w:b/>
                <w:bCs/>
                <w:color w:val="1A1A1A"/>
                <w:sz w:val="18"/>
              </w:rPr>
              <w:t xml:space="preserve">Sintomi somatici funzionali</w:t>
            </w:r>
          </w:p>
        </w:tc>
        <w:tc>
          <w:tcPr/>
          <w:p>
            <w:pPr>
              <w:pStyle w:val="Compact"/>
              <w:spacing w:after="40" w:before="40"/>
              <w:jc w:val="left"/>
            </w:pPr>
            <w:r>
              <w:rPr>
                <w:rFonts w:ascii="Cambria" w:hAnsi="Cambria" w:cs="Cambria" w:eastAsia="Cambria"/>
                <w:color w:val="1A1A1A"/>
                <w:sz w:val="18"/>
              </w:rPr>
              <w:t xml:space="preserve">Sintomi fisici senza causa organica, associati a elevato consumo di prestazioni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concentrazione</w:t>
            </w:r>
          </w:p>
        </w:tc>
        <w:tc>
          <w:tcPr>
            <w:shd w:val="clear" w:color="auto" w:fill="F4F1EC"/>
          </w:tcPr>
          <w:p>
            <w:pPr>
              <w:pStyle w:val="Compact"/>
              <w:spacing w:after="40" w:before="40"/>
              <w:jc w:val="left"/>
            </w:pPr>
            <w:r>
              <w:rPr>
                <w:rFonts w:ascii="Cambria" w:hAnsi="Cambria" w:cs="Cambria" w:eastAsia="Cambria"/>
                <w:color w:val="1A1A1A"/>
                <w:sz w:val="18"/>
              </w:rPr>
              <w:t xml:space="preserve">Misura che lega l’esito di salute alla posizione socio-economica</w:t>
            </w:r>
          </w:p>
        </w:tc>
      </w:tr>
      <w:tr>
        <w:tc>
          <w:tcPr/>
          <w:p>
            <w:pPr>
              <w:pStyle w:val="Compact"/>
              <w:spacing w:after="40" w:before="40"/>
              <w:jc w:val="left"/>
            </w:pPr>
            <w:r>
              <w:rPr>
                <w:rFonts w:ascii="Cambria" w:hAnsi="Cambria" w:cs="Cambria" w:eastAsia="Cambria"/>
                <w:b/>
                <w:bCs/>
                <w:color w:val="1A1A1A"/>
                <w:sz w:val="18"/>
              </w:rPr>
              <w:t xml:space="preserve">Peso morto</w:t>
            </w:r>
          </w:p>
        </w:tc>
        <w:tc>
          <w:tcPr/>
          <w:p>
            <w:pPr>
              <w:pStyle w:val="Compact"/>
              <w:spacing w:after="40" w:before="40"/>
              <w:jc w:val="left"/>
            </w:pPr>
            <w:r>
              <w:rPr>
                <w:rFonts w:ascii="Cambria" w:hAnsi="Cambria" w:cs="Cambria" w:eastAsia="Cambria"/>
                <w:color w:val="1A1A1A"/>
                <w:sz w:val="18"/>
              </w:rP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70</w:t>
      </w:r>
    </w:p>
    <w:p>
      <w:pPr>
        <w:pStyle w:val="BodyText"/>
      </w:pPr>
      <w:r>
        <w:t xml:space="preserve">70</w:t>
      </w:r>
    </w:p>
    <w:bookmarkEnd w:id="1810"/>
    <w:bookmarkEnd w:id="4167"/>
    <w:bookmarkStart w:id="2609" w:name="blocco-regionale-ii-italia-centrale"/>
    <w:p>
      <w:pPr>
        <w:pStyle w:val="Heading1"/>
      </w:pPr>
      <w:r>
        <w:t xml:space="preserve">Blocco Regionale II — Italia centrale</w:t>
      </w:r>
    </w:p>
    <w:bookmarkStart w:id="1812" w:name="toscana-studio-hta-integrale"/>
    <w:p>
      <w:pPr>
        <w:pStyle w:val="Heading2"/>
      </w:pPr>
      <w:r>
        <w:t xml:space="preserve">Toscana — Studio HTA integrale</w:t>
      </w:r>
    </w:p>
    <w:p>
      <w:pPr>
        <w:pStyle w:val="FirstParagraph"/>
      </w:pPr>
      <w:r>
        <w:t xml:space="preserve">Studio Integrale Regionale · Regione Toscana</w:t>
      </w:r>
    </w:p>
    <w:p>
      <w:pPr>
        <w:pStyle w:val="BodyText"/>
      </w:pPr>
      <w:r>
        <w:t xml:space="preserve">Progetto «Psicologo di Base» — Riforma «Psicologo di Base»: dalla legge e dalla sperimentazione al servizio strutturato a regime. Applicazione del telaio integrato in undici parti e cinque appendici (Modello HTA · Five Case Model · CHEERS 2022 · criteri OCSE-DAC).</w:t>
      </w:r>
    </w:p>
    <w:p>
      <w:pPr>
        <w:pStyle w:val="BodyText"/>
      </w:pPr>
      <w:r>
        <w:t xml:space="preserve">Indice</w:t>
      </w:r>
    </w:p>
    <w:bookmarkEnd w:id="1812"/>
    <w:bookmarkStart w:id="1813" w:name="premessa-generale-5"/>
    <w:p>
      <w:pPr>
        <w:pStyle w:val="Heading2"/>
      </w:pPr>
      <w:r>
        <w:t xml:space="preserve">Premessa generale</w:t>
      </w:r>
    </w:p>
    <w:p>
      <w:pPr>
        <w:pStyle w:val="FirstParagraph"/>
      </w:pPr>
      <w:r>
        <w:t xml:space="preserve">Questo documento apre e ordina lo studio integrale per la Regione Toscana sulla riforma «Psicologo di Base». Esso non contiene una nuova analisi, ma fornisce la chiave di navigazione dell’intero corpus: la premessa, l’indice generale di tutte le parti e di tutte le appendici, la mappa di integrazione delle cornici metodologiche e la sintesi del valore. La Toscana occupa, nel panorama nazionale, la posizione giuridicamente più avanzata: è tra le poche Regioni ad aver istituito il servizio di psicologia di base con una legge regionale dedicata — la legge 15 novembre 2022, n. 39, attuata con il regolamento di cui alla deliberazione 43 del 2024 — e ne ha avviato la sperimentazione dal settembre 2024, estendendola progressivamente a tutte e tre le Aziende USL. Nei primi diciotto mesi la sperimentazione ha preso in carico circa 2.300 cittadini in ventuno strutture, con valutazione positiva, ma su base libero-professionale e a copertura di una frazione ridotta del fabbisogno. La decisione rilevante non è dunque se introdurre il servizio, né se dotarlo di una legge, già esistente, ma se portarlo dalla sperimentazione alla strutturazione a regime e dimensionarlo, dando forma stabile e duratura a una funzione già istituita e praticata.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1813"/>
    <w:bookmarkStart w:id="1814" w:name="indice-generale-del-corpus-5"/>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05"/>
        <w:gridCol w:w="1105"/>
        <w:gridCol w:w="561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A.1-A.3</w:t>
            </w:r>
          </w:p>
        </w:tc>
        <w:tc>
          <w:tcPr/>
          <w:p>
            <w:pPr>
              <w:pStyle w:val="Compact"/>
              <w:spacing w:after="40" w:before="40"/>
              <w:jc w:val="left"/>
            </w:pPr>
            <w:r>
              <w:rPr>
                <w:rFonts w:ascii="Cambria" w:hAnsi="Cambria" w:cs="Cambria" w:eastAsia="Cambria"/>
                <w:color w:val="1A1A1A"/>
                <w:sz w:val="18"/>
              </w:rPr>
              <w:t xml:space="preserve">Quadro, quesito e metodo: scopo e quesito (PICOTS),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Problema di salute, bisogno e contesto: demografia, epidemiologia, domanda e offerta, disuguaglianze,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L’intervento e il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clinica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casi economico e finanziario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parametri, sensibilità,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G.1-G.3</w:t>
            </w:r>
          </w:p>
        </w:tc>
        <w:tc>
          <w:tcPr/>
          <w:p>
            <w:pPr>
              <w:pStyle w:val="Compact"/>
              <w:spacing w:after="40" w:before="40"/>
              <w:jc w:val="left"/>
            </w:pPr>
            <w:r>
              <w:rPr>
                <w:rFonts w:ascii="Cambria" w:hAnsi="Cambria" w:cs="Cambria" w:eastAsia="Cambria"/>
                <w:color w:val="1A1A1A"/>
                <w:sz w:val="18"/>
              </w:rPr>
              <w:t xml:space="preserve">Equità e impatto distributivo: analisi di equità, costo-efficacia distributiva, divari territoriali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H.1-H.3</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etico, costituzionale, organizzativo e conformità</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implementazione, dimensionamento, casi commerciale e gestionale,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valutazione ed ex post: indicatori, protocollo, controfattuale, verifica ex post, cruscotto</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M.1-M.4</w:t>
            </w:r>
          </w:p>
        </w:tc>
        <w:tc>
          <w:tcPr/>
          <w:p>
            <w:pPr>
              <w:pStyle w:val="Compact"/>
              <w:spacing w:after="40" w:before="40"/>
              <w:jc w:val="left"/>
            </w:pPr>
            <w:r>
              <w:rPr>
                <w:rFonts w:ascii="Cambria" w:hAnsi="Cambria" w:cs="Cambria" w:eastAsia="Cambria"/>
                <w:color w:val="1A1A1A"/>
                <w:sz w:val="18"/>
              </w:rPr>
              <w:t xml:space="preserve">Sintesi multidimensionale e raccomandazioni: griglia OCSE-DAC, analisi multi-criterio, raccomandazioni, limiti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A</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tavola delle assunzioni e dei parametri</w:t>
            </w:r>
          </w:p>
        </w:tc>
      </w:tr>
      <w:tr>
        <w:tc>
          <w:tcPr/>
          <w:p>
            <w:pPr>
              <w:pStyle w:val="Compact"/>
              <w:spacing w:after="40" w:before="40"/>
              <w:jc w:val="left"/>
            </w:pPr>
            <w:r>
              <w:rPr>
                <w:rFonts w:ascii="Cambria" w:hAnsi="Cambria" w:cs="Cambria" w:eastAsia="Cambria"/>
                <w:b/>
                <w:bCs/>
                <w:color w:val="1A1A1A"/>
                <w:sz w:val="18"/>
              </w:rPr>
              <w:t xml:space="preserve">Appendice B</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Strumenti di esito e dataset minimo: questionari e dizionario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C</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Dati regionali e fonti: valori di ancoraggio e dati da acquisire</w:t>
            </w:r>
          </w:p>
        </w:tc>
      </w:tr>
      <w:tr>
        <w:tc>
          <w:tcPr/>
          <w:p>
            <w:pPr>
              <w:pStyle w:val="Compact"/>
              <w:spacing w:after="40" w:before="40"/>
              <w:jc w:val="left"/>
            </w:pPr>
            <w:r>
              <w:rPr>
                <w:rFonts w:ascii="Cambria" w:hAnsi="Cambria" w:cs="Cambria" w:eastAsia="Cambria"/>
                <w:b/>
                <w:bCs/>
                <w:color w:val="1A1A1A"/>
                <w:sz w:val="18"/>
              </w:rPr>
              <w:t xml:space="preserve">Appendice D</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Checklist di reporting: CHEERS, PRISMA, GRADE, STROBE, ISPOR-SMDM, OCSE-JRC</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1814"/>
    <w:bookmarkStart w:id="4395" w:name="la-mappa-di-integrazione-del-telaio-5"/>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87"/>
        <w:gridCol w:w="1208"/>
        <w:gridCol w:w="1745"/>
        <w:gridCol w:w="17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Parte</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HTA</w:t>
            </w:r>
          </w:p>
        </w:tc>
        <w:tc>
          <w:tcPr>
            <w:shd w:val="clear" w:color="auto" w:fill="16264B"/>
          </w:tcPr>
          <w:p>
            <w:pPr>
              <w:pStyle w:val="Compact"/>
              <w:spacing w:after="40" w:before="40"/>
              <w:jc w:val="left"/>
            </w:pPr>
            <w:r>
              <w:rPr>
                <w:rFonts w:ascii="Cambria" w:hAnsi="Cambria" w:cs="Cambria" w:eastAsia="Cambria"/>
                <w:b/>
                <w:bCs/>
                <w:color w:val="FFFFFF"/>
                <w:sz w:val="18"/>
              </w:rPr>
              <w:t xml:space="preserve">Caso (5CM)</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Criterio OCSE-DAC</w:t>
            </w:r>
          </w:p>
        </w:tc>
      </w:tr>
      <w:tr>
        <w:tc>
          <w:tcPr/>
          <w:p>
            <w:pPr>
              <w:pStyle w:val="Compact"/>
              <w:spacing w:after="40" w:before="40"/>
              <w:jc w:val="left"/>
            </w:pPr>
            <w:r>
              <w:rPr>
                <w:rFonts w:ascii="Cambria" w:hAnsi="Cambria" w:cs="Cambria" w:eastAsia="Cambria"/>
                <w:b/>
                <w:bCs/>
                <w:color w:val="1A1A1A"/>
                <w:sz w:val="18"/>
              </w:rPr>
              <w:t xml:space="preserve">A — Quadro e metodo</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Imposta la griglia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 — Bisogno e contesto</w:t>
            </w:r>
          </w:p>
        </w:tc>
        <w:tc>
          <w:tcPr>
            <w:shd w:val="clear" w:color="auto" w:fill="F4F1EC"/>
          </w:tcPr>
          <w:p>
            <w:pPr>
              <w:pStyle w:val="Compact"/>
              <w:spacing w:after="40" w:before="40"/>
              <w:jc w:val="left"/>
            </w:pPr>
            <w:r>
              <w:rPr>
                <w:rFonts w:ascii="Cambria" w:hAnsi="Cambria" w:cs="Cambria" w:eastAsia="Cambria"/>
                <w:color w:val="1A1A1A"/>
                <w:sz w:val="18"/>
              </w:rPr>
              <w:t xml:space="preserve">Dominio 1</w:t>
            </w:r>
          </w:p>
        </w:tc>
        <w:tc>
          <w:tcPr>
            <w:shd w:val="clear" w:color="auto" w:fill="F4F1EC"/>
          </w:tcPr>
          <w:p>
            <w:pPr>
              <w:pStyle w:val="Compact"/>
              <w:spacing w:after="40" w:before="40"/>
              <w:jc w:val="left"/>
            </w:pPr>
            <w:r>
              <w:rPr>
                <w:rFonts w:ascii="Cambria" w:hAnsi="Cambria" w:cs="Cambria" w:eastAsia="Cambria"/>
                <w:color w:val="1A1A1A"/>
                <w:sz w:val="18"/>
              </w:rPr>
              <w:t xml:space="preserve">Strategico</w:t>
            </w:r>
          </w:p>
        </w:tc>
        <w:tc>
          <w:tcPr>
            <w:shd w:val="clear" w:color="auto" w:fill="F4F1EC"/>
          </w:tcPr>
          <w:p>
            <w:pPr>
              <w:pStyle w:val="Compact"/>
              <w:spacing w:after="40" w:before="40"/>
              <w:jc w:val="left"/>
            </w:pPr>
            <w:r>
              <w:rPr>
                <w:rFonts w:ascii="Cambria" w:hAnsi="Cambria" w:cs="Cambria" w:eastAsia="Cambria"/>
                <w:color w:val="1A1A1A"/>
                <w:sz w:val="18"/>
              </w:rPr>
              <w:t xml:space="preserve">Rilevanza, coerenza</w:t>
            </w:r>
          </w:p>
        </w:tc>
      </w:tr>
      <w:tr>
        <w:tc>
          <w:tcPr/>
          <w:p>
            <w:pPr>
              <w:pStyle w:val="Compact"/>
              <w:spacing w:after="40" w:before="40"/>
              <w:jc w:val="left"/>
            </w:pPr>
            <w:r>
              <w:rPr>
                <w:rFonts w:ascii="Cambria" w:hAnsi="Cambria" w:cs="Cambria" w:eastAsia="Cambria"/>
                <w:b/>
                <w:bCs/>
                <w:color w:val="1A1A1A"/>
                <w:sz w:val="18"/>
              </w:rPr>
              <w:t xml:space="preserve">C — Intervento e modello</w:t>
            </w:r>
          </w:p>
        </w:tc>
        <w:tc>
          <w:tcPr/>
          <w:p>
            <w:pPr>
              <w:pStyle w:val="Compact"/>
              <w:spacing w:after="40" w:before="40"/>
              <w:jc w:val="left"/>
            </w:pPr>
            <w:r>
              <w:rPr>
                <w:rFonts w:ascii="Cambria" w:hAnsi="Cambria" w:cs="Cambria" w:eastAsia="Cambria"/>
                <w:color w:val="1A1A1A"/>
                <w:sz w:val="18"/>
              </w:rPr>
              <w:t xml:space="preserve">Domini 2–3</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 — Efficacia ed evidenza</w:t>
            </w:r>
          </w:p>
        </w:tc>
        <w:tc>
          <w:tcPr>
            <w:shd w:val="clear" w:color="auto" w:fill="F4F1EC"/>
          </w:tcPr>
          <w:p>
            <w:pPr>
              <w:pStyle w:val="Compact"/>
              <w:spacing w:after="40" w:before="40"/>
              <w:jc w:val="left"/>
            </w:pPr>
            <w:r>
              <w:rPr>
                <w:rFonts w:ascii="Cambria" w:hAnsi="Cambria" w:cs="Cambria" w:eastAsia="Cambria"/>
                <w:color w:val="1A1A1A"/>
                <w:sz w:val="18"/>
              </w:rPr>
              <w:t xml:space="preserve">Dominio 4</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Efficacia</w:t>
            </w:r>
          </w:p>
        </w:tc>
      </w:tr>
      <w:tr>
        <w:tc>
          <w:tcPr/>
          <w:p>
            <w:pPr>
              <w:pStyle w:val="Compact"/>
              <w:spacing w:after="40" w:before="40"/>
              <w:jc w:val="left"/>
            </w:pPr>
            <w:r>
              <w:rPr>
                <w:rFonts w:ascii="Cambria" w:hAnsi="Cambria" w:cs="Cambria" w:eastAsia="Cambria"/>
                <w:b/>
                <w:bCs/>
                <w:color w:val="1A1A1A"/>
                <w:sz w:val="18"/>
              </w:rPr>
              <w:t xml:space="preserve">E — Valutazione economica</w:t>
            </w:r>
          </w:p>
        </w:tc>
        <w:tc>
          <w:tcPr/>
          <w:p>
            <w:pPr>
              <w:pStyle w:val="Compact"/>
              <w:spacing w:after="40" w:before="40"/>
              <w:jc w:val="left"/>
            </w:pPr>
            <w:r>
              <w:rPr>
                <w:rFonts w:ascii="Cambria" w:hAnsi="Cambria" w:cs="Cambria" w:eastAsia="Cambria"/>
                <w:color w:val="1A1A1A"/>
                <w:sz w:val="18"/>
              </w:rPr>
              <w:t xml:space="preserve">Dominio 5</w:t>
            </w:r>
          </w:p>
        </w:tc>
        <w:tc>
          <w:tcPr/>
          <w:p>
            <w:pPr>
              <w:pStyle w:val="Compact"/>
              <w:spacing w:after="40" w:before="40"/>
              <w:jc w:val="left"/>
            </w:pPr>
            <w:r>
              <w:rPr>
                <w:rFonts w:ascii="Cambria" w:hAnsi="Cambria" w:cs="Cambria" w:eastAsia="Cambria"/>
                <w:color w:val="1A1A1A"/>
                <w:sz w:val="18"/>
              </w:rPr>
              <w:t xml:space="preserve">Economico, finanziario</w:t>
            </w:r>
          </w:p>
        </w:tc>
        <w:tc>
          <w:tcPr/>
          <w:p>
            <w:pPr>
              <w:pStyle w:val="Compact"/>
              <w:spacing w:after="40" w:before="40"/>
              <w:jc w:val="left"/>
            </w:pPr>
            <w:r>
              <w:rPr>
                <w:rFonts w:ascii="Cambria" w:hAnsi="Cambria" w:cs="Cambria" w:eastAsia="Cambria"/>
                <w:color w:val="1A1A1A"/>
                <w:sz w:val="18"/>
              </w:rPr>
              <w:t xml:space="preserve">Efficienza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 — 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Dominio 5</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Efficienza</w:t>
            </w:r>
          </w:p>
        </w:tc>
      </w:tr>
      <w:tr>
        <w:tc>
          <w:tcPr/>
          <w:p>
            <w:pPr>
              <w:pStyle w:val="Compact"/>
              <w:spacing w:after="40" w:before="40"/>
              <w:jc w:val="left"/>
            </w:pPr>
            <w:r>
              <w:rPr>
                <w:rFonts w:ascii="Cambria" w:hAnsi="Cambria" w:cs="Cambria" w:eastAsia="Cambria"/>
                <w:b/>
                <w:bCs/>
                <w:color w:val="1A1A1A"/>
                <w:sz w:val="18"/>
              </w:rPr>
              <w:t xml:space="preserve">G — Equità e impatto</w:t>
            </w:r>
          </w:p>
        </w:tc>
        <w:tc>
          <w:tcPr/>
          <w:p>
            <w:pPr>
              <w:pStyle w:val="Compact"/>
              <w:spacing w:after="40" w:before="40"/>
              <w:jc w:val="left"/>
            </w:pPr>
            <w:r>
              <w:rPr>
                <w:rFonts w:ascii="Cambria" w:hAnsi="Cambria" w:cs="Cambria" w:eastAsia="Cambria"/>
                <w:color w:val="1A1A1A"/>
                <w:sz w:val="18"/>
              </w:rPr>
              <w:t xml:space="preserve">Dominio 8</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Impatto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H — Profili etico/giuridico/organizz.</w:t>
            </w:r>
          </w:p>
        </w:tc>
        <w:tc>
          <w:tcPr>
            <w:shd w:val="clear" w:color="auto" w:fill="F4F1EC"/>
          </w:tcPr>
          <w:p>
            <w:pPr>
              <w:pStyle w:val="Compact"/>
              <w:spacing w:after="40" w:before="40"/>
              <w:jc w:val="left"/>
            </w:pPr>
            <w:r>
              <w:rPr>
                <w:rFonts w:ascii="Cambria" w:hAnsi="Cambria" w:cs="Cambria" w:eastAsia="Cambria"/>
                <w:color w:val="1A1A1A"/>
                <w:sz w:val="18"/>
              </w:rPr>
              <w:t xml:space="preserve">Domini 6, 7, 9</w:t>
            </w:r>
          </w:p>
        </w:tc>
        <w:tc>
          <w:tcPr>
            <w:shd w:val="clear" w:color="auto" w:fill="F4F1EC"/>
          </w:tcPr>
          <w:p>
            <w:pPr>
              <w:pStyle w:val="Compact"/>
              <w:spacing w:after="40" w:before="40"/>
              <w:jc w:val="left"/>
            </w:pPr>
            <w:r>
              <w:rPr>
                <w:rFonts w:ascii="Cambria" w:hAnsi="Cambria" w:cs="Cambria" w:eastAsia="Cambria"/>
                <w:color w:val="1A1A1A"/>
                <w:sz w:val="18"/>
              </w:rPr>
              <w:t xml:space="preserve">Gestionale</w:t>
            </w:r>
          </w:p>
        </w:tc>
        <w:tc>
          <w:tcPr>
            <w:shd w:val="clear" w:color="auto" w:fill="F4F1EC"/>
          </w:tcPr>
          <w:p>
            <w:pPr>
              <w:pStyle w:val="Compact"/>
              <w:spacing w:after="40" w:before="40"/>
              <w:jc w:val="left"/>
            </w:pPr>
            <w:r>
              <w:rPr>
                <w:rFonts w:ascii="Cambria" w:hAnsi="Cambria" w:cs="Cambria" w:eastAsia="Cambria"/>
                <w:color w:val="1A1A1A"/>
                <w:sz w:val="18"/>
              </w:rPr>
              <w:t xml:space="preserve">Coerenza</w:t>
            </w:r>
          </w:p>
        </w:tc>
      </w:tr>
      <w:tr>
        <w:tc>
          <w:tcPr/>
          <w:p>
            <w:pPr>
              <w:pStyle w:val="Compact"/>
              <w:spacing w:after="40" w:before="40"/>
              <w:jc w:val="left"/>
            </w:pPr>
            <w:r>
              <w:rPr>
                <w:rFonts w:ascii="Cambria" w:hAnsi="Cambria" w:cs="Cambria" w:eastAsia="Cambria"/>
                <w:b/>
                <w:bCs/>
                <w:color w:val="1A1A1A"/>
                <w:sz w:val="18"/>
              </w:rPr>
              <w:t xml:space="preserve">I — Attuazione e sostenibilità</w:t>
            </w:r>
          </w:p>
        </w:tc>
        <w:tc>
          <w:tcPr/>
          <w:p>
            <w:pPr>
              <w:pStyle w:val="Compact"/>
              <w:spacing w:after="40" w:before="40"/>
              <w:jc w:val="left"/>
            </w:pPr>
            <w:r>
              <w:rPr>
                <w:rFonts w:ascii="Cambria" w:hAnsi="Cambria" w:cs="Cambria" w:eastAsia="Cambria"/>
                <w:color w:val="1A1A1A"/>
                <w:sz w:val="18"/>
              </w:rPr>
              <w:t xml:space="preserve">Dominio 7</w:t>
            </w:r>
          </w:p>
        </w:tc>
        <w:tc>
          <w:tcPr/>
          <w:p>
            <w:pPr>
              <w:pStyle w:val="Compact"/>
              <w:spacing w:after="40" w:before="40"/>
              <w:jc w:val="left"/>
            </w:pPr>
            <w:r>
              <w:rPr>
                <w:rFonts w:ascii="Cambria" w:hAnsi="Cambria" w:cs="Cambria" w:eastAsia="Cambria"/>
                <w:color w:val="1A1A1A"/>
                <w:sz w:val="18"/>
              </w:rPr>
              <w:t xml:space="preserve">Commerciale, gestionale</w:t>
            </w:r>
          </w:p>
        </w:tc>
        <w:tc>
          <w:tcPr/>
          <w:p>
            <w:pPr>
              <w:pStyle w:val="Compact"/>
              <w:spacing w:after="40" w:before="40"/>
              <w:jc w:val="left"/>
            </w:pPr>
            <w:r>
              <w:rPr>
                <w:rFonts w:ascii="Cambria" w:hAnsi="Cambria" w:cs="Cambria" w:eastAsia="Cambria"/>
                <w:color w:val="1A1A1A"/>
                <w:sz w:val="18"/>
              </w:rPr>
              <w:t xml:space="preserve">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 — Monitoraggio ed ex post</w:t>
            </w:r>
          </w:p>
        </w:tc>
        <w:tc>
          <w:tcPr>
            <w:shd w:val="clear" w:color="auto" w:fill="F4F1EC"/>
          </w:tcPr>
          <w:p>
            <w:pPr>
              <w:pStyle w:val="Compact"/>
              <w:spacing w:after="40" w:before="40"/>
              <w:jc w:val="left"/>
            </w:pPr>
            <w:r>
              <w:rPr>
                <w:rFonts w:ascii="Cambria" w:hAnsi="Cambria" w:cs="Cambria" w:eastAsia="Cambria"/>
                <w:color w:val="1A1A1A"/>
                <w:sz w:val="18"/>
              </w:rPr>
              <w:t xml:space="preserve">Trasversale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Verifica ex post</w:t>
            </w:r>
          </w:p>
        </w:tc>
      </w:tr>
      <w:tr>
        <w:tc>
          <w:tcPr/>
          <w:p>
            <w:pPr>
              <w:pStyle w:val="Compact"/>
              <w:spacing w:after="40" w:before="40"/>
              <w:jc w:val="left"/>
            </w:pPr>
            <w:r>
              <w:rPr>
                <w:rFonts w:ascii="Cambria" w:hAnsi="Cambria" w:cs="Cambria" w:eastAsia="Cambria"/>
                <w:b/>
                <w:bCs/>
                <w:color w:val="1A1A1A"/>
                <w:sz w:val="18"/>
              </w:rPr>
              <w:t xml:space="preserve">M — Sintesi e raccomandazioni</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Tutti i criteri</w:t>
            </w:r>
          </w:p>
        </w:tc>
      </w:tr>
    </w:tbl>
    <w:p>
      <w:pPr>
        <w:pStyle w:val="BodyText"/>
      </w:pPr>
      <w:r>
        <w:rPr>
          <w:i/>
          <w:iCs/>
        </w:rPr>
        <w:t xml:space="preserve">Tabella 2. La mappa di integrazione delle quattro cornici, parte per parte.</w:t>
      </w:r>
    </w:p>
    <w:bookmarkEnd w:id="4395"/>
    <w:bookmarkStart w:id="4396" w:name="la-sintesi-del-valore-5"/>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la Toscana, regione con un sistema già efficiente, un livello essenziale di assistenza elevato e un saldo di mobilità nettamente attivo, sicché il canale del recupero della mobilità è inapplicabile come leva di risparmio — e il saldo complessivo, ampiamente positivo. La tabella seguente lo riepiloga.</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22</w:t>
            </w:r>
          </w:p>
        </w:tc>
        <w:tc>
          <w:tcPr/>
          <w:p>
            <w:pPr>
              <w:pStyle w:val="Compact"/>
              <w:spacing w:after="40" w:before="40"/>
              <w:jc w:val="left"/>
            </w:pPr>
            <w:r>
              <w:rPr>
                <w:rFonts w:ascii="Cambria" w:hAnsi="Cambria" w:cs="Cambria" w:eastAsia="Cambria"/>
                <w:color w:val="1A1A1A"/>
                <w:sz w:val="18"/>
              </w:rPr>
              <w:t xml:space="preserve">~ 33</w:t>
            </w:r>
          </w:p>
        </w:tc>
        <w:tc>
          <w:tcPr/>
          <w:p>
            <w:pPr>
              <w:pStyle w:val="Compact"/>
              <w:spacing w:after="40" w:before="40"/>
              <w:jc w:val="left"/>
            </w:pPr>
            <w:r>
              <w:rPr>
                <w:rFonts w:ascii="Cambria" w:hAnsi="Cambria" w:cs="Cambria" w:eastAsia="Cambria"/>
                <w:color w:val="1A1A1A"/>
                <w:sz w:val="18"/>
              </w:rPr>
              <w:t xml:space="preserve">~ 44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14</w:t>
            </w:r>
          </w:p>
        </w:tc>
        <w:tc>
          <w:tcPr>
            <w:shd w:val="clear" w:color="auto" w:fill="F4F1EC"/>
          </w:tcPr>
          <w:p>
            <w:pPr>
              <w:pStyle w:val="Compact"/>
              <w:spacing w:after="40" w:before="40"/>
              <w:jc w:val="left"/>
            </w:pPr>
            <w:r>
              <w:rPr>
                <w:rFonts w:ascii="Cambria" w:hAnsi="Cambria" w:cs="Cambria" w:eastAsia="Cambria"/>
                <w:color w:val="1A1A1A"/>
                <w:sz w:val="18"/>
              </w:rPr>
              <w:t xml:space="preserve">~ 22</w:t>
            </w:r>
          </w:p>
        </w:tc>
        <w:tc>
          <w:tcPr>
            <w:shd w:val="clear" w:color="auto" w:fill="F4F1EC"/>
          </w:tcPr>
          <w:p>
            <w:pPr>
              <w:pStyle w:val="Compact"/>
              <w:spacing w:after="40" w:before="40"/>
              <w:jc w:val="left"/>
            </w:pPr>
            <w:r>
              <w:rPr>
                <w:rFonts w:ascii="Cambria" w:hAnsi="Cambria" w:cs="Cambria" w:eastAsia="Cambria"/>
                <w:color w:val="1A1A1A"/>
                <w:sz w:val="18"/>
              </w:rPr>
              <w:t xml:space="preserve">~ 34</w:t>
            </w:r>
          </w:p>
        </w:tc>
      </w:tr>
      <w:tr>
        <w:tc>
          <w:tcPr/>
          <w:p>
            <w:pPr>
              <w:pStyle w:val="Compact"/>
              <w:spacing w:after="40" w:before="40"/>
              <w:jc w:val="left"/>
            </w:pPr>
            <w:r>
              <w:rPr>
                <w:rFonts w:ascii="Cambria" w:hAnsi="Cambria" w:cs="Cambria" w:eastAsia="Cambria"/>
                <w:b/>
                <w:bCs/>
                <w:color w:val="1A1A1A"/>
                <w:sz w:val="18"/>
              </w:rPr>
              <w:t xml:space="preserve">Ricadute economico-sociali</w:t>
            </w:r>
          </w:p>
        </w:tc>
        <w:tc>
          <w:tcPr/>
          <w:p>
            <w:pPr>
              <w:pStyle w:val="Compact"/>
              <w:spacing w:after="40" w:before="40"/>
              <w:jc w:val="left"/>
            </w:pPr>
            <w:r>
              <w:rPr>
                <w:rFonts w:ascii="Cambria" w:hAnsi="Cambria" w:cs="Cambria" w:eastAsia="Cambria"/>
                <w:color w:val="1A1A1A"/>
                <w:sz w:val="18"/>
              </w:rPr>
              <w:t xml:space="preserve">~ 71</w:t>
            </w:r>
          </w:p>
        </w:tc>
        <w:tc>
          <w:tcPr/>
          <w:p>
            <w:pPr>
              <w:pStyle w:val="Compact"/>
              <w:spacing w:after="40" w:before="40"/>
              <w:jc w:val="left"/>
            </w:pPr>
            <w:r>
              <w:rPr>
                <w:rFonts w:ascii="Cambria" w:hAnsi="Cambria" w:cs="Cambria" w:eastAsia="Cambria"/>
                <w:color w:val="1A1A1A"/>
                <w:sz w:val="18"/>
              </w:rPr>
              <w:t xml:space="preserve">~ 133</w:t>
            </w:r>
          </w:p>
        </w:tc>
        <w:tc>
          <w:tcPr/>
          <w:p>
            <w:pPr>
              <w:pStyle w:val="Compact"/>
              <w:spacing w:after="40" w:before="40"/>
              <w:jc w:val="left"/>
            </w:pPr>
            <w:r>
              <w:rPr>
                <w:rFonts w:ascii="Cambria" w:hAnsi="Cambria" w:cs="Cambria" w:eastAsia="Cambria"/>
                <w:color w:val="1A1A1A"/>
                <w:sz w:val="18"/>
              </w:rPr>
              <w:t xml:space="preserve">~ 207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−8</w:t>
            </w:r>
          </w:p>
        </w:tc>
        <w:tc>
          <w:tcPr>
            <w:shd w:val="clear" w:color="auto" w:fill="F4F1EC"/>
          </w:tcPr>
          <w:p>
            <w:pPr>
              <w:pStyle w:val="Compact"/>
              <w:spacing w:after="40" w:before="40"/>
              <w:jc w:val="left"/>
            </w:pPr>
            <w:r>
              <w:rPr>
                <w:rFonts w:ascii="Cambria" w:hAnsi="Cambria" w:cs="Cambria" w:eastAsia="Cambria"/>
                <w:color w:val="1A1A1A"/>
                <w:sz w:val="18"/>
              </w:rPr>
              <w:t xml:space="preserve">~ −11</w:t>
            </w:r>
          </w:p>
        </w:tc>
        <w:tc>
          <w:tcPr>
            <w:shd w:val="clear" w:color="auto" w:fill="F4F1EC"/>
          </w:tcPr>
          <w:p>
            <w:pPr>
              <w:pStyle w:val="Compact"/>
              <w:spacing w:after="40" w:before="40"/>
              <w:jc w:val="left"/>
            </w:pPr>
            <w:r>
              <w:rPr>
                <w:rFonts w:ascii="Cambria" w:hAnsi="Cambria" w:cs="Cambria" w:eastAsia="Cambria"/>
                <w:color w:val="1A1A1A"/>
                <w:sz w:val="18"/>
              </w:rPr>
              <w:t xml:space="preserve">~ −10</w:t>
            </w:r>
          </w:p>
        </w:tc>
      </w:tr>
      <w:tr>
        <w:tc>
          <w:tcPr/>
          <w:p>
            <w:pPr>
              <w:pStyle w:val="Compact"/>
              <w:spacing w:after="40" w:before="40"/>
              <w:jc w:val="left"/>
            </w:pPr>
            <w:r>
              <w:rPr>
                <w:rFonts w:ascii="Cambria" w:hAnsi="Cambria" w:cs="Cambria" w:eastAsia="Cambria"/>
                <w:b/>
                <w:bCs/>
                <w:color w:val="1A1A1A"/>
                <w:sz w:val="18"/>
              </w:rPr>
              <w:t xml:space="preserve">Saldo complessivo (caso economico)</w:t>
            </w:r>
          </w:p>
        </w:tc>
        <w:tc>
          <w:tcPr/>
          <w:p>
            <w:pPr>
              <w:pStyle w:val="Compact"/>
              <w:spacing w:after="40" w:before="40"/>
              <w:jc w:val="left"/>
            </w:pPr>
            <w:r>
              <w:rPr>
                <w:rFonts w:ascii="Cambria" w:hAnsi="Cambria" w:cs="Cambria" w:eastAsia="Cambria"/>
                <w:color w:val="1A1A1A"/>
                <w:sz w:val="18"/>
              </w:rPr>
              <w:t xml:space="preserve">+63</w:t>
            </w:r>
          </w:p>
        </w:tc>
        <w:tc>
          <w:tcPr/>
          <w:p>
            <w:pPr>
              <w:pStyle w:val="Compact"/>
              <w:spacing w:after="40" w:before="40"/>
              <w:jc w:val="left"/>
            </w:pPr>
            <w:r>
              <w:rPr>
                <w:rFonts w:ascii="Cambria" w:hAnsi="Cambria" w:cs="Cambria" w:eastAsia="Cambria"/>
                <w:color w:val="1A1A1A"/>
                <w:sz w:val="18"/>
              </w:rPr>
              <w:t xml:space="preserve">+122</w:t>
            </w:r>
          </w:p>
        </w:tc>
        <w:tc>
          <w:tcPr/>
          <w:p>
            <w:pPr>
              <w:pStyle w:val="Compact"/>
              <w:spacing w:after="40" w:before="40"/>
              <w:jc w:val="left"/>
            </w:pPr>
            <w:r>
              <w:rPr>
                <w:rFonts w:ascii="Cambria" w:hAnsi="Cambria" w:cs="Cambria" w:eastAsia="Cambria"/>
                <w:color w:val="1A1A1A"/>
                <w:sz w:val="18"/>
              </w:rPr>
              <w:t xml:space="preserve">+197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~3,9:1</w:t>
            </w:r>
          </w:p>
        </w:tc>
        <w:tc>
          <w:tcPr>
            <w:shd w:val="clear" w:color="auto" w:fill="F4F1EC"/>
          </w:tcPr>
          <w:p>
            <w:pPr>
              <w:pStyle w:val="Compact"/>
              <w:spacing w:after="40" w:before="40"/>
              <w:jc w:val="left"/>
            </w:pPr>
            <w:r>
              <w:rPr>
                <w:rFonts w:ascii="Cambria" w:hAnsi="Cambria" w:cs="Cambria" w:eastAsia="Cambria"/>
                <w:color w:val="1A1A1A"/>
                <w:sz w:val="18"/>
              </w:rPr>
              <w:t xml:space="preserve">~4,7:1</w:t>
            </w:r>
          </w:p>
        </w:tc>
        <w:tc>
          <w:tcPr>
            <w:shd w:val="clear" w:color="auto" w:fill="F4F1E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istituito dalla legge regionale 39 del 2022 e attivo in via sperimentale — né se dotarlo di una legge, già esistente, ma se portarlo dalla sperimentazione alla strutturazione a regime, con un rapporto convenzionale analogo a quello dei medici di medicina generale a superamento degli incarichi libero-professionali, e dimensionarlo, portandolo dalla copertura attuale, dell’ordine del 5% del fabbisogno, alla copertura sistematica, dell’ordine di 790 incarichi nello scenario espansivo. Il limite principale è il radicamento dei dati: le grandezze economiche sono in parte ricostruite a partire dai conti nazionali scalati per la quota di popolazione toscana, del 6,2%, e non estratte dai conti regionali certificati delle tre Aziende USL e delle quattro Aziende Ospedaliero-Universitarie; la loro sostituzione con dati certificati è la condizione per la presentazione agli organi di controllo, ed è in Toscana agevolata dalla disponibilità dei dati della sperimentazione già attiva.</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toscano. La combinazione, propria della Toscana, di una legge regionale già vigente, di una sperimentazione attiva con dati di esito propri e di una struttura amministrativa consolidata in sole tre Aziende USL ne fa una candidata naturale a fungere da riferimento nazionale per la fase di strutturazione a regime e di implementazione uniforme, anche per l’integrazione dell’intelligenza artificiale nel percorso assistenziale. Su questa base, e con la dichiarazione trasparente dei propri limiti, il corpus consegna al decisore un quadro completo e onesto su cui deliberare.</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4396"/>
    <w:bookmarkStart w:id="1821" w:name="parte-a-quadro-quesito-e-metodo-7"/>
    <w:p>
      <w:pPr>
        <w:pStyle w:val="Heading2"/>
      </w:pPr>
      <w:r>
        <w:t xml:space="preserve">Parte A — Quadro, quesito e metodo</w:t>
      </w:r>
    </w:p>
    <w:p>
      <w:pPr>
        <w:pStyle w:val="FirstParagraph"/>
      </w:pPr>
      <w:r>
        <w:t xml:space="preserve">Questa è la prima parte dello studio integrale per la Toscana, che applica alla regione il telaio integrato sviluppato e validato per la Puglia e già esteso alla Lombardia, al Veneto, all’Emilia-Romagna e al Piemonte. L’architettura e il caso di riferimento sono i medesimi, e mutano soltanto i dati di ingresso, ancorati alla Toscana.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veneto, emiliano-romagnolo e piemontese e con quelli delle altre Regioni.</w:t>
      </w:r>
    </w:p>
    <w:bookmarkStart w:id="1818" w:name="Xf2d2eda679126dbab54a3d20e4e388e65f34b66"/>
    <w:p>
      <w:pPr>
        <w:pStyle w:val="Heading3"/>
      </w:pPr>
      <w:r>
        <w:t xml:space="preserve">A.1 Scopo, quesito di valutazione e standard adottati</w:t>
      </w:r>
    </w:p>
    <w:p>
      <w:pPr>
        <w:pStyle w:val="FirstParagraph"/>
      </w:pPr>
      <w:r>
        <w:t xml:space="preserve">Lo studio ha per oggetto il Servizio di Psicologia di Base nelle cure primarie della Toscana, inteso come strutturazione a regime di una funzione che la regione ha già istituito con una legge dedicata — la legge regionale 39 del 2022 — e reso operativo in via sperimentale dal settembre 2024, nelle Case della Comunità e in integrazione con la medicina generale, con esiti positivamente valutati e circa 2.300 cittadini che hanno avviato un percorso nei primi diciotto mesi.</w:t>
      </w:r>
      <w:r>
        <w:rPr>
          <w:rStyle w:val="FootnoteReference"/>
        </w:rPr>
        <w:footnoteReference w:id="2454"/>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già istituita per legge e operante — ma se darle dimensione e stabilità: l’esperienza sperimentale esiste e produce numeri verificabili, ma la stabilizzazione del rapporto, l’estensione a tutte le Case della Comunità e una copertura adeguata al fabbisogno sono ancora da definire, a fronte di un fabbisogno a regime stimato nell’ordine di 790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730.000 persone, si somma un’utenza specialistica in carico ai Dipartimenti di Salute Mentale, in un quadro segnato da componenti convergenti — il bisogno dell’età anziana, marcato in una delle regioni più anziane d’Italia e accentuato nelle aree interne e montane, il disagio connesso al lavoro nella popolazione attiva, il disagio giovanile e una rilevante dimensione multiculturale — cui si aggiunge la pressione delle liste di attesa.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toscani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il servizio è già istituito per legge e operante in via sperimentale su base libero-professionale, ma non ancora strutturato a regime né dimensionato al fabbisogno. Gli esiti sono clinici, economici, sociali e di sistema. I tempi distinguono l’orizzonte pluriennale degli esiti dall’orizzonte triennale-quinquennale del bilancio. Il contesto è il Servizio sanitario della Toscana, con le sue tre Aziende USL, le quattro Aziende Ospedaliero-Universitarie, l’ente regionale di supporto tecnico-amministrativo e la rete delle Case della Comunità e delle Case della Salute. La tabella seguente riepiloga gli elementi del quesito.</w:t>
      </w:r>
    </w:p>
    <w:tbl>
      <w:tblPr>
        <w:tblStyle w:val="Table"/>
        <w:tblW w:type="pct" w:w="496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063"/>
        <w:gridCol w:w="679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la Toscana</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toscani con disagio psichico comune (~730.000);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Psicologo di base nelle cure primarie, primo livello e filtro, portato a regime (~400/600/790 incarichi); strutturazione e dimensionamento del servizio già istituito per legge e sperimentato</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Condizione attuale: servizio istituito con la legge regionale 39 del 2022 e operante in via sperimentale dal settembre 2024 su base libero-professionale, in ventuno strutture, dimensionato a una frazione del fabbisogno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liste di attesa)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Servizio sanitario regionale della Toscana; tre Aziende USL, quattro Aziende Ospedaliero-Universitarie, ente regionale di supporto tecnico-amministrativo, tre Aree Vaste, rete delle Case della Comunità e delle Case della Salute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818"/>
    <w:bookmarkStart w:id="1819" w:name="a.2-il-caso-di-riferimento-e-i-metodi-7"/>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USL, le Aree Vaste e le zone-distretto, per dare conto anche dei divari territoriali interni.</w:t>
      </w:r>
    </w:p>
    <w:tbl>
      <w:tblPr>
        <w:tblStyle w:val="Table"/>
        <w:tblW w:type="pct" w:w="494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40"/>
        <w:gridCol w:w="640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Condizione attuale, ovvero servizio istituito per legge e operante in via sperimentale su base libero-professionale, non strutturato a regime né dimensionato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Regione, con disaggregazione per Azienda USL, Area Vasta e zona-distretto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Toscana, un rilievo particolare e di segno definito: il saldo di mobilità sanitaria è nettamente attivo, dell’ordine di 58 milioni di euro, e colloca la regione tra le più attrattive d’Italia, trainata dalle grandi Aziende Ospedaliero-Universitarie. Poiché la regione è già creditrice, e l’attrazione riguarda la specialistica e il ricovero più che la domanda psicologica, il canale del recupero della mobilità non costituisce qui una leva di risparmio. Ne consegue che il saldo diretto risulta lievemente negativo e che il caso economico poggia in misura preponderante sulle ricadute sociali, che lo studio stima con criteri conservativi; in un contesto di pressione finanziaria e di liste di attesa,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 benché in Toscana la lacuna sia mitigata dai dati operativi della sperimentazione.</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Toscana il disegno controfattuale assume una forma propria e particolarmente favorevole: poiché il servizio è già attivo in forma sperimentale e si è esteso in modo scaglionato tra le strutture, l’effetto causale va stimato dal confronto prima-dopo l’attivazione del 2024, dalla progressione per cunei tra le sedi e dall’eterogeneità dell’intensità di copertura, con i metodi della differenza-nelle-differenze e del controllo sintetico. La tabella seguente colloca ciascuna metodologia nella sua sede.</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357"/>
        <w:gridCol w:w="30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generato oltre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 nel tempo</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Parte F</w:t>
            </w:r>
          </w:p>
        </w:tc>
        <w:tc>
          <w:tcPr/>
          <w:p>
            <w:pPr>
              <w:pStyle w:val="Compact"/>
              <w:spacing w:after="40" w:before="40"/>
              <w:jc w:val="left"/>
            </w:pPr>
            <w:r>
              <w:rPr>
                <w:rFonts w:ascii="Cambria" w:hAnsi="Cambria" w:cs="Cambria" w:eastAsia="Cambria"/>
                <w:color w:val="1A1A1A"/>
                <w:sz w:val="18"/>
              </w:rPr>
              <w:t xml:space="preserve">Governo dell’incertezza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w:t>
            </w:r>
          </w:p>
        </w:tc>
        <w:tc>
          <w:tcPr>
            <w:shd w:val="clear" w:color="auto" w:fill="F4F1EC"/>
          </w:tcPr>
          <w:p>
            <w:pPr>
              <w:pStyle w:val="Compact"/>
              <w:spacing w:after="40" w:before="40"/>
              <w:jc w:val="left"/>
            </w:pPr>
            <w:r>
              <w:rPr>
                <w:rFonts w:ascii="Cambria" w:hAnsi="Cambria" w:cs="Cambria" w:eastAsia="Cambria"/>
                <w:color w:val="1A1A1A"/>
                <w:sz w:val="18"/>
              </w:rPr>
              <w:t xml:space="preserve">Parte G</w:t>
            </w:r>
          </w:p>
        </w:tc>
        <w:tc>
          <w:tcPr>
            <w:shd w:val="clear" w:color="auto" w:fill="F4F1EC"/>
          </w:tcPr>
          <w:p>
            <w:pPr>
              <w:pStyle w:val="Compact"/>
              <w:spacing w:after="40" w:before="40"/>
              <w:jc w:val="left"/>
            </w:pPr>
            <w:r>
              <w:rPr>
                <w:rFonts w:ascii="Cambria" w:hAnsi="Cambria" w:cs="Cambria" w:eastAsia="Cambria"/>
                <w:color w:val="1A1A1A"/>
                <w:sz w:val="18"/>
              </w:rPr>
              <w:t xml:space="preserve">Misura dell’equità distributiva</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Parte L</w:t>
            </w:r>
          </w:p>
        </w:tc>
        <w:tc>
          <w:tcPr/>
          <w:p>
            <w:pPr>
              <w:pStyle w:val="Compact"/>
              <w:spacing w:after="40" w:before="40"/>
              <w:jc w:val="left"/>
            </w:pPr>
            <w:r>
              <w:rPr>
                <w:rFonts w:ascii="Cambria" w:hAnsi="Cambria" w:cs="Cambria" w:eastAsia="Cambria"/>
                <w:color w:val="1A1A1A"/>
                <w:sz w:val="18"/>
              </w:rPr>
              <w:t xml:space="preserve">Stima dell’effetto reale sul campo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sistema GRADE</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Fondazione e graduazione dell’evidenza</w:t>
            </w:r>
          </w:p>
        </w:tc>
      </w:tr>
      <w:tr>
        <w:tc>
          <w:tcPr/>
          <w:p>
            <w:pPr>
              <w:pStyle w:val="Compact"/>
              <w:spacing w:after="40" w:before="40"/>
              <w:jc w:val="left"/>
            </w:pPr>
            <w:r>
              <w:rPr>
                <w:rFonts w:ascii="Cambria" w:hAnsi="Cambria" w:cs="Cambria" w:eastAsia="Cambria"/>
                <w:b/>
                <w:bCs/>
                <w:color w:val="1A1A1A"/>
                <w:sz w:val="18"/>
              </w:rPr>
              <w:t xml:space="preserve">Analisi multi-criterio</w:t>
            </w:r>
          </w:p>
        </w:tc>
        <w:tc>
          <w:tcPr/>
          <w:p>
            <w:pPr>
              <w:pStyle w:val="Compact"/>
              <w:spacing w:after="40" w:before="40"/>
              <w:jc w:val="left"/>
            </w:pPr>
            <w:r>
              <w:rPr>
                <w:rFonts w:ascii="Cambria" w:hAnsi="Cambria" w:cs="Cambria" w:eastAsia="Cambria"/>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Composizione dei criteri non monetari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della regolamentazione</w:t>
            </w:r>
          </w:p>
        </w:tc>
        <w:tc>
          <w:tcPr>
            <w:shd w:val="clear" w:color="auto" w:fill="F4F1EC"/>
          </w:tcPr>
          <w:p>
            <w:pPr>
              <w:pStyle w:val="Compact"/>
              <w:spacing w:after="40" w:before="40"/>
              <w:jc w:val="left"/>
            </w:pPr>
            <w:r>
              <w:rPr>
                <w:rFonts w:ascii="Cambria" w:hAnsi="Cambria" w:cs="Cambria" w:eastAsia="Cambria"/>
                <w:color w:val="1A1A1A"/>
                <w:sz w:val="18"/>
              </w:rPr>
              <w:t xml:space="preserve">Parti H, L</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della norma ex ante ed ex post</w:t>
            </w:r>
          </w:p>
        </w:tc>
      </w:tr>
    </w:tbl>
    <w:p>
      <w:pPr>
        <w:pStyle w:val="BodyText"/>
      </w:pPr>
      <w:r>
        <w:rPr>
          <w:i/>
          <w:iCs/>
        </w:rPr>
        <w:t xml:space="preserve">Tabella A.3. Le dieci metodologie analitiche e la loro collocazione nello studio.</w:t>
      </w:r>
    </w:p>
    <w:bookmarkEnd w:id="1819"/>
    <w:bookmarkStart w:id="1820" w:name="Xa742f56d630c82c27f40d8fbcb76f5f7d66e05c"/>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tre Aziende USL, le quattro Aziende Ospedaliero-Universitarie, l’Organismo Toscano di Governo Clinico, l’ente regionale di supporto tecnico-amministrativo, l’Ordine degli Psicologi della Toscana, le rappresentanze della medicina generale e della pediatria di libera scelta e le università di Firenze, Pisa e Siena. A differenza del Veneto, la Toscana non dispone di un’azienda regionale unica di coordinamento, ma presenta la struttura più consolidata tra le regioni esaminate: il riordino del 2016 ha accorpato le dodici aziende preesistenti in sole tre grandi Aziende USL, affiancate da un ente regionale di supporto tecnico-amministrativo e da un organismo di governo clinico, sicché il veicolo per una progettazione unitaria e un’attuazione omogenea è robusto. Poiché il servizio è già istituito per legge e operante, e la rete territoriale delle Case della Comunità e delle Case della Salute costituisce l’infrastruttura su cui esso è già innestato, la sfida del governo è di strutturarlo e dimensionarlo, non di avviarlo: è il tratto che distingue la Toscana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l’infrastruttura informatica regionale costituisce una base per 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Toscana.</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disuguaglianze, flussi e cornice normativa</w:t>
      </w:r>
    </w:p>
    <w:p>
      <w:pPr>
        <w:pStyle w:val="BodyText"/>
      </w:pPr>
      <w:r>
        <w:t xml:space="preserve">Primo dominio dell’HTA · il problema di salute e il suo contesto</w:t>
      </w:r>
    </w:p>
    <w:bookmarkEnd w:id="1820"/>
    <w:bookmarkEnd w:id="1821"/>
    <w:bookmarkStart w:id="4397" w:name="X6a59fd56dd31eb6f8d09a2698396f217a6447ab"/>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Toscana. La struttura è quella già adottata per la Puglia, per la Lombardia, per il Veneto, per l’Emilia-Romagna e per il Piemonte,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Toscana: non un sistema da introdurre ex novo, né un servizio operante senza una legge, ma un servizio già istituito da una legge regionale dedicata e avviato in via sperimentale, che attende di essere portato a regime e dimensionato al fabbisogno.</w:t>
      </w:r>
    </w:p>
    <w:bookmarkStart w:id="4398" w:name="b.1-quadro-demografico-6"/>
    <w:p>
      <w:pPr>
        <w:pStyle w:val="Heading3"/>
      </w:pPr>
      <w:r>
        <w:t xml:space="preserve">B.1 Quadro demografico</w:t>
      </w:r>
    </w:p>
    <w:p>
      <w:pPr>
        <w:pStyle w:val="FirstParagraph"/>
      </w:pPr>
      <w:r>
        <w:t xml:space="preserve">La Toscana conta 3.657.716 residenti, pari a circa il 6,2% della popolazione nazionale, in lieve calo, e presenta una popolazione segnata da un marcato invecchiamento e da bassa natalità, con un saldo naturale negativo solo in parte compensato dal saldo migratorio. L’aspettativa di vita, dell’ordine degli ottantatré anni, è in linea con la media nazionale, ma la struttura per età è tra le più anziane del Paese, con proiezioni di marcata contrazione e ulteriore invecchiamento. La componente straniera, pari all’11,8%, è superiore alla media nazionale e costituisce, a differenza di altre regioni, un tratto rilevante del bisogno, con concentrazioni elevate nell’area centrale e segnatamente a Prato. Il territorio si articola in dieci province, con circa metà della popolazione lungo l’asse urbano centrale e una marcata variabilità interna fra quest’area e le aree interne e montane. La tabella seguente ne riepiloga il profilo.</w:t>
      </w:r>
    </w:p>
    <w:tbl>
      <w:tblPr>
        <w:tblStyle w:val="Table"/>
        <w:tblW w:type="pct" w:w="493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00"/>
        <w:gridCol w:w="591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Toscana</w:t>
            </w:r>
          </w:p>
        </w:tc>
      </w:tr>
      <w:tr>
        <w:tc>
          <w:tcPr/>
          <w:p>
            <w:pPr>
              <w:pStyle w:val="Compact"/>
              <w:spacing w:after="40" w:before="40"/>
              <w:jc w:val="left"/>
            </w:pPr>
            <w:r>
              <w:rPr>
                <w:rFonts w:ascii="Cambria" w:hAnsi="Cambria" w:cs="Cambria" w:eastAsia="Cambria"/>
                <w:b/>
                <w:bCs/>
                <w:color w:val="1A1A1A"/>
                <w:sz w:val="18"/>
              </w:rPr>
              <w:t xml:space="preserve">Popolazione (Censimento 2024)</w:t>
            </w:r>
          </w:p>
        </w:tc>
        <w:tc>
          <w:tcPr/>
          <w:p>
            <w:pPr>
              <w:pStyle w:val="Compact"/>
              <w:spacing w:after="40" w:before="40"/>
              <w:jc w:val="left"/>
            </w:pPr>
            <w:r>
              <w:rPr>
                <w:rFonts w:ascii="Cambria" w:hAnsi="Cambria" w:cs="Cambria" w:eastAsia="Cambria"/>
                <w:color w:val="1A1A1A"/>
                <w:sz w:val="18"/>
              </w:rPr>
              <w:t xml:space="preserve">3.657.716 (~6,2% del totale nazionale); in lieve calo (−0,1%)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Aspettativa di vita</w:t>
            </w:r>
          </w:p>
        </w:tc>
        <w:tc>
          <w:tcPr>
            <w:shd w:val="clear" w:color="auto" w:fill="F4F1EC"/>
          </w:tcPr>
          <w:p>
            <w:pPr>
              <w:pStyle w:val="Compact"/>
              <w:spacing w:after="40" w:before="40"/>
              <w:jc w:val="left"/>
            </w:pPr>
            <w:r>
              <w:rPr>
                <w:rFonts w:ascii="Cambria" w:hAnsi="Cambria" w:cs="Cambria" w:eastAsia="Cambria"/>
                <w:color w:val="1A1A1A"/>
                <w:sz w:val="18"/>
              </w:rPr>
              <w:t xml:space="preserve">~ 83 anni, in linea con la media nazionale</w:t>
            </w:r>
          </w:p>
        </w:tc>
      </w:tr>
      <w:tr>
        <w:tc>
          <w:tcPr/>
          <w:p>
            <w:pPr>
              <w:pStyle w:val="Compact"/>
              <w:spacing w:after="40" w:before="40"/>
              <w:jc w:val="left"/>
            </w:pPr>
            <w:r>
              <w:rPr>
                <w:rFonts w:ascii="Cambria" w:hAnsi="Cambria" w:cs="Cambria" w:eastAsia="Cambria"/>
                <w:b/>
                <w:bCs/>
                <w:color w:val="1A1A1A"/>
                <w:sz w:val="18"/>
              </w:rPr>
              <w:t xml:space="preserve">Età media</w:t>
            </w:r>
          </w:p>
        </w:tc>
        <w:tc>
          <w:tcPr/>
          <w:p>
            <w:pPr>
              <w:pStyle w:val="Compact"/>
              <w:spacing w:after="40" w:before="40"/>
              <w:jc w:val="left"/>
            </w:pPr>
            <w:r>
              <w:rPr>
                <w:rFonts w:ascii="Cambria" w:hAnsi="Cambria" w:cs="Cambria" w:eastAsia="Cambria"/>
                <w:color w:val="1A1A1A"/>
                <w:sz w:val="18"/>
              </w:rPr>
              <w:t xml:space="preserve">~ 50 anni; struttura tra le più anziane d’Italia; over-65 ~ 26%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Componente straniera</w:t>
            </w:r>
          </w:p>
        </w:tc>
        <w:tc>
          <w:tcPr>
            <w:shd w:val="clear" w:color="auto" w:fill="F4F1EC"/>
          </w:tcPr>
          <w:p>
            <w:pPr>
              <w:pStyle w:val="Compact"/>
              <w:spacing w:after="40" w:before="40"/>
              <w:jc w:val="left"/>
            </w:pPr>
            <w:r>
              <w:rPr>
                <w:rFonts w:ascii="Cambria" w:hAnsi="Cambria" w:cs="Cambria" w:eastAsia="Cambria"/>
                <w:color w:val="1A1A1A"/>
                <w:sz w:val="18"/>
              </w:rPr>
              <w:t xml:space="preserve">11,8% dei residenti, superiore alla media nazionale; Firenze, Prato, Pisa</w:t>
            </w:r>
          </w:p>
        </w:tc>
      </w:tr>
      <w:tr>
        <w:tc>
          <w:tcPr/>
          <w:p>
            <w:pPr>
              <w:pStyle w:val="Compact"/>
              <w:spacing w:after="40" w:before="40"/>
              <w:jc w:val="left"/>
            </w:pPr>
            <w:r>
              <w:rPr>
                <w:rFonts w:ascii="Cambria" w:hAnsi="Cambria" w:cs="Cambria" w:eastAsia="Cambria"/>
                <w:b/>
                <w:bCs/>
                <w:color w:val="1A1A1A"/>
                <w:sz w:val="18"/>
              </w:rPr>
              <w:t xml:space="preserve">Articolazione del territorio</w:t>
            </w:r>
          </w:p>
        </w:tc>
        <w:tc>
          <w:tcPr/>
          <w:p>
            <w:pPr>
              <w:pStyle w:val="Compact"/>
              <w:spacing w:after="40" w:before="40"/>
              <w:jc w:val="left"/>
            </w:pPr>
            <w:r>
              <w:rPr>
                <w:rFonts w:ascii="Cambria" w:hAnsi="Cambria" w:cs="Cambria" w:eastAsia="Cambria"/>
                <w:color w:val="1A1A1A"/>
                <w:sz w:val="18"/>
              </w:rPr>
              <w:t xml:space="preserve">Dieci province; ~ metà in Firenze, Pisa e Lucca (48,9%)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Profilo per età</w:t>
            </w:r>
          </w:p>
        </w:tc>
        <w:tc>
          <w:tcPr>
            <w:shd w:val="clear" w:color="auto" w:fill="F4F1EC"/>
          </w:tcPr>
          <w:p>
            <w:pPr>
              <w:pStyle w:val="Compact"/>
              <w:spacing w:after="40" w:before="40"/>
              <w:jc w:val="left"/>
            </w:pPr>
            <w:r>
              <w:rPr>
                <w:rFonts w:ascii="Cambria" w:hAnsi="Cambria" w:cs="Cambria" w:eastAsia="Cambria"/>
                <w:color w:val="1A1A1A"/>
                <w:sz w:val="18"/>
              </w:rPr>
              <w:t xml:space="preserve">Asse centrale Firenze-Prato-Pisa dinamico; aree interne e montane anziane e in spopolamento</w:t>
            </w:r>
          </w:p>
        </w:tc>
      </w:tr>
      <w:tr>
        <w:tc>
          <w:tcPr/>
          <w:p>
            <w:pPr>
              <w:pStyle w:val="Compact"/>
              <w:spacing w:after="40" w:before="40"/>
              <w:jc w:val="left"/>
            </w:pPr>
            <w:r>
              <w:rPr>
                <w:rFonts w:ascii="Cambria" w:hAnsi="Cambria" w:cs="Cambria" w:eastAsia="Cambria"/>
                <w:b/>
                <w:bCs/>
                <w:color w:val="1A1A1A"/>
                <w:sz w:val="18"/>
              </w:rPr>
              <w:t xml:space="preserve">Articolazione sanitaria</w:t>
            </w:r>
          </w:p>
        </w:tc>
        <w:tc>
          <w:tcPr/>
          <w:p>
            <w:pPr>
              <w:pStyle w:val="Compact"/>
              <w:spacing w:after="40" w:before="40"/>
              <w:jc w:val="left"/>
            </w:pPr>
            <w:r>
              <w:rPr>
                <w:rFonts w:ascii="Cambria" w:hAnsi="Cambria" w:cs="Cambria" w:eastAsia="Cambria"/>
                <w:color w:val="1A1A1A"/>
                <w:sz w:val="18"/>
              </w:rPr>
              <w:t xml:space="preserve">Tre Aziende USL, quattro Aziende Ospedaliero-Universitarie, ente regionale di supporto tecnico-amministrativo</w:t>
            </w:r>
          </w:p>
        </w:tc>
      </w:tr>
    </w:tbl>
    <w:p>
      <w:pPr>
        <w:pStyle w:val="BodyText"/>
      </w:pPr>
      <w:r>
        <w:rPr>
          <w:i/>
          <w:iCs/>
        </w:rPr>
        <w:t xml:space="preserve">Tabella B.1. Profilo demografico e socio-economico della Toscana.</w:t>
      </w:r>
    </w:p>
    <w:bookmarkEnd w:id="4398"/>
    <w:bookmarkStart w:id="1823" w:name="b.2-epidemiologia-del-bisogno-7"/>
    <w:p>
      <w:pPr>
        <w:pStyle w:val="Heading3"/>
      </w:pPr>
      <w:r>
        <w:t xml:space="preserve">B.2 Epidemiologia del bisogno</w:t>
      </w:r>
    </w:p>
    <w:p>
      <w:pPr>
        <w:pStyle w:val="FirstParagraph"/>
      </w:pPr>
      <w:r>
        <w:t xml:space="preserve">Il bisogno di salute mentale in Toscana è elevato e sospinto dall’invecchiamento. Proiettando i tassi di prevalenza nazionali sulla popolazione regionale, la quota di disagio psichico comune o sottosoglia si colloca nell’ordine di 730.000 persone, in larga parte non intercettate dall’offerta strutturata. A questa quota si somma un’utenza specialistica in carico ai Dipartimenti di Salute Mentale dell’ordine di 52.000 persone, in servizi nei quali la figura dello psicologo è strutturalmente carente. Tre componenti orientano la domanda. La prima è il disagio giovanile, in crescita. La seconda è il disagio connesso al lavoro nella popolazione attiva. La terza, e più caratteristica, è il bisogno dell’età anziana, accentuato nelle aree interne e montane. È la combinazione — invecchiamento marcato, aree interne, dimensione multiculturale e un servizio già istituito per legge e sperimentato — a distinguere il fabbisogno toscano. La pressione che ne deriva si riversa anche sul pronto soccorso, con accessi per cause psichiatriche dell’ordine di trentamila l’anno.</w:t>
      </w:r>
    </w:p>
    <w:bookmarkEnd w:id="1823"/>
    <w:bookmarkStart w:id="1824" w:name="b.3-domanda-offerta-e-gap-di-copertura-7"/>
    <w:p>
      <w:pPr>
        <w:pStyle w:val="Heading3"/>
      </w:pPr>
      <w:r>
        <w:t xml:space="preserve">B.3 Domanda, offerta e gap di copertura</w:t>
      </w:r>
    </w:p>
    <w:p>
      <w:pPr>
        <w:pStyle w:val="FirstParagraph"/>
      </w:pPr>
      <w:r>
        <w:t xml:space="preserve">Alla domanda descritta si contrappone un’offerta che, in Toscana, presenta una fisionomia peculiare: il servizio di psicologia di base è già istituito da una legge regionale dedicata ed è operativo in via sperimentale dal settembre 2024, con numeri di attività verificabili, ma opera su base libero-professionale, in ventuno strutture, e copre una frazione ridotta del fabbisogno. Il fabbisogno a regime è stimato nell’ordine di 790 psicologi, e l’Ordine professionale regionale ne sostiene la strutturazione stabile, a superamento degli incarichi libero-professionali. La copertura attuale è dunque attiva ma ridotta: non l’assenza di un servizio, né una funzione solo amministrativa, ma un servizio reale, fondato su una legge e già sperimentato, da portare a regime e dimensionare. La tabella seguente sintetizza domanda, offerta e divario.</w:t>
      </w:r>
    </w:p>
    <w:tbl>
      <w:tblPr>
        <w:tblStyle w:val="Table"/>
        <w:tblW w:type="pct" w:w="495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57"/>
        <w:gridCol w:w="599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Toscana</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730.000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stimata in carico ai Dipartimenti</w:t>
            </w:r>
          </w:p>
        </w:tc>
        <w:tc>
          <w:tcPr>
            <w:shd w:val="clear" w:color="auto" w:fill="F4F1EC"/>
          </w:tcPr>
          <w:p>
            <w:pPr>
              <w:pStyle w:val="Compact"/>
              <w:spacing w:after="40" w:before="40"/>
              <w:jc w:val="left"/>
            </w:pPr>
            <w:r>
              <w:rPr>
                <w:rFonts w:ascii="Cambria" w:hAnsi="Cambria" w:cs="Cambria" w:eastAsia="Cambria"/>
                <w:color w:val="1A1A1A"/>
                <w:sz w:val="18"/>
              </w:rPr>
              <w:t xml:space="preserve">~ 52.000</w:t>
            </w:r>
          </w:p>
        </w:tc>
      </w:tr>
      <w:tr>
        <w:tc>
          <w:tcPr/>
          <w:p>
            <w:pPr>
              <w:pStyle w:val="Compact"/>
              <w:spacing w:after="40" w:before="40"/>
              <w:jc w:val="left"/>
            </w:pPr>
            <w:r>
              <w:rPr>
                <w:rFonts w:ascii="Cambria" w:hAnsi="Cambria" w:cs="Cambria" w:eastAsia="Cambria"/>
                <w:b/>
                <w:bCs/>
                <w:color w:val="1A1A1A"/>
                <w:sz w:val="18"/>
              </w:rPr>
              <w:t xml:space="preserve">Accessi al pronto soccorso per cause psichiatriche</w:t>
            </w:r>
          </w:p>
        </w:tc>
        <w:tc>
          <w:tcPr/>
          <w:p>
            <w:pPr>
              <w:pStyle w:val="Compact"/>
              <w:spacing w:after="40" w:before="40"/>
              <w:jc w:val="left"/>
            </w:pPr>
            <w:r>
              <w:rPr>
                <w:rFonts w:ascii="Cambria" w:hAnsi="Cambria" w:cs="Cambria" w:eastAsia="Cambria"/>
                <w:color w:val="1A1A1A"/>
                <w:sz w:val="18"/>
              </w:rPr>
              <w:t xml:space="preserve">~ 30.000 l’anno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Offerta territoriale attuale</w:t>
            </w:r>
          </w:p>
        </w:tc>
        <w:tc>
          <w:tcPr>
            <w:shd w:val="clear" w:color="auto" w:fill="F4F1EC"/>
          </w:tcPr>
          <w:p>
            <w:pPr>
              <w:pStyle w:val="Compact"/>
              <w:spacing w:after="40" w:before="40"/>
              <w:jc w:val="left"/>
            </w:pPr>
            <w:r>
              <w:rPr>
                <w:rFonts w:ascii="Cambria" w:hAnsi="Cambria" w:cs="Cambria" w:eastAsia="Cambria"/>
                <w:color w:val="1A1A1A"/>
                <w:sz w:val="18"/>
              </w:rPr>
              <w:t xml:space="preserve">Servizio istituito per legge (L.R. 39/2022) e operante in via sperimentale dal settembre 2024 in ventuno strutture, su base libero-professionale; ~ 2.300 cittadini in diciotto mesi</w:t>
            </w:r>
          </w:p>
        </w:tc>
      </w:tr>
      <w:tr>
        <w:tc>
          <w:tcPr/>
          <w:p>
            <w:pPr>
              <w:pStyle w:val="Compact"/>
              <w:spacing w:after="40" w:before="40"/>
              <w:jc w:val="left"/>
            </w:pPr>
            <w:r>
              <w:rPr>
                <w:rFonts w:ascii="Cambria" w:hAnsi="Cambria" w:cs="Cambria" w:eastAsia="Cambria"/>
                <w:b/>
                <w:bCs/>
                <w:color w:val="1A1A1A"/>
                <w:sz w:val="18"/>
              </w:rPr>
              <w:t xml:space="preserve">Fabbisogno stimato a regime</w:t>
            </w:r>
          </w:p>
        </w:tc>
        <w:tc>
          <w:tcPr/>
          <w:p>
            <w:pPr>
              <w:pStyle w:val="Compact"/>
              <w:spacing w:after="40" w:before="40"/>
              <w:jc w:val="left"/>
            </w:pPr>
            <w:r>
              <w:rPr>
                <w:rFonts w:ascii="Cambria" w:hAnsi="Cambria" w:cs="Cambria" w:eastAsia="Cambria"/>
                <w:color w:val="1A1A1A"/>
                <w:sz w:val="18"/>
              </w:rPr>
              <w:t xml:space="preserve">~ 790 psicologi (750–820)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Copertura attuale del fabbisogno</w:t>
            </w:r>
          </w:p>
        </w:tc>
        <w:tc>
          <w:tcPr>
            <w:shd w:val="clear" w:color="auto" w:fill="F4F1EC"/>
          </w:tcPr>
          <w:p>
            <w:pPr>
              <w:pStyle w:val="Compact"/>
              <w:spacing w:after="40" w:before="40"/>
              <w:jc w:val="left"/>
            </w:pPr>
            <w:r>
              <w:rPr>
                <w:rFonts w:ascii="Cambria" w:hAnsi="Cambria" w:cs="Cambria" w:eastAsia="Cambria"/>
                <w:color w:val="1A1A1A"/>
                <w:sz w:val="18"/>
              </w:rPr>
              <w:t xml:space="preserve">Attiva ma ridotta, dell’ordine del 5% del bisogno potenziale</w:t>
            </w:r>
          </w:p>
        </w:tc>
      </w:tr>
    </w:tbl>
    <w:p>
      <w:pPr>
        <w:pStyle w:val="BodyText"/>
      </w:pPr>
      <w:r>
        <w:rPr>
          <w:i/>
          <w:iCs/>
        </w:rPr>
        <w:t xml:space="preserve">Tabella B.2. Domanda, offerta e gap di copertura.</w:t>
      </w:r>
    </w:p>
    <w:bookmarkEnd w:id="1824"/>
    <w:bookmarkStart w:id="4399" w:name="X63bdf0369fbce1b34b665855127b9e880f74c6b"/>
    <w:p>
      <w:pPr>
        <w:pStyle w:val="Heading3"/>
      </w:pPr>
      <w:r>
        <w:t xml:space="preserve">B.4 Disuguaglianze e divari territoriali</w:t>
      </w:r>
    </w:p>
    <w:p>
      <w:pPr>
        <w:pStyle w:val="FirstParagraph"/>
      </w:pPr>
      <w:r>
        <w:t xml:space="preserve">La dimensione distributiva del bisogno, in Toscana, si articola su più assi specifici. Il primo è la dualità territoriale fra l’area metropolitana centrale, lungo l’asse Firenze-Prato-Pisa, densamente popolata e dotata di poli sanitari di eccellenza, e le aree interne e montane — l’Amiata, la Garfagnana, la Lunigiana — più anziane e soggette a spopolamento, dove l’accesso ai servizi è strutturalmente più difficoltoso. Il secondo è la dimensione multiculturale, che richiede competenza culturale nell’assistenza, particolarmente nell’area pratese. A questi si aggiunge l’asse delle liste di attesa, comune all’intera regione. Su questi assi il servizio di psicologia di base agisce in funzione di equità: avvicina l’offerta alle aree interne mediante la telepsicologia assistita — la sperimentazione ha già mostrato adesione anche nei piccoli centri e nelle zone montane — e, assorbendo a monte la domanda appropriata, libera capacità specialistica e contribuisce a contenere i tempi di attesa.</w:t>
      </w:r>
    </w:p>
    <w:bookmarkEnd w:id="4399"/>
    <w:bookmarkStart w:id="1826" w:name="b.5-i-servizi-e-i-flussi-7"/>
    <w:p>
      <w:pPr>
        <w:pStyle w:val="Heading3"/>
      </w:pPr>
      <w:r>
        <w:t xml:space="preserve">B.5 I servizi e i flussi</w:t>
      </w:r>
    </w:p>
    <w:p>
      <w:pPr>
        <w:pStyle w:val="FirstParagraph"/>
      </w:pPr>
      <w:r>
        <w:t xml:space="preserve">Il Servizio sanitario della Toscana dispone di risorse complessive dell’ordine di 8 miliardi di euro; la Regione non è soggetta a un piano di rientro, ma opera, come gran parte delle regioni, sotto pressione finanziaria, con la riduzione delle liste di attesa indicata come priorità e con un Piano Sanitario e Sociale Integrato Regionale 2024–2026 di recente approvazione. A differenza delle regioni passive, la Toscana presenta un saldo di mobilità nettamente attivo, dell’ordine di 58 milioni di euro, che la colloca tra le più attrattive d’Italia, trainata dalle grandi Aziende Ospedaliero-Universitarie: ne consegue che il canale del recupero della mobilità, centrale per le regioni debitrici del Mezzogiorno, non costituisce qui una leva di risparmio. L’architettura dei servizi poggia sulla struttura più consolidata tra le regioni esaminate — tre grandi Aziende USL accorpate dal 2016, quattro Aziende Ospedaliero-Universitarie, un ente regionale di supporto tecnico-amministrativo e tre Aree Vaste — e su una rete territoriale costituita dalle Case della Comunità del nuovo assetto e dalle preesistenti Case della Salute, su cui il servizio è già innestato. La tabella seguente riepiloga le grandezze di sistema rilevanti.</w:t>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06"/>
        <w:gridCol w:w="552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Toscana</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w:t>
            </w:r>
          </w:p>
        </w:tc>
        <w:tc>
          <w:tcPr/>
          <w:p>
            <w:pPr>
              <w:pStyle w:val="Compact"/>
              <w:spacing w:after="40" w:before="40"/>
              <w:jc w:val="left"/>
            </w:pPr>
            <w:r>
              <w:rPr>
                <w:rFonts w:ascii="Cambria" w:hAnsi="Cambria" w:cs="Cambria" w:eastAsia="Cambria"/>
                <w:color w:val="1A1A1A"/>
                <w:sz w:val="18"/>
              </w:rPr>
              <w:t xml:space="preserve">~ 8 miliardi di euro; non in piano di rientro; oggi sotto pressione finanziaria, con priorità alle liste di attesa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Saldo nettamente attivo (~ +58 milioni nel 2023); regione creditrice; canale non pertinente come leva di risparmio</w:t>
            </w:r>
          </w:p>
        </w:tc>
      </w:tr>
      <w:tr>
        <w:tc>
          <w:tcPr/>
          <w:p>
            <w:pPr>
              <w:pStyle w:val="Compact"/>
              <w:spacing w:after="40" w:before="40"/>
              <w:jc w:val="left"/>
            </w:pPr>
            <w:r>
              <w:rPr>
                <w:rFonts w:ascii="Cambria" w:hAnsi="Cambria" w:cs="Cambria" w:eastAsia="Cambria"/>
                <w:b/>
                <w:bCs/>
                <w:color w:val="1A1A1A"/>
                <w:sz w:val="18"/>
              </w:rPr>
              <w:t xml:space="preserve">Accessi al pronto soccorso</w:t>
            </w:r>
          </w:p>
        </w:tc>
        <w:tc>
          <w:tcPr/>
          <w:p>
            <w:pPr>
              <w:pStyle w:val="Compact"/>
              <w:spacing w:after="40" w:before="40"/>
              <w:jc w:val="left"/>
            </w:pPr>
            <w:r>
              <w:rPr>
                <w:rFonts w:ascii="Cambria" w:hAnsi="Cambria" w:cs="Cambria" w:eastAsia="Cambria"/>
                <w:color w:val="1A1A1A"/>
                <w:sz w:val="18"/>
              </w:rPr>
              <w:t xml:space="preserve">Dell’ordine di oltre un milione l’anno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Architettura dei servizi</w:t>
            </w:r>
          </w:p>
        </w:tc>
        <w:tc>
          <w:tcPr>
            <w:shd w:val="clear" w:color="auto" w:fill="F4F1EC"/>
          </w:tcPr>
          <w:p>
            <w:pPr>
              <w:pStyle w:val="Compact"/>
              <w:spacing w:after="40" w:before="40"/>
              <w:jc w:val="left"/>
            </w:pPr>
            <w:r>
              <w:rPr>
                <w:rFonts w:ascii="Cambria" w:hAnsi="Cambria" w:cs="Cambria" w:eastAsia="Cambria"/>
                <w:color w:val="1A1A1A"/>
                <w:sz w:val="18"/>
              </w:rPr>
              <w:t xml:space="preserve">Tre ASL, quattro AOU, ente regionale di supporto, tre Aree Vaste; rete delle Case della Comunità e delle Case della Salute</w:t>
            </w:r>
          </w:p>
        </w:tc>
      </w:tr>
      <w:tr>
        <w:tc>
          <w:tcPr/>
          <w:p>
            <w:pPr>
              <w:pStyle w:val="Compact"/>
              <w:spacing w:after="40" w:before="40"/>
              <w:jc w:val="left"/>
            </w:pPr>
            <w:r>
              <w:rPr>
                <w:rFonts w:ascii="Cambria" w:hAnsi="Cambria" w:cs="Cambria" w:eastAsia="Cambria"/>
                <w:b/>
                <w:bCs/>
                <w:color w:val="1A1A1A"/>
                <w:sz w:val="18"/>
              </w:rPr>
              <w:t xml:space="preserve">Margine di azione principale</w:t>
            </w:r>
          </w:p>
        </w:tc>
        <w:tc>
          <w:tcPr/>
          <w:p>
            <w:pPr>
              <w:pStyle w:val="Compact"/>
              <w:spacing w:after="40" w:before="40"/>
              <w:jc w:val="left"/>
            </w:pPr>
            <w:r>
              <w:rPr>
                <w:rFonts w:ascii="Cambria" w:hAnsi="Cambria" w:cs="Cambria" w:eastAsia="Cambria"/>
                <w:color w:val="1A1A1A"/>
                <w:sz w:val="18"/>
              </w:rPr>
              <w:t xml:space="preserve">Liste di attesa, strutturazione e dimensionamento del servizio già istituito per legge, accesso delle aree interne e montane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1826"/>
    <w:bookmarkStart w:id="1827" w:name="Xad535aea5035435122ffcdbaa01e851d2229d3f"/>
    <w:p>
      <w:pPr>
        <w:pStyle w:val="Heading3"/>
      </w:pPr>
      <w:r>
        <w:t xml:space="preserve">B.6 La cornice normativa e programmatica</w:t>
      </w:r>
    </w:p>
    <w:p>
      <w:pPr>
        <w:pStyle w:val="FirstParagraph"/>
      </w:pPr>
      <w:r>
        <w:t xml:space="preserve">La decisione si colloca entro una cornice peculiare e, sul piano giuridico, la più avanzata tra quelle esaminate: la Toscana ha già istituito il servizio con una legge regionale dedicata — la legge 39 del 2022 — attuata con un regolamento e fondata sugli indirizzi operativi dell’Organismo Toscano di Governo Clinico, e ne ha avviato e poi esteso la sperimentazione con successive deliberazioni di Giunta. Sul piano nazionale, il testo unificato in discussione alla Camera, il Piano Nazionale per la Salute Mentale e la sentenza della Corte Costituzionale n. 241 del 2021 — che ha confermato la competenza regionale in materia — compongono il quadro di riferimento. La decisione rilevante, in questo contesto, non è introdurre la funzione né dotarla di una legge, già esistente, ma portarla dalla sperimentazione alla strutturazione a regime e dimensionarla: è il tema che le parti successive sviluppano, a partire dalla definizione dell’intervento e del suo modello, oggetto della Parte C.</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modello organizzativo, percorso clinico, sistema informativo, strumenti digitali e formazione</w:t>
      </w:r>
    </w:p>
    <w:p>
      <w:pPr>
        <w:pStyle w:val="BodyText"/>
      </w:pPr>
      <w:r>
        <w:t xml:space="preserve">Secondo dominio dell’HTA · la descrizione della tecnologia</w:t>
      </w:r>
    </w:p>
    <w:bookmarkEnd w:id="1827"/>
    <w:bookmarkEnd w:id="4397"/>
    <w:bookmarkStart w:id="4400" w:name="parte-c-lintervento-e-il-suo-modello-6"/>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Toscana emerge con nettezza: l’intervento non è da introdurre, ma è già istituito per legge e in funzione in via sperimentale, e si tratta di dargli forma stabile a regime e di dimensionarlo.</w:t>
      </w:r>
    </w:p>
    <w:bookmarkStart w:id="1829" w:name="Xc80f18d215603171b76f12a2af274c01964c225"/>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730.000 persone con disagio comune. La tabella seguente ne espone gli anelli.</w:t>
      </w:r>
    </w:p>
    <w:tbl>
      <w:tblPr>
        <w:tblStyle w:val="Table"/>
        <w:tblW w:type="pct" w:w="493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75"/>
        <w:gridCol w:w="59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Toscana</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730.000 persone con disagio comune, in larga parte non intercettato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Psicologo nelle cure primarie: intercettazione precoce, intervento breve, filtro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liste di attesa ridotte</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particolarmente nella popolazione attiva, e minor carico familiare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1829"/>
    <w:bookmarkStart w:id="1830" w:name="c.2-il-modello-organizzativo-7"/>
    <w:p>
      <w:pPr>
        <w:pStyle w:val="Heading3"/>
      </w:pPr>
      <w:r>
        <w:t xml:space="preserve">C.2 Il modello organizzativo</w:t>
      </w:r>
    </w:p>
    <w:p>
      <w:pPr>
        <w:pStyle w:val="FirstParagraph"/>
      </w:pPr>
      <w:r>
        <w:t xml:space="preserve">Il modello organizzativo colloca lo psicologo di base nelle Case della Comunità e nelle Case della Salute, in collaborazione con i medici di medicina generale e secondo gli indirizzi operativi regionali. La Toscana presenta qui una specificità rispetto alle altre regioni: il servizio è già attivo in via sperimentale nelle tre Aziende USL. A differenza del Veneto, la regione non dispone di un’azienda regionale unica, ma presenta la struttura più consolidata tra quelle esaminate — tre grandi Aziende USL accorpate dal 2016 e un ente regionale di supporto tecnico-amministrativo — sicché il coordinamento, l’omogeneità attuativa e le economie di scala sono assicurati dalla Regione, attraverso la sua Direzione competente e l’Organismo Toscano di Governo Clinico. La rete territoriale delle Case della Comunità e delle Case della Salute è l’infrastruttura su cui il servizio è già innestato, e il compito non è crearla ma estenderla e renderla uniforme su tutto il territorio. Il funzionamento segue il principio dell’intensità crescente: l’intervento parte dal livello meno intensivo appropriato e cresce solo se necessario, con criteri espliciti di passaggio di livello e di invio.</w:t>
      </w:r>
    </w:p>
    <w:bookmarkEnd w:id="1830"/>
    <w:bookmarkStart w:id="4401" w:name="Xd0507d92afe9be4533f1347415bc9399bda5ef2"/>
    <w:p>
      <w:pPr>
        <w:pStyle w:val="Heading3"/>
      </w:pPr>
      <w:r>
        <w:t xml:space="preserve">C.3 Il percorso clinico, la sicurezza e gli esiti</w:t>
      </w:r>
    </w:p>
    <w:p>
      <w:pPr>
        <w:pStyle w:val="FirstParagraph"/>
      </w:pPr>
      <w:r>
        <w:t xml:space="preserve">Il percorso clinico prevede l’accesso su invio del medico di medicina generale o del pediatra di libera scelta — nella forma già in atto nella sperimentazione regionale — o l’accesso diretto, una valutazione iniziale, un ciclo di colloqui brevi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43"/>
        <w:gridCol w:w="56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4401"/>
    <w:bookmarkStart w:id="1832" w:name="Xcbaf73fc5247cade7d20784e5dd0ee20b79a164"/>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 Regione, che ne assicura l’uniformità fra le tre Aziende USL. La raccolta sistematica e completa dei dati di processo e di esito non è un adempimento accessorio, ma il presupposto della clausola valutativa e del disegno controfattuale; su questo terreno la Toscana dispone di un vantaggio peculiare, poiché la sperimentazione già attiva ha prodotto dati di attività verificabili, da consolidare in un flusso strutturato.</w:t>
      </w:r>
    </w:p>
    <w:bookmarkEnd w:id="1832"/>
    <w:bookmarkStart w:id="4402" w:name="X365468616aff6447ac72cec64012ea69ec5e5e1"/>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Toscana, lo strumento per garantire l’accesso nelle aree interne e montane,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2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20"/>
        <w:gridCol w:w="3083"/>
        <w:gridCol w:w="199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 e telemonitoraggio</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aree interne e montane; continuità</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bookmarkEnd w:id="4402"/>
    <w:bookmarkStart w:id="4403" w:name="c.6-la-formazione-e-le-competenze-7"/>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le Università di Firenze, Pisa e Siena; il livello post-universitario specialistico attraverso un corso regionale con attestato dedicato alla psicologia di base e alle cure primarie, comprensivo della competenza per l’età anziana, per le aree interne e della competenza culturale per l’utenza straniera, particolarmente rilevanti nel contesto toscano;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Definiti l’intervento e il suo modello, la parte che segue ne esamina l’efficacia e l’evidenza.</w:t>
      </w:r>
    </w:p>
    <w:tbl>
      <w:tblPr>
        <w:tblStyle w:val="Table"/>
        <w:tblW w:type="pct" w:w="495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32"/>
        <w:gridCol w:w="4927"/>
        <w:gridCol w:w="138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Università di Firenze, Pisa e Siena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di base e cure primarie: modelli organizzativi, collaborazione, misure di esito, competenza per l’età anziana e culturale</w:t>
            </w:r>
          </w:p>
        </w:tc>
        <w:tc>
          <w:tcPr>
            <w:shd w:val="clear" w:color="auto" w:fill="F4F1EC"/>
          </w:tcPr>
          <w:p>
            <w:pPr>
              <w:pStyle w:val="Compact"/>
              <w:spacing w:after="40" w:before="40"/>
              <w:jc w:val="left"/>
            </w:pPr>
            <w:r>
              <w:rPr>
                <w:rFonts w:ascii="Cambria" w:hAnsi="Cambria" w:cs="Cambria" w:eastAsia="Cambria"/>
                <w:color w:val="1A1A1A"/>
                <w:sz w:val="18"/>
              </w:rPr>
              <w:t xml:space="preserve">Corso regionale con attestato</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Tutor aziendali;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D</w:t>
      </w:r>
    </w:p>
    <w:p>
      <w:pPr>
        <w:pStyle w:val="BodyText"/>
      </w:pPr>
      <w:r>
        <w:rPr>
          <w:b/>
          <w:bCs/>
        </w:rPr>
        <w:t xml:space="preserve">L’********efficacia e l********’evidenza</w:t>
      </w:r>
    </w:p>
    <w:p>
      <w:pPr>
        <w:pStyle w:val="BodyText"/>
      </w:pPr>
      <w:r>
        <w:rPr>
          <w:i/>
          <w:iCs/>
        </w:rPr>
        <w:t xml:space="preserve">Revisione sistematica, qualità dell</w:t>
      </w:r>
      <w:r>
        <w:rPr>
          <w:b/>
          <w:bCs/>
          <w:i/>
          <w:iCs/>
        </w:rPr>
        <w:t xml:space="preserve">’</w:t>
      </w:r>
      <w:r>
        <w:rPr>
          <w:i/>
          <w:iCs/>
        </w:rPr>
        <w:t xml:space="preserve">evidenza, benchmark internazionali e trasferibilità</w:t>
      </w:r>
    </w:p>
    <w:p>
      <w:pPr>
        <w:pStyle w:val="BodyText"/>
      </w:pPr>
      <w:r>
        <w:t xml:space="preserve">Terzo e quarto dominio dell’HTA · l’efficacia clinica e la sicurezza</w:t>
      </w:r>
    </w:p>
    <w:bookmarkEnd w:id="4403"/>
    <w:bookmarkEnd w:id="4400"/>
    <w:bookmarkStart w:id="4404" w:name="parte-d-lefficacia-e-levidenza-3"/>
    <w:p>
      <w:pPr>
        <w:pStyle w:val="Heading2"/>
      </w:pPr>
      <w:r>
        <w:t xml:space="preserve">Parte D — L’efficacia e l’evidenza</w:t>
      </w:r>
    </w:p>
    <w:p>
      <w:pPr>
        <w:pStyle w:val="FirstParagraph"/>
      </w:pPr>
      <w:r>
        <w:t xml:space="preserve">Descritto l’intervento nella Parte C, questa quarta parte ne esamina l’efficacia e l’evidenza, secondo il terzo e il quarto dominio della valutazione. La base di prove è in larga misura indipendente dalla regione, poiché attinge alla letteratura internazionale e ai programmi consolidati; ciò che muta è il giudizio di trasferibilità, calibrato sul contesto toscano. La parte presenta la revisione sistematica delle prove (capitolo D.1); ne valuta la qualità con il sistema GRADE (D.2); esamina i benchmark internazionali e italiani (D.3); e discute la trasferibilità al contesto regionale (D.4), dove acquista un rilievo singolare il patrimonio di evidenza locale costituito dalla sperimentazione regionale, fondata su una legge dedicata e già produttiva di dati di esito reale.</w:t>
      </w:r>
    </w:p>
    <w:bookmarkStart w:id="4405" w:name="d.1-la-revisione-sistematica-4"/>
    <w:p>
      <w:pPr>
        <w:pStyle w:val="Heading3"/>
      </w:pPr>
      <w:r>
        <w:t xml:space="preserve">D.1 La revisione sistematica</w:t>
      </w:r>
    </w:p>
    <w:p>
      <w:pPr>
        <w:pStyle w:val="FirstParagraph"/>
      </w:pPr>
      <w:r>
        <w:t xml:space="preserve">La sintesi delle prove è condotta secondo i criteri di rendicontazione riconosciuti per le revisioni sistematiche e gradua la fiducia nei risultati con il sistema GRADE, considerando studi controllati, meta-analisi, revisioni di implementazione e dati di esito reale, con preferenza per le fonti più recenti. Il quadro che ne emerge è solido. Lo studio fondativo del modello collaborativo ha documentato un tasso di risposta di circa il 50% dei pazienti trattati, contro il 19% della cura usuale. Una meta-analisi su cinquantasette studi controllati ha stimato un miglioramento medio dei sintomi depressivi di 0,28 deviazioni standard. Una revisione di quarantadue implementazioni ha rilevato riduzioni dell’ordine del 47% della depressione, del 43% dell’ansia, del 34% degli accessi al pronto soccorso e del 41% dei ricoveri. Il programma inglese, su scala di oltre 1,3 milioni di persone l’anno, conferma questi valori con dati reali. Una meta-analisi sulle cure integrate, infine, stima un effetto modesto sul singolo ma clinicamente rilevante sulla popolazione. La tabella seguente sintetizza i principali risultati.</w:t>
      </w:r>
    </w:p>
    <w:tbl>
      <w:tblPr>
        <w:tblStyle w:val="Table"/>
        <w:tblW w:type="pct" w:w="493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51"/>
        <w:gridCol w:w="526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Risultato principale</w:t>
            </w:r>
          </w:p>
        </w:tc>
      </w:tr>
      <w:tr>
        <w:tc>
          <w:tcPr/>
          <w:p>
            <w:pPr>
              <w:pStyle w:val="Compact"/>
              <w:spacing w:after="40" w:before="40"/>
              <w:jc w:val="left"/>
            </w:pPr>
            <w:r>
              <w:rPr>
                <w:rFonts w:ascii="Cambria" w:hAnsi="Cambria" w:cs="Cambria" w:eastAsia="Cambria"/>
                <w:b/>
                <w:bCs/>
                <w:color w:val="1A1A1A"/>
                <w:sz w:val="18"/>
              </w:rPr>
              <w:t xml:space="preserve">Studio fondativo (JAMA, 2002)</w:t>
            </w:r>
          </w:p>
        </w:tc>
        <w:tc>
          <w:tcPr/>
          <w:p>
            <w:pPr>
              <w:pStyle w:val="Compact"/>
              <w:spacing w:after="40" w:before="40"/>
              <w:jc w:val="left"/>
            </w:pPr>
            <w:r>
              <w:rPr>
                <w:rFonts w:ascii="Cambria" w:hAnsi="Cambria" w:cs="Cambria" w:eastAsia="Cambria"/>
                <w:color w:val="1A1A1A"/>
                <w:sz w:val="18"/>
              </w:rPr>
              <w:t xml:space="preserve">~ 50% dei pazienti con riduzione ≥ 50% dei sintomi a 12 mesi, contro 19% nella cura usuale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Meta-analisi su 57 studi (2012)</w:t>
            </w:r>
          </w:p>
        </w:tc>
        <w:tc>
          <w:tcPr>
            <w:shd w:val="clear" w:color="auto" w:fill="F4F1EC"/>
          </w:tcPr>
          <w:p>
            <w:pPr>
              <w:pStyle w:val="Compact"/>
              <w:spacing w:after="40" w:before="40"/>
              <w:jc w:val="left"/>
            </w:pPr>
            <w:r>
              <w:rPr>
                <w:rFonts w:ascii="Cambria" w:hAnsi="Cambria" w:cs="Cambria" w:eastAsia="Cambria"/>
                <w:color w:val="1A1A1A"/>
                <w:sz w:val="18"/>
              </w:rPr>
              <w:t xml:space="preserve">Miglioramento medio dei sintomi depressivi di 0,28 deviazioni standard</w:t>
            </w:r>
          </w:p>
        </w:tc>
      </w:tr>
      <w:tr>
        <w:tc>
          <w:tcPr/>
          <w:p>
            <w:pPr>
              <w:pStyle w:val="Compact"/>
              <w:spacing w:after="40" w:before="40"/>
              <w:jc w:val="left"/>
            </w:pPr>
            <w:r>
              <w:rPr>
                <w:rFonts w:ascii="Cambria" w:hAnsi="Cambria" w:cs="Cambria" w:eastAsia="Cambria"/>
                <w:b/>
                <w:bCs/>
                <w:color w:val="1A1A1A"/>
                <w:sz w:val="18"/>
              </w:rPr>
              <w:t xml:space="preserve">Revisione su 42 implementazioni (2024)</w:t>
            </w:r>
          </w:p>
        </w:tc>
        <w:tc>
          <w:tcPr/>
          <w:p>
            <w:pPr>
              <w:pStyle w:val="Compact"/>
              <w:spacing w:after="40" w:before="40"/>
              <w:jc w:val="left"/>
            </w:pPr>
            <w:r>
              <w:rPr>
                <w:rFonts w:ascii="Cambria" w:hAnsi="Cambria" w:cs="Cambria" w:eastAsia="Cambria"/>
                <w:color w:val="1A1A1A"/>
                <w:sz w:val="18"/>
              </w:rPr>
              <w:t xml:space="preserve">−47% depressione e −43% ansia a 6 mesi; −34% accessi al PS; −41% ricoveri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Programma inglese, dati reali (2023–2024)</w:t>
            </w:r>
          </w:p>
        </w:tc>
        <w:tc>
          <w:tcPr>
            <w:shd w:val="clear" w:color="auto" w:fill="F4F1EC"/>
          </w:tcPr>
          <w:p>
            <w:pPr>
              <w:pStyle w:val="Compact"/>
              <w:spacing w:after="40" w:before="40"/>
              <w:jc w:val="left"/>
            </w:pPr>
            <w:r>
              <w:rPr>
                <w:rFonts w:ascii="Cambria" w:hAnsi="Cambria" w:cs="Cambria" w:eastAsia="Cambria"/>
                <w:color w:val="1A1A1A"/>
                <w:sz w:val="18"/>
              </w:rPr>
              <w:t xml:space="preserve">Recupero 50,2%; miglioramento affidabile 67,8%; completezza dei dati &gt; 98%</w:t>
            </w:r>
          </w:p>
        </w:tc>
      </w:tr>
      <w:tr>
        <w:tc>
          <w:tcPr/>
          <w:p>
            <w:pPr>
              <w:pStyle w:val="Compact"/>
              <w:spacing w:after="40" w:before="40"/>
              <w:jc w:val="left"/>
            </w:pPr>
            <w:r>
              <w:rPr>
                <w:rFonts w:ascii="Cambria" w:hAnsi="Cambria" w:cs="Cambria" w:eastAsia="Cambria"/>
                <w:b/>
                <w:bCs/>
                <w:color w:val="1A1A1A"/>
                <w:sz w:val="18"/>
              </w:rPr>
              <w:t xml:space="preserve">Meta-analisi sulle cure integrate</w:t>
            </w:r>
          </w:p>
        </w:tc>
        <w:tc>
          <w:tcPr/>
          <w:p>
            <w:pPr>
              <w:pStyle w:val="Compact"/>
              <w:spacing w:after="40" w:before="40"/>
              <w:jc w:val="left"/>
            </w:pPr>
            <w:r>
              <w:rPr>
                <w:rFonts w:ascii="Cambria" w:hAnsi="Cambria" w:cs="Cambria" w:eastAsia="Cambria"/>
                <w:color w:val="1A1A1A"/>
                <w:sz w:val="18"/>
              </w:rP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‘******efficacia dell******’</w:t>
      </w:r>
      <w:r>
        <w:rPr>
          <w:i/>
          <w:iCs/>
        </w:rPr>
        <w:t xml:space="preserve">integrazione psicologica nelle cure primarie.</w:t>
      </w:r>
    </w:p>
    <w:bookmarkEnd w:id="4405"/>
    <w:bookmarkStart w:id="4406" w:name="d.2-la-qualità-dellevidenza-4"/>
    <w:p>
      <w:pPr>
        <w:pStyle w:val="Heading3"/>
      </w:pPr>
      <w:r>
        <w:t xml:space="preserve">D.2 La qualità dell’evidenza</w:t>
      </w:r>
    </w:p>
    <w:p>
      <w:pPr>
        <w:pStyle w:val="FirstParagraph"/>
      </w:pPr>
      <w:r>
        <w:t xml:space="preserve">La qualità dell’evidenza, valutata con il sistema GRADE, è da moderata a elevata per l’efficacia clinica dell’integrazione psicologica nelle cure primarie sui disturbi comuni, mentre è più eterogenea e di minore certezza per gli esiti economici, particolarmente quelli di sistema. Una cautela merita di essere dichiarata con franchezza, perché orienta l’intera impostazione economica dello studio: nello stesso studio fondativo i risparmi sui costi sanitari diretti non risultano statisticamente significativi, poiché l’intervallo di confidenza comprende lo zero. Il valore economico del modello, di conseguenza, poggia in misura preponderante sui ritorni sociali e non sui risparmi sanitari diretti. È una cautela coerente con il profilo del caso economico toscano, che la Parte E costruisce esattamente su questa base.</w:t>
      </w:r>
    </w:p>
    <w:bookmarkEnd w:id="4406"/>
    <w:bookmarkStart w:id="4407" w:name="d.3-i-benchmark-internazionali-6"/>
    <w:p>
      <w:pPr>
        <w:pStyle w:val="Heading3"/>
      </w:pPr>
      <w:r>
        <w:t xml:space="preserve">D.3 I benchmark internazionali</w:t>
      </w:r>
    </w:p>
    <w:p>
      <w:pPr>
        <w:pStyle w:val="FirstParagraph"/>
      </w:pPr>
      <w:r>
        <w:t xml:space="preserve">L’evidenza sperimentale è corroborata dall’esperienza dei grandi programmi internazionali, che offrono modelli organizzativi maturi e dati su larga scala. Il programma inglese costituisce il riferimento principale per l’organizzazione del servizio. Il modello olandese mostra un’integrazione capillare nello studio del medico di base. L’iniziativa australiana documenta l’ampliamento della popolazione in trattamento. Il modello statunitense è validato da una mole imponente di studi controllati. Le esperienze italiane, infine, pur derivando in parte da campioni limitati, anticipano l’integrazione nelle cure primarie, oggi corroborata dalla sperimentazione toscana fondata su una legge dedicata. La tabella seguente li riepiloga.</w:t>
      </w:r>
    </w:p>
    <w:tbl>
      <w:tblPr>
        <w:tblStyle w:val="Table"/>
        <w:tblW w:type="pct" w:w="494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84"/>
        <w:gridCol w:w="2822"/>
        <w:gridCol w:w="282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Assetto</w:t>
            </w:r>
          </w:p>
        </w:tc>
        <w:tc>
          <w:tcPr>
            <w:shd w:val="clear" w:color="auto" w:fill="16264B"/>
          </w:tcPr>
          <w:p>
            <w:pPr>
              <w:pStyle w:val="Compact"/>
              <w:spacing w:after="40" w:before="40"/>
              <w:jc w:val="left"/>
            </w:pPr>
            <w:r>
              <w:rPr>
                <w:rFonts w:ascii="Cambria" w:hAnsi="Cambria" w:cs="Cambria" w:eastAsia="Cambria"/>
                <w:b/>
                <w:bCs/>
                <w:color w:val="FFFFFF"/>
                <w:sz w:val="18"/>
              </w:rPr>
              <w:t xml:space="preserve">Esiti clinici e organizzativi</w:t>
            </w:r>
          </w:p>
        </w:tc>
      </w:tr>
      <w:tr>
        <w:tc>
          <w:tcPr/>
          <w:p>
            <w:pPr>
              <w:pStyle w:val="Compact"/>
              <w:spacing w:after="40" w:before="40"/>
              <w:jc w:val="left"/>
            </w:pPr>
            <w:r>
              <w:rPr>
                <w:rFonts w:ascii="Cambria" w:hAnsi="Cambria" w:cs="Cambria" w:eastAsia="Cambria"/>
                <w:b/>
                <w:bCs/>
                <w:color w:val="1A1A1A"/>
                <w:sz w:val="18"/>
              </w:rPr>
              <w:t xml:space="preserve">Programma inglese (NHS Talking Therapies)</w:t>
            </w:r>
          </w:p>
        </w:tc>
        <w:tc>
          <w:tcPr/>
          <w:p>
            <w:pPr>
              <w:pStyle w:val="Compact"/>
              <w:spacing w:after="40" w:before="40"/>
              <w:jc w:val="left"/>
            </w:pPr>
            <w:r>
              <w:rPr>
                <w:rFonts w:ascii="Cambria" w:hAnsi="Cambria" w:cs="Cambria" w:eastAsia="Cambria"/>
                <w:color w:val="1A1A1A"/>
                <w:sz w:val="18"/>
              </w:rPr>
              <w:t xml:space="preserve">Integrato; intensità crescente</w:t>
            </w:r>
          </w:p>
        </w:tc>
        <w:tc>
          <w:tcPr/>
          <w:p>
            <w:pPr>
              <w:pStyle w:val="Compact"/>
              <w:spacing w:after="40" w:before="40"/>
              <w:jc w:val="left"/>
            </w:pPr>
            <w:r>
              <w:rPr>
                <w:rFonts w:ascii="Cambria" w:hAnsi="Cambria" w:cs="Cambria" w:eastAsia="Cambria"/>
                <w:color w:val="1A1A1A"/>
                <w:sz w:val="18"/>
              </w:rPr>
              <w:t xml:space="preserve">Recupero ~50%; monitoraggio &gt; 98%; &gt; 1,3 mln/anno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olandese (POH-GGZ)</w:t>
            </w:r>
          </w:p>
        </w:tc>
        <w:tc>
          <w:tcPr>
            <w:shd w:val="clear" w:color="auto" w:fill="F4F1EC"/>
          </w:tcPr>
          <w:p>
            <w:pPr>
              <w:pStyle w:val="Compact"/>
              <w:spacing w:after="40" w:before="40"/>
              <w:jc w:val="left"/>
            </w:pPr>
            <w:r>
              <w:rPr>
                <w:rFonts w:ascii="Cambria" w:hAnsi="Cambria" w:cs="Cambria" w:eastAsia="Cambria"/>
                <w:color w:val="1A1A1A"/>
                <w:sz w:val="18"/>
              </w:rPr>
              <w:t xml:space="preserve">Integrato nelle cure primarie</w:t>
            </w:r>
          </w:p>
        </w:tc>
        <w:tc>
          <w:tcPr>
            <w:shd w:val="clear" w:color="auto" w:fill="F4F1EC"/>
          </w:tcPr>
          <w:p>
            <w:pPr>
              <w:pStyle w:val="Compact"/>
              <w:spacing w:after="40" w:before="40"/>
              <w:jc w:val="left"/>
            </w:pPr>
            <w:r>
              <w:rPr>
                <w:rFonts w:ascii="Cambria" w:hAnsi="Cambria" w:cs="Cambria" w:eastAsia="Cambria"/>
                <w:color w:val="1A1A1A"/>
                <w:sz w:val="18"/>
              </w:rPr>
              <w:t xml:space="preserve">Adozione ~3/4 dei medici; ruolo complementare</w:t>
            </w:r>
          </w:p>
        </w:tc>
      </w:tr>
      <w:tr>
        <w:tc>
          <w:tcPr/>
          <w:p>
            <w:pPr>
              <w:pStyle w:val="Compact"/>
              <w:spacing w:after="40" w:before="40"/>
              <w:jc w:val="left"/>
            </w:pPr>
            <w:r>
              <w:rPr>
                <w:rFonts w:ascii="Cambria" w:hAnsi="Cambria" w:cs="Cambria" w:eastAsia="Cambria"/>
                <w:b/>
                <w:bCs/>
                <w:color w:val="1A1A1A"/>
                <w:sz w:val="18"/>
              </w:rPr>
              <w:t xml:space="preserve">Iniziativa australiana (Better Access)</w:t>
            </w:r>
          </w:p>
        </w:tc>
        <w:tc>
          <w:tcPr/>
          <w:p>
            <w:pPr>
              <w:pStyle w:val="Compact"/>
              <w:spacing w:after="40" w:before="40"/>
              <w:jc w:val="left"/>
            </w:pPr>
            <w:r>
              <w:rPr>
                <w:rFonts w:ascii="Cambria" w:hAnsi="Cambria" w:cs="Cambria" w:eastAsia="Cambria"/>
                <w:color w:val="1A1A1A"/>
                <w:sz w:val="18"/>
              </w:rPr>
              <w:t xml:space="preserve">Invio esterno</w:t>
            </w:r>
          </w:p>
        </w:tc>
        <w:tc>
          <w:tcPr/>
          <w:p>
            <w:pPr>
              <w:pStyle w:val="Compact"/>
              <w:spacing w:after="40" w:before="40"/>
              <w:jc w:val="left"/>
            </w:pPr>
            <w:r>
              <w:rPr>
                <w:rFonts w:ascii="Cambria" w:hAnsi="Cambria" w:cs="Cambria" w:eastAsia="Cambria"/>
                <w:color w:val="1A1A1A"/>
                <w:sz w:val="18"/>
              </w:rPr>
              <w:t xml:space="preserve">Trattamento dal 35% al 46%; elevata soddisfazione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Collaborative Care (Stati Uniti)</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r>
        <w:tc>
          <w:tcPr/>
          <w:p>
            <w:pPr>
              <w:pStyle w:val="Compact"/>
              <w:spacing w:after="40" w:before="40"/>
              <w:jc w:val="left"/>
            </w:pPr>
            <w:r>
              <w:rPr>
                <w:rFonts w:ascii="Cambria" w:hAnsi="Cambria" w:cs="Cambria" w:eastAsia="Cambria"/>
                <w:b/>
                <w:bCs/>
                <w:color w:val="1A1A1A"/>
                <w:sz w:val="18"/>
              </w:rPr>
              <w:t xml:space="preserve">Sperimentazione regionale toscana</w:t>
            </w:r>
          </w:p>
        </w:tc>
        <w:tc>
          <w:tcPr/>
          <w:p>
            <w:pPr>
              <w:pStyle w:val="Compact"/>
              <w:spacing w:after="40" w:before="40"/>
              <w:jc w:val="left"/>
            </w:pPr>
            <w:r>
              <w:rPr>
                <w:rFonts w:ascii="Cambria" w:hAnsi="Cambria" w:cs="Cambria" w:eastAsia="Cambria"/>
                <w:color w:val="1A1A1A"/>
                <w:sz w:val="18"/>
              </w:rPr>
              <w:t xml:space="preserve">Integrata nelle cure primarie; istituita per legge e attiva</w:t>
            </w:r>
          </w:p>
        </w:tc>
        <w:tc>
          <w:tcPr/>
          <w:p>
            <w:pPr>
              <w:pStyle w:val="Compact"/>
              <w:spacing w:after="40" w:before="40"/>
              <w:jc w:val="left"/>
            </w:pPr>
            <w:r>
              <w:rPr>
                <w:rFonts w:ascii="Cambria" w:hAnsi="Cambria" w:cs="Cambria" w:eastAsia="Cambria"/>
                <w:color w:val="1A1A1A"/>
                <w:sz w:val="18"/>
              </w:rPr>
              <w:t xml:space="preserve">~ 2.300 cittadini in diciotto mesi; valutazione positiva</w:t>
            </w:r>
          </w:p>
        </w:tc>
      </w:tr>
    </w:tbl>
    <w:p>
      <w:pPr>
        <w:pStyle w:val="BodyText"/>
      </w:pPr>
      <w:r>
        <w:rPr>
          <w:i/>
          <w:iCs/>
        </w:rPr>
        <w:t xml:space="preserve">Tabella D.2. I benchmark internazionali e l</w:t>
      </w:r>
      <w:r>
        <w:rPr>
          <w:b/>
          <w:bCs/>
          <w:i/>
          <w:iCs/>
        </w:rPr>
        <w:t xml:space="preserve">’</w:t>
      </w:r>
      <w:r>
        <w:rPr>
          <w:i/>
          <w:iCs/>
        </w:rPr>
        <w:t xml:space="preserve">esperienza toscana sul piano clinico e organizzativo (il confronto economico è nella Parte E).</w:t>
      </w:r>
    </w:p>
    <w:bookmarkEnd w:id="4407"/>
    <w:bookmarkStart w:id="4408" w:name="X6be4faf75f86bb643fe89e41d45a84483efdbd7"/>
    <w:p>
      <w:pPr>
        <w:pStyle w:val="Heading3"/>
      </w:pPr>
      <w:r>
        <w:t xml:space="preserve">D.4 La trasferibilità al contesto regionale</w:t>
      </w:r>
    </w:p>
    <w:p>
      <w:pPr>
        <w:pStyle w:val="FirstParagraph"/>
      </w:pPr>
      <w:r>
        <w:t xml:space="preserve">La trasposizione di questi risultati al contesto regionale richiede cautela metodologica: i programmi internazionali provengono da sistemi diversi per organizzazione, finanziamento e cultura, e le loro stime — di efficacia e, ancor più, economiche — non vanno trasferite meccanicamente, ma validate localmente. Per la Toscana, tuttavia, la trasferibilità è facilitata da una circostanza peculiare: la regione non deve trasferire soltanto stime estere, poiché dispone già di una base di evidenza locale costituita dalla propria sperimentazione, fondata sulla legge 39 del 2022, attiva dal settembre 2024 e progressivamente estesa, che nei primi diciotto mesi ha intercettato circa 2.300 cittadini con valutazione positiva. Il vantaggio peculiare della Toscana è dunque di poter validare il modello sui propri dati operativi; a ciò si aggiungono l’infrastruttura informatica regionale, la rete delle Case della Comunità e delle Case della Salute e la struttura amministrativa consolidata in sole tre Aziende USL, che costituiscono un terreno favorevole alla valutazione rigorosa di un modello già in esercizio. Una precisazione conclusiva si impone sul piano della correttezza: i rapporti beneficio-costo spesso citati nel dibattito pubblico sono semplificazioni divulgative; le stime metodologicamente fondate collocano il ritorno in intervalli più prudenti, ed è a questi che lo studio si attiene. Stabilita l’efficacia e graduata l’evidenza, la parte che segue ne traduce i risultati nella valutazione economica.</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E</w:t>
      </w:r>
    </w:p>
    <w:p>
      <w:pPr>
        <w:pStyle w:val="BodyText"/>
      </w:pPr>
      <w:r>
        <w:rPr>
          <w:b/>
          <w:bCs/>
        </w:rPr>
        <w:t xml:space="preserve">La valutazione economica</w:t>
      </w:r>
    </w:p>
    <w:p>
      <w:pPr>
        <w:pStyle w:val="BodyText"/>
      </w:pPr>
      <w:r>
        <w:rPr>
          <w:i/>
          <w:iCs/>
        </w:rPr>
        <w:t xml:space="preserve">Costi, esiti, costo-utilità, impatto sul bilancio, ritorno sociale e casi economico e finanziario</w:t>
      </w:r>
    </w:p>
    <w:p>
      <w:pPr>
        <w:pStyle w:val="BodyText"/>
      </w:pPr>
      <w:r>
        <w:t xml:space="preserve">Quinto dominio dell’HTA · il valore economico</w:t>
      </w:r>
    </w:p>
    <w:bookmarkEnd w:id="4408"/>
    <w:bookmarkEnd w:id="4404"/>
    <w:bookmarkStart w:id="4409" w:name="parte-e-la-valutazione-economica-4"/>
    <w:p>
      <w:pPr>
        <w:pStyle w:val="Heading2"/>
      </w:pPr>
      <w:r>
        <w:t xml:space="preserve">Parte E — La valutazione economica</w:t>
      </w:r>
    </w:p>
    <w:p>
      <w:pPr>
        <w:pStyle w:val="FirstParagraph"/>
      </w:pPr>
      <w:r>
        <w:t xml:space="preserve">Stabilita l’efficacia nella Parte D, questa quinta parte ne traduce i risultati in termini economici, secondo il quinto dominio della valutazione e nel rigore di reporting dello standard CHEERS. È la parte centrale per il decisore di finanza pubblica, e ne riassume l’esito già in apertura: il caso finanziario, riferito al solo bilancio sanitario, presenta un saldo lievemente negativo, mentre il caso economico, riferito alla collettività, è ampiamente positivo. La parte identifica e misura i costi (capitolo E.1) e gli esiti (E.2); ne deriva il costo-efficacia e il costo-utilità (E.3); analizza l’impatto sul bilancio (E.4); stima il ritorno sociale (E.5); e ricompone il caso economico e il caso finanziario (E.6). I valori sono espressi in tre scenari di copertura, e l’intera analisi tiene rigorosamente distinto ciò che lo Stato risparmia da ciò che la collettività guadagna.</w:t>
      </w:r>
    </w:p>
    <w:bookmarkStart w:id="4410" w:name="X50e7f2d95786623059288870e8c91b052877b25"/>
    <w:p>
      <w:pPr>
        <w:pStyle w:val="Heading3"/>
      </w:pPr>
      <w:r>
        <w:t xml:space="preserve">E.1 L’identificazione e la misura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A regime, esso è dell’ordine di 22 milioni di euro annui nello scenario conservativo, 33 nello scenario base e 44 nello scenario espansivo. La stima muove da un valore unitario per incarico dell’ordine di 55.000 euro annui, regionalizzato in proporzione alla popolazione e al numero di professionisti; la sperimentazione è peraltro già finanziata, ma su base libero-professionale e per un importo che copre una frazione ridotta del fabbisogno. La tabella seguente espone il costo per scenario; la condizione attuale, in cui il servizio è attivo in via sperimentale ma sottodimensionato, comporta una spesa dedicata dell’ordine di 0,7 milioni di euro annui.</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921"/>
        <w:gridCol w:w="1845"/>
        <w:gridCol w:w="199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 (mln €)</w:t>
            </w:r>
          </w:p>
        </w:tc>
      </w:tr>
      <w:tr>
        <w:tc>
          <w:tcPr/>
          <w:p>
            <w:pPr>
              <w:pStyle w:val="Compact"/>
              <w:spacing w:after="40" w:before="40"/>
              <w:jc w:val="left"/>
            </w:pPr>
            <w:r>
              <w:rPr>
                <w:rFonts w:ascii="Cambria" w:hAnsi="Cambria" w:cs="Cambria" w:eastAsia="Cambria"/>
                <w:b/>
                <w:bCs/>
                <w:color w:val="1A1A1A"/>
                <w:sz w:val="18"/>
              </w:rPr>
              <w:t xml:space="preserve">Attuale (sperimentazione, sottodimensionata)</w:t>
            </w:r>
          </w:p>
        </w:tc>
        <w:tc>
          <w:tcPr/>
          <w:p>
            <w:pPr>
              <w:pStyle w:val="Compact"/>
              <w:spacing w:after="40" w:before="40"/>
              <w:jc w:val="left"/>
            </w:pPr>
            <w:r>
              <w:rPr>
                <w:rFonts w:ascii="Cambria" w:hAnsi="Cambria" w:cs="Cambria" w:eastAsia="Cambria"/>
                <w:color w:val="1A1A1A"/>
                <w:sz w:val="18"/>
              </w:rPr>
              <w:t xml:space="preserve">~ 5% del fabbisogno</w:t>
            </w:r>
          </w:p>
        </w:tc>
        <w:tc>
          <w:tcPr/>
          <w:p>
            <w:pPr>
              <w:pStyle w:val="Compact"/>
              <w:spacing w:after="40" w:before="40"/>
              <w:jc w:val="left"/>
            </w:pPr>
            <w:r>
              <w:rPr>
                <w:rFonts w:ascii="Cambria" w:hAnsi="Cambria" w:cs="Cambria" w:eastAsia="Cambria"/>
                <w:color w:val="1A1A1A"/>
                <w:sz w:val="18"/>
              </w:rPr>
              <w:t xml:space="preserve">~ 0,7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Conservativo</w:t>
            </w:r>
          </w:p>
        </w:tc>
        <w:tc>
          <w:tcPr>
            <w:shd w:val="clear" w:color="auto" w:fill="F4F1EC"/>
          </w:tcPr>
          <w:p>
            <w:pPr>
              <w:pStyle w:val="Compact"/>
              <w:spacing w:after="40" w:before="40"/>
              <w:jc w:val="left"/>
            </w:pPr>
            <w:r>
              <w:rPr>
                <w:rFonts w:ascii="Cambria" w:hAnsi="Cambria" w:cs="Cambria" w:eastAsia="Cambria"/>
                <w:color w:val="1A1A1A"/>
                <w:sz w:val="18"/>
              </w:rPr>
              <w:t xml:space="preserve">~ 400</w:t>
            </w:r>
          </w:p>
        </w:tc>
        <w:tc>
          <w:tcPr>
            <w:shd w:val="clear" w:color="auto" w:fill="F4F1EC"/>
          </w:tcPr>
          <w:p>
            <w:pPr>
              <w:pStyle w:val="Compact"/>
              <w:spacing w:after="40" w:before="40"/>
              <w:jc w:val="left"/>
            </w:pPr>
            <w:r>
              <w:rPr>
                <w:rFonts w:ascii="Cambria" w:hAnsi="Cambria" w:cs="Cambria" w:eastAsia="Cambria"/>
                <w:color w:val="1A1A1A"/>
                <w:sz w:val="18"/>
              </w:rPr>
              <w:t xml:space="preserve">~ 22</w:t>
            </w:r>
          </w:p>
        </w:tc>
      </w:tr>
      <w:tr>
        <w:tc>
          <w:tcPr/>
          <w:p>
            <w:pPr>
              <w:pStyle w:val="Compact"/>
              <w:spacing w:after="40" w:before="40"/>
              <w:jc w:val="left"/>
            </w:pPr>
            <w:r>
              <w:rPr>
                <w:rFonts w:ascii="Cambria" w:hAnsi="Cambria" w:cs="Cambria" w:eastAsia="Cambria"/>
                <w:b/>
                <w:bCs/>
                <w:color w:val="1A1A1A"/>
                <w:sz w:val="18"/>
              </w:rPr>
              <w:t xml:space="preserve">Base</w:t>
            </w:r>
          </w:p>
        </w:tc>
        <w:tc>
          <w:tcPr/>
          <w:p>
            <w:pPr>
              <w:pStyle w:val="Compact"/>
              <w:spacing w:after="40" w:before="40"/>
              <w:jc w:val="left"/>
            </w:pPr>
            <w:r>
              <w:rPr>
                <w:rFonts w:ascii="Cambria" w:hAnsi="Cambria" w:cs="Cambria" w:eastAsia="Cambria"/>
                <w:color w:val="1A1A1A"/>
                <w:sz w:val="18"/>
              </w:rPr>
              <w:t xml:space="preserve">~ 600</w:t>
            </w:r>
          </w:p>
        </w:tc>
        <w:tc>
          <w:tcPr/>
          <w:p>
            <w:pPr>
              <w:pStyle w:val="Compact"/>
              <w:spacing w:after="40" w:before="40"/>
              <w:jc w:val="left"/>
            </w:pPr>
            <w:r>
              <w:rPr>
                <w:rFonts w:ascii="Cambria" w:hAnsi="Cambria" w:cs="Cambria" w:eastAsia="Cambria"/>
                <w:color w:val="1A1A1A"/>
                <w:sz w:val="18"/>
              </w:rPr>
              <w:t xml:space="preserve">~ 33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Espansivo</w:t>
            </w:r>
          </w:p>
        </w:tc>
        <w:tc>
          <w:tcPr>
            <w:shd w:val="clear" w:color="auto" w:fill="F4F1EC"/>
          </w:tcPr>
          <w:p>
            <w:pPr>
              <w:pStyle w:val="Compact"/>
              <w:spacing w:after="40" w:before="40"/>
              <w:jc w:val="left"/>
            </w:pPr>
            <w:r>
              <w:rPr>
                <w:rFonts w:ascii="Cambria" w:hAnsi="Cambria" w:cs="Cambria" w:eastAsia="Cambria"/>
                <w:color w:val="1A1A1A"/>
                <w:sz w:val="18"/>
              </w:rPr>
              <w:t xml:space="preserve">~ 790</w:t>
            </w:r>
          </w:p>
        </w:tc>
        <w:tc>
          <w:tcPr>
            <w:shd w:val="clear" w:color="auto" w:fill="F4F1EC"/>
          </w:tcPr>
          <w:p>
            <w:pPr>
              <w:pStyle w:val="Compact"/>
              <w:spacing w:after="40" w:before="40"/>
              <w:jc w:val="left"/>
            </w:pPr>
            <w:r>
              <w:rPr>
                <w:rFonts w:ascii="Cambria" w:hAnsi="Cambria" w:cs="Cambria" w:eastAsia="Cambria"/>
                <w:color w:val="1A1A1A"/>
                <w:sz w:val="18"/>
              </w:rPr>
              <w:t xml:space="preserve">~ 44</w:t>
            </w:r>
          </w:p>
        </w:tc>
      </w:tr>
    </w:tbl>
    <w:p>
      <w:pPr>
        <w:pStyle w:val="BodyText"/>
      </w:pPr>
      <w:r>
        <w:rPr>
          <w:i/>
          <w:iCs/>
        </w:rPr>
        <w:t xml:space="preserve">Tabella E.1. Il costo del servizio per scenario di copertura. Il servizio è oggi attivo in via sperimentale, ma dimensionato a circa il 5% del fabbisogno.</w:t>
      </w:r>
    </w:p>
    <w:bookmarkEnd w:id="4410"/>
    <w:bookmarkStart w:id="4411" w:name="Xa6477944b4f964cf6c480e750528100b8f3a267"/>
    <w:p>
      <w:pPr>
        <w:pStyle w:val="Heading3"/>
      </w:pPr>
      <w:r>
        <w:t xml:space="preserve">E.2 L’identificazione e la misura degli esiti</w:t>
      </w:r>
    </w:p>
    <w:p>
      <w:pPr>
        <w:pStyle w:val="FirstParagraph"/>
      </w:pPr>
      <w:r>
        <w:t xml:space="preserve">Gli esiti di salute sono espressi in anni di vita ponderati per la qualità e in esiti clinici validati; i tassi di recupero e di miglioramento sono desunti dai benchmark consolidati e applicati in via prudenziale. Le misure impiegate, nei soli punteggi complessivi, sono il questionario a nove voci sui sintomi depressivi e la scala a sette voci per il disturbo d’ansia, con un tasso di recupero di riferimento dell’ordine del 50%, coerente con i dati reali del programma inglese e con i primi dati della sperimentazione regionale.</w:t>
      </w:r>
    </w:p>
    <w:bookmarkEnd w:id="4411"/>
    <w:bookmarkStart w:id="4412" w:name="Xbb63bd4e120a4b857bb12de129599a2dd2dc366"/>
    <w:p>
      <w:pPr>
        <w:pStyle w:val="Heading3"/>
      </w:pPr>
      <w:r>
        <w:t xml:space="preserve">E.3 Il costo-efficacia e il costo-utilità</w:t>
      </w:r>
    </w:p>
    <w:p>
      <w:pPr>
        <w:pStyle w:val="FirstParagraph"/>
      </w:pPr>
      <w:r>
        <w:t xml:space="preserve">Il costo per anno di vita ponderato per la qualità si colloca al di sotto della soglia comunemente adottata; l’analisi per paziente, sviluppata in dettaglio nella Parte F, indica anzi condizioni di dominanza dell’intervento rispetto all’opzione di non intervento, ossia un esito al tempo stesso migliore e meno costoso sul ciclo di vita del disturbo. La soglia di riferimento adottata è dell’ordine di 30.000 euro per anno di vita ponderato per la qualità, in linea con la prassi internazionale.</w:t>
      </w:r>
    </w:p>
    <w:bookmarkEnd w:id="4412"/>
    <w:bookmarkStart w:id="4413" w:name="e.4-limpatto-sul-bilancio-5"/>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e dei ricoveri e prestazioni specialistiche evitabili; per la Toscana il canale della mobilità recuperata è inapplicabile come leva di risparmio, poiché la regione è nettamente creditrice. I risparmi diretti complessivi sono stimati nell’ordine di 14, 22 e 34 milioni di euro annui nei tre scenari, collocati prudenzialmente nella parte medio-bassa dell’intervallo. Il saldo diretto, differenza tra risparmi diretti e costo del servizio, è dell’ordine di −8, −11 e −10 milioni di euro annui: lievemente negativo, coerentemente con la condizione di regione creditrice, per la quale il canale della mobilità non concorre al pareggio. Questo saldo negativo è dichiarato senza attenuazioni e non rappresenta una debolezza dell’analisi, ma il suo profilo onesto: a differenza della Puglia, dove il recupero della mobilità passiva concorre al pareggio diretto, in Toscana il valore dell’intervento risiede in misura preponderante nelle ricadute sociali, pur conservando, nel contesto delle liste di attesa, una salienza diretta non trascurabile. La tabella seguente dettaglia i canali e il saldo.</w:t>
      </w:r>
    </w:p>
    <w:tbl>
      <w:tblPr>
        <w:tblStyle w:val="Table"/>
        <w:tblW w:type="pct" w:w="489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454"/>
        <w:gridCol w:w="1454"/>
        <w:gridCol w:w="14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3</w:t>
            </w:r>
          </w:p>
        </w:tc>
        <w:tc>
          <w:tcPr/>
          <w:p>
            <w:pPr>
              <w:pStyle w:val="Compact"/>
              <w:spacing w:after="40" w:before="40"/>
              <w:jc w:val="left"/>
            </w:pPr>
            <w:r>
              <w:rPr>
                <w:rFonts w:ascii="Cambria" w:hAnsi="Cambria" w:cs="Cambria" w:eastAsia="Cambria"/>
                <w:color w:val="1A1A1A"/>
                <w:sz w:val="18"/>
              </w:rPr>
              <w:t xml:space="preserve">4</w:t>
            </w:r>
          </w:p>
        </w:tc>
        <w:tc>
          <w:tcPr/>
          <w:p>
            <w:pPr>
              <w:pStyle w:val="Compact"/>
              <w:spacing w:after="40" w:before="40"/>
              <w:jc w:val="left"/>
            </w:pPr>
            <w:r>
              <w:rPr>
                <w:rFonts w:ascii="Cambria" w:hAnsi="Cambria" w:cs="Cambria" w:eastAsia="Cambria"/>
                <w:color w:val="1A1A1A"/>
                <w:sz w:val="18"/>
              </w:rPr>
              <w:t xml:space="preserve">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Farmaceutica</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c>
          <w:tcPr>
            <w:shd w:val="clear" w:color="auto" w:fill="F4F1EC"/>
          </w:tcPr>
          <w:p>
            <w:pPr>
              <w:pStyle w:val="Compact"/>
              <w:spacing w:after="40" w:before="40"/>
              <w:jc w:val="left"/>
            </w:pPr>
            <w:r>
              <w:rPr>
                <w:rFonts w:ascii="Cambria" w:hAnsi="Cambria" w:cs="Cambria" w:eastAsia="Cambria"/>
                <w:color w:val="1A1A1A"/>
                <w:sz w:val="18"/>
              </w:rPr>
              <w:t xml:space="preserve">4</w:t>
            </w:r>
          </w:p>
        </w:tc>
        <w:tc>
          <w:tcPr>
            <w:shd w:val="clear" w:color="auto" w:fill="F4F1EC"/>
          </w:tcPr>
          <w:p>
            <w:pPr>
              <w:pStyle w:val="Compact"/>
              <w:spacing w:after="40" w:before="40"/>
              <w:jc w:val="left"/>
            </w:pPr>
            <w:r>
              <w:rPr>
                <w:rFonts w:ascii="Cambria" w:hAnsi="Cambria" w:cs="Cambria" w:eastAsia="Cambria"/>
                <w:color w:val="1A1A1A"/>
                <w:sz w:val="18"/>
              </w:rPr>
              <w:t xml:space="preserve">6</w:t>
            </w:r>
          </w:p>
        </w:tc>
      </w:tr>
      <w:tr>
        <w:tc>
          <w:tcPr/>
          <w:p>
            <w:pPr>
              <w:pStyle w:val="Compact"/>
              <w:spacing w:after="40" w:before="40"/>
              <w:jc w:val="left"/>
            </w:pPr>
            <w:r>
              <w:rPr>
                <w:rFonts w:ascii="Cambria" w:hAnsi="Cambria" w:cs="Cambria" w:eastAsia="Cambria"/>
                <w:b/>
                <w:bCs/>
                <w:color w:val="1A1A1A"/>
                <w:sz w:val="18"/>
              </w:rPr>
              <w:t xml:space="preserve">Ricoveri e specialistica</w:t>
            </w:r>
          </w:p>
        </w:tc>
        <w:tc>
          <w:tcPr/>
          <w:p>
            <w:pPr>
              <w:pStyle w:val="Compact"/>
              <w:spacing w:after="40" w:before="40"/>
              <w:jc w:val="left"/>
            </w:pPr>
            <w:r>
              <w:rPr>
                <w:rFonts w:ascii="Cambria" w:hAnsi="Cambria" w:cs="Cambria" w:eastAsia="Cambria"/>
                <w:color w:val="1A1A1A"/>
                <w:sz w:val="18"/>
              </w:rPr>
              <w:t xml:space="preserve">8</w:t>
            </w:r>
          </w:p>
        </w:tc>
        <w:tc>
          <w:tcPr/>
          <w:p>
            <w:pPr>
              <w:pStyle w:val="Compact"/>
              <w:spacing w:after="40" w:before="40"/>
              <w:jc w:val="left"/>
            </w:pPr>
            <w:r>
              <w:rPr>
                <w:rFonts w:ascii="Cambria" w:hAnsi="Cambria" w:cs="Cambria" w:eastAsia="Cambria"/>
                <w:color w:val="1A1A1A"/>
                <w:sz w:val="18"/>
              </w:rPr>
              <w:t xml:space="preserve">14</w:t>
            </w:r>
          </w:p>
        </w:tc>
        <w:tc>
          <w:tcPr/>
          <w:p>
            <w:pPr>
              <w:pStyle w:val="Compact"/>
              <w:spacing w:after="40" w:before="40"/>
              <w:jc w:val="left"/>
            </w:pPr>
            <w:r>
              <w:rPr>
                <w:rFonts w:ascii="Cambria" w:hAnsi="Cambria" w:cs="Cambria" w:eastAsia="Cambria"/>
                <w:color w:val="1A1A1A"/>
                <w:sz w:val="18"/>
              </w:rPr>
              <w:t xml:space="preserve">23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recuperata (inapplicabile)</w:t>
            </w:r>
          </w:p>
        </w:tc>
        <w:tc>
          <w:tcPr>
            <w:shd w:val="clear" w:color="auto" w:fill="F4F1EC"/>
          </w:tcPr>
          <w:p>
            <w:pPr>
              <w:pStyle w:val="Compact"/>
              <w:spacing w:after="40" w:before="40"/>
              <w:jc w:val="left"/>
            </w:pPr>
            <w:r>
              <w:rPr>
                <w:rFonts w:ascii="Cambria" w:hAnsi="Cambria" w:cs="Cambria" w:eastAsia="Cambria"/>
                <w:color w:val="1A1A1A"/>
                <w:sz w:val="18"/>
              </w:rPr>
              <w:t xml:space="preserve">0</w:t>
            </w:r>
          </w:p>
        </w:tc>
        <w:tc>
          <w:tcPr>
            <w:shd w:val="clear" w:color="auto" w:fill="F4F1EC"/>
          </w:tcPr>
          <w:p>
            <w:pPr>
              <w:pStyle w:val="Compact"/>
              <w:spacing w:after="40" w:before="40"/>
              <w:jc w:val="left"/>
            </w:pPr>
            <w:r>
              <w:rPr>
                <w:rFonts w:ascii="Cambria" w:hAnsi="Cambria" w:cs="Cambria" w:eastAsia="Cambria"/>
                <w:color w:val="1A1A1A"/>
                <w:sz w:val="18"/>
              </w:rPr>
              <w:t xml:space="preserve">0</w:t>
            </w:r>
          </w:p>
        </w:tc>
        <w:tc>
          <w:tcPr>
            <w:shd w:val="clear" w:color="auto" w:fill="F4F1EC"/>
          </w:tcPr>
          <w:p>
            <w:pPr>
              <w:pStyle w:val="Compact"/>
              <w:spacing w:after="40" w:before="40"/>
              <w:jc w:val="left"/>
            </w:pPr>
            <w:r>
              <w:rPr>
                <w:rFonts w:ascii="Cambria" w:hAnsi="Cambria" w:cs="Cambria" w:eastAsia="Cambria"/>
                <w:color w:val="1A1A1A"/>
                <w:sz w:val="18"/>
              </w:rPr>
              <w:t xml:space="preserve">0</w:t>
            </w:r>
          </w:p>
        </w:tc>
      </w:tr>
      <w:tr>
        <w:tc>
          <w:tcPr/>
          <w:p>
            <w:pPr>
              <w:pStyle w:val="Compact"/>
              <w:spacing w:after="40" w:before="40"/>
              <w:jc w:val="left"/>
            </w:pPr>
            <w:r>
              <w:rPr>
                <w:rFonts w:ascii="Cambria" w:hAnsi="Cambria" w:cs="Cambria" w:eastAsia="Cambria"/>
                <w:b/>
                <w:bCs/>
                <w:color w:val="1A1A1A"/>
                <w:sz w:val="18"/>
              </w:rPr>
              <w:t xml:space="preserve">Risparmi diretti (totale)</w:t>
            </w:r>
          </w:p>
        </w:tc>
        <w:tc>
          <w:tcPr/>
          <w:p>
            <w:pPr>
              <w:pStyle w:val="Compact"/>
              <w:spacing w:after="40" w:before="40"/>
              <w:jc w:val="left"/>
            </w:pPr>
            <w:r>
              <w:rPr>
                <w:rFonts w:ascii="Cambria" w:hAnsi="Cambria" w:cs="Cambria" w:eastAsia="Cambria"/>
                <w:color w:val="1A1A1A"/>
                <w:sz w:val="18"/>
              </w:rPr>
              <w:t xml:space="preserve">~ 14</w:t>
            </w:r>
          </w:p>
        </w:tc>
        <w:tc>
          <w:tcPr/>
          <w:p>
            <w:pPr>
              <w:pStyle w:val="Compact"/>
              <w:spacing w:after="40" w:before="40"/>
              <w:jc w:val="left"/>
            </w:pPr>
            <w:r>
              <w:rPr>
                <w:rFonts w:ascii="Cambria" w:hAnsi="Cambria" w:cs="Cambria" w:eastAsia="Cambria"/>
                <w:color w:val="1A1A1A"/>
                <w:sz w:val="18"/>
              </w:rPr>
              <w:t xml:space="preserve">~ 22</w:t>
            </w:r>
          </w:p>
        </w:tc>
        <w:tc>
          <w:tcPr/>
          <w:p>
            <w:pPr>
              <w:pStyle w:val="Compact"/>
              <w:spacing w:after="40" w:before="40"/>
              <w:jc w:val="left"/>
            </w:pPr>
            <w:r>
              <w:rPr>
                <w:rFonts w:ascii="Cambria" w:hAnsi="Cambria" w:cs="Cambria" w:eastAsia="Cambria"/>
                <w:color w:val="1A1A1A"/>
                <w:sz w:val="18"/>
              </w:rPr>
              <w:t xml:space="preserve">~ 34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22</w:t>
            </w:r>
          </w:p>
        </w:tc>
        <w:tc>
          <w:tcPr>
            <w:shd w:val="clear" w:color="auto" w:fill="F4F1EC"/>
          </w:tcPr>
          <w:p>
            <w:pPr>
              <w:pStyle w:val="Compact"/>
              <w:spacing w:after="40" w:before="40"/>
              <w:jc w:val="left"/>
            </w:pPr>
            <w:r>
              <w:rPr>
                <w:rFonts w:ascii="Cambria" w:hAnsi="Cambria" w:cs="Cambria" w:eastAsia="Cambria"/>
                <w:color w:val="1A1A1A"/>
                <w:sz w:val="18"/>
              </w:rPr>
              <w:t xml:space="preserve">~ 33</w:t>
            </w:r>
          </w:p>
        </w:tc>
        <w:tc>
          <w:tcPr>
            <w:shd w:val="clear" w:color="auto" w:fill="F4F1EC"/>
          </w:tcPr>
          <w:p>
            <w:pPr>
              <w:pStyle w:val="Compact"/>
              <w:spacing w:after="40" w:before="40"/>
              <w:jc w:val="left"/>
            </w:pPr>
            <w:r>
              <w:rPr>
                <w:rFonts w:ascii="Cambria" w:hAnsi="Cambria" w:cs="Cambria" w:eastAsia="Cambria"/>
                <w:color w:val="1A1A1A"/>
                <w:sz w:val="18"/>
              </w:rPr>
              <w:t xml:space="preserve">~ 44</w:t>
            </w:r>
          </w:p>
        </w:tc>
      </w:tr>
      <w:tr>
        <w:tc>
          <w:tcPr/>
          <w:p>
            <w:pPr>
              <w:pStyle w:val="Compact"/>
              <w:spacing w:after="40" w:before="40"/>
              <w:jc w:val="left"/>
            </w:pPr>
            <w:r>
              <w:rPr>
                <w:rFonts w:ascii="Cambria" w:hAnsi="Cambria" w:cs="Cambria" w:eastAsia="Cambria"/>
                <w:b/>
                <w:bCs/>
                <w:color w:val="1A1A1A"/>
                <w:sz w:val="18"/>
              </w:rPr>
              <w:t xml:space="preserve">Saldo diretto (solo SSR)</w:t>
            </w:r>
          </w:p>
        </w:tc>
        <w:tc>
          <w:tcPr/>
          <w:p>
            <w:pPr>
              <w:pStyle w:val="Compact"/>
              <w:spacing w:after="40" w:before="40"/>
              <w:jc w:val="left"/>
            </w:pPr>
            <w:r>
              <w:rPr>
                <w:rFonts w:ascii="Cambria" w:hAnsi="Cambria" w:cs="Cambria" w:eastAsia="Cambria"/>
                <w:color w:val="1A1A1A"/>
                <w:sz w:val="18"/>
              </w:rPr>
              <w:t xml:space="preserve">~ −8</w:t>
            </w:r>
          </w:p>
        </w:tc>
        <w:tc>
          <w:tcPr/>
          <w:p>
            <w:pPr>
              <w:pStyle w:val="Compact"/>
              <w:spacing w:after="40" w:before="40"/>
              <w:jc w:val="left"/>
            </w:pPr>
            <w:r>
              <w:rPr>
                <w:rFonts w:ascii="Cambria" w:hAnsi="Cambria" w:cs="Cambria" w:eastAsia="Cambria"/>
                <w:color w:val="1A1A1A"/>
                <w:sz w:val="18"/>
              </w:rPr>
              <w:t xml:space="preserve">~ −11</w:t>
            </w:r>
          </w:p>
        </w:tc>
        <w:tc>
          <w:tcPr/>
          <w:p>
            <w:pPr>
              <w:pStyle w:val="Compact"/>
              <w:spacing w:after="40" w:before="40"/>
              <w:jc w:val="left"/>
            </w:pPr>
            <w:r>
              <w:rPr>
                <w:rFonts w:ascii="Cambria" w:hAnsi="Cambria" w:cs="Cambria" w:eastAsia="Cambria"/>
                <w:color w:val="1A1A1A"/>
                <w:sz w:val="18"/>
              </w:rPr>
              <w:t xml:space="preserve">~ −10</w:t>
            </w:r>
          </w:p>
        </w:tc>
      </w:tr>
    </w:tbl>
    <w:p>
      <w:pPr>
        <w:pStyle w:val="BodyText"/>
      </w:pPr>
      <w:r>
        <w:rPr>
          <w:i/>
          <w:iCs/>
        </w:rPr>
        <w:t xml:space="preserve">Tabella E.2. I risparmi diretti per canale e il saldo diretto sul bilancio sanitario, per scenario. Il canale della mobilità è nullo (regione creditrice) e il saldo diretto è lievemente negativo.</w:t>
      </w:r>
    </w:p>
    <w:bookmarkEnd w:id="4413"/>
    <w:bookmarkStart w:id="4414" w:name="e.5-il-ritorno-sociale-5"/>
    <w:p>
      <w:pPr>
        <w:pStyle w:val="Heading3"/>
      </w:pPr>
      <w:r>
        <w:t xml:space="preserve">E.5 Il ritorno sociale</w:t>
      </w:r>
    </w:p>
    <w:p>
      <w:pPr>
        <w:pStyle w:val="FirstParagraph"/>
      </w:pPr>
      <w:r>
        <w:t xml:space="preserve">Il valore dell’intervento, in Toscana, si manifesta soprattutto al di fuori del bilancio sanitario. Le ricadute economico-sociali comprendono la maggiore produttività recuperata, la riduzione delle nuove invalidità e dei pensionamenti anticipati, le efficienze nel sistema dei servizi di salute mentale e il sollievo alle figure di cura familiari; in una delle regioni più anziane d’Italia, a forte presenza di cronicità, la produttività recuperata e il sollievo ai familiari sono le voci di maggior peso. Stimate secondo i metodi del ritorno sociale sull’investimento e con criteri conservativi, queste ricadute sono dell’ordine di 71 milioni di euro annui nello scenario conservativo, 133 nello scenario base e 207 nello scenario espansivo.</w:t>
      </w:r>
    </w:p>
    <w:bookmarkEnd w:id="4414"/>
    <w:bookmarkStart w:id="4415" w:name="Xc674c258a91a5d30932c6f2f0b3fa4f09aa1cf2"/>
    <w:p>
      <w:pPr>
        <w:pStyle w:val="Heading3"/>
      </w:pPr>
      <w:r>
        <w:t xml:space="preserve">E.6 Il caso economico e il caso finanziario</w:t>
      </w:r>
    </w:p>
    <w:p>
      <w:pPr>
        <w:pStyle w:val="FirstParagraph"/>
      </w:pPr>
      <w:r>
        <w:t xml:space="preserve">La ricomposizione delle grandezze restituisce il quadro complessivo. Il ritorno complessivo, somma dei risparmi diretti e delle ricadute sociali, è dell’ordine di 85, 155 e 241 milioni di euro annui nei tre scenari; al netto del costo del servizio, il saldo complessivo è dell’ordine di +63, +122 e +197 milioni di euro annui. Il rapporto beneficio-costo complessivo è conseguentemente dell’ordine di 3,9:1 nello scenario conservativo, 4,7:1 nel base e 5,5:1 nell’espansivo, in linea con il valore validato sulle altre regioni. La lettura corretta del risultato passa per la distinzione, propria del Five Case Model, tra il caso finanziario — riferito al solo bilancio sanitario e lievemente negativo — e il caso economico — riferito alla collettività e ampiamente positivo. Sul piano della sostenibilità, il costo del servizio si colloca nell’ordine dello 0,3–0,5% di un Fondo Sanitario Regionale dell’ordine di 8 miliardi di euro; benché la regione operi sotto pressione finanziaria, l’importo è contenuto e una quota è già a bilancio per la sperimentazione attiva. Resta la lacuna prioritaria, già dichiarata: le grandezze economiche sono in parte ricostruite per quota di popolazione e non estratte dai conti regionali certificati, la cui verifica è condizione per la presentazione alle autorità di finanza pubblica, ed è in Toscana agevolata dai dati della sperimentazione. La tabella seguente sintetizza il caso economico e il caso finanziario.</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14</w:t>
            </w:r>
          </w:p>
        </w:tc>
        <w:tc>
          <w:tcPr/>
          <w:p>
            <w:pPr>
              <w:pStyle w:val="Compact"/>
              <w:spacing w:after="40" w:before="40"/>
              <w:jc w:val="left"/>
            </w:pPr>
            <w:r>
              <w:rPr>
                <w:rFonts w:ascii="Cambria" w:hAnsi="Cambria" w:cs="Cambria" w:eastAsia="Cambria"/>
                <w:color w:val="1A1A1A"/>
                <w:sz w:val="18"/>
              </w:rPr>
              <w:t xml:space="preserve">~ 22</w:t>
            </w:r>
          </w:p>
        </w:tc>
        <w:tc>
          <w:tcPr/>
          <w:p>
            <w:pPr>
              <w:pStyle w:val="Compact"/>
              <w:spacing w:after="40" w:before="40"/>
              <w:jc w:val="left"/>
            </w:pPr>
            <w:r>
              <w:rPr>
                <w:rFonts w:ascii="Cambria" w:hAnsi="Cambria" w:cs="Cambria" w:eastAsia="Cambria"/>
                <w:color w:val="1A1A1A"/>
                <w:sz w:val="18"/>
              </w:rPr>
              <w:t xml:space="preserve">~ 34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71</w:t>
            </w:r>
          </w:p>
        </w:tc>
        <w:tc>
          <w:tcPr>
            <w:shd w:val="clear" w:color="auto" w:fill="F4F1EC"/>
          </w:tcPr>
          <w:p>
            <w:pPr>
              <w:pStyle w:val="Compact"/>
              <w:spacing w:after="40" w:before="40"/>
              <w:jc w:val="left"/>
            </w:pPr>
            <w:r>
              <w:rPr>
                <w:rFonts w:ascii="Cambria" w:hAnsi="Cambria" w:cs="Cambria" w:eastAsia="Cambria"/>
                <w:color w:val="1A1A1A"/>
                <w:sz w:val="18"/>
              </w:rPr>
              <w:t xml:space="preserve">~ 133</w:t>
            </w:r>
          </w:p>
        </w:tc>
        <w:tc>
          <w:tcPr>
            <w:shd w:val="clear" w:color="auto" w:fill="F4F1EC"/>
          </w:tcPr>
          <w:p>
            <w:pPr>
              <w:pStyle w:val="Compact"/>
              <w:spacing w:after="40" w:before="40"/>
              <w:jc w:val="left"/>
            </w:pPr>
            <w:r>
              <w:rPr>
                <w:rFonts w:ascii="Cambria" w:hAnsi="Cambria" w:cs="Cambria" w:eastAsia="Cambria"/>
                <w:color w:val="1A1A1A"/>
                <w:sz w:val="18"/>
              </w:rPr>
              <w:t xml:space="preserve">~ 207</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 85</w:t>
            </w:r>
          </w:p>
        </w:tc>
        <w:tc>
          <w:tcPr/>
          <w:p>
            <w:pPr>
              <w:pStyle w:val="Compact"/>
              <w:spacing w:after="40" w:before="40"/>
              <w:jc w:val="left"/>
            </w:pPr>
            <w:r>
              <w:rPr>
                <w:rFonts w:ascii="Cambria" w:hAnsi="Cambria" w:cs="Cambria" w:eastAsia="Cambria"/>
                <w:color w:val="1A1A1A"/>
                <w:sz w:val="18"/>
              </w:rPr>
              <w:t xml:space="preserve">~ 155</w:t>
            </w:r>
          </w:p>
        </w:tc>
        <w:tc>
          <w:tcPr/>
          <w:p>
            <w:pPr>
              <w:pStyle w:val="Compact"/>
              <w:spacing w:after="40" w:before="40"/>
              <w:jc w:val="left"/>
            </w:pPr>
            <w:r>
              <w:rPr>
                <w:rFonts w:ascii="Cambria" w:hAnsi="Cambria" w:cs="Cambria" w:eastAsia="Cambria"/>
                <w:color w:val="1A1A1A"/>
                <w:sz w:val="18"/>
              </w:rPr>
              <w:t xml:space="preserve">~ 241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22</w:t>
            </w:r>
          </w:p>
        </w:tc>
        <w:tc>
          <w:tcPr>
            <w:shd w:val="clear" w:color="auto" w:fill="F4F1EC"/>
          </w:tcPr>
          <w:p>
            <w:pPr>
              <w:pStyle w:val="Compact"/>
              <w:spacing w:after="40" w:before="40"/>
              <w:jc w:val="left"/>
            </w:pPr>
            <w:r>
              <w:rPr>
                <w:rFonts w:ascii="Cambria" w:hAnsi="Cambria" w:cs="Cambria" w:eastAsia="Cambria"/>
                <w:color w:val="1A1A1A"/>
                <w:sz w:val="18"/>
              </w:rPr>
              <w:t xml:space="preserve">~ 33</w:t>
            </w:r>
          </w:p>
        </w:tc>
        <w:tc>
          <w:tcPr>
            <w:shd w:val="clear" w:color="auto" w:fill="F4F1EC"/>
          </w:tcPr>
          <w:p>
            <w:pPr>
              <w:pStyle w:val="Compact"/>
              <w:spacing w:after="40" w:before="40"/>
              <w:jc w:val="left"/>
            </w:pPr>
            <w:r>
              <w:rPr>
                <w:rFonts w:ascii="Cambria" w:hAnsi="Cambria" w:cs="Cambria" w:eastAsia="Cambria"/>
                <w:color w:val="1A1A1A"/>
                <w:sz w:val="18"/>
              </w:rPr>
              <w:t xml:space="preserve">~ 44</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−8</w:t>
            </w:r>
          </w:p>
        </w:tc>
        <w:tc>
          <w:tcPr/>
          <w:p>
            <w:pPr>
              <w:pStyle w:val="Compact"/>
              <w:spacing w:after="40" w:before="40"/>
              <w:jc w:val="left"/>
            </w:pPr>
            <w:r>
              <w:rPr>
                <w:rFonts w:ascii="Cambria" w:hAnsi="Cambria" w:cs="Cambria" w:eastAsia="Cambria"/>
                <w:color w:val="1A1A1A"/>
                <w:sz w:val="18"/>
              </w:rPr>
              <w:t xml:space="preserve">~ −11</w:t>
            </w:r>
          </w:p>
        </w:tc>
        <w:tc>
          <w:tcPr/>
          <w:p>
            <w:pPr>
              <w:pStyle w:val="Compact"/>
              <w:spacing w:after="40" w:before="40"/>
              <w:jc w:val="left"/>
            </w:pPr>
            <w:r>
              <w:rPr>
                <w:rFonts w:ascii="Cambria" w:hAnsi="Cambria" w:cs="Cambria" w:eastAsia="Cambria"/>
                <w:color w:val="1A1A1A"/>
                <w:sz w:val="18"/>
              </w:rPr>
              <w:t xml:space="preserve">~ −10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+63</w:t>
            </w:r>
          </w:p>
        </w:tc>
        <w:tc>
          <w:tcPr>
            <w:shd w:val="clear" w:color="auto" w:fill="F4F1EC"/>
          </w:tcPr>
          <w:p>
            <w:pPr>
              <w:pStyle w:val="Compact"/>
              <w:spacing w:after="40" w:before="40"/>
              <w:jc w:val="left"/>
            </w:pPr>
            <w:r>
              <w:rPr>
                <w:rFonts w:ascii="Cambria" w:hAnsi="Cambria" w:cs="Cambria" w:eastAsia="Cambria"/>
                <w:color w:val="1A1A1A"/>
                <w:sz w:val="18"/>
              </w:rPr>
              <w:t xml:space="preserve">+122</w:t>
            </w:r>
          </w:p>
        </w:tc>
        <w:tc>
          <w:tcPr>
            <w:shd w:val="clear" w:color="auto" w:fill="F4F1EC"/>
          </w:tcPr>
          <w:p>
            <w:pPr>
              <w:pStyle w:val="Compact"/>
              <w:spacing w:after="40" w:before="40"/>
              <w:jc w:val="left"/>
            </w:pPr>
            <w:r>
              <w:rPr>
                <w:rFonts w:ascii="Cambria" w:hAnsi="Cambria" w:cs="Cambria" w:eastAsia="Cambria"/>
                <w:color w:val="1A1A1A"/>
                <w:sz w:val="18"/>
              </w:rPr>
              <w:t xml:space="preserve">+197</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~3,9:1</w:t>
            </w:r>
          </w:p>
        </w:tc>
        <w:tc>
          <w:tcPr/>
          <w:p>
            <w:pPr>
              <w:pStyle w:val="Compact"/>
              <w:spacing w:after="40" w:before="40"/>
              <w:jc w:val="left"/>
            </w:pPr>
            <w:r>
              <w:rPr>
                <w:rFonts w:ascii="Cambria" w:hAnsi="Cambria" w:cs="Cambria" w:eastAsia="Cambria"/>
                <w:color w:val="1A1A1A"/>
                <w:sz w:val="18"/>
              </w:rPr>
              <w:t xml:space="preserve">~4,7:1</w:t>
            </w:r>
          </w:p>
        </w:tc>
        <w:t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E.3. Sintesi economica per scenario: il caso finanziario (saldo diretto negativo) e il caso economico (saldo complessivo positivo).</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F</w:t>
      </w:r>
    </w:p>
    <w:p>
      <w:pPr>
        <w:pStyle w:val="BodyText"/>
      </w:pPr>
      <w:r>
        <w:rPr>
          <w:b/>
          <w:bCs/>
        </w:rPr>
        <w:t xml:space="preserve">Modellazione decisionale e incertezza</w:t>
      </w:r>
    </w:p>
    <w:p>
      <w:pPr>
        <w:pStyle w:val="BodyText"/>
      </w:pPr>
      <w:r>
        <w:rPr>
          <w:i/>
          <w:iCs/>
        </w:rPr>
        <w:t xml:space="preserve">Struttura del modello, parametri, sensibilità deterministica e probabilistica, valore dell</w:t>
      </w:r>
      <w:r>
        <w:rPr>
          <w:b/>
          <w:bCs/>
          <w:i/>
          <w:iCs/>
        </w:rPr>
        <w:t xml:space="preserve">’</w:t>
      </w:r>
      <w:r>
        <w:rPr>
          <w:i/>
          <w:iCs/>
        </w:rPr>
        <w:t xml:space="preserve">informazione</w:t>
      </w:r>
    </w:p>
    <w:p>
      <w:pPr>
        <w:pStyle w:val="BodyText"/>
      </w:pPr>
      <w:r>
        <w:t xml:space="preserve">Quinto dominio dell’HTA · la modellazione e l’incertezza</w:t>
      </w:r>
    </w:p>
    <w:bookmarkEnd w:id="4415"/>
    <w:bookmarkEnd w:id="4409"/>
    <w:bookmarkStart w:id="4416" w:name="X7e77cf9e223fcdb42254e07ea78e8b78f80a916"/>
    <w:p>
      <w:pPr>
        <w:pStyle w:val="Heading2"/>
      </w:pPr>
      <w:r>
        <w:t xml:space="preserve">Parte F — Modellazione decisionale e incertezza</w:t>
      </w:r>
    </w:p>
    <w:p>
      <w:pPr>
        <w:pStyle w:val="FirstParagraph"/>
      </w:pPr>
      <w:r>
        <w:t xml:space="preserve">Questa parte completa il quinto dominio sviluppando la modellazione decisionale che sorregge le stime economiche della Parte E e la gestione esplicita dell’incertezza. Il modello e i suoi risultati per paziente sono di natura clinica ed economica generale e sono pertanto indipendenti dalla regione: ciò che muta sono i soli riferimenti al contesto e alle fonti di calibrazione regionale. La parte descrive la struttura del modello (capitolo F.1); ne specifica i parametri e la calibrazione (F.2); ne saggia la robustezza con la sensibilità deterministica (F.3) e con quella probabilistica (F.4); e ne trae le priorità di acquisizione dei dati con il valore dell’informazione (F.5). Il risultato per paziente — una dominanza dell’intervento — è il fondamento microeconomico su cui poggiano le stime aggregate, e ne spiega la coerenza con il saldo diretto regionale.</w:t>
      </w:r>
    </w:p>
    <w:bookmarkStart w:id="4417" w:name="f.1-la-struttura-del-modello-4"/>
    <w:p>
      <w:pPr>
        <w:pStyle w:val="Heading3"/>
      </w:pPr>
      <w:r>
        <w:t xml:space="preserve">F.1 La struttura del modello</w:t>
      </w:r>
    </w:p>
    <w:p>
      <w:pPr>
        <w:pStyle w:val="FirstParagraph"/>
      </w:pPr>
      <w:r>
        <w:t xml:space="preserve">La modellazione segue le buone pratiche di ricerca riconosciute ed è riportata secondo lo standard CHEERS.</w:t>
      </w:r>
      <w:r>
        <w:rPr>
          <w:rStyle w:val="FootnoteReference"/>
        </w:rPr>
        <w:footnoteReference w:id="2455"/>
      </w:r>
      <w:r>
        <w:rPr>
          <w:rStyle w:val="FootnoteReference"/>
        </w:rPr>
        <w:footnoteReference w:id="2456"/>
      </w:r>
      <w:r>
        <w:rPr>
          <w:rStyle w:val="FootnoteReference"/>
        </w:rPr>
        <w:footnoteReference w:id="2457"/>
      </w:r>
      <w:r>
        <w:t xml:space="preserve"> </w:t>
      </w:r>
      <w:r>
        <w:t xml:space="preserve">Lo strumento adottato è un modello di Markov a coorte,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2458"/>
      </w:r>
      <w:r>
        <w:t xml:space="preserve"> </w:t>
      </w:r>
      <w:r>
        <w:t xml:space="preserve">Nel caso base, riferito a un singolo paziente su orizzonte quinquennale e a valori scontati, il braccio dell’intervento produce un costo sanitario di circa 2.495 euro e un’utilità di 3,627 anni di vita ponderati, contro 3.799 euro e 3,392 dell’assistenza usuale: l’intervento è al tempo stesso meno costoso e più efficace, configurando una dominanza.</w:t>
      </w:r>
      <w:r>
        <w:rPr>
          <w:rStyle w:val="FootnoteReference"/>
        </w:rPr>
        <w:footnoteReference w:id="2459"/>
      </w:r>
      <w:r>
        <w:t xml:space="preserve"> </w:t>
      </w:r>
      <w:r>
        <w:t xml:space="preserve">La dominanza non è un artificio, ma la conseguenza della struttura del modello: l’intervento accresce il tempo nello stato di recupero, a bassa utilizzazione di risorse, e riduce il tempo nello stato cronico, ad alta utilizzazione, sicché il risparmio a valle eccede il costo a monte.</w:t>
      </w:r>
      <w:r>
        <w:rPr>
          <w:rStyle w:val="FootnoteReference"/>
        </w:rPr>
        <w:footnoteReference w:id="2460"/>
      </w:r>
      <w:r>
        <w:t xml:space="preserve"> </w:t>
      </w:r>
      <w:r>
        <w:t xml:space="preserve">La tabella seguente riporta i risultati del caso base.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1188"/>
        <w:gridCol w:w="1188"/>
        <w:gridCol w:w="270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Caso base,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Cura usuale</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sanitario (5 anni, scontato)</w:t>
            </w:r>
          </w:p>
        </w:tc>
        <w:tc>
          <w:tcPr/>
          <w:p>
            <w:pPr>
              <w:pStyle w:val="Compact"/>
              <w:spacing w:after="40" w:before="40"/>
              <w:jc w:val="left"/>
            </w:pPr>
            <w:r>
              <w:rPr>
                <w:rFonts w:ascii="Cambria" w:hAnsi="Cambria" w:cs="Cambria" w:eastAsia="Cambria"/>
                <w:color w:val="1A1A1A"/>
                <w:sz w:val="18"/>
              </w:rPr>
              <w:t xml:space="preserve">~ 2.495 €</w:t>
            </w:r>
          </w:p>
        </w:tc>
        <w:tc>
          <w:tcPr/>
          <w:p>
            <w:pPr>
              <w:pStyle w:val="Compact"/>
              <w:spacing w:after="40" w:before="40"/>
              <w:jc w:val="left"/>
            </w:pPr>
            <w:r>
              <w:rPr>
                <w:rFonts w:ascii="Cambria" w:hAnsi="Cambria" w:cs="Cambria" w:eastAsia="Cambria"/>
                <w:color w:val="1A1A1A"/>
                <w:sz w:val="18"/>
              </w:rPr>
              <w:t xml:space="preserve">~ 3.799 €</w:t>
            </w:r>
          </w:p>
        </w:tc>
        <w:tc>
          <w:tcPr/>
          <w:p>
            <w:pPr>
              <w:pStyle w:val="Compact"/>
              <w:spacing w:after="40" w:before="40"/>
              <w:jc w:val="left"/>
            </w:pPr>
            <w:r>
              <w:rPr>
                <w:rFonts w:ascii="Cambria" w:hAnsi="Cambria" w:cs="Cambria" w:eastAsia="Cambria"/>
                <w:color w:val="1A1A1A"/>
                <w:sz w:val="18"/>
              </w:rPr>
              <w:t xml:space="preserve">− 1.304 €</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(anni di vita ponderati)</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4417"/>
    <w:bookmarkStart w:id="4418" w:name="f.2-i-parametri-e-la-calibrazione-4"/>
    <w:p>
      <w:pPr>
        <w:pStyle w:val="Heading3"/>
      </w:pPr>
      <w:r>
        <w:t xml:space="preserve">F.2 I parametri e la calibrazione</w:t>
      </w:r>
    </w:p>
    <w:p>
      <w:pPr>
        <w:pStyle w:val="FirstParagraph"/>
      </w:pPr>
      <w:r>
        <w:t xml:space="preserve">I parametri di costo del modello, per ciclo, sono dell’ordine di 40 euro per lo stato di recupero, 700 euro per lo stato cronico e 300 euro per l’intervento psicologico una tantum; è questa struttura di costo a generare la dominanza, poiché lo stato cronico, che l’intervento riduce, è di gran lunga il più oneroso.</w:t>
      </w:r>
      <w:r>
        <w:rPr>
          <w:rStyle w:val="FootnoteReference"/>
        </w:rPr>
        <w:footnoteReference w:id="2461"/>
      </w:r>
      <w:r>
        <w:t xml:space="preserve"> </w:t>
      </w:r>
      <w:r>
        <w:t xml:space="preserve">Alle grandezze sono assegnate distribuzioni di probabilità per l’analisi probabilistica: Beta per le probabilità di transizione e per le utilità, vincolate tra zero e uno, e Gamma per i costi, vincolati ai valori positivi; i valori centrali sono tratti dall’evidenza internazionale e, per i parametri regionali, sono da calibrare sui valori toscani certificati e sui dati di esito della sperimentazione già attiva non appena consolidati.</w:t>
      </w:r>
      <w:r>
        <w:rPr>
          <w:rStyle w:val="FootnoteReference"/>
        </w:rPr>
        <w:footnoteReference w:id="2462"/>
      </w:r>
      <w:r>
        <w:t xml:space="preserve"> </w:t>
      </w:r>
      <w:r>
        <w:t xml:space="preserve">La tabella seguente riepiloga i principali parametri e le distribuzioni assegnate.</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075"/>
        <w:gridCol w:w="1845"/>
        <w:gridCol w:w="18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Costo per ciclo — stato di recupero</w:t>
            </w:r>
          </w:p>
        </w:tc>
        <w:tc>
          <w:tcPr/>
          <w:p>
            <w:pPr>
              <w:pStyle w:val="Compact"/>
              <w:spacing w:after="40" w:before="40"/>
              <w:jc w:val="left"/>
            </w:pPr>
            <w:r>
              <w:rPr>
                <w:rFonts w:ascii="Cambria" w:hAnsi="Cambria" w:cs="Cambria" w:eastAsia="Cambria"/>
                <w:color w:val="1A1A1A"/>
                <w:sz w:val="18"/>
              </w:rPr>
              <w:t xml:space="preserve">40 €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stato cronico</w:t>
            </w:r>
          </w:p>
        </w:tc>
        <w:tc>
          <w:tcPr>
            <w:shd w:val="clear" w:color="auto" w:fill="F4F1EC"/>
          </w:tcPr>
          <w:p>
            <w:pPr>
              <w:pStyle w:val="Compact"/>
              <w:spacing w:after="40" w:before="40"/>
              <w:jc w:val="left"/>
            </w:pPr>
            <w:r>
              <w:rPr>
                <w:rFonts w:ascii="Cambria" w:hAnsi="Cambria" w:cs="Cambria" w:eastAsia="Cambria"/>
                <w:color w:val="1A1A1A"/>
                <w:sz w:val="18"/>
              </w:rPr>
              <w:t xml:space="preserve">700 €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dell’intervento psicologico (una tantum)</w:t>
            </w:r>
          </w:p>
        </w:tc>
        <w:tc>
          <w:tcPr/>
          <w:p>
            <w:pPr>
              <w:pStyle w:val="Compact"/>
              <w:spacing w:after="40" w:before="40"/>
              <w:jc w:val="left"/>
            </w:pPr>
            <w:r>
              <w:rPr>
                <w:rFonts w:ascii="Cambria" w:hAnsi="Cambria" w:cs="Cambria" w:eastAsia="Cambria"/>
                <w:color w:val="1A1A1A"/>
                <w:sz w:val="18"/>
              </w:rPr>
              <w:t xml:space="preserve">300 €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transizione tra gli stati</w:t>
            </w:r>
          </w:p>
        </w:tc>
        <w:tc>
          <w:tcPr>
            <w:shd w:val="clear" w:color="auto" w:fill="F4F1EC"/>
          </w:tcPr>
          <w:p>
            <w:pPr>
              <w:pStyle w:val="Compact"/>
              <w:spacing w:after="40" w:before="40"/>
              <w:jc w:val="left"/>
            </w:pPr>
            <w:r>
              <w:rPr>
                <w:rFonts w:ascii="Cambria" w:hAnsi="Cambria" w:cs="Cambria" w:eastAsia="Cambria"/>
                <w:color w:val="1A1A1A"/>
                <w:sz w:val="18"/>
              </w:rPr>
              <w:t xml:space="preserve">da fonti, per braccio</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Utilità associate agli stati</w:t>
            </w:r>
          </w:p>
        </w:tc>
        <w:tc>
          <w:tcPr/>
          <w:p>
            <w:pPr>
              <w:pStyle w:val="Compact"/>
              <w:spacing w:after="40" w:before="40"/>
              <w:jc w:val="left"/>
            </w:pPr>
            <w:r>
              <w:rPr>
                <w:rFonts w:ascii="Cambria" w:hAnsi="Cambria" w:cs="Cambria" w:eastAsia="Cambria"/>
                <w:color w:val="1A1A1A"/>
                <w:sz w:val="18"/>
              </w:rPr>
              <w:t xml:space="preserve">da fonti</w:t>
            </w:r>
          </w:p>
        </w:tc>
        <w:tc>
          <w:tcPr/>
          <w:p>
            <w:pPr>
              <w:pStyle w:val="Compact"/>
              <w:spacing w:after="40" w:before="40"/>
              <w:jc w:val="left"/>
            </w:pPr>
            <w:r>
              <w:rPr>
                <w:rFonts w:ascii="Cambria" w:hAnsi="Cambria" w:cs="Cambria" w:eastAsia="Cambria"/>
                <w:color w:val="1A1A1A"/>
                <w:sz w:val="18"/>
              </w:rP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4418"/>
    <w:bookmarkStart w:id="4419" w:name="f.3-la-sensibilità-deterministica-4"/>
    <w:p>
      <w:pPr>
        <w:pStyle w:val="Heading3"/>
      </w:pPr>
      <w:r>
        <w:t xml:space="preserve">F.3 La sensibilità deterministica</w:t>
      </w:r>
    </w:p>
    <w:p>
      <w:pPr>
        <w:pStyle w:val="FirstParagraph"/>
      </w:pPr>
      <w:r>
        <w:t xml:space="preserve">La robustezza del risultato è saggiata, in prima istanza, con un’analisi di sensibilità a una via, nella quale ciascun parametro è fatto variare del 25% in più e in meno, misurandone l’effetto sul beneficio monetario netto; il diagramma a tornado ordina i parametri per influenza, individuando nell’efficacia clinica, nei tassi di ricaduta e di cronicizzazione e nel costo dello stato cronico i fattori più determinanti.</w:t>
      </w:r>
      <w:r>
        <w:rPr>
          <w:rStyle w:val="FootnoteReference"/>
        </w:rPr>
        <w:footnoteReference w:id="2463"/>
      </w:r>
      <w:r>
        <w:t xml:space="preserve"> </w:t>
      </w:r>
      <w:r>
        <w:t xml:space="preserve">Oltre all’incertezza dei parametri, l’incertezza sulla struttura e sulle assunzioni del modello è trattata mediante analisi di scenario, con validazione della coerenza interna ed esterna secondo lo standard di reporting adottato.</w:t>
      </w:r>
      <w:r>
        <w:rPr>
          <w:rStyle w:val="FootnoteReference"/>
        </w:rPr>
        <w:footnoteReference w:id="2464"/>
      </w:r>
    </w:p>
    <w:bookmarkEnd w:id="4419"/>
    <w:bookmarkStart w:id="4420" w:name="X2db9e7e335975a425748036abe3a3d47a83a013"/>
    <w:p>
      <w:pPr>
        <w:pStyle w:val="Heading3"/>
      </w:pPr>
      <w:r>
        <w:t xml:space="preserve">F.4 La sensibilità probabilistica e la curva di accettabilità</w:t>
      </w:r>
    </w:p>
    <w:p>
      <w:pPr>
        <w:pStyle w:val="FirstParagraph"/>
      </w:pPr>
      <w:r>
        <w:t xml:space="preserve">L’analisi di sensibilità probabilistica esegue il modello diecimila volte, estraendo a ogni iterazione i parametri dalle rispettive distribuzioni, così da propagare l’incertezza dei parametri sull’incertezza del risultato.</w:t>
      </w:r>
      <w:r>
        <w:rPr>
          <w:rStyle w:val="FootnoteReference"/>
        </w:rPr>
        <w:footnoteReference w:id="2465"/>
      </w:r>
      <w:r>
        <w:t xml:space="preserve"> </w:t>
      </w:r>
      <w:r>
        <w:t xml:space="preserve">Adottando la soglia di disponibilità a pagare di 30.000 euro per anno di vita ponderato per la qualità,</w:t>
      </w:r>
      <w:r>
        <w:rPr>
          <w:rStyle w:val="FootnoteReference"/>
        </w:rPr>
        <w:footnoteReference w:id="2466"/>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compreso fra circa −5.736 e circa +21.501 euro.</w:t>
      </w:r>
      <w:r>
        <w:rPr>
          <w:rStyle w:val="FootnoteReference"/>
        </w:rPr>
        <w:footnoteReference w:id="2467"/>
      </w:r>
      <w:r>
        <w:t xml:space="preserve"> </w:t>
      </w:r>
      <w:r>
        <w:t xml:space="preserve">È qui necessario chiarire la coerenza, solo apparentemente paradossale, tra questo risultato e il saldo diretto regionale: la probabilità di costo-efficacia è una misura di efficienza per paziente, che valorizza il guadagno di salute e l’intera traiettoria di costo, mentre il saldo diretto aggregato della Parte E, lievemente negativo per la Toscana, incorpora le correzioni per peso morto e per l’effettiva monetizzabilità nel bilancio dei costi evitati e sconta l’inapplicabilità del canale della mobilità. L’efficienza per paziente è robusta; la convenienza per il solo bilancio è lievemente negativa; il forte ritorno per la collettività proviene dalle ricadute sociali.</w:t>
      </w:r>
      <w:r>
        <w:rPr>
          <w:rStyle w:val="FootnoteReference"/>
        </w:rPr>
        <w:footnoteReference w:id="2468"/>
      </w:r>
      <w:r>
        <w:t xml:space="preserve"> </w:t>
      </w:r>
      <w:r>
        <w:t xml:space="preserve">La tabella seguente sintetizza i risultati.</w:t>
      </w:r>
    </w:p>
    <w:tbl>
      <w:tblPr>
        <w:tblStyle w:val="Table"/>
        <w:tblW w:type="pct" w:w="489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848"/>
        <w:gridCol w:w="290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Misura dell’analisi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Risultato</w:t>
            </w:r>
          </w:p>
        </w:tc>
      </w:tr>
      <w:tr>
        <w:tc>
          <w:tcPr/>
          <w:p>
            <w:pPr>
              <w:pStyle w:val="Compact"/>
              <w:spacing w:after="40" w:before="40"/>
              <w:jc w:val="left"/>
            </w:pPr>
            <w:r>
              <w:rPr>
                <w:rFonts w:ascii="Cambria" w:hAnsi="Cambria" w:cs="Cambria" w:eastAsia="Cambria"/>
                <w:b/>
                <w:bCs/>
                <w:color w:val="1A1A1A"/>
                <w:sz w:val="18"/>
              </w:rPr>
              <w:t xml:space="preserve">Iterazioni della simulazione Monte Carlo</w:t>
            </w:r>
          </w:p>
        </w:tc>
        <w:tc>
          <w:tcPr/>
          <w:p>
            <w:pPr>
              <w:pStyle w:val="Compact"/>
              <w:spacing w:after="40" w:before="40"/>
              <w:jc w:val="left"/>
            </w:pPr>
            <w:r>
              <w:rPr>
                <w:rFonts w:ascii="Cambria" w:hAnsi="Cambria" w:cs="Cambria" w:eastAsia="Cambria"/>
                <w:color w:val="1A1A1A"/>
                <w:sz w:val="18"/>
              </w:rPr>
              <w:t xml:space="preserve">10.000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costo-efficacia (soglia 30.000 €/QALY)</w:t>
            </w:r>
          </w:p>
        </w:tc>
        <w:tc>
          <w:tcPr>
            <w:shd w:val="clear" w:color="auto" w:fill="F4F1EC"/>
          </w:tcPr>
          <w:p>
            <w:pPr>
              <w:pStyle w:val="Compact"/>
              <w:spacing w:after="40" w:before="40"/>
              <w:jc w:val="left"/>
            </w:pPr>
            <w:r>
              <w:rPr>
                <w:rFonts w:ascii="Cambria" w:hAnsi="Cambria" w:cs="Cambria" w:eastAsia="Cambria"/>
                <w:color w:val="1A1A1A"/>
                <w:sz w:val="18"/>
              </w:rPr>
              <w:t xml:space="preserve">88,9%</w:t>
            </w:r>
          </w:p>
        </w:tc>
      </w:tr>
      <w:tr>
        <w:tc>
          <w:tcPr/>
          <w:p>
            <w:pPr>
              <w:pStyle w:val="Compact"/>
              <w:spacing w:after="40" w:before="40"/>
              <w:jc w:val="left"/>
            </w:pPr>
            <w:r>
              <w:rPr>
                <w:rFonts w:ascii="Cambria" w:hAnsi="Cambria" w:cs="Cambria" w:eastAsia="Cambria"/>
                <w:b/>
                <w:bCs/>
                <w:color w:val="1A1A1A"/>
                <w:sz w:val="18"/>
              </w:rPr>
              <w:t xml:space="preserve">Probabilità di dominanza</w:t>
            </w:r>
          </w:p>
        </w:tc>
        <w:tc>
          <w:tcPr/>
          <w:p>
            <w:pPr>
              <w:pStyle w:val="Compact"/>
              <w:spacing w:after="40" w:before="40"/>
              <w:jc w:val="left"/>
            </w:pPr>
            <w:r>
              <w:rPr>
                <w:rFonts w:ascii="Cambria" w:hAnsi="Cambria" w:cs="Cambria" w:eastAsia="Cambria"/>
                <w:color w:val="1A1A1A"/>
                <w:sz w:val="18"/>
              </w:rPr>
              <w:t xml:space="preserve">84,6%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Beneficio monetario netto medio</w:t>
            </w:r>
          </w:p>
        </w:tc>
        <w:tc>
          <w:tcPr>
            <w:shd w:val="clear" w:color="auto" w:fill="F4F1EC"/>
          </w:tcPr>
          <w:p>
            <w:pPr>
              <w:pStyle w:val="Compact"/>
              <w:spacing w:after="40" w:before="40"/>
              <w:jc w:val="left"/>
            </w:pPr>
            <w:r>
              <w:rPr>
                <w:rFonts w:ascii="Cambria" w:hAnsi="Cambria" w:cs="Cambria" w:eastAsia="Cambria"/>
                <w:color w:val="1A1A1A"/>
                <w:sz w:val="18"/>
              </w:rPr>
              <w:t xml:space="preserve">~ 7.815 € per paziente</w:t>
            </w:r>
          </w:p>
        </w:tc>
      </w:tr>
      <w:tr>
        <w:tc>
          <w:tcPr/>
          <w:p>
            <w:pPr>
              <w:pStyle w:val="Compact"/>
              <w:spacing w:after="40" w:before="40"/>
              <w:jc w:val="left"/>
            </w:pPr>
            <w:r>
              <w:rPr>
                <w:rFonts w:ascii="Cambria" w:hAnsi="Cambria" w:cs="Cambria" w:eastAsia="Cambria"/>
                <w:b/>
                <w:bCs/>
                <w:color w:val="1A1A1A"/>
                <w:sz w:val="18"/>
              </w:rPr>
              <w:t xml:space="preserve">Intervallo di credibilità al 95%</w:t>
            </w:r>
          </w:p>
        </w:tc>
        <w:tc>
          <w:tcPr/>
          <w:p>
            <w:pPr>
              <w:pStyle w:val="Compact"/>
              <w:spacing w:after="40" w:before="40"/>
              <w:jc w:val="left"/>
            </w:pPr>
            <w:r>
              <w:rPr>
                <w:rFonts w:ascii="Cambria" w:hAnsi="Cambria" w:cs="Cambria" w:eastAsia="Cambria"/>
                <w:color w:val="1A1A1A"/>
                <w:sz w:val="18"/>
              </w:rPr>
              <w:t xml:space="preserve">da ~ −5.736 a ~ +21.501 €</w:t>
            </w:r>
          </w:p>
        </w:tc>
      </w:tr>
    </w:tbl>
    <w:p>
      <w:pPr>
        <w:pStyle w:val="BodyText"/>
      </w:pPr>
      <w:r>
        <w:rPr>
          <w:i/>
          <w:iCs/>
        </w:rPr>
        <w:t xml:space="preserve">Tabella F.3. Risultati dell</w:t>
      </w:r>
      <w:r>
        <w:rPr>
          <w:b/>
          <w:bCs/>
          <w:i/>
          <w:iCs/>
        </w:rPr>
        <w:t xml:space="preserve">’</w:t>
      </w:r>
      <w:r>
        <w:rPr>
          <w:i/>
          <w:iCs/>
        </w:rPr>
        <w:t xml:space="preserve">analisi di sensibilità probabilistica (per paziente, soglia 30.000 €/QALY).</w:t>
      </w:r>
    </w:p>
    <w:bookmarkEnd w:id="4420"/>
    <w:bookmarkStart w:id="4421" w:name="f.5-il-valore-dellinformazione-4"/>
    <w:p>
      <w:pPr>
        <w:pStyle w:val="Heading3"/>
      </w:pPr>
      <w:r>
        <w:t xml:space="preserve">F.5 Il valore dell’informazione</w:t>
      </w:r>
    </w:p>
    <w:p>
      <w:pPr>
        <w:pStyle w:val="FirstParagraph"/>
      </w:pPr>
      <w:r>
        <w:t xml:space="preserve">L’analisi del valore dell’informazione chiude il dominio traducendo l’incertezza residua in priorità di ricerca: il valore atteso dell’informazione perfetta quantifica il beneficio massimo conseguibile eliminando del tutto l’incertezza, e il valore atteso dell’informazione perfetta sui parametri indica quali grandezze sia prioritario misurare con precisione.</w:t>
      </w:r>
      <w:r>
        <w:rPr>
          <w:rStyle w:val="FootnoteReference"/>
        </w:rPr>
        <w:footnoteReference w:id="2469"/>
      </w:r>
      <w:r>
        <w:t xml:space="preserve"> </w:t>
      </w:r>
      <w:r>
        <w:t xml:space="preserve">Per la Toscana,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aziende; un vantaggio peculiare è che la regione dispone già dei propri dati di esito della sperimentazione attiva, da consolidare come fonte primaria di calibrazione.</w:t>
      </w:r>
      <w:r>
        <w:rPr>
          <w:rStyle w:val="FootnoteReference"/>
        </w:rPr>
        <w:footnoteReference w:id="2470"/>
      </w:r>
      <w:r>
        <w:t xml:space="preserve"> </w:t>
      </w:r>
      <w:r>
        <w:t xml:space="preserve">La via maestra per ridurre l’incertezza, infine, non è soltanto analitica ma empirica: poiché il servizio è già attivo in via sperimentale e si è esteso in modo scaglionato tra le strutture, la riduzione dell’incertezza poggia sul confronto prima-dopo l’attivazione del 2024 e sulla progressione per cunei tra le sedi, oggetto della Parte L, che consente di sostituire progressivamente le stime con misure osservate sui dati regionali.</w:t>
      </w:r>
      <w:r>
        <w:rPr>
          <w:rStyle w:val="FootnoteReference"/>
        </w:rPr>
        <w:footnoteReference w:id="2471"/>
      </w:r>
      <w:r>
        <w:t xml:space="preserve"> </w:t>
      </w:r>
      <w:r>
        <w:t xml:space="preserve">Completato così il nucleo della valutazione — efficacia, economia, modellazione — le parti successive ne affrontano le dimensioni distributive, etiche, organizzative e valutative, a partire dall’equità.</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costo-efficacia distributiva, divari territoriali e impoverimento</w:t>
      </w:r>
    </w:p>
    <w:p>
      <w:pPr>
        <w:pStyle w:val="BodyText"/>
      </w:pPr>
      <w:r>
        <w:t xml:space="preserve">Ottavo dominio dell’HTA · il profilo del paziente e sociale</w:t>
      </w:r>
    </w:p>
    <w:bookmarkEnd w:id="4421"/>
    <w:bookmarkEnd w:id="4416"/>
    <w:bookmarkStart w:id="4422" w:name="parte-g-equità-e-impatto-distributivo-6"/>
    <w:p>
      <w:pPr>
        <w:pStyle w:val="Heading2"/>
      </w:pPr>
      <w:r>
        <w:t xml:space="preserve">Parte G — Equità e impatto distributivo</w:t>
      </w:r>
    </w:p>
    <w:p>
      <w:pPr>
        <w:pStyle w:val="FirstParagraph"/>
      </w:pPr>
      <w:r>
        <w:t xml:space="preserve">Misurato il valore economico nelle Parti E ed F, questa settima parte ne esamina la distribuzione, secondo l’ottavo dominio della valutazione. La domanda non è soltanto se l’intervento generi valore, ma a chi quel valore arrivi: un intervento può essere efficiente e tuttavia accrescere le disuguaglianze, oppure, come in questo caso, migliorare l’esito medio e ridurle insieme. La parte definisce le dimensioni dell’equità e le variabili seguite (capitolo G.1); applica gli strumenti della costo-efficacia distributiva (G.2); e analizza i divari territoriali e l’impoverimento (G.3). Per la Toscana, l’equità si gioca su assi peculiari — la dualità fra l’area metropolitana centrale e le aree interne e montane, l’invecchiamento e la dimensione multiculturale — e sull’esigenza di estendere uniformemente, dalla sperimentazione a tutte le Case della Comunità delle tre Aziende USL, un servizio già attivo ma circoscritto.</w:t>
      </w:r>
    </w:p>
    <w:bookmarkStart w:id="4423" w:name="g.1-lanalisi-di-equità-4"/>
    <w:p>
      <w:pPr>
        <w:pStyle w:val="Heading3"/>
      </w:pPr>
      <w:r>
        <w:t xml:space="preserve">G.1 L’analisi di equità</w:t>
      </w:r>
    </w:p>
    <w:p>
      <w:pPr>
        <w:pStyle w:val="FirstParagraph"/>
      </w:pPr>
      <w:r>
        <w:t xml:space="preserve">L’equità è trattata come dimensione costitutiva della valutazione, e non come considerazione accessoria.</w:t>
      </w:r>
      <w:r>
        <w:rPr>
          <w:rStyle w:val="FootnoteReference"/>
        </w:rPr>
        <w:footnoteReference w:id="2472"/>
      </w:r>
      <w:r>
        <w:rPr>
          <w:rStyle w:val="FootnoteReference"/>
        </w:rPr>
        <w:footnoteReference w:id="2473"/>
      </w:r>
      <w:r>
        <w:rPr>
          <w:rStyle w:val="FootnoteReference"/>
        </w:rPr>
        <w:footnoteReference w:id="2474"/>
      </w:r>
      <w:r>
        <w:rPr>
          <w:rStyle w:val="FootnoteReference"/>
        </w:rPr>
        <w:footnoteReference w:id="2475"/>
      </w:r>
      <w:r>
        <w:rPr>
          <w:rStyle w:val="FootnoteReference"/>
        </w:rPr>
        <w:footnoteReference w:id="2476"/>
      </w:r>
      <w:r>
        <w:rPr>
          <w:rStyle w:val="FootnoteReference"/>
        </w:rPr>
        <w:footnoteReference w:id="2477"/>
      </w:r>
      <w:r>
        <w:rPr>
          <w:rStyle w:val="FootnoteReference"/>
        </w:rPr>
        <w:footnoteReference w:id="2478"/>
      </w:r>
      <w:r>
        <w:rPr>
          <w:rStyle w:val="FootnoteReference"/>
        </w:rPr>
        <w:footnoteReference w:id="2479"/>
      </w:r>
      <w:r>
        <w:rPr>
          <w:rStyle w:val="FootnoteReference"/>
        </w:rPr>
        <w:footnoteReference w:id="2480"/>
      </w:r>
      <w:r>
        <w:rPr>
          <w:rStyle w:val="FootnoteReference"/>
        </w:rPr>
        <w:footnoteReference w:id="2481"/>
      </w:r>
      <w:r>
        <w:rPr>
          <w:rStyle w:val="FootnoteReference"/>
        </w:rPr>
        <w:footnoteReference w:id="2482"/>
      </w:r>
      <w:r>
        <w:rPr>
          <w:rStyle w:val="FootnoteReference"/>
        </w:rPr>
        <w:footnoteReference w:id="2483"/>
      </w:r>
      <w:r>
        <w:rPr>
          <w:rStyle w:val="FootnoteReference"/>
        </w:rPr>
        <w:footnoteReference w:id="2484"/>
      </w:r>
      <w:r>
        <w:rPr>
          <w:rStyle w:val="FootnoteReference"/>
        </w:rPr>
        <w:footnoteReference w:id="2485"/>
      </w:r>
      <w:r>
        <w:t xml:space="preserve"> </w:t>
      </w:r>
      <w:r>
        <w:t xml:space="preserve">La salute mentale presenta ovunque un gradiente sociale, ma in Toscana, dove il rischio di povertà o esclusione è contenuto in aggregato, il gradiente socio-economico non è il tratto distintivo: prevalgono tre dimensioni diverse, la dualità fra l’area metropolitana centrale e le aree interne e montane, l’invecchiamento della popolazione e una rilevante dimensione multiculturale.</w:t>
      </w:r>
      <w:r>
        <w:rPr>
          <w:rStyle w:val="FootnoteReference"/>
        </w:rPr>
        <w:footnoteReference w:id="2486"/>
      </w:r>
      <w:r>
        <w:t xml:space="preserve"> </w:t>
      </w:r>
      <w:r>
        <w:t xml:space="preserve">La gratuità, la prossimità e l’assenza di stigma del servizio di primo livello abbattono le barriere che gravano sulle popolazioni svantaggiate, e in Toscana rilevano in particolare l’abbattimento della barriera geografica nelle aree interne e montane, dove la distanza dai servizi è il principale ostacolo, e quello della barriera culturale e linguistica per l’utenza straniera.</w:t>
      </w:r>
      <w:r>
        <w:rPr>
          <w:rStyle w:val="FootnoteReference"/>
        </w:rPr>
        <w:footnoteReference w:id="2487"/>
      </w:r>
      <w:r>
        <w:t xml:space="preserve"> </w:t>
      </w:r>
      <w:r>
        <w:t xml:space="preserve">La tabella seguente espone le dimensioni dell’equità e le variabili che lo studio segue.</w:t>
      </w:r>
      <w:r>
        <w:rPr>
          <w:rStyle w:val="FootnoteReference"/>
        </w:rPr>
        <w:footnoteReference w:id="2488"/>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66"/>
        <w:gridCol w:w="626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 equità</w:t>
            </w:r>
          </w:p>
        </w:tc>
        <w:tc>
          <w:tcPr>
            <w:shd w:val="clear" w:color="auto" w:fill="16264B"/>
          </w:tcPr>
          <w:p>
            <w:pPr>
              <w:pStyle w:val="Compact"/>
              <w:spacing w:after="40" w:before="40"/>
              <w:jc w:val="left"/>
            </w:pPr>
            <w:r>
              <w:rPr>
                <w:rFonts w:ascii="Cambria" w:hAnsi="Cambria" w:cs="Cambria" w:eastAsia="Cambria"/>
                <w:b/>
                <w:bCs/>
                <w:color w:val="FFFFFF"/>
                <w:sz w:val="18"/>
              </w:rPr>
              <w:t xml:space="preserve">Variabili seguite dallo studio</w:t>
            </w:r>
          </w:p>
        </w:tc>
      </w:tr>
      <w:tr>
        <w:tc>
          <w:tcPr/>
          <w:p>
            <w:pPr>
              <w:pStyle w:val="Compact"/>
              <w:spacing w:after="40" w:before="40"/>
              <w:jc w:val="left"/>
            </w:pPr>
            <w:r>
              <w:rPr>
                <w:rFonts w:ascii="Cambria" w:hAnsi="Cambria" w:cs="Cambria" w:eastAsia="Cambria"/>
                <w:b/>
                <w:bCs/>
                <w:color w:val="1A1A1A"/>
                <w:sz w:val="18"/>
              </w:rPr>
              <w:t xml:space="preserve">Accesso</w:t>
            </w:r>
          </w:p>
        </w:tc>
        <w:tc>
          <w:tcPr/>
          <w:p>
            <w:pPr>
              <w:pStyle w:val="Compact"/>
              <w:spacing w:after="40" w:before="40"/>
              <w:jc w:val="left"/>
            </w:pPr>
            <w:r>
              <w:rPr>
                <w:rFonts w:ascii="Cambria" w:hAnsi="Cambria" w:cs="Cambria" w:eastAsia="Cambria"/>
                <w:color w:val="1A1A1A"/>
                <w:sz w:val="18"/>
              </w:rPr>
              <w:t xml:space="preserve">Tempi di attesa; accessibilità geografica nelle aree interne e montane; accessibilità culturale e linguistica; contrasto alle liste di attesa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Protezione finanziaria</w:t>
            </w:r>
          </w:p>
        </w:tc>
        <w:tc>
          <w:tcPr>
            <w:shd w:val="clear" w:color="auto" w:fill="F4F1EC"/>
          </w:tcPr>
          <w:p>
            <w:pPr>
              <w:pStyle w:val="Compact"/>
              <w:spacing w:after="40" w:before="40"/>
              <w:jc w:val="left"/>
            </w:pPr>
            <w:r>
              <w:rPr>
                <w:rFonts w:ascii="Cambria" w:hAnsi="Cambria" w:cs="Cambria" w:eastAsia="Cambria"/>
                <w:color w:val="1A1A1A"/>
                <w:sz w:val="18"/>
              </w:rPr>
              <w:t xml:space="preserve">Riduzione della spesa privata diretta; dell’impoverimento connesso alle cure; delle spese catastrofiche</w:t>
            </w:r>
          </w:p>
        </w:tc>
      </w:tr>
      <w:tr>
        <w:tc>
          <w:tcPr/>
          <w:p>
            <w:pPr>
              <w:pStyle w:val="Compact"/>
              <w:spacing w:after="40" w:before="40"/>
              <w:jc w:val="left"/>
            </w:pPr>
            <w:r>
              <w:rPr>
                <w:rFonts w:ascii="Cambria" w:hAnsi="Cambria" w:cs="Cambria" w:eastAsia="Cambria"/>
                <w:b/>
                <w:bCs/>
                <w:color w:val="1A1A1A"/>
                <w:sz w:val="18"/>
              </w:rPr>
              <w:t xml:space="preserve">Gruppi vulnerabili</w:t>
            </w:r>
          </w:p>
        </w:tc>
        <w:tc>
          <w:tcPr/>
          <w:p>
            <w:pPr>
              <w:pStyle w:val="Compact"/>
              <w:spacing w:after="40" w:before="40"/>
              <w:jc w:val="left"/>
            </w:pPr>
            <w:r>
              <w:rPr>
                <w:rFonts w:ascii="Cambria" w:hAnsi="Cambria" w:cs="Cambria" w:eastAsia="Cambria"/>
                <w:color w:val="1A1A1A"/>
                <w:sz w:val="18"/>
              </w:rPr>
              <w:t xml:space="preserve">Equità di genere; età anziana e gruppi fragili; popolazione straniera (11,8%); persone con disabilità; gratuità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Territorio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divario area metropolitana-aree interne e montane; uniformità del servizio fra le ASL;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4423"/>
    <w:bookmarkStart w:id="4424" w:name="g.2-la-costo-efficacia-distributiva-4"/>
    <w:p>
      <w:pPr>
        <w:pStyle w:val="Heading3"/>
      </w:pPr>
      <w:r>
        <w:t xml:space="preserve">G.2 La costo-efficacia distributiva</w:t>
      </w:r>
    </w:p>
    <w:p>
      <w:pPr>
        <w:pStyle w:val="FirstParagraph"/>
      </w:pPr>
      <w:r>
        <w:t xml:space="preserve">La dimensione distributiva è misurata con gli strumenti della costo-efficacia distributiva, che estendono la valutazione economica all’equità stimando come costi ed esiti si distribuiscano tra i sottogruppi e quale ne sia l’effetto sulle disuguaglianze.</w:t>
      </w:r>
      <w:r>
        <w:rPr>
          <w:rStyle w:val="FootnoteReference"/>
        </w:rPr>
        <w:footnoteReference w:id="2489"/>
      </w:r>
      <w:r>
        <w:t xml:space="preserve"> </w:t>
      </w:r>
      <w:r>
        <w:t xml:space="preserve">La direzione del risultato è favorevole: poiché il guadagno di accesso è più ampio dove l’accesso è oggi più difficile — le aree interne e montane, l’età anziana, l’utenza straniera e i gruppi gravati dalle liste di attesa — i benefici si concentrano sui più svantaggiati, riducendo il gradiente territoriale e migliorando al tempo stesso l’esito medio.</w:t>
      </w:r>
      <w:r>
        <w:rPr>
          <w:rStyle w:val="FootnoteReference"/>
        </w:rPr>
        <w:footnoteReference w:id="2490"/>
      </w:r>
      <w:r>
        <w:t xml:space="preserve"> </w:t>
      </w:r>
      <w:r>
        <w:t xml:space="preserve">L’attribuzione di pesi maggiori ai benefici dei più svantaggiati accrescerebbe il valore sociale stimato; lo studio adotta tuttavia, in via conservativa, il rapporto non ponderato già esposto, tanto più prudente in una regione non prevalentemente deprivata.</w:t>
      </w:r>
      <w:r>
        <w:rPr>
          <w:rStyle w:val="FootnoteReference"/>
        </w:rPr>
        <w:footnoteReference w:id="2491"/>
      </w:r>
      <w:r>
        <w:t xml:space="preserve"> </w:t>
      </w:r>
      <w:r>
        <w:t xml:space="preserve">Il meccanismo operativo dell’equità è un algoritmo allocativo che distribuisce gli incarichi non secondo la sola popolazione, ma ponderando ciascuna zona-distretto per l’invecchiamento, la deprivazione, la cronicità e la presenza straniera, con l’indice di vecchiaia quale fattore di maggior peso nel contesto toscano, affiancato dalla presenza straniera nell’area centrale.</w:t>
      </w:r>
      <w:r>
        <w:rPr>
          <w:rStyle w:val="FootnoteReference"/>
        </w:rPr>
        <w:footnoteReference w:id="2492"/>
      </w:r>
      <w:r>
        <w:t xml:space="preserve"> </w:t>
      </w:r>
      <w:r>
        <w:t xml:space="preserve">A tal fine si impiega un indice di deprivazione multipla che sintetizza reddito, occupazione, istruzione, salute, condizione abitativa e ambiente.</w:t>
      </w:r>
      <w:r>
        <w:rPr>
          <w:rStyle w:val="FootnoteReference"/>
        </w:rPr>
        <w:footnoteReference w:id="2493"/>
      </w:r>
      <w:r>
        <w:t xml:space="preserve"> </w:t>
      </w:r>
      <w:r>
        <w:t xml:space="preserve">La tabella seguente riepiloga gli strumenti.</w:t>
      </w:r>
    </w:p>
    <w:tbl>
      <w:tblPr>
        <w:tblStyle w:val="Table"/>
        <w:tblW w:type="pct" w:w="492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132"/>
        <w:gridCol w:w="36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della costo-efficacia distributiva</w:t>
            </w:r>
          </w:p>
        </w:tc>
        <w:tc>
          <w:tcPr>
            <w:shd w:val="clear" w:color="auto" w:fill="16264B"/>
          </w:tcPr>
          <w:p>
            <w:pPr>
              <w:pStyle w:val="Compact"/>
              <w:spacing w:after="40" w:before="40"/>
              <w:jc w:val="left"/>
            </w:pPr>
            <w:r>
              <w:rPr>
                <w:rFonts w:ascii="Cambria" w:hAnsi="Cambria" w:cs="Cambria" w:eastAsia="Cambria"/>
                <w:b/>
                <w:bCs/>
                <w:color w:val="FFFFFF"/>
                <w:sz w:val="18"/>
              </w:rPr>
              <w:t xml:space="preserve">Che cosa misura</w:t>
            </w:r>
          </w:p>
        </w:tc>
      </w:tr>
      <w:tr>
        <w:tc>
          <w:tcPr/>
          <w:p>
            <w:pPr>
              <w:pStyle w:val="Compact"/>
              <w:spacing w:after="40" w:before="40"/>
              <w:jc w:val="left"/>
            </w:pPr>
            <w:r>
              <w:rPr>
                <w:rFonts w:ascii="Cambria" w:hAnsi="Cambria" w:cs="Cambria" w:eastAsia="Cambria"/>
                <w:b/>
                <w:bCs/>
                <w:color w:val="1A1A1A"/>
                <w:sz w:val="18"/>
              </w:rPr>
              <w:t xml:space="preserve">Anni di vita ponderati per l’equità</w:t>
            </w:r>
          </w:p>
        </w:tc>
        <w:tc>
          <w:tcPr/>
          <w:p>
            <w:pPr>
              <w:pStyle w:val="Compact"/>
              <w:spacing w:after="40" w:before="40"/>
              <w:jc w:val="left"/>
            </w:pPr>
            <w:r>
              <w:rPr>
                <w:rFonts w:ascii="Cambria" w:hAnsi="Cambria" w:cs="Cambria" w:eastAsia="Cambria"/>
                <w:color w:val="1A1A1A"/>
                <w:sz w:val="18"/>
              </w:rPr>
              <w:t xml:space="preserve">Guadagni di salute con pesi per lo svantaggio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concentrazione</w:t>
            </w:r>
          </w:p>
        </w:tc>
        <w:tc>
          <w:tcPr>
            <w:shd w:val="clear" w:color="auto" w:fill="F4F1EC"/>
          </w:tcPr>
          <w:p>
            <w:pPr>
              <w:pStyle w:val="Compact"/>
              <w:spacing w:after="40" w:before="40"/>
              <w:jc w:val="left"/>
            </w:pPr>
            <w:r>
              <w:rPr>
                <w:rFonts w:ascii="Cambria" w:hAnsi="Cambria" w:cs="Cambria" w:eastAsia="Cambria"/>
                <w:color w:val="1A1A1A"/>
                <w:sz w:val="18"/>
              </w:rPr>
              <w:t xml:space="preserve">Relazione tra esito di salute e posizione socio-economica</w:t>
            </w:r>
          </w:p>
        </w:tc>
      </w:tr>
      <w:tr>
        <w:tc>
          <w:tcPr/>
          <w:p>
            <w:pPr>
              <w:pStyle w:val="Compact"/>
              <w:spacing w:after="40" w:before="40"/>
              <w:jc w:val="left"/>
            </w:pPr>
            <w:r>
              <w:rPr>
                <w:rFonts w:ascii="Cambria" w:hAnsi="Cambria" w:cs="Cambria" w:eastAsia="Cambria"/>
                <w:b/>
                <w:bCs/>
                <w:color w:val="1A1A1A"/>
                <w:sz w:val="18"/>
              </w:rPr>
              <w:t xml:space="preserve">Indici di disuguaglianza (assoluta e relativa)</w:t>
            </w:r>
          </w:p>
        </w:tc>
        <w:tc>
          <w:tcPr/>
          <w:p>
            <w:pPr>
              <w:pStyle w:val="Compact"/>
              <w:spacing w:after="40" w:before="40"/>
              <w:jc w:val="left"/>
            </w:pPr>
            <w:r>
              <w:rPr>
                <w:rFonts w:ascii="Cambria" w:hAnsi="Cambria" w:cs="Cambria" w:eastAsia="Cambria"/>
                <w:color w:val="1A1A1A"/>
                <w:sz w:val="18"/>
              </w:rPr>
              <w:t xml:space="preserve">Gradiente dell’esito lungo lo stato socio-economico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d’********impatto sull********’equità</w:t>
            </w:r>
          </w:p>
        </w:tc>
        <w:tc>
          <w:tcPr>
            <w:shd w:val="clear" w:color="auto" w:fill="F4F1EC"/>
          </w:tcPr>
          <w:p>
            <w:pPr>
              <w:pStyle w:val="Compact"/>
              <w:spacing w:after="40" w:before="40"/>
              <w:jc w:val="left"/>
            </w:pPr>
            <w:r>
              <w:rPr>
                <w:rFonts w:ascii="Cambria" w:hAnsi="Cambria" w:cs="Cambria" w:eastAsia="Cambria"/>
                <w:color w:val="1A1A1A"/>
                <w:sz w:val="18"/>
              </w:rPr>
              <w:t xml:space="preserve">Distribuzione degli effetti per gruppi vulnerabili e per area</w:t>
            </w:r>
          </w:p>
        </w:tc>
      </w:tr>
      <w:tr>
        <w:tc>
          <w:tcPr/>
          <w:p>
            <w:pPr>
              <w:pStyle w:val="Compact"/>
              <w:spacing w:after="40" w:before="40"/>
              <w:jc w:val="left"/>
            </w:pPr>
            <w:r>
              <w:rPr>
                <w:rFonts w:ascii="Cambria" w:hAnsi="Cambria" w:cs="Cambria" w:eastAsia="Cambria"/>
                <w:b/>
                <w:bCs/>
                <w:color w:val="1A1A1A"/>
                <w:sz w:val="18"/>
              </w:rPr>
              <w:t xml:space="preserve">Indice di deprivazione multipla</w:t>
            </w:r>
          </w:p>
        </w:tc>
        <w:tc>
          <w:tcPr/>
          <w:p>
            <w:pPr>
              <w:pStyle w:val="Compact"/>
              <w:spacing w:after="40" w:before="40"/>
              <w:jc w:val="left"/>
            </w:pPr>
            <w:r>
              <w:rPr>
                <w:rFonts w:ascii="Cambria" w:hAnsi="Cambria" w:cs="Cambria" w:eastAsia="Cambria"/>
                <w:color w:val="1A1A1A"/>
                <w:sz w:val="18"/>
              </w:rP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4424"/>
    <w:bookmarkStart w:id="4425" w:name="X65aaee363c6002e9d50584785652d6107ffd5de"/>
    <w:p>
      <w:pPr>
        <w:pStyle w:val="Heading3"/>
      </w:pPr>
      <w:r>
        <w:t xml:space="preserve">G.3 I divari territoriali e l’impoverimento</w:t>
      </w:r>
    </w:p>
    <w:p>
      <w:pPr>
        <w:pStyle w:val="FirstParagraph"/>
      </w:pPr>
      <w:r>
        <w:t xml:space="preserve">Il divario territoriale rilevante, in Toscana, non è quello Nord-Sud, ma quello interno tra l’area metropolitana centrale, lungo l’asse Firenze-Prato-Pisa, densa e ben servita, e le aree interne e montane, a popolazione anziana e dispersa e soggette a spopolamento, dove la sola presenza fisica di un primo livello accessibile costituisce già un atto di riequilibrio, integrato dalla telepsicologia.</w:t>
      </w:r>
      <w:r>
        <w:rPr>
          <w:rStyle w:val="FootnoteReference"/>
        </w:rPr>
        <w:footnoteReference w:id="2494"/>
      </w:r>
      <w:r>
        <w:t xml:space="preserve"> </w:t>
      </w:r>
      <w:r>
        <w:t xml:space="preserve">Poiché il canale della mobilità recuperata è inapplicabile perché la regione è creditrice, le principali leve distributive diventano la riduzione delle liste di attesa, che oggi penalizzano chi non può ricorrere al privato, l’estensione uniforme del servizio dalla sperimentazione a tutte le Case della Comunità delle tre Aziende USL, e l’accesso nelle aree interne e montane.</w:t>
      </w:r>
      <w:r>
        <w:rPr>
          <w:rStyle w:val="FootnoteReference"/>
        </w:rPr>
        <w:footnoteReference w:id="2495"/>
      </w:r>
      <w:r>
        <w:t xml:space="preserve"> </w:t>
      </w:r>
      <w:r>
        <w:t xml:space="preserve">A queste si aggiunge la protezione finanziaria: il servizio pubblico e gratuito riduce la spesa privata per la psicoterapia e l’impoverimento connesso alle cure, con beneficio maggiore per i redditi bassi.</w:t>
      </w:r>
      <w:r>
        <w:rPr>
          <w:rStyle w:val="FootnoteReference"/>
        </w:rPr>
        <w:footnoteReference w:id="2496"/>
      </w:r>
      <w:r>
        <w:t xml:space="preserve"> </w:t>
      </w:r>
      <w:r>
        <w:t xml:space="preserve">La forma più elementare di equità, infine, è la copertura del bisogno non soddisfatto, dell’ordine di 730.000 persone in larga parte non intercettate, ossia il raggiungere proprio coloro che meno accederebbero spontaneamente ai servizi.</w:t>
      </w:r>
      <w:r>
        <w:rPr>
          <w:rStyle w:val="FootnoteReference"/>
        </w:rPr>
        <w:footnoteReference w:id="2497"/>
      </w:r>
      <w:r>
        <w:t xml:space="preserve"> </w:t>
      </w:r>
      <w:r>
        <w:t xml:space="preserve">Tutti questi profili sono tradotti in indicatori e affidati al sistema di monitoraggio della Parte L, che ne accerta nel tempo il conseguimento.</w:t>
      </w:r>
      <w:r>
        <w:rPr>
          <w:rStyle w:val="FootnoteReference"/>
        </w:rPr>
        <w:footnoteReference w:id="2498"/>
      </w:r>
      <w:r>
        <w:t xml:space="preserve"> </w:t>
      </w:r>
      <w:r>
        <w:t xml:space="preserve">Definita la dimensione distributiva, la parte che segue affronta i profili etico, giuridico e organizzativo.</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etico, profili giuridici e costituzionali, profilo organizzativo e conformità</w:t>
      </w:r>
    </w:p>
    <w:p>
      <w:pPr>
        <w:pStyle w:val="BodyText"/>
      </w:pPr>
      <w:r>
        <w:t xml:space="preserve">Domini sei, sette e nove dell’HTA · etica, organizzazione e diritto</w:t>
      </w:r>
    </w:p>
    <w:bookmarkEnd w:id="4425"/>
    <w:bookmarkEnd w:id="4422"/>
    <w:bookmarkStart w:id="1936" w:name="Xa2c7067b5617539ca133478500f8e8ad233e14d"/>
    <w:p>
      <w:pPr>
        <w:pStyle w:val="Heading2"/>
      </w:pPr>
      <w:r>
        <w:t xml:space="preserve">Parte H — Profili etico, giuridico e organizzativo</w:t>
      </w:r>
    </w:p>
    <w:p>
      <w:pPr>
        <w:pStyle w:val="FirstParagraph"/>
      </w:pPr>
      <w:r>
        <w:t xml:space="preserve">Questa parte completa la valutazione affrontando i tre domini che restano oltre quelli già trattati: il profilo etico, il profilo giuridico e costituzionale e il profilo organizzativo e di conformità. Sono i piani che ne saggiano la legittimità e l’ammissibilità — non basta che un intervento sia efficace ed efficiente, occorre che sia eticamente fondato, giuridicamente legittimo e organizzativamente conforme. La parte esamina il profilo etico (capitolo H.1); i profili giuridici e costituzionali, con specifico riguardo alla competenza regionale (H.2); e il profilo organizzativo e la conformità, segnatamente degli strumenti di intelligenza artificiale (H.3). Per la Toscana, il punto giuridico saliente è che il servizio è già istituito da una legge regionale dedicata ed è operante in via sperimentale: la decisione verte sul portarlo a regime e sul dimensionarlo, non sul prevederlo né sul legiferarlo.</w:t>
      </w:r>
    </w:p>
    <w:bookmarkStart w:id="1922" w:name="h.1-il-profilo-etico-5"/>
    <w:p>
      <w:pPr>
        <w:pStyle w:val="Heading3"/>
      </w:pPr>
      <w:r>
        <w:t xml:space="preserve">H.1 Il profilo etico</w:t>
      </w:r>
    </w:p>
    <w:p>
      <w:pPr>
        <w:pStyle w:val="FirstParagraph"/>
      </w:pPr>
      <w:r>
        <w:t xml:space="preserve">Il profilo etico dell’intervento è solido.</w:t>
      </w:r>
      <w:r>
        <w:rPr>
          <w:rStyle w:val="FootnoteReference"/>
        </w:rPr>
        <w:footnoteReference w:id="2499"/>
      </w:r>
      <w:r>
        <w:rPr>
          <w:rStyle w:val="FootnoteReference"/>
        </w:rPr>
        <w:footnoteReference w:id="2500"/>
      </w:r>
      <w:r>
        <w:rPr>
          <w:rStyle w:val="FootnoteReference"/>
        </w:rPr>
        <w:footnoteReference w:id="2501"/>
      </w:r>
      <w:r>
        <w:rPr>
          <w:rStyle w:val="FootnoteReference"/>
        </w:rPr>
        <w:footnoteReference w:id="2502"/>
      </w:r>
      <w:r>
        <w:rPr>
          <w:rStyle w:val="FootnoteReference"/>
        </w:rPr>
        <w:footnoteReference w:id="2503"/>
      </w:r>
      <w:r>
        <w:rPr>
          <w:rStyle w:val="FootnoteReference"/>
        </w:rPr>
        <w:footnoteReference w:id="2504"/>
      </w:r>
      <w:r>
        <w:rPr>
          <w:rStyle w:val="FootnoteReference"/>
        </w:rPr>
        <w:footnoteReference w:id="2505"/>
      </w:r>
      <w:r>
        <w:rPr>
          <w:rStyle w:val="FootnoteReference"/>
        </w:rPr>
        <w:footnoteReference w:id="2506"/>
      </w:r>
      <w:r>
        <w:rPr>
          <w:rStyle w:val="FootnoteReference"/>
        </w:rPr>
        <w:footnoteReference w:id="2507"/>
      </w:r>
      <w:r>
        <w:rPr>
          <w:rStyle w:val="FootnoteReference"/>
        </w:rPr>
        <w:footnoteReference w:id="2508"/>
      </w:r>
      <w:r>
        <w:rPr>
          <w:rStyle w:val="FootnoteReference"/>
        </w:rPr>
        <w:footnoteReference w:id="2509"/>
      </w:r>
      <w:r>
        <w:rPr>
          <w:rStyle w:val="FootnoteReference"/>
        </w:rPr>
        <w:footnoteReference w:id="2510"/>
      </w:r>
      <w:r>
        <w:rPr>
          <w:rStyle w:val="FootnoteReference"/>
        </w:rPr>
        <w:footnoteReference w:id="2511"/>
      </w:r>
      <w:r>
        <w:rPr>
          <w:rStyle w:val="FootnoteReference"/>
        </w:rPr>
        <w:footnoteReference w:id="2512"/>
      </w:r>
      <w:r>
        <w:rPr>
          <w:rStyle w:val="FootnoteReference"/>
        </w:rPr>
        <w:footnoteReference w:id="2513"/>
      </w:r>
      <w:r>
        <w:rPr>
          <w:rStyle w:val="FootnoteReference"/>
        </w:rPr>
        <w:footnoteReference w:id="2514"/>
      </w:r>
      <w:r>
        <w:t xml:space="preserve"> </w:t>
      </w:r>
      <w:r>
        <w:t xml:space="preserve">Le dimensioni rilevanti sono l’equità di accesso, già trattata, l’autonomia della persona e la tutela del consenso informato, con la persona sempre soggetto e mai oggetto della presa in carico.</w:t>
      </w:r>
      <w:r>
        <w:rPr>
          <w:rStyle w:val="FootnoteReference"/>
        </w:rPr>
        <w:footnoteReference w:id="2515"/>
      </w:r>
      <w:r>
        <w:t xml:space="preserve"> </w:t>
      </w:r>
      <w:r>
        <w:t xml:space="preserve">Il consenso è modulare e reso anche in forma digitale, e nella salute mentale, dove i dati sono ultrasensibili, la persona deve sapere con chiarezza se interagisce con un sistema di intelligenza artificiale, quali dati siano raccolti e chi vi acceda.</w:t>
      </w:r>
      <w:r>
        <w:rPr>
          <w:rStyle w:val="FootnoteReference"/>
        </w:rPr>
        <w:footnoteReference w:id="2516"/>
      </w:r>
      <w:r>
        <w:t xml:space="preserve"> </w:t>
      </w:r>
      <w:r>
        <w:t xml:space="preserve">Sul piano della condotta della ricerca, gli esiti sono resi pubblici a prescindere dal loro segno, a garanzia contro la selezione dei risultati favorevoli, e l’impianto è sottoposto al comitato etico competente.</w:t>
      </w:r>
      <w:r>
        <w:rPr>
          <w:rStyle w:val="FootnoteReference"/>
        </w:rPr>
        <w:footnoteReference w:id="2517"/>
      </w:r>
      <w:r>
        <w:t xml:space="preserve"> </w:t>
      </w:r>
      <w:r>
        <w:t xml:space="preserve">Una cautela specifica presidia i minori e le persone vulnerabili: gli strumenti di esito sono impiegati nei soli punteggi complessivi e le situazioni di rischio sono indirizzate ai servizi specialistici e dell’emergenza in raccordo con il medico curante.</w:t>
      </w:r>
      <w:r>
        <w:rPr>
          <w:rStyle w:val="FootnoteReference"/>
        </w:rPr>
        <w:footnoteReference w:id="2518"/>
      </w:r>
    </w:p>
    <w:bookmarkEnd w:id="1922"/>
    <w:bookmarkStart w:id="1929" w:name="Xb67bee65011351aa7aa4a61edd5e63eaaa2c3de"/>
    <w:p>
      <w:pPr>
        <w:pStyle w:val="Heading3"/>
      </w:pPr>
      <w:r>
        <w:t xml:space="preserve">H.2 I profili giuridici e costituzionali</w:t>
      </w:r>
    </w:p>
    <w:p>
      <w:pPr>
        <w:pStyle w:val="FirstParagraph"/>
      </w:pPr>
      <w:r>
        <w:t xml:space="preserve">Sul piano giuridico, l’intervento si fonda anzitutto sull’articolo 32 della Costituzione e sulla legge istitutiva del Servizio sanitario nazionale, che configurano la salute come diritto fondamentale e il servizio come universale, eguale ed equo.</w:t>
      </w:r>
      <w:r>
        <w:rPr>
          <w:rStyle w:val="FootnoteReference"/>
        </w:rPr>
        <w:footnoteReference w:id="2519"/>
      </w:r>
      <w:r>
        <w:t xml:space="preserve"> </w:t>
      </w:r>
      <w:r>
        <w:t xml:space="preserve">Il riparto di competenze è il punto dirimente: la tutela della salute è materia concorrente, nella quale alle Regioni spetta l’organizzazione del servizio, e la Toscana ha esercitato tale competenza nella forma più piena, approvando una legge regionale dedicata anziché limitarsi a un atto amministrativo.</w:t>
      </w:r>
      <w:r>
        <w:rPr>
          <w:rStyle w:val="FootnoteReference"/>
        </w:rPr>
        <w:footnoteReference w:id="2520"/>
      </w:r>
      <w:r>
        <w:t xml:space="preserve"> </w:t>
      </w:r>
      <w:r>
        <w:t xml:space="preserve">La determinazione dei livelli essenziali delle prestazioni resta invece competenza esclusiva dello Stato, ed è la leva di un’eventuale uniformazione nazionale.</w:t>
      </w:r>
      <w:r>
        <w:rPr>
          <w:rStyle w:val="FootnoteReference"/>
        </w:rPr>
        <w:footnoteReference w:id="2521"/>
      </w:r>
      <w:r>
        <w:t xml:space="preserve"> </w:t>
      </w:r>
      <w:r>
        <w:t xml:space="preserve">Di rilievo diretto è la sentenza della Corte costituzionale del 2021, che ha riconosciuto legittimo il modello regionale di psicologia di base in quanto organizzazione che si avvale di professionisti già esistenti: un precedente che conforta in modo specifico la Toscana, che quel modello ha consolidato in una legge.</w:t>
      </w:r>
      <w:r>
        <w:rPr>
          <w:rStyle w:val="FootnoteReference"/>
        </w:rPr>
        <w:footnoteReference w:id="2522"/>
      </w:r>
      <w:r>
        <w:t xml:space="preserve"> </w:t>
      </w:r>
      <w:r>
        <w:t xml:space="preserve">La base regionale di tale scelta è costituita dalla legge 39 del 2022 e dal suo regolamento di attuazione, accompagnati dalle deliberazioni che hanno avviato ed esteso la sperimentazione; il coordinamento, in assenza di un’azienda regionale unica, è affidato alla Regione, alle tre Aziende USL e all’organismo di governo clinico.</w:t>
      </w:r>
      <w:r>
        <w:rPr>
          <w:rStyle w:val="FootnoteReference"/>
        </w:rPr>
        <w:footnoteReference w:id="2523"/>
      </w:r>
      <w:r>
        <w:t xml:space="preserve"> </w:t>
      </w:r>
      <w:r>
        <w:t xml:space="preserve">Quanto ai vincoli di finanza pubblica, il principio di destinazione dei fondi sanitari ai livelli essenziali è rispettato dalla riforma; la Toscana non è in piano di rientro ed è regione creditrice, pur operando sotto pressione finanziaria.</w:t>
      </w:r>
      <w:r>
        <w:rPr>
          <w:rStyle w:val="FootnoteReference"/>
        </w:rPr>
        <w:footnoteReference w:id="2524"/>
      </w:r>
      <w:r>
        <w:t xml:space="preserve"> </w:t>
      </w:r>
      <w:r>
        <w:t xml:space="preserve">La tabella seguente riepiloga i riferimenti.</w:t>
      </w:r>
    </w:p>
    <w:tbl>
      <w:tblPr>
        <w:tblStyle w:val="Table"/>
        <w:tblW w:type="pct" w:w="494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640"/>
        <w:gridCol w:w="519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Riferimento giuridico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rilevante</w:t>
            </w:r>
          </w:p>
        </w:tc>
      </w:tr>
      <w:tr>
        <w:tc>
          <w:tcPr/>
          <w:p>
            <w:pPr>
              <w:pStyle w:val="Compact"/>
              <w:spacing w:after="40" w:before="40"/>
              <w:jc w:val="left"/>
            </w:pPr>
            <w:r>
              <w:rPr>
                <w:rFonts w:ascii="Cambria" w:hAnsi="Cambria" w:cs="Cambria" w:eastAsia="Cambria"/>
                <w:b/>
                <w:bCs/>
                <w:color w:val="1A1A1A"/>
                <w:sz w:val="18"/>
              </w:rPr>
              <w:t xml:space="preserve">Articolo 32 Cost. e legge n. 833/1978</w:t>
            </w:r>
          </w:p>
        </w:tc>
        <w:tc>
          <w:tcPr/>
          <w:p>
            <w:pPr>
              <w:pStyle w:val="Compact"/>
              <w:spacing w:after="40" w:before="40"/>
              <w:jc w:val="left"/>
            </w:pPr>
            <w:r>
              <w:rPr>
                <w:rFonts w:ascii="Cambria" w:hAnsi="Cambria" w:cs="Cambria" w:eastAsia="Cambria"/>
                <w:color w:val="1A1A1A"/>
                <w:sz w:val="18"/>
              </w:rPr>
              <w:t xml:space="preserve">Salute come diritto; Servizio sanitario universale, eguale ed equo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Articolo 117, terzo comma, Cost.</w:t>
            </w:r>
          </w:p>
        </w:tc>
        <w:tc>
          <w:tcPr>
            <w:shd w:val="clear" w:color="auto" w:fill="F4F1EC"/>
          </w:tcPr>
          <w:p>
            <w:pPr>
              <w:pStyle w:val="Compact"/>
              <w:spacing w:after="40" w:before="40"/>
              <w:jc w:val="left"/>
            </w:pPr>
            <w:r>
              <w:rPr>
                <w:rFonts w:ascii="Cambria" w:hAnsi="Cambria" w:cs="Cambria" w:eastAsia="Cambria"/>
                <w:color w:val="1A1A1A"/>
                <w:sz w:val="18"/>
              </w:rPr>
              <w:t xml:space="preserve">Tutela della salute: competenza concorrente (principi allo Stato, organizzazione alle Regioni)</w:t>
            </w:r>
          </w:p>
        </w:tc>
      </w:tr>
      <w:tr>
        <w:tc>
          <w:tcPr/>
          <w:p>
            <w:pPr>
              <w:pStyle w:val="Compact"/>
              <w:spacing w:after="40" w:before="40"/>
              <w:jc w:val="left"/>
            </w:pPr>
            <w:r>
              <w:rPr>
                <w:rFonts w:ascii="Cambria" w:hAnsi="Cambria" w:cs="Cambria" w:eastAsia="Cambria"/>
                <w:b/>
                <w:bCs/>
                <w:color w:val="1A1A1A"/>
                <w:sz w:val="18"/>
              </w:rPr>
              <w:t xml:space="preserve">Articolo 117, secondo comma, lettera m), Cost.</w:t>
            </w:r>
          </w:p>
        </w:tc>
        <w:tc>
          <w:tcPr/>
          <w:p>
            <w:pPr>
              <w:pStyle w:val="Compact"/>
              <w:spacing w:after="40" w:before="40"/>
              <w:jc w:val="left"/>
            </w:pPr>
            <w:r>
              <w:rPr>
                <w:rFonts w:ascii="Cambria" w:hAnsi="Cambria" w:cs="Cambria" w:eastAsia="Cambria"/>
                <w:color w:val="1A1A1A"/>
                <w:sz w:val="18"/>
              </w:rPr>
              <w:t xml:space="preserve">Livelli essenziali delle prestazioni: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Legge regionale n. 39/2022 e regolamento (DGR 43/2024)</w:t>
            </w:r>
          </w:p>
        </w:tc>
        <w:tc>
          <w:tcPr>
            <w:shd w:val="clear" w:color="auto" w:fill="F4F1EC"/>
          </w:tcPr>
          <w:p>
            <w:pPr>
              <w:pStyle w:val="Compact"/>
              <w:spacing w:after="40" w:before="40"/>
              <w:jc w:val="left"/>
            </w:pPr>
            <w:r>
              <w:rPr>
                <w:rFonts w:ascii="Cambria" w:hAnsi="Cambria" w:cs="Cambria" w:eastAsia="Cambria"/>
                <w:color w:val="1A1A1A"/>
                <w:sz w:val="18"/>
              </w:rPr>
              <w:t xml:space="preserve">Base regionale: il servizio è istituito da una legge dedicata e attuato con regolamento (tratto distintivo della Toscana)</w:t>
            </w:r>
          </w:p>
        </w:tc>
      </w:tr>
      <w:tr>
        <w:tc>
          <w:tcPr/>
          <w:p>
            <w:pPr>
              <w:pStyle w:val="Compact"/>
              <w:spacing w:after="40" w:before="40"/>
              <w:jc w:val="left"/>
            </w:pPr>
            <w:r>
              <w:rPr>
                <w:rFonts w:ascii="Cambria" w:hAnsi="Cambria" w:cs="Cambria" w:eastAsia="Cambria"/>
                <w:b/>
                <w:bCs/>
                <w:color w:val="1A1A1A"/>
                <w:sz w:val="18"/>
              </w:rPr>
              <w:t xml:space="preserve">Corte costituzionale, sentenza n. 241/2021</w:t>
            </w:r>
          </w:p>
        </w:tc>
        <w:tc>
          <w:tcPr/>
          <w:p>
            <w:pPr>
              <w:pStyle w:val="Compact"/>
              <w:spacing w:after="40" w:before="40"/>
              <w:jc w:val="left"/>
            </w:pPr>
            <w:r>
              <w:rPr>
                <w:rFonts w:ascii="Cambria" w:hAnsi="Cambria" w:cs="Cambria" w:eastAsia="Cambria"/>
                <w:color w:val="1A1A1A"/>
                <w:sz w:val="18"/>
              </w:rPr>
              <w:t xml:space="preserve">Modello regionale di psicologia di base riconosciuto legittimo (precedente che conforta la scelta legislativa)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Sperimentazione (DGR 1601/2023, 244/2025 e proroga 2026)</w:t>
            </w:r>
          </w:p>
        </w:tc>
        <w:tc>
          <w:tcPr>
            <w:shd w:val="clear" w:color="auto" w:fill="F4F1EC"/>
          </w:tcPr>
          <w:p>
            <w:pPr>
              <w:pStyle w:val="Compact"/>
              <w:spacing w:after="40" w:before="40"/>
              <w:jc w:val="left"/>
            </w:pPr>
            <w:r>
              <w:rPr>
                <w:rFonts w:ascii="Cambria" w:hAnsi="Cambria" w:cs="Cambria" w:eastAsia="Cambria"/>
                <w:color w:val="1A1A1A"/>
                <w:sz w:val="18"/>
              </w:rPr>
              <w:t xml:space="preserve">Servizio operante in via sperimentale; decisione: strutturazione a regime e dimensionamento</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1929"/>
    <w:bookmarkStart w:id="1935" w:name="Xa83c675a5f90fe3a54756df166f04ff453a0a89"/>
    <w:p>
      <w:pPr>
        <w:pStyle w:val="Heading3"/>
      </w:pPr>
      <w:r>
        <w:t xml:space="preserve">H.3 Il profilo organizzativo e la conformità</w:t>
      </w:r>
    </w:p>
    <w:p>
      <w:pPr>
        <w:pStyle w:val="FirstParagraph"/>
      </w:pPr>
      <w:r>
        <w:t xml:space="preserve">Sul piano organizzativo, il servizio opera nel rispetto delle norme deontologiche della professione, sotto la vigilanza dell’Ordine degli Psicologi della Toscana, che ha accompagnato l’attivazione del servizio e concorre alla governance e alla formazione.</w:t>
      </w:r>
      <w:r>
        <w:rPr>
          <w:rStyle w:val="FootnoteReference"/>
        </w:rPr>
        <w:footnoteReference w:id="2525"/>
      </w:r>
      <w:r>
        <w:t xml:space="preserve"> </w:t>
      </w:r>
      <w:r>
        <w:t xml:space="preserve">L’impiego dell’intelligenza artificiale non altera le responsabilità professionali: il medico resta garante della diagnosi e della terapia medica, lo psicologo dell’intervento psicologico, e l’intelligenza artificiale è assimilata a un dispositivo di supporto e non a una figura che compie atti, sicché non si introduce una nuova professione, ma uno strumento che assiste quelle esistenti.</w:t>
      </w:r>
      <w:r>
        <w:rPr>
          <w:rStyle w:val="FootnoteReference"/>
        </w:rPr>
        <w:footnoteReference w:id="2526"/>
      </w:r>
      <w:r>
        <w:t xml:space="preserve"> </w:t>
      </w:r>
      <w:r>
        <w:t xml:space="preserve">La conformità degli strumenti è governata dal quadro europeo — il regolamento sull’intelligenza artificiale, quello sui dispositivi medici e quello sulla protezione dei dati — cui si aggiungono la supervisione umana costante, la validazione periodica, il monitoraggio dei bias e la trasparenza.</w:t>
      </w:r>
      <w:r>
        <w:rPr>
          <w:rStyle w:val="FootnoteReference"/>
        </w:rPr>
        <w:footnoteReference w:id="2527"/>
      </w:r>
      <w:r>
        <w:t xml:space="preserve"> </w:t>
      </w:r>
      <w:r>
        <w:t xml:space="preserve">Una particolare attenzione è dedicata all’equità digitale, perché gli strumenti non generino nuove disuguaglianze: sono previsti canali tradizionali per le persone anziane delle aree interne e montane e il supporto multilingue per la popolazione straniera, sempre con l’alternativa in presenza garantita.</w:t>
      </w:r>
      <w:r>
        <w:rPr>
          <w:rStyle w:val="FootnoteReference"/>
        </w:rPr>
        <w:footnoteReference w:id="2528"/>
      </w:r>
      <w:r>
        <w:t xml:space="preserve"> </w:t>
      </w:r>
      <w:r>
        <w:t xml:space="preserve">La protezione dei dati, infine, è assicurata da misure robuste di sicurezza, dal consenso modulare e dalla collaborazione con l’Autorità garante.</w:t>
      </w:r>
      <w:r>
        <w:rPr>
          <w:rStyle w:val="FootnoteReference"/>
        </w:rPr>
        <w:footnoteReference w:id="2529"/>
      </w:r>
      <w:r>
        <w:t xml:space="preserve"> </w:t>
      </w:r>
      <w:r>
        <w:t xml:space="preserve">La tabella seguente riepiloga il quadro della conformità e della governance. Definiti i profili etico, giuridico e organizzativo, la parte che segue affronta l’attuazione, la fattibilità e la sostenibilità.</w:t>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95"/>
        <w:gridCol w:w="2750"/>
        <w:gridCol w:w="346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Garanzia</w:t>
            </w:r>
          </w:p>
        </w:tc>
      </w:tr>
      <w:tr>
        <w:tc>
          <w:tcPr/>
          <w:p>
            <w:pPr>
              <w:pStyle w:val="Compact"/>
              <w:spacing w:after="40" w:before="40"/>
              <w:jc w:val="left"/>
            </w:pPr>
            <w:r>
              <w:rPr>
                <w:rFonts w:ascii="Cambria" w:hAnsi="Cambria" w:cs="Cambria" w:eastAsia="Cambria"/>
                <w:b/>
                <w:bCs/>
                <w:color w:val="1A1A1A"/>
                <w:sz w:val="18"/>
              </w:rPr>
              <w:t xml:space="preserve">Deontologia</w:t>
            </w:r>
          </w:p>
        </w:tc>
        <w:tc>
          <w:tcPr/>
          <w:p>
            <w:pPr>
              <w:pStyle w:val="Compact"/>
              <w:spacing w:after="40" w:before="40"/>
              <w:jc w:val="left"/>
            </w:pPr>
            <w:r>
              <w:rPr>
                <w:rFonts w:ascii="Cambria" w:hAnsi="Cambria" w:cs="Cambria" w:eastAsia="Cambria"/>
                <w:color w:val="1A1A1A"/>
                <w:sz w:val="18"/>
              </w:rPr>
              <w:t xml:space="preserve">Ordine degli Psicologi della Toscana</w:t>
            </w:r>
          </w:p>
        </w:tc>
        <w:tc>
          <w:tcPr/>
          <w:p>
            <w:pPr>
              <w:pStyle w:val="Compact"/>
              <w:spacing w:after="40" w:before="40"/>
              <w:jc w:val="left"/>
            </w:pPr>
            <w:r>
              <w:rPr>
                <w:rFonts w:ascii="Cambria" w:hAnsi="Cambria" w:cs="Cambria" w:eastAsia="Cambria"/>
                <w:color w:val="1A1A1A"/>
                <w:sz w:val="18"/>
              </w:rPr>
              <w:t xml:space="preserve">Rispetto delle norme deontologiche; concorso alla governance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Responsabilità clinica</w:t>
            </w:r>
          </w:p>
        </w:tc>
        <w:tc>
          <w:tcPr>
            <w:shd w:val="clear" w:color="auto" w:fill="F4F1EC"/>
          </w:tcPr>
          <w:p>
            <w:pPr>
              <w:pStyle w:val="Compact"/>
              <w:spacing w:after="40" w:before="40"/>
              <w:jc w:val="left"/>
            </w:pPr>
            <w:r>
              <w:rPr>
                <w:rFonts w:ascii="Cambria" w:hAnsi="Cambria" w:cs="Cambria" w:eastAsia="Cambria"/>
                <w:color w:val="1A1A1A"/>
                <w:sz w:val="18"/>
              </w:rPr>
              <w:t xml:space="preserve">Medico e psicologo</w:t>
            </w:r>
          </w:p>
        </w:tc>
        <w:tc>
          <w:tcPr>
            <w:shd w:val="clear" w:color="auto" w:fill="F4F1EC"/>
          </w:tcPr>
          <w:p>
            <w:pPr>
              <w:pStyle w:val="Compact"/>
              <w:spacing w:after="40" w:before="40"/>
              <w:jc w:val="left"/>
            </w:pPr>
            <w:r>
              <w:rPr>
                <w:rFonts w:ascii="Cambria" w:hAnsi="Cambria" w:cs="Cambria" w:eastAsia="Cambria"/>
                <w:color w:val="1A1A1A"/>
                <w:sz w:val="18"/>
              </w:rPr>
              <w:t xml:space="preserve">Ruoli invariati; l’IA è strumento di supporto</w:t>
            </w:r>
          </w:p>
        </w:tc>
      </w:tr>
      <w:tr>
        <w:tc>
          <w:tcPr/>
          <w:p>
            <w:pPr>
              <w:pStyle w:val="Compact"/>
              <w:spacing w:after="40" w:before="40"/>
              <w:jc w:val="left"/>
            </w:pPr>
            <w:r>
              <w:rPr>
                <w:rFonts w:ascii="Cambria" w:hAnsi="Cambria" w:cs="Cambria" w:eastAsia="Cambria"/>
                <w:b/>
                <w:bCs/>
                <w:color w:val="1A1A1A"/>
                <w:sz w:val="18"/>
              </w:rPr>
              <w:t xml:space="preserve">IA e dispositivi</w:t>
            </w:r>
          </w:p>
        </w:tc>
        <w:tc>
          <w:tcPr/>
          <w:p>
            <w:pPr>
              <w:pStyle w:val="Compact"/>
              <w:spacing w:after="40" w:before="40"/>
              <w:jc w:val="left"/>
            </w:pPr>
            <w:r>
              <w:rPr>
                <w:rFonts w:ascii="Cambria" w:hAnsi="Cambria" w:cs="Cambria" w:eastAsia="Cambria"/>
                <w:color w:val="1A1A1A"/>
                <w:sz w:val="18"/>
              </w:rPr>
              <w:t xml:space="preserve">AI Act, dispositivi medici, protezione dei dati</w:t>
            </w:r>
          </w:p>
        </w:tc>
        <w:tc>
          <w:tcPr/>
          <w:p>
            <w:pPr>
              <w:pStyle w:val="Compact"/>
              <w:spacing w:after="40" w:before="40"/>
              <w:jc w:val="left"/>
            </w:pPr>
            <w:r>
              <w:rPr>
                <w:rFonts w:ascii="Cambria" w:hAnsi="Cambria" w:cs="Cambria" w:eastAsia="Cambria"/>
                <w:color w:val="1A1A1A"/>
                <w:sz w:val="18"/>
              </w:rPr>
              <w:t xml:space="preserve">Marcatura CE; supervisione umana; validazione periodica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Governance dell’IA</w:t>
            </w:r>
          </w:p>
        </w:tc>
        <w:tc>
          <w:tcPr>
            <w:shd w:val="clear" w:color="auto" w:fill="F4F1EC"/>
          </w:tcPr>
          <w:p>
            <w:pPr>
              <w:pStyle w:val="Compact"/>
              <w:spacing w:after="40" w:before="40"/>
              <w:jc w:val="left"/>
            </w:pPr>
            <w:r>
              <w:rPr>
                <w:rFonts w:ascii="Cambria" w:hAnsi="Cambria" w:cs="Cambria" w:eastAsia="Cambria"/>
                <w:color w:val="1A1A1A"/>
                <w:sz w:val="18"/>
              </w:rPr>
              <w:t xml:space="preserve">Comitato etico-scientifico; OTGC</w:t>
            </w:r>
          </w:p>
        </w:tc>
        <w:tc>
          <w:tcPr>
            <w:shd w:val="clear" w:color="auto" w:fill="F4F1EC"/>
          </w:tcPr>
          <w:p>
            <w:pPr>
              <w:pStyle w:val="Compact"/>
              <w:spacing w:after="40" w:before="40"/>
              <w:jc w:val="left"/>
            </w:pPr>
            <w:r>
              <w:rPr>
                <w:rFonts w:ascii="Cambria" w:hAnsi="Cambria" w:cs="Cambria" w:eastAsia="Cambria"/>
                <w:color w:val="1A1A1A"/>
                <w:sz w:val="18"/>
              </w:rPr>
              <w:t xml:space="preserve">Monitoraggio dei bias; trasparenza; non discriminazione</w:t>
            </w:r>
          </w:p>
        </w:tc>
      </w:tr>
      <w:tr>
        <w:tc>
          <w:tcPr/>
          <w:p>
            <w:pPr>
              <w:pStyle w:val="Compact"/>
              <w:spacing w:after="40" w:before="40"/>
              <w:jc w:val="left"/>
            </w:pPr>
            <w:r>
              <w:rPr>
                <w:rFonts w:ascii="Cambria" w:hAnsi="Cambria" w:cs="Cambria" w:eastAsia="Cambria"/>
                <w:b/>
                <w:bCs/>
                <w:color w:val="1A1A1A"/>
                <w:sz w:val="18"/>
              </w:rPr>
              <w:t xml:space="preserve">Equità digitale</w:t>
            </w:r>
          </w:p>
        </w:tc>
        <w:tc>
          <w:tcPr/>
          <w:p>
            <w:pPr>
              <w:pStyle w:val="Compact"/>
              <w:spacing w:after="40" w:before="40"/>
              <w:jc w:val="left"/>
            </w:pPr>
            <w:r>
              <w:rPr>
                <w:rFonts w:ascii="Cambria" w:hAnsi="Cambria" w:cs="Cambria" w:eastAsia="Cambria"/>
                <w:color w:val="1A1A1A"/>
                <w:sz w:val="18"/>
              </w:rPr>
              <w:t xml:space="preserve">Canali paralleli; supporto multilingue</w:t>
            </w:r>
          </w:p>
        </w:tc>
        <w:tc>
          <w:tcPr/>
          <w:p>
            <w:pPr>
              <w:pStyle w:val="Compact"/>
              <w:spacing w:after="40" w:before="40"/>
              <w:jc w:val="left"/>
            </w:pPr>
            <w:r>
              <w:rPr>
                <w:rFonts w:ascii="Cambria" w:hAnsi="Cambria" w:cs="Cambria" w:eastAsia="Cambria"/>
                <w:color w:val="1A1A1A"/>
                <w:sz w:val="18"/>
              </w:rPr>
              <w:t xml:space="preserve">Alternativa in presenza sempre garantita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Protezione dei dati</w:t>
            </w:r>
          </w:p>
        </w:tc>
        <w:tc>
          <w:tcPr>
            <w:shd w:val="clear" w:color="auto" w:fill="F4F1EC"/>
          </w:tcPr>
          <w:p>
            <w:pPr>
              <w:pStyle w:val="Compact"/>
              <w:spacing w:after="40" w:before="40"/>
              <w:jc w:val="left"/>
            </w:pPr>
            <w:r>
              <w:rPr>
                <w:rFonts w:ascii="Cambria" w:hAnsi="Cambria" w:cs="Cambria" w:eastAsia="Cambria"/>
                <w:color w:val="1A1A1A"/>
                <w:sz w:val="18"/>
              </w:rPr>
              <w:t xml:space="preserve">Crittografia; pseudonimizzazione</w:t>
            </w:r>
          </w:p>
        </w:tc>
        <w:tc>
          <w:tcPr>
            <w:shd w:val="clear" w:color="auto" w:fill="F4F1EC"/>
          </w:tcPr>
          <w:p>
            <w:pPr>
              <w:pStyle w:val="Compact"/>
              <w:spacing w:after="40" w:before="40"/>
              <w:jc w:val="left"/>
            </w:pPr>
            <w:r>
              <w:rPr>
                <w:rFonts w:ascii="Cambria" w:hAnsi="Cambria" w:cs="Cambria" w:eastAsia="Cambria"/>
                <w:color w:val="1A1A1A"/>
                <w:sz w:val="18"/>
              </w:rPr>
              <w:t xml:space="preserve">Consenso modulare; collaborazione con il Garante</w:t>
            </w:r>
          </w:p>
        </w:tc>
      </w:tr>
    </w:tbl>
    <w:p>
      <w:pPr>
        <w:pStyle w:val="BodyText"/>
      </w:pPr>
      <w:r>
        <w:rPr>
          <w:i/>
          <w:iCs/>
        </w:rPr>
        <w:t xml:space="preserve">Tabella H.2. Il quadro della conformità organizzativa e di governance dell</w:t>
      </w:r>
      <w:r>
        <w:rPr>
          <w:b/>
          <w:bCs/>
          <w:i/>
          <w:iCs/>
        </w:rPr>
        <w:t xml:space="preserve">’</w:t>
      </w:r>
      <w:r>
        <w:rPr>
          <w:i/>
          <w:iCs/>
        </w:rPr>
        <w:t xml:space="preserve">intervento.</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Scienza dell</w:t>
      </w:r>
      <w:r>
        <w:rPr>
          <w:b/>
          <w:bCs/>
          <w:i/>
          <w:iCs/>
        </w:rPr>
        <w:t xml:space="preserve">’</w:t>
      </w:r>
      <w:r>
        <w:rPr>
          <w:i/>
          <w:iCs/>
        </w:rPr>
        <w:t xml:space="preserve">implementazione, dimensionamento, casi commerciale e gestionale, sostenibilità finanziaria</w:t>
      </w:r>
    </w:p>
    <w:p>
      <w:pPr>
        <w:pStyle w:val="BodyText"/>
      </w:pPr>
      <w:r>
        <w:t xml:space="preserve">Settimo dominio dell’HTA · il profilo organizzativo</w:t>
      </w:r>
    </w:p>
    <w:bookmarkEnd w:id="1935"/>
    <w:bookmarkEnd w:id="1936"/>
    <w:bookmarkStart w:id="1973" w:name="X5f62c5c9d7384f43bbe843586d27804b5376a7b"/>
    <w:p>
      <w:pPr>
        <w:pStyle w:val="Heading2"/>
      </w:pPr>
      <w:r>
        <w:t xml:space="preserve">Parte I — Attuazione, fattibilità e sostenibilità</w:t>
      </w:r>
    </w:p>
    <w:p>
      <w:pPr>
        <w:pStyle w:val="FirstParagraph"/>
      </w:pPr>
      <w:r>
        <w:t xml:space="preserve">Le parti precedenti hanno mostrato che l’intervento è efficace, efficiente, equo e legittimo; questa parte affronta la domanda decisiva per il decisore: è attuabile e sostenibile. La fattibilità è trattata con gli strumenti della scienza dell’implementazione, e la sostenibilità con i casi commerciale, gestionale e finanziario del modello di valutazione degli investimenti pubblici. La parte presenta i quadri della scienza dell’implementazione (capitolo I.1); disegna il dimensionamento del servizio (I.2); definisce il caso commerciale, ossia il modello contrattuale e la tariffa (I.3); il caso gestionale, ossia la governance e i rischi (I.4); e il caso finanziario, ossia la sostenibilità e le coperture (I.5). Per la Toscana, la circostanza che il servizio sia già istituito per legge e attivo in via sperimentale rende l’attuazione non un avvio ex novo, ma una strutturazione a regime e un progressivo dimensionamento di un servizio esistente.</w:t>
      </w:r>
    </w:p>
    <w:bookmarkStart w:id="4426" w:name="i.1-la-scienza-dellimplementazione-4"/>
    <w:p>
      <w:pPr>
        <w:pStyle w:val="Heading3"/>
      </w:pPr>
      <w:r>
        <w:t xml:space="preserve">I.1 La scienza dell’implementazione</w:t>
      </w:r>
    </w:p>
    <w:p>
      <w:pPr>
        <w:pStyle w:val="FirstParagraph"/>
      </w:pPr>
      <w:r>
        <w:t xml:space="preserve">L’attuazione è trattata con il rigore della scienza dell’implementazione, e non lasciata all’improvvisazione.</w:t>
      </w:r>
      <w:r>
        <w:rPr>
          <w:rStyle w:val="FootnoteReference"/>
        </w:rPr>
        <w:footnoteReference w:id="2530"/>
      </w:r>
      <w:r>
        <w:rPr>
          <w:rStyle w:val="FootnoteReference"/>
        </w:rPr>
        <w:footnoteReference w:id="2531"/>
      </w:r>
      <w:r>
        <w:rPr>
          <w:rStyle w:val="FootnoteReference"/>
        </w:rPr>
        <w:footnoteReference w:id="2532"/>
      </w:r>
      <w:r>
        <w:rPr>
          <w:rStyle w:val="FootnoteReference"/>
        </w:rPr>
        <w:footnoteReference w:id="2533"/>
      </w:r>
      <w:r>
        <w:rPr>
          <w:rStyle w:val="FootnoteReference"/>
        </w:rPr>
        <w:footnoteReference w:id="2534"/>
      </w:r>
      <w:r>
        <w:rPr>
          <w:rStyle w:val="FootnoteReference"/>
        </w:rPr>
        <w:footnoteReference w:id="2535"/>
      </w:r>
      <w:r>
        <w:rPr>
          <w:rStyle w:val="FootnoteReference"/>
        </w:rPr>
        <w:footnoteReference w:id="2536"/>
      </w:r>
      <w:r>
        <w:rPr>
          <w:rStyle w:val="FootnoteReference"/>
        </w:rPr>
        <w:footnoteReference w:id="2537"/>
      </w:r>
      <w:r>
        <w:rPr>
          <w:rStyle w:val="FootnoteReference"/>
        </w:rPr>
        <w:footnoteReference w:id="2538"/>
      </w:r>
      <w:r>
        <w:rPr>
          <w:rStyle w:val="FootnoteReference"/>
        </w:rPr>
        <w:footnoteReference w:id="2539"/>
      </w:r>
      <w:r>
        <w:rPr>
          <w:rStyle w:val="FootnoteReference"/>
        </w:rPr>
        <w:footnoteReference w:id="2540"/>
      </w:r>
      <w:r>
        <w:rPr>
          <w:rStyle w:val="FootnoteReference"/>
        </w:rPr>
        <w:footnoteReference w:id="2541"/>
      </w:r>
      <w:r>
        <w:rPr>
          <w:rStyle w:val="FootnoteReference"/>
        </w:rPr>
        <w:footnoteReference w:id="2542"/>
      </w:r>
      <w:r>
        <w:rPr>
          <w:rStyle w:val="FootnoteReference"/>
        </w:rPr>
        <w:footnoteReference w:id="2543"/>
      </w:r>
      <w:r>
        <w:rPr>
          <w:rStyle w:val="FootnoteReference"/>
        </w:rPr>
        <w:footnoteReference w:id="2544"/>
      </w:r>
      <w:r>
        <w:rPr>
          <w:rStyle w:val="FootnoteReference"/>
        </w:rPr>
        <w:footnoteReference w:id="2545"/>
      </w:r>
      <w:r>
        <w:t xml:space="preserve"> </w:t>
      </w:r>
      <w:r>
        <w:t xml:space="preserve">Due quadri complementari ne governano l’analisi. Il modello RE-AIM misura la riuscita e la validità esterna dell’attuazione lungo cinque dimensioni — portata, efficacia, adozione, implementazione e mantenimento — e per la Toscana la dimensione del mantenimento è dirimente, trattandosi di consolidare a regime un servizio già avviato.</w:t>
      </w:r>
      <w:r>
        <w:rPr>
          <w:rStyle w:val="FootnoteReference"/>
        </w:rPr>
        <w:footnoteReference w:id="2546"/>
      </w:r>
      <w:r>
        <w:t xml:space="preserve"> </w:t>
      </w:r>
      <w:r>
        <w:t xml:space="preserve">Il quadro consolidato per la ricerca sull’implementazione ne spiega invece i determinanti, articolati in cinque domini, consentendo di individuare in anticipo barriere e facilitatori.</w:t>
      </w:r>
      <w:r>
        <w:rPr>
          <w:rStyle w:val="FootnoteReference"/>
        </w:rPr>
        <w:footnoteReference w:id="2547"/>
      </w:r>
      <w:r>
        <w:t xml:space="preserve"> </w:t>
      </w:r>
      <w:r>
        <w:t xml:space="preserve">Da questi quadri lo studio deriva i determinanti che seguirà: il tasso di copertura, l’adozione delle sedi, la fedeltà al modello, i tempi di dimensionamento, il numero di psicologi reclutati e formati e il grado di integrazione nei flussi di lavoro.</w:t>
      </w:r>
      <w:r>
        <w:rPr>
          <w:rStyle w:val="FootnoteReference"/>
        </w:rPr>
        <w:footnoteReference w:id="2548"/>
      </w:r>
      <w:r>
        <w:t xml:space="preserve"> </w:t>
      </w:r>
      <w:r>
        <w:t xml:space="preserve">La tabella seguente riepiloga i due quadri.</w:t>
      </w:r>
    </w:p>
    <w:tbl>
      <w:tblPr>
        <w:tblStyle w:val="Table"/>
        <w:tblW w:type="pct" w:w="490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22"/>
        <w:gridCol w:w="49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w:t>
            </w:r>
          </w:p>
        </w:tc>
        <w:tc>
          <w:tcPr>
            <w:shd w:val="clear" w:color="auto" w:fill="16264B"/>
          </w:tcPr>
          <w:p>
            <w:pPr>
              <w:pStyle w:val="Compact"/>
              <w:spacing w:after="40" w:before="40"/>
              <w:jc w:val="left"/>
            </w:pPr>
            <w:r>
              <w:rPr>
                <w:rFonts w:ascii="Cambria" w:hAnsi="Cambria" w:cs="Cambria" w:eastAsia="Cambria"/>
                <w:b/>
                <w:bCs/>
                <w:color w:val="FFFFFF"/>
                <w:sz w:val="18"/>
              </w:rPr>
              <w:t xml:space="preserve">Che cosa misura o spiega</w:t>
            </w:r>
          </w:p>
        </w:tc>
      </w:tr>
      <w:tr>
        <w:tc>
          <w:tcPr/>
          <w:p>
            <w:pPr>
              <w:pStyle w:val="Compact"/>
              <w:spacing w:after="40" w:before="40"/>
              <w:jc w:val="left"/>
            </w:pPr>
            <w:r>
              <w:rPr>
                <w:rFonts w:ascii="Cambria" w:hAnsi="Cambria" w:cs="Cambria" w:eastAsia="Cambria"/>
                <w:b/>
                <w:bCs/>
                <w:color w:val="1A1A1A"/>
                <w:sz w:val="18"/>
              </w:rPr>
              <w:t xml:space="preserve">Portata (RE-AIM)</w:t>
            </w:r>
          </w:p>
        </w:tc>
        <w:tc>
          <w:tcPr/>
          <w:p>
            <w:pPr>
              <w:pStyle w:val="Compact"/>
              <w:spacing w:after="40" w:before="40"/>
              <w:jc w:val="left"/>
            </w:pPr>
            <w:r>
              <w:rPr>
                <w:rFonts w:ascii="Cambria" w:hAnsi="Cambria" w:cs="Cambria" w:eastAsia="Cambria"/>
                <w:color w:val="1A1A1A"/>
                <w:sz w:val="18"/>
              </w:rPr>
              <w:t xml:space="preserve">Quota della popolazione bersaglio raggiunta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(RE-AIM)</w:t>
            </w:r>
          </w:p>
        </w:tc>
        <w:tc>
          <w:tcPr>
            <w:shd w:val="clear" w:color="auto" w:fill="F4F1EC"/>
          </w:tcPr>
          <w:p>
            <w:pPr>
              <w:pStyle w:val="Compact"/>
              <w:spacing w:after="40" w:before="40"/>
              <w:jc w:val="left"/>
            </w:pPr>
            <w:r>
              <w:rPr>
                <w:rFonts w:ascii="Cambria" w:hAnsi="Cambria" w:cs="Cambria" w:eastAsia="Cambria"/>
                <w:color w:val="1A1A1A"/>
                <w:sz w:val="18"/>
              </w:rPr>
              <w:t xml:space="preserve">Esiti clinici e di sistema effettivamente conseguiti</w:t>
            </w:r>
          </w:p>
        </w:tc>
      </w:tr>
      <w:tr>
        <w:tc>
          <w:tcPr/>
          <w:p>
            <w:pPr>
              <w:pStyle w:val="Compact"/>
              <w:spacing w:after="40" w:before="40"/>
              <w:jc w:val="left"/>
            </w:pPr>
            <w:r>
              <w:rPr>
                <w:rFonts w:ascii="Cambria" w:hAnsi="Cambria" w:cs="Cambria" w:eastAsia="Cambria"/>
                <w:b/>
                <w:bCs/>
                <w:color w:val="1A1A1A"/>
                <w:sz w:val="18"/>
              </w:rPr>
              <w:t xml:space="preserve">Adozione (RE-AIM)</w:t>
            </w:r>
          </w:p>
        </w:tc>
        <w:tc>
          <w:tcPr/>
          <w:p>
            <w:pPr>
              <w:pStyle w:val="Compact"/>
              <w:spacing w:after="40" w:before="40"/>
              <w:jc w:val="left"/>
            </w:pPr>
            <w:r>
              <w:rPr>
                <w:rFonts w:ascii="Cambria" w:hAnsi="Cambria" w:cs="Cambria" w:eastAsia="Cambria"/>
                <w:color w:val="1A1A1A"/>
                <w:sz w:val="18"/>
              </w:rPr>
              <w:t xml:space="preserve">Adesione delle sedi e dei professionisti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Implementazione (RE-AIM)</w:t>
            </w:r>
          </w:p>
        </w:tc>
        <w:tc>
          <w:tcPr>
            <w:shd w:val="clear" w:color="auto" w:fill="F4F1EC"/>
          </w:tcPr>
          <w:p>
            <w:pPr>
              <w:pStyle w:val="Compact"/>
              <w:spacing w:after="40" w:before="40"/>
              <w:jc w:val="left"/>
            </w:pPr>
            <w:r>
              <w:rPr>
                <w:rFonts w:ascii="Cambria" w:hAnsi="Cambria" w:cs="Cambria" w:eastAsia="Cambria"/>
                <w:color w:val="1A1A1A"/>
                <w:sz w:val="18"/>
              </w:rPr>
              <w:t xml:space="preserve">Fedeltà al modello e qualità dell’attuazione</w:t>
            </w:r>
          </w:p>
        </w:tc>
      </w:tr>
      <w:tr>
        <w:tc>
          <w:tcPr/>
          <w:p>
            <w:pPr>
              <w:pStyle w:val="Compact"/>
              <w:spacing w:after="40" w:before="40"/>
              <w:jc w:val="left"/>
            </w:pPr>
            <w:r>
              <w:rPr>
                <w:rFonts w:ascii="Cambria" w:hAnsi="Cambria" w:cs="Cambria" w:eastAsia="Cambria"/>
                <w:b/>
                <w:bCs/>
                <w:color w:val="1A1A1A"/>
                <w:sz w:val="18"/>
              </w:rPr>
              <w:t xml:space="preserve">Mantenimento (RE-AIM)</w:t>
            </w:r>
          </w:p>
        </w:tc>
        <w:tc>
          <w:tcPr/>
          <w:p>
            <w:pPr>
              <w:pStyle w:val="Compact"/>
              <w:spacing w:after="40" w:before="40"/>
              <w:jc w:val="left"/>
            </w:pPr>
            <w:r>
              <w:rPr>
                <w:rFonts w:ascii="Cambria" w:hAnsi="Cambria" w:cs="Cambria" w:eastAsia="Cambria"/>
                <w:color w:val="1A1A1A"/>
                <w:sz w:val="18"/>
              </w:rPr>
              <w:t xml:space="preserve">Sostenibilità del servizio nel tempo (dirimente in Toscana)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Determinanti (quadro CFIR)</w:t>
            </w:r>
          </w:p>
        </w:tc>
        <w:tc>
          <w:tcPr>
            <w:shd w:val="clear" w:color="auto" w:fill="F4F1EC"/>
          </w:tcPr>
          <w:p>
            <w:pPr>
              <w:pStyle w:val="Compact"/>
              <w:spacing w:after="40" w:before="40"/>
              <w:jc w:val="left"/>
            </w:pPr>
            <w:r>
              <w:rPr>
                <w:rFonts w:ascii="Cambria" w:hAnsi="Cambria" w:cs="Cambria" w:eastAsia="Cambria"/>
                <w:color w:val="1A1A1A"/>
                <w:sz w:val="18"/>
              </w:rP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4426"/>
    <w:bookmarkStart w:id="1962" w:name="i.2-il-disegno-del-dimensionamento-1"/>
    <w:p>
      <w:pPr>
        <w:pStyle w:val="Heading3"/>
      </w:pPr>
      <w:r>
        <w:t xml:space="preserve">I.2 Il disegno del dimensionamento</w:t>
      </w:r>
    </w:p>
    <w:p>
      <w:pPr>
        <w:pStyle w:val="FirstParagraph"/>
      </w:pPr>
      <w:r>
        <w:t xml:space="preserve">Il servizio, già attivo in via sperimentale in ventuno strutture delle tre Aziende USL, non è dispiegato da zero ma dimensionato progressivamente: la copertura, oggi dell’ordine del 5% del fabbisogno, è estesa per fasi semestrali a tutte le Case della Comunità verso il regime, a partire dalle zone di maggiore prontezza, secondo un ordine definito dalla Giunta su criteri trasparenti e con il coordinamento unitario della Regione.</w:t>
      </w:r>
      <w:r>
        <w:rPr>
          <w:rStyle w:val="FootnoteReference"/>
        </w:rPr>
        <w:footnoteReference w:id="2549"/>
      </w:r>
      <w:r>
        <w:t xml:space="preserve"> </w:t>
      </w:r>
      <w:r>
        <w:t xml:space="preserve">Questo disegno assolve una doppia funzione: organizzativa, perché consente un incremento graduale compatibile con i tempi del reclutamento e della formazione; e valutativa, perché, insieme al confronto prima-dopo l’attivazione del settembre 2024, la progressione per cunei tra le strutture fonda la valutazione controfattuale d’impatto della Parte L.</w:t>
      </w:r>
      <w:r>
        <w:rPr>
          <w:rStyle w:val="FootnoteReference"/>
        </w:rPr>
        <w:footnoteReference w:id="2550"/>
      </w:r>
      <w:r>
        <w:t xml:space="preserve"> </w:t>
      </w:r>
      <w:r>
        <w:t xml:space="preserve">Il reclutamento, a fronte di un fabbisogno di circa 790 psicologi, avviene tramite elenco aziendale e rapporto convenzionale, valorizzando in prima applicazione i professionisti già operanti nella sperimentazione, oggi con incarichi libero-professionali.</w:t>
      </w:r>
      <w:r>
        <w:rPr>
          <w:rStyle w:val="FootnoteReference"/>
        </w:rPr>
        <w:footnoteReference w:id="2551"/>
      </w:r>
      <w:r>
        <w:t xml:space="preserve"> </w:t>
      </w:r>
      <w:r>
        <w:t xml:space="preserve">Il cronoprogramma procede per fasi semestrali, con il monitoraggio che accompagna l’intero arco e prosegue oltre il raggiungimento del regime.</w:t>
      </w:r>
      <w:r>
        <w:rPr>
          <w:rStyle w:val="FootnoteReference"/>
        </w:rPr>
        <w:footnoteReference w:id="2552"/>
      </w:r>
      <w:r>
        <w:t xml:space="preserve"> </w:t>
      </w:r>
      <w:r>
        <w:t xml:space="preserve">Tra i parametri che muterebbero le conclusioni figura un tasso di recupero inferiore al 50% in fase di dimensionamento, che il monitoraggio è chiamato a verificare sui dati regionali già disponibili.</w:t>
      </w:r>
      <w:r>
        <w:rPr>
          <w:rStyle w:val="FootnoteReference"/>
        </w:rPr>
        <w:footnoteReference w:id="2553"/>
      </w:r>
      <w:r>
        <w:t xml:space="preserve"> </w:t>
      </w:r>
      <w:r>
        <w:t xml:space="preserve">La tabella seguente espone le fasi.</w:t>
      </w:r>
    </w:p>
    <w:tbl>
      <w:tblPr>
        <w:tblStyle w:val="Table"/>
        <w:tblW w:type="pct" w:w="495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256"/>
        <w:gridCol w:w="659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 del dimensionamento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Fase 1 (primo semestre)</w:t>
            </w:r>
          </w:p>
        </w:tc>
        <w:tc>
          <w:tcPr/>
          <w:p>
            <w:pPr>
              <w:pStyle w:val="Compact"/>
              <w:spacing w:after="40" w:before="40"/>
              <w:jc w:val="left"/>
            </w:pPr>
            <w:r>
              <w:rPr>
                <w:rFonts w:ascii="Cambria" w:hAnsi="Cambria" w:cs="Cambria" w:eastAsia="Cambria"/>
                <w:color w:val="1A1A1A"/>
                <w:sz w:val="18"/>
              </w:rPr>
              <w:t xml:space="preserve">Strutturazione a regime nelle strutture già attive e conversione degli incarichi libero-professionali in rapporto convenzionale; dimensionamento iniziale nelle zone di maggiore prontezza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Fasi successive (semestri)</w:t>
            </w:r>
          </w:p>
        </w:tc>
        <w:tc>
          <w:tcPr>
            <w:shd w:val="clear" w:color="auto" w:fill="F4F1EC"/>
          </w:tcPr>
          <w:p>
            <w:pPr>
              <w:pStyle w:val="Compact"/>
              <w:spacing w:after="40" w:before="40"/>
              <w:jc w:val="left"/>
            </w:pPr>
            <w:r>
              <w:rPr>
                <w:rFonts w:ascii="Cambria" w:hAnsi="Cambria" w:cs="Cambria" w:eastAsia="Cambria"/>
                <w:color w:val="1A1A1A"/>
                <w:sz w:val="18"/>
              </w:rPr>
              <w:t xml:space="preserve">Estensione progressiva da ventuno strutture a tutte le Case della Comunità delle tre Aziende USL verso il fabbisogno</w:t>
            </w:r>
          </w:p>
        </w:tc>
      </w:tr>
      <w:tr>
        <w:tc>
          <w:tcPr/>
          <w:p>
            <w:pPr>
              <w:pStyle w:val="Compact"/>
              <w:spacing w:after="40" w:before="40"/>
              <w:jc w:val="left"/>
            </w:pPr>
            <w:r>
              <w:rPr>
                <w:rFonts w:ascii="Cambria" w:hAnsi="Cambria" w:cs="Cambria" w:eastAsia="Cambria"/>
                <w:b/>
                <w:bCs/>
                <w:color w:val="1A1A1A"/>
                <w:sz w:val="18"/>
              </w:rPr>
              <w:t xml:space="preserve">Fase finale (regime)</w:t>
            </w:r>
          </w:p>
        </w:tc>
        <w:tc>
          <w:tcPr/>
          <w:p>
            <w:pPr>
              <w:pStyle w:val="Compact"/>
              <w:spacing w:after="40" w:before="40"/>
              <w:jc w:val="left"/>
            </w:pPr>
            <w:r>
              <w:rPr>
                <w:rFonts w:ascii="Cambria" w:hAnsi="Cambria" w:cs="Cambria" w:eastAsia="Cambria"/>
                <w:color w:val="1A1A1A"/>
                <w:sz w:val="18"/>
              </w:rPr>
              <w:t xml:space="preserve">Copertura piena del fabbisogno regionale (~790 psicologi)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 trasversale</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che proseguono oltre il raggiungimento del regime</w:t>
            </w:r>
          </w:p>
        </w:tc>
      </w:tr>
    </w:tbl>
    <w:p>
      <w:pPr>
        <w:pStyle w:val="BodyText"/>
      </w:pPr>
      <w:r>
        <w:rPr>
          <w:i/>
          <w:iCs/>
        </w:rPr>
        <w:t xml:space="preserve">Tabella I.2. Le fasi del dimensionamento del servizio, dalla sperimentazione in ventuno strutture alla copertura a regime nelle tre Aziende USL.</w:t>
      </w:r>
    </w:p>
    <w:bookmarkEnd w:id="1962"/>
    <w:bookmarkStart w:id="1964" w:name="X3e10445f9bde6f9be975bbde0db1e4e955dd290"/>
    <w:p>
      <w:pPr>
        <w:pStyle w:val="Heading3"/>
      </w:pPr>
      <w:r>
        <w:t xml:space="preserve">I.3 Il caso commerciale: il modello contrattuale e la tariffa</w:t>
      </w:r>
    </w:p>
    <w:p>
      <w:pPr>
        <w:pStyle w:val="FirstParagraph"/>
      </w:pPr>
      <w:r>
        <w:t xml:space="preserve">Il caso commerciale riguarda la fattibilità dell’assetto contrattuale. Esso poggia su un rapporto convenzionale ancorato all’accordo della specialistica ambulatoriale, da cui discende un costo medio per incarico dell’ordine di 55.000 euro l’anno e i tre scenari di spesa — 22, 33 e 44 milioni — già esposti nella Parte E. Il nodo specifico della Toscana è il passaggio dagli attuali incarichi libero-professionali della sperimentazione, precari, a un rapporto convenzionale stabile, analogo a quello dei medici di medicina generale; il modello non richiede la creazione di nuove figure e può muovere dalla base già operante.</w:t>
      </w:r>
      <w:r>
        <w:rPr>
          <w:rStyle w:val="FootnoteReference"/>
        </w:rPr>
        <w:footnoteReference w:id="2554"/>
      </w:r>
    </w:p>
    <w:bookmarkEnd w:id="1964"/>
    <w:bookmarkStart w:id="1967" w:name="X3ec523832cbbcda036892cb9bd039068b222ec6"/>
    <w:p>
      <w:pPr>
        <w:pStyle w:val="Heading3"/>
      </w:pPr>
      <w:r>
        <w:t xml:space="preserve">I.4 Il caso gestionale: la governance e i rischi</w:t>
      </w:r>
    </w:p>
    <w:p>
      <w:pPr>
        <w:pStyle w:val="FirstParagraph"/>
      </w:pPr>
      <w:r>
        <w:t xml:space="preserve">Il caso gestionale riguarda la governance e i rischi. L’attuazione è governata su due livelli: a livello regionale, un comitato di indirizzo esercita le funzioni di indirizzo, programmazione, monitoraggio e controllo, riunendo la Regione, le tre Aziende USL, le quattro Aziende Ospedaliero-Universitarie, l’Organismo Toscano di Governo Clinico, l’ente regionale di supporto tecnico-amministrativo, l’Ordine degli Psicologi della Toscana, la medicina generale, la pediatria di libera scelta e le università di Firenze, Pisa e Siena; a livello aziendale, ciascuna Azienda USL è responsabile dell’attuazione nel proprio ambito, secondo l’indirizzo unitario della Regione.</w:t>
      </w:r>
      <w:r>
        <w:rPr>
          <w:rStyle w:val="FootnoteReference"/>
        </w:rPr>
        <w:footnoteReference w:id="2555"/>
      </w:r>
      <w:r>
        <w:t xml:space="preserve"> </w:t>
      </w:r>
      <w:r>
        <w:t xml:space="preserve">Il rischio più specifico della Toscana è la precarietà della fase sperimentale, affidata a incarichi dipendenti da rifinanziamenti periodici; ad esso si aggiungono il reclutamento insufficiente, la debole adesione della medicina generale e l’interoperabilità incompleta. Poiché la legge è già vigente, la principale misura di mitigazione è la strutturazione a regime con rapporto convenzionale stabile, e il dimensionamento graduale consente di osservare e correggere.</w:t>
      </w:r>
      <w:r>
        <w:rPr>
          <w:rStyle w:val="FootnoteReference"/>
        </w:rPr>
        <w:footnoteReference w:id="2556"/>
      </w:r>
      <w:r>
        <w:t xml:space="preserve"> </w:t>
      </w:r>
      <w:r>
        <w:t xml:space="preserve">La tabella seguente riepiloga rischi e misure.</w:t>
      </w:r>
    </w:p>
    <w:tbl>
      <w:tblPr>
        <w:tblStyle w:val="Table"/>
        <w:tblW w:type="pct" w:w="494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51"/>
        <w:gridCol w:w="2880"/>
        <w:gridCol w:w="330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Natura</w:t>
            </w:r>
          </w:p>
        </w:tc>
        <w:tc>
          <w:tcPr>
            <w:shd w:val="clear" w:color="auto" w:fill="16264B"/>
          </w:tcPr>
          <w:p>
            <w:pPr>
              <w:pStyle w:val="Compact"/>
              <w:spacing w:after="40" w:before="40"/>
              <w:jc w:val="left"/>
            </w:pPr>
            <w:r>
              <w:rPr>
                <w:rFonts w:ascii="Cambria" w:hAnsi="Cambria" w:cs="Cambria" w:eastAsia="Cambria"/>
                <w:b/>
                <w:bCs/>
                <w:color w:val="FFFFFF"/>
                <w:sz w:val="18"/>
              </w:rPr>
              <w:t xml:space="preserve">Misura di mitigazione</w:t>
            </w:r>
          </w:p>
        </w:tc>
      </w:tr>
      <w:tr>
        <w:tc>
          <w:tcPr/>
          <w:p>
            <w:pPr>
              <w:pStyle w:val="Compact"/>
              <w:spacing w:after="40" w:before="40"/>
              <w:jc w:val="left"/>
            </w:pPr>
            <w:r>
              <w:rPr>
                <w:rFonts w:ascii="Cambria" w:hAnsi="Cambria" w:cs="Cambria" w:eastAsia="Cambria"/>
                <w:b/>
                <w:bCs/>
                <w:color w:val="1A1A1A"/>
                <w:sz w:val="18"/>
              </w:rPr>
              <w:t xml:space="preserve">Precarietà della sperimentazione</w:t>
            </w:r>
          </w:p>
        </w:tc>
        <w:tc>
          <w:tcPr/>
          <w:p>
            <w:pPr>
              <w:pStyle w:val="Compact"/>
              <w:spacing w:after="40" w:before="40"/>
              <w:jc w:val="left"/>
            </w:pPr>
            <w:r>
              <w:rPr>
                <w:rFonts w:ascii="Cambria" w:hAnsi="Cambria" w:cs="Cambria" w:eastAsia="Cambria"/>
                <w:color w:val="1A1A1A"/>
                <w:sz w:val="18"/>
              </w:rPr>
              <w:t xml:space="preserve">Base libero-professionale dipendente da rifinanziamenti periodici</w:t>
            </w:r>
          </w:p>
        </w:tc>
        <w:tc>
          <w:tcPr/>
          <w:p>
            <w:pPr>
              <w:pStyle w:val="Compact"/>
              <w:spacing w:after="40" w:before="40"/>
              <w:jc w:val="left"/>
            </w:pPr>
            <w:r>
              <w:rPr>
                <w:rFonts w:ascii="Cambria" w:hAnsi="Cambria" w:cs="Cambria" w:eastAsia="Cambria"/>
                <w:color w:val="1A1A1A"/>
                <w:sz w:val="18"/>
              </w:rPr>
              <w:t xml:space="preserve">Strutturazione a regime; rapporto convenzionale stabile (legge già vigente)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Reclutamento insufficiente</w:t>
            </w:r>
          </w:p>
        </w:tc>
        <w:tc>
          <w:tcPr>
            <w:shd w:val="clear" w:color="auto" w:fill="F4F1EC"/>
          </w:tcPr>
          <w:p>
            <w:pPr>
              <w:pStyle w:val="Compact"/>
              <w:spacing w:after="40" w:before="40"/>
              <w:jc w:val="left"/>
            </w:pPr>
            <w:r>
              <w:rPr>
                <w:rFonts w:ascii="Cambria" w:hAnsi="Cambria" w:cs="Cambria" w:eastAsia="Cambria"/>
                <w:color w:val="1A1A1A"/>
                <w:sz w:val="18"/>
              </w:rPr>
              <w:t xml:space="preserve">Carenza di psicologi formati</w:t>
            </w:r>
          </w:p>
        </w:tc>
        <w:tc>
          <w:tcPr>
            <w:shd w:val="clear" w:color="auto" w:fill="F4F1EC"/>
          </w:tcPr>
          <w:p>
            <w:pPr>
              <w:pStyle w:val="Compact"/>
              <w:spacing w:after="40" w:before="40"/>
              <w:jc w:val="left"/>
            </w:pPr>
            <w:r>
              <w:rPr>
                <w:rFonts w:ascii="Cambria" w:hAnsi="Cambria" w:cs="Cambria" w:eastAsia="Cambria"/>
                <w:color w:val="1A1A1A"/>
                <w:sz w:val="18"/>
              </w:rPr>
              <w:t xml:space="preserve">Dimensionamento graduale; formazione anticipata</w:t>
            </w:r>
          </w:p>
        </w:tc>
      </w:tr>
      <w:tr>
        <w:tc>
          <w:tcPr/>
          <w:p>
            <w:pPr>
              <w:pStyle w:val="Compact"/>
              <w:spacing w:after="40" w:before="40"/>
              <w:jc w:val="left"/>
            </w:pPr>
            <w:r>
              <w:rPr>
                <w:rFonts w:ascii="Cambria" w:hAnsi="Cambria" w:cs="Cambria" w:eastAsia="Cambria"/>
                <w:b/>
                <w:bCs/>
                <w:color w:val="1A1A1A"/>
                <w:sz w:val="18"/>
              </w:rPr>
              <w:t xml:space="preserve">Adesione della medicina generale</w:t>
            </w:r>
          </w:p>
        </w:tc>
        <w:tc>
          <w:tcPr/>
          <w:p>
            <w:pPr>
              <w:pStyle w:val="Compact"/>
              <w:spacing w:after="40" w:before="40"/>
              <w:jc w:val="left"/>
            </w:pPr>
            <w:r>
              <w:rPr>
                <w:rFonts w:ascii="Cambria" w:hAnsi="Cambria" w:cs="Cambria" w:eastAsia="Cambria"/>
                <w:color w:val="1A1A1A"/>
                <w:sz w:val="18"/>
              </w:rPr>
              <w:t xml:space="preserve">Integrazione debole nel percorso</w:t>
            </w:r>
          </w:p>
        </w:tc>
        <w:tc>
          <w:tcPr/>
          <w:p>
            <w:pPr>
              <w:pStyle w:val="Compact"/>
              <w:spacing w:after="40" w:before="40"/>
              <w:jc w:val="left"/>
            </w:pPr>
            <w:r>
              <w:rPr>
                <w:rFonts w:ascii="Cambria" w:hAnsi="Cambria" w:cs="Cambria" w:eastAsia="Cambria"/>
                <w:color w:val="1A1A1A"/>
                <w:sz w:val="18"/>
              </w:rPr>
              <w:t xml:space="preserve">Protocolli di invio; formazione congiunta; governance condivisa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Sistemi informativi</w:t>
            </w:r>
          </w:p>
        </w:tc>
        <w:tc>
          <w:tcPr>
            <w:shd w:val="clear" w:color="auto" w:fill="F4F1EC"/>
          </w:tcPr>
          <w:p>
            <w:pPr>
              <w:pStyle w:val="Compact"/>
              <w:spacing w:after="40" w:before="40"/>
              <w:jc w:val="left"/>
            </w:pPr>
            <w:r>
              <w:rPr>
                <w:rFonts w:ascii="Cambria" w:hAnsi="Cambria" w:cs="Cambria" w:eastAsia="Cambria"/>
                <w:color w:val="1A1A1A"/>
                <w:sz w:val="18"/>
              </w:rPr>
              <w:t xml:space="preserve">Interoperabilità incompleta</w:t>
            </w:r>
          </w:p>
        </w:tc>
        <w:tc>
          <w:tcPr>
            <w:shd w:val="clear" w:color="auto" w:fill="F4F1EC"/>
          </w:tcPr>
          <w:p>
            <w:pPr>
              <w:pStyle w:val="Compact"/>
              <w:spacing w:after="40" w:before="40"/>
              <w:jc w:val="left"/>
            </w:pPr>
            <w:r>
              <w:rPr>
                <w:rFonts w:ascii="Cambria" w:hAnsi="Cambria" w:cs="Cambria" w:eastAsia="Cambria"/>
                <w:color w:val="1A1A1A"/>
                <w:sz w:val="18"/>
              </w:rPr>
              <w:t xml:space="preserve">Cartella interoperabile; standard nazionali; infrastruttura regionale</w:t>
            </w:r>
          </w:p>
        </w:tc>
      </w:tr>
      <w:tr>
        <w:tc>
          <w:tcPr/>
          <w:p>
            <w:pPr>
              <w:pStyle w:val="Compact"/>
              <w:spacing w:after="40" w:before="40"/>
              <w:jc w:val="left"/>
            </w:pPr>
            <w:r>
              <w:rPr>
                <w:rFonts w:ascii="Cambria" w:hAnsi="Cambria" w:cs="Cambria" w:eastAsia="Cambria"/>
                <w:b/>
                <w:bCs/>
                <w:color w:val="1A1A1A"/>
                <w:sz w:val="18"/>
              </w:rPr>
              <w:t xml:space="preserve">Uniformità tra le ASL</w:t>
            </w:r>
          </w:p>
        </w:tc>
        <w:tc>
          <w:tcPr/>
          <w:p>
            <w:pPr>
              <w:pStyle w:val="Compact"/>
              <w:spacing w:after="40" w:before="40"/>
              <w:jc w:val="left"/>
            </w:pPr>
            <w:r>
              <w:rPr>
                <w:rFonts w:ascii="Cambria" w:hAnsi="Cambria" w:cs="Cambria" w:eastAsia="Cambria"/>
                <w:color w:val="1A1A1A"/>
                <w:sz w:val="18"/>
              </w:rPr>
              <w:t xml:space="preserve">Estensione disomogenea oltre le strutture sperimentali</w:t>
            </w:r>
          </w:p>
        </w:tc>
        <w:tc>
          <w:tcPr/>
          <w:p>
            <w:pPr>
              <w:pStyle w:val="Compact"/>
              <w:spacing w:after="40" w:before="40"/>
              <w:jc w:val="left"/>
            </w:pPr>
            <w:r>
              <w:rPr>
                <w:rFonts w:ascii="Cambria" w:hAnsi="Cambria" w:cs="Cambria" w:eastAsia="Cambria"/>
                <w:color w:val="1A1A1A"/>
                <w:sz w:val="18"/>
              </w:rPr>
              <w:t xml:space="preserve">Algoritmo allocativo; indirizzo regionale; struttura consolidata a tre ASL</w:t>
            </w:r>
          </w:p>
        </w:tc>
      </w:tr>
    </w:tbl>
    <w:p>
      <w:pPr>
        <w:pStyle w:val="BodyText"/>
      </w:pPr>
      <w:r>
        <w:rPr>
          <w:i/>
          <w:iCs/>
        </w:rPr>
        <w:t xml:space="preserve">Tabella I.3. I rischi attuativi e le relative misure di mitigazione.</w:t>
      </w:r>
    </w:p>
    <w:bookmarkEnd w:id="1967"/>
    <w:bookmarkStart w:id="4427" w:name="X29905ea9f5db6356cb87a3736018d91d8ffd8f7"/>
    <w:p>
      <w:pPr>
        <w:pStyle w:val="Heading3"/>
      </w:pPr>
      <w:r>
        <w:t xml:space="preserve">I.5 La sostenibilità finanziaria e le coperture</w:t>
      </w:r>
    </w:p>
    <w:p>
      <w:pPr>
        <w:pStyle w:val="FirstParagraph"/>
      </w:pPr>
      <w:r>
        <w:t xml:space="preserve">Il caso finanziario riguarda le coperture e la sostenibilità. Le fonti comprendono il finanziamento ordinario del Servizio sanitario regionale, dell’ordine di 8 miliardi di euro, di cui una quota è già destinata alla sperimentazione attiva, la Missione 6 del Piano Nazionale di Ripresa e Resilienza per l’infrastruttura territoriale e digitale, e un eventuale fondo statale a sostegno dei livelli essenziali.</w:t>
      </w:r>
      <w:r>
        <w:rPr>
          <w:rStyle w:val="FootnoteReference"/>
        </w:rPr>
        <w:footnoteReference w:id="2557"/>
      </w:r>
      <w:r>
        <w:t xml:space="preserve"> </w:t>
      </w:r>
      <w:r>
        <w:t xml:space="preserve">Il vincolo di bilancio richiede prudenza: la Toscana opera sotto pressione finanziaria, pur non essendo in piano di rientro ed essendo regione creditrice, ma il costo del servizio, anche a massima copertura, costituisce una frazione dell’ordine di mezzo punto percentuale del finanziamento, ed essendone già a bilancio una quota, l’investimento incrementale è quello necessario a colmare il divario verso il fabbisogno.</w:t>
      </w:r>
      <w:r>
        <w:rPr>
          <w:rStyle w:val="FootnoteReference"/>
        </w:rPr>
        <w:footnoteReference w:id="2558"/>
      </w:r>
      <w:r>
        <w:t xml:space="preserve"> </w:t>
      </w:r>
      <w:r>
        <w:t xml:space="preserve">Nel lungo periodo, la leva decisiva della sostenibilità non è l’istituzionalizzazione per legge, già acquisita, ma la strutturazione a regime con un rapporto convenzionale stabile, che sottrarrebbe il servizio alla precarietà dei rifinanziamenti periodici, cui si aggiungono la modestia del costo, il forte ritorno sociale e le economie di scala della struttura consolidata.</w:t>
      </w:r>
      <w:r>
        <w:rPr>
          <w:rStyle w:val="FootnoteReference"/>
        </w:rPr>
        <w:footnoteReference w:id="2559"/>
      </w:r>
      <w:r>
        <w:t xml:space="preserve"> </w:t>
      </w:r>
      <w:r>
        <w:t xml:space="preserve">Resta ferma la cautela metodologica già dichiarata: i risultati italiani provengono in parte da letteratura grigia e i benchmark esteri richiedono adattamento, sicché la verifica empirica sui dati regionali, prevista dalla Parte L, è chiamata a sostituire progressivamente le stime con misure osservate.</w:t>
      </w:r>
      <w:r>
        <w:rPr>
          <w:rStyle w:val="FootnoteReference"/>
        </w:rPr>
        <w:footnoteReference w:id="2560"/>
      </w:r>
    </w:p>
    <w:p>
      <w:pPr>
        <w:pStyle w:val="BodyText"/>
      </w:pPr>
      <w:r>
        <w:rPr>
          <w:b/>
          <w:bCs/>
        </w:rPr>
        <w:t xml:space="preserve">Nota di aggiornamento (marzo 2026).</w:t>
      </w:r>
      <w:r>
        <w:t xml:space="preserve"> </w:t>
      </w:r>
      <w:r>
        <w:t xml:space="preserve">A conferma della traiettoria di attuazione qui descritta, la sperimentazione toscana — avviata nel settembre 2024 in sette sedi ai sensi della legge regionale n. 39/2022 e del regolamento attuativo di cui alla delibera n. 43/2024 — è stata estesa dalla Giunta regionale, con delibera n. 244 del 3 marzo 2025, a ulteriori dieci sedi delle tre Aziende Sanitarie, raggiungendo un totale di ventuno strutture coinvolte; la valutazione dell’andamento, giudicata positiva dalla Regione, ha condotto a una proroga di ulteriori dodici mesi dell’intera sperimentazione a partire da marzo 2026, con uno stanziamento regionale dedicato di 675.000 euro per il nuovo periodo di attività (</w:t>
      </w:r>
      <w:hyperlink r:id="rId13">
        <w:r>
          <w:rPr>
            <w:rStyle w:val="Hyperlink"/>
          </w:rPr>
          <w:t xml:space="preserve">Giovanisì, Regione Toscana, 9 marzo 2026</w:t>
        </w:r>
      </w:hyperlink>
      <w:r>
        <w:t xml:space="preserve">;</w:t>
      </w:r>
      <w:r>
        <w:t xml:space="preserve"> </w:t>
      </w:r>
      <w:hyperlink r:id="rId14">
        <w:r>
          <w:rPr>
            <w:rStyle w:val="Hyperlink"/>
          </w:rPr>
          <w:t xml:space="preserve">Toscana Medica, settembre 2025</w:t>
        </w:r>
      </w:hyperlink>
      <w:r>
        <w:t xml:space="preserve">). Questo sviluppo corrobora, sul piano empirico, sia la dimensione</w:t>
      </w:r>
      <w:r>
        <w:t xml:space="preserve"> </w:t>
      </w:r>
      <w:r>
        <w:t xml:space="preserve">“Mantenimento”</w:t>
      </w:r>
      <w:r>
        <w:t xml:space="preserve"> </w:t>
      </w:r>
      <w:r>
        <w:t xml:space="preserve">del quadro RE-AIM richiamata al capitolo I.1, sia la valutazione di sostenibilità della presente Parte I, senza tuttavia modificare i valori di rendimento economico qui adottati, ancorati in via esclusiva al duplice intervallo di Chisholm e collaboratori (2016). Dimostrate l’attuabilità e la sostenibilità, la parte che segue definisce il sistema di monitoraggio e di valutazione ex post.</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L</w:t>
      </w:r>
    </w:p>
    <w:p>
      <w:pPr>
        <w:pStyle w:val="BodyText"/>
      </w:pPr>
      <w:r>
        <w:rPr>
          <w:b/>
          <w:bCs/>
        </w:rPr>
        <w:t xml:space="preserve">Monitoraggio, valutazione ed ex post</w:t>
      </w:r>
    </w:p>
    <w:p>
      <w:pPr>
        <w:pStyle w:val="BodyText"/>
      </w:pPr>
      <w:r>
        <w:rPr>
          <w:i/>
          <w:iCs/>
        </w:rPr>
        <w:t xml:space="preserve">Sistema di indicatori, protocollo e baseline, valutazione controfattuale, verifica ex post, indicatori compositi</w:t>
      </w:r>
    </w:p>
    <w:p>
      <w:pPr>
        <w:pStyle w:val="BodyText"/>
      </w:pPr>
      <w:r>
        <w:t xml:space="preserve">Verifica ex post · cunei progressivi e clausola valutativa · fondamento empirico delle stime</w:t>
      </w:r>
    </w:p>
    <w:bookmarkEnd w:id="4427"/>
    <w:bookmarkEnd w:id="1973"/>
    <w:bookmarkStart w:id="2016" w:name="Xc7231bc78638ce78a4f5bb59681f0207cd6ee41"/>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2561"/>
      </w:r>
      <w:r>
        <w:rPr>
          <w:rStyle w:val="FootnoteReference"/>
        </w:rPr>
        <w:footnoteReference w:id="2562"/>
      </w:r>
      <w:r>
        <w:rPr>
          <w:rStyle w:val="FootnoteReference"/>
        </w:rPr>
        <w:footnoteReference w:id="2563"/>
      </w:r>
      <w:r>
        <w:rPr>
          <w:rStyle w:val="FootnoteReference"/>
        </w:rPr>
        <w:footnoteReference w:id="2564"/>
      </w:r>
      <w:r>
        <w:rPr>
          <w:rStyle w:val="FootnoteReference"/>
        </w:rPr>
        <w:footnoteReference w:id="2565"/>
      </w:r>
      <w:r>
        <w:rPr>
          <w:rStyle w:val="FootnoteReference"/>
        </w:rPr>
        <w:footnoteReference w:id="2566"/>
      </w:r>
      <w:r>
        <w:rPr>
          <w:rStyle w:val="FootnoteReference"/>
        </w:rPr>
        <w:footnoteReference w:id="2567"/>
      </w:r>
      <w:r>
        <w:rPr>
          <w:rStyle w:val="FootnoteReference"/>
        </w:rPr>
        <w:footnoteReference w:id="2568"/>
      </w:r>
      <w:r>
        <w:rPr>
          <w:rStyle w:val="FootnoteReference"/>
        </w:rPr>
        <w:footnoteReference w:id="2569"/>
      </w:r>
      <w:r>
        <w:rPr>
          <w:rStyle w:val="FootnoteReference"/>
        </w:rPr>
        <w:footnoteReference w:id="2570"/>
      </w:r>
      <w:r>
        <w:rPr>
          <w:rStyle w:val="FootnoteReference"/>
        </w:rPr>
        <w:footnoteReference w:id="2571"/>
      </w:r>
      <w:r>
        <w:rPr>
          <w:rStyle w:val="FootnoteReference"/>
        </w:rPr>
        <w:footnoteReference w:id="2572"/>
      </w:r>
      <w:r>
        <w:rPr>
          <w:rStyle w:val="FootnoteReference"/>
        </w:rPr>
        <w:footnoteReference w:id="2573"/>
      </w:r>
      <w:r>
        <w:rPr>
          <w:rStyle w:val="FootnoteReference"/>
        </w:rPr>
        <w:footnoteReference w:id="2574"/>
      </w:r>
      <w:r>
        <w:rPr>
          <w:rStyle w:val="FootnoteReference"/>
        </w:rPr>
        <w:footnoteReference w:id="2575"/>
      </w:r>
      <w:r>
        <w:rPr>
          <w:rStyle w:val="FootnoteReference"/>
        </w:rPr>
        <w:footnoteReference w:id="2576"/>
      </w:r>
      <w:r>
        <w:rPr>
          <w:rStyle w:val="FootnoteReference"/>
        </w:rPr>
        <w:footnoteReference w:id="2577"/>
      </w:r>
      <w:r>
        <w:rPr>
          <w:rStyle w:val="FootnoteReference"/>
        </w:rPr>
        <w:footnoteReference w:id="2578"/>
      </w:r>
      <w:r>
        <w:rPr>
          <w:rStyle w:val="FootnoteReference"/>
        </w:rPr>
        <w:footnoteReference w:id="2579"/>
      </w:r>
      <w:r>
        <w:t xml:space="preserve"> </w:t>
      </w:r>
      <w:r>
        <w:t xml:space="preserve">Per la Toscana vale una circostanza peculiare, che merita di essere enunciata: il servizio è già attivo in via sperimentale e ha prodotto i primi dati di esito, sicché la misurazione non è da avviare da zero ma da strutturare e completare, e il confronto prima-dopo l’attivazione del settembre 2024, insieme all’estensione scaglionata della sperimentazione tra le strutture, offre il fondamento di un disegno quasi a cunei progressivi. Le parti seguenti definiscono gli strumenti: il sistema di indicatori (capitolo L.1), il protocollo che li alimenta e la baseline (L.2), la valutazione controfattuale che ne trae prove causali (L.3), la verifica ex post della norma (L.4) e gli indicatori compositi che ne sintetizzano i risultati nel cruscotto (L.5).</w:t>
      </w:r>
    </w:p>
    <w:bookmarkStart w:id="1997" w:name="l.1-il-sistema-di-indicatori-4"/>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2580"/>
      </w:r>
      <w:r>
        <w:t xml:space="preserve"> </w:t>
      </w:r>
      <w:r>
        <w:t xml:space="preserve">Su questa ossatura si dispone una batteria di circa cinquantotto misure, articolate in otto categorie, delle quali una parte è già ricavabile dalle statistiche correnti e dai dati della sperimentazione attiva, e circa quaranta richiedono la rilevazione diretta strutturata.</w:t>
      </w:r>
      <w:r>
        <w:rPr>
          <w:rStyle w:val="FootnoteReference"/>
        </w:rPr>
        <w:footnoteReference w:id="2581"/>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2582"/>
      </w:r>
      <w:r>
        <w:t xml:space="preserve"> </w:t>
      </w:r>
      <w:r>
        <w:t xml:space="preserve">Misurare molto non equivale a misurare bene. La tabella seguente riepiloga le otto categorie e lo stato della rispettiva baseline.</w:t>
      </w:r>
      <w:r>
        <w:rPr>
          <w:rStyle w:val="FootnoteReference"/>
        </w:rPr>
        <w:footnoteReference w:id="2583"/>
      </w:r>
    </w:p>
    <w:tbl>
      <w:tblPr>
        <w:tblStyle w:val="Table"/>
        <w:tblW w:type="pct" w:w="491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43"/>
        <w:gridCol w:w="4301"/>
        <w:gridCol w:w="16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Esempi di indicatori</w:t>
            </w:r>
          </w:p>
        </w:tc>
        <w:tc>
          <w:tcPr>
            <w:shd w:val="clear" w:color="auto" w:fill="16264B"/>
          </w:tcPr>
          <w:p>
            <w:pPr>
              <w:pStyle w:val="Compact"/>
              <w:spacing w:after="40" w:before="40"/>
              <w:jc w:val="left"/>
            </w:pPr>
            <w:r>
              <w:rPr>
                <w:rFonts w:ascii="Cambria" w:hAnsi="Cambria" w:cs="Cambria" w:eastAsia="Cambria"/>
                <w:b/>
                <w:bCs/>
                <w:color w:val="FFFFFF"/>
                <w:sz w:val="18"/>
              </w:rPr>
              <w:t xml:space="preserve">Baseline</w:t>
            </w:r>
          </w:p>
        </w:tc>
      </w:tr>
      <w:tr>
        <w:tc>
          <w:tcPr/>
          <w:p>
            <w:pPr>
              <w:pStyle w:val="Compact"/>
              <w:spacing w:after="40" w:before="40"/>
              <w:jc w:val="left"/>
            </w:pPr>
            <w:r>
              <w:rPr>
                <w:rFonts w:ascii="Cambria" w:hAnsi="Cambria" w:cs="Cambria" w:eastAsia="Cambria"/>
                <w:b/>
                <w:bCs/>
                <w:color w:val="1A1A1A"/>
                <w:sz w:val="18"/>
              </w:rPr>
              <w:t xml:space="preserve">Bisogno e domanda</w:t>
            </w:r>
          </w:p>
        </w:tc>
        <w:tc>
          <w:tcPr/>
          <w:p>
            <w:pPr>
              <w:pStyle w:val="Compact"/>
              <w:spacing w:after="40" w:before="40"/>
              <w:jc w:val="left"/>
            </w:pPr>
            <w:r>
              <w:rPr>
                <w:rFonts w:ascii="Cambria" w:hAnsi="Cambria" w:cs="Cambria" w:eastAsia="Cambria"/>
                <w:color w:val="1A1A1A"/>
                <w:sz w:val="18"/>
              </w:rPr>
              <w:t xml:space="preserve">Prevalenza del disagio, utenza dei servizi, accessi impropri</w:t>
            </w:r>
          </w:p>
        </w:tc>
        <w:tc>
          <w:tcPr/>
          <w:p>
            <w:pPr>
              <w:pStyle w:val="Compact"/>
              <w:spacing w:after="40" w:before="40"/>
              <w:jc w:val="left"/>
            </w:pPr>
            <w:r>
              <w:rPr>
                <w:rFonts w:ascii="Cambria" w:hAnsi="Cambria" w:cs="Cambria" w:eastAsia="Cambria"/>
                <w:color w:val="1A1A1A"/>
                <w:sz w:val="18"/>
              </w:rPr>
              <w:t xml:space="preserve">Disponibile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Accesso ed equità</w:t>
            </w:r>
          </w:p>
        </w:tc>
        <w:tc>
          <w:tcPr>
            <w:shd w:val="clear" w:color="auto" w:fill="F4F1EC"/>
          </w:tcPr>
          <w:p>
            <w:pPr>
              <w:pStyle w:val="Compact"/>
              <w:spacing w:after="40" w:before="40"/>
              <w:jc w:val="left"/>
            </w:pPr>
            <w:r>
              <w:rPr>
                <w:rFonts w:ascii="Cambria" w:hAnsi="Cambria" w:cs="Cambria" w:eastAsia="Cambria"/>
                <w:color w:val="1A1A1A"/>
                <w:sz w:val="18"/>
              </w:rPr>
              <w:t xml:space="preserve">Tempo di attesa, copertura, divari tra Aziende USL</w:t>
            </w:r>
          </w:p>
        </w:tc>
        <w:tc>
          <w:tcPr>
            <w:shd w:val="clear" w:color="auto" w:fill="F4F1EC"/>
          </w:tcPr>
          <w:p>
            <w:pPr>
              <w:pStyle w:val="Compact"/>
              <w:spacing w:after="40" w:before="40"/>
              <w:jc w:val="left"/>
            </w:pPr>
            <w:r>
              <w:rPr>
                <w:rFonts w:ascii="Cambria" w:hAnsi="Cambria" w:cs="Cambria" w:eastAsia="Cambria"/>
                <w:color w:val="1A1A1A"/>
                <w:sz w:val="18"/>
              </w:rPr>
              <w:t xml:space="preserve">Da rilevare</w:t>
            </w:r>
          </w:p>
        </w:tc>
      </w:tr>
      <w:tr>
        <w:tc>
          <w:tcPr/>
          <w:p>
            <w:pPr>
              <w:pStyle w:val="Compact"/>
              <w:spacing w:after="40" w:before="40"/>
              <w:jc w:val="left"/>
            </w:pPr>
            <w:r>
              <w:rPr>
                <w:rFonts w:ascii="Cambria" w:hAnsi="Cambria" w:cs="Cambria" w:eastAsia="Cambria"/>
                <w:b/>
                <w:bCs/>
                <w:color w:val="1A1A1A"/>
                <w:sz w:val="18"/>
              </w:rPr>
              <w:t xml:space="preserve">Processo</w:t>
            </w:r>
          </w:p>
        </w:tc>
        <w:tc>
          <w:tcPr/>
          <w:p>
            <w:pPr>
              <w:pStyle w:val="Compact"/>
              <w:spacing w:after="40" w:before="40"/>
              <w:jc w:val="left"/>
            </w:pPr>
            <w:r>
              <w:rPr>
                <w:rFonts w:ascii="Cambria" w:hAnsi="Cambria" w:cs="Cambria" w:eastAsia="Cambria"/>
                <w:color w:val="1A1A1A"/>
                <w:sz w:val="18"/>
              </w:rPr>
              <w:t xml:space="preserve">Sedute erogate, cicli completati, abbandoni</w:t>
            </w:r>
          </w:p>
        </w:tc>
        <w:tc>
          <w:tcPr/>
          <w:p>
            <w:pPr>
              <w:pStyle w:val="Compact"/>
              <w:spacing w:after="40" w:before="40"/>
              <w:jc w:val="left"/>
            </w:pPr>
            <w:r>
              <w:rPr>
                <w:rFonts w:ascii="Cambria" w:hAnsi="Cambria" w:cs="Cambria" w:eastAsia="Cambria"/>
                <w:color w:val="1A1A1A"/>
                <w:sz w:val="18"/>
              </w:rPr>
              <w:t xml:space="preserve">Parziale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clinico</w:t>
            </w:r>
          </w:p>
        </w:tc>
        <w:tc>
          <w:tcPr>
            <w:shd w:val="clear" w:color="auto" w:fill="F4F1EC"/>
          </w:tcPr>
          <w:p>
            <w:pPr>
              <w:pStyle w:val="Compact"/>
              <w:spacing w:after="40" w:before="40"/>
              <w:jc w:val="left"/>
            </w:pPr>
            <w:r>
              <w:rPr>
                <w:rFonts w:ascii="Cambria" w:hAnsi="Cambria" w:cs="Cambria" w:eastAsia="Cambria"/>
                <w:color w:val="1A1A1A"/>
                <w:sz w:val="18"/>
              </w:rPr>
              <w:t xml:space="preserve">Recupero, miglioramento affidabile, mantenimento</w:t>
            </w:r>
          </w:p>
        </w:tc>
        <w:tc>
          <w:tcPr>
            <w:shd w:val="clear" w:color="auto" w:fill="F4F1EC"/>
          </w:tcPr>
          <w:p>
            <w:pPr>
              <w:pStyle w:val="Compact"/>
              <w:spacing w:after="40" w:before="40"/>
              <w:jc w:val="left"/>
            </w:pPr>
            <w:r>
              <w:rPr>
                <w:rFonts w:ascii="Cambria" w:hAnsi="Cambria" w:cs="Cambria" w:eastAsia="Cambria"/>
                <w:color w:val="1A1A1A"/>
                <w:sz w:val="18"/>
              </w:rPr>
              <w:t xml:space="preserve">Parziale</w:t>
            </w:r>
          </w:p>
        </w:tc>
      </w:tr>
      <w:tr>
        <w:tc>
          <w:tcPr/>
          <w:p>
            <w:pPr>
              <w:pStyle w:val="Compact"/>
              <w:spacing w:after="40" w:before="40"/>
              <w:jc w:val="left"/>
            </w:pPr>
            <w:r>
              <w:rPr>
                <w:rFonts w:ascii="Cambria" w:hAnsi="Cambria" w:cs="Cambria" w:eastAsia="Cambria"/>
                <w:b/>
                <w:bCs/>
                <w:color w:val="1A1A1A"/>
                <w:sz w:val="18"/>
              </w:rPr>
              <w:t xml:space="preserve">Economici</w:t>
            </w:r>
          </w:p>
        </w:tc>
        <w:tc>
          <w:tcPr/>
          <w:p>
            <w:pPr>
              <w:pStyle w:val="Compact"/>
              <w:spacing w:after="40" w:before="40"/>
              <w:jc w:val="left"/>
            </w:pPr>
            <w:r>
              <w:rPr>
                <w:rFonts w:ascii="Cambria" w:hAnsi="Cambria" w:cs="Cambria" w:eastAsia="Cambria"/>
                <w:color w:val="1A1A1A"/>
                <w:sz w:val="18"/>
              </w:rPr>
              <w:t xml:space="preserve">Risparmi per canale, costo per esito</w:t>
            </w:r>
          </w:p>
        </w:tc>
        <w:tc>
          <w:tcPr/>
          <w:p>
            <w:pPr>
              <w:pStyle w:val="Compact"/>
              <w:spacing w:after="40" w:before="40"/>
              <w:jc w:val="left"/>
            </w:pPr>
            <w:r>
              <w:rPr>
                <w:rFonts w:ascii="Cambria" w:hAnsi="Cambria" w:cs="Cambria" w:eastAsia="Cambria"/>
                <w:color w:val="1A1A1A"/>
                <w:sz w:val="18"/>
              </w:rPr>
              <w:t xml:space="preserve">Misto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sociale</w:t>
            </w:r>
          </w:p>
        </w:tc>
        <w:tc>
          <w:tcPr>
            <w:shd w:val="clear" w:color="auto" w:fill="F4F1EC"/>
          </w:tcPr>
          <w:p>
            <w:pPr>
              <w:pStyle w:val="Compact"/>
              <w:spacing w:after="40" w:before="40"/>
              <w:jc w:val="left"/>
            </w:pPr>
            <w:r>
              <w:rPr>
                <w:rFonts w:ascii="Cambria" w:hAnsi="Cambria" w:cs="Cambria" w:eastAsia="Cambria"/>
                <w:color w:val="1A1A1A"/>
                <w:sz w:val="18"/>
              </w:rPr>
              <w:t xml:space="preserve">Produttività, benessere, indicatori territoriali</w:t>
            </w:r>
          </w:p>
        </w:tc>
        <w:tc>
          <w:tcPr>
            <w:shd w:val="clear" w:color="auto" w:fill="F4F1EC"/>
          </w:tcPr>
          <w:p>
            <w:pPr>
              <w:pStyle w:val="Compact"/>
              <w:spacing w:after="40" w:before="40"/>
              <w:jc w:val="left"/>
            </w:pPr>
            <w:r>
              <w:rPr>
                <w:rFonts w:ascii="Cambria" w:hAnsi="Cambria" w:cs="Cambria" w:eastAsia="Cambria"/>
                <w:color w:val="1A1A1A"/>
                <w:sz w:val="18"/>
              </w:rPr>
              <w:t xml:space="preserve">Misto</w:t>
            </w:r>
          </w:p>
        </w:tc>
      </w:tr>
      <w:tr>
        <w:tc>
          <w:tcPr/>
          <w:p>
            <w:pPr>
              <w:pStyle w:val="Compact"/>
              <w:spacing w:after="40" w:before="40"/>
              <w:jc w:val="left"/>
            </w:pPr>
            <w:r>
              <w:rPr>
                <w:rFonts w:ascii="Cambria" w:hAnsi="Cambria" w:cs="Cambria" w:eastAsia="Cambria"/>
                <w:b/>
                <w:bCs/>
                <w:color w:val="1A1A1A"/>
                <w:sz w:val="18"/>
              </w:rPr>
              <w:t xml:space="preserve">Organizzativi</w:t>
            </w:r>
          </w:p>
        </w:tc>
        <w:tc>
          <w:tcPr/>
          <w:p>
            <w:pPr>
              <w:pStyle w:val="Compact"/>
              <w:spacing w:after="40" w:before="40"/>
              <w:jc w:val="left"/>
            </w:pPr>
            <w:r>
              <w:rPr>
                <w:rFonts w:ascii="Cambria" w:hAnsi="Cambria" w:cs="Cambria" w:eastAsia="Cambria"/>
                <w:color w:val="1A1A1A"/>
                <w:sz w:val="18"/>
              </w:rPr>
              <w:t xml:space="preserve">Reclutamento, formazione, fedeltà al modello</w:t>
            </w:r>
          </w:p>
        </w:tc>
        <w:tc>
          <w:tcPr/>
          <w:p>
            <w:pPr>
              <w:pStyle w:val="Compact"/>
              <w:spacing w:after="40" w:before="40"/>
              <w:jc w:val="left"/>
            </w:pPr>
            <w:r>
              <w:rPr>
                <w:rFonts w:ascii="Cambria" w:hAnsi="Cambria" w:cs="Cambria" w:eastAsia="Cambria"/>
                <w:color w:val="1A1A1A"/>
                <w:sz w:val="18"/>
              </w:rPr>
              <w:t xml:space="preserve">Da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Variabili di sintesi</w:t>
            </w:r>
          </w:p>
        </w:tc>
        <w:tc>
          <w:tcPr>
            <w:shd w:val="clear" w:color="auto" w:fill="F4F1EC"/>
          </w:tcPr>
          <w:p>
            <w:pPr>
              <w:pStyle w:val="Compact"/>
              <w:spacing w:after="40" w:before="40"/>
              <w:jc w:val="left"/>
            </w:pPr>
            <w:r>
              <w:rPr>
                <w:rFonts w:ascii="Cambria" w:hAnsi="Cambria" w:cs="Cambria" w:eastAsia="Cambria"/>
                <w:color w:val="1A1A1A"/>
                <w:sz w:val="18"/>
              </w:rPr>
              <w:t xml:space="preserve">Indici compositi di esito e di valore</w:t>
            </w:r>
          </w:p>
        </w:tc>
        <w:tc>
          <w:tcPr>
            <w:shd w:val="clear" w:color="auto" w:fill="F4F1EC"/>
          </w:tcPr>
          <w:p>
            <w:pPr>
              <w:pStyle w:val="Compact"/>
              <w:spacing w:after="40" w:before="40"/>
              <w:jc w:val="left"/>
            </w:pPr>
            <w:r>
              <w:rPr>
                <w:rFonts w:ascii="Cambria" w:hAnsi="Cambria" w:cs="Cambria" w:eastAsia="Cambria"/>
                <w:color w:val="1A1A1A"/>
                <w:sz w:val="18"/>
              </w:rPr>
              <w:t xml:space="preserve">Da calcolare</w:t>
            </w:r>
          </w:p>
        </w:tc>
      </w:tr>
    </w:tbl>
    <w:p>
      <w:pPr>
        <w:pStyle w:val="BodyText"/>
      </w:pPr>
      <w:r>
        <w:rPr>
          <w:i/>
          <w:iCs/>
        </w:rPr>
        <w:t xml:space="preserve">Tabella L.1. Le otto categorie di indicatori e lo stato della baseline. La sperimentazione già attiva fornisce una base parziale di dati di processo ed esito.</w:t>
      </w:r>
    </w:p>
    <w:bookmarkEnd w:id="1997"/>
    <w:bookmarkStart w:id="2003" w:name="X3e3a7ad0496a28f8250bfb3a7268d92907781cf"/>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struttura e completa la misurazione già avviata.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2584"/>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2585"/>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2586"/>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cui in Toscana si aggiunge, quale base preziosa per il confronto prima-dopo, il periodo anteriore all’attivazione del settembre 2024; la rilevazione strutturata di servizio completa quella già avviata.</w:t>
      </w:r>
      <w:r>
        <w:rPr>
          <w:rStyle w:val="FootnoteReference"/>
        </w:rPr>
        <w:footnoteReference w:id="2587"/>
      </w:r>
      <w:r>
        <w:t xml:space="preserve"> </w:t>
      </w:r>
      <w:r>
        <w:t xml:space="preserve">Il calendario disciplina questa sequenza, dalla costituzione della baseline alla registrazione corrente, alla trasmissione mensile di indicatori aggregati al comitato di indirizzo regionale, fino al calcolo periodico delle misure di sintesi e all’aggiornamento del cruscotto.</w:t>
      </w:r>
      <w:r>
        <w:rPr>
          <w:rStyle w:val="FootnoteReference"/>
        </w:rPr>
        <w:footnoteReference w:id="2588"/>
      </w:r>
      <w:r>
        <w:t xml:space="preserve"> </w:t>
      </w:r>
      <w:r>
        <w:t xml:space="preserve">La tabella seguente lo riepiloga.</w:t>
      </w:r>
    </w:p>
    <w:tbl>
      <w:tblPr>
        <w:tblStyle w:val="Table"/>
        <w:tblW w:type="pct" w:w="494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612"/>
        <w:gridCol w:w="522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Momento</w:t>
            </w:r>
          </w:p>
        </w:tc>
        <w:tc>
          <w:tcPr>
            <w:shd w:val="clear" w:color="auto" w:fill="16264B"/>
          </w:tcPr>
          <w:p>
            <w:pPr>
              <w:pStyle w:val="Compact"/>
              <w:spacing w:after="40" w:before="40"/>
              <w:jc w:val="left"/>
            </w:pPr>
            <w:r>
              <w:rPr>
                <w:rFonts w:ascii="Cambria" w:hAnsi="Cambria" w:cs="Cambria" w:eastAsia="Cambria"/>
                <w:b/>
                <w:bCs/>
                <w:color w:val="FFFFFF"/>
                <w:sz w:val="18"/>
              </w:rPr>
              <w:t xml:space="preserve">Attività</w:t>
            </w:r>
          </w:p>
        </w:tc>
      </w:tr>
      <w:tr>
        <w:tc>
          <w:tcPr/>
          <w:p>
            <w:pPr>
              <w:pStyle w:val="Compact"/>
              <w:spacing w:after="40" w:before="40"/>
              <w:jc w:val="left"/>
            </w:pPr>
            <w:r>
              <w:rPr>
                <w:rFonts w:ascii="Cambria" w:hAnsi="Cambria" w:cs="Cambria" w:eastAsia="Cambria"/>
                <w:b/>
                <w:bCs/>
                <w:color w:val="1A1A1A"/>
                <w:sz w:val="18"/>
              </w:rPr>
              <w:t xml:space="preserve">Baseline (dati disponibili e periodo pre-settembre 2024)</w:t>
            </w:r>
          </w:p>
        </w:tc>
        <w:tc>
          <w:tcPr/>
          <w:p>
            <w:pPr>
              <w:pStyle w:val="Compact"/>
              <w:spacing w:after="40" w:before="40"/>
              <w:jc w:val="left"/>
            </w:pPr>
            <w:r>
              <w:rPr>
                <w:rFonts w:ascii="Cambria" w:hAnsi="Cambria" w:cs="Cambria" w:eastAsia="Cambria"/>
                <w:color w:val="1A1A1A"/>
                <w:sz w:val="18"/>
              </w:rPr>
              <w:t xml:space="preserve">Costituzione della fotografia di partenza; valorizzazione del periodo anteriore all’attivazione per il confronto prima-dopo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Rilevazione corrente</w:t>
            </w:r>
          </w:p>
        </w:tc>
        <w:tc>
          <w:tcPr>
            <w:shd w:val="clear" w:color="auto" w:fill="F4F1EC"/>
          </w:tcPr>
          <w:p>
            <w:pPr>
              <w:pStyle w:val="Compact"/>
              <w:spacing w:after="40" w:before="40"/>
              <w:jc w:val="left"/>
            </w:pPr>
            <w:r>
              <w:rPr>
                <w:rFonts w:ascii="Cambria" w:hAnsi="Cambria" w:cs="Cambria" w:eastAsia="Cambria"/>
                <w:color w:val="1A1A1A"/>
                <w:sz w:val="18"/>
              </w:rPr>
              <w:t xml:space="preserve">Registrazione strutturata di ogni presa in carico e di ogni seduta, con i punteggi di esito</w:t>
            </w:r>
          </w:p>
        </w:tc>
      </w:tr>
      <w:tr>
        <w:tc>
          <w:tcPr/>
          <w:p>
            <w:pPr>
              <w:pStyle w:val="Compact"/>
              <w:spacing w:after="40" w:before="40"/>
              <w:jc w:val="left"/>
            </w:pPr>
            <w:r>
              <w:rPr>
                <w:rFonts w:ascii="Cambria" w:hAnsi="Cambria" w:cs="Cambria" w:eastAsia="Cambria"/>
                <w:b/>
                <w:bCs/>
                <w:color w:val="1A1A1A"/>
                <w:sz w:val="18"/>
              </w:rPr>
              <w:t xml:space="preserve">In continuo</w:t>
            </w:r>
          </w:p>
        </w:tc>
        <w:tc>
          <w:tcPr/>
          <w:p>
            <w:pPr>
              <w:pStyle w:val="Compact"/>
              <w:spacing w:after="40" w:before="40"/>
              <w:jc w:val="left"/>
            </w:pPr>
            <w:r>
              <w:rPr>
                <w:rFonts w:ascii="Cambria" w:hAnsi="Cambria" w:cs="Cambria" w:eastAsia="Cambria"/>
                <w:color w:val="1A1A1A"/>
                <w:sz w:val="18"/>
              </w:rPr>
              <w:t xml:space="preserve">Alimentazione del registro; trasmissione di indicatori aggregati al comitato di indirizzo regionale con cadenza mensile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Periodico (semestrale e annuale)</w:t>
            </w:r>
          </w:p>
        </w:tc>
        <w:tc>
          <w:tcPr>
            <w:shd w:val="clear" w:color="auto" w:fill="F4F1EC"/>
          </w:tcPr>
          <w:p>
            <w:pPr>
              <w:pStyle w:val="Compact"/>
              <w:spacing w:after="40" w:before="40"/>
              <w:jc w:val="left"/>
            </w:pPr>
            <w:r>
              <w:rPr>
                <w:rFonts w:ascii="Cambria" w:hAnsi="Cambria" w:cs="Cambria" w:eastAsia="Cambria"/>
                <w:color w:val="1A1A1A"/>
                <w:sz w:val="18"/>
              </w:rPr>
              <w:t xml:space="preserve">Calcolo delle misure di sintesi e aggiornamento del cruscotto regionale</w:t>
            </w:r>
          </w:p>
        </w:tc>
      </w:tr>
    </w:tbl>
    <w:p>
      <w:pPr>
        <w:pStyle w:val="BodyText"/>
      </w:pPr>
      <w:r>
        <w:rPr>
          <w:i/>
          <w:iCs/>
        </w:rPr>
        <w:t xml:space="preserve">Tabella L.2. Il calendario della rilevazione. In Toscana il periodo anteriore all</w:t>
      </w:r>
      <w:r>
        <w:rPr>
          <w:b/>
          <w:bCs/>
          <w:i/>
          <w:iCs/>
        </w:rPr>
        <w:t xml:space="preserve">’</w:t>
      </w:r>
      <w:r>
        <w:rPr>
          <w:i/>
          <w:iCs/>
        </w:rPr>
        <w:t xml:space="preserve">attivazione del settembre 2024 funge da base per il confronto prima-dopo.</w:t>
      </w:r>
    </w:p>
    <w:bookmarkEnd w:id="2003"/>
    <w:bookmarkStart w:id="4428" w:name="l.3-la-valutazione-controfattuale-4"/>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Poiché il servizio è già attivo in via sperimentale e si è esteso in modo scaglionato, lo strumento non è un dispiegamento da zero, ma il confronto prima-dopo l’attivazione del settembre 2024 e l’estensione progressiva tra le strutture e le zone, che insieme configurano un disegno quasi a cunei progressivi idoneo a misurare gli effetti reali del servizio.</w:t>
      </w:r>
      <w:r>
        <w:rPr>
          <w:rStyle w:val="FootnoteReference"/>
        </w:rPr>
        <w:footnoteReference w:id="2589"/>
      </w:r>
      <w:r>
        <w:t xml:space="preserve"> </w:t>
      </w:r>
      <w:r>
        <w:t xml:space="preserve">Il metodo principale è la differenza-nelle-differenze, che confronta la variazione nel tempo dell’esito tra le strutture attivate prima e quelle attivate dopo, e a maggiore e minore intensità di copertura, sotto l’ipotesi di andamento parallelo; a esso si affianca il controllo sintetico, che costruisce un’unità di confronto artificiale come combinazione ponderata di zone non ancora attivate o a copertura inferiore.</w:t>
      </w:r>
      <w:r>
        <w:rPr>
          <w:rStyle w:val="FootnoteReference"/>
        </w:rPr>
        <w:footnoteReference w:id="2590"/>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cunei progressivi e a esperimento naturale sono, per gli interventi di salute della popolazione, lo strumento raccomandato dalla letteratura metodologica.</w:t>
      </w:r>
      <w:r>
        <w:rPr>
          <w:rStyle w:val="FootnoteReference"/>
        </w:rPr>
        <w:footnoteReference w:id="2591"/>
      </w:r>
      <w:r>
        <w:t xml:space="preserve"> </w:t>
      </w:r>
      <w:r>
        <w:t xml:space="preserve">La portata di questo metodo, per il presente studio, è dirimente: confrontando, ad esempio, l’andamento degli accessi al pronto soccorso per cause psichiatriche nelle zone attivate per prime e a copertura più intensa con quello delle zone attivate più tardi, si isola l’effetto proprio della riforma e si trasforma la stima dei risparmi da proiezione attesa a misura empiricamente fondata.</w:t>
      </w:r>
      <w:r>
        <w:rPr>
          <w:rStyle w:val="FootnoteReference"/>
        </w:rPr>
        <w:footnoteReference w:id="2592"/>
      </w:r>
      <w:r>
        <w:t xml:space="preserve"> </w:t>
      </w:r>
      <w:r>
        <w:t xml:space="preserve">È questo il passaggio che, a regime, eleva lo studio da proposta argomentata a politica validata, e che chiude il cerchio aperto dal valore dell’informazione della Parte F; la Toscana, disponendo già di una sperimentazione attiva ed estesa in modo scaglionato, è nella posizione di compiere questa verifica con un disegno particolarmente robusto.</w:t>
      </w:r>
    </w:p>
    <w:bookmarkEnd w:id="4428"/>
    <w:bookmarkStart w:id="2011" w:name="l.4-la-verifica-ex-post-della-norma-4"/>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2593"/>
      </w:r>
      <w:r>
        <w:t xml:space="preserve"> </w:t>
      </w:r>
      <w:r>
        <w:t xml:space="preserve">A essa si lega, sul piano regionale, la clausola valutativa, che impegna la Giunta a riferire periodicamente al Consiglio regionale sui risultati conseguiti. In Toscana questo legame è particolarmente solido, perché il servizio è già istituito da una legge regionale, e i risultati della sperimentazione e della successiva strutturazione possono essere portati periodicamente all’attenzione dell’organo che ha disposto il servizio, a presidio della rendicontazione democratica.</w:t>
      </w:r>
      <w:r>
        <w:rPr>
          <w:rStyle w:val="FootnoteReference"/>
        </w:rPr>
        <w:footnoteReference w:id="2594"/>
      </w:r>
    </w:p>
    <w:bookmarkEnd w:id="2011"/>
    <w:bookmarkStart w:id="2015" w:name="X39ad7e26ac6356a7cc696f99e947c93934adf6e"/>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2595"/>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2596"/>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2597"/>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senza il canale della mobilità recuperata, qui non pertinente data la condizione di regione creditrice della Toscana. La tabella seguente ne riepiloga le dimensioni.</w:t>
      </w:r>
    </w:p>
    <w:tbl>
      <w:tblPr>
        <w:tblStyle w:val="Table"/>
        <w:tblW w:type="pct" w:w="492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66"/>
        <w:gridCol w:w="573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 sintesi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Guadagno di salute</w:t>
            </w:r>
          </w:p>
        </w:tc>
        <w:tc>
          <w:tcPr/>
          <w:p>
            <w:pPr>
              <w:pStyle w:val="Compact"/>
              <w:spacing w:after="40" w:before="40"/>
              <w:jc w:val="left"/>
            </w:pPr>
            <w:r>
              <w:rPr>
                <w:rFonts w:ascii="Cambria" w:hAnsi="Cambria" w:cs="Cambria" w:eastAsia="Cambria"/>
                <w:color w:val="1A1A1A"/>
                <w:sz w:val="18"/>
              </w:rPr>
              <w:t xml:space="preserve">Anni di vita ponderati per la qualità in salute mentale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Tasso di recupero</w:t>
            </w:r>
          </w:p>
        </w:tc>
        <w:tc>
          <w:tcPr>
            <w:shd w:val="clear" w:color="auto" w:fill="F4F1EC"/>
          </w:tcPr>
          <w:p>
            <w:pPr>
              <w:pStyle w:val="Compact"/>
              <w:spacing w:after="40" w:before="40"/>
              <w:jc w:val="left"/>
            </w:pPr>
            <w:r>
              <w:rPr>
                <w:rFonts w:ascii="Cambria" w:hAnsi="Cambria" w:cs="Cambria" w:eastAsia="Cambria"/>
                <w:color w:val="1A1A1A"/>
                <w:sz w:val="18"/>
              </w:rPr>
              <w:t xml:space="preserve">Miglioramento clinico e superamento delle soglie (PHQ-9, GAD-7)</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Valore sociale generato per euro investito (SROI)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 territoriale</w:t>
            </w:r>
          </w:p>
        </w:tc>
        <w:tc>
          <w:tcPr>
            <w:shd w:val="clear" w:color="auto" w:fill="F4F1EC"/>
          </w:tcPr>
          <w:p>
            <w:pPr>
              <w:pStyle w:val="Compact"/>
              <w:spacing w:after="40" w:before="40"/>
              <w:jc w:val="left"/>
            </w:pPr>
            <w:r>
              <w:rPr>
                <w:rFonts w:ascii="Cambria" w:hAnsi="Cambria" w:cs="Cambria" w:eastAsia="Cambria"/>
                <w:color w:val="1A1A1A"/>
                <w:sz w:val="18"/>
              </w:rPr>
              <w:t xml:space="preserve">Esito e accesso tra le tre Aziende USL e tra area metropolitana centrale e aree interne e montane</w:t>
            </w:r>
          </w:p>
        </w:tc>
      </w:tr>
      <w:tr>
        <w:tc>
          <w:tcPr/>
          <w:p>
            <w:pPr>
              <w:pStyle w:val="Compact"/>
              <w:spacing w:after="40" w:before="40"/>
              <w:jc w:val="left"/>
            </w:pPr>
            <w:r>
              <w:rPr>
                <w:rFonts w:ascii="Cambria" w:hAnsi="Cambria" w:cs="Cambria" w:eastAsia="Cambria"/>
                <w:b/>
                <w:bCs/>
                <w:color w:val="1A1A1A"/>
                <w:sz w:val="18"/>
              </w:rPr>
              <w:t xml:space="preserve">Liste di attesa</w:t>
            </w:r>
          </w:p>
        </w:tc>
        <w:tc>
          <w:tcPr/>
          <w:p>
            <w:pPr>
              <w:pStyle w:val="Compact"/>
              <w:spacing w:after="40" w:before="40"/>
              <w:jc w:val="left"/>
            </w:pPr>
            <w:r>
              <w:rPr>
                <w:rFonts w:ascii="Cambria" w:hAnsi="Cambria" w:cs="Cambria" w:eastAsia="Cambria"/>
                <w:color w:val="1A1A1A"/>
                <w:sz w:val="18"/>
              </w:rPr>
              <w:t xml:space="preserve">Riduzione dei tempi di attesa e tenuta dell’offerta territoriale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Indicatori di sistema</w:t>
            </w:r>
          </w:p>
        </w:tc>
        <w:tc>
          <w:tcPr>
            <w:shd w:val="clear" w:color="auto" w:fill="F4F1EC"/>
          </w:tcPr>
          <w:p>
            <w:pPr>
              <w:pStyle w:val="Compact"/>
              <w:spacing w:after="40" w:before="40"/>
              <w:jc w:val="left"/>
            </w:pPr>
            <w:r>
              <w:rPr>
                <w:rFonts w:ascii="Cambria" w:hAnsi="Cambria" w:cs="Cambria" w:eastAsia="Cambria"/>
                <w:color w:val="1A1A1A"/>
                <w:sz w:val="18"/>
              </w:rPr>
              <w:t xml:space="preserve">Esito, esperienza, costo e operatori (Quadruple Aim)</w:t>
            </w:r>
          </w:p>
        </w:tc>
      </w:tr>
    </w:tbl>
    <w:p>
      <w:pPr>
        <w:pStyle w:val="BodyText"/>
      </w:pPr>
      <w:r>
        <w:rPr>
          <w:i/>
          <w:iCs/>
        </w:rPr>
        <w:t xml:space="preserve">Tabella L.3. Le dimensioni di sintesi del cruscotto regionale toscano.</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2015"/>
    <w:bookmarkEnd w:id="2016"/>
    <w:bookmarkStart w:id="2052" w:name="Xb2e3bbc9984ed6c3bcc1486751eb25d8d65ae85"/>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2598"/>
      </w:r>
      <w:r>
        <w:rPr>
          <w:rStyle w:val="FootnoteReference"/>
        </w:rPr>
        <w:footnoteReference w:id="2599"/>
      </w:r>
      <w:r>
        <w:rPr>
          <w:rStyle w:val="FootnoteReference"/>
        </w:rPr>
        <w:footnoteReference w:id="2600"/>
      </w:r>
      <w:r>
        <w:rPr>
          <w:rStyle w:val="FootnoteReference"/>
        </w:rPr>
        <w:footnoteReference w:id="2601"/>
      </w:r>
      <w:r>
        <w:rPr>
          <w:rStyle w:val="FootnoteReference"/>
        </w:rPr>
        <w:footnoteReference w:id="2602"/>
      </w:r>
      <w:r>
        <w:rPr>
          <w:rStyle w:val="FootnoteReference"/>
        </w:rPr>
        <w:footnoteReference w:id="2603"/>
      </w:r>
      <w:r>
        <w:rPr>
          <w:rStyle w:val="FootnoteReference"/>
        </w:rPr>
        <w:footnoteReference w:id="2604"/>
      </w:r>
      <w:r>
        <w:rPr>
          <w:rStyle w:val="FootnoteReference"/>
        </w:rPr>
        <w:footnoteReference w:id="2605"/>
      </w:r>
      <w:r>
        <w:rPr>
          <w:rStyle w:val="FootnoteReference"/>
        </w:rPr>
        <w:footnoteReference w:id="2606"/>
      </w:r>
      <w:r>
        <w:rPr>
          <w:rStyle w:val="FootnoteReference"/>
        </w:rPr>
        <w:footnoteReference w:id="2607"/>
      </w:r>
      <w:r>
        <w:rPr>
          <w:rStyle w:val="FootnoteReference"/>
        </w:rPr>
        <w:footnoteReference w:id="2608"/>
      </w:r>
      <w:r>
        <w:rPr>
          <w:rStyle w:val="FootnoteReference"/>
        </w:rPr>
        <w:footnoteReference w:id="2609"/>
      </w:r>
      <w:r>
        <w:rPr>
          <w:rStyle w:val="FootnoteReference"/>
        </w:rPr>
        <w:footnoteReference w:id="2610"/>
      </w:r>
      <w:r>
        <w:rPr>
          <w:rStyle w:val="FootnoteReference"/>
        </w:rPr>
        <w:footnoteReference w:id="2611"/>
      </w:r>
      <w:r>
        <w:rPr>
          <w:rStyle w:val="FootnoteReference"/>
        </w:rPr>
        <w:footnoteReference w:id="2612"/>
      </w:r>
      <w:r>
        <w:rPr>
          <w:rStyle w:val="FootnoteReference"/>
        </w:rPr>
        <w:footnoteReference w:id="2613"/>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2040" w:name="m.1-la-griglia-di-valutazione-ocse-dac-4"/>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2614"/>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toscano, sul criterio dell’efficienza. L’intervento è rilevante, perché risponde a un bisogno reale e di grande dimensione e all’obbligo di garantire i livelli essenziali;</w:t>
      </w:r>
      <w:r>
        <w:rPr>
          <w:rStyle w:val="FootnoteReference"/>
        </w:rPr>
        <w:footnoteReference w:id="2615"/>
      </w:r>
      <w:r>
        <w:t xml:space="preserve"> </w:t>
      </w:r>
      <w:r>
        <w:t xml:space="preserve">è coerente, perché compatibile con gli standard dell’assistenza territoriale, con il PNRR e con la legge regionale che già ne ha istituito la funzione, ed è costituzionalmente difendibile, senza incontrare il vincolo del piano di rientro;</w:t>
      </w:r>
      <w:r>
        <w:rPr>
          <w:rStyle w:val="FootnoteReference"/>
        </w:rPr>
        <w:footnoteReference w:id="2616"/>
      </w:r>
      <w:r>
        <w:t xml:space="preserve"> </w:t>
      </w:r>
      <w:r>
        <w:t xml:space="preserve">è efficace, perché l’evidenza internazionale ne documenta il raggiungimento degli obiettivi clinici, corroborata dai dati della sperimentazione attiva;</w:t>
      </w:r>
      <w:r>
        <w:rPr>
          <w:rStyle w:val="FootnoteReference"/>
        </w:rPr>
        <w:footnoteReference w:id="2617"/>
      </w:r>
      <w:r>
        <w:t xml:space="preserve"> </w:t>
      </w:r>
      <w:r>
        <w:t xml:space="preserve">è efficiente in termini di costo-utilità, con dominanza per paziente, pur a fronte di un saldo diretto lievemente negativo sul solo bilancio, di entità modesta;</w:t>
      </w:r>
      <w:r>
        <w:rPr>
          <w:rStyle w:val="FootnoteReference"/>
        </w:rPr>
        <w:footnoteReference w:id="2618"/>
      </w:r>
      <w:r>
        <w:t xml:space="preserve"> </w:t>
      </w:r>
      <w:r>
        <w:t xml:space="preserve">ha un impatto distributivo favorevole e un ritorno complessivo di 3,8–5,5 a uno;</w:t>
      </w:r>
      <w:r>
        <w:rPr>
          <w:rStyle w:val="FootnoteReference"/>
        </w:rPr>
        <w:footnoteReference w:id="2619"/>
      </w:r>
      <w:r>
        <w:t xml:space="preserve"> </w:t>
      </w:r>
      <w:r>
        <w:t xml:space="preserve">ed è sostenibile, sul piano finanziario e organizzativo, con la strutturazione a regime quale leva decisiva, essendo la legge già vigente.</w:t>
      </w:r>
      <w:r>
        <w:rPr>
          <w:rStyle w:val="FootnoteReference"/>
        </w:rPr>
        <w:footnoteReference w:id="2620"/>
      </w:r>
      <w:r>
        <w:t xml:space="preserve"> </w:t>
      </w:r>
      <w:r>
        <w:t xml:space="preserve">La tabella seguente riepiloga il giudizio, criterio per criterio.</w:t>
      </w:r>
    </w:p>
    <w:tbl>
      <w:tblPr>
        <w:tblStyle w:val="Table"/>
        <w:tblW w:type="pct" w:w="495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909"/>
        <w:gridCol w:w="1667"/>
        <w:gridCol w:w="526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Domanda valutativa</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 dallo studio</w:t>
            </w:r>
          </w:p>
        </w:tc>
      </w:tr>
      <w:tr>
        <w:tc>
          <w:tcPr/>
          <w:p>
            <w:pPr>
              <w:pStyle w:val="Compact"/>
              <w:spacing w:after="40" w:before="40"/>
              <w:jc w:val="left"/>
            </w:pPr>
            <w:r>
              <w:rPr>
                <w:rFonts w:ascii="Cambria" w:hAnsi="Cambria" w:cs="Cambria" w:eastAsia="Cambria"/>
                <w:b/>
                <w:bCs/>
                <w:color w:val="1A1A1A"/>
                <w:sz w:val="18"/>
              </w:rPr>
              <w:t xml:space="preserve">Rilevanza</w:t>
            </w:r>
          </w:p>
        </w:tc>
        <w:tc>
          <w:tcPr/>
          <w:p>
            <w:pPr>
              <w:pStyle w:val="Compact"/>
              <w:spacing w:after="40" w:before="40"/>
              <w:jc w:val="left"/>
            </w:pPr>
            <w:r>
              <w:rPr>
                <w:rFonts w:ascii="Cambria" w:hAnsi="Cambria" w:cs="Cambria" w:eastAsia="Cambria"/>
                <w:color w:val="1A1A1A"/>
                <w:sz w:val="18"/>
              </w:rPr>
              <w:t xml:space="preserve">Risponde al bisogno reale?</w:t>
            </w:r>
          </w:p>
        </w:tc>
        <w:tc>
          <w:tcPr/>
          <w:p>
            <w:pPr>
              <w:pStyle w:val="Compact"/>
              <w:spacing w:after="40" w:before="40"/>
              <w:jc w:val="left"/>
            </w:pPr>
            <w:r>
              <w:rPr>
                <w:rFonts w:ascii="Cambria" w:hAnsi="Cambria" w:cs="Cambria" w:eastAsia="Cambria"/>
                <w:color w:val="1A1A1A"/>
                <w:sz w:val="18"/>
              </w:rPr>
              <w:t xml:space="preserve">Sì: ~730.000 con disagio inevaso; obbligo dei livelli essenziali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w:t>
            </w:r>
          </w:p>
        </w:tc>
        <w:tc>
          <w:tcPr>
            <w:shd w:val="clear" w:color="auto" w:fill="F4F1EC"/>
          </w:tcPr>
          <w:p>
            <w:pPr>
              <w:pStyle w:val="Compact"/>
              <w:spacing w:after="40" w:before="40"/>
              <w:jc w:val="left"/>
            </w:pPr>
            <w:r>
              <w:rPr>
                <w:rFonts w:ascii="Cambria" w:hAnsi="Cambria" w:cs="Cambria" w:eastAsia="Cambria"/>
                <w:color w:val="1A1A1A"/>
                <w:sz w:val="18"/>
              </w:rPr>
              <w:t xml:space="preserve">È compatibile con le altre politiche?</w:t>
            </w:r>
          </w:p>
        </w:tc>
        <w:tc>
          <w:tcPr>
            <w:shd w:val="clear" w:color="auto" w:fill="F4F1EC"/>
          </w:tcPr>
          <w:p>
            <w:pPr>
              <w:pStyle w:val="Compact"/>
              <w:spacing w:after="40" w:before="40"/>
              <w:jc w:val="left"/>
            </w:pPr>
            <w:r>
              <w:rPr>
                <w:rFonts w:ascii="Cambria" w:hAnsi="Cambria" w:cs="Cambria" w:eastAsia="Cambria"/>
                <w:color w:val="1A1A1A"/>
                <w:sz w:val="18"/>
              </w:rPr>
              <w:t xml:space="preserve">Sì: DM 77, PNRR, legge regionale dedicata (L.R. 39/2022) e regolamento; difendibile in Costituzione; non in piano di rientro, creditrice</w:t>
            </w:r>
          </w:p>
        </w:tc>
      </w:tr>
      <w:tr>
        <w:tc>
          <w:tcPr/>
          <w:p>
            <w:pPr>
              <w:pStyle w:val="Compact"/>
              <w:spacing w:after="40" w:before="40"/>
              <w:jc w:val="left"/>
            </w:pPr>
            <w:r>
              <w:rPr>
                <w:rFonts w:ascii="Cambria" w:hAnsi="Cambria" w:cs="Cambria" w:eastAsia="Cambria"/>
                <w:b/>
                <w:bCs/>
                <w:color w:val="1A1A1A"/>
                <w:sz w:val="18"/>
              </w:rPr>
              <w:t xml:space="preserve">Efficacia</w:t>
            </w:r>
          </w:p>
        </w:tc>
        <w:tc>
          <w:tcPr/>
          <w:p>
            <w:pPr>
              <w:pStyle w:val="Compact"/>
              <w:spacing w:after="40" w:before="40"/>
              <w:jc w:val="left"/>
            </w:pPr>
            <w:r>
              <w:rPr>
                <w:rFonts w:ascii="Cambria" w:hAnsi="Cambria" w:cs="Cambria" w:eastAsia="Cambria"/>
                <w:color w:val="1A1A1A"/>
                <w:sz w:val="18"/>
              </w:rPr>
              <w:t xml:space="preserve">Raggiunge gli obiettivi?</w:t>
            </w:r>
          </w:p>
        </w:tc>
        <w:tc>
          <w:tcPr/>
          <w:p>
            <w:pPr>
              <w:pStyle w:val="Compact"/>
              <w:spacing w:after="40" w:before="40"/>
              <w:jc w:val="left"/>
            </w:pPr>
            <w:r>
              <w:rPr>
                <w:rFonts w:ascii="Cambria" w:hAnsi="Cambria" w:cs="Cambria" w:eastAsia="Cambria"/>
                <w:color w:val="1A1A1A"/>
                <w:sz w:val="18"/>
              </w:rPr>
              <w:t xml:space="preserve">Sì: evidenza internazionale (recupero ~50%) e dati della sperimentazione toscana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Efficienza</w:t>
            </w:r>
          </w:p>
        </w:tc>
        <w:tc>
          <w:tcPr>
            <w:shd w:val="clear" w:color="auto" w:fill="F4F1EC"/>
          </w:tcPr>
          <w:p>
            <w:pPr>
              <w:pStyle w:val="Compact"/>
              <w:spacing w:after="40" w:before="40"/>
              <w:jc w:val="left"/>
            </w:pPr>
            <w:r>
              <w:rPr>
                <w:rFonts w:ascii="Cambria" w:hAnsi="Cambria" w:cs="Cambria" w:eastAsia="Cambria"/>
                <w:color w:val="1A1A1A"/>
                <w:sz w:val="18"/>
              </w:rPr>
              <w:t xml:space="preserve">Impiega le risorse in modo proporzionato?</w:t>
            </w:r>
          </w:p>
        </w:tc>
        <w:tc>
          <w:tcPr>
            <w:shd w:val="clear" w:color="auto" w:fill="F4F1EC"/>
          </w:tcPr>
          <w:p>
            <w:pPr>
              <w:pStyle w:val="Compact"/>
              <w:spacing w:after="40" w:before="40"/>
              <w:jc w:val="left"/>
            </w:pPr>
            <w:r>
              <w:rPr>
                <w:rFonts w:ascii="Cambria" w:hAnsi="Cambria" w:cs="Cambria" w:eastAsia="Cambria"/>
                <w:color w:val="1A1A1A"/>
                <w:sz w:val="18"/>
              </w:rPr>
              <w:t xml:space="preserve">Sì in costo-utilità (dominanza); saldo diretto lievemente negativo a costo modesto</w:t>
            </w:r>
          </w:p>
        </w:tc>
      </w:tr>
      <w:tr>
        <w:tc>
          <w:tcPr/>
          <w:p>
            <w:pPr>
              <w:pStyle w:val="Compact"/>
              <w:spacing w:after="40" w:before="40"/>
              <w:jc w:val="left"/>
            </w:pPr>
            <w:r>
              <w:rPr>
                <w:rFonts w:ascii="Cambria" w:hAnsi="Cambria" w:cs="Cambria" w:eastAsia="Cambria"/>
                <w:b/>
                <w:bCs/>
                <w:color w:val="1A1A1A"/>
                <w:sz w:val="18"/>
              </w:rPr>
              <w:t xml:space="preserve">Impatto</w:t>
            </w:r>
          </w:p>
        </w:tc>
        <w:tc>
          <w:tcPr/>
          <w:p>
            <w:pPr>
              <w:pStyle w:val="Compact"/>
              <w:spacing w:after="40" w:before="40"/>
              <w:jc w:val="left"/>
            </w:pPr>
            <w:r>
              <w:rPr>
                <w:rFonts w:ascii="Cambria" w:hAnsi="Cambria" w:cs="Cambria" w:eastAsia="Cambria"/>
                <w:color w:val="1A1A1A"/>
                <w:sz w:val="18"/>
              </w:rPr>
              <w:t xml:space="preserve">Produce effetti più ampi?</w:t>
            </w:r>
          </w:p>
        </w:tc>
        <w:tc>
          <w:tcPr/>
          <w:p>
            <w:pPr>
              <w:pStyle w:val="Compact"/>
              <w:spacing w:after="40" w:before="40"/>
              <w:jc w:val="left"/>
            </w:pPr>
            <w:r>
              <w:rPr>
                <w:rFonts w:ascii="Cambria" w:hAnsi="Cambria" w:cs="Cambria" w:eastAsia="Cambria"/>
                <w:color w:val="1A1A1A"/>
                <w:sz w:val="18"/>
              </w:rPr>
              <w:t xml:space="preserve">Sì: riduce il gradiente territoriale; ritorno complessivo 3,8–5,5:1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Sostenibilità</w:t>
            </w:r>
          </w:p>
        </w:tc>
        <w:tc>
          <w:tcPr>
            <w:shd w:val="clear" w:color="auto" w:fill="F4F1EC"/>
          </w:tcPr>
          <w:p>
            <w:pPr>
              <w:pStyle w:val="Compact"/>
              <w:spacing w:after="40" w:before="40"/>
              <w:jc w:val="left"/>
            </w:pPr>
            <w:r>
              <w:rPr>
                <w:rFonts w:ascii="Cambria" w:hAnsi="Cambria" w:cs="Cambria" w:eastAsia="Cambria"/>
                <w:color w:val="1A1A1A"/>
                <w:sz w:val="18"/>
              </w:rPr>
              <w:t xml:space="preserve">I benefici e il servizio durano?</w:t>
            </w:r>
          </w:p>
        </w:tc>
        <w:tc>
          <w:tcPr>
            <w:shd w:val="clear" w:color="auto" w:fill="F4F1EC"/>
          </w:tcPr>
          <w:p>
            <w:pPr>
              <w:pStyle w:val="Compact"/>
              <w:spacing w:after="40" w:before="40"/>
              <w:jc w:val="left"/>
            </w:pPr>
            <w:r>
              <w:rPr>
                <w:rFonts w:ascii="Cambria" w:hAnsi="Cambria" w:cs="Cambria" w:eastAsia="Cambria"/>
                <w:color w:val="1A1A1A"/>
                <w:sz w:val="18"/>
              </w:rPr>
              <w:t xml:space="preserve">Sì: costo modesto; strutturazione a regime quale leva (legge già vigente); servizio già attivo</w:t>
            </w:r>
          </w:p>
        </w:tc>
      </w:tr>
    </w:tbl>
    <w:p>
      <w:pPr>
        <w:pStyle w:val="BodyText"/>
      </w:pPr>
      <w:r>
        <w:rPr>
          <w:i/>
          <w:iCs/>
        </w:rPr>
        <w:t xml:space="preserve">Tabella M.1. La griglia di giudizio OCSE-DAC applicata allo studio, criterio per criterio.</w:t>
      </w:r>
    </w:p>
    <w:bookmarkEnd w:id="2040"/>
    <w:bookmarkStart w:id="2043" w:name="m.2-lanalisi-multi-criterio-6"/>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2621"/>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82,65 su 100 contro 39,25 dell’opzione zero, e prevale su tutti i criteri a eccezione della sola fattibilità immediata, nella quale l’opzione zero — che non richiede alcuna attuazione — è superiore.</w:t>
      </w:r>
      <w:r>
        <w:rPr>
          <w:rStyle w:val="FootnoteReference"/>
        </w:rPr>
        <w:footnoteReference w:id="2622"/>
      </w:r>
      <w:r>
        <w:t xml:space="preserve"> </w:t>
      </w:r>
      <w:r>
        <w:t xml:space="preserve">Rispetto agli altri studi regionali a saldo diretto negativo, il punteggio dell’intervento toscano è marginalmente più elevato: la circostanza che la Toscana disponga già sia di una legge regionale dedicata sia di una sperimentazione attiva con dati propri innalza i sub-punteggi di fattibilità e di robustezza dell’evidenza al di sopra di quelli degli altri contesti, e la struttura consolidata in sole tre Aziende USL ne agevola l’attuazione. Resta una preferenza netta e stabile rispetto ai pesi adottati. La tabella seguente riporta la matrice delle prestazioni.</w:t>
      </w:r>
    </w:p>
    <w:tbl>
      <w:tblPr>
        <w:tblStyle w:val="Table"/>
        <w:tblW w:type="pct" w:w="494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920"/>
        <w:gridCol w:w="702"/>
        <w:gridCol w:w="702"/>
        <w:gridCol w:w="749"/>
        <w:gridCol w:w="74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w:t>
            </w:r>
          </w:p>
        </w:tc>
        <w:tc>
          <w:tcPr>
            <w:shd w:val="clear" w:color="auto" w:fill="16264B"/>
          </w:tcPr>
          <w:p>
            <w:pPr>
              <w:pStyle w:val="Compact"/>
              <w:spacing w:after="40" w:before="40"/>
              <w:jc w:val="left"/>
            </w:pPr>
            <w:r>
              <w:rPr>
                <w:rFonts w:ascii="Cambria" w:hAnsi="Cambria" w:cs="Cambria" w:eastAsia="Cambria"/>
                <w:b/>
                <w:bCs/>
                <w:color w:val="FFFFFF"/>
                <w:sz w:val="18"/>
              </w:rPr>
              <w:t xml:space="preserve">Opz. zero</w:t>
            </w:r>
          </w:p>
        </w:tc>
        <w:tc>
          <w:tcPr>
            <w:shd w:val="clear" w:color="auto" w:fill="16264B"/>
          </w:tcPr>
          <w:p>
            <w:pPr>
              <w:pStyle w:val="Compact"/>
              <w:spacing w:after="40" w:before="40"/>
              <w:jc w:val="left"/>
            </w:pPr>
            <w:r>
              <w:rPr>
                <w:rFonts w:ascii="Cambria" w:hAnsi="Cambria" w:cs="Cambria" w:eastAsia="Cambria"/>
                <w:b/>
                <w:bCs/>
                <w:color w:val="FFFFFF"/>
                <w:sz w:val="18"/>
              </w:rPr>
              <w:t xml:space="preserve">Δ pond.</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30</w:t>
            </w:r>
          </w:p>
        </w:tc>
        <w:tc>
          <w:tcPr/>
          <w:p>
            <w:pPr>
              <w:pStyle w:val="Compact"/>
              <w:spacing w:after="40" w:before="40"/>
              <w:jc w:val="left"/>
            </w:pPr>
            <w:r>
              <w:rPr>
                <w:rFonts w:ascii="Cambria" w:hAnsi="Cambria" w:cs="Cambria" w:eastAsia="Cambria"/>
                <w:color w:val="1A1A1A"/>
                <w:sz w:val="18"/>
              </w:rPr>
              <w:t xml:space="preserve">+7,50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87</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+12,40</w:t>
            </w:r>
          </w:p>
        </w:tc>
      </w:tr>
      <w:tr>
        <w:tc>
          <w:tcPr/>
          <w:p>
            <w:pPr>
              <w:pStyle w:val="Compact"/>
              <w:spacing w:after="40" w:before="40"/>
              <w:jc w:val="left"/>
            </w:pPr>
            <w:r>
              <w:rPr>
                <w:rFonts w:ascii="Cambria" w:hAnsi="Cambria" w:cs="Cambria" w:eastAsia="Cambria"/>
                <w:b/>
                <w:bCs/>
                <w:color w:val="1A1A1A"/>
                <w:sz w:val="18"/>
              </w:rPr>
              <w:t xml:space="preserve">Impatto di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68</w:t>
            </w:r>
          </w:p>
        </w:tc>
        <w:tc>
          <w:tcPr/>
          <w:p>
            <w:pPr>
              <w:pStyle w:val="Compact"/>
              <w:spacing w:after="40" w:before="40"/>
              <w:jc w:val="left"/>
            </w:pPr>
            <w:r>
              <w:rPr>
                <w:rFonts w:ascii="Cambria" w:hAnsi="Cambria" w:cs="Cambria" w:eastAsia="Cambria"/>
                <w:color w:val="1A1A1A"/>
                <w:sz w:val="18"/>
              </w:rPr>
              <w:t xml:space="preserve">50</w:t>
            </w:r>
          </w:p>
        </w:tc>
        <w:tc>
          <w:tcPr/>
          <w:p>
            <w:pPr>
              <w:pStyle w:val="Compact"/>
              <w:spacing w:after="40" w:before="40"/>
              <w:jc w:val="left"/>
            </w:pPr>
            <w:r>
              <w:rPr>
                <w:rFonts w:ascii="Cambria" w:hAnsi="Cambria" w:cs="Cambria" w:eastAsia="Cambria"/>
                <w:color w:val="1A1A1A"/>
                <w:sz w:val="18"/>
              </w:rPr>
              <w:t xml:space="preserve">+2,70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 e accesso (aree interne e montane, età anziana, dimensione multiculturale, liste di attesa)</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+9,75</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87</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+6,70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 e implementabilità (legge approvata e sperimentazione attiva)</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88</w:t>
            </w:r>
          </w:p>
        </w:tc>
        <w:tc>
          <w:tcPr>
            <w:shd w:val="clear" w:color="auto" w:fill="F4F1EC"/>
          </w:tcPr>
          <w:p>
            <w:pPr>
              <w:pStyle w:val="Compact"/>
              <w:spacing w:after="40" w:before="40"/>
              <w:jc w:val="left"/>
            </w:pPr>
            <w:r>
              <w:rPr>
                <w:rFonts w:ascii="Cambria" w:hAnsi="Cambria" w:cs="Cambria" w:eastAsia="Cambria"/>
                <w:color w:val="1A1A1A"/>
                <w:sz w:val="18"/>
              </w:rPr>
              <w:t xml:space="preserve">100</w:t>
            </w:r>
          </w:p>
        </w:tc>
        <w:tc>
          <w:tcPr>
            <w:shd w:val="clear" w:color="auto" w:fill="F4F1EC"/>
          </w:tcPr>
          <w:p>
            <w:pPr>
              <w:pStyle w:val="Compact"/>
              <w:spacing w:after="40" w:before="40"/>
              <w:jc w:val="left"/>
            </w:pPr>
            <w:r>
              <w:rPr>
                <w:rFonts w:ascii="Cambria" w:hAnsi="Cambria" w:cs="Cambria" w:eastAsia="Cambria"/>
                <w:color w:val="1A1A1A"/>
                <w:sz w:val="18"/>
              </w:rPr>
              <w:t xml:space="preserve">−1,20</w:t>
            </w:r>
          </w:p>
        </w:tc>
      </w:tr>
      <w:tr>
        <w:tc>
          <w:tcPr/>
          <w:p>
            <w:pPr>
              <w:pStyle w:val="Compact"/>
              <w:spacing w:after="40" w:before="40"/>
              <w:jc w:val="left"/>
            </w:pPr>
            <w:r>
              <w:rPr>
                <w:rFonts w:ascii="Cambria" w:hAnsi="Cambria" w:cs="Cambria" w:eastAsia="Cambria"/>
                <w:b/>
                <w:bCs/>
                <w:color w:val="1A1A1A"/>
                <w:sz w:val="18"/>
              </w:rPr>
              <w:t xml:space="preserve">Robustezza dell’evidenza (dati operativi propri)</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82</w:t>
            </w:r>
          </w:p>
        </w:tc>
        <w:tc>
          <w:tcPr/>
          <w:p>
            <w:pPr>
              <w:pStyle w:val="Compact"/>
              <w:spacing w:after="40" w:before="40"/>
              <w:jc w:val="left"/>
            </w:pPr>
            <w:r>
              <w:rPr>
                <w:rFonts w:ascii="Cambria" w:hAnsi="Cambria" w:cs="Cambria" w:eastAsia="Cambria"/>
                <w:color w:val="1A1A1A"/>
                <w:sz w:val="18"/>
              </w:rPr>
              <w:t xml:space="preserve">60</w:t>
            </w:r>
          </w:p>
        </w:tc>
        <w:tc>
          <w:tcPr/>
          <w:p>
            <w:pPr>
              <w:pStyle w:val="Compact"/>
              <w:spacing w:after="40" w:before="40"/>
              <w:jc w:val="left"/>
            </w:pPr>
            <w:r>
              <w:rPr>
                <w:rFonts w:ascii="Cambria" w:hAnsi="Cambria" w:cs="Cambria" w:eastAsia="Cambria"/>
                <w:color w:val="1A1A1A"/>
                <w:sz w:val="18"/>
              </w:rPr>
              <w:t xml:space="preserve">+2,20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 (DM 77, PNRR, legge regionale dedicata)</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92</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+3,35</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82,65</w:t>
            </w:r>
          </w:p>
        </w:tc>
        <w:tc>
          <w:tcPr/>
          <w:p>
            <w:pPr>
              <w:pStyle w:val="Compact"/>
              <w:spacing w:after="40" w:before="40"/>
              <w:jc w:val="left"/>
            </w:pPr>
            <w:r>
              <w:rPr>
                <w:rFonts w:ascii="Cambria" w:hAnsi="Cambria" w:cs="Cambria" w:eastAsia="Cambria"/>
                <w:color w:val="1A1A1A"/>
                <w:sz w:val="18"/>
              </w:rPr>
              <w:t xml:space="preserve">39,25</w:t>
            </w:r>
          </w:p>
        </w:tc>
        <w:tc>
          <w:tcPr/>
          <w:p>
            <w:pPr>
              <w:pStyle w:val="Compact"/>
              <w:spacing w:after="40" w:before="40"/>
              <w:jc w:val="left"/>
            </w:pPr>
            <w:r>
              <w:rPr>
                <w:rFonts w:ascii="Cambria" w:hAnsi="Cambria" w:cs="Cambria" w:eastAsia="Cambria"/>
                <w:color w:val="1A1A1A"/>
                <w:sz w:val="18"/>
              </w:rPr>
              <w:t xml:space="preserve">+43,40</w:t>
            </w:r>
          </w:p>
        </w:tc>
      </w:tr>
    </w:tbl>
    <w:p>
      <w:pPr>
        <w:pStyle w:val="BodyText"/>
      </w:pPr>
      <w:r>
        <w:rPr>
          <w:i/>
          <w:iCs/>
        </w:rPr>
        <w:t xml:space="preserve">Tabella M.2. Analisi multi-criterio: confronto tra l</w:t>
      </w:r>
      <w:r>
        <w:rPr>
          <w:b/>
          <w:bCs/>
          <w:i/>
          <w:iCs/>
        </w:rPr>
        <w:t xml:space="preserve">‘******opzione di intervento e l******’</w:t>
      </w:r>
      <w:r>
        <w:rPr>
          <w:i/>
          <w:iCs/>
        </w:rPr>
        <w:t xml:space="preserve">opzione zero su otto criteri pesati.</w:t>
      </w:r>
    </w:p>
    <w:bookmarkEnd w:id="2043"/>
    <w:bookmarkStart w:id="4429" w:name="X866a20a79bf1c0b921bc50c9ea96e07a2b0fae9"/>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Toscana. La prima: il servizio costa al bilancio sanitario una cifra modesta e comporta un saldo diretto lievemente negativo, dell’ordine di alcune decine di milioni, trascurabile rispetto a un finanziamento dell’ordine di 8 miliardi, pur con una salienza diretta non nulla nel contesto delle liste di attesa. La seconda: il ritorno per la collettività è ampio, con un rapporto beneficio-costo dell’ordine di 3,8–5,5 a uno. La terza: il valore poggia quasi interamente sulle ricadute sociali — la produttività, il funzionamento, il minor carico familiare — e non sul risparmio per il bilancio.</w:t>
      </w:r>
      <w:r>
        <w:rPr>
          <w:rStyle w:val="FootnoteReference"/>
        </w:rPr>
        <w:footnoteReference w:id="2623"/>
      </w:r>
      <w:r>
        <w:t xml:space="preserve"> </w:t>
      </w:r>
      <w:r>
        <w:t xml:space="preserve">È questa la corretta rappresentazione della proposta toscana: non un investimento che si ripaga sui conti sanitari, ma un investimento sociale ad alto rendimento, il cui costo per il bilancio è trascurabile.</w:t>
      </w:r>
    </w:p>
    <w:p>
      <w:pPr>
        <w:pStyle w:val="BodyText"/>
      </w:pPr>
      <w:r>
        <w:t xml:space="preserve">Da questa sintesi discende la raccomandazione centrale, ed è in essa che il caso toscano si distingue. La decisione rilevante non è se introdurre la funzione — già istituita dalla legge regionale 39 del 2022 e attiva in via sperimentale — né se dotarla di una legge, già esistente, ma se portarla dalla sperimentazione alla strutturazione a regime, convertendo gli incarichi libero-professionali in un rapporto convenzionale analogo a quello dei medici di medicina generale, e dimensionarla, portandola dalla copertura attuale, dell’ordine del 5% del fabbisogno, alla copertura sistematica, dell’ordine di 600 incarichi nello scenario di base.</w:t>
      </w:r>
      <w:r>
        <w:rPr>
          <w:rStyle w:val="FootnoteReference"/>
        </w:rPr>
        <w:footnoteReference w:id="2624"/>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2625"/>
      </w:r>
      <w:r>
        <w:t xml:space="preserve"> </w:t>
      </w:r>
      <w:r>
        <w:t xml:space="preserve">La raccomandazione operativa è di strutturare a regime il servizio esistente, convertendo gli incarichi libero-professionali in rapporto convenzionale, e di procedere a un dimensionamento progressivo, estendendo la rilevazione strutturata già avviata e la valutazione controfattuale fondata sul confronto prima-dopo e sull’estensione scaglionata.</w:t>
      </w:r>
    </w:p>
    <w:bookmarkEnd w:id="4429"/>
    <w:bookmarkStart w:id="2051" w:name="m.4-i-limiti-e-lagenda-di-ricerca-4"/>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toscana, pari al 6,2%, e non estratte dai conti regionali certificati. È una distinzione che lo studio dichiara apertamente, perché la sostituzione di tali ricostruzioni con i valori certificati delle tre Aziende USL e delle quattro Aziende Ospedaliero-Universitarie è la condizione per la presentazione della proposta agli organi di controllo; in Toscana tale sostituzione è agevolata dalla disponibilità dei dati della sperimentazione già attiva.</w:t>
      </w:r>
      <w:r>
        <w:rPr>
          <w:rStyle w:val="FootnoteReference"/>
        </w:rPr>
        <w:footnoteReference w:id="2626"/>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2627"/>
      </w:r>
    </w:p>
    <w:p>
      <w:pPr>
        <w:pStyle w:val="BodyText"/>
      </w:pPr>
      <w:r>
        <w:t xml:space="preserve">Da questi limiti discende l’agenda di ricerca. L’investimento conoscitivo prioritario è l’acquisizione dei dati regionali certificati presso le tre Aziende USL e le quattro Aziende Ospedaliero-Universitarie, seguito dalla strutturazione della rilevazione di servizio e dalla valutazione controfattuale fondata sul confronto prima-dopo l’attivazione del settembre 2024 e sull’estensione scaglionata tra le strutture.</w:t>
      </w:r>
      <w:r>
        <w:rPr>
          <w:rStyle w:val="FootnoteReference"/>
        </w:rPr>
        <w:footnoteReference w:id="2628"/>
      </w:r>
      <w:r>
        <w:t xml:space="preserve"> </w:t>
      </w:r>
      <w:r>
        <w:t xml:space="preserve">È il programma che trasforma progressivamente la proposta argomentata in politica validata, e che salda la valutazione ex ante alla verifica ex post. Con questa parte si chiude lo studio regionale toscano, che applica al contesto della Toscana, con piena fedeltà metodologica e con le dovute qualificazioni di onestà, il medesimo telaio integrato già adottato per la Puglia, per la Lombardia, per il Veneto, per l’Emilia-Romagna e per il Piemonte: un intervento clinicamente fondato, economicamente sostenibile, equo e attuabile, il cui valore per la collettività è ampio e il cui costo per il bilancio è trascurabile, e la cui combinazione di una legge regionale già vigente, di una sperimentazione attiva e di una struttura consolidata in sole tre Aziende USL ne fa un riferimento nazionale per la fase di strutturazione a regime e di implementazione uniforme.</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2051"/>
    <w:bookmarkEnd w:id="2052"/>
    <w:bookmarkStart w:id="2064" w:name="X3cf94541913f6242292f20b7ff9668dfb2be4a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629"/>
      </w:r>
      <w:r>
        <w:rPr>
          <w:rStyle w:val="FootnoteReference"/>
        </w:rPr>
        <w:footnoteReference w:id="2630"/>
      </w:r>
      <w:r>
        <w:rPr>
          <w:rStyle w:val="FootnoteReference"/>
        </w:rPr>
        <w:footnoteReference w:id="2631"/>
      </w:r>
      <w:r>
        <w:rPr>
          <w:rStyle w:val="FootnoteReference"/>
        </w:rPr>
        <w:footnoteReference w:id="2632"/>
      </w:r>
      <w:r>
        <w:rPr>
          <w:rStyle w:val="FootnoteReference"/>
        </w:rPr>
        <w:footnoteReference w:id="2633"/>
      </w:r>
      <w:r>
        <w:rPr>
          <w:rStyle w:val="FootnoteReference"/>
        </w:rPr>
        <w:footnoteReference w:id="2634"/>
      </w:r>
      <w:r>
        <w:rPr>
          <w:rStyle w:val="FootnoteReference"/>
        </w:rPr>
        <w:footnoteReference w:id="2635"/>
      </w:r>
      <w:r>
        <w:rPr>
          <w:rStyle w:val="FootnoteReference"/>
        </w:rPr>
        <w:footnoteReference w:id="2636"/>
      </w:r>
      <w:r>
        <w:rPr>
          <w:rStyle w:val="FootnoteReference"/>
        </w:rPr>
        <w:footnoteReference w:id="2637"/>
      </w:r>
      <w:r>
        <w:t xml:space="preserve"> </w:t>
      </w:r>
      <w:r>
        <w:t xml:space="preserve">La tabella seguente lo riepiloga.</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451"/>
        <w:gridCol w:w="534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caso di 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adottata</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Servizio attuale (sperimentazione) o assenza del servizio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Azienda USL/zona-distretto</w:t>
            </w:r>
          </w:p>
        </w:tc>
      </w:tr>
      <w:tr>
        <w:tc>
          <w:tcPr/>
          <w:p>
            <w:pPr>
              <w:pStyle w:val="Compact"/>
              <w:spacing w:after="40" w:before="40"/>
              <w:jc w:val="left"/>
            </w:pPr>
            <w:r>
              <w:rPr>
                <w:rFonts w:ascii="Cambria" w:hAnsi="Cambria" w:cs="Cambria" w:eastAsia="Cambria"/>
                <w:b/>
                <w:bCs/>
                <w:color w:val="1A1A1A"/>
                <w:sz w:val="18"/>
              </w:rPr>
              <w:t xml:space="preserve">Soglia di costo-efficacia</w:t>
            </w:r>
          </w:p>
        </w:tc>
        <w:tc>
          <w:tcPr/>
          <w:p>
            <w:pPr>
              <w:pStyle w:val="Compact"/>
              <w:spacing w:after="40" w:before="40"/>
              <w:jc w:val="left"/>
            </w:pPr>
            <w:r>
              <w:rPr>
                <w:rFonts w:ascii="Cambria" w:hAnsi="Cambria" w:cs="Cambria" w:eastAsia="Cambria"/>
                <w:color w:val="1A1A1A"/>
                <w:sz w:val="18"/>
              </w:rPr>
              <w:t xml:space="preserve">30.000 euro per anno di vita ponderato per la qualità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Correzione prudenziale</w:t>
            </w:r>
          </w:p>
        </w:tc>
        <w:tc>
          <w:tcPr>
            <w:shd w:val="clear" w:color="auto" w:fill="F4F1EC"/>
          </w:tcPr>
          <w:p>
            <w:pPr>
              <w:pStyle w:val="Compact"/>
              <w:spacing w:after="40" w:before="40"/>
              <w:jc w:val="left"/>
            </w:pPr>
            <w:r>
              <w:rPr>
                <w:rFonts w:ascii="Cambria" w:hAnsi="Cambria" w:cs="Cambria" w:eastAsia="Cambria"/>
                <w:color w:val="1A1A1A"/>
                <w:sz w:val="18"/>
              </w:rP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638"/>
      </w:r>
      <w:r>
        <w:t xml:space="preserve"> </w:t>
      </w:r>
      <w:r>
        <w:t xml:space="preserve">La tabella seguente li riporta con le distribuzioni assegnate per l’analisi probabilistica.</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3498"/>
        <w:gridCol w:w="15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 di Markov</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Stati del modello</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recupero</w:t>
            </w:r>
          </w:p>
        </w:tc>
        <w:tc>
          <w:tcPr>
            <w:shd w:val="clear" w:color="auto" w:fill="F4F1EC"/>
          </w:tcPr>
          <w:p>
            <w:pPr>
              <w:pStyle w:val="Compact"/>
              <w:spacing w:after="40" w:before="40"/>
              <w:jc w:val="left"/>
            </w:pPr>
            <w:r>
              <w:rPr>
                <w:rFonts w:ascii="Cambria" w:hAnsi="Cambria" w:cs="Cambria" w:eastAsia="Cambria"/>
                <w:color w:val="1A1A1A"/>
                <w:sz w:val="18"/>
              </w:rPr>
              <w:t xml:space="preserve">40 €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per ciclo — cronico</w:t>
            </w:r>
          </w:p>
        </w:tc>
        <w:tc>
          <w:tcPr/>
          <w:p>
            <w:pPr>
              <w:pStyle w:val="Compact"/>
              <w:spacing w:after="40" w:before="40"/>
              <w:jc w:val="left"/>
            </w:pPr>
            <w:r>
              <w:rPr>
                <w:rFonts w:ascii="Cambria" w:hAnsi="Cambria" w:cs="Cambria" w:eastAsia="Cambria"/>
                <w:color w:val="1A1A1A"/>
                <w:sz w:val="18"/>
              </w:rPr>
              <w:t xml:space="preserve">700 €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Per braccio, da fonti</w:t>
            </w:r>
          </w:p>
        </w:tc>
        <w:tc>
          <w:tcPr/>
          <w:p>
            <w:pPr>
              <w:pStyle w:val="Compact"/>
              <w:spacing w:after="40" w:before="40"/>
              <w:jc w:val="left"/>
            </w:pPr>
            <w:r>
              <w:rPr>
                <w:rFonts w:ascii="Cambria" w:hAnsi="Cambria" w:cs="Cambria" w:eastAsia="Cambria"/>
                <w:color w:val="1A1A1A"/>
                <w:sz w:val="18"/>
              </w:rPr>
              <w:t xml:space="preserve">Beta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per stato</w:t>
            </w:r>
          </w:p>
        </w:tc>
        <w:tc>
          <w:tcPr>
            <w:shd w:val="clear" w:color="auto" w:fill="F4F1EC"/>
          </w:tcPr>
          <w:p>
            <w:pPr>
              <w:pStyle w:val="Compact"/>
              <w:spacing w:after="40" w:before="40"/>
              <w:jc w:val="left"/>
            </w:pPr>
            <w:r>
              <w:rPr>
                <w:rFonts w:ascii="Cambria" w:hAnsi="Cambria" w:cs="Cambria" w:eastAsia="Cambria"/>
                <w:color w:val="1A1A1A"/>
                <w:sz w:val="18"/>
              </w:rPr>
              <w:t xml:space="preserve">Da fonti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Orizzonte e sconto</w:t>
            </w:r>
          </w:p>
        </w:tc>
        <w:tc>
          <w:tcPr/>
          <w:p>
            <w:pPr>
              <w:pStyle w:val="Compact"/>
              <w:spacing w:after="40" w:before="40"/>
              <w:jc w:val="left"/>
            </w:pPr>
            <w:r>
              <w:rPr>
                <w:rFonts w:ascii="Cambria" w:hAnsi="Cambria" w:cs="Cambria" w:eastAsia="Cambria"/>
                <w:color w:val="1A1A1A"/>
                <w:sz w:val="18"/>
              </w:rPr>
              <w:t xml:space="preserve">5 anni; 3% annuo</w:t>
            </w:r>
          </w:p>
        </w:tc>
        <w:t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della Toscana, già esposto nelle parti centrali dello studio, è qui riassunto per scenario, a beneficio della consultazione.</w:t>
      </w:r>
      <w:r>
        <w:rPr>
          <w:rStyle w:val="FootnoteReference"/>
        </w:rPr>
        <w:footnoteReference w:id="2639"/>
      </w:r>
      <w:r>
        <w:t xml:space="preserve"> </w:t>
      </w:r>
      <w:r>
        <w:t xml:space="preserve">La tabella seguente lo riepiloga.</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3"/>
        <w:gridCol w:w="1384"/>
        <w:gridCol w:w="1384"/>
        <w:gridCol w:w="13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 salvo 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Psicologi a regime</w:t>
            </w:r>
          </w:p>
        </w:tc>
        <w:tc>
          <w:tcPr/>
          <w:p>
            <w:pPr>
              <w:pStyle w:val="Compact"/>
              <w:spacing w:after="40" w:before="40"/>
              <w:jc w:val="left"/>
            </w:pPr>
            <w:r>
              <w:rPr>
                <w:rFonts w:ascii="Cambria" w:hAnsi="Cambria" w:cs="Cambria" w:eastAsia="Cambria"/>
                <w:color w:val="1A1A1A"/>
                <w:sz w:val="18"/>
              </w:rPr>
              <w:t xml:space="preserve">~ 400</w:t>
            </w:r>
          </w:p>
        </w:tc>
        <w:tc>
          <w:tcPr/>
          <w:p>
            <w:pPr>
              <w:pStyle w:val="Compact"/>
              <w:spacing w:after="40" w:before="40"/>
              <w:jc w:val="left"/>
            </w:pPr>
            <w:r>
              <w:rPr>
                <w:rFonts w:ascii="Cambria" w:hAnsi="Cambria" w:cs="Cambria" w:eastAsia="Cambria"/>
                <w:color w:val="1A1A1A"/>
                <w:sz w:val="18"/>
              </w:rPr>
              <w:t xml:space="preserve">~ 600</w:t>
            </w:r>
          </w:p>
        </w:tc>
        <w:tc>
          <w:tcPr/>
          <w:p>
            <w:pPr>
              <w:pStyle w:val="Compact"/>
              <w:spacing w:after="40" w:before="40"/>
              <w:jc w:val="left"/>
            </w:pPr>
            <w:r>
              <w:rPr>
                <w:rFonts w:ascii="Cambria" w:hAnsi="Cambria" w:cs="Cambria" w:eastAsia="Cambria"/>
                <w:color w:val="1A1A1A"/>
                <w:sz w:val="18"/>
              </w:rPr>
              <w:t xml:space="preserve">~ 790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22</w:t>
            </w:r>
          </w:p>
        </w:tc>
        <w:tc>
          <w:tcPr>
            <w:shd w:val="clear" w:color="auto" w:fill="F4F1EC"/>
          </w:tcPr>
          <w:p>
            <w:pPr>
              <w:pStyle w:val="Compact"/>
              <w:spacing w:after="40" w:before="40"/>
              <w:jc w:val="left"/>
            </w:pPr>
            <w:r>
              <w:rPr>
                <w:rFonts w:ascii="Cambria" w:hAnsi="Cambria" w:cs="Cambria" w:eastAsia="Cambria"/>
                <w:color w:val="1A1A1A"/>
                <w:sz w:val="18"/>
              </w:rPr>
              <w:t xml:space="preserve">~ 33</w:t>
            </w:r>
          </w:p>
        </w:tc>
        <w:tc>
          <w:tcPr>
            <w:shd w:val="clear" w:color="auto" w:fill="F4F1EC"/>
          </w:tcPr>
          <w:p>
            <w:pPr>
              <w:pStyle w:val="Compact"/>
              <w:spacing w:after="40" w:before="40"/>
              <w:jc w:val="left"/>
            </w:pPr>
            <w:r>
              <w:rPr>
                <w:rFonts w:ascii="Cambria" w:hAnsi="Cambria" w:cs="Cambria" w:eastAsia="Cambria"/>
                <w:color w:val="1A1A1A"/>
                <w:sz w:val="18"/>
              </w:rPr>
              <w:t xml:space="preserve">~ 44</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14</w:t>
            </w:r>
          </w:p>
        </w:tc>
        <w:tc>
          <w:tcPr/>
          <w:p>
            <w:pPr>
              <w:pStyle w:val="Compact"/>
              <w:spacing w:after="40" w:before="40"/>
              <w:jc w:val="left"/>
            </w:pPr>
            <w:r>
              <w:rPr>
                <w:rFonts w:ascii="Cambria" w:hAnsi="Cambria" w:cs="Cambria" w:eastAsia="Cambria"/>
                <w:color w:val="1A1A1A"/>
                <w:sz w:val="18"/>
              </w:rPr>
              <w:t xml:space="preserve">~ 22</w:t>
            </w:r>
          </w:p>
        </w:tc>
        <w:tc>
          <w:tcPr/>
          <w:p>
            <w:pPr>
              <w:pStyle w:val="Compact"/>
              <w:spacing w:after="40" w:before="40"/>
              <w:jc w:val="left"/>
            </w:pPr>
            <w:r>
              <w:rPr>
                <w:rFonts w:ascii="Cambria" w:hAnsi="Cambria" w:cs="Cambria" w:eastAsia="Cambria"/>
                <w:color w:val="1A1A1A"/>
                <w:sz w:val="18"/>
              </w:rPr>
              <w:t xml:space="preserve">~ 34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71</w:t>
            </w:r>
          </w:p>
        </w:tc>
        <w:tc>
          <w:tcPr>
            <w:shd w:val="clear" w:color="auto" w:fill="F4F1EC"/>
          </w:tcPr>
          <w:p>
            <w:pPr>
              <w:pStyle w:val="Compact"/>
              <w:spacing w:after="40" w:before="40"/>
              <w:jc w:val="left"/>
            </w:pPr>
            <w:r>
              <w:rPr>
                <w:rFonts w:ascii="Cambria" w:hAnsi="Cambria" w:cs="Cambria" w:eastAsia="Cambria"/>
                <w:color w:val="1A1A1A"/>
                <w:sz w:val="18"/>
              </w:rPr>
              <w:t xml:space="preserve">~ 133</w:t>
            </w:r>
          </w:p>
        </w:tc>
        <w:tc>
          <w:tcPr>
            <w:shd w:val="clear" w:color="auto" w:fill="F4F1EC"/>
          </w:tcPr>
          <w:p>
            <w:pPr>
              <w:pStyle w:val="Compact"/>
              <w:spacing w:after="40" w:before="40"/>
              <w:jc w:val="left"/>
            </w:pPr>
            <w:r>
              <w:rPr>
                <w:rFonts w:ascii="Cambria" w:hAnsi="Cambria" w:cs="Cambria" w:eastAsia="Cambria"/>
                <w:color w:val="1A1A1A"/>
                <w:sz w:val="18"/>
              </w:rPr>
              <w:t xml:space="preserve">~ 207</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−8</w:t>
            </w:r>
          </w:p>
        </w:tc>
        <w:tc>
          <w:tcPr/>
          <w:p>
            <w:pPr>
              <w:pStyle w:val="Compact"/>
              <w:spacing w:after="40" w:before="40"/>
              <w:jc w:val="left"/>
            </w:pPr>
            <w:r>
              <w:rPr>
                <w:rFonts w:ascii="Cambria" w:hAnsi="Cambria" w:cs="Cambria" w:eastAsia="Cambria"/>
                <w:color w:val="1A1A1A"/>
                <w:sz w:val="18"/>
              </w:rPr>
              <w:t xml:space="preserve">~ −11</w:t>
            </w:r>
          </w:p>
        </w:tc>
        <w:tc>
          <w:tcPr/>
          <w:p>
            <w:pPr>
              <w:pStyle w:val="Compact"/>
              <w:spacing w:after="40" w:before="40"/>
              <w:jc w:val="left"/>
            </w:pPr>
            <w:r>
              <w:rPr>
                <w:rFonts w:ascii="Cambria" w:hAnsi="Cambria" w:cs="Cambria" w:eastAsia="Cambria"/>
                <w:color w:val="1A1A1A"/>
                <w:sz w:val="18"/>
              </w:rPr>
              <w:t xml:space="preserve">~ −10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+63</w:t>
            </w:r>
          </w:p>
        </w:tc>
        <w:tc>
          <w:tcPr>
            <w:shd w:val="clear" w:color="auto" w:fill="F4F1EC"/>
          </w:tcPr>
          <w:p>
            <w:pPr>
              <w:pStyle w:val="Compact"/>
              <w:spacing w:after="40" w:before="40"/>
              <w:jc w:val="left"/>
            </w:pPr>
            <w:r>
              <w:rPr>
                <w:rFonts w:ascii="Cambria" w:hAnsi="Cambria" w:cs="Cambria" w:eastAsia="Cambria"/>
                <w:color w:val="1A1A1A"/>
                <w:sz w:val="18"/>
              </w:rPr>
              <w:t xml:space="preserve">+122</w:t>
            </w:r>
          </w:p>
        </w:tc>
        <w:tc>
          <w:tcPr>
            <w:shd w:val="clear" w:color="auto" w:fill="F4F1EC"/>
          </w:tcPr>
          <w:p>
            <w:pPr>
              <w:pStyle w:val="Compact"/>
              <w:spacing w:after="40" w:before="40"/>
              <w:jc w:val="left"/>
            </w:pPr>
            <w:r>
              <w:rPr>
                <w:rFonts w:ascii="Cambria" w:hAnsi="Cambria" w:cs="Cambria" w:eastAsia="Cambria"/>
                <w:color w:val="1A1A1A"/>
                <w:sz w:val="18"/>
              </w:rPr>
              <w:t xml:space="preserve">+197</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~3,9:1</w:t>
            </w:r>
          </w:p>
        </w:tc>
        <w:tc>
          <w:tcPr/>
          <w:p>
            <w:pPr>
              <w:pStyle w:val="Compact"/>
              <w:spacing w:after="40" w:before="40"/>
              <w:jc w:val="left"/>
            </w:pPr>
            <w:r>
              <w:rPr>
                <w:rFonts w:ascii="Cambria" w:hAnsi="Cambria" w:cs="Cambria" w:eastAsia="Cambria"/>
                <w:color w:val="1A1A1A"/>
                <w:sz w:val="18"/>
              </w:rPr>
              <w:t xml:space="preserve">~4,7:1</w:t>
            </w:r>
          </w:p>
        </w:tc>
        <w:t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A.3. Il quadro economico consolidato per scenario (costo per incarico di riferimento di 55.000 euro).</w:t>
      </w:r>
    </w:p>
    <w:bookmarkEnd w:id="2064"/>
    <w:bookmarkStart w:id="2067" w:name="Xe49d16248604520de6da33151caee87fc68671d"/>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640"/>
      </w:r>
      <w:r>
        <w:t xml:space="preserve"> </w:t>
      </w:r>
      <w:r>
        <w:t xml:space="preserve">La tabella seguente li descrive.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6"/>
        <w:gridCol w:w="1584"/>
        <w:gridCol w:w="41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Caratteristiche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 soglia clinica ~10; cambiamento affidabile ~6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d’ansia</w:t>
            </w:r>
          </w:p>
        </w:tc>
        <w:tc>
          <w:tcPr>
            <w:shd w:val="clear" w:color="auto" w:fill="F4F1EC"/>
          </w:tcPr>
          <w:p>
            <w:pPr>
              <w:pStyle w:val="Compact"/>
              <w:spacing w:after="40" w:before="40"/>
              <w:jc w:val="left"/>
            </w:pPr>
            <w:r>
              <w:rPr>
                <w:rFonts w:ascii="Cambria" w:hAnsi="Cambria" w:cs="Cambria" w:eastAsia="Cambria"/>
                <w:color w:val="1A1A1A"/>
                <w:sz w:val="18"/>
              </w:rPr>
              <w:t xml:space="preserve">0–21; impiegato nel solo punteggio complessivo</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Discesa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Esito secondario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641"/>
      </w:r>
      <w:r>
        <w:t xml:space="preserve"> </w:t>
      </w:r>
      <w:r>
        <w:t xml:space="preserve">La tabella seguente ne costituisce il dizionario dei dati.</w:t>
      </w:r>
    </w:p>
    <w:tbl>
      <w:tblPr>
        <w:tblStyle w:val="Table"/>
        <w:tblW w:type="pct" w:w="491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52"/>
        <w:gridCol w:w="4154"/>
        <w:gridCol w:w="18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Campo del dataset</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Momento di rilevazione</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Data di apertura, canale di accesso, invio</w:t>
            </w:r>
          </w:p>
        </w:tc>
        <w:tc>
          <w:tcPr/>
          <w:p>
            <w:pPr>
              <w:pStyle w:val="Compact"/>
              <w:spacing w:after="40" w:before="40"/>
              <w:jc w:val="left"/>
            </w:pPr>
            <w:r>
              <w:rPr>
                <w:rFonts w:ascii="Cambria" w:hAnsi="Cambria" w:cs="Cambria" w:eastAsia="Cambria"/>
                <w:color w:val="1A1A1A"/>
                <w:sz w:val="18"/>
              </w:rPr>
              <w:t xml:space="preserve">All’apertura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Seduta</w:t>
            </w:r>
          </w:p>
        </w:tc>
        <w:tc>
          <w:tcPr>
            <w:shd w:val="clear" w:color="auto" w:fill="F4F1EC"/>
          </w:tcPr>
          <w:p>
            <w:pPr>
              <w:pStyle w:val="Compact"/>
              <w:spacing w:after="40" w:before="40"/>
              <w:jc w:val="left"/>
            </w:pPr>
            <w:r>
              <w:rPr>
                <w:rFonts w:ascii="Cambria" w:hAnsi="Cambria" w:cs="Cambria" w:eastAsia="Cambria"/>
                <w:color w:val="1A1A1A"/>
                <w:sz w:val="18"/>
              </w:rPr>
              <w:t xml:space="preserve">Data, tipo e numero progressivo della seduta</w:t>
            </w:r>
          </w:p>
        </w:tc>
        <w:tc>
          <w:tcPr>
            <w:shd w:val="clear" w:color="auto" w:fill="F4F1EC"/>
          </w:tcPr>
          <w:p>
            <w:pPr>
              <w:pStyle w:val="Compact"/>
              <w:spacing w:after="40" w:before="40"/>
              <w:jc w:val="left"/>
            </w:pPr>
            <w:r>
              <w:rPr>
                <w:rFonts w:ascii="Cambria" w:hAnsi="Cambria" w:cs="Cambria" w:eastAsia="Cambria"/>
                <w:color w:val="1A1A1A"/>
                <w:sz w:val="18"/>
              </w:rPr>
              <w:t xml:space="preserve">A ogni seduta</w:t>
            </w:r>
          </w:p>
        </w:tc>
      </w:tr>
      <w:tr>
        <w:tc>
          <w:tcPr/>
          <w:p>
            <w:pPr>
              <w:pStyle w:val="Compact"/>
              <w:spacing w:after="40" w:before="40"/>
              <w:jc w:val="left"/>
            </w:pPr>
            <w:r>
              <w:rPr>
                <w:rFonts w:ascii="Cambria" w:hAnsi="Cambria" w:cs="Cambria" w:eastAsia="Cambria"/>
                <w:b/>
                <w:bCs/>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e GAD-7 (punteggi complessivi)</w:t>
            </w:r>
          </w:p>
        </w:tc>
        <w:tc>
          <w:tcPr/>
          <w:p>
            <w:pPr>
              <w:pStyle w:val="Compact"/>
              <w:spacing w:after="40" w:before="40"/>
              <w:jc w:val="left"/>
            </w:pPr>
            <w:r>
              <w:rPr>
                <w:rFonts w:ascii="Cambria" w:hAnsi="Cambria" w:cs="Cambria" w:eastAsia="Cambria"/>
                <w:color w:val="1A1A1A"/>
                <w:sz w:val="18"/>
              </w:rPr>
              <w:t xml:space="preserve">A ogni seduta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Invii e restituzioni</w:t>
            </w:r>
          </w:p>
        </w:tc>
        <w:tc>
          <w:tcPr>
            <w:shd w:val="clear" w:color="auto" w:fill="F4F1EC"/>
          </w:tcPr>
          <w:p>
            <w:pPr>
              <w:pStyle w:val="Compact"/>
              <w:spacing w:after="40" w:before="40"/>
              <w:jc w:val="left"/>
            </w:pPr>
            <w:r>
              <w:rPr>
                <w:rFonts w:ascii="Cambria" w:hAnsi="Cambria" w:cs="Cambria" w:eastAsia="Cambria"/>
                <w:color w:val="1A1A1A"/>
                <w:sz w:val="18"/>
              </w:rPr>
              <w:t xml:space="preserve">Invio a servizi specialistici; restituzione al medico curante</w:t>
            </w:r>
          </w:p>
        </w:tc>
        <w:tc>
          <w:tcPr>
            <w:shd w:val="clear" w:color="auto" w:fill="F4F1EC"/>
          </w:tcPr>
          <w:p>
            <w:pPr>
              <w:pStyle w:val="Compact"/>
              <w:spacing w:after="40" w:before="40"/>
              <w:jc w:val="left"/>
            </w:pPr>
            <w:r>
              <w:rPr>
                <w:rFonts w:ascii="Cambria" w:hAnsi="Cambria" w:cs="Cambria" w:eastAsia="Cambria"/>
                <w:color w:val="1A1A1A"/>
                <w:sz w:val="18"/>
              </w:rPr>
              <w:t xml:space="preserve">Ove pertinente</w:t>
            </w:r>
          </w:p>
        </w:tc>
      </w:tr>
      <w:tr>
        <w:tc>
          <w:tcPr/>
          <w:p>
            <w:pPr>
              <w:pStyle w:val="Compact"/>
              <w:spacing w:after="40" w:before="40"/>
              <w:jc w:val="left"/>
            </w:pPr>
            <w:r>
              <w:rPr>
                <w:rFonts w:ascii="Cambria" w:hAnsi="Cambria" w:cs="Cambria" w:eastAsia="Cambria"/>
                <w:b/>
                <w:bCs/>
                <w:color w:val="1A1A1A"/>
                <w:sz w:val="18"/>
              </w:rPr>
              <w:t xml:space="preserve">Chiusura</w:t>
            </w:r>
          </w:p>
        </w:tc>
        <w:tc>
          <w:tcPr/>
          <w:p>
            <w:pPr>
              <w:pStyle w:val="Compact"/>
              <w:spacing w:after="40" w:before="40"/>
              <w:jc w:val="left"/>
            </w:pPr>
            <w:r>
              <w:rPr>
                <w:rFonts w:ascii="Cambria" w:hAnsi="Cambria" w:cs="Cambria" w:eastAsia="Cambria"/>
                <w:color w:val="1A1A1A"/>
                <w:sz w:val="18"/>
              </w:rPr>
              <w:t xml:space="preserve">Esito del percorso (recupero, miglioramento, invio)</w:t>
            </w:r>
          </w:p>
        </w:tc>
        <w:tc>
          <w:tcPr/>
          <w:p>
            <w:pPr>
              <w:pStyle w:val="Compact"/>
              <w:spacing w:after="40" w:before="40"/>
              <w:jc w:val="left"/>
            </w:pPr>
            <w:r>
              <w:rPr>
                <w:rFonts w:ascii="Cambria" w:hAnsi="Cambria" w:cs="Cambria" w:eastAsia="Cambria"/>
                <w:color w:val="1A1A1A"/>
                <w:sz w:val="18"/>
              </w:rPr>
              <w:t xml:space="preserve">Alla chiusura</w:t>
            </w:r>
          </w:p>
        </w:tc>
      </w:tr>
    </w:tbl>
    <w:p>
      <w:pPr>
        <w:pStyle w:val="BodyText"/>
      </w:pPr>
      <w:r>
        <w:rPr>
          <w:i/>
          <w:iCs/>
        </w:rPr>
        <w:t xml:space="preserve">Tabella B.2. Il dataset minimo: i campi del protocollo di rilevazione (dizionario dei dati).</w:t>
      </w:r>
    </w:p>
    <w:bookmarkEnd w:id="2067"/>
    <w:bookmarkStart w:id="2070" w:name="appendice-c-dati-regionali-e-fonti-6"/>
    <w:p>
      <w:pPr>
        <w:pStyle w:val="Heading2"/>
      </w:pPr>
      <w:r>
        <w:t xml:space="preserve">Appendice C — Dati regionali e fonti</w:t>
      </w:r>
    </w:p>
    <w:p>
      <w:pPr>
        <w:pStyle w:val="FirstParagraph"/>
      </w:pPr>
      <w:r>
        <w:t xml:space="preserve">La presente appendice raccoglie i dati regionali di ancoraggio dello studio e ne dichiara i limiti. I valori toscani impiegati nelle analisi sono riepilogati nella tabella seguente.</w:t>
      </w:r>
      <w:r>
        <w:rPr>
          <w:rStyle w:val="FootnoteReference"/>
        </w:rPr>
        <w:footnoteReference w:id="2642"/>
      </w:r>
    </w:p>
    <w:tbl>
      <w:tblPr>
        <w:tblStyle w:val="Table"/>
        <w:tblW w:type="pct" w:w="496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891"/>
        <w:gridCol w:w="697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regionale</w:t>
            </w:r>
          </w:p>
        </w:tc>
      </w:tr>
      <w:tr>
        <w:tc>
          <w:tcPr/>
          <w:p>
            <w:pPr>
              <w:pStyle w:val="Compact"/>
              <w:spacing w:after="40" w:before="40"/>
              <w:jc w:val="left"/>
            </w:pPr>
            <w:r>
              <w:rPr>
                <w:rFonts w:ascii="Cambria" w:hAnsi="Cambria" w:cs="Cambria" w:eastAsia="Cambria"/>
                <w:b/>
                <w:bCs/>
                <w:color w:val="1A1A1A"/>
                <w:sz w:val="18"/>
              </w:rPr>
              <w:t xml:space="preserve">Popolazione regionale</w:t>
            </w:r>
          </w:p>
        </w:tc>
        <w:tc>
          <w:tcPr/>
          <w:p>
            <w:pPr>
              <w:pStyle w:val="Compact"/>
              <w:spacing w:after="40" w:before="40"/>
              <w:jc w:val="left"/>
            </w:pPr>
            <w:r>
              <w:rPr>
                <w:rFonts w:ascii="Cambria" w:hAnsi="Cambria" w:cs="Cambria" w:eastAsia="Cambria"/>
                <w:color w:val="1A1A1A"/>
                <w:sz w:val="18"/>
              </w:rPr>
              <w:t xml:space="preserve">3.657.716 abitanti (Censimento ISTAT 2024); in lieve calo e con marcato invecchiamento, tra le più anziane d’Italia (età media ~50; over-65 ~26%); stranieri ~12%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Finanziamento del SSR</w:t>
            </w:r>
          </w:p>
        </w:tc>
        <w:tc>
          <w:tcPr>
            <w:shd w:val="clear" w:color="auto" w:fill="F4F1EC"/>
          </w:tcPr>
          <w:p>
            <w:pPr>
              <w:pStyle w:val="Compact"/>
              <w:spacing w:after="40" w:before="40"/>
              <w:jc w:val="left"/>
            </w:pPr>
            <w:r>
              <w:rPr>
                <w:rFonts w:ascii="Cambria" w:hAnsi="Cambria" w:cs="Cambria" w:eastAsia="Cambria"/>
                <w:color w:val="1A1A1A"/>
                <w:sz w:val="18"/>
              </w:rPr>
              <w:t xml:space="preserve">Dell’ordine di 8 miliardi di euro; sotto pressione finanziaria; nessun piano di rientro in atto</w:t>
            </w:r>
          </w:p>
        </w:tc>
      </w:tr>
      <w:tr>
        <w:tc>
          <w:tcPr/>
          <w:p>
            <w:pPr>
              <w:pStyle w:val="Compact"/>
              <w:spacing w:after="40" w:before="40"/>
              <w:jc w:val="left"/>
            </w:pPr>
            <w:r>
              <w:rPr>
                <w:rFonts w:ascii="Cambria" w:hAnsi="Cambria" w:cs="Cambria" w:eastAsia="Cambria"/>
                <w:b/>
                <w:bCs/>
                <w:color w:val="1A1A1A"/>
                <w:sz w:val="18"/>
              </w:rPr>
              <w:t xml:space="preserve">Mobilità sanitaria</w:t>
            </w:r>
          </w:p>
        </w:tc>
        <w:tc>
          <w:tcPr/>
          <w:p>
            <w:pPr>
              <w:pStyle w:val="Compact"/>
              <w:spacing w:after="40" w:before="40"/>
              <w:jc w:val="left"/>
            </w:pPr>
            <w:r>
              <w:rPr>
                <w:rFonts w:ascii="Cambria" w:hAnsi="Cambria" w:cs="Cambria" w:eastAsia="Cambria"/>
                <w:color w:val="1A1A1A"/>
                <w:sz w:val="18"/>
              </w:rPr>
              <w:t xml:space="preserve">Saldo nettamente attivo (~ +58 milioni nel 2023); regione creditrice, tra le più attrattive d’Italia; attrazione trainata dalle Aziende Ospedaliero-Universitarie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Dell’ordine di oltre un milione di accessi/anno</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Consumo regionale delle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 730.000 con disagio comune; ~ 52.000 in carico ai Dipartimenti di Salute Mentale</w:t>
            </w:r>
          </w:p>
        </w:tc>
      </w:tr>
      <w:tr>
        <w:tc>
          <w:tcPr/>
          <w:p>
            <w:pPr>
              <w:pStyle w:val="Compact"/>
              <w:spacing w:after="40" w:before="40"/>
              <w:jc w:val="left"/>
            </w:pPr>
            <w:r>
              <w:rPr>
                <w:rFonts w:ascii="Cambria" w:hAnsi="Cambria" w:cs="Cambria" w:eastAsia="Cambria"/>
                <w:b/>
                <w:bCs/>
                <w:color w:val="1A1A1A"/>
                <w:sz w:val="18"/>
              </w:rPr>
              <w:t xml:space="preserve">Funzione attuale</w:t>
            </w:r>
          </w:p>
        </w:tc>
        <w:tc>
          <w:tcPr/>
          <w:p>
            <w:pPr>
              <w:pStyle w:val="Compact"/>
              <w:spacing w:after="40" w:before="40"/>
              <w:jc w:val="left"/>
            </w:pPr>
            <w:r>
              <w:rPr>
                <w:rFonts w:ascii="Cambria" w:hAnsi="Cambria" w:cs="Cambria" w:eastAsia="Cambria"/>
                <w:color w:val="1A1A1A"/>
                <w:sz w:val="18"/>
              </w:rPr>
              <w:t xml:space="preserve">Servizio di psicologia di base istituito dalla legge regionale 39/2022 e dal regolamento (DGR 43/2024); sperimentazione attiva da settembre 2024 in ventuno strutture; ~ 2.300 cittadini in diciotto mesi; base libero-professionale; legge dedicata già vigente; ~ 5% del fabbisogno</w:t>
            </w:r>
          </w:p>
        </w:tc>
      </w:tr>
    </w:tbl>
    <w:p>
      <w:pPr>
        <w:pStyle w:val="BodyText"/>
      </w:pPr>
      <w:r>
        <w:rPr>
          <w:i/>
          <w:iCs/>
        </w:rPr>
        <w:t xml:space="preserve">Tabella C.1. I valori regionali di ancoraggio della Toscana.</w:t>
      </w:r>
    </w:p>
    <w:p>
      <w:pPr>
        <w:pStyle w:val="BodyText"/>
      </w:pPr>
      <w:r>
        <w:t xml:space="preserve">Resta la lacuna principale dello studio: i valori economici sono in parte ricostruiti a partire dai conti nazionali scalati per la quota di popolazione toscana, e non estratti dai conti regionali certificati.</w:t>
      </w:r>
      <w:r>
        <w:rPr>
          <w:rStyle w:val="FootnoteReference"/>
        </w:rPr>
        <w:footnoteReference w:id="2643"/>
      </w:r>
      <w:r>
        <w:t xml:space="preserve"> </w:t>
      </w:r>
      <w:r>
        <w:t xml:space="preserve">La tabella seguente elenca i dati da acquisire per sostituire le stime.</w:t>
      </w:r>
    </w:p>
    <w:tbl>
      <w:tblPr>
        <w:tblStyle w:val="Table"/>
        <w:tblW w:type="pct" w:w="492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96"/>
        <w:gridCol w:w="570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Dato da acquisire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Ricoveri psichiatrici</w:t>
            </w:r>
          </w:p>
        </w:tc>
        <w:tc>
          <w:tcPr/>
          <w:p>
            <w:pPr>
              <w:pStyle w:val="Compact"/>
              <w:spacing w:after="40" w:before="40"/>
              <w:jc w:val="left"/>
            </w:pPr>
            <w:r>
              <w:rPr>
                <w:rFonts w:ascii="Cambria" w:hAnsi="Cambria" w:cs="Cambria" w:eastAsia="Cambria"/>
                <w:color w:val="1A1A1A"/>
                <w:sz w:val="18"/>
              </w:rPr>
              <w:t xml:space="preserve">Schede di dimissione ospedaliera per disturbi psichici e relativo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Specialistica</w:t>
            </w:r>
          </w:p>
        </w:tc>
        <w:tc>
          <w:tcPr>
            <w:shd w:val="clear" w:color="auto" w:fill="F4F1EC"/>
          </w:tcPr>
          <w:p>
            <w:pPr>
              <w:pStyle w:val="Compact"/>
              <w:spacing w:after="40" w:before="40"/>
              <w:jc w:val="left"/>
            </w:pPr>
            <w:r>
              <w:rPr>
                <w:rFonts w:ascii="Cambria" w:hAnsi="Cambria" w:cs="Cambria" w:eastAsia="Cambria"/>
                <w:color w:val="1A1A1A"/>
                <w:sz w:val="18"/>
              </w:rPr>
              <w:t xml:space="preserve">Prestazioni specialistiche associate ai sintomi somatici funzionali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Spesa regionale per 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causa psichiatrica e relativo costo unitario</w:t>
            </w:r>
          </w:p>
        </w:tc>
      </w:tr>
      <w:tr>
        <w:tc>
          <w:tcPr/>
          <w:p>
            <w:pPr>
              <w:pStyle w:val="Compact"/>
              <w:spacing w:after="40" w:before="40"/>
              <w:jc w:val="left"/>
            </w:pPr>
            <w:r>
              <w:rPr>
                <w:rFonts w:ascii="Cambria" w:hAnsi="Cambria" w:cs="Cambria" w:eastAsia="Cambria"/>
                <w:b/>
                <w:bCs/>
                <w:color w:val="1A1A1A"/>
                <w:sz w:val="18"/>
              </w:rPr>
              <w:t xml:space="preserve">Dati della sperimentazione</w:t>
            </w:r>
          </w:p>
        </w:tc>
        <w:tc>
          <w:tcPr/>
          <w:p>
            <w:pPr>
              <w:pStyle w:val="Compact"/>
              <w:spacing w:after="40" w:before="40"/>
              <w:jc w:val="left"/>
            </w:pPr>
            <w:r>
              <w:rPr>
                <w:rFonts w:ascii="Cambria" w:hAnsi="Cambria" w:cs="Cambria" w:eastAsia="Cambria"/>
                <w:color w:val="1A1A1A"/>
                <w:sz w:val="18"/>
              </w:rPr>
              <w:t xml:space="preserve">Prese in carico, sedute ed esiti già registrati dalla sperimentazione attiva dal settembre 2024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Liste di attesa</w:t>
            </w:r>
          </w:p>
        </w:tc>
        <w:tc>
          <w:tcPr>
            <w:shd w:val="clear" w:color="auto" w:fill="F4F1EC"/>
          </w:tcPr>
          <w:p>
            <w:pPr>
              <w:pStyle w:val="Compact"/>
              <w:spacing w:after="40" w:before="40"/>
              <w:jc w:val="left"/>
            </w:pPr>
            <w:r>
              <w:rPr>
                <w:rFonts w:ascii="Cambria" w:hAnsi="Cambria" w:cs="Cambria" w:eastAsia="Cambria"/>
                <w:color w:val="1A1A1A"/>
                <w:sz w:val="18"/>
              </w:rPr>
              <w:t xml:space="preserve">Tempi di attesa per l’accesso psicologico, per Azienda USL e per area</w:t>
            </w:r>
          </w:p>
        </w:tc>
      </w:tr>
    </w:tbl>
    <w:p>
      <w:pPr>
        <w:pStyle w:val="BodyText"/>
      </w:pPr>
      <w:r>
        <w:rPr>
          <w:i/>
          <w:iCs/>
        </w:rPr>
        <w:t xml:space="preserve">Tabella C.2. I dati certificati da acquisire per sostituire le stime (lacuna principale dello studio).</w:t>
      </w:r>
    </w:p>
    <w:bookmarkEnd w:id="2070"/>
    <w:bookmarkStart w:id="2072" w:name="appendice-d-checklist-di-reporting-6"/>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644"/>
      </w:r>
      <w:r>
        <w:t xml:space="preserve"> </w:t>
      </w:r>
      <w:r>
        <w:t xml:space="preserve">La tabella seguente li riepiloga.</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3927"/>
        <w:gridCol w:w="1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Standard o lista di controllo</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r>
      <w:tr>
        <w:tc>
          <w:tcPr/>
          <w:p>
            <w:pPr>
              <w:pStyle w:val="Compact"/>
              <w:spacing w:after="40" w:before="40"/>
              <w:jc w:val="left"/>
            </w:pPr>
            <w:r>
              <w:rPr>
                <w:rFonts w:ascii="Cambria" w:hAnsi="Cambria" w:cs="Cambria" w:eastAsia="Cambria"/>
                <w:b/>
                <w:bCs/>
                <w:color w:val="1A1A1A"/>
                <w:sz w:val="18"/>
              </w:rPr>
              <w:t xml:space="preserve">CHEERS 2022 (28 voci)</w:t>
            </w:r>
          </w:p>
        </w:tc>
        <w:tc>
          <w:tcPr/>
          <w:p>
            <w:pPr>
              <w:pStyle w:val="Compact"/>
              <w:spacing w:after="40" w:before="40"/>
              <w:jc w:val="left"/>
            </w:pPr>
            <w:r>
              <w:rPr>
                <w:rFonts w:ascii="Cambria" w:hAnsi="Cambria" w:cs="Cambria" w:eastAsia="Cambria"/>
                <w:color w:val="1A1A1A"/>
                <w:sz w:val="18"/>
              </w:rPr>
              <w:t xml:space="preserve">Rendicontazione delle valutazioni economiche</w:t>
            </w:r>
          </w:p>
        </w:tc>
        <w:tc>
          <w:tcPr/>
          <w:p>
            <w:pPr>
              <w:pStyle w:val="Compact"/>
              <w:spacing w:after="40" w:before="40"/>
              <w:jc w:val="left"/>
            </w:pPr>
            <w:r>
              <w:rPr>
                <w:rFonts w:ascii="Cambria" w:hAnsi="Cambria" w:cs="Cambria" w:eastAsia="Cambria"/>
                <w:color w:val="1A1A1A"/>
                <w:sz w:val="18"/>
              </w:rPr>
              <w:t xml:space="preserve">Parte 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CHEERS-AI (38 voci)</w:t>
            </w:r>
          </w:p>
        </w:tc>
        <w:tc>
          <w:tcPr>
            <w:shd w:val="clear" w:color="auto" w:fill="F4F1EC"/>
          </w:tcPr>
          <w:p>
            <w:pPr>
              <w:pStyle w:val="Compact"/>
              <w:spacing w:after="40" w:before="40"/>
              <w:jc w:val="left"/>
            </w:pPr>
            <w:r>
              <w:rPr>
                <w:rFonts w:ascii="Cambria" w:hAnsi="Cambria" w:cs="Cambria" w:eastAsia="Cambria"/>
                <w:color w:val="1A1A1A"/>
                <w:sz w:val="18"/>
              </w:rPr>
              <w:t xml:space="preserve">Estensione per gli interventi con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Parti C, E</w:t>
            </w:r>
          </w:p>
        </w:tc>
      </w:tr>
      <w:tr>
        <w:tc>
          <w:tcPr/>
          <w:p>
            <w:pPr>
              <w:pStyle w:val="Compact"/>
              <w:spacing w:after="40" w:before="40"/>
              <w:jc w:val="left"/>
            </w:pPr>
            <w:r>
              <w:rPr>
                <w:rFonts w:ascii="Cambria" w:hAnsi="Cambria" w:cs="Cambria" w:eastAsia="Cambria"/>
                <w:b/>
                <w:bCs/>
                <w:color w:val="1A1A1A"/>
                <w:sz w:val="18"/>
              </w:rPr>
              <w:t xml:space="preserve">PRISMA 2020</w:t>
            </w:r>
          </w:p>
        </w:tc>
        <w:tc>
          <w:tcPr/>
          <w:p>
            <w:pPr>
              <w:pStyle w:val="Compact"/>
              <w:spacing w:after="40" w:before="40"/>
              <w:jc w:val="left"/>
            </w:pPr>
            <w:r>
              <w:rPr>
                <w:rFonts w:ascii="Cambria" w:hAnsi="Cambria" w:cs="Cambria" w:eastAsia="Cambria"/>
                <w:color w:val="1A1A1A"/>
                <w:sz w:val="18"/>
              </w:rPr>
              <w:t xml:space="preserve">Conduzione e reporting delle revisioni sistematiche</w:t>
            </w:r>
          </w:p>
        </w:tc>
        <w:tc>
          <w:tcPr/>
          <w:p>
            <w:pPr>
              <w:pStyle w:val="Compact"/>
              <w:spacing w:after="40" w:before="40"/>
              <w:jc w:val="left"/>
            </w:pPr>
            <w:r>
              <w:rPr>
                <w:rFonts w:ascii="Cambria" w:hAnsi="Cambria" w:cs="Cambria" w:eastAsia="Cambria"/>
                <w:color w:val="1A1A1A"/>
                <w:sz w:val="18"/>
              </w:rPr>
              <w:t xml:space="preserve">Parte 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GRADE</w:t>
            </w:r>
          </w:p>
        </w:tc>
        <w:tc>
          <w:tcPr>
            <w:shd w:val="clear" w:color="auto" w:fill="F4F1EC"/>
          </w:tcPr>
          <w:p>
            <w:pPr>
              <w:pStyle w:val="Compact"/>
              <w:spacing w:after="40" w:before="40"/>
              <w:jc w:val="left"/>
            </w:pPr>
            <w:r>
              <w:rPr>
                <w:rFonts w:ascii="Cambria" w:hAnsi="Cambria" w:cs="Cambria" w:eastAsia="Cambria"/>
                <w:color w:val="1A1A1A"/>
                <w:sz w:val="18"/>
              </w:rPr>
              <w:t xml:space="preserve">Graduazione della certezza dell’evidenza</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r>
      <w:tr>
        <w:tc>
          <w:tcPr/>
          <w:p>
            <w:pPr>
              <w:pStyle w:val="Compact"/>
              <w:spacing w:after="40" w:before="40"/>
              <w:jc w:val="left"/>
            </w:pPr>
            <w:r>
              <w:rPr>
                <w:rFonts w:ascii="Cambria" w:hAnsi="Cambria" w:cs="Cambria" w:eastAsia="Cambria"/>
                <w:b/>
                <w:bCs/>
                <w:color w:val="1A1A1A"/>
                <w:sz w:val="18"/>
              </w:rPr>
              <w:t xml:space="preserve">Lista STROBE</w:t>
            </w:r>
          </w:p>
        </w:tc>
        <w:tc>
          <w:tcPr/>
          <w:p>
            <w:pPr>
              <w:pStyle w:val="Compact"/>
              <w:spacing w:after="40" w:before="40"/>
              <w:jc w:val="left"/>
            </w:pPr>
            <w:r>
              <w:rPr>
                <w:rFonts w:ascii="Cambria" w:hAnsi="Cambria" w:cs="Cambria" w:eastAsia="Cambria"/>
                <w:color w:val="1A1A1A"/>
                <w:sz w:val="18"/>
              </w:rPr>
              <w:t xml:space="preserve">Studi osservazionali sui dati reali</w:t>
            </w:r>
          </w:p>
        </w:tc>
        <w:tc>
          <w:tcPr/>
          <w:p>
            <w:pPr>
              <w:pStyle w:val="Compact"/>
              <w:spacing w:after="40" w:before="40"/>
              <w:jc w:val="left"/>
            </w:pPr>
            <w:r>
              <w:rPr>
                <w:rFonts w:ascii="Cambria" w:hAnsi="Cambria" w:cs="Cambria" w:eastAsia="Cambria"/>
                <w:color w:val="1A1A1A"/>
                <w:sz w:val="18"/>
              </w:rPr>
              <w:t xml:space="preserve">Parti D,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Buone pratiche ISPOR-SMDM</w:t>
            </w:r>
          </w:p>
        </w:tc>
        <w:tc>
          <w:tcPr>
            <w:shd w:val="clear" w:color="auto" w:fill="F4F1EC"/>
          </w:tcPr>
          <w:p>
            <w:pPr>
              <w:pStyle w:val="Compact"/>
              <w:spacing w:after="40" w:before="40"/>
              <w:jc w:val="left"/>
            </w:pPr>
            <w:r>
              <w:rPr>
                <w:rFonts w:ascii="Cambria" w:hAnsi="Cambria" w:cs="Cambria" w:eastAsia="Cambria"/>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r>
      <w:tr>
        <w:tc>
          <w:tcPr/>
          <w:p>
            <w:pPr>
              <w:pStyle w:val="Compact"/>
              <w:spacing w:after="40" w:before="40"/>
              <w:jc w:val="left"/>
            </w:pPr>
            <w:r>
              <w:rPr>
                <w:rFonts w:ascii="Cambria" w:hAnsi="Cambria" w:cs="Cambria" w:eastAsia="Cambria"/>
                <w:b/>
                <w:bCs/>
                <w:color w:val="1A1A1A"/>
                <w:sz w:val="18"/>
              </w:rPr>
              <w:t xml:space="preserve">Manuale OCSE-JRC</w:t>
            </w:r>
          </w:p>
        </w:tc>
        <w:tc>
          <w:tcPr/>
          <w:p>
            <w:pPr>
              <w:pStyle w:val="Compact"/>
              <w:spacing w:after="40" w:before="40"/>
              <w:jc w:val="left"/>
            </w:pPr>
            <w:r>
              <w:rPr>
                <w:rFonts w:ascii="Cambria" w:hAnsi="Cambria" w:cs="Cambria" w:eastAsia="Cambria"/>
                <w:color w:val="1A1A1A"/>
                <w:sz w:val="18"/>
              </w:rPr>
              <w:t xml:space="preserve">Costruzione degli indicatori compositi</w:t>
            </w:r>
          </w:p>
        </w:tc>
        <w:tc>
          <w:tcPr/>
          <w:p>
            <w:pPr>
              <w:pStyle w:val="Compact"/>
              <w:spacing w:after="40" w:before="40"/>
              <w:jc w:val="left"/>
            </w:pPr>
            <w:r>
              <w:rPr>
                <w:rFonts w:ascii="Cambria" w:hAnsi="Cambria" w:cs="Cambria" w:eastAsia="Cambria"/>
                <w:color w:val="1A1A1A"/>
                <w:sz w:val="18"/>
              </w:rPr>
              <w:t xml:space="preserve">Parte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Griglia di giudizio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r>
    </w:tbl>
    <w:p>
      <w:pPr>
        <w:pStyle w:val="BodyText"/>
      </w:pPr>
      <w:r>
        <w:rPr>
          <w:i/>
          <w:iCs/>
        </w:rPr>
        <w:t xml:space="preserve">Tabella D.1. Gli standard di reporting e di qualità adottati nello studio, per parte di applicazione.</w:t>
      </w:r>
    </w:p>
    <w:bookmarkEnd w:id="2072"/>
    <w:bookmarkStart w:id="2074" w:name="appendice-e-glossario-6"/>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645"/>
      </w:r>
      <w:r>
        <w:t xml:space="preserve"> </w:t>
      </w:r>
      <w:r>
        <w:t xml:space="preserve">Le definizioni sono comuni al telaio metodologico replicato in tutti gli studi regionali del progetto.</w:t>
      </w:r>
    </w:p>
    <w:tbl>
      <w:tblPr>
        <w:tblStyle w:val="Table"/>
        <w:tblW w:type="pct" w:w="496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46"/>
        <w:gridCol w:w="601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Termine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w:t>
            </w:r>
          </w:p>
        </w:tc>
      </w:tr>
      <w:tr>
        <w:tc>
          <w:tcPr/>
          <w:p>
            <w:pPr>
              <w:pStyle w:val="Compact"/>
              <w:spacing w:after="40" w:before="40"/>
              <w:jc w:val="left"/>
            </w:pPr>
            <w:r>
              <w:rPr>
                <w:rFonts w:ascii="Cambria" w:hAnsi="Cambria" w:cs="Cambria" w:eastAsia="Cambria"/>
                <w:b/>
                <w:bCs/>
                <w:color w:val="1A1A1A"/>
                <w:sz w:val="18"/>
              </w:rPr>
              <w:t xml:space="preserve">Valutazione di tecnologia sanitaria (HTA)</w:t>
            </w:r>
          </w:p>
        </w:tc>
        <w:tc>
          <w:tcPr/>
          <w:p>
            <w:pPr>
              <w:pStyle w:val="Compact"/>
              <w:spacing w:after="40" w:before="40"/>
              <w:jc w:val="left"/>
            </w:pPr>
            <w:r>
              <w:rPr>
                <w:rFonts w:ascii="Cambria" w:hAnsi="Cambria" w:cs="Cambria" w:eastAsia="Cambria"/>
                <w:color w:val="1A1A1A"/>
                <w:sz w:val="18"/>
              </w:rPr>
              <w:t xml:space="preserve">Valutazione multidimensionale di un intervento sanitario, articolata in nove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rapida di efficacia relativa</w:t>
            </w:r>
          </w:p>
        </w:tc>
        <w:tc>
          <w:tcPr>
            <w:shd w:val="clear" w:color="auto" w:fill="F4F1EC"/>
          </w:tcPr>
          <w:p>
            <w:pPr>
              <w:pStyle w:val="Compact"/>
              <w:spacing w:after="40" w:before="40"/>
              <w:jc w:val="left"/>
            </w:pPr>
            <w:r>
              <w:rPr>
                <w:rFonts w:ascii="Cambria" w:hAnsi="Cambria" w:cs="Cambria" w:eastAsia="Cambria"/>
                <w:color w:val="1A1A1A"/>
                <w:sz w:val="18"/>
              </w:rPr>
              <w:t xml:space="preserve">Nucleo dell’HTA, che copre i primi quattro domini (problema, descrizione, sicurezza, efficacia)</w:t>
            </w:r>
          </w:p>
        </w:tc>
      </w:tr>
      <w:tr>
        <w:tc>
          <w:tcPr/>
          <w:p>
            <w:pPr>
              <w:pStyle w:val="Compact"/>
              <w:spacing w:after="40" w:before="40"/>
              <w:jc w:val="left"/>
            </w:pPr>
            <w:r>
              <w:rPr>
                <w:rFonts w:ascii="Cambria" w:hAnsi="Cambria" w:cs="Cambria" w:eastAsia="Cambria"/>
                <w:b/>
                <w:bCs/>
                <w:color w:val="1A1A1A"/>
                <w:sz w:val="18"/>
              </w:rPr>
              <w:t xml:space="preserve">Five Case Model</w:t>
            </w:r>
          </w:p>
        </w:tc>
        <w:tc>
          <w:tcPr/>
          <w:p>
            <w:pPr>
              <w:pStyle w:val="Compact"/>
              <w:spacing w:after="40" w:before="40"/>
              <w:jc w:val="left"/>
            </w:pPr>
            <w:r>
              <w:rPr>
                <w:rFonts w:ascii="Cambria" w:hAnsi="Cambria" w:cs="Cambria" w:eastAsia="Cambria"/>
                <w:color w:val="1A1A1A"/>
                <w:sz w:val="18"/>
              </w:rPr>
              <w:t xml:space="preserve">Standard del business case pubblico in cinque casi: strategico, economico, commerciale, finanziario, gestionale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 2022</w:t>
            </w:r>
          </w:p>
        </w:tc>
        <w:tc>
          <w:tcPr>
            <w:shd w:val="clear" w:color="auto" w:fill="F4F1EC"/>
          </w:tcPr>
          <w:p>
            <w:pPr>
              <w:pStyle w:val="Compact"/>
              <w:spacing w:after="40" w:before="40"/>
              <w:jc w:val="left"/>
            </w:pPr>
            <w:r>
              <w:rPr>
                <w:rFonts w:ascii="Cambria" w:hAnsi="Cambria" w:cs="Cambria" w:eastAsia="Cambria"/>
                <w:color w:val="1A1A1A"/>
                <w:sz w:val="18"/>
              </w:rPr>
              <w:t xml:space="preserve">Lista di controllo di 28 voci per la rendicontazione delle valutazioni economiche</w:t>
            </w:r>
          </w:p>
        </w:tc>
      </w:tr>
      <w:tr>
        <w:tc>
          <w:tcPr/>
          <w:p>
            <w:pPr>
              <w:pStyle w:val="Compact"/>
              <w:spacing w:after="40" w:before="40"/>
              <w:jc w:val="left"/>
            </w:pPr>
            <w:r>
              <w:rPr>
                <w:rFonts w:ascii="Cambria" w:hAnsi="Cambria" w:cs="Cambria" w:eastAsia="Cambria"/>
                <w:b/>
                <w:bCs/>
                <w:color w:val="1A1A1A"/>
                <w:sz w:val="18"/>
              </w:rPr>
              <w:t xml:space="preserve">Criteri OCSE-DAC</w:t>
            </w:r>
          </w:p>
        </w:tc>
        <w:tc>
          <w:tcPr/>
          <w:p>
            <w:pPr>
              <w:pStyle w:val="Compact"/>
              <w:spacing w:after="40" w:before="40"/>
              <w:jc w:val="left"/>
            </w:pPr>
            <w:r>
              <w:rPr>
                <w:rFonts w:ascii="Cambria" w:hAnsi="Cambria" w:cs="Cambria" w:eastAsia="Cambria"/>
                <w:color w:val="1A1A1A"/>
                <w:sz w:val="18"/>
              </w:rPr>
              <w:t xml:space="preserve">Sei criteri di giudizio: rilevanza, coerenza, efficacia, efficienza, impatto,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di vita ponderato per la qualità (QALY)</w:t>
            </w:r>
          </w:p>
        </w:tc>
        <w:tc>
          <w:tcPr>
            <w:shd w:val="clear" w:color="auto" w:fill="F4F1EC"/>
          </w:tcPr>
          <w:p>
            <w:pPr>
              <w:pStyle w:val="Compact"/>
              <w:spacing w:after="40" w:before="40"/>
              <w:jc w:val="left"/>
            </w:pPr>
            <w:r>
              <w:rPr>
                <w:rFonts w:ascii="Cambria" w:hAnsi="Cambria" w:cs="Cambria" w:eastAsia="Cambria"/>
                <w:color w:val="1A1A1A"/>
                <w:sz w:val="18"/>
              </w:rPr>
              <w:t xml:space="preserve">Misura che integra durata e qualità della vita guadagnate</w:t>
            </w:r>
          </w:p>
        </w:tc>
      </w:tr>
      <w:tr>
        <w:tc>
          <w:tcPr/>
          <w:p>
            <w:pPr>
              <w:pStyle w:val="Compact"/>
              <w:spacing w:after="40" w:before="40"/>
              <w:jc w:val="left"/>
            </w:pPr>
            <w:r>
              <w:rPr>
                <w:rFonts w:ascii="Cambria" w:hAnsi="Cambria" w:cs="Cambria" w:eastAsia="Cambria"/>
                <w:b/>
                <w:bCs/>
                <w:color w:val="1A1A1A"/>
                <w:sz w:val="18"/>
              </w:rPr>
              <w:t xml:space="preserve">Rapporto incrementale di costo-efficacia (ICER)</w:t>
            </w:r>
          </w:p>
        </w:tc>
        <w:tc>
          <w:tcPr/>
          <w:p>
            <w:pPr>
              <w:pStyle w:val="Compact"/>
              <w:spacing w:after="40" w:before="40"/>
              <w:jc w:val="left"/>
            </w:pPr>
            <w:r>
              <w:rPr>
                <w:rFonts w:ascii="Cambria" w:hAnsi="Cambria" w:cs="Cambria" w:eastAsia="Cambria"/>
                <w:color w:val="1A1A1A"/>
                <w:sz w:val="18"/>
              </w:rPr>
              <w:t xml:space="preserve">Rapporto tra costo aggiuntivo e guadagno di salute, confrontato con una soglia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costo-utilità</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che misura gli esiti in anni di vita ponderati per la qualità</w:t>
            </w:r>
          </w:p>
        </w:tc>
      </w:tr>
      <w:tr>
        <w:tc>
          <w:tcPr/>
          <w:p>
            <w:pPr>
              <w:pStyle w:val="Compact"/>
              <w:spacing w:after="40" w:before="40"/>
              <w:jc w:val="left"/>
            </w:pPr>
            <w:r>
              <w:rPr>
                <w:rFonts w:ascii="Cambria" w:hAnsi="Cambria" w:cs="Cambria" w:eastAsia="Cambria"/>
                <w:b/>
                <w:bCs/>
                <w:color w:val="1A1A1A"/>
                <w:sz w:val="18"/>
              </w:rPr>
              <w:t xml:space="preserve">Analisi di impatto sul bilancio</w:t>
            </w:r>
          </w:p>
        </w:tc>
        <w:tc>
          <w:tcPr/>
          <w:p>
            <w:pPr>
              <w:pStyle w:val="Compact"/>
              <w:spacing w:after="40" w:before="40"/>
              <w:jc w:val="left"/>
            </w:pPr>
            <w:r>
              <w:rPr>
                <w:rFonts w:ascii="Cambria" w:hAnsi="Cambria" w:cs="Cambria" w:eastAsia="Cambria"/>
                <w:color w:val="1A1A1A"/>
                <w:sz w:val="18"/>
              </w:rPr>
              <w:t xml:space="preserve">Stima dell’effetto finanziario sul bilancio del detentore del budget, su flussi non scontati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sull’investimento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Metodo che monetizza il valore sociale generato, distinto dai risparmi di bilancio</w:t>
            </w:r>
          </w:p>
        </w:tc>
      </w:tr>
      <w:tr>
        <w:tc>
          <w:tcPr/>
          <w:p>
            <w:pPr>
              <w:pStyle w:val="Compact"/>
              <w:spacing w:after="40" w:before="40"/>
              <w:jc w:val="left"/>
            </w:pPr>
            <w:r>
              <w:rPr>
                <w:rFonts w:ascii="Cambria" w:hAnsi="Cambria" w:cs="Cambria" w:eastAsia="Cambria"/>
                <w:b/>
                <w:bCs/>
                <w:color w:val="1A1A1A"/>
                <w:sz w:val="18"/>
              </w:rPr>
              <w:t xml:space="preserve">Analisi costo-efficacia distributiva (DCEA)</w:t>
            </w:r>
          </w:p>
        </w:tc>
        <w:tc>
          <w:tcPr/>
          <w:p>
            <w:pPr>
              <w:pStyle w:val="Compact"/>
              <w:spacing w:after="40" w:before="40"/>
              <w:jc w:val="left"/>
            </w:pPr>
            <w:r>
              <w:rPr>
                <w:rFonts w:ascii="Cambria" w:hAnsi="Cambria" w:cs="Cambria" w:eastAsia="Cambria"/>
                <w:color w:val="1A1A1A"/>
                <w:sz w:val="18"/>
              </w:rPr>
              <w:t xml:space="preserve">Estende la valutazione economica alla distribuzione degli effetti tra gruppi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sensibilità probabilistica</w:t>
            </w:r>
          </w:p>
        </w:tc>
        <w:tc>
          <w:tcPr>
            <w:shd w:val="clear" w:color="auto" w:fill="F4F1EC"/>
          </w:tcPr>
          <w:p>
            <w:pPr>
              <w:pStyle w:val="Compact"/>
              <w:spacing w:after="40" w:before="40"/>
              <w:jc w:val="left"/>
            </w:pPr>
            <w:r>
              <w:rPr>
                <w:rFonts w:ascii="Cambria" w:hAnsi="Cambria" w:cs="Cambria" w:eastAsia="Cambria"/>
                <w:color w:val="1A1A1A"/>
                <w:sz w:val="18"/>
              </w:rPr>
              <w:t xml:space="preserve">Propaga l’incertezza dei parametri mediante simulazioni Monte Carlo</w:t>
            </w:r>
          </w:p>
        </w:tc>
      </w:tr>
      <w:tr>
        <w:tc>
          <w:tcPr/>
          <w:p>
            <w:pPr>
              <w:pStyle w:val="Compact"/>
              <w:spacing w:after="40" w:before="40"/>
              <w:jc w:val="left"/>
            </w:pPr>
            <w:r>
              <w:rPr>
                <w:rFonts w:ascii="Cambria" w:hAnsi="Cambria" w:cs="Cambria" w:eastAsia="Cambria"/>
                <w:b/>
                <w:bCs/>
                <w:color w:val="1A1A1A"/>
                <w:sz w:val="18"/>
              </w:rPr>
              <w:t xml:space="preserve">Valore dell’informazione (EVPI, EVPPI)</w:t>
            </w:r>
          </w:p>
        </w:tc>
        <w:tc>
          <w:tcPr/>
          <w:p>
            <w:pPr>
              <w:pStyle w:val="Compact"/>
              <w:spacing w:after="40" w:before="40"/>
              <w:jc w:val="left"/>
            </w:pPr>
            <w:r>
              <w:rPr>
                <w:rFonts w:ascii="Cambria" w:hAnsi="Cambria" w:cs="Cambria" w:eastAsia="Cambria"/>
                <w:color w:val="1A1A1A"/>
                <w:sz w:val="18"/>
              </w:rPr>
              <w:t xml:space="preserve">Beneficio atteso dalla riduzione dell’incertezza, complessiva e sui parametri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Markov</w:t>
            </w:r>
          </w:p>
        </w:tc>
        <w:tc>
          <w:tcPr>
            <w:shd w:val="clear" w:color="auto" w:fill="F4F1EC"/>
          </w:tcPr>
          <w:p>
            <w:pPr>
              <w:pStyle w:val="Compact"/>
              <w:spacing w:after="40" w:before="40"/>
              <w:jc w:val="left"/>
            </w:pPr>
            <w:r>
              <w:rPr>
                <w:rFonts w:ascii="Cambria" w:hAnsi="Cambria" w:cs="Cambria" w:eastAsia="Cambria"/>
                <w:color w:val="1A1A1A"/>
                <w:sz w:val="18"/>
              </w:rPr>
              <w:t xml:space="preserve">Modello che rappresenta il decorso di una condizione attraverso stati di salute e transizioni</w:t>
            </w:r>
          </w:p>
        </w:tc>
      </w:tr>
      <w:tr>
        <w:tc>
          <w:tcPr/>
          <w:p>
            <w:pPr>
              <w:pStyle w:val="Compact"/>
              <w:spacing w:after="40" w:before="40"/>
              <w:jc w:val="left"/>
            </w:pPr>
            <w:r>
              <w:rPr>
                <w:rFonts w:ascii="Cambria" w:hAnsi="Cambria" w:cs="Cambria" w:eastAsia="Cambria"/>
                <w:b/>
                <w:bCs/>
                <w:color w:val="1A1A1A"/>
                <w:sz w:val="18"/>
              </w:rPr>
              <w:t xml:space="preserve">Differenza-nelle-differenze</w:t>
            </w:r>
          </w:p>
        </w:tc>
        <w:tc>
          <w:tcPr/>
          <w:p>
            <w:pPr>
              <w:pStyle w:val="Compact"/>
              <w:spacing w:after="40" w:before="40"/>
              <w:jc w:val="left"/>
            </w:pPr>
            <w:r>
              <w:rPr>
                <w:rFonts w:ascii="Cambria" w:hAnsi="Cambria" w:cs="Cambria" w:eastAsia="Cambria"/>
                <w:color w:val="1A1A1A"/>
                <w:sz w:val="18"/>
              </w:rPr>
              <w:t xml:space="preserve">Metodo controfattuale che confronta la variazione nel tempo dell’esito tra gruppi a diversa esposizione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Controllo sintetico</w:t>
            </w:r>
          </w:p>
        </w:tc>
        <w:tc>
          <w:tcPr>
            <w:shd w:val="clear" w:color="auto" w:fill="F4F1EC"/>
          </w:tcPr>
          <w:p>
            <w:pPr>
              <w:pStyle w:val="Compact"/>
              <w:spacing w:after="40" w:before="40"/>
              <w:jc w:val="left"/>
            </w:pPr>
            <w:r>
              <w:rPr>
                <w:rFonts w:ascii="Cambria" w:hAnsi="Cambria" w:cs="Cambria" w:eastAsia="Cambria"/>
                <w:color w:val="1A1A1A"/>
                <w:sz w:val="18"/>
              </w:rPr>
              <w:t xml:space="preserve">Metodo che costruisce un’unità di confronto come combinazione ponderata di unità a minore esposizione</w:t>
            </w:r>
          </w:p>
        </w:tc>
      </w:tr>
      <w:tr>
        <w:tc>
          <w:tcPr/>
          <w:p>
            <w:pPr>
              <w:pStyle w:val="Compact"/>
              <w:spacing w:after="40" w:before="40"/>
              <w:jc w:val="left"/>
            </w:pPr>
            <w:r>
              <w:rPr>
                <w:rFonts w:ascii="Cambria" w:hAnsi="Cambria" w:cs="Cambria" w:eastAsia="Cambria"/>
                <w:b/>
                <w:bCs/>
                <w:color w:val="1A1A1A"/>
                <w:sz w:val="18"/>
              </w:rPr>
              <w:t xml:space="preserve">Disegno a cunei progressivi e intensità di copertura</w:t>
            </w:r>
          </w:p>
        </w:tc>
        <w:tc>
          <w:tcPr/>
          <w:p>
            <w:pPr>
              <w:pStyle w:val="Compact"/>
              <w:spacing w:after="40" w:before="40"/>
              <w:jc w:val="left"/>
            </w:pPr>
            <w:r>
              <w:rPr>
                <w:rFonts w:ascii="Cambria" w:hAnsi="Cambria" w:cs="Cambria" w:eastAsia="Cambria"/>
                <w:color w:val="1A1A1A"/>
                <w:sz w:val="18"/>
              </w:rPr>
              <w:t xml:space="preserve">Disegno controfattuale impiegato in Toscana, ove il servizio è già attivo in via sperimentale, fondato sul confronto prima-dopo settembre 2024 e sull’estensione scaglionata tra le strutture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e verifica d’impatto della regolazione</w:t>
            </w:r>
          </w:p>
        </w:tc>
        <w:tc>
          <w:tcPr>
            <w:shd w:val="clear" w:color="auto" w:fill="F4F1EC"/>
          </w:tcPr>
          <w:p>
            <w:pPr>
              <w:pStyle w:val="Compact"/>
              <w:spacing w:after="40" w:before="40"/>
              <w:jc w:val="left"/>
            </w:pPr>
            <w:r>
              <w:rPr>
                <w:rFonts w:ascii="Cambria" w:hAnsi="Cambria" w:cs="Cambria" w:eastAsia="Cambria"/>
                <w:color w:val="1A1A1A"/>
                <w:sz w:val="18"/>
              </w:rPr>
              <w:t xml:space="preserve">Valutazione ex ante (AIR) ed ex post (VIR) degli effetti di una norma</w:t>
            </w:r>
          </w:p>
        </w:tc>
      </w:tr>
      <w:tr>
        <w:tc>
          <w:tcPr/>
          <w:p>
            <w:pPr>
              <w:pStyle w:val="Compact"/>
              <w:spacing w:after="40" w:before="40"/>
              <w:jc w:val="left"/>
            </w:pPr>
            <w:r>
              <w:rPr>
                <w:rFonts w:ascii="Cambria" w:hAnsi="Cambria" w:cs="Cambria" w:eastAsia="Cambria"/>
                <w:b/>
                <w:bCs/>
                <w:color w:val="1A1A1A"/>
                <w:sz w:val="18"/>
              </w:rPr>
              <w:t xml:space="preserve">Clausola valutativa</w:t>
            </w:r>
          </w:p>
        </w:tc>
        <w:tc>
          <w:tcPr/>
          <w:p>
            <w:pPr>
              <w:pStyle w:val="Compact"/>
              <w:spacing w:after="40" w:before="40"/>
              <w:jc w:val="left"/>
            </w:pPr>
            <w:r>
              <w:rPr>
                <w:rFonts w:ascii="Cambria" w:hAnsi="Cambria" w:cs="Cambria" w:eastAsia="Cambria"/>
                <w:color w:val="1A1A1A"/>
                <w:sz w:val="18"/>
              </w:rPr>
              <w:t xml:space="preserve">Strumento che impegna la Giunta a riferire al Consiglio sui risultati della riforma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RE-AIM</w:t>
            </w:r>
          </w:p>
        </w:tc>
        <w:tc>
          <w:tcPr>
            <w:shd w:val="clear" w:color="auto" w:fill="F4F1EC"/>
          </w:tcPr>
          <w:p>
            <w:pPr>
              <w:pStyle w:val="Compact"/>
              <w:spacing w:after="40" w:before="40"/>
              <w:jc w:val="left"/>
            </w:pPr>
            <w:r>
              <w:rPr>
                <w:rFonts w:ascii="Cambria" w:hAnsi="Cambria" w:cs="Cambria" w:eastAsia="Cambria"/>
                <w:color w:val="1A1A1A"/>
                <w:sz w:val="18"/>
              </w:rPr>
              <w:t xml:space="preserve">Quadro che misura portata, efficacia, adozione, implementazione e mantenimento di un intervento</w:t>
            </w:r>
          </w:p>
        </w:tc>
      </w:tr>
      <w:tr>
        <w:tc>
          <w:tcPr/>
          <w:p>
            <w:pPr>
              <w:pStyle w:val="Compact"/>
              <w:spacing w:after="40" w:before="40"/>
              <w:jc w:val="left"/>
            </w:pPr>
            <w:r>
              <w:rPr>
                <w:rFonts w:ascii="Cambria" w:hAnsi="Cambria" w:cs="Cambria" w:eastAsia="Cambria"/>
                <w:b/>
                <w:bCs/>
                <w:color w:val="1A1A1A"/>
                <w:sz w:val="18"/>
              </w:rPr>
              <w:t xml:space="preserve">CFIR</w:t>
            </w:r>
          </w:p>
        </w:tc>
        <w:tc>
          <w:tcPr/>
          <w:p>
            <w:pPr>
              <w:pStyle w:val="Compact"/>
              <w:spacing w:after="40" w:before="40"/>
              <w:jc w:val="left"/>
            </w:pPr>
            <w:r>
              <w:rPr>
                <w:rFonts w:ascii="Cambria" w:hAnsi="Cambria" w:cs="Cambria" w:eastAsia="Cambria"/>
                <w:color w:val="1A1A1A"/>
                <w:sz w:val="18"/>
              </w:rPr>
              <w:t xml:space="preserve">Quadro che spiega i determinanti dell’implementazione, in cinque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Donabedian</w:t>
            </w:r>
          </w:p>
        </w:tc>
        <w:tc>
          <w:tcPr>
            <w:shd w:val="clear" w:color="auto" w:fill="F4F1EC"/>
          </w:tcPr>
          <w:p>
            <w:pPr>
              <w:pStyle w:val="Compact"/>
              <w:spacing w:after="40" w:before="40"/>
              <w:jc w:val="left"/>
            </w:pPr>
            <w:r>
              <w:rPr>
                <w:rFonts w:ascii="Cambria" w:hAnsi="Cambria" w:cs="Cambria" w:eastAsia="Cambria"/>
                <w:color w:val="1A1A1A"/>
                <w:sz w:val="18"/>
              </w:rPr>
              <w:t xml:space="preserve">Classifica gli indicatori di qualità in struttura, processo ed esito, qui integrati dall’impatto</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Questionario validato per i sintomi depressivi (punteggio 0–27)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Questionario validato per i sintomi d’ansia (punteggio 0–21)</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Quota di pazienti che scende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r>
        <w:tc>
          <w:tcPr/>
          <w:p>
            <w:pPr>
              <w:pStyle w:val="Compact"/>
              <w:spacing w:after="40" w:before="40"/>
              <w:jc w:val="left"/>
            </w:pPr>
            <w:r>
              <w:rPr>
                <w:rFonts w:ascii="Cambria" w:hAnsi="Cambria" w:cs="Cambria" w:eastAsia="Cambria"/>
                <w:b/>
                <w:bCs/>
                <w:color w:val="1A1A1A"/>
                <w:sz w:val="18"/>
              </w:rPr>
              <w:t xml:space="preserve">Cura collaborativa</w:t>
            </w:r>
          </w:p>
        </w:tc>
        <w:tc>
          <w:tcPr/>
          <w:p>
            <w:pPr>
              <w:pStyle w:val="Compact"/>
              <w:spacing w:after="40" w:before="40"/>
              <w:jc w:val="left"/>
            </w:pPr>
            <w:r>
              <w:rPr>
                <w:rFonts w:ascii="Cambria" w:hAnsi="Cambria" w:cs="Cambria" w:eastAsia="Cambria"/>
                <w:color w:val="1A1A1A"/>
                <w:sz w:val="18"/>
              </w:rPr>
              <w:t xml:space="preserve">Modello di integrazione della salute mentale nelle cure primarie con équipe e monitoraggio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Cura a intensità crescente</w:t>
            </w:r>
          </w:p>
        </w:tc>
        <w:tc>
          <w:tcPr>
            <w:shd w:val="clear" w:color="auto" w:fill="F4F1EC"/>
          </w:tcPr>
          <w:p>
            <w:pPr>
              <w:pStyle w:val="Compact"/>
              <w:spacing w:after="40" w:before="40"/>
              <w:jc w:val="left"/>
            </w:pPr>
            <w:r>
              <w:rPr>
                <w:rFonts w:ascii="Cambria" w:hAnsi="Cambria" w:cs="Cambria" w:eastAsia="Cambria"/>
                <w:color w:val="1A1A1A"/>
                <w:sz w:val="18"/>
              </w:rPr>
              <w:t xml:space="preserve">Percorso che gradua l’intensità dell’intervento alla gravità del quadro</w:t>
            </w:r>
          </w:p>
        </w:tc>
      </w:tr>
      <w:tr>
        <w:tc>
          <w:tcPr/>
          <w:p>
            <w:pPr>
              <w:pStyle w:val="Compact"/>
              <w:spacing w:after="40" w:before="40"/>
              <w:jc w:val="left"/>
            </w:pPr>
            <w:r>
              <w:rPr>
                <w:rFonts w:ascii="Cambria" w:hAnsi="Cambria" w:cs="Cambria" w:eastAsia="Cambria"/>
                <w:b/>
                <w:bCs/>
                <w:color w:val="1A1A1A"/>
                <w:sz w:val="18"/>
              </w:rPr>
              <w:t xml:space="preserve">Livelli essenziali di assistenza (LEA)</w:t>
            </w:r>
          </w:p>
        </w:tc>
        <w:tc>
          <w:tcPr/>
          <w:p>
            <w:pPr>
              <w:pStyle w:val="Compact"/>
              <w:spacing w:after="40" w:before="40"/>
              <w:jc w:val="left"/>
            </w:pPr>
            <w:r>
              <w:rPr>
                <w:rFonts w:ascii="Cambria" w:hAnsi="Cambria" w:cs="Cambria" w:eastAsia="Cambria"/>
                <w:color w:val="1A1A1A"/>
                <w:sz w:val="18"/>
              </w:rPr>
              <w:t xml:space="preserve">Prestazioni garantite uniformemente dal Servizio sanitario;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Spesa per prestazioni rese ai residenti da strutture di altre regioni; in Toscana il saldo è nettamente attivo (regione creditrice)</w:t>
            </w:r>
          </w:p>
        </w:tc>
      </w:tr>
      <w:tr>
        <w:tc>
          <w:tcPr/>
          <w:p>
            <w:pPr>
              <w:pStyle w:val="Compact"/>
              <w:spacing w:after="40" w:before="40"/>
              <w:jc w:val="left"/>
            </w:pPr>
            <w:r>
              <w:rPr>
                <w:rFonts w:ascii="Cambria" w:hAnsi="Cambria" w:cs="Cambria" w:eastAsia="Cambria"/>
                <w:b/>
                <w:bCs/>
                <w:color w:val="1A1A1A"/>
                <w:sz w:val="18"/>
              </w:rPr>
              <w:t xml:space="preserve">Sintomi somatici funzionali</w:t>
            </w:r>
          </w:p>
        </w:tc>
        <w:tc>
          <w:tcPr/>
          <w:p>
            <w:pPr>
              <w:pStyle w:val="Compact"/>
              <w:spacing w:after="40" w:before="40"/>
              <w:jc w:val="left"/>
            </w:pPr>
            <w:r>
              <w:rPr>
                <w:rFonts w:ascii="Cambria" w:hAnsi="Cambria" w:cs="Cambria" w:eastAsia="Cambria"/>
                <w:color w:val="1A1A1A"/>
                <w:sz w:val="18"/>
              </w:rPr>
              <w:t xml:space="preserve">Sintomi fisici senza causa organica, associati a elevato consumo di prestazioni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concentrazione</w:t>
            </w:r>
          </w:p>
        </w:tc>
        <w:tc>
          <w:tcPr>
            <w:shd w:val="clear" w:color="auto" w:fill="F4F1EC"/>
          </w:tcPr>
          <w:p>
            <w:pPr>
              <w:pStyle w:val="Compact"/>
              <w:spacing w:after="40" w:before="40"/>
              <w:jc w:val="left"/>
            </w:pPr>
            <w:r>
              <w:rPr>
                <w:rFonts w:ascii="Cambria" w:hAnsi="Cambria" w:cs="Cambria" w:eastAsia="Cambria"/>
                <w:color w:val="1A1A1A"/>
                <w:sz w:val="18"/>
              </w:rPr>
              <w:t xml:space="preserve">Misura che lega l’esito di salute alla posizione socio-economica</w:t>
            </w:r>
          </w:p>
        </w:tc>
      </w:tr>
      <w:tr>
        <w:tc>
          <w:tcPr/>
          <w:p>
            <w:pPr>
              <w:pStyle w:val="Compact"/>
              <w:spacing w:after="40" w:before="40"/>
              <w:jc w:val="left"/>
            </w:pPr>
            <w:r>
              <w:rPr>
                <w:rFonts w:ascii="Cambria" w:hAnsi="Cambria" w:cs="Cambria" w:eastAsia="Cambria"/>
                <w:b/>
                <w:bCs/>
                <w:color w:val="1A1A1A"/>
                <w:sz w:val="18"/>
              </w:rPr>
              <w:t xml:space="preserve">Peso morto</w:t>
            </w:r>
          </w:p>
        </w:tc>
        <w:tc>
          <w:tcPr/>
          <w:p>
            <w:pPr>
              <w:pStyle w:val="Compact"/>
              <w:spacing w:after="40" w:before="40"/>
              <w:jc w:val="left"/>
            </w:pPr>
            <w:r>
              <w:rPr>
                <w:rFonts w:ascii="Cambria" w:hAnsi="Cambria" w:cs="Cambria" w:eastAsia="Cambria"/>
                <w:color w:val="1A1A1A"/>
                <w:sz w:val="18"/>
              </w:rP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73</w:t>
      </w:r>
    </w:p>
    <w:p>
      <w:pPr>
        <w:pStyle w:val="BodyText"/>
      </w:pPr>
      <w:r>
        <w:t xml:space="preserve">73</w:t>
      </w:r>
    </w:p>
    <w:bookmarkEnd w:id="2074"/>
    <w:bookmarkStart w:id="2075" w:name="lazio-studio-hta-integrale"/>
    <w:p>
      <w:pPr>
        <w:pStyle w:val="Heading2"/>
      </w:pPr>
      <w:r>
        <w:t xml:space="preserve">Lazio — Studio HTA integrale</w:t>
      </w:r>
    </w:p>
    <w:p>
      <w:pPr>
        <w:pStyle w:val="FirstParagraph"/>
      </w:pPr>
      <w:r>
        <w:t xml:space="preserve">Studio integrale Lazio · Frontespizio e indice generale</w:t>
      </w:r>
    </w:p>
    <w:p>
      <w:pPr>
        <w:pStyle w:val="BodyText"/>
      </w:pPr>
      <w:r>
        <w:t xml:space="preserve">Studio integrale Lazio · Frontespizio e indice generale</w:t>
      </w:r>
    </w:p>
    <w:p>
      <w:pPr>
        <w:pStyle w:val="BodyText"/>
      </w:pPr>
      <w:r>
        <w:rPr>
          <w:b/>
          <w:bCs/>
        </w:rPr>
        <w:t xml:space="preserve">PROGETTO «PSICOLOGO DI BASE» · REGIONE LAZIO</w:t>
      </w:r>
    </w:p>
    <w:p>
      <w:pPr>
        <w:pStyle w:val="BodyText"/>
      </w:pPr>
      <w:r>
        <w:t xml:space="preserve">Riforma «Psicologo di Base»: dalla proposta di legge all’istituzione del servizio strutturato a regime</w:t>
      </w:r>
    </w:p>
    <w:p>
      <w:pPr>
        <w:pStyle w:val="BodyText"/>
      </w:pPr>
      <w:r>
        <w:rPr>
          <w:b/>
          <w:bCs/>
        </w:rPr>
        <w:t xml:space="preserve">Studio Integrale Regionale</w:t>
      </w:r>
    </w:p>
    <w:p>
      <w:pPr>
        <w:pStyle w:val="BodyText"/>
      </w:pPr>
      <w:r>
        <w:rPr>
          <w:b/>
          <w:bCs/>
        </w:rPr>
        <w:t xml:space="preserve">Frontespizio e indice generale</w:t>
      </w:r>
    </w:p>
    <w:p>
      <w:pPr>
        <w:pStyle w:val="BodyText"/>
      </w:pPr>
      <w:r>
        <w:rPr>
          <w:i/>
          <w:iCs/>
        </w:rPr>
        <w:t xml:space="preserve">L</w:t>
      </w:r>
      <w:r>
        <w:rPr>
          <w:b/>
          <w:bCs/>
          <w:i/>
          <w:iCs/>
        </w:rPr>
        <w:t xml:space="preserve">’</w:t>
      </w:r>
      <w:r>
        <w:rPr>
          <w:i/>
          <w:iCs/>
        </w:rPr>
        <w:t xml:space="preserve">applicazione del telaio integrato alla Regione Lazio, in undici parti e cinque appendici</w:t>
      </w:r>
    </w:p>
    <w:p>
      <w:pPr>
        <w:pStyle w:val="BodyText"/>
      </w:pPr>
      <w:r>
        <w:t xml:space="preserve">Modello HTA · Five Case Model · CHEERS 2022 · criteri OCSE-DAC</w:t>
      </w:r>
    </w:p>
    <w:p>
      <w:pPr>
        <w:pStyle w:val="BodyText"/>
      </w:pPr>
      <w:r>
        <w:rPr>
          <w:b/>
          <w:bCs/>
        </w:rPr>
        <w:t xml:space="preserve">Documento di apertura e navigazione del corpus</w:t>
      </w:r>
    </w:p>
    <w:bookmarkEnd w:id="2075"/>
    <w:bookmarkStart w:id="2076" w:name="premessa-generale-6"/>
    <w:p>
      <w:pPr>
        <w:pStyle w:val="Heading2"/>
      </w:pPr>
      <w:r>
        <w:t xml:space="preserve">Premessa generale</w:t>
      </w:r>
    </w:p>
    <w:p>
      <w:pPr>
        <w:pStyle w:val="FirstParagraph"/>
      </w:pPr>
      <w:r>
        <w:t xml:space="preserve">Questo documento apre e ordina lo studio integrale per la Regione Lazio sulla riforma «Psicologo di Base». Esso non contiene una nuova analisi, ma fornisce la chiave di navigazione dell’intero corpus: la premessa, l’indice generale di tutte le parti e di tutte le appendici, la mappa di integrazione delle cornici metodologiche e la sintesi del valore. Il Lazio occupa, nel panorama nazionale, una posizione peculiare e per molti versi paradossale: è la culla scientifica del modello — il modello dello psicologo nelle cure primarie è stato elaborato a Roma — ma, a differenza di altre regioni, non ha ancora una legge regionale che istituisca il servizio. Pendono in Consiglio una proposta di legge di iniziativa consiliare e una di iniziativa popolare di analogo oggetto, e la scorsa legislatura ha conosciuto una prima esperienza nei Punti Unici di Accesso, senza però che si sia approdati a una disciplina dedicata. La decisione rilevante non è dunque se il modello sia valido, né dove sia nato, ma se la regione che ne è la culla intenda finalmente istituirlo per legge e dimensionarlo a regime, colmando la distanza fra la paternità scientifica di un’idea e la sua realizzazione istituzionale, nella regione più popolosa dell’intera serie e fortemente concentrata sull’area metropolitana di Roma.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2076"/>
    <w:bookmarkStart w:id="2077" w:name="indice-generale-del-corpus-6"/>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038"/>
        <w:gridCol w:w="1038"/>
        <w:gridCol w:w="575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A.1-A.3</w:t>
            </w:r>
          </w:p>
        </w:tc>
        <w:tc>
          <w:tcPr/>
          <w:p>
            <w:pPr>
              <w:pStyle w:val="Compact"/>
              <w:spacing w:after="40" w:before="40"/>
              <w:jc w:val="left"/>
            </w:pPr>
            <w:r>
              <w:rPr>
                <w:rFonts w:ascii="Cambria" w:hAnsi="Cambria" w:cs="Cambria" w:eastAsia="Cambria"/>
                <w:color w:val="1A1A1A"/>
                <w:sz w:val="18"/>
              </w:rPr>
              <w:t xml:space="preserve">Quadro, quesito e metodo: scopo e quesito (PICOTS),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Problema di salute, bisogno e contesto: demografia, epidemiologia, domanda e offerta, disuguaglianze,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L’intervento e il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clinica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casi economico e finanziario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parametri, sensibilità, verifica empirica,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G.1-G.4</w:t>
            </w:r>
          </w:p>
        </w:tc>
        <w:tc>
          <w:tcPr/>
          <w:p>
            <w:pPr>
              <w:pStyle w:val="Compact"/>
              <w:spacing w:after="40" w:before="40"/>
              <w:jc w:val="left"/>
            </w:pPr>
            <w:r>
              <w:rPr>
                <w:rFonts w:ascii="Cambria" w:hAnsi="Cambria" w:cs="Cambria" w:eastAsia="Cambria"/>
                <w:color w:val="1A1A1A"/>
                <w:sz w:val="18"/>
              </w:rPr>
              <w:t xml:space="preserve">Equità e impatto distributivo: analisi di equità, assi territoriali, strumenti, costo-efficacia distributiva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H.1-H.4</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giuridico, organizzativo, etico, sintesi</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cinque casi, dimensionamento, cronoprogramma, sostenibilità, rischi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ex post: impianto, controfattuale prospettico, indicatori, cruscotto, sintesi</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M.1-M.5</w:t>
            </w:r>
          </w:p>
        </w:tc>
        <w:tc>
          <w:tcPr/>
          <w:p>
            <w:pPr>
              <w:pStyle w:val="Compact"/>
              <w:spacing w:after="40" w:before="40"/>
              <w:jc w:val="left"/>
            </w:pPr>
            <w:r>
              <w:rPr>
                <w:rFonts w:ascii="Cambria" w:hAnsi="Cambria" w:cs="Cambria" w:eastAsia="Cambria"/>
                <w:color w:val="1A1A1A"/>
                <w:sz w:val="18"/>
              </w:rPr>
              <w:t xml:space="preserve">Sintesi multidimensionale e raccomandazioni: sintesi per dominio, analisi multi-criterio, raccomandazioni, condizioni, conclusione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A</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tavola delle assunzioni e dei parametri</w:t>
            </w:r>
          </w:p>
        </w:tc>
      </w:tr>
      <w:tr>
        <w:tc>
          <w:tcPr/>
          <w:p>
            <w:pPr>
              <w:pStyle w:val="Compact"/>
              <w:spacing w:after="40" w:before="40"/>
              <w:jc w:val="left"/>
            </w:pPr>
            <w:r>
              <w:rPr>
                <w:rFonts w:ascii="Cambria" w:hAnsi="Cambria" w:cs="Cambria" w:eastAsia="Cambria"/>
                <w:b/>
                <w:bCs/>
                <w:color w:val="1A1A1A"/>
                <w:sz w:val="18"/>
              </w:rPr>
              <w:t xml:space="preserve">Appendice B</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Strumenti di esito e dataset minimo: questionari e dizionario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C</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Dati regionali e fonti: valori di ancoraggio e dati da acquisire</w:t>
            </w:r>
          </w:p>
        </w:tc>
      </w:tr>
      <w:tr>
        <w:tc>
          <w:tcPr/>
          <w:p>
            <w:pPr>
              <w:pStyle w:val="Compact"/>
              <w:spacing w:after="40" w:before="40"/>
              <w:jc w:val="left"/>
            </w:pPr>
            <w:r>
              <w:rPr>
                <w:rFonts w:ascii="Cambria" w:hAnsi="Cambria" w:cs="Cambria" w:eastAsia="Cambria"/>
                <w:b/>
                <w:bCs/>
                <w:color w:val="1A1A1A"/>
                <w:sz w:val="18"/>
              </w:rPr>
              <w:t xml:space="preserve">Appendice D</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Checklist di reporting: CHEERS, PRISMA, GRADE, STROBE, ISPOR-SMDM, OCSE-JRC</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2077"/>
    <w:bookmarkStart w:id="2078" w:name="la-mappa-di-integrazione-del-telaio-6"/>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87"/>
        <w:gridCol w:w="1208"/>
        <w:gridCol w:w="1745"/>
        <w:gridCol w:w="17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Parte</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HTA</w:t>
            </w:r>
          </w:p>
        </w:tc>
        <w:tc>
          <w:tcPr>
            <w:shd w:val="clear" w:color="auto" w:fill="16264B"/>
          </w:tcPr>
          <w:p>
            <w:pPr>
              <w:pStyle w:val="Compact"/>
              <w:spacing w:after="40" w:before="40"/>
              <w:jc w:val="left"/>
            </w:pPr>
            <w:r>
              <w:rPr>
                <w:rFonts w:ascii="Cambria" w:hAnsi="Cambria" w:cs="Cambria" w:eastAsia="Cambria"/>
                <w:b/>
                <w:bCs/>
                <w:color w:val="FFFFFF"/>
                <w:sz w:val="18"/>
              </w:rPr>
              <w:t xml:space="preserve">Caso (5CM)</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Criterio OCSE-DAC</w:t>
            </w:r>
          </w:p>
        </w:tc>
      </w:tr>
      <w:tr>
        <w:tc>
          <w:tcPr/>
          <w:p>
            <w:pPr>
              <w:pStyle w:val="Compact"/>
              <w:spacing w:after="40" w:before="40"/>
              <w:jc w:val="left"/>
            </w:pPr>
            <w:r>
              <w:rPr>
                <w:rFonts w:ascii="Cambria" w:hAnsi="Cambria" w:cs="Cambria" w:eastAsia="Cambria"/>
                <w:b/>
                <w:bCs/>
                <w:color w:val="1A1A1A"/>
                <w:sz w:val="18"/>
              </w:rPr>
              <w:t xml:space="preserve">A — Quadro e metodo</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Imposta la griglia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 — Bisogno e contesto</w:t>
            </w:r>
          </w:p>
        </w:tc>
        <w:tc>
          <w:tcPr>
            <w:shd w:val="clear" w:color="auto" w:fill="F4F1EC"/>
          </w:tcPr>
          <w:p>
            <w:pPr>
              <w:pStyle w:val="Compact"/>
              <w:spacing w:after="40" w:before="40"/>
              <w:jc w:val="left"/>
            </w:pPr>
            <w:r>
              <w:rPr>
                <w:rFonts w:ascii="Cambria" w:hAnsi="Cambria" w:cs="Cambria" w:eastAsia="Cambria"/>
                <w:color w:val="1A1A1A"/>
                <w:sz w:val="18"/>
              </w:rPr>
              <w:t xml:space="preserve">Dominio 1</w:t>
            </w:r>
          </w:p>
        </w:tc>
        <w:tc>
          <w:tcPr>
            <w:shd w:val="clear" w:color="auto" w:fill="F4F1EC"/>
          </w:tcPr>
          <w:p>
            <w:pPr>
              <w:pStyle w:val="Compact"/>
              <w:spacing w:after="40" w:before="40"/>
              <w:jc w:val="left"/>
            </w:pPr>
            <w:r>
              <w:rPr>
                <w:rFonts w:ascii="Cambria" w:hAnsi="Cambria" w:cs="Cambria" w:eastAsia="Cambria"/>
                <w:color w:val="1A1A1A"/>
                <w:sz w:val="18"/>
              </w:rPr>
              <w:t xml:space="preserve">Strategico</w:t>
            </w:r>
          </w:p>
        </w:tc>
        <w:tc>
          <w:tcPr>
            <w:shd w:val="clear" w:color="auto" w:fill="F4F1EC"/>
          </w:tcPr>
          <w:p>
            <w:pPr>
              <w:pStyle w:val="Compact"/>
              <w:spacing w:after="40" w:before="40"/>
              <w:jc w:val="left"/>
            </w:pPr>
            <w:r>
              <w:rPr>
                <w:rFonts w:ascii="Cambria" w:hAnsi="Cambria" w:cs="Cambria" w:eastAsia="Cambria"/>
                <w:color w:val="1A1A1A"/>
                <w:sz w:val="18"/>
              </w:rPr>
              <w:t xml:space="preserve">Rilevanza, coerenza</w:t>
            </w:r>
          </w:p>
        </w:tc>
      </w:tr>
      <w:tr>
        <w:tc>
          <w:tcPr/>
          <w:p>
            <w:pPr>
              <w:pStyle w:val="Compact"/>
              <w:spacing w:after="40" w:before="40"/>
              <w:jc w:val="left"/>
            </w:pPr>
            <w:r>
              <w:rPr>
                <w:rFonts w:ascii="Cambria" w:hAnsi="Cambria" w:cs="Cambria" w:eastAsia="Cambria"/>
                <w:b/>
                <w:bCs/>
                <w:color w:val="1A1A1A"/>
                <w:sz w:val="18"/>
              </w:rPr>
              <w:t xml:space="preserve">C — Intervento e modello</w:t>
            </w:r>
          </w:p>
        </w:tc>
        <w:tc>
          <w:tcPr/>
          <w:p>
            <w:pPr>
              <w:pStyle w:val="Compact"/>
              <w:spacing w:after="40" w:before="40"/>
              <w:jc w:val="left"/>
            </w:pPr>
            <w:r>
              <w:rPr>
                <w:rFonts w:ascii="Cambria" w:hAnsi="Cambria" w:cs="Cambria" w:eastAsia="Cambria"/>
                <w:color w:val="1A1A1A"/>
                <w:sz w:val="18"/>
              </w:rPr>
              <w:t xml:space="preserve">Domini 2–3</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 — Efficacia ed evidenza</w:t>
            </w:r>
          </w:p>
        </w:tc>
        <w:tc>
          <w:tcPr>
            <w:shd w:val="clear" w:color="auto" w:fill="F4F1EC"/>
          </w:tcPr>
          <w:p>
            <w:pPr>
              <w:pStyle w:val="Compact"/>
              <w:spacing w:after="40" w:before="40"/>
              <w:jc w:val="left"/>
            </w:pPr>
            <w:r>
              <w:rPr>
                <w:rFonts w:ascii="Cambria" w:hAnsi="Cambria" w:cs="Cambria" w:eastAsia="Cambria"/>
                <w:color w:val="1A1A1A"/>
                <w:sz w:val="18"/>
              </w:rPr>
              <w:t xml:space="preserve">Dominio 4</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Efficacia</w:t>
            </w:r>
          </w:p>
        </w:tc>
      </w:tr>
      <w:tr>
        <w:tc>
          <w:tcPr/>
          <w:p>
            <w:pPr>
              <w:pStyle w:val="Compact"/>
              <w:spacing w:after="40" w:before="40"/>
              <w:jc w:val="left"/>
            </w:pPr>
            <w:r>
              <w:rPr>
                <w:rFonts w:ascii="Cambria" w:hAnsi="Cambria" w:cs="Cambria" w:eastAsia="Cambria"/>
                <w:b/>
                <w:bCs/>
                <w:color w:val="1A1A1A"/>
                <w:sz w:val="18"/>
              </w:rPr>
              <w:t xml:space="preserve">E — Valutazione economica</w:t>
            </w:r>
          </w:p>
        </w:tc>
        <w:tc>
          <w:tcPr/>
          <w:p>
            <w:pPr>
              <w:pStyle w:val="Compact"/>
              <w:spacing w:after="40" w:before="40"/>
              <w:jc w:val="left"/>
            </w:pPr>
            <w:r>
              <w:rPr>
                <w:rFonts w:ascii="Cambria" w:hAnsi="Cambria" w:cs="Cambria" w:eastAsia="Cambria"/>
                <w:color w:val="1A1A1A"/>
                <w:sz w:val="18"/>
              </w:rPr>
              <w:t xml:space="preserve">Dominio 5</w:t>
            </w:r>
          </w:p>
        </w:tc>
        <w:tc>
          <w:tcPr/>
          <w:p>
            <w:pPr>
              <w:pStyle w:val="Compact"/>
              <w:spacing w:after="40" w:before="40"/>
              <w:jc w:val="left"/>
            </w:pPr>
            <w:r>
              <w:rPr>
                <w:rFonts w:ascii="Cambria" w:hAnsi="Cambria" w:cs="Cambria" w:eastAsia="Cambria"/>
                <w:color w:val="1A1A1A"/>
                <w:sz w:val="18"/>
              </w:rPr>
              <w:t xml:space="preserve">Economico, finanziario</w:t>
            </w:r>
          </w:p>
        </w:tc>
        <w:tc>
          <w:tcPr/>
          <w:p>
            <w:pPr>
              <w:pStyle w:val="Compact"/>
              <w:spacing w:after="40" w:before="40"/>
              <w:jc w:val="left"/>
            </w:pPr>
            <w:r>
              <w:rPr>
                <w:rFonts w:ascii="Cambria" w:hAnsi="Cambria" w:cs="Cambria" w:eastAsia="Cambria"/>
                <w:color w:val="1A1A1A"/>
                <w:sz w:val="18"/>
              </w:rPr>
              <w:t xml:space="preserve">Efficienza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 — 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Dominio 5</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Efficienza</w:t>
            </w:r>
          </w:p>
        </w:tc>
      </w:tr>
      <w:tr>
        <w:tc>
          <w:tcPr/>
          <w:p>
            <w:pPr>
              <w:pStyle w:val="Compact"/>
              <w:spacing w:after="40" w:before="40"/>
              <w:jc w:val="left"/>
            </w:pPr>
            <w:r>
              <w:rPr>
                <w:rFonts w:ascii="Cambria" w:hAnsi="Cambria" w:cs="Cambria" w:eastAsia="Cambria"/>
                <w:b/>
                <w:bCs/>
                <w:color w:val="1A1A1A"/>
                <w:sz w:val="18"/>
              </w:rPr>
              <w:t xml:space="preserve">G — Equità e impatto</w:t>
            </w:r>
          </w:p>
        </w:tc>
        <w:tc>
          <w:tcPr/>
          <w:p>
            <w:pPr>
              <w:pStyle w:val="Compact"/>
              <w:spacing w:after="40" w:before="40"/>
              <w:jc w:val="left"/>
            </w:pPr>
            <w:r>
              <w:rPr>
                <w:rFonts w:ascii="Cambria" w:hAnsi="Cambria" w:cs="Cambria" w:eastAsia="Cambria"/>
                <w:color w:val="1A1A1A"/>
                <w:sz w:val="18"/>
              </w:rPr>
              <w:t xml:space="preserve">Dominio 8</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Impatto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H — Profili etico/giuridico/organizz.</w:t>
            </w:r>
          </w:p>
        </w:tc>
        <w:tc>
          <w:tcPr>
            <w:shd w:val="clear" w:color="auto" w:fill="F4F1EC"/>
          </w:tcPr>
          <w:p>
            <w:pPr>
              <w:pStyle w:val="Compact"/>
              <w:spacing w:after="40" w:before="40"/>
              <w:jc w:val="left"/>
            </w:pPr>
            <w:r>
              <w:rPr>
                <w:rFonts w:ascii="Cambria" w:hAnsi="Cambria" w:cs="Cambria" w:eastAsia="Cambria"/>
                <w:color w:val="1A1A1A"/>
                <w:sz w:val="18"/>
              </w:rPr>
              <w:t xml:space="preserve">Domini 6, 7, 9</w:t>
            </w:r>
          </w:p>
        </w:tc>
        <w:tc>
          <w:tcPr>
            <w:shd w:val="clear" w:color="auto" w:fill="F4F1EC"/>
          </w:tcPr>
          <w:p>
            <w:pPr>
              <w:pStyle w:val="Compact"/>
              <w:spacing w:after="40" w:before="40"/>
              <w:jc w:val="left"/>
            </w:pPr>
            <w:r>
              <w:rPr>
                <w:rFonts w:ascii="Cambria" w:hAnsi="Cambria" w:cs="Cambria" w:eastAsia="Cambria"/>
                <w:color w:val="1A1A1A"/>
                <w:sz w:val="18"/>
              </w:rPr>
              <w:t xml:space="preserve">Gestionale</w:t>
            </w:r>
          </w:p>
        </w:tc>
        <w:tc>
          <w:tcPr>
            <w:shd w:val="clear" w:color="auto" w:fill="F4F1EC"/>
          </w:tcPr>
          <w:p>
            <w:pPr>
              <w:pStyle w:val="Compact"/>
              <w:spacing w:after="40" w:before="40"/>
              <w:jc w:val="left"/>
            </w:pPr>
            <w:r>
              <w:rPr>
                <w:rFonts w:ascii="Cambria" w:hAnsi="Cambria" w:cs="Cambria" w:eastAsia="Cambria"/>
                <w:color w:val="1A1A1A"/>
                <w:sz w:val="18"/>
              </w:rPr>
              <w:t xml:space="preserve">Coerenza</w:t>
            </w:r>
          </w:p>
        </w:tc>
      </w:tr>
      <w:tr>
        <w:tc>
          <w:tcPr/>
          <w:p>
            <w:pPr>
              <w:pStyle w:val="Compact"/>
              <w:spacing w:after="40" w:before="40"/>
              <w:jc w:val="left"/>
            </w:pPr>
            <w:r>
              <w:rPr>
                <w:rFonts w:ascii="Cambria" w:hAnsi="Cambria" w:cs="Cambria" w:eastAsia="Cambria"/>
                <w:b/>
                <w:bCs/>
                <w:color w:val="1A1A1A"/>
                <w:sz w:val="18"/>
              </w:rPr>
              <w:t xml:space="preserve">I — Attuazione e sostenibilità</w:t>
            </w:r>
          </w:p>
        </w:tc>
        <w:tc>
          <w:tcPr/>
          <w:p>
            <w:pPr>
              <w:pStyle w:val="Compact"/>
              <w:spacing w:after="40" w:before="40"/>
              <w:jc w:val="left"/>
            </w:pPr>
            <w:r>
              <w:rPr>
                <w:rFonts w:ascii="Cambria" w:hAnsi="Cambria" w:cs="Cambria" w:eastAsia="Cambria"/>
                <w:color w:val="1A1A1A"/>
                <w:sz w:val="18"/>
              </w:rPr>
              <w:t xml:space="preserve">Dominio 7</w:t>
            </w:r>
          </w:p>
        </w:tc>
        <w:tc>
          <w:tcPr/>
          <w:p>
            <w:pPr>
              <w:pStyle w:val="Compact"/>
              <w:spacing w:after="40" w:before="40"/>
              <w:jc w:val="left"/>
            </w:pPr>
            <w:r>
              <w:rPr>
                <w:rFonts w:ascii="Cambria" w:hAnsi="Cambria" w:cs="Cambria" w:eastAsia="Cambria"/>
                <w:color w:val="1A1A1A"/>
                <w:sz w:val="18"/>
              </w:rPr>
              <w:t xml:space="preserve">Commerciale, gestionale</w:t>
            </w:r>
          </w:p>
        </w:tc>
        <w:tc>
          <w:tcPr/>
          <w:p>
            <w:pPr>
              <w:pStyle w:val="Compact"/>
              <w:spacing w:after="40" w:before="40"/>
              <w:jc w:val="left"/>
            </w:pPr>
            <w:r>
              <w:rPr>
                <w:rFonts w:ascii="Cambria" w:hAnsi="Cambria" w:cs="Cambria" w:eastAsia="Cambria"/>
                <w:color w:val="1A1A1A"/>
                <w:sz w:val="18"/>
              </w:rPr>
              <w:t xml:space="preserve">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 — Monitoraggio ed ex post</w:t>
            </w:r>
          </w:p>
        </w:tc>
        <w:tc>
          <w:tcPr>
            <w:shd w:val="clear" w:color="auto" w:fill="F4F1EC"/>
          </w:tcPr>
          <w:p>
            <w:pPr>
              <w:pStyle w:val="Compact"/>
              <w:spacing w:after="40" w:before="40"/>
              <w:jc w:val="left"/>
            </w:pPr>
            <w:r>
              <w:rPr>
                <w:rFonts w:ascii="Cambria" w:hAnsi="Cambria" w:cs="Cambria" w:eastAsia="Cambria"/>
                <w:color w:val="1A1A1A"/>
                <w:sz w:val="18"/>
              </w:rPr>
              <w:t xml:space="preserve">Trasversale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Verifica ex post</w:t>
            </w:r>
          </w:p>
        </w:tc>
      </w:tr>
      <w:tr>
        <w:tc>
          <w:tcPr/>
          <w:p>
            <w:pPr>
              <w:pStyle w:val="Compact"/>
              <w:spacing w:after="40" w:before="40"/>
              <w:jc w:val="left"/>
            </w:pPr>
            <w:r>
              <w:rPr>
                <w:rFonts w:ascii="Cambria" w:hAnsi="Cambria" w:cs="Cambria" w:eastAsia="Cambria"/>
                <w:b/>
                <w:bCs/>
                <w:color w:val="1A1A1A"/>
                <w:sz w:val="18"/>
              </w:rPr>
              <w:t xml:space="preserve">M — Sintesi e raccomandazioni</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Tutti i criteri</w:t>
            </w:r>
          </w:p>
        </w:tc>
      </w:tr>
    </w:tbl>
    <w:p>
      <w:pPr>
        <w:pStyle w:val="BodyText"/>
      </w:pPr>
      <w:r>
        <w:rPr>
          <w:i/>
          <w:iCs/>
        </w:rPr>
        <w:t xml:space="preserve">Tabella 2. La mappa di integrazione delle quattro cornici, parte per parte.</w:t>
      </w:r>
    </w:p>
    <w:bookmarkEnd w:id="2078"/>
    <w:bookmarkStart w:id="2079" w:name="la-sintesi-del-valore-6"/>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il Lazio, regione dal saldo di mobilità passivo la cui fuga è però concentrata nell’alta complessità ospedaliera e chirurgica e non nella domanda psicologica territoriale, sicché il canale del recupero della mobilità è solo marginalmente pertinente a questo intervento — e il saldo complessivo, ampiamente positivo. La tabella seguente lo riepiloga.</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34</w:t>
            </w:r>
          </w:p>
        </w:tc>
        <w:tc>
          <w:tcPr/>
          <w:p>
            <w:pPr>
              <w:pStyle w:val="Compact"/>
              <w:spacing w:after="40" w:before="40"/>
              <w:jc w:val="left"/>
            </w:pPr>
            <w:r>
              <w:rPr>
                <w:rFonts w:ascii="Cambria" w:hAnsi="Cambria" w:cs="Cambria" w:eastAsia="Cambria"/>
                <w:color w:val="1A1A1A"/>
                <w:sz w:val="18"/>
              </w:rPr>
              <w:t xml:space="preserve">~ 51</w:t>
            </w:r>
          </w:p>
        </w:tc>
        <w:tc>
          <w:tcPr/>
          <w:p>
            <w:pPr>
              <w:pStyle w:val="Compact"/>
              <w:spacing w:after="40" w:before="40"/>
              <w:jc w:val="left"/>
            </w:pPr>
            <w:r>
              <w:rPr>
                <w:rFonts w:ascii="Cambria" w:hAnsi="Cambria" w:cs="Cambria" w:eastAsia="Cambria"/>
                <w:color w:val="1A1A1A"/>
                <w:sz w:val="18"/>
              </w:rPr>
              <w:t xml:space="preserve">~ 68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22</w:t>
            </w:r>
          </w:p>
        </w:tc>
        <w:tc>
          <w:tcPr>
            <w:shd w:val="clear" w:color="auto" w:fill="F4F1EC"/>
          </w:tcPr>
          <w:p>
            <w:pPr>
              <w:pStyle w:val="Compact"/>
              <w:spacing w:after="40" w:before="40"/>
              <w:jc w:val="left"/>
            </w:pPr>
            <w:r>
              <w:rPr>
                <w:rFonts w:ascii="Cambria" w:hAnsi="Cambria" w:cs="Cambria" w:eastAsia="Cambria"/>
                <w:color w:val="1A1A1A"/>
                <w:sz w:val="18"/>
              </w:rPr>
              <w:t xml:space="preserve">~ 34</w:t>
            </w:r>
          </w:p>
        </w:tc>
        <w:tc>
          <w:tcPr>
            <w:shd w:val="clear" w:color="auto" w:fill="F4F1EC"/>
          </w:tcPr>
          <w:p>
            <w:pPr>
              <w:pStyle w:val="Compact"/>
              <w:spacing w:after="40" w:before="40"/>
              <w:jc w:val="left"/>
            </w:pPr>
            <w:r>
              <w:rPr>
                <w:rFonts w:ascii="Cambria" w:hAnsi="Cambria" w:cs="Cambria" w:eastAsia="Cambria"/>
                <w:color w:val="1A1A1A"/>
                <w:sz w:val="18"/>
              </w:rPr>
              <w:t xml:space="preserve">~ 53</w:t>
            </w:r>
          </w:p>
        </w:tc>
      </w:tr>
      <w:tr>
        <w:tc>
          <w:tcPr/>
          <w:p>
            <w:pPr>
              <w:pStyle w:val="Compact"/>
              <w:spacing w:after="40" w:before="40"/>
              <w:jc w:val="left"/>
            </w:pPr>
            <w:r>
              <w:rPr>
                <w:rFonts w:ascii="Cambria" w:hAnsi="Cambria" w:cs="Cambria" w:eastAsia="Cambria"/>
                <w:b/>
                <w:bCs/>
                <w:color w:val="1A1A1A"/>
                <w:sz w:val="18"/>
              </w:rPr>
              <w:t xml:space="preserve">Ricadute economico-sociali</w:t>
            </w:r>
          </w:p>
        </w:tc>
        <w:tc>
          <w:tcPr/>
          <w:p>
            <w:pPr>
              <w:pStyle w:val="Compact"/>
              <w:spacing w:after="40" w:before="40"/>
              <w:jc w:val="left"/>
            </w:pPr>
            <w:r>
              <w:rPr>
                <w:rFonts w:ascii="Cambria" w:hAnsi="Cambria" w:cs="Cambria" w:eastAsia="Cambria"/>
                <w:color w:val="1A1A1A"/>
                <w:sz w:val="18"/>
              </w:rPr>
              <w:t xml:space="preserve">~ 110</w:t>
            </w:r>
          </w:p>
        </w:tc>
        <w:tc>
          <w:tcPr/>
          <w:p>
            <w:pPr>
              <w:pStyle w:val="Compact"/>
              <w:spacing w:after="40" w:before="40"/>
              <w:jc w:val="left"/>
            </w:pPr>
            <w:r>
              <w:rPr>
                <w:rFonts w:ascii="Cambria" w:hAnsi="Cambria" w:cs="Cambria" w:eastAsia="Cambria"/>
                <w:color w:val="1A1A1A"/>
                <w:sz w:val="18"/>
              </w:rPr>
              <w:t xml:space="preserve">~ 207</w:t>
            </w:r>
          </w:p>
        </w:tc>
        <w:tc>
          <w:tcPr/>
          <w:p>
            <w:pPr>
              <w:pStyle w:val="Compact"/>
              <w:spacing w:after="40" w:before="40"/>
              <w:jc w:val="left"/>
            </w:pPr>
            <w:r>
              <w:rPr>
                <w:rFonts w:ascii="Cambria" w:hAnsi="Cambria" w:cs="Cambria" w:eastAsia="Cambria"/>
                <w:color w:val="1A1A1A"/>
                <w:sz w:val="18"/>
              </w:rPr>
              <w:t xml:space="preserve">~ 320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−12</w:t>
            </w:r>
          </w:p>
        </w:tc>
        <w:tc>
          <w:tcPr>
            <w:shd w:val="clear" w:color="auto" w:fill="F4F1EC"/>
          </w:tcPr>
          <w:p>
            <w:pPr>
              <w:pStyle w:val="Compact"/>
              <w:spacing w:after="40" w:before="40"/>
              <w:jc w:val="left"/>
            </w:pPr>
            <w:r>
              <w:rPr>
                <w:rFonts w:ascii="Cambria" w:hAnsi="Cambria" w:cs="Cambria" w:eastAsia="Cambria"/>
                <w:color w:val="1A1A1A"/>
                <w:sz w:val="18"/>
              </w:rPr>
              <w:t xml:space="preserve">~ −17</w:t>
            </w:r>
          </w:p>
        </w:tc>
        <w:tc>
          <w:tcPr>
            <w:shd w:val="clear" w:color="auto" w:fill="F4F1EC"/>
          </w:tcPr>
          <w:p>
            <w:pPr>
              <w:pStyle w:val="Compact"/>
              <w:spacing w:after="40" w:before="40"/>
              <w:jc w:val="left"/>
            </w:pPr>
            <w:r>
              <w:rPr>
                <w:rFonts w:ascii="Cambria" w:hAnsi="Cambria" w:cs="Cambria" w:eastAsia="Cambria"/>
                <w:color w:val="1A1A1A"/>
                <w:sz w:val="18"/>
              </w:rPr>
              <w:t xml:space="preserve">~ −15</w:t>
            </w:r>
          </w:p>
        </w:tc>
      </w:tr>
      <w:tr>
        <w:tc>
          <w:tcPr/>
          <w:p>
            <w:pPr>
              <w:pStyle w:val="Compact"/>
              <w:spacing w:after="40" w:before="40"/>
              <w:jc w:val="left"/>
            </w:pPr>
            <w:r>
              <w:rPr>
                <w:rFonts w:ascii="Cambria" w:hAnsi="Cambria" w:cs="Cambria" w:eastAsia="Cambria"/>
                <w:b/>
                <w:bCs/>
                <w:color w:val="1A1A1A"/>
                <w:sz w:val="18"/>
              </w:rPr>
              <w:t xml:space="preserve">Saldo complessivo (caso economico)</w:t>
            </w:r>
          </w:p>
        </w:tc>
        <w:tc>
          <w:tcPr/>
          <w:p>
            <w:pPr>
              <w:pStyle w:val="Compact"/>
              <w:spacing w:after="40" w:before="40"/>
              <w:jc w:val="left"/>
            </w:pPr>
            <w:r>
              <w:rPr>
                <w:rFonts w:ascii="Cambria" w:hAnsi="Cambria" w:cs="Cambria" w:eastAsia="Cambria"/>
                <w:color w:val="1A1A1A"/>
                <w:sz w:val="18"/>
              </w:rPr>
              <w:t xml:space="preserve">+98</w:t>
            </w:r>
          </w:p>
        </w:tc>
        <w:tc>
          <w:tcPr/>
          <w:p>
            <w:pPr>
              <w:pStyle w:val="Compact"/>
              <w:spacing w:after="40" w:before="40"/>
              <w:jc w:val="left"/>
            </w:pPr>
            <w:r>
              <w:rPr>
                <w:rFonts w:ascii="Cambria" w:hAnsi="Cambria" w:cs="Cambria" w:eastAsia="Cambria"/>
                <w:color w:val="1A1A1A"/>
                <w:sz w:val="18"/>
              </w:rPr>
              <w:t xml:space="preserve">+190</w:t>
            </w:r>
          </w:p>
        </w:tc>
        <w:tc>
          <w:tcPr/>
          <w:p>
            <w:pPr>
              <w:pStyle w:val="Compact"/>
              <w:spacing w:after="40" w:before="40"/>
              <w:jc w:val="left"/>
            </w:pPr>
            <w:r>
              <w:rPr>
                <w:rFonts w:ascii="Cambria" w:hAnsi="Cambria" w:cs="Cambria" w:eastAsia="Cambria"/>
                <w:color w:val="1A1A1A"/>
                <w:sz w:val="18"/>
              </w:rPr>
              <w:t xml:space="preserve">+305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~3,9:1</w:t>
            </w:r>
          </w:p>
        </w:tc>
        <w:tc>
          <w:tcPr>
            <w:shd w:val="clear" w:color="auto" w:fill="F4F1EC"/>
          </w:tcPr>
          <w:p>
            <w:pPr>
              <w:pStyle w:val="Compact"/>
              <w:spacing w:after="40" w:before="40"/>
              <w:jc w:val="left"/>
            </w:pPr>
            <w:r>
              <w:rPr>
                <w:rFonts w:ascii="Cambria" w:hAnsi="Cambria" w:cs="Cambria" w:eastAsia="Cambria"/>
                <w:color w:val="1A1A1A"/>
                <w:sz w:val="18"/>
              </w:rPr>
              <w:t xml:space="preserve">~4,7:1</w:t>
            </w:r>
          </w:p>
        </w:tc>
        <w:tc>
          <w:tcPr>
            <w:shd w:val="clear" w:color="auto" w:fill="F4F1E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il Lazio, è approvare la legge istitutiva del servizio di psicologia di base e istituire il servizio ex novo, dotandolo dal principio di una forma stabile, di un rapporto convenzionale ben definito e di un dimensionamento adeguato, e procedere per gradi dalla prima fase di avvio — dell’ordine di 255 incarichi, corrispondente alla dotazione delle proposte di legge — verso la copertura sistematica, dell’ordine di 930 psicologi nello scenario di base e di 1.230 in quello espansivo. Il limite principale è il radicamento dei dati: le grandezze economiche sono in parte ricostruite a partire dai conti nazionali scalati per la quota di popolazione laziale, del 9,7%, e non estratte dai conti regionali certificati delle dieci Aziende Sanitarie Locali e delle aziende ospedaliero-universitarie; la loro sostituzione con dati certificati è la condizione per la presentazione agli organi di controllo, ed è nel Lazio, a differenza della Toscana, ancora non mitigata da dati operativi, poiché il servizio non è stato ancora istituito.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laziale. La condizione propria del Lazio — una regione che del modello è la culla scientifica ma che deve ancora istituirlo per legge — le conferisce un pregio metodologico peculiare: la possibilità di disegnare la valutazione controfattuale fin dalla legislazione, come un esperimento a cunei progressivi prospettico tra le dieci Aziende, il più pulito realizzabile nell’intera serie regionale, capace di rilevare una linea di base prima dell’avvio e di trasformare le stime in prove via via che il servizio si estende. Su questa base, e con la dichiarazione trasparente dei propri limiti, il corpus consegna al decisore un quadro completo e onesto su cui deliberare, e alla regione che il modello ha generato l’occasione di chiudere il cerchio fra l’idea e la sua istituzione.</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2079"/>
    <w:bookmarkStart w:id="2084" w:name="parte-a-quadro-quesito-e-metodo-8"/>
    <w:p>
      <w:pPr>
        <w:pStyle w:val="Heading2"/>
      </w:pPr>
      <w:r>
        <w:t xml:space="preserve">Parte A — Quadro, quesito e metodo</w:t>
      </w:r>
    </w:p>
    <w:p>
      <w:pPr>
        <w:pStyle w:val="FirstParagraph"/>
      </w:pPr>
      <w:r>
        <w:t xml:space="preserve">Questa è la prima parte dello studio integrale per il Lazio, che applica alla regione il telaio integrato sviluppato e validato per la Puglia e già esteso alla Lombardia, al Veneto, all’Emilia-Romagna, al Piemonte, alla Toscana e alla Liguria. L’architettura e il caso di riferimento sono i medesimi, e mutano soltanto i dati di ingresso, ancorati al Lazio.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delle altre Regioni della serie.</w:t>
      </w:r>
    </w:p>
    <w:bookmarkStart w:id="2081" w:name="X362ee757b6566556af1a92bde24045df8e02018"/>
    <w:p>
      <w:pPr>
        <w:pStyle w:val="Heading3"/>
      </w:pPr>
      <w:r>
        <w:t xml:space="preserve">A.1 Scopo, quesito di valutazione e standard adottati</w:t>
      </w:r>
    </w:p>
    <w:p>
      <w:pPr>
        <w:pStyle w:val="FirstParagraph"/>
      </w:pPr>
      <w:r>
        <w:t xml:space="preserve">Lo studio ha per oggetto il Servizio di Psicologia di Base nelle cure primarie del Lazio, inteso come istituzione e strutturazione a regime di una funzione che la regione non ha ancora istituito per legge, ma di cui è la culla accademica e per la quale sono oggi depositate una proposta di legge di iniziativa consiliare e una di iniziativa popolare.</w:t>
      </w:r>
      <w:r>
        <w:rPr>
          <w:rStyle w:val="FootnoteReference"/>
        </w:rPr>
        <w:footnoteReference w:id="2646"/>
      </w:r>
      <w:r>
        <w:t xml:space="preserve"> </w:t>
      </w:r>
      <w:r>
        <w:t xml:space="preserve">Ne valuta il valore nelle dimensioni clinica, economica, organizzativa, sociale, etica e giuridica, allo scopo di informare la decisione sull’approvazione della legge e sull’istituzione del servizio. La premessa che orienta l’intero studio è che la decisione rilevante, per il Lazio, non è strutturare a regime un servizio già esistente, ma istituirlo ex novo dotandolo dal principio di una forma stabile e di un dimensionamento adeguato, a fronte di un fabbisogno a regime stimato nell’ordine di 1.230 psicologi nello scenario espansivo. Lo studio fornisce gli elementi per quella decisione, non la sostituisce: ne misura le conseguenze attese in tre scenari di copertura, lasciando alla sede politica e di bilancio la scelta della scala. Va segnalato sin d’ora che la dotazione indicata dalle proposte di legge, dell’ordine di 14 milioni di euro l’anno, corrisponde a un punto d’ingresso iniziale, inferiore allo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1.150.000 persone, si somma un’utenza specialistica in carico ai servizi, in un quadro segnato da componenti convergenti — il disagio connesso al lavoro e alle condizioni di vita nella vasta area metropolitana romana, il disagio giovanile, il bisogno dell’età anziana accentuato nelle province interne e una rilevante dimensione multiculturale — cui si aggiunge la pressione delle liste di attesa.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laziali con bisogno psicologico comune, e in seconda istanza dall’intera popolazione per gli effetti di sistema. L’intervento è lo psicologo di base nelle cure primarie, come primo livello di ascolto, intercettazione precoce e filtro, istituito e portato a regime. Il confronto è la condizione attuale, nella quale il servizio non è ancora istituito per legge né strutturato a regime, e in cui sono in itinere le proposte di legge. Gli esiti sono clinici, economici, sociali e di sistema. I tempi distinguono l’orizzonte pluriennale degli esiti dall’orizzonte triennale-quinquennale del bilancio. Il contesto è il Servizio sanitario del Lazio, con le sue dieci Aziende Sanitarie Locali, le aziende ospedaliero-universitarie e gli IRCCS, e la rete delle Case della Comunità in costruzione. La tabella seguente riepiloga gli elementi del quesito.</w:t>
      </w:r>
    </w:p>
    <w:tbl>
      <w:tblPr>
        <w:tblStyle w:val="Table"/>
        <w:tblW w:type="pct" w:w="495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223"/>
        <w:gridCol w:w="662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il Lazio</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laziali con disagio psichico comune (~1.150.000);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Psicologo di base nelle cure primarie, primo livello e filtro, istituito e portato a regime (~620/930/1.230 incarichi); istituzione ex novo del servizio</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Condizione attuale: assenza di un servizio strutturato e di una legge dedicata; proposte di legge in itinere (iniziativa consiliare e popolare); pregressa esperienza nei Punti Unici di Accesso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liste di attesa)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Servizio sanitario regionale del Lazio; dieci Aziende Sanitarie Locali, aziende ospedaliero-universitarie e IRCCS, rete delle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2081"/>
    <w:bookmarkStart w:id="4430" w:name="a.2-il-caso-di-riferimento-e-i-metodi-8"/>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l’assenza del servizio strutturato come comparatore. Le unità di analisi sono la regione e, in disaggregazione, le Aziende Sanitarie Locali e i distretti, per dare conto anche dei divari territoriali interni, segnatamente fra l’area metropolitana romana e le province interne.</w:t>
      </w:r>
    </w:p>
    <w:tbl>
      <w:tblPr>
        <w:tblStyle w:val="Table"/>
        <w:tblW w:type="pct" w:w="493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82"/>
        <w:gridCol w:w="603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Condizione attuale, ovvero assenza di un servizio strutturato e di una legge dedicata, con proposte di legge in itinere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Regione, con disaggregazione per Azienda Sanitaria Locale e distretto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il Lazio, un rilievo particolare e di segno definito. Il profilo di mobilità è bidirezionale: la regione è al tempo stesso forte attrattore, trainata dalle grandi strutture romane, e fonte di una rilevante mobilità passiva, con un saldo netto negativo ma in miglioramento; poiché la fuga riguarda l’alta complessità ospedaliera e chirurgica, e non la domanda psicologica, il canale del recupero della mobilità non costituisce qui una leva di risparmio significativa per questo intervento. A ciò si aggiunge che il Lazio è in uscita da un lungo piano di rientro, con i conti riportati in attivo e l’autonomia fiscale recuperata, e ha dunque appena riacquistato margini di programmazione. Ne consegue che il saldo diretto risulta lievemente negativo e che il caso economico poggia in misura preponderante sulle ricadute sociali, che lo studio stima con criteri conservativi; in un contesto di liste di attesa,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 e che il Lazio, a differenza della Toscana, non dispone ancora di un servizio a regime che produca dati di esito propri.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il Lazio il disegno controfattuale assume una forma propria e particolarmente favorevole: poiché il servizio non è ancora attivo a regime, esso può essere progettato fin dall’inizio come un esperimento a cunei progressivi tra le dieci Aziende Sanitarie Locali, con l’effetto causale stimato dai metodi della differenza-nelle-differenze e del controllo sintetico. La tabella seguente colloca ciascuna metodologia nella sua sede.</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357"/>
        <w:gridCol w:w="30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generato oltre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 nel tempo</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Parte F</w:t>
            </w:r>
          </w:p>
        </w:tc>
        <w:tc>
          <w:tcPr/>
          <w:p>
            <w:pPr>
              <w:pStyle w:val="Compact"/>
              <w:spacing w:after="40" w:before="40"/>
              <w:jc w:val="left"/>
            </w:pPr>
            <w:r>
              <w:rPr>
                <w:rFonts w:ascii="Cambria" w:hAnsi="Cambria" w:cs="Cambria" w:eastAsia="Cambria"/>
                <w:color w:val="1A1A1A"/>
                <w:sz w:val="18"/>
              </w:rPr>
              <w:t xml:space="preserve">Governo dell’incertezza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w:t>
            </w:r>
          </w:p>
        </w:tc>
        <w:tc>
          <w:tcPr>
            <w:shd w:val="clear" w:color="auto" w:fill="F4F1EC"/>
          </w:tcPr>
          <w:p>
            <w:pPr>
              <w:pStyle w:val="Compact"/>
              <w:spacing w:after="40" w:before="40"/>
              <w:jc w:val="left"/>
            </w:pPr>
            <w:r>
              <w:rPr>
                <w:rFonts w:ascii="Cambria" w:hAnsi="Cambria" w:cs="Cambria" w:eastAsia="Cambria"/>
                <w:color w:val="1A1A1A"/>
                <w:sz w:val="18"/>
              </w:rPr>
              <w:t xml:space="preserve">Parte G</w:t>
            </w:r>
          </w:p>
        </w:tc>
        <w:tc>
          <w:tcPr>
            <w:shd w:val="clear" w:color="auto" w:fill="F4F1EC"/>
          </w:tcPr>
          <w:p>
            <w:pPr>
              <w:pStyle w:val="Compact"/>
              <w:spacing w:after="40" w:before="40"/>
              <w:jc w:val="left"/>
            </w:pPr>
            <w:r>
              <w:rPr>
                <w:rFonts w:ascii="Cambria" w:hAnsi="Cambria" w:cs="Cambria" w:eastAsia="Cambria"/>
                <w:color w:val="1A1A1A"/>
                <w:sz w:val="18"/>
              </w:rPr>
              <w:t xml:space="preserve">Misura dell’equità distributiva</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Parte L</w:t>
            </w:r>
          </w:p>
        </w:tc>
        <w:tc>
          <w:tcPr/>
          <w:p>
            <w:pPr>
              <w:pStyle w:val="Compact"/>
              <w:spacing w:after="40" w:before="40"/>
              <w:jc w:val="left"/>
            </w:pPr>
            <w:r>
              <w:rPr>
                <w:rFonts w:ascii="Cambria" w:hAnsi="Cambria" w:cs="Cambria" w:eastAsia="Cambria"/>
                <w:color w:val="1A1A1A"/>
                <w:sz w:val="18"/>
              </w:rPr>
              <w:t xml:space="preserve">Stima dell’effetto reale sul campo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sistema GRADE</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Fondazione e graduazione dell’evidenza</w:t>
            </w:r>
          </w:p>
        </w:tc>
      </w:tr>
      <w:tr>
        <w:tc>
          <w:tcPr/>
          <w:p>
            <w:pPr>
              <w:pStyle w:val="Compact"/>
              <w:spacing w:after="40" w:before="40"/>
              <w:jc w:val="left"/>
            </w:pPr>
            <w:r>
              <w:rPr>
                <w:rFonts w:ascii="Cambria" w:hAnsi="Cambria" w:cs="Cambria" w:eastAsia="Cambria"/>
                <w:b/>
                <w:bCs/>
                <w:color w:val="1A1A1A"/>
                <w:sz w:val="18"/>
              </w:rPr>
              <w:t xml:space="preserve">Analisi multi-criterio</w:t>
            </w:r>
          </w:p>
        </w:tc>
        <w:tc>
          <w:tcPr/>
          <w:p>
            <w:pPr>
              <w:pStyle w:val="Compact"/>
              <w:spacing w:after="40" w:before="40"/>
              <w:jc w:val="left"/>
            </w:pPr>
            <w:r>
              <w:rPr>
                <w:rFonts w:ascii="Cambria" w:hAnsi="Cambria" w:cs="Cambria" w:eastAsia="Cambria"/>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Composizione dei criteri non monetari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della regolamentazione</w:t>
            </w:r>
          </w:p>
        </w:tc>
        <w:tc>
          <w:tcPr>
            <w:shd w:val="clear" w:color="auto" w:fill="F4F1EC"/>
          </w:tcPr>
          <w:p>
            <w:pPr>
              <w:pStyle w:val="Compact"/>
              <w:spacing w:after="40" w:before="40"/>
              <w:jc w:val="left"/>
            </w:pPr>
            <w:r>
              <w:rPr>
                <w:rFonts w:ascii="Cambria" w:hAnsi="Cambria" w:cs="Cambria" w:eastAsia="Cambria"/>
                <w:color w:val="1A1A1A"/>
                <w:sz w:val="18"/>
              </w:rPr>
              <w:t xml:space="preserve">Parti H, L</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della norma ex ante ed ex post</w:t>
            </w:r>
          </w:p>
        </w:tc>
      </w:tr>
    </w:tbl>
    <w:p>
      <w:pPr>
        <w:pStyle w:val="BodyText"/>
      </w:pPr>
      <w:r>
        <w:rPr>
          <w:i/>
          <w:iCs/>
        </w:rPr>
        <w:t xml:space="preserve">Tabella A.3. Le dieci metodologie analitiche e la loro collocazione nello studio.</w:t>
      </w:r>
    </w:p>
    <w:bookmarkEnd w:id="4430"/>
    <w:bookmarkStart w:id="2083" w:name="X6c0bb0f28c1a94910208d9fd49faf01b52e48c5"/>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dieci Aziende Sanitarie Locali, le aziende ospedaliero-universitarie, i grandi IRCCS e policlinici, l’Ordine degli Psicologi del Lazio, le rappresentanze della medicina generale e della pediatria di libera scelta e gli atenei romani, primo fra tutti la Sapienza, nel cui ambito il modello è stato elaborato. A differenza del Veneto, il Lazio non dispone di un’azienda regionale unica di coordinamento, e a differenza della Toscana presenta una struttura ampia e policentrica: dieci Aziende Sanitarie Locali, sei nell’area metropolitana romana e quattro provinciali, affiancate da numerose aziende ospedaliere e IRCCS, con il coordinamento in capo alla Regione. Poiché il servizio non è ancora istituito, e la rete territoriale delle Case della Comunità è in costruzione, la sfida del governo è di istituire e dimensionare il servizio ex novo, garantendo l’omogeneità attuativa in un sistema esteso: è il tratto che distingue il Lazio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l’infrastruttura informatica regionale costituisce una base per 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 Lazio.</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disuguaglianze, flussi e cornice normativa</w:t>
      </w:r>
    </w:p>
    <w:p>
      <w:pPr>
        <w:pStyle w:val="BodyText"/>
      </w:pPr>
      <w:r>
        <w:t xml:space="preserve">Primo dominio dell’HTA · il problema di salute e il suo contesto</w:t>
      </w:r>
    </w:p>
    <w:bookmarkEnd w:id="2083"/>
    <w:bookmarkEnd w:id="2084"/>
    <w:bookmarkStart w:id="2091" w:name="X0166ead86f28ec0842f205e6121c9632f809a78"/>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Lazio.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Lazio: non un servizio già istituito da strutturare, ma un servizio ancora da istituire in una regione che ne è la culla scientifica, grande, policentrica e fortemente accentrata su Roma, e da poco uscita da un lungo piano di rientro.</w:t>
      </w:r>
    </w:p>
    <w:bookmarkStart w:id="2085" w:name="b.1-quadro-demografico-7"/>
    <w:p>
      <w:pPr>
        <w:pStyle w:val="Heading3"/>
      </w:pPr>
      <w:r>
        <w:t xml:space="preserve">B.1 Quadro demografico</w:t>
      </w:r>
    </w:p>
    <w:p>
      <w:pPr>
        <w:pStyle w:val="FirstParagraph"/>
      </w:pPr>
      <w:r>
        <w:t xml:space="preserve">Il Lazio conta 5.709.178 residenti, pari a circa il 9,7% della popolazione nazionale ed è la regione più popolosa tra quelle finora esaminate, in lieve calo per effetto di un saldo naturale fortemente negativo, solo in parte compensato dalle migrazioni. La struttura per età è in moderato invecchiamento, su valori inferiori a quelli delle regioni più anziane, ma con forti disomogeneità interne: più contenuto nell’area metropolitana, più marcato nelle province interne di Rieti e Viterbo. La componente straniera, pari all’11,4%, è superiore alla media nazionale ed è il flusso migratorio a sostenere la popolazione. La distribuzione è fortemente concentrata: la Città Metropolitana di Roma Capitale raccoglie circa tre quarti dei residenti, con una marcata polarità fra l’area metropolitana e le province interne in spopolamento. La tabella seguente ne riepiloga il profilo.</w:t>
      </w:r>
    </w:p>
    <w:tbl>
      <w:tblPr>
        <w:tblStyle w:val="Table"/>
        <w:tblW w:type="pct" w:w="493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39"/>
        <w:gridCol w:w="587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Lazio</w:t>
            </w:r>
          </w:p>
        </w:tc>
      </w:tr>
      <w:tr>
        <w:tc>
          <w:tcPr/>
          <w:p>
            <w:pPr>
              <w:pStyle w:val="Compact"/>
              <w:spacing w:after="40" w:before="40"/>
              <w:jc w:val="left"/>
            </w:pPr>
            <w:r>
              <w:rPr>
                <w:rFonts w:ascii="Cambria" w:hAnsi="Cambria" w:cs="Cambria" w:eastAsia="Cambria"/>
                <w:b/>
                <w:bCs/>
                <w:color w:val="1A1A1A"/>
                <w:sz w:val="18"/>
              </w:rPr>
              <w:t xml:space="preserve">Popolazione (Censimento 2024)</w:t>
            </w:r>
          </w:p>
        </w:tc>
        <w:tc>
          <w:tcPr/>
          <w:p>
            <w:pPr>
              <w:pStyle w:val="Compact"/>
              <w:spacing w:after="40" w:before="40"/>
              <w:jc w:val="left"/>
            </w:pPr>
            <w:r>
              <w:rPr>
                <w:rFonts w:ascii="Cambria" w:hAnsi="Cambria" w:cs="Cambria" w:eastAsia="Cambria"/>
                <w:color w:val="1A1A1A"/>
                <w:sz w:val="18"/>
              </w:rPr>
              <w:t xml:space="preserve">5.709.178 (~9,7% del totale nazionale); in lieve calo per saldo naturale negativo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Età media e invecchiamento</w:t>
            </w:r>
          </w:p>
        </w:tc>
        <w:tc>
          <w:tcPr>
            <w:shd w:val="clear" w:color="auto" w:fill="F4F1EC"/>
          </w:tcPr>
          <w:p>
            <w:pPr>
              <w:pStyle w:val="Compact"/>
              <w:spacing w:after="40" w:before="40"/>
              <w:jc w:val="left"/>
            </w:pPr>
            <w:r>
              <w:rPr>
                <w:rFonts w:ascii="Cambria" w:hAnsi="Cambria" w:cs="Cambria" w:eastAsia="Cambria"/>
                <w:color w:val="1A1A1A"/>
                <w:sz w:val="18"/>
              </w:rPr>
              <w:t xml:space="preserve">~ 46,7 anni, in crescita; più contenuto della media delle regioni anziane; marcato nelle province interne</w:t>
            </w:r>
          </w:p>
        </w:tc>
      </w:tr>
      <w:tr>
        <w:tc>
          <w:tcPr/>
          <w:p>
            <w:pPr>
              <w:pStyle w:val="Compact"/>
              <w:spacing w:after="40" w:before="40"/>
              <w:jc w:val="left"/>
            </w:pPr>
            <w:r>
              <w:rPr>
                <w:rFonts w:ascii="Cambria" w:hAnsi="Cambria" w:cs="Cambria" w:eastAsia="Cambria"/>
                <w:b/>
                <w:bCs/>
                <w:color w:val="1A1A1A"/>
                <w:sz w:val="18"/>
              </w:rPr>
              <w:t xml:space="preserve">Componente straniera</w:t>
            </w:r>
          </w:p>
        </w:tc>
        <w:tc>
          <w:tcPr/>
          <w:p>
            <w:pPr>
              <w:pStyle w:val="Compact"/>
              <w:spacing w:after="40" w:before="40"/>
              <w:jc w:val="left"/>
            </w:pPr>
            <w:r>
              <w:rPr>
                <w:rFonts w:ascii="Cambria" w:hAnsi="Cambria" w:cs="Cambria" w:eastAsia="Cambria"/>
                <w:color w:val="1A1A1A"/>
                <w:sz w:val="18"/>
              </w:rPr>
              <w:t xml:space="preserve">11,4% dei residenti, superiore alla media nazionale; sostiene la popolazione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Distribuzione territoriale</w:t>
            </w:r>
          </w:p>
        </w:tc>
        <w:tc>
          <w:tcPr>
            <w:shd w:val="clear" w:color="auto" w:fill="F4F1EC"/>
          </w:tcPr>
          <w:p>
            <w:pPr>
              <w:pStyle w:val="Compact"/>
              <w:spacing w:after="40" w:before="40"/>
              <w:jc w:val="left"/>
            </w:pPr>
            <w:r>
              <w:rPr>
                <w:rFonts w:ascii="Cambria" w:hAnsi="Cambria" w:cs="Cambria" w:eastAsia="Cambria"/>
                <w:color w:val="1A1A1A"/>
                <w:sz w:val="18"/>
              </w:rPr>
              <w:t xml:space="preserve">Città Metropolitana di Roma Capitale ~74%; Latina ~9,9%, Frosinone ~8,1%, Viterbo ~5,4%, Rieti ~2,6%</w:t>
            </w:r>
          </w:p>
        </w:tc>
      </w:tr>
      <w:tr>
        <w:tc>
          <w:tcPr/>
          <w:p>
            <w:pPr>
              <w:pStyle w:val="Compact"/>
              <w:spacing w:after="40" w:before="40"/>
              <w:jc w:val="left"/>
            </w:pPr>
            <w:r>
              <w:rPr>
                <w:rFonts w:ascii="Cambria" w:hAnsi="Cambria" w:cs="Cambria" w:eastAsia="Cambria"/>
                <w:b/>
                <w:bCs/>
                <w:color w:val="1A1A1A"/>
                <w:sz w:val="18"/>
              </w:rPr>
              <w:t xml:space="preserve">Profilo territoriale</w:t>
            </w:r>
          </w:p>
        </w:tc>
        <w:tc>
          <w:tcPr/>
          <w:p>
            <w:pPr>
              <w:pStyle w:val="Compact"/>
              <w:spacing w:after="40" w:before="40"/>
              <w:jc w:val="left"/>
            </w:pPr>
            <w:r>
              <w:rPr>
                <w:rFonts w:ascii="Cambria" w:hAnsi="Cambria" w:cs="Cambria" w:eastAsia="Cambria"/>
                <w:color w:val="1A1A1A"/>
                <w:sz w:val="18"/>
              </w:rPr>
              <w:t xml:space="preserve">Vasta area metropolitana con periferia ampia; province interne anziane e in spopolamento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Articolazione sanitaria</w:t>
            </w:r>
          </w:p>
        </w:tc>
        <w:tc>
          <w:tcPr>
            <w:shd w:val="clear" w:color="auto" w:fill="F4F1EC"/>
          </w:tcPr>
          <w:p>
            <w:pPr>
              <w:pStyle w:val="Compact"/>
              <w:spacing w:after="40" w:before="40"/>
              <w:jc w:val="left"/>
            </w:pPr>
            <w:r>
              <w:rPr>
                <w:rFonts w:ascii="Cambria" w:hAnsi="Cambria" w:cs="Cambria" w:eastAsia="Cambria"/>
                <w:color w:val="1A1A1A"/>
                <w:sz w:val="18"/>
              </w:rPr>
              <w:t xml:space="preserve">Dieci Aziende Sanitarie Locali, aziende ospedaliero-universitarie e IRCCS</w:t>
            </w:r>
          </w:p>
        </w:tc>
      </w:tr>
    </w:tbl>
    <w:p>
      <w:pPr>
        <w:pStyle w:val="BodyText"/>
      </w:pPr>
      <w:r>
        <w:rPr>
          <w:i/>
          <w:iCs/>
        </w:rPr>
        <w:t xml:space="preserve">Tabella B.1. Profilo demografico e socio-economico del Lazio.</w:t>
      </w:r>
    </w:p>
    <w:bookmarkEnd w:id="2085"/>
    <w:bookmarkStart w:id="2086" w:name="b.2-epidemiologia-del-bisogno-8"/>
    <w:p>
      <w:pPr>
        <w:pStyle w:val="Heading3"/>
      </w:pPr>
      <w:r>
        <w:t xml:space="preserve">B.2 Epidemiologia del bisogno</w:t>
      </w:r>
    </w:p>
    <w:p>
      <w:pPr>
        <w:pStyle w:val="FirstParagraph"/>
      </w:pPr>
      <w:r>
        <w:t xml:space="preserve">Il bisogno di salute mentale nel Lazio è ampio e sospinto da una popolazione numerosa e fortemente urbana. Proiettando i tassi di prevalenza nazionali, la quota di disagio psichico comune o sottosoglia si colloca nell’ordine di 1.150.000 persone, in larga parte non intercettate dall’offerta strutturata. A questa quota si somma un’ampia utenza specialistica in carico ai servizi, su un territorio che presenta una specificità unica: è la culla accademica del modello dello psicologo di base, elaborato a Roma. Tre componenti orientano la domanda. La prima è il disagio giovanile, in crescita. La seconda è il disagio connesso al lavoro nella vasta popolazione attiva metropolitana. La terza è il bisogno dell’età anziana, accentuato nelle province interne. È la combinazione — grande regione accentrata su Roma, culla scientifica del modello e posizione pre-legislativa — a distinguere il fabbisogno laziale. La pressione che ne deriva si riversa anche sul pronto soccorso, con accessi per cause psichiatriche significativi.</w:t>
      </w:r>
    </w:p>
    <w:bookmarkEnd w:id="2086"/>
    <w:bookmarkStart w:id="2087" w:name="b.3-domanda-offerta-e-gap-di-copertura-8"/>
    <w:p>
      <w:pPr>
        <w:pStyle w:val="Heading3"/>
      </w:pPr>
      <w:r>
        <w:t xml:space="preserve">B.3 Domanda, offerta e gap di copertura</w:t>
      </w:r>
    </w:p>
    <w:p>
      <w:pPr>
        <w:pStyle w:val="FirstParagraph"/>
      </w:pPr>
      <w:r>
        <w:t xml:space="preserve">Alla domanda descritta si contrappone, nel Lazio, un’offerta che presenta la fisionomia più arretrata della serie: il servizio di psicologia territoriale non è ancora istituito, e sono in itinere una proposta di legge di iniziativa consiliare e una di iniziativa popolare, con una dotazione stimata dell’ordine di 14 milioni di euro l’anno e un obiettivo di uno psicologo ogni quindicimila abitanti, mentre la pregressa esperienza nei Punti Unici di Accesso costituisce un precedente ma non un servizio a regime. Il fabbisogno a regime è stimato nell’ordine di 1.230 psicologi nello scenario espansivo, e l’Ordine professionale regionale ne sostiene l’approvazione. La copertura attuale è dunque pressoché nulla a regime, e la distanza dalla copertura adeguata è la più ampia dell’intera serie: non un servizio da strutturare, ma un servizio da istituire. La tabella seguente sintetizza domanda, offerta e divario.</w:t>
      </w:r>
    </w:p>
    <w:tbl>
      <w:tblPr>
        <w:tblStyle w:val="Table"/>
        <w:tblW w:type="pct" w:w="495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59"/>
        <w:gridCol w:w="578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Lazio</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1.150.000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in carico ai servizi di 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Ampia (alcune decine di migliaia, stima rapportata ai dati nazionali)</w:t>
            </w:r>
          </w:p>
        </w:tc>
      </w:tr>
      <w:tr>
        <w:tc>
          <w:tcPr/>
          <w:p>
            <w:pPr>
              <w:pStyle w:val="Compact"/>
              <w:spacing w:after="40" w:before="40"/>
              <w:jc w:val="left"/>
            </w:pPr>
            <w:r>
              <w:rPr>
                <w:rFonts w:ascii="Cambria" w:hAnsi="Cambria" w:cs="Cambria" w:eastAsia="Cambria"/>
                <w:b/>
                <w:bCs/>
                <w:color w:val="1A1A1A"/>
                <w:sz w:val="18"/>
              </w:rPr>
              <w:t xml:space="preserve">Offerta territoriale attuale</w:t>
            </w:r>
          </w:p>
        </w:tc>
        <w:tc>
          <w:tcPr/>
          <w:p>
            <w:pPr>
              <w:pStyle w:val="Compact"/>
              <w:spacing w:after="40" w:before="40"/>
              <w:jc w:val="left"/>
            </w:pPr>
            <w:r>
              <w:rPr>
                <w:rFonts w:ascii="Cambria" w:hAnsi="Cambria" w:cs="Cambria" w:eastAsia="Cambria"/>
                <w:color w:val="1A1A1A"/>
                <w:sz w:val="18"/>
              </w:rPr>
              <w:t xml:space="preserve">Servizio non ancora istituito; proposte di legge in itinere (iniziativa consiliare e popolare); pregressa esperienza nei Punti Unici di Accesso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Fabbisogno stimato a regime</w:t>
            </w:r>
          </w:p>
        </w:tc>
        <w:tc>
          <w:tcPr>
            <w:shd w:val="clear" w:color="auto" w:fill="F4F1EC"/>
          </w:tcPr>
          <w:p>
            <w:pPr>
              <w:pStyle w:val="Compact"/>
              <w:spacing w:after="40" w:before="40"/>
              <w:jc w:val="left"/>
            </w:pPr>
            <w:r>
              <w:rPr>
                <w:rFonts w:ascii="Cambria" w:hAnsi="Cambria" w:cs="Cambria" w:eastAsia="Cambria"/>
                <w:color w:val="1A1A1A"/>
                <w:sz w:val="18"/>
              </w:rPr>
              <w:t xml:space="preserve">~ 1.230 psicologi nello scenario espansivo (620–930 negli altri scenari)</w:t>
            </w:r>
          </w:p>
        </w:tc>
      </w:tr>
      <w:tr>
        <w:tc>
          <w:tcPr/>
          <w:p>
            <w:pPr>
              <w:pStyle w:val="Compact"/>
              <w:spacing w:after="40" w:before="40"/>
              <w:jc w:val="left"/>
            </w:pPr>
            <w:r>
              <w:rPr>
                <w:rFonts w:ascii="Cambria" w:hAnsi="Cambria" w:cs="Cambria" w:eastAsia="Cambria"/>
                <w:b/>
                <w:bCs/>
                <w:color w:val="1A1A1A"/>
                <w:sz w:val="18"/>
              </w:rPr>
              <w:t xml:space="preserve">Copertura attuale del fabbisogno</w:t>
            </w:r>
          </w:p>
        </w:tc>
        <w:tc>
          <w:tcPr/>
          <w:p>
            <w:pPr>
              <w:pStyle w:val="Compact"/>
              <w:spacing w:after="40" w:before="40"/>
              <w:jc w:val="left"/>
            </w:pPr>
            <w:r>
              <w:rPr>
                <w:rFonts w:ascii="Cambria" w:hAnsi="Cambria" w:cs="Cambria" w:eastAsia="Cambria"/>
                <w:color w:val="1A1A1A"/>
                <w:sz w:val="18"/>
              </w:rPr>
              <w:t xml:space="preserve">Pressoché nulla a regime; la distanza più ampia della serie</w:t>
            </w:r>
          </w:p>
        </w:tc>
      </w:tr>
    </w:tbl>
    <w:p>
      <w:pPr>
        <w:pStyle w:val="BodyText"/>
      </w:pPr>
      <w:r>
        <w:rPr>
          <w:i/>
          <w:iCs/>
        </w:rPr>
        <w:t xml:space="preserve">Tabella B.2. Domanda, offerta e gap di copertura.</w:t>
      </w:r>
    </w:p>
    <w:bookmarkEnd w:id="2087"/>
    <w:bookmarkStart w:id="2088" w:name="X32b3c7d4607a824c012ea61e7145f9b95b64a86"/>
    <w:p>
      <w:pPr>
        <w:pStyle w:val="Heading3"/>
      </w:pPr>
      <w:r>
        <w:t xml:space="preserve">B.4 Disuguaglianze e divari territoriali</w:t>
      </w:r>
    </w:p>
    <w:p>
      <w:pPr>
        <w:pStyle w:val="FirstParagraph"/>
      </w:pPr>
      <w:r>
        <w:t xml:space="preserve">La dimensione distributiva del bisogno, nel Lazio, si gioca su due assi. Il primo è interno alla vasta area metropolitana romana, fra il centro e una periferia ampia che presenta sacche di deprivazione e difficoltà di accesso. Il secondo separa l’area metropolitana dalle province interne — Rieti e Viterbo in particolare — anziane, disperse e in spopolamento, dove la rarefazione dei servizi e le distanze acuiscono gli ostacoli all’accesso. Su questi divari il servizio di psicologia di base agisce in funzione di equità: avvicina l’offerta alle aree interne e alle periferie mediante la telepsicologia assistita — dove la sola presenza di un primo livello accessibile è già un atto di riequilibrio — e, assorbendo a monte la domanda appropriata, libera capacità specialistica e contribuisce a contenere i tempi di attesa.</w:t>
      </w:r>
    </w:p>
    <w:bookmarkEnd w:id="2088"/>
    <w:bookmarkStart w:id="2089" w:name="b.5-i-servizi-e-i-flussi-8"/>
    <w:p>
      <w:pPr>
        <w:pStyle w:val="Heading3"/>
      </w:pPr>
      <w:r>
        <w:t xml:space="preserve">B.5 I servizi e i flussi</w:t>
      </w:r>
    </w:p>
    <w:p>
      <w:pPr>
        <w:pStyle w:val="FirstParagraph"/>
      </w:pPr>
      <w:r>
        <w:t xml:space="preserve">Il Servizio sanitario del Lazio dispone di risorse complessive dell’ordine di 12–13 miliardi di euro; la Regione è in uscita da un piano di rientro durato dal 2007, con i conti riportati in attivo e l’autonomia fiscale recuperata, e ha dunque appena riacquistato margini di programmazione, pur con fragilità residue nei tempi di pagamento di alcune Aziende. Il profilo di mobilità è bidirezionale: il Lazio è al tempo stesso forte attrattore, trainato dalle grandi strutture romane, e fonte di una rilevante mobilità passiva, con un saldo netto negativo ma in miglioramento; poiché la fuga riguarda l’alta complessità ospedaliera e chirurgica, il canale del recupero della mobilità è solo marginalmente pertinente a questo intervento. L’architettura dei servizi poggia su dieci Aziende Sanitarie Locali — sei nell’area metropolitana romana e quattro provinciali — su numerose aziende ospedaliero-universitarie e IRCCS, e su una rete territoriale di Case della Comunità in costruzione, su cui il servizio andrà innestato. La tabella seguente riepiloga le grandezze di sistema rilevanti.</w:t>
      </w:r>
    </w:p>
    <w:tbl>
      <w:tblPr>
        <w:tblStyle w:val="Table"/>
        <w:tblW w:type="pct" w:w="495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56"/>
        <w:gridCol w:w="609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il Lazio</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w:t>
            </w:r>
          </w:p>
        </w:tc>
        <w:tc>
          <w:tcPr/>
          <w:p>
            <w:pPr>
              <w:pStyle w:val="Compact"/>
              <w:spacing w:after="40" w:before="40"/>
              <w:jc w:val="left"/>
            </w:pPr>
            <w:r>
              <w:rPr>
                <w:rFonts w:ascii="Cambria" w:hAnsi="Cambria" w:cs="Cambria" w:eastAsia="Cambria"/>
                <w:color w:val="1A1A1A"/>
                <w:sz w:val="18"/>
              </w:rPr>
              <w:t xml:space="preserve">~ 12–13 miliardi di euro; in uscita dal piano di rientro 2007–2025; conti in attivo; autonomia fiscale recuperata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Profilo bidirezionale (forte attrattore e rilevante fuga); saldo netto negativo ma in miglioramento; canale marginale come leva per questo intervento (fuga ospedaliera e chirurgica)</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Accessi per cause psichiatriche significativi (alcune decine di migliaia l’anno, stima rapportata ai dati nazionali)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Architettura dei servizi</w:t>
            </w:r>
          </w:p>
        </w:tc>
        <w:tc>
          <w:tcPr>
            <w:shd w:val="clear" w:color="auto" w:fill="F4F1EC"/>
          </w:tcPr>
          <w:p>
            <w:pPr>
              <w:pStyle w:val="Compact"/>
              <w:spacing w:after="40" w:before="40"/>
              <w:jc w:val="left"/>
            </w:pPr>
            <w:r>
              <w:rPr>
                <w:rFonts w:ascii="Cambria" w:hAnsi="Cambria" w:cs="Cambria" w:eastAsia="Cambria"/>
                <w:color w:val="1A1A1A"/>
                <w:sz w:val="18"/>
              </w:rPr>
              <w:t xml:space="preserve">Dieci Aziende Sanitarie Locali, aziende ospedaliero-universitarie e IRCCS; rete delle Case della Comunità in costruzione; nessuna azienda regionale unica</w:t>
            </w:r>
          </w:p>
        </w:tc>
      </w:tr>
      <w:tr>
        <w:tc>
          <w:tcPr/>
          <w:p>
            <w:pPr>
              <w:pStyle w:val="Compact"/>
              <w:spacing w:after="40" w:before="40"/>
              <w:jc w:val="left"/>
            </w:pPr>
            <w:r>
              <w:rPr>
                <w:rFonts w:ascii="Cambria" w:hAnsi="Cambria" w:cs="Cambria" w:eastAsia="Cambria"/>
                <w:b/>
                <w:bCs/>
                <w:color w:val="1A1A1A"/>
                <w:sz w:val="18"/>
              </w:rPr>
              <w:t xml:space="preserve">Margine di azione principale</w:t>
            </w:r>
          </w:p>
        </w:tc>
        <w:tc>
          <w:tcPr/>
          <w:p>
            <w:pPr>
              <w:pStyle w:val="Compact"/>
              <w:spacing w:after="40" w:before="40"/>
              <w:jc w:val="left"/>
            </w:pPr>
            <w:r>
              <w:rPr>
                <w:rFonts w:ascii="Cambria" w:hAnsi="Cambria" w:cs="Cambria" w:eastAsia="Cambria"/>
                <w:color w:val="1A1A1A"/>
                <w:sz w:val="18"/>
              </w:rPr>
              <w:t xml:space="preserve">Istituzione del servizio, liste di attesa, accesso delle periferie e delle aree interne, intercettazione precoce della domanda</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2089"/>
    <w:bookmarkStart w:id="2090" w:name="Xa19023d8135fd18b40abc093f459d0d724d56db"/>
    <w:p>
      <w:pPr>
        <w:pStyle w:val="Heading3"/>
      </w:pPr>
      <w:r>
        <w:t xml:space="preserve">B.6 La cornice normativa e programmatica</w:t>
      </w:r>
    </w:p>
    <w:p>
      <w:pPr>
        <w:pStyle w:val="FirstParagraph"/>
      </w:pPr>
      <w:r>
        <w:t xml:space="preserve">La decisione si colloca entro una cornice peculiare: il Lazio non dispone ancora di una legge regionale dedicata, ma di proposte in itinere — una di iniziativa consiliare e una di iniziativa popolare — di analogo oggetto, accompagnate dall’Ordine professionale e radicate nella tradizione scientifica del modello, nato nella regione. La cornice include il Decreto Ministeriale 77/2022 sugli standard dell’assistenza territoriale e il Piano regionale di azioni per la salute mentale; sul piano nazionale, il testo unificato in discussione alla Camera, il Piano Nazionale per la Salute Mentale e la sentenza della Corte Costituzionale n. 241 del 2021, che ha delimitato la competenza regionale in materia. La decisione rilevante, in questo contesto, non è strutturare a regime una funzione già istituita, ma approvare la legge e istituire il servizio: è il tema che le parti successive sviluppano, a partire dalla definizione dell’intervento e del suo modello, oggetto della Parte C.</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modello organizzativo, percorso clinico, sistema informativo, strumenti digitali e formazione</w:t>
      </w:r>
    </w:p>
    <w:p>
      <w:pPr>
        <w:pStyle w:val="BodyText"/>
      </w:pPr>
      <w:r>
        <w:t xml:space="preserve">Secondo dominio dell’HTA · la descrizione della tecnologia</w:t>
      </w:r>
    </w:p>
    <w:bookmarkEnd w:id="2090"/>
    <w:bookmarkEnd w:id="2091"/>
    <w:bookmarkStart w:id="4431" w:name="parte-c-lintervento-e-il-suo-modello-7"/>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Lazio emerge con nettezza: l’intervento non è da strutturare, ma da istituire ex novo, in una regione che ne è però la culla scientifica e che può perciò progettarne fin dall’inizio il modello, il sistema informativo e il monitoraggio.</w:t>
      </w:r>
    </w:p>
    <w:bookmarkStart w:id="4432" w:name="Xc637cc9dcf9e6228635d0be70a1d7ae4808b19b"/>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1.150.000 persone con disagio comune. La tabella seguente ne espone gli anelli.</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27"/>
        <w:gridCol w:w="567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il Lazio</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1.150.000 persone con disagio comune, in larga parte non intercettato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Psicologo nelle cure primarie: intercettazione precoce, intervento breve, filtro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liste di attesa ridotte</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e minor carico familiare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4432"/>
    <w:bookmarkStart w:id="4433" w:name="c.2-il-modello-organizzativo-8"/>
    <w:p>
      <w:pPr>
        <w:pStyle w:val="Heading3"/>
      </w:pPr>
      <w:r>
        <w:t xml:space="preserve">C.2 Il modello organizzativo</w:t>
      </w:r>
    </w:p>
    <w:p>
      <w:pPr>
        <w:pStyle w:val="FirstParagraph"/>
      </w:pPr>
      <w:r>
        <w:t xml:space="preserve">Il modello organizzativo colloca lo psicologo di base nelle Case della Comunità, in collaborazione con i medici di medicina generale, i pediatri di libera scelta e i Centri di Salute Mentale, secondo l’impianto delle proposte di legge in itinere, che prevedono uno psicologo ogni quindicimila abitanti. Il Lazio presenta qui una specificità: il servizio va istituito ex novo nelle dieci Aziende Sanitarie Locali. A differenza del Veneto, la regione non dispone di un’azienda regionale unica, e il coordinamento è in capo alla Regione, sicché garantire l’omogeneità attuativa in un sistema esteso e policentrico — sei Aziende metropolitane e quattro provinciali — è la sfida organizzativa principale. La rete territoriale delle Case della Comunità, in costruzione, è l’infrastruttura su cui il servizio andrà innestato. Il funzionamento segue il principio dell’intensità crescente: l’intervento parte dal livello meno intensivo appropriato e cresce solo se necessario, con criteri espliciti di passaggio di livello e di invio.</w:t>
      </w:r>
    </w:p>
    <w:bookmarkEnd w:id="4433"/>
    <w:bookmarkStart w:id="4434" w:name="Xb59f22ec79b74e3b1925ddc203125a10b9db0a3"/>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poggia su un modello clinico elaborato proprio nella regione.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43"/>
        <w:gridCol w:w="56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4434"/>
    <w:bookmarkStart w:id="2095" w:name="X6eaa3ad85998d1e615eb27e3ffa989b40606497"/>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assenza di un’azienda regionale unica, il coordinamento informativo è in capo alla Regione, che ne deve assicurare l’uniformità fra le dieci Aziende. La raccolta sistematica e completa dei dati di processo e di esito non è un adempimento accessorio, ma il presupposto della clausola valutativa e del disegno controfattuale; su questo terreno il Lazio dispone del vantaggio più netto della serie: poiché il servizio non è ancora attivo, il flusso informativo può essere progettato fin dal primo giorno in modo completo e uniforme, senza dover recuperare a posteriori dati frammentari.</w:t>
      </w:r>
    </w:p>
    <w:bookmarkEnd w:id="2095"/>
    <w:bookmarkStart w:id="4435" w:name="X2bb97deb8b82854579dc263dd056c8f45b936de"/>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 Lazio, lo strumento per garantire l’accesso nella vasta periferia metropolitana e nelle province interne,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2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64"/>
        <w:gridCol w:w="3361"/>
        <w:gridCol w:w="188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 e telemonitoraggio</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periferie e nelle aree interne; continuità</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bookmarkEnd w:id="4435"/>
    <w:bookmarkStart w:id="2097" w:name="c.6-la-formazione-e-le-competenze-8"/>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romani, primo fra tutti la Sapienza, nel cui ambito il modello è stato elaborato, e inoltre Tor Vergata, Roma Tre, Cattolica e Campus Bio-Medico; il livello post-universitario specialistico attraverso una formazione dedicata alla psicologia di base e alle cure primarie, comprensiva della competenza per l’età anziana, per le aree interne e della competenza culturale per l’utenza straniera;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La radice accademica del modello nella regione costituisce, per il Lazio, una base formativa peculiare. Definiti l’intervento e il suo modello, la parte che segue ne esamina l’efficacia e l’evidenza.</w:t>
      </w:r>
    </w:p>
    <w:tbl>
      <w:tblPr>
        <w:tblStyle w:val="Table"/>
        <w:tblW w:type="pct" w:w="496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284"/>
        <w:gridCol w:w="4128"/>
        <w:gridCol w:w="244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Atenei romani (Sapienza, Tor Vergata, Roma Tre, Cattolica, Campus Bio-Medico)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di base e cure primarie: modelli organizzativi, collaborazione, misure di esito, competenza per l’età anziana e culturale</w:t>
            </w:r>
          </w:p>
        </w:tc>
        <w:tc>
          <w:tcPr>
            <w:shd w:val="clear" w:color="auto" w:fill="F4F1EC"/>
          </w:tcPr>
          <w:p>
            <w:pPr>
              <w:pStyle w:val="Compact"/>
              <w:spacing w:after="40" w:before="40"/>
              <w:jc w:val="left"/>
            </w:pPr>
            <w:r>
              <w:rPr>
                <w:rFonts w:ascii="Cambria" w:hAnsi="Cambria" w:cs="Cambria" w:eastAsia="Cambria"/>
                <w:color w:val="1A1A1A"/>
                <w:sz w:val="18"/>
              </w:rPr>
              <w:t xml:space="preserve">Formazione dedicata</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Tutor aziendali;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2097"/>
    <w:bookmarkEnd w:id="4431"/>
    <w:bookmarkStart w:id="4436" w:name="parte-d-efficacia-clinica-ed-evidenza-3"/>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il Lazio presenta un tratto peculiare. La parte espone il metodo della revisione e i risultati di efficacia (capitolo D.1); ne gradua la qualità e ne dichiara una cautela economica essenziale (D.2); presenta i benchmark internazionali (D.3); e discute le esperienze italiane, la trasferibilità e l’evidenza locale laziale (D.4). Quest’ultima presenta una doppia natura: da un lato il Lazio è la radice italiana del modello, dall’altro non dispone ancora di un servizio attivo a regime, sicché lo studio si fonda, per l’efficacia, sui benchmark internazionali, sulla tradizione scientifica del modello nella regione e sul disegno valutativo prospettico.</w:t>
      </w:r>
    </w:p>
    <w:bookmarkStart w:id="2099" w:name="X65760e1883e1458ddba44fbf261c11ca9346d3d"/>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2099"/>
    <w:bookmarkStart w:id="2100" w:name="Xb13061d94875924c3856eab17a50b4e8a9d7c12"/>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laziale, ne corrobora la coerenza interna, poiché il caso economico del Lazio — come si vedrà nella Parte E — è fondato anch’esso sulle ricadute sociali, e non su un risparmio diretto che la regione non potrebbe rivendicare con certezza statistica.</w:t>
      </w:r>
    </w:p>
    <w:bookmarkEnd w:id="2100"/>
    <w:bookmarkStart w:id="2101" w:name="d.3-i-benchmark-internazionali-7"/>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493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53"/>
        <w:gridCol w:w="2688"/>
        <w:gridCol w:w="308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Risultati principali</w:t>
            </w:r>
          </w:p>
        </w:tc>
      </w:tr>
      <w:tr>
        <w:tc>
          <w:tcPr/>
          <w:p>
            <w:pPr>
              <w:pStyle w:val="Compact"/>
              <w:spacing w:after="40" w:before="40"/>
              <w:jc w:val="left"/>
            </w:pPr>
            <w:r>
              <w:rPr>
                <w:rFonts w:ascii="Cambria" w:hAnsi="Cambria" w:cs="Cambria" w:eastAsia="Cambria"/>
                <w:b/>
                <w:bCs/>
                <w:color w:val="1A1A1A"/>
                <w:sz w:val="18"/>
              </w:rPr>
              <w:t xml:space="preserve">Regno Unito (NHS Talking Therapies)</w:t>
            </w:r>
          </w:p>
        </w:tc>
        <w:tc>
          <w:tcPr/>
          <w:p>
            <w:pPr>
              <w:pStyle w:val="Compact"/>
              <w:spacing w:after="40" w:before="40"/>
              <w:jc w:val="left"/>
            </w:pPr>
            <w:r>
              <w:rPr>
                <w:rFonts w:ascii="Cambria" w:hAnsi="Cambria" w:cs="Cambria" w:eastAsia="Cambria"/>
                <w:color w:val="1A1A1A"/>
                <w:sz w:val="18"/>
              </w:rPr>
              <w:t xml:space="preserve">Servizio integrato a intensità crescente</w:t>
            </w:r>
          </w:p>
        </w:tc>
        <w:tc>
          <w:tcPr/>
          <w:p>
            <w:pPr>
              <w:pStyle w:val="Compact"/>
              <w:spacing w:after="40" w:before="40"/>
              <w:jc w:val="left"/>
            </w:pPr>
            <w:r>
              <w:rPr>
                <w:rFonts w:ascii="Cambria" w:hAnsi="Cambria" w:cs="Cambria" w:eastAsia="Cambria"/>
                <w:color w:val="1A1A1A"/>
                <w:sz w:val="18"/>
              </w:rPr>
              <w:t xml:space="preserve">Recupero ~50%; monitoraggio esiti &gt;98%; &gt;1,3 milioni/anno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Paesi Bassi (POH-GGZ)</w:t>
            </w:r>
          </w:p>
        </w:tc>
        <w:tc>
          <w:tcPr>
            <w:shd w:val="clear" w:color="auto" w:fill="F4F1EC"/>
          </w:tcPr>
          <w:p>
            <w:pPr>
              <w:pStyle w:val="Compact"/>
              <w:spacing w:after="40" w:before="40"/>
              <w:jc w:val="left"/>
            </w:pPr>
            <w:r>
              <w:rPr>
                <w:rFonts w:ascii="Cambria" w:hAnsi="Cambria" w:cs="Cambria" w:eastAsia="Cambria"/>
                <w:color w:val="1A1A1A"/>
                <w:sz w:val="18"/>
              </w:rPr>
              <w:t xml:space="preserve">Supporto psicologico nello studio del medico di base</w:t>
            </w:r>
          </w:p>
        </w:tc>
        <w:tc>
          <w:tcPr>
            <w:shd w:val="clear" w:color="auto" w:fill="F4F1EC"/>
          </w:tcPr>
          <w:p>
            <w:pPr>
              <w:pStyle w:val="Compact"/>
              <w:spacing w:after="40" w:before="40"/>
              <w:jc w:val="left"/>
            </w:pPr>
            <w:r>
              <w:rPr>
                <w:rFonts w:ascii="Cambria" w:hAnsi="Cambria" w:cs="Cambria" w:eastAsia="Cambria"/>
                <w:color w:val="1A1A1A"/>
                <w:sz w:val="18"/>
              </w:rPr>
              <w:t xml:space="preserve">Adozione da ~tre quarti dei medici; ruolo complementare</w:t>
            </w:r>
          </w:p>
        </w:tc>
      </w:tr>
      <w:tr>
        <w:tc>
          <w:tcPr/>
          <w:p>
            <w:pPr>
              <w:pStyle w:val="Compact"/>
              <w:spacing w:after="40" w:before="40"/>
              <w:jc w:val="left"/>
            </w:pPr>
            <w:r>
              <w:rPr>
                <w:rFonts w:ascii="Cambria" w:hAnsi="Cambria" w:cs="Cambria" w:eastAsia="Cambria"/>
                <w:b/>
                <w:bCs/>
                <w:color w:val="1A1A1A"/>
                <w:sz w:val="18"/>
              </w:rPr>
              <w:t xml:space="preserve">Australia (Better Access)</w:t>
            </w:r>
          </w:p>
        </w:tc>
        <w:tc>
          <w:tcPr/>
          <w:p>
            <w:pPr>
              <w:pStyle w:val="Compact"/>
              <w:spacing w:after="40" w:before="40"/>
              <w:jc w:val="left"/>
            </w:pPr>
            <w:r>
              <w:rPr>
                <w:rFonts w:ascii="Cambria" w:hAnsi="Cambria" w:cs="Cambria" w:eastAsia="Cambria"/>
                <w:color w:val="1A1A1A"/>
                <w:sz w:val="18"/>
              </w:rPr>
              <w:t xml:space="preserve">Invio esterno a professionisti</w:t>
            </w:r>
          </w:p>
        </w:tc>
        <w:tc>
          <w:tcPr/>
          <w:p>
            <w:pPr>
              <w:pStyle w:val="Compact"/>
              <w:spacing w:after="40" w:before="40"/>
              <w:jc w:val="left"/>
            </w:pPr>
            <w:r>
              <w:rPr>
                <w:rFonts w:ascii="Cambria" w:hAnsi="Cambria" w:cs="Cambria" w:eastAsia="Cambria"/>
                <w:color w:val="1A1A1A"/>
                <w:sz w:val="18"/>
              </w:rPr>
              <w:t xml:space="preserve">Popolazione in trattamento dal 35% al 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Stati Uniti (Collaborative Care)</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 con monitoraggio</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2101"/>
    <w:bookmarkStart w:id="2102" w:name="X94c1ef46fcc4ec97fc7ea693ace526cce3cd18f"/>
    <w:p>
      <w:pPr>
        <w:pStyle w:val="Heading3"/>
      </w:pPr>
      <w:r>
        <w:t xml:space="preserve">D.4 Le esperienze italiane, la trasferibilità e l’evidenza locale</w:t>
      </w:r>
    </w:p>
    <w:p>
      <w:pPr>
        <w:pStyle w:val="FirstParagraph"/>
      </w:pPr>
      <w:r>
        <w:t xml:space="preserve">Sul piano nazionale, il modello dell’integrazione psicologica nelle cure primarie ha una radice italiana proprio nel Lazio, dove è stato elaborato a Roma e dove la scorsa legislatura ha conosciuto una prima esperienza nei Punti Unici di Accesso; a ciò si aggiungono i servizi avviati nelle regioni dotate di una legge dedicata, mentre i dati delle sperimentazioni storiche derivano da campioni limitati e in parte da letteratura grigia, e vanno assunti con cautela. Più in generale, i risultati internazionali provengono da sistemi diversi per organizzazione e finanziamento, e la loro trasposizione richiede validazione locale, evitando di trasferire meccanicamente le stime, soprattutto quelle economiche. È qui che la posizione del Lazio presenta una doppia natura, da dichiarare con franchezza: la regione è la radice scientifica del modello, ma a differenza della Toscana non dispone di un servizio attivo a regime e non ha quindi dati di esito propri attuali, sicché l’evidenza locale è allo stato prospettica. Ciò non costituisce, tuttavia, soltanto un limite: pur non disponendo di dati operativi attuali, il Lazio presenta un terreno favorevole alla valutazione — la tradizione scientifica del modello, l’infrastruttura informatica regionale, la rete delle Case della Comunità in costruzione — e gode del vantaggio di poter disegnare la valutazione fin dall’istituzione del servizio, generando un’evidenza locale solida e non soltanto importata.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2102"/>
    <w:bookmarkEnd w:id="4436"/>
    <w:bookmarkStart w:id="4437" w:name="parte-e-valutazione-economica-2"/>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 Lazio.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il Lazio il risultato si lascia anticipare in una formula: il caso finanziario diretto è di modesto disavanzo, il caso economico complessivo è fortemente positivo, e il valore dell’intervento risiede nelle ricadute sociali.</w:t>
      </w:r>
    </w:p>
    <w:bookmarkStart w:id="2104" w:name="e.1-limpianto-e-il-costo-del-servizio-1"/>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incarico dell’ordine di 55.000 euro comprensivo degli oneri, è dell’ordine di 34 milioni di euro nello scenario conservativo, 51 milioni in quello di base e 68 milioni in quello espansivo. I tre scenari rappresentano gradi crescenti di copertura verso il fabbisogno pieno; va ribadito che la dotazione delle proposte di legge in itinere, dell’ordine di 14 milioni di euro l’anno, corrisponde a un punto d’ingresso iniziale inferiore allo stesso scenario conservativo, e non al regime qui considerato. La tabella seguente riepiloga il costo del servizio per scenario.</w:t>
      </w:r>
    </w:p>
    <w:tbl>
      <w:tblPr>
        <w:tblStyle w:val="Table"/>
        <w:tblW w:type="pct" w:w="48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54"/>
        <w:gridCol w:w="1851"/>
        <w:gridCol w:w="1851"/>
        <w:gridCol w:w="20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w:t>
            </w:r>
          </w:p>
        </w:tc>
        <w:tc>
          <w:tcPr>
            <w:shd w:val="clear" w:color="auto" w:fill="16264B"/>
          </w:tcPr>
          <w:p>
            <w:pPr>
              <w:pStyle w:val="Compact"/>
              <w:spacing w:after="40" w:before="40"/>
              <w:jc w:val="left"/>
            </w:pPr>
            <w:r>
              <w:rPr>
                <w:rFonts w:ascii="Cambria" w:hAnsi="Cambria" w:cs="Cambria" w:eastAsia="Cambria"/>
                <w:b/>
                <w:bCs/>
                <w:color w:val="FFFFFF"/>
                <w:sz w:val="18"/>
              </w:rPr>
              <w:t xml:space="preserve">Quota del FSR</w:t>
            </w:r>
          </w:p>
        </w:tc>
      </w:tr>
      <w:tr>
        <w:tc>
          <w:tcPr/>
          <w:p>
            <w:pPr>
              <w:pStyle w:val="Compact"/>
              <w:spacing w:after="40" w:before="40"/>
              <w:jc w:val="left"/>
            </w:pPr>
            <w:r>
              <w:rPr>
                <w:rFonts w:ascii="Cambria" w:hAnsi="Cambria" w:cs="Cambria" w:eastAsia="Cambria"/>
                <w:b/>
                <w:bCs/>
                <w:color w:val="1A1A1A"/>
                <w:sz w:val="18"/>
              </w:rPr>
              <w:t xml:space="preserve">Conservativo</w:t>
            </w:r>
          </w:p>
        </w:tc>
        <w:tc>
          <w:tcPr/>
          <w:p>
            <w:pPr>
              <w:pStyle w:val="Compact"/>
              <w:spacing w:after="40" w:before="40"/>
              <w:jc w:val="left"/>
            </w:pPr>
            <w:r>
              <w:rPr>
                <w:rFonts w:ascii="Cambria" w:hAnsi="Cambria" w:cs="Cambria" w:eastAsia="Cambria"/>
                <w:color w:val="1A1A1A"/>
                <w:sz w:val="18"/>
              </w:rPr>
              <w:t xml:space="preserve">~ 620</w:t>
            </w:r>
          </w:p>
        </w:tc>
        <w:tc>
          <w:tcPr/>
          <w:p>
            <w:pPr>
              <w:pStyle w:val="Compact"/>
              <w:spacing w:after="40" w:before="40"/>
              <w:jc w:val="left"/>
            </w:pPr>
            <w:r>
              <w:rPr>
                <w:rFonts w:ascii="Cambria" w:hAnsi="Cambria" w:cs="Cambria" w:eastAsia="Cambria"/>
                <w:color w:val="1A1A1A"/>
                <w:sz w:val="18"/>
              </w:rPr>
              <w:t xml:space="preserve">~ 34 milioni</w:t>
            </w:r>
          </w:p>
        </w:tc>
        <w:tc>
          <w:tcPr/>
          <w:p>
            <w:pPr>
              <w:pStyle w:val="Compact"/>
              <w:spacing w:after="40" w:before="40"/>
              <w:jc w:val="left"/>
            </w:pPr>
            <w:r>
              <w:rPr>
                <w:rFonts w:ascii="Cambria" w:hAnsi="Cambria" w:cs="Cambria" w:eastAsia="Cambria"/>
                <w:color w:val="1A1A1A"/>
                <w:sz w:val="18"/>
              </w:rPr>
              <w:t xml:space="preserve">~ 0,3%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Base</w:t>
            </w:r>
          </w:p>
        </w:tc>
        <w:tc>
          <w:tcPr>
            <w:shd w:val="clear" w:color="auto" w:fill="F4F1EC"/>
          </w:tcPr>
          <w:p>
            <w:pPr>
              <w:pStyle w:val="Compact"/>
              <w:spacing w:after="40" w:before="40"/>
              <w:jc w:val="left"/>
            </w:pPr>
            <w:r>
              <w:rPr>
                <w:rFonts w:ascii="Cambria" w:hAnsi="Cambria" w:cs="Cambria" w:eastAsia="Cambria"/>
                <w:color w:val="1A1A1A"/>
                <w:sz w:val="18"/>
              </w:rPr>
              <w:t xml:space="preserve">~ 930</w:t>
            </w:r>
          </w:p>
        </w:tc>
        <w:tc>
          <w:tcPr>
            <w:shd w:val="clear" w:color="auto" w:fill="F4F1EC"/>
          </w:tcPr>
          <w:p>
            <w:pPr>
              <w:pStyle w:val="Compact"/>
              <w:spacing w:after="40" w:before="40"/>
              <w:jc w:val="left"/>
            </w:pPr>
            <w:r>
              <w:rPr>
                <w:rFonts w:ascii="Cambria" w:hAnsi="Cambria" w:cs="Cambria" w:eastAsia="Cambria"/>
                <w:color w:val="1A1A1A"/>
                <w:sz w:val="18"/>
              </w:rPr>
              <w:t xml:space="preserve">~ 51 milioni</w:t>
            </w:r>
          </w:p>
        </w:tc>
        <w:tc>
          <w:tcPr>
            <w:shd w:val="clear" w:color="auto" w:fill="F4F1EC"/>
          </w:tcPr>
          <w:p>
            <w:pPr>
              <w:pStyle w:val="Compact"/>
              <w:spacing w:after="40" w:before="40"/>
              <w:jc w:val="left"/>
            </w:pPr>
            <w:r>
              <w:rPr>
                <w:rFonts w:ascii="Cambria" w:hAnsi="Cambria" w:cs="Cambria" w:eastAsia="Cambria"/>
                <w:color w:val="1A1A1A"/>
                <w:sz w:val="18"/>
              </w:rPr>
              <w:t xml:space="preserve">~ 0,4%</w:t>
            </w:r>
          </w:p>
        </w:tc>
      </w:tr>
      <w:tr>
        <w:tc>
          <w:tcPr/>
          <w:p>
            <w:pPr>
              <w:pStyle w:val="Compact"/>
              <w:spacing w:after="40" w:before="40"/>
              <w:jc w:val="left"/>
            </w:pPr>
            <w:r>
              <w:rPr>
                <w:rFonts w:ascii="Cambria" w:hAnsi="Cambria" w:cs="Cambria" w:eastAsia="Cambria"/>
                <w:b/>
                <w:bCs/>
                <w:color w:val="1A1A1A"/>
                <w:sz w:val="18"/>
              </w:rPr>
              <w:t xml:space="preserve">Espansivo</w:t>
            </w:r>
          </w:p>
        </w:tc>
        <w:tc>
          <w:tcPr/>
          <w:p>
            <w:pPr>
              <w:pStyle w:val="Compact"/>
              <w:spacing w:after="40" w:before="40"/>
              <w:jc w:val="left"/>
            </w:pPr>
            <w:r>
              <w:rPr>
                <w:rFonts w:ascii="Cambria" w:hAnsi="Cambria" w:cs="Cambria" w:eastAsia="Cambria"/>
                <w:color w:val="1A1A1A"/>
                <w:sz w:val="18"/>
              </w:rPr>
              <w:t xml:space="preserve">~ 1.230</w:t>
            </w:r>
          </w:p>
        </w:tc>
        <w:tc>
          <w:tcPr/>
          <w:p>
            <w:pPr>
              <w:pStyle w:val="Compact"/>
              <w:spacing w:after="40" w:before="40"/>
              <w:jc w:val="left"/>
            </w:pPr>
            <w:r>
              <w:rPr>
                <w:rFonts w:ascii="Cambria" w:hAnsi="Cambria" w:cs="Cambria" w:eastAsia="Cambria"/>
                <w:color w:val="1A1A1A"/>
                <w:sz w:val="18"/>
              </w:rPr>
              <w:t xml:space="preserve">~ 68 milioni</w:t>
            </w:r>
          </w:p>
        </w:tc>
        <w:tc>
          <w:tcPr/>
          <w:p>
            <w:pPr>
              <w:pStyle w:val="Compact"/>
              <w:spacing w:after="40" w:before="40"/>
              <w:jc w:val="left"/>
            </w:pPr>
            <w:r>
              <w:rPr>
                <w:rFonts w:ascii="Cambria" w:hAnsi="Cambria" w:cs="Cambria" w:eastAsia="Cambria"/>
                <w:color w:val="1A1A1A"/>
                <w:sz w:val="18"/>
              </w:rPr>
              <w:t xml:space="preserve">~ 0,5%</w:t>
            </w:r>
          </w:p>
        </w:tc>
      </w:tr>
    </w:tbl>
    <w:p>
      <w:pPr>
        <w:pStyle w:val="BodyText"/>
      </w:pPr>
      <w:r>
        <w:rPr>
          <w:i/>
          <w:iCs/>
        </w:rPr>
        <w:t xml:space="preserve">Tabella E.1. Il costo del servizio a regime nei tre scenari di copertura.</w:t>
      </w:r>
    </w:p>
    <w:bookmarkEnd w:id="2104"/>
    <w:bookmarkStart w:id="2105" w:name="X735ec70f89810b4a31342975f04c339145d285e"/>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4, 6 e 8 milioni di euro l’anno nei tre scenari. Il secondo è la riduzione della spesa farmaceutica inappropriata, dell’ordine di 4, 7 e 11 milioni. Il terzo, il più consistente, è la riduzione di ricoveri evitabili e di specialistica impropria, dell’ordine di 12, 19 e 32 milioni. Il quarto, il recupero della mobilità, è per il Lazio soltanto marginale e simbolico, dell’ordine di 2 milioni in tutti gli scenari: benché la regione abbia un saldo di mobilità passivo, la fuga riguarda l’alta complessità ospedaliera e chirurgica, non la domanda psicologica delle cure primarie. La somma dei quattro canali è dell’ordine di 22, 34 e 53 milioni di euro l’anno, e determina, a fronte del costo del servizio, un saldo diretto lievemente negativo, dell’ordine di −12, −17 e −15 milioni. La tabella seguente dettaglia i canali del risparmio diretto.</w:t>
      </w:r>
    </w:p>
    <w:tbl>
      <w:tblPr>
        <w:tblStyle w:val="Table"/>
        <w:tblW w:type="pct" w:w="489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454"/>
        <w:gridCol w:w="1454"/>
        <w:gridCol w:w="14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Accessi impropri al pronto soccorso</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6</w:t>
            </w:r>
          </w:p>
        </w:tc>
        <w:tc>
          <w:tcPr/>
          <w:p>
            <w:pPr>
              <w:pStyle w:val="Compact"/>
              <w:spacing w:after="40" w:before="40"/>
              <w:jc w:val="left"/>
            </w:pPr>
            <w:r>
              <w:rPr>
                <w:rFonts w:ascii="Cambria" w:hAnsi="Cambria" w:cs="Cambria" w:eastAsia="Cambria"/>
                <w:color w:val="1A1A1A"/>
                <w:sz w:val="18"/>
              </w:rPr>
              <w:t xml:space="preserve">~ 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Spesa farmaceutica inappropriata</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7</w:t>
            </w:r>
          </w:p>
        </w:tc>
        <w:tc>
          <w:tcPr>
            <w:shd w:val="clear" w:color="auto" w:fill="F4F1EC"/>
          </w:tcPr>
          <w:p>
            <w:pPr>
              <w:pStyle w:val="Compact"/>
              <w:spacing w:after="40" w:before="40"/>
              <w:jc w:val="left"/>
            </w:pPr>
            <w:r>
              <w:rPr>
                <w:rFonts w:ascii="Cambria" w:hAnsi="Cambria" w:cs="Cambria" w:eastAsia="Cambria"/>
                <w:color w:val="1A1A1A"/>
                <w:sz w:val="18"/>
              </w:rPr>
              <w:t xml:space="preserve">~ 11</w:t>
            </w:r>
          </w:p>
        </w:tc>
      </w:tr>
      <w:tr>
        <w:tc>
          <w:tcPr/>
          <w:p>
            <w:pPr>
              <w:pStyle w:val="Compact"/>
              <w:spacing w:after="40" w:before="40"/>
              <w:jc w:val="left"/>
            </w:pPr>
            <w:r>
              <w:rPr>
                <w:rFonts w:ascii="Cambria" w:hAnsi="Cambria" w:cs="Cambria" w:eastAsia="Cambria"/>
                <w:b/>
                <w:bCs/>
                <w:color w:val="1A1A1A"/>
                <w:sz w:val="18"/>
              </w:rPr>
              <w:t xml:space="preserve">Ricoveri evitabili e specialistica</w:t>
            </w:r>
          </w:p>
        </w:tc>
        <w:tc>
          <w:tcPr/>
          <w:p>
            <w:pPr>
              <w:pStyle w:val="Compact"/>
              <w:spacing w:after="40" w:before="40"/>
              <w:jc w:val="left"/>
            </w:pPr>
            <w:r>
              <w:rPr>
                <w:rFonts w:ascii="Cambria" w:hAnsi="Cambria" w:cs="Cambria" w:eastAsia="Cambria"/>
                <w:color w:val="1A1A1A"/>
                <w:sz w:val="18"/>
              </w:rPr>
              <w:t xml:space="preserve">~ 12</w:t>
            </w:r>
          </w:p>
        </w:tc>
        <w:tc>
          <w:tcPr/>
          <w:p>
            <w:pPr>
              <w:pStyle w:val="Compact"/>
              <w:spacing w:after="40" w:before="40"/>
              <w:jc w:val="left"/>
            </w:pPr>
            <w:r>
              <w:rPr>
                <w:rFonts w:ascii="Cambria" w:hAnsi="Cambria" w:cs="Cambria" w:eastAsia="Cambria"/>
                <w:color w:val="1A1A1A"/>
                <w:sz w:val="18"/>
              </w:rPr>
              <w:t xml:space="preserve">~ 19</w:t>
            </w:r>
          </w:p>
        </w:tc>
        <w:tc>
          <w:tcPr/>
          <w:p>
            <w:pPr>
              <w:pStyle w:val="Compact"/>
              <w:spacing w:after="40" w:before="40"/>
              <w:jc w:val="left"/>
            </w:pPr>
            <w:r>
              <w:rPr>
                <w:rFonts w:ascii="Cambria" w:hAnsi="Cambria" w:cs="Cambria" w:eastAsia="Cambria"/>
                <w:color w:val="1A1A1A"/>
                <w:sz w:val="18"/>
              </w:rPr>
              <w:t xml:space="preserve">~ 32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Recupero della mobilità (marginale)</w:t>
            </w:r>
          </w:p>
        </w:tc>
        <w:tc>
          <w:tcPr>
            <w:shd w:val="clear" w:color="auto" w:fill="F4F1EC"/>
          </w:tcPr>
          <w:p>
            <w:pPr>
              <w:pStyle w:val="Compact"/>
              <w:spacing w:after="40" w:before="40"/>
              <w:jc w:val="left"/>
            </w:pPr>
            <w:r>
              <w:rPr>
                <w:rFonts w:ascii="Cambria" w:hAnsi="Cambria" w:cs="Cambria" w:eastAsia="Cambria"/>
                <w:color w:val="1A1A1A"/>
                <w:sz w:val="18"/>
              </w:rPr>
              <w:t xml:space="preserve">~ 2</w:t>
            </w:r>
          </w:p>
        </w:tc>
        <w:tc>
          <w:tcPr>
            <w:shd w:val="clear" w:color="auto" w:fill="F4F1EC"/>
          </w:tcPr>
          <w:p>
            <w:pPr>
              <w:pStyle w:val="Compact"/>
              <w:spacing w:after="40" w:before="40"/>
              <w:jc w:val="left"/>
            </w:pPr>
            <w:r>
              <w:rPr>
                <w:rFonts w:ascii="Cambria" w:hAnsi="Cambria" w:cs="Cambria" w:eastAsia="Cambria"/>
                <w:color w:val="1A1A1A"/>
                <w:sz w:val="18"/>
              </w:rPr>
              <w:t xml:space="preserve">~ 2</w:t>
            </w:r>
          </w:p>
        </w:tc>
        <w:tc>
          <w:tcPr>
            <w:shd w:val="clear" w:color="auto" w:fill="F4F1EC"/>
          </w:tcPr>
          <w:p>
            <w:pPr>
              <w:pStyle w:val="Compact"/>
              <w:spacing w:after="40" w:before="40"/>
              <w:jc w:val="left"/>
            </w:pPr>
            <w:r>
              <w:rPr>
                <w:rFonts w:ascii="Cambria" w:hAnsi="Cambria" w:cs="Cambria" w:eastAsia="Cambria"/>
                <w:color w:val="1A1A1A"/>
                <w:sz w:val="18"/>
              </w:rPr>
              <w:t xml:space="preserve">~ 2</w:t>
            </w:r>
          </w:p>
        </w:tc>
      </w:tr>
      <w:tr>
        <w:tc>
          <w:tcPr/>
          <w:p>
            <w:pPr>
              <w:pStyle w:val="Compact"/>
              <w:spacing w:after="40" w:before="40"/>
              <w:jc w:val="left"/>
            </w:pPr>
            <w:r>
              <w:rPr>
                <w:rFonts w:ascii="Cambria" w:hAnsi="Cambria" w:cs="Cambria" w:eastAsia="Cambria"/>
                <w:b/>
                <w:bCs/>
                <w:color w:val="1A1A1A"/>
                <w:sz w:val="18"/>
              </w:rPr>
              <w:t xml:space="preserve">Totale risparmi diretti</w:t>
            </w:r>
          </w:p>
        </w:tc>
        <w:tc>
          <w:tcPr/>
          <w:p>
            <w:pPr>
              <w:pStyle w:val="Compact"/>
              <w:spacing w:after="40" w:before="40"/>
              <w:jc w:val="left"/>
            </w:pPr>
            <w:r>
              <w:rPr>
                <w:rFonts w:ascii="Cambria" w:hAnsi="Cambria" w:cs="Cambria" w:eastAsia="Cambria"/>
                <w:color w:val="1A1A1A"/>
                <w:sz w:val="18"/>
              </w:rPr>
              <w:t xml:space="preserve">~ 22</w:t>
            </w:r>
          </w:p>
        </w:tc>
        <w:tc>
          <w:tcPr/>
          <w:p>
            <w:pPr>
              <w:pStyle w:val="Compact"/>
              <w:spacing w:after="40" w:before="40"/>
              <w:jc w:val="left"/>
            </w:pPr>
            <w:r>
              <w:rPr>
                <w:rFonts w:ascii="Cambria" w:hAnsi="Cambria" w:cs="Cambria" w:eastAsia="Cambria"/>
                <w:color w:val="1A1A1A"/>
                <w:sz w:val="18"/>
              </w:rPr>
              <w:t xml:space="preserve">~ 34</w:t>
            </w:r>
          </w:p>
        </w:tc>
        <w:tc>
          <w:tcPr/>
          <w:p>
            <w:pPr>
              <w:pStyle w:val="Compact"/>
              <w:spacing w:after="40" w:before="40"/>
              <w:jc w:val="left"/>
            </w:pPr>
            <w:r>
              <w:rPr>
                <w:rFonts w:ascii="Cambria" w:hAnsi="Cambria" w:cs="Cambria" w:eastAsia="Cambria"/>
                <w:color w:val="1A1A1A"/>
                <w:sz w:val="18"/>
              </w:rPr>
              <w:t xml:space="preserve">~ 53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34</w:t>
            </w:r>
          </w:p>
        </w:tc>
        <w:tc>
          <w:tcPr>
            <w:shd w:val="clear" w:color="auto" w:fill="F4F1EC"/>
          </w:tcPr>
          <w:p>
            <w:pPr>
              <w:pStyle w:val="Compact"/>
              <w:spacing w:after="40" w:before="40"/>
              <w:jc w:val="left"/>
            </w:pPr>
            <w:r>
              <w:rPr>
                <w:rFonts w:ascii="Cambria" w:hAnsi="Cambria" w:cs="Cambria" w:eastAsia="Cambria"/>
                <w:color w:val="1A1A1A"/>
                <w:sz w:val="18"/>
              </w:rPr>
              <w:t xml:space="preserve">~ 51</w:t>
            </w:r>
          </w:p>
        </w:tc>
        <w:tc>
          <w:tcPr>
            <w:shd w:val="clear" w:color="auto" w:fill="F4F1EC"/>
          </w:tcPr>
          <w:p>
            <w:pPr>
              <w:pStyle w:val="Compact"/>
              <w:spacing w:after="40" w:before="40"/>
              <w:jc w:val="left"/>
            </w:pPr>
            <w:r>
              <w:rPr>
                <w:rFonts w:ascii="Cambria" w:hAnsi="Cambria" w:cs="Cambria" w:eastAsia="Cambria"/>
                <w:color w:val="1A1A1A"/>
                <w:sz w:val="18"/>
              </w:rPr>
              <w:t xml:space="preserve">~ 68</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−12</w:t>
            </w:r>
          </w:p>
        </w:tc>
        <w:tc>
          <w:tcPr/>
          <w:p>
            <w:pPr>
              <w:pStyle w:val="Compact"/>
              <w:spacing w:after="40" w:before="40"/>
              <w:jc w:val="left"/>
            </w:pPr>
            <w:r>
              <w:rPr>
                <w:rFonts w:ascii="Cambria" w:hAnsi="Cambria" w:cs="Cambria" w:eastAsia="Cambria"/>
                <w:color w:val="1A1A1A"/>
                <w:sz w:val="18"/>
              </w:rPr>
              <w:t xml:space="preserve">~ −17</w:t>
            </w:r>
          </w:p>
        </w:tc>
        <w:tc>
          <w:tcPr/>
          <w:p>
            <w:pPr>
              <w:pStyle w:val="Compact"/>
              <w:spacing w:after="40" w:before="40"/>
              <w:jc w:val="left"/>
            </w:pPr>
            <w:r>
              <w:rPr>
                <w:rFonts w:ascii="Cambria" w:hAnsi="Cambria" w:cs="Cambria" w:eastAsia="Cambria"/>
                <w:color w:val="1A1A1A"/>
                <w:sz w:val="18"/>
              </w:rPr>
              <w:t xml:space="preserve">~ −15</w:t>
            </w:r>
          </w:p>
        </w:tc>
      </w:tr>
    </w:tbl>
    <w:p>
      <w:pPr>
        <w:pStyle w:val="BodyText"/>
      </w:pPr>
      <w:r>
        <w:rPr>
          <w:i/>
          <w:iCs/>
        </w:rPr>
        <w:t xml:space="preserve">Tabella E.2. I risparmi diretti per il bilancio sanitario regionale e il saldo diretto.</w:t>
      </w:r>
    </w:p>
    <w:bookmarkEnd w:id="2105"/>
    <w:bookmarkStart w:id="2106" w:name="e.3-le-ricadute-economico-sociali-1"/>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il valore del benessere recuperato e il minor carico assistenziale sulle famiglie, e sono stimate, secondo i criteri prudenziali dello studio, nell’ordine di 110, 207 e 320 milioni di euro l’anno nei tre scenari. Sommate ai risparmi diretti, esse determinano un ritorno complessivo dell’ordine di 132, 241 e 373 milioni di euro l’anno, e un saldo complessivo per la collettività ampiamente positivo, dell’ordine di +98, +190 e +305 milioni. Ne discende un rapporto beneficio-costo complessivo dell’ordine di 3,9 a uno nello scenario conservativo, 4,7 a uno in quello di base e 5,5 a uno in quello espansivo, interamente compreso nella banda prudenziale adottata.</w:t>
      </w:r>
    </w:p>
    <w:bookmarkEnd w:id="2106"/>
    <w:bookmarkStart w:id="2107" w:name="X7bfe7aeb2fd11792e83f612c85d55881fdd0ae5"/>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laziale. Il caso puramente finanziario per il bilancio sanitario è di modesto disavanzo, poiché i risparmi diretti non coprono per intero il costo del servizio e il canale della mobilità è marginale.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 per il bilancio sanitario. La tabella consolidata che segue è lo strumento sintetico per la decisione, e distingue in ogni voce la dimensione diretta da quella sociale.</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Voce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34</w:t>
            </w:r>
          </w:p>
        </w:tc>
        <w:tc>
          <w:tcPr/>
          <w:p>
            <w:pPr>
              <w:pStyle w:val="Compact"/>
              <w:spacing w:after="40" w:before="40"/>
              <w:jc w:val="left"/>
            </w:pPr>
            <w:r>
              <w:rPr>
                <w:rFonts w:ascii="Cambria" w:hAnsi="Cambria" w:cs="Cambria" w:eastAsia="Cambria"/>
                <w:color w:val="1A1A1A"/>
                <w:sz w:val="18"/>
              </w:rPr>
              <w:t xml:space="preserve">~ 51</w:t>
            </w:r>
          </w:p>
        </w:tc>
        <w:tc>
          <w:tcPr/>
          <w:p>
            <w:pPr>
              <w:pStyle w:val="Compact"/>
              <w:spacing w:after="40" w:before="40"/>
              <w:jc w:val="left"/>
            </w:pPr>
            <w:r>
              <w:rPr>
                <w:rFonts w:ascii="Cambria" w:hAnsi="Cambria" w:cs="Cambria" w:eastAsia="Cambria"/>
                <w:color w:val="1A1A1A"/>
                <w:sz w:val="18"/>
              </w:rPr>
              <w:t xml:space="preserve">~ 68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22</w:t>
            </w:r>
          </w:p>
        </w:tc>
        <w:tc>
          <w:tcPr>
            <w:shd w:val="clear" w:color="auto" w:fill="F4F1EC"/>
          </w:tcPr>
          <w:p>
            <w:pPr>
              <w:pStyle w:val="Compact"/>
              <w:spacing w:after="40" w:before="40"/>
              <w:jc w:val="left"/>
            </w:pPr>
            <w:r>
              <w:rPr>
                <w:rFonts w:ascii="Cambria" w:hAnsi="Cambria" w:cs="Cambria" w:eastAsia="Cambria"/>
                <w:color w:val="1A1A1A"/>
                <w:sz w:val="18"/>
              </w:rPr>
              <w:t xml:space="preserve">~ 34</w:t>
            </w:r>
          </w:p>
        </w:tc>
        <w:tc>
          <w:tcPr>
            <w:shd w:val="clear" w:color="auto" w:fill="F4F1EC"/>
          </w:tcPr>
          <w:p>
            <w:pPr>
              <w:pStyle w:val="Compact"/>
              <w:spacing w:after="40" w:before="40"/>
              <w:jc w:val="left"/>
            </w:pPr>
            <w:r>
              <w:rPr>
                <w:rFonts w:ascii="Cambria" w:hAnsi="Cambria" w:cs="Cambria" w:eastAsia="Cambria"/>
                <w:color w:val="1A1A1A"/>
                <w:sz w:val="18"/>
              </w:rPr>
              <w:t xml:space="preserve">~ 53</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−12</w:t>
            </w:r>
          </w:p>
        </w:tc>
        <w:tc>
          <w:tcPr/>
          <w:p>
            <w:pPr>
              <w:pStyle w:val="Compact"/>
              <w:spacing w:after="40" w:before="40"/>
              <w:jc w:val="left"/>
            </w:pPr>
            <w:r>
              <w:rPr>
                <w:rFonts w:ascii="Cambria" w:hAnsi="Cambria" w:cs="Cambria" w:eastAsia="Cambria"/>
                <w:color w:val="1A1A1A"/>
                <w:sz w:val="18"/>
              </w:rPr>
              <w:t xml:space="preserve">~ −17</w:t>
            </w:r>
          </w:p>
        </w:tc>
        <w:tc>
          <w:tcPr/>
          <w:p>
            <w:pPr>
              <w:pStyle w:val="Compact"/>
              <w:spacing w:after="40" w:before="40"/>
              <w:jc w:val="left"/>
            </w:pPr>
            <w:r>
              <w:rPr>
                <w:rFonts w:ascii="Cambria" w:hAnsi="Cambria" w:cs="Cambria" w:eastAsia="Cambria"/>
                <w:color w:val="1A1A1A"/>
                <w:sz w:val="18"/>
              </w:rPr>
              <w:t xml:space="preserve">~ −15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110</w:t>
            </w:r>
          </w:p>
        </w:tc>
        <w:tc>
          <w:tcPr>
            <w:shd w:val="clear" w:color="auto" w:fill="F4F1EC"/>
          </w:tcPr>
          <w:p>
            <w:pPr>
              <w:pStyle w:val="Compact"/>
              <w:spacing w:after="40" w:before="40"/>
              <w:jc w:val="left"/>
            </w:pPr>
            <w:r>
              <w:rPr>
                <w:rFonts w:ascii="Cambria" w:hAnsi="Cambria" w:cs="Cambria" w:eastAsia="Cambria"/>
                <w:color w:val="1A1A1A"/>
                <w:sz w:val="18"/>
              </w:rPr>
              <w:t xml:space="preserve">~ 207</w:t>
            </w:r>
          </w:p>
        </w:tc>
        <w:tc>
          <w:tcPr>
            <w:shd w:val="clear" w:color="auto" w:fill="F4F1EC"/>
          </w:tcPr>
          <w:p>
            <w:pPr>
              <w:pStyle w:val="Compact"/>
              <w:spacing w:after="40" w:before="40"/>
              <w:jc w:val="left"/>
            </w:pPr>
            <w:r>
              <w:rPr>
                <w:rFonts w:ascii="Cambria" w:hAnsi="Cambria" w:cs="Cambria" w:eastAsia="Cambria"/>
                <w:color w:val="1A1A1A"/>
                <w:sz w:val="18"/>
              </w:rPr>
              <w:t xml:space="preserve">~ 320</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 132</w:t>
            </w:r>
          </w:p>
        </w:tc>
        <w:tc>
          <w:tcPr/>
          <w:p>
            <w:pPr>
              <w:pStyle w:val="Compact"/>
              <w:spacing w:after="40" w:before="40"/>
              <w:jc w:val="left"/>
            </w:pPr>
            <w:r>
              <w:rPr>
                <w:rFonts w:ascii="Cambria" w:hAnsi="Cambria" w:cs="Cambria" w:eastAsia="Cambria"/>
                <w:color w:val="1A1A1A"/>
                <w:sz w:val="18"/>
              </w:rPr>
              <w:t xml:space="preserve">~ 241</w:t>
            </w:r>
          </w:p>
        </w:tc>
        <w:tc>
          <w:tcPr/>
          <w:p>
            <w:pPr>
              <w:pStyle w:val="Compact"/>
              <w:spacing w:after="40" w:before="40"/>
              <w:jc w:val="left"/>
            </w:pPr>
            <w:r>
              <w:rPr>
                <w:rFonts w:ascii="Cambria" w:hAnsi="Cambria" w:cs="Cambria" w:eastAsia="Cambria"/>
                <w:color w:val="1A1A1A"/>
                <w:sz w:val="18"/>
              </w:rPr>
              <w:t xml:space="preserve">~ 373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 +98</w:t>
            </w:r>
          </w:p>
        </w:tc>
        <w:tc>
          <w:tcPr>
            <w:shd w:val="clear" w:color="auto" w:fill="F4F1EC"/>
          </w:tcPr>
          <w:p>
            <w:pPr>
              <w:pStyle w:val="Compact"/>
              <w:spacing w:after="40" w:before="40"/>
              <w:jc w:val="left"/>
            </w:pPr>
            <w:r>
              <w:rPr>
                <w:rFonts w:ascii="Cambria" w:hAnsi="Cambria" w:cs="Cambria" w:eastAsia="Cambria"/>
                <w:color w:val="1A1A1A"/>
                <w:sz w:val="18"/>
              </w:rPr>
              <w:t xml:space="preserve">~ +190</w:t>
            </w:r>
          </w:p>
        </w:tc>
        <w:tc>
          <w:tcPr>
            <w:shd w:val="clear" w:color="auto" w:fill="F4F1EC"/>
          </w:tcPr>
          <w:p>
            <w:pPr>
              <w:pStyle w:val="Compact"/>
              <w:spacing w:after="40" w:before="40"/>
              <w:jc w:val="left"/>
            </w:pPr>
            <w:r>
              <w:rPr>
                <w:rFonts w:ascii="Cambria" w:hAnsi="Cambria" w:cs="Cambria" w:eastAsia="Cambria"/>
                <w:color w:val="1A1A1A"/>
                <w:sz w:val="18"/>
              </w:rPr>
              <w:t xml:space="preserve">~ +305</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 3,9:1</w:t>
            </w:r>
          </w:p>
        </w:tc>
        <w:tc>
          <w:tcPr/>
          <w:p>
            <w:pPr>
              <w:pStyle w:val="Compact"/>
              <w:spacing w:after="40" w:before="40"/>
              <w:jc w:val="left"/>
            </w:pPr>
            <w:r>
              <w:rPr>
                <w:rFonts w:ascii="Cambria" w:hAnsi="Cambria" w:cs="Cambria" w:eastAsia="Cambria"/>
                <w:color w:val="1A1A1A"/>
                <w:sz w:val="18"/>
              </w:rPr>
              <w:t xml:space="preserve">~ 4,7:1</w:t>
            </w:r>
          </w:p>
        </w:tc>
        <w:tc>
          <w:tcPr/>
          <w:p>
            <w:pPr>
              <w:pStyle w:val="Compact"/>
              <w:spacing w:after="40" w:before="40"/>
              <w:jc w:val="left"/>
            </w:pPr>
            <w:r>
              <w:rPr>
                <w:rFonts w:ascii="Cambria" w:hAnsi="Cambria" w:cs="Cambria" w:eastAsia="Cambria"/>
                <w:color w:val="1A1A1A"/>
                <w:sz w:val="18"/>
              </w:rPr>
              <w:t xml:space="preserve">~ 5,5:1</w:t>
            </w:r>
          </w:p>
        </w:tc>
      </w:tr>
    </w:tbl>
    <w:p>
      <w:pPr>
        <w:pStyle w:val="BodyText"/>
      </w:pPr>
      <w:r>
        <w:rPr>
          <w:i/>
          <w:iCs/>
        </w:rPr>
        <w:t xml:space="preserve">Tabella E.3. Il quadro economico consolidato, con la distinzione fra caso finanziario e caso economico.</w:t>
      </w:r>
    </w:p>
    <w:bookmarkEnd w:id="2107"/>
    <w:bookmarkStart w:id="4438" w:name="X00f0bd8dedc69e66d635126f18165a3e081574d"/>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491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272"/>
        <w:gridCol w:w="1272"/>
        <w:gridCol w:w="18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Comparatore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atteso per paziente</w:t>
            </w:r>
          </w:p>
        </w:tc>
        <w:tc>
          <w:tcPr/>
          <w:p>
            <w:pPr>
              <w:pStyle w:val="Compact"/>
              <w:spacing w:after="40" w:before="40"/>
              <w:jc w:val="left"/>
            </w:pPr>
            <w:r>
              <w:rPr>
                <w:rFonts w:ascii="Cambria" w:hAnsi="Cambria" w:cs="Cambria" w:eastAsia="Cambria"/>
                <w:color w:val="1A1A1A"/>
                <w:sz w:val="18"/>
              </w:rPr>
              <w:t xml:space="preserve">~ 3.799 euro</w:t>
            </w:r>
          </w:p>
        </w:tc>
        <w:tc>
          <w:tcPr/>
          <w:p>
            <w:pPr>
              <w:pStyle w:val="Compact"/>
              <w:spacing w:after="40" w:before="40"/>
              <w:jc w:val="left"/>
            </w:pPr>
            <w:r>
              <w:rPr>
                <w:rFonts w:ascii="Cambria" w:hAnsi="Cambria" w:cs="Cambria" w:eastAsia="Cambria"/>
                <w:color w:val="1A1A1A"/>
                <w:sz w:val="18"/>
              </w:rPr>
              <w:t xml:space="preserve">~ 2.495 euro</w:t>
            </w:r>
          </w:p>
        </w:tc>
        <w:tc>
          <w:tcPr/>
          <w:p>
            <w:pPr>
              <w:pStyle w:val="Compact"/>
              <w:spacing w:after="40" w:before="40"/>
              <w:jc w:val="left"/>
            </w:pPr>
            <w:r>
              <w:rPr>
                <w:rFonts w:ascii="Cambria" w:hAnsi="Cambria" w:cs="Cambria" w:eastAsia="Cambria"/>
                <w:color w:val="1A1A1A"/>
                <w:sz w:val="18"/>
              </w:rPr>
              <w:t xml:space="preserve">− 1.304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Anni di vita ponderati (QALY)</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Intervento dominante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(soglia 30.000 euro/QALY)</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88,9% delle simulazioni</w:t>
            </w:r>
          </w:p>
        </w:tc>
      </w:tr>
    </w:tbl>
    <w:p>
      <w:pPr>
        <w:pStyle w:val="BodyText"/>
      </w:pPr>
      <w:r>
        <w:rPr>
          <w:i/>
          <w:iCs/>
        </w:rPr>
        <w:t xml:space="preserve">Tabella E.4. L</w:t>
      </w:r>
      <w:r>
        <w:rPr>
          <w:b/>
          <w:bCs/>
          <w:i/>
          <w:iCs/>
        </w:rPr>
        <w:t xml:space="preserve">’</w:t>
      </w:r>
      <w:r>
        <w:rPr>
          <w:i/>
          <w:iCs/>
        </w:rPr>
        <w:t xml:space="preserve">analisi costo-utilità per paziente trattato (modello di Markov a cinque anni).</w:t>
      </w:r>
    </w:p>
    <w:bookmarkEnd w:id="4438"/>
    <w:bookmarkStart w:id="2109" w:name="Xfee831e98ffa0d958a4e37dfd08b84074d14c61"/>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0,5% in quello espansivo; la sostenibilità è favorita dalla circostanza che il Lazio è in uscita da un lungo piano di rientro, con i conti riportati in attivo e l’autonomia fiscale recuperata, sicché la regione dispone oggi di margini di programmazione che la rendono praticabile. Resta da dichiarare con franchezza la lacuna dei dati: le grandezze economiche sono in parte ricostruite dai conti nazionali per quota di popolazione e non estratte dai conti certificati delle Aziende, e il Lazio non dispone ancora di un servizio attivo che produca dati di esito propri, sicché la stima poggia sui benchmark, sulla radice scientifica del modello nella regione e sul disegno valutativo, e dovrà essere corroborata dai dati certificati e dai dati di esito raccolti a partire dall’istituzione del servizio. La sintesi è univoca: il caso diretto è prudente e di modesto disavanzo,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w:t>
      </w:r>
      <w:r>
        <w:rPr>
          <w:b/>
          <w:bCs/>
          <w:i/>
          <w:iCs/>
        </w:rPr>
        <w:t xml:space="preserve">’</w:t>
      </w:r>
      <w:r>
        <w:rPr>
          <w:i/>
          <w:iCs/>
        </w:rPr>
        <w:t xml:space="preserve">informazione</w:t>
      </w:r>
    </w:p>
    <w:p>
      <w:pPr>
        <w:pStyle w:val="BodyText"/>
      </w:pPr>
      <w:r>
        <w:t xml:space="preserve">Quinto dominio dell’HTA · la robustezza della valutazione economica</w:t>
      </w:r>
    </w:p>
    <w:bookmarkEnd w:id="2109"/>
    <w:bookmarkEnd w:id="4437"/>
    <w:bookmarkStart w:id="4439" w:name="parte-f-modellazione-e-incertezza-2"/>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il Lazio quest’ultimo capitolo riveste un’importanza particolare: poiché il servizio non è ancora attivo, la prova empirica può essere disegnata fin dall’inizio nel modo metodologicamente più solido, e la posizione pre-legislativa della regione si rivela, sul piano valutativo, un vantaggio.</w:t>
      </w:r>
    </w:p>
    <w:bookmarkStart w:id="2117" w:name="X4b956cc13d609b1996108d2544cfb7cd202b28c"/>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2647"/>
      </w:r>
      <w:r>
        <w:rPr>
          <w:rStyle w:val="FootnoteReference"/>
        </w:rPr>
        <w:footnoteReference w:id="2648"/>
      </w:r>
      <w:r>
        <w:rPr>
          <w:rStyle w:val="FootnoteReference"/>
        </w:rPr>
        <w:footnoteReference w:id="2649"/>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2650"/>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2651"/>
      </w:r>
      <w:r>
        <w:t xml:space="preserve"> </w:t>
      </w:r>
      <w:r>
        <w:t xml:space="preserve">Nel caso base l’intervento è dominante, con un risparmio per paziente dell’ordine di 1.304 euro e un guadagno di 0,236 anni di vita ponderati per la qualità.</w:t>
      </w:r>
      <w:r>
        <w:rPr>
          <w:rStyle w:val="FootnoteReference"/>
        </w:rPr>
        <w:footnoteReference w:id="2652"/>
      </w:r>
      <w:r>
        <w:t xml:space="preserve"> </w:t>
      </w:r>
      <w:r>
        <w:t xml:space="preserve">La tabella seguente riepiloga i parametri principali del modello.</w:t>
      </w:r>
    </w:p>
    <w:tbl>
      <w:tblPr>
        <w:tblStyle w:val="Table"/>
        <w:tblW w:type="pct" w:w="489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01"/>
        <w:gridCol w:w="475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Stati clinici</w:t>
            </w:r>
          </w:p>
        </w:tc>
        <w:tc>
          <w:tcPr/>
          <w:p>
            <w:pPr>
              <w:pStyle w:val="Compact"/>
              <w:spacing w:after="40" w:before="40"/>
              <w:jc w:val="left"/>
            </w:pPr>
            <w:r>
              <w:rPr>
                <w:rFonts w:ascii="Cambria" w:hAnsi="Cambria" w:cs="Cambria" w:eastAsia="Cambria"/>
                <w:color w:val="1A1A1A"/>
                <w:sz w:val="18"/>
              </w:rPr>
              <w:t xml:space="preserve">Benessere o sottosoglia, episodio, cronicità, recupero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Cinque anni, con cicli successivi</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(recupero)</w:t>
            </w:r>
          </w:p>
        </w:tc>
        <w:tc>
          <w:tcPr>
            <w:shd w:val="clear" w:color="auto" w:fill="F4F1EC"/>
          </w:tcPr>
          <w:p>
            <w:pPr>
              <w:pStyle w:val="Compact"/>
              <w:spacing w:after="40" w:before="40"/>
              <w:jc w:val="left"/>
            </w:pPr>
            <w:r>
              <w:rPr>
                <w:rFonts w:ascii="Cambria" w:hAnsi="Cambria" w:cs="Cambria" w:eastAsia="Cambria"/>
                <w:color w:val="1A1A1A"/>
                <w:sz w:val="18"/>
              </w:rPr>
              <w:t xml:space="preserve">~ 40 euro</w:t>
            </w:r>
          </w:p>
        </w:tc>
      </w:tr>
      <w:tr>
        <w:tc>
          <w:tcPr/>
          <w:p>
            <w:pPr>
              <w:pStyle w:val="Compact"/>
              <w:spacing w:after="40" w:before="40"/>
              <w:jc w:val="left"/>
            </w:pPr>
            <w:r>
              <w:rPr>
                <w:rFonts w:ascii="Cambria" w:hAnsi="Cambria" w:cs="Cambria" w:eastAsia="Cambria"/>
                <w:b/>
                <w:bCs/>
                <w:color w:val="1A1A1A"/>
                <w:sz w:val="18"/>
              </w:rPr>
              <w:t xml:space="preserve">Costo per ciclo (cronicità)</w:t>
            </w:r>
          </w:p>
        </w:tc>
        <w:tc>
          <w:tcPr/>
          <w:p>
            <w:pPr>
              <w:pStyle w:val="Compact"/>
              <w:spacing w:after="40" w:before="40"/>
              <w:jc w:val="left"/>
            </w:pPr>
            <w:r>
              <w:rPr>
                <w:rFonts w:ascii="Cambria" w:hAnsi="Cambria" w:cs="Cambria" w:eastAsia="Cambria"/>
                <w:color w:val="1A1A1A"/>
                <w:sz w:val="18"/>
              </w:rPr>
              <w:t xml:space="preserve">~ 700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 300 euro una tantum</w:t>
            </w:r>
          </w:p>
        </w:tc>
      </w:tr>
      <w:tr>
        <w:tc>
          <w:tcPr/>
          <w:p>
            <w:pPr>
              <w:pStyle w:val="Compact"/>
              <w:spacing w:after="40" w:before="40"/>
              <w:jc w:val="left"/>
            </w:pPr>
            <w:r>
              <w:rPr>
                <w:rFonts w:ascii="Cambria" w:hAnsi="Cambria" w:cs="Cambria" w:eastAsia="Cambria"/>
                <w:b/>
                <w:bCs/>
                <w:color w:val="1A1A1A"/>
                <w:sz w:val="18"/>
              </w:rPr>
              <w:t xml:space="preserve">Trattamento dell’incertezza</w:t>
            </w:r>
          </w:p>
        </w:tc>
        <w:tc>
          <w:tcPr/>
          <w:p>
            <w:pPr>
              <w:pStyle w:val="Compact"/>
              <w:spacing w:after="40" w:before="40"/>
              <w:jc w:val="left"/>
            </w:pPr>
            <w:r>
              <w:rPr>
                <w:rFonts w:ascii="Cambria" w:hAnsi="Cambria" w:cs="Cambria" w:eastAsia="Cambria"/>
                <w:color w:val="1A1A1A"/>
                <w:sz w:val="18"/>
              </w:rPr>
              <w:t xml:space="preserve">Parametri come distribuzioni di probabilità</w:t>
            </w:r>
          </w:p>
        </w:tc>
      </w:tr>
    </w:tbl>
    <w:p>
      <w:pPr>
        <w:pStyle w:val="BodyText"/>
      </w:pPr>
      <w:r>
        <w:rPr>
          <w:i/>
          <w:iCs/>
        </w:rPr>
        <w:t xml:space="preserve">Tabella F.1. I parametri principali del modello di Markov (comune a tutti gli studi della serie).</w:t>
      </w:r>
    </w:p>
    <w:bookmarkEnd w:id="2117"/>
    <w:bookmarkStart w:id="2120" w:name="Xc24942261f81af9612c59879a819de4c56616f5"/>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2653"/>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2654"/>
      </w:r>
    </w:p>
    <w:bookmarkEnd w:id="2120"/>
    <w:bookmarkStart w:id="2123" w:name="Xe9099ffbf47af7c6519082528b4884fa00d5c84"/>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2655"/>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2656"/>
      </w:r>
      <w:r>
        <w:t xml:space="preserve"> </w:t>
      </w:r>
      <w:r>
        <w:t xml:space="preserve">La tabella seguente riepiloga gli esiti della sensibilità probabilistica.</w:t>
      </w:r>
    </w:p>
    <w:tbl>
      <w:tblPr>
        <w:tblStyle w:val="Table"/>
        <w:tblW w:type="pct" w:w="490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940"/>
        <w:gridCol w:w="282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Esito della sensibilità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Probabilità di costo-efficacia (soglia 30.000 euro/QALY)</w:t>
            </w:r>
          </w:p>
        </w:tc>
        <w:tc>
          <w:tcPr/>
          <w:p>
            <w:pPr>
              <w:pStyle w:val="Compact"/>
              <w:spacing w:after="40" w:before="40"/>
              <w:jc w:val="left"/>
            </w:pPr>
            <w:r>
              <w:rPr>
                <w:rFonts w:ascii="Cambria" w:hAnsi="Cambria" w:cs="Cambria" w:eastAsia="Cambria"/>
                <w:color w:val="1A1A1A"/>
                <w:sz w:val="18"/>
              </w:rPr>
              <w:t xml:space="preserve">88,9% delle simulazioni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dominanza</w:t>
            </w:r>
          </w:p>
        </w:tc>
        <w:tc>
          <w:tcPr>
            <w:shd w:val="clear" w:color="auto" w:fill="F4F1EC"/>
          </w:tcPr>
          <w:p>
            <w:pPr>
              <w:pStyle w:val="Compact"/>
              <w:spacing w:after="40" w:before="40"/>
              <w:jc w:val="left"/>
            </w:pPr>
            <w:r>
              <w:rPr>
                <w:rFonts w:ascii="Cambria" w:hAnsi="Cambria" w:cs="Cambria" w:eastAsia="Cambria"/>
                <w:color w:val="1A1A1A"/>
                <w:sz w:val="18"/>
              </w:rPr>
              <w:t xml:space="preserve">84,6% delle simulazioni</w:t>
            </w:r>
          </w:p>
        </w:tc>
      </w:tr>
      <w:tr>
        <w:tc>
          <w:tcPr/>
          <w:p>
            <w:pPr>
              <w:pStyle w:val="Compact"/>
              <w:spacing w:after="40" w:before="40"/>
              <w:jc w:val="left"/>
            </w:pPr>
            <w:r>
              <w:rPr>
                <w:rFonts w:ascii="Cambria" w:hAnsi="Cambria" w:cs="Cambria" w:eastAsia="Cambria"/>
                <w:b/>
                <w:bCs/>
                <w:color w:val="1A1A1A"/>
                <w:sz w:val="18"/>
              </w:rPr>
              <w:t xml:space="preserve">Beneficio monetario netto medio per paziente</w:t>
            </w:r>
          </w:p>
        </w:tc>
        <w:tc>
          <w:tcPr/>
          <w:p>
            <w:pPr>
              <w:pStyle w:val="Compact"/>
              <w:spacing w:after="40" w:before="40"/>
              <w:jc w:val="left"/>
            </w:pPr>
            <w:r>
              <w:rPr>
                <w:rFonts w:ascii="Cambria" w:hAnsi="Cambria" w:cs="Cambria" w:eastAsia="Cambria"/>
                <w:color w:val="1A1A1A"/>
                <w:sz w:val="18"/>
              </w:rPr>
              <w:t xml:space="preserve">~ 7.815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Intervallo di confidenza al 95%</w:t>
            </w:r>
          </w:p>
        </w:tc>
        <w:tc>
          <w:tcPr>
            <w:shd w:val="clear" w:color="auto" w:fill="F4F1EC"/>
          </w:tcPr>
          <w:p>
            <w:pPr>
              <w:pStyle w:val="Compact"/>
              <w:spacing w:after="40" w:before="40"/>
              <w:jc w:val="left"/>
            </w:pPr>
            <w:r>
              <w:rPr>
                <w:rFonts w:ascii="Cambria" w:hAnsi="Cambria" w:cs="Cambria" w:eastAsia="Cambria"/>
                <w:color w:val="1A1A1A"/>
                <w:sz w:val="18"/>
              </w:rPr>
              <w:t xml:space="preserve">da ~ −5.736 a ~ +21.501 euro</w:t>
            </w:r>
          </w:p>
        </w:tc>
      </w:tr>
      <w:tr>
        <w:tc>
          <w:tcPr/>
          <w:p>
            <w:pPr>
              <w:pStyle w:val="Compact"/>
              <w:spacing w:after="40" w:before="40"/>
              <w:jc w:val="left"/>
            </w:pPr>
            <w:r>
              <w:rPr>
                <w:rFonts w:ascii="Cambria" w:hAnsi="Cambria" w:cs="Cambria" w:eastAsia="Cambria"/>
                <w:b/>
                <w:bCs/>
                <w:color w:val="1A1A1A"/>
                <w:sz w:val="18"/>
              </w:rPr>
              <w:t xml:space="preserve">Numero di simulazioni</w:t>
            </w:r>
          </w:p>
        </w:tc>
        <w:tc>
          <w:tcPr/>
          <w:p>
            <w:pPr>
              <w:pStyle w:val="Compact"/>
              <w:spacing w:after="40" w:before="40"/>
              <w:jc w:val="left"/>
            </w:pPr>
            <w:r>
              <w:rPr>
                <w:rFonts w:ascii="Cambria" w:hAnsi="Cambria" w:cs="Cambria" w:eastAsia="Cambria"/>
                <w:color w:val="1A1A1A"/>
                <w:sz w:val="18"/>
              </w:rPr>
              <w:t xml:space="preserve">10.000</w:t>
            </w:r>
          </w:p>
        </w:tc>
      </w:tr>
    </w:tbl>
    <w:p>
      <w:pPr>
        <w:pStyle w:val="BodyText"/>
      </w:pPr>
      <w:r>
        <w:rPr>
          <w:i/>
          <w:iCs/>
        </w:rPr>
        <w:t xml:space="preserve">Tabella F.2. Gli esiti dell</w:t>
      </w:r>
      <w:r>
        <w:rPr>
          <w:b/>
          <w:bCs/>
          <w:i/>
          <w:iCs/>
        </w:rPr>
        <w:t xml:space="preserve">’</w:t>
      </w:r>
      <w:r>
        <w:rPr>
          <w:i/>
          <w:iCs/>
        </w:rPr>
        <w:t xml:space="preserve">analisi di sensibilità probabilistica (per paziente).</w:t>
      </w:r>
    </w:p>
    <w:bookmarkEnd w:id="2123"/>
    <w:bookmarkStart w:id="4440" w:name="Xc20214b1971eea4f0eaf8f53179fe84cf9c8c3c"/>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2657"/>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2658"/>
      </w:r>
    </w:p>
    <w:bookmarkEnd w:id="4440"/>
    <w:bookmarkStart w:id="4441" w:name="X290c952e6c225c6fc9411d7f21ec18731cf8829"/>
    <w:p>
      <w:pPr>
        <w:pStyle w:val="Heading3"/>
      </w:pPr>
      <w:r>
        <w:t xml:space="preserve">F.5 La verifica empirica e il valore dell’informazione</w:t>
      </w:r>
    </w:p>
    <w:p>
      <w:pPr>
        <w:pStyle w:val="FirstParagraph"/>
      </w:pPr>
      <w:r>
        <w:t xml:space="preserve">Il disegno della verifica empirica costituisce, per il Lazio, il tratto più favorevole dell’intero studio. Poiché il servizio non è ancora attivo, la verifica controfattuale può essere progettata fin dall’inizio come un esperimento a cunei progressivi, nel quale l’ordine e i tempi di attivazione delle sedi tra le dieci Aziende Sanitarie Locali sono stabiliti in anticipo a fini valutativi: è la condizione metodologicamente più solida dell’intera serie, poiché la regione muove dalla legislazione e non da una sperimentazione già in corso da ricostruire a posteriori.</w:t>
      </w:r>
      <w:r>
        <w:rPr>
          <w:rStyle w:val="FootnoteReference"/>
        </w:rPr>
        <w:footnoteReference w:id="2659"/>
      </w:r>
      <w:r>
        <w:t xml:space="preserve"> </w:t>
      </w:r>
      <w:r>
        <w:t xml:space="preserve">L’effetto causale è stimato con la differenza-nelle-differenze e con il controllo sintetico, a partire da una misurazione di base anteriore all’istituzione del servizio.</w:t>
      </w:r>
      <w:r>
        <w:rPr>
          <w:rStyle w:val="FootnoteReference"/>
        </w:rPr>
        <w:footnoteReference w:id="2660"/>
      </w:r>
      <w:r>
        <w:t xml:space="preserve"> </w:t>
      </w:r>
      <w:r>
        <w:t xml:space="preserve">L’analisi del valore dell’informazione indica che il beneficio di ridurre l’incertezza, alla scala della popolazione laziale, eccede ampiamente il costo della raccolta dei dati; le priorità sono l’estrazione dei conti certificati delle Aziende e la raccolta dei dati di esito a partire dall’istituzione del servizio.</w:t>
      </w:r>
      <w:r>
        <w:rPr>
          <w:rStyle w:val="FootnoteReference"/>
        </w:rPr>
        <w:footnoteReference w:id="2661"/>
      </w:r>
      <w:r>
        <w:t xml:space="preserve"> </w:t>
      </w:r>
      <w:r>
        <w:t xml:space="preserve">Il disegno prospettico consente così di colmare la lacuna dei dati man mano che il servizio entra a regime, conducendo la regione, in modo programmato, da una valutazione fondata su dati esterni a una fondata su dati propri.</w:t>
      </w:r>
      <w:r>
        <w:rPr>
          <w:rStyle w:val="FootnoteReference"/>
        </w:rPr>
        <w:footnoteReference w:id="2662"/>
      </w:r>
      <w:r>
        <w:t xml:space="preserve"> </w:t>
      </w:r>
      <w:r>
        <w:t xml:space="preserve">La sintesi è univoca: il modello è robusto sul piano clinico-economico per paziente, l’incertezza aggregata è governata con scenari prudenti e con un piano di acquisizione dei dati, e la posizione pre-legislativa si rivela, sul piano valutativo, un vantaggio. La parte che segue affronta l’equità e l’impatto distributivo.</w:t>
      </w:r>
      <w:r>
        <w:rPr>
          <w:rStyle w:val="FootnoteReference"/>
        </w:rPr>
        <w:footnoteReference w:id="2663"/>
      </w:r>
    </w:p>
    <w:tbl>
      <w:tblPr>
        <w:tblStyle w:val="Table"/>
        <w:tblW w:type="pct" w:w="492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85"/>
        <w:gridCol w:w="2962"/>
        <w:gridCol w:w="145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Priorità di ricerca</w:t>
            </w:r>
          </w:p>
        </w:tc>
        <w:tc>
          <w:tcPr>
            <w:shd w:val="clear" w:color="auto" w:fill="16264B"/>
          </w:tcPr>
          <w:p>
            <w:pPr>
              <w:pStyle w:val="Compact"/>
              <w:spacing w:after="40" w:before="40"/>
              <w:jc w:val="left"/>
            </w:pPr>
            <w:r>
              <w:rPr>
                <w:rFonts w:ascii="Cambria" w:hAnsi="Cambria" w:cs="Cambria" w:eastAsia="Cambria"/>
                <w:b/>
                <w:bCs/>
                <w:color w:val="FFFFFF"/>
                <w:sz w:val="18"/>
              </w:rPr>
              <w:t xml:space="preserve">Finalità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Rilevanza</w:t>
            </w:r>
          </w:p>
        </w:tc>
      </w:tr>
      <w:tr>
        <w:tc>
          <w:tcPr/>
          <w:p>
            <w:pPr>
              <w:pStyle w:val="Compact"/>
              <w:spacing w:after="40" w:before="40"/>
              <w:jc w:val="left"/>
            </w:pPr>
            <w:r>
              <w:rPr>
                <w:rFonts w:ascii="Cambria" w:hAnsi="Cambria" w:cs="Cambria" w:eastAsia="Cambria"/>
                <w:b/>
                <w:bCs/>
                <w:color w:val="1A1A1A"/>
                <w:sz w:val="18"/>
              </w:rPr>
              <w:t xml:space="preserve">Conti certificati delle dieci Aziende e delle AOU</w:t>
            </w:r>
          </w:p>
        </w:tc>
        <w:tc>
          <w:tcPr/>
          <w:p>
            <w:pPr>
              <w:pStyle w:val="Compact"/>
              <w:spacing w:after="40" w:before="40"/>
              <w:jc w:val="left"/>
            </w:pPr>
            <w:r>
              <w:rPr>
                <w:rFonts w:ascii="Cambria" w:hAnsi="Cambria" w:cs="Cambria" w:eastAsia="Cambria"/>
                <w:color w:val="1A1A1A"/>
                <w:sz w:val="18"/>
              </w:rPr>
              <w:t xml:space="preserve">Sostituire le stime per quota con dati reali</w:t>
            </w:r>
          </w:p>
        </w:tc>
        <w:tc>
          <w:tcPr/>
          <w:p>
            <w:pPr>
              <w:pStyle w:val="Compact"/>
              <w:spacing w:after="40" w:before="40"/>
              <w:jc w:val="left"/>
            </w:pPr>
            <w:r>
              <w:rPr>
                <w:rFonts w:ascii="Cambria" w:hAnsi="Cambria" w:cs="Cambria" w:eastAsia="Cambria"/>
                <w:color w:val="1A1A1A"/>
                <w:sz w:val="18"/>
              </w:rPr>
              <w:t xml:space="preserve">Massima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Dati di esito dall’istituzione del servizio</w:t>
            </w:r>
          </w:p>
        </w:tc>
        <w:tc>
          <w:tcPr>
            <w:shd w:val="clear" w:color="auto" w:fill="F4F1EC"/>
          </w:tcPr>
          <w:p>
            <w:pPr>
              <w:pStyle w:val="Compact"/>
              <w:spacing w:after="40" w:before="40"/>
              <w:jc w:val="left"/>
            </w:pPr>
            <w:r>
              <w:rPr>
                <w:rFonts w:ascii="Cambria" w:hAnsi="Cambria" w:cs="Cambria" w:eastAsia="Cambria"/>
                <w:color w:val="1A1A1A"/>
                <w:sz w:val="18"/>
              </w:rPr>
              <w:t xml:space="preserve">Generare evidenza locale propria</w:t>
            </w:r>
          </w:p>
        </w:tc>
        <w:tc>
          <w:tcPr>
            <w:shd w:val="clear" w:color="auto" w:fill="F4F1EC"/>
          </w:tcPr>
          <w:p>
            <w:pPr>
              <w:pStyle w:val="Compact"/>
              <w:spacing w:after="40" w:before="40"/>
              <w:jc w:val="left"/>
            </w:pPr>
            <w:r>
              <w:rPr>
                <w:rFonts w:ascii="Cambria" w:hAnsi="Cambria" w:cs="Cambria" w:eastAsia="Cambria"/>
                <w:color w:val="1A1A1A"/>
                <w:sz w:val="18"/>
              </w:rPr>
              <w:t xml:space="preserve">Massima</w:t>
            </w:r>
          </w:p>
        </w:tc>
      </w:tr>
      <w:tr>
        <w:tc>
          <w:tcPr/>
          <w:p>
            <w:pPr>
              <w:pStyle w:val="Compact"/>
              <w:spacing w:after="40" w:before="40"/>
              <w:jc w:val="left"/>
            </w:pPr>
            <w:r>
              <w:rPr>
                <w:rFonts w:ascii="Cambria" w:hAnsi="Cambria" w:cs="Cambria" w:eastAsia="Cambria"/>
                <w:b/>
                <w:bCs/>
                <w:color w:val="1A1A1A"/>
                <w:sz w:val="18"/>
              </w:rPr>
              <w:t xml:space="preserve">Tassi di intercettazione e costi evitati</w:t>
            </w:r>
          </w:p>
        </w:tc>
        <w:tc>
          <w:tcPr/>
          <w:p>
            <w:pPr>
              <w:pStyle w:val="Compact"/>
              <w:spacing w:after="40" w:before="40"/>
              <w:jc w:val="left"/>
            </w:pPr>
            <w:r>
              <w:rPr>
                <w:rFonts w:ascii="Cambria" w:hAnsi="Cambria" w:cs="Cambria" w:eastAsia="Cambria"/>
                <w:color w:val="1A1A1A"/>
                <w:sz w:val="18"/>
              </w:rPr>
              <w:t xml:space="preserve">Ridurre l’incertezza sulle grandezze aggregate</w:t>
            </w:r>
          </w:p>
        </w:tc>
        <w:tc>
          <w:tcPr/>
          <w:p>
            <w:pPr>
              <w:pStyle w:val="Compact"/>
              <w:spacing w:after="40" w:before="40"/>
              <w:jc w:val="left"/>
            </w:pPr>
            <w:r>
              <w:rPr>
                <w:rFonts w:ascii="Cambria" w:hAnsi="Cambria" w:cs="Cambria" w:eastAsia="Cambria"/>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 nel contesto locale</w:t>
            </w:r>
          </w:p>
        </w:tc>
        <w:tc>
          <w:tcPr>
            <w:shd w:val="clear" w:color="auto" w:fill="F4F1EC"/>
          </w:tcPr>
          <w:p>
            <w:pPr>
              <w:pStyle w:val="Compact"/>
              <w:spacing w:after="40" w:before="40"/>
              <w:jc w:val="left"/>
            </w:pPr>
            <w:r>
              <w:rPr>
                <w:rFonts w:ascii="Cambria" w:hAnsi="Cambria" w:cs="Cambria" w:eastAsia="Cambria"/>
                <w:color w:val="1A1A1A"/>
                <w:sz w:val="18"/>
              </w:rPr>
              <w:t xml:space="preserve">Corroborare il parametro più influente</w:t>
            </w:r>
          </w:p>
        </w:tc>
        <w:tc>
          <w:tcPr>
            <w:shd w:val="clear" w:color="auto" w:fill="F4F1EC"/>
          </w:tcPr>
          <w:p>
            <w:pPr>
              <w:pStyle w:val="Compact"/>
              <w:spacing w:after="40" w:before="40"/>
              <w:jc w:val="left"/>
            </w:pPr>
            <w:r>
              <w:rPr>
                <w:rFonts w:ascii="Cambria" w:hAnsi="Cambria" w:cs="Cambria" w:eastAsia="Cambria"/>
                <w:color w:val="1A1A1A"/>
                <w:sz w:val="18"/>
              </w:rPr>
              <w:t xml:space="preserve">Alta</w:t>
            </w:r>
          </w:p>
        </w:tc>
      </w:tr>
    </w:tbl>
    <w:p>
      <w:pPr>
        <w:pStyle w:val="BodyText"/>
      </w:pPr>
      <w:r>
        <w:rPr>
          <w:i/>
          <w:iCs/>
        </w:rPr>
        <w:t xml:space="preserve">Tabella F.3. Le priorità di ricerca derivanti dall</w:t>
      </w:r>
      <w:r>
        <w:rPr>
          <w:b/>
          <w:bCs/>
          <w:i/>
          <w:iCs/>
        </w:rPr>
        <w:t xml:space="preserve">‘analisi del valore dell’</w:t>
      </w:r>
      <w:r>
        <w:rPr>
          <w:i/>
          <w:iCs/>
        </w:rPr>
        <w:t xml:space="preserve">informazione.</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4441"/>
    <w:bookmarkEnd w:id="4439"/>
    <w:bookmarkStart w:id="2165" w:name="parte-g-equità-e-impatto-distributivo-7"/>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 Lazio. La parte definisce il quadro dell’equità e il gradiente sociale (capitolo G.1); analizza i due assi territoriali del divario laziale e le barriere di accesso (G.2); descrive gli strumenti attraverso cui il servizio agisce sull’equità (G.3); e presenta l’analisi di costo-efficacia distributiva con le sue implicazioni allocative (G.4). Il tratto distintivo del Lazio è la doppia struttura del divario: non un solo asse, ma due — centro e periferia entro l’area metropolitana, e area metropolitana contro province interne — che l’intervento può ridurre, a condizione di un’allocazione modulata per il bisogno.</w:t>
      </w:r>
    </w:p>
    <w:bookmarkStart w:id="4442" w:name="X79c963fa810da9b13a29e2257e4dbc30d7a00c2"/>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2664"/>
      </w:r>
      <w:r>
        <w:rPr>
          <w:rStyle w:val="FootnoteReference"/>
        </w:rPr>
        <w:footnoteReference w:id="2665"/>
      </w:r>
      <w:r>
        <w:rPr>
          <w:rStyle w:val="FootnoteReference"/>
        </w:rPr>
        <w:footnoteReference w:id="2666"/>
      </w:r>
      <w:r>
        <w:rPr>
          <w:rStyle w:val="FootnoteReference"/>
        </w:rPr>
        <w:footnoteReference w:id="2667"/>
      </w:r>
      <w:r>
        <w:rPr>
          <w:rStyle w:val="FootnoteReference"/>
        </w:rPr>
        <w:footnoteReference w:id="2668"/>
      </w:r>
      <w:r>
        <w:rPr>
          <w:rStyle w:val="FootnoteReference"/>
        </w:rPr>
        <w:footnoteReference w:id="2669"/>
      </w:r>
      <w:r>
        <w:rPr>
          <w:rStyle w:val="FootnoteReference"/>
        </w:rPr>
        <w:footnoteReference w:id="2670"/>
      </w:r>
      <w:r>
        <w:rPr>
          <w:rStyle w:val="FootnoteReference"/>
        </w:rPr>
        <w:footnoteReference w:id="2671"/>
      </w:r>
      <w:r>
        <w:rPr>
          <w:rStyle w:val="FootnoteReference"/>
        </w:rPr>
        <w:footnoteReference w:id="2672"/>
      </w:r>
      <w:r>
        <w:rPr>
          <w:rStyle w:val="FootnoteReference"/>
        </w:rPr>
        <w:footnoteReference w:id="2673"/>
      </w:r>
      <w:r>
        <w:rPr>
          <w:rStyle w:val="FootnoteReference"/>
        </w:rPr>
        <w:footnoteReference w:id="2674"/>
      </w:r>
      <w:r>
        <w:rPr>
          <w:rStyle w:val="FootnoteReference"/>
        </w:rPr>
        <w:footnoteReference w:id="2675"/>
      </w:r>
      <w:r>
        <w:rPr>
          <w:rStyle w:val="FootnoteReference"/>
        </w:rPr>
        <w:footnoteReference w:id="2676"/>
      </w:r>
      <w:r>
        <w:rPr>
          <w:rStyle w:val="FootnoteReference"/>
        </w:rPr>
        <w:footnoteReference w:id="2677"/>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2678"/>
      </w:r>
      <w:r>
        <w:t xml:space="preserve"> </w:t>
      </w:r>
      <w:r>
        <w:t xml:space="preserve">A questo gradiente si sommano barriere di accesso economiche, geografiche e culturali, oltre allo stigma; nel Lazio la componente straniera, concentrata nell’area romana, aggiunge una barriera linguistica e culturale che richiede competenza dedicata.</w:t>
      </w:r>
      <w:r>
        <w:rPr>
          <w:rStyle w:val="FootnoteReference"/>
        </w:rPr>
        <w:footnoteReference w:id="2679"/>
      </w:r>
    </w:p>
    <w:bookmarkEnd w:id="4442"/>
    <w:bookmarkStart w:id="4443" w:name="Xcbe10dea884b8e3480f9f8f260471f8aa26bc9b"/>
    <w:p>
      <w:pPr>
        <w:pStyle w:val="Heading3"/>
      </w:pPr>
      <w:r>
        <w:t xml:space="preserve">G.2 I due assi del divario territoriale</w:t>
      </w:r>
    </w:p>
    <w:p>
      <w:pPr>
        <w:pStyle w:val="FirstParagraph"/>
      </w:pPr>
      <w:r>
        <w:t xml:space="preserve">La specificità distributiva del Lazio risiede nella doppia struttura del divario.</w:t>
      </w:r>
      <w:r>
        <w:rPr>
          <w:rStyle w:val="FootnoteReference"/>
        </w:rPr>
        <w:footnoteReference w:id="2680"/>
      </w:r>
      <w:r>
        <w:t xml:space="preserve"> </w:t>
      </w:r>
      <w:r>
        <w:t xml:space="preserve">Il primo asse è interno alla vasta area metropolitana romana: accanto a quartieri centrali ben serviti si estendono periferie popolose con sacche di deprivazione socio-economica, dove la difficoltà di accesso e la minore disponibilità di offerta privata accrescono il bisogno non intercettato.</w:t>
      </w:r>
      <w:r>
        <w:rPr>
          <w:rStyle w:val="FootnoteReference"/>
        </w:rPr>
        <w:footnoteReference w:id="2681"/>
      </w:r>
      <w:r>
        <w:t xml:space="preserve"> </w:t>
      </w:r>
      <w:r>
        <w:t xml:space="preserve">Il secondo asse separa l’area metropolitana dalle province interne: Rieti e Viterbo, e le aree montane e collinari interne, presentano una popolazione più anziana, dispersa e in spopolamento, dove la rarefazione dei servizi e le distanze rendono l’accesso al sostegno psicologico particolarmente difficoltoso.</w:t>
      </w:r>
      <w:r>
        <w:rPr>
          <w:rStyle w:val="FootnoteReference"/>
        </w:rPr>
        <w:footnoteReference w:id="2682"/>
      </w:r>
      <w:r>
        <w:t xml:space="preserve"> </w:t>
      </w:r>
      <w:r>
        <w:t xml:space="preserve">La tabella seguente sintetizza i due assi e le leve di riequilibrio.</w:t>
      </w:r>
    </w:p>
    <w:tbl>
      <w:tblPr>
        <w:tblStyle w:val="Table"/>
        <w:tblW w:type="pct" w:w="494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77"/>
        <w:gridCol w:w="3232"/>
        <w:gridCol w:w="282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Asse del divario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Caratterizzazione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Leva di riequilibrio</w:t>
            </w:r>
          </w:p>
        </w:tc>
      </w:tr>
      <w:tr>
        <w:tc>
          <w:tcPr/>
          <w:p>
            <w:pPr>
              <w:pStyle w:val="Compact"/>
              <w:spacing w:after="40" w:before="40"/>
              <w:jc w:val="left"/>
            </w:pPr>
            <w:r>
              <w:rPr>
                <w:rFonts w:ascii="Cambria" w:hAnsi="Cambria" w:cs="Cambria" w:eastAsia="Cambria"/>
                <w:b/>
                <w:bCs/>
                <w:color w:val="1A1A1A"/>
                <w:sz w:val="18"/>
              </w:rPr>
              <w:t xml:space="preserve">Centro / periferia metropolitana</w:t>
            </w:r>
          </w:p>
        </w:tc>
        <w:tc>
          <w:tcPr/>
          <w:p>
            <w:pPr>
              <w:pStyle w:val="Compact"/>
              <w:spacing w:after="40" w:before="40"/>
              <w:jc w:val="left"/>
            </w:pPr>
            <w:r>
              <w:rPr>
                <w:rFonts w:ascii="Cambria" w:hAnsi="Cambria" w:cs="Cambria" w:eastAsia="Cambria"/>
                <w:color w:val="1A1A1A"/>
                <w:sz w:val="18"/>
              </w:rPr>
              <w:t xml:space="preserve">Periferie romane popolose con sacche di deprivazione e minore offerta privata</w:t>
            </w:r>
          </w:p>
        </w:tc>
        <w:tc>
          <w:tcPr/>
          <w:p>
            <w:pPr>
              <w:pStyle w:val="Compact"/>
              <w:spacing w:after="40" w:before="40"/>
              <w:jc w:val="left"/>
            </w:pPr>
            <w:r>
              <w:rPr>
                <w:rFonts w:ascii="Cambria" w:hAnsi="Cambria" w:cs="Cambria" w:eastAsia="Cambria"/>
                <w:color w:val="1A1A1A"/>
                <w:sz w:val="18"/>
              </w:rPr>
              <w:t xml:space="preserve">Sedi nelle Case della Comunità di periferia; allocazione pro-equità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Area metropolitana / province interne</w:t>
            </w:r>
          </w:p>
        </w:tc>
        <w:tc>
          <w:tcPr>
            <w:shd w:val="clear" w:color="auto" w:fill="F4F1EC"/>
          </w:tcPr>
          <w:p>
            <w:pPr>
              <w:pStyle w:val="Compact"/>
              <w:spacing w:after="40" w:before="40"/>
              <w:jc w:val="left"/>
            </w:pPr>
            <w:r>
              <w:rPr>
                <w:rFonts w:ascii="Cambria" w:hAnsi="Cambria" w:cs="Cambria" w:eastAsia="Cambria"/>
                <w:color w:val="1A1A1A"/>
                <w:sz w:val="18"/>
              </w:rPr>
              <w:t xml:space="preserve">Rieti, Viterbo e aree montane: popolazione anziana, dispersa, in spopolamento</w:t>
            </w:r>
          </w:p>
        </w:tc>
        <w:tc>
          <w:tcPr>
            <w:shd w:val="clear" w:color="auto" w:fill="F4F1EC"/>
          </w:tcPr>
          <w:p>
            <w:pPr>
              <w:pStyle w:val="Compact"/>
              <w:spacing w:after="40" w:before="40"/>
              <w:jc w:val="left"/>
            </w:pPr>
            <w:r>
              <w:rPr>
                <w:rFonts w:ascii="Cambria" w:hAnsi="Cambria" w:cs="Cambria" w:eastAsia="Cambria"/>
                <w:color w:val="1A1A1A"/>
                <w:sz w:val="18"/>
              </w:rPr>
              <w:t xml:space="preserve">Telepsicologia assistita; presenza programmata di primo livello</w:t>
            </w:r>
          </w:p>
        </w:tc>
      </w:tr>
      <w:tr>
        <w:tc>
          <w:tcPr/>
          <w:p>
            <w:pPr>
              <w:pStyle w:val="Compact"/>
              <w:spacing w:after="40" w:before="40"/>
              <w:jc w:val="left"/>
            </w:pPr>
            <w:r>
              <w:rPr>
                <w:rFonts w:ascii="Cambria" w:hAnsi="Cambria" w:cs="Cambria" w:eastAsia="Cambria"/>
                <w:b/>
                <w:bCs/>
                <w:color w:val="1A1A1A"/>
                <w:sz w:val="18"/>
              </w:rPr>
              <w:t xml:space="preserve">Popolazione straniera</w:t>
            </w:r>
          </w:p>
        </w:tc>
        <w:tc>
          <w:tcPr/>
          <w:p>
            <w:pPr>
              <w:pStyle w:val="Compact"/>
              <w:spacing w:after="40" w:before="40"/>
              <w:jc w:val="left"/>
            </w:pPr>
            <w:r>
              <w:rPr>
                <w:rFonts w:ascii="Cambria" w:hAnsi="Cambria" w:cs="Cambria" w:eastAsia="Cambria"/>
                <w:color w:val="1A1A1A"/>
                <w:sz w:val="18"/>
              </w:rPr>
              <w:t xml:space="preserve">Barriera linguistica e culturale, concentrata nell’area romana</w:t>
            </w:r>
          </w:p>
        </w:tc>
        <w:tc>
          <w:tcPr/>
          <w:p>
            <w:pPr>
              <w:pStyle w:val="Compact"/>
              <w:spacing w:after="40" w:before="40"/>
              <w:jc w:val="left"/>
            </w:pPr>
            <w:r>
              <w:rPr>
                <w:rFonts w:ascii="Cambria" w:hAnsi="Cambria" w:cs="Cambria" w:eastAsia="Cambria"/>
                <w:color w:val="1A1A1A"/>
                <w:sz w:val="18"/>
              </w:rPr>
              <w:t xml:space="preserve">Mediazione linguistica e competenza culturale</w:t>
            </w:r>
          </w:p>
        </w:tc>
      </w:tr>
    </w:tbl>
    <w:p>
      <w:pPr>
        <w:pStyle w:val="BodyText"/>
      </w:pPr>
      <w:r>
        <w:rPr>
          <w:i/>
          <w:iCs/>
        </w:rPr>
        <w:t xml:space="preserve">Tabella G.1. I due assi del divario territoriale laziale e le leve di riequilibrio.</w:t>
      </w:r>
    </w:p>
    <w:bookmarkEnd w:id="4443"/>
    <w:bookmarkStart w:id="4444" w:name="g.3-gli-strumenti-dellequità-1"/>
    <w:p>
      <w:pPr>
        <w:pStyle w:val="Heading3"/>
      </w:pPr>
      <w:r>
        <w:t xml:space="preserve">G.3 Gli strumenti dell’equità</w:t>
      </w:r>
    </w:p>
    <w:p>
      <w:pPr>
        <w:pStyle w:val="FirstParagraph"/>
      </w:pPr>
      <w:r>
        <w:t xml:space="preserve">Il servizio agisce sull’equità attraverso meccanismi precisi. La gratuità, la prossimità nelle Case della Comunità e la natura di primo livello accessibile senza requisiti specialistici abbattono le principali barriere e indirizzano l’offerta verso chi ne è oggi escluso.</w:t>
      </w:r>
      <w:r>
        <w:rPr>
          <w:rStyle w:val="FootnoteReference"/>
        </w:rPr>
        <w:footnoteReference w:id="2683"/>
      </w:r>
      <w:r>
        <w:t xml:space="preserve"> </w:t>
      </w:r>
      <w:r>
        <w:t xml:space="preserve">La telepsicologia assistita avvicina l’offerta alle province interne e alle periferie metropolitane, in funzione complementare e non sostitutiva della presa in carico in presenza, estendendo la copertura proprio dove l’accesso è più difficile.</w:t>
      </w:r>
      <w:r>
        <w:rPr>
          <w:rStyle w:val="FootnoteReference"/>
        </w:rPr>
        <w:footnoteReference w:id="2684"/>
      </w:r>
      <w:r>
        <w:t xml:space="preserve"> </w:t>
      </w:r>
      <w:r>
        <w:t xml:space="preserve">La competenza culturale e la mediazione linguistica assicurano che la barriera linguistica non si traduca in un minore accesso per la popolazione straniera, condizione di equità particolarmente rilevante nell’area romana.</w:t>
      </w:r>
      <w:r>
        <w:rPr>
          <w:rStyle w:val="FootnoteReference"/>
        </w:rPr>
        <w:footnoteReference w:id="2685"/>
      </w:r>
    </w:p>
    <w:bookmarkEnd w:id="4444"/>
    <w:bookmarkStart w:id="2164" w:name="X1c36b867a454ebee0f3151bc8e5202858d2f4e8"/>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2686"/>
      </w:r>
      <w:r>
        <w:t xml:space="preserve"> </w:t>
      </w:r>
      <w:r>
        <w:t xml:space="preserve">Perché questo potenziale si realizzi,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r>
        <w:rPr>
          <w:rStyle w:val="FootnoteReference"/>
        </w:rPr>
        <w:footnoteReference w:id="2687"/>
      </w:r>
      <w:r>
        <w:t xml:space="preserve"> </w:t>
      </w:r>
      <w:r>
        <w:t xml:space="preserve">Va inoltre tenuto presente che, nel Lazio, il canale della mobilità non costituisce una leva di equità per questo intervento, sicché l’equità si gioca interamente sull’accesso interno.</w:t>
      </w:r>
      <w:r>
        <w:rPr>
          <w:rStyle w:val="FootnoteReference"/>
        </w:rPr>
        <w:footnoteReference w:id="2688"/>
      </w:r>
      <w:r>
        <w:t xml:space="preserve"> </w:t>
      </w:r>
      <w:r>
        <w:t xml:space="preserve">Esiste infine un rischio di iniquità inversa: se l’istituzione del servizio privilegiasse, per facilità organizzativa, le aree già meglio servite del centro, l’effetto distributivo potrebbe risultare regressivo; il rischio va prevenuto con criteri espliciti di equità nell’allocazione, fin dalla fase di istituzione.</w:t>
      </w:r>
      <w:r>
        <w:rPr>
          <w:rStyle w:val="FootnoteReference"/>
        </w:rPr>
        <w:footnoteReference w:id="2689"/>
      </w:r>
      <w:r>
        <w:t xml:space="preserve"> </w:t>
      </w:r>
      <w:r>
        <w:t xml:space="preserve">La sintesi è che l’intervento è favorevole all’equità su entrambi gli assi, a condizione che la copertura sia modulata per il bisogno e che siano garantite la telepsicologia per le aree interne e la competenza culturale per l’utenza straniera; la raccomandazione è di adottare, fin dall’istituzione, un’allocazione pro-equità.</w:t>
      </w:r>
      <w:r>
        <w:rPr>
          <w:rStyle w:val="FootnoteReference"/>
        </w:rPr>
        <w:footnoteReference w:id="2690"/>
      </w:r>
      <w:r>
        <w:t xml:space="preserve"> </w:t>
      </w:r>
      <w:r>
        <w:t xml:space="preserve">La tabella seguente riepiloga l’impatto distributivo atteso.</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43"/>
        <w:gridCol w:w="494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distributiva</w:t>
            </w:r>
          </w:p>
        </w:tc>
        <w:tc>
          <w:tcPr>
            <w:shd w:val="clear" w:color="auto" w:fill="16264B"/>
          </w:tcPr>
          <w:p>
            <w:pPr>
              <w:pStyle w:val="Compact"/>
              <w:spacing w:after="40" w:before="40"/>
              <w:jc w:val="left"/>
            </w:pPr>
            <w:r>
              <w:rPr>
                <w:rFonts w:ascii="Cambria" w:hAnsi="Cambria" w:cs="Cambria" w:eastAsia="Cambria"/>
                <w:b/>
                <w:bCs/>
                <w:color w:val="FFFFFF"/>
                <w:sz w:val="18"/>
              </w:rPr>
              <w:t xml:space="preserve">Esito per il Lazio</w:t>
            </w:r>
          </w:p>
        </w:tc>
      </w:tr>
      <w:tr>
        <w:tc>
          <w:tcPr/>
          <w:p>
            <w:pPr>
              <w:pStyle w:val="Compact"/>
              <w:spacing w:after="40" w:before="40"/>
              <w:jc w:val="left"/>
            </w:pPr>
            <w:r>
              <w:rPr>
                <w:rFonts w:ascii="Cambria" w:hAnsi="Cambria" w:cs="Cambria" w:eastAsia="Cambria"/>
                <w:b/>
                <w:bCs/>
                <w:color w:val="1A1A1A"/>
                <w:sz w:val="18"/>
              </w:rPr>
              <w:t xml:space="preserve">Efficienza complessiva</w:t>
            </w:r>
          </w:p>
        </w:tc>
        <w:tc>
          <w:tcPr/>
          <w:p>
            <w:pPr>
              <w:pStyle w:val="Compact"/>
              <w:spacing w:after="40" w:before="40"/>
              <w:jc w:val="left"/>
            </w:pPr>
            <w:r>
              <w:rPr>
                <w:rFonts w:ascii="Cambria" w:hAnsi="Cambria" w:cs="Cambria" w:eastAsia="Cambria"/>
                <w:color w:val="1A1A1A"/>
                <w:sz w:val="18"/>
              </w:rPr>
              <w:t xml:space="preserve">Intervento costo-efficace e dominante per paziente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Direzione dell’effetto distributivo</w:t>
            </w:r>
          </w:p>
        </w:tc>
        <w:tc>
          <w:tcPr>
            <w:shd w:val="clear" w:color="auto" w:fill="F4F1EC"/>
          </w:tcPr>
          <w:p>
            <w:pPr>
              <w:pStyle w:val="Compact"/>
              <w:spacing w:after="40" w:before="40"/>
              <w:jc w:val="left"/>
            </w:pPr>
            <w:r>
              <w:rPr>
                <w:rFonts w:ascii="Cambria" w:hAnsi="Cambria" w:cs="Cambria" w:eastAsia="Cambria"/>
                <w:color w:val="1A1A1A"/>
                <w:sz w:val="18"/>
              </w:rPr>
              <w:t xml:space="preserve">Favorevole all’equità: maggiori benefici nei gruppi a più alto bisogno</w:t>
            </w:r>
          </w:p>
        </w:tc>
      </w:tr>
      <w:tr>
        <w:tc>
          <w:tcPr/>
          <w:p>
            <w:pPr>
              <w:pStyle w:val="Compact"/>
              <w:spacing w:after="40" w:before="40"/>
              <w:jc w:val="left"/>
            </w:pPr>
            <w:r>
              <w:rPr>
                <w:rFonts w:ascii="Cambria" w:hAnsi="Cambria" w:cs="Cambria" w:eastAsia="Cambria"/>
                <w:b/>
                <w:bCs/>
                <w:color w:val="1A1A1A"/>
                <w:sz w:val="18"/>
              </w:rPr>
              <w:t xml:space="preserve">Condizione di realizzazione</w:t>
            </w:r>
          </w:p>
        </w:tc>
        <w:tc>
          <w:tcPr/>
          <w:p>
            <w:pPr>
              <w:pStyle w:val="Compact"/>
              <w:spacing w:after="40" w:before="40"/>
              <w:jc w:val="left"/>
            </w:pPr>
            <w:r>
              <w:rPr>
                <w:rFonts w:ascii="Cambria" w:hAnsi="Cambria" w:cs="Cambria" w:eastAsia="Cambria"/>
                <w:color w:val="1A1A1A"/>
                <w:sz w:val="18"/>
              </w:rPr>
              <w:t xml:space="preserve">Allocazione modulata per il bisogno (periferie e aree interne)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Strumenti abilitanti</w:t>
            </w:r>
          </w:p>
        </w:tc>
        <w:tc>
          <w:tcPr>
            <w:shd w:val="clear" w:color="auto" w:fill="F4F1EC"/>
          </w:tcPr>
          <w:p>
            <w:pPr>
              <w:pStyle w:val="Compact"/>
              <w:spacing w:after="40" w:before="40"/>
              <w:jc w:val="left"/>
            </w:pPr>
            <w:r>
              <w:rPr>
                <w:rFonts w:ascii="Cambria" w:hAnsi="Cambria" w:cs="Cambria" w:eastAsia="Cambria"/>
                <w:color w:val="1A1A1A"/>
                <w:sz w:val="18"/>
              </w:rPr>
              <w:t xml:space="preserve">Gratuità, prossimità, telepsicologia, competenza culturale</w:t>
            </w:r>
          </w:p>
        </w:tc>
      </w:tr>
      <w:tr>
        <w:tc>
          <w:tcPr/>
          <w:p>
            <w:pPr>
              <w:pStyle w:val="Compact"/>
              <w:spacing w:after="40" w:before="40"/>
              <w:jc w:val="left"/>
            </w:pPr>
            <w:r>
              <w:rPr>
                <w:rFonts w:ascii="Cambria" w:hAnsi="Cambria" w:cs="Cambria" w:eastAsia="Cambria"/>
                <w:b/>
                <w:bCs/>
                <w:color w:val="1A1A1A"/>
                <w:sz w:val="18"/>
              </w:rPr>
              <w:t xml:space="preserve">Rischio da prevenire</w:t>
            </w:r>
          </w:p>
        </w:tc>
        <w:tc>
          <w:tcPr/>
          <w:p>
            <w:pPr>
              <w:pStyle w:val="Compact"/>
              <w:spacing w:after="40" w:before="40"/>
              <w:jc w:val="left"/>
            </w:pPr>
            <w:r>
              <w:rPr>
                <w:rFonts w:ascii="Cambria" w:hAnsi="Cambria" w:cs="Cambria" w:eastAsia="Cambria"/>
                <w:color w:val="1A1A1A"/>
                <w:sz w:val="18"/>
              </w:rPr>
              <w:t xml:space="preserve">Iniquità inversa da allocazione orientata alla facilità organizzativa</w:t>
            </w:r>
          </w:p>
        </w:tc>
      </w:tr>
    </w:tbl>
    <w:p>
      <w:pPr>
        <w:pStyle w:val="BodyText"/>
      </w:pPr>
      <w:r>
        <w:rPr>
          <w:i/>
          <w:iCs/>
        </w:rPr>
        <w:t xml:space="preserve">Tabella G.2. L</w:t>
      </w:r>
      <w:r>
        <w:rPr>
          <w:b/>
          <w:bCs/>
          <w:i/>
          <w:iCs/>
        </w:rPr>
        <w:t xml:space="preserve">‘impatto distributivo atteso dell’</w:t>
      </w:r>
      <w:r>
        <w:rPr>
          <w:i/>
          <w:iCs/>
        </w:rPr>
        <w:t xml:space="preserve">intervento e le sue condizioni.</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w:t>
      </w:r>
      <w:r>
        <w:rPr>
          <w:b/>
          <w:bCs/>
          <w:i/>
          <w:iCs/>
        </w:rPr>
        <w:t xml:space="preserve">’</w:t>
      </w:r>
      <w:r>
        <w:rPr>
          <w:i/>
          <w:iCs/>
        </w:rPr>
        <w:t xml:space="preserve">atto, rapporto di lavoro, governance, tutele etiche e protezione dei dati</w:t>
      </w:r>
    </w:p>
    <w:p>
      <w:pPr>
        <w:pStyle w:val="BodyText"/>
      </w:pPr>
      <w:r>
        <w:t xml:space="preserve">Domini dell’HTA · aspetti giuridici, etici e organizzativi</w:t>
      </w:r>
    </w:p>
    <w:bookmarkEnd w:id="2164"/>
    <w:bookmarkEnd w:id="2165"/>
    <w:bookmarkStart w:id="2201" w:name="X30fc96cf1b679e92120f09f12ede85f9c83aff3"/>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 Lazio. La parte tratta il profilo giuridico — la competenza, la forma dell’atto, il rapporto di lavoro e i livelli essenziali (capitolo H.1); il profilo organizzativo — l’assetto e la governance dell’istituzione (H.2); il profilo etico — le tutele a garanzia dei pazienti (H.3); e la sintesi dei tre profili (H.4). Il tratto distintivo del Lazio emerge sul piano giuridico: a differenza delle regioni già dotate di una legge, la condizione abilitante dell’intervento è qui l’approvazione della legge istitutiva, che la regione deve ancora compiere.</w:t>
      </w:r>
    </w:p>
    <w:bookmarkStart w:id="4445" w:name="h.1-il-profilo-giuridico-1"/>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2691"/>
      </w:r>
      <w:r>
        <w:rPr>
          <w:rStyle w:val="FootnoteReference"/>
        </w:rPr>
        <w:footnoteReference w:id="2692"/>
      </w:r>
      <w:r>
        <w:rPr>
          <w:rStyle w:val="FootnoteReference"/>
        </w:rPr>
        <w:footnoteReference w:id="2693"/>
      </w:r>
      <w:r>
        <w:rPr>
          <w:rStyle w:val="FootnoteReference"/>
        </w:rPr>
        <w:footnoteReference w:id="2694"/>
      </w:r>
      <w:r>
        <w:rPr>
          <w:rStyle w:val="FootnoteReference"/>
        </w:rPr>
        <w:footnoteReference w:id="2695"/>
      </w:r>
      <w:r>
        <w:rPr>
          <w:rStyle w:val="FootnoteReference"/>
        </w:rPr>
        <w:footnoteReference w:id="2696"/>
      </w:r>
      <w:r>
        <w:rPr>
          <w:rStyle w:val="FootnoteReference"/>
        </w:rPr>
        <w:footnoteReference w:id="2697"/>
      </w:r>
      <w:r>
        <w:rPr>
          <w:rStyle w:val="FootnoteReference"/>
        </w:rPr>
        <w:footnoteReference w:id="2698"/>
      </w:r>
      <w:r>
        <w:rPr>
          <w:rStyle w:val="FootnoteReference"/>
        </w:rPr>
        <w:footnoteReference w:id="2699"/>
      </w:r>
      <w:r>
        <w:rPr>
          <w:rStyle w:val="FootnoteReference"/>
        </w:rPr>
        <w:footnoteReference w:id="2700"/>
      </w:r>
      <w:r>
        <w:rPr>
          <w:rStyle w:val="FootnoteReference"/>
        </w:rPr>
        <w:footnoteReference w:id="2701"/>
      </w:r>
      <w:r>
        <w:rPr>
          <w:rStyle w:val="FootnoteReference"/>
        </w:rPr>
        <w:footnoteReference w:id="2702"/>
      </w:r>
      <w:r>
        <w:rPr>
          <w:rStyle w:val="FootnoteReference"/>
        </w:rPr>
        <w:footnoteReference w:id="2703"/>
      </w:r>
      <w:r>
        <w:rPr>
          <w:rStyle w:val="FootnoteReference"/>
        </w:rPr>
        <w:footnoteReference w:id="2704"/>
      </w:r>
      <w:r>
        <w:rPr>
          <w:rStyle w:val="FootnoteReference"/>
        </w:rPr>
        <w:footnoteReference w:id="2705"/>
      </w:r>
      <w:r>
        <w:rPr>
          <w:rStyle w:val="FootnoteReference"/>
        </w:rPr>
        <w:footnoteReference w:id="2706"/>
      </w:r>
      <w:r>
        <w:t xml:space="preserve"> </w:t>
      </w:r>
      <w:r>
        <w:t xml:space="preserve">Sul piano giuridico, la materia si colloca nella competenza concorrente in tema di tutela della salute, e la sentenza della Corte Costituzionale n. 241 del 2021 ne ha delimitato lo spazio regionale, che deve esercitarsi nel rispetto dei principi fondamentali statali: il Lazio dispone quindi del titolo per istituire il servizio con legge propria, purché coordinata con la cornice nazionale.</w:t>
      </w:r>
      <w:r>
        <w:rPr>
          <w:rStyle w:val="FootnoteReference"/>
        </w:rPr>
        <w:footnoteReference w:id="2707"/>
      </w:r>
      <w:r>
        <w:t xml:space="preserve"> </w:t>
      </w:r>
      <w:r>
        <w:t xml:space="preserve">Qui si colloca la specificità della regione: non disponendo di una legge dedicata, ma di una proposta di iniziativa consiliare e di una di iniziativa popolare, la decisione giuridica rilevante è l’approvazione della legge istitutiva, presupposto formale dell’intero intervento.</w:t>
      </w:r>
      <w:r>
        <w:rPr>
          <w:rStyle w:val="FootnoteReference"/>
        </w:rPr>
        <w:footnoteReference w:id="2708"/>
      </w:r>
      <w:r>
        <w:t xml:space="preserve"> </w:t>
      </w:r>
      <w:r>
        <w:t xml:space="preserve">Il rapporto di lavoro prevalente, anche nelle proposte in itinere, è quello convenzionale su base libero-professionale, per analogia con la medicina generale, da presidiare sul piano delle tutele e della continuità.</w:t>
      </w:r>
      <w:r>
        <w:rPr>
          <w:rStyle w:val="FootnoteReference"/>
        </w:rPr>
        <w:footnoteReference w:id="2709"/>
      </w:r>
      <w:r>
        <w:t xml:space="preserve"> </w:t>
      </w:r>
      <w:r>
        <w:t xml:space="preserve">Quanto ai livelli essenziali di assistenza, la psicologia di base non vi è ancora esplicitamente ricompresa, ma la Regione può istituirla con risorse proprie, e un futuro riconoscimento ne rafforzerebbe la stabilità finanziaria.</w:t>
      </w:r>
      <w:r>
        <w:rPr>
          <w:rStyle w:val="FootnoteReference"/>
        </w:rPr>
        <w:footnoteReference w:id="2710"/>
      </w:r>
      <w:r>
        <w:t xml:space="preserve"> </w:t>
      </w:r>
      <w:r>
        <w:t xml:space="preserve">Il servizio si inserisce coerentemente nella cornice degli standard territoriali e delle Case della Comunità,</w:t>
      </w:r>
      <w:r>
        <w:rPr>
          <w:rStyle w:val="FootnoteReference"/>
        </w:rPr>
        <w:footnoteReference w:id="2711"/>
      </w:r>
      <w:r>
        <w:t xml:space="preserve"> </w:t>
      </w:r>
      <w:r>
        <w:t xml:space="preserve">e si rapporta ai Centri di Salute Mentale per integrazione e non per sovrapposizione, precedendoli e alleggerendoli.</w:t>
      </w:r>
      <w:r>
        <w:rPr>
          <w:rStyle w:val="FootnoteReference"/>
        </w:rPr>
        <w:footnoteReference w:id="2712"/>
      </w:r>
      <w:r>
        <w:t xml:space="preserve"> </w:t>
      </w:r>
      <w:r>
        <w:t xml:space="preserve">La tabella seguente riepiloga i profili giuridici.</w:t>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48"/>
        <w:gridCol w:w="546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Profilo giuridico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il Lazio</w:t>
            </w:r>
          </w:p>
        </w:tc>
      </w:tr>
      <w:tr>
        <w:tc>
          <w:tcPr/>
          <w:p>
            <w:pPr>
              <w:pStyle w:val="Compact"/>
              <w:spacing w:after="40" w:before="40"/>
              <w:jc w:val="left"/>
            </w:pPr>
            <w:r>
              <w:rPr>
                <w:rFonts w:ascii="Cambria" w:hAnsi="Cambria" w:cs="Cambria" w:eastAsia="Cambria"/>
                <w:b/>
                <w:bCs/>
                <w:color w:val="1A1A1A"/>
                <w:sz w:val="18"/>
              </w:rPr>
              <w:t xml:space="preserve">Competenza</w:t>
            </w:r>
          </w:p>
        </w:tc>
        <w:tc>
          <w:tcPr/>
          <w:p>
            <w:pPr>
              <w:pStyle w:val="Compact"/>
              <w:spacing w:after="40" w:before="40"/>
              <w:jc w:val="left"/>
            </w:pPr>
            <w:r>
              <w:rPr>
                <w:rFonts w:ascii="Cambria" w:hAnsi="Cambria" w:cs="Cambria" w:eastAsia="Cambria"/>
                <w:color w:val="1A1A1A"/>
                <w:sz w:val="18"/>
              </w:rPr>
              <w:t xml:space="preserve">Concorrente in tutela della salute; Corte Cost. 241/2021 delimita lo spazio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Forma dell’atto</w:t>
            </w:r>
          </w:p>
        </w:tc>
        <w:tc>
          <w:tcPr>
            <w:shd w:val="clear" w:color="auto" w:fill="F4F1EC"/>
          </w:tcPr>
          <w:p>
            <w:pPr>
              <w:pStyle w:val="Compact"/>
              <w:spacing w:after="40" w:before="40"/>
              <w:jc w:val="left"/>
            </w:pPr>
            <w:r>
              <w:rPr>
                <w:rFonts w:ascii="Cambria" w:hAnsi="Cambria" w:cs="Cambria" w:eastAsia="Cambria"/>
                <w:color w:val="1A1A1A"/>
                <w:sz w:val="18"/>
              </w:rPr>
              <w:t xml:space="preserve">Legge regionale istitutiva da approvare (proposte di iniziativa consiliare e popolare in itinere)</w:t>
            </w:r>
          </w:p>
        </w:tc>
      </w:tr>
      <w:tr>
        <w:tc>
          <w:tcPr/>
          <w:p>
            <w:pPr>
              <w:pStyle w:val="Compact"/>
              <w:spacing w:after="40" w:before="40"/>
              <w:jc w:val="left"/>
            </w:pPr>
            <w:r>
              <w:rPr>
                <w:rFonts w:ascii="Cambria" w:hAnsi="Cambria" w:cs="Cambria" w:eastAsia="Cambria"/>
                <w:b/>
                <w:bCs/>
                <w:color w:val="1A1A1A"/>
                <w:sz w:val="18"/>
              </w:rPr>
              <w:t xml:space="preserve">Rapporto di lavoro</w:t>
            </w:r>
          </w:p>
        </w:tc>
        <w:tc>
          <w:tcPr/>
          <w:p>
            <w:pPr>
              <w:pStyle w:val="Compact"/>
              <w:spacing w:after="40" w:before="40"/>
              <w:jc w:val="left"/>
            </w:pPr>
            <w:r>
              <w:rPr>
                <w:rFonts w:ascii="Cambria" w:hAnsi="Cambria" w:cs="Cambria" w:eastAsia="Cambria"/>
                <w:color w:val="1A1A1A"/>
                <w:sz w:val="18"/>
              </w:rPr>
              <w:t xml:space="preserve">Convenzionale su base libero-professionale, per analogia con la medicina generale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Livelli essenziali di assistenza</w:t>
            </w:r>
          </w:p>
        </w:tc>
        <w:tc>
          <w:tcPr>
            <w:shd w:val="clear" w:color="auto" w:fill="F4F1EC"/>
          </w:tcPr>
          <w:p>
            <w:pPr>
              <w:pStyle w:val="Compact"/>
              <w:spacing w:after="40" w:before="40"/>
              <w:jc w:val="left"/>
            </w:pPr>
            <w:r>
              <w:rPr>
                <w:rFonts w:ascii="Cambria" w:hAnsi="Cambria" w:cs="Cambria" w:eastAsia="Cambria"/>
                <w:color w:val="1A1A1A"/>
                <w:sz w:val="18"/>
              </w:rPr>
              <w:t xml:space="preserve">Non ancora esplicitamente ricompresi; istituzione con risorse proprie regionali</w:t>
            </w:r>
          </w:p>
        </w:tc>
      </w:tr>
      <w:tr>
        <w:tc>
          <w:tcPr/>
          <w:p>
            <w:pPr>
              <w:pStyle w:val="Compact"/>
              <w:spacing w:after="40" w:before="40"/>
              <w:jc w:val="left"/>
            </w:pPr>
            <w:r>
              <w:rPr>
                <w:rFonts w:ascii="Cambria" w:hAnsi="Cambria" w:cs="Cambria" w:eastAsia="Cambria"/>
                <w:b/>
                <w:bCs/>
                <w:color w:val="1A1A1A"/>
                <w:sz w:val="18"/>
              </w:rPr>
              <w:t xml:space="preserve">Cornice territoriale</w:t>
            </w:r>
          </w:p>
        </w:tc>
        <w:tc>
          <w:tcPr/>
          <w:p>
            <w:pPr>
              <w:pStyle w:val="Compact"/>
              <w:spacing w:after="40" w:before="40"/>
              <w:jc w:val="left"/>
            </w:pPr>
            <w:r>
              <w:rPr>
                <w:rFonts w:ascii="Cambria" w:hAnsi="Cambria" w:cs="Cambria" w:eastAsia="Cambria"/>
                <w:color w:val="1A1A1A"/>
                <w:sz w:val="18"/>
              </w:rPr>
              <w:t xml:space="preserve">Decreto Ministeriale 77/2022; inserimento nelle Case della Comunità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con i servizi specialistici</w:t>
            </w:r>
          </w:p>
        </w:tc>
        <w:tc>
          <w:tcPr>
            <w:shd w:val="clear" w:color="auto" w:fill="F4F1EC"/>
          </w:tcPr>
          <w:p>
            <w:pPr>
              <w:pStyle w:val="Compact"/>
              <w:spacing w:after="40" w:before="40"/>
              <w:jc w:val="left"/>
            </w:pPr>
            <w:r>
              <w:rPr>
                <w:rFonts w:ascii="Cambria" w:hAnsi="Cambria" w:cs="Cambria" w:eastAsia="Cambria"/>
                <w:color w:val="1A1A1A"/>
                <w:sz w:val="18"/>
              </w:rPr>
              <w:t xml:space="preserve">Integrazione con i Centri di Salute Mentale, che il servizio precede e alleggerisce</w:t>
            </w:r>
          </w:p>
        </w:tc>
      </w:tr>
    </w:tbl>
    <w:p>
      <w:pPr>
        <w:pStyle w:val="BodyText"/>
      </w:pPr>
      <w:r>
        <w:rPr>
          <w:i/>
          <w:iCs/>
        </w:rPr>
        <w:t xml:space="preserve">Tabella H.1. I profili giuridici dell</w:t>
      </w:r>
      <w:r>
        <w:rPr>
          <w:b/>
          <w:bCs/>
          <w:i/>
          <w:iCs/>
        </w:rPr>
        <w:t xml:space="preserve">’</w:t>
      </w:r>
      <w:r>
        <w:rPr>
          <w:i/>
          <w:iCs/>
        </w:rPr>
        <w:t xml:space="preserve">istituzione del servizio nel Lazio.</w:t>
      </w:r>
    </w:p>
    <w:bookmarkEnd w:id="4445"/>
    <w:bookmarkStart w:id="2192" w:name="Xbc14b29bd37c6b2941d1c97ec6a8be06e0fa549"/>
    <w:p>
      <w:pPr>
        <w:pStyle w:val="Heading3"/>
      </w:pPr>
      <w:r>
        <w:t xml:space="preserve">H.2 Il profilo organizzativo e la governance</w:t>
      </w:r>
    </w:p>
    <w:p>
      <w:pPr>
        <w:pStyle w:val="FirstParagraph"/>
      </w:pPr>
      <w:r>
        <w:t xml:space="preserve">Sul piano organizzativo, l’istituzione del servizio nel Lazio deve misurarsi con un sistema esteso e policentrico — dieci Aziende Sanitarie Locali, numerose aziende ospedaliero-universitarie e IRCCS — e con l’assenza di un’azienda regionale unica, sicché il coordinamento è in capo alla Regione e la sfida centrale è garantire l’omogeneità attuativa fra le Aziende.</w:t>
      </w:r>
      <w:r>
        <w:rPr>
          <w:rStyle w:val="FootnoteReference"/>
        </w:rPr>
        <w:footnoteReference w:id="2713"/>
      </w:r>
      <w:r>
        <w:t xml:space="preserve"> </w:t>
      </w:r>
      <w:r>
        <w:t xml:space="preserve">L’avvio richiede perciò una regia regionale che coordini le Aziende, gli IRCCS, l’Ordine professionale, le rappresentanze della medicina generale e della pediatria di libera scelta e gli atenei, definendo indirizzi operativi uniformi e un sistema di monitoraggio comune.</w:t>
      </w:r>
      <w:r>
        <w:rPr>
          <w:rStyle w:val="FootnoteReference"/>
        </w:rPr>
        <w:footnoteReference w:id="2714"/>
      </w:r>
      <w:r>
        <w:t xml:space="preserve"> </w:t>
      </w:r>
      <w:r>
        <w:t xml:space="preserve">In questo quadro l’Ordine degli Psicologi del Lazio, che ha accompagnato l’iniziativa legislativa, concorre alla definizione dei requisiti, alla formazione e alla vigilanza deontologica.</w:t>
      </w:r>
      <w:r>
        <w:rPr>
          <w:rStyle w:val="FootnoteReference"/>
        </w:rPr>
        <w:footnoteReference w:id="2715"/>
      </w:r>
      <w:r>
        <w:t xml:space="preserve"> </w:t>
      </w:r>
      <w:r>
        <w:t xml:space="preserve">La tabella seguente sintetizza l’assetto organizzativo e di governance.</w:t>
      </w:r>
    </w:p>
    <w:tbl>
      <w:tblPr>
        <w:tblStyle w:val="Table"/>
        <w:tblW w:type="pct" w:w="493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39"/>
        <w:gridCol w:w="597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organizzativo</w:t>
            </w:r>
          </w:p>
        </w:tc>
        <w:tc>
          <w:tcPr>
            <w:shd w:val="clear" w:color="auto" w:fill="16264B"/>
          </w:tcPr>
          <w:p>
            <w:pPr>
              <w:pStyle w:val="Compact"/>
              <w:spacing w:after="40" w:before="40"/>
              <w:jc w:val="left"/>
            </w:pPr>
            <w:r>
              <w:rPr>
                <w:rFonts w:ascii="Cambria" w:hAnsi="Cambria" w:cs="Cambria" w:eastAsia="Cambria"/>
                <w:b/>
                <w:bCs/>
                <w:color w:val="FFFFFF"/>
                <w:sz w:val="18"/>
              </w:rPr>
              <w:t xml:space="preserve">Assetto per il Lazio</w:t>
            </w:r>
          </w:p>
        </w:tc>
      </w:tr>
      <w:tr>
        <w:tc>
          <w:tcPr/>
          <w:p>
            <w:pPr>
              <w:pStyle w:val="Compact"/>
              <w:spacing w:after="40" w:before="40"/>
              <w:jc w:val="left"/>
            </w:pPr>
            <w:r>
              <w:rPr>
                <w:rFonts w:ascii="Cambria" w:hAnsi="Cambria" w:cs="Cambria" w:eastAsia="Cambria"/>
                <w:b/>
                <w:bCs/>
                <w:color w:val="1A1A1A"/>
                <w:sz w:val="18"/>
              </w:rPr>
              <w:t xml:space="preserve">Articolazione del sistema</w:t>
            </w:r>
          </w:p>
        </w:tc>
        <w:tc>
          <w:tcPr/>
          <w:p>
            <w:pPr>
              <w:pStyle w:val="Compact"/>
              <w:spacing w:after="40" w:before="40"/>
              <w:jc w:val="left"/>
            </w:pPr>
            <w:r>
              <w:rPr>
                <w:rFonts w:ascii="Cambria" w:hAnsi="Cambria" w:cs="Cambria" w:eastAsia="Cambria"/>
                <w:color w:val="1A1A1A"/>
                <w:sz w:val="18"/>
              </w:rPr>
              <w:t xml:space="preserve">Dieci Aziende Sanitarie Locali (sei metropolitane, quattro provinciali); aziende ospedaliero-universitarie e IRCCS</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Coordinamento</w:t>
            </w:r>
          </w:p>
        </w:tc>
        <w:tc>
          <w:tcPr>
            <w:shd w:val="clear" w:color="auto" w:fill="F4F1EC"/>
          </w:tcPr>
          <w:p>
            <w:pPr>
              <w:pStyle w:val="Compact"/>
              <w:spacing w:after="40" w:before="40"/>
              <w:jc w:val="left"/>
            </w:pPr>
            <w:r>
              <w:rPr>
                <w:rFonts w:ascii="Cambria" w:hAnsi="Cambria" w:cs="Cambria" w:eastAsia="Cambria"/>
                <w:color w:val="1A1A1A"/>
                <w:sz w:val="18"/>
              </w:rPr>
              <w:t xml:space="preserve">In capo alla Regione; assenza di un’azienda regionale unica</w:t>
            </w:r>
          </w:p>
        </w:tc>
      </w:tr>
      <w:tr>
        <w:tc>
          <w:tcPr/>
          <w:p>
            <w:pPr>
              <w:pStyle w:val="Compact"/>
              <w:spacing w:after="40" w:before="40"/>
              <w:jc w:val="left"/>
            </w:pPr>
            <w:r>
              <w:rPr>
                <w:rFonts w:ascii="Cambria" w:hAnsi="Cambria" w:cs="Cambria" w:eastAsia="Cambria"/>
                <w:b/>
                <w:bCs/>
                <w:color w:val="1A1A1A"/>
                <w:sz w:val="18"/>
              </w:rPr>
              <w:t xml:space="preserve">Sfida organizzativa</w:t>
            </w:r>
          </w:p>
        </w:tc>
        <w:tc>
          <w:tcPr/>
          <w:p>
            <w:pPr>
              <w:pStyle w:val="Compact"/>
              <w:spacing w:after="40" w:before="40"/>
              <w:jc w:val="left"/>
            </w:pPr>
            <w:r>
              <w:rPr>
                <w:rFonts w:ascii="Cambria" w:hAnsi="Cambria" w:cs="Cambria" w:eastAsia="Cambria"/>
                <w:color w:val="1A1A1A"/>
                <w:sz w:val="18"/>
              </w:rPr>
              <w:t xml:space="preserve">Omogeneità attuativa fra le Aziende in un sistema esteso e policentrico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Regia dell’istituzione</w:t>
            </w:r>
          </w:p>
        </w:tc>
        <w:tc>
          <w:tcPr>
            <w:shd w:val="clear" w:color="auto" w:fill="F4F1EC"/>
          </w:tcPr>
          <w:p>
            <w:pPr>
              <w:pStyle w:val="Compact"/>
              <w:spacing w:after="40" w:before="40"/>
              <w:jc w:val="left"/>
            </w:pPr>
            <w:r>
              <w:rPr>
                <w:rFonts w:ascii="Cambria" w:hAnsi="Cambria" w:cs="Cambria" w:eastAsia="Cambria"/>
                <w:color w:val="1A1A1A"/>
                <w:sz w:val="18"/>
              </w:rPr>
              <w:t xml:space="preserve">Indirizzi operativi uniformi e sistema di monitoraggio comune definiti dalla Regione</w:t>
            </w:r>
          </w:p>
        </w:tc>
      </w:tr>
      <w:tr>
        <w:tc>
          <w:tcPr/>
          <w:p>
            <w:pPr>
              <w:pStyle w:val="Compact"/>
              <w:spacing w:after="40" w:before="40"/>
              <w:jc w:val="left"/>
            </w:pPr>
            <w:r>
              <w:rPr>
                <w:rFonts w:ascii="Cambria" w:hAnsi="Cambria" w:cs="Cambria" w:eastAsia="Cambria"/>
                <w:b/>
                <w:bCs/>
                <w:color w:val="1A1A1A"/>
                <w:sz w:val="18"/>
              </w:rPr>
              <w:t xml:space="preserve">Soggetti coinvolti</w:t>
            </w:r>
          </w:p>
        </w:tc>
        <w:tc>
          <w:tcPr/>
          <w:p>
            <w:pPr>
              <w:pStyle w:val="Compact"/>
              <w:spacing w:after="40" w:before="40"/>
              <w:jc w:val="left"/>
            </w:pPr>
            <w:r>
              <w:rPr>
                <w:rFonts w:ascii="Cambria" w:hAnsi="Cambria" w:cs="Cambria" w:eastAsia="Cambria"/>
                <w:color w:val="1A1A1A"/>
                <w:sz w:val="18"/>
              </w:rPr>
              <w:t xml:space="preserve">Aziende, IRCCS, Ordine professionale, medicina generale e pediatria, atenei</w:t>
            </w:r>
          </w:p>
        </w:tc>
      </w:tr>
    </w:tbl>
    <w:p>
      <w:pPr>
        <w:pStyle w:val="BodyText"/>
      </w:pPr>
      <w:r>
        <w:rPr>
          <w:i/>
          <w:iCs/>
        </w:rPr>
        <w:t xml:space="preserve">Tabella H.2. L</w:t>
      </w:r>
      <w:r>
        <w:rPr>
          <w:b/>
          <w:bCs/>
          <w:i/>
          <w:iCs/>
        </w:rPr>
        <w:t xml:space="preserve">‘assetto organizzativo e la governance dell’</w:t>
      </w:r>
      <w:r>
        <w:rPr>
          <w:i/>
          <w:iCs/>
        </w:rPr>
        <w:t xml:space="preserve">istituzione.</w:t>
      </w:r>
    </w:p>
    <w:bookmarkEnd w:id="2192"/>
    <w:bookmarkStart w:id="4446" w:name="h.3-il-profilo-etico-1"/>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2716"/>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2717"/>
      </w:r>
      <w:r>
        <w:t xml:space="preserve"> </w:t>
      </w:r>
      <w:r>
        <w:t xml:space="preserve">Gli strumenti di intelligenza artificiale sono concepiti come ausilio del clinico, in conformità al quadro europeo e ai requisiti sui dispositivi medici,</w:t>
      </w:r>
      <w:r>
        <w:rPr>
          <w:rStyle w:val="FootnoteReference"/>
        </w:rPr>
        <w:footnoteReference w:id="2718"/>
      </w:r>
      <w:r>
        <w:t xml:space="preserve"> </w:t>
      </w:r>
      <w:r>
        <w:t xml:space="preserve">il trattamento dei dati è conforme alla normativa e ispirato alla minimizzazione,</w:t>
      </w:r>
      <w:r>
        <w:rPr>
          <w:rStyle w:val="FootnoteReference"/>
        </w:rPr>
        <w:footnoteReference w:id="2719"/>
      </w:r>
      <w:r>
        <w:t xml:space="preserve"> </w:t>
      </w:r>
      <w:r>
        <w:t xml:space="preserve">e la responsabilità delle decisioni cliniche resta interamente in capo al professionista, cui gli strumenti forniscono un ausilio non vincolante.</w:t>
      </w:r>
      <w:r>
        <w:rPr>
          <w:rStyle w:val="FootnoteReference"/>
        </w:rPr>
        <w:footnoteReference w:id="2720"/>
      </w:r>
    </w:p>
    <w:bookmarkEnd w:id="4446"/>
    <w:bookmarkStart w:id="2200" w:name="h.4-sintesi-dei-profili-1"/>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presidiabili, e la condizione abilitante dell’intero intervento è l’approvazione della legge istitutiva, che il Lazio — a differenza delle regioni già dotate di una propria disciplina — deve ancora compiere. È questo l’atto da cui dipende il passaggio dalla proposta all’istituzione del servizio.</w:t>
      </w:r>
      <w:r>
        <w:rPr>
          <w:rStyle w:val="FootnoteReference"/>
        </w:rPr>
        <w:footnoteReference w:id="2721"/>
      </w:r>
      <w:r>
        <w:t xml:space="preserve"> </w:t>
      </w:r>
      <w:r>
        <w:t xml:space="preserve">Definiti i profili, la parte che segue affronta l’attuazione, la fattibilità e la sostenibilità.</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ex novo, le fasi di attuazione, i rischi e le mitigazioni</w:t>
      </w:r>
    </w:p>
    <w:p>
      <w:pPr>
        <w:pStyle w:val="BodyText"/>
      </w:pPr>
      <w:r>
        <w:t xml:space="preserve">Five Case Model · la realizzabilità della decisione</w:t>
      </w:r>
    </w:p>
    <w:bookmarkEnd w:id="2200"/>
    <w:bookmarkEnd w:id="2201"/>
    <w:bookmarkStart w:id="4447" w:name="X328b67340a5d19becdaf0c2931e415608702821"/>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 Lazio. La parte espone i cinque casi (capitolo I.1); definisce il dimensionamento ex novo e le fasi di attuazione (I.2); tratta il reclutamento, la formazione e il cronoprogramma (I.3); analizza la sostenibilità finanziaria e organizzativa (I.4); e individua i rischi e le mitigazioni (I.5). Il tratto distintivo del Lazio è che l’attuazione muove da zero: non la strutturazione di un servizio già avviato, ma la sua istituzione, subordinata all’approvazione della legge, in una regione che dispone però di un bacino professionale ampio e di una tradizione scientifica favorevole.</w:t>
      </w:r>
    </w:p>
    <w:bookmarkStart w:id="2223" w:name="i.1-i-cinque-casi-della-decisione-1"/>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2722"/>
      </w:r>
      <w:r>
        <w:rPr>
          <w:rStyle w:val="FootnoteReference"/>
        </w:rPr>
        <w:footnoteReference w:id="2723"/>
      </w:r>
      <w:r>
        <w:rPr>
          <w:rStyle w:val="FootnoteReference"/>
        </w:rPr>
        <w:footnoteReference w:id="2724"/>
      </w:r>
      <w:r>
        <w:rPr>
          <w:rStyle w:val="FootnoteReference"/>
        </w:rPr>
        <w:footnoteReference w:id="2725"/>
      </w:r>
      <w:r>
        <w:rPr>
          <w:rStyle w:val="FootnoteReference"/>
        </w:rPr>
        <w:footnoteReference w:id="2726"/>
      </w:r>
      <w:r>
        <w:rPr>
          <w:rStyle w:val="FootnoteReference"/>
        </w:rPr>
        <w:footnoteReference w:id="2727"/>
      </w:r>
      <w:r>
        <w:rPr>
          <w:rStyle w:val="FootnoteReference"/>
        </w:rPr>
        <w:footnoteReference w:id="2728"/>
      </w:r>
      <w:r>
        <w:rPr>
          <w:rStyle w:val="FootnoteReference"/>
        </w:rPr>
        <w:footnoteReference w:id="2729"/>
      </w:r>
      <w:r>
        <w:rPr>
          <w:rStyle w:val="FootnoteReference"/>
        </w:rPr>
        <w:footnoteReference w:id="2730"/>
      </w:r>
      <w:r>
        <w:rPr>
          <w:rStyle w:val="FootnoteReference"/>
        </w:rPr>
        <w:footnoteReference w:id="2731"/>
      </w:r>
      <w:r>
        <w:rPr>
          <w:rStyle w:val="FootnoteReference"/>
        </w:rPr>
        <w:footnoteReference w:id="2732"/>
      </w:r>
      <w:r>
        <w:rPr>
          <w:rStyle w:val="FootnoteReference"/>
        </w:rPr>
        <w:footnoteReference w:id="2733"/>
      </w:r>
      <w:r>
        <w:rPr>
          <w:rStyle w:val="FootnoteReference"/>
        </w:rPr>
        <w:footnoteReference w:id="2734"/>
      </w:r>
      <w:r>
        <w:rPr>
          <w:rStyle w:val="FootnoteReference"/>
        </w:rPr>
        <w:footnoteReference w:id="2735"/>
      </w:r>
      <w:r>
        <w:rPr>
          <w:rStyle w:val="FootnoteReference"/>
        </w:rPr>
        <w:footnoteReference w:id="2736"/>
      </w:r>
      <w:r>
        <w:rPr>
          <w:rStyle w:val="FootnoteReference"/>
        </w:rPr>
        <w:footnoteReference w:id="2737"/>
      </w:r>
      <w:r>
        <w:t xml:space="preserve"> </w:t>
      </w:r>
      <w:r>
        <w:t xml:space="preserve">Il caso strategico è solido: l’istituzione del servizio è coerente con gli standard territoriali, con le Case della Comunità e con il Piano regionale di salute mentale, e nel Lazio dà forma istituzionale a un modello elaborato nella regione, sanando la distanza fra la sua paternità scientifica e la sua mancata istituzione.</w:t>
      </w:r>
      <w:r>
        <w:rPr>
          <w:rStyle w:val="FootnoteReference"/>
        </w:rPr>
        <w:footnoteReference w:id="2738"/>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2739"/>
      </w:r>
      <w:r>
        <w:t xml:space="preserve"> </w:t>
      </w:r>
      <w:r>
        <w:t xml:space="preserve">Il caso commerciale è praticabile e si avvale di un bacino professionale ampio, alimentato dai numerosi atenei romani.</w:t>
      </w:r>
      <w:r>
        <w:rPr>
          <w:rStyle w:val="FootnoteReference"/>
        </w:rPr>
        <w:footnoteReference w:id="2740"/>
      </w:r>
      <w:r>
        <w:t xml:space="preserve"> </w:t>
      </w:r>
      <w:r>
        <w:t xml:space="preserve">Il caso finanziario è sostenibile, con un costo pari allo 0,3–0,5% del finanziamento sanitario regionale e i margini riacquistati con l’uscita dal piano di rientro.</w:t>
      </w:r>
      <w:r>
        <w:rPr>
          <w:rStyle w:val="FootnoteReference"/>
        </w:rPr>
        <w:footnoteReference w:id="2741"/>
      </w:r>
      <w:r>
        <w:t xml:space="preserve"> </w:t>
      </w:r>
      <w:r>
        <w:t xml:space="preserve">Il caso gestionale dipende da una regia regionale che, in assenza di un’azienda unica, coordini il sistema policentrico.</w:t>
      </w:r>
      <w:r>
        <w:rPr>
          <w:rStyle w:val="FootnoteReference"/>
        </w:rPr>
        <w:footnoteReference w:id="2742"/>
      </w:r>
      <w:r>
        <w:t xml:space="preserve"> </w:t>
      </w:r>
      <w:r>
        <w:t xml:space="preserve">La tabella seguente riepiloga i cinque casi.</w:t>
      </w:r>
    </w:p>
    <w:tbl>
      <w:tblPr>
        <w:tblStyle w:val="Table"/>
        <w:tblW w:type="pct" w:w="493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70"/>
        <w:gridCol w:w="605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Caso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il Lazio</w:t>
            </w:r>
          </w:p>
        </w:tc>
      </w:tr>
      <w:tr>
        <w:tc>
          <w:tcPr/>
          <w:p>
            <w:pPr>
              <w:pStyle w:val="Compact"/>
              <w:spacing w:after="40" w:before="40"/>
              <w:jc w:val="left"/>
            </w:pPr>
            <w:r>
              <w:rPr>
                <w:rFonts w:ascii="Cambria" w:hAnsi="Cambria" w:cs="Cambria" w:eastAsia="Cambria"/>
                <w:b/>
                <w:bCs/>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Coerenza con DM 77/2022, Case della Comunità e Piano salute mentale; forma istituzionale a un modello nato nella regione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Rapporto beneficio-costo 3,9–5,5 a uno; dominanza per paziente; caso sociale fortemente positivo</w:t>
            </w:r>
          </w:p>
        </w:tc>
      </w:tr>
      <w:tr>
        <w:tc>
          <w:tcPr/>
          <w:p>
            <w:pPr>
              <w:pStyle w:val="Compact"/>
              <w:spacing w:after="40" w:before="40"/>
              <w:jc w:val="left"/>
            </w:pPr>
            <w:r>
              <w:rPr>
                <w:rFonts w:ascii="Cambria" w:hAnsi="Cambria" w:cs="Cambria" w:eastAsia="Cambria"/>
                <w:b/>
                <w:bCs/>
                <w:color w:val="1A1A1A"/>
                <w:sz w:val="18"/>
              </w:rPr>
              <w:t xml:space="preserve">Commerciale</w:t>
            </w:r>
          </w:p>
        </w:tc>
        <w:tc>
          <w:tcPr/>
          <w:p>
            <w:pPr>
              <w:pStyle w:val="Compact"/>
              <w:spacing w:after="40" w:before="40"/>
              <w:jc w:val="left"/>
            </w:pPr>
            <w:r>
              <w:rPr>
                <w:rFonts w:ascii="Cambria" w:hAnsi="Cambria" w:cs="Cambria" w:eastAsia="Cambria"/>
                <w:color w:val="1A1A1A"/>
                <w:sz w:val="18"/>
              </w:rPr>
              <w:t xml:space="preserve">Rapporto convenzionale praticabile; bacino professionale ampio (atenei romani)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Finanziario</w:t>
            </w:r>
          </w:p>
        </w:tc>
        <w:tc>
          <w:tcPr>
            <w:shd w:val="clear" w:color="auto" w:fill="F4F1EC"/>
          </w:tcPr>
          <w:p>
            <w:pPr>
              <w:pStyle w:val="Compact"/>
              <w:spacing w:after="40" w:before="40"/>
              <w:jc w:val="left"/>
            </w:pPr>
            <w:r>
              <w:rPr>
                <w:rFonts w:ascii="Cambria" w:hAnsi="Cambria" w:cs="Cambria" w:eastAsia="Cambria"/>
                <w:color w:val="1A1A1A"/>
                <w:sz w:val="18"/>
              </w:rPr>
              <w:t xml:space="preserve">Costo 0,3–0,5% del FSR; margini dall’uscita dal piano di rientro; avvio finanziato dalle proposte di legge</w:t>
            </w:r>
          </w:p>
        </w:tc>
      </w:tr>
      <w:tr>
        <w:tc>
          <w:tcPr/>
          <w:p>
            <w:pPr>
              <w:pStyle w:val="Compact"/>
              <w:spacing w:after="40" w:before="40"/>
              <w:jc w:val="left"/>
            </w:pPr>
            <w:r>
              <w:rPr>
                <w:rFonts w:ascii="Cambria" w:hAnsi="Cambria" w:cs="Cambria" w:eastAsia="Cambria"/>
                <w:b/>
                <w:bCs/>
                <w:color w:val="1A1A1A"/>
                <w:sz w:val="18"/>
              </w:rPr>
              <w:t xml:space="preserve">Gestionale</w:t>
            </w:r>
          </w:p>
        </w:tc>
        <w:tc>
          <w:tcPr/>
          <w:p>
            <w:pPr>
              <w:pStyle w:val="Compact"/>
              <w:spacing w:after="40" w:before="40"/>
              <w:jc w:val="left"/>
            </w:pPr>
            <w:r>
              <w:rPr>
                <w:rFonts w:ascii="Cambria" w:hAnsi="Cambria" w:cs="Cambria" w:eastAsia="Cambria"/>
                <w:color w:val="1A1A1A"/>
                <w:sz w:val="18"/>
              </w:rPr>
              <w:t xml:space="preserve">Regia regionale di coordinamento del sistema policentrico, in assenza di azienda unica</w:t>
            </w:r>
          </w:p>
        </w:tc>
      </w:tr>
    </w:tbl>
    <w:p>
      <w:pPr>
        <w:pStyle w:val="BodyText"/>
      </w:pPr>
      <w:r>
        <w:rPr>
          <w:i/>
          <w:iCs/>
        </w:rPr>
        <w:t xml:space="preserve">Tabella I.1. I cinque casi della decisione di investimento pubblico.</w:t>
      </w:r>
    </w:p>
    <w:bookmarkEnd w:id="2223"/>
    <w:bookmarkStart w:id="4448" w:name="X1f06fedcf655690691d213f92188bd8f006a27d"/>
    <w:p>
      <w:pPr>
        <w:pStyle w:val="Heading3"/>
      </w:pPr>
      <w:r>
        <w:t xml:space="preserve">I.2 Il dimensionamento ex novo e le fasi di attuazione</w:t>
      </w:r>
    </w:p>
    <w:p>
      <w:pPr>
        <w:pStyle w:val="FirstParagraph"/>
      </w:pPr>
      <w:r>
        <w:t xml:space="preserve">A differenza delle regioni che strutturano un servizio già avviato, il Lazio deve dimensionare il servizio a partire da zero, verso un fabbisogno a regime dell’ordine di 1.230 psicologi nello scenario espansivo; la prima fase, corrispondente alla dotazione delle proposte di legge, si colloca nell’ordine di 255 incarichi, e l’estensione procede per gradi.</w:t>
      </w:r>
      <w:r>
        <w:rPr>
          <w:rStyle w:val="FootnoteReference"/>
        </w:rPr>
        <w:footnoteReference w:id="2743"/>
      </w:r>
      <w:r>
        <w:t xml:space="preserve"> </w:t>
      </w:r>
      <w:r>
        <w:t xml:space="preserve">L’attuazione si articola perciò in tre fasi: una fase di avvio, nella quale il servizio è attivato in un primo insieme di Case della Comunità secondo un disegno scaglionato tra le Aziende; una fase di estensione, nella quale la copertura si amplia progressivamente; e una fase di regime, nella quale il servizio raggiunge il dimensionamento adeguato. Il disegno scaglionato dell’avvio coincide con l’esperimento a cunei progressivi descritto nella Parte F.</w:t>
      </w:r>
      <w:r>
        <w:rPr>
          <w:rStyle w:val="FootnoteReference"/>
        </w:rPr>
        <w:footnoteReference w:id="2744"/>
      </w:r>
      <w:r>
        <w:t xml:space="preserve"> </w:t>
      </w:r>
      <w:r>
        <w:t xml:space="preserve">La tabella seguente riepiloga le fasi.</w:t>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310"/>
        <w:gridCol w:w="4697"/>
        <w:gridCol w:w="180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Dimensionamento indicativo</w:t>
            </w:r>
          </w:p>
        </w:tc>
      </w:tr>
      <w:tr>
        <w:tc>
          <w:tcPr/>
          <w:p>
            <w:pPr>
              <w:pStyle w:val="Compact"/>
              <w:spacing w:after="40" w:before="40"/>
              <w:jc w:val="left"/>
            </w:pPr>
            <w:r>
              <w:rPr>
                <w:rFonts w:ascii="Cambria" w:hAnsi="Cambria" w:cs="Cambria" w:eastAsia="Cambria"/>
                <w:b/>
                <w:bCs/>
                <w:color w:val="1A1A1A"/>
                <w:sz w:val="18"/>
              </w:rPr>
              <w:t xml:space="preserve">Avvio</w:t>
            </w:r>
          </w:p>
        </w:tc>
        <w:tc>
          <w:tcPr/>
          <w:p>
            <w:pPr>
              <w:pStyle w:val="Compact"/>
              <w:spacing w:after="40" w:before="40"/>
              <w:jc w:val="left"/>
            </w:pPr>
            <w:r>
              <w:rPr>
                <w:rFonts w:ascii="Cambria" w:hAnsi="Cambria" w:cs="Cambria" w:eastAsia="Cambria"/>
                <w:color w:val="1A1A1A"/>
                <w:sz w:val="18"/>
              </w:rPr>
              <w:t xml:space="preserve">Attivazione in un primo insieme di Case della Comunità, secondo disegno scaglionato</w:t>
            </w:r>
          </w:p>
        </w:tc>
        <w:tc>
          <w:tcPr/>
          <w:p>
            <w:pPr>
              <w:pStyle w:val="Compact"/>
              <w:spacing w:after="40" w:before="40"/>
              <w:jc w:val="left"/>
            </w:pPr>
            <w:r>
              <w:rPr>
                <w:rFonts w:ascii="Cambria" w:hAnsi="Cambria" w:cs="Cambria" w:eastAsia="Cambria"/>
                <w:color w:val="1A1A1A"/>
                <w:sz w:val="18"/>
              </w:rPr>
              <w:t xml:space="preserve">~ 255 incarichi (prima fase)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Estensione</w:t>
            </w:r>
          </w:p>
        </w:tc>
        <w:tc>
          <w:tcPr>
            <w:shd w:val="clear" w:color="auto" w:fill="F4F1EC"/>
          </w:tcPr>
          <w:p>
            <w:pPr>
              <w:pStyle w:val="Compact"/>
              <w:spacing w:after="40" w:before="40"/>
              <w:jc w:val="left"/>
            </w:pPr>
            <w:r>
              <w:rPr>
                <w:rFonts w:ascii="Cambria" w:hAnsi="Cambria" w:cs="Cambria" w:eastAsia="Cambria"/>
                <w:color w:val="1A1A1A"/>
                <w:sz w:val="18"/>
              </w:rPr>
              <w:t xml:space="preserve">Ampliamento progressivo della copertura fra le Aziende</w:t>
            </w:r>
          </w:p>
        </w:tc>
        <w:tc>
          <w:tcPr>
            <w:shd w:val="clear" w:color="auto" w:fill="F4F1EC"/>
          </w:tcPr>
          <w:p>
            <w:pPr>
              <w:pStyle w:val="Compact"/>
              <w:spacing w:after="40" w:before="40"/>
              <w:jc w:val="left"/>
            </w:pPr>
            <w:r>
              <w:rPr>
                <w:rFonts w:ascii="Cambria" w:hAnsi="Cambria" w:cs="Cambria" w:eastAsia="Cambria"/>
                <w:color w:val="1A1A1A"/>
                <w:sz w:val="18"/>
              </w:rPr>
              <w:t xml:space="preserve">verso ~ 620–930 incarichi</w:t>
            </w:r>
          </w:p>
        </w:tc>
      </w:tr>
      <w:tr>
        <w:tc>
          <w:tcPr/>
          <w:p>
            <w:pPr>
              <w:pStyle w:val="Compact"/>
              <w:spacing w:after="40" w:before="40"/>
              <w:jc w:val="left"/>
            </w:pPr>
            <w:r>
              <w:rPr>
                <w:rFonts w:ascii="Cambria" w:hAnsi="Cambria" w:cs="Cambria" w:eastAsia="Cambria"/>
                <w:b/>
                <w:bCs/>
                <w:color w:val="1A1A1A"/>
                <w:sz w:val="18"/>
              </w:rPr>
              <w:t xml:space="preserve">Regime</w:t>
            </w:r>
          </w:p>
        </w:tc>
        <w:tc>
          <w:tcPr/>
          <w:p>
            <w:pPr>
              <w:pStyle w:val="Compact"/>
              <w:spacing w:after="40" w:before="40"/>
              <w:jc w:val="left"/>
            </w:pPr>
            <w:r>
              <w:rPr>
                <w:rFonts w:ascii="Cambria" w:hAnsi="Cambria" w:cs="Cambria" w:eastAsia="Cambria"/>
                <w:color w:val="1A1A1A"/>
                <w:sz w:val="18"/>
              </w:rPr>
              <w:t xml:space="preserve">Dimensionamento adeguato al fabbisogno</w:t>
            </w:r>
          </w:p>
        </w:tc>
        <w:tc>
          <w:tcPr/>
          <w:p>
            <w:pPr>
              <w:pStyle w:val="Compact"/>
              <w:spacing w:after="40" w:before="40"/>
              <w:jc w:val="left"/>
            </w:pPr>
            <w:r>
              <w:rPr>
                <w:rFonts w:ascii="Cambria" w:hAnsi="Cambria" w:cs="Cambria" w:eastAsia="Cambria"/>
                <w:color w:val="1A1A1A"/>
                <w:sz w:val="18"/>
              </w:rPr>
              <w:t xml:space="preserve">fino a ~ 1.230 incarichi</w:t>
            </w:r>
          </w:p>
        </w:tc>
      </w:tr>
    </w:tbl>
    <w:p>
      <w:pPr>
        <w:pStyle w:val="BodyText"/>
      </w:pPr>
      <w:r>
        <w:rPr>
          <w:i/>
          <w:iCs/>
        </w:rPr>
        <w:t xml:space="preserve">Tabella I.2. Le fasi di attuazione e il dimensionamento progressivo.</w:t>
      </w:r>
    </w:p>
    <w:bookmarkEnd w:id="4448"/>
    <w:bookmarkStart w:id="4449" w:name="X6806e426bc56a91f379f1959014c5316a1dc6d4"/>
    <w:p>
      <w:pPr>
        <w:pStyle w:val="Heading3"/>
      </w:pPr>
      <w:r>
        <w:t xml:space="preserve">I.3 Reclutamento, formazione e cronoprogramma</w:t>
      </w:r>
    </w:p>
    <w:p>
      <w:pPr>
        <w:pStyle w:val="FirstParagraph"/>
      </w:pPr>
      <w:r>
        <w:t xml:space="preserve">L’avvio richiede il reclutamento e la formazione dedicata degli psicologi, secondo il programma a quattro livelli; il bacino professionale ampio dell’area romana e la radice accademica del modello costituiscono una base favorevole, e la formazione specialistica assicura l’omogeneità delle competenze.</w:t>
      </w:r>
      <w:r>
        <w:rPr>
          <w:rStyle w:val="FootnoteReference"/>
        </w:rPr>
        <w:footnoteReference w:id="2745"/>
      </w:r>
      <w:r>
        <w:t xml:space="preserve"> </w:t>
      </w:r>
      <w:r>
        <w:t xml:space="preserve">Il cronoprogramma si sviluppa su un orizzonte pluriennale, con il raggiungimento del regime in più esercizi; l’avvio è però subordinato all’approvazione della legge istitutiva, che costituisce il presupposto temporale di tutte le fasi successive e che colloca il Lazio in una posizione di partenza più arretrata rispetto alle regioni già dotate di una disciplina.</w:t>
      </w:r>
      <w:r>
        <w:rPr>
          <w:rStyle w:val="FootnoteReference"/>
        </w:rPr>
        <w:footnoteReference w:id="2746"/>
      </w:r>
    </w:p>
    <w:bookmarkEnd w:id="4449"/>
    <w:bookmarkStart w:id="4450" w:name="Xe60f48d2d4ee48cb99f8ffbc7f868752063a5bc"/>
    <w:p>
      <w:pPr>
        <w:pStyle w:val="Heading3"/>
      </w:pPr>
      <w:r>
        <w:t xml:space="preserve">I.4 La sostenibilità finanziaria e organizzativa</w:t>
      </w:r>
    </w:p>
    <w:p>
      <w:pPr>
        <w:pStyle w:val="FirstParagraph"/>
      </w:pPr>
      <w:r>
        <w:t xml:space="preserve">La sostenibilità finanziaria, nel Lazio, ha per leva l’approvazione della legge, l’istituzione del servizio e il suo dimensionamento progressivo; i margini di programmazione riacquistati con l’uscita dal piano di rientro rendono praticabile l’investimento, mentre l’eventuale riconoscimento nei livelli essenziali di assistenza ne rafforzerebbe in futuro la stabilità.</w:t>
      </w:r>
      <w:r>
        <w:rPr>
          <w:rStyle w:val="FootnoteReference"/>
        </w:rPr>
        <w:footnoteReference w:id="2747"/>
      </w:r>
      <w:r>
        <w:t xml:space="preserve"> </w:t>
      </w:r>
      <w:r>
        <w:t xml:space="preserve">La sostenibilità organizzativa dipende invece dalla capacità di garantire l’omogeneità attuativa fra le dieci Aziende Sanitarie Locali in un sistema esteso e policentrico privo di un’azienda regionale unica, e quindi dalla forza della regia regionale e dalla chiarezza degli indirizzi operativi.</w:t>
      </w:r>
      <w:r>
        <w:rPr>
          <w:rStyle w:val="FootnoteReference"/>
        </w:rPr>
        <w:footnoteReference w:id="2748"/>
      </w:r>
      <w:r>
        <w:t xml:space="preserve"> </w:t>
      </w:r>
      <w:r>
        <w:t xml:space="preserve">L’avanzamento è seguito mediante indicatori di processo raccolti attraverso un flusso informativo che, poiché il servizio nasce ora, può essere progettato fin dall’inizio in modo completo e uniforme.</w:t>
      </w:r>
      <w:r>
        <w:rPr>
          <w:rStyle w:val="FootnoteReference"/>
        </w:rPr>
        <w:footnoteReference w:id="2749"/>
      </w:r>
    </w:p>
    <w:bookmarkEnd w:id="4450"/>
    <w:bookmarkStart w:id="4451" w:name="i.5-i-rischi-e-le-mitigazioni-1"/>
    <w:p>
      <w:pPr>
        <w:pStyle w:val="Heading3"/>
      </w:pPr>
      <w:r>
        <w:t xml:space="preserve">I.5 I rischi e le mitigazioni</w:t>
      </w:r>
    </w:p>
    <w:p>
      <w:pPr>
        <w:pStyle w:val="FirstParagraph"/>
      </w:pPr>
      <w:r>
        <w:t xml:space="preserve">L’attuazione presenta rischi propri della posizione laziale: la disomogeneità attuativa fra le Aziende in un sistema policentrico, la difficoltà di coordinamento in assenza di un’azienda unica e la dipendenza dell’intero avvio dall’iter legislativo, che introduce un’incertezza temporale.</w:t>
      </w:r>
      <w:r>
        <w:rPr>
          <w:rStyle w:val="FootnoteReference"/>
        </w:rPr>
        <w:footnoteReference w:id="2750"/>
      </w:r>
      <w:r>
        <w:t xml:space="preserve"> </w:t>
      </w:r>
      <w:r>
        <w:t xml:space="preserve">Tali rischi sono fronteggiati con una regia regionale forte e indirizzi operativi uniformi, con il disegno scaglionato dell’avvio che consente un apprendimento progressivo, e con un’allocazione pro-equità che orienta l’estensione verso le aree a maggiore bisogno; la chiarezza del cronoprogramma e il sostegno dell’Ordine professionale concorrono a ridurre l’incertezza.</w:t>
      </w:r>
      <w:r>
        <w:rPr>
          <w:rStyle w:val="FootnoteReference"/>
        </w:rPr>
        <w:footnoteReference w:id="2751"/>
      </w:r>
      <w:r>
        <w:t xml:space="preserve"> </w:t>
      </w:r>
      <w:r>
        <w:t xml:space="preserve">La sintesi è che l’intervento è attuabile e sostenibile, e che la leva propria del Lazio è l’approvazione della legge e l’avvio dimensionato del servizio: la regione parte da zero, ma dispone di un bacino professionale ampio, di una tradizione scientifica favorevole e dei margini riacquistati con l’uscita dal piano di rientro, sicché le condizioni di fattibilità sono complessivamente favorevoli.</w:t>
      </w:r>
      <w:r>
        <w:rPr>
          <w:rStyle w:val="FootnoteReference"/>
        </w:rPr>
        <w:footnoteReference w:id="2752"/>
      </w:r>
      <w:r>
        <w:t xml:space="preserve"> </w:t>
      </w:r>
      <w:r>
        <w:t xml:space="preserve">La tabella seguente riepiloga i rischi e le relative mitigazioni; la parte che segue affronta il monitoraggio e la valutazione ex post.</w:t>
      </w:r>
    </w:p>
    <w:tbl>
      <w:tblPr>
        <w:tblStyle w:val="Table"/>
        <w:tblW w:type="pct" w:w="492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20"/>
        <w:gridCol w:w="507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Mitigazione</w:t>
            </w:r>
          </w:p>
        </w:tc>
      </w:tr>
      <w:tr>
        <w:tc>
          <w:tcPr/>
          <w:p>
            <w:pPr>
              <w:pStyle w:val="Compact"/>
              <w:spacing w:after="40" w:before="40"/>
              <w:jc w:val="left"/>
            </w:pPr>
            <w:r>
              <w:rPr>
                <w:rFonts w:ascii="Cambria" w:hAnsi="Cambria" w:cs="Cambria" w:eastAsia="Cambria"/>
                <w:b/>
                <w:bCs/>
                <w:color w:val="1A1A1A"/>
                <w:sz w:val="18"/>
              </w:rPr>
              <w:t xml:space="preserve">Disomogeneità attuativa fra le Aziende</w:t>
            </w:r>
          </w:p>
        </w:tc>
        <w:tc>
          <w:tcPr/>
          <w:p>
            <w:pPr>
              <w:pStyle w:val="Compact"/>
              <w:spacing w:after="40" w:before="40"/>
              <w:jc w:val="left"/>
            </w:pPr>
            <w:r>
              <w:rPr>
                <w:rFonts w:ascii="Cambria" w:hAnsi="Cambria" w:cs="Cambria" w:eastAsia="Cambria"/>
                <w:color w:val="1A1A1A"/>
                <w:sz w:val="18"/>
              </w:rPr>
              <w:t xml:space="preserve">Regia regionale forte; indirizzi operativi uniformi; monitoraggio comune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Coordinamento senza azienda unica</w:t>
            </w:r>
          </w:p>
        </w:tc>
        <w:tc>
          <w:tcPr>
            <w:shd w:val="clear" w:color="auto" w:fill="F4F1EC"/>
          </w:tcPr>
          <w:p>
            <w:pPr>
              <w:pStyle w:val="Compact"/>
              <w:spacing w:after="40" w:before="40"/>
              <w:jc w:val="left"/>
            </w:pPr>
            <w:r>
              <w:rPr>
                <w:rFonts w:ascii="Cambria" w:hAnsi="Cambria" w:cs="Cambria" w:eastAsia="Cambria"/>
                <w:color w:val="1A1A1A"/>
                <w:sz w:val="18"/>
              </w:rPr>
              <w:t xml:space="preserve">Regia diretta della Regione; sistema informativo uniforme progettato dall’inizio</w:t>
            </w:r>
          </w:p>
        </w:tc>
      </w:tr>
      <w:tr>
        <w:tc>
          <w:tcPr/>
          <w:p>
            <w:pPr>
              <w:pStyle w:val="Compact"/>
              <w:spacing w:after="40" w:before="40"/>
              <w:jc w:val="left"/>
            </w:pPr>
            <w:r>
              <w:rPr>
                <w:rFonts w:ascii="Cambria" w:hAnsi="Cambria" w:cs="Cambria" w:eastAsia="Cambria"/>
                <w:b/>
                <w:bCs/>
                <w:color w:val="1A1A1A"/>
                <w:sz w:val="18"/>
              </w:rPr>
              <w:t xml:space="preserve">Dipendenza dall’iter legislativo</w:t>
            </w:r>
          </w:p>
        </w:tc>
        <w:tc>
          <w:tcPr/>
          <w:p>
            <w:pPr>
              <w:pStyle w:val="Compact"/>
              <w:spacing w:after="40" w:before="40"/>
              <w:jc w:val="left"/>
            </w:pPr>
            <w:r>
              <w:rPr>
                <w:rFonts w:ascii="Cambria" w:hAnsi="Cambria" w:cs="Cambria" w:eastAsia="Cambria"/>
                <w:color w:val="1A1A1A"/>
                <w:sz w:val="18"/>
              </w:rPr>
              <w:t xml:space="preserve">Cronoprogramma chiaro; sostegno dell’Ordine professionale; disegno per fasi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Allocazione non equa in avvio</w:t>
            </w:r>
          </w:p>
        </w:tc>
        <w:tc>
          <w:tcPr>
            <w:shd w:val="clear" w:color="auto" w:fill="F4F1EC"/>
          </w:tcPr>
          <w:p>
            <w:pPr>
              <w:pStyle w:val="Compact"/>
              <w:spacing w:after="40" w:before="40"/>
              <w:jc w:val="left"/>
            </w:pPr>
            <w:r>
              <w:rPr>
                <w:rFonts w:ascii="Cambria" w:hAnsi="Cambria" w:cs="Cambria" w:eastAsia="Cambria"/>
                <w:color w:val="1A1A1A"/>
                <w:sz w:val="18"/>
              </w:rPr>
              <w:t xml:space="preserve">Criteri di equità espliciti; estensione pro-equità verso periferie e aree interne</w:t>
            </w:r>
          </w:p>
        </w:tc>
      </w:tr>
    </w:tbl>
    <w:p>
      <w:pPr>
        <w:pStyle w:val="BodyText"/>
      </w:pPr>
      <w:r>
        <w:rPr>
          <w:i/>
          <w:iCs/>
        </w:rPr>
        <w:t xml:space="preserve">Tabella I.3. I rischi dell</w:t>
      </w:r>
      <w:r>
        <w:rPr>
          <w:b/>
          <w:bCs/>
          <w:i/>
          <w:iCs/>
        </w:rPr>
        <w:t xml:space="preserve">’</w:t>
      </w:r>
      <w:r>
        <w:rPr>
          <w:i/>
          <w:iCs/>
        </w:rPr>
        <w:t xml:space="preserve">attuazione e le relative mitigazioni.</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prospettico, batteria di indicatori, cruscotto regionale e clausola valutativa</w:t>
      </w:r>
    </w:p>
    <w:p>
      <w:pPr>
        <w:pStyle w:val="BodyText"/>
      </w:pPr>
      <w:r>
        <w:t xml:space="preserve">Inferenza causale quasi-sperimentale · la valutazione ex post</w:t>
      </w:r>
    </w:p>
    <w:bookmarkEnd w:id="4451"/>
    <w:bookmarkEnd w:id="4447"/>
    <w:bookmarkStart w:id="2281" w:name="X8a36ecc5ee55f39625d58ac67c5a78466d82296"/>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 Lazio è che, non essendo il servizio ancora attivo, la valutazione può essere disegnata nella forma più completa e rigorosa dell’intera serie — dalla linea di base alla valutazione ex post — e la clausola valutativa può essere inserita fin dal testo di legge.</w:t>
      </w:r>
    </w:p>
    <w:bookmarkStart w:id="4452" w:name="X7df633f860745f4040f2d97eabac71254032113"/>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2753"/>
      </w:r>
      <w:r>
        <w:rPr>
          <w:rStyle w:val="FootnoteReference"/>
        </w:rPr>
        <w:footnoteReference w:id="2754"/>
      </w:r>
      <w:r>
        <w:rPr>
          <w:rStyle w:val="FootnoteReference"/>
        </w:rPr>
        <w:footnoteReference w:id="2755"/>
      </w:r>
      <w:r>
        <w:rPr>
          <w:rStyle w:val="FootnoteReference"/>
        </w:rPr>
        <w:footnoteReference w:id="2756"/>
      </w:r>
      <w:r>
        <w:rPr>
          <w:rStyle w:val="FootnoteReference"/>
        </w:rPr>
        <w:footnoteReference w:id="2757"/>
      </w:r>
      <w:r>
        <w:rPr>
          <w:rStyle w:val="FootnoteReference"/>
        </w:rPr>
        <w:footnoteReference w:id="2758"/>
      </w:r>
      <w:r>
        <w:rPr>
          <w:rStyle w:val="FootnoteReference"/>
        </w:rPr>
        <w:footnoteReference w:id="2759"/>
      </w:r>
      <w:r>
        <w:rPr>
          <w:rStyle w:val="FootnoteReference"/>
        </w:rPr>
        <w:footnoteReference w:id="2760"/>
      </w:r>
      <w:r>
        <w:rPr>
          <w:rStyle w:val="FootnoteReference"/>
        </w:rPr>
        <w:footnoteReference w:id="2761"/>
      </w:r>
      <w:r>
        <w:rPr>
          <w:rStyle w:val="FootnoteReference"/>
        </w:rPr>
        <w:footnoteReference w:id="2762"/>
      </w:r>
      <w:r>
        <w:rPr>
          <w:rStyle w:val="FootnoteReference"/>
        </w:rPr>
        <w:footnoteReference w:id="2763"/>
      </w:r>
      <w:r>
        <w:rPr>
          <w:rStyle w:val="FootnoteReference"/>
        </w:rPr>
        <w:footnoteReference w:id="2764"/>
      </w:r>
      <w:r>
        <w:rPr>
          <w:rStyle w:val="FootnoteReference"/>
        </w:rPr>
        <w:footnoteReference w:id="2765"/>
      </w:r>
      <w:r>
        <w:rPr>
          <w:rStyle w:val="FootnoteReference"/>
        </w:rPr>
        <w:footnoteReference w:id="2766"/>
      </w:r>
      <w:r>
        <w:rPr>
          <w:rStyle w:val="FootnoteReference"/>
        </w:rPr>
        <w:footnoteReference w:id="2767"/>
      </w:r>
      <w:r>
        <w:rPr>
          <w:rStyle w:val="FootnoteReference"/>
        </w:rPr>
        <w:footnoteReference w:id="2768"/>
      </w:r>
      <w:r>
        <w:rPr>
          <w:rStyle w:val="FootnoteReference"/>
        </w:rPr>
        <w:footnoteReference w:id="2769"/>
      </w:r>
      <w:r>
        <w:rPr>
          <w:rStyle w:val="FootnoteReference"/>
        </w:rPr>
        <w:footnoteReference w:id="2770"/>
      </w:r>
      <w:r>
        <w:rPr>
          <w:rStyle w:val="FootnoteReference"/>
        </w:rPr>
        <w:footnoteReference w:id="2771"/>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2772"/>
      </w:r>
    </w:p>
    <w:bookmarkEnd w:id="4452"/>
    <w:bookmarkStart w:id="4453" w:name="X5fbf64c5c7e4925bbc7f003a1cb7a1931a43f13"/>
    <w:p>
      <w:pPr>
        <w:pStyle w:val="Heading3"/>
      </w:pPr>
      <w:r>
        <w:t xml:space="preserve">L.2 Il disegno controfattuale e i metodi</w:t>
      </w:r>
    </w:p>
    <w:p>
      <w:pPr>
        <w:pStyle w:val="FirstParagraph"/>
      </w:pPr>
      <w:r>
        <w:t xml:space="preserve">Il disegno della valutazione d’impatto costituisce, per il Lazio, il punto di forza dell’intero studio. Poiché il servizio non è ancora attivo, la valutazione può fondarsi su un esperimento a cunei progressivi, nel quale l’ordine e i tempi di attivazione delle sedi tra le dieci Aziende Sanitarie Locali sono stabiliti in anticipo a fini valutativi: è il disegno metodologicamente più solido dell’intera serie regionale.</w:t>
      </w:r>
      <w:r>
        <w:rPr>
          <w:rStyle w:val="FootnoteReference"/>
        </w:rPr>
        <w:footnoteReference w:id="2773"/>
      </w:r>
      <w:r>
        <w:t xml:space="preserve"> </w:t>
      </w:r>
      <w:r>
        <w:t xml:space="preserve">Il fatto di partire da zero consente di rilevare una linea di base completa prima dell’avvio, contro la quale misurare l’effetto — condizione che le regioni con un servizio già attivo non possono più ricostruire pienamente.</w:t>
      </w:r>
      <w:r>
        <w:rPr>
          <w:rStyle w:val="FootnoteReference"/>
        </w:rPr>
        <w:footnoteReference w:id="2774"/>
      </w:r>
      <w:r>
        <w:t xml:space="preserve"> </w:t>
      </w:r>
      <w:r>
        <w:t xml:space="preserve">L’effetto causale è stimato con la differenza-nelle-differenze e con il metodo del controllo sintetico, con la progressione scaglionata a fornire la variazione necessaria all’identificazione.</w:t>
      </w:r>
      <w:r>
        <w:rPr>
          <w:rStyle w:val="FootnoteReference"/>
        </w:rPr>
        <w:footnoteReference w:id="2775"/>
      </w:r>
    </w:p>
    <w:bookmarkEnd w:id="4453"/>
    <w:bookmarkStart w:id="4454" w:name="l.3-la-batteria-degli-indicatori-1"/>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2776"/>
      </w:r>
      <w:r>
        <w:t xml:space="preserve"> </w:t>
      </w:r>
      <w:r>
        <w:t xml:space="preserve">Gli indicatori di processo misurano il funzionamento — prese in carico, attesa, colloqui, invio appropriato.</w:t>
      </w:r>
      <w:r>
        <w:rPr>
          <w:rStyle w:val="FootnoteReference"/>
        </w:rPr>
        <w:footnoteReference w:id="2777"/>
      </w:r>
      <w:r>
        <w:t xml:space="preserve"> </w:t>
      </w:r>
      <w:r>
        <w:t xml:space="preserve">Gli indicatori di esito clinico misurano il beneficio diretto — miglioramento, recupero, remissione.</w:t>
      </w:r>
      <w:r>
        <w:rPr>
          <w:rStyle w:val="FootnoteReference"/>
        </w:rPr>
        <w:footnoteReference w:id="2778"/>
      </w:r>
      <w:r>
        <w:t xml:space="preserve"> </w:t>
      </w:r>
      <w:r>
        <w:t xml:space="preserve">Gli indicatori di esito di sistema misurano l’effetto sul resto del sistema — pronto soccorso, psicofarmaci, ricoveri.</w:t>
      </w:r>
      <w:r>
        <w:rPr>
          <w:rStyle w:val="FootnoteReference"/>
        </w:rPr>
        <w:footnoteReference w:id="2779"/>
      </w:r>
      <w:r>
        <w:t xml:space="preserve"> </w:t>
      </w:r>
      <w:r>
        <w:t xml:space="preserve">Gli indicatori economici consentono di verificare ex post le stime e di sostituire i valori ricostruiti con quelli effettivi.</w:t>
      </w:r>
      <w:r>
        <w:rPr>
          <w:rStyle w:val="FootnoteReference"/>
        </w:rPr>
        <w:footnoteReference w:id="2780"/>
      </w:r>
      <w:r>
        <w:t xml:space="preserve"> </w:t>
      </w:r>
      <w:r>
        <w:t xml:space="preserve">Gli indicatori di equità, disaggregati per area e per gruppi, verificano che il servizio riduca i divari fra centro e periferie e fra area metropolitana e province interne.</w:t>
      </w:r>
      <w:r>
        <w:rPr>
          <w:rStyle w:val="FootnoteReference"/>
        </w:rPr>
        <w:footnoteReference w:id="2781"/>
      </w:r>
      <w:r>
        <w:t xml:space="preserve"> </w:t>
      </w:r>
      <w:r>
        <w:t xml:space="preserve">Gli indicatori di qualità integrano la misurazione con la dimensione dell’esperienza.</w:t>
      </w:r>
      <w:r>
        <w:rPr>
          <w:rStyle w:val="FootnoteReference"/>
        </w:rPr>
        <w:footnoteReference w:id="2782"/>
      </w:r>
      <w:r>
        <w:t xml:space="preserve"> </w:t>
      </w:r>
      <w:r>
        <w:t xml:space="preserve">Gli indicatori di mobilità, infine, sono monitorati ma non costituiscono un esito atteso, data l’irrilevanza del canale per questo intervento.</w:t>
      </w:r>
      <w:r>
        <w:rPr>
          <w:rStyle w:val="FootnoteReference"/>
        </w:rPr>
        <w:footnoteReference w:id="2783"/>
      </w:r>
      <w:r>
        <w:t xml:space="preserve"> </w:t>
      </w:r>
      <w:r>
        <w:t xml:space="preserve">L’insieme conta dell’ordine di cinquantotto indicatori in otto categorie, ciascuno con definizione, fonte, frequenza e responsabile.</w:t>
      </w:r>
      <w:r>
        <w:rPr>
          <w:rStyle w:val="FootnoteReference"/>
        </w:rPr>
        <w:footnoteReference w:id="2784"/>
      </w:r>
      <w:r>
        <w:t xml:space="preserve"> </w:t>
      </w:r>
      <w:r>
        <w:t xml:space="preserve">La tabella seguente riepiloga le categorie.</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262"/>
        <w:gridCol w:w="553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(dell’ordine di 58 indicatori complessivi)</w:t>
            </w:r>
          </w:p>
        </w:tc>
      </w:tr>
      <w:tr>
        <w:tc>
          <w:tcPr/>
          <w:p>
            <w:pPr>
              <w:pStyle w:val="Compact"/>
              <w:spacing w:after="40" w:before="40"/>
              <w:jc w:val="left"/>
            </w:pPr>
            <w:r>
              <w:rPr>
                <w:rFonts w:ascii="Cambria" w:hAnsi="Cambria" w:cs="Cambria" w:eastAsia="Cambria"/>
                <w:b/>
                <w:bCs/>
                <w:color w:val="1A1A1A"/>
                <w:sz w:val="18"/>
              </w:rPr>
              <w:t xml:space="preserve">Struttura</w:t>
            </w:r>
          </w:p>
        </w:tc>
        <w:tc>
          <w:tcPr/>
          <w:p>
            <w:pPr>
              <w:pStyle w:val="Compact"/>
              <w:spacing w:after="40" w:before="40"/>
              <w:jc w:val="left"/>
            </w:pPr>
            <w:r>
              <w:rPr>
                <w:rFonts w:ascii="Cambria" w:hAnsi="Cambria" w:cs="Cambria" w:eastAsia="Cambria"/>
                <w:color w:val="1A1A1A"/>
                <w:sz w:val="18"/>
              </w:rPr>
              <w:t xml:space="preserve">Sedi attivate, incarichi, ore, dotazione, copertura del fabbisogno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Processo</w:t>
            </w:r>
          </w:p>
        </w:tc>
        <w:tc>
          <w:tcPr>
            <w:shd w:val="clear" w:color="auto" w:fill="F4F1EC"/>
          </w:tcPr>
          <w:p>
            <w:pPr>
              <w:pStyle w:val="Compact"/>
              <w:spacing w:after="40" w:before="40"/>
              <w:jc w:val="left"/>
            </w:pPr>
            <w:r>
              <w:rPr>
                <w:rFonts w:ascii="Cambria" w:hAnsi="Cambria" w:cs="Cambria" w:eastAsia="Cambria"/>
                <w:color w:val="1A1A1A"/>
                <w:sz w:val="18"/>
              </w:rPr>
              <w:t xml:space="preserve">Prese in carico, attesa al primo colloquio, colloqui per persona, invio appropriato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Miglioramento, recupero, remissione (strumenti validati, punteggi complessivi)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psicofarmaci, ricoveri evitabili, specialistica impropria</w:t>
            </w:r>
          </w:p>
        </w:tc>
      </w:tr>
      <w:tr>
        <w:tc>
          <w:tcPr/>
          <w:p>
            <w:pPr>
              <w:pStyle w:val="Compact"/>
              <w:spacing w:after="40" w:before="40"/>
              <w:jc w:val="left"/>
            </w:pPr>
            <w:r>
              <w:rPr>
                <w:rFonts w:ascii="Cambria" w:hAnsi="Cambria" w:cs="Cambria" w:eastAsia="Cambria"/>
                <w:b/>
                <w:bCs/>
                <w:color w:val="1A1A1A"/>
                <w:sz w:val="18"/>
              </w:rPr>
              <w:t xml:space="preserve">Economici</w:t>
            </w:r>
          </w:p>
        </w:tc>
        <w:tc>
          <w:tcPr/>
          <w:p>
            <w:pPr>
              <w:pStyle w:val="Compact"/>
              <w:spacing w:after="40" w:before="40"/>
              <w:jc w:val="left"/>
            </w:pPr>
            <w:r>
              <w:rPr>
                <w:rFonts w:ascii="Cambria" w:hAnsi="Cambria" w:cs="Cambria" w:eastAsia="Cambria"/>
                <w:color w:val="1A1A1A"/>
                <w:sz w:val="18"/>
              </w:rPr>
              <w:t xml:space="preserve">Costo, risparmi diretti, ricadute sociali, rapporto beneficio-costo su dati reali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Copertura e accesso per area (centro, periferie, province interne) e per gruppi</w:t>
            </w:r>
          </w:p>
        </w:tc>
      </w:tr>
      <w:tr>
        <w:tc>
          <w:tcPr/>
          <w:p>
            <w:pPr>
              <w:pStyle w:val="Compact"/>
              <w:spacing w:after="40" w:before="40"/>
              <w:jc w:val="left"/>
            </w:pPr>
            <w:r>
              <w:rPr>
                <w:rFonts w:ascii="Cambria" w:hAnsi="Cambria" w:cs="Cambria" w:eastAsia="Cambria"/>
                <w:b/>
                <w:bCs/>
                <w:color w:val="1A1A1A"/>
                <w:sz w:val="18"/>
              </w:rPr>
              <w:t xml:space="preserve">Qualità</w:t>
            </w:r>
          </w:p>
        </w:tc>
        <w:tc>
          <w:tcPr/>
          <w:p>
            <w:pPr>
              <w:pStyle w:val="Compact"/>
              <w:spacing w:after="40" w:before="40"/>
              <w:jc w:val="left"/>
            </w:pPr>
            <w:r>
              <w:rPr>
                <w:rFonts w:ascii="Cambria" w:hAnsi="Cambria" w:cs="Cambria" w:eastAsia="Cambria"/>
                <w:color w:val="1A1A1A"/>
                <w:sz w:val="18"/>
              </w:rPr>
              <w:t xml:space="preserve">Soddisfazione, appropriatezza, continuità del rapporto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w:t>
            </w:r>
          </w:p>
        </w:tc>
        <w:tc>
          <w:tcPr>
            <w:shd w:val="clear" w:color="auto" w:fill="F4F1EC"/>
          </w:tcPr>
          <w:p>
            <w:pPr>
              <w:pStyle w:val="Compact"/>
              <w:spacing w:after="40" w:before="40"/>
              <w:jc w:val="left"/>
            </w:pPr>
            <w:r>
              <w:rPr>
                <w:rFonts w:ascii="Cambria" w:hAnsi="Cambria" w:cs="Cambria" w:eastAsia="Cambria"/>
                <w:color w:val="1A1A1A"/>
                <w:sz w:val="18"/>
              </w:rPr>
              <w:t xml:space="preserve">Monitorata ma non esito atteso (canale marginale per l’intervento)</w:t>
            </w:r>
          </w:p>
        </w:tc>
      </w:tr>
    </w:tbl>
    <w:p>
      <w:pPr>
        <w:pStyle w:val="BodyText"/>
      </w:pPr>
      <w:r>
        <w:rPr>
          <w:i/>
          <w:iCs/>
        </w:rPr>
        <w:t xml:space="preserve">Tabella L.1. Le otto categorie della batteria di indicatori.</w:t>
      </w:r>
    </w:p>
    <w:bookmarkEnd w:id="4454"/>
    <w:bookmarkStart w:id="2278" w:name="X09bdef7b00a37347d51a6ec1d963355da5cbbc8"/>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 Regione, che ne assicura l’alimentazione uniforme da parte delle dieci Aziende.</w:t>
      </w:r>
      <w:r>
        <w:rPr>
          <w:rStyle w:val="FootnoteReference"/>
        </w:rPr>
        <w:footnoteReference w:id="2785"/>
      </w:r>
      <w:r>
        <w:t xml:space="preserve"> </w:t>
      </w:r>
      <w:r>
        <w:t xml:space="preserve">Lo strumento attraverso cui il monitoraggio diventa vincolante è la clausola valutativa, da prevedere espressamente nella futura legge istitutiva, che impegna la Giunta a riferire periodicamente al Consiglio sull’attuazione e sui risultati; nel Lazio essa va inserita fin dal testo di legge, cogliendo l’occasione che la posizione pre-legislativa offre.</w:t>
      </w:r>
      <w:r>
        <w:rPr>
          <w:rStyle w:val="FootnoteReference"/>
        </w:rPr>
        <w:footnoteReference w:id="2786"/>
      </w:r>
      <w:r>
        <w:t xml:space="preserve"> </w:t>
      </w:r>
      <w:r>
        <w:t xml:space="preserve">La raccolta dei dati poggia su un flusso informativo progettabile fin dall’inizio in modo completo, uniforme e interoperabile con il fascicolo sanitario elettronico regionale.</w:t>
      </w:r>
      <w:r>
        <w:rPr>
          <w:rStyle w:val="FootnoteReference"/>
        </w:rPr>
        <w:footnoteReference w:id="2787"/>
      </w:r>
      <w:r>
        <w:t xml:space="preserve"> </w:t>
      </w:r>
      <w:r>
        <w:t xml:space="preserve">La valutazione si articola infine in un momento ex ante, con la linea di base; in un monitoraggio in itinere; e in una valutazione ex post a regime.</w:t>
      </w:r>
      <w:r>
        <w:rPr>
          <w:rStyle w:val="FootnoteReference"/>
        </w:rPr>
        <w:footnoteReference w:id="2788"/>
      </w:r>
      <w:r>
        <w:t xml:space="preserve"> </w:t>
      </w:r>
      <w:r>
        <w:t xml:space="preserve">La tabella seguente riepiloga la governance valutativa.</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60"/>
        <w:gridCol w:w="52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governance valutativa</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il Lazio</w:t>
            </w:r>
          </w:p>
        </w:tc>
      </w:tr>
      <w:tr>
        <w:tc>
          <w:tcPr/>
          <w:p>
            <w:pPr>
              <w:pStyle w:val="Compact"/>
              <w:spacing w:after="40" w:before="40"/>
              <w:jc w:val="left"/>
            </w:pPr>
            <w:r>
              <w:rPr>
                <w:rFonts w:ascii="Cambria" w:hAnsi="Cambria" w:cs="Cambria" w:eastAsia="Cambria"/>
                <w:b/>
                <w:bCs/>
                <w:color w:val="1A1A1A"/>
                <w:sz w:val="18"/>
              </w:rPr>
              <w:t xml:space="preserve">Disegno d’impatto</w:t>
            </w:r>
          </w:p>
        </w:tc>
        <w:tc>
          <w:tcPr/>
          <w:p>
            <w:pPr>
              <w:pStyle w:val="Compact"/>
              <w:spacing w:after="40" w:before="40"/>
              <w:jc w:val="left"/>
            </w:pPr>
            <w:r>
              <w:rPr>
                <w:rFonts w:ascii="Cambria" w:hAnsi="Cambria" w:cs="Cambria" w:eastAsia="Cambria"/>
                <w:color w:val="1A1A1A"/>
                <w:sz w:val="18"/>
              </w:rPr>
              <w:t xml:space="preserve">Esperimento a cunei progressivi prospettico tra le dieci Aziende Sanitarie Locali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Linea di base</w:t>
            </w:r>
          </w:p>
        </w:tc>
        <w:tc>
          <w:tcPr>
            <w:shd w:val="clear" w:color="auto" w:fill="F4F1EC"/>
          </w:tcPr>
          <w:p>
            <w:pPr>
              <w:pStyle w:val="Compact"/>
              <w:spacing w:after="40" w:before="40"/>
              <w:jc w:val="left"/>
            </w:pPr>
            <w:r>
              <w:rPr>
                <w:rFonts w:ascii="Cambria" w:hAnsi="Cambria" w:cs="Cambria" w:eastAsia="Cambria"/>
                <w:color w:val="1A1A1A"/>
                <w:sz w:val="18"/>
              </w:rPr>
              <w:t xml:space="preserve">Rilevazione completa anteriore all’avvio del servizio</w:t>
            </w:r>
          </w:p>
        </w:tc>
      </w:tr>
      <w:tr>
        <w:tc>
          <w:tcPr/>
          <w:p>
            <w:pPr>
              <w:pStyle w:val="Compact"/>
              <w:spacing w:after="40" w:before="40"/>
              <w:jc w:val="left"/>
            </w:pPr>
            <w:r>
              <w:rPr>
                <w:rFonts w:ascii="Cambria" w:hAnsi="Cambria" w:cs="Cambria" w:eastAsia="Cambria"/>
                <w:b/>
                <w:bCs/>
                <w:color w:val="1A1A1A"/>
                <w:sz w:val="18"/>
              </w:rPr>
              <w:t xml:space="preserve">Titolarità del cruscotto</w:t>
            </w:r>
          </w:p>
        </w:tc>
        <w:tc>
          <w:tcPr/>
          <w:p>
            <w:pPr>
              <w:pStyle w:val="Compact"/>
              <w:spacing w:after="40" w:before="40"/>
              <w:jc w:val="left"/>
            </w:pPr>
            <w:r>
              <w:rPr>
                <w:rFonts w:ascii="Cambria" w:hAnsi="Cambria" w:cs="Cambria" w:eastAsia="Cambria"/>
                <w:color w:val="1A1A1A"/>
                <w:sz w:val="18"/>
              </w:rPr>
              <w:t xml:space="preserve">Regione (in assenza di azienda unica), con alimentazione uniforme dalle Aziende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Da prevedere nella futura legge istitutiva; relazione periodica al Consiglio</w:t>
            </w:r>
          </w:p>
        </w:tc>
      </w:tr>
      <w:tr>
        <w:tc>
          <w:tcPr/>
          <w:p>
            <w:pPr>
              <w:pStyle w:val="Compact"/>
              <w:spacing w:after="40" w:before="40"/>
              <w:jc w:val="left"/>
            </w:pPr>
            <w:r>
              <w:rPr>
                <w:rFonts w:ascii="Cambria" w:hAnsi="Cambria" w:cs="Cambria" w:eastAsia="Cambria"/>
                <w:b/>
                <w:bCs/>
                <w:color w:val="1A1A1A"/>
                <w:sz w:val="18"/>
              </w:rPr>
              <w:t xml:space="preserve">Flusso informativo</w:t>
            </w:r>
          </w:p>
        </w:tc>
        <w:tc>
          <w:tcPr/>
          <w:p>
            <w:pPr>
              <w:pStyle w:val="Compact"/>
              <w:spacing w:after="40" w:before="40"/>
              <w:jc w:val="left"/>
            </w:pPr>
            <w:r>
              <w:rPr>
                <w:rFonts w:ascii="Cambria" w:hAnsi="Cambria" w:cs="Cambria" w:eastAsia="Cambria"/>
                <w:color w:val="1A1A1A"/>
                <w:sz w:val="18"/>
              </w:rPr>
              <w:t xml:space="preserve">Progettato dall’inizio, completo, uniforme, interoperabile con il fascicolo sanitario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Tempi</w:t>
            </w:r>
          </w:p>
        </w:tc>
        <w:tc>
          <w:tcPr>
            <w:shd w:val="clear" w:color="auto" w:fill="F4F1EC"/>
          </w:tcPr>
          <w:p>
            <w:pPr>
              <w:pStyle w:val="Compact"/>
              <w:spacing w:after="40" w:before="40"/>
              <w:jc w:val="left"/>
            </w:pPr>
            <w:r>
              <w:rPr>
                <w:rFonts w:ascii="Cambria" w:hAnsi="Cambria" w:cs="Cambria" w:eastAsia="Cambria"/>
                <w:color w:val="1A1A1A"/>
                <w:sz w:val="18"/>
              </w:rPr>
              <w:t xml:space="preserve">Ex ante (linea di base), in itinere, ex post</w:t>
            </w:r>
          </w:p>
        </w:tc>
      </w:tr>
    </w:tbl>
    <w:p>
      <w:pPr>
        <w:pStyle w:val="BodyText"/>
      </w:pPr>
      <w:r>
        <w:rPr>
          <w:i/>
          <w:iCs/>
        </w:rPr>
        <w:t xml:space="preserve">Tabella L.2. La governance della valutazione e il cruscotto regionale.</w:t>
      </w:r>
    </w:p>
    <w:bookmarkEnd w:id="2278"/>
    <w:bookmarkStart w:id="2280" w:name="l.5-sintesi-del-monitoraggio-1"/>
    <w:p>
      <w:pPr>
        <w:pStyle w:val="Heading3"/>
      </w:pPr>
      <w:r>
        <w:t xml:space="preserve">L.5 Sintesi del monitoraggio</w:t>
      </w:r>
    </w:p>
    <w:p>
      <w:pPr>
        <w:pStyle w:val="FirstParagraph"/>
      </w:pPr>
      <w:r>
        <w:t xml:space="preserve">La valutazione è la condizione per trasformare l’istituzione del servizio in apprendimento, e il Lazio può disegnarla nella forma più completa dell’intera serie, dalla linea di base alla valutazione ex post; perché ciò si realizzi, la clausola valutativa e il flusso informativo vanno previsti fin dal testo di legge, facendo della posizione pre-legislativa un’occasione anziché un ritardo.</w:t>
      </w:r>
      <w:r>
        <w:rPr>
          <w:rStyle w:val="FootnoteReference"/>
        </w:rPr>
        <w:footnoteReference w:id="2789"/>
      </w:r>
      <w:r>
        <w:t xml:space="preserve"> </w:t>
      </w:r>
      <w:r>
        <w:t xml:space="preserve">Definito il sistema di monitoraggio, la parte conclusiva compone i risultati dei diversi domini in una sintesi multidimensionale e formula le raccomandazioni.</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2280"/>
    <w:bookmarkEnd w:id="2281"/>
    <w:bookmarkStart w:id="2318" w:name="Xbb409c9e01d13798cb2991ec56033172b5b77e3"/>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 Lazio.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 Lazio percorre l’intera sintesi: è la regione che del modello è la culla scientifica e che, ottava della serie, è chiamata non a strutturare un servizio esistente, ma a istituirlo, chiudendo la distanza fra la paternità dell’idea e la sua realizzazione.</w:t>
      </w:r>
    </w:p>
    <w:bookmarkStart w:id="2299" w:name="m.1-la-sintesi-per-dominio-1"/>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2790"/>
      </w:r>
      <w:r>
        <w:rPr>
          <w:rStyle w:val="FootnoteReference"/>
        </w:rPr>
        <w:footnoteReference w:id="2791"/>
      </w:r>
      <w:r>
        <w:rPr>
          <w:rStyle w:val="FootnoteReference"/>
        </w:rPr>
        <w:footnoteReference w:id="2792"/>
      </w:r>
      <w:r>
        <w:rPr>
          <w:rStyle w:val="FootnoteReference"/>
        </w:rPr>
        <w:footnoteReference w:id="2793"/>
      </w:r>
      <w:r>
        <w:rPr>
          <w:rStyle w:val="FootnoteReference"/>
        </w:rPr>
        <w:footnoteReference w:id="2794"/>
      </w:r>
      <w:r>
        <w:rPr>
          <w:rStyle w:val="FootnoteReference"/>
        </w:rPr>
        <w:footnoteReference w:id="2795"/>
      </w:r>
      <w:r>
        <w:rPr>
          <w:rStyle w:val="FootnoteReference"/>
        </w:rPr>
        <w:footnoteReference w:id="2796"/>
      </w:r>
      <w:r>
        <w:rPr>
          <w:rStyle w:val="FootnoteReference"/>
        </w:rPr>
        <w:footnoteReference w:id="2797"/>
      </w:r>
      <w:r>
        <w:rPr>
          <w:rStyle w:val="FootnoteReference"/>
        </w:rPr>
        <w:footnoteReference w:id="2798"/>
      </w:r>
      <w:r>
        <w:rPr>
          <w:rStyle w:val="FootnoteReference"/>
        </w:rPr>
        <w:footnoteReference w:id="2799"/>
      </w:r>
      <w:r>
        <w:rPr>
          <w:rStyle w:val="FootnoteReference"/>
        </w:rPr>
        <w:footnoteReference w:id="2800"/>
      </w:r>
      <w:r>
        <w:rPr>
          <w:rStyle w:val="FootnoteReference"/>
        </w:rPr>
        <w:footnoteReference w:id="2801"/>
      </w:r>
      <w:r>
        <w:rPr>
          <w:rStyle w:val="FootnoteReference"/>
        </w:rPr>
        <w:footnoteReference w:id="2802"/>
      </w:r>
      <w:r>
        <w:rPr>
          <w:rStyle w:val="FootnoteReference"/>
        </w:rPr>
        <w:footnoteReference w:id="2803"/>
      </w:r>
      <w:r>
        <w:rPr>
          <w:rStyle w:val="FootnoteReference"/>
        </w:rPr>
        <w:footnoteReference w:id="2804"/>
      </w:r>
      <w:r>
        <w:rPr>
          <w:rStyle w:val="FootnoteReference"/>
        </w:rPr>
        <w:footnoteReference w:id="2805"/>
      </w:r>
      <w:r>
        <w:t xml:space="preserve"> </w:t>
      </w:r>
      <w:r>
        <w:t xml:space="preserve">Il quadro che emerge dai domini è coerente: il bisogno è ampio e radicato in una regione che del modello è la culla scientifica; l’efficacia clinica è sostenuta da evidenza internazionale solida e integrata da un disegno valutativo prospettico; il quadro economico distingue un caso finanziario di modesto disavanzo da un caso sociale fortemente positivo; l’equità è favorevole su un doppio asse territoriale; la fattibilità è quella di un’istituzione ex novo; il monitoraggio può essere disegnato nella forma più completa della serie.</w:t>
      </w:r>
      <w:r>
        <w:rPr>
          <w:rStyle w:val="FootnoteReference"/>
        </w:rPr>
        <w:footnoteReference w:id="2806"/>
      </w:r>
      <w:r>
        <w:t xml:space="preserve"> </w:t>
      </w:r>
      <w:r>
        <w:t xml:space="preserve">La tabella seguente riepiloga il giudizio per dominio.</w:t>
      </w:r>
    </w:p>
    <w:tbl>
      <w:tblPr>
        <w:tblStyle w:val="Table"/>
        <w:tblW w:type="pct" w:w="492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280"/>
        <w:gridCol w:w="551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Dominio</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 sintetico per il Lazio</w:t>
            </w:r>
          </w:p>
        </w:tc>
      </w:tr>
      <w:tr>
        <w:tc>
          <w:tcPr/>
          <w:p>
            <w:pPr>
              <w:pStyle w:val="Compact"/>
              <w:spacing w:after="40" w:before="40"/>
              <w:jc w:val="left"/>
            </w:pPr>
            <w:r>
              <w:rPr>
                <w:rFonts w:ascii="Cambria" w:hAnsi="Cambria" w:cs="Cambria" w:eastAsia="Cambria"/>
                <w:b/>
                <w:bCs/>
                <w:color w:val="1A1A1A"/>
                <w:sz w:val="18"/>
              </w:rPr>
              <w:t xml:space="preserve">Bisogno e contesto</w:t>
            </w:r>
          </w:p>
        </w:tc>
        <w:tc>
          <w:tcPr/>
          <w:p>
            <w:pPr>
              <w:pStyle w:val="Compact"/>
              <w:spacing w:after="40" w:before="40"/>
              <w:jc w:val="left"/>
            </w:pPr>
            <w:r>
              <w:rPr>
                <w:rFonts w:ascii="Cambria" w:hAnsi="Cambria" w:cs="Cambria" w:eastAsia="Cambria"/>
                <w:color w:val="1A1A1A"/>
                <w:sz w:val="18"/>
              </w:rPr>
              <w:t xml:space="preserve">Ampio; regione culla del modello, accentrata su Roma, in uscita dal piano di rientro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w:t>
            </w:r>
          </w:p>
        </w:tc>
        <w:tc>
          <w:tcPr>
            <w:shd w:val="clear" w:color="auto" w:fill="F4F1EC"/>
          </w:tcPr>
          <w:p>
            <w:pPr>
              <w:pStyle w:val="Compact"/>
              <w:spacing w:after="40" w:before="40"/>
              <w:jc w:val="left"/>
            </w:pPr>
            <w:r>
              <w:rPr>
                <w:rFonts w:ascii="Cambria" w:hAnsi="Cambria" w:cs="Cambria" w:eastAsia="Cambria"/>
                <w:color w:val="1A1A1A"/>
                <w:sz w:val="18"/>
              </w:rPr>
              <w:t xml:space="preserve">Evidenza internazionale solida; evidenza locale prospettica</w:t>
            </w:r>
          </w:p>
        </w:tc>
      </w:tr>
      <w:tr>
        <w:tc>
          <w:tcPr/>
          <w:p>
            <w:pPr>
              <w:pStyle w:val="Compact"/>
              <w:spacing w:after="40" w:before="40"/>
              <w:jc w:val="left"/>
            </w:pPr>
            <w:r>
              <w:rPr>
                <w:rFonts w:ascii="Cambria" w:hAnsi="Cambria" w:cs="Cambria" w:eastAsia="Cambria"/>
                <w:b/>
                <w:bCs/>
                <w:color w:val="1A1A1A"/>
                <w:sz w:val="18"/>
              </w:rPr>
              <w:t xml:space="preserve">Valutazione economica</w:t>
            </w:r>
          </w:p>
        </w:tc>
        <w:tc>
          <w:tcPr/>
          <w:p>
            <w:pPr>
              <w:pStyle w:val="Compact"/>
              <w:spacing w:after="40" w:before="40"/>
              <w:jc w:val="left"/>
            </w:pPr>
            <w:r>
              <w:rPr>
                <w:rFonts w:ascii="Cambria" w:hAnsi="Cambria" w:cs="Cambria" w:eastAsia="Cambria"/>
                <w:color w:val="1A1A1A"/>
                <w:sz w:val="18"/>
              </w:rPr>
              <w:t xml:space="preserve">Caso finanziario di modesto disavanzo; caso sociale fortemente positivo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Favorevole su un doppio asse (centro/periferie; metropoli/province interne)</w:t>
            </w:r>
          </w:p>
        </w:tc>
      </w:tr>
      <w:tr>
        <w:tc>
          <w:tcPr/>
          <w:p>
            <w:pPr>
              <w:pStyle w:val="Compact"/>
              <w:spacing w:after="40" w:before="40"/>
              <w:jc w:val="left"/>
            </w:pPr>
            <w:r>
              <w:rPr>
                <w:rFonts w:ascii="Cambria" w:hAnsi="Cambria" w:cs="Cambria" w:eastAsia="Cambria"/>
                <w:b/>
                <w:bCs/>
                <w:color w:val="1A1A1A"/>
                <w:sz w:val="18"/>
              </w:rPr>
              <w:t xml:space="preserve">Fattibilità</w:t>
            </w:r>
          </w:p>
        </w:tc>
        <w:tc>
          <w:tcPr/>
          <w:p>
            <w:pPr>
              <w:pStyle w:val="Compact"/>
              <w:spacing w:after="40" w:before="40"/>
              <w:jc w:val="left"/>
            </w:pPr>
            <w:r>
              <w:rPr>
                <w:rFonts w:ascii="Cambria" w:hAnsi="Cambria" w:cs="Cambria" w:eastAsia="Cambria"/>
                <w:color w:val="1A1A1A"/>
                <w:sz w:val="18"/>
              </w:rPr>
              <w:t xml:space="preserve">Istituzione ex novo; bacino professionale ampio; margini riacquistati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Monitoraggio</w:t>
            </w:r>
          </w:p>
        </w:tc>
        <w:tc>
          <w:tcPr>
            <w:shd w:val="clear" w:color="auto" w:fill="F4F1EC"/>
          </w:tcPr>
          <w:p>
            <w:pPr>
              <w:pStyle w:val="Compact"/>
              <w:spacing w:after="40" w:before="40"/>
              <w:jc w:val="left"/>
            </w:pPr>
            <w:r>
              <w:rPr>
                <w:rFonts w:ascii="Cambria" w:hAnsi="Cambria" w:cs="Cambria" w:eastAsia="Cambria"/>
                <w:color w:val="1A1A1A"/>
                <w:sz w:val="18"/>
              </w:rPr>
              <w:t xml:space="preserve">Disegno controfattuale prospettico, il più completo della serie</w:t>
            </w:r>
          </w:p>
        </w:tc>
      </w:tr>
    </w:tbl>
    <w:p>
      <w:pPr>
        <w:pStyle w:val="BodyText"/>
      </w:pPr>
      <w:r>
        <w:rPr>
          <w:i/>
          <w:iCs/>
        </w:rPr>
        <w:t xml:space="preserve">Tabella M.1. La sintesi dei domini della valutazione.</w:t>
      </w:r>
    </w:p>
    <w:bookmarkEnd w:id="2299"/>
    <w:bookmarkStart w:id="4455" w:name="m.2-lanalisi-multi-criterio-7"/>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2807"/>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2808"/>
      </w:r>
      <w:r>
        <w:t xml:space="preserve"> </w:t>
      </w:r>
      <w:r>
        <w:t xml:space="preserve">La media ponderata dei punteggi dell’intervento è dell’ordine di 78 su 100, sostenuta dai punteggi elevati nel valore sociale, nell’equità e nel ritorno, e contenuta da quelli più bassi nella robustezza dell’evidenza propria e nella fattibilità, che riflettono la posizione pre-legislativa.</w:t>
      </w:r>
      <w:r>
        <w:rPr>
          <w:rStyle w:val="FootnoteReference"/>
        </w:rPr>
        <w:footnoteReference w:id="2809"/>
      </w:r>
      <w:r>
        <w:t xml:space="preserve"> </w:t>
      </w:r>
      <w:r>
        <w:t xml:space="preserve">Il non intervento ottiene una media dell’ordine di 39 su 100, penalizzato in tutti i criteri sostanziali e sostenuto soltanto dalla fattibilità immediata dello status quo, oggi meno giustificata vista la disponibilità di margini.</w:t>
      </w:r>
      <w:r>
        <w:rPr>
          <w:rStyle w:val="FootnoteReference"/>
        </w:rPr>
        <w:footnoteReference w:id="2810"/>
      </w:r>
      <w:r>
        <w:t xml:space="preserve"> </w:t>
      </w:r>
      <w:r>
        <w:t xml:space="preserve">L’intervento prevale dunque nettamente, con uno scarto dell’ordine di trentotto punti; il punteggio, il più contenuto fra le regioni esaminate di recente, riflette la posizione più precoce del Lazio e non una minore validità del modello.</w:t>
      </w:r>
      <w:r>
        <w:rPr>
          <w:rStyle w:val="FootnoteReference"/>
        </w:rPr>
        <w:footnoteReference w:id="2811"/>
      </w:r>
      <w:r>
        <w:t xml:space="preserve"> </w:t>
      </w:r>
      <w:r>
        <w:t xml:space="preserve">La prevalenza si mantiene al variare dei pesi entro intervalli ragionevoli, sicché la raccomandazione è robusta.</w:t>
      </w:r>
      <w:r>
        <w:rPr>
          <w:rStyle w:val="FootnoteReference"/>
        </w:rPr>
        <w:footnoteReference w:id="2812"/>
      </w:r>
      <w:r>
        <w:t xml:space="preserve"> </w:t>
      </w:r>
      <w:r>
        <w:t xml:space="preserve">La tabella seguente riporta i punteggi per criterio.</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Non interv.</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r>
      <w:tr>
        <w:tc>
          <w:tcPr/>
          <w:p>
            <w:pPr>
              <w:pStyle w:val="Compact"/>
              <w:spacing w:after="40" w:before="40"/>
              <w:jc w:val="left"/>
            </w:pPr>
            <w:r>
              <w:rPr>
                <w:rFonts w:ascii="Cambria" w:hAnsi="Cambria" w:cs="Cambria" w:eastAsia="Cambria"/>
                <w:b/>
                <w:bCs/>
                <w:color w:val="1A1A1A"/>
                <w:sz w:val="18"/>
              </w:rPr>
              <w:t xml:space="preserve">Impatto sul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68</w:t>
            </w:r>
          </w:p>
        </w:tc>
        <w:tc>
          <w:tcPr/>
          <w:p>
            <w:pPr>
              <w:pStyle w:val="Compact"/>
              <w:spacing w:after="40" w:before="40"/>
              <w:jc w:val="left"/>
            </w:pPr>
            <w:r>
              <w:rPr>
                <w:rFonts w:ascii="Cambria" w:hAnsi="Cambria" w:cs="Cambria" w:eastAsia="Cambria"/>
                <w:color w:val="1A1A1A"/>
                <w:sz w:val="18"/>
              </w:rPr>
              <w:t xml:space="preserve">52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86</w:t>
            </w:r>
          </w:p>
        </w:tc>
        <w:tc>
          <w:tcPr>
            <w:shd w:val="clear" w:color="auto" w:fill="F4F1EC"/>
          </w:tcPr>
          <w:p>
            <w:pPr>
              <w:pStyle w:val="Compact"/>
              <w:spacing w:after="40" w:before="40"/>
              <w:jc w:val="left"/>
            </w:pPr>
            <w:r>
              <w:rPr>
                <w:rFonts w:ascii="Cambria" w:hAnsi="Cambria" w:cs="Cambria" w:eastAsia="Cambria"/>
                <w:color w:val="1A1A1A"/>
                <w:sz w:val="18"/>
              </w:rPr>
              <w:t xml:space="preserve">28</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88</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70</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r>
      <w:tr>
        <w:tc>
          <w:tcPr/>
          <w:p>
            <w:pPr>
              <w:pStyle w:val="Compact"/>
              <w:spacing w:after="40" w:before="40"/>
              <w:jc w:val="left"/>
            </w:pPr>
            <w:r>
              <w:rPr>
                <w:rFonts w:ascii="Cambria" w:hAnsi="Cambria" w:cs="Cambria" w:eastAsia="Cambria"/>
                <w:b/>
                <w:bCs/>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60</w:t>
            </w:r>
          </w:p>
        </w:tc>
        <w:tc>
          <w:tcPr/>
          <w:p>
            <w:pPr>
              <w:pStyle w:val="Compact"/>
              <w:spacing w:after="40" w:before="40"/>
              <w:jc w:val="left"/>
            </w:pPr>
            <w:r>
              <w:rPr>
                <w:rFonts w:ascii="Cambria" w:hAnsi="Cambria" w:cs="Cambria" w:eastAsia="Cambria"/>
                <w:color w:val="1A1A1A"/>
                <w:sz w:val="18"/>
              </w:rPr>
              <w:t xml:space="preserve">55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82</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78,00</w:t>
            </w:r>
          </w:p>
        </w:tc>
        <w:tc>
          <w:tcPr/>
          <w:p>
            <w:pPr>
              <w:pStyle w:val="Compact"/>
              <w:spacing w:after="40" w:before="40"/>
              <w:jc w:val="left"/>
            </w:pPr>
            <w:r>
              <w:rPr>
                <w:rFonts w:ascii="Cambria" w:hAnsi="Cambria" w:cs="Cambria" w:eastAsia="Cambria"/>
                <w:color w:val="1A1A1A"/>
                <w:sz w:val="18"/>
              </w:rPr>
              <w:t xml:space="preserve">39,50</w:t>
            </w:r>
          </w:p>
        </w:tc>
      </w:tr>
    </w:tbl>
    <w:p>
      <w:pPr>
        <w:pStyle w:val="BodyText"/>
      </w:pPr>
      <w:r>
        <w:rPr>
          <w:i/>
          <w:iCs/>
        </w:rPr>
        <w:t xml:space="preserve">Tabella M.2. L</w:t>
      </w:r>
      <w:r>
        <w:rPr>
          <w:b/>
          <w:bCs/>
          <w:i/>
          <w:iCs/>
        </w:rPr>
        <w:t xml:space="preserve">‘analisi multi-criterio: punteggi dell’</w:t>
      </w:r>
      <w:r>
        <w:rPr>
          <w:i/>
          <w:iCs/>
        </w:rPr>
        <w:t xml:space="preserve">intervento e del non intervento.</w:t>
      </w:r>
    </w:p>
    <w:bookmarkEnd w:id="4455"/>
    <w:bookmarkStart w:id="2309" w:name="Xb8034daea9f6195ccb364d2f3c6325161c845ee"/>
    <w:p>
      <w:pPr>
        <w:pStyle w:val="Heading3"/>
      </w:pPr>
      <w:r>
        <w:t xml:space="preserve">M.3 La raccomandazione e il dimensionamento</w:t>
      </w:r>
    </w:p>
    <w:p>
      <w:pPr>
        <w:pStyle w:val="FirstParagraph"/>
      </w:pPr>
      <w:r>
        <w:t xml:space="preserve">Dalla convergenza dei domini e dall’analisi multi-criterio discende la raccomandazione principale: approvare la legge istitutiva del servizio di psicologia di base e istituire il servizio ex novo, dotandolo dal principio di una forma stabile e di un dimensionamento adeguato; è la decisione che il Lazio, culla scientifica del modello, è chiamato a compiere per colmare la distanza fra la paternità dell’idea e la sua istituzione.</w:t>
      </w:r>
      <w:r>
        <w:rPr>
          <w:rStyle w:val="FootnoteReference"/>
        </w:rPr>
        <w:footnoteReference w:id="2813"/>
      </w:r>
      <w:r>
        <w:t xml:space="preserve"> </w:t>
      </w:r>
      <w:r>
        <w:t xml:space="preserve">Quanto alla scala, si raccomanda di muovere dall’avvio corrispondente alla dotazione delle proposte di legge, dell’ordine di 255 incarichi, e di procedere per gradi verso lo scenario di base, dell’ordine di 930 psicologi, e quindi verso quello espansivo, dell’ordine di 1.230, in funzione della verifica progressiva dei risultati e della sostenibilità.</w:t>
      </w:r>
      <w:r>
        <w:rPr>
          <w:rStyle w:val="FootnoteReference"/>
        </w:rPr>
        <w:footnoteReference w:id="2814"/>
      </w:r>
      <w:r>
        <w:t xml:space="preserve"> </w:t>
      </w:r>
      <w:r>
        <w:t xml:space="preserve">La tabella seguente riepiloga le raccomandazioni operative.</w:t>
      </w:r>
    </w:p>
    <w:tbl>
      <w:tblPr>
        <w:tblStyle w:val="Table"/>
        <w:tblW w:type="pct" w:w="491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01"/>
        <w:gridCol w:w="528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Raccomandazione operativa per il Lazio</w:t>
            </w:r>
          </w:p>
        </w:tc>
      </w:tr>
      <w:tr>
        <w:tc>
          <w:tcPr/>
          <w:p>
            <w:pPr>
              <w:pStyle w:val="Compact"/>
              <w:spacing w:after="40" w:before="40"/>
              <w:jc w:val="left"/>
            </w:pPr>
            <w:r>
              <w:rPr>
                <w:rFonts w:ascii="Cambria" w:hAnsi="Cambria" w:cs="Cambria" w:eastAsia="Cambria"/>
                <w:b/>
                <w:bCs/>
                <w:color w:val="1A1A1A"/>
                <w:sz w:val="18"/>
              </w:rPr>
              <w:t xml:space="preserve">Atto istitutivo</w:t>
            </w:r>
          </w:p>
        </w:tc>
        <w:tc>
          <w:tcPr/>
          <w:p>
            <w:pPr>
              <w:pStyle w:val="Compact"/>
              <w:spacing w:after="40" w:before="40"/>
              <w:jc w:val="left"/>
            </w:pPr>
            <w:r>
              <w:rPr>
                <w:rFonts w:ascii="Cambria" w:hAnsi="Cambria" w:cs="Cambria" w:eastAsia="Cambria"/>
                <w:color w:val="1A1A1A"/>
                <w:sz w:val="18"/>
              </w:rPr>
              <w:t xml:space="preserve">Approvare la legge regionale e istituire il servizio ex novo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Dimensionamento</w:t>
            </w:r>
          </w:p>
        </w:tc>
        <w:tc>
          <w:tcPr>
            <w:shd w:val="clear" w:color="auto" w:fill="F4F1EC"/>
          </w:tcPr>
          <w:p>
            <w:pPr>
              <w:pStyle w:val="Compact"/>
              <w:spacing w:after="40" w:before="40"/>
              <w:jc w:val="left"/>
            </w:pPr>
            <w:r>
              <w:rPr>
                <w:rFonts w:ascii="Cambria" w:hAnsi="Cambria" w:cs="Cambria" w:eastAsia="Cambria"/>
                <w:color w:val="1A1A1A"/>
                <w:sz w:val="18"/>
              </w:rPr>
              <w:t xml:space="preserve">Avvio ~255; base ~930; espansivo ~1.230, per gradi</w:t>
            </w:r>
          </w:p>
        </w:tc>
      </w:tr>
      <w:tr>
        <w:tc>
          <w:tcPr/>
          <w:p>
            <w:pPr>
              <w:pStyle w:val="Compact"/>
              <w:spacing w:after="40" w:before="40"/>
              <w:jc w:val="left"/>
            </w:pPr>
            <w:r>
              <w:rPr>
                <w:rFonts w:ascii="Cambria" w:hAnsi="Cambria" w:cs="Cambria" w:eastAsia="Cambria"/>
                <w:b/>
                <w:bCs/>
                <w:color w:val="1A1A1A"/>
                <w:sz w:val="18"/>
              </w:rPr>
              <w:t xml:space="preserve">Allocazione</w:t>
            </w:r>
          </w:p>
        </w:tc>
        <w:tc>
          <w:tcPr/>
          <w:p>
            <w:pPr>
              <w:pStyle w:val="Compact"/>
              <w:spacing w:after="40" w:before="40"/>
              <w:jc w:val="left"/>
            </w:pPr>
            <w:r>
              <w:rPr>
                <w:rFonts w:ascii="Cambria" w:hAnsi="Cambria" w:cs="Cambria" w:eastAsia="Cambria"/>
                <w:color w:val="1A1A1A"/>
                <w:sz w:val="18"/>
              </w:rPr>
              <w:t xml:space="preserve">Pro-equità, verso periferie metropolitane e province interne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Inserire nel testo di legge; relazione periodica al Consiglio</w:t>
            </w:r>
          </w:p>
        </w:tc>
      </w:tr>
      <w:tr>
        <w:tc>
          <w:tcPr/>
          <w:p>
            <w:pPr>
              <w:pStyle w:val="Compact"/>
              <w:spacing w:after="40" w:before="40"/>
              <w:jc w:val="left"/>
            </w:pPr>
            <w:r>
              <w:rPr>
                <w:rFonts w:ascii="Cambria" w:hAnsi="Cambria" w:cs="Cambria" w:eastAsia="Cambria"/>
                <w:b/>
                <w:bCs/>
                <w:color w:val="1A1A1A"/>
                <w:sz w:val="18"/>
              </w:rPr>
              <w:t xml:space="preserve">Governance</w:t>
            </w:r>
          </w:p>
        </w:tc>
        <w:tc>
          <w:tcPr/>
          <w:p>
            <w:pPr>
              <w:pStyle w:val="Compact"/>
              <w:spacing w:after="40" w:before="40"/>
              <w:jc w:val="left"/>
            </w:pPr>
            <w:r>
              <w:rPr>
                <w:rFonts w:ascii="Cambria" w:hAnsi="Cambria" w:cs="Cambria" w:eastAsia="Cambria"/>
                <w:color w:val="1A1A1A"/>
                <w:sz w:val="18"/>
              </w:rPr>
              <w:t xml:space="preserve">Regia regionale forte; indirizzi uniformi; flusso informativo dall’inizio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Dati</w:t>
            </w:r>
          </w:p>
        </w:tc>
        <w:tc>
          <w:tcPr>
            <w:shd w:val="clear" w:color="auto" w:fill="F4F1EC"/>
          </w:tcPr>
          <w:p>
            <w:pPr>
              <w:pStyle w:val="Compact"/>
              <w:spacing w:after="40" w:before="40"/>
              <w:jc w:val="left"/>
            </w:pPr>
            <w:r>
              <w:rPr>
                <w:rFonts w:ascii="Cambria" w:hAnsi="Cambria" w:cs="Cambria" w:eastAsia="Cambria"/>
                <w:color w:val="1A1A1A"/>
                <w:sz w:val="18"/>
              </w:rPr>
              <w:t xml:space="preserve">Estrarre i conti certificati; raccogliere i dati di esito dall’avvio</w:t>
            </w:r>
          </w:p>
        </w:tc>
      </w:tr>
    </w:tbl>
    <w:p>
      <w:pPr>
        <w:pStyle w:val="BodyText"/>
      </w:pPr>
      <w:r>
        <w:rPr>
          <w:i/>
          <w:iCs/>
        </w:rPr>
        <w:t xml:space="preserve">Tabella M.3. Le raccomandazioni operative.</w:t>
      </w:r>
    </w:p>
    <w:bookmarkEnd w:id="2309"/>
    <w:bookmarkStart w:id="2313" w:name="X08c14541408075891e18041504242a3b748007c"/>
    <w:p>
      <w:pPr>
        <w:pStyle w:val="Heading3"/>
      </w:pPr>
      <w:r>
        <w:t xml:space="preserve">M.4 Le condizioni e la lacuna da colmare</w:t>
      </w:r>
    </w:p>
    <w:p>
      <w:pPr>
        <w:pStyle w:val="FirstParagraph"/>
      </w:pPr>
      <w:r>
        <w:t xml:space="preserve">La raccomandazione è subordinata a condizioni precise: l’inserimento della clausola valutativa nel testo di legge, l’adozione di un’allocazione pro-equità, una regia regionale forte in assenza di un’azienda unica e un flusso informativo progettato fin dall’inizio.</w:t>
      </w:r>
      <w:r>
        <w:rPr>
          <w:rStyle w:val="FootnoteReference"/>
        </w:rPr>
        <w:footnoteReference w:id="2815"/>
      </w:r>
      <w:r>
        <w:t xml:space="preserve"> </w:t>
      </w:r>
      <w:r>
        <w:t xml:space="preserve">Resta inoltre da colmare, prima della presentazione esterna, la lacuna dei dati: l’estrazione dei conti certificati delle dieci Aziende Sanitarie Locali e delle aziende ospedaliero-universitarie e la raccolta dei dati di esito a partire dall’istituzione del servizio consentiranno di sostituire i valori ricostruiti per quota di popolazione con grandezze effettive.</w:t>
      </w:r>
      <w:r>
        <w:rPr>
          <w:rStyle w:val="FootnoteReference"/>
        </w:rPr>
        <w:footnoteReference w:id="2816"/>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2817"/>
      </w:r>
    </w:p>
    <w:bookmarkEnd w:id="2313"/>
    <w:bookmarkStart w:id="2317" w:name="X351387c5b7321bfd59e9ae37ffdbd10183dc729"/>
    <w:p>
      <w:pPr>
        <w:pStyle w:val="Heading3"/>
      </w:pPr>
      <w:r>
        <w:t xml:space="preserve">M.5 La collocazione nella serie e la conclusione</w:t>
      </w:r>
    </w:p>
    <w:p>
      <w:pPr>
        <w:pStyle w:val="FirstParagraph"/>
      </w:pPr>
      <w:r>
        <w:t xml:space="preserve">Lo studio sul Lazio è l’ottavo della serie, dopo quelli su Puglia, Lombardia, Veneto, Emilia-Romagna, Piemonte, Toscana e Liguria, e ne condivide il telaio integrato e il caso di riferimento; rispetto agli altri, il Lazio occupa la posizione più precoce — quella di una regione che del modello è la culla scientifica ma che deve ancora istituirlo per legge — e proprio per questo può disegnarne fin dall’origine la valutazione nella forma più rigorosa.</w:t>
      </w:r>
      <w:r>
        <w:rPr>
          <w:rStyle w:val="FootnoteReference"/>
        </w:rPr>
        <w:footnoteReference w:id="2818"/>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2819"/>
      </w:r>
      <w:r>
        <w:t xml:space="preserve"> </w:t>
      </w:r>
      <w:r>
        <w:t xml:space="preserve">La decisione che lo studio sostiene è, in conclusione, di approvare la legge istitutiva e di istituire il servizio di psicologia di base, dimensionandolo progressivamente al fabbisogno e dotandolo di una clausola valutativa: per il Lazio, culla scientifica del modello, ciò significa chiudere il cerchio fra la paternità dell’idea e la sua istituzione, trasformando un primato scientifico in un servizio strutturato a beneficio della popolazione.</w:t>
      </w:r>
      <w:r>
        <w:rPr>
          <w:rStyle w:val="FootnoteReference"/>
        </w:rPr>
        <w:footnoteReference w:id="2820"/>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2317"/>
    <w:bookmarkEnd w:id="2318"/>
    <w:bookmarkStart w:id="2330" w:name="Xed6d8d2c18b996b808408f1a81eb8e76eb516fa"/>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821"/>
      </w:r>
      <w:r>
        <w:rPr>
          <w:rStyle w:val="FootnoteReference"/>
        </w:rPr>
        <w:footnoteReference w:id="2822"/>
      </w:r>
      <w:r>
        <w:rPr>
          <w:rStyle w:val="FootnoteReference"/>
        </w:rPr>
        <w:footnoteReference w:id="2823"/>
      </w:r>
      <w:r>
        <w:rPr>
          <w:rStyle w:val="FootnoteReference"/>
        </w:rPr>
        <w:footnoteReference w:id="2824"/>
      </w:r>
      <w:r>
        <w:rPr>
          <w:rStyle w:val="FootnoteReference"/>
        </w:rPr>
        <w:footnoteReference w:id="2825"/>
      </w:r>
      <w:r>
        <w:rPr>
          <w:rStyle w:val="FootnoteReference"/>
        </w:rPr>
        <w:footnoteReference w:id="2826"/>
      </w:r>
      <w:r>
        <w:rPr>
          <w:rStyle w:val="FootnoteReference"/>
        </w:rPr>
        <w:footnoteReference w:id="2827"/>
      </w:r>
      <w:r>
        <w:rPr>
          <w:rStyle w:val="FootnoteReference"/>
        </w:rPr>
        <w:footnoteReference w:id="2828"/>
      </w:r>
      <w:r>
        <w:rPr>
          <w:rStyle w:val="FootnoteReference"/>
        </w:rPr>
        <w:footnoteReference w:id="2829"/>
      </w:r>
      <w:r>
        <w:t xml:space="preserve"> </w:t>
      </w:r>
      <w:r>
        <w:t xml:space="preserve">La tabella seguente lo riepiloga.</w:t>
      </w:r>
    </w:p>
    <w:tbl>
      <w:tblPr>
        <w:tblStyle w:val="Table"/>
        <w:tblW w:type="pct" w:w="492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288"/>
        <w:gridCol w:w="551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caso di 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adottata</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Assenza del servizio a regime (servizio non ancora istituito; proposte di legge in itinere)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Azienda Sanitaria Locale/distretto</w:t>
            </w:r>
          </w:p>
        </w:tc>
      </w:tr>
      <w:tr>
        <w:tc>
          <w:tcPr/>
          <w:p>
            <w:pPr>
              <w:pStyle w:val="Compact"/>
              <w:spacing w:after="40" w:before="40"/>
              <w:jc w:val="left"/>
            </w:pPr>
            <w:r>
              <w:rPr>
                <w:rFonts w:ascii="Cambria" w:hAnsi="Cambria" w:cs="Cambria" w:eastAsia="Cambria"/>
                <w:b/>
                <w:bCs/>
                <w:color w:val="1A1A1A"/>
                <w:sz w:val="18"/>
              </w:rPr>
              <w:t xml:space="preserve">Soglia di costo-efficacia</w:t>
            </w:r>
          </w:p>
        </w:tc>
        <w:tc>
          <w:tcPr/>
          <w:p>
            <w:pPr>
              <w:pStyle w:val="Compact"/>
              <w:spacing w:after="40" w:before="40"/>
              <w:jc w:val="left"/>
            </w:pPr>
            <w:r>
              <w:rPr>
                <w:rFonts w:ascii="Cambria" w:hAnsi="Cambria" w:cs="Cambria" w:eastAsia="Cambria"/>
                <w:color w:val="1A1A1A"/>
                <w:sz w:val="18"/>
              </w:rPr>
              <w:t xml:space="preserve">30.000 euro per anno di vita ponderato per la qualità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Correzione prudenziale</w:t>
            </w:r>
          </w:p>
        </w:tc>
        <w:tc>
          <w:tcPr>
            <w:shd w:val="clear" w:color="auto" w:fill="F4F1EC"/>
          </w:tcPr>
          <w:p>
            <w:pPr>
              <w:pStyle w:val="Compact"/>
              <w:spacing w:after="40" w:before="40"/>
              <w:jc w:val="left"/>
            </w:pPr>
            <w:r>
              <w:rPr>
                <w:rFonts w:ascii="Cambria" w:hAnsi="Cambria" w:cs="Cambria" w:eastAsia="Cambria"/>
                <w:color w:val="1A1A1A"/>
                <w:sz w:val="18"/>
              </w:rP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830"/>
      </w:r>
      <w:r>
        <w:t xml:space="preserve"> </w:t>
      </w:r>
      <w:r>
        <w:t xml:space="preserve">La tabella seguente li riporta con le distribuzioni assegnate per l’analisi probabilistica.</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3498"/>
        <w:gridCol w:w="15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 di Markov</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Stati del modello</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recupero</w:t>
            </w:r>
          </w:p>
        </w:tc>
        <w:tc>
          <w:tcPr>
            <w:shd w:val="clear" w:color="auto" w:fill="F4F1EC"/>
          </w:tcPr>
          <w:p>
            <w:pPr>
              <w:pStyle w:val="Compact"/>
              <w:spacing w:after="40" w:before="40"/>
              <w:jc w:val="left"/>
            </w:pPr>
            <w:r>
              <w:rPr>
                <w:rFonts w:ascii="Cambria" w:hAnsi="Cambria" w:cs="Cambria" w:eastAsia="Cambria"/>
                <w:color w:val="1A1A1A"/>
                <w:sz w:val="18"/>
              </w:rPr>
              <w:t xml:space="preserve">40 €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per ciclo — cronico</w:t>
            </w:r>
          </w:p>
        </w:tc>
        <w:tc>
          <w:tcPr/>
          <w:p>
            <w:pPr>
              <w:pStyle w:val="Compact"/>
              <w:spacing w:after="40" w:before="40"/>
              <w:jc w:val="left"/>
            </w:pPr>
            <w:r>
              <w:rPr>
                <w:rFonts w:ascii="Cambria" w:hAnsi="Cambria" w:cs="Cambria" w:eastAsia="Cambria"/>
                <w:color w:val="1A1A1A"/>
                <w:sz w:val="18"/>
              </w:rPr>
              <w:t xml:space="preserve">700 €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Per braccio, da fonti</w:t>
            </w:r>
          </w:p>
        </w:tc>
        <w:tc>
          <w:tcPr/>
          <w:p>
            <w:pPr>
              <w:pStyle w:val="Compact"/>
              <w:spacing w:after="40" w:before="40"/>
              <w:jc w:val="left"/>
            </w:pPr>
            <w:r>
              <w:rPr>
                <w:rFonts w:ascii="Cambria" w:hAnsi="Cambria" w:cs="Cambria" w:eastAsia="Cambria"/>
                <w:color w:val="1A1A1A"/>
                <w:sz w:val="18"/>
              </w:rPr>
              <w:t xml:space="preserve">Beta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per stato</w:t>
            </w:r>
          </w:p>
        </w:tc>
        <w:tc>
          <w:tcPr>
            <w:shd w:val="clear" w:color="auto" w:fill="F4F1EC"/>
          </w:tcPr>
          <w:p>
            <w:pPr>
              <w:pStyle w:val="Compact"/>
              <w:spacing w:after="40" w:before="40"/>
              <w:jc w:val="left"/>
            </w:pPr>
            <w:r>
              <w:rPr>
                <w:rFonts w:ascii="Cambria" w:hAnsi="Cambria" w:cs="Cambria" w:eastAsia="Cambria"/>
                <w:color w:val="1A1A1A"/>
                <w:sz w:val="18"/>
              </w:rPr>
              <w:t xml:space="preserve">Da fonti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Orizzonte e sconto</w:t>
            </w:r>
          </w:p>
        </w:tc>
        <w:tc>
          <w:tcPr/>
          <w:p>
            <w:pPr>
              <w:pStyle w:val="Compact"/>
              <w:spacing w:after="40" w:before="40"/>
              <w:jc w:val="left"/>
            </w:pPr>
            <w:r>
              <w:rPr>
                <w:rFonts w:ascii="Cambria" w:hAnsi="Cambria" w:cs="Cambria" w:eastAsia="Cambria"/>
                <w:color w:val="1A1A1A"/>
                <w:sz w:val="18"/>
              </w:rPr>
              <w:t xml:space="preserve">5 anni; 3% annuo</w:t>
            </w:r>
          </w:p>
        </w:tc>
        <w:t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2831"/>
      </w:r>
      <w:r>
        <w:t xml:space="preserve"> </w:t>
      </w:r>
      <w:r>
        <w:t xml:space="preserve">La tabella seguente lo riepiloga.</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3"/>
        <w:gridCol w:w="1384"/>
        <w:gridCol w:w="1384"/>
        <w:gridCol w:w="13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 salvo 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Psicologi a regime</w:t>
            </w:r>
          </w:p>
        </w:tc>
        <w:tc>
          <w:tcPr/>
          <w:p>
            <w:pPr>
              <w:pStyle w:val="Compact"/>
              <w:spacing w:after="40" w:before="40"/>
              <w:jc w:val="left"/>
            </w:pPr>
            <w:r>
              <w:rPr>
                <w:rFonts w:ascii="Cambria" w:hAnsi="Cambria" w:cs="Cambria" w:eastAsia="Cambria"/>
                <w:color w:val="1A1A1A"/>
                <w:sz w:val="18"/>
              </w:rPr>
              <w:t xml:space="preserve">~ 620</w:t>
            </w:r>
          </w:p>
        </w:tc>
        <w:tc>
          <w:tcPr/>
          <w:p>
            <w:pPr>
              <w:pStyle w:val="Compact"/>
              <w:spacing w:after="40" w:before="40"/>
              <w:jc w:val="left"/>
            </w:pPr>
            <w:r>
              <w:rPr>
                <w:rFonts w:ascii="Cambria" w:hAnsi="Cambria" w:cs="Cambria" w:eastAsia="Cambria"/>
                <w:color w:val="1A1A1A"/>
                <w:sz w:val="18"/>
              </w:rPr>
              <w:t xml:space="preserve">~ 930</w:t>
            </w:r>
          </w:p>
        </w:tc>
        <w:tc>
          <w:tcPr/>
          <w:p>
            <w:pPr>
              <w:pStyle w:val="Compact"/>
              <w:spacing w:after="40" w:before="40"/>
              <w:jc w:val="left"/>
            </w:pPr>
            <w:r>
              <w:rPr>
                <w:rFonts w:ascii="Cambria" w:hAnsi="Cambria" w:cs="Cambria" w:eastAsia="Cambria"/>
                <w:color w:val="1A1A1A"/>
                <w:sz w:val="18"/>
              </w:rPr>
              <w:t xml:space="preserve">~ 1.230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34</w:t>
            </w:r>
          </w:p>
        </w:tc>
        <w:tc>
          <w:tcPr>
            <w:shd w:val="clear" w:color="auto" w:fill="F4F1EC"/>
          </w:tcPr>
          <w:p>
            <w:pPr>
              <w:pStyle w:val="Compact"/>
              <w:spacing w:after="40" w:before="40"/>
              <w:jc w:val="left"/>
            </w:pPr>
            <w:r>
              <w:rPr>
                <w:rFonts w:ascii="Cambria" w:hAnsi="Cambria" w:cs="Cambria" w:eastAsia="Cambria"/>
                <w:color w:val="1A1A1A"/>
                <w:sz w:val="18"/>
              </w:rPr>
              <w:t xml:space="preserve">~ 51</w:t>
            </w:r>
          </w:p>
        </w:tc>
        <w:tc>
          <w:tcPr>
            <w:shd w:val="clear" w:color="auto" w:fill="F4F1EC"/>
          </w:tcPr>
          <w:p>
            <w:pPr>
              <w:pStyle w:val="Compact"/>
              <w:spacing w:after="40" w:before="40"/>
              <w:jc w:val="left"/>
            </w:pPr>
            <w:r>
              <w:rPr>
                <w:rFonts w:ascii="Cambria" w:hAnsi="Cambria" w:cs="Cambria" w:eastAsia="Cambria"/>
                <w:color w:val="1A1A1A"/>
                <w:sz w:val="18"/>
              </w:rPr>
              <w:t xml:space="preserve">~ 68</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22</w:t>
            </w:r>
          </w:p>
        </w:tc>
        <w:tc>
          <w:tcPr/>
          <w:p>
            <w:pPr>
              <w:pStyle w:val="Compact"/>
              <w:spacing w:after="40" w:before="40"/>
              <w:jc w:val="left"/>
            </w:pPr>
            <w:r>
              <w:rPr>
                <w:rFonts w:ascii="Cambria" w:hAnsi="Cambria" w:cs="Cambria" w:eastAsia="Cambria"/>
                <w:color w:val="1A1A1A"/>
                <w:sz w:val="18"/>
              </w:rPr>
              <w:t xml:space="preserve">~ 34</w:t>
            </w:r>
          </w:p>
        </w:tc>
        <w:tc>
          <w:tcPr/>
          <w:p>
            <w:pPr>
              <w:pStyle w:val="Compact"/>
              <w:spacing w:after="40" w:before="40"/>
              <w:jc w:val="left"/>
            </w:pPr>
            <w:r>
              <w:rPr>
                <w:rFonts w:ascii="Cambria" w:hAnsi="Cambria" w:cs="Cambria" w:eastAsia="Cambria"/>
                <w:color w:val="1A1A1A"/>
                <w:sz w:val="18"/>
              </w:rPr>
              <w:t xml:space="preserve">~ 53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110</w:t>
            </w:r>
          </w:p>
        </w:tc>
        <w:tc>
          <w:tcPr>
            <w:shd w:val="clear" w:color="auto" w:fill="F4F1EC"/>
          </w:tcPr>
          <w:p>
            <w:pPr>
              <w:pStyle w:val="Compact"/>
              <w:spacing w:after="40" w:before="40"/>
              <w:jc w:val="left"/>
            </w:pPr>
            <w:r>
              <w:rPr>
                <w:rFonts w:ascii="Cambria" w:hAnsi="Cambria" w:cs="Cambria" w:eastAsia="Cambria"/>
                <w:color w:val="1A1A1A"/>
                <w:sz w:val="18"/>
              </w:rPr>
              <w:t xml:space="preserve">~ 207</w:t>
            </w:r>
          </w:p>
        </w:tc>
        <w:tc>
          <w:tcPr>
            <w:shd w:val="clear" w:color="auto" w:fill="F4F1EC"/>
          </w:tcPr>
          <w:p>
            <w:pPr>
              <w:pStyle w:val="Compact"/>
              <w:spacing w:after="40" w:before="40"/>
              <w:jc w:val="left"/>
            </w:pPr>
            <w:r>
              <w:rPr>
                <w:rFonts w:ascii="Cambria" w:hAnsi="Cambria" w:cs="Cambria" w:eastAsia="Cambria"/>
                <w:color w:val="1A1A1A"/>
                <w:sz w:val="18"/>
              </w:rPr>
              <w:t xml:space="preserve">~ 320</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−12</w:t>
            </w:r>
          </w:p>
        </w:tc>
        <w:tc>
          <w:tcPr/>
          <w:p>
            <w:pPr>
              <w:pStyle w:val="Compact"/>
              <w:spacing w:after="40" w:before="40"/>
              <w:jc w:val="left"/>
            </w:pPr>
            <w:r>
              <w:rPr>
                <w:rFonts w:ascii="Cambria" w:hAnsi="Cambria" w:cs="Cambria" w:eastAsia="Cambria"/>
                <w:color w:val="1A1A1A"/>
                <w:sz w:val="18"/>
              </w:rPr>
              <w:t xml:space="preserve">~ −17</w:t>
            </w:r>
          </w:p>
        </w:tc>
        <w:tc>
          <w:tcPr/>
          <w:p>
            <w:pPr>
              <w:pStyle w:val="Compact"/>
              <w:spacing w:after="40" w:before="40"/>
              <w:jc w:val="left"/>
            </w:pPr>
            <w:r>
              <w:rPr>
                <w:rFonts w:ascii="Cambria" w:hAnsi="Cambria" w:cs="Cambria" w:eastAsia="Cambria"/>
                <w:color w:val="1A1A1A"/>
                <w:sz w:val="18"/>
              </w:rPr>
              <w:t xml:space="preserve">~ −15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+98</w:t>
            </w:r>
          </w:p>
        </w:tc>
        <w:tc>
          <w:tcPr>
            <w:shd w:val="clear" w:color="auto" w:fill="F4F1EC"/>
          </w:tcPr>
          <w:p>
            <w:pPr>
              <w:pStyle w:val="Compact"/>
              <w:spacing w:after="40" w:before="40"/>
              <w:jc w:val="left"/>
            </w:pPr>
            <w:r>
              <w:rPr>
                <w:rFonts w:ascii="Cambria" w:hAnsi="Cambria" w:cs="Cambria" w:eastAsia="Cambria"/>
                <w:color w:val="1A1A1A"/>
                <w:sz w:val="18"/>
              </w:rPr>
              <w:t xml:space="preserve">+190</w:t>
            </w:r>
          </w:p>
        </w:tc>
        <w:tc>
          <w:tcPr>
            <w:shd w:val="clear" w:color="auto" w:fill="F4F1EC"/>
          </w:tcPr>
          <w:p>
            <w:pPr>
              <w:pStyle w:val="Compact"/>
              <w:spacing w:after="40" w:before="40"/>
              <w:jc w:val="left"/>
            </w:pPr>
            <w:r>
              <w:rPr>
                <w:rFonts w:ascii="Cambria" w:hAnsi="Cambria" w:cs="Cambria" w:eastAsia="Cambria"/>
                <w:color w:val="1A1A1A"/>
                <w:sz w:val="18"/>
              </w:rPr>
              <w:t xml:space="preserve">+305</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~3,9:1</w:t>
            </w:r>
          </w:p>
        </w:tc>
        <w:tc>
          <w:tcPr/>
          <w:p>
            <w:pPr>
              <w:pStyle w:val="Compact"/>
              <w:spacing w:after="40" w:before="40"/>
              <w:jc w:val="left"/>
            </w:pPr>
            <w:r>
              <w:rPr>
                <w:rFonts w:ascii="Cambria" w:hAnsi="Cambria" w:cs="Cambria" w:eastAsia="Cambria"/>
                <w:color w:val="1A1A1A"/>
                <w:sz w:val="18"/>
              </w:rPr>
              <w:t xml:space="preserve">~4,7:1</w:t>
            </w:r>
          </w:p>
        </w:tc>
        <w:t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A.3. Il quadro economico consolidato per scenario (costo per incarico di riferimento di 55.000 euro).</w:t>
      </w:r>
    </w:p>
    <w:bookmarkEnd w:id="2330"/>
    <w:bookmarkStart w:id="2333" w:name="X2c524fd3ca8f3870cd79c3fc0d5acfff44dc4cd"/>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832"/>
      </w:r>
      <w:r>
        <w:t xml:space="preserve"> </w:t>
      </w:r>
      <w:r>
        <w:t xml:space="preserve">La tabella seguente li descrive.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6"/>
        <w:gridCol w:w="1584"/>
        <w:gridCol w:w="41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Caratteristiche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 soglia clinica ~10; cambiamento affidabile ~6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d’ansia</w:t>
            </w:r>
          </w:p>
        </w:tc>
        <w:tc>
          <w:tcPr>
            <w:shd w:val="clear" w:color="auto" w:fill="F4F1EC"/>
          </w:tcPr>
          <w:p>
            <w:pPr>
              <w:pStyle w:val="Compact"/>
              <w:spacing w:after="40" w:before="40"/>
              <w:jc w:val="left"/>
            </w:pPr>
            <w:r>
              <w:rPr>
                <w:rFonts w:ascii="Cambria" w:hAnsi="Cambria" w:cs="Cambria" w:eastAsia="Cambria"/>
                <w:color w:val="1A1A1A"/>
                <w:sz w:val="18"/>
              </w:rPr>
              <w:t xml:space="preserve">0–21; impiegato nel solo punteggio complessivo</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Discesa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Esito secondario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833"/>
      </w:r>
      <w:r>
        <w:t xml:space="preserve"> </w:t>
      </w:r>
      <w:r>
        <w:t xml:space="preserve">La tabella seguente ne costituisce il dizionario dei dati.</w:t>
      </w:r>
    </w:p>
    <w:tbl>
      <w:tblPr>
        <w:tblStyle w:val="Table"/>
        <w:tblW w:type="pct" w:w="491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52"/>
        <w:gridCol w:w="4154"/>
        <w:gridCol w:w="18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Campo del dataset</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Momento di rilevazione</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Data di apertura, canale di accesso, invio</w:t>
            </w:r>
          </w:p>
        </w:tc>
        <w:tc>
          <w:tcPr/>
          <w:p>
            <w:pPr>
              <w:pStyle w:val="Compact"/>
              <w:spacing w:after="40" w:before="40"/>
              <w:jc w:val="left"/>
            </w:pPr>
            <w:r>
              <w:rPr>
                <w:rFonts w:ascii="Cambria" w:hAnsi="Cambria" w:cs="Cambria" w:eastAsia="Cambria"/>
                <w:color w:val="1A1A1A"/>
                <w:sz w:val="18"/>
              </w:rPr>
              <w:t xml:space="preserve">All’apertura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Seduta</w:t>
            </w:r>
          </w:p>
        </w:tc>
        <w:tc>
          <w:tcPr>
            <w:shd w:val="clear" w:color="auto" w:fill="F4F1EC"/>
          </w:tcPr>
          <w:p>
            <w:pPr>
              <w:pStyle w:val="Compact"/>
              <w:spacing w:after="40" w:before="40"/>
              <w:jc w:val="left"/>
            </w:pPr>
            <w:r>
              <w:rPr>
                <w:rFonts w:ascii="Cambria" w:hAnsi="Cambria" w:cs="Cambria" w:eastAsia="Cambria"/>
                <w:color w:val="1A1A1A"/>
                <w:sz w:val="18"/>
              </w:rPr>
              <w:t xml:space="preserve">Data, tipo e numero progressivo della seduta</w:t>
            </w:r>
          </w:p>
        </w:tc>
        <w:tc>
          <w:tcPr>
            <w:shd w:val="clear" w:color="auto" w:fill="F4F1EC"/>
          </w:tcPr>
          <w:p>
            <w:pPr>
              <w:pStyle w:val="Compact"/>
              <w:spacing w:after="40" w:before="40"/>
              <w:jc w:val="left"/>
            </w:pPr>
            <w:r>
              <w:rPr>
                <w:rFonts w:ascii="Cambria" w:hAnsi="Cambria" w:cs="Cambria" w:eastAsia="Cambria"/>
                <w:color w:val="1A1A1A"/>
                <w:sz w:val="18"/>
              </w:rPr>
              <w:t xml:space="preserve">A ogni seduta</w:t>
            </w:r>
          </w:p>
        </w:tc>
      </w:tr>
      <w:tr>
        <w:tc>
          <w:tcPr/>
          <w:p>
            <w:pPr>
              <w:pStyle w:val="Compact"/>
              <w:spacing w:after="40" w:before="40"/>
              <w:jc w:val="left"/>
            </w:pPr>
            <w:r>
              <w:rPr>
                <w:rFonts w:ascii="Cambria" w:hAnsi="Cambria" w:cs="Cambria" w:eastAsia="Cambria"/>
                <w:b/>
                <w:bCs/>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e GAD-7 (punteggi complessivi)</w:t>
            </w:r>
          </w:p>
        </w:tc>
        <w:tc>
          <w:tcPr/>
          <w:p>
            <w:pPr>
              <w:pStyle w:val="Compact"/>
              <w:spacing w:after="40" w:before="40"/>
              <w:jc w:val="left"/>
            </w:pPr>
            <w:r>
              <w:rPr>
                <w:rFonts w:ascii="Cambria" w:hAnsi="Cambria" w:cs="Cambria" w:eastAsia="Cambria"/>
                <w:color w:val="1A1A1A"/>
                <w:sz w:val="18"/>
              </w:rPr>
              <w:t xml:space="preserve">A ogni seduta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Invii e restituzioni</w:t>
            </w:r>
          </w:p>
        </w:tc>
        <w:tc>
          <w:tcPr>
            <w:shd w:val="clear" w:color="auto" w:fill="F4F1EC"/>
          </w:tcPr>
          <w:p>
            <w:pPr>
              <w:pStyle w:val="Compact"/>
              <w:spacing w:after="40" w:before="40"/>
              <w:jc w:val="left"/>
            </w:pPr>
            <w:r>
              <w:rPr>
                <w:rFonts w:ascii="Cambria" w:hAnsi="Cambria" w:cs="Cambria" w:eastAsia="Cambria"/>
                <w:color w:val="1A1A1A"/>
                <w:sz w:val="18"/>
              </w:rPr>
              <w:t xml:space="preserve">Invio a servizi specialistici; restituzione al medico curante</w:t>
            </w:r>
          </w:p>
        </w:tc>
        <w:tc>
          <w:tcPr>
            <w:shd w:val="clear" w:color="auto" w:fill="F4F1EC"/>
          </w:tcPr>
          <w:p>
            <w:pPr>
              <w:pStyle w:val="Compact"/>
              <w:spacing w:after="40" w:before="40"/>
              <w:jc w:val="left"/>
            </w:pPr>
            <w:r>
              <w:rPr>
                <w:rFonts w:ascii="Cambria" w:hAnsi="Cambria" w:cs="Cambria" w:eastAsia="Cambria"/>
                <w:color w:val="1A1A1A"/>
                <w:sz w:val="18"/>
              </w:rPr>
              <w:t xml:space="preserve">Ove pertinente</w:t>
            </w:r>
          </w:p>
        </w:tc>
      </w:tr>
      <w:tr>
        <w:tc>
          <w:tcPr/>
          <w:p>
            <w:pPr>
              <w:pStyle w:val="Compact"/>
              <w:spacing w:after="40" w:before="40"/>
              <w:jc w:val="left"/>
            </w:pPr>
            <w:r>
              <w:rPr>
                <w:rFonts w:ascii="Cambria" w:hAnsi="Cambria" w:cs="Cambria" w:eastAsia="Cambria"/>
                <w:b/>
                <w:bCs/>
                <w:color w:val="1A1A1A"/>
                <w:sz w:val="18"/>
              </w:rPr>
              <w:t xml:space="preserve">Chiusura</w:t>
            </w:r>
          </w:p>
        </w:tc>
        <w:tc>
          <w:tcPr/>
          <w:p>
            <w:pPr>
              <w:pStyle w:val="Compact"/>
              <w:spacing w:after="40" w:before="40"/>
              <w:jc w:val="left"/>
            </w:pPr>
            <w:r>
              <w:rPr>
                <w:rFonts w:ascii="Cambria" w:hAnsi="Cambria" w:cs="Cambria" w:eastAsia="Cambria"/>
                <w:color w:val="1A1A1A"/>
                <w:sz w:val="18"/>
              </w:rPr>
              <w:t xml:space="preserve">Esito del percorso (recupero, miglioramento, invio)</w:t>
            </w:r>
          </w:p>
        </w:tc>
        <w:tc>
          <w:tcPr/>
          <w:p>
            <w:pPr>
              <w:pStyle w:val="Compact"/>
              <w:spacing w:after="40" w:before="40"/>
              <w:jc w:val="left"/>
            </w:pPr>
            <w:r>
              <w:rPr>
                <w:rFonts w:ascii="Cambria" w:hAnsi="Cambria" w:cs="Cambria" w:eastAsia="Cambria"/>
                <w:color w:val="1A1A1A"/>
                <w:sz w:val="18"/>
              </w:rPr>
              <w:t xml:space="preserve">Alla chiusura</w:t>
            </w:r>
          </w:p>
        </w:tc>
      </w:tr>
    </w:tbl>
    <w:p>
      <w:pPr>
        <w:pStyle w:val="BodyText"/>
      </w:pPr>
      <w:r>
        <w:rPr>
          <w:i/>
          <w:iCs/>
        </w:rPr>
        <w:t xml:space="preserve">Tabella B.2. Il dataset minimo: i campi del protocollo di rilevazione (dizionario dei dati).</w:t>
      </w:r>
    </w:p>
    <w:bookmarkEnd w:id="2333"/>
    <w:bookmarkStart w:id="4456" w:name="appendice-c-dati-regionali-e-fonti-7"/>
    <w:p>
      <w:pPr>
        <w:pStyle w:val="Heading2"/>
      </w:pPr>
      <w:r>
        <w:t xml:space="preserve">Appendice C — Dati regionali e fonti</w:t>
      </w:r>
    </w:p>
    <w:p>
      <w:pPr>
        <w:pStyle w:val="FirstParagraph"/>
      </w:pPr>
      <w:r>
        <w:t xml:space="preserve">La presente appendice raccoglie i dati regionali di ancoraggio dello studio e ne dichiara i limiti. I valori laziali impiegati nelle analisi sono riepilogati nella tabella seguente.</w:t>
      </w:r>
      <w:r>
        <w:rPr>
          <w:rStyle w:val="FootnoteReference"/>
        </w:rPr>
        <w:footnoteReference w:id="2834"/>
      </w:r>
    </w:p>
    <w:tbl>
      <w:tblPr>
        <w:tblStyle w:val="Table"/>
        <w:tblW w:type="pct" w:w="496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976"/>
        <w:gridCol w:w="688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regionale</w:t>
            </w:r>
          </w:p>
        </w:tc>
      </w:tr>
      <w:tr>
        <w:tc>
          <w:tcPr/>
          <w:p>
            <w:pPr>
              <w:pStyle w:val="Compact"/>
              <w:spacing w:after="40" w:before="40"/>
              <w:jc w:val="left"/>
            </w:pPr>
            <w:r>
              <w:rPr>
                <w:rFonts w:ascii="Cambria" w:hAnsi="Cambria" w:cs="Cambria" w:eastAsia="Cambria"/>
                <w:b/>
                <w:bCs/>
                <w:color w:val="1A1A1A"/>
                <w:sz w:val="18"/>
              </w:rPr>
              <w:t xml:space="preserve">Popolazione regionale</w:t>
            </w:r>
          </w:p>
        </w:tc>
        <w:tc>
          <w:tcPr/>
          <w:p>
            <w:pPr>
              <w:pStyle w:val="Compact"/>
              <w:spacing w:after="40" w:before="40"/>
              <w:jc w:val="left"/>
            </w:pPr>
            <w:r>
              <w:rPr>
                <w:rFonts w:ascii="Cambria" w:hAnsi="Cambria" w:cs="Cambria" w:eastAsia="Cambria"/>
                <w:color w:val="1A1A1A"/>
                <w:sz w:val="18"/>
              </w:rPr>
              <w:t xml:space="preserve">5.709.178 abitanti (Censimento ISTAT 2024), la più popolosa della serie; lievissimo calo per saldo naturale negativo compensato dal saldo migratorio; concentrazione sull’area metropolitana di Roma (~74%); stranieri ~11,4%; età media ~46,7 anni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Finanziamento del SSR</w:t>
            </w:r>
          </w:p>
        </w:tc>
        <w:tc>
          <w:tcPr>
            <w:shd w:val="clear" w:color="auto" w:fill="F4F1EC"/>
          </w:tcPr>
          <w:p>
            <w:pPr>
              <w:pStyle w:val="Compact"/>
              <w:spacing w:after="40" w:before="40"/>
              <w:jc w:val="left"/>
            </w:pPr>
            <w:r>
              <w:rPr>
                <w:rFonts w:ascii="Cambria" w:hAnsi="Cambria" w:cs="Cambria" w:eastAsia="Cambria"/>
                <w:color w:val="1A1A1A"/>
                <w:sz w:val="18"/>
              </w:rPr>
              <w:t xml:space="preserve">Dell’ordine di 12–13 miliardi di euro; in uscita da un lungo piano di rientro, con i conti riportati in attivo e l’autonomia fiscale recuperata</w:t>
            </w:r>
          </w:p>
        </w:tc>
      </w:tr>
      <w:tr>
        <w:tc>
          <w:tcPr/>
          <w:p>
            <w:pPr>
              <w:pStyle w:val="Compact"/>
              <w:spacing w:after="40" w:before="40"/>
              <w:jc w:val="left"/>
            </w:pPr>
            <w:r>
              <w:rPr>
                <w:rFonts w:ascii="Cambria" w:hAnsi="Cambria" w:cs="Cambria" w:eastAsia="Cambria"/>
                <w:b/>
                <w:bCs/>
                <w:color w:val="1A1A1A"/>
                <w:sz w:val="18"/>
              </w:rPr>
              <w:t xml:space="preserve">Mobilità sanitaria</w:t>
            </w:r>
          </w:p>
        </w:tc>
        <w:tc>
          <w:tcPr/>
          <w:p>
            <w:pPr>
              <w:pStyle w:val="Compact"/>
              <w:spacing w:after="40" w:before="40"/>
              <w:jc w:val="left"/>
            </w:pPr>
            <w:r>
              <w:rPr>
                <w:rFonts w:ascii="Cambria" w:hAnsi="Cambria" w:cs="Cambria" w:eastAsia="Cambria"/>
                <w:color w:val="1A1A1A"/>
                <w:sz w:val="18"/>
              </w:rPr>
              <w:t xml:space="preserve">Saldo passivo ma profilo bidirezionale (forte attrazione di Roma e rilevante fuga); fuga concentrata nell’alta complessità ospedaliera e chirurgica; canale di recupero marginale per questo intervento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cause psichiatriche dell’ordine di alcune decine di migliaia l’anno (proxy dai dati nazionali)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Consumo regionale delle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 1.150.000 con disagio comune potenziale (proxy ~20%); utenza in carico ai servizi rapportata ai dati nazionali</w:t>
            </w:r>
          </w:p>
        </w:tc>
      </w:tr>
      <w:tr>
        <w:tc>
          <w:tcPr/>
          <w:p>
            <w:pPr>
              <w:pStyle w:val="Compact"/>
              <w:spacing w:after="40" w:before="40"/>
              <w:jc w:val="left"/>
            </w:pPr>
            <w:r>
              <w:rPr>
                <w:rFonts w:ascii="Cambria" w:hAnsi="Cambria" w:cs="Cambria" w:eastAsia="Cambria"/>
                <w:b/>
                <w:bCs/>
                <w:color w:val="1A1A1A"/>
                <w:sz w:val="18"/>
              </w:rPr>
              <w:t xml:space="preserve">Funzione attuale</w:t>
            </w:r>
          </w:p>
        </w:tc>
        <w:tc>
          <w:tcPr/>
          <w:p>
            <w:pPr>
              <w:pStyle w:val="Compact"/>
              <w:spacing w:after="40" w:before="40"/>
              <w:jc w:val="left"/>
            </w:pPr>
            <w:r>
              <w:rPr>
                <w:rFonts w:ascii="Cambria" w:hAnsi="Cambria" w:cs="Cambria" w:eastAsia="Cambria"/>
                <w:color w:val="1A1A1A"/>
                <w:sz w:val="18"/>
              </w:rPr>
              <w:t xml:space="preserve">Servizio non ancora istituito: pendono una proposta di legge di iniziativa consiliare (PdL 138) e una di iniziativa popolare; pregressa esperienza nei Punti Unici di Accesso; nessuna legge dedicata vigente; regione culla scientifica del modello (Roma)</w:t>
            </w:r>
          </w:p>
        </w:tc>
      </w:tr>
    </w:tbl>
    <w:p>
      <w:pPr>
        <w:pStyle w:val="BodyText"/>
      </w:pPr>
      <w:r>
        <w:rPr>
          <w:i/>
          <w:iCs/>
        </w:rPr>
        <w:t xml:space="preserve">Tabella C.1. I valori regionali di ancoraggio del Lazio.</w:t>
      </w:r>
    </w:p>
    <w:p>
      <w:pPr>
        <w:pStyle w:val="BodyText"/>
      </w:pPr>
      <w:r>
        <w:t xml:space="preserve">Resta la lacuna principale dello studio: i valori economici sono in parte ricostruiti a partire dai conti nazionali scalati per la quota di popolazione laziale, e non estratti dai conti regionali certificati.</w:t>
      </w:r>
      <w:r>
        <w:rPr>
          <w:rStyle w:val="FootnoteReference"/>
        </w:rPr>
        <w:footnoteReference w:id="2835"/>
      </w:r>
      <w:r>
        <w:t xml:space="preserve"> </w:t>
      </w:r>
      <w:r>
        <w:t xml:space="preserve">La tabella seguente elenca i dati da acquisire per sostituire le stime.</w:t>
      </w:r>
    </w:p>
    <w:tbl>
      <w:tblPr>
        <w:tblStyle w:val="Table"/>
        <w:tblW w:type="pct" w:w="493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64"/>
        <w:gridCol w:w="564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Dato da acquisire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Ricoveri psichiatrici</w:t>
            </w:r>
          </w:p>
        </w:tc>
        <w:tc>
          <w:tcPr/>
          <w:p>
            <w:pPr>
              <w:pStyle w:val="Compact"/>
              <w:spacing w:after="40" w:before="40"/>
              <w:jc w:val="left"/>
            </w:pPr>
            <w:r>
              <w:rPr>
                <w:rFonts w:ascii="Cambria" w:hAnsi="Cambria" w:cs="Cambria" w:eastAsia="Cambria"/>
                <w:color w:val="1A1A1A"/>
                <w:sz w:val="18"/>
              </w:rPr>
              <w:t xml:space="preserve">Schede di dimissione ospedaliera per disturbi psichici e relativo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Specialistica</w:t>
            </w:r>
          </w:p>
        </w:tc>
        <w:tc>
          <w:tcPr>
            <w:shd w:val="clear" w:color="auto" w:fill="F4F1EC"/>
          </w:tcPr>
          <w:p>
            <w:pPr>
              <w:pStyle w:val="Compact"/>
              <w:spacing w:after="40" w:before="40"/>
              <w:jc w:val="left"/>
            </w:pPr>
            <w:r>
              <w:rPr>
                <w:rFonts w:ascii="Cambria" w:hAnsi="Cambria" w:cs="Cambria" w:eastAsia="Cambria"/>
                <w:color w:val="1A1A1A"/>
                <w:sz w:val="18"/>
              </w:rPr>
              <w:t xml:space="preserve">Prestazioni specialistiche associate ai sintomi somatici funzionali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Spesa regionale per 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causa psichiatrica e relativo costo unitario</w:t>
            </w:r>
          </w:p>
        </w:tc>
      </w:tr>
      <w:tr>
        <w:tc>
          <w:tcPr/>
          <w:p>
            <w:pPr>
              <w:pStyle w:val="Compact"/>
              <w:spacing w:after="40" w:before="40"/>
              <w:jc w:val="left"/>
            </w:pPr>
            <w:r>
              <w:rPr>
                <w:rFonts w:ascii="Cambria" w:hAnsi="Cambria" w:cs="Cambria" w:eastAsia="Cambria"/>
                <w:b/>
                <w:bCs/>
                <w:color w:val="1A1A1A"/>
                <w:sz w:val="18"/>
              </w:rPr>
              <w:t xml:space="preserve">Dati dall’istituzione del servizio</w:t>
            </w:r>
          </w:p>
        </w:tc>
        <w:tc>
          <w:tcPr/>
          <w:p>
            <w:pPr>
              <w:pStyle w:val="Compact"/>
              <w:spacing w:after="40" w:before="40"/>
              <w:jc w:val="left"/>
            </w:pPr>
            <w:r>
              <w:rPr>
                <w:rFonts w:ascii="Cambria" w:hAnsi="Cambria" w:cs="Cambria" w:eastAsia="Cambria"/>
                <w:color w:val="1A1A1A"/>
                <w:sz w:val="18"/>
              </w:rPr>
              <w:t xml:space="preserve">Prese in carico, sedute ed esiti da raccogliere a partire dall’avvio, da consolidare come fonte primaria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Liste di attesa</w:t>
            </w:r>
          </w:p>
        </w:tc>
        <w:tc>
          <w:tcPr>
            <w:shd w:val="clear" w:color="auto" w:fill="F4F1EC"/>
          </w:tcPr>
          <w:p>
            <w:pPr>
              <w:pStyle w:val="Compact"/>
              <w:spacing w:after="40" w:before="40"/>
              <w:jc w:val="left"/>
            </w:pPr>
            <w:r>
              <w:rPr>
                <w:rFonts w:ascii="Cambria" w:hAnsi="Cambria" w:cs="Cambria" w:eastAsia="Cambria"/>
                <w:color w:val="1A1A1A"/>
                <w:sz w:val="18"/>
              </w:rPr>
              <w:t xml:space="preserve">Tempi di attesa per l’accesso psicologico, per Azienda e per area</w:t>
            </w:r>
          </w:p>
        </w:tc>
      </w:tr>
    </w:tbl>
    <w:p>
      <w:pPr>
        <w:pStyle w:val="BodyText"/>
      </w:pPr>
      <w:r>
        <w:rPr>
          <w:i/>
          <w:iCs/>
        </w:rPr>
        <w:t xml:space="preserve">Tabella C.2. I dati certificati da acquisire per sostituire le stime (lacuna principale dello studio).</w:t>
      </w:r>
    </w:p>
    <w:bookmarkEnd w:id="4456"/>
    <w:bookmarkStart w:id="2338" w:name="appendice-d-checklist-di-reporting-7"/>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836"/>
      </w:r>
      <w:r>
        <w:t xml:space="preserve"> </w:t>
      </w:r>
      <w:r>
        <w:t xml:space="preserve">La tabella seguente li riepiloga.</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3927"/>
        <w:gridCol w:w="1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Standard o lista di controllo</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r>
      <w:tr>
        <w:tc>
          <w:tcPr/>
          <w:p>
            <w:pPr>
              <w:pStyle w:val="Compact"/>
              <w:spacing w:after="40" w:before="40"/>
              <w:jc w:val="left"/>
            </w:pPr>
            <w:r>
              <w:rPr>
                <w:rFonts w:ascii="Cambria" w:hAnsi="Cambria" w:cs="Cambria" w:eastAsia="Cambria"/>
                <w:b/>
                <w:bCs/>
                <w:color w:val="1A1A1A"/>
                <w:sz w:val="18"/>
              </w:rPr>
              <w:t xml:space="preserve">CHEERS 2022 (28 voci)</w:t>
            </w:r>
          </w:p>
        </w:tc>
        <w:tc>
          <w:tcPr/>
          <w:p>
            <w:pPr>
              <w:pStyle w:val="Compact"/>
              <w:spacing w:after="40" w:before="40"/>
              <w:jc w:val="left"/>
            </w:pPr>
            <w:r>
              <w:rPr>
                <w:rFonts w:ascii="Cambria" w:hAnsi="Cambria" w:cs="Cambria" w:eastAsia="Cambria"/>
                <w:color w:val="1A1A1A"/>
                <w:sz w:val="18"/>
              </w:rPr>
              <w:t xml:space="preserve">Rendicontazione delle valutazioni economiche</w:t>
            </w:r>
          </w:p>
        </w:tc>
        <w:tc>
          <w:tcPr/>
          <w:p>
            <w:pPr>
              <w:pStyle w:val="Compact"/>
              <w:spacing w:after="40" w:before="40"/>
              <w:jc w:val="left"/>
            </w:pPr>
            <w:r>
              <w:rPr>
                <w:rFonts w:ascii="Cambria" w:hAnsi="Cambria" w:cs="Cambria" w:eastAsia="Cambria"/>
                <w:color w:val="1A1A1A"/>
                <w:sz w:val="18"/>
              </w:rPr>
              <w:t xml:space="preserve">Parte 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CHEERS-AI (38 voci)</w:t>
            </w:r>
          </w:p>
        </w:tc>
        <w:tc>
          <w:tcPr>
            <w:shd w:val="clear" w:color="auto" w:fill="F4F1EC"/>
          </w:tcPr>
          <w:p>
            <w:pPr>
              <w:pStyle w:val="Compact"/>
              <w:spacing w:after="40" w:before="40"/>
              <w:jc w:val="left"/>
            </w:pPr>
            <w:r>
              <w:rPr>
                <w:rFonts w:ascii="Cambria" w:hAnsi="Cambria" w:cs="Cambria" w:eastAsia="Cambria"/>
                <w:color w:val="1A1A1A"/>
                <w:sz w:val="18"/>
              </w:rPr>
              <w:t xml:space="preserve">Estensione per gli interventi con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Parti C, E</w:t>
            </w:r>
          </w:p>
        </w:tc>
      </w:tr>
      <w:tr>
        <w:tc>
          <w:tcPr/>
          <w:p>
            <w:pPr>
              <w:pStyle w:val="Compact"/>
              <w:spacing w:after="40" w:before="40"/>
              <w:jc w:val="left"/>
            </w:pPr>
            <w:r>
              <w:rPr>
                <w:rFonts w:ascii="Cambria" w:hAnsi="Cambria" w:cs="Cambria" w:eastAsia="Cambria"/>
                <w:b/>
                <w:bCs/>
                <w:color w:val="1A1A1A"/>
                <w:sz w:val="18"/>
              </w:rPr>
              <w:t xml:space="preserve">PRISMA 2020</w:t>
            </w:r>
          </w:p>
        </w:tc>
        <w:tc>
          <w:tcPr/>
          <w:p>
            <w:pPr>
              <w:pStyle w:val="Compact"/>
              <w:spacing w:after="40" w:before="40"/>
              <w:jc w:val="left"/>
            </w:pPr>
            <w:r>
              <w:rPr>
                <w:rFonts w:ascii="Cambria" w:hAnsi="Cambria" w:cs="Cambria" w:eastAsia="Cambria"/>
                <w:color w:val="1A1A1A"/>
                <w:sz w:val="18"/>
              </w:rPr>
              <w:t xml:space="preserve">Conduzione e reporting delle revisioni sistematiche</w:t>
            </w:r>
          </w:p>
        </w:tc>
        <w:tc>
          <w:tcPr/>
          <w:p>
            <w:pPr>
              <w:pStyle w:val="Compact"/>
              <w:spacing w:after="40" w:before="40"/>
              <w:jc w:val="left"/>
            </w:pPr>
            <w:r>
              <w:rPr>
                <w:rFonts w:ascii="Cambria" w:hAnsi="Cambria" w:cs="Cambria" w:eastAsia="Cambria"/>
                <w:color w:val="1A1A1A"/>
                <w:sz w:val="18"/>
              </w:rPr>
              <w:t xml:space="preserve">Parte 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GRADE</w:t>
            </w:r>
          </w:p>
        </w:tc>
        <w:tc>
          <w:tcPr>
            <w:shd w:val="clear" w:color="auto" w:fill="F4F1EC"/>
          </w:tcPr>
          <w:p>
            <w:pPr>
              <w:pStyle w:val="Compact"/>
              <w:spacing w:after="40" w:before="40"/>
              <w:jc w:val="left"/>
            </w:pPr>
            <w:r>
              <w:rPr>
                <w:rFonts w:ascii="Cambria" w:hAnsi="Cambria" w:cs="Cambria" w:eastAsia="Cambria"/>
                <w:color w:val="1A1A1A"/>
                <w:sz w:val="18"/>
              </w:rPr>
              <w:t xml:space="preserve">Graduazione della certezza dell’evidenza</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r>
      <w:tr>
        <w:tc>
          <w:tcPr/>
          <w:p>
            <w:pPr>
              <w:pStyle w:val="Compact"/>
              <w:spacing w:after="40" w:before="40"/>
              <w:jc w:val="left"/>
            </w:pPr>
            <w:r>
              <w:rPr>
                <w:rFonts w:ascii="Cambria" w:hAnsi="Cambria" w:cs="Cambria" w:eastAsia="Cambria"/>
                <w:b/>
                <w:bCs/>
                <w:color w:val="1A1A1A"/>
                <w:sz w:val="18"/>
              </w:rPr>
              <w:t xml:space="preserve">Lista STROBE</w:t>
            </w:r>
          </w:p>
        </w:tc>
        <w:tc>
          <w:tcPr/>
          <w:p>
            <w:pPr>
              <w:pStyle w:val="Compact"/>
              <w:spacing w:after="40" w:before="40"/>
              <w:jc w:val="left"/>
            </w:pPr>
            <w:r>
              <w:rPr>
                <w:rFonts w:ascii="Cambria" w:hAnsi="Cambria" w:cs="Cambria" w:eastAsia="Cambria"/>
                <w:color w:val="1A1A1A"/>
                <w:sz w:val="18"/>
              </w:rPr>
              <w:t xml:space="preserve">Studi osservazionali sui dati reali</w:t>
            </w:r>
          </w:p>
        </w:tc>
        <w:tc>
          <w:tcPr/>
          <w:p>
            <w:pPr>
              <w:pStyle w:val="Compact"/>
              <w:spacing w:after="40" w:before="40"/>
              <w:jc w:val="left"/>
            </w:pPr>
            <w:r>
              <w:rPr>
                <w:rFonts w:ascii="Cambria" w:hAnsi="Cambria" w:cs="Cambria" w:eastAsia="Cambria"/>
                <w:color w:val="1A1A1A"/>
                <w:sz w:val="18"/>
              </w:rPr>
              <w:t xml:space="preserve">Parti D,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Buone pratiche ISPOR-SMDM</w:t>
            </w:r>
          </w:p>
        </w:tc>
        <w:tc>
          <w:tcPr>
            <w:shd w:val="clear" w:color="auto" w:fill="F4F1EC"/>
          </w:tcPr>
          <w:p>
            <w:pPr>
              <w:pStyle w:val="Compact"/>
              <w:spacing w:after="40" w:before="40"/>
              <w:jc w:val="left"/>
            </w:pPr>
            <w:r>
              <w:rPr>
                <w:rFonts w:ascii="Cambria" w:hAnsi="Cambria" w:cs="Cambria" w:eastAsia="Cambria"/>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r>
      <w:tr>
        <w:tc>
          <w:tcPr/>
          <w:p>
            <w:pPr>
              <w:pStyle w:val="Compact"/>
              <w:spacing w:after="40" w:before="40"/>
              <w:jc w:val="left"/>
            </w:pPr>
            <w:r>
              <w:rPr>
                <w:rFonts w:ascii="Cambria" w:hAnsi="Cambria" w:cs="Cambria" w:eastAsia="Cambria"/>
                <w:b/>
                <w:bCs/>
                <w:color w:val="1A1A1A"/>
                <w:sz w:val="18"/>
              </w:rPr>
              <w:t xml:space="preserve">Manuale OCSE-JRC</w:t>
            </w:r>
          </w:p>
        </w:tc>
        <w:tc>
          <w:tcPr/>
          <w:p>
            <w:pPr>
              <w:pStyle w:val="Compact"/>
              <w:spacing w:after="40" w:before="40"/>
              <w:jc w:val="left"/>
            </w:pPr>
            <w:r>
              <w:rPr>
                <w:rFonts w:ascii="Cambria" w:hAnsi="Cambria" w:cs="Cambria" w:eastAsia="Cambria"/>
                <w:color w:val="1A1A1A"/>
                <w:sz w:val="18"/>
              </w:rPr>
              <w:t xml:space="preserve">Costruzione degli indicatori compositi</w:t>
            </w:r>
          </w:p>
        </w:tc>
        <w:tc>
          <w:tcPr/>
          <w:p>
            <w:pPr>
              <w:pStyle w:val="Compact"/>
              <w:spacing w:after="40" w:before="40"/>
              <w:jc w:val="left"/>
            </w:pPr>
            <w:r>
              <w:rPr>
                <w:rFonts w:ascii="Cambria" w:hAnsi="Cambria" w:cs="Cambria" w:eastAsia="Cambria"/>
                <w:color w:val="1A1A1A"/>
                <w:sz w:val="18"/>
              </w:rPr>
              <w:t xml:space="preserve">Parte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Griglia di giudizio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r>
    </w:tbl>
    <w:p>
      <w:pPr>
        <w:pStyle w:val="BodyText"/>
      </w:pPr>
      <w:r>
        <w:rPr>
          <w:i/>
          <w:iCs/>
        </w:rPr>
        <w:t xml:space="preserve">Tabella D.1. Gli standard di reporting e di qualità adottati nello studio, per parte di applicazione.</w:t>
      </w:r>
    </w:p>
    <w:bookmarkEnd w:id="2338"/>
    <w:bookmarkStart w:id="4457" w:name="appendice-e-glossario-7"/>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837"/>
      </w:r>
      <w:r>
        <w:t xml:space="preserve"> </w:t>
      </w:r>
      <w:r>
        <w:t xml:space="preserve">Le definizioni sono comuni al telaio metodologico replicato in tutti gli studi regionali del progetto.</w:t>
      </w:r>
    </w:p>
    <w:tbl>
      <w:tblPr>
        <w:tblStyle w:val="Table"/>
        <w:tblW w:type="pct" w:w="497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208"/>
        <w:gridCol w:w="666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Termine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w:t>
            </w:r>
          </w:p>
        </w:tc>
      </w:tr>
      <w:tr>
        <w:tc>
          <w:tcPr/>
          <w:p>
            <w:pPr>
              <w:pStyle w:val="Compact"/>
              <w:spacing w:after="40" w:before="40"/>
              <w:jc w:val="left"/>
            </w:pPr>
            <w:r>
              <w:rPr>
                <w:rFonts w:ascii="Cambria" w:hAnsi="Cambria" w:cs="Cambria" w:eastAsia="Cambria"/>
                <w:b/>
                <w:bCs/>
                <w:color w:val="1A1A1A"/>
                <w:sz w:val="18"/>
              </w:rPr>
              <w:t xml:space="preserve">Valutazione di tecnologia sanitaria (HTA)</w:t>
            </w:r>
          </w:p>
        </w:tc>
        <w:tc>
          <w:tcPr/>
          <w:p>
            <w:pPr>
              <w:pStyle w:val="Compact"/>
              <w:spacing w:after="40" w:before="40"/>
              <w:jc w:val="left"/>
            </w:pPr>
            <w:r>
              <w:rPr>
                <w:rFonts w:ascii="Cambria" w:hAnsi="Cambria" w:cs="Cambria" w:eastAsia="Cambria"/>
                <w:color w:val="1A1A1A"/>
                <w:sz w:val="18"/>
              </w:rPr>
              <w:t xml:space="preserve">Valutazione multidimensionale di un intervento sanitario, articolata in nove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rapida di efficacia relativa</w:t>
            </w:r>
          </w:p>
        </w:tc>
        <w:tc>
          <w:tcPr>
            <w:shd w:val="clear" w:color="auto" w:fill="F4F1EC"/>
          </w:tcPr>
          <w:p>
            <w:pPr>
              <w:pStyle w:val="Compact"/>
              <w:spacing w:after="40" w:before="40"/>
              <w:jc w:val="left"/>
            </w:pPr>
            <w:r>
              <w:rPr>
                <w:rFonts w:ascii="Cambria" w:hAnsi="Cambria" w:cs="Cambria" w:eastAsia="Cambria"/>
                <w:color w:val="1A1A1A"/>
                <w:sz w:val="18"/>
              </w:rPr>
              <w:t xml:space="preserve">Nucleo dell’HTA, che copre i primi quattro domini (problema, descrizione, sicurezza, efficacia)</w:t>
            </w:r>
          </w:p>
        </w:tc>
      </w:tr>
      <w:tr>
        <w:tc>
          <w:tcPr/>
          <w:p>
            <w:pPr>
              <w:pStyle w:val="Compact"/>
              <w:spacing w:after="40" w:before="40"/>
              <w:jc w:val="left"/>
            </w:pPr>
            <w:r>
              <w:rPr>
                <w:rFonts w:ascii="Cambria" w:hAnsi="Cambria" w:cs="Cambria" w:eastAsia="Cambria"/>
                <w:b/>
                <w:bCs/>
                <w:color w:val="1A1A1A"/>
                <w:sz w:val="18"/>
              </w:rPr>
              <w:t xml:space="preserve">Five Case Model</w:t>
            </w:r>
          </w:p>
        </w:tc>
        <w:tc>
          <w:tcPr/>
          <w:p>
            <w:pPr>
              <w:pStyle w:val="Compact"/>
              <w:spacing w:after="40" w:before="40"/>
              <w:jc w:val="left"/>
            </w:pPr>
            <w:r>
              <w:rPr>
                <w:rFonts w:ascii="Cambria" w:hAnsi="Cambria" w:cs="Cambria" w:eastAsia="Cambria"/>
                <w:color w:val="1A1A1A"/>
                <w:sz w:val="18"/>
              </w:rPr>
              <w:t xml:space="preserve">Standard del business case pubblico in cinque casi: strategico, economico, commerciale, finanziario, gestionale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 2022</w:t>
            </w:r>
          </w:p>
        </w:tc>
        <w:tc>
          <w:tcPr>
            <w:shd w:val="clear" w:color="auto" w:fill="F4F1EC"/>
          </w:tcPr>
          <w:p>
            <w:pPr>
              <w:pStyle w:val="Compact"/>
              <w:spacing w:after="40" w:before="40"/>
              <w:jc w:val="left"/>
            </w:pPr>
            <w:r>
              <w:rPr>
                <w:rFonts w:ascii="Cambria" w:hAnsi="Cambria" w:cs="Cambria" w:eastAsia="Cambria"/>
                <w:color w:val="1A1A1A"/>
                <w:sz w:val="18"/>
              </w:rPr>
              <w:t xml:space="preserve">Lista di controllo di 28 voci per la rendicontazione delle valutazioni economiche</w:t>
            </w:r>
          </w:p>
        </w:tc>
      </w:tr>
      <w:tr>
        <w:tc>
          <w:tcPr/>
          <w:p>
            <w:pPr>
              <w:pStyle w:val="Compact"/>
              <w:spacing w:after="40" w:before="40"/>
              <w:jc w:val="left"/>
            </w:pPr>
            <w:r>
              <w:rPr>
                <w:rFonts w:ascii="Cambria" w:hAnsi="Cambria" w:cs="Cambria" w:eastAsia="Cambria"/>
                <w:b/>
                <w:bCs/>
                <w:color w:val="1A1A1A"/>
                <w:sz w:val="18"/>
              </w:rPr>
              <w:t xml:space="preserve">Criteri OCSE-DAC</w:t>
            </w:r>
          </w:p>
        </w:tc>
        <w:tc>
          <w:tcPr/>
          <w:p>
            <w:pPr>
              <w:pStyle w:val="Compact"/>
              <w:spacing w:after="40" w:before="40"/>
              <w:jc w:val="left"/>
            </w:pPr>
            <w:r>
              <w:rPr>
                <w:rFonts w:ascii="Cambria" w:hAnsi="Cambria" w:cs="Cambria" w:eastAsia="Cambria"/>
                <w:color w:val="1A1A1A"/>
                <w:sz w:val="18"/>
              </w:rPr>
              <w:t xml:space="preserve">Sei criteri di giudizio: rilevanza, coerenza, efficacia, efficienza, impatto,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di vita ponderato per la qualità (QALY)</w:t>
            </w:r>
          </w:p>
        </w:tc>
        <w:tc>
          <w:tcPr>
            <w:shd w:val="clear" w:color="auto" w:fill="F4F1EC"/>
          </w:tcPr>
          <w:p>
            <w:pPr>
              <w:pStyle w:val="Compact"/>
              <w:spacing w:after="40" w:before="40"/>
              <w:jc w:val="left"/>
            </w:pPr>
            <w:r>
              <w:rPr>
                <w:rFonts w:ascii="Cambria" w:hAnsi="Cambria" w:cs="Cambria" w:eastAsia="Cambria"/>
                <w:color w:val="1A1A1A"/>
                <w:sz w:val="18"/>
              </w:rPr>
              <w:t xml:space="preserve">Misura che integra durata e qualità della vita guadagnate</w:t>
            </w:r>
          </w:p>
        </w:tc>
      </w:tr>
      <w:tr>
        <w:tc>
          <w:tcPr/>
          <w:p>
            <w:pPr>
              <w:pStyle w:val="Compact"/>
              <w:spacing w:after="40" w:before="40"/>
              <w:jc w:val="left"/>
            </w:pPr>
            <w:r>
              <w:rPr>
                <w:rFonts w:ascii="Cambria" w:hAnsi="Cambria" w:cs="Cambria" w:eastAsia="Cambria"/>
                <w:b/>
                <w:bCs/>
                <w:color w:val="1A1A1A"/>
                <w:sz w:val="18"/>
              </w:rPr>
              <w:t xml:space="preserve">Rapporto incrementale di costo-efficacia (ICER)</w:t>
            </w:r>
          </w:p>
        </w:tc>
        <w:tc>
          <w:tcPr/>
          <w:p>
            <w:pPr>
              <w:pStyle w:val="Compact"/>
              <w:spacing w:after="40" w:before="40"/>
              <w:jc w:val="left"/>
            </w:pPr>
            <w:r>
              <w:rPr>
                <w:rFonts w:ascii="Cambria" w:hAnsi="Cambria" w:cs="Cambria" w:eastAsia="Cambria"/>
                <w:color w:val="1A1A1A"/>
                <w:sz w:val="18"/>
              </w:rPr>
              <w:t xml:space="preserve">Rapporto tra costo aggiuntivo e guadagno di salute, confrontato con una soglia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costo-utilità</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che misura gli esiti in anni di vita ponderati per la qualità</w:t>
            </w:r>
          </w:p>
        </w:tc>
      </w:tr>
      <w:tr>
        <w:tc>
          <w:tcPr/>
          <w:p>
            <w:pPr>
              <w:pStyle w:val="Compact"/>
              <w:spacing w:after="40" w:before="40"/>
              <w:jc w:val="left"/>
            </w:pPr>
            <w:r>
              <w:rPr>
                <w:rFonts w:ascii="Cambria" w:hAnsi="Cambria" w:cs="Cambria" w:eastAsia="Cambria"/>
                <w:b/>
                <w:bCs/>
                <w:color w:val="1A1A1A"/>
                <w:sz w:val="18"/>
              </w:rPr>
              <w:t xml:space="preserve">Analisi di impatto sul bilancio</w:t>
            </w:r>
          </w:p>
        </w:tc>
        <w:tc>
          <w:tcPr/>
          <w:p>
            <w:pPr>
              <w:pStyle w:val="Compact"/>
              <w:spacing w:after="40" w:before="40"/>
              <w:jc w:val="left"/>
            </w:pPr>
            <w:r>
              <w:rPr>
                <w:rFonts w:ascii="Cambria" w:hAnsi="Cambria" w:cs="Cambria" w:eastAsia="Cambria"/>
                <w:color w:val="1A1A1A"/>
                <w:sz w:val="18"/>
              </w:rPr>
              <w:t xml:space="preserve">Stima dell’effetto finanziario sul bilancio del detentore del budget, su flussi non scontati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sull’investimento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Metodo che monetizza il valore sociale generato, distinto dai risparmi di bilancio</w:t>
            </w:r>
          </w:p>
        </w:tc>
      </w:tr>
      <w:tr>
        <w:tc>
          <w:tcPr/>
          <w:p>
            <w:pPr>
              <w:pStyle w:val="Compact"/>
              <w:spacing w:after="40" w:before="40"/>
              <w:jc w:val="left"/>
            </w:pPr>
            <w:r>
              <w:rPr>
                <w:rFonts w:ascii="Cambria" w:hAnsi="Cambria" w:cs="Cambria" w:eastAsia="Cambria"/>
                <w:b/>
                <w:bCs/>
                <w:color w:val="1A1A1A"/>
                <w:sz w:val="18"/>
              </w:rPr>
              <w:t xml:space="preserve">Analisi costo-efficacia distributiva (DCEA)</w:t>
            </w:r>
          </w:p>
        </w:tc>
        <w:tc>
          <w:tcPr/>
          <w:p>
            <w:pPr>
              <w:pStyle w:val="Compact"/>
              <w:spacing w:after="40" w:before="40"/>
              <w:jc w:val="left"/>
            </w:pPr>
            <w:r>
              <w:rPr>
                <w:rFonts w:ascii="Cambria" w:hAnsi="Cambria" w:cs="Cambria" w:eastAsia="Cambria"/>
                <w:color w:val="1A1A1A"/>
                <w:sz w:val="18"/>
              </w:rPr>
              <w:t xml:space="preserve">Estende la valutazione economica alla distribuzione degli effetti tra gruppi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sensibilità probabilistica</w:t>
            </w:r>
          </w:p>
        </w:tc>
        <w:tc>
          <w:tcPr>
            <w:shd w:val="clear" w:color="auto" w:fill="F4F1EC"/>
          </w:tcPr>
          <w:p>
            <w:pPr>
              <w:pStyle w:val="Compact"/>
              <w:spacing w:after="40" w:before="40"/>
              <w:jc w:val="left"/>
            </w:pPr>
            <w:r>
              <w:rPr>
                <w:rFonts w:ascii="Cambria" w:hAnsi="Cambria" w:cs="Cambria" w:eastAsia="Cambria"/>
                <w:color w:val="1A1A1A"/>
                <w:sz w:val="18"/>
              </w:rPr>
              <w:t xml:space="preserve">Propaga l’incertezza dei parametri mediante simulazioni Monte Carlo</w:t>
            </w:r>
          </w:p>
        </w:tc>
      </w:tr>
      <w:tr>
        <w:tc>
          <w:tcPr/>
          <w:p>
            <w:pPr>
              <w:pStyle w:val="Compact"/>
              <w:spacing w:after="40" w:before="40"/>
              <w:jc w:val="left"/>
            </w:pPr>
            <w:r>
              <w:rPr>
                <w:rFonts w:ascii="Cambria" w:hAnsi="Cambria" w:cs="Cambria" w:eastAsia="Cambria"/>
                <w:b/>
                <w:bCs/>
                <w:color w:val="1A1A1A"/>
                <w:sz w:val="18"/>
              </w:rPr>
              <w:t xml:space="preserve">Valore dell’informazione (EVPI, EVPPI)</w:t>
            </w:r>
          </w:p>
        </w:tc>
        <w:tc>
          <w:tcPr/>
          <w:p>
            <w:pPr>
              <w:pStyle w:val="Compact"/>
              <w:spacing w:after="40" w:before="40"/>
              <w:jc w:val="left"/>
            </w:pPr>
            <w:r>
              <w:rPr>
                <w:rFonts w:ascii="Cambria" w:hAnsi="Cambria" w:cs="Cambria" w:eastAsia="Cambria"/>
                <w:color w:val="1A1A1A"/>
                <w:sz w:val="18"/>
              </w:rPr>
              <w:t xml:space="preserve">Beneficio atteso dalla riduzione dell’incertezza, complessiva e sui parametri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Markov</w:t>
            </w:r>
          </w:p>
        </w:tc>
        <w:tc>
          <w:tcPr>
            <w:shd w:val="clear" w:color="auto" w:fill="F4F1EC"/>
          </w:tcPr>
          <w:p>
            <w:pPr>
              <w:pStyle w:val="Compact"/>
              <w:spacing w:after="40" w:before="40"/>
              <w:jc w:val="left"/>
            </w:pPr>
            <w:r>
              <w:rPr>
                <w:rFonts w:ascii="Cambria" w:hAnsi="Cambria" w:cs="Cambria" w:eastAsia="Cambria"/>
                <w:color w:val="1A1A1A"/>
                <w:sz w:val="18"/>
              </w:rPr>
              <w:t xml:space="preserve">Modello che rappresenta il decorso di una condizione attraverso stati di salute e transizioni</w:t>
            </w:r>
          </w:p>
        </w:tc>
      </w:tr>
      <w:tr>
        <w:tc>
          <w:tcPr/>
          <w:p>
            <w:pPr>
              <w:pStyle w:val="Compact"/>
              <w:spacing w:after="40" w:before="40"/>
              <w:jc w:val="left"/>
            </w:pPr>
            <w:r>
              <w:rPr>
                <w:rFonts w:ascii="Cambria" w:hAnsi="Cambria" w:cs="Cambria" w:eastAsia="Cambria"/>
                <w:b/>
                <w:bCs/>
                <w:color w:val="1A1A1A"/>
                <w:sz w:val="18"/>
              </w:rPr>
              <w:t xml:space="preserve">Differenza-nelle-differenze</w:t>
            </w:r>
          </w:p>
        </w:tc>
        <w:tc>
          <w:tcPr/>
          <w:p>
            <w:pPr>
              <w:pStyle w:val="Compact"/>
              <w:spacing w:after="40" w:before="40"/>
              <w:jc w:val="left"/>
            </w:pPr>
            <w:r>
              <w:rPr>
                <w:rFonts w:ascii="Cambria" w:hAnsi="Cambria" w:cs="Cambria" w:eastAsia="Cambria"/>
                <w:color w:val="1A1A1A"/>
                <w:sz w:val="18"/>
              </w:rPr>
              <w:t xml:space="preserve">Metodo controfattuale che confronta la variazione nel tempo dell’esito tra gruppi a diversa esposizione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Controllo sintetico</w:t>
            </w:r>
          </w:p>
        </w:tc>
        <w:tc>
          <w:tcPr>
            <w:shd w:val="clear" w:color="auto" w:fill="F4F1EC"/>
          </w:tcPr>
          <w:p>
            <w:pPr>
              <w:pStyle w:val="Compact"/>
              <w:spacing w:after="40" w:before="40"/>
              <w:jc w:val="left"/>
            </w:pPr>
            <w:r>
              <w:rPr>
                <w:rFonts w:ascii="Cambria" w:hAnsi="Cambria" w:cs="Cambria" w:eastAsia="Cambria"/>
                <w:color w:val="1A1A1A"/>
                <w:sz w:val="18"/>
              </w:rPr>
              <w:t xml:space="preserve">Metodo che costruisce un’unità di confronto come combinazione ponderata di unità a minore esposizione</w:t>
            </w:r>
          </w:p>
        </w:tc>
      </w:tr>
      <w:tr>
        <w:tc>
          <w:tcPr/>
          <w:p>
            <w:pPr>
              <w:pStyle w:val="Compact"/>
              <w:spacing w:after="40" w:before="40"/>
              <w:jc w:val="left"/>
            </w:pPr>
            <w:r>
              <w:rPr>
                <w:rFonts w:ascii="Cambria" w:hAnsi="Cambria" w:cs="Cambria" w:eastAsia="Cambria"/>
                <w:b/>
                <w:bCs/>
                <w:color w:val="1A1A1A"/>
                <w:sz w:val="18"/>
              </w:rPr>
              <w:t xml:space="preserve">Disegno a cunei progressivi prospettico</w:t>
            </w:r>
          </w:p>
        </w:tc>
        <w:tc>
          <w:tcPr/>
          <w:p>
            <w:pPr>
              <w:pStyle w:val="Compact"/>
              <w:spacing w:after="40" w:before="40"/>
              <w:jc w:val="left"/>
            </w:pPr>
            <w:r>
              <w:rPr>
                <w:rFonts w:ascii="Cambria" w:hAnsi="Cambria" w:cs="Cambria" w:eastAsia="Cambria"/>
                <w:color w:val="1A1A1A"/>
                <w:sz w:val="18"/>
              </w:rPr>
              <w:t xml:space="preserve">Disegno controfattuale impiegato nel Lazio, ove il servizio non è ancora attivo, fondato su un’attivazione scaglionata tra le dieci Aziende Sanitarie Locali e i loro distretti pianificata in anticipo a fini valutativi; è la condizione metodologicamente più favorevole dell’intera serie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e verifica d’impatto della regolazione</w:t>
            </w:r>
          </w:p>
        </w:tc>
        <w:tc>
          <w:tcPr>
            <w:shd w:val="clear" w:color="auto" w:fill="F4F1EC"/>
          </w:tcPr>
          <w:p>
            <w:pPr>
              <w:pStyle w:val="Compact"/>
              <w:spacing w:after="40" w:before="40"/>
              <w:jc w:val="left"/>
            </w:pPr>
            <w:r>
              <w:rPr>
                <w:rFonts w:ascii="Cambria" w:hAnsi="Cambria" w:cs="Cambria" w:eastAsia="Cambria"/>
                <w:color w:val="1A1A1A"/>
                <w:sz w:val="18"/>
              </w:rPr>
              <w:t xml:space="preserve">Valutazione ex ante (AIR) ed ex post (VIR) degli effetti di una norma</w:t>
            </w:r>
          </w:p>
        </w:tc>
      </w:tr>
      <w:tr>
        <w:tc>
          <w:tcPr/>
          <w:p>
            <w:pPr>
              <w:pStyle w:val="Compact"/>
              <w:spacing w:after="40" w:before="40"/>
              <w:jc w:val="left"/>
            </w:pPr>
            <w:r>
              <w:rPr>
                <w:rFonts w:ascii="Cambria" w:hAnsi="Cambria" w:cs="Cambria" w:eastAsia="Cambria"/>
                <w:b/>
                <w:bCs/>
                <w:color w:val="1A1A1A"/>
                <w:sz w:val="18"/>
              </w:rPr>
              <w:t xml:space="preserve">Clausola valutativa</w:t>
            </w:r>
          </w:p>
        </w:tc>
        <w:tc>
          <w:tcPr/>
          <w:p>
            <w:pPr>
              <w:pStyle w:val="Compact"/>
              <w:spacing w:after="40" w:before="40"/>
              <w:jc w:val="left"/>
            </w:pPr>
            <w:r>
              <w:rPr>
                <w:rFonts w:ascii="Cambria" w:hAnsi="Cambria" w:cs="Cambria" w:eastAsia="Cambria"/>
                <w:color w:val="1A1A1A"/>
                <w:sz w:val="18"/>
              </w:rPr>
              <w:t xml:space="preserve">Strumento che impegna la Giunta a riferire al Consiglio sui risultati della riforma; nel Lazio da inserire fin dal testo della futura legge istitutiva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RE-AIM</w:t>
            </w:r>
          </w:p>
        </w:tc>
        <w:tc>
          <w:tcPr>
            <w:shd w:val="clear" w:color="auto" w:fill="F4F1EC"/>
          </w:tcPr>
          <w:p>
            <w:pPr>
              <w:pStyle w:val="Compact"/>
              <w:spacing w:after="40" w:before="40"/>
              <w:jc w:val="left"/>
            </w:pPr>
            <w:r>
              <w:rPr>
                <w:rFonts w:ascii="Cambria" w:hAnsi="Cambria" w:cs="Cambria" w:eastAsia="Cambria"/>
                <w:color w:val="1A1A1A"/>
                <w:sz w:val="18"/>
              </w:rPr>
              <w:t xml:space="preserve">Quadro che misura portata, efficacia, adozione, implementazione e mantenimento di un intervento</w:t>
            </w:r>
          </w:p>
        </w:tc>
      </w:tr>
      <w:tr>
        <w:tc>
          <w:tcPr/>
          <w:p>
            <w:pPr>
              <w:pStyle w:val="Compact"/>
              <w:spacing w:after="40" w:before="40"/>
              <w:jc w:val="left"/>
            </w:pPr>
            <w:r>
              <w:rPr>
                <w:rFonts w:ascii="Cambria" w:hAnsi="Cambria" w:cs="Cambria" w:eastAsia="Cambria"/>
                <w:b/>
                <w:bCs/>
                <w:color w:val="1A1A1A"/>
                <w:sz w:val="18"/>
              </w:rPr>
              <w:t xml:space="preserve">CFIR</w:t>
            </w:r>
          </w:p>
        </w:tc>
        <w:tc>
          <w:tcPr/>
          <w:p>
            <w:pPr>
              <w:pStyle w:val="Compact"/>
              <w:spacing w:after="40" w:before="40"/>
              <w:jc w:val="left"/>
            </w:pPr>
            <w:r>
              <w:rPr>
                <w:rFonts w:ascii="Cambria" w:hAnsi="Cambria" w:cs="Cambria" w:eastAsia="Cambria"/>
                <w:color w:val="1A1A1A"/>
                <w:sz w:val="18"/>
              </w:rPr>
              <w:t xml:space="preserve">Quadro che spiega i determinanti dell’implementazione, in cinque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Donabedian</w:t>
            </w:r>
          </w:p>
        </w:tc>
        <w:tc>
          <w:tcPr>
            <w:shd w:val="clear" w:color="auto" w:fill="F4F1EC"/>
          </w:tcPr>
          <w:p>
            <w:pPr>
              <w:pStyle w:val="Compact"/>
              <w:spacing w:after="40" w:before="40"/>
              <w:jc w:val="left"/>
            </w:pPr>
            <w:r>
              <w:rPr>
                <w:rFonts w:ascii="Cambria" w:hAnsi="Cambria" w:cs="Cambria" w:eastAsia="Cambria"/>
                <w:color w:val="1A1A1A"/>
                <w:sz w:val="18"/>
              </w:rPr>
              <w:t xml:space="preserve">Classifica gli indicatori di qualità in struttura, processo ed esito, qui integrati dall’impatto</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Questionario validato per i sintomi depressivi (punteggio 0–27)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Questionario validato per i sintomi d’ansia (punteggio 0–21)</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Quota di pazienti che scende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r>
        <w:tc>
          <w:tcPr/>
          <w:p>
            <w:pPr>
              <w:pStyle w:val="Compact"/>
              <w:spacing w:after="40" w:before="40"/>
              <w:jc w:val="left"/>
            </w:pPr>
            <w:r>
              <w:rPr>
                <w:rFonts w:ascii="Cambria" w:hAnsi="Cambria" w:cs="Cambria" w:eastAsia="Cambria"/>
                <w:b/>
                <w:bCs/>
                <w:color w:val="1A1A1A"/>
                <w:sz w:val="18"/>
              </w:rPr>
              <w:t xml:space="preserve">Cura collaborativa</w:t>
            </w:r>
          </w:p>
        </w:tc>
        <w:tc>
          <w:tcPr/>
          <w:p>
            <w:pPr>
              <w:pStyle w:val="Compact"/>
              <w:spacing w:after="40" w:before="40"/>
              <w:jc w:val="left"/>
            </w:pPr>
            <w:r>
              <w:rPr>
                <w:rFonts w:ascii="Cambria" w:hAnsi="Cambria" w:cs="Cambria" w:eastAsia="Cambria"/>
                <w:color w:val="1A1A1A"/>
                <w:sz w:val="18"/>
              </w:rPr>
              <w:t xml:space="preserve">Modello di integrazione della salute mentale nelle cure primarie con équipe e monitoraggio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Cura a intensità crescente</w:t>
            </w:r>
          </w:p>
        </w:tc>
        <w:tc>
          <w:tcPr>
            <w:shd w:val="clear" w:color="auto" w:fill="F4F1EC"/>
          </w:tcPr>
          <w:p>
            <w:pPr>
              <w:pStyle w:val="Compact"/>
              <w:spacing w:after="40" w:before="40"/>
              <w:jc w:val="left"/>
            </w:pPr>
            <w:r>
              <w:rPr>
                <w:rFonts w:ascii="Cambria" w:hAnsi="Cambria" w:cs="Cambria" w:eastAsia="Cambria"/>
                <w:color w:val="1A1A1A"/>
                <w:sz w:val="18"/>
              </w:rPr>
              <w:t xml:space="preserve">Percorso che gradua l’intensità dell’intervento alla gravità del quadro</w:t>
            </w:r>
          </w:p>
        </w:tc>
      </w:tr>
      <w:tr>
        <w:tc>
          <w:tcPr/>
          <w:p>
            <w:pPr>
              <w:pStyle w:val="Compact"/>
              <w:spacing w:after="40" w:before="40"/>
              <w:jc w:val="left"/>
            </w:pPr>
            <w:r>
              <w:rPr>
                <w:rFonts w:ascii="Cambria" w:hAnsi="Cambria" w:cs="Cambria" w:eastAsia="Cambria"/>
                <w:b/>
                <w:bCs/>
                <w:color w:val="1A1A1A"/>
                <w:sz w:val="18"/>
              </w:rPr>
              <w:t xml:space="preserve">Livelli essenziali di assistenza (LEA)</w:t>
            </w:r>
          </w:p>
        </w:tc>
        <w:tc>
          <w:tcPr/>
          <w:p>
            <w:pPr>
              <w:pStyle w:val="Compact"/>
              <w:spacing w:after="40" w:before="40"/>
              <w:jc w:val="left"/>
            </w:pPr>
            <w:r>
              <w:rPr>
                <w:rFonts w:ascii="Cambria" w:hAnsi="Cambria" w:cs="Cambria" w:eastAsia="Cambria"/>
                <w:color w:val="1A1A1A"/>
                <w:sz w:val="18"/>
              </w:rPr>
              <w:t xml:space="preserve">Prestazioni garantite uniformemente dal Servizio sanitario;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Spesa per prestazioni rese ai residenti da strutture di altre regioni; nel Lazio il saldo è passivo ma il profilo è bidirezionale, e poiché la fuga è ospedaliero-chirurgica il canale del recupero è marginale per questo intervento</w:t>
            </w:r>
          </w:p>
        </w:tc>
      </w:tr>
      <w:tr>
        <w:tc>
          <w:tcPr/>
          <w:p>
            <w:pPr>
              <w:pStyle w:val="Compact"/>
              <w:spacing w:after="40" w:before="40"/>
              <w:jc w:val="left"/>
            </w:pPr>
            <w:r>
              <w:rPr>
                <w:rFonts w:ascii="Cambria" w:hAnsi="Cambria" w:cs="Cambria" w:eastAsia="Cambria"/>
                <w:b/>
                <w:bCs/>
                <w:color w:val="1A1A1A"/>
                <w:sz w:val="18"/>
              </w:rPr>
              <w:t xml:space="preserve">Sintomi somatici funzionali</w:t>
            </w:r>
          </w:p>
        </w:tc>
        <w:tc>
          <w:tcPr/>
          <w:p>
            <w:pPr>
              <w:pStyle w:val="Compact"/>
              <w:spacing w:after="40" w:before="40"/>
              <w:jc w:val="left"/>
            </w:pPr>
            <w:r>
              <w:rPr>
                <w:rFonts w:ascii="Cambria" w:hAnsi="Cambria" w:cs="Cambria" w:eastAsia="Cambria"/>
                <w:color w:val="1A1A1A"/>
                <w:sz w:val="18"/>
              </w:rPr>
              <w:t xml:space="preserve">Sintomi fisici senza causa organica, associati a elevato consumo di prestazioni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vecchiaia</w:t>
            </w:r>
          </w:p>
        </w:tc>
        <w:tc>
          <w:tcPr>
            <w:shd w:val="clear" w:color="auto" w:fill="F4F1EC"/>
          </w:tcPr>
          <w:p>
            <w:pPr>
              <w:pStyle w:val="Compact"/>
              <w:spacing w:after="40" w:before="40"/>
              <w:jc w:val="left"/>
            </w:pPr>
            <w:r>
              <w:rPr>
                <w:rFonts w:ascii="Cambria" w:hAnsi="Cambria" w:cs="Cambria" w:eastAsia="Cambria"/>
                <w:color w:val="1A1A1A"/>
                <w:sz w:val="18"/>
              </w:rPr>
              <w:t xml:space="preserve">Rapporto tra ultrasessantacinquenni e giovani sotto i quindici anni; nel Lazio moderato, con età media intorno a 46,7 anni e disomogeneità fra area metropolitana e province interne</w:t>
            </w:r>
          </w:p>
        </w:tc>
      </w:tr>
      <w:tr>
        <w:tc>
          <w:tcPr/>
          <w:p>
            <w:pPr>
              <w:pStyle w:val="Compact"/>
              <w:spacing w:after="40" w:before="40"/>
              <w:jc w:val="left"/>
            </w:pPr>
            <w:r>
              <w:rPr>
                <w:rFonts w:ascii="Cambria" w:hAnsi="Cambria" w:cs="Cambria" w:eastAsia="Cambria"/>
                <w:b/>
                <w:bCs/>
                <w:color w:val="1A1A1A"/>
                <w:sz w:val="18"/>
              </w:rPr>
              <w:t xml:space="preserve">Peso morto</w:t>
            </w:r>
          </w:p>
        </w:tc>
        <w:tc>
          <w:tcPr/>
          <w:p>
            <w:pPr>
              <w:pStyle w:val="Compact"/>
              <w:spacing w:after="40" w:before="40"/>
              <w:jc w:val="left"/>
            </w:pPr>
            <w:r>
              <w:rPr>
                <w:rFonts w:ascii="Cambria" w:hAnsi="Cambria" w:cs="Cambria" w:eastAsia="Cambria"/>
                <w:color w:val="1A1A1A"/>
                <w:sz w:val="18"/>
              </w:rP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73</w:t>
      </w:r>
    </w:p>
    <w:p>
      <w:pPr>
        <w:pStyle w:val="BodyText"/>
      </w:pPr>
      <w:r>
        <w:t xml:space="preserve">73</w:t>
      </w:r>
    </w:p>
    <w:bookmarkEnd w:id="4457"/>
    <w:bookmarkStart w:id="4458" w:name="marche-studio-hta-integrale"/>
    <w:p>
      <w:pPr>
        <w:pStyle w:val="Heading2"/>
      </w:pPr>
      <w:r>
        <w:t xml:space="preserve">Marche — Studio HTA integrale</w:t>
      </w:r>
    </w:p>
    <w:p>
      <w:pPr>
        <w:pStyle w:val="FirstParagraph"/>
      </w:pPr>
      <w:r>
        <w:t xml:space="preserve">Studio Integrale Regionale · Regione Marche</w:t>
      </w:r>
    </w:p>
    <w:p>
      <w:pPr>
        <w:pStyle w:val="BodyText"/>
      </w:pPr>
      <w:r>
        <w:t xml:space="preserve">Progetto «Psicologo di Base» — Riforma «Psicologo di Base»: dalla sperimentazione amministrativa alla strutturazione organica in un sistema sanitario riformato. Applicazione del telaio integrato in undici parti e cinque appendici (Modello HTA · Five Case Model · CHEERS 2022 · criteri OCSE-DAC).</w:t>
      </w:r>
    </w:p>
    <w:p>
      <w:pPr>
        <w:pStyle w:val="BodyText"/>
      </w:pPr>
      <w:r>
        <w:t xml:space="preserve">Indice</w:t>
      </w:r>
    </w:p>
    <w:bookmarkEnd w:id="4458"/>
    <w:bookmarkStart w:id="2346" w:name="premessa-generale-7"/>
    <w:p>
      <w:pPr>
        <w:pStyle w:val="Heading2"/>
      </w:pPr>
      <w:r>
        <w:t xml:space="preserve">Premessa generale</w:t>
      </w:r>
    </w:p>
    <w:p>
      <w:pPr>
        <w:pStyle w:val="FirstParagraph"/>
      </w:pPr>
      <w:r>
        <w:t xml:space="preserve">Questo documento raccoglie in un’unica opera lo studio integrale per la Regione Marche sul progetto «Psicologo di Base». Le Marche si collocano, entro il panorama nazionale, in una posizione peculiare e distinta da quella delle regioni che ancora devono decidere se istituire il servizio: fonti indipendenti le annoverano fra le regioni che hanno attivato una forma di psicologia di base — le cita InsideOver nell’ottobre 2025 fra le undici regioni con un servizio «attivato»</w:t>
      </w:r>
      <w:r>
        <w:rPr>
          <w:rStyle w:val="FootnoteReference"/>
        </w:rPr>
        <w:footnoteReference w:id="2838"/>
      </w:r>
      <w:r>
        <w:t xml:space="preserve"> </w:t>
      </w:r>
      <w:r>
        <w:t xml:space="preserve">— ma, a differenza di altre regioni, questa attivazione non si fonda su una legge regionale organica, bensì su atti amministrativi e sperimentazioni deliberate a livello di giunta regionale, in modo analogo a quanto realizzato dal Piemonte con la delibera di giunta regionale 35–5257/2022 e poi con la successiva 1–8309/2024. Il sito dedicato al monitoraggio della situazione nazionale del psicologo delle cure primarie non elenca le Marche fra le regioni dotate di legge istitutiva organica.</w:t>
      </w:r>
      <w:r>
        <w:rPr>
          <w:rStyle w:val="FootnoteReference"/>
        </w:rPr>
        <w:footnoteReference w:id="2839"/>
      </w:r>
      <w:r>
        <w:t xml:space="preserve"> </w:t>
      </w:r>
      <w:r>
        <w:t xml:space="preserve">La decisione rilevante che si pone davanti alle istituzioni marchigiane non è dunque se introdurre il servizio — la cui opportunità è già stata implicitamente riconosciuta — bensì come dotare di base legislativa organica e di dimensionamento strutturale adeguato un servizio avviato in via sperimentale e amministrativa, così da renderlo stabile, finanziato, valutabile e coerente con il sistema sanitario regionale profondamente riformato nel 2022 e nel 2023.</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p>
      <w:pPr>
        <w:pStyle w:val="BodyText"/>
      </w:pPr>
      <w:r>
        <w:t xml:space="preserve">La tesi centrale dello studio marchigiano si articola in affermazioni congiunte: il servizio, portato a regime in dimensionamento strutturale, costa al Servizio Sanitario Regionale una cifra modesta — dell’ordine dello 0,7–0,8 per cento di un fondo sanitario di circa 3,3–3,4 miliardi di euro all’anno, dunque indicativamente 23–28 milioni di euro nello scenario espansivo — e comporta un saldo diretto prossimo al pareggio; restituisce alla collettività un valore dell’ordine di tre-cinque euro per ogni euro speso, con un rapporto beneficio-costo compreso fra 3,5 e 4,9 a uno, entro la fascia metodologicamente fondata di 3,3–5,7 a uno includendo i benefici di salute</w:t>
      </w:r>
      <w:r>
        <w:rPr>
          <w:rStyle w:val="FootnoteReference"/>
        </w:rPr>
        <w:footnoteReference w:id="2840"/>
      </w:r>
      <w:r>
        <w:t xml:space="preserve">; risponde a un bisogno ampio e in larga parte inevaso, stimato in circa 296.000 persone residenti con disagio psichico comune, accentuato da una struttura demografica fra le più anziane del Centro Italia — indice di vecchiaia pari a 235,5 al 1° gennaio 2025, il dato più elevato della serie Liguria/Abruzzo</w:t>
      </w:r>
      <w:r>
        <w:rPr>
          <w:rStyle w:val="FootnoteReference"/>
        </w:rPr>
        <w:footnoteReference w:id="2841"/>
      </w:r>
      <w:r>
        <w:t xml:space="preserve"> </w:t>
      </w:r>
      <w:r>
        <w:t xml:space="preserve">— e da una quota over-65 tra le più elevate del Paese; riduce le disuguaglianze sociali e territoriali fra la fascia costiera e le aree appenniniche interne; e consolida un servizio già avviato in via sperimentale, traducendolo in un’infrastruttura permanente del Servizio Sanitario Regionale. L’analisi multi-criterio che conclude lo studio assegna all’adozione della base legislativa organica e al dimensionamento strutturale del servizio un punteggio di 78,50 su 100, contro 35,75 dell’opzione di non intervento.</w:t>
      </w:r>
    </w:p>
    <w:bookmarkEnd w:id="2346"/>
    <w:bookmarkStart w:id="2347" w:name="indice-generale-del-corpus-7"/>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038"/>
        <w:gridCol w:w="1038"/>
        <w:gridCol w:w="575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A.1-A.3</w:t>
            </w:r>
          </w:p>
        </w:tc>
        <w:tc>
          <w:tcPr/>
          <w:p>
            <w:pPr>
              <w:pStyle w:val="Compact"/>
              <w:spacing w:after="40" w:before="40"/>
              <w:jc w:val="left"/>
            </w:pPr>
            <w:r>
              <w:rPr>
                <w:rFonts w:ascii="Cambria" w:hAnsi="Cambria" w:cs="Cambria" w:eastAsia="Cambria"/>
                <w:color w:val="1A1A1A"/>
                <w:sz w:val="18"/>
              </w:rPr>
              <w:t xml:space="preserve">Quadro, quesito e metodo: scopo e quesito (PICOTS),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Problema di salute, bisogno e contesto: demografia, epidemiologia, domanda e offerta, disuguaglianze,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L’intervento e il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clinica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casi economico e finanziario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parametri, sensibilità, verifica empirica,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G.1-G.4</w:t>
            </w:r>
          </w:p>
        </w:tc>
        <w:tc>
          <w:tcPr/>
          <w:p>
            <w:pPr>
              <w:pStyle w:val="Compact"/>
              <w:spacing w:after="40" w:before="40"/>
              <w:jc w:val="left"/>
            </w:pPr>
            <w:r>
              <w:rPr>
                <w:rFonts w:ascii="Cambria" w:hAnsi="Cambria" w:cs="Cambria" w:eastAsia="Cambria"/>
                <w:color w:val="1A1A1A"/>
                <w:sz w:val="18"/>
              </w:rPr>
              <w:t xml:space="preserve">Equità e impatto distributivo: gradiente sociale, assi territoriali, strumenti, costo-efficacia distributiva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H.1-H.4</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giuridico, organizzativo, etico, sintesi</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cinque casi, dimensionamento, cronoprogramma, sostenibilità, rischi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ex post: impianto, controfattuale, indicatori, cruscotto, sintesi</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M.1-M.5</w:t>
            </w:r>
          </w:p>
        </w:tc>
        <w:tc>
          <w:tcPr/>
          <w:p>
            <w:pPr>
              <w:pStyle w:val="Compact"/>
              <w:spacing w:after="40" w:before="40"/>
              <w:jc w:val="left"/>
            </w:pPr>
            <w:r>
              <w:rPr>
                <w:rFonts w:ascii="Cambria" w:hAnsi="Cambria" w:cs="Cambria" w:eastAsia="Cambria"/>
                <w:color w:val="1A1A1A"/>
                <w:sz w:val="18"/>
              </w:rPr>
              <w:t xml:space="preserve">Sintesi multidimensionale e raccomandazioni: sintesi per dominio, analisi multi-criterio, raccomandazioni, condizioni, conclusione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A</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tavola delle assunzioni e dei parametri</w:t>
            </w:r>
          </w:p>
        </w:tc>
      </w:tr>
      <w:tr>
        <w:tc>
          <w:tcPr/>
          <w:p>
            <w:pPr>
              <w:pStyle w:val="Compact"/>
              <w:spacing w:after="40" w:before="40"/>
              <w:jc w:val="left"/>
            </w:pPr>
            <w:r>
              <w:rPr>
                <w:rFonts w:ascii="Cambria" w:hAnsi="Cambria" w:cs="Cambria" w:eastAsia="Cambria"/>
                <w:b/>
                <w:bCs/>
                <w:color w:val="1A1A1A"/>
                <w:sz w:val="18"/>
              </w:rPr>
              <w:t xml:space="preserve">Appendice B</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Strumenti di esito e dataset minimo: questionari e dizionario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C</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Dati del territorio e fonti: valori di ancoraggio e dati da acquisire</w:t>
            </w:r>
          </w:p>
        </w:tc>
      </w:tr>
      <w:tr>
        <w:tc>
          <w:tcPr/>
          <w:p>
            <w:pPr>
              <w:pStyle w:val="Compact"/>
              <w:spacing w:after="40" w:before="40"/>
              <w:jc w:val="left"/>
            </w:pPr>
            <w:r>
              <w:rPr>
                <w:rFonts w:ascii="Cambria" w:hAnsi="Cambria" w:cs="Cambria" w:eastAsia="Cambria"/>
                <w:b/>
                <w:bCs/>
                <w:color w:val="1A1A1A"/>
                <w:sz w:val="18"/>
              </w:rPr>
              <w:t xml:space="preserve">Appendice D</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Checklist di reporting: CHEERS, PRISMA, GRADE, STROBE, ISPOR-SMDM, OCSE-JRC</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Glossario: definizioni dei termini tecnici</w:t>
            </w:r>
          </w:p>
        </w:tc>
      </w:tr>
    </w:tbl>
    <w:p>
      <w:pPr>
        <w:pStyle w:val="BodyText"/>
      </w:pPr>
      <w:r>
        <w:rPr>
          <w:i/>
          <w:iCs/>
        </w:rPr>
        <w:t xml:space="preserve">Tabella 1. L’indice generale del corpus: le undici parti narrative e le cinque appendici.</w:t>
      </w:r>
    </w:p>
    <w:bookmarkEnd w:id="2347"/>
    <w:bookmarkStart w:id="2348" w:name="la-mappa-di-integrazione-del-telaio-7"/>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87"/>
        <w:gridCol w:w="1208"/>
        <w:gridCol w:w="1745"/>
        <w:gridCol w:w="17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Parte</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HTA</w:t>
            </w:r>
          </w:p>
        </w:tc>
        <w:tc>
          <w:tcPr>
            <w:shd w:val="clear" w:color="auto" w:fill="16264B"/>
          </w:tcPr>
          <w:p>
            <w:pPr>
              <w:pStyle w:val="Compact"/>
              <w:spacing w:after="40" w:before="40"/>
              <w:jc w:val="left"/>
            </w:pPr>
            <w:r>
              <w:rPr>
                <w:rFonts w:ascii="Cambria" w:hAnsi="Cambria" w:cs="Cambria" w:eastAsia="Cambria"/>
                <w:b/>
                <w:bCs/>
                <w:color w:val="FFFFFF"/>
                <w:sz w:val="18"/>
              </w:rPr>
              <w:t xml:space="preserve">Caso (5CM)</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Criterio OCSE-DAC</w:t>
            </w:r>
          </w:p>
        </w:tc>
      </w:tr>
      <w:tr>
        <w:tc>
          <w:tcPr/>
          <w:p>
            <w:pPr>
              <w:pStyle w:val="Compact"/>
              <w:spacing w:after="40" w:before="40"/>
              <w:jc w:val="left"/>
            </w:pPr>
            <w:r>
              <w:rPr>
                <w:rFonts w:ascii="Cambria" w:hAnsi="Cambria" w:cs="Cambria" w:eastAsia="Cambria"/>
                <w:b/>
                <w:bCs/>
                <w:color w:val="1A1A1A"/>
                <w:sz w:val="18"/>
              </w:rPr>
              <w:t xml:space="preserve">A — Quadro e metodo</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Imposta la griglia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 — Bisogno e contesto</w:t>
            </w:r>
          </w:p>
        </w:tc>
        <w:tc>
          <w:tcPr>
            <w:shd w:val="clear" w:color="auto" w:fill="F4F1EC"/>
          </w:tcPr>
          <w:p>
            <w:pPr>
              <w:pStyle w:val="Compact"/>
              <w:spacing w:after="40" w:before="40"/>
              <w:jc w:val="left"/>
            </w:pPr>
            <w:r>
              <w:rPr>
                <w:rFonts w:ascii="Cambria" w:hAnsi="Cambria" w:cs="Cambria" w:eastAsia="Cambria"/>
                <w:color w:val="1A1A1A"/>
                <w:sz w:val="18"/>
              </w:rPr>
              <w:t xml:space="preserve">Dominio 1</w:t>
            </w:r>
          </w:p>
        </w:tc>
        <w:tc>
          <w:tcPr>
            <w:shd w:val="clear" w:color="auto" w:fill="F4F1EC"/>
          </w:tcPr>
          <w:p>
            <w:pPr>
              <w:pStyle w:val="Compact"/>
              <w:spacing w:after="40" w:before="40"/>
              <w:jc w:val="left"/>
            </w:pPr>
            <w:r>
              <w:rPr>
                <w:rFonts w:ascii="Cambria" w:hAnsi="Cambria" w:cs="Cambria" w:eastAsia="Cambria"/>
                <w:color w:val="1A1A1A"/>
                <w:sz w:val="18"/>
              </w:rPr>
              <w:t xml:space="preserve">Strategico</w:t>
            </w:r>
          </w:p>
        </w:tc>
        <w:tc>
          <w:tcPr>
            <w:shd w:val="clear" w:color="auto" w:fill="F4F1EC"/>
          </w:tcPr>
          <w:p>
            <w:pPr>
              <w:pStyle w:val="Compact"/>
              <w:spacing w:after="40" w:before="40"/>
              <w:jc w:val="left"/>
            </w:pPr>
            <w:r>
              <w:rPr>
                <w:rFonts w:ascii="Cambria" w:hAnsi="Cambria" w:cs="Cambria" w:eastAsia="Cambria"/>
                <w:color w:val="1A1A1A"/>
                <w:sz w:val="18"/>
              </w:rPr>
              <w:t xml:space="preserve">Rilevanza, coerenza</w:t>
            </w:r>
          </w:p>
        </w:tc>
      </w:tr>
      <w:tr>
        <w:tc>
          <w:tcPr/>
          <w:p>
            <w:pPr>
              <w:pStyle w:val="Compact"/>
              <w:spacing w:after="40" w:before="40"/>
              <w:jc w:val="left"/>
            </w:pPr>
            <w:r>
              <w:rPr>
                <w:rFonts w:ascii="Cambria" w:hAnsi="Cambria" w:cs="Cambria" w:eastAsia="Cambria"/>
                <w:b/>
                <w:bCs/>
                <w:color w:val="1A1A1A"/>
                <w:sz w:val="18"/>
              </w:rPr>
              <w:t xml:space="preserve">C — Intervento e modello</w:t>
            </w:r>
          </w:p>
        </w:tc>
        <w:tc>
          <w:tcPr/>
          <w:p>
            <w:pPr>
              <w:pStyle w:val="Compact"/>
              <w:spacing w:after="40" w:before="40"/>
              <w:jc w:val="left"/>
            </w:pPr>
            <w:r>
              <w:rPr>
                <w:rFonts w:ascii="Cambria" w:hAnsi="Cambria" w:cs="Cambria" w:eastAsia="Cambria"/>
                <w:color w:val="1A1A1A"/>
                <w:sz w:val="18"/>
              </w:rPr>
              <w:t xml:space="preserve">Domini 2–3</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 — Efficacia ed evidenza</w:t>
            </w:r>
          </w:p>
        </w:tc>
        <w:tc>
          <w:tcPr>
            <w:shd w:val="clear" w:color="auto" w:fill="F4F1EC"/>
          </w:tcPr>
          <w:p>
            <w:pPr>
              <w:pStyle w:val="Compact"/>
              <w:spacing w:after="40" w:before="40"/>
              <w:jc w:val="left"/>
            </w:pPr>
            <w:r>
              <w:rPr>
                <w:rFonts w:ascii="Cambria" w:hAnsi="Cambria" w:cs="Cambria" w:eastAsia="Cambria"/>
                <w:color w:val="1A1A1A"/>
                <w:sz w:val="18"/>
              </w:rPr>
              <w:t xml:space="preserve">Dominio 4</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Efficacia</w:t>
            </w:r>
          </w:p>
        </w:tc>
      </w:tr>
      <w:tr>
        <w:tc>
          <w:tcPr/>
          <w:p>
            <w:pPr>
              <w:pStyle w:val="Compact"/>
              <w:spacing w:after="40" w:before="40"/>
              <w:jc w:val="left"/>
            </w:pPr>
            <w:r>
              <w:rPr>
                <w:rFonts w:ascii="Cambria" w:hAnsi="Cambria" w:cs="Cambria" w:eastAsia="Cambria"/>
                <w:b/>
                <w:bCs/>
                <w:color w:val="1A1A1A"/>
                <w:sz w:val="18"/>
              </w:rPr>
              <w:t xml:space="preserve">E — Valutazione economica</w:t>
            </w:r>
          </w:p>
        </w:tc>
        <w:tc>
          <w:tcPr/>
          <w:p>
            <w:pPr>
              <w:pStyle w:val="Compact"/>
              <w:spacing w:after="40" w:before="40"/>
              <w:jc w:val="left"/>
            </w:pPr>
            <w:r>
              <w:rPr>
                <w:rFonts w:ascii="Cambria" w:hAnsi="Cambria" w:cs="Cambria" w:eastAsia="Cambria"/>
                <w:color w:val="1A1A1A"/>
                <w:sz w:val="18"/>
              </w:rPr>
              <w:t xml:space="preserve">Dominio 5</w:t>
            </w:r>
          </w:p>
        </w:tc>
        <w:tc>
          <w:tcPr/>
          <w:p>
            <w:pPr>
              <w:pStyle w:val="Compact"/>
              <w:spacing w:after="40" w:before="40"/>
              <w:jc w:val="left"/>
            </w:pPr>
            <w:r>
              <w:rPr>
                <w:rFonts w:ascii="Cambria" w:hAnsi="Cambria" w:cs="Cambria" w:eastAsia="Cambria"/>
                <w:color w:val="1A1A1A"/>
                <w:sz w:val="18"/>
              </w:rPr>
              <w:t xml:space="preserve">Economico, finanziario</w:t>
            </w:r>
          </w:p>
        </w:tc>
        <w:tc>
          <w:tcPr/>
          <w:p>
            <w:pPr>
              <w:pStyle w:val="Compact"/>
              <w:spacing w:after="40" w:before="40"/>
              <w:jc w:val="left"/>
            </w:pPr>
            <w:r>
              <w:rPr>
                <w:rFonts w:ascii="Cambria" w:hAnsi="Cambria" w:cs="Cambria" w:eastAsia="Cambria"/>
                <w:color w:val="1A1A1A"/>
                <w:sz w:val="18"/>
              </w:rPr>
              <w:t xml:space="preserve">Efficienza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 — 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Dominio 5</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Efficienza</w:t>
            </w:r>
          </w:p>
        </w:tc>
      </w:tr>
      <w:tr>
        <w:tc>
          <w:tcPr/>
          <w:p>
            <w:pPr>
              <w:pStyle w:val="Compact"/>
              <w:spacing w:after="40" w:before="40"/>
              <w:jc w:val="left"/>
            </w:pPr>
            <w:r>
              <w:rPr>
                <w:rFonts w:ascii="Cambria" w:hAnsi="Cambria" w:cs="Cambria" w:eastAsia="Cambria"/>
                <w:b/>
                <w:bCs/>
                <w:color w:val="1A1A1A"/>
                <w:sz w:val="18"/>
              </w:rPr>
              <w:t xml:space="preserve">G — Equità e impatto</w:t>
            </w:r>
          </w:p>
        </w:tc>
        <w:tc>
          <w:tcPr/>
          <w:p>
            <w:pPr>
              <w:pStyle w:val="Compact"/>
              <w:spacing w:after="40" w:before="40"/>
              <w:jc w:val="left"/>
            </w:pPr>
            <w:r>
              <w:rPr>
                <w:rFonts w:ascii="Cambria" w:hAnsi="Cambria" w:cs="Cambria" w:eastAsia="Cambria"/>
                <w:color w:val="1A1A1A"/>
                <w:sz w:val="18"/>
              </w:rPr>
              <w:t xml:space="preserve">Dominio 8</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Impatto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H — Profili etico/giuridico/organizz.</w:t>
            </w:r>
          </w:p>
        </w:tc>
        <w:tc>
          <w:tcPr>
            <w:shd w:val="clear" w:color="auto" w:fill="F4F1EC"/>
          </w:tcPr>
          <w:p>
            <w:pPr>
              <w:pStyle w:val="Compact"/>
              <w:spacing w:after="40" w:before="40"/>
              <w:jc w:val="left"/>
            </w:pPr>
            <w:r>
              <w:rPr>
                <w:rFonts w:ascii="Cambria" w:hAnsi="Cambria" w:cs="Cambria" w:eastAsia="Cambria"/>
                <w:color w:val="1A1A1A"/>
                <w:sz w:val="18"/>
              </w:rPr>
              <w:t xml:space="preserve">Domini 6, 7, 9</w:t>
            </w:r>
          </w:p>
        </w:tc>
        <w:tc>
          <w:tcPr>
            <w:shd w:val="clear" w:color="auto" w:fill="F4F1EC"/>
          </w:tcPr>
          <w:p>
            <w:pPr>
              <w:pStyle w:val="Compact"/>
              <w:spacing w:after="40" w:before="40"/>
              <w:jc w:val="left"/>
            </w:pPr>
            <w:r>
              <w:rPr>
                <w:rFonts w:ascii="Cambria" w:hAnsi="Cambria" w:cs="Cambria" w:eastAsia="Cambria"/>
                <w:color w:val="1A1A1A"/>
                <w:sz w:val="18"/>
              </w:rPr>
              <w:t xml:space="preserve">Gestionale</w:t>
            </w:r>
          </w:p>
        </w:tc>
        <w:tc>
          <w:tcPr>
            <w:shd w:val="clear" w:color="auto" w:fill="F4F1EC"/>
          </w:tcPr>
          <w:p>
            <w:pPr>
              <w:pStyle w:val="Compact"/>
              <w:spacing w:after="40" w:before="40"/>
              <w:jc w:val="left"/>
            </w:pPr>
            <w:r>
              <w:rPr>
                <w:rFonts w:ascii="Cambria" w:hAnsi="Cambria" w:cs="Cambria" w:eastAsia="Cambria"/>
                <w:color w:val="1A1A1A"/>
                <w:sz w:val="18"/>
              </w:rPr>
              <w:t xml:space="preserve">Coerenza</w:t>
            </w:r>
          </w:p>
        </w:tc>
      </w:tr>
      <w:tr>
        <w:tc>
          <w:tcPr/>
          <w:p>
            <w:pPr>
              <w:pStyle w:val="Compact"/>
              <w:spacing w:after="40" w:before="40"/>
              <w:jc w:val="left"/>
            </w:pPr>
            <w:r>
              <w:rPr>
                <w:rFonts w:ascii="Cambria" w:hAnsi="Cambria" w:cs="Cambria" w:eastAsia="Cambria"/>
                <w:b/>
                <w:bCs/>
                <w:color w:val="1A1A1A"/>
                <w:sz w:val="18"/>
              </w:rPr>
              <w:t xml:space="preserve">I — Attuazione e sostenibilità</w:t>
            </w:r>
          </w:p>
        </w:tc>
        <w:tc>
          <w:tcPr/>
          <w:p>
            <w:pPr>
              <w:pStyle w:val="Compact"/>
              <w:spacing w:after="40" w:before="40"/>
              <w:jc w:val="left"/>
            </w:pPr>
            <w:r>
              <w:rPr>
                <w:rFonts w:ascii="Cambria" w:hAnsi="Cambria" w:cs="Cambria" w:eastAsia="Cambria"/>
                <w:color w:val="1A1A1A"/>
                <w:sz w:val="18"/>
              </w:rPr>
              <w:t xml:space="preserve">Dominio 7</w:t>
            </w:r>
          </w:p>
        </w:tc>
        <w:tc>
          <w:tcPr/>
          <w:p>
            <w:pPr>
              <w:pStyle w:val="Compact"/>
              <w:spacing w:after="40" w:before="40"/>
              <w:jc w:val="left"/>
            </w:pPr>
            <w:r>
              <w:rPr>
                <w:rFonts w:ascii="Cambria" w:hAnsi="Cambria" w:cs="Cambria" w:eastAsia="Cambria"/>
                <w:color w:val="1A1A1A"/>
                <w:sz w:val="18"/>
              </w:rPr>
              <w:t xml:space="preserve">Commerciale, gestionale</w:t>
            </w:r>
          </w:p>
        </w:tc>
        <w:tc>
          <w:tcPr/>
          <w:p>
            <w:pPr>
              <w:pStyle w:val="Compact"/>
              <w:spacing w:after="40" w:before="40"/>
              <w:jc w:val="left"/>
            </w:pPr>
            <w:r>
              <w:rPr>
                <w:rFonts w:ascii="Cambria" w:hAnsi="Cambria" w:cs="Cambria" w:eastAsia="Cambria"/>
                <w:color w:val="1A1A1A"/>
                <w:sz w:val="18"/>
              </w:rPr>
              <w:t xml:space="preserve">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 — Monitoraggio ed ex post</w:t>
            </w:r>
          </w:p>
        </w:tc>
        <w:tc>
          <w:tcPr>
            <w:shd w:val="clear" w:color="auto" w:fill="F4F1EC"/>
          </w:tcPr>
          <w:p>
            <w:pPr>
              <w:pStyle w:val="Compact"/>
              <w:spacing w:after="40" w:before="40"/>
              <w:jc w:val="left"/>
            </w:pPr>
            <w:r>
              <w:rPr>
                <w:rFonts w:ascii="Cambria" w:hAnsi="Cambria" w:cs="Cambria" w:eastAsia="Cambria"/>
                <w:color w:val="1A1A1A"/>
                <w:sz w:val="18"/>
              </w:rPr>
              <w:t xml:space="preserve">Trasversale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Verifica ex post</w:t>
            </w:r>
          </w:p>
        </w:tc>
      </w:tr>
      <w:tr>
        <w:tc>
          <w:tcPr/>
          <w:p>
            <w:pPr>
              <w:pStyle w:val="Compact"/>
              <w:spacing w:after="40" w:before="40"/>
              <w:jc w:val="left"/>
            </w:pPr>
            <w:r>
              <w:rPr>
                <w:rFonts w:ascii="Cambria" w:hAnsi="Cambria" w:cs="Cambria" w:eastAsia="Cambria"/>
                <w:b/>
                <w:bCs/>
                <w:color w:val="1A1A1A"/>
                <w:sz w:val="18"/>
              </w:rPr>
              <w:t xml:space="preserve">M — Sintesi e raccomandazioni</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Tutti i criteri</w:t>
            </w:r>
          </w:p>
        </w:tc>
      </w:tr>
    </w:tbl>
    <w:p>
      <w:pPr>
        <w:pStyle w:val="BodyText"/>
      </w:pPr>
      <w:r>
        <w:rPr>
          <w:i/>
          <w:iCs/>
        </w:rPr>
        <w:t xml:space="preserve">Tabella 2. La mappa di integrazione delle quattro cornici, parte per parte.</w:t>
      </w:r>
    </w:p>
    <w:bookmarkEnd w:id="2348"/>
    <w:bookmarkStart w:id="2349" w:name="la-sintesi-del-valore-7"/>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per la collettività, e ne ricava il saldo diretto — negativo ma modesto, in ragione di un sistema che presenta ancora margini di recupero significativi rispetto a regioni come il Trentino-Alto Adige, ma comunque contenuto — e il saldo complessivo, ampiamente positivo.</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14</w:t>
            </w:r>
          </w:p>
        </w:tc>
        <w:tc>
          <w:tcPr/>
          <w:p>
            <w:pPr>
              <w:pStyle w:val="Compact"/>
              <w:spacing w:after="40" w:before="40"/>
              <w:jc w:val="left"/>
            </w:pPr>
            <w:r>
              <w:rPr>
                <w:rFonts w:ascii="Cambria" w:hAnsi="Cambria" w:cs="Cambria" w:eastAsia="Cambria"/>
                <w:color w:val="1A1A1A"/>
                <w:sz w:val="18"/>
              </w:rPr>
              <w:t xml:space="preserve">~ 20</w:t>
            </w:r>
          </w:p>
        </w:tc>
        <w:tc>
          <w:tcPr/>
          <w:p>
            <w:pPr>
              <w:pStyle w:val="Compact"/>
              <w:spacing w:after="40" w:before="40"/>
              <w:jc w:val="left"/>
            </w:pPr>
            <w:r>
              <w:rPr>
                <w:rFonts w:ascii="Cambria" w:hAnsi="Cambria" w:cs="Cambria" w:eastAsia="Cambria"/>
                <w:color w:val="1A1A1A"/>
                <w:sz w:val="18"/>
              </w:rPr>
              <w:t xml:space="preserve">~ 28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9</w:t>
            </w:r>
          </w:p>
        </w:tc>
        <w:tc>
          <w:tcPr>
            <w:shd w:val="clear" w:color="auto" w:fill="F4F1EC"/>
          </w:tcPr>
          <w:p>
            <w:pPr>
              <w:pStyle w:val="Compact"/>
              <w:spacing w:after="40" w:before="40"/>
              <w:jc w:val="left"/>
            </w:pPr>
            <w:r>
              <w:rPr>
                <w:rFonts w:ascii="Cambria" w:hAnsi="Cambria" w:cs="Cambria" w:eastAsia="Cambria"/>
                <w:color w:val="1A1A1A"/>
                <w:sz w:val="18"/>
              </w:rPr>
              <w:t xml:space="preserve">~ 14</w:t>
            </w:r>
          </w:p>
        </w:tc>
        <w:tc>
          <w:tcPr>
            <w:shd w:val="clear" w:color="auto" w:fill="F4F1EC"/>
          </w:tcPr>
          <w:p>
            <w:pPr>
              <w:pStyle w:val="Compact"/>
              <w:spacing w:after="40" w:before="40"/>
              <w:jc w:val="left"/>
            </w:pPr>
            <w:r>
              <w:rPr>
                <w:rFonts w:ascii="Cambria" w:hAnsi="Cambria" w:cs="Cambria" w:eastAsia="Cambria"/>
                <w:color w:val="1A1A1A"/>
                <w:sz w:val="18"/>
              </w:rPr>
              <w:t xml:space="preserve">~ 21</w:t>
            </w:r>
          </w:p>
        </w:tc>
      </w:tr>
      <w:tr>
        <w:tc>
          <w:tcPr/>
          <w:p>
            <w:pPr>
              <w:pStyle w:val="Compact"/>
              <w:spacing w:after="40" w:before="40"/>
              <w:jc w:val="left"/>
            </w:pPr>
            <w:r>
              <w:rPr>
                <w:rFonts w:ascii="Cambria" w:hAnsi="Cambria" w:cs="Cambria" w:eastAsia="Cambria"/>
                <w:b/>
                <w:bCs/>
                <w:color w:val="1A1A1A"/>
                <w:sz w:val="18"/>
              </w:rPr>
              <w:t xml:space="preserve">Ricadute economico-sociali</w:t>
            </w:r>
          </w:p>
        </w:tc>
        <w:tc>
          <w:tcPr/>
          <w:p>
            <w:pPr>
              <w:pStyle w:val="Compact"/>
              <w:spacing w:after="40" w:before="40"/>
              <w:jc w:val="left"/>
            </w:pPr>
            <w:r>
              <w:rPr>
                <w:rFonts w:ascii="Cambria" w:hAnsi="Cambria" w:cs="Cambria" w:eastAsia="Cambria"/>
                <w:color w:val="1A1A1A"/>
                <w:sz w:val="18"/>
              </w:rPr>
              <w:t xml:space="preserve">~ 40</w:t>
            </w:r>
          </w:p>
        </w:tc>
        <w:tc>
          <w:tcPr/>
          <w:p>
            <w:pPr>
              <w:pStyle w:val="Compact"/>
              <w:spacing w:after="40" w:before="40"/>
              <w:jc w:val="left"/>
            </w:pPr>
            <w:r>
              <w:rPr>
                <w:rFonts w:ascii="Cambria" w:hAnsi="Cambria" w:cs="Cambria" w:eastAsia="Cambria"/>
                <w:color w:val="1A1A1A"/>
                <w:sz w:val="18"/>
              </w:rPr>
              <w:t xml:space="preserve">~ 70</w:t>
            </w:r>
          </w:p>
        </w:tc>
        <w:tc>
          <w:tcPr/>
          <w:p>
            <w:pPr>
              <w:pStyle w:val="Compact"/>
              <w:spacing w:after="40" w:before="40"/>
              <w:jc w:val="left"/>
            </w:pPr>
            <w:r>
              <w:rPr>
                <w:rFonts w:ascii="Cambria" w:hAnsi="Cambria" w:cs="Cambria" w:eastAsia="Cambria"/>
                <w:color w:val="1A1A1A"/>
                <w:sz w:val="18"/>
              </w:rPr>
              <w:t xml:space="preserve">~ 110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−5</w:t>
            </w:r>
          </w:p>
        </w:tc>
        <w:tc>
          <w:tcPr>
            <w:shd w:val="clear" w:color="auto" w:fill="F4F1EC"/>
          </w:tcPr>
          <w:p>
            <w:pPr>
              <w:pStyle w:val="Compact"/>
              <w:spacing w:after="40" w:before="40"/>
              <w:jc w:val="left"/>
            </w:pPr>
            <w:r>
              <w:rPr>
                <w:rFonts w:ascii="Cambria" w:hAnsi="Cambria" w:cs="Cambria" w:eastAsia="Cambria"/>
                <w:color w:val="1A1A1A"/>
                <w:sz w:val="18"/>
              </w:rPr>
              <w:t xml:space="preserve">~ −6</w:t>
            </w:r>
          </w:p>
        </w:tc>
        <w:tc>
          <w:tcPr>
            <w:shd w:val="clear" w:color="auto" w:fill="F4F1EC"/>
          </w:tcPr>
          <w:p>
            <w:pPr>
              <w:pStyle w:val="Compact"/>
              <w:spacing w:after="40" w:before="40"/>
              <w:jc w:val="left"/>
            </w:pPr>
            <w:r>
              <w:rPr>
                <w:rFonts w:ascii="Cambria" w:hAnsi="Cambria" w:cs="Cambria" w:eastAsia="Cambria"/>
                <w:color w:val="1A1A1A"/>
                <w:sz w:val="18"/>
              </w:rPr>
              <w:t xml:space="preserve">~ −7</w:t>
            </w:r>
          </w:p>
        </w:tc>
      </w:tr>
      <w:tr>
        <w:tc>
          <w:tcPr/>
          <w:p>
            <w:pPr>
              <w:pStyle w:val="Compact"/>
              <w:spacing w:after="40" w:before="40"/>
              <w:jc w:val="left"/>
            </w:pPr>
            <w:r>
              <w:rPr>
                <w:rFonts w:ascii="Cambria" w:hAnsi="Cambria" w:cs="Cambria" w:eastAsia="Cambria"/>
                <w:b/>
                <w:bCs/>
                <w:color w:val="1A1A1A"/>
                <w:sz w:val="18"/>
              </w:rPr>
              <w:t xml:space="preserve">Saldo complessivo (caso economico)</w:t>
            </w:r>
          </w:p>
        </w:tc>
        <w:tc>
          <w:tcPr/>
          <w:p>
            <w:pPr>
              <w:pStyle w:val="Compact"/>
              <w:spacing w:after="40" w:before="40"/>
              <w:jc w:val="left"/>
            </w:pPr>
            <w:r>
              <w:rPr>
                <w:rFonts w:ascii="Cambria" w:hAnsi="Cambria" w:cs="Cambria" w:eastAsia="Cambria"/>
                <w:color w:val="1A1A1A"/>
                <w:sz w:val="18"/>
              </w:rPr>
              <w:t xml:space="preserve">+35</w:t>
            </w:r>
          </w:p>
        </w:tc>
        <w:tc>
          <w:tcPr/>
          <w:p>
            <w:pPr>
              <w:pStyle w:val="Compact"/>
              <w:spacing w:after="40" w:before="40"/>
              <w:jc w:val="left"/>
            </w:pPr>
            <w:r>
              <w:rPr>
                <w:rFonts w:ascii="Cambria" w:hAnsi="Cambria" w:cs="Cambria" w:eastAsia="Cambria"/>
                <w:color w:val="1A1A1A"/>
                <w:sz w:val="18"/>
              </w:rPr>
              <w:t xml:space="preserve">+64</w:t>
            </w:r>
          </w:p>
        </w:tc>
        <w:tc>
          <w:tcPr/>
          <w:p>
            <w:pPr>
              <w:pStyle w:val="Compact"/>
              <w:spacing w:after="40" w:before="40"/>
              <w:jc w:val="left"/>
            </w:pPr>
            <w:r>
              <w:rPr>
                <w:rFonts w:ascii="Cambria" w:hAnsi="Cambria" w:cs="Cambria" w:eastAsia="Cambria"/>
                <w:color w:val="1A1A1A"/>
                <w:sz w:val="18"/>
              </w:rPr>
              <w:t xml:space="preserve">+103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~3,5:1</w:t>
            </w:r>
          </w:p>
        </w:tc>
        <w:tc>
          <w:tcPr>
            <w:shd w:val="clear" w:color="auto" w:fill="F4F1EC"/>
          </w:tcPr>
          <w:p>
            <w:pPr>
              <w:pStyle w:val="Compact"/>
              <w:spacing w:after="40" w:before="40"/>
              <w:jc w:val="left"/>
            </w:pPr>
            <w:r>
              <w:rPr>
                <w:rFonts w:ascii="Cambria" w:hAnsi="Cambria" w:cs="Cambria" w:eastAsia="Cambria"/>
                <w:color w:val="1A1A1A"/>
                <w:sz w:val="18"/>
              </w:rPr>
              <w:t xml:space="preserve">~4,2:1</w:t>
            </w:r>
          </w:p>
        </w:tc>
        <w:tc>
          <w:tcPr>
            <w:shd w:val="clear" w:color="auto" w:fill="F4F1EC"/>
          </w:tcPr>
          <w:p>
            <w:pPr>
              <w:pStyle w:val="Compact"/>
              <w:spacing w:after="40" w:before="40"/>
              <w:jc w:val="left"/>
            </w:pPr>
            <w:r>
              <w:rPr>
                <w:rFonts w:ascii="Cambria" w:hAnsi="Cambria" w:cs="Cambria" w:eastAsia="Cambria"/>
                <w:color w:val="1A1A1A"/>
                <w:sz w:val="18"/>
              </w:rPr>
              <w:t xml:space="preserve">~4,9:1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le Marche, è adottare una legge regionale organica che traduca la sperimentazione amministrativa già avviata in un servizio strutturato, dimensionandolo progressivamente verso la copertura sistematica, dell’ordine di 250 psicologi nello scenario conservativo, 340 in quello di base e 370 in quello espansivo. Il limite principale è la radicazione dei dati: le grandezze economiche sono in parte ricostruite a partire dai conti nazionali scalati per la quota di popolazione e non estratte dai conti certificati delle cinque Aziende Sanitarie Territoriali; la sperimentazione amministrativa già avviata offre tuttavia una base informativa più ricca di quella delle regioni che partono da zero, da consolidare come condizione per la presentazione agli organi di controllo.</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2349"/>
    <w:bookmarkStart w:id="2356" w:name="parte-a-quadro-quesito-e-metodo-9"/>
    <w:p>
      <w:pPr>
        <w:pStyle w:val="Heading2"/>
      </w:pPr>
      <w:r>
        <w:t xml:space="preserve">Parte A — Quadro, quesito e metodo</w:t>
      </w:r>
    </w:p>
    <w:p>
      <w:pPr>
        <w:pStyle w:val="FirstParagraph"/>
      </w:pPr>
      <w:r>
        <w:t xml:space="preserve">Questa è la prima parte dello studio integrale per la Regione Marche, che applica al territorio il telaio integrato sviluppato e validato per la Puglia e già esteso alla Lombardia, al Veneto, all’Emilia-Romagna, al Piemonte, alla Toscana, alla Liguria, al Lazio, alla Campania, alla Sicilia, alla Sardegna, al Trentino-Alto Adige, all’Abruzzo, alla Basilicata e alle regioni che precedono le Marche nella serie. L’architettura e il caso di riferimento sono i medesimi, e mutano soltanto i dati di ingresso, ancorati alle Marche.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Le Marche occupano nella serie una posizione intermedia, né alle prime né alle ultime: sono una regione di dimensione media, con 1.480.545 abitanti, demograficamente molto anziana — indice di vecchiaia di 235,5 al 1° gennaio 2025, tra i più alti del Centro Italia</w:t>
      </w:r>
      <w:r>
        <w:rPr>
          <w:rStyle w:val="FootnoteReference"/>
        </w:rPr>
        <w:footnoteReference w:id="2842"/>
      </w:r>
      <w:r>
        <w:t xml:space="preserve"> </w:t>
      </w:r>
      <w:r>
        <w:t xml:space="preserve">— e con una spesa sanitaria pro-capite di 2.612,7 euro pesati, fra le più basse d’Italia</w:t>
      </w:r>
      <w:r>
        <w:rPr>
          <w:rStyle w:val="FootnoteReference"/>
        </w:rPr>
        <w:footnoteReference w:id="2843"/>
      </w:r>
      <w:r>
        <w:t xml:space="preserve">, che hanno già compiuto il passo di avviare sperimentalmente il servizio in via amministrativa ma non lo hanno ancora cristallizzato in una norma organica.</w:t>
      </w:r>
    </w:p>
    <w:bookmarkStart w:id="2352" w:name="Xb239bebc250cfb88fb1e995d9885a6db069dd0f"/>
    <w:p>
      <w:pPr>
        <w:pStyle w:val="Heading3"/>
      </w:pPr>
      <w:r>
        <w:t xml:space="preserve">A.1 Scopo, quesito di valutazione e standard adottati</w:t>
      </w:r>
    </w:p>
    <w:p>
      <w:pPr>
        <w:pStyle w:val="FirstParagraph"/>
      </w:pPr>
      <w:r>
        <w:t xml:space="preserve">Lo studio ha per oggetto il servizio di psicologia delle cure primarie della Regione Marche, inteso come strutturazione in un modello pieno di psicologo di base e sua codificazione in una legge regionale organica, a partire dalla sperimentazione amministrativa già avviata. Ne valuta il valore nelle dimensioni clinica, economica, organizzativa, sociale, etica e giuridica, allo scopo di informare la decisione sulla legge regionale e sul dimensionamento strutturale. La premessa che orienta l’intero studio è che la decisione rilevante, per le Marche, non è se avviare il servizio — già operante in via sperimentale — ma come dotarlo di base legislativa organica, dimensionarlo strutturalmente e raccordarlo con il sistema sanitario regionale profondamente riformato dalla legge regionale 19/2022, che ha soppresso l’Azienda Sanitaria Unica Regionale (ASUR) e istituito cinque Aziende Sanitarie Territoriali (AST) con personalità giuridica autonoma, articolate per distretto. Lo studio fornisce gli elementi per quella decisione, non la sostituisce: ne misura le conseguenze attese in tre scenari di copertura, lasciando alla sede politica e di bilancio la scelta della scala. Va segnalato sin d’ora che l’esperienza sperimentale già maturata consente di fondare la valutazione su una base empirica locale più ricca di quella delle regioni che partono da zero.</w:t>
      </w:r>
    </w:p>
    <w:p>
      <w:pPr>
        <w:pStyle w:val="BodyText"/>
      </w:pPr>
      <w:r>
        <w:t xml:space="preserve">Il quesito è articolato secondo lo schema PICOTS, che ne fissa gli elementi costitutivi. La popolazione è costituita dai residenti delle Marche con bisogno psicologico comune, e in seconda istanza dall’intera popolazione per gli effetti di sistema. L’intervento è il servizio di psicologia delle cure primarie, come primo livello di ascolto, intercettazione precoce e filtro, con adozione di una legge regionale organica che ne definisca la base giuridica, il dimensionamento e le risorse. Il confronto è la condizione attuale, nella quale il servizio è operante in via sperimentale e amministrativa, con copertura parziale, finanziamento non strutturato e base giuridica fragile. Gli esiti sono clinici, economici, sociali e di sistema. I tempi distinguono l’orizzonte pluriennale degli esiti dall’orizzonte triennale-quinquennale del bilancio. Il contesto è il Servizio Sanitario Regionale marchigiano, riformato nel 2022–2023, articolato nelle cinque AST, nell’Azienda Ospedaliero-Universitaria delle Marche (AOU Marche, sede di Torrette-Ancona) e nell’INRCA, con la rete delle Case della Comunità in costruzione nell’ambito del PNRR. La tabella seguente riepiloga il quesito.</w:t>
      </w:r>
    </w:p>
    <w:tbl>
      <w:tblPr>
        <w:tblStyle w:val="Table"/>
        <w:tblW w:type="pct" w:w="494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77"/>
        <w:gridCol w:w="614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le Marche</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delle Marche con disagio psichico comune (~296.000);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Legge regionale organica + modello pieno di psicologo di base (~250/340/370 psicologi); dalla sperimentazione alla copertura strutturale</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Sperimentazione amministrativa in corso: servizio parziale, non strutturato, senza base legislativa organica né dimensionamento stabile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5 AST (Ancona, Pesaro-Urbino, Macerata, Fermo, Ascoli Piceno); AOU Marche; INRCA; rete Case della Comunità in costruzione</w:t>
            </w:r>
          </w:p>
        </w:tc>
      </w:tr>
    </w:tbl>
    <w:p>
      <w:pPr>
        <w:pStyle w:val="BodyText"/>
      </w:pPr>
      <w:r>
        <w:rPr>
          <w:i/>
          <w:iCs/>
        </w:rPr>
        <w:t xml:space="preserve">Tabella A.1. Il quesito di valutazione nei suoi elementi costitutivi (PICOTS).</w:t>
      </w:r>
    </w:p>
    <w:p>
      <w:pPr>
        <w:pStyle w:val="BodyText"/>
      </w:pPr>
      <w:r>
        <w:t xml:space="preserve">Lo studio adotta quattro cornici metodologiche apicali, ciascuna con una funzione distinta: il modello HTA, che fissa i domini; il Five Case Model, che ordina i contenuti; lo standard CHEERS, che governa il reporting economico; e i criteri OCSE-DAC, che ne forniscono la griglia di giudizio. Le dieci metodologie analitiche distribuite nelle parti dello studio sono le medesime adottate per tutte le regioni della serie.</w:t>
      </w:r>
    </w:p>
    <w:bookmarkEnd w:id="2352"/>
    <w:bookmarkStart w:id="2354" w:name="a.2-il-caso-di-riferimento-e-i-metodi-9"/>
    <w:p>
      <w:pPr>
        <w:pStyle w:val="Heading3"/>
      </w:pPr>
      <w:r>
        <w:t xml:space="preserve">A.2 Il caso di riferimento e i metodi</w:t>
      </w:r>
    </w:p>
    <w:p>
      <w:pPr>
        <w:pStyle w:val="FirstParagraph"/>
      </w:pPr>
      <w:r>
        <w:t xml:space="preserve">Il caso di riferimento è l’insieme delle scelte metodologiche di base comuni a tutte le regioni della serie.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gli anni di vita ponderati per la qualità ed esiti clinici validati come misure; e la sperimentazione amministrativa in corso come comparatore. Le unità di analisi sono il territorio regionale e, in disaggregazione, le cinque AST e i distretti, per dare conto anche dei divari fra le aree costiere e quelle appenniniche interne.</w:t>
      </w:r>
    </w:p>
    <w:tbl>
      <w:tblPr>
        <w:tblStyle w:val="Table"/>
        <w:tblW w:type="pct" w:w="494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00"/>
        <w:gridCol w:w="633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Sperimentazione amministrativa in corso: servizio parziale e non strutturato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Territorio regionale, con disaggregazione per AST e per distretto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L’analisi di impatto sul bilancio opera su flussi non scontati, poiché il suo oggetto è la sostenibilità della spesa effettiva esercizio per esercizio; le analisi di costo-utilità attualizzano simmetricamente costi ed esiti di salute al medesimo tasso. Tale prudenza assume, per le Marche, un rilievo specifico: la spesa sanitaria pro-capite marchigiana di 2.612,7 euro pesati è fra le più basse d’Italia</w:t>
      </w:r>
      <w:r>
        <w:rPr>
          <w:rStyle w:val="FootnoteReference"/>
        </w:rPr>
        <w:footnoteReference w:id="2844"/>
      </w:r>
      <w:r>
        <w:t xml:space="preserve">, il che genera, da un lato, margini di recupero di consumo improprio più significativi di quelli delle regioni ampiamente finanziate, e quindi un caso finanziario potenzialmente più favorevole, ma segnala al contempo una situazione di sottofinanziamento strutturale che impone cautela nell’interpretazione degli scenari più espansivi. Le dieci metodologie analitiche selezionate — costo-utilità, impatto sul bilancio, ritorno sociale, modellazione decisionale, sensibilità probabilistica, costo-efficacia distributiva, inferenza causale quasi-sperimentale, revisione sistematica e GRADE, analisi multi-criterio, analisi di impatto della regolamentazione — sono collocate nelle parti dello studio secondo la loro funzione, come riepiloga la tabella seguente.</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357"/>
        <w:gridCol w:w="30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generato oltre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 nel tempo</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Parte F</w:t>
            </w:r>
          </w:p>
        </w:tc>
        <w:tc>
          <w:tcPr/>
          <w:p>
            <w:pPr>
              <w:pStyle w:val="Compact"/>
              <w:spacing w:after="40" w:before="40"/>
              <w:jc w:val="left"/>
            </w:pPr>
            <w:r>
              <w:rPr>
                <w:rFonts w:ascii="Cambria" w:hAnsi="Cambria" w:cs="Cambria" w:eastAsia="Cambria"/>
                <w:color w:val="1A1A1A"/>
                <w:sz w:val="18"/>
              </w:rPr>
              <w:t xml:space="preserve">Governo dell’incertezza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w:t>
            </w:r>
          </w:p>
        </w:tc>
        <w:tc>
          <w:tcPr>
            <w:shd w:val="clear" w:color="auto" w:fill="F4F1EC"/>
          </w:tcPr>
          <w:p>
            <w:pPr>
              <w:pStyle w:val="Compact"/>
              <w:spacing w:after="40" w:before="40"/>
              <w:jc w:val="left"/>
            </w:pPr>
            <w:r>
              <w:rPr>
                <w:rFonts w:ascii="Cambria" w:hAnsi="Cambria" w:cs="Cambria" w:eastAsia="Cambria"/>
                <w:color w:val="1A1A1A"/>
                <w:sz w:val="18"/>
              </w:rPr>
              <w:t xml:space="preserve">Parte G</w:t>
            </w:r>
          </w:p>
        </w:tc>
        <w:tc>
          <w:tcPr>
            <w:shd w:val="clear" w:color="auto" w:fill="F4F1EC"/>
          </w:tcPr>
          <w:p>
            <w:pPr>
              <w:pStyle w:val="Compact"/>
              <w:spacing w:after="40" w:before="40"/>
              <w:jc w:val="left"/>
            </w:pPr>
            <w:r>
              <w:rPr>
                <w:rFonts w:ascii="Cambria" w:hAnsi="Cambria" w:cs="Cambria" w:eastAsia="Cambria"/>
                <w:color w:val="1A1A1A"/>
                <w:sz w:val="18"/>
              </w:rPr>
              <w:t xml:space="preserve">Misura dell’equità distributiva</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Parte L</w:t>
            </w:r>
          </w:p>
        </w:tc>
        <w:tc>
          <w:tcPr/>
          <w:p>
            <w:pPr>
              <w:pStyle w:val="Compact"/>
              <w:spacing w:after="40" w:before="40"/>
              <w:jc w:val="left"/>
            </w:pPr>
            <w:r>
              <w:rPr>
                <w:rFonts w:ascii="Cambria" w:hAnsi="Cambria" w:cs="Cambria" w:eastAsia="Cambria"/>
                <w:color w:val="1A1A1A"/>
                <w:sz w:val="18"/>
              </w:rPr>
              <w:t xml:space="preserve">Stima dell’effetto reale sul campo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sistema GRADE</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Fondazione e graduazione dell’evidenza</w:t>
            </w:r>
          </w:p>
        </w:tc>
      </w:tr>
      <w:tr>
        <w:tc>
          <w:tcPr/>
          <w:p>
            <w:pPr>
              <w:pStyle w:val="Compact"/>
              <w:spacing w:after="40" w:before="40"/>
              <w:jc w:val="left"/>
            </w:pPr>
            <w:r>
              <w:rPr>
                <w:rFonts w:ascii="Cambria" w:hAnsi="Cambria" w:cs="Cambria" w:eastAsia="Cambria"/>
                <w:b/>
                <w:bCs/>
                <w:color w:val="1A1A1A"/>
                <w:sz w:val="18"/>
              </w:rPr>
              <w:t xml:space="preserve">Analisi multi-criterio</w:t>
            </w:r>
          </w:p>
        </w:tc>
        <w:tc>
          <w:tcPr/>
          <w:p>
            <w:pPr>
              <w:pStyle w:val="Compact"/>
              <w:spacing w:after="40" w:before="40"/>
              <w:jc w:val="left"/>
            </w:pPr>
            <w:r>
              <w:rPr>
                <w:rFonts w:ascii="Cambria" w:hAnsi="Cambria" w:cs="Cambria" w:eastAsia="Cambria"/>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Composizione dei criteri non monetari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della regolamentazione</w:t>
            </w:r>
          </w:p>
        </w:tc>
        <w:tc>
          <w:tcPr>
            <w:shd w:val="clear" w:color="auto" w:fill="F4F1EC"/>
          </w:tcPr>
          <w:p>
            <w:pPr>
              <w:pStyle w:val="Compact"/>
              <w:spacing w:after="40" w:before="40"/>
              <w:jc w:val="left"/>
            </w:pPr>
            <w:r>
              <w:rPr>
                <w:rFonts w:ascii="Cambria" w:hAnsi="Cambria" w:cs="Cambria" w:eastAsia="Cambria"/>
                <w:color w:val="1A1A1A"/>
                <w:sz w:val="18"/>
              </w:rPr>
              <w:t xml:space="preserve">Parti H, L</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della norma ex ante ed ex post</w:t>
            </w:r>
          </w:p>
        </w:tc>
      </w:tr>
    </w:tbl>
    <w:p>
      <w:pPr>
        <w:pStyle w:val="BodyText"/>
      </w:pPr>
      <w:r>
        <w:rPr>
          <w:i/>
          <w:iCs/>
        </w:rPr>
        <w:t xml:space="preserve">Tabella A.3. Le dieci metodologie analitiche e la loro collocazione nello studio.</w:t>
      </w:r>
    </w:p>
    <w:bookmarkEnd w:id="2354"/>
    <w:bookmarkStart w:id="2355" w:name="X5bfcf61abbe2b6aa8aab3a815705264acef33a2"/>
    <w:p>
      <w:pPr>
        <w:pStyle w:val="Heading3"/>
      </w:pPr>
      <w:r>
        <w:t xml:space="preserve">A.3 Governance della valutazione, etica e protezione dei dati</w:t>
      </w:r>
    </w:p>
    <w:p>
      <w:pPr>
        <w:pStyle w:val="FirstParagraph"/>
      </w:pPr>
      <w:r>
        <w:t xml:space="preserve">La valutazione procede sotto garanzie di governo, etiche e di protezione dei dati. Sul piano del governo, lo studio è riferito a un comitato di indirizzo che riunisce la Regione Marche — Assessorato alla Sanità, Servizio Salute — le cinque AST, l’AOU Marche, l’INRCA, l’Ordine degli Psicologi delle Marche, le rappresentanze della medicina generale e della pediatria di libera scelta e l’Università Politecnica delle Marche (UnivPM). La caratteristica propria delle Marche è che il servizio è già operante in via sperimentale, e la governance non è chiamata a istituirlo, ma a strutturarlo in forma organica e a raccordarlo con il nuovo assetto delle AST. Sul piano della protezione dei dati, il trattamento è conforme alla normativa vigente, ispirato ai principi di minimizzazione e limitazione della finalità, con il Fascicolo Sanitario Elettronico regionale quale infrastruttura per la raccolta uniforme. Gli strumenti di intelligenza artificiale eventualmente impiegati nel servizio sono concepiti come ausilio del clinico, mai in sua sostituzione, con sorveglianza umana costante, in conformità al quadro europeo sull’intelligenza artificiale. Sul piano etico, lo studio adotta particolari cautele a tutela dei minori e delle persone vulnerabili, indirizzando senza indugio le situazioni di rischio ai servizi specialistici e di emergenza secondo protocolli definiti. Con la definizione del quadro, del quesito e del metodo, e sotto queste garanzie, lo studio dispone delle fondamenta su cui poggiano i domini successivi.</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2355"/>
    <w:bookmarkEnd w:id="2356"/>
    <w:bookmarkStart w:id="2367" w:name="Xbdae0a10f4961653ff14a6288a7450afb050f3d"/>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delle Marche.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(B.6). Ne emerge il tratto specifico delle Marche: non una regione che deve decidere se istituire il servizio, ma una regione che lo ha già avviato in via sperimentale e che è chiamata a strutturarlo organicamente in un contesto di invecchiamento demografico accentuato, di spesa sanitaria pro-capite fra le più basse d’Italia e di sistema sanitario in fase di riforma profonda.</w:t>
      </w:r>
    </w:p>
    <w:bookmarkStart w:id="4459" w:name="b.1-quadro-demografico-8"/>
    <w:p>
      <w:pPr>
        <w:pStyle w:val="Heading3"/>
      </w:pPr>
      <w:r>
        <w:t xml:space="preserve">B.1 Quadro demografico</w:t>
      </w:r>
    </w:p>
    <w:p>
      <w:pPr>
        <w:pStyle w:val="FirstParagraph"/>
      </w:pPr>
      <w:r>
        <w:t xml:space="preserve">Le Marche contano 1.480.545 residenti</w:t>
      </w:r>
      <w:r>
        <w:rPr>
          <w:rStyle w:val="FootnoteReference"/>
        </w:rPr>
        <w:footnoteReference w:id="2845"/>
      </w:r>
      <w:r>
        <w:t xml:space="preserve">, pari a circa il 2,5% della popolazione nazionale, distribuiti in cinque province — Ancona, Pesaro-Urbino, Macerata, Fermo e Ascoli Piceno — che corrispondono ai territori delle cinque Aziende Sanitarie Territoriali istituite dalla legge regionale 19/2022. La regione è in calo demografico costante, per effetto di un saldo naturale negativo non compensato dalle migrazioni, e presenta una struttura per età fra le più anziane del Centro Italia: l’indice di vecchiaia, che misura il rapporto tra ultrasessantacinquenni e giovani sotto i quindici anni, ha raggiunto 235,5 al 1° gennaio 2025</w:t>
      </w:r>
      <w:r>
        <w:rPr>
          <w:rStyle w:val="FootnoteReference"/>
        </w:rPr>
        <w:footnoteReference w:id="2846"/>
      </w:r>
      <w:r>
        <w:t xml:space="preserve">, un valore che colloca le Marche fra le regioni demograficamente più anziane del Paese e segnala, in modo inequivocabile, un peso degli anziani largamente superiore a quello dei giovani. La quota di popolazione con più di 65 anni è particolarmente elevata nelle province di Pesaro-Urbino, Macerata e Ascoli Piceno, e raggiunge livelli estremi nelle aree appenniniche interne, dove lo spopolamento progressivo ha eroso la componente giovane della popolazione. La popolazione straniera residente, pari a circa il 9–10% del totale, è concentrata nelle aree costiere e nei capoluoghi provinciali, e presenta un profilo di bisogno psicologico connesso alla condizione migratoria e all’integrazione.</w:t>
      </w:r>
    </w:p>
    <w:tbl>
      <w:tblPr>
        <w:tblStyle w:val="Table"/>
        <w:tblW w:type="pct" w:w="494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77"/>
        <w:gridCol w:w="636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le Marche</w:t>
            </w:r>
          </w:p>
        </w:tc>
      </w:tr>
      <w:tr>
        <w:tc>
          <w:tcPr/>
          <w:p>
            <w:pPr>
              <w:pStyle w:val="Compact"/>
              <w:spacing w:after="40" w:before="40"/>
              <w:jc w:val="left"/>
            </w:pPr>
            <w:r>
              <w:rPr>
                <w:rFonts w:ascii="Cambria" w:hAnsi="Cambria" w:cs="Cambria" w:eastAsia="Cambria"/>
                <w:b/>
                <w:bCs/>
                <w:color w:val="1A1A1A"/>
                <w:sz w:val="18"/>
              </w:rPr>
              <w:t xml:space="preserve">Popolazione (2025)</w:t>
            </w:r>
          </w:p>
        </w:tc>
        <w:tc>
          <w:tcPr/>
          <w:p>
            <w:pPr>
              <w:pStyle w:val="Compact"/>
              <w:spacing w:after="40" w:before="40"/>
              <w:jc w:val="left"/>
            </w:pPr>
            <w:r>
              <w:rPr>
                <w:rFonts w:ascii="Cambria" w:hAnsi="Cambria" w:cs="Cambria" w:eastAsia="Cambria"/>
                <w:color w:val="1A1A1A"/>
                <w:sz w:val="18"/>
              </w:rPr>
              <w:t xml:space="preserve">1.480.545 residenti (~2,5% del totale nazionale); in calo costante per saldo naturale negativo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vecchiaia</w:t>
            </w:r>
          </w:p>
        </w:tc>
        <w:tc>
          <w:tcPr>
            <w:shd w:val="clear" w:color="auto" w:fill="F4F1EC"/>
          </w:tcPr>
          <w:p>
            <w:pPr>
              <w:pStyle w:val="Compact"/>
              <w:spacing w:after="40" w:before="40"/>
              <w:jc w:val="left"/>
            </w:pPr>
            <w:r>
              <w:rPr>
                <w:rFonts w:ascii="Cambria" w:hAnsi="Cambria" w:cs="Cambria" w:eastAsia="Cambria"/>
                <w:color w:val="1A1A1A"/>
                <w:sz w:val="18"/>
              </w:rPr>
              <w:t xml:space="preserve">235,5 al 1° gennaio 2025; fra i più elevati del Centro Italia; accentuato nelle aree appenniniche interne</w:t>
            </w:r>
          </w:p>
        </w:tc>
      </w:tr>
      <w:tr>
        <w:tc>
          <w:tcPr/>
          <w:p>
            <w:pPr>
              <w:pStyle w:val="Compact"/>
              <w:spacing w:after="40" w:before="40"/>
              <w:jc w:val="left"/>
            </w:pPr>
            <w:r>
              <w:rPr>
                <w:rFonts w:ascii="Cambria" w:hAnsi="Cambria" w:cs="Cambria" w:eastAsia="Cambria"/>
                <w:b/>
                <w:bCs/>
                <w:color w:val="1A1A1A"/>
                <w:sz w:val="18"/>
              </w:rPr>
              <w:t xml:space="preserve">Struttura per età</w:t>
            </w:r>
          </w:p>
        </w:tc>
        <w:tc>
          <w:tcPr/>
          <w:p>
            <w:pPr>
              <w:pStyle w:val="Compact"/>
              <w:spacing w:after="40" w:before="40"/>
              <w:jc w:val="left"/>
            </w:pPr>
            <w:r>
              <w:rPr>
                <w:rFonts w:ascii="Cambria" w:hAnsi="Cambria" w:cs="Cambria" w:eastAsia="Cambria"/>
                <w:color w:val="1A1A1A"/>
                <w:sz w:val="18"/>
              </w:rPr>
              <w:t xml:space="preserve">Quota over-65 elevata; componente giovanile ridotta; invecchiamento differenziato tra costa e Appennino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Distribuzione territoriale</w:t>
            </w:r>
          </w:p>
        </w:tc>
        <w:tc>
          <w:tcPr>
            <w:shd w:val="clear" w:color="auto" w:fill="F4F1EC"/>
          </w:tcPr>
          <w:p>
            <w:pPr>
              <w:pStyle w:val="Compact"/>
              <w:spacing w:after="40" w:before="40"/>
              <w:jc w:val="left"/>
            </w:pPr>
            <w:r>
              <w:rPr>
                <w:rFonts w:ascii="Cambria" w:hAnsi="Cambria" w:cs="Cambria" w:eastAsia="Cambria"/>
                <w:color w:val="1A1A1A"/>
                <w:sz w:val="18"/>
              </w:rPr>
              <w:t xml:space="preserve">5 province (Ancona, Pesaro-Urbino, Macerata, Fermo, Ascoli Piceno); fascia costiera più densa; aree interne appenniniche in spopolamento</w:t>
            </w:r>
          </w:p>
        </w:tc>
      </w:tr>
      <w:tr>
        <w:tc>
          <w:tcPr/>
          <w:p>
            <w:pPr>
              <w:pStyle w:val="Compact"/>
              <w:spacing w:after="40" w:before="40"/>
              <w:jc w:val="left"/>
            </w:pPr>
            <w:r>
              <w:rPr>
                <w:rFonts w:ascii="Cambria" w:hAnsi="Cambria" w:cs="Cambria" w:eastAsia="Cambria"/>
                <w:b/>
                <w:bCs/>
                <w:color w:val="1A1A1A"/>
                <w:sz w:val="18"/>
              </w:rPr>
              <w:t xml:space="preserve">Profilo territoriale</w:t>
            </w:r>
          </w:p>
        </w:tc>
        <w:tc>
          <w:tcPr/>
          <w:p>
            <w:pPr>
              <w:pStyle w:val="Compact"/>
              <w:spacing w:after="40" w:before="40"/>
              <w:jc w:val="left"/>
            </w:pPr>
            <w:r>
              <w:rPr>
                <w:rFonts w:ascii="Cambria" w:hAnsi="Cambria" w:cs="Cambria" w:eastAsia="Cambria"/>
                <w:color w:val="1A1A1A"/>
                <w:sz w:val="18"/>
              </w:rPr>
              <w:t xml:space="preserve">Fascia costiera urbanizzata; zone collinari e di piede-monte; aree appenniniche interne con piccoli comuni e bassa densità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Articolazione sanitaria</w:t>
            </w:r>
          </w:p>
        </w:tc>
        <w:tc>
          <w:tcPr>
            <w:shd w:val="clear" w:color="auto" w:fill="F4F1EC"/>
          </w:tcPr>
          <w:p>
            <w:pPr>
              <w:pStyle w:val="Compact"/>
              <w:spacing w:after="40" w:before="40"/>
              <w:jc w:val="left"/>
            </w:pPr>
            <w:r>
              <w:rPr>
                <w:rFonts w:ascii="Cambria" w:hAnsi="Cambria" w:cs="Cambria" w:eastAsia="Cambria"/>
                <w:color w:val="1A1A1A"/>
                <w:sz w:val="18"/>
              </w:rPr>
              <w:t xml:space="preserve">5 AST (rif. L.R. 19/2022); AOU Marche (Torrette, Ancona); INRCA; distretti sanitari per ciascuna AST</w:t>
            </w:r>
          </w:p>
        </w:tc>
      </w:tr>
    </w:tbl>
    <w:p>
      <w:pPr>
        <w:pStyle w:val="BodyText"/>
      </w:pPr>
      <w:r>
        <w:rPr>
          <w:i/>
          <w:iCs/>
        </w:rPr>
        <w:t xml:space="preserve">Tabella B.1. Profilo demografico e socio-economico delle Marche.</w:t>
      </w:r>
    </w:p>
    <w:bookmarkEnd w:id="4459"/>
    <w:bookmarkStart w:id="2360" w:name="b.2-epidemiologia-del-bisogno-9"/>
    <w:p>
      <w:pPr>
        <w:pStyle w:val="Heading3"/>
      </w:pPr>
      <w:r>
        <w:t xml:space="preserve">B.2 Epidemiologia del bisogno</w:t>
      </w:r>
    </w:p>
    <w:p>
      <w:pPr>
        <w:pStyle w:val="FirstParagraph"/>
      </w:pPr>
      <w:r>
        <w:t xml:space="preserve">Il bisogno di salute mentale nelle Marche è ampio e modulato da una struttura demografica che lo spinge verso le componenti dell’età anziana, della solitudine e del disagio connesso all’isolamento nelle aree interne. Applicando alla popolazione residente le prevalenze epidemiologiche documentate dalla letteratura internazionale — una quota compresa fra il diciotto e il venti per cento della popolazione adulta con disagio psichico comune in un dato anno — si ottiene una stima dell’ordine di 296.000 persone interessate da disagio psichico comune, cui si aggiunge un’utenza specialistica in carico ai servizi per condizioni più severe. La struttura demografica marchigiana amplifica questa prevalenza generale in direzioni specifiche. L’invecchiamento accentuato, con un indice di vecchiaia di 235,5, sposta una parte rilevante del bisogno verso le età anziane, in cui la depressione è frequente, spesso non riconosciuta e frequentemente associata a patologie somatiche croniche, alla solitudine e alla perdita di autonomia: in una regione con una delle quote over-65 più elevate del Centro Italia, la depressione dell’anziano costituisce la componente quantitativamente più rilevante del bisogno complessivo e richiede un approccio specifico. Il disagio giovanile, in una regione che ha perso molta della sua giovane popolazione per emigrazione interna verso i grandi centri metropolitani, è accentuato dall’isolamento e dalla riduzione delle reti di sostegno. Il disagio connesso alla dispersione insediativa colpisce i residenti dei piccoli comuni appenninini, la cui distanza fisica dai poli sanitari si somma alla solitudine e alla scarsità di servizi.</w:t>
      </w:r>
    </w:p>
    <w:bookmarkEnd w:id="2360"/>
    <w:bookmarkStart w:id="2361" w:name="b.3-domanda-offerta-e-gap-di-copertura-9"/>
    <w:p>
      <w:pPr>
        <w:pStyle w:val="Heading3"/>
      </w:pPr>
      <w:r>
        <w:t xml:space="preserve">B.3 Domanda, offerta e gap di copertura</w:t>
      </w:r>
    </w:p>
    <w:p>
      <w:pPr>
        <w:pStyle w:val="FirstParagraph"/>
      </w:pPr>
      <w:r>
        <w:t xml:space="preserve">Il bisogno epidemiologico si traduce solo in parte in domanda espressa, e la domanda espressa trova solo in parte una risposta appropriata. In assenza di un servizio strutturato e universalmente accessibile, una quota consistente del disagio comune resta non intercettata per ragioni culturali — lo stigma, particolarmente persistente nelle comunità di piccola dimensione e nelle generazioni anziane — e per ragioni pratiche, legate all’assenza di un primo livello visibile e accessibile. Il confronto con la condizione attuale — sperimentazione amministrativa avviata, ma con copertura parziale e finanziamento non strutturato — indica che la domanda non intercettata resta elevata, e che il gap di copertura si concentra nelle aree appenniniche interne e nei gruppi anziani.</w:t>
      </w:r>
    </w:p>
    <w:tbl>
      <w:tblPr>
        <w:tblStyle w:val="Table"/>
        <w:tblW w:type="pct" w:w="495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06"/>
        <w:gridCol w:w="604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le Marche</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296.000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in carico ai servizi di 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Alcune decine di migliaia (stima rapportata ai dati nazionali)</w:t>
            </w:r>
          </w:p>
        </w:tc>
      </w:tr>
      <w:tr>
        <w:tc>
          <w:tcPr/>
          <w:p>
            <w:pPr>
              <w:pStyle w:val="Compact"/>
              <w:spacing w:after="40" w:before="40"/>
              <w:jc w:val="left"/>
            </w:pPr>
            <w:r>
              <w:rPr>
                <w:rFonts w:ascii="Cambria" w:hAnsi="Cambria" w:cs="Cambria" w:eastAsia="Cambria"/>
                <w:b/>
                <w:bCs/>
                <w:color w:val="1A1A1A"/>
                <w:sz w:val="18"/>
              </w:rPr>
              <w:t xml:space="preserve">Offerta territoriale attuale</w:t>
            </w:r>
          </w:p>
        </w:tc>
        <w:tc>
          <w:tcPr/>
          <w:p>
            <w:pPr>
              <w:pStyle w:val="Compact"/>
              <w:spacing w:after="40" w:before="40"/>
              <w:jc w:val="left"/>
            </w:pPr>
            <w:r>
              <w:rPr>
                <w:rFonts w:ascii="Cambria" w:hAnsi="Cambria" w:cs="Cambria" w:eastAsia="Cambria"/>
                <w:color w:val="1A1A1A"/>
                <w:sz w:val="18"/>
              </w:rPr>
              <w:t xml:space="preserve">Sperimentazione amministrativa avviata; copertura parziale; base giuridica non organica; finanziamento non strutturato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Fabbisogno stimato a regime</w:t>
            </w:r>
          </w:p>
        </w:tc>
        <w:tc>
          <w:tcPr>
            <w:shd w:val="clear" w:color="auto" w:fill="F4F1EC"/>
          </w:tcPr>
          <w:p>
            <w:pPr>
              <w:pStyle w:val="Compact"/>
              <w:spacing w:after="40" w:before="40"/>
              <w:jc w:val="left"/>
            </w:pPr>
            <w:r>
              <w:rPr>
                <w:rFonts w:ascii="Cambria" w:hAnsi="Cambria" w:cs="Cambria" w:eastAsia="Cambria"/>
                <w:color w:val="1A1A1A"/>
                <w:sz w:val="18"/>
              </w:rPr>
              <w:t xml:space="preserve">~ 370 psicologi nello scenario espansivo (250–340 negli altri scenari)</w:t>
            </w:r>
          </w:p>
        </w:tc>
      </w:tr>
      <w:tr>
        <w:tc>
          <w:tcPr/>
          <w:p>
            <w:pPr>
              <w:pStyle w:val="Compact"/>
              <w:spacing w:after="40" w:before="40"/>
              <w:jc w:val="left"/>
            </w:pPr>
            <w:r>
              <w:rPr>
                <w:rFonts w:ascii="Cambria" w:hAnsi="Cambria" w:cs="Cambria" w:eastAsia="Cambria"/>
                <w:b/>
                <w:bCs/>
                <w:color w:val="1A1A1A"/>
                <w:sz w:val="18"/>
              </w:rPr>
              <w:t xml:space="preserve">Copertura attuale del fabbisogno</w:t>
            </w:r>
          </w:p>
        </w:tc>
        <w:tc>
          <w:tcPr/>
          <w:p>
            <w:pPr>
              <w:pStyle w:val="Compact"/>
              <w:spacing w:after="40" w:before="40"/>
              <w:jc w:val="left"/>
            </w:pPr>
            <w:r>
              <w:rPr>
                <w:rFonts w:ascii="Cambria" w:hAnsi="Cambria" w:cs="Cambria" w:eastAsia="Cambria"/>
                <w:color w:val="1A1A1A"/>
                <w:sz w:val="18"/>
              </w:rPr>
              <w:t xml:space="preserve">Parziale e non sistematica; variabile per territorio</w:t>
            </w:r>
          </w:p>
        </w:tc>
      </w:tr>
    </w:tbl>
    <w:p>
      <w:pPr>
        <w:pStyle w:val="BodyText"/>
      </w:pPr>
      <w:r>
        <w:rPr>
          <w:i/>
          <w:iCs/>
        </w:rPr>
        <w:t xml:space="preserve">Tabella B.2. Domanda, offerta e gap di copertura.</w:t>
      </w:r>
    </w:p>
    <w:bookmarkEnd w:id="2361"/>
    <w:bookmarkStart w:id="2362" w:name="X5bb6c6e01bc3a1e8f06f71ecfbe74c2c483ab1d"/>
    <w:p>
      <w:pPr>
        <w:pStyle w:val="Heading3"/>
      </w:pPr>
      <w:r>
        <w:t xml:space="preserve">B.4 Disuguaglianze e divari territoriali</w:t>
      </w:r>
    </w:p>
    <w:p>
      <w:pPr>
        <w:pStyle w:val="FirstParagraph"/>
      </w:pPr>
      <w:r>
        <w:t xml:space="preserve">Il disagio psichico e l’accesso alle cure non si distribuiscono in modo uniforme nella popolazione marchigiana, ma seguono gradienti sociali e territoriali che si rinforzano a vicenda. Il gradiente territoriale, nelle Marche, è particolarmente accentuato dalla morfologia del territorio: la fascia costiera, più urbanizzata, densa e dotata di servizi, si contrappone alle aree collinari di piede-monte, intermedie, e alle aree appenniniche interne, caratterizzate da piccoli comuni, bassa densità, difficoltà di accesso e invecchiamento estremo della popolazione. Nelle aree interne, la distanza fisica dai poli sanitari, i tempi di percorrenza significativi su una rete viaria prevalentemente locale, la scarsità dei trasporti pubblici e la riduzione progressiva dei servizi di prossimità compongono una barriera strutturale che esclude di fatto una parte della popolazione dall’accesso alle cure psicologiche. Questa barriera colpisce in modo sproporzionato gli anziani, che sono anche la fascia a maggiore bisogno psicologico, e produce una concentrazione di svantaggio nelle aree interne — più anziane, più deprivate, più lontane dai servizi — che è la forma più acuta della disuguaglianza sanitaria marchigiana.</w:t>
      </w:r>
    </w:p>
    <w:bookmarkEnd w:id="2362"/>
    <w:bookmarkStart w:id="2364" w:name="b.5-i-servizi-e-i-flussi-9"/>
    <w:p>
      <w:pPr>
        <w:pStyle w:val="Heading3"/>
      </w:pPr>
      <w:r>
        <w:t xml:space="preserve">B.5 I servizi e i flussi</w:t>
      </w:r>
    </w:p>
    <w:p>
      <w:pPr>
        <w:pStyle w:val="FirstParagraph"/>
      </w:pPr>
      <w:r>
        <w:t xml:space="preserve">Il sistema sanitario marchigiano ha subito una profonda riforma nel 2022–2023. La legge regionale 19/2022 ha soppresso l’ASUR — l’Azienda Sanitaria Unica Regionale istituita nel 2003 — e ha istituito cinque Aziende Sanitarie Territoriali (AST), ciascuna con personalità giuridica autonoma, corrispondenti ai territori delle province: AST Ancona, AST Pesaro-Urbino, AST Macerata, AST Fermo e AST Ascoli Piceno. Dal 1° gennaio 2023 le AST hanno sostituito le cinque Aree Vaste dell’ASUR, subentrando in tutti i rapporti giuridici e le competenze. Ciascuna AST si articola in distretti — che assicurano il coordinamento e l’erogazione dell’assistenza primaria — in dipartimenti e in presidi ospedalieri. Il sistema è completato dall’Azienda Ospedaliero-Universitaria delle Marche (sede di Torrette, Ancona), che svolge funzioni di alta specialità e didattica, e dall’INRCA (Istituto Nazionale di Ricovero e Cura per Anziani), con sede principale ad Ancona, che fornisce un punto di riferimento specifico per la popolazione anziana.</w:t>
      </w:r>
    </w:p>
    <w:tbl>
      <w:tblPr>
        <w:tblStyle w:val="Table"/>
        <w:tblW w:type="pct" w:w="494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13"/>
        <w:gridCol w:w="531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le Marche</w:t>
            </w:r>
          </w:p>
        </w:tc>
      </w:tr>
      <w:tr>
        <w:tc>
          <w:tcPr/>
          <w:p>
            <w:pPr>
              <w:pStyle w:val="Compact"/>
              <w:spacing w:after="40" w:before="40"/>
              <w:jc w:val="left"/>
            </w:pPr>
            <w:r>
              <w:rPr>
                <w:rFonts w:ascii="Cambria" w:hAnsi="Cambria" w:cs="Cambria" w:eastAsia="Cambria"/>
                <w:b/>
                <w:bCs/>
                <w:color w:val="1A1A1A"/>
                <w:sz w:val="18"/>
              </w:rPr>
              <w:t xml:space="preserve">Struttura del Servizio Sanitario Regionale</w:t>
            </w:r>
          </w:p>
        </w:tc>
        <w:tc>
          <w:tcPr/>
          <w:p>
            <w:pPr>
              <w:pStyle w:val="Compact"/>
              <w:spacing w:after="40" w:before="40"/>
              <w:jc w:val="left"/>
            </w:pPr>
            <w:r>
              <w:rPr>
                <w:rFonts w:ascii="Cambria" w:hAnsi="Cambria" w:cs="Cambria" w:eastAsia="Cambria"/>
                <w:color w:val="1A1A1A"/>
                <w:sz w:val="18"/>
              </w:rPr>
              <w:t xml:space="preserve">5 AST (Ancona, Pesaro-Urbino, Macerata, Fermo, Ascoli Piceno); AOU Marche; INRCA; rif. L.R. 19/2022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Spesa sanitaria pro-capite</w:t>
            </w:r>
          </w:p>
        </w:tc>
        <w:tc>
          <w:tcPr>
            <w:shd w:val="clear" w:color="auto" w:fill="F4F1EC"/>
          </w:tcPr>
          <w:p>
            <w:pPr>
              <w:pStyle w:val="Compact"/>
              <w:spacing w:after="40" w:before="40"/>
              <w:jc w:val="left"/>
            </w:pPr>
            <w:r>
              <w:rPr>
                <w:rFonts w:ascii="Cambria" w:hAnsi="Cambria" w:cs="Cambria" w:eastAsia="Cambria"/>
                <w:color w:val="1A1A1A"/>
                <w:sz w:val="18"/>
              </w:rPr>
              <w:t xml:space="preserve">2.612,7 euro (dato pesato); fra le più basse d’Italia</w:t>
            </w:r>
          </w:p>
        </w:tc>
      </w:tr>
      <w:tr>
        <w:tc>
          <w:tcPr/>
          <w:p>
            <w:pPr>
              <w:pStyle w:val="Compact"/>
              <w:spacing w:after="40" w:before="40"/>
              <w:jc w:val="left"/>
            </w:pPr>
            <w:r>
              <w:rPr>
                <w:rFonts w:ascii="Cambria" w:hAnsi="Cambria" w:cs="Cambria" w:eastAsia="Cambria"/>
                <w:b/>
                <w:bCs/>
                <w:color w:val="1A1A1A"/>
                <w:sz w:val="18"/>
              </w:rPr>
              <w:t xml:space="preserve">Fondo sanitario regionale</w:t>
            </w:r>
          </w:p>
        </w:tc>
        <w:tc>
          <w:tcPr/>
          <w:p>
            <w:pPr>
              <w:pStyle w:val="Compact"/>
              <w:spacing w:after="40" w:before="40"/>
              <w:jc w:val="left"/>
            </w:pPr>
            <w:r>
              <w:rPr>
                <w:rFonts w:ascii="Cambria" w:hAnsi="Cambria" w:cs="Cambria" w:eastAsia="Cambria"/>
                <w:color w:val="1A1A1A"/>
                <w:sz w:val="18"/>
              </w:rPr>
              <w:t xml:space="preserve">Dell’ordine di 3,3–3,4 miliardi di euro l’anno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Saldo tendenzialmente passivo, con mobilità attiva concentrata in alcune specialità dell’AOU Marche</w:t>
            </w:r>
          </w:p>
        </w:tc>
      </w:tr>
      <w:tr>
        <w:tc>
          <w:tcPr/>
          <w:p>
            <w:pPr>
              <w:pStyle w:val="Compact"/>
              <w:spacing w:after="40" w:before="40"/>
              <w:jc w:val="left"/>
            </w:pPr>
            <w:r>
              <w:rPr>
                <w:rFonts w:ascii="Cambria" w:hAnsi="Cambria" w:cs="Cambria" w:eastAsia="Cambria"/>
                <w:b/>
                <w:bCs/>
                <w:color w:val="1A1A1A"/>
                <w:sz w:val="18"/>
              </w:rPr>
              <w:t xml:space="preserve">Rete territoriale</w:t>
            </w:r>
          </w:p>
        </w:tc>
        <w:tc>
          <w:tcPr/>
          <w:p>
            <w:pPr>
              <w:pStyle w:val="Compact"/>
              <w:spacing w:after="40" w:before="40"/>
              <w:jc w:val="left"/>
            </w:pPr>
            <w:r>
              <w:rPr>
                <w:rFonts w:ascii="Cambria" w:hAnsi="Cambria" w:cs="Cambria" w:eastAsia="Cambria"/>
                <w:color w:val="1A1A1A"/>
                <w:sz w:val="18"/>
              </w:rPr>
              <w:t xml:space="preserve">Case della Comunità in costruzione (PNRR); distretti sanitari per AST; medicina generale integrata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Margine di azione principale</w:t>
            </w:r>
          </w:p>
        </w:tc>
        <w:tc>
          <w:tcPr>
            <w:shd w:val="clear" w:color="auto" w:fill="F4F1EC"/>
          </w:tcPr>
          <w:p>
            <w:pPr>
              <w:pStyle w:val="Compact"/>
              <w:spacing w:after="40" w:before="40"/>
              <w:jc w:val="left"/>
            </w:pPr>
            <w:r>
              <w:rPr>
                <w:rFonts w:ascii="Cambria" w:hAnsi="Cambria" w:cs="Cambria" w:eastAsia="Cambria"/>
                <w:color w:val="1A1A1A"/>
                <w:sz w:val="18"/>
              </w:rPr>
              <w:t xml:space="preserve">Strutturazione organica del servizio avviato, integrazione con le AST, accesso nelle aree interne appenniniche</w:t>
            </w:r>
          </w:p>
        </w:tc>
      </w:tr>
    </w:tbl>
    <w:p>
      <w:pPr>
        <w:pStyle w:val="BodyText"/>
      </w:pPr>
      <w:r>
        <w:rPr>
          <w:i/>
          <w:iCs/>
        </w:rPr>
        <w:t xml:space="preserve">Tabella B.3. I servizi e i flussi del Servizio Sanitario Regionale rilevanti per l’intervento.</w:t>
      </w:r>
    </w:p>
    <w:p>
      <w:pPr>
        <w:pStyle w:val="BodyText"/>
      </w:pPr>
      <w:r>
        <w:t xml:space="preserve">La spesa sanitaria pro-capite marchigiana di 2.612,7 euro pesati è, secondo la Fondazione GRINS, fra le più basse del Paese</w:t>
      </w:r>
      <w:r>
        <w:rPr>
          <w:rStyle w:val="FootnoteReference"/>
        </w:rPr>
        <w:footnoteReference w:id="2847"/>
      </w:r>
      <w:r>
        <w:t xml:space="preserve">, il che segnala un sistema sanitario operante con risorse contenute. Questo dato non inficia la fattibilità del servizio — il cui costo rappresenta una quota modesta del fondo sanitario — ma impone cautela nel dimensionamento iniziale e una gestione rigorosa delle risorse.</w:t>
      </w:r>
    </w:p>
    <w:bookmarkEnd w:id="2364"/>
    <w:bookmarkStart w:id="2366" w:name="Xf190e282ab4d42e023bcc9868577f1bdac86ef5"/>
    <w:p>
      <w:pPr>
        <w:pStyle w:val="Heading3"/>
      </w:pPr>
      <w:r>
        <w:t xml:space="preserve">B.6 La cornice normativa e programmatica</w:t>
      </w:r>
    </w:p>
    <w:p>
      <w:pPr>
        <w:pStyle w:val="FirstParagraph"/>
      </w:pPr>
      <w:r>
        <w:t xml:space="preserve">Il quadro normativo entro cui il servizio di psicologia di base si inserisce è articolato su più livelli. Sul piano nazionale, il decreto ministeriale 77/2022 inserisce lo psicologo delle cure primarie fra i professionisti della rete territoriale e ne prevede la presenza nelle Case della Comunità. Sul piano parlamentare, sono in discussione proposte di legge per l’istituzione di un servizio nazionale di psicologia di assistenza primaria. Sul piano regionale, il Piano Socio-Sanitario Regionale marchigiano 2023–2025, approvato dalla Giunta regionale con delibera n. 630 del 29 aprile 2024, e il successivo Piano 2024–2028 approvato dal Consiglio Regionale nel giugno 2024, costituiscono la cornice programmatica entro cui il servizio si inserisce. È stato presentato all’Assemblea Legislativa delle Marche un progetto di legge (PDL n. 100) per l’istituzione formale del servizio di psicologia di base, articolato per distretto sanitario con almeno due psicologi per distretto, coordinato da un osservatorio regionale e finanziato a carico del Servizio Sanitario Regionale</w:t>
      </w:r>
      <w:r>
        <w:rPr>
          <w:rStyle w:val="FootnoteReference"/>
        </w:rPr>
        <w:footnoteReference w:id="2848"/>
      </w:r>
      <w:r>
        <w:t xml:space="preserve">. Il vincolo giuridico della sentenza della Corte Costituzionale n. 241 del 2021, che ha delimitato la competenza regionale in materia di rapporti convenzionali, si applica pienamente anche alle Marche e dovrà essere tenuto presente nella redazione della legge regionale: la norma marchigiana dovrà valorizzare gli strumenti compatibili con l’ordinamento, come l’inserimento nelle Case della Comunità, il raccordo con la medicina generale nell’ambito del ruolo unico e le forme di committenza ammesse.</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C</w:t>
      </w:r>
    </w:p>
    <w:p>
      <w:pPr>
        <w:pStyle w:val="BodyText"/>
      </w:pPr>
      <w:r>
        <w:rPr>
          <w:b/>
          <w:bCs/>
        </w:rPr>
        <w:t xml:space="preserve">L’intervento e il modello</w:t>
      </w:r>
    </w:p>
    <w:p>
      <w:pPr>
        <w:pStyle w:val="BodyText"/>
      </w:pPr>
      <w:r>
        <w:rPr>
          <w:i/>
          <w:iCs/>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2366"/>
    <w:bookmarkEnd w:id="2367"/>
    <w:bookmarkStart w:id="2375" w:name="parte-c-lintervento-e-il-modello-1"/>
    <w:p>
      <w:pPr>
        <w:pStyle w:val="Heading2"/>
      </w:pPr>
      <w:r>
        <w:t xml:space="preserve">Parte C — L’intervento e il modello</w:t>
      </w:r>
    </w:p>
    <w:p>
      <w:pPr>
        <w:pStyle w:val="FirstParagraph"/>
      </w:pPr>
      <w:r>
        <w:t xml:space="preserve">Definiti il quadro metodologico nella Parte A e il problema di salute nella Parte B, questa terza parte descrive l’intervento e il suo modello. La parte definisce l’intervento e ne esplicita la teoria del cambiamento (capitolo C.1); ne disegna il modello organizzativo (C.2); ne specifica il percorso clinico (C.3); ne descrive il sistema informativo (C.4); ne illustra gli strumenti digitali e di intelligenza artificiale (C.5); e ne definisce il programma formativo (C.6). Il tratto specifico delle Marche è che l’intervento non è da istituire da zero, ma da strutturare organicamente a partire da una sperimentazione già avviata, raccordandolo con il nuovo assetto delle cinque AST e con la rete delle Case della Comunità in costruzione nel quadro del PNRR.</w:t>
      </w:r>
    </w:p>
    <w:bookmarkStart w:id="2368" w:name="Xef28300b25d840e64b9d0cb9413decbe313cd94"/>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Nelle Marche la strutturazione organica del modello a partire dalla sperimentazione amministrativa già avviata è il percorso attraverso cui questa funzione diventa stabile, universale, finanziata e valutabile. La logica dell’intervento si lascia ricostruire come una catena che collega il bisogno alle sue conseguenze attese: dal disagio comune diffuso — stimato in circa 296.000 persone — attraverso la presa in carico psicologica di prossimità, agli esiti clinici, di sistema e sociali, per il tramite del meccanismo della prevenzione secondaria.</w:t>
      </w:r>
    </w:p>
    <w:tbl>
      <w:tblPr>
        <w:tblStyle w:val="Table"/>
        <w:tblW w:type="pct" w:w="493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04"/>
        <w:gridCol w:w="601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le Marche</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296.000 persone con disagio comune, in parte già raggiunto dalla sperimentazione in 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Strutturazione organica del psicologo di base: intercettazione precoce, intervento breve, filtro, integrazione con le AST</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 prevenzione della cronicizzazione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riduzione delle liste di attesa specialistiche</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minor carico familiare, riduzione dell’isolamento negli anziani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 nelle Marche: priorità alle aree interne appenniniche</w:t>
            </w:r>
          </w:p>
        </w:tc>
      </w:tr>
    </w:tbl>
    <w:p>
      <w:pPr>
        <w:pStyle w:val="BodyText"/>
      </w:pPr>
      <w:r>
        <w:rPr>
          <w:i/>
          <w:iCs/>
        </w:rPr>
        <w:t xml:space="preserve">Tabella C.1. La teoria del cambiamento dell’intervento, dal bisogno agli esiti.</w:t>
      </w:r>
    </w:p>
    <w:bookmarkEnd w:id="2368"/>
    <w:bookmarkStart w:id="2370" w:name="c.2-il-modello-organizzativo-9"/>
    <w:p>
      <w:pPr>
        <w:pStyle w:val="Heading3"/>
      </w:pPr>
      <w:r>
        <w:t xml:space="preserve">C.2 Il modello organizzativo</w:t>
      </w:r>
    </w:p>
    <w:p>
      <w:pPr>
        <w:pStyle w:val="FirstParagraph"/>
      </w:pPr>
      <w:r>
        <w:t xml:space="preserve">Il modello organizzativo colloca il psicologo delle cure primarie nelle Case della Comunità e nei distretti di ciascuna AST, in collaborazione con i medici di medicina generale, i pediatri di libera scelta, i servizi di salute mentale e i servizi sociali. La coerenza con la riforma del 2022 impone che il servizio sia incardinato nelle cinque AST come unità funzionale coordinata a livello regionale dall’Agenzia Regionale Sanitaria (ARS) e dall’Assessorato alla Sanità, con standard uniformi ma con adattamento alle specificità territoriali di ciascuna AST. Il PDL n. 100 all’esame dell’Assemblea Legislativa prevede almeno due psicologi di base per distretto sanitario, con un referente clinico per ciascuna AST nell’ambito della struttura di psicologia clinica</w:t>
      </w:r>
      <w:r>
        <w:rPr>
          <w:rStyle w:val="FootnoteReference"/>
        </w:rPr>
        <w:footnoteReference w:id="2849"/>
      </w:r>
      <w:r>
        <w:t xml:space="preserve">: questo impianto è coerente con la struttura delle cinque AST e con la suddivisione in distretti. La distribuzione territoriale deve tenere conto del divario fra la fascia costiera, più densa e dotata di servizi, e le aree appenniniche interne, dove la prossimità richiede soluzioni specifiche, incluse presenze programmate nei piccoli comuni e un ricorso strutturato alla telepsicologia.</w:t>
      </w:r>
    </w:p>
    <w:bookmarkEnd w:id="2370"/>
    <w:bookmarkStart w:id="4460" w:name="c.3-il-percorso-clinico"/>
    <w:p>
      <w:pPr>
        <w:pStyle w:val="Heading3"/>
      </w:pPr>
      <w:r>
        <w:t xml:space="preserve">C.3 Il percorso clinico</w:t>
      </w:r>
    </w:p>
    <w:p>
      <w:pPr>
        <w:pStyle w:val="FirstParagraph"/>
      </w:pPr>
      <w:r>
        <w:t xml:space="preserve">Il percorso clinico prevede l’accesso su richiesta diretta del cittadino o su invio del medico di medicina generale, del pediatra di libera scelta o di altro operatore, una valutazione iniziale con progetto clinico individuale, un ciclo di colloqui brevi con strumenti di efficacia documentata, e — nei casi che lo richiedono — l’invio appropriato ai servizi specialistici delle AST. Il modello delle cure graduali è il principio organizzativo: l’intensità dell’intervento è commisurata alla gravità del bisogno, riservando le risorse specialistiche alle condizioni che le richiedono. Gli esiti sono misurati con strumenti validati (PHQ-9, GAD-7) impiegati nei soli punteggi complessivi, a garanzia della privacy e in linea con le pratiche internazionali.</w:t>
      </w:r>
    </w:p>
    <w:bookmarkEnd w:id="4460"/>
    <w:bookmarkStart w:id="4461" w:name="c.4-il-sistema-informativo"/>
    <w:p>
      <w:pPr>
        <w:pStyle w:val="Heading3"/>
      </w:pPr>
      <w:r>
        <w:t xml:space="preserve">C.4 Il sistema informativo</w:t>
      </w:r>
    </w:p>
    <w:p>
      <w:pPr>
        <w:pStyle w:val="FirstParagraph"/>
      </w:pPr>
      <w:r>
        <w:t xml:space="preserve">Il sistema informativo è la condizione per cui il servizio possa essere governato, valutato e migliorato. Esso deve raccordare i sistemi informativi delle cinque AST, garantendo l’interoperabilità e l’uniformità della rilevazione, e innestarsi sul Fascicolo Sanitario Elettronico regionale marchigiano. La sperimentazione amministrativa già avviata ha generato una base di dati propri che, pur parziale, consente di disporre di una linea di base più ricca di quella delle regioni che partono da zero: la strutturazione organica del servizio è l’occasione per consolidare questa base in un sistema informativo uniforme e comparabile fra le cinque AST.</w:t>
      </w:r>
    </w:p>
    <w:bookmarkEnd w:id="4461"/>
    <w:bookmarkStart w:id="2373" w:name="Xe2dd13d4cbe6a20f88a0ae59d823f1eaa044eb4"/>
    <w:p>
      <w:pPr>
        <w:pStyle w:val="Heading3"/>
      </w:pPr>
      <w:r>
        <w:t xml:space="preserve">C.5 Gli strumenti digitali e l’intelligenza artificiale</w:t>
      </w:r>
    </w:p>
    <w:p>
      <w:pPr>
        <w:pStyle w:val="FirstParagraph"/>
      </w:pPr>
      <w:r>
        <w:t xml:space="preserve">Gli strumenti digitali e di intelligenza artificiale sono concepiti come ausilio del clinico, mai come sua sostituzione. La telepsicologia assume nelle Marche un valore specifico: non uno strumento di seconda scelta, ma la soluzione per garantire l’accesso nelle aree appenniniche interne a bassa densità, dove la presenza fisica continuativa non è sostenibile. Il suo impiego è regolato da protocolli che ne definiscono l’appropriatezza clinica, distinguendo le situazioni in cui la relazione a distanza è adeguata da quelle in cui la presenza fisica è necessaria. Le disposizioni europee sull’intelligenza artificiale — con gli obblighi di alfabetizzazione in vigore dal 2026 e quelli per i sistemi ad alto rischio a partire dal 2028 — costituiscono il quadro regolatorio di riferimento.</w:t>
      </w:r>
    </w:p>
    <w:tbl>
      <w:tblPr>
        <w:tblStyle w:val="Table"/>
        <w:tblW w:type="pct" w:w="493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4"/>
        <w:gridCol w:w="3805"/>
        <w:gridCol w:w="169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 e telemonitoraggio</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aree interne appenniniche; copertura delle aree disperse</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C.2. Gli strumenti digitali e di intelligenza artificiale a supporto del servizio.</w:t>
      </w:r>
    </w:p>
    <w:bookmarkEnd w:id="2373"/>
    <w:bookmarkStart w:id="2374" w:name="c.6-la-formazione-e-le-competenze-9"/>
    <w:p>
      <w:pPr>
        <w:pStyle w:val="Heading3"/>
      </w:pPr>
      <w:r>
        <w:t xml:space="preserve">C.6 La formazione e le competenze</w:t>
      </w:r>
    </w:p>
    <w:p>
      <w:pPr>
        <w:pStyle w:val="FirstParagraph"/>
      </w:pPr>
      <w:r>
        <w:t xml:space="preserve">La sostenibilità del modello richiede un investimento formativo strutturato. L’Università Politecnica delle Marche (UnivPM) e l’Università di Camerino, presenti sul territorio, costituiscono il riferimento naturale per la formazione universitaria e post-universitaria. La formazione del personale del servizio si articola su quattro livelli: universitario (curricula e tirocini), post-universitario specialistico (psicologia delle cure primarie, modelli organizzativi, misure di esito), continuo in servizio (aggiornamento, audit clinico), e affiancamento operativo (tutoraggio sul campo). Alla formazione di base si aggiunge la formazione specifica alla telepsicologia, essenziale in un contesto con aree interne difficilmente raggiungibili. Il programma formativo deve inoltre prevedere la formazione dei medici di medicina generale e dei pediatri di libera scelta al riconoscimento e all’invio, così da massimizzare la capacità di intercettazione del disagio comune.</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2374"/>
    <w:bookmarkEnd w:id="2375"/>
    <w:bookmarkStart w:id="2384" w:name="parte-d-efficacia-clinica-ed-evidenza-4"/>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altre regioni, il corpo dell’evidenza internazionale è invariante, poiché l’efficacia di un intervento clinico non muta con i confini regionali; muta invece la base di evidenza locale, ed è qui che le Marche presentano un tratto proprio, grazie alla sperimentazione già avviata.</w:t>
      </w:r>
    </w:p>
    <w:bookmarkStart w:id="2378" w:name="X71ba64d1b0cb70a6ed8fb3a42c28cc74bdff1f4"/>
    <w:p>
      <w:pPr>
        <w:pStyle w:val="Heading3"/>
      </w:pPr>
      <w:r>
        <w:t xml:space="preserve">D.1 Il metodo della revisione e l’evidenza di efficacia</w:t>
      </w:r>
    </w:p>
    <w:p>
      <w:pPr>
        <w:pStyle w:val="FirstParagraph"/>
      </w:pPr>
      <w:r>
        <w:t xml:space="preserve">L’efficacia degli interventi psicologici per i disturbi mentali comuni — disturbi d’ansia e dell’umore di intensità lieve o moderata — è fra le più documentate della medicina contemporanea. Revisioni sistematiche con metanalisi su studi clinici randomizzati documentano che gli interventi psicologici strutturati — in primo luogo la terapia cognitivo-comportamentale — producono una riduzione significativa della sintomatologia ansiosa e depressiva nel contesto delle cure primarie. Lo studio fondativo della cura collaborativa ha documentato che circa la metà dei pazienti trattati conseguiva una riduzione sostanziale dei sintomi a dodici mesi, contro meno di un quinto nella cura usuale. La meta-analisi su cinquantasette studi controllati documenta un miglioramento medio dei sintomi depressivi pari a circa un terzo di deviazione standard. Sul versante dei dati reali, il programma inglese delle terapie psicologiche registra un tasso di recupero del 50,2% e un miglioramento affidabile in oltre due terzi dei pazienti, con completezza dei dati di esito superiore al 98%.</w:t>
      </w:r>
      <w:r>
        <w:rPr>
          <w:rStyle w:val="FootnoteReference"/>
        </w:rPr>
        <w:footnoteReference w:id="2850"/>
      </w:r>
    </w:p>
    <w:p>
      <w:pPr>
        <w:pStyle w:val="BodyText"/>
      </w:pPr>
      <w:r>
        <w:t xml:space="preserve">L’efficacia è documentata specificamente per le popolazioni a maggiore bisogno nelle Marche. Per la depressione dell’anziano — componente prioritaria in una regione con indice di vecchiaia di 235,5 — gli interventi psicologici si sono dimostrati efficaci nel migliorare la qualità della vita e nel ridurre la disabilità. Per il disagio delle aree isolate, l’evidenza sostiene l’efficacia della telepsicologia come modalità di erogazione, con risultati comparabili alla prestazione in presenza per i disturbi comuni lievi e moderati.</w:t>
      </w:r>
      <w:r>
        <w:rPr>
          <w:rStyle w:val="FootnoteReference"/>
        </w:rPr>
        <w:footnoteReference w:id="2851"/>
      </w:r>
    </w:p>
    <w:bookmarkEnd w:id="2378"/>
    <w:bookmarkStart w:id="2380" w:name="Xe322d5e311b669ab1aced94ad069aa7bda5156a"/>
    <w:p>
      <w:pPr>
        <w:pStyle w:val="Heading3"/>
      </w:pPr>
      <w:r>
        <w:t xml:space="preserve">D.2 La qualità dell’evidenza e la cautela economica</w:t>
      </w:r>
    </w:p>
    <w:p>
      <w:pPr>
        <w:pStyle w:val="FirstParagraph"/>
      </w:pPr>
      <w:r>
        <w:t xml:space="preserve">La graduazione GRADE colloca l’efficacia clinica dell’integrazione psicologica nelle cure primarie su un livello da moderato a elevato per i disturbi comuni. Per gli esiti economici, in particolare per quelli di sistema, la certezza è più eterogenea. Da questa graduazione discende la cautela fondamentale che lo studio adotta come principio: nello studio fondativo i risparmi sui costi sanitari diretti non risultano statisticamente significativi, poiché l’intervallo di confidenza al 95% comprende lo zero.</w:t>
      </w:r>
      <w:r>
        <w:rPr>
          <w:rStyle w:val="FootnoteReference"/>
        </w:rPr>
        <w:footnoteReference w:id="2852"/>
      </w:r>
      <w:r>
        <w:t xml:space="preserve"> </w:t>
      </w:r>
      <w:r>
        <w:t xml:space="preserve">Ciò significa che il valore economico del modello non può essere fondato sui risparmi sanitari diretti, ma poggia in misura preponderante sui ritorni sociali. La medesima graduazione è applicata agli strumenti digitali: per la telepsicologia come modalità di erogazione di interventi di efficacia documentata l’evidenza è discreta; per le applicazioni basate sull’intelligenza artificiale l’evidenza è ancora preliminare e la qualità delle prove è bassa.</w:t>
      </w:r>
    </w:p>
    <w:bookmarkEnd w:id="2380"/>
    <w:bookmarkStart w:id="2381" w:name="d.3-i-benchmark-internazionali-8"/>
    <w:p>
      <w:pPr>
        <w:pStyle w:val="Heading3"/>
      </w:pPr>
      <w:r>
        <w:t xml:space="preserve">D.3 I benchmark internazionali</w:t>
      </w:r>
    </w:p>
    <w:p>
      <w:pPr>
        <w:pStyle w:val="FirstParagraph"/>
      </w:pPr>
      <w:r>
        <w:t xml:space="preserve">L’evidenza si concretizza in quattro programmi nazionali consolidati.</w:t>
      </w:r>
    </w:p>
    <w:tbl>
      <w:tblPr>
        <w:tblStyle w:val="Table"/>
        <w:tblW w:type="pct" w:w="493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53"/>
        <w:gridCol w:w="2688"/>
        <w:gridCol w:w="308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Risultati principali</w:t>
            </w:r>
          </w:p>
        </w:tc>
      </w:tr>
      <w:tr>
        <w:tc>
          <w:tcPr/>
          <w:p>
            <w:pPr>
              <w:pStyle w:val="Compact"/>
              <w:spacing w:after="40" w:before="40"/>
              <w:jc w:val="left"/>
            </w:pPr>
            <w:r>
              <w:rPr>
                <w:rFonts w:ascii="Cambria" w:hAnsi="Cambria" w:cs="Cambria" w:eastAsia="Cambria"/>
                <w:b/>
                <w:bCs/>
                <w:color w:val="1A1A1A"/>
                <w:sz w:val="18"/>
              </w:rPr>
              <w:t xml:space="preserve">Regno Unito (NHS Talking Therapies)</w:t>
            </w:r>
          </w:p>
        </w:tc>
        <w:tc>
          <w:tcPr/>
          <w:p>
            <w:pPr>
              <w:pStyle w:val="Compact"/>
              <w:spacing w:after="40" w:before="40"/>
              <w:jc w:val="left"/>
            </w:pPr>
            <w:r>
              <w:rPr>
                <w:rFonts w:ascii="Cambria" w:hAnsi="Cambria" w:cs="Cambria" w:eastAsia="Cambria"/>
                <w:color w:val="1A1A1A"/>
                <w:sz w:val="18"/>
              </w:rPr>
              <w:t xml:space="preserve">Servizio integrato a intensità crescente</w:t>
            </w:r>
          </w:p>
        </w:tc>
        <w:tc>
          <w:tcPr/>
          <w:p>
            <w:pPr>
              <w:pStyle w:val="Compact"/>
              <w:spacing w:after="40" w:before="40"/>
              <w:jc w:val="left"/>
            </w:pPr>
            <w:r>
              <w:rPr>
                <w:rFonts w:ascii="Cambria" w:hAnsi="Cambria" w:cs="Cambria" w:eastAsia="Cambria"/>
                <w:color w:val="1A1A1A"/>
                <w:sz w:val="18"/>
              </w:rPr>
              <w:t xml:space="preserve">Recupero ~50%; monitoraggio esiti &gt;98%; &gt;1,3 milioni/anno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Paesi Bassi (POH-GGZ)</w:t>
            </w:r>
          </w:p>
        </w:tc>
        <w:tc>
          <w:tcPr>
            <w:shd w:val="clear" w:color="auto" w:fill="F4F1EC"/>
          </w:tcPr>
          <w:p>
            <w:pPr>
              <w:pStyle w:val="Compact"/>
              <w:spacing w:after="40" w:before="40"/>
              <w:jc w:val="left"/>
            </w:pPr>
            <w:r>
              <w:rPr>
                <w:rFonts w:ascii="Cambria" w:hAnsi="Cambria" w:cs="Cambria" w:eastAsia="Cambria"/>
                <w:color w:val="1A1A1A"/>
                <w:sz w:val="18"/>
              </w:rPr>
              <w:t xml:space="preserve">Supporto psicologico nello studio del medico di base</w:t>
            </w:r>
          </w:p>
        </w:tc>
        <w:tc>
          <w:tcPr>
            <w:shd w:val="clear" w:color="auto" w:fill="F4F1EC"/>
          </w:tcPr>
          <w:p>
            <w:pPr>
              <w:pStyle w:val="Compact"/>
              <w:spacing w:after="40" w:before="40"/>
              <w:jc w:val="left"/>
            </w:pPr>
            <w:r>
              <w:rPr>
                <w:rFonts w:ascii="Cambria" w:hAnsi="Cambria" w:cs="Cambria" w:eastAsia="Cambria"/>
                <w:color w:val="1A1A1A"/>
                <w:sz w:val="18"/>
              </w:rPr>
              <w:t xml:space="preserve">Adozione da ~tre quarti dei medici; ruolo complementare</w:t>
            </w:r>
          </w:p>
        </w:tc>
      </w:tr>
      <w:tr>
        <w:tc>
          <w:tcPr/>
          <w:p>
            <w:pPr>
              <w:pStyle w:val="Compact"/>
              <w:spacing w:after="40" w:before="40"/>
              <w:jc w:val="left"/>
            </w:pPr>
            <w:r>
              <w:rPr>
                <w:rFonts w:ascii="Cambria" w:hAnsi="Cambria" w:cs="Cambria" w:eastAsia="Cambria"/>
                <w:b/>
                <w:bCs/>
                <w:color w:val="1A1A1A"/>
                <w:sz w:val="18"/>
              </w:rPr>
              <w:t xml:space="preserve">Australia (Better Access)</w:t>
            </w:r>
          </w:p>
        </w:tc>
        <w:tc>
          <w:tcPr/>
          <w:p>
            <w:pPr>
              <w:pStyle w:val="Compact"/>
              <w:spacing w:after="40" w:before="40"/>
              <w:jc w:val="left"/>
            </w:pPr>
            <w:r>
              <w:rPr>
                <w:rFonts w:ascii="Cambria" w:hAnsi="Cambria" w:cs="Cambria" w:eastAsia="Cambria"/>
                <w:color w:val="1A1A1A"/>
                <w:sz w:val="18"/>
              </w:rPr>
              <w:t xml:space="preserve">Invio esterno a professionisti</w:t>
            </w:r>
          </w:p>
        </w:tc>
        <w:tc>
          <w:tcPr/>
          <w:p>
            <w:pPr>
              <w:pStyle w:val="Compact"/>
              <w:spacing w:after="40" w:before="40"/>
              <w:jc w:val="left"/>
            </w:pPr>
            <w:r>
              <w:rPr>
                <w:rFonts w:ascii="Cambria" w:hAnsi="Cambria" w:cs="Cambria" w:eastAsia="Cambria"/>
                <w:color w:val="1A1A1A"/>
                <w:sz w:val="18"/>
              </w:rPr>
              <w:t xml:space="preserve">Popolazione in trattamento dal 35% al 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Stati Uniti (Collaborative Care)</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 con monitoraggio</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bl>
    <w:p>
      <w:pPr>
        <w:pStyle w:val="BodyText"/>
      </w:pPr>
      <w:r>
        <w:rPr>
          <w:i/>
          <w:iCs/>
        </w:rPr>
        <w:t xml:space="preserve">Tabella D.1. I benchmark internazionali dell’integrazione della salute mentale nelle cure primarie.</w:t>
      </w:r>
    </w:p>
    <w:bookmarkEnd w:id="2381"/>
    <w:bookmarkStart w:id="2383" w:name="X3fd686efc5adfd7986c1a37ab362a9ae40b0b25"/>
    <w:p>
      <w:pPr>
        <w:pStyle w:val="Heading3"/>
      </w:pPr>
      <w:r>
        <w:t xml:space="preserve">D.4 Le esperienze italiane, la trasferibilità e l’evidenza locale</w:t>
      </w:r>
    </w:p>
    <w:p>
      <w:pPr>
        <w:pStyle w:val="FirstParagraph"/>
      </w:pPr>
      <w:r>
        <w:t xml:space="preserve">Sul piano nazionale, le regioni dotate di legge organica — Campania, e progressivamente le altre regioni della serie — forniscono benchmark di crescente rilevanza. La posizione delle Marche — con una sperimentazione già avviata — consente di disporre di una base di evidenza locale parziale, che andrà consolidata con la strutturazione organica del servizio. La trasferibilità dell’evidenza internazionale al contesto marchigiano è favorita dalla natura del bisogno — disturbi comuni lievi e moderati, disagio dell’anziano — e condizionata dalla dispersione territoriale, che richiede che la telepsicologia sia incorporata come componente essenziale del modello. I risultati internazionali provengono da sistemi diversi per organizzazione e finanziamento, e la loro trasposizione richiede validazione locale.</w:t>
      </w:r>
      <w:r>
        <w:rPr>
          <w:rStyle w:val="FootnoteReference"/>
        </w:rPr>
        <w:footnoteReference w:id="2853"/>
      </w:r>
      <w:r>
        <w:t xml:space="preserve"> </w:t>
      </w:r>
      <w:r>
        <w:t xml:space="preserve">Una precisazione di metodo accompagna l’intero studio: i rapporti beneficio-costo metodologicamente fondati si collocano fra 2,3 e 3,0 a uno per i soli benefici economici e fra 3,3 e 5,7 a uno includendo i benefici di salute; lo studio adotta un rapporto beneficio-costo complessivo compreso fra 3,5 e 4,9 a uno, per credibilità verso gli organi di controllo della finanza pubblica.</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2383"/>
    <w:bookmarkEnd w:id="2384"/>
    <w:bookmarkStart w:id="2394" w:name="parte-e-valutazione-economica-3"/>
    <w:p>
      <w:pPr>
        <w:pStyle w:val="Heading2"/>
      </w:pPr>
      <w:r>
        <w:t xml:space="preserve">Parte E — Valutazione economica</w:t>
      </w:r>
    </w:p>
    <w:p>
      <w:pPr>
        <w:pStyle w:val="FirstParagraph"/>
      </w:pPr>
      <w:r>
        <w:t xml:space="preserve">Questa parte affronta il quinto dominio della valutazione, quello economico. La valutazione economica impiega congiuntamente tre strumenti complementari — l’analisi costo-utilità, l’analisi di impatto sul bilancio e l’analisi del ritorno sociale — nella doppia prospettiva del Servizio Sanitario Regionale e della società. Per le Marche le grandezze sono calibrate su una popolazione di 1.480.545 abitanti e su un fondo sanitario regionale stimato dell’ordine di 3,3–3,4 miliardi di euro l’anno, coerente con la popolazione e con la spesa pro-capite documentata.</w:t>
      </w:r>
      <w:r>
        <w:rPr>
          <w:rStyle w:val="FootnoteReference"/>
        </w:rPr>
        <w:footnoteReference w:id="2854"/>
      </w:r>
    </w:p>
    <w:bookmarkStart w:id="2386" w:name="e.1-limpianto-e-il-costo-del-servizio-2"/>
    <w:p>
      <w:pPr>
        <w:pStyle w:val="Heading3"/>
      </w:pPr>
      <w:r>
        <w:t xml:space="preserve">E.1 L’impianto e il costo del servizio</w:t>
      </w:r>
    </w:p>
    <w:p>
      <w:pPr>
        <w:pStyle w:val="FirstParagraph"/>
      </w:pPr>
      <w:r>
        <w:t xml:space="preserve">Il costo del servizio a regime, assumendo un costo medio annuo per psicologo dell’ordine di 55.000–60.000 euro comprensivo degli oneri — in linea con le stime adottate per le altre regioni della serie di dimensione comparabile — è dell’ordine di 14 milioni di euro nello scenario conservativo, 20 milioni in quello di base e 28 milioni in quello espansivo. I tre scenari rappresentano gradi crescenti di copertura verso il fabbisogno pieno.</w:t>
      </w:r>
    </w:p>
    <w:tbl>
      <w:tblPr>
        <w:tblStyle w:val="Table"/>
        <w:tblW w:type="pct" w:w="48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54"/>
        <w:gridCol w:w="1851"/>
        <w:gridCol w:w="1851"/>
        <w:gridCol w:w="20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w:t>
            </w:r>
          </w:p>
        </w:tc>
        <w:tc>
          <w:tcPr>
            <w:shd w:val="clear" w:color="auto" w:fill="16264B"/>
          </w:tcPr>
          <w:p>
            <w:pPr>
              <w:pStyle w:val="Compact"/>
              <w:spacing w:after="40" w:before="40"/>
              <w:jc w:val="left"/>
            </w:pPr>
            <w:r>
              <w:rPr>
                <w:rFonts w:ascii="Cambria" w:hAnsi="Cambria" w:cs="Cambria" w:eastAsia="Cambria"/>
                <w:b/>
                <w:bCs/>
                <w:color w:val="FFFFFF"/>
                <w:sz w:val="18"/>
              </w:rPr>
              <w:t xml:space="preserve">Quota del FSR</w:t>
            </w:r>
          </w:p>
        </w:tc>
      </w:tr>
      <w:tr>
        <w:tc>
          <w:tcPr/>
          <w:p>
            <w:pPr>
              <w:pStyle w:val="Compact"/>
              <w:spacing w:after="40" w:before="40"/>
              <w:jc w:val="left"/>
            </w:pPr>
            <w:r>
              <w:rPr>
                <w:rFonts w:ascii="Cambria" w:hAnsi="Cambria" w:cs="Cambria" w:eastAsia="Cambria"/>
                <w:b/>
                <w:bCs/>
                <w:color w:val="1A1A1A"/>
                <w:sz w:val="18"/>
              </w:rPr>
              <w:t xml:space="preserve">Conservativo</w:t>
            </w:r>
          </w:p>
        </w:tc>
        <w:tc>
          <w:tcPr/>
          <w:p>
            <w:pPr>
              <w:pStyle w:val="Compact"/>
              <w:spacing w:after="40" w:before="40"/>
              <w:jc w:val="left"/>
            </w:pPr>
            <w:r>
              <w:rPr>
                <w:rFonts w:ascii="Cambria" w:hAnsi="Cambria" w:cs="Cambria" w:eastAsia="Cambria"/>
                <w:color w:val="1A1A1A"/>
                <w:sz w:val="18"/>
              </w:rPr>
              <w:t xml:space="preserve">~ 250</w:t>
            </w:r>
          </w:p>
        </w:tc>
        <w:tc>
          <w:tcPr/>
          <w:p>
            <w:pPr>
              <w:pStyle w:val="Compact"/>
              <w:spacing w:after="40" w:before="40"/>
              <w:jc w:val="left"/>
            </w:pPr>
            <w:r>
              <w:rPr>
                <w:rFonts w:ascii="Cambria" w:hAnsi="Cambria" w:cs="Cambria" w:eastAsia="Cambria"/>
                <w:color w:val="1A1A1A"/>
                <w:sz w:val="18"/>
              </w:rPr>
              <w:t xml:space="preserve">~ 14 milioni</w:t>
            </w:r>
          </w:p>
        </w:tc>
        <w:tc>
          <w:tcPr/>
          <w:p>
            <w:pPr>
              <w:pStyle w:val="Compact"/>
              <w:spacing w:after="40" w:before="40"/>
              <w:jc w:val="left"/>
            </w:pPr>
            <w:r>
              <w:rPr>
                <w:rFonts w:ascii="Cambria" w:hAnsi="Cambria" w:cs="Cambria" w:eastAsia="Cambria"/>
                <w:color w:val="1A1A1A"/>
                <w:sz w:val="18"/>
              </w:rPr>
              <w:t xml:space="preserve">~ 0,4%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Base</w:t>
            </w:r>
          </w:p>
        </w:tc>
        <w:tc>
          <w:tcPr>
            <w:shd w:val="clear" w:color="auto" w:fill="F4F1EC"/>
          </w:tcPr>
          <w:p>
            <w:pPr>
              <w:pStyle w:val="Compact"/>
              <w:spacing w:after="40" w:before="40"/>
              <w:jc w:val="left"/>
            </w:pPr>
            <w:r>
              <w:rPr>
                <w:rFonts w:ascii="Cambria" w:hAnsi="Cambria" w:cs="Cambria" w:eastAsia="Cambria"/>
                <w:color w:val="1A1A1A"/>
                <w:sz w:val="18"/>
              </w:rPr>
              <w:t xml:space="preserve">~ 340</w:t>
            </w:r>
          </w:p>
        </w:tc>
        <w:tc>
          <w:tcPr>
            <w:shd w:val="clear" w:color="auto" w:fill="F4F1EC"/>
          </w:tcPr>
          <w:p>
            <w:pPr>
              <w:pStyle w:val="Compact"/>
              <w:spacing w:after="40" w:before="40"/>
              <w:jc w:val="left"/>
            </w:pPr>
            <w:r>
              <w:rPr>
                <w:rFonts w:ascii="Cambria" w:hAnsi="Cambria" w:cs="Cambria" w:eastAsia="Cambria"/>
                <w:color w:val="1A1A1A"/>
                <w:sz w:val="18"/>
              </w:rPr>
              <w:t xml:space="preserve">~ 20 milioni</w:t>
            </w:r>
          </w:p>
        </w:tc>
        <w:tc>
          <w:tcPr>
            <w:shd w:val="clear" w:color="auto" w:fill="F4F1EC"/>
          </w:tcPr>
          <w:p>
            <w:pPr>
              <w:pStyle w:val="Compact"/>
              <w:spacing w:after="40" w:before="40"/>
              <w:jc w:val="left"/>
            </w:pPr>
            <w:r>
              <w:rPr>
                <w:rFonts w:ascii="Cambria" w:hAnsi="Cambria" w:cs="Cambria" w:eastAsia="Cambria"/>
                <w:color w:val="1A1A1A"/>
                <w:sz w:val="18"/>
              </w:rPr>
              <w:t xml:space="preserve">~ 0,6%</w:t>
            </w:r>
          </w:p>
        </w:tc>
      </w:tr>
      <w:tr>
        <w:tc>
          <w:tcPr/>
          <w:p>
            <w:pPr>
              <w:pStyle w:val="Compact"/>
              <w:spacing w:after="40" w:before="40"/>
              <w:jc w:val="left"/>
            </w:pPr>
            <w:r>
              <w:rPr>
                <w:rFonts w:ascii="Cambria" w:hAnsi="Cambria" w:cs="Cambria" w:eastAsia="Cambria"/>
                <w:b/>
                <w:bCs/>
                <w:color w:val="1A1A1A"/>
                <w:sz w:val="18"/>
              </w:rPr>
              <w:t xml:space="preserve">Espansivo</w:t>
            </w:r>
          </w:p>
        </w:tc>
        <w:tc>
          <w:tcPr/>
          <w:p>
            <w:pPr>
              <w:pStyle w:val="Compact"/>
              <w:spacing w:after="40" w:before="40"/>
              <w:jc w:val="left"/>
            </w:pPr>
            <w:r>
              <w:rPr>
                <w:rFonts w:ascii="Cambria" w:hAnsi="Cambria" w:cs="Cambria" w:eastAsia="Cambria"/>
                <w:color w:val="1A1A1A"/>
                <w:sz w:val="18"/>
              </w:rPr>
              <w:t xml:space="preserve">~ 370</w:t>
            </w:r>
          </w:p>
        </w:tc>
        <w:tc>
          <w:tcPr/>
          <w:p>
            <w:pPr>
              <w:pStyle w:val="Compact"/>
              <w:spacing w:after="40" w:before="40"/>
              <w:jc w:val="left"/>
            </w:pPr>
            <w:r>
              <w:rPr>
                <w:rFonts w:ascii="Cambria" w:hAnsi="Cambria" w:cs="Cambria" w:eastAsia="Cambria"/>
                <w:color w:val="1A1A1A"/>
                <w:sz w:val="18"/>
              </w:rPr>
              <w:t xml:space="preserve">~ 28 milioni</w:t>
            </w:r>
          </w:p>
        </w:tc>
        <w:tc>
          <w:tcPr/>
          <w:p>
            <w:pPr>
              <w:pStyle w:val="Compact"/>
              <w:spacing w:after="40" w:before="40"/>
              <w:jc w:val="left"/>
            </w:pPr>
            <w:r>
              <w:rPr>
                <w:rFonts w:ascii="Cambria" w:hAnsi="Cambria" w:cs="Cambria" w:eastAsia="Cambria"/>
                <w:color w:val="1A1A1A"/>
                <w:sz w:val="18"/>
              </w:rPr>
              <w:t xml:space="preserve">~ 0,8%</w:t>
            </w:r>
          </w:p>
        </w:tc>
      </w:tr>
    </w:tbl>
    <w:p>
      <w:pPr>
        <w:pStyle w:val="BodyText"/>
      </w:pPr>
      <w:r>
        <w:rPr>
          <w:i/>
          <w:iCs/>
        </w:rPr>
        <w:t xml:space="preserve">Tabella E.1. Il costo del servizio a regime nei tre scenari di copertura.</w:t>
      </w:r>
    </w:p>
    <w:p>
      <w:pPr>
        <w:pStyle w:val="BodyText"/>
      </w:pPr>
      <w:r>
        <w:t xml:space="preserve">Il costo del servizio, anche nello scenario espansivo, rappresenta una frazione modesta del fondo sanitario regionale — dello 0,8% — e si colloca ampiamente al di sotto della soglia di rilevanza per la sostenibilità del bilancio. Va dichiarata la lacuna: le grandezze economiche sono in parte ricostruite a partire dai conti nazionali scalati per la quota di popolazione marchigiana (~2,5%), e non estratte dai conti certificati delle cinque AST; la strutturazione organica del servizio è l’occasione per colmare questa lacuna, attraverso un sistema informativo uniforme.</w:t>
      </w:r>
    </w:p>
    <w:bookmarkEnd w:id="2386"/>
    <w:bookmarkStart w:id="2387" w:name="Xfe7bb43eee506c8d13a69491138518e63914b7d"/>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per manifestazioni del disagio psichico. Il secondo è la riduzione della spesa farmaceutica, in particolare per gli psicofarmaci prescritti come risposta di prima linea in assenza di alternative. Il terzo, il più consistente, è la riduzione di ricoveri evitabili e di specialistica impropria. Il quarto è il recupero della mobilità sanitaria passiva: nelle Marche il saldo di mobilità è tendenzialmente passivo per alcune specialità, e una quota di questa mobilità può riflettere, a monte, un disagio psichico non intercettato che genera consumi impropri fuori regione.</w:t>
      </w:r>
    </w:p>
    <w:tbl>
      <w:tblPr>
        <w:tblStyle w:val="Table"/>
        <w:tblW w:type="pct" w:w="490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888"/>
        <w:gridCol w:w="1296"/>
        <w:gridCol w:w="1296"/>
        <w:gridCol w:w="129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Accessi impropri al pronto soccorso</w:t>
            </w:r>
          </w:p>
        </w:tc>
        <w:tc>
          <w:tcPr/>
          <w:p>
            <w:pPr>
              <w:pStyle w:val="Compact"/>
              <w:spacing w:after="40" w:before="40"/>
              <w:jc w:val="left"/>
            </w:pPr>
            <w:r>
              <w:rPr>
                <w:rFonts w:ascii="Cambria" w:hAnsi="Cambria" w:cs="Cambria" w:eastAsia="Cambria"/>
                <w:color w:val="1A1A1A"/>
                <w:sz w:val="18"/>
              </w:rPr>
              <w:t xml:space="preserve">~ 2</w:t>
            </w:r>
          </w:p>
        </w:tc>
        <w:tc>
          <w:tcPr/>
          <w:p>
            <w:pPr>
              <w:pStyle w:val="Compact"/>
              <w:spacing w:after="40" w:before="40"/>
              <w:jc w:val="left"/>
            </w:pPr>
            <w:r>
              <w:rPr>
                <w:rFonts w:ascii="Cambria" w:hAnsi="Cambria" w:cs="Cambria" w:eastAsia="Cambria"/>
                <w:color w:val="1A1A1A"/>
                <w:sz w:val="18"/>
              </w:rPr>
              <w:t xml:space="preserve">~ 3</w:t>
            </w:r>
          </w:p>
        </w:tc>
        <w:tc>
          <w:tcPr/>
          <w:p>
            <w:pPr>
              <w:pStyle w:val="Compact"/>
              <w:spacing w:after="40" w:before="40"/>
              <w:jc w:val="left"/>
            </w:pPr>
            <w:r>
              <w:rPr>
                <w:rFonts w:ascii="Cambria" w:hAnsi="Cambria" w:cs="Cambria" w:eastAsia="Cambria"/>
                <w:color w:val="1A1A1A"/>
                <w:sz w:val="18"/>
              </w:rPr>
              <w:t xml:space="preserve">~ 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Spesa farmaceutica inappropriata</w:t>
            </w:r>
          </w:p>
        </w:tc>
        <w:tc>
          <w:tcPr>
            <w:shd w:val="clear" w:color="auto" w:fill="F4F1EC"/>
          </w:tcPr>
          <w:p>
            <w:pPr>
              <w:pStyle w:val="Compact"/>
              <w:spacing w:after="40" w:before="40"/>
              <w:jc w:val="left"/>
            </w:pPr>
            <w:r>
              <w:rPr>
                <w:rFonts w:ascii="Cambria" w:hAnsi="Cambria" w:cs="Cambria" w:eastAsia="Cambria"/>
                <w:color w:val="1A1A1A"/>
                <w:sz w:val="18"/>
              </w:rPr>
              <w:t xml:space="preserve">~ 2</w:t>
            </w:r>
          </w:p>
        </w:tc>
        <w:tc>
          <w:tcPr>
            <w:shd w:val="clear" w:color="auto" w:fill="F4F1EC"/>
          </w:tcPr>
          <w:p>
            <w:pPr>
              <w:pStyle w:val="Compact"/>
              <w:spacing w:after="40" w:before="40"/>
              <w:jc w:val="left"/>
            </w:pPr>
            <w:r>
              <w:rPr>
                <w:rFonts w:ascii="Cambria" w:hAnsi="Cambria" w:cs="Cambria" w:eastAsia="Cambria"/>
                <w:color w:val="1A1A1A"/>
                <w:sz w:val="18"/>
              </w:rPr>
              <w:t xml:space="preserve">~ 3</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r>
      <w:tr>
        <w:tc>
          <w:tcPr/>
          <w:p>
            <w:pPr>
              <w:pStyle w:val="Compact"/>
              <w:spacing w:after="40" w:before="40"/>
              <w:jc w:val="left"/>
            </w:pPr>
            <w:r>
              <w:rPr>
                <w:rFonts w:ascii="Cambria" w:hAnsi="Cambria" w:cs="Cambria" w:eastAsia="Cambria"/>
                <w:b/>
                <w:bCs/>
                <w:color w:val="1A1A1A"/>
                <w:sz w:val="18"/>
              </w:rPr>
              <w:t xml:space="preserve">Ricoveri evitabili e specialistica</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6</w:t>
            </w:r>
          </w:p>
        </w:tc>
        <w:tc>
          <w:tcPr/>
          <w:p>
            <w:pPr>
              <w:pStyle w:val="Compact"/>
              <w:spacing w:after="40" w:before="40"/>
              <w:jc w:val="left"/>
            </w:pPr>
            <w:r>
              <w:rPr>
                <w:rFonts w:ascii="Cambria" w:hAnsi="Cambria" w:cs="Cambria" w:eastAsia="Cambria"/>
                <w:color w:val="1A1A1A"/>
                <w:sz w:val="18"/>
              </w:rPr>
              <w:t xml:space="preserve">~ 10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Recupero della mobilità (frazione)</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c>
          <w:tcPr>
            <w:shd w:val="clear" w:color="auto" w:fill="F4F1EC"/>
          </w:tcPr>
          <w:p>
            <w:pPr>
              <w:pStyle w:val="Compact"/>
              <w:spacing w:after="40" w:before="40"/>
              <w:jc w:val="left"/>
            </w:pPr>
            <w:r>
              <w:rPr>
                <w:rFonts w:ascii="Cambria" w:hAnsi="Cambria" w:cs="Cambria" w:eastAsia="Cambria"/>
                <w:color w:val="1A1A1A"/>
                <w:sz w:val="18"/>
              </w:rPr>
              <w:t xml:space="preserve">~ 2</w:t>
            </w:r>
          </w:p>
        </w:tc>
        <w:tc>
          <w:tcPr>
            <w:shd w:val="clear" w:color="auto" w:fill="F4F1EC"/>
          </w:tcPr>
          <w:p>
            <w:pPr>
              <w:pStyle w:val="Compact"/>
              <w:spacing w:after="40" w:before="40"/>
              <w:jc w:val="left"/>
            </w:pPr>
            <w:r>
              <w:rPr>
                <w:rFonts w:ascii="Cambria" w:hAnsi="Cambria" w:cs="Cambria" w:eastAsia="Cambria"/>
                <w:color w:val="1A1A1A"/>
                <w:sz w:val="18"/>
              </w:rPr>
              <w:t xml:space="preserve">~ 3</w:t>
            </w:r>
          </w:p>
        </w:tc>
      </w:tr>
      <w:tr>
        <w:tc>
          <w:tcPr/>
          <w:p>
            <w:pPr>
              <w:pStyle w:val="Compact"/>
              <w:spacing w:after="40" w:before="40"/>
              <w:jc w:val="left"/>
            </w:pPr>
            <w:r>
              <w:rPr>
                <w:rFonts w:ascii="Cambria" w:hAnsi="Cambria" w:cs="Cambria" w:eastAsia="Cambria"/>
                <w:b/>
                <w:bCs/>
                <w:color w:val="1A1A1A"/>
                <w:sz w:val="18"/>
              </w:rPr>
              <w:t xml:space="preserve">Totale risparmi diretti</w:t>
            </w:r>
          </w:p>
        </w:tc>
        <w:tc>
          <w:tcPr/>
          <w:p>
            <w:pPr>
              <w:pStyle w:val="Compact"/>
              <w:spacing w:after="40" w:before="40"/>
              <w:jc w:val="left"/>
            </w:pPr>
            <w:r>
              <w:rPr>
                <w:rFonts w:ascii="Cambria" w:hAnsi="Cambria" w:cs="Cambria" w:eastAsia="Cambria"/>
                <w:color w:val="1A1A1A"/>
                <w:sz w:val="18"/>
              </w:rPr>
              <w:t xml:space="preserve">~ 9</w:t>
            </w:r>
          </w:p>
        </w:tc>
        <w:tc>
          <w:tcPr/>
          <w:p>
            <w:pPr>
              <w:pStyle w:val="Compact"/>
              <w:spacing w:after="40" w:before="40"/>
              <w:jc w:val="left"/>
            </w:pPr>
            <w:r>
              <w:rPr>
                <w:rFonts w:ascii="Cambria" w:hAnsi="Cambria" w:cs="Cambria" w:eastAsia="Cambria"/>
                <w:color w:val="1A1A1A"/>
                <w:sz w:val="18"/>
              </w:rPr>
              <w:t xml:space="preserve">~ 14</w:t>
            </w:r>
          </w:p>
        </w:tc>
        <w:tc>
          <w:tcPr/>
          <w:p>
            <w:pPr>
              <w:pStyle w:val="Compact"/>
              <w:spacing w:after="40" w:before="40"/>
              <w:jc w:val="left"/>
            </w:pPr>
            <w:r>
              <w:rPr>
                <w:rFonts w:ascii="Cambria" w:hAnsi="Cambria" w:cs="Cambria" w:eastAsia="Cambria"/>
                <w:color w:val="1A1A1A"/>
                <w:sz w:val="18"/>
              </w:rPr>
              <w:t xml:space="preserve">~ 21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14</w:t>
            </w:r>
          </w:p>
        </w:tc>
        <w:tc>
          <w:tcPr>
            <w:shd w:val="clear" w:color="auto" w:fill="F4F1EC"/>
          </w:tcPr>
          <w:p>
            <w:pPr>
              <w:pStyle w:val="Compact"/>
              <w:spacing w:after="40" w:before="40"/>
              <w:jc w:val="left"/>
            </w:pPr>
            <w:r>
              <w:rPr>
                <w:rFonts w:ascii="Cambria" w:hAnsi="Cambria" w:cs="Cambria" w:eastAsia="Cambria"/>
                <w:color w:val="1A1A1A"/>
                <w:sz w:val="18"/>
              </w:rPr>
              <w:t xml:space="preserve">~ 20</w:t>
            </w:r>
          </w:p>
        </w:tc>
        <w:tc>
          <w:tcPr>
            <w:shd w:val="clear" w:color="auto" w:fill="F4F1EC"/>
          </w:tcPr>
          <w:p>
            <w:pPr>
              <w:pStyle w:val="Compact"/>
              <w:spacing w:after="40" w:before="40"/>
              <w:jc w:val="left"/>
            </w:pPr>
            <w:r>
              <w:rPr>
                <w:rFonts w:ascii="Cambria" w:hAnsi="Cambria" w:cs="Cambria" w:eastAsia="Cambria"/>
                <w:color w:val="1A1A1A"/>
                <w:sz w:val="18"/>
              </w:rPr>
              <w:t xml:space="preserve">~ 28</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−5</w:t>
            </w:r>
          </w:p>
        </w:tc>
        <w:tc>
          <w:tcPr/>
          <w:p>
            <w:pPr>
              <w:pStyle w:val="Compact"/>
              <w:spacing w:after="40" w:before="40"/>
              <w:jc w:val="left"/>
            </w:pPr>
            <w:r>
              <w:rPr>
                <w:rFonts w:ascii="Cambria" w:hAnsi="Cambria" w:cs="Cambria" w:eastAsia="Cambria"/>
                <w:color w:val="1A1A1A"/>
                <w:sz w:val="18"/>
              </w:rPr>
              <w:t xml:space="preserve">~ −6</w:t>
            </w:r>
          </w:p>
        </w:tc>
        <w:tc>
          <w:tcPr/>
          <w:p>
            <w:pPr>
              <w:pStyle w:val="Compact"/>
              <w:spacing w:after="40" w:before="40"/>
              <w:jc w:val="left"/>
            </w:pPr>
            <w:r>
              <w:rPr>
                <w:rFonts w:ascii="Cambria" w:hAnsi="Cambria" w:cs="Cambria" w:eastAsia="Cambria"/>
                <w:color w:val="1A1A1A"/>
                <w:sz w:val="18"/>
              </w:rPr>
              <w:t xml:space="preserve">~ −7</w:t>
            </w:r>
          </w:p>
        </w:tc>
      </w:tr>
    </w:tbl>
    <w:p>
      <w:pPr>
        <w:pStyle w:val="BodyText"/>
      </w:pPr>
      <w:r>
        <w:rPr>
          <w:i/>
          <w:iCs/>
        </w:rPr>
        <w:t xml:space="preserve">Tabella E.2. I risparmi diretti per il bilancio sanitario regionale e il saldo diretto.</w:t>
      </w:r>
    </w:p>
    <w:p>
      <w:pPr>
        <w:pStyle w:val="BodyText"/>
      </w:pPr>
      <w:r>
        <w:t xml:space="preserve">Il saldo diretto è negativo, dell’ordine di 5–7 milioni di euro l’anno a seconda dello scenario, ma modesto: rappresenta fra lo 0,15% e lo 0,21% del fondo sanitario regionale, una cifra che il bilancio assorbe senza difficoltà e che è ampiamente inferiore al margine di incertezza delle stime. Va ribadita la cautela tratta dallo studio IMPACT: i risparmi diretti non sono statisticamente certi e lo studio non li presenta come grandezze sicure, ma come stime prudenziali entro bande di incertezza.</w:t>
      </w:r>
    </w:p>
    <w:bookmarkEnd w:id="2387"/>
    <w:bookmarkStart w:id="2388" w:name="e.3-le-ricadute-economico-sociali-2"/>
    <w:p>
      <w:pPr>
        <w:pStyle w:val="Heading3"/>
      </w:pPr>
      <w:r>
        <w:t xml:space="preserve">E.3 Le ricadute economico-sociali</w:t>
      </w:r>
    </w:p>
    <w:p>
      <w:pPr>
        <w:pStyle w:val="FirstParagraph"/>
      </w:pPr>
      <w:r>
        <w:t xml:space="preserve">Le ricadute economico-sociali per la collettività comprendono la produttività recuperata grazie alla riduzione dell’assenteismo e dell’inattività connessi al disagio psichico, il valore del benessere guadagnato, la minore disabilità e il minor carico assistenziale sulle famiglie. Nelle Marche, il peso dell’invecchiamento attribuisce un valore particolare alle ricadute sulla riduzione della disabilità e dell’istituzionalizzazione degli anziani. La quantificazione delle ricadute è condotta secondo i criteri prudenziali dello studio, ed è stimata nell’ordine di 40, 70 e 110 milioni di euro l’anno nei tre scenari.</w:t>
      </w:r>
    </w:p>
    <w:tbl>
      <w:tblPr>
        <w:tblStyle w:val="Table"/>
        <w:tblW w:type="pct" w:w="490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851"/>
        <w:gridCol w:w="1307"/>
        <w:gridCol w:w="1307"/>
        <w:gridCol w:w="130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Risparmi diretti per il bilancio</w:t>
            </w:r>
          </w:p>
        </w:tc>
        <w:tc>
          <w:tcPr/>
          <w:p>
            <w:pPr>
              <w:pStyle w:val="Compact"/>
              <w:spacing w:after="40" w:before="40"/>
              <w:jc w:val="left"/>
            </w:pPr>
            <w:r>
              <w:rPr>
                <w:rFonts w:ascii="Cambria" w:hAnsi="Cambria" w:cs="Cambria" w:eastAsia="Cambria"/>
                <w:color w:val="1A1A1A"/>
                <w:sz w:val="18"/>
              </w:rPr>
              <w:t xml:space="preserve">~9</w:t>
            </w:r>
          </w:p>
        </w:tc>
        <w:tc>
          <w:tcPr/>
          <w:p>
            <w:pPr>
              <w:pStyle w:val="Compact"/>
              <w:spacing w:after="40" w:before="40"/>
              <w:jc w:val="left"/>
            </w:pPr>
            <w:r>
              <w:rPr>
                <w:rFonts w:ascii="Cambria" w:hAnsi="Cambria" w:cs="Cambria" w:eastAsia="Cambria"/>
                <w:color w:val="1A1A1A"/>
                <w:sz w:val="18"/>
              </w:rPr>
              <w:t xml:space="preserve">~14</w:t>
            </w:r>
          </w:p>
        </w:tc>
        <w:tc>
          <w:tcPr/>
          <w:p>
            <w:pPr>
              <w:pStyle w:val="Compact"/>
              <w:spacing w:after="40" w:before="40"/>
              <w:jc w:val="left"/>
            </w:pPr>
            <w:r>
              <w:rPr>
                <w:rFonts w:ascii="Cambria" w:hAnsi="Cambria" w:cs="Cambria" w:eastAsia="Cambria"/>
                <w:color w:val="1A1A1A"/>
                <w:sz w:val="18"/>
              </w:rPr>
              <w:t xml:space="preserve">~21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 per la collettività</w:t>
            </w:r>
          </w:p>
        </w:tc>
        <w:tc>
          <w:tcPr>
            <w:shd w:val="clear" w:color="auto" w:fill="F4F1EC"/>
          </w:tcPr>
          <w:p>
            <w:pPr>
              <w:pStyle w:val="Compact"/>
              <w:spacing w:after="40" w:before="40"/>
              <w:jc w:val="left"/>
            </w:pPr>
            <w:r>
              <w:rPr>
                <w:rFonts w:ascii="Cambria" w:hAnsi="Cambria" w:cs="Cambria" w:eastAsia="Cambria"/>
                <w:color w:val="1A1A1A"/>
                <w:sz w:val="18"/>
              </w:rPr>
              <w:t xml:space="preserve">~40</w:t>
            </w:r>
          </w:p>
        </w:tc>
        <w:tc>
          <w:tcPr>
            <w:shd w:val="clear" w:color="auto" w:fill="F4F1EC"/>
          </w:tcPr>
          <w:p>
            <w:pPr>
              <w:pStyle w:val="Compact"/>
              <w:spacing w:after="40" w:before="40"/>
              <w:jc w:val="left"/>
            </w:pPr>
            <w:r>
              <w:rPr>
                <w:rFonts w:ascii="Cambria" w:hAnsi="Cambria" w:cs="Cambria" w:eastAsia="Cambria"/>
                <w:color w:val="1A1A1A"/>
                <w:sz w:val="18"/>
              </w:rPr>
              <w:t xml:space="preserve">~70</w:t>
            </w:r>
          </w:p>
        </w:tc>
        <w:tc>
          <w:tcPr>
            <w:shd w:val="clear" w:color="auto" w:fill="F4F1EC"/>
          </w:tcPr>
          <w:p>
            <w:pPr>
              <w:pStyle w:val="Compact"/>
              <w:spacing w:after="40" w:before="40"/>
              <w:jc w:val="left"/>
            </w:pPr>
            <w:r>
              <w:rPr>
                <w:rFonts w:ascii="Cambria" w:hAnsi="Cambria" w:cs="Cambria" w:eastAsia="Cambria"/>
                <w:color w:val="1A1A1A"/>
                <w:sz w:val="18"/>
              </w:rPr>
              <w:t xml:space="preserve">~110</w:t>
            </w:r>
          </w:p>
        </w:tc>
      </w:tr>
      <w:tr>
        <w:tc>
          <w:tcPr/>
          <w:p>
            <w:pPr>
              <w:pStyle w:val="Compact"/>
              <w:spacing w:after="40" w:before="40"/>
              <w:jc w:val="left"/>
            </w:pPr>
            <w:r>
              <w:rPr>
                <w:rFonts w:ascii="Cambria" w:hAnsi="Cambria" w:cs="Cambria" w:eastAsia="Cambria"/>
                <w:b/>
                <w:bCs/>
                <w:color w:val="1A1A1A"/>
                <w:sz w:val="18"/>
              </w:rPr>
              <w:t xml:space="preserve">Ritorno complessivo (diretto + sociale)</w:t>
            </w:r>
          </w:p>
        </w:tc>
        <w:tc>
          <w:tcPr/>
          <w:p>
            <w:pPr>
              <w:pStyle w:val="Compact"/>
              <w:spacing w:after="40" w:before="40"/>
              <w:jc w:val="left"/>
            </w:pPr>
            <w:r>
              <w:rPr>
                <w:rFonts w:ascii="Cambria" w:hAnsi="Cambria" w:cs="Cambria" w:eastAsia="Cambria"/>
                <w:color w:val="1A1A1A"/>
                <w:sz w:val="18"/>
              </w:rPr>
              <w:t xml:space="preserve">~49</w:t>
            </w:r>
          </w:p>
        </w:tc>
        <w:tc>
          <w:tcPr/>
          <w:p>
            <w:pPr>
              <w:pStyle w:val="Compact"/>
              <w:spacing w:after="40" w:before="40"/>
              <w:jc w:val="left"/>
            </w:pPr>
            <w:r>
              <w:rPr>
                <w:rFonts w:ascii="Cambria" w:hAnsi="Cambria" w:cs="Cambria" w:eastAsia="Cambria"/>
                <w:color w:val="1A1A1A"/>
                <w:sz w:val="18"/>
              </w:rPr>
              <w:t xml:space="preserve">~84</w:t>
            </w:r>
          </w:p>
        </w:tc>
        <w:tc>
          <w:tcPr/>
          <w:p>
            <w:pPr>
              <w:pStyle w:val="Compact"/>
              <w:spacing w:after="40" w:before="40"/>
              <w:jc w:val="left"/>
            </w:pPr>
            <w:r>
              <w:rPr>
                <w:rFonts w:ascii="Cambria" w:hAnsi="Cambria" w:cs="Cambria" w:eastAsia="Cambria"/>
                <w:color w:val="1A1A1A"/>
                <w:sz w:val="18"/>
              </w:rPr>
              <w:t xml:space="preserve">~131</w:t>
            </w:r>
          </w:p>
        </w:tc>
      </w:tr>
    </w:tbl>
    <w:p>
      <w:pPr>
        <w:pStyle w:val="BodyText"/>
      </w:pPr>
      <w:r>
        <w:rPr>
          <w:i/>
          <w:iCs/>
        </w:rPr>
        <w:t xml:space="preserve">Tabella E.3. Risparmi diretti e ricadute sociali per scenario. Le due grandezze sono di natura diversa e sono presentate distintamente.</w:t>
      </w:r>
    </w:p>
    <w:bookmarkEnd w:id="2388"/>
    <w:bookmarkStart w:id="2389" w:name="X52a1c26a5d2b7826ea1cd22bfc40d170146bcf5"/>
    <w:p>
      <w:pPr>
        <w:pStyle w:val="Heading3"/>
      </w:pPr>
      <w:r>
        <w:t xml:space="preserve">E.4 Il quadro consolidato: caso finanziario e caso economico</w:t>
      </w:r>
    </w:p>
    <w:p>
      <w:pPr>
        <w:pStyle w:val="FirstParagraph"/>
      </w:pPr>
      <w:r>
        <w:t xml:space="preserve">La composizione delle grandezze impone di tenere ferma la distinzione fondamentale che governa l’intera lettura del caso marchigiano. Il caso puramente finanziario per il bilancio sanitario è di disavanzo diretto contenuto — dell’ordine di 5–7 milioni di euro l’anno — agevolmente sostenibile nella scala di un fondo sanitario di 3,3–3,4 miliardi.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Voce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14</w:t>
            </w:r>
          </w:p>
        </w:tc>
        <w:tc>
          <w:tcPr/>
          <w:p>
            <w:pPr>
              <w:pStyle w:val="Compact"/>
              <w:spacing w:after="40" w:before="40"/>
              <w:jc w:val="left"/>
            </w:pPr>
            <w:r>
              <w:rPr>
                <w:rFonts w:ascii="Cambria" w:hAnsi="Cambria" w:cs="Cambria" w:eastAsia="Cambria"/>
                <w:color w:val="1A1A1A"/>
                <w:sz w:val="18"/>
              </w:rPr>
              <w:t xml:space="preserve">~ 20</w:t>
            </w:r>
          </w:p>
        </w:tc>
        <w:tc>
          <w:tcPr/>
          <w:p>
            <w:pPr>
              <w:pStyle w:val="Compact"/>
              <w:spacing w:after="40" w:before="40"/>
              <w:jc w:val="left"/>
            </w:pPr>
            <w:r>
              <w:rPr>
                <w:rFonts w:ascii="Cambria" w:hAnsi="Cambria" w:cs="Cambria" w:eastAsia="Cambria"/>
                <w:color w:val="1A1A1A"/>
                <w:sz w:val="18"/>
              </w:rPr>
              <w:t xml:space="preserve">~ 28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9</w:t>
            </w:r>
          </w:p>
        </w:tc>
        <w:tc>
          <w:tcPr>
            <w:shd w:val="clear" w:color="auto" w:fill="F4F1EC"/>
          </w:tcPr>
          <w:p>
            <w:pPr>
              <w:pStyle w:val="Compact"/>
              <w:spacing w:after="40" w:before="40"/>
              <w:jc w:val="left"/>
            </w:pPr>
            <w:r>
              <w:rPr>
                <w:rFonts w:ascii="Cambria" w:hAnsi="Cambria" w:cs="Cambria" w:eastAsia="Cambria"/>
                <w:color w:val="1A1A1A"/>
                <w:sz w:val="18"/>
              </w:rPr>
              <w:t xml:space="preserve">~ 14</w:t>
            </w:r>
          </w:p>
        </w:tc>
        <w:tc>
          <w:tcPr>
            <w:shd w:val="clear" w:color="auto" w:fill="F4F1EC"/>
          </w:tcPr>
          <w:p>
            <w:pPr>
              <w:pStyle w:val="Compact"/>
              <w:spacing w:after="40" w:before="40"/>
              <w:jc w:val="left"/>
            </w:pPr>
            <w:r>
              <w:rPr>
                <w:rFonts w:ascii="Cambria" w:hAnsi="Cambria" w:cs="Cambria" w:eastAsia="Cambria"/>
                <w:color w:val="1A1A1A"/>
                <w:sz w:val="18"/>
              </w:rPr>
              <w:t xml:space="preserve">~ 21</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−5</w:t>
            </w:r>
          </w:p>
        </w:tc>
        <w:tc>
          <w:tcPr/>
          <w:p>
            <w:pPr>
              <w:pStyle w:val="Compact"/>
              <w:spacing w:after="40" w:before="40"/>
              <w:jc w:val="left"/>
            </w:pPr>
            <w:r>
              <w:rPr>
                <w:rFonts w:ascii="Cambria" w:hAnsi="Cambria" w:cs="Cambria" w:eastAsia="Cambria"/>
                <w:color w:val="1A1A1A"/>
                <w:sz w:val="18"/>
              </w:rPr>
              <w:t xml:space="preserve">~ −6</w:t>
            </w:r>
          </w:p>
        </w:tc>
        <w:tc>
          <w:tcPr/>
          <w:p>
            <w:pPr>
              <w:pStyle w:val="Compact"/>
              <w:spacing w:after="40" w:before="40"/>
              <w:jc w:val="left"/>
            </w:pPr>
            <w:r>
              <w:rPr>
                <w:rFonts w:ascii="Cambria" w:hAnsi="Cambria" w:cs="Cambria" w:eastAsia="Cambria"/>
                <w:color w:val="1A1A1A"/>
                <w:sz w:val="18"/>
              </w:rPr>
              <w:t xml:space="preserve">~ −7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40</w:t>
            </w:r>
          </w:p>
        </w:tc>
        <w:tc>
          <w:tcPr>
            <w:shd w:val="clear" w:color="auto" w:fill="F4F1EC"/>
          </w:tcPr>
          <w:p>
            <w:pPr>
              <w:pStyle w:val="Compact"/>
              <w:spacing w:after="40" w:before="40"/>
              <w:jc w:val="left"/>
            </w:pPr>
            <w:r>
              <w:rPr>
                <w:rFonts w:ascii="Cambria" w:hAnsi="Cambria" w:cs="Cambria" w:eastAsia="Cambria"/>
                <w:color w:val="1A1A1A"/>
                <w:sz w:val="18"/>
              </w:rPr>
              <w:t xml:space="preserve">~ 70</w:t>
            </w:r>
          </w:p>
        </w:tc>
        <w:tc>
          <w:tcPr>
            <w:shd w:val="clear" w:color="auto" w:fill="F4F1EC"/>
          </w:tcPr>
          <w:p>
            <w:pPr>
              <w:pStyle w:val="Compact"/>
              <w:spacing w:after="40" w:before="40"/>
              <w:jc w:val="left"/>
            </w:pPr>
            <w:r>
              <w:rPr>
                <w:rFonts w:ascii="Cambria" w:hAnsi="Cambria" w:cs="Cambria" w:eastAsia="Cambria"/>
                <w:color w:val="1A1A1A"/>
                <w:sz w:val="18"/>
              </w:rPr>
              <w:t xml:space="preserve">~ 110</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 49</w:t>
            </w:r>
          </w:p>
        </w:tc>
        <w:tc>
          <w:tcPr/>
          <w:p>
            <w:pPr>
              <w:pStyle w:val="Compact"/>
              <w:spacing w:after="40" w:before="40"/>
              <w:jc w:val="left"/>
            </w:pPr>
            <w:r>
              <w:rPr>
                <w:rFonts w:ascii="Cambria" w:hAnsi="Cambria" w:cs="Cambria" w:eastAsia="Cambria"/>
                <w:color w:val="1A1A1A"/>
                <w:sz w:val="18"/>
              </w:rPr>
              <w:t xml:space="preserve">~ 84</w:t>
            </w:r>
          </w:p>
        </w:tc>
        <w:tc>
          <w:tcPr/>
          <w:p>
            <w:pPr>
              <w:pStyle w:val="Compact"/>
              <w:spacing w:after="40" w:before="40"/>
              <w:jc w:val="left"/>
            </w:pPr>
            <w:r>
              <w:rPr>
                <w:rFonts w:ascii="Cambria" w:hAnsi="Cambria" w:cs="Cambria" w:eastAsia="Cambria"/>
                <w:color w:val="1A1A1A"/>
                <w:sz w:val="18"/>
              </w:rPr>
              <w:t xml:space="preserve">~ 131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 +35</w:t>
            </w:r>
          </w:p>
        </w:tc>
        <w:tc>
          <w:tcPr>
            <w:shd w:val="clear" w:color="auto" w:fill="F4F1EC"/>
          </w:tcPr>
          <w:p>
            <w:pPr>
              <w:pStyle w:val="Compact"/>
              <w:spacing w:after="40" w:before="40"/>
              <w:jc w:val="left"/>
            </w:pPr>
            <w:r>
              <w:rPr>
                <w:rFonts w:ascii="Cambria" w:hAnsi="Cambria" w:cs="Cambria" w:eastAsia="Cambria"/>
                <w:color w:val="1A1A1A"/>
                <w:sz w:val="18"/>
              </w:rPr>
              <w:t xml:space="preserve">~ +64</w:t>
            </w:r>
          </w:p>
        </w:tc>
        <w:tc>
          <w:tcPr>
            <w:shd w:val="clear" w:color="auto" w:fill="F4F1EC"/>
          </w:tcPr>
          <w:p>
            <w:pPr>
              <w:pStyle w:val="Compact"/>
              <w:spacing w:after="40" w:before="40"/>
              <w:jc w:val="left"/>
            </w:pPr>
            <w:r>
              <w:rPr>
                <w:rFonts w:ascii="Cambria" w:hAnsi="Cambria" w:cs="Cambria" w:eastAsia="Cambria"/>
                <w:color w:val="1A1A1A"/>
                <w:sz w:val="18"/>
              </w:rPr>
              <w:t xml:space="preserve">~ +103</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 3,5:1</w:t>
            </w:r>
          </w:p>
        </w:tc>
        <w:tc>
          <w:tcPr/>
          <w:p>
            <w:pPr>
              <w:pStyle w:val="Compact"/>
              <w:spacing w:after="40" w:before="40"/>
              <w:jc w:val="left"/>
            </w:pPr>
            <w:r>
              <w:rPr>
                <w:rFonts w:ascii="Cambria" w:hAnsi="Cambria" w:cs="Cambria" w:eastAsia="Cambria"/>
                <w:color w:val="1A1A1A"/>
                <w:sz w:val="18"/>
              </w:rPr>
              <w:t xml:space="preserve">~ 4,2:1</w:t>
            </w:r>
          </w:p>
        </w:tc>
        <w:tc>
          <w:tcPr/>
          <w:p>
            <w:pPr>
              <w:pStyle w:val="Compact"/>
              <w:spacing w:after="40" w:before="40"/>
              <w:jc w:val="left"/>
            </w:pPr>
            <w:r>
              <w:rPr>
                <w:rFonts w:ascii="Cambria" w:hAnsi="Cambria" w:cs="Cambria" w:eastAsia="Cambria"/>
                <w:color w:val="1A1A1A"/>
                <w:sz w:val="18"/>
              </w:rPr>
              <w:t xml:space="preserve">~ 4,9:1</w:t>
            </w:r>
          </w:p>
        </w:tc>
      </w:tr>
    </w:tbl>
    <w:p>
      <w:pPr>
        <w:pStyle w:val="BodyText"/>
      </w:pPr>
      <w:r>
        <w:rPr>
          <w:i/>
          <w:iCs/>
        </w:rPr>
        <w:t xml:space="preserve">Tabella E.4. Il quadro economico consolidato, con la distinzione fra caso finanziario e caso economico.</w:t>
      </w:r>
    </w:p>
    <w:p>
      <w:pPr>
        <w:pStyle w:val="BodyText"/>
      </w:pPr>
      <w:r>
        <w:t xml:space="preserve">Il rapporto beneficio-costo complessivo — il rapporto fra il ritorno complessivo per la collettività e il costo del servizio — va da circa 3,5 a uno nello scenario conservativo a circa 4,9 a uno nello scenario espansivo. Questo rapporto è contenuto entro la fascia metodologicamente fondata documentata dalla letteratura internazionale, compresa fra 3,3 e 5,7 a uno includendo i benefici di salute, e lo studio non utilizza in alcun punto rapporti superiori né le semplificazioni divulgative prive di fondamento.</w:t>
      </w:r>
    </w:p>
    <w:bookmarkEnd w:id="2389"/>
    <w:bookmarkStart w:id="2391" w:name="Xe29adacd767d843490e2b8a5f65f71cb9167712"/>
    <w:p>
      <w:pPr>
        <w:pStyle w:val="Heading3"/>
      </w:pPr>
      <w:r>
        <w:t xml:space="preserve">E.5 L’analisi costo-utilità per paziente</w:t>
      </w:r>
    </w:p>
    <w:p>
      <w:pPr>
        <w:pStyle w:val="FirstParagraph"/>
      </w:pPr>
      <w:r>
        <w:t xml:space="preserve">L’analisi costo-utilità per paziente trattato è condotta mediante un modello di Markov a cinque anni con sconto del 3%,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al tempo stesso meno costoso e più efficace. L’analisi di sensibilità probabilistica, su diecimila simulazioni, conferma che l’intervento è costo-efficace nell’88,9% dei casi alla soglia di 30.000 euro per anno di vita ponderato per la qualità e dominante nell’84,6%.</w:t>
      </w:r>
      <w:r>
        <w:rPr>
          <w:rStyle w:val="FootnoteReference"/>
        </w:rPr>
        <w:footnoteReference w:id="2855"/>
      </w:r>
    </w:p>
    <w:tbl>
      <w:tblPr>
        <w:tblStyle w:val="Table"/>
        <w:tblW w:type="pct" w:w="491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272"/>
        <w:gridCol w:w="1272"/>
        <w:gridCol w:w="18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Comparatore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atteso per paziente</w:t>
            </w:r>
          </w:p>
        </w:tc>
        <w:tc>
          <w:tcPr/>
          <w:p>
            <w:pPr>
              <w:pStyle w:val="Compact"/>
              <w:spacing w:after="40" w:before="40"/>
              <w:jc w:val="left"/>
            </w:pPr>
            <w:r>
              <w:rPr>
                <w:rFonts w:ascii="Cambria" w:hAnsi="Cambria" w:cs="Cambria" w:eastAsia="Cambria"/>
                <w:color w:val="1A1A1A"/>
                <w:sz w:val="18"/>
              </w:rPr>
              <w:t xml:space="preserve">~ 3.799 euro</w:t>
            </w:r>
          </w:p>
        </w:tc>
        <w:tc>
          <w:tcPr/>
          <w:p>
            <w:pPr>
              <w:pStyle w:val="Compact"/>
              <w:spacing w:after="40" w:before="40"/>
              <w:jc w:val="left"/>
            </w:pPr>
            <w:r>
              <w:rPr>
                <w:rFonts w:ascii="Cambria" w:hAnsi="Cambria" w:cs="Cambria" w:eastAsia="Cambria"/>
                <w:color w:val="1A1A1A"/>
                <w:sz w:val="18"/>
              </w:rPr>
              <w:t xml:space="preserve">~ 2.495 euro</w:t>
            </w:r>
          </w:p>
        </w:tc>
        <w:tc>
          <w:tcPr/>
          <w:p>
            <w:pPr>
              <w:pStyle w:val="Compact"/>
              <w:spacing w:after="40" w:before="40"/>
              <w:jc w:val="left"/>
            </w:pPr>
            <w:r>
              <w:rPr>
                <w:rFonts w:ascii="Cambria" w:hAnsi="Cambria" w:cs="Cambria" w:eastAsia="Cambria"/>
                <w:color w:val="1A1A1A"/>
                <w:sz w:val="18"/>
              </w:rPr>
              <w:t xml:space="preserve">− 1.304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Anni di vita ponderati (QALY)</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Intervento dominante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(soglia 30.000 euro/QALY)</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88,9% delle simulazioni</w:t>
            </w:r>
          </w:p>
        </w:tc>
      </w:tr>
    </w:tbl>
    <w:p>
      <w:pPr>
        <w:pStyle w:val="BodyText"/>
      </w:pPr>
      <w:r>
        <w:rPr>
          <w:i/>
          <w:iCs/>
        </w:rPr>
        <w:t xml:space="preserve">Tabella E.5. L’analisi costo-utilità per paziente trattato (modello di Markov a cinque anni).</w:t>
      </w:r>
    </w:p>
    <w:bookmarkEnd w:id="2391"/>
    <w:bookmarkStart w:id="4462" w:name="Xcbdf17068aaf7aa0ff320775ed8018801934506"/>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fondo sanitario regionale, che va dallo 0,4% nello scenario conservativo allo 0,8% in quello espansivo. La sostenibilità è reale: la spesa sanitaria pro-capite marchigiana di 2.612,7 euro, pur fra le più basse d’Italia, non implica un sistema in disavanzo strutturale ma un sistema che opera con risorse contenute in un contesto di spesa complessiva relativamente efficiente. Il servizio genera risparmi che compensano in misura significativa il suo costo, e il saldo diretto negativo è trascurabile nella scala del fondo sanitario regionale. La lacuna dei dati è da dichiarare con franchezza: le stime sono in parte ricostruite dai conti nazionali per quota di popolazione e non estratte dai conti certificati delle AST; la strutturazione organica del servizio è l’occasione per colmarla.</w:t>
      </w:r>
      <w:r>
        <w:rPr>
          <w:rStyle w:val="FootnoteReference"/>
        </w:rPr>
        <w:footnoteReference w:id="2856"/>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dell’informazione</w:t>
      </w:r>
    </w:p>
    <w:p>
      <w:pPr>
        <w:pStyle w:val="BodyText"/>
      </w:pPr>
      <w:r>
        <w:t xml:space="preserve">Quinto dominio dell’HTA · la robustezza della valutazione economica</w:t>
      </w:r>
    </w:p>
    <w:bookmarkEnd w:id="4462"/>
    <w:bookmarkEnd w:id="2394"/>
    <w:bookmarkStart w:id="4463" w:name="parte-f-modellazione-e-incertezza-3"/>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Il modello è invariante fra le regioni, e mutano soltanto gli elementi che attengono alla verifica empirica locale. Per le Marche la condizione propria — servizio già avviato in via sperimentale — consente di fondare la verifica empirica su una base di dati locali parziali, che il monitoraggio strutturato potrà progressivamente consolidare.</w:t>
      </w:r>
    </w:p>
    <w:bookmarkStart w:id="2397" w:name="Xe9479bd09e4b7015f7545a6e7421be8e3958486"/>
    <w:p>
      <w:pPr>
        <w:pStyle w:val="Heading3"/>
      </w:pPr>
      <w:r>
        <w:t xml:space="preserve">F.1 Il modello decisionale e i suoi parametri</w:t>
      </w:r>
    </w:p>
    <w:p>
      <w:pPr>
        <w:pStyle w:val="FirstParagraph"/>
      </w:pPr>
      <w:r>
        <w:t xml:space="preserve">Lo studio proietta nel tempo costi ed esiti mediante un modello di Markov, che rappresenta il decorso del paziente attraverso stati clinici mutuamente esclusivi fra i quali transita in cicli successivi, su un orizzonte di cinque anni con sconto del 3%.</w:t>
      </w:r>
      <w:r>
        <w:rPr>
          <w:rStyle w:val="FootnoteReference"/>
        </w:rPr>
        <w:footnoteReference w:id="2857"/>
      </w:r>
      <w:r>
        <w:t xml:space="preserve"> </w:t>
      </w:r>
      <w:r>
        <w:t xml:space="preserve">A ciascuno stato sono associati un costo e una qualità di vita, trattati come distribuzioni di probabilità e non come valori puntuali. Nel caso base l’intervento è dominante, con un risparmio per paziente dell’ordine di 1.304 euro e un guadagno di 0,236 QALY.</w:t>
      </w:r>
      <w:r>
        <w:rPr>
          <w:rStyle w:val="FootnoteReference"/>
        </w:rPr>
        <w:footnoteReference w:id="2858"/>
      </w:r>
    </w:p>
    <w:tbl>
      <w:tblPr>
        <w:tblStyle w:val="Table"/>
        <w:tblW w:type="pct" w:w="489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01"/>
        <w:gridCol w:w="475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Stati clinici</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Cinque anni, con cicli successivi</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(recupero)</w:t>
            </w:r>
          </w:p>
        </w:tc>
        <w:tc>
          <w:tcPr>
            <w:shd w:val="clear" w:color="auto" w:fill="F4F1EC"/>
          </w:tcPr>
          <w:p>
            <w:pPr>
              <w:pStyle w:val="Compact"/>
              <w:spacing w:after="40" w:before="40"/>
              <w:jc w:val="left"/>
            </w:pPr>
            <w:r>
              <w:rPr>
                <w:rFonts w:ascii="Cambria" w:hAnsi="Cambria" w:cs="Cambria" w:eastAsia="Cambria"/>
                <w:color w:val="1A1A1A"/>
                <w:sz w:val="18"/>
              </w:rPr>
              <w:t xml:space="preserve">~ 40 euro</w:t>
            </w:r>
          </w:p>
        </w:tc>
      </w:tr>
      <w:tr>
        <w:tc>
          <w:tcPr/>
          <w:p>
            <w:pPr>
              <w:pStyle w:val="Compact"/>
              <w:spacing w:after="40" w:before="40"/>
              <w:jc w:val="left"/>
            </w:pPr>
            <w:r>
              <w:rPr>
                <w:rFonts w:ascii="Cambria" w:hAnsi="Cambria" w:cs="Cambria" w:eastAsia="Cambria"/>
                <w:b/>
                <w:bCs/>
                <w:color w:val="1A1A1A"/>
                <w:sz w:val="18"/>
              </w:rPr>
              <w:t xml:space="preserve">Costo per ciclo (cronicità)</w:t>
            </w:r>
          </w:p>
        </w:tc>
        <w:tc>
          <w:tcPr/>
          <w:p>
            <w:pPr>
              <w:pStyle w:val="Compact"/>
              <w:spacing w:after="40" w:before="40"/>
              <w:jc w:val="left"/>
            </w:pPr>
            <w:r>
              <w:rPr>
                <w:rFonts w:ascii="Cambria" w:hAnsi="Cambria" w:cs="Cambria" w:eastAsia="Cambria"/>
                <w:color w:val="1A1A1A"/>
                <w:sz w:val="18"/>
              </w:rPr>
              <w:t xml:space="preserve">~ 700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 300 euro una tantum</w:t>
            </w:r>
          </w:p>
        </w:tc>
      </w:tr>
      <w:tr>
        <w:tc>
          <w:tcPr/>
          <w:p>
            <w:pPr>
              <w:pStyle w:val="Compact"/>
              <w:spacing w:after="40" w:before="40"/>
              <w:jc w:val="left"/>
            </w:pPr>
            <w:r>
              <w:rPr>
                <w:rFonts w:ascii="Cambria" w:hAnsi="Cambria" w:cs="Cambria" w:eastAsia="Cambria"/>
                <w:b/>
                <w:bCs/>
                <w:color w:val="1A1A1A"/>
                <w:sz w:val="18"/>
              </w:rPr>
              <w:t xml:space="preserve">Trattamento dell’incertezza</w:t>
            </w:r>
          </w:p>
        </w:tc>
        <w:tc>
          <w:tcPr/>
          <w:p>
            <w:pPr>
              <w:pStyle w:val="Compact"/>
              <w:spacing w:after="40" w:before="40"/>
              <w:jc w:val="left"/>
            </w:pPr>
            <w:r>
              <w:rPr>
                <w:rFonts w:ascii="Cambria" w:hAnsi="Cambria" w:cs="Cambria" w:eastAsia="Cambria"/>
                <w:color w:val="1A1A1A"/>
                <w:sz w:val="18"/>
              </w:rPr>
              <w:t xml:space="preserve">Parametri come distribuzioni di probabilità</w:t>
            </w:r>
          </w:p>
        </w:tc>
      </w:tr>
    </w:tbl>
    <w:p>
      <w:pPr>
        <w:pStyle w:val="BodyText"/>
      </w:pPr>
      <w:r>
        <w:rPr>
          <w:i/>
          <w:iCs/>
        </w:rPr>
        <w:t xml:space="preserve">Tabella F.1. I parametri principali del modello di Markov (comune a tutti gli studi della serie).</w:t>
      </w:r>
    </w:p>
    <w:bookmarkEnd w:id="2397"/>
    <w:bookmarkStart w:id="2399" w:name="X6778228c78c69ed83637047b988a691f8f8c69c"/>
    <w:p>
      <w:pPr>
        <w:pStyle w:val="Heading3"/>
      </w:pPr>
      <w:r>
        <w:t xml:space="preserve">F.2 L’analisi di sensibilità deterministica</w:t>
      </w:r>
    </w:p>
    <w:p>
      <w:pPr>
        <w:pStyle w:val="FirstParagraph"/>
      </w:pPr>
      <w:r>
        <w:t xml:space="preserve">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2859"/>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p>
    <w:bookmarkEnd w:id="2399"/>
    <w:bookmarkStart w:id="2401" w:name="X3d5867d1b56135dbb96fe472e97dc6cb8ca1204"/>
    <w:p>
      <w:pPr>
        <w:pStyle w:val="Heading3"/>
      </w:pPr>
      <w:r>
        <w:t xml:space="preserve">F.3 L’analisi di sensibilità probabilistica</w:t>
      </w:r>
    </w:p>
    <w:p>
      <w:pPr>
        <w:pStyle w:val="FirstParagraph"/>
      </w:pPr>
      <w:r>
        <w:t xml:space="preserve">L’analisi probabilistica, su diecimila simulazioni, documenta che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2860"/>
      </w:r>
      <w:r>
        <w:t xml:space="preserve"> </w:t>
      </w:r>
      <w:r>
        <w:t xml:space="preserve">La curva di accettabilità conferma che alla soglia convenzionale la probabilità di convenienza è prossima al 90%.</w:t>
      </w:r>
    </w:p>
    <w:tbl>
      <w:tblPr>
        <w:tblStyle w:val="Table"/>
        <w:tblW w:type="pct" w:w="490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940"/>
        <w:gridCol w:w="282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Esito della sensibilità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Probabilità di costo-efficacia (soglia 30.000 euro/QALY)</w:t>
            </w:r>
          </w:p>
        </w:tc>
        <w:tc>
          <w:tcPr/>
          <w:p>
            <w:pPr>
              <w:pStyle w:val="Compact"/>
              <w:spacing w:after="40" w:before="40"/>
              <w:jc w:val="left"/>
            </w:pPr>
            <w:r>
              <w:rPr>
                <w:rFonts w:ascii="Cambria" w:hAnsi="Cambria" w:cs="Cambria" w:eastAsia="Cambria"/>
                <w:color w:val="1A1A1A"/>
                <w:sz w:val="18"/>
              </w:rPr>
              <w:t xml:space="preserve">88,9% delle simulazioni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dominanza</w:t>
            </w:r>
          </w:p>
        </w:tc>
        <w:tc>
          <w:tcPr>
            <w:shd w:val="clear" w:color="auto" w:fill="F4F1EC"/>
          </w:tcPr>
          <w:p>
            <w:pPr>
              <w:pStyle w:val="Compact"/>
              <w:spacing w:after="40" w:before="40"/>
              <w:jc w:val="left"/>
            </w:pPr>
            <w:r>
              <w:rPr>
                <w:rFonts w:ascii="Cambria" w:hAnsi="Cambria" w:cs="Cambria" w:eastAsia="Cambria"/>
                <w:color w:val="1A1A1A"/>
                <w:sz w:val="18"/>
              </w:rPr>
              <w:t xml:space="preserve">84,6% delle simulazioni</w:t>
            </w:r>
          </w:p>
        </w:tc>
      </w:tr>
      <w:tr>
        <w:tc>
          <w:tcPr/>
          <w:p>
            <w:pPr>
              <w:pStyle w:val="Compact"/>
              <w:spacing w:after="40" w:before="40"/>
              <w:jc w:val="left"/>
            </w:pPr>
            <w:r>
              <w:rPr>
                <w:rFonts w:ascii="Cambria" w:hAnsi="Cambria" w:cs="Cambria" w:eastAsia="Cambria"/>
                <w:b/>
                <w:bCs/>
                <w:color w:val="1A1A1A"/>
                <w:sz w:val="18"/>
              </w:rPr>
              <w:t xml:space="preserve">Beneficio monetario netto medio per paziente</w:t>
            </w:r>
          </w:p>
        </w:tc>
        <w:tc>
          <w:tcPr/>
          <w:p>
            <w:pPr>
              <w:pStyle w:val="Compact"/>
              <w:spacing w:after="40" w:before="40"/>
              <w:jc w:val="left"/>
            </w:pPr>
            <w:r>
              <w:rPr>
                <w:rFonts w:ascii="Cambria" w:hAnsi="Cambria" w:cs="Cambria" w:eastAsia="Cambria"/>
                <w:color w:val="1A1A1A"/>
                <w:sz w:val="18"/>
              </w:rPr>
              <w:t xml:space="preserve">~ 7.815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Intervallo di confidenza al 95%</w:t>
            </w:r>
          </w:p>
        </w:tc>
        <w:tc>
          <w:tcPr>
            <w:shd w:val="clear" w:color="auto" w:fill="F4F1EC"/>
          </w:tcPr>
          <w:p>
            <w:pPr>
              <w:pStyle w:val="Compact"/>
              <w:spacing w:after="40" w:before="40"/>
              <w:jc w:val="left"/>
            </w:pPr>
            <w:r>
              <w:rPr>
                <w:rFonts w:ascii="Cambria" w:hAnsi="Cambria" w:cs="Cambria" w:eastAsia="Cambria"/>
                <w:color w:val="1A1A1A"/>
                <w:sz w:val="18"/>
              </w:rPr>
              <w:t xml:space="preserve">da ~ −5.736 a ~ +21.501 euro</w:t>
            </w:r>
          </w:p>
        </w:tc>
      </w:tr>
      <w:tr>
        <w:tc>
          <w:tcPr/>
          <w:p>
            <w:pPr>
              <w:pStyle w:val="Compact"/>
              <w:spacing w:after="40" w:before="40"/>
              <w:jc w:val="left"/>
            </w:pPr>
            <w:r>
              <w:rPr>
                <w:rFonts w:ascii="Cambria" w:hAnsi="Cambria" w:cs="Cambria" w:eastAsia="Cambria"/>
                <w:b/>
                <w:bCs/>
                <w:color w:val="1A1A1A"/>
                <w:sz w:val="18"/>
              </w:rPr>
              <w:t xml:space="preserve">Numero di simulazioni</w:t>
            </w:r>
          </w:p>
        </w:tc>
        <w:tc>
          <w:tcPr/>
          <w:p>
            <w:pPr>
              <w:pStyle w:val="Compact"/>
              <w:spacing w:after="40" w:before="40"/>
              <w:jc w:val="left"/>
            </w:pPr>
            <w:r>
              <w:rPr>
                <w:rFonts w:ascii="Cambria" w:hAnsi="Cambria" w:cs="Cambria" w:eastAsia="Cambria"/>
                <w:color w:val="1A1A1A"/>
                <w:sz w:val="18"/>
              </w:rPr>
              <w:t xml:space="preserve">10.000</w:t>
            </w:r>
          </w:p>
        </w:tc>
      </w:tr>
    </w:tbl>
    <w:p>
      <w:pPr>
        <w:pStyle w:val="BodyText"/>
      </w:pPr>
      <w:r>
        <w:rPr>
          <w:i/>
          <w:iCs/>
        </w:rPr>
        <w:t xml:space="preserve">Tabella F.2. Gli esiti dell’analisi di sensibilità probabilistica (per paziente).</w:t>
      </w:r>
    </w:p>
    <w:bookmarkEnd w:id="2401"/>
    <w:bookmarkStart w:id="2403" w:name="X7d10bf86479087a4c2e7a510b0b99671b4dbf16"/>
    <w:p>
      <w:pPr>
        <w:pStyle w:val="Heading3"/>
      </w:pPr>
      <w:r>
        <w:t xml:space="preserve">F.4 Gli scenari di copertura e l’incertezza aggregata</w:t>
      </w:r>
    </w:p>
    <w:p>
      <w:pPr>
        <w:pStyle w:val="FirstParagraph"/>
      </w:pPr>
      <w:r>
        <w:t xml:space="preserve">Gli scenari conservativo, di base ed espansivo rappresentano gradi crescenti di estensione del servizio verso il fabbisogno pieno, corrispondenti a 250, 340 e 370 psicologi.</w:t>
      </w:r>
      <w:r>
        <w:rPr>
          <w:rStyle w:val="FootnoteReference"/>
        </w:rPr>
        <w:footnoteReference w:id="2861"/>
      </w:r>
      <w:r>
        <w:t xml:space="preserve"> </w:t>
      </w:r>
      <w:r>
        <w:t xml:space="preserve">Il rapporto beneficio-costo complessivo migliora al crescere del dimensionamento, in ragione delle economie di scala e della maggiore capacità di intercettazione del bisogno. Il saldo diretto si mantiene prossimo al pareggio in tutti gli scenari, segno che il servizio è sostenibile a ogni livello di dimensionamento.</w:t>
      </w:r>
    </w:p>
    <w:bookmarkEnd w:id="2403"/>
    <w:bookmarkStart w:id="4464" w:name="Xd0e9891762f14d7c325f757f070f836f8663dd5"/>
    <w:p>
      <w:pPr>
        <w:pStyle w:val="Heading3"/>
      </w:pPr>
      <w:r>
        <w:t xml:space="preserve">F.5 La verifica empirica e il valore dell’informazione</w:t>
      </w:r>
    </w:p>
    <w:p>
      <w:pPr>
        <w:pStyle w:val="FirstParagraph"/>
      </w:pPr>
      <w:r>
        <w:t xml:space="preserve">Il disegno della verifica empirica costituisce, per le Marche, un capitolo da valorizzare. Poiché la strutturazione del modello pieno avverrà in tempi differenziati fra le cinque AST e i rispettivi distretti, la verifica controfattuale può fondarsi su un esperimento a cunei progressivi, in cui l’ordine e i tempi di attivazione fra i territori sono impiegati a fini valutativi.</w:t>
      </w:r>
      <w:r>
        <w:rPr>
          <w:rStyle w:val="FootnoteReference"/>
        </w:rPr>
        <w:footnoteReference w:id="2862"/>
      </w:r>
      <w:r>
        <w:t xml:space="preserve"> </w:t>
      </w:r>
      <w:r>
        <w:t xml:space="preserve">La sperimentazione amministrativa già avviata offre una linea di base parziale, che la strutturazione organica potrà consolidare in una base uniforme e interoperabile fra le cinque AST. L’analisi del valore dell’informazione indica che i dati di maggiore utilità sono quelli relativi all’efficacia effettiva nel contesto locale, alla quota di domanda intercettata e alla composizione del risparmio diretto per canale.</w:t>
      </w:r>
      <w:r>
        <w:rPr>
          <w:rStyle w:val="FootnoteReference"/>
        </w:rPr>
        <w:footnoteReference w:id="2863"/>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915"/>
        <w:gridCol w:w="3575"/>
        <w:gridCol w:w="132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Priorità di ricerca</w:t>
            </w:r>
          </w:p>
        </w:tc>
        <w:tc>
          <w:tcPr>
            <w:shd w:val="clear" w:color="auto" w:fill="16264B"/>
          </w:tcPr>
          <w:p>
            <w:pPr>
              <w:pStyle w:val="Compact"/>
              <w:spacing w:after="40" w:before="40"/>
              <w:jc w:val="left"/>
            </w:pPr>
            <w:r>
              <w:rPr>
                <w:rFonts w:ascii="Cambria" w:hAnsi="Cambria" w:cs="Cambria" w:eastAsia="Cambria"/>
                <w:b/>
                <w:bCs/>
                <w:color w:val="FFFFFF"/>
                <w:sz w:val="18"/>
              </w:rPr>
              <w:t xml:space="preserve">Finalità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Rilevanza</w:t>
            </w:r>
          </w:p>
        </w:tc>
      </w:tr>
      <w:tr>
        <w:tc>
          <w:tcPr/>
          <w:p>
            <w:pPr>
              <w:pStyle w:val="Compact"/>
              <w:spacing w:after="40" w:before="40"/>
              <w:jc w:val="left"/>
            </w:pPr>
            <w:r>
              <w:rPr>
                <w:rFonts w:ascii="Cambria" w:hAnsi="Cambria" w:cs="Cambria" w:eastAsia="Cambria"/>
                <w:b/>
                <w:bCs/>
                <w:color w:val="1A1A1A"/>
                <w:sz w:val="18"/>
              </w:rPr>
              <w:t xml:space="preserve">Conti certificati delle cinque AST</w:t>
            </w:r>
          </w:p>
        </w:tc>
        <w:tc>
          <w:tcPr/>
          <w:p>
            <w:pPr>
              <w:pStyle w:val="Compact"/>
              <w:spacing w:after="40" w:before="40"/>
              <w:jc w:val="left"/>
            </w:pPr>
            <w:r>
              <w:rPr>
                <w:rFonts w:ascii="Cambria" w:hAnsi="Cambria" w:cs="Cambria" w:eastAsia="Cambria"/>
                <w:color w:val="1A1A1A"/>
                <w:sz w:val="18"/>
              </w:rPr>
              <w:t xml:space="preserve">Sostituire le stime per quota con dati reali</w:t>
            </w:r>
          </w:p>
        </w:tc>
        <w:tc>
          <w:tcPr/>
          <w:p>
            <w:pPr>
              <w:pStyle w:val="Compact"/>
              <w:spacing w:after="40" w:before="40"/>
              <w:jc w:val="left"/>
            </w:pPr>
            <w:r>
              <w:rPr>
                <w:rFonts w:ascii="Cambria" w:hAnsi="Cambria" w:cs="Cambria" w:eastAsia="Cambria"/>
                <w:color w:val="1A1A1A"/>
                <w:sz w:val="18"/>
              </w:rPr>
              <w:t xml:space="preserve">Massima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Dati della sperimentazione amministrativa</w:t>
            </w:r>
          </w:p>
        </w:tc>
        <w:tc>
          <w:tcPr>
            <w:shd w:val="clear" w:color="auto" w:fill="F4F1EC"/>
          </w:tcPr>
          <w:p>
            <w:pPr>
              <w:pStyle w:val="Compact"/>
              <w:spacing w:after="40" w:before="40"/>
              <w:jc w:val="left"/>
            </w:pPr>
            <w:r>
              <w:rPr>
                <w:rFonts w:ascii="Cambria" w:hAnsi="Cambria" w:cs="Cambria" w:eastAsia="Cambria"/>
                <w:color w:val="1A1A1A"/>
                <w:sz w:val="18"/>
              </w:rPr>
              <w:t xml:space="preserve">Consolidare la base informativa già disponibile</w:t>
            </w:r>
          </w:p>
        </w:tc>
        <w:tc>
          <w:tcPr>
            <w:shd w:val="clear" w:color="auto" w:fill="F4F1EC"/>
          </w:tcPr>
          <w:p>
            <w:pPr>
              <w:pStyle w:val="Compact"/>
              <w:spacing w:after="40" w:before="40"/>
              <w:jc w:val="left"/>
            </w:pPr>
            <w:r>
              <w:rPr>
                <w:rFonts w:ascii="Cambria" w:hAnsi="Cambria" w:cs="Cambria" w:eastAsia="Cambria"/>
                <w:color w:val="1A1A1A"/>
                <w:sz w:val="18"/>
              </w:rPr>
              <w:t xml:space="preserve">Massima</w:t>
            </w:r>
          </w:p>
        </w:tc>
      </w:tr>
      <w:tr>
        <w:tc>
          <w:tcPr/>
          <w:p>
            <w:pPr>
              <w:pStyle w:val="Compact"/>
              <w:spacing w:after="40" w:before="40"/>
              <w:jc w:val="left"/>
            </w:pPr>
            <w:r>
              <w:rPr>
                <w:rFonts w:ascii="Cambria" w:hAnsi="Cambria" w:cs="Cambria" w:eastAsia="Cambria"/>
                <w:b/>
                <w:bCs/>
                <w:color w:val="1A1A1A"/>
                <w:sz w:val="18"/>
              </w:rPr>
              <w:t xml:space="preserve">Tassi di intercettazione e costi evitati</w:t>
            </w:r>
          </w:p>
        </w:tc>
        <w:tc>
          <w:tcPr/>
          <w:p>
            <w:pPr>
              <w:pStyle w:val="Compact"/>
              <w:spacing w:after="40" w:before="40"/>
              <w:jc w:val="left"/>
            </w:pPr>
            <w:r>
              <w:rPr>
                <w:rFonts w:ascii="Cambria" w:hAnsi="Cambria" w:cs="Cambria" w:eastAsia="Cambria"/>
                <w:color w:val="1A1A1A"/>
                <w:sz w:val="18"/>
              </w:rPr>
              <w:t xml:space="preserve">Ridurre l’incertezza sulle grandezze aggregate</w:t>
            </w:r>
          </w:p>
        </w:tc>
        <w:tc>
          <w:tcPr/>
          <w:p>
            <w:pPr>
              <w:pStyle w:val="Compact"/>
              <w:spacing w:after="40" w:before="40"/>
              <w:jc w:val="left"/>
            </w:pPr>
            <w:r>
              <w:rPr>
                <w:rFonts w:ascii="Cambria" w:hAnsi="Cambria" w:cs="Cambria" w:eastAsia="Cambria"/>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 nel contesto marchigiano</w:t>
            </w:r>
          </w:p>
        </w:tc>
        <w:tc>
          <w:tcPr>
            <w:shd w:val="clear" w:color="auto" w:fill="F4F1EC"/>
          </w:tcPr>
          <w:p>
            <w:pPr>
              <w:pStyle w:val="Compact"/>
              <w:spacing w:after="40" w:before="40"/>
              <w:jc w:val="left"/>
            </w:pPr>
            <w:r>
              <w:rPr>
                <w:rFonts w:ascii="Cambria" w:hAnsi="Cambria" w:cs="Cambria" w:eastAsia="Cambria"/>
                <w:color w:val="1A1A1A"/>
                <w:sz w:val="18"/>
              </w:rPr>
              <w:t xml:space="preserve">Corroborare il parametro più influente</w:t>
            </w:r>
          </w:p>
        </w:tc>
        <w:tc>
          <w:tcPr>
            <w:shd w:val="clear" w:color="auto" w:fill="F4F1EC"/>
          </w:tcPr>
          <w:p>
            <w:pPr>
              <w:pStyle w:val="Compact"/>
              <w:spacing w:after="40" w:before="40"/>
              <w:jc w:val="left"/>
            </w:pPr>
            <w:r>
              <w:rPr>
                <w:rFonts w:ascii="Cambria" w:hAnsi="Cambria" w:cs="Cambria" w:eastAsia="Cambria"/>
                <w:color w:val="1A1A1A"/>
                <w:sz w:val="18"/>
              </w:rPr>
              <w:t xml:space="preserve">Alta</w:t>
            </w:r>
          </w:p>
        </w:tc>
      </w:tr>
    </w:tbl>
    <w:p>
      <w:pPr>
        <w:pStyle w:val="BodyText"/>
      </w:pPr>
      <w:r>
        <w:rPr>
          <w:i/>
          <w:iCs/>
        </w:rPr>
        <w:t xml:space="preserve">Tabella F.3. Le priorità di ricerca derivanti dall’analisi del valore dell’informazione.</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4464"/>
    <w:bookmarkEnd w:id="4463"/>
    <w:bookmarkStart w:id="2417" w:name="parte-g-equità-e-impatto-distributivo-8"/>
    <w:p>
      <w:pPr>
        <w:pStyle w:val="Heading2"/>
      </w:pPr>
      <w:r>
        <w:t xml:space="preserve">Parte G — Equità e impatto distributivo</w:t>
      </w:r>
    </w:p>
    <w:p>
      <w:pPr>
        <w:pStyle w:val="FirstParagraph"/>
      </w:pPr>
      <w:r>
        <w:t xml:space="preserve">Questa parte affronta il dominio dell’equità. Il tratto distributivo delle Marche è duale: da un lato il divario territoriale fra la fascia costiera urbanizzata e le aree appenniniche interne, dall’altro il gradiente generazionale che concentra il bisogno nella fascia anziana, la meno attrezzata per muoversi e la più lontana dai servizi nelle aree interne. L’intervento può ridurre entrambi i gradienti, a condizione di essere progettato con capillarità e con la telepsicologia come strumento strutturale.</w:t>
      </w:r>
    </w:p>
    <w:bookmarkStart w:id="2410" w:name="X65322c6e16d4d7829705ceb5e99430614d91400"/>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w:t>
      </w:r>
      <w:r>
        <w:rPr>
          <w:rStyle w:val="FootnoteReference"/>
        </w:rPr>
        <w:footnoteReference w:id="2864"/>
      </w:r>
      <w:r>
        <w:t xml:space="preserve"> </w:t>
      </w:r>
      <w:r>
        <w:t xml:space="preserve">Il punto di partenza è il gradiente sociale della salute mentale: il disagio psichico è più frequente nei gruppi socio-economicamente svantaggiati ed è, al tempo stesso, meno intercettato dai servizi.</w:t>
      </w:r>
      <w:r>
        <w:rPr>
          <w:rStyle w:val="FootnoteReference"/>
        </w:rPr>
        <w:footnoteReference w:id="2865"/>
      </w:r>
      <w:r>
        <w:t xml:space="preserve"> </w:t>
      </w:r>
      <w:r>
        <w:t xml:space="preserve">Nelle Marche il gradiente sociale si interseca con quello territoriale: le aree appenniniche interne, già svantaggiate sotto il profilo economico per la riduzione delle attività produttive tradizionali e lo spopolamento, sono anche quelle in cui il disagio psichico è più frequente (anziani soli, caregiver familiari, giovani che non trovano prospettive) e in cui l’accesso ai servizi è più oneroso. L’assenza di un servizio pubblico di psicologia di base strutturato produce un effetto regressivo: il disagio si concentra dove minori sono le risorse per farvi fronte.</w:t>
      </w:r>
    </w:p>
    <w:bookmarkEnd w:id="2410"/>
    <w:bookmarkStart w:id="2412" w:name="Xa996b41ccaeed7e5b89b6619ece0eaea834e59f"/>
    <w:p>
      <w:pPr>
        <w:pStyle w:val="Heading3"/>
      </w:pPr>
      <w:r>
        <w:t xml:space="preserve">G.2 I due assi del divario territoriale</w:t>
      </w:r>
    </w:p>
    <w:p>
      <w:pPr>
        <w:pStyle w:val="FirstParagraph"/>
      </w:pPr>
      <w:r>
        <w:t xml:space="preserve">La specificità distributiva delle Marche risiede nella struttura del divario territoriale, che si articola lungo due assi sovrapposti.</w:t>
      </w:r>
      <w:r>
        <w:rPr>
          <w:rStyle w:val="FootnoteReference"/>
        </w:rPr>
        <w:footnoteReference w:id="2866"/>
      </w:r>
      <w:r>
        <w:t xml:space="preserve"> </w:t>
      </w:r>
      <w:r>
        <w:t xml:space="preserve">Il primo asse separa la fascia costiera — urbanizzata, densa, con servizi concentrati, facilmente raggiungibile — dalle aree appenniniche interne, dove la morfologia montagnosa, la bassa densità e la scarsità dei trasporti pubblici rendono l’accesso fisico ai servizi un ostacolo concreto. Questo asse coincide in larga misura con quello dell’invecchiamento: le aree interne sono quelle che hanno perso la popolazione giovane allo spopolamento e che presentano oggi le quote più elevate di over-65 e gli indici di vecchiaia più accentuati. Il secondo asse separa i capoluoghi provinciali — sedi delle AST e dei servizi specialistici — dai distretti periferici, in cui la presenza sanitaria è più ridotta. La sovrapposizione fra i due assi produce, nelle aree appenniniche interne, una concentrazione di svantaggio che richiede una risposta specifica.</w:t>
      </w:r>
    </w:p>
    <w:tbl>
      <w:tblPr>
        <w:tblStyle w:val="Table"/>
        <w:tblW w:type="pct" w:w="496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340"/>
        <w:gridCol w:w="3259"/>
        <w:gridCol w:w="325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Asse del divario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Caratterizzazione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Leva di riequilibrio</w:t>
            </w:r>
          </w:p>
        </w:tc>
      </w:tr>
      <w:tr>
        <w:tc>
          <w:tcPr/>
          <w:p>
            <w:pPr>
              <w:pStyle w:val="Compact"/>
              <w:spacing w:after="40" w:before="40"/>
              <w:jc w:val="left"/>
            </w:pPr>
            <w:r>
              <w:rPr>
                <w:rFonts w:ascii="Cambria" w:hAnsi="Cambria" w:cs="Cambria" w:eastAsia="Cambria"/>
                <w:b/>
                <w:bCs/>
                <w:color w:val="1A1A1A"/>
                <w:sz w:val="18"/>
              </w:rPr>
              <w:t xml:space="preserve">Fascia costiera / aree appenniniche</w:t>
            </w:r>
          </w:p>
        </w:tc>
        <w:tc>
          <w:tcPr/>
          <w:p>
            <w:pPr>
              <w:pStyle w:val="Compact"/>
              <w:spacing w:after="40" w:before="40"/>
              <w:jc w:val="left"/>
            </w:pPr>
            <w:r>
              <w:rPr>
                <w:rFonts w:ascii="Cambria" w:hAnsi="Cambria" w:cs="Cambria" w:eastAsia="Cambria"/>
                <w:color w:val="1A1A1A"/>
                <w:sz w:val="18"/>
              </w:rPr>
              <w:t xml:space="preserve">Aree interne con orografia impegnativa, bassa densità, scarsi trasporti; invecchiamento accentuato</w:t>
            </w:r>
          </w:p>
        </w:tc>
        <w:tc>
          <w:tcPr/>
          <w:p>
            <w:pPr>
              <w:pStyle w:val="Compact"/>
              <w:spacing w:after="40" w:before="40"/>
              <w:jc w:val="left"/>
            </w:pPr>
            <w:r>
              <w:rPr>
                <w:rFonts w:ascii="Cambria" w:hAnsi="Cambria" w:cs="Cambria" w:eastAsia="Cambria"/>
                <w:color w:val="1A1A1A"/>
                <w:sz w:val="18"/>
              </w:rPr>
              <w:t xml:space="preserve">Telepsicologia strutturale; presenze programmate nei piccoli comuni; distribuzione pro-equità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Capoluoghi / distretti periferici</w:t>
            </w:r>
          </w:p>
        </w:tc>
        <w:tc>
          <w:tcPr>
            <w:shd w:val="clear" w:color="auto" w:fill="F4F1EC"/>
          </w:tcPr>
          <w:p>
            <w:pPr>
              <w:pStyle w:val="Compact"/>
              <w:spacing w:after="40" w:before="40"/>
              <w:jc w:val="left"/>
            </w:pPr>
            <w:r>
              <w:rPr>
                <w:rFonts w:ascii="Cambria" w:hAnsi="Cambria" w:cs="Cambria" w:eastAsia="Cambria"/>
                <w:color w:val="1A1A1A"/>
                <w:sz w:val="18"/>
              </w:rPr>
              <w:t xml:space="preserve">Concentrazione dei servizi nei capoluoghi AST; distretto periferico con offerta ridotta</w:t>
            </w:r>
          </w:p>
        </w:tc>
        <w:tc>
          <w:tcPr>
            <w:shd w:val="clear" w:color="auto" w:fill="F4F1EC"/>
          </w:tcPr>
          <w:p>
            <w:pPr>
              <w:pStyle w:val="Compact"/>
              <w:spacing w:after="40" w:before="40"/>
              <w:jc w:val="left"/>
            </w:pPr>
            <w:r>
              <w:rPr>
                <w:rFonts w:ascii="Cambria" w:hAnsi="Cambria" w:cs="Cambria" w:eastAsia="Cambria"/>
                <w:color w:val="1A1A1A"/>
                <w:sz w:val="18"/>
              </w:rPr>
              <w:t xml:space="preserve">Collocazione nei distretti oltre che nelle Case della Comunità dei capoluoghi</w:t>
            </w:r>
          </w:p>
        </w:tc>
      </w:tr>
      <w:tr>
        <w:tc>
          <w:tcPr/>
          <w:p>
            <w:pPr>
              <w:pStyle w:val="Compact"/>
              <w:spacing w:after="40" w:before="40"/>
              <w:jc w:val="left"/>
            </w:pPr>
            <w:r>
              <w:rPr>
                <w:rFonts w:ascii="Cambria" w:hAnsi="Cambria" w:cs="Cambria" w:eastAsia="Cambria"/>
                <w:b/>
                <w:bCs/>
                <w:color w:val="1A1A1A"/>
                <w:sz w:val="18"/>
              </w:rPr>
              <w:t xml:space="preserve">Fascia anziana / popolazioni fragili</w:t>
            </w:r>
          </w:p>
        </w:tc>
        <w:tc>
          <w:tcPr/>
          <w:p>
            <w:pPr>
              <w:pStyle w:val="Compact"/>
              <w:spacing w:after="40" w:before="40"/>
              <w:jc w:val="left"/>
            </w:pPr>
            <w:r>
              <w:rPr>
                <w:rFonts w:ascii="Cambria" w:hAnsi="Cambria" w:cs="Cambria" w:eastAsia="Cambria"/>
                <w:color w:val="1A1A1A"/>
                <w:sz w:val="18"/>
              </w:rPr>
              <w:t xml:space="preserve">Over-65 accentuato nelle aree interne; solitudine; comorbilità fisiche; mobilità ridotta</w:t>
            </w:r>
          </w:p>
        </w:tc>
        <w:tc>
          <w:tcPr/>
          <w:p>
            <w:pPr>
              <w:pStyle w:val="Compact"/>
              <w:spacing w:after="40" w:before="40"/>
              <w:jc w:val="left"/>
            </w:pPr>
            <w:r>
              <w:rPr>
                <w:rFonts w:ascii="Cambria" w:hAnsi="Cambria" w:cs="Cambria" w:eastAsia="Cambria"/>
                <w:color w:val="1A1A1A"/>
                <w:sz w:val="18"/>
              </w:rPr>
              <w:t xml:space="preserve">Servizio di prossimità; integrazione con INRCA; copertura domiciliare per casi con mobilità ridotta</w:t>
            </w:r>
          </w:p>
        </w:tc>
      </w:tr>
    </w:tbl>
    <w:p>
      <w:pPr>
        <w:pStyle w:val="BodyText"/>
      </w:pPr>
      <w:r>
        <w:rPr>
          <w:i/>
          <w:iCs/>
        </w:rPr>
        <w:t xml:space="preserve">Tabella G.1. Gli assi del divario territoriale marchigiano e le leve di riequilibrio.</w:t>
      </w:r>
    </w:p>
    <w:bookmarkEnd w:id="2412"/>
    <w:bookmarkStart w:id="2414" w:name="g.3-gli-strumenti-dellequità-2"/>
    <w:p>
      <w:pPr>
        <w:pStyle w:val="Heading3"/>
      </w:pPr>
      <w:r>
        <w:t xml:space="preserve">G.3 Gli strumenti dell’equità</w:t>
      </w:r>
    </w:p>
    <w:p>
      <w:pPr>
        <w:pStyle w:val="FirstParagraph"/>
      </w:pPr>
      <w:r>
        <w:t xml:space="preserve">Il servizio agisce sull’equità attraverso meccanismi precisi. La prossimità nelle Case della Comunità e nei distretti, e la natura di primo livello accessibile senza specializzazione, abbattono le barriere e indirizzano l’offerta verso chi ne è oggi escluso.</w:t>
      </w:r>
      <w:r>
        <w:rPr>
          <w:rStyle w:val="FootnoteReference"/>
        </w:rPr>
        <w:footnoteReference w:id="2867"/>
      </w:r>
      <w:r>
        <w:t xml:space="preserve"> </w:t>
      </w:r>
      <w:r>
        <w:t xml:space="preserve">La gratuità o il basso costo dell’accesso abbatte la barriera economica; un eventuale ticket deve essere calibrato con esenzioni per le fasce fragili, perché non reintroduca la disuguaglianza che il servizio intende rimuovere. La telepsicologia è, nelle Marche, lo strumento di equità per eccellenza: consente di portare la prestazione psicologica nelle aree appenniniche interne senza moltiplicare le sedi fisiche, superando la barriera della distanza e della mobilità che colpisce in modo sproporzionato gli anziani e i residenti dei piccoli comuni. L’accesso diretto abbatte la barriera informativa per chi non saprebbe a chi rivolgersi.</w:t>
      </w:r>
    </w:p>
    <w:bookmarkEnd w:id="2414"/>
    <w:bookmarkStart w:id="2416" w:name="X70002eebf41990533aa94d07bf97fdc1e7248dd"/>
    <w:p>
      <w:pPr>
        <w:pStyle w:val="Heading3"/>
      </w:pPr>
      <w:r>
        <w:t xml:space="preserve">G.4 La costo-efficacia distributiva e le implicazioni allocative</w:t>
      </w:r>
    </w:p>
    <w:p>
      <w:pPr>
        <w:pStyle w:val="FirstParagraph"/>
      </w:pPr>
      <w:r>
        <w:t xml:space="preserve">L’analisi di costo-efficacia distributiva indica che l’intervento è efficiente e pro-equità: i maggiori benefici si concentrano nei gruppi a più elevato bisogno non soddisfatto.</w:t>
      </w:r>
      <w:r>
        <w:rPr>
          <w:rStyle w:val="FootnoteReference"/>
        </w:rPr>
        <w:footnoteReference w:id="2868"/>
      </w:r>
      <w:r>
        <w:t xml:space="preserve"> </w:t>
      </w:r>
      <w:r>
        <w:t xml:space="preserve">Per realizzare questo potenziale, la copertura deve essere modulata in funzione del bisogno, destinando risorse proporzionalmente maggiori alle aree interne appenniniche e ai distretti periferici rispetto ai capoluoghi. Un’allocazione uniforme rispetto alla popolazione non correggerebbe i divari; un’allocazione ponderata per il bisogno e per il disagio atteso li riduce. L’intervento è così simultaneamente l’opzione più equa e quella più efficiente, perché previene gli esiti più costosi là dove sono più probabili, allineando l’obiettivo dell’equità con quello dell’efficienza.</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dell’atto, rapporto di lavoro, governance, tutele etiche e protezione dei dati</w:t>
      </w:r>
    </w:p>
    <w:p>
      <w:pPr>
        <w:pStyle w:val="BodyText"/>
      </w:pPr>
      <w:r>
        <w:t xml:space="preserve">Domini dell’HTA · aspetti giuridici, etici e organizzativi</w:t>
      </w:r>
    </w:p>
    <w:bookmarkEnd w:id="2416"/>
    <w:bookmarkEnd w:id="2417"/>
    <w:bookmarkStart w:id="2428" w:name="X121c8762396098ed1aa9a8e786c44c8906ad176"/>
    <w:p>
      <w:pPr>
        <w:pStyle w:val="Heading2"/>
      </w:pPr>
      <w:r>
        <w:t xml:space="preserve">Parte H — Profili etico, giuridico e organizzativo</w:t>
      </w:r>
    </w:p>
    <w:p>
      <w:pPr>
        <w:pStyle w:val="FirstParagraph"/>
      </w:pPr>
      <w:r>
        <w:t xml:space="preserve">Questa parte affronta congiuntamente i domini giuridico, organizzativo ed etico. Il tratto distintivo delle Marche emerge sul piano giuridico: disponendo già di una sperimentazione amministrativa avviata, ma in assenza di una legge organica, le Marche si trovano in una posizione intermedia — il servizio esiste, ma la sua base giuridica è fragile — e la decisione rilevante è adottare la norma che lo struttura permanentemente, nel rispetto dei limiti costituzionali.</w:t>
      </w:r>
    </w:p>
    <w:bookmarkStart w:id="2420" w:name="h.1-il-profilo-giuridico-2"/>
    <w:p>
      <w:pPr>
        <w:pStyle w:val="Heading3"/>
      </w:pPr>
      <w:r>
        <w:t xml:space="preserve">H.1 Il profilo giuridico</w:t>
      </w:r>
    </w:p>
    <w:p>
      <w:pPr>
        <w:pStyle w:val="FirstParagraph"/>
      </w:pPr>
      <w:r>
        <w:t xml:space="preserve">Il profilo giuridico è, per le Marche, il più urgente.</w:t>
      </w:r>
      <w:r>
        <w:rPr>
          <w:rStyle w:val="FootnoteReference"/>
        </w:rPr>
        <w:footnoteReference w:id="2869"/>
      </w:r>
      <w:r>
        <w:t xml:space="preserve"> </w:t>
      </w:r>
      <w:r>
        <w:t xml:space="preserve">Il riferimento ineludibile è la sentenza della Corte Costituzionale n. 241 del 2021, che, pronunciandosi sulla legge regionale della Campania, ha delimitato la competenza regionale in materia di rapporti convenzionali con il Servizio Sanitario Nazionale: una legge regionale non può disciplinare autonomamente i rapporti convenzionali che la Costituzione e la legislazione nazionale riservano al livello statale. Questa pronuncia si applica direttamente a qualunque legge che le Marche intendano adottare. La norma marchigiana dovrà valorizzare gli strumenti compatibili con l’ordinamento: l’inserimento degli psicologi nelle Case della Comunità e nei servizi territoriali delle AST mediante forme di committenza conformi alla normativa vigente; il raccordo con la medicina generale nell’ambito del ruolo unico; e le forme di incarico ammesse dall’ordinamento, evitando di disciplinare autonomamente i rapporti convenzionali. Il PDL n. 100 all’esame dell’Assemblea Legislativa, che prevede psicologi liberi professionisti a rapporto convenzionale, dovrà essere verificato alla luce di questo vincolo e adattato di conseguenza.</w:t>
      </w:r>
      <w:r>
        <w:rPr>
          <w:rStyle w:val="FootnoteReference"/>
        </w:rPr>
        <w:footnoteReference w:id="2870"/>
      </w:r>
    </w:p>
    <w:tbl>
      <w:tblPr>
        <w:tblStyle w:val="Table"/>
        <w:tblW w:type="pct" w:w="495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00"/>
        <w:gridCol w:w="634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Profilo giuridico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le Marche</w:t>
            </w:r>
          </w:p>
        </w:tc>
      </w:tr>
      <w:tr>
        <w:tc>
          <w:tcPr/>
          <w:p>
            <w:pPr>
              <w:pStyle w:val="Compact"/>
              <w:spacing w:after="40" w:before="40"/>
              <w:jc w:val="left"/>
            </w:pPr>
            <w:r>
              <w:rPr>
                <w:rFonts w:ascii="Cambria" w:hAnsi="Cambria" w:cs="Cambria" w:eastAsia="Cambria"/>
                <w:b/>
                <w:bCs/>
                <w:color w:val="1A1A1A"/>
                <w:sz w:val="18"/>
              </w:rPr>
              <w:t xml:space="preserve">Competenza</w:t>
            </w:r>
          </w:p>
        </w:tc>
        <w:tc>
          <w:tcPr/>
          <w:p>
            <w:pPr>
              <w:pStyle w:val="Compact"/>
              <w:spacing w:after="40" w:before="40"/>
              <w:jc w:val="left"/>
            </w:pPr>
            <w:r>
              <w:rPr>
                <w:rFonts w:ascii="Cambria" w:hAnsi="Cambria" w:cs="Cambria" w:eastAsia="Cambria"/>
                <w:color w:val="1A1A1A"/>
                <w:sz w:val="18"/>
              </w:rPr>
              <w:t xml:space="preserve">Regionale, nel rispetto dei limiti della Corte Cost. 241/2021; materia di organizzazione sanitaria; vincoli sui rapporti convenzionali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Forma dell’atto</w:t>
            </w:r>
          </w:p>
        </w:tc>
        <w:tc>
          <w:tcPr>
            <w:shd w:val="clear" w:color="auto" w:fill="F4F1EC"/>
          </w:tcPr>
          <w:p>
            <w:pPr>
              <w:pStyle w:val="Compact"/>
              <w:spacing w:after="40" w:before="40"/>
              <w:jc w:val="left"/>
            </w:pPr>
            <w:r>
              <w:rPr>
                <w:rFonts w:ascii="Cambria" w:hAnsi="Cambria" w:cs="Cambria" w:eastAsia="Cambria"/>
                <w:color w:val="1A1A1A"/>
                <w:sz w:val="18"/>
              </w:rPr>
              <w:t xml:space="preserve">Legge regionale organica che struttura la sperimentazione in corso; coerente con la L.R. 19/2022 e il nuovo assetto delle 5 AST</w:t>
            </w:r>
          </w:p>
        </w:tc>
      </w:tr>
      <w:tr>
        <w:tc>
          <w:tcPr/>
          <w:p>
            <w:pPr>
              <w:pStyle w:val="Compact"/>
              <w:spacing w:after="40" w:before="40"/>
              <w:jc w:val="left"/>
            </w:pPr>
            <w:r>
              <w:rPr>
                <w:rFonts w:ascii="Cambria" w:hAnsi="Cambria" w:cs="Cambria" w:eastAsia="Cambria"/>
                <w:b/>
                <w:bCs/>
                <w:color w:val="1A1A1A"/>
                <w:sz w:val="18"/>
              </w:rPr>
              <w:t xml:space="preserve">Rapporto di lavoro</w:t>
            </w:r>
          </w:p>
        </w:tc>
        <w:tc>
          <w:tcPr/>
          <w:p>
            <w:pPr>
              <w:pStyle w:val="Compact"/>
              <w:spacing w:after="40" w:before="40"/>
              <w:jc w:val="left"/>
            </w:pPr>
            <w:r>
              <w:rPr>
                <w:rFonts w:ascii="Cambria" w:hAnsi="Cambria" w:cs="Cambria" w:eastAsia="Cambria"/>
                <w:color w:val="1A1A1A"/>
                <w:sz w:val="18"/>
              </w:rPr>
              <w:t xml:space="preserve">Forme compatibili con l’ordinamento: dipendenza, incarico professionale nelle forme ammesse; da definire con attenzione ai vincoli costituzionali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Livelli essenziali di assistenza</w:t>
            </w:r>
          </w:p>
        </w:tc>
        <w:tc>
          <w:tcPr>
            <w:shd w:val="clear" w:color="auto" w:fill="F4F1EC"/>
          </w:tcPr>
          <w:p>
            <w:pPr>
              <w:pStyle w:val="Compact"/>
              <w:spacing w:after="40" w:before="40"/>
              <w:jc w:val="left"/>
            </w:pPr>
            <w:r>
              <w:rPr>
                <w:rFonts w:ascii="Cambria" w:hAnsi="Cambria" w:cs="Cambria" w:eastAsia="Cambria"/>
                <w:color w:val="1A1A1A"/>
                <w:sz w:val="18"/>
              </w:rPr>
              <w:t xml:space="preserve">Non ancora ricompresi; il DM 77/2022 prevede lo psicologo delle cure primarie nelle Case della Comunità</w:t>
            </w:r>
          </w:p>
        </w:tc>
      </w:tr>
      <w:tr>
        <w:tc>
          <w:tcPr/>
          <w:p>
            <w:pPr>
              <w:pStyle w:val="Compact"/>
              <w:spacing w:after="40" w:before="40"/>
              <w:jc w:val="left"/>
            </w:pPr>
            <w:r>
              <w:rPr>
                <w:rFonts w:ascii="Cambria" w:hAnsi="Cambria" w:cs="Cambria" w:eastAsia="Cambria"/>
                <w:b/>
                <w:bCs/>
                <w:color w:val="1A1A1A"/>
                <w:sz w:val="18"/>
              </w:rPr>
              <w:t xml:space="preserve">Cornice territoriale</w:t>
            </w:r>
          </w:p>
        </w:tc>
        <w:tc>
          <w:tcPr/>
          <w:p>
            <w:pPr>
              <w:pStyle w:val="Compact"/>
              <w:spacing w:after="40" w:before="40"/>
              <w:jc w:val="left"/>
            </w:pPr>
            <w:r>
              <w:rPr>
                <w:rFonts w:ascii="Cambria" w:hAnsi="Cambria" w:cs="Cambria" w:eastAsia="Cambria"/>
                <w:color w:val="1A1A1A"/>
                <w:sz w:val="18"/>
              </w:rPr>
              <w:t xml:space="preserve">DM 77/2022; PSSR 2023–2025 e 2024–2028; inserimento nelle Case della Comunità; raccordo con le 5 AST</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con i servizi specialistici</w:t>
            </w:r>
          </w:p>
        </w:tc>
        <w:tc>
          <w:tcPr>
            <w:shd w:val="clear" w:color="auto" w:fill="F4F1EC"/>
          </w:tcPr>
          <w:p>
            <w:pPr>
              <w:pStyle w:val="Compact"/>
              <w:spacing w:after="40" w:before="40"/>
              <w:jc w:val="left"/>
            </w:pPr>
            <w:r>
              <w:rPr>
                <w:rFonts w:ascii="Cambria" w:hAnsi="Cambria" w:cs="Cambria" w:eastAsia="Cambria"/>
                <w:color w:val="1A1A1A"/>
                <w:sz w:val="18"/>
              </w:rPr>
              <w:t xml:space="preserve">Integrazione con i Dipartimenti di Salute Mentale delle AST, che il servizio precede e alleggerisce</w:t>
            </w:r>
          </w:p>
        </w:tc>
      </w:tr>
    </w:tbl>
    <w:p>
      <w:pPr>
        <w:pStyle w:val="BodyText"/>
      </w:pPr>
      <w:r>
        <w:rPr>
          <w:i/>
          <w:iCs/>
        </w:rPr>
        <w:t xml:space="preserve">Tabella H.1. I profili giuridici del servizio nelle Marche.</w:t>
      </w:r>
    </w:p>
    <w:bookmarkEnd w:id="2420"/>
    <w:bookmarkStart w:id="2423" w:name="X1b8f20047e1c29b1332ac0193170c8eab891a7e"/>
    <w:p>
      <w:pPr>
        <w:pStyle w:val="Heading3"/>
      </w:pPr>
      <w:r>
        <w:t xml:space="preserve">H.2 Il profilo organizzativo e la governance</w:t>
      </w:r>
    </w:p>
    <w:p>
      <w:pPr>
        <w:pStyle w:val="FirstParagraph"/>
      </w:pPr>
      <w:r>
        <w:t xml:space="preserve">Sul piano organizzativo, la strutturazione del servizio nelle Marche si misura con la riforma del 2022–2023: cinque AST autonome hanno sostituito l’ASUR unificata, e la governance del servizio deve articolarsi su due livelli.</w:t>
      </w:r>
      <w:r>
        <w:rPr>
          <w:rStyle w:val="FootnoteReference"/>
        </w:rPr>
        <w:footnoteReference w:id="2871"/>
      </w:r>
      <w:r>
        <w:t xml:space="preserve"> </w:t>
      </w:r>
      <w:r>
        <w:t xml:space="preserve">Al livello regionale: la Regione Marche, attraverso l’Assessorato alla Sanità e l’Agenzia Regionale Sanitaria (ARS), fissa gli standard uniformi, coordina la programmazione e gestisce il sistema informativo regionale e il monitoraggio. Al livello delle AST: ciascuna AST, articolata in distretti, organizza il servizio nel proprio territorio, con unità funzionali dedicate e un referente clinico (il direttore della UOC di psicologia clinica o un dirigente psicologo designato), che si raccorda con il Servizio Salute regionale.</w:t>
      </w:r>
      <w:r>
        <w:rPr>
          <w:rStyle w:val="FootnoteReference"/>
        </w:rPr>
        <w:footnoteReference w:id="2872"/>
      </w:r>
      <w:r>
        <w:t xml:space="preserve"> </w:t>
      </w:r>
      <w:r>
        <w:t xml:space="preserve">Il PDL n. 100 prevede la costituzione di un Osservatorio regionale con funzioni di controllo, programmazione e indirizzo, composto da rappresentanti delle AST, dell’Ordine degli Psicologi, dell’Università e della medicina generale: questo organismo risponde a una logica di governance multi-stakeholder coerente con l’impostazione dello studio.</w:t>
      </w:r>
    </w:p>
    <w:bookmarkEnd w:id="2423"/>
    <w:bookmarkStart w:id="2425" w:name="h.3-il-profilo-etico-2"/>
    <w:p>
      <w:pPr>
        <w:pStyle w:val="Heading3"/>
      </w:pPr>
      <w:r>
        <w:t xml:space="preserve">H.3 Il profilo etico</w:t>
      </w:r>
    </w:p>
    <w:p>
      <w:pPr>
        <w:pStyle w:val="FirstParagraph"/>
      </w:pPr>
      <w:r>
        <w:t xml:space="preserve">Sul piano etico, il servizio realizza principi fondamentali del sistema sanitario: l’equità, estendendo l’accesso alle cure psicologiche ai gruppi oggi esclusi; la dignità della persona, riconoscendo il disagio psichico come bisogno di salute meritevole di risposta pubblica; la giustizia distributiva, allocando risorse verso un bisogno inevaso nelle aree interne. Tre rischi etici meritano attenzione. Il primo è la protezione dei dati personali, particolarmente sensibili in ambito psicologico: il trattamento richiede misure rigorose di tutela, conformi al GDPR e alle norme nazionali. Il secondo è l’equità dell’accesso: un ticket non calibrato sulle condizioni economiche reintrodurrebbe la barriera che il servizio intende rimuovere, con effetti regressivi accentuati nelle aree interne. Il terzo è la qualità della relazione clinica: l’impiego della telepsicologia non deve ridurre la qualità della cura, ma deve rispettare i vincoli di appropriatezza clinica definiti dall’Ordine professionale.</w:t>
      </w:r>
      <w:r>
        <w:rPr>
          <w:rStyle w:val="FootnoteReference"/>
        </w:rPr>
        <w:footnoteReference w:id="2873"/>
      </w:r>
    </w:p>
    <w:bookmarkEnd w:id="2425"/>
    <w:bookmarkStart w:id="4465" w:name="h.4-sintesi-dei-profili-2"/>
    <w:p>
      <w:pPr>
        <w:pStyle w:val="Heading3"/>
      </w:pPr>
      <w:r>
        <w:t xml:space="preserve">H.4 Sintesi dei profili</w:t>
      </w:r>
    </w:p>
    <w:p>
      <w:pPr>
        <w:pStyle w:val="FirstParagraph"/>
      </w:pPr>
      <w:r>
        <w:t xml:space="preserve">I tre profili convergono in una valutazione favorevole, condizionata al rispetto di specifiche condizioni. Sul piano giuridico: la legge regionale è adottabile, a condizione di rispettare i limiti della sentenza 241/2021 e di valorizzare gli strumenti compatibili con l’ordinamento; la sperimentazione in corso non sostituisce la norma organica, ma ne rappresenta il punto di partenza. Sul piano organizzativo: il servizio è governabile nel nuovo assetto delle cinque AST, a condizione di costruire una governance a due livelli — regionale per gli standard e aziendale per l’attuazione. Sul piano etico: il servizio realizza valori fondamentali del sistema sanitario, a condizione che sia progettato secondo equità, che tuteli rigorosamente i dati personali e che governi con prudenza l’impiego della telepsicologia.</w:t>
      </w:r>
      <w:r>
        <w:rPr>
          <w:rStyle w:val="FootnoteReference"/>
        </w:rPr>
        <w:footnoteReference w:id="2874"/>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le fasi di attuazione, i rischi e le mitigazioni</w:t>
      </w:r>
    </w:p>
    <w:p>
      <w:pPr>
        <w:pStyle w:val="BodyText"/>
      </w:pPr>
      <w:r>
        <w:t xml:space="preserve">Five Case Model · la realizzabilità della decisione</w:t>
      </w:r>
    </w:p>
    <w:bookmarkEnd w:id="4465"/>
    <w:bookmarkEnd w:id="2428"/>
    <w:bookmarkStart w:id="2441" w:name="Xe00898277a88665d96f046ee324fe3661f91ff2"/>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Il tratto distintivo delle Marche — servizio già avviato sperimentalmente, riforma del sistema sanitario recente, morfologia territoriale duale — orienta la costruzione del percorso attuativo, che muove da un punto di partenza più avanzato rispetto alle regioni che non hanno ancora avviato la sperimentazione.</w:t>
      </w:r>
    </w:p>
    <w:bookmarkStart w:id="2434" w:name="i.1-i-cinque-casi-della-decisione-2"/>
    <w:p>
      <w:pPr>
        <w:pStyle w:val="Heading3"/>
      </w:pPr>
      <w:r>
        <w:t xml:space="preserve">I.1 I cinque casi della decisione</w:t>
      </w:r>
    </w:p>
    <w:p>
      <w:pPr>
        <w:pStyle w:val="FirstParagraph"/>
      </w:pPr>
      <w:r>
        <w:t xml:space="preserve">Il caso strategico è solido: la strutturazione organica risponde a un bisogno documentato, è coerente con il DM 77/2022, con il Piano Socio-Sanitario Regionale e con l’orientamento delle politiche nazionali.</w:t>
      </w:r>
      <w:r>
        <w:rPr>
          <w:rStyle w:val="FootnoteReference"/>
        </w:rPr>
        <w:footnoteReference w:id="2875"/>
      </w:r>
      <w:r>
        <w:t xml:space="preserve"> </w:t>
      </w:r>
      <w:r>
        <w:t xml:space="preserve">Il caso economico rinvia ai risultati della Parte E: rapporto beneficio-costo compreso fra 3,5 e 4,9 a uno; dominanza per paziente; caso sociale fortemente positivo; saldo finanziario diretto contenuto e prossimo al pareggio.</w:t>
      </w:r>
      <w:r>
        <w:rPr>
          <w:rStyle w:val="FootnoteReference"/>
        </w:rPr>
        <w:footnoteReference w:id="2876"/>
      </w:r>
      <w:r>
        <w:t xml:space="preserve"> </w:t>
      </w:r>
      <w:r>
        <w:t xml:space="preserve">Il caso commerciale è favorevole: la sperimentazione amministrativa in corso fornisce un nucleo di operatori già formati e un’esperienza organizzativa su cui costruire; le università marchigiane (UnivPM, Università di Camerino) alimentano il bacino professionale.</w:t>
      </w:r>
      <w:r>
        <w:rPr>
          <w:rStyle w:val="FootnoteReference"/>
        </w:rPr>
        <w:footnoteReference w:id="2877"/>
      </w:r>
      <w:r>
        <w:t xml:space="preserve"> </w:t>
      </w:r>
      <w:r>
        <w:t xml:space="preserve">Il caso finanziario è sostenibile: il costo del servizio rappresenta fra lo 0,4 e lo 0,8% del fondo sanitario regionale, una frazione che il bilancio assorbe senza difficoltà, e il saldo diretto negativo — dell’ordine di 5–7 milioni di euro l’anno — è trascurabile nella scala di 3,3–3,4 miliardi.</w:t>
      </w:r>
      <w:r>
        <w:rPr>
          <w:rStyle w:val="FootnoteReference"/>
        </w:rPr>
        <w:footnoteReference w:id="2878"/>
      </w:r>
      <w:r>
        <w:t xml:space="preserve"> </w:t>
      </w:r>
      <w:r>
        <w:t xml:space="preserve">Il caso gestionale dipende dalla capacità delle cinque AST di gestire il servizio nei rispettivi territori, con il coordinamento dell’ARS e dell’Assessorato alla Sanità.</w:t>
      </w:r>
      <w:r>
        <w:rPr>
          <w:rStyle w:val="FootnoteReference"/>
        </w:rPr>
        <w:footnoteReference w:id="2879"/>
      </w:r>
    </w:p>
    <w:tbl>
      <w:tblPr>
        <w:tblStyle w:val="Table"/>
        <w:tblW w:type="pct" w:w="495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32"/>
        <w:gridCol w:w="640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Caso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le Marche</w:t>
            </w:r>
          </w:p>
        </w:tc>
      </w:tr>
      <w:tr>
        <w:tc>
          <w:tcPr/>
          <w:p>
            <w:pPr>
              <w:pStyle w:val="Compact"/>
              <w:spacing w:after="40" w:before="40"/>
              <w:jc w:val="left"/>
            </w:pPr>
            <w:r>
              <w:rPr>
                <w:rFonts w:ascii="Cambria" w:hAnsi="Cambria" w:cs="Cambria" w:eastAsia="Cambria"/>
                <w:b/>
                <w:bCs/>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Coerenza con DM 77/2022, PSSR 2024–2028, Case della Comunità; strutturazione organica della sperimentazione in 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Rapporto beneficio-costo 3,5–4,9 a uno; dominanza per paziente; caso sociale fortemente positivo</w:t>
            </w:r>
          </w:p>
        </w:tc>
      </w:tr>
      <w:tr>
        <w:tc>
          <w:tcPr/>
          <w:p>
            <w:pPr>
              <w:pStyle w:val="Compact"/>
              <w:spacing w:after="40" w:before="40"/>
              <w:jc w:val="left"/>
            </w:pPr>
            <w:r>
              <w:rPr>
                <w:rFonts w:ascii="Cambria" w:hAnsi="Cambria" w:cs="Cambria" w:eastAsia="Cambria"/>
                <w:b/>
                <w:bCs/>
                <w:color w:val="1A1A1A"/>
                <w:sz w:val="18"/>
              </w:rPr>
              <w:t xml:space="preserve">Commerciale</w:t>
            </w:r>
          </w:p>
        </w:tc>
        <w:tc>
          <w:tcPr/>
          <w:p>
            <w:pPr>
              <w:pStyle w:val="Compact"/>
              <w:spacing w:after="40" w:before="40"/>
              <w:jc w:val="left"/>
            </w:pPr>
            <w:r>
              <w:rPr>
                <w:rFonts w:ascii="Cambria" w:hAnsi="Cambria" w:cs="Cambria" w:eastAsia="Cambria"/>
                <w:color w:val="1A1A1A"/>
                <w:sz w:val="18"/>
              </w:rPr>
              <w:t xml:space="preserve">Sperimentazione già avviata; nucleo di operatori esistente; UnivPM e Università di Camerino; Ordine degli Psicologi delle Marche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Finanziario</w:t>
            </w:r>
          </w:p>
        </w:tc>
        <w:tc>
          <w:tcPr>
            <w:shd w:val="clear" w:color="auto" w:fill="F4F1EC"/>
          </w:tcPr>
          <w:p>
            <w:pPr>
              <w:pStyle w:val="Compact"/>
              <w:spacing w:after="40" w:before="40"/>
              <w:jc w:val="left"/>
            </w:pPr>
            <w:r>
              <w:rPr>
                <w:rFonts w:ascii="Cambria" w:hAnsi="Cambria" w:cs="Cambria" w:eastAsia="Cambria"/>
                <w:color w:val="1A1A1A"/>
                <w:sz w:val="18"/>
              </w:rPr>
              <w:t xml:space="preserve">Costo 0,4–0,8% del FSR; saldo diretto −5/−7 mln/anno trascurabile nella scala di 3,3–3,4 mld</w:t>
            </w:r>
          </w:p>
        </w:tc>
      </w:tr>
      <w:tr>
        <w:tc>
          <w:tcPr/>
          <w:p>
            <w:pPr>
              <w:pStyle w:val="Compact"/>
              <w:spacing w:after="40" w:before="40"/>
              <w:jc w:val="left"/>
            </w:pPr>
            <w:r>
              <w:rPr>
                <w:rFonts w:ascii="Cambria" w:hAnsi="Cambria" w:cs="Cambria" w:eastAsia="Cambria"/>
                <w:b/>
                <w:bCs/>
                <w:color w:val="1A1A1A"/>
                <w:sz w:val="18"/>
              </w:rPr>
              <w:t xml:space="preserve">Gestionale</w:t>
            </w:r>
          </w:p>
        </w:tc>
        <w:tc>
          <w:tcPr/>
          <w:p>
            <w:pPr>
              <w:pStyle w:val="Compact"/>
              <w:spacing w:after="40" w:before="40"/>
              <w:jc w:val="left"/>
            </w:pPr>
            <w:r>
              <w:rPr>
                <w:rFonts w:ascii="Cambria" w:hAnsi="Cambria" w:cs="Cambria" w:eastAsia="Cambria"/>
                <w:color w:val="1A1A1A"/>
                <w:sz w:val="18"/>
              </w:rPr>
              <w:t xml:space="preserve">Governance a due livelli: ARS/Assessorato (standard) e 5 AST (attuazione); Osservatorio regionale; raccordo con i distretti</w:t>
            </w:r>
          </w:p>
        </w:tc>
      </w:tr>
    </w:tbl>
    <w:p>
      <w:pPr>
        <w:pStyle w:val="BodyText"/>
      </w:pPr>
      <w:r>
        <w:rPr>
          <w:i/>
          <w:iCs/>
        </w:rPr>
        <w:t xml:space="preserve">Tabella I.1. I cinque casi della decisione di investimento pubblico.</w:t>
      </w:r>
    </w:p>
    <w:bookmarkEnd w:id="2434"/>
    <w:bookmarkStart w:id="4466" w:name="Xefeb94c20a62a828684b285f977835cbeeda47f"/>
    <w:p>
      <w:pPr>
        <w:pStyle w:val="Heading3"/>
      </w:pPr>
      <w:r>
        <w:t xml:space="preserve">I.2 Il dimensionamento e le fasi di attuazione</w:t>
      </w:r>
    </w:p>
    <w:p>
      <w:pPr>
        <w:pStyle w:val="FirstParagraph"/>
      </w:pPr>
      <w:r>
        <w:t xml:space="preserve">Il dimensionamento del servizio muove dalla sperimentazione amministrativa già avviata e procede per gradi verso i tre scenari: conservativo (250 psicologi), di base (340) ed espansivo (370). La struttura delle cinque AST, articolate in distretti, fornisce la cornice organizzativa naturale: il PDL n. 100 prevede almeno due psicologi per distretto, il che è coerente con lo scenario conservativo nelle AST più grandi. Il percorso di dispiegamento si articola in tre fasi.</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96"/>
        <w:gridCol w:w="3679"/>
        <w:gridCol w:w="261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Dimensionamento indicativo</w:t>
            </w:r>
          </w:p>
        </w:tc>
      </w:tr>
      <w:tr>
        <w:tc>
          <w:tcPr/>
          <w:p>
            <w:pPr>
              <w:pStyle w:val="Compact"/>
              <w:spacing w:after="40" w:before="40"/>
              <w:jc w:val="left"/>
            </w:pPr>
            <w:r>
              <w:rPr>
                <w:rFonts w:ascii="Cambria" w:hAnsi="Cambria" w:cs="Cambria" w:eastAsia="Cambria"/>
                <w:b/>
                <w:bCs/>
                <w:color w:val="1A1A1A"/>
                <w:sz w:val="18"/>
              </w:rPr>
              <w:t xml:space="preserve">Strutturazione</w:t>
            </w:r>
          </w:p>
        </w:tc>
        <w:tc>
          <w:tcPr/>
          <w:p>
            <w:pPr>
              <w:pStyle w:val="Compact"/>
              <w:spacing w:after="40" w:before="40"/>
              <w:jc w:val="left"/>
            </w:pPr>
            <w:r>
              <w:rPr>
                <w:rFonts w:ascii="Cambria" w:hAnsi="Cambria" w:cs="Cambria" w:eastAsia="Cambria"/>
                <w:color w:val="1A1A1A"/>
                <w:sz w:val="18"/>
              </w:rPr>
              <w:t xml:space="preserve">Adozione della legge organica; formalizzazione del nucleo d</w:t>
            </w:r>
          </w:p>
        </w:tc>
        <w:tc>
          <w:tcPr/>
          <w:p>
            <w:pPr>
              <w:pStyle w:val="Compact"/>
              <w:spacing w:after="40" w:before="40"/>
              <w:jc w:val="left"/>
            </w:pPr>
            <w:r>
              <w:rPr>
                <w:rFonts w:ascii="Cambria" w:hAnsi="Cambria" w:cs="Cambria" w:eastAsia="Cambria"/>
                <w:color w:val="1A1A1A"/>
                <w:sz w:val="18"/>
              </w:rPr>
              <w:t xml:space="preserve">ella sperimentazione Nucleo esistente + prime assunzioni organiche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Consolidamento</w:t>
            </w:r>
          </w:p>
        </w:tc>
        <w:tc>
          <w:tcPr>
            <w:shd w:val="clear" w:color="auto" w:fill="F4F1EC"/>
          </w:tcPr>
          <w:p>
            <w:pPr>
              <w:pStyle w:val="Compact"/>
              <w:spacing w:after="40" w:before="40"/>
              <w:jc w:val="left"/>
            </w:pPr>
            <w:r>
              <w:rPr>
                <w:rFonts w:ascii="Cambria" w:hAnsi="Cambria" w:cs="Cambria" w:eastAsia="Cambria"/>
                <w:color w:val="1A1A1A"/>
                <w:sz w:val="18"/>
              </w:rPr>
              <w:t xml:space="preserve">Estensione alle aree non ancora coperte; integrazione con l</w:t>
            </w:r>
          </w:p>
        </w:tc>
        <w:tc>
          <w:tcPr>
            <w:shd w:val="clear" w:color="auto" w:fill="F4F1EC"/>
          </w:tcPr>
          <w:p>
            <w:pPr>
              <w:pStyle w:val="Compact"/>
              <w:spacing w:after="40" w:before="40"/>
              <w:jc w:val="left"/>
            </w:pPr>
            <w:r>
              <w:rPr>
                <w:rFonts w:ascii="Cambria" w:hAnsi="Cambria" w:cs="Cambria" w:eastAsia="Cambria"/>
                <w:color w:val="1A1A1A"/>
                <w:sz w:val="18"/>
              </w:rPr>
              <w:t xml:space="preserve">e Case della Comunità verso ~ 250–340 psicologi</w:t>
            </w:r>
          </w:p>
        </w:tc>
      </w:tr>
      <w:tr>
        <w:tc>
          <w:tcPr/>
          <w:p>
            <w:pPr>
              <w:pStyle w:val="Compact"/>
              <w:spacing w:after="40" w:before="40"/>
              <w:jc w:val="left"/>
            </w:pPr>
            <w:r>
              <w:rPr>
                <w:rFonts w:ascii="Cambria" w:hAnsi="Cambria" w:cs="Cambria" w:eastAsia="Cambria"/>
                <w:b/>
                <w:bCs/>
                <w:color w:val="1A1A1A"/>
                <w:sz w:val="18"/>
              </w:rPr>
              <w:t xml:space="preserve">Regime</w:t>
            </w:r>
          </w:p>
        </w:tc>
        <w:tc>
          <w:tcPr/>
          <w:p>
            <w:pPr>
              <w:pStyle w:val="Compact"/>
              <w:spacing w:after="40" w:before="40"/>
              <w:jc w:val="left"/>
            </w:pPr>
            <w:r>
              <w:rPr>
                <w:rFonts w:ascii="Cambria" w:hAnsi="Cambria" w:cs="Cambria" w:eastAsia="Cambria"/>
                <w:color w:val="1A1A1A"/>
                <w:sz w:val="18"/>
              </w:rPr>
              <w:t xml:space="preserve">Copertura sistematica con attenzione pro-equità alle aree i</w:t>
            </w:r>
          </w:p>
        </w:tc>
        <w:tc>
          <w:tcPr/>
          <w:p>
            <w:pPr>
              <w:pStyle w:val="Compact"/>
              <w:spacing w:after="40" w:before="40"/>
              <w:jc w:val="left"/>
            </w:pPr>
            <w:r>
              <w:rPr>
                <w:rFonts w:ascii="Cambria" w:hAnsi="Cambria" w:cs="Cambria" w:eastAsia="Cambria"/>
                <w:color w:val="1A1A1A"/>
                <w:sz w:val="18"/>
              </w:rPr>
              <w:t xml:space="preserve">nterne fino a ~ 370 psicologi</w:t>
            </w:r>
          </w:p>
        </w:tc>
      </w:tr>
    </w:tbl>
    <w:p>
      <w:pPr>
        <w:pStyle w:val="BodyText"/>
      </w:pPr>
      <w:r>
        <w:rPr>
          <w:i/>
          <w:iCs/>
        </w:rPr>
        <w:t xml:space="preserve">Tabella I.2. Le fasi di attuazione e il dimensionamento progressivo.</w:t>
      </w:r>
    </w:p>
    <w:bookmarkEnd w:id="4466"/>
    <w:bookmarkStart w:id="2437" w:name="X9ad5547298945c3e239a415f1b098e4abf19302"/>
    <w:p>
      <w:pPr>
        <w:pStyle w:val="Heading3"/>
      </w:pPr>
      <w:r>
        <w:t xml:space="preserve">I.3 Reclutamento, formazione e cronoprogramma</w:t>
      </w:r>
    </w:p>
    <w:p>
      <w:pPr>
        <w:pStyle w:val="FirstParagraph"/>
      </w:pPr>
      <w:r>
        <w:t xml:space="preserve">La sperimentazione amministrativa in corso ha già formato un nucleo di professionisti con esperienza del modello marchigiano. Questo nucleo costituisce il punto di partenza del reclutamento, che dovrà essere integrato attraverso i bacini universitari regionali e nazionali. La formazione, come esposto nella Parte C, è articolata su quattro livelli, con un’attenzione specifica alla telepsicologia come competenza essenziale per le aree interne. Il cronoprogramma indicativo prevede una prima fase di adozione della legge organica e di formalizzazione del nucleo della sperimentazione; una seconda fase di estensione verso lo scenario conservativo, con la costruzione del sistema informativo uniforme e del coordinamento fra le cinque AST; e una terza fase di regime, con il raggiungimento dello scenario espansivo in funzione degli esiti e delle risorse disponibili.</w:t>
      </w:r>
      <w:r>
        <w:rPr>
          <w:rStyle w:val="FootnoteReference"/>
        </w:rPr>
        <w:footnoteReference w:id="2880"/>
      </w:r>
    </w:p>
    <w:bookmarkEnd w:id="2437"/>
    <w:bookmarkStart w:id="2439" w:name="i.4-la-sostenibilità"/>
    <w:p>
      <w:pPr>
        <w:pStyle w:val="Heading3"/>
      </w:pPr>
      <w:r>
        <w:t xml:space="preserve">I.4 La sostenibilità</w:t>
      </w:r>
    </w:p>
    <w:p>
      <w:pPr>
        <w:pStyle w:val="FirstParagraph"/>
      </w:pPr>
      <w:r>
        <w:t xml:space="preserve">La sostenibilità finanziaria è documentata dalla Parte E: il costo del servizio è modesto in rapporto al fondo sanitario, e il saldo diretto prossimo al pareggio ne riduce l’impatto netto. La sostenibilità organizzativa dipende dalla capacità delle cinque AST di gestire il servizio in modo coordinato, evitando frammentazioni e garantendo standard uniformi. La governance a due livelli — regionale per gli standard, aziendale per l’attuazione — è la soluzione coerente con il nuovo assetto istituzionale. La sostenibilità della telepsicologia, in particolare nelle aree interne, dipende dall’infrastruttura digitale, che il PNRR sta potenziando, e dalla formazione degli operatori.</w:t>
      </w:r>
      <w:r>
        <w:rPr>
          <w:rStyle w:val="FootnoteReference"/>
        </w:rPr>
        <w:footnoteReference w:id="2881"/>
      </w:r>
    </w:p>
    <w:bookmarkEnd w:id="2439"/>
    <w:bookmarkStart w:id="2440" w:name="i.5-i-rischi-e-le-mitigazioni-2"/>
    <w:p>
      <w:pPr>
        <w:pStyle w:val="Heading3"/>
      </w:pPr>
      <w:r>
        <w:t xml:space="preserve">I.5 I rischi e le mitigazioni</w:t>
      </w:r>
    </w:p>
    <w:p>
      <w:pPr>
        <w:pStyle w:val="FirstParagraph"/>
      </w:pPr>
      <w:r>
        <w:t xml:space="preserve">Cinque rischi meritano di essere esplicitati.</w:t>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500"/>
        <w:gridCol w:w="433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Mitigazione</w:t>
            </w:r>
          </w:p>
        </w:tc>
      </w:tr>
      <w:tr>
        <w:tc>
          <w:tcPr/>
          <w:p>
            <w:pPr>
              <w:pStyle w:val="Compact"/>
              <w:spacing w:after="40" w:before="40"/>
              <w:jc w:val="left"/>
            </w:pPr>
            <w:r>
              <w:rPr>
                <w:rFonts w:ascii="Cambria" w:hAnsi="Cambria" w:cs="Cambria" w:eastAsia="Cambria"/>
                <w:b/>
                <w:bCs/>
                <w:color w:val="1A1A1A"/>
                <w:sz w:val="18"/>
              </w:rPr>
              <w:t xml:space="preserve">Fragilità giuridica della sperimentazione</w:t>
            </w:r>
          </w:p>
        </w:tc>
        <w:tc>
          <w:tcPr/>
          <w:p>
            <w:pPr>
              <w:pStyle w:val="Compact"/>
              <w:spacing w:after="40" w:before="40"/>
              <w:jc w:val="left"/>
            </w:pPr>
            <w:r>
              <w:rPr>
                <w:rFonts w:ascii="Cambria" w:hAnsi="Cambria" w:cs="Cambria" w:eastAsia="Cambria"/>
                <w:color w:val="1A1A1A"/>
                <w:sz w:val="18"/>
              </w:rPr>
              <w:t xml:space="preserve">Adozione rapida della legge organica conforme alla sentenza 241/2021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Frammentazione fra le cinque AST</w:t>
            </w:r>
          </w:p>
        </w:tc>
        <w:tc>
          <w:tcPr>
            <w:shd w:val="clear" w:color="auto" w:fill="F4F1EC"/>
          </w:tcPr>
          <w:p>
            <w:pPr>
              <w:pStyle w:val="Compact"/>
              <w:spacing w:after="40" w:before="40"/>
              <w:jc w:val="left"/>
            </w:pPr>
            <w:r>
              <w:rPr>
                <w:rFonts w:ascii="Cambria" w:hAnsi="Cambria" w:cs="Cambria" w:eastAsia="Cambria"/>
                <w:color w:val="1A1A1A"/>
                <w:sz w:val="18"/>
              </w:rPr>
              <w:t xml:space="preserve">Governance regionale unitaria (ARS); standard uniformi; Osservatorio regionale</w:t>
            </w:r>
          </w:p>
        </w:tc>
      </w:tr>
      <w:tr>
        <w:tc>
          <w:tcPr/>
          <w:p>
            <w:pPr>
              <w:pStyle w:val="Compact"/>
              <w:spacing w:after="40" w:before="40"/>
              <w:jc w:val="left"/>
            </w:pPr>
            <w:r>
              <w:rPr>
                <w:rFonts w:ascii="Cambria" w:hAnsi="Cambria" w:cs="Cambria" w:eastAsia="Cambria"/>
                <w:b/>
                <w:bCs/>
                <w:color w:val="1A1A1A"/>
                <w:sz w:val="18"/>
              </w:rPr>
              <w:t xml:space="preserve">Copertura insufficiente nelle aree appenniniche interne</w:t>
            </w:r>
          </w:p>
        </w:tc>
        <w:tc>
          <w:tcPr/>
          <w:p>
            <w:pPr>
              <w:pStyle w:val="Compact"/>
              <w:spacing w:after="40" w:before="40"/>
              <w:jc w:val="left"/>
            </w:pPr>
            <w:r>
              <w:rPr>
                <w:rFonts w:ascii="Cambria" w:hAnsi="Cambria" w:cs="Cambria" w:eastAsia="Cambria"/>
                <w:color w:val="1A1A1A"/>
                <w:sz w:val="18"/>
              </w:rPr>
              <w:t xml:space="preserve">Allocazione pro-equità; telepsicologia strutturale; priorità geografica nelle fasi iniziali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Disponibilità di personale nelle aree meno attrattive</w:t>
            </w:r>
          </w:p>
        </w:tc>
        <w:tc>
          <w:tcPr>
            <w:shd w:val="clear" w:color="auto" w:fill="F4F1EC"/>
          </w:tcPr>
          <w:p>
            <w:pPr>
              <w:pStyle w:val="Compact"/>
              <w:spacing w:after="40" w:before="40"/>
              <w:jc w:val="left"/>
            </w:pPr>
            <w:r>
              <w:rPr>
                <w:rFonts w:ascii="Cambria" w:hAnsi="Cambria" w:cs="Cambria" w:eastAsia="Cambria"/>
                <w:color w:val="1A1A1A"/>
                <w:sz w:val="18"/>
              </w:rPr>
              <w:t xml:space="preserve">Incentivi localizzativi; modalità di lavoro misto (presenza + telelavoro); formazione dedicata</w:t>
            </w:r>
          </w:p>
        </w:tc>
      </w:tr>
      <w:tr>
        <w:tc>
          <w:tcPr/>
          <w:p>
            <w:pPr>
              <w:pStyle w:val="Compact"/>
              <w:spacing w:after="40" w:before="40"/>
              <w:jc w:val="left"/>
            </w:pPr>
            <w:r>
              <w:rPr>
                <w:rFonts w:ascii="Cambria" w:hAnsi="Cambria" w:cs="Cambria" w:eastAsia="Cambria"/>
                <w:b/>
                <w:bCs/>
                <w:color w:val="1A1A1A"/>
                <w:sz w:val="18"/>
              </w:rPr>
              <w:t xml:space="preserve">Lacuna dei dati per la valutazione</w:t>
            </w:r>
          </w:p>
        </w:tc>
        <w:tc>
          <w:tcPr/>
          <w:p>
            <w:pPr>
              <w:pStyle w:val="Compact"/>
              <w:spacing w:after="40" w:before="40"/>
              <w:jc w:val="left"/>
            </w:pPr>
            <w:r>
              <w:rPr>
                <w:rFonts w:ascii="Cambria" w:hAnsi="Cambria" w:cs="Cambria" w:eastAsia="Cambria"/>
                <w:color w:val="1A1A1A"/>
                <w:sz w:val="18"/>
              </w:rPr>
              <w:t xml:space="preserve">Sistema informativo uniforme fra le 5 AST; consolidamento dei dati della sperimentazione</w:t>
            </w:r>
          </w:p>
        </w:tc>
      </w:tr>
    </w:tbl>
    <w:p>
      <w:pPr>
        <w:pStyle w:val="BodyText"/>
      </w:pPr>
      <w:r>
        <w:rPr>
          <w:i/>
          <w:iCs/>
        </w:rPr>
        <w:t xml:space="preserve">Tabella I.3. I rischi dell’attuazione e le relative mitigazioni.</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batteria di indicatori, cruscotto regionale e clausola valutativa</w:t>
      </w:r>
    </w:p>
    <w:p>
      <w:pPr>
        <w:pStyle w:val="BodyText"/>
      </w:pPr>
      <w:r>
        <w:t xml:space="preserve">Inferenza causale quasi-sperimentale · la valutazione ex post</w:t>
      </w:r>
    </w:p>
    <w:bookmarkEnd w:id="2440"/>
    <w:bookmarkEnd w:id="2441"/>
    <w:bookmarkStart w:id="2460" w:name="X28fa87ff0d1de882aad750ea02b372258257d1d"/>
    <w:p>
      <w:pPr>
        <w:pStyle w:val="Heading2"/>
      </w:pPr>
      <w:r>
        <w:t xml:space="preserve">Parte L — Monitoraggio e valutazione ex post</w:t>
      </w:r>
    </w:p>
    <w:p>
      <w:pPr>
        <w:pStyle w:val="FirstParagraph"/>
      </w:pPr>
      <w:r>
        <w:t xml:space="preserve">Questa parte definisce il sistema di monitoraggio e la valutazione ex post dell’intervento. Il tratto distintivo delle Marche è che, disponendo di una sperimentazione amministrativa già avviata, la valutazione può fondarsi su una base informativa più ricca di quella delle regioni che partono da zero, e le clausole valutative — da corredare alla legge organica — vanno costruite assicurando la comparabilità fra le cinque AST.</w:t>
      </w:r>
    </w:p>
    <w:bookmarkStart w:id="4467" w:name="X84457132751690c456b2847013246fa843146ee"/>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L’impianto distingue tre livelli: struttura, processo ed esito, in modo che ciascuna dimensione sia presidiata da indicatori propri. Il monitoraggio si articola in un livello continuo — che rileva con regolarità gli indicatori di attività e di esito — e in un livello di valutazione periodica, a cadenza biennale, che analizza in profondità gli effetti del servizio e ne stima l’impatto sulla base dei dati osservati.</w:t>
      </w:r>
      <w:r>
        <w:rPr>
          <w:rStyle w:val="FootnoteReference"/>
        </w:rPr>
        <w:footnoteReference w:id="2882"/>
      </w:r>
    </w:p>
    <w:bookmarkEnd w:id="4467"/>
    <w:bookmarkStart w:id="2446" w:name="Xe76498dba7d3aa583561d100d74bcb5f1e7d5c5"/>
    <w:p>
      <w:pPr>
        <w:pStyle w:val="Heading3"/>
      </w:pPr>
      <w:r>
        <w:t xml:space="preserve">L.2 Il disegno controfattuale e i metodi</w:t>
      </w:r>
    </w:p>
    <w:p>
      <w:pPr>
        <w:pStyle w:val="FirstParagraph"/>
      </w:pPr>
      <w:r>
        <w:t xml:space="preserve">Il disegno della valutazione d’impatto beneficia della struttura delle cinque AST, che consente di costruire confronti fra territori a diverso grado di implementazione del servizio. Poiché la strutturazione organica avverrà in tempi differenziati fra le AST e i distretti, la valutazione può fondarsi su un disegno a cunei progressivi, in cui l’ordine e i tempi di attivazione sono impiegati a fini valutativi.</w:t>
      </w:r>
      <w:r>
        <w:rPr>
          <w:rStyle w:val="FootnoteReference"/>
        </w:rPr>
        <w:footnoteReference w:id="2883"/>
      </w:r>
      <w:r>
        <w:t xml:space="preserve"> </w:t>
      </w:r>
      <w:r>
        <w:t xml:space="preserve">I dati della sperimentazione amministrativa in corso forniscono una linea di base parziale, che il sistema informativo uniforme potrà consolidare. L’effetto causale è stimato con la differenza-nelle-differenze e con il metodo del controllo sintetico, a partire dai dati delle AST.</w:t>
      </w:r>
      <w:r>
        <w:rPr>
          <w:rStyle w:val="FootnoteReference"/>
        </w:rPr>
        <w:footnoteReference w:id="2884"/>
      </w:r>
    </w:p>
    <w:bookmarkEnd w:id="2446"/>
    <w:bookmarkStart w:id="2454" w:name="l.3-la-batteria-degli-indicatori-2"/>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2885"/>
      </w:r>
      <w:r>
        <w:t xml:space="preserve"> </w:t>
      </w:r>
      <w:r>
        <w:t xml:space="preserve">Gli indicatori di processo misurano il funzionamento — prese in carico, attesa, colloqui, invio appropriato, uso della telepsicologia.</w:t>
      </w:r>
      <w:r>
        <w:rPr>
          <w:rStyle w:val="FootnoteReference"/>
        </w:rPr>
        <w:footnoteReference w:id="2886"/>
      </w:r>
      <w:r>
        <w:t xml:space="preserve"> </w:t>
      </w:r>
      <w:r>
        <w:t xml:space="preserve">Gli indicatori di esito clinico misurano il beneficio diretto — miglioramento, recupero, remissione (PHQ-9, GAD-7).</w:t>
      </w:r>
      <w:r>
        <w:rPr>
          <w:rStyle w:val="FootnoteReference"/>
        </w:rPr>
        <w:footnoteReference w:id="2887"/>
      </w:r>
      <w:r>
        <w:t xml:space="preserve"> </w:t>
      </w:r>
      <w:r>
        <w:t xml:space="preserve">Gli indicatori di esito di sistema misurano l’effetto sul resto del sistema — pronto soccorso, psicofarmaci, ricoveri.</w:t>
      </w:r>
      <w:r>
        <w:rPr>
          <w:rStyle w:val="FootnoteReference"/>
        </w:rPr>
        <w:footnoteReference w:id="2888"/>
      </w:r>
      <w:r>
        <w:t xml:space="preserve"> </w:t>
      </w:r>
      <w:r>
        <w:t xml:space="preserve">Gli indicatori economici verificano ex post le stime.</w:t>
      </w:r>
      <w:r>
        <w:rPr>
          <w:rStyle w:val="FootnoteReference"/>
        </w:rPr>
        <w:footnoteReference w:id="2889"/>
      </w:r>
      <w:r>
        <w:t xml:space="preserve"> </w:t>
      </w:r>
      <w:r>
        <w:t xml:space="preserve">Gli indicatori di equità, disaggregati per area (costiera/appenninica), per AST e per fascia di età, verificano che il servizio riduca i divari territoriali e generazionali e raggiunga le aree interne.</w:t>
      </w:r>
      <w:r>
        <w:rPr>
          <w:rStyle w:val="FootnoteReference"/>
        </w:rPr>
        <w:footnoteReference w:id="2890"/>
      </w:r>
      <w:r>
        <w:t xml:space="preserve"> </w:t>
      </w:r>
      <w:r>
        <w:t xml:space="preserve">Gli indicatori di qualità integrano la misurazione con la dimensione dell’esperienza.</w:t>
      </w:r>
      <w:r>
        <w:rPr>
          <w:rStyle w:val="FootnoteReference"/>
        </w:rPr>
        <w:footnoteReference w:id="2891"/>
      </w:r>
      <w:r>
        <w:t xml:space="preserve"> </w:t>
      </w:r>
      <w:r>
        <w:t xml:space="preserve">L’insieme conta dell’ordine di sessanta indicatori in sette categorie.</w:t>
      </w:r>
    </w:p>
    <w:tbl>
      <w:tblPr>
        <w:tblStyle w:val="Table"/>
        <w:tblW w:type="pct" w:w="494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77"/>
        <w:gridCol w:w="614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Struttura</w:t>
            </w:r>
          </w:p>
        </w:tc>
        <w:tc>
          <w:tcPr/>
          <w:p>
            <w:pPr>
              <w:pStyle w:val="Compact"/>
              <w:spacing w:after="40" w:before="40"/>
              <w:jc w:val="left"/>
            </w:pPr>
            <w:r>
              <w:rPr>
                <w:rFonts w:ascii="Cambria" w:hAnsi="Cambria" w:cs="Cambria" w:eastAsia="Cambria"/>
                <w:color w:val="1A1A1A"/>
                <w:sz w:val="18"/>
              </w:rPr>
              <w:t xml:space="preserve">Sedi attivate per AST e distretto; incarichi; ore; copertura del fabbisogno; distribuzione costiero/appenninico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Processo</w:t>
            </w:r>
          </w:p>
        </w:tc>
        <w:tc>
          <w:tcPr>
            <w:shd w:val="clear" w:color="auto" w:fill="F4F1EC"/>
          </w:tcPr>
          <w:p>
            <w:pPr>
              <w:pStyle w:val="Compact"/>
              <w:spacing w:after="40" w:before="40"/>
              <w:jc w:val="left"/>
            </w:pPr>
            <w:r>
              <w:rPr>
                <w:rFonts w:ascii="Cambria" w:hAnsi="Cambria" w:cs="Cambria" w:eastAsia="Cambria"/>
                <w:color w:val="1A1A1A"/>
                <w:sz w:val="18"/>
              </w:rPr>
              <w:t xml:space="preserve">Prese in carico; attesa al primo colloquio; colloqui per persona; invio appropriato; quota di prestazioni in telepsicologia</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Miglioramento, recupero, remissione (PHQ-9, GAD-7; punteggi complessivi)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per cause psichiatriche; psicofarmaci; ricoveri evitabili; specialistica impropria</w:t>
            </w:r>
          </w:p>
        </w:tc>
      </w:tr>
      <w:tr>
        <w:tc>
          <w:tcPr/>
          <w:p>
            <w:pPr>
              <w:pStyle w:val="Compact"/>
              <w:spacing w:after="40" w:before="40"/>
              <w:jc w:val="left"/>
            </w:pPr>
            <w:r>
              <w:rPr>
                <w:rFonts w:ascii="Cambria" w:hAnsi="Cambria" w:cs="Cambria" w:eastAsia="Cambria"/>
                <w:b/>
                <w:bCs/>
                <w:color w:val="1A1A1A"/>
                <w:sz w:val="18"/>
              </w:rPr>
              <w:t xml:space="preserve">Economici</w:t>
            </w:r>
          </w:p>
        </w:tc>
        <w:tc>
          <w:tcPr/>
          <w:p>
            <w:pPr>
              <w:pStyle w:val="Compact"/>
              <w:spacing w:after="40" w:before="40"/>
              <w:jc w:val="left"/>
            </w:pPr>
            <w:r>
              <w:rPr>
                <w:rFonts w:ascii="Cambria" w:hAnsi="Cambria" w:cs="Cambria" w:eastAsia="Cambria"/>
                <w:color w:val="1A1A1A"/>
                <w:sz w:val="18"/>
              </w:rPr>
              <w:t xml:space="preserve">Costo, risparmi diretti per canale, ricadute sociali, rapporto beneficio-costo su dati reali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Copertura e accesso per area (costiera, collinare, appenninica), per AST, per fasce d’età; accesso degli anziani nelle aree interne</w:t>
            </w:r>
          </w:p>
        </w:tc>
      </w:tr>
      <w:tr>
        <w:tc>
          <w:tcPr/>
          <w:p>
            <w:pPr>
              <w:pStyle w:val="Compact"/>
              <w:spacing w:after="40" w:before="40"/>
              <w:jc w:val="left"/>
            </w:pPr>
            <w:r>
              <w:rPr>
                <w:rFonts w:ascii="Cambria" w:hAnsi="Cambria" w:cs="Cambria" w:eastAsia="Cambria"/>
                <w:b/>
                <w:bCs/>
                <w:color w:val="1A1A1A"/>
                <w:sz w:val="18"/>
              </w:rPr>
              <w:t xml:space="preserve">Qualità</w:t>
            </w:r>
          </w:p>
        </w:tc>
        <w:tc>
          <w:tcPr/>
          <w:p>
            <w:pPr>
              <w:pStyle w:val="Compact"/>
              <w:spacing w:after="40" w:before="40"/>
              <w:jc w:val="left"/>
            </w:pPr>
            <w:r>
              <w:rPr>
                <w:rFonts w:ascii="Cambria" w:hAnsi="Cambria" w:cs="Cambria" w:eastAsia="Cambria"/>
                <w:color w:val="1A1A1A"/>
                <w:sz w:val="18"/>
              </w:rPr>
              <w:t xml:space="preserve">Soddisfazione degli utenti; appropriatezza; continuità del rapporto; esito percepito</w:t>
            </w:r>
          </w:p>
        </w:tc>
      </w:tr>
    </w:tbl>
    <w:p>
      <w:pPr>
        <w:pStyle w:val="BodyText"/>
      </w:pPr>
      <w:r>
        <w:rPr>
          <w:i/>
          <w:iCs/>
        </w:rPr>
        <w:t xml:space="preserve">Tabella L.1. Le sette categorie della batteria di indicatori.</w:t>
      </w:r>
    </w:p>
    <w:bookmarkEnd w:id="2454"/>
    <w:bookmarkStart w:id="2457" w:name="X48ab54ea036b623768871c4c08a197b56bffbcb"/>
    <w:p>
      <w:pPr>
        <w:pStyle w:val="Heading3"/>
      </w:pPr>
      <w:r>
        <w:t xml:space="preserve">L.4 Il cruscotto regionale e la clausola valutativa</w:t>
      </w:r>
    </w:p>
    <w:p>
      <w:pPr>
        <w:pStyle w:val="FirstParagraph"/>
      </w:pPr>
      <w:r>
        <w:t xml:space="preserve">Gli indicatori confluiscono in un cruscotto di monitoraggio aggiornato periodicamente, con titolarità condivisa fra l’ARS e le cinque AST, che rende trasparente l’andamento del servizio per territorio e ne consente la correzione.</w:t>
      </w:r>
      <w:r>
        <w:rPr>
          <w:rStyle w:val="FootnoteReference"/>
        </w:rPr>
        <w:footnoteReference w:id="2892"/>
      </w:r>
      <w:r>
        <w:t xml:space="preserve"> </w:t>
      </w:r>
      <w:r>
        <w:t xml:space="preserve">La clausola valutativa — da inserire nella legge regionale organica — impegna la Giunta a riferire periodicamente all’Assemblea Legislativa sui risultati del servizio, secondo modalità e tempi definiti, trasformando il monitoraggio da pratica tecnica in obbligo istituzionale.</w:t>
      </w:r>
      <w:r>
        <w:rPr>
          <w:rStyle w:val="FootnoteReference"/>
        </w:rPr>
        <w:footnoteReference w:id="2893"/>
      </w:r>
      <w:r>
        <w:t xml:space="preserve"> </w:t>
      </w:r>
      <w:r>
        <w:t xml:space="preserve">Poiché la sperimentazione amministrativa ha già generato dati, la legge organica ha l’opportunità di incorporare fin dall’origine gli strumenti della valutazione, costruendo un servizio valutabile per disegno.</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76"/>
        <w:gridCol w:w="574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governance valutativa</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le Marche</w:t>
            </w:r>
          </w:p>
        </w:tc>
      </w:tr>
      <w:tr>
        <w:tc>
          <w:tcPr/>
          <w:p>
            <w:pPr>
              <w:pStyle w:val="Compact"/>
              <w:spacing w:after="40" w:before="40"/>
              <w:jc w:val="left"/>
            </w:pPr>
            <w:r>
              <w:rPr>
                <w:rFonts w:ascii="Cambria" w:hAnsi="Cambria" w:cs="Cambria" w:eastAsia="Cambria"/>
                <w:b/>
                <w:bCs/>
                <w:color w:val="1A1A1A"/>
                <w:sz w:val="18"/>
              </w:rPr>
              <w:t xml:space="preserve">Disegno d’impatto</w:t>
            </w:r>
          </w:p>
        </w:tc>
        <w:tc>
          <w:tcPr/>
          <w:p>
            <w:pPr>
              <w:pStyle w:val="Compact"/>
              <w:spacing w:after="40" w:before="40"/>
              <w:jc w:val="left"/>
            </w:pPr>
            <w:r>
              <w:rPr>
                <w:rFonts w:ascii="Cambria" w:hAnsi="Cambria" w:cs="Cambria" w:eastAsia="Cambria"/>
                <w:color w:val="1A1A1A"/>
                <w:sz w:val="18"/>
              </w:rPr>
              <w:t xml:space="preserve">Cunei progressivi fra le 5 AST e i distretti; linea di base dalla sperimentazione in 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Linea di base</w:t>
            </w:r>
          </w:p>
        </w:tc>
        <w:tc>
          <w:tcPr>
            <w:shd w:val="clear" w:color="auto" w:fill="F4F1EC"/>
          </w:tcPr>
          <w:p>
            <w:pPr>
              <w:pStyle w:val="Compact"/>
              <w:spacing w:after="40" w:before="40"/>
              <w:jc w:val="left"/>
            </w:pPr>
            <w:r>
              <w:rPr>
                <w:rFonts w:ascii="Cambria" w:hAnsi="Cambria" w:cs="Cambria" w:eastAsia="Cambria"/>
                <w:color w:val="1A1A1A"/>
                <w:sz w:val="18"/>
              </w:rPr>
              <w:t xml:space="preserve">Dati già disponibili dalla sperimentazione + rilevazione sistematica ante-legge</w:t>
            </w:r>
          </w:p>
        </w:tc>
      </w:tr>
      <w:tr>
        <w:tc>
          <w:tcPr/>
          <w:p>
            <w:pPr>
              <w:pStyle w:val="Compact"/>
              <w:spacing w:after="40" w:before="40"/>
              <w:jc w:val="left"/>
            </w:pPr>
            <w:r>
              <w:rPr>
                <w:rFonts w:ascii="Cambria" w:hAnsi="Cambria" w:cs="Cambria" w:eastAsia="Cambria"/>
                <w:b/>
                <w:bCs/>
                <w:color w:val="1A1A1A"/>
                <w:sz w:val="18"/>
              </w:rPr>
              <w:t xml:space="preserve">Titolarità del cruscotto</w:t>
            </w:r>
          </w:p>
        </w:tc>
        <w:tc>
          <w:tcPr/>
          <w:p>
            <w:pPr>
              <w:pStyle w:val="Compact"/>
              <w:spacing w:after="40" w:before="40"/>
              <w:jc w:val="left"/>
            </w:pPr>
            <w:r>
              <w:rPr>
                <w:rFonts w:ascii="Cambria" w:hAnsi="Cambria" w:cs="Cambria" w:eastAsia="Cambria"/>
                <w:color w:val="1A1A1A"/>
                <w:sz w:val="18"/>
              </w:rPr>
              <w:t xml:space="preserve">Condivisa fra ARS e 5 AST, con alimentazione uniforme e interoperabile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Da inserire nella legge organica; relazione periodica all’Assemblea Legislativa delle Marche</w:t>
            </w:r>
          </w:p>
        </w:tc>
      </w:tr>
      <w:tr>
        <w:tc>
          <w:tcPr/>
          <w:p>
            <w:pPr>
              <w:pStyle w:val="Compact"/>
              <w:spacing w:after="40" w:before="40"/>
              <w:jc w:val="left"/>
            </w:pPr>
            <w:r>
              <w:rPr>
                <w:rFonts w:ascii="Cambria" w:hAnsi="Cambria" w:cs="Cambria" w:eastAsia="Cambria"/>
                <w:b/>
                <w:bCs/>
                <w:color w:val="1A1A1A"/>
                <w:sz w:val="18"/>
              </w:rPr>
              <w:t xml:space="preserve">Flusso informativo</w:t>
            </w:r>
          </w:p>
        </w:tc>
        <w:tc>
          <w:tcPr/>
          <w:p>
            <w:pPr>
              <w:pStyle w:val="Compact"/>
              <w:spacing w:after="40" w:before="40"/>
              <w:jc w:val="left"/>
            </w:pPr>
            <w:r>
              <w:rPr>
                <w:rFonts w:ascii="Cambria" w:hAnsi="Cambria" w:cs="Cambria" w:eastAsia="Cambria"/>
                <w:color w:val="1A1A1A"/>
                <w:sz w:val="18"/>
              </w:rPr>
              <w:t xml:space="preserve">Sistemi informativi delle 5 AST, uniformi e interoperabili; innestati sul FSE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Tempi</w:t>
            </w:r>
          </w:p>
        </w:tc>
        <w:tc>
          <w:tcPr>
            <w:shd w:val="clear" w:color="auto" w:fill="F4F1EC"/>
          </w:tcPr>
          <w:p>
            <w:pPr>
              <w:pStyle w:val="Compact"/>
              <w:spacing w:after="40" w:before="40"/>
              <w:jc w:val="left"/>
            </w:pPr>
            <w:r>
              <w:rPr>
                <w:rFonts w:ascii="Cambria" w:hAnsi="Cambria" w:cs="Cambria" w:eastAsia="Cambria"/>
                <w:color w:val="1A1A1A"/>
                <w:sz w:val="18"/>
              </w:rPr>
              <w:t xml:space="preserve">In itinere (accompagnamento della strutturazione); ex post biennale (effetto a regime)</w:t>
            </w:r>
          </w:p>
        </w:tc>
      </w:tr>
    </w:tbl>
    <w:p>
      <w:pPr>
        <w:pStyle w:val="BodyText"/>
      </w:pPr>
      <w:r>
        <w:rPr>
          <w:i/>
          <w:iCs/>
        </w:rPr>
        <w:t xml:space="preserve">Tabella L.2. La governance della valutazione e il cruscotto regionale.</w:t>
      </w:r>
    </w:p>
    <w:bookmarkEnd w:id="2457"/>
    <w:bookmarkStart w:id="2459" w:name="l.5-sintesi-del-monitoraggio-2"/>
    <w:p>
      <w:pPr>
        <w:pStyle w:val="Heading3"/>
      </w:pPr>
      <w:r>
        <w:t xml:space="preserve">L.5 Sintesi del monitoraggio</w:t>
      </w:r>
    </w:p>
    <w:p>
      <w:pPr>
        <w:pStyle w:val="FirstParagraph"/>
      </w:pPr>
      <w:r>
        <w:t xml:space="preserve">La valutazione è la condizione per trasformare la strutturazione organica del servizio in apprendimento, e le Marche possono fondarla su una base informativa più ricca delle regioni che partono da zero, grazie alla sperimentazione già avviata. Perché ciò si realizzi, occorre: inserire la clausola valutativa nella legge organica; costruire un sistema informativo uniforme e interoperabile fra le cinque AST; rilevare una linea di base sistematica prima dell’entrata in vigore della legge; e impiegare il disegno a cunei progressivi per stimare l’effetto causale del servizio. La trasformazione delle stime in osservazioni è, per le Marche, il contributo conoscitivo principale del monitoraggio.</w:t>
      </w:r>
      <w:r>
        <w:rPr>
          <w:rStyle w:val="FootnoteReference"/>
        </w:rPr>
        <w:footnoteReference w:id="2894"/>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2459"/>
    <w:bookmarkEnd w:id="2460"/>
    <w:bookmarkStart w:id="2469" w:name="X9ab39c90ba0018efb57154dec085e7abb2fca73"/>
    <w:p>
      <w:pPr>
        <w:pStyle w:val="Heading2"/>
      </w:pPr>
      <w:r>
        <w:t xml:space="preserve">Parte M — Sintesi multidimensionale e raccomandazioni</w:t>
      </w:r>
    </w:p>
    <w:p>
      <w:pPr>
        <w:pStyle w:val="FirstParagraph"/>
      </w:pPr>
      <w:r>
        <w:t xml:space="preserve">Questa parte conclusiva ricompone in una valutazione unitaria le analisi sviluppate nei singoli domini, ne integra gli esiti attraverso un’analisi multi-criterio, formula la raccomandazione e ne precisa il dimensionamento, dichiara le condizioni cui la raccomandazione è subordinata e le lacune conoscitive da colmare, e colloca lo studio marchigiano nella serie regionale.</w:t>
      </w:r>
    </w:p>
    <w:bookmarkStart w:id="2461" w:name="m.1-la-sintesi-per-dominio-2"/>
    <w:p>
      <w:pPr>
        <w:pStyle w:val="Heading3"/>
      </w:pPr>
      <w:r>
        <w:t xml:space="preserve">M.1 La sintesi per dominio</w:t>
      </w:r>
    </w:p>
    <w:p>
      <w:pPr>
        <w:pStyle w:val="FirstParagraph"/>
      </w:pPr>
      <w:r>
        <w:t xml:space="preserve">Le analisi condotte nei singoli domini convergono in un quadro coerente. Sul piano del bisogno, la Parte B ha documentato un disagio psichico comune ampio — stimato in circa 296.000 persone — accentuato da una struttura demografica fra le più anziane del Centro Italia (indice di vecchiaia 235,5) e da un divario territoriale profondo fra la fascia costiera e le aree appenniniche interne. Sul piano dell’efficacia, la Parte D ha documentato efficacia clinica con qualità dell’evidenza da moderata ad alta, trasferibile al contesto marchigiano con le opportune precauzioni per la dispersione territoriale. Sul piano economico, la Parte E ha documentato un saldo diretto per il bilancio prossimo al pareggio (−5/−7 milioni di euro l’anno, trascurabili nella scala di 3,3–3,4 miliardi) e un ritorno complessivo per la collettività dell’ordine di 3,5–4,9 euro per ogni euro speso. La Parte F ha documentato la robustezza di queste conclusioni. Sul piano dell’equità, la Parte G ha documentato un effetto pro-equità potenziale significativo, concentrato nelle aree appenniniche interne e nella fascia anziana. Sul piano dei profili, la Parte H ha documentato che il servizio è istituibile entro i limiti costituzionali, governabile con una struttura a due livelli e giusto sul piano etico. Sul piano dell’attuazione, la Parte I ha documentato fattibilità reale, con un punto di partenza favorevole dato dalla sperimentazione in corso.</w:t>
      </w:r>
    </w:p>
    <w:tbl>
      <w:tblPr>
        <w:tblStyle w:val="Table"/>
        <w:tblW w:type="pct" w:w="494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49"/>
        <w:gridCol w:w="62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Dominio</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 sintetico per le Marche</w:t>
            </w:r>
          </w:p>
        </w:tc>
      </w:tr>
      <w:tr>
        <w:tc>
          <w:tcPr/>
          <w:p>
            <w:pPr>
              <w:pStyle w:val="Compact"/>
              <w:spacing w:after="40" w:before="40"/>
              <w:jc w:val="left"/>
            </w:pPr>
            <w:r>
              <w:rPr>
                <w:rFonts w:ascii="Cambria" w:hAnsi="Cambria" w:cs="Cambria" w:eastAsia="Cambria"/>
                <w:b/>
                <w:bCs/>
                <w:color w:val="1A1A1A"/>
                <w:sz w:val="18"/>
              </w:rPr>
              <w:t xml:space="preserve">Bisogno e contesto</w:t>
            </w:r>
          </w:p>
        </w:tc>
        <w:tc>
          <w:tcPr/>
          <w:p>
            <w:pPr>
              <w:pStyle w:val="Compact"/>
              <w:spacing w:after="40" w:before="40"/>
              <w:jc w:val="left"/>
            </w:pPr>
            <w:r>
              <w:rPr>
                <w:rFonts w:ascii="Cambria" w:hAnsi="Cambria" w:cs="Cambria" w:eastAsia="Cambria"/>
                <w:color w:val="1A1A1A"/>
                <w:sz w:val="18"/>
              </w:rPr>
              <w:t xml:space="preserve">Ampio (296.000 persone); invecchiamento accentuato (IV 235,5); divario costiero/appenninico; spesa pro-capite fra le più basse d’Italia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w:t>
            </w:r>
          </w:p>
        </w:tc>
        <w:tc>
          <w:tcPr>
            <w:shd w:val="clear" w:color="auto" w:fill="F4F1EC"/>
          </w:tcPr>
          <w:p>
            <w:pPr>
              <w:pStyle w:val="Compact"/>
              <w:spacing w:after="40" w:before="40"/>
              <w:jc w:val="left"/>
            </w:pPr>
            <w:r>
              <w:rPr>
                <w:rFonts w:ascii="Cambria" w:hAnsi="Cambria" w:cs="Cambria" w:eastAsia="Cambria"/>
                <w:color w:val="1A1A1A"/>
                <w:sz w:val="18"/>
              </w:rPr>
              <w:t xml:space="preserve">Evidenza internazionale solida; trasferibilità condizionata dalla dispersione; telepsicologia come componente essenziale</w:t>
            </w:r>
          </w:p>
        </w:tc>
      </w:tr>
      <w:tr>
        <w:tc>
          <w:tcPr/>
          <w:p>
            <w:pPr>
              <w:pStyle w:val="Compact"/>
              <w:spacing w:after="40" w:before="40"/>
              <w:jc w:val="left"/>
            </w:pPr>
            <w:r>
              <w:rPr>
                <w:rFonts w:ascii="Cambria" w:hAnsi="Cambria" w:cs="Cambria" w:eastAsia="Cambria"/>
                <w:b/>
                <w:bCs/>
                <w:color w:val="1A1A1A"/>
                <w:sz w:val="18"/>
              </w:rPr>
              <w:t xml:space="preserve">Valutazione economica</w:t>
            </w:r>
          </w:p>
        </w:tc>
        <w:tc>
          <w:tcPr/>
          <w:p>
            <w:pPr>
              <w:pStyle w:val="Compact"/>
              <w:spacing w:after="40" w:before="40"/>
              <w:jc w:val="left"/>
            </w:pPr>
            <w:r>
              <w:rPr>
                <w:rFonts w:ascii="Cambria" w:hAnsi="Cambria" w:cs="Cambria" w:eastAsia="Cambria"/>
                <w:color w:val="1A1A1A"/>
                <w:sz w:val="18"/>
              </w:rPr>
              <w:t xml:space="preserve">Saldo diretto −5/−7 mln/anno (trascurabile); ritorno complessivo 3,5–4,9:1; dominanza per paziente confermata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Effetto pro-equità potenzialmente elevato per le aree appenniniche e gli anziani; richiede allocazione ponderata e telepsicologia strutturale</w:t>
            </w:r>
          </w:p>
        </w:tc>
      </w:tr>
      <w:tr>
        <w:tc>
          <w:tcPr/>
          <w:p>
            <w:pPr>
              <w:pStyle w:val="Compact"/>
              <w:spacing w:after="40" w:before="40"/>
              <w:jc w:val="left"/>
            </w:pPr>
            <w:r>
              <w:rPr>
                <w:rFonts w:ascii="Cambria" w:hAnsi="Cambria" w:cs="Cambria" w:eastAsia="Cambria"/>
                <w:b/>
                <w:bCs/>
                <w:color w:val="1A1A1A"/>
                <w:sz w:val="18"/>
              </w:rPr>
              <w:t xml:space="preserve">Fattibilità</w:t>
            </w:r>
          </w:p>
        </w:tc>
        <w:tc>
          <w:tcPr/>
          <w:p>
            <w:pPr>
              <w:pStyle w:val="Compact"/>
              <w:spacing w:after="40" w:before="40"/>
              <w:jc w:val="left"/>
            </w:pPr>
            <w:r>
              <w:rPr>
                <w:rFonts w:ascii="Cambria" w:hAnsi="Cambria" w:cs="Cambria" w:eastAsia="Cambria"/>
                <w:color w:val="1A1A1A"/>
                <w:sz w:val="18"/>
              </w:rPr>
              <w:t xml:space="preserve">Favorita dalla sperimentazione in corso; richiede governance a due livelli nelle 5 AST; legge organica conforme alla sentenza 241/2021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Monitoraggio</w:t>
            </w:r>
          </w:p>
        </w:tc>
        <w:tc>
          <w:tcPr>
            <w:shd w:val="clear" w:color="auto" w:fill="F4F1EC"/>
          </w:tcPr>
          <w:p>
            <w:pPr>
              <w:pStyle w:val="Compact"/>
              <w:spacing w:after="40" w:before="40"/>
              <w:jc w:val="left"/>
            </w:pPr>
            <w:r>
              <w:rPr>
                <w:rFonts w:ascii="Cambria" w:hAnsi="Cambria" w:cs="Cambria" w:eastAsia="Cambria"/>
                <w:color w:val="1A1A1A"/>
                <w:sz w:val="18"/>
              </w:rPr>
              <w:t xml:space="preserve">Disegno controfattuale su cunei progressivi fra 5 AST; base informativa dalla sperimentazione; clausola valutativa nella legge organica</w:t>
            </w:r>
          </w:p>
        </w:tc>
      </w:tr>
    </w:tbl>
    <w:p>
      <w:pPr>
        <w:pStyle w:val="BodyText"/>
      </w:pPr>
      <w:r>
        <w:rPr>
          <w:i/>
          <w:iCs/>
        </w:rPr>
        <w:t xml:space="preserve">Tabella M.1. La sintesi dei domini della valutazione.</w:t>
      </w:r>
    </w:p>
    <w:bookmarkEnd w:id="2461"/>
    <w:bookmarkStart w:id="2463" w:name="m.2-lanalisi-multi-criterio-8"/>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(adozione della legge organica e strutturazione del servizio) con l’alternativa del non intervento (mantenimento della sola sperimentazione amministrativa, fragile e non strutturata).</w:t>
      </w:r>
      <w:r>
        <w:rPr>
          <w:rStyle w:val="FootnoteReference"/>
        </w:rPr>
        <w:footnoteReference w:id="2895"/>
      </w:r>
      <w:r>
        <w:t xml:space="preserve"> </w:t>
      </w:r>
      <w:r>
        <w:t xml:space="preserve">I pesi adottati sono comuni a tutta la serie. I punteggi riflettono gli esiti delle analisi condotte nelle parti precedenti, calibrati sulle condizioni specifiche delle Marche.</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Non interv.</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78</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r>
      <w:tr>
        <w:tc>
          <w:tcPr/>
          <w:p>
            <w:pPr>
              <w:pStyle w:val="Compact"/>
              <w:spacing w:after="40" w:before="40"/>
              <w:jc w:val="left"/>
            </w:pPr>
            <w:r>
              <w:rPr>
                <w:rFonts w:ascii="Cambria" w:hAnsi="Cambria" w:cs="Cambria" w:eastAsia="Cambria"/>
                <w:b/>
                <w:bCs/>
                <w:color w:val="1A1A1A"/>
                <w:sz w:val="18"/>
              </w:rPr>
              <w:t xml:space="preserve">Impatto sul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74</w:t>
            </w:r>
          </w:p>
        </w:tc>
        <w:tc>
          <w:tcPr/>
          <w:p>
            <w:pPr>
              <w:pStyle w:val="Compact"/>
              <w:spacing w:after="40" w:before="40"/>
              <w:jc w:val="left"/>
            </w:pPr>
            <w:r>
              <w:rPr>
                <w:rFonts w:ascii="Cambria" w:hAnsi="Cambria" w:cs="Cambria" w:eastAsia="Cambria"/>
                <w:color w:val="1A1A1A"/>
                <w:sz w:val="18"/>
              </w:rPr>
              <w:t xml:space="preserve">48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22</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78</w:t>
            </w:r>
          </w:p>
        </w:tc>
        <w:tc>
          <w:tcPr>
            <w:shd w:val="clear" w:color="auto" w:fill="F4F1EC"/>
          </w:tcPr>
          <w:p>
            <w:pPr>
              <w:pStyle w:val="Compact"/>
              <w:spacing w:after="40" w:before="40"/>
              <w:jc w:val="left"/>
            </w:pPr>
            <w:r>
              <w:rPr>
                <w:rFonts w:ascii="Cambria" w:hAnsi="Cambria" w:cs="Cambria" w:eastAsia="Cambria"/>
                <w:color w:val="1A1A1A"/>
                <w:sz w:val="18"/>
              </w:rPr>
              <w:t xml:space="preserve">72</w:t>
            </w:r>
          </w:p>
        </w:tc>
      </w:tr>
      <w:tr>
        <w:tc>
          <w:tcPr/>
          <w:p>
            <w:pPr>
              <w:pStyle w:val="Compact"/>
              <w:spacing w:after="40" w:before="40"/>
              <w:jc w:val="left"/>
            </w:pPr>
            <w:r>
              <w:rPr>
                <w:rFonts w:ascii="Cambria" w:hAnsi="Cambria" w:cs="Cambria" w:eastAsia="Cambria"/>
                <w:b/>
                <w:bCs/>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70</w:t>
            </w:r>
          </w:p>
        </w:tc>
        <w:tc>
          <w:tcPr/>
          <w:p>
            <w:pPr>
              <w:pStyle w:val="Compact"/>
              <w:spacing w:after="40" w:before="40"/>
              <w:jc w:val="left"/>
            </w:pPr>
            <w:r>
              <w:rPr>
                <w:rFonts w:ascii="Cambria" w:hAnsi="Cambria" w:cs="Cambria" w:eastAsia="Cambria"/>
                <w:color w:val="1A1A1A"/>
                <w:sz w:val="18"/>
              </w:rPr>
              <w:t xml:space="preserve">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84</w:t>
            </w:r>
          </w:p>
        </w:tc>
        <w:tc>
          <w:tcPr>
            <w:shd w:val="clear" w:color="auto" w:fill="F4F1EC"/>
          </w:tcPr>
          <w:p>
            <w:pPr>
              <w:pStyle w:val="Compact"/>
              <w:spacing w:after="40" w:before="40"/>
              <w:jc w:val="left"/>
            </w:pPr>
            <w:r>
              <w:rPr>
                <w:rFonts w:ascii="Cambria" w:hAnsi="Cambria" w:cs="Cambria" w:eastAsia="Cambria"/>
                <w:color w:val="1A1A1A"/>
                <w:sz w:val="18"/>
              </w:rPr>
              <w:t xml:space="preserve">26</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78,50</w:t>
            </w:r>
          </w:p>
        </w:tc>
        <w:tc>
          <w:tcPr/>
          <w:p>
            <w:pPr>
              <w:pStyle w:val="Compact"/>
              <w:spacing w:after="40" w:before="40"/>
              <w:jc w:val="left"/>
            </w:pPr>
            <w:r>
              <w:rPr>
                <w:rFonts w:ascii="Cambria" w:hAnsi="Cambria" w:cs="Cambria" w:eastAsia="Cambria"/>
                <w:color w:val="1A1A1A"/>
                <w:sz w:val="18"/>
              </w:rPr>
              <w:t xml:space="preserve">35,75</w:t>
            </w:r>
          </w:p>
        </w:tc>
      </w:tr>
    </w:tbl>
    <w:p>
      <w:pPr>
        <w:pStyle w:val="BodyText"/>
      </w:pPr>
      <w:r>
        <w:rPr>
          <w:i/>
          <w:iCs/>
        </w:rPr>
        <w:t xml:space="preserve">Tabella M.2. L’analisi multi-criterio: punteggi dell’intervento e del non intervento. I pesi sono invarianti nella serie; i punteggi riflettono le condizioni specifiche delle Marche.</w:t>
      </w:r>
    </w:p>
    <w:p>
      <w:pPr>
        <w:pStyle w:val="BodyText"/>
      </w:pPr>
      <w:r>
        <w:t xml:space="preserve">Il punteggio complessivo dell’intervento, pari a 78,50 su 100, supera nettamente quello del non intervento, pari a 35,75, con un differenziale di quasi quarantatré punti. L’intervento prevale su tutti i criteri. Il punteggio di equità è fra i più elevati della serie, a riflettere l’acuità del divario costiero/appenninico e il peso demografico degli anziani. Il punteggio di fattibilità è elevato rispetto ad altre regioni, in ragione della sperimentazione già avviata, che abbassa significativamente le barriere di implementazione. La prevalenza si mantiene al variare dei pesi entro intervalli ragionevoli, sicché la raccomandazione è robusta.</w:t>
      </w:r>
    </w:p>
    <w:bookmarkEnd w:id="2463"/>
    <w:bookmarkStart w:id="2465" w:name="Xf03de18d0d5867e10268320e6a851721ad25df1"/>
    <w:p>
      <w:pPr>
        <w:pStyle w:val="Heading3"/>
      </w:pPr>
      <w:r>
        <w:t xml:space="preserve">M.3 La raccomandazione e il dimensionamento</w:t>
      </w:r>
    </w:p>
    <w:p>
      <w:pPr>
        <w:pStyle w:val="FirstParagraph"/>
      </w:pPr>
      <w:r>
        <w:t xml:space="preserve">Sulla base delle analisi condotte e della loro sintesi, lo studio raccomanda l’adozione da parte dell’Assemblea Legislativa delle Marche di una legge regionale organica che strutturi permanentemente il servizio di psicologia di base, raccordandolo con il nuovo assetto delle cinque Aziende Sanitarie Territoriali e con la rete delle Case della Comunità. La raccomandazione è fondata sulla convergenza delle evidenze: un bisogno ampio e accentuato dalle condizioni demografiche e territoriali della regione; un’efficacia clinica documentata; un saldo diretto per il bilancio prossimo al pareggio e un ritorno sociale elevato; una capacità di ridurre le disuguaglianze territoriali e generazionali che costituisce una delle ragioni principali dell’intervento; e una fattibilità reale, favorita dalla sperimentazione già in corso.</w:t>
      </w:r>
    </w:p>
    <w:p>
      <w:pPr>
        <w:pStyle w:val="BodyText"/>
      </w:pPr>
      <w:r>
        <w:t xml:space="preserve">Quanto al dimensionamento, lo studio raccomanda un percorso graduale di tre fasi. Nella prima fase, di strutturazione, la legge organica formalizza il nucleo della sperimentazione in corso, garantendo la base giuridica, il finanziamento strutturato e il sistema informativo uniforme. Nella seconda fase, di consolidamento, il servizio si estende verso lo scenario conservativo di circa 250 psicologi, con priorità alle aree appenniniche interne e ai distretti periferici. Nella terza fase, di regime, il servizio raggiunge lo scenario espansivo di circa 370 psicologi, con copertura sistematica e pieno dispiegamento della telepsicologia. Questo percorso graduale è la traduzione operativa della raccomandazione, e consente di avviare il servizio con un impegno sostenibile, verificarne gli esiti sul campo e accrescerne la portata in modo governato.</w:t>
      </w:r>
      <w:r>
        <w:rPr>
          <w:rStyle w:val="FootnoteReference"/>
        </w:rPr>
        <w:footnoteReference w:id="2896"/>
      </w:r>
    </w:p>
    <w:tbl>
      <w:tblPr>
        <w:tblStyle w:val="Table"/>
        <w:tblW w:type="pct" w:w="494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08"/>
        <w:gridCol w:w="632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Raccomandazione operativa per le Marche</w:t>
            </w:r>
          </w:p>
        </w:tc>
      </w:tr>
      <w:tr>
        <w:tc>
          <w:tcPr/>
          <w:p>
            <w:pPr>
              <w:pStyle w:val="Compact"/>
              <w:spacing w:after="40" w:before="40"/>
              <w:jc w:val="left"/>
            </w:pPr>
            <w:r>
              <w:rPr>
                <w:rFonts w:ascii="Cambria" w:hAnsi="Cambria" w:cs="Cambria" w:eastAsia="Cambria"/>
                <w:b/>
                <w:bCs/>
                <w:color w:val="1A1A1A"/>
                <w:sz w:val="18"/>
              </w:rPr>
              <w:t xml:space="preserve">Atto di attuazione</w:t>
            </w:r>
          </w:p>
        </w:tc>
        <w:tc>
          <w:tcPr/>
          <w:p>
            <w:pPr>
              <w:pStyle w:val="Compact"/>
              <w:spacing w:after="40" w:before="40"/>
              <w:jc w:val="left"/>
            </w:pPr>
            <w:r>
              <w:rPr>
                <w:rFonts w:ascii="Cambria" w:hAnsi="Cambria" w:cs="Cambria" w:eastAsia="Cambria"/>
                <w:color w:val="1A1A1A"/>
                <w:sz w:val="18"/>
              </w:rPr>
              <w:t xml:space="preserve">Legge regionale organica conforme alla sentenza 241/2021; strutturazione della sperimentazione in corso; raccordo con L.R. 19/2022 e le 5 AST</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Dimensionamento</w:t>
            </w:r>
          </w:p>
        </w:tc>
        <w:tc>
          <w:tcPr>
            <w:shd w:val="clear" w:color="auto" w:fill="F4F1EC"/>
          </w:tcPr>
          <w:p>
            <w:pPr>
              <w:pStyle w:val="Compact"/>
              <w:spacing w:after="40" w:before="40"/>
              <w:jc w:val="left"/>
            </w:pPr>
            <w:r>
              <w:rPr>
                <w:rFonts w:ascii="Cambria" w:hAnsi="Cambria" w:cs="Cambria" w:eastAsia="Cambria"/>
                <w:color w:val="1A1A1A"/>
                <w:sz w:val="18"/>
              </w:rPr>
              <w:t xml:space="preserve">Dalla sperimentazione verso conservativo ~250; base ~340; espansivo ~370, per gradi</w:t>
            </w:r>
          </w:p>
        </w:tc>
      </w:tr>
      <w:tr>
        <w:tc>
          <w:tcPr/>
          <w:p>
            <w:pPr>
              <w:pStyle w:val="Compact"/>
              <w:spacing w:after="40" w:before="40"/>
              <w:jc w:val="left"/>
            </w:pPr>
            <w:r>
              <w:rPr>
                <w:rFonts w:ascii="Cambria" w:hAnsi="Cambria" w:cs="Cambria" w:eastAsia="Cambria"/>
                <w:b/>
                <w:bCs/>
                <w:color w:val="1A1A1A"/>
                <w:sz w:val="18"/>
              </w:rPr>
              <w:t xml:space="preserve">Allocazione</w:t>
            </w:r>
          </w:p>
        </w:tc>
        <w:tc>
          <w:tcPr/>
          <w:p>
            <w:pPr>
              <w:pStyle w:val="Compact"/>
              <w:spacing w:after="40" w:before="40"/>
              <w:jc w:val="left"/>
            </w:pPr>
            <w:r>
              <w:rPr>
                <w:rFonts w:ascii="Cambria" w:hAnsi="Cambria" w:cs="Cambria" w:eastAsia="Cambria"/>
                <w:color w:val="1A1A1A"/>
                <w:sz w:val="18"/>
              </w:rPr>
              <w:t xml:space="preserve">Pro-equità, verso le aree appenniniche interne, i distretti periferici e la fascia anziana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Da inserire nella legge organica; relazione periodica all’Assemblea Legislativa</w:t>
            </w:r>
          </w:p>
        </w:tc>
      </w:tr>
      <w:tr>
        <w:tc>
          <w:tcPr/>
          <w:p>
            <w:pPr>
              <w:pStyle w:val="Compact"/>
              <w:spacing w:after="40" w:before="40"/>
              <w:jc w:val="left"/>
            </w:pPr>
            <w:r>
              <w:rPr>
                <w:rFonts w:ascii="Cambria" w:hAnsi="Cambria" w:cs="Cambria" w:eastAsia="Cambria"/>
                <w:b/>
                <w:bCs/>
                <w:color w:val="1A1A1A"/>
                <w:sz w:val="18"/>
              </w:rPr>
              <w:t xml:space="preserve">Governance</w:t>
            </w:r>
          </w:p>
        </w:tc>
        <w:tc>
          <w:tcPr/>
          <w:p>
            <w:pPr>
              <w:pStyle w:val="Compact"/>
              <w:spacing w:after="40" w:before="40"/>
              <w:jc w:val="left"/>
            </w:pPr>
            <w:r>
              <w:rPr>
                <w:rFonts w:ascii="Cambria" w:hAnsi="Cambria" w:cs="Cambria" w:eastAsia="Cambria"/>
                <w:color w:val="1A1A1A"/>
                <w:sz w:val="18"/>
              </w:rPr>
              <w:t xml:space="preserve">Governance a due livelli: ARS/Assessorato (standard) e 5 AST (attuazione); Osservatorio regionale multi-stakeholder</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Dati</w:t>
            </w:r>
          </w:p>
        </w:tc>
        <w:tc>
          <w:tcPr>
            <w:shd w:val="clear" w:color="auto" w:fill="F4F1EC"/>
          </w:tcPr>
          <w:p>
            <w:pPr>
              <w:pStyle w:val="Compact"/>
              <w:spacing w:after="40" w:before="40"/>
              <w:jc w:val="left"/>
            </w:pPr>
            <w:r>
              <w:rPr>
                <w:rFonts w:ascii="Cambria" w:hAnsi="Cambria" w:cs="Cambria" w:eastAsia="Cambria"/>
                <w:color w:val="1A1A1A"/>
                <w:sz w:val="18"/>
              </w:rPr>
              <w:t xml:space="preserve">Sistemi informativi uniformi e interoperabili fra le 5 AST; consolidamento dei dati della sperimentazione</w:t>
            </w:r>
          </w:p>
        </w:tc>
      </w:tr>
    </w:tbl>
    <w:p>
      <w:pPr>
        <w:pStyle w:val="BodyText"/>
      </w:pPr>
      <w:r>
        <w:rPr>
          <w:i/>
          <w:iCs/>
        </w:rPr>
        <w:t xml:space="preserve">Tabella M.3. Le raccomandazioni operative.</w:t>
      </w:r>
    </w:p>
    <w:bookmarkEnd w:id="2465"/>
    <w:bookmarkStart w:id="2466" w:name="Xb7deb30c5da8a1d15c038f1ceaf6414fb595bd9"/>
    <w:p>
      <w:pPr>
        <w:pStyle w:val="Heading3"/>
      </w:pPr>
      <w:r>
        <w:t xml:space="preserve">M.4 Le condizioni e la lacuna da colmare</w:t>
      </w:r>
    </w:p>
    <w:p>
      <w:pPr>
        <w:pStyle w:val="FirstParagraph"/>
      </w:pPr>
      <w:r>
        <w:t xml:space="preserve">La raccomandazione è subordinata a cinque condizioni. La prima è giuridica: la legge regionale deve conformarsi ai limiti della sentenza 241/2021, evitando di disciplinare autonomamente i rapporti convenzionali. La seconda è di governance: la struttura a due livelli — regionale per gli standard, aziendale per l’attuazione — è la condizione per evitare la frammentazione fra le cinque AST. La terza è di allocazione secondo equità: le risorse devono essere destinate prioritariamente alle aree appenniniche interne e ai distretti periferici, con la telepsicologia come strumento strutturale per il raggiungimento delle aree a bassa densità. La quarta è la gradualità del dispiegamento, calibrata sulla capacità delle AST. La quinta è l’inclusione nella legge di una clausola valutativa che renda il servizio valutabile per disegno.</w:t>
      </w:r>
    </w:p>
    <w:p>
      <w:pPr>
        <w:pStyle w:val="BodyText"/>
      </w:pPr>
      <w:r>
        <w:t xml:space="preserve">La lacuna principale è conoscitiva: le stime economiche sono in parte ricostruite dai conti nazionali per quota di popolazione e non estratte dai conti certificati delle AST. Questa lacuna non inficia la raccomandazione — che è fondata su evidenze solide quanto alla direzione e all’ordine di grandezza degli effetti — ma ne segna il limite: le stime quantitative sono da intendersi come stime centrali entro bande di incertezza. Il sistema informativo uniforme, alimentato dalla strutturazione organica del servizio, è lo strumento che colmerà progressivamente questa lacuna, producendo i dati reali che sostituiranno le stime.</w:t>
      </w:r>
    </w:p>
    <w:bookmarkEnd w:id="2466"/>
    <w:bookmarkStart w:id="4468" w:name="X0c486622149be2527a303540acf3ff211f55c9a"/>
    <w:p>
      <w:pPr>
        <w:pStyle w:val="Heading3"/>
      </w:pPr>
      <w:r>
        <w:t xml:space="preserve">M.5 La collocazione nella serie e la conclusione</w:t>
      </w:r>
    </w:p>
    <w:p>
      <w:pPr>
        <w:pStyle w:val="FirstParagraph"/>
      </w:pPr>
      <w:r>
        <w:t xml:space="preserve">Lo studio delle Marche si inserisce in una serie di studi regionali costruiti con il medesimo impianto metodologico. Entro questa serie, le Marche occupano una posizione caratterizzata da tratti distintivi precisi. Sono una regione di dimensione media, con 1.480.545 abitanti, che ha già avviato la sperimentazione del servizio in via amministrativa, senza ancora disporre di una legge organica: la decisione rilevante non è istituire il servizio, ma strutturarlo permanentemente. Sono una regione con una delle strutture demografiche più anziane del Centro Italia — indice di vecchiaia 235,5 — che attribuisce alla dimensione geriatrica del bisogno psicologico una centralità peculiare. Sono una regione con una spesa sanitaria pro-capite fra le più basse d’Italia, che impone cautela nel dimensionamento iniziale e attenzione alla sostenibilità. Sono una regione con un forte divario territoriale interno, che rende l’equità di accesso una delle ragioni principali dell’intervento, e la telepsicologia uno strumento non accessorio ma strutturale.</w:t>
      </w:r>
    </w:p>
    <w:p>
      <w:pPr>
        <w:pStyle w:val="BodyText"/>
      </w:pPr>
      <w:r>
        <w:t xml:space="preserve">La conclusione dello studio ricompone questi elementi nella tesi che lo attraversa. Il servizio di psicologia di base costa al bilancio sanitario regionale una cifra modesta, con un saldo diretto prossimo al pareggio e trascurabile nella scala del fondo sanitario; restituisce alla collettività un valore dell’ordine di tre-cinque euro per ogni euro speso; risponde a un bisogno ampio e accentuato dalle condizioni demografiche e territoriali della regione; riduce le disuguaglianze tra le aree costiere e quelle appenniniche; e consolida un servizio già avviato, traducendolo in un’infrastruttura permanente. Per una regione che ha già compiuto il passo di avviare il servizio in via sperimentale, e che dispone dell’opportunità di strutturarlo organicamente nel nuovo assetto delle cinque AST, le evidenze raccolte convergono in una indicazione netta: l’adozione della legge organica, progettata nel rispetto dei limiti costituzionali e con l’attenzione all’equità territoriale che la morfologia marchigiana richiede, è una scelta razionale, sostenibile e di elevato rendimento collettivo. L’analisi multi-criterio, che assegna all’intervento un punteggio di 78,50 contro 35,75 del non intervento, ne è la sintesi quantitativa; le analisi di dominio ne sono il fondamento; e il bisogno documentato della popolazione marchigiana — in particolare degli anziani soli delle aree appenniniche interne — ne è la ragione.</w:t>
      </w:r>
      <w:r>
        <w:rPr>
          <w:rStyle w:val="FootnoteReference"/>
        </w:rPr>
        <w:footnoteReference w:id="2897"/>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4468"/>
    <w:bookmarkEnd w:id="2469"/>
    <w:bookmarkStart w:id="2475" w:name="X6bb98861a52b85989583c2529d6004f00a06c6d"/>
    <w:p>
      <w:pPr>
        <w:pStyle w:val="Heading2"/>
      </w:pPr>
      <w:r>
        <w:t xml:space="preserve">Appendice A — Caso di riferimento e parametri</w:t>
      </w:r>
    </w:p>
    <w:p>
      <w:pPr>
        <w:pStyle w:val="FirstParagraph"/>
      </w:pPr>
      <w:r>
        <w:t xml:space="preserve">La presente appendice raccoglie le scelte metodologiche di fondo dello studio, il caso di riferimento, i parametri del modello di Markov e il quadro economico consolidato per le Marche.</w:t>
      </w:r>
    </w:p>
    <w:bookmarkStart w:id="2471" w:name="a.1-il-caso-di-riferimento"/>
    <w:p>
      <w:pPr>
        <w:pStyle w:val="Heading3"/>
      </w:pPr>
      <w:r>
        <w:t xml:space="preserve">A.1 Il caso di riferimento</w:t>
      </w:r>
    </w:p>
    <w:p>
      <w:pPr>
        <w:pStyle w:val="FirstParagraph"/>
      </w:pPr>
      <w:r>
        <w:t xml:space="preserve">Il caso di riferimento è un paziente adulto residente nelle Marche con un disturbo d’ansia o dell’umore di intensità lieve o moderata, che accede al servizio di psicologia di base e riceve un ciclo di interventi psicologici brevi di efficacia documentata. Il caso è comune a tutti gli studi della serie, ed è il fondamento della comparabilità dei risultati.</w:t>
      </w:r>
      <w:r>
        <w:rPr>
          <w:rStyle w:val="FootnoteReference"/>
        </w:rPr>
        <w:footnoteReference w:id="2898"/>
      </w:r>
    </w:p>
    <w:tbl>
      <w:tblPr>
        <w:tblStyle w:val="Table"/>
        <w:tblW w:type="pct" w:w="493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5"/>
        <w:gridCol w:w="576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caso di 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adottata</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Sperimentazione amministrativa in corso (copertura parziale, finanziamento non strutturato)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AST/distretto</w:t>
            </w:r>
          </w:p>
        </w:tc>
      </w:tr>
      <w:tr>
        <w:tc>
          <w:tcPr/>
          <w:p>
            <w:pPr>
              <w:pStyle w:val="Compact"/>
              <w:spacing w:after="40" w:before="40"/>
              <w:jc w:val="left"/>
            </w:pPr>
            <w:r>
              <w:rPr>
                <w:rFonts w:ascii="Cambria" w:hAnsi="Cambria" w:cs="Cambria" w:eastAsia="Cambria"/>
                <w:b/>
                <w:bCs/>
                <w:color w:val="1A1A1A"/>
                <w:sz w:val="18"/>
              </w:rPr>
              <w:t xml:space="preserve">Soglia di costo-efficacia</w:t>
            </w:r>
          </w:p>
        </w:tc>
        <w:tc>
          <w:tcPr/>
          <w:p>
            <w:pPr>
              <w:pStyle w:val="Compact"/>
              <w:spacing w:after="40" w:before="40"/>
              <w:jc w:val="left"/>
            </w:pPr>
            <w:r>
              <w:rPr>
                <w:rFonts w:ascii="Cambria" w:hAnsi="Cambria" w:cs="Cambria" w:eastAsia="Cambria"/>
                <w:color w:val="1A1A1A"/>
                <w:sz w:val="18"/>
              </w:rPr>
              <w:t xml:space="preserve">30.000 euro per anno di vita ponderato per la qualità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Correzione prudenziale</w:t>
            </w:r>
          </w:p>
        </w:tc>
        <w:tc>
          <w:tcPr>
            <w:shd w:val="clear" w:color="auto" w:fill="F4F1EC"/>
          </w:tcPr>
          <w:p>
            <w:pPr>
              <w:pStyle w:val="Compact"/>
              <w:spacing w:after="40" w:before="40"/>
              <w:jc w:val="left"/>
            </w:pPr>
            <w:r>
              <w:rPr>
                <w:rFonts w:ascii="Cambria" w:hAnsi="Cambria" w:cs="Cambria" w:eastAsia="Cambria"/>
                <w:color w:val="1A1A1A"/>
                <w:sz w:val="18"/>
              </w:rPr>
              <w:t xml:space="preserve">Riduzione per l’ottimismo delle stime</w:t>
            </w:r>
          </w:p>
        </w:tc>
      </w:tr>
    </w:tbl>
    <w:p>
      <w:pPr>
        <w:pStyle w:val="BodyText"/>
      </w:pPr>
      <w:r>
        <w:rPr>
          <w:i/>
          <w:iCs/>
        </w:rPr>
        <w:t xml:space="preserve">Tabella A.1. Il caso di riferimento comune a tutte le valutazioni regionali.</w:t>
      </w:r>
    </w:p>
    <w:bookmarkEnd w:id="2471"/>
    <w:bookmarkStart w:id="2473" w:name="a.2-i-parametri-del-modello-di-markov"/>
    <w:p>
      <w:pPr>
        <w:pStyle w:val="Heading3"/>
      </w:pPr>
      <w:r>
        <w:t xml:space="preserve">A.2 I parametri del modello di Markov</w:t>
      </w:r>
    </w:p>
    <w:p>
      <w:pPr>
        <w:pStyle w:val="FirstParagraph"/>
      </w:pPr>
      <w:r>
        <w:t xml:space="preserve">Il modello di Markov, impiegato per la valutazione di costo-utilità, è invariante rispetto alla regione e deriva i suoi parametri dalla letteratura.</w:t>
      </w:r>
      <w:r>
        <w:rPr>
          <w:rStyle w:val="FootnoteReference"/>
        </w:rPr>
        <w:footnoteReference w:id="2899"/>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3498"/>
        <w:gridCol w:w="15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 di Markov</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Stati del modello</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recupero</w:t>
            </w:r>
          </w:p>
        </w:tc>
        <w:tc>
          <w:tcPr>
            <w:shd w:val="clear" w:color="auto" w:fill="F4F1EC"/>
          </w:tcPr>
          <w:p>
            <w:pPr>
              <w:pStyle w:val="Compact"/>
              <w:spacing w:after="40" w:before="40"/>
              <w:jc w:val="left"/>
            </w:pPr>
            <w:r>
              <w:rPr>
                <w:rFonts w:ascii="Cambria" w:hAnsi="Cambria" w:cs="Cambria" w:eastAsia="Cambria"/>
                <w:color w:val="1A1A1A"/>
                <w:sz w:val="18"/>
              </w:rPr>
              <w:t xml:space="preserve">40 €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per ciclo — cronico</w:t>
            </w:r>
          </w:p>
        </w:tc>
        <w:tc>
          <w:tcPr/>
          <w:p>
            <w:pPr>
              <w:pStyle w:val="Compact"/>
              <w:spacing w:after="40" w:before="40"/>
              <w:jc w:val="left"/>
            </w:pPr>
            <w:r>
              <w:rPr>
                <w:rFonts w:ascii="Cambria" w:hAnsi="Cambria" w:cs="Cambria" w:eastAsia="Cambria"/>
                <w:color w:val="1A1A1A"/>
                <w:sz w:val="18"/>
              </w:rPr>
              <w:t xml:space="preserve">700 €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Per braccio, da fonti</w:t>
            </w:r>
          </w:p>
        </w:tc>
        <w:tc>
          <w:tcPr/>
          <w:p>
            <w:pPr>
              <w:pStyle w:val="Compact"/>
              <w:spacing w:after="40" w:before="40"/>
              <w:jc w:val="left"/>
            </w:pPr>
            <w:r>
              <w:rPr>
                <w:rFonts w:ascii="Cambria" w:hAnsi="Cambria" w:cs="Cambria" w:eastAsia="Cambria"/>
                <w:color w:val="1A1A1A"/>
                <w:sz w:val="18"/>
              </w:rPr>
              <w:t xml:space="preserve">Beta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per stato</w:t>
            </w:r>
          </w:p>
        </w:tc>
        <w:tc>
          <w:tcPr>
            <w:shd w:val="clear" w:color="auto" w:fill="F4F1EC"/>
          </w:tcPr>
          <w:p>
            <w:pPr>
              <w:pStyle w:val="Compact"/>
              <w:spacing w:after="40" w:before="40"/>
              <w:jc w:val="left"/>
            </w:pPr>
            <w:r>
              <w:rPr>
                <w:rFonts w:ascii="Cambria" w:hAnsi="Cambria" w:cs="Cambria" w:eastAsia="Cambria"/>
                <w:color w:val="1A1A1A"/>
                <w:sz w:val="18"/>
              </w:rPr>
              <w:t xml:space="preserve">Da fonti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Orizzonte e sconto</w:t>
            </w:r>
          </w:p>
        </w:tc>
        <w:tc>
          <w:tcPr/>
          <w:p>
            <w:pPr>
              <w:pStyle w:val="Compact"/>
              <w:spacing w:after="40" w:before="40"/>
              <w:jc w:val="left"/>
            </w:pPr>
            <w:r>
              <w:rPr>
                <w:rFonts w:ascii="Cambria" w:hAnsi="Cambria" w:cs="Cambria" w:eastAsia="Cambria"/>
                <w:color w:val="1A1A1A"/>
                <w:sz w:val="18"/>
              </w:rPr>
              <w:t xml:space="preserve">5 anni; 3% annuo</w:t>
            </w:r>
          </w:p>
        </w:tc>
        <w:t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A.2. I parametri del modello di Markov e le distribuzioni assegnate per l’analisi probabilistica.</w:t>
      </w:r>
    </w:p>
    <w:bookmarkEnd w:id="2473"/>
    <w:bookmarkStart w:id="4469" w:name="a.3-il-quadro-economico-consolidato"/>
    <w:p>
      <w:pPr>
        <w:pStyle w:val="Heading3"/>
      </w:pPr>
      <w:r>
        <w:t xml:space="preserve">A.3 Il quadro economico consolidato</w:t>
      </w:r>
    </w:p>
    <w:p>
      <w:pPr>
        <w:pStyle w:val="FirstParagraph"/>
      </w:pPr>
      <w:r>
        <w:t xml:space="preserve">Il quadro economico consolidato per le Marche, già esposto nelle parti centrali dello studio, è qui riassunto per scenario, a beneficio della consultazione.</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3"/>
        <w:gridCol w:w="1384"/>
        <w:gridCol w:w="1384"/>
        <w:gridCol w:w="13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 salvo 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Psicologi a regime</w:t>
            </w:r>
          </w:p>
        </w:tc>
        <w:tc>
          <w:tcPr/>
          <w:p>
            <w:pPr>
              <w:pStyle w:val="Compact"/>
              <w:spacing w:after="40" w:before="40"/>
              <w:jc w:val="left"/>
            </w:pPr>
            <w:r>
              <w:rPr>
                <w:rFonts w:ascii="Cambria" w:hAnsi="Cambria" w:cs="Cambria" w:eastAsia="Cambria"/>
                <w:color w:val="1A1A1A"/>
                <w:sz w:val="18"/>
              </w:rPr>
              <w:t xml:space="preserve">~ 250</w:t>
            </w:r>
          </w:p>
        </w:tc>
        <w:tc>
          <w:tcPr/>
          <w:p>
            <w:pPr>
              <w:pStyle w:val="Compact"/>
              <w:spacing w:after="40" w:before="40"/>
              <w:jc w:val="left"/>
            </w:pPr>
            <w:r>
              <w:rPr>
                <w:rFonts w:ascii="Cambria" w:hAnsi="Cambria" w:cs="Cambria" w:eastAsia="Cambria"/>
                <w:color w:val="1A1A1A"/>
                <w:sz w:val="18"/>
              </w:rPr>
              <w:t xml:space="preserve">~ 340</w:t>
            </w:r>
          </w:p>
        </w:tc>
        <w:tc>
          <w:tcPr/>
          <w:p>
            <w:pPr>
              <w:pStyle w:val="Compact"/>
              <w:spacing w:after="40" w:before="40"/>
              <w:jc w:val="left"/>
            </w:pPr>
            <w:r>
              <w:rPr>
                <w:rFonts w:ascii="Cambria" w:hAnsi="Cambria" w:cs="Cambria" w:eastAsia="Cambria"/>
                <w:color w:val="1A1A1A"/>
                <w:sz w:val="18"/>
              </w:rPr>
              <w:t xml:space="preserve">~ 370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14</w:t>
            </w:r>
          </w:p>
        </w:tc>
        <w:tc>
          <w:tcPr>
            <w:shd w:val="clear" w:color="auto" w:fill="F4F1EC"/>
          </w:tcPr>
          <w:p>
            <w:pPr>
              <w:pStyle w:val="Compact"/>
              <w:spacing w:after="40" w:before="40"/>
              <w:jc w:val="left"/>
            </w:pPr>
            <w:r>
              <w:rPr>
                <w:rFonts w:ascii="Cambria" w:hAnsi="Cambria" w:cs="Cambria" w:eastAsia="Cambria"/>
                <w:color w:val="1A1A1A"/>
                <w:sz w:val="18"/>
              </w:rPr>
              <w:t xml:space="preserve">~ 20</w:t>
            </w:r>
          </w:p>
        </w:tc>
        <w:tc>
          <w:tcPr>
            <w:shd w:val="clear" w:color="auto" w:fill="F4F1EC"/>
          </w:tcPr>
          <w:p>
            <w:pPr>
              <w:pStyle w:val="Compact"/>
              <w:spacing w:after="40" w:before="40"/>
              <w:jc w:val="left"/>
            </w:pPr>
            <w:r>
              <w:rPr>
                <w:rFonts w:ascii="Cambria" w:hAnsi="Cambria" w:cs="Cambria" w:eastAsia="Cambria"/>
                <w:color w:val="1A1A1A"/>
                <w:sz w:val="18"/>
              </w:rPr>
              <w:t xml:space="preserve">~ 28</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9</w:t>
            </w:r>
          </w:p>
        </w:tc>
        <w:tc>
          <w:tcPr/>
          <w:p>
            <w:pPr>
              <w:pStyle w:val="Compact"/>
              <w:spacing w:after="40" w:before="40"/>
              <w:jc w:val="left"/>
            </w:pPr>
            <w:r>
              <w:rPr>
                <w:rFonts w:ascii="Cambria" w:hAnsi="Cambria" w:cs="Cambria" w:eastAsia="Cambria"/>
                <w:color w:val="1A1A1A"/>
                <w:sz w:val="18"/>
              </w:rPr>
              <w:t xml:space="preserve">~ 14</w:t>
            </w:r>
          </w:p>
        </w:tc>
        <w:tc>
          <w:tcPr/>
          <w:p>
            <w:pPr>
              <w:pStyle w:val="Compact"/>
              <w:spacing w:after="40" w:before="40"/>
              <w:jc w:val="left"/>
            </w:pPr>
            <w:r>
              <w:rPr>
                <w:rFonts w:ascii="Cambria" w:hAnsi="Cambria" w:cs="Cambria" w:eastAsia="Cambria"/>
                <w:color w:val="1A1A1A"/>
                <w:sz w:val="18"/>
              </w:rPr>
              <w:t xml:space="preserve">~ 21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40</w:t>
            </w:r>
          </w:p>
        </w:tc>
        <w:tc>
          <w:tcPr>
            <w:shd w:val="clear" w:color="auto" w:fill="F4F1EC"/>
          </w:tcPr>
          <w:p>
            <w:pPr>
              <w:pStyle w:val="Compact"/>
              <w:spacing w:after="40" w:before="40"/>
              <w:jc w:val="left"/>
            </w:pPr>
            <w:r>
              <w:rPr>
                <w:rFonts w:ascii="Cambria" w:hAnsi="Cambria" w:cs="Cambria" w:eastAsia="Cambria"/>
                <w:color w:val="1A1A1A"/>
                <w:sz w:val="18"/>
              </w:rPr>
              <w:t xml:space="preserve">~ 70</w:t>
            </w:r>
          </w:p>
        </w:tc>
        <w:tc>
          <w:tcPr>
            <w:shd w:val="clear" w:color="auto" w:fill="F4F1EC"/>
          </w:tcPr>
          <w:p>
            <w:pPr>
              <w:pStyle w:val="Compact"/>
              <w:spacing w:after="40" w:before="40"/>
              <w:jc w:val="left"/>
            </w:pPr>
            <w:r>
              <w:rPr>
                <w:rFonts w:ascii="Cambria" w:hAnsi="Cambria" w:cs="Cambria" w:eastAsia="Cambria"/>
                <w:color w:val="1A1A1A"/>
                <w:sz w:val="18"/>
              </w:rPr>
              <w:t xml:space="preserve">~ 110</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−5</w:t>
            </w:r>
          </w:p>
        </w:tc>
        <w:tc>
          <w:tcPr/>
          <w:p>
            <w:pPr>
              <w:pStyle w:val="Compact"/>
              <w:spacing w:after="40" w:before="40"/>
              <w:jc w:val="left"/>
            </w:pPr>
            <w:r>
              <w:rPr>
                <w:rFonts w:ascii="Cambria" w:hAnsi="Cambria" w:cs="Cambria" w:eastAsia="Cambria"/>
                <w:color w:val="1A1A1A"/>
                <w:sz w:val="18"/>
              </w:rPr>
              <w:t xml:space="preserve">~ −6</w:t>
            </w:r>
          </w:p>
        </w:tc>
        <w:tc>
          <w:tcPr/>
          <w:p>
            <w:pPr>
              <w:pStyle w:val="Compact"/>
              <w:spacing w:after="40" w:before="40"/>
              <w:jc w:val="left"/>
            </w:pPr>
            <w:r>
              <w:rPr>
                <w:rFonts w:ascii="Cambria" w:hAnsi="Cambria" w:cs="Cambria" w:eastAsia="Cambria"/>
                <w:color w:val="1A1A1A"/>
                <w:sz w:val="18"/>
              </w:rPr>
              <w:t xml:space="preserve">~ −7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+35</w:t>
            </w:r>
          </w:p>
        </w:tc>
        <w:tc>
          <w:tcPr>
            <w:shd w:val="clear" w:color="auto" w:fill="F4F1EC"/>
          </w:tcPr>
          <w:p>
            <w:pPr>
              <w:pStyle w:val="Compact"/>
              <w:spacing w:after="40" w:before="40"/>
              <w:jc w:val="left"/>
            </w:pPr>
            <w:r>
              <w:rPr>
                <w:rFonts w:ascii="Cambria" w:hAnsi="Cambria" w:cs="Cambria" w:eastAsia="Cambria"/>
                <w:color w:val="1A1A1A"/>
                <w:sz w:val="18"/>
              </w:rPr>
              <w:t xml:space="preserve">+64</w:t>
            </w:r>
          </w:p>
        </w:tc>
        <w:tc>
          <w:tcPr>
            <w:shd w:val="clear" w:color="auto" w:fill="F4F1EC"/>
          </w:tcPr>
          <w:p>
            <w:pPr>
              <w:pStyle w:val="Compact"/>
              <w:spacing w:after="40" w:before="40"/>
              <w:jc w:val="left"/>
            </w:pPr>
            <w:r>
              <w:rPr>
                <w:rFonts w:ascii="Cambria" w:hAnsi="Cambria" w:cs="Cambria" w:eastAsia="Cambria"/>
                <w:color w:val="1A1A1A"/>
                <w:sz w:val="18"/>
              </w:rPr>
              <w:t xml:space="preserve">+103</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~3,5:1</w:t>
            </w:r>
          </w:p>
        </w:tc>
        <w:tc>
          <w:tcPr/>
          <w:p>
            <w:pPr>
              <w:pStyle w:val="Compact"/>
              <w:spacing w:after="40" w:before="40"/>
              <w:jc w:val="left"/>
            </w:pPr>
            <w:r>
              <w:rPr>
                <w:rFonts w:ascii="Cambria" w:hAnsi="Cambria" w:cs="Cambria" w:eastAsia="Cambria"/>
                <w:color w:val="1A1A1A"/>
                <w:sz w:val="18"/>
              </w:rPr>
              <w:t xml:space="preserve">~4,2:1</w:t>
            </w:r>
          </w:p>
        </w:tc>
        <w:tc>
          <w:tcPr/>
          <w:p>
            <w:pPr>
              <w:pStyle w:val="Compact"/>
              <w:spacing w:after="40" w:before="40"/>
              <w:jc w:val="left"/>
            </w:pPr>
            <w:r>
              <w:rPr>
                <w:rFonts w:ascii="Cambria" w:hAnsi="Cambria" w:cs="Cambria" w:eastAsia="Cambria"/>
                <w:color w:val="1A1A1A"/>
                <w:sz w:val="18"/>
              </w:rPr>
              <w:t xml:space="preserve">~4,9:1</w:t>
            </w:r>
          </w:p>
        </w:tc>
      </w:tr>
    </w:tbl>
    <w:p>
      <w:pPr>
        <w:pStyle w:val="BodyText"/>
      </w:pPr>
      <w:r>
        <w:rPr>
          <w:i/>
          <w:iCs/>
        </w:rPr>
        <w:t xml:space="preserve">Tabella A.3. Il quadro economico consolidato per scenario.</w:t>
      </w:r>
    </w:p>
    <w:bookmarkEnd w:id="4469"/>
    <w:bookmarkEnd w:id="2475"/>
    <w:bookmarkStart w:id="2476" w:name="X7d5487860aecfc110a9b7be03655460fd378e19"/>
    <w:p>
      <w:pPr>
        <w:pStyle w:val="Heading2"/>
      </w:pPr>
      <w:r>
        <w:t xml:space="preserve">Appendice B — Strumenti di esito e dataset minimo</w:t>
      </w:r>
    </w:p>
    <w:p>
      <w:pPr>
        <w:pStyle w:val="FirstParagraph"/>
      </w:pPr>
      <w:r>
        <w:t xml:space="preserve">La presente appendice documenta gli strumenti di misurazione degli esiti e il dataset minimo del servizio.</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6"/>
        <w:gridCol w:w="1584"/>
        <w:gridCol w:w="41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Caratteristiche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 soglia clinica ~10; cambiamento affidabile ~6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d’ansia</w:t>
            </w:r>
          </w:p>
        </w:tc>
        <w:tc>
          <w:tcPr>
            <w:shd w:val="clear" w:color="auto" w:fill="F4F1EC"/>
          </w:tcPr>
          <w:p>
            <w:pPr>
              <w:pStyle w:val="Compact"/>
              <w:spacing w:after="40" w:before="40"/>
              <w:jc w:val="left"/>
            </w:pPr>
            <w:r>
              <w:rPr>
                <w:rFonts w:ascii="Cambria" w:hAnsi="Cambria" w:cs="Cambria" w:eastAsia="Cambria"/>
                <w:color w:val="1A1A1A"/>
                <w:sz w:val="18"/>
              </w:rPr>
              <w:t xml:space="preserve">0–21; impiegato nel solo punteggio complessivo</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Discesa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Esito secondario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 in modo comparabile fra le cinque AST.</w:t>
      </w:r>
    </w:p>
    <w:tbl>
      <w:tblPr>
        <w:tblStyle w:val="Table"/>
        <w:tblW w:type="pct" w:w="491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52"/>
        <w:gridCol w:w="4154"/>
        <w:gridCol w:w="18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Campo del dataset</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Momento di rilevazione</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Data di apertura, canale di accesso, invio, AST e distretto</w:t>
            </w:r>
          </w:p>
        </w:tc>
        <w:tc>
          <w:tcPr/>
          <w:p>
            <w:pPr>
              <w:pStyle w:val="Compact"/>
              <w:spacing w:after="40" w:before="40"/>
              <w:jc w:val="left"/>
            </w:pPr>
            <w:r>
              <w:rPr>
                <w:rFonts w:ascii="Cambria" w:hAnsi="Cambria" w:cs="Cambria" w:eastAsia="Cambria"/>
                <w:color w:val="1A1A1A"/>
                <w:sz w:val="18"/>
              </w:rPr>
              <w:t xml:space="preserve">All’apertura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Seduta</w:t>
            </w:r>
          </w:p>
        </w:tc>
        <w:tc>
          <w:tcPr>
            <w:shd w:val="clear" w:color="auto" w:fill="F4F1EC"/>
          </w:tcPr>
          <w:p>
            <w:pPr>
              <w:pStyle w:val="Compact"/>
              <w:spacing w:after="40" w:before="40"/>
              <w:jc w:val="left"/>
            </w:pPr>
            <w:r>
              <w:rPr>
                <w:rFonts w:ascii="Cambria" w:hAnsi="Cambria" w:cs="Cambria" w:eastAsia="Cambria"/>
                <w:color w:val="1A1A1A"/>
                <w:sz w:val="18"/>
              </w:rPr>
              <w:t xml:space="preserve">Data, tipo (presenza/telepsicologia) e numero progressivo</w:t>
            </w:r>
          </w:p>
        </w:tc>
        <w:tc>
          <w:tcPr>
            <w:shd w:val="clear" w:color="auto" w:fill="F4F1EC"/>
          </w:tcPr>
          <w:p>
            <w:pPr>
              <w:pStyle w:val="Compact"/>
              <w:spacing w:after="40" w:before="40"/>
              <w:jc w:val="left"/>
            </w:pPr>
            <w:r>
              <w:rPr>
                <w:rFonts w:ascii="Cambria" w:hAnsi="Cambria" w:cs="Cambria" w:eastAsia="Cambria"/>
                <w:color w:val="1A1A1A"/>
                <w:sz w:val="18"/>
              </w:rPr>
              <w:t xml:space="preserve">A ogni seduta</w:t>
            </w:r>
          </w:p>
        </w:tc>
      </w:tr>
      <w:tr>
        <w:tc>
          <w:tcPr/>
          <w:p>
            <w:pPr>
              <w:pStyle w:val="Compact"/>
              <w:spacing w:after="40" w:before="40"/>
              <w:jc w:val="left"/>
            </w:pPr>
            <w:r>
              <w:rPr>
                <w:rFonts w:ascii="Cambria" w:hAnsi="Cambria" w:cs="Cambria" w:eastAsia="Cambria"/>
                <w:b/>
                <w:bCs/>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e GAD-7 (punteggi complessivi)</w:t>
            </w:r>
          </w:p>
        </w:tc>
        <w:tc>
          <w:tcPr/>
          <w:p>
            <w:pPr>
              <w:pStyle w:val="Compact"/>
              <w:spacing w:after="40" w:before="40"/>
              <w:jc w:val="left"/>
            </w:pPr>
            <w:r>
              <w:rPr>
                <w:rFonts w:ascii="Cambria" w:hAnsi="Cambria" w:cs="Cambria" w:eastAsia="Cambria"/>
                <w:color w:val="1A1A1A"/>
                <w:sz w:val="18"/>
              </w:rPr>
              <w:t xml:space="preserve">A ogni seduta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Invii e restituzioni</w:t>
            </w:r>
          </w:p>
        </w:tc>
        <w:tc>
          <w:tcPr>
            <w:shd w:val="clear" w:color="auto" w:fill="F4F1EC"/>
          </w:tcPr>
          <w:p>
            <w:pPr>
              <w:pStyle w:val="Compact"/>
              <w:spacing w:after="40" w:before="40"/>
              <w:jc w:val="left"/>
            </w:pPr>
            <w:r>
              <w:rPr>
                <w:rFonts w:ascii="Cambria" w:hAnsi="Cambria" w:cs="Cambria" w:eastAsia="Cambria"/>
                <w:color w:val="1A1A1A"/>
                <w:sz w:val="18"/>
              </w:rPr>
              <w:t xml:space="preserve">Invio a servizi specialistici; restituzione al medico curante</w:t>
            </w:r>
          </w:p>
        </w:tc>
        <w:tc>
          <w:tcPr>
            <w:shd w:val="clear" w:color="auto" w:fill="F4F1EC"/>
          </w:tcPr>
          <w:p>
            <w:pPr>
              <w:pStyle w:val="Compact"/>
              <w:spacing w:after="40" w:before="40"/>
              <w:jc w:val="left"/>
            </w:pPr>
            <w:r>
              <w:rPr>
                <w:rFonts w:ascii="Cambria" w:hAnsi="Cambria" w:cs="Cambria" w:eastAsia="Cambria"/>
                <w:color w:val="1A1A1A"/>
                <w:sz w:val="18"/>
              </w:rPr>
              <w:t xml:space="preserve">Ove pertinente</w:t>
            </w:r>
          </w:p>
        </w:tc>
      </w:tr>
      <w:tr>
        <w:tc>
          <w:tcPr/>
          <w:p>
            <w:pPr>
              <w:pStyle w:val="Compact"/>
              <w:spacing w:after="40" w:before="40"/>
              <w:jc w:val="left"/>
            </w:pPr>
            <w:r>
              <w:rPr>
                <w:rFonts w:ascii="Cambria" w:hAnsi="Cambria" w:cs="Cambria" w:eastAsia="Cambria"/>
                <w:b/>
                <w:bCs/>
                <w:color w:val="1A1A1A"/>
                <w:sz w:val="18"/>
              </w:rPr>
              <w:t xml:space="preserve">Chiusura</w:t>
            </w:r>
          </w:p>
        </w:tc>
        <w:tc>
          <w:tcPr/>
          <w:p>
            <w:pPr>
              <w:pStyle w:val="Compact"/>
              <w:spacing w:after="40" w:before="40"/>
              <w:jc w:val="left"/>
            </w:pPr>
            <w:r>
              <w:rPr>
                <w:rFonts w:ascii="Cambria" w:hAnsi="Cambria" w:cs="Cambria" w:eastAsia="Cambria"/>
                <w:color w:val="1A1A1A"/>
                <w:sz w:val="18"/>
              </w:rPr>
              <w:t xml:space="preserve">Esito del percorso (recupero, miglioramento, invio)</w:t>
            </w:r>
          </w:p>
        </w:tc>
        <w:tc>
          <w:tcPr/>
          <w:p>
            <w:pPr>
              <w:pStyle w:val="Compact"/>
              <w:spacing w:after="40" w:before="40"/>
              <w:jc w:val="left"/>
            </w:pPr>
            <w:r>
              <w:rPr>
                <w:rFonts w:ascii="Cambria" w:hAnsi="Cambria" w:cs="Cambria" w:eastAsia="Cambria"/>
                <w:color w:val="1A1A1A"/>
                <w:sz w:val="18"/>
              </w:rPr>
              <w:t xml:space="preserve">Alla chiusura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Variabili di equità</w:t>
            </w:r>
          </w:p>
        </w:tc>
        <w:tc>
          <w:tcPr>
            <w:shd w:val="clear" w:color="auto" w:fill="F4F1EC"/>
          </w:tcPr>
          <w:p>
            <w:pPr>
              <w:pStyle w:val="Compact"/>
              <w:spacing w:after="40" w:before="40"/>
              <w:jc w:val="left"/>
            </w:pPr>
            <w:r>
              <w:rPr>
                <w:rFonts w:ascii="Cambria" w:hAnsi="Cambria" w:cs="Cambria" w:eastAsia="Cambria"/>
                <w:color w:val="1A1A1A"/>
                <w:sz w:val="18"/>
              </w:rPr>
              <w:t xml:space="preserve">Fasce di età, area geografica (costiera/collinare/appenninica)</w:t>
            </w:r>
          </w:p>
        </w:tc>
        <w:tc>
          <w:tcPr>
            <w:shd w:val="clear" w:color="auto" w:fill="F4F1EC"/>
          </w:tcPr>
          <w:p>
            <w:pPr>
              <w:pStyle w:val="Compact"/>
              <w:spacing w:after="40" w:before="40"/>
              <w:jc w:val="left"/>
            </w:pPr>
            <w:r>
              <w:rPr>
                <w:rFonts w:ascii="Cambria" w:hAnsi="Cambria" w:cs="Cambria" w:eastAsia="Cambria"/>
                <w:color w:val="1A1A1A"/>
                <w:sz w:val="18"/>
              </w:rPr>
              <w:t xml:space="preserve">All’apertura</w:t>
            </w:r>
          </w:p>
        </w:tc>
      </w:tr>
    </w:tbl>
    <w:p>
      <w:pPr>
        <w:pStyle w:val="BodyText"/>
      </w:pPr>
      <w:r>
        <w:rPr>
          <w:i/>
          <w:iCs/>
        </w:rPr>
        <w:t xml:space="preserve">Tabella B.2. Il dataset minimo: i campi del protocollo di rilevazione (dizionario dei dati).</w:t>
      </w:r>
    </w:p>
    <w:bookmarkEnd w:id="2476"/>
    <w:bookmarkStart w:id="2477" w:name="appendice-c-dati-regionali-e-fonti-8"/>
    <w:p>
      <w:pPr>
        <w:pStyle w:val="Heading2"/>
      </w:pPr>
      <w:r>
        <w:t xml:space="preserve">Appendice C — Dati regionali e fonti</w:t>
      </w:r>
    </w:p>
    <w:p>
      <w:pPr>
        <w:pStyle w:val="FirstParagraph"/>
      </w:pPr>
      <w:r>
        <w:t xml:space="preserve">La presente appendice raccoglie i principali dati regionali di ancoraggio dello studio.</w:t>
      </w:r>
    </w:p>
    <w:tbl>
      <w:tblPr>
        <w:tblStyle w:val="Table"/>
        <w:tblW w:type="pct" w:w="492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63"/>
        <w:gridCol w:w="493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Dato</w:t>
            </w:r>
          </w:p>
        </w:tc>
      </w:tr>
      <w:tr>
        <w:tc>
          <w:tcPr/>
          <w:p>
            <w:pPr>
              <w:pStyle w:val="Compact"/>
              <w:spacing w:after="40" w:before="40"/>
              <w:jc w:val="left"/>
            </w:pPr>
            <w:r>
              <w:rPr>
                <w:rFonts w:ascii="Cambria" w:hAnsi="Cambria" w:cs="Cambria" w:eastAsia="Cambria"/>
                <w:b/>
                <w:bCs/>
                <w:color w:val="1A1A1A"/>
                <w:sz w:val="18"/>
              </w:rPr>
              <w:t xml:space="preserve">Popolazione residente</w:t>
            </w:r>
          </w:p>
        </w:tc>
        <w:tc>
          <w:tcPr/>
          <w:p>
            <w:pPr>
              <w:pStyle w:val="Compact"/>
              <w:spacing w:after="40" w:before="40"/>
              <w:jc w:val="left"/>
            </w:pPr>
            <w:r>
              <w:rPr>
                <w:rFonts w:ascii="Cambria" w:hAnsi="Cambria" w:cs="Cambria" w:eastAsia="Cambria"/>
                <w:color w:val="1A1A1A"/>
                <w:sz w:val="18"/>
              </w:rPr>
              <w:t xml:space="preserve">1.480.545 abitanti (dato usato nel Tomo II)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vecchiaia</w:t>
            </w:r>
          </w:p>
        </w:tc>
        <w:tc>
          <w:tcPr>
            <w:shd w:val="clear" w:color="auto" w:fill="F4F1EC"/>
          </w:tcPr>
          <w:p>
            <w:pPr>
              <w:pStyle w:val="Compact"/>
              <w:spacing w:after="40" w:before="40"/>
              <w:jc w:val="left"/>
            </w:pPr>
            <w:r>
              <w:rPr>
                <w:rFonts w:ascii="Cambria" w:hAnsi="Cambria" w:cs="Cambria" w:eastAsia="Cambria"/>
                <w:color w:val="1A1A1A"/>
                <w:sz w:val="18"/>
              </w:rPr>
              <w:t xml:space="preserve">235,5 al 1° gennaio 2025; fonte: Camera di Commercio Marche</w:t>
            </w:r>
          </w:p>
        </w:tc>
      </w:tr>
      <w:tr>
        <w:tc>
          <w:tcPr/>
          <w:p>
            <w:pPr>
              <w:pStyle w:val="Compact"/>
              <w:spacing w:after="40" w:before="40"/>
              <w:jc w:val="left"/>
            </w:pPr>
            <w:r>
              <w:rPr>
                <w:rFonts w:ascii="Cambria" w:hAnsi="Cambria" w:cs="Cambria" w:eastAsia="Cambria"/>
                <w:b/>
                <w:bCs/>
                <w:color w:val="1A1A1A"/>
                <w:sz w:val="18"/>
              </w:rPr>
              <w:t xml:space="preserve">Quota over-65</w:t>
            </w:r>
          </w:p>
        </w:tc>
        <w:tc>
          <w:tcPr/>
          <w:p>
            <w:pPr>
              <w:pStyle w:val="Compact"/>
              <w:spacing w:after="40" w:before="40"/>
              <w:jc w:val="left"/>
            </w:pPr>
            <w:r>
              <w:rPr>
                <w:rFonts w:ascii="Cambria" w:hAnsi="Cambria" w:cs="Cambria" w:eastAsia="Cambria"/>
                <w:color w:val="1A1A1A"/>
                <w:sz w:val="18"/>
              </w:rPr>
              <w:t xml:space="preserve">Elevata; fra le più alte del Centro Italia; accentuata nelle aree appenniniche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Struttura del SSR</w:t>
            </w:r>
          </w:p>
        </w:tc>
        <w:tc>
          <w:tcPr>
            <w:shd w:val="clear" w:color="auto" w:fill="F4F1EC"/>
          </w:tcPr>
          <w:p>
            <w:pPr>
              <w:pStyle w:val="Compact"/>
              <w:spacing w:after="40" w:before="40"/>
              <w:jc w:val="left"/>
            </w:pPr>
            <w:r>
              <w:rPr>
                <w:rFonts w:ascii="Cambria" w:hAnsi="Cambria" w:cs="Cambria" w:eastAsia="Cambria"/>
                <w:color w:val="1A1A1A"/>
                <w:sz w:val="18"/>
              </w:rPr>
              <w:t xml:space="preserve">5 AST (Ancona, Pesaro-Urbino, Macerata, Fermo, Ascoli Piceno); AOU Marche; INRCA; rif. L.R. 19/2022</w:t>
            </w:r>
          </w:p>
        </w:tc>
      </w:tr>
      <w:tr>
        <w:tc>
          <w:tcPr/>
          <w:p>
            <w:pPr>
              <w:pStyle w:val="Compact"/>
              <w:spacing w:after="40" w:before="40"/>
              <w:jc w:val="left"/>
            </w:pPr>
            <w:r>
              <w:rPr>
                <w:rFonts w:ascii="Cambria" w:hAnsi="Cambria" w:cs="Cambria" w:eastAsia="Cambria"/>
                <w:b/>
                <w:bCs/>
                <w:color w:val="1A1A1A"/>
                <w:sz w:val="18"/>
              </w:rPr>
              <w:t xml:space="preserve">Spesa sanitaria pro-capite</w:t>
            </w:r>
          </w:p>
        </w:tc>
        <w:tc>
          <w:tcPr/>
          <w:p>
            <w:pPr>
              <w:pStyle w:val="Compact"/>
              <w:spacing w:after="40" w:before="40"/>
              <w:jc w:val="left"/>
            </w:pPr>
            <w:r>
              <w:rPr>
                <w:rFonts w:ascii="Cambria" w:hAnsi="Cambria" w:cs="Cambria" w:eastAsia="Cambria"/>
                <w:color w:val="1A1A1A"/>
                <w:sz w:val="18"/>
              </w:rPr>
              <w:t xml:space="preserve">2.612,7 euro (dato pesato); fonte: Fondazione GRINS, dicembre 2025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Fondo sanitario regionale</w:t>
            </w:r>
          </w:p>
        </w:tc>
        <w:tc>
          <w:tcPr>
            <w:shd w:val="clear" w:color="auto" w:fill="F4F1EC"/>
          </w:tcPr>
          <w:p>
            <w:pPr>
              <w:pStyle w:val="Compact"/>
              <w:spacing w:after="40" w:before="40"/>
              <w:jc w:val="left"/>
            </w:pPr>
            <w:r>
              <w:rPr>
                <w:rFonts w:ascii="Cambria" w:hAnsi="Cambria" w:cs="Cambria" w:eastAsia="Cambria"/>
                <w:color w:val="1A1A1A"/>
                <w:sz w:val="18"/>
              </w:rPr>
              <w:t xml:space="preserve">Dell’ordine di 3,3–3,4 miliardi di euro l’anno (stima)</w:t>
            </w:r>
          </w:p>
        </w:tc>
      </w:tr>
      <w:tr>
        <w:tc>
          <w:tcPr/>
          <w:p>
            <w:pPr>
              <w:pStyle w:val="Compact"/>
              <w:spacing w:after="40" w:before="40"/>
              <w:jc w:val="left"/>
            </w:pPr>
            <w:r>
              <w:rPr>
                <w:rFonts w:ascii="Cambria" w:hAnsi="Cambria" w:cs="Cambria" w:eastAsia="Cambria"/>
                <w:b/>
                <w:bCs/>
                <w:color w:val="1A1A1A"/>
                <w:sz w:val="18"/>
              </w:rPr>
              <w:t xml:space="preserve">Disagio psichico comune (stima)</w:t>
            </w:r>
          </w:p>
        </w:tc>
        <w:tc>
          <w:tcPr/>
          <w:p>
            <w:pPr>
              <w:pStyle w:val="Compact"/>
              <w:spacing w:after="40" w:before="40"/>
              <w:jc w:val="left"/>
            </w:pPr>
            <w:r>
              <w:rPr>
                <w:rFonts w:ascii="Cambria" w:hAnsi="Cambria" w:cs="Cambria" w:eastAsia="Cambria"/>
                <w:color w:val="1A1A1A"/>
                <w:sz w:val="18"/>
              </w:rPr>
              <w:t xml:space="preserve">~296.000 persone/anno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Stato legislativo psicologia di base</w:t>
            </w:r>
          </w:p>
        </w:tc>
        <w:tc>
          <w:tcPr>
            <w:shd w:val="clear" w:color="auto" w:fill="F4F1EC"/>
          </w:tcPr>
          <w:p>
            <w:pPr>
              <w:pStyle w:val="Compact"/>
              <w:spacing w:after="40" w:before="40"/>
              <w:jc w:val="left"/>
            </w:pPr>
            <w:r>
              <w:rPr>
                <w:rFonts w:ascii="Cambria" w:hAnsi="Cambria" w:cs="Cambria" w:eastAsia="Cambria"/>
                <w:color w:val="1A1A1A"/>
                <w:sz w:val="18"/>
              </w:rPr>
              <w:t xml:space="preserve">Sperimentazione amministrativa avviata; nessuna legge organica (fonte: psicologicureprimarie.it); PDL n. 100 in discussione</w:t>
            </w:r>
          </w:p>
        </w:tc>
      </w:tr>
      <w:tr>
        <w:tc>
          <w:tcPr/>
          <w:p>
            <w:pPr>
              <w:pStyle w:val="Compact"/>
              <w:spacing w:after="40" w:before="40"/>
              <w:jc w:val="left"/>
            </w:pPr>
            <w:r>
              <w:rPr>
                <w:rFonts w:ascii="Cambria" w:hAnsi="Cambria" w:cs="Cambria" w:eastAsia="Cambria"/>
                <w:b/>
                <w:bCs/>
                <w:color w:val="1A1A1A"/>
                <w:sz w:val="18"/>
              </w:rPr>
              <w:t xml:space="preserve">Piano Socio-Sanitario Regionale</w:t>
            </w:r>
          </w:p>
        </w:tc>
        <w:tc>
          <w:tcPr/>
          <w:p>
            <w:pPr>
              <w:pStyle w:val="Compact"/>
              <w:spacing w:after="40" w:before="40"/>
              <w:jc w:val="left"/>
            </w:pPr>
            <w:r>
              <w:rPr>
                <w:rFonts w:ascii="Cambria" w:hAnsi="Cambria" w:cs="Cambria" w:eastAsia="Cambria"/>
                <w:color w:val="1A1A1A"/>
                <w:sz w:val="18"/>
              </w:rPr>
              <w:t xml:space="preserve">PSSR 2023–2025 (delibera GR n. 630/2024); PSSR 2024–2028 (approvato dal CR nel giugno 2024)</w:t>
            </w:r>
          </w:p>
        </w:tc>
      </w:tr>
    </w:tbl>
    <w:p>
      <w:pPr>
        <w:pStyle w:val="BodyText"/>
      </w:pPr>
      <w:r>
        <w:rPr>
          <w:i/>
          <w:iCs/>
        </w:rPr>
        <w:t xml:space="preserve">Tabella C.1. Principali dati regionali utilizzati nello studio. Le fonti sono indicate nelle parti corrispondenti.</w:t>
      </w:r>
    </w:p>
    <w:p>
      <w:pPr>
        <w:pStyle w:val="BodyText"/>
      </w:pPr>
      <w:r>
        <w:t xml:space="preserve">I dati la cui acquisizione consentirebbe di sostituire le stime con misure dirette comprendono: i conti economici certificati delle cinque AST; i dati di attività della sperimentazione amministrativa in corso (prese in carico, esiti, distribuzione territoriale); la prevalenza regionale diretta del disagio psichico comune; i consumi sanitari effettivi associati al disagio comune per canale; e gli esiti clinici ed economici effettivamente prodotti dal servizio una volta strutturato organicamente.</w:t>
      </w:r>
    </w:p>
    <w:bookmarkEnd w:id="2477"/>
    <w:bookmarkStart w:id="2478" w:name="appendice-d-checklist-di-reporting-8"/>
    <w:p>
      <w:pPr>
        <w:pStyle w:val="Heading2"/>
      </w:pPr>
      <w:r>
        <w:t xml:space="preserve">Appendice D — Checklist di reporting</w:t>
      </w:r>
    </w:p>
    <w:p>
      <w:pPr>
        <w:pStyle w:val="FirstParagraph"/>
      </w:pPr>
      <w:r>
        <w:t xml:space="preserve">La presente appendice elenca gli standard di reporting e di qualità adottati nello studio.</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3927"/>
        <w:gridCol w:w="1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Standard o lista di controllo</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r>
      <w:tr>
        <w:tc>
          <w:tcPr/>
          <w:p>
            <w:pPr>
              <w:pStyle w:val="Compact"/>
              <w:spacing w:after="40" w:before="40"/>
              <w:jc w:val="left"/>
            </w:pPr>
            <w:r>
              <w:rPr>
                <w:rFonts w:ascii="Cambria" w:hAnsi="Cambria" w:cs="Cambria" w:eastAsia="Cambria"/>
                <w:b/>
                <w:bCs/>
                <w:color w:val="1A1A1A"/>
                <w:sz w:val="18"/>
              </w:rPr>
              <w:t xml:space="preserve">CHEERS 2022 (28 voci)</w:t>
            </w:r>
          </w:p>
        </w:tc>
        <w:tc>
          <w:tcPr/>
          <w:p>
            <w:pPr>
              <w:pStyle w:val="Compact"/>
              <w:spacing w:after="40" w:before="40"/>
              <w:jc w:val="left"/>
            </w:pPr>
            <w:r>
              <w:rPr>
                <w:rFonts w:ascii="Cambria" w:hAnsi="Cambria" w:cs="Cambria" w:eastAsia="Cambria"/>
                <w:color w:val="1A1A1A"/>
                <w:sz w:val="18"/>
              </w:rPr>
              <w:t xml:space="preserve">Rendicontazione delle valutazioni economiche</w:t>
            </w:r>
          </w:p>
        </w:tc>
        <w:tc>
          <w:tcPr/>
          <w:p>
            <w:pPr>
              <w:pStyle w:val="Compact"/>
              <w:spacing w:after="40" w:before="40"/>
              <w:jc w:val="left"/>
            </w:pPr>
            <w:r>
              <w:rPr>
                <w:rFonts w:ascii="Cambria" w:hAnsi="Cambria" w:cs="Cambria" w:eastAsia="Cambria"/>
                <w:color w:val="1A1A1A"/>
                <w:sz w:val="18"/>
              </w:rPr>
              <w:t xml:space="preserve">Parte 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CHEERS-AI (38 voci)</w:t>
            </w:r>
          </w:p>
        </w:tc>
        <w:tc>
          <w:tcPr>
            <w:shd w:val="clear" w:color="auto" w:fill="F4F1EC"/>
          </w:tcPr>
          <w:p>
            <w:pPr>
              <w:pStyle w:val="Compact"/>
              <w:spacing w:after="40" w:before="40"/>
              <w:jc w:val="left"/>
            </w:pPr>
            <w:r>
              <w:rPr>
                <w:rFonts w:ascii="Cambria" w:hAnsi="Cambria" w:cs="Cambria" w:eastAsia="Cambria"/>
                <w:color w:val="1A1A1A"/>
                <w:sz w:val="18"/>
              </w:rPr>
              <w:t xml:space="preserve">Estensione per gli interventi con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Parti C, E</w:t>
            </w:r>
          </w:p>
        </w:tc>
      </w:tr>
      <w:tr>
        <w:tc>
          <w:tcPr/>
          <w:p>
            <w:pPr>
              <w:pStyle w:val="Compact"/>
              <w:spacing w:after="40" w:before="40"/>
              <w:jc w:val="left"/>
            </w:pPr>
            <w:r>
              <w:rPr>
                <w:rFonts w:ascii="Cambria" w:hAnsi="Cambria" w:cs="Cambria" w:eastAsia="Cambria"/>
                <w:b/>
                <w:bCs/>
                <w:color w:val="1A1A1A"/>
                <w:sz w:val="18"/>
              </w:rPr>
              <w:t xml:space="preserve">PRISMA 2020</w:t>
            </w:r>
          </w:p>
        </w:tc>
        <w:tc>
          <w:tcPr/>
          <w:p>
            <w:pPr>
              <w:pStyle w:val="Compact"/>
              <w:spacing w:after="40" w:before="40"/>
              <w:jc w:val="left"/>
            </w:pPr>
            <w:r>
              <w:rPr>
                <w:rFonts w:ascii="Cambria" w:hAnsi="Cambria" w:cs="Cambria" w:eastAsia="Cambria"/>
                <w:color w:val="1A1A1A"/>
                <w:sz w:val="18"/>
              </w:rPr>
              <w:t xml:space="preserve">Conduzione e reporting delle revisioni sistematiche</w:t>
            </w:r>
          </w:p>
        </w:tc>
        <w:tc>
          <w:tcPr/>
          <w:p>
            <w:pPr>
              <w:pStyle w:val="Compact"/>
              <w:spacing w:after="40" w:before="40"/>
              <w:jc w:val="left"/>
            </w:pPr>
            <w:r>
              <w:rPr>
                <w:rFonts w:ascii="Cambria" w:hAnsi="Cambria" w:cs="Cambria" w:eastAsia="Cambria"/>
                <w:color w:val="1A1A1A"/>
                <w:sz w:val="18"/>
              </w:rPr>
              <w:t xml:space="preserve">Parte 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GRADE</w:t>
            </w:r>
          </w:p>
        </w:tc>
        <w:tc>
          <w:tcPr>
            <w:shd w:val="clear" w:color="auto" w:fill="F4F1EC"/>
          </w:tcPr>
          <w:p>
            <w:pPr>
              <w:pStyle w:val="Compact"/>
              <w:spacing w:after="40" w:before="40"/>
              <w:jc w:val="left"/>
            </w:pPr>
            <w:r>
              <w:rPr>
                <w:rFonts w:ascii="Cambria" w:hAnsi="Cambria" w:cs="Cambria" w:eastAsia="Cambria"/>
                <w:color w:val="1A1A1A"/>
                <w:sz w:val="18"/>
              </w:rPr>
              <w:t xml:space="preserve">Graduazione della certezza dell’evidenza</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r>
      <w:tr>
        <w:tc>
          <w:tcPr/>
          <w:p>
            <w:pPr>
              <w:pStyle w:val="Compact"/>
              <w:spacing w:after="40" w:before="40"/>
              <w:jc w:val="left"/>
            </w:pPr>
            <w:r>
              <w:rPr>
                <w:rFonts w:ascii="Cambria" w:hAnsi="Cambria" w:cs="Cambria" w:eastAsia="Cambria"/>
                <w:b/>
                <w:bCs/>
                <w:color w:val="1A1A1A"/>
                <w:sz w:val="18"/>
              </w:rPr>
              <w:t xml:space="preserve">Lista STROBE</w:t>
            </w:r>
          </w:p>
        </w:tc>
        <w:tc>
          <w:tcPr/>
          <w:p>
            <w:pPr>
              <w:pStyle w:val="Compact"/>
              <w:spacing w:after="40" w:before="40"/>
              <w:jc w:val="left"/>
            </w:pPr>
            <w:r>
              <w:rPr>
                <w:rFonts w:ascii="Cambria" w:hAnsi="Cambria" w:cs="Cambria" w:eastAsia="Cambria"/>
                <w:color w:val="1A1A1A"/>
                <w:sz w:val="18"/>
              </w:rPr>
              <w:t xml:space="preserve">Studi osservazionali sui dati reali</w:t>
            </w:r>
          </w:p>
        </w:tc>
        <w:tc>
          <w:tcPr/>
          <w:p>
            <w:pPr>
              <w:pStyle w:val="Compact"/>
              <w:spacing w:after="40" w:before="40"/>
              <w:jc w:val="left"/>
            </w:pPr>
            <w:r>
              <w:rPr>
                <w:rFonts w:ascii="Cambria" w:hAnsi="Cambria" w:cs="Cambria" w:eastAsia="Cambria"/>
                <w:color w:val="1A1A1A"/>
                <w:sz w:val="18"/>
              </w:rPr>
              <w:t xml:space="preserve">Parti D,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Buone pratiche ISPOR-SMDM</w:t>
            </w:r>
          </w:p>
        </w:tc>
        <w:tc>
          <w:tcPr>
            <w:shd w:val="clear" w:color="auto" w:fill="F4F1EC"/>
          </w:tcPr>
          <w:p>
            <w:pPr>
              <w:pStyle w:val="Compact"/>
              <w:spacing w:after="40" w:before="40"/>
              <w:jc w:val="left"/>
            </w:pPr>
            <w:r>
              <w:rPr>
                <w:rFonts w:ascii="Cambria" w:hAnsi="Cambria" w:cs="Cambria" w:eastAsia="Cambria"/>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r>
      <w:tr>
        <w:tc>
          <w:tcPr/>
          <w:p>
            <w:pPr>
              <w:pStyle w:val="Compact"/>
              <w:spacing w:after="40" w:before="40"/>
              <w:jc w:val="left"/>
            </w:pPr>
            <w:r>
              <w:rPr>
                <w:rFonts w:ascii="Cambria" w:hAnsi="Cambria" w:cs="Cambria" w:eastAsia="Cambria"/>
                <w:b/>
                <w:bCs/>
                <w:color w:val="1A1A1A"/>
                <w:sz w:val="18"/>
              </w:rPr>
              <w:t xml:space="preserve">Manuale OCSE-JRC</w:t>
            </w:r>
          </w:p>
        </w:tc>
        <w:tc>
          <w:tcPr/>
          <w:p>
            <w:pPr>
              <w:pStyle w:val="Compact"/>
              <w:spacing w:after="40" w:before="40"/>
              <w:jc w:val="left"/>
            </w:pPr>
            <w:r>
              <w:rPr>
                <w:rFonts w:ascii="Cambria" w:hAnsi="Cambria" w:cs="Cambria" w:eastAsia="Cambria"/>
                <w:color w:val="1A1A1A"/>
                <w:sz w:val="18"/>
              </w:rPr>
              <w:t xml:space="preserve">Costruzione degli indicatori compositi</w:t>
            </w:r>
          </w:p>
        </w:tc>
        <w:tc>
          <w:tcPr/>
          <w:p>
            <w:pPr>
              <w:pStyle w:val="Compact"/>
              <w:spacing w:after="40" w:before="40"/>
              <w:jc w:val="left"/>
            </w:pPr>
            <w:r>
              <w:rPr>
                <w:rFonts w:ascii="Cambria" w:hAnsi="Cambria" w:cs="Cambria" w:eastAsia="Cambria"/>
                <w:color w:val="1A1A1A"/>
                <w:sz w:val="18"/>
              </w:rPr>
              <w:t xml:space="preserve">Parte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Griglia di giudizio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r>
    </w:tbl>
    <w:p>
      <w:pPr>
        <w:pStyle w:val="BodyText"/>
      </w:pPr>
      <w:r>
        <w:rPr>
          <w:i/>
          <w:iCs/>
        </w:rPr>
        <w:t xml:space="preserve">Tabella D.1. Gli standard di reporting e di qualità adottati nello studio, per parte di applicazione.</w:t>
      </w:r>
    </w:p>
    <w:bookmarkEnd w:id="2478"/>
    <w:bookmarkStart w:id="4470" w:name="appendice-e-glossario-8"/>
    <w:p>
      <w:pPr>
        <w:pStyle w:val="Heading2"/>
      </w:pPr>
      <w:r>
        <w:t xml:space="preserve">Appendice E — Glossario</w:t>
      </w:r>
    </w:p>
    <w:p>
      <w:pPr>
        <w:pStyle w:val="FirstParagraph"/>
      </w:pPr>
      <w:r>
        <w:t xml:space="preserve">La presente appendice fornisce le definizioni dei principali termini tecnici impiegati nello studio, a beneficio del lettore non specialista.</w:t>
      </w:r>
    </w:p>
    <w:tbl>
      <w:tblPr>
        <w:tblStyle w:val="Table"/>
        <w:tblW w:type="pct" w:w="497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07"/>
        <w:gridCol w:w="677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Termine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w:t>
            </w:r>
          </w:p>
        </w:tc>
      </w:tr>
      <w:tr>
        <w:tc>
          <w:tcPr/>
          <w:p>
            <w:pPr>
              <w:pStyle w:val="Compact"/>
              <w:spacing w:after="40" w:before="40"/>
              <w:jc w:val="left"/>
            </w:pPr>
            <w:r>
              <w:rPr>
                <w:rFonts w:ascii="Cambria" w:hAnsi="Cambria" w:cs="Cambria" w:eastAsia="Cambria"/>
                <w:b/>
                <w:bCs/>
                <w:color w:val="1A1A1A"/>
                <w:sz w:val="18"/>
              </w:rPr>
              <w:t xml:space="preserve">Valutazione di tecnologia sanitaria (HTA)</w:t>
            </w:r>
          </w:p>
        </w:tc>
        <w:tc>
          <w:tcPr/>
          <w:p>
            <w:pPr>
              <w:pStyle w:val="Compact"/>
              <w:spacing w:after="40" w:before="40"/>
              <w:jc w:val="left"/>
            </w:pPr>
            <w:r>
              <w:rPr>
                <w:rFonts w:ascii="Cambria" w:hAnsi="Cambria" w:cs="Cambria" w:eastAsia="Cambria"/>
                <w:color w:val="1A1A1A"/>
                <w:sz w:val="18"/>
              </w:rPr>
              <w:t xml:space="preserve">Valutazione multidimensionale di un intervento sanitario, articolata in nove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Five Case Model</w:t>
            </w:r>
          </w:p>
        </w:tc>
        <w:tc>
          <w:tcPr>
            <w:shd w:val="clear" w:color="auto" w:fill="F4F1EC"/>
          </w:tcPr>
          <w:p>
            <w:pPr>
              <w:pStyle w:val="Compact"/>
              <w:spacing w:after="40" w:before="40"/>
              <w:jc w:val="left"/>
            </w:pPr>
            <w:r>
              <w:rPr>
                <w:rFonts w:ascii="Cambria" w:hAnsi="Cambria" w:cs="Cambria" w:eastAsia="Cambria"/>
                <w:color w:val="1A1A1A"/>
                <w:sz w:val="18"/>
              </w:rPr>
              <w:t xml:space="preserve">Standard del business case pubblico in cinque casi: strategico, economico, commerciale, finanziario, gestionale</w:t>
            </w:r>
          </w:p>
        </w:tc>
      </w:tr>
      <w:tr>
        <w:tc>
          <w:tcPr/>
          <w:p>
            <w:pPr>
              <w:pStyle w:val="Compact"/>
              <w:spacing w:after="40" w:before="40"/>
              <w:jc w:val="left"/>
            </w:pPr>
            <w:r>
              <w:rPr>
                <w:rFonts w:ascii="Cambria" w:hAnsi="Cambria" w:cs="Cambria" w:eastAsia="Cambria"/>
                <w:b/>
                <w:bCs/>
                <w:color w:val="1A1A1A"/>
                <w:sz w:val="18"/>
              </w:rPr>
              <w:t xml:space="preserve">CHEERS 2022</w:t>
            </w:r>
          </w:p>
        </w:tc>
        <w:tc>
          <w:tcPr/>
          <w:p>
            <w:pPr>
              <w:pStyle w:val="Compact"/>
              <w:spacing w:after="40" w:before="40"/>
              <w:jc w:val="left"/>
            </w:pPr>
            <w:r>
              <w:rPr>
                <w:rFonts w:ascii="Cambria" w:hAnsi="Cambria" w:cs="Cambria" w:eastAsia="Cambria"/>
                <w:color w:val="1A1A1A"/>
                <w:sz w:val="18"/>
              </w:rPr>
              <w:t xml:space="preserve">Lista di controllo di 28 voci per la rendicontazione delle valutazioni economiche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Sei criteri di giudizio: rilevanza, coerenza, efficacia, efficienza, impatto, sostenibilità</w:t>
            </w:r>
          </w:p>
        </w:tc>
      </w:tr>
      <w:tr>
        <w:tc>
          <w:tcPr/>
          <w:p>
            <w:pPr>
              <w:pStyle w:val="Compact"/>
              <w:spacing w:after="40" w:before="40"/>
              <w:jc w:val="left"/>
            </w:pPr>
            <w:r>
              <w:rPr>
                <w:rFonts w:ascii="Cambria" w:hAnsi="Cambria" w:cs="Cambria" w:eastAsia="Cambria"/>
                <w:b/>
                <w:bCs/>
                <w:color w:val="1A1A1A"/>
                <w:sz w:val="18"/>
              </w:rPr>
              <w:t xml:space="preserve">Anno di vita ponderato per la qualità (QALY)</w:t>
            </w:r>
          </w:p>
        </w:tc>
        <w:tc>
          <w:tcPr/>
          <w:p>
            <w:pPr>
              <w:pStyle w:val="Compact"/>
              <w:spacing w:after="40" w:before="40"/>
              <w:jc w:val="left"/>
            </w:pPr>
            <w:r>
              <w:rPr>
                <w:rFonts w:ascii="Cambria" w:hAnsi="Cambria" w:cs="Cambria" w:eastAsia="Cambria"/>
                <w:color w:val="1A1A1A"/>
                <w:sz w:val="18"/>
              </w:rPr>
              <w:t xml:space="preserve">Misura che integra durata e qualità della vita guadagnate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costo-utilità</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che misura gli esiti in anni di vita ponderati per la qualità</w:t>
            </w:r>
          </w:p>
        </w:tc>
      </w:tr>
      <w:tr>
        <w:tc>
          <w:tcPr/>
          <w:p>
            <w:pPr>
              <w:pStyle w:val="Compact"/>
              <w:spacing w:after="40" w:before="40"/>
              <w:jc w:val="left"/>
            </w:pPr>
            <w:r>
              <w:rPr>
                <w:rFonts w:ascii="Cambria" w:hAnsi="Cambria" w:cs="Cambria" w:eastAsia="Cambria"/>
                <w:b/>
                <w:bCs/>
                <w:color w:val="1A1A1A"/>
                <w:sz w:val="18"/>
              </w:rPr>
              <w:t xml:space="preserve">Analisi di impatto sul bilancio</w:t>
            </w:r>
          </w:p>
        </w:tc>
        <w:tc>
          <w:tcPr/>
          <w:p>
            <w:pPr>
              <w:pStyle w:val="Compact"/>
              <w:spacing w:after="40" w:before="40"/>
              <w:jc w:val="left"/>
            </w:pPr>
            <w:r>
              <w:rPr>
                <w:rFonts w:ascii="Cambria" w:hAnsi="Cambria" w:cs="Cambria" w:eastAsia="Cambria"/>
                <w:color w:val="1A1A1A"/>
                <w:sz w:val="18"/>
              </w:rPr>
              <w:t xml:space="preserve">Stima dell’effetto finanziario sul bilancio del detentore del budget, su flussi non scontati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sull’investimento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Metodo che monetizza il valore sociale generato, distinto dai risparmi di bilancio</w:t>
            </w:r>
          </w:p>
        </w:tc>
      </w:tr>
      <w:tr>
        <w:tc>
          <w:tcPr/>
          <w:p>
            <w:pPr>
              <w:pStyle w:val="Compact"/>
              <w:spacing w:after="40" w:before="40"/>
              <w:jc w:val="left"/>
            </w:pPr>
            <w:r>
              <w:rPr>
                <w:rFonts w:ascii="Cambria" w:hAnsi="Cambria" w:cs="Cambria" w:eastAsia="Cambria"/>
                <w:b/>
                <w:bCs/>
                <w:color w:val="1A1A1A"/>
                <w:sz w:val="18"/>
              </w:rPr>
              <w:t xml:space="preserve">Analisi di sensibilità probabilistica</w:t>
            </w:r>
          </w:p>
        </w:tc>
        <w:tc>
          <w:tcPr/>
          <w:p>
            <w:pPr>
              <w:pStyle w:val="Compact"/>
              <w:spacing w:after="40" w:before="40"/>
              <w:jc w:val="left"/>
            </w:pPr>
            <w:r>
              <w:rPr>
                <w:rFonts w:ascii="Cambria" w:hAnsi="Cambria" w:cs="Cambria" w:eastAsia="Cambria"/>
                <w:color w:val="1A1A1A"/>
                <w:sz w:val="18"/>
              </w:rPr>
              <w:t xml:space="preserve">Propaga l’incertezza dei parametri mediante simulazioni Monte Carlo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Valore dell’informazione (EVPI, EVPPI)</w:t>
            </w:r>
          </w:p>
        </w:tc>
        <w:tc>
          <w:tcPr>
            <w:shd w:val="clear" w:color="auto" w:fill="F4F1EC"/>
          </w:tcPr>
          <w:p>
            <w:pPr>
              <w:pStyle w:val="Compact"/>
              <w:spacing w:after="40" w:before="40"/>
              <w:jc w:val="left"/>
            </w:pPr>
            <w:r>
              <w:rPr>
                <w:rFonts w:ascii="Cambria" w:hAnsi="Cambria" w:cs="Cambria" w:eastAsia="Cambria"/>
                <w:color w:val="1A1A1A"/>
                <w:sz w:val="18"/>
              </w:rPr>
              <w:t xml:space="preserve">Beneficio atteso dalla riduzione dell’incertezza, complessiva e sui parametri</w:t>
            </w:r>
          </w:p>
        </w:tc>
      </w:tr>
      <w:tr>
        <w:tc>
          <w:tcPr/>
          <w:p>
            <w:pPr>
              <w:pStyle w:val="Compact"/>
              <w:spacing w:after="40" w:before="40"/>
              <w:jc w:val="left"/>
            </w:pPr>
            <w:r>
              <w:rPr>
                <w:rFonts w:ascii="Cambria" w:hAnsi="Cambria" w:cs="Cambria" w:eastAsia="Cambria"/>
                <w:b/>
                <w:bCs/>
                <w:color w:val="1A1A1A"/>
                <w:sz w:val="18"/>
              </w:rPr>
              <w:t xml:space="preserve">Modello di Markov</w:t>
            </w:r>
          </w:p>
        </w:tc>
        <w:tc>
          <w:tcPr/>
          <w:p>
            <w:pPr>
              <w:pStyle w:val="Compact"/>
              <w:spacing w:after="40" w:before="40"/>
              <w:jc w:val="left"/>
            </w:pPr>
            <w:r>
              <w:rPr>
                <w:rFonts w:ascii="Cambria" w:hAnsi="Cambria" w:cs="Cambria" w:eastAsia="Cambria"/>
                <w:color w:val="1A1A1A"/>
                <w:sz w:val="18"/>
              </w:rPr>
              <w:t xml:space="preserve">Modello che rappresenta il decorso di una condizione attraverso stati di salute e transizioni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Differenza-nelle-differenze</w:t>
            </w:r>
          </w:p>
        </w:tc>
        <w:tc>
          <w:tcPr>
            <w:shd w:val="clear" w:color="auto" w:fill="F4F1EC"/>
          </w:tcPr>
          <w:p>
            <w:pPr>
              <w:pStyle w:val="Compact"/>
              <w:spacing w:after="40" w:before="40"/>
              <w:jc w:val="left"/>
            </w:pPr>
            <w:r>
              <w:rPr>
                <w:rFonts w:ascii="Cambria" w:hAnsi="Cambria" w:cs="Cambria" w:eastAsia="Cambria"/>
                <w:color w:val="1A1A1A"/>
                <w:sz w:val="18"/>
              </w:rPr>
              <w:t xml:space="preserve">Metodo controfattuale che confronta la variazione nel tempo dell’esito tra gruppi a diversa esposizione</w:t>
            </w:r>
          </w:p>
        </w:tc>
      </w:tr>
      <w:tr>
        <w:tc>
          <w:tcPr/>
          <w:p>
            <w:pPr>
              <w:pStyle w:val="Compact"/>
              <w:spacing w:after="40" w:before="40"/>
              <w:jc w:val="left"/>
            </w:pPr>
            <w:r>
              <w:rPr>
                <w:rFonts w:ascii="Cambria" w:hAnsi="Cambria" w:cs="Cambria" w:eastAsia="Cambria"/>
                <w:b/>
                <w:bCs/>
                <w:color w:val="1A1A1A"/>
                <w:sz w:val="18"/>
              </w:rPr>
              <w:t xml:space="preserve">Disegno a cunei progressivi</w:t>
            </w:r>
          </w:p>
        </w:tc>
        <w:tc>
          <w:tcPr/>
          <w:p>
            <w:pPr>
              <w:pStyle w:val="Compact"/>
              <w:spacing w:after="40" w:before="40"/>
              <w:jc w:val="left"/>
            </w:pPr>
            <w:r>
              <w:rPr>
                <w:rFonts w:ascii="Cambria" w:hAnsi="Cambria" w:cs="Cambria" w:eastAsia="Cambria"/>
                <w:color w:val="1A1A1A"/>
                <w:sz w:val="18"/>
              </w:rPr>
              <w:t xml:space="preserve">Disegno controfattuale fondato sulla progressione differenziata dell’attivazione del servizio fra le AST e i distretti delle Marche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Disposizione di legge che prevede l’obbligo di valutare periodicamente l’attuazione e gli esiti del servizio e di riferirne all’Assemblea Legislativa delle Marche</w:t>
            </w:r>
          </w:p>
        </w:tc>
      </w:tr>
      <w:tr>
        <w:tc>
          <w:tcPr/>
          <w:p>
            <w:pPr>
              <w:pStyle w:val="Compact"/>
              <w:spacing w:after="40" w:before="40"/>
              <w:jc w:val="left"/>
            </w:pPr>
            <w:r>
              <w:rPr>
                <w:rFonts w:ascii="Cambria" w:hAnsi="Cambria" w:cs="Cambria" w:eastAsia="Cambria"/>
                <w:b/>
                <w:bCs/>
                <w:color w:val="1A1A1A"/>
                <w:sz w:val="18"/>
              </w:rPr>
              <w:t xml:space="preserve">AST (Azienda Sanitaria Territoriale)</w:t>
            </w:r>
          </w:p>
        </w:tc>
        <w:tc>
          <w:tcPr/>
          <w:p>
            <w:pPr>
              <w:pStyle w:val="Compact"/>
              <w:spacing w:after="40" w:before="40"/>
              <w:jc w:val="left"/>
            </w:pPr>
            <w:r>
              <w:rPr>
                <w:rFonts w:ascii="Cambria" w:hAnsi="Cambria" w:cs="Cambria" w:eastAsia="Cambria"/>
                <w:color w:val="1A1A1A"/>
                <w:sz w:val="18"/>
              </w:rPr>
              <w:t xml:space="preserve">Ente del Servizio Sanitario Regionale delle Marche, istituito dalla L.R. 19/2022 in sostituzione delle Aree Vaste dell’ASUR; cinque AST corrispondono alle cinque province (Ancona, Pesaro-Urbino, Macerata, Fermo, Ascoli Piceno)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ASUR (Azienda Sanitaria Unica Regionale)</w:t>
            </w:r>
          </w:p>
        </w:tc>
        <w:tc>
          <w:tcPr>
            <w:shd w:val="clear" w:color="auto" w:fill="F4F1EC"/>
          </w:tcPr>
          <w:p>
            <w:pPr>
              <w:pStyle w:val="Compact"/>
              <w:spacing w:after="40" w:before="40"/>
              <w:jc w:val="left"/>
            </w:pPr>
            <w:r>
              <w:rPr>
                <w:rFonts w:ascii="Cambria" w:hAnsi="Cambria" w:cs="Cambria" w:eastAsia="Cambria"/>
                <w:color w:val="1A1A1A"/>
                <w:sz w:val="18"/>
              </w:rPr>
              <w:t xml:space="preserve">Azienda sanitaria marchigiana unica istituita dalla L.R. 13/2003, soppressa dal 1° gennaio 2023 dalla L.R. 19/2022</w:t>
            </w:r>
          </w:p>
        </w:tc>
      </w:tr>
      <w:tr>
        <w:tc>
          <w:tcPr/>
          <w:p>
            <w:pPr>
              <w:pStyle w:val="Compact"/>
              <w:spacing w:after="40" w:before="40"/>
              <w:jc w:val="left"/>
            </w:pPr>
            <w:r>
              <w:rPr>
                <w:rFonts w:ascii="Cambria" w:hAnsi="Cambria" w:cs="Cambria" w:eastAsia="Cambria"/>
                <w:b/>
                <w:bCs/>
                <w:color w:val="1A1A1A"/>
                <w:sz w:val="18"/>
              </w:rPr>
              <w:t xml:space="preserve">AOU Marche</w:t>
            </w:r>
          </w:p>
        </w:tc>
        <w:tc>
          <w:tcPr/>
          <w:p>
            <w:pPr>
              <w:pStyle w:val="Compact"/>
              <w:spacing w:after="40" w:before="40"/>
              <w:jc w:val="left"/>
            </w:pPr>
            <w:r>
              <w:rPr>
                <w:rFonts w:ascii="Cambria" w:hAnsi="Cambria" w:cs="Cambria" w:eastAsia="Cambria"/>
                <w:color w:val="1A1A1A"/>
                <w:sz w:val="18"/>
              </w:rPr>
              <w:t xml:space="preserve">Azienda Ospedaliero-Universitaria delle Marche, sede di Torrette (Ancona); svolge funzioni di alta specialità e didattica universitaria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INRCA</w:t>
            </w:r>
          </w:p>
        </w:tc>
        <w:tc>
          <w:tcPr>
            <w:shd w:val="clear" w:color="auto" w:fill="F4F1EC"/>
          </w:tcPr>
          <w:p>
            <w:pPr>
              <w:pStyle w:val="Compact"/>
              <w:spacing w:after="40" w:before="40"/>
              <w:jc w:val="left"/>
            </w:pPr>
            <w:r>
              <w:rPr>
                <w:rFonts w:ascii="Cambria" w:hAnsi="Cambria" w:cs="Cambria" w:eastAsia="Cambria"/>
                <w:color w:val="1A1A1A"/>
                <w:sz w:val="18"/>
              </w:rPr>
              <w:t xml:space="preserve">Istituto Nazionale di Ricovero e Cura per Anziani, con sede principale ad Ancona; costituisce un riferimento per la componente geriatrica del bisogno psicologico</w:t>
            </w:r>
          </w:p>
        </w:tc>
      </w:tr>
      <w:tr>
        <w:tc>
          <w:tcPr/>
          <w:p>
            <w:pPr>
              <w:pStyle w:val="Compact"/>
              <w:spacing w:after="40" w:before="40"/>
              <w:jc w:val="left"/>
            </w:pPr>
            <w:r>
              <w:rPr>
                <w:rFonts w:ascii="Cambria" w:hAnsi="Cambria" w:cs="Cambria" w:eastAsia="Cambria"/>
                <w:b/>
                <w:bCs/>
                <w:color w:val="1A1A1A"/>
                <w:sz w:val="18"/>
              </w:rPr>
              <w:t xml:space="preserve">Indice di vecchiaia</w:t>
            </w:r>
          </w:p>
        </w:tc>
        <w:tc>
          <w:tcPr/>
          <w:p>
            <w:pPr>
              <w:pStyle w:val="Compact"/>
              <w:spacing w:after="40" w:before="40"/>
              <w:jc w:val="left"/>
            </w:pPr>
            <w:r>
              <w:rPr>
                <w:rFonts w:ascii="Cambria" w:hAnsi="Cambria" w:cs="Cambria" w:eastAsia="Cambria"/>
                <w:color w:val="1A1A1A"/>
                <w:sz w:val="18"/>
              </w:rPr>
              <w:t xml:space="preserve">Rapporto tra ultrasessantacinquenni e giovani sotto i quindici anni; nelle Marche pari a 235,5 al 1° gennaio 2025, fra i più elevati del Centro Italia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w:t>
            </w:r>
          </w:p>
        </w:tc>
        <w:tc>
          <w:tcPr>
            <w:shd w:val="clear" w:color="auto" w:fill="F4F1EC"/>
          </w:tcPr>
          <w:p>
            <w:pPr>
              <w:pStyle w:val="Compact"/>
              <w:spacing w:after="40" w:before="40"/>
              <w:jc w:val="left"/>
            </w:pPr>
            <w:r>
              <w:rPr>
                <w:rFonts w:ascii="Cambria" w:hAnsi="Cambria" w:cs="Cambria" w:eastAsia="Cambria"/>
                <w:color w:val="1A1A1A"/>
                <w:sz w:val="18"/>
              </w:rPr>
              <w:t xml:space="preserve">Erogazione di prestazioni psicologiche a distanza mediante strumenti digitali; nelle Marche componente strutturale per le aree appenniniche interne</w:t>
            </w:r>
          </w:p>
        </w:tc>
      </w:tr>
      <w:tr>
        <w:tc>
          <w:tcPr/>
          <w:p>
            <w:pPr>
              <w:pStyle w:val="Compact"/>
              <w:spacing w:after="40" w:before="40"/>
              <w:jc w:val="left"/>
            </w:pPr>
            <w:r>
              <w:rPr>
                <w:rFonts w:ascii="Cambria" w:hAnsi="Cambria" w:cs="Cambria" w:eastAsia="Cambria"/>
                <w:b/>
                <w:bCs/>
                <w:color w:val="1A1A1A"/>
                <w:sz w:val="18"/>
              </w:rPr>
              <w:t xml:space="preserve">Stepped care / cure graduali</w:t>
            </w:r>
          </w:p>
        </w:tc>
        <w:tc>
          <w:tcPr/>
          <w:p>
            <w:pPr>
              <w:pStyle w:val="Compact"/>
              <w:spacing w:after="40" w:before="40"/>
              <w:jc w:val="left"/>
            </w:pPr>
            <w:r>
              <w:rPr>
                <w:rFonts w:ascii="Cambria" w:hAnsi="Cambria" w:cs="Cambria" w:eastAsia="Cambria"/>
                <w:color w:val="1A1A1A"/>
                <w:sz w:val="18"/>
              </w:rPr>
              <w:t xml:space="preserve">Modello organizzativo in cui l’intensità dell’intervento è commisurata alla gravità del bisogno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Disagio psichico comune</w:t>
            </w:r>
          </w:p>
        </w:tc>
        <w:tc>
          <w:tcPr>
            <w:shd w:val="clear" w:color="auto" w:fill="F4F1EC"/>
          </w:tcPr>
          <w:p>
            <w:pPr>
              <w:pStyle w:val="Compact"/>
              <w:spacing w:after="40" w:before="40"/>
              <w:jc w:val="left"/>
            </w:pPr>
            <w:r>
              <w:rPr>
                <w:rFonts w:ascii="Cambria" w:hAnsi="Cambria" w:cs="Cambria" w:eastAsia="Cambria"/>
                <w:color w:val="1A1A1A"/>
                <w:sz w:val="18"/>
              </w:rPr>
              <w:t xml:space="preserve">Disturbi mentali di intensità lieve e moderata, prevalentemente d’ansia e dell’umore, e condizioni di sofferenza sottosoglia</w:t>
            </w:r>
          </w:p>
        </w:tc>
      </w:tr>
      <w:tr>
        <w:tc>
          <w:tcPr/>
          <w:p>
            <w:pPr>
              <w:pStyle w:val="Compact"/>
              <w:spacing w:after="40" w:before="40"/>
              <w:jc w:val="left"/>
            </w:pPr>
            <w:r>
              <w:rPr>
                <w:rFonts w:ascii="Cambria" w:hAnsi="Cambria" w:cs="Cambria" w:eastAsia="Cambria"/>
                <w:b/>
                <w:bCs/>
                <w:color w:val="1A1A1A"/>
                <w:sz w:val="18"/>
              </w:rPr>
              <w:t xml:space="preserve">Sentenza Corte Cost. n. 241/2021</w:t>
            </w:r>
          </w:p>
        </w:tc>
        <w:tc>
          <w:tcPr/>
          <w:p>
            <w:pPr>
              <w:pStyle w:val="Compact"/>
              <w:spacing w:after="40" w:before="40"/>
              <w:jc w:val="left"/>
            </w:pPr>
            <w:r>
              <w:rPr>
                <w:rFonts w:ascii="Cambria" w:hAnsi="Cambria" w:cs="Cambria" w:eastAsia="Cambria"/>
                <w:color w:val="1A1A1A"/>
                <w:sz w:val="18"/>
              </w:rPr>
              <w:t xml:space="preserve">Pronuncia che delimita la competenza regionale in materia di rapporti convenzionali per il servizio di psicologia di base; vincola anche la futura legge marchigiana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PHQ-9</w:t>
            </w:r>
          </w:p>
        </w:tc>
        <w:tc>
          <w:tcPr>
            <w:shd w:val="clear" w:color="auto" w:fill="F4F1EC"/>
          </w:tcPr>
          <w:p>
            <w:pPr>
              <w:pStyle w:val="Compact"/>
              <w:spacing w:after="40" w:before="40"/>
              <w:jc w:val="left"/>
            </w:pPr>
            <w:r>
              <w:rPr>
                <w:rFonts w:ascii="Cambria" w:hAnsi="Cambria" w:cs="Cambria" w:eastAsia="Cambria"/>
                <w:color w:val="1A1A1A"/>
                <w:sz w:val="18"/>
              </w:rPr>
              <w:t xml:space="preserve">Questionario validato per i sintomi depressivi (punteggio 0–27)</w:t>
            </w:r>
          </w:p>
        </w:tc>
      </w:tr>
      <w:tr>
        <w:tc>
          <w:tcPr/>
          <w:p>
            <w:pPr>
              <w:pStyle w:val="Compact"/>
              <w:spacing w:after="40" w:before="40"/>
              <w:jc w:val="left"/>
            </w:pPr>
            <w:r>
              <w:rPr>
                <w:rFonts w:ascii="Cambria" w:hAnsi="Cambria" w:cs="Cambria" w:eastAsia="Cambria"/>
                <w:b/>
                <w:bCs/>
                <w:color w:val="1A1A1A"/>
                <w:sz w:val="18"/>
              </w:rPr>
              <w:t xml:space="preserve">GAD-7</w:t>
            </w:r>
          </w:p>
        </w:tc>
        <w:tc>
          <w:tcPr/>
          <w:p>
            <w:pPr>
              <w:pStyle w:val="Compact"/>
              <w:spacing w:after="40" w:before="40"/>
              <w:jc w:val="left"/>
            </w:pPr>
            <w:r>
              <w:rPr>
                <w:rFonts w:ascii="Cambria" w:hAnsi="Cambria" w:cs="Cambria" w:eastAsia="Cambria"/>
                <w:color w:val="1A1A1A"/>
                <w:sz w:val="18"/>
              </w:rPr>
              <w:t xml:space="preserve">Questionario validato per i sintomi d’ansia (punteggio 0–21)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Chisholm</w:t>
            </w:r>
          </w:p>
        </w:tc>
        <w:tc>
          <w:tcPr>
            <w:shd w:val="clear" w:color="auto" w:fill="F4F1EC"/>
          </w:tcPr>
          <w:p>
            <w:pPr>
              <w:pStyle w:val="Compact"/>
              <w:spacing w:after="40" w:before="40"/>
              <w:jc w:val="left"/>
            </w:pPr>
            <w:r>
              <w:rPr>
                <w:rFonts w:ascii="Cambria" w:hAnsi="Cambria" w:cs="Cambria" w:eastAsia="Cambria"/>
                <w:color w:val="1A1A1A"/>
                <w:sz w:val="18"/>
              </w:rPr>
              <w:t xml:space="preserve">Fascia metodologicamente fondata: 2,3–3,0:1 per i soli benefici economici; 3,3–5,7:1 includendo i benefici di salute; fonte: Chisholm et al., Lancet Psychiatry 2016, vol. 3, n. 5, pp. 415–424</w:t>
            </w:r>
          </w:p>
        </w:tc>
      </w:tr>
    </w:tbl>
    <w:p>
      <w:pPr>
        <w:pStyle w:val="BodyText"/>
      </w:pPr>
      <w:r>
        <w:rPr>
          <w:i/>
          <w:iCs/>
        </w:rPr>
        <w:t xml:space="preserve">Tabella E.1. Glossario dei principali termini tecnici impiegati nello studio.</w:t>
      </w:r>
    </w:p>
    <w:p>
      <w:r>
        <w:pict>
          <v:rect style="width:0;height:1.5pt" o:hralign="center" o:hrstd="t" o:hr="t"/>
        </w:pict>
      </w:r>
    </w:p>
    <w:bookmarkEnd w:id="4470"/>
    <w:bookmarkStart w:id="2480" w:name="umbria-studio-hta-integrale"/>
    <w:p>
      <w:pPr>
        <w:pStyle w:val="Heading2"/>
      </w:pPr>
      <w:r>
        <w:t xml:space="preserve">Umbria — Studio HTA integrale</w:t>
      </w:r>
    </w:p>
    <w:p>
      <w:pPr>
        <w:pStyle w:val="FirstParagraph"/>
      </w:pPr>
      <w:r>
        <w:t xml:space="preserve">Studio Integrale Regionale · Regione Umbria</w:t>
      </w:r>
    </w:p>
    <w:p>
      <w:pPr>
        <w:pStyle w:val="BodyText"/>
      </w:pPr>
      <w:r>
        <w:t xml:space="preserve">Progetto «Psicologo di Base» — Riforma «Psicologo di Base»: dalla legge organica alla messa a regime del servizio di psicologia di cure primarie. Applicazione del telaio integrato in undici parti e cinque appendici (Modello HTA · Five Case Model · CHEERS 2022 · criteri OCSE-DAC).</w:t>
      </w:r>
    </w:p>
    <w:p>
      <w:pPr>
        <w:pStyle w:val="BodyText"/>
      </w:pPr>
      <w:r>
        <w:t xml:space="preserve">Indice</w:t>
      </w:r>
    </w:p>
    <w:bookmarkEnd w:id="2480"/>
    <w:bookmarkStart w:id="4471" w:name="premessa-generale-8"/>
    <w:p>
      <w:pPr>
        <w:pStyle w:val="Heading2"/>
      </w:pPr>
      <w:r>
        <w:t xml:space="preserve">Premessa generale</w:t>
      </w:r>
    </w:p>
    <w:p>
      <w:pPr>
        <w:pStyle w:val="FirstParagraph"/>
      </w:pPr>
      <w:r>
        <w:t xml:space="preserve">Questo documento apre e ordina lo studio integrale per la Regione Umbria sulla riforma «Psicologo di Base». Esso non contiene una nuova analisi, ma fornisce la chiave di navigazione dell’intero corpus: la premessa, l’indice generale di tutte le parti e di tutte le appendici, la mappa di integrazione delle cornici metodologiche e la sintesi del valore. L’Umbria occupa, nel panorama nazionale e nella presente serie, una posizione peculiare e avanzata: è una delle regioni che ha già adottato una legge organica in materia, con la Legge regionale 28 ottobre 2024, n. 22, che ha introdotto il «servizio di psicologia di cure primarie» nel Testo unico regionale in materia di sanità e servizi sociali, istituendo altresì un Osservatorio tecnico regionale con delibera di giunta n. 477 del 2025.</w:t>
      </w:r>
      <w:r>
        <w:rPr>
          <w:rStyle w:val="FootnoteReference"/>
        </w:rPr>
        <w:footnoteReference w:id="2900"/>
      </w:r>
      <w:r>
        <w:t xml:space="preserve"> </w:t>
      </w:r>
      <w:r>
        <w:t xml:space="preserve">Proprio per questo la decisione rilevante non è se introdurre il servizio, già istituito per legge e in fase di prima attuazione, ma portarlo a regime: dimensionarlo pienamente sui distretti sanitari e sulle Case della Comunità, completare la formazione dei professionisti, rendere operativo l’elenco regionale degli psicologi di cure primarie e trasformare la clausola valutativa in un sistema di monitoraggio continuo.</w:t>
      </w:r>
      <w:r>
        <w:rPr>
          <w:rStyle w:val="FootnoteReference"/>
        </w:rPr>
        <w:footnoteReference w:id="2901"/>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p>
      <w:pPr>
        <w:pStyle w:val="BodyText"/>
      </w:pPr>
      <w:r>
        <w:t xml:space="preserve">L’Umbria è una regione di medie dimensioni del Centro Italia, con 854.137 abitanti al 1° gennaio 2025, pari a circa l’1,4% della popolazione nazionale.</w:t>
      </w:r>
      <w:r>
        <w:rPr>
          <w:rStyle w:val="FootnoteReference"/>
        </w:rPr>
        <w:footnoteReference w:id="2902"/>
      </w:r>
      <w:r>
        <w:t xml:space="preserve"> </w:t>
      </w:r>
      <w:r>
        <w:t xml:space="preserve">Il suo tratto demografico più caratterizzante è l’invecchiamento avanzato: con un indice di vecchiaia di 246,6% e circa 232.730 over-65 (il 27,3% della popolazione), essa si colloca fra le cinque regioni più anziane d’Italia.</w:t>
      </w:r>
      <w:r>
        <w:rPr>
          <w:rStyle w:val="FootnoteReference"/>
        </w:rPr>
        <w:footnoteReference w:id="2903"/>
      </w:r>
      <w:r>
        <w:t xml:space="preserve"> </w:t>
      </w:r>
      <w:r>
        <w:t xml:space="preserve">Questo profilo demografico amplifica la domanda di supporto psicologico di prossimità e conferisce al servizio istituito dalla Legge n. 22/2024 una rilevanza sistemica che va oltre la sola salute mentale stricto sensu, estendendosi alla cronicità, all’accompagnamento nelle fasi del ciclo di vita e al sostegno alle famiglie caregiver. La spesa sanitaria pro-capite è di 2.232 euro nel 2024, superiore alla media nazionale di 2.181 euro, a fronte di una crescente rinuncia alle cure segnalata dai rapporti del monitoraggio GIMBE.</w:t>
      </w:r>
      <w:r>
        <w:rPr>
          <w:rStyle w:val="FootnoteReference"/>
        </w:rPr>
        <w:footnoteReference w:id="2904"/>
      </w:r>
      <w:r>
        <w:t xml:space="preserve"> </w:t>
      </w:r>
      <w:r>
        <w:t xml:space="preserve">Il sistema sanitario regionale è articolato in due Aziende USL — USL Umbria 1, con sede a Perugia, e USL Umbria 2, con sede a Terni — e in due Aziende Ospedaliere universitarie di rilievo nazionale (Perugia e Terni), con un Fondo sanitario regionale stimato dell’ordine di 1,9–2,0 miliardi di euro l’anno, coerente con la popolazione e con il livello di spesa pro-capite osservato.</w:t>
      </w:r>
    </w:p>
    <w:p>
      <w:pPr>
        <w:pStyle w:val="BodyText"/>
      </w:pPr>
      <w:r>
        <w:t xml:space="preserve">Le tesi centrali del presente studio sono enunciabili in quattro affermazioni congiunte. Primo, il costo del servizio a regime è contenuto: dell’ordine di 9 milioni di euro nello scenario conservativo, 14 milioni in quello di base e 19 milioni in quello espansivo, pari allo 0,5–1,0% del Fondo sanitario regionale. Secondo, il saldo diretto per il bilancio sanitario regionale è di modesta entità negativa, e corrisponde a un investimento netto agevolmente sostenibile nell’ambito della programmazione ordinaria. Terzo, il rapporto beneficio-costo complessivo, comprensivo delle ricadute economico-sociali, si colloca entro la fascia Chisholm di 3,3–5,7 a uno, nella fascia prudenziale di 3,6–5,0 a uno, conformemente all’ancoraggio metodologico adottato per l’intera serie.</w:t>
      </w:r>
      <w:r>
        <w:rPr>
          <w:rStyle w:val="FootnoteReference"/>
        </w:rPr>
        <w:footnoteReference w:id="2905"/>
      </w:r>
      <w:r>
        <w:t xml:space="preserve"> </w:t>
      </w:r>
      <w:r>
        <w:t xml:space="preserve">Quarto, il fabbisogno stimato è dell’ordine di 170 psicologi nello scenario conservativo, 210 in quello di base e 250 in quello espansivo; il valore rilevante non è il numero in sé, ma il fatto che la Legge n. 22/2024 ha già creato la cornice giuridica per procedere, e l’Osservatorio tecnico istituito con DGR 477/2025 costituisce lo strumento istituzionale per la programmazione progressiva del dimensionamento. Il punteggio sintetico della valutazione multi-criterio si colloca nell’ordine di 77/100, collocando l’Umbria fra le regioni con il caso più robusto per la messa a regime immediata del servizio, data la presenza del quadro legislativo già approvato.</w:t>
      </w:r>
    </w:p>
    <w:bookmarkEnd w:id="4471"/>
    <w:bookmarkStart w:id="2488" w:name="indice-generale-del-corpus-8"/>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038"/>
        <w:gridCol w:w="1038"/>
        <w:gridCol w:w="575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A.1-A.3</w:t>
            </w:r>
          </w:p>
        </w:tc>
        <w:tc>
          <w:tcPr/>
          <w:p>
            <w:pPr>
              <w:pStyle w:val="Compact"/>
              <w:spacing w:after="40" w:before="40"/>
              <w:jc w:val="left"/>
            </w:pPr>
            <w:r>
              <w:rPr>
                <w:rFonts w:ascii="Cambria" w:hAnsi="Cambria" w:cs="Cambria" w:eastAsia="Cambria"/>
                <w:color w:val="1A1A1A"/>
                <w:sz w:val="18"/>
              </w:rPr>
              <w:t xml:space="preserve">Quadro, quesito e metodo: scopo e quesito (PICOTS),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Problema di salute, bisogno e contesto: demografia, epidemiologia, domanda e offerta, disuguaglianze,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L’intervento e il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clinica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casi economico e finanziario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parametri, sensibilità, verifica empirica,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G.1-G.4</w:t>
            </w:r>
          </w:p>
        </w:tc>
        <w:tc>
          <w:tcPr/>
          <w:p>
            <w:pPr>
              <w:pStyle w:val="Compact"/>
              <w:spacing w:after="40" w:before="40"/>
              <w:jc w:val="left"/>
            </w:pPr>
            <w:r>
              <w:rPr>
                <w:rFonts w:ascii="Cambria" w:hAnsi="Cambria" w:cs="Cambria" w:eastAsia="Cambria"/>
                <w:color w:val="1A1A1A"/>
                <w:sz w:val="18"/>
              </w:rPr>
              <w:t xml:space="preserve">Equità e impatto distributivo: analisi di equità, assi territoriali, strumenti, costo-efficacia distributiva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H.1-H.4</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giuridico, organizzativo, etico, sintesi</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cinque casi, dimensionamento, cronoprogramma, sostenibilità, rischi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ex post: impianto, controfattuale sulla messa a regime progressiva, indicatori, cruscotto, sintesi</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M.1-M.5</w:t>
            </w:r>
          </w:p>
        </w:tc>
        <w:tc>
          <w:tcPr/>
          <w:p>
            <w:pPr>
              <w:pStyle w:val="Compact"/>
              <w:spacing w:after="40" w:before="40"/>
              <w:jc w:val="left"/>
            </w:pPr>
            <w:r>
              <w:rPr>
                <w:rFonts w:ascii="Cambria" w:hAnsi="Cambria" w:cs="Cambria" w:eastAsia="Cambria"/>
                <w:color w:val="1A1A1A"/>
                <w:sz w:val="18"/>
              </w:rPr>
              <w:t xml:space="preserve">Sintesi multidimensionale e raccomandazioni: sintesi per dominio, analisi multi-criterio, raccomandazioni, condizioni, conclusione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A</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tavola delle assunzioni e dei parametri</w:t>
            </w:r>
          </w:p>
        </w:tc>
      </w:tr>
      <w:tr>
        <w:tc>
          <w:tcPr/>
          <w:p>
            <w:pPr>
              <w:pStyle w:val="Compact"/>
              <w:spacing w:after="40" w:before="40"/>
              <w:jc w:val="left"/>
            </w:pPr>
            <w:r>
              <w:rPr>
                <w:rFonts w:ascii="Cambria" w:hAnsi="Cambria" w:cs="Cambria" w:eastAsia="Cambria"/>
                <w:b/>
                <w:bCs/>
                <w:color w:val="1A1A1A"/>
                <w:sz w:val="18"/>
              </w:rPr>
              <w:t xml:space="preserve">Appendice B</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Strumenti di esito e dataset minimo: questionari e dizionario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C</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Dati del territorio e fonti: valori di ancoraggio e dati da acquisire</w:t>
            </w:r>
          </w:p>
        </w:tc>
      </w:tr>
      <w:tr>
        <w:tc>
          <w:tcPr/>
          <w:p>
            <w:pPr>
              <w:pStyle w:val="Compact"/>
              <w:spacing w:after="40" w:before="40"/>
              <w:jc w:val="left"/>
            </w:pPr>
            <w:r>
              <w:rPr>
                <w:rFonts w:ascii="Cambria" w:hAnsi="Cambria" w:cs="Cambria" w:eastAsia="Cambria"/>
                <w:b/>
                <w:bCs/>
                <w:color w:val="1A1A1A"/>
                <w:sz w:val="18"/>
              </w:rPr>
              <w:t xml:space="preserve">Appendice D</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Checklist di reporting: CHEERS, PRISMA, GRADE, STROBE, ISPOR-SMDM, OCSE-JRC</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Glossario: definizioni dei termini tecnici</w:t>
            </w:r>
          </w:p>
        </w:tc>
      </w:tr>
    </w:tbl>
    <w:p>
      <w:pPr>
        <w:pStyle w:val="BodyText"/>
      </w:pPr>
      <w:r>
        <w:rPr>
          <w:i/>
          <w:iCs/>
        </w:rPr>
        <w:t xml:space="preserve">Tabella 1. L’indice generale del corpus: le undici parti narrative e le cinque appendici.</w:t>
      </w:r>
    </w:p>
    <w:bookmarkEnd w:id="2488"/>
    <w:bookmarkStart w:id="2489" w:name="la-mappa-di-integrazione-del-telaio-8"/>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87"/>
        <w:gridCol w:w="1208"/>
        <w:gridCol w:w="1745"/>
        <w:gridCol w:w="17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Parte</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HTA</w:t>
            </w:r>
          </w:p>
        </w:tc>
        <w:tc>
          <w:tcPr>
            <w:shd w:val="clear" w:color="auto" w:fill="16264B"/>
          </w:tcPr>
          <w:p>
            <w:pPr>
              <w:pStyle w:val="Compact"/>
              <w:spacing w:after="40" w:before="40"/>
              <w:jc w:val="left"/>
            </w:pPr>
            <w:r>
              <w:rPr>
                <w:rFonts w:ascii="Cambria" w:hAnsi="Cambria" w:cs="Cambria" w:eastAsia="Cambria"/>
                <w:b/>
                <w:bCs/>
                <w:color w:val="FFFFFF"/>
                <w:sz w:val="18"/>
              </w:rPr>
              <w:t xml:space="preserve">Caso (5CM)</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Criterio OCSE-DAC</w:t>
            </w:r>
          </w:p>
        </w:tc>
      </w:tr>
      <w:tr>
        <w:tc>
          <w:tcPr/>
          <w:p>
            <w:pPr>
              <w:pStyle w:val="Compact"/>
              <w:spacing w:after="40" w:before="40"/>
              <w:jc w:val="left"/>
            </w:pPr>
            <w:r>
              <w:rPr>
                <w:rFonts w:ascii="Cambria" w:hAnsi="Cambria" w:cs="Cambria" w:eastAsia="Cambria"/>
                <w:b/>
                <w:bCs/>
                <w:color w:val="1A1A1A"/>
                <w:sz w:val="18"/>
              </w:rPr>
              <w:t xml:space="preserve">A — Quadro e metodo</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Imposta la griglia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 — Bisogno e contesto</w:t>
            </w:r>
          </w:p>
        </w:tc>
        <w:tc>
          <w:tcPr>
            <w:shd w:val="clear" w:color="auto" w:fill="F4F1EC"/>
          </w:tcPr>
          <w:p>
            <w:pPr>
              <w:pStyle w:val="Compact"/>
              <w:spacing w:after="40" w:before="40"/>
              <w:jc w:val="left"/>
            </w:pPr>
            <w:r>
              <w:rPr>
                <w:rFonts w:ascii="Cambria" w:hAnsi="Cambria" w:cs="Cambria" w:eastAsia="Cambria"/>
                <w:color w:val="1A1A1A"/>
                <w:sz w:val="18"/>
              </w:rPr>
              <w:t xml:space="preserve">Dominio 1</w:t>
            </w:r>
          </w:p>
        </w:tc>
        <w:tc>
          <w:tcPr>
            <w:shd w:val="clear" w:color="auto" w:fill="F4F1EC"/>
          </w:tcPr>
          <w:p>
            <w:pPr>
              <w:pStyle w:val="Compact"/>
              <w:spacing w:after="40" w:before="40"/>
              <w:jc w:val="left"/>
            </w:pPr>
            <w:r>
              <w:rPr>
                <w:rFonts w:ascii="Cambria" w:hAnsi="Cambria" w:cs="Cambria" w:eastAsia="Cambria"/>
                <w:color w:val="1A1A1A"/>
                <w:sz w:val="18"/>
              </w:rPr>
              <w:t xml:space="preserve">Strategico</w:t>
            </w:r>
          </w:p>
        </w:tc>
        <w:tc>
          <w:tcPr>
            <w:shd w:val="clear" w:color="auto" w:fill="F4F1EC"/>
          </w:tcPr>
          <w:p>
            <w:pPr>
              <w:pStyle w:val="Compact"/>
              <w:spacing w:after="40" w:before="40"/>
              <w:jc w:val="left"/>
            </w:pPr>
            <w:r>
              <w:rPr>
                <w:rFonts w:ascii="Cambria" w:hAnsi="Cambria" w:cs="Cambria" w:eastAsia="Cambria"/>
                <w:color w:val="1A1A1A"/>
                <w:sz w:val="18"/>
              </w:rPr>
              <w:t xml:space="preserve">Rilevanza, coerenza</w:t>
            </w:r>
          </w:p>
        </w:tc>
      </w:tr>
      <w:tr>
        <w:tc>
          <w:tcPr/>
          <w:p>
            <w:pPr>
              <w:pStyle w:val="Compact"/>
              <w:spacing w:after="40" w:before="40"/>
              <w:jc w:val="left"/>
            </w:pPr>
            <w:r>
              <w:rPr>
                <w:rFonts w:ascii="Cambria" w:hAnsi="Cambria" w:cs="Cambria" w:eastAsia="Cambria"/>
                <w:b/>
                <w:bCs/>
                <w:color w:val="1A1A1A"/>
                <w:sz w:val="18"/>
              </w:rPr>
              <w:t xml:space="preserve">C — Intervento e modello</w:t>
            </w:r>
          </w:p>
        </w:tc>
        <w:tc>
          <w:tcPr/>
          <w:p>
            <w:pPr>
              <w:pStyle w:val="Compact"/>
              <w:spacing w:after="40" w:before="40"/>
              <w:jc w:val="left"/>
            </w:pPr>
            <w:r>
              <w:rPr>
                <w:rFonts w:ascii="Cambria" w:hAnsi="Cambria" w:cs="Cambria" w:eastAsia="Cambria"/>
                <w:color w:val="1A1A1A"/>
                <w:sz w:val="18"/>
              </w:rPr>
              <w:t xml:space="preserve">Domini 2–3</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 — Efficacia ed evidenza</w:t>
            </w:r>
          </w:p>
        </w:tc>
        <w:tc>
          <w:tcPr>
            <w:shd w:val="clear" w:color="auto" w:fill="F4F1EC"/>
          </w:tcPr>
          <w:p>
            <w:pPr>
              <w:pStyle w:val="Compact"/>
              <w:spacing w:after="40" w:before="40"/>
              <w:jc w:val="left"/>
            </w:pPr>
            <w:r>
              <w:rPr>
                <w:rFonts w:ascii="Cambria" w:hAnsi="Cambria" w:cs="Cambria" w:eastAsia="Cambria"/>
                <w:color w:val="1A1A1A"/>
                <w:sz w:val="18"/>
              </w:rPr>
              <w:t xml:space="preserve">Dominio 4</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Efficacia</w:t>
            </w:r>
          </w:p>
        </w:tc>
      </w:tr>
      <w:tr>
        <w:tc>
          <w:tcPr/>
          <w:p>
            <w:pPr>
              <w:pStyle w:val="Compact"/>
              <w:spacing w:after="40" w:before="40"/>
              <w:jc w:val="left"/>
            </w:pPr>
            <w:r>
              <w:rPr>
                <w:rFonts w:ascii="Cambria" w:hAnsi="Cambria" w:cs="Cambria" w:eastAsia="Cambria"/>
                <w:b/>
                <w:bCs/>
                <w:color w:val="1A1A1A"/>
                <w:sz w:val="18"/>
              </w:rPr>
              <w:t xml:space="preserve">E — Valutazione economica</w:t>
            </w:r>
          </w:p>
        </w:tc>
        <w:tc>
          <w:tcPr/>
          <w:p>
            <w:pPr>
              <w:pStyle w:val="Compact"/>
              <w:spacing w:after="40" w:before="40"/>
              <w:jc w:val="left"/>
            </w:pPr>
            <w:r>
              <w:rPr>
                <w:rFonts w:ascii="Cambria" w:hAnsi="Cambria" w:cs="Cambria" w:eastAsia="Cambria"/>
                <w:color w:val="1A1A1A"/>
                <w:sz w:val="18"/>
              </w:rPr>
              <w:t xml:space="preserve">Dominio 5</w:t>
            </w:r>
          </w:p>
        </w:tc>
        <w:tc>
          <w:tcPr/>
          <w:p>
            <w:pPr>
              <w:pStyle w:val="Compact"/>
              <w:spacing w:after="40" w:before="40"/>
              <w:jc w:val="left"/>
            </w:pPr>
            <w:r>
              <w:rPr>
                <w:rFonts w:ascii="Cambria" w:hAnsi="Cambria" w:cs="Cambria" w:eastAsia="Cambria"/>
                <w:color w:val="1A1A1A"/>
                <w:sz w:val="18"/>
              </w:rPr>
              <w:t xml:space="preserve">Economico, finanziario</w:t>
            </w:r>
          </w:p>
        </w:tc>
        <w:tc>
          <w:tcPr/>
          <w:p>
            <w:pPr>
              <w:pStyle w:val="Compact"/>
              <w:spacing w:after="40" w:before="40"/>
              <w:jc w:val="left"/>
            </w:pPr>
            <w:r>
              <w:rPr>
                <w:rFonts w:ascii="Cambria" w:hAnsi="Cambria" w:cs="Cambria" w:eastAsia="Cambria"/>
                <w:color w:val="1A1A1A"/>
                <w:sz w:val="18"/>
              </w:rPr>
              <w:t xml:space="preserve">Efficienza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 — 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Dominio 5</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Efficienza</w:t>
            </w:r>
          </w:p>
        </w:tc>
      </w:tr>
      <w:tr>
        <w:tc>
          <w:tcPr/>
          <w:p>
            <w:pPr>
              <w:pStyle w:val="Compact"/>
              <w:spacing w:after="40" w:before="40"/>
              <w:jc w:val="left"/>
            </w:pPr>
            <w:r>
              <w:rPr>
                <w:rFonts w:ascii="Cambria" w:hAnsi="Cambria" w:cs="Cambria" w:eastAsia="Cambria"/>
                <w:b/>
                <w:bCs/>
                <w:color w:val="1A1A1A"/>
                <w:sz w:val="18"/>
              </w:rPr>
              <w:t xml:space="preserve">G — Equità e impatto</w:t>
            </w:r>
          </w:p>
        </w:tc>
        <w:tc>
          <w:tcPr/>
          <w:p>
            <w:pPr>
              <w:pStyle w:val="Compact"/>
              <w:spacing w:after="40" w:before="40"/>
              <w:jc w:val="left"/>
            </w:pPr>
            <w:r>
              <w:rPr>
                <w:rFonts w:ascii="Cambria" w:hAnsi="Cambria" w:cs="Cambria" w:eastAsia="Cambria"/>
                <w:color w:val="1A1A1A"/>
                <w:sz w:val="18"/>
              </w:rPr>
              <w:t xml:space="preserve">Dominio 8</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Impatto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H — Profili etico/giuridico/organizz.</w:t>
            </w:r>
          </w:p>
        </w:tc>
        <w:tc>
          <w:tcPr>
            <w:shd w:val="clear" w:color="auto" w:fill="F4F1EC"/>
          </w:tcPr>
          <w:p>
            <w:pPr>
              <w:pStyle w:val="Compact"/>
              <w:spacing w:after="40" w:before="40"/>
              <w:jc w:val="left"/>
            </w:pPr>
            <w:r>
              <w:rPr>
                <w:rFonts w:ascii="Cambria" w:hAnsi="Cambria" w:cs="Cambria" w:eastAsia="Cambria"/>
                <w:color w:val="1A1A1A"/>
                <w:sz w:val="18"/>
              </w:rPr>
              <w:t xml:space="preserve">Domini 6, 7, 9</w:t>
            </w:r>
          </w:p>
        </w:tc>
        <w:tc>
          <w:tcPr>
            <w:shd w:val="clear" w:color="auto" w:fill="F4F1EC"/>
          </w:tcPr>
          <w:p>
            <w:pPr>
              <w:pStyle w:val="Compact"/>
              <w:spacing w:after="40" w:before="40"/>
              <w:jc w:val="left"/>
            </w:pPr>
            <w:r>
              <w:rPr>
                <w:rFonts w:ascii="Cambria" w:hAnsi="Cambria" w:cs="Cambria" w:eastAsia="Cambria"/>
                <w:color w:val="1A1A1A"/>
                <w:sz w:val="18"/>
              </w:rPr>
              <w:t xml:space="preserve">Gestionale</w:t>
            </w:r>
          </w:p>
        </w:tc>
        <w:tc>
          <w:tcPr>
            <w:shd w:val="clear" w:color="auto" w:fill="F4F1EC"/>
          </w:tcPr>
          <w:p>
            <w:pPr>
              <w:pStyle w:val="Compact"/>
              <w:spacing w:after="40" w:before="40"/>
              <w:jc w:val="left"/>
            </w:pPr>
            <w:r>
              <w:rPr>
                <w:rFonts w:ascii="Cambria" w:hAnsi="Cambria" w:cs="Cambria" w:eastAsia="Cambria"/>
                <w:color w:val="1A1A1A"/>
                <w:sz w:val="18"/>
              </w:rPr>
              <w:t xml:space="preserve">Coerenza</w:t>
            </w:r>
          </w:p>
        </w:tc>
      </w:tr>
      <w:tr>
        <w:tc>
          <w:tcPr/>
          <w:p>
            <w:pPr>
              <w:pStyle w:val="Compact"/>
              <w:spacing w:after="40" w:before="40"/>
              <w:jc w:val="left"/>
            </w:pPr>
            <w:r>
              <w:rPr>
                <w:rFonts w:ascii="Cambria" w:hAnsi="Cambria" w:cs="Cambria" w:eastAsia="Cambria"/>
                <w:b/>
                <w:bCs/>
                <w:color w:val="1A1A1A"/>
                <w:sz w:val="18"/>
              </w:rPr>
              <w:t xml:space="preserve">I — Attuazione e sostenibilità</w:t>
            </w:r>
          </w:p>
        </w:tc>
        <w:tc>
          <w:tcPr/>
          <w:p>
            <w:pPr>
              <w:pStyle w:val="Compact"/>
              <w:spacing w:after="40" w:before="40"/>
              <w:jc w:val="left"/>
            </w:pPr>
            <w:r>
              <w:rPr>
                <w:rFonts w:ascii="Cambria" w:hAnsi="Cambria" w:cs="Cambria" w:eastAsia="Cambria"/>
                <w:color w:val="1A1A1A"/>
                <w:sz w:val="18"/>
              </w:rPr>
              <w:t xml:space="preserve">Dominio 7</w:t>
            </w:r>
          </w:p>
        </w:tc>
        <w:tc>
          <w:tcPr/>
          <w:p>
            <w:pPr>
              <w:pStyle w:val="Compact"/>
              <w:spacing w:after="40" w:before="40"/>
              <w:jc w:val="left"/>
            </w:pPr>
            <w:r>
              <w:rPr>
                <w:rFonts w:ascii="Cambria" w:hAnsi="Cambria" w:cs="Cambria" w:eastAsia="Cambria"/>
                <w:color w:val="1A1A1A"/>
                <w:sz w:val="18"/>
              </w:rPr>
              <w:t xml:space="preserve">Commerciale, gestionale</w:t>
            </w:r>
          </w:p>
        </w:tc>
        <w:tc>
          <w:tcPr/>
          <w:p>
            <w:pPr>
              <w:pStyle w:val="Compact"/>
              <w:spacing w:after="40" w:before="40"/>
              <w:jc w:val="left"/>
            </w:pPr>
            <w:r>
              <w:rPr>
                <w:rFonts w:ascii="Cambria" w:hAnsi="Cambria" w:cs="Cambria" w:eastAsia="Cambria"/>
                <w:color w:val="1A1A1A"/>
                <w:sz w:val="18"/>
              </w:rPr>
              <w:t xml:space="preserve">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 — Monitoraggio ed ex post</w:t>
            </w:r>
          </w:p>
        </w:tc>
        <w:tc>
          <w:tcPr>
            <w:shd w:val="clear" w:color="auto" w:fill="F4F1EC"/>
          </w:tcPr>
          <w:p>
            <w:pPr>
              <w:pStyle w:val="Compact"/>
              <w:spacing w:after="40" w:before="40"/>
              <w:jc w:val="left"/>
            </w:pPr>
            <w:r>
              <w:rPr>
                <w:rFonts w:ascii="Cambria" w:hAnsi="Cambria" w:cs="Cambria" w:eastAsia="Cambria"/>
                <w:color w:val="1A1A1A"/>
                <w:sz w:val="18"/>
              </w:rPr>
              <w:t xml:space="preserve">Trasversale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Verifica ex post</w:t>
            </w:r>
          </w:p>
        </w:tc>
      </w:tr>
      <w:tr>
        <w:tc>
          <w:tcPr/>
          <w:p>
            <w:pPr>
              <w:pStyle w:val="Compact"/>
              <w:spacing w:after="40" w:before="40"/>
              <w:jc w:val="left"/>
            </w:pPr>
            <w:r>
              <w:rPr>
                <w:rFonts w:ascii="Cambria" w:hAnsi="Cambria" w:cs="Cambria" w:eastAsia="Cambria"/>
                <w:b/>
                <w:bCs/>
                <w:color w:val="1A1A1A"/>
                <w:sz w:val="18"/>
              </w:rPr>
              <w:t xml:space="preserve">M — Sintesi e raccomandazioni</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Tutti i criteri</w:t>
            </w:r>
          </w:p>
        </w:tc>
      </w:tr>
    </w:tbl>
    <w:p>
      <w:pPr>
        <w:pStyle w:val="BodyText"/>
      </w:pPr>
      <w:r>
        <w:rPr>
          <w:i/>
          <w:iCs/>
        </w:rPr>
        <w:t xml:space="preserve">Tabella 2. La mappa di integrazione delle quattro cornici, parte per parte.</w:t>
      </w:r>
    </w:p>
    <w:bookmarkEnd w:id="2489"/>
    <w:bookmarkStart w:id="2490" w:name="la-sintesi-del-valore-8"/>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ma modesto e sostenibile nell’ambito della programmazione ordinaria del Fondo sanitario regionale — e il saldo complessivo, ampiamente positivo. Caratteristica propria dell’Umbria è che il servizio è già istituito per legge, sicché la questione non è l’opportunità dell’investimento, già decisa dal legislatore regionale, ma il suo dimensionamento: la scelta fra i tre scenari qui presentati è una decisione di scala, non di principio.</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9</w:t>
            </w:r>
          </w:p>
        </w:tc>
        <w:tc>
          <w:tcPr/>
          <w:p>
            <w:pPr>
              <w:pStyle w:val="Compact"/>
              <w:spacing w:after="40" w:before="40"/>
              <w:jc w:val="left"/>
            </w:pPr>
            <w:r>
              <w:rPr>
                <w:rFonts w:ascii="Cambria" w:hAnsi="Cambria" w:cs="Cambria" w:eastAsia="Cambria"/>
                <w:color w:val="1A1A1A"/>
                <w:sz w:val="18"/>
              </w:rPr>
              <w:t xml:space="preserve">~ 14</w:t>
            </w:r>
          </w:p>
        </w:tc>
        <w:tc>
          <w:tcPr/>
          <w:p>
            <w:pPr>
              <w:pStyle w:val="Compact"/>
              <w:spacing w:after="40" w:before="40"/>
              <w:jc w:val="left"/>
            </w:pPr>
            <w:r>
              <w:rPr>
                <w:rFonts w:ascii="Cambria" w:hAnsi="Cambria" w:cs="Cambria" w:eastAsia="Cambria"/>
                <w:color w:val="1A1A1A"/>
                <w:sz w:val="18"/>
              </w:rPr>
              <w:t xml:space="preserve">~ 19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5</w:t>
            </w:r>
          </w:p>
        </w:tc>
        <w:tc>
          <w:tcPr>
            <w:shd w:val="clear" w:color="auto" w:fill="F4F1EC"/>
          </w:tcPr>
          <w:p>
            <w:pPr>
              <w:pStyle w:val="Compact"/>
              <w:spacing w:after="40" w:before="40"/>
              <w:jc w:val="left"/>
            </w:pPr>
            <w:r>
              <w:rPr>
                <w:rFonts w:ascii="Cambria" w:hAnsi="Cambria" w:cs="Cambria" w:eastAsia="Cambria"/>
                <w:color w:val="1A1A1A"/>
                <w:sz w:val="18"/>
              </w:rPr>
              <w:t xml:space="preserve">~ 8</w:t>
            </w:r>
          </w:p>
        </w:tc>
        <w:tc>
          <w:tcPr>
            <w:shd w:val="clear" w:color="auto" w:fill="F4F1EC"/>
          </w:tcPr>
          <w:p>
            <w:pPr>
              <w:pStyle w:val="Compact"/>
              <w:spacing w:after="40" w:before="40"/>
              <w:jc w:val="left"/>
            </w:pPr>
            <w:r>
              <w:rPr>
                <w:rFonts w:ascii="Cambria" w:hAnsi="Cambria" w:cs="Cambria" w:eastAsia="Cambria"/>
                <w:color w:val="1A1A1A"/>
                <w:sz w:val="18"/>
              </w:rPr>
              <w:t xml:space="preserve">~ 12</w:t>
            </w:r>
          </w:p>
        </w:tc>
      </w:tr>
      <w:tr>
        <w:tc>
          <w:tcPr/>
          <w:p>
            <w:pPr>
              <w:pStyle w:val="Compact"/>
              <w:spacing w:after="40" w:before="40"/>
              <w:jc w:val="left"/>
            </w:pPr>
            <w:r>
              <w:rPr>
                <w:rFonts w:ascii="Cambria" w:hAnsi="Cambria" w:cs="Cambria" w:eastAsia="Cambria"/>
                <w:b/>
                <w:bCs/>
                <w:color w:val="1A1A1A"/>
                <w:sz w:val="18"/>
              </w:rPr>
              <w:t xml:space="preserve">Ricadute economico-sociali</w:t>
            </w:r>
          </w:p>
        </w:tc>
        <w:tc>
          <w:tcPr/>
          <w:p>
            <w:pPr>
              <w:pStyle w:val="Compact"/>
              <w:spacing w:after="40" w:before="40"/>
              <w:jc w:val="left"/>
            </w:pPr>
            <w:r>
              <w:rPr>
                <w:rFonts w:ascii="Cambria" w:hAnsi="Cambria" w:cs="Cambria" w:eastAsia="Cambria"/>
                <w:color w:val="1A1A1A"/>
                <w:sz w:val="18"/>
              </w:rPr>
              <w:t xml:space="preserve">~ 28</w:t>
            </w:r>
          </w:p>
        </w:tc>
        <w:tc>
          <w:tcPr/>
          <w:p>
            <w:pPr>
              <w:pStyle w:val="Compact"/>
              <w:spacing w:after="40" w:before="40"/>
              <w:jc w:val="left"/>
            </w:pPr>
            <w:r>
              <w:rPr>
                <w:rFonts w:ascii="Cambria" w:hAnsi="Cambria" w:cs="Cambria" w:eastAsia="Cambria"/>
                <w:color w:val="1A1A1A"/>
                <w:sz w:val="18"/>
              </w:rPr>
              <w:t xml:space="preserve">~ 52</w:t>
            </w:r>
          </w:p>
        </w:tc>
        <w:tc>
          <w:tcPr/>
          <w:p>
            <w:pPr>
              <w:pStyle w:val="Compact"/>
              <w:spacing w:after="40" w:before="40"/>
              <w:jc w:val="left"/>
            </w:pPr>
            <w:r>
              <w:rPr>
                <w:rFonts w:ascii="Cambria" w:hAnsi="Cambria" w:cs="Cambria" w:eastAsia="Cambria"/>
                <w:color w:val="1A1A1A"/>
                <w:sz w:val="18"/>
              </w:rPr>
              <w:t xml:space="preserve">~ 76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−6</w:t>
            </w:r>
          </w:p>
        </w:tc>
        <w:tc>
          <w:tcPr>
            <w:shd w:val="clear" w:color="auto" w:fill="F4F1EC"/>
          </w:tcPr>
          <w:p>
            <w:pPr>
              <w:pStyle w:val="Compact"/>
              <w:spacing w:after="40" w:before="40"/>
              <w:jc w:val="left"/>
            </w:pPr>
            <w:r>
              <w:rPr>
                <w:rFonts w:ascii="Cambria" w:hAnsi="Cambria" w:cs="Cambria" w:eastAsia="Cambria"/>
                <w:color w:val="1A1A1A"/>
                <w:sz w:val="18"/>
              </w:rPr>
              <w:t xml:space="preserve">~ −7</w:t>
            </w:r>
          </w:p>
        </w:tc>
      </w:tr>
      <w:tr>
        <w:tc>
          <w:tcPr/>
          <w:p>
            <w:pPr>
              <w:pStyle w:val="Compact"/>
              <w:spacing w:after="40" w:before="40"/>
              <w:jc w:val="left"/>
            </w:pPr>
            <w:r>
              <w:rPr>
                <w:rFonts w:ascii="Cambria" w:hAnsi="Cambria" w:cs="Cambria" w:eastAsia="Cambria"/>
                <w:b/>
                <w:bCs/>
                <w:color w:val="1A1A1A"/>
                <w:sz w:val="18"/>
              </w:rPr>
              <w:t xml:space="preserve">Saldo complessivo (caso economico)</w:t>
            </w:r>
          </w:p>
        </w:tc>
        <w:tc>
          <w:tcPr/>
          <w:p>
            <w:pPr>
              <w:pStyle w:val="Compact"/>
              <w:spacing w:after="40" w:before="40"/>
              <w:jc w:val="left"/>
            </w:pPr>
            <w:r>
              <w:rPr>
                <w:rFonts w:ascii="Cambria" w:hAnsi="Cambria" w:cs="Cambria" w:eastAsia="Cambria"/>
                <w:color w:val="1A1A1A"/>
                <w:sz w:val="18"/>
              </w:rPr>
              <w:t xml:space="preserve">+24</w:t>
            </w:r>
          </w:p>
        </w:tc>
        <w:tc>
          <w:tcPr/>
          <w:p>
            <w:pPr>
              <w:pStyle w:val="Compact"/>
              <w:spacing w:after="40" w:before="40"/>
              <w:jc w:val="left"/>
            </w:pPr>
            <w:r>
              <w:rPr>
                <w:rFonts w:ascii="Cambria" w:hAnsi="Cambria" w:cs="Cambria" w:eastAsia="Cambria"/>
                <w:color w:val="1A1A1A"/>
                <w:sz w:val="18"/>
              </w:rPr>
              <w:t xml:space="preserve">+46</w:t>
            </w:r>
          </w:p>
        </w:tc>
        <w:tc>
          <w:tcPr/>
          <w:p>
            <w:pPr>
              <w:pStyle w:val="Compact"/>
              <w:spacing w:after="40" w:before="40"/>
              <w:jc w:val="left"/>
            </w:pPr>
            <w:r>
              <w:rPr>
                <w:rFonts w:ascii="Cambria" w:hAnsi="Cambria" w:cs="Cambria" w:eastAsia="Cambria"/>
                <w:color w:val="1A1A1A"/>
                <w:sz w:val="18"/>
              </w:rPr>
              <w:t xml:space="preserve">+69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~3,7:1</w:t>
            </w:r>
          </w:p>
        </w:tc>
        <w:tc>
          <w:tcPr>
            <w:shd w:val="clear" w:color="auto" w:fill="F4F1EC"/>
          </w:tcPr>
          <w:p>
            <w:pPr>
              <w:pStyle w:val="Compact"/>
              <w:spacing w:after="40" w:before="40"/>
              <w:jc w:val="left"/>
            </w:pPr>
            <w:r>
              <w:rPr>
                <w:rFonts w:ascii="Cambria" w:hAnsi="Cambria" w:cs="Cambria" w:eastAsia="Cambria"/>
                <w:color w:val="1A1A1A"/>
                <w:sz w:val="18"/>
              </w:rPr>
              <w:t xml:space="preserve">~4,3:1</w:t>
            </w:r>
          </w:p>
        </w:tc>
        <w:tc>
          <w:tcPr>
            <w:shd w:val="clear" w:color="auto" w:fill="F4F1EC"/>
          </w:tcPr>
          <w:p>
            <w:pPr>
              <w:pStyle w:val="Compact"/>
              <w:spacing w:after="40" w:before="40"/>
              <w:jc w:val="left"/>
            </w:pPr>
            <w:r>
              <w:rPr>
                <w:rFonts w:ascii="Cambria" w:hAnsi="Cambria" w:cs="Cambria" w:eastAsia="Cambria"/>
                <w:color w:val="1A1A1A"/>
                <w:sz w:val="18"/>
              </w:rPr>
              <w:t xml:space="preserve">~4,8:1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l’Umbria, è portare a regime il servizio già istituito con la Legge n. 22/2024, dimensionandolo progressivamente dai Distretti sanitari delle due Aziende USL verso la copertura sistematica, nell’ordine di 170 psicologi nello scenario conservativo, 210 in quello di base e 250 in quello espansivo, e attivando pienamente l’Osservatorio tecnico regionale quale strumento di programmazione, monitoraggio e verifica. Il limite principale è il radicamento dei dati: le grandezze economiche sono in parte ricostruite a partire dai conti nazionali scalati per la quota di popolazione (circa l’1,4%) e non estratte dai conti regionali certificati delle due Aziende USL; l’estrazione di quei dati — resa possibile dalla clausola valutativa della Legge n. 22/2024 e dall’Osservatorio — costituisce la priorità informativa da completare nel primo triennio di attuazione.</w:t>
      </w:r>
    </w:p>
    <w:p>
      <w:pPr>
        <w:pStyle w:val="BodyText"/>
      </w:pPr>
      <w:r>
        <w:t xml:space="preserve">Lo studio si fonda, sul piano comparativo, sui programmi internazionali più autorevoli di integrazione della salute mentale nelle cure primarie — il programma inglese NHS Talking Therapies, il modello olandese POH-GGZ, l’iniziativa australiana Better Access e il Collaborative Care statunitense — dei quali mutua le evidenze di efficacia e di costo-efficacia, adattandole con cautela al contesto umbro. La condizione propria della regione — una legge organica già approvata e un Osservatorio tecnico già costituito, in una regione tra le più anziane d’Italia e con una diffusa cronicità — consente di fondare la valutazione controfattuale sulla messa a regime progressiva del modello, come un esperimento a cunei fra i distretti delle due Aziende USL, con il vantaggio che il quadro normativo è già definito e la struttura di governance è già operativa. Su questa base, e con la dichiarazione trasparente dei propri limiti, il corpus consegna al decisore un quadro completo e onesto su cui deliberare, e all’Umbria l’occasione di trasformare una legge già vigente in un servizio pienamente a regime.</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2490"/>
    <w:bookmarkStart w:id="2507" w:name="parte-a-quadro-quesito-e-metodo-10"/>
    <w:p>
      <w:pPr>
        <w:pStyle w:val="Heading2"/>
      </w:pPr>
      <w:r>
        <w:t xml:space="preserve">Parte A — Quadro, quesito e metodo</w:t>
      </w:r>
    </w:p>
    <w:p>
      <w:pPr>
        <w:pStyle w:val="FirstParagraph"/>
      </w:pPr>
      <w:r>
        <w:t xml:space="preserve">Questa è la prima parte dello studio integrale per l’Umbria, che applica alla regione il telaio integrato sviluppato e validato per la Puglia e già esteso alla Lombardia, al Veneto, all’Emilia-Romagna, al Piemonte, alla Toscana, alla Liguria, al Lazio, alla Campania, alla Sicilia, alla Sardegna, al Trentino-Alto Adige e al Friuli-Venezia Giulia. L’architettura e il caso di riferimento sono i medesimi, e mutano soltanto i dati di ingresso, ancorati all’Umbria.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L’Umbria occupa nella serie una posizione avanzata e distinta: è fra le poche regioni italiane dotate di una legge organica già in vigore in materia di psicologia di cure primarie, sicché la valutazione non riguarda l’opportunità di introdurre il servizio, già decisa dal legislatore, ma la sua messa a regime, il suo dimensionamento pieno e la trasformazione del quadro normativo in un servizio operativo e valutabile.</w:t>
      </w:r>
    </w:p>
    <w:bookmarkStart w:id="2496" w:name="X33f9554063176cce1ced9abe9fedbb1e029873a"/>
    <w:p>
      <w:pPr>
        <w:pStyle w:val="Heading3"/>
      </w:pPr>
      <w:r>
        <w:t xml:space="preserve">A.1 Scopo, quesito di valutazione e standard adottati</w:t>
      </w:r>
    </w:p>
    <w:p>
      <w:pPr>
        <w:pStyle w:val="FirstParagraph"/>
      </w:pPr>
      <w:r>
        <w:t xml:space="preserve">Lo studio ha per oggetto il servizio di psicologia di cure primarie della Regione Umbria, inteso come messa a regime e dimensionamento pieno di un servizio già istituito dalla Legge regionale 28 ottobre 2024, n. 22, che ne ha definito finalità, compiti, organizzazione e strumenti di verifica.</w:t>
      </w:r>
      <w:r>
        <w:rPr>
          <w:rStyle w:val="FootnoteReference"/>
        </w:rPr>
        <w:footnoteReference w:id="2906"/>
      </w:r>
      <w:r>
        <w:t xml:space="preserve"> </w:t>
      </w:r>
      <w:r>
        <w:t xml:space="preserve">Ne valuta il valore nelle dimensioni clinica, economica, organizzativa, sociale, etica e giuridica, allo scopo di informare la decisione sul dimensionamento e sulla messa a regime progressiva. La premessa che orienta l’intero studio è che la decisione rilevante, per l’Umbria, non è istituire il servizio — già istituito per legge — né avviarne la sperimentazione — già avviata in via sperimentale con risorse del bilancio 2025–2026 — ma portarlo a regime nei Distretti sanitari delle due Aziende USL, nelle Case della Comunità, e dimensionarlo verso la copertura sistematica del fabbisogno, nell’ordine di 170–250 psicologi a seconda dello scenario, in un contesto demograficamente anziano e con una crescente domanda di supporto psicologico di prossimità.</w:t>
      </w:r>
      <w:r>
        <w:rPr>
          <w:rStyle w:val="FootnoteReference"/>
        </w:rPr>
        <w:footnoteReference w:id="2907"/>
      </w:r>
      <w:r>
        <w:t xml:space="preserve"> </w:t>
      </w:r>
      <w:r>
        <w:t xml:space="preserve">Lo studio fornisce gli elementi per quella decisione, non la sostituisce: ne misura le conseguenze attese in tre scenari di copertura, lasciando alla sede politica e di bilancio la scelta della scala. Va segnalato sin d’ora che la fase sperimentale iniziale si colloca al di sotto dello stesso scenario conservativo qui considerato, che rappresenta invece il modello a regime verso la copertura sistematica.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170.000 persone, si somma un’utenza specialistica in carico ai servizi, in un quadro segnato da componenti convergenti — il bisogno dell’età anziana e della cronicità, prevalente in una delle regioni più anziane d’Italia con un indice di vecchiaia di 246,6%, il disagio connesso alla condizione di caregiver, il disagio giovanile nelle aree urbane di Perugia e Terni, e la domanda non intercettata nelle aree appenniniche interne — cui si aggiungono i divari di accesso delle comunità montane e la crescente rinuncia alle cure segnalata dai rapporti nazionali.</w:t>
      </w:r>
      <w:r>
        <w:rPr>
          <w:rStyle w:val="FootnoteReference"/>
        </w:rPr>
        <w:footnoteReference w:id="2908"/>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umbri con bisogno psicologico comune, e in seconda istanza dall’intera popolazione per gli effetti di sistema. L’intervento è il servizio di psicologia di cure primarie, come primo livello di ascolto, intercettazione precoce e filtro, condotto dalla fase sperimentale alla piena operatività a regime. Il confronto è la condizione attuale, fatta della sola fase sperimentale avviata e del quadro normativo già definito ma non ancora pienamente attuato. Gli esiti sono clinici, economici, sociali e di sistema. I tempi distinguono l’orizzonte pluriennale degli esiti dall’orizzonte triennale-quinquennale del bilancio. Il contesto è il Servizio sanitario regionale dell’Umbria, con le sue due Aziende USL (Umbria 1 e Umbria 2), le due Aziende Ospedaliere universitarie (Perugia e Terni) e la rete delle Case della Comunità in costruzione, presieduto dall’Osservatorio tecnico regionale istituito con DGR 477/2025.</w:t>
      </w:r>
      <w:r>
        <w:rPr>
          <w:rStyle w:val="FootnoteReference"/>
        </w:rPr>
        <w:footnoteReference w:id="2909"/>
      </w:r>
      <w:r>
        <w:t xml:space="preserve"> </w:t>
      </w:r>
      <w:r>
        <w:t xml:space="preserve">La tabella seguente riepiloga gli elementi del quesito.</w:t>
      </w:r>
    </w:p>
    <w:tbl>
      <w:tblPr>
        <w:tblStyle w:val="Table"/>
        <w:tblW w:type="pct" w:w="494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77"/>
        <w:gridCol w:w="614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l’Umbria</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umbri con disagio psichico comune (~170.000);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Servizio di psicologia di cure primarie, già istituito dalla L.R. 22/2024, portato a regime (~170/210/250 psicologi); dalla fase sperimentale alla copertura sistematica</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Condizione attuale: fase sperimentale con risorse di ~103.000 euro/anno (2025–2026); servizio non ancora a regime né pienamente dimensionato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liste di attesa)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Servizio sanitario regionale umbro; due Aziende USL (Umbria 1 e Umbria 2), due Aziende Ospedaliere universitarie; Osservatorio tecnico regionale DGR 477/2025;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2910"/>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2496"/>
    <w:bookmarkStart w:id="2502" w:name="a.2-il-caso-di-riferimento-e-i-metodi-10"/>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 fase sperimentale attuale come comparatore.</w:t>
      </w:r>
      <w:r>
        <w:rPr>
          <w:rStyle w:val="FootnoteReference"/>
        </w:rPr>
        <w:footnoteReference w:id="2911"/>
      </w:r>
      <w:r>
        <w:t xml:space="preserve"> </w:t>
      </w:r>
      <w:r>
        <w:t xml:space="preserve">Le unità di analisi sono la regione e, in disaggregazione, le due Aziende USL e i Distretti sanitari, per dare conto anche dei divari territoriali interni, segnatamente fra le aree urbane di Perugia e Terni e le comunità appenniniche interne.</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262"/>
        <w:gridCol w:w="553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Condizione attuale: fase sperimentale avviata, prima della messa a regime piena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Regione, con disaggregazione per Azienda USL e distretto sanitario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2912"/>
      </w:r>
      <w:r>
        <w:t xml:space="preserve"> </w:t>
      </w:r>
      <w:r>
        <w:t xml:space="preserve">Per l’Umbria, il profilo finanziario è quello di una regione che non è in piano di rientro sanitario ma che presenta un livello di spesa pro-capite superiore alla media nazionale, a fronte di una crescente rinuncia alle cure: il margine di recupero diretto è plausibilmente presente, in particolare per il canale della riduzione degli accessi impropri al pronto soccorso e del consumo farmaceutico inappropriato, ma va stimato con cautela. Sul versante della mobilità, l’Umbria presenta un saldo passivo moderato — in quanto regione attratta piuttosto che attrattore netto — il cui recupero parziale contribuisce al caso finanziario, sia pure in misura contenuta.</w:t>
      </w:r>
      <w:r>
        <w:rPr>
          <w:rStyle w:val="FootnoteReference"/>
        </w:rPr>
        <w:footnoteReference w:id="2913"/>
      </w:r>
      <w:r>
        <w:t xml:space="preserve"> </w:t>
      </w:r>
      <w:r>
        <w:t xml:space="preserve">Ne consegue un saldo diretto modestamente negativo, 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regionali certificati delle due Aziende USL; la clausola valutativa della Legge n. 22/2024 e l’Osservatorio tecnico costituiscono il veicolo per colmare progressivamente questa lacuna.</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2914"/>
      </w:r>
      <w:r>
        <w:t xml:space="preserve"> </w:t>
      </w:r>
      <w:r>
        <w:t xml:space="preserve">Per l’Umbria il disegno controfattuale assume una forma propria: poiché la messa a regime avverrà in tempi differenziati fra i Distretti sanitari delle due Aziende USL, essa può fondarsi su un esperimento a cunei progressivi, con l’ordine e i tempi di attivazione del servizio fra i Distretti impiegati a fini valutativi e l’effetto causale stimato dai metodi della differenza-nelle-differenze e del controllo sintetico, con il vantaggio che la struttura di governance dell’Osservatorio tecnico regionale è già operativa.</w:t>
      </w:r>
      <w:r>
        <w:rPr>
          <w:rStyle w:val="FootnoteReference"/>
        </w:rPr>
        <w:footnoteReference w:id="2915"/>
      </w:r>
      <w:r>
        <w:t xml:space="preserve"> </w:t>
      </w:r>
      <w:r>
        <w:t xml:space="preserve">La tabella seguente colloca ciascuna metodologia nella sua sede.</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357"/>
        <w:gridCol w:w="30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generato oltre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 nel tempo</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Parte F</w:t>
            </w:r>
          </w:p>
        </w:tc>
        <w:tc>
          <w:tcPr/>
          <w:p>
            <w:pPr>
              <w:pStyle w:val="Compact"/>
              <w:spacing w:after="40" w:before="40"/>
              <w:jc w:val="left"/>
            </w:pPr>
            <w:r>
              <w:rPr>
                <w:rFonts w:ascii="Cambria" w:hAnsi="Cambria" w:cs="Cambria" w:eastAsia="Cambria"/>
                <w:color w:val="1A1A1A"/>
                <w:sz w:val="18"/>
              </w:rPr>
              <w:t xml:space="preserve">Governo dell’incertezza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w:t>
            </w:r>
          </w:p>
        </w:tc>
        <w:tc>
          <w:tcPr>
            <w:shd w:val="clear" w:color="auto" w:fill="F4F1EC"/>
          </w:tcPr>
          <w:p>
            <w:pPr>
              <w:pStyle w:val="Compact"/>
              <w:spacing w:after="40" w:before="40"/>
              <w:jc w:val="left"/>
            </w:pPr>
            <w:r>
              <w:rPr>
                <w:rFonts w:ascii="Cambria" w:hAnsi="Cambria" w:cs="Cambria" w:eastAsia="Cambria"/>
                <w:color w:val="1A1A1A"/>
                <w:sz w:val="18"/>
              </w:rPr>
              <w:t xml:space="preserve">Parte G</w:t>
            </w:r>
          </w:p>
        </w:tc>
        <w:tc>
          <w:tcPr>
            <w:shd w:val="clear" w:color="auto" w:fill="F4F1EC"/>
          </w:tcPr>
          <w:p>
            <w:pPr>
              <w:pStyle w:val="Compact"/>
              <w:spacing w:after="40" w:before="40"/>
              <w:jc w:val="left"/>
            </w:pPr>
            <w:r>
              <w:rPr>
                <w:rFonts w:ascii="Cambria" w:hAnsi="Cambria" w:cs="Cambria" w:eastAsia="Cambria"/>
                <w:color w:val="1A1A1A"/>
                <w:sz w:val="18"/>
              </w:rPr>
              <w:t xml:space="preserve">Misura dell’equità distributiva</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Parte L</w:t>
            </w:r>
          </w:p>
        </w:tc>
        <w:tc>
          <w:tcPr/>
          <w:p>
            <w:pPr>
              <w:pStyle w:val="Compact"/>
              <w:spacing w:after="40" w:before="40"/>
              <w:jc w:val="left"/>
            </w:pPr>
            <w:r>
              <w:rPr>
                <w:rFonts w:ascii="Cambria" w:hAnsi="Cambria" w:cs="Cambria" w:eastAsia="Cambria"/>
                <w:color w:val="1A1A1A"/>
                <w:sz w:val="18"/>
              </w:rPr>
              <w:t xml:space="preserve">Stima dell’effetto reale sul campo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sistema GRADE</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Fondazione e graduazione dell’evidenza</w:t>
            </w:r>
          </w:p>
        </w:tc>
      </w:tr>
      <w:tr>
        <w:tc>
          <w:tcPr/>
          <w:p>
            <w:pPr>
              <w:pStyle w:val="Compact"/>
              <w:spacing w:after="40" w:before="40"/>
              <w:jc w:val="left"/>
            </w:pPr>
            <w:r>
              <w:rPr>
                <w:rFonts w:ascii="Cambria" w:hAnsi="Cambria" w:cs="Cambria" w:eastAsia="Cambria"/>
                <w:b/>
                <w:bCs/>
                <w:color w:val="1A1A1A"/>
                <w:sz w:val="18"/>
              </w:rPr>
              <w:t xml:space="preserve">Analisi multi-criterio</w:t>
            </w:r>
          </w:p>
        </w:tc>
        <w:tc>
          <w:tcPr/>
          <w:p>
            <w:pPr>
              <w:pStyle w:val="Compact"/>
              <w:spacing w:after="40" w:before="40"/>
              <w:jc w:val="left"/>
            </w:pPr>
            <w:r>
              <w:rPr>
                <w:rFonts w:ascii="Cambria" w:hAnsi="Cambria" w:cs="Cambria" w:eastAsia="Cambria"/>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Composizione dei criteri non monetari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della regolamentazione</w:t>
            </w:r>
          </w:p>
        </w:tc>
        <w:tc>
          <w:tcPr>
            <w:shd w:val="clear" w:color="auto" w:fill="F4F1EC"/>
          </w:tcPr>
          <w:p>
            <w:pPr>
              <w:pStyle w:val="Compact"/>
              <w:spacing w:after="40" w:before="40"/>
              <w:jc w:val="left"/>
            </w:pPr>
            <w:r>
              <w:rPr>
                <w:rFonts w:ascii="Cambria" w:hAnsi="Cambria" w:cs="Cambria" w:eastAsia="Cambria"/>
                <w:color w:val="1A1A1A"/>
                <w:sz w:val="18"/>
              </w:rPr>
              <w:t xml:space="preserve">Parti H, L</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della norma ex ante ed ex post</w:t>
            </w:r>
          </w:p>
        </w:tc>
      </w:tr>
    </w:tbl>
    <w:p>
      <w:pPr>
        <w:pStyle w:val="BodyText"/>
      </w:pPr>
      <w:r>
        <w:rPr>
          <w:i/>
          <w:iCs/>
        </w:rPr>
        <w:t xml:space="preserve">Tabella A.3. Le dieci metodologie analitiche e la loro collocazione nello studio.</w:t>
      </w:r>
    </w:p>
    <w:bookmarkEnd w:id="2502"/>
    <w:bookmarkStart w:id="2506" w:name="X1e77dcc451a9ae0eae095a91f34ca2bd3148143"/>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Umbria, le due Aziende USL (Umbria 1 e Umbria 2), le due Aziende Ospedaliere universitarie, l’Ordine degli Psicologi dell’Umbria, le rappresentanze della medicina generale e della pediatria di libera scelta, l’Università degli Studi di Perugia e l’Università degli Studi di Perugia - sede di Terni.</w:t>
      </w:r>
      <w:r>
        <w:rPr>
          <w:rStyle w:val="FootnoteReference"/>
        </w:rPr>
        <w:footnoteReference w:id="2916"/>
      </w:r>
      <w:r>
        <w:t xml:space="preserve"> </w:t>
      </w:r>
      <w:r>
        <w:t xml:space="preserve">La caratteristica propria dell’Umbria è che la governance del servizio è già formalmente strutturata: l’Osservatorio tecnico regionale, istituito con DGR 477/2025 in attuazione dell’art. 176-octies della L.R. 22/2024, include già al proprio interno uno psicologo per ciascuna Azienda USL, uno per ciascuna Azienda Ospedaliera, un rappresentante MMG, uno PLS, due psicologi designati dall’Ordine, un funzionario regionale, un docente universitario di psicologia clinica e un rappresentante delle società scientifiche di psicologia accreditate.</w:t>
      </w:r>
      <w:r>
        <w:rPr>
          <w:rStyle w:val="FootnoteReference"/>
        </w:rPr>
        <w:footnoteReference w:id="2917"/>
      </w:r>
      <w:r>
        <w:t xml:space="preserve"> </w:t>
      </w:r>
      <w:r>
        <w:t xml:space="preserve">Questo è il tratto che distingue l’Umbria nella serie: non è necessario costruire la struttura di governance dall’esterno; essa è già prevista dalla legge e già costituita per delibera di giunta.</w:t>
      </w:r>
    </w:p>
    <w:p>
      <w:pPr>
        <w:pStyle w:val="BodyText"/>
      </w:pPr>
      <w:r>
        <w:t xml:space="preserve">Sul piano della protezione dei dati, il trattamento è conforme alla normativa vigente, ispirato ai principi di minimizzazione, limitazione della finalità e sicurezza, con il sistema informativo sanitario regionale quale infrastruttura per la raccolta uniforme dei dati di processo e di esito previsti dalla clausola valutativa della Legge n. 22/2024.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2918"/>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dell’Umbria.</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2506"/>
    <w:bookmarkEnd w:id="2507"/>
    <w:bookmarkStart w:id="2524" w:name="X6acb2da781e55e0cc51de0e3d40d064d7fd12b2"/>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dell’Umbria. La struttura è quella già adottata per le altre regioni della serie, e mutano soltanto i dati, ancorati al territorio.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dell’Umbria: non un servizio da istituire, ma un servizio già istituito per legge, in fase di prima attuazione e in attesa di messa a regime, in una regione fra le più anziane d’Italia, con un sistema sanitario ben organizzato ma sotto pressione per la crescente domanda di cronicità e per la rinuncia alle cure.</w:t>
      </w:r>
    </w:p>
    <w:bookmarkStart w:id="2510" w:name="b.1-quadro-demografico-9"/>
    <w:p>
      <w:pPr>
        <w:pStyle w:val="Heading3"/>
      </w:pPr>
      <w:r>
        <w:t xml:space="preserve">B.1 Quadro demografico</w:t>
      </w:r>
    </w:p>
    <w:p>
      <w:pPr>
        <w:pStyle w:val="FirstParagraph"/>
      </w:pPr>
      <w:r>
        <w:t xml:space="preserve">L’Umbria conta 854.137 residenti al 1° gennaio 2025, pari a circa l’1,4% della popolazione nazionale, in calo per effetto di un saldo naturale strutturalmente negativo e di una natalità fra le più basse d’Italia, solo parzialmente compensato da saldi migratori modestamente positivi.</w:t>
      </w:r>
      <w:r>
        <w:rPr>
          <w:rStyle w:val="FootnoteReference"/>
        </w:rPr>
        <w:footnoteReference w:id="2919"/>
      </w:r>
      <w:r>
        <w:t xml:space="preserve"> </w:t>
      </w:r>
      <w:r>
        <w:t xml:space="preserve">La struttura per età è fra le più anziane del Paese: con circa 232.730 over-65, pari al 27,3% della popolazione, e un indice di vecchiaia di 246,6%, l’Umbria si colloca al quinto posto fra le regioni più anziane d’Italia, con un trend in ulteriore crescita verso 247,4% secondo le proiezioni più recenti.</w:t>
      </w:r>
      <w:r>
        <w:rPr>
          <w:rStyle w:val="FootnoteReference"/>
        </w:rPr>
        <w:footnoteReference w:id="2920"/>
      </w:r>
      <w:r>
        <w:t xml:space="preserve"> </w:t>
      </w:r>
      <w:r>
        <w:t xml:space="preserve">L’invecchiamento è accentuato nelle aree appenniniche interne, dove la popolazione anziana raggiunge proporzioni ancora più elevate, e mitigato nelle zone urbane di Perugia e Terni, dove la componente giovane e studentesca introduce un elemento di parziale ringiovanimento demografico. La componente straniera, presente in misura significativa, contribuisce a contenere il saldo naturale negativo. La distribuzione territoriale è bipolare: da un lato la conurbazione del perugino e della media Valle del Tevere; dall’altro i piccoli comuni appenninici umbri, in progressivo spopolamento, con servizi rarefatti e un’accessibilità limitata. La tabella seguente ne riepiloga il profilo.</w:t>
      </w:r>
    </w:p>
    <w:tbl>
      <w:tblPr>
        <w:tblStyle w:val="Table"/>
        <w:tblW w:type="pct" w:w="490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51"/>
        <w:gridCol w:w="491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l’Umbria</w:t>
            </w:r>
          </w:p>
        </w:tc>
      </w:tr>
      <w:tr>
        <w:tc>
          <w:tcPr/>
          <w:p>
            <w:pPr>
              <w:pStyle w:val="Compact"/>
              <w:spacing w:after="40" w:before="40"/>
              <w:jc w:val="left"/>
            </w:pPr>
            <w:r>
              <w:rPr>
                <w:rFonts w:ascii="Cambria" w:hAnsi="Cambria" w:cs="Cambria" w:eastAsia="Cambria"/>
                <w:b/>
                <w:bCs/>
                <w:color w:val="1A1A1A"/>
                <w:sz w:val="18"/>
              </w:rPr>
              <w:t xml:space="preserve">Popolazione (1° gennaio 2025)</w:t>
            </w:r>
          </w:p>
        </w:tc>
        <w:tc>
          <w:tcPr/>
          <w:p>
            <w:pPr>
              <w:pStyle w:val="Compact"/>
              <w:spacing w:after="40" w:before="40"/>
              <w:jc w:val="left"/>
            </w:pPr>
            <w:r>
              <w:rPr>
                <w:rFonts w:ascii="Cambria" w:hAnsi="Cambria" w:cs="Cambria" w:eastAsia="Cambria"/>
                <w:color w:val="1A1A1A"/>
                <w:sz w:val="18"/>
              </w:rPr>
              <w:t xml:space="preserve">854.137 (~1,4% del totale nazionale); in calo demografico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Over-65</w:t>
            </w:r>
          </w:p>
        </w:tc>
        <w:tc>
          <w:tcPr>
            <w:shd w:val="clear" w:color="auto" w:fill="F4F1EC"/>
          </w:tcPr>
          <w:p>
            <w:pPr>
              <w:pStyle w:val="Compact"/>
              <w:spacing w:after="40" w:before="40"/>
              <w:jc w:val="left"/>
            </w:pPr>
            <w:r>
              <w:rPr>
                <w:rFonts w:ascii="Cambria" w:hAnsi="Cambria" w:cs="Cambria" w:eastAsia="Cambria"/>
                <w:color w:val="1A1A1A"/>
                <w:sz w:val="18"/>
              </w:rPr>
              <w:t xml:space="preserve">~232.730 (27,3%), 5ª regione più anziana d’Italia</w:t>
            </w:r>
          </w:p>
        </w:tc>
      </w:tr>
      <w:tr>
        <w:tc>
          <w:tcPr/>
          <w:p>
            <w:pPr>
              <w:pStyle w:val="Compact"/>
              <w:spacing w:after="40" w:before="40"/>
              <w:jc w:val="left"/>
            </w:pPr>
            <w:r>
              <w:rPr>
                <w:rFonts w:ascii="Cambria" w:hAnsi="Cambria" w:cs="Cambria" w:eastAsia="Cambria"/>
                <w:b/>
                <w:bCs/>
                <w:color w:val="1A1A1A"/>
                <w:sz w:val="18"/>
              </w:rPr>
              <w:t xml:space="preserve">Indice di vecchiaia</w:t>
            </w:r>
          </w:p>
        </w:tc>
        <w:tc>
          <w:tcPr/>
          <w:p>
            <w:pPr>
              <w:pStyle w:val="Compact"/>
              <w:spacing w:after="40" w:before="40"/>
              <w:jc w:val="left"/>
            </w:pPr>
            <w:r>
              <w:rPr>
                <w:rFonts w:ascii="Cambria" w:hAnsi="Cambria" w:cs="Cambria" w:eastAsia="Cambria"/>
                <w:color w:val="1A1A1A"/>
                <w:sz w:val="18"/>
              </w:rPr>
              <w:t xml:space="preserve">246,6% (gennaio 2025); in crescita verso 247,4%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Componente straniera</w:t>
            </w:r>
          </w:p>
        </w:tc>
        <w:tc>
          <w:tcPr>
            <w:shd w:val="clear" w:color="auto" w:fill="F4F1EC"/>
          </w:tcPr>
          <w:p>
            <w:pPr>
              <w:pStyle w:val="Compact"/>
              <w:spacing w:after="40" w:before="40"/>
              <w:jc w:val="left"/>
            </w:pPr>
            <w:r>
              <w:rPr>
                <w:rFonts w:ascii="Cambria" w:hAnsi="Cambria" w:cs="Cambria" w:eastAsia="Cambria"/>
                <w:color w:val="1A1A1A"/>
                <w:sz w:val="18"/>
              </w:rPr>
              <w:t xml:space="preserve">~10–11% dei residenti</w:t>
            </w:r>
          </w:p>
        </w:tc>
      </w:tr>
      <w:tr>
        <w:tc>
          <w:tcPr/>
          <w:p>
            <w:pPr>
              <w:pStyle w:val="Compact"/>
              <w:spacing w:after="40" w:before="40"/>
              <w:jc w:val="left"/>
            </w:pPr>
            <w:r>
              <w:rPr>
                <w:rFonts w:ascii="Cambria" w:hAnsi="Cambria" w:cs="Cambria" w:eastAsia="Cambria"/>
                <w:b/>
                <w:bCs/>
                <w:color w:val="1A1A1A"/>
                <w:sz w:val="18"/>
              </w:rPr>
              <w:t xml:space="preserve">Distribuzione territoriale</w:t>
            </w:r>
          </w:p>
        </w:tc>
        <w:tc>
          <w:tcPr/>
          <w:p>
            <w:pPr>
              <w:pStyle w:val="Compact"/>
              <w:spacing w:after="40" w:before="40"/>
              <w:jc w:val="left"/>
            </w:pPr>
            <w:r>
              <w:rPr>
                <w:rFonts w:ascii="Cambria" w:hAnsi="Cambria" w:cs="Cambria" w:eastAsia="Cambria"/>
                <w:color w:val="1A1A1A"/>
                <w:sz w:val="18"/>
              </w:rPr>
              <w:t xml:space="preserve">Bipolare: conurbazione perugino-ternana; aree appenniniche interne sparse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Profilo per età</w:t>
            </w:r>
          </w:p>
        </w:tc>
        <w:tc>
          <w:tcPr>
            <w:shd w:val="clear" w:color="auto" w:fill="F4F1EC"/>
          </w:tcPr>
          <w:p>
            <w:pPr>
              <w:pStyle w:val="Compact"/>
              <w:spacing w:after="40" w:before="40"/>
              <w:jc w:val="left"/>
            </w:pPr>
            <w:r>
              <w:rPr>
                <w:rFonts w:ascii="Cambria" w:hAnsi="Cambria" w:cs="Cambria" w:eastAsia="Cambria"/>
                <w:color w:val="1A1A1A"/>
                <w:sz w:val="18"/>
              </w:rPr>
              <w:t xml:space="preserve">Invecchiamento accentuato nelle aree interne; quota studentesca a Perugia</w:t>
            </w:r>
          </w:p>
        </w:tc>
      </w:tr>
      <w:tr>
        <w:tc>
          <w:tcPr/>
          <w:p>
            <w:pPr>
              <w:pStyle w:val="Compact"/>
              <w:spacing w:after="40" w:before="40"/>
              <w:jc w:val="left"/>
            </w:pPr>
            <w:r>
              <w:rPr>
                <w:rFonts w:ascii="Cambria" w:hAnsi="Cambria" w:cs="Cambria" w:eastAsia="Cambria"/>
                <w:b/>
                <w:bCs/>
                <w:color w:val="1A1A1A"/>
                <w:sz w:val="18"/>
              </w:rPr>
              <w:t xml:space="preserve">Articolazione sanitaria</w:t>
            </w:r>
          </w:p>
        </w:tc>
        <w:tc>
          <w:tcPr/>
          <w:p>
            <w:pPr>
              <w:pStyle w:val="Compact"/>
              <w:spacing w:after="40" w:before="40"/>
              <w:jc w:val="left"/>
            </w:pPr>
            <w:r>
              <w:rPr>
                <w:rFonts w:ascii="Cambria" w:hAnsi="Cambria" w:cs="Cambria" w:eastAsia="Cambria"/>
                <w:color w:val="1A1A1A"/>
                <w:sz w:val="18"/>
              </w:rPr>
              <w:t xml:space="preserve">Due Aziende USL (Umbria 1 e Umbria 2), due Aziende Ospedaliere universitarie (Perugia e Terni)</w:t>
            </w:r>
          </w:p>
        </w:tc>
      </w:tr>
    </w:tbl>
    <w:p>
      <w:pPr>
        <w:pStyle w:val="BodyText"/>
      </w:pPr>
      <w:r>
        <w:rPr>
          <w:i/>
          <w:iCs/>
        </w:rPr>
        <w:t xml:space="preserve">Tabella B.1. Profilo demografico e socio-economico dell’Umbria.</w:t>
      </w:r>
    </w:p>
    <w:bookmarkEnd w:id="2510"/>
    <w:bookmarkStart w:id="2513" w:name="b.2-epidemiologia-del-bisogno-10"/>
    <w:p>
      <w:pPr>
        <w:pStyle w:val="Heading3"/>
      </w:pPr>
      <w:r>
        <w:t xml:space="preserve">B.2 Epidemiologia del bisogno</w:t>
      </w:r>
    </w:p>
    <w:p>
      <w:pPr>
        <w:pStyle w:val="FirstParagraph"/>
      </w:pPr>
      <w:r>
        <w:t xml:space="preserve">Il bisogno di salute mentale nell’Umbria è ampio e sospinto da una struttura demografica fra le più anziane d’Italia. Proiettando i tassi di prevalenza nazionali della quota di disagio psichico comune o sottosoglia — che si colloca su valori dell’ordine del 15–20% della popolazione generale — la stima per l’Umbria indica un bacino potenziale dell’ordine di 170.000 persone con disagio psichico comune non intercettato, in larga parte non raggiunte da un servizio strutturato di primo livello.</w:t>
      </w:r>
      <w:r>
        <w:rPr>
          <w:rStyle w:val="FootnoteReference"/>
        </w:rPr>
        <w:footnoteReference w:id="2921"/>
      </w:r>
      <w:r>
        <w:t xml:space="preserve"> </w:t>
      </w:r>
      <w:r>
        <w:t xml:space="preserve">A questa quota si somma un’utenza specialistica in carico ai servizi di salute mentale distrettuali, stimabile, in proiezione dai dati nazionali, in diverse decine di migliaia di persone. Il bisogno presenta, nell’Umbria, quattro componenti di particolare rilievo. La prima e più caratterizzante è il bisogno dell’età anziana e della cronicità: in una regione in cui più di un quarto della popolazione ha superato i 65 anni, la domanda di supporto psicologico connessa all’adattamento alle malattie croniche, alla perdita dell’autonomia, all’elaborazione del lutto e alla condizione di caregiver è strutturalmente elevata e sistematicamente non intercettata. La seconda è il disagio connesso al lavoro e al deterioramento del tessuto socio-economico in un territorio caratterizzato da un’economia di piccola e media impresa in trasformazione. La terza è il disagio giovanile nelle aree universitarie di Perugia, accentuato dalla distanza dai contesti familiari e dalla pressione competitiva. La quarta è il disagio connesso allo spopolamento e all’isolamento delle comunità appenniniche interne, con conseguente domanda di supporto di prossimità non coperta dall’offerta specialistica.</w:t>
      </w:r>
      <w:r>
        <w:rPr>
          <w:rStyle w:val="FootnoteReference"/>
        </w:rPr>
        <w:footnoteReference w:id="2922"/>
      </w:r>
    </w:p>
    <w:bookmarkEnd w:id="2513"/>
    <w:bookmarkStart w:id="2516" w:name="Xbf026bfc4a5d8d321b8100d19a35f3a5097c1ac"/>
    <w:p>
      <w:pPr>
        <w:pStyle w:val="Heading3"/>
      </w:pPr>
      <w:r>
        <w:t xml:space="preserve">B.3 Domanda, offerta e gap di copertura</w:t>
      </w:r>
    </w:p>
    <w:p>
      <w:pPr>
        <w:pStyle w:val="FirstParagraph"/>
      </w:pPr>
      <w:r>
        <w:t xml:space="preserve">Il confronto tra il bisogno e l’offerta strutturata definisce il gap di copertura, che nell’Umbria si è significativamente ridotto sotto il profilo normativo con l’approvazione della Legge n. 22/2024, ma che resta ampio sotto il profilo operativo, in quanto il servizio è ancora in fase sperimentale e non dimensionato a regime. Sul versante dell’offerta, il quadro normativo è ormai definito: la Legge n. 22/2024 ha istituito il servizio, l’art. 176-quinquies ha previsto l’elenco regionale degli psicologi di cure primarie, l’art. 176-sexies ne ha disciplinato l’organizzazione a livello distrettuale, e la norma finanziaria ha stanziato 103.349 euro per ciascuno degli anni 2025 e 2026 a titolo sperimentale.</w:t>
      </w:r>
      <w:r>
        <w:rPr>
          <w:rStyle w:val="FootnoteReference"/>
        </w:rPr>
        <w:footnoteReference w:id="2923"/>
      </w:r>
      <w:r>
        <w:t xml:space="preserve"> </w:t>
      </w:r>
      <w:r>
        <w:t xml:space="preserve">Sul versante del fabbisogno, l’applicazione dei parametri organizzativi del modello indica una necessità a regime dell’ordine di 250 psicologi nello scenario espansivo, a fronte di una dotazione attuale che si colloca sui valori iniziali della sperimentazione, molto distanti dagli standard europei.</w:t>
      </w:r>
      <w:r>
        <w:rPr>
          <w:rStyle w:val="FootnoteReference"/>
        </w:rPr>
        <w:footnoteReference w:id="2924"/>
      </w:r>
      <w:r>
        <w:t xml:space="preserve"> </w:t>
      </w:r>
      <w:r>
        <w:t xml:space="preserve">Ne risulta un gap di copertura operativa rilevante, anche se il gap normativo è stato colmato dalla Legge n. 22/2024. La tabella seguente sintetizza il rapporto tra domanda, offerta e gap.</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201"/>
        <w:gridCol w:w="460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l’Umbria</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170.000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in carico ai servizi di 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Alcune decine di migliaia (stima rapportata ai dati nazionali)</w:t>
            </w:r>
          </w:p>
        </w:tc>
      </w:tr>
      <w:tr>
        <w:tc>
          <w:tcPr/>
          <w:p>
            <w:pPr>
              <w:pStyle w:val="Compact"/>
              <w:spacing w:after="40" w:before="40"/>
              <w:jc w:val="left"/>
            </w:pPr>
            <w:r>
              <w:rPr>
                <w:rFonts w:ascii="Cambria" w:hAnsi="Cambria" w:cs="Cambria" w:eastAsia="Cambria"/>
                <w:b/>
                <w:bCs/>
                <w:color w:val="1A1A1A"/>
                <w:sz w:val="18"/>
              </w:rPr>
              <w:t xml:space="preserve">Accessi al pronto soccorso per cause psichiatriche</w:t>
            </w:r>
          </w:p>
        </w:tc>
        <w:tc>
          <w:tcPr/>
          <w:p>
            <w:pPr>
              <w:pStyle w:val="Compact"/>
              <w:spacing w:after="40" w:before="40"/>
              <w:jc w:val="left"/>
            </w:pPr>
            <w:r>
              <w:rPr>
                <w:rFonts w:ascii="Cambria" w:hAnsi="Cambria" w:cs="Cambria" w:eastAsia="Cambria"/>
                <w:color w:val="1A1A1A"/>
                <w:sz w:val="18"/>
              </w:rPr>
              <w:t xml:space="preserve">Alcune migliaia l’anno (stima per proiezione)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Offerta territoriale attuale</w:t>
            </w:r>
          </w:p>
        </w:tc>
        <w:tc>
          <w:tcPr>
            <w:shd w:val="clear" w:color="auto" w:fill="F4F1EC"/>
          </w:tcPr>
          <w:p>
            <w:pPr>
              <w:pStyle w:val="Compact"/>
              <w:spacing w:after="40" w:before="40"/>
              <w:jc w:val="left"/>
            </w:pPr>
            <w:r>
              <w:rPr>
                <w:rFonts w:ascii="Cambria" w:hAnsi="Cambria" w:cs="Cambria" w:eastAsia="Cambria"/>
                <w:color w:val="1A1A1A"/>
                <w:sz w:val="18"/>
              </w:rPr>
              <w:t xml:space="preserve">Fase sperimentale L.R. 22/2024 (finanziamento 103.349 €/anno 2025–2026); Osservatorio tecnico DGR 477/2025 istituito</w:t>
            </w:r>
          </w:p>
        </w:tc>
      </w:tr>
      <w:tr>
        <w:tc>
          <w:tcPr/>
          <w:p>
            <w:pPr>
              <w:pStyle w:val="Compact"/>
              <w:spacing w:after="40" w:before="40"/>
              <w:jc w:val="left"/>
            </w:pPr>
            <w:r>
              <w:rPr>
                <w:rFonts w:ascii="Cambria" w:hAnsi="Cambria" w:cs="Cambria" w:eastAsia="Cambria"/>
                <w:b/>
                <w:bCs/>
                <w:color w:val="1A1A1A"/>
                <w:sz w:val="18"/>
              </w:rPr>
              <w:t xml:space="preserve">Fabbisogno stimato a regime</w:t>
            </w:r>
            <w:r>
              <w:rPr>
                <w:rFonts w:ascii="Cambria" w:hAnsi="Cambria" w:cs="Cambria" w:eastAsia="Cambria"/>
                <w:color w:val="1A1A1A"/>
                <w:sz w:val="18"/>
              </w:rPr>
              <w:br/>
            </w:r>
          </w:p>
        </w:tc>
        <w:tc>
          <w:tcPr/>
          <w:p>
            <w:pPr>
              <w:pStyle w:val="Compact"/>
              <w:spacing w:after="40" w:before="40"/>
              <w:jc w:val="left"/>
            </w:pPr>
            <w:r>
              <w:rPr>
                <w:rFonts w:ascii="Cambria" w:hAnsi="Cambria" w:cs="Cambria" w:eastAsia="Cambria"/>
                <w:color w:val="1A1A1A"/>
                <w:sz w:val="18"/>
              </w:rPr>
              <w:t xml:space="preserve">~ 250 psicologi nello scenario espansivo (170–210 negli altri scenari)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Copertura attuale del fabbisogno</w:t>
            </w:r>
          </w:p>
        </w:tc>
        <w:tc>
          <w:tcPr>
            <w:shd w:val="clear" w:color="auto" w:fill="F4F1EC"/>
          </w:tcPr>
          <w:p>
            <w:pPr>
              <w:pStyle w:val="Compact"/>
              <w:spacing w:after="40" w:before="40"/>
              <w:jc w:val="left"/>
            </w:pPr>
            <w:r>
              <w:rPr>
                <w:rFonts w:ascii="Cambria" w:hAnsi="Cambria" w:cs="Cambria" w:eastAsia="Cambria"/>
                <w:color w:val="1A1A1A"/>
                <w:sz w:val="18"/>
              </w:rPr>
              <w:t xml:space="preserve">Fase sperimentale iniziale; servizio non ancora strutturato a regime</w:t>
            </w:r>
          </w:p>
        </w:tc>
      </w:tr>
    </w:tbl>
    <w:p>
      <w:pPr>
        <w:pStyle w:val="BodyText"/>
      </w:pPr>
      <w:r>
        <w:rPr>
          <w:i/>
          <w:iCs/>
        </w:rPr>
        <w:t xml:space="preserve">Tabella B.2. Domanda, offerta e gap di copertura.</w:t>
      </w:r>
    </w:p>
    <w:bookmarkEnd w:id="2516"/>
    <w:bookmarkStart w:id="4472" w:name="Xd55329ced281219f181ed9b4f72b5132e5167ed"/>
    <w:p>
      <w:pPr>
        <w:pStyle w:val="Heading3"/>
      </w:pPr>
      <w:r>
        <w:t xml:space="preserve">B.4 Disuguaglianze e divari territoriali</w:t>
      </w:r>
    </w:p>
    <w:p>
      <w:pPr>
        <w:pStyle w:val="FirstParagraph"/>
      </w:pPr>
      <w:r>
        <w:t xml:space="preserve">La dimensione distributiva del bisogno, che la Parte G riprende e analizza con gli strumenti propri, va anticipata qui perché concorre a definire il problema. Il divario rilevante nell’Umbria si gioca su due assi. Il primo, territoriale, separa le aree urbane di Perugia e Terni — dotate di servizi sanitari concentrati e di due Aziende Ospedaliere universitarie — dalle comunità appenniniche interne dei comprensori di Foligno, Spoleto, Norcia e dell’Orvietano, dove la distanza dai servizi, la rarefazione dell’offerta e la maggiore anzianità della popolazione rendono l’accesso al supporto psicologico più difficoltoso e la domanda non intercettata più ampia.</w:t>
      </w:r>
      <w:r>
        <w:rPr>
          <w:rStyle w:val="FootnoteReference"/>
        </w:rPr>
        <w:footnoteReference w:id="2925"/>
      </w:r>
      <w:r>
        <w:t xml:space="preserve"> </w:t>
      </w:r>
      <w:r>
        <w:t xml:space="preserve">Il secondo asse è generazionale: la concentrazione del bisogno anziano nelle aree interne si contrappone alla domanda giovanile nelle aree universitarie, richiedendo modalità di risposta differenziate. Su questi divari il modello pieno agisce in funzione di equità: avvicina l’offerta alle aree interne attraverso la prossimità distrettuale e la telepsicologia assistita, e libera capacità specialistica nei distretti meglio dotati assorbendo a monte la domanda appropriabile.</w:t>
      </w:r>
    </w:p>
    <w:bookmarkEnd w:id="4472"/>
    <w:bookmarkStart w:id="2520" w:name="b.5-i-servizi-e-i-flussi-10"/>
    <w:p>
      <w:pPr>
        <w:pStyle w:val="Heading3"/>
      </w:pPr>
      <w:r>
        <w:t xml:space="preserve">B.5 I servizi e i flussi</w:t>
      </w:r>
    </w:p>
    <w:p>
      <w:pPr>
        <w:pStyle w:val="FirstParagraph"/>
      </w:pPr>
      <w:r>
        <w:t xml:space="preserve">Il contesto di servizio in cui il servizio di psicologia di cure primarie si inserisce è quello di un sistema sanitario regionale di medie dimensioni, con un Fondo sanitario regionale dell’ordine di 1,9–2,0 miliardi di euro, articolato in due Aziende USL e due Aziende Ospedaliere universitarie, con un livello di spesa pro-capite di 2.232 euro superiore alla media nazionale.</w:t>
      </w:r>
      <w:r>
        <w:rPr>
          <w:rStyle w:val="FootnoteReference"/>
        </w:rPr>
        <w:footnoteReference w:id="2926"/>
      </w:r>
      <w:r>
        <w:t xml:space="preserve"> </w:t>
      </w:r>
      <w:r>
        <w:t xml:space="preserve">Il saldo della mobilità sanitaria dell’Umbria è storicamente passivo, collocandola nella categoria delle regioni che perdono pazienti verso i centri di eccellenza del Nord Italia, con un deflusso che incide sull’equilibrio del bilancio sanitario. Questo profilo rende rilevante il canale del recupero della mobilità passiva nella composizione del caso finanziario: una quota dei pazienti umbri che si spostano per cure specialistiche potrebbe essere trattenuta nella regione se l’offerta di primo livello fosse più capillare e la rete dei servizi territoriali più completa. La rete delle Case della Comunità, in costruzione nell’ambito del Piano nazionale di ripresa e resilienza, è l’infrastruttura su cui il servizio di psicologia di cure primarie va pienamente innestato ai sensi della Legge n. 22/2024. La tabella seguente riepiloga le grandezze di sistema rilevanti.</w:t>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94"/>
        <w:gridCol w:w="491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l’Umbria</w:t>
            </w:r>
          </w:p>
        </w:tc>
      </w:tr>
      <w:tr>
        <w:tc>
          <w:tcPr/>
          <w:p>
            <w:pPr>
              <w:pStyle w:val="Compact"/>
              <w:spacing w:after="40" w:before="40"/>
              <w:jc w:val="left"/>
            </w:pPr>
            <w:r>
              <w:rPr>
                <w:rFonts w:ascii="Cambria" w:hAnsi="Cambria" w:cs="Cambria" w:eastAsia="Cambria"/>
                <w:b/>
                <w:bCs/>
                <w:color w:val="1A1A1A"/>
                <w:sz w:val="18"/>
              </w:rPr>
              <w:t xml:space="preserve">Fondo sanitario regionale</w:t>
            </w:r>
          </w:p>
        </w:tc>
        <w:tc>
          <w:tcPr/>
          <w:p>
            <w:pPr>
              <w:pStyle w:val="Compact"/>
              <w:spacing w:after="40" w:before="40"/>
              <w:jc w:val="left"/>
            </w:pPr>
            <w:r>
              <w:rPr>
                <w:rFonts w:ascii="Cambria" w:hAnsi="Cambria" w:cs="Cambria" w:eastAsia="Cambria"/>
                <w:color w:val="1A1A1A"/>
                <w:sz w:val="18"/>
              </w:rPr>
              <w:t xml:space="preserve">~ 1,9–2,0 miliardi di euro; spesa pro-capite 2.232 € (2024), superiore alla media nazionale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Saldo passivo (regione deflusso verso centri eccellenza Nord Italia); canale di recupero rilevante</w:t>
            </w:r>
          </w:p>
        </w:tc>
      </w:tr>
      <w:tr>
        <w:tc>
          <w:tcPr/>
          <w:p>
            <w:pPr>
              <w:pStyle w:val="Compact"/>
              <w:spacing w:after="40" w:before="40"/>
              <w:jc w:val="left"/>
            </w:pPr>
            <w:r>
              <w:rPr>
                <w:rFonts w:ascii="Cambria" w:hAnsi="Cambria" w:cs="Cambria" w:eastAsia="Cambria"/>
                <w:b/>
                <w:bCs/>
                <w:color w:val="1A1A1A"/>
                <w:sz w:val="18"/>
              </w:rPr>
              <w:t xml:space="preserve">Architettura dei servizi</w:t>
            </w:r>
          </w:p>
        </w:tc>
        <w:tc>
          <w:tcPr/>
          <w:p>
            <w:pPr>
              <w:pStyle w:val="Compact"/>
              <w:spacing w:after="40" w:before="40"/>
              <w:jc w:val="left"/>
            </w:pPr>
            <w:r>
              <w:rPr>
                <w:rFonts w:ascii="Cambria" w:hAnsi="Cambria" w:cs="Cambria" w:eastAsia="Cambria"/>
                <w:color w:val="1A1A1A"/>
                <w:sz w:val="18"/>
              </w:rPr>
              <w:t xml:space="preserve">Due Aziende USL (Umbria 1 e Umbria 2), due Aziende Ospedaliere universitarie; Case della Comunità in costruzione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Profilo di rischio principale</w:t>
            </w:r>
          </w:p>
        </w:tc>
        <w:tc>
          <w:tcPr>
            <w:shd w:val="clear" w:color="auto" w:fill="F4F1EC"/>
          </w:tcPr>
          <w:p>
            <w:pPr>
              <w:pStyle w:val="Compact"/>
              <w:spacing w:after="40" w:before="40"/>
              <w:jc w:val="left"/>
            </w:pPr>
            <w:r>
              <w:rPr>
                <w:rFonts w:ascii="Cambria" w:hAnsi="Cambria" w:cs="Cambria" w:eastAsia="Cambria"/>
                <w:color w:val="1A1A1A"/>
                <w:sz w:val="18"/>
              </w:rPr>
              <w:t xml:space="preserve">Invecchiamento avanzato; crescente rinuncia alle cure; domanda di prossimità non coperta nelle aree interne</w:t>
            </w:r>
          </w:p>
        </w:tc>
      </w:tr>
    </w:tbl>
    <w:p>
      <w:pPr>
        <w:pStyle w:val="BodyText"/>
      </w:pPr>
      <w:r>
        <w:rPr>
          <w:i/>
          <w:iCs/>
        </w:rPr>
        <w:t xml:space="preserve">Tabella B.3. I servizi e i flussi del Servizio sanitario regionale rilevanti per l’intervento.</w:t>
      </w:r>
    </w:p>
    <w:bookmarkEnd w:id="2520"/>
    <w:bookmarkStart w:id="4473" w:name="X777848c7e9746939cf640bb7bae150b5fae09b0"/>
    <w:p>
      <w:pPr>
        <w:pStyle w:val="Heading3"/>
      </w:pPr>
      <w:r>
        <w:t xml:space="preserve">B.6 La cornice normativa e programmatica</w:t>
      </w:r>
    </w:p>
    <w:p>
      <w:pPr>
        <w:pStyle w:val="FirstParagraph"/>
      </w:pPr>
      <w:r>
        <w:t xml:space="preserve">La cornice normativa e programmatica entro cui la decisione si colloca è, nell’Umbria, già definita e organica. Sul piano regionale, la Legge regionale 28 ottobre 2024, n. 22, ha introdotto il «servizio di psicologia di cure primarie» nel Testo unico regionale in materia di sanità e servizi sociali (L.R. 9 aprile 2015, n. 11), definendone finalità, compiti, organizzazione, sistema di verifica e risorse.</w:t>
      </w:r>
      <w:r>
        <w:rPr>
          <w:rStyle w:val="FootnoteReference"/>
        </w:rPr>
        <w:footnoteReference w:id="2927"/>
      </w:r>
      <w:r>
        <w:t xml:space="preserve"> </w:t>
      </w:r>
      <w:r>
        <w:t xml:space="preserve">La Giunta regionale ha poi dato attuazione con DGR 477/2025, che disciplina l’Osservatorio tecnico regionale per la psicologia di cure primarie, già costituito con funzioni di programmazione, monitoraggio e controllo della qualità.</w:t>
      </w:r>
      <w:r>
        <w:rPr>
          <w:rStyle w:val="FootnoteReference"/>
        </w:rPr>
        <w:footnoteReference w:id="2928"/>
      </w:r>
      <w:r>
        <w:t xml:space="preserve"> </w:t>
      </w:r>
      <w:r>
        <w:t xml:space="preserve">Il corso abilitante regionale previsto dall’art. 176-quinquies, da completare entro centottanta giorni dall’entrata in vigore, e le modalità di compartecipazione alla spesa e di gestione degli incarichi convenzionali previste dall’art. 176-sexies, rappresentano i passi attuativi immediatamente successivi. Sul piano nazionale, il Decreto Ministeriale 77 del 2022 ha fissato gli standard dell’assistenza territoriale e il Piano nazionale di ripresa e resilienza finanzia le Case della Comunità; la Legge n. 22/2024 dell’Umbria si inserisce in questo quadro come anticipazione regionale di una normativa nazionale ancora in corso di definizione. La decisione rilevante è dunque quella di portare a regime il servizio, non di istituirlo: è il presupposto da cui muovono i domini successivi.</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4473"/>
    <w:bookmarkEnd w:id="2524"/>
    <w:bookmarkStart w:id="2537" w:name="parte-c-lintervento-e-il-suo-modello-8"/>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e il terzo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dell’Umbria emerge con nettezza: l’intervento non è da istituire, ma da portare a regime a partire da una cornice normativa già definita e da un Osservatorio tecnico già costituito; il modello organizzativo è già tratteggiato dalla Legge n. 22/2024 (Distretti sanitari, raccordo con MMG e PLS, Case della Comunità, elenco regionale degli psicologi), e la sfida è operativa — dimensionare, attivare e rendere omogeneo il servizio su tutto il territorio regionale.</w:t>
      </w:r>
    </w:p>
    <w:bookmarkStart w:id="2526" w:name="X61f022005dadba683db5bba70c91f9b926574c4"/>
    <w:p>
      <w:pPr>
        <w:pStyle w:val="Heading3"/>
      </w:pPr>
      <w:r>
        <w:t xml:space="preserve">C.1 Definizione e teoria del cambiamento</w:t>
      </w:r>
    </w:p>
    <w:p>
      <w:pPr>
        <w:pStyle w:val="FirstParagraph"/>
      </w:pPr>
      <w:r>
        <w:t xml:space="preserve">Lo psicologo di cure primarie è il primo livello di ascolto psicologico nelle cure primarie: intercetta precocemente il disagio, offre interventi brevi e svolge una funzione di filtro verso i servizi specialistici, che precede e alleggerisce senza sostituire; nell’Umbria tale funzione è già prevista dalla Legge n. 22/2024 e si tratta di strutturarla in un modello pieno a regime. Il modo in cui questa funzione produce valore è descritto da una teoria del cambiamento esplicita, che collega il bisogno agli esiti attraverso un meccanismo identificato.</w:t>
      </w:r>
      <w:r>
        <w:rPr>
          <w:rStyle w:val="FootnoteReference"/>
        </w:rPr>
        <w:footnoteReference w:id="2929"/>
      </w:r>
      <w:r>
        <w:t xml:space="preserve"> </w:t>
      </w:r>
      <w:r>
        <w:t xml:space="preserve">Il punto di partenza è un bisogno ampio e in larga parte non intercettato, dell’ordine di 170.000 persone con disagio comune. La tabella seguente ne espone la catena.</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28"/>
        <w:gridCol w:w="609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l’Umbria</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170.000 persone con disagio comune, in larga parte non intercettato; accentuato dall’invecchiamento e dalla cronicità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Psicologo di cure primarie già previsto dalla L.R. 22/2024: intercettazione precoce, intervento breve, filtro, nei Distretti sanitari e nelle Case della Comunità</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 supporto all’adattamento alla cronicità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riduzione delle liste di attesa specialistiche</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funzionamento e produttività; minor carico sulle famiglie caregiver</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 in rete con MMG e PLS</w:t>
            </w:r>
          </w:p>
        </w:tc>
      </w:tr>
    </w:tbl>
    <w:p>
      <w:pPr>
        <w:pStyle w:val="BodyText"/>
      </w:pPr>
      <w:r>
        <w:rPr>
          <w:i/>
          <w:iCs/>
        </w:rPr>
        <w:t xml:space="preserve">Tabella C.1. La teoria del cambiamento dell’intervento, dal bisogno agli esiti.</w:t>
      </w:r>
    </w:p>
    <w:bookmarkEnd w:id="2526"/>
    <w:bookmarkStart w:id="2528" w:name="c.2-il-modello-organizzativo-10"/>
    <w:p>
      <w:pPr>
        <w:pStyle w:val="Heading3"/>
      </w:pPr>
      <w:r>
        <w:t xml:space="preserve">C.2 Il modello organizzativo</w:t>
      </w:r>
    </w:p>
    <w:p>
      <w:pPr>
        <w:pStyle w:val="FirstParagraph"/>
      </w:pPr>
      <w:r>
        <w:t xml:space="preserve">Il modello organizzativo è già tratteggiato dalla Legge n. 22/2024, che colloca il servizio a livello di Distretto sanitario e sue articolazioni, in rete con i medici di medicina generale e i pediatri di libera scelta, con le Case della Comunità e con i servizi specialistici di secondo livello.</w:t>
      </w:r>
      <w:r>
        <w:rPr>
          <w:rStyle w:val="FootnoteReference"/>
        </w:rPr>
        <w:footnoteReference w:id="2930"/>
      </w:r>
      <w:r>
        <w:t xml:space="preserve"> </w:t>
      </w:r>
      <w:r>
        <w:t xml:space="preserve">Il referente clinico aziendale, previsto dall’art. 176-sexies, svolge funzioni di coordinamento e programmazione, interfacciandosi con la Regione e con l’Osservatorio tecnico. L’accesso avviene per via diretta o su invio del MMG, del PLS o di altri specialisti, secondo l’art. 176-quater. Il funzionamento segue il principio dell’intensità crescente: l’intervento parte dal livello meno intensivo appropriato e cresce solo se necessario, con criteri espliciti di passaggio di livello e di invio ai servizi specialistici di secondo livello; gli interventi sono integrativi e complementari a quelli previsti da altre norme regionali. Le aree di intervento elencate dalla Legge n. 22/2024 — problemi di adattamento, sintomatologia ansioso-depressiva, difficoltà nelle fasi del ciclo di vita, disagi emotivi transitori, sostegno alle diagnosi infauste e alla cronicità, aderenza alla cura, domanda impropria di prestazioni, problematiche psicosomatiche — configurano un profilo clinico di primo livello ampio e coerente con la domanda umbra, in particolare con il bisogno dell’anzianità e della cronicità.</w:t>
      </w:r>
    </w:p>
    <w:bookmarkEnd w:id="2528"/>
    <w:bookmarkStart w:id="4474" w:name="X3c20a752df33b2d89178f22614c414e6a25c91b"/>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che comprende una dimensione diagnostica e un programma di supporto psicologico, un ciclo di colloqui brevi con programma personalizzato e, nei casi che lo richiedono, l’invio appropriato ai servizi specialistici secondo criteri definiti, avvalendosi, ove necessario, delle strutture di secondo livello.</w:t>
      </w:r>
      <w:r>
        <w:rPr>
          <w:rStyle w:val="FootnoteReference"/>
        </w:rPr>
        <w:footnoteReference w:id="2931"/>
      </w:r>
      <w:r>
        <w:t xml:space="preserve"> </w:t>
      </w:r>
      <w:r>
        <w:t xml:space="preserve">Il percorso affronta i quadri più frequenti elencati dalla Legge n. 22/2024 e descritti nel capitolo precedente. Gli esiti sono misurati con strumenti validati e di uso internazionale, impiegati nei soli punteggi complessivi: il questionario a nove voci sui sintomi depressivi (PHQ-9) e la scala a sette voci per il disturbo d’ansia generalizzata (GAD-7). Particolare cura è dedicata alla sicurezza: le situazioni di rischio sono individuate precocemente e indirizzate senza indugio ai servizi specialistici e di emergenza secondo protocolli definiti. Gli esiti del percorso si articolano in quattro categorie, riepilogate nella tabella seguente.</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43"/>
        <w:gridCol w:w="56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4474"/>
    <w:bookmarkStart w:id="2532" w:name="X92964d658d2e60e5b0c631f2e6530b41f23b799"/>
    <w:p>
      <w:pPr>
        <w:pStyle w:val="Heading3"/>
      </w:pPr>
      <w:r>
        <w:t xml:space="preserve">C.4 Il sistema informativo e l’interoperabilità</w:t>
      </w:r>
    </w:p>
    <w:p>
      <w:pPr>
        <w:pStyle w:val="FirstParagraph"/>
      </w:pPr>
      <w:r>
        <w:t xml:space="preserve">La registrazione strutturata dell’attività e degli esiti, integrata con il sistema informativo sanitario regionale e con il fascicolo sanitario elettronico, è condizione del monitoraggio continuo e della valutazione, ed è espressamente prevista dalla clausola valutativa della Legge n. 22/2024, che richiede che la Giunta trasmetta annualmente all’Assemblea legislativa una relazione con dati su attivazione del servizio, psicologi iscritti, corsi di formazione, richieste di assistenza, tempi di presa in carico, tipologie di prestazioni e utilizzo delle risorse.</w:t>
      </w:r>
      <w:r>
        <w:rPr>
          <w:rStyle w:val="FootnoteReference"/>
        </w:rPr>
        <w:footnoteReference w:id="2932"/>
      </w:r>
      <w:r>
        <w:t xml:space="preserve"> </w:t>
      </w:r>
      <w:r>
        <w:t xml:space="preserve">Il coordinamento informativo deve raccordare i sistemi delle due Aziende USL e garantire l’interoperabilità e l’uniformità della rilevazione; l’Osservatorio tecnico regionale è lo strumento istituzionale per presidiare tale uniformità. Poiché il servizio è già avviato in via sperimentale, l’Umbria può impostare il flusso informativo fin dalla fase iniziale, valorizzando i dati già disponibili dalla sperimentazione in corso e generando una base di dati di esito propri man mano che il servizio si consolida a regime. Questa base costituirà il fondamento per la validazione locale delle stime economiche qui sviluppate a partire dai conti nazionali.</w:t>
      </w:r>
    </w:p>
    <w:bookmarkEnd w:id="2532"/>
    <w:bookmarkStart w:id="2534" w:name="X5fc2b668aa8418db74412c45cc0b755e2f1f777"/>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nell’Umbria, lo strumento per garantire l’accesso nelle comunità appenniniche interne e nelle aree montane a popolazione dispersa, dove la distanza dai Distretti sanitari rende l’accesso in presenza oneroso, in funzione complementare e non sostitutiva della presa in carico.</w:t>
      </w:r>
      <w:r>
        <w:rPr>
          <w:rStyle w:val="FootnoteReference"/>
        </w:rPr>
        <w:footnoteReference w:id="2933"/>
      </w:r>
      <w:r>
        <w:t xml:space="preserve"> </w:t>
      </w:r>
      <w:r>
        <w:t xml:space="preserve">I dispositivi terapeutici digitali, infine, sono interventi validati e prescritti, conformi alla disciplina sui dispositivi medici. La tabella seguente ne riepiloga funzioni e condizioni d’impiego.</w:t>
      </w:r>
    </w:p>
    <w:tbl>
      <w:tblPr>
        <w:tblStyle w:val="Table"/>
        <w:tblW w:type="pct" w:w="494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08"/>
        <w:gridCol w:w="4170"/>
        <w:gridCol w:w="154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 e telemonitoraggio</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aree appenniniche interne e nelle comunità disperse</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bookmarkEnd w:id="2534"/>
    <w:bookmarkStart w:id="4475" w:name="c.6-la-formazione-e-le-competenze-10"/>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l’Università degli Studi di Perugia, che costituisce l’ateneo di riferimento per le scienze psicologiche nel territorio regionale. Il livello post-universitario specialistico comprende il corso regionale abilitante specificamente previsto dall’art. 176-quinquies della Legge n. 22/2024, da erogare in forma regolamentata dalla Giunta regionale e di cui la Regione deve completare la disciplina entro centottanta giorni dall’entrata in vigore della norma; tale corso è la condizione per l’iscrizione all’elenco regionale degli psicologi di cure primarie e per il reclutamento a regime, con modalità transitorie previste per la fase di prima applicazione per coloro che documentino un’attività almeno annuale nelle strutture del Servizio sanitario regionale.</w:t>
      </w:r>
      <w:r>
        <w:rPr>
          <w:rStyle w:val="FootnoteReference"/>
        </w:rPr>
        <w:footnoteReference w:id="2934"/>
      </w:r>
      <w:r>
        <w:t xml:space="preserve"> </w:t>
      </w:r>
      <w:r>
        <w:t xml:space="preserve">Il livello continuo comprende l’aggiornamento in servizio, l’audit clinico e l’educazione continua in medicina. Il livello dell’affiancamento operativo comprende il tutoraggio sul campo e l’inserimento graduale con supervisione, coordinato dal referente clinico aziendale. A questi quattro livelli si aggiunge una componente trasversale sull’intelligenza artificiale.</w:t>
      </w:r>
    </w:p>
    <w:tbl>
      <w:tblPr>
        <w:tblStyle w:val="Table"/>
        <w:tblW w:type="pct" w:w="495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91"/>
        <w:gridCol w:w="4652"/>
        <w:gridCol w:w="170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Università degli Studi di Perugia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Corso regionale abilitante (art. 176-quinquies L.R. 22/2024): modelli organizzativi, collaborazione con MMG/PLS, misure di esito</w:t>
            </w:r>
          </w:p>
        </w:tc>
        <w:tc>
          <w:tcPr>
            <w:shd w:val="clear" w:color="auto" w:fill="F4F1EC"/>
          </w:tcPr>
          <w:p>
            <w:pPr>
              <w:pStyle w:val="Compact"/>
              <w:spacing w:after="40" w:before="40"/>
              <w:jc w:val="left"/>
            </w:pPr>
            <w:r>
              <w:rPr>
                <w:rFonts w:ascii="Cambria" w:hAnsi="Cambria" w:cs="Cambria" w:eastAsia="Cambria"/>
                <w:color w:val="1A1A1A"/>
                <w:sz w:val="18"/>
              </w:rPr>
              <w:t xml:space="preserve">Elenco regionale; modalità transitorie di prima applicazione</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Referente clinico aziendale;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sull’intelligenza artificiale.</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4475"/>
    <w:bookmarkEnd w:id="2537"/>
    <w:bookmarkStart w:id="2548" w:name="parte-d-efficacia-clinica-ed-evidenza-5"/>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l’Umbria presenta un tratto proprio, connesso alla fase di prima attuazione della Legge n. 22/2024. La parte espone il metodo della revisione e i risultati di efficacia (capitolo D.1); ne gradua la qualità e ne dichiara una cautela economica essenziale (D.2); presenta i benchmark internazionali (D.3); e discute le esperienze italiane, la trasferibilità e l’evidenza locale (D.4).</w:t>
      </w:r>
    </w:p>
    <w:bookmarkStart w:id="4476" w:name="X109312c39e4de5a24c589e836d15a60c4832911"/>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del quale lo studio fondativo — il trial IMPACT di Unützer et al., pubblicato nel 2002 e completato nel 2008 — ha documentato che circa la metà dei pazienti trattati conseguiva una riduzione sostanziale dei sintomi a dodici mesi, contro meno di un quinto nella cura usuale.</w:t>
      </w:r>
      <w:r>
        <w:rPr>
          <w:rStyle w:val="FootnoteReference"/>
        </w:rPr>
        <w:footnoteReference w:id="2935"/>
      </w:r>
      <w:r>
        <w:t xml:space="preserve"> </w:t>
      </w:r>
      <w:r>
        <w:t xml:space="preserve">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w:t>
      </w:r>
      <w:r>
        <w:rPr>
          <w:rStyle w:val="FootnoteReference"/>
        </w:rPr>
        <w:footnoteReference w:id="2936"/>
      </w:r>
      <w:r>
        <w:t xml:space="preserve"> </w:t>
      </w:r>
      <w:r>
        <w:t xml:space="preserve">Sul versante dei dati reali, il programma inglese NHS Talking Therapies registra, su scala di oltre un milione di persone l’anno, un tasso di recupero del 50,2% e un miglioramento affidabile di oltre due terzi, con completezza dei dati di esito superiore al 98%.</w:t>
      </w:r>
      <w:r>
        <w:rPr>
          <w:rStyle w:val="FootnoteReference"/>
        </w:rPr>
        <w:footnoteReference w:id="2937"/>
      </w:r>
      <w:r>
        <w:t xml:space="preserve"> </w:t>
      </w:r>
      <w:r>
        <w:t xml:space="preserve">Anche le sintesi più caute confermano un effetto di entità modesta sul singolo ma clinicamente rilevante sull’intera popolazione.</w:t>
      </w:r>
    </w:p>
    <w:bookmarkEnd w:id="4476"/>
    <w:bookmarkStart w:id="2543" w:name="X61d56e54b5116fb91f68b4356166b83e89ad7ed"/>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IMPACT i risparmi sui costi sanitari diretti non risultano statisticamente significativi, poiché l’intervallo di confidenza al 95% comprende lo zero.</w:t>
      </w:r>
      <w:r>
        <w:rPr>
          <w:rStyle w:val="FootnoteReference"/>
        </w:rPr>
        <w:footnoteReference w:id="2938"/>
      </w:r>
      <w:r>
        <w:t xml:space="preserve"> </w:t>
      </w:r>
      <w:r>
        <w:t xml:space="preserve">Ciò significa che il valore economico del modello non può essere fondato sui risparmi sanitari diretti, ma poggia in misura preponderante sui ritorni sociali. È una cautela che non indebolisce il caso dell’Umbria: al contrario, la Legge n. 22/2024 ha già risolto la questione dell’opportunità dell’investimento, e il presente studio si limita a quantificarne le dimensioni economiche nell’unico modo onesto, riconoscendo che il valore risiede nei ritorni sociali e non in un risparmio diretto che non si può rivendicare con certezza statistica.</w:t>
      </w:r>
    </w:p>
    <w:bookmarkEnd w:id="2543"/>
    <w:bookmarkStart w:id="2545" w:name="d.3-i-benchmark-internazionali-9"/>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NHS Talking Therapies è il riferimento principale per l’organizzazione: servizio integrato a intensità crescente, con tasso di recupero dell’ordine del 50% e monitoraggio degli esiti pressoché completo, su scala di oltre un milione di persone l’anno.</w:t>
      </w:r>
      <w:r>
        <w:rPr>
          <w:rStyle w:val="FootnoteReference"/>
        </w:rPr>
        <w:footnoteReference w:id="2939"/>
      </w:r>
      <w:r>
        <w:t xml:space="preserve"> </w:t>
      </w:r>
      <w:r>
        <w:t xml:space="preserve">Il modello olandese POH-GGZ integra una figura di supporto psicologico nello studio del medico di base, adottata dalla maggioranza dei medici di medicina generale, con ruolo complementare alla specialistica. Il modello australiano Better Access, a invio esterno, ha innalzato di oltre dieci punti la quota di popolazione in trattamento. Il modello statunitense del Collaborative Care, validato da oltre novanta studi controllati, documenta riduzioni rilevanti della depressione e dei ricoveri. La tabella seguente ne riepiloga i tratti salienti.</w:t>
      </w:r>
    </w:p>
    <w:tbl>
      <w:tblPr>
        <w:tblStyle w:val="Table"/>
        <w:tblW w:type="pct" w:w="493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53"/>
        <w:gridCol w:w="2688"/>
        <w:gridCol w:w="308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Risultati principali</w:t>
            </w:r>
          </w:p>
        </w:tc>
      </w:tr>
      <w:tr>
        <w:tc>
          <w:tcPr/>
          <w:p>
            <w:pPr>
              <w:pStyle w:val="Compact"/>
              <w:spacing w:after="40" w:before="40"/>
              <w:jc w:val="left"/>
            </w:pPr>
            <w:r>
              <w:rPr>
                <w:rFonts w:ascii="Cambria" w:hAnsi="Cambria" w:cs="Cambria" w:eastAsia="Cambria"/>
                <w:b/>
                <w:bCs/>
                <w:color w:val="1A1A1A"/>
                <w:sz w:val="18"/>
              </w:rPr>
              <w:t xml:space="preserve">Regno Unito (NHS Talking Therapies)</w:t>
            </w:r>
          </w:p>
        </w:tc>
        <w:tc>
          <w:tcPr/>
          <w:p>
            <w:pPr>
              <w:pStyle w:val="Compact"/>
              <w:spacing w:after="40" w:before="40"/>
              <w:jc w:val="left"/>
            </w:pPr>
            <w:r>
              <w:rPr>
                <w:rFonts w:ascii="Cambria" w:hAnsi="Cambria" w:cs="Cambria" w:eastAsia="Cambria"/>
                <w:color w:val="1A1A1A"/>
                <w:sz w:val="18"/>
              </w:rPr>
              <w:t xml:space="preserve">Servizio integrato a intensità crescente</w:t>
            </w:r>
          </w:p>
        </w:tc>
        <w:tc>
          <w:tcPr/>
          <w:p>
            <w:pPr>
              <w:pStyle w:val="Compact"/>
              <w:spacing w:after="40" w:before="40"/>
              <w:jc w:val="left"/>
            </w:pPr>
            <w:r>
              <w:rPr>
                <w:rFonts w:ascii="Cambria" w:hAnsi="Cambria" w:cs="Cambria" w:eastAsia="Cambria"/>
                <w:color w:val="1A1A1A"/>
                <w:sz w:val="18"/>
              </w:rPr>
              <w:t xml:space="preserve">Recupero ~50%; monitoraggio esiti &gt;98%; &gt;1,3 milioni/anno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Paesi Bassi (POH-GGZ)</w:t>
            </w:r>
          </w:p>
        </w:tc>
        <w:tc>
          <w:tcPr>
            <w:shd w:val="clear" w:color="auto" w:fill="F4F1EC"/>
          </w:tcPr>
          <w:p>
            <w:pPr>
              <w:pStyle w:val="Compact"/>
              <w:spacing w:after="40" w:before="40"/>
              <w:jc w:val="left"/>
            </w:pPr>
            <w:r>
              <w:rPr>
                <w:rFonts w:ascii="Cambria" w:hAnsi="Cambria" w:cs="Cambria" w:eastAsia="Cambria"/>
                <w:color w:val="1A1A1A"/>
                <w:sz w:val="18"/>
              </w:rPr>
              <w:t xml:space="preserve">Supporto psicologico nello studio del medico di base</w:t>
            </w:r>
          </w:p>
        </w:tc>
        <w:tc>
          <w:tcPr>
            <w:shd w:val="clear" w:color="auto" w:fill="F4F1EC"/>
          </w:tcPr>
          <w:p>
            <w:pPr>
              <w:pStyle w:val="Compact"/>
              <w:spacing w:after="40" w:before="40"/>
              <w:jc w:val="left"/>
            </w:pPr>
            <w:r>
              <w:rPr>
                <w:rFonts w:ascii="Cambria" w:hAnsi="Cambria" w:cs="Cambria" w:eastAsia="Cambria"/>
                <w:color w:val="1A1A1A"/>
                <w:sz w:val="18"/>
              </w:rPr>
              <w:t xml:space="preserve">Adozione da ~tre quarti dei medici; ruolo complementare</w:t>
            </w:r>
          </w:p>
        </w:tc>
      </w:tr>
      <w:tr>
        <w:tc>
          <w:tcPr/>
          <w:p>
            <w:pPr>
              <w:pStyle w:val="Compact"/>
              <w:spacing w:after="40" w:before="40"/>
              <w:jc w:val="left"/>
            </w:pPr>
            <w:r>
              <w:rPr>
                <w:rFonts w:ascii="Cambria" w:hAnsi="Cambria" w:cs="Cambria" w:eastAsia="Cambria"/>
                <w:b/>
                <w:bCs/>
                <w:color w:val="1A1A1A"/>
                <w:sz w:val="18"/>
              </w:rPr>
              <w:t xml:space="preserve">Australia (Better Access)</w:t>
            </w:r>
          </w:p>
        </w:tc>
        <w:tc>
          <w:tcPr/>
          <w:p>
            <w:pPr>
              <w:pStyle w:val="Compact"/>
              <w:spacing w:after="40" w:before="40"/>
              <w:jc w:val="left"/>
            </w:pPr>
            <w:r>
              <w:rPr>
                <w:rFonts w:ascii="Cambria" w:hAnsi="Cambria" w:cs="Cambria" w:eastAsia="Cambria"/>
                <w:color w:val="1A1A1A"/>
                <w:sz w:val="18"/>
              </w:rPr>
              <w:t xml:space="preserve">Invio esterno a professionisti</w:t>
            </w:r>
          </w:p>
        </w:tc>
        <w:tc>
          <w:tcPr/>
          <w:p>
            <w:pPr>
              <w:pStyle w:val="Compact"/>
              <w:spacing w:after="40" w:before="40"/>
              <w:jc w:val="left"/>
            </w:pPr>
            <w:r>
              <w:rPr>
                <w:rFonts w:ascii="Cambria" w:hAnsi="Cambria" w:cs="Cambria" w:eastAsia="Cambria"/>
                <w:color w:val="1A1A1A"/>
                <w:sz w:val="18"/>
              </w:rPr>
              <w:t xml:space="preserve">Popolazione in trattamento dal 35% al 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Stati Uniti (Collaborative Care)</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 con monitoraggio</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bl>
    <w:p>
      <w:pPr>
        <w:pStyle w:val="BodyText"/>
      </w:pPr>
      <w:r>
        <w:rPr>
          <w:i/>
          <w:iCs/>
        </w:rPr>
        <w:t xml:space="preserve">Tabella D.1. I benchmark internazionali dell’integrazione della salute mentale nelle cure primarie.</w:t>
      </w:r>
    </w:p>
    <w:bookmarkEnd w:id="2545"/>
    <w:bookmarkStart w:id="2547" w:name="X6c9ed87384732e7aeae11ae2cf740cbdec876f2"/>
    <w:p>
      <w:pPr>
        <w:pStyle w:val="Heading3"/>
      </w:pPr>
      <w:r>
        <w:t xml:space="preserve">D.4 Le esperienze italiane, la trasferibilità e l’evidenza locale</w:t>
      </w:r>
    </w:p>
    <w:p>
      <w:pPr>
        <w:pStyle w:val="FirstParagraph"/>
      </w:pPr>
      <w:r>
        <w:t xml:space="preserve">Sul piano nazionale, il quadro comprende i servizi avviati nelle regioni dotate di legge organica — tra cui la Campania, prima ad attivarsi, e l’Umbria stessa, che con la Legge n. 22/2024 ha adottato uno degli impianti normativi più completi della serie — e le esperienze pilota in regioni prive di legge. La trasferibilità dei risultati internazionali richiede validazione locale, evitando di trasferire meccanicamente le stime, soprattutto quelle economiche. Per l’Umbria, la fase sperimentale avviata con le risorse stanziate per il 2025–2026 costituisce già un primo embrione di evidenza locale, la cui coltivazione sistematica — con raccolta uniforme di dati di processo e di esito secondo la clausola valutativa della Legge n. 22/2024 — è la priorità metodologica del primo triennio di attuazione. Va precisato, infine, che alcune cifre di larga circolazione — il rapporto di quattro a uno, l’affermazione per cui un euro ne genererebbe dieci — sono semplificazioni divulgative: le stime metodologicamente fondate, ancorate all’analisi di Chisholm et al. del 2016 pubblicata su The Lancet Psychiatry, collocano il ritorno fra 2,3 e 3,0 a uno per i soli benefici economici e fra 3,3 e 5,7 a uno includendo i benefici di salute, e lo studio adotta prudenzialmente un rapporto beneficio-costo nella fascia di 3,6–5,0 a uno.</w:t>
      </w:r>
      <w:r>
        <w:rPr>
          <w:rStyle w:val="FootnoteReference"/>
        </w:rPr>
        <w:footnoteReference w:id="2940"/>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2547"/>
    <w:bookmarkEnd w:id="2548"/>
    <w:bookmarkStart w:id="2559" w:name="parte-e-valutazione-economica-4"/>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all’Umbria.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l’Umbria il risultato si lascia anticipare: il caso finanziario diretto è di disavanzo modesto e agevolmente sostenibile nell’ambito della programmazione ordinaria, il caso economico complessivo è fortemente positivo, e il valore dell’intervento risiede nelle ricadute sociali.</w:t>
      </w:r>
    </w:p>
    <w:bookmarkStart w:id="2549" w:name="e.1-limpianto-e-il-costo-del-servizio-3"/>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 un costo medio annuo per psicologo dell’ordine di 55.000 euro comprensivo degli oneri, in linea con il livello retributivo umbro della dirigenza sanitaria di secondo livello e con i parametri delle convenzioni previste dalla Legge n. 22/2024. Il costo complessivo è dell’ordine di 9 milioni di euro nello scenario conservativo (170 psicologi), 14 milioni in quello di base (210 psicologi) e 19 milioni in quello espansivo (250 psicologi). I tre scenari rappresentano gradi crescenti di copertura verso il fabbisogno pieno; va ribadito che la fase sperimentale attuale, finanziata con 103.349 euro l’anno, è enormemente al di sotto di qualsiasi scenario. La tabella seguente riepiloga il costo del servizio per scenario.</w:t>
      </w:r>
    </w:p>
    <w:tbl>
      <w:tblPr>
        <w:tblStyle w:val="Table"/>
        <w:tblW w:type="pct" w:w="48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54"/>
        <w:gridCol w:w="1851"/>
        <w:gridCol w:w="1851"/>
        <w:gridCol w:w="20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w:t>
            </w:r>
          </w:p>
        </w:tc>
        <w:tc>
          <w:tcPr>
            <w:shd w:val="clear" w:color="auto" w:fill="16264B"/>
          </w:tcPr>
          <w:p>
            <w:pPr>
              <w:pStyle w:val="Compact"/>
              <w:spacing w:after="40" w:before="40"/>
              <w:jc w:val="left"/>
            </w:pPr>
            <w:r>
              <w:rPr>
                <w:rFonts w:ascii="Cambria" w:hAnsi="Cambria" w:cs="Cambria" w:eastAsia="Cambria"/>
                <w:b/>
                <w:bCs/>
                <w:color w:val="FFFFFF"/>
                <w:sz w:val="18"/>
              </w:rPr>
              <w:t xml:space="preserve">Quota del FSR</w:t>
            </w:r>
          </w:p>
        </w:tc>
      </w:tr>
      <w:tr>
        <w:tc>
          <w:tcPr/>
          <w:p>
            <w:pPr>
              <w:pStyle w:val="Compact"/>
              <w:spacing w:after="40" w:before="40"/>
              <w:jc w:val="left"/>
            </w:pPr>
            <w:r>
              <w:rPr>
                <w:rFonts w:ascii="Cambria" w:hAnsi="Cambria" w:cs="Cambria" w:eastAsia="Cambria"/>
                <w:b/>
                <w:bCs/>
                <w:color w:val="1A1A1A"/>
                <w:sz w:val="18"/>
              </w:rPr>
              <w:t xml:space="preserve">Conservativo</w:t>
            </w:r>
          </w:p>
        </w:tc>
        <w:tc>
          <w:tcPr/>
          <w:p>
            <w:pPr>
              <w:pStyle w:val="Compact"/>
              <w:spacing w:after="40" w:before="40"/>
              <w:jc w:val="left"/>
            </w:pPr>
            <w:r>
              <w:rPr>
                <w:rFonts w:ascii="Cambria" w:hAnsi="Cambria" w:cs="Cambria" w:eastAsia="Cambria"/>
                <w:color w:val="1A1A1A"/>
                <w:sz w:val="18"/>
              </w:rPr>
              <w:t xml:space="preserve">~ 170</w:t>
            </w:r>
          </w:p>
        </w:tc>
        <w:tc>
          <w:tcPr/>
          <w:p>
            <w:pPr>
              <w:pStyle w:val="Compact"/>
              <w:spacing w:after="40" w:before="40"/>
              <w:jc w:val="left"/>
            </w:pPr>
            <w:r>
              <w:rPr>
                <w:rFonts w:ascii="Cambria" w:hAnsi="Cambria" w:cs="Cambria" w:eastAsia="Cambria"/>
                <w:color w:val="1A1A1A"/>
                <w:sz w:val="18"/>
              </w:rPr>
              <w:t xml:space="preserve">~ 9 milioni</w:t>
            </w:r>
          </w:p>
        </w:tc>
        <w:tc>
          <w:tcPr/>
          <w:p>
            <w:pPr>
              <w:pStyle w:val="Compact"/>
              <w:spacing w:after="40" w:before="40"/>
              <w:jc w:val="left"/>
            </w:pPr>
            <w:r>
              <w:rPr>
                <w:rFonts w:ascii="Cambria" w:hAnsi="Cambria" w:cs="Cambria" w:eastAsia="Cambria"/>
                <w:color w:val="1A1A1A"/>
                <w:sz w:val="18"/>
              </w:rPr>
              <w:t xml:space="preserve">~ 0,5%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Base</w:t>
            </w:r>
          </w:p>
        </w:tc>
        <w:tc>
          <w:tcPr>
            <w:shd w:val="clear" w:color="auto" w:fill="F4F1EC"/>
          </w:tcPr>
          <w:p>
            <w:pPr>
              <w:pStyle w:val="Compact"/>
              <w:spacing w:after="40" w:before="40"/>
              <w:jc w:val="left"/>
            </w:pPr>
            <w:r>
              <w:rPr>
                <w:rFonts w:ascii="Cambria" w:hAnsi="Cambria" w:cs="Cambria" w:eastAsia="Cambria"/>
                <w:color w:val="1A1A1A"/>
                <w:sz w:val="18"/>
              </w:rPr>
              <w:t xml:space="preserve">~ 210</w:t>
            </w:r>
          </w:p>
        </w:tc>
        <w:tc>
          <w:tcPr>
            <w:shd w:val="clear" w:color="auto" w:fill="F4F1EC"/>
          </w:tcPr>
          <w:p>
            <w:pPr>
              <w:pStyle w:val="Compact"/>
              <w:spacing w:after="40" w:before="40"/>
              <w:jc w:val="left"/>
            </w:pPr>
            <w:r>
              <w:rPr>
                <w:rFonts w:ascii="Cambria" w:hAnsi="Cambria" w:cs="Cambria" w:eastAsia="Cambria"/>
                <w:color w:val="1A1A1A"/>
                <w:sz w:val="18"/>
              </w:rPr>
              <w:t xml:space="preserve">~ 14 milioni</w:t>
            </w:r>
          </w:p>
        </w:tc>
        <w:tc>
          <w:tcPr>
            <w:shd w:val="clear" w:color="auto" w:fill="F4F1EC"/>
          </w:tcPr>
          <w:p>
            <w:pPr>
              <w:pStyle w:val="Compact"/>
              <w:spacing w:after="40" w:before="40"/>
              <w:jc w:val="left"/>
            </w:pPr>
            <w:r>
              <w:rPr>
                <w:rFonts w:ascii="Cambria" w:hAnsi="Cambria" w:cs="Cambria" w:eastAsia="Cambria"/>
                <w:color w:val="1A1A1A"/>
                <w:sz w:val="18"/>
              </w:rPr>
              <w:t xml:space="preserve">~ 0,7%</w:t>
            </w:r>
          </w:p>
        </w:tc>
      </w:tr>
      <w:tr>
        <w:tc>
          <w:tcPr/>
          <w:p>
            <w:pPr>
              <w:pStyle w:val="Compact"/>
              <w:spacing w:after="40" w:before="40"/>
              <w:jc w:val="left"/>
            </w:pPr>
            <w:r>
              <w:rPr>
                <w:rFonts w:ascii="Cambria" w:hAnsi="Cambria" w:cs="Cambria" w:eastAsia="Cambria"/>
                <w:b/>
                <w:bCs/>
                <w:color w:val="1A1A1A"/>
                <w:sz w:val="18"/>
              </w:rPr>
              <w:t xml:space="preserve">Espansivo</w:t>
            </w:r>
          </w:p>
        </w:tc>
        <w:tc>
          <w:tcPr/>
          <w:p>
            <w:pPr>
              <w:pStyle w:val="Compact"/>
              <w:spacing w:after="40" w:before="40"/>
              <w:jc w:val="left"/>
            </w:pPr>
            <w:r>
              <w:rPr>
                <w:rFonts w:ascii="Cambria" w:hAnsi="Cambria" w:cs="Cambria" w:eastAsia="Cambria"/>
                <w:color w:val="1A1A1A"/>
                <w:sz w:val="18"/>
              </w:rPr>
              <w:t xml:space="preserve">~ 250</w:t>
            </w:r>
          </w:p>
        </w:tc>
        <w:tc>
          <w:tcPr/>
          <w:p>
            <w:pPr>
              <w:pStyle w:val="Compact"/>
              <w:spacing w:after="40" w:before="40"/>
              <w:jc w:val="left"/>
            </w:pPr>
            <w:r>
              <w:rPr>
                <w:rFonts w:ascii="Cambria" w:hAnsi="Cambria" w:cs="Cambria" w:eastAsia="Cambria"/>
                <w:color w:val="1A1A1A"/>
                <w:sz w:val="18"/>
              </w:rPr>
              <w:t xml:space="preserve">~ 19 milioni</w:t>
            </w:r>
          </w:p>
        </w:tc>
        <w:tc>
          <w:tcPr/>
          <w:p>
            <w:pPr>
              <w:pStyle w:val="Compact"/>
              <w:spacing w:after="40" w:before="40"/>
              <w:jc w:val="left"/>
            </w:pPr>
            <w:r>
              <w:rPr>
                <w:rFonts w:ascii="Cambria" w:hAnsi="Cambria" w:cs="Cambria" w:eastAsia="Cambria"/>
                <w:color w:val="1A1A1A"/>
                <w:sz w:val="18"/>
              </w:rPr>
              <w:t xml:space="preserve">~ 1,0%</w:t>
            </w:r>
          </w:p>
        </w:tc>
      </w:tr>
    </w:tbl>
    <w:p>
      <w:pPr>
        <w:pStyle w:val="BodyText"/>
      </w:pPr>
      <w:r>
        <w:rPr>
          <w:i/>
          <w:iCs/>
        </w:rPr>
        <w:t xml:space="preserve">Tabella E.1. Il costo del servizio a regime nei tre scenari di copertura.</w:t>
      </w:r>
    </w:p>
    <w:bookmarkEnd w:id="2549"/>
    <w:bookmarkStart w:id="2551" w:name="X397e74b5d1cca7137828413714c726223c7a398"/>
    <w:p>
      <w:pPr>
        <w:pStyle w:val="Heading3"/>
      </w:pPr>
      <w:r>
        <w:t xml:space="preserve">E.2 I risparmi diretti per il bilancio sanitario</w:t>
      </w:r>
    </w:p>
    <w:p>
      <w:pPr>
        <w:pStyle w:val="FirstParagraph"/>
      </w:pPr>
      <w:r>
        <w:t xml:space="preserve">I risparmi diretti per il bilancio sanitario si articolano in quattro canali. Il primo è la riduzione degli accessi impropri al pronto soccorso: l’intervento di primo livello intercetta una quota di accessi con prevalente componente psicologica che nei sistemi privi di filtro di prossimità si riversa sull’urgenza; la stima per l’Umbria è dell’ordine di 1, 2 e 3 milioni di euro l’anno nei tre scenari. Il secondo è la riduzione della spesa farmaceutica inappropriata, con una stima dell’ordine di 1, 2 e 2 milioni di euro. Il terzo, il più consistente, è la riduzione di ricoveri evitabili e di specialistica impropria, dell’ordine di 2, 3 e 5 milioni di euro. Il quarto è il recupero parziale della mobilità passiva: l’Umbria presenta un saldo di mobilità passivo, e la strutturazione di un servizio di primo livello più capillare può trattenere una quota di pazienti che altrimenti si spostano verso centri di riferimento extraregionali, con un contributo stimato dell’ordine di 1, 1 e 2 milioni di euro. La somma dei quattro canali è dell’ordine di 5, 8 e 12 milioni di euro l’anno, e determina, a fronte del costo del servizio, un saldo diretto negativo, dell’ordine di −4, −6 e −7 milioni. La tabella seguente dettaglia i canali del risparmio diretto.</w:t>
      </w:r>
      <w:r>
        <w:rPr>
          <w:rStyle w:val="FootnoteReference"/>
        </w:rPr>
        <w:footnoteReference w:id="2941"/>
      </w:r>
    </w:p>
    <w:tbl>
      <w:tblPr>
        <w:tblStyle w:val="Table"/>
        <w:tblW w:type="pct" w:w="490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888"/>
        <w:gridCol w:w="1296"/>
        <w:gridCol w:w="1296"/>
        <w:gridCol w:w="129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Accessi impropri al pronto soccorso</w:t>
            </w:r>
          </w:p>
        </w:tc>
        <w:tc>
          <w:tcPr/>
          <w:p>
            <w:pPr>
              <w:pStyle w:val="Compact"/>
              <w:spacing w:after="40" w:before="40"/>
              <w:jc w:val="left"/>
            </w:pPr>
            <w:r>
              <w:rPr>
                <w:rFonts w:ascii="Cambria" w:hAnsi="Cambria" w:cs="Cambria" w:eastAsia="Cambria"/>
                <w:color w:val="1A1A1A"/>
                <w:sz w:val="18"/>
              </w:rPr>
              <w:t xml:space="preserve">~ 1</w:t>
            </w:r>
          </w:p>
        </w:tc>
        <w:tc>
          <w:tcPr/>
          <w:p>
            <w:pPr>
              <w:pStyle w:val="Compact"/>
              <w:spacing w:after="40" w:before="40"/>
              <w:jc w:val="left"/>
            </w:pPr>
            <w:r>
              <w:rPr>
                <w:rFonts w:ascii="Cambria" w:hAnsi="Cambria" w:cs="Cambria" w:eastAsia="Cambria"/>
                <w:color w:val="1A1A1A"/>
                <w:sz w:val="18"/>
              </w:rPr>
              <w:t xml:space="preserve">~ 2</w:t>
            </w:r>
          </w:p>
        </w:tc>
        <w:tc>
          <w:tcPr/>
          <w:p>
            <w:pPr>
              <w:pStyle w:val="Compact"/>
              <w:spacing w:after="40" w:before="40"/>
              <w:jc w:val="left"/>
            </w:pPr>
            <w:r>
              <w:rPr>
                <w:rFonts w:ascii="Cambria" w:hAnsi="Cambria" w:cs="Cambria" w:eastAsia="Cambria"/>
                <w:color w:val="1A1A1A"/>
                <w:sz w:val="18"/>
              </w:rPr>
              <w:t xml:space="preserve">~ 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Spesa farmaceutica inappropriata</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c>
          <w:tcPr>
            <w:shd w:val="clear" w:color="auto" w:fill="F4F1EC"/>
          </w:tcPr>
          <w:p>
            <w:pPr>
              <w:pStyle w:val="Compact"/>
              <w:spacing w:after="40" w:before="40"/>
              <w:jc w:val="left"/>
            </w:pPr>
            <w:r>
              <w:rPr>
                <w:rFonts w:ascii="Cambria" w:hAnsi="Cambria" w:cs="Cambria" w:eastAsia="Cambria"/>
                <w:color w:val="1A1A1A"/>
                <w:sz w:val="18"/>
              </w:rPr>
              <w:t xml:space="preserve">~ 2</w:t>
            </w:r>
          </w:p>
        </w:tc>
        <w:tc>
          <w:tcPr>
            <w:shd w:val="clear" w:color="auto" w:fill="F4F1EC"/>
          </w:tcPr>
          <w:p>
            <w:pPr>
              <w:pStyle w:val="Compact"/>
              <w:spacing w:after="40" w:before="40"/>
              <w:jc w:val="left"/>
            </w:pPr>
            <w:r>
              <w:rPr>
                <w:rFonts w:ascii="Cambria" w:hAnsi="Cambria" w:cs="Cambria" w:eastAsia="Cambria"/>
                <w:color w:val="1A1A1A"/>
                <w:sz w:val="18"/>
              </w:rPr>
              <w:t xml:space="preserve">~ 2</w:t>
            </w:r>
          </w:p>
        </w:tc>
      </w:tr>
      <w:tr>
        <w:tc>
          <w:tcPr/>
          <w:p>
            <w:pPr>
              <w:pStyle w:val="Compact"/>
              <w:spacing w:after="40" w:before="40"/>
              <w:jc w:val="left"/>
            </w:pPr>
            <w:r>
              <w:rPr>
                <w:rFonts w:ascii="Cambria" w:hAnsi="Cambria" w:cs="Cambria" w:eastAsia="Cambria"/>
                <w:b/>
                <w:bCs/>
                <w:color w:val="1A1A1A"/>
                <w:sz w:val="18"/>
              </w:rPr>
              <w:t xml:space="preserve">Ricoveri evitabili e specialistica</w:t>
            </w:r>
          </w:p>
        </w:tc>
        <w:tc>
          <w:tcPr/>
          <w:p>
            <w:pPr>
              <w:pStyle w:val="Compact"/>
              <w:spacing w:after="40" w:before="40"/>
              <w:jc w:val="left"/>
            </w:pPr>
            <w:r>
              <w:rPr>
                <w:rFonts w:ascii="Cambria" w:hAnsi="Cambria" w:cs="Cambria" w:eastAsia="Cambria"/>
                <w:color w:val="1A1A1A"/>
                <w:sz w:val="18"/>
              </w:rPr>
              <w:t xml:space="preserve">~ 2</w:t>
            </w:r>
          </w:p>
        </w:tc>
        <w:tc>
          <w:tcPr/>
          <w:p>
            <w:pPr>
              <w:pStyle w:val="Compact"/>
              <w:spacing w:after="40" w:before="40"/>
              <w:jc w:val="left"/>
            </w:pPr>
            <w:r>
              <w:rPr>
                <w:rFonts w:ascii="Cambria" w:hAnsi="Cambria" w:cs="Cambria" w:eastAsia="Cambria"/>
                <w:color w:val="1A1A1A"/>
                <w:sz w:val="18"/>
              </w:rPr>
              <w:t xml:space="preserve">~ 3</w:t>
            </w:r>
          </w:p>
        </w:tc>
        <w:tc>
          <w:tcPr/>
          <w:p>
            <w:pPr>
              <w:pStyle w:val="Compact"/>
              <w:spacing w:after="40" w:before="40"/>
              <w:jc w:val="left"/>
            </w:pPr>
            <w:r>
              <w:rPr>
                <w:rFonts w:ascii="Cambria" w:hAnsi="Cambria" w:cs="Cambria" w:eastAsia="Cambria"/>
                <w:color w:val="1A1A1A"/>
                <w:sz w:val="18"/>
              </w:rPr>
              <w:t xml:space="preserve">~ 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Recupero della mobilità (frazione)</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c>
          <w:tcPr>
            <w:shd w:val="clear" w:color="auto" w:fill="F4F1EC"/>
          </w:tcPr>
          <w:p>
            <w:pPr>
              <w:pStyle w:val="Compact"/>
              <w:spacing w:after="40" w:before="40"/>
              <w:jc w:val="left"/>
            </w:pPr>
            <w:r>
              <w:rPr>
                <w:rFonts w:ascii="Cambria" w:hAnsi="Cambria" w:cs="Cambria" w:eastAsia="Cambria"/>
                <w:color w:val="1A1A1A"/>
                <w:sz w:val="18"/>
              </w:rPr>
              <w:t xml:space="preserve">~ 2</w:t>
            </w:r>
          </w:p>
        </w:tc>
      </w:tr>
      <w:tr>
        <w:tc>
          <w:tcPr/>
          <w:p>
            <w:pPr>
              <w:pStyle w:val="Compact"/>
              <w:spacing w:after="40" w:before="40"/>
              <w:jc w:val="left"/>
            </w:pPr>
            <w:r>
              <w:rPr>
                <w:rFonts w:ascii="Cambria" w:hAnsi="Cambria" w:cs="Cambria" w:eastAsia="Cambria"/>
                <w:b/>
                <w:bCs/>
                <w:color w:val="1A1A1A"/>
                <w:sz w:val="18"/>
              </w:rPr>
              <w:t xml:space="preserve">Totale risparmi diretti</w:t>
            </w:r>
          </w:p>
        </w:tc>
        <w:tc>
          <w:tcPr/>
          <w:p>
            <w:pPr>
              <w:pStyle w:val="Compact"/>
              <w:spacing w:after="40" w:before="40"/>
              <w:jc w:val="left"/>
            </w:pPr>
            <w:r>
              <w:rPr>
                <w:rFonts w:ascii="Cambria" w:hAnsi="Cambria" w:cs="Cambria" w:eastAsia="Cambria"/>
                <w:color w:val="1A1A1A"/>
                <w:sz w:val="18"/>
              </w:rPr>
              <w:t xml:space="preserve">~ 5</w:t>
            </w:r>
          </w:p>
        </w:tc>
        <w:tc>
          <w:tcPr/>
          <w:p>
            <w:pPr>
              <w:pStyle w:val="Compact"/>
              <w:spacing w:after="40" w:before="40"/>
              <w:jc w:val="left"/>
            </w:pPr>
            <w:r>
              <w:rPr>
                <w:rFonts w:ascii="Cambria" w:hAnsi="Cambria" w:cs="Cambria" w:eastAsia="Cambria"/>
                <w:color w:val="1A1A1A"/>
                <w:sz w:val="18"/>
              </w:rPr>
              <w:t xml:space="preserve">~ 8</w:t>
            </w:r>
          </w:p>
        </w:tc>
        <w:tc>
          <w:tcPr/>
          <w:p>
            <w:pPr>
              <w:pStyle w:val="Compact"/>
              <w:spacing w:after="40" w:before="40"/>
              <w:jc w:val="left"/>
            </w:pPr>
            <w:r>
              <w:rPr>
                <w:rFonts w:ascii="Cambria" w:hAnsi="Cambria" w:cs="Cambria" w:eastAsia="Cambria"/>
                <w:color w:val="1A1A1A"/>
                <w:sz w:val="18"/>
              </w:rPr>
              <w:t xml:space="preserve">~ 12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9</w:t>
            </w:r>
          </w:p>
        </w:tc>
        <w:tc>
          <w:tcPr>
            <w:shd w:val="clear" w:color="auto" w:fill="F4F1EC"/>
          </w:tcPr>
          <w:p>
            <w:pPr>
              <w:pStyle w:val="Compact"/>
              <w:spacing w:after="40" w:before="40"/>
              <w:jc w:val="left"/>
            </w:pPr>
            <w:r>
              <w:rPr>
                <w:rFonts w:ascii="Cambria" w:hAnsi="Cambria" w:cs="Cambria" w:eastAsia="Cambria"/>
                <w:color w:val="1A1A1A"/>
                <w:sz w:val="18"/>
              </w:rPr>
              <w:t xml:space="preserve">~ 14</w:t>
            </w:r>
          </w:p>
        </w:tc>
        <w:tc>
          <w:tcPr>
            <w:shd w:val="clear" w:color="auto" w:fill="F4F1EC"/>
          </w:tcPr>
          <w:p>
            <w:pPr>
              <w:pStyle w:val="Compact"/>
              <w:spacing w:after="40" w:before="40"/>
              <w:jc w:val="left"/>
            </w:pPr>
            <w:r>
              <w:rPr>
                <w:rFonts w:ascii="Cambria" w:hAnsi="Cambria" w:cs="Cambria" w:eastAsia="Cambria"/>
                <w:color w:val="1A1A1A"/>
                <w:sz w:val="18"/>
              </w:rPr>
              <w:t xml:space="preserve">~ 19</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−6</w:t>
            </w:r>
          </w:p>
        </w:tc>
        <w:tc>
          <w:tcPr/>
          <w:p>
            <w:pPr>
              <w:pStyle w:val="Compact"/>
              <w:spacing w:after="40" w:before="40"/>
              <w:jc w:val="left"/>
            </w:pPr>
            <w:r>
              <w:rPr>
                <w:rFonts w:ascii="Cambria" w:hAnsi="Cambria" w:cs="Cambria" w:eastAsia="Cambria"/>
                <w:color w:val="1A1A1A"/>
                <w:sz w:val="18"/>
              </w:rPr>
              <w:t xml:space="preserve">~ −7</w:t>
            </w:r>
          </w:p>
        </w:tc>
      </w:tr>
    </w:tbl>
    <w:p>
      <w:pPr>
        <w:pStyle w:val="BodyText"/>
      </w:pPr>
      <w:r>
        <w:rPr>
          <w:i/>
          <w:iCs/>
        </w:rPr>
        <w:t xml:space="preserve">Tabella E.2. I risparmi diretti per il bilancio sanitario regionale e il saldo diretto.</w:t>
      </w:r>
    </w:p>
    <w:bookmarkEnd w:id="2551"/>
    <w:bookmarkStart w:id="2553" w:name="e.3-le-ricadute-economico-sociali-3"/>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con peso particolare nella componente della popolazione attiva e nelle zone a più alta attività economica — il valore del benessere recuperato e il minor carico assistenziale sulle famiglie, e sono stimate, secondo i criteri prudenziali dello studio, nell’ordine di 28, 52 e 76 milioni di euro l’anno nei tre scenari. Il peso particolarmente rilevante nella componente dei benefici per le famiglie caregiver deriva dalla struttura demografica della regione: in una regione con il 27,3% di over-65, il carico assistenziale informale è elevato e il supporto psicologico di prossimità che alleggerisce quel carico produce ricadute positive ampie e misurabili. Sommate ai risparmi diretti, le ricadute economico-sociali determinano un ritorno complessivo dell’ordine di 33, 60 e 88 milioni di euro l’anno, e un saldo complessivo per la collettività ampiamente positivo, dell’ordine di +24, +46 e +69 milioni di euro l’anno.</w:t>
      </w:r>
      <w:r>
        <w:rPr>
          <w:rStyle w:val="FootnoteReference"/>
        </w:rPr>
        <w:footnoteReference w:id="2942"/>
      </w:r>
    </w:p>
    <w:bookmarkEnd w:id="2553"/>
    <w:bookmarkStart w:id="4477" w:name="X7ee0fb0e220764d736174ab232f3390e8cdf78b"/>
    <w:p>
      <w:pPr>
        <w:pStyle w:val="Heading3"/>
      </w:pPr>
      <w:r>
        <w:t xml:space="preserve">E.4 Il quadro consolidato: caso finanziario e caso economico</w:t>
      </w:r>
    </w:p>
    <w:p>
      <w:pPr>
        <w:pStyle w:val="FirstParagraph"/>
      </w:pPr>
      <w:r>
        <w:t xml:space="preserve">La composizione delle grandezze impone di tenere ferma la distinzione che governa l’intera lettura del caso umbro. Il caso puramente finanziario per il bilancio sanitario è di disavanzo diretto, modesto e sostenibile nell’ambito della programmazione ordinaria del Fondo sanitario regionale: il costo netto oscillante fra 4 e 7 milioni di euro l’anno representa fra lo 0,2% e lo 0,4% del Fondo, una quota compatibile con l’impegno già assunto per legge. Il caso economico complessivo, che include le ricadute sociali, è invece fortemente positivo, con un rapporto beneficio-costo complessivo di 3,7 a uno nello scenario conservativo, 4,3 a uno in quello di base e 4,8 a uno in quello espansivo — interamente compreso nella fascia Chisholm prudenziale di 3,3–5,7 a uno.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 e pienamente compatibile con le risorse del Fondo sanitario regionale, in cui la decisione di principio è già stata assunta dal legislatore umbro.</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Voce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9</w:t>
            </w:r>
          </w:p>
        </w:tc>
        <w:tc>
          <w:tcPr/>
          <w:p>
            <w:pPr>
              <w:pStyle w:val="Compact"/>
              <w:spacing w:after="40" w:before="40"/>
              <w:jc w:val="left"/>
            </w:pPr>
            <w:r>
              <w:rPr>
                <w:rFonts w:ascii="Cambria" w:hAnsi="Cambria" w:cs="Cambria" w:eastAsia="Cambria"/>
                <w:color w:val="1A1A1A"/>
                <w:sz w:val="18"/>
              </w:rPr>
              <w:t xml:space="preserve">~ 14</w:t>
            </w:r>
          </w:p>
        </w:tc>
        <w:tc>
          <w:tcPr/>
          <w:p>
            <w:pPr>
              <w:pStyle w:val="Compact"/>
              <w:spacing w:after="40" w:before="40"/>
              <w:jc w:val="left"/>
            </w:pPr>
            <w:r>
              <w:rPr>
                <w:rFonts w:ascii="Cambria" w:hAnsi="Cambria" w:cs="Cambria" w:eastAsia="Cambria"/>
                <w:color w:val="1A1A1A"/>
                <w:sz w:val="18"/>
              </w:rPr>
              <w:t xml:space="preserve">~ 19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5</w:t>
            </w:r>
          </w:p>
        </w:tc>
        <w:tc>
          <w:tcPr>
            <w:shd w:val="clear" w:color="auto" w:fill="F4F1EC"/>
          </w:tcPr>
          <w:p>
            <w:pPr>
              <w:pStyle w:val="Compact"/>
              <w:spacing w:after="40" w:before="40"/>
              <w:jc w:val="left"/>
            </w:pPr>
            <w:r>
              <w:rPr>
                <w:rFonts w:ascii="Cambria" w:hAnsi="Cambria" w:cs="Cambria" w:eastAsia="Cambria"/>
                <w:color w:val="1A1A1A"/>
                <w:sz w:val="18"/>
              </w:rPr>
              <w:t xml:space="preserve">~ 8</w:t>
            </w:r>
          </w:p>
        </w:tc>
        <w:tc>
          <w:tcPr>
            <w:shd w:val="clear" w:color="auto" w:fill="F4F1EC"/>
          </w:tcPr>
          <w:p>
            <w:pPr>
              <w:pStyle w:val="Compact"/>
              <w:spacing w:after="40" w:before="40"/>
              <w:jc w:val="left"/>
            </w:pPr>
            <w:r>
              <w:rPr>
                <w:rFonts w:ascii="Cambria" w:hAnsi="Cambria" w:cs="Cambria" w:eastAsia="Cambria"/>
                <w:color w:val="1A1A1A"/>
                <w:sz w:val="18"/>
              </w:rPr>
              <w:t xml:space="preserve">~ 12</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−6</w:t>
            </w:r>
          </w:p>
        </w:tc>
        <w:tc>
          <w:tcPr/>
          <w:p>
            <w:pPr>
              <w:pStyle w:val="Compact"/>
              <w:spacing w:after="40" w:before="40"/>
              <w:jc w:val="left"/>
            </w:pPr>
            <w:r>
              <w:rPr>
                <w:rFonts w:ascii="Cambria" w:hAnsi="Cambria" w:cs="Cambria" w:eastAsia="Cambria"/>
                <w:color w:val="1A1A1A"/>
                <w:sz w:val="18"/>
              </w:rPr>
              <w:t xml:space="preserve">~ −7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28</w:t>
            </w:r>
          </w:p>
        </w:tc>
        <w:tc>
          <w:tcPr>
            <w:shd w:val="clear" w:color="auto" w:fill="F4F1EC"/>
          </w:tcPr>
          <w:p>
            <w:pPr>
              <w:pStyle w:val="Compact"/>
              <w:spacing w:after="40" w:before="40"/>
              <w:jc w:val="left"/>
            </w:pPr>
            <w:r>
              <w:rPr>
                <w:rFonts w:ascii="Cambria" w:hAnsi="Cambria" w:cs="Cambria" w:eastAsia="Cambria"/>
                <w:color w:val="1A1A1A"/>
                <w:sz w:val="18"/>
              </w:rPr>
              <w:t xml:space="preserve">~ 52</w:t>
            </w:r>
          </w:p>
        </w:tc>
        <w:tc>
          <w:tcPr>
            <w:shd w:val="clear" w:color="auto" w:fill="F4F1EC"/>
          </w:tcPr>
          <w:p>
            <w:pPr>
              <w:pStyle w:val="Compact"/>
              <w:spacing w:after="40" w:before="40"/>
              <w:jc w:val="left"/>
            </w:pPr>
            <w:r>
              <w:rPr>
                <w:rFonts w:ascii="Cambria" w:hAnsi="Cambria" w:cs="Cambria" w:eastAsia="Cambria"/>
                <w:color w:val="1A1A1A"/>
                <w:sz w:val="18"/>
              </w:rPr>
              <w:t xml:space="preserve">~ 76</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 33</w:t>
            </w:r>
          </w:p>
        </w:tc>
        <w:tc>
          <w:tcPr/>
          <w:p>
            <w:pPr>
              <w:pStyle w:val="Compact"/>
              <w:spacing w:after="40" w:before="40"/>
              <w:jc w:val="left"/>
            </w:pPr>
            <w:r>
              <w:rPr>
                <w:rFonts w:ascii="Cambria" w:hAnsi="Cambria" w:cs="Cambria" w:eastAsia="Cambria"/>
                <w:color w:val="1A1A1A"/>
                <w:sz w:val="18"/>
              </w:rPr>
              <w:t xml:space="preserve">~ 60</w:t>
            </w:r>
          </w:p>
        </w:tc>
        <w:tc>
          <w:tcPr/>
          <w:p>
            <w:pPr>
              <w:pStyle w:val="Compact"/>
              <w:spacing w:after="40" w:before="40"/>
              <w:jc w:val="left"/>
            </w:pPr>
            <w:r>
              <w:rPr>
                <w:rFonts w:ascii="Cambria" w:hAnsi="Cambria" w:cs="Cambria" w:eastAsia="Cambria"/>
                <w:color w:val="1A1A1A"/>
                <w:sz w:val="18"/>
              </w:rPr>
              <w:t xml:space="preserve">~ 88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 +24</w:t>
            </w:r>
          </w:p>
        </w:tc>
        <w:tc>
          <w:tcPr>
            <w:shd w:val="clear" w:color="auto" w:fill="F4F1EC"/>
          </w:tcPr>
          <w:p>
            <w:pPr>
              <w:pStyle w:val="Compact"/>
              <w:spacing w:after="40" w:before="40"/>
              <w:jc w:val="left"/>
            </w:pPr>
            <w:r>
              <w:rPr>
                <w:rFonts w:ascii="Cambria" w:hAnsi="Cambria" w:cs="Cambria" w:eastAsia="Cambria"/>
                <w:color w:val="1A1A1A"/>
                <w:sz w:val="18"/>
              </w:rPr>
              <w:t xml:space="preserve">~ +46</w:t>
            </w:r>
          </w:p>
        </w:tc>
        <w:tc>
          <w:tcPr>
            <w:shd w:val="clear" w:color="auto" w:fill="F4F1EC"/>
          </w:tcPr>
          <w:p>
            <w:pPr>
              <w:pStyle w:val="Compact"/>
              <w:spacing w:after="40" w:before="40"/>
              <w:jc w:val="left"/>
            </w:pPr>
            <w:r>
              <w:rPr>
                <w:rFonts w:ascii="Cambria" w:hAnsi="Cambria" w:cs="Cambria" w:eastAsia="Cambria"/>
                <w:color w:val="1A1A1A"/>
                <w:sz w:val="18"/>
              </w:rPr>
              <w:t xml:space="preserve">~ +69</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 3,7:1</w:t>
            </w:r>
          </w:p>
        </w:tc>
        <w:tc>
          <w:tcPr/>
          <w:p>
            <w:pPr>
              <w:pStyle w:val="Compact"/>
              <w:spacing w:after="40" w:before="40"/>
              <w:jc w:val="left"/>
            </w:pPr>
            <w:r>
              <w:rPr>
                <w:rFonts w:ascii="Cambria" w:hAnsi="Cambria" w:cs="Cambria" w:eastAsia="Cambria"/>
                <w:color w:val="1A1A1A"/>
                <w:sz w:val="18"/>
              </w:rPr>
              <w:t xml:space="preserve">~ 4,3:1</w:t>
            </w:r>
          </w:p>
        </w:tc>
        <w:tc>
          <w:tcPr/>
          <w:p>
            <w:pPr>
              <w:pStyle w:val="Compact"/>
              <w:spacing w:after="40" w:before="40"/>
              <w:jc w:val="left"/>
            </w:pPr>
            <w:r>
              <w:rPr>
                <w:rFonts w:ascii="Cambria" w:hAnsi="Cambria" w:cs="Cambria" w:eastAsia="Cambria"/>
                <w:color w:val="1A1A1A"/>
                <w:sz w:val="18"/>
              </w:rPr>
              <w:t xml:space="preserve">~ 4,8:1</w:t>
            </w:r>
          </w:p>
        </w:tc>
      </w:tr>
    </w:tbl>
    <w:p>
      <w:pPr>
        <w:pStyle w:val="BodyText"/>
      </w:pPr>
      <w:r>
        <w:rPr>
          <w:i/>
          <w:iCs/>
        </w:rPr>
        <w:t xml:space="preserve">Tabella E.3. Il quadro economico consolidato, con la distinzione fra caso finanziario e caso economico.</w:t>
      </w:r>
    </w:p>
    <w:bookmarkEnd w:id="4477"/>
    <w:bookmarkStart w:id="2556" w:name="X8b0c101fcf8e852e04170e591b2dd1570c2bf14"/>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w:t>
      </w:r>
      <w:r>
        <w:rPr>
          <w:rStyle w:val="FootnoteReference"/>
        </w:rPr>
        <w:footnoteReference w:id="2943"/>
      </w:r>
      <w:r>
        <w:t xml:space="preserve"> </w:t>
      </w:r>
      <w:r>
        <w:t xml:space="preserve">La tabella seguente riepiloga il risultato per paziente.</w:t>
      </w:r>
    </w:p>
    <w:tbl>
      <w:tblPr>
        <w:tblStyle w:val="Table"/>
        <w:tblW w:type="pct" w:w="491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272"/>
        <w:gridCol w:w="1272"/>
        <w:gridCol w:w="18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Comparatore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atteso per paziente</w:t>
            </w:r>
          </w:p>
        </w:tc>
        <w:tc>
          <w:tcPr/>
          <w:p>
            <w:pPr>
              <w:pStyle w:val="Compact"/>
              <w:spacing w:after="40" w:before="40"/>
              <w:jc w:val="left"/>
            </w:pPr>
            <w:r>
              <w:rPr>
                <w:rFonts w:ascii="Cambria" w:hAnsi="Cambria" w:cs="Cambria" w:eastAsia="Cambria"/>
                <w:color w:val="1A1A1A"/>
                <w:sz w:val="18"/>
              </w:rPr>
              <w:t xml:space="preserve">~ 3.799 euro</w:t>
            </w:r>
          </w:p>
        </w:tc>
        <w:tc>
          <w:tcPr/>
          <w:p>
            <w:pPr>
              <w:pStyle w:val="Compact"/>
              <w:spacing w:after="40" w:before="40"/>
              <w:jc w:val="left"/>
            </w:pPr>
            <w:r>
              <w:rPr>
                <w:rFonts w:ascii="Cambria" w:hAnsi="Cambria" w:cs="Cambria" w:eastAsia="Cambria"/>
                <w:color w:val="1A1A1A"/>
                <w:sz w:val="18"/>
              </w:rPr>
              <w:t xml:space="preserve">~ 2.495 euro</w:t>
            </w:r>
          </w:p>
        </w:tc>
        <w:tc>
          <w:tcPr/>
          <w:p>
            <w:pPr>
              <w:pStyle w:val="Compact"/>
              <w:spacing w:after="40" w:before="40"/>
              <w:jc w:val="left"/>
            </w:pPr>
            <w:r>
              <w:rPr>
                <w:rFonts w:ascii="Cambria" w:hAnsi="Cambria" w:cs="Cambria" w:eastAsia="Cambria"/>
                <w:color w:val="1A1A1A"/>
                <w:sz w:val="18"/>
              </w:rPr>
              <w:t xml:space="preserve">− 1.304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Anni di vita ponderati (QALY)</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Intervento dominante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(soglia 30.000 euro/QALY)</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88,9% delle simulazioni</w:t>
            </w:r>
          </w:p>
        </w:tc>
      </w:tr>
    </w:tbl>
    <w:p>
      <w:pPr>
        <w:pStyle w:val="BodyText"/>
      </w:pPr>
      <w:r>
        <w:rPr>
          <w:i/>
          <w:iCs/>
        </w:rPr>
        <w:t xml:space="preserve">Tabella E.4. L’analisi costo-utilità per paziente trattato (modello di Markov a cinque anni).</w:t>
      </w:r>
    </w:p>
    <w:bookmarkEnd w:id="2556"/>
    <w:bookmarkStart w:id="2558" w:name="X2a819b63c6b714e666f12883a538329dd2673a6"/>
    <w:p>
      <w:pPr>
        <w:pStyle w:val="Heading3"/>
      </w:pPr>
      <w:r>
        <w:t xml:space="preserve">E.6 L’impatto sul bilancio, la sostenibilità e la lacuna dei dati</w:t>
      </w:r>
    </w:p>
    <w:p>
      <w:pPr>
        <w:pStyle w:val="FirstParagraph"/>
      </w:pPr>
      <w:r>
        <w:t xml:space="preserve">Sul piano dell’impatto sul bilancio, il costo netto del servizio a regime rappresenta una frazione contenuta della spesa sanitaria, dell’ordine dello 0,2% nello scenario conservativo e dello 0,4% in quello espansivo, su un Fondo sanitario regionale di circa 1,9–2,0 miliardi di euro.</w:t>
      </w:r>
      <w:r>
        <w:rPr>
          <w:rStyle w:val="FootnoteReference"/>
        </w:rPr>
        <w:footnoteReference w:id="2944"/>
      </w:r>
      <w:r>
        <w:t xml:space="preserve"> </w:t>
      </w:r>
      <w:r>
        <w:t xml:space="preserve">La sostenibilità è agevolmente compatibile con la programmazione ordinaria, tanto più che l’obbligo di istituire il servizio è già sancito dalla Legge n. 22/2024, che prevede la copertura degli oneri con le risorse già attribuite alle Aziende USL per il Servizio sanitario regionale. Resta da dichiarare con franchezza la lacuna dei dati: le grandezze economiche sono in parte ricostruite dai conti nazionali per quota di popolazione e non estratte dai conti certificati delle due Aziende USL; il primo triennio di attuazione, presidiato dall’Osservatorio tecnico e dalla clausola valutativa, sarà l’occasione per colmare progressivamente questa lacuna e validare le stime qui sviluppate sui dati reali del servizio umbro. La sintesi è univoca: il caso diretto è prudente e in disavanzo modesto, pienamente sostenibile nell’ambito del Fondo sanitario regionale; il caso sociale è robusto e fortemente positivo; il risultato per paziente è di dominanza con elevata probabilità; e la decisione di principio è già stata assunta dal legislatore.</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dell’informazione</w:t>
      </w:r>
    </w:p>
    <w:p>
      <w:pPr>
        <w:pStyle w:val="BodyText"/>
      </w:pPr>
      <w:r>
        <w:t xml:space="preserve">Quinto dominio dell’HTA · la robustezza della valutazione economica</w:t>
      </w:r>
    </w:p>
    <w:bookmarkEnd w:id="2558"/>
    <w:bookmarkEnd w:id="2559"/>
    <w:bookmarkStart w:id="2569" w:name="parte-f-modellazione-e-incertezza-4"/>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l’Umbria quest’ultimo capitolo si avvale della condizione propria della regione: il quadro normativo è già definito e l’Osservatorio tecnico già costituito, sicché il disegno di verifica empirica dispone di una struttura di governance già operativa su cui innestare la raccolta sistematica dei dati.</w:t>
      </w:r>
    </w:p>
    <w:bookmarkStart w:id="2561" w:name="Xef7a3e5919ea0f08717a6a2f59863f1a6cd05e5"/>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 La storia del paziente è rappresentata attraverso stati clinici mutuamente esclusivi — benessere o disagio sottosoglia, episodio in atto, cronicità e recupero — fra i quali il paziente transita in cicli successivi, su un orizzonte di cinque anni con sconto del 3%. A ciascuno stato sono associati un costo e una qualità di vita, trattati come distribuzioni di probabilità e non come valori puntuali, per riflettere l’incertezza.</w:t>
      </w:r>
      <w:r>
        <w:rPr>
          <w:rStyle w:val="FootnoteReference"/>
        </w:rPr>
        <w:footnoteReference w:id="2945"/>
      </w:r>
      <w:r>
        <w:t xml:space="preserve"> </w:t>
      </w:r>
      <w:r>
        <w:t xml:space="preserve">Nel caso base l’intervento è dominante, con un risparmio per paziente dell’ordine di 1.304 euro e un guadagno di 0,236 anni di vita ponderati per la qualità. La tabella seguente riepiloga i parametri principali del modello.</w:t>
      </w:r>
    </w:p>
    <w:tbl>
      <w:tblPr>
        <w:tblStyle w:val="Table"/>
        <w:tblW w:type="pct" w:w="489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01"/>
        <w:gridCol w:w="475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Stati clinici</w:t>
            </w:r>
          </w:p>
        </w:tc>
        <w:tc>
          <w:tcPr/>
          <w:p>
            <w:pPr>
              <w:pStyle w:val="Compact"/>
              <w:spacing w:after="40" w:before="40"/>
              <w:jc w:val="left"/>
            </w:pPr>
            <w:r>
              <w:rPr>
                <w:rFonts w:ascii="Cambria" w:hAnsi="Cambria" w:cs="Cambria" w:eastAsia="Cambria"/>
                <w:color w:val="1A1A1A"/>
                <w:sz w:val="18"/>
              </w:rPr>
              <w:t xml:space="preserve">Benessere o sottosoglia, episodio, cronicità, recupero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Cinque anni, con cicli successivi</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(recupero)</w:t>
            </w:r>
          </w:p>
        </w:tc>
        <w:tc>
          <w:tcPr>
            <w:shd w:val="clear" w:color="auto" w:fill="F4F1EC"/>
          </w:tcPr>
          <w:p>
            <w:pPr>
              <w:pStyle w:val="Compact"/>
              <w:spacing w:after="40" w:before="40"/>
              <w:jc w:val="left"/>
            </w:pPr>
            <w:r>
              <w:rPr>
                <w:rFonts w:ascii="Cambria" w:hAnsi="Cambria" w:cs="Cambria" w:eastAsia="Cambria"/>
                <w:color w:val="1A1A1A"/>
                <w:sz w:val="18"/>
              </w:rPr>
              <w:t xml:space="preserve">~ 40 euro</w:t>
            </w:r>
          </w:p>
        </w:tc>
      </w:tr>
      <w:tr>
        <w:tc>
          <w:tcPr/>
          <w:p>
            <w:pPr>
              <w:pStyle w:val="Compact"/>
              <w:spacing w:after="40" w:before="40"/>
              <w:jc w:val="left"/>
            </w:pPr>
            <w:r>
              <w:rPr>
                <w:rFonts w:ascii="Cambria" w:hAnsi="Cambria" w:cs="Cambria" w:eastAsia="Cambria"/>
                <w:b/>
                <w:bCs/>
                <w:color w:val="1A1A1A"/>
                <w:sz w:val="18"/>
              </w:rPr>
              <w:t xml:space="preserve">Costo per ciclo (cronicità)</w:t>
            </w:r>
          </w:p>
        </w:tc>
        <w:tc>
          <w:tcPr/>
          <w:p>
            <w:pPr>
              <w:pStyle w:val="Compact"/>
              <w:spacing w:after="40" w:before="40"/>
              <w:jc w:val="left"/>
            </w:pPr>
            <w:r>
              <w:rPr>
                <w:rFonts w:ascii="Cambria" w:hAnsi="Cambria" w:cs="Cambria" w:eastAsia="Cambria"/>
                <w:color w:val="1A1A1A"/>
                <w:sz w:val="18"/>
              </w:rPr>
              <w:t xml:space="preserve">~ 700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 300 euro una tantum</w:t>
            </w:r>
          </w:p>
        </w:tc>
      </w:tr>
      <w:tr>
        <w:tc>
          <w:tcPr/>
          <w:p>
            <w:pPr>
              <w:pStyle w:val="Compact"/>
              <w:spacing w:after="40" w:before="40"/>
              <w:jc w:val="left"/>
            </w:pPr>
            <w:r>
              <w:rPr>
                <w:rFonts w:ascii="Cambria" w:hAnsi="Cambria" w:cs="Cambria" w:eastAsia="Cambria"/>
                <w:b/>
                <w:bCs/>
                <w:color w:val="1A1A1A"/>
                <w:sz w:val="18"/>
              </w:rPr>
              <w:t xml:space="preserve">Trattamento dell’incertezza</w:t>
            </w:r>
          </w:p>
        </w:tc>
        <w:tc>
          <w:tcPr/>
          <w:p>
            <w:pPr>
              <w:pStyle w:val="Compact"/>
              <w:spacing w:after="40" w:before="40"/>
              <w:jc w:val="left"/>
            </w:pPr>
            <w:r>
              <w:rPr>
                <w:rFonts w:ascii="Cambria" w:hAnsi="Cambria" w:cs="Cambria" w:eastAsia="Cambria"/>
                <w:color w:val="1A1A1A"/>
                <w:sz w:val="18"/>
              </w:rPr>
              <w:t xml:space="preserve">Parametri come distribuzioni di probabilità</w:t>
            </w:r>
          </w:p>
        </w:tc>
      </w:tr>
    </w:tbl>
    <w:p>
      <w:pPr>
        <w:pStyle w:val="BodyText"/>
      </w:pPr>
      <w:r>
        <w:rPr>
          <w:i/>
          <w:iCs/>
        </w:rPr>
        <w:t xml:space="preserve">Tabella F.1. I parametri principali del modello di Markov.</w:t>
      </w:r>
    </w:p>
    <w:bookmarkEnd w:id="2561"/>
    <w:bookmarkStart w:id="2563" w:name="f.2-la-sensibilità-deterministica"/>
    <w:p>
      <w:pPr>
        <w:pStyle w:val="Heading3"/>
      </w:pPr>
      <w:r>
        <w:t xml:space="preserve">F.2 La sensibilità deterministica</w:t>
      </w:r>
    </w:p>
    <w:p>
      <w:pPr>
        <w:pStyle w:val="FirstParagraph"/>
      </w:pPr>
      <w:r>
        <w:t xml:space="preserve">L’analisi di sensibilità deterministica varia i parametri chiave uno alla volta e ne misura l’impatto sul risultato. I parametri più influenti sono, nell’ordine: il tasso di recupero, la probabilità di ricaduta nei casi trattati, il costo dell’intervento per paziente e il costo della cronicità non trattata. Per tutti i valori plausibili di questi parametri il risultato di dominanza — intervento meno costoso e più efficace — si mantiene: il tornado diagram conferma che il risultato è stabile rispetto alle variazioni dei singoli parametri entro intervalli ragionevoli. I parametri a cui la conclusione è più sensibile sono il tasso di recupero — che governa il guadagno di qualità di vita — e il costo della cronicità — che governa il risparmio diretto; entrambi presentano stime conservative nel caso base, con margine ulteriore di ottimismo non sfruttato, in linea con la correzione per ottimismo adottata come regola metodologica.</w:t>
      </w:r>
      <w:r>
        <w:rPr>
          <w:rStyle w:val="FootnoteReference"/>
        </w:rPr>
        <w:footnoteReference w:id="2946"/>
      </w:r>
    </w:p>
    <w:bookmarkEnd w:id="2563"/>
    <w:bookmarkStart w:id="2565" w:name="f.3-la-sensibilità-probabilistica"/>
    <w:p>
      <w:pPr>
        <w:pStyle w:val="Heading3"/>
      </w:pPr>
      <w:r>
        <w:t xml:space="preserve">F.3 La sensibilità probabilistica</w:t>
      </w:r>
    </w:p>
    <w:p>
      <w:pPr>
        <w:pStyle w:val="FirstParagraph"/>
      </w:pPr>
      <w:r>
        <w:t xml:space="preserve">L’analisi di sensibilità probabilistica propaga simultaneamente l’incertezza su tutti i parametri del modello, campionandone le distribuzioni in diecimila simulazioni di Monte Carlo. Il risultato è che l’intervento è costo-efficace nell’88,9% delle simulazioni alla soglia di 30.000 euro per QALY e dominante nell’84,6%. La curva di accettabilità costo-efficacia aumenta monotonamente e raggiunge il 90% a una soglia di circa 35.000 euro per QALY, ben al di sotto della soglia convenzionalmente impiegata per le valutazioni sanitarie in Italia. Il piano costo-efficacia mostra che la nuvola di simulazioni si concentra nel quadrante di dominanza — minori costi, maggiori esiti — con una minoranza di simulazioni nel quadrante favorevole ma non dominante (maggiori costi, maggiori esiti, ma a un rapporto costo-efficacia incrementale sotto soglia).</w:t>
      </w:r>
      <w:r>
        <w:rPr>
          <w:rStyle w:val="FootnoteReference"/>
        </w:rPr>
        <w:footnoteReference w:id="2947"/>
      </w:r>
    </w:p>
    <w:bookmarkEnd w:id="2565"/>
    <w:bookmarkStart w:id="2566" w:name="f.4-gli-scenari-di-copertura"/>
    <w:p>
      <w:pPr>
        <w:pStyle w:val="Heading3"/>
      </w:pPr>
      <w:r>
        <w:t xml:space="preserve">F.4 Gli scenari di copertura</w:t>
      </w:r>
    </w:p>
    <w:p>
      <w:pPr>
        <w:pStyle w:val="FirstParagraph"/>
      </w:pPr>
      <w:r>
        <w:t xml:space="preserve">I tre scenari — conservativo, base, espansivo — rappresentano ipotesi di velocità di dispiegamento e di scala del servizio, non alternative di principio. Lo scenario conservativo (170 psicologi) corrisponde alla piena operatività nei soli Distretti sanitari capoluogo delle due Aziende USL, con copertura dell’intera rete dei medici di medicina generale ma con un numero limitato di psicologi per distretto; lo scenario di base (210 psicologi) copre anche i Distretti secondari e garantisce la copertura delle principali Case della Comunità; lo scenario espansivo (250 psicologi) raggiunge anche le comunità appenniniche interne mediante la combinazione di posti in presenza e di telepsicologia assistita. La scelta fra gli scenari non è una scelta tecnica ma politica, e va effettuata nella sede della programmazione sanitaria regionale, con la consulenza dell’Osservatorio tecnico.</w:t>
      </w:r>
    </w:p>
    <w:bookmarkEnd w:id="2566"/>
    <w:bookmarkStart w:id="2568" w:name="X4b0b58f4daa01a5a45dfecdf2c9027e494d7cf7"/>
    <w:p>
      <w:pPr>
        <w:pStyle w:val="Heading3"/>
      </w:pPr>
      <w:r>
        <w:t xml:space="preserve">F.5 La verifica empirica e il valore dell’informazione</w:t>
      </w:r>
    </w:p>
    <w:p>
      <w:pPr>
        <w:pStyle w:val="FirstParagraph"/>
      </w:pPr>
      <w:r>
        <w:t xml:space="preserve">Il valore dell’informazione misura quanto varrebbe, in termini di riduzione dell’incertezza decisionale, disporre di dati locali certificati piuttosto che di stime ricostruite dai conti nazionali. Per l’Umbria, il valore atteso della perfetta informazione è elevato, nell’ordine di diversi milioni di euro per anno, a indicare che l’investimento in un sistema di raccolta dati sistematico e uniforme — già previsto dalla clausola valutativa della Legge n. 22/2024 e dall’Osservatorio tecnico regionale — è esso stesso un investimento economicamente giustificato. Il disegno della verifica empirica prende la forma di un esperimento a cunei progressivi: l’attivazione del servizio nei Distretti delle due Aziende USL in tempi differenziati, con l’ordine e i tempi di attivazione impiegati a fini valutativi, e l’effetto causale stimato dai metodi della differenza-nelle-differenze e del controllo sintetico.</w:t>
      </w:r>
      <w:r>
        <w:rPr>
          <w:rStyle w:val="FootnoteReference"/>
        </w:rPr>
        <w:footnoteReference w:id="2948"/>
      </w:r>
      <w:r>
        <w:t xml:space="preserve"> </w:t>
      </w:r>
      <w:r>
        <w:t xml:space="preserve">L’Osservatorio tecnico regionale è la sede naturale per presidiare la qualità della raccolta e la comparabilità dei dati fra i Distretti.</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assi territoriali, strumenti, costo-efficacia distributiva</w:t>
      </w:r>
    </w:p>
    <w:p>
      <w:pPr>
        <w:pStyle w:val="BodyText"/>
      </w:pPr>
      <w:r>
        <w:t xml:space="preserve">Ottavo dominio dell’HTA · l’equità distributiva</w:t>
      </w:r>
    </w:p>
    <w:bookmarkEnd w:id="2568"/>
    <w:bookmarkEnd w:id="2569"/>
    <w:bookmarkStart w:id="2575" w:name="parte-g-equità-e-impatto-distributivo-9"/>
    <w:p>
      <w:pPr>
        <w:pStyle w:val="Heading2"/>
      </w:pPr>
      <w:r>
        <w:t xml:space="preserve">Parte G — Equità e impatto distributivo</w:t>
      </w:r>
    </w:p>
    <w:p>
      <w:pPr>
        <w:pStyle w:val="FirstParagraph"/>
      </w:pPr>
      <w:r>
        <w:t xml:space="preserve">Questa parte affronta l’ottavo dominio della valutazione, quello dell’equità e dell’impatto distributivo. Come per le altre regioni, la struttura è invariante: la parte analizza il problema dell’equità (capitolo G.1); ne identifica gli assi di disuguaglianza rilevanti per l’Umbria (G.2); ne indica gli strumenti per misurare l’equità distributiva (G.3); e ne sviluppa la costo-efficacia distributiva (G.4). Il tratto specifico dell’Umbria in questa parte è il peso della disuguaglianza territoriale, data la struttura bipolare del territorio, e della disuguaglianza per età, data l’estrema prevalenza dell’anzianità in alcune aree interne.</w:t>
      </w:r>
    </w:p>
    <w:bookmarkStart w:id="4478" w:name="g.1-il-problema-dellequità"/>
    <w:p>
      <w:pPr>
        <w:pStyle w:val="Heading3"/>
      </w:pPr>
      <w:r>
        <w:t xml:space="preserve">G.1 Il problema dell’equità</w:t>
      </w:r>
    </w:p>
    <w:p>
      <w:pPr>
        <w:pStyle w:val="FirstParagraph"/>
      </w:pPr>
      <w:r>
        <w:t xml:space="preserve">Il servizio di psicologia di cure primarie ha, per sua natura, un potenziale di equità elevato: si colloca a monte del sistema specialistico, riduce le barriere di accesso economiche e culturali, e raggiunge segmenti di popolazione che i servizi specialistici a pagamento non raggiungono. Tuttavia, affinché questo potenziale si realizzi, il servizio deve essere distribuito equamente sul territorio: la sua concentrazione nelle sole aree urbane, dove i servizi sono già più dotati, ne pervertirebbe la funzione riproducendo le disuguaglianze invece di ridurle.</w:t>
      </w:r>
      <w:r>
        <w:rPr>
          <w:rStyle w:val="FootnoteReference"/>
        </w:rPr>
        <w:footnoteReference w:id="2949"/>
      </w:r>
      <w:r>
        <w:t xml:space="preserve"> </w:t>
      </w:r>
      <w:r>
        <w:t xml:space="preserve">Per l’Umbria, la questione equitativa centrale è l’accesso delle comunità appenniniche interne, anziane e in spopolamento, per le quali il servizio è al tempo stesso più necessario e più difficile da raggiungere in presenza.</w:t>
      </w:r>
    </w:p>
    <w:bookmarkEnd w:id="4478"/>
    <w:bookmarkStart w:id="2572" w:name="X37a500082f6a0fc726be34f5fb32f07a763a6ac"/>
    <w:p>
      <w:pPr>
        <w:pStyle w:val="Heading3"/>
      </w:pPr>
      <w:r>
        <w:t xml:space="preserve">G.2 Gli assi di disuguaglianza nell’Umbria</w:t>
      </w:r>
    </w:p>
    <w:p>
      <w:pPr>
        <w:pStyle w:val="FirstParagraph"/>
      </w:pPr>
      <w:r>
        <w:t xml:space="preserve">Gli assi di disuguaglianza rilevanti per l’analisi distributiva del servizio nell’Umbria sono tre. Il primo, territoriale, è il più rilevante: contrappone le aree urbane di Perugia e Terni, con servizi concentrati e accessibili, alle comunità appenniniche interne — i comprensori di Foligno, Spoleto, Norcia, Orvieto, Amelia — dove la distanza dai servizi, la carenza di trasporti pubblici e l’invecchiamento della popolazione rendono l’accesso fisico al servizio strutturalmente oneroso. Il secondo, generazionale, contrappone la domanda degli anziani e dei caregiver, prevalente nelle aree interne, alla domanda giovanile e studentesca, prevalente nelle aree universitarie di Perugia. Il terzo, socioeconomico, riguarda la quota di popolazione con minore alfabetizzazione sanitaria e con barriere di accesso economiche ai servizi privati, che rappresenta il bacino tipico di utenza non intercettata che il servizio pubblico di primo livello può raggiungere.</w:t>
      </w:r>
    </w:p>
    <w:bookmarkEnd w:id="2572"/>
    <w:bookmarkStart w:id="2573" w:name="X3745d1cae47bda0ff82454589e7013c61ed4cbf"/>
    <w:p>
      <w:pPr>
        <w:pStyle w:val="Heading3"/>
      </w:pPr>
      <w:r>
        <w:t xml:space="preserve">G.3 Gli strumenti per la misura dell’equità</w:t>
      </w:r>
    </w:p>
    <w:p>
      <w:pPr>
        <w:pStyle w:val="FirstParagraph"/>
      </w:pPr>
      <w:r>
        <w:t xml:space="preserve">La costo-efficacia distributiva, sviluppata nel capitolo G.4, è lo strumento principale per la misura formale dell’equità. Sul piano operativo, essa richiede dati di accesso disaggregati per Distretto sanitario, fascia d’età, genere e livello di istruzione, i cui flussi sono già previsti dalla clausola valutativa della Legge n. 22/2024. Un secondo strumento è la mappatura della copertura effettiva: il rapporto fra psicologi attivi per distretto e popolazione residente, con disaggregazione per Distretto, è l’indicatore di primo livello per monitorare che il dispiegamento del servizio rispetti il principio equitativo di maggiore presenza nelle aree a maggiore bisogno. Un terzo strumento è la quota di accesso per via diretta rispetto all’accesso su invio: una quota elevata di accessi diretti nelle aree a bassa istruzione e nelle fasce anziane è l’indicatore che il servizio è effettivamente accessibile senza intermediazione medica.</w:t>
      </w:r>
    </w:p>
    <w:bookmarkEnd w:id="2573"/>
    <w:bookmarkStart w:id="2574" w:name="g.4-la-costo-efficacia-distributiva"/>
    <w:p>
      <w:pPr>
        <w:pStyle w:val="Heading3"/>
      </w:pPr>
      <w:r>
        <w:t xml:space="preserve">G.4 La costo-efficacia distributiva</w:t>
      </w:r>
    </w:p>
    <w:p>
      <w:pPr>
        <w:pStyle w:val="FirstParagraph"/>
      </w:pPr>
      <w:r>
        <w:t xml:space="preserve">La costo-efficacia distributiva integra la dimensione dell’equità nell’analisi economica, pesando i guadagni di salute in base alla posizione sulla scala delle disuguaglianze: un QALY guadagnato da una persona in condizione di svantaggio ha un peso maggiore di uno guadagnato da una persona in condizione avvantaggiata. Nella prospettiva distributiva, il servizio umbro presenta caratteristiche favorevoli: per la struttura demografica della regione, che concentra il bisogno nelle aree più svantaggiate (anziane e interne), la funzione di benessere distributiva sposta il risultato a favore dell’intervento rispetto al caso standard non ponderato. La tabella seguente espone il framework distributivo e i suoi elementi.</w:t>
      </w:r>
    </w:p>
    <w:tbl>
      <w:tblPr>
        <w:tblStyle w:val="Table"/>
        <w:tblW w:type="pct" w:w="493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80"/>
        <w:gridCol w:w="4058"/>
        <w:gridCol w:w="17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r>
      <w:tr>
        <w:tc>
          <w:tcPr/>
          <w:p>
            <w:pPr>
              <w:pStyle w:val="Compact"/>
              <w:spacing w:after="40" w:before="40"/>
              <w:jc w:val="left"/>
            </w:pPr>
            <w:r>
              <w:rPr>
                <w:rFonts w:ascii="Cambria" w:hAnsi="Cambria" w:cs="Cambria" w:eastAsia="Cambria"/>
                <w:b/>
                <w:bCs/>
                <w:color w:val="1A1A1A"/>
                <w:sz w:val="18"/>
              </w:rPr>
              <w:t xml:space="preserve">Accesso per area geografica</w:t>
            </w:r>
          </w:p>
        </w:tc>
        <w:tc>
          <w:tcPr/>
          <w:p>
            <w:pPr>
              <w:pStyle w:val="Compact"/>
              <w:spacing w:after="40" w:before="40"/>
              <w:jc w:val="left"/>
            </w:pPr>
            <w:r>
              <w:rPr>
                <w:rFonts w:ascii="Cambria" w:hAnsi="Cambria" w:cs="Cambria" w:eastAsia="Cambria"/>
                <w:color w:val="1A1A1A"/>
                <w:sz w:val="18"/>
              </w:rPr>
              <w:t xml:space="preserve">Psicologi per 100.000 residenti per Distretto F</w:t>
            </w:r>
          </w:p>
        </w:tc>
        <w:tc>
          <w:tcPr/>
          <w:p>
            <w:pPr>
              <w:pStyle w:val="Compact"/>
              <w:spacing w:after="40" w:before="40"/>
              <w:jc w:val="left"/>
            </w:pPr>
            <w:r>
              <w:rPr>
                <w:rFonts w:ascii="Cambria" w:hAnsi="Cambria" w:cs="Cambria" w:eastAsia="Cambria"/>
                <w:color w:val="1A1A1A"/>
                <w:sz w:val="18"/>
              </w:rPr>
              <w:t xml:space="preserve">lusso dati Osservatorio tecnico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Accesso per fascia d’età</w:t>
            </w:r>
          </w:p>
        </w:tc>
        <w:tc>
          <w:tcPr>
            <w:shd w:val="clear" w:color="auto" w:fill="F4F1EC"/>
          </w:tcPr>
          <w:p>
            <w:pPr>
              <w:pStyle w:val="Compact"/>
              <w:spacing w:after="40" w:before="40"/>
              <w:jc w:val="left"/>
            </w:pPr>
            <w:r>
              <w:rPr>
                <w:rFonts w:ascii="Cambria" w:hAnsi="Cambria" w:cs="Cambria" w:eastAsia="Cambria"/>
                <w:color w:val="1A1A1A"/>
                <w:sz w:val="18"/>
              </w:rPr>
              <w:t xml:space="preserve">Quota di prese in carico over-65 sul totale</w:t>
            </w:r>
          </w:p>
        </w:tc>
        <w:tc>
          <w:tcPr>
            <w:shd w:val="clear" w:color="auto" w:fill="F4F1EC"/>
          </w:tcPr>
          <w:p>
            <w:pPr>
              <w:pStyle w:val="Compact"/>
              <w:spacing w:after="40" w:before="40"/>
              <w:jc w:val="left"/>
            </w:pPr>
            <w:r>
              <w:rPr>
                <w:rFonts w:ascii="Cambria" w:hAnsi="Cambria" w:cs="Cambria" w:eastAsia="Cambria"/>
                <w:color w:val="1A1A1A"/>
                <w:sz w:val="18"/>
              </w:rPr>
              <w:t xml:space="preserve">Clausola valutativa L.R. 22/2024</w:t>
            </w:r>
          </w:p>
        </w:tc>
      </w:tr>
      <w:tr>
        <w:tc>
          <w:tcPr/>
          <w:p>
            <w:pPr>
              <w:pStyle w:val="Compact"/>
              <w:spacing w:after="40" w:before="40"/>
              <w:jc w:val="left"/>
            </w:pPr>
            <w:r>
              <w:rPr>
                <w:rFonts w:ascii="Cambria" w:hAnsi="Cambria" w:cs="Cambria" w:eastAsia="Cambria"/>
                <w:b/>
                <w:bCs/>
                <w:color w:val="1A1A1A"/>
                <w:sz w:val="18"/>
              </w:rPr>
              <w:t xml:space="preserve">Accesso per livello socioeconomico</w:t>
            </w:r>
          </w:p>
        </w:tc>
        <w:tc>
          <w:tcPr/>
          <w:p>
            <w:pPr>
              <w:pStyle w:val="Compact"/>
              <w:spacing w:after="40" w:before="40"/>
              <w:jc w:val="left"/>
            </w:pPr>
            <w:r>
              <w:rPr>
                <w:rFonts w:ascii="Cambria" w:hAnsi="Cambria" w:cs="Cambria" w:eastAsia="Cambria"/>
                <w:color w:val="1A1A1A"/>
                <w:sz w:val="18"/>
              </w:rPr>
              <w:t xml:space="preserve">Quota di accessi diretti (senza invio medico) per fascia di istruzione</w:t>
            </w:r>
          </w:p>
        </w:tc>
        <w:tc>
          <w:tcPr/>
          <w:p>
            <w:pPr>
              <w:pStyle w:val="Compact"/>
              <w:spacing w:after="40" w:before="40"/>
              <w:jc w:val="left"/>
            </w:pPr>
            <w:r>
              <w:rPr>
                <w:rFonts w:ascii="Cambria" w:hAnsi="Cambria" w:cs="Cambria" w:eastAsia="Cambria"/>
                <w:color w:val="1A1A1A"/>
                <w:sz w:val="18"/>
              </w:rPr>
              <w:t xml:space="preserve">Sistema informativo aziendale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 di genere</w:t>
            </w:r>
          </w:p>
        </w:tc>
        <w:tc>
          <w:tcPr>
            <w:shd w:val="clear" w:color="auto" w:fill="F4F1EC"/>
          </w:tcPr>
          <w:p>
            <w:pPr>
              <w:pStyle w:val="Compact"/>
              <w:spacing w:after="40" w:before="40"/>
              <w:jc w:val="left"/>
            </w:pPr>
            <w:r>
              <w:rPr>
                <w:rFonts w:ascii="Cambria" w:hAnsi="Cambria" w:cs="Cambria" w:eastAsia="Cambria"/>
                <w:color w:val="1A1A1A"/>
                <w:sz w:val="18"/>
              </w:rPr>
              <w:t xml:space="preserve">Distribuzione per genere delle prese in carico</w:t>
            </w:r>
          </w:p>
        </w:tc>
        <w:tc>
          <w:tcPr>
            <w:shd w:val="clear" w:color="auto" w:fill="F4F1EC"/>
          </w:tcPr>
          <w:p>
            <w:pPr>
              <w:pStyle w:val="Compact"/>
              <w:spacing w:after="40" w:before="40"/>
              <w:jc w:val="left"/>
            </w:pPr>
            <w:r>
              <w:rPr>
                <w:rFonts w:ascii="Cambria" w:hAnsi="Cambria" w:cs="Cambria" w:eastAsia="Cambria"/>
                <w:color w:val="1A1A1A"/>
                <w:sz w:val="18"/>
              </w:rPr>
              <w:t xml:space="preserve">Relazione annuale Osservatorio</w:t>
            </w:r>
          </w:p>
        </w:tc>
      </w:tr>
    </w:tbl>
    <w:p>
      <w:pPr>
        <w:pStyle w:val="BodyText"/>
      </w:pPr>
      <w:r>
        <w:rPr>
          <w:i/>
          <w:iCs/>
        </w:rPr>
        <w:t xml:space="preserve">Tabella G.1. Il framework distributivo e gli indicatori di equità per il servizio umbro.</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Quadro giuridico, assetto organizzativo, dimensione etica, sintesi dei vincoli e delle opportunità</w:t>
      </w:r>
    </w:p>
    <w:p>
      <w:pPr>
        <w:pStyle w:val="BodyText"/>
      </w:pPr>
      <w:r>
        <w:t xml:space="preserve">Sesto, settimo e nono dominio dell’HTA · i profili non economici della valutazione</w:t>
      </w:r>
    </w:p>
    <w:bookmarkEnd w:id="2574"/>
    <w:bookmarkEnd w:id="2575"/>
    <w:bookmarkStart w:id="4479" w:name="X9a4c20df9b0c5da6b7db4bc85c9a3c5e992f91d"/>
    <w:p>
      <w:pPr>
        <w:pStyle w:val="Heading2"/>
      </w:pPr>
      <w:r>
        <w:t xml:space="preserve">Parte H — Profili etico, giuridico e organizzativo</w:t>
      </w:r>
    </w:p>
    <w:p>
      <w:pPr>
        <w:pStyle w:val="FirstParagraph"/>
      </w:pPr>
      <w:r>
        <w:t xml:space="preserve">Questa parte affronta tre domini trasversali della valutazione — il giuridico (capitolo H.1), l’organizzativo (H.2), l’etico (H.3) e la loro sintesi (H.4) — che la valutazione non può omettere senza perdere la sua completezza. Per l’Umbria, i profili giuridico e organizzativo presentano una configurazione particolarmente favorevole nella serie, per effetto della Legge n. 22/2024, che ha già risolto molti dei problemi giuridici e organizzativi che si pongono per le regioni prive di legge.</w:t>
      </w:r>
    </w:p>
    <w:bookmarkStart w:id="2577" w:name="h.1-il-profilo-giuridico-3"/>
    <w:p>
      <w:pPr>
        <w:pStyle w:val="Heading3"/>
      </w:pPr>
      <w:r>
        <w:t xml:space="preserve">H.1 Il profilo giuridico</w:t>
      </w:r>
    </w:p>
    <w:p>
      <w:pPr>
        <w:pStyle w:val="FirstParagraph"/>
      </w:pPr>
      <w:r>
        <w:t xml:space="preserve">Il quadro giuridico del servizio di psicologia di cure primarie nell’Umbria è il più completo della serie delle regioni esaminate, insieme a quello di poche altre regioni dotate di legge organica. La Legge regionale 28 ottobre 2024, n. 22, ha risolto le principali questioni giuridiche: la definizione del servizio (art. 176-bis), i compiti dello psicologo di cure primarie (art. 176-quater), l’elenco regionale (art. 176-quinquies), l’organizzazione a livello distrettuale (art. 176-sexies), il sistema di monitoraggio (art. 176-septies) e la governance dell’Osservatorio tecnico (art. 176-octies).</w:t>
      </w:r>
      <w:r>
        <w:rPr>
          <w:rStyle w:val="FootnoteReference"/>
        </w:rPr>
        <w:footnoteReference w:id="2950"/>
      </w:r>
      <w:r>
        <w:t xml:space="preserve"> </w:t>
      </w:r>
      <w:r>
        <w:t xml:space="preserve">Rimangono aperte alcune questioni attuative di secondo livello — le modalità di compartecipazione alla spesa, le modalità di gestione degli incarichi convenzionali, il regolamento del corso abilitante — per le quali la Giunta regionale deve intervenire entro i termini previsti dalla legge. Il quadro normativo nazionale, che non prevede ancora una disciplina della figura dello psicologo di base, non ostacola la legge umbra, che si inserisce nei poteri regionali in materia di organizzazione dei servizi sanitari. L’analisi di impatto della regolamentazione in chiave ex ante ha dunque già superato la fase più critica con l’approvazione della legge; ciò che resta da valutare è l’efficacia attuativa della norma nel primo triennio, oggetto della clausola valutativa.</w:t>
      </w:r>
    </w:p>
    <w:bookmarkEnd w:id="2577"/>
    <w:bookmarkStart w:id="2579" w:name="h.2-il-profilo-organizzativo"/>
    <w:p>
      <w:pPr>
        <w:pStyle w:val="Heading3"/>
      </w:pPr>
      <w:r>
        <w:t xml:space="preserve">H.2 Il profilo organizzativo</w:t>
      </w:r>
    </w:p>
    <w:p>
      <w:pPr>
        <w:pStyle w:val="FirstParagraph"/>
      </w:pPr>
      <w:r>
        <w:t xml:space="preserve">Sul piano organizzativo, il modello delineato dalla Legge n. 22/2024 è coerente con le migliori pratiche internazionali: presidio distrettuale, raccordo con MMG e PLS, integrazione con le Case della Comunità, referente clinico aziendale, Osservatorio tecnico regionale. La sfida organizzativa non è progettare il modello, già definito, ma attuarlo: in particolare, occorre completare la disciplina del corso abilitante, aggiornare l’elenco regionale con le procedure transitorie previste, definire con le Aziende USL le modalità di incarico convenzionale e garantire l’uniformità del servizio fra i Distretti delle due Aziende USL. L’Osservatorio tecnico, già istituito con DGR 477/2025, è lo strumento di coordinamento e di programmazione attuativa; la sua composizione — che include rappresentanti di entrambe le Aziende USL, di entrambe le Aziende Ospedaliere, dell’Ordine, dei MMG e PLS, dell’Università e delle società scientifiche — garantisce una visione multistakeholder della messa a regime.</w:t>
      </w:r>
      <w:r>
        <w:rPr>
          <w:rStyle w:val="FootnoteReference"/>
        </w:rPr>
        <w:footnoteReference w:id="2951"/>
      </w:r>
      <w:r>
        <w:t xml:space="preserve"> </w:t>
      </w:r>
      <w:r>
        <w:t xml:space="preserve">Il rischio organizzativo principale non è la disomogeneità del modello, già fissato dalla legge, ma la lentezza attuativa, che il presente studio valuta come il fattore di rischio principale da presidiare nel cronoprogramma.</w:t>
      </w:r>
    </w:p>
    <w:bookmarkEnd w:id="2579"/>
    <w:bookmarkStart w:id="4480" w:name="h.3-il-profilo-etico-3"/>
    <w:p>
      <w:pPr>
        <w:pStyle w:val="Heading3"/>
      </w:pPr>
      <w:r>
        <w:t xml:space="preserve">H.3 Il profilo etico</w:t>
      </w:r>
    </w:p>
    <w:p>
      <w:pPr>
        <w:pStyle w:val="FirstParagraph"/>
      </w:pPr>
      <w:r>
        <w:t xml:space="preserve">Sul piano etico, il servizio di psicologia di cure primarie pone questioni che riguardano la riservatezza del paziente, la competenza professionale, il consenso informato, la tutela dei minori e delle persone vulnerabili e la prevenzione di pratiche inappropriate. Tutte queste questioni sono affrontate dal quadro normativo esistente — codice deontologico degli psicologi, normativa sulla protezione dei dati personali, disciplina dei dispositivi medici — e non richiedono interventi normativi aggiuntivi specifici per il servizio umbro. Un elemento etico di rilievo è la gratuità del servizio: la Legge n. 22/2024 prevede che i costi dell’assistenza siano a carico del Servizio sanitario regionale, con eventuale compartecipazione da definire dalla Giunta, ma pone come principio la facilità di accesso alle cure per la salvaguardia della salute psico-fisica, in attuazione dell’art. 32 della Costituzione. Questa scelta ha un rilievo etico diretto: riduce la barriera economica che, nei sistemi di sola offerta privata, esclude sistematicamente le fasce meno abbienti, proprio quelle con i maggiori bisogni.</w:t>
      </w:r>
    </w:p>
    <w:bookmarkEnd w:id="4480"/>
    <w:bookmarkStart w:id="4481" w:name="X9b335a500303703f1747b4dbcf0876361997904"/>
    <w:p>
      <w:pPr>
        <w:pStyle w:val="Heading3"/>
      </w:pPr>
      <w:r>
        <w:t xml:space="preserve">H.4 Sintesi dei vincoli e delle opportunità</w:t>
      </w:r>
    </w:p>
    <w:p>
      <w:pPr>
        <w:pStyle w:val="FirstParagraph"/>
      </w:pPr>
      <w:r>
        <w:t xml:space="preserve">La tabella seguente riepiloga i vincoli e le opportunità del profilo etico, giuridico e organizzativo per l’Umbria, che nel complesso presenta la configurazione più favorevole per la messa a regime del servizio fra le regioni di medie dimensioni della serie.</w:t>
      </w:r>
    </w:p>
    <w:tbl>
      <w:tblPr>
        <w:tblStyle w:val="Table"/>
        <w:tblW w:type="pct" w:w="494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848"/>
        <w:gridCol w:w="4242"/>
        <w:gridCol w:w="273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w:t>
            </w:r>
          </w:p>
        </w:tc>
        <w:tc>
          <w:tcPr>
            <w:shd w:val="clear" w:color="auto" w:fill="16264B"/>
          </w:tcPr>
          <w:p>
            <w:pPr>
              <w:pStyle w:val="Compact"/>
              <w:spacing w:after="40" w:before="40"/>
              <w:jc w:val="left"/>
            </w:pPr>
            <w:r>
              <w:rPr>
                <w:rFonts w:ascii="Cambria" w:hAnsi="Cambria" w:cs="Cambria" w:eastAsia="Cambria"/>
                <w:b/>
                <w:bCs/>
                <w:color w:val="FFFFFF"/>
                <w:sz w:val="18"/>
              </w:rPr>
              <w:t xml:space="preserve">Vincolo</w:t>
            </w:r>
          </w:p>
        </w:tc>
        <w:tc>
          <w:tcPr>
            <w:shd w:val="clear" w:color="auto" w:fill="16264B"/>
          </w:tcPr>
          <w:p>
            <w:pPr>
              <w:pStyle w:val="Compact"/>
              <w:spacing w:after="40" w:before="40"/>
              <w:jc w:val="left"/>
            </w:pPr>
            <w:r>
              <w:rPr>
                <w:rFonts w:ascii="Cambria" w:hAnsi="Cambria" w:cs="Cambria" w:eastAsia="Cambria"/>
                <w:b/>
                <w:bCs/>
                <w:color w:val="FFFFFF"/>
                <w:sz w:val="18"/>
              </w:rPr>
              <w:t xml:space="preserve">Opportunità</w:t>
            </w:r>
          </w:p>
        </w:tc>
      </w:tr>
      <w:tr>
        <w:tc>
          <w:tcPr/>
          <w:p>
            <w:pPr>
              <w:pStyle w:val="Compact"/>
              <w:spacing w:after="40" w:before="40"/>
              <w:jc w:val="left"/>
            </w:pPr>
            <w:r>
              <w:rPr>
                <w:rFonts w:ascii="Cambria" w:hAnsi="Cambria" w:cs="Cambria" w:eastAsia="Cambria"/>
                <w:b/>
                <w:bCs/>
                <w:color w:val="1A1A1A"/>
                <w:sz w:val="18"/>
              </w:rPr>
              <w:t xml:space="preserve">Giuridica</w:t>
            </w:r>
          </w:p>
        </w:tc>
        <w:tc>
          <w:tcPr/>
          <w:p>
            <w:pPr>
              <w:pStyle w:val="Compact"/>
              <w:spacing w:after="40" w:before="40"/>
              <w:jc w:val="left"/>
            </w:pPr>
            <w:r>
              <w:rPr>
                <w:rFonts w:ascii="Cambria" w:hAnsi="Cambria" w:cs="Cambria" w:eastAsia="Cambria"/>
                <w:color w:val="1A1A1A"/>
                <w:sz w:val="18"/>
              </w:rPr>
              <w:t xml:space="preserve">Disciplina attuativa di secondo livello ancora da completare (corsi abilitanti, incarichi)</w:t>
            </w:r>
          </w:p>
        </w:tc>
        <w:tc>
          <w:tcPr/>
          <w:p>
            <w:pPr>
              <w:pStyle w:val="Compact"/>
              <w:spacing w:after="40" w:before="40"/>
              <w:jc w:val="left"/>
            </w:pPr>
            <w:r>
              <w:rPr>
                <w:rFonts w:ascii="Cambria" w:hAnsi="Cambria" w:cs="Cambria" w:eastAsia="Cambria"/>
                <w:color w:val="1A1A1A"/>
                <w:sz w:val="18"/>
              </w:rPr>
              <w:t xml:space="preserve">Legge organica già approvata; elenco regionale previsto; clausola valutativa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Organizzativa</w:t>
            </w:r>
          </w:p>
        </w:tc>
        <w:tc>
          <w:tcPr>
            <w:shd w:val="clear" w:color="auto" w:fill="F4F1EC"/>
          </w:tcPr>
          <w:p>
            <w:pPr>
              <w:pStyle w:val="Compact"/>
              <w:spacing w:after="40" w:before="40"/>
              <w:jc w:val="left"/>
            </w:pPr>
            <w:r>
              <w:rPr>
                <w:rFonts w:ascii="Cambria" w:hAnsi="Cambria" w:cs="Cambria" w:eastAsia="Cambria"/>
                <w:color w:val="1A1A1A"/>
                <w:sz w:val="18"/>
              </w:rPr>
              <w:t xml:space="preserve">Rischio di lentezza attuativa e disomogeneità fra Distretti</w:t>
            </w:r>
          </w:p>
        </w:tc>
        <w:tc>
          <w:tcPr>
            <w:shd w:val="clear" w:color="auto" w:fill="F4F1EC"/>
          </w:tcPr>
          <w:p>
            <w:pPr>
              <w:pStyle w:val="Compact"/>
              <w:spacing w:after="40" w:before="40"/>
              <w:jc w:val="left"/>
            </w:pPr>
            <w:r>
              <w:rPr>
                <w:rFonts w:ascii="Cambria" w:hAnsi="Cambria" w:cs="Cambria" w:eastAsia="Cambria"/>
                <w:color w:val="1A1A1A"/>
                <w:sz w:val="18"/>
              </w:rPr>
              <w:t xml:space="preserve">Osservatorio tecnico già istituito; referente clinico aziendale; raccordo MMG/PLS</w:t>
            </w:r>
          </w:p>
        </w:tc>
      </w:tr>
      <w:tr>
        <w:tc>
          <w:tcPr/>
          <w:p>
            <w:pPr>
              <w:pStyle w:val="Compact"/>
              <w:spacing w:after="40" w:before="40"/>
              <w:jc w:val="left"/>
            </w:pPr>
            <w:r>
              <w:rPr>
                <w:rFonts w:ascii="Cambria" w:hAnsi="Cambria" w:cs="Cambria" w:eastAsia="Cambria"/>
                <w:b/>
                <w:bCs/>
                <w:color w:val="1A1A1A"/>
                <w:sz w:val="18"/>
              </w:rPr>
              <w:t xml:space="preserve">Etica</w:t>
            </w:r>
          </w:p>
        </w:tc>
        <w:tc>
          <w:tcPr/>
          <w:p>
            <w:pPr>
              <w:pStyle w:val="Compact"/>
              <w:spacing w:after="40" w:before="40"/>
              <w:jc w:val="left"/>
            </w:pPr>
            <w:r>
              <w:rPr>
                <w:rFonts w:ascii="Cambria" w:hAnsi="Cambria" w:cs="Cambria" w:eastAsia="Cambria"/>
                <w:color w:val="1A1A1A"/>
                <w:sz w:val="18"/>
              </w:rPr>
              <w:t xml:space="preserve">Bilanciamento fra accesso universale e qualità professionale</w:t>
            </w:r>
          </w:p>
        </w:tc>
        <w:tc>
          <w:tcPr/>
          <w:p>
            <w:pPr>
              <w:pStyle w:val="Compact"/>
              <w:spacing w:after="40" w:before="40"/>
              <w:jc w:val="left"/>
            </w:pPr>
            <w:r>
              <w:rPr>
                <w:rFonts w:ascii="Cambria" w:hAnsi="Cambria" w:cs="Cambria" w:eastAsia="Cambria"/>
                <w:color w:val="1A1A1A"/>
                <w:sz w:val="18"/>
              </w:rPr>
              <w:t xml:space="preserve">Gratuità del servizio; corso abilitante come garanzia di competenza</w:t>
            </w:r>
          </w:p>
        </w:tc>
      </w:tr>
    </w:tbl>
    <w:p>
      <w:pPr>
        <w:pStyle w:val="BodyText"/>
      </w:pPr>
      <w:r>
        <w:rPr>
          <w:i/>
          <w:iCs/>
        </w:rPr>
        <w:t xml:space="preserve">Tabella H.1. Sintesi dei vincoli e delle opportunità nei profili etico, giuridico e organizzativo.</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Cinque casi del Five Case Model, dimensionamento, cronoprogramma, sostenibilità, rischi</w:t>
      </w:r>
    </w:p>
    <w:p>
      <w:pPr>
        <w:pStyle w:val="BodyText"/>
      </w:pPr>
      <w:r>
        <w:t xml:space="preserve">Settimo dominio dell’HTA · la fattibilità e la sostenibilità dell’intervento</w:t>
      </w:r>
    </w:p>
    <w:bookmarkEnd w:id="4481"/>
    <w:bookmarkEnd w:id="4479"/>
    <w:bookmarkStart w:id="2588" w:name="Xd68f80cd79e217a3a2a8fb05a20c64e6ba7f64b"/>
    <w:p>
      <w:pPr>
        <w:pStyle w:val="Heading2"/>
      </w:pPr>
      <w:r>
        <w:t xml:space="preserve">Parte I — Attuazione, fattibilità e sostenibilità</w:t>
      </w:r>
    </w:p>
    <w:p>
      <w:pPr>
        <w:pStyle w:val="FirstParagraph"/>
      </w:pPr>
      <w:r>
        <w:t xml:space="preserve">Questa parte affronta il settimo dominio della valutazione, quello dell’attuazione e della sostenibilità. Come per le altre regioni, la struttura è quella del Five Case Model, che ordina i contenuti in cinque casi (capitolo I.1); definisce il dimensionamento del servizio (I.2); ne delinea il cronoprogramma (I.3); ne verifica la sostenibilità (I.4); e ne identifica i rischi principali (I.5). Per l’Umbria, questa parte è la più operativa dell’intero studio, poiché la decisione di principio è già assunta e la sfida è la messa a regime.</w:t>
      </w:r>
    </w:p>
    <w:bookmarkStart w:id="4482" w:name="i.1-i-cinque-casi-del-five-case-model"/>
    <w:p>
      <w:pPr>
        <w:pStyle w:val="Heading3"/>
      </w:pPr>
      <w:r>
        <w:t xml:space="preserve">I.1 I cinque casi del Five Case Model</w:t>
      </w:r>
    </w:p>
    <w:p>
      <w:pPr>
        <w:pStyle w:val="FirstParagraph"/>
      </w:pPr>
      <w:r>
        <w:t xml:space="preserve">Il Five Case Model ordina i contenuti di una decisione di investimento pubblico in cinque casi, che together costituiscono la base per la decisione. Il caso strategico dimostra la pertinenza del servizio rispetto ai bisogni della popolazione e alla strategia sanitaria regionale: per l’Umbria, il caso strategico è già stato fatto dal legislatore con l’approvazione della Legge n. 22/2024. Il caso economico dimostra che il valore prodotto giustifica l’investimento: è il cuore della Parte E, con un rapporto beneficio-costo di 3,7–4,8 a uno. Il caso finanziario dimostra che il costo è sostenibile per il bilancio sanitario: il costo netto è dell’ordine di 4–7 milioni l’anno, agevolmente compatibile con un Fondo sanitario regionale di 1,9–2,0 miliardi. Il caso commerciale dimostra che il modello di approvvigionamento è fattibile: la Legge n. 22/2024 ha già previsto sia l’inquadramento in incarichi convenzionali sia il ricorso all’elenco regionale dei professionisti abilitati. Il caso gestionale dimostra che la struttura organizzativa e di governance è adeguata: l’Osservatorio tecnico regionale, il referente clinico aziendale e la clausola valutativa costituiscono i tre pilastri della governance già operativa.</w:t>
      </w:r>
    </w:p>
    <w:bookmarkEnd w:id="4482"/>
    <w:bookmarkStart w:id="4483" w:name="i.2-il-dimensionamento-del-servizio"/>
    <w:p>
      <w:pPr>
        <w:pStyle w:val="Heading3"/>
      </w:pPr>
      <w:r>
        <w:t xml:space="preserve">I.2 Il dimensionamento del servizio</w:t>
      </w:r>
    </w:p>
    <w:p>
      <w:pPr>
        <w:pStyle w:val="FirstParagraph"/>
      </w:pPr>
      <w:r>
        <w:t xml:space="preserve">Il dimensionamento del servizio a regime, espresso in numero di psicologi per i tre scenari, è stato sviluppato nella Parte E e si colloca su 170 psicologi nello scenario conservativo, 210 in quello di base e 250 in quello espansivo. Il parametro di riferimento per il dimensionamento è il rapporto fra psicologi e popolazione servita: applicando i parametri del modello, uno psicologo di cure primarie gestisce un carico di circa 700–800 prese in carico all’anno, distribuite su cicli di 4–8 colloqui brevi, per una popolazione di riferimento di circa 3.500–4.000 assistiti. Con 854.137 residenti e applicando un tasso di accesso progressivo al servizio, il fabbisogno a regime si colloca nella fascia indicata. La distribuzione fra le due Aziende USL segue la proporzione della popolazione: Umbria 1, con sede a Perugia, copre la parte settentrionale e centrale della regione (province di Perugia); Umbria 2, con sede a Terni, copre la parte meridionale (province di Terni).</w:t>
      </w:r>
    </w:p>
    <w:tbl>
      <w:tblPr>
        <w:tblStyle w:val="Table"/>
        <w:tblW w:type="pct" w:w="489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53"/>
        <w:gridCol w:w="1914"/>
        <w:gridCol w:w="1914"/>
        <w:gridCol w:w="226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 USL 1</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 USL 2</w:t>
            </w:r>
          </w:p>
        </w:tc>
        <w:tc>
          <w:tcPr>
            <w:shd w:val="clear" w:color="auto" w:fill="16264B"/>
          </w:tcPr>
          <w:p>
            <w:pPr>
              <w:pStyle w:val="Compact"/>
              <w:spacing w:after="40" w:before="40"/>
              <w:jc w:val="left"/>
            </w:pPr>
            <w:r>
              <w:rPr>
                <w:rFonts w:ascii="Cambria" w:hAnsi="Cambria" w:cs="Cambria" w:eastAsia="Cambria"/>
                <w:b/>
                <w:bCs/>
                <w:color w:val="FFFFFF"/>
                <w:sz w:val="18"/>
              </w:rPr>
              <w:t xml:space="preserve">Totale</w:t>
            </w:r>
          </w:p>
        </w:tc>
      </w:tr>
      <w:tr>
        <w:tc>
          <w:tcPr/>
          <w:p>
            <w:pPr>
              <w:pStyle w:val="Compact"/>
              <w:spacing w:after="40" w:before="40"/>
              <w:jc w:val="left"/>
            </w:pPr>
            <w:r>
              <w:rPr>
                <w:rFonts w:ascii="Cambria" w:hAnsi="Cambria" w:cs="Cambria" w:eastAsia="Cambria"/>
                <w:b/>
                <w:bCs/>
                <w:color w:val="1A1A1A"/>
                <w:sz w:val="18"/>
              </w:rPr>
              <w:t xml:space="preserve">Conservativo</w:t>
            </w:r>
          </w:p>
        </w:tc>
        <w:tc>
          <w:tcPr/>
          <w:p>
            <w:pPr>
              <w:pStyle w:val="Compact"/>
              <w:spacing w:after="40" w:before="40"/>
              <w:jc w:val="left"/>
            </w:pPr>
            <w:r>
              <w:rPr>
                <w:rFonts w:ascii="Cambria" w:hAnsi="Cambria" w:cs="Cambria" w:eastAsia="Cambria"/>
                <w:color w:val="1A1A1A"/>
                <w:sz w:val="18"/>
              </w:rPr>
              <w:t xml:space="preserve">~ 110</w:t>
            </w:r>
          </w:p>
        </w:tc>
        <w:tc>
          <w:tcPr/>
          <w:p>
            <w:pPr>
              <w:pStyle w:val="Compact"/>
              <w:spacing w:after="40" w:before="40"/>
              <w:jc w:val="left"/>
            </w:pPr>
            <w:r>
              <w:rPr>
                <w:rFonts w:ascii="Cambria" w:hAnsi="Cambria" w:cs="Cambria" w:eastAsia="Cambria"/>
                <w:color w:val="1A1A1A"/>
                <w:sz w:val="18"/>
              </w:rPr>
              <w:t xml:space="preserve">~ 60</w:t>
            </w:r>
          </w:p>
        </w:tc>
        <w:tc>
          <w:tcPr/>
          <w:p>
            <w:pPr>
              <w:pStyle w:val="Compact"/>
              <w:spacing w:after="40" w:before="40"/>
              <w:jc w:val="left"/>
            </w:pPr>
            <w:r>
              <w:rPr>
                <w:rFonts w:ascii="Cambria" w:hAnsi="Cambria" w:cs="Cambria" w:eastAsia="Cambria"/>
                <w:color w:val="1A1A1A"/>
                <w:sz w:val="18"/>
              </w:rPr>
              <w:t xml:space="preserve">~ 170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Base</w:t>
            </w:r>
          </w:p>
        </w:tc>
        <w:tc>
          <w:tcPr>
            <w:shd w:val="clear" w:color="auto" w:fill="F4F1EC"/>
          </w:tcPr>
          <w:p>
            <w:pPr>
              <w:pStyle w:val="Compact"/>
              <w:spacing w:after="40" w:before="40"/>
              <w:jc w:val="left"/>
            </w:pPr>
            <w:r>
              <w:rPr>
                <w:rFonts w:ascii="Cambria" w:hAnsi="Cambria" w:cs="Cambria" w:eastAsia="Cambria"/>
                <w:color w:val="1A1A1A"/>
                <w:sz w:val="18"/>
              </w:rPr>
              <w:t xml:space="preserve">~ 135</w:t>
            </w:r>
          </w:p>
        </w:tc>
        <w:tc>
          <w:tcPr>
            <w:shd w:val="clear" w:color="auto" w:fill="F4F1EC"/>
          </w:tcPr>
          <w:p>
            <w:pPr>
              <w:pStyle w:val="Compact"/>
              <w:spacing w:after="40" w:before="40"/>
              <w:jc w:val="left"/>
            </w:pPr>
            <w:r>
              <w:rPr>
                <w:rFonts w:ascii="Cambria" w:hAnsi="Cambria" w:cs="Cambria" w:eastAsia="Cambria"/>
                <w:color w:val="1A1A1A"/>
                <w:sz w:val="18"/>
              </w:rPr>
              <w:t xml:space="preserve">~ 75</w:t>
            </w:r>
          </w:p>
        </w:tc>
        <w:tc>
          <w:tcPr>
            <w:shd w:val="clear" w:color="auto" w:fill="F4F1EC"/>
          </w:tcPr>
          <w:p>
            <w:pPr>
              <w:pStyle w:val="Compact"/>
              <w:spacing w:after="40" w:before="40"/>
              <w:jc w:val="left"/>
            </w:pPr>
            <w:r>
              <w:rPr>
                <w:rFonts w:ascii="Cambria" w:hAnsi="Cambria" w:cs="Cambria" w:eastAsia="Cambria"/>
                <w:color w:val="1A1A1A"/>
                <w:sz w:val="18"/>
              </w:rPr>
              <w:t xml:space="preserve">~ 210</w:t>
            </w:r>
          </w:p>
        </w:tc>
      </w:tr>
      <w:tr>
        <w:tc>
          <w:tcPr/>
          <w:p>
            <w:pPr>
              <w:pStyle w:val="Compact"/>
              <w:spacing w:after="40" w:before="40"/>
              <w:jc w:val="left"/>
            </w:pPr>
            <w:r>
              <w:rPr>
                <w:rFonts w:ascii="Cambria" w:hAnsi="Cambria" w:cs="Cambria" w:eastAsia="Cambria"/>
                <w:b/>
                <w:bCs/>
                <w:color w:val="1A1A1A"/>
                <w:sz w:val="18"/>
              </w:rPr>
              <w:t xml:space="preserve">Espansivo</w:t>
            </w:r>
          </w:p>
        </w:tc>
        <w:tc>
          <w:tcPr/>
          <w:p>
            <w:pPr>
              <w:pStyle w:val="Compact"/>
              <w:spacing w:after="40" w:before="40"/>
              <w:jc w:val="left"/>
            </w:pPr>
            <w:r>
              <w:rPr>
                <w:rFonts w:ascii="Cambria" w:hAnsi="Cambria" w:cs="Cambria" w:eastAsia="Cambria"/>
                <w:color w:val="1A1A1A"/>
                <w:sz w:val="18"/>
              </w:rPr>
              <w:t xml:space="preserve">~ 160</w:t>
            </w:r>
          </w:p>
        </w:tc>
        <w:tc>
          <w:tcPr/>
          <w:p>
            <w:pPr>
              <w:pStyle w:val="Compact"/>
              <w:spacing w:after="40" w:before="40"/>
              <w:jc w:val="left"/>
            </w:pPr>
            <w:r>
              <w:rPr>
                <w:rFonts w:ascii="Cambria" w:hAnsi="Cambria" w:cs="Cambria" w:eastAsia="Cambria"/>
                <w:color w:val="1A1A1A"/>
                <w:sz w:val="18"/>
              </w:rPr>
              <w:t xml:space="preserve">~ 90</w:t>
            </w:r>
          </w:p>
        </w:tc>
        <w:tc>
          <w:tcPr/>
          <w:p>
            <w:pPr>
              <w:pStyle w:val="Compact"/>
              <w:spacing w:after="40" w:before="40"/>
              <w:jc w:val="left"/>
            </w:pPr>
            <w:r>
              <w:rPr>
                <w:rFonts w:ascii="Cambria" w:hAnsi="Cambria" w:cs="Cambria" w:eastAsia="Cambria"/>
                <w:color w:val="1A1A1A"/>
                <w:sz w:val="18"/>
              </w:rPr>
              <w:t xml:space="preserve">~ 250</w:t>
            </w:r>
          </w:p>
        </w:tc>
      </w:tr>
    </w:tbl>
    <w:p>
      <w:pPr>
        <w:pStyle w:val="BodyText"/>
      </w:pPr>
      <w:r>
        <w:rPr>
          <w:i/>
          <w:iCs/>
        </w:rPr>
        <w:t xml:space="preserve">Tabella I.1. Distribuzione del fabbisogno di psicologi per Azienda USL e scenario.</w:t>
      </w:r>
    </w:p>
    <w:bookmarkEnd w:id="4483"/>
    <w:bookmarkStart w:id="4484" w:name="i.3-il-cronoprogramma"/>
    <w:p>
      <w:pPr>
        <w:pStyle w:val="Heading3"/>
      </w:pPr>
      <w:r>
        <w:t xml:space="preserve">I.3 Il cronoprogramma</w:t>
      </w:r>
    </w:p>
    <w:p>
      <w:pPr>
        <w:pStyle w:val="FirstParagraph"/>
      </w:pPr>
      <w:r>
        <w:t xml:space="preserve">Il cronoprogramma di messa a regime si articola in tre fasi. La fase zero (2025–2026), già avviata, corrisponde alla sperimentazione finanziata con 103.349 euro/anno: attivazione di un numero limitato di psicologi nei Distretti capoluogo, definizione del corso abilitante, avvio dell’Osservatorio tecnico, raccolta dei primi dati di processo. La fase uno (2027–2028) corrisponde allo scenario conservativo: 170 psicologi attivi nei principali Distretti sanitari delle due Aziende USL, sistema informativo uniforme operativo, primo ciclo di relazioni annuali della clausola valutativa. La fase due (2029–2030) corrisponde allo scenario di base (210 psicologi) e poi all’avvio dello scenario espansivo (250 psicologi), con estensione alle aree interne mediante telepsicologia assistita e presenza periodica nei Distretti secondari. Il cronoprogramma è condizionato alla disponibilità del corso abilitante e all’aggiornamento dell’elenco regionale, che devono essere completati nella fase zero.</w:t>
      </w:r>
    </w:p>
    <w:tbl>
      <w:tblPr>
        <w:tblStyle w:val="Table"/>
        <w:tblW w:type="pct" w:w="488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30"/>
        <w:gridCol w:w="1080"/>
        <w:gridCol w:w="1440"/>
        <w:gridCol w:w="369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w:t>
            </w:r>
          </w:p>
        </w:tc>
        <w:tc>
          <w:tcPr>
            <w:shd w:val="clear" w:color="auto" w:fill="16264B"/>
          </w:tcPr>
          <w:p>
            <w:pPr>
              <w:pStyle w:val="Compact"/>
              <w:spacing w:after="40" w:before="40"/>
              <w:jc w:val="left"/>
            </w:pPr>
            <w:r>
              <w:rPr>
                <w:rFonts w:ascii="Cambria" w:hAnsi="Cambria" w:cs="Cambria" w:eastAsia="Cambria"/>
                <w:b/>
                <w:bCs/>
                <w:color w:val="FFFFFF"/>
                <w:sz w:val="18"/>
              </w:rPr>
              <w:t xml:space="preserve">Anno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Azione principale</w:t>
            </w:r>
          </w:p>
        </w:tc>
      </w:tr>
      <w:tr>
        <w:tc>
          <w:tcPr/>
          <w:p>
            <w:pPr>
              <w:pStyle w:val="Compact"/>
              <w:spacing w:after="40" w:before="40"/>
              <w:jc w:val="left"/>
            </w:pPr>
            <w:r>
              <w:rPr>
                <w:rFonts w:ascii="Cambria" w:hAnsi="Cambria" w:cs="Cambria" w:eastAsia="Cambria"/>
                <w:b/>
                <w:bCs/>
                <w:color w:val="1A1A1A"/>
                <w:sz w:val="18"/>
              </w:rPr>
              <w:t xml:space="preserve">Fase 0</w:t>
            </w:r>
          </w:p>
        </w:tc>
        <w:tc>
          <w:tcPr/>
          <w:p>
            <w:pPr>
              <w:pStyle w:val="Compact"/>
              <w:spacing w:after="40" w:before="40"/>
              <w:jc w:val="left"/>
            </w:pPr>
            <w:r>
              <w:rPr>
                <w:rFonts w:ascii="Cambria" w:hAnsi="Cambria" w:cs="Cambria" w:eastAsia="Cambria"/>
                <w:color w:val="1A1A1A"/>
                <w:sz w:val="18"/>
              </w:rPr>
              <w:t xml:space="preserve">2025–2026</w:t>
            </w:r>
          </w:p>
        </w:tc>
        <w:tc>
          <w:tcPr/>
          <w:p>
            <w:pPr>
              <w:pStyle w:val="Compact"/>
              <w:spacing w:after="40" w:before="40"/>
              <w:jc w:val="left"/>
            </w:pPr>
            <w:r>
              <w:rPr>
                <w:rFonts w:ascii="Cambria" w:hAnsi="Cambria" w:cs="Cambria" w:eastAsia="Cambria"/>
                <w:color w:val="1A1A1A"/>
                <w:sz w:val="18"/>
              </w:rPr>
              <w:t xml:space="preserve">Sperimentale</w:t>
            </w:r>
          </w:p>
        </w:tc>
        <w:tc>
          <w:tcPr/>
          <w:p>
            <w:pPr>
              <w:pStyle w:val="Compact"/>
              <w:spacing w:after="40" w:before="40"/>
              <w:jc w:val="left"/>
            </w:pPr>
            <w:r>
              <w:rPr>
                <w:rFonts w:ascii="Cambria" w:hAnsi="Cambria" w:cs="Cambria" w:eastAsia="Cambria"/>
                <w:color w:val="1A1A1A"/>
                <w:sz w:val="18"/>
              </w:rPr>
              <w:t xml:space="preserve">Sperimentazione; disciplina corsi; Osservatorio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Fase 1</w:t>
            </w:r>
          </w:p>
        </w:tc>
        <w:tc>
          <w:tcPr>
            <w:shd w:val="clear" w:color="auto" w:fill="F4F1EC"/>
          </w:tcPr>
          <w:p>
            <w:pPr>
              <w:pStyle w:val="Compact"/>
              <w:spacing w:after="40" w:before="40"/>
              <w:jc w:val="left"/>
            </w:pPr>
            <w:r>
              <w:rPr>
                <w:rFonts w:ascii="Cambria" w:hAnsi="Cambria" w:cs="Cambria" w:eastAsia="Cambria"/>
                <w:color w:val="1A1A1A"/>
                <w:sz w:val="18"/>
              </w:rPr>
              <w:t xml:space="preserve">2027–2028</w:t>
            </w:r>
          </w:p>
        </w:tc>
        <w:tc>
          <w:tcPr>
            <w:shd w:val="clear" w:color="auto" w:fill="F4F1EC"/>
          </w:tcPr>
          <w:p>
            <w:pPr>
              <w:pStyle w:val="Compact"/>
              <w:spacing w:after="40" w:before="40"/>
              <w:jc w:val="left"/>
            </w:pPr>
            <w:r>
              <w:rPr>
                <w:rFonts w:ascii="Cambria" w:hAnsi="Cambria" w:cs="Cambria" w:eastAsia="Cambria"/>
                <w:color w:val="1A1A1A"/>
                <w:sz w:val="18"/>
              </w:rPr>
              <w:t xml:space="preserve">~ 170</w:t>
            </w:r>
          </w:p>
        </w:tc>
        <w:tc>
          <w:tcPr>
            <w:shd w:val="clear" w:color="auto" w:fill="F4F1EC"/>
          </w:tcPr>
          <w:p>
            <w:pPr>
              <w:pStyle w:val="Compact"/>
              <w:spacing w:after="40" w:before="40"/>
              <w:jc w:val="left"/>
            </w:pPr>
            <w:r>
              <w:rPr>
                <w:rFonts w:ascii="Cambria" w:hAnsi="Cambria" w:cs="Cambria" w:eastAsia="Cambria"/>
                <w:color w:val="1A1A1A"/>
                <w:sz w:val="18"/>
              </w:rPr>
              <w:t xml:space="preserve">Scenario conservativo a regime; sistema informativo</w:t>
            </w:r>
          </w:p>
        </w:tc>
      </w:tr>
      <w:tr>
        <w:tc>
          <w:tcPr/>
          <w:p>
            <w:pPr>
              <w:pStyle w:val="Compact"/>
              <w:spacing w:after="40" w:before="40"/>
              <w:jc w:val="left"/>
            </w:pPr>
            <w:r>
              <w:rPr>
                <w:rFonts w:ascii="Cambria" w:hAnsi="Cambria" w:cs="Cambria" w:eastAsia="Cambria"/>
                <w:b/>
                <w:bCs/>
                <w:color w:val="1A1A1A"/>
                <w:sz w:val="18"/>
              </w:rPr>
              <w:t xml:space="preserve">Fase 2a</w:t>
            </w:r>
          </w:p>
        </w:tc>
        <w:tc>
          <w:tcPr/>
          <w:p>
            <w:pPr>
              <w:pStyle w:val="Compact"/>
              <w:spacing w:after="40" w:before="40"/>
              <w:jc w:val="left"/>
            </w:pPr>
            <w:r>
              <w:rPr>
                <w:rFonts w:ascii="Cambria" w:hAnsi="Cambria" w:cs="Cambria" w:eastAsia="Cambria"/>
                <w:color w:val="1A1A1A"/>
                <w:sz w:val="18"/>
              </w:rPr>
              <w:t xml:space="preserve">2029–2030</w:t>
            </w:r>
          </w:p>
        </w:tc>
        <w:tc>
          <w:tcPr/>
          <w:p>
            <w:pPr>
              <w:pStyle w:val="Compact"/>
              <w:spacing w:after="40" w:before="40"/>
              <w:jc w:val="left"/>
            </w:pPr>
            <w:r>
              <w:rPr>
                <w:rFonts w:ascii="Cambria" w:hAnsi="Cambria" w:cs="Cambria" w:eastAsia="Cambria"/>
                <w:color w:val="1A1A1A"/>
                <w:sz w:val="18"/>
              </w:rPr>
              <w:t xml:space="preserve">~ 210</w:t>
            </w:r>
          </w:p>
        </w:tc>
        <w:tc>
          <w:tcPr/>
          <w:p>
            <w:pPr>
              <w:pStyle w:val="Compact"/>
              <w:spacing w:after="40" w:before="40"/>
              <w:jc w:val="left"/>
            </w:pPr>
            <w:r>
              <w:rPr>
                <w:rFonts w:ascii="Cambria" w:hAnsi="Cambria" w:cs="Cambria" w:eastAsia="Cambria"/>
                <w:color w:val="1A1A1A"/>
                <w:sz w:val="18"/>
              </w:rPr>
              <w:t xml:space="preserve">Scenario di base; estensione alle aree secondarie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Fase 2b</w:t>
            </w:r>
          </w:p>
        </w:tc>
        <w:tc>
          <w:tcPr>
            <w:shd w:val="clear" w:color="auto" w:fill="F4F1EC"/>
          </w:tcPr>
          <w:p>
            <w:pPr>
              <w:pStyle w:val="Compact"/>
              <w:spacing w:after="40" w:before="40"/>
              <w:jc w:val="left"/>
            </w:pPr>
            <w:r>
              <w:rPr>
                <w:rFonts w:ascii="Cambria" w:hAnsi="Cambria" w:cs="Cambria" w:eastAsia="Cambria"/>
                <w:color w:val="1A1A1A"/>
                <w:sz w:val="18"/>
              </w:rPr>
              <w:t xml:space="preserve">2031+</w:t>
            </w:r>
          </w:p>
        </w:tc>
        <w:tc>
          <w:tcPr>
            <w:shd w:val="clear" w:color="auto" w:fill="F4F1EC"/>
          </w:tcPr>
          <w:p>
            <w:pPr>
              <w:pStyle w:val="Compact"/>
              <w:spacing w:after="40" w:before="40"/>
              <w:jc w:val="left"/>
            </w:pPr>
            <w:r>
              <w:rPr>
                <w:rFonts w:ascii="Cambria" w:hAnsi="Cambria" w:cs="Cambria" w:eastAsia="Cambria"/>
                <w:color w:val="1A1A1A"/>
                <w:sz w:val="18"/>
              </w:rPr>
              <w:t xml:space="preserve">~ 250</w:t>
            </w:r>
          </w:p>
        </w:tc>
        <w:tc>
          <w:tcPr>
            <w:shd w:val="clear" w:color="auto" w:fill="F4F1EC"/>
          </w:tcPr>
          <w:p>
            <w:pPr>
              <w:pStyle w:val="Compact"/>
              <w:spacing w:after="40" w:before="40"/>
              <w:jc w:val="left"/>
            </w:pPr>
            <w:r>
              <w:rPr>
                <w:rFonts w:ascii="Cambria" w:hAnsi="Cambria" w:cs="Cambria" w:eastAsia="Cambria"/>
                <w:color w:val="1A1A1A"/>
                <w:sz w:val="18"/>
              </w:rPr>
              <w:t xml:space="preserve">Scenario espansivo; copertura piena con telepsicologia</w:t>
            </w:r>
          </w:p>
        </w:tc>
      </w:tr>
    </w:tbl>
    <w:p>
      <w:pPr>
        <w:pStyle w:val="BodyText"/>
      </w:pPr>
      <w:r>
        <w:rPr>
          <w:i/>
          <w:iCs/>
        </w:rPr>
        <w:t xml:space="preserve">Tabella I.2. Il cronoprogramma di messa a regime del servizio nelle tre fasi.</w:t>
      </w:r>
    </w:p>
    <w:bookmarkEnd w:id="4484"/>
    <w:bookmarkStart w:id="4485" w:name="i.4-la-sostenibilità-1"/>
    <w:p>
      <w:pPr>
        <w:pStyle w:val="Heading3"/>
      </w:pPr>
      <w:r>
        <w:t xml:space="preserve">I.4 La sostenibilità</w:t>
      </w:r>
    </w:p>
    <w:p>
      <w:pPr>
        <w:pStyle w:val="FirstParagraph"/>
      </w:pPr>
      <w:r>
        <w:t xml:space="preserve">La sostenibilità del servizio si legge su tre dimensioni. La sostenibilità finanziaria è garantita dalla Legge n. 22/2024, che prevede la copertura degli oneri con le risorse già attribuite alle Aziende USL per il Servizio sanitario regionale, e dalla compatibilità del costo netto con il Fondo sanitario regionale: il costo netto di 4–7 milioni l’anno è pari allo 0,2–0,4% del Fondo, una quota ampiamente sostenibile. La sostenibilità professionale è garantita dall’elenco regionale degli psicologi di cure primarie e dal corso abilitante, che assicurano un pool di professionisti qualificati; nella fase transitoria, le modalità di reclutamento dei professionisti già attivi nelle strutture del Servizio sanitario regionale garantiscono la disponibilità immediata. La sostenibilità istituzionale è garantita dall’Osservatorio tecnico, che presidia la qualità, l’uniformità e la progressione del servizio, e dalla clausola valutativa, che impone una rendicontazione annuale al Consiglio regionale.</w:t>
      </w:r>
    </w:p>
    <w:bookmarkEnd w:id="4485"/>
    <w:bookmarkStart w:id="2587" w:name="i.5-i-rischi-principali"/>
    <w:p>
      <w:pPr>
        <w:pStyle w:val="Heading3"/>
      </w:pPr>
      <w:r>
        <w:t xml:space="preserve">I.5 I rischi principali</w:t>
      </w:r>
    </w:p>
    <w:p>
      <w:pPr>
        <w:pStyle w:val="FirstParagraph"/>
      </w:pPr>
      <w:r>
        <w:t xml:space="preserve">I rischi principali per la messa a regime del servizio sono quattro. Il primo è la lentezza attuativa: il rischio che i procedimenti di secondo livello (corso abilitante, modalità di incarico convenzionale, compartecipazione alla spesa) si prolunghino oltre i termini previsti, ritardando il dispiegamento. Il secondo è la disomogeneità fra Distretti: il rischio che alcune Aziende USL attivino il servizio in modo più rapido e completo di altre, generando disuguaglianze di accesso intraregionali. Il terzo è la carenza di professionisti: il rischio che il bacino di psicologi disponibili e disposti ad accettare incarichi convenzionali nelle aree interne sia insufficiente per lo scenario espansivo. Il quarto è la lacuna dei dati: il rischio che il sistema informativo non produca dati di esito uniformi e comparabili, impedendo la valutazione dell’efficacia reale e la validazione delle stime economiche.</w:t>
      </w:r>
    </w:p>
    <w:tbl>
      <w:tblPr>
        <w:tblStyle w:val="Table"/>
        <w:tblW w:type="pct" w:w="493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33"/>
        <w:gridCol w:w="891"/>
        <w:gridCol w:w="792"/>
        <w:gridCol w:w="450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Probabilità</w:t>
            </w:r>
          </w:p>
        </w:tc>
        <w:tc>
          <w:tcPr>
            <w:shd w:val="clear" w:color="auto" w:fill="16264B"/>
          </w:tcPr>
          <w:p>
            <w:pPr>
              <w:pStyle w:val="Compact"/>
              <w:spacing w:after="40" w:before="40"/>
              <w:jc w:val="left"/>
            </w:pPr>
            <w:r>
              <w:rPr>
                <w:rFonts w:ascii="Cambria" w:hAnsi="Cambria" w:cs="Cambria" w:eastAsia="Cambria"/>
                <w:b/>
                <w:bCs/>
                <w:color w:val="FFFFFF"/>
                <w:sz w:val="18"/>
              </w:rPr>
              <w:t xml:space="preserve">Impatto</w:t>
            </w:r>
          </w:p>
        </w:tc>
        <w:tc>
          <w:tcPr>
            <w:shd w:val="clear" w:color="auto" w:fill="16264B"/>
          </w:tcPr>
          <w:p>
            <w:pPr>
              <w:pStyle w:val="Compact"/>
              <w:spacing w:after="40" w:before="40"/>
              <w:jc w:val="left"/>
            </w:pPr>
            <w:r>
              <w:rPr>
                <w:rFonts w:ascii="Cambria" w:hAnsi="Cambria" w:cs="Cambria" w:eastAsia="Cambria"/>
                <w:b/>
                <w:bCs/>
                <w:color w:val="FFFFFF"/>
                <w:sz w:val="18"/>
              </w:rPr>
              <w:t xml:space="preserve">Misura di mitigazione</w:t>
            </w:r>
          </w:p>
        </w:tc>
      </w:tr>
      <w:tr>
        <w:tc>
          <w:tcPr/>
          <w:p>
            <w:pPr>
              <w:pStyle w:val="Compact"/>
              <w:spacing w:after="40" w:before="40"/>
              <w:jc w:val="left"/>
            </w:pPr>
            <w:r>
              <w:rPr>
                <w:rFonts w:ascii="Cambria" w:hAnsi="Cambria" w:cs="Cambria" w:eastAsia="Cambria"/>
                <w:b/>
                <w:bCs/>
                <w:color w:val="1A1A1A"/>
                <w:sz w:val="18"/>
              </w:rPr>
              <w:t xml:space="preserve">Lentezza attuativa</w:t>
            </w:r>
          </w:p>
        </w:tc>
        <w:tc>
          <w:tcPr/>
          <w:p>
            <w:pPr>
              <w:pStyle w:val="Compact"/>
              <w:spacing w:after="40" w:before="40"/>
              <w:jc w:val="left"/>
            </w:pPr>
            <w:r>
              <w:rPr>
                <w:rFonts w:ascii="Cambria" w:hAnsi="Cambria" w:cs="Cambria" w:eastAsia="Cambria"/>
                <w:color w:val="1A1A1A"/>
                <w:sz w:val="18"/>
              </w:rPr>
              <w:t xml:space="preserve">Medio-alta</w:t>
            </w:r>
          </w:p>
        </w:tc>
        <w:tc>
          <w:tcPr/>
          <w:p>
            <w:pPr>
              <w:pStyle w:val="Compact"/>
              <w:spacing w:after="40" w:before="40"/>
              <w:jc w:val="left"/>
            </w:pPr>
            <w:r>
              <w:rPr>
                <w:rFonts w:ascii="Cambria" w:hAnsi="Cambria" w:cs="Cambria" w:eastAsia="Cambria"/>
                <w:color w:val="1A1A1A"/>
                <w:sz w:val="18"/>
              </w:rPr>
              <w:t xml:space="preserve">Medio</w:t>
            </w:r>
          </w:p>
        </w:tc>
        <w:tc>
          <w:tcPr/>
          <w:p>
            <w:pPr>
              <w:pStyle w:val="Compact"/>
              <w:spacing w:after="40" w:before="40"/>
              <w:jc w:val="left"/>
            </w:pPr>
            <w:r>
              <w:rPr>
                <w:rFonts w:ascii="Cambria" w:hAnsi="Cambria" w:cs="Cambria" w:eastAsia="Cambria"/>
                <w:color w:val="1A1A1A"/>
                <w:sz w:val="18"/>
              </w:rPr>
              <w:t xml:space="preserve">Presidio politico sui termini di legge; monitoraggio dell’Osservatorio tecnico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Disomogeneità distrettuale</w:t>
            </w:r>
          </w:p>
        </w:tc>
        <w:tc>
          <w:tcPr>
            <w:shd w:val="clear" w:color="auto" w:fill="F4F1EC"/>
          </w:tcPr>
          <w:p>
            <w:pPr>
              <w:pStyle w:val="Compact"/>
              <w:spacing w:after="40" w:before="40"/>
              <w:jc w:val="left"/>
            </w:pPr>
            <w:r>
              <w:rPr>
                <w:rFonts w:ascii="Cambria" w:hAnsi="Cambria" w:cs="Cambria" w:eastAsia="Cambria"/>
                <w:color w:val="1A1A1A"/>
                <w:sz w:val="18"/>
              </w:rPr>
              <w:t xml:space="preserve">Media</w:t>
            </w:r>
          </w:p>
        </w:tc>
        <w:tc>
          <w:tcPr>
            <w:shd w:val="clear" w:color="auto" w:fill="F4F1EC"/>
          </w:tcPr>
          <w:p>
            <w:pPr>
              <w:pStyle w:val="Compact"/>
              <w:spacing w:after="40" w:before="40"/>
              <w:jc w:val="left"/>
            </w:pPr>
            <w:r>
              <w:rPr>
                <w:rFonts w:ascii="Cambria" w:hAnsi="Cambria" w:cs="Cambria" w:eastAsia="Cambria"/>
                <w:color w:val="1A1A1A"/>
                <w:sz w:val="18"/>
              </w:rPr>
              <w:t xml:space="preserve">Medio</w:t>
            </w:r>
          </w:p>
        </w:tc>
        <w:tc>
          <w:tcPr>
            <w:shd w:val="clear" w:color="auto" w:fill="F4F1EC"/>
          </w:tcPr>
          <w:p>
            <w:pPr>
              <w:pStyle w:val="Compact"/>
              <w:spacing w:after="40" w:before="40"/>
              <w:jc w:val="left"/>
            </w:pPr>
            <w:r>
              <w:rPr>
                <w:rFonts w:ascii="Cambria" w:hAnsi="Cambria" w:cs="Cambria" w:eastAsia="Cambria"/>
                <w:color w:val="1A1A1A"/>
                <w:sz w:val="18"/>
              </w:rPr>
              <w:t xml:space="preserve">Linee guida uniformi; checklist di conformità aziendale; funzione di indirizzo dell’Osservatorio</w:t>
            </w:r>
          </w:p>
        </w:tc>
      </w:tr>
      <w:tr>
        <w:tc>
          <w:tcPr/>
          <w:p>
            <w:pPr>
              <w:pStyle w:val="Compact"/>
              <w:spacing w:after="40" w:before="40"/>
              <w:jc w:val="left"/>
            </w:pPr>
            <w:r>
              <w:rPr>
                <w:rFonts w:ascii="Cambria" w:hAnsi="Cambria" w:cs="Cambria" w:eastAsia="Cambria"/>
                <w:b/>
                <w:bCs/>
                <w:color w:val="1A1A1A"/>
                <w:sz w:val="18"/>
              </w:rPr>
              <w:t xml:space="preserve">Carenza di professionisti</w:t>
            </w:r>
          </w:p>
        </w:tc>
        <w:tc>
          <w:tcPr/>
          <w:p>
            <w:pPr>
              <w:pStyle w:val="Compact"/>
              <w:spacing w:after="40" w:before="40"/>
              <w:jc w:val="left"/>
            </w:pPr>
            <w:r>
              <w:rPr>
                <w:rFonts w:ascii="Cambria" w:hAnsi="Cambria" w:cs="Cambria" w:eastAsia="Cambria"/>
                <w:color w:val="1A1A1A"/>
                <w:sz w:val="18"/>
              </w:rPr>
              <w:t xml:space="preserve">Media</w:t>
            </w:r>
          </w:p>
        </w:tc>
        <w:tc>
          <w:tcPr/>
          <w:p>
            <w:pPr>
              <w:pStyle w:val="Compact"/>
              <w:spacing w:after="40" w:before="40"/>
              <w:jc w:val="left"/>
            </w:pPr>
            <w:r>
              <w:rPr>
                <w:rFonts w:ascii="Cambria" w:hAnsi="Cambria" w:cs="Cambria" w:eastAsia="Cambria"/>
                <w:color w:val="1A1A1A"/>
                <w:sz w:val="18"/>
              </w:rPr>
              <w:t xml:space="preserve">Alto</w:t>
            </w:r>
          </w:p>
        </w:tc>
        <w:tc>
          <w:tcPr/>
          <w:p>
            <w:pPr>
              <w:pStyle w:val="Compact"/>
              <w:spacing w:after="40" w:before="40"/>
              <w:jc w:val="left"/>
            </w:pPr>
            <w:r>
              <w:rPr>
                <w:rFonts w:ascii="Cambria" w:hAnsi="Cambria" w:cs="Cambria" w:eastAsia="Cambria"/>
                <w:color w:val="1A1A1A"/>
                <w:sz w:val="18"/>
              </w:rPr>
              <w:t xml:space="preserve">Incentivi per le aree interne; accordi con l’Università; telepsicologia come alternativa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Lacuna dei dati</w:t>
            </w:r>
          </w:p>
        </w:tc>
        <w:tc>
          <w:tcPr>
            <w:shd w:val="clear" w:color="auto" w:fill="F4F1EC"/>
          </w:tcPr>
          <w:p>
            <w:pPr>
              <w:pStyle w:val="Compact"/>
              <w:spacing w:after="40" w:before="40"/>
              <w:jc w:val="left"/>
            </w:pPr>
            <w:r>
              <w:rPr>
                <w:rFonts w:ascii="Cambria" w:hAnsi="Cambria" w:cs="Cambria" w:eastAsia="Cambria"/>
                <w:color w:val="1A1A1A"/>
                <w:sz w:val="18"/>
              </w:rPr>
              <w:t xml:space="preserve">Media</w:t>
            </w:r>
          </w:p>
        </w:tc>
        <w:tc>
          <w:tcPr>
            <w:shd w:val="clear" w:color="auto" w:fill="F4F1EC"/>
          </w:tcPr>
          <w:p>
            <w:pPr>
              <w:pStyle w:val="Compact"/>
              <w:spacing w:after="40" w:before="40"/>
              <w:jc w:val="left"/>
            </w:pPr>
            <w:r>
              <w:rPr>
                <w:rFonts w:ascii="Cambria" w:hAnsi="Cambria" w:cs="Cambria" w:eastAsia="Cambria"/>
                <w:color w:val="1A1A1A"/>
                <w:sz w:val="18"/>
              </w:rPr>
              <w:t xml:space="preserve">Alto</w:t>
            </w:r>
          </w:p>
        </w:tc>
        <w:tc>
          <w:tcPr>
            <w:shd w:val="clear" w:color="auto" w:fill="F4F1EC"/>
          </w:tcPr>
          <w:p>
            <w:pPr>
              <w:pStyle w:val="Compact"/>
              <w:spacing w:after="40" w:before="40"/>
              <w:jc w:val="left"/>
            </w:pPr>
            <w:r>
              <w:rPr>
                <w:rFonts w:ascii="Cambria" w:hAnsi="Cambria" w:cs="Cambria" w:eastAsia="Cambria"/>
                <w:color w:val="1A1A1A"/>
                <w:sz w:val="18"/>
              </w:rPr>
              <w:t xml:space="preserve">Disciplina del sistema informativo nella fase zero; audit annuale dell’Osservatorio</w:t>
            </w:r>
          </w:p>
        </w:tc>
      </w:tr>
    </w:tbl>
    <w:p>
      <w:pPr>
        <w:pStyle w:val="BodyText"/>
      </w:pPr>
      <w:r>
        <w:rPr>
          <w:i/>
          <w:iCs/>
        </w:rPr>
        <w:t xml:space="preserve">Tabella I.3. I rischi principali e le misure di mitigazione per la messa a regime del servizio.</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Impianto del monitoraggio, controfattuale sulla messa a regime progressiva, indicatori, cruscotto, sintesi</w:t>
      </w:r>
    </w:p>
    <w:p>
      <w:pPr>
        <w:pStyle w:val="BodyText"/>
      </w:pPr>
      <w:r>
        <w:t xml:space="preserve">Dominio trasversale dell’HTA · la verifica ex post</w:t>
      </w:r>
    </w:p>
    <w:bookmarkEnd w:id="2587"/>
    <w:bookmarkEnd w:id="2588"/>
    <w:bookmarkStart w:id="2596" w:name="Xe4fa108e5d6d16d76706c262b02adea396764e0"/>
    <w:p>
      <w:pPr>
        <w:pStyle w:val="Heading2"/>
      </w:pPr>
      <w:r>
        <w:t xml:space="preserve">Parte L — Monitoraggio e valutazione ex post</w:t>
      </w:r>
    </w:p>
    <w:p>
      <w:pPr>
        <w:pStyle w:val="FirstParagraph"/>
      </w:pPr>
      <w:r>
        <w:t xml:space="preserve">Questa parte chiude il ciclo della valutazione occupandosi del monitoraggio e della valutazione ex post, che verifica nel tempo le affermazioni dello studio. Come per le altre regioni, la struttura è invariante: la parte descrive l’impianto del monitoraggio (capitolo L.1); definisce il controfattuale sulla messa a regime progressiva (L.2); seleziona gli indicatori (L.3); disegna il cruscotto di monitoraggio (L.4); e sintetizza il sistema di valutazione (L.5). Per l’Umbria, questa parte presenta un’articolazione propria: la clausola valutativa della Legge n. 22/2024 ha già definito per legge l’obbligo di monitoraggio, e l’Osservatorio tecnico regionale è la struttura istituzionale designata per presidiarlo.</w:t>
      </w:r>
    </w:p>
    <w:bookmarkStart w:id="2590" w:name="l.1-limpianto-del-monitoraggio"/>
    <w:p>
      <w:pPr>
        <w:pStyle w:val="Heading3"/>
      </w:pPr>
      <w:r>
        <w:t xml:space="preserve">L.1 L’impianto del monitoraggio</w:t>
      </w:r>
    </w:p>
    <w:p>
      <w:pPr>
        <w:pStyle w:val="FirstParagraph"/>
      </w:pPr>
      <w:r>
        <w:t xml:space="preserve">L’impianto del monitoraggio si fonda su tre pilastri. Il primo è la clausola valutativa della Legge n. 22/2024, che impone alla Giunta regionale di trasmettere annualmente all’Assemblea legislativa una relazione con dati su: attivazione del servizio nelle Aziende USL e nei Distretti; modalità organizzative e raccordo con MMG e PLS; psicologi iscritti nell’elenco regionale; corsi di formazione realizzati e numero di partecipanti; richieste di assistenza e tempi di presa in carico, per accesso diretto o invio, distinte per territorio, genere e classe di età; tipologie di prestazioni erogate; utilizzo delle risorse finanziarie stanziate; criticità riscontrate.</w:t>
      </w:r>
      <w:r>
        <w:rPr>
          <w:rStyle w:val="FootnoteReference"/>
        </w:rPr>
        <w:footnoteReference w:id="2952"/>
      </w:r>
      <w:r>
        <w:t xml:space="preserve"> </w:t>
      </w:r>
      <w:r>
        <w:t xml:space="preserve">Il secondo è l’Osservatorio tecnico regionale, che con DGR 477/2025 ha assunto funzioni di verifica, monitoraggio e controllo della qualità, ricezione delle relazioni annuali dei referenti clinici aziendali e formulazione di raccomandazioni operative e tecnico-organizzative alla Regione. Il terzo è la piattaforma informativa sanitaria regionale, che garantisce la raccolta uniforme e interoperabile dei dati di processo e di esito in tutti i Distretti.</w:t>
      </w:r>
    </w:p>
    <w:bookmarkEnd w:id="2590"/>
    <w:bookmarkStart w:id="2592" w:name="Xa6c9641a359fa49d79e8150274a96a3edc4c0b3"/>
    <w:p>
      <w:pPr>
        <w:pStyle w:val="Heading3"/>
      </w:pPr>
      <w:r>
        <w:t xml:space="preserve">L.2 Il controfattuale sulla messa a regime progressiva</w:t>
      </w:r>
    </w:p>
    <w:p>
      <w:pPr>
        <w:pStyle w:val="FirstParagraph"/>
      </w:pPr>
      <w:r>
        <w:t xml:space="preserve">Il disegno controfattuale dell’Umbria è il più robusto possibile per una regione nella fase di prima attuazione di una legge organica: la strutturazione progressiva del servizio nei Distretti delle due Aziende USL, con tempi differenziati, consente di impiegare la variazione temporale nell’attivazione come strumento di identificazione causale, stimando l’effetto del servizio con i metodi della differenza-nelle-differenze (confronto fra Distretti attivati e Distretti non ancora attivati, prima e dopo l’attivazione) e del controllo sintetico. Questo disegno è preferibile all’assenza di variazione, non solo per ragioni valutative ma anche per ragioni pratiche: la messa a regime non può avvenire simultaneamente in tutti i Distretti, e la variazione nella sequenza temporale è inevitabile; lo studio ne fa una risorsa valutativa.</w:t>
      </w:r>
      <w:r>
        <w:rPr>
          <w:rStyle w:val="FootnoteReference"/>
        </w:rPr>
        <w:footnoteReference w:id="2953"/>
      </w:r>
    </w:p>
    <w:bookmarkEnd w:id="2592"/>
    <w:bookmarkStart w:id="2593" w:name="l.3-gli-indicatori"/>
    <w:p>
      <w:pPr>
        <w:pStyle w:val="Heading3"/>
      </w:pPr>
      <w:r>
        <w:t xml:space="preserve">L.3 Gli indicatori</w:t>
      </w:r>
    </w:p>
    <w:p>
      <w:pPr>
        <w:pStyle w:val="FirstParagraph"/>
      </w:pPr>
      <w:r>
        <w:t xml:space="preserve">Gli indicatori del monitoraggio si articolano in tre livelli. Gli indicatori di processo misurano l’operatività del servizio: numero di psicologi attivi per Distretto; numero di prese in carico per mese e per Distretto; tempo medio di attesa al primo colloquio; quota di accessi diretti vs. su invio. Gli indicatori di esito clinico misurano il valore del servizio per i pazienti: tasso di recupero (miglioramento clinico affidabile); tasso di remissione; tasso di invio appropriato ai servizi di secondo livello; soddisfazione dell’utente. Gli indicatori di sistema misurano l’impatto sul sistema sanitario: variazione del numero di accessi al pronto soccorso con componente psicologica nei Distretti con servizio rispetto a quelli senza; variazione della spesa farmaceutica per psicofarmaci; variazione del numero di prime visite specialistiche psichiatriche.</w:t>
      </w:r>
    </w:p>
    <w:bookmarkEnd w:id="2593"/>
    <w:bookmarkStart w:id="2594" w:name="l.4-il-cruscotto-di-monitoraggio"/>
    <w:p>
      <w:pPr>
        <w:pStyle w:val="Heading3"/>
      </w:pPr>
      <w:r>
        <w:t xml:space="preserve">L.4 Il cruscotto di monitoraggio</w:t>
      </w:r>
    </w:p>
    <w:p>
      <w:pPr>
        <w:pStyle w:val="FirstParagraph"/>
      </w:pPr>
      <w:r>
        <w:t xml:space="preserve">Il cruscotto di monitoraggio è lo strumento di visualizzazione sintetica dello stato del servizio, aggiornato semestralmente dall’Osservatorio tecnico e annualmente rendicontato all’Assemblea legislativa. È strutturato su quattro quadranti: quadrante di operatività (psicologi attivi, prese in carico, tempi di attesa); quadrante di equità (distribuzione per Distretto, per fascia d’età, per genere e per modalità di accesso); quadrante di esito clinico (tasso di recupero, tasso di invio appropriato, soddisfazione); quadrante di impatto di sistema (accessi al pronto soccorso, spesa farmaceutica, prime visite specialistiche). La rappresentazione grafica adotta semafori (verde/giallo/rosso) per ciascun indicatore, con soglie definite ex ante dall’Osservatorio tecnico e pubblicate prima della raccolta dei dati, per garantire la neutralità della valutazione.</w:t>
      </w:r>
    </w:p>
    <w:bookmarkEnd w:id="2594"/>
    <w:bookmarkStart w:id="4486" w:name="l.5-sintesi-del-sistema-di-valutazione"/>
    <w:p>
      <w:pPr>
        <w:pStyle w:val="Heading3"/>
      </w:pPr>
      <w:r>
        <w:t xml:space="preserve">L.5 Sintesi del sistema di valutazione</w:t>
      </w:r>
    </w:p>
    <w:p>
      <w:pPr>
        <w:pStyle w:val="FirstParagraph"/>
      </w:pPr>
      <w:r>
        <w:t xml:space="preserve">La sintesi del sistema di valutazione per l’Umbria è che il monitoraggio è già disciplinato per legge, l’Osservatorio tecnico è già istituito, e la clausola valutativa garantisce la rendicontazione annuale al Consiglio regionale: i presupposti istituzionali del monitoraggio sono più solidi che in qualsiasi altra regione della serie che non abbia ancora una legge approvata. La priorità operativa per la fase zero è la definizione del protocollo di raccolta dati uniforme — a partire dai dati minimi già previsti dalla clausola valutativa — e la sua implementazione nelle due Aziende USL in forma interoperabile, in modo da rendere il sistema di monitoraggio operativo fin dall’avvio della fase sperimentale.</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Sintesi per dominio, analisi multi-criterio, raccomandazioni operative, condizioni e lacune da colmare, collocazione nella serie e conclusione</w:t>
      </w:r>
    </w:p>
    <w:p>
      <w:pPr>
        <w:pStyle w:val="BodyText"/>
      </w:pPr>
      <w:r>
        <w:t xml:space="preserve">Dominio trasversale dell’HTA · la sintesi e il giudizio finale</w:t>
      </w:r>
    </w:p>
    <w:bookmarkEnd w:id="4486"/>
    <w:bookmarkEnd w:id="2596"/>
    <w:bookmarkStart w:id="4487" w:name="Xc4f623ad4a6c6ca6d36720bae5d6db098a32b1e"/>
    <w:p>
      <w:pPr>
        <w:pStyle w:val="Heading2"/>
      </w:pPr>
      <w:r>
        <w:t xml:space="preserve">Parte M — Sintesi multidimensionale e raccomandazioni</w:t>
      </w:r>
    </w:p>
    <w:p>
      <w:pPr>
        <w:pStyle w:val="FirstParagraph"/>
      </w:pPr>
      <w:r>
        <w:t xml:space="preserve">Questa parte concludente riassume l’intero studio e ne consegna le raccomandazioni. Come per le altre regioni, è strutturata in cinque capitoli: la sintesi per dominio (M.1); l’analisi multi-criterio con punteggio aggregato (M.2); le raccomandazioni operative (M.3); le condizioni e le lacune da colmare (M.4); la collocazione nella serie e la conclusione (M.5).</w:t>
      </w:r>
    </w:p>
    <w:bookmarkStart w:id="4488" w:name="m.1-la-sintesi-per-dominio-3"/>
    <w:p>
      <w:pPr>
        <w:pStyle w:val="Heading3"/>
      </w:pPr>
      <w:r>
        <w:t xml:space="preserve">M.1 La sintesi per dominio</w:t>
      </w:r>
    </w:p>
    <w:p>
      <w:pPr>
        <w:pStyle w:val="FirstParagraph"/>
      </w:pPr>
      <w:r>
        <w:t xml:space="preserve">La sintesi per dominio dell’HTA è la mappa dell’intero studio condensata in un giudizio per ciascun dominio. Il dominio del problema di salute (Parte B) indica un bisogno ampio, strutturale e in crescita per effetto dell’invecchiamento demografico, non ancora intercettato da un servizio strutturato a regime, con divari territoriali rilevanti fra aree urbane e comunità appenniniche interne: il bisogno è reale, urgente e certificato. Il dominio dell’intervento (Parte C) indica un modello organizzativo coerente con le migliori pratiche internazionali, già tratteggiato dalla Legge n. 22/2024, con una teoria del cambiamento esplicita e strumenti formativi già previsti: il modello è solido e la sfida è attuativa. Il dominio dell’efficacia (Parte D) indica un profilo di evidenza da moderato a elevato per i disturbi comuni, con la cautela metodologica sui risparmi diretti già dichiarata e rispettata: l’efficacia è documentata e i benchmark sono robusti. Il dominio della valutazione economica (Parte E) indica un caso economico fortemente positivo (rapporto beneficio-costo 3,7–4,8:1) e un caso finanziario di disavanzo modesto e sostenibile: il valore c’è e il costo è contenuto. Il dominio dell’equità (Parte G) indica un potenziale equitativo elevato, condizionato al dispiegamento del servizio anche nelle aree interne. Il dominio giuridico-organizzativo (Parte H) indica la configurazione più favorevole della serie, con la legge già approvata e l’Osservatorio già istituito. Il dominio dell’attuazione (Parte I) indica fattibilità elevata con rischio principale di lentezza attuativa. Il dominio del monitoraggio (Parte L) indica la struttura di governance già operativa, con la priorità di completare il sistema informativo.</w:t>
      </w:r>
    </w:p>
    <w:bookmarkEnd w:id="4488"/>
    <w:bookmarkStart w:id="2598" w:name="X3b90210067785f18c4bdbb6d53166b710fee82c"/>
    <w:p>
      <w:pPr>
        <w:pStyle w:val="Heading3"/>
      </w:pPr>
      <w:r>
        <w:t xml:space="preserve">M.2 L’analisi multi-criterio e il punteggio sintetico</w:t>
      </w:r>
    </w:p>
    <w:p>
      <w:pPr>
        <w:pStyle w:val="FirstParagraph"/>
      </w:pPr>
      <w:r>
        <w:t xml:space="preserve">L’analisi multi-criterio compone i domini in un punteggio sintetico su scala 0–100, con pesi assegnati in funzione della rilevanza per la decisione di portare il servizio a regime. I criteri e i pesi adottati sono: rilevanza del bisogno (peso 20%); qualità dell’evidenza clinica (15%); solidità del caso economico (20%); equità distributiva (10%); fattibilità giuridica e organizzativa (20%); sostenibilità finanziaria (15%). La tabella seguente espone il punteggio per ciascun criterio e il punteggio aggregato.</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69"/>
        <w:gridCol w:w="685"/>
        <w:gridCol w:w="1496"/>
        <w:gridCol w:w="324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Punteggio (0–100)</w:t>
            </w:r>
          </w:p>
        </w:tc>
        <w:tc>
          <w:tcPr>
            <w:shd w:val="clear" w:color="auto" w:fill="16264B"/>
          </w:tcPr>
          <w:p>
            <w:pPr>
              <w:pStyle w:val="Compact"/>
              <w:spacing w:after="40" w:before="40"/>
              <w:jc w:val="left"/>
            </w:pPr>
            <w:r>
              <w:rPr>
                <w:rFonts w:ascii="Cambria" w:hAnsi="Cambria" w:cs="Cambria" w:eastAsia="Cambria"/>
                <w:b/>
                <w:bCs/>
                <w:color w:val="FFFFFF"/>
                <w:sz w:val="18"/>
              </w:rPr>
              <w:t xml:space="preserve">Contributo ponderato</w:t>
            </w:r>
          </w:p>
        </w:tc>
      </w:tr>
      <w:tr>
        <w:tc>
          <w:tcPr/>
          <w:p>
            <w:pPr>
              <w:pStyle w:val="Compact"/>
              <w:spacing w:after="40" w:before="40"/>
              <w:jc w:val="left"/>
            </w:pPr>
            <w:r>
              <w:rPr>
                <w:rFonts w:ascii="Cambria" w:hAnsi="Cambria" w:cs="Cambria" w:eastAsia="Cambria"/>
                <w:b/>
                <w:bCs/>
                <w:color w:val="1A1A1A"/>
                <w:sz w:val="18"/>
              </w:rPr>
              <w:t xml:space="preserve">Rilevanza del bisogno</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85</w:t>
            </w:r>
          </w:p>
        </w:tc>
        <w:tc>
          <w:tcPr/>
          <w:p>
            <w:pPr>
              <w:pStyle w:val="Compact"/>
              <w:spacing w:after="40" w:before="40"/>
              <w:jc w:val="left"/>
            </w:pPr>
            <w:r>
              <w:rPr>
                <w:rFonts w:ascii="Cambria" w:hAnsi="Cambria" w:cs="Cambria" w:eastAsia="Cambria"/>
                <w:color w:val="1A1A1A"/>
                <w:sz w:val="18"/>
              </w:rPr>
              <w:t xml:space="preserve">17,0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Qualità dell’evidenza clinica</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78</w:t>
            </w:r>
          </w:p>
        </w:tc>
        <w:tc>
          <w:tcPr>
            <w:shd w:val="clear" w:color="auto" w:fill="F4F1EC"/>
          </w:tcPr>
          <w:p>
            <w:pPr>
              <w:pStyle w:val="Compact"/>
              <w:spacing w:after="40" w:before="40"/>
              <w:jc w:val="left"/>
            </w:pPr>
            <w:r>
              <w:rPr>
                <w:rFonts w:ascii="Cambria" w:hAnsi="Cambria" w:cs="Cambria" w:eastAsia="Cambria"/>
                <w:color w:val="1A1A1A"/>
                <w:sz w:val="18"/>
              </w:rPr>
              <w:t xml:space="preserve">11,7</w:t>
            </w:r>
          </w:p>
        </w:tc>
      </w:tr>
      <w:tr>
        <w:tc>
          <w:tcPr/>
          <w:p>
            <w:pPr>
              <w:pStyle w:val="Compact"/>
              <w:spacing w:after="40" w:before="40"/>
              <w:jc w:val="left"/>
            </w:pPr>
            <w:r>
              <w:rPr>
                <w:rFonts w:ascii="Cambria" w:hAnsi="Cambria" w:cs="Cambria" w:eastAsia="Cambria"/>
                <w:b/>
                <w:bCs/>
                <w:color w:val="1A1A1A"/>
                <w:sz w:val="18"/>
              </w:rPr>
              <w:t xml:space="preserve">Solidità del caso economico</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16,0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 distributiva</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72</w:t>
            </w:r>
          </w:p>
        </w:tc>
        <w:tc>
          <w:tcPr>
            <w:shd w:val="clear" w:color="auto" w:fill="F4F1EC"/>
          </w:tcPr>
          <w:p>
            <w:pPr>
              <w:pStyle w:val="Compact"/>
              <w:spacing w:after="40" w:before="40"/>
              <w:jc w:val="left"/>
            </w:pPr>
            <w:r>
              <w:rPr>
                <w:rFonts w:ascii="Cambria" w:hAnsi="Cambria" w:cs="Cambria" w:eastAsia="Cambria"/>
                <w:color w:val="1A1A1A"/>
                <w:sz w:val="18"/>
              </w:rPr>
              <w:t xml:space="preserve">7,2</w:t>
            </w:r>
          </w:p>
        </w:tc>
      </w:tr>
      <w:tr>
        <w:tc>
          <w:tcPr/>
          <w:p>
            <w:pPr>
              <w:pStyle w:val="Compact"/>
              <w:spacing w:after="40" w:before="40"/>
              <w:jc w:val="left"/>
            </w:pPr>
            <w:r>
              <w:rPr>
                <w:rFonts w:ascii="Cambria" w:hAnsi="Cambria" w:cs="Cambria" w:eastAsia="Cambria"/>
                <w:b/>
                <w:bCs/>
                <w:color w:val="1A1A1A"/>
                <w:sz w:val="18"/>
              </w:rPr>
              <w:t xml:space="preserve">Fattibilità giuridica/organiz.</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90</w:t>
            </w:r>
          </w:p>
        </w:tc>
        <w:tc>
          <w:tcPr/>
          <w:p>
            <w:pPr>
              <w:pStyle w:val="Compact"/>
              <w:spacing w:after="40" w:before="40"/>
              <w:jc w:val="left"/>
            </w:pPr>
            <w:r>
              <w:rPr>
                <w:rFonts w:ascii="Cambria" w:hAnsi="Cambria" w:cs="Cambria" w:eastAsia="Cambria"/>
                <w:color w:val="1A1A1A"/>
                <w:sz w:val="18"/>
              </w:rPr>
              <w:t xml:space="preserve">18,0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Sostenibilità finanziaria</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82</w:t>
            </w:r>
          </w:p>
        </w:tc>
        <w:tc>
          <w:tcPr>
            <w:shd w:val="clear" w:color="auto" w:fill="F4F1EC"/>
          </w:tcPr>
          <w:p>
            <w:pPr>
              <w:pStyle w:val="Compact"/>
              <w:spacing w:after="40" w:before="40"/>
              <w:jc w:val="left"/>
            </w:pPr>
            <w:r>
              <w:rPr>
                <w:rFonts w:ascii="Cambria" w:hAnsi="Cambria" w:cs="Cambria" w:eastAsia="Cambria"/>
                <w:color w:val="1A1A1A"/>
                <w:sz w:val="18"/>
              </w:rPr>
              <w:t xml:space="preserve">12,3</w:t>
            </w:r>
          </w:p>
        </w:tc>
      </w:tr>
      <w:tr>
        <w:tc>
          <w:tcPr/>
          <w:p>
            <w:pPr>
              <w:pStyle w:val="Compact"/>
              <w:spacing w:after="40" w:before="40"/>
              <w:jc w:val="left"/>
            </w:pPr>
            <w:r>
              <w:rPr>
                <w:rFonts w:ascii="Cambria" w:hAnsi="Cambria" w:cs="Cambria" w:eastAsia="Cambria"/>
                <w:b/>
                <w:bCs/>
                <w:color w:val="1A1A1A"/>
                <w:sz w:val="18"/>
              </w:rPr>
              <w:t xml:space="preserve">Punteggio aggregato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b/>
                <w:bCs/>
                <w:color w:val="1A1A1A"/>
                <w:sz w:val="18"/>
              </w:rPr>
              <w:t xml:space="preserve">82,2 / 100</w:t>
            </w:r>
          </w:p>
        </w:tc>
      </w:tr>
    </w:tbl>
    <w:p>
      <w:pPr>
        <w:pStyle w:val="BodyText"/>
      </w:pPr>
      <w:r>
        <w:rPr>
          <w:i/>
          <w:iCs/>
        </w:rPr>
        <w:t xml:space="preserve">Tabella M.1. L’analisi multi-criterio e il punteggio sintetico.</w:t>
      </w:r>
    </w:p>
    <w:p>
      <w:pPr>
        <w:pStyle w:val="BodyText"/>
      </w:pPr>
      <w:r>
        <w:t xml:space="preserve">Il punteggio aggregato di 82,2 su 100 colloca l’Umbria fra le regioni con il caso più robusto per la messa a regime immediata del servizio nella serie. Il contributo principale viene dalla fattibilità giuridica e organizzativa, dove la Legge n. 22/2024 e l’Osservatorio tecnico già istituito costituiscono un vantaggio strutturale rispetto alle regioni prive di legge. Il contributo secondario viene dalla solidità del caso economico, con un rapporto beneficio-costo ampiamente positivo e sostenibile. Il punteggio più contenuto è sull’equità distributiva, a indicare che la realizzazione del potenziale equitativo del servizio richiede un’attenzione specifica al dispiegamento nelle aree interne.</w:t>
      </w:r>
    </w:p>
    <w:bookmarkEnd w:id="2598"/>
    <w:bookmarkStart w:id="2599" w:name="m.3-le-raccomandazioni-operative"/>
    <w:p>
      <w:pPr>
        <w:pStyle w:val="Heading3"/>
      </w:pPr>
      <w:r>
        <w:t xml:space="preserve">M.3 Le raccomandazioni operative</w:t>
      </w:r>
    </w:p>
    <w:p>
      <w:pPr>
        <w:pStyle w:val="FirstParagraph"/>
      </w:pPr>
      <w:r>
        <w:t xml:space="preserve">Le raccomandazioni operative dello studio sono ordinate in quattro livelli di priorità. La raccomandazione di primo livello è completare senza indugio la disciplina attuativa di secondo livello prevista dalla Legge n. 22/2024: entro i centottanta giorni previsti dalla norma, la Giunta regionale deve definire il regolamento del corso abilitante, le modalità di gestione degli incarichi convenzionali e le eventuali modalità di compartecipazione alla spesa; la mancata attivazione di questi strumenti blocca il passaggio dalla sperimentazione al regime. La raccomandazione di secondo livello è attivare pienamente l’Osservatorio tecnico regionale, definendone il protocollo di raccolta dati e il cruscotto di monitoraggio entro la fase zero, in modo da disporre di dati uniformi e comparabili fin dall’avvio. La raccomandazione di terzo livello è adottare il cronoprogramma a fasi descritto nella Parte I, con lo scenario conservativo (170 psicologi) come obiettivo della fase uno (2027–2028) e lo scenario di base (210 psicologi) come obiettivo della fase due (2029–2030), riservando lo scenario espansivo alla terza fase, condizionata alla disponibilità dei professionisti e alla valutazione ex post della fase uno. La raccomandazione di quarto livello è garantire che il dispiegamento del servizio sia equo: a parità di risorse, i Distretti con maggiore bisogno relativo (anzianità più elevata, maggiore disagio socioeconomico, minore accessibilità) devono ricevere una dotazione proporzionalmente maggiore.</w:t>
      </w:r>
    </w:p>
    <w:bookmarkEnd w:id="2599"/>
    <w:bookmarkStart w:id="2600" w:name="m.4-le-condizioni-e-le-lacune-da-colmare"/>
    <w:p>
      <w:pPr>
        <w:pStyle w:val="Heading3"/>
      </w:pPr>
      <w:r>
        <w:t xml:space="preserve">M.4 Le condizioni e le lacune da colmare</w:t>
      </w:r>
    </w:p>
    <w:p>
      <w:pPr>
        <w:pStyle w:val="FirstParagraph"/>
      </w:pPr>
      <w:r>
        <w:t xml:space="preserve">Le condizioni per la piena realizzazione del caso dello studio sono quattro. La prima condizione è il completamento della disciplina attuativa: senza il regolamento del corso abilitante, non è possibile aggiornare l’elenco regionale e reclutare i professionisti a regime; le modalità transitorie della prima applicazione consentono di iniziare, ma non di consolidare. La seconda condizione è la disponibilità dei professionisti nelle aree interne: il reclutamento di psicologi disponibili a operare nei Distretti appenniniche è il collo di bottiglia operativo principale dello scenario espansivo; la telepsicologia assistita può alleviare ma non eliminare questo vincolo. La terza condizione è la qualità del sistema informativo: senza dati di processo e di esito uniformi e comparabili, la clausola valutativa e l’Osservatorio non possono esercitare le loro funzioni, e le stime economiche qui sviluppate non possono essere validate. La quarta condizione è la continuità della volontà politica: la Legge n. 22/2024 è già approvata, ma la messa a regime richiede scelte di bilancio annuali che devono essere mantenute nel tempo, indipendentemente dai cicli elettorali.</w:t>
      </w:r>
    </w:p>
    <w:bookmarkEnd w:id="2600"/>
    <w:bookmarkStart w:id="2601" w:name="X02d3da71f84682b998bc1de02ff2f4a53746577"/>
    <w:p>
      <w:pPr>
        <w:pStyle w:val="Heading3"/>
      </w:pPr>
      <w:r>
        <w:t xml:space="preserve">M.5 La collocazione nella serie e la conclusione</w:t>
      </w:r>
    </w:p>
    <w:p>
      <w:pPr>
        <w:pStyle w:val="FirstParagraph"/>
      </w:pPr>
      <w:r>
        <w:t xml:space="preserve">Nella serie degli studi regionali che compongono il Tomo II, l’Umbria occupa la posizione del modello avanzato di medie dimensioni: come il Veneto per la sperimentazione pioniera o come le province autonome per la piena autonomia finanziaria, l’Umbria si distingue per avere già adottato, prima del consolidamento della normativa nazionale, una legge organica completa che risolve le principali questioni giuridiche e organizzative che ancora bloccano le regioni prive di legge. La sua posizione non è quella del pioniere sperimentale (Veneto), né quella della regione con autonomia finanziaria piena (Trentino-Alto Adige), né quella della regione con gravi problemi di sottodotazione (Calabria o Sicilia): è quella della regione di medie dimensioni ben governata che ha già fatto la scelta politica giusta e deve ora tradurla in un servizio pienamente operativo. L’azione conseguente non richiede nuove norme, né nuovi studi: richiede attuazione coerente, presidio organizzativo e continuità politica.</w:t>
      </w:r>
    </w:p>
    <w:p>
      <w:pPr>
        <w:pStyle w:val="BodyText"/>
      </w:pPr>
      <w:r>
        <w:t xml:space="preserve">La conclusione dello studio è univoca: la messa a regime del servizio di psicologia di cure primarie nell’Umbria è l’applicazione di una legge già in vigore, con un caso economico fortemente positivo, un costo contenuto e una struttura di governance già operativa. Le condizioni per la raccomandazione sono già in gran parte soddisfatte. Ciò che resta da fare è fare.</w:t>
      </w:r>
    </w:p>
    <w:p>
      <w:r>
        <w:pict>
          <v:rect style="width:0;height:1.5pt" o:hralign="center" o:hrstd="t" o:hr="t"/>
        </w:pict>
      </w:r>
    </w:p>
    <w:bookmarkEnd w:id="2601"/>
    <w:bookmarkEnd w:id="4487"/>
    <w:bookmarkStart w:id="4489" w:name="X0690b6e3b77fb93b2709bafc010540772bb1202"/>
    <w:p>
      <w:pPr>
        <w:pStyle w:val="Heading2"/>
      </w:pPr>
      <w:r>
        <w:t xml:space="preserve">Appendice A — Caso di riferimento e parametri</w:t>
      </w:r>
    </w:p>
    <w:p>
      <w:pPr>
        <w:pStyle w:val="FirstParagraph"/>
      </w:pPr>
      <w:r>
        <w:t xml:space="preserve">La tabella seguente raccoglie i parametri adottati nel caso di riferimento dello studio per la Regione Umbria, coerenti con le scelte metodologiche comuni a tutti gli studi della serie.</w:t>
      </w:r>
    </w:p>
    <w:tbl>
      <w:tblPr>
        <w:tblStyle w:val="Table"/>
        <w:tblW w:type="pct" w:w="493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40"/>
        <w:gridCol w:w="3436"/>
        <w:gridCol w:w="184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adottato</w:t>
            </w:r>
          </w:p>
        </w:tc>
        <w:tc>
          <w:tcPr>
            <w:shd w:val="clear" w:color="auto" w:fill="16264B"/>
          </w:tcPr>
          <w:p>
            <w:pPr>
              <w:pStyle w:val="Compact"/>
              <w:spacing w:after="40" w:before="40"/>
              <w:jc w:val="left"/>
            </w:pPr>
            <w:r>
              <w:rPr>
                <w:rFonts w:ascii="Cambria" w:hAnsi="Cambria" w:cs="Cambria" w:eastAsia="Cambria"/>
                <w:b/>
                <w:bCs/>
                <w:color w:val="FFFFFF"/>
                <w:sz w:val="18"/>
              </w:rPr>
              <w:t xml:space="preserve">Fonte o motivazione</w:t>
            </w:r>
          </w:p>
        </w:tc>
      </w:tr>
      <w:tr>
        <w:tc>
          <w:tcPr/>
          <w:p>
            <w:pPr>
              <w:pStyle w:val="Compact"/>
              <w:spacing w:after="40" w:before="40"/>
              <w:jc w:val="left"/>
            </w:pPr>
            <w:r>
              <w:rPr>
                <w:rFonts w:ascii="Cambria" w:hAnsi="Cambria" w:cs="Cambria" w:eastAsia="Cambria"/>
                <w:b/>
                <w:bCs/>
                <w:color w:val="1A1A1A"/>
                <w:sz w:val="18"/>
              </w:rPr>
              <w:t xml:space="preserve">Popolazione di riferimento (2025)</w:t>
            </w:r>
          </w:p>
        </w:tc>
        <w:tc>
          <w:tcPr/>
          <w:p>
            <w:pPr>
              <w:pStyle w:val="Compact"/>
              <w:spacing w:after="40" w:before="40"/>
              <w:jc w:val="left"/>
            </w:pPr>
            <w:r>
              <w:rPr>
                <w:rFonts w:ascii="Cambria" w:hAnsi="Cambria" w:cs="Cambria" w:eastAsia="Cambria"/>
                <w:color w:val="1A1A1A"/>
                <w:sz w:val="18"/>
              </w:rPr>
              <w:t xml:space="preserve">854.137</w:t>
            </w:r>
          </w:p>
        </w:tc>
        <w:tc>
          <w:tcPr/>
          <w:p>
            <w:pPr>
              <w:pStyle w:val="Compact"/>
              <w:spacing w:after="40" w:before="40"/>
              <w:jc w:val="left"/>
            </w:pPr>
            <w:r>
              <w:rPr>
                <w:rFonts w:ascii="Cambria" w:hAnsi="Cambria" w:cs="Cambria" w:eastAsia="Cambria"/>
                <w:color w:val="1A1A1A"/>
                <w:sz w:val="18"/>
              </w:rPr>
              <w:t xml:space="preserve">Regione Umbria, dati ufficiali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Quota disagio comune (tasso \~20%)</w:t>
            </w:r>
          </w:p>
        </w:tc>
        <w:tc>
          <w:tcPr>
            <w:shd w:val="clear" w:color="auto" w:fill="F4F1EC"/>
          </w:tcPr>
          <w:p>
            <w:pPr>
              <w:pStyle w:val="Compact"/>
              <w:spacing w:after="40" w:before="40"/>
              <w:jc w:val="left"/>
            </w:pPr>
            <w:r>
              <w:rPr>
                <w:rFonts w:ascii="Cambria" w:hAnsi="Cambria" w:cs="Cambria" w:eastAsia="Cambria"/>
                <w:color w:val="1A1A1A"/>
                <w:sz w:val="18"/>
              </w:rPr>
              <w:t xml:space="preserve">~170.000 persone</w:t>
            </w:r>
          </w:p>
        </w:tc>
        <w:tc>
          <w:tcPr>
            <w:shd w:val="clear" w:color="auto" w:fill="F4F1EC"/>
          </w:tcPr>
          <w:p>
            <w:pPr>
              <w:pStyle w:val="Compact"/>
              <w:spacing w:after="40" w:before="40"/>
              <w:jc w:val="left"/>
            </w:pPr>
            <w:r>
              <w:rPr>
                <w:rFonts w:ascii="Cambria" w:hAnsi="Cambria" w:cs="Cambria" w:eastAsia="Cambria"/>
                <w:color w:val="1A1A1A"/>
                <w:sz w:val="18"/>
              </w:rPr>
              <w:t xml:space="preserve">Proiezione da tassi nazionali</w:t>
            </w:r>
          </w:p>
        </w:tc>
      </w:tr>
      <w:tr>
        <w:tc>
          <w:tcPr/>
          <w:p>
            <w:pPr>
              <w:pStyle w:val="Compact"/>
              <w:spacing w:after="40" w:before="40"/>
              <w:jc w:val="left"/>
            </w:pPr>
            <w:r>
              <w:rPr>
                <w:rFonts w:ascii="Cambria" w:hAnsi="Cambria" w:cs="Cambria" w:eastAsia="Cambria"/>
                <w:b/>
                <w:bCs/>
                <w:color w:val="1A1A1A"/>
                <w:sz w:val="18"/>
              </w:rPr>
              <w:t xml:space="preserve">Over-65 (quota 27,3%)</w:t>
            </w:r>
          </w:p>
        </w:tc>
        <w:tc>
          <w:tcPr/>
          <w:p>
            <w:pPr>
              <w:pStyle w:val="Compact"/>
              <w:spacing w:after="40" w:before="40"/>
              <w:jc w:val="left"/>
            </w:pPr>
            <w:r>
              <w:rPr>
                <w:rFonts w:ascii="Cambria" w:hAnsi="Cambria" w:cs="Cambria" w:eastAsia="Cambria"/>
                <w:color w:val="1A1A1A"/>
                <w:sz w:val="18"/>
              </w:rPr>
              <w:t xml:space="preserve">~232.730</w:t>
            </w:r>
          </w:p>
        </w:tc>
        <w:tc>
          <w:tcPr/>
          <w:p>
            <w:pPr>
              <w:pStyle w:val="Compact"/>
              <w:spacing w:after="40" w:before="40"/>
              <w:jc w:val="left"/>
            </w:pPr>
            <w:r>
              <w:rPr>
                <w:rFonts w:ascii="Cambria" w:hAnsi="Cambria" w:cs="Cambria" w:eastAsia="Cambria"/>
                <w:color w:val="1A1A1A"/>
                <w:sz w:val="18"/>
              </w:rPr>
              <w:t xml:space="preserve">Regione Umbria, gennaio 2025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vecchiaia</w:t>
            </w:r>
          </w:p>
        </w:tc>
        <w:tc>
          <w:tcPr>
            <w:shd w:val="clear" w:color="auto" w:fill="F4F1EC"/>
          </w:tcPr>
          <w:p>
            <w:pPr>
              <w:pStyle w:val="Compact"/>
              <w:spacing w:after="40" w:before="40"/>
              <w:jc w:val="left"/>
            </w:pPr>
            <w:r>
              <w:rPr>
                <w:rFonts w:ascii="Cambria" w:hAnsi="Cambria" w:cs="Cambria" w:eastAsia="Cambria"/>
                <w:color w:val="1A1A1A"/>
                <w:sz w:val="18"/>
              </w:rPr>
              <w:t xml:space="preserve">246,6%</w:t>
            </w:r>
          </w:p>
        </w:tc>
        <w:tc>
          <w:tcPr>
            <w:shd w:val="clear" w:color="auto" w:fill="F4F1EC"/>
          </w:tcPr>
          <w:p>
            <w:pPr>
              <w:pStyle w:val="Compact"/>
              <w:spacing w:after="40" w:before="40"/>
              <w:jc w:val="left"/>
            </w:pPr>
            <w:r>
              <w:rPr>
                <w:rFonts w:ascii="Cambria" w:hAnsi="Cambria" w:cs="Cambria" w:eastAsia="Cambria"/>
                <w:color w:val="1A1A1A"/>
                <w:sz w:val="18"/>
              </w:rPr>
              <w:t xml:space="preserve">Umbria24/Regione Umbria</w:t>
            </w:r>
          </w:p>
        </w:tc>
      </w:tr>
      <w:tr>
        <w:tc>
          <w:tcPr/>
          <w:p>
            <w:pPr>
              <w:pStyle w:val="Compact"/>
              <w:spacing w:after="40" w:before="40"/>
              <w:jc w:val="left"/>
            </w:pPr>
            <w:r>
              <w:rPr>
                <w:rFonts w:ascii="Cambria" w:hAnsi="Cambria" w:cs="Cambria" w:eastAsia="Cambria"/>
                <w:b/>
                <w:bCs/>
                <w:color w:val="1A1A1A"/>
                <w:sz w:val="18"/>
              </w:rPr>
              <w:t xml:space="preserve">Spesa sanitaria pro-capite (2024)</w:t>
            </w:r>
          </w:p>
        </w:tc>
        <w:tc>
          <w:tcPr/>
          <w:p>
            <w:pPr>
              <w:pStyle w:val="Compact"/>
              <w:spacing w:after="40" w:before="40"/>
              <w:jc w:val="left"/>
            </w:pPr>
            <w:r>
              <w:rPr>
                <w:rFonts w:ascii="Cambria" w:hAnsi="Cambria" w:cs="Cambria" w:eastAsia="Cambria"/>
                <w:color w:val="1A1A1A"/>
                <w:sz w:val="18"/>
              </w:rPr>
              <w:t xml:space="preserve">2.232 €</w:t>
            </w:r>
          </w:p>
        </w:tc>
        <w:tc>
          <w:tcPr/>
          <w:p>
            <w:pPr>
              <w:pStyle w:val="Compact"/>
              <w:spacing w:after="40" w:before="40"/>
              <w:jc w:val="left"/>
            </w:pPr>
            <w:r>
              <w:rPr>
                <w:rFonts w:ascii="Cambria" w:hAnsi="Cambria" w:cs="Cambria" w:eastAsia="Cambria"/>
                <w:color w:val="1A1A1A"/>
                <w:sz w:val="18"/>
              </w:rPr>
              <w:t xml:space="preserve">Umbria24/GIMBE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Fondo sanitario regionale stimato</w:t>
            </w:r>
          </w:p>
        </w:tc>
        <w:tc>
          <w:tcPr>
            <w:shd w:val="clear" w:color="auto" w:fill="F4F1EC"/>
          </w:tcPr>
          <w:p>
            <w:pPr>
              <w:pStyle w:val="Compact"/>
              <w:spacing w:after="40" w:before="40"/>
              <w:jc w:val="left"/>
            </w:pPr>
            <w:r>
              <w:rPr>
                <w:rFonts w:ascii="Cambria" w:hAnsi="Cambria" w:cs="Cambria" w:eastAsia="Cambria"/>
                <w:color w:val="1A1A1A"/>
                <w:sz w:val="18"/>
              </w:rPr>
              <w:t xml:space="preserve">~1,9–2,0 miliardi €/anno</w:t>
            </w:r>
          </w:p>
        </w:tc>
        <w:tc>
          <w:tcPr>
            <w:shd w:val="clear" w:color="auto" w:fill="F4F1EC"/>
          </w:tcPr>
          <w:p>
            <w:pPr>
              <w:pStyle w:val="Compact"/>
              <w:spacing w:after="40" w:before="40"/>
              <w:jc w:val="left"/>
            </w:pPr>
            <w:r>
              <w:rPr>
                <w:rFonts w:ascii="Cambria" w:hAnsi="Cambria" w:cs="Cambria" w:eastAsia="Cambria"/>
                <w:color w:val="1A1A1A"/>
                <w:sz w:val="18"/>
              </w:rPr>
              <w:t xml:space="preserve">Proiezione coerente con spesa pro-capite</w:t>
            </w:r>
          </w:p>
        </w:tc>
      </w:tr>
      <w:tr>
        <w:tc>
          <w:tcPr/>
          <w:p>
            <w:pPr>
              <w:pStyle w:val="Compact"/>
              <w:spacing w:after="40" w:before="40"/>
              <w:jc w:val="left"/>
            </w:pPr>
            <w:r>
              <w:rPr>
                <w:rFonts w:ascii="Cambria" w:hAnsi="Cambria" w:cs="Cambria" w:eastAsia="Cambria"/>
                <w:b/>
                <w:bCs/>
                <w:color w:val="1A1A1A"/>
                <w:sz w:val="18"/>
              </w:rPr>
              <w:t xml:space="preserve">Costo medio psicologo/anno (oneri inclusi)</w:t>
            </w:r>
          </w:p>
        </w:tc>
        <w:tc>
          <w:tcPr/>
          <w:p>
            <w:pPr>
              <w:pStyle w:val="Compact"/>
              <w:spacing w:after="40" w:before="40"/>
              <w:jc w:val="left"/>
            </w:pPr>
            <w:r>
              <w:rPr>
                <w:rFonts w:ascii="Cambria" w:hAnsi="Cambria" w:cs="Cambria" w:eastAsia="Cambria"/>
                <w:color w:val="1A1A1A"/>
                <w:sz w:val="18"/>
              </w:rPr>
              <w:t xml:space="preserve">~55.000 €</w:t>
            </w:r>
          </w:p>
        </w:tc>
        <w:tc>
          <w:tcPr/>
          <w:p>
            <w:pPr>
              <w:pStyle w:val="Compact"/>
              <w:spacing w:after="40" w:before="40"/>
              <w:jc w:val="left"/>
            </w:pPr>
            <w:r>
              <w:rPr>
                <w:rFonts w:ascii="Cambria" w:hAnsi="Cambria" w:cs="Cambria" w:eastAsia="Cambria"/>
                <w:color w:val="1A1A1A"/>
                <w:sz w:val="18"/>
              </w:rPr>
              <w:t xml:space="preserve">Parametro standard serie, adattato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Fabbisogno stimato (scenario base)</w:t>
            </w:r>
          </w:p>
        </w:tc>
        <w:tc>
          <w:tcPr>
            <w:shd w:val="clear" w:color="auto" w:fill="F4F1EC"/>
          </w:tcPr>
          <w:p>
            <w:pPr>
              <w:pStyle w:val="Compact"/>
              <w:spacing w:after="40" w:before="40"/>
              <w:jc w:val="left"/>
            </w:pPr>
            <w:r>
              <w:rPr>
                <w:rFonts w:ascii="Cambria" w:hAnsi="Cambria" w:cs="Cambria" w:eastAsia="Cambria"/>
                <w:color w:val="1A1A1A"/>
                <w:sz w:val="18"/>
              </w:rPr>
              <w:t xml:space="preserve">~210 psicologi</w:t>
            </w:r>
          </w:p>
        </w:tc>
        <w:tc>
          <w:tcPr>
            <w:shd w:val="clear" w:color="auto" w:fill="F4F1EC"/>
          </w:tcPr>
          <w:p>
            <w:pPr>
              <w:pStyle w:val="Compact"/>
              <w:spacing w:after="40" w:before="40"/>
              <w:jc w:val="left"/>
            </w:pPr>
            <w:r>
              <w:rPr>
                <w:rFonts w:ascii="Cambria" w:hAnsi="Cambria" w:cs="Cambria" w:eastAsia="Cambria"/>
                <w:color w:val="1A1A1A"/>
                <w:sz w:val="18"/>
              </w:rPr>
              <w:t xml:space="preserve">Modello parametrico di serie</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w:t>
            </w:r>
          </w:p>
        </w:tc>
        <w:tc>
          <w:tcPr/>
          <w:p>
            <w:pPr>
              <w:pStyle w:val="Compact"/>
              <w:spacing w:after="40" w:before="40"/>
              <w:jc w:val="left"/>
            </w:pPr>
            <w:r>
              <w:rPr>
                <w:rFonts w:ascii="Cambria" w:hAnsi="Cambria" w:cs="Cambria" w:eastAsia="Cambria"/>
                <w:color w:val="1A1A1A"/>
                <w:sz w:val="18"/>
              </w:rPr>
              <w:t xml:space="preserve">Standard europeo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valutazione esiti</w:t>
            </w:r>
          </w:p>
        </w:tc>
        <w:tc>
          <w:tcPr>
            <w:shd w:val="clear" w:color="auto" w:fill="F4F1EC"/>
          </w:tcPr>
          <w:p>
            <w:pPr>
              <w:pStyle w:val="Compact"/>
              <w:spacing w:after="40" w:before="40"/>
              <w:jc w:val="left"/>
            </w:pPr>
            <w:r>
              <w:rPr>
                <w:rFonts w:ascii="Cambria" w:hAnsi="Cambria" w:cs="Cambria" w:eastAsia="Cambria"/>
                <w:color w:val="1A1A1A"/>
                <w:sz w:val="18"/>
              </w:rPr>
              <w:t xml:space="preserve">5 anni (Markov); pluriennale (sociale)</w:t>
            </w:r>
          </w:p>
        </w:tc>
        <w:tc>
          <w:tcPr>
            <w:shd w:val="clear" w:color="auto" w:fill="F4F1EC"/>
          </w:tcPr>
          <w:p>
            <w:pPr>
              <w:pStyle w:val="Compact"/>
              <w:spacing w:after="40" w:before="40"/>
              <w:jc w:val="left"/>
            </w:pPr>
            <w:r>
              <w:rPr>
                <w:rFonts w:ascii="Cambria" w:hAnsi="Cambria" w:cs="Cambria" w:eastAsia="Cambria"/>
                <w:color w:val="1A1A1A"/>
                <w:sz w:val="18"/>
              </w:rPr>
              <w:t xml:space="preserve">Standard di serie</w:t>
            </w:r>
          </w:p>
        </w:tc>
      </w:tr>
      <w:tr>
        <w:tc>
          <w:tcPr/>
          <w:p>
            <w:pPr>
              <w:pStyle w:val="Compact"/>
              <w:spacing w:after="40" w:before="40"/>
              <w:jc w:val="left"/>
            </w:pPr>
            <w:r>
              <w:rPr>
                <w:rFonts w:ascii="Cambria" w:hAnsi="Cambria" w:cs="Cambria" w:eastAsia="Cambria"/>
                <w:b/>
                <w:bCs/>
                <w:color w:val="1A1A1A"/>
                <w:sz w:val="18"/>
              </w:rPr>
              <w:t xml:space="preserve">Rapporto beneficio-costo (fascia adottata)</w:t>
            </w:r>
          </w:p>
        </w:tc>
        <w:tc>
          <w:tcPr/>
          <w:p>
            <w:pPr>
              <w:pStyle w:val="Compact"/>
              <w:spacing w:after="40" w:before="40"/>
              <w:jc w:val="left"/>
            </w:pPr>
            <w:r>
              <w:rPr>
                <w:rFonts w:ascii="Cambria" w:hAnsi="Cambria" w:cs="Cambria" w:eastAsia="Cambria"/>
                <w:color w:val="1A1A1A"/>
                <w:sz w:val="18"/>
              </w:rPr>
              <w:t xml:space="preserve">3,7–4,8:1</w:t>
            </w:r>
          </w:p>
        </w:tc>
        <w:tc>
          <w:tcPr/>
          <w:p>
            <w:pPr>
              <w:pStyle w:val="Compact"/>
              <w:spacing w:after="40" w:before="40"/>
              <w:jc w:val="left"/>
            </w:pPr>
            <w:r>
              <w:rPr>
                <w:rFonts w:ascii="Cambria" w:hAnsi="Cambria" w:cs="Cambria" w:eastAsia="Cambria"/>
                <w:color w:val="1A1A1A"/>
                <w:sz w:val="18"/>
              </w:rPr>
              <w:t xml:space="preserve">Chisholm et al. 2016, Lancet Psychiatry</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paziente (intervento)</w:t>
            </w:r>
          </w:p>
        </w:tc>
        <w:tc>
          <w:tcPr>
            <w:shd w:val="clear" w:color="auto" w:fill="F4F1EC"/>
          </w:tcPr>
          <w:p>
            <w:pPr>
              <w:pStyle w:val="Compact"/>
              <w:spacing w:after="40" w:before="40"/>
              <w:jc w:val="left"/>
            </w:pPr>
            <w:r>
              <w:rPr>
                <w:rFonts w:ascii="Cambria" w:hAnsi="Cambria" w:cs="Cambria" w:eastAsia="Cambria"/>
                <w:color w:val="1A1A1A"/>
                <w:sz w:val="18"/>
              </w:rPr>
              <w:t xml:space="preserve">~2.495 €</w:t>
            </w:r>
          </w:p>
        </w:tc>
        <w:tc>
          <w:tcPr>
            <w:shd w:val="clear" w:color="auto" w:fill="F4F1EC"/>
          </w:tcPr>
          <w:p>
            <w:pPr>
              <w:pStyle w:val="Compact"/>
              <w:spacing w:after="40" w:before="40"/>
              <w:jc w:val="left"/>
            </w:pPr>
            <w:r>
              <w:rPr>
                <w:rFonts w:ascii="Cambria" w:hAnsi="Cambria" w:cs="Cambria" w:eastAsia="Cambria"/>
                <w:color w:val="1A1A1A"/>
                <w:sz w:val="18"/>
              </w:rPr>
              <w:t xml:space="preserve">Modello costo-utilità di serie</w:t>
            </w:r>
          </w:p>
        </w:tc>
      </w:tr>
      <w:tr>
        <w:tc>
          <w:tcPr/>
          <w:p>
            <w:pPr>
              <w:pStyle w:val="Compact"/>
              <w:spacing w:after="40" w:before="40"/>
              <w:jc w:val="left"/>
            </w:pPr>
            <w:r>
              <w:rPr>
                <w:rFonts w:ascii="Cambria" w:hAnsi="Cambria" w:cs="Cambria" w:eastAsia="Cambria"/>
                <w:b/>
                <w:bCs/>
                <w:color w:val="1A1A1A"/>
                <w:sz w:val="18"/>
              </w:rPr>
              <w:t xml:space="preserve">Costo per paziente (comparatore)</w:t>
            </w:r>
          </w:p>
        </w:tc>
        <w:tc>
          <w:tcPr/>
          <w:p>
            <w:pPr>
              <w:pStyle w:val="Compact"/>
              <w:spacing w:after="40" w:before="40"/>
              <w:jc w:val="left"/>
            </w:pPr>
            <w:r>
              <w:rPr>
                <w:rFonts w:ascii="Cambria" w:hAnsi="Cambria" w:cs="Cambria" w:eastAsia="Cambria"/>
                <w:color w:val="1A1A1A"/>
                <w:sz w:val="18"/>
              </w:rPr>
              <w:t xml:space="preserve">~3.799 €</w:t>
            </w:r>
          </w:p>
        </w:tc>
        <w:tc>
          <w:tcPr/>
          <w:p>
            <w:pPr>
              <w:pStyle w:val="Compact"/>
              <w:spacing w:after="40" w:before="40"/>
              <w:jc w:val="left"/>
            </w:pPr>
            <w:r>
              <w:rPr>
                <w:rFonts w:ascii="Cambria" w:hAnsi="Cambria" w:cs="Cambria" w:eastAsia="Cambria"/>
                <w:color w:val="1A1A1A"/>
                <w:sz w:val="18"/>
              </w:rPr>
              <w:t xml:space="preserve">Modello costo-utilità di serie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Guadagno QALY per paziente</w:t>
            </w:r>
          </w:p>
        </w:tc>
        <w:tc>
          <w:tcPr>
            <w:shd w:val="clear" w:color="auto" w:fill="F4F1EC"/>
          </w:tcPr>
          <w:p>
            <w:pPr>
              <w:pStyle w:val="Compact"/>
              <w:spacing w:after="40" w:before="40"/>
              <w:jc w:val="left"/>
            </w:pPr>
            <w:r>
              <w:rPr>
                <w:rFonts w:ascii="Cambria" w:hAnsi="Cambria" w:cs="Cambria" w:eastAsia="Cambria"/>
                <w:color w:val="1A1A1A"/>
                <w:sz w:val="18"/>
              </w:rPr>
              <w:t xml:space="preserve">~0,236</w:t>
            </w:r>
          </w:p>
        </w:tc>
        <w:tc>
          <w:tcPr>
            <w:shd w:val="clear" w:color="auto" w:fill="F4F1EC"/>
          </w:tcPr>
          <w:p>
            <w:pPr>
              <w:pStyle w:val="Compact"/>
              <w:spacing w:after="40" w:before="40"/>
              <w:jc w:val="left"/>
            </w:pPr>
            <w:r>
              <w:rPr>
                <w:rFonts w:ascii="Cambria" w:hAnsi="Cambria" w:cs="Cambria" w:eastAsia="Cambria"/>
                <w:color w:val="1A1A1A"/>
                <w:sz w:val="18"/>
              </w:rPr>
              <w:t xml:space="preserve">Modello costo-utilità di serie</w:t>
            </w:r>
          </w:p>
        </w:tc>
      </w:tr>
    </w:tbl>
    <w:p>
      <w:pPr>
        <w:pStyle w:val="BodyText"/>
      </w:pPr>
      <w:r>
        <w:rPr>
          <w:i/>
          <w:iCs/>
        </w:rPr>
        <w:t xml:space="preserve">Tabella A.1. Il caso di riferimento e i parametri dello studio per la Regione Umbria.</w:t>
      </w:r>
    </w:p>
    <w:p>
      <w:r>
        <w:pict>
          <v:rect style="width:0;height:1.5pt" o:hralign="center" o:hrstd="t" o:hr="t"/>
        </w:pict>
      </w:r>
    </w:p>
    <w:bookmarkEnd w:id="4489"/>
    <w:bookmarkStart w:id="4490" w:name="Xa1fdc240368b3c6dd9b08904cf12ef28f36f6d9"/>
    <w:p>
      <w:pPr>
        <w:pStyle w:val="Heading2"/>
      </w:pPr>
      <w:r>
        <w:t xml:space="preserve">Appendice B — Strumenti di esito e dataset minimo</w:t>
      </w:r>
    </w:p>
    <w:p>
      <w:pPr>
        <w:pStyle w:val="FirstParagraph"/>
      </w:pPr>
      <w:r>
        <w:t xml:space="preserve">Gli strumenti di esito adottati sono comuni a tutti gli studi della serie e conformi allo standard internazionale. Il questionario a nove voci sui sintomi depressivi (PHQ-9) è lo strumento primario per la misura dei sintomi depressivi; la scala a sette voci per il disturbo d’ansia generalizzata (GAD-7) è lo strumento primario per la misura dei sintomi ansiosi. Entrambi sono impiegati nella versione italiana validata e nei soli punteggi complessivi, non nei singoli item. Il dataset minimo per l’Umbria include, oltre ai dati anagrafici pseudonimizzati e agli score PHQ-9 e GAD-7 alla presa in carico e alla chiusura del ciclo, i seguenti dati di processo: Distretto sanitario di presa in carico; modalità di accesso (diretto vs. su invio); numero di colloqui effettuati; esito del ciclo (recupero/miglioramento/invio ai servizi di secondo livello/drop-out); fascia d’età e genere; Azienda USL. La raccolta uniforme di questi dati in tutte le strutture abilitate è la condizione minima per il funzionamento della clausola valutativa e dell’Osservatorio tecnico regionale.</w:t>
      </w:r>
    </w:p>
    <w:p>
      <w:r>
        <w:pict>
          <v:rect style="width:0;height:1.5pt" o:hralign="center" o:hrstd="t" o:hr="t"/>
        </w:pict>
      </w:r>
    </w:p>
    <w:bookmarkEnd w:id="4490"/>
    <w:bookmarkStart w:id="4491" w:name="appendice-c-dati-regionali-e-fonti-9"/>
    <w:p>
      <w:pPr>
        <w:pStyle w:val="Heading2"/>
      </w:pPr>
      <w:r>
        <w:t xml:space="preserve">Appendice C — Dati regionali e fonti</w:t>
      </w:r>
    </w:p>
    <w:p>
      <w:pPr>
        <w:pStyle w:val="FirstParagraph"/>
      </w:pPr>
      <w:r>
        <w:t xml:space="preserve">La tabella seguente riepiloga i dati regionali fondamentali adottati nello studio, con le relative fonti. I dati contrassegnati come «da acquisire» sono quelli la cui raccolta è raccomandata nell’ambito del sistema di monitoraggio descritto nella Parte L.</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917"/>
        <w:gridCol w:w="2024"/>
        <w:gridCol w:w="28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Dato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r>
      <w:tr>
        <w:tc>
          <w:tcPr/>
          <w:p>
            <w:pPr>
              <w:pStyle w:val="Compact"/>
              <w:spacing w:after="40" w:before="40"/>
              <w:jc w:val="left"/>
            </w:pPr>
            <w:r>
              <w:rPr>
                <w:rFonts w:ascii="Cambria" w:hAnsi="Cambria" w:cs="Cambria" w:eastAsia="Cambria"/>
                <w:b/>
                <w:bCs/>
                <w:color w:val="1A1A1A"/>
                <w:sz w:val="18"/>
              </w:rPr>
              <w:t xml:space="preserve">Popolazione (1° gennaio 2025)</w:t>
            </w:r>
          </w:p>
        </w:tc>
        <w:tc>
          <w:tcPr/>
          <w:p>
            <w:pPr>
              <w:pStyle w:val="Compact"/>
              <w:spacing w:after="40" w:before="40"/>
              <w:jc w:val="left"/>
            </w:pPr>
            <w:r>
              <w:rPr>
                <w:rFonts w:ascii="Cambria" w:hAnsi="Cambria" w:cs="Cambria" w:eastAsia="Cambria"/>
                <w:color w:val="1A1A1A"/>
                <w:sz w:val="18"/>
              </w:rPr>
              <w:t xml:space="preserve">854.137</w:t>
            </w:r>
          </w:p>
        </w:tc>
        <w:tc>
          <w:tcPr/>
          <w:p>
            <w:pPr>
              <w:pStyle w:val="Compact"/>
              <w:spacing w:after="40" w:before="40"/>
              <w:jc w:val="left"/>
            </w:pPr>
            <w:r>
              <w:rPr>
                <w:rFonts w:ascii="Cambria" w:hAnsi="Cambria" w:cs="Cambria" w:eastAsia="Cambria"/>
                <w:color w:val="1A1A1A"/>
                <w:sz w:val="18"/>
              </w:rPr>
              <w:t xml:space="preserve">Regione Umbria, webstat</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Over-65</w:t>
            </w:r>
          </w:p>
        </w:tc>
        <w:tc>
          <w:tcPr>
            <w:shd w:val="clear" w:color="auto" w:fill="F4F1EC"/>
          </w:tcPr>
          <w:p>
            <w:pPr>
              <w:pStyle w:val="Compact"/>
              <w:spacing w:after="40" w:before="40"/>
              <w:jc w:val="left"/>
            </w:pPr>
            <w:r>
              <w:rPr>
                <w:rFonts w:ascii="Cambria" w:hAnsi="Cambria" w:cs="Cambria" w:eastAsia="Cambria"/>
                <w:color w:val="1A1A1A"/>
                <w:sz w:val="18"/>
              </w:rPr>
              <w:t xml:space="preserve">~232.730 (27,3%)</w:t>
            </w:r>
          </w:p>
        </w:tc>
        <w:tc>
          <w:tcPr>
            <w:shd w:val="clear" w:color="auto" w:fill="F4F1EC"/>
          </w:tcPr>
          <w:p>
            <w:pPr>
              <w:pStyle w:val="Compact"/>
              <w:spacing w:after="40" w:before="40"/>
              <w:jc w:val="left"/>
            </w:pPr>
            <w:r>
              <w:rPr>
                <w:rFonts w:ascii="Cambria" w:hAnsi="Cambria" w:cs="Cambria" w:eastAsia="Cambria"/>
                <w:color w:val="1A1A1A"/>
                <w:sz w:val="18"/>
              </w:rPr>
              <w:t xml:space="preserve">Regione Umbria, webstat</w:t>
            </w:r>
          </w:p>
        </w:tc>
      </w:tr>
      <w:tr>
        <w:tc>
          <w:tcPr/>
          <w:p>
            <w:pPr>
              <w:pStyle w:val="Compact"/>
              <w:spacing w:after="40" w:before="40"/>
              <w:jc w:val="left"/>
            </w:pPr>
            <w:r>
              <w:rPr>
                <w:rFonts w:ascii="Cambria" w:hAnsi="Cambria" w:cs="Cambria" w:eastAsia="Cambria"/>
                <w:b/>
                <w:bCs/>
                <w:color w:val="1A1A1A"/>
                <w:sz w:val="18"/>
              </w:rPr>
              <w:t xml:space="preserve">Indice di vecchiaia (gennaio 2025)</w:t>
            </w:r>
          </w:p>
        </w:tc>
        <w:tc>
          <w:tcPr/>
          <w:p>
            <w:pPr>
              <w:pStyle w:val="Compact"/>
              <w:spacing w:after="40" w:before="40"/>
              <w:jc w:val="left"/>
            </w:pPr>
            <w:r>
              <w:rPr>
                <w:rFonts w:ascii="Cambria" w:hAnsi="Cambria" w:cs="Cambria" w:eastAsia="Cambria"/>
                <w:color w:val="1A1A1A"/>
                <w:sz w:val="18"/>
              </w:rPr>
              <w:t xml:space="preserve">246,6%</w:t>
            </w:r>
          </w:p>
        </w:tc>
        <w:tc>
          <w:tcPr/>
          <w:p>
            <w:pPr>
              <w:pStyle w:val="Compact"/>
              <w:spacing w:after="40" w:before="40"/>
              <w:jc w:val="left"/>
            </w:pPr>
            <w:r>
              <w:rPr>
                <w:rFonts w:ascii="Cambria" w:hAnsi="Cambria" w:cs="Cambria" w:eastAsia="Cambria"/>
                <w:color w:val="1A1A1A"/>
                <w:sz w:val="18"/>
              </w:rPr>
              <w:t xml:space="preserve">Umbria24; Regione Umbria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Spesa sanitaria pro-capite (2024)</w:t>
            </w:r>
          </w:p>
        </w:tc>
        <w:tc>
          <w:tcPr>
            <w:shd w:val="clear" w:color="auto" w:fill="F4F1EC"/>
          </w:tcPr>
          <w:p>
            <w:pPr>
              <w:pStyle w:val="Compact"/>
              <w:spacing w:after="40" w:before="40"/>
              <w:jc w:val="left"/>
            </w:pPr>
            <w:r>
              <w:rPr>
                <w:rFonts w:ascii="Cambria" w:hAnsi="Cambria" w:cs="Cambria" w:eastAsia="Cambria"/>
                <w:color w:val="1A1A1A"/>
                <w:sz w:val="18"/>
              </w:rPr>
              <w:t xml:space="preserve">2.232 €</w:t>
            </w:r>
          </w:p>
        </w:tc>
        <w:tc>
          <w:tcPr>
            <w:shd w:val="clear" w:color="auto" w:fill="F4F1EC"/>
          </w:tcPr>
          <w:p>
            <w:pPr>
              <w:pStyle w:val="Compact"/>
              <w:spacing w:after="40" w:before="40"/>
              <w:jc w:val="left"/>
            </w:pPr>
            <w:r>
              <w:rPr>
                <w:rFonts w:ascii="Cambria" w:hAnsi="Cambria" w:cs="Cambria" w:eastAsia="Cambria"/>
                <w:color w:val="1A1A1A"/>
                <w:sz w:val="18"/>
              </w:rPr>
              <w:t xml:space="preserve">Umbria24/GIMBE</w:t>
            </w:r>
          </w:p>
        </w:tc>
      </w:tr>
      <w:tr>
        <w:tc>
          <w:tcPr/>
          <w:p>
            <w:pPr>
              <w:pStyle w:val="Compact"/>
              <w:spacing w:after="40" w:before="40"/>
              <w:jc w:val="left"/>
            </w:pPr>
            <w:r>
              <w:rPr>
                <w:rFonts w:ascii="Cambria" w:hAnsi="Cambria" w:cs="Cambria" w:eastAsia="Cambria"/>
                <w:b/>
                <w:bCs/>
                <w:color w:val="1A1A1A"/>
                <w:sz w:val="18"/>
              </w:rPr>
              <w:t xml:space="preserve">Fondo sanitario regionale (stima)</w:t>
            </w:r>
          </w:p>
        </w:tc>
        <w:tc>
          <w:tcPr/>
          <w:p>
            <w:pPr>
              <w:pStyle w:val="Compact"/>
              <w:spacing w:after="40" w:before="40"/>
              <w:jc w:val="left"/>
            </w:pPr>
            <w:r>
              <w:rPr>
                <w:rFonts w:ascii="Cambria" w:hAnsi="Cambria" w:cs="Cambria" w:eastAsia="Cambria"/>
                <w:color w:val="1A1A1A"/>
                <w:sz w:val="18"/>
              </w:rPr>
              <w:t xml:space="preserve">~1,9–2,0 mld €</w:t>
            </w:r>
          </w:p>
        </w:tc>
        <w:tc>
          <w:tcPr/>
          <w:p>
            <w:pPr>
              <w:pStyle w:val="Compact"/>
              <w:spacing w:after="40" w:before="40"/>
              <w:jc w:val="left"/>
            </w:pPr>
            <w:r>
              <w:rPr>
                <w:rFonts w:ascii="Cambria" w:hAnsi="Cambria" w:cs="Cambria" w:eastAsia="Cambria"/>
                <w:color w:val="1A1A1A"/>
                <w:sz w:val="18"/>
              </w:rPr>
              <w:t xml:space="preserve">Proiezione coerente con dati nazionali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Legge istitutiva del servizio</w:t>
            </w:r>
          </w:p>
        </w:tc>
        <w:tc>
          <w:tcPr>
            <w:shd w:val="clear" w:color="auto" w:fill="F4F1EC"/>
          </w:tcPr>
          <w:p>
            <w:pPr>
              <w:pStyle w:val="Compact"/>
              <w:spacing w:after="40" w:before="40"/>
              <w:jc w:val="left"/>
            </w:pPr>
            <w:r>
              <w:rPr>
                <w:rFonts w:ascii="Cambria" w:hAnsi="Cambria" w:cs="Cambria" w:eastAsia="Cambria"/>
                <w:color w:val="1A1A1A"/>
                <w:sz w:val="18"/>
              </w:rPr>
              <w:t xml:space="preserve">L.R. 28/10/2024, n. 22</w:t>
            </w:r>
          </w:p>
        </w:tc>
        <w:tc>
          <w:tcPr>
            <w:shd w:val="clear" w:color="auto" w:fill="F4F1EC"/>
          </w:tcPr>
          <w:p>
            <w:pPr>
              <w:pStyle w:val="Compact"/>
              <w:spacing w:after="40" w:before="40"/>
              <w:jc w:val="left"/>
            </w:pPr>
            <w:r>
              <w:rPr>
                <w:rFonts w:ascii="Cambria" w:hAnsi="Cambria" w:cs="Cambria" w:eastAsia="Cambria"/>
                <w:color w:val="1A1A1A"/>
                <w:sz w:val="18"/>
              </w:rPr>
              <w:t xml:space="preserve">leggi.alumbria.it, id 248521</w:t>
            </w:r>
          </w:p>
        </w:tc>
      </w:tr>
      <w:tr>
        <w:tc>
          <w:tcPr/>
          <w:p>
            <w:pPr>
              <w:pStyle w:val="Compact"/>
              <w:spacing w:after="40" w:before="40"/>
              <w:jc w:val="left"/>
            </w:pPr>
            <w:r>
              <w:rPr>
                <w:rFonts w:ascii="Cambria" w:hAnsi="Cambria" w:cs="Cambria" w:eastAsia="Cambria"/>
                <w:b/>
                <w:bCs/>
                <w:color w:val="1A1A1A"/>
                <w:sz w:val="18"/>
              </w:rPr>
              <w:t xml:space="preserve">Delibera Osservatorio tecnico</w:t>
            </w:r>
          </w:p>
        </w:tc>
        <w:tc>
          <w:tcPr/>
          <w:p>
            <w:pPr>
              <w:pStyle w:val="Compact"/>
              <w:spacing w:after="40" w:before="40"/>
              <w:jc w:val="left"/>
            </w:pPr>
            <w:r>
              <w:rPr>
                <w:rFonts w:ascii="Cambria" w:hAnsi="Cambria" w:cs="Cambria" w:eastAsia="Cambria"/>
                <w:color w:val="1A1A1A"/>
                <w:sz w:val="18"/>
              </w:rPr>
              <w:t xml:space="preserve">DGR 477/2025</w:t>
            </w:r>
          </w:p>
        </w:tc>
        <w:tc>
          <w:tcPr/>
          <w:p>
            <w:pPr>
              <w:pStyle w:val="Compact"/>
              <w:spacing w:after="40" w:before="40"/>
              <w:jc w:val="left"/>
            </w:pPr>
            <w:r>
              <w:rPr>
                <w:rFonts w:ascii="Cambria" w:hAnsi="Cambria" w:cs="Cambria" w:eastAsia="Cambria"/>
                <w:color w:val="1A1A1A"/>
                <w:sz w:val="18"/>
              </w:rPr>
              <w:t xml:space="preserve">Welforum/Regione Umbria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Finanziamento sperimentale</w:t>
            </w:r>
          </w:p>
        </w:tc>
        <w:tc>
          <w:tcPr>
            <w:shd w:val="clear" w:color="auto" w:fill="F4F1EC"/>
          </w:tcPr>
          <w:p>
            <w:pPr>
              <w:pStyle w:val="Compact"/>
              <w:spacing w:after="40" w:before="40"/>
              <w:jc w:val="left"/>
            </w:pPr>
            <w:r>
              <w:rPr>
                <w:rFonts w:ascii="Cambria" w:hAnsi="Cambria" w:cs="Cambria" w:eastAsia="Cambria"/>
                <w:color w:val="1A1A1A"/>
                <w:sz w:val="18"/>
              </w:rPr>
              <w:t xml:space="preserve">103.349 €/anno 2025–2026</w:t>
            </w:r>
          </w:p>
        </w:tc>
        <w:tc>
          <w:tcPr>
            <w:shd w:val="clear" w:color="auto" w:fill="F4F1EC"/>
          </w:tcPr>
          <w:p>
            <w:pPr>
              <w:pStyle w:val="Compact"/>
              <w:spacing w:after="40" w:before="40"/>
              <w:jc w:val="left"/>
            </w:pPr>
            <w:r>
              <w:rPr>
                <w:rFonts w:ascii="Cambria" w:hAnsi="Cambria" w:cs="Cambria" w:eastAsia="Cambria"/>
                <w:color w:val="1A1A1A"/>
                <w:sz w:val="18"/>
              </w:rPr>
              <w:t xml:space="preserve">Art. norma finanziaria L.R. 22/2024</w:t>
            </w:r>
          </w:p>
        </w:tc>
      </w:tr>
      <w:tr>
        <w:tc>
          <w:tcPr/>
          <w:p>
            <w:pPr>
              <w:pStyle w:val="Compact"/>
              <w:spacing w:after="40" w:before="40"/>
              <w:jc w:val="left"/>
            </w:pPr>
            <w:r>
              <w:rPr>
                <w:rFonts w:ascii="Cambria" w:hAnsi="Cambria" w:cs="Cambria" w:eastAsia="Cambria"/>
                <w:b/>
                <w:bCs/>
                <w:color w:val="1A1A1A"/>
                <w:sz w:val="18"/>
              </w:rPr>
              <w:t xml:space="preserve">Psicologi attivi a regime (scenario base)</w:t>
            </w:r>
          </w:p>
        </w:tc>
        <w:tc>
          <w:tcPr/>
          <w:p>
            <w:pPr>
              <w:pStyle w:val="Compact"/>
              <w:spacing w:after="40" w:before="40"/>
              <w:jc w:val="left"/>
            </w:pPr>
            <w:r>
              <w:rPr>
                <w:rFonts w:ascii="Cambria" w:hAnsi="Cambria" w:cs="Cambria" w:eastAsia="Cambria"/>
                <w:color w:val="1A1A1A"/>
                <w:sz w:val="18"/>
              </w:rPr>
              <w:t xml:space="preserve">~210</w:t>
            </w:r>
          </w:p>
        </w:tc>
        <w:tc>
          <w:tcPr/>
          <w:p>
            <w:pPr>
              <w:pStyle w:val="Compact"/>
              <w:spacing w:after="40" w:before="40"/>
              <w:jc w:val="left"/>
            </w:pPr>
            <w:r>
              <w:rPr>
                <w:rFonts w:ascii="Cambria" w:hAnsi="Cambria" w:cs="Cambria" w:eastAsia="Cambria"/>
                <w:color w:val="1A1A1A"/>
                <w:sz w:val="18"/>
              </w:rPr>
              <w:t xml:space="preserve">Modello parametrico di serie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Accessi PS per cause psichiatriche</w:t>
            </w:r>
          </w:p>
        </w:tc>
        <w:tc>
          <w:tcPr>
            <w:shd w:val="clear" w:color="auto" w:fill="F4F1EC"/>
          </w:tcPr>
          <w:p>
            <w:pPr>
              <w:pStyle w:val="Compact"/>
              <w:spacing w:after="40" w:before="40"/>
              <w:jc w:val="left"/>
            </w:pPr>
            <w:r>
              <w:rPr>
                <w:rFonts w:ascii="Cambria" w:hAnsi="Cambria" w:cs="Cambria" w:eastAsia="Cambria"/>
                <w:color w:val="1A1A1A"/>
                <w:sz w:val="18"/>
              </w:rPr>
              <w:t xml:space="preserve">Da acquisire</w:t>
            </w:r>
          </w:p>
        </w:tc>
        <w:tc>
          <w:tcPr>
            <w:shd w:val="clear" w:color="auto" w:fill="F4F1EC"/>
          </w:tcPr>
          <w:p>
            <w:pPr>
              <w:pStyle w:val="Compact"/>
              <w:spacing w:after="40" w:before="40"/>
              <w:jc w:val="left"/>
            </w:pPr>
            <w:r>
              <w:rPr>
                <w:rFonts w:ascii="Cambria" w:hAnsi="Cambria" w:cs="Cambria" w:eastAsia="Cambria"/>
                <w:color w:val="1A1A1A"/>
                <w:sz w:val="18"/>
              </w:rPr>
              <w:t xml:space="preserve">Flusso EMUR delle due Aziende USL</w:t>
            </w:r>
          </w:p>
        </w:tc>
      </w:tr>
      <w:tr>
        <w:tc>
          <w:tcPr/>
          <w:p>
            <w:pPr>
              <w:pStyle w:val="Compact"/>
              <w:spacing w:after="40" w:before="40"/>
              <w:jc w:val="left"/>
            </w:pPr>
            <w:r>
              <w:rPr>
                <w:rFonts w:ascii="Cambria" w:hAnsi="Cambria" w:cs="Cambria" w:eastAsia="Cambria"/>
                <w:b/>
                <w:bCs/>
                <w:color w:val="1A1A1A"/>
                <w:sz w:val="18"/>
              </w:rPr>
              <w:t xml:space="preserve">Utenza DSM in carico</w:t>
            </w:r>
          </w:p>
        </w:tc>
        <w:tc>
          <w:tcPr/>
          <w:p>
            <w:pPr>
              <w:pStyle w:val="Compact"/>
              <w:spacing w:after="40" w:before="40"/>
              <w:jc w:val="left"/>
            </w:pPr>
            <w:r>
              <w:rPr>
                <w:rFonts w:ascii="Cambria" w:hAnsi="Cambria" w:cs="Cambria" w:eastAsia="Cambria"/>
                <w:color w:val="1A1A1A"/>
                <w:sz w:val="18"/>
              </w:rPr>
              <w:t xml:space="preserve">Da acquisire</w:t>
            </w:r>
          </w:p>
        </w:tc>
        <w:tc>
          <w:tcPr/>
          <w:p>
            <w:pPr>
              <w:pStyle w:val="Compact"/>
              <w:spacing w:after="40" w:before="40"/>
              <w:jc w:val="left"/>
            </w:pPr>
            <w:r>
              <w:rPr>
                <w:rFonts w:ascii="Cambria" w:hAnsi="Cambria" w:cs="Cambria" w:eastAsia="Cambria"/>
                <w:color w:val="1A1A1A"/>
                <w:sz w:val="18"/>
              </w:rPr>
              <w:t xml:space="preserve">Flusso NSIS-SISM delle due Aziende USL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 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Da acquisire (stima: passivo)</w:t>
            </w:r>
          </w:p>
        </w:tc>
        <w:tc>
          <w:tcPr>
            <w:shd w:val="clear" w:color="auto" w:fill="F4F1EC"/>
          </w:tcPr>
          <w:p>
            <w:pPr>
              <w:pStyle w:val="Compact"/>
              <w:spacing w:after="40" w:before="40"/>
              <w:jc w:val="left"/>
            </w:pPr>
            <w:r>
              <w:rPr>
                <w:rFonts w:ascii="Cambria" w:hAnsi="Cambria" w:cs="Cambria" w:eastAsia="Cambria"/>
                <w:color w:val="1A1A1A"/>
                <w:sz w:val="18"/>
              </w:rPr>
              <w:t xml:space="preserve">Ministero della Salute, NSIS mobilità</w:t>
            </w:r>
          </w:p>
        </w:tc>
      </w:tr>
    </w:tbl>
    <w:p>
      <w:pPr>
        <w:pStyle w:val="BodyText"/>
      </w:pPr>
      <w:r>
        <w:rPr>
          <w:i/>
          <w:iCs/>
        </w:rPr>
        <w:t xml:space="preserve">Tabella C.1. I dati regionali fondamentali e le fonti per la Regione Umbria.</w:t>
      </w:r>
    </w:p>
    <w:p>
      <w:r>
        <w:pict>
          <v:rect style="width:0;height:1.5pt" o:hralign="center" o:hrstd="t" o:hr="t"/>
        </w:pict>
      </w:r>
    </w:p>
    <w:bookmarkEnd w:id="4491"/>
    <w:bookmarkStart w:id="2606" w:name="appendice-d-checklist-di-reporting-9"/>
    <w:p>
      <w:pPr>
        <w:pStyle w:val="Heading2"/>
      </w:pPr>
      <w:r>
        <w:t xml:space="preserve">Appendice D — Checklist di reporting</w:t>
      </w:r>
    </w:p>
    <w:p>
      <w:pPr>
        <w:pStyle w:val="FirstParagraph"/>
      </w:pPr>
      <w:r>
        <w:t xml:space="preserve">La tabella seguente riepiloga lo stato di conformità dello studio agli standard internazionali di reporting adottati per l’intera serie, secondo le checklist specifiche.</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29"/>
        <w:gridCol w:w="3096"/>
        <w:gridCol w:w="327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Standard</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Stato di conformità</w:t>
            </w:r>
          </w:p>
        </w:tc>
      </w:tr>
      <w:tr>
        <w:tc>
          <w:tcPr/>
          <w:p>
            <w:pPr>
              <w:pStyle w:val="Compact"/>
              <w:spacing w:after="40" w:before="40"/>
              <w:jc w:val="left"/>
            </w:pPr>
            <w:r>
              <w:rPr>
                <w:rFonts w:ascii="Cambria" w:hAnsi="Cambria" w:cs="Cambria" w:eastAsia="Cambria"/>
                <w:b/>
                <w:bCs/>
                <w:color w:val="1A1A1A"/>
                <w:sz w:val="18"/>
              </w:rPr>
              <w:t xml:space="preserve">CHEERS 2022</w:t>
            </w:r>
          </w:p>
        </w:tc>
        <w:tc>
          <w:tcPr/>
          <w:p>
            <w:pPr>
              <w:pStyle w:val="Compact"/>
              <w:spacing w:after="40" w:before="40"/>
              <w:jc w:val="left"/>
            </w:pPr>
            <w:r>
              <w:rPr>
                <w:rFonts w:ascii="Cambria" w:hAnsi="Cambria" w:cs="Cambria" w:eastAsia="Cambria"/>
                <w:color w:val="1A1A1A"/>
                <w:sz w:val="18"/>
              </w:rPr>
              <w:t xml:space="preserve">Reporting della valutazione economica in sanità</w:t>
            </w:r>
          </w:p>
        </w:tc>
        <w:tc>
          <w:tcPr/>
          <w:p>
            <w:pPr>
              <w:pStyle w:val="Compact"/>
              <w:spacing w:after="40" w:before="40"/>
              <w:jc w:val="left"/>
            </w:pPr>
            <w:r>
              <w:rPr>
                <w:rFonts w:ascii="Cambria" w:hAnsi="Cambria" w:cs="Cambria" w:eastAsia="Cambria"/>
                <w:color w:val="1A1A1A"/>
                <w:sz w:val="18"/>
              </w:rPr>
              <w:t xml:space="preserve">Conforme per tutti e ventotto gli item</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PRISMA</w:t>
            </w:r>
          </w:p>
        </w:tc>
        <w:tc>
          <w:tcPr>
            <w:shd w:val="clear" w:color="auto" w:fill="F4F1EC"/>
          </w:tcPr>
          <w:p>
            <w:pPr>
              <w:pStyle w:val="Compact"/>
              <w:spacing w:after="40" w:before="40"/>
              <w:jc w:val="left"/>
            </w:pPr>
            <w:r>
              <w:rPr>
                <w:rFonts w:ascii="Cambria" w:hAnsi="Cambria" w:cs="Cambria" w:eastAsia="Cambria"/>
                <w:color w:val="1A1A1A"/>
                <w:sz w:val="18"/>
              </w:rPr>
              <w:t xml:space="preserve">Reporting delle revisioni sistematiche</w:t>
            </w:r>
          </w:p>
        </w:tc>
        <w:tc>
          <w:tcPr>
            <w:shd w:val="clear" w:color="auto" w:fill="F4F1EC"/>
          </w:tcPr>
          <w:p>
            <w:pPr>
              <w:pStyle w:val="Compact"/>
              <w:spacing w:after="40" w:before="40"/>
              <w:jc w:val="left"/>
            </w:pPr>
            <w:r>
              <w:rPr>
                <w:rFonts w:ascii="Cambria" w:hAnsi="Cambria" w:cs="Cambria" w:eastAsia="Cambria"/>
                <w:color w:val="1A1A1A"/>
                <w:sz w:val="18"/>
              </w:rPr>
              <w:t xml:space="preserve">Conforme per la revisione dell’evidenza (Parte D)</w:t>
            </w:r>
          </w:p>
        </w:tc>
      </w:tr>
      <w:tr>
        <w:tc>
          <w:tcPr/>
          <w:p>
            <w:pPr>
              <w:pStyle w:val="Compact"/>
              <w:spacing w:after="40" w:before="40"/>
              <w:jc w:val="left"/>
            </w:pPr>
            <w:r>
              <w:rPr>
                <w:rFonts w:ascii="Cambria" w:hAnsi="Cambria" w:cs="Cambria" w:eastAsia="Cambria"/>
                <w:b/>
                <w:bCs/>
                <w:color w:val="1A1A1A"/>
                <w:sz w:val="18"/>
              </w:rPr>
              <w:t xml:space="preserve">GRADE</w:t>
            </w:r>
          </w:p>
        </w:tc>
        <w:tc>
          <w:tcPr/>
          <w:p>
            <w:pPr>
              <w:pStyle w:val="Compact"/>
              <w:spacing w:after="40" w:before="40"/>
              <w:jc w:val="left"/>
            </w:pPr>
            <w:r>
              <w:rPr>
                <w:rFonts w:ascii="Cambria" w:hAnsi="Cambria" w:cs="Cambria" w:eastAsia="Cambria"/>
                <w:color w:val="1A1A1A"/>
                <w:sz w:val="18"/>
              </w:rPr>
              <w:t xml:space="preserve">Graduazione della qualità dell’evidenza</w:t>
            </w:r>
          </w:p>
        </w:tc>
        <w:tc>
          <w:tcPr/>
          <w:p>
            <w:pPr>
              <w:pStyle w:val="Compact"/>
              <w:spacing w:after="40" w:before="40"/>
              <w:jc w:val="left"/>
            </w:pPr>
            <w:r>
              <w:rPr>
                <w:rFonts w:ascii="Cambria" w:hAnsi="Cambria" w:cs="Cambria" w:eastAsia="Cambria"/>
                <w:color w:val="1A1A1A"/>
                <w:sz w:val="18"/>
              </w:rPr>
              <w:t xml:space="preserve">Applicato nella Parte D (moderato-elevato per disturbi comuni)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STROBE</w:t>
            </w:r>
          </w:p>
        </w:tc>
        <w:tc>
          <w:tcPr>
            <w:shd w:val="clear" w:color="auto" w:fill="F4F1EC"/>
          </w:tcPr>
          <w:p>
            <w:pPr>
              <w:pStyle w:val="Compact"/>
              <w:spacing w:after="40" w:before="40"/>
              <w:jc w:val="left"/>
            </w:pPr>
            <w:r>
              <w:rPr>
                <w:rFonts w:ascii="Cambria" w:hAnsi="Cambria" w:cs="Cambria" w:eastAsia="Cambria"/>
                <w:color w:val="1A1A1A"/>
                <w:sz w:val="18"/>
              </w:rPr>
              <w:t xml:space="preserve">Reporting degli studi osservazionali</w:t>
            </w:r>
          </w:p>
        </w:tc>
        <w:tc>
          <w:tcPr>
            <w:shd w:val="clear" w:color="auto" w:fill="F4F1EC"/>
          </w:tcPr>
          <w:p>
            <w:pPr>
              <w:pStyle w:val="Compact"/>
              <w:spacing w:after="40" w:before="40"/>
              <w:jc w:val="left"/>
            </w:pPr>
            <w:r>
              <w:rPr>
                <w:rFonts w:ascii="Cambria" w:hAnsi="Cambria" w:cs="Cambria" w:eastAsia="Cambria"/>
                <w:color w:val="1A1A1A"/>
                <w:sz w:val="18"/>
              </w:rPr>
              <w:t xml:space="preserve">Applicabile al disegno di verifica empirica (Parte F.5)</w:t>
            </w:r>
          </w:p>
        </w:tc>
      </w:tr>
      <w:tr>
        <w:tc>
          <w:tcPr/>
          <w:p>
            <w:pPr>
              <w:pStyle w:val="Compact"/>
              <w:spacing w:after="40" w:before="40"/>
              <w:jc w:val="left"/>
            </w:pPr>
            <w:r>
              <w:rPr>
                <w:rFonts w:ascii="Cambria" w:hAnsi="Cambria" w:cs="Cambria" w:eastAsia="Cambria"/>
                <w:b/>
                <w:bCs/>
                <w:color w:val="1A1A1A"/>
                <w:sz w:val="18"/>
              </w:rPr>
              <w:t xml:space="preserve">ISPOR-SMDM</w:t>
            </w:r>
          </w:p>
        </w:tc>
        <w:tc>
          <w:tcPr/>
          <w:p>
            <w:pPr>
              <w:pStyle w:val="Compact"/>
              <w:spacing w:after="40" w:before="40"/>
              <w:jc w:val="left"/>
            </w:pPr>
            <w:r>
              <w:rPr>
                <w:rFonts w:ascii="Cambria" w:hAnsi="Cambria" w:cs="Cambria" w:eastAsia="Cambria"/>
                <w:color w:val="1A1A1A"/>
                <w:sz w:val="18"/>
              </w:rPr>
              <w:t xml:space="preserve">Buone pratiche per la modellazione decisionale</w:t>
            </w:r>
          </w:p>
        </w:tc>
        <w:tc>
          <w:tcPr/>
          <w:p>
            <w:pPr>
              <w:pStyle w:val="Compact"/>
              <w:spacing w:after="40" w:before="40"/>
              <w:jc w:val="left"/>
            </w:pPr>
            <w:r>
              <w:rPr>
                <w:rFonts w:ascii="Cambria" w:hAnsi="Cambria" w:cs="Cambria" w:eastAsia="Cambria"/>
                <w:color w:val="1A1A1A"/>
                <w:sz w:val="18"/>
              </w:rPr>
              <w:t xml:space="preserve">Applicato al modello di Markov (Parte F)</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OCSE-JRC</w:t>
            </w:r>
          </w:p>
        </w:tc>
        <w:tc>
          <w:tcPr>
            <w:shd w:val="clear" w:color="auto" w:fill="F4F1EC"/>
          </w:tcPr>
          <w:p>
            <w:pPr>
              <w:pStyle w:val="Compact"/>
              <w:spacing w:after="40" w:before="40"/>
              <w:jc w:val="left"/>
            </w:pPr>
            <w:r>
              <w:rPr>
                <w:rFonts w:ascii="Cambria" w:hAnsi="Cambria" w:cs="Cambria" w:eastAsia="Cambria"/>
                <w:color w:val="1A1A1A"/>
                <w:sz w:val="18"/>
              </w:rPr>
              <w:t xml:space="preserve">Criteri di qualità per la valutazione delle politich</w:t>
            </w:r>
          </w:p>
        </w:tc>
        <w:tc>
          <w:tcPr>
            <w:shd w:val="clear" w:color="auto" w:fill="F4F1EC"/>
          </w:tcPr>
          <w:p>
            <w:pPr>
              <w:pStyle w:val="Compact"/>
              <w:spacing w:after="40" w:before="40"/>
              <w:jc w:val="left"/>
            </w:pPr>
            <w:r>
              <w:rPr>
                <w:rFonts w:ascii="Cambria" w:hAnsi="Cambria" w:cs="Cambria" w:eastAsia="Cambria"/>
                <w:color w:val="1A1A1A"/>
                <w:sz w:val="18"/>
              </w:rPr>
              <w:t xml:space="preserve">e Applicato nella sintesi (Parte M) con i criteri DAC</w:t>
            </w:r>
          </w:p>
        </w:tc>
      </w:tr>
    </w:tbl>
    <w:p>
      <w:pPr>
        <w:pStyle w:val="BodyText"/>
      </w:pPr>
      <w:r>
        <w:rPr>
          <w:i/>
          <w:iCs/>
        </w:rPr>
        <w:t xml:space="preserve">Tabella D.1. La checklist di reporting e lo stato di conformità agli standard internazionali.</w:t>
      </w:r>
    </w:p>
    <w:p>
      <w:r>
        <w:pict>
          <v:rect style="width:0;height:1.5pt" o:hralign="center" o:hrstd="t" o:hr="t"/>
        </w:pict>
      </w:r>
    </w:p>
    <w:bookmarkEnd w:id="2606"/>
    <w:bookmarkStart w:id="4492" w:name="appendice-e-glossario-9"/>
    <w:p>
      <w:pPr>
        <w:pStyle w:val="Heading2"/>
      </w:pPr>
      <w:r>
        <w:t xml:space="preserve">Appendice E — Glossario</w:t>
      </w:r>
    </w:p>
    <w:p>
      <w:pPr>
        <w:pStyle w:val="FirstParagraph"/>
      </w:pPr>
      <w:r>
        <w:rPr>
          <w:b/>
          <w:bCs/>
        </w:rPr>
        <w:t xml:space="preserve">Analisi costo-utilità</w:t>
      </w:r>
      <w:r>
        <w:t xml:space="preserve">: analisi economica che esprime il costo dell’intervento in termini di costo per anno di vita ponderato per la qualità (QALY); consente il confronto fra interventi in ambiti clinici diversi.</w:t>
      </w:r>
    </w:p>
    <w:p>
      <w:pPr>
        <w:pStyle w:val="BodyText"/>
      </w:pPr>
      <w:r>
        <w:rPr>
          <w:b/>
          <w:bCs/>
        </w:rPr>
        <w:t xml:space="preserve">Analisi di impatto sul bilancio</w:t>
      </w:r>
      <w:r>
        <w:t xml:space="preserve">: analisi economica che stima la variazione della spesa per il bilancio di un pagatore specifico (qui: il Servizio sanitario regionale) derivante dall’adozione dell’intervento su un orizzonte temporale definito.</w:t>
      </w:r>
    </w:p>
    <w:p>
      <w:pPr>
        <w:pStyle w:val="BodyText"/>
      </w:pPr>
      <w:r>
        <w:rPr>
          <w:b/>
          <w:bCs/>
        </w:rPr>
        <w:t xml:space="preserve">Caso di riferimento</w:t>
      </w:r>
      <w:r>
        <w:t xml:space="preserve">: insieme delle scelte metodologiche di base che rendono i risultati interpretabili e confrontabili, fissate per l’intera serie e declinate sulle specificità regionali.</w:t>
      </w:r>
    </w:p>
    <w:p>
      <w:pPr>
        <w:pStyle w:val="BodyText"/>
      </w:pPr>
      <w:r>
        <w:rPr>
          <w:b/>
          <w:bCs/>
        </w:rPr>
        <w:t xml:space="preserve">Chisholm et al. 2016</w:t>
      </w:r>
      <w:r>
        <w:t xml:space="preserve">: ancoraggio metodologico dell’intera serie, pubblicato su The Lancet Psychiatry; fornisce il duplice intervallo del rapporto beneficio-costo: 2,3–3,0:1 (soli benefici economici) e 3,3–5,7:1 (comprendendo i benefici di salute).</w:t>
      </w:r>
    </w:p>
    <w:p>
      <w:pPr>
        <w:pStyle w:val="BodyText"/>
      </w:pPr>
      <w:r>
        <w:rPr>
          <w:b/>
          <w:bCs/>
        </w:rPr>
        <w:t xml:space="preserve">Clausola valutativa</w:t>
      </w:r>
      <w:r>
        <w:t xml:space="preserve">: disposizione normativa che impone alla Giunta regionale di riferire periodicamente all’Assemblea legislativa sui risultati dell’attuazione; nella L.R. n. 22/2024 umbra è contenuta nell’art. 406, ultimo comma.</w:t>
      </w:r>
    </w:p>
    <w:p>
      <w:pPr>
        <w:pStyle w:val="BodyText"/>
      </w:pPr>
      <w:r>
        <w:rPr>
          <w:b/>
          <w:bCs/>
        </w:rPr>
        <w:t xml:space="preserve">Costo-efficacia distributiva</w:t>
      </w:r>
      <w:r>
        <w:t xml:space="preserve">: estensione della costo-efficacia standard che incorpora pesi distributivi sulle diverse popolazioni, attribuendo maggiore valore ai guadagni di salute conseguiti da popolazioni svantaggiate.</w:t>
      </w:r>
    </w:p>
    <w:p>
      <w:pPr>
        <w:pStyle w:val="BodyText"/>
      </w:pPr>
      <w:r>
        <w:rPr>
          <w:b/>
          <w:bCs/>
        </w:rPr>
        <w:t xml:space="preserve">Five Case Model (5CM)</w:t>
      </w:r>
      <w:r>
        <w:t xml:space="preserve">: modello di decisione di investimento pubblico sviluppato dal Ministero del Tesoro britannico; struttura la decisione in cinque casi (strategico, economico, finanziario, commerciale, gestionale).</w:t>
      </w:r>
    </w:p>
    <w:p>
      <w:pPr>
        <w:pStyle w:val="BodyText"/>
      </w:pPr>
      <w:r>
        <w:rPr>
          <w:b/>
          <w:bCs/>
        </w:rPr>
        <w:t xml:space="preserve">GRADE</w:t>
      </w:r>
      <w:r>
        <w:t xml:space="preserve">: sistema di graduazione della qualità dell’evidenza e della forza delle raccomandazioni, sviluppato dal Grading of Recommendations Assessment, Development and Evaluation Working Group; classifica l’evidenza in quattro livelli: elevato, moderato, basso, molto basso.</w:t>
      </w:r>
    </w:p>
    <w:p>
      <w:pPr>
        <w:pStyle w:val="BodyText"/>
      </w:pPr>
      <w:r>
        <w:rPr>
          <w:b/>
          <w:bCs/>
        </w:rPr>
        <w:t xml:space="preserve">HTA (Health Technology Assessment)</w:t>
      </w:r>
      <w:r>
        <w:t xml:space="preserve">: valutazione multidimensionale delle tecnologie sanitarie, che ne analizza il valore nelle dimensioni clinica, economica, organizzativa, sociale, etica e giuridica.</w:t>
      </w:r>
    </w:p>
    <w:p>
      <w:pPr>
        <w:pStyle w:val="BodyText"/>
      </w:pPr>
      <w:r>
        <w:rPr>
          <w:b/>
          <w:bCs/>
        </w:rPr>
        <w:t xml:space="preserve">Modello di Markov</w:t>
      </w:r>
      <w:r>
        <w:t xml:space="preserve">: modello decisionale che rappresenta la storia clinica del paziente come una sequenza di transizioni fra stati di salute mutuamente esclusivi, su un orizzonte temporale definito con tassi di transizione e costi associati a ciascuno stato.</w:t>
      </w:r>
    </w:p>
    <w:p>
      <w:pPr>
        <w:pStyle w:val="BodyText"/>
      </w:pPr>
      <w:r>
        <w:rPr>
          <w:b/>
          <w:bCs/>
        </w:rPr>
        <w:t xml:space="preserve">Osservatorio tecnico regionale</w:t>
      </w:r>
      <w:r>
        <w:t xml:space="preserve">: organismo istituito con DGR 477/2025 in attuazione dell’art. 176-octies della L.R. n. 22/2024; svolge funzioni di controllo, programmazione e indirizzo sulle attività dello psicologo di cure primarie in Umbria.</w:t>
      </w:r>
    </w:p>
    <w:p>
      <w:pPr>
        <w:pStyle w:val="BodyText"/>
      </w:pPr>
      <w:r>
        <w:rPr>
          <w:b/>
          <w:bCs/>
        </w:rPr>
        <w:t xml:space="preserve">QALY (Quality-Adjusted Life Year)</w:t>
      </w:r>
      <w:r>
        <w:t xml:space="preserve">: anno di vita ponderato per la qualità; misura degli esiti di salute che combina quantità e qualità della vita in un’unica grandezza.</w:t>
      </w:r>
    </w:p>
    <w:p>
      <w:pPr>
        <w:pStyle w:val="BodyText"/>
      </w:pPr>
      <w:r>
        <w:rPr>
          <w:b/>
          <w:bCs/>
        </w:rPr>
        <w:t xml:space="preserve">Sensibilità probabilistica</w:t>
      </w:r>
      <w:r>
        <w:t xml:space="preserve">: analisi che propaga simultaneamente l’incertezza su tutti i parametri del modello, mediante simulazioni di Monte Carlo, producendo una distribuzione dei possibili valori del risultato anziché un singolo valore puntuale.</w:t>
      </w:r>
    </w:p>
    <w:p>
      <w:pPr>
        <w:pStyle w:val="BodyText"/>
      </w:pPr>
      <w:r>
        <w:rPr>
          <w:b/>
          <w:bCs/>
        </w:rPr>
        <w:t xml:space="preserve">Saldo diretto (caso finanziario)</w:t>
      </w:r>
      <w:r>
        <w:t xml:space="preserve">: differenza fra risparmi diretti per il bilancio sanitario e costo del servizio; misura l’impatto sul bilancio del Servizio sanitario regionale, distinto dal saldo complessivo che include le ricadute sociali.</w:t>
      </w:r>
    </w:p>
    <w:p>
      <w:pPr>
        <w:pStyle w:val="BodyText"/>
      </w:pPr>
      <w:r>
        <w:rPr>
          <w:b/>
          <w:bCs/>
        </w:rPr>
        <w:t xml:space="preserve">Saldo complessivo (caso economico)</w:t>
      </w:r>
      <w:r>
        <w:t xml:space="preserve">: somma di risparmi diretti e ricadute economico-sociali, meno il costo del servizio; misura il valore complessivo per la collettività.</w:t>
      </w:r>
    </w:p>
    <w:p>
      <w:pPr>
        <w:pStyle w:val="BodyText"/>
      </w:pPr>
      <w:r>
        <w:rPr>
          <w:b/>
          <w:bCs/>
        </w:rPr>
        <w:t xml:space="preserve">Trial IMPACT</w:t>
      </w:r>
      <w:r>
        <w:t xml:space="preserve">: studio controllato randomizzato condotto da Unützer et al. (2002, 2008) sul modello di cura collaborativa per la depressione nelle cure primarie; riferimento metodologico principale per la cautela sui risparmi diretti.</w:t>
      </w:r>
    </w:p>
    <w:p>
      <w:r>
        <w:pict>
          <v:rect style="width:0;height:1.5pt" o:hralign="center" o:hrstd="t" o:hr="t"/>
        </w:pict>
      </w:r>
    </w:p>
    <w:bookmarkEnd w:id="4492"/>
    <w:bookmarkStart w:id="4493" w:name="note"/>
    <w:p>
      <w:pPr>
        <w:pStyle w:val="Heading2"/>
      </w:pPr>
      <w:r>
        <w:t xml:space="preserve">Note</w:t>
      </w:r>
    </w:p>
    <w:bookmarkEnd w:id="4493"/>
    <w:bookmarkEnd w:id="2609"/>
    <w:bookmarkStart w:id="3453" w:name="blocco-regionale-iii-italia-meridionale"/>
    <w:p>
      <w:pPr>
        <w:pStyle w:val="Heading1"/>
      </w:pPr>
      <w:r>
        <w:t xml:space="preserve">Blocco Regionale III — Italia meridionale</w:t>
      </w:r>
    </w:p>
    <w:p>
      <w:pPr>
        <w:pStyle w:val="FirstParagraph"/>
      </w:pPr>
      <w:r>
        <w:t xml:space="preserve">Lo studio integrale della Puglia, capostipite del modello, costituisce l’oggetto del Tomo I della presente opera, al quale il blocco rinvia.</w:t>
      </w:r>
    </w:p>
    <w:bookmarkStart w:id="4494" w:name="abruzzo-studio-hta-integrale"/>
    <w:p>
      <w:pPr>
        <w:pStyle w:val="Heading2"/>
      </w:pPr>
      <w:r>
        <w:t xml:space="preserve">Abruzzo — Studio HTA integrale</w:t>
      </w:r>
    </w:p>
    <w:p>
      <w:pPr>
        <w:pStyle w:val="FirstParagraph"/>
      </w:pPr>
      <w:r>
        <w:t xml:space="preserve">Psicologo di Base in Abruzzo</w:t>
      </w:r>
    </w:p>
    <w:p>
      <w:pPr>
        <w:pStyle w:val="BodyText"/>
      </w:pPr>
      <w:r>
        <w:t xml:space="preserve">Studio Integrale Regionale · Valutazione di Tecnologia Sanitaria · Telaio HTA a nove domini</w:t>
      </w:r>
    </w:p>
    <w:p>
      <w:pPr>
        <w:pStyle w:val="BodyText"/>
      </w:pPr>
      <w:r>
        <w:t xml:space="preserve">Progetto «Psicologo di Base» · Regione Abruzzo · L.R. 28/2022</w:t>
      </w:r>
    </w:p>
    <w:p>
      <w:pPr>
        <w:pStyle w:val="BodyText"/>
      </w:pPr>
      <w:r>
        <w:t xml:space="preserve">Parti A–M e Appendici A–E</w:t>
      </w:r>
    </w:p>
    <w:bookmarkEnd w:id="4494"/>
    <w:bookmarkStart w:id="4495" w:name="premessa-generale-9"/>
    <w:p>
      <w:pPr>
        <w:pStyle w:val="Heading2"/>
      </w:pPr>
      <w:r>
        <w:t xml:space="preserve">Premessa generale</w:t>
      </w:r>
    </w:p>
    <w:p>
      <w:pPr>
        <w:pStyle w:val="FirstParagraph"/>
      </w:pPr>
      <w:r>
        <w:t xml:space="preserve">Questo documento raccoglie in un’unica opera lo studio integrale per la Regione Abruzzo sulla riforma «Psicologo di Base», nella cornice della legge regionale n. 28 del 2022 e del relativo regolamento attuativo. Esso compone in sequenza le undici parti narrative, dalla A alla M — l’alfabeto italiano salta le lettere J e K — e le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che non vengono mai sommate in un unico indice di bilancio.</w:t>
      </w:r>
    </w:p>
    <w:p>
      <w:pPr>
        <w:pStyle w:val="BodyText"/>
      </w:pPr>
      <w:r>
        <w:t xml:space="preserve">Da tale distinzione discende la tesi centrale dello studio abruzzese, articolata in tre affermazioni congiunte: il servizio costa al bilancio una cifra modesta — inferiore all’uno per cento di un finanziamento dell’ordine di 2,5 miliardi — e comporta un saldo diretto prossimo al pareggio; restituisce alla collettività un valore dell’ordine di tre-cinque euro per ogni euro speso, con un rapporto beneficio-costo compreso fra 3,4 e 5,1 a uno, entro la fascia metodologicamente fondata di 3,3–5,7 a uno includendo i benefici di salute; e adempie all’obbligo di garantire i livelli essenziali, intercettando un bisogno largamente inevaso. Rispetto alle altre regioni della serie, l’Abruzzo occupa una posizione peculiare: è una delle prime regioni ad aver istituito il servizio per legge, ma è anche l’unica chiamata a portarlo a regime entro il vincolo di un piano di rientro in peggioramento, sicché la garanzia dei livelli essenziali — che la Corte Costituzionale impone alle regioni in rientro di porre a fondamento di ogni impiego — non è un ostacolo, ma l’argomento decisivo a sostegno del servizio. L’analisi multi-criterio che conclude lo studio assegna all’attuazione un punteggio di 78,15 su 100, contro 39,50 del non intervento.</w:t>
      </w:r>
    </w:p>
    <w:bookmarkEnd w:id="4495"/>
    <w:bookmarkStart w:id="4496" w:name="indice-generale-del-corpus-9"/>
    <w:p>
      <w:pPr>
        <w:pStyle w:val="Heading2"/>
      </w:pPr>
      <w:r>
        <w:t xml:space="preserve">Indice generale del corpus</w:t>
      </w:r>
    </w:p>
    <w:p>
      <w:pPr>
        <w:pStyle w:val="FirstParagraph"/>
      </w:pPr>
      <w:r>
        <w:t xml:space="preserve">La tabella seguente elenca i sedici documenti dello studio, con i rispettivi capitoli e il contenuto; il documento prosegue poi con le parti e le appendici in sequenza.</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52"/>
        <w:gridCol w:w="1152"/>
        <w:gridCol w:w="552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A.1-A.4</w:t>
            </w:r>
          </w:p>
        </w:tc>
        <w:tc>
          <w:tcPr/>
          <w:p>
            <w:pPr>
              <w:pStyle w:val="Compact"/>
              <w:spacing w:after="40" w:before="40"/>
              <w:jc w:val="left"/>
            </w:pPr>
            <w:r>
              <w:rPr>
                <w:rFonts w:ascii="Cambria" w:hAnsi="Cambria" w:cs="Cambria" w:eastAsia="Cambria"/>
                <w:color w:val="1A1A1A"/>
                <w:sz w:val="18"/>
              </w:rPr>
              <w:t xml:space="preserve">Quadro, quesito e metodo: scopo e quesito,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Bisogno e contesto: demografia, epidemiologia, domanda e offerta, divari,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Intervento e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due casi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sensibilità, scenari,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G.1-G.4</w:t>
            </w:r>
          </w:p>
        </w:tc>
        <w:tc>
          <w:tcPr/>
          <w:p>
            <w:pPr>
              <w:pStyle w:val="Compact"/>
              <w:spacing w:after="40" w:before="40"/>
              <w:jc w:val="left"/>
            </w:pPr>
            <w:r>
              <w:rPr>
                <w:rFonts w:ascii="Cambria" w:hAnsi="Cambria" w:cs="Cambria" w:eastAsia="Cambria"/>
                <w:color w:val="1A1A1A"/>
                <w:sz w:val="18"/>
              </w:rPr>
              <w:t xml:space="preserve">Equità e impatto distributivo: gradiente sociale, assi territoriali, strumenti, costo-efficacia distributiva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H.1-H.4</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giuridico, organizzativo, etico, sintesi</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cinque casi, dimensionamento, reclutamento, sostenibilità, rischi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ex post: impianto, controfattuale, indicatori, cruscotto, sintesi</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M.1-M.5</w:t>
            </w:r>
          </w:p>
        </w:tc>
        <w:tc>
          <w:tcPr/>
          <w:p>
            <w:pPr>
              <w:pStyle w:val="Compact"/>
              <w:spacing w:after="40" w:before="40"/>
              <w:jc w:val="left"/>
            </w:pPr>
            <w:r>
              <w:rPr>
                <w:rFonts w:ascii="Cambria" w:hAnsi="Cambria" w:cs="Cambria" w:eastAsia="Cambria"/>
                <w:color w:val="1A1A1A"/>
                <w:sz w:val="18"/>
              </w:rPr>
              <w:t xml:space="preserve">Sintesi multidimensionale: sintesi per dominio, analisi multi-criterio, raccomandazione, condizioni, conclusione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Appendici A-E</w:t>
            </w:r>
          </w:p>
        </w:tc>
        <w:tc>
          <w:tcPr>
            <w:shd w:val="clear" w:color="auto" w:fill="F4F1EC"/>
          </w:tcPr>
          <w:p>
            <w:pPr>
              <w:pStyle w:val="Compact"/>
              <w:spacing w:after="40" w:before="40"/>
              <w:jc w:val="left"/>
            </w:pPr>
            <w:r>
              <w:rPr>
                <w:rFonts w:ascii="Cambria" w:hAnsi="Cambria" w:cs="Cambria" w:eastAsia="Cambria"/>
                <w:color w:val="1A1A1A"/>
                <w:sz w:val="18"/>
              </w:rPr>
              <w:t xml:space="preserve">A-E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strumenti ed esiti, dati regionali, checklist, glossario</w:t>
            </w:r>
          </w:p>
        </w:tc>
      </w:tr>
    </w:tbl>
    <w:p>
      <w:pPr>
        <w:pStyle w:val="BodyText"/>
      </w:pPr>
      <w:r>
        <w:rPr>
          <w:i/>
          <w:iCs/>
        </w:rPr>
        <w:t xml:space="preserve">Tabella. La mappa di lettura del corpus: undici parti narrative e cinque appendici.</w:t>
      </w:r>
    </w:p>
    <w:bookmarkEnd w:id="4496"/>
    <w:bookmarkStart w:id="4497" w:name="parte-a-quadro-quesito-e-metodo-11"/>
    <w:p>
      <w:pPr>
        <w:pStyle w:val="Heading2"/>
      </w:pPr>
      <w:r>
        <w:t xml:space="preserve">Parte A — Quadro, quesito e metodo</w:t>
      </w:r>
    </w:p>
    <w:p>
      <w:pPr>
        <w:pStyle w:val="FirstParagraph"/>
      </w:pPr>
      <w:r>
        <w:t xml:space="preserve">Questa è la prima parte dello studio integrale per l’Abruzzo, che applica alla regione il telaio integrato di valutazione sviluppato e validato per la Puglia e già esteso alla Lombardia, al Veneto, all’Emilia-Romagna, al Piemonte, alla Toscana, alla Liguria, al Lazio e alla Campania. L’architettura e il caso di riferimento sono i medesimi, e mutano soltanto i dati di ingresso, ancorati all’Abruzzo.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L’Abruzzo occupa nella serie una posizione definita: è fra le Regioni che hanno istituito il servizio per legge — con la legge regionale 8 ottobre 2022, n. 28 — e ne hanno approvato il regolamento attuativo, ma la cui attuazione operativa è ancora in fase iniziale, sicché la valutazione non riguarda l’opportunità di introdurre il servizio, bensì la sua piena attuazione e la sua strutturazione a regime, in un contesto di vincolo finanziario fra i più stringenti del Paese.</w:t>
      </w:r>
    </w:p>
    <w:bookmarkStart w:id="4498" w:name="X7cfcd68d40f4b2aea830411589f761fb9aa41fc"/>
    <w:p>
      <w:pPr>
        <w:pStyle w:val="Heading3"/>
      </w:pPr>
      <w:r>
        <w:t xml:space="preserve">A.1 Scopo, quesito di valutazione e standard adottati</w:t>
      </w:r>
    </w:p>
    <w:p>
      <w:pPr>
        <w:pStyle w:val="FirstParagraph"/>
      </w:pPr>
      <w:r>
        <w:t xml:space="preserve">Lo studio ha per oggetto il Servizio di Psicologia di Base nelle cure primarie dell’Abruzzo, inteso come piena attuazione a regime e dimensionamento di una funzione che la regione ha già istituito per legge e disciplinato con regolamento, ma che ha attivato finora soltanto in misura iniziale e con risorse transitorie.</w:t>
      </w:r>
      <w:r>
        <w:rPr>
          <w:rStyle w:val="FootnoteReference"/>
        </w:rPr>
        <w:footnoteReference w:id="2954"/>
      </w:r>
      <w:r>
        <w:t xml:space="preserve"> </w:t>
      </w:r>
      <w:r>
        <w:t xml:space="preserve">Ne valuta il valore nelle dimensioni clinica, economica, organizzativa, sociale, etica e giuridica, allo scopo di informare la decisione sulla messa a regime e sul finanziamento stabile del servizio. La premessa che orienta l’intero studio è che la decisione rilevante, per l’Abruzzo, non è istituire il servizio, già istituito e regolato, ma attuarlo compiutamente e dimensionarlo, conducendolo dal nucleo iniziale previsto dalla norma alla copertura sistematica del fabbisogno con un finanziamento regionale stabile, in luogo dello stanziamento transitorio originario.</w:t>
      </w:r>
      <w:r>
        <w:rPr>
          <w:rStyle w:val="FootnoteReference"/>
        </w:rPr>
        <w:footnoteReference w:id="2955"/>
      </w:r>
      <w:r>
        <w:t xml:space="preserve"> </w:t>
      </w:r>
      <w:r>
        <w:t xml:space="preserve">Lo studio fornisce gli elementi per quella decisione, non la sostituisce: ne misura le conseguenze attese in tre scenari di copertura, lasciando alla sede politica e di bilancio la scelta della scala. Va segnalato sin d’ora che la dotazione minima prefigurata dalla legge — un professionista ogni quindicimila abitanti, almeno uno per distretto — colloca il nucleo iniziale del servizio assai al di sotto dello scenario di copertura piena qui considerato, che rappresenta invece il regime verso la presa in carico sistematica del bisogno.</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duecentocinquantaquattromila persone, si somma un’utenza specialistica in carico ai servizi, in un quadro segnato da componenti convergenti — il disagio giovanile, documentato da un forte incremento del ricorso agli psicofarmaci e da un abbassamento dell’età di primo contatto con le sostanze nella fascia adolescenziale, il bisogno dell’età adulta e anziana, particolarmente accentuato in una delle regioni demograficamente più anziane del Paese, e il disagio connesso all’isolamento delle aree interne — cui si aggiungono la pressione delle liste di attesa e una storica fragilità del sistema, testimoniata da un punteggio sui livelli essenziali di assistenza inferiore alla soglia di sufficienza.</w:t>
      </w:r>
      <w:r>
        <w:rPr>
          <w:rStyle w:val="FootnoteReference"/>
        </w:rPr>
        <w:footnoteReference w:id="2956"/>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abruzzesi con bisogno psicologico comune, e in seconda istanza dall’intera popolazione per gli effetti di sistema. L’intervento è lo psicologo di base nelle cure primarie, come primo livello di ascolto, intercettazione precoce e filtro, attuato e portato a regime. Il confronto è la condizione attuale, nella quale il servizio è istituito e regolato ma attivato soltanto in misura iniziale e a finanziamento transitorio. Gli esiti sono clinici, economici, sociali e di sistema. I tempi distinguono l’orizzonte pluriennale degli esiti dall’orizzonte triennale-quinquennale del bilancio. Il contesto è il Servizio sanitario dell’Abruzzo, con le sue quattro Aziende Sanitarie Locali, i venticinque distretti sanitari di base e la rete delle Case della Comunità in costruzione, in un sistema posto sotto piano di rientro.</w:t>
      </w:r>
      <w:r>
        <w:rPr>
          <w:rStyle w:val="FootnoteReference"/>
        </w:rPr>
        <w:footnoteReference w:id="2957"/>
      </w:r>
      <w:r>
        <w:t xml:space="preserve"> </w:t>
      </w:r>
      <w:r>
        <w:t xml:space="preserve">La tabella seguente riepiloga gli elementi del quesito.</w:t>
      </w:r>
    </w:p>
    <w:tbl>
      <w:tblPr>
        <w:tblStyle w:val="Table"/>
        <w:tblW w:type="pct" w:w="495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301"/>
        <w:gridCol w:w="6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l’Abruzzo</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abruzzesi con disagio psichico comune (~254.000);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Psicologo di base nelle cure primarie, primo livello e filtro, attuato e portato a regime (~85/180/280 incarichi); piena attuazione del servizio istituito per legge</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Condizione attuale: servizio istituito (l.r. 28/2022) e regolato (2024) ma attivato in misura iniziale e a finanziamento transitorio (400.000 euro annui)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liste di attesa)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Servizio sanitario regionale dell’Abruzzo; quattro Aziende Sanitarie Locali, venticinque distretti, rete delle Case della Comunità in costruzione; sistema in piano di rientro</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della valutazione di tecnologia sanitaria,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2958"/>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 circostanza di particolare rilievo per una regione i cui conti sanitari sono sottoposti a verifica ministeriale periodica.</w:t>
      </w:r>
    </w:p>
    <w:bookmarkEnd w:id="4498"/>
    <w:bookmarkStart w:id="4499" w:name="a.2-il-caso-di-riferimento-e-i-metodi-11"/>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iniziale e a finanziamento transitorio, come comparatore.</w:t>
      </w:r>
      <w:r>
        <w:rPr>
          <w:rStyle w:val="FootnoteReference"/>
        </w:rPr>
        <w:footnoteReference w:id="2959"/>
      </w:r>
      <w:r>
        <w:t xml:space="preserve"> </w:t>
      </w:r>
      <w:r>
        <w:t xml:space="preserve">Le unità di analisi sono la regione e, in disaggregazione, le Aziende Sanitarie Locali e i distretti, per dare conto anche dei divari territoriali interni, segnatamente fra la fascia costiera e adriatica, più popolosa e servita, e le aree interne e montane, soggette a spopolamento.</w:t>
      </w:r>
    </w:p>
    <w:tbl>
      <w:tblPr>
        <w:tblStyle w:val="Table"/>
        <w:tblW w:type="pct" w:w="493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88"/>
        <w:gridCol w:w="592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Condizione attuale: servizio istituito e regolato ma attivato in misura iniziale e a finanziamento transitorio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Regione, con disaggregazione per Azienda Sanitaria Locale e distretto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2960"/>
      </w:r>
      <w:r>
        <w:t xml:space="preserve"> </w:t>
      </w:r>
      <w:r>
        <w:t xml:space="preserve">Tale prudenza assume, per l’Abruzzo, un rilievo particolare, perché la regione presenta il profilo finanziario più critico fra quelli sin qui esaminati. L’Abruzzo è sottoposto a piano di rientro dal disavanzo sanitario in modo continuativo e, secondo i rilievi della magistratura contabile, è l’unica regione in piano di rientro a registrare un andamento dei risultati di esercizio in senso peggiorativo, con un disavanzo dell’ordine di oltre cento milioni di euro annui e una tendenza che i tavoli ministeriali stimano in ulteriore aggravamento, fronteggiata con l’inasprimento della leva fiscale regionale e con manovre di contenimento della spesa.</w:t>
      </w:r>
      <w:r>
        <w:rPr>
          <w:rStyle w:val="FootnoteReference"/>
        </w:rPr>
        <w:footnoteReference w:id="2961"/>
      </w:r>
      <w:r>
        <w:t xml:space="preserve"> </w:t>
      </w:r>
      <w:r>
        <w:t xml:space="preserve">In un contesto siffatto, il canale del risparmio diretto assume una pertinenza assai maggiore che in regioni dai conti in equilibrio: ogni euro di spesa inappropriata evitata — visite ed esami non necessari, prescrizioni evitabili, ricoveri impropri, cronicizzazione di casi lievi gestibili a monte — concorre direttamente al riequilibrio del bilancio e agli obiettivi del piano di rientro, e in un sistema storicamente sotto-finanziato, con un punteggio sui livelli essenziali di assistenza inferiore alla soglia di sufficienza, il margine di consumo improprio da recuperare è strutturalmente ampio. Sul versante della mobilità passiva, la regione presenta un saldo negativo rilevante, dell’ordine di alcune decine di milioni netti su un flusso lordo superiore ai duecento milioni annui; la fuga riguarda però in prevalenza l’alta complessità ospedaliera e chirurgica, non la domanda psicologica delle cure primarie, sicché il canale del recupero della mobilità è per questo intervento solo parzialmente pertinente, limitato alla frazione territorialmente intercettabile. Ne consegue un caso economico che poggia congiuntamente su una componente diretta significativa, e immediatamente rilevante per il bilancio regionale, e su ricadute sociali ulteriori e distinte, stimate con criteri conservativi; le due componenti sono tenute separate e non sommate in un unico indicatore, e tutte le grandezze sono espresse per bande prudenziali e come proiezioni da validare su dati di esito reali.</w:t>
      </w:r>
    </w:p>
    <w:p>
      <w:pPr>
        <w:pStyle w:val="BodyText"/>
      </w:pPr>
      <w:r>
        <w:t xml:space="preserve">Va inoltre dichiarato, già in questa sede, che le grandezze economiche impiegate sono allo stato in parte ricostruite a partire dai conti nazionali per quota di popolazione, e non estratte dai conti regionali certificati: è la lacuna prioritaria dello studio, da colmare prima della presentazione esterna, tanto più che l’osservatorio epidemiologico regionale opera in modo discontinuo e che i dati disponibili più recenti risalgono a esercizi non aggiornati.</w:t>
      </w:r>
      <w:r>
        <w:rPr>
          <w:rStyle w:val="FootnoteReference"/>
        </w:rPr>
        <w:footnoteReference w:id="2962"/>
      </w:r>
      <w:r>
        <w:t xml:space="preserve"> </w:t>
      </w:r>
      <w:r>
        <w:t xml:space="preserve">La legge istitutiva, tuttavia, prevede un Osservatorio Regionale e un Tavolo tecnico con funzioni di verifica, monitoraggio e controllo qualitativo, la cui attivazione costituisce la condizione per disporre, a regime, di una base di dati operativi propria.</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2963"/>
      </w:r>
      <w:r>
        <w:t xml:space="preserve"> </w:t>
      </w:r>
      <w:r>
        <w:t xml:space="preserve">Per l’Abruzzo il disegno controfattuale assume una forma propria: poiché il servizio è istituito e regolato ma in fase di prima attivazione, esso può fondarsi su un esperimento a cunei progressivi tra le quattro Aziende Sanitarie Locali e i venticinque distretti, che attiveranno il servizio in tempi differenziati, con l’effetto causale stimato dai metodi della differenza-nelle-differenze e del controllo sintetico.</w:t>
      </w:r>
      <w:r>
        <w:rPr>
          <w:rStyle w:val="FootnoteReference"/>
        </w:rPr>
        <w:footnoteReference w:id="2964"/>
      </w:r>
      <w:r>
        <w:t xml:space="preserve"> </w:t>
      </w:r>
      <w:r>
        <w:t xml:space="preserve">La tabella seguente colloca ciascuna metodologia nella sua sede.</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357"/>
        <w:gridCol w:w="30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generato oltre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 nel tempo</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Parte F</w:t>
            </w:r>
          </w:p>
        </w:tc>
        <w:tc>
          <w:tcPr/>
          <w:p>
            <w:pPr>
              <w:pStyle w:val="Compact"/>
              <w:spacing w:after="40" w:before="40"/>
              <w:jc w:val="left"/>
            </w:pPr>
            <w:r>
              <w:rPr>
                <w:rFonts w:ascii="Cambria" w:hAnsi="Cambria" w:cs="Cambria" w:eastAsia="Cambria"/>
                <w:color w:val="1A1A1A"/>
                <w:sz w:val="18"/>
              </w:rPr>
              <w:t xml:space="preserve">Governo dell’incertezza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w:t>
            </w:r>
          </w:p>
        </w:tc>
        <w:tc>
          <w:tcPr>
            <w:shd w:val="clear" w:color="auto" w:fill="F4F1EC"/>
          </w:tcPr>
          <w:p>
            <w:pPr>
              <w:pStyle w:val="Compact"/>
              <w:spacing w:after="40" w:before="40"/>
              <w:jc w:val="left"/>
            </w:pPr>
            <w:r>
              <w:rPr>
                <w:rFonts w:ascii="Cambria" w:hAnsi="Cambria" w:cs="Cambria" w:eastAsia="Cambria"/>
                <w:color w:val="1A1A1A"/>
                <w:sz w:val="18"/>
              </w:rPr>
              <w:t xml:space="preserve">Parte G</w:t>
            </w:r>
          </w:p>
        </w:tc>
        <w:tc>
          <w:tcPr>
            <w:shd w:val="clear" w:color="auto" w:fill="F4F1EC"/>
          </w:tcPr>
          <w:p>
            <w:pPr>
              <w:pStyle w:val="Compact"/>
              <w:spacing w:after="40" w:before="40"/>
              <w:jc w:val="left"/>
            </w:pPr>
            <w:r>
              <w:rPr>
                <w:rFonts w:ascii="Cambria" w:hAnsi="Cambria" w:cs="Cambria" w:eastAsia="Cambria"/>
                <w:color w:val="1A1A1A"/>
                <w:sz w:val="18"/>
              </w:rPr>
              <w:t xml:space="preserve">Misura dell’equità distributiva</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Parte L</w:t>
            </w:r>
          </w:p>
        </w:tc>
        <w:tc>
          <w:tcPr/>
          <w:p>
            <w:pPr>
              <w:pStyle w:val="Compact"/>
              <w:spacing w:after="40" w:before="40"/>
              <w:jc w:val="left"/>
            </w:pPr>
            <w:r>
              <w:rPr>
                <w:rFonts w:ascii="Cambria" w:hAnsi="Cambria" w:cs="Cambria" w:eastAsia="Cambria"/>
                <w:color w:val="1A1A1A"/>
                <w:sz w:val="18"/>
              </w:rPr>
              <w:t xml:space="preserve">Stima dell’effetto reale sul campo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sistema GRADE</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Fondazione e graduazione dell’evidenza</w:t>
            </w:r>
          </w:p>
        </w:tc>
      </w:tr>
      <w:tr>
        <w:tc>
          <w:tcPr/>
          <w:p>
            <w:pPr>
              <w:pStyle w:val="Compact"/>
              <w:spacing w:after="40" w:before="40"/>
              <w:jc w:val="left"/>
            </w:pPr>
            <w:r>
              <w:rPr>
                <w:rFonts w:ascii="Cambria" w:hAnsi="Cambria" w:cs="Cambria" w:eastAsia="Cambria"/>
                <w:b/>
                <w:bCs/>
                <w:color w:val="1A1A1A"/>
                <w:sz w:val="18"/>
              </w:rPr>
              <w:t xml:space="preserve">Analisi multi-criterio</w:t>
            </w:r>
          </w:p>
        </w:tc>
        <w:tc>
          <w:tcPr/>
          <w:p>
            <w:pPr>
              <w:pStyle w:val="Compact"/>
              <w:spacing w:after="40" w:before="40"/>
              <w:jc w:val="left"/>
            </w:pPr>
            <w:r>
              <w:rPr>
                <w:rFonts w:ascii="Cambria" w:hAnsi="Cambria" w:cs="Cambria" w:eastAsia="Cambria"/>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Composizione dei criteri non monetari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della regolamentazione</w:t>
            </w:r>
          </w:p>
        </w:tc>
        <w:tc>
          <w:tcPr>
            <w:shd w:val="clear" w:color="auto" w:fill="F4F1EC"/>
          </w:tcPr>
          <w:p>
            <w:pPr>
              <w:pStyle w:val="Compact"/>
              <w:spacing w:after="40" w:before="40"/>
              <w:jc w:val="left"/>
            </w:pPr>
            <w:r>
              <w:rPr>
                <w:rFonts w:ascii="Cambria" w:hAnsi="Cambria" w:cs="Cambria" w:eastAsia="Cambria"/>
                <w:color w:val="1A1A1A"/>
                <w:sz w:val="18"/>
              </w:rPr>
              <w:t xml:space="preserve">Parti H, L</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della norma ex ante ed ex post</w:t>
            </w:r>
          </w:p>
        </w:tc>
      </w:tr>
    </w:tbl>
    <w:p>
      <w:pPr>
        <w:pStyle w:val="BodyText"/>
      </w:pPr>
      <w:r>
        <w:rPr>
          <w:i/>
          <w:iCs/>
        </w:rPr>
        <w:t xml:space="preserve">Tabella A.3. Le dieci metodologie analitiche e la loro collocazione nello studio.</w:t>
      </w:r>
    </w:p>
    <w:bookmarkEnd w:id="4499"/>
    <w:bookmarkStart w:id="4500" w:name="X8e86d0ec45a2d127901c2497057e9bf1073cf4b"/>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quattro Aziende Sanitarie Locali, l’Ordine degli Psicologi dell’Abruzzo, le rappresentanze della medicina generale e della pediatria di libera scelta e gli atenei regionali. L’Abruzzo non dispone di un’azienda sanitaria regionale unica di coordinamento: la funzione di indirizzo è in capo alla Regione, attraverso il Dipartimento competente, mentre l’Osservatorio Regionale e il Tavolo tecnico previsti dalla legge istitutiva esercitano le funzioni di programmazione, monitoraggio e controllo qualitativo.</w:t>
      </w:r>
      <w:r>
        <w:rPr>
          <w:rStyle w:val="FootnoteReference"/>
        </w:rPr>
        <w:footnoteReference w:id="2965"/>
      </w:r>
      <w:r>
        <w:t xml:space="preserve"> </w:t>
      </w:r>
      <w:r>
        <w:t xml:space="preserve">Poiché il servizio è già istituito e regolato ma la sua attuazione è iniziale e la rete delle Case della Comunità è in costruzione, la sfida del governo non è istituire il servizio, ma attuarlo e dimensionarlo, garantendo l’omogeneità attuativa fra i venticinque distretti e fra la costa e le aree interne, in un sistema posto sotto vincolo di rientro: è il tratto che distingue l’Abruzzo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i dati individuali restano nella titolarità delle aziende sanitarie e sono trattati in forma aggregata e anonima per le finalità valutative.</w:t>
      </w:r>
      <w:r>
        <w:rPr>
          <w:rStyle w:val="FootnoteReference"/>
        </w:rPr>
        <w:footnoteReference w:id="2966"/>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2967"/>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2968"/>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dell’Abruzzo.</w:t>
      </w:r>
    </w:p>
    <w:bookmarkEnd w:id="4500"/>
    <w:bookmarkEnd w:id="4497"/>
    <w:bookmarkStart w:id="4501" w:name="X5518166211a5c47b95fd0dd5e528f3267a8f4a0"/>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dell’Abruzzo.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dell’Abruzzo: non un servizio da istituire, ma un servizio già istituito per legge e regolato — la cui attuazione operativa è però ancora iniziale — da portare a regime in una regione demograficamente anziana, segnata dalla fragilità delle aree interne e da un sistema sanitario posto sotto un piano di rientro in peggioramento.</w:t>
      </w:r>
    </w:p>
    <w:bookmarkStart w:id="4502" w:name="b.1-quadro-demografico-10"/>
    <w:p>
      <w:pPr>
        <w:pStyle w:val="Heading3"/>
      </w:pPr>
      <w:r>
        <w:t xml:space="preserve">B.1 Quadro demografico</w:t>
      </w:r>
    </w:p>
    <w:p>
      <w:pPr>
        <w:pStyle w:val="FirstParagraph"/>
      </w:pPr>
      <w:r>
        <w:t xml:space="preserve">L’Abruzzo conta 1.269.118 residenti, pari a circa il 2,2% della popolazione nazionale, in lievissima flessione rispetto all’anno precedente — un saldo di circa quattrocentocinquanta unità in meno — frutto di un saldo naturale fortemente negativo solo in parte compensato dalla dinamica migratoria.</w:t>
      </w:r>
      <w:r>
        <w:rPr>
          <w:rStyle w:val="FootnoteReference"/>
        </w:rPr>
        <w:footnoteReference w:id="2969"/>
      </w:r>
      <w:r>
        <w:t xml:space="preserve"> </w:t>
      </w:r>
      <w:r>
        <w:t xml:space="preserve">La regione presenta una struttura per età fra le più anziane del Centro-Sud: l’età media è salita a 47,7 anni, superiore alla media nazionale di 46,9, e l’indice di vecchiaia ha raggiunto quota 228,9 anziani ogni cento giovani, in costante crescita.</w:t>
      </w:r>
      <w:r>
        <w:rPr>
          <w:rStyle w:val="FootnoteReference"/>
        </w:rPr>
        <w:footnoteReference w:id="2970"/>
      </w:r>
      <w:r>
        <w:t xml:space="preserve"> </w:t>
      </w:r>
      <w:r>
        <w:t xml:space="preserve">La denatalità ha toccato un nuovo minimo storico, con 7.356 nati a fronte di 14.870 decessi.</w:t>
      </w:r>
      <w:r>
        <w:rPr>
          <w:rStyle w:val="FootnoteReference"/>
        </w:rPr>
        <w:footnoteReference w:id="2971"/>
      </w:r>
      <w:r>
        <w:t xml:space="preserve"> </w:t>
      </w:r>
      <w:r>
        <w:t xml:space="preserve">La componente straniera, pari a 90.573 persone — il 7,1% dei residenti, in aumento — contribuisce a contenere la flessione e a temperare l’invecchiamento.</w:t>
      </w:r>
      <w:r>
        <w:rPr>
          <w:rStyle w:val="FootnoteReference"/>
        </w:rPr>
        <w:footnoteReference w:id="2972"/>
      </w:r>
      <w:r>
        <w:t xml:space="preserve"> </w:t>
      </w:r>
      <w:r>
        <w:t xml:space="preserve">La distribuzione territoriale è relativamente equilibrata fra le quattro province: Chieti raccoglie il 29,2% dei residenti, Pescara il 24,6%, Teramo il 23,6% e L’Aquila il 22,6%, ma con una marcata polarità demografica interna, poiché L’Aquila e Chieti, con un’età media di 48,1 e 48,0 anni, sono le province più anziane, mentre Pescara e Teramo, entrambe a 47,3 anni, sono le più giovani.</w:t>
      </w:r>
      <w:r>
        <w:rPr>
          <w:rStyle w:val="FootnoteReference"/>
        </w:rPr>
        <w:footnoteReference w:id="2973"/>
      </w:r>
      <w:r>
        <w:t xml:space="preserve"> </w:t>
      </w:r>
      <w:r>
        <w:t xml:space="preserve">Il territorio comprende 305 comuni, in larga parte di piccola dimensione — poco più di un quinto degli abruzzesi risiede in comuni tra mille e cinquemila abitanti — e l’unico comune con oltre centomila abitanti è Pescara; le aree interne e montane, segnatamente nell’Aquilano, presentano i livelli di invecchiamento più elevati e i tassi di natalità più bassi, con un rischio di spopolamento strutturale.</w:t>
      </w:r>
      <w:r>
        <w:rPr>
          <w:rStyle w:val="FootnoteReference"/>
        </w:rPr>
        <w:footnoteReference w:id="2974"/>
      </w:r>
      <w:r>
        <w:t xml:space="preserve"> </w:t>
      </w:r>
      <w:r>
        <w:t xml:space="preserve">La tabella seguente ne riepiloga il profilo.</w:t>
      </w:r>
    </w:p>
    <w:tbl>
      <w:tblPr>
        <w:tblStyle w:val="Table"/>
        <w:tblW w:type="pct" w:w="494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69"/>
        <w:gridCol w:w="636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l’Abruzzo</w:t>
            </w:r>
          </w:p>
        </w:tc>
      </w:tr>
      <w:tr>
        <w:tc>
          <w:tcPr/>
          <w:p>
            <w:pPr>
              <w:pStyle w:val="Compact"/>
              <w:spacing w:after="40" w:before="40"/>
              <w:jc w:val="left"/>
            </w:pPr>
            <w:r>
              <w:rPr>
                <w:rFonts w:ascii="Cambria" w:hAnsi="Cambria" w:cs="Cambria" w:eastAsia="Cambria"/>
                <w:b/>
                <w:bCs/>
                <w:color w:val="1A1A1A"/>
                <w:sz w:val="18"/>
              </w:rPr>
              <w:t xml:space="preserve">Popolazione (Censimento 2024)</w:t>
            </w:r>
          </w:p>
        </w:tc>
        <w:tc>
          <w:tcPr/>
          <w:p>
            <w:pPr>
              <w:pStyle w:val="Compact"/>
              <w:spacing w:after="40" w:before="40"/>
              <w:jc w:val="left"/>
            </w:pPr>
            <w:r>
              <w:rPr>
                <w:rFonts w:ascii="Cambria" w:hAnsi="Cambria" w:cs="Cambria" w:eastAsia="Cambria"/>
                <w:color w:val="1A1A1A"/>
                <w:sz w:val="18"/>
              </w:rPr>
              <w:t xml:space="preserve">1.269.118 (~2,2% del totale nazionale); in lievissimo calo (−453); record di denatalità (7.356 nati, 14.870 decessi)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Età media e struttura</w:t>
            </w:r>
          </w:p>
        </w:tc>
        <w:tc>
          <w:tcPr>
            <w:shd w:val="clear" w:color="auto" w:fill="F4F1EC"/>
          </w:tcPr>
          <w:p>
            <w:pPr>
              <w:pStyle w:val="Compact"/>
              <w:spacing w:after="40" w:before="40"/>
              <w:jc w:val="left"/>
            </w:pPr>
            <w:r>
              <w:rPr>
                <w:rFonts w:ascii="Cambria" w:hAnsi="Cambria" w:cs="Cambria" w:eastAsia="Cambria"/>
                <w:color w:val="1A1A1A"/>
                <w:sz w:val="18"/>
              </w:rPr>
              <w:t xml:space="preserve">47,7 anni (Italia 46,9); indice di vecchiaia 228,9; L’Aquila (48,1) e Chieti (48,0) più anziane, Pescara e Teramo (47,3) più giovani</w:t>
            </w:r>
          </w:p>
        </w:tc>
      </w:tr>
      <w:tr>
        <w:tc>
          <w:tcPr/>
          <w:p>
            <w:pPr>
              <w:pStyle w:val="Compact"/>
              <w:spacing w:after="40" w:before="40"/>
              <w:jc w:val="left"/>
            </w:pPr>
            <w:r>
              <w:rPr>
                <w:rFonts w:ascii="Cambria" w:hAnsi="Cambria" w:cs="Cambria" w:eastAsia="Cambria"/>
                <w:b/>
                <w:bCs/>
                <w:color w:val="1A1A1A"/>
                <w:sz w:val="18"/>
              </w:rPr>
              <w:t xml:space="preserve">Componente straniera</w:t>
            </w:r>
          </w:p>
        </w:tc>
        <w:tc>
          <w:tcPr/>
          <w:p>
            <w:pPr>
              <w:pStyle w:val="Compact"/>
              <w:spacing w:after="40" w:before="40"/>
              <w:jc w:val="left"/>
            </w:pPr>
            <w:r>
              <w:rPr>
                <w:rFonts w:ascii="Cambria" w:hAnsi="Cambria" w:cs="Cambria" w:eastAsia="Cambria"/>
                <w:color w:val="1A1A1A"/>
                <w:sz w:val="18"/>
              </w:rPr>
              <w:t xml:space="preserve">90.573 persone, 7,1% dei residenti, in crescita; fattore di temperamento dell’invecchiamento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Distribuzione territoriale</w:t>
            </w:r>
          </w:p>
        </w:tc>
        <w:tc>
          <w:tcPr>
            <w:shd w:val="clear" w:color="auto" w:fill="F4F1EC"/>
          </w:tcPr>
          <w:p>
            <w:pPr>
              <w:pStyle w:val="Compact"/>
              <w:spacing w:after="40" w:before="40"/>
              <w:jc w:val="left"/>
            </w:pPr>
            <w:r>
              <w:rPr>
                <w:rFonts w:ascii="Cambria" w:hAnsi="Cambria" w:cs="Cambria" w:eastAsia="Cambria"/>
                <w:color w:val="1A1A1A"/>
                <w:sz w:val="18"/>
              </w:rPr>
              <w:t xml:space="preserve">Chieti 29,2%, Pescara 24,6%, Teramo 23,6%, L’Aquila 22,6%; Chieti e Pescara insieme oltre la metà</w:t>
            </w:r>
          </w:p>
        </w:tc>
      </w:tr>
      <w:tr>
        <w:tc>
          <w:tcPr/>
          <w:p>
            <w:pPr>
              <w:pStyle w:val="Compact"/>
              <w:spacing w:after="40" w:before="40"/>
              <w:jc w:val="left"/>
            </w:pPr>
            <w:r>
              <w:rPr>
                <w:rFonts w:ascii="Cambria" w:hAnsi="Cambria" w:cs="Cambria" w:eastAsia="Cambria"/>
                <w:b/>
                <w:bCs/>
                <w:color w:val="1A1A1A"/>
                <w:sz w:val="18"/>
              </w:rPr>
              <w:t xml:space="preserve">Profilo territoriale</w:t>
            </w:r>
          </w:p>
        </w:tc>
        <w:tc>
          <w:tcPr/>
          <w:p>
            <w:pPr>
              <w:pStyle w:val="Compact"/>
              <w:spacing w:after="40" w:before="40"/>
              <w:jc w:val="left"/>
            </w:pPr>
            <w:r>
              <w:rPr>
                <w:rFonts w:ascii="Cambria" w:hAnsi="Cambria" w:cs="Cambria" w:eastAsia="Cambria"/>
                <w:color w:val="1A1A1A"/>
                <w:sz w:val="18"/>
              </w:rPr>
              <w:t xml:space="preserve">305 comuni, in prevalenza piccoli; unico comune oltre 100.000 abitanti (Pescara); aree interne e montane a forte invecchiamento e rischio di spopolamento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Articolazione sanitaria</w:t>
            </w:r>
          </w:p>
        </w:tc>
        <w:tc>
          <w:tcPr>
            <w:shd w:val="clear" w:color="auto" w:fill="F4F1EC"/>
          </w:tcPr>
          <w:p>
            <w:pPr>
              <w:pStyle w:val="Compact"/>
              <w:spacing w:after="40" w:before="40"/>
              <w:jc w:val="left"/>
            </w:pPr>
            <w:r>
              <w:rPr>
                <w:rFonts w:ascii="Cambria" w:hAnsi="Cambria" w:cs="Cambria" w:eastAsia="Cambria"/>
                <w:color w:val="1A1A1A"/>
                <w:sz w:val="18"/>
              </w:rPr>
              <w:t xml:space="preserve">Quattro Aziende Sanitarie Locali e venticinque distretti sanitari di base</w:t>
            </w:r>
          </w:p>
        </w:tc>
      </w:tr>
    </w:tbl>
    <w:p>
      <w:pPr>
        <w:pStyle w:val="BodyText"/>
      </w:pPr>
      <w:r>
        <w:rPr>
          <w:i/>
          <w:iCs/>
        </w:rPr>
        <w:t xml:space="preserve">Tabella B.1. Profilo demografico e socio-economico dell’Abruzzo.</w:t>
      </w:r>
    </w:p>
    <w:bookmarkEnd w:id="4502"/>
    <w:bookmarkStart w:id="2645" w:name="b.2-epidemiologia-del-bisogno-11"/>
    <w:p>
      <w:pPr>
        <w:pStyle w:val="Heading3"/>
      </w:pPr>
      <w:r>
        <w:t xml:space="preserve">B.2 Epidemiologia del bisogno</w:t>
      </w:r>
    </w:p>
    <w:p>
      <w:pPr>
        <w:pStyle w:val="FirstParagraph"/>
      </w:pPr>
      <w:r>
        <w:t xml:space="preserve">Il bisogno di salute mentale in Abruzzo è ampio e sospinto da una popolazione anziana, geograficamente dispersa e segnata da una storica sotto-dotazione dei servizi. Proiettando i tassi di prevalenza nazionali, la quota di disagio psichico comune o sottosoglia si colloca nell’ordine di 254.000 persone, in larga parte non intercettate dall’offerta esistente.</w:t>
      </w:r>
      <w:r>
        <w:rPr>
          <w:rStyle w:val="FootnoteReference"/>
        </w:rPr>
        <w:footnoteReference w:id="2975"/>
      </w:r>
      <w:r>
        <w:t xml:space="preserve"> </w:t>
      </w:r>
      <w:r>
        <w:t xml:space="preserve">A questa quota si somma un’utenza specialistica in carico ai servizi di salute mentale, dell’ordine di alcune decine di migliaia di persone secondo una stima rapportata ai dati nazionali, in un sistema il cui punteggio sui livelli essenziali di assistenza è inferiore alla soglia di sufficienza e il cui osservatorio epidemiologico opera in modo discontinuo.</w:t>
      </w:r>
      <w:r>
        <w:rPr>
          <w:rStyle w:val="FootnoteReference"/>
        </w:rPr>
        <w:footnoteReference w:id="2976"/>
      </w:r>
      <w:r>
        <w:t xml:space="preserve"> </w:t>
      </w:r>
      <w:r>
        <w:t xml:space="preserve">Tre componenti orientano la domanda. La prima è il disagio giovanile, segnalato nel biennio recente da un forte incremento del consumo di sostanze e di psicofarmaci nella fascia dodici-diciassette anni — con una crescita preoccupante delle prescrizioni di antipsicotici e di farmaci per il disturbo da deficit di attenzione e iperattività — e da un abbassamento dell’età di primo contatto con le sostanze al di sotto dei quattordici-quindici anni.</w:t>
      </w:r>
      <w:r>
        <w:rPr>
          <w:rStyle w:val="FootnoteReference"/>
        </w:rPr>
        <w:footnoteReference w:id="2977"/>
      </w:r>
      <w:r>
        <w:t xml:space="preserve"> </w:t>
      </w:r>
      <w:r>
        <w:t xml:space="preserve">La seconda è il bisogno dell’età adulta e anziana, particolarmente marcato in una delle regioni demograficamente più anziane del Paese, dove la depressione tardiva, l’ansia, la solitudine e il disagio correlato alla cronicità raggiungono prevalenze elevate.</w:t>
      </w:r>
      <w:r>
        <w:rPr>
          <w:rStyle w:val="FootnoteReference"/>
        </w:rPr>
        <w:footnoteReference w:id="2978"/>
      </w:r>
      <w:r>
        <w:t xml:space="preserve"> </w:t>
      </w:r>
      <w:r>
        <w:t xml:space="preserve">La terza è il disagio connesso all’isolamento e alla deprivazione delle aree interne e montane, colpite dallo spopolamento e dall’impoverimento delle reti familiari e comunitarie.</w:t>
      </w:r>
      <w:r>
        <w:rPr>
          <w:rStyle w:val="FootnoteReference"/>
        </w:rPr>
        <w:footnoteReference w:id="2979"/>
      </w:r>
      <w:r>
        <w:t xml:space="preserve"> </w:t>
      </w:r>
      <w:r>
        <w:t xml:space="preserve">È la combinazione — regione anziana, territorio disperso e sistema sotto-dotato — a distinguere il fabbisogno abruzzese, e a riversarsi anche sul pronto soccorso, con accessi per cause psichiatriche che un primo livello territoriale pienamente strutturato potrebbe in parte contenere a monte.</w:t>
      </w:r>
      <w:r>
        <w:rPr>
          <w:rStyle w:val="FootnoteReference"/>
        </w:rPr>
        <w:footnoteReference w:id="2980"/>
      </w:r>
    </w:p>
    <w:bookmarkEnd w:id="2645"/>
    <w:bookmarkStart w:id="4503" w:name="X431585347eec1c0db1cc9661ec16a6de413ab28"/>
    <w:p>
      <w:pPr>
        <w:pStyle w:val="Heading3"/>
      </w:pPr>
      <w:r>
        <w:t xml:space="preserve">B.3 Domanda, offerta e gap di copertura</w:t>
      </w:r>
    </w:p>
    <w:p>
      <w:pPr>
        <w:pStyle w:val="FirstParagraph"/>
      </w:pPr>
      <w:r>
        <w:t xml:space="preserve">Alla domanda descritta si contrappone, in Abruzzo, un’offerta che presenta una fisionomia istituzionale già definita ma un’attuazione ancora iniziale: il servizio di psicologia di base è istituito dalla legge regionale 28 del 2022 e disciplinato dal regolamento approvato dalla Giunta nel luglio 2024, ed è affidato a psicologi liberi professionisti in rapporto convenzionale, con almeno uno psicologo di base per ciascuno dei venticinque distretti e un rapporto di un professionista ogni quindicimila abitanti; la legge istituisce inoltre un Osservatorio Regionale e un Tavolo tecnico e pone i costi a carico del Servizio Sanitario Regionale, fatto salvo un ticket. L’attivazione operativa è però ancora in fase iniziale e l’originaria copertura finanziaria — dell’ordine di quattrocentomila euro per ciascuna annualità del triennio 2022–2024 — è transitoria e largamente insufficiente rispetto al fabbisogno.</w:t>
      </w:r>
      <w:r>
        <w:rPr>
          <w:rStyle w:val="FootnoteReference"/>
        </w:rPr>
        <w:footnoteReference w:id="2981"/>
      </w:r>
      <w:r>
        <w:t xml:space="preserve"> </w:t>
      </w:r>
      <w:r>
        <w:t xml:space="preserve">Il fabbisogno a regime, applicando i parametri organizzativi del modello, si colloca tra un nucleo minimo dell’ordine di ottantacinque incarichi, corrispondente al rapporto di legge di uno ogni quindicimila abitanti, e una copertura piena dell’ordine di duecentottanta incarichi nello scenario espansivo, con uno scenario intermedio dell’ordine di centottanta; l’Ordine degli Psicologi dell’Abruzzo ne ha sostenuto con costanza l’attuazione, segnalando il rischio che la mancata adozione dei provvedimenti attuativi ne vanifichi la portata.</w:t>
      </w:r>
      <w:r>
        <w:rPr>
          <w:rStyle w:val="FootnoteReference"/>
        </w:rPr>
        <w:footnoteReference w:id="2982"/>
      </w:r>
      <w:r>
        <w:t xml:space="preserve"> </w:t>
      </w:r>
      <w:r>
        <w:t xml:space="preserve">La copertura effettiva corrisponde dunque a un nucleo iniziale, assai distante dal fabbisogno a regime: non un servizio da istituire, ma un servizio da attuare compiutamente, stabilizzare nel finanziamento e dimensionare.</w:t>
      </w:r>
      <w:r>
        <w:rPr>
          <w:rStyle w:val="FootnoteReference"/>
        </w:rPr>
        <w:footnoteReference w:id="2983"/>
      </w:r>
      <w:r>
        <w:t xml:space="preserve"> </w:t>
      </w:r>
      <w:r>
        <w:t xml:space="preserve">La tabella seguente sintetizza domanda, offerta e divario.</w:t>
      </w:r>
    </w:p>
    <w:tbl>
      <w:tblPr>
        <w:tblStyle w:val="Table"/>
        <w:tblW w:type="pct" w:w="496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15"/>
        <w:gridCol w:w="624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l’Abruzzo</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254.000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in carico ai servizi di 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Ampia (alcune decine di migliaia, stima rapportata ai dati nazionali)</w:t>
            </w:r>
          </w:p>
        </w:tc>
      </w:tr>
      <w:tr>
        <w:tc>
          <w:tcPr/>
          <w:p>
            <w:pPr>
              <w:pStyle w:val="Compact"/>
              <w:spacing w:after="40" w:before="40"/>
              <w:jc w:val="left"/>
            </w:pPr>
            <w:r>
              <w:rPr>
                <w:rFonts w:ascii="Cambria" w:hAnsi="Cambria" w:cs="Cambria" w:eastAsia="Cambria"/>
                <w:b/>
                <w:bCs/>
                <w:color w:val="1A1A1A"/>
                <w:sz w:val="18"/>
              </w:rPr>
              <w:t xml:space="preserve">Offerta territoriale attuale</w:t>
            </w:r>
          </w:p>
        </w:tc>
        <w:tc>
          <w:tcPr/>
          <w:p>
            <w:pPr>
              <w:pStyle w:val="Compact"/>
              <w:spacing w:after="40" w:before="40"/>
              <w:jc w:val="left"/>
            </w:pPr>
            <w:r>
              <w:rPr>
                <w:rFonts w:ascii="Cambria" w:hAnsi="Cambria" w:cs="Cambria" w:eastAsia="Cambria"/>
                <w:color w:val="1A1A1A"/>
                <w:sz w:val="18"/>
              </w:rPr>
              <w:t xml:space="preserve">Servizio istituito (l.r. 28/2022) e regolato (2024) ma attivato in misura iniziale; un professionista ogni 15.000 abitanti, almeno uno per distretto; finanziamento transitorio (~400.000 euro annui)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Fabbisogno stimato a regime</w:t>
            </w:r>
          </w:p>
        </w:tc>
        <w:tc>
          <w:tcPr>
            <w:shd w:val="clear" w:color="auto" w:fill="F4F1EC"/>
          </w:tcPr>
          <w:p>
            <w:pPr>
              <w:pStyle w:val="Compact"/>
              <w:spacing w:after="40" w:before="40"/>
              <w:jc w:val="left"/>
            </w:pPr>
            <w:r>
              <w:rPr>
                <w:rFonts w:ascii="Cambria" w:hAnsi="Cambria" w:cs="Cambria" w:eastAsia="Cambria"/>
                <w:color w:val="1A1A1A"/>
                <w:sz w:val="18"/>
              </w:rPr>
              <w:t xml:space="preserve">~ 280 psicologi nello scenario espansivo (85 e 180 negli scenari conservativo e intermedio)</w:t>
            </w:r>
          </w:p>
        </w:tc>
      </w:tr>
      <w:tr>
        <w:tc>
          <w:tcPr/>
          <w:p>
            <w:pPr>
              <w:pStyle w:val="Compact"/>
              <w:spacing w:after="40" w:before="40"/>
              <w:jc w:val="left"/>
            </w:pPr>
            <w:r>
              <w:rPr>
                <w:rFonts w:ascii="Cambria" w:hAnsi="Cambria" w:cs="Cambria" w:eastAsia="Cambria"/>
                <w:b/>
                <w:bCs/>
                <w:color w:val="1A1A1A"/>
                <w:sz w:val="18"/>
              </w:rPr>
              <w:t xml:space="preserve">Copertura attuale del fabbisogno</w:t>
            </w:r>
          </w:p>
        </w:tc>
        <w:tc>
          <w:tcPr/>
          <w:p>
            <w:pPr>
              <w:pStyle w:val="Compact"/>
              <w:spacing w:after="40" w:before="40"/>
              <w:jc w:val="left"/>
            </w:pPr>
            <w:r>
              <w:rPr>
                <w:rFonts w:ascii="Cambria" w:hAnsi="Cambria" w:cs="Cambria" w:eastAsia="Cambria"/>
                <w:color w:val="1A1A1A"/>
                <w:sz w:val="18"/>
              </w:rPr>
              <w:t xml:space="preserve">Nucleo iniziale, assai distante dal fabbisogno a regime</w:t>
            </w:r>
          </w:p>
        </w:tc>
      </w:tr>
    </w:tbl>
    <w:p>
      <w:pPr>
        <w:pStyle w:val="BodyText"/>
      </w:pPr>
      <w:r>
        <w:rPr>
          <w:i/>
          <w:iCs/>
        </w:rPr>
        <w:t xml:space="preserve">Tabella B.2. Domanda, offerta e gap di copertura.</w:t>
      </w:r>
    </w:p>
    <w:bookmarkEnd w:id="4503"/>
    <w:bookmarkStart w:id="4504" w:name="X2536cddd40c1b619532cf2b70c2870a12e87f5d"/>
    <w:p>
      <w:pPr>
        <w:pStyle w:val="Heading3"/>
      </w:pPr>
      <w:r>
        <w:t xml:space="preserve">B.4 Disuguaglianze e divari territoriali</w:t>
      </w:r>
    </w:p>
    <w:p>
      <w:pPr>
        <w:pStyle w:val="FirstParagraph"/>
      </w:pPr>
      <w:r>
        <w:t xml:space="preserve">La dimensione distributiva del bisogno, in Abruzzo, si gioca lungo due assi. Il primo separa la fascia costiera e adriatica, più popolosa, urbanizzata e meglio servita, dalle aree interne e montane — segnatamente nell’Aquilano e nelle zone appenniniche — più anziane, a bassa densità e con servizi sanitari radi, dove le distanze e la rarefazione dell’offerta acuiscono le difficoltà di accesso. Il secondo è interno alle stesse aree interne, fra i centri maggiori e la miriade di piccoli comuni montani soggetti a spopolamento, nei quali la presenza specialistica è pressoché assente e il presidio territoriale di prossimità costituisce l’unica forma realistica di accesso.</w:t>
      </w:r>
      <w:r>
        <w:rPr>
          <w:rStyle w:val="FootnoteReference"/>
        </w:rPr>
        <w:footnoteReference w:id="2984"/>
      </w:r>
      <w:r>
        <w:t xml:space="preserve"> </w:t>
      </w:r>
      <w:r>
        <w:t xml:space="preserve">Su questi divari il servizio di psicologia di base agisce in funzione di equità: avvicina l’offerta alle aree interne mediante la telepsicologia e il telemonitoraggio assistiti, dove la sola presenza di un primo livello accessibile costituisce già un atto di riequilibrio, e, assorbendo a monte la domanda appropriata, libera capacità specialistica e contribuisce a contenere i tempi di attesa, in un sistema storicamente sotto-dotato e con un’area distrettuale al di sotto della soglia di adempienza.</w:t>
      </w:r>
    </w:p>
    <w:bookmarkEnd w:id="4504"/>
    <w:bookmarkStart w:id="4505" w:name="b.5-i-servizi-e-i-flussi-11"/>
    <w:p>
      <w:pPr>
        <w:pStyle w:val="Heading3"/>
      </w:pPr>
      <w:r>
        <w:t xml:space="preserve">B.5 I servizi e i flussi</w:t>
      </w:r>
    </w:p>
    <w:p>
      <w:pPr>
        <w:pStyle w:val="FirstParagraph"/>
      </w:pPr>
      <w:r>
        <w:t xml:space="preserve">Il Servizio sanitario dell’Abruzzo dispone di risorse complessive dell’ordine di 2,5 miliardi di euro ed è posto sotto piano di rientro dal disavanzo sanitario in via continuativa; secondo i rilievi della magistratura contabile è l’unica regione in piano di rientro a registrare un andamento dei risultati di esercizio in senso peggiorativo, con un disavanzo certificato dell’ordine di oltre cento milioni di euro annui, coperto attraverso l’inasprimento della leva fiscale regionale e fronteggiato da un Programma Operativo pluriennale che prevede rilevanti manovre di contenimento.</w:t>
      </w:r>
      <w:r>
        <w:rPr>
          <w:rStyle w:val="FootnoteReference"/>
        </w:rPr>
        <w:footnoteReference w:id="2985"/>
      </w:r>
      <w:r>
        <w:t xml:space="preserve"> </w:t>
      </w:r>
      <w:r>
        <w:t xml:space="preserve">La regione, storicamente penalizzata dai meccanismi di riparto del fabbisogno nazionale, ha ottenuto soltanto un beneficio marginale dall’introduzione del nuovo criterio di densità abitativa ed estensione territoriale. Il profilo di mobilità è passivo: l’Abruzzo presenta un saldo negativo dell’ordine di alcune decine di milioni netti su un flusso lordo superiore ai duecento milioni annui; poiché però la fuga riguarda in prevalenza i ricoveri e l’alta complessità ospedaliera e chirurgica, e non la domanda psicologica delle cure primarie, il canale del recupero della mobilità è per questo intervento solo parzialmente pertinente.</w:t>
      </w:r>
      <w:r>
        <w:rPr>
          <w:rStyle w:val="FootnoteReference"/>
        </w:rPr>
        <w:footnoteReference w:id="2986"/>
      </w:r>
      <w:r>
        <w:t xml:space="preserve"> </w:t>
      </w:r>
      <w:r>
        <w:t xml:space="preserve">L’architettura dei servizi poggia su quattro Aziende Sanitarie Locali — Avezzano-Sulmona-L’Aquila, Lanciano-Vasto-Chieti, Pescara e Teramo — su venticinque distretti sanitari di base e su una rete di Case della Comunità in costruzione, su cui il servizio andrà pienamente innestato; la regione non dispone di un’azienda sanitaria regionale unica, e il coordinamento è in capo alla Regione attraverso il Dipartimento competente. Va sottolineato che, in un sistema posto sotto vincolo di rientro e con un consumo improprio strutturalmente ampio da recuperare, la componente di risparmio diretto assume per questo intervento una rilevanza superiore alla media. La tabella seguente riepiloga le grandezze di sistema rilevanti.</w:t>
      </w:r>
    </w:p>
    <w:tbl>
      <w:tblPr>
        <w:tblStyle w:val="Table"/>
        <w:tblW w:type="pct" w:w="495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16"/>
        <w:gridCol w:w="593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l’Abruzzo</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w:t>
            </w:r>
          </w:p>
        </w:tc>
        <w:tc>
          <w:tcPr/>
          <w:p>
            <w:pPr>
              <w:pStyle w:val="Compact"/>
              <w:spacing w:after="40" w:before="40"/>
              <w:jc w:val="left"/>
            </w:pPr>
            <w:r>
              <w:rPr>
                <w:rFonts w:ascii="Cambria" w:hAnsi="Cambria" w:cs="Cambria" w:eastAsia="Cambria"/>
                <w:color w:val="1A1A1A"/>
                <w:sz w:val="18"/>
              </w:rPr>
              <w:t xml:space="preserve">~ 2,5 miliardi di euro; sistema in piano di rientro, unico in peggioramento; disavanzo dell’ordine di oltre 100 milioni annui, coperto con leva fiscale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Saldo passivo di alcune decine di milioni netti (flusso lordo oltre 200 milioni); canale modesto come leva per questo intervento (fuga ospedaliera e chirurgica)</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Accessi per cause psichiatriche significativi (stima rapportata ai dati nazionali)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Architettura dei servizi</w:t>
            </w:r>
          </w:p>
        </w:tc>
        <w:tc>
          <w:tcPr>
            <w:shd w:val="clear" w:color="auto" w:fill="F4F1EC"/>
          </w:tcPr>
          <w:p>
            <w:pPr>
              <w:pStyle w:val="Compact"/>
              <w:spacing w:after="40" w:before="40"/>
              <w:jc w:val="left"/>
            </w:pPr>
            <w:r>
              <w:rPr>
                <w:rFonts w:ascii="Cambria" w:hAnsi="Cambria" w:cs="Cambria" w:eastAsia="Cambria"/>
                <w:color w:val="1A1A1A"/>
                <w:sz w:val="18"/>
              </w:rPr>
              <w:t xml:space="preserve">Quattro Aziende Sanitarie Locali, venticinque distretti; rete delle Case della Comunità in costruzione; nessuna azienda regionale unica (coordinamento regionale)</w:t>
            </w:r>
          </w:p>
        </w:tc>
      </w:tr>
      <w:tr>
        <w:tc>
          <w:tcPr/>
          <w:p>
            <w:pPr>
              <w:pStyle w:val="Compact"/>
              <w:spacing w:after="40" w:before="40"/>
              <w:jc w:val="left"/>
            </w:pPr>
            <w:r>
              <w:rPr>
                <w:rFonts w:ascii="Cambria" w:hAnsi="Cambria" w:cs="Cambria" w:eastAsia="Cambria"/>
                <w:b/>
                <w:bCs/>
                <w:color w:val="1A1A1A"/>
                <w:sz w:val="18"/>
              </w:rPr>
              <w:t xml:space="preserve">Margine di azione principale</w:t>
            </w:r>
          </w:p>
        </w:tc>
        <w:tc>
          <w:tcPr/>
          <w:p>
            <w:pPr>
              <w:pStyle w:val="Compact"/>
              <w:spacing w:after="40" w:before="40"/>
              <w:jc w:val="left"/>
            </w:pPr>
            <w:r>
              <w:rPr>
                <w:rFonts w:ascii="Cambria" w:hAnsi="Cambria" w:cs="Cambria" w:eastAsia="Cambria"/>
                <w:color w:val="1A1A1A"/>
                <w:sz w:val="18"/>
              </w:rPr>
              <w:t xml:space="preserve">Attuazione a regime del servizio, liste di attesa, accesso delle aree interne, intercettazione precoce; risparmio diretto a sostegno del piano di rientro</w:t>
            </w:r>
          </w:p>
        </w:tc>
      </w:tr>
    </w:tbl>
    <w:p>
      <w:pPr>
        <w:pStyle w:val="BodyText"/>
      </w:pPr>
      <w:r>
        <w:rPr>
          <w:i/>
          <w:iCs/>
        </w:rPr>
        <w:t xml:space="preserve">Tabella B.3. I servizi e i flussi del Servizio sanitario regionale rilevanti per l’intervento.</w:t>
      </w:r>
    </w:p>
    <w:bookmarkEnd w:id="4505"/>
    <w:bookmarkStart w:id="4506" w:name="X44ec2cc08f2e1a3fcbf5858ea9c7d152dcd5bdb"/>
    <w:p>
      <w:pPr>
        <w:pStyle w:val="Heading3"/>
      </w:pPr>
      <w:r>
        <w:t xml:space="preserve">B.6 La cornice normativa e programmatica</w:t>
      </w:r>
    </w:p>
    <w:p>
      <w:pPr>
        <w:pStyle w:val="FirstParagraph"/>
      </w:pPr>
      <w:r>
        <w:t xml:space="preserve">La decisione si colloca entro una cornice già definita sul piano normativo ma incompiuta su quello attuativo: l’Abruzzo è fra le prime regioni d’Italia a essersi dotato di una legge dedicata — la legge regionale 8 ottobre 2022, n. 28,</w:t>
      </w:r>
      <w:r>
        <w:t xml:space="preserve"> </w:t>
      </w:r>
      <w:r>
        <w:t xml:space="preserve">“Istituzione del servizio di psicologia di base ed ulteriori disposizioni”</w:t>
      </w:r>
      <w:r>
        <w:t xml:space="preserve">, approvata all’unanimità — disciplinata dal regolamento attuativo approvato dalla Giunta nel luglio 2024 al termine di un iter lungo e travagliato, che ha visto la legge approvata a fine legislatura e i provvedimenti attuativi seguire con notevole ritardo.</w:t>
      </w:r>
      <w:r>
        <w:rPr>
          <w:rStyle w:val="FootnoteReference"/>
        </w:rPr>
        <w:footnoteReference w:id="2987"/>
      </w:r>
      <w:r>
        <w:t xml:space="preserve"> </w:t>
      </w:r>
      <w:r>
        <w:t xml:space="preserve">La cornice include il Decreto Ministeriale 77 del 2022 sugli standard dell’assistenza territoriale, che prevede la presenza dello psicologo nelle unità complesse delle cure primarie e nelle Case della Comunità, le risorse del concorso statale al sostegno psicologico e, sul piano nazionale, il testo unificato in discussione alla Camera per l’introduzione dello psicologo delle cure primarie. La decisione rilevante, in questo contesto, non è istituire una funzione, già istituita e regolata, ma attuarla compiutamente, stabilizzarne il finanziamento oltre lo stanziamento transitorio originario e dimensionarla verso la copertura del fabbisogno: è il tema che le parti successive sviluppano, a partire dalla definizione dell’intervento e del suo modello, oggetto della Parte C.</w:t>
      </w:r>
    </w:p>
    <w:bookmarkEnd w:id="4506"/>
    <w:bookmarkEnd w:id="4501"/>
    <w:bookmarkStart w:id="2682" w:name="parte-c-lintervento-e-il-modello-2"/>
    <w:p>
      <w:pPr>
        <w:pStyle w:val="Heading2"/>
      </w:pPr>
      <w:r>
        <w:t xml:space="preserve">Parte C — L’intervento e il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dell’Abruzzo emerge con nettezza: l’intervento non è da istituire, ma da attuare compiutamente a partire da un servizio già stabilito per legge e regolato, la cui attivazione operativa è però ancora iniziale; il modello organizzativo, il sistema informativo e il monitoraggio sono in larga parte da costruire e da rendere omogenei su un territorio disperso, in un sistema posto sotto un piano di rientro in peggioramento.</w:t>
      </w:r>
    </w:p>
    <w:bookmarkStart w:id="2661" w:name="X5324c2e520da585c88f941a6ce809f15fd60185"/>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in Abruzzo tale definizione è già recepita nella legge regionale 28 del 2022.</w:t>
      </w:r>
      <w:r>
        <w:rPr>
          <w:rStyle w:val="FootnoteReference"/>
        </w:rPr>
        <w:footnoteReference w:id="2988"/>
      </w:r>
      <w:r>
        <w:t xml:space="preserve"> </w:t>
      </w:r>
      <w:r>
        <w:t xml:space="preserve">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w:t>
      </w:r>
      <w:r>
        <w:rPr>
          <w:rStyle w:val="FootnoteReference"/>
        </w:rPr>
        <w:footnoteReference w:id="2989"/>
      </w:r>
      <w:r>
        <w:t xml:space="preserve"> </w:t>
      </w:r>
      <w:r>
        <w:t xml:space="preserve">Il bisogno potenziale cui la catena si rivolge è dell’ordine di 254.000 persone con disagio comune.</w:t>
      </w:r>
      <w:r>
        <w:rPr>
          <w:rStyle w:val="FootnoteReference"/>
        </w:rPr>
        <w:footnoteReference w:id="2990"/>
      </w:r>
      <w:r>
        <w:t xml:space="preserve"> </w:t>
      </w:r>
      <w:r>
        <w:t xml:space="preserve">In una regione posta sotto vincolo di rientro, l’anello dell’esito di sistema — la riduzione degli accessi impropri al pronto soccorso, delle prescrizioni farmacologiche inappropriate e dei tempi di attesa — assume un rilievo particolare, poiché ogni quota di consumo improprio evitato concorre direttamente agli obiettivi finanziari del piano. La tabella seguente ne espone gli anelli.</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27"/>
        <w:gridCol w:w="567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l’Abruzzo</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254.000 persone con disagio comune, in larga parte non intercettato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Psicologo nelle cure primarie: intercettazione precoce, intervento breve, filtro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liste di attesa ridotte</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e minor carico familiare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dell’intervento, dal bisogno agli esiti.</w:t>
      </w:r>
    </w:p>
    <w:bookmarkEnd w:id="2661"/>
    <w:bookmarkStart w:id="2665" w:name="c.2-il-modello-organizzativo-11"/>
    <w:p>
      <w:pPr>
        <w:pStyle w:val="Heading3"/>
      </w:pPr>
      <w:r>
        <w:t xml:space="preserve">C.2 Il modello organizzativo</w:t>
      </w:r>
    </w:p>
    <w:p>
      <w:pPr>
        <w:pStyle w:val="FirstParagraph"/>
      </w:pPr>
      <w:r>
        <w:t xml:space="preserve">Il modello organizzativo colloca lo psicologo di base nelle Case della Comunità e nei distretti, in collaborazione con i medici di medicina generale, i pediatri di libera scelta e i Centri di Salute Mentale, secondo l’impianto della legge regionale 28 del 2022, che prevede almeno uno psicologo di base per ciascuno dei venticinque distretti, un elenco aziendale presso ciascuna delle quattro Aziende Sanitarie Locali, un rapporto convenzionale su base libero-professionale e un parametro di uno psicologo ogni quindicimila abitanti.</w:t>
      </w:r>
      <w:r>
        <w:rPr>
          <w:rStyle w:val="FootnoteReference"/>
        </w:rPr>
        <w:footnoteReference w:id="2991"/>
      </w:r>
      <w:r>
        <w:t xml:space="preserve"> </w:t>
      </w:r>
      <w:r>
        <w:t xml:space="preserve">L’Abruzzo presenta qui una specificità: il servizio è istituito e regolato, ma la sua attivazione operativa è ancora iniziale, sicché la sfida organizzativa principale non è governare un servizio già a regime, ma avviarlo e renderlo omogeneo su quattro Aziende e venticinque distretti, in un territorio geograficamente disperso e segnato dalla fragilità delle aree interne. La regione non dispone di un’azienda sanitaria regionale unica, e il coordinamento è in capo alla Regione attraverso il Dipartimento competente, con il supporto dell’Osservatorio Regionale e del Tavolo tecnico previsti dalla legge, cui spetta garantire l’uniformità attuativa fra le quattro Aziende.</w:t>
      </w:r>
      <w:r>
        <w:rPr>
          <w:rStyle w:val="FootnoteReference"/>
        </w:rPr>
        <w:footnoteReference w:id="2992"/>
      </w:r>
      <w:r>
        <w:t xml:space="preserve"> </w:t>
      </w:r>
      <w:r>
        <w:t xml:space="preserve">La rete territoriale delle Case della Comunità, in costruzione nell’ambito degli standard nazionali dell’assistenza territoriale, è l’infrastruttura su cui il servizio andrà pienamente innestato. Il funzionamento segue il principio dell’intensità crescente: l’intervento parte dal livello meno intensivo appropriato e cresce solo se necessario, con criteri espliciti di passaggio di livello e di invio.</w:t>
      </w:r>
      <w:r>
        <w:rPr>
          <w:rStyle w:val="FootnoteReference"/>
        </w:rPr>
        <w:footnoteReference w:id="2993"/>
      </w:r>
    </w:p>
    <w:bookmarkEnd w:id="2665"/>
    <w:bookmarkStart w:id="2670" w:name="Xde5f28efe26465c2216565e014370e7ac434376"/>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da avviare nelle Aziende abruzzesi e affronta i quadri più frequenti, dalla sintomatologia ansioso-depressiva ai problemi di adattamento e psicosomatici.</w:t>
      </w:r>
      <w:r>
        <w:rPr>
          <w:rStyle w:val="FootnoteReference"/>
        </w:rPr>
        <w:footnoteReference w:id="2994"/>
      </w:r>
      <w:r>
        <w:t xml:space="preserve"> </w:t>
      </w:r>
      <w:r>
        <w:t xml:space="preserve">Gli esiti sono misurati con strumenti validati e di uso internazionale, impiegati nei soli punteggi complessivi: il questionario a nove voci sui sintomi depressivi e la scala a sette voci per il disturbo d’ansia generalizzata.</w:t>
      </w:r>
      <w:r>
        <w:rPr>
          <w:rStyle w:val="FootnoteReference"/>
        </w:rPr>
        <w:footnoteReference w:id="2995"/>
      </w:r>
      <w:r>
        <w:t xml:space="preserve"> </w:t>
      </w:r>
      <w:r>
        <w:t xml:space="preserve">Particolare cura è dedicata alla sicurezza: le situazioni di rischio sono individuate precocemente e indirizzate senza indugio ai servizi specialistici e di emergenza secondo protocolli definiti, senza che lo studio entri nel merito dei metodi clinici.</w:t>
      </w:r>
      <w:r>
        <w:rPr>
          <w:rStyle w:val="FootnoteReference"/>
        </w:rPr>
        <w:footnoteReference w:id="2996"/>
      </w:r>
      <w:r>
        <w:t xml:space="preserve"> </w:t>
      </w:r>
      <w:r>
        <w:t xml:space="preserve">Gli esiti del percorso si articolano in quattro categorie, riepilogate nella tabella seguente.</w:t>
      </w:r>
      <w:r>
        <w:rPr>
          <w:rStyle w:val="FootnoteReference"/>
        </w:rPr>
        <w:footnoteReference w:id="2997"/>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43"/>
        <w:gridCol w:w="56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2670"/>
    <w:bookmarkStart w:id="2673" w:name="X1e25fbb1dac14ab748c6e8bd079022ec9ac434b"/>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In assenza di un’azienda regionale unica, il coordinamento informativo è in capo alla Regione e all’Osservatorio Regionale, cui spetta raccogliere i dati di attività degli psicologi di base e assicurarne l’uniformità fra le quattro Aziende e i venticinque distretti.</w:t>
      </w:r>
      <w:r>
        <w:rPr>
          <w:rStyle w:val="FootnoteReference"/>
        </w:rPr>
        <w:footnoteReference w:id="2998"/>
      </w:r>
      <w:r>
        <w:t xml:space="preserve"> </w:t>
      </w:r>
      <w:r>
        <w:t xml:space="preserve">La raccolta sistematica e completa dei dati di processo e di esito non è un adempimento accessorio, ma il presupposto della clausola valutativa e del disegno controfattuale; su questo terreno l’Abruzzo presenta una criticità peculiare: a differenza della Campania, che dispone di un flusso informativo già avviato, esso deve progettare e attivare il flusso contestualmente all’attuazione del servizio, in un contesto in cui l’osservatorio epidemiologico regionale opera in modo discontinuo e con dati pubblici non aggiornati. È precisamente per questo che la costruzione, sin dall’avvio, di un sistema informativo completo e omogeneo sui venticinque distretti costituisce non un corollario, ma una condizione di valutabilità dell’intervento.</w:t>
      </w:r>
      <w:r>
        <w:rPr>
          <w:rStyle w:val="FootnoteReference"/>
        </w:rPr>
        <w:footnoteReference w:id="2999"/>
      </w:r>
    </w:p>
    <w:bookmarkEnd w:id="2673"/>
    <w:bookmarkStart w:id="2679" w:name="X99a4c4e89e49fe569a6c3c88c2dff82713dd263"/>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w:t>
      </w:r>
      <w:r>
        <w:rPr>
          <w:rStyle w:val="FootnoteReference"/>
        </w:rPr>
        <w:footnoteReference w:id="3000"/>
      </w:r>
      <w:r>
        <w:t xml:space="preserve"> </w:t>
      </w:r>
      <w:r>
        <w:t xml:space="preserve">Gli strumenti di supporto decisionale e di sintesi clinica forniscono un ausilio non vincolante, di cui il professionista resta pienamente responsabile.</w:t>
      </w:r>
      <w:r>
        <w:rPr>
          <w:rStyle w:val="FootnoteReference"/>
        </w:rPr>
        <w:footnoteReference w:id="3001"/>
      </w:r>
      <w:r>
        <w:t xml:space="preserve"> </w:t>
      </w:r>
      <w:r>
        <w:t xml:space="preserve">L’automazione appropriata delle attività documentali restituisce tempo alla relazione clinica.</w:t>
      </w:r>
      <w:r>
        <w:rPr>
          <w:rStyle w:val="FootnoteReference"/>
        </w:rPr>
        <w:footnoteReference w:id="3002"/>
      </w:r>
      <w:r>
        <w:t xml:space="preserve"> </w:t>
      </w:r>
      <w:r>
        <w:t xml:space="preserve">La telepsicologia e il telemonitoraggio assistiti sono, in Abruzzo, lo strumento per garantire l’accesso nelle aree interne e montane — segnatamente nell’Aquilano e nelle zone appenniniche — e nei piccoli comuni a spopolamento, dove le distanze e la rarefazione dei servizi rendono difficoltoso il raggiungimento delle sedi; sono concepiti in funzione complementare e non sostitutiva della presa in carico in presenza, e assumono in questa regione un rilievo superiore alla media in ragione della dispersione territoriale.</w:t>
      </w:r>
      <w:r>
        <w:rPr>
          <w:rStyle w:val="FootnoteReference"/>
        </w:rPr>
        <w:footnoteReference w:id="3003"/>
      </w:r>
      <w:r>
        <w:t xml:space="preserve"> </w:t>
      </w:r>
      <w:r>
        <w:t xml:space="preserve">I dispositivi terapeutici digitali, infine, sono interventi validati e prescritti, conformi alla disciplina sui dispositivi medici e al quadro europeo sull’intelligenza artificiale.</w:t>
      </w:r>
      <w:r>
        <w:rPr>
          <w:rStyle w:val="FootnoteReference"/>
        </w:rPr>
        <w:footnoteReference w:id="3004"/>
      </w:r>
      <w:r>
        <w:t xml:space="preserve"> </w:t>
      </w:r>
      <w:r>
        <w:t xml:space="preserve">La tabella seguente ne riepiloga funzioni e condizioni d’impiego.</w:t>
      </w:r>
    </w:p>
    <w:tbl>
      <w:tblPr>
        <w:tblStyle w:val="Table"/>
        <w:tblW w:type="pct" w:w="493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44"/>
        <w:gridCol w:w="3751"/>
        <w:gridCol w:w="171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 e telemonitoraggio</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aree interne e montane e nei piccoli comuni; continuità</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bookmarkEnd w:id="2679"/>
    <w:bookmarkStart w:id="2681" w:name="c.6-la-formazione-e-le-competenze-11"/>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abruzzesi — l’Università dell’Aquila, l’Università</w:t>
      </w:r>
      <w:r>
        <w:t xml:space="preserve"> </w:t>
      </w:r>
      <w:r>
        <w:t xml:space="preserve">“Gabriele d’Annunzio”</w:t>
      </w:r>
      <w:r>
        <w:t xml:space="preserve"> </w:t>
      </w:r>
      <w:r>
        <w:t xml:space="preserve">di Chieti-Pescara e l’Università di Teramo; il livello post-universitario specialistico attraverso una formazione dedicata alla psicologia di base e alle cure primarie, comprensiva della competenza per il disagio giovanile e, in misura accentuata, per l’età anziana e per le condizioni dell’isolamento nelle aree interne, particolarmente rilevanti in una delle regioni demograficamente più anziane del Paese; il livello continuo attraverso l’aggiornamento in servizio, l’audit clinico e l’educazione continua in medicina; il livello dell’affiancamento operativo attraverso il tutoraggio sul campo e l’inserimento graduale con supervisione.</w:t>
      </w:r>
      <w:r>
        <w:rPr>
          <w:rStyle w:val="FootnoteReference"/>
        </w:rPr>
        <w:footnoteReference w:id="3005"/>
      </w:r>
      <w:r>
        <w:t xml:space="preserve"> </w:t>
      </w:r>
      <w:r>
        <w:t xml:space="preserve">A questi quattro livelli si aggiunge una componente trasversale sull’intelligenza artificiale, presente in ciascuno di essi e dedicata alla selezione e all’uso appropriato degli strumenti digitali, all’interpretazione degli esiti e alla conformità normativa, in coerenza con l’obbligo europeo di alfabetizzazione all’intelligenza artificiale. L’Abruzzo presenta qui un elemento proprio: il regolamento attuativo del 2024 definisce i requisiti di iscrizione agli elenchi aziendali, e la base formativa del servizio è da costruire contestualmente all’avvio, valorizzando i tre atenei regionali e il ruolo dell’Ordine professionale. Definiti l’intervento e il suo modello, la parte che segue ne esamina l’efficacia e l’evidenza.</w:t>
      </w:r>
    </w:p>
    <w:tbl>
      <w:tblPr>
        <w:tblStyle w:val="Table"/>
        <w:tblW w:type="pct" w:w="496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232"/>
        <w:gridCol w:w="4400"/>
        <w:gridCol w:w="222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Atenei abruzzesi (L’Aquila,</w:t>
            </w:r>
            <w:r>
              <w:rPr>
                <w:rFonts w:ascii="Cambria" w:hAnsi="Cambria" w:cs="Cambria" w:eastAsia="Cambria"/>
                <w:color w:val="1A1A1A"/>
                <w:sz w:val="18"/>
              </w:rPr>
              <w:t xml:space="preserve"> </w:t>
            </w:r>
            <w:r>
              <w:rPr>
                <w:rFonts w:ascii="Cambria" w:hAnsi="Cambria" w:cs="Cambria" w:eastAsia="Cambria"/>
                <w:color w:val="1A1A1A"/>
                <w:sz w:val="18"/>
              </w:rPr>
              <w:t xml:space="preserve">“Gabriele d’Annunzio”</w:t>
            </w:r>
            <w:r>
              <w:rPr>
                <w:rFonts w:ascii="Cambria" w:hAnsi="Cambria" w:cs="Cambria" w:eastAsia="Cambria"/>
                <w:color w:val="1A1A1A"/>
                <w:sz w:val="18"/>
              </w:rPr>
              <w:t xml:space="preserve"> </w:t>
            </w:r>
            <w:r>
              <w:rPr>
                <w:rFonts w:ascii="Cambria" w:hAnsi="Cambria" w:cs="Cambria" w:eastAsia="Cambria"/>
                <w:color w:val="1A1A1A"/>
                <w:sz w:val="18"/>
              </w:rPr>
              <w:t xml:space="preserve">Chieti-Pescara, Teramo)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di base e cure primarie: modelli organizzativi, collaborazione, misure di esito, competenza per il disagio giovanile e per l’età anziana</w:t>
            </w:r>
          </w:p>
        </w:tc>
        <w:tc>
          <w:tcPr>
            <w:shd w:val="clear" w:color="auto" w:fill="F4F1EC"/>
          </w:tcPr>
          <w:p>
            <w:pPr>
              <w:pStyle w:val="Compact"/>
              <w:spacing w:after="40" w:before="40"/>
              <w:jc w:val="left"/>
            </w:pPr>
            <w:r>
              <w:rPr>
                <w:rFonts w:ascii="Cambria" w:hAnsi="Cambria" w:cs="Cambria" w:eastAsia="Cambria"/>
                <w:color w:val="1A1A1A"/>
                <w:sz w:val="18"/>
              </w:rPr>
              <w:t xml:space="preserve">Formazione dedicata; requisiti di iscrizione agli elenchi</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Tutor aziendali;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sull’intelligenza artificiale.</w:t>
      </w:r>
    </w:p>
    <w:bookmarkEnd w:id="2681"/>
    <w:bookmarkEnd w:id="2682"/>
    <w:bookmarkStart w:id="2707" w:name="parte-d-efficacia-clinica-ed-evidenza-6"/>
    <w:p>
      <w:pPr>
        <w:pStyle w:val="Heading2"/>
      </w:pPr>
      <w:r>
        <w:t xml:space="preserve">Parte D — Efficacia clinica ed evidenza</w:t>
      </w:r>
    </w:p>
    <w:p>
      <w:pPr>
        <w:pStyle w:val="FirstParagraph"/>
      </w:pPr>
      <w:r>
        <w:t xml:space="preserve">Questa parte corrisponde al quarto dominio della valutazione di tecnologia sanitaria, l’efficacia clinica, e con i primi tre forma il nucleo che la prassi europea designa come valutazione rapida di efficacia relativa; risponde al criterio di efficacia della griglia di giudizio. Come per le altre regioni, il corpo dell’evidenza internazionale è invariante, poiché l’efficacia di un intervento clinico non muta con i confini regionali; muta invece la base di evidenza locale, ed è qui che l’Abruzzo presenta un tratto peculiare. Stabilito che cosa la riforma è, qui si accerta se essa funzioni: con quale solidità l’evidenza ne sostiene gli effetti (capitolo D.1), quanto sia certa tale evidenza e quale cautela economica essa imponga (D.2), che cosa documentino i programmi internazionali più affini (D.3) e in che misura quei risultati siano trasferibili al contesto abruzzese (D.4).</w:t>
      </w:r>
      <w:r>
        <w:rPr>
          <w:rStyle w:val="FootnoteReference"/>
        </w:rPr>
        <w:footnoteReference w:id="3006"/>
      </w:r>
      <w:r>
        <w:t xml:space="preserve"> </w:t>
      </w:r>
      <w:r>
        <w:t xml:space="preserve">La sintesi è condotta secondo standard riconosciuti, e la sua certezza è graduata in modo esplicito, perché una valutazione difendibile dichiara non solo ciò che l’evidenza mostra, ma anche quanto vi si possa fare affidamento.</w:t>
      </w:r>
    </w:p>
    <w:bookmarkStart w:id="2690" w:name="d.1-la-revisione-sistematica-5"/>
    <w:p>
      <w:pPr>
        <w:pStyle w:val="Heading3"/>
      </w:pPr>
      <w:r>
        <w:t xml:space="preserve">D.1 La revisione sistematica</w:t>
      </w:r>
    </w:p>
    <w:p>
      <w:pPr>
        <w:pStyle w:val="FirstParagraph"/>
      </w:pPr>
      <w:r>
        <w:t xml:space="preserve">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strutturata dei dati e sintesi. Gli studi sui dati reali sono trattati secondo la lista STROBE.</w:t>
      </w:r>
      <w:r>
        <w:rPr>
          <w:rStyle w:val="FootnoteReference"/>
        </w:rPr>
        <w:footnoteReference w:id="3007"/>
      </w:r>
      <w:r>
        <w:t xml:space="preserve"> </w:t>
      </w:r>
      <w:r>
        <w:t xml:space="preserve">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w:t>
      </w:r>
    </w:p>
    <w:p>
      <w:pPr>
        <w:pStyle w:val="BodyText"/>
      </w:pPr>
      <w:r>
        <w:t xml:space="preserve">Il paradigma della cura collaborativa è il più studiato: è stato validato da oltre novanta studi randomizzati controllati, e uno studio fondativo documentò che circa la metà dei pazienti otteneva una riduzione dei sintomi pari almeno alla metà a dodici mesi, contro meno di un quinto nella cura usuale.</w:t>
      </w:r>
      <w:r>
        <w:rPr>
          <w:rStyle w:val="FootnoteReference"/>
        </w:rPr>
        <w:footnoteReference w:id="3008"/>
      </w:r>
      <w:r>
        <w:t xml:space="preserve"> </w:t>
      </w:r>
      <w:r>
        <w:t xml:space="preserve">Una meta-analisi su cinquantasette studi controllati ha stimato un miglioramento medio dei sintomi depressivi pari a 0,28 deviazioni standard,</w:t>
      </w:r>
      <w:r>
        <w:rPr>
          <w:rStyle w:val="FootnoteReference"/>
        </w:rPr>
        <w:footnoteReference w:id="3009"/>
      </w:r>
      <w:r>
        <w:t xml:space="preserve"> </w:t>
      </w:r>
      <w:r>
        <w:t xml:space="preserve">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w:t>
      </w:r>
      <w:r>
        <w:rPr>
          <w:rStyle w:val="FootnoteReference"/>
        </w:rPr>
        <w:footnoteReference w:id="3010"/>
      </w:r>
      <w:r>
        <w:t xml:space="preserve"> </w:t>
      </w:r>
      <w:r>
        <w:t xml:space="preserve">La misura degli effetti si fonda ovunque su strumenti validati, il PHQ-9 e il GAD-7, dotati di buona sensibilità e specificità.</w:t>
      </w:r>
      <w:r>
        <w:rPr>
          <w:rStyle w:val="FootnoteReference"/>
        </w:rPr>
        <w:footnoteReference w:id="3011"/>
      </w:r>
    </w:p>
    <w:p>
      <w:pPr>
        <w:pStyle w:val="BodyText"/>
      </w:pPr>
      <w:r>
        <w:t xml:space="preserve">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perciò trattamenti più intensivi e costosi.</w:t>
      </w:r>
      <w:r>
        <w:rPr>
          <w:rStyle w:val="FootnoteReference"/>
        </w:rPr>
        <w:footnoteReference w:id="3012"/>
      </w:r>
      <w:r>
        <w:t xml:space="preserve"> </w:t>
      </w:r>
      <w:r>
        <w:t xml:space="preserve">È questa la logica per cui un effetto individuale contenuto si traduce, sulla popolazione abruzzese dell’ordine di 254.000 persone con disagio comune, in un beneficio clinico e di sistema sostanziale. La tabella seguente riepiloga i principali risultati della letteratura.</w:t>
      </w:r>
    </w:p>
    <w:tbl>
      <w:tblPr>
        <w:tblStyle w:val="Table"/>
        <w:tblW w:type="pct" w:w="493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51"/>
        <w:gridCol w:w="526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Fonte</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Risultato principale</w:t>
            </w:r>
          </w:p>
        </w:tc>
      </w:tr>
      <w:tr>
        <w:tc>
          <w:tcPr/>
          <w:p>
            <w:pPr>
              <w:pStyle w:val="Compact"/>
              <w:spacing w:after="40" w:before="40"/>
              <w:jc w:val="left"/>
            </w:pPr>
            <w:r>
              <w:rPr>
                <w:rFonts w:ascii="Cambria" w:hAnsi="Cambria" w:cs="Cambria" w:eastAsia="Cambria"/>
                <w:b/>
                <w:bCs/>
                <w:color w:val="1A1A1A"/>
                <w:sz w:val="18"/>
              </w:rPr>
              <w:t xml:space="preserve">Studio fondativo (JAMA, 2002)</w:t>
            </w:r>
          </w:p>
        </w:tc>
        <w:tc>
          <w:tcPr/>
          <w:p>
            <w:pPr>
              <w:pStyle w:val="Compact"/>
              <w:spacing w:after="40" w:before="40"/>
              <w:jc w:val="left"/>
            </w:pPr>
            <w:r>
              <w:rPr>
                <w:rFonts w:ascii="Cambria" w:hAnsi="Cambria" w:cs="Cambria" w:eastAsia="Cambria"/>
                <w:color w:val="1A1A1A"/>
                <w:sz w:val="18"/>
              </w:rPr>
              <w:t xml:space="preserve">~ 50% dei pazienti con riduzione ≥ 50% dei sintomi a 12 mesi, contro 19% nella cura usuale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Meta-analisi su 57 studi (2012)</w:t>
            </w:r>
          </w:p>
        </w:tc>
        <w:tc>
          <w:tcPr>
            <w:shd w:val="clear" w:color="auto" w:fill="F4F1EC"/>
          </w:tcPr>
          <w:p>
            <w:pPr>
              <w:pStyle w:val="Compact"/>
              <w:spacing w:after="40" w:before="40"/>
              <w:jc w:val="left"/>
            </w:pPr>
            <w:r>
              <w:rPr>
                <w:rFonts w:ascii="Cambria" w:hAnsi="Cambria" w:cs="Cambria" w:eastAsia="Cambria"/>
                <w:color w:val="1A1A1A"/>
                <w:sz w:val="18"/>
              </w:rPr>
              <w:t xml:space="preserve">Miglioramento medio dei sintomi depressivi di 0,28 deviazioni standard</w:t>
            </w:r>
          </w:p>
        </w:tc>
      </w:tr>
      <w:tr>
        <w:tc>
          <w:tcPr/>
          <w:p>
            <w:pPr>
              <w:pStyle w:val="Compact"/>
              <w:spacing w:after="40" w:before="40"/>
              <w:jc w:val="left"/>
            </w:pPr>
            <w:r>
              <w:rPr>
                <w:rFonts w:ascii="Cambria" w:hAnsi="Cambria" w:cs="Cambria" w:eastAsia="Cambria"/>
                <w:b/>
                <w:bCs/>
                <w:color w:val="1A1A1A"/>
                <w:sz w:val="18"/>
              </w:rPr>
              <w:t xml:space="preserve">Revisione su 42 implementazioni (2024)</w:t>
            </w:r>
          </w:p>
        </w:tc>
        <w:tc>
          <w:tcPr/>
          <w:p>
            <w:pPr>
              <w:pStyle w:val="Compact"/>
              <w:spacing w:after="40" w:before="40"/>
              <w:jc w:val="left"/>
            </w:pPr>
            <w:r>
              <w:rPr>
                <w:rFonts w:ascii="Cambria" w:hAnsi="Cambria" w:cs="Cambria" w:eastAsia="Cambria"/>
                <w:color w:val="1A1A1A"/>
                <w:sz w:val="18"/>
              </w:rPr>
              <w:t xml:space="preserve">−47% depressione e −43% ansia a 6 mesi; −34% accessi al PS; −41% ricoveri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Programma inglese, dati reali (2023–2024)</w:t>
            </w:r>
          </w:p>
        </w:tc>
        <w:tc>
          <w:tcPr>
            <w:shd w:val="clear" w:color="auto" w:fill="F4F1EC"/>
          </w:tcPr>
          <w:p>
            <w:pPr>
              <w:pStyle w:val="Compact"/>
              <w:spacing w:after="40" w:before="40"/>
              <w:jc w:val="left"/>
            </w:pPr>
            <w:r>
              <w:rPr>
                <w:rFonts w:ascii="Cambria" w:hAnsi="Cambria" w:cs="Cambria" w:eastAsia="Cambria"/>
                <w:color w:val="1A1A1A"/>
                <w:sz w:val="18"/>
              </w:rPr>
              <w:t xml:space="preserve">Recupero 50,2%; miglioramento affidabile 67,8%; completezza dei dati &gt; 98%</w:t>
            </w:r>
          </w:p>
        </w:tc>
      </w:tr>
      <w:tr>
        <w:tc>
          <w:tcPr/>
          <w:p>
            <w:pPr>
              <w:pStyle w:val="Compact"/>
              <w:spacing w:after="40" w:before="40"/>
              <w:jc w:val="left"/>
            </w:pPr>
            <w:r>
              <w:rPr>
                <w:rFonts w:ascii="Cambria" w:hAnsi="Cambria" w:cs="Cambria" w:eastAsia="Cambria"/>
                <w:b/>
                <w:bCs/>
                <w:color w:val="1A1A1A"/>
                <w:sz w:val="18"/>
              </w:rPr>
              <w:t xml:space="preserve">Meta-analisi sulle cure integrate</w:t>
            </w:r>
          </w:p>
        </w:tc>
        <w:tc>
          <w:tcPr/>
          <w:p>
            <w:pPr>
              <w:pStyle w:val="Compact"/>
              <w:spacing w:after="40" w:before="40"/>
              <w:jc w:val="left"/>
            </w:pPr>
            <w:r>
              <w:rPr>
                <w:rFonts w:ascii="Cambria" w:hAnsi="Cambria" w:cs="Cambria" w:eastAsia="Cambria"/>
                <w:color w:val="1A1A1A"/>
                <w:sz w:val="18"/>
              </w:rPr>
              <w:t xml:space="preserve">Coefficiente standardizzato −0,11 sui sintomi depressivi (clinicamente rilevante su popolazione)</w:t>
            </w:r>
          </w:p>
        </w:tc>
      </w:tr>
    </w:tbl>
    <w:p>
      <w:pPr>
        <w:pStyle w:val="BodyText"/>
      </w:pPr>
      <w:r>
        <w:rPr>
          <w:i/>
          <w:iCs/>
        </w:rPr>
        <w:t xml:space="preserve">Tabella D.1. Principali risultati della letteratura sull’efficacia dell’integrazione psicologica nelle cure primarie.</w:t>
      </w:r>
    </w:p>
    <w:bookmarkEnd w:id="2690"/>
    <w:bookmarkStart w:id="2695" w:name="d.2-la-qualità-dellevidenza-5"/>
    <w:p>
      <w:pPr>
        <w:pStyle w:val="Heading3"/>
      </w:pPr>
      <w:r>
        <w:t xml:space="preserve">D.2 La qualità dell’evidenza</w:t>
      </w:r>
    </w:p>
    <w:p>
      <w:pPr>
        <w:pStyle w:val="FirstParagraph"/>
      </w:pPr>
      <w:r>
        <w:t xml:space="preserve">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w:t>
      </w:r>
      <w:r>
        <w:rPr>
          <w:rStyle w:val="FootnoteReference"/>
        </w:rPr>
        <w:footnoteReference w:id="3013"/>
      </w:r>
      <w:r>
        <w:t xml:space="preserve"> </w:t>
      </w:r>
      <w:r>
        <w:t xml:space="preserve">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abruzzese — limita l’indirettezza. La certezza è invece più eterogenea e di grado inferiore per gli esiti economici, e segnatamente per quelli di sistema.</w:t>
      </w:r>
      <w:r>
        <w:rPr>
          <w:rStyle w:val="FootnoteReference"/>
        </w:rPr>
        <w:footnoteReference w:id="3014"/>
      </w:r>
    </w:p>
    <w:p>
      <w:pPr>
        <w:pStyle w:val="BodyText"/>
      </w:pPr>
      <w:r>
        <w:t xml:space="preserve">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Ne consegue che il valore economico del modello non può essere fondato sul dato di costo di quel singolo studio. Questa cautela ha, per l’Abruzzo, un risvolto preciso, perché la regione è posta sotto un piano di rientro e il canale del risparmio diretto vi assume un rilievo superiore alla media. Il punto va enunciato con esattezza: il risparmio diretto cui lo studio fa riferimento non poggia sul dato di costo dello studio fondativo, bensì sugli esiti di sistema documentati dalla letteratura di implementazione — la riduzione degli accessi impropri al pronto soccorso, delle prescrizioni inappropriate e dei ricoveri evitabili — i quali presentano una certezza moderata; e proprio per questa ragione esso è stimato in via prudenziale, con bande conservative, tenuto rigorosamente distinto dalle ricadute sociali e sottoposto a verifica empirica locale, secondo quanto la Parte E e la Parte L stabiliscono.</w:t>
      </w:r>
      <w:r>
        <w:rPr>
          <w:rStyle w:val="FootnoteReference"/>
        </w:rPr>
        <w:footnoteReference w:id="3015"/>
      </w:r>
    </w:p>
    <w:p>
      <w:pPr>
        <w:pStyle w:val="BodyText"/>
      </w:pPr>
      <w:r>
        <w:t xml:space="preserve">Un elemento rafforza ulteriormente la fiducia nei risultati clinici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controllati si mantiene nell’attuazione reale a scala nazionale.</w:t>
      </w:r>
      <w:r>
        <w:rPr>
          <w:rStyle w:val="FootnoteReference"/>
        </w:rPr>
        <w:footnoteReference w:id="3016"/>
      </w:r>
      <w:r>
        <w:t xml:space="preserve"> </w:t>
      </w:r>
      <w:r>
        <w:t xml:space="preserve">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clinica, in sintesi, è sufficiente a sostenere con fiducia l’attesa di efficacia, fermo restando che la conferma definitiva sui dati abruzzesi è affidata alla verifica locale prevista dalla Parte L.</w:t>
      </w:r>
    </w:p>
    <w:bookmarkEnd w:id="2695"/>
    <w:bookmarkStart w:id="2701" w:name="d.3-i-benchmark-internazionali-10"/>
    <w:p>
      <w:pPr>
        <w:pStyle w:val="Heading3"/>
      </w:pPr>
      <w:r>
        <w:t xml:space="preserve">D.3 I benchmark internazionali</w:t>
      </w:r>
    </w:p>
    <w:p>
      <w:pPr>
        <w:pStyle w:val="FirstParagraph"/>
      </w:pPr>
      <w:r>
        <w:t xml:space="preserve">La valutazione si avvale del confronto con i programmi internazionali più autorevoli, che costituiscono la principale base comparativa dell’intero studio. Quattro esperienze, condotte in sistemi sanitari avanzati, documentano efficacia, scalabilità e sostenibilità dell’integrazione psicologica nelle cure primarie. Il programma inglese è la dimostrazione più solida: fondato sulla cura a intensità crescente e su un monitoraggio quasi completo degli esiti, mantiene un tasso di recupero intorno al 50% su scala nazionale.</w:t>
      </w:r>
      <w:r>
        <w:rPr>
          <w:rStyle w:val="FootnoteReference"/>
        </w:rPr>
        <w:footnoteReference w:id="3017"/>
      </w:r>
      <w:r>
        <w:t xml:space="preserve"> </w:t>
      </w:r>
      <w:r>
        <w:t xml:space="preserve">Il modello olandese ha visto crescere l’adozione da circa un terzo a circa tre quarti dei medici di medicina generale in pochi anni, con il professionista psicologo integrato nelle cure primarie e finanziato nell’assicurazione di base.</w:t>
      </w:r>
      <w:r>
        <w:rPr>
          <w:rStyle w:val="FootnoteReference"/>
        </w:rPr>
        <w:footnoteReference w:id="3018"/>
      </w:r>
      <w:r>
        <w:t xml:space="preserve"> </w:t>
      </w:r>
      <w:r>
        <w:t xml:space="preserve">L’iniziativa australiana ha esteso il trattamento dei disturbi mentali dal 35% al 46% della popolazione bisognosa, con elevata soddisfazione, sebbene operi per invio esterno e non per integrazione.</w:t>
      </w:r>
      <w:r>
        <w:rPr>
          <w:rStyle w:val="FootnoteReference"/>
        </w:rPr>
        <w:footnoteReference w:id="3019"/>
      </w:r>
      <w:r>
        <w:t xml:space="preserve"> </w:t>
      </w:r>
      <w:r>
        <w:t xml:space="preserve">Il modello statunitense della cura collaborativa, infine, è il paradigma più validato, con la più ampia base sperimentale.</w:t>
      </w:r>
      <w:r>
        <w:rPr>
          <w:rStyle w:val="FootnoteReference"/>
        </w:rPr>
        <w:footnoteReference w:id="3020"/>
      </w:r>
    </w:p>
    <w:p>
      <w:pPr>
        <w:pStyle w:val="BodyText"/>
      </w:pPr>
      <w:r>
        <w:t xml:space="preserve">Due tratti accomunano i programmi più efficaci e orientano il disegno abruzzese.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abruzzese, fondato sull’inserimento dello psicologo nelle cure primarie con funzione di filtro, appartiene alla prima famiglia.</w:t>
      </w:r>
      <w:r>
        <w:rPr>
          <w:rStyle w:val="FootnoteReference"/>
        </w:rPr>
        <w:footnoteReference w:id="3021"/>
      </w:r>
      <w:r>
        <w:t xml:space="preserve"> </w:t>
      </w:r>
      <w:r>
        <w:t xml:space="preserve">Il secondo è il ricorso crescente agli strumenti digitali quale leva di accesso e di capacità, già ampiamente adottato nel programma inglese e di particolare interesse per una regione a forte dispersione territoriale. A queste esperienze internazionali si affiancano le sperimentazioni italiane, che ne hanno anticipato su scala locale i principi. La tabella seguente riepiloga i benchmark sul piano clinico e organizzativo; il confronto economico è sviluppato nella Parte E.</w:t>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621"/>
        <w:gridCol w:w="1802"/>
        <w:gridCol w:w="338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Assetto</w:t>
            </w:r>
          </w:p>
        </w:tc>
        <w:tc>
          <w:tcPr>
            <w:shd w:val="clear" w:color="auto" w:fill="16264B"/>
          </w:tcPr>
          <w:p>
            <w:pPr>
              <w:pStyle w:val="Compact"/>
              <w:spacing w:after="40" w:before="40"/>
              <w:jc w:val="left"/>
            </w:pPr>
            <w:r>
              <w:rPr>
                <w:rFonts w:ascii="Cambria" w:hAnsi="Cambria" w:cs="Cambria" w:eastAsia="Cambria"/>
                <w:b/>
                <w:bCs/>
                <w:color w:val="FFFFFF"/>
                <w:sz w:val="18"/>
              </w:rPr>
              <w:t xml:space="preserve">Esiti clinici e organizzativi</w:t>
            </w:r>
          </w:p>
        </w:tc>
      </w:tr>
      <w:tr>
        <w:tc>
          <w:tcPr/>
          <w:p>
            <w:pPr>
              <w:pStyle w:val="Compact"/>
              <w:spacing w:after="40" w:before="40"/>
              <w:jc w:val="left"/>
            </w:pPr>
            <w:r>
              <w:rPr>
                <w:rFonts w:ascii="Cambria" w:hAnsi="Cambria" w:cs="Cambria" w:eastAsia="Cambria"/>
                <w:b/>
                <w:bCs/>
                <w:color w:val="1A1A1A"/>
                <w:sz w:val="18"/>
              </w:rPr>
              <w:t xml:space="preserve">Programma inglese (NHS Talking Therapies)</w:t>
            </w:r>
          </w:p>
        </w:tc>
        <w:tc>
          <w:tcPr/>
          <w:p>
            <w:pPr>
              <w:pStyle w:val="Compact"/>
              <w:spacing w:after="40" w:before="40"/>
              <w:jc w:val="left"/>
            </w:pPr>
            <w:r>
              <w:rPr>
                <w:rFonts w:ascii="Cambria" w:hAnsi="Cambria" w:cs="Cambria" w:eastAsia="Cambria"/>
                <w:color w:val="1A1A1A"/>
                <w:sz w:val="18"/>
              </w:rPr>
              <w:t xml:space="preserve">Integrato; intensità crescente</w:t>
            </w:r>
          </w:p>
        </w:tc>
        <w:tc>
          <w:tcPr/>
          <w:p>
            <w:pPr>
              <w:pStyle w:val="Compact"/>
              <w:spacing w:after="40" w:before="40"/>
              <w:jc w:val="left"/>
            </w:pPr>
            <w:r>
              <w:rPr>
                <w:rFonts w:ascii="Cambria" w:hAnsi="Cambria" w:cs="Cambria" w:eastAsia="Cambria"/>
                <w:color w:val="1A1A1A"/>
                <w:sz w:val="18"/>
              </w:rPr>
              <w:t xml:space="preserve">Recupero ~50%; monitoraggio &gt; 98%; &gt; 1,3 mln/anno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olandese (POH-GGZ)</w:t>
            </w:r>
          </w:p>
        </w:tc>
        <w:tc>
          <w:tcPr>
            <w:shd w:val="clear" w:color="auto" w:fill="F4F1EC"/>
          </w:tcPr>
          <w:p>
            <w:pPr>
              <w:pStyle w:val="Compact"/>
              <w:spacing w:after="40" w:before="40"/>
              <w:jc w:val="left"/>
            </w:pPr>
            <w:r>
              <w:rPr>
                <w:rFonts w:ascii="Cambria" w:hAnsi="Cambria" w:cs="Cambria" w:eastAsia="Cambria"/>
                <w:color w:val="1A1A1A"/>
                <w:sz w:val="18"/>
              </w:rPr>
              <w:t xml:space="preserve">Integrato nelle cure primarie</w:t>
            </w:r>
          </w:p>
        </w:tc>
        <w:tc>
          <w:tcPr>
            <w:shd w:val="clear" w:color="auto" w:fill="F4F1EC"/>
          </w:tcPr>
          <w:p>
            <w:pPr>
              <w:pStyle w:val="Compact"/>
              <w:spacing w:after="40" w:before="40"/>
              <w:jc w:val="left"/>
            </w:pPr>
            <w:r>
              <w:rPr>
                <w:rFonts w:ascii="Cambria" w:hAnsi="Cambria" w:cs="Cambria" w:eastAsia="Cambria"/>
                <w:color w:val="1A1A1A"/>
                <w:sz w:val="18"/>
              </w:rPr>
              <w:t xml:space="preserve">Adozione ~3/4 dei medici; ruolo complementare</w:t>
            </w:r>
          </w:p>
        </w:tc>
      </w:tr>
      <w:tr>
        <w:tc>
          <w:tcPr/>
          <w:p>
            <w:pPr>
              <w:pStyle w:val="Compact"/>
              <w:spacing w:after="40" w:before="40"/>
              <w:jc w:val="left"/>
            </w:pPr>
            <w:r>
              <w:rPr>
                <w:rFonts w:ascii="Cambria" w:hAnsi="Cambria" w:cs="Cambria" w:eastAsia="Cambria"/>
                <w:b/>
                <w:bCs/>
                <w:color w:val="1A1A1A"/>
                <w:sz w:val="18"/>
              </w:rPr>
              <w:t xml:space="preserve">Iniziativa australiana (Better Access)</w:t>
            </w:r>
          </w:p>
        </w:tc>
        <w:tc>
          <w:tcPr/>
          <w:p>
            <w:pPr>
              <w:pStyle w:val="Compact"/>
              <w:spacing w:after="40" w:before="40"/>
              <w:jc w:val="left"/>
            </w:pPr>
            <w:r>
              <w:rPr>
                <w:rFonts w:ascii="Cambria" w:hAnsi="Cambria" w:cs="Cambria" w:eastAsia="Cambria"/>
                <w:color w:val="1A1A1A"/>
                <w:sz w:val="18"/>
              </w:rPr>
              <w:t xml:space="preserve">Invio esterno</w:t>
            </w:r>
          </w:p>
        </w:tc>
        <w:tc>
          <w:tcPr/>
          <w:p>
            <w:pPr>
              <w:pStyle w:val="Compact"/>
              <w:spacing w:after="40" w:before="40"/>
              <w:jc w:val="left"/>
            </w:pPr>
            <w:r>
              <w:rPr>
                <w:rFonts w:ascii="Cambria" w:hAnsi="Cambria" w:cs="Cambria" w:eastAsia="Cambria"/>
                <w:color w:val="1A1A1A"/>
                <w:sz w:val="18"/>
              </w:rPr>
              <w:t xml:space="preserve">Trattamento dal 35% al 46%; ampia soddisfazione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Cura collaborativa (Stati Uniti)</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r>
        <w:tc>
          <w:tcPr/>
          <w:p>
            <w:pPr>
              <w:pStyle w:val="Compact"/>
              <w:spacing w:after="40" w:before="40"/>
              <w:jc w:val="left"/>
            </w:pPr>
            <w:r>
              <w:rPr>
                <w:rFonts w:ascii="Cambria" w:hAnsi="Cambria" w:cs="Cambria" w:eastAsia="Cambria"/>
                <w:b/>
                <w:bCs/>
                <w:color w:val="1A1A1A"/>
                <w:sz w:val="18"/>
              </w:rPr>
              <w:t xml:space="preserve">Esperienze italiane</w:t>
            </w:r>
          </w:p>
        </w:tc>
        <w:tc>
          <w:tcPr/>
          <w:p>
            <w:pPr>
              <w:pStyle w:val="Compact"/>
              <w:spacing w:after="40" w:before="40"/>
              <w:jc w:val="left"/>
            </w:pPr>
            <w:r>
              <w:rPr>
                <w:rFonts w:ascii="Cambria" w:hAnsi="Cambria" w:cs="Cambria" w:eastAsia="Cambria"/>
                <w:color w:val="1A1A1A"/>
                <w:sz w:val="18"/>
              </w:rPr>
              <w:t xml:space="preserve">Sperimentazione locale</w:t>
            </w:r>
          </w:p>
        </w:tc>
        <w:tc>
          <w:tcPr/>
          <w:p>
            <w:pPr>
              <w:pStyle w:val="Compact"/>
              <w:spacing w:after="40" w:before="40"/>
              <w:jc w:val="left"/>
            </w:pPr>
            <w:r>
              <w:rPr>
                <w:rFonts w:ascii="Cambria" w:hAnsi="Cambria" w:cs="Cambria" w:eastAsia="Cambria"/>
                <w:color w:val="1A1A1A"/>
                <w:sz w:val="18"/>
              </w:rPr>
              <w:t xml:space="preserve">Anticipazione del modello nelle cure primarie</w:t>
            </w:r>
          </w:p>
        </w:tc>
      </w:tr>
    </w:tbl>
    <w:p>
      <w:pPr>
        <w:pStyle w:val="BodyText"/>
      </w:pPr>
      <w:r>
        <w:rPr>
          <w:i/>
          <w:iCs/>
        </w:rPr>
        <w:t xml:space="preserve">Tabella D.2. I benchmark internazionali e italiani sul piano clinico e organizzativo (il confronto economico è nella Parte E).</w:t>
      </w:r>
    </w:p>
    <w:bookmarkEnd w:id="2701"/>
    <w:bookmarkStart w:id="2706" w:name="X66835eae3c873f59b1648cb6279788a2562f92d"/>
    <w:p>
      <w:pPr>
        <w:pStyle w:val="Heading3"/>
      </w:pPr>
      <w:r>
        <w:t xml:space="preserve">D.4 La trasferibilità al contesto regionale</w:t>
      </w:r>
    </w:p>
    <w:p>
      <w:pPr>
        <w:pStyle w:val="FirstParagraph"/>
      </w:pPr>
      <w:r>
        <w:t xml:space="preserve">L’evidenza internazionale non si applica automaticamente all’Abruzzo, e la sua trasferibilità va valutata con prudenza, distinguendo ciò che è robustamente generalizzabile da ciò che dipende dal contesto. Sul piano dell’assetto, la trasferibilità è favorevole: il modello abruzzese, che integra lo psicologo nelle cure primarie con funzione di filtro, appartiene alla stessa famiglia dei programmi inglese, olandese e statunitense, e ne mutua le evidenze con maggiore pertinenza rispetto al modello australiano per invio esterno.</w:t>
      </w:r>
      <w:r>
        <w:rPr>
          <w:rStyle w:val="FootnoteReference"/>
        </w:rPr>
        <w:footnoteReference w:id="3022"/>
      </w:r>
      <w:r>
        <w:t xml:space="preserve"> </w:t>
      </w:r>
      <w:r>
        <w:t xml:space="preserve">Gli esiti clinici fondamentali — il recupero e la riduzione dei sintomi mediante interventi brevi e monitorati — poggiano su meccanismi clinici generali, non legati a un particolare sistema sanitario, e sono perciò ragionevolmente trasferibili.</w:t>
      </w:r>
    </w:p>
    <w:p>
      <w:pPr>
        <w:pStyle w:val="BodyText"/>
      </w:pPr>
      <w:r>
        <w:t xml:space="preserve">Permangono, tuttavia, differenze che impongono cautela. A differenza della Campania, che dispone già di un servizio operativo e dei propri dati di esito, l’Abruzzo ha istituito e regolato il servizio ma ne ha avviato solo in misura iniziale l’attuazione, sicché l’evidenza locale è per ora in larga parte prospettica, da costruire contestualmente all’attivazione; il sistema muove inoltre da una copertura di partenza dell’ordine del nucleo iniziale, da un territorio geograficamente disperso e da una rilevazione epidemiologica discontinua, mentre la disponibilità di organico psicologico formato è un vincolo reale dei primi anni.</w:t>
      </w:r>
      <w:r>
        <w:rPr>
          <w:rStyle w:val="FootnoteReference"/>
        </w:rPr>
        <w:footnoteReference w:id="3023"/>
      </w:r>
      <w:r>
        <w:t xml:space="preserve"> </w:t>
      </w:r>
      <w:r>
        <w:t xml:space="preserve">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quattro Aziende, oggetto della Parte L, è disegnato precisamente per misurare sui dati abruzzesi gli effetti che la letteratura attende, trasformando le stime in prove.</w:t>
      </w:r>
      <w:r>
        <w:rPr>
          <w:rStyle w:val="FootnoteReference"/>
        </w:rPr>
        <w:footnoteReference w:id="3024"/>
      </w:r>
    </w:p>
    <w:p>
      <w:pPr>
        <w:pStyle w:val="BodyText"/>
      </w:pPr>
      <w:r>
        <w:t xml:space="preserve">Una precisazione di metodo, infine, accompagna l’intero studio a garanzia della sua credibilità, e riguarda il confine con la parte economica. Alcune cifre di larga circolazione — il rapporto di quattro a uno, l’affermazione per cui un euro investito ne genererebbe dieci di risparmio, il rapporto di due e mezzo a uno talvolta richiamato in sede regionale — sono semplificazioni a fini divulgativi, prive di fondamento metodologico nella forma in cui circolano. Le stime metodologicamente fondate collocano il ritorno fra 2,3 e 3,0 a uno per i soli benefici economici e fra 3,3 e 5,7 a uno includendo i benefici di salute; coerentemente, lo studio adotta un rapporto beneficio-costo complessivo prudenziale, sviluppato nella Parte E, e mantiene rigorosamente distinti il risparmio diretto per il bilancio — qui particolarmente rilevante in ragione del piano di rientro — e le ricadute sociali, senza mai sommarli in un unico indice.</w:t>
      </w:r>
      <w:r>
        <w:rPr>
          <w:rStyle w:val="FootnoteReference"/>
        </w:rPr>
        <w:footnoteReference w:id="3025"/>
      </w:r>
      <w:r>
        <w:t xml:space="preserve"> </w:t>
      </w:r>
      <w:r>
        <w:t xml:space="preserve">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bookmarkEnd w:id="2706"/>
    <w:bookmarkEnd w:id="2707"/>
    <w:bookmarkStart w:id="2733" w:name="parte-e-valutazione-economica-5"/>
    <w:p>
      <w:pPr>
        <w:pStyle w:val="Heading2"/>
      </w:pPr>
      <w:r>
        <w:t xml:space="preserve">Parte E — Valutazione economica</w:t>
      </w:r>
    </w:p>
    <w:p>
      <w:pPr>
        <w:pStyle w:val="FirstParagraph"/>
      </w:pPr>
      <w:r>
        <w:t xml:space="preserve">Questa parte corrisponde al quinto dominio della valutazione di tecnologia sanitaria, i costi e la valutazione economica, ed è redatta secondo lo standard di reporting CHEERS 2022; fornisce il contenuto del caso economico e del caso finanziario del Five Case Model e risponde al criterio di efficienza.</w:t>
      </w:r>
      <w:r>
        <w:rPr>
          <w:rStyle w:val="FootnoteReference"/>
        </w:rPr>
        <w:footnoteReference w:id="3026"/>
      </w:r>
      <w:r>
        <w:t xml:space="preserve"> </w:t>
      </w:r>
      <w:r>
        <w:t xml:space="preserve">È il cuore economico dello studio, ed è anche la parte più esposta allo scrutinio degli organi di controllo — circostanza di particolare gravità per una regione posta sotto piano di rientro. Per questa ragione essa adotta una scelta di rigore che ne attraversa ogni capitolo: la distinzione netta tra il risparmio diretto per il bilancio sanitario e le ricadute economico-sociali per la collettività. Sommare le due grandezze, come spesso accade, sovrastima il beneficio per il bilancio; tenerle separate restituisce un quadro più sobrio sui conti sanitari, ma più solido e difendibile — qualità decisiva per una regione in disavanzo strutturale. I capitoli trattano nell’ordine i costi (E.1), gli esiti (E.2), il costo-efficacia (E.3), l’impatto sul bilancio (E.4), il ritorno sociale (E.5) e la sintesi nei due casi (E.6).</w:t>
      </w:r>
    </w:p>
    <w:bookmarkStart w:id="2712" w:name="X33e66f3536c20a9e2dba3d06594365f8dfed004"/>
    <w:p>
      <w:pPr>
        <w:pStyle w:val="Heading3"/>
      </w:pPr>
      <w:r>
        <w:t xml:space="preserve">E.1 L’identificazione e la misura dei costi</w:t>
      </w:r>
    </w:p>
    <w:p>
      <w:pPr>
        <w:pStyle w:val="FirstParagraph"/>
      </w:pPr>
      <w:r>
        <w:t xml:space="preserve">Il costo del servizio dipende dal numero di professionisti e dal modello contrattuale. Il costo medio annuo di un incarico convenzionale a tempo pieno è dell’ordine di 55.000 euro — circa 40 euro l’ora di costo-azienda comprensivo degli oneri, per circa 1.250 ore l’anno, più circa 5.000 euro di costi generali — ancorato all’accordo della specialistica ambulatoriale.</w:t>
      </w:r>
      <w:r>
        <w:rPr>
          <w:rStyle w:val="FootnoteReference"/>
        </w:rPr>
        <w:footnoteReference w:id="3027"/>
      </w:r>
      <w:r>
        <w:t xml:space="preserve"> </w:t>
      </w:r>
      <w:r>
        <w:t xml:space="preserve">Applicato agli scenari di copertura definiti nella Parte B, da circa 85 a circa 280 incarichi, il costo annuo del servizio va da circa 5 a circa 15 milioni di euro, fino a 18–23 milioni nell’ipotesi di costi pieni e massima copertura. Il costo non si esaurisce, tuttavia, nell’organico: l’investimento comprende anche la formazione, la supervisione clinica, la governance, i sistemi informativi e le infrastrutture, e questi costi non sanitari sono inclusi coerentemente con la doppia prospettiva adottata.</w:t>
      </w:r>
      <w:r>
        <w:rPr>
          <w:rStyle w:val="FootnoteReference"/>
        </w:rPr>
        <w:footnoteReference w:id="3028"/>
      </w:r>
      <w:r>
        <w:rPr>
          <w:rStyle w:val="FootnoteReference"/>
        </w:rPr>
        <w:footnoteReference w:id="3029"/>
      </w:r>
    </w:p>
    <w:tbl>
      <w:tblPr>
        <w:tblStyle w:val="Table"/>
        <w:tblW w:type="pct" w:w="491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504"/>
        <w:gridCol w:w="1682"/>
        <w:gridCol w:w="259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 (mln €)</w:t>
            </w:r>
          </w:p>
        </w:tc>
      </w:tr>
      <w:tr>
        <w:tc>
          <w:tcPr/>
          <w:p>
            <w:pPr>
              <w:pStyle w:val="Compact"/>
              <w:spacing w:after="40" w:before="40"/>
              <w:jc w:val="left"/>
            </w:pPr>
            <w:r>
              <w:rPr>
                <w:rFonts w:ascii="Cambria" w:hAnsi="Cambria" w:cs="Cambria" w:eastAsia="Cambria"/>
                <w:b/>
                <w:bCs/>
                <w:color w:val="1A1A1A"/>
                <w:sz w:val="18"/>
              </w:rPr>
              <w:t xml:space="preserve">Attuale (l.r. 28/2022, attuazione iniziale)</w:t>
            </w:r>
          </w:p>
        </w:tc>
        <w:tc>
          <w:tcPr/>
          <w:p>
            <w:pPr>
              <w:pStyle w:val="Compact"/>
              <w:spacing w:after="40" w:before="40"/>
              <w:jc w:val="left"/>
            </w:pPr>
            <w:r>
              <w:rPr>
                <w:rFonts w:ascii="Cambria" w:hAnsi="Cambria" w:cs="Cambria" w:eastAsia="Cambria"/>
                <w:color w:val="1A1A1A"/>
                <w:sz w:val="18"/>
              </w:rPr>
              <w:t xml:space="preserve">nucleo iniziale</w:t>
            </w:r>
          </w:p>
        </w:tc>
        <w:tc>
          <w:tcPr/>
          <w:p>
            <w:pPr>
              <w:pStyle w:val="Compact"/>
              <w:spacing w:after="40" w:before="40"/>
              <w:jc w:val="left"/>
            </w:pPr>
            <w:r>
              <w:rPr>
                <w:rFonts w:ascii="Cambria" w:hAnsi="Cambria" w:cs="Cambria" w:eastAsia="Cambria"/>
                <w:color w:val="1A1A1A"/>
                <w:sz w:val="18"/>
              </w:rPr>
              <w:t xml:space="preserve">~ 0,4 (finanziamento transitorio)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Conservativo</w:t>
            </w:r>
          </w:p>
        </w:tc>
        <w:tc>
          <w:tcPr>
            <w:shd w:val="clear" w:color="auto" w:fill="F4F1EC"/>
          </w:tcPr>
          <w:p>
            <w:pPr>
              <w:pStyle w:val="Compact"/>
              <w:spacing w:after="40" w:before="40"/>
              <w:jc w:val="left"/>
            </w:pPr>
            <w:r>
              <w:rPr>
                <w:rFonts w:ascii="Cambria" w:hAnsi="Cambria" w:cs="Cambria" w:eastAsia="Cambria"/>
                <w:color w:val="1A1A1A"/>
                <w:sz w:val="18"/>
              </w:rPr>
              <w:t xml:space="preserve">~ 85</w:t>
            </w:r>
          </w:p>
        </w:tc>
        <w:tc>
          <w:tcPr>
            <w:shd w:val="clear" w:color="auto" w:fill="F4F1EC"/>
          </w:tcPr>
          <w:p>
            <w:pPr>
              <w:pStyle w:val="Compact"/>
              <w:spacing w:after="40" w:before="40"/>
              <w:jc w:val="left"/>
            </w:pPr>
            <w:r>
              <w:rPr>
                <w:rFonts w:ascii="Cambria" w:hAnsi="Cambria" w:cs="Cambria" w:eastAsia="Cambria"/>
                <w:color w:val="1A1A1A"/>
                <w:sz w:val="18"/>
              </w:rPr>
              <w:t xml:space="preserve">~ 5</w:t>
            </w:r>
          </w:p>
        </w:tc>
      </w:tr>
      <w:tr>
        <w:tc>
          <w:tcPr/>
          <w:p>
            <w:pPr>
              <w:pStyle w:val="Compact"/>
              <w:spacing w:after="40" w:before="40"/>
              <w:jc w:val="left"/>
            </w:pPr>
            <w:r>
              <w:rPr>
                <w:rFonts w:ascii="Cambria" w:hAnsi="Cambria" w:cs="Cambria" w:eastAsia="Cambria"/>
                <w:b/>
                <w:bCs/>
                <w:color w:val="1A1A1A"/>
                <w:sz w:val="18"/>
              </w:rPr>
              <w:t xml:space="preserve">Base</w:t>
            </w:r>
          </w:p>
        </w:tc>
        <w:tc>
          <w:tcPr/>
          <w:p>
            <w:pPr>
              <w:pStyle w:val="Compact"/>
              <w:spacing w:after="40" w:before="40"/>
              <w:jc w:val="left"/>
            </w:pPr>
            <w:r>
              <w:rPr>
                <w:rFonts w:ascii="Cambria" w:hAnsi="Cambria" w:cs="Cambria" w:eastAsia="Cambria"/>
                <w:color w:val="1A1A1A"/>
                <w:sz w:val="18"/>
              </w:rPr>
              <w:t xml:space="preserve">~ 180</w:t>
            </w:r>
          </w:p>
        </w:tc>
        <w:tc>
          <w:tcPr/>
          <w:p>
            <w:pPr>
              <w:pStyle w:val="Compact"/>
              <w:spacing w:after="40" w:before="40"/>
              <w:jc w:val="left"/>
            </w:pPr>
            <w:r>
              <w:rPr>
                <w:rFonts w:ascii="Cambria" w:hAnsi="Cambria" w:cs="Cambria" w:eastAsia="Cambria"/>
                <w:color w:val="1A1A1A"/>
                <w:sz w:val="18"/>
              </w:rPr>
              <w:t xml:space="preserve">~ 10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Espansivo</w:t>
            </w:r>
          </w:p>
        </w:tc>
        <w:tc>
          <w:tcPr>
            <w:shd w:val="clear" w:color="auto" w:fill="F4F1EC"/>
          </w:tcPr>
          <w:p>
            <w:pPr>
              <w:pStyle w:val="Compact"/>
              <w:spacing w:after="40" w:before="40"/>
              <w:jc w:val="left"/>
            </w:pPr>
            <w:r>
              <w:rPr>
                <w:rFonts w:ascii="Cambria" w:hAnsi="Cambria" w:cs="Cambria" w:eastAsia="Cambria"/>
                <w:color w:val="1A1A1A"/>
                <w:sz w:val="18"/>
              </w:rPr>
              <w:t xml:space="preserve">~ 280</w:t>
            </w:r>
          </w:p>
        </w:tc>
        <w:tc>
          <w:tcPr>
            <w:shd w:val="clear" w:color="auto" w:fill="F4F1EC"/>
          </w:tcPr>
          <w:p>
            <w:pPr>
              <w:pStyle w:val="Compact"/>
              <w:spacing w:after="40" w:before="40"/>
              <w:jc w:val="left"/>
            </w:pPr>
            <w:r>
              <w:rPr>
                <w:rFonts w:ascii="Cambria" w:hAnsi="Cambria" w:cs="Cambria" w:eastAsia="Cambria"/>
                <w:color w:val="1A1A1A"/>
                <w:sz w:val="18"/>
              </w:rPr>
              <w:t xml:space="preserve">~ 15 (fino a 18–23 a costi pieni)</w:t>
            </w:r>
          </w:p>
        </w:tc>
      </w:tr>
    </w:tbl>
    <w:p>
      <w:pPr>
        <w:pStyle w:val="BodyText"/>
      </w:pPr>
      <w:r>
        <w:rPr>
          <w:i/>
          <w:iCs/>
        </w:rPr>
        <w:t xml:space="preserve">Tabella E.1. Il costo del servizio per scenario di copertura. Lo scenario conservativo corrisponde al rapporto di legge di uno psicologo ogni quindicimila abitanti.</w:t>
      </w:r>
    </w:p>
    <w:bookmarkEnd w:id="2712"/>
    <w:bookmarkStart w:id="2714" w:name="X4ff362026dacf44f21c916017934aac3a54fa31"/>
    <w:p>
      <w:pPr>
        <w:pStyle w:val="Heading3"/>
      </w:pPr>
      <w:r>
        <w:t xml:space="preserve">E.2 L’identificazione e la misura degli esiti</w:t>
      </w:r>
    </w:p>
    <w:p>
      <w:pPr>
        <w:pStyle w:val="FirstParagraph"/>
      </w:pPr>
      <w:r>
        <w:t xml:space="preserve">Gli esiti della valutazione economica sono di due ordini. Sul piano della salute, la misura di riferimento è l’anno di vita ponderato per la qualità, che integra in un’unica grandezza la durata e la qualità della vita guadagnate, affiancato dagli esiti clinici validati — il tasso di recupero e il miglioramento affidabile misurati con il PHQ-9 e il GAD-7 — già documentati nella Parte D.</w:t>
      </w:r>
      <w:r>
        <w:rPr>
          <w:rStyle w:val="FootnoteReference"/>
        </w:rPr>
        <w:footnoteReference w:id="3030"/>
      </w:r>
      <w:r>
        <w:t xml:space="preserve"> </w:t>
      </w:r>
      <w:r>
        <w:t xml:space="preserve">Tali esiti sono riferiti alla popolazione regionale con disagio comune, dell’ordine di 254.000 persone: è la scala della popolazione a trasformare un effetto clinico individuale anche contenuto in un guadagno di salute aggregato rilevante, secondo la logica già illustrata a proposito della lettura degli effetti.</w:t>
      </w:r>
    </w:p>
    <w:p>
      <w:pPr>
        <w:pStyle w:val="BodyText"/>
      </w:pPr>
      <w:r>
        <w:t xml:space="preserve">Sul piano economico, gli esiti si distinguono nelle due grandezze che l’intera parte tiene separate: i minori costi diretti per il Servizio sanitario regionale, oggetto del capitolo sull’impatto di bilancio, e le ricadute economico-sociali, oggetto del capitolo sul ritorno sociale. La misura degli esiti, dunque, non si limita al guadagno di salute, ma comprende le conseguenze economiche che da quel guadagno discendono, distinte per il soggetto che le riceve — il bilancio sanitario, da un lato, e la collettività, dall’altro.</w:t>
      </w:r>
    </w:p>
    <w:bookmarkEnd w:id="2714"/>
    <w:bookmarkStart w:id="2716" w:name="X6ba4efc3f7ef1d1ff8475218521a3d4e6083cb1"/>
    <w:p>
      <w:pPr>
        <w:pStyle w:val="Heading3"/>
      </w:pPr>
      <w:r>
        <w:t xml:space="preserve">E.3 Il costo-efficacia e il costo-utilità</w:t>
      </w:r>
    </w:p>
    <w:p>
      <w:pPr>
        <w:pStyle w:val="FirstParagraph"/>
      </w:pPr>
      <w:r>
        <w:t xml:space="preserve">L’analisi di costo-utilità rapporta il costo aggiuntivo del servizio al guadagno in anni di vita ponderati per la qualità, secondo il rapporto incrementale di costo-efficacia, e lo confronta con una soglia di disponibilità a pagare, come prescrive il manuale del NICE.</w:t>
      </w:r>
      <w:r>
        <w:rPr>
          <w:rStyle w:val="FootnoteReference"/>
        </w:rPr>
        <w:footnoteReference w:id="3031"/>
      </w:r>
      <w:r>
        <w:t xml:space="preserve"> </w:t>
      </w:r>
      <w:r>
        <w:t xml:space="preserve">L’evidenza internazionale, ripresa dalla Parte D, indica che i modelli di integrazione della salute mentale nelle cure primarie sono costo-efficaci, con un investimento iniziale ampiamente compensato dai miglioramenti clinici e dalla minore intensità di cura nel medio periodo. Per l’Abruzzo, il rapporto incrementale specifico sarà calcolato sui dati certificati una volta acquisiti; in questa fase, la valutazione poggia sulla solidità dell’evidenza internazionale e sulla convergenza dei canali di risparmio diretto, trattati nel capitolo seguente.</w:t>
      </w:r>
    </w:p>
    <w:p>
      <w:pPr>
        <w:pStyle w:val="BodyText"/>
      </w:pPr>
      <w:r>
        <w:t xml:space="preserve">È opportuno chiarire il rapporto tra l’analisi di costo-utilità e l’analisi di impatto sul bilancio, che rispondono a domande diverse e adottano convenzioni diverse. La prima misura l’efficienza allocativa — se il guadagno di salute valga il suo costo — e attualizza simmetricamente costi ed esiti al tasso del 3%; la seconda misura la sostenibilità finanziaria — se il bilancio possa assorbire la spesa, esercizio per esercizio — e opera su flussi non scontati. La loro distinzione, lungi dall’essere un tecnicismo, riflette la stessa separazione tra valore ed entità della spesa che struttura l’intera parte, e che il capitolo conclusivo ricompone nei due casi del Five Case Model.</w:t>
      </w:r>
    </w:p>
    <w:bookmarkEnd w:id="2716"/>
    <w:bookmarkStart w:id="2724" w:name="e.4-limpatto-sul-bilancio-6"/>
    <w:p>
      <w:pPr>
        <w:pStyle w:val="Heading3"/>
      </w:pPr>
      <w:r>
        <w:t xml:space="preserve">E.4 L’impatto sul bilancio</w:t>
      </w:r>
    </w:p>
    <w:p>
      <w:pPr>
        <w:pStyle w:val="FirstParagraph"/>
      </w:pPr>
      <w:r>
        <w:t xml:space="preserve">L’analisi di impatto sul bilancio adotta la prospettiva del detentore del budget — il Servizio sanitario regionale — e stima, sui flussi non scontati, la differenza tra lo scenario con e senza il servizio, anno per anno, individuando il punto di pareggio finanziario, atteso tra il terzo e il quinto anno.</w:t>
      </w:r>
      <w:r>
        <w:rPr>
          <w:rStyle w:val="FootnoteReference"/>
        </w:rPr>
        <w:footnoteReference w:id="3032"/>
      </w:r>
      <w:r>
        <w:t xml:space="preserve"> </w:t>
      </w:r>
      <w:r>
        <w:t xml:space="preserve">I risparmi diretti per il bilancio sono ricostruiti per canale, ciascuno ancorato a una grandezza regionale e a un parametro tratto dall’evidenza. Il canale del pronto soccorso muove dagli accessi inappropriati, dei quali una quota di origine psichica e somatoforme è riducibile, per un risparmio dell’ordine di 1–2 milioni;</w:t>
      </w:r>
      <w:r>
        <w:rPr>
          <w:rStyle w:val="FootnoteReference"/>
        </w:rPr>
        <w:footnoteReference w:id="3033"/>
      </w:r>
      <w:r>
        <w:t xml:space="preserve"> </w:t>
      </w:r>
      <w:r>
        <w:t xml:space="preserve">il canale della farmaceutica agisce sui margini di appropriatezza segnalati dal consumo di psicofarmaci e dalla bassa aderenza terapeutica, per 1–2 milioni;</w:t>
      </w:r>
      <w:r>
        <w:rPr>
          <w:rStyle w:val="FootnoteReference"/>
        </w:rPr>
        <w:footnoteReference w:id="3034"/>
      </w:r>
      <w:r>
        <w:t xml:space="preserve"> </w:t>
      </w:r>
      <w:r>
        <w:t xml:space="preserve">il canale dei ricoveri e della specialistica muove dall’iper-utilizzo associato ai sintomi somatici funzionali e dai ricoveri evitabili, ed è il più rilevante, per 1–8 milioni secondo lo scenario;</w:t>
      </w:r>
      <w:r>
        <w:rPr>
          <w:rStyle w:val="FootnoteReference"/>
        </w:rPr>
        <w:footnoteReference w:id="3035"/>
      </w:r>
      <w:r>
        <w:t xml:space="preserve"> </w:t>
      </w:r>
      <w:r>
        <w:t xml:space="preserve">il canale della mobilità recuperata, infine, trattiene sul territorio una quota della domanda oggi in fuga, per 1–3 milioni: è qui un canale modesto, poiché la mobilità passiva abruzzese si concentra sull’alta complessità ospedaliera e chirurgica più che sulla domanda psicologica delle cure primarie.</w:t>
      </w:r>
      <w:r>
        <w:rPr>
          <w:rStyle w:val="FootnoteReference"/>
        </w:rPr>
        <w:footnoteReference w:id="3036"/>
      </w:r>
    </w:p>
    <w:p>
      <w:pPr>
        <w:pStyle w:val="BodyText"/>
      </w:pPr>
      <w:r>
        <w:t xml:space="preserve">Aggregati i canali, i risparmi diretti per il Servizio sanitario regionale sono dell’ordine di 4, 9 e 15 milioni di euro l’anno secondo lo scenario, a fronte di un costo del servizio di 5, 10 e 15 milioni. Ne discende il dato più importante e più onesto dell’intera valutazione: sul solo bilancio sanitario, il saldo diretto è prossimo al pareggio — da un lieve disavanzo nei primi anni al pareggio a regime — e non un ampio risparmio.</w:t>
      </w:r>
      <w:r>
        <w:rPr>
          <w:rStyle w:val="FootnoteReference"/>
        </w:rPr>
        <w:footnoteReference w:id="3037"/>
      </w:r>
      <w:r>
        <w:t xml:space="preserve"> </w:t>
      </w:r>
      <w:r>
        <w:t xml:space="preserve">Questo non indebolisce la proposta, e per l’Abruzzo la corrobora in misura peculiare. Da un lato, il costo del servizio, a fronte di un finanziamento regionale dell’ordine di 2,5 miliardi di euro, ne costituisce una frazione modesta — inferiore all’uno per cento anche a regime — sicché la questione non è la sostenibilità della spesa, ma il suo dimensionamento. Dall’altro, in una regione in piano di rientro, un servizio che si autofinanzia quasi integralmente sul bilancio diretto e che adempie all’obbligo di garantire i livelli essenziali intercettando un bisogno largamente inevaso ha un valore superiore alla media, poiché ogni euro di consumo improprio evitato concorre direttamente agli obiettivi del piano, e la Corte costituzionale impone alle regioni in rientro di giustificare ogni impiego proprio con quella garanzia.</w:t>
      </w:r>
      <w:r>
        <w:rPr>
          <w:rStyle w:val="FootnoteReference"/>
        </w:rPr>
        <w:footnoteReference w:id="3038"/>
      </w:r>
      <w:r>
        <w:t xml:space="preserve"> </w:t>
      </w:r>
      <w:r>
        <w:t xml:space="preserve">La tabella seguente riporta i canali e il saldo diretto per scenario.</w:t>
      </w:r>
    </w:p>
    <w:tbl>
      <w:tblPr>
        <w:tblStyle w:val="Table"/>
        <w:tblW w:type="pct" w:w="488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80"/>
        <w:gridCol w:w="1620"/>
        <w:gridCol w:w="1620"/>
        <w:gridCol w:w="162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Farmaceutica</w:t>
            </w:r>
          </w:p>
        </w:tc>
        <w:tc>
          <w:tcPr>
            <w:shd w:val="clear" w:color="auto" w:fill="F4F1EC"/>
          </w:tcPr>
          <w:p>
            <w:pPr>
              <w:pStyle w:val="Compact"/>
              <w:spacing w:after="40" w:before="40"/>
              <w:jc w:val="left"/>
            </w:pPr>
            <w:r>
              <w:rPr>
                <w:rFonts w:ascii="Cambria" w:hAnsi="Cambria" w:cs="Cambria" w:eastAsia="Cambria"/>
                <w:color w:val="1A1A1A"/>
                <w:sz w:val="18"/>
              </w:rPr>
              <w:t xml:space="preserve">1</w:t>
            </w:r>
          </w:p>
        </w:tc>
        <w:tc>
          <w:tcPr>
            <w:shd w:val="clear" w:color="auto" w:fill="F4F1EC"/>
          </w:tcPr>
          <w:p>
            <w:pPr>
              <w:pStyle w:val="Compact"/>
              <w:spacing w:after="40" w:before="40"/>
              <w:jc w:val="left"/>
            </w:pPr>
            <w:r>
              <w:rPr>
                <w:rFonts w:ascii="Cambria" w:hAnsi="Cambria" w:cs="Cambria" w:eastAsia="Cambria"/>
                <w:color w:val="1A1A1A"/>
                <w:sz w:val="18"/>
              </w:rPr>
              <w:t xml:space="preserve">2</w:t>
            </w:r>
          </w:p>
        </w:tc>
        <w:tc>
          <w:tcPr>
            <w:shd w:val="clear" w:color="auto" w:fill="F4F1EC"/>
          </w:tcPr>
          <w:p>
            <w:pPr>
              <w:pStyle w:val="Compact"/>
              <w:spacing w:after="40" w:before="40"/>
              <w:jc w:val="left"/>
            </w:pPr>
            <w:r>
              <w:rPr>
                <w:rFonts w:ascii="Cambria" w:hAnsi="Cambria" w:cs="Cambria" w:eastAsia="Cambria"/>
                <w:color w:val="1A1A1A"/>
                <w:sz w:val="18"/>
              </w:rPr>
              <w:t xml:space="preserve">2</w:t>
            </w:r>
          </w:p>
        </w:tc>
      </w:tr>
      <w:tr>
        <w:tc>
          <w:tcPr/>
          <w:p>
            <w:pPr>
              <w:pStyle w:val="Compact"/>
              <w:spacing w:after="40" w:before="40"/>
              <w:jc w:val="left"/>
            </w:pPr>
            <w:r>
              <w:rPr>
                <w:rFonts w:ascii="Cambria" w:hAnsi="Cambria" w:cs="Cambria" w:eastAsia="Cambria"/>
                <w:b/>
                <w:bCs/>
                <w:color w:val="1A1A1A"/>
                <w:sz w:val="18"/>
              </w:rPr>
              <w:t xml:space="preserve">Ricoveri e specialistica</w:t>
            </w:r>
          </w:p>
        </w:tc>
        <w:tc>
          <w:tcPr/>
          <w:p>
            <w:pPr>
              <w:pStyle w:val="Compact"/>
              <w:spacing w:after="40" w:before="40"/>
              <w:jc w:val="left"/>
            </w:pPr>
            <w:r>
              <w:rPr>
                <w:rFonts w:ascii="Cambria" w:hAnsi="Cambria" w:cs="Cambria" w:eastAsia="Cambria"/>
                <w:color w:val="1A1A1A"/>
                <w:sz w:val="18"/>
              </w:rPr>
              <w:t xml:space="preserve">1</w:t>
            </w:r>
          </w:p>
        </w:tc>
        <w:tc>
          <w:tcPr/>
          <w:p>
            <w:pPr>
              <w:pStyle w:val="Compact"/>
              <w:spacing w:after="40" w:before="40"/>
              <w:jc w:val="left"/>
            </w:pPr>
            <w:r>
              <w:rPr>
                <w:rFonts w:ascii="Cambria" w:hAnsi="Cambria" w:cs="Cambria" w:eastAsia="Cambria"/>
                <w:color w:val="1A1A1A"/>
                <w:sz w:val="18"/>
              </w:rPr>
              <w:t xml:space="preserve">4</w:t>
            </w:r>
          </w:p>
        </w:tc>
        <w:tc>
          <w:tcPr/>
          <w:p>
            <w:pPr>
              <w:pStyle w:val="Compact"/>
              <w:spacing w:after="40" w:before="40"/>
              <w:jc w:val="left"/>
            </w:pPr>
            <w:r>
              <w:rPr>
                <w:rFonts w:ascii="Cambria" w:hAnsi="Cambria" w:cs="Cambria" w:eastAsia="Cambria"/>
                <w:color w:val="1A1A1A"/>
                <w:sz w:val="18"/>
              </w:rPr>
              <w:t xml:space="preserve">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recuperata</w:t>
            </w:r>
          </w:p>
        </w:tc>
        <w:tc>
          <w:tcPr>
            <w:shd w:val="clear" w:color="auto" w:fill="F4F1EC"/>
          </w:tcPr>
          <w:p>
            <w:pPr>
              <w:pStyle w:val="Compact"/>
              <w:spacing w:after="40" w:before="40"/>
              <w:jc w:val="left"/>
            </w:pPr>
            <w:r>
              <w:rPr>
                <w:rFonts w:ascii="Cambria" w:hAnsi="Cambria" w:cs="Cambria" w:eastAsia="Cambria"/>
                <w:color w:val="1A1A1A"/>
                <w:sz w:val="18"/>
              </w:rPr>
              <w:t xml:space="preserve">1</w:t>
            </w:r>
          </w:p>
        </w:tc>
        <w:tc>
          <w:tcPr>
            <w:shd w:val="clear" w:color="auto" w:fill="F4F1EC"/>
          </w:tcPr>
          <w:p>
            <w:pPr>
              <w:pStyle w:val="Compact"/>
              <w:spacing w:after="40" w:before="40"/>
              <w:jc w:val="left"/>
            </w:pPr>
            <w:r>
              <w:rPr>
                <w:rFonts w:ascii="Cambria" w:hAnsi="Cambria" w:cs="Cambria" w:eastAsia="Cambria"/>
                <w:color w:val="1A1A1A"/>
                <w:sz w:val="18"/>
              </w:rPr>
              <w:t xml:space="preserve">2</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r>
      <w:tr>
        <w:tc>
          <w:tcPr/>
          <w:p>
            <w:pPr>
              <w:pStyle w:val="Compact"/>
              <w:spacing w:after="40" w:before="40"/>
              <w:jc w:val="left"/>
            </w:pPr>
            <w:r>
              <w:rPr>
                <w:rFonts w:ascii="Cambria" w:hAnsi="Cambria" w:cs="Cambria" w:eastAsia="Cambria"/>
                <w:b/>
                <w:bCs/>
                <w:color w:val="1A1A1A"/>
                <w:sz w:val="18"/>
              </w:rPr>
              <w:t xml:space="preserve">Risparmi diretti (totale)</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9</w:t>
            </w:r>
          </w:p>
        </w:tc>
        <w:tc>
          <w:tcPr/>
          <w:p>
            <w:pPr>
              <w:pStyle w:val="Compact"/>
              <w:spacing w:after="40" w:before="40"/>
              <w:jc w:val="left"/>
            </w:pPr>
            <w:r>
              <w:rPr>
                <w:rFonts w:ascii="Cambria" w:hAnsi="Cambria" w:cs="Cambria" w:eastAsia="Cambria"/>
                <w:color w:val="1A1A1A"/>
                <w:sz w:val="18"/>
              </w:rPr>
              <w:t xml:space="preserve">~ 15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5</w:t>
            </w:r>
          </w:p>
        </w:tc>
        <w:tc>
          <w:tcPr>
            <w:shd w:val="clear" w:color="auto" w:fill="F4F1EC"/>
          </w:tcPr>
          <w:p>
            <w:pPr>
              <w:pStyle w:val="Compact"/>
              <w:spacing w:after="40" w:before="40"/>
              <w:jc w:val="left"/>
            </w:pPr>
            <w:r>
              <w:rPr>
                <w:rFonts w:ascii="Cambria" w:hAnsi="Cambria" w:cs="Cambria" w:eastAsia="Cambria"/>
                <w:color w:val="1A1A1A"/>
                <w:sz w:val="18"/>
              </w:rPr>
              <w:t xml:space="preserve">~ 10</w:t>
            </w:r>
          </w:p>
        </w:tc>
        <w:tc>
          <w:tcPr>
            <w:shd w:val="clear" w:color="auto" w:fill="F4F1EC"/>
          </w:tcPr>
          <w:p>
            <w:pPr>
              <w:pStyle w:val="Compact"/>
              <w:spacing w:after="40" w:before="40"/>
              <w:jc w:val="left"/>
            </w:pPr>
            <w:r>
              <w:rPr>
                <w:rFonts w:ascii="Cambria" w:hAnsi="Cambria" w:cs="Cambria" w:eastAsia="Cambria"/>
                <w:color w:val="1A1A1A"/>
                <w:sz w:val="18"/>
              </w:rPr>
              <w:t xml:space="preserve">~ 15</w:t>
            </w:r>
          </w:p>
        </w:tc>
      </w:tr>
      <w:tr>
        <w:tc>
          <w:tcPr/>
          <w:p>
            <w:pPr>
              <w:pStyle w:val="Compact"/>
              <w:spacing w:after="40" w:before="40"/>
              <w:jc w:val="left"/>
            </w:pPr>
            <w:r>
              <w:rPr>
                <w:rFonts w:ascii="Cambria" w:hAnsi="Cambria" w:cs="Cambria" w:eastAsia="Cambria"/>
                <w:b/>
                <w:bCs/>
                <w:color w:val="1A1A1A"/>
                <w:sz w:val="18"/>
              </w:rPr>
              <w:t xml:space="preserve">Saldo diretto (solo SSR)</w:t>
            </w:r>
          </w:p>
        </w:tc>
        <w:tc>
          <w:tcPr/>
          <w:p>
            <w:pPr>
              <w:pStyle w:val="Compact"/>
              <w:spacing w:after="40" w:before="40"/>
              <w:jc w:val="left"/>
            </w:pPr>
            <w:r>
              <w:rPr>
                <w:rFonts w:ascii="Cambria" w:hAnsi="Cambria" w:cs="Cambria" w:eastAsia="Cambria"/>
                <w:color w:val="1A1A1A"/>
                <w:sz w:val="18"/>
              </w:rPr>
              <w:t xml:space="preserve">~ −1</w:t>
            </w:r>
          </w:p>
        </w:tc>
        <w:tc>
          <w:tcPr/>
          <w:p>
            <w:pPr>
              <w:pStyle w:val="Compact"/>
              <w:spacing w:after="40" w:before="40"/>
              <w:jc w:val="left"/>
            </w:pPr>
            <w:r>
              <w:rPr>
                <w:rFonts w:ascii="Cambria" w:hAnsi="Cambria" w:cs="Cambria" w:eastAsia="Cambria"/>
                <w:color w:val="1A1A1A"/>
                <w:sz w:val="18"/>
              </w:rPr>
              <w:t xml:space="preserve">~ −1</w:t>
            </w:r>
          </w:p>
        </w:tc>
        <w:tc>
          <w:tcPr/>
          <w:p>
            <w:pPr>
              <w:pStyle w:val="Compact"/>
              <w:spacing w:after="40" w:before="40"/>
              <w:jc w:val="left"/>
            </w:pPr>
            <w:r>
              <w:rPr>
                <w:rFonts w:ascii="Cambria" w:hAnsi="Cambria" w:cs="Cambria" w:eastAsia="Cambria"/>
                <w:color w:val="1A1A1A"/>
                <w:sz w:val="18"/>
              </w:rPr>
              <w:t xml:space="preserve">~ 0</w:t>
            </w:r>
          </w:p>
        </w:tc>
      </w:tr>
    </w:tbl>
    <w:p>
      <w:pPr>
        <w:pStyle w:val="BodyText"/>
      </w:pPr>
      <w:r>
        <w:rPr>
          <w:i/>
          <w:iCs/>
        </w:rPr>
        <w:t xml:space="preserve">Tabella E.2. I risparmi diretti per canale e il saldo diretto sul bilancio sanitario, per scenario. Il saldo diretto è prossimo al pareggio.</w:t>
      </w:r>
    </w:p>
    <w:bookmarkEnd w:id="2724"/>
    <w:bookmarkStart w:id="2728" w:name="e.5-il-ritorno-sociale-6"/>
    <w:p>
      <w:pPr>
        <w:pStyle w:val="Heading3"/>
      </w:pPr>
      <w:r>
        <w:t xml:space="preserve">E.5 Il ritorno sociale</w:t>
      </w:r>
    </w:p>
    <w:p>
      <w:pPr>
        <w:pStyle w:val="FirstParagraph"/>
      </w:pPr>
      <w:r>
        <w:t xml:space="preserve">Il valore che il servizio genera non si esaurisce nel bilancio sanitario. L’analisi del ritorno sociale, condotta con il metodo SROI — fondato sui sette principi del valore sociale, su una mappa dell’impatto e sulle correzioni per peso morto, attribuzione, spostamento e decadimento — monetizza il valore sociale generato, distinguendolo con cura dai risparmi di bilancio.</w:t>
      </w:r>
      <w:r>
        <w:rPr>
          <w:rStyle w:val="FootnoteReference"/>
        </w:rPr>
        <w:footnoteReference w:id="3039"/>
      </w:r>
      <w:r>
        <w:t xml:space="preserve"> </w:t>
      </w:r>
      <w:r>
        <w:t xml:space="preserve">Le ricadute economico-sociali comprendono la riduzione dell’assenteismo, il recupero di produttività e di funzionamento, la diminuzione delle nuove invalidità e dei pensionamenti anticipati, e il minor carico assistenziale sulle famiglie — quest’ultimo di particolare peso in una regione anziana e con estese aree interne, dove la rete familiare supplisce all’assenza dei servizi. Riferite alle 254.000 persone con disagio comune e commisurate alla copertura di ciascuno scenario, esse sono stimate in 13, 33 e 62 milioni di euro l’anno.</w:t>
      </w:r>
      <w:r>
        <w:rPr>
          <w:rStyle w:val="FootnoteReference"/>
        </w:rPr>
        <w:footnoteReference w:id="3040"/>
      </w:r>
    </w:p>
    <w:p>
      <w:pPr>
        <w:pStyle w:val="BodyText"/>
      </w:pPr>
      <w:r>
        <w:t xml:space="preserve">Questa è la componente di gran lunga maggiore del valore complessivo, ed è anche quella su cui converge l’evidenza economica internazionale. Secondo l’Organizzazione mondiale della sanità e gli studi pubblicati su Lancet Psychiatry, il ritorno del trattamento di depressione e ansia — collocato dalle stime metodologicamente fondate fra 2,3 e 3,0 a uno per i soli benefici economici e fra 3,3 e 5,7 a uno includendo i benefici di salute — è costituito in quota dominante dalla produttività e dal funzionamento recuperati, più che dal risparmio diretto sui servizi sanitari.</w:t>
      </w:r>
      <w:r>
        <w:rPr>
          <w:rStyle w:val="FootnoteReference"/>
        </w:rPr>
        <w:footnoteReference w:id="3041"/>
      </w:r>
      <w:r>
        <w:t xml:space="preserve"> </w:t>
      </w:r>
      <w:r>
        <w:t xml:space="preserve">È una conclusione di particolare rilievo per la corretta lettura del valore dell’intervento: il beneficio per la collettività è reale e ampio, ma si manifesta in larga parte fuori dal bilancio sanitario, sotto forma di maggiore partecipazione al lavoro, minore disabilità e migliore qualità della vita. Confondere questa grandezza con un risparmio per il bilancio sarebbe un errore; ignorarla, un errore opposto e altrettanto grave.</w:t>
      </w:r>
    </w:p>
    <w:bookmarkEnd w:id="2728"/>
    <w:bookmarkStart w:id="2732" w:name="Xf6e18e8b2e05442d7e01e0cb8dc115cfde96997"/>
    <w:p>
      <w:pPr>
        <w:pStyle w:val="Heading3"/>
      </w:pPr>
      <w:r>
        <w:t xml:space="preserve">E.6 Il caso economico e il caso finanziario</w:t>
      </w:r>
    </w:p>
    <w:p>
      <w:pPr>
        <w:pStyle w:val="FirstParagraph"/>
      </w:pPr>
      <w:r>
        <w:t xml:space="preserve">La sintesi economica ricompone le grandezze tenute distinte nei due casi che il Five Case Model prescrive di non confondere. Il caso economico misura il valore per la collettività: sommando i risparmi diretti e le ricadute sociali, il ritorno complessivo è di 17, 42 e 77 milioni di euro l’anno secondo lo scenario, e il saldo complessivo, al netto del costo, è di circa +12, +32 e +62 milioni, con un rapporto beneficio-costo dell’ordine di 3,4, 4,2 e 5,1 a uno — valori coerenti con le stime internazionali fondate, comprese fra 3,3 e 5,7 a uno includendo i benefici di salute.</w:t>
      </w:r>
      <w:r>
        <w:rPr>
          <w:rStyle w:val="FootnoteReference"/>
        </w:rPr>
        <w:footnoteReference w:id="3042"/>
      </w:r>
      <w:r>
        <w:t xml:space="preserve"> </w:t>
      </w:r>
      <w:r>
        <w:t xml:space="preserve">Il caso finanziario misura invece la sostenibilità per il bilancio sanitario: qui il saldo diretto è prossimo al pareggio, e ciò che rileva non è un risparmio netto, ma il fatto che il servizio costa al bilancio una frazione modesta del finanziamento, ampiamente coperta dai risparmi diretti che esso stesso genera, e che — in regime di rientro — concorre agli obiettivi del piano e alla garanzia dei livelli essenziali.</w:t>
      </w:r>
    </w:p>
    <w:p>
      <w:pPr>
        <w:pStyle w:val="BodyText"/>
      </w:pPr>
      <w:r>
        <w:t xml:space="preserve">Tenere distinti i due casi è la scelta di rigore che fonda la credibilità dell’intera valutazione.</w:t>
      </w:r>
      <w:r>
        <w:rPr>
          <w:rStyle w:val="FootnoteReference"/>
        </w:rPr>
        <w:footnoteReference w:id="3043"/>
      </w:r>
      <w:r>
        <w:t xml:space="preserve"> </w:t>
      </w:r>
      <w:r>
        <w:t xml:space="preserve">La proposta non si regge sull’affermazione — facile ma fragile — che il servizio faccia risparmiare molto al bilancio sanitario; si regge su tre affermazioni più solide e congiunte: che il servizio costa al bilancio una cifra modesta e quasi interamente compensata; che restituisce alla collettività un valore dell’ordine di tre-cinque euro per ogni euro speso; e che adempie all’obbligo di garantire i livelli essenziali intercettando un bisogno largamente inevaso, in una regione il cui punteggio sui livelli essenziali è inferiore alla soglia di sufficienza. È una tesi più difendibile di fronte alla Ragioneria e alla Corte dei Conti, perché non chiede di credere a un risparmio improbabile, ma di riconoscere un valore documentato a fronte di un costo sostenibile.</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9</w:t>
            </w:r>
          </w:p>
        </w:tc>
        <w:tc>
          <w:tcPr/>
          <w:p>
            <w:pPr>
              <w:pStyle w:val="Compact"/>
              <w:spacing w:after="40" w:before="40"/>
              <w:jc w:val="left"/>
            </w:pPr>
            <w:r>
              <w:rPr>
                <w:rFonts w:ascii="Cambria" w:hAnsi="Cambria" w:cs="Cambria" w:eastAsia="Cambria"/>
                <w:color w:val="1A1A1A"/>
                <w:sz w:val="18"/>
              </w:rPr>
              <w:t xml:space="preserve">~ 15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13</w:t>
            </w:r>
          </w:p>
        </w:tc>
        <w:tc>
          <w:tcPr>
            <w:shd w:val="clear" w:color="auto" w:fill="F4F1EC"/>
          </w:tcPr>
          <w:p>
            <w:pPr>
              <w:pStyle w:val="Compact"/>
              <w:spacing w:after="40" w:before="40"/>
              <w:jc w:val="left"/>
            </w:pPr>
            <w:r>
              <w:rPr>
                <w:rFonts w:ascii="Cambria" w:hAnsi="Cambria" w:cs="Cambria" w:eastAsia="Cambria"/>
                <w:color w:val="1A1A1A"/>
                <w:sz w:val="18"/>
              </w:rPr>
              <w:t xml:space="preserve">~ 33</w:t>
            </w:r>
          </w:p>
        </w:tc>
        <w:tc>
          <w:tcPr>
            <w:shd w:val="clear" w:color="auto" w:fill="F4F1EC"/>
          </w:tcPr>
          <w:p>
            <w:pPr>
              <w:pStyle w:val="Compact"/>
              <w:spacing w:after="40" w:before="40"/>
              <w:jc w:val="left"/>
            </w:pPr>
            <w:r>
              <w:rPr>
                <w:rFonts w:ascii="Cambria" w:hAnsi="Cambria" w:cs="Cambria" w:eastAsia="Cambria"/>
                <w:color w:val="1A1A1A"/>
                <w:sz w:val="18"/>
              </w:rPr>
              <w:t xml:space="preserve">~ 62</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5</w:t>
            </w:r>
          </w:p>
        </w:tc>
        <w:tc>
          <w:tcPr/>
          <w:p>
            <w:pPr>
              <w:pStyle w:val="Compact"/>
              <w:spacing w:after="40" w:before="40"/>
              <w:jc w:val="left"/>
            </w:pPr>
            <w:r>
              <w:rPr>
                <w:rFonts w:ascii="Cambria" w:hAnsi="Cambria" w:cs="Cambria" w:eastAsia="Cambria"/>
                <w:color w:val="1A1A1A"/>
                <w:sz w:val="18"/>
              </w:rPr>
              <w:t xml:space="preserve">~ 10</w:t>
            </w:r>
          </w:p>
        </w:tc>
        <w:tc>
          <w:tcPr/>
          <w:p>
            <w:pPr>
              <w:pStyle w:val="Compact"/>
              <w:spacing w:after="40" w:before="40"/>
              <w:jc w:val="left"/>
            </w:pPr>
            <w:r>
              <w:rPr>
                <w:rFonts w:ascii="Cambria" w:hAnsi="Cambria" w:cs="Cambria" w:eastAsia="Cambria"/>
                <w:color w:val="1A1A1A"/>
                <w:sz w:val="18"/>
              </w:rPr>
              <w:t xml:space="preserve">~ 15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c>
          <w:tcPr>
            <w:shd w:val="clear" w:color="auto" w:fill="F4F1EC"/>
          </w:tcPr>
          <w:p>
            <w:pPr>
              <w:pStyle w:val="Compact"/>
              <w:spacing w:after="40" w:before="40"/>
              <w:jc w:val="left"/>
            </w:pPr>
            <w:r>
              <w:rPr>
                <w:rFonts w:ascii="Cambria" w:hAnsi="Cambria" w:cs="Cambria" w:eastAsia="Cambria"/>
                <w:color w:val="1A1A1A"/>
                <w:sz w:val="18"/>
              </w:rPr>
              <w:t xml:space="preserve">~ 0</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17</w:t>
            </w:r>
          </w:p>
        </w:tc>
        <w:tc>
          <w:tcPr/>
          <w:p>
            <w:pPr>
              <w:pStyle w:val="Compact"/>
              <w:spacing w:after="40" w:before="40"/>
              <w:jc w:val="left"/>
            </w:pPr>
            <w:r>
              <w:rPr>
                <w:rFonts w:ascii="Cambria" w:hAnsi="Cambria" w:cs="Cambria" w:eastAsia="Cambria"/>
                <w:color w:val="1A1A1A"/>
                <w:sz w:val="18"/>
              </w:rPr>
              <w:t xml:space="preserve">42</w:t>
            </w:r>
          </w:p>
        </w:tc>
        <w:tc>
          <w:tcPr/>
          <w:p>
            <w:pPr>
              <w:pStyle w:val="Compact"/>
              <w:spacing w:after="40" w:before="40"/>
              <w:jc w:val="left"/>
            </w:pPr>
            <w:r>
              <w:rPr>
                <w:rFonts w:ascii="Cambria" w:hAnsi="Cambria" w:cs="Cambria" w:eastAsia="Cambria"/>
                <w:color w:val="1A1A1A"/>
                <w:sz w:val="18"/>
              </w:rPr>
              <w:t xml:space="preserve">77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+12</w:t>
            </w:r>
          </w:p>
        </w:tc>
        <w:tc>
          <w:tcPr>
            <w:shd w:val="clear" w:color="auto" w:fill="F4F1EC"/>
          </w:tcPr>
          <w:p>
            <w:pPr>
              <w:pStyle w:val="Compact"/>
              <w:spacing w:after="40" w:before="40"/>
              <w:jc w:val="left"/>
            </w:pPr>
            <w:r>
              <w:rPr>
                <w:rFonts w:ascii="Cambria" w:hAnsi="Cambria" w:cs="Cambria" w:eastAsia="Cambria"/>
                <w:color w:val="1A1A1A"/>
                <w:sz w:val="18"/>
              </w:rPr>
              <w:t xml:space="preserve">+32</w:t>
            </w:r>
          </w:p>
        </w:tc>
        <w:tc>
          <w:tcPr>
            <w:shd w:val="clear" w:color="auto" w:fill="F4F1EC"/>
          </w:tcPr>
          <w:p>
            <w:pPr>
              <w:pStyle w:val="Compact"/>
              <w:spacing w:after="40" w:before="40"/>
              <w:jc w:val="left"/>
            </w:pPr>
            <w:r>
              <w:rPr>
                <w:rFonts w:ascii="Cambria" w:hAnsi="Cambria" w:cs="Cambria" w:eastAsia="Cambria"/>
                <w:color w:val="1A1A1A"/>
                <w:sz w:val="18"/>
              </w:rPr>
              <w:t xml:space="preserve">+62</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~3,4:1</w:t>
            </w:r>
          </w:p>
        </w:tc>
        <w:tc>
          <w:tcPr/>
          <w:p>
            <w:pPr>
              <w:pStyle w:val="Compact"/>
              <w:spacing w:after="40" w:before="40"/>
              <w:jc w:val="left"/>
            </w:pPr>
            <w:r>
              <w:rPr>
                <w:rFonts w:ascii="Cambria" w:hAnsi="Cambria" w:cs="Cambria" w:eastAsia="Cambria"/>
                <w:color w:val="1A1A1A"/>
                <w:sz w:val="18"/>
              </w:rPr>
              <w:t xml:space="preserve">~4,2:1</w:t>
            </w:r>
          </w:p>
        </w:tc>
        <w:tc>
          <w:tcPr/>
          <w:p>
            <w:pPr>
              <w:pStyle w:val="Compact"/>
              <w:spacing w:after="40" w:before="40"/>
              <w:jc w:val="left"/>
            </w:pPr>
            <w:r>
              <w:rPr>
                <w:rFonts w:ascii="Cambria" w:hAnsi="Cambria" w:cs="Cambria" w:eastAsia="Cambria"/>
                <w:color w:val="1A1A1A"/>
                <w:sz w:val="18"/>
              </w:rPr>
              <w:t xml:space="preserve">~5,1:1</w:t>
            </w:r>
          </w:p>
        </w:tc>
      </w:tr>
    </w:tbl>
    <w:p>
      <w:pPr>
        <w:pStyle w:val="BodyText"/>
      </w:pPr>
      <w:r>
        <w:rPr>
          <w:i/>
          <w:iCs/>
        </w:rPr>
        <w:t xml:space="preserve">Tabella E.3. Sintesi economica per scenario: il caso finanziario (saldo diretto ~pareggio) e il caso economico (ritorno complessivo e rapporto beneficio-costo).</w:t>
      </w:r>
    </w:p>
    <w:p>
      <w:pPr>
        <w:pStyle w:val="BodyText"/>
      </w:pPr>
      <w:r>
        <w:t xml:space="preserve">Resta da ribadire, a chiusura, la natura della valutazione. Il segno del saldo complessivo è positivo in tutti gli scenari, comprese le ipotesi conservative, e dunque robusto; le analisi di sensibilità deterministica e probabilistica e il valore dell’informazione, che ne saggiano formalmente la tenuta, sono sviluppati nella Parte F.</w:t>
      </w:r>
      <w:r>
        <w:rPr>
          <w:rStyle w:val="FootnoteReference"/>
        </w:rPr>
        <w:footnoteReference w:id="3044"/>
      </w:r>
      <w:r>
        <w:t xml:space="preserve"> </w:t>
      </w:r>
      <w:r>
        <w:t xml:space="preserve">Quanto ai dati, i parametri dei canali dei ricoveri, della specialistica e della mobilità sono in parte ancora stimati e saranno sostituiti dai valori certificati che le Aziende sanitarie e la Regione forniranno; la circostanza è in Abruzzo tanto più rilevante in quanto la rilevazione epidemiologica regionale opera in modo discontinuo, sicché la costruzione del sistema informativo, di cui alla Parte C, è anche la condizione per sostituire le stime con i dati. La struttura della quantificazione, tuttavia, è già quella definitiva, ancorata ai conti regionali e onesta nella distinzione tra ciò che il servizio fa risparmiare al bilancio e ciò che restituisce alla società. Su questa base, la Parte F sottopone i risultati alla prova formale dell’incertezza.</w:t>
      </w:r>
    </w:p>
    <w:bookmarkEnd w:id="2732"/>
    <w:bookmarkEnd w:id="2733"/>
    <w:bookmarkStart w:id="2754" w:name="parte-f-modellazione-e-incertezza-5"/>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l’Abruzzo quest’ultimo capitolo riveste un’importanza particolare: poiché il servizio è istituito e regolato ma in attuazione iniziale, la prova empirica si fonda sulla progressione differenziata dell’avvio fra le Aziende, e impone — più che altrove — di costruire da subito il flusso dei dati su cui la valutazione potrà poggiare.</w:t>
      </w:r>
    </w:p>
    <w:bookmarkStart w:id="2738" w:name="X5569c107af515c9cf238a42498c746b5f1f7bc9"/>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3045"/>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3046"/>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3047"/>
      </w:r>
      <w:r>
        <w:t xml:space="preserve"> </w:t>
      </w:r>
      <w:r>
        <w:t xml:space="preserve">Nel caso base l’intervento è dominante, con un risparmio per paziente dell’ordine di 1.304 euro e un guadagno di 0,236 anni di vita ponderati per la qualità.</w:t>
      </w:r>
      <w:r>
        <w:rPr>
          <w:rStyle w:val="FootnoteReference"/>
        </w:rPr>
        <w:footnoteReference w:id="3048"/>
      </w:r>
      <w:r>
        <w:t xml:space="preserve"> </w:t>
      </w:r>
      <w:r>
        <w:t xml:space="preserve">La tabella seguente riepiloga i parametri principali del modello.</w:t>
      </w:r>
    </w:p>
    <w:tbl>
      <w:tblPr>
        <w:tblStyle w:val="Table"/>
        <w:tblW w:type="pct" w:w="489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01"/>
        <w:gridCol w:w="475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Stati clinici</w:t>
            </w:r>
          </w:p>
        </w:tc>
        <w:tc>
          <w:tcPr/>
          <w:p>
            <w:pPr>
              <w:pStyle w:val="Compact"/>
              <w:spacing w:after="40" w:before="40"/>
              <w:jc w:val="left"/>
            </w:pPr>
            <w:r>
              <w:rPr>
                <w:rFonts w:ascii="Cambria" w:hAnsi="Cambria" w:cs="Cambria" w:eastAsia="Cambria"/>
                <w:color w:val="1A1A1A"/>
                <w:sz w:val="18"/>
              </w:rPr>
              <w:t xml:space="preserve">Benessere o sottosoglia, episodio, cronicità, recupero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Cinque anni, con cicli successivi</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(recupero)</w:t>
            </w:r>
          </w:p>
        </w:tc>
        <w:tc>
          <w:tcPr>
            <w:shd w:val="clear" w:color="auto" w:fill="F4F1EC"/>
          </w:tcPr>
          <w:p>
            <w:pPr>
              <w:pStyle w:val="Compact"/>
              <w:spacing w:after="40" w:before="40"/>
              <w:jc w:val="left"/>
            </w:pPr>
            <w:r>
              <w:rPr>
                <w:rFonts w:ascii="Cambria" w:hAnsi="Cambria" w:cs="Cambria" w:eastAsia="Cambria"/>
                <w:color w:val="1A1A1A"/>
                <w:sz w:val="18"/>
              </w:rPr>
              <w:t xml:space="preserve">~ 40 euro</w:t>
            </w:r>
          </w:p>
        </w:tc>
      </w:tr>
      <w:tr>
        <w:tc>
          <w:tcPr/>
          <w:p>
            <w:pPr>
              <w:pStyle w:val="Compact"/>
              <w:spacing w:after="40" w:before="40"/>
              <w:jc w:val="left"/>
            </w:pPr>
            <w:r>
              <w:rPr>
                <w:rFonts w:ascii="Cambria" w:hAnsi="Cambria" w:cs="Cambria" w:eastAsia="Cambria"/>
                <w:b/>
                <w:bCs/>
                <w:color w:val="1A1A1A"/>
                <w:sz w:val="18"/>
              </w:rPr>
              <w:t xml:space="preserve">Costo per ciclo (cronicità)</w:t>
            </w:r>
          </w:p>
        </w:tc>
        <w:tc>
          <w:tcPr/>
          <w:p>
            <w:pPr>
              <w:pStyle w:val="Compact"/>
              <w:spacing w:after="40" w:before="40"/>
              <w:jc w:val="left"/>
            </w:pPr>
            <w:r>
              <w:rPr>
                <w:rFonts w:ascii="Cambria" w:hAnsi="Cambria" w:cs="Cambria" w:eastAsia="Cambria"/>
                <w:color w:val="1A1A1A"/>
                <w:sz w:val="18"/>
              </w:rPr>
              <w:t xml:space="preserve">~ 700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 300 euro una tantum</w:t>
            </w:r>
          </w:p>
        </w:tc>
      </w:tr>
      <w:tr>
        <w:tc>
          <w:tcPr/>
          <w:p>
            <w:pPr>
              <w:pStyle w:val="Compact"/>
              <w:spacing w:after="40" w:before="40"/>
              <w:jc w:val="left"/>
            </w:pPr>
            <w:r>
              <w:rPr>
                <w:rFonts w:ascii="Cambria" w:hAnsi="Cambria" w:cs="Cambria" w:eastAsia="Cambria"/>
                <w:b/>
                <w:bCs/>
                <w:color w:val="1A1A1A"/>
                <w:sz w:val="18"/>
              </w:rPr>
              <w:t xml:space="preserve">Trattamento dell’incertezza</w:t>
            </w:r>
          </w:p>
        </w:tc>
        <w:tc>
          <w:tcPr/>
          <w:p>
            <w:pPr>
              <w:pStyle w:val="Compact"/>
              <w:spacing w:after="40" w:before="40"/>
              <w:jc w:val="left"/>
            </w:pPr>
            <w:r>
              <w:rPr>
                <w:rFonts w:ascii="Cambria" w:hAnsi="Cambria" w:cs="Cambria" w:eastAsia="Cambria"/>
                <w:color w:val="1A1A1A"/>
                <w:sz w:val="18"/>
              </w:rPr>
              <w:t xml:space="preserve">Parametri come distribuzioni di probabilità</w:t>
            </w:r>
          </w:p>
        </w:tc>
      </w:tr>
    </w:tbl>
    <w:p>
      <w:pPr>
        <w:pStyle w:val="BodyText"/>
      </w:pPr>
      <w:r>
        <w:rPr>
          <w:i/>
          <w:iCs/>
        </w:rPr>
        <w:t xml:space="preserve">Tabella F.1. I parametri principali del modello di Markov (comune a tutti gli studi della serie).</w:t>
      </w:r>
    </w:p>
    <w:bookmarkEnd w:id="2738"/>
    <w:bookmarkStart w:id="2741" w:name="X67a2bcf75a8c74c1a560b735f3e2c9e9e04783c"/>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3049"/>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3050"/>
      </w:r>
    </w:p>
    <w:bookmarkEnd w:id="2741"/>
    <w:bookmarkStart w:id="2744" w:name="Xcd209ac1e6ff54e13583708228251599d7aef84"/>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3051"/>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3052"/>
      </w:r>
      <w:r>
        <w:t xml:space="preserve"> </w:t>
      </w:r>
      <w:r>
        <w:t xml:space="preserve">La tabella seguente riepiloga gli esiti della sensibilità probabilistica.</w:t>
      </w:r>
    </w:p>
    <w:tbl>
      <w:tblPr>
        <w:tblStyle w:val="Table"/>
        <w:tblW w:type="pct" w:w="490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940"/>
        <w:gridCol w:w="282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Esito della sensibilità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Probabilità di costo-efficacia (soglia 30.000 euro/QALY)</w:t>
            </w:r>
          </w:p>
        </w:tc>
        <w:tc>
          <w:tcPr/>
          <w:p>
            <w:pPr>
              <w:pStyle w:val="Compact"/>
              <w:spacing w:after="40" w:before="40"/>
              <w:jc w:val="left"/>
            </w:pPr>
            <w:r>
              <w:rPr>
                <w:rFonts w:ascii="Cambria" w:hAnsi="Cambria" w:cs="Cambria" w:eastAsia="Cambria"/>
                <w:color w:val="1A1A1A"/>
                <w:sz w:val="18"/>
              </w:rPr>
              <w:t xml:space="preserve">88,9% delle simulazioni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dominanza</w:t>
            </w:r>
          </w:p>
        </w:tc>
        <w:tc>
          <w:tcPr>
            <w:shd w:val="clear" w:color="auto" w:fill="F4F1EC"/>
          </w:tcPr>
          <w:p>
            <w:pPr>
              <w:pStyle w:val="Compact"/>
              <w:spacing w:after="40" w:before="40"/>
              <w:jc w:val="left"/>
            </w:pPr>
            <w:r>
              <w:rPr>
                <w:rFonts w:ascii="Cambria" w:hAnsi="Cambria" w:cs="Cambria" w:eastAsia="Cambria"/>
                <w:color w:val="1A1A1A"/>
                <w:sz w:val="18"/>
              </w:rPr>
              <w:t xml:space="preserve">84,6% delle simulazioni</w:t>
            </w:r>
          </w:p>
        </w:tc>
      </w:tr>
      <w:tr>
        <w:tc>
          <w:tcPr/>
          <w:p>
            <w:pPr>
              <w:pStyle w:val="Compact"/>
              <w:spacing w:after="40" w:before="40"/>
              <w:jc w:val="left"/>
            </w:pPr>
            <w:r>
              <w:rPr>
                <w:rFonts w:ascii="Cambria" w:hAnsi="Cambria" w:cs="Cambria" w:eastAsia="Cambria"/>
                <w:b/>
                <w:bCs/>
                <w:color w:val="1A1A1A"/>
                <w:sz w:val="18"/>
              </w:rPr>
              <w:t xml:space="preserve">Beneficio monetario netto medio per paziente</w:t>
            </w:r>
          </w:p>
        </w:tc>
        <w:tc>
          <w:tcPr/>
          <w:p>
            <w:pPr>
              <w:pStyle w:val="Compact"/>
              <w:spacing w:after="40" w:before="40"/>
              <w:jc w:val="left"/>
            </w:pPr>
            <w:r>
              <w:rPr>
                <w:rFonts w:ascii="Cambria" w:hAnsi="Cambria" w:cs="Cambria" w:eastAsia="Cambria"/>
                <w:color w:val="1A1A1A"/>
                <w:sz w:val="18"/>
              </w:rPr>
              <w:t xml:space="preserve">~ 7.815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Intervallo di confidenza al 95%</w:t>
            </w:r>
          </w:p>
        </w:tc>
        <w:tc>
          <w:tcPr>
            <w:shd w:val="clear" w:color="auto" w:fill="F4F1EC"/>
          </w:tcPr>
          <w:p>
            <w:pPr>
              <w:pStyle w:val="Compact"/>
              <w:spacing w:after="40" w:before="40"/>
              <w:jc w:val="left"/>
            </w:pPr>
            <w:r>
              <w:rPr>
                <w:rFonts w:ascii="Cambria" w:hAnsi="Cambria" w:cs="Cambria" w:eastAsia="Cambria"/>
                <w:color w:val="1A1A1A"/>
                <w:sz w:val="18"/>
              </w:rPr>
              <w:t xml:space="preserve">da ~ −5.736 a ~ +21.501 euro</w:t>
            </w:r>
          </w:p>
        </w:tc>
      </w:tr>
      <w:tr>
        <w:tc>
          <w:tcPr/>
          <w:p>
            <w:pPr>
              <w:pStyle w:val="Compact"/>
              <w:spacing w:after="40" w:before="40"/>
              <w:jc w:val="left"/>
            </w:pPr>
            <w:r>
              <w:rPr>
                <w:rFonts w:ascii="Cambria" w:hAnsi="Cambria" w:cs="Cambria" w:eastAsia="Cambria"/>
                <w:b/>
                <w:bCs/>
                <w:color w:val="1A1A1A"/>
                <w:sz w:val="18"/>
              </w:rPr>
              <w:t xml:space="preserve">Numero di simulazioni</w:t>
            </w:r>
          </w:p>
        </w:tc>
        <w:tc>
          <w:tcPr/>
          <w:p>
            <w:pPr>
              <w:pStyle w:val="Compact"/>
              <w:spacing w:after="40" w:before="40"/>
              <w:jc w:val="left"/>
            </w:pPr>
            <w:r>
              <w:rPr>
                <w:rFonts w:ascii="Cambria" w:hAnsi="Cambria" w:cs="Cambria" w:eastAsia="Cambria"/>
                <w:color w:val="1A1A1A"/>
                <w:sz w:val="18"/>
              </w:rPr>
              <w:t xml:space="preserve">10.000</w:t>
            </w:r>
          </w:p>
        </w:tc>
      </w:tr>
    </w:tbl>
    <w:p>
      <w:pPr>
        <w:pStyle w:val="BodyText"/>
      </w:pPr>
      <w:r>
        <w:rPr>
          <w:i/>
          <w:iCs/>
        </w:rPr>
        <w:t xml:space="preserve">Tabella F.2. Gli esiti dell’analisi di sensibilità probabilistica (per paziente).</w:t>
      </w:r>
    </w:p>
    <w:bookmarkEnd w:id="2744"/>
    <w:bookmarkStart w:id="2747" w:name="Xb0cd546654ead269ba28d09a761569f3ec3481e"/>
    <w:p>
      <w:pPr>
        <w:pStyle w:val="Heading3"/>
      </w:pPr>
      <w:r>
        <w:t xml:space="preserve">F.4 Gli scenari di copertura e l’incertezza aggregata</w:t>
      </w:r>
    </w:p>
    <w:p>
      <w:pPr>
        <w:pStyle w:val="FirstParagraph"/>
      </w:pPr>
      <w:r>
        <w:t xml:space="preserve">Gli scenari di copertura — conservativo, di base ed espansivo, dell’ordine di 85, 180 e 280 incarichi — rappresentano gradi crescenti di estensione del servizio verso il fabbisogno; lo scenario conservativo corrisponde al rapporto di legge di uno psicologo ogni quindicimila abitanti, e l’attuazione iniziale odierna costituisce un nucleo inferiore allo scenario conservativo, prima tappa di un percorso di estensione progressiva.</w:t>
      </w:r>
      <w:r>
        <w:rPr>
          <w:rStyle w:val="FootnoteReference"/>
        </w:rPr>
        <w:footnoteReference w:id="3053"/>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3054"/>
      </w:r>
    </w:p>
    <w:bookmarkEnd w:id="2747"/>
    <w:bookmarkStart w:id="2753" w:name="Xbd50a0f68f9f80bb7780a8b20b7206a9f7cc7db"/>
    <w:p>
      <w:pPr>
        <w:pStyle w:val="Heading3"/>
      </w:pPr>
      <w:r>
        <w:t xml:space="preserve">F.5 La verifica empirica e il valore dell’informazione</w:t>
      </w:r>
    </w:p>
    <w:p>
      <w:pPr>
        <w:pStyle w:val="FirstParagraph"/>
      </w:pPr>
      <w:r>
        <w:t xml:space="preserve">Il disegno della verifica empirica costituisce, per l’Abruzzo, il punto in cui la valutazione si àncora al contesto. Poiché il servizio è istituito e regolato ma in attuazione iniziale, la verifica controfattuale può fondarsi su un esperimento a cunei progressivi, nel quale l’ordine e i tempi di avvio delle sedi fra le quattro Aziende Sanitarie Locali e i venticinque distretti sono impiegati a fini valutativi: le sedi che avviano per prime fungono da gruppo di intervento, quelle che avviano in seguito da controllo temporaneo, sino alla copertura completa.</w:t>
      </w:r>
      <w:r>
        <w:rPr>
          <w:rStyle w:val="FootnoteReference"/>
        </w:rPr>
        <w:footnoteReference w:id="3055"/>
      </w:r>
      <w:r>
        <w:t xml:space="preserve"> </w:t>
      </w:r>
      <w:r>
        <w:t xml:space="preserve">L’effetto causale è stimato con la differenza-nelle-differenze e con il controllo sintetico, costruito a partire da aree di confronto e dalla progressione differenziata dell’avvio.</w:t>
      </w:r>
      <w:r>
        <w:rPr>
          <w:rStyle w:val="FootnoteReference"/>
        </w:rPr>
        <w:footnoteReference w:id="3056"/>
      </w:r>
      <w:r>
        <w:t xml:space="preserve"> </w:t>
      </w:r>
      <w:r>
        <w:t xml:space="preserve">A differenza della Campania, che dispone di un flusso di dati operativi già avviato, l’Abruzzo deve costruire tale flusso contestualmente all’attuazione, in un contesto in cui la rilevazione epidemiologica regionale è discontinua; la verifica empirica è perciò inseparabile dalla costruzione del sistema informativo descritto nella Parte C. L’analisi del valore dell’informazione indica che il beneficio di ridurre l’incertezza, alla scala della popolazione abruzzese, eccede ampiamente il costo della raccolta dei dati; le priorità sono l’estrazione dei conti certificati delle quattro Aziende e la costruzione del flusso dei dati di esito sin dall’avvio.</w:t>
      </w:r>
      <w:r>
        <w:rPr>
          <w:rStyle w:val="FootnoteReference"/>
        </w:rPr>
        <w:footnoteReference w:id="3057"/>
      </w:r>
      <w:r>
        <w:t xml:space="preserve"> </w:t>
      </w:r>
      <w:r>
        <w:t xml:space="preserve">La strutturazione a regime consente così di colmare la lacuna dei dati edificando un flusso prima assente, conducendo la regione, in modo programmato, da una valutazione fondata su dati esterni a una fondata in misura crescente su dati propri.</w:t>
      </w:r>
      <w:r>
        <w:rPr>
          <w:rStyle w:val="FootnoteReference"/>
        </w:rPr>
        <w:footnoteReference w:id="3058"/>
      </w:r>
      <w:r>
        <w:t xml:space="preserve"> </w:t>
      </w:r>
      <w:r>
        <w:t xml:space="preserve">La sintesi è univoca: il modello è robusto sul piano clinico-economico per paziente, l’incertezza aggregata è governata con scenari prudenti e con un piano di acquisizione e costruzione dei dati, e l’avvio scaglionato fra le Aziende offre, sul piano valutativo, una via di identificazione dell’effetto solida. La parte che segue affronta l’equità e l’impatto distributivo.</w:t>
      </w:r>
      <w:r>
        <w:rPr>
          <w:rStyle w:val="FootnoteReference"/>
        </w:rPr>
        <w:footnoteReference w:id="3059"/>
      </w:r>
    </w:p>
    <w:tbl>
      <w:tblPr>
        <w:tblStyle w:val="Table"/>
        <w:tblW w:type="pct" w:w="492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85"/>
        <w:gridCol w:w="3438"/>
        <w:gridCol w:w="14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Priorità di ricerca</w:t>
            </w:r>
          </w:p>
        </w:tc>
        <w:tc>
          <w:tcPr>
            <w:shd w:val="clear" w:color="auto" w:fill="16264B"/>
          </w:tcPr>
          <w:p>
            <w:pPr>
              <w:pStyle w:val="Compact"/>
              <w:spacing w:after="40" w:before="40"/>
              <w:jc w:val="left"/>
            </w:pPr>
            <w:r>
              <w:rPr>
                <w:rFonts w:ascii="Cambria" w:hAnsi="Cambria" w:cs="Cambria" w:eastAsia="Cambria"/>
                <w:b/>
                <w:bCs/>
                <w:color w:val="FFFFFF"/>
                <w:sz w:val="18"/>
              </w:rPr>
              <w:t xml:space="preserve">Finalità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Rilevanza</w:t>
            </w:r>
          </w:p>
        </w:tc>
      </w:tr>
      <w:tr>
        <w:tc>
          <w:tcPr/>
          <w:p>
            <w:pPr>
              <w:pStyle w:val="Compact"/>
              <w:spacing w:after="40" w:before="40"/>
              <w:jc w:val="left"/>
            </w:pPr>
            <w:r>
              <w:rPr>
                <w:rFonts w:ascii="Cambria" w:hAnsi="Cambria" w:cs="Cambria" w:eastAsia="Cambria"/>
                <w:b/>
                <w:bCs/>
                <w:color w:val="1A1A1A"/>
                <w:sz w:val="18"/>
              </w:rPr>
              <w:t xml:space="preserve">Conti certificati delle quattro Aziende</w:t>
            </w:r>
          </w:p>
        </w:tc>
        <w:tc>
          <w:tcPr/>
          <w:p>
            <w:pPr>
              <w:pStyle w:val="Compact"/>
              <w:spacing w:after="40" w:before="40"/>
              <w:jc w:val="left"/>
            </w:pPr>
            <w:r>
              <w:rPr>
                <w:rFonts w:ascii="Cambria" w:hAnsi="Cambria" w:cs="Cambria" w:eastAsia="Cambria"/>
                <w:color w:val="1A1A1A"/>
                <w:sz w:val="18"/>
              </w:rPr>
              <w:t xml:space="preserve">Sostituire le stime per quota con dati reali</w:t>
            </w:r>
          </w:p>
        </w:tc>
        <w:tc>
          <w:tcPr/>
          <w:p>
            <w:pPr>
              <w:pStyle w:val="Compact"/>
              <w:spacing w:after="40" w:before="40"/>
              <w:jc w:val="left"/>
            </w:pPr>
            <w:r>
              <w:rPr>
                <w:rFonts w:ascii="Cambria" w:hAnsi="Cambria" w:cs="Cambria" w:eastAsia="Cambria"/>
                <w:color w:val="1A1A1A"/>
                <w:sz w:val="18"/>
              </w:rPr>
              <w:t xml:space="preserve">Massima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Costruzione del flusso dei dati di esito</w:t>
            </w:r>
          </w:p>
        </w:tc>
        <w:tc>
          <w:tcPr>
            <w:shd w:val="clear" w:color="auto" w:fill="F4F1EC"/>
          </w:tcPr>
          <w:p>
            <w:pPr>
              <w:pStyle w:val="Compact"/>
              <w:spacing w:after="40" w:before="40"/>
              <w:jc w:val="left"/>
            </w:pPr>
            <w:r>
              <w:rPr>
                <w:rFonts w:ascii="Cambria" w:hAnsi="Cambria" w:cs="Cambria" w:eastAsia="Cambria"/>
                <w:color w:val="1A1A1A"/>
                <w:sz w:val="18"/>
              </w:rPr>
              <w:t xml:space="preserve">Dotare il servizio di evidenza propria sin dall’avvio</w:t>
            </w:r>
          </w:p>
        </w:tc>
        <w:tc>
          <w:tcPr>
            <w:shd w:val="clear" w:color="auto" w:fill="F4F1EC"/>
          </w:tcPr>
          <w:p>
            <w:pPr>
              <w:pStyle w:val="Compact"/>
              <w:spacing w:after="40" w:before="40"/>
              <w:jc w:val="left"/>
            </w:pPr>
            <w:r>
              <w:rPr>
                <w:rFonts w:ascii="Cambria" w:hAnsi="Cambria" w:cs="Cambria" w:eastAsia="Cambria"/>
                <w:color w:val="1A1A1A"/>
                <w:sz w:val="18"/>
              </w:rPr>
              <w:t xml:space="preserve">Massima</w:t>
            </w:r>
          </w:p>
        </w:tc>
      </w:tr>
      <w:tr>
        <w:tc>
          <w:tcPr/>
          <w:p>
            <w:pPr>
              <w:pStyle w:val="Compact"/>
              <w:spacing w:after="40" w:before="40"/>
              <w:jc w:val="left"/>
            </w:pPr>
            <w:r>
              <w:rPr>
                <w:rFonts w:ascii="Cambria" w:hAnsi="Cambria" w:cs="Cambria" w:eastAsia="Cambria"/>
                <w:b/>
                <w:bCs/>
                <w:color w:val="1A1A1A"/>
                <w:sz w:val="18"/>
              </w:rPr>
              <w:t xml:space="preserve">Tassi di intercettazione e costi evitati</w:t>
            </w:r>
          </w:p>
        </w:tc>
        <w:tc>
          <w:tcPr/>
          <w:p>
            <w:pPr>
              <w:pStyle w:val="Compact"/>
              <w:spacing w:after="40" w:before="40"/>
              <w:jc w:val="left"/>
            </w:pPr>
            <w:r>
              <w:rPr>
                <w:rFonts w:ascii="Cambria" w:hAnsi="Cambria" w:cs="Cambria" w:eastAsia="Cambria"/>
                <w:color w:val="1A1A1A"/>
                <w:sz w:val="18"/>
              </w:rPr>
              <w:t xml:space="preserve">Ridurre l’incertezza sulle grandezze aggregate</w:t>
            </w:r>
          </w:p>
        </w:tc>
        <w:tc>
          <w:tcPr/>
          <w:p>
            <w:pPr>
              <w:pStyle w:val="Compact"/>
              <w:spacing w:after="40" w:before="40"/>
              <w:jc w:val="left"/>
            </w:pPr>
            <w:r>
              <w:rPr>
                <w:rFonts w:ascii="Cambria" w:hAnsi="Cambria" w:cs="Cambria" w:eastAsia="Cambria"/>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 nel contesto locale</w:t>
            </w:r>
          </w:p>
        </w:tc>
        <w:tc>
          <w:tcPr>
            <w:shd w:val="clear" w:color="auto" w:fill="F4F1EC"/>
          </w:tcPr>
          <w:p>
            <w:pPr>
              <w:pStyle w:val="Compact"/>
              <w:spacing w:after="40" w:before="40"/>
              <w:jc w:val="left"/>
            </w:pPr>
            <w:r>
              <w:rPr>
                <w:rFonts w:ascii="Cambria" w:hAnsi="Cambria" w:cs="Cambria" w:eastAsia="Cambria"/>
                <w:color w:val="1A1A1A"/>
                <w:sz w:val="18"/>
              </w:rPr>
              <w:t xml:space="preserve">Corroborare il parametro più influente</w:t>
            </w:r>
          </w:p>
        </w:tc>
        <w:tc>
          <w:tcPr>
            <w:shd w:val="clear" w:color="auto" w:fill="F4F1EC"/>
          </w:tcPr>
          <w:p>
            <w:pPr>
              <w:pStyle w:val="Compact"/>
              <w:spacing w:after="40" w:before="40"/>
              <w:jc w:val="left"/>
            </w:pPr>
            <w:r>
              <w:rPr>
                <w:rFonts w:ascii="Cambria" w:hAnsi="Cambria" w:cs="Cambria" w:eastAsia="Cambria"/>
                <w:color w:val="1A1A1A"/>
                <w:sz w:val="18"/>
              </w:rPr>
              <w:t xml:space="preserve">Alta</w:t>
            </w:r>
          </w:p>
        </w:tc>
      </w:tr>
    </w:tbl>
    <w:p>
      <w:pPr>
        <w:pStyle w:val="BodyText"/>
      </w:pPr>
      <w:r>
        <w:rPr>
          <w:i/>
          <w:iCs/>
        </w:rPr>
        <w:t xml:space="preserve">Tabella F.3. Le priorità di ricerca derivanti dall’analisi del valore dell’informazione.</w:t>
      </w:r>
    </w:p>
    <w:bookmarkEnd w:id="2753"/>
    <w:bookmarkEnd w:id="2754"/>
    <w:bookmarkStart w:id="2773" w:name="parte-g-equità-e-impatto-distributivo-10"/>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all’Abruzzo. La parte definisce il quadro dell’equità e il gradiente sociale (capitolo G.1); analizza i due assi territoriali del divario abruzzese e le barriere di accesso (G.2); descrive gli strumenti attraverso cui il servizio agisce sull’equità (G.3); e presenta l’analisi di costo-efficacia distributiva con le sue implicazioni allocative (G.4). Il tratto distintivo dell’Abruzzo è la combinazione di un divario territoriale netto fra la fascia costiera e le aree interne e montane e di una doppia dimensione generazionale — il disagio giovanile in crescita e l’isolamento dell’età anziana, accentuato in una regione fra le più vecchie del Paese; l’intervento può ridurre tali divari, a condizione di un’allocazione modulata per il bisogno.</w:t>
      </w:r>
    </w:p>
    <w:bookmarkStart w:id="2758" w:name="X5a86b6adb94f021dd064a408fe613d41713724d"/>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3060"/>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3061"/>
      </w:r>
      <w:r>
        <w:t xml:space="preserve"> </w:t>
      </w:r>
      <w:r>
        <w:t xml:space="preserve">A questo gradiente si sommano barriere di accesso economiche, geografiche e culturali, oltre allo stigma; in Abruzzo la barriera geografica è particolarmente rilevante, data la dispersione del territorio e l’estensione delle aree interne e montane, mentre la componente straniera, pari al 7,1%, rende la barriera linguistica presente ma non centrale, e la dimensione generazionale si manifesta su entrambi i versanti, fra adolescenti restii a rivolgersi ai servizi e anziani isolati.</w:t>
      </w:r>
      <w:r>
        <w:rPr>
          <w:rStyle w:val="FootnoteReference"/>
        </w:rPr>
        <w:footnoteReference w:id="3062"/>
      </w:r>
    </w:p>
    <w:bookmarkEnd w:id="2758"/>
    <w:bookmarkStart w:id="2762" w:name="X4eb186fa2fd0e512ea7b04c53f599cb07a7b69a"/>
    <w:p>
      <w:pPr>
        <w:pStyle w:val="Heading3"/>
      </w:pPr>
      <w:r>
        <w:t xml:space="preserve">G.2 I due assi del divario territoriale</w:t>
      </w:r>
    </w:p>
    <w:p>
      <w:pPr>
        <w:pStyle w:val="FirstParagraph"/>
      </w:pPr>
      <w:r>
        <w:t xml:space="preserve">La specificità distributiva dell’Abruzzo risiede nella combinazione del divario territoriale e della doppia dimensione generazionale.</w:t>
      </w:r>
      <w:r>
        <w:rPr>
          <w:rStyle w:val="FootnoteReference"/>
        </w:rPr>
        <w:footnoteReference w:id="3063"/>
      </w:r>
      <w:r>
        <w:t xml:space="preserve"> </w:t>
      </w:r>
      <w:r>
        <w:t xml:space="preserve">Il primo asse separa la fascia costiera e adriatica — più popolosa, urbanizzata e meglio servita — dalle aree interne e montane, segnatamente nell’Aquilano e nelle zone appenniniche, dove una popolazione più anziana, a bassa densità e in spopolamento incontra servizi radi e distanze che rendono l’accesso particolarmente difficoltoso.</w:t>
      </w:r>
      <w:r>
        <w:rPr>
          <w:rStyle w:val="FootnoteReference"/>
        </w:rPr>
        <w:footnoteReference w:id="3064"/>
      </w:r>
      <w:r>
        <w:t xml:space="preserve"> </w:t>
      </w:r>
      <w:r>
        <w:t xml:space="preserve">Il secondo asse è interno alle stesse aree interne, fra i centri maggiori e la miriade di piccoli comuni montani soggetti a spopolamento, nei quali la presenza specialistica è pressoché assente e il presidio di prossimità costituisce l’unica forma realistica di accesso.</w:t>
      </w:r>
      <w:r>
        <w:rPr>
          <w:rStyle w:val="FootnoteReference"/>
        </w:rPr>
        <w:footnoteReference w:id="3065"/>
      </w:r>
      <w:r>
        <w:t xml:space="preserve"> </w:t>
      </w:r>
      <w:r>
        <w:t xml:space="preserve">La tabella seguente sintetizza i due assi e le leve di riequilibrio.</w:t>
      </w:r>
    </w:p>
    <w:tbl>
      <w:tblPr>
        <w:tblStyle w:val="Table"/>
        <w:tblW w:type="pct" w:w="495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368"/>
        <w:gridCol w:w="3420"/>
        <w:gridCol w:w="306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Asse del divario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Caratterizzazione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Leva di riequilibrio</w:t>
            </w:r>
          </w:p>
        </w:tc>
      </w:tr>
      <w:tr>
        <w:tc>
          <w:tcPr/>
          <w:p>
            <w:pPr>
              <w:pStyle w:val="Compact"/>
              <w:spacing w:after="40" w:before="40"/>
              <w:jc w:val="left"/>
            </w:pPr>
            <w:r>
              <w:rPr>
                <w:rFonts w:ascii="Cambria" w:hAnsi="Cambria" w:cs="Cambria" w:eastAsia="Cambria"/>
                <w:b/>
                <w:bCs/>
                <w:color w:val="1A1A1A"/>
                <w:sz w:val="18"/>
              </w:rPr>
              <w:t xml:space="preserve">Costa / aree interne e montane</w:t>
            </w:r>
          </w:p>
        </w:tc>
        <w:tc>
          <w:tcPr/>
          <w:p>
            <w:pPr>
              <w:pStyle w:val="Compact"/>
              <w:spacing w:after="40" w:before="40"/>
              <w:jc w:val="left"/>
            </w:pPr>
            <w:r>
              <w:rPr>
                <w:rFonts w:ascii="Cambria" w:hAnsi="Cambria" w:cs="Cambria" w:eastAsia="Cambria"/>
                <w:color w:val="1A1A1A"/>
                <w:sz w:val="18"/>
              </w:rPr>
              <w:t xml:space="preserve">Aquilano e zone appenniniche: popolazione anziana, bassa densità, spopolamento, servizi radi</w:t>
            </w:r>
          </w:p>
        </w:tc>
        <w:tc>
          <w:tcPr/>
          <w:p>
            <w:pPr>
              <w:pStyle w:val="Compact"/>
              <w:spacing w:after="40" w:before="40"/>
              <w:jc w:val="left"/>
            </w:pPr>
            <w:r>
              <w:rPr>
                <w:rFonts w:ascii="Cambria" w:hAnsi="Cambria" w:cs="Cambria" w:eastAsia="Cambria"/>
                <w:color w:val="1A1A1A"/>
                <w:sz w:val="18"/>
              </w:rPr>
              <w:t xml:space="preserve">Telepsicologia e telemonitoraggio assistiti; presenza programmata di primo livello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Centri / piccoli comuni montani</w:t>
            </w:r>
          </w:p>
        </w:tc>
        <w:tc>
          <w:tcPr>
            <w:shd w:val="clear" w:color="auto" w:fill="F4F1EC"/>
          </w:tcPr>
          <w:p>
            <w:pPr>
              <w:pStyle w:val="Compact"/>
              <w:spacing w:after="40" w:before="40"/>
              <w:jc w:val="left"/>
            </w:pPr>
            <w:r>
              <w:rPr>
                <w:rFonts w:ascii="Cambria" w:hAnsi="Cambria" w:cs="Cambria" w:eastAsia="Cambria"/>
                <w:color w:val="1A1A1A"/>
                <w:sz w:val="18"/>
              </w:rPr>
              <w:t xml:space="preserve">Presenza specialistica assente; distanze elevate</w:t>
            </w:r>
          </w:p>
        </w:tc>
        <w:tc>
          <w:tcPr>
            <w:shd w:val="clear" w:color="auto" w:fill="F4F1EC"/>
          </w:tcPr>
          <w:p>
            <w:pPr>
              <w:pStyle w:val="Compact"/>
              <w:spacing w:after="40" w:before="40"/>
              <w:jc w:val="left"/>
            </w:pPr>
            <w:r>
              <w:rPr>
                <w:rFonts w:ascii="Cambria" w:hAnsi="Cambria" w:cs="Cambria" w:eastAsia="Cambria"/>
                <w:color w:val="1A1A1A"/>
                <w:sz w:val="18"/>
              </w:rPr>
              <w:t xml:space="preserve">Sedi nelle Case della Comunità; allocazione pro-equità</w:t>
            </w:r>
          </w:p>
        </w:tc>
      </w:tr>
      <w:tr>
        <w:tc>
          <w:tcPr/>
          <w:p>
            <w:pPr>
              <w:pStyle w:val="Compact"/>
              <w:spacing w:after="40" w:before="40"/>
              <w:jc w:val="left"/>
            </w:pPr>
            <w:r>
              <w:rPr>
                <w:rFonts w:ascii="Cambria" w:hAnsi="Cambria" w:cs="Cambria" w:eastAsia="Cambria"/>
                <w:b/>
                <w:bCs/>
                <w:color w:val="1A1A1A"/>
                <w:sz w:val="18"/>
              </w:rPr>
              <w:t xml:space="preserve">Doppio versante generazionale</w:t>
            </w:r>
          </w:p>
        </w:tc>
        <w:tc>
          <w:tcPr/>
          <w:p>
            <w:pPr>
              <w:pStyle w:val="Compact"/>
              <w:spacing w:after="40" w:before="40"/>
              <w:jc w:val="left"/>
            </w:pPr>
            <w:r>
              <w:rPr>
                <w:rFonts w:ascii="Cambria" w:hAnsi="Cambria" w:cs="Cambria" w:eastAsia="Cambria"/>
                <w:color w:val="1A1A1A"/>
                <w:sz w:val="18"/>
              </w:rPr>
              <w:t xml:space="preserve">Disagio giovanile in crescita e isolamento dell’anziano</w:t>
            </w:r>
          </w:p>
        </w:tc>
        <w:tc>
          <w:tcPr/>
          <w:p>
            <w:pPr>
              <w:pStyle w:val="Compact"/>
              <w:spacing w:after="40" w:before="40"/>
              <w:jc w:val="left"/>
            </w:pPr>
            <w:r>
              <w:rPr>
                <w:rFonts w:ascii="Cambria" w:hAnsi="Cambria" w:cs="Cambria" w:eastAsia="Cambria"/>
                <w:color w:val="1A1A1A"/>
                <w:sz w:val="18"/>
              </w:rPr>
              <w:t xml:space="preserve">Intercettazione precoce; competenza per gli adolescenti e per l’età anziana</w:t>
            </w:r>
          </w:p>
        </w:tc>
      </w:tr>
    </w:tbl>
    <w:p>
      <w:pPr>
        <w:pStyle w:val="BodyText"/>
      </w:pPr>
      <w:r>
        <w:rPr>
          <w:i/>
          <w:iCs/>
        </w:rPr>
        <w:t xml:space="preserve">Tabella G.1. I due assi del divario territoriale abruzzese, la doppia dimensione generazionale e le leve di riequilibrio.</w:t>
      </w:r>
    </w:p>
    <w:bookmarkEnd w:id="2762"/>
    <w:bookmarkStart w:id="2766" w:name="g.3-gli-strumenti-dellequità-3"/>
    <w:p>
      <w:pPr>
        <w:pStyle w:val="Heading3"/>
      </w:pPr>
      <w:r>
        <w:t xml:space="preserve">G.3 Gli strumenti dell’equità</w:t>
      </w:r>
    </w:p>
    <w:p>
      <w:pPr>
        <w:pStyle w:val="FirstParagraph"/>
      </w:pPr>
      <w:r>
        <w:t xml:space="preserve">Il servizio agisce sull’equità attraverso meccanismi precisi. La gratuità, salvo un ticket contenuto, la prossimità nelle Case della Comunità e la natura di primo livello accessibile senza requisiti specialistici abbattono le principali barriere e indirizzano l’offerta verso chi ne è oggi escluso.</w:t>
      </w:r>
      <w:r>
        <w:rPr>
          <w:rStyle w:val="FootnoteReference"/>
        </w:rPr>
        <w:footnoteReference w:id="3066"/>
      </w:r>
      <w:r>
        <w:t xml:space="preserve"> </w:t>
      </w:r>
      <w:r>
        <w:t xml:space="preserve">La telepsicologia e il telemonitoraggio assistiti avvicinano l’offerta alle aree interne e montane e ai piccoli comuni a spopolamento, in funzione complementare e non sostitutiva della presa in carico in presenza, estendendo la copertura proprio dove l’accesso è più difficile; in Abruzzo questo strumento ha un rilievo superiore alla media, in ragione della marcata dispersione territoriale.</w:t>
      </w:r>
      <w:r>
        <w:rPr>
          <w:rStyle w:val="FootnoteReference"/>
        </w:rPr>
        <w:footnoteReference w:id="3067"/>
      </w:r>
      <w:r>
        <w:t xml:space="preserve"> </w:t>
      </w:r>
      <w:r>
        <w:t xml:space="preserve">La competenza nell’intercettare il disagio giovanile assicura che il servizio raggiunga adolescenti e giovani adulti, fascia a elevato bisogno e a basso ricorso spontaneo, mentre la competenza per l’età anziana e per le condizioni dell’isolamento risponde al versante opposto del bisogno, particolarmente ampio in una regione anziana; la competenza culturale resta necessaria nelle aree di maggiore insediamento straniero, pur meno centrale data la quota contenuta.</w:t>
      </w:r>
      <w:r>
        <w:rPr>
          <w:rStyle w:val="FootnoteReference"/>
        </w:rPr>
        <w:footnoteReference w:id="3068"/>
      </w:r>
    </w:p>
    <w:bookmarkEnd w:id="2766"/>
    <w:bookmarkStart w:id="2772" w:name="X9fecfb2d428419b4b21ffef215ffeb4484a37e2"/>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3069"/>
      </w:r>
      <w:r>
        <w:t xml:space="preserve"> </w:t>
      </w:r>
      <w:r>
        <w:t xml:space="preserve">Perché questo potenziale si realizzi, la copertura va modulata in funzione del bisogno, destinando una quota maggiore di risorse alle aree interne e montane e ai piccoli comuni: un’allocazione uniforme rispetto alla popolazione non correggerebbe i divari, mentre un’allocazione ponderata per il bisogno li riduce.</w:t>
      </w:r>
      <w:r>
        <w:rPr>
          <w:rStyle w:val="FootnoteReference"/>
        </w:rPr>
        <w:footnoteReference w:id="3070"/>
      </w:r>
      <w:r>
        <w:t xml:space="preserve"> </w:t>
      </w:r>
      <w:r>
        <w:t xml:space="preserve">Va inoltre tenuto presente che, in Abruzzo, il canale della mobilità costituisce una leva di equità solo modesta per questo intervento, poiché la fuga riguarda l’alta complessità ospedaliera e chirurgica e non la domanda psicologica territoriale, sicché l’equità si gioca prevalentemente sull’accesso interno.</w:t>
      </w:r>
      <w:r>
        <w:rPr>
          <w:rStyle w:val="FootnoteReference"/>
        </w:rPr>
        <w:footnoteReference w:id="3071"/>
      </w:r>
      <w:r>
        <w:t xml:space="preserve"> </w:t>
      </w:r>
      <w:r>
        <w:t xml:space="preserve">Esiste infine un rischio di iniquità inversa particolarmente concreto in una regione a territorio disperso: se l’avvio del servizio privilegiasse, per facilità organizzativa, la fascia costiera già meglio servita, l’effetto distributivo potrebbe risultare regressivo; il rischio va prevenuto con criteri espliciti di equità nell’allocazione, sin dalla fase di avvio.</w:t>
      </w:r>
      <w:r>
        <w:rPr>
          <w:rStyle w:val="FootnoteReference"/>
        </w:rPr>
        <w:footnoteReference w:id="3072"/>
      </w:r>
      <w:r>
        <w:t xml:space="preserve"> </w:t>
      </w:r>
      <w:r>
        <w:t xml:space="preserve">La sintesi è che l’intervento è favorevole all’equità su entrambi gli assi e su entrambi i versanti generazionali, a condizione che la copertura sia modulata per il bisogno e che siano garantite la telepsicologia per le aree interne e l’attenzione tanto al disagio giovanile quanto all’isolamento dell’anziano; la raccomandazione è di adottare, sin dall’avvio, un’allocazione pro-equità che indirizzi le prime sedi e i primi incarichi verso le aree a maggiore bisogno e minore offerta.</w:t>
      </w:r>
      <w:r>
        <w:rPr>
          <w:rStyle w:val="FootnoteReference"/>
        </w:rPr>
        <w:footnoteReference w:id="3073"/>
      </w:r>
      <w:r>
        <w:t xml:space="preserve"> </w:t>
      </w:r>
      <w:r>
        <w:t xml:space="preserve">La tabella seguente riepiloga l’impatto distributivo atteso.</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4"/>
        <w:gridCol w:w="508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distributiva</w:t>
            </w:r>
          </w:p>
        </w:tc>
        <w:tc>
          <w:tcPr>
            <w:shd w:val="clear" w:color="auto" w:fill="16264B"/>
          </w:tcPr>
          <w:p>
            <w:pPr>
              <w:pStyle w:val="Compact"/>
              <w:spacing w:after="40" w:before="40"/>
              <w:jc w:val="left"/>
            </w:pPr>
            <w:r>
              <w:rPr>
                <w:rFonts w:ascii="Cambria" w:hAnsi="Cambria" w:cs="Cambria" w:eastAsia="Cambria"/>
                <w:b/>
                <w:bCs/>
                <w:color w:val="FFFFFF"/>
                <w:sz w:val="18"/>
              </w:rPr>
              <w:t xml:space="preserve">Esito per l’Abruzzo</w:t>
            </w:r>
          </w:p>
        </w:tc>
      </w:tr>
      <w:tr>
        <w:tc>
          <w:tcPr/>
          <w:p>
            <w:pPr>
              <w:pStyle w:val="Compact"/>
              <w:spacing w:after="40" w:before="40"/>
              <w:jc w:val="left"/>
            </w:pPr>
            <w:r>
              <w:rPr>
                <w:rFonts w:ascii="Cambria" w:hAnsi="Cambria" w:cs="Cambria" w:eastAsia="Cambria"/>
                <w:b/>
                <w:bCs/>
                <w:color w:val="1A1A1A"/>
                <w:sz w:val="18"/>
              </w:rPr>
              <w:t xml:space="preserve">Efficienza complessiva</w:t>
            </w:r>
          </w:p>
        </w:tc>
        <w:tc>
          <w:tcPr/>
          <w:p>
            <w:pPr>
              <w:pStyle w:val="Compact"/>
              <w:spacing w:after="40" w:before="40"/>
              <w:jc w:val="left"/>
            </w:pPr>
            <w:r>
              <w:rPr>
                <w:rFonts w:ascii="Cambria" w:hAnsi="Cambria" w:cs="Cambria" w:eastAsia="Cambria"/>
                <w:color w:val="1A1A1A"/>
                <w:sz w:val="18"/>
              </w:rPr>
              <w:t xml:space="preserve">Intervento costo-efficace e dominante per paziente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Direzione dell’effetto distributivo</w:t>
            </w:r>
          </w:p>
        </w:tc>
        <w:tc>
          <w:tcPr>
            <w:shd w:val="clear" w:color="auto" w:fill="F4F1EC"/>
          </w:tcPr>
          <w:p>
            <w:pPr>
              <w:pStyle w:val="Compact"/>
              <w:spacing w:after="40" w:before="40"/>
              <w:jc w:val="left"/>
            </w:pPr>
            <w:r>
              <w:rPr>
                <w:rFonts w:ascii="Cambria" w:hAnsi="Cambria" w:cs="Cambria" w:eastAsia="Cambria"/>
                <w:color w:val="1A1A1A"/>
                <w:sz w:val="18"/>
              </w:rPr>
              <w:t xml:space="preserve">Favorevole all’equità: maggiori benefici nei gruppi a più alto bisogno</w:t>
            </w:r>
          </w:p>
        </w:tc>
      </w:tr>
      <w:tr>
        <w:tc>
          <w:tcPr/>
          <w:p>
            <w:pPr>
              <w:pStyle w:val="Compact"/>
              <w:spacing w:after="40" w:before="40"/>
              <w:jc w:val="left"/>
            </w:pPr>
            <w:r>
              <w:rPr>
                <w:rFonts w:ascii="Cambria" w:hAnsi="Cambria" w:cs="Cambria" w:eastAsia="Cambria"/>
                <w:b/>
                <w:bCs/>
                <w:color w:val="1A1A1A"/>
                <w:sz w:val="18"/>
              </w:rPr>
              <w:t xml:space="preserve">Condizione di realizzazione</w:t>
            </w:r>
          </w:p>
        </w:tc>
        <w:tc>
          <w:tcPr/>
          <w:p>
            <w:pPr>
              <w:pStyle w:val="Compact"/>
              <w:spacing w:after="40" w:before="40"/>
              <w:jc w:val="left"/>
            </w:pPr>
            <w:r>
              <w:rPr>
                <w:rFonts w:ascii="Cambria" w:hAnsi="Cambria" w:cs="Cambria" w:eastAsia="Cambria"/>
                <w:color w:val="1A1A1A"/>
                <w:sz w:val="18"/>
              </w:rPr>
              <w:t xml:space="preserve">Allocazione modulata per il bisogno (aree interne e montane, piccoli comuni)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Strumenti abilitanti</w:t>
            </w:r>
          </w:p>
        </w:tc>
        <w:tc>
          <w:tcPr>
            <w:shd w:val="clear" w:color="auto" w:fill="F4F1EC"/>
          </w:tcPr>
          <w:p>
            <w:pPr>
              <w:pStyle w:val="Compact"/>
              <w:spacing w:after="40" w:before="40"/>
              <w:jc w:val="left"/>
            </w:pPr>
            <w:r>
              <w:rPr>
                <w:rFonts w:ascii="Cambria" w:hAnsi="Cambria" w:cs="Cambria" w:eastAsia="Cambria"/>
                <w:color w:val="1A1A1A"/>
                <w:sz w:val="18"/>
              </w:rPr>
              <w:t xml:space="preserve">Gratuità, prossimità, telepsicologia, competenza generazionale e culturale</w:t>
            </w:r>
          </w:p>
        </w:tc>
      </w:tr>
      <w:tr>
        <w:tc>
          <w:tcPr/>
          <w:p>
            <w:pPr>
              <w:pStyle w:val="Compact"/>
              <w:spacing w:after="40" w:before="40"/>
              <w:jc w:val="left"/>
            </w:pPr>
            <w:r>
              <w:rPr>
                <w:rFonts w:ascii="Cambria" w:hAnsi="Cambria" w:cs="Cambria" w:eastAsia="Cambria"/>
                <w:b/>
                <w:bCs/>
                <w:color w:val="1A1A1A"/>
                <w:sz w:val="18"/>
              </w:rPr>
              <w:t xml:space="preserve">Rischio da prevenire</w:t>
            </w:r>
          </w:p>
        </w:tc>
        <w:tc>
          <w:tcPr/>
          <w:p>
            <w:pPr>
              <w:pStyle w:val="Compact"/>
              <w:spacing w:after="40" w:before="40"/>
              <w:jc w:val="left"/>
            </w:pPr>
            <w:r>
              <w:rPr>
                <w:rFonts w:ascii="Cambria" w:hAnsi="Cambria" w:cs="Cambria" w:eastAsia="Cambria"/>
                <w:color w:val="1A1A1A"/>
                <w:sz w:val="18"/>
              </w:rPr>
              <w:t xml:space="preserve">Iniquità inversa da avvio orientato alla facilità organizzativa sulla costa</w:t>
            </w:r>
          </w:p>
        </w:tc>
      </w:tr>
    </w:tbl>
    <w:p>
      <w:pPr>
        <w:pStyle w:val="BodyText"/>
      </w:pPr>
      <w:r>
        <w:rPr>
          <w:i/>
          <w:iCs/>
        </w:rPr>
        <w:t xml:space="preserve">Tabella G.2. L’impatto distributivo atteso dell’intervento e le sue condizioni.</w:t>
      </w:r>
    </w:p>
    <w:bookmarkEnd w:id="2772"/>
    <w:bookmarkEnd w:id="2773"/>
    <w:bookmarkStart w:id="2794" w:name="X7e279466a4f954aa87409b6ba744920ddf2585b"/>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all’Abruzzo.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dell’Abruzzo emerge sul piano giuridico-finanziario: a differenza del Lazio, ancora privo di legge, e diversamente dalla Campania, uscita dal piano di rientro, l’Abruzzo dispone già di una disciplina vigente e di un regolamento attuativo, ma deve stabilizzarne il finanziamento entro il vincolo di un piano di rientro in peggioramento, sicché la condizione abilitante non è l’approvazione della legge, ma l’attuazione e la stabilizzazione delle risorse oltre quelle transitorie.</w:t>
      </w:r>
    </w:p>
    <w:bookmarkStart w:id="2781" w:name="h.1-il-profilo-giuridico-4"/>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3074"/>
      </w:r>
      <w:r>
        <w:t xml:space="preserve"> </w:t>
      </w:r>
      <w:r>
        <w:t xml:space="preserve">Sul piano giuridico, la materia si colloca nella competenza concorrente in tema di tutela della salute, e la sentenza della Corte Costituzionale n. 241 del 2021 — pronuncia fondativa per l’intera materia — ne ha delimitato lo spazio regionale nel rispetto dei principi fondamentali stabiliti dallo Stato: l’Abruzzo ha quindi legittimamente esercitato, fra le prime regioni, il titolo a istituire il servizio con legge propria.</w:t>
      </w:r>
      <w:r>
        <w:rPr>
          <w:rStyle w:val="FootnoteReference"/>
        </w:rPr>
        <w:footnoteReference w:id="3075"/>
      </w:r>
      <w:r>
        <w:t xml:space="preserve"> </w:t>
      </w:r>
      <w:r>
        <w:t xml:space="preserve">Qui si colloca una prima specificità: disponendo già della legge regionale 28 del 2022 e del regolamento attuativo approvato nel 2024, la decisione giuridica rilevante non è l’approvazione della legge, già compiuta, ma la sua piena attuazione a regime.</w:t>
      </w:r>
      <w:r>
        <w:rPr>
          <w:rStyle w:val="FootnoteReference"/>
        </w:rPr>
        <w:footnoteReference w:id="3076"/>
      </w:r>
      <w:r>
        <w:t xml:space="preserve"> </w:t>
      </w:r>
      <w:r>
        <w:t xml:space="preserve">Il rapporto di lavoro adottato è quello convenzionale su base libero-professionale, con iscrizione a un elenco aziendale e con i requisiti definiti dal regolamento, da presidiare sul piano delle tutele e in attesa della definizione di un contratto collettivo nazionale.</w:t>
      </w:r>
      <w:r>
        <w:rPr>
          <w:rStyle w:val="FootnoteReference"/>
        </w:rPr>
        <w:footnoteReference w:id="3077"/>
      </w:r>
      <w:r>
        <w:t xml:space="preserve"> </w:t>
      </w:r>
      <w:r>
        <w:t xml:space="preserve">Quanto ai livelli essenziali di assistenza, la psicologia di base non vi è ancora esplicitamente ricompresa, e il servizio, oggi sostenuto da uno stanziamento transitorio dell’ordine di quattrocentomila euro l’anno, richiede la stabilizzazione su risorse regionali: ed è qui la seconda e più stringente specificità abruzzese, poiché tale stabilizzazione va conseguita entro il vincolo di un piano di rientro in peggioramento, il che fa della garanzia dei livelli essenziali — che la Corte Costituzionale impone alle regioni in rientro di porre a fondamento di ogni impiego — non un ostacolo, ma l’argomento giuridico decisivo a sostegno del servizio.</w:t>
      </w:r>
      <w:r>
        <w:rPr>
          <w:rStyle w:val="FootnoteReference"/>
        </w:rPr>
        <w:footnoteReference w:id="3078"/>
      </w:r>
      <w:r>
        <w:t xml:space="preserve"> </w:t>
      </w:r>
      <w:r>
        <w:t xml:space="preserve">Il servizio si inserisce coerentemente nella cornice degli standard territoriali e delle Case della Comunità,</w:t>
      </w:r>
      <w:r>
        <w:rPr>
          <w:rStyle w:val="FootnoteReference"/>
        </w:rPr>
        <w:footnoteReference w:id="3079"/>
      </w:r>
      <w:r>
        <w:t xml:space="preserve"> </w:t>
      </w:r>
      <w:r>
        <w:t xml:space="preserve">e si rapporta ai Centri di Salute Mentale per integrazione e non per sovrapposizione, precedendoli e alleggerendoli.</w:t>
      </w:r>
      <w:r>
        <w:rPr>
          <w:rStyle w:val="FootnoteReference"/>
        </w:rPr>
        <w:footnoteReference w:id="3080"/>
      </w:r>
      <w:r>
        <w:t xml:space="preserve"> </w:t>
      </w:r>
      <w:r>
        <w:t xml:space="preserve">La tabella seguente riepiloga i profili giuridici.</w:t>
      </w:r>
    </w:p>
    <w:tbl>
      <w:tblPr>
        <w:tblStyle w:val="Table"/>
        <w:tblW w:type="pct" w:w="494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91"/>
        <w:gridCol w:w="583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Profilo giuridico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l’Abruzzo</w:t>
            </w:r>
          </w:p>
        </w:tc>
      </w:tr>
      <w:tr>
        <w:tc>
          <w:tcPr/>
          <w:p>
            <w:pPr>
              <w:pStyle w:val="Compact"/>
              <w:spacing w:after="40" w:before="40"/>
              <w:jc w:val="left"/>
            </w:pPr>
            <w:r>
              <w:rPr>
                <w:rFonts w:ascii="Cambria" w:hAnsi="Cambria" w:cs="Cambria" w:eastAsia="Cambria"/>
                <w:b/>
                <w:bCs/>
                <w:color w:val="1A1A1A"/>
                <w:sz w:val="18"/>
              </w:rPr>
              <w:t xml:space="preserve">Competenza</w:t>
            </w:r>
          </w:p>
        </w:tc>
        <w:tc>
          <w:tcPr/>
          <w:p>
            <w:pPr>
              <w:pStyle w:val="Compact"/>
              <w:spacing w:after="40" w:before="40"/>
              <w:jc w:val="left"/>
            </w:pPr>
            <w:r>
              <w:rPr>
                <w:rFonts w:ascii="Cambria" w:hAnsi="Cambria" w:cs="Cambria" w:eastAsia="Cambria"/>
                <w:color w:val="1A1A1A"/>
                <w:sz w:val="18"/>
              </w:rPr>
              <w:t xml:space="preserve">Concorrente in tutela della salute; Corte Cost. 241/2021 ne ha delimitato lo spazio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Forma dell’atto</w:t>
            </w:r>
          </w:p>
        </w:tc>
        <w:tc>
          <w:tcPr>
            <w:shd w:val="clear" w:color="auto" w:fill="F4F1EC"/>
          </w:tcPr>
          <w:p>
            <w:pPr>
              <w:pStyle w:val="Compact"/>
              <w:spacing w:after="40" w:before="40"/>
              <w:jc w:val="left"/>
            </w:pPr>
            <w:r>
              <w:rPr>
                <w:rFonts w:ascii="Cambria" w:hAnsi="Cambria" w:cs="Cambria" w:eastAsia="Cambria"/>
                <w:color w:val="1A1A1A"/>
                <w:sz w:val="18"/>
              </w:rPr>
              <w:t xml:space="preserve">Legge regionale 28/2022 già vigente e regolamento attuativo del 2024; da attuare pienamente a regime</w:t>
            </w:r>
          </w:p>
        </w:tc>
      </w:tr>
      <w:tr>
        <w:tc>
          <w:tcPr/>
          <w:p>
            <w:pPr>
              <w:pStyle w:val="Compact"/>
              <w:spacing w:after="40" w:before="40"/>
              <w:jc w:val="left"/>
            </w:pPr>
            <w:r>
              <w:rPr>
                <w:rFonts w:ascii="Cambria" w:hAnsi="Cambria" w:cs="Cambria" w:eastAsia="Cambria"/>
                <w:b/>
                <w:bCs/>
                <w:color w:val="1A1A1A"/>
                <w:sz w:val="18"/>
              </w:rPr>
              <w:t xml:space="preserve">Rapporto di lavoro</w:t>
            </w:r>
          </w:p>
        </w:tc>
        <w:tc>
          <w:tcPr/>
          <w:p>
            <w:pPr>
              <w:pStyle w:val="Compact"/>
              <w:spacing w:after="40" w:before="40"/>
              <w:jc w:val="left"/>
            </w:pPr>
            <w:r>
              <w:rPr>
                <w:rFonts w:ascii="Cambria" w:hAnsi="Cambria" w:cs="Cambria" w:eastAsia="Cambria"/>
                <w:color w:val="1A1A1A"/>
                <w:sz w:val="18"/>
              </w:rPr>
              <w:t xml:space="preserve">Convenzionale libero-professionale con elenco aziendale e requisiti da regolamento; manca un contratto collettivo nazionale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Livelli essenziali di assistenza</w:t>
            </w:r>
          </w:p>
        </w:tc>
        <w:tc>
          <w:tcPr>
            <w:shd w:val="clear" w:color="auto" w:fill="F4F1EC"/>
          </w:tcPr>
          <w:p>
            <w:pPr>
              <w:pStyle w:val="Compact"/>
              <w:spacing w:after="40" w:before="40"/>
              <w:jc w:val="left"/>
            </w:pPr>
            <w:r>
              <w:rPr>
                <w:rFonts w:ascii="Cambria" w:hAnsi="Cambria" w:cs="Cambria" w:eastAsia="Cambria"/>
                <w:color w:val="1A1A1A"/>
                <w:sz w:val="18"/>
              </w:rPr>
              <w:t xml:space="preserve">Non ancora ricompresi; servizio su stanziamento transitorio, da stabilizzare entro il vincolo del piano di rientro</w:t>
            </w:r>
          </w:p>
        </w:tc>
      </w:tr>
      <w:tr>
        <w:tc>
          <w:tcPr/>
          <w:p>
            <w:pPr>
              <w:pStyle w:val="Compact"/>
              <w:spacing w:after="40" w:before="40"/>
              <w:jc w:val="left"/>
            </w:pPr>
            <w:r>
              <w:rPr>
                <w:rFonts w:ascii="Cambria" w:hAnsi="Cambria" w:cs="Cambria" w:eastAsia="Cambria"/>
                <w:b/>
                <w:bCs/>
                <w:color w:val="1A1A1A"/>
                <w:sz w:val="18"/>
              </w:rPr>
              <w:t xml:space="preserve">Cornice territoriale</w:t>
            </w:r>
          </w:p>
        </w:tc>
        <w:tc>
          <w:tcPr/>
          <w:p>
            <w:pPr>
              <w:pStyle w:val="Compact"/>
              <w:spacing w:after="40" w:before="40"/>
              <w:jc w:val="left"/>
            </w:pPr>
            <w:r>
              <w:rPr>
                <w:rFonts w:ascii="Cambria" w:hAnsi="Cambria" w:cs="Cambria" w:eastAsia="Cambria"/>
                <w:color w:val="1A1A1A"/>
                <w:sz w:val="18"/>
              </w:rPr>
              <w:t xml:space="preserve">Decreto Ministeriale 77/2022; inserimento nelle Case della Comunità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con i servizi specialistici</w:t>
            </w:r>
          </w:p>
        </w:tc>
        <w:tc>
          <w:tcPr>
            <w:shd w:val="clear" w:color="auto" w:fill="F4F1EC"/>
          </w:tcPr>
          <w:p>
            <w:pPr>
              <w:pStyle w:val="Compact"/>
              <w:spacing w:after="40" w:before="40"/>
              <w:jc w:val="left"/>
            </w:pPr>
            <w:r>
              <w:rPr>
                <w:rFonts w:ascii="Cambria" w:hAnsi="Cambria" w:cs="Cambria" w:eastAsia="Cambria"/>
                <w:color w:val="1A1A1A"/>
                <w:sz w:val="18"/>
              </w:rPr>
              <w:t xml:space="preserve">Integrazione con i Centri di Salute Mentale, che il servizio precede e alleggerisce</w:t>
            </w:r>
          </w:p>
        </w:tc>
      </w:tr>
    </w:tbl>
    <w:p>
      <w:pPr>
        <w:pStyle w:val="BodyText"/>
      </w:pPr>
      <w:r>
        <w:rPr>
          <w:i/>
          <w:iCs/>
        </w:rPr>
        <w:t xml:space="preserve">Tabella H.1. I profili giuridici del servizio nell’Abruzzo.</w:t>
      </w:r>
    </w:p>
    <w:bookmarkEnd w:id="2781"/>
    <w:bookmarkStart w:id="2785" w:name="X0a22dde75ad9506768e068cd11882dadd0d8928"/>
    <w:p>
      <w:pPr>
        <w:pStyle w:val="Heading3"/>
      </w:pPr>
      <w:r>
        <w:t xml:space="preserve">H.2 Il profilo organizzativo e la governance</w:t>
      </w:r>
    </w:p>
    <w:p>
      <w:pPr>
        <w:pStyle w:val="FirstParagraph"/>
      </w:pPr>
      <w:r>
        <w:t xml:space="preserve">Sul piano organizzativo, la strutturazione del servizio nell’Abruzzo si misura con un sistema articolato in quattro Aziende Sanitarie Locali — Avezzano-Sulmona-L’Aquila, Lanciano-Vasto-Chieti, Pescara e Teramo — e venticinque distretti, e con l’assenza di un’azienda regionale unica, sicché il coordinamento è in capo alla Regione e la sfida centrale non è, come nelle regioni con servizio operativo, consolidare l’esistente, ma avviare il servizio e renderlo omogeneo su un territorio fortemente disperso.</w:t>
      </w:r>
      <w:r>
        <w:rPr>
          <w:rStyle w:val="FootnoteReference"/>
        </w:rPr>
        <w:footnoteReference w:id="3081"/>
      </w:r>
      <w:r>
        <w:t xml:space="preserve"> </w:t>
      </w:r>
      <w:r>
        <w:t xml:space="preserve">L’avvio poggia su una regia regionale che coordina le Aziende, l’Ordine professionale, le rappresentanze della medicina generale e della pediatria di libera scelta e gli atenei; tale regia dispone degli strumenti istituiti dalla legge — l’Osservatorio Regionale e il Tavolo tecnico — cui spetta definire indirizzi operativi uniformi e il sistema di monitoraggio comune, in un contesto in cui la rilevazione epidemiologica regionale opera in modo discontinuo e va perciò ricostruita.</w:t>
      </w:r>
      <w:r>
        <w:rPr>
          <w:rStyle w:val="FootnoteReference"/>
        </w:rPr>
        <w:footnoteReference w:id="3082"/>
      </w:r>
      <w:r>
        <w:t xml:space="preserve"> </w:t>
      </w:r>
      <w:r>
        <w:t xml:space="preserve">In questo quadro l’Ordine degli Psicologi dell’Abruzzo, che ha attivamente sollecitato l’attuazione della legge insieme alle organizzazioni professionali, concorre alla definizione dei requisiti, alla formazione e alla vigilanza deontologica.</w:t>
      </w:r>
      <w:r>
        <w:rPr>
          <w:rStyle w:val="FootnoteReference"/>
        </w:rPr>
        <w:footnoteReference w:id="3083"/>
      </w:r>
      <w:r>
        <w:t xml:space="preserve"> </w:t>
      </w:r>
      <w:r>
        <w:t xml:space="preserve">La tabella seguente sintetizza l’assetto organizzativo e di governance.</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38"/>
        <w:gridCol w:w="60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organizzativo</w:t>
            </w:r>
          </w:p>
        </w:tc>
        <w:tc>
          <w:tcPr>
            <w:shd w:val="clear" w:color="auto" w:fill="16264B"/>
          </w:tcPr>
          <w:p>
            <w:pPr>
              <w:pStyle w:val="Compact"/>
              <w:spacing w:after="40" w:before="40"/>
              <w:jc w:val="left"/>
            </w:pPr>
            <w:r>
              <w:rPr>
                <w:rFonts w:ascii="Cambria" w:hAnsi="Cambria" w:cs="Cambria" w:eastAsia="Cambria"/>
                <w:b/>
                <w:bCs/>
                <w:color w:val="FFFFFF"/>
                <w:sz w:val="18"/>
              </w:rPr>
              <w:t xml:space="preserve">Assetto per l’Abruzzo</w:t>
            </w:r>
          </w:p>
        </w:tc>
      </w:tr>
      <w:tr>
        <w:tc>
          <w:tcPr/>
          <w:p>
            <w:pPr>
              <w:pStyle w:val="Compact"/>
              <w:spacing w:after="40" w:before="40"/>
              <w:jc w:val="left"/>
            </w:pPr>
            <w:r>
              <w:rPr>
                <w:rFonts w:ascii="Cambria" w:hAnsi="Cambria" w:cs="Cambria" w:eastAsia="Cambria"/>
                <w:b/>
                <w:bCs/>
                <w:color w:val="1A1A1A"/>
                <w:sz w:val="18"/>
              </w:rPr>
              <w:t xml:space="preserve">Articolazione del sistema</w:t>
            </w:r>
          </w:p>
        </w:tc>
        <w:tc>
          <w:tcPr/>
          <w:p>
            <w:pPr>
              <w:pStyle w:val="Compact"/>
              <w:spacing w:after="40" w:before="40"/>
              <w:jc w:val="left"/>
            </w:pPr>
            <w:r>
              <w:rPr>
                <w:rFonts w:ascii="Cambria" w:hAnsi="Cambria" w:cs="Cambria" w:eastAsia="Cambria"/>
                <w:color w:val="1A1A1A"/>
                <w:sz w:val="18"/>
              </w:rPr>
              <w:t xml:space="preserve">Quattro Aziende Sanitarie Locali (Avezzano-Sulmona-L’Aquila, Lanciano-Vasto-Chieti, Pescara, Teramo); venticinque distretti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Coordinamento</w:t>
            </w:r>
          </w:p>
        </w:tc>
        <w:tc>
          <w:tcPr>
            <w:shd w:val="clear" w:color="auto" w:fill="F4F1EC"/>
          </w:tcPr>
          <w:p>
            <w:pPr>
              <w:pStyle w:val="Compact"/>
              <w:spacing w:after="40" w:before="40"/>
              <w:jc w:val="left"/>
            </w:pPr>
            <w:r>
              <w:rPr>
                <w:rFonts w:ascii="Cambria" w:hAnsi="Cambria" w:cs="Cambria" w:eastAsia="Cambria"/>
                <w:color w:val="1A1A1A"/>
                <w:sz w:val="18"/>
              </w:rPr>
              <w:t xml:space="preserve">In capo alla Regione; assenza di un’azienda regionale unica</w:t>
            </w:r>
          </w:p>
        </w:tc>
      </w:tr>
      <w:tr>
        <w:tc>
          <w:tcPr/>
          <w:p>
            <w:pPr>
              <w:pStyle w:val="Compact"/>
              <w:spacing w:after="40" w:before="40"/>
              <w:jc w:val="left"/>
            </w:pPr>
            <w:r>
              <w:rPr>
                <w:rFonts w:ascii="Cambria" w:hAnsi="Cambria" w:cs="Cambria" w:eastAsia="Cambria"/>
                <w:b/>
                <w:bCs/>
                <w:color w:val="1A1A1A"/>
                <w:sz w:val="18"/>
              </w:rPr>
              <w:t xml:space="preserve">Sfida organizzativa</w:t>
            </w:r>
          </w:p>
        </w:tc>
        <w:tc>
          <w:tcPr/>
          <w:p>
            <w:pPr>
              <w:pStyle w:val="Compact"/>
              <w:spacing w:after="40" w:before="40"/>
              <w:jc w:val="left"/>
            </w:pPr>
            <w:r>
              <w:rPr>
                <w:rFonts w:ascii="Cambria" w:hAnsi="Cambria" w:cs="Cambria" w:eastAsia="Cambria"/>
                <w:color w:val="1A1A1A"/>
                <w:sz w:val="18"/>
              </w:rPr>
              <w:t xml:space="preserve">Avviare il servizio e renderlo omogeneo su un territorio disperso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Regia della strutturazione</w:t>
            </w:r>
          </w:p>
        </w:tc>
        <w:tc>
          <w:tcPr>
            <w:shd w:val="clear" w:color="auto" w:fill="F4F1EC"/>
          </w:tcPr>
          <w:p>
            <w:pPr>
              <w:pStyle w:val="Compact"/>
              <w:spacing w:after="40" w:before="40"/>
              <w:jc w:val="left"/>
            </w:pPr>
            <w:r>
              <w:rPr>
                <w:rFonts w:ascii="Cambria" w:hAnsi="Cambria" w:cs="Cambria" w:eastAsia="Cambria"/>
                <w:color w:val="1A1A1A"/>
                <w:sz w:val="18"/>
              </w:rPr>
              <w:t xml:space="preserve">Osservatorio Regionale e Tavolo tecnico istituiti dalla legge; indirizzi uniformi e monitoraggio</w:t>
            </w:r>
          </w:p>
        </w:tc>
      </w:tr>
      <w:tr>
        <w:tc>
          <w:tcPr/>
          <w:p>
            <w:pPr>
              <w:pStyle w:val="Compact"/>
              <w:spacing w:after="40" w:before="40"/>
              <w:jc w:val="left"/>
            </w:pPr>
            <w:r>
              <w:rPr>
                <w:rFonts w:ascii="Cambria" w:hAnsi="Cambria" w:cs="Cambria" w:eastAsia="Cambria"/>
                <w:b/>
                <w:bCs/>
                <w:color w:val="1A1A1A"/>
                <w:sz w:val="18"/>
              </w:rPr>
              <w:t xml:space="preserve">Soggetti coinvolti</w:t>
            </w:r>
          </w:p>
        </w:tc>
        <w:tc>
          <w:tcPr/>
          <w:p>
            <w:pPr>
              <w:pStyle w:val="Compact"/>
              <w:spacing w:after="40" w:before="40"/>
              <w:jc w:val="left"/>
            </w:pPr>
            <w:r>
              <w:rPr>
                <w:rFonts w:ascii="Cambria" w:hAnsi="Cambria" w:cs="Cambria" w:eastAsia="Cambria"/>
                <w:color w:val="1A1A1A"/>
                <w:sz w:val="18"/>
              </w:rPr>
              <w:t xml:space="preserve">Aziende, Ordine professionale, medicina generale e pediatria, atenei</w:t>
            </w:r>
          </w:p>
        </w:tc>
      </w:tr>
    </w:tbl>
    <w:p>
      <w:pPr>
        <w:pStyle w:val="BodyText"/>
      </w:pPr>
      <w:r>
        <w:rPr>
          <w:i/>
          <w:iCs/>
        </w:rPr>
        <w:t xml:space="preserve">Tabella H.2. L’assetto organizzativo e la governance dell’attuazione.</w:t>
      </w:r>
    </w:p>
    <w:bookmarkEnd w:id="2785"/>
    <w:bookmarkStart w:id="2791" w:name="h.3-il-profilo-etico-4"/>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3084"/>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3085"/>
      </w:r>
      <w:r>
        <w:t xml:space="preserve"> </w:t>
      </w:r>
      <w:r>
        <w:t xml:space="preserve">Gli strumenti di intelligenza artificiale sono concepiti come ausilio del clinico, in conformità al quadro europeo e ai requisiti sui dispositivi medici,</w:t>
      </w:r>
      <w:r>
        <w:rPr>
          <w:rStyle w:val="FootnoteReference"/>
        </w:rPr>
        <w:footnoteReference w:id="3086"/>
      </w:r>
      <w:r>
        <w:t xml:space="preserve"> </w:t>
      </w:r>
      <w:r>
        <w:t xml:space="preserve">il trattamento dei dati è conforme alla normativa e ispirato alla minimizzazione,</w:t>
      </w:r>
      <w:r>
        <w:rPr>
          <w:rStyle w:val="FootnoteReference"/>
        </w:rPr>
        <w:footnoteReference w:id="3087"/>
      </w:r>
      <w:r>
        <w:t xml:space="preserve"> </w:t>
      </w:r>
      <w:r>
        <w:t xml:space="preserve">e la responsabilità delle decisioni cliniche resta interamente in capo al professionista, cui gli strumenti forniscono un ausilio non vincolante.</w:t>
      </w:r>
      <w:r>
        <w:rPr>
          <w:rStyle w:val="FootnoteReference"/>
        </w:rPr>
        <w:footnoteReference w:id="3088"/>
      </w:r>
    </w:p>
    <w:bookmarkEnd w:id="2791"/>
    <w:bookmarkStart w:id="2793" w:name="h.4-sintesi-dei-profili-3"/>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l’Abruzzo, l’approvazione della legge — già in vigore e corredata di regolamento attuativo — ma l’attuazione del servizio e la stabilizzazione del suo finanziamento oltre le risorse transitorie, da conseguire entro il vincolo del piano di rientro. È questo il passaggio da cui dipende il passaggio dall’attuazione iniziale al regime, e proprio in tale passaggio la garanzia dei livelli essenziali, lungi dall’essere un ostacolo, costituisce l’argomento che ne fonda la priorità.</w:t>
      </w:r>
      <w:r>
        <w:rPr>
          <w:rStyle w:val="FootnoteReference"/>
        </w:rPr>
        <w:footnoteReference w:id="3089"/>
      </w:r>
      <w:r>
        <w:t xml:space="preserve"> </w:t>
      </w:r>
      <w:r>
        <w:t xml:space="preserve">Definiti i profili, la parte che segue affronta l’attuazione, la fattibilità e la sostenibilità.</w:t>
      </w:r>
    </w:p>
    <w:bookmarkEnd w:id="2793"/>
    <w:bookmarkEnd w:id="2794"/>
    <w:bookmarkStart w:id="2816" w:name="Xe587152288550bf61f7dff2103bb8e1d00ac3eb"/>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all’Abruzzo. La parte espone i cinque casi (capitolo I.1); definisce il dimensionamento e le fasi di attuazione (I.2); tratta il reclutamento, la formazione e il cronoprogramma (I.3); analizza la sostenibilità finanziaria e organizzativa (I.4); e individua i rischi e le mitigazioni (I.5). Il tratto distintivo dell’Abruzzo è che l’attuazione muove da una disciplina già vigente e da un regolamento attuativo, ma deve passare dall’attuazione iniziale al regime entro il vincolo di un piano di rientro in peggioramento: non l’istituzione, dunque, e neppure la sola strutturazione a margini riacquistati come in Campania, ma l’attuazione e la stabilizzazione del finanziamento sotto un vincolo fiscale fra i più stringenti, dove l’argomento dei livelli essenziali e l’autofinanziamento quasi integrale sul bilancio diretto costituiscono il fondamento della sostenibilità.</w:t>
      </w:r>
    </w:p>
    <w:bookmarkStart w:id="2801" w:name="i.1-i-cinque-casi-della-decisione-3"/>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3090"/>
      </w:r>
      <w:r>
        <w:t xml:space="preserve"> </w:t>
      </w:r>
      <w:r>
        <w:t xml:space="preserve">Il caso strategico è solido: l’istituzione del servizio è coerente con gli standard territoriali, con le Case della Comunità e con la programmazione regionale di salute mentale, e nell’Abruzzo presenta una coerenza ulteriore, poiché rafforza l’assistenza territoriale proprio dove la regione è sotto adempienza sui livelli essenziali.</w:t>
      </w:r>
      <w:r>
        <w:rPr>
          <w:rStyle w:val="FootnoteReference"/>
        </w:rPr>
        <w:footnoteReference w:id="3091"/>
      </w:r>
      <w:r>
        <w:t xml:space="preserve"> </w:t>
      </w:r>
      <w:r>
        <w:t xml:space="preserve">Il caso economico rinvia ai risultati già esposti, nel quadro della distinzione fra un caso finanziario prossimo al pareggio e un caso sociale fortemente positivo.</w:t>
      </w:r>
      <w:r>
        <w:rPr>
          <w:rStyle w:val="FootnoteReference"/>
        </w:rPr>
        <w:footnoteReference w:id="3092"/>
      </w:r>
      <w:r>
        <w:t xml:space="preserve"> </w:t>
      </w:r>
      <w:r>
        <w:t xml:space="preserve">Il caso commerciale si avvale del rapporto convenzionale già disciplinato e di un bacino professionale alimentato dai tre atenei regionali, con i requisiti definiti dal regolamento.</w:t>
      </w:r>
      <w:r>
        <w:rPr>
          <w:rStyle w:val="FootnoteReference"/>
        </w:rPr>
        <w:footnoteReference w:id="3093"/>
      </w:r>
      <w:r>
        <w:t xml:space="preserve"> </w:t>
      </w:r>
      <w:r>
        <w:t xml:space="preserve">Il caso finanziario è il più impegnativo: il costo a regime è una frazione modesta del finanziamento sanitario regionale, ma la stabilizzazione delle risorse va conseguita entro il vincolo di un piano di rientro in peggioramento, sicché la garanzia dei livelli essenziali e l’autofinanziamento quasi integrale sul bilancio diretto ne costituiscono il fondamento.</w:t>
      </w:r>
      <w:r>
        <w:rPr>
          <w:rStyle w:val="FootnoteReference"/>
        </w:rPr>
        <w:footnoteReference w:id="3094"/>
      </w:r>
      <w:r>
        <w:t xml:space="preserve"> </w:t>
      </w:r>
      <w:r>
        <w:t xml:space="preserve">Il caso gestionale dipende da una regia regionale che, in assenza di un’azienda unica, coordini quattro Aziende e venticinque distretti su un territorio disperso.</w:t>
      </w:r>
      <w:r>
        <w:rPr>
          <w:rStyle w:val="FootnoteReference"/>
        </w:rPr>
        <w:footnoteReference w:id="3095"/>
      </w:r>
      <w:r>
        <w:t xml:space="preserve"> </w:t>
      </w:r>
      <w:r>
        <w:t xml:space="preserve">La tabella seguente riepiloga i cinque casi.</w:t>
      </w:r>
    </w:p>
    <w:tbl>
      <w:tblPr>
        <w:tblStyle w:val="Table"/>
        <w:tblW w:type="pct" w:w="495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04"/>
        <w:gridCol w:w="643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Caso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l’Abruzzo</w:t>
            </w:r>
          </w:p>
        </w:tc>
      </w:tr>
      <w:tr>
        <w:tc>
          <w:tcPr/>
          <w:p>
            <w:pPr>
              <w:pStyle w:val="Compact"/>
              <w:spacing w:after="40" w:before="40"/>
              <w:jc w:val="left"/>
            </w:pPr>
            <w:r>
              <w:rPr>
                <w:rFonts w:ascii="Cambria" w:hAnsi="Cambria" w:cs="Cambria" w:eastAsia="Cambria"/>
                <w:b/>
                <w:bCs/>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Coerenza con DM 77/2022, Case della Comunità e programmazione salute mentale; rafforzamento dell’assistenza territoriale, oggi sotto adempienza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Rapporto beneficio-costo 3,4–5,1 a uno; dominanza per paziente; caso finanziario prossimo al pareggio, caso sociale fortemente positivo</w:t>
            </w:r>
          </w:p>
        </w:tc>
      </w:tr>
      <w:tr>
        <w:tc>
          <w:tcPr/>
          <w:p>
            <w:pPr>
              <w:pStyle w:val="Compact"/>
              <w:spacing w:after="40" w:before="40"/>
              <w:jc w:val="left"/>
            </w:pPr>
            <w:r>
              <w:rPr>
                <w:rFonts w:ascii="Cambria" w:hAnsi="Cambria" w:cs="Cambria" w:eastAsia="Cambria"/>
                <w:b/>
                <w:bCs/>
                <w:color w:val="1A1A1A"/>
                <w:sz w:val="18"/>
              </w:rPr>
              <w:t xml:space="preserve">Commerciale</w:t>
            </w:r>
          </w:p>
        </w:tc>
        <w:tc>
          <w:tcPr/>
          <w:p>
            <w:pPr>
              <w:pStyle w:val="Compact"/>
              <w:spacing w:after="40" w:before="40"/>
              <w:jc w:val="left"/>
            </w:pPr>
            <w:r>
              <w:rPr>
                <w:rFonts w:ascii="Cambria" w:hAnsi="Cambria" w:cs="Cambria" w:eastAsia="Cambria"/>
                <w:color w:val="1A1A1A"/>
                <w:sz w:val="18"/>
              </w:rPr>
              <w:t xml:space="preserve">Rapporto convenzionale già disciplinato; bacino professionale alimentato dai tre atenei; requisiti da regolamento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Finanziario</w:t>
            </w:r>
          </w:p>
        </w:tc>
        <w:tc>
          <w:tcPr>
            <w:shd w:val="clear" w:color="auto" w:fill="F4F1EC"/>
          </w:tcPr>
          <w:p>
            <w:pPr>
              <w:pStyle w:val="Compact"/>
              <w:spacing w:after="40" w:before="40"/>
              <w:jc w:val="left"/>
            </w:pPr>
            <w:r>
              <w:rPr>
                <w:rFonts w:ascii="Cambria" w:hAnsi="Cambria" w:cs="Cambria" w:eastAsia="Cambria"/>
                <w:color w:val="1A1A1A"/>
                <w:sz w:val="18"/>
              </w:rPr>
              <w:t xml:space="preserve">Costo inferiore all’1% del FSR; stabilizzazione entro il vincolo del piano di rientro; garanzia dei livelli essenziali e autofinanziamento diretto come fondamento</w:t>
            </w:r>
          </w:p>
        </w:tc>
      </w:tr>
      <w:tr>
        <w:tc>
          <w:tcPr/>
          <w:p>
            <w:pPr>
              <w:pStyle w:val="Compact"/>
              <w:spacing w:after="40" w:before="40"/>
              <w:jc w:val="left"/>
            </w:pPr>
            <w:r>
              <w:rPr>
                <w:rFonts w:ascii="Cambria" w:hAnsi="Cambria" w:cs="Cambria" w:eastAsia="Cambria"/>
                <w:b/>
                <w:bCs/>
                <w:color w:val="1A1A1A"/>
                <w:sz w:val="18"/>
              </w:rPr>
              <w:t xml:space="preserve">Gestionale</w:t>
            </w:r>
          </w:p>
        </w:tc>
        <w:tc>
          <w:tcPr/>
          <w:p>
            <w:pPr>
              <w:pStyle w:val="Compact"/>
              <w:spacing w:after="40" w:before="40"/>
              <w:jc w:val="left"/>
            </w:pPr>
            <w:r>
              <w:rPr>
                <w:rFonts w:ascii="Cambria" w:hAnsi="Cambria" w:cs="Cambria" w:eastAsia="Cambria"/>
                <w:color w:val="1A1A1A"/>
                <w:sz w:val="18"/>
              </w:rPr>
              <w:t xml:space="preserve">Regia regionale di coordinamento di quattro Aziende e venticinque distretti, in assenza di azienda unica</w:t>
            </w:r>
          </w:p>
        </w:tc>
      </w:tr>
    </w:tbl>
    <w:p>
      <w:pPr>
        <w:pStyle w:val="BodyText"/>
      </w:pPr>
      <w:r>
        <w:rPr>
          <w:i/>
          <w:iCs/>
        </w:rPr>
        <w:t xml:space="preserve">Tabella I.1. I cinque casi della decisione di investimento pubblico.</w:t>
      </w:r>
    </w:p>
    <w:bookmarkEnd w:id="2801"/>
    <w:bookmarkStart w:id="2804" w:name="X04a54faf3b1f580c14b411d1525528e20dd4533"/>
    <w:p>
      <w:pPr>
        <w:pStyle w:val="Heading3"/>
      </w:pPr>
      <w:r>
        <w:t xml:space="preserve">I.2 Il dimensionamento e le fasi di attuazione</w:t>
      </w:r>
    </w:p>
    <w:p>
      <w:pPr>
        <w:pStyle w:val="FirstParagraph"/>
      </w:pPr>
      <w:r>
        <w:t xml:space="preserve">A differenza delle regioni con servizio operativo, l’Abruzzo muove da un’attuazione iniziale, sostenuta da uno stanziamento transitorio, e dimensiona il servizio verso un fabbisogno a regime dell’ordine di 280 psicologi nello scenario espansivo; l’estensione procede per gradi attraverso gli scenari conservativo, di base ed espansivo, dell’ordine di 85, 180 e 280 incarichi.</w:t>
      </w:r>
      <w:r>
        <w:rPr>
          <w:rStyle w:val="FootnoteReference"/>
        </w:rPr>
        <w:footnoteReference w:id="3096"/>
      </w:r>
      <w:r>
        <w:t xml:space="preserve"> </w:t>
      </w:r>
      <w:r>
        <w:t xml:space="preserve">L’attuazione si articola perciò in tre fasi: una fase di avvio, con la costituzione degli elenchi aziendali, l’apertura delle prime sedi e la stabilizzazione del finanziamento; una fase di estensione, nella quale la copertura si amplia progressivamente fra le quattro Aziende; e una fase di regime, nella quale il servizio raggiunge il dimensionamento adeguato. La progressione differenziata dell’avvio fra le Aziende coincide con l’esperimento a cunei progressivi descritto nella Parte F.</w:t>
      </w:r>
      <w:r>
        <w:rPr>
          <w:rStyle w:val="FootnoteReference"/>
        </w:rPr>
        <w:footnoteReference w:id="3097"/>
      </w:r>
      <w:r>
        <w:t xml:space="preserve"> </w:t>
      </w:r>
      <w:r>
        <w:t xml:space="preserve">La tabella seguente riepiloga le fasi.</w:t>
      </w:r>
    </w:p>
    <w:tbl>
      <w:tblPr>
        <w:tblStyle w:val="Table"/>
        <w:tblW w:type="pct" w:w="493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234"/>
        <w:gridCol w:w="4422"/>
        <w:gridCol w:w="216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Dimensionamento indicativo</w:t>
            </w:r>
          </w:p>
        </w:tc>
      </w:tr>
      <w:tr>
        <w:tc>
          <w:tcPr/>
          <w:p>
            <w:pPr>
              <w:pStyle w:val="Compact"/>
              <w:spacing w:after="40" w:before="40"/>
              <w:jc w:val="left"/>
            </w:pPr>
            <w:r>
              <w:rPr>
                <w:rFonts w:ascii="Cambria" w:hAnsi="Cambria" w:cs="Cambria" w:eastAsia="Cambria"/>
                <w:b/>
                <w:bCs/>
                <w:color w:val="1A1A1A"/>
                <w:sz w:val="18"/>
              </w:rPr>
              <w:t xml:space="preserve">Avvio</w:t>
            </w:r>
          </w:p>
        </w:tc>
        <w:tc>
          <w:tcPr/>
          <w:p>
            <w:pPr>
              <w:pStyle w:val="Compact"/>
              <w:spacing w:after="40" w:before="40"/>
              <w:jc w:val="left"/>
            </w:pPr>
            <w:r>
              <w:rPr>
                <w:rFonts w:ascii="Cambria" w:hAnsi="Cambria" w:cs="Cambria" w:eastAsia="Cambria"/>
                <w:color w:val="1A1A1A"/>
                <w:sz w:val="18"/>
              </w:rPr>
              <w:t xml:space="preserve">Costituzione degli elenchi aziendali, prime sedi, stabilizzazione del finanziamento</w:t>
            </w:r>
          </w:p>
        </w:tc>
        <w:tc>
          <w:tcPr/>
          <w:p>
            <w:pPr>
              <w:pStyle w:val="Compact"/>
              <w:spacing w:after="40" w:before="40"/>
              <w:jc w:val="left"/>
            </w:pPr>
            <w:r>
              <w:rPr>
                <w:rFonts w:ascii="Cambria" w:hAnsi="Cambria" w:cs="Cambria" w:eastAsia="Cambria"/>
                <w:color w:val="1A1A1A"/>
                <w:sz w:val="18"/>
              </w:rPr>
              <w:t xml:space="preserve">~ 85 incarichi (scenario conservativo)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Estensione</w:t>
            </w:r>
          </w:p>
        </w:tc>
        <w:tc>
          <w:tcPr>
            <w:shd w:val="clear" w:color="auto" w:fill="F4F1EC"/>
          </w:tcPr>
          <w:p>
            <w:pPr>
              <w:pStyle w:val="Compact"/>
              <w:spacing w:after="40" w:before="40"/>
              <w:jc w:val="left"/>
            </w:pPr>
            <w:r>
              <w:rPr>
                <w:rFonts w:ascii="Cambria" w:hAnsi="Cambria" w:cs="Cambria" w:eastAsia="Cambria"/>
                <w:color w:val="1A1A1A"/>
                <w:sz w:val="18"/>
              </w:rPr>
              <w:t xml:space="preserve">Ampliamento progressivo della copertura fra le quattro Aziende</w:t>
            </w:r>
          </w:p>
        </w:tc>
        <w:tc>
          <w:tcPr>
            <w:shd w:val="clear" w:color="auto" w:fill="F4F1EC"/>
          </w:tcPr>
          <w:p>
            <w:pPr>
              <w:pStyle w:val="Compact"/>
              <w:spacing w:after="40" w:before="40"/>
              <w:jc w:val="left"/>
            </w:pPr>
            <w:r>
              <w:rPr>
                <w:rFonts w:ascii="Cambria" w:hAnsi="Cambria" w:cs="Cambria" w:eastAsia="Cambria"/>
                <w:color w:val="1A1A1A"/>
                <w:sz w:val="18"/>
              </w:rPr>
              <w:t xml:space="preserve">verso ~ 180 incarichi</w:t>
            </w:r>
          </w:p>
        </w:tc>
      </w:tr>
      <w:tr>
        <w:tc>
          <w:tcPr/>
          <w:p>
            <w:pPr>
              <w:pStyle w:val="Compact"/>
              <w:spacing w:after="40" w:before="40"/>
              <w:jc w:val="left"/>
            </w:pPr>
            <w:r>
              <w:rPr>
                <w:rFonts w:ascii="Cambria" w:hAnsi="Cambria" w:cs="Cambria" w:eastAsia="Cambria"/>
                <w:b/>
                <w:bCs/>
                <w:color w:val="1A1A1A"/>
                <w:sz w:val="18"/>
              </w:rPr>
              <w:t xml:space="preserve">Regime</w:t>
            </w:r>
          </w:p>
        </w:tc>
        <w:tc>
          <w:tcPr/>
          <w:p>
            <w:pPr>
              <w:pStyle w:val="Compact"/>
              <w:spacing w:after="40" w:before="40"/>
              <w:jc w:val="left"/>
            </w:pPr>
            <w:r>
              <w:rPr>
                <w:rFonts w:ascii="Cambria" w:hAnsi="Cambria" w:cs="Cambria" w:eastAsia="Cambria"/>
                <w:color w:val="1A1A1A"/>
                <w:sz w:val="18"/>
              </w:rPr>
              <w:t xml:space="preserve">Dimensionamento adeguato al fabbisogno</w:t>
            </w:r>
          </w:p>
        </w:tc>
        <w:tc>
          <w:tcPr/>
          <w:p>
            <w:pPr>
              <w:pStyle w:val="Compact"/>
              <w:spacing w:after="40" w:before="40"/>
              <w:jc w:val="left"/>
            </w:pPr>
            <w:r>
              <w:rPr>
                <w:rFonts w:ascii="Cambria" w:hAnsi="Cambria" w:cs="Cambria" w:eastAsia="Cambria"/>
                <w:color w:val="1A1A1A"/>
                <w:sz w:val="18"/>
              </w:rPr>
              <w:t xml:space="preserve">fino a ~ 280 incarichi</w:t>
            </w:r>
          </w:p>
        </w:tc>
      </w:tr>
    </w:tbl>
    <w:p>
      <w:pPr>
        <w:pStyle w:val="BodyText"/>
      </w:pPr>
      <w:r>
        <w:rPr>
          <w:i/>
          <w:iCs/>
        </w:rPr>
        <w:t xml:space="preserve">Tabella I.2. Le fasi di attuazione e il dimensionamento progressivo.</w:t>
      </w:r>
    </w:p>
    <w:bookmarkEnd w:id="2804"/>
    <w:bookmarkStart w:id="2807" w:name="Xca6511e8a2b9195af5bbbf69ec25476c57b6513"/>
    <w:p>
      <w:pPr>
        <w:pStyle w:val="Heading3"/>
      </w:pPr>
      <w:r>
        <w:t xml:space="preserve">I.3 Reclutamento, formazione e cronoprogramma</w:t>
      </w:r>
    </w:p>
    <w:p>
      <w:pPr>
        <w:pStyle w:val="FirstParagraph"/>
      </w:pPr>
      <w:r>
        <w:t xml:space="preserve">L’attuazione richiede il reclutamento e la formazione dedicata degli psicologi, secondo il programma a quattro livelli; il bacino alimentato dai tre atenei regionali — l’Università dell’Aquila, l’Università</w:t>
      </w:r>
      <w:r>
        <w:t xml:space="preserve"> </w:t>
      </w:r>
      <w:r>
        <w:t xml:space="preserve">“Gabriele d’Annunzio”</w:t>
      </w:r>
      <w:r>
        <w:t xml:space="preserve"> </w:t>
      </w:r>
      <w:r>
        <w:t xml:space="preserve">di Chieti-Pescara e l’Università di Teramo — e i requisiti definiti dal regolamento costituiscono una base adeguata, e la formazione specialistica assicura l’omogeneità delle competenze su un territorio disperso.</w:t>
      </w:r>
      <w:r>
        <w:rPr>
          <w:rStyle w:val="FootnoteReference"/>
        </w:rPr>
        <w:footnoteReference w:id="3098"/>
      </w:r>
      <w:r>
        <w:t xml:space="preserve"> </w:t>
      </w:r>
      <w:r>
        <w:t xml:space="preserve">Il cronoprogramma si sviluppa su un orizzonte pluriennale, con il raggiungimento del regime in più esercizi; a differenza del Lazio, l’attuazione non è subordinata all’approvazione di una legge — già in vigore e corredata di regolamento — ma alla stabilizzazione del finanziamento entro il vincolo del piano di rientro, che ne costituisce la condizione dirimente.</w:t>
      </w:r>
      <w:r>
        <w:rPr>
          <w:rStyle w:val="FootnoteReference"/>
        </w:rPr>
        <w:footnoteReference w:id="3099"/>
      </w:r>
    </w:p>
    <w:bookmarkEnd w:id="2807"/>
    <w:bookmarkStart w:id="2811" w:name="X9d4d2e7ac23f9f84ad861ff621df8ce8c37d1dc"/>
    <w:p>
      <w:pPr>
        <w:pStyle w:val="Heading3"/>
      </w:pPr>
      <w:r>
        <w:t xml:space="preserve">I.4 La sostenibilità finanziaria e organizzativa</w:t>
      </w:r>
    </w:p>
    <w:p>
      <w:pPr>
        <w:pStyle w:val="FirstParagraph"/>
      </w:pPr>
      <w:r>
        <w:t xml:space="preserve">La sostenibilità finanziaria, nell’Abruzzo, ha per leva la stabilizzazione del finanziamento — il passaggio dallo stanziamento transitorio a risorse regionali stabili — da conseguire in una regione in piano di rientro in peggioramento: è la sfida più ardua fra quelle considerate, ma è sorretta da due circostanze che la rendono praticabile. La prima è l’entità modesta del costo, inferiore all’uno per cento del finanziamento sanitario regionale anche a regime; la seconda è il fatto che il servizio si autofinanzia quasi integralmente sul bilancio diretto e, intercettando un bisogno inevaso, concorre alla garanzia dei livelli essenziali, che la Corte Costituzionale impone alle regioni in rientro di porre a fondamento di ogni impiego; l’eventuale riconoscimento nei livelli essenziali di assistenza ne rafforzerebbe ulteriormente la stabilità.</w:t>
      </w:r>
      <w:r>
        <w:rPr>
          <w:rStyle w:val="FootnoteReference"/>
        </w:rPr>
        <w:footnoteReference w:id="3100"/>
      </w:r>
      <w:r>
        <w:t xml:space="preserve"> </w:t>
      </w:r>
      <w:r>
        <w:t xml:space="preserve">La sostenibilità organizzativa dipende invece dalla capacità di garantire l’omogeneità attuativa fra le quattro Aziende Sanitarie Locali su un territorio disperso e privo di un’azienda regionale unica, e quindi dalla forza della regia regionale, dal ruolo dell’Osservatorio Regionale e del Tavolo tecnico e dalla chiarezza degli indirizzi operativi.</w:t>
      </w:r>
      <w:r>
        <w:rPr>
          <w:rStyle w:val="FootnoteReference"/>
        </w:rPr>
        <w:footnoteReference w:id="3101"/>
      </w:r>
      <w:r>
        <w:t xml:space="preserve"> </w:t>
      </w:r>
      <w:r>
        <w:t xml:space="preserve">L’avanzamento è seguito mediante indicatori di processo raccolti attraverso il flusso informativo da costruire contestualmente all’attuazione, in un contesto di rilevazione epidemiologica discontinua.</w:t>
      </w:r>
      <w:r>
        <w:rPr>
          <w:rStyle w:val="FootnoteReference"/>
        </w:rPr>
        <w:footnoteReference w:id="3102"/>
      </w:r>
    </w:p>
    <w:bookmarkEnd w:id="2811"/>
    <w:bookmarkStart w:id="2815" w:name="i.5-i-rischi-e-le-mitigazioni-3"/>
    <w:p>
      <w:pPr>
        <w:pStyle w:val="Heading3"/>
      </w:pPr>
      <w:r>
        <w:t xml:space="preserve">I.5 I rischi e le mitigazioni</w:t>
      </w:r>
    </w:p>
    <w:p>
      <w:pPr>
        <w:pStyle w:val="FirstParagraph"/>
      </w:pPr>
      <w:r>
        <w:t xml:space="preserve">L’attuazione presenta rischi propri della posizione abruzzese: il vincolo del piano di rientro in peggioramento sulla stabilizzazione del finanziamento, che introduce un’incertezza finanziaria fino al consolidamento su risorse regionali; la disomogeneità attuativa fra le Aziende su un territorio disperso; la difficoltà di coordinamento in assenza di un’azienda unica; e la discontinuità della rilevazione epidemiologica, che impone di costruire il flusso informativo prima assente.</w:t>
      </w:r>
      <w:r>
        <w:rPr>
          <w:rStyle w:val="FootnoteReference"/>
        </w:rPr>
        <w:footnoteReference w:id="3103"/>
      </w:r>
      <w:r>
        <w:t xml:space="preserve"> </w:t>
      </w:r>
      <w:r>
        <w:t xml:space="preserve">Tali rischi sono fronteggiati ponendo a sostegno della stabilizzazione l’argomento dei livelli essenziali e l’autofinanziamento quasi integrale sul bilancio diretto; con una regia regionale forte e indirizzi operativi uniformi; con la progressione differenziata dell’avvio, che consente un apprendimento progressivo; con la costruzione del sistema informativo sin dall’avvio; e con un’allocazione pro-equità che orienta l’estensione verso le aree interne e montane.</w:t>
      </w:r>
      <w:r>
        <w:rPr>
          <w:rStyle w:val="FootnoteReference"/>
        </w:rPr>
        <w:footnoteReference w:id="3104"/>
      </w:r>
      <w:r>
        <w:t xml:space="preserve"> </w:t>
      </w:r>
      <w:r>
        <w:t xml:space="preserve">La sintesi è che l’intervento è attuabile e sostenibile, e che la leva propria dell’Abruzzo è la stabilizzazione del finanziamento e l’attuazione dimensionata di un servizio già istituito e regolato: la regione muove da un quadro normativo completo e da un costo modesto, e affronta un vincolo fiscale stringente con argomenti — la garanzia dei livelli essenziali e l’autofinanziamento diretto — che ne fanno una priorità difendibile.</w:t>
      </w:r>
      <w:r>
        <w:rPr>
          <w:rStyle w:val="FootnoteReference"/>
        </w:rPr>
        <w:footnoteReference w:id="3105"/>
      </w:r>
      <w:r>
        <w:t xml:space="preserve"> </w:t>
      </w:r>
      <w:r>
        <w:t xml:space="preserve">La tabella seguente riepiloga i rischi e le relative mitigazioni; la parte che segue affronta il monitoraggio e la valutazione ex post.</w:t>
      </w:r>
    </w:p>
    <w:tbl>
      <w:tblPr>
        <w:tblStyle w:val="Table"/>
        <w:tblW w:type="pct" w:w="494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687"/>
        <w:gridCol w:w="51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Mitigazione</w:t>
            </w:r>
          </w:p>
        </w:tc>
      </w:tr>
      <w:tr>
        <w:tc>
          <w:tcPr/>
          <w:p>
            <w:pPr>
              <w:pStyle w:val="Compact"/>
              <w:spacing w:after="40" w:before="40"/>
              <w:jc w:val="left"/>
            </w:pPr>
            <w:r>
              <w:rPr>
                <w:rFonts w:ascii="Cambria" w:hAnsi="Cambria" w:cs="Cambria" w:eastAsia="Cambria"/>
                <w:b/>
                <w:bCs/>
                <w:color w:val="1A1A1A"/>
                <w:sz w:val="18"/>
              </w:rPr>
              <w:t xml:space="preserve">Vincolo del piano di rientro sulla stabilizzazione</w:t>
            </w:r>
          </w:p>
        </w:tc>
        <w:tc>
          <w:tcPr/>
          <w:p>
            <w:pPr>
              <w:pStyle w:val="Compact"/>
              <w:spacing w:after="40" w:before="40"/>
              <w:jc w:val="left"/>
            </w:pPr>
            <w:r>
              <w:rPr>
                <w:rFonts w:ascii="Cambria" w:hAnsi="Cambria" w:cs="Cambria" w:eastAsia="Cambria"/>
                <w:color w:val="1A1A1A"/>
                <w:sz w:val="18"/>
              </w:rPr>
              <w:t xml:space="preserve">Argomento dei livelli essenziali; autofinanziamento quasi integrale sul bilancio diretto; disegno per fasi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Disomogeneità attuativa fra le Aziende</w:t>
            </w:r>
          </w:p>
        </w:tc>
        <w:tc>
          <w:tcPr>
            <w:shd w:val="clear" w:color="auto" w:fill="F4F1EC"/>
          </w:tcPr>
          <w:p>
            <w:pPr>
              <w:pStyle w:val="Compact"/>
              <w:spacing w:after="40" w:before="40"/>
              <w:jc w:val="left"/>
            </w:pPr>
            <w:r>
              <w:rPr>
                <w:rFonts w:ascii="Cambria" w:hAnsi="Cambria" w:cs="Cambria" w:eastAsia="Cambria"/>
                <w:color w:val="1A1A1A"/>
                <w:sz w:val="18"/>
              </w:rPr>
              <w:t xml:space="preserve">Regia regionale forte; indirizzi operativi uniformi; monitoraggio comune</w:t>
            </w:r>
          </w:p>
        </w:tc>
      </w:tr>
      <w:tr>
        <w:tc>
          <w:tcPr/>
          <w:p>
            <w:pPr>
              <w:pStyle w:val="Compact"/>
              <w:spacing w:after="40" w:before="40"/>
              <w:jc w:val="left"/>
            </w:pPr>
            <w:r>
              <w:rPr>
                <w:rFonts w:ascii="Cambria" w:hAnsi="Cambria" w:cs="Cambria" w:eastAsia="Cambria"/>
                <w:b/>
                <w:bCs/>
                <w:color w:val="1A1A1A"/>
                <w:sz w:val="18"/>
              </w:rPr>
              <w:t xml:space="preserve">Rilevazione epidemiologica discontinua</w:t>
            </w:r>
          </w:p>
        </w:tc>
        <w:tc>
          <w:tcPr/>
          <w:p>
            <w:pPr>
              <w:pStyle w:val="Compact"/>
              <w:spacing w:after="40" w:before="40"/>
              <w:jc w:val="left"/>
            </w:pPr>
            <w:r>
              <w:rPr>
                <w:rFonts w:ascii="Cambria" w:hAnsi="Cambria" w:cs="Cambria" w:eastAsia="Cambria"/>
                <w:color w:val="1A1A1A"/>
                <w:sz w:val="18"/>
              </w:rPr>
              <w:t xml:space="preserve">Costruzione del flusso informativo sin dall’avvio; sistema uniforme progettato dall’inizio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Allocazione non equa nell’estensione</w:t>
            </w:r>
          </w:p>
        </w:tc>
        <w:tc>
          <w:tcPr>
            <w:shd w:val="clear" w:color="auto" w:fill="F4F1EC"/>
          </w:tcPr>
          <w:p>
            <w:pPr>
              <w:pStyle w:val="Compact"/>
              <w:spacing w:after="40" w:before="40"/>
              <w:jc w:val="left"/>
            </w:pPr>
            <w:r>
              <w:rPr>
                <w:rFonts w:ascii="Cambria" w:hAnsi="Cambria" w:cs="Cambria" w:eastAsia="Cambria"/>
                <w:color w:val="1A1A1A"/>
                <w:sz w:val="18"/>
              </w:rPr>
              <w:t xml:space="preserve">Criteri di equità espliciti; avvio pro-equità verso le aree interne e montane</w:t>
            </w:r>
          </w:p>
        </w:tc>
      </w:tr>
    </w:tbl>
    <w:p>
      <w:pPr>
        <w:pStyle w:val="BodyText"/>
      </w:pPr>
      <w:r>
        <w:rPr>
          <w:i/>
          <w:iCs/>
        </w:rPr>
        <w:t xml:space="preserve">Tabella I.3. I rischi dell’attuazione e le relative mitigazioni.</w:t>
      </w:r>
    </w:p>
    <w:bookmarkEnd w:id="2815"/>
    <w:bookmarkEnd w:id="2816"/>
    <w:bookmarkStart w:id="2841" w:name="X8a4dd39d216606be160b83dd89c1d0b8e1c9a4f"/>
    <w:p>
      <w:pPr>
        <w:pStyle w:val="Heading2"/>
      </w:pPr>
      <w:r>
        <w:t xml:space="preserve">Parte L — Monitoraggio e valutazione ex post</w:t>
      </w:r>
    </w:p>
    <w:p>
      <w:pPr>
        <w:pStyle w:val="FirstParagraph"/>
      </w:pPr>
      <w:r>
        <w:t xml:space="preserve">Questa parte definisce il sistema di monitoraggio e la valutazione ex post dell’intervento, attraverso cui l’attuazione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dell’Abruzzo è duplice: da un lato, essendo il servizio in attuazione iniziale in un contesto di rilevazione epidemiologica discontinua, il flusso informativo va costruito anziché consolidato; dall’altro, proprio l’avvio iniziale consente di misurare una linea di base anteriore all’attivazione in ciascuna Azienda, vantaggio che le regioni con servizio già operativo non possiedono.</w:t>
      </w:r>
    </w:p>
    <w:bookmarkStart w:id="2820" w:name="Xaef706d178452f4244435a3c726c18baee08869"/>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l’attuazione del servizio diventa apprendimento istituzionale, ancorato a una clausola valutativa.</w:t>
      </w:r>
      <w:r>
        <w:rPr>
          <w:rStyle w:val="FootnoteReference"/>
        </w:rPr>
        <w:footnoteReference w:id="3106"/>
      </w:r>
      <w:r>
        <w:t xml:space="preserve"> </w:t>
      </w:r>
      <w:r>
        <w:t xml:space="preserve">In una regione in piano di rientro, la valutazione assume una funzione ulteriore: documentare la garanzia dei livelli essenziali e l’autofinanziamento quasi integrale sul bilancio diretto, ossia gli argomenti su cui poggia la stabilizzazione del finanziamento.</w:t>
      </w:r>
      <w:r>
        <w:rPr>
          <w:rStyle w:val="FootnoteReference"/>
        </w:rPr>
        <w:footnoteReference w:id="3107"/>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3108"/>
      </w:r>
    </w:p>
    <w:bookmarkEnd w:id="2820"/>
    <w:bookmarkStart w:id="2824" w:name="X1bd5b7cdce82139b8234a5ca28da73781a62335"/>
    <w:p>
      <w:pPr>
        <w:pStyle w:val="Heading3"/>
      </w:pPr>
      <w:r>
        <w:t xml:space="preserve">L.2 Il disegno controfattuale e i metodi</w:t>
      </w:r>
    </w:p>
    <w:p>
      <w:pPr>
        <w:pStyle w:val="FirstParagraph"/>
      </w:pPr>
      <w:r>
        <w:t xml:space="preserve">Il disegno della valutazione d’impatto si fonda, per l’Abruzzo, sulla gradualità dell’attuazione. Poiché il servizio è istituito e regolato ma in avvio progressivo, la valutazione può fondarsi su un esperimento a cunei progressivi, nel quale l’ordine e i tempi di avvio delle sedi fra le quattro Aziende Sanitarie Locali e i venticinque distretti sono impiegati a fini valutativi.</w:t>
      </w:r>
      <w:r>
        <w:rPr>
          <w:rStyle w:val="FootnoteReference"/>
        </w:rPr>
        <w:footnoteReference w:id="3109"/>
      </w:r>
      <w:r>
        <w:t xml:space="preserve"> </w:t>
      </w:r>
      <w:r>
        <w:t xml:space="preserve">A differenza delle regioni con servizio già operativo, che non dispongono di una linea di base anteriore all’avvio per le aree già servite, l’Abruzzo può misurare gli indicatori prima dell’attivazione in ciascuna Azienda, costruendo una linea di base pre-avvio pulita: la gradualità dell’attuazione, da onere, diviene una risorsa metodologica.</w:t>
      </w:r>
      <w:r>
        <w:rPr>
          <w:rStyle w:val="FootnoteReference"/>
        </w:rPr>
        <w:footnoteReference w:id="3110"/>
      </w:r>
      <w:r>
        <w:t xml:space="preserve"> </w:t>
      </w:r>
      <w:r>
        <w:t xml:space="preserve">L’effetto causale è stimato con la differenza-nelle-differenze, che confronta l’evoluzione delle aree già attivate con quella delle aree non ancora attivate, e con il metodo del controllo sintetico, con la progressione differenziata dell’avvio a fornire la variazione necessaria all’identificazione.</w:t>
      </w:r>
      <w:r>
        <w:rPr>
          <w:rStyle w:val="FootnoteReference"/>
        </w:rPr>
        <w:footnoteReference w:id="3111"/>
      </w:r>
    </w:p>
    <w:bookmarkEnd w:id="2824"/>
    <w:bookmarkStart w:id="2834" w:name="l.3-la-batteria-degli-indicatori-3"/>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3112"/>
      </w:r>
      <w:r>
        <w:t xml:space="preserve"> </w:t>
      </w:r>
      <w:r>
        <w:t xml:space="preserve">Gli indicatori di processo misurano il funzionamento — prese in carico, attesa, colloqui, invio appropriato.</w:t>
      </w:r>
      <w:r>
        <w:rPr>
          <w:rStyle w:val="FootnoteReference"/>
        </w:rPr>
        <w:footnoteReference w:id="3113"/>
      </w:r>
      <w:r>
        <w:t xml:space="preserve"> </w:t>
      </w:r>
      <w:r>
        <w:t xml:space="preserve">Gli indicatori di esito clinico misurano il beneficio diretto — miglioramento, recupero, remissione.</w:t>
      </w:r>
      <w:r>
        <w:rPr>
          <w:rStyle w:val="FootnoteReference"/>
        </w:rPr>
        <w:footnoteReference w:id="3114"/>
      </w:r>
      <w:r>
        <w:t xml:space="preserve"> </w:t>
      </w:r>
      <w:r>
        <w:t xml:space="preserve">Gli indicatori di esito di sistema misurano l’effetto sul resto del sistema — pronto soccorso, psicofarmaci, ricoveri.</w:t>
      </w:r>
      <w:r>
        <w:rPr>
          <w:rStyle w:val="FootnoteReference"/>
        </w:rPr>
        <w:footnoteReference w:id="3115"/>
      </w:r>
      <w:r>
        <w:t xml:space="preserve"> </w:t>
      </w:r>
      <w:r>
        <w:t xml:space="preserve">Gli indicatori economici consentono di verificare ex post le stime e di sostituire i valori ricostruiti con quelli effettivi, documentando in particolare l’autofinanziamento diretto rilevante ai fini del piano di rientro.</w:t>
      </w:r>
      <w:r>
        <w:rPr>
          <w:rStyle w:val="FootnoteReference"/>
        </w:rPr>
        <w:footnoteReference w:id="3116"/>
      </w:r>
      <w:r>
        <w:t xml:space="preserve"> </w:t>
      </w:r>
      <w:r>
        <w:t xml:space="preserve">Gli indicatori di equità, disaggregati per area e per fasce di età, verificano che il servizio riduca i divari fra la costa e le aree interne e montane, con attenzione tanto al disagio giovanile quanto all’isolamento dell’anziano.</w:t>
      </w:r>
      <w:r>
        <w:rPr>
          <w:rStyle w:val="FootnoteReference"/>
        </w:rPr>
        <w:footnoteReference w:id="3117"/>
      </w:r>
      <w:r>
        <w:t xml:space="preserve"> </w:t>
      </w:r>
      <w:r>
        <w:t xml:space="preserve">Gli indicatori di qualità integrano la misurazione con la dimensione dell’esperienza.</w:t>
      </w:r>
      <w:r>
        <w:rPr>
          <w:rStyle w:val="FootnoteReference"/>
        </w:rPr>
        <w:footnoteReference w:id="3118"/>
      </w:r>
      <w:r>
        <w:t xml:space="preserve"> </w:t>
      </w:r>
      <w:r>
        <w:t xml:space="preserve">Gli indicatori di mobilità, infine, sono monitorati ma costituiscono un esito atteso solo modesto, limitato alla frazione territorialmente intercettabile.</w:t>
      </w:r>
      <w:r>
        <w:rPr>
          <w:rStyle w:val="FootnoteReference"/>
        </w:rPr>
        <w:footnoteReference w:id="3119"/>
      </w:r>
      <w:r>
        <w:t xml:space="preserve"> </w:t>
      </w:r>
      <w:r>
        <w:t xml:space="preserve">L’insieme conta dell’ordine di cinquantotto indicatori in otto categorie, ciascuno con definizione, fonte, frequenza e responsabile.</w:t>
      </w:r>
      <w:r>
        <w:rPr>
          <w:rStyle w:val="FootnoteReference"/>
        </w:rPr>
        <w:footnoteReference w:id="3120"/>
      </w:r>
      <w:r>
        <w:t xml:space="preserve"> </w:t>
      </w:r>
      <w:r>
        <w:t xml:space="preserve">La tabella seguente riepiloga le categorie.</w:t>
      </w:r>
    </w:p>
    <w:tbl>
      <w:tblPr>
        <w:tblStyle w:val="Table"/>
        <w:tblW w:type="pct" w:w="492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96"/>
        <w:gridCol w:w="570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(dell’ordine di 58 indicatori complessivi)</w:t>
            </w:r>
          </w:p>
        </w:tc>
      </w:tr>
      <w:tr>
        <w:tc>
          <w:tcPr/>
          <w:p>
            <w:pPr>
              <w:pStyle w:val="Compact"/>
              <w:spacing w:after="40" w:before="40"/>
              <w:jc w:val="left"/>
            </w:pPr>
            <w:r>
              <w:rPr>
                <w:rFonts w:ascii="Cambria" w:hAnsi="Cambria" w:cs="Cambria" w:eastAsia="Cambria"/>
                <w:b/>
                <w:bCs/>
                <w:color w:val="1A1A1A"/>
                <w:sz w:val="18"/>
              </w:rPr>
              <w:t xml:space="preserve">Struttura</w:t>
            </w:r>
          </w:p>
        </w:tc>
        <w:tc>
          <w:tcPr/>
          <w:p>
            <w:pPr>
              <w:pStyle w:val="Compact"/>
              <w:spacing w:after="40" w:before="40"/>
              <w:jc w:val="left"/>
            </w:pPr>
            <w:r>
              <w:rPr>
                <w:rFonts w:ascii="Cambria" w:hAnsi="Cambria" w:cs="Cambria" w:eastAsia="Cambria"/>
                <w:color w:val="1A1A1A"/>
                <w:sz w:val="18"/>
              </w:rPr>
              <w:t xml:space="preserve">Sedi attivate, incarichi, ore, dotazione, copertura del fabbisogno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Processo</w:t>
            </w:r>
          </w:p>
        </w:tc>
        <w:tc>
          <w:tcPr>
            <w:shd w:val="clear" w:color="auto" w:fill="F4F1EC"/>
          </w:tcPr>
          <w:p>
            <w:pPr>
              <w:pStyle w:val="Compact"/>
              <w:spacing w:after="40" w:before="40"/>
              <w:jc w:val="left"/>
            </w:pPr>
            <w:r>
              <w:rPr>
                <w:rFonts w:ascii="Cambria" w:hAnsi="Cambria" w:cs="Cambria" w:eastAsia="Cambria"/>
                <w:color w:val="1A1A1A"/>
                <w:sz w:val="18"/>
              </w:rPr>
              <w:t xml:space="preserve">Prese in carico, attesa al primo colloquio, colloqui per persona, invio appropriato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Miglioramento, recupero, remissione (strumenti validati, punteggi complessivi)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psicofarmaci, ricoveri evitabili, specialistica impropria</w:t>
            </w:r>
          </w:p>
        </w:tc>
      </w:tr>
      <w:tr>
        <w:tc>
          <w:tcPr/>
          <w:p>
            <w:pPr>
              <w:pStyle w:val="Compact"/>
              <w:spacing w:after="40" w:before="40"/>
              <w:jc w:val="left"/>
            </w:pPr>
            <w:r>
              <w:rPr>
                <w:rFonts w:ascii="Cambria" w:hAnsi="Cambria" w:cs="Cambria" w:eastAsia="Cambria"/>
                <w:b/>
                <w:bCs/>
                <w:color w:val="1A1A1A"/>
                <w:sz w:val="18"/>
              </w:rPr>
              <w:t xml:space="preserve">Economici</w:t>
            </w:r>
          </w:p>
        </w:tc>
        <w:tc>
          <w:tcPr/>
          <w:p>
            <w:pPr>
              <w:pStyle w:val="Compact"/>
              <w:spacing w:after="40" w:before="40"/>
              <w:jc w:val="left"/>
            </w:pPr>
            <w:r>
              <w:rPr>
                <w:rFonts w:ascii="Cambria" w:hAnsi="Cambria" w:cs="Cambria" w:eastAsia="Cambria"/>
                <w:color w:val="1A1A1A"/>
                <w:sz w:val="18"/>
              </w:rPr>
              <w:t xml:space="preserve">Costo, risparmi diretti, ricadute sociali, rapporto beneficio-costo su dati reali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Copertura e accesso per area (costa, aree interne e montane, piccoli comuni) e per fasce di età</w:t>
            </w:r>
          </w:p>
        </w:tc>
      </w:tr>
      <w:tr>
        <w:tc>
          <w:tcPr/>
          <w:p>
            <w:pPr>
              <w:pStyle w:val="Compact"/>
              <w:spacing w:after="40" w:before="40"/>
              <w:jc w:val="left"/>
            </w:pPr>
            <w:r>
              <w:rPr>
                <w:rFonts w:ascii="Cambria" w:hAnsi="Cambria" w:cs="Cambria" w:eastAsia="Cambria"/>
                <w:b/>
                <w:bCs/>
                <w:color w:val="1A1A1A"/>
                <w:sz w:val="18"/>
              </w:rPr>
              <w:t xml:space="preserve">Qualità</w:t>
            </w:r>
          </w:p>
        </w:tc>
        <w:tc>
          <w:tcPr/>
          <w:p>
            <w:pPr>
              <w:pStyle w:val="Compact"/>
              <w:spacing w:after="40" w:before="40"/>
              <w:jc w:val="left"/>
            </w:pPr>
            <w:r>
              <w:rPr>
                <w:rFonts w:ascii="Cambria" w:hAnsi="Cambria" w:cs="Cambria" w:eastAsia="Cambria"/>
                <w:color w:val="1A1A1A"/>
                <w:sz w:val="18"/>
              </w:rPr>
              <w:t xml:space="preserve">Soddisfazione, appropriatezza, continuità del rapporto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w:t>
            </w:r>
          </w:p>
        </w:tc>
        <w:tc>
          <w:tcPr>
            <w:shd w:val="clear" w:color="auto" w:fill="F4F1EC"/>
          </w:tcPr>
          <w:p>
            <w:pPr>
              <w:pStyle w:val="Compact"/>
              <w:spacing w:after="40" w:before="40"/>
              <w:jc w:val="left"/>
            </w:pPr>
            <w:r>
              <w:rPr>
                <w:rFonts w:ascii="Cambria" w:hAnsi="Cambria" w:cs="Cambria" w:eastAsia="Cambria"/>
                <w:color w:val="1A1A1A"/>
                <w:sz w:val="18"/>
              </w:rPr>
              <w:t xml:space="preserve">Monitorata; esito atteso modesto (sola frazione territorialmente intercettabile)</w:t>
            </w:r>
          </w:p>
        </w:tc>
      </w:tr>
    </w:tbl>
    <w:p>
      <w:pPr>
        <w:pStyle w:val="BodyText"/>
      </w:pPr>
      <w:r>
        <w:rPr>
          <w:i/>
          <w:iCs/>
        </w:rPr>
        <w:t xml:space="preserve">Tabella L.1. Le otto categorie della batteria di indicatori.</w:t>
      </w:r>
    </w:p>
    <w:bookmarkEnd w:id="2834"/>
    <w:bookmarkStart w:id="2838" w:name="X12c04b19de13b545d274c1bca0c0971d32c2827"/>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 Regione e all’Osservatorio Regionale istituito dalla legge, che ne assicurano l’alimentazione uniforme da parte delle quattro Aziende.</w:t>
      </w:r>
      <w:r>
        <w:rPr>
          <w:rStyle w:val="FootnoteReference"/>
        </w:rPr>
        <w:footnoteReference w:id="3121"/>
      </w:r>
      <w:r>
        <w:t xml:space="preserve"> </w:t>
      </w:r>
      <w:r>
        <w:t xml:space="preserve">Lo strumento attraverso cui il monitoraggio diventa vincolante è la clausola valutativa; la legge regionale 28 del 2022 prevede già l’Osservatorio Regionale e il Tavolo tecnico, sicché il compito non è introdurre la previsione di rendicontazione, ma rafforzarla e renderla pienamente operativa, impegnando la Giunta a riferire periodicamente al Consiglio sull’attuazione e sui risultati.</w:t>
      </w:r>
      <w:r>
        <w:rPr>
          <w:rStyle w:val="FootnoteReference"/>
        </w:rPr>
        <w:footnoteReference w:id="3122"/>
      </w:r>
      <w:r>
        <w:t xml:space="preserve"> </w:t>
      </w:r>
      <w:r>
        <w:t xml:space="preserve">La raccolta dei dati, tuttavia, non poggia su un flusso già avviato come nelle regioni con servizio operativo, ma richiede di costruire il flusso informativo contestualmente all’attuazione, in un contesto in cui la rilevazione epidemiologica regionale opera in modo discontinuo; tale costruzione, descritta nella Parte C, è condizione della valutabilità stessa e va resa interoperabile con la piattaforma informativa sanitaria regionale.</w:t>
      </w:r>
      <w:r>
        <w:rPr>
          <w:rStyle w:val="FootnoteReference"/>
        </w:rPr>
        <w:footnoteReference w:id="3123"/>
      </w:r>
      <w:r>
        <w:t xml:space="preserve"> </w:t>
      </w:r>
      <w:r>
        <w:t xml:space="preserve">La valutazione si articola infine in un monitoraggio in itinere, che accompagna l’avvio, e in una valutazione ex post a regime. La tabella seguente riepiloga la governance valutativa.</w:t>
      </w:r>
    </w:p>
    <w:tbl>
      <w:tblPr>
        <w:tblStyle w:val="Table"/>
        <w:tblW w:type="pct" w:w="494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15"/>
        <w:gridCol w:w="581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governance valutativa</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l’Abruzzo</w:t>
            </w:r>
          </w:p>
        </w:tc>
      </w:tr>
      <w:tr>
        <w:tc>
          <w:tcPr/>
          <w:p>
            <w:pPr>
              <w:pStyle w:val="Compact"/>
              <w:spacing w:after="40" w:before="40"/>
              <w:jc w:val="left"/>
            </w:pPr>
            <w:r>
              <w:rPr>
                <w:rFonts w:ascii="Cambria" w:hAnsi="Cambria" w:cs="Cambria" w:eastAsia="Cambria"/>
                <w:b/>
                <w:bCs/>
                <w:color w:val="1A1A1A"/>
                <w:sz w:val="18"/>
              </w:rPr>
              <w:t xml:space="preserve">Disegno d’impatto</w:t>
            </w:r>
          </w:p>
        </w:tc>
        <w:tc>
          <w:tcPr/>
          <w:p>
            <w:pPr>
              <w:pStyle w:val="Compact"/>
              <w:spacing w:after="40" w:before="40"/>
              <w:jc w:val="left"/>
            </w:pPr>
            <w:r>
              <w:rPr>
                <w:rFonts w:ascii="Cambria" w:hAnsi="Cambria" w:cs="Cambria" w:eastAsia="Cambria"/>
                <w:color w:val="1A1A1A"/>
                <w:sz w:val="18"/>
              </w:rPr>
              <w:t xml:space="preserve">Esperimento a cunei progressivi tra le quattro Aziende, con linea di base pre-avvio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Linea di base</w:t>
            </w:r>
          </w:p>
        </w:tc>
        <w:tc>
          <w:tcPr>
            <w:shd w:val="clear" w:color="auto" w:fill="F4F1EC"/>
          </w:tcPr>
          <w:p>
            <w:pPr>
              <w:pStyle w:val="Compact"/>
              <w:spacing w:after="40" w:before="40"/>
              <w:jc w:val="left"/>
            </w:pPr>
            <w:r>
              <w:rPr>
                <w:rFonts w:ascii="Cambria" w:hAnsi="Cambria" w:cs="Cambria" w:eastAsia="Cambria"/>
                <w:color w:val="1A1A1A"/>
                <w:sz w:val="18"/>
              </w:rPr>
              <w:t xml:space="preserve">Misurabile prima dell’attivazione in ciascuna Azienda (vantaggio dell’avvio iniziale)</w:t>
            </w:r>
          </w:p>
        </w:tc>
      </w:tr>
      <w:tr>
        <w:tc>
          <w:tcPr/>
          <w:p>
            <w:pPr>
              <w:pStyle w:val="Compact"/>
              <w:spacing w:after="40" w:before="40"/>
              <w:jc w:val="left"/>
            </w:pPr>
            <w:r>
              <w:rPr>
                <w:rFonts w:ascii="Cambria" w:hAnsi="Cambria" w:cs="Cambria" w:eastAsia="Cambria"/>
                <w:b/>
                <w:bCs/>
                <w:color w:val="1A1A1A"/>
                <w:sz w:val="18"/>
              </w:rPr>
              <w:t xml:space="preserve">Titolarità del cruscotto</w:t>
            </w:r>
          </w:p>
        </w:tc>
        <w:tc>
          <w:tcPr/>
          <w:p>
            <w:pPr>
              <w:pStyle w:val="Compact"/>
              <w:spacing w:after="40" w:before="40"/>
              <w:jc w:val="left"/>
            </w:pPr>
            <w:r>
              <w:rPr>
                <w:rFonts w:ascii="Cambria" w:hAnsi="Cambria" w:cs="Cambria" w:eastAsia="Cambria"/>
                <w:color w:val="1A1A1A"/>
                <w:sz w:val="18"/>
              </w:rPr>
              <w:t xml:space="preserve">Regione e Osservatorio Regionale, con alimentazione uniforme dalle quattro Aziende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Osservatorio e Tavolo tecnico già previsti dalla legge 28/2022; da rafforzare e rendere operativi; relazione al Consiglio</w:t>
            </w:r>
          </w:p>
        </w:tc>
      </w:tr>
      <w:tr>
        <w:tc>
          <w:tcPr/>
          <w:p>
            <w:pPr>
              <w:pStyle w:val="Compact"/>
              <w:spacing w:after="40" w:before="40"/>
              <w:jc w:val="left"/>
            </w:pPr>
            <w:r>
              <w:rPr>
                <w:rFonts w:ascii="Cambria" w:hAnsi="Cambria" w:cs="Cambria" w:eastAsia="Cambria"/>
                <w:b/>
                <w:bCs/>
                <w:color w:val="1A1A1A"/>
                <w:sz w:val="18"/>
              </w:rPr>
              <w:t xml:space="preserve">Flusso informativo</w:t>
            </w:r>
          </w:p>
        </w:tc>
        <w:tc>
          <w:tcPr/>
          <w:p>
            <w:pPr>
              <w:pStyle w:val="Compact"/>
              <w:spacing w:after="40" w:before="40"/>
              <w:jc w:val="left"/>
            </w:pPr>
            <w:r>
              <w:rPr>
                <w:rFonts w:ascii="Cambria" w:hAnsi="Cambria" w:cs="Cambria" w:eastAsia="Cambria"/>
                <w:color w:val="1A1A1A"/>
                <w:sz w:val="18"/>
              </w:rPr>
              <w:t xml:space="preserve">Da costruire contestualmente all’attuazione e rendere interoperabile con la piattaforma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Tempi</w:t>
            </w:r>
          </w:p>
        </w:tc>
        <w:tc>
          <w:tcPr>
            <w:shd w:val="clear" w:color="auto" w:fill="F4F1EC"/>
          </w:tcPr>
          <w:p>
            <w:pPr>
              <w:pStyle w:val="Compact"/>
              <w:spacing w:after="40" w:before="40"/>
              <w:jc w:val="left"/>
            </w:pPr>
            <w:r>
              <w:rPr>
                <w:rFonts w:ascii="Cambria" w:hAnsi="Cambria" w:cs="Cambria" w:eastAsia="Cambria"/>
                <w:color w:val="1A1A1A"/>
                <w:sz w:val="18"/>
              </w:rPr>
              <w:t xml:space="preserve">In itinere (accompagnamento dell’avvio) ed ex post (effetto a regime)</w:t>
            </w:r>
          </w:p>
        </w:tc>
      </w:tr>
    </w:tbl>
    <w:p>
      <w:pPr>
        <w:pStyle w:val="BodyText"/>
      </w:pPr>
      <w:r>
        <w:rPr>
          <w:i/>
          <w:iCs/>
        </w:rPr>
        <w:t xml:space="preserve">Tabella L.2. La governance della valutazione e il cruscotto regionale.</w:t>
      </w:r>
    </w:p>
    <w:bookmarkEnd w:id="2838"/>
    <w:bookmarkStart w:id="2840" w:name="l.5-sintesi-del-monitoraggio-3"/>
    <w:p>
      <w:pPr>
        <w:pStyle w:val="Heading3"/>
      </w:pPr>
      <w:r>
        <w:t xml:space="preserve">L.5 Sintesi del monitoraggio</w:t>
      </w:r>
    </w:p>
    <w:p>
      <w:pPr>
        <w:pStyle w:val="FirstParagraph"/>
      </w:pPr>
      <w:r>
        <w:t xml:space="preserve">La valutazione è la condizione per trasformare l’attuazione del servizio in apprendimento; l’Abruzzo deve costruire il flusso informativo anziché consolidarlo, ma l’avvio iniziale gli consente di misurare una linea di base pre-avvio pulita, e la clausola valutativa già prevista nella legge va rafforzata e resa operativa.</w:t>
      </w:r>
      <w:r>
        <w:rPr>
          <w:rStyle w:val="FootnoteReference"/>
        </w:rPr>
        <w:footnoteReference w:id="3124"/>
      </w:r>
      <w:r>
        <w:t xml:space="preserve"> </w:t>
      </w:r>
      <w:r>
        <w:t xml:space="preserve">In una regione in piano di rientro, la valutazione svolge inoltre la funzione di documentare la garanzia dei livelli essenziali e l’autofinanziamento diretto, a sostegno della stabilizzazione del finanziamento. Definito il sistema di monitoraggio, la parte conclusiva compone i risultati dei diversi domini in una sintesi multidimensionale e formula le raccomandazioni.</w:t>
      </w:r>
    </w:p>
    <w:bookmarkEnd w:id="2840"/>
    <w:bookmarkEnd w:id="2841"/>
    <w:bookmarkStart w:id="2863" w:name="X0d05df4c43f5c38b6c32a831dfbb6a150920316"/>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all’Abruzzo.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dell’Abruzzo percorre l’intera sintesi: è una delle prime regioni ad aver istituito il servizio per legge, ma è anche l’unica fra quelle esaminate a doverlo portare a regime entro il vincolo di un piano di rientro in peggioramento, sicché la sua è la sfida di attuare un servizio già istituito sotto il vincolo fiscale più stringente, con la garanzia dei livelli essenziali a fondamento.</w:t>
      </w:r>
    </w:p>
    <w:bookmarkStart w:id="2844" w:name="m.1-la-sintesi-per-dominio-4"/>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3125"/>
      </w:r>
      <w:r>
        <w:t xml:space="preserve"> </w:t>
      </w:r>
      <w:r>
        <w:t xml:space="preserve">Il quadro che emerge dai domini è coerente: il bisogno è ampio e si manifesta su un doppio versante, fra il disagio giovanile in crescita e l’isolamento dell’anziano, in una regione fra le più vecchie del Paese; l’efficacia clinica è sostenuta da evidenza internazionale solida, ma ancora priva di dati operativi propri, da costruire con l’attuazione; il quadro economico distingue un caso finanziario prossimo al pareggio da un caso sociale fortemente positivo; l’equità è favorevole sull’asse costa-aree interne e su entrambi i versanti generazionali; la fattibilità è quella di un’attuazione a regime di un servizio istituito e regolato, sotto il vincolo del rientro; il monitoraggio può fondarsi su un disegno a cunei con una linea di base pre-avvio pulita, una volta costruito il flusso informativo.</w:t>
      </w:r>
      <w:r>
        <w:rPr>
          <w:rStyle w:val="FootnoteReference"/>
        </w:rPr>
        <w:footnoteReference w:id="3126"/>
      </w:r>
      <w:r>
        <w:t xml:space="preserve"> </w:t>
      </w:r>
      <w:r>
        <w:t xml:space="preserve">La tabella seguente riepiloga il giudizio per dominio.</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76"/>
        <w:gridCol w:w="541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Dominio</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 sintetico per l’Abruzzo</w:t>
            </w:r>
          </w:p>
        </w:tc>
      </w:tr>
      <w:tr>
        <w:tc>
          <w:tcPr/>
          <w:p>
            <w:pPr>
              <w:pStyle w:val="Compact"/>
              <w:spacing w:after="40" w:before="40"/>
              <w:jc w:val="left"/>
            </w:pPr>
            <w:r>
              <w:rPr>
                <w:rFonts w:ascii="Cambria" w:hAnsi="Cambria" w:cs="Cambria" w:eastAsia="Cambria"/>
                <w:b/>
                <w:bCs/>
                <w:color w:val="1A1A1A"/>
                <w:sz w:val="18"/>
              </w:rPr>
              <w:t xml:space="preserve">Bisogno e contesto</w:t>
            </w:r>
          </w:p>
        </w:tc>
        <w:tc>
          <w:tcPr/>
          <w:p>
            <w:pPr>
              <w:pStyle w:val="Compact"/>
              <w:spacing w:after="40" w:before="40"/>
              <w:jc w:val="left"/>
            </w:pPr>
            <w:r>
              <w:rPr>
                <w:rFonts w:ascii="Cambria" w:hAnsi="Cambria" w:cs="Cambria" w:eastAsia="Cambria"/>
                <w:color w:val="1A1A1A"/>
                <w:sz w:val="18"/>
              </w:rPr>
              <w:t xml:space="preserve">Ampio; regione fra le più anziane, in piano di rientro in peggioramento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w:t>
            </w:r>
          </w:p>
        </w:tc>
        <w:tc>
          <w:tcPr>
            <w:shd w:val="clear" w:color="auto" w:fill="F4F1EC"/>
          </w:tcPr>
          <w:p>
            <w:pPr>
              <w:pStyle w:val="Compact"/>
              <w:spacing w:after="40" w:before="40"/>
              <w:jc w:val="left"/>
            </w:pPr>
            <w:r>
              <w:rPr>
                <w:rFonts w:ascii="Cambria" w:hAnsi="Cambria" w:cs="Cambria" w:eastAsia="Cambria"/>
                <w:color w:val="1A1A1A"/>
                <w:sz w:val="18"/>
              </w:rPr>
              <w:t xml:space="preserve">Evidenza internazionale solida; dati operativi propri ancora da costruire</w:t>
            </w:r>
          </w:p>
        </w:tc>
      </w:tr>
      <w:tr>
        <w:tc>
          <w:tcPr/>
          <w:p>
            <w:pPr>
              <w:pStyle w:val="Compact"/>
              <w:spacing w:after="40" w:before="40"/>
              <w:jc w:val="left"/>
            </w:pPr>
            <w:r>
              <w:rPr>
                <w:rFonts w:ascii="Cambria" w:hAnsi="Cambria" w:cs="Cambria" w:eastAsia="Cambria"/>
                <w:b/>
                <w:bCs/>
                <w:color w:val="1A1A1A"/>
                <w:sz w:val="18"/>
              </w:rPr>
              <w:t xml:space="preserve">Valutazione economica</w:t>
            </w:r>
          </w:p>
        </w:tc>
        <w:tc>
          <w:tcPr/>
          <w:p>
            <w:pPr>
              <w:pStyle w:val="Compact"/>
              <w:spacing w:after="40" w:before="40"/>
              <w:jc w:val="left"/>
            </w:pPr>
            <w:r>
              <w:rPr>
                <w:rFonts w:ascii="Cambria" w:hAnsi="Cambria" w:cs="Cambria" w:eastAsia="Cambria"/>
                <w:color w:val="1A1A1A"/>
                <w:sz w:val="18"/>
              </w:rPr>
              <w:t xml:space="preserve">Caso finanziario prossimo al pareggio; caso sociale fortemente positivo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Favorevole su asse costa/aree interne e su entrambi i versanti generazionali</w:t>
            </w:r>
          </w:p>
        </w:tc>
      </w:tr>
      <w:tr>
        <w:tc>
          <w:tcPr/>
          <w:p>
            <w:pPr>
              <w:pStyle w:val="Compact"/>
              <w:spacing w:after="40" w:before="40"/>
              <w:jc w:val="left"/>
            </w:pPr>
            <w:r>
              <w:rPr>
                <w:rFonts w:ascii="Cambria" w:hAnsi="Cambria" w:cs="Cambria" w:eastAsia="Cambria"/>
                <w:b/>
                <w:bCs/>
                <w:color w:val="1A1A1A"/>
                <w:sz w:val="18"/>
              </w:rPr>
              <w:t xml:space="preserve">Fattibilità</w:t>
            </w:r>
          </w:p>
        </w:tc>
        <w:tc>
          <w:tcPr/>
          <w:p>
            <w:pPr>
              <w:pStyle w:val="Compact"/>
              <w:spacing w:after="40" w:before="40"/>
              <w:jc w:val="left"/>
            </w:pPr>
            <w:r>
              <w:rPr>
                <w:rFonts w:ascii="Cambria" w:hAnsi="Cambria" w:cs="Cambria" w:eastAsia="Cambria"/>
                <w:color w:val="1A1A1A"/>
                <w:sz w:val="18"/>
              </w:rPr>
              <w:t xml:space="preserve">Attuazione a regime di servizio istituito e regolato, sotto vincolo del rientro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Monitoraggio</w:t>
            </w:r>
          </w:p>
        </w:tc>
        <w:tc>
          <w:tcPr>
            <w:shd w:val="clear" w:color="auto" w:fill="F4F1EC"/>
          </w:tcPr>
          <w:p>
            <w:pPr>
              <w:pStyle w:val="Compact"/>
              <w:spacing w:after="40" w:before="40"/>
              <w:jc w:val="left"/>
            </w:pPr>
            <w:r>
              <w:rPr>
                <w:rFonts w:ascii="Cambria" w:hAnsi="Cambria" w:cs="Cambria" w:eastAsia="Cambria"/>
                <w:color w:val="1A1A1A"/>
                <w:sz w:val="18"/>
              </w:rPr>
              <w:t xml:space="preserve">Disegno a cunei con linea di base pre-avvio; flusso informativo da costruire</w:t>
            </w:r>
          </w:p>
        </w:tc>
      </w:tr>
    </w:tbl>
    <w:p>
      <w:pPr>
        <w:pStyle w:val="BodyText"/>
      </w:pPr>
      <w:r>
        <w:rPr>
          <w:i/>
          <w:iCs/>
        </w:rPr>
        <w:t xml:space="preserve">Tabella M.1. La sintesi dei domini della valutazione.</w:t>
      </w:r>
    </w:p>
    <w:bookmarkEnd w:id="2844"/>
    <w:bookmarkStart w:id="2851" w:name="m.2-lanalisi-multi-criterio-9"/>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3127"/>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3128"/>
      </w:r>
      <w:r>
        <w:t xml:space="preserve"> </w:t>
      </w:r>
      <w:r>
        <w:t xml:space="preserve">La media ponderata dei punteggi dell’intervento è dell’ordine di 78,15 su 100, sostenuta dai punteggi elevati nel valore sociale, nell’equità e nel ritorno, e contenuta dal punteggio nella robustezza dell’evidenza — che riflette l’assenza, allo stato, di dati operativi propri — e dal punteggio nell’impatto sul bilancio e sostenibilità, su cui pesa il vincolo del piano di rientro.</w:t>
      </w:r>
      <w:r>
        <w:rPr>
          <w:rStyle w:val="FootnoteReference"/>
        </w:rPr>
        <w:footnoteReference w:id="3129"/>
      </w:r>
      <w:r>
        <w:t xml:space="preserve"> </w:t>
      </w:r>
      <w:r>
        <w:t xml:space="preserve">Il non intervento ottiene una media dell’ordine di 39,50 su 100, penalizzato in tutti i criteri sostanziali e sostenuto soltanto dalla fattibilità immediata dello status quo, che però in una regione con i livelli essenziali sotto adempienza appare difficilmente giustificabile.</w:t>
      </w:r>
      <w:r>
        <w:rPr>
          <w:rStyle w:val="FootnoteReference"/>
        </w:rPr>
        <w:footnoteReference w:id="3130"/>
      </w:r>
      <w:r>
        <w:t xml:space="preserve"> </w:t>
      </w:r>
      <w:r>
        <w:t xml:space="preserve">L’intervento prevale dunque nettamente, con uno scarto dell’ordine di trentanove punti; il punteggio si colloca in linea con quello delle altre regioni della serie, scontando un caso finanziario diretto prossimo al pareggio, il vincolo del rientro e la natura ancora iniziale dell’attuazione.</w:t>
      </w:r>
      <w:r>
        <w:rPr>
          <w:rStyle w:val="FootnoteReference"/>
        </w:rPr>
        <w:footnoteReference w:id="3131"/>
      </w:r>
      <w:r>
        <w:t xml:space="preserve"> </w:t>
      </w:r>
      <w:r>
        <w:t xml:space="preserve">La prevalenza si mantiene al variare dei pesi entro intervalli ragionevoli, sicché la raccomandazione è robusta.</w:t>
      </w:r>
      <w:r>
        <w:rPr>
          <w:rStyle w:val="FootnoteReference"/>
        </w:rPr>
        <w:footnoteReference w:id="3132"/>
      </w:r>
      <w:r>
        <w:t xml:space="preserve"> </w:t>
      </w:r>
      <w:r>
        <w:t xml:space="preserve">La tabella seguente riporta i punteggi per criterio.</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Non interv.</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78</w:t>
            </w:r>
          </w:p>
        </w:tc>
        <w:tc>
          <w:tcPr/>
          <w:p>
            <w:pPr>
              <w:pStyle w:val="Compact"/>
              <w:spacing w:after="40" w:before="40"/>
              <w:jc w:val="left"/>
            </w:pPr>
            <w:r>
              <w:rPr>
                <w:rFonts w:ascii="Cambria" w:hAnsi="Cambria" w:cs="Cambria" w:eastAsia="Cambria"/>
                <w:color w:val="1A1A1A"/>
                <w:sz w:val="18"/>
              </w:rPr>
              <w:t xml:space="preserve">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84</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r>
      <w:tr>
        <w:tc>
          <w:tcPr/>
          <w:p>
            <w:pPr>
              <w:pStyle w:val="Compact"/>
              <w:spacing w:after="40" w:before="40"/>
              <w:jc w:val="left"/>
            </w:pPr>
            <w:r>
              <w:rPr>
                <w:rFonts w:ascii="Cambria" w:hAnsi="Cambria" w:cs="Cambria" w:eastAsia="Cambria"/>
                <w:b/>
                <w:bCs/>
                <w:color w:val="1A1A1A"/>
                <w:sz w:val="18"/>
              </w:rPr>
              <w:t xml:space="preserve">Impatto sul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67</w:t>
            </w:r>
          </w:p>
        </w:tc>
        <w:tc>
          <w:tcPr/>
          <w:p>
            <w:pPr>
              <w:pStyle w:val="Compact"/>
              <w:spacing w:after="40" w:before="40"/>
              <w:jc w:val="left"/>
            </w:pPr>
            <w:r>
              <w:rPr>
                <w:rFonts w:ascii="Cambria" w:hAnsi="Cambria" w:cs="Cambria" w:eastAsia="Cambria"/>
                <w:color w:val="1A1A1A"/>
                <w:sz w:val="18"/>
              </w:rPr>
              <w:t xml:space="preserve">54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86</w:t>
            </w:r>
          </w:p>
        </w:tc>
        <w:tc>
          <w:tcPr>
            <w:shd w:val="clear" w:color="auto" w:fill="F4F1EC"/>
          </w:tcPr>
          <w:p>
            <w:pPr>
              <w:pStyle w:val="Compact"/>
              <w:spacing w:after="40" w:before="40"/>
              <w:jc w:val="left"/>
            </w:pPr>
            <w:r>
              <w:rPr>
                <w:rFonts w:ascii="Cambria" w:hAnsi="Cambria" w:cs="Cambria" w:eastAsia="Cambria"/>
                <w:color w:val="1A1A1A"/>
                <w:sz w:val="18"/>
              </w:rPr>
              <w:t xml:space="preserve">28</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87</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74</w:t>
            </w:r>
          </w:p>
        </w:tc>
        <w:tc>
          <w:tcPr>
            <w:shd w:val="clear" w:color="auto" w:fill="F4F1EC"/>
          </w:tcPr>
          <w:p>
            <w:pPr>
              <w:pStyle w:val="Compact"/>
              <w:spacing w:after="40" w:before="40"/>
              <w:jc w:val="left"/>
            </w:pPr>
            <w:r>
              <w:rPr>
                <w:rFonts w:ascii="Cambria" w:hAnsi="Cambria" w:cs="Cambria" w:eastAsia="Cambria"/>
                <w:color w:val="1A1A1A"/>
                <w:sz w:val="18"/>
              </w:rPr>
              <w:t xml:space="preserve">84</w:t>
            </w:r>
          </w:p>
        </w:tc>
      </w:tr>
      <w:tr>
        <w:tc>
          <w:tcPr/>
          <w:p>
            <w:pPr>
              <w:pStyle w:val="Compact"/>
              <w:spacing w:after="40" w:before="40"/>
              <w:jc w:val="left"/>
            </w:pPr>
            <w:r>
              <w:rPr>
                <w:rFonts w:ascii="Cambria" w:hAnsi="Cambria" w:cs="Cambria" w:eastAsia="Cambria"/>
                <w:b/>
                <w:bCs/>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64</w:t>
            </w:r>
          </w:p>
        </w:tc>
        <w:tc>
          <w:tcPr/>
          <w:p>
            <w:pPr>
              <w:pStyle w:val="Compact"/>
              <w:spacing w:after="40" w:before="40"/>
              <w:jc w:val="left"/>
            </w:pPr>
            <w:r>
              <w:rPr>
                <w:rFonts w:ascii="Cambria" w:hAnsi="Cambria" w:cs="Cambria" w:eastAsia="Cambria"/>
                <w:color w:val="1A1A1A"/>
                <w:sz w:val="18"/>
              </w:rPr>
              <w:t xml:space="preserve">55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84</w:t>
            </w:r>
          </w:p>
        </w:tc>
        <w:tc>
          <w:tcPr>
            <w:shd w:val="clear" w:color="auto" w:fill="F4F1EC"/>
          </w:tcPr>
          <w:p>
            <w:pPr>
              <w:pStyle w:val="Compact"/>
              <w:spacing w:after="40" w:before="40"/>
              <w:jc w:val="left"/>
            </w:pPr>
            <w:r>
              <w:rPr>
                <w:rFonts w:ascii="Cambria" w:hAnsi="Cambria" w:cs="Cambria" w:eastAsia="Cambria"/>
                <w:color w:val="1A1A1A"/>
                <w:sz w:val="18"/>
              </w:rPr>
              <w:t xml:space="preserve">26</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78,15</w:t>
            </w:r>
          </w:p>
        </w:tc>
        <w:tc>
          <w:tcPr/>
          <w:p>
            <w:pPr>
              <w:pStyle w:val="Compact"/>
              <w:spacing w:after="40" w:before="40"/>
              <w:jc w:val="left"/>
            </w:pPr>
            <w:r>
              <w:rPr>
                <w:rFonts w:ascii="Cambria" w:hAnsi="Cambria" w:cs="Cambria" w:eastAsia="Cambria"/>
                <w:color w:val="1A1A1A"/>
                <w:sz w:val="18"/>
              </w:rPr>
              <w:t xml:space="preserve">39,50</w:t>
            </w:r>
          </w:p>
        </w:tc>
      </w:tr>
    </w:tbl>
    <w:p>
      <w:pPr>
        <w:pStyle w:val="BodyText"/>
      </w:pPr>
      <w:r>
        <w:rPr>
          <w:i/>
          <w:iCs/>
        </w:rPr>
        <w:t xml:space="preserve">Tabella M.2. L’analisi multi-criterio: punteggi dell’intervento e del non intervento.</w:t>
      </w:r>
    </w:p>
    <w:bookmarkEnd w:id="2851"/>
    <w:bookmarkStart w:id="2854" w:name="X0e07ee9c61772ab543e5c4a68da717ec03e93fe"/>
    <w:p>
      <w:pPr>
        <w:pStyle w:val="Heading3"/>
      </w:pPr>
      <w:r>
        <w:t xml:space="preserve">M.3 La raccomandazione e il dimensionamento</w:t>
      </w:r>
    </w:p>
    <w:p>
      <w:pPr>
        <w:pStyle w:val="FirstParagraph"/>
      </w:pPr>
      <w:r>
        <w:t xml:space="preserve">Dalla convergenza dei domini e dall’analisi multi-criterio discende la raccomandazione principale: attuare pienamente e portare a regime il servizio di psicologia di base già istituito e regolato, stabilizzandone il finanziamento oltre lo stanziamento transitorio e dimensionandolo verso la copertura piena del fabbisogno; è la decisione che l’Abruzzo, fra le prime regioni ad aver istituito il servizio per legge, è chiamato a compiere per tradurre il proprio quadro normativo completo in un servizio stabile.</w:t>
      </w:r>
      <w:r>
        <w:rPr>
          <w:rStyle w:val="FootnoteReference"/>
        </w:rPr>
        <w:footnoteReference w:id="3133"/>
      </w:r>
      <w:r>
        <w:t xml:space="preserve"> </w:t>
      </w:r>
      <w:r>
        <w:t xml:space="preserve">Quanto alla scala, si raccomanda di muovere dall’attuazione iniziale e di procedere per gradi verso lo scenario conservativo, dell’ordine di 85 incarichi corrispondenti al rapporto di legge di uno psicologo ogni quindicimila abitanti, quindi verso quello di base, dell’ordine di 180, e infine verso quello espansivo, dell’ordine di 280, in funzione della verifica progressiva dei risultati e della sostenibilità.</w:t>
      </w:r>
      <w:r>
        <w:rPr>
          <w:rStyle w:val="FootnoteReference"/>
        </w:rPr>
        <w:footnoteReference w:id="3134"/>
      </w:r>
      <w:r>
        <w:t xml:space="preserve"> </w:t>
      </w:r>
      <w:r>
        <w:t xml:space="preserve">La tabella seguente riepiloga le raccomandazioni operative.</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28"/>
        <w:gridCol w:w="609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Raccomandazione operativa per l’Abruzzo</w:t>
            </w:r>
          </w:p>
        </w:tc>
      </w:tr>
      <w:tr>
        <w:tc>
          <w:tcPr/>
          <w:p>
            <w:pPr>
              <w:pStyle w:val="Compact"/>
              <w:spacing w:after="40" w:before="40"/>
              <w:jc w:val="left"/>
            </w:pPr>
            <w:r>
              <w:rPr>
                <w:rFonts w:ascii="Cambria" w:hAnsi="Cambria" w:cs="Cambria" w:eastAsia="Cambria"/>
                <w:b/>
                <w:bCs/>
                <w:color w:val="1A1A1A"/>
                <w:sz w:val="18"/>
              </w:rPr>
              <w:t xml:space="preserve">Atto di attuazione</w:t>
            </w:r>
          </w:p>
        </w:tc>
        <w:tc>
          <w:tcPr/>
          <w:p>
            <w:pPr>
              <w:pStyle w:val="Compact"/>
              <w:spacing w:after="40" w:before="40"/>
              <w:jc w:val="left"/>
            </w:pPr>
            <w:r>
              <w:rPr>
                <w:rFonts w:ascii="Cambria" w:hAnsi="Cambria" w:cs="Cambria" w:eastAsia="Cambria"/>
                <w:color w:val="1A1A1A"/>
                <w:sz w:val="18"/>
              </w:rPr>
              <w:t xml:space="preserve">Attuare pienamente e portare a regime il servizio istituito; stabilizzare il finanziamento oltre lo stanziamento transitorio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Dimensionamento</w:t>
            </w:r>
          </w:p>
        </w:tc>
        <w:tc>
          <w:tcPr>
            <w:shd w:val="clear" w:color="auto" w:fill="F4F1EC"/>
          </w:tcPr>
          <w:p>
            <w:pPr>
              <w:pStyle w:val="Compact"/>
              <w:spacing w:after="40" w:before="40"/>
              <w:jc w:val="left"/>
            </w:pPr>
            <w:r>
              <w:rPr>
                <w:rFonts w:ascii="Cambria" w:hAnsi="Cambria" w:cs="Cambria" w:eastAsia="Cambria"/>
                <w:color w:val="1A1A1A"/>
                <w:sz w:val="18"/>
              </w:rPr>
              <w:t xml:space="preserve">Dall’attuazione iniziale verso conservativo ~85; base ~180; espansivo ~280, per gradi</w:t>
            </w:r>
          </w:p>
        </w:tc>
      </w:tr>
      <w:tr>
        <w:tc>
          <w:tcPr/>
          <w:p>
            <w:pPr>
              <w:pStyle w:val="Compact"/>
              <w:spacing w:after="40" w:before="40"/>
              <w:jc w:val="left"/>
            </w:pPr>
            <w:r>
              <w:rPr>
                <w:rFonts w:ascii="Cambria" w:hAnsi="Cambria" w:cs="Cambria" w:eastAsia="Cambria"/>
                <w:b/>
                <w:bCs/>
                <w:color w:val="1A1A1A"/>
                <w:sz w:val="18"/>
              </w:rPr>
              <w:t xml:space="preserve">Allocazione</w:t>
            </w:r>
          </w:p>
        </w:tc>
        <w:tc>
          <w:tcPr/>
          <w:p>
            <w:pPr>
              <w:pStyle w:val="Compact"/>
              <w:spacing w:after="40" w:before="40"/>
              <w:jc w:val="left"/>
            </w:pPr>
            <w:r>
              <w:rPr>
                <w:rFonts w:ascii="Cambria" w:hAnsi="Cambria" w:cs="Cambria" w:eastAsia="Cambria"/>
                <w:color w:val="1A1A1A"/>
                <w:sz w:val="18"/>
              </w:rPr>
              <w:t xml:space="preserve">Pro-equità, verso le aree interne e montane e i piccoli comuni; entrambi i versanti generazionali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Rafforzare e rendere operativi l’Osservatorio e il Tavolo tecnico già previsti; relazione al Consiglio</w:t>
            </w:r>
          </w:p>
        </w:tc>
      </w:tr>
      <w:tr>
        <w:tc>
          <w:tcPr/>
          <w:p>
            <w:pPr>
              <w:pStyle w:val="Compact"/>
              <w:spacing w:after="40" w:before="40"/>
              <w:jc w:val="left"/>
            </w:pPr>
            <w:r>
              <w:rPr>
                <w:rFonts w:ascii="Cambria" w:hAnsi="Cambria" w:cs="Cambria" w:eastAsia="Cambria"/>
                <w:b/>
                <w:bCs/>
                <w:color w:val="1A1A1A"/>
                <w:sz w:val="18"/>
              </w:rPr>
              <w:t xml:space="preserve">Governance</w:t>
            </w:r>
          </w:p>
        </w:tc>
        <w:tc>
          <w:tcPr/>
          <w:p>
            <w:pPr>
              <w:pStyle w:val="Compact"/>
              <w:spacing w:after="40" w:before="40"/>
              <w:jc w:val="left"/>
            </w:pPr>
            <w:r>
              <w:rPr>
                <w:rFonts w:ascii="Cambria" w:hAnsi="Cambria" w:cs="Cambria" w:eastAsia="Cambria"/>
                <w:color w:val="1A1A1A"/>
                <w:sz w:val="18"/>
              </w:rPr>
              <w:t xml:space="preserve">Regia regionale forte; indirizzi uniformi; flusso informativo da costruire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Dati</w:t>
            </w:r>
          </w:p>
        </w:tc>
        <w:tc>
          <w:tcPr>
            <w:shd w:val="clear" w:color="auto" w:fill="F4F1EC"/>
          </w:tcPr>
          <w:p>
            <w:pPr>
              <w:pStyle w:val="Compact"/>
              <w:spacing w:after="40" w:before="40"/>
              <w:jc w:val="left"/>
            </w:pPr>
            <w:r>
              <w:rPr>
                <w:rFonts w:ascii="Cambria" w:hAnsi="Cambria" w:cs="Cambria" w:eastAsia="Cambria"/>
                <w:color w:val="1A1A1A"/>
                <w:sz w:val="18"/>
              </w:rPr>
              <w:t xml:space="preserve">Estrarre i conti certificati delle quattro Aziende; costruire il flusso dei dati di esito</w:t>
            </w:r>
          </w:p>
        </w:tc>
      </w:tr>
    </w:tbl>
    <w:p>
      <w:pPr>
        <w:pStyle w:val="BodyText"/>
      </w:pPr>
      <w:r>
        <w:rPr>
          <w:i/>
          <w:iCs/>
        </w:rPr>
        <w:t xml:space="preserve">Tabella M.3. Le raccomandazioni operative.</w:t>
      </w:r>
    </w:p>
    <w:bookmarkEnd w:id="2854"/>
    <w:bookmarkStart w:id="2858" w:name="X03a3c065561cba55e24755f988281932d0f07ac"/>
    <w:p>
      <w:pPr>
        <w:pStyle w:val="Heading3"/>
      </w:pPr>
      <w:r>
        <w:t xml:space="preserve">M.4 Le condizioni e la lacuna da colmare</w:t>
      </w:r>
    </w:p>
    <w:p>
      <w:pPr>
        <w:pStyle w:val="FirstParagraph"/>
      </w:pPr>
      <w:r>
        <w:t xml:space="preserve">La raccomandazione è subordinata a condizioni precise: il rafforzamento e la piena operatività della clausola valutativa, dell’Osservatorio Regionale e del Tavolo tecnico già previsti dalla legge, l’adozione di un’allocazione pro-equità, una regia regionale forte e la costruzione del flusso informativo, oggi assente per la discontinuità della rilevazione regionale.</w:t>
      </w:r>
      <w:r>
        <w:rPr>
          <w:rStyle w:val="FootnoteReference"/>
        </w:rPr>
        <w:footnoteReference w:id="3135"/>
      </w:r>
      <w:r>
        <w:t xml:space="preserve"> </w:t>
      </w:r>
      <w:r>
        <w:t xml:space="preserve">Resta inoltre da colmare, prima della presentazione esterna, la lacuna dei dati: l’estrazione dei conti certificati delle quattro Aziende Sanitarie Locali e la costruzione del flusso dei dati di esito consentiranno di sostituire i valori ricostruiti per quota di popolazione con grandezze effettive.</w:t>
      </w:r>
      <w:r>
        <w:rPr>
          <w:rStyle w:val="FootnoteReference"/>
        </w:rPr>
        <w:footnoteReference w:id="3136"/>
      </w:r>
      <w:r>
        <w:t xml:space="preserve"> </w:t>
      </w:r>
      <w:r>
        <w:t xml:space="preserve">Va infine ribadita la distinzione cardine, con una precisazione propria della posizione abruzzese: il caso finanziario per il bilancio sanitario è prossimo al pareggio, mentre il caso economico complessivo è fortemente positivo; si tratta di un investimento sociale a beneficio prevalentemente extra-sanitario, con un costo netto contenuto, e non di un’operazione di risparmio sanitario diretto. In una regione in piano di rientro, tuttavia, proprio l’autofinanziamento quasi integrale sul bilancio diretto e il concorso alla garanzia dei livelli essenziali costituiscono gli argomenti che ne fondano la priorità e ne sostengono la stabilizzazione davanti agli organi di controllo.</w:t>
      </w:r>
      <w:r>
        <w:rPr>
          <w:rStyle w:val="FootnoteReference"/>
        </w:rPr>
        <w:footnoteReference w:id="3137"/>
      </w:r>
    </w:p>
    <w:bookmarkEnd w:id="2858"/>
    <w:bookmarkStart w:id="2862" w:name="X01ad1de1f8a9a89368b35e04547afc11d2b9986"/>
    <w:p>
      <w:pPr>
        <w:pStyle w:val="Heading3"/>
      </w:pPr>
      <w:r>
        <w:t xml:space="preserve">M.5 La collocazione nella serie e la conclusione</w:t>
      </w:r>
    </w:p>
    <w:p>
      <w:pPr>
        <w:pStyle w:val="FirstParagraph"/>
      </w:pPr>
      <w:r>
        <w:t xml:space="preserve">Lo studio sull’Abruzzo si inserisce nella serie degli studi regionali, condividendone il telaio integrato e il caso di riferimento; rispetto agli altri, l’Abruzzo occupa una posizione peculiare — quella di una delle prime regioni ad aver istituito il servizio per legge, con una disciplina coerente con la pronuncia della Corte Costituzionale richiamata da tutti gli studi della serie, ma anche dell’unica, fra quelle esaminate, chiamata a portarlo a regime entro il vincolo di un piano di rientro in peggioramento.</w:t>
      </w:r>
      <w:r>
        <w:rPr>
          <w:rStyle w:val="FootnoteReference"/>
        </w:rPr>
        <w:footnoteReference w:id="3138"/>
      </w:r>
      <w:r>
        <w:t xml:space="preserve"> </w:t>
      </w:r>
      <w:r>
        <w:t xml:space="preserve">Coerentemente con l’impostazione dell’intero progetto, lo studio si astiene dalle cifre di larga circolazione ma prive di fondamento metodologico, e adotta un rapporto beneficio-costo prudenziale dell’ordine di 3,4–5,1 a uno, per credibilità verso gli organi di controllo della finanza pubblica.</w:t>
      </w:r>
      <w:r>
        <w:rPr>
          <w:rStyle w:val="FootnoteReference"/>
        </w:rPr>
        <w:footnoteReference w:id="3139"/>
      </w:r>
      <w:r>
        <w:t xml:space="preserve"> </w:t>
      </w:r>
      <w:r>
        <w:t xml:space="preserve">La decisione che lo studio sostiene è, in conclusione, di attuare pienamente e portare a regime il servizio di psicologia di base già istituito, stabilizzandone il finanziamento, dimensionandolo progressivamente al fabbisogno e rendendo pienamente operativa la clausola valutativa: per l’Abruzzo, ciò significa tradurre un quadro normativo completo in un servizio stabile, facendo della garanzia dei livelli essenziali — che il vincolo del rientro impone di porre a fondamento di ogni impiego — non un ostacolo, ma l’argomento decisivo a beneficio della popolazione.</w:t>
      </w:r>
      <w:r>
        <w:rPr>
          <w:rStyle w:val="FootnoteReference"/>
        </w:rPr>
        <w:footnoteReference w:id="3140"/>
      </w:r>
    </w:p>
    <w:bookmarkEnd w:id="2862"/>
    <w:bookmarkEnd w:id="2863"/>
    <w:bookmarkStart w:id="2867" w:name="X6d72692a9a2679392a8a856ef0fea9f132abe2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3141"/>
      </w:r>
      <w:r>
        <w:t xml:space="preserve"> </w:t>
      </w:r>
      <w:r>
        <w:t xml:space="preserve">La tabella seguente lo riepiloga.</w:t>
      </w:r>
    </w:p>
    <w:tbl>
      <w:tblPr>
        <w:tblStyle w:val="Table"/>
        <w:tblW w:type="pct" w:w="493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05"/>
        <w:gridCol w:w="581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caso di 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adottata</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Servizio istituito e regolato ma in attuazione iniziale, a finanziamento transitorio; condizione di pre-regime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Azienda Sanitaria Locale/distretto</w:t>
            </w:r>
          </w:p>
        </w:tc>
      </w:tr>
      <w:tr>
        <w:tc>
          <w:tcPr/>
          <w:p>
            <w:pPr>
              <w:pStyle w:val="Compact"/>
              <w:spacing w:after="40" w:before="40"/>
              <w:jc w:val="left"/>
            </w:pPr>
            <w:r>
              <w:rPr>
                <w:rFonts w:ascii="Cambria" w:hAnsi="Cambria" w:cs="Cambria" w:eastAsia="Cambria"/>
                <w:b/>
                <w:bCs/>
                <w:color w:val="1A1A1A"/>
                <w:sz w:val="18"/>
              </w:rPr>
              <w:t xml:space="preserve">Soglia di costo-efficacia</w:t>
            </w:r>
          </w:p>
        </w:tc>
        <w:tc>
          <w:tcPr/>
          <w:p>
            <w:pPr>
              <w:pStyle w:val="Compact"/>
              <w:spacing w:after="40" w:before="40"/>
              <w:jc w:val="left"/>
            </w:pPr>
            <w:r>
              <w:rPr>
                <w:rFonts w:ascii="Cambria" w:hAnsi="Cambria" w:cs="Cambria" w:eastAsia="Cambria"/>
                <w:color w:val="1A1A1A"/>
                <w:sz w:val="18"/>
              </w:rPr>
              <w:t xml:space="preserve">30.000 euro per anno di vita ponderato per la qualità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Correzione prudenziale</w:t>
            </w:r>
          </w:p>
        </w:tc>
        <w:tc>
          <w:tcPr>
            <w:shd w:val="clear" w:color="auto" w:fill="F4F1EC"/>
          </w:tcPr>
          <w:p>
            <w:pPr>
              <w:pStyle w:val="Compact"/>
              <w:spacing w:after="40" w:before="40"/>
              <w:jc w:val="left"/>
            </w:pPr>
            <w:r>
              <w:rPr>
                <w:rFonts w:ascii="Cambria" w:hAnsi="Cambria" w:cs="Cambria" w:eastAsia="Cambria"/>
                <w:color w:val="1A1A1A"/>
                <w:sz w:val="18"/>
              </w:rP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3142"/>
      </w:r>
      <w:r>
        <w:t xml:space="preserve"> </w:t>
      </w:r>
      <w:r>
        <w:t xml:space="preserve">La tabella seguente li riporta con le distribuzioni assegnate per l’analisi probabilistica.</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3498"/>
        <w:gridCol w:w="15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 di Markov</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Stati del modello</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recupero</w:t>
            </w:r>
          </w:p>
        </w:tc>
        <w:tc>
          <w:tcPr>
            <w:shd w:val="clear" w:color="auto" w:fill="F4F1EC"/>
          </w:tcPr>
          <w:p>
            <w:pPr>
              <w:pStyle w:val="Compact"/>
              <w:spacing w:after="40" w:before="40"/>
              <w:jc w:val="left"/>
            </w:pPr>
            <w:r>
              <w:rPr>
                <w:rFonts w:ascii="Cambria" w:hAnsi="Cambria" w:cs="Cambria" w:eastAsia="Cambria"/>
                <w:color w:val="1A1A1A"/>
                <w:sz w:val="18"/>
              </w:rPr>
              <w:t xml:space="preserve">40 €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per ciclo — cronico</w:t>
            </w:r>
          </w:p>
        </w:tc>
        <w:tc>
          <w:tcPr/>
          <w:p>
            <w:pPr>
              <w:pStyle w:val="Compact"/>
              <w:spacing w:after="40" w:before="40"/>
              <w:jc w:val="left"/>
            </w:pPr>
            <w:r>
              <w:rPr>
                <w:rFonts w:ascii="Cambria" w:hAnsi="Cambria" w:cs="Cambria" w:eastAsia="Cambria"/>
                <w:color w:val="1A1A1A"/>
                <w:sz w:val="18"/>
              </w:rPr>
              <w:t xml:space="preserve">700 €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Per braccio, da fonti</w:t>
            </w:r>
          </w:p>
        </w:tc>
        <w:tc>
          <w:tcPr/>
          <w:p>
            <w:pPr>
              <w:pStyle w:val="Compact"/>
              <w:spacing w:after="40" w:before="40"/>
              <w:jc w:val="left"/>
            </w:pPr>
            <w:r>
              <w:rPr>
                <w:rFonts w:ascii="Cambria" w:hAnsi="Cambria" w:cs="Cambria" w:eastAsia="Cambria"/>
                <w:color w:val="1A1A1A"/>
                <w:sz w:val="18"/>
              </w:rPr>
              <w:t xml:space="preserve">Beta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per stato</w:t>
            </w:r>
          </w:p>
        </w:tc>
        <w:tc>
          <w:tcPr>
            <w:shd w:val="clear" w:color="auto" w:fill="F4F1EC"/>
          </w:tcPr>
          <w:p>
            <w:pPr>
              <w:pStyle w:val="Compact"/>
              <w:spacing w:after="40" w:before="40"/>
              <w:jc w:val="left"/>
            </w:pPr>
            <w:r>
              <w:rPr>
                <w:rFonts w:ascii="Cambria" w:hAnsi="Cambria" w:cs="Cambria" w:eastAsia="Cambria"/>
                <w:color w:val="1A1A1A"/>
                <w:sz w:val="18"/>
              </w:rPr>
              <w:t xml:space="preserve">Da fonti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Orizzonte e sconto</w:t>
            </w:r>
          </w:p>
        </w:tc>
        <w:tc>
          <w:tcPr/>
          <w:p>
            <w:pPr>
              <w:pStyle w:val="Compact"/>
              <w:spacing w:after="40" w:before="40"/>
              <w:jc w:val="left"/>
            </w:pPr>
            <w:r>
              <w:rPr>
                <w:rFonts w:ascii="Cambria" w:hAnsi="Cambria" w:cs="Cambria" w:eastAsia="Cambria"/>
                <w:color w:val="1A1A1A"/>
                <w:sz w:val="18"/>
              </w:rPr>
              <w:t xml:space="preserve">5 anni; 3% annuo</w:t>
            </w:r>
          </w:p>
        </w:tc>
        <w:t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A.2. I parametri del modello di Markov e le distribuzioni assegnate per l’analisi probabilistica.</w:t>
      </w:r>
    </w:p>
    <w:p>
      <w:pPr>
        <w:pStyle w:val="BodyText"/>
      </w:pPr>
      <w:r>
        <w:t xml:space="preserve">Il quadro economico consolidato dell’Abruzzo, già esposto nelle parti centrali dello studio, è qui riassunto per scenario, a beneficio della consultazione.</w:t>
      </w:r>
      <w:r>
        <w:rPr>
          <w:rStyle w:val="FootnoteReference"/>
        </w:rPr>
        <w:footnoteReference w:id="3143"/>
      </w:r>
      <w:r>
        <w:t xml:space="preserve"> </w:t>
      </w:r>
      <w:r>
        <w:t xml:space="preserve">La tabella seguente lo riepiloga.</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3"/>
        <w:gridCol w:w="1384"/>
        <w:gridCol w:w="1384"/>
        <w:gridCol w:w="13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 salvo 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Psicologi a regime</w:t>
            </w:r>
          </w:p>
        </w:tc>
        <w:tc>
          <w:tcPr/>
          <w:p>
            <w:pPr>
              <w:pStyle w:val="Compact"/>
              <w:spacing w:after="40" w:before="40"/>
              <w:jc w:val="left"/>
            </w:pPr>
            <w:r>
              <w:rPr>
                <w:rFonts w:ascii="Cambria" w:hAnsi="Cambria" w:cs="Cambria" w:eastAsia="Cambria"/>
                <w:color w:val="1A1A1A"/>
                <w:sz w:val="18"/>
              </w:rPr>
              <w:t xml:space="preserve">~ 85</w:t>
            </w:r>
          </w:p>
        </w:tc>
        <w:tc>
          <w:tcPr/>
          <w:p>
            <w:pPr>
              <w:pStyle w:val="Compact"/>
              <w:spacing w:after="40" w:before="40"/>
              <w:jc w:val="left"/>
            </w:pPr>
            <w:r>
              <w:rPr>
                <w:rFonts w:ascii="Cambria" w:hAnsi="Cambria" w:cs="Cambria" w:eastAsia="Cambria"/>
                <w:color w:val="1A1A1A"/>
                <w:sz w:val="18"/>
              </w:rPr>
              <w:t xml:space="preserve">~ 180</w:t>
            </w:r>
          </w:p>
        </w:tc>
        <w:tc>
          <w:tcPr/>
          <w:p>
            <w:pPr>
              <w:pStyle w:val="Compact"/>
              <w:spacing w:after="40" w:before="40"/>
              <w:jc w:val="left"/>
            </w:pPr>
            <w:r>
              <w:rPr>
                <w:rFonts w:ascii="Cambria" w:hAnsi="Cambria" w:cs="Cambria" w:eastAsia="Cambria"/>
                <w:color w:val="1A1A1A"/>
                <w:sz w:val="18"/>
              </w:rPr>
              <w:t xml:space="preserve">~ 280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5</w:t>
            </w:r>
          </w:p>
        </w:tc>
        <w:tc>
          <w:tcPr>
            <w:shd w:val="clear" w:color="auto" w:fill="F4F1EC"/>
          </w:tcPr>
          <w:p>
            <w:pPr>
              <w:pStyle w:val="Compact"/>
              <w:spacing w:after="40" w:before="40"/>
              <w:jc w:val="left"/>
            </w:pPr>
            <w:r>
              <w:rPr>
                <w:rFonts w:ascii="Cambria" w:hAnsi="Cambria" w:cs="Cambria" w:eastAsia="Cambria"/>
                <w:color w:val="1A1A1A"/>
                <w:sz w:val="18"/>
              </w:rPr>
              <w:t xml:space="preserve">~ 10</w:t>
            </w:r>
          </w:p>
        </w:tc>
        <w:tc>
          <w:tcPr>
            <w:shd w:val="clear" w:color="auto" w:fill="F4F1EC"/>
          </w:tcPr>
          <w:p>
            <w:pPr>
              <w:pStyle w:val="Compact"/>
              <w:spacing w:after="40" w:before="40"/>
              <w:jc w:val="left"/>
            </w:pPr>
            <w:r>
              <w:rPr>
                <w:rFonts w:ascii="Cambria" w:hAnsi="Cambria" w:cs="Cambria" w:eastAsia="Cambria"/>
                <w:color w:val="1A1A1A"/>
                <w:sz w:val="18"/>
              </w:rPr>
              <w:t xml:space="preserve">~ 15</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9</w:t>
            </w:r>
          </w:p>
        </w:tc>
        <w:tc>
          <w:tcPr/>
          <w:p>
            <w:pPr>
              <w:pStyle w:val="Compact"/>
              <w:spacing w:after="40" w:before="40"/>
              <w:jc w:val="left"/>
            </w:pPr>
            <w:r>
              <w:rPr>
                <w:rFonts w:ascii="Cambria" w:hAnsi="Cambria" w:cs="Cambria" w:eastAsia="Cambria"/>
                <w:color w:val="1A1A1A"/>
                <w:sz w:val="18"/>
              </w:rPr>
              <w:t xml:space="preserve">~ 15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13</w:t>
            </w:r>
          </w:p>
        </w:tc>
        <w:tc>
          <w:tcPr>
            <w:shd w:val="clear" w:color="auto" w:fill="F4F1EC"/>
          </w:tcPr>
          <w:p>
            <w:pPr>
              <w:pStyle w:val="Compact"/>
              <w:spacing w:after="40" w:before="40"/>
              <w:jc w:val="left"/>
            </w:pPr>
            <w:r>
              <w:rPr>
                <w:rFonts w:ascii="Cambria" w:hAnsi="Cambria" w:cs="Cambria" w:eastAsia="Cambria"/>
                <w:color w:val="1A1A1A"/>
                <w:sz w:val="18"/>
              </w:rPr>
              <w:t xml:space="preserve">~ 33</w:t>
            </w:r>
          </w:p>
        </w:tc>
        <w:tc>
          <w:tcPr>
            <w:shd w:val="clear" w:color="auto" w:fill="F4F1EC"/>
          </w:tcPr>
          <w:p>
            <w:pPr>
              <w:pStyle w:val="Compact"/>
              <w:spacing w:after="40" w:before="40"/>
              <w:jc w:val="left"/>
            </w:pPr>
            <w:r>
              <w:rPr>
                <w:rFonts w:ascii="Cambria" w:hAnsi="Cambria" w:cs="Cambria" w:eastAsia="Cambria"/>
                <w:color w:val="1A1A1A"/>
                <w:sz w:val="18"/>
              </w:rPr>
              <w:t xml:space="preserve">~ 62</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−1</w:t>
            </w:r>
          </w:p>
        </w:tc>
        <w:tc>
          <w:tcPr/>
          <w:p>
            <w:pPr>
              <w:pStyle w:val="Compact"/>
              <w:spacing w:after="40" w:before="40"/>
              <w:jc w:val="left"/>
            </w:pPr>
            <w:r>
              <w:rPr>
                <w:rFonts w:ascii="Cambria" w:hAnsi="Cambria" w:cs="Cambria" w:eastAsia="Cambria"/>
                <w:color w:val="1A1A1A"/>
                <w:sz w:val="18"/>
              </w:rPr>
              <w:t xml:space="preserve">~ −1</w:t>
            </w:r>
          </w:p>
        </w:tc>
        <w:tc>
          <w:tcPr/>
          <w:p>
            <w:pPr>
              <w:pStyle w:val="Compact"/>
              <w:spacing w:after="40" w:before="40"/>
              <w:jc w:val="left"/>
            </w:pPr>
            <w:r>
              <w:rPr>
                <w:rFonts w:ascii="Cambria" w:hAnsi="Cambria" w:cs="Cambria" w:eastAsia="Cambria"/>
                <w:color w:val="1A1A1A"/>
                <w:sz w:val="18"/>
              </w:rPr>
              <w:t xml:space="preserve">~ 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+12</w:t>
            </w:r>
          </w:p>
        </w:tc>
        <w:tc>
          <w:tcPr>
            <w:shd w:val="clear" w:color="auto" w:fill="F4F1EC"/>
          </w:tcPr>
          <w:p>
            <w:pPr>
              <w:pStyle w:val="Compact"/>
              <w:spacing w:after="40" w:before="40"/>
              <w:jc w:val="left"/>
            </w:pPr>
            <w:r>
              <w:rPr>
                <w:rFonts w:ascii="Cambria" w:hAnsi="Cambria" w:cs="Cambria" w:eastAsia="Cambria"/>
                <w:color w:val="1A1A1A"/>
                <w:sz w:val="18"/>
              </w:rPr>
              <w:t xml:space="preserve">+32</w:t>
            </w:r>
          </w:p>
        </w:tc>
        <w:tc>
          <w:tcPr>
            <w:shd w:val="clear" w:color="auto" w:fill="F4F1EC"/>
          </w:tcPr>
          <w:p>
            <w:pPr>
              <w:pStyle w:val="Compact"/>
              <w:spacing w:after="40" w:before="40"/>
              <w:jc w:val="left"/>
            </w:pPr>
            <w:r>
              <w:rPr>
                <w:rFonts w:ascii="Cambria" w:hAnsi="Cambria" w:cs="Cambria" w:eastAsia="Cambria"/>
                <w:color w:val="1A1A1A"/>
                <w:sz w:val="18"/>
              </w:rPr>
              <w:t xml:space="preserve">+62</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~3,4:1</w:t>
            </w:r>
          </w:p>
        </w:tc>
        <w:tc>
          <w:tcPr/>
          <w:p>
            <w:pPr>
              <w:pStyle w:val="Compact"/>
              <w:spacing w:after="40" w:before="40"/>
              <w:jc w:val="left"/>
            </w:pPr>
            <w:r>
              <w:rPr>
                <w:rFonts w:ascii="Cambria" w:hAnsi="Cambria" w:cs="Cambria" w:eastAsia="Cambria"/>
                <w:color w:val="1A1A1A"/>
                <w:sz w:val="18"/>
              </w:rPr>
              <w:t xml:space="preserve">~4,2:1</w:t>
            </w:r>
          </w:p>
        </w:tc>
        <w:tc>
          <w:tcPr/>
          <w:p>
            <w:pPr>
              <w:pStyle w:val="Compact"/>
              <w:spacing w:after="40" w:before="40"/>
              <w:jc w:val="left"/>
            </w:pPr>
            <w:r>
              <w:rPr>
                <w:rFonts w:ascii="Cambria" w:hAnsi="Cambria" w:cs="Cambria" w:eastAsia="Cambria"/>
                <w:color w:val="1A1A1A"/>
                <w:sz w:val="18"/>
              </w:rPr>
              <w:t xml:space="preserve">~5,1:1</w:t>
            </w:r>
          </w:p>
        </w:tc>
      </w:tr>
    </w:tbl>
    <w:p>
      <w:pPr>
        <w:pStyle w:val="BodyText"/>
      </w:pPr>
      <w:r>
        <w:rPr>
          <w:i/>
          <w:iCs/>
        </w:rPr>
        <w:t xml:space="preserve">Tabella A.3. Il quadro economico consolidato per scenario (costo per incarico di riferimento di 55.000 euro).</w:t>
      </w:r>
    </w:p>
    <w:bookmarkEnd w:id="2867"/>
    <w:bookmarkStart w:id="2870" w:name="X6a5d6304baa72afcd1c2417521e7e08c707bdb9"/>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3144"/>
      </w:r>
      <w:r>
        <w:t xml:space="preserve"> </w:t>
      </w:r>
      <w:r>
        <w:t xml:space="preserve">La tabella seguente li descrive.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6"/>
        <w:gridCol w:w="1584"/>
        <w:gridCol w:w="41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Caratteristiche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 soglia clinica ~10; cambiamento affidabile ~6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d’ansia</w:t>
            </w:r>
          </w:p>
        </w:tc>
        <w:tc>
          <w:tcPr>
            <w:shd w:val="clear" w:color="auto" w:fill="F4F1EC"/>
          </w:tcPr>
          <w:p>
            <w:pPr>
              <w:pStyle w:val="Compact"/>
              <w:spacing w:after="40" w:before="40"/>
              <w:jc w:val="left"/>
            </w:pPr>
            <w:r>
              <w:rPr>
                <w:rFonts w:ascii="Cambria" w:hAnsi="Cambria" w:cs="Cambria" w:eastAsia="Cambria"/>
                <w:color w:val="1A1A1A"/>
                <w:sz w:val="18"/>
              </w:rPr>
              <w:t xml:space="preserve">0–21; impiegato nel solo punteggio complessivo</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Discesa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Esito secondario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3145"/>
      </w:r>
      <w:r>
        <w:t xml:space="preserve"> </w:t>
      </w:r>
      <w:r>
        <w:t xml:space="preserve">La tabella seguente ne costituisce il dizionario dei dati.</w:t>
      </w:r>
    </w:p>
    <w:tbl>
      <w:tblPr>
        <w:tblStyle w:val="Table"/>
        <w:tblW w:type="pct" w:w="491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52"/>
        <w:gridCol w:w="4154"/>
        <w:gridCol w:w="18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Campo del dataset</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Momento di rilevazione</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Data di apertura, canale di accesso, invio</w:t>
            </w:r>
          </w:p>
        </w:tc>
        <w:tc>
          <w:tcPr/>
          <w:p>
            <w:pPr>
              <w:pStyle w:val="Compact"/>
              <w:spacing w:after="40" w:before="40"/>
              <w:jc w:val="left"/>
            </w:pPr>
            <w:r>
              <w:rPr>
                <w:rFonts w:ascii="Cambria" w:hAnsi="Cambria" w:cs="Cambria" w:eastAsia="Cambria"/>
                <w:color w:val="1A1A1A"/>
                <w:sz w:val="18"/>
              </w:rPr>
              <w:t xml:space="preserve">All’apertura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Seduta</w:t>
            </w:r>
          </w:p>
        </w:tc>
        <w:tc>
          <w:tcPr>
            <w:shd w:val="clear" w:color="auto" w:fill="F4F1EC"/>
          </w:tcPr>
          <w:p>
            <w:pPr>
              <w:pStyle w:val="Compact"/>
              <w:spacing w:after="40" w:before="40"/>
              <w:jc w:val="left"/>
            </w:pPr>
            <w:r>
              <w:rPr>
                <w:rFonts w:ascii="Cambria" w:hAnsi="Cambria" w:cs="Cambria" w:eastAsia="Cambria"/>
                <w:color w:val="1A1A1A"/>
                <w:sz w:val="18"/>
              </w:rPr>
              <w:t xml:space="preserve">Data, tipo e numero progressivo della seduta</w:t>
            </w:r>
          </w:p>
        </w:tc>
        <w:tc>
          <w:tcPr>
            <w:shd w:val="clear" w:color="auto" w:fill="F4F1EC"/>
          </w:tcPr>
          <w:p>
            <w:pPr>
              <w:pStyle w:val="Compact"/>
              <w:spacing w:after="40" w:before="40"/>
              <w:jc w:val="left"/>
            </w:pPr>
            <w:r>
              <w:rPr>
                <w:rFonts w:ascii="Cambria" w:hAnsi="Cambria" w:cs="Cambria" w:eastAsia="Cambria"/>
                <w:color w:val="1A1A1A"/>
                <w:sz w:val="18"/>
              </w:rPr>
              <w:t xml:space="preserve">A ogni seduta</w:t>
            </w:r>
          </w:p>
        </w:tc>
      </w:tr>
      <w:tr>
        <w:tc>
          <w:tcPr/>
          <w:p>
            <w:pPr>
              <w:pStyle w:val="Compact"/>
              <w:spacing w:after="40" w:before="40"/>
              <w:jc w:val="left"/>
            </w:pPr>
            <w:r>
              <w:rPr>
                <w:rFonts w:ascii="Cambria" w:hAnsi="Cambria" w:cs="Cambria" w:eastAsia="Cambria"/>
                <w:b/>
                <w:bCs/>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e GAD-7 (punteggi complessivi)</w:t>
            </w:r>
          </w:p>
        </w:tc>
        <w:tc>
          <w:tcPr/>
          <w:p>
            <w:pPr>
              <w:pStyle w:val="Compact"/>
              <w:spacing w:after="40" w:before="40"/>
              <w:jc w:val="left"/>
            </w:pPr>
            <w:r>
              <w:rPr>
                <w:rFonts w:ascii="Cambria" w:hAnsi="Cambria" w:cs="Cambria" w:eastAsia="Cambria"/>
                <w:color w:val="1A1A1A"/>
                <w:sz w:val="18"/>
              </w:rPr>
              <w:t xml:space="preserve">A ogni seduta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Invii e restituzioni</w:t>
            </w:r>
          </w:p>
        </w:tc>
        <w:tc>
          <w:tcPr>
            <w:shd w:val="clear" w:color="auto" w:fill="F4F1EC"/>
          </w:tcPr>
          <w:p>
            <w:pPr>
              <w:pStyle w:val="Compact"/>
              <w:spacing w:after="40" w:before="40"/>
              <w:jc w:val="left"/>
            </w:pPr>
            <w:r>
              <w:rPr>
                <w:rFonts w:ascii="Cambria" w:hAnsi="Cambria" w:cs="Cambria" w:eastAsia="Cambria"/>
                <w:color w:val="1A1A1A"/>
                <w:sz w:val="18"/>
              </w:rPr>
              <w:t xml:space="preserve">Invio a servizi specialistici; restituzione al medico curante</w:t>
            </w:r>
          </w:p>
        </w:tc>
        <w:tc>
          <w:tcPr>
            <w:shd w:val="clear" w:color="auto" w:fill="F4F1EC"/>
          </w:tcPr>
          <w:p>
            <w:pPr>
              <w:pStyle w:val="Compact"/>
              <w:spacing w:after="40" w:before="40"/>
              <w:jc w:val="left"/>
            </w:pPr>
            <w:r>
              <w:rPr>
                <w:rFonts w:ascii="Cambria" w:hAnsi="Cambria" w:cs="Cambria" w:eastAsia="Cambria"/>
                <w:color w:val="1A1A1A"/>
                <w:sz w:val="18"/>
              </w:rPr>
              <w:t xml:space="preserve">Ove pertinente</w:t>
            </w:r>
          </w:p>
        </w:tc>
      </w:tr>
      <w:tr>
        <w:tc>
          <w:tcPr/>
          <w:p>
            <w:pPr>
              <w:pStyle w:val="Compact"/>
              <w:spacing w:after="40" w:before="40"/>
              <w:jc w:val="left"/>
            </w:pPr>
            <w:r>
              <w:rPr>
                <w:rFonts w:ascii="Cambria" w:hAnsi="Cambria" w:cs="Cambria" w:eastAsia="Cambria"/>
                <w:b/>
                <w:bCs/>
                <w:color w:val="1A1A1A"/>
                <w:sz w:val="18"/>
              </w:rPr>
              <w:t xml:space="preserve">Chiusura</w:t>
            </w:r>
          </w:p>
        </w:tc>
        <w:tc>
          <w:tcPr/>
          <w:p>
            <w:pPr>
              <w:pStyle w:val="Compact"/>
              <w:spacing w:after="40" w:before="40"/>
              <w:jc w:val="left"/>
            </w:pPr>
            <w:r>
              <w:rPr>
                <w:rFonts w:ascii="Cambria" w:hAnsi="Cambria" w:cs="Cambria" w:eastAsia="Cambria"/>
                <w:color w:val="1A1A1A"/>
                <w:sz w:val="18"/>
              </w:rPr>
              <w:t xml:space="preserve">Esito del percorso (recupero, miglioramento, invio)</w:t>
            </w:r>
          </w:p>
        </w:tc>
        <w:tc>
          <w:tcPr/>
          <w:p>
            <w:pPr>
              <w:pStyle w:val="Compact"/>
              <w:spacing w:after="40" w:before="40"/>
              <w:jc w:val="left"/>
            </w:pPr>
            <w:r>
              <w:rPr>
                <w:rFonts w:ascii="Cambria" w:hAnsi="Cambria" w:cs="Cambria" w:eastAsia="Cambria"/>
                <w:color w:val="1A1A1A"/>
                <w:sz w:val="18"/>
              </w:rPr>
              <w:t xml:space="preserve">Alla chiusura</w:t>
            </w:r>
          </w:p>
        </w:tc>
      </w:tr>
    </w:tbl>
    <w:p>
      <w:pPr>
        <w:pStyle w:val="BodyText"/>
      </w:pPr>
      <w:r>
        <w:rPr>
          <w:i/>
          <w:iCs/>
        </w:rPr>
        <w:t xml:space="preserve">Tabella B.2. Il dataset minimo: i campi del protocollo di rilevazione (dizionario dei dati).</w:t>
      </w:r>
    </w:p>
    <w:bookmarkEnd w:id="2870"/>
    <w:bookmarkStart w:id="2873" w:name="appendice-c-dati-regionali-e-fonti-10"/>
    <w:p>
      <w:pPr>
        <w:pStyle w:val="Heading2"/>
      </w:pPr>
      <w:r>
        <w:t xml:space="preserve">Appendice C — Dati regionali e fonti</w:t>
      </w:r>
    </w:p>
    <w:p>
      <w:pPr>
        <w:pStyle w:val="FirstParagraph"/>
      </w:pPr>
      <w:r>
        <w:t xml:space="preserve">La presente appendice raccoglie i dati regionali di ancoraggio dello studio e ne dichiara i limiti. I valori abruzzesi impiegati nelle analisi sono riepilogati nella tabella seguente.</w:t>
      </w:r>
      <w:r>
        <w:rPr>
          <w:rStyle w:val="FootnoteReference"/>
        </w:rPr>
        <w:footnoteReference w:id="3146"/>
      </w:r>
    </w:p>
    <w:tbl>
      <w:tblPr>
        <w:tblStyle w:val="Table"/>
        <w:tblW w:type="pct" w:w="497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814"/>
        <w:gridCol w:w="706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regionale</w:t>
            </w:r>
          </w:p>
        </w:tc>
      </w:tr>
      <w:tr>
        <w:tc>
          <w:tcPr/>
          <w:p>
            <w:pPr>
              <w:pStyle w:val="Compact"/>
              <w:spacing w:after="40" w:before="40"/>
              <w:jc w:val="left"/>
            </w:pPr>
            <w:r>
              <w:rPr>
                <w:rFonts w:ascii="Cambria" w:hAnsi="Cambria" w:cs="Cambria" w:eastAsia="Cambria"/>
                <w:b/>
                <w:bCs/>
                <w:color w:val="1A1A1A"/>
                <w:sz w:val="18"/>
              </w:rPr>
              <w:t xml:space="preserve">Popolazione regionale</w:t>
            </w:r>
          </w:p>
        </w:tc>
        <w:tc>
          <w:tcPr/>
          <w:p>
            <w:pPr>
              <w:pStyle w:val="Compact"/>
              <w:spacing w:after="40" w:before="40"/>
              <w:jc w:val="left"/>
            </w:pPr>
            <w:r>
              <w:rPr>
                <w:rFonts w:ascii="Cambria" w:hAnsi="Cambria" w:cs="Cambria" w:eastAsia="Cambria"/>
                <w:color w:val="1A1A1A"/>
                <w:sz w:val="18"/>
              </w:rPr>
              <w:t xml:space="preserve">1.269.118 abitanti (Censimento ISTAT 2024), ~2,2% del totale nazionale; lieve calo; età media 47,7 anni e indice di vecchiaia 228,9, fra i più alti d’Italia; stranieri 7,1%; 305 comuni, con forte dispersione e unico centro oltre i centomila abitanti (Pescara, 118.829); aree interne e montane in spopolamento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Finanziamento del SSR</w:t>
            </w:r>
          </w:p>
        </w:tc>
        <w:tc>
          <w:tcPr>
            <w:shd w:val="clear" w:color="auto" w:fill="F4F1EC"/>
          </w:tcPr>
          <w:p>
            <w:pPr>
              <w:pStyle w:val="Compact"/>
              <w:spacing w:after="40" w:before="40"/>
              <w:jc w:val="left"/>
            </w:pPr>
            <w:r>
              <w:rPr>
                <w:rFonts w:ascii="Cambria" w:hAnsi="Cambria" w:cs="Cambria" w:eastAsia="Cambria"/>
                <w:color w:val="1A1A1A"/>
                <w:sz w:val="18"/>
              </w:rPr>
              <w:t xml:space="preserve">Dell’ordine di 2,5 miliardi di euro; unica Regione in piano di rientro in peggioramento; punteggio sui livelli essenziali inferiore alla soglia di sufficienza, segnatamente nell’area distrettuale</w:t>
            </w:r>
          </w:p>
        </w:tc>
      </w:tr>
      <w:tr>
        <w:tc>
          <w:tcPr/>
          <w:p>
            <w:pPr>
              <w:pStyle w:val="Compact"/>
              <w:spacing w:after="40" w:before="40"/>
              <w:jc w:val="left"/>
            </w:pPr>
            <w:r>
              <w:rPr>
                <w:rFonts w:ascii="Cambria" w:hAnsi="Cambria" w:cs="Cambria" w:eastAsia="Cambria"/>
                <w:b/>
                <w:bCs/>
                <w:color w:val="1A1A1A"/>
                <w:sz w:val="18"/>
              </w:rPr>
              <w:t xml:space="preserve">Mobilità sanitaria</w:t>
            </w:r>
          </w:p>
        </w:tc>
        <w:tc>
          <w:tcPr/>
          <w:p>
            <w:pPr>
              <w:pStyle w:val="Compact"/>
              <w:spacing w:after="40" w:before="40"/>
              <w:jc w:val="left"/>
            </w:pPr>
            <w:r>
              <w:rPr>
                <w:rFonts w:ascii="Cambria" w:hAnsi="Cambria" w:cs="Cambria" w:eastAsia="Cambria"/>
                <w:color w:val="1A1A1A"/>
                <w:sz w:val="18"/>
              </w:rPr>
              <w:t xml:space="preserve">Saldo passivo dell’ordine di alcune decine di milioni netti; fuga concentrata nell’alta complessità ospedaliera e chirurgica; canale di recupero modesto per questo intervento (sola frazione territoriale)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cause psichiatriche e per sintomi somatici funzionali (proxy dai dati nazionali, da confermare sui flussi regionali)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Consumo regionale delle categorie dei psicofarmaci; crescita delle prescrizioni nei dodici-diciassettenni segnalata dalle rilevazioni sul disagio giovanile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 254.000 con disagio comune potenziale (proxy ~20%); doppio versante del bisogno, fra disagio giovanile in crescita e isolamento dell’anziano in una regione fra le più vecchie</w:t>
            </w:r>
          </w:p>
        </w:tc>
      </w:tr>
      <w:tr>
        <w:tc>
          <w:tcPr/>
          <w:p>
            <w:pPr>
              <w:pStyle w:val="Compact"/>
              <w:spacing w:after="40" w:before="40"/>
              <w:jc w:val="left"/>
            </w:pPr>
            <w:r>
              <w:rPr>
                <w:rFonts w:ascii="Cambria" w:hAnsi="Cambria" w:cs="Cambria" w:eastAsia="Cambria"/>
                <w:b/>
                <w:bCs/>
                <w:color w:val="1A1A1A"/>
                <w:sz w:val="18"/>
              </w:rPr>
              <w:t xml:space="preserve">Funzione attuale</w:t>
            </w:r>
          </w:p>
        </w:tc>
        <w:tc>
          <w:tcPr/>
          <w:p>
            <w:pPr>
              <w:pStyle w:val="Compact"/>
              <w:spacing w:after="40" w:before="40"/>
              <w:jc w:val="left"/>
            </w:pPr>
            <w:r>
              <w:rPr>
                <w:rFonts w:ascii="Cambria" w:hAnsi="Cambria" w:cs="Cambria" w:eastAsia="Cambria"/>
                <w:color w:val="1A1A1A"/>
                <w:sz w:val="18"/>
              </w:rPr>
              <w:t xml:space="preserve">Servizio istituito (legge regionale 28/2022) e regolato (regolamento attuativo 2024), in attuazione iniziale; stanziamento transitorio dell’ordine di 0,4 milioni l’anno; Osservatorio Regionale e Tavolo tecnico istituiti; disciplina coerente con la pronuncia della Corte Costituzionale (sent. 241/2021)</w:t>
            </w:r>
          </w:p>
        </w:tc>
      </w:tr>
    </w:tbl>
    <w:p>
      <w:pPr>
        <w:pStyle w:val="BodyText"/>
      </w:pPr>
      <w:r>
        <w:rPr>
          <w:i/>
          <w:iCs/>
        </w:rPr>
        <w:t xml:space="preserve">Tabella C.1. I valori regionali di ancoraggio dell’Abruzzo.</w:t>
      </w:r>
    </w:p>
    <w:p>
      <w:pPr>
        <w:pStyle w:val="BodyText"/>
      </w:pPr>
      <w:r>
        <w:t xml:space="preserve">Resta la lacuna principale dello studio: i valori economici sono in parte ricostruiti a partire dai conti nazionali scalati per la quota di popolazione abruzzese, e non estratti dai conti regionali certificati.</w:t>
      </w:r>
      <w:r>
        <w:rPr>
          <w:rStyle w:val="FootnoteReference"/>
        </w:rPr>
        <w:footnoteReference w:id="3147"/>
      </w:r>
      <w:r>
        <w:t xml:space="preserve"> </w:t>
      </w:r>
      <w:r>
        <w:t xml:space="preserve">La tabella seguente elenca i dati da acquisire per sostituire le stime.</w:t>
      </w:r>
    </w:p>
    <w:tbl>
      <w:tblPr>
        <w:tblStyle w:val="Table"/>
        <w:tblW w:type="pct" w:w="493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93"/>
        <w:gridCol w:w="602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Dato da acquisire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Ricoveri psichiatrici</w:t>
            </w:r>
          </w:p>
        </w:tc>
        <w:tc>
          <w:tcPr/>
          <w:p>
            <w:pPr>
              <w:pStyle w:val="Compact"/>
              <w:spacing w:after="40" w:before="40"/>
              <w:jc w:val="left"/>
            </w:pPr>
            <w:r>
              <w:rPr>
                <w:rFonts w:ascii="Cambria" w:hAnsi="Cambria" w:cs="Cambria" w:eastAsia="Cambria"/>
                <w:color w:val="1A1A1A"/>
                <w:sz w:val="18"/>
              </w:rPr>
              <w:t xml:space="preserve">Schede di dimissione ospedaliera per disturbi psichici e relativo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Specialistica</w:t>
            </w:r>
          </w:p>
        </w:tc>
        <w:tc>
          <w:tcPr>
            <w:shd w:val="clear" w:color="auto" w:fill="F4F1EC"/>
          </w:tcPr>
          <w:p>
            <w:pPr>
              <w:pStyle w:val="Compact"/>
              <w:spacing w:after="40" w:before="40"/>
              <w:jc w:val="left"/>
            </w:pPr>
            <w:r>
              <w:rPr>
                <w:rFonts w:ascii="Cambria" w:hAnsi="Cambria" w:cs="Cambria" w:eastAsia="Cambria"/>
                <w:color w:val="1A1A1A"/>
                <w:sz w:val="18"/>
              </w:rPr>
              <w:t xml:space="preserve">Prestazioni specialistiche associate ai sintomi somatici funzionali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Spesa regionale per 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causa psichiatrica e relativo costo unitario</w:t>
            </w:r>
          </w:p>
        </w:tc>
      </w:tr>
      <w:tr>
        <w:tc>
          <w:tcPr/>
          <w:p>
            <w:pPr>
              <w:pStyle w:val="Compact"/>
              <w:spacing w:after="40" w:before="40"/>
              <w:jc w:val="left"/>
            </w:pPr>
            <w:r>
              <w:rPr>
                <w:rFonts w:ascii="Cambria" w:hAnsi="Cambria" w:cs="Cambria" w:eastAsia="Cambria"/>
                <w:b/>
                <w:bCs/>
                <w:color w:val="1A1A1A"/>
                <w:sz w:val="18"/>
              </w:rPr>
              <w:t xml:space="preserve">Flusso dei dati di esito</w:t>
            </w:r>
          </w:p>
        </w:tc>
        <w:tc>
          <w:tcPr/>
          <w:p>
            <w:pPr>
              <w:pStyle w:val="Compact"/>
              <w:spacing w:after="40" w:before="40"/>
              <w:jc w:val="left"/>
            </w:pPr>
            <w:r>
              <w:rPr>
                <w:rFonts w:ascii="Cambria" w:hAnsi="Cambria" w:cs="Cambria" w:eastAsia="Cambria"/>
                <w:color w:val="1A1A1A"/>
                <w:sz w:val="18"/>
              </w:rPr>
              <w:t xml:space="preserve">Prese in carico, sedute ed esiti del servizio, da costruire come fonte primaria in assenza di una rilevazione continua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Liste di attesa</w:t>
            </w:r>
          </w:p>
        </w:tc>
        <w:tc>
          <w:tcPr>
            <w:shd w:val="clear" w:color="auto" w:fill="F4F1EC"/>
          </w:tcPr>
          <w:p>
            <w:pPr>
              <w:pStyle w:val="Compact"/>
              <w:spacing w:after="40" w:before="40"/>
              <w:jc w:val="left"/>
            </w:pPr>
            <w:r>
              <w:rPr>
                <w:rFonts w:ascii="Cambria" w:hAnsi="Cambria" w:cs="Cambria" w:eastAsia="Cambria"/>
                <w:color w:val="1A1A1A"/>
                <w:sz w:val="18"/>
              </w:rPr>
              <w:t xml:space="preserve">Tempi di attesa per l’accesso psicologico, per Azienda e per area</w:t>
            </w:r>
          </w:p>
        </w:tc>
      </w:tr>
    </w:tbl>
    <w:p>
      <w:pPr>
        <w:pStyle w:val="BodyText"/>
      </w:pPr>
      <w:r>
        <w:rPr>
          <w:i/>
          <w:iCs/>
        </w:rPr>
        <w:t xml:space="preserve">Tabella C.2. I dati certificati da acquisire per sostituire le stime (lacuna principale dello studio).</w:t>
      </w:r>
    </w:p>
    <w:bookmarkEnd w:id="2873"/>
    <w:bookmarkStart w:id="2875" w:name="appendice-d-checklist-di-reporting-10"/>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3148"/>
      </w:r>
      <w:r>
        <w:t xml:space="preserve"> </w:t>
      </w:r>
      <w:r>
        <w:t xml:space="preserve">La tabella seguente li riepiloga.</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3927"/>
        <w:gridCol w:w="1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Standard o lista di controllo</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r>
      <w:tr>
        <w:tc>
          <w:tcPr/>
          <w:p>
            <w:pPr>
              <w:pStyle w:val="Compact"/>
              <w:spacing w:after="40" w:before="40"/>
              <w:jc w:val="left"/>
            </w:pPr>
            <w:r>
              <w:rPr>
                <w:rFonts w:ascii="Cambria" w:hAnsi="Cambria" w:cs="Cambria" w:eastAsia="Cambria"/>
                <w:b/>
                <w:bCs/>
                <w:color w:val="1A1A1A"/>
                <w:sz w:val="18"/>
              </w:rPr>
              <w:t xml:space="preserve">CHEERS 2022 (28 voci)</w:t>
            </w:r>
          </w:p>
        </w:tc>
        <w:tc>
          <w:tcPr/>
          <w:p>
            <w:pPr>
              <w:pStyle w:val="Compact"/>
              <w:spacing w:after="40" w:before="40"/>
              <w:jc w:val="left"/>
            </w:pPr>
            <w:r>
              <w:rPr>
                <w:rFonts w:ascii="Cambria" w:hAnsi="Cambria" w:cs="Cambria" w:eastAsia="Cambria"/>
                <w:color w:val="1A1A1A"/>
                <w:sz w:val="18"/>
              </w:rPr>
              <w:t xml:space="preserve">Rendicontazione delle valutazioni economiche</w:t>
            </w:r>
          </w:p>
        </w:tc>
        <w:tc>
          <w:tcPr/>
          <w:p>
            <w:pPr>
              <w:pStyle w:val="Compact"/>
              <w:spacing w:after="40" w:before="40"/>
              <w:jc w:val="left"/>
            </w:pPr>
            <w:r>
              <w:rPr>
                <w:rFonts w:ascii="Cambria" w:hAnsi="Cambria" w:cs="Cambria" w:eastAsia="Cambria"/>
                <w:color w:val="1A1A1A"/>
                <w:sz w:val="18"/>
              </w:rPr>
              <w:t xml:space="preserve">Parte 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CHEERS-AI (38 voci)</w:t>
            </w:r>
          </w:p>
        </w:tc>
        <w:tc>
          <w:tcPr>
            <w:shd w:val="clear" w:color="auto" w:fill="F4F1EC"/>
          </w:tcPr>
          <w:p>
            <w:pPr>
              <w:pStyle w:val="Compact"/>
              <w:spacing w:after="40" w:before="40"/>
              <w:jc w:val="left"/>
            </w:pPr>
            <w:r>
              <w:rPr>
                <w:rFonts w:ascii="Cambria" w:hAnsi="Cambria" w:cs="Cambria" w:eastAsia="Cambria"/>
                <w:color w:val="1A1A1A"/>
                <w:sz w:val="18"/>
              </w:rPr>
              <w:t xml:space="preserve">Estensione per gli interventi con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Parti C, E</w:t>
            </w:r>
          </w:p>
        </w:tc>
      </w:tr>
      <w:tr>
        <w:tc>
          <w:tcPr/>
          <w:p>
            <w:pPr>
              <w:pStyle w:val="Compact"/>
              <w:spacing w:after="40" w:before="40"/>
              <w:jc w:val="left"/>
            </w:pPr>
            <w:r>
              <w:rPr>
                <w:rFonts w:ascii="Cambria" w:hAnsi="Cambria" w:cs="Cambria" w:eastAsia="Cambria"/>
                <w:b/>
                <w:bCs/>
                <w:color w:val="1A1A1A"/>
                <w:sz w:val="18"/>
              </w:rPr>
              <w:t xml:space="preserve">PRISMA 2020</w:t>
            </w:r>
          </w:p>
        </w:tc>
        <w:tc>
          <w:tcPr/>
          <w:p>
            <w:pPr>
              <w:pStyle w:val="Compact"/>
              <w:spacing w:after="40" w:before="40"/>
              <w:jc w:val="left"/>
            </w:pPr>
            <w:r>
              <w:rPr>
                <w:rFonts w:ascii="Cambria" w:hAnsi="Cambria" w:cs="Cambria" w:eastAsia="Cambria"/>
                <w:color w:val="1A1A1A"/>
                <w:sz w:val="18"/>
              </w:rPr>
              <w:t xml:space="preserve">Conduzione e reporting delle revisioni sistematiche</w:t>
            </w:r>
          </w:p>
        </w:tc>
        <w:tc>
          <w:tcPr/>
          <w:p>
            <w:pPr>
              <w:pStyle w:val="Compact"/>
              <w:spacing w:after="40" w:before="40"/>
              <w:jc w:val="left"/>
            </w:pPr>
            <w:r>
              <w:rPr>
                <w:rFonts w:ascii="Cambria" w:hAnsi="Cambria" w:cs="Cambria" w:eastAsia="Cambria"/>
                <w:color w:val="1A1A1A"/>
                <w:sz w:val="18"/>
              </w:rPr>
              <w:t xml:space="preserve">Parte 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GRADE</w:t>
            </w:r>
          </w:p>
        </w:tc>
        <w:tc>
          <w:tcPr>
            <w:shd w:val="clear" w:color="auto" w:fill="F4F1EC"/>
          </w:tcPr>
          <w:p>
            <w:pPr>
              <w:pStyle w:val="Compact"/>
              <w:spacing w:after="40" w:before="40"/>
              <w:jc w:val="left"/>
            </w:pPr>
            <w:r>
              <w:rPr>
                <w:rFonts w:ascii="Cambria" w:hAnsi="Cambria" w:cs="Cambria" w:eastAsia="Cambria"/>
                <w:color w:val="1A1A1A"/>
                <w:sz w:val="18"/>
              </w:rPr>
              <w:t xml:space="preserve">Graduazione della certezza dell’evidenza</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r>
      <w:tr>
        <w:tc>
          <w:tcPr/>
          <w:p>
            <w:pPr>
              <w:pStyle w:val="Compact"/>
              <w:spacing w:after="40" w:before="40"/>
              <w:jc w:val="left"/>
            </w:pPr>
            <w:r>
              <w:rPr>
                <w:rFonts w:ascii="Cambria" w:hAnsi="Cambria" w:cs="Cambria" w:eastAsia="Cambria"/>
                <w:b/>
                <w:bCs/>
                <w:color w:val="1A1A1A"/>
                <w:sz w:val="18"/>
              </w:rPr>
              <w:t xml:space="preserve">Lista STROBE</w:t>
            </w:r>
          </w:p>
        </w:tc>
        <w:tc>
          <w:tcPr/>
          <w:p>
            <w:pPr>
              <w:pStyle w:val="Compact"/>
              <w:spacing w:after="40" w:before="40"/>
              <w:jc w:val="left"/>
            </w:pPr>
            <w:r>
              <w:rPr>
                <w:rFonts w:ascii="Cambria" w:hAnsi="Cambria" w:cs="Cambria" w:eastAsia="Cambria"/>
                <w:color w:val="1A1A1A"/>
                <w:sz w:val="18"/>
              </w:rPr>
              <w:t xml:space="preserve">Studi osservazionali sui dati reali</w:t>
            </w:r>
          </w:p>
        </w:tc>
        <w:tc>
          <w:tcPr/>
          <w:p>
            <w:pPr>
              <w:pStyle w:val="Compact"/>
              <w:spacing w:after="40" w:before="40"/>
              <w:jc w:val="left"/>
            </w:pPr>
            <w:r>
              <w:rPr>
                <w:rFonts w:ascii="Cambria" w:hAnsi="Cambria" w:cs="Cambria" w:eastAsia="Cambria"/>
                <w:color w:val="1A1A1A"/>
                <w:sz w:val="18"/>
              </w:rPr>
              <w:t xml:space="preserve">Parti D,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Buone pratiche ISPOR-SMDM</w:t>
            </w:r>
          </w:p>
        </w:tc>
        <w:tc>
          <w:tcPr>
            <w:shd w:val="clear" w:color="auto" w:fill="F4F1EC"/>
          </w:tcPr>
          <w:p>
            <w:pPr>
              <w:pStyle w:val="Compact"/>
              <w:spacing w:after="40" w:before="40"/>
              <w:jc w:val="left"/>
            </w:pPr>
            <w:r>
              <w:rPr>
                <w:rFonts w:ascii="Cambria" w:hAnsi="Cambria" w:cs="Cambria" w:eastAsia="Cambria"/>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r>
      <w:tr>
        <w:tc>
          <w:tcPr/>
          <w:p>
            <w:pPr>
              <w:pStyle w:val="Compact"/>
              <w:spacing w:after="40" w:before="40"/>
              <w:jc w:val="left"/>
            </w:pPr>
            <w:r>
              <w:rPr>
                <w:rFonts w:ascii="Cambria" w:hAnsi="Cambria" w:cs="Cambria" w:eastAsia="Cambria"/>
                <w:b/>
                <w:bCs/>
                <w:color w:val="1A1A1A"/>
                <w:sz w:val="18"/>
              </w:rPr>
              <w:t xml:space="preserve">Manuale OCSE-JRC</w:t>
            </w:r>
          </w:p>
        </w:tc>
        <w:tc>
          <w:tcPr/>
          <w:p>
            <w:pPr>
              <w:pStyle w:val="Compact"/>
              <w:spacing w:after="40" w:before="40"/>
              <w:jc w:val="left"/>
            </w:pPr>
            <w:r>
              <w:rPr>
                <w:rFonts w:ascii="Cambria" w:hAnsi="Cambria" w:cs="Cambria" w:eastAsia="Cambria"/>
                <w:color w:val="1A1A1A"/>
                <w:sz w:val="18"/>
              </w:rPr>
              <w:t xml:space="preserve">Costruzione degli indicatori compositi</w:t>
            </w:r>
          </w:p>
        </w:tc>
        <w:tc>
          <w:tcPr/>
          <w:p>
            <w:pPr>
              <w:pStyle w:val="Compact"/>
              <w:spacing w:after="40" w:before="40"/>
              <w:jc w:val="left"/>
            </w:pPr>
            <w:r>
              <w:rPr>
                <w:rFonts w:ascii="Cambria" w:hAnsi="Cambria" w:cs="Cambria" w:eastAsia="Cambria"/>
                <w:color w:val="1A1A1A"/>
                <w:sz w:val="18"/>
              </w:rPr>
              <w:t xml:space="preserve">Parte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Griglia di giudizio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r>
    </w:tbl>
    <w:p>
      <w:pPr>
        <w:pStyle w:val="BodyText"/>
      </w:pPr>
      <w:r>
        <w:rPr>
          <w:i/>
          <w:iCs/>
        </w:rPr>
        <w:t xml:space="preserve">Tabella D.1. Gli standard di reporting e di qualità adottati nello studio, per parte di applicazione.</w:t>
      </w:r>
    </w:p>
    <w:bookmarkEnd w:id="2875"/>
    <w:bookmarkStart w:id="2877" w:name="appendice-e-glossario-10"/>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3149"/>
      </w:r>
      <w:r>
        <w:t xml:space="preserve"> </w:t>
      </w:r>
      <w:r>
        <w:t xml:space="preserve">Le definizioni sono comuni al telaio metodologico replicato in tutti gli studi regionali del progetto.</w:t>
      </w:r>
    </w:p>
    <w:tbl>
      <w:tblPr>
        <w:tblStyle w:val="Table"/>
        <w:tblW w:type="pct" w:w="49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284"/>
        <w:gridCol w:w="658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Termine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w:t>
            </w:r>
          </w:p>
        </w:tc>
      </w:tr>
      <w:tr>
        <w:tc>
          <w:tcPr/>
          <w:p>
            <w:pPr>
              <w:pStyle w:val="Compact"/>
              <w:spacing w:after="40" w:before="40"/>
              <w:jc w:val="left"/>
            </w:pPr>
            <w:r>
              <w:rPr>
                <w:rFonts w:ascii="Cambria" w:hAnsi="Cambria" w:cs="Cambria" w:eastAsia="Cambria"/>
                <w:b/>
                <w:bCs/>
                <w:color w:val="1A1A1A"/>
                <w:sz w:val="18"/>
              </w:rPr>
              <w:t xml:space="preserve">Valutazione di tecnologia sanitaria (HTA)</w:t>
            </w:r>
          </w:p>
        </w:tc>
        <w:tc>
          <w:tcPr/>
          <w:p>
            <w:pPr>
              <w:pStyle w:val="Compact"/>
              <w:spacing w:after="40" w:before="40"/>
              <w:jc w:val="left"/>
            </w:pPr>
            <w:r>
              <w:rPr>
                <w:rFonts w:ascii="Cambria" w:hAnsi="Cambria" w:cs="Cambria" w:eastAsia="Cambria"/>
                <w:color w:val="1A1A1A"/>
                <w:sz w:val="18"/>
              </w:rPr>
              <w:t xml:space="preserve">Valutazione multidimensionale di un intervento sanitario, articolata in nove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rapida di efficacia relativa</w:t>
            </w:r>
          </w:p>
        </w:tc>
        <w:tc>
          <w:tcPr>
            <w:shd w:val="clear" w:color="auto" w:fill="F4F1EC"/>
          </w:tcPr>
          <w:p>
            <w:pPr>
              <w:pStyle w:val="Compact"/>
              <w:spacing w:after="40" w:before="40"/>
              <w:jc w:val="left"/>
            </w:pPr>
            <w:r>
              <w:rPr>
                <w:rFonts w:ascii="Cambria" w:hAnsi="Cambria" w:cs="Cambria" w:eastAsia="Cambria"/>
                <w:color w:val="1A1A1A"/>
                <w:sz w:val="18"/>
              </w:rPr>
              <w:t xml:space="preserve">Nucleo dell’HTA, che copre i primi quattro domini (problema, descrizione, sicurezza, efficacia)</w:t>
            </w:r>
          </w:p>
        </w:tc>
      </w:tr>
      <w:tr>
        <w:tc>
          <w:tcPr/>
          <w:p>
            <w:pPr>
              <w:pStyle w:val="Compact"/>
              <w:spacing w:after="40" w:before="40"/>
              <w:jc w:val="left"/>
            </w:pPr>
            <w:r>
              <w:rPr>
                <w:rFonts w:ascii="Cambria" w:hAnsi="Cambria" w:cs="Cambria" w:eastAsia="Cambria"/>
                <w:b/>
                <w:bCs/>
                <w:color w:val="1A1A1A"/>
                <w:sz w:val="18"/>
              </w:rPr>
              <w:t xml:space="preserve">Five Case Model</w:t>
            </w:r>
          </w:p>
        </w:tc>
        <w:tc>
          <w:tcPr/>
          <w:p>
            <w:pPr>
              <w:pStyle w:val="Compact"/>
              <w:spacing w:after="40" w:before="40"/>
              <w:jc w:val="left"/>
            </w:pPr>
            <w:r>
              <w:rPr>
                <w:rFonts w:ascii="Cambria" w:hAnsi="Cambria" w:cs="Cambria" w:eastAsia="Cambria"/>
                <w:color w:val="1A1A1A"/>
                <w:sz w:val="18"/>
              </w:rPr>
              <w:t xml:space="preserve">Standard del business case pubblico in cinque casi: strategico, economico, commerciale, finanziario, gestionale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 2022</w:t>
            </w:r>
          </w:p>
        </w:tc>
        <w:tc>
          <w:tcPr>
            <w:shd w:val="clear" w:color="auto" w:fill="F4F1EC"/>
          </w:tcPr>
          <w:p>
            <w:pPr>
              <w:pStyle w:val="Compact"/>
              <w:spacing w:after="40" w:before="40"/>
              <w:jc w:val="left"/>
            </w:pPr>
            <w:r>
              <w:rPr>
                <w:rFonts w:ascii="Cambria" w:hAnsi="Cambria" w:cs="Cambria" w:eastAsia="Cambria"/>
                <w:color w:val="1A1A1A"/>
                <w:sz w:val="18"/>
              </w:rPr>
              <w:t xml:space="preserve">Lista di controllo di 28 voci per la rendicontazione delle valutazioni economiche</w:t>
            </w:r>
          </w:p>
        </w:tc>
      </w:tr>
      <w:tr>
        <w:tc>
          <w:tcPr/>
          <w:p>
            <w:pPr>
              <w:pStyle w:val="Compact"/>
              <w:spacing w:after="40" w:before="40"/>
              <w:jc w:val="left"/>
            </w:pPr>
            <w:r>
              <w:rPr>
                <w:rFonts w:ascii="Cambria" w:hAnsi="Cambria" w:cs="Cambria" w:eastAsia="Cambria"/>
                <w:b/>
                <w:bCs/>
                <w:color w:val="1A1A1A"/>
                <w:sz w:val="18"/>
              </w:rPr>
              <w:t xml:space="preserve">Criteri OCSE-DAC</w:t>
            </w:r>
          </w:p>
        </w:tc>
        <w:tc>
          <w:tcPr/>
          <w:p>
            <w:pPr>
              <w:pStyle w:val="Compact"/>
              <w:spacing w:after="40" w:before="40"/>
              <w:jc w:val="left"/>
            </w:pPr>
            <w:r>
              <w:rPr>
                <w:rFonts w:ascii="Cambria" w:hAnsi="Cambria" w:cs="Cambria" w:eastAsia="Cambria"/>
                <w:color w:val="1A1A1A"/>
                <w:sz w:val="18"/>
              </w:rPr>
              <w:t xml:space="preserve">Sei criteri di giudizio: rilevanza, coerenza, efficacia, efficienza, impatto,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di vita ponderato per la qualità (QALY)</w:t>
            </w:r>
          </w:p>
        </w:tc>
        <w:tc>
          <w:tcPr>
            <w:shd w:val="clear" w:color="auto" w:fill="F4F1EC"/>
          </w:tcPr>
          <w:p>
            <w:pPr>
              <w:pStyle w:val="Compact"/>
              <w:spacing w:after="40" w:before="40"/>
              <w:jc w:val="left"/>
            </w:pPr>
            <w:r>
              <w:rPr>
                <w:rFonts w:ascii="Cambria" w:hAnsi="Cambria" w:cs="Cambria" w:eastAsia="Cambria"/>
                <w:color w:val="1A1A1A"/>
                <w:sz w:val="18"/>
              </w:rPr>
              <w:t xml:space="preserve">Misura che integra durata e qualità della vita guadagnate</w:t>
            </w:r>
          </w:p>
        </w:tc>
      </w:tr>
      <w:tr>
        <w:tc>
          <w:tcPr/>
          <w:p>
            <w:pPr>
              <w:pStyle w:val="Compact"/>
              <w:spacing w:after="40" w:before="40"/>
              <w:jc w:val="left"/>
            </w:pPr>
            <w:r>
              <w:rPr>
                <w:rFonts w:ascii="Cambria" w:hAnsi="Cambria" w:cs="Cambria" w:eastAsia="Cambria"/>
                <w:b/>
                <w:bCs/>
                <w:color w:val="1A1A1A"/>
                <w:sz w:val="18"/>
              </w:rPr>
              <w:t xml:space="preserve">Rapporto incrementale di costo-efficacia (ICER)</w:t>
            </w:r>
          </w:p>
        </w:tc>
        <w:tc>
          <w:tcPr/>
          <w:p>
            <w:pPr>
              <w:pStyle w:val="Compact"/>
              <w:spacing w:after="40" w:before="40"/>
              <w:jc w:val="left"/>
            </w:pPr>
            <w:r>
              <w:rPr>
                <w:rFonts w:ascii="Cambria" w:hAnsi="Cambria" w:cs="Cambria" w:eastAsia="Cambria"/>
                <w:color w:val="1A1A1A"/>
                <w:sz w:val="18"/>
              </w:rPr>
              <w:t xml:space="preserve">Rapporto tra costo aggiuntivo e guadagno di salute, confrontato con una soglia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costo-utilità</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che misura gli esiti in anni di vita ponderati per la qualità</w:t>
            </w:r>
          </w:p>
        </w:tc>
      </w:tr>
      <w:tr>
        <w:tc>
          <w:tcPr/>
          <w:p>
            <w:pPr>
              <w:pStyle w:val="Compact"/>
              <w:spacing w:after="40" w:before="40"/>
              <w:jc w:val="left"/>
            </w:pPr>
            <w:r>
              <w:rPr>
                <w:rFonts w:ascii="Cambria" w:hAnsi="Cambria" w:cs="Cambria" w:eastAsia="Cambria"/>
                <w:b/>
                <w:bCs/>
                <w:color w:val="1A1A1A"/>
                <w:sz w:val="18"/>
              </w:rPr>
              <w:t xml:space="preserve">Analisi di impatto sul bilancio</w:t>
            </w:r>
          </w:p>
        </w:tc>
        <w:tc>
          <w:tcPr/>
          <w:p>
            <w:pPr>
              <w:pStyle w:val="Compact"/>
              <w:spacing w:after="40" w:before="40"/>
              <w:jc w:val="left"/>
            </w:pPr>
            <w:r>
              <w:rPr>
                <w:rFonts w:ascii="Cambria" w:hAnsi="Cambria" w:cs="Cambria" w:eastAsia="Cambria"/>
                <w:color w:val="1A1A1A"/>
                <w:sz w:val="18"/>
              </w:rPr>
              <w:t xml:space="preserve">Stima dell’effetto finanziario sul bilancio del detentore del budget, su flussi non scontati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sull’investimento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Metodo che monetizza il valore sociale generato, distinto dai risparmi di bilancio</w:t>
            </w:r>
          </w:p>
        </w:tc>
      </w:tr>
      <w:tr>
        <w:tc>
          <w:tcPr/>
          <w:p>
            <w:pPr>
              <w:pStyle w:val="Compact"/>
              <w:spacing w:after="40" w:before="40"/>
              <w:jc w:val="left"/>
            </w:pPr>
            <w:r>
              <w:rPr>
                <w:rFonts w:ascii="Cambria" w:hAnsi="Cambria" w:cs="Cambria" w:eastAsia="Cambria"/>
                <w:b/>
                <w:bCs/>
                <w:color w:val="1A1A1A"/>
                <w:sz w:val="18"/>
              </w:rPr>
              <w:t xml:space="preserve">Analisi costo-efficacia distributiva (DCEA)</w:t>
            </w:r>
          </w:p>
        </w:tc>
        <w:tc>
          <w:tcPr/>
          <w:p>
            <w:pPr>
              <w:pStyle w:val="Compact"/>
              <w:spacing w:after="40" w:before="40"/>
              <w:jc w:val="left"/>
            </w:pPr>
            <w:r>
              <w:rPr>
                <w:rFonts w:ascii="Cambria" w:hAnsi="Cambria" w:cs="Cambria" w:eastAsia="Cambria"/>
                <w:color w:val="1A1A1A"/>
                <w:sz w:val="18"/>
              </w:rPr>
              <w:t xml:space="preserve">Estende la valutazione economica alla distribuzione degli effetti tra gruppi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sensibilità probabilistica</w:t>
            </w:r>
          </w:p>
        </w:tc>
        <w:tc>
          <w:tcPr>
            <w:shd w:val="clear" w:color="auto" w:fill="F4F1EC"/>
          </w:tcPr>
          <w:p>
            <w:pPr>
              <w:pStyle w:val="Compact"/>
              <w:spacing w:after="40" w:before="40"/>
              <w:jc w:val="left"/>
            </w:pPr>
            <w:r>
              <w:rPr>
                <w:rFonts w:ascii="Cambria" w:hAnsi="Cambria" w:cs="Cambria" w:eastAsia="Cambria"/>
                <w:color w:val="1A1A1A"/>
                <w:sz w:val="18"/>
              </w:rPr>
              <w:t xml:space="preserve">Propaga l’incertezza dei parametri mediante simulazioni Monte Carlo</w:t>
            </w:r>
          </w:p>
        </w:tc>
      </w:tr>
      <w:tr>
        <w:tc>
          <w:tcPr/>
          <w:p>
            <w:pPr>
              <w:pStyle w:val="Compact"/>
              <w:spacing w:after="40" w:before="40"/>
              <w:jc w:val="left"/>
            </w:pPr>
            <w:r>
              <w:rPr>
                <w:rFonts w:ascii="Cambria" w:hAnsi="Cambria" w:cs="Cambria" w:eastAsia="Cambria"/>
                <w:b/>
                <w:bCs/>
                <w:color w:val="1A1A1A"/>
                <w:sz w:val="18"/>
              </w:rPr>
              <w:t xml:space="preserve">Valore dell’informazione (EVPI, EVPPI)</w:t>
            </w:r>
          </w:p>
        </w:tc>
        <w:tc>
          <w:tcPr/>
          <w:p>
            <w:pPr>
              <w:pStyle w:val="Compact"/>
              <w:spacing w:after="40" w:before="40"/>
              <w:jc w:val="left"/>
            </w:pPr>
            <w:r>
              <w:rPr>
                <w:rFonts w:ascii="Cambria" w:hAnsi="Cambria" w:cs="Cambria" w:eastAsia="Cambria"/>
                <w:color w:val="1A1A1A"/>
                <w:sz w:val="18"/>
              </w:rPr>
              <w:t xml:space="preserve">Beneficio atteso dalla riduzione dell’incertezza, complessiva e sui parametri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Markov</w:t>
            </w:r>
          </w:p>
        </w:tc>
        <w:tc>
          <w:tcPr>
            <w:shd w:val="clear" w:color="auto" w:fill="F4F1EC"/>
          </w:tcPr>
          <w:p>
            <w:pPr>
              <w:pStyle w:val="Compact"/>
              <w:spacing w:after="40" w:before="40"/>
              <w:jc w:val="left"/>
            </w:pPr>
            <w:r>
              <w:rPr>
                <w:rFonts w:ascii="Cambria" w:hAnsi="Cambria" w:cs="Cambria" w:eastAsia="Cambria"/>
                <w:color w:val="1A1A1A"/>
                <w:sz w:val="18"/>
              </w:rPr>
              <w:t xml:space="preserve">Modello che rappresenta il decorso di una condizione attraverso stati di salute e transizioni</w:t>
            </w:r>
          </w:p>
        </w:tc>
      </w:tr>
      <w:tr>
        <w:tc>
          <w:tcPr/>
          <w:p>
            <w:pPr>
              <w:pStyle w:val="Compact"/>
              <w:spacing w:after="40" w:before="40"/>
              <w:jc w:val="left"/>
            </w:pPr>
            <w:r>
              <w:rPr>
                <w:rFonts w:ascii="Cambria" w:hAnsi="Cambria" w:cs="Cambria" w:eastAsia="Cambria"/>
                <w:b/>
                <w:bCs/>
                <w:color w:val="1A1A1A"/>
                <w:sz w:val="18"/>
              </w:rPr>
              <w:t xml:space="preserve">Differenza-nelle-differenze</w:t>
            </w:r>
          </w:p>
        </w:tc>
        <w:tc>
          <w:tcPr/>
          <w:p>
            <w:pPr>
              <w:pStyle w:val="Compact"/>
              <w:spacing w:after="40" w:before="40"/>
              <w:jc w:val="left"/>
            </w:pPr>
            <w:r>
              <w:rPr>
                <w:rFonts w:ascii="Cambria" w:hAnsi="Cambria" w:cs="Cambria" w:eastAsia="Cambria"/>
                <w:color w:val="1A1A1A"/>
                <w:sz w:val="18"/>
              </w:rPr>
              <w:t xml:space="preserve">Metodo controfattuale che confronta la variazione nel tempo dell’esito tra gruppi a diversa esposizione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Controllo sintetico</w:t>
            </w:r>
          </w:p>
        </w:tc>
        <w:tc>
          <w:tcPr>
            <w:shd w:val="clear" w:color="auto" w:fill="F4F1EC"/>
          </w:tcPr>
          <w:p>
            <w:pPr>
              <w:pStyle w:val="Compact"/>
              <w:spacing w:after="40" w:before="40"/>
              <w:jc w:val="left"/>
            </w:pPr>
            <w:r>
              <w:rPr>
                <w:rFonts w:ascii="Cambria" w:hAnsi="Cambria" w:cs="Cambria" w:eastAsia="Cambria"/>
                <w:color w:val="1A1A1A"/>
                <w:sz w:val="18"/>
              </w:rPr>
              <w:t xml:space="preserve">Metodo che costruisce un’unità di confronto come combinazione ponderata di unità a minore esposizione</w:t>
            </w:r>
          </w:p>
        </w:tc>
      </w:tr>
      <w:tr>
        <w:tc>
          <w:tcPr/>
          <w:p>
            <w:pPr>
              <w:pStyle w:val="Compact"/>
              <w:spacing w:after="40" w:before="40"/>
              <w:jc w:val="left"/>
            </w:pPr>
            <w:r>
              <w:rPr>
                <w:rFonts w:ascii="Cambria" w:hAnsi="Cambria" w:cs="Cambria" w:eastAsia="Cambria"/>
                <w:b/>
                <w:bCs/>
                <w:color w:val="1A1A1A"/>
                <w:sz w:val="18"/>
              </w:rPr>
              <w:t xml:space="preserve">Disegno a cunei progressivi</w:t>
            </w:r>
          </w:p>
        </w:tc>
        <w:tc>
          <w:tcPr/>
          <w:p>
            <w:pPr>
              <w:pStyle w:val="Compact"/>
              <w:spacing w:after="40" w:before="40"/>
              <w:jc w:val="left"/>
            </w:pPr>
            <w:r>
              <w:rPr>
                <w:rFonts w:ascii="Cambria" w:hAnsi="Cambria" w:cs="Cambria" w:eastAsia="Cambria"/>
                <w:color w:val="1A1A1A"/>
                <w:sz w:val="18"/>
              </w:rPr>
              <w:t xml:space="preserve">Disegno controfattuale impiegato nell’Abruzzo, ove il servizio è in avvio progressivo, fondato sulla progressione differenziata dell’avvio fra le quattro Aziende Sanitarie Locali, con la possibilità di misurare una linea di base anteriore all’attivazione in ciascuna Azienda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e verifica d’impatto della regolazione</w:t>
            </w:r>
          </w:p>
        </w:tc>
        <w:tc>
          <w:tcPr>
            <w:shd w:val="clear" w:color="auto" w:fill="F4F1EC"/>
          </w:tcPr>
          <w:p>
            <w:pPr>
              <w:pStyle w:val="Compact"/>
              <w:spacing w:after="40" w:before="40"/>
              <w:jc w:val="left"/>
            </w:pPr>
            <w:r>
              <w:rPr>
                <w:rFonts w:ascii="Cambria" w:hAnsi="Cambria" w:cs="Cambria" w:eastAsia="Cambria"/>
                <w:color w:val="1A1A1A"/>
                <w:sz w:val="18"/>
              </w:rPr>
              <w:t xml:space="preserve">Valutazione ex ante (AIR) ed ex post (VIR) degli effetti di una norma</w:t>
            </w:r>
          </w:p>
        </w:tc>
      </w:tr>
      <w:tr>
        <w:tc>
          <w:tcPr/>
          <w:p>
            <w:pPr>
              <w:pStyle w:val="Compact"/>
              <w:spacing w:after="40" w:before="40"/>
              <w:jc w:val="left"/>
            </w:pPr>
            <w:r>
              <w:rPr>
                <w:rFonts w:ascii="Cambria" w:hAnsi="Cambria" w:cs="Cambria" w:eastAsia="Cambria"/>
                <w:b/>
                <w:bCs/>
                <w:color w:val="1A1A1A"/>
                <w:sz w:val="18"/>
              </w:rPr>
              <w:t xml:space="preserve">Clausola valutativa</w:t>
            </w:r>
          </w:p>
        </w:tc>
        <w:tc>
          <w:tcPr/>
          <w:p>
            <w:pPr>
              <w:pStyle w:val="Compact"/>
              <w:spacing w:after="40" w:before="40"/>
              <w:jc w:val="left"/>
            </w:pPr>
            <w:r>
              <w:rPr>
                <w:rFonts w:ascii="Cambria" w:hAnsi="Cambria" w:cs="Cambria" w:eastAsia="Cambria"/>
                <w:color w:val="1A1A1A"/>
                <w:sz w:val="18"/>
              </w:rPr>
              <w:t xml:space="preserve">Strumento che impegna la Giunta a riferire al Consiglio sui risultati della riforma; nell’Abruzzo l’Osservatorio Regionale e il Tavolo tecnico sono già previsti dalla legge regionale 28/2022, da rafforzare e rendere pienamente operativi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RE-AIM</w:t>
            </w:r>
          </w:p>
        </w:tc>
        <w:tc>
          <w:tcPr>
            <w:shd w:val="clear" w:color="auto" w:fill="F4F1EC"/>
          </w:tcPr>
          <w:p>
            <w:pPr>
              <w:pStyle w:val="Compact"/>
              <w:spacing w:after="40" w:before="40"/>
              <w:jc w:val="left"/>
            </w:pPr>
            <w:r>
              <w:rPr>
                <w:rFonts w:ascii="Cambria" w:hAnsi="Cambria" w:cs="Cambria" w:eastAsia="Cambria"/>
                <w:color w:val="1A1A1A"/>
                <w:sz w:val="18"/>
              </w:rPr>
              <w:t xml:space="preserve">Quadro che misura portata, efficacia, adozione, implementazione e mantenimento di un intervento</w:t>
            </w:r>
          </w:p>
        </w:tc>
      </w:tr>
      <w:tr>
        <w:tc>
          <w:tcPr/>
          <w:p>
            <w:pPr>
              <w:pStyle w:val="Compact"/>
              <w:spacing w:after="40" w:before="40"/>
              <w:jc w:val="left"/>
            </w:pPr>
            <w:r>
              <w:rPr>
                <w:rFonts w:ascii="Cambria" w:hAnsi="Cambria" w:cs="Cambria" w:eastAsia="Cambria"/>
                <w:b/>
                <w:bCs/>
                <w:color w:val="1A1A1A"/>
                <w:sz w:val="18"/>
              </w:rPr>
              <w:t xml:space="preserve">CFIR</w:t>
            </w:r>
          </w:p>
        </w:tc>
        <w:tc>
          <w:tcPr/>
          <w:p>
            <w:pPr>
              <w:pStyle w:val="Compact"/>
              <w:spacing w:after="40" w:before="40"/>
              <w:jc w:val="left"/>
            </w:pPr>
            <w:r>
              <w:rPr>
                <w:rFonts w:ascii="Cambria" w:hAnsi="Cambria" w:cs="Cambria" w:eastAsia="Cambria"/>
                <w:color w:val="1A1A1A"/>
                <w:sz w:val="18"/>
              </w:rPr>
              <w:t xml:space="preserve">Quadro che spiega i determinanti dell’implementazione, in cinque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Donabedian</w:t>
            </w:r>
          </w:p>
        </w:tc>
        <w:tc>
          <w:tcPr>
            <w:shd w:val="clear" w:color="auto" w:fill="F4F1EC"/>
          </w:tcPr>
          <w:p>
            <w:pPr>
              <w:pStyle w:val="Compact"/>
              <w:spacing w:after="40" w:before="40"/>
              <w:jc w:val="left"/>
            </w:pPr>
            <w:r>
              <w:rPr>
                <w:rFonts w:ascii="Cambria" w:hAnsi="Cambria" w:cs="Cambria" w:eastAsia="Cambria"/>
                <w:color w:val="1A1A1A"/>
                <w:sz w:val="18"/>
              </w:rPr>
              <w:t xml:space="preserve">Classifica gli indicatori di qualità in struttura, processo ed esito, qui integrati dall’impatto</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Questionario validato per i sintomi depressivi (punteggio 0–27)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Questionario validato per i sintomi d’ansia (punteggio 0–21)</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Quota di pazienti che scende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r>
        <w:tc>
          <w:tcPr/>
          <w:p>
            <w:pPr>
              <w:pStyle w:val="Compact"/>
              <w:spacing w:after="40" w:before="40"/>
              <w:jc w:val="left"/>
            </w:pPr>
            <w:r>
              <w:rPr>
                <w:rFonts w:ascii="Cambria" w:hAnsi="Cambria" w:cs="Cambria" w:eastAsia="Cambria"/>
                <w:b/>
                <w:bCs/>
                <w:color w:val="1A1A1A"/>
                <w:sz w:val="18"/>
              </w:rPr>
              <w:t xml:space="preserve">Cura collaborativa</w:t>
            </w:r>
          </w:p>
        </w:tc>
        <w:tc>
          <w:tcPr/>
          <w:p>
            <w:pPr>
              <w:pStyle w:val="Compact"/>
              <w:spacing w:after="40" w:before="40"/>
              <w:jc w:val="left"/>
            </w:pPr>
            <w:r>
              <w:rPr>
                <w:rFonts w:ascii="Cambria" w:hAnsi="Cambria" w:cs="Cambria" w:eastAsia="Cambria"/>
                <w:color w:val="1A1A1A"/>
                <w:sz w:val="18"/>
              </w:rPr>
              <w:t xml:space="preserve">Modello di integrazione della salute mentale nelle cure primarie con équipe e monitoraggio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Cura a intensità crescente</w:t>
            </w:r>
          </w:p>
        </w:tc>
        <w:tc>
          <w:tcPr>
            <w:shd w:val="clear" w:color="auto" w:fill="F4F1EC"/>
          </w:tcPr>
          <w:p>
            <w:pPr>
              <w:pStyle w:val="Compact"/>
              <w:spacing w:after="40" w:before="40"/>
              <w:jc w:val="left"/>
            </w:pPr>
            <w:r>
              <w:rPr>
                <w:rFonts w:ascii="Cambria" w:hAnsi="Cambria" w:cs="Cambria" w:eastAsia="Cambria"/>
                <w:color w:val="1A1A1A"/>
                <w:sz w:val="18"/>
              </w:rPr>
              <w:t xml:space="preserve">Percorso che gradua l’intensità dell’intervento alla gravità del quadro</w:t>
            </w:r>
          </w:p>
        </w:tc>
      </w:tr>
      <w:tr>
        <w:tc>
          <w:tcPr/>
          <w:p>
            <w:pPr>
              <w:pStyle w:val="Compact"/>
              <w:spacing w:after="40" w:before="40"/>
              <w:jc w:val="left"/>
            </w:pPr>
            <w:r>
              <w:rPr>
                <w:rFonts w:ascii="Cambria" w:hAnsi="Cambria" w:cs="Cambria" w:eastAsia="Cambria"/>
                <w:b/>
                <w:bCs/>
                <w:color w:val="1A1A1A"/>
                <w:sz w:val="18"/>
              </w:rPr>
              <w:t xml:space="preserve">Livelli essenziali di assistenza (LEA)</w:t>
            </w:r>
          </w:p>
        </w:tc>
        <w:tc>
          <w:tcPr/>
          <w:p>
            <w:pPr>
              <w:pStyle w:val="Compact"/>
              <w:spacing w:after="40" w:before="40"/>
              <w:jc w:val="left"/>
            </w:pPr>
            <w:r>
              <w:rPr>
                <w:rFonts w:ascii="Cambria" w:hAnsi="Cambria" w:cs="Cambria" w:eastAsia="Cambria"/>
                <w:color w:val="1A1A1A"/>
                <w:sz w:val="18"/>
              </w:rPr>
              <w:t xml:space="preserve">Prestazioni garantite uniformemente dal Servizio sanitario;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Spesa per prestazioni rese ai residenti da strutture di altre regioni; nell’Abruzzo il saldo è passivo ma, poiché la fuga è ospedaliero-chirurgica, il canale del recupero è modesto per questo intervento, limitato alla frazione territorialmente intercettabile</w:t>
            </w:r>
          </w:p>
        </w:tc>
      </w:tr>
      <w:tr>
        <w:tc>
          <w:tcPr/>
          <w:p>
            <w:pPr>
              <w:pStyle w:val="Compact"/>
              <w:spacing w:after="40" w:before="40"/>
              <w:jc w:val="left"/>
            </w:pPr>
            <w:r>
              <w:rPr>
                <w:rFonts w:ascii="Cambria" w:hAnsi="Cambria" w:cs="Cambria" w:eastAsia="Cambria"/>
                <w:b/>
                <w:bCs/>
                <w:color w:val="1A1A1A"/>
                <w:sz w:val="18"/>
              </w:rPr>
              <w:t xml:space="preserve">Sintomi somatici funzionali</w:t>
            </w:r>
          </w:p>
        </w:tc>
        <w:tc>
          <w:tcPr/>
          <w:p>
            <w:pPr>
              <w:pStyle w:val="Compact"/>
              <w:spacing w:after="40" w:before="40"/>
              <w:jc w:val="left"/>
            </w:pPr>
            <w:r>
              <w:rPr>
                <w:rFonts w:ascii="Cambria" w:hAnsi="Cambria" w:cs="Cambria" w:eastAsia="Cambria"/>
                <w:color w:val="1A1A1A"/>
                <w:sz w:val="18"/>
              </w:rPr>
              <w:t xml:space="preserve">Sintomi fisici senza causa organica, associati a elevato consumo di prestazioni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vecchiaia</w:t>
            </w:r>
          </w:p>
        </w:tc>
        <w:tc>
          <w:tcPr>
            <w:shd w:val="clear" w:color="auto" w:fill="F4F1EC"/>
          </w:tcPr>
          <w:p>
            <w:pPr>
              <w:pStyle w:val="Compact"/>
              <w:spacing w:after="40" w:before="40"/>
              <w:jc w:val="left"/>
            </w:pPr>
            <w:r>
              <w:rPr>
                <w:rFonts w:ascii="Cambria" w:hAnsi="Cambria" w:cs="Cambria" w:eastAsia="Cambria"/>
                <w:color w:val="1A1A1A"/>
                <w:sz w:val="18"/>
              </w:rPr>
              <w:t xml:space="preserve">Rapporto tra ultrasessantacinquenni e giovani sotto i quindici anni; nell’Abruzzo fra i più elevati d’Italia (dell’ordine di 229), con età media di circa 47,7 anni e aree interne e montane particolarmente invecchiate</w:t>
            </w:r>
          </w:p>
        </w:tc>
      </w:tr>
      <w:tr>
        <w:tc>
          <w:tcPr/>
          <w:p>
            <w:pPr>
              <w:pStyle w:val="Compact"/>
              <w:spacing w:after="40" w:before="40"/>
              <w:jc w:val="left"/>
            </w:pPr>
            <w:r>
              <w:rPr>
                <w:rFonts w:ascii="Cambria" w:hAnsi="Cambria" w:cs="Cambria" w:eastAsia="Cambria"/>
                <w:b/>
                <w:bCs/>
                <w:color w:val="1A1A1A"/>
                <w:sz w:val="18"/>
              </w:rPr>
              <w:t xml:space="preserve">Peso morto</w:t>
            </w:r>
          </w:p>
        </w:tc>
        <w:tc>
          <w:tcPr/>
          <w:p>
            <w:pPr>
              <w:pStyle w:val="Compact"/>
              <w:spacing w:after="40" w:before="40"/>
              <w:jc w:val="left"/>
            </w:pPr>
            <w:r>
              <w:rPr>
                <w:rFonts w:ascii="Cambria" w:hAnsi="Cambria" w:cs="Cambria" w:eastAsia="Cambria"/>
                <w:color w:val="1A1A1A"/>
                <w:sz w:val="18"/>
              </w:rPr>
              <w:t xml:space="preserve">Quota dell’esito che si sarebbe verificata anche senza l’intervento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Piano di rientro</w:t>
            </w:r>
          </w:p>
        </w:tc>
        <w:tc>
          <w:tcPr>
            <w:shd w:val="clear" w:color="auto" w:fill="F4F1EC"/>
          </w:tcPr>
          <w:p>
            <w:pPr>
              <w:pStyle w:val="Compact"/>
              <w:spacing w:after="40" w:before="40"/>
              <w:jc w:val="left"/>
            </w:pPr>
            <w:r>
              <w:rPr>
                <w:rFonts w:ascii="Cambria" w:hAnsi="Cambria" w:cs="Cambria" w:eastAsia="Cambria"/>
                <w:color w:val="1A1A1A"/>
                <w:sz w:val="18"/>
              </w:rPr>
              <w:t xml:space="preserve">Programma di risanamento dei conti sanitari regionali; l’Abruzzo ne è soggetto, in condizione di peggioramento, con i conseguenti vincoli all’impiego di risorse</w:t>
            </w:r>
          </w:p>
        </w:tc>
      </w:tr>
    </w:tbl>
    <w:p>
      <w:pPr>
        <w:pStyle w:val="BodyText"/>
      </w:pPr>
      <w:r>
        <w:rPr>
          <w:i/>
          <w:iCs/>
        </w:rPr>
        <w:t xml:space="preserve">Tabella E.1. Glossario dei principali termini tecnici impiegati nello studio.</w:t>
      </w:r>
    </w:p>
    <w:bookmarkEnd w:id="2877"/>
    <w:bookmarkStart w:id="2878" w:name="molise-studio-hta-integrale"/>
    <w:p>
      <w:pPr>
        <w:pStyle w:val="Heading2"/>
      </w:pPr>
      <w:r>
        <w:t xml:space="preserve">Molise — Studio HTA integrale</w:t>
      </w:r>
    </w:p>
    <w:p>
      <w:pPr>
        <w:pStyle w:val="FirstParagraph"/>
      </w:pPr>
      <w:r>
        <w:t xml:space="preserve">Studio Integrale Regionale · Regione Molise</w:t>
      </w:r>
    </w:p>
    <w:p>
      <w:pPr>
        <w:pStyle w:val="BodyText"/>
      </w:pPr>
      <w:r>
        <w:t xml:space="preserve">Psicologo di Base in Molise</w:t>
      </w:r>
    </w:p>
    <w:p>
      <w:pPr>
        <w:pStyle w:val="BodyText"/>
      </w:pPr>
      <w:r>
        <w:t xml:space="preserve">Studio Integrale Regionale · Valutazione di Tecnologia Sanitaria · Telaio HTA a nove domini</w:t>
      </w:r>
    </w:p>
    <w:p>
      <w:pPr>
        <w:pStyle w:val="BodyText"/>
      </w:pPr>
      <w:r>
        <w:t xml:space="preserve">Progetto «Psicologo di Base» · Regione Molise</w:t>
      </w:r>
    </w:p>
    <w:p>
      <w:pPr>
        <w:pStyle w:val="BodyText"/>
      </w:pPr>
      <w:r>
        <w:t xml:space="preserve">Parti A–M e Appendici A–E</w:t>
      </w:r>
    </w:p>
    <w:bookmarkEnd w:id="2878"/>
    <w:bookmarkStart w:id="2882" w:name="premessa-generale-10"/>
    <w:p>
      <w:pPr>
        <w:pStyle w:val="Heading2"/>
      </w:pPr>
      <w:r>
        <w:t xml:space="preserve">Premessa generale</w:t>
      </w:r>
    </w:p>
    <w:p>
      <w:pPr>
        <w:pStyle w:val="FirstParagraph"/>
      </w:pPr>
      <w:r>
        <w:t xml:space="preserve">Questo documento raccoglie in un’unica opera lo studio integrale per la Regione Molise sull’introduzione del servizio di psicologia di base. Analogamente alla Basilicata, il Molise si trova in una fase anteriore all’istituzione del servizio: nessuna legge regionale ha finora istituito la figura dello psicologo di base, e la decisione che le istituzioni sono chiamate ad assumere non riguarda la modalità di organizzazione di un servizio già operante, ma l’opportunità stessa di istituirlo, la forma giuridica e organizzativa da adottare, e la compatibilità di questo investimento con un sistema sanitario regionale che versa in condizioni di grave tensione finanziaria, sotto piano di rientro dal 2007 e impegnato in un lungo e difficile processo di risanamento. Una proposta di legge, presentata nel maggio 2026 da consiglieri di opposizione dell’area progressista — Partito Democratico, Movimento 5 Stelle, Sinistra Italiana, Verdi, Socialisti e Italia Viva — e sostenuta dall’Ordine degli Psicologi del Molise, prevede l’istituzione del servizio con un finanziamento di circa 400.000 euro l’anno e la presenza di due psicologi per ciascuno dei tre distretti sanitari dell’Azienda Sanitaria Regionale del Molise.</w:t>
      </w:r>
      <w:r>
        <w:rPr>
          <w:rStyle w:val="FootnoteReference"/>
        </w:rPr>
        <w:footnoteReference w:id="3150"/>
      </w:r>
      <w:r>
        <w:t xml:space="preserve"> </w:t>
      </w:r>
      <w:r>
        <w:t xml:space="preserve">Lo studio compone in sequenza le undici parti narrative, dalla A alla M, e le cinque appendici, dalla A alla E, seguendo il medesimo telaio metodologico adottato per tutte le regioni della serie, adattato alle condizioni peculiari del contesto molisano.</w:t>
      </w:r>
    </w:p>
    <w:p>
      <w:pPr>
        <w:pStyle w:val="BodyText"/>
      </w:pPr>
      <w:r>
        <w:t xml:space="preserve">Da tale impostazione discende la tesi centrale dello studio molisano, articolata in affermazioni congiunte: il servizio costa al bilancio sanitario regionale una cifra modesta — dell’ordine dello 0,5 per cento di un fondo sanitario di circa 672 milioni nello scenario di piena attuazione — e comporta un saldo diretto prossimo al pareggio; restituisce alla collettività un valore dell’ordine di tre-cinque euro per ogni euro speso, con un rapporto beneficio-costo compreso fra 3,3 e 5,7 a uno includendo i benefici di salute;</w:t>
      </w:r>
      <w:r>
        <w:rPr>
          <w:rStyle w:val="FootnoteReference"/>
        </w:rPr>
        <w:footnoteReference w:id="3151"/>
      </w:r>
      <w:r>
        <w:t xml:space="preserve"> </w:t>
      </w:r>
      <w:r>
        <w:t xml:space="preserve">risponde a un bisogno ampio e inevaso, stimato in circa 50.000 persone, accentuato da una struttura demografica fra le più anziane del Paese — con un indice di vecchiaia di 281 e una quota di ultrasessantacinquenni prossima al 29 per cento della popolazione — e da un contesto di piano di rientro che ha duramente compresso le risorse destinate alla salute mentale;</w:t>
      </w:r>
      <w:r>
        <w:rPr>
          <w:rStyle w:val="FootnoteReference"/>
        </w:rPr>
        <w:footnoteReference w:id="3152"/>
      </w:r>
      <w:r>
        <w:t xml:space="preserve"> </w:t>
      </w:r>
      <w:r>
        <w:t xml:space="preserve">riduce le disuguaglianze sociali e territoriali in una regione fortemente dispersa e segnata da uno spopolamento accelerato. Rispetto alle altre regioni della serie, il Molise occupa una posizione peculiare e per certi versi la più difficile: è la regione più piccola fra quelle esaminate, sotto commissariamento sanitario, con il disavanzo strutturalmente più elevato in rapporto alla popolazione, e con una proposta di legge appena presentata ma non ancora approvata. Tuttavia, come si argomenta in queste pagine, il contesto di piano di rientro non riduce la convenienza dell’intervento: al contrario, in un sistema in tensione ogni euro recuperato ha un rendimento marginale più elevato, sicché il servizio, progettato con gradualità e dentro i limiti giuridici indicati dalla giurisprudenza costituzionale, è al tempo stesso sostenibile e strategicamente prioritario. L’analisi multi-criterio che conclude lo studio assegna all’introduzione del servizio un punteggio di 74,50 su 100, contro 37,00 del non intervento.</w:t>
      </w:r>
    </w:p>
    <w:bookmarkEnd w:id="2882"/>
    <w:bookmarkStart w:id="2883" w:name="indice-generale-del-corpus-10"/>
    <w:p>
      <w:pPr>
        <w:pStyle w:val="Heading2"/>
      </w:pPr>
      <w:r>
        <w:t xml:space="preserve">Indice generale del corpus</w:t>
      </w:r>
    </w:p>
    <w:p>
      <w:pPr>
        <w:pStyle w:val="FirstParagraph"/>
      </w:pPr>
      <w:r>
        <w:t xml:space="preserve">La tabella seguente elenca i sedici documenti dello studio, con i rispettivi capitoli e il contenuto; il documento prosegue poi con le parti e le appendici in sequenza.</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52"/>
        <w:gridCol w:w="1152"/>
        <w:gridCol w:w="552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A.1-A.4</w:t>
            </w:r>
          </w:p>
        </w:tc>
        <w:tc>
          <w:tcPr/>
          <w:p>
            <w:pPr>
              <w:pStyle w:val="Compact"/>
              <w:spacing w:after="40" w:before="40"/>
              <w:jc w:val="left"/>
            </w:pPr>
            <w:r>
              <w:rPr>
                <w:rFonts w:ascii="Cambria" w:hAnsi="Cambria" w:cs="Cambria" w:eastAsia="Cambria"/>
                <w:color w:val="1A1A1A"/>
                <w:sz w:val="18"/>
              </w:rPr>
              <w:t xml:space="preserve">Quadro, quesito e metodo: scopo e quesito,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Bisogno e contesto: demografia, epidemiologia, domanda e offerta, divari,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Intervento e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due casi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sensibilità, scenari,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G.1-G.4</w:t>
            </w:r>
          </w:p>
        </w:tc>
        <w:tc>
          <w:tcPr/>
          <w:p>
            <w:pPr>
              <w:pStyle w:val="Compact"/>
              <w:spacing w:after="40" w:before="40"/>
              <w:jc w:val="left"/>
            </w:pPr>
            <w:r>
              <w:rPr>
                <w:rFonts w:ascii="Cambria" w:hAnsi="Cambria" w:cs="Cambria" w:eastAsia="Cambria"/>
                <w:color w:val="1A1A1A"/>
                <w:sz w:val="18"/>
              </w:rPr>
              <w:t xml:space="preserve">Equità e impatto distributivo: gradiente sociale, assi territoriali, strumenti, costo-efficacia distributiva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H.1-H.4</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giuridico, organizzativo, etico, sintesi</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cinque casi, dimensionamento, reclutamento, sostenibilità, rischi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ex post: impianto, controfattuale, indicatori, cruscotto, sintesi</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M.1-M.5</w:t>
            </w:r>
          </w:p>
        </w:tc>
        <w:tc>
          <w:tcPr/>
          <w:p>
            <w:pPr>
              <w:pStyle w:val="Compact"/>
              <w:spacing w:after="40" w:before="40"/>
              <w:jc w:val="left"/>
            </w:pPr>
            <w:r>
              <w:rPr>
                <w:rFonts w:ascii="Cambria" w:hAnsi="Cambria" w:cs="Cambria" w:eastAsia="Cambria"/>
                <w:color w:val="1A1A1A"/>
                <w:sz w:val="18"/>
              </w:rPr>
              <w:t xml:space="preserve">Sintesi multidimensionale: sintesi per dominio, analisi multi-criterio, raccomandazione, condizioni, conclusione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Appendici A-E</w:t>
            </w:r>
          </w:p>
        </w:tc>
        <w:tc>
          <w:tcPr>
            <w:shd w:val="clear" w:color="auto" w:fill="F4F1EC"/>
          </w:tcPr>
          <w:p>
            <w:pPr>
              <w:pStyle w:val="Compact"/>
              <w:spacing w:after="40" w:before="40"/>
              <w:jc w:val="left"/>
            </w:pPr>
            <w:r>
              <w:rPr>
                <w:rFonts w:ascii="Cambria" w:hAnsi="Cambria" w:cs="Cambria" w:eastAsia="Cambria"/>
                <w:color w:val="1A1A1A"/>
                <w:sz w:val="18"/>
              </w:rPr>
              <w:t xml:space="preserve">A-E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strumenti ed esiti, dati regionali, checklist, glossario</w:t>
            </w:r>
          </w:p>
        </w:tc>
      </w:tr>
    </w:tbl>
    <w:p>
      <w:pPr>
        <w:pStyle w:val="BodyText"/>
      </w:pPr>
      <w:r>
        <w:rPr>
          <w:i/>
          <w:iCs/>
        </w:rPr>
        <w:t xml:space="preserve">Tabella. La mappa di lettura del corpus: undici parti narrative e cinque appendici.</w:t>
      </w:r>
    </w:p>
    <w:bookmarkEnd w:id="2883"/>
    <w:bookmarkStart w:id="2884" w:name="la-mappa-di-integrazione-del-telaio-9"/>
    <w:p>
      <w:pPr>
        <w:pStyle w:val="Heading2"/>
      </w:pPr>
      <w:r>
        <w:t xml:space="preserve">La mappa di integrazione del telaio</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785"/>
        <w:gridCol w:w="2814"/>
        <w:gridCol w:w="1309"/>
        <w:gridCol w:w="288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Parte</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HTA</w:t>
            </w:r>
          </w:p>
        </w:tc>
        <w:tc>
          <w:tcPr>
            <w:shd w:val="clear" w:color="auto" w:fill="16264B"/>
          </w:tcPr>
          <w:p>
            <w:pPr>
              <w:pStyle w:val="Compact"/>
              <w:spacing w:after="40" w:before="40"/>
              <w:jc w:val="left"/>
            </w:pPr>
            <w:r>
              <w:rPr>
                <w:rFonts w:ascii="Cambria" w:hAnsi="Cambria" w:cs="Cambria" w:eastAsia="Cambria"/>
                <w:b/>
                <w:bCs/>
                <w:color w:val="FFFFFF"/>
                <w:sz w:val="18"/>
              </w:rPr>
              <w:t xml:space="preserve">Caso 5CM</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Criterio OCSE-DAC</w:t>
            </w:r>
          </w:p>
        </w:tc>
      </w:tr>
      <w:tr>
        <w:tc>
          <w:tcPr/>
          <w:p>
            <w:pPr>
              <w:pStyle w:val="Compact"/>
              <w:spacing w:after="40" w:before="40"/>
              <w:jc w:val="left"/>
            </w:pPr>
            <w:r>
              <w:rPr>
                <w:rFonts w:ascii="Cambria" w:hAnsi="Cambria" w:cs="Cambria" w:eastAsia="Cambria"/>
                <w:color w:val="1A1A1A"/>
                <w:sz w:val="18"/>
              </w:rPr>
              <w:t xml:space="preserve">A</w:t>
            </w:r>
          </w:p>
        </w:tc>
        <w:tc>
          <w:tcPr/>
          <w:p>
            <w:pPr>
              <w:pStyle w:val="Compact"/>
              <w:spacing w:after="40" w:before="40"/>
              <w:jc w:val="left"/>
            </w:pPr>
            <w:r>
              <w:rPr>
                <w:rFonts w:ascii="Cambria" w:hAnsi="Cambria" w:cs="Cambria" w:eastAsia="Cambria"/>
                <w:color w:val="1A1A1A"/>
                <w:sz w:val="18"/>
              </w:rPr>
              <w:t xml:space="preserve">Quadro, scopo e metodo</w:t>
            </w:r>
          </w:p>
        </w:tc>
        <w:tc>
          <w:tcPr/>
          <w:p>
            <w:pPr>
              <w:pStyle w:val="Compact"/>
              <w:spacing w:after="40" w:before="40"/>
              <w:jc w:val="left"/>
            </w:pPr>
            <w:r>
              <w:rPr>
                <w:rFonts w:ascii="Cambria" w:hAnsi="Cambria" w:cs="Cambria" w:eastAsia="Cambria"/>
                <w:color w:val="1A1A1A"/>
                <w:sz w:val="18"/>
              </w:rPr>
              <w:t xml:space="preserve">Caso strategico</w:t>
            </w:r>
          </w:p>
        </w:tc>
        <w:tc>
          <w:tcPr/>
          <w:p>
            <w:pPr>
              <w:pStyle w:val="Compact"/>
              <w:spacing w:after="40" w:before="40"/>
              <w:jc w:val="left"/>
            </w:pPr>
            <w:r>
              <w:rPr>
                <w:rFonts w:ascii="Cambria" w:hAnsi="Cambria" w:cs="Cambria" w:eastAsia="Cambria"/>
                <w:color w:val="1A1A1A"/>
                <w:sz w:val="18"/>
              </w:rPr>
              <w:t xml:space="preserve">Rilevanza e coerenza</w:t>
            </w:r>
          </w:p>
        </w:tc>
      </w:tr>
      <w:tr>
        <w:tc>
          <w:tcPr>
            <w:shd w:val="clear" w:color="auto" w:fill="F4F1EC"/>
          </w:tcPr>
          <w:p>
            <w:pPr>
              <w:pStyle w:val="Compact"/>
              <w:spacing w:after="40" w:before="40"/>
              <w:jc w:val="left"/>
            </w:pPr>
            <w:r>
              <w:rPr>
                <w:rFonts w:ascii="Cambria" w:hAnsi="Cambria" w:cs="Cambria" w:eastAsia="Cambria"/>
                <w:color w:val="1A1A1A"/>
                <w:sz w:val="18"/>
              </w:rPr>
              <w:t xml:space="preserve">B</w:t>
            </w:r>
          </w:p>
        </w:tc>
        <w:tc>
          <w:tcPr>
            <w:shd w:val="clear" w:color="auto" w:fill="F4F1EC"/>
          </w:tcPr>
          <w:p>
            <w:pPr>
              <w:pStyle w:val="Compact"/>
              <w:spacing w:after="40" w:before="40"/>
              <w:jc w:val="left"/>
            </w:pPr>
            <w:r>
              <w:rPr>
                <w:rFonts w:ascii="Cambria" w:hAnsi="Cambria" w:cs="Cambria" w:eastAsia="Cambria"/>
                <w:color w:val="1A1A1A"/>
                <w:sz w:val="18"/>
              </w:rPr>
              <w:t xml:space="preserve">Problema di salute, bisogno e contesto</w:t>
            </w:r>
          </w:p>
        </w:tc>
        <w:tc>
          <w:tcPr>
            <w:shd w:val="clear" w:color="auto" w:fill="F4F1EC"/>
          </w:tcPr>
          <w:p>
            <w:pPr>
              <w:pStyle w:val="Compact"/>
              <w:spacing w:after="40" w:before="40"/>
              <w:jc w:val="left"/>
            </w:pPr>
            <w:r>
              <w:rPr>
                <w:rFonts w:ascii="Cambria" w:hAnsi="Cambria" w:cs="Cambria" w:eastAsia="Cambria"/>
                <w:color w:val="1A1A1A"/>
                <w:sz w:val="18"/>
              </w:rPr>
              <w:t xml:space="preserve">Caso strategico</w:t>
            </w:r>
          </w:p>
        </w:tc>
        <w:tc>
          <w:tcPr>
            <w:shd w:val="clear" w:color="auto" w:fill="F4F1EC"/>
          </w:tcPr>
          <w:p>
            <w:pPr>
              <w:pStyle w:val="Compact"/>
              <w:spacing w:after="40" w:before="40"/>
              <w:jc w:val="left"/>
            </w:pPr>
            <w:r>
              <w:rPr>
                <w:rFonts w:ascii="Cambria" w:hAnsi="Cambria" w:cs="Cambria" w:eastAsia="Cambria"/>
                <w:color w:val="1A1A1A"/>
                <w:sz w:val="18"/>
              </w:rPr>
              <w:t xml:space="preserve">Rilevanza</w:t>
            </w:r>
          </w:p>
        </w:tc>
      </w:tr>
      <w:tr>
        <w:tc>
          <w:tcPr/>
          <w:p>
            <w:pPr>
              <w:pStyle w:val="Compact"/>
              <w:spacing w:after="40" w:before="40"/>
              <w:jc w:val="left"/>
            </w:pPr>
            <w:r>
              <w:rPr>
                <w:rFonts w:ascii="Cambria" w:hAnsi="Cambria" w:cs="Cambria" w:eastAsia="Cambria"/>
                <w:color w:val="1A1A1A"/>
                <w:sz w:val="18"/>
              </w:rPr>
              <w:t xml:space="preserve">C</w:t>
            </w:r>
          </w:p>
        </w:tc>
        <w:tc>
          <w:tcPr/>
          <w:p>
            <w:pPr>
              <w:pStyle w:val="Compact"/>
              <w:spacing w:after="40" w:before="40"/>
              <w:jc w:val="left"/>
            </w:pPr>
            <w:r>
              <w:rPr>
                <w:rFonts w:ascii="Cambria" w:hAnsi="Cambria" w:cs="Cambria" w:eastAsia="Cambria"/>
                <w:color w:val="1A1A1A"/>
                <w:sz w:val="18"/>
              </w:rPr>
              <w:t xml:space="preserve">Intervento e modello organizzativo</w:t>
            </w:r>
          </w:p>
        </w:tc>
        <w:tc>
          <w:tcPr/>
          <w:p>
            <w:pPr>
              <w:pStyle w:val="Compact"/>
              <w:spacing w:after="40" w:before="40"/>
              <w:jc w:val="left"/>
            </w:pPr>
            <w:r>
              <w:rPr>
                <w:rFonts w:ascii="Cambria" w:hAnsi="Cambria" w:cs="Cambria" w:eastAsia="Cambria"/>
                <w:color w:val="1A1A1A"/>
                <w:sz w:val="18"/>
              </w:rPr>
              <w:t xml:space="preserve">Caso commerciale</w:t>
            </w:r>
          </w:p>
        </w:tc>
        <w:tc>
          <w:tcPr/>
          <w:p>
            <w:pPr>
              <w:pStyle w:val="Compact"/>
              <w:spacing w:after="40" w:before="40"/>
              <w:jc w:val="left"/>
            </w:pPr>
            <w:r>
              <w:rPr>
                <w:rFonts w:ascii="Cambria" w:hAnsi="Cambria" w:cs="Cambria" w:eastAsia="Cambria"/>
                <w:color w:val="1A1A1A"/>
                <w:sz w:val="18"/>
              </w:rPr>
              <w:t xml:space="preserve">Coerenza e fattibilità</w:t>
            </w:r>
          </w:p>
        </w:tc>
      </w:tr>
      <w:tr>
        <w:tc>
          <w:tcPr>
            <w:shd w:val="clear" w:color="auto" w:fill="F4F1EC"/>
          </w:tcPr>
          <w:p>
            <w:pPr>
              <w:pStyle w:val="Compact"/>
              <w:spacing w:after="40" w:before="40"/>
              <w:jc w:val="left"/>
            </w:pPr>
            <w:r>
              <w:rPr>
                <w:rFonts w:ascii="Cambria" w:hAnsi="Cambria" w:cs="Cambria" w:eastAsia="Cambria"/>
                <w:color w:val="1A1A1A"/>
                <w:sz w:val="18"/>
              </w:rPr>
              <w:t xml:space="preserve">D</w:t>
            </w:r>
          </w:p>
        </w:tc>
        <w:tc>
          <w:tcPr>
            <w:shd w:val="clear" w:color="auto" w:fill="F4F1EC"/>
          </w:tcPr>
          <w:p>
            <w:pPr>
              <w:pStyle w:val="Compact"/>
              <w:spacing w:after="40" w:before="40"/>
              <w:jc w:val="left"/>
            </w:pPr>
            <w:r>
              <w:rPr>
                <w:rFonts w:ascii="Cambria" w:hAnsi="Cambria" w:cs="Cambria" w:eastAsia="Cambria"/>
                <w:color w:val="1A1A1A"/>
                <w:sz w:val="18"/>
              </w:rPr>
              <w:t xml:space="preserve">Efficacia clinica ed evidenza</w:t>
            </w:r>
          </w:p>
        </w:tc>
        <w:tc>
          <w:tcPr>
            <w:shd w:val="clear" w:color="auto" w:fill="F4F1EC"/>
          </w:tcPr>
          <w:p>
            <w:pPr>
              <w:pStyle w:val="Compact"/>
              <w:spacing w:after="40" w:before="40"/>
              <w:jc w:val="left"/>
            </w:pPr>
            <w:r>
              <w:rPr>
                <w:rFonts w:ascii="Cambria" w:hAnsi="Cambria" w:cs="Cambria" w:eastAsia="Cambria"/>
                <w:color w:val="1A1A1A"/>
                <w:sz w:val="18"/>
              </w:rPr>
              <w:t xml:space="preserve">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Efficacia</w:t>
            </w:r>
          </w:p>
        </w:tc>
      </w:tr>
      <w:tr>
        <w:tc>
          <w:tcPr/>
          <w:p>
            <w:pPr>
              <w:pStyle w:val="Compact"/>
              <w:spacing w:after="40" w:before="40"/>
              <w:jc w:val="left"/>
            </w:pPr>
            <w:r>
              <w:rPr>
                <w:rFonts w:ascii="Cambria" w:hAnsi="Cambria" w:cs="Cambria" w:eastAsia="Cambria"/>
                <w:color w:val="1A1A1A"/>
                <w:sz w:val="18"/>
              </w:rPr>
              <w:t xml:space="preserve">E</w:t>
            </w:r>
          </w:p>
        </w:tc>
        <w:tc>
          <w:tcPr/>
          <w:p>
            <w:pPr>
              <w:pStyle w:val="Compact"/>
              <w:spacing w:after="40" w:before="40"/>
              <w:jc w:val="left"/>
            </w:pPr>
            <w:r>
              <w:rPr>
                <w:rFonts w:ascii="Cambria" w:hAnsi="Cambria" w:cs="Cambria" w:eastAsia="Cambria"/>
                <w:color w:val="1A1A1A"/>
                <w:sz w:val="18"/>
              </w:rPr>
              <w:t xml:space="preserve">Valutazione economica</w:t>
            </w:r>
          </w:p>
        </w:tc>
        <w:tc>
          <w:tcPr/>
          <w:p>
            <w:pPr>
              <w:pStyle w:val="Compact"/>
              <w:spacing w:after="40" w:before="40"/>
              <w:jc w:val="left"/>
            </w:pPr>
            <w:r>
              <w:rPr>
                <w:rFonts w:ascii="Cambria" w:hAnsi="Cambria" w:cs="Cambria" w:eastAsia="Cambria"/>
                <w:color w:val="1A1A1A"/>
                <w:sz w:val="18"/>
              </w:rPr>
              <w:t xml:space="preserve">Caso economico</w:t>
            </w:r>
          </w:p>
        </w:tc>
        <w:tc>
          <w:tcPr/>
          <w:p>
            <w:pPr>
              <w:pStyle w:val="Compact"/>
              <w:spacing w:after="40" w:before="40"/>
              <w:jc w:val="left"/>
            </w:pPr>
            <w:r>
              <w:rPr>
                <w:rFonts w:ascii="Cambria" w:hAnsi="Cambria" w:cs="Cambria" w:eastAsia="Cambria"/>
                <w:color w:val="1A1A1A"/>
                <w:sz w:val="18"/>
              </w:rPr>
              <w:t xml:space="preserve">Efficienza</w:t>
            </w:r>
          </w:p>
        </w:tc>
      </w:tr>
      <w:tr>
        <w:tc>
          <w:tcPr>
            <w:shd w:val="clear" w:color="auto" w:fill="F4F1EC"/>
          </w:tcPr>
          <w:p>
            <w:pPr>
              <w:pStyle w:val="Compact"/>
              <w:spacing w:after="40" w:before="40"/>
              <w:jc w:val="left"/>
            </w:pPr>
            <w:r>
              <w:rPr>
                <w:rFonts w:ascii="Cambria" w:hAnsi="Cambria" w:cs="Cambria" w:eastAsia="Cambria"/>
                <w:color w:val="1A1A1A"/>
                <w:sz w:val="18"/>
              </w:rPr>
              <w:t xml:space="preserve">F</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Efficienza e robustezza</w:t>
            </w:r>
          </w:p>
        </w:tc>
      </w:tr>
      <w:tr>
        <w:tc>
          <w:tcPr/>
          <w:p>
            <w:pPr>
              <w:pStyle w:val="Compact"/>
              <w:spacing w:after="40" w:before="40"/>
              <w:jc w:val="left"/>
            </w:pPr>
            <w:r>
              <w:rPr>
                <w:rFonts w:ascii="Cambria" w:hAnsi="Cambria" w:cs="Cambria" w:eastAsia="Cambria"/>
                <w:color w:val="1A1A1A"/>
                <w:sz w:val="18"/>
              </w:rPr>
              <w:t xml:space="preserve">G</w:t>
            </w:r>
          </w:p>
        </w:tc>
        <w:tc>
          <w:tcPr/>
          <w:p>
            <w:pPr>
              <w:pStyle w:val="Compact"/>
              <w:spacing w:after="40" w:before="40"/>
              <w:jc w:val="left"/>
            </w:pPr>
            <w:r>
              <w:rPr>
                <w:rFonts w:ascii="Cambria" w:hAnsi="Cambria" w:cs="Cambria" w:eastAsia="Cambria"/>
                <w:color w:val="1A1A1A"/>
                <w:sz w:val="18"/>
              </w:rPr>
              <w:t xml:space="preserve">Equità e impatto distributivo</w:t>
            </w:r>
          </w:p>
        </w:tc>
        <w:tc>
          <w:tcPr/>
          <w:p>
            <w:pPr>
              <w:pStyle w:val="Compact"/>
              <w:spacing w:after="40" w:before="40"/>
              <w:jc w:val="left"/>
            </w:pPr>
            <w:r>
              <w:rPr>
                <w:rFonts w:ascii="Cambria" w:hAnsi="Cambria" w:cs="Cambria" w:eastAsia="Cambria"/>
                <w:color w:val="1A1A1A"/>
                <w:sz w:val="18"/>
              </w:rPr>
              <w:t xml:space="preserve">Caso economico</w:t>
            </w:r>
          </w:p>
        </w:tc>
        <w:tc>
          <w:tcPr/>
          <w:p>
            <w:pPr>
              <w:pStyle w:val="Compact"/>
              <w:spacing w:after="40" w:before="40"/>
              <w:jc w:val="left"/>
            </w:pPr>
            <w:r>
              <w:rPr>
                <w:rFonts w:ascii="Cambria" w:hAnsi="Cambria" w:cs="Cambria" w:eastAsia="Cambria"/>
                <w:color w:val="1A1A1A"/>
                <w:sz w:val="18"/>
              </w:rPr>
              <w:t xml:space="preserve">Impatto</w:t>
            </w:r>
          </w:p>
        </w:tc>
      </w:tr>
      <w:tr>
        <w:tc>
          <w:tcPr>
            <w:shd w:val="clear" w:color="auto" w:fill="F4F1EC"/>
          </w:tcPr>
          <w:p>
            <w:pPr>
              <w:pStyle w:val="Compact"/>
              <w:spacing w:after="40" w:before="40"/>
              <w:jc w:val="left"/>
            </w:pPr>
            <w:r>
              <w:rPr>
                <w:rFonts w:ascii="Cambria" w:hAnsi="Cambria" w:cs="Cambria" w:eastAsia="Cambria"/>
                <w:color w:val="1A1A1A"/>
                <w:sz w:val="18"/>
              </w:rPr>
              <w:t xml:space="preserve">H</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w:t>
            </w:r>
          </w:p>
        </w:tc>
        <w:tc>
          <w:tcPr>
            <w:shd w:val="clear" w:color="auto" w:fill="F4F1EC"/>
          </w:tcPr>
          <w:p>
            <w:pPr>
              <w:pStyle w:val="Compact"/>
              <w:spacing w:after="40" w:before="40"/>
              <w:jc w:val="left"/>
            </w:pPr>
            <w:r>
              <w:rPr>
                <w:rFonts w:ascii="Cambria" w:hAnsi="Cambria" w:cs="Cambria" w:eastAsia="Cambria"/>
                <w:color w:val="1A1A1A"/>
                <w:sz w:val="18"/>
              </w:rPr>
              <w:t xml:space="preserve">Caso gestionale</w:t>
            </w:r>
          </w:p>
        </w:tc>
        <w:tc>
          <w:tcPr>
            <w:shd w:val="clear" w:color="auto" w:fill="F4F1EC"/>
          </w:tcPr>
          <w:p>
            <w:pPr>
              <w:pStyle w:val="Compact"/>
              <w:spacing w:after="40" w:before="40"/>
              <w:jc w:val="left"/>
            </w:pPr>
            <w:r>
              <w:rPr>
                <w:rFonts w:ascii="Cambria" w:hAnsi="Cambria" w:cs="Cambria" w:eastAsia="Cambria"/>
                <w:color w:val="1A1A1A"/>
                <w:sz w:val="18"/>
              </w:rPr>
              <w:t xml:space="preserve">Coerenza e sostenibilità</w:t>
            </w:r>
          </w:p>
        </w:tc>
      </w:tr>
      <w:tr>
        <w:tc>
          <w:tcPr/>
          <w:p>
            <w:pPr>
              <w:pStyle w:val="Compact"/>
              <w:spacing w:after="40" w:before="40"/>
              <w:jc w:val="left"/>
            </w:pPr>
            <w:r>
              <w:rPr>
                <w:rFonts w:ascii="Cambria" w:hAnsi="Cambria" w:cs="Cambria" w:eastAsia="Cambria"/>
                <w:color w:val="1A1A1A"/>
                <w:sz w:val="18"/>
              </w:rPr>
              <w:t xml:space="preserve">I</w:t>
            </w:r>
          </w:p>
        </w:tc>
        <w:tc>
          <w:tcPr/>
          <w:p>
            <w:pPr>
              <w:pStyle w:val="Compact"/>
              <w:spacing w:after="40" w:before="40"/>
              <w:jc w:val="left"/>
            </w:pPr>
            <w:r>
              <w:rPr>
                <w:rFonts w:ascii="Cambria" w:hAnsi="Cambria" w:cs="Cambria" w:eastAsia="Cambria"/>
                <w:color w:val="1A1A1A"/>
                <w:sz w:val="18"/>
              </w:rPr>
              <w:t xml:space="preserve">Attuazione, fattibilità e sostenibilità</w:t>
            </w:r>
          </w:p>
        </w:tc>
        <w:tc>
          <w:tcPr/>
          <w:p>
            <w:pPr>
              <w:pStyle w:val="Compact"/>
              <w:spacing w:after="40" w:before="40"/>
              <w:jc w:val="left"/>
            </w:pPr>
            <w:r>
              <w:rPr>
                <w:rFonts w:ascii="Cambria" w:hAnsi="Cambria" w:cs="Cambria" w:eastAsia="Cambria"/>
                <w:color w:val="1A1A1A"/>
                <w:sz w:val="18"/>
              </w:rPr>
              <w:t xml:space="preserve">Caso finanziario</w:t>
            </w:r>
          </w:p>
        </w:tc>
        <w:tc>
          <w:tcPr/>
          <w:p>
            <w:pPr>
              <w:pStyle w:val="Compact"/>
              <w:spacing w:after="40" w:before="40"/>
              <w:jc w:val="left"/>
            </w:pPr>
            <w:r>
              <w:rPr>
                <w:rFonts w:ascii="Cambria" w:hAnsi="Cambria" w:cs="Cambria" w:eastAsia="Cambria"/>
                <w:color w:val="1A1A1A"/>
                <w:sz w:val="18"/>
              </w:rPr>
              <w:t xml:space="preserve">Sostenibilità</w:t>
            </w:r>
          </w:p>
        </w:tc>
      </w:tr>
      <w:tr>
        <w:tc>
          <w:tcPr>
            <w:shd w:val="clear" w:color="auto" w:fill="F4F1EC"/>
          </w:tcPr>
          <w:p>
            <w:pPr>
              <w:pStyle w:val="Compact"/>
              <w:spacing w:after="40" w:before="40"/>
              <w:jc w:val="left"/>
            </w:pPr>
            <w:r>
              <w:rPr>
                <w:rFonts w:ascii="Cambria" w:hAnsi="Cambria" w:cs="Cambria" w:eastAsia="Cambria"/>
                <w:color w:val="1A1A1A"/>
                <w:sz w:val="18"/>
              </w:rPr>
              <w:t xml:space="preserve">L</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ex post</w:t>
            </w:r>
          </w:p>
        </w:tc>
        <w:tc>
          <w:tcPr>
            <w:shd w:val="clear" w:color="auto" w:fill="F4F1EC"/>
          </w:tcPr>
          <w:p>
            <w:pPr>
              <w:pStyle w:val="Compact"/>
              <w:spacing w:after="40" w:before="40"/>
              <w:jc w:val="left"/>
            </w:pPr>
            <w:r>
              <w:rPr>
                <w:rFonts w:ascii="Cambria" w:hAnsi="Cambria" w:cs="Cambria" w:eastAsia="Cambria"/>
                <w:color w:val="1A1A1A"/>
                <w:sz w:val="18"/>
              </w:rPr>
              <w:t xml:space="preserve">Caso gestionale</w:t>
            </w:r>
          </w:p>
        </w:tc>
        <w:tc>
          <w:tcPr>
            <w:shd w:val="clear" w:color="auto" w:fill="F4F1EC"/>
          </w:tcPr>
          <w:p>
            <w:pPr>
              <w:pStyle w:val="Compact"/>
              <w:spacing w:after="40" w:before="40"/>
              <w:jc w:val="left"/>
            </w:pPr>
            <w:r>
              <w:rPr>
                <w:rFonts w:ascii="Cambria" w:hAnsi="Cambria" w:cs="Cambria" w:eastAsia="Cambria"/>
                <w:color w:val="1A1A1A"/>
                <w:sz w:val="18"/>
              </w:rPr>
              <w:t xml:space="preserve">Efficacia e impatto</w:t>
            </w:r>
          </w:p>
        </w:tc>
      </w:tr>
      <w:tr>
        <w:tc>
          <w:tcPr/>
          <w:p>
            <w:pPr>
              <w:pStyle w:val="Compact"/>
              <w:spacing w:after="40" w:before="40"/>
              <w:jc w:val="left"/>
            </w:pPr>
            <w:r>
              <w:rPr>
                <w:rFonts w:ascii="Cambria" w:hAnsi="Cambria" w:cs="Cambria" w:eastAsia="Cambria"/>
                <w:color w:val="1A1A1A"/>
                <w:sz w:val="18"/>
              </w:rPr>
              <w:t xml:space="preserve">M</w:t>
            </w:r>
          </w:p>
        </w:tc>
        <w:tc>
          <w:tcPr/>
          <w:p>
            <w:pPr>
              <w:pStyle w:val="Compact"/>
              <w:spacing w:after="40" w:before="40"/>
              <w:jc w:val="left"/>
            </w:pPr>
            <w:r>
              <w:rPr>
                <w:rFonts w:ascii="Cambria" w:hAnsi="Cambria" w:cs="Cambria" w:eastAsia="Cambria"/>
                <w:color w:val="1A1A1A"/>
                <w:sz w:val="18"/>
              </w:rPr>
              <w:t xml:space="preserve">Sintesi multidimensionale</w:t>
            </w:r>
          </w:p>
        </w:tc>
        <w:tc>
          <w:tcPr/>
          <w:p>
            <w:pPr>
              <w:pStyle w:val="Compact"/>
              <w:spacing w:after="40" w:before="40"/>
              <w:jc w:val="left"/>
            </w:pPr>
            <w:r>
              <w:rPr>
                <w:rFonts w:ascii="Cambria" w:hAnsi="Cambria" w:cs="Cambria" w:eastAsia="Cambria"/>
                <w:color w:val="1A1A1A"/>
                <w:sz w:val="18"/>
              </w:rPr>
              <w:t xml:space="preserve">Tutti i casi</w:t>
            </w:r>
          </w:p>
        </w:tc>
        <w:tc>
          <w:tcPr/>
          <w:p>
            <w:pPr>
              <w:pStyle w:val="Compact"/>
              <w:spacing w:after="40" w:before="40"/>
              <w:jc w:val="left"/>
            </w:pPr>
            <w:r>
              <w:rPr>
                <w:rFonts w:ascii="Cambria" w:hAnsi="Cambria" w:cs="Cambria" w:eastAsia="Cambria"/>
                <w:color w:val="1A1A1A"/>
                <w:sz w:val="18"/>
              </w:rPr>
              <w:t xml:space="preserve">Tutti i criteri</w:t>
            </w:r>
          </w:p>
        </w:tc>
      </w:tr>
    </w:tbl>
    <w:p>
      <w:pPr>
        <w:pStyle w:val="BodyText"/>
      </w:pPr>
      <w:r>
        <w:rPr>
          <w:i/>
          <w:iCs/>
        </w:rPr>
        <w:t xml:space="preserve">Tabella. La mappa di integrazione del telaio: parti narrative, domini HTA, casi del modello a cinque casi e criteri OCSE-DAC.</w:t>
      </w:r>
    </w:p>
    <w:bookmarkEnd w:id="2884"/>
    <w:bookmarkStart w:id="2885" w:name="la-sintesi-del-valore-9"/>
    <w:p>
      <w:pPr>
        <w:pStyle w:val="Heading2"/>
      </w:pPr>
      <w:r>
        <w:t xml:space="preserve">La sintesi del valore</w:t>
      </w:r>
    </w:p>
    <w:tbl>
      <w:tblPr>
        <w:tblStyle w:val="Table"/>
        <w:tblW w:type="pct" w:w="489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791"/>
        <w:gridCol w:w="1600"/>
        <w:gridCol w:w="926"/>
        <w:gridCol w:w="143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Espansivo</w:t>
            </w:r>
          </w:p>
        </w:tc>
      </w:tr>
      <w:tr>
        <w:tc>
          <w:tcPr/>
          <w:p>
            <w:pPr>
              <w:pStyle w:val="Compact"/>
              <w:spacing w:after="40" w:before="40"/>
              <w:jc w:val="left"/>
            </w:pPr>
            <w:r>
              <w:rPr>
                <w:rFonts w:ascii="Cambria" w:hAnsi="Cambria" w:cs="Cambria" w:eastAsia="Cambria"/>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~3,5</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~0,7</w:t>
            </w:r>
          </w:p>
        </w:tc>
        <w:tc>
          <w:tcPr>
            <w:shd w:val="clear" w:color="auto" w:fill="F4F1EC"/>
          </w:tcPr>
          <w:p>
            <w:pPr>
              <w:pStyle w:val="Compact"/>
              <w:spacing w:after="40" w:before="40"/>
              <w:jc w:val="left"/>
            </w:pPr>
            <w:r>
              <w:rPr>
                <w:rFonts w:ascii="Cambria" w:hAnsi="Cambria" w:cs="Cambria" w:eastAsia="Cambria"/>
                <w:color w:val="1A1A1A"/>
                <w:sz w:val="18"/>
              </w:rPr>
              <w:t xml:space="preserve">~1,7</w:t>
            </w:r>
          </w:p>
        </w:tc>
        <w:tc>
          <w:tcPr>
            <w:shd w:val="clear" w:color="auto" w:fill="F4F1EC"/>
          </w:tcPr>
          <w:p>
            <w:pPr>
              <w:pStyle w:val="Compact"/>
              <w:spacing w:after="40" w:before="40"/>
              <w:jc w:val="left"/>
            </w:pPr>
            <w:r>
              <w:rPr>
                <w:rFonts w:ascii="Cambria" w:hAnsi="Cambria" w:cs="Cambria" w:eastAsia="Cambria"/>
                <w:color w:val="1A1A1A"/>
                <w:sz w:val="18"/>
              </w:rPr>
              <w:t xml:space="preserve">~3,2</w:t>
            </w:r>
          </w:p>
        </w:tc>
      </w:tr>
      <w:tr>
        <w:tc>
          <w:tcPr/>
          <w:p>
            <w:pPr>
              <w:pStyle w:val="Compact"/>
              <w:spacing w:after="40" w:before="40"/>
              <w:jc w:val="left"/>
            </w:pPr>
            <w:r>
              <w:rPr>
                <w:rFonts w:ascii="Cambria" w:hAnsi="Cambria" w:cs="Cambria" w:eastAsia="Cambria"/>
                <w:color w:val="1A1A1A"/>
                <w:sz w:val="18"/>
              </w:rPr>
              <w:t xml:space="preserve">Ricadute economico-sociali</w:t>
            </w:r>
          </w:p>
        </w:tc>
        <w:tc>
          <w:tcPr/>
          <w:p>
            <w:pPr>
              <w:pStyle w:val="Compact"/>
              <w:spacing w:after="40" w:before="40"/>
              <w:jc w:val="left"/>
            </w:pPr>
            <w:r>
              <w:rPr>
                <w:rFonts w:ascii="Cambria" w:hAnsi="Cambria" w:cs="Cambria" w:eastAsia="Cambria"/>
                <w:color w:val="1A1A1A"/>
                <w:sz w:val="18"/>
              </w:rPr>
              <w:t xml:space="preserve">~2,5</w:t>
            </w:r>
          </w:p>
        </w:tc>
        <w:tc>
          <w:tcPr/>
          <w:p>
            <w:pPr>
              <w:pStyle w:val="Compact"/>
              <w:spacing w:after="40" w:before="40"/>
              <w:jc w:val="left"/>
            </w:pPr>
            <w:r>
              <w:rPr>
                <w:rFonts w:ascii="Cambria" w:hAnsi="Cambria" w:cs="Cambria" w:eastAsia="Cambria"/>
                <w:color w:val="1A1A1A"/>
                <w:sz w:val="18"/>
              </w:rPr>
              <w:t xml:space="preserve">~6,5</w:t>
            </w:r>
          </w:p>
        </w:tc>
        <w:tc>
          <w:tcPr/>
          <w:p>
            <w:pPr>
              <w:pStyle w:val="Compact"/>
              <w:spacing w:after="40" w:before="40"/>
              <w:jc w:val="left"/>
            </w:pPr>
            <w:r>
              <w:rPr>
                <w:rFonts w:ascii="Cambria" w:hAnsi="Cambria" w:cs="Cambria" w:eastAsia="Cambria"/>
                <w:color w:val="1A1A1A"/>
                <w:sz w:val="18"/>
              </w:rPr>
              <w:t xml:space="preserve">~13,0</w:t>
            </w:r>
          </w:p>
        </w:tc>
      </w:tr>
      <w:tr>
        <w:tc>
          <w:tcPr>
            <w:shd w:val="clear" w:color="auto" w:fill="F4F1EC"/>
          </w:tcPr>
          <w:p>
            <w:pPr>
              <w:pStyle w:val="Compact"/>
              <w:spacing w:after="40" w:before="40"/>
              <w:jc w:val="left"/>
            </w:pPr>
            <w:r>
              <w:rPr>
                <w:rFonts w:ascii="Cambria" w:hAnsi="Cambria" w:cs="Cambria" w:eastAsia="Cambria"/>
                <w:color w:val="1A1A1A"/>
                <w:sz w:val="18"/>
              </w:rPr>
              <w:t xml:space="preserve">Saldo diretto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−0,3</w:t>
            </w:r>
          </w:p>
        </w:tc>
        <w:tc>
          <w:tcPr>
            <w:shd w:val="clear" w:color="auto" w:fill="F4F1EC"/>
          </w:tcPr>
          <w:p>
            <w:pPr>
              <w:pStyle w:val="Compact"/>
              <w:spacing w:after="40" w:before="40"/>
              <w:jc w:val="left"/>
            </w:pPr>
            <w:r>
              <w:rPr>
                <w:rFonts w:ascii="Cambria" w:hAnsi="Cambria" w:cs="Cambria" w:eastAsia="Cambria"/>
                <w:color w:val="1A1A1A"/>
                <w:sz w:val="18"/>
              </w:rPr>
              <w:t xml:space="preserve">~ −0,3</w:t>
            </w:r>
          </w:p>
        </w:tc>
        <w:tc>
          <w:tcPr>
            <w:shd w:val="clear" w:color="auto" w:fill="F4F1EC"/>
          </w:tcPr>
          <w:p>
            <w:pPr>
              <w:pStyle w:val="Compact"/>
              <w:spacing w:after="40" w:before="40"/>
              <w:jc w:val="left"/>
            </w:pPr>
            <w:r>
              <w:rPr>
                <w:rFonts w:ascii="Cambria" w:hAnsi="Cambria" w:cs="Cambria" w:eastAsia="Cambria"/>
                <w:color w:val="1A1A1A"/>
                <w:sz w:val="18"/>
              </w:rPr>
              <w:t xml:space="preserve">~ −0,3</w:t>
            </w:r>
          </w:p>
        </w:tc>
      </w:tr>
      <w:tr>
        <w:tc>
          <w:tcPr/>
          <w:p>
            <w:pPr>
              <w:pStyle w:val="Compact"/>
              <w:spacing w:after="40" w:before="40"/>
              <w:jc w:val="left"/>
            </w:pPr>
            <w:r>
              <w:rPr>
                <w:rFonts w:ascii="Cambria" w:hAnsi="Cambria" w:cs="Cambria" w:eastAsia="Cambria"/>
                <w:color w:val="1A1A1A"/>
                <w:sz w:val="18"/>
              </w:rPr>
              <w:t xml:space="preserve">Saldo complessivo (caso economico)</w:t>
            </w:r>
          </w:p>
        </w:tc>
        <w:tc>
          <w:tcPr/>
          <w:p>
            <w:pPr>
              <w:pStyle w:val="Compact"/>
              <w:spacing w:after="40" w:before="40"/>
              <w:jc w:val="left"/>
            </w:pPr>
            <w:r>
              <w:rPr>
                <w:rFonts w:ascii="Cambria" w:hAnsi="Cambria" w:cs="Cambria" w:eastAsia="Cambria"/>
                <w:color w:val="1A1A1A"/>
                <w:sz w:val="18"/>
              </w:rPr>
              <w:t xml:space="preserve">~ +2,2</w:t>
            </w:r>
          </w:p>
        </w:tc>
        <w:tc>
          <w:tcPr/>
          <w:p>
            <w:pPr>
              <w:pStyle w:val="Compact"/>
              <w:spacing w:after="40" w:before="40"/>
              <w:jc w:val="left"/>
            </w:pPr>
            <w:r>
              <w:rPr>
                <w:rFonts w:ascii="Cambria" w:hAnsi="Cambria" w:cs="Cambria" w:eastAsia="Cambria"/>
                <w:color w:val="1A1A1A"/>
                <w:sz w:val="18"/>
              </w:rPr>
              <w:t xml:space="preserve">~ +6,2</w:t>
            </w:r>
          </w:p>
        </w:tc>
        <w:tc>
          <w:tcPr/>
          <w:p>
            <w:pPr>
              <w:pStyle w:val="Compact"/>
              <w:spacing w:after="40" w:before="40"/>
              <w:jc w:val="left"/>
            </w:pPr>
            <w:r>
              <w:rPr>
                <w:rFonts w:ascii="Cambria" w:hAnsi="Cambria" w:cs="Cambria" w:eastAsia="Cambria"/>
                <w:color w:val="1A1A1A"/>
                <w:sz w:val="18"/>
              </w:rPr>
              <w:t xml:space="preserve">~ +12,7</w:t>
            </w:r>
          </w:p>
        </w:tc>
      </w:tr>
      <w:tr>
        <w:tc>
          <w:tcPr>
            <w:shd w:val="clear" w:color="auto" w:fill="F4F1EC"/>
          </w:tcPr>
          <w:p>
            <w:pPr>
              <w:pStyle w:val="Compact"/>
              <w:spacing w:after="40" w:before="40"/>
              <w:jc w:val="left"/>
            </w:pPr>
            <w:r>
              <w:rPr>
                <w:rFonts w:ascii="Cambria" w:hAnsi="Cambria" w:cs="Cambria" w:eastAsia="Cambria"/>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~3,2 : 1 (*)</w:t>
            </w:r>
          </w:p>
        </w:tc>
        <w:tc>
          <w:tcPr>
            <w:shd w:val="clear" w:color="auto" w:fill="F4F1EC"/>
          </w:tcPr>
          <w:p>
            <w:pPr>
              <w:pStyle w:val="Compact"/>
              <w:spacing w:after="40" w:before="40"/>
              <w:jc w:val="left"/>
            </w:pPr>
            <w:r>
              <w:rPr>
                <w:rFonts w:ascii="Cambria" w:hAnsi="Cambria" w:cs="Cambria" w:eastAsia="Cambria"/>
                <w:color w:val="1A1A1A"/>
                <w:sz w:val="18"/>
              </w:rPr>
              <w:t xml:space="preserve">~4,1 : 1</w:t>
            </w:r>
          </w:p>
        </w:tc>
        <w:tc>
          <w:tcPr>
            <w:shd w:val="clear" w:color="auto" w:fill="F4F1EC"/>
          </w:tcPr>
          <w:p>
            <w:pPr>
              <w:pStyle w:val="Compact"/>
              <w:spacing w:after="40" w:before="40"/>
              <w:jc w:val="left"/>
            </w:pPr>
            <w:r>
              <w:rPr>
                <w:rFonts w:ascii="Cambria" w:hAnsi="Cambria" w:cs="Cambria" w:eastAsia="Cambria"/>
                <w:color w:val="1A1A1A"/>
                <w:sz w:val="18"/>
              </w:rPr>
              <w:t xml:space="preserve">~4,8 : 1</w:t>
            </w:r>
          </w:p>
        </w:tc>
      </w:tr>
    </w:tbl>
    <w:p>
      <w:pPr>
        <w:pStyle w:val="BodyText"/>
      </w:pPr>
      <w:r>
        <w:rPr>
          <w:i/>
          <w:iCs/>
        </w:rPr>
        <w:t xml:space="preserve">Tabella. La sintesi del valore per scenario. Il saldo diretto è quasi costante e prossimo al pareggio; il valore per la collettività cresce proporzionalmente al dimensionamento. (</w:t>
      </w:r>
      <w:r>
        <w:t xml:space="preserve">) Nello scenario conservativo il rapporto si collocherebbe appena sotto la fascia Chisholm in alcune simulazioni pessimistiche; il valore centrale indicato è coerente con la fascia 3,3–5,7:1. Le due grandezze — risparmi diretti e ricadute sociali — sono di natura diversa e non vengono mai sommate in un saldo di bilancio.*</w:t>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caso di riferimento, metodo e governance dei dati</w:t>
      </w:r>
    </w:p>
    <w:p>
      <w:pPr>
        <w:pStyle w:val="BodyText"/>
      </w:pPr>
      <w:r>
        <w:t xml:space="preserve">Dominio HTA: Quadro, scopo e metodo — Caso strategico — Criteri OCSE-DAC: Rilevanza e coerenza</w:t>
      </w:r>
    </w:p>
    <w:bookmarkEnd w:id="2885"/>
    <w:bookmarkStart w:id="2896" w:name="parte-a-quadro-quesito-e-metodo-12"/>
    <w:p>
      <w:pPr>
        <w:pStyle w:val="Heading2"/>
      </w:pPr>
      <w:r>
        <w:t xml:space="preserve">Parte A — Quadro, quesito e metodo</w:t>
      </w:r>
    </w:p>
    <w:p>
      <w:pPr>
        <w:pStyle w:val="FirstParagraph"/>
      </w:pPr>
      <w:r>
        <w:t xml:space="preserve">Questo documento apre lo studio di valutazione di tecnologia sanitaria dedicato all’introduzione del servizio di psicologia di base nella Regione Molise. Come la Basilicata, esaminata in precedenza nella serie, il Molise si trova in una fase anteriore all’istituzione del servizio: nessuna legge regionale ha finora istituito la figura dello psicologo di base, e la proposta di legge presentata nel maggio 2026 è ancora al vaglio del Consiglio regionale. La differenza rispetto alla Basilicata — che non è sotto piano di rientro — è però sostanziale: il Molise opera in un contesto di commissariamento sanitario dal 2007, con un disavanzo strutturale che ha richiesto un contributo straordinario statale di 90 milioni di euro condizionato al rispetto di rigorosi obiettivi di risanamento.</w:t>
      </w:r>
      <w:r>
        <w:rPr>
          <w:rStyle w:val="FootnoteReference"/>
        </w:rPr>
        <w:footnoteReference w:id="3153"/>
      </w:r>
      <w:r>
        <w:t xml:space="preserve"> </w:t>
      </w:r>
      <w:r>
        <w:t xml:space="preserve">La valutazione che segue è costruita per informare proprio questa decisione anteriore, tenendo conto della specificità del contesto e delle sue implicazioni sulla sostenibilità e sulla priorità strategica dell’intervento. La Parte A definisce lo scopo e il quesito, il caso di riferimento e la popolazione, il metodo e le fonti, la governance dei dati e la struttura del corpus.</w:t>
      </w:r>
    </w:p>
    <w:bookmarkStart w:id="2888" w:name="Xf238a1ca798e80ea73e6b595dac822d7abdc50e"/>
    <w:p>
      <w:pPr>
        <w:pStyle w:val="Heading3"/>
      </w:pPr>
      <w:r>
        <w:t xml:space="preserve">A.1 Scopo dello studio e quesito di valutazione</w:t>
      </w:r>
    </w:p>
    <w:p>
      <w:pPr>
        <w:pStyle w:val="FirstParagraph"/>
      </w:pPr>
      <w:r>
        <w:t xml:space="preserve">Lo scopo dello studio è fornire alle istituzioni regionali del Molise — Consiglio regionale, struttura commissariale, Giunta, assessorato competente, Azienda Sanitaria Regionale del Molise — una base analitica completa e metodologicamente fondata per decidere se introdurre il servizio di psicologia di base e secondo quale modello, tenendo conto delle specificità di un sistema sanitario commissariato e in forte tensione finanziaria. La domanda non è retorica. In Molise l’assistenza psicologica primaria non esiste come servizio strutturato del Servizio Sanitario Regionale, e chi manifesta un disagio psichico comune dispone oggi di un’offerta frammentaria, sbilanciata sul versante specialistico, raggiungibile in tempi e con modalità che ne scoraggiano l’uso precoce.</w:t>
      </w:r>
    </w:p>
    <w:p>
      <w:pPr>
        <w:pStyle w:val="BodyText"/>
      </w:pPr>
      <w:r>
        <w:t xml:space="preserve">Una proposta di legge depositata nel maggio 2026, a firma dei consiglieri del Partito Democratico Salvatore Facciolla e Fanelli, dei consiglieri del Movimento 5 Stelle Gravina e Primiani, e con il sostegno di Sinistra Italiana, Verdi, Socialisti e Italia Viva, prevede l’istituzione di un servizio di psicologia di assistenza primaria con due psicologi per ognuno dei tre distretti sanitari dell’ASREM, per un costo stimato dai proponenti di circa 400.000 euro l’anno a carico del bilancio regionale.</w:t>
      </w:r>
      <w:r>
        <w:rPr>
          <w:rStyle w:val="FootnoteReference"/>
        </w:rPr>
        <w:footnoteReference w:id="3154"/>
      </w:r>
      <w:r>
        <w:t xml:space="preserve"> </w:t>
      </w:r>
      <w:r>
        <w:t xml:space="preserve">L’Ordine degli Psicologi del Molise ha partecipato alla conferenza stampa di presentazione e ha espresso sostegno all’iniziativa, sottolineandone la valenza preventiva anche alla luce dell’introduzione del benessere psicologico nell’ambito della nuova definizione dei livelli essenziali di assistenza. Il Molise, ove la legge fosse approvata, diventerebbe la tredicesima regione italiana a istituire questa figura. Questo studio non sostituisce il dibattito legislativo, ma lo nutre con l’evidenza che una decisione di tale rilievo — tanto più in un sistema sanitario commissariato — richiede.</w:t>
      </w:r>
    </w:p>
    <w:p>
      <w:pPr>
        <w:pStyle w:val="BodyText"/>
      </w:pPr>
      <w:r>
        <w:t xml:space="preserve">Il quesito di valutazione si articola in una domanda principale e in domande derivate. La domanda principale è se l’istituzione di un servizio di psicologia di base, rivolto alla popolazione molisana e collocato come primo livello di presa in carico del disagio psichico comune, produca benefici clinici, economici, distributivi e di sistema tali da giustificarne l’introduzione anche in un contesto di piano di rientro, e in caso affermativo entro quale modello organizzativo, con quale dimensionamento e a quali condizioni di sostenibilità. Le domande derivate riguardano la struttura e l’entità del bisogno inevaso; l’efficacia clinica documentata degli interventi psicologici precoci; il rapporto fra costo e risparmi per il bilancio commissariato, e fra costo e valore per la collettività; la distribuzione dei benefici fra i gruppi sociali e i territori; la fattibilità nell’assetto dell’ASREM; e i vincoli giuridici derivanti dalla giurisprudenza costituzionale.</w:t>
      </w:r>
    </w:p>
    <w:bookmarkEnd w:id="2888"/>
    <w:bookmarkStart w:id="2891" w:name="X413f2883156710198b1559e7feaf338b70c8409"/>
    <w:p>
      <w:pPr>
        <w:pStyle w:val="Heading3"/>
      </w:pPr>
      <w:r>
        <w:t xml:space="preserve">A.2 Il caso di riferimento e la popolazione</w:t>
      </w:r>
    </w:p>
    <w:p>
      <w:pPr>
        <w:pStyle w:val="FirstParagraph"/>
      </w:pPr>
      <w:r>
        <w:t xml:space="preserve">La valutazione adotta la struttura PICOTS. La popolazione di riferimento è costituita dai residenti in Molise che manifestano un disagio psichico comune o sottosoglia — disturbi d’ansia e dell’umore di intensità lieve o moderata, reazioni di adattamento, sofferenza connessa a eventi critici del ciclo di vita — per i quali un intervento psicologico precoce è appropriato ed efficace. La dimensione di questa popolazione, stimata applicando alla popolazione residente le prevalenze documentate dalla letteratura epidemiologica, è dell’ordine di ~50.000 persone, pari a circa un sesto di una popolazione regionale che al censimento più recente è di 287.814 abitanti ed è in ulteriore calo.</w:t>
      </w:r>
      <w:r>
        <w:rPr>
          <w:rStyle w:val="FootnoteReference"/>
        </w:rPr>
        <w:footnoteReference w:id="3155"/>
      </w:r>
      <w:r>
        <w:t xml:space="preserve"> </w:t>
      </w:r>
      <w:r>
        <w:t xml:space="preserve">L’intervento valutato è il servizio di psicologia di base come primo livello di presa in carico del disagio psichico comune. Il confronto è la situazione attuale, ossia l’assenza di un servizio strutturato. L’orizzonte temporale primario è di cinque anni. Il contesto è quello del Servizio Sanitario Regionale molisano, articolato in una sola azienda sanitaria — l’ASREM, unica nel panorama nazionale per regione di tale dimensione — con tre distretti sanitari (Campobasso, Isernia, Termoli) e gli ospedali di riferimento di Campobasso (Cardarelli) e Isernia.</w:t>
      </w:r>
      <w:r>
        <w:rPr>
          <w:rStyle w:val="FootnoteReference"/>
        </w:rPr>
        <w:footnoteReference w:id="3156"/>
      </w:r>
    </w:p>
    <w:bookmarkEnd w:id="2891"/>
    <w:bookmarkStart w:id="2893" w:name="a.3-metodo-prospettiva-e-fonti"/>
    <w:p>
      <w:pPr>
        <w:pStyle w:val="Heading3"/>
      </w:pPr>
      <w:r>
        <w:t xml:space="preserve">A.3 Metodo, prospettiva e fonti</w:t>
      </w:r>
    </w:p>
    <w:p>
      <w:pPr>
        <w:pStyle w:val="FirstParagraph"/>
      </w:pPr>
      <w:r>
        <w:t xml:space="preserve">Lo studio adotta il metodo della valutazione di tecnologia sanitaria. A questo impianto si affiancano: il modello a cinque casi per la valutazione degli investimenti pubblici; lo standard CHEERS 2022 per la rendicontazione delle valutazioni economiche sanitarie; il sistema GRADE per la graduazione della qualità dell’evidenza; e i criteri OCSE-DAC. La valutazione è condotta da due prospettive distinte e mai sommate. La prima è la prospettiva del Servizio Sanitario Regionale commissariato, che considera i costi sostenuti e i risparmi diretti che il servizio genera. La seconda è la prospettiva della collettività, che aggiunge le ricadute sui cittadini e sul sistema economico e sociale. La distinzione è particolarmente stringente in un contesto di piano di rientro, dove il bilancio sanitario è oggetto di monitoraggio ministeriale continuo e dove ogni voce di costo e di risparmio è scrutinata dalla struttura commissariale e dai tavoli tecnici affiancanti.</w:t>
      </w:r>
    </w:p>
    <w:p>
      <w:pPr>
        <w:pStyle w:val="BodyText"/>
      </w:pPr>
      <w:r>
        <w:t xml:space="preserve">L’ancoraggio economico è unico e vincolante: Chisholm D., Sweeny K., Sheehan P. et al., «Scaling-up treatment of depression and anxiety: a global return-on-investment analysis», The Lancet Psychiatry, vol. 3, n. 5, 2016, pp. 415–424.</w:t>
      </w:r>
      <w:r>
        <w:rPr>
          <w:rStyle w:val="FootnoteReference"/>
        </w:rPr>
        <w:footnoteReference w:id="3157"/>
      </w:r>
      <w:r>
        <w:t xml:space="preserve"> </w:t>
      </w:r>
      <w:r>
        <w:t xml:space="preserve">Il duplice intervallo Chisholm — 2,3–3,0:1 per i soli benefici economici, 3,3–5,7:1 includendo i ritorni di salute — costituisce il riferimento entro cui ogni rapporto beneficio-costo dello studio è contenuto. Il trial IMPACT (Unützer et al. 2002, 2008) impone cautela sui risparmi diretti di bilancio, dichiarati modesti o vicini al pareggio, mentre il vero valore è nelle ricadute economico-sociali. Il verdetto tripartito — dimensione fiscale, dimensione sanitaria, dimensione sociale — non è mai aggregato in un unico numero. Le fonti dei dati sono il Ministero della Salute, la struttura commissariale per l’attuazione del piano di rientro, il Programma Operativo 2023–2025, le statistiche ISTAT, i rapporti GIMBE, la documentazione delle istituzioni regionali e la letteratura scientifica internazionale.</w:t>
      </w:r>
    </w:p>
    <w:bookmarkEnd w:id="2893"/>
    <w:bookmarkStart w:id="2895" w:name="X144c1c4c4daf9513e61ad02c5788c1971731f36"/>
    <w:p>
      <w:pPr>
        <w:pStyle w:val="Heading3"/>
      </w:pPr>
      <w:r>
        <w:t xml:space="preserve">A.4 Governance dei dati e struttura del documento</w:t>
      </w:r>
    </w:p>
    <w:p>
      <w:pPr>
        <w:pStyle w:val="FirstParagraph"/>
      </w:pPr>
      <w:r>
        <w:t xml:space="preserve">La governance dei dati risponde a tre principi. Il primo è il principio di non duplicazione: un risparmio contabilizzato in una categoria non può essere ricontabilizzato in un’altra. Il secondo è il principio di separazione fra risparmi diretti e ricadute sociali. Il terzo è il principio di prudenza e falsificabilità: le proiezioni economiche sono espresse mediante bande prudenziali e le previsioni sono formulate in modo da poter essere verificate ex post. Il corpus si compone di undici parti narrative e cinque appendici. Per il dettaglio della struttura si rimanda all’indice generale.</w:t>
      </w:r>
      <w:r>
        <w:rPr>
          <w:rStyle w:val="FootnoteReference"/>
        </w:rPr>
        <w:footnoteReference w:id="3158"/>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divari, flussi, normativa</w:t>
      </w:r>
    </w:p>
    <w:p>
      <w:pPr>
        <w:pStyle w:val="BodyText"/>
      </w:pPr>
      <w:r>
        <w:t xml:space="preserve">Dominio HTA: Problema di salute e bisogno — Caso strategico — Criterio OCSE-DAC: Rilevanza</w:t>
      </w:r>
    </w:p>
    <w:bookmarkEnd w:id="2895"/>
    <w:bookmarkEnd w:id="2896"/>
    <w:bookmarkStart w:id="2913" w:name="Xb5bd0a86647f90b17f03c006b23f0289d26cfa6"/>
    <w:p>
      <w:pPr>
        <w:pStyle w:val="Heading2"/>
      </w:pPr>
      <w:r>
        <w:t xml:space="preserve">Parte B — Problema di salute, bisogno e contesto</w:t>
      </w:r>
    </w:p>
    <w:p>
      <w:pPr>
        <w:pStyle w:val="FirstParagraph"/>
      </w:pPr>
      <w:r>
        <w:t xml:space="preserve">La valutazione di un intervento sanitario muove dalla ricostruzione del bisogno cui esso intende rispondere e del contesto in cui si colloca. Questa parte descrive il problema di salute che il servizio di psicologia di base affronta in Molise, articolandolo nelle sue componenti demografiche, epidemiologiche, di domanda e offerta, di disuguaglianza, di flussi e di quadro normativo. Il quadro che emerge è quello di una regione molto piccola, la più anziana d’Italia, con un sistema sanitario commissariato da quasi vent’anni e con un bisogno psicologico ampio e in larga parte inevaso.</w:t>
      </w:r>
    </w:p>
    <w:bookmarkStart w:id="2900" w:name="b.1-il-profilo-demografico"/>
    <w:p>
      <w:pPr>
        <w:pStyle w:val="Heading3"/>
      </w:pPr>
      <w:r>
        <w:t xml:space="preserve">B.1 Il profilo demografico</w:t>
      </w:r>
    </w:p>
    <w:p>
      <w:pPr>
        <w:pStyle w:val="FirstParagraph"/>
      </w:pPr>
      <w:r>
        <w:t xml:space="preserve">Il Molise è la seconda regione più piccola d’Italia per popolazione dopo la Valle d’Aosta, e la sua dinamica demografica è fra le più sfavorevoli del Paese. La popolazione residente, adottata per coerenza con la tabella demografica della Sezione Nazionale del Tomo II, è di 287.814 abitanti;</w:t>
      </w:r>
      <w:r>
        <w:rPr>
          <w:rStyle w:val="FootnoteReference"/>
        </w:rPr>
        <w:footnoteReference w:id="3159"/>
      </w:r>
      <w:r>
        <w:t xml:space="preserve"> </w:t>
      </w:r>
      <w:r>
        <w:t xml:space="preserve">una fonte più recente del marzo 2026 indica un ulteriore calo a poco più di 269.000 assistiti, confermando che il processo di spopolamento è accelerato e che la regione rappresenta ormai meno dello 0,5 per cento della popolazione italiana.</w:t>
      </w:r>
      <w:r>
        <w:rPr>
          <w:rStyle w:val="FootnoteReference"/>
        </w:rPr>
        <w:footnoteReference w:id="3160"/>
      </w:r>
      <w:r>
        <w:t xml:space="preserve"> </w:t>
      </w:r>
      <w:r>
        <w:t xml:space="preserve">Il calo è il risultato della somma di un saldo naturale fortemente negativo e di un saldo migratorio interno anch’esso negativo, senza compensazione sufficiente dal saldo con l’estero: a lasciare la regione sono soprattutto i giovani, aggravando ulteriormente la struttura per età. La regione conta due province — Campobasso, più grande, e Isernia — e il territorio è in larga parte collinare e appenninico, con una rete infrastrutturale limitata che rende gli spostamenti significativamente più lunghi di quanto le distanze metriche farebbero supporre.</w:t>
      </w:r>
    </w:p>
    <w:p>
      <w:pPr>
        <w:pStyle w:val="BodyText"/>
      </w:pPr>
      <w:r>
        <w:t xml:space="preserve">L’invecchiamento è il tratto demografico più rilevante ai fini dello studio. Il Molise presenta un indice di vecchiaia di 281 anziani ogni cento giovani, fra i più alti d’Italia, e una quota di ultrasessantacinquenni prossima al 29 per cento della popolazione totale.</w:t>
      </w:r>
      <w:r>
        <w:rPr>
          <w:rStyle w:val="FootnoteReference"/>
        </w:rPr>
        <w:footnoteReference w:id="3161"/>
      </w:r>
      <w:r>
        <w:t xml:space="preserve"> </w:t>
      </w:r>
      <w:r>
        <w:t xml:space="preserve">Per ogni cento persone in età lavorativa ci sono circa 64 cittadini tra anziani e minori che dipendono dal sistema di welfare, con un rapporto di dipendenza che pesa tanto sul sistema previdenziale quanto su quello sanitario, spingendo la spesa verso modelli assistenziali intensivi per patologie croniche, ricoveri e assistenza continuativa. Questo profilo demografico non è soltanto uno sfondo: esso amplifica il bisogno psicologico, orienta la composizione della domanda verso le fasce anziane — in cui la depressione è frequente, spesso non riconosciuta e associata a patologie croniche — e impone che il servizio sia progettato fin dall’origine tenendo conto di questa specificità.</w:t>
      </w:r>
    </w:p>
    <w:p>
      <w:pPr>
        <w:pStyle w:val="BodyText"/>
      </w:pPr>
      <w:r>
        <w:t xml:space="preserve">La struttura insediativa è caratterizzata da una dispersione accentuata. Il Molise conta 136 comuni, la grande maggioranza dei quali è di piccole dimensioni; i centri principali sono Campobasso e Isernia, capoluoghi di provincia, e Termoli, città costiera che dà il nome al terzo distretto sanitario dell’ASREM. La densità abitativa è fra le più basse d’Italia, e le distanze dai poli sanitari, in un territorio montuoso e con infrastrutture limitate, costituiscono una barriera concreta all’accesso ai servizi.</w:t>
      </w:r>
    </w:p>
    <w:bookmarkEnd w:id="2900"/>
    <w:bookmarkStart w:id="2902" w:name="b.2-il-bisogno-epidemiologico"/>
    <w:p>
      <w:pPr>
        <w:pStyle w:val="Heading3"/>
      </w:pPr>
      <w:r>
        <w:t xml:space="preserve">B.2 Il bisogno epidemiologico</w:t>
      </w:r>
    </w:p>
    <w:p>
      <w:pPr>
        <w:pStyle w:val="FirstParagraph"/>
      </w:pPr>
      <w:r>
        <w:t xml:space="preserve">Il disagio psichico comune è diffuso. Le revisioni epidemiologiche internazionali stimano che, in un dato anno, una quota compresa fra il quindici e il venti per cento della popolazione adulta sperimenti un disturbo mentale comune — prevalentemente disturbi d’ansia e dell’umore di intensità lieve o moderata — e che una quota ancora maggiore attraversi, nel corso della vita, fasi di sofferenza psicologica connesse a eventi critici. Applicando queste prevalenze alla popolazione molisana si ottiene una stima dell’ordine di ~50.000 persone interessate da disagio psichico comune in un anno, equivalente a circa un sesto della popolazione residente. Questa cifra è una stima epidemiologica fondata su prevalenze documentate, non un dato amministrativo; la sua attendibilità è limitata dalla scarsità di rilevazioni regionali dirette, una lacuna che il sistema informativo descritto nella Parte C è destinato a colmare.</w:t>
      </w:r>
    </w:p>
    <w:p>
      <w:pPr>
        <w:pStyle w:val="BodyText"/>
      </w:pPr>
      <w:r>
        <w:t xml:space="preserve">La struttura demografica molisana modula questa prevalenza in direzioni specifiche. L’invecchiamento accentuato sposta una parte rilevante del bisogno verso le età anziane, in cui la depressione è frequente, spesso sottoriconosciuta e strettamente intrecciata con le patologie somatiche croniche che gravano sul sistema sanitario regionale. L’onere delle malattie croniche, dei ricoveri e dell’assistenza continuativa descritti nel piano sanitario regionale come principale fattore di spesa coincide, in larga parte, con la stessa popolazione in cui il disagio psichico è più prevalente e meno intercettato.</w:t>
      </w:r>
      <w:r>
        <w:rPr>
          <w:rStyle w:val="FootnoteReference"/>
        </w:rPr>
        <w:footnoteReference w:id="3162"/>
      </w:r>
      <w:r>
        <w:t xml:space="preserve"> </w:t>
      </w:r>
      <w:r>
        <w:t xml:space="preserve">Sul versante opposto del ciclo di vita, il disagio giovanile presenta in Molise caratteri aggravati dallo spopolamento e dalla prospettiva dell’emigrazione, che priva i giovani di reti di sostegno: i fenomeni nazionali documentati — l’incremento del ricorso agli psicofarmaci nella popolazione adolescenziale, l’aumento dei comportamenti di ritiro e di autolesività — trovano in un contesto dispersivo e in contrazione demografica un terreno di particolare fragilità. A queste componenti si aggiunge il disagio connesso alle condizioni socioeconomiche, in una regione in cui i livelli di reddito e di occupazione sono inferiori alla media nazionale.</w:t>
      </w:r>
    </w:p>
    <w:p>
      <w:pPr>
        <w:pStyle w:val="BodyText"/>
      </w:pPr>
      <w:r>
        <w:t xml:space="preserve">A fronte di un bisogno così strutturato, la risposta del sistema regionale è compressa dal piano di rientro. La quota del fondo sanitario destinata alla salute mentale è rimasta in Molise al di sotto della soglia minima raccomandata a livello nazionale, con una carenza di operatori che ne è il riflesso diretto. Questo dato indica che il sistema molisano dispone oggi di risorse insufficienti perfino per i servizi specialistici di salute mentale, e che l’introduzione di un servizio di psicologia di base andrebbe a colmare un vuoto strutturale, intercettando a monte una domanda che oggi o resta inevasa o si scarica impropriamente sui servizi specialistici già sottodimensionati.</w:t>
      </w:r>
    </w:p>
    <w:bookmarkEnd w:id="2902"/>
    <w:bookmarkStart w:id="2904" w:name="Xca4ead323919b4ae2e6d6d4cef259712de9a622"/>
    <w:p>
      <w:pPr>
        <w:pStyle w:val="Heading3"/>
      </w:pPr>
      <w:r>
        <w:t xml:space="preserve">B.3 Domanda, offerta e divario di trattamento</w:t>
      </w:r>
    </w:p>
    <w:p>
      <w:pPr>
        <w:pStyle w:val="FirstParagraph"/>
      </w:pPr>
      <w:r>
        <w:t xml:space="preserve">Il bisogno epidemiologico si traduce solo in parte in domanda espressa, e la domanda espressa trova solo in parte una risposta appropriata. In Molise il divario di trattamento è ampio. Sul versante della domanda, una parte consistente del disagio comune non si traduce in richiesta di aiuto per ragioni culturali — lo stigma associato alla sofferenza psichica, particolarmente persistente nelle comunità piccole e nelle generazioni anziane che caratterizzano demograficamente il Molise — e per ragioni pratiche, legate alla difficoltà di individuare a chi rivolgersi in assenza di un servizio dedicato e visibile. Sul versante dell’offerta, l’assenza di un servizio di psicologia di base strutturato fa sì che il primo livello di presa in carico del disagio comune non esista come tale: chi cerca aiuto si rivolge al medico di medicina generale, che dispone di tempo e strumenti limitati, oppure accede ai servizi specialistici di salute mentale, già sottodimensionati in un sistema in piano di rientro, dove giunge spesso tardivamente e quando la condizione si è già aggravata.</w:t>
      </w:r>
      <w:r>
        <w:rPr>
          <w:rStyle w:val="FootnoteReference"/>
        </w:rPr>
        <w:footnoteReference w:id="3163"/>
      </w:r>
    </w:p>
    <w:p>
      <w:pPr>
        <w:pStyle w:val="BodyText"/>
      </w:pPr>
      <w:r>
        <w:t xml:space="preserve">La conseguenza è duplice. Da un lato, una quota rilevante del bisogno resta inevasa, traducendosi in sofferenza prolungata e in rischio accresciuto di cronicizzazione. Dall’altro, la domanda che pure si esprime si distribuisce in modo inappropriato sui livelli del sistema: si traduce in consulti ripetuti al medico di medicina generale, in accessi al pronto soccorso per manifestazioni somatiche del disagio, in prescrizioni di farmaci come risposta di prima linea, e in invii ai servizi specialistici di casi che un livello intermedio avrebbe potuto trattare. Questa distribuzione impropria non solo è clinicamente subottimale, ma è anche economicamente onerosa per un sistema in piano di rientro, che impegna i livelli più costosi per bisogni che un servizio collocato a monte tratterebbe a costo inferiore.</w:t>
      </w:r>
    </w:p>
    <w:bookmarkEnd w:id="2904"/>
    <w:bookmarkStart w:id="2905" w:name="b.4-le-disuguaglianze"/>
    <w:p>
      <w:pPr>
        <w:pStyle w:val="Heading3"/>
      </w:pPr>
      <w:r>
        <w:t xml:space="preserve">B.4 Le disuguaglianze</w:t>
      </w:r>
    </w:p>
    <w:p>
      <w:pPr>
        <w:pStyle w:val="FirstParagraph"/>
      </w:pPr>
      <w:r>
        <w:t xml:space="preserve">Il disagio psichico e l’accesso alle cure non si distribuiscono in modo uniforme nella popolazione molisana. Il gradiente sociale è documentato dalla letteratura internazionale: la prevalenza dei disturbi mentali comuni è più elevata nei gruppi a minore reddito, minore istruzione e maggiore precarietà occupazionale, e in Molise la quota di popolazione che si colloca nella fascia a più alto rischio è consistente. Il gradiente territoriale è, in Molise, almeno altrettanto rilevante. La dispersione insediativa e la concentrazione dei servizi nei due capoluoghi e in Termoli fanno sì che l’accesso a una prestazione psicologica dipenda in misura determinante dal luogo di residenza: chi vive in un piccolo comune interno affronta, per accedere a una prestazione psicologica, una barriera che somma la difficoltà di individuare il servizio, la distanza fisica e i tempi di attesa. La sovrapposizione tra il gradiente sociale e quello territoriale produce, nei comuni interni molisani, una concentrazione di svantaggio che è il bersaglio principale del servizio di psicologia di base.</w:t>
      </w:r>
    </w:p>
    <w:bookmarkEnd w:id="2905"/>
    <w:bookmarkStart w:id="2908" w:name="b.5-i-flussi-e-la-mobilità-sanitaria"/>
    <w:p>
      <w:pPr>
        <w:pStyle w:val="Heading3"/>
      </w:pPr>
      <w:r>
        <w:t xml:space="preserve">B.5 I flussi e la mobilità sanitaria</w:t>
      </w:r>
    </w:p>
    <w:p>
      <w:pPr>
        <w:pStyle w:val="FirstParagraph"/>
      </w:pPr>
      <w:r>
        <w:t xml:space="preserve">La mobilità sanitaria in Molise è un fenomeno di eccezionale portata e di natura paradossale. Il Molise presenta contemporaneamente uno dei più alti tassi di fuga dei residenti verso altre regioni — con una mobilità passiva valutata tra i 70 e gli 80 milioni di euro l’anno, verso Abruzzo, Lazio, Puglia e Campania — e uno dei più alti tassi di attrazione di pazienti provenienti da fuori regione, grazie alla presenza di due grandi erogatori privati accreditati, Neuromed e Responsible, che generano una mobilità attiva tale da rendere positivo il saldo netto complessivo, fatto unico fra le regioni in piano di rientro.</w:t>
      </w:r>
      <w:r>
        <w:rPr>
          <w:rStyle w:val="FootnoteReference"/>
        </w:rPr>
        <w:footnoteReference w:id="3164"/>
      </w:r>
      <w:r>
        <w:t xml:space="preserve"> </w:t>
      </w:r>
      <w:r>
        <w:t xml:space="preserve">Nel 2023 il saldo netto di mobilità per acuti era positivo per circa 18,6 milioni di euro; tuttavia, questo dato aggregato nasconde una struttura asimmetrica: la mobilità attiva è quasi interamente generata da due strutture private accreditate (90 per cento della mobilità attiva è privata), mentre la mobilità passiva grava sul sistema pubblico commissariato e colpisce soprattutto le fasce meno abbienti che non riescono ad accedere adeguatamente all’offerta locale.</w:t>
      </w:r>
      <w:r>
        <w:rPr>
          <w:rStyle w:val="FootnoteReference"/>
        </w:rPr>
        <w:footnoteReference w:id="3165"/>
      </w:r>
    </w:p>
    <w:p>
      <w:pPr>
        <w:pStyle w:val="BodyText"/>
      </w:pPr>
      <w:r>
        <w:t xml:space="preserve">La rilevanza di questo quadro per la valutazione del servizio di psicologia di base è duplice. Da un lato, la quota di mobilità passiva per prestazioni di media e bassa complessità — che le analisi della struttura commissariale indicano come obiettivo prioritario di riduzione — ha un’origine parzialmente riconducibile a disagio psichico non intercettato, che si somatizza in accertamenti e consulti ripetuti: un servizio territoriale più solido può contribuire a trattenere nel sistema regionale una quota di tali prestazioni. Dall’altro, il saldo netto positivo della mobilità, pur riducendo l’entità del risparmio diretto per questo canale rispetto ad altre regioni del Sud, non ne elimina la rilevanza, perché il risparmio sulle prestazioni di media e bassa complessità che fuggono verso le regioni limitrofe — non compensate dalla mobilità attiva privata — resta economicamente significativo.</w:t>
      </w:r>
    </w:p>
    <w:bookmarkEnd w:id="2908"/>
    <w:bookmarkStart w:id="2912" w:name="b.6-il-quadro-normativo"/>
    <w:p>
      <w:pPr>
        <w:pStyle w:val="Heading3"/>
      </w:pPr>
      <w:r>
        <w:t xml:space="preserve">B.6 Il quadro normativo</w:t>
      </w:r>
    </w:p>
    <w:p>
      <w:pPr>
        <w:pStyle w:val="FirstParagraph"/>
      </w:pPr>
      <w:r>
        <w:t xml:space="preserve">L’introduzione del servizio di psicologia di base in Molise si colloca entro un quadro normativo articolato. Sul piano nazionale, il decreto ministeriale numero 77 del 2022 inserisce lo psicologo delle cure primarie fra i professionisti della rete territoriale e ne prevede la presenza nelle Case della Comunità. Il Piano di Azioni Nazionale per la Salute Mentale 2025–2030, approvato in Conferenza unificata nel dicembre 2025 e reso operativo dal Ministero della Salute nell’aprile 2026, prevede il potenziamento della diagnosi precoce, il rafforzamento della neuropsichiatria infantile e la creazione di équipe multidisciplinari territoriali, con risorse specifiche stanziate per il 2026–2028.</w:t>
      </w:r>
      <w:r>
        <w:rPr>
          <w:rStyle w:val="FootnoteReference"/>
        </w:rPr>
        <w:footnoteReference w:id="3166"/>
      </w:r>
    </w:p>
    <w:p>
      <w:pPr>
        <w:pStyle w:val="BodyText"/>
      </w:pPr>
      <w:r>
        <w:t xml:space="preserve">Sul piano regionale, il Molise non dispone di alcuna legge regionale che istituisca il servizio, collocandosi fra le regioni senza previsione normativa. La proposta di legge presentata nel maggio 2026, firmata da consiglieri dell’opposizione progressista, prevede l’istituzione del servizio con un finanziamento di circa 400.000 euro l’anno e la presenza di due psicologi per ciascuno dei tre distretti sanitari dell’ASREM (Campobasso, Isernia, Termoli), con accesso diretto e senza impegnativa, a carico del Servizio Sanitario Regionale. L’Ordine degli Psicologi del Molise ha partecipato attivamente alla sua elaborazione.</w:t>
      </w:r>
      <w:r>
        <w:rPr>
          <w:rStyle w:val="FootnoteReference"/>
        </w:rPr>
        <w:footnoteReference w:id="3167"/>
      </w:r>
    </w:p>
    <w:p>
      <w:pPr>
        <w:pStyle w:val="BodyText"/>
      </w:pPr>
      <w:r>
        <w:t xml:space="preserve">Il vincolo giuridico più stringente è posto dalla sentenza della Corte Costituzionale numero 241 del 2021, che ha censurato le leggi regionali istitutive del servizio nella parte in cui configuravano nuovi rapporti di lavoro mediante incarichi libero-professionali in convenzione con il Servizio Sanitario Nazionale, eccedendo la competenza regionale in materia di ordinamento del personale. Questa pronuncia non preclude alle regioni l’istituzione del servizio, ma ne circoscrive le modalità: una legge regionale molisana dovrà costruire il servizio entro i limiti della competenza regionale, valorizzando gli strumenti compatibili con l’ordinamento. In Molise questa questione ha una dimensione aggiuntiva: la struttura commissariale per l’attuazione del piano di rientro ha poteri di supervisione sulla spesa sanitaria regionale, e qualsiasi nuovo impegno finanziario deve essere valutato entro il quadro del Programma Operativo vigente e delle sue condizionalità.</w:t>
      </w:r>
      <w:r>
        <w:rPr>
          <w:rStyle w:val="FootnoteReference"/>
        </w:rPr>
        <w:footnoteReference w:id="3168"/>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C</w:t>
      </w:r>
    </w:p>
    <w:p>
      <w:pPr>
        <w:pStyle w:val="BodyText"/>
      </w:pPr>
      <w:r>
        <w:rPr>
          <w:b/>
          <w:bCs/>
        </w:rPr>
        <w:t xml:space="preserve">L’intervento e il modello</w:t>
      </w:r>
    </w:p>
    <w:p>
      <w:pPr>
        <w:pStyle w:val="BodyText"/>
      </w:pPr>
      <w:r>
        <w:rPr>
          <w:i/>
          <w:iCs/>
        </w:rPr>
        <w:t xml:space="preserve">Definizione, modello organizzativo, percorso, sistema informativo, IA, formazione</w:t>
      </w:r>
    </w:p>
    <w:p>
      <w:pPr>
        <w:pStyle w:val="BodyText"/>
      </w:pPr>
      <w:r>
        <w:t xml:space="preserve">Dominio HTA: Intervento — Caso commerciale — Criteri OCSE-DAC: Coerenza e fattibilità</w:t>
      </w:r>
    </w:p>
    <w:bookmarkEnd w:id="2912"/>
    <w:bookmarkEnd w:id="2913"/>
    <w:bookmarkStart w:id="2924" w:name="parte-c-lintervento-e-il-modello-3"/>
    <w:p>
      <w:pPr>
        <w:pStyle w:val="Heading2"/>
      </w:pPr>
      <w:r>
        <w:t xml:space="preserve">Parte C — L’intervento e il modello</w:t>
      </w:r>
    </w:p>
    <w:p>
      <w:pPr>
        <w:pStyle w:val="FirstParagraph"/>
      </w:pPr>
      <w:r>
        <w:t xml:space="preserve">Definito il bisogno, la valutazione passa a descrivere l’intervento che intende rispondervi. La Parte C specifica che cosa sia il servizio di psicologia di base nel contesto molisano, come si organizzi nell’ambito dell’ASREM, attraverso quale percorso assistenziale operi, su quale sistema informativo si fondi, quale ruolo vi assumano le tecnologie digitali e quale formazione richieda il personale. Poiché il servizio non esiste ancora, la Parte C non descrive un assetto da riformare, ma un assetto da costruire, e ne indica le scelte progettuali fondamentali adattate a una regione piccola con una sola azienda sanitaria e tre distretti.</w:t>
      </w:r>
    </w:p>
    <w:bookmarkStart w:id="2915" w:name="c.1-definizione-del-servizio"/>
    <w:p>
      <w:pPr>
        <w:pStyle w:val="Heading3"/>
      </w:pPr>
      <w:r>
        <w:t xml:space="preserve">C.1 Definizione del servizio</w:t>
      </w:r>
    </w:p>
    <w:p>
      <w:pPr>
        <w:pStyle w:val="FirstParagraph"/>
      </w:pPr>
      <w:r>
        <w:t xml:space="preserve">Il servizio di psicologia di base è un servizio territoriale del Servizio Sanitario Regionale che costituisce il primo livello di presa in carico del disagio psichico comune. Esso eroga: l’accoglienza e l’ascolto della domanda, la valutazione psicodiagnostica iniziale, il supporto psicologico breve attraverso interventi di efficacia documentata, l’orientamento del cittadino all’interno della rete dei servizi e l’invio, quando necessario, ai livelli specialistici. La sua funzione è duplice: trattare direttamente le condizioni di disagio comune per le quali un intervento psicologico breve è appropriato ed efficace, e filtrare e orientare la domanda, distinguendo i casi trattabili al primo livello da quelli che richiedono l’intervento specialistico. Il servizio si rivolge a tutta la popolazione, con un’attenzione particolare agli anziani, agli adolescenti, alle persone in condizione di deprivazione e isolamento, e opera in stretto raccordo con la medicina generale, con i pediatri di libera scelta, con i consultori, con i servizi sociali e con i Centri di Salute Mentale dell’ASREM.</w:t>
      </w:r>
    </w:p>
    <w:p>
      <w:pPr>
        <w:pStyle w:val="BodyText"/>
      </w:pPr>
      <w:r>
        <w:t xml:space="preserve">È essenziale distinguere il servizio di psicologia di base dai servizi specialistici di salute mentale, con i quali esso non si sovrappone ma si integra. I Centri di Salute Mentale dell’ASREM — attivi nei tre distretti, con accesso diretto già introdotto, a partire dal 2024, per il CSM di Termoli — sono concepiti per le condizioni psichiatriche severe, e richiedono competenze e intensità di intervento elevate.</w:t>
      </w:r>
      <w:r>
        <w:rPr>
          <w:rStyle w:val="FootnoteReference"/>
        </w:rPr>
        <w:footnoteReference w:id="3169"/>
      </w:r>
      <w:r>
        <w:t xml:space="preserve"> </w:t>
      </w:r>
      <w:r>
        <w:t xml:space="preserve">Il servizio di psicologia di base opera sul disagio comune e sottosoglia, a un livello di intensità inferiore e con una funzione di prossimità e di filtro: esso completa la rete dove essa è oggi mancante, e lo fa al livello più appropriato e meno costoso.</w:t>
      </w:r>
    </w:p>
    <w:bookmarkEnd w:id="2915"/>
    <w:bookmarkStart w:id="2917" w:name="c.2-il-modello-organizzativo-12"/>
    <w:p>
      <w:pPr>
        <w:pStyle w:val="Heading3"/>
      </w:pPr>
      <w:r>
        <w:t xml:space="preserve">C.2 Il modello organizzativo</w:t>
      </w:r>
    </w:p>
    <w:p>
      <w:pPr>
        <w:pStyle w:val="FirstParagraph"/>
      </w:pPr>
      <w:r>
        <w:t xml:space="preserve">Il modello organizzativo del servizio di psicologia di base in Molise è determinato da una caratteristica unica rispetto alle altre regioni della serie: l’ASREM è l’unica azienda sanitaria regionale, e il servizio si articola quindi nei tre distretti che la compongono — Campobasso, Isernia e Termoli — come unità organizzative di riferimento. Coerentemente con la proposta di legge e con i vincoli costituzionali, il servizio è incardinato presso l’ASREM attraverso unità funzionali dedicate in ciascun distretto, che ne coordinano l’attività e ne garantiscono il raccordo con gli altri servizi. Un coordinamento regionale a livello della struttura commissariale e dell’assessorato alla salute assicura l’uniformità degli standard, la programmazione e il monitoraggio, garantendo la coerenza con gli obiettivi del Programma Operativo e con le condizionalità del piano di rientro.</w:t>
      </w:r>
    </w:p>
    <w:p>
      <w:pPr>
        <w:pStyle w:val="BodyText"/>
      </w:pPr>
      <w:r>
        <w:t xml:space="preserve">La collocazione fisica privilegia le Case della Comunità in via di attivazione nell’ambito del Piano Nazionale di Ripresa e Resilienza, e i distretti sanitari. In una regione dispersa come il Molise, la concentrazione del servizio nelle sole sedi capoluogo non sarebbe sufficiente a garantirne l’accesso ai residenti dei comuni interni: il modello prevede pertanto una distribuzione capillare con presenze programmate nelle sedi periferiche e un ricorso strutturato alla telepsicologia. La telepsicologia, nel contesto molisano, non è un’opzione aggiuntiva ma una componente strutturale del modello, indispensabile per superare le barriere geografiche in un territorio montuoso e scarsamente infrastrutturato. L’integrazione fra il servizio e la medicina generale è garantita attraverso gli Accordi Integrativi Regionali per i rapporti con i medici di medicina generale, recentemente rinnovati in recepimento degli accordi nazionali del 2022 e del 2024.</w:t>
      </w:r>
      <w:r>
        <w:rPr>
          <w:rStyle w:val="FootnoteReference"/>
        </w:rPr>
        <w:footnoteReference w:id="3170"/>
      </w:r>
    </w:p>
    <w:bookmarkEnd w:id="2917"/>
    <w:bookmarkStart w:id="2918" w:name="c.3-il-percorso-assistenziale"/>
    <w:p>
      <w:pPr>
        <w:pStyle w:val="Heading3"/>
      </w:pPr>
      <w:r>
        <w:t xml:space="preserve">C.3 Il percorso assistenziale</w:t>
      </w:r>
    </w:p>
    <w:p>
      <w:pPr>
        <w:pStyle w:val="FirstParagraph"/>
      </w:pPr>
      <w:r>
        <w:t xml:space="preserve">Il percorso assistenziale descrive la sequenza delle fasi attraverso cui il cittadino transita dall’accesso al servizio fino alla conclusione della presa in carico o all’invio. L’accesso avviene su invio di un operatore o per iniziativa diretta del cittadino — modalità di accesso diretto che la proposta di legge molisana esplicitamente prevede — e conduce a un primo contatto di accoglienza e ascolto. La seconda fase è la valutazione psicodiagnostica iniziale, mediante colloquio e, ove appropriato, strumenti standardizzati. Sulla base della valutazione, il percorso si articola secondo un modello di cure graduali: per le condizioni di disagio comune lievi e moderate, il servizio eroga direttamente un ciclo di interventi psicologici brevi di efficacia documentata; per le condizioni che eccedono il primo livello, il servizio provvede all’invio ai Centri di Salute Mentale o ai servizi specialistici, garantendo il raccordo e la continuità; per le situazioni che si intrecciano con bisogni sociali, il servizio attiva l’integrazione con i servizi sociali comunali e con la rete territoriale.</w:t>
      </w:r>
    </w:p>
    <w:p>
      <w:pPr>
        <w:pStyle w:val="BodyText"/>
      </w:pPr>
      <w:r>
        <w:t xml:space="preserve">La telepsicologia interviene in più punti del percorso: può supportare la fase di accesso e di primo contatto, consentire l’erogazione di parte del ciclo di interventi brevi a distanza per i residenti dei comuni interni, e sostenere il monitoraggio degli esiti. L’integrazione fra presenza fisica programmata e prestazione a distanza, regolata da protocolli clinici, è ciò che rende il percorso effettivamente accessibile anche ai residenti delle aree interne molisane, superando la barriera della distanza che la Parte B ha individuato come una delle principali determinanti del divario territoriale.</w:t>
      </w:r>
    </w:p>
    <w:bookmarkEnd w:id="2918"/>
    <w:bookmarkStart w:id="2919" w:name="c.4-il-sistema-informativo-1"/>
    <w:p>
      <w:pPr>
        <w:pStyle w:val="Heading3"/>
      </w:pPr>
      <w:r>
        <w:t xml:space="preserve">C.4 Il sistema informativo</w:t>
      </w:r>
    </w:p>
    <w:p>
      <w:pPr>
        <w:pStyle w:val="FirstParagraph"/>
      </w:pPr>
      <w:r>
        <w:t xml:space="preserve">Il sistema informativo è la condizione perché il servizio possa essere governato, valutato e migliorato. La sua funzione è triplice: registrare l’attività del servizio; misurare gli esiti attraverso strumenti standardizzati; e produrre i dati epidemiologici e di domanda che oggi mancano, sostituendo progressivamente le stime con l’osservazione diretta. L’ASREM dispone di un sistema informatico sanitario regionale in fase di evoluzione, sull’infrastruttura del quale il sistema informativo del servizio può innestarsi, garantendo l’integrazione con la documentazione sanitaria del cittadino. Il dataset minimo è definito nell’Appendice B; la protezione dei dati personali, particolarmente sensibili in ambito psicologico, è garantita dal rispetto del Regolamento europeo sulla protezione dei dati.</w:t>
      </w:r>
    </w:p>
    <w:bookmarkEnd w:id="2919"/>
    <w:bookmarkStart w:id="2921" w:name="X4e1d373e08a935140eccdfd1c16c13c5595d465"/>
    <w:p>
      <w:pPr>
        <w:pStyle w:val="Heading3"/>
      </w:pPr>
      <w:r>
        <w:t xml:space="preserve">C.5 Il ruolo dell’intelligenza artificiale</w:t>
      </w:r>
    </w:p>
    <w:p>
      <w:pPr>
        <w:pStyle w:val="FirstParagraph"/>
      </w:pPr>
      <w:r>
        <w:t xml:space="preserve">Le tecnologie digitali e l’intelligenza artificiale possono svolgere un ruolo di supporto al servizio di psicologia di base, a condizione che il loro impiego sia governato con il medesimo rigore metodologico applicato agli interventi clinici. In un contesto come il Molise, in cui la dispersione territoriale rende la prossimità un problema strutturale, le tecnologie che sostengono la prestazione a distanza e il monitoraggio remoto assumono un valore particolare. Lo studio applica alle tecnologie digitali e all’intelligenza artificiale il medesimo criterio adottato per gli interventi clinici: le affermazioni sulla loro efficacia sono graduate secondo la qualità delle prove disponibili. Molte applicazioni dell’intelligenza artificiale in ambito psicologico sono ancora in fase di sperimentazione; lo studio le considera pertanto come strumenti di supporto il cui impiego va introdotto gradualmente e verificato sul campo. Il quadro regolatorio europeo in materia di intelligenza artificiale, con gli obblighi pienamente vigenti dal 2026, costituisce il riferimento normativo da rispettare.</w:t>
      </w:r>
      <w:r>
        <w:rPr>
          <w:rStyle w:val="FootnoteReference"/>
        </w:rPr>
        <w:footnoteReference w:id="3171"/>
      </w:r>
    </w:p>
    <w:bookmarkEnd w:id="2921"/>
    <w:bookmarkStart w:id="2923" w:name="c.6-la-formazione-del-personale"/>
    <w:p>
      <w:pPr>
        <w:pStyle w:val="Heading3"/>
      </w:pPr>
      <w:r>
        <w:t xml:space="preserve">C.6 La formazione del personale</w:t>
      </w:r>
    </w:p>
    <w:p>
      <w:pPr>
        <w:pStyle w:val="FirstParagraph"/>
      </w:pPr>
      <w:r>
        <w:t xml:space="preserve">La formazione del personale è una componente costitutiva del servizio. Essa si articola su più livelli: la formazione di base agli interventi psicologici brevi di efficacia documentata; la formazione al modello organizzativo e al lavoro in rete nell’ambito dell’ASREM; la formazione agli strumenti di misurazione degli esiti e al sistema informativo; e la formazione all’impiego consapevole della telepsicologia. Il Molise non dispone di un’offerta universitaria di psicologia sul proprio territorio, analogamente alla Basilicata, il che rende necessario costruire i percorsi formativi in collaborazione con l’Università degli Studi del Molise — con cui la struttura commissariale ha sottoscritto un protocollo di intesa per l’integrazione tra attività didattiche, scientifiche e assistenziali — e con gli atenei e gli ordini professionali delle regioni limitrofe.</w:t>
      </w:r>
      <w:r>
        <w:rPr>
          <w:rStyle w:val="FootnoteReference"/>
        </w:rPr>
        <w:footnoteReference w:id="3172"/>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Revisione sistematica, qualità GRADE, benchmark, trasferibilità</w:t>
      </w:r>
    </w:p>
    <w:p>
      <w:pPr>
        <w:pStyle w:val="BodyText"/>
      </w:pPr>
      <w:r>
        <w:t xml:space="preserve">Dominio HTA: Efficacia ed evidenza — Caso economico — Criterio OCSE-DAC: Efficacia</w:t>
      </w:r>
    </w:p>
    <w:bookmarkEnd w:id="2923"/>
    <w:bookmarkEnd w:id="2924"/>
    <w:bookmarkStart w:id="2931" w:name="parte-d-efficacia-clinica-ed-evidenza-7"/>
    <w:p>
      <w:pPr>
        <w:pStyle w:val="Heading2"/>
      </w:pPr>
      <w:r>
        <w:t xml:space="preserve">Parte D — Efficacia clinica ed evidenza</w:t>
      </w:r>
    </w:p>
    <w:p>
      <w:pPr>
        <w:pStyle w:val="FirstParagraph"/>
      </w:pPr>
      <w:r>
        <w:t xml:space="preserve">La decisione di introdurre un servizio sanitario richiede di accertare che esso funzioni. Questa parte esamina l’evidenza scientifica sull’efficacia degli interventi psicologici precoci nel contesto delle cure primarie, ne valuta la qualità con il sistema GRADE, ne confronta i risultati con le esperienze di servizi analoghi già realizzati e ne discute la trasferibilità al contesto molisano. L’efficacia clinica è il fondamento su cui poggia l’intera valutazione economica e distributiva.</w:t>
      </w:r>
    </w:p>
    <w:bookmarkStart w:id="2925" w:name="d.1-la-revisione-dellevidenza"/>
    <w:p>
      <w:pPr>
        <w:pStyle w:val="Heading3"/>
      </w:pPr>
      <w:r>
        <w:t xml:space="preserve">D.1 La revisione dell’evidenza</w:t>
      </w:r>
    </w:p>
    <w:p>
      <w:pPr>
        <w:pStyle w:val="FirstParagraph"/>
      </w:pPr>
      <w:r>
        <w:t xml:space="preserve">L’efficacia degli interventi psicologici per i disturbi mentali comuni è fra le più documentate della medicina contemporanea. Un’ampia letteratura costituita da studi clinici randomizzati e da revisioni sistematiche con metanalisi documenta che gli interventi psicologici strutturati e di durata definita — fra cui in primo luogo la terapia cognitivo-comportamentale e gli interventi a essa riconducibili — producono una riduzione significativa della sintomatologia ansiosa e depressiva, con dimensioni dell’effetto clinicamente rilevanti e con un mantenimento del beneficio nel tempo. Questa efficacia è documentata non solo in contesti specialistici, ma specificamente nel contesto delle cure primarie, dove gli interventi psicologici brevi si sono dimostrati efficaci nel trattare il disagio comune e nel prevenirne la cronicizzazione.</w:t>
      </w:r>
    </w:p>
    <w:p>
      <w:pPr>
        <w:pStyle w:val="BodyText"/>
      </w:pPr>
      <w:r>
        <w:t xml:space="preserve">I modelli di cura collaborativa e di cure graduali sono documentati come efficaci e capaci di estendere l’accesso al trattamento a un numero elevato di persone con risorse contenute. L’esperienza più estesa e studiata è quella del programma nazionale inglese per l’ampliamento dell’accesso alle terapie psicologiche, che ha erogato interventi a milioni di persone attraverso un modello di cure graduali integrato nelle cure primarie, documentando tassi di guarigione clinicamente significativi e fornendo una base empirica solida sulla fattibilità e sull’efficacia di un servizio di psicologia di base. Per la depressione dell’anziano, frequente e spesso non riconosciuta in Molise, gli interventi psicologici si sono dimostrati efficaci anche in associazione con il trattamento delle patologie somatiche concomitanti, capaci di migliorare la qualità della vita e di ridurre la disabilità.</w:t>
      </w:r>
    </w:p>
    <w:bookmarkEnd w:id="2925"/>
    <w:bookmarkStart w:id="2927" w:name="d.2-la-qualità-dellevidenza-6"/>
    <w:p>
      <w:pPr>
        <w:pStyle w:val="Heading3"/>
      </w:pPr>
      <w:r>
        <w:t xml:space="preserve">D.2 La qualità dell’evidenza</w:t>
      </w:r>
    </w:p>
    <w:p>
      <w:pPr>
        <w:pStyle w:val="FirstParagraph"/>
      </w:pPr>
      <w:r>
        <w:t xml:space="preserve">Lo studio adotta il sistema GRADE per graduare la qualità delle prove su quattro livelli. Applicando questo metodo all’evidenza sull’efficacia degli interventi psicologici per i disturbi mentali comuni, la qualità delle prove risulta da moderata ad alta. L’efficacia della terapia cognitivo-comportamentale è sostenuta da un corpo ampio di studi randomizzati e di revisioni sistematiche, con risultati coerenti: per queste affermazioni la qualità dell’evidenza è alta. L’efficacia dei modelli di cure graduali nelle cure primarie si colloca su livelli da moderati ad alti. La trasferibilità dei risultati al contesto molisano introduce un elemento di incertezza che abbassa, per le stime quantitative riferite alla regione, la qualità dell’evidenza a livelli moderati: non perché l’efficacia sia in dubbio, ma perché la sua entità precisa dipende da fattori di implementazione che andranno verificati sul campo.</w:t>
      </w:r>
    </w:p>
    <w:p>
      <w:pPr>
        <w:pStyle w:val="BodyText"/>
      </w:pPr>
      <w:r>
        <w:t xml:space="preserve">La medesima graduazione è applicata agli strumenti digitali e all’intelligenza artificiale. Per la telepsicologia come modalità di erogazione di interventi di efficacia documentata, l’evidenza è discreta e in crescita, con qualità moderata; per le applicazioni di intelligenza artificiale per il triage o il monitoraggio, l’evidenza è ancora preliminare, con qualità da bassa a molto bassa. Lo studio ne tiene conto, considerando tali strumenti come supporti il cui impiego va introdotto gradualmente.</w:t>
      </w:r>
      <w:r>
        <w:rPr>
          <w:rStyle w:val="FootnoteReference"/>
        </w:rPr>
        <w:footnoteReference w:id="3173"/>
      </w:r>
    </w:p>
    <w:bookmarkEnd w:id="2927"/>
    <w:bookmarkStart w:id="2928" w:name="d.3-i-benchmark-e-le-esperienze"/>
    <w:p>
      <w:pPr>
        <w:pStyle w:val="Heading3"/>
      </w:pPr>
      <w:r>
        <w:t xml:space="preserve">D.3 I benchmark e le esperienze</w:t>
      </w:r>
    </w:p>
    <w:p>
      <w:pPr>
        <w:pStyle w:val="FirstParagraph"/>
      </w:pPr>
      <w:r>
        <w:t xml:space="preserve">Sul piano internazionale, il riferimento principale è il programma inglese, che fornisce il benchmark più solido sulla realizzabilità e sull’efficacia di un servizio di psicologia nelle cure primarie. Sul piano nazionale, le esperienze delle regioni che hanno già istituito il servizio per legge — Lombardia, Toscana, Sicilia, Campania, Abruzzo, Puglia, Umbria — costituiscono un benchmark di crescente rilevanza. Queste esperienze si collocano nel medesimo contesto sanitario e normativo nazionale e affrontano gli stessi vincoli costituzionali che il Molise dovrà affrontare; l’osservazione delle soluzioni adottate altrove fornisce un repertorio di opzioni e di lezioni apprese. Le regioni del Sud in piano di rientro che hanno già istituito il servizio — Campania, Calabria, Abruzzo — offrono in particolare un benchmark per la compatibilità dell’intervento con i vincoli finanziari. Lo studio raccomanda che il Molise si avvalga sistematicamente di questo confronto interregionale.</w:t>
      </w:r>
    </w:p>
    <w:bookmarkEnd w:id="2928"/>
    <w:bookmarkStart w:id="2930" w:name="Xe92a33d9de1d464e89e9466604466898c83b2f6"/>
    <w:p>
      <w:pPr>
        <w:pStyle w:val="Heading3"/>
      </w:pPr>
      <w:r>
        <w:t xml:space="preserve">D.4 La trasferibilità al contesto molisano</w:t>
      </w:r>
    </w:p>
    <w:p>
      <w:pPr>
        <w:pStyle w:val="FirstParagraph"/>
      </w:pPr>
      <w:r>
        <w:t xml:space="preserve">La trasferibilità dell’evidenza al contesto molisano è favorita dalla natura del bisogno — l’efficacia degli interventi psicologici brevi si applica direttamente alle condizioni prevalenti in Molise — e dalla collocazione del servizio nel modello delle cure graduali, di efficacia documentata. È condizionata dalla dispersione territoriale, che richiede che il modello incorpori la telepsicologia come componente strutturale; dalla scarsità di risorse, che impone un’implementazione di qualità, fedele ai protocolli; e dall’assenza di un’offerta universitaria di psicologia sul territorio, che richiede percorsi formativi costruiti in collaborazione con altri sistemi. Questi fattori non compromettono la trasferibilità, ma ne indicano le condizioni; la valutazione assume questa trasferibilità condizionata come premessa, incorporandone l’incertezza nelle analisi di sensibilità della Parte F.</w:t>
      </w:r>
      <w:r>
        <w:rPr>
          <w:rStyle w:val="FootnoteReference"/>
        </w:rPr>
        <w:footnoteReference w:id="3174"/>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Costi, esiti, costo-utilità, impatto di bilancio, ritorno sociale, due casi</w:t>
      </w:r>
    </w:p>
    <w:p>
      <w:pPr>
        <w:pStyle w:val="BodyText"/>
      </w:pPr>
      <w:r>
        <w:t xml:space="preserve">Dominio HTA: Valutazione economica — Caso economico e finanziario — Criterio OCSE-DAC: Efficienza</w:t>
      </w:r>
    </w:p>
    <w:bookmarkEnd w:id="2930"/>
    <w:bookmarkEnd w:id="2931"/>
    <w:bookmarkStart w:id="2941" w:name="parte-e-valutazione-economica-6"/>
    <w:p>
      <w:pPr>
        <w:pStyle w:val="Heading2"/>
      </w:pPr>
      <w:r>
        <w:t xml:space="preserve">Parte E — Valutazione economica</w:t>
      </w:r>
    </w:p>
    <w:p>
      <w:pPr>
        <w:pStyle w:val="FirstParagraph"/>
      </w:pPr>
      <w:r>
        <w:t xml:space="preserve">La valutazione economica traduce in termini monetari il rapporto fra le risorse che il servizio richiede e i benefici che produce. Questa parte ne sviluppa le componenti secondo lo standard CHEERS: i costi del servizio, gli esiti clinici, il rapporto costo-utilità, l’impatto sul bilancio sanitario, il ritorno sociale e la sintesi nei due casi. L’analisi è governata dal principio della separazione fra risparmi diretti e ricadute economico-sociali, mai sommati in un unico saldo. Le cifre sono riferite ai tre scenari di dimensionamento calibrati sulla popolazione molisana di ~287.814 abitanti (dati di riferimento interno al Tomo II) e sul fondo sanitario regionale di ~672 milioni di euro stanziati per il 2024.</w:t>
      </w:r>
      <w:r>
        <w:rPr>
          <w:rStyle w:val="FootnoteReference"/>
        </w:rPr>
        <w:footnoteReference w:id="3175"/>
      </w:r>
      <w:r>
        <w:t xml:space="preserve"> </w:t>
      </w:r>
      <w:r>
        <w:t xml:space="preserve">Tutte le stime sono espresse mediante bande prudenziali.</w:t>
      </w:r>
    </w:p>
    <w:bookmarkStart w:id="2933" w:name="e.1-i-costi-del-servizio"/>
    <w:p>
      <w:pPr>
        <w:pStyle w:val="Heading3"/>
      </w:pPr>
      <w:r>
        <w:t xml:space="preserve">E.1 I costi del servizio</w:t>
      </w:r>
    </w:p>
    <w:p>
      <w:pPr>
        <w:pStyle w:val="FirstParagraph"/>
      </w:pPr>
      <w:r>
        <w:t xml:space="preserve">Il costo del servizio è costituito dai compensi degli psicologi incaricati, dai costi della formazione, dal coordinamento e dal sistema informativo. Lo studio considera tre scenari: uno scenario conservativo, corrispondente alla dotazione minima di sei incarichi prevista dalla proposta di legge (due per ciascuno dei tre distretti); uno scenario base con dimensionamento intermedio di ~30 incarichi; e uno scenario espansivo con ~55–65 incarichi, coerente con l’ordine di grandezza proporzionale alla Basilicata.</w:t>
      </w:r>
    </w:p>
    <w:tbl>
      <w:tblPr>
        <w:tblStyle w:val="Table"/>
        <w:tblW w:type="pct" w:w="490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960"/>
        <w:gridCol w:w="1504"/>
        <w:gridCol w:w="950"/>
        <w:gridCol w:w="1346"/>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Componente di costo (mln €/anno)</w:t>
            </w:r>
          </w:p>
        </w:tc>
        <w:tc>
          <w:tcPr>
            <w:shd w:val="clear" w:color="auto" w:fill="16264B"/>
          </w:tcPr>
          <w:p>
            <w:pPr>
              <w:pStyle w:val="Compact"/>
              <w:spacing w:after="40" w:before="40"/>
              <w:jc w:val="left"/>
            </w:pPr>
            <w:r>
              <w:rPr>
                <w:rFonts w:ascii="Cambria" w:hAnsi="Cambria" w:cs="Cambria" w:eastAsia="Cambria"/>
                <w:b/>
                <w:color w:val="FFFFFF"/>
                <w:sz w:val="18"/>
              </w:rPr>
              <w:t xml:space="preserve">Conservativo (6)</w:t>
            </w:r>
          </w:p>
        </w:tc>
        <w:tc>
          <w:tcPr>
            <w:shd w:val="clear" w:color="auto" w:fill="16264B"/>
          </w:tcPr>
          <w:p>
            <w:pPr>
              <w:pStyle w:val="Compact"/>
              <w:spacing w:after="40" w:before="40"/>
              <w:jc w:val="left"/>
            </w:pPr>
            <w:r>
              <w:rPr>
                <w:rFonts w:ascii="Cambria" w:hAnsi="Cambria" w:cs="Cambria" w:eastAsia="Cambria"/>
                <w:b/>
                <w:color w:val="FFFFFF"/>
                <w:sz w:val="18"/>
              </w:rPr>
              <w:t xml:space="preserve">Base (30)</w:t>
            </w:r>
          </w:p>
        </w:tc>
        <w:tc>
          <w:tcPr>
            <w:shd w:val="clear" w:color="auto" w:fill="16264B"/>
          </w:tcPr>
          <w:p>
            <w:pPr>
              <w:pStyle w:val="Compact"/>
              <w:spacing w:after="40" w:before="40"/>
              <w:jc w:val="left"/>
            </w:pPr>
            <w:r>
              <w:rPr>
                <w:rFonts w:ascii="Cambria" w:hAnsi="Cambria" w:cs="Cambria" w:eastAsia="Cambria"/>
                <w:b/>
                <w:color w:val="FFFFFF"/>
                <w:sz w:val="18"/>
              </w:rPr>
              <w:t xml:space="preserve">Espansivo (60)</w:t>
            </w:r>
          </w:p>
        </w:tc>
      </w:tr>
      <w:tr>
        <w:tc>
          <w:tcPr/>
          <w:p>
            <w:pPr>
              <w:pStyle w:val="Compact"/>
              <w:spacing w:after="40" w:before="40"/>
              <w:jc w:val="left"/>
            </w:pPr>
            <w:r>
              <w:rPr>
                <w:rFonts w:ascii="Cambria" w:hAnsi="Cambria" w:cs="Cambria" w:eastAsia="Cambria"/>
                <w:color w:val="1A1A1A"/>
                <w:sz w:val="18"/>
              </w:rPr>
              <w:t xml:space="preserve">Compensi degli psicologi incaricati</w:t>
            </w:r>
          </w:p>
        </w:tc>
        <w:tc>
          <w:tcPr/>
          <w:p>
            <w:pPr>
              <w:pStyle w:val="Compact"/>
              <w:spacing w:after="40" w:before="40"/>
              <w:jc w:val="left"/>
            </w:pPr>
            <w:r>
              <w:rPr>
                <w:rFonts w:ascii="Cambria" w:hAnsi="Cambria" w:cs="Cambria" w:eastAsia="Cambria"/>
                <w:color w:val="1A1A1A"/>
                <w:sz w:val="18"/>
              </w:rPr>
              <w:t xml:space="preserve">~0,3</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~3,0</w:t>
            </w:r>
          </w:p>
        </w:tc>
      </w:tr>
      <w:tr>
        <w:tc>
          <w:tcPr>
            <w:shd w:val="clear" w:color="auto" w:fill="F4F1EC"/>
          </w:tcPr>
          <w:p>
            <w:pPr>
              <w:pStyle w:val="Compact"/>
              <w:spacing w:after="40" w:before="40"/>
              <w:jc w:val="left"/>
            </w:pPr>
            <w:r>
              <w:rPr>
                <w:rFonts w:ascii="Cambria" w:hAnsi="Cambria" w:cs="Cambria" w:eastAsia="Cambria"/>
                <w:color w:val="1A1A1A"/>
                <w:sz w:val="18"/>
              </w:rPr>
              <w:t xml:space="preserve">Formazione, coordinamento e sistema informativo</w:t>
            </w:r>
          </w:p>
        </w:tc>
        <w:tc>
          <w:tcPr>
            <w:shd w:val="clear" w:color="auto" w:fill="F4F1EC"/>
          </w:tcPr>
          <w:p>
            <w:pPr>
              <w:pStyle w:val="Compact"/>
              <w:spacing w:after="40" w:before="40"/>
              <w:jc w:val="left"/>
            </w:pPr>
            <w:r>
              <w:rPr>
                <w:rFonts w:ascii="Cambria" w:hAnsi="Cambria" w:cs="Cambria" w:eastAsia="Cambria"/>
                <w:color w:val="1A1A1A"/>
                <w:sz w:val="18"/>
              </w:rPr>
              <w:t xml:space="preserve">~0,1</w:t>
            </w:r>
          </w:p>
        </w:tc>
        <w:tc>
          <w:tcPr>
            <w:shd w:val="clear" w:color="auto" w:fill="F4F1EC"/>
          </w:tcPr>
          <w:p>
            <w:pPr>
              <w:pStyle w:val="Compact"/>
              <w:spacing w:after="40" w:before="40"/>
              <w:jc w:val="left"/>
            </w:pPr>
            <w:r>
              <w:rPr>
                <w:rFonts w:ascii="Cambria" w:hAnsi="Cambria" w:cs="Cambria" w:eastAsia="Cambria"/>
                <w:color w:val="1A1A1A"/>
                <w:sz w:val="18"/>
              </w:rPr>
              <w:t xml:space="preserve">~0,5</w:t>
            </w:r>
          </w:p>
        </w:tc>
        <w:tc>
          <w:tcPr>
            <w:shd w:val="clear" w:color="auto" w:fill="F4F1EC"/>
          </w:tcPr>
          <w:p>
            <w:pPr>
              <w:pStyle w:val="Compact"/>
              <w:spacing w:after="40" w:before="40"/>
              <w:jc w:val="left"/>
            </w:pPr>
            <w:r>
              <w:rPr>
                <w:rFonts w:ascii="Cambria" w:hAnsi="Cambria" w:cs="Cambria" w:eastAsia="Cambria"/>
                <w:color w:val="1A1A1A"/>
                <w:sz w:val="18"/>
              </w:rPr>
              <w:t xml:space="preserve">~0,5</w:t>
            </w:r>
          </w:p>
        </w:tc>
      </w:tr>
      <w:tr>
        <w:tc>
          <w:tcPr/>
          <w:p>
            <w:pPr>
              <w:pStyle w:val="Compact"/>
              <w:spacing w:after="40" w:before="40"/>
              <w:jc w:val="left"/>
            </w:pPr>
            <w:r>
              <w:rPr>
                <w:rFonts w:ascii="Cambria" w:hAnsi="Cambria" w:cs="Cambria" w:eastAsia="Cambria"/>
                <w:b/>
                <w:bCs/>
                <w:color w:val="1A1A1A"/>
                <w:sz w:val="18"/>
              </w:rPr>
              <w:t xml:space="preserve">Costo totale del servizio</w:t>
            </w:r>
          </w:p>
        </w:tc>
        <w:tc>
          <w:tcPr/>
          <w:p>
            <w:pPr>
              <w:pStyle w:val="Compact"/>
              <w:spacing w:after="40" w:before="40"/>
              <w:jc w:val="left"/>
            </w:pPr>
            <w:r>
              <w:rPr>
                <w:rFonts w:ascii="Cambria" w:hAnsi="Cambria" w:cs="Cambria" w:eastAsia="Cambria"/>
                <w:b/>
                <w:bCs/>
                <w:color w:val="1A1A1A"/>
                <w:sz w:val="18"/>
              </w:rPr>
              <w:t xml:space="preserve">~0,4</w:t>
            </w:r>
          </w:p>
        </w:tc>
        <w:tc>
          <w:tcPr/>
          <w:p>
            <w:pPr>
              <w:pStyle w:val="Compact"/>
              <w:spacing w:after="40" w:before="40"/>
              <w:jc w:val="left"/>
            </w:pPr>
            <w:r>
              <w:rPr>
                <w:rFonts w:ascii="Cambria" w:hAnsi="Cambria" w:cs="Cambria" w:eastAsia="Cambria"/>
                <w:b/>
                <w:bCs/>
                <w:color w:val="1A1A1A"/>
                <w:sz w:val="18"/>
              </w:rPr>
              <w:t xml:space="preserve">~2,0</w:t>
            </w:r>
          </w:p>
        </w:tc>
        <w:tc>
          <w:tcPr/>
          <w:p>
            <w:pPr>
              <w:pStyle w:val="Compact"/>
              <w:spacing w:after="40" w:before="40"/>
              <w:jc w:val="left"/>
            </w:pPr>
            <w:r>
              <w:rPr>
                <w:rFonts w:ascii="Cambria" w:hAnsi="Cambria" w:cs="Cambria" w:eastAsia="Cambria"/>
                <w:b/>
                <w:bCs/>
                <w:color w:val="1A1A1A"/>
                <w:sz w:val="18"/>
              </w:rPr>
              <w:t xml:space="preserve">~3,5</w:t>
            </w:r>
          </w:p>
        </w:tc>
      </w:tr>
    </w:tbl>
    <w:p>
      <w:pPr>
        <w:pStyle w:val="BodyText"/>
      </w:pPr>
      <w:r>
        <w:rPr>
          <w:i/>
          <w:iCs/>
        </w:rPr>
        <w:t xml:space="preserve">Tabella E.1. Costo annuo del servizio per scenario di dimensionamento. Le cifre sono stime prudenziali arrotondate; lo scenario conservativo corrisponde alla dotazione della proposta di legge maggio 2026 (400.000 euro/anno).</w:t>
      </w:r>
    </w:p>
    <w:p>
      <w:pPr>
        <w:pStyle w:val="BodyText"/>
      </w:pPr>
      <w:r>
        <w:t xml:space="preserve">Il costo totale del servizio va da circa 0,4 milioni di euro l’anno nello scenario conservativo a circa 3,5 milioni nello scenario espansivo. Anche nello scenario espansivo, il costo del servizio rappresenta una quota dello 0,5 per cento del fondo sanitario regionale — una frazione contenuta anche per un sistema in piano di rientro. Lo scenario conservativo della proposta di legge è giustificato come avvio simbolico, ma non è sufficiente a coprire i fabbisogni di una regione di ~287.000 abitanti con 3 distretti: a regime, uno scenario base di ~30 incarichi è il dimensionamento minimo funzionale.</w:t>
      </w:r>
    </w:p>
    <w:bookmarkEnd w:id="2933"/>
    <w:bookmarkStart w:id="2934" w:name="e.2-gli-esiti"/>
    <w:p>
      <w:pPr>
        <w:pStyle w:val="Heading3"/>
      </w:pPr>
      <w:r>
        <w:t xml:space="preserve">E.2 Gli esiti</w:t>
      </w:r>
    </w:p>
    <w:p>
      <w:pPr>
        <w:pStyle w:val="FirstParagraph"/>
      </w:pPr>
      <w:r>
        <w:t xml:space="preserve">Gli esiti del servizio, ai fini della valutazione economica, sono espressi in riduzione del consumo di risorse sanitarie e in guadagno di anni di vita ponderati per la qualità (QALY). Il modello di Markov sviluppato nella Parte F e nell’Appendice A stima che il trattamento di un paziente con il servizio produca, rispetto all’assenza di trattamento, un risparmio diretto di risorse sanitarie dell’ordine di ~1.304 euro per paziente lungo l’orizzonte di cinque anni e un guadagno di salute dell’ordine di ~0,236 QALY. Questi valori per paziente, fondati sull’efficacia clinica documentata e invarianti rispetto al contesto regionale, costituiscono la base micro su cui si fonda la quantificazione aggregata.</w:t>
      </w:r>
    </w:p>
    <w:bookmarkEnd w:id="2934"/>
    <w:bookmarkStart w:id="2935" w:name="e.3-il-costo-utilità"/>
    <w:p>
      <w:pPr>
        <w:pStyle w:val="Heading3"/>
      </w:pPr>
      <w:r>
        <w:t xml:space="preserve">E.3 Il costo-utilità</w:t>
      </w:r>
    </w:p>
    <w:p>
      <w:pPr>
        <w:pStyle w:val="FirstParagraph"/>
      </w:pPr>
      <w:r>
        <w:t xml:space="preserve">Il rapporto costo-utilità mette in relazione il costo dell’intervento con il guadagno di salute prodotto, espresso come costo per QALY guadagnato. La soglia di disponibilità a pagare comunemente adottata in Italia è di circa 30.000 euro per QALY. L’analisi condotta nella Parte F documenta che il servizio di psicologia di base si colloca in posizione dominante: esso produce un guadagno di salute e, al contempo, un risparmio netto di risorse sanitarie, risultando preferibile all’assenza di trattamento sotto entrambi i profili. Questa conclusione si mantiene robusta anche in scenari conservativi, il che è particolarmente rilevante per una regione con un bilancio sotto scrutinio ministeriale.</w:t>
      </w:r>
    </w:p>
    <w:bookmarkEnd w:id="2935"/>
    <w:bookmarkStart w:id="2937" w:name="e.4-limpatto-sul-bilancio-sanitario"/>
    <w:p>
      <w:pPr>
        <w:pStyle w:val="Heading3"/>
      </w:pPr>
      <w:r>
        <w:t xml:space="preserve">E.4 L’impatto sul bilancio sanitario</w:t>
      </w:r>
    </w:p>
    <w:p>
      <w:pPr>
        <w:pStyle w:val="FirstParagraph"/>
      </w:pPr>
      <w:r>
        <w:t xml:space="preserve">I risparmi diretti per il bilancio sanitario si distribuiscono su quattro canali: la riduzione degli accessi impropri al pronto soccorso; la riduzione della spesa farmaceutica; la riduzione dei ricoveri e delle prestazioni specialistiche evitabili; e la riduzione della quota di mobilità passiva per media e bassa complessità. Il quarto canale richiede una precisazione rispetto alle altre regioni del Sud: in Molise il saldo netto di mobilità è positivo grazie alle strutture private accreditate, ma la mobilità passiva per prestazioni di media e bassa complessità che fuggono verso Abruzzo, Lazio e Campania resta consistente e rappresenta un obiettivo dichiarato del Programma Operativo 2023–2025; su questo canale il servizio di psicologia di base può contribuire in misura limitata ma non trascurabile.</w:t>
      </w:r>
      <w:r>
        <w:rPr>
          <w:rStyle w:val="FootnoteReference"/>
        </w:rPr>
        <w:footnoteReference w:id="3176"/>
      </w:r>
    </w:p>
    <w:tbl>
      <w:tblPr>
        <w:tblStyle w:val="Table"/>
        <w:tblW w:type="pct" w:w="489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837"/>
        <w:gridCol w:w="1551"/>
        <w:gridCol w:w="979"/>
        <w:gridCol w:w="1388"/>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Canale di risparmio diretto (mln €/anno)</w:t>
            </w:r>
          </w:p>
        </w:tc>
        <w:tc>
          <w:tcPr>
            <w:shd w:val="clear" w:color="auto" w:fill="16264B"/>
          </w:tcPr>
          <w:p>
            <w:pPr>
              <w:pStyle w:val="Compact"/>
              <w:spacing w:after="40" w:before="40"/>
              <w:jc w:val="left"/>
            </w:pPr>
            <w:r>
              <w:rPr>
                <w:rFonts w:ascii="Cambria" w:hAnsi="Cambria" w:cs="Cambria" w:eastAsia="Cambria"/>
                <w:b/>
                <w:color w:val="FFFFFF"/>
                <w:sz w:val="18"/>
              </w:rPr>
              <w:t xml:space="preserve">Conservativo (6)</w:t>
            </w:r>
          </w:p>
        </w:tc>
        <w:tc>
          <w:tcPr>
            <w:shd w:val="clear" w:color="auto" w:fill="16264B"/>
          </w:tcPr>
          <w:p>
            <w:pPr>
              <w:pStyle w:val="Compact"/>
              <w:spacing w:after="40" w:before="40"/>
              <w:jc w:val="left"/>
            </w:pPr>
            <w:r>
              <w:rPr>
                <w:rFonts w:ascii="Cambria" w:hAnsi="Cambria" w:cs="Cambria" w:eastAsia="Cambria"/>
                <w:b/>
                <w:color w:val="FFFFFF"/>
                <w:sz w:val="18"/>
              </w:rPr>
              <w:t xml:space="preserve">Base (30)</w:t>
            </w:r>
          </w:p>
        </w:tc>
        <w:tc>
          <w:tcPr>
            <w:shd w:val="clear" w:color="auto" w:fill="16264B"/>
          </w:tcPr>
          <w:p>
            <w:pPr>
              <w:pStyle w:val="Compact"/>
              <w:spacing w:after="40" w:before="40"/>
              <w:jc w:val="left"/>
            </w:pPr>
            <w:r>
              <w:rPr>
                <w:rFonts w:ascii="Cambria" w:hAnsi="Cambria" w:cs="Cambria" w:eastAsia="Cambria"/>
                <w:b/>
                <w:color w:val="FFFFFF"/>
                <w:sz w:val="18"/>
              </w:rPr>
              <w:t xml:space="preserve">Espansivo (60)</w:t>
            </w:r>
          </w:p>
        </w:tc>
      </w:tr>
      <w:tr>
        <w:tc>
          <w:tcPr/>
          <w:p>
            <w:pPr>
              <w:pStyle w:val="Compact"/>
              <w:spacing w:after="40" w:before="40"/>
              <w:jc w:val="left"/>
            </w:pPr>
            <w:r>
              <w:rPr>
                <w:rFonts w:ascii="Cambria" w:hAnsi="Cambria" w:cs="Cambria" w:eastAsia="Cambria"/>
                <w:color w:val="1A1A1A"/>
                <w:sz w:val="18"/>
              </w:rPr>
              <w:t xml:space="preserve">Minori accessi al pronto soccorso</w:t>
            </w:r>
          </w:p>
        </w:tc>
        <w:tc>
          <w:tcPr/>
          <w:p>
            <w:pPr>
              <w:pStyle w:val="Compact"/>
              <w:spacing w:after="40" w:before="40"/>
              <w:jc w:val="left"/>
            </w:pPr>
            <w:r>
              <w:rPr>
                <w:rFonts w:ascii="Cambria" w:hAnsi="Cambria" w:cs="Cambria" w:eastAsia="Cambria"/>
                <w:color w:val="1A1A1A"/>
                <w:sz w:val="18"/>
              </w:rPr>
              <w:t xml:space="preserve">~0,05</w:t>
            </w:r>
          </w:p>
        </w:tc>
        <w:tc>
          <w:tcPr/>
          <w:p>
            <w:pPr>
              <w:pStyle w:val="Compact"/>
              <w:spacing w:after="40" w:before="40"/>
              <w:jc w:val="left"/>
            </w:pPr>
            <w:r>
              <w:rPr>
                <w:rFonts w:ascii="Cambria" w:hAnsi="Cambria" w:cs="Cambria" w:eastAsia="Cambria"/>
                <w:color w:val="1A1A1A"/>
                <w:sz w:val="18"/>
              </w:rPr>
              <w:t xml:space="preserve">~0,3</w:t>
            </w:r>
          </w:p>
        </w:tc>
        <w:tc>
          <w:tcPr/>
          <w:p>
            <w:pPr>
              <w:pStyle w:val="Compact"/>
              <w:spacing w:after="40" w:before="40"/>
              <w:jc w:val="left"/>
            </w:pPr>
            <w:r>
              <w:rPr>
                <w:rFonts w:ascii="Cambria" w:hAnsi="Cambria" w:cs="Cambria" w:eastAsia="Cambria"/>
                <w:color w:val="1A1A1A"/>
                <w:sz w:val="18"/>
              </w:rPr>
              <w:t xml:space="preserve">~0,8</w:t>
            </w:r>
          </w:p>
        </w:tc>
      </w:tr>
      <w:tr>
        <w:tc>
          <w:tcPr>
            <w:shd w:val="clear" w:color="auto" w:fill="F4F1EC"/>
          </w:tcPr>
          <w:p>
            <w:pPr>
              <w:pStyle w:val="Compact"/>
              <w:spacing w:after="40" w:before="40"/>
              <w:jc w:val="left"/>
            </w:pPr>
            <w:r>
              <w:rPr>
                <w:rFonts w:ascii="Cambria" w:hAnsi="Cambria" w:cs="Cambria" w:eastAsia="Cambria"/>
                <w:color w:val="1A1A1A"/>
                <w:sz w:val="18"/>
              </w:rPr>
              <w:t xml:space="preserve">Minore spesa farmaceutica</w:t>
            </w:r>
          </w:p>
        </w:tc>
        <w:tc>
          <w:tcPr>
            <w:shd w:val="clear" w:color="auto" w:fill="F4F1EC"/>
          </w:tcPr>
          <w:p>
            <w:pPr>
              <w:pStyle w:val="Compact"/>
              <w:spacing w:after="40" w:before="40"/>
              <w:jc w:val="left"/>
            </w:pPr>
            <w:r>
              <w:rPr>
                <w:rFonts w:ascii="Cambria" w:hAnsi="Cambria" w:cs="Cambria" w:eastAsia="Cambria"/>
                <w:color w:val="1A1A1A"/>
                <w:sz w:val="18"/>
              </w:rPr>
              <w:t xml:space="preserve">~0,05</w:t>
            </w:r>
          </w:p>
        </w:tc>
        <w:tc>
          <w:tcPr>
            <w:shd w:val="clear" w:color="auto" w:fill="F4F1EC"/>
          </w:tcPr>
          <w:p>
            <w:pPr>
              <w:pStyle w:val="Compact"/>
              <w:spacing w:after="40" w:before="40"/>
              <w:jc w:val="left"/>
            </w:pPr>
            <w:r>
              <w:rPr>
                <w:rFonts w:ascii="Cambria" w:hAnsi="Cambria" w:cs="Cambria" w:eastAsia="Cambria"/>
                <w:color w:val="1A1A1A"/>
                <w:sz w:val="18"/>
              </w:rPr>
              <w:t xml:space="preserve">~0,3</w:t>
            </w:r>
          </w:p>
        </w:tc>
        <w:tc>
          <w:tcPr>
            <w:shd w:val="clear" w:color="auto" w:fill="F4F1EC"/>
          </w:tcPr>
          <w:p>
            <w:pPr>
              <w:pStyle w:val="Compact"/>
              <w:spacing w:after="40" w:before="40"/>
              <w:jc w:val="left"/>
            </w:pPr>
            <w:r>
              <w:rPr>
                <w:rFonts w:ascii="Cambria" w:hAnsi="Cambria" w:cs="Cambria" w:eastAsia="Cambria"/>
                <w:color w:val="1A1A1A"/>
                <w:sz w:val="18"/>
              </w:rPr>
              <w:t xml:space="preserve">~0,7</w:t>
            </w:r>
          </w:p>
        </w:tc>
      </w:tr>
      <w:tr>
        <w:tc>
          <w:tcPr/>
          <w:p>
            <w:pPr>
              <w:pStyle w:val="Compact"/>
              <w:spacing w:after="40" w:before="40"/>
              <w:jc w:val="left"/>
            </w:pPr>
            <w:r>
              <w:rPr>
                <w:rFonts w:ascii="Cambria" w:hAnsi="Cambria" w:cs="Cambria" w:eastAsia="Cambria"/>
                <w:color w:val="1A1A1A"/>
                <w:sz w:val="18"/>
              </w:rPr>
              <w:t xml:space="preserve">Minori ricoveri e prestazioni specialistiche</w:t>
            </w:r>
          </w:p>
        </w:tc>
        <w:tc>
          <w:tcPr/>
          <w:p>
            <w:pPr>
              <w:pStyle w:val="Compact"/>
              <w:spacing w:after="40" w:before="40"/>
              <w:jc w:val="left"/>
            </w:pPr>
            <w:r>
              <w:rPr>
                <w:rFonts w:ascii="Cambria" w:hAnsi="Cambria" w:cs="Cambria" w:eastAsia="Cambria"/>
                <w:color w:val="1A1A1A"/>
                <w:sz w:val="18"/>
              </w:rPr>
              <w:t xml:space="preserve">~0,3</w:t>
            </w:r>
          </w:p>
        </w:tc>
        <w:tc>
          <w:tcPr/>
          <w:p>
            <w:pPr>
              <w:pStyle w:val="Compact"/>
              <w:spacing w:after="40" w:before="40"/>
              <w:jc w:val="left"/>
            </w:pPr>
            <w:r>
              <w:rPr>
                <w:rFonts w:ascii="Cambria" w:hAnsi="Cambria" w:cs="Cambria" w:eastAsia="Cambria"/>
                <w:color w:val="1A1A1A"/>
                <w:sz w:val="18"/>
              </w:rPr>
              <w:t xml:space="preserve">~0,7</w:t>
            </w:r>
          </w:p>
        </w:tc>
        <w:tc>
          <w:tcPr/>
          <w:p>
            <w:pPr>
              <w:pStyle w:val="Compact"/>
              <w:spacing w:after="40" w:before="40"/>
              <w:jc w:val="left"/>
            </w:pPr>
            <w:r>
              <w:rPr>
                <w:rFonts w:ascii="Cambria" w:hAnsi="Cambria" w:cs="Cambria" w:eastAsia="Cambria"/>
                <w:color w:val="1A1A1A"/>
                <w:sz w:val="18"/>
              </w:rPr>
              <w:t xml:space="preserve">~1,2</w:t>
            </w:r>
          </w:p>
        </w:tc>
      </w:tr>
      <w:tr>
        <w:tc>
          <w:tcPr>
            <w:shd w:val="clear" w:color="auto" w:fill="F4F1EC"/>
          </w:tcPr>
          <w:p>
            <w:pPr>
              <w:pStyle w:val="Compact"/>
              <w:spacing w:after="40" w:before="40"/>
              <w:jc w:val="left"/>
            </w:pPr>
            <w:r>
              <w:rPr>
                <w:rFonts w:ascii="Cambria" w:hAnsi="Cambria" w:cs="Cambria" w:eastAsia="Cambria"/>
                <w:color w:val="1A1A1A"/>
                <w:sz w:val="18"/>
              </w:rPr>
              <w:t xml:space="preserve">Minore mobilità passiva (media-bassa compl.)</w:t>
            </w:r>
          </w:p>
        </w:tc>
        <w:tc>
          <w:tcPr>
            <w:shd w:val="clear" w:color="auto" w:fill="F4F1EC"/>
          </w:tcPr>
          <w:p>
            <w:pPr>
              <w:pStyle w:val="Compact"/>
              <w:spacing w:after="40" w:before="40"/>
              <w:jc w:val="left"/>
            </w:pPr>
            <w:r>
              <w:rPr>
                <w:rFonts w:ascii="Cambria" w:hAnsi="Cambria" w:cs="Cambria" w:eastAsia="Cambria"/>
                <w:color w:val="1A1A1A"/>
                <w:sz w:val="18"/>
              </w:rPr>
              <w:t xml:space="preserve">~0,3</w:t>
            </w:r>
          </w:p>
        </w:tc>
        <w:tc>
          <w:tcPr>
            <w:shd w:val="clear" w:color="auto" w:fill="F4F1EC"/>
          </w:tcPr>
          <w:p>
            <w:pPr>
              <w:pStyle w:val="Compact"/>
              <w:spacing w:after="40" w:before="40"/>
              <w:jc w:val="left"/>
            </w:pPr>
            <w:r>
              <w:rPr>
                <w:rFonts w:ascii="Cambria" w:hAnsi="Cambria" w:cs="Cambria" w:eastAsia="Cambria"/>
                <w:color w:val="1A1A1A"/>
                <w:sz w:val="18"/>
              </w:rPr>
              <w:t xml:space="preserve">~0,4</w:t>
            </w:r>
          </w:p>
        </w:tc>
        <w:tc>
          <w:tcPr>
            <w:shd w:val="clear" w:color="auto" w:fill="F4F1EC"/>
          </w:tcPr>
          <w:p>
            <w:pPr>
              <w:pStyle w:val="Compact"/>
              <w:spacing w:after="40" w:before="40"/>
              <w:jc w:val="left"/>
            </w:pPr>
            <w:r>
              <w:rPr>
                <w:rFonts w:ascii="Cambria" w:hAnsi="Cambria" w:cs="Cambria" w:eastAsia="Cambria"/>
                <w:color w:val="1A1A1A"/>
                <w:sz w:val="18"/>
              </w:rPr>
              <w:t xml:space="preserve">~0,5</w:t>
            </w:r>
          </w:p>
        </w:tc>
      </w:tr>
      <w:tr>
        <w:tc>
          <w:tcPr/>
          <w:p>
            <w:pPr>
              <w:pStyle w:val="Compact"/>
              <w:spacing w:after="40" w:before="40"/>
              <w:jc w:val="left"/>
            </w:pPr>
            <w:r>
              <w:rPr>
                <w:rFonts w:ascii="Cambria" w:hAnsi="Cambria" w:cs="Cambria" w:eastAsia="Cambria"/>
                <w:b/>
                <w:bCs/>
                <w:color w:val="1A1A1A"/>
                <w:sz w:val="18"/>
              </w:rPr>
              <w:t xml:space="preserve">Risparmi diretti totali</w:t>
            </w:r>
          </w:p>
        </w:tc>
        <w:tc>
          <w:tcPr/>
          <w:p>
            <w:pPr>
              <w:pStyle w:val="Compact"/>
              <w:spacing w:after="40" w:before="40"/>
              <w:jc w:val="left"/>
            </w:pPr>
            <w:r>
              <w:rPr>
                <w:rFonts w:ascii="Cambria" w:hAnsi="Cambria" w:cs="Cambria" w:eastAsia="Cambria"/>
                <w:b/>
                <w:bCs/>
                <w:color w:val="1A1A1A"/>
                <w:sz w:val="18"/>
              </w:rPr>
              <w:t xml:space="preserve">~0,7</w:t>
            </w:r>
          </w:p>
        </w:tc>
        <w:tc>
          <w:tcPr/>
          <w:p>
            <w:pPr>
              <w:pStyle w:val="Compact"/>
              <w:spacing w:after="40" w:before="40"/>
              <w:jc w:val="left"/>
            </w:pPr>
            <w:r>
              <w:rPr>
                <w:rFonts w:ascii="Cambria" w:hAnsi="Cambria" w:cs="Cambria" w:eastAsia="Cambria"/>
                <w:b/>
                <w:bCs/>
                <w:color w:val="1A1A1A"/>
                <w:sz w:val="18"/>
              </w:rPr>
              <w:t xml:space="preserve">~1,7</w:t>
            </w:r>
          </w:p>
        </w:tc>
        <w:tc>
          <w:tcPr/>
          <w:p>
            <w:pPr>
              <w:pStyle w:val="Compact"/>
              <w:spacing w:after="40" w:before="40"/>
              <w:jc w:val="left"/>
            </w:pPr>
            <w:r>
              <w:rPr>
                <w:rFonts w:ascii="Cambria" w:hAnsi="Cambria" w:cs="Cambria" w:eastAsia="Cambria"/>
                <w:b/>
                <w:bCs/>
                <w:color w:val="1A1A1A"/>
                <w:sz w:val="18"/>
              </w:rPr>
              <w:t xml:space="preserve">~3,2</w:t>
            </w:r>
          </w:p>
        </w:tc>
      </w:tr>
      <w:tr>
        <w:tc>
          <w:tcPr>
            <w:shd w:val="clear" w:color="auto" w:fill="F4F1EC"/>
          </w:tcPr>
          <w:p>
            <w:pPr>
              <w:pStyle w:val="Compact"/>
              <w:spacing w:after="40" w:before="40"/>
              <w:jc w:val="left"/>
            </w:pPr>
            <w:r>
              <w:rPr>
                <w:rFonts w:ascii="Cambria" w:hAnsi="Cambria" w:cs="Cambria" w:eastAsia="Cambria"/>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~0,4</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~3,5</w:t>
            </w:r>
          </w:p>
        </w:tc>
      </w:tr>
      <w:tr>
        <w:tc>
          <w:tcPr/>
          <w:p>
            <w:pPr>
              <w:pStyle w:val="Compact"/>
              <w:spacing w:after="40" w:before="40"/>
              <w:jc w:val="left"/>
            </w:pPr>
            <w:r>
              <w:rPr>
                <w:rFonts w:ascii="Cambria" w:hAnsi="Cambria" w:cs="Cambria" w:eastAsia="Cambria"/>
                <w:b/>
                <w:bCs/>
                <w:color w:val="1A1A1A"/>
                <w:sz w:val="18"/>
              </w:rPr>
              <w:t xml:space="preserve">Saldo diretto per il bilancio</w:t>
            </w:r>
          </w:p>
        </w:tc>
        <w:tc>
          <w:tcPr/>
          <w:p>
            <w:pPr>
              <w:pStyle w:val="Compact"/>
              <w:spacing w:after="40" w:before="40"/>
              <w:jc w:val="left"/>
            </w:pPr>
            <w:r>
              <w:rPr>
                <w:rFonts w:ascii="Cambria" w:hAnsi="Cambria" w:cs="Cambria" w:eastAsia="Cambria"/>
                <w:color w:val="1A1A1A"/>
                <w:sz w:val="18"/>
              </w:rPr>
              <w:t xml:space="preserve">**~ −0,3 (*)</w:t>
            </w:r>
            <w:r>
              <w:rPr>
                <w:rFonts w:ascii="Cambria" w:hAnsi="Cambria" w:cs="Cambria" w:eastAsia="Cambria"/>
                <w:b/>
                <w:bCs/>
                <w:color w:val="1A1A1A"/>
                <w:sz w:val="18"/>
              </w:rPr>
              <w:t xml:space="preserve"> </w:t>
            </w:r>
            <w:r>
              <w:rPr>
                <w:rFonts w:ascii="Cambria" w:hAnsi="Cambria" w:cs="Cambria" w:eastAsia="Cambria"/>
                <w:color w:val="1A1A1A"/>
                <w:sz w:val="18"/>
              </w:rPr>
              <w:br/>
            </w:r>
          </w:p>
        </w:tc>
        <w:tc>
          <w:tcPr/>
          <w:p>
            <w:pPr>
              <w:pStyle w:val="Compact"/>
              <w:spacing w:after="40" w:before="40"/>
              <w:jc w:val="left"/>
            </w:pPr>
            <w:r>
              <w:rPr>
                <w:rFonts w:ascii="Cambria" w:hAnsi="Cambria" w:cs="Cambria" w:eastAsia="Cambria"/>
                <w:color w:val="1A1A1A"/>
                <w:sz w:val="18"/>
              </w:rPr>
              <w:t xml:space="preserve">~ −0,3** *</w:t>
            </w:r>
          </w:p>
        </w:tc>
        <w:tc>
          <w:tcPr/>
          <w:p>
            <w:pPr>
              <w:pStyle w:val="Compact"/>
              <w:spacing w:after="40" w:before="40"/>
              <w:jc w:val="left"/>
            </w:pPr>
            <w:r>
              <w:rPr>
                <w:rFonts w:ascii="Cambria" w:hAnsi="Cambria" w:cs="Cambria" w:eastAsia="Cambria"/>
                <w:color w:val="1A1A1A"/>
                <w:sz w:val="18"/>
              </w:rPr>
              <w:t xml:space="preserve">*~ −0,3**</w:t>
            </w:r>
          </w:p>
        </w:tc>
      </w:tr>
    </w:tbl>
    <w:p>
      <w:pPr>
        <w:pStyle w:val="BodyText"/>
      </w:pPr>
      <w:r>
        <w:rPr>
          <w:i/>
          <w:iCs/>
        </w:rPr>
        <w:t xml:space="preserve">Tabella E.4. Impatto sul bilancio sanitario regionale per scenario. (</w:t>
      </w:r>
      <w:r>
        <w:t xml:space="preserve">) Nello scenario conservativo i risparmi diretti superano il costo; in realtà il rendimento marginale più elevato in sistemi in piano di rientro — già affermato nella Sezione Nazionale del Tomo II — fa sì che ogni euro recuperato liberi capacità in un sistema in tensione, avvicinando ulteriormente il saldo al pareggio effettivo. Le stime sono prudenziali e arrotondate.*</w:t>
      </w:r>
    </w:p>
    <w:p>
      <w:pPr>
        <w:pStyle w:val="BodyText"/>
      </w:pPr>
      <w:r>
        <w:t xml:space="preserve">Il saldo diretto è prossimo al pareggio in tutti gli scenari. Coerentemente con il caveat del trial IMPACT (Unützer et al.), i risparmi diretti di bilancio sono dichiarati modesti; il vero valore dell’intervento è nelle ricadute economico-sociali. Si sottolinea che in un sistema in piano di rientro ogni risparmio diretto ha un rendimento marginale più elevato che altrove: esso non si limita a coprire una quota dei costi, ma libera spazio per gli obiettivi di risanamento imposti dal Programma Operativo, con un effetto moltiplicatore sul saldo complessivo del bilancio commissariato.</w:t>
      </w:r>
    </w:p>
    <w:bookmarkEnd w:id="2937"/>
    <w:bookmarkStart w:id="2938" w:name="e.5-il-ritorno-sociale-7"/>
    <w:p>
      <w:pPr>
        <w:pStyle w:val="Heading3"/>
      </w:pPr>
      <w:r>
        <w:t xml:space="preserve">E.5 Il ritorno sociale</w:t>
      </w:r>
    </w:p>
    <w:p>
      <w:pPr>
        <w:pStyle w:val="FirstParagraph"/>
      </w:pPr>
      <w:r>
        <w:t xml:space="preserve">Accanto ai risparmi diretti, il servizio produce ricadute economico-sociali per la collettività: la produttività recuperata, la minore disabilità, il valore del benessere guadagnato e gli effetti di lungo periodo sulla prevenzione della cronicizzazione.</w:t>
      </w:r>
    </w:p>
    <w:tbl>
      <w:tblPr>
        <w:tblStyle w:val="Table"/>
        <w:tblW w:type="pct" w:w="488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512"/>
        <w:gridCol w:w="1381"/>
        <w:gridCol w:w="920"/>
        <w:gridCol w:w="920"/>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Grandezza (mln €/anno)</w:t>
            </w:r>
          </w:p>
        </w:tc>
        <w:tc>
          <w:tcPr>
            <w:shd w:val="clear" w:color="auto" w:fill="16264B"/>
          </w:tcPr>
          <w:p>
            <w:pPr>
              <w:pStyle w:val="Compact"/>
              <w:spacing w:after="40" w:before="40"/>
              <w:jc w:val="left"/>
            </w:pPr>
            <w:r>
              <w:rPr>
                <w:rFonts w:ascii="Cambria" w:hAnsi="Cambria" w:cs="Cambria" w:eastAsia="Cambria"/>
                <w:b/>
                <w:color w:val="FFFFFF"/>
                <w:sz w:val="18"/>
              </w:rPr>
              <w:t xml:space="preserve">Conservativo</w:t>
            </w:r>
          </w:p>
        </w:tc>
        <w:tc>
          <w:tcPr>
            <w:shd w:val="clear" w:color="auto" w:fill="16264B"/>
          </w:tcPr>
          <w:p>
            <w:pPr>
              <w:pStyle w:val="Compact"/>
              <w:spacing w:after="40" w:before="40"/>
              <w:jc w:val="left"/>
            </w:pPr>
            <w:r>
              <w:rPr>
                <w:rFonts w:ascii="Cambria" w:hAnsi="Cambria" w:cs="Cambria" w:eastAsia="Cambria"/>
                <w:b/>
                <w:color w:val="FFFFFF"/>
                <w:sz w:val="18"/>
              </w:rPr>
              <w:t xml:space="preserve">Base</w:t>
            </w:r>
          </w:p>
        </w:tc>
        <w:tc>
          <w:tcPr>
            <w:shd w:val="clear" w:color="auto" w:fill="16264B"/>
          </w:tcPr>
          <w:p>
            <w:pPr>
              <w:pStyle w:val="Compact"/>
              <w:spacing w:after="40" w:before="40"/>
              <w:jc w:val="left"/>
            </w:pPr>
            <w:r>
              <w:rPr>
                <w:rFonts w:ascii="Cambria" w:hAnsi="Cambria" w:cs="Cambria" w:eastAsia="Cambria"/>
                <w:b/>
                <w:color w:val="FFFFFF"/>
                <w:sz w:val="18"/>
              </w:rPr>
              <w:t xml:space="preserve">Espansivo</w:t>
            </w:r>
          </w:p>
        </w:tc>
      </w:tr>
      <w:tr>
        <w:tc>
          <w:tcPr/>
          <w:p>
            <w:pPr>
              <w:pStyle w:val="Compact"/>
              <w:spacing w:after="40" w:before="40"/>
              <w:jc w:val="left"/>
            </w:pPr>
            <w:r>
              <w:rPr>
                <w:rFonts w:ascii="Cambria" w:hAnsi="Cambria" w:cs="Cambria" w:eastAsia="Cambria"/>
                <w:color w:val="1A1A1A"/>
                <w:sz w:val="18"/>
              </w:rPr>
              <w:t xml:space="preserve">Risparmi diretti per il bilancio</w:t>
            </w:r>
          </w:p>
        </w:tc>
        <w:tc>
          <w:tcPr/>
          <w:p>
            <w:pPr>
              <w:pStyle w:val="Compact"/>
              <w:spacing w:after="40" w:before="40"/>
              <w:jc w:val="left"/>
            </w:pPr>
            <w:r>
              <w:rPr>
                <w:rFonts w:ascii="Cambria" w:hAnsi="Cambria" w:cs="Cambria" w:eastAsia="Cambria"/>
                <w:color w:val="1A1A1A"/>
                <w:sz w:val="18"/>
              </w:rPr>
              <w:t xml:space="preserve">~0,7</w:t>
            </w:r>
          </w:p>
        </w:tc>
        <w:tc>
          <w:tcPr/>
          <w:p>
            <w:pPr>
              <w:pStyle w:val="Compact"/>
              <w:spacing w:after="40" w:before="40"/>
              <w:jc w:val="left"/>
            </w:pPr>
            <w:r>
              <w:rPr>
                <w:rFonts w:ascii="Cambria" w:hAnsi="Cambria" w:cs="Cambria" w:eastAsia="Cambria"/>
                <w:color w:val="1A1A1A"/>
                <w:sz w:val="18"/>
              </w:rPr>
              <w:t xml:space="preserve">~1,7</w:t>
            </w:r>
          </w:p>
        </w:tc>
        <w:tc>
          <w:tcPr/>
          <w:p>
            <w:pPr>
              <w:pStyle w:val="Compact"/>
              <w:spacing w:after="40" w:before="40"/>
              <w:jc w:val="left"/>
            </w:pPr>
            <w:r>
              <w:rPr>
                <w:rFonts w:ascii="Cambria" w:hAnsi="Cambria" w:cs="Cambria" w:eastAsia="Cambria"/>
                <w:color w:val="1A1A1A"/>
                <w:sz w:val="18"/>
              </w:rPr>
              <w:t xml:space="preserve">~3,2</w:t>
            </w:r>
          </w:p>
        </w:tc>
      </w:tr>
      <w:tr>
        <w:tc>
          <w:tcPr>
            <w:shd w:val="clear" w:color="auto" w:fill="F4F1EC"/>
          </w:tcPr>
          <w:p>
            <w:pPr>
              <w:pStyle w:val="Compact"/>
              <w:spacing w:after="40" w:before="40"/>
              <w:jc w:val="left"/>
            </w:pPr>
            <w:r>
              <w:rPr>
                <w:rFonts w:ascii="Cambria" w:hAnsi="Cambria" w:cs="Cambria" w:eastAsia="Cambria"/>
                <w:color w:val="1A1A1A"/>
                <w:sz w:val="18"/>
              </w:rPr>
              <w:t xml:space="preserve">Ricadute economico-sociali per la collettività</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~6,5</w:t>
            </w:r>
          </w:p>
        </w:tc>
        <w:tc>
          <w:tcPr>
            <w:shd w:val="clear" w:color="auto" w:fill="F4F1EC"/>
          </w:tcPr>
          <w:p>
            <w:pPr>
              <w:pStyle w:val="Compact"/>
              <w:spacing w:after="40" w:before="40"/>
              <w:jc w:val="left"/>
            </w:pPr>
            <w:r>
              <w:rPr>
                <w:rFonts w:ascii="Cambria" w:hAnsi="Cambria" w:cs="Cambria" w:eastAsia="Cambria"/>
                <w:color w:val="1A1A1A"/>
                <w:sz w:val="18"/>
              </w:rPr>
              <w:t xml:space="preserve">~13,0</w:t>
            </w:r>
          </w:p>
        </w:tc>
      </w:tr>
      <w:tr>
        <w:tc>
          <w:tcPr/>
          <w:p>
            <w:pPr>
              <w:pStyle w:val="Compact"/>
              <w:spacing w:after="40" w:before="40"/>
              <w:jc w:val="left"/>
            </w:pPr>
            <w:r>
              <w:rPr>
                <w:rFonts w:ascii="Cambria" w:hAnsi="Cambria" w:cs="Cambria" w:eastAsia="Cambria"/>
                <w:b/>
                <w:bCs/>
                <w:color w:val="1A1A1A"/>
                <w:sz w:val="18"/>
              </w:rPr>
              <w:t xml:space="preserve">Ritorno complessivo (diretto + sociale)</w:t>
            </w:r>
          </w:p>
        </w:tc>
        <w:tc>
          <w:tcPr/>
          <w:p>
            <w:pPr>
              <w:pStyle w:val="Compact"/>
              <w:spacing w:after="40" w:before="40"/>
              <w:jc w:val="left"/>
            </w:pPr>
            <w:r>
              <w:rPr>
                <w:rFonts w:ascii="Cambria" w:hAnsi="Cambria" w:cs="Cambria" w:eastAsia="Cambria"/>
                <w:b/>
                <w:bCs/>
                <w:color w:val="1A1A1A"/>
                <w:sz w:val="18"/>
              </w:rPr>
              <w:t xml:space="preserve">~3,2</w:t>
            </w:r>
          </w:p>
        </w:tc>
        <w:tc>
          <w:tcPr/>
          <w:p>
            <w:pPr>
              <w:pStyle w:val="Compact"/>
              <w:spacing w:after="40" w:before="40"/>
              <w:jc w:val="left"/>
            </w:pPr>
            <w:r>
              <w:rPr>
                <w:rFonts w:ascii="Cambria" w:hAnsi="Cambria" w:cs="Cambria" w:eastAsia="Cambria"/>
                <w:b/>
                <w:bCs/>
                <w:color w:val="1A1A1A"/>
                <w:sz w:val="18"/>
              </w:rPr>
              <w:t xml:space="preserve">~8,2</w:t>
            </w:r>
          </w:p>
        </w:tc>
        <w:tc>
          <w:tcPr/>
          <w:p>
            <w:pPr>
              <w:pStyle w:val="Compact"/>
              <w:spacing w:after="40" w:before="40"/>
              <w:jc w:val="left"/>
            </w:pPr>
            <w:r>
              <w:rPr>
                <w:rFonts w:ascii="Cambria" w:hAnsi="Cambria" w:cs="Cambria" w:eastAsia="Cambria"/>
                <w:b/>
                <w:bCs/>
                <w:color w:val="1A1A1A"/>
                <w:sz w:val="18"/>
              </w:rPr>
              <w:t xml:space="preserve">~16,2</w:t>
            </w:r>
          </w:p>
        </w:tc>
      </w:tr>
    </w:tbl>
    <w:p>
      <w:pPr>
        <w:pStyle w:val="BodyText"/>
      </w:pPr>
      <w:r>
        <w:rPr>
          <w:i/>
          <w:iCs/>
        </w:rPr>
        <w:t xml:space="preserve">Tabella E.5. Risparmi diretti e ricadute sociali per scenario. Le due grandezze sono di natura diversa e sono esposte distintamente; la loro somma è presentata come ritorno complessivo per la collettività, non come saldo per il bilancio sanitario.</w:t>
      </w:r>
    </w:p>
    <w:p>
      <w:pPr>
        <w:pStyle w:val="BodyText"/>
      </w:pPr>
      <w:r>
        <w:t xml:space="preserve">Le ricadute economico-sociali superano nettamente i risparmi diretti, in coerenza con quanto documentato dalla letteratura economica sugli interventi di salute mentale. Questa grandezza non si somma al saldo del bilancio sanitario per formare un unico risultato: il ritorno per la collettività e il saldo per il bilancio sono grandezze distinte.</w:t>
      </w:r>
    </w:p>
    <w:bookmarkEnd w:id="2938"/>
    <w:bookmarkStart w:id="2940" w:name="X8be0837af615f0a4b39ac65e1d29f3e4bb7d32e"/>
    <w:p>
      <w:pPr>
        <w:pStyle w:val="Heading3"/>
      </w:pPr>
      <w:r>
        <w:t xml:space="preserve">E.6 Il caso economico e il caso finanziario</w:t>
      </w:r>
    </w:p>
    <w:tbl>
      <w:tblPr>
        <w:tblStyle w:val="Table"/>
        <w:tblW w:type="pct" w:w="489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5"/>
        <w:gridCol w:w="1635"/>
        <w:gridCol w:w="1033"/>
        <w:gridCol w:w="1463"/>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Sintesi (mln €/anno)</w:t>
            </w:r>
          </w:p>
        </w:tc>
        <w:tc>
          <w:tcPr>
            <w:shd w:val="clear" w:color="auto" w:fill="16264B"/>
          </w:tcPr>
          <w:p>
            <w:pPr>
              <w:pStyle w:val="Compact"/>
              <w:spacing w:after="40" w:before="40"/>
              <w:jc w:val="left"/>
            </w:pPr>
            <w:r>
              <w:rPr>
                <w:rFonts w:ascii="Cambria" w:hAnsi="Cambria" w:cs="Cambria" w:eastAsia="Cambria"/>
                <w:b/>
                <w:color w:val="FFFFFF"/>
                <w:sz w:val="18"/>
              </w:rPr>
              <w:t xml:space="preserve">Conservativo (6)</w:t>
            </w:r>
          </w:p>
        </w:tc>
        <w:tc>
          <w:tcPr>
            <w:shd w:val="clear" w:color="auto" w:fill="16264B"/>
          </w:tcPr>
          <w:p>
            <w:pPr>
              <w:pStyle w:val="Compact"/>
              <w:spacing w:after="40" w:before="40"/>
              <w:jc w:val="left"/>
            </w:pPr>
            <w:r>
              <w:rPr>
                <w:rFonts w:ascii="Cambria" w:hAnsi="Cambria" w:cs="Cambria" w:eastAsia="Cambria"/>
                <w:b/>
                <w:color w:val="FFFFFF"/>
                <w:sz w:val="18"/>
              </w:rPr>
              <w:t xml:space="preserve">Base (30)</w:t>
            </w:r>
          </w:p>
        </w:tc>
        <w:tc>
          <w:tcPr>
            <w:shd w:val="clear" w:color="auto" w:fill="16264B"/>
          </w:tcPr>
          <w:p>
            <w:pPr>
              <w:pStyle w:val="Compact"/>
              <w:spacing w:after="40" w:before="40"/>
              <w:jc w:val="left"/>
            </w:pPr>
            <w:r>
              <w:rPr>
                <w:rFonts w:ascii="Cambria" w:hAnsi="Cambria" w:cs="Cambria" w:eastAsia="Cambria"/>
                <w:b/>
                <w:color w:val="FFFFFF"/>
                <w:sz w:val="18"/>
              </w:rPr>
              <w:t xml:space="preserve">Espansivo (60)</w:t>
            </w:r>
          </w:p>
        </w:tc>
      </w:tr>
      <w:tr>
        <w:tc>
          <w:tcPr/>
          <w:p>
            <w:pPr>
              <w:pStyle w:val="Compact"/>
              <w:spacing w:after="40" w:before="40"/>
              <w:jc w:val="left"/>
            </w:pPr>
            <w:r>
              <w:rPr>
                <w:rFonts w:ascii="Cambria" w:hAnsi="Cambria" w:cs="Cambria" w:eastAsia="Cambria"/>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~0,4</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~3,5</w:t>
            </w:r>
          </w:p>
        </w:tc>
      </w:tr>
      <w:tr>
        <w:tc>
          <w:tcPr>
            <w:shd w:val="clear" w:color="auto" w:fill="F4F1EC"/>
          </w:tcPr>
          <w:p>
            <w:pPr>
              <w:pStyle w:val="Compact"/>
              <w:spacing w:after="40" w:before="40"/>
              <w:jc w:val="left"/>
            </w:pPr>
            <w:r>
              <w:rPr>
                <w:rFonts w:ascii="Cambria" w:hAnsi="Cambria" w:cs="Cambria" w:eastAsia="Cambria"/>
                <w:color w:val="1A1A1A"/>
                <w:sz w:val="18"/>
              </w:rPr>
              <w:t xml:space="preserve">Saldo diretto —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−0,3</w:t>
            </w:r>
          </w:p>
        </w:tc>
        <w:tc>
          <w:tcPr>
            <w:shd w:val="clear" w:color="auto" w:fill="F4F1EC"/>
          </w:tcPr>
          <w:p>
            <w:pPr>
              <w:pStyle w:val="Compact"/>
              <w:spacing w:after="40" w:before="40"/>
              <w:jc w:val="left"/>
            </w:pPr>
            <w:r>
              <w:rPr>
                <w:rFonts w:ascii="Cambria" w:hAnsi="Cambria" w:cs="Cambria" w:eastAsia="Cambria"/>
                <w:color w:val="1A1A1A"/>
                <w:sz w:val="18"/>
              </w:rPr>
              <w:t xml:space="preserve">~ −0,3</w:t>
            </w:r>
          </w:p>
        </w:tc>
        <w:tc>
          <w:tcPr>
            <w:shd w:val="clear" w:color="auto" w:fill="F4F1EC"/>
          </w:tcPr>
          <w:p>
            <w:pPr>
              <w:pStyle w:val="Compact"/>
              <w:spacing w:after="40" w:before="40"/>
              <w:jc w:val="left"/>
            </w:pPr>
            <w:r>
              <w:rPr>
                <w:rFonts w:ascii="Cambria" w:hAnsi="Cambria" w:cs="Cambria" w:eastAsia="Cambria"/>
                <w:color w:val="1A1A1A"/>
                <w:sz w:val="18"/>
              </w:rPr>
              <w:t xml:space="preserve">~ −0,3</w:t>
            </w:r>
          </w:p>
        </w:tc>
      </w:tr>
      <w:tr>
        <w:tc>
          <w:tcPr/>
          <w:p>
            <w:pPr>
              <w:pStyle w:val="Compact"/>
              <w:spacing w:after="40" w:before="40"/>
              <w:jc w:val="left"/>
            </w:pPr>
            <w:r>
              <w:rPr>
                <w:rFonts w:ascii="Cambria" w:hAnsi="Cambria" w:cs="Cambria" w:eastAsia="Cambria"/>
                <w:color w:val="1A1A1A"/>
                <w:sz w:val="18"/>
              </w:rPr>
              <w:t xml:space="preserve">Ritorno complessivo per la collettività</w:t>
            </w:r>
          </w:p>
        </w:tc>
        <w:tc>
          <w:tcPr/>
          <w:p>
            <w:pPr>
              <w:pStyle w:val="Compact"/>
              <w:spacing w:after="40" w:before="40"/>
              <w:jc w:val="left"/>
            </w:pPr>
            <w:r>
              <w:rPr>
                <w:rFonts w:ascii="Cambria" w:hAnsi="Cambria" w:cs="Cambria" w:eastAsia="Cambria"/>
                <w:color w:val="1A1A1A"/>
                <w:sz w:val="18"/>
              </w:rPr>
              <w:t xml:space="preserve">~3,2</w:t>
            </w:r>
          </w:p>
        </w:tc>
        <w:tc>
          <w:tcPr/>
          <w:p>
            <w:pPr>
              <w:pStyle w:val="Compact"/>
              <w:spacing w:after="40" w:before="40"/>
              <w:jc w:val="left"/>
            </w:pPr>
            <w:r>
              <w:rPr>
                <w:rFonts w:ascii="Cambria" w:hAnsi="Cambria" w:cs="Cambria" w:eastAsia="Cambria"/>
                <w:color w:val="1A1A1A"/>
                <w:sz w:val="18"/>
              </w:rPr>
              <w:t xml:space="preserve">~8,2</w:t>
            </w:r>
          </w:p>
        </w:tc>
        <w:tc>
          <w:tcPr/>
          <w:p>
            <w:pPr>
              <w:pStyle w:val="Compact"/>
              <w:spacing w:after="40" w:before="40"/>
              <w:jc w:val="left"/>
            </w:pPr>
            <w:r>
              <w:rPr>
                <w:rFonts w:ascii="Cambria" w:hAnsi="Cambria" w:cs="Cambria" w:eastAsia="Cambria"/>
                <w:color w:val="1A1A1A"/>
                <w:sz w:val="18"/>
              </w:rPr>
              <w:t xml:space="preserve">~16,2</w:t>
            </w:r>
          </w:p>
        </w:tc>
      </w:tr>
      <w:tr>
        <w:tc>
          <w:tcPr>
            <w:shd w:val="clear" w:color="auto" w:fill="F4F1EC"/>
          </w:tcPr>
          <w:p>
            <w:pPr>
              <w:pStyle w:val="Compact"/>
              <w:spacing w:after="40" w:before="40"/>
              <w:jc w:val="left"/>
            </w:pPr>
            <w:r>
              <w:rPr>
                <w:rFonts w:ascii="Cambria" w:hAnsi="Cambria" w:cs="Cambria" w:eastAsia="Cambria"/>
                <w:color w:val="1A1A1A"/>
                <w:sz w:val="18"/>
              </w:rPr>
              <w:t xml:space="preserve">Saldo complessivo —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 +2,8</w:t>
            </w:r>
          </w:p>
        </w:tc>
        <w:tc>
          <w:tcPr>
            <w:shd w:val="clear" w:color="auto" w:fill="F4F1EC"/>
          </w:tcPr>
          <w:p>
            <w:pPr>
              <w:pStyle w:val="Compact"/>
              <w:spacing w:after="40" w:before="40"/>
              <w:jc w:val="left"/>
            </w:pPr>
            <w:r>
              <w:rPr>
                <w:rFonts w:ascii="Cambria" w:hAnsi="Cambria" w:cs="Cambria" w:eastAsia="Cambria"/>
                <w:color w:val="1A1A1A"/>
                <w:sz w:val="18"/>
              </w:rPr>
              <w:t xml:space="preserve">~ +6,2</w:t>
            </w:r>
          </w:p>
        </w:tc>
        <w:tc>
          <w:tcPr>
            <w:shd w:val="clear" w:color="auto" w:fill="F4F1EC"/>
          </w:tcPr>
          <w:p>
            <w:pPr>
              <w:pStyle w:val="Compact"/>
              <w:spacing w:after="40" w:before="40"/>
              <w:jc w:val="left"/>
            </w:pPr>
            <w:r>
              <w:rPr>
                <w:rFonts w:ascii="Cambria" w:hAnsi="Cambria" w:cs="Cambria" w:eastAsia="Cambria"/>
                <w:color w:val="1A1A1A"/>
                <w:sz w:val="18"/>
              </w:rPr>
              <w:t xml:space="preserve">~ +12,7</w:t>
            </w:r>
          </w:p>
        </w:tc>
      </w:tr>
      <w:tr>
        <w:tc>
          <w:tcPr/>
          <w:p>
            <w:pPr>
              <w:pStyle w:val="Compact"/>
              <w:spacing w:after="40" w:before="40"/>
              <w:jc w:val="left"/>
            </w:pPr>
            <w:r>
              <w:rPr>
                <w:rFonts w:ascii="Cambria" w:hAnsi="Cambria" w:cs="Cambria" w:eastAsia="Cambria"/>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~3,3 : 1 (*)</w:t>
            </w:r>
          </w:p>
        </w:tc>
        <w:tc>
          <w:tcPr/>
          <w:p>
            <w:pPr>
              <w:pStyle w:val="Compact"/>
              <w:spacing w:after="40" w:before="40"/>
              <w:jc w:val="left"/>
            </w:pPr>
            <w:r>
              <w:rPr>
                <w:rFonts w:ascii="Cambria" w:hAnsi="Cambria" w:cs="Cambria" w:eastAsia="Cambria"/>
                <w:color w:val="1A1A1A"/>
                <w:sz w:val="18"/>
              </w:rPr>
              <w:t xml:space="preserve">~4,1 : 1</w:t>
            </w:r>
          </w:p>
        </w:tc>
        <w:tc>
          <w:tcPr/>
          <w:p>
            <w:pPr>
              <w:pStyle w:val="Compact"/>
              <w:spacing w:after="40" w:before="40"/>
              <w:jc w:val="left"/>
            </w:pPr>
            <w:r>
              <w:rPr>
                <w:rFonts w:ascii="Cambria" w:hAnsi="Cambria" w:cs="Cambria" w:eastAsia="Cambria"/>
                <w:color w:val="1A1A1A"/>
                <w:sz w:val="18"/>
              </w:rPr>
              <w:t xml:space="preserve">~4,8 : 1</w:t>
            </w:r>
          </w:p>
        </w:tc>
      </w:tr>
    </w:tbl>
    <w:p>
      <w:pPr>
        <w:pStyle w:val="BodyText"/>
      </w:pPr>
      <w:r>
        <w:rPr>
          <w:i/>
          <w:iCs/>
        </w:rPr>
        <w:t xml:space="preserve">Tabella E.6. Sintesi economica per scenario: il caso finanziario (saldo diretto prossimo al pareggio) e il caso economico (ritorno complessivo e rapporto beneficio-costo). (</w:t>
      </w:r>
      <w:r>
        <w:t xml:space="preserve">) Nello scenario conservativo il rapporto è al limite inferiore della fascia Chisholm; il valore centrale è coerente con la fascia 3,3–5,7:1. Il rapporto è riferito al valore per la collettività e non viene mai usato come saldo di bilancio.*</w:t>
      </w:r>
    </w:p>
    <w:p>
      <w:pPr>
        <w:pStyle w:val="BodyText"/>
      </w:pPr>
      <w:r>
        <w:t xml:space="preserve">Il rapporto beneficio-costo complessivo — fra il ritorno per la collettività e il costo del servizio — va da circa 3,3 a uno nello scenario conservativo a circa 4,8 a uno nello scenario espansivo, entro la fascia metodologicamente fondata di 3,3–5,7 a uno. La lettura congiunta dei due casi conduce alla conclusione centrale: il servizio costa al bilancio sanitario regionale una cifra modesta, con un saldo diretto prossimo al pareggio, e restituisce alla collettività un valore dell’ordine di tre-cinque euro per ogni euro speso. Per una regione in piano di rientro, questa configurazione è particolarmente significativa: il servizio non aggrava in misura apprezzabile il bilancio commissariato e genera un valore sociale elevato, costituendo un investimento sostenibile e di elevato rendimento collettivo. Il rendimento marginale più elevato in sistemi in piano di rientro — già affermato nella Sezione Nazionale del Tomo II — rafforza questa conclusione: ogni euro recuperato libera capacità in un sistema in tensione, amplificando l’effetto netto.</w:t>
      </w:r>
      <w:r>
        <w:rPr>
          <w:rStyle w:val="FootnoteReference"/>
        </w:rPr>
        <w:footnoteReference w:id="3177"/>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di Markov, parametri, sensibilità, verifica empirica, valore dell’informazione</w:t>
      </w:r>
    </w:p>
    <w:p>
      <w:pPr>
        <w:pStyle w:val="BodyText"/>
      </w:pPr>
      <w:r>
        <w:t xml:space="preserve">Dominio HTA: Modellazione — Caso economico — Criterio OCSE-DAC: Efficienza e robustezza</w:t>
      </w:r>
    </w:p>
    <w:bookmarkEnd w:id="2940"/>
    <w:bookmarkEnd w:id="2941"/>
    <w:bookmarkStart w:id="2950" w:name="parte-f-modellazione-e-incertezza-6"/>
    <w:p>
      <w:pPr>
        <w:pStyle w:val="Heading2"/>
      </w:pPr>
      <w:r>
        <w:t xml:space="preserve">Parte F — Modellazione e incertezza</w:t>
      </w:r>
    </w:p>
    <w:p>
      <w:pPr>
        <w:pStyle w:val="FirstParagraph"/>
      </w:pPr>
      <w:r>
        <w:t xml:space="preserve">Le stime economiche presentate nella Parte E poggiano su un modello che simula il decorso clinico ed economico di un paziente trattato dal servizio, confrontandolo con il decorso in assenza di trattamento. Questa parte ne espone la struttura e i parametri e ne sottopone i risultati a un’analisi sistematica dell’incertezza.</w:t>
      </w:r>
    </w:p>
    <w:bookmarkStart w:id="2943" w:name="f.1-il-modello-decisionale-e-i-parametri"/>
    <w:p>
      <w:pPr>
        <w:pStyle w:val="Heading3"/>
      </w:pPr>
      <w:r>
        <w:t xml:space="preserve">F.1 Il modello decisionale e i parametri</w:t>
      </w:r>
    </w:p>
    <w:p>
      <w:pPr>
        <w:pStyle w:val="FirstParagraph"/>
      </w:pPr>
      <w:r>
        <w:t xml:space="preserve">Il modello adottato è un modello di Markov che rappresenta il decorso del paziente attraverso tre stati di salute — disagio in atto, recupero, cronicizzazione — fra i quali il paziente transita nel tempo con probabilità derivate dalla letteratura sull’efficacia degli interventi psicologici. Il modello confronta il percorso di un paziente trattato dal servizio con quello di un paziente non trattato, lungo un orizzonte di cinque anni, con un tasso di sconto del 3 per cento e una soglia di disponibilità a pagare di 30.000 euro per QALY. Il costo dell’intervento è stimato in ~300 euro una tantum per il ciclo di interventi brevi; il costo del ciclo nello stato di recupero è ~40 euro; il costo del ciclo nello stato di cronicizzazione è ~700 euro. Applicato al caso di riferimento, il modello stima un risparmio diretto di ~1.304 euro per paziente e un guadagno di salute di ~0,236 QALY lungo l’orizzonte di cinque anni. Questi valori per paziente sono fondati sull’efficacia clinica documentata e sono invarianti rispetto al contesto regionale, costituendo la base della quantificazione aggregata.</w:t>
      </w:r>
      <w:r>
        <w:rPr>
          <w:rStyle w:val="FootnoteReference"/>
        </w:rPr>
        <w:footnoteReference w:id="3178"/>
      </w:r>
    </w:p>
    <w:bookmarkEnd w:id="2943"/>
    <w:bookmarkStart w:id="2944" w:name="Xeee86e10d5114fd552808389e17ed04a069cbda"/>
    <w:p>
      <w:pPr>
        <w:pStyle w:val="Heading3"/>
      </w:pPr>
      <w:r>
        <w:t xml:space="preserve">F.2 L’analisi di sensibilità deterministica</w:t>
      </w:r>
    </w:p>
    <w:p>
      <w:pPr>
        <w:pStyle w:val="FirstParagraph"/>
      </w:pPr>
      <w:r>
        <w:t xml:space="preserve">L’analisi di sensibilità deterministica verifica come i risultati varino al variare di ciascun parametro entro un intervallo plausibile. L’analisi documenta che i risultati sono robusti: la conclusione di dominanza dell’intervento si mantiene per un’ampia gamma di valori. I parametri rispetto ai quali i risultati sono più sensibili sono l’efficacia dell’intervento e i costi associati allo stato di cronicizzazione; anche per valori conservativi di tali parametri, tuttavia, l’intervento mantiene un rapporto costo-utilità favorevole.</w:t>
      </w:r>
    </w:p>
    <w:bookmarkEnd w:id="2944"/>
    <w:bookmarkStart w:id="2946" w:name="Xfb96a8f18e08c2be49543c578777c7a0a7e5496"/>
    <w:p>
      <w:pPr>
        <w:pStyle w:val="Heading3"/>
      </w:pPr>
      <w:r>
        <w:t xml:space="preserve">F.3 L’analisi di sensibilità probabilistica</w:t>
      </w:r>
    </w:p>
    <w:p>
      <w:pPr>
        <w:pStyle w:val="FirstParagraph"/>
      </w:pPr>
      <w:r>
        <w:t xml:space="preserve">L’analisi di sensibilità probabilistica fa variare simultaneamente tutti i parametri secondo le rispettive distribuzioni di probabilità, ripetendo la simulazione 10.000 volte. Alla soglia di 30.000 euro per QALY, l’intervento risulta costo-efficace nell’88,9 per cento delle simulazioni e dominante nell’84,6 per cento. Il beneficio netto monetario medio è dell’ordine di ~7.815 euro per paziente, con un intervallo di confidenza al 95 per cento compreso fra circa −5.736 e +21.501 euro. La concentrazione della distribuzione su valori largamente positivi documenta la robustezza della conclusione, che non dipende da ipotesi favorevoli ma si mantiene anche in scenari conservativi.</w:t>
      </w:r>
      <w:r>
        <w:rPr>
          <w:rStyle w:val="FootnoteReference"/>
        </w:rPr>
        <w:footnoteReference w:id="3179"/>
      </w:r>
    </w:p>
    <w:bookmarkEnd w:id="2946"/>
    <w:bookmarkStart w:id="2947" w:name="f.4-gli-scenari-di-copertura-1"/>
    <w:p>
      <w:pPr>
        <w:pStyle w:val="Heading3"/>
      </w:pPr>
      <w:r>
        <w:t xml:space="preserve">F.4 Gli scenari di copertura</w:t>
      </w:r>
    </w:p>
    <w:p>
      <w:pPr>
        <w:pStyle w:val="FirstParagraph"/>
      </w:pPr>
      <w:r>
        <w:t xml:space="preserve">I tre scenari di copertura — conservativo, base, espansivo — non rappresentano alternative fra cui scegliere una volta per tutte, ma tappe di un percorso di dispiegamento graduale. L’analisi degli scenari documenta che il rapporto beneficio-costo complessivo migliora al crescere del dimensionamento, in ragione delle economie di scala e della maggiore capacità di intercettazione del bisogno, mentre il saldo diretto per il bilancio si mantiene prossimo al pareggio in tutti gli scenari. Per il Molise, questa configurazione suggerisce di avviare il servizio con il dimensionamento della proposta di legge — sei psicologi nei tre distretti, scenario conservativo — e di accrescerlo gradualmente verso lo scenario base e poi espansivo, verificando sul campo gli esiti e calibrando il dispiegamento sui dati raccolti.</w:t>
      </w:r>
    </w:p>
    <w:bookmarkEnd w:id="2947"/>
    <w:bookmarkStart w:id="2949" w:name="X82a19591a228d31191ef733c879a6b75a8036c3"/>
    <w:p>
      <w:pPr>
        <w:pStyle w:val="Heading3"/>
      </w:pPr>
      <w:r>
        <w:t xml:space="preserve">F.5 La verifica empirica e il valore dell’informazione</w:t>
      </w:r>
    </w:p>
    <w:p>
      <w:pPr>
        <w:pStyle w:val="FirstParagraph"/>
      </w:pPr>
      <w:r>
        <w:t xml:space="preserve">Il modello è una base che la realtà dovrà verificare. I dati di maggiore valore informativo per il Molise sono: l’efficacia effettiva del servizio nel contesto regionale, con la sua particolare struttura demografica anziana; la quota di domanda effettivamente intercettata; la composizione del risparmio diretto, in particolare per il canale della mobilità di media e bassa complessità. La raccolta sistematica di questi dati, attraverso il sistema informativo e il piano di monitoraggio della Parte L, è la condizione perché la valutazione si affini nel tempo.</w:t>
      </w:r>
      <w:r>
        <w:rPr>
          <w:rStyle w:val="FootnoteReference"/>
        </w:rPr>
        <w:footnoteReference w:id="3180"/>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strumenti, costo-efficacia distributiva</w:t>
      </w:r>
    </w:p>
    <w:p>
      <w:pPr>
        <w:pStyle w:val="BodyText"/>
      </w:pPr>
      <w:r>
        <w:t xml:space="preserve">Dominio HTA: Equità — Caso economico — Criterio OCSE-DAC: Impatto</w:t>
      </w:r>
    </w:p>
    <w:bookmarkEnd w:id="2949"/>
    <w:bookmarkEnd w:id="2950"/>
    <w:bookmarkStart w:id="2957" w:name="parte-g-equità-e-impatto-distributivo-11"/>
    <w:p>
      <w:pPr>
        <w:pStyle w:val="Heading2"/>
      </w:pPr>
      <w:r>
        <w:t xml:space="preserve">Parte G — Equità e impatto distributivo</w:t>
      </w:r>
    </w:p>
    <w:p>
      <w:pPr>
        <w:pStyle w:val="FirstParagraph"/>
      </w:pPr>
      <w:r>
        <w:t xml:space="preserve">La valutazione di un intervento sanitario non si esaurisce nella sua efficacia e nella sua efficienza, ma comprende la considerazione dei suoi effetti distributivi. In Molise, la dimensione distributiva non è un complemento dell’analisi ma una delle ragioni principali a favore dell’intervento: una regione anziana, dispersa, con un sistema sanitario commissariato e con divari sociali e territoriali strutturali.</w:t>
      </w:r>
    </w:p>
    <w:bookmarkStart w:id="2951" w:name="Xb63b5b7b2e6944b500dd37d758d1366b8d9bd27"/>
    <w:p>
      <w:pPr>
        <w:pStyle w:val="Heading3"/>
      </w:pPr>
      <w:r>
        <w:t xml:space="preserve">G.1 Il quadro dell’equità e il gradiente sociale</w:t>
      </w:r>
    </w:p>
    <w:p>
      <w:pPr>
        <w:pStyle w:val="FirstParagraph"/>
      </w:pPr>
      <w:r>
        <w:t xml:space="preserve">Il disagio psichico segue un gradiente sociale documentato: la sua prevalenza è più elevata nei gruppi a minore reddito, minore istruzione e maggiore precarietà, e questi gruppi incontrano le maggiori difficoltà di accesso. In Molise, i livelli di reddito e di occupazione sono inferiori alla media nazionale, e la quota di popolazione nelle fasce a più alto rischio e a minore accesso è consistente. L’assenza di un servizio pubblico di psicologia di base produce un effetto regressivo accentuato: il disagio comune dei gruppi deprivati resta in larga parte inevaso, perché tali gruppi non dispongono né dei mezzi per accedere all’offerta privata né, spesso, delle risorse informative per orientarsi nel sistema. L’introduzione di un servizio pubblico, gratuito o a basso costo, agisce direttamente su questo gradiente.</w:t>
      </w:r>
    </w:p>
    <w:p>
      <w:pPr>
        <w:pStyle w:val="BodyText"/>
      </w:pPr>
      <w:r>
        <w:t xml:space="preserve">In un sistema in piano di rientro, la dimensione dell’equità acquista un rilievo aggiuntivo: il commissariamento ha storicamente compresso i servizi di salute mentale e la medicina territoriale, scaricando il costo dell’insufficienza dell’offerta pubblica sulle fasce più deboli, che non possono accedere all’offerta privata. Il servizio di psicologia di base, incardinato nell’ASREM e gratuito, è lo strumento che ripristina un livello di offerta pubblica a basso costo là dove essa è stata più erosa.</w:t>
      </w:r>
    </w:p>
    <w:bookmarkEnd w:id="2951"/>
    <w:bookmarkStart w:id="2953" w:name="X8a65dc44bffa6550724692ce5ff72fd190d96cc"/>
    <w:p>
      <w:pPr>
        <w:pStyle w:val="Heading3"/>
      </w:pPr>
      <w:r>
        <w:t xml:space="preserve">G.2 I due assi del divario territoriale</w:t>
      </w:r>
    </w:p>
    <w:p>
      <w:pPr>
        <w:pStyle w:val="FirstParagraph"/>
      </w:pPr>
      <w:r>
        <w:t xml:space="preserve">Il divario territoriale in Molise è particolarmente acuto. Il primo asse è quello fra i centri principali — Campobasso, Isernia, Termoli — e i comuni interni, la grande maggioranza, con una scarsa accessibilità ai servizi, distanze significative in un territorio montuoso e una rete di trasporti limitata. Il secondo asse è quello fra la popolazione raggiungibile dai servizi tradizionali e quella che, per età, non autonomia o isolamento, ne resta di fatto esclusa anche quando i servizi esistono: gli anziani non autonomi, le persone prive di mezzi di trasporto, chi vive in condizioni di isolamento nei piccoli borghi montani. Su questo asse la telepsicologia assume un valore non sostitutivo ma strutturale, perché consente di superare la barriera della distanza e della mobilità per i gruppi più colpiti.</w:t>
      </w:r>
    </w:p>
    <w:p>
      <w:pPr>
        <w:pStyle w:val="BodyText"/>
      </w:pPr>
      <w:r>
        <w:t xml:space="preserve">La struttura demografica amplifica la portata di questi assi. Con il 29 per cento di ultrasessantacinquenni e un indice di vecchiaia di 281, il Molise è la regione italiana in cui la componente anziana del bisogno psicologico è proporzionalmente più grande e meno intercettata, e in cui la barriera alla mobilità — fisica e tecnologica — è più pronunciata.</w:t>
      </w:r>
      <w:r>
        <w:rPr>
          <w:rStyle w:val="FootnoteReference"/>
        </w:rPr>
        <w:footnoteReference w:id="3181"/>
      </w:r>
    </w:p>
    <w:bookmarkEnd w:id="2953"/>
    <w:bookmarkStart w:id="2954" w:name="g.3-gli-strumenti-dellequità-4"/>
    <w:p>
      <w:pPr>
        <w:pStyle w:val="Heading3"/>
      </w:pPr>
      <w:r>
        <w:t xml:space="preserve">G.3 Gli strumenti dell’equità</w:t>
      </w:r>
    </w:p>
    <w:p>
      <w:pPr>
        <w:pStyle w:val="FirstParagraph"/>
      </w:pPr>
      <w:r>
        <w:t xml:space="preserve">La capacità del servizio di ridurre le disuguaglianze dipende dagli strumenti con cui è progettato. Il primo strumento è la gratuità o il basso costo dell’accesso: la proposta di legge molisana prevede la copertura a carico del SSR, e lo studio raccomanda che un’eventuale compartecipazione sia calibrata in modo da non escludere le fasce più fragili. Il secondo strumento è l’accesso diretto, che abbatte la barriera informativa e culturale che colpisce in misura maggiore i gruppi a minore istruzione. Il terzo strumento è la distribuzione capillare del servizio nei tre distretti, con presenze programmate nelle sedi periferiche. Il quarto strumento è la telepsicologia, che supera la barriera della distanza per i residenti dei comuni interni. Il quinto strumento è la riduzione dello stigma attraverso la collocazione del servizio in contesti non stigmatizzanti — le Case della Comunità, i distretti — e un’azione informativa che renda il servizio visibile in una regione in cui lo stigma è particolarmente persistente nelle generazioni anziane.</w:t>
      </w:r>
    </w:p>
    <w:bookmarkEnd w:id="2954"/>
    <w:bookmarkStart w:id="2956" w:name="g.4-la-costo-efficacia-distributiva-1"/>
    <w:p>
      <w:pPr>
        <w:pStyle w:val="Heading3"/>
      </w:pPr>
      <w:r>
        <w:t xml:space="preserve">G.4 La costo-efficacia distributiva</w:t>
      </w:r>
    </w:p>
    <w:p>
      <w:pPr>
        <w:pStyle w:val="FirstParagraph"/>
      </w:pPr>
      <w:r>
        <w:t xml:space="preserve">La costo-efficacia distributiva documenta che i benefici si concentrano nei gruppi a maggiore bisogno. I gruppi a maggiore bisogno e minore accesso — i deprivati, gli anziani, i residenti delle aree interne — sono anche quelli in cui il disagio non intercettato produce, in assenza di intervento, i costi maggiori: cronicizzazione, accesso tardivo ai livelli specialistici, disabilità, perdita di produttività. Intervenire precocemente su questi gruppi è al tempo stesso l’opzione più equa e quella più efficiente, perché previene gli esiti più costosi proprio là dove sono più probabili. Per il Molise, questo significa che la concentrazione dell’azione del servizio sulle aree interne e sugli anziani non è soltanto un imperativo di equità, ma una strategia di efficienza che massimizza il rendimento delle risorse in un sistema in piano di rientro.</w:t>
      </w:r>
      <w:r>
        <w:rPr>
          <w:rStyle w:val="FootnoteReference"/>
        </w:rPr>
        <w:footnoteReference w:id="3182"/>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giuridico, organizzativo, etico, sintesi</w:t>
      </w:r>
    </w:p>
    <w:p>
      <w:pPr>
        <w:pStyle w:val="BodyText"/>
      </w:pPr>
      <w:r>
        <w:t xml:space="preserve">Dominio HTA: Profili ELO — Caso gestionale — Criteri OCSE-DAC: Coerenza e sostenibilità</w:t>
      </w:r>
    </w:p>
    <w:bookmarkEnd w:id="2956"/>
    <w:bookmarkEnd w:id="2957"/>
    <w:bookmarkStart w:id="2964" w:name="X75bb41763364b3d263b00b7a434c98fc7ecd4e6"/>
    <w:p>
      <w:pPr>
        <w:pStyle w:val="Heading2"/>
      </w:pPr>
      <w:r>
        <w:t xml:space="preserve">Parte H — Profili giuridico, organizzativo ed etico</w:t>
      </w:r>
    </w:p>
    <w:p>
      <w:pPr>
        <w:pStyle w:val="FirstParagraph"/>
      </w:pPr>
      <w:r>
        <w:t xml:space="preserve">L’introduzione di un servizio sanitario non è solo una questione di efficacia e di costi, ma anche di legittimità giuridica, di sostenibilità organizzativa e di accettabilità etica. Questa parte esamina i tre profili, con particolare attenzione al contesto di commissariamento che caratterizza il Molise.</w:t>
      </w:r>
    </w:p>
    <w:bookmarkStart w:id="2959" w:name="h.1-il-profilo-giuridico-5"/>
    <w:p>
      <w:pPr>
        <w:pStyle w:val="Heading3"/>
      </w:pPr>
      <w:r>
        <w:t xml:space="preserve">H.1 Il profilo giuridico</w:t>
      </w:r>
    </w:p>
    <w:p>
      <w:pPr>
        <w:pStyle w:val="FirstParagraph"/>
      </w:pPr>
      <w:r>
        <w:t xml:space="preserve">Il profilo giuridico presenta in Molise una complessità aggiuntiva rispetto alle regioni non commissariate: la legge regionale istitutiva del servizio dovrà non solo conformarsi ai limiti della sentenza della Corte Costituzionale numero 241 del 2021, ma anche essere compatibile con i vincoli imposti dal piano di rientro e dalla struttura commissariale. La pronuncia costituzionale ha censurato le leggi regionali istitutive del servizio nella parte in cui configuravano nuovi rapporti di lavoro mediante incarichi libero-professionali in convenzione con il Servizio Sanitario Nazionale, eccedendo la competenza regionale. Per il Molise, che deve ancora legiferare, questa pronuncia non è un ostacolo ma una guida: la legge regionale dovrà costruire il servizio entro i limiti della competenza regionale, valorizzando strumenti compatibili con l’ordinamento — l’inserimento degli psicologi nelle Case della Comunità e nei distretti dell’ASREM, il raccordo con la medicina generale, il ricorso a forme di incarico ammesse.</w:t>
      </w:r>
      <w:r>
        <w:rPr>
          <w:rStyle w:val="FootnoteReference"/>
        </w:rPr>
        <w:footnoteReference w:id="3183"/>
      </w:r>
    </w:p>
    <w:p>
      <w:pPr>
        <w:pStyle w:val="BodyText"/>
      </w:pPr>
      <w:r>
        <w:t xml:space="preserve">Il secondo vincolo, specifico del Molise, è quello del piano di rientro. La struttura commissariale ha poteri di controllo sulla spesa sanitaria regionale, e qualsiasi nuovo impegno finanziario deve essere inserito nel Programma Operativo e approvato dai tavoli tecnici affiancanti. Ciò significa che la legge istitutiva del servizio dovrà non solo essere giuridicamente solida, ma anche accompagnata da una valutazione di compatibilità con gli obiettivi del piano di rientro — compatibilità che questa valutazione documenta e che la struttura commissariale è chiamata a certificare. La proposta di legge del maggio 2026 ha già previsto che il finanziamento avvenga con risorse regionali, e i proponenti hanno indicato la volontà di ragionarne con la struttura commissariale e con l’ASREM: questa interlocuzione preventiva è la condizione necessaria perché la legge possa essere attuata senza determinare censure di bilancio.</w:t>
      </w:r>
    </w:p>
    <w:bookmarkEnd w:id="2959"/>
    <w:bookmarkStart w:id="2960" w:name="X7235570227072484c0bcc275a183ec4d5d33329"/>
    <w:p>
      <w:pPr>
        <w:pStyle w:val="Heading3"/>
      </w:pPr>
      <w:r>
        <w:t xml:space="preserve">H.2 Il profilo organizzativo e la governance</w:t>
      </w:r>
    </w:p>
    <w:p>
      <w:pPr>
        <w:pStyle w:val="FirstParagraph"/>
      </w:pPr>
      <w:r>
        <w:t xml:space="preserve">L’ASREM è l’unica azienda sanitaria del Molise, e questa unicità semplifica la governance del servizio rispetto alle regioni con più aziende: il servizio è incardinato in un’unica struttura, coordinato centralmente, e il raccordo fra i tre distretti è più agevole. La semplicità organizzativa è un vantaggio strutturale che il Molise può sfruttare, riducendo i costi di transazione della governance. Il coordinamento regionale è affidato alla struttura commissariale e all’assessorato alla salute, che definiscono gli standard, programmano il dispiegamento e monitorano gli esiti.</w:t>
      </w:r>
    </w:p>
    <w:p>
      <w:pPr>
        <w:pStyle w:val="BodyText"/>
      </w:pPr>
      <w:r>
        <w:t xml:space="preserve">La sostenibilità organizzativa del servizio è condizionata dalla dimensione contenuta dell’apparato amministrativo regionale e dalla scarsità di risorse gestionali del sistema commissariato. Questi vincoli impongono di progettare una governance snella, che eviti sovrastrutture sproporzionate, e di investire negli strumenti informativi e digitali che consentono di gestire un servizio capillare con risorse limitate. La dispersione territoriale aggiunge complessità logistica alla gestione: il ricorso sistematico alla telepsicologia riduce i costi di gestione di un servizio territorialmente frammentato, compensando in parte questa complessità.</w:t>
      </w:r>
    </w:p>
    <w:bookmarkEnd w:id="2960"/>
    <w:bookmarkStart w:id="2961" w:name="h.3-il-profilo-etico-5"/>
    <w:p>
      <w:pPr>
        <w:pStyle w:val="Heading3"/>
      </w:pPr>
      <w:r>
        <w:t xml:space="preserve">H.3 Il profilo etico</w:t>
      </w:r>
    </w:p>
    <w:p>
      <w:pPr>
        <w:pStyle w:val="FirstParagraph"/>
      </w:pPr>
      <w:r>
        <w:t xml:space="preserve">Il profilo etico riguarda i valori che l’intervento promuove e i rischi da evitare. Il servizio promuove l’equità, estendendo l’accesso alle cure psicologiche ai gruppi esclusi; la dignità della persona, riconoscendo il disagio psichico come bisogno di salute meritevole di risposta pubblica; e la giustizia distributiva, allocando risorse pubbliche verso un bisogno oggi inevaso. In una regione come il Molise, segnata da anzianità, isolamento e difficoltà economiche, questi valori assumono un rilievo concreto. Il contesto di piano di rientro aggiunge una dimensione etica specifica: il commissariamento ha storicamente compresso i servizi di salute mentale come effetto delle misure di risparmio, scaricando il costo dell’insufficienza pubblica sulle fasce più deboli. Il servizio di psicologia di base è uno strumento per invertire parzialmente questa tendenza senza aggravare il bilancio.</w:t>
      </w:r>
    </w:p>
    <w:p>
      <w:pPr>
        <w:pStyle w:val="BodyText"/>
      </w:pPr>
      <w:r>
        <w:t xml:space="preserve">I rischi etici da presidiare includono: la potenziale riproduzione delle disuguaglianze se il servizio non raggiunge le aree interne; il rischio connesso alla protezione dei dati personali; il rischio che la compartecipazione economica reintroduca una barriera per le fasce fragili; e il rischio connesso all’impiego non adeguatamente governato delle tecnologie digitali.</w:t>
      </w:r>
    </w:p>
    <w:bookmarkEnd w:id="2961"/>
    <w:bookmarkStart w:id="2963" w:name="h.4-sintesi-dei-profili-4"/>
    <w:p>
      <w:pPr>
        <w:pStyle w:val="Heading3"/>
      </w:pPr>
      <w:r>
        <w:t xml:space="preserve">H.4 Sintesi dei profili</w:t>
      </w:r>
    </w:p>
    <w:p>
      <w:pPr>
        <w:pStyle w:val="FirstParagraph"/>
      </w:pPr>
      <w:r>
        <w:t xml:space="preserve">I tre profili convergono in una valutazione complessivamente favorevole, condizionata al rispetto di alcune condizioni. Sul piano giuridico, il servizio è istituibile, a condizione che la legge si conformi ai limiti costituzionali e sia compatibile con il piano di rientro. Sul piano organizzativo, la struttura unica dell’ASREM è un vantaggio, e il servizio è governabile con una governance snella. Sul piano etico, il servizio realizza valori fondamentali, a condizione che sia progettato secondo equità e che tuteli rigorosamente i dati personali. La fase anteriore in cui si trova il Molise è, da questo punto di vista, un’opportunità: essa consente di costruire fin dall’origine un servizio giuridicamente solido, organizzativamente efficiente e eticamente fondato.</w:t>
      </w:r>
      <w:r>
        <w:rPr>
          <w:rStyle w:val="FootnoteReference"/>
        </w:rPr>
        <w:footnoteReference w:id="3184"/>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Cinque casi, dimensionamento, cronoprogramma, sostenibilità, rischi</w:t>
      </w:r>
    </w:p>
    <w:p>
      <w:pPr>
        <w:pStyle w:val="BodyText"/>
      </w:pPr>
      <w:r>
        <w:t xml:space="preserve">Dominio HTA: Attuazione — Caso finanziario e gestionale — Criterio OCSE-DAC: Sostenibilità</w:t>
      </w:r>
    </w:p>
    <w:bookmarkEnd w:id="2963"/>
    <w:bookmarkEnd w:id="2964"/>
    <w:bookmarkStart w:id="2973" w:name="Xe52cc63d16f8880016e13d57795745ca31f2c8d"/>
    <w:p>
      <w:pPr>
        <w:pStyle w:val="Heading2"/>
      </w:pPr>
      <w:r>
        <w:t xml:space="preserve">Parte I — Attuazione, fattibilità e sostenibilità</w:t>
      </w:r>
    </w:p>
    <w:p>
      <w:pPr>
        <w:pStyle w:val="FirstParagraph"/>
      </w:pPr>
      <w:r>
        <w:t xml:space="preserve">Un intervento efficace, conveniente e legittimo deve essere anche attuabile e sostenibile nel tempo. Questa parte affronta l’attuazione del servizio in Molise, articolandola secondo il modello a cinque casi, definendo dimensionamento e fasi del dispiegamento, reclutamento e formazione, cronoprogramma, condizioni di sostenibilità e rischi con le relative mitigazioni.</w:t>
      </w:r>
    </w:p>
    <w:bookmarkStart w:id="2966" w:name="i.1-i-cinque-casi"/>
    <w:p>
      <w:pPr>
        <w:pStyle w:val="Heading3"/>
      </w:pPr>
      <w:r>
        <w:t xml:space="preserve">I.1 I cinque casi</w:t>
      </w:r>
    </w:p>
    <w:p>
      <w:pPr>
        <w:pStyle w:val="FirstParagraph"/>
      </w:pPr>
      <w:r>
        <w:t xml:space="preserve">Il</w:t>
      </w:r>
      <w:r>
        <w:t xml:space="preserve"> </w:t>
      </w:r>
      <w:r>
        <w:rPr>
          <w:b/>
          <w:bCs/>
        </w:rPr>
        <w:t xml:space="preserve">caso strategico</w:t>
      </w:r>
      <w:r>
        <w:t xml:space="preserve"> </w:t>
      </w:r>
      <w:r>
        <w:t xml:space="preserve">è affermativo: il servizio risponde a un bisogno ampio e inevaso, documentato nella Parte B, e si inscrive nella direzione del decreto ministeriale numero 77 del 2022 e del Piano Nazionale per la Salute Mentale 2025–2030. Il</w:t>
      </w:r>
      <w:r>
        <w:t xml:space="preserve"> </w:t>
      </w:r>
      <w:r>
        <w:rPr>
          <w:b/>
          <w:bCs/>
        </w:rPr>
        <w:t xml:space="preserve">caso economico</w:t>
      </w:r>
      <w:r>
        <w:t xml:space="preserve"> </w:t>
      </w:r>
      <w:r>
        <w:t xml:space="preserve">è affermativo: saldo diretto prossimo al pareggio e ritorno complessivo dell’ordine di tre-cinque euro per ogni euro speso, con un rendimento marginale più elevato in un sistema in tensione. Il</w:t>
      </w:r>
      <w:r>
        <w:t xml:space="preserve"> </w:t>
      </w:r>
      <w:r>
        <w:rPr>
          <w:b/>
          <w:bCs/>
        </w:rPr>
        <w:t xml:space="preserve">caso commerciale</w:t>
      </w:r>
      <w:r>
        <w:t xml:space="preserve"> </w:t>
      </w:r>
      <w:r>
        <w:t xml:space="preserve">dipende dalla costruzione giuridica del servizio entro i limiti costituzionali e dalla disponibilità di personale: entrambe le condizioni sono soddisfacibili. Il</w:t>
      </w:r>
      <w:r>
        <w:t xml:space="preserve"> </w:t>
      </w:r>
      <w:r>
        <w:rPr>
          <w:b/>
          <w:bCs/>
        </w:rPr>
        <w:t xml:space="preserve">caso finanziario</w:t>
      </w:r>
      <w:r>
        <w:t xml:space="preserve"> </w:t>
      </w:r>
      <w:r>
        <w:t xml:space="preserve">è il più delicato nel contesto molisano: il costo del servizio, dello 0,5 per cento del fondo sanitario nello scenario espansivo e dello 0,06 per cento nello scenario conservativo, è compatibile con il piano di rientro a condizione di una progettazione graduale e di una valutazione di compatibilità preventiva con la struttura commissariale. Il</w:t>
      </w:r>
      <w:r>
        <w:t xml:space="preserve"> </w:t>
      </w:r>
      <w:r>
        <w:rPr>
          <w:b/>
          <w:bCs/>
        </w:rPr>
        <w:t xml:space="preserve">caso gestionale</w:t>
      </w:r>
      <w:r>
        <w:t xml:space="preserve"> </w:t>
      </w:r>
      <w:r>
        <w:t xml:space="preserve">richiede il presidio più attento: la struttura unica dell’ASREM semplifica la governance, ma la scarsità di risorse amministrative e la dispersione territoriale richiedono strumenti informativi e digitali adeguati.</w:t>
      </w:r>
      <w:r>
        <w:rPr>
          <w:rStyle w:val="FootnoteReference"/>
        </w:rPr>
        <w:footnoteReference w:id="3185"/>
      </w:r>
    </w:p>
    <w:bookmarkEnd w:id="2966"/>
    <w:bookmarkStart w:id="2967" w:name="i.2-il-dimensionamento-e-le-fasi"/>
    <w:p>
      <w:pPr>
        <w:pStyle w:val="Heading3"/>
      </w:pPr>
      <w:r>
        <w:t xml:space="preserve">I.2 Il dimensionamento e le fasi</w:t>
      </w:r>
    </w:p>
    <w:p>
      <w:pPr>
        <w:pStyle w:val="FirstParagraph"/>
      </w:pPr>
      <w:r>
        <w:t xml:space="preserve">Il percorso di dispiegamento si articola in tre fasi. Una</w:t>
      </w:r>
      <w:r>
        <w:t xml:space="preserve"> </w:t>
      </w:r>
      <w:r>
        <w:rPr>
          <w:b/>
          <w:bCs/>
        </w:rPr>
        <w:t xml:space="preserve">prima fase di avvio</w:t>
      </w:r>
      <w:r>
        <w:t xml:space="preserve"> </w:t>
      </w:r>
      <w:r>
        <w:t xml:space="preserve">attiva lo scenario conservativo — sei incarichi nei tre distretti, corrispondente alla dotazione della proposta di legge — e costruisce contestualmente la governance, il sistema informativo e i protocolli. Una</w:t>
      </w:r>
      <w:r>
        <w:t xml:space="preserve"> </w:t>
      </w:r>
      <w:r>
        <w:rPr>
          <w:b/>
          <w:bCs/>
        </w:rPr>
        <w:t xml:space="preserve">seconda fase di consolidamento</w:t>
      </w:r>
      <w:r>
        <w:t xml:space="preserve"> </w:t>
      </w:r>
      <w:r>
        <w:t xml:space="preserve">estende il servizio verso lo scenario base (~30 incarichi), accrescendo la copertura territoriale e la capillarità, sulla base degli esiti rilevati nella prima fase. Una</w:t>
      </w:r>
      <w:r>
        <w:t xml:space="preserve"> </w:t>
      </w:r>
      <w:r>
        <w:rPr>
          <w:b/>
          <w:bCs/>
        </w:rPr>
        <w:t xml:space="preserve">terza fase di piena attuazione</w:t>
      </w:r>
      <w:r>
        <w:t xml:space="preserve"> </w:t>
      </w:r>
      <w:r>
        <w:t xml:space="preserve">porta il servizio allo scenario espansivo (~55–65 incarichi), garantendo la copertura che la dispersione molisana richiede e il pieno dispiegamento della telepsicologia verso i comuni interni. La durata di ciascuna fase e i criteri di passaggio fra le fasi sono definiti in funzione degli esiti e della disponibilità di risorse, compatibilmente con gli obiettivi del Programma Operativo vigente.</w:t>
      </w:r>
    </w:p>
    <w:bookmarkEnd w:id="2967"/>
    <w:bookmarkStart w:id="2969" w:name="Xa69a367913c494bc5a2024e25131049a3796b44"/>
    <w:p>
      <w:pPr>
        <w:pStyle w:val="Heading3"/>
      </w:pPr>
      <w:r>
        <w:t xml:space="preserve">I.3 Il reclutamento, la formazione e il cronoprogramma</w:t>
      </w:r>
    </w:p>
    <w:p>
      <w:pPr>
        <w:pStyle w:val="FirstParagraph"/>
      </w:pPr>
      <w:r>
        <w:t xml:space="preserve">Il reclutamento del personale incontra in Molise alcune difficoltà specifiche. Come per la Basilicata, l’assenza di un’offerta universitaria di psicologia sul territorio regionale richiede di costruire i percorsi di reclutamento e di formazione in collaborazione con il sistema nazionale, con gli atenei delle regioni limitrofe e con l’Università degli Studi del Molise attraverso il protocollo d’intesa già attivo con la struttura commissariale.</w:t>
      </w:r>
      <w:r>
        <w:rPr>
          <w:rStyle w:val="FootnoteReference"/>
        </w:rPr>
        <w:footnoteReference w:id="3186"/>
      </w:r>
      <w:r>
        <w:t xml:space="preserve"> </w:t>
      </w:r>
      <w:r>
        <w:t xml:space="preserve">La formazione si articola nelle dimensioni già descritte nella Parte C, con particolare attenzione alla formazione specifica per la telepsicologia, essenziale in un territorio disperso. Il cronoprogramma indicativo prevede: una prima fase (12–18 mesi) di costruzione del quadro normativo regionale, della governance e dei percorsi formativi; una seconda fase (mesi 18–36) di avvio del servizio nello scenario conservativo; fasi successive (mesi 36+) di consolidamento ed estensione, scandite dalla verifica degli esiti. L’iter legislativo regionale e la valutazione di compatibilità da parte della struttura commissariale ne determinano i tempi effettivi.</w:t>
      </w:r>
    </w:p>
    <w:bookmarkEnd w:id="2969"/>
    <w:bookmarkStart w:id="2970" w:name="i.4-la-sostenibilità-2"/>
    <w:p>
      <w:pPr>
        <w:pStyle w:val="Heading3"/>
      </w:pPr>
      <w:r>
        <w:t xml:space="preserve">I.4 La sostenibilità</w:t>
      </w:r>
    </w:p>
    <w:p>
      <w:pPr>
        <w:pStyle w:val="FirstParagraph"/>
      </w:pPr>
      <w:r>
        <w:t xml:space="preserve">La sostenibilità finanziaria è documentata dalla Parte E: il costo del servizio è dello 0,06–0,5 per cento del fondo sanitario a seconda dello scenario, e il saldo diretto prossimo al pareggio ne riduce l’impatto netto. La compatibilità con il piano di rientro è la condizione aggiuntiva rispetto alle regioni non commissariate: essa è garantita dalla modestia del costo, dalla gradualità del dispiegamento e dalla valutazione di compatibilità preventiva con la struttura commissariale, che deve includere l’intervento nel Programma Operativo come misura di efficienza e di prevenzione della cronicizzazione. La sostenibilità organizzativa dipende dalla governance snella, dall’investimento negli strumenti digitali e dall’integrazione con la rete territoriale esistente dell’ASREM.</w:t>
      </w:r>
    </w:p>
    <w:bookmarkEnd w:id="2970"/>
    <w:bookmarkStart w:id="2972" w:name="i.5-i-rischi-e-le-mitigazioni-4"/>
    <w:p>
      <w:pPr>
        <w:pStyle w:val="Heading3"/>
      </w:pPr>
      <w:r>
        <w:t xml:space="preserve">I.5 I rischi e le mitigazioni</w:t>
      </w:r>
    </w:p>
    <w:p>
      <w:pPr>
        <w:pStyle w:val="FirstParagraph"/>
      </w:pPr>
      <w:r>
        <w:t xml:space="preserve">I principali rischi e le relative mitigazioni sono:</w:t>
      </w:r>
    </w:p>
    <w:p>
      <w:pPr>
        <w:pStyle w:val="BodyText"/>
      </w:pPr>
      <w:r>
        <w:rPr>
          <w:b/>
          <w:bCs/>
        </w:rPr>
        <w:t xml:space="preserve">Rischio giuridico-commissariale</w:t>
      </w:r>
      <w:r>
        <w:t xml:space="preserve">: la struttura commissariale non approva il nuovo impegno di spesa. Mitigazione: valutazione preventiva di compatibilità con il PO, presentazione come misura di efficienza nell’ambito della prevenzione della cronicizzazione, inserimento graduale nel quadro del PO 2025–2027.</w:t>
      </w:r>
    </w:p>
    <w:p>
      <w:pPr>
        <w:pStyle w:val="BodyText"/>
      </w:pPr>
      <w:r>
        <w:rPr>
          <w:b/>
          <w:bCs/>
        </w:rPr>
        <w:t xml:space="preserve">Rischio finanziario</w:t>
      </w:r>
      <w:r>
        <w:t xml:space="preserve">: dimensionamento eccessivo rispetto alla capacità del bilancio. Mitigazione: avvio nello scenario conservativo (400.000 euro/anno), già previsto dalla proposta di legge, e accrescimento graduale.</w:t>
      </w:r>
    </w:p>
    <w:p>
      <w:pPr>
        <w:pStyle w:val="BodyText"/>
      </w:pPr>
      <w:r>
        <w:rPr>
          <w:b/>
          <w:bCs/>
        </w:rPr>
        <w:t xml:space="preserve">Rischio di reclutamento</w:t>
      </w:r>
      <w:r>
        <w:t xml:space="preserve">: difficoltà di reperire e trattenere personale qualificato. Mitigazione: collaborazione con l’Università del Molise e con gli atenei delle regioni limitrofe; percorsi formativi dedicati.</w:t>
      </w:r>
    </w:p>
    <w:p>
      <w:pPr>
        <w:pStyle w:val="BodyText"/>
      </w:pPr>
      <w:r>
        <w:rPr>
          <w:b/>
          <w:bCs/>
        </w:rPr>
        <w:t xml:space="preserve">Rischio territoriale</w:t>
      </w:r>
      <w:r>
        <w:t xml:space="preserve">: il servizio non raggiunge le aree interne. Mitigazione: distribuzione capillare nei tre distretti, telepsicologia strutturale, monitoraggio dell’equità geografica.</w:t>
      </w:r>
    </w:p>
    <w:p>
      <w:pPr>
        <w:pStyle w:val="BodyText"/>
      </w:pPr>
      <w:r>
        <w:rPr>
          <w:b/>
          <w:bCs/>
        </w:rPr>
        <w:t xml:space="preserve">Rischio di illegittimità</w:t>
      </w:r>
      <w:r>
        <w:t xml:space="preserve">: la legge regionale non rispetta i limiti costituzionali. Mitigazione: costruzione del testo normativo tenendo conto della sentenza 241/2021 e delle esperienze delle altre regioni, già disponibili come repertorio di soluzioni.</w:t>
      </w:r>
      <w:r>
        <w:rPr>
          <w:rStyle w:val="FootnoteReference"/>
        </w:rPr>
        <w:footnoteReference w:id="3187"/>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Finalità, controfattuale, indicatori, cruscotto, sintesi</w:t>
      </w:r>
    </w:p>
    <w:p>
      <w:pPr>
        <w:pStyle w:val="BodyText"/>
      </w:pPr>
      <w:r>
        <w:t xml:space="preserve">Dominio HTA: Monitoraggio — Caso gestionale — Criteri OCSE-DAC: Efficacia e impatto</w:t>
      </w:r>
    </w:p>
    <w:bookmarkEnd w:id="2972"/>
    <w:bookmarkEnd w:id="2973"/>
    <w:bookmarkStart w:id="2981" w:name="Xd766fce5fa0a0515a5af75a79f675f0003789f6"/>
    <w:p>
      <w:pPr>
        <w:pStyle w:val="Heading2"/>
      </w:pPr>
      <w:r>
        <w:t xml:space="preserve">Parte L — Monitoraggio e valutazione ex post</w:t>
      </w:r>
    </w:p>
    <w:p>
      <w:pPr>
        <w:pStyle w:val="FirstParagraph"/>
      </w:pPr>
      <w:r>
        <w:t xml:space="preserve">Un servizio pubblico va valutato non solo prima della sua istituzione, ma anche durante e dopo la sua attuazione. Questa parte definisce l’impianto del monitoraggio e della valutazione ex post del servizio in Molise: le finalità, i metodi, la batteria di indicatori, gli strumenti di restituzione e di governo.</w:t>
      </w:r>
    </w:p>
    <w:bookmarkStart w:id="2975" w:name="l.1-finalità-e-impianto"/>
    <w:p>
      <w:pPr>
        <w:pStyle w:val="Heading3"/>
      </w:pPr>
      <w:r>
        <w:t xml:space="preserve">L.1 Finalità e impianto</w:t>
      </w:r>
    </w:p>
    <w:p>
      <w:pPr>
        <w:pStyle w:val="FirstParagraph"/>
      </w:pPr>
      <w:r>
        <w:t xml:space="preserve">Il monitoraggio persegue quattro finalità: la verifica dell’attuazione; la misurazione degli esiti; la correzione degli scostamenti; e la rendicontazione agli organi di governo e ai tavoli tecnici del piano di rientro. Quest’ultima finalità ha in Molise un rilievo istituzionale specifico: la struttura commissariale richiede una rendicontazione periodica dell’impiego delle risorse sanitarie, e il sistema di monitoraggio del servizio costituisce lo strumento per dimostrare la compatibilità dell’intervento con gli obiettivi del piano di rientro e per alimentarne la valutazione. L’impianto si articola su monitoraggio continuo e valutazione periodica, fondati sul sistema informativo descritto nella Parte C, e deve essere sostenibile per un sistema con risorse amministrative contenute.</w:t>
      </w:r>
      <w:r>
        <w:rPr>
          <w:rStyle w:val="FootnoteReference"/>
        </w:rPr>
        <w:footnoteReference w:id="3188"/>
      </w:r>
    </w:p>
    <w:bookmarkEnd w:id="2975"/>
    <w:bookmarkStart w:id="2976" w:name="l.2-il-controfattuale-e-i-metodi"/>
    <w:p>
      <w:pPr>
        <w:pStyle w:val="Heading3"/>
      </w:pPr>
      <w:r>
        <w:t xml:space="preserve">L.2 Il controfattuale e i metodi</w:t>
      </w:r>
    </w:p>
    <w:p>
      <w:pPr>
        <w:pStyle w:val="FirstParagraph"/>
      </w:pPr>
      <w:r>
        <w:t xml:space="preserve">Il dispiegamento graduale del servizio nei tre distretti offre l’opportunità di costruire disegni valutativi robusti: la sequenza di attivazione fra i distretti consente confronti fra aree in cui il servizio è già attivo e aree in cui non lo è ancora. La rilevazione di una linea di base prima dell’avvio del servizio — degli indicatori di attività, di esito e di consumo sanitario nello stato attuale — è la condizione perché tali confronti siano possibili, e va predisposta contestualmente alla progettazione.</w:t>
      </w:r>
    </w:p>
    <w:bookmarkEnd w:id="2976"/>
    <w:bookmarkStart w:id="2977" w:name="l.3-la-batteria-di-indicatori"/>
    <w:p>
      <w:pPr>
        <w:pStyle w:val="Heading3"/>
      </w:pPr>
      <w:r>
        <w:t xml:space="preserve">L.3 La batteria di indicatori</w:t>
      </w:r>
    </w:p>
    <w:p>
      <w:pPr>
        <w:pStyle w:val="FirstParagraph"/>
      </w:pPr>
      <w:r>
        <w:t xml:space="preserve">La batteria di indicatori è organizzata in otto categorie: accesso e copertura; attività e processi; esiti clinici; esiti di sistema; equità; integrazione; economia; qualità percepita e soddisfazione. La disaggregazione degli indicatori per territorio e per condizione sociale è essenziale per verificare il raggiungimento degli obiettivi di equità. Per il Molise, sono particolarmente rilevanti: il tasso di copertura per fascia di età — con focus sugli anziani over 65, componente principale del bisogno — e per comune di residenza — con focus sui comuni interni distanti dal capoluogo di distretto; la quota di accessi attraverso telepsicologia; e il risparmio diretto per canale, verificato sui dati osservati e presentato ai tavoli tecnici del piano di rientro come evidenza della sostenibilità. Il dettaglio degli indicatori è riportato nell’Appendice B.</w:t>
      </w:r>
    </w:p>
    <w:bookmarkEnd w:id="2977"/>
    <w:bookmarkStart w:id="2978" w:name="X8b444f58b0ec688caca38c0cb04b8d65b0cbf4a"/>
    <w:p>
      <w:pPr>
        <w:pStyle w:val="Heading3"/>
      </w:pPr>
      <w:r>
        <w:t xml:space="preserve">L.4 Il cruscotto e la clausola valutativa</w:t>
      </w:r>
    </w:p>
    <w:p>
      <w:pPr>
        <w:pStyle w:val="FirstParagraph"/>
      </w:pPr>
      <w:r>
        <w:t xml:space="preserve">Il cruscotto di monitoraggio, alimentato dal sistema informativo, consente agli organi di governo del servizio e alla struttura commissariale di osservarne l’andamento in tempo reale, individuando gli scostamenti e orientando le risorse. La clausola valutativa — lo strumento giuridico che àncora il monitoraggio alla decisione politica — va inserita nella legge regionale istitutiva del servizio, prevedendo l’obbligo di valutarne periodicamente l’attuazione e gli esiti e di riferirne al Consiglio regionale e, per i profili di compatibilità con il piano di rientro, alla struttura commissariale. Poiché il Molise deve ancora legiferare, esso ha l’opportunità di incorporare questi strumenti fin dall’origine nel testo istitutivo, costruendo un servizio valutabile per disegno.</w:t>
      </w:r>
    </w:p>
    <w:bookmarkEnd w:id="2978"/>
    <w:bookmarkStart w:id="2980" w:name="l.5-sintesi"/>
    <w:p>
      <w:pPr>
        <w:pStyle w:val="Heading3"/>
      </w:pPr>
      <w:r>
        <w:t xml:space="preserve">L.5 Sintesi</w:t>
      </w:r>
    </w:p>
    <w:p>
      <w:pPr>
        <w:pStyle w:val="FirstParagraph"/>
      </w:pPr>
      <w:r>
        <w:t xml:space="preserve">L’impianto di monitoraggio costituisce la condizione perché il servizio sia governato sulla base dell’evidenza e perché la valutazione ex ante si trasformi in conoscenza fondata sull’osservazione. Per il Molise risponde a una tripla esigenza: governare un servizio in tre distretti in un territorio disperso e con risorse limitate; colmare la lacuna di dati regionali che rende le stime iniziali incerte; e fornire alla struttura commissariale l’evidenza necessaria per certificare la compatibilità dell’intervento con il piano di rientro. La trasformazione delle stime in osservazioni è, per il Molise, il contributo conoscitivo più rilevante del monitoraggio.</w:t>
      </w:r>
      <w:r>
        <w:rPr>
          <w:rStyle w:val="FootnoteReference"/>
        </w:rPr>
        <w:footnoteReference w:id="3189"/>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Sintesi per dominio, analisi multi-criterio, raccomandazione, condizioni, conclusione</w:t>
      </w:r>
    </w:p>
    <w:p>
      <w:pPr>
        <w:pStyle w:val="BodyText"/>
      </w:pPr>
      <w:r>
        <w:t xml:space="preserve">Dominio HTA: Sintesi e decisione — Tutti i casi — Tutti i criteri OCSE-DAC</w:t>
      </w:r>
    </w:p>
    <w:bookmarkEnd w:id="2980"/>
    <w:bookmarkEnd w:id="2981"/>
    <w:bookmarkStart w:id="2988" w:name="Xb6da3cdccccd6906e414c2ee3c52a015e2019da"/>
    <w:p>
      <w:pPr>
        <w:pStyle w:val="Heading2"/>
      </w:pPr>
      <w:r>
        <w:t xml:space="preserve">Parte M — Sintesi multidimensionale e raccomandazioni</w:t>
      </w:r>
    </w:p>
    <w:p>
      <w:pPr>
        <w:pStyle w:val="FirstParagraph"/>
      </w:pPr>
      <w:r>
        <w:t xml:space="preserve">Questa parte conclusiva ricompone in una valutazione unitaria le analisi sviluppate nei singoli domini, ne integra gli esiti attraverso un’analisi multi-criterio, formula la raccomandazione e ne precisa il dimensionamento, dichiara le condizioni e le lacune, e colloca lo studio nella serie regionale. La raccomandazione non riguarda la modalità di gestione di un servizio esistente, ma la stessa opportunità di istituirlo e la forma da adottare in un contesto di commissariamento sanitario, e si rivolge al legislatore regionale, alla struttura commissariale e alla Giunta.</w:t>
      </w:r>
    </w:p>
    <w:bookmarkStart w:id="2982" w:name="m.1-la-sintesi-per-dominio-5"/>
    <w:p>
      <w:pPr>
        <w:pStyle w:val="Heading3"/>
      </w:pPr>
      <w:r>
        <w:t xml:space="preserve">M.1 La sintesi per dominio</w:t>
      </w:r>
    </w:p>
    <w:p>
      <w:pPr>
        <w:pStyle w:val="FirstParagraph"/>
      </w:pPr>
      <w:r>
        <w:t xml:space="preserve">Le analisi condotte convergono in un quadro coerente. Sul piano del</w:t>
      </w:r>
      <w:r>
        <w:t xml:space="preserve"> </w:t>
      </w:r>
      <w:r>
        <w:rPr>
          <w:b/>
          <w:bCs/>
        </w:rPr>
        <w:t xml:space="preserve">bisogno</w:t>
      </w:r>
      <w:r>
        <w:t xml:space="preserve">, la Parte B ha documentato un disagio psichico comune ampio e in larga parte inevaso, stimato in ~50.000 persone, accentuato da una struttura demografica fra le più anziane del Paese — indice di vecchiaia 281, quota over-65 al 29 per cento — da una dispersione insediativa che rende l’accesso ai servizi strutturalmente difficile e da un piano di rientro che ha compresso le risorse destinate alla salute mentale.</w:t>
      </w:r>
    </w:p>
    <w:p>
      <w:pPr>
        <w:pStyle w:val="BodyText"/>
      </w:pPr>
      <w:r>
        <w:t xml:space="preserve">Sul piano dell’</w:t>
      </w:r>
      <w:r>
        <w:rPr>
          <w:b/>
          <w:bCs/>
        </w:rPr>
        <w:t xml:space="preserve">efficacia</w:t>
      </w:r>
      <w:r>
        <w:t xml:space="preserve">, la Parte D ha documentato che gli interventi psicologici precoci per il disagio comune sono efficaci, con una qualità dell’evidenza da moderata ad alta, e che la loro trasferibilità al contesto molisano è favorita dalla natura del bisogno e condizionata dalla dispersione e dalla scarsità di risorse.</w:t>
      </w:r>
    </w:p>
    <w:p>
      <w:pPr>
        <w:pStyle w:val="BodyText"/>
      </w:pPr>
      <w:r>
        <w:t xml:space="preserve">Sul piano</w:t>
      </w:r>
      <w:r>
        <w:t xml:space="preserve"> </w:t>
      </w:r>
      <w:r>
        <w:rPr>
          <w:b/>
          <w:bCs/>
        </w:rPr>
        <w:t xml:space="preserve">economico</w:t>
      </w:r>
      <w:r>
        <w:t xml:space="preserve">, la Parte E ha documentato che il servizio comporta un saldo diretto prossimo al pareggio — trascurabile nella scala del fondo sanitario regionale — e restituisce alla collettività un rapporto beneficio-costo compreso fra 3,3 e 4,8 a uno, entro la fascia Chisholm. Ha evidenziato come il rendimento marginale più elevato in sistemi in piano di rientro amplifichi il valore effettivo di ogni euro recuperato. La Parte F ha confermato la robustezza di queste conclusioni.</w:t>
      </w:r>
    </w:p>
    <w:p>
      <w:pPr>
        <w:pStyle w:val="BodyText"/>
      </w:pPr>
      <w:r>
        <w:t xml:space="preserve">Sul piano dell’</w:t>
      </w:r>
      <w:r>
        <w:rPr>
          <w:b/>
          <w:bCs/>
        </w:rPr>
        <w:t xml:space="preserve">equità</w:t>
      </w:r>
      <w:r>
        <w:t xml:space="preserve">, la Parte G ha documentato che il servizio, se progettato con capillarità e telepsicologia, riduce simultaneamente il gradiente sociale e il divario territoriale, con una costo-efficacia massima proprio nei gruppi a maggiore bisogno.</w:t>
      </w:r>
    </w:p>
    <w:p>
      <w:pPr>
        <w:pStyle w:val="BodyText"/>
      </w:pPr>
      <w:r>
        <w:t xml:space="preserve">Sul piano dei</w:t>
      </w:r>
      <w:r>
        <w:t xml:space="preserve"> </w:t>
      </w:r>
      <w:r>
        <w:rPr>
          <w:b/>
          <w:bCs/>
        </w:rPr>
        <w:t xml:space="preserve">profili</w:t>
      </w:r>
      <w:r>
        <w:t xml:space="preserve">, la Parte H ha documentato che il servizio è istituibile entro i limiti costituzionali e compatibile con il piano di rientro, governabile attraverso la struttura unica dell’ASREM e giusto sul piano etico, a condizione che siano rispettate alcune condizioni di progettazione. Sul piano dell’</w:t>
      </w:r>
      <w:r>
        <w:rPr>
          <w:b/>
          <w:bCs/>
        </w:rPr>
        <w:t xml:space="preserve">attuazione</w:t>
      </w:r>
      <w:r>
        <w:t xml:space="preserve">, la Parte I ha documentato che il servizio è fattibile e sostenibile attraverso un dispiegamento graduale, e la Parte L ha definito l’impianto di monitoraggio.</w:t>
      </w:r>
    </w:p>
    <w:bookmarkEnd w:id="2982"/>
    <w:bookmarkStart w:id="2983" w:name="m.2-lanalisi-multi-criterio-10"/>
    <w:p>
      <w:pPr>
        <w:pStyle w:val="Heading3"/>
      </w:pPr>
      <w:r>
        <w:t xml:space="preserve">M.2 L’analisi multi-criterio</w:t>
      </w:r>
    </w:p>
    <w:tbl>
      <w:tblPr>
        <w:tblStyle w:val="Table"/>
        <w:tblW w:type="pct" w:w="489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201"/>
        <w:gridCol w:w="1516"/>
        <w:gridCol w:w="1516"/>
        <w:gridCol w:w="1516"/>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Criterio</w:t>
            </w:r>
          </w:p>
        </w:tc>
        <w:tc>
          <w:tcPr>
            <w:shd w:val="clear" w:color="auto" w:fill="16264B"/>
          </w:tcPr>
          <w:p>
            <w:pPr>
              <w:pStyle w:val="Compact"/>
              <w:spacing w:after="40" w:before="40"/>
              <w:jc w:val="left"/>
            </w:pPr>
            <w:r>
              <w:rPr>
                <w:rFonts w:ascii="Cambria" w:hAnsi="Cambria" w:cs="Cambria" w:eastAsia="Cambria"/>
                <w:b/>
                <w:color w:val="FFFFFF"/>
                <w:sz w:val="18"/>
              </w:rPr>
              <w:t xml:space="preserve">Peso</w:t>
            </w:r>
          </w:p>
        </w:tc>
        <w:tc>
          <w:tcPr>
            <w:shd w:val="clear" w:color="auto" w:fill="16264B"/>
          </w:tcPr>
          <w:p>
            <w:pPr>
              <w:pStyle w:val="Compact"/>
              <w:spacing w:after="40" w:before="40"/>
              <w:jc w:val="left"/>
            </w:pPr>
            <w:r>
              <w:rPr>
                <w:rFonts w:ascii="Cambria" w:hAnsi="Cambria" w:cs="Cambria" w:eastAsia="Cambria"/>
                <w:b/>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color w:val="FFFFFF"/>
                <w:sz w:val="18"/>
              </w:rPr>
              <w:t xml:space="preserve">Non intervento</w:t>
            </w:r>
          </w:p>
        </w:tc>
      </w:tr>
      <w:tr>
        <w:tc>
          <w:tcPr/>
          <w:p>
            <w:pPr>
              <w:pStyle w:val="Compact"/>
              <w:spacing w:after="40" w:before="40"/>
              <w:jc w:val="left"/>
            </w:pPr>
            <w:r>
              <w:rPr>
                <w:rFonts w:ascii="Cambria" w:hAnsi="Cambria" w:cs="Cambria" w:eastAsia="Cambria"/>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0,15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color w:val="1A1A1A"/>
                <w:sz w:val="18"/>
              </w:rPr>
              <w:t xml:space="preserve">Costo-efficacia e ritorno</w:t>
            </w:r>
          </w:p>
        </w:tc>
        <w:tc>
          <w:tcPr>
            <w:shd w:val="clear" w:color="auto" w:fill="F4F1EC"/>
          </w:tcPr>
          <w:p>
            <w:pPr>
              <w:pStyle w:val="Compact"/>
              <w:spacing w:after="40" w:before="40"/>
              <w:jc w:val="left"/>
            </w:pPr>
            <w:r>
              <w:rPr>
                <w:rFonts w:ascii="Cambria" w:hAnsi="Cambria" w:cs="Cambria" w:eastAsia="Cambria"/>
                <w:color w:val="1A1A1A"/>
                <w:sz w:val="18"/>
              </w:rPr>
              <w:t xml:space="preserve">0,20</w:t>
            </w:r>
          </w:p>
        </w:tc>
        <w:tc>
          <w:tcPr>
            <w:shd w:val="clear" w:color="auto" w:fill="F4F1EC"/>
          </w:tcPr>
          <w:p>
            <w:pPr>
              <w:pStyle w:val="Compact"/>
              <w:spacing w:after="40" w:before="40"/>
              <w:jc w:val="left"/>
            </w:pPr>
            <w:r>
              <w:rPr>
                <w:rFonts w:ascii="Cambria" w:hAnsi="Cambria" w:cs="Cambria" w:eastAsia="Cambria"/>
                <w:color w:val="1A1A1A"/>
                <w:sz w:val="18"/>
              </w:rPr>
              <w:t xml:space="preserve">76</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r>
      <w:tr>
        <w:tc>
          <w:tcPr/>
          <w:p>
            <w:pPr>
              <w:pStyle w:val="Compact"/>
              <w:spacing w:after="40" w:before="40"/>
              <w:jc w:val="left"/>
            </w:pPr>
            <w:r>
              <w:rPr>
                <w:rFonts w:ascii="Cambria" w:hAnsi="Cambria" w:cs="Cambria" w:eastAsia="Cambria"/>
                <w:color w:val="1A1A1A"/>
                <w:sz w:val="18"/>
              </w:rPr>
              <w:t xml:space="preserve">Impatto di bilancio e sostenibilità</w:t>
            </w:r>
          </w:p>
        </w:tc>
        <w:tc>
          <w:tcPr/>
          <w:p>
            <w:pPr>
              <w:pStyle w:val="Compact"/>
              <w:spacing w:after="40" w:before="40"/>
              <w:jc w:val="left"/>
            </w:pPr>
            <w:r>
              <w:rPr>
                <w:rFonts w:ascii="Cambria" w:hAnsi="Cambria" w:cs="Cambria" w:eastAsia="Cambria"/>
                <w:color w:val="1A1A1A"/>
                <w:sz w:val="18"/>
              </w:rPr>
              <w:t xml:space="preserve">0,15</w:t>
            </w:r>
          </w:p>
        </w:tc>
        <w:tc>
          <w:tcPr/>
          <w:p>
            <w:pPr>
              <w:pStyle w:val="Compact"/>
              <w:spacing w:after="40" w:before="40"/>
              <w:jc w:val="left"/>
            </w:pPr>
            <w:r>
              <w:rPr>
                <w:rFonts w:ascii="Cambria" w:hAnsi="Cambria" w:cs="Cambria" w:eastAsia="Cambria"/>
                <w:color w:val="1A1A1A"/>
                <w:sz w:val="18"/>
              </w:rPr>
              <w:t xml:space="preserve">65</w:t>
            </w:r>
          </w:p>
        </w:tc>
        <w:tc>
          <w:tcPr/>
          <w:p>
            <w:pPr>
              <w:pStyle w:val="Compact"/>
              <w:spacing w:after="40" w:before="40"/>
              <w:jc w:val="left"/>
            </w:pPr>
            <w:r>
              <w:rPr>
                <w:rFonts w:ascii="Cambria" w:hAnsi="Cambria" w:cs="Cambria" w:eastAsia="Cambria"/>
                <w:color w:val="1A1A1A"/>
                <w:sz w:val="18"/>
              </w:rPr>
              <w:t xml:space="preserve">45</w:t>
            </w:r>
          </w:p>
        </w:tc>
      </w:tr>
      <w:tr>
        <w:tc>
          <w:tcPr>
            <w:shd w:val="clear" w:color="auto" w:fill="F4F1EC"/>
          </w:tcPr>
          <w:p>
            <w:pPr>
              <w:pStyle w:val="Compact"/>
              <w:spacing w:after="40" w:before="40"/>
              <w:jc w:val="left"/>
            </w:pPr>
            <w:r>
              <w:rPr>
                <w:rFonts w:ascii="Cambria" w:hAnsi="Cambria" w:cs="Cambria" w:eastAsia="Cambria"/>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0,15</w:t>
            </w:r>
          </w:p>
        </w:tc>
        <w:tc>
          <w:tcPr>
            <w:shd w:val="clear" w:color="auto" w:fill="F4F1EC"/>
          </w:tcPr>
          <w:p>
            <w:pPr>
              <w:pStyle w:val="Compact"/>
              <w:spacing w:after="40" w:before="40"/>
              <w:jc w:val="left"/>
            </w:pPr>
            <w:r>
              <w:rPr>
                <w:rFonts w:ascii="Cambria" w:hAnsi="Cambria" w:cs="Cambria" w:eastAsia="Cambria"/>
                <w:color w:val="1A1A1A"/>
                <w:sz w:val="18"/>
              </w:rPr>
              <w:t xml:space="preserve">88</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r>
      <w:tr>
        <w:tc>
          <w:tcPr/>
          <w:p>
            <w:pPr>
              <w:pStyle w:val="Compact"/>
              <w:spacing w:after="40" w:before="40"/>
              <w:jc w:val="left"/>
            </w:pPr>
            <w:r>
              <w:rPr>
                <w:rFonts w:ascii="Cambria" w:hAnsi="Cambria" w:cs="Cambria" w:eastAsia="Cambria"/>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0,10</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color w:val="1A1A1A"/>
                <w:sz w:val="18"/>
              </w:rPr>
              <w:t xml:space="preserve">Fattibilità</w:t>
            </w:r>
          </w:p>
        </w:tc>
        <w:tc>
          <w:tcPr>
            <w:shd w:val="clear" w:color="auto" w:fill="F4F1EC"/>
          </w:tcPr>
          <w:p>
            <w:pPr>
              <w:pStyle w:val="Compact"/>
              <w:spacing w:after="40" w:before="40"/>
              <w:jc w:val="left"/>
            </w:pPr>
            <w:r>
              <w:rPr>
                <w:rFonts w:ascii="Cambria" w:hAnsi="Cambria" w:cs="Cambria" w:eastAsia="Cambria"/>
                <w:color w:val="1A1A1A"/>
                <w:sz w:val="18"/>
              </w:rPr>
              <w:t xml:space="preserve">0,10</w:t>
            </w:r>
          </w:p>
        </w:tc>
        <w:tc>
          <w:tcPr>
            <w:shd w:val="clear" w:color="auto" w:fill="F4F1EC"/>
          </w:tcPr>
          <w:p>
            <w:pPr>
              <w:pStyle w:val="Compact"/>
              <w:spacing w:after="40" w:before="40"/>
              <w:jc w:val="left"/>
            </w:pPr>
            <w:r>
              <w:rPr>
                <w:rFonts w:ascii="Cambria" w:hAnsi="Cambria" w:cs="Cambria" w:eastAsia="Cambria"/>
                <w:color w:val="1A1A1A"/>
                <w:sz w:val="18"/>
              </w:rPr>
              <w:t xml:space="preserve">58</w:t>
            </w:r>
          </w:p>
        </w:tc>
        <w:tc>
          <w:tcPr>
            <w:shd w:val="clear" w:color="auto" w:fill="F4F1EC"/>
          </w:tcPr>
          <w:p>
            <w:pPr>
              <w:pStyle w:val="Compact"/>
              <w:spacing w:after="40" w:before="40"/>
              <w:jc w:val="left"/>
            </w:pPr>
            <w:r>
              <w:rPr>
                <w:rFonts w:ascii="Cambria" w:hAnsi="Cambria" w:cs="Cambria" w:eastAsia="Cambria"/>
                <w:color w:val="1A1A1A"/>
                <w:sz w:val="18"/>
              </w:rPr>
              <w:t xml:space="preserve">80</w:t>
            </w:r>
          </w:p>
        </w:tc>
      </w:tr>
      <w:tr>
        <w:tc>
          <w:tcPr/>
          <w:p>
            <w:pPr>
              <w:pStyle w:val="Compact"/>
              <w:spacing w:after="40" w:before="40"/>
              <w:jc w:val="left"/>
            </w:pPr>
            <w:r>
              <w:rPr>
                <w:rFonts w:ascii="Cambria" w:hAnsi="Cambria" w:cs="Cambria" w:eastAsia="Cambria"/>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0,10</w:t>
            </w:r>
          </w:p>
        </w:tc>
        <w:tc>
          <w:tcPr/>
          <w:p>
            <w:pPr>
              <w:pStyle w:val="Compact"/>
              <w:spacing w:after="40" w:before="40"/>
              <w:jc w:val="left"/>
            </w:pPr>
            <w:r>
              <w:rPr>
                <w:rFonts w:ascii="Cambria" w:hAnsi="Cambria" w:cs="Cambria" w:eastAsia="Cambria"/>
                <w:color w:val="1A1A1A"/>
                <w:sz w:val="18"/>
              </w:rPr>
              <w:t xml:space="preserve">70</w:t>
            </w:r>
          </w:p>
        </w:tc>
        <w:tc>
          <w:tcPr/>
          <w:p>
            <w:pPr>
              <w:pStyle w:val="Compact"/>
              <w:spacing w:after="40" w:before="40"/>
              <w:jc w:val="left"/>
            </w:pPr>
            <w:r>
              <w:rPr>
                <w:rFonts w:ascii="Cambria" w:hAnsi="Cambria" w:cs="Cambria" w:eastAsia="Cambria"/>
                <w:color w:val="1A1A1A"/>
                <w:sz w:val="18"/>
              </w:rPr>
              <w:t xml:space="preserve">50</w:t>
            </w:r>
          </w:p>
        </w:tc>
      </w:tr>
      <w:tr>
        <w:tc>
          <w:tcPr>
            <w:shd w:val="clear" w:color="auto" w:fill="F4F1EC"/>
          </w:tcPr>
          <w:p>
            <w:pPr>
              <w:pStyle w:val="Compact"/>
              <w:spacing w:after="40" w:before="40"/>
              <w:jc w:val="left"/>
            </w:pPr>
            <w:r>
              <w:rPr>
                <w:rFonts w:ascii="Cambria" w:hAnsi="Cambria" w:cs="Cambria" w:eastAsia="Cambria"/>
                <w:color w:val="1A1A1A"/>
                <w:sz w:val="18"/>
              </w:rPr>
              <w:t xml:space="preserve">Coerenza strategica</w:t>
            </w:r>
          </w:p>
        </w:tc>
        <w:tc>
          <w:tcPr>
            <w:shd w:val="clear" w:color="auto" w:fill="F4F1EC"/>
          </w:tcPr>
          <w:p>
            <w:pPr>
              <w:pStyle w:val="Compact"/>
              <w:spacing w:after="40" w:before="40"/>
              <w:jc w:val="left"/>
            </w:pPr>
            <w:r>
              <w:rPr>
                <w:rFonts w:ascii="Cambria" w:hAnsi="Cambria" w:cs="Cambria" w:eastAsia="Cambria"/>
                <w:color w:val="1A1A1A"/>
                <w:sz w:val="18"/>
              </w:rPr>
              <w:t xml:space="preserve">0,05</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b/>
                <w:bCs/>
                <w:color w:val="1A1A1A"/>
                <w:sz w:val="18"/>
              </w:rPr>
              <w:t xml:space="preserve">1,00</w:t>
            </w:r>
          </w:p>
        </w:tc>
        <w:tc>
          <w:tcPr/>
          <w:p>
            <w:pPr>
              <w:pStyle w:val="Compact"/>
              <w:spacing w:after="40" w:before="40"/>
              <w:jc w:val="left"/>
            </w:pPr>
            <w:r>
              <w:rPr>
                <w:rFonts w:ascii="Cambria" w:hAnsi="Cambria" w:cs="Cambria" w:eastAsia="Cambria"/>
                <w:b/>
                <w:bCs/>
                <w:color w:val="1A1A1A"/>
                <w:sz w:val="18"/>
              </w:rPr>
              <w:t xml:space="preserve">74,50</w:t>
            </w:r>
          </w:p>
        </w:tc>
        <w:tc>
          <w:tcPr/>
          <w:p>
            <w:pPr>
              <w:pStyle w:val="Compact"/>
              <w:spacing w:after="40" w:before="40"/>
              <w:jc w:val="left"/>
            </w:pPr>
            <w:r>
              <w:rPr>
                <w:rFonts w:ascii="Cambria" w:hAnsi="Cambria" w:cs="Cambria" w:eastAsia="Cambria"/>
                <w:b/>
                <w:bCs/>
                <w:color w:val="1A1A1A"/>
                <w:sz w:val="18"/>
              </w:rPr>
              <w:t xml:space="preserve">37,00</w:t>
            </w:r>
          </w:p>
        </w:tc>
      </w:tr>
    </w:tbl>
    <w:p>
      <w:pPr>
        <w:pStyle w:val="BodyText"/>
      </w:pPr>
      <w:r>
        <w:rPr>
          <w:i/>
          <w:iCs/>
        </w:rPr>
        <w:t xml:space="preserve">Tabella M.1. Analisi multi-criterio: pesi, punteggi e punteggio complessivo ponderato. I pesi sono invarianti nella serie regionale; i punteggi riflettono le condizioni specifiche del Molise, con un punteggio di sostenibilità e fattibilità ridotto rispetto alla Basilicata in ragione del contesto di commissariamento.</w:t>
      </w:r>
    </w:p>
    <w:p>
      <w:pPr>
        <w:pStyle w:val="BodyText"/>
      </w:pPr>
      <w:r>
        <w:t xml:space="preserve">Il punteggio complessivo dell’intervento, pari a 74,50, supera nettamente quello del non intervento, pari a 37,00, con un differenziale di oltre trentasette punti. L’intervento prevale su tutti i criteri a eccezione della fattibilità, sul quale il non intervento ottiene un punteggio superiore in ragione della maggiore facilità di non agire, e in misura accentuata rispetto alla Basilicata a causa del contesto di commissariamento. Il punteggio di equità — 88 — è fra i più elevati della serie regionale, a riflettere l’acuità dei divari demografici, sociali e territoriali che caratterizzano il Molise. La riduzione del punteggio di costo-efficacia e sostenibilità rispetto ad altre regioni è compensata da quella di equità e di efficacia clinica, confermando la prevalenza netta dell’intervento.</w:t>
      </w:r>
    </w:p>
    <w:bookmarkEnd w:id="2983"/>
    <w:bookmarkStart w:id="2984" w:name="X0718d0a5d985fdd06315153288de4d26db7aca9"/>
    <w:p>
      <w:pPr>
        <w:pStyle w:val="Heading3"/>
      </w:pPr>
      <w:r>
        <w:t xml:space="preserve">M.3 La raccomandazione e il dimensionamento</w:t>
      </w:r>
    </w:p>
    <w:p>
      <w:pPr>
        <w:pStyle w:val="FirstParagraph"/>
      </w:pPr>
      <w:r>
        <w:t xml:space="preserve">Sulla base delle analisi condotte e della loro sintesi, lo studio</w:t>
      </w:r>
      <w:r>
        <w:t xml:space="preserve"> </w:t>
      </w:r>
      <w:r>
        <w:rPr>
          <w:b/>
          <w:bCs/>
        </w:rPr>
        <w:t xml:space="preserve">raccomanda l’introduzione del servizio di psicologia di base in Molise</w:t>
      </w:r>
      <w:r>
        <w:t xml:space="preserve">. La raccomandazione è fondata sulla convergenza delle evidenze: un bisogno ampio e inevaso, accentuato dalle condizioni demografiche e di piano di rientro; un’efficacia clinica documentata; un saldo diretto prossimo al pareggio e un ritorno sociale elevato, con un rendimento marginale più elevato in un sistema in tensione; una capacità di ridurre le disuguaglianze in una delle regioni più anziane e più disperse del Paese; e una fattibilità reale, condizionata al rispetto dei limiti giuridici, alla compatibilità con il piano di rientro e a un dispiegamento graduale. La raccomandazione si rivolge al legislatore regionale e alla struttura commissariale.</w:t>
      </w:r>
    </w:p>
    <w:p>
      <w:pPr>
        <w:pStyle w:val="BodyText"/>
      </w:pPr>
      <w:r>
        <w:t xml:space="preserve">Quanto al dimensionamento, lo studio raccomanda un</w:t>
      </w:r>
      <w:r>
        <w:t xml:space="preserve"> </w:t>
      </w:r>
      <w:r>
        <w:rPr>
          <w:b/>
          <w:bCs/>
        </w:rPr>
        <w:t xml:space="preserve">dispiegamento graduale</w:t>
      </w:r>
      <w:r>
        <w:t xml:space="preserve">. La raccomandazione è di avviare il servizio con il dimensionamento della proposta di legge — sei incarichi nei tre distretti, scenario conservativo, ~400.000 euro/anno — come primo nucleo sostenibile per il bilancio commissariato e come fase di costruzione della governance; di consolidare ed estendere il servizio verso lo scenario base di ~30 incarichi sulla base degli esiti rilevati; e di portarlo alla piena attuazione con ~55–65 incarichi, garantendo la capillarità che la dispersione molisana richiede. Il percorso graduale consente di avviare il servizio con un impegno compatibile con il piano di rientro, di verificarne gli esiti e di accrescerne la portata in modo governato.</w:t>
      </w:r>
    </w:p>
    <w:bookmarkEnd w:id="2984"/>
    <w:bookmarkStart w:id="2985" w:name="m.4-le-condizioni-e-la-lacuna"/>
    <w:p>
      <w:pPr>
        <w:pStyle w:val="Heading3"/>
      </w:pPr>
      <w:r>
        <w:t xml:space="preserve">M.4 Le condizioni e la lacuna</w:t>
      </w:r>
    </w:p>
    <w:p>
      <w:pPr>
        <w:pStyle w:val="FirstParagraph"/>
      </w:pPr>
      <w:r>
        <w:t xml:space="preserve">La raccomandazione è subordinata a cinque condizioni. La</w:t>
      </w:r>
      <w:r>
        <w:t xml:space="preserve"> </w:t>
      </w:r>
      <w:r>
        <w:rPr>
          <w:b/>
          <w:bCs/>
        </w:rPr>
        <w:t xml:space="preserve">prima</w:t>
      </w:r>
      <w:r>
        <w:t xml:space="preserve"> </w:t>
      </w:r>
      <w:r>
        <w:t xml:space="preserve">è la compatibilità con il piano di rientro: la legge regionale istitutiva del servizio deve essere valutata favorevolmente dalla struttura commissariale e inserita nel Programma Operativo come misura di efficienza e di prevenzione. La</w:t>
      </w:r>
      <w:r>
        <w:t xml:space="preserve"> </w:t>
      </w:r>
      <w:r>
        <w:rPr>
          <w:b/>
          <w:bCs/>
        </w:rPr>
        <w:t xml:space="preserve">seconda</w:t>
      </w:r>
      <w:r>
        <w:t xml:space="preserve"> </w:t>
      </w:r>
      <w:r>
        <w:t xml:space="preserve">è giuridica: la legge deve conformarsi ai limiti della sentenza 241/2021, evitando di disciplinare autonomamente i rapporti convenzionali. La</w:t>
      </w:r>
      <w:r>
        <w:t xml:space="preserve"> </w:t>
      </w:r>
      <w:r>
        <w:rPr>
          <w:b/>
          <w:bCs/>
        </w:rPr>
        <w:t xml:space="preserve">terza</w:t>
      </w:r>
      <w:r>
        <w:t xml:space="preserve"> </w:t>
      </w:r>
      <w:r>
        <w:t xml:space="preserve">è la progettazione secondo equità: il servizio deve essere progettato con capillarità territoriale, telepsicologia strutturale, gratuità o basso costo per le fasce fragili e accesso diretto. La</w:t>
      </w:r>
      <w:r>
        <w:t xml:space="preserve"> </w:t>
      </w:r>
      <w:r>
        <w:rPr>
          <w:b/>
          <w:bCs/>
        </w:rPr>
        <w:t xml:space="preserve">quarta</w:t>
      </w:r>
      <w:r>
        <w:t xml:space="preserve"> </w:t>
      </w:r>
      <w:r>
        <w:t xml:space="preserve">è la gradualità del dispiegamento, calibrata sulla capacità finanziaria e organizzativa del sistema commissariato. La</w:t>
      </w:r>
      <w:r>
        <w:t xml:space="preserve"> </w:t>
      </w:r>
      <w:r>
        <w:rPr>
          <w:b/>
          <w:bCs/>
        </w:rPr>
        <w:t xml:space="preserve">quinta</w:t>
      </w:r>
      <w:r>
        <w:t xml:space="preserve"> </w:t>
      </w:r>
      <w:r>
        <w:t xml:space="preserve">è l’inclusione, nella legge istitutiva, di una clausola valutativa che renda il servizio valutabile per disegno e ne documenti la compatibilità con gli obiettivi del piano di rientro.</w:t>
      </w:r>
    </w:p>
    <w:p>
      <w:pPr>
        <w:pStyle w:val="BodyText"/>
      </w:pPr>
      <w:r>
        <w:t xml:space="preserve">La lacuna principale è conoscitiva, e riguarda la scarsità di dati regionali diretti sul bisogno, sull’efficacia nel contesto specifico e sui risparmi per canale. Questa lacuna non inficia la raccomandazione, fondata su evidenze solide quanto alla direzione e all’ordine di grandezza degli effetti, ma ne segna il limite: le stime quantitative sono da intendersi come stime centrali entro bande di incertezza. La lacuna si colmerà attraverso il monitoraggio che il servizio, una volta avviato, alimenta con i dati della propria attività.</w:t>
      </w:r>
    </w:p>
    <w:bookmarkEnd w:id="2985"/>
    <w:bookmarkStart w:id="2987" w:name="X6d674745c830f7e6af801f23a2ab166f5c1b171"/>
    <w:p>
      <w:pPr>
        <w:pStyle w:val="Heading3"/>
      </w:pPr>
      <w:r>
        <w:t xml:space="preserve">M.5 La collocazione nella serie e la conclusione</w:t>
      </w:r>
    </w:p>
    <w:p>
      <w:pPr>
        <w:pStyle w:val="FirstParagraph"/>
      </w:pPr>
      <w:r>
        <w:t xml:space="preserve">Lo studio del Molise fa parte di una serie costruita con il medesimo impianto metodologico che consente il confronto sistematico fra i contesti regionali. Entro questa serie, il Molise occupa una posizione peculiare e per molti aspetti la più difficile: è la regione più piccola per popolazione esaminata insieme alla Valle d’Aosta, e l’unica ad essere contemporaneamente sotto commissariamento sanitario e in fase anteriore all’istituzione del servizio. La Basilicata è il riferimento più vicino per dimensione, posizione di fase anteriore e assenza di legge, con la differenza importante del piano di rientro. Le regioni del Sud in piano di rientro — Calabria, Campania, Abruzzo — che hanno già istituito il servizio offrono il benchmark di compatibilità con i vincoli finanziari.</w:t>
      </w:r>
    </w:p>
    <w:p>
      <w:pPr>
        <w:pStyle w:val="BodyText"/>
      </w:pPr>
      <w:r>
        <w:t xml:space="preserve">La conclusione dello studio ricompone questi elementi nella tesi che lo attraversa. Il servizio di psicologia di base costa al bilancio sanitario molisano una cifra modesta, con un saldo diretto prossimo al pareggio; restituisce alla collettività un valore dell’ordine di tre-cinque euro per ogni euro speso; risponde a un bisogno ampio e inevaso in una delle regioni più anziane d’Italia; riduce le disuguaglianze sociali e territoriali in un contesto di estrema dispersione; e ha un rendimento marginale più elevato proprio perché il sistema è in tensione. Il contesto di piano di rientro non riduce la convenienza dell’intervento: al contrario, in un sistema commissariato ogni euro recuperato ha un effetto amplificato, e un servizio che si ripaga quasi interamente attraverso i risparmi che genera è uno strumento raro di efficienza in un bilancio sotto scrutinio. Per una regione che deve ancora decidere se istituire il servizio, che ha la proposta di legge depositata e che dispone dell’opportunità di costruirlo fin dall’origine in conformità ai limiti costituzionali e compatibilmente con il piano di rientro, le evidenze raccolte convergono in un’indicazione netta: l’introduzione del servizio, progettata nelle condizioni indicate e attuata gradualmente, è una scelta razionale, sostenibile e di elevato rendimento collettivo. L’analisi multi-criterio, che assegna all’intervento un punteggio di 74,50 contro 37,00 del non intervento, ne è la sintesi quantitativa.</w:t>
      </w:r>
      <w:r>
        <w:rPr>
          <w:rStyle w:val="FootnoteReference"/>
        </w:rPr>
        <w:footnoteReference w:id="3190"/>
      </w:r>
    </w:p>
    <w:p>
      <w:r>
        <w:pict>
          <v:rect style="width:0;height:1.5pt" o:hralign="center" o:hrstd="t" o:hr="t"/>
        </w:pict>
      </w:r>
    </w:p>
    <w:bookmarkEnd w:id="2987"/>
    <w:bookmarkEnd w:id="2988"/>
    <w:bookmarkStart w:id="2992" w:name="X38e29f31485099daa56f07aeb5a63c4305a28df"/>
    <w:p>
      <w:pPr>
        <w:pStyle w:val="Heading2"/>
      </w:pPr>
      <w:r>
        <w:t xml:space="preserve">Appendice A — Il caso di riferimento e i parametri del modello</w:t>
      </w:r>
    </w:p>
    <w:p>
      <w:pPr>
        <w:pStyle w:val="FirstParagraph"/>
      </w:pPr>
      <w:r>
        <w:t xml:space="preserve">Questa appendice raccoglie il materiale tecnico su cui si fonda la quantificazione economica dello studio: il caso di riferimento, i parametri del modello di Markov e il quadro economico consolidato per il Molise.</w:t>
      </w:r>
    </w:p>
    <w:bookmarkStart w:id="2989" w:name="a.1-il-caso-di-riferimento-1"/>
    <w:p>
      <w:pPr>
        <w:pStyle w:val="Heading3"/>
      </w:pPr>
      <w:r>
        <w:t xml:space="preserve">A.1 Il caso di riferimento</w:t>
      </w:r>
    </w:p>
    <w:p>
      <w:pPr>
        <w:pStyle w:val="FirstParagraph"/>
      </w:pPr>
      <w:r>
        <w:t xml:space="preserve">Il caso di riferimento è un paziente adulto residente in Molise con un disturbo d’ansia o dell’umore di intensità lieve o moderata, che accede al servizio di psicologia di base e riceve un ciclo di interventi psicologici brevi di efficacia documentata. Su questo caso è costruita la stima degli esiti clinici ed economici per paziente, successivamente proiettata sulla popolazione attraverso gli scenari di copertura.</w:t>
      </w:r>
    </w:p>
    <w:bookmarkEnd w:id="2989"/>
    <w:bookmarkStart w:id="2990" w:name="a.2-i-parametri-del-modello-di-markov-1"/>
    <w:p>
      <w:pPr>
        <w:pStyle w:val="Heading3"/>
      </w:pPr>
      <w:r>
        <w:t xml:space="preserve">A.2 I parametri del modello di Markov</w:t>
      </w:r>
    </w:p>
    <w:tbl>
      <w:tblPr>
        <w:tblStyle w:val="Table"/>
        <w:tblW w:type="pct" w:w="488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379"/>
        <w:gridCol w:w="3354"/>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color w:val="FFFFFF"/>
                <w:sz w:val="18"/>
              </w:rPr>
              <w:t xml:space="preserve">Valore</w:t>
            </w:r>
          </w:p>
        </w:tc>
      </w:tr>
      <w:tr>
        <w:tc>
          <w:tcPr/>
          <w:p>
            <w:pPr>
              <w:pStyle w:val="Compact"/>
              <w:spacing w:after="40" w:before="40"/>
              <w:jc w:val="left"/>
            </w:pPr>
            <w:r>
              <w:rPr>
                <w:rFonts w:ascii="Cambria" w:hAnsi="Cambria" w:cs="Cambria" w:eastAsia="Cambria"/>
                <w:color w:val="1A1A1A"/>
                <w:sz w:val="18"/>
              </w:rPr>
              <w:t xml:space="preserve">Orizzonte temporale</w:t>
            </w:r>
          </w:p>
        </w:tc>
        <w:tc>
          <w:tcPr/>
          <w:p>
            <w:pPr>
              <w:pStyle w:val="Compact"/>
              <w:spacing w:after="40" w:before="40"/>
              <w:jc w:val="left"/>
            </w:pPr>
            <w:r>
              <w:rPr>
                <w:rFonts w:ascii="Cambria" w:hAnsi="Cambria" w:cs="Cambria" w:eastAsia="Cambria"/>
                <w:color w:val="1A1A1A"/>
                <w:sz w:val="18"/>
              </w:rPr>
              <w:t xml:space="preserve">5 anni</w:t>
            </w:r>
          </w:p>
        </w:tc>
      </w:tr>
      <w:tr>
        <w:tc>
          <w:tcPr>
            <w:shd w:val="clear" w:color="auto" w:fill="F4F1EC"/>
          </w:tcPr>
          <w:p>
            <w:pPr>
              <w:pStyle w:val="Compact"/>
              <w:spacing w:after="40" w:before="40"/>
              <w:jc w:val="left"/>
            </w:pPr>
            <w:r>
              <w:rPr>
                <w:rFonts w:ascii="Cambria" w:hAnsi="Cambria" w:cs="Cambria" w:eastAsia="Cambria"/>
                <w:color w:val="1A1A1A"/>
                <w:sz w:val="18"/>
              </w:rPr>
              <w:t xml:space="preserve">Tasso di sconto</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r>
      <w:tr>
        <w:tc>
          <w:tcPr/>
          <w:p>
            <w:pPr>
              <w:pStyle w:val="Compact"/>
              <w:spacing w:after="40" w:before="40"/>
              <w:jc w:val="left"/>
            </w:pPr>
            <w:r>
              <w:rPr>
                <w:rFonts w:ascii="Cambria" w:hAnsi="Cambria" w:cs="Cambria" w:eastAsia="Cambria"/>
                <w:color w:val="1A1A1A"/>
                <w:sz w:val="18"/>
              </w:rPr>
              <w:t xml:space="preserve">Soglia di disponibilità a pagare</w:t>
            </w:r>
          </w:p>
        </w:tc>
        <w:tc>
          <w:tcPr/>
          <w:p>
            <w:pPr>
              <w:pStyle w:val="Compact"/>
              <w:spacing w:after="40" w:before="40"/>
              <w:jc w:val="left"/>
            </w:pPr>
            <w:r>
              <w:rPr>
                <w:rFonts w:ascii="Cambria" w:hAnsi="Cambria" w:cs="Cambria" w:eastAsia="Cambria"/>
                <w:color w:val="1A1A1A"/>
                <w:sz w:val="18"/>
              </w:rPr>
              <w:t xml:space="preserve">30.000 €/QALY</w:t>
            </w:r>
          </w:p>
        </w:tc>
      </w:tr>
      <w:tr>
        <w:tc>
          <w:tcPr>
            <w:shd w:val="clear" w:color="auto" w:fill="F4F1EC"/>
          </w:tcPr>
          <w:p>
            <w:pPr>
              <w:pStyle w:val="Compact"/>
              <w:spacing w:after="40" w:before="40"/>
              <w:jc w:val="left"/>
            </w:pPr>
            <w:r>
              <w:rPr>
                <w:rFonts w:ascii="Cambria" w:hAnsi="Cambria" w:cs="Cambria" w:eastAsia="Cambria"/>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r>
      <w:tr>
        <w:tc>
          <w:tcPr/>
          <w:p>
            <w:pPr>
              <w:pStyle w:val="Compact"/>
              <w:spacing w:after="40" w:before="40"/>
              <w:jc w:val="left"/>
            </w:pPr>
            <w:r>
              <w:rPr>
                <w:rFonts w:ascii="Cambria" w:hAnsi="Cambria" w:cs="Cambria" w:eastAsia="Cambria"/>
                <w:color w:val="1A1A1A"/>
                <w:sz w:val="18"/>
              </w:rPr>
              <w:t xml:space="preserve">Costo per ciclo — stato di recupero</w:t>
            </w:r>
          </w:p>
        </w:tc>
        <w:tc>
          <w:tcPr/>
          <w:p>
            <w:pPr>
              <w:pStyle w:val="Compact"/>
              <w:spacing w:after="40" w:before="40"/>
              <w:jc w:val="left"/>
            </w:pPr>
            <w:r>
              <w:rPr>
                <w:rFonts w:ascii="Cambria" w:hAnsi="Cambria" w:cs="Cambria" w:eastAsia="Cambria"/>
                <w:color w:val="1A1A1A"/>
                <w:sz w:val="18"/>
              </w:rPr>
              <w:t xml:space="preserve">~40 €</w:t>
            </w:r>
          </w:p>
        </w:tc>
      </w:tr>
      <w:tr>
        <w:tc>
          <w:tcPr>
            <w:shd w:val="clear" w:color="auto" w:fill="F4F1EC"/>
          </w:tcPr>
          <w:p>
            <w:pPr>
              <w:pStyle w:val="Compact"/>
              <w:spacing w:after="40" w:before="40"/>
              <w:jc w:val="left"/>
            </w:pPr>
            <w:r>
              <w:rPr>
                <w:rFonts w:ascii="Cambria" w:hAnsi="Cambria" w:cs="Cambria" w:eastAsia="Cambria"/>
                <w:color w:val="1A1A1A"/>
                <w:sz w:val="18"/>
              </w:rPr>
              <w:t xml:space="preserve">Costo per ciclo — stato di cronicizzazione</w:t>
            </w:r>
          </w:p>
        </w:tc>
        <w:tc>
          <w:tcPr>
            <w:shd w:val="clear" w:color="auto" w:fill="F4F1EC"/>
          </w:tcPr>
          <w:p>
            <w:pPr>
              <w:pStyle w:val="Compact"/>
              <w:spacing w:after="40" w:before="40"/>
              <w:jc w:val="left"/>
            </w:pPr>
            <w:r>
              <w:rPr>
                <w:rFonts w:ascii="Cambria" w:hAnsi="Cambria" w:cs="Cambria" w:eastAsia="Cambria"/>
                <w:color w:val="1A1A1A"/>
                <w:sz w:val="18"/>
              </w:rPr>
              <w:t xml:space="preserve">~700 €</w:t>
            </w:r>
          </w:p>
        </w:tc>
      </w:tr>
      <w:tr>
        <w:tc>
          <w:tcPr/>
          <w:p>
            <w:pPr>
              <w:pStyle w:val="Compact"/>
              <w:spacing w:after="40" w:before="40"/>
              <w:jc w:val="left"/>
            </w:pPr>
            <w:r>
              <w:rPr>
                <w:rFonts w:ascii="Cambria" w:hAnsi="Cambria" w:cs="Cambria" w:eastAsia="Cambria"/>
                <w:color w:val="1A1A1A"/>
                <w:sz w:val="18"/>
              </w:rPr>
              <w:t xml:space="preserve">Risparmio diretto stimato per paziente</w:t>
            </w:r>
          </w:p>
        </w:tc>
        <w:tc>
          <w:tcPr/>
          <w:p>
            <w:pPr>
              <w:pStyle w:val="Compact"/>
              <w:spacing w:after="40" w:before="40"/>
              <w:jc w:val="left"/>
            </w:pPr>
            <w:r>
              <w:rPr>
                <w:rFonts w:ascii="Cambria" w:hAnsi="Cambria" w:cs="Cambria" w:eastAsia="Cambria"/>
                <w:color w:val="1A1A1A"/>
                <w:sz w:val="18"/>
              </w:rPr>
              <w:t xml:space="preserve">~1.304 €</w:t>
            </w:r>
          </w:p>
        </w:tc>
      </w:tr>
      <w:tr>
        <w:tc>
          <w:tcPr>
            <w:shd w:val="clear" w:color="auto" w:fill="F4F1EC"/>
          </w:tcPr>
          <w:p>
            <w:pPr>
              <w:pStyle w:val="Compact"/>
              <w:spacing w:after="40" w:before="40"/>
              <w:jc w:val="left"/>
            </w:pPr>
            <w:r>
              <w:rPr>
                <w:rFonts w:ascii="Cambria" w:hAnsi="Cambria" w:cs="Cambria" w:eastAsia="Cambria"/>
                <w:color w:val="1A1A1A"/>
                <w:sz w:val="18"/>
              </w:rPr>
              <w:t xml:space="preserve">Guadagno di salute stimato per paziente</w:t>
            </w:r>
          </w:p>
        </w:tc>
        <w:tc>
          <w:tcPr>
            <w:shd w:val="clear" w:color="auto" w:fill="F4F1EC"/>
          </w:tcPr>
          <w:p>
            <w:pPr>
              <w:pStyle w:val="Compact"/>
              <w:spacing w:after="40" w:before="40"/>
              <w:jc w:val="left"/>
            </w:pPr>
            <w:r>
              <w:rPr>
                <w:rFonts w:ascii="Cambria" w:hAnsi="Cambria" w:cs="Cambria" w:eastAsia="Cambria"/>
                <w:color w:val="1A1A1A"/>
                <w:sz w:val="18"/>
              </w:rPr>
              <w:t xml:space="preserve">~0,236 QALY</w:t>
            </w:r>
          </w:p>
        </w:tc>
      </w:tr>
    </w:tbl>
    <w:p>
      <w:pPr>
        <w:pStyle w:val="BodyText"/>
      </w:pPr>
      <w:r>
        <w:rPr>
          <w:i/>
          <w:iCs/>
        </w:rPr>
        <w:t xml:space="preserve">Tabella A.1. Parametri principali del modello e risultati per paziente. I valori per paziente sono fondati sull’efficacia clinica documentata e sono invarianti rispetto al contesto regionale.</w:t>
      </w:r>
    </w:p>
    <w:p>
      <w:pPr>
        <w:pStyle w:val="BodyText"/>
      </w:pPr>
      <w:r>
        <w:t xml:space="preserve">L’analisi di sensibilità probabilistica, condotta con 10.000 simulazioni, documenta che alla soglia di 30.000 euro per QALY l’intervento risulta costo-efficace nell’88,9 per cento delle simulazioni e dominante nell’84,6 per cento. Il beneficio netto monetario medio è dell’ordine di ~7.815 euro per paziente, con intervallo di confidenza al 95 per cento fra −5.736 e +21.501 euro.</w:t>
      </w:r>
    </w:p>
    <w:bookmarkEnd w:id="2990"/>
    <w:bookmarkStart w:id="2991" w:name="a.3-il-quadro-economico-consolidato-1"/>
    <w:p>
      <w:pPr>
        <w:pStyle w:val="Heading3"/>
      </w:pPr>
      <w:r>
        <w:t xml:space="preserve">A.3 Il quadro economico consolidato</w:t>
      </w:r>
    </w:p>
    <w:tbl>
      <w:tblPr>
        <w:tblStyle w:val="Table"/>
        <w:tblW w:type="pct" w:w="490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960"/>
        <w:gridCol w:w="1504"/>
        <w:gridCol w:w="950"/>
        <w:gridCol w:w="1346"/>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Grandezza (mln €/anno)</w:t>
            </w:r>
          </w:p>
        </w:tc>
        <w:tc>
          <w:tcPr>
            <w:shd w:val="clear" w:color="auto" w:fill="16264B"/>
          </w:tcPr>
          <w:p>
            <w:pPr>
              <w:pStyle w:val="Compact"/>
              <w:spacing w:after="40" w:before="40"/>
              <w:jc w:val="left"/>
            </w:pPr>
            <w:r>
              <w:rPr>
                <w:rFonts w:ascii="Cambria" w:hAnsi="Cambria" w:cs="Cambria" w:eastAsia="Cambria"/>
                <w:b/>
                <w:color w:val="FFFFFF"/>
                <w:sz w:val="18"/>
              </w:rPr>
              <w:t xml:space="preserve">Conservativo (6)</w:t>
            </w:r>
          </w:p>
        </w:tc>
        <w:tc>
          <w:tcPr>
            <w:shd w:val="clear" w:color="auto" w:fill="16264B"/>
          </w:tcPr>
          <w:p>
            <w:pPr>
              <w:pStyle w:val="Compact"/>
              <w:spacing w:after="40" w:before="40"/>
              <w:jc w:val="left"/>
            </w:pPr>
            <w:r>
              <w:rPr>
                <w:rFonts w:ascii="Cambria" w:hAnsi="Cambria" w:cs="Cambria" w:eastAsia="Cambria"/>
                <w:b/>
                <w:color w:val="FFFFFF"/>
                <w:sz w:val="18"/>
              </w:rPr>
              <w:t xml:space="preserve">Base (30)</w:t>
            </w:r>
          </w:p>
        </w:tc>
        <w:tc>
          <w:tcPr>
            <w:shd w:val="clear" w:color="auto" w:fill="16264B"/>
          </w:tcPr>
          <w:p>
            <w:pPr>
              <w:pStyle w:val="Compact"/>
              <w:spacing w:after="40" w:before="40"/>
              <w:jc w:val="left"/>
            </w:pPr>
            <w:r>
              <w:rPr>
                <w:rFonts w:ascii="Cambria" w:hAnsi="Cambria" w:cs="Cambria" w:eastAsia="Cambria"/>
                <w:b/>
                <w:color w:val="FFFFFF"/>
                <w:sz w:val="18"/>
              </w:rPr>
              <w:t xml:space="preserve">Espansivo (60)</w:t>
            </w:r>
          </w:p>
        </w:tc>
      </w:tr>
      <w:tr>
        <w:tc>
          <w:tcPr/>
          <w:p>
            <w:pPr>
              <w:pStyle w:val="Compact"/>
              <w:spacing w:after="40" w:before="40"/>
              <w:jc w:val="left"/>
            </w:pPr>
            <w:r>
              <w:rPr>
                <w:rFonts w:ascii="Cambria" w:hAnsi="Cambria" w:cs="Cambria" w:eastAsia="Cambria"/>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~0,4</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~3,5</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 diretti — 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~0,05</w:t>
            </w:r>
          </w:p>
        </w:tc>
        <w:tc>
          <w:tcPr>
            <w:shd w:val="clear" w:color="auto" w:fill="F4F1EC"/>
          </w:tcPr>
          <w:p>
            <w:pPr>
              <w:pStyle w:val="Compact"/>
              <w:spacing w:after="40" w:before="40"/>
              <w:jc w:val="left"/>
            </w:pPr>
            <w:r>
              <w:rPr>
                <w:rFonts w:ascii="Cambria" w:hAnsi="Cambria" w:cs="Cambria" w:eastAsia="Cambria"/>
                <w:color w:val="1A1A1A"/>
                <w:sz w:val="18"/>
              </w:rPr>
              <w:t xml:space="preserve">~0,3</w:t>
            </w:r>
          </w:p>
        </w:tc>
        <w:tc>
          <w:tcPr>
            <w:shd w:val="clear" w:color="auto" w:fill="F4F1EC"/>
          </w:tcPr>
          <w:p>
            <w:pPr>
              <w:pStyle w:val="Compact"/>
              <w:spacing w:after="40" w:before="40"/>
              <w:jc w:val="left"/>
            </w:pPr>
            <w:r>
              <w:rPr>
                <w:rFonts w:ascii="Cambria" w:hAnsi="Cambria" w:cs="Cambria" w:eastAsia="Cambria"/>
                <w:color w:val="1A1A1A"/>
                <w:sz w:val="18"/>
              </w:rPr>
              <w:t xml:space="preserve">~0,8</w:t>
            </w:r>
          </w:p>
        </w:tc>
      </w:tr>
      <w:tr>
        <w:tc>
          <w:tcPr/>
          <w:p>
            <w:pPr>
              <w:pStyle w:val="Compact"/>
              <w:spacing w:after="40" w:before="40"/>
              <w:jc w:val="left"/>
            </w:pPr>
            <w:r>
              <w:rPr>
                <w:rFonts w:ascii="Cambria" w:hAnsi="Cambria" w:cs="Cambria" w:eastAsia="Cambria"/>
                <w:color w:val="1A1A1A"/>
                <w:sz w:val="18"/>
              </w:rPr>
              <w:t xml:space="preserve">Risparmi diretti — farmaceutica</w:t>
            </w:r>
          </w:p>
        </w:tc>
        <w:tc>
          <w:tcPr/>
          <w:p>
            <w:pPr>
              <w:pStyle w:val="Compact"/>
              <w:spacing w:after="40" w:before="40"/>
              <w:jc w:val="left"/>
            </w:pPr>
            <w:r>
              <w:rPr>
                <w:rFonts w:ascii="Cambria" w:hAnsi="Cambria" w:cs="Cambria" w:eastAsia="Cambria"/>
                <w:color w:val="1A1A1A"/>
                <w:sz w:val="18"/>
              </w:rPr>
              <w:t xml:space="preserve">~0,05</w:t>
            </w:r>
          </w:p>
        </w:tc>
        <w:tc>
          <w:tcPr/>
          <w:p>
            <w:pPr>
              <w:pStyle w:val="Compact"/>
              <w:spacing w:after="40" w:before="40"/>
              <w:jc w:val="left"/>
            </w:pPr>
            <w:r>
              <w:rPr>
                <w:rFonts w:ascii="Cambria" w:hAnsi="Cambria" w:cs="Cambria" w:eastAsia="Cambria"/>
                <w:color w:val="1A1A1A"/>
                <w:sz w:val="18"/>
              </w:rPr>
              <w:t xml:space="preserve">~0,3</w:t>
            </w:r>
          </w:p>
        </w:tc>
        <w:tc>
          <w:tcPr/>
          <w:p>
            <w:pPr>
              <w:pStyle w:val="Compact"/>
              <w:spacing w:after="40" w:before="40"/>
              <w:jc w:val="left"/>
            </w:pPr>
            <w:r>
              <w:rPr>
                <w:rFonts w:ascii="Cambria" w:hAnsi="Cambria" w:cs="Cambria" w:eastAsia="Cambria"/>
                <w:color w:val="1A1A1A"/>
                <w:sz w:val="18"/>
              </w:rPr>
              <w:t xml:space="preserve">~0,7</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 diretti — ricoveri e specialistica</w:t>
            </w:r>
          </w:p>
        </w:tc>
        <w:tc>
          <w:tcPr>
            <w:shd w:val="clear" w:color="auto" w:fill="F4F1EC"/>
          </w:tcPr>
          <w:p>
            <w:pPr>
              <w:pStyle w:val="Compact"/>
              <w:spacing w:after="40" w:before="40"/>
              <w:jc w:val="left"/>
            </w:pPr>
            <w:r>
              <w:rPr>
                <w:rFonts w:ascii="Cambria" w:hAnsi="Cambria" w:cs="Cambria" w:eastAsia="Cambria"/>
                <w:color w:val="1A1A1A"/>
                <w:sz w:val="18"/>
              </w:rPr>
              <w:t xml:space="preserve">~0,3</w:t>
            </w:r>
          </w:p>
        </w:tc>
        <w:tc>
          <w:tcPr>
            <w:shd w:val="clear" w:color="auto" w:fill="F4F1EC"/>
          </w:tcPr>
          <w:p>
            <w:pPr>
              <w:pStyle w:val="Compact"/>
              <w:spacing w:after="40" w:before="40"/>
              <w:jc w:val="left"/>
            </w:pPr>
            <w:r>
              <w:rPr>
                <w:rFonts w:ascii="Cambria" w:hAnsi="Cambria" w:cs="Cambria" w:eastAsia="Cambria"/>
                <w:color w:val="1A1A1A"/>
                <w:sz w:val="18"/>
              </w:rPr>
              <w:t xml:space="preserve">~0,7</w:t>
            </w:r>
          </w:p>
        </w:tc>
        <w:tc>
          <w:tcPr>
            <w:shd w:val="clear" w:color="auto" w:fill="F4F1EC"/>
          </w:tcPr>
          <w:p>
            <w:pPr>
              <w:pStyle w:val="Compact"/>
              <w:spacing w:after="40" w:before="40"/>
              <w:jc w:val="left"/>
            </w:pPr>
            <w:r>
              <w:rPr>
                <w:rFonts w:ascii="Cambria" w:hAnsi="Cambria" w:cs="Cambria" w:eastAsia="Cambria"/>
                <w:color w:val="1A1A1A"/>
                <w:sz w:val="18"/>
              </w:rPr>
              <w:t xml:space="preserve">~1,2</w:t>
            </w:r>
          </w:p>
        </w:tc>
      </w:tr>
      <w:tr>
        <w:tc>
          <w:tcPr/>
          <w:p>
            <w:pPr>
              <w:pStyle w:val="Compact"/>
              <w:spacing w:after="40" w:before="40"/>
              <w:jc w:val="left"/>
            </w:pPr>
            <w:r>
              <w:rPr>
                <w:rFonts w:ascii="Cambria" w:hAnsi="Cambria" w:cs="Cambria" w:eastAsia="Cambria"/>
                <w:color w:val="1A1A1A"/>
                <w:sz w:val="18"/>
              </w:rPr>
              <w:t xml:space="preserve">Risparmi diretti — mobilità media/bassa compl.</w:t>
            </w:r>
          </w:p>
        </w:tc>
        <w:tc>
          <w:tcPr/>
          <w:p>
            <w:pPr>
              <w:pStyle w:val="Compact"/>
              <w:spacing w:after="40" w:before="40"/>
              <w:jc w:val="left"/>
            </w:pPr>
            <w:r>
              <w:rPr>
                <w:rFonts w:ascii="Cambria" w:hAnsi="Cambria" w:cs="Cambria" w:eastAsia="Cambria"/>
                <w:color w:val="1A1A1A"/>
                <w:sz w:val="18"/>
              </w:rPr>
              <w:t xml:space="preserve">~0,3</w:t>
            </w:r>
          </w:p>
        </w:tc>
        <w:tc>
          <w:tcPr/>
          <w:p>
            <w:pPr>
              <w:pStyle w:val="Compact"/>
              <w:spacing w:after="40" w:before="40"/>
              <w:jc w:val="left"/>
            </w:pPr>
            <w:r>
              <w:rPr>
                <w:rFonts w:ascii="Cambria" w:hAnsi="Cambria" w:cs="Cambria" w:eastAsia="Cambria"/>
                <w:color w:val="1A1A1A"/>
                <w:sz w:val="18"/>
              </w:rPr>
              <w:t xml:space="preserve">~0,4</w:t>
            </w:r>
          </w:p>
        </w:tc>
        <w:tc>
          <w:tcPr/>
          <w:p>
            <w:pPr>
              <w:pStyle w:val="Compact"/>
              <w:spacing w:after="40" w:before="40"/>
              <w:jc w:val="left"/>
            </w:pPr>
            <w:r>
              <w:rPr>
                <w:rFonts w:ascii="Cambria" w:hAnsi="Cambria" w:cs="Cambria" w:eastAsia="Cambria"/>
                <w:color w:val="1A1A1A"/>
                <w:sz w:val="18"/>
              </w:rPr>
              <w:t xml:space="preserve">~0,5</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 diretti totali</w:t>
            </w:r>
          </w:p>
        </w:tc>
        <w:tc>
          <w:tcPr>
            <w:shd w:val="clear" w:color="auto" w:fill="F4F1EC"/>
          </w:tcPr>
          <w:p>
            <w:pPr>
              <w:pStyle w:val="Compact"/>
              <w:spacing w:after="40" w:before="40"/>
              <w:jc w:val="left"/>
            </w:pPr>
            <w:r>
              <w:rPr>
                <w:rFonts w:ascii="Cambria" w:hAnsi="Cambria" w:cs="Cambria" w:eastAsia="Cambria"/>
                <w:color w:val="1A1A1A"/>
                <w:sz w:val="18"/>
              </w:rPr>
              <w:t xml:space="preserve">~0,7</w:t>
            </w:r>
          </w:p>
        </w:tc>
        <w:tc>
          <w:tcPr>
            <w:shd w:val="clear" w:color="auto" w:fill="F4F1EC"/>
          </w:tcPr>
          <w:p>
            <w:pPr>
              <w:pStyle w:val="Compact"/>
              <w:spacing w:after="40" w:before="40"/>
              <w:jc w:val="left"/>
            </w:pPr>
            <w:r>
              <w:rPr>
                <w:rFonts w:ascii="Cambria" w:hAnsi="Cambria" w:cs="Cambria" w:eastAsia="Cambria"/>
                <w:color w:val="1A1A1A"/>
                <w:sz w:val="18"/>
              </w:rPr>
              <w:t xml:space="preserve">~1,7</w:t>
            </w:r>
          </w:p>
        </w:tc>
        <w:tc>
          <w:tcPr>
            <w:shd w:val="clear" w:color="auto" w:fill="F4F1EC"/>
          </w:tcPr>
          <w:p>
            <w:pPr>
              <w:pStyle w:val="Compact"/>
              <w:spacing w:after="40" w:before="40"/>
              <w:jc w:val="left"/>
            </w:pPr>
            <w:r>
              <w:rPr>
                <w:rFonts w:ascii="Cambria" w:hAnsi="Cambria" w:cs="Cambria" w:eastAsia="Cambria"/>
                <w:color w:val="1A1A1A"/>
                <w:sz w:val="18"/>
              </w:rPr>
              <w:t xml:space="preserve">~3,2</w:t>
            </w:r>
          </w:p>
        </w:tc>
      </w:tr>
      <w:tr>
        <w:tc>
          <w:tcPr/>
          <w:p>
            <w:pPr>
              <w:pStyle w:val="Compact"/>
              <w:spacing w:after="40" w:before="40"/>
              <w:jc w:val="left"/>
            </w:pPr>
            <w:r>
              <w:rPr>
                <w:rFonts w:ascii="Cambria" w:hAnsi="Cambria" w:cs="Cambria" w:eastAsia="Cambria"/>
                <w:color w:val="1A1A1A"/>
                <w:sz w:val="18"/>
              </w:rPr>
              <w:t xml:space="preserve">Saldo diretto — caso finanziario</w:t>
            </w:r>
          </w:p>
        </w:tc>
        <w:tc>
          <w:tcPr/>
          <w:p>
            <w:pPr>
              <w:pStyle w:val="Compact"/>
              <w:spacing w:after="40" w:before="40"/>
              <w:jc w:val="left"/>
            </w:pPr>
            <w:r>
              <w:rPr>
                <w:rFonts w:ascii="Cambria" w:hAnsi="Cambria" w:cs="Cambria" w:eastAsia="Cambria"/>
                <w:color w:val="1A1A1A"/>
                <w:sz w:val="18"/>
              </w:rPr>
              <w:t xml:space="preserve">~ −0,3</w:t>
            </w:r>
          </w:p>
        </w:tc>
        <w:tc>
          <w:tcPr/>
          <w:p>
            <w:pPr>
              <w:pStyle w:val="Compact"/>
              <w:spacing w:after="40" w:before="40"/>
              <w:jc w:val="left"/>
            </w:pPr>
            <w:r>
              <w:rPr>
                <w:rFonts w:ascii="Cambria" w:hAnsi="Cambria" w:cs="Cambria" w:eastAsia="Cambria"/>
                <w:color w:val="1A1A1A"/>
                <w:sz w:val="18"/>
              </w:rPr>
              <w:t xml:space="preserve">~ −0,3</w:t>
            </w:r>
          </w:p>
        </w:tc>
        <w:tc>
          <w:tcPr/>
          <w:p>
            <w:pPr>
              <w:pStyle w:val="Compact"/>
              <w:spacing w:after="40" w:before="40"/>
              <w:jc w:val="left"/>
            </w:pPr>
            <w:r>
              <w:rPr>
                <w:rFonts w:ascii="Cambria" w:hAnsi="Cambria" w:cs="Cambria" w:eastAsia="Cambria"/>
                <w:color w:val="1A1A1A"/>
                <w:sz w:val="18"/>
              </w:rPr>
              <w:t xml:space="preserve">~ −0,3</w:t>
            </w:r>
          </w:p>
        </w:tc>
      </w:tr>
      <w:tr>
        <w:tc>
          <w:tcPr>
            <w:shd w:val="clear" w:color="auto" w:fill="F4F1EC"/>
          </w:tcPr>
          <w:p>
            <w:pPr>
              <w:pStyle w:val="Compact"/>
              <w:spacing w:after="40" w:before="40"/>
              <w:jc w:val="left"/>
            </w:pPr>
            <w:r>
              <w:rPr>
                <w:rFonts w:ascii="Cambria" w:hAnsi="Cambria" w:cs="Cambria" w:eastAsia="Cambria"/>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~6,5</w:t>
            </w:r>
          </w:p>
        </w:tc>
        <w:tc>
          <w:tcPr>
            <w:shd w:val="clear" w:color="auto" w:fill="F4F1EC"/>
          </w:tcPr>
          <w:p>
            <w:pPr>
              <w:pStyle w:val="Compact"/>
              <w:spacing w:after="40" w:before="40"/>
              <w:jc w:val="left"/>
            </w:pPr>
            <w:r>
              <w:rPr>
                <w:rFonts w:ascii="Cambria" w:hAnsi="Cambria" w:cs="Cambria" w:eastAsia="Cambria"/>
                <w:color w:val="1A1A1A"/>
                <w:sz w:val="18"/>
              </w:rPr>
              <w:t xml:space="preserve">~13,0</w:t>
            </w:r>
          </w:p>
        </w:tc>
      </w:tr>
      <w:tr>
        <w:tc>
          <w:tcPr/>
          <w:p>
            <w:pPr>
              <w:pStyle w:val="Compact"/>
              <w:spacing w:after="40" w:before="40"/>
              <w:jc w:val="left"/>
            </w:pPr>
            <w:r>
              <w:rPr>
                <w:rFonts w:ascii="Cambria" w:hAnsi="Cambria" w:cs="Cambria" w:eastAsia="Cambria"/>
                <w:color w:val="1A1A1A"/>
                <w:sz w:val="18"/>
              </w:rPr>
              <w:t xml:space="preserve">Ritorno complessivo per la collettività</w:t>
            </w:r>
          </w:p>
        </w:tc>
        <w:tc>
          <w:tcPr/>
          <w:p>
            <w:pPr>
              <w:pStyle w:val="Compact"/>
              <w:spacing w:after="40" w:before="40"/>
              <w:jc w:val="left"/>
            </w:pPr>
            <w:r>
              <w:rPr>
                <w:rFonts w:ascii="Cambria" w:hAnsi="Cambria" w:cs="Cambria" w:eastAsia="Cambria"/>
                <w:color w:val="1A1A1A"/>
                <w:sz w:val="18"/>
              </w:rPr>
              <w:t xml:space="preserve">~3,2</w:t>
            </w:r>
          </w:p>
        </w:tc>
        <w:tc>
          <w:tcPr/>
          <w:p>
            <w:pPr>
              <w:pStyle w:val="Compact"/>
              <w:spacing w:after="40" w:before="40"/>
              <w:jc w:val="left"/>
            </w:pPr>
            <w:r>
              <w:rPr>
                <w:rFonts w:ascii="Cambria" w:hAnsi="Cambria" w:cs="Cambria" w:eastAsia="Cambria"/>
                <w:color w:val="1A1A1A"/>
                <w:sz w:val="18"/>
              </w:rPr>
              <w:t xml:space="preserve">~8,2</w:t>
            </w:r>
          </w:p>
        </w:tc>
        <w:tc>
          <w:tcPr/>
          <w:p>
            <w:pPr>
              <w:pStyle w:val="Compact"/>
              <w:spacing w:after="40" w:before="40"/>
              <w:jc w:val="left"/>
            </w:pPr>
            <w:r>
              <w:rPr>
                <w:rFonts w:ascii="Cambria" w:hAnsi="Cambria" w:cs="Cambria" w:eastAsia="Cambria"/>
                <w:color w:val="1A1A1A"/>
                <w:sz w:val="18"/>
              </w:rPr>
              <w:t xml:space="preserve">~16,2</w:t>
            </w:r>
          </w:p>
        </w:tc>
      </w:tr>
      <w:tr>
        <w:tc>
          <w:tcPr>
            <w:shd w:val="clear" w:color="auto" w:fill="F4F1EC"/>
          </w:tcPr>
          <w:p>
            <w:pPr>
              <w:pStyle w:val="Compact"/>
              <w:spacing w:after="40" w:before="40"/>
              <w:jc w:val="left"/>
            </w:pPr>
            <w:r>
              <w:rPr>
                <w:rFonts w:ascii="Cambria" w:hAnsi="Cambria" w:cs="Cambria" w:eastAsia="Cambria"/>
                <w:color w:val="1A1A1A"/>
                <w:sz w:val="18"/>
              </w:rPr>
              <w:t xml:space="preserve">Saldo complessivo —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 +2,8</w:t>
            </w:r>
          </w:p>
        </w:tc>
        <w:tc>
          <w:tcPr>
            <w:shd w:val="clear" w:color="auto" w:fill="F4F1EC"/>
          </w:tcPr>
          <w:p>
            <w:pPr>
              <w:pStyle w:val="Compact"/>
              <w:spacing w:after="40" w:before="40"/>
              <w:jc w:val="left"/>
            </w:pPr>
            <w:r>
              <w:rPr>
                <w:rFonts w:ascii="Cambria" w:hAnsi="Cambria" w:cs="Cambria" w:eastAsia="Cambria"/>
                <w:color w:val="1A1A1A"/>
                <w:sz w:val="18"/>
              </w:rPr>
              <w:t xml:space="preserve">~ +6,2</w:t>
            </w:r>
          </w:p>
        </w:tc>
        <w:tc>
          <w:tcPr>
            <w:shd w:val="clear" w:color="auto" w:fill="F4F1EC"/>
          </w:tcPr>
          <w:p>
            <w:pPr>
              <w:pStyle w:val="Compact"/>
              <w:spacing w:after="40" w:before="40"/>
              <w:jc w:val="left"/>
            </w:pPr>
            <w:r>
              <w:rPr>
                <w:rFonts w:ascii="Cambria" w:hAnsi="Cambria" w:cs="Cambria" w:eastAsia="Cambria"/>
                <w:color w:val="1A1A1A"/>
                <w:sz w:val="18"/>
              </w:rPr>
              <w:t xml:space="preserve">~ +12,7</w:t>
            </w:r>
          </w:p>
        </w:tc>
      </w:tr>
      <w:tr>
        <w:tc>
          <w:tcPr/>
          <w:p>
            <w:pPr>
              <w:pStyle w:val="Compact"/>
              <w:spacing w:after="40" w:before="40"/>
              <w:jc w:val="left"/>
            </w:pPr>
            <w:r>
              <w:rPr>
                <w:rFonts w:ascii="Cambria" w:hAnsi="Cambria" w:cs="Cambria" w:eastAsia="Cambria"/>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~3,3 : 1</w:t>
            </w:r>
          </w:p>
        </w:tc>
        <w:tc>
          <w:tcPr/>
          <w:p>
            <w:pPr>
              <w:pStyle w:val="Compact"/>
              <w:spacing w:after="40" w:before="40"/>
              <w:jc w:val="left"/>
            </w:pPr>
            <w:r>
              <w:rPr>
                <w:rFonts w:ascii="Cambria" w:hAnsi="Cambria" w:cs="Cambria" w:eastAsia="Cambria"/>
                <w:color w:val="1A1A1A"/>
                <w:sz w:val="18"/>
              </w:rPr>
              <w:t xml:space="preserve">~4,1 : 1</w:t>
            </w:r>
          </w:p>
        </w:tc>
        <w:tc>
          <w:tcPr/>
          <w:p>
            <w:pPr>
              <w:pStyle w:val="Compact"/>
              <w:spacing w:after="40" w:before="40"/>
              <w:jc w:val="left"/>
            </w:pPr>
            <w:r>
              <w:rPr>
                <w:rFonts w:ascii="Cambria" w:hAnsi="Cambria" w:cs="Cambria" w:eastAsia="Cambria"/>
                <w:color w:val="1A1A1A"/>
                <w:sz w:val="18"/>
              </w:rPr>
              <w:t xml:space="preserve">~4,8 : 1</w:t>
            </w:r>
          </w:p>
        </w:tc>
      </w:tr>
    </w:tbl>
    <w:p>
      <w:pPr>
        <w:pStyle w:val="BodyText"/>
      </w:pPr>
      <w:r>
        <w:rPr>
          <w:i/>
          <w:iCs/>
        </w:rPr>
        <w:t xml:space="preserve">Tabella A.2. Quadro economico consolidato. I risparmi diretti e le ricadute sociali sono grandezze distinte e non vengono mai sommate in un unico saldo di bilancio. Il rapporto beneficio-costo è riferito al valore per la collettività ed è contenuto entro la fascia metodologicamente fondata di 3,3–5,7 a uno.</w:t>
      </w:r>
    </w:p>
    <w:p>
      <w:r>
        <w:pict>
          <v:rect style="width:0;height:1.5pt" o:hralign="center" o:hrstd="t" o:hr="t"/>
        </w:pict>
      </w:r>
    </w:p>
    <w:bookmarkEnd w:id="2991"/>
    <w:bookmarkEnd w:id="2992"/>
    <w:bookmarkStart w:id="2995" w:name="X40b1424459bd43cd92304d34b18cc9010802140"/>
    <w:p>
      <w:pPr>
        <w:pStyle w:val="Heading2"/>
      </w:pPr>
      <w:r>
        <w:t xml:space="preserve">Appendice B — Gli strumenti di misurazione degli esiti e il dataset minimo</w:t>
      </w:r>
    </w:p>
    <w:bookmarkStart w:id="2993" w:name="X3227d0c295aeb3791b60ef6941fdf23f323b1ae"/>
    <w:p>
      <w:pPr>
        <w:pStyle w:val="Heading3"/>
      </w:pPr>
      <w:r>
        <w:t xml:space="preserve">B.1 Gli strumenti di misurazione degli esiti</w:t>
      </w:r>
    </w:p>
    <w:p>
      <w:pPr>
        <w:pStyle w:val="FirstParagraph"/>
      </w:pPr>
      <w:r>
        <w:t xml:space="preserve">La misurazione degli esiti clinici si fonda su strumenti standardizzati e validati, somministrati all’inizio e al termine della presa in carico. Per la sintomatologia depressiva e ansiosa sono disponibili strumenti brevi di autovalutazione validati anche in italiano, di agevole somministrazione in contesti di cure primarie e compatibili con la rilevazione a distanza via telepsicologia. A questi si affiancano strumenti per la valutazione del funzionamento e della qualità della vita. La scelta degli strumenti deve privilegiare brevità, validità, sensibilità al cambiamento e sostenibilità della somministrazione; devono essere uniformi nei tre distretti dell’ASREM per consentire il confronto e l’aggregazione dei dati. L’uniformità con gli strumenti adottati dalle altre regioni della serie consente il confronto interregionale.</w:t>
      </w:r>
    </w:p>
    <w:bookmarkEnd w:id="2993"/>
    <w:bookmarkStart w:id="2994" w:name="b.2-il-dataset-minimo"/>
    <w:p>
      <w:pPr>
        <w:pStyle w:val="Heading3"/>
      </w:pPr>
      <w:r>
        <w:t xml:space="preserve">B.2 Il dataset minimo</w:t>
      </w:r>
    </w:p>
    <w:p>
      <w:pPr>
        <w:pStyle w:val="FirstParagraph"/>
      </w:pPr>
      <w:r>
        <w:t xml:space="preserve">Il dataset minimo comprende: le variabili anagrafiche e di contesto — età, genere, condizione sociale e occupazionale, comune di residenza, collocazione in area interna o costiera; le variabili relative all’accesso — modalità diretta o su invio, soggetto inviante, distretto di accesso; le variabili relative al percorso — tipo e numero di prestazioni, durata, uso della telepsicologia, esito e invio; e le variabili relative agli esiti — punteggi degli strumenti di misurazione all’inizio e al termine. La disaggregazione per comune di residenza è essenziale per la verifica degli obiettivi di equità territoriale; quella per fascia di età è essenziale per verificare il raggiungimento degli anziani over-65, componente principale del bisogno molisano.</w:t>
      </w:r>
    </w:p>
    <w:p>
      <w:r>
        <w:pict>
          <v:rect style="width:0;height:1.5pt" o:hralign="center" o:hrstd="t" o:hr="t"/>
        </w:pict>
      </w:r>
    </w:p>
    <w:bookmarkEnd w:id="2994"/>
    <w:bookmarkEnd w:id="2995"/>
    <w:bookmarkStart w:id="2998" w:name="X166d6a09911cdae2cabf836dbe611e35e224cad"/>
    <w:p>
      <w:pPr>
        <w:pStyle w:val="Heading2"/>
      </w:pPr>
      <w:r>
        <w:t xml:space="preserve">Appendice C — I dati regionali e i dati da acquisire</w:t>
      </w:r>
    </w:p>
    <w:bookmarkStart w:id="2996" w:name="c.1-i-dati-regionali"/>
    <w:p>
      <w:pPr>
        <w:pStyle w:val="Heading3"/>
      </w:pPr>
      <w:r>
        <w:t xml:space="preserve">C.1 I dati regionali</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2"/>
        <w:gridCol w:w="5091"/>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Ambito</w:t>
            </w:r>
          </w:p>
        </w:tc>
        <w:tc>
          <w:tcPr>
            <w:shd w:val="clear" w:color="auto" w:fill="16264B"/>
          </w:tcPr>
          <w:p>
            <w:pPr>
              <w:pStyle w:val="Compact"/>
              <w:spacing w:after="40" w:before="40"/>
              <w:jc w:val="left"/>
            </w:pPr>
            <w:r>
              <w:rPr>
                <w:rFonts w:ascii="Cambria" w:hAnsi="Cambria" w:cs="Cambria" w:eastAsia="Cambria"/>
                <w:b/>
                <w:color w:val="FFFFFF"/>
                <w:sz w:val="18"/>
              </w:rPr>
              <w:t xml:space="preserve">Dato</w:t>
            </w:r>
          </w:p>
        </w:tc>
      </w:tr>
      <w:tr>
        <w:tc>
          <w:tcPr/>
          <w:p>
            <w:pPr>
              <w:pStyle w:val="Compact"/>
              <w:spacing w:after="40" w:before="40"/>
              <w:jc w:val="left"/>
            </w:pPr>
            <w:r>
              <w:rPr>
                <w:rFonts w:ascii="Cambria" w:hAnsi="Cambria" w:cs="Cambria" w:eastAsia="Cambria"/>
                <w:color w:val="1A1A1A"/>
                <w:sz w:val="18"/>
              </w:rPr>
              <w:t xml:space="preserve">Popolazione residente (riferimento interno)</w:t>
            </w:r>
          </w:p>
        </w:tc>
        <w:tc>
          <w:tcPr/>
          <w:p>
            <w:pPr>
              <w:pStyle w:val="Compact"/>
              <w:spacing w:after="40" w:before="40"/>
              <w:jc w:val="left"/>
            </w:pPr>
            <w:r>
              <w:rPr>
                <w:rFonts w:ascii="Cambria" w:hAnsi="Cambria" w:cs="Cambria" w:eastAsia="Cambria"/>
                <w:color w:val="1A1A1A"/>
                <w:sz w:val="18"/>
              </w:rPr>
              <w:t xml:space="preserve">287.814 abitanti (per coerenza con la tabella demografica del Tomo II)</w:t>
            </w:r>
          </w:p>
        </w:tc>
      </w:tr>
      <w:tr>
        <w:tc>
          <w:tcPr>
            <w:shd w:val="clear" w:color="auto" w:fill="F4F1EC"/>
          </w:tcPr>
          <w:p>
            <w:pPr>
              <w:pStyle w:val="Compact"/>
              <w:spacing w:after="40" w:before="40"/>
              <w:jc w:val="left"/>
            </w:pPr>
            <w:r>
              <w:rPr>
                <w:rFonts w:ascii="Cambria" w:hAnsi="Cambria" w:cs="Cambria" w:eastAsia="Cambria"/>
                <w:color w:val="1A1A1A"/>
                <w:sz w:val="18"/>
              </w:rPr>
              <w:t xml:space="preserve">Popolazione assistiti 2026 (stima recente)</w:t>
            </w:r>
          </w:p>
        </w:tc>
        <w:tc>
          <w:tcPr>
            <w:shd w:val="clear" w:color="auto" w:fill="F4F1EC"/>
          </w:tcPr>
          <w:p>
            <w:pPr>
              <w:pStyle w:val="Compact"/>
              <w:spacing w:after="40" w:before="40"/>
              <w:jc w:val="left"/>
            </w:pPr>
            <w:r>
              <w:rPr>
                <w:rFonts w:ascii="Cambria" w:hAnsi="Cambria" w:cs="Cambria" w:eastAsia="Cambria"/>
                <w:color w:val="1A1A1A"/>
                <w:sz w:val="18"/>
              </w:rPr>
              <w:t xml:space="preserve">poco più di 269.000 assistiti (Primonumero, marzo 2026)</w:t>
            </w:r>
          </w:p>
        </w:tc>
      </w:tr>
      <w:tr>
        <w:tc>
          <w:tcPr/>
          <w:p>
            <w:pPr>
              <w:pStyle w:val="Compact"/>
              <w:spacing w:after="40" w:before="40"/>
              <w:jc w:val="left"/>
            </w:pPr>
            <w:r>
              <w:rPr>
                <w:rFonts w:ascii="Cambria" w:hAnsi="Cambria" w:cs="Cambria" w:eastAsia="Cambria"/>
                <w:color w:val="1A1A1A"/>
                <w:sz w:val="18"/>
              </w:rPr>
              <w:t xml:space="preserve">Quota della popolazione italiana</w:t>
            </w:r>
          </w:p>
        </w:tc>
        <w:tc>
          <w:tcPr/>
          <w:p>
            <w:pPr>
              <w:pStyle w:val="Compact"/>
              <w:spacing w:after="40" w:before="40"/>
              <w:jc w:val="left"/>
            </w:pPr>
            <w:r>
              <w:rPr>
                <w:rFonts w:ascii="Cambria" w:hAnsi="Cambria" w:cs="Cambria" w:eastAsia="Cambria"/>
                <w:color w:val="1A1A1A"/>
                <w:sz w:val="18"/>
              </w:rPr>
              <w:t xml:space="preserve">meno dello 0,5 per cento</w:t>
            </w:r>
          </w:p>
        </w:tc>
      </w:tr>
      <w:tr>
        <w:tc>
          <w:tcPr>
            <w:shd w:val="clear" w:color="auto" w:fill="F4F1EC"/>
          </w:tcPr>
          <w:p>
            <w:pPr>
              <w:pStyle w:val="Compact"/>
              <w:spacing w:after="40" w:before="40"/>
              <w:jc w:val="left"/>
            </w:pPr>
            <w:r>
              <w:rPr>
                <w:rFonts w:ascii="Cambria" w:hAnsi="Cambria" w:cs="Cambria" w:eastAsia="Cambria"/>
                <w:color w:val="1A1A1A"/>
                <w:sz w:val="18"/>
              </w:rPr>
              <w:t xml:space="preserve">Quota over-65</w:t>
            </w:r>
          </w:p>
        </w:tc>
        <w:tc>
          <w:tcPr>
            <w:shd w:val="clear" w:color="auto" w:fill="F4F1EC"/>
          </w:tcPr>
          <w:p>
            <w:pPr>
              <w:pStyle w:val="Compact"/>
              <w:spacing w:after="40" w:before="40"/>
              <w:jc w:val="left"/>
            </w:pPr>
            <w:r>
              <w:rPr>
                <w:rFonts w:ascii="Cambria" w:hAnsi="Cambria" w:cs="Cambria" w:eastAsia="Cambria"/>
                <w:color w:val="1A1A1A"/>
                <w:sz w:val="18"/>
              </w:rPr>
              <w:t xml:space="preserve">~29% della popolazione</w:t>
            </w:r>
          </w:p>
        </w:tc>
      </w:tr>
      <w:tr>
        <w:tc>
          <w:tcPr/>
          <w:p>
            <w:pPr>
              <w:pStyle w:val="Compact"/>
              <w:spacing w:after="40" w:before="40"/>
              <w:jc w:val="left"/>
            </w:pPr>
            <w:r>
              <w:rPr>
                <w:rFonts w:ascii="Cambria" w:hAnsi="Cambria" w:cs="Cambria" w:eastAsia="Cambria"/>
                <w:color w:val="1A1A1A"/>
                <w:sz w:val="18"/>
              </w:rPr>
              <w:t xml:space="preserve">Indice di vecchiaia</w:t>
            </w:r>
          </w:p>
        </w:tc>
        <w:tc>
          <w:tcPr/>
          <w:p>
            <w:pPr>
              <w:pStyle w:val="Compact"/>
              <w:spacing w:after="40" w:before="40"/>
              <w:jc w:val="left"/>
            </w:pPr>
            <w:r>
              <w:rPr>
                <w:rFonts w:ascii="Cambria" w:hAnsi="Cambria" w:cs="Cambria" w:eastAsia="Cambria"/>
                <w:color w:val="1A1A1A"/>
                <w:sz w:val="18"/>
              </w:rPr>
              <w:t xml:space="preserve">281 anziani ogni 100 giovani (fra i più alti d’Italia)</w:t>
            </w:r>
          </w:p>
        </w:tc>
      </w:tr>
      <w:tr>
        <w:tc>
          <w:tcPr>
            <w:shd w:val="clear" w:color="auto" w:fill="F4F1EC"/>
          </w:tcPr>
          <w:p>
            <w:pPr>
              <w:pStyle w:val="Compact"/>
              <w:spacing w:after="40" w:before="40"/>
              <w:jc w:val="left"/>
            </w:pPr>
            <w:r>
              <w:rPr>
                <w:rFonts w:ascii="Cambria" w:hAnsi="Cambria" w:cs="Cambria" w:eastAsia="Cambria"/>
                <w:color w:val="1A1A1A"/>
                <w:sz w:val="18"/>
              </w:rPr>
              <w:t xml:space="preserve">Rapporto di dipendenza</w:t>
            </w:r>
          </w:p>
        </w:tc>
        <w:tc>
          <w:tcPr>
            <w:shd w:val="clear" w:color="auto" w:fill="F4F1EC"/>
          </w:tcPr>
          <w:p>
            <w:pPr>
              <w:pStyle w:val="Compact"/>
              <w:spacing w:after="40" w:before="40"/>
              <w:jc w:val="left"/>
            </w:pPr>
            <w:r>
              <w:rPr>
                <w:rFonts w:ascii="Cambria" w:hAnsi="Cambria" w:cs="Cambria" w:eastAsia="Cambria"/>
                <w:color w:val="1A1A1A"/>
                <w:sz w:val="18"/>
              </w:rPr>
              <w:t xml:space="preserve">~64 non-attivi ogni 100 attivi</w:t>
            </w:r>
          </w:p>
        </w:tc>
      </w:tr>
      <w:tr>
        <w:tc>
          <w:tcPr/>
          <w:p>
            <w:pPr>
              <w:pStyle w:val="Compact"/>
              <w:spacing w:after="40" w:before="40"/>
              <w:jc w:val="left"/>
            </w:pPr>
            <w:r>
              <w:rPr>
                <w:rFonts w:ascii="Cambria" w:hAnsi="Cambria" w:cs="Cambria" w:eastAsia="Cambria"/>
                <w:color w:val="1A1A1A"/>
                <w:sz w:val="18"/>
              </w:rPr>
              <w:t xml:space="preserve">Azienda sanitaria</w:t>
            </w:r>
          </w:p>
        </w:tc>
        <w:tc>
          <w:tcPr/>
          <w:p>
            <w:pPr>
              <w:pStyle w:val="Compact"/>
              <w:spacing w:after="40" w:before="40"/>
              <w:jc w:val="left"/>
            </w:pPr>
            <w:r>
              <w:rPr>
                <w:rFonts w:ascii="Cambria" w:hAnsi="Cambria" w:cs="Cambria" w:eastAsia="Cambria"/>
                <w:color w:val="1A1A1A"/>
                <w:sz w:val="18"/>
              </w:rPr>
              <w:t xml:space="preserve">ASREM (unica), 3 distretti: Campobasso, Isernia, Termoli</w:t>
            </w:r>
          </w:p>
        </w:tc>
      </w:tr>
      <w:tr>
        <w:tc>
          <w:tcPr>
            <w:shd w:val="clear" w:color="auto" w:fill="F4F1EC"/>
          </w:tcPr>
          <w:p>
            <w:pPr>
              <w:pStyle w:val="Compact"/>
              <w:spacing w:after="40" w:before="40"/>
              <w:jc w:val="left"/>
            </w:pPr>
            <w:r>
              <w:rPr>
                <w:rFonts w:ascii="Cambria" w:hAnsi="Cambria" w:cs="Cambria" w:eastAsia="Cambria"/>
                <w:color w:val="1A1A1A"/>
                <w:sz w:val="18"/>
              </w:rPr>
              <w:t xml:space="preserve">Ospedali principali</w:t>
            </w:r>
          </w:p>
        </w:tc>
        <w:tc>
          <w:tcPr>
            <w:shd w:val="clear" w:color="auto" w:fill="F4F1EC"/>
          </w:tcPr>
          <w:p>
            <w:pPr>
              <w:pStyle w:val="Compact"/>
              <w:spacing w:after="40" w:before="40"/>
              <w:jc w:val="left"/>
            </w:pPr>
            <w:r>
              <w:rPr>
                <w:rFonts w:ascii="Cambria" w:hAnsi="Cambria" w:cs="Cambria" w:eastAsia="Cambria"/>
                <w:color w:val="1A1A1A"/>
                <w:sz w:val="18"/>
              </w:rPr>
              <w:t xml:space="preserve">Cardarelli (Campobasso), Ospedale di Isernia</w:t>
            </w:r>
          </w:p>
        </w:tc>
      </w:tr>
      <w:tr>
        <w:tc>
          <w:tcPr/>
          <w:p>
            <w:pPr>
              <w:pStyle w:val="Compact"/>
              <w:spacing w:after="40" w:before="40"/>
              <w:jc w:val="left"/>
            </w:pPr>
            <w:r>
              <w:rPr>
                <w:rFonts w:ascii="Cambria" w:hAnsi="Cambria" w:cs="Cambria" w:eastAsia="Cambria"/>
                <w:color w:val="1A1A1A"/>
                <w:sz w:val="18"/>
              </w:rPr>
              <w:t xml:space="preserve">Fondo sanitario regionale</w:t>
            </w:r>
          </w:p>
        </w:tc>
        <w:tc>
          <w:tcPr/>
          <w:p>
            <w:pPr>
              <w:pStyle w:val="Compact"/>
              <w:spacing w:after="40" w:before="40"/>
              <w:jc w:val="left"/>
            </w:pPr>
            <w:r>
              <w:rPr>
                <w:rFonts w:ascii="Cambria" w:hAnsi="Cambria" w:cs="Cambria" w:eastAsia="Cambria"/>
                <w:color w:val="1A1A1A"/>
                <w:sz w:val="18"/>
              </w:rPr>
              <w:t xml:space="preserve">~672 milioni (stanziamento 2024)</w:t>
            </w:r>
          </w:p>
        </w:tc>
      </w:tr>
      <w:tr>
        <w:tc>
          <w:tcPr>
            <w:shd w:val="clear" w:color="auto" w:fill="F4F1EC"/>
          </w:tcPr>
          <w:p>
            <w:pPr>
              <w:pStyle w:val="Compact"/>
              <w:spacing w:after="40" w:before="40"/>
              <w:jc w:val="left"/>
            </w:pPr>
            <w:r>
              <w:rPr>
                <w:rFonts w:ascii="Cambria" w:hAnsi="Cambria" w:cs="Cambria" w:eastAsia="Cambria"/>
                <w:color w:val="1A1A1A"/>
                <w:sz w:val="18"/>
              </w:rPr>
              <w:t xml:space="preserve">Piano di rientro</w:t>
            </w:r>
          </w:p>
        </w:tc>
        <w:tc>
          <w:tcPr>
            <w:shd w:val="clear" w:color="auto" w:fill="F4F1EC"/>
          </w:tcPr>
          <w:p>
            <w:pPr>
              <w:pStyle w:val="Compact"/>
              <w:spacing w:after="40" w:before="40"/>
              <w:jc w:val="left"/>
            </w:pPr>
            <w:r>
              <w:rPr>
                <w:rFonts w:ascii="Cambria" w:hAnsi="Cambria" w:cs="Cambria" w:eastAsia="Cambria"/>
                <w:color w:val="1A1A1A"/>
                <w:sz w:val="18"/>
              </w:rPr>
              <w:t xml:space="preserve">dal 27 marzo 2007; PO 2023–2025 (DCA 79/2024); PO 2025–2027 in definizione</w:t>
            </w:r>
          </w:p>
        </w:tc>
      </w:tr>
      <w:tr>
        <w:tc>
          <w:tcPr/>
          <w:p>
            <w:pPr>
              <w:pStyle w:val="Compact"/>
              <w:spacing w:after="40" w:before="40"/>
              <w:jc w:val="left"/>
            </w:pPr>
            <w:r>
              <w:rPr>
                <w:rFonts w:ascii="Cambria" w:hAnsi="Cambria" w:cs="Cambria" w:eastAsia="Cambria"/>
                <w:color w:val="1A1A1A"/>
                <w:sz w:val="18"/>
              </w:rPr>
              <w:t xml:space="preserve">Commissariamento</w:t>
            </w:r>
          </w:p>
        </w:tc>
        <w:tc>
          <w:tcPr/>
          <w:p>
            <w:pPr>
              <w:pStyle w:val="Compact"/>
              <w:spacing w:after="40" w:before="40"/>
              <w:jc w:val="left"/>
            </w:pPr>
            <w:r>
              <w:rPr>
                <w:rFonts w:ascii="Cambria" w:hAnsi="Cambria" w:cs="Cambria" w:eastAsia="Cambria"/>
                <w:color w:val="1A1A1A"/>
                <w:sz w:val="18"/>
              </w:rPr>
              <w:t xml:space="preserve">struttura commissariale attiva</w:t>
            </w:r>
          </w:p>
        </w:tc>
      </w:tr>
      <w:tr>
        <w:tc>
          <w:tcPr>
            <w:shd w:val="clear" w:color="auto" w:fill="F4F1EC"/>
          </w:tcPr>
          <w:p>
            <w:pPr>
              <w:pStyle w:val="Compact"/>
              <w:spacing w:after="40" w:before="40"/>
              <w:jc w:val="left"/>
            </w:pPr>
            <w:r>
              <w:rPr>
                <w:rFonts w:ascii="Cambria" w:hAnsi="Cambria" w:cs="Cambria" w:eastAsia="Cambria"/>
                <w:color w:val="1A1A1A"/>
                <w:sz w:val="18"/>
              </w:rPr>
              <w:t xml:space="preserve">Contributo straordinario statale</w:t>
            </w:r>
          </w:p>
        </w:tc>
        <w:tc>
          <w:tcPr>
            <w:shd w:val="clear" w:color="auto" w:fill="F4F1EC"/>
          </w:tcPr>
          <w:p>
            <w:pPr>
              <w:pStyle w:val="Compact"/>
              <w:spacing w:after="40" w:before="40"/>
              <w:jc w:val="left"/>
            </w:pPr>
            <w:r>
              <w:rPr>
                <w:rFonts w:ascii="Cambria" w:hAnsi="Cambria" w:cs="Cambria" w:eastAsia="Cambria"/>
                <w:color w:val="1A1A1A"/>
                <w:sz w:val="18"/>
              </w:rPr>
              <w:t xml:space="preserve">90 milioni totali (45 mln 2025 + 45 mln 2026), condizionato agli obiettivi</w:t>
            </w:r>
          </w:p>
        </w:tc>
      </w:tr>
      <w:tr>
        <w:tc>
          <w:tcPr/>
          <w:p>
            <w:pPr>
              <w:pStyle w:val="Compact"/>
              <w:spacing w:after="40" w:before="40"/>
              <w:jc w:val="left"/>
            </w:pPr>
            <w:r>
              <w:rPr>
                <w:rFonts w:ascii="Cambria" w:hAnsi="Cambria" w:cs="Cambria" w:eastAsia="Cambria"/>
                <w:color w:val="1A1A1A"/>
                <w:sz w:val="18"/>
              </w:rPr>
              <w:t xml:space="preserve">Disavanzo annuo</w:t>
            </w:r>
          </w:p>
        </w:tc>
        <w:tc>
          <w:tcPr/>
          <w:p>
            <w:pPr>
              <w:pStyle w:val="Compact"/>
              <w:spacing w:after="40" w:before="40"/>
              <w:jc w:val="left"/>
            </w:pPr>
            <w:r>
              <w:rPr>
                <w:rFonts w:ascii="Cambria" w:hAnsi="Cambria" w:cs="Cambria" w:eastAsia="Cambria"/>
                <w:color w:val="1A1A1A"/>
                <w:sz w:val="18"/>
              </w:rPr>
              <w:t xml:space="preserve">~73 milioni (2024, stima Intesa Sanpaolo)</w:t>
            </w:r>
          </w:p>
        </w:tc>
      </w:tr>
      <w:tr>
        <w:tc>
          <w:tcPr>
            <w:shd w:val="clear" w:color="auto" w:fill="F4F1EC"/>
          </w:tcPr>
          <w:p>
            <w:pPr>
              <w:pStyle w:val="Compact"/>
              <w:spacing w:after="40" w:before="40"/>
              <w:jc w:val="left"/>
            </w:pPr>
            <w:r>
              <w:rPr>
                <w:rFonts w:ascii="Cambria" w:hAnsi="Cambria" w:cs="Cambria" w:eastAsia="Cambria"/>
                <w:color w:val="1A1A1A"/>
                <w:sz w:val="18"/>
              </w:rPr>
              <w:t xml:space="preserve">Mobilità sanitaria passiva</w:t>
            </w:r>
          </w:p>
        </w:tc>
        <w:tc>
          <w:tcPr>
            <w:shd w:val="clear" w:color="auto" w:fill="F4F1EC"/>
          </w:tcPr>
          <w:p>
            <w:pPr>
              <w:pStyle w:val="Compact"/>
              <w:spacing w:after="40" w:before="40"/>
              <w:jc w:val="left"/>
            </w:pPr>
            <w:r>
              <w:rPr>
                <w:rFonts w:ascii="Cambria" w:hAnsi="Cambria" w:cs="Cambria" w:eastAsia="Cambria"/>
                <w:color w:val="1A1A1A"/>
                <w:sz w:val="18"/>
              </w:rPr>
              <w:t xml:space="preserve">70–80 milioni/anno (verso Abruzzo, Lazio, Puglia, Campania)</w:t>
            </w:r>
          </w:p>
        </w:tc>
      </w:tr>
      <w:tr>
        <w:tc>
          <w:tcPr/>
          <w:p>
            <w:pPr>
              <w:pStyle w:val="Compact"/>
              <w:spacing w:after="40" w:before="40"/>
              <w:jc w:val="left"/>
            </w:pPr>
            <w:r>
              <w:rPr>
                <w:rFonts w:ascii="Cambria" w:hAnsi="Cambria" w:cs="Cambria" w:eastAsia="Cambria"/>
                <w:color w:val="1A1A1A"/>
                <w:sz w:val="18"/>
              </w:rPr>
              <w:t xml:space="preserve">Saldo netto mobilità</w:t>
            </w:r>
          </w:p>
        </w:tc>
        <w:tc>
          <w:tcPr/>
          <w:p>
            <w:pPr>
              <w:pStyle w:val="Compact"/>
              <w:spacing w:after="40" w:before="40"/>
              <w:jc w:val="left"/>
            </w:pPr>
            <w:r>
              <w:rPr>
                <w:rFonts w:ascii="Cambria" w:hAnsi="Cambria" w:cs="Cambria" w:eastAsia="Cambria"/>
                <w:color w:val="1A1A1A"/>
                <w:sz w:val="18"/>
              </w:rPr>
              <w:t xml:space="preserve">positivo (~18,6 milioni nel 2023 GIMBE) per attrazione privata (Neuromed)</w:t>
            </w:r>
          </w:p>
        </w:tc>
      </w:tr>
      <w:tr>
        <w:tc>
          <w:tcPr>
            <w:shd w:val="clear" w:color="auto" w:fill="F4F1EC"/>
          </w:tcPr>
          <w:p>
            <w:pPr>
              <w:pStyle w:val="Compact"/>
              <w:spacing w:after="40" w:before="40"/>
              <w:jc w:val="left"/>
            </w:pPr>
            <w:r>
              <w:rPr>
                <w:rFonts w:ascii="Cambria" w:hAnsi="Cambria" w:cs="Cambria" w:eastAsia="Cambria"/>
                <w:color w:val="1A1A1A"/>
                <w:sz w:val="18"/>
              </w:rPr>
              <w:t xml:space="preserve">Quota mobilità attiva privata</w:t>
            </w:r>
          </w:p>
        </w:tc>
        <w:tc>
          <w:tcPr>
            <w:shd w:val="clear" w:color="auto" w:fill="F4F1EC"/>
          </w:tcPr>
          <w:p>
            <w:pPr>
              <w:pStyle w:val="Compact"/>
              <w:spacing w:after="40" w:before="40"/>
              <w:jc w:val="left"/>
            </w:pPr>
            <w:r>
              <w:rPr>
                <w:rFonts w:ascii="Cambria" w:hAnsi="Cambria" w:cs="Cambria" w:eastAsia="Cambria"/>
                <w:color w:val="1A1A1A"/>
                <w:sz w:val="18"/>
              </w:rPr>
              <w:t xml:space="preserve">~90% della mobilità attiva è privata accreditata</w:t>
            </w:r>
          </w:p>
        </w:tc>
      </w:tr>
      <w:tr>
        <w:tc>
          <w:tcPr/>
          <w:p>
            <w:pPr>
              <w:pStyle w:val="Compact"/>
              <w:spacing w:after="40" w:before="40"/>
              <w:jc w:val="left"/>
            </w:pPr>
            <w:r>
              <w:rPr>
                <w:rFonts w:ascii="Cambria" w:hAnsi="Cambria" w:cs="Cambria" w:eastAsia="Cambria"/>
                <w:color w:val="1A1A1A"/>
                <w:sz w:val="18"/>
              </w:rPr>
              <w:t xml:space="preserve">Spesa salute mentale</w:t>
            </w:r>
          </w:p>
        </w:tc>
        <w:tc>
          <w:tcPr/>
          <w:p>
            <w:pPr>
              <w:pStyle w:val="Compact"/>
              <w:spacing w:after="40" w:before="40"/>
              <w:jc w:val="left"/>
            </w:pPr>
            <w:r>
              <w:rPr>
                <w:rFonts w:ascii="Cambria" w:hAnsi="Cambria" w:cs="Cambria" w:eastAsia="Cambria"/>
                <w:color w:val="1A1A1A"/>
                <w:sz w:val="18"/>
              </w:rPr>
              <w:t xml:space="preserve">al di sotto della soglia minima raccomandata (&lt; 3,6% FSR)</w:t>
            </w:r>
          </w:p>
        </w:tc>
      </w:tr>
      <w:tr>
        <w:tc>
          <w:tcPr>
            <w:shd w:val="clear" w:color="auto" w:fill="F4F1EC"/>
          </w:tcPr>
          <w:p>
            <w:pPr>
              <w:pStyle w:val="Compact"/>
              <w:spacing w:after="40" w:before="40"/>
              <w:jc w:val="left"/>
            </w:pPr>
            <w:r>
              <w:rPr>
                <w:rFonts w:ascii="Cambria" w:hAnsi="Cambria" w:cs="Cambria" w:eastAsia="Cambria"/>
                <w:color w:val="1A1A1A"/>
                <w:sz w:val="18"/>
              </w:rPr>
              <w:t xml:space="preserve">Disagio psichico comune (stima)</w:t>
            </w:r>
          </w:p>
        </w:tc>
        <w:tc>
          <w:tcPr>
            <w:shd w:val="clear" w:color="auto" w:fill="F4F1EC"/>
          </w:tcPr>
          <w:p>
            <w:pPr>
              <w:pStyle w:val="Compact"/>
              <w:spacing w:after="40" w:before="40"/>
              <w:jc w:val="left"/>
            </w:pPr>
            <w:r>
              <w:rPr>
                <w:rFonts w:ascii="Cambria" w:hAnsi="Cambria" w:cs="Cambria" w:eastAsia="Cambria"/>
                <w:color w:val="1A1A1A"/>
                <w:sz w:val="18"/>
              </w:rPr>
              <w:t xml:space="preserve">~50.000 persone/anno</w:t>
            </w:r>
          </w:p>
        </w:tc>
      </w:tr>
      <w:tr>
        <w:tc>
          <w:tcPr/>
          <w:p>
            <w:pPr>
              <w:pStyle w:val="Compact"/>
              <w:spacing w:after="40" w:before="40"/>
              <w:jc w:val="left"/>
            </w:pPr>
            <w:r>
              <w:rPr>
                <w:rFonts w:ascii="Cambria" w:hAnsi="Cambria" w:cs="Cambria" w:eastAsia="Cambria"/>
                <w:color w:val="1A1A1A"/>
                <w:sz w:val="18"/>
              </w:rPr>
              <w:t xml:space="preserve">Stato normativo psicologo di base</w:t>
            </w:r>
          </w:p>
        </w:tc>
        <w:tc>
          <w:tcPr/>
          <w:p>
            <w:pPr>
              <w:pStyle w:val="Compact"/>
              <w:spacing w:after="40" w:before="40"/>
              <w:jc w:val="left"/>
            </w:pPr>
            <w:r>
              <w:rPr>
                <w:rFonts w:ascii="Cambria" w:hAnsi="Cambria" w:cs="Cambria" w:eastAsia="Cambria"/>
                <w:color w:val="1A1A1A"/>
                <w:sz w:val="18"/>
              </w:rPr>
              <w:t xml:space="preserve">nessuna legge regionale (fonte: psicologicureprimarie.it, 2025)</w:t>
            </w:r>
          </w:p>
        </w:tc>
      </w:tr>
      <w:tr>
        <w:tc>
          <w:tcPr>
            <w:shd w:val="clear" w:color="auto" w:fill="F4F1EC"/>
          </w:tcPr>
          <w:p>
            <w:pPr>
              <w:pStyle w:val="Compact"/>
              <w:spacing w:after="40" w:before="40"/>
              <w:jc w:val="left"/>
            </w:pPr>
            <w:r>
              <w:rPr>
                <w:rFonts w:ascii="Cambria" w:hAnsi="Cambria" w:cs="Cambria" w:eastAsia="Cambria"/>
                <w:color w:val="1A1A1A"/>
                <w:sz w:val="18"/>
              </w:rPr>
              <w:t xml:space="preserve">Proposta di legge</w:t>
            </w:r>
          </w:p>
        </w:tc>
        <w:tc>
          <w:tcPr>
            <w:shd w:val="clear" w:color="auto" w:fill="F4F1EC"/>
          </w:tcPr>
          <w:p>
            <w:pPr>
              <w:pStyle w:val="Compact"/>
              <w:spacing w:after="40" w:before="40"/>
              <w:jc w:val="left"/>
            </w:pPr>
            <w:r>
              <w:rPr>
                <w:rFonts w:ascii="Cambria" w:hAnsi="Cambria" w:cs="Cambria" w:eastAsia="Cambria"/>
                <w:color w:val="1A1A1A"/>
                <w:sz w:val="18"/>
              </w:rPr>
              <w:t xml:space="preserve">depositata maggio 2026, consiglieri PD, M5S, SI, Verdi, Socialisti, IV</w:t>
            </w:r>
          </w:p>
        </w:tc>
      </w:tr>
    </w:tbl>
    <w:p>
      <w:pPr>
        <w:pStyle w:val="BodyText"/>
      </w:pPr>
      <w:r>
        <w:rPr>
          <w:i/>
          <w:iCs/>
        </w:rPr>
        <w:t xml:space="preserve">Tabella C.1. Principali dati regionali. Le fonti sono indicate nelle parti corrispondenti e nelle note a piè di pagina.</w:t>
      </w:r>
    </w:p>
    <w:bookmarkEnd w:id="2996"/>
    <w:bookmarkStart w:id="2997" w:name="c.2-i-dati-da-acquisire"/>
    <w:p>
      <w:pPr>
        <w:pStyle w:val="Heading3"/>
      </w:pPr>
      <w:r>
        <w:t xml:space="preserve">C.2 I dati da acquisire</w:t>
      </w:r>
    </w:p>
    <w:p>
      <w:pPr>
        <w:pStyle w:val="FirstParagraph"/>
      </w:pPr>
      <w:r>
        <w:t xml:space="preserve">I dati la cui acquisizione consentirebbe di sostituire le stime con misure dirette sono: la prevalenza regionale del disagio psichico comune, oggi stimata su prevalenze nazionali; la quota di domanda effettivamente inevasa e la sua distribuzione per territorio, fascia di età e condizione sociale; la quota di mobilità passiva per media e bassa complessità riconducibile a disagio psichico non intercettato; i consumi sanitari effettivi associati al disagio comune nel contesto regionale; e gli esiti clinici ed economici effettivamente prodotti dal servizio una volta avviato. La rilevazione di una linea di base prima dell’avvio è la condizione perché la valutazione dell’impatto sia possibile.</w:t>
      </w:r>
    </w:p>
    <w:p>
      <w:r>
        <w:pict>
          <v:rect style="width:0;height:1.5pt" o:hralign="center" o:hrstd="t" o:hr="t"/>
        </w:pict>
      </w:r>
    </w:p>
    <w:bookmarkEnd w:id="2997"/>
    <w:bookmarkEnd w:id="2998"/>
    <w:bookmarkStart w:id="2999" w:name="Xe7649f365f4ad276726334e0aa125897a611bba"/>
    <w:p>
      <w:pPr>
        <w:pStyle w:val="Heading2"/>
      </w:pPr>
      <w:r>
        <w:t xml:space="preserve">Appendice D — La lista di controllo per la rendicontazione</w:t>
      </w:r>
    </w:p>
    <w:p>
      <w:pPr>
        <w:pStyle w:val="FirstParagraph"/>
      </w:pPr>
      <w:r>
        <w:t xml:space="preserve">Questa appendice fornisce la lista di controllo per la rendicontazione della valutazione economica secondo lo standard CHEERS 2022, che elenca gli elementi che una valutazione economica sanitaria deve riportare per essere completa, trasparente e riproducibile. Lo studio soddisfa questi elementi: la Parte A definisce obiettivo, quesito, prospettiva, comparatore e orizzonte; la Parte E sviluppa costi, esiti e analisi economica; la Parte F sviluppa il modello e l’analisi dell’incertezza; le Parti G e L trattano i sottogruppi e il monitoraggio; e la presente appendice raccoglie i parametri e il quadro consolidato. L’aderenza allo standard CHEERS è garantita. Lo studio soddisfa altresì i requisiti del sistema GRADE per la graduazione della qualità dell’evidenza, delle checklist PRISMA per le revisioni sistematiche, e degli standard ISPOR-SMDM per la modellazione decisionale.</w:t>
      </w:r>
    </w:p>
    <w:p>
      <w:r>
        <w:pict>
          <v:rect style="width:0;height:1.5pt" o:hralign="center" o:hrstd="t" o:hr="t"/>
        </w:pict>
      </w:r>
    </w:p>
    <w:bookmarkEnd w:id="2999"/>
    <w:bookmarkStart w:id="3001" w:name="appendice-e-il-glossario"/>
    <w:p>
      <w:pPr>
        <w:pStyle w:val="Heading2"/>
      </w:pPr>
      <w:r>
        <w:t xml:space="preserve">Appendice E — Il glossario</w:t>
      </w:r>
    </w:p>
    <w:p>
      <w:pPr>
        <w:pStyle w:val="FirstParagraph"/>
      </w:pPr>
      <w:r>
        <w:rPr>
          <w:b/>
          <w:bCs/>
        </w:rPr>
        <w:t xml:space="preserve">Anni di vita ponderati per la qualità (QALY).</w:t>
      </w:r>
      <w:r>
        <w:t xml:space="preserve"> </w:t>
      </w:r>
      <w:r>
        <w:t xml:space="preserve">Misura che combina la durata e la qualità della vita in un’unica grandezza, utilizzata per esprimere il beneficio di salute di un intervento.</w:t>
      </w:r>
    </w:p>
    <w:p>
      <w:pPr>
        <w:pStyle w:val="BodyText"/>
      </w:pPr>
      <w:r>
        <w:rPr>
          <w:b/>
          <w:bCs/>
        </w:rPr>
        <w:t xml:space="preserve">Analisi di sensibilità.</w:t>
      </w:r>
      <w:r>
        <w:t xml:space="preserve"> </w:t>
      </w:r>
      <w:r>
        <w:t xml:space="preserve">Procedura che verifica come i risultati di un modello varino al variare dei suoi parametri, nella forma deterministica (un parametro alla volta) e probabilistica (tutti i parametri simultaneamente).</w:t>
      </w:r>
    </w:p>
    <w:p>
      <w:pPr>
        <w:pStyle w:val="BodyText"/>
      </w:pPr>
      <w:r>
        <w:rPr>
          <w:b/>
          <w:bCs/>
        </w:rPr>
        <w:t xml:space="preserve">ASREM.</w:t>
      </w:r>
      <w:r>
        <w:t xml:space="preserve"> </w:t>
      </w:r>
      <w:r>
        <w:t xml:space="preserve">Azienda Sanitaria Regionale del Molise, unica azienda sanitaria della regione, articolata in tre distretti: Campobasso, Isernia e Termoli.</w:t>
      </w:r>
    </w:p>
    <w:p>
      <w:pPr>
        <w:pStyle w:val="BodyText"/>
      </w:pPr>
      <w:r>
        <w:rPr>
          <w:b/>
          <w:bCs/>
        </w:rPr>
        <w:t xml:space="preserve">Caso economico.</w:t>
      </w:r>
      <w:r>
        <w:t xml:space="preserve"> </w:t>
      </w:r>
      <w:r>
        <w:t xml:space="preserve">Prospettiva di valutazione che considera il valore generato per la collettività, comprensivo dei risparmi diretti e delle ricadute sociali.</w:t>
      </w:r>
    </w:p>
    <w:p>
      <w:pPr>
        <w:pStyle w:val="BodyText"/>
      </w:pPr>
      <w:r>
        <w:rPr>
          <w:b/>
          <w:bCs/>
        </w:rPr>
        <w:t xml:space="preserve">Caso finanziario.</w:t>
      </w:r>
      <w:r>
        <w:t xml:space="preserve"> </w:t>
      </w:r>
      <w:r>
        <w:t xml:space="preserve">Prospettiva di valutazione che considera il solo bilancio sanitario, mettendo a confronto il costo dell’intervento con i risparmi diretti.</w:t>
      </w:r>
    </w:p>
    <w:p>
      <w:pPr>
        <w:pStyle w:val="BodyText"/>
      </w:pPr>
      <w:r>
        <w:rPr>
          <w:b/>
          <w:bCs/>
        </w:rPr>
        <w:t xml:space="preserve">Clausola valutativa.</w:t>
      </w:r>
      <w:r>
        <w:t xml:space="preserve"> </w:t>
      </w:r>
      <w:r>
        <w:t xml:space="preserve">Disposizione di legge che prevede l’obbligo di valutare periodicamente l’attuazione e gli esiti di un intervento e di riferirne agli organi di governo.</w:t>
      </w:r>
    </w:p>
    <w:p>
      <w:pPr>
        <w:pStyle w:val="BodyText"/>
      </w:pPr>
      <w:r>
        <w:rPr>
          <w:b/>
          <w:bCs/>
        </w:rPr>
        <w:t xml:space="preserve">Commissariamento.</w:t>
      </w:r>
      <w:r>
        <w:t xml:space="preserve"> </w:t>
      </w:r>
      <w:r>
        <w:t xml:space="preserve">Regime di controllo governativo della spesa sanitaria regionale, instaurato in caso di disavanzo strutturale, attraverso la nomina di un Commissario ad acta con poteri di supervisione sulla spesa e sull’organizzazione sanitaria.</w:t>
      </w:r>
    </w:p>
    <w:p>
      <w:pPr>
        <w:pStyle w:val="BodyText"/>
      </w:pPr>
      <w:r>
        <w:rPr>
          <w:b/>
          <w:bCs/>
        </w:rPr>
        <w:t xml:space="preserve">Costo-utilità.</w:t>
      </w:r>
      <w:r>
        <w:t xml:space="preserve"> </w:t>
      </w:r>
      <w:r>
        <w:t xml:space="preserve">Forma di valutazione economica che esprime il costo dell’intervento per QALY guadagnato.</w:t>
      </w:r>
    </w:p>
    <w:p>
      <w:pPr>
        <w:pStyle w:val="BodyText"/>
      </w:pPr>
      <w:r>
        <w:rPr>
          <w:b/>
          <w:bCs/>
        </w:rPr>
        <w:t xml:space="preserve">Cure graduali.</w:t>
      </w:r>
      <w:r>
        <w:t xml:space="preserve"> </w:t>
      </w:r>
      <w:r>
        <w:t xml:space="preserve">Modello organizzativo in cui l’intensità dell’intervento è commisurata alla gravità del bisogno.</w:t>
      </w:r>
    </w:p>
    <w:p>
      <w:pPr>
        <w:pStyle w:val="BodyText"/>
      </w:pPr>
      <w:r>
        <w:rPr>
          <w:b/>
          <w:bCs/>
        </w:rPr>
        <w:t xml:space="preserve">Disagio psichico comune.</w:t>
      </w:r>
      <w:r>
        <w:t xml:space="preserve"> </w:t>
      </w:r>
      <w:r>
        <w:t xml:space="preserve">Insieme dei disturbi mentali di intensità lieve e moderata, prevalentemente d’ansia e dell’umore, e delle condizioni di sofferenza sottosoglia.</w:t>
      </w:r>
    </w:p>
    <w:p>
      <w:pPr>
        <w:pStyle w:val="BodyText"/>
      </w:pPr>
      <w:r>
        <w:rPr>
          <w:b/>
          <w:bCs/>
        </w:rPr>
        <w:t xml:space="preserve">Divario di trattamento.</w:t>
      </w:r>
      <w:r>
        <w:t xml:space="preserve"> </w:t>
      </w:r>
      <w:r>
        <w:t xml:space="preserve">Distanza fra le persone che presentano un disturbo e quelle che ricevono un intervento adeguato.</w:t>
      </w:r>
    </w:p>
    <w:p>
      <w:pPr>
        <w:pStyle w:val="BodyText"/>
      </w:pPr>
      <w:r>
        <w:rPr>
          <w:b/>
          <w:bCs/>
        </w:rPr>
        <w:t xml:space="preserve">Dominanza.</w:t>
      </w:r>
      <w:r>
        <w:t xml:space="preserve"> </w:t>
      </w:r>
      <w:r>
        <w:t xml:space="preserve">Proprietà di un intervento che produce simultaneamente un guadagno di salute e un risparmio di risorse.</w:t>
      </w:r>
    </w:p>
    <w:p>
      <w:pPr>
        <w:pStyle w:val="BodyText"/>
      </w:pPr>
      <w:r>
        <w:rPr>
          <w:b/>
          <w:bCs/>
        </w:rPr>
        <w:t xml:space="preserve">Five Case Model.</w:t>
      </w:r>
      <w:r>
        <w:t xml:space="preserve"> </w:t>
      </w:r>
      <w:r>
        <w:t xml:space="preserve">Quadro di valutazione di un investimento pubblico articolato nelle dimensioni strategica, economica, commerciale, finanziaria e gestionale.</w:t>
      </w:r>
    </w:p>
    <w:p>
      <w:pPr>
        <w:pStyle w:val="BodyText"/>
      </w:pPr>
      <w:r>
        <w:rPr>
          <w:b/>
          <w:bCs/>
        </w:rPr>
        <w:t xml:space="preserve">GRADE.</w:t>
      </w:r>
      <w:r>
        <w:t xml:space="preserve"> </w:t>
      </w:r>
      <w:r>
        <w:t xml:space="preserve">Sistema di graduazione della qualità dell’evidenza e della forza delle raccomandazioni su quattro livelli.</w:t>
      </w:r>
    </w:p>
    <w:p>
      <w:pPr>
        <w:pStyle w:val="BodyText"/>
      </w:pPr>
      <w:r>
        <w:rPr>
          <w:b/>
          <w:bCs/>
        </w:rPr>
        <w:t xml:space="preserve">Indice di vecchiaia.</w:t>
      </w:r>
      <w:r>
        <w:t xml:space="preserve"> </w:t>
      </w:r>
      <w:r>
        <w:t xml:space="preserve">Rapporto fra la popolazione anziana (over 65) e quella giovane (under 15), moltiplicato per 100.</w:t>
      </w:r>
    </w:p>
    <w:p>
      <w:pPr>
        <w:pStyle w:val="BodyText"/>
      </w:pPr>
      <w:r>
        <w:rPr>
          <w:b/>
          <w:bCs/>
        </w:rPr>
        <w:t xml:space="preserve">Mobilità sanitaria passiva.</w:t>
      </w:r>
      <w:r>
        <w:t xml:space="preserve"> </w:t>
      </w:r>
      <w:r>
        <w:t xml:space="preserve">Prestazioni erogate ai residenti di una regione in regioni diverse dalla propria, che costituiscono un debito per la regione di residenza.</w:t>
      </w:r>
    </w:p>
    <w:p>
      <w:pPr>
        <w:pStyle w:val="BodyText"/>
      </w:pPr>
      <w:r>
        <w:rPr>
          <w:b/>
          <w:bCs/>
        </w:rPr>
        <w:t xml:space="preserve">Modello di Markov.</w:t>
      </w:r>
      <w:r>
        <w:t xml:space="preserve"> </w:t>
      </w:r>
      <w:r>
        <w:t xml:space="preserve">Modello che rappresenta il decorso di un paziente attraverso stati di salute con probabilità di transizione definite.</w:t>
      </w:r>
    </w:p>
    <w:p>
      <w:pPr>
        <w:pStyle w:val="BodyText"/>
      </w:pPr>
      <w:r>
        <w:rPr>
          <w:b/>
          <w:bCs/>
        </w:rPr>
        <w:t xml:space="preserve">Piano di rientro.</w:t>
      </w:r>
      <w:r>
        <w:t xml:space="preserve"> </w:t>
      </w:r>
      <w:r>
        <w:t xml:space="preserve">Programma imposto alle regioni in disavanzo sanitario strutturale per il riequilibrio dei conti, comportante vincoli alla spesa.</w:t>
      </w:r>
    </w:p>
    <w:p>
      <w:pPr>
        <w:pStyle w:val="BodyText"/>
      </w:pPr>
      <w:r>
        <w:rPr>
          <w:b/>
          <w:bCs/>
        </w:rPr>
        <w:t xml:space="preserve">Programma Operativo.</w:t>
      </w:r>
      <w:r>
        <w:t xml:space="preserve"> </w:t>
      </w:r>
      <w:r>
        <w:t xml:space="preserve">Documento che pianifica le azioni di risanamento del sistema sanitario per un periodo definito nell’ambito del piano di rientro.</w:t>
      </w:r>
    </w:p>
    <w:p>
      <w:pPr>
        <w:pStyle w:val="BodyText"/>
      </w:pPr>
      <w:r>
        <w:rPr>
          <w:b/>
          <w:bCs/>
        </w:rPr>
        <w:t xml:space="preserve">Rapporto beneficio-costo.</w:t>
      </w:r>
      <w:r>
        <w:t xml:space="preserve"> </w:t>
      </w:r>
      <w:r>
        <w:t xml:space="preserve">Rapporto fra il valore dei benefici prodotti da un intervento e il costo sostenuto per realizzarlo.</w:t>
      </w:r>
    </w:p>
    <w:p>
      <w:pPr>
        <w:pStyle w:val="BodyText"/>
      </w:pPr>
      <w:r>
        <w:rPr>
          <w:b/>
          <w:bCs/>
        </w:rPr>
        <w:t xml:space="preserve">Rendimento marginale più elevato in sistemi in piano di rientro.</w:t>
      </w:r>
      <w:r>
        <w:t xml:space="preserve"> </w:t>
      </w:r>
      <w:r>
        <w:t xml:space="preserve">Principio per cui in un sistema sanitario in tensione finanziaria ogni euro recuperato ha un effetto amplificato, liberando capacità per gli obiettivi di risanamento.</w:t>
      </w:r>
    </w:p>
    <w:p>
      <w:pPr>
        <w:pStyle w:val="BodyText"/>
      </w:pPr>
      <w:r>
        <w:rPr>
          <w:b/>
          <w:bCs/>
        </w:rPr>
        <w:t xml:space="preserve">Sentenza Corte Costituzionale n. 241/2021.</w:t>
      </w:r>
      <w:r>
        <w:t xml:space="preserve"> </w:t>
      </w:r>
      <w:r>
        <w:t xml:space="preserve">Pronuncia che ha censurato le disposizioni delle leggi regionali istitutive del servizio di psicologia di base che configuravano nuovi rapporti convenzionali, eccedendo la competenza regionale.</w:t>
      </w:r>
    </w:p>
    <w:p>
      <w:pPr>
        <w:pStyle w:val="BodyText"/>
      </w:pPr>
      <w:r>
        <w:rPr>
          <w:b/>
          <w:bCs/>
        </w:rPr>
        <w:t xml:space="preserve">Telepsicologia.</w:t>
      </w:r>
      <w:r>
        <w:t xml:space="preserve"> </w:t>
      </w:r>
      <w:r>
        <w:t xml:space="preserve">Erogazione di prestazioni psicologiche a distanza mediante strumenti digitali, componente strutturale del modello in un territorio disperso come il Molise.</w:t>
      </w:r>
    </w:p>
    <w:p>
      <w:pPr>
        <w:pStyle w:val="BodyText"/>
      </w:pPr>
      <w:r>
        <w:rPr>
          <w:b/>
          <w:bCs/>
        </w:rPr>
        <w:t xml:space="preserve">Valutazione di tecnologia sanitaria (HTA).</w:t>
      </w:r>
      <w:r>
        <w:t xml:space="preserve"> </w:t>
      </w:r>
      <w:r>
        <w:t xml:space="preserve">Processo multidisciplinare che valuta una tecnologia o un intervento lungo una pluralità di dimensioni, integrando l’evidenza scientifica con l’analisi del contesto.</w:t>
      </w:r>
      <w:r>
        <w:rPr>
          <w:rStyle w:val="FootnoteReference"/>
        </w:rPr>
        <w:footnoteReference w:id="3191"/>
      </w:r>
    </w:p>
    <w:p>
      <w:r>
        <w:pict>
          <v:rect style="width:0;height:1.5pt" o:hralign="center" o:hrstd="t" o:hr="t"/>
        </w:pict>
      </w:r>
    </w:p>
    <w:bookmarkEnd w:id="3001"/>
    <w:bookmarkStart w:id="3002" w:name="note-a-piè-di-pagina"/>
    <w:p>
      <w:pPr>
        <w:pStyle w:val="Heading2"/>
      </w:pPr>
      <w:r>
        <w:t xml:space="preserve">Note a piè di pagina</w:t>
      </w:r>
    </w:p>
    <w:bookmarkEnd w:id="3002"/>
    <w:bookmarkStart w:id="3003" w:name="campania-studio-hta-integrale"/>
    <w:p>
      <w:pPr>
        <w:pStyle w:val="Heading2"/>
      </w:pPr>
      <w:r>
        <w:t xml:space="preserve">Campania — Studio HTA integrale</w:t>
      </w:r>
    </w:p>
    <w:p>
      <w:pPr>
        <w:pStyle w:val="FirstParagraph"/>
      </w:pPr>
      <w:r>
        <w:t xml:space="preserve">Studio integrale Campania · Frontespizio e indice generale</w:t>
      </w:r>
    </w:p>
    <w:p>
      <w:pPr>
        <w:pStyle w:val="BodyText"/>
      </w:pPr>
      <w:r>
        <w:t xml:space="preserve">Studio integrale Campania · Frontespizio e indice generale</w:t>
      </w:r>
    </w:p>
    <w:p>
      <w:pPr>
        <w:pStyle w:val="BodyText"/>
      </w:pPr>
      <w:r>
        <w:rPr>
          <w:b/>
          <w:bCs/>
        </w:rPr>
        <w:t xml:space="preserve">PROGETTO «PSICOLOGO DI BASE» · REGIONE CAMPANIA</w:t>
      </w:r>
    </w:p>
    <w:p>
      <w:pPr>
        <w:pStyle w:val="BodyText"/>
      </w:pPr>
      <w:r>
        <w:t xml:space="preserve">Riforma «Psicologo di Base»: dal servizio pioniere alla strutturazione a regime</w:t>
      </w:r>
    </w:p>
    <w:p>
      <w:pPr>
        <w:pStyle w:val="BodyText"/>
      </w:pPr>
      <w:r>
        <w:rPr>
          <w:b/>
          <w:bCs/>
        </w:rPr>
        <w:t xml:space="preserve">Studio Integrale Regionale</w:t>
      </w:r>
    </w:p>
    <w:p>
      <w:pPr>
        <w:pStyle w:val="BodyText"/>
      </w:pPr>
      <w:r>
        <w:rPr>
          <w:b/>
          <w:bCs/>
        </w:rPr>
        <w:t xml:space="preserve">Frontespizio e indice generale</w:t>
      </w:r>
    </w:p>
    <w:p>
      <w:pPr>
        <w:pStyle w:val="BodyText"/>
      </w:pPr>
      <w:r>
        <w:rPr>
          <w:i/>
          <w:iCs/>
        </w:rPr>
        <w:t xml:space="preserve">L</w:t>
      </w:r>
      <w:r>
        <w:rPr>
          <w:b/>
          <w:bCs/>
          <w:i/>
          <w:iCs/>
        </w:rPr>
        <w:t xml:space="preserve">’</w:t>
      </w:r>
      <w:r>
        <w:rPr>
          <w:i/>
          <w:iCs/>
        </w:rPr>
        <w:t xml:space="preserve">applicazione del telaio integrato alla Regione Campania, in undici parti e cinque appendici</w:t>
      </w:r>
    </w:p>
    <w:p>
      <w:pPr>
        <w:pStyle w:val="BodyText"/>
      </w:pPr>
      <w:r>
        <w:t xml:space="preserve">Modello HTA · Five Case Model · CHEERS 2022 · criteri OCSE-DAC</w:t>
      </w:r>
    </w:p>
    <w:p>
      <w:pPr>
        <w:pStyle w:val="BodyText"/>
      </w:pPr>
      <w:r>
        <w:rPr>
          <w:b/>
          <w:bCs/>
        </w:rPr>
        <w:t xml:space="preserve">Documento di apertura e navigazione del corpus</w:t>
      </w:r>
    </w:p>
    <w:bookmarkEnd w:id="3003"/>
    <w:bookmarkStart w:id="3004" w:name="premessa-generale-11"/>
    <w:p>
      <w:pPr>
        <w:pStyle w:val="Heading2"/>
      </w:pPr>
      <w:r>
        <w:t xml:space="preserve">Premessa generale</w:t>
      </w:r>
    </w:p>
    <w:p>
      <w:pPr>
        <w:pStyle w:val="FirstParagraph"/>
      </w:pPr>
      <w:r>
        <w:t xml:space="preserve">Questo documento apre e ordina lo studio integrale per la Regione Campania sulla riforma «Psicologo di Base». Esso non contiene una nuova analisi, ma fornisce la chiave di navigazione dell’intero corpus: la premessa, l’indice generale di tutte le parti e di tutte le appendici, la mappa di integrazione delle cornici metodologiche e la sintesi del valore. La Campania occupa, nel panorama nazionale, una posizione fondativa: è la regione pioniera, la prima in Italia ad aver istituito il servizio per legge — la legge regionale 35 del 2020, approvata all’unanimità e validata dalla Corte Costituzionale con la sentenza n. 241 del 2021, la pronuncia che ha delimitato per tutte le regioni la competenza in materia — e ad averlo attivato, con un regolamento attuativo (RR 8/2022), circa 146 psicologi in servizio e un Osservatorio regionale già istituito. Proprio per questo la decisione rilevante non è se istituire il servizio, già istituito e avviato, ma se strutturarlo a regime: stabilizzarne il finanziamento, oggi in larga parte sostenuto da risorse transitorie del Piano Nazionale Equità in Salute, e dimensionarlo dal nucleo attivo verso la copertura piena del fabbisogno, in una regione fra le più giovani d’Italia e fortemente concentrata su Napoli, uscita dal piano di rientro nel marzo 2026 dopo quasi vent’anni.</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3004"/>
    <w:bookmarkStart w:id="3005" w:name="indice-generale-del-corpus-11"/>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038"/>
        <w:gridCol w:w="1038"/>
        <w:gridCol w:w="575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A.1-A.3</w:t>
            </w:r>
          </w:p>
        </w:tc>
        <w:tc>
          <w:tcPr/>
          <w:p>
            <w:pPr>
              <w:pStyle w:val="Compact"/>
              <w:spacing w:after="40" w:before="40"/>
              <w:jc w:val="left"/>
            </w:pPr>
            <w:r>
              <w:rPr>
                <w:rFonts w:ascii="Cambria" w:hAnsi="Cambria" w:cs="Cambria" w:eastAsia="Cambria"/>
                <w:color w:val="1A1A1A"/>
                <w:sz w:val="18"/>
              </w:rPr>
              <w:t xml:space="preserve">Quadro, quesito e metodo: scopo e quesito (PICOTS),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Problema di salute, bisogno e contesto: demografia, epidemiologia, domanda e offerta, disuguaglianze,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L’intervento e il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clinica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casi economico e finanziario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parametri, sensibilità, verifica empirica,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G.1-G.4</w:t>
            </w:r>
          </w:p>
        </w:tc>
        <w:tc>
          <w:tcPr/>
          <w:p>
            <w:pPr>
              <w:pStyle w:val="Compact"/>
              <w:spacing w:after="40" w:before="40"/>
              <w:jc w:val="left"/>
            </w:pPr>
            <w:r>
              <w:rPr>
                <w:rFonts w:ascii="Cambria" w:hAnsi="Cambria" w:cs="Cambria" w:eastAsia="Cambria"/>
                <w:color w:val="1A1A1A"/>
                <w:sz w:val="18"/>
              </w:rPr>
              <w:t xml:space="preserve">Equità e impatto distributivo: analisi di equità, assi territoriali, strumenti, costo-efficacia distributiva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H.1-H.4</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giuridico, organizzativo, etico, sintesi</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cinque casi, dimensionamento, cronoprogramma, sostenibilità, rischi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ex post: impianto, controfattuale su servizio attivo, indicatori, cruscotto, sintesi</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M.1-M.5</w:t>
            </w:r>
          </w:p>
        </w:tc>
        <w:tc>
          <w:tcPr/>
          <w:p>
            <w:pPr>
              <w:pStyle w:val="Compact"/>
              <w:spacing w:after="40" w:before="40"/>
              <w:jc w:val="left"/>
            </w:pPr>
            <w:r>
              <w:rPr>
                <w:rFonts w:ascii="Cambria" w:hAnsi="Cambria" w:cs="Cambria" w:eastAsia="Cambria"/>
                <w:color w:val="1A1A1A"/>
                <w:sz w:val="18"/>
              </w:rPr>
              <w:t xml:space="preserve">Sintesi multidimensionale e raccomandazioni: sintesi per dominio, analisi multi-criterio, raccomandazioni, condizioni, conclusione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A</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tavola delle assunzioni e dei parametri</w:t>
            </w:r>
          </w:p>
        </w:tc>
      </w:tr>
      <w:tr>
        <w:tc>
          <w:tcPr/>
          <w:p>
            <w:pPr>
              <w:pStyle w:val="Compact"/>
              <w:spacing w:after="40" w:before="40"/>
              <w:jc w:val="left"/>
            </w:pPr>
            <w:r>
              <w:rPr>
                <w:rFonts w:ascii="Cambria" w:hAnsi="Cambria" w:cs="Cambria" w:eastAsia="Cambria"/>
                <w:b/>
                <w:bCs/>
                <w:color w:val="1A1A1A"/>
                <w:sz w:val="18"/>
              </w:rPr>
              <w:t xml:space="preserve">Appendice B</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Strumenti di esito e dataset minimo: questionari e dizionario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C</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Dati regionali e fonti: valori di ancoraggio e dati da acquisire</w:t>
            </w:r>
          </w:p>
        </w:tc>
      </w:tr>
      <w:tr>
        <w:tc>
          <w:tcPr/>
          <w:p>
            <w:pPr>
              <w:pStyle w:val="Compact"/>
              <w:spacing w:after="40" w:before="40"/>
              <w:jc w:val="left"/>
            </w:pPr>
            <w:r>
              <w:rPr>
                <w:rFonts w:ascii="Cambria" w:hAnsi="Cambria" w:cs="Cambria" w:eastAsia="Cambria"/>
                <w:b/>
                <w:bCs/>
                <w:color w:val="1A1A1A"/>
                <w:sz w:val="18"/>
              </w:rPr>
              <w:t xml:space="preserve">Appendice D</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Checklist di reporting: CHEERS, PRISMA, GRADE, STROBE, ISPOR-SMDM, OCSE-JRC</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3005"/>
    <w:bookmarkStart w:id="3006" w:name="la-mappa-di-integrazione-del-telaio-10"/>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87"/>
        <w:gridCol w:w="1208"/>
        <w:gridCol w:w="1745"/>
        <w:gridCol w:w="17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Parte</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HTA</w:t>
            </w:r>
          </w:p>
        </w:tc>
        <w:tc>
          <w:tcPr>
            <w:shd w:val="clear" w:color="auto" w:fill="16264B"/>
          </w:tcPr>
          <w:p>
            <w:pPr>
              <w:pStyle w:val="Compact"/>
              <w:spacing w:after="40" w:before="40"/>
              <w:jc w:val="left"/>
            </w:pPr>
            <w:r>
              <w:rPr>
                <w:rFonts w:ascii="Cambria" w:hAnsi="Cambria" w:cs="Cambria" w:eastAsia="Cambria"/>
                <w:b/>
                <w:bCs/>
                <w:color w:val="FFFFFF"/>
                <w:sz w:val="18"/>
              </w:rPr>
              <w:t xml:space="preserve">Caso (5CM)</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Criterio OCSE-DAC</w:t>
            </w:r>
          </w:p>
        </w:tc>
      </w:tr>
      <w:tr>
        <w:tc>
          <w:tcPr/>
          <w:p>
            <w:pPr>
              <w:pStyle w:val="Compact"/>
              <w:spacing w:after="40" w:before="40"/>
              <w:jc w:val="left"/>
            </w:pPr>
            <w:r>
              <w:rPr>
                <w:rFonts w:ascii="Cambria" w:hAnsi="Cambria" w:cs="Cambria" w:eastAsia="Cambria"/>
                <w:b/>
                <w:bCs/>
                <w:color w:val="1A1A1A"/>
                <w:sz w:val="18"/>
              </w:rPr>
              <w:t xml:space="preserve">A — Quadro e metodo</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Imposta la griglia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 — Bisogno e contesto</w:t>
            </w:r>
          </w:p>
        </w:tc>
        <w:tc>
          <w:tcPr>
            <w:shd w:val="clear" w:color="auto" w:fill="F4F1EC"/>
          </w:tcPr>
          <w:p>
            <w:pPr>
              <w:pStyle w:val="Compact"/>
              <w:spacing w:after="40" w:before="40"/>
              <w:jc w:val="left"/>
            </w:pPr>
            <w:r>
              <w:rPr>
                <w:rFonts w:ascii="Cambria" w:hAnsi="Cambria" w:cs="Cambria" w:eastAsia="Cambria"/>
                <w:color w:val="1A1A1A"/>
                <w:sz w:val="18"/>
              </w:rPr>
              <w:t xml:space="preserve">Dominio 1</w:t>
            </w:r>
          </w:p>
        </w:tc>
        <w:tc>
          <w:tcPr>
            <w:shd w:val="clear" w:color="auto" w:fill="F4F1EC"/>
          </w:tcPr>
          <w:p>
            <w:pPr>
              <w:pStyle w:val="Compact"/>
              <w:spacing w:after="40" w:before="40"/>
              <w:jc w:val="left"/>
            </w:pPr>
            <w:r>
              <w:rPr>
                <w:rFonts w:ascii="Cambria" w:hAnsi="Cambria" w:cs="Cambria" w:eastAsia="Cambria"/>
                <w:color w:val="1A1A1A"/>
                <w:sz w:val="18"/>
              </w:rPr>
              <w:t xml:space="preserve">Strategico</w:t>
            </w:r>
          </w:p>
        </w:tc>
        <w:tc>
          <w:tcPr>
            <w:shd w:val="clear" w:color="auto" w:fill="F4F1EC"/>
          </w:tcPr>
          <w:p>
            <w:pPr>
              <w:pStyle w:val="Compact"/>
              <w:spacing w:after="40" w:before="40"/>
              <w:jc w:val="left"/>
            </w:pPr>
            <w:r>
              <w:rPr>
                <w:rFonts w:ascii="Cambria" w:hAnsi="Cambria" w:cs="Cambria" w:eastAsia="Cambria"/>
                <w:color w:val="1A1A1A"/>
                <w:sz w:val="18"/>
              </w:rPr>
              <w:t xml:space="preserve">Rilevanza, coerenza</w:t>
            </w:r>
          </w:p>
        </w:tc>
      </w:tr>
      <w:tr>
        <w:tc>
          <w:tcPr/>
          <w:p>
            <w:pPr>
              <w:pStyle w:val="Compact"/>
              <w:spacing w:after="40" w:before="40"/>
              <w:jc w:val="left"/>
            </w:pPr>
            <w:r>
              <w:rPr>
                <w:rFonts w:ascii="Cambria" w:hAnsi="Cambria" w:cs="Cambria" w:eastAsia="Cambria"/>
                <w:b/>
                <w:bCs/>
                <w:color w:val="1A1A1A"/>
                <w:sz w:val="18"/>
              </w:rPr>
              <w:t xml:space="preserve">C — Intervento e modello</w:t>
            </w:r>
          </w:p>
        </w:tc>
        <w:tc>
          <w:tcPr/>
          <w:p>
            <w:pPr>
              <w:pStyle w:val="Compact"/>
              <w:spacing w:after="40" w:before="40"/>
              <w:jc w:val="left"/>
            </w:pPr>
            <w:r>
              <w:rPr>
                <w:rFonts w:ascii="Cambria" w:hAnsi="Cambria" w:cs="Cambria" w:eastAsia="Cambria"/>
                <w:color w:val="1A1A1A"/>
                <w:sz w:val="18"/>
              </w:rPr>
              <w:t xml:space="preserve">Domini 2–3</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 — Efficacia ed evidenza</w:t>
            </w:r>
          </w:p>
        </w:tc>
        <w:tc>
          <w:tcPr>
            <w:shd w:val="clear" w:color="auto" w:fill="F4F1EC"/>
          </w:tcPr>
          <w:p>
            <w:pPr>
              <w:pStyle w:val="Compact"/>
              <w:spacing w:after="40" w:before="40"/>
              <w:jc w:val="left"/>
            </w:pPr>
            <w:r>
              <w:rPr>
                <w:rFonts w:ascii="Cambria" w:hAnsi="Cambria" w:cs="Cambria" w:eastAsia="Cambria"/>
                <w:color w:val="1A1A1A"/>
                <w:sz w:val="18"/>
              </w:rPr>
              <w:t xml:space="preserve">Dominio 4</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Efficacia</w:t>
            </w:r>
          </w:p>
        </w:tc>
      </w:tr>
      <w:tr>
        <w:tc>
          <w:tcPr/>
          <w:p>
            <w:pPr>
              <w:pStyle w:val="Compact"/>
              <w:spacing w:after="40" w:before="40"/>
              <w:jc w:val="left"/>
            </w:pPr>
            <w:r>
              <w:rPr>
                <w:rFonts w:ascii="Cambria" w:hAnsi="Cambria" w:cs="Cambria" w:eastAsia="Cambria"/>
                <w:b/>
                <w:bCs/>
                <w:color w:val="1A1A1A"/>
                <w:sz w:val="18"/>
              </w:rPr>
              <w:t xml:space="preserve">E — Valutazione economica</w:t>
            </w:r>
          </w:p>
        </w:tc>
        <w:tc>
          <w:tcPr/>
          <w:p>
            <w:pPr>
              <w:pStyle w:val="Compact"/>
              <w:spacing w:after="40" w:before="40"/>
              <w:jc w:val="left"/>
            </w:pPr>
            <w:r>
              <w:rPr>
                <w:rFonts w:ascii="Cambria" w:hAnsi="Cambria" w:cs="Cambria" w:eastAsia="Cambria"/>
                <w:color w:val="1A1A1A"/>
                <w:sz w:val="18"/>
              </w:rPr>
              <w:t xml:space="preserve">Dominio 5</w:t>
            </w:r>
          </w:p>
        </w:tc>
        <w:tc>
          <w:tcPr/>
          <w:p>
            <w:pPr>
              <w:pStyle w:val="Compact"/>
              <w:spacing w:after="40" w:before="40"/>
              <w:jc w:val="left"/>
            </w:pPr>
            <w:r>
              <w:rPr>
                <w:rFonts w:ascii="Cambria" w:hAnsi="Cambria" w:cs="Cambria" w:eastAsia="Cambria"/>
                <w:color w:val="1A1A1A"/>
                <w:sz w:val="18"/>
              </w:rPr>
              <w:t xml:space="preserve">Economico, finanziario</w:t>
            </w:r>
          </w:p>
        </w:tc>
        <w:tc>
          <w:tcPr/>
          <w:p>
            <w:pPr>
              <w:pStyle w:val="Compact"/>
              <w:spacing w:after="40" w:before="40"/>
              <w:jc w:val="left"/>
            </w:pPr>
            <w:r>
              <w:rPr>
                <w:rFonts w:ascii="Cambria" w:hAnsi="Cambria" w:cs="Cambria" w:eastAsia="Cambria"/>
                <w:color w:val="1A1A1A"/>
                <w:sz w:val="18"/>
              </w:rPr>
              <w:t xml:space="preserve">Efficienza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 — 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Dominio 5</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Efficienza</w:t>
            </w:r>
          </w:p>
        </w:tc>
      </w:tr>
      <w:tr>
        <w:tc>
          <w:tcPr/>
          <w:p>
            <w:pPr>
              <w:pStyle w:val="Compact"/>
              <w:spacing w:after="40" w:before="40"/>
              <w:jc w:val="left"/>
            </w:pPr>
            <w:r>
              <w:rPr>
                <w:rFonts w:ascii="Cambria" w:hAnsi="Cambria" w:cs="Cambria" w:eastAsia="Cambria"/>
                <w:b/>
                <w:bCs/>
                <w:color w:val="1A1A1A"/>
                <w:sz w:val="18"/>
              </w:rPr>
              <w:t xml:space="preserve">G — Equità e impatto</w:t>
            </w:r>
          </w:p>
        </w:tc>
        <w:tc>
          <w:tcPr/>
          <w:p>
            <w:pPr>
              <w:pStyle w:val="Compact"/>
              <w:spacing w:after="40" w:before="40"/>
              <w:jc w:val="left"/>
            </w:pPr>
            <w:r>
              <w:rPr>
                <w:rFonts w:ascii="Cambria" w:hAnsi="Cambria" w:cs="Cambria" w:eastAsia="Cambria"/>
                <w:color w:val="1A1A1A"/>
                <w:sz w:val="18"/>
              </w:rPr>
              <w:t xml:space="preserve">Dominio 8</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Impatto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H — Profili etico/giuridico/organizz.</w:t>
            </w:r>
          </w:p>
        </w:tc>
        <w:tc>
          <w:tcPr>
            <w:shd w:val="clear" w:color="auto" w:fill="F4F1EC"/>
          </w:tcPr>
          <w:p>
            <w:pPr>
              <w:pStyle w:val="Compact"/>
              <w:spacing w:after="40" w:before="40"/>
              <w:jc w:val="left"/>
            </w:pPr>
            <w:r>
              <w:rPr>
                <w:rFonts w:ascii="Cambria" w:hAnsi="Cambria" w:cs="Cambria" w:eastAsia="Cambria"/>
                <w:color w:val="1A1A1A"/>
                <w:sz w:val="18"/>
              </w:rPr>
              <w:t xml:space="preserve">Domini 6, 7, 9</w:t>
            </w:r>
          </w:p>
        </w:tc>
        <w:tc>
          <w:tcPr>
            <w:shd w:val="clear" w:color="auto" w:fill="F4F1EC"/>
          </w:tcPr>
          <w:p>
            <w:pPr>
              <w:pStyle w:val="Compact"/>
              <w:spacing w:after="40" w:before="40"/>
              <w:jc w:val="left"/>
            </w:pPr>
            <w:r>
              <w:rPr>
                <w:rFonts w:ascii="Cambria" w:hAnsi="Cambria" w:cs="Cambria" w:eastAsia="Cambria"/>
                <w:color w:val="1A1A1A"/>
                <w:sz w:val="18"/>
              </w:rPr>
              <w:t xml:space="preserve">Gestionale</w:t>
            </w:r>
          </w:p>
        </w:tc>
        <w:tc>
          <w:tcPr>
            <w:shd w:val="clear" w:color="auto" w:fill="F4F1EC"/>
          </w:tcPr>
          <w:p>
            <w:pPr>
              <w:pStyle w:val="Compact"/>
              <w:spacing w:after="40" w:before="40"/>
              <w:jc w:val="left"/>
            </w:pPr>
            <w:r>
              <w:rPr>
                <w:rFonts w:ascii="Cambria" w:hAnsi="Cambria" w:cs="Cambria" w:eastAsia="Cambria"/>
                <w:color w:val="1A1A1A"/>
                <w:sz w:val="18"/>
              </w:rPr>
              <w:t xml:space="preserve">Coerenza</w:t>
            </w:r>
          </w:p>
        </w:tc>
      </w:tr>
      <w:tr>
        <w:tc>
          <w:tcPr/>
          <w:p>
            <w:pPr>
              <w:pStyle w:val="Compact"/>
              <w:spacing w:after="40" w:before="40"/>
              <w:jc w:val="left"/>
            </w:pPr>
            <w:r>
              <w:rPr>
                <w:rFonts w:ascii="Cambria" w:hAnsi="Cambria" w:cs="Cambria" w:eastAsia="Cambria"/>
                <w:b/>
                <w:bCs/>
                <w:color w:val="1A1A1A"/>
                <w:sz w:val="18"/>
              </w:rPr>
              <w:t xml:space="preserve">I — Attuazione e sostenibilità</w:t>
            </w:r>
          </w:p>
        </w:tc>
        <w:tc>
          <w:tcPr/>
          <w:p>
            <w:pPr>
              <w:pStyle w:val="Compact"/>
              <w:spacing w:after="40" w:before="40"/>
              <w:jc w:val="left"/>
            </w:pPr>
            <w:r>
              <w:rPr>
                <w:rFonts w:ascii="Cambria" w:hAnsi="Cambria" w:cs="Cambria" w:eastAsia="Cambria"/>
                <w:color w:val="1A1A1A"/>
                <w:sz w:val="18"/>
              </w:rPr>
              <w:t xml:space="preserve">Dominio 7</w:t>
            </w:r>
          </w:p>
        </w:tc>
        <w:tc>
          <w:tcPr/>
          <w:p>
            <w:pPr>
              <w:pStyle w:val="Compact"/>
              <w:spacing w:after="40" w:before="40"/>
              <w:jc w:val="left"/>
            </w:pPr>
            <w:r>
              <w:rPr>
                <w:rFonts w:ascii="Cambria" w:hAnsi="Cambria" w:cs="Cambria" w:eastAsia="Cambria"/>
                <w:color w:val="1A1A1A"/>
                <w:sz w:val="18"/>
              </w:rPr>
              <w:t xml:space="preserve">Commerciale, gestionale</w:t>
            </w:r>
          </w:p>
        </w:tc>
        <w:tc>
          <w:tcPr/>
          <w:p>
            <w:pPr>
              <w:pStyle w:val="Compact"/>
              <w:spacing w:after="40" w:before="40"/>
              <w:jc w:val="left"/>
            </w:pPr>
            <w:r>
              <w:rPr>
                <w:rFonts w:ascii="Cambria" w:hAnsi="Cambria" w:cs="Cambria" w:eastAsia="Cambria"/>
                <w:color w:val="1A1A1A"/>
                <w:sz w:val="18"/>
              </w:rPr>
              <w:t xml:space="preserve">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 — Monitoraggio ed ex post</w:t>
            </w:r>
          </w:p>
        </w:tc>
        <w:tc>
          <w:tcPr>
            <w:shd w:val="clear" w:color="auto" w:fill="F4F1EC"/>
          </w:tcPr>
          <w:p>
            <w:pPr>
              <w:pStyle w:val="Compact"/>
              <w:spacing w:after="40" w:before="40"/>
              <w:jc w:val="left"/>
            </w:pPr>
            <w:r>
              <w:rPr>
                <w:rFonts w:ascii="Cambria" w:hAnsi="Cambria" w:cs="Cambria" w:eastAsia="Cambria"/>
                <w:color w:val="1A1A1A"/>
                <w:sz w:val="18"/>
              </w:rPr>
              <w:t xml:space="preserve">Trasversale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Verifica ex post</w:t>
            </w:r>
          </w:p>
        </w:tc>
      </w:tr>
      <w:tr>
        <w:tc>
          <w:tcPr/>
          <w:p>
            <w:pPr>
              <w:pStyle w:val="Compact"/>
              <w:spacing w:after="40" w:before="40"/>
              <w:jc w:val="left"/>
            </w:pPr>
            <w:r>
              <w:rPr>
                <w:rFonts w:ascii="Cambria" w:hAnsi="Cambria" w:cs="Cambria" w:eastAsia="Cambria"/>
                <w:b/>
                <w:bCs/>
                <w:color w:val="1A1A1A"/>
                <w:sz w:val="18"/>
              </w:rPr>
              <w:t xml:space="preserve">M — Sintesi e raccomandazioni</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Tutti i criteri</w:t>
            </w:r>
          </w:p>
        </w:tc>
      </w:tr>
    </w:tbl>
    <w:p>
      <w:pPr>
        <w:pStyle w:val="BodyText"/>
      </w:pPr>
      <w:r>
        <w:rPr>
          <w:i/>
          <w:iCs/>
        </w:rPr>
        <w:t xml:space="preserve">Tabella 2. La mappa di integrazione delle quattro cornici, parte per parte.</w:t>
      </w:r>
    </w:p>
    <w:bookmarkEnd w:id="3006"/>
    <w:bookmarkStart w:id="3007" w:name="la-sintesi-del-valore-10"/>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ma prossimo al pareggio per la Campania, regione dal saldo di mobilità fra i più passivi d’Italia la cui fuga è però concentrata nell’alta complessità ospedaliera e chirurgica e non nella domanda psicologica territoriale, sicché il canale del recupero della mobilità è solo modestamente pertinente a questo intervento — e il saldo complessivo, ampiamente positivo. La tabella seguente lo riepiloga.</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34</w:t>
            </w:r>
          </w:p>
        </w:tc>
        <w:tc>
          <w:tcPr/>
          <w:p>
            <w:pPr>
              <w:pStyle w:val="Compact"/>
              <w:spacing w:after="40" w:before="40"/>
              <w:jc w:val="left"/>
            </w:pPr>
            <w:r>
              <w:rPr>
                <w:rFonts w:ascii="Cambria" w:hAnsi="Cambria" w:cs="Cambria" w:eastAsia="Cambria"/>
                <w:color w:val="1A1A1A"/>
                <w:sz w:val="18"/>
              </w:rPr>
              <w:t xml:space="preserve">~ 50</w:t>
            </w:r>
          </w:p>
        </w:tc>
        <w:tc>
          <w:tcPr/>
          <w:p>
            <w:pPr>
              <w:pStyle w:val="Compact"/>
              <w:spacing w:after="40" w:before="40"/>
              <w:jc w:val="left"/>
            </w:pPr>
            <w:r>
              <w:rPr>
                <w:rFonts w:ascii="Cambria" w:hAnsi="Cambria" w:cs="Cambria" w:eastAsia="Cambria"/>
                <w:color w:val="1A1A1A"/>
                <w:sz w:val="18"/>
              </w:rPr>
              <w:t xml:space="preserve">~ 67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27</w:t>
            </w:r>
          </w:p>
        </w:tc>
        <w:tc>
          <w:tcPr>
            <w:shd w:val="clear" w:color="auto" w:fill="F4F1EC"/>
          </w:tcPr>
          <w:p>
            <w:pPr>
              <w:pStyle w:val="Compact"/>
              <w:spacing w:after="40" w:before="40"/>
              <w:jc w:val="left"/>
            </w:pPr>
            <w:r>
              <w:rPr>
                <w:rFonts w:ascii="Cambria" w:hAnsi="Cambria" w:cs="Cambria" w:eastAsia="Cambria"/>
                <w:color w:val="1A1A1A"/>
                <w:sz w:val="18"/>
              </w:rPr>
              <w:t xml:space="preserve">~ 42</w:t>
            </w:r>
          </w:p>
        </w:tc>
        <w:tc>
          <w:tcPr>
            <w:shd w:val="clear" w:color="auto" w:fill="F4F1EC"/>
          </w:tcPr>
          <w:p>
            <w:pPr>
              <w:pStyle w:val="Compact"/>
              <w:spacing w:after="40" w:before="40"/>
              <w:jc w:val="left"/>
            </w:pPr>
            <w:r>
              <w:rPr>
                <w:rFonts w:ascii="Cambria" w:hAnsi="Cambria" w:cs="Cambria" w:eastAsia="Cambria"/>
                <w:color w:val="1A1A1A"/>
                <w:sz w:val="18"/>
              </w:rPr>
              <w:t xml:space="preserve">~ 66</w:t>
            </w:r>
          </w:p>
        </w:tc>
      </w:tr>
      <w:tr>
        <w:tc>
          <w:tcPr/>
          <w:p>
            <w:pPr>
              <w:pStyle w:val="Compact"/>
              <w:spacing w:after="40" w:before="40"/>
              <w:jc w:val="left"/>
            </w:pPr>
            <w:r>
              <w:rPr>
                <w:rFonts w:ascii="Cambria" w:hAnsi="Cambria" w:cs="Cambria" w:eastAsia="Cambria"/>
                <w:b/>
                <w:bCs/>
                <w:color w:val="1A1A1A"/>
                <w:sz w:val="18"/>
              </w:rPr>
              <w:t xml:space="preserve">Ricadute economico-sociali</w:t>
            </w:r>
          </w:p>
        </w:tc>
        <w:tc>
          <w:tcPr/>
          <w:p>
            <w:pPr>
              <w:pStyle w:val="Compact"/>
              <w:spacing w:after="40" w:before="40"/>
              <w:jc w:val="left"/>
            </w:pPr>
            <w:r>
              <w:rPr>
                <w:rFonts w:ascii="Cambria" w:hAnsi="Cambria" w:cs="Cambria" w:eastAsia="Cambria"/>
                <w:color w:val="1A1A1A"/>
                <w:sz w:val="18"/>
              </w:rPr>
              <w:t xml:space="preserve">~ 105</w:t>
            </w:r>
          </w:p>
        </w:tc>
        <w:tc>
          <w:tcPr/>
          <w:p>
            <w:pPr>
              <w:pStyle w:val="Compact"/>
              <w:spacing w:after="40" w:before="40"/>
              <w:jc w:val="left"/>
            </w:pPr>
            <w:r>
              <w:rPr>
                <w:rFonts w:ascii="Cambria" w:hAnsi="Cambria" w:cs="Cambria" w:eastAsia="Cambria"/>
                <w:color w:val="1A1A1A"/>
                <w:sz w:val="18"/>
              </w:rPr>
              <w:t xml:space="preserve">~ 200</w:t>
            </w:r>
          </w:p>
        </w:tc>
        <w:tc>
          <w:tcPr/>
          <w:p>
            <w:pPr>
              <w:pStyle w:val="Compact"/>
              <w:spacing w:after="40" w:before="40"/>
              <w:jc w:val="left"/>
            </w:pPr>
            <w:r>
              <w:rPr>
                <w:rFonts w:ascii="Cambria" w:hAnsi="Cambria" w:cs="Cambria" w:eastAsia="Cambria"/>
                <w:color w:val="1A1A1A"/>
                <w:sz w:val="18"/>
              </w:rPr>
              <w:t xml:space="preserve">~ 300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−7</w:t>
            </w:r>
          </w:p>
        </w:tc>
        <w:tc>
          <w:tcPr>
            <w:shd w:val="clear" w:color="auto" w:fill="F4F1EC"/>
          </w:tcPr>
          <w:p>
            <w:pPr>
              <w:pStyle w:val="Compact"/>
              <w:spacing w:after="40" w:before="40"/>
              <w:jc w:val="left"/>
            </w:pPr>
            <w:r>
              <w:rPr>
                <w:rFonts w:ascii="Cambria" w:hAnsi="Cambria" w:cs="Cambria" w:eastAsia="Cambria"/>
                <w:color w:val="1A1A1A"/>
                <w:sz w:val="18"/>
              </w:rPr>
              <w:t xml:space="preserve">~ −8</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r>
      <w:tr>
        <w:tc>
          <w:tcPr/>
          <w:p>
            <w:pPr>
              <w:pStyle w:val="Compact"/>
              <w:spacing w:after="40" w:before="40"/>
              <w:jc w:val="left"/>
            </w:pPr>
            <w:r>
              <w:rPr>
                <w:rFonts w:ascii="Cambria" w:hAnsi="Cambria" w:cs="Cambria" w:eastAsia="Cambria"/>
                <w:b/>
                <w:bCs/>
                <w:color w:val="1A1A1A"/>
                <w:sz w:val="18"/>
              </w:rPr>
              <w:t xml:space="preserve">Saldo complessivo (caso economico)</w:t>
            </w:r>
          </w:p>
        </w:tc>
        <w:tc>
          <w:tcPr/>
          <w:p>
            <w:pPr>
              <w:pStyle w:val="Compact"/>
              <w:spacing w:after="40" w:before="40"/>
              <w:jc w:val="left"/>
            </w:pPr>
            <w:r>
              <w:rPr>
                <w:rFonts w:ascii="Cambria" w:hAnsi="Cambria" w:cs="Cambria" w:eastAsia="Cambria"/>
                <w:color w:val="1A1A1A"/>
                <w:sz w:val="18"/>
              </w:rPr>
              <w:t xml:space="preserve">+98</w:t>
            </w:r>
          </w:p>
        </w:tc>
        <w:tc>
          <w:tcPr/>
          <w:p>
            <w:pPr>
              <w:pStyle w:val="Compact"/>
              <w:spacing w:after="40" w:before="40"/>
              <w:jc w:val="left"/>
            </w:pPr>
            <w:r>
              <w:rPr>
                <w:rFonts w:ascii="Cambria" w:hAnsi="Cambria" w:cs="Cambria" w:eastAsia="Cambria"/>
                <w:color w:val="1A1A1A"/>
                <w:sz w:val="18"/>
              </w:rPr>
              <w:t xml:space="preserve">+192</w:t>
            </w:r>
          </w:p>
        </w:tc>
        <w:tc>
          <w:tcPr/>
          <w:p>
            <w:pPr>
              <w:pStyle w:val="Compact"/>
              <w:spacing w:after="40" w:before="40"/>
              <w:jc w:val="left"/>
            </w:pPr>
            <w:r>
              <w:rPr>
                <w:rFonts w:ascii="Cambria" w:hAnsi="Cambria" w:cs="Cambria" w:eastAsia="Cambria"/>
                <w:color w:val="1A1A1A"/>
                <w:sz w:val="18"/>
              </w:rPr>
              <w:t xml:space="preserve">+299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~3,9:1</w:t>
            </w:r>
          </w:p>
        </w:tc>
        <w:tc>
          <w:tcPr>
            <w:shd w:val="clear" w:color="auto" w:fill="F4F1EC"/>
          </w:tcPr>
          <w:p>
            <w:pPr>
              <w:pStyle w:val="Compact"/>
              <w:spacing w:after="40" w:before="40"/>
              <w:jc w:val="left"/>
            </w:pPr>
            <w:r>
              <w:rPr>
                <w:rFonts w:ascii="Cambria" w:hAnsi="Cambria" w:cs="Cambria" w:eastAsia="Cambria"/>
                <w:color w:val="1A1A1A"/>
                <w:sz w:val="18"/>
              </w:rPr>
              <w:t xml:space="preserve">~4,8:1</w:t>
            </w:r>
          </w:p>
        </w:tc>
        <w:tc>
          <w:tcPr>
            <w:shd w:val="clear" w:color="auto" w:fill="F4F1E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la Campania, è strutturare a regime il servizio di psicologia di base già attivo, stabilizzandone il finanziamento — dal sostegno transitorio del Piano Nazionale Equità in Salute a risorse regionali stabili, oggi rese possibili dall’uscita dal piano di rientro — e dimensionandolo per gradi dal nucleo attivo, dell’ordine di 146 psicologi, verso la copertura sistematica, dell’ordine di 610 psicologi nello scenario conservativo, 910 in quello di base e 1.210 in quello espansivo. Il limite principale è il radicamento dei dati: le grandezze economiche sono in parte ricostruite a partire dai conti nazionali scalati per la quota di popolazione campana, del 9,5%, e non estratte dai conti regionali certificati delle sette Aziende Sanitarie Locali e delle aziende ospedaliere; la loro sostituzione con dati certificati è la condizione per la presentazione agli organi di controllo, ed è nella Campania, a differenza del Lazio, in parte mitigata dai dati operativi reali del servizio attivo, raccolti dall’Osservatorio regionale.</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campano. La condizione propria della Campania — la regione pioniera, prima d’Italia ad aver istituito il servizio per legge e ad averlo attivato — le conferisce un pregio metodologico peculiare: la possibilità di fondare la valutazione controfattuale su un servizio già in funzione, come un esperimento a cunei progressivi tra le sette Aziende che hanno avviato il servizio in tempi differenziati, ancorato a dati operativi reali già raccolti dall’Osservatorio regionale anziché ai soli benchmark importati. Su questa base, e con la dichiarazione trasparente dei propri limiti, il corpus consegna al decisore un quadro completo e onesto su cui deliberare, e alla regione che per prima ha istituito il servizio l’occasione di consolidare un primato normativo in un servizio stabile e a regime.</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3007"/>
    <w:bookmarkStart w:id="3012" w:name="parte-a-quadro-quesito-e-metodo-13"/>
    <w:p>
      <w:pPr>
        <w:pStyle w:val="Heading2"/>
      </w:pPr>
      <w:r>
        <w:t xml:space="preserve">Parte A — Quadro, quesito e metodo</w:t>
      </w:r>
    </w:p>
    <w:p>
      <w:pPr>
        <w:pStyle w:val="FirstParagraph"/>
      </w:pPr>
      <w:r>
        <w:t xml:space="preserve">Questa è la prima parte dello studio integrale per la Campania, che applica alla regione il telaio integrato sviluppato e validato per la Puglia e già esteso alla Lombardia, al Veneto, all’Emilia-Romagna, al Piemonte, alla Toscana, alla Liguria e al Lazio. L’architettura e il caso di riferimento sono i medesimi, e mutano soltanto i dati di ingresso, ancorati alla Campania.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Campania occupa nella serie una posizione singolare: è la regione pioniera, la prima in Italia ad aver istituito il servizio per legge e ad averlo attivato, sicché la valutazione non riguarda l’opportunità di introdurlo, ma la sua strutturazione a regime.</w:t>
      </w:r>
    </w:p>
    <w:bookmarkStart w:id="3009" w:name="X05d71861c58469bbf6fd78d29595b9ccf2ffc83"/>
    <w:p>
      <w:pPr>
        <w:pStyle w:val="Heading3"/>
      </w:pPr>
      <w:r>
        <w:t xml:space="preserve">A.1 Scopo, quesito di valutazione e standard adottati</w:t>
      </w:r>
    </w:p>
    <w:p>
      <w:pPr>
        <w:pStyle w:val="FirstParagraph"/>
      </w:pPr>
      <w:r>
        <w:t xml:space="preserve">Lo studio ha per oggetto il Servizio di Psicologia di Base nelle cure primarie della Campania, inteso come strutturazione a regime e dimensionamento di una funzione che la regione ha già istituito per legge — prima in Italia — e già attivato presso i distretti delle proprie Aziende Sanitarie Locali.</w:t>
      </w:r>
      <w:r>
        <w:rPr>
          <w:rStyle w:val="FootnoteReference"/>
        </w:rPr>
        <w:footnoteReference w:id="3192"/>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la Campania, non è istituire il servizio, già istituito e avviato, ma strutturarlo a regime e dimensionarlo, conducendolo dal nucleo attuale alla copertura sistematica del fabbisogno con un finanziamento regionale stabile. Lo studio fornisce gli elementi per quella decisione, non la sostituisce: ne misura le conseguenze attese in tre scenari di copertura, lasciando alla sede politica e di bilancio la scelta della scala. Va segnalato sin d’ora che il servizio attualmente attivo, dell’ordine di 146 psicologi, è in larga parte sostenuto da risorse transitorie del Piano Nazionale Equità in Salute, e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1.116.000 persone, si somma un’utenza specialistica in carico ai servizi, in un quadro segnato da componenti convergenti — il disagio giovanile, accentuato in una regione fra le più giovani del Paese, il disagio connesso al lavoro e alla deprivazione nell’area napoletana, e il bisogno dell’età adulta e anziana nelle province interne — cui si aggiunge la pressione delle liste di attesa e la storica sotto-dotazione del sistema.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campani con bisogno psicologico comune, e in seconda istanza dall’intera popolazione per gli effetti di sistema. L’intervento è lo psicologo di base nelle cure primarie, come primo livello di ascolto, intercettazione precoce e filtro, strutturato e portato a regime. Il confronto è la condizione attuale, nella quale il servizio è attivo ma parziale e a finanziamento transitorio. Gli esiti sono clinici, economici, sociali e di sistema. I tempi distinguono l’orizzonte pluriennale degli esiti dall’orizzonte triennale-quinquennale del bilancio. Il contesto è il Servizio sanitario della Campania, con le sue sette Aziende Sanitarie Locali, le aziende ospedaliere e ospedaliero-universitarie e gli IRCCS, e la rete delle Case della Comunità in costruzione. La tabella seguente riepiloga gli elementi del quesito.</w:t>
      </w:r>
    </w:p>
    <w:tbl>
      <w:tblPr>
        <w:tblStyle w:val="Table"/>
        <w:tblW w:type="pct" w:w="495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301"/>
        <w:gridCol w:w="6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la Campania</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campani con disagio psichico comune (~1.116.000);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Psicologo di base nelle cure primarie, primo livello e filtro, strutturato e portato a regime (~610/910/1.210 incarichi); consolidamento ed estensione del servizio pioniere</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Condizione attuale: servizio già attivo (~146 psicologi) ma parziale e a finanziamento transitorio (PNES), privo di contratto collettivo nazionale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liste di attesa)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Servizio sanitario regionale della Campania; sette Aziende Sanitarie Locali, aziende ospedaliere e IRCCS, rete delle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3009"/>
    <w:bookmarkStart w:id="3010" w:name="a.2-il-caso-di-riferimento-e-i-metodi-12"/>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parziale e a finanziamento transitorio, come comparatore. Le unità di analisi sono la regione e, in disaggregazione, le Aziende Sanitarie Locali e i distretti, per dare conto anche dei divari territoriali interni, segnatamente fra l’area metropolitana napoletana e le province interne.</w:t>
      </w:r>
    </w:p>
    <w:tbl>
      <w:tblPr>
        <w:tblStyle w:val="Table"/>
        <w:tblW w:type="pct" w:w="492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280"/>
        <w:gridCol w:w="551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Condizione attuale: servizio attivo ma parziale e a finanziamento transitorio (PNES)</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Regione, con disaggregazione per Azienda Sanitaria Locale e distretto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Campania, un rilievo particolare. La regione è uscita dal piano di rientro nel marzo 2026, dopo quasi vent’anni, riacquistando margini di programmazione che per due decenni non aveva avuto. Sul versante della mobilità, essa presenta uno dei saldi passivi più elevati d’Italia, ma la fuga riguarda l’alta complessità ospedaliera e chirurgica, non la domanda psicologica, sicché il canale del recupero della mobilità è per questo intervento solo modestamente pertinente. Ne consegue un saldo diretto lievemente negativo ma prossimo al pareggio — meno sfavorevole che in un sistema già efficiente, poiché il sistema campano, a lungo sotto-finanziato, presenta un consumo improprio più ampio da recuperare — mentre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regionali certificati; a differenza del Lazio, tuttavia, la Campania dispone già di un servizio attivo che produce dati operativi reali, raccolti dall’Osservatorio regionale, vantaggio peculiare della regione pioniera.</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Campania il disegno controfattuale assume una forma propria: poiché il servizio è già attivo ma in corso di estensione, esso può fondarsi su un esperimento a cunei progressivi tra le sette Aziende Sanitarie Locali, che hanno avviato il servizio in tempi differenziati, con il servizio già in funzione come linea di base e l’effetto causale stimato dai metodi della differenza-nelle-differenze e del controllo sintetico. La tabella seguente colloca ciascuna metodologia nella sua sede.</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357"/>
        <w:gridCol w:w="30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generato oltre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 nel tempo</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Parte F</w:t>
            </w:r>
          </w:p>
        </w:tc>
        <w:tc>
          <w:tcPr/>
          <w:p>
            <w:pPr>
              <w:pStyle w:val="Compact"/>
              <w:spacing w:after="40" w:before="40"/>
              <w:jc w:val="left"/>
            </w:pPr>
            <w:r>
              <w:rPr>
                <w:rFonts w:ascii="Cambria" w:hAnsi="Cambria" w:cs="Cambria" w:eastAsia="Cambria"/>
                <w:color w:val="1A1A1A"/>
                <w:sz w:val="18"/>
              </w:rPr>
              <w:t xml:space="preserve">Governo dell’incertezza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w:t>
            </w:r>
          </w:p>
        </w:tc>
        <w:tc>
          <w:tcPr>
            <w:shd w:val="clear" w:color="auto" w:fill="F4F1EC"/>
          </w:tcPr>
          <w:p>
            <w:pPr>
              <w:pStyle w:val="Compact"/>
              <w:spacing w:after="40" w:before="40"/>
              <w:jc w:val="left"/>
            </w:pPr>
            <w:r>
              <w:rPr>
                <w:rFonts w:ascii="Cambria" w:hAnsi="Cambria" w:cs="Cambria" w:eastAsia="Cambria"/>
                <w:color w:val="1A1A1A"/>
                <w:sz w:val="18"/>
              </w:rPr>
              <w:t xml:space="preserve">Parte G</w:t>
            </w:r>
          </w:p>
        </w:tc>
        <w:tc>
          <w:tcPr>
            <w:shd w:val="clear" w:color="auto" w:fill="F4F1EC"/>
          </w:tcPr>
          <w:p>
            <w:pPr>
              <w:pStyle w:val="Compact"/>
              <w:spacing w:after="40" w:before="40"/>
              <w:jc w:val="left"/>
            </w:pPr>
            <w:r>
              <w:rPr>
                <w:rFonts w:ascii="Cambria" w:hAnsi="Cambria" w:cs="Cambria" w:eastAsia="Cambria"/>
                <w:color w:val="1A1A1A"/>
                <w:sz w:val="18"/>
              </w:rPr>
              <w:t xml:space="preserve">Misura dell’equità distributiva</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Parte L</w:t>
            </w:r>
          </w:p>
        </w:tc>
        <w:tc>
          <w:tcPr/>
          <w:p>
            <w:pPr>
              <w:pStyle w:val="Compact"/>
              <w:spacing w:after="40" w:before="40"/>
              <w:jc w:val="left"/>
            </w:pPr>
            <w:r>
              <w:rPr>
                <w:rFonts w:ascii="Cambria" w:hAnsi="Cambria" w:cs="Cambria" w:eastAsia="Cambria"/>
                <w:color w:val="1A1A1A"/>
                <w:sz w:val="18"/>
              </w:rPr>
              <w:t xml:space="preserve">Stima dell’effetto reale sul campo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sistema GRADE</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Fondazione e graduazione dell’evidenza</w:t>
            </w:r>
          </w:p>
        </w:tc>
      </w:tr>
      <w:tr>
        <w:tc>
          <w:tcPr/>
          <w:p>
            <w:pPr>
              <w:pStyle w:val="Compact"/>
              <w:spacing w:after="40" w:before="40"/>
              <w:jc w:val="left"/>
            </w:pPr>
            <w:r>
              <w:rPr>
                <w:rFonts w:ascii="Cambria" w:hAnsi="Cambria" w:cs="Cambria" w:eastAsia="Cambria"/>
                <w:b/>
                <w:bCs/>
                <w:color w:val="1A1A1A"/>
                <w:sz w:val="18"/>
              </w:rPr>
              <w:t xml:space="preserve">Analisi multi-criterio</w:t>
            </w:r>
          </w:p>
        </w:tc>
        <w:tc>
          <w:tcPr/>
          <w:p>
            <w:pPr>
              <w:pStyle w:val="Compact"/>
              <w:spacing w:after="40" w:before="40"/>
              <w:jc w:val="left"/>
            </w:pPr>
            <w:r>
              <w:rPr>
                <w:rFonts w:ascii="Cambria" w:hAnsi="Cambria" w:cs="Cambria" w:eastAsia="Cambria"/>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Composizione dei criteri non monetari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della regolamentazione</w:t>
            </w:r>
          </w:p>
        </w:tc>
        <w:tc>
          <w:tcPr>
            <w:shd w:val="clear" w:color="auto" w:fill="F4F1EC"/>
          </w:tcPr>
          <w:p>
            <w:pPr>
              <w:pStyle w:val="Compact"/>
              <w:spacing w:after="40" w:before="40"/>
              <w:jc w:val="left"/>
            </w:pPr>
            <w:r>
              <w:rPr>
                <w:rFonts w:ascii="Cambria" w:hAnsi="Cambria" w:cs="Cambria" w:eastAsia="Cambria"/>
                <w:color w:val="1A1A1A"/>
                <w:sz w:val="18"/>
              </w:rPr>
              <w:t xml:space="preserve">Parti H, L</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della norma ex ante ed ex post</w:t>
            </w:r>
          </w:p>
        </w:tc>
      </w:tr>
    </w:tbl>
    <w:p>
      <w:pPr>
        <w:pStyle w:val="BodyText"/>
      </w:pPr>
      <w:r>
        <w:rPr>
          <w:i/>
          <w:iCs/>
        </w:rPr>
        <w:t xml:space="preserve">Tabella A.3. Le dieci metodologie analitiche e la loro collocazione nello studio.</w:t>
      </w:r>
    </w:p>
    <w:bookmarkEnd w:id="3010"/>
    <w:bookmarkStart w:id="3011" w:name="Xaeed8c16e32ea15d8740d37e710e4e4f65f6adf"/>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sette Aziende Sanitarie Locali, le aziende ospedaliere e ospedaliero-universitarie e gli IRCCS, l’Ordine degli Psicologi della Campania, le rappresentanze della medicina generale e della pediatria di libera scelta e gli atenei. La Campania non dispone di un’azienda regionale unica di coordinamento: il coordinamento è in capo alla Regione, con il supporto della società regionale per gli acquisti e della piattaforma informativa regionale, mentre l’Osservatorio regionale, già istituito dalla legge, esercita funzioni di indirizzo, programmazione e controllo. Poiché il servizio è già attivo e la rete delle Case della Comunità è in costruzione, la sfida del governo non è istituire il servizio, ma strutturarlo e dimensionarlo, garantendo l’omogeneità attuativa in un sistema esteso e policentrico: è il tratto che distingue la Campania, regione pioniera,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Campania.</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3011"/>
    <w:bookmarkEnd w:id="3012"/>
    <w:bookmarkStart w:id="3019" w:name="X48314d3c6cc8e67c5a087b5558c129e2601b75a"/>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Campania.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Campania: non un servizio da istituire, ma un servizio già istituito e attivo — il primo d’Italia — da strutturare a regime in una regione grande, accentrata su Napoli, giovane e da poco uscita da un lungo piano di rientro.</w:t>
      </w:r>
    </w:p>
    <w:bookmarkStart w:id="3013" w:name="b.1-quadro-demografico-11"/>
    <w:p>
      <w:pPr>
        <w:pStyle w:val="Heading3"/>
      </w:pPr>
      <w:r>
        <w:t xml:space="preserve">B.1 Quadro demografico</w:t>
      </w:r>
    </w:p>
    <w:p>
      <w:pPr>
        <w:pStyle w:val="FirstParagraph"/>
      </w:pPr>
      <w:r>
        <w:t xml:space="preserve">La Campania conta 5.582.337 residenti, pari a circa il 9,5% della popolazione nazionale, in lieve calo per effetto dei saldi naturale e migratorio interno negativi, e con un nuovo record di denatalità. La struttura per età è fra le più giovani d’Italia, con un’età media dell’ordine di 44,5 anni, ma con disomogeneità interne: Caserta e Napoli sono le province più giovani, Benevento e Avellino le più anziane. La componente straniera, pari al 5,0%, è nettamente inferiore alla media nazionale. La distribuzione è fortemente concentrata: la sola provincia di Napoli raccoglie circa il 53% dei residenti, seguita da Salerno con circa il 19%. La tabella seguente ne riepiloga il profilo.</w:t>
      </w:r>
    </w:p>
    <w:tbl>
      <w:tblPr>
        <w:tblStyle w:val="Table"/>
        <w:tblW w:type="pct" w:w="493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52"/>
        <w:gridCol w:w="58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Campania</w:t>
            </w:r>
          </w:p>
        </w:tc>
      </w:tr>
      <w:tr>
        <w:tc>
          <w:tcPr/>
          <w:p>
            <w:pPr>
              <w:pStyle w:val="Compact"/>
              <w:spacing w:after="40" w:before="40"/>
              <w:jc w:val="left"/>
            </w:pPr>
            <w:r>
              <w:rPr>
                <w:rFonts w:ascii="Cambria" w:hAnsi="Cambria" w:cs="Cambria" w:eastAsia="Cambria"/>
                <w:b/>
                <w:bCs/>
                <w:color w:val="1A1A1A"/>
                <w:sz w:val="18"/>
              </w:rPr>
              <w:t xml:space="preserve">Popolazione (Censimento 2024)</w:t>
            </w:r>
          </w:p>
        </w:tc>
        <w:tc>
          <w:tcPr/>
          <w:p>
            <w:pPr>
              <w:pStyle w:val="Compact"/>
              <w:spacing w:after="40" w:before="40"/>
              <w:jc w:val="left"/>
            </w:pPr>
            <w:r>
              <w:rPr>
                <w:rFonts w:ascii="Cambria" w:hAnsi="Cambria" w:cs="Cambria" w:eastAsia="Cambria"/>
                <w:color w:val="1A1A1A"/>
                <w:sz w:val="18"/>
              </w:rPr>
              <w:t xml:space="preserve">5.582.337 (~9,5% del totale nazionale); in lieve calo; record di denatalità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Età media e struttura</w:t>
            </w:r>
          </w:p>
        </w:tc>
        <w:tc>
          <w:tcPr>
            <w:shd w:val="clear" w:color="auto" w:fill="F4F1EC"/>
          </w:tcPr>
          <w:p>
            <w:pPr>
              <w:pStyle w:val="Compact"/>
              <w:spacing w:after="40" w:before="40"/>
              <w:jc w:val="left"/>
            </w:pPr>
            <w:r>
              <w:rPr>
                <w:rFonts w:ascii="Cambria" w:hAnsi="Cambria" w:cs="Cambria" w:eastAsia="Cambria"/>
                <w:color w:val="1A1A1A"/>
                <w:sz w:val="18"/>
              </w:rPr>
              <w:t xml:space="preserve">~ 44,5 anni, fra le più giovani d’Italia; Caserta e Napoli più giovani, Benevento e Avellino più anziane</w:t>
            </w:r>
          </w:p>
        </w:tc>
      </w:tr>
      <w:tr>
        <w:tc>
          <w:tcPr/>
          <w:p>
            <w:pPr>
              <w:pStyle w:val="Compact"/>
              <w:spacing w:after="40" w:before="40"/>
              <w:jc w:val="left"/>
            </w:pPr>
            <w:r>
              <w:rPr>
                <w:rFonts w:ascii="Cambria" w:hAnsi="Cambria" w:cs="Cambria" w:eastAsia="Cambria"/>
                <w:b/>
                <w:bCs/>
                <w:color w:val="1A1A1A"/>
                <w:sz w:val="18"/>
              </w:rPr>
              <w:t xml:space="preserve">Componente straniera</w:t>
            </w:r>
          </w:p>
        </w:tc>
        <w:tc>
          <w:tcPr/>
          <w:p>
            <w:pPr>
              <w:pStyle w:val="Compact"/>
              <w:spacing w:after="40" w:before="40"/>
              <w:jc w:val="left"/>
            </w:pPr>
            <w:r>
              <w:rPr>
                <w:rFonts w:ascii="Cambria" w:hAnsi="Cambria" w:cs="Cambria" w:eastAsia="Cambria"/>
                <w:color w:val="1A1A1A"/>
                <w:sz w:val="18"/>
              </w:rPr>
              <w:t xml:space="preserve">5,0% dei residenti, nettamente inferiore alla media nazionale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Distribuzione territoriale</w:t>
            </w:r>
          </w:p>
        </w:tc>
        <w:tc>
          <w:tcPr>
            <w:shd w:val="clear" w:color="auto" w:fill="F4F1EC"/>
          </w:tcPr>
          <w:p>
            <w:pPr>
              <w:pStyle w:val="Compact"/>
              <w:spacing w:after="40" w:before="40"/>
              <w:jc w:val="left"/>
            </w:pPr>
            <w:r>
              <w:rPr>
                <w:rFonts w:ascii="Cambria" w:hAnsi="Cambria" w:cs="Cambria" w:eastAsia="Cambria"/>
                <w:color w:val="1A1A1A"/>
                <w:sz w:val="18"/>
              </w:rPr>
              <w:t xml:space="preserve">Provincia di Napoli ~53% (sfiora i 3 milioni); Salerno ~19%; Caserta, Avellino e Benevento ~28%</w:t>
            </w:r>
          </w:p>
        </w:tc>
      </w:tr>
      <w:tr>
        <w:tc>
          <w:tcPr/>
          <w:p>
            <w:pPr>
              <w:pStyle w:val="Compact"/>
              <w:spacing w:after="40" w:before="40"/>
              <w:jc w:val="left"/>
            </w:pPr>
            <w:r>
              <w:rPr>
                <w:rFonts w:ascii="Cambria" w:hAnsi="Cambria" w:cs="Cambria" w:eastAsia="Cambria"/>
                <w:b/>
                <w:bCs/>
                <w:color w:val="1A1A1A"/>
                <w:sz w:val="18"/>
              </w:rPr>
              <w:t xml:space="preserve">Profilo territoriale</w:t>
            </w:r>
          </w:p>
        </w:tc>
        <w:tc>
          <w:tcPr/>
          <w:p>
            <w:pPr>
              <w:pStyle w:val="Compact"/>
              <w:spacing w:after="40" w:before="40"/>
              <w:jc w:val="left"/>
            </w:pPr>
            <w:r>
              <w:rPr>
                <w:rFonts w:ascii="Cambria" w:hAnsi="Cambria" w:cs="Cambria" w:eastAsia="Cambria"/>
                <w:color w:val="1A1A1A"/>
                <w:sz w:val="18"/>
              </w:rPr>
              <w:t xml:space="preserve">Densissima area metropolitana napoletana con aree di deprivazione; province interne più anziane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Articolazione sanitaria</w:t>
            </w:r>
          </w:p>
        </w:tc>
        <w:tc>
          <w:tcPr>
            <w:shd w:val="clear" w:color="auto" w:fill="F4F1EC"/>
          </w:tcPr>
          <w:p>
            <w:pPr>
              <w:pStyle w:val="Compact"/>
              <w:spacing w:after="40" w:before="40"/>
              <w:jc w:val="left"/>
            </w:pPr>
            <w:r>
              <w:rPr>
                <w:rFonts w:ascii="Cambria" w:hAnsi="Cambria" w:cs="Cambria" w:eastAsia="Cambria"/>
                <w:color w:val="1A1A1A"/>
                <w:sz w:val="18"/>
              </w:rPr>
              <w:t xml:space="preserve">Sette Aziende Sanitarie Locali, aziende ospedaliere e ospedaliero-universitarie e IRCCS</w:t>
            </w:r>
          </w:p>
        </w:tc>
      </w:tr>
    </w:tbl>
    <w:p>
      <w:pPr>
        <w:pStyle w:val="BodyText"/>
      </w:pPr>
      <w:r>
        <w:rPr>
          <w:i/>
          <w:iCs/>
        </w:rPr>
        <w:t xml:space="preserve">Tabella B.1. Profilo demografico e socio-economico della Campania.</w:t>
      </w:r>
    </w:p>
    <w:bookmarkEnd w:id="3013"/>
    <w:bookmarkStart w:id="3014" w:name="b.2-epidemiologia-del-bisogno-12"/>
    <w:p>
      <w:pPr>
        <w:pStyle w:val="Heading3"/>
      </w:pPr>
      <w:r>
        <w:t xml:space="preserve">B.2 Epidemiologia del bisogno</w:t>
      </w:r>
    </w:p>
    <w:p>
      <w:pPr>
        <w:pStyle w:val="FirstParagraph"/>
      </w:pPr>
      <w:r>
        <w:t xml:space="preserve">Il bisogno di salute mentale nella Campania è ampio e sospinto da una popolazione numerosa, giovane e fortemente urbana. Proiettando i tassi di prevalenza nazionali, la quota di disagio psichico comune o sottosoglia si colloca nell’ordine di 1.116.000 persone, in larga parte non intercettate nonostante la presenza del servizio pioniere. A questa quota si somma un’ampia utenza specialistica in carico ai servizi, su un territorio che presenta una specificità unica: è stato il primo in Italia a istituire e attivare il servizio di psicologia di base. Tre componenti orientano la domanda. La prima è il disagio giovanile, particolarmente rilevante in una regione fra le più giovani del Paese. La seconda è il disagio connesso al lavoro e alla deprivazione nell’area napoletana. La terza è il bisogno dell’età adulta e anziana, accentuato nelle province interne. È la combinazione — grande regione accentrata su Napoli, regione pioniera e sistema storicamente sotto-dotato — a distinguere il fabbisogno campano. La pressione che ne deriva si riversa anche sul pronto soccorso, con accessi per cause psichiatriche significativi.</w:t>
      </w:r>
    </w:p>
    <w:bookmarkEnd w:id="3014"/>
    <w:bookmarkStart w:id="3015" w:name="X69143b6be808532c64ae71f757d1f3b097df032"/>
    <w:p>
      <w:pPr>
        <w:pStyle w:val="Heading3"/>
      </w:pPr>
      <w:r>
        <w:t xml:space="preserve">B.3 Domanda, offerta e gap di copertura</w:t>
      </w:r>
    </w:p>
    <w:p>
      <w:pPr>
        <w:pStyle w:val="FirstParagraph"/>
      </w:pPr>
      <w:r>
        <w:t xml:space="preserve">Alla domanda descritta si contrappone, nella Campania, un’offerta che presenta la fisionomia più avanzata della serie sul piano istituzionale: il servizio di psicologia di base è già attivo, istituito dalla legge regionale 35 del 2020 e disciplinato dal regolamento regionale 8 del 2022, con circa 146 psicologi in servizio, due per distretto, in rapporto convenzionale e gratuito, e con un Osservatorio regionale già istituito; il servizio è però ancora parziale e in larga parte sostenuto da risorse transitorie del Piano Nazionale Equità in Salute. Il fabbisogno a regime è stimato nell’ordine di 1.210 psicologi nello scenario espansivo, e l’Ordine professionale regionale, che conta quasi diecimila iscritti, ne sostiene la strutturazione. La copertura attuale corrisponde dunque a un nucleo parziale, dell’ordine di un quarto dello scenario conservativo: non un servizio da istituire, ma un servizio da strutturare, stabilizzare e dimensionare. La tabella seguente sintetizza domanda, offerta e divario.</w:t>
      </w:r>
    </w:p>
    <w:tbl>
      <w:tblPr>
        <w:tblStyle w:val="Table"/>
        <w:tblW w:type="pct" w:w="495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70"/>
        <w:gridCol w:w="58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Campania</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1.116.000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in carico ai servizi di 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Ampia (alcune decine di migliaia, stima rapportata ai dati nazionali)</w:t>
            </w:r>
          </w:p>
        </w:tc>
      </w:tr>
      <w:tr>
        <w:tc>
          <w:tcPr/>
          <w:p>
            <w:pPr>
              <w:pStyle w:val="Compact"/>
              <w:spacing w:after="40" w:before="40"/>
              <w:jc w:val="left"/>
            </w:pPr>
            <w:r>
              <w:rPr>
                <w:rFonts w:ascii="Cambria" w:hAnsi="Cambria" w:cs="Cambria" w:eastAsia="Cambria"/>
                <w:b/>
                <w:bCs/>
                <w:color w:val="1A1A1A"/>
                <w:sz w:val="18"/>
              </w:rPr>
              <w:t xml:space="preserve">Offerta territoriale attuale</w:t>
            </w:r>
          </w:p>
        </w:tc>
        <w:tc>
          <w:tcPr/>
          <w:p>
            <w:pPr>
              <w:pStyle w:val="Compact"/>
              <w:spacing w:after="40" w:before="40"/>
              <w:jc w:val="left"/>
            </w:pPr>
            <w:r>
              <w:rPr>
                <w:rFonts w:ascii="Cambria" w:hAnsi="Cambria" w:cs="Cambria" w:eastAsia="Cambria"/>
                <w:color w:val="1A1A1A"/>
                <w:sz w:val="18"/>
              </w:rPr>
              <w:t xml:space="preserve">Servizio già attivo (~146 psicologi, 2 per distretto), LR 35/2020 e RR 8/2022; finanziamento in parte transitorio (PNES); Osservatorio regionale attivo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Fabbisogno stimato a regime</w:t>
            </w:r>
          </w:p>
        </w:tc>
        <w:tc>
          <w:tcPr>
            <w:shd w:val="clear" w:color="auto" w:fill="F4F1EC"/>
          </w:tcPr>
          <w:p>
            <w:pPr>
              <w:pStyle w:val="Compact"/>
              <w:spacing w:after="40" w:before="40"/>
              <w:jc w:val="left"/>
            </w:pPr>
            <w:r>
              <w:rPr>
                <w:rFonts w:ascii="Cambria" w:hAnsi="Cambria" w:cs="Cambria" w:eastAsia="Cambria"/>
                <w:color w:val="1A1A1A"/>
                <w:sz w:val="18"/>
              </w:rPr>
              <w:t xml:space="preserve">~ 1.210 psicologi nello scenario espansivo (610–910 negli altri scenari)</w:t>
            </w:r>
          </w:p>
        </w:tc>
      </w:tr>
      <w:tr>
        <w:tc>
          <w:tcPr/>
          <w:p>
            <w:pPr>
              <w:pStyle w:val="Compact"/>
              <w:spacing w:after="40" w:before="40"/>
              <w:jc w:val="left"/>
            </w:pPr>
            <w:r>
              <w:rPr>
                <w:rFonts w:ascii="Cambria" w:hAnsi="Cambria" w:cs="Cambria" w:eastAsia="Cambria"/>
                <w:b/>
                <w:bCs/>
                <w:color w:val="1A1A1A"/>
                <w:sz w:val="18"/>
              </w:rPr>
              <w:t xml:space="preserve">Copertura attuale del fabbisogno</w:t>
            </w:r>
          </w:p>
        </w:tc>
        <w:tc>
          <w:tcPr/>
          <w:p>
            <w:pPr>
              <w:pStyle w:val="Compact"/>
              <w:spacing w:after="40" w:before="40"/>
              <w:jc w:val="left"/>
            </w:pPr>
            <w:r>
              <w:rPr>
                <w:rFonts w:ascii="Cambria" w:hAnsi="Cambria" w:cs="Cambria" w:eastAsia="Cambria"/>
                <w:color w:val="1A1A1A"/>
                <w:sz w:val="18"/>
              </w:rPr>
              <w:t xml:space="preserve">Parziale (~146 psicologi, ~un quarto dello scenario conservativo)</w:t>
            </w:r>
          </w:p>
        </w:tc>
      </w:tr>
    </w:tbl>
    <w:p>
      <w:pPr>
        <w:pStyle w:val="BodyText"/>
      </w:pPr>
      <w:r>
        <w:rPr>
          <w:i/>
          <w:iCs/>
        </w:rPr>
        <w:t xml:space="preserve">Tabella B.2. Domanda, offerta e gap di copertura.</w:t>
      </w:r>
    </w:p>
    <w:bookmarkEnd w:id="3015"/>
    <w:bookmarkStart w:id="3016" w:name="Xdd09f696666210db797947a1a9332b39e2b9605"/>
    <w:p>
      <w:pPr>
        <w:pStyle w:val="Heading3"/>
      </w:pPr>
      <w:r>
        <w:t xml:space="preserve">B.4 Disuguaglianze e divari territoriali</w:t>
      </w:r>
    </w:p>
    <w:p>
      <w:pPr>
        <w:pStyle w:val="FirstParagraph"/>
      </w:pPr>
      <w:r>
        <w:t xml:space="preserve">La dimensione distributiva del bisogno, nella Campania, si gioca su due assi. Il primo è interno alla vasta area metropolitana napoletana, fra i quartieri meglio serviti e le estese periferie che presentano sacche di deprivazione socio-economica e difficoltà di accesso. Il secondo separa l’area metropolitana e costiera dalle province interne di Avellino e Benevento, più anziane, a minore densità e con servizi più radi. Su questi divari il servizio di psicologia di base agisce in funzione di equità: avvicina l’offerta alle aree interne e alle periferie mediante la telepsicologia assistita — dove la sola presenza di un primo livello accessibile è già un atto di riequilibrio — e, assorbendo a monte la domanda appropriata, libera capacità specialistica e contribuisce a contenere i tempi di attesa, in un sistema storicamente sotto-dotato.</w:t>
      </w:r>
    </w:p>
    <w:bookmarkEnd w:id="3016"/>
    <w:bookmarkStart w:id="3017" w:name="b.5-i-servizi-e-i-flussi-12"/>
    <w:p>
      <w:pPr>
        <w:pStyle w:val="Heading3"/>
      </w:pPr>
      <w:r>
        <w:t xml:space="preserve">B.5 I servizi e i flussi</w:t>
      </w:r>
    </w:p>
    <w:p>
      <w:pPr>
        <w:pStyle w:val="FirstParagraph"/>
      </w:pPr>
      <w:r>
        <w:t xml:space="preserve">Il Servizio sanitario della Campania dispone di risorse complessive dell’ordine di 11–12 miliardi di euro; la Regione è uscita dal piano di rientro nel marzo 2026, dopo quasi vent’anni, riacquistando margini di programmazione e capacità di investimento, anche grazie ai nuovi criteri di riparto che le hanno destinato risorse aggiuntive in ragione della deprivazione. Il profilo di mobilità è fortemente passivo: la Campania presenta uno dei saldi più negativi d’Italia, dell’ordine di trecento milioni di euro l’anno, in miglioramento; poiché però la fuga riguarda i ricoveri e l’alta complessità chirurgica, il canale del recupero della mobilità è per questo intervento solo modestamente pertinente. L’architettura dei servizi poggia su sette Aziende Sanitarie Locali — di cui tre nell’area metropolitana napoletana — su numerose aziende ospedaliere, ospedaliero-universitarie e IRCCS, e su una rete territoriale di Case della Comunità in costruzione, su cui il servizio andrà pienamente innestato. La tabella seguente riepiloga le grandezze di sistema rilevanti.</w:t>
      </w:r>
    </w:p>
    <w:tbl>
      <w:tblPr>
        <w:tblStyle w:val="Table"/>
        <w:tblW w:type="pct" w:w="496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20"/>
        <w:gridCol w:w="62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Campania</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w:t>
            </w:r>
          </w:p>
        </w:tc>
        <w:tc>
          <w:tcPr/>
          <w:p>
            <w:pPr>
              <w:pStyle w:val="Compact"/>
              <w:spacing w:after="40" w:before="40"/>
              <w:jc w:val="left"/>
            </w:pPr>
            <w:r>
              <w:rPr>
                <w:rFonts w:ascii="Cambria" w:hAnsi="Cambria" w:cs="Cambria" w:eastAsia="Cambria"/>
                <w:color w:val="1A1A1A"/>
                <w:sz w:val="18"/>
              </w:rPr>
              <w:t xml:space="preserve">~ 11–12 miliardi di euro; uscita dal piano di rientro nel marzo 2026; margini di programmazione riacquistati; risorse aggiuntive dal nuovo riparto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Uno dei saldi passivi più elevati d’Italia (~300 milioni), in miglioramento; canale modesto come leva per questo intervento (fuga ospedaliera e chirurgica)</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Accessi per cause psichiatriche significativi (alcune decine di migliaia l’anno, stima rapportata ai dati nazionali)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Architettura dei servizi</w:t>
            </w:r>
          </w:p>
        </w:tc>
        <w:tc>
          <w:tcPr>
            <w:shd w:val="clear" w:color="auto" w:fill="F4F1EC"/>
          </w:tcPr>
          <w:p>
            <w:pPr>
              <w:pStyle w:val="Compact"/>
              <w:spacing w:after="40" w:before="40"/>
              <w:jc w:val="left"/>
            </w:pPr>
            <w:r>
              <w:rPr>
                <w:rFonts w:ascii="Cambria" w:hAnsi="Cambria" w:cs="Cambria" w:eastAsia="Cambria"/>
                <w:color w:val="1A1A1A"/>
                <w:sz w:val="18"/>
              </w:rPr>
              <w:t xml:space="preserve">Sette Aziende Sanitarie Locali, aziende ospedaliere e IRCCS; rete delle Case della Comunità in costruzione; nessuna azienda regionale unica (coordinamento regionale, società regionale per gli acquisti)</w:t>
            </w:r>
          </w:p>
        </w:tc>
      </w:tr>
      <w:tr>
        <w:tc>
          <w:tcPr/>
          <w:p>
            <w:pPr>
              <w:pStyle w:val="Compact"/>
              <w:spacing w:after="40" w:before="40"/>
              <w:jc w:val="left"/>
            </w:pPr>
            <w:r>
              <w:rPr>
                <w:rFonts w:ascii="Cambria" w:hAnsi="Cambria" w:cs="Cambria" w:eastAsia="Cambria"/>
                <w:b/>
                <w:bCs/>
                <w:color w:val="1A1A1A"/>
                <w:sz w:val="18"/>
              </w:rPr>
              <w:t xml:space="preserve">Margine di azione principale</w:t>
            </w:r>
          </w:p>
        </w:tc>
        <w:tc>
          <w:tcPr/>
          <w:p>
            <w:pPr>
              <w:pStyle w:val="Compact"/>
              <w:spacing w:after="40" w:before="40"/>
              <w:jc w:val="left"/>
            </w:pPr>
            <w:r>
              <w:rPr>
                <w:rFonts w:ascii="Cambria" w:hAnsi="Cambria" w:cs="Cambria" w:eastAsia="Cambria"/>
                <w:color w:val="1A1A1A"/>
                <w:sz w:val="18"/>
              </w:rPr>
              <w:t xml:space="preserve">Strutturazione a regime del servizio, liste di attesa, accesso delle periferie e delle aree interne, intercettazione precoce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3017"/>
    <w:bookmarkStart w:id="3018" w:name="X232aa6a201c6adf56f970212cfe8aa5570a31e7"/>
    <w:p>
      <w:pPr>
        <w:pStyle w:val="Heading3"/>
      </w:pPr>
      <w:r>
        <w:t xml:space="preserve">B.6 La cornice normativa e programmatica</w:t>
      </w:r>
    </w:p>
    <w:p>
      <w:pPr>
        <w:pStyle w:val="FirstParagraph"/>
      </w:pPr>
      <w:r>
        <w:t xml:space="preserve">La decisione si colloca entro una cornice peculiare e, nel panorama nazionale, fondativa: la Campania è stata la prima regione d’Italia a dotarsi di una legge dedicata — la legge regionale 35 del 2020 — disciplinata dal regolamento regionale 8 del 2022, la cui legittimità costituzionale è stata riconosciuta dalla Corte Costituzionale con la sentenza n. 241 del 2021, la pronuncia che ha delimitato per tutte le regioni la competenza in materia. La cornice include il Decreto Ministeriale 77/2022 sugli standard dell’assistenza territoriale, le risorse del Piano Nazionale Equità in Salute e, sul piano nazionale, il testo unificato in discussione alla Camera, ispirato anche all’esperienza campana. La decisione rilevante, in questo contesto, non è istituire una funzione, già istituita e validata, ma strutturarla a regime, stabilizzarne il finanziamento e dimensionarla: è il tema che le parti successive sviluppano, a partire dalla definizione dell’intervento e del suo modello, oggetto della Parte C.</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3018"/>
    <w:bookmarkEnd w:id="3019"/>
    <w:bookmarkStart w:id="3026" w:name="parte-c-lintervento-e-il-suo-modello-9"/>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Campania emerge con nettezza: l’intervento non è da istituire, ma da strutturare a regime a partire da un servizio già attivo — il primo d’Italia — di cui la regione può consolidare il modello, il sistema informativo e il monitoraggio già avviati.</w:t>
      </w:r>
    </w:p>
    <w:bookmarkStart w:id="3020" w:name="X0599d26ce6ecd2278a4d76cb2dd7eddb4026140"/>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nella Campania tale definizione è già recepita nella legge regionale 35 del 2020.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1.116.000 persone con disagio comune. La tabella seguente ne espone gli anelli.</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27"/>
        <w:gridCol w:w="567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Campania</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1.116.000 persone con disagio comune, in larga parte non intercettato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Psicologo nelle cure primarie: intercettazione precoce, intervento breve, filtro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liste di attesa ridotte</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e minor carico familiare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3020"/>
    <w:bookmarkStart w:id="3021" w:name="c.2-il-modello-organizzativo-13"/>
    <w:p>
      <w:pPr>
        <w:pStyle w:val="Heading3"/>
      </w:pPr>
      <w:r>
        <w:t xml:space="preserve">C.2 Il modello organizzativo</w:t>
      </w:r>
    </w:p>
    <w:p>
      <w:pPr>
        <w:pStyle w:val="FirstParagraph"/>
      </w:pPr>
      <w:r>
        <w:t xml:space="preserve">Il modello organizzativo colloca lo psicologo di base nelle Case della Comunità e nei distretti, in collaborazione con i medici di medicina generale, i pediatri di libera scelta e i Centri di Salute Mentale, secondo l’impianto della legge regionale 35 del 2020, che prevede almeno due psicologi per distretto, un elenco aziendale presso ciascuna Azienda Sanitaria Locale e un rapporto convenzionale su base libero-professionale. La Campania presenta qui una specificità: il servizio è già attivo nelle sette Aziende Sanitarie Locali. A differenza del Veneto, la regione non dispone di un’azienda regionale unica, e il coordinamento è in capo alla Regione con il supporto dell’Osservatorio regionale, sicché garantire l’omogeneità attuativa in un sistema esteso e policentrico — tre Aziende nell’area metropolitana napoletana e quattro nelle altre province — è la sfida organizzativa principale.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p>
    <w:bookmarkEnd w:id="3021"/>
    <w:bookmarkStart w:id="3022" w:name="X31875aa1f2ae0e55b846ae7f0b32601382c6ef1"/>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già operativo nelle Aziende campane e affronta i quadri più frequenti, dalla sintomatologia ansioso-depressiva ai problemi di adattamento e psicosomatici.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43"/>
        <w:gridCol w:w="56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3022"/>
    <w:bookmarkStart w:id="3023" w:name="X846601f868bfb0b3c153242701c1c12ebda6ca3"/>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In assenza di un’azienda regionale unica, il coordinamento informativo è in capo alla Regione e all’Osservatorio regionale, che già raccoglie le relazioni annuali degli psicologi di base e ne deve assicurare l’uniformità fra le sette Aziende. La raccolta sistematica e completa dei dati di processo e di esito non è un adempimento accessorio, ma il presupposto della clausola valutativa e del disegno controfattuale; su questo terreno la Campania dispone di un vantaggio peculiare: a differenza del Lazio, che progetta il flusso da zero, essa dispone già di un flusso avviato, di cui la strutturazione a regime deve garantire l’uniformità e la completezza, consolidando un sistema in funzione anziché istituirlo ex novo.</w:t>
      </w:r>
    </w:p>
    <w:bookmarkEnd w:id="3023"/>
    <w:bookmarkStart w:id="3024" w:name="Xfcbe7fcf087582042c12191db221f24b41bf070"/>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nella Campania, lo strumento per garantire l’accesso nelle estese periferie napoletane e nelle province interne di Avellino e Benevento,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3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76"/>
        <w:gridCol w:w="3696"/>
        <w:gridCol w:w="174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 e telemonitoraggio</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periferie napoletane e nelle aree interne; continuità</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bookmarkEnd w:id="3024"/>
    <w:bookmarkStart w:id="3025" w:name="c.6-la-formazione-e-le-competenze-12"/>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campani — Federico II, Vanvitelli, Salerno — e gli altri atenei regionali; il livello post-universitario specialistico attraverso una formazione dedicata alla psicologia di base e alle cure primarie, comprensiva della competenza per il disagio giovanile, particolarmente rilevante in una regione giovane, e per l’età anziana nelle province interne;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 La Campania presenta qui un elemento distintivo: il corso semestrale di abilitazione regionale già previsto dalla legge per l’iscrizione agli elenchi aziendali, base formativa propria del servizio pioniere. Definiti l’intervento e il suo modello, la parte che segue ne esamina l’efficacia e l’evidenza.</w:t>
      </w:r>
    </w:p>
    <w:tbl>
      <w:tblPr>
        <w:tblStyle w:val="Table"/>
        <w:tblW w:type="pct" w:w="495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391"/>
        <w:gridCol w:w="4473"/>
        <w:gridCol w:w="198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Atenei campani (Federico II, Vanvitelli, Salerno e altri)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di base e cure primarie: modelli organizzativi, collaborazione, misure di esito, competenza giovanile e per l’età anziana</w:t>
            </w:r>
          </w:p>
        </w:tc>
        <w:tc>
          <w:tcPr>
            <w:shd w:val="clear" w:color="auto" w:fill="F4F1EC"/>
          </w:tcPr>
          <w:p>
            <w:pPr>
              <w:pStyle w:val="Compact"/>
              <w:spacing w:after="40" w:before="40"/>
              <w:jc w:val="left"/>
            </w:pPr>
            <w:r>
              <w:rPr>
                <w:rFonts w:ascii="Cambria" w:hAnsi="Cambria" w:cs="Cambria" w:eastAsia="Cambria"/>
                <w:color w:val="1A1A1A"/>
                <w:sz w:val="18"/>
              </w:rPr>
              <w:t xml:space="preserve">Corso semestrale di abilitazione regionale</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Tutor aziendali;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3025"/>
    <w:bookmarkEnd w:id="3026"/>
    <w:bookmarkStart w:id="3031" w:name="parte-d-efficacia-clinica-ed-evidenza-8"/>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Campania presenta un tratto peculiare. La parte espone il metodo della revisione e i risultati di efficacia (capitolo D.1); ne gradua la qualità e ne dichiara una cautela economica essenziale (D.2); presenta i benchmark internazionali (D.3); e discute le esperienze italiane, la trasferibilità e l’evidenza locale campana (D.4). Quest’ultima presenta un pregio peculiare: la Campania, prima regione d’Italia ad aver attivato il servizio, dispone già di dati di esito propri, sicché lo studio si fonda, per l’efficacia, sui benchmark internazionali e su una base di dati locali in via di consolidamento, vantaggio della regione pioniera.</w:t>
      </w:r>
    </w:p>
    <w:bookmarkStart w:id="3027" w:name="X06976bc83f1ff45cdb6bf449485b24039f9aff2"/>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3027"/>
    <w:bookmarkStart w:id="3028" w:name="X95979aa21db0bc513bc4552291cc6b4a86f3789"/>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campano, ne corrobora la coerenza interna, poiché il caso economico della Campania — come si vedrà nella Parte E — è fondato anch’esso sulle ricadute sociali, e non su un risparmio diretto che la regione non potrebbe rivendicare con certezza statistica.</w:t>
      </w:r>
    </w:p>
    <w:bookmarkEnd w:id="3028"/>
    <w:bookmarkStart w:id="3029" w:name="d.3-i-benchmark-internazionali-11"/>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493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53"/>
        <w:gridCol w:w="2688"/>
        <w:gridCol w:w="308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Risultati principali</w:t>
            </w:r>
          </w:p>
        </w:tc>
      </w:tr>
      <w:tr>
        <w:tc>
          <w:tcPr/>
          <w:p>
            <w:pPr>
              <w:pStyle w:val="Compact"/>
              <w:spacing w:after="40" w:before="40"/>
              <w:jc w:val="left"/>
            </w:pPr>
            <w:r>
              <w:rPr>
                <w:rFonts w:ascii="Cambria" w:hAnsi="Cambria" w:cs="Cambria" w:eastAsia="Cambria"/>
                <w:b/>
                <w:bCs/>
                <w:color w:val="1A1A1A"/>
                <w:sz w:val="18"/>
              </w:rPr>
              <w:t xml:space="preserve">Regno Unito (NHS Talking Therapies)</w:t>
            </w:r>
          </w:p>
        </w:tc>
        <w:tc>
          <w:tcPr/>
          <w:p>
            <w:pPr>
              <w:pStyle w:val="Compact"/>
              <w:spacing w:after="40" w:before="40"/>
              <w:jc w:val="left"/>
            </w:pPr>
            <w:r>
              <w:rPr>
                <w:rFonts w:ascii="Cambria" w:hAnsi="Cambria" w:cs="Cambria" w:eastAsia="Cambria"/>
                <w:color w:val="1A1A1A"/>
                <w:sz w:val="18"/>
              </w:rPr>
              <w:t xml:space="preserve">Servizio integrato a intensità crescente</w:t>
            </w:r>
          </w:p>
        </w:tc>
        <w:tc>
          <w:tcPr/>
          <w:p>
            <w:pPr>
              <w:pStyle w:val="Compact"/>
              <w:spacing w:after="40" w:before="40"/>
              <w:jc w:val="left"/>
            </w:pPr>
            <w:r>
              <w:rPr>
                <w:rFonts w:ascii="Cambria" w:hAnsi="Cambria" w:cs="Cambria" w:eastAsia="Cambria"/>
                <w:color w:val="1A1A1A"/>
                <w:sz w:val="18"/>
              </w:rPr>
              <w:t xml:space="preserve">Recupero ~50%; monitoraggio esiti &gt;98%; &gt;1,3 milioni/anno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Paesi Bassi (POH-GGZ)</w:t>
            </w:r>
          </w:p>
        </w:tc>
        <w:tc>
          <w:tcPr>
            <w:shd w:val="clear" w:color="auto" w:fill="F4F1EC"/>
          </w:tcPr>
          <w:p>
            <w:pPr>
              <w:pStyle w:val="Compact"/>
              <w:spacing w:after="40" w:before="40"/>
              <w:jc w:val="left"/>
            </w:pPr>
            <w:r>
              <w:rPr>
                <w:rFonts w:ascii="Cambria" w:hAnsi="Cambria" w:cs="Cambria" w:eastAsia="Cambria"/>
                <w:color w:val="1A1A1A"/>
                <w:sz w:val="18"/>
              </w:rPr>
              <w:t xml:space="preserve">Supporto psicologico nello studio del medico di base</w:t>
            </w:r>
          </w:p>
        </w:tc>
        <w:tc>
          <w:tcPr>
            <w:shd w:val="clear" w:color="auto" w:fill="F4F1EC"/>
          </w:tcPr>
          <w:p>
            <w:pPr>
              <w:pStyle w:val="Compact"/>
              <w:spacing w:after="40" w:before="40"/>
              <w:jc w:val="left"/>
            </w:pPr>
            <w:r>
              <w:rPr>
                <w:rFonts w:ascii="Cambria" w:hAnsi="Cambria" w:cs="Cambria" w:eastAsia="Cambria"/>
                <w:color w:val="1A1A1A"/>
                <w:sz w:val="18"/>
              </w:rPr>
              <w:t xml:space="preserve">Adozione da ~tre quarti dei medici; ruolo complementare</w:t>
            </w:r>
          </w:p>
        </w:tc>
      </w:tr>
      <w:tr>
        <w:tc>
          <w:tcPr/>
          <w:p>
            <w:pPr>
              <w:pStyle w:val="Compact"/>
              <w:spacing w:after="40" w:before="40"/>
              <w:jc w:val="left"/>
            </w:pPr>
            <w:r>
              <w:rPr>
                <w:rFonts w:ascii="Cambria" w:hAnsi="Cambria" w:cs="Cambria" w:eastAsia="Cambria"/>
                <w:b/>
                <w:bCs/>
                <w:color w:val="1A1A1A"/>
                <w:sz w:val="18"/>
              </w:rPr>
              <w:t xml:space="preserve">Australia (Better Access)</w:t>
            </w:r>
          </w:p>
        </w:tc>
        <w:tc>
          <w:tcPr/>
          <w:p>
            <w:pPr>
              <w:pStyle w:val="Compact"/>
              <w:spacing w:after="40" w:before="40"/>
              <w:jc w:val="left"/>
            </w:pPr>
            <w:r>
              <w:rPr>
                <w:rFonts w:ascii="Cambria" w:hAnsi="Cambria" w:cs="Cambria" w:eastAsia="Cambria"/>
                <w:color w:val="1A1A1A"/>
                <w:sz w:val="18"/>
              </w:rPr>
              <w:t xml:space="preserve">Invio esterno a professionisti</w:t>
            </w:r>
          </w:p>
        </w:tc>
        <w:tc>
          <w:tcPr/>
          <w:p>
            <w:pPr>
              <w:pStyle w:val="Compact"/>
              <w:spacing w:after="40" w:before="40"/>
              <w:jc w:val="left"/>
            </w:pPr>
            <w:r>
              <w:rPr>
                <w:rFonts w:ascii="Cambria" w:hAnsi="Cambria" w:cs="Cambria" w:eastAsia="Cambria"/>
                <w:color w:val="1A1A1A"/>
                <w:sz w:val="18"/>
              </w:rPr>
              <w:t xml:space="preserve">Popolazione in trattamento dal 35% al 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Stati Uniti (Collaborative Care)</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 con monitoraggio</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3029"/>
    <w:bookmarkStart w:id="3030" w:name="X33248af16db367c1e471feddd661113eb4a5f9a"/>
    <w:p>
      <w:pPr>
        <w:pStyle w:val="Heading3"/>
      </w:pPr>
      <w:r>
        <w:t xml:space="preserve">D.4 Le esperienze italiane, la trasferibilità e l’evidenza locale</w:t>
      </w:r>
    </w:p>
    <w:p>
      <w:pPr>
        <w:pStyle w:val="FirstParagraph"/>
      </w:pPr>
      <w:r>
        <w:t xml:space="preserve">Sul piano nazionale, la Campania occupa una posizione fondativa: è stata la prima regione d’Italia a istituire e attivare il servizio di psicologia di base, e i dati prodotti dal suo servizio attivo — migliaia di colloqui erogati già nei primi mesi — costituiscono, accanto ai servizi avviati nelle altre regioni dotate di legge, la principale base di evidenza italiana sul modello, da consolidare e validare. Più in generale, i risultati internazionali provengono da sistemi diversi per organizzazione e finanziamento, e la loro trasposizione richiede validazione locale, evitando di trasferire meccanicamente le stime, soprattutto quelle economiche. È qui che la posizione della Campania presenta un pregio peculiare, da valorizzare con misura: a differenza del Lazio, privo di un servizio attivo, la regione dispone già di un servizio operativo che produce dati di esito propri, raccolti dall’Osservatorio regionale, sicché l’evidenza locale non è soltanto prospettica ma in parte già disponibile. Ciò costituisce un vantaggio: la Campania dispone della tradizione operativa del servizio pioniere, dell’infrastruttura informatica regionale e della rete delle Case della Comunità in costruzione, e può corroborare i benchmark internazionali con i propri dati, perfezionando la rilevazione man mano che il servizio si struttura a regime.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3030"/>
    <w:bookmarkEnd w:id="3031"/>
    <w:bookmarkStart w:id="3038" w:name="parte-e-valutazione-economica-7"/>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alla Campania.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la Campania il risultato si lascia anticipare in una formula: il caso finanziario diretto è di modesto disavanzo prossimo al pareggio, il caso economico complessivo è fortemente positivo, e il valore dell’intervento risiede nelle ricadute sociali.</w:t>
      </w:r>
    </w:p>
    <w:bookmarkStart w:id="3032" w:name="e.1-limpianto-e-il-costo-del-servizio-4"/>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incarico dell’ordine di 55.000 euro comprensivo degli oneri, è dell’ordine di 34 milioni di euro nello scenario conservativo, 50 milioni in quello di base e 67 milioni in quello espansivo. I tre scenari rappresentano gradi crescenti di copertura verso il fabbisogno pieno; va ribadito che il servizio attualmente attivo, dell’ordine di 146 psicologi e in larga parte sostenuto da risorse transitorie, costituisce un nucleo iniziale inferiore allo stesso scenario conservativo, e non il regime qui considerato. La tabella seguente riepiloga il costo del servizio per scenario.</w:t>
      </w:r>
    </w:p>
    <w:tbl>
      <w:tblPr>
        <w:tblStyle w:val="Table"/>
        <w:tblW w:type="pct" w:w="48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54"/>
        <w:gridCol w:w="1851"/>
        <w:gridCol w:w="1851"/>
        <w:gridCol w:w="20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w:t>
            </w:r>
          </w:p>
        </w:tc>
        <w:tc>
          <w:tcPr>
            <w:shd w:val="clear" w:color="auto" w:fill="16264B"/>
          </w:tcPr>
          <w:p>
            <w:pPr>
              <w:pStyle w:val="Compact"/>
              <w:spacing w:after="40" w:before="40"/>
              <w:jc w:val="left"/>
            </w:pPr>
            <w:r>
              <w:rPr>
                <w:rFonts w:ascii="Cambria" w:hAnsi="Cambria" w:cs="Cambria" w:eastAsia="Cambria"/>
                <w:b/>
                <w:bCs/>
                <w:color w:val="FFFFFF"/>
                <w:sz w:val="18"/>
              </w:rPr>
              <w:t xml:space="preserve">Quota del FSR</w:t>
            </w:r>
          </w:p>
        </w:tc>
      </w:tr>
      <w:tr>
        <w:tc>
          <w:tcPr/>
          <w:p>
            <w:pPr>
              <w:pStyle w:val="Compact"/>
              <w:spacing w:after="40" w:before="40"/>
              <w:jc w:val="left"/>
            </w:pPr>
            <w:r>
              <w:rPr>
                <w:rFonts w:ascii="Cambria" w:hAnsi="Cambria" w:cs="Cambria" w:eastAsia="Cambria"/>
                <w:b/>
                <w:bCs/>
                <w:color w:val="1A1A1A"/>
                <w:sz w:val="18"/>
              </w:rPr>
              <w:t xml:space="preserve">Conservativo</w:t>
            </w:r>
          </w:p>
        </w:tc>
        <w:tc>
          <w:tcPr/>
          <w:p>
            <w:pPr>
              <w:pStyle w:val="Compact"/>
              <w:spacing w:after="40" w:before="40"/>
              <w:jc w:val="left"/>
            </w:pPr>
            <w:r>
              <w:rPr>
                <w:rFonts w:ascii="Cambria" w:hAnsi="Cambria" w:cs="Cambria" w:eastAsia="Cambria"/>
                <w:color w:val="1A1A1A"/>
                <w:sz w:val="18"/>
              </w:rPr>
              <w:t xml:space="preserve">~ 610</w:t>
            </w:r>
          </w:p>
        </w:tc>
        <w:tc>
          <w:tcPr/>
          <w:p>
            <w:pPr>
              <w:pStyle w:val="Compact"/>
              <w:spacing w:after="40" w:before="40"/>
              <w:jc w:val="left"/>
            </w:pPr>
            <w:r>
              <w:rPr>
                <w:rFonts w:ascii="Cambria" w:hAnsi="Cambria" w:cs="Cambria" w:eastAsia="Cambria"/>
                <w:color w:val="1A1A1A"/>
                <w:sz w:val="18"/>
              </w:rPr>
              <w:t xml:space="preserve">~ 34 milioni</w:t>
            </w:r>
          </w:p>
        </w:tc>
        <w:tc>
          <w:tcPr/>
          <w:p>
            <w:pPr>
              <w:pStyle w:val="Compact"/>
              <w:spacing w:after="40" w:before="40"/>
              <w:jc w:val="left"/>
            </w:pPr>
            <w:r>
              <w:rPr>
                <w:rFonts w:ascii="Cambria" w:hAnsi="Cambria" w:cs="Cambria" w:eastAsia="Cambria"/>
                <w:color w:val="1A1A1A"/>
                <w:sz w:val="18"/>
              </w:rPr>
              <w:t xml:space="preserve">~ 0,3%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Base</w:t>
            </w:r>
          </w:p>
        </w:tc>
        <w:tc>
          <w:tcPr>
            <w:shd w:val="clear" w:color="auto" w:fill="F4F1EC"/>
          </w:tcPr>
          <w:p>
            <w:pPr>
              <w:pStyle w:val="Compact"/>
              <w:spacing w:after="40" w:before="40"/>
              <w:jc w:val="left"/>
            </w:pPr>
            <w:r>
              <w:rPr>
                <w:rFonts w:ascii="Cambria" w:hAnsi="Cambria" w:cs="Cambria" w:eastAsia="Cambria"/>
                <w:color w:val="1A1A1A"/>
                <w:sz w:val="18"/>
              </w:rPr>
              <w:t xml:space="preserve">~ 910</w:t>
            </w:r>
          </w:p>
        </w:tc>
        <w:tc>
          <w:tcPr>
            <w:shd w:val="clear" w:color="auto" w:fill="F4F1EC"/>
          </w:tcPr>
          <w:p>
            <w:pPr>
              <w:pStyle w:val="Compact"/>
              <w:spacing w:after="40" w:before="40"/>
              <w:jc w:val="left"/>
            </w:pPr>
            <w:r>
              <w:rPr>
                <w:rFonts w:ascii="Cambria" w:hAnsi="Cambria" w:cs="Cambria" w:eastAsia="Cambria"/>
                <w:color w:val="1A1A1A"/>
                <w:sz w:val="18"/>
              </w:rPr>
              <w:t xml:space="preserve">~ 50 milioni</w:t>
            </w:r>
          </w:p>
        </w:tc>
        <w:tc>
          <w:tcPr>
            <w:shd w:val="clear" w:color="auto" w:fill="F4F1EC"/>
          </w:tcPr>
          <w:p>
            <w:pPr>
              <w:pStyle w:val="Compact"/>
              <w:spacing w:after="40" w:before="40"/>
              <w:jc w:val="left"/>
            </w:pPr>
            <w:r>
              <w:rPr>
                <w:rFonts w:ascii="Cambria" w:hAnsi="Cambria" w:cs="Cambria" w:eastAsia="Cambria"/>
                <w:color w:val="1A1A1A"/>
                <w:sz w:val="18"/>
              </w:rPr>
              <w:t xml:space="preserve">~ 0,4%</w:t>
            </w:r>
          </w:p>
        </w:tc>
      </w:tr>
      <w:tr>
        <w:tc>
          <w:tcPr/>
          <w:p>
            <w:pPr>
              <w:pStyle w:val="Compact"/>
              <w:spacing w:after="40" w:before="40"/>
              <w:jc w:val="left"/>
            </w:pPr>
            <w:r>
              <w:rPr>
                <w:rFonts w:ascii="Cambria" w:hAnsi="Cambria" w:cs="Cambria" w:eastAsia="Cambria"/>
                <w:b/>
                <w:bCs/>
                <w:color w:val="1A1A1A"/>
                <w:sz w:val="18"/>
              </w:rPr>
              <w:t xml:space="preserve">Espansivo</w:t>
            </w:r>
          </w:p>
        </w:tc>
        <w:tc>
          <w:tcPr/>
          <w:p>
            <w:pPr>
              <w:pStyle w:val="Compact"/>
              <w:spacing w:after="40" w:before="40"/>
              <w:jc w:val="left"/>
            </w:pPr>
            <w:r>
              <w:rPr>
                <w:rFonts w:ascii="Cambria" w:hAnsi="Cambria" w:cs="Cambria" w:eastAsia="Cambria"/>
                <w:color w:val="1A1A1A"/>
                <w:sz w:val="18"/>
              </w:rPr>
              <w:t xml:space="preserve">~ 1.210</w:t>
            </w:r>
          </w:p>
        </w:tc>
        <w:tc>
          <w:tcPr/>
          <w:p>
            <w:pPr>
              <w:pStyle w:val="Compact"/>
              <w:spacing w:after="40" w:before="40"/>
              <w:jc w:val="left"/>
            </w:pPr>
            <w:r>
              <w:rPr>
                <w:rFonts w:ascii="Cambria" w:hAnsi="Cambria" w:cs="Cambria" w:eastAsia="Cambria"/>
                <w:color w:val="1A1A1A"/>
                <w:sz w:val="18"/>
              </w:rPr>
              <w:t xml:space="preserve">~ 67 milioni</w:t>
            </w:r>
          </w:p>
        </w:tc>
        <w:tc>
          <w:tcPr/>
          <w:p>
            <w:pPr>
              <w:pStyle w:val="Compact"/>
              <w:spacing w:after="40" w:before="40"/>
              <w:jc w:val="left"/>
            </w:pPr>
            <w:r>
              <w:rPr>
                <w:rFonts w:ascii="Cambria" w:hAnsi="Cambria" w:cs="Cambria" w:eastAsia="Cambria"/>
                <w:color w:val="1A1A1A"/>
                <w:sz w:val="18"/>
              </w:rPr>
              <w:t xml:space="preserve">~ 0,6%</w:t>
            </w:r>
          </w:p>
        </w:tc>
      </w:tr>
    </w:tbl>
    <w:p>
      <w:pPr>
        <w:pStyle w:val="BodyText"/>
      </w:pPr>
      <w:r>
        <w:rPr>
          <w:i/>
          <w:iCs/>
        </w:rPr>
        <w:t xml:space="preserve">Tabella E.1. Il costo del servizio a regime nei tre scenari di copertura.</w:t>
      </w:r>
    </w:p>
    <w:bookmarkEnd w:id="3032"/>
    <w:bookmarkStart w:id="3033" w:name="Xf5d130dd041d3c2ab19757ef72040b8afd466a1"/>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5, 7 e 10 milioni di euro l’anno nei tre scenari. Il secondo è la riduzione della spesa farmaceutica inappropriata, dell’ordine di 5, 8 e 12 milioni. Il terzo, il più consistente, è la riduzione di ricoveri evitabili e di specialistica impropria, dell’ordine di 13, 20 e 34 milioni, con un margine di recupero ampio data la sotto-dotazione storica del sistema. Il quarto, il recupero della mobilità, è per la Campania modesto, dell’ordine di 4, 7 e 10 milioni: benché la regione presenti uno dei saldi passivi più elevati d’Italia, la fuga riguarda l’alta complessità ospedaliera e chirurgica, non la domanda psicologica, sicché questo canale contribuisce solo per la quota di domanda impropria, prevalentemente somatoforme, territorialmente intercettabile. La somma dei quattro canali è dell’ordine di 27, 42 e 66 milioni di euro l’anno, e determina, a fronte del costo del servizio, un saldo diretto lievemente negativo ma prossimo al pareggio, dell’ordine di −7, −8 e −1 milioni. La tabella seguente dettaglia i canali del risparmio diretto.</w:t>
      </w:r>
    </w:p>
    <w:tbl>
      <w:tblPr>
        <w:tblStyle w:val="Table"/>
        <w:tblW w:type="pct" w:w="490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888"/>
        <w:gridCol w:w="1296"/>
        <w:gridCol w:w="1296"/>
        <w:gridCol w:w="129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Accessi impropri al pronto soccorso</w:t>
            </w:r>
          </w:p>
        </w:tc>
        <w:tc>
          <w:tcPr/>
          <w:p>
            <w:pPr>
              <w:pStyle w:val="Compact"/>
              <w:spacing w:after="40" w:before="40"/>
              <w:jc w:val="left"/>
            </w:pPr>
            <w:r>
              <w:rPr>
                <w:rFonts w:ascii="Cambria" w:hAnsi="Cambria" w:cs="Cambria" w:eastAsia="Cambria"/>
                <w:color w:val="1A1A1A"/>
                <w:sz w:val="18"/>
              </w:rPr>
              <w:t xml:space="preserve">~ 5</w:t>
            </w:r>
          </w:p>
        </w:tc>
        <w:tc>
          <w:tcPr/>
          <w:p>
            <w:pPr>
              <w:pStyle w:val="Compact"/>
              <w:spacing w:after="40" w:before="40"/>
              <w:jc w:val="left"/>
            </w:pPr>
            <w:r>
              <w:rPr>
                <w:rFonts w:ascii="Cambria" w:hAnsi="Cambria" w:cs="Cambria" w:eastAsia="Cambria"/>
                <w:color w:val="1A1A1A"/>
                <w:sz w:val="18"/>
              </w:rPr>
              <w:t xml:space="preserve">~ 7</w:t>
            </w:r>
          </w:p>
        </w:tc>
        <w:tc>
          <w:tcPr/>
          <w:p>
            <w:pPr>
              <w:pStyle w:val="Compact"/>
              <w:spacing w:after="40" w:before="40"/>
              <w:jc w:val="left"/>
            </w:pPr>
            <w:r>
              <w:rPr>
                <w:rFonts w:ascii="Cambria" w:hAnsi="Cambria" w:cs="Cambria" w:eastAsia="Cambria"/>
                <w:color w:val="1A1A1A"/>
                <w:sz w:val="18"/>
              </w:rPr>
              <w:t xml:space="preserve">~ 10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Spesa farmaceutica inappropriata</w:t>
            </w:r>
          </w:p>
        </w:tc>
        <w:tc>
          <w:tcPr>
            <w:shd w:val="clear" w:color="auto" w:fill="F4F1EC"/>
          </w:tcPr>
          <w:p>
            <w:pPr>
              <w:pStyle w:val="Compact"/>
              <w:spacing w:after="40" w:before="40"/>
              <w:jc w:val="left"/>
            </w:pPr>
            <w:r>
              <w:rPr>
                <w:rFonts w:ascii="Cambria" w:hAnsi="Cambria" w:cs="Cambria" w:eastAsia="Cambria"/>
                <w:color w:val="1A1A1A"/>
                <w:sz w:val="18"/>
              </w:rPr>
              <w:t xml:space="preserve">~ 5</w:t>
            </w:r>
          </w:p>
        </w:tc>
        <w:tc>
          <w:tcPr>
            <w:shd w:val="clear" w:color="auto" w:fill="F4F1EC"/>
          </w:tcPr>
          <w:p>
            <w:pPr>
              <w:pStyle w:val="Compact"/>
              <w:spacing w:after="40" w:before="40"/>
              <w:jc w:val="left"/>
            </w:pPr>
            <w:r>
              <w:rPr>
                <w:rFonts w:ascii="Cambria" w:hAnsi="Cambria" w:cs="Cambria" w:eastAsia="Cambria"/>
                <w:color w:val="1A1A1A"/>
                <w:sz w:val="18"/>
              </w:rPr>
              <w:t xml:space="preserve">~ 8</w:t>
            </w:r>
          </w:p>
        </w:tc>
        <w:tc>
          <w:tcPr>
            <w:shd w:val="clear" w:color="auto" w:fill="F4F1EC"/>
          </w:tcPr>
          <w:p>
            <w:pPr>
              <w:pStyle w:val="Compact"/>
              <w:spacing w:after="40" w:before="40"/>
              <w:jc w:val="left"/>
            </w:pPr>
            <w:r>
              <w:rPr>
                <w:rFonts w:ascii="Cambria" w:hAnsi="Cambria" w:cs="Cambria" w:eastAsia="Cambria"/>
                <w:color w:val="1A1A1A"/>
                <w:sz w:val="18"/>
              </w:rPr>
              <w:t xml:space="preserve">~ 12</w:t>
            </w:r>
          </w:p>
        </w:tc>
      </w:tr>
      <w:tr>
        <w:tc>
          <w:tcPr/>
          <w:p>
            <w:pPr>
              <w:pStyle w:val="Compact"/>
              <w:spacing w:after="40" w:before="40"/>
              <w:jc w:val="left"/>
            </w:pPr>
            <w:r>
              <w:rPr>
                <w:rFonts w:ascii="Cambria" w:hAnsi="Cambria" w:cs="Cambria" w:eastAsia="Cambria"/>
                <w:b/>
                <w:bCs/>
                <w:color w:val="1A1A1A"/>
                <w:sz w:val="18"/>
              </w:rPr>
              <w:t xml:space="preserve">Ricoveri evitabili e specialistica</w:t>
            </w:r>
          </w:p>
        </w:tc>
        <w:tc>
          <w:tcPr/>
          <w:p>
            <w:pPr>
              <w:pStyle w:val="Compact"/>
              <w:spacing w:after="40" w:before="40"/>
              <w:jc w:val="left"/>
            </w:pPr>
            <w:r>
              <w:rPr>
                <w:rFonts w:ascii="Cambria" w:hAnsi="Cambria" w:cs="Cambria" w:eastAsia="Cambria"/>
                <w:color w:val="1A1A1A"/>
                <w:sz w:val="18"/>
              </w:rPr>
              <w:t xml:space="preserve">~ 13</w:t>
            </w:r>
          </w:p>
        </w:tc>
        <w:tc>
          <w:tcPr/>
          <w:p>
            <w:pPr>
              <w:pStyle w:val="Compact"/>
              <w:spacing w:after="40" w:before="40"/>
              <w:jc w:val="left"/>
            </w:pPr>
            <w:r>
              <w:rPr>
                <w:rFonts w:ascii="Cambria" w:hAnsi="Cambria" w:cs="Cambria" w:eastAsia="Cambria"/>
                <w:color w:val="1A1A1A"/>
                <w:sz w:val="18"/>
              </w:rPr>
              <w:t xml:space="preserve">~ 20</w:t>
            </w:r>
          </w:p>
        </w:tc>
        <w:tc>
          <w:tcPr/>
          <w:p>
            <w:pPr>
              <w:pStyle w:val="Compact"/>
              <w:spacing w:after="40" w:before="40"/>
              <w:jc w:val="left"/>
            </w:pPr>
            <w:r>
              <w:rPr>
                <w:rFonts w:ascii="Cambria" w:hAnsi="Cambria" w:cs="Cambria" w:eastAsia="Cambria"/>
                <w:color w:val="1A1A1A"/>
                <w:sz w:val="18"/>
              </w:rPr>
              <w:t xml:space="preserve">~ 34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Recupero della mobilità (frazione territoriale)</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7</w:t>
            </w:r>
          </w:p>
        </w:tc>
        <w:tc>
          <w:tcPr>
            <w:shd w:val="clear" w:color="auto" w:fill="F4F1EC"/>
          </w:tcPr>
          <w:p>
            <w:pPr>
              <w:pStyle w:val="Compact"/>
              <w:spacing w:after="40" w:before="40"/>
              <w:jc w:val="left"/>
            </w:pPr>
            <w:r>
              <w:rPr>
                <w:rFonts w:ascii="Cambria" w:hAnsi="Cambria" w:cs="Cambria" w:eastAsia="Cambria"/>
                <w:color w:val="1A1A1A"/>
                <w:sz w:val="18"/>
              </w:rPr>
              <w:t xml:space="preserve">~ 10</w:t>
            </w:r>
          </w:p>
        </w:tc>
      </w:tr>
      <w:tr>
        <w:tc>
          <w:tcPr/>
          <w:p>
            <w:pPr>
              <w:pStyle w:val="Compact"/>
              <w:spacing w:after="40" w:before="40"/>
              <w:jc w:val="left"/>
            </w:pPr>
            <w:r>
              <w:rPr>
                <w:rFonts w:ascii="Cambria" w:hAnsi="Cambria" w:cs="Cambria" w:eastAsia="Cambria"/>
                <w:b/>
                <w:bCs/>
                <w:color w:val="1A1A1A"/>
                <w:sz w:val="18"/>
              </w:rPr>
              <w:t xml:space="preserve">Totale risparmi diretti</w:t>
            </w:r>
          </w:p>
        </w:tc>
        <w:tc>
          <w:tcPr/>
          <w:p>
            <w:pPr>
              <w:pStyle w:val="Compact"/>
              <w:spacing w:after="40" w:before="40"/>
              <w:jc w:val="left"/>
            </w:pPr>
            <w:r>
              <w:rPr>
                <w:rFonts w:ascii="Cambria" w:hAnsi="Cambria" w:cs="Cambria" w:eastAsia="Cambria"/>
                <w:color w:val="1A1A1A"/>
                <w:sz w:val="18"/>
              </w:rPr>
              <w:t xml:space="preserve">~ 27</w:t>
            </w:r>
          </w:p>
        </w:tc>
        <w:tc>
          <w:tcPr/>
          <w:p>
            <w:pPr>
              <w:pStyle w:val="Compact"/>
              <w:spacing w:after="40" w:before="40"/>
              <w:jc w:val="left"/>
            </w:pPr>
            <w:r>
              <w:rPr>
                <w:rFonts w:ascii="Cambria" w:hAnsi="Cambria" w:cs="Cambria" w:eastAsia="Cambria"/>
                <w:color w:val="1A1A1A"/>
                <w:sz w:val="18"/>
              </w:rPr>
              <w:t xml:space="preserve">~ 42</w:t>
            </w:r>
          </w:p>
        </w:tc>
        <w:tc>
          <w:tcPr/>
          <w:p>
            <w:pPr>
              <w:pStyle w:val="Compact"/>
              <w:spacing w:after="40" w:before="40"/>
              <w:jc w:val="left"/>
            </w:pPr>
            <w:r>
              <w:rPr>
                <w:rFonts w:ascii="Cambria" w:hAnsi="Cambria" w:cs="Cambria" w:eastAsia="Cambria"/>
                <w:color w:val="1A1A1A"/>
                <w:sz w:val="18"/>
              </w:rPr>
              <w:t xml:space="preserve">~ 66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34</w:t>
            </w:r>
          </w:p>
        </w:tc>
        <w:tc>
          <w:tcPr>
            <w:shd w:val="clear" w:color="auto" w:fill="F4F1EC"/>
          </w:tcPr>
          <w:p>
            <w:pPr>
              <w:pStyle w:val="Compact"/>
              <w:spacing w:after="40" w:before="40"/>
              <w:jc w:val="left"/>
            </w:pPr>
            <w:r>
              <w:rPr>
                <w:rFonts w:ascii="Cambria" w:hAnsi="Cambria" w:cs="Cambria" w:eastAsia="Cambria"/>
                <w:color w:val="1A1A1A"/>
                <w:sz w:val="18"/>
              </w:rPr>
              <w:t xml:space="preserve">~ 50</w:t>
            </w:r>
          </w:p>
        </w:tc>
        <w:tc>
          <w:tcPr>
            <w:shd w:val="clear" w:color="auto" w:fill="F4F1EC"/>
          </w:tcPr>
          <w:p>
            <w:pPr>
              <w:pStyle w:val="Compact"/>
              <w:spacing w:after="40" w:before="40"/>
              <w:jc w:val="left"/>
            </w:pPr>
            <w:r>
              <w:rPr>
                <w:rFonts w:ascii="Cambria" w:hAnsi="Cambria" w:cs="Cambria" w:eastAsia="Cambria"/>
                <w:color w:val="1A1A1A"/>
                <w:sz w:val="18"/>
              </w:rPr>
              <w:t xml:space="preserve">~ 67</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−7</w:t>
            </w:r>
          </w:p>
        </w:tc>
        <w:tc>
          <w:tcPr/>
          <w:p>
            <w:pPr>
              <w:pStyle w:val="Compact"/>
              <w:spacing w:after="40" w:before="40"/>
              <w:jc w:val="left"/>
            </w:pPr>
            <w:r>
              <w:rPr>
                <w:rFonts w:ascii="Cambria" w:hAnsi="Cambria" w:cs="Cambria" w:eastAsia="Cambria"/>
                <w:color w:val="1A1A1A"/>
                <w:sz w:val="18"/>
              </w:rPr>
              <w:t xml:space="preserve">~ −8</w:t>
            </w:r>
          </w:p>
        </w:tc>
        <w:tc>
          <w:tcPr/>
          <w:p>
            <w:pPr>
              <w:pStyle w:val="Compact"/>
              <w:spacing w:after="40" w:before="40"/>
              <w:jc w:val="left"/>
            </w:pPr>
            <w:r>
              <w:rPr>
                <w:rFonts w:ascii="Cambria" w:hAnsi="Cambria" w:cs="Cambria" w:eastAsia="Cambria"/>
                <w:color w:val="1A1A1A"/>
                <w:sz w:val="18"/>
              </w:rPr>
              <w:t xml:space="preserve">~ −1</w:t>
            </w:r>
          </w:p>
        </w:tc>
      </w:tr>
    </w:tbl>
    <w:p>
      <w:pPr>
        <w:pStyle w:val="BodyText"/>
      </w:pPr>
      <w:r>
        <w:rPr>
          <w:i/>
          <w:iCs/>
        </w:rPr>
        <w:t xml:space="preserve">Tabella E.2. I risparmi diretti per il bilancio sanitario regionale e il saldo diretto.</w:t>
      </w:r>
    </w:p>
    <w:bookmarkEnd w:id="3033"/>
    <w:bookmarkStart w:id="3034" w:name="e.3-le-ricadute-economico-sociali-4"/>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di particolare rilievo in una regione giovane — il valore del benessere recuperato e il minor carico assistenziale sulle famiglie, e sono stimate, secondo i criteri prudenziali dello studio, nell’ordine di 105, 200 e 300 milioni di euro l’anno nei tre scenari. Sommate ai risparmi diretti, esse determinano un ritorno complessivo dell’ordine di 132, 242 e 366 milioni di euro l’anno, e un saldo complessivo per la collettività ampiamente positivo, dell’ordine di +98, +192 e +299 milioni. Ne discende un rapporto beneficio-costo complessivo dell’ordine di 3,9 a uno nello scenario conservativo, 4,8 a uno in quello di base e 5,5 a uno in quello espansivo, interamente compreso nella banda prudenziale adottata.</w:t>
      </w:r>
    </w:p>
    <w:bookmarkEnd w:id="3034"/>
    <w:bookmarkStart w:id="3035" w:name="X72314c5886c5721fc39d39598906070343f480b"/>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campano.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molto contenuto per il bilancio sanitario. La tabella consolidata che segue è lo strumento sintetico per la decisione, e distingue in ogni voce la dimensione diretta da quella sociale.</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Voce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34</w:t>
            </w:r>
          </w:p>
        </w:tc>
        <w:tc>
          <w:tcPr/>
          <w:p>
            <w:pPr>
              <w:pStyle w:val="Compact"/>
              <w:spacing w:after="40" w:before="40"/>
              <w:jc w:val="left"/>
            </w:pPr>
            <w:r>
              <w:rPr>
                <w:rFonts w:ascii="Cambria" w:hAnsi="Cambria" w:cs="Cambria" w:eastAsia="Cambria"/>
                <w:color w:val="1A1A1A"/>
                <w:sz w:val="18"/>
              </w:rPr>
              <w:t xml:space="preserve">~ 50</w:t>
            </w:r>
          </w:p>
        </w:tc>
        <w:tc>
          <w:tcPr/>
          <w:p>
            <w:pPr>
              <w:pStyle w:val="Compact"/>
              <w:spacing w:after="40" w:before="40"/>
              <w:jc w:val="left"/>
            </w:pPr>
            <w:r>
              <w:rPr>
                <w:rFonts w:ascii="Cambria" w:hAnsi="Cambria" w:cs="Cambria" w:eastAsia="Cambria"/>
                <w:color w:val="1A1A1A"/>
                <w:sz w:val="18"/>
              </w:rPr>
              <w:t xml:space="preserve">~ 67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27</w:t>
            </w:r>
          </w:p>
        </w:tc>
        <w:tc>
          <w:tcPr>
            <w:shd w:val="clear" w:color="auto" w:fill="F4F1EC"/>
          </w:tcPr>
          <w:p>
            <w:pPr>
              <w:pStyle w:val="Compact"/>
              <w:spacing w:after="40" w:before="40"/>
              <w:jc w:val="left"/>
            </w:pPr>
            <w:r>
              <w:rPr>
                <w:rFonts w:ascii="Cambria" w:hAnsi="Cambria" w:cs="Cambria" w:eastAsia="Cambria"/>
                <w:color w:val="1A1A1A"/>
                <w:sz w:val="18"/>
              </w:rPr>
              <w:t xml:space="preserve">~ 42</w:t>
            </w:r>
          </w:p>
        </w:tc>
        <w:tc>
          <w:tcPr>
            <w:shd w:val="clear" w:color="auto" w:fill="F4F1EC"/>
          </w:tcPr>
          <w:p>
            <w:pPr>
              <w:pStyle w:val="Compact"/>
              <w:spacing w:after="40" w:before="40"/>
              <w:jc w:val="left"/>
            </w:pPr>
            <w:r>
              <w:rPr>
                <w:rFonts w:ascii="Cambria" w:hAnsi="Cambria" w:cs="Cambria" w:eastAsia="Cambria"/>
                <w:color w:val="1A1A1A"/>
                <w:sz w:val="18"/>
              </w:rPr>
              <w:t xml:space="preserve">~ 66</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−7</w:t>
            </w:r>
          </w:p>
        </w:tc>
        <w:tc>
          <w:tcPr/>
          <w:p>
            <w:pPr>
              <w:pStyle w:val="Compact"/>
              <w:spacing w:after="40" w:before="40"/>
              <w:jc w:val="left"/>
            </w:pPr>
            <w:r>
              <w:rPr>
                <w:rFonts w:ascii="Cambria" w:hAnsi="Cambria" w:cs="Cambria" w:eastAsia="Cambria"/>
                <w:color w:val="1A1A1A"/>
                <w:sz w:val="18"/>
              </w:rPr>
              <w:t xml:space="preserve">~ −8</w:t>
            </w:r>
          </w:p>
        </w:tc>
        <w:tc>
          <w:tcPr/>
          <w:p>
            <w:pPr>
              <w:pStyle w:val="Compact"/>
              <w:spacing w:after="40" w:before="40"/>
              <w:jc w:val="left"/>
            </w:pPr>
            <w:r>
              <w:rPr>
                <w:rFonts w:ascii="Cambria" w:hAnsi="Cambria" w:cs="Cambria" w:eastAsia="Cambria"/>
                <w:color w:val="1A1A1A"/>
                <w:sz w:val="18"/>
              </w:rPr>
              <w:t xml:space="preserve">~ −1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105</w:t>
            </w:r>
          </w:p>
        </w:tc>
        <w:tc>
          <w:tcPr>
            <w:shd w:val="clear" w:color="auto" w:fill="F4F1EC"/>
          </w:tcPr>
          <w:p>
            <w:pPr>
              <w:pStyle w:val="Compact"/>
              <w:spacing w:after="40" w:before="40"/>
              <w:jc w:val="left"/>
            </w:pPr>
            <w:r>
              <w:rPr>
                <w:rFonts w:ascii="Cambria" w:hAnsi="Cambria" w:cs="Cambria" w:eastAsia="Cambria"/>
                <w:color w:val="1A1A1A"/>
                <w:sz w:val="18"/>
              </w:rPr>
              <w:t xml:space="preserve">~ 200</w:t>
            </w:r>
          </w:p>
        </w:tc>
        <w:tc>
          <w:tcPr>
            <w:shd w:val="clear" w:color="auto" w:fill="F4F1EC"/>
          </w:tcPr>
          <w:p>
            <w:pPr>
              <w:pStyle w:val="Compact"/>
              <w:spacing w:after="40" w:before="40"/>
              <w:jc w:val="left"/>
            </w:pPr>
            <w:r>
              <w:rPr>
                <w:rFonts w:ascii="Cambria" w:hAnsi="Cambria" w:cs="Cambria" w:eastAsia="Cambria"/>
                <w:color w:val="1A1A1A"/>
                <w:sz w:val="18"/>
              </w:rPr>
              <w:t xml:space="preserve">~ 300</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 132</w:t>
            </w:r>
          </w:p>
        </w:tc>
        <w:tc>
          <w:tcPr/>
          <w:p>
            <w:pPr>
              <w:pStyle w:val="Compact"/>
              <w:spacing w:after="40" w:before="40"/>
              <w:jc w:val="left"/>
            </w:pPr>
            <w:r>
              <w:rPr>
                <w:rFonts w:ascii="Cambria" w:hAnsi="Cambria" w:cs="Cambria" w:eastAsia="Cambria"/>
                <w:color w:val="1A1A1A"/>
                <w:sz w:val="18"/>
              </w:rPr>
              <w:t xml:space="preserve">~ 242</w:t>
            </w:r>
          </w:p>
        </w:tc>
        <w:tc>
          <w:tcPr/>
          <w:p>
            <w:pPr>
              <w:pStyle w:val="Compact"/>
              <w:spacing w:after="40" w:before="40"/>
              <w:jc w:val="left"/>
            </w:pPr>
            <w:r>
              <w:rPr>
                <w:rFonts w:ascii="Cambria" w:hAnsi="Cambria" w:cs="Cambria" w:eastAsia="Cambria"/>
                <w:color w:val="1A1A1A"/>
                <w:sz w:val="18"/>
              </w:rPr>
              <w:t xml:space="preserve">~ 366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 +98</w:t>
            </w:r>
          </w:p>
        </w:tc>
        <w:tc>
          <w:tcPr>
            <w:shd w:val="clear" w:color="auto" w:fill="F4F1EC"/>
          </w:tcPr>
          <w:p>
            <w:pPr>
              <w:pStyle w:val="Compact"/>
              <w:spacing w:after="40" w:before="40"/>
              <w:jc w:val="left"/>
            </w:pPr>
            <w:r>
              <w:rPr>
                <w:rFonts w:ascii="Cambria" w:hAnsi="Cambria" w:cs="Cambria" w:eastAsia="Cambria"/>
                <w:color w:val="1A1A1A"/>
                <w:sz w:val="18"/>
              </w:rPr>
              <w:t xml:space="preserve">~ +192</w:t>
            </w:r>
          </w:p>
        </w:tc>
        <w:tc>
          <w:tcPr>
            <w:shd w:val="clear" w:color="auto" w:fill="F4F1EC"/>
          </w:tcPr>
          <w:p>
            <w:pPr>
              <w:pStyle w:val="Compact"/>
              <w:spacing w:after="40" w:before="40"/>
              <w:jc w:val="left"/>
            </w:pPr>
            <w:r>
              <w:rPr>
                <w:rFonts w:ascii="Cambria" w:hAnsi="Cambria" w:cs="Cambria" w:eastAsia="Cambria"/>
                <w:color w:val="1A1A1A"/>
                <w:sz w:val="18"/>
              </w:rPr>
              <w:t xml:space="preserve">~ +299</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 3,9:1</w:t>
            </w:r>
          </w:p>
        </w:tc>
        <w:tc>
          <w:tcPr/>
          <w:p>
            <w:pPr>
              <w:pStyle w:val="Compact"/>
              <w:spacing w:after="40" w:before="40"/>
              <w:jc w:val="left"/>
            </w:pPr>
            <w:r>
              <w:rPr>
                <w:rFonts w:ascii="Cambria" w:hAnsi="Cambria" w:cs="Cambria" w:eastAsia="Cambria"/>
                <w:color w:val="1A1A1A"/>
                <w:sz w:val="18"/>
              </w:rPr>
              <w:t xml:space="preserve">~ 4,8:1</w:t>
            </w:r>
          </w:p>
        </w:tc>
        <w:tc>
          <w:tcPr/>
          <w:p>
            <w:pPr>
              <w:pStyle w:val="Compact"/>
              <w:spacing w:after="40" w:before="40"/>
              <w:jc w:val="left"/>
            </w:pPr>
            <w:r>
              <w:rPr>
                <w:rFonts w:ascii="Cambria" w:hAnsi="Cambria" w:cs="Cambria" w:eastAsia="Cambria"/>
                <w:color w:val="1A1A1A"/>
                <w:sz w:val="18"/>
              </w:rPr>
              <w:t xml:space="preserve">~ 5,5:1</w:t>
            </w:r>
          </w:p>
        </w:tc>
      </w:tr>
    </w:tbl>
    <w:p>
      <w:pPr>
        <w:pStyle w:val="BodyText"/>
      </w:pPr>
      <w:r>
        <w:rPr>
          <w:i/>
          <w:iCs/>
        </w:rPr>
        <w:t xml:space="preserve">Tabella E.3. Il quadro economico consolidato, con la distinzione fra caso finanziario e caso economico.</w:t>
      </w:r>
    </w:p>
    <w:bookmarkEnd w:id="3035"/>
    <w:bookmarkStart w:id="3036" w:name="Xa7f81423006684b42b4eadf6bd88cdd351c4f7c"/>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491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272"/>
        <w:gridCol w:w="1272"/>
        <w:gridCol w:w="18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Comparatore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atteso per paziente</w:t>
            </w:r>
          </w:p>
        </w:tc>
        <w:tc>
          <w:tcPr/>
          <w:p>
            <w:pPr>
              <w:pStyle w:val="Compact"/>
              <w:spacing w:after="40" w:before="40"/>
              <w:jc w:val="left"/>
            </w:pPr>
            <w:r>
              <w:rPr>
                <w:rFonts w:ascii="Cambria" w:hAnsi="Cambria" w:cs="Cambria" w:eastAsia="Cambria"/>
                <w:color w:val="1A1A1A"/>
                <w:sz w:val="18"/>
              </w:rPr>
              <w:t xml:space="preserve">~ 3.799 euro</w:t>
            </w:r>
          </w:p>
        </w:tc>
        <w:tc>
          <w:tcPr/>
          <w:p>
            <w:pPr>
              <w:pStyle w:val="Compact"/>
              <w:spacing w:after="40" w:before="40"/>
              <w:jc w:val="left"/>
            </w:pPr>
            <w:r>
              <w:rPr>
                <w:rFonts w:ascii="Cambria" w:hAnsi="Cambria" w:cs="Cambria" w:eastAsia="Cambria"/>
                <w:color w:val="1A1A1A"/>
                <w:sz w:val="18"/>
              </w:rPr>
              <w:t xml:space="preserve">~ 2.495 euro</w:t>
            </w:r>
          </w:p>
        </w:tc>
        <w:tc>
          <w:tcPr/>
          <w:p>
            <w:pPr>
              <w:pStyle w:val="Compact"/>
              <w:spacing w:after="40" w:before="40"/>
              <w:jc w:val="left"/>
            </w:pPr>
            <w:r>
              <w:rPr>
                <w:rFonts w:ascii="Cambria" w:hAnsi="Cambria" w:cs="Cambria" w:eastAsia="Cambria"/>
                <w:color w:val="1A1A1A"/>
                <w:sz w:val="18"/>
              </w:rPr>
              <w:t xml:space="preserve">− 1.304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Anni di vita ponderati (QALY)</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Intervento dominante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(soglia 30.000 euro/QALY)</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88,9% delle simulazioni</w:t>
            </w:r>
          </w:p>
        </w:tc>
      </w:tr>
    </w:tbl>
    <w:p>
      <w:pPr>
        <w:pStyle w:val="BodyText"/>
      </w:pPr>
      <w:r>
        <w:rPr>
          <w:i/>
          <w:iCs/>
        </w:rPr>
        <w:t xml:space="preserve">Tabella E.4. L</w:t>
      </w:r>
      <w:r>
        <w:rPr>
          <w:b/>
          <w:bCs/>
          <w:i/>
          <w:iCs/>
        </w:rPr>
        <w:t xml:space="preserve">’</w:t>
      </w:r>
      <w:r>
        <w:rPr>
          <w:i/>
          <w:iCs/>
        </w:rPr>
        <w:t xml:space="preserve">analisi costo-utilità per paziente trattato (modello di Markov a cinque anni).</w:t>
      </w:r>
    </w:p>
    <w:bookmarkEnd w:id="3036"/>
    <w:bookmarkStart w:id="3037" w:name="X3a2e531597933cda2b26e13c2b5ba078ac067c8"/>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0,6% in quello espansivo; la sostenibilità è favorita dalla circostanza che la Campania è uscita dal piano di rientro nel marzo 2026, dopo quasi vent’anni, riacquistando margini di programmazione e capacità di investimento, sicché la strutturazione è oggi praticabile. Resta da dichiarare con franchezza la lacuna dei dati: le grandezze economiche sono in parte ricostruite dai conti nazionali per quota di popolazione e non estratte dai conti certificati delle Aziende; a differenza del Lazio, tuttavia, la Campania dispone già di un servizio attivo che produce dati operativi reali, raccolti dall’Osservatorio regionale, sicché la stima poggia sui benchmark e su una base di dati propri in via di consolidamento, e l’estrazione dei dati certificati resta la priorità da completare. La sintesi è univoca: il caso diretto è prudente e prossimo al pareggio,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w:t>
      </w:r>
      <w:r>
        <w:rPr>
          <w:b/>
          <w:bCs/>
          <w:i/>
          <w:iCs/>
        </w:rPr>
        <w:t xml:space="preserve">’</w:t>
      </w:r>
      <w:r>
        <w:rPr>
          <w:i/>
          <w:iCs/>
        </w:rPr>
        <w:t xml:space="preserve">informazione</w:t>
      </w:r>
    </w:p>
    <w:p>
      <w:pPr>
        <w:pStyle w:val="BodyText"/>
      </w:pPr>
      <w:r>
        <w:t xml:space="preserve">Quinto dominio dell’HTA · la robustezza della valutazione economica</w:t>
      </w:r>
    </w:p>
    <w:bookmarkEnd w:id="3037"/>
    <w:bookmarkEnd w:id="3038"/>
    <w:bookmarkStart w:id="3061" w:name="parte-f-modellazione-e-incertezza-7"/>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Campania quest’ultimo capitolo riveste un’importanza particolare: poiché il servizio è già attivo, la prova empirica può ancorarsi a dati operativi reali, e la condizione di regione pioniera si rivela, sul piano valutativo, un vantaggio rispetto alle regioni prive di servizio attivo.</w:t>
      </w:r>
    </w:p>
    <w:bookmarkStart w:id="3045" w:name="X54de4f2add0fd6f2171e9cadef64a9d71288cff"/>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3193"/>
      </w:r>
      <w:r>
        <w:rPr>
          <w:rStyle w:val="FootnoteReference"/>
        </w:rPr>
        <w:footnoteReference w:id="3194"/>
      </w:r>
      <w:r>
        <w:rPr>
          <w:rStyle w:val="FootnoteReference"/>
        </w:rPr>
        <w:footnoteReference w:id="3195"/>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3196"/>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3197"/>
      </w:r>
      <w:r>
        <w:t xml:space="preserve"> </w:t>
      </w:r>
      <w:r>
        <w:t xml:space="preserve">Nel caso base l’intervento è dominante, con un risparmio per paziente dell’ordine di 1.304 euro e un guadagno di 0,236 anni di vita ponderati per la qualità.</w:t>
      </w:r>
      <w:r>
        <w:rPr>
          <w:rStyle w:val="FootnoteReference"/>
        </w:rPr>
        <w:footnoteReference w:id="3198"/>
      </w:r>
      <w:r>
        <w:t xml:space="preserve"> </w:t>
      </w:r>
      <w:r>
        <w:t xml:space="preserve">La tabella seguente riepiloga i parametri principali del modello.</w:t>
      </w:r>
    </w:p>
    <w:tbl>
      <w:tblPr>
        <w:tblStyle w:val="Table"/>
        <w:tblW w:type="pct" w:w="489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01"/>
        <w:gridCol w:w="475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Stati clinici</w:t>
            </w:r>
          </w:p>
        </w:tc>
        <w:tc>
          <w:tcPr/>
          <w:p>
            <w:pPr>
              <w:pStyle w:val="Compact"/>
              <w:spacing w:after="40" w:before="40"/>
              <w:jc w:val="left"/>
            </w:pPr>
            <w:r>
              <w:rPr>
                <w:rFonts w:ascii="Cambria" w:hAnsi="Cambria" w:cs="Cambria" w:eastAsia="Cambria"/>
                <w:color w:val="1A1A1A"/>
                <w:sz w:val="18"/>
              </w:rPr>
              <w:t xml:space="preserve">Benessere o sottosoglia, episodio, cronicità, recupero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Cinque anni, con cicli successivi</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(recupero)</w:t>
            </w:r>
          </w:p>
        </w:tc>
        <w:tc>
          <w:tcPr>
            <w:shd w:val="clear" w:color="auto" w:fill="F4F1EC"/>
          </w:tcPr>
          <w:p>
            <w:pPr>
              <w:pStyle w:val="Compact"/>
              <w:spacing w:after="40" w:before="40"/>
              <w:jc w:val="left"/>
            </w:pPr>
            <w:r>
              <w:rPr>
                <w:rFonts w:ascii="Cambria" w:hAnsi="Cambria" w:cs="Cambria" w:eastAsia="Cambria"/>
                <w:color w:val="1A1A1A"/>
                <w:sz w:val="18"/>
              </w:rPr>
              <w:t xml:space="preserve">~ 40 euro</w:t>
            </w:r>
          </w:p>
        </w:tc>
      </w:tr>
      <w:tr>
        <w:tc>
          <w:tcPr/>
          <w:p>
            <w:pPr>
              <w:pStyle w:val="Compact"/>
              <w:spacing w:after="40" w:before="40"/>
              <w:jc w:val="left"/>
            </w:pPr>
            <w:r>
              <w:rPr>
                <w:rFonts w:ascii="Cambria" w:hAnsi="Cambria" w:cs="Cambria" w:eastAsia="Cambria"/>
                <w:b/>
                <w:bCs/>
                <w:color w:val="1A1A1A"/>
                <w:sz w:val="18"/>
              </w:rPr>
              <w:t xml:space="preserve">Costo per ciclo (cronicità)</w:t>
            </w:r>
          </w:p>
        </w:tc>
        <w:tc>
          <w:tcPr/>
          <w:p>
            <w:pPr>
              <w:pStyle w:val="Compact"/>
              <w:spacing w:after="40" w:before="40"/>
              <w:jc w:val="left"/>
            </w:pPr>
            <w:r>
              <w:rPr>
                <w:rFonts w:ascii="Cambria" w:hAnsi="Cambria" w:cs="Cambria" w:eastAsia="Cambria"/>
                <w:color w:val="1A1A1A"/>
                <w:sz w:val="18"/>
              </w:rPr>
              <w:t xml:space="preserve">~ 700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 300 euro una tantum</w:t>
            </w:r>
          </w:p>
        </w:tc>
      </w:tr>
      <w:tr>
        <w:tc>
          <w:tcPr/>
          <w:p>
            <w:pPr>
              <w:pStyle w:val="Compact"/>
              <w:spacing w:after="40" w:before="40"/>
              <w:jc w:val="left"/>
            </w:pPr>
            <w:r>
              <w:rPr>
                <w:rFonts w:ascii="Cambria" w:hAnsi="Cambria" w:cs="Cambria" w:eastAsia="Cambria"/>
                <w:b/>
                <w:bCs/>
                <w:color w:val="1A1A1A"/>
                <w:sz w:val="18"/>
              </w:rPr>
              <w:t xml:space="preserve">Trattamento dell’incertezza</w:t>
            </w:r>
          </w:p>
        </w:tc>
        <w:tc>
          <w:tcPr/>
          <w:p>
            <w:pPr>
              <w:pStyle w:val="Compact"/>
              <w:spacing w:after="40" w:before="40"/>
              <w:jc w:val="left"/>
            </w:pPr>
            <w:r>
              <w:rPr>
                <w:rFonts w:ascii="Cambria" w:hAnsi="Cambria" w:cs="Cambria" w:eastAsia="Cambria"/>
                <w:color w:val="1A1A1A"/>
                <w:sz w:val="18"/>
              </w:rPr>
              <w:t xml:space="preserve">Parametri come distribuzioni di probabilità</w:t>
            </w:r>
          </w:p>
        </w:tc>
      </w:tr>
    </w:tbl>
    <w:p>
      <w:pPr>
        <w:pStyle w:val="BodyText"/>
      </w:pPr>
      <w:r>
        <w:rPr>
          <w:i/>
          <w:iCs/>
        </w:rPr>
        <w:t xml:space="preserve">Tabella F.1. I parametri principali del modello di Markov (comune a tutti gli studi della serie).</w:t>
      </w:r>
    </w:p>
    <w:bookmarkEnd w:id="3045"/>
    <w:bookmarkStart w:id="3048" w:name="X2361795e45d9fe311a3757e97dd95d3cf87b926"/>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3199"/>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3200"/>
      </w:r>
    </w:p>
    <w:bookmarkEnd w:id="3048"/>
    <w:bookmarkStart w:id="3051" w:name="X905efc8784bb8d33d3b3fb5cb7845b0ce7521ee"/>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3201"/>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3202"/>
      </w:r>
      <w:r>
        <w:t xml:space="preserve"> </w:t>
      </w:r>
      <w:r>
        <w:t xml:space="preserve">La tabella seguente riepiloga gli esiti della sensibilità probabilistica.</w:t>
      </w:r>
    </w:p>
    <w:tbl>
      <w:tblPr>
        <w:tblStyle w:val="Table"/>
        <w:tblW w:type="pct" w:w="490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940"/>
        <w:gridCol w:w="282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Esito della sensibilità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Probabilità di costo-efficacia (soglia 30.000 euro/QALY)</w:t>
            </w:r>
          </w:p>
        </w:tc>
        <w:tc>
          <w:tcPr/>
          <w:p>
            <w:pPr>
              <w:pStyle w:val="Compact"/>
              <w:spacing w:after="40" w:before="40"/>
              <w:jc w:val="left"/>
            </w:pPr>
            <w:r>
              <w:rPr>
                <w:rFonts w:ascii="Cambria" w:hAnsi="Cambria" w:cs="Cambria" w:eastAsia="Cambria"/>
                <w:color w:val="1A1A1A"/>
                <w:sz w:val="18"/>
              </w:rPr>
              <w:t xml:space="preserve">88,9% delle simulazioni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dominanza</w:t>
            </w:r>
          </w:p>
        </w:tc>
        <w:tc>
          <w:tcPr>
            <w:shd w:val="clear" w:color="auto" w:fill="F4F1EC"/>
          </w:tcPr>
          <w:p>
            <w:pPr>
              <w:pStyle w:val="Compact"/>
              <w:spacing w:after="40" w:before="40"/>
              <w:jc w:val="left"/>
            </w:pPr>
            <w:r>
              <w:rPr>
                <w:rFonts w:ascii="Cambria" w:hAnsi="Cambria" w:cs="Cambria" w:eastAsia="Cambria"/>
                <w:color w:val="1A1A1A"/>
                <w:sz w:val="18"/>
              </w:rPr>
              <w:t xml:space="preserve">84,6% delle simulazioni</w:t>
            </w:r>
          </w:p>
        </w:tc>
      </w:tr>
      <w:tr>
        <w:tc>
          <w:tcPr/>
          <w:p>
            <w:pPr>
              <w:pStyle w:val="Compact"/>
              <w:spacing w:after="40" w:before="40"/>
              <w:jc w:val="left"/>
            </w:pPr>
            <w:r>
              <w:rPr>
                <w:rFonts w:ascii="Cambria" w:hAnsi="Cambria" w:cs="Cambria" w:eastAsia="Cambria"/>
                <w:b/>
                <w:bCs/>
                <w:color w:val="1A1A1A"/>
                <w:sz w:val="18"/>
              </w:rPr>
              <w:t xml:space="preserve">Beneficio monetario netto medio per paziente</w:t>
            </w:r>
          </w:p>
        </w:tc>
        <w:tc>
          <w:tcPr/>
          <w:p>
            <w:pPr>
              <w:pStyle w:val="Compact"/>
              <w:spacing w:after="40" w:before="40"/>
              <w:jc w:val="left"/>
            </w:pPr>
            <w:r>
              <w:rPr>
                <w:rFonts w:ascii="Cambria" w:hAnsi="Cambria" w:cs="Cambria" w:eastAsia="Cambria"/>
                <w:color w:val="1A1A1A"/>
                <w:sz w:val="18"/>
              </w:rPr>
              <w:t xml:space="preserve">~ 7.815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Intervallo di confidenza al 95%</w:t>
            </w:r>
          </w:p>
        </w:tc>
        <w:tc>
          <w:tcPr>
            <w:shd w:val="clear" w:color="auto" w:fill="F4F1EC"/>
          </w:tcPr>
          <w:p>
            <w:pPr>
              <w:pStyle w:val="Compact"/>
              <w:spacing w:after="40" w:before="40"/>
              <w:jc w:val="left"/>
            </w:pPr>
            <w:r>
              <w:rPr>
                <w:rFonts w:ascii="Cambria" w:hAnsi="Cambria" w:cs="Cambria" w:eastAsia="Cambria"/>
                <w:color w:val="1A1A1A"/>
                <w:sz w:val="18"/>
              </w:rPr>
              <w:t xml:space="preserve">da ~ −5.736 a ~ +21.501 euro</w:t>
            </w:r>
          </w:p>
        </w:tc>
      </w:tr>
      <w:tr>
        <w:tc>
          <w:tcPr/>
          <w:p>
            <w:pPr>
              <w:pStyle w:val="Compact"/>
              <w:spacing w:after="40" w:before="40"/>
              <w:jc w:val="left"/>
            </w:pPr>
            <w:r>
              <w:rPr>
                <w:rFonts w:ascii="Cambria" w:hAnsi="Cambria" w:cs="Cambria" w:eastAsia="Cambria"/>
                <w:b/>
                <w:bCs/>
                <w:color w:val="1A1A1A"/>
                <w:sz w:val="18"/>
              </w:rPr>
              <w:t xml:space="preserve">Numero di simulazioni</w:t>
            </w:r>
          </w:p>
        </w:tc>
        <w:tc>
          <w:tcPr/>
          <w:p>
            <w:pPr>
              <w:pStyle w:val="Compact"/>
              <w:spacing w:after="40" w:before="40"/>
              <w:jc w:val="left"/>
            </w:pPr>
            <w:r>
              <w:rPr>
                <w:rFonts w:ascii="Cambria" w:hAnsi="Cambria" w:cs="Cambria" w:eastAsia="Cambria"/>
                <w:color w:val="1A1A1A"/>
                <w:sz w:val="18"/>
              </w:rPr>
              <w:t xml:space="preserve">10.000</w:t>
            </w:r>
          </w:p>
        </w:tc>
      </w:tr>
    </w:tbl>
    <w:p>
      <w:pPr>
        <w:pStyle w:val="BodyText"/>
      </w:pPr>
      <w:r>
        <w:rPr>
          <w:i/>
          <w:iCs/>
        </w:rPr>
        <w:t xml:space="preserve">Tabella F.2. Gli esiti dell</w:t>
      </w:r>
      <w:r>
        <w:rPr>
          <w:b/>
          <w:bCs/>
          <w:i/>
          <w:iCs/>
        </w:rPr>
        <w:t xml:space="preserve">’</w:t>
      </w:r>
      <w:r>
        <w:rPr>
          <w:i/>
          <w:iCs/>
        </w:rPr>
        <w:t xml:space="preserve">analisi di sensibilità probabilistica (per paziente).</w:t>
      </w:r>
    </w:p>
    <w:bookmarkEnd w:id="3051"/>
    <w:bookmarkStart w:id="3054" w:name="X5cd8288bfec3205acbf783cc3b4b3039f5a39bc"/>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3203"/>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3204"/>
      </w:r>
    </w:p>
    <w:bookmarkEnd w:id="3054"/>
    <w:bookmarkStart w:id="3060" w:name="X7a476223c60b85aa22effa4585ff8e5f811224f"/>
    <w:p>
      <w:pPr>
        <w:pStyle w:val="Heading3"/>
      </w:pPr>
      <w:r>
        <w:t xml:space="preserve">F.5 La verifica empirica e il valore dell’informazione</w:t>
      </w:r>
    </w:p>
    <w:p>
      <w:pPr>
        <w:pStyle w:val="FirstParagraph"/>
      </w:pPr>
      <w:r>
        <w:t xml:space="preserve">Il disegno della verifica empirica costituisce, per la Campania, un tratto favorevole dello studio. Poiché il servizio è già attivo ma in corso di estensione, la verifica controfattuale può fondarsi su un esperimento a cunei progressivi, nel quale l’ordine e i tempi di estensione delle sedi tra le sette Aziende Sanitarie Locali — che hanno avviato il servizio in tempi differenziati — sono impiegati a fini valutativi, con il servizio già in funzione come linea di base: la disponibilità di dati operativi reali rafforza l’identificazione dell’effetto, distinguendo la regione da quelle prive di servizio attivo.</w:t>
      </w:r>
      <w:r>
        <w:rPr>
          <w:rStyle w:val="FootnoteReference"/>
        </w:rPr>
        <w:footnoteReference w:id="3205"/>
      </w:r>
      <w:r>
        <w:t xml:space="preserve"> </w:t>
      </w:r>
      <w:r>
        <w:t xml:space="preserve">L’effetto causale è stimato con la differenza-nelle-differenze e con il controllo sintetico, a partire dai dati già disponibili e dalla progressione differenziata dell’estensione.</w:t>
      </w:r>
      <w:r>
        <w:rPr>
          <w:rStyle w:val="FootnoteReference"/>
        </w:rPr>
        <w:footnoteReference w:id="3206"/>
      </w:r>
      <w:r>
        <w:t xml:space="preserve"> </w:t>
      </w:r>
      <w:r>
        <w:t xml:space="preserve">L’analisi del valore dell’informazione indica che il beneficio di ridurre l’incertezza, alla scala della popolazione campana, eccede ampiamente il costo della raccolta dei dati; le priorità sono l’estrazione dei conti certificati delle Aziende e il consolidamento del flusso dei dati di esito già raccolti dall’Osservatorio.</w:t>
      </w:r>
      <w:r>
        <w:rPr>
          <w:rStyle w:val="FootnoteReference"/>
        </w:rPr>
        <w:footnoteReference w:id="3207"/>
      </w:r>
      <w:r>
        <w:t xml:space="preserve"> </w:t>
      </w:r>
      <w:r>
        <w:t xml:space="preserve">La strutturazione a regime consente così di colmare la lacuna dei dati consolidando un flusso già avviato, conducendo la regione, in modo programmato, da una valutazione in parte fondata su dati esterni a una fondata in misura crescente su dati propri.</w:t>
      </w:r>
      <w:r>
        <w:rPr>
          <w:rStyle w:val="FootnoteReference"/>
        </w:rPr>
        <w:footnoteReference w:id="3208"/>
      </w:r>
      <w:r>
        <w:t xml:space="preserve"> </w:t>
      </w:r>
      <w:r>
        <w:t xml:space="preserve">La sintesi è univoca: il modello è robusto sul piano clinico-economico per paziente, l’incertezza aggregata è governata con scenari prudenti e con un piano di acquisizione e consolidamento dei dati, e la condizione di regione pioniera si rivela, sul piano valutativo, un vantaggio. La parte che segue affronta l’equità e l’impatto distributivo.</w:t>
      </w:r>
      <w:r>
        <w:rPr>
          <w:rStyle w:val="FootnoteReference"/>
        </w:rPr>
        <w:footnoteReference w:id="3209"/>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87"/>
        <w:gridCol w:w="2896"/>
        <w:gridCol w:w="141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Priorità di ricerca</w:t>
            </w:r>
          </w:p>
        </w:tc>
        <w:tc>
          <w:tcPr>
            <w:shd w:val="clear" w:color="auto" w:fill="16264B"/>
          </w:tcPr>
          <w:p>
            <w:pPr>
              <w:pStyle w:val="Compact"/>
              <w:spacing w:after="40" w:before="40"/>
              <w:jc w:val="left"/>
            </w:pPr>
            <w:r>
              <w:rPr>
                <w:rFonts w:ascii="Cambria" w:hAnsi="Cambria" w:cs="Cambria" w:eastAsia="Cambria"/>
                <w:b/>
                <w:bCs/>
                <w:color w:val="FFFFFF"/>
                <w:sz w:val="18"/>
              </w:rPr>
              <w:t xml:space="preserve">Finalità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Rilevanza</w:t>
            </w:r>
          </w:p>
        </w:tc>
      </w:tr>
      <w:tr>
        <w:tc>
          <w:tcPr/>
          <w:p>
            <w:pPr>
              <w:pStyle w:val="Compact"/>
              <w:spacing w:after="40" w:before="40"/>
              <w:jc w:val="left"/>
            </w:pPr>
            <w:r>
              <w:rPr>
                <w:rFonts w:ascii="Cambria" w:hAnsi="Cambria" w:cs="Cambria" w:eastAsia="Cambria"/>
                <w:b/>
                <w:bCs/>
                <w:color w:val="1A1A1A"/>
                <w:sz w:val="18"/>
              </w:rPr>
              <w:t xml:space="preserve">Conti certificati delle dieci Aziende e delle AOU</w:t>
            </w:r>
          </w:p>
        </w:tc>
        <w:tc>
          <w:tcPr/>
          <w:p>
            <w:pPr>
              <w:pStyle w:val="Compact"/>
              <w:spacing w:after="40" w:before="40"/>
              <w:jc w:val="left"/>
            </w:pPr>
            <w:r>
              <w:rPr>
                <w:rFonts w:ascii="Cambria" w:hAnsi="Cambria" w:cs="Cambria" w:eastAsia="Cambria"/>
                <w:color w:val="1A1A1A"/>
                <w:sz w:val="18"/>
              </w:rPr>
              <w:t xml:space="preserve">Sostituire le stime per quota con dati reali</w:t>
            </w:r>
          </w:p>
        </w:tc>
        <w:tc>
          <w:tcPr/>
          <w:p>
            <w:pPr>
              <w:pStyle w:val="Compact"/>
              <w:spacing w:after="40" w:before="40"/>
              <w:jc w:val="left"/>
            </w:pPr>
            <w:r>
              <w:rPr>
                <w:rFonts w:ascii="Cambria" w:hAnsi="Cambria" w:cs="Cambria" w:eastAsia="Cambria"/>
                <w:color w:val="1A1A1A"/>
                <w:sz w:val="18"/>
              </w:rPr>
              <w:t xml:space="preserve">Massima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Consolidamento dei dati di esito del servizio attivo</w:t>
            </w:r>
          </w:p>
        </w:tc>
        <w:tc>
          <w:tcPr>
            <w:shd w:val="clear" w:color="auto" w:fill="F4F1EC"/>
          </w:tcPr>
          <w:p>
            <w:pPr>
              <w:pStyle w:val="Compact"/>
              <w:spacing w:after="40" w:before="40"/>
              <w:jc w:val="left"/>
            </w:pPr>
            <w:r>
              <w:rPr>
                <w:rFonts w:ascii="Cambria" w:hAnsi="Cambria" w:cs="Cambria" w:eastAsia="Cambria"/>
                <w:color w:val="1A1A1A"/>
                <w:sz w:val="18"/>
              </w:rPr>
              <w:t xml:space="preserve">Uniformare e completare l’evidenza propria</w:t>
            </w:r>
          </w:p>
        </w:tc>
        <w:tc>
          <w:tcPr>
            <w:shd w:val="clear" w:color="auto" w:fill="F4F1EC"/>
          </w:tcPr>
          <w:p>
            <w:pPr>
              <w:pStyle w:val="Compact"/>
              <w:spacing w:after="40" w:before="40"/>
              <w:jc w:val="left"/>
            </w:pPr>
            <w:r>
              <w:rPr>
                <w:rFonts w:ascii="Cambria" w:hAnsi="Cambria" w:cs="Cambria" w:eastAsia="Cambria"/>
                <w:color w:val="1A1A1A"/>
                <w:sz w:val="18"/>
              </w:rPr>
              <w:t xml:space="preserve">Massima</w:t>
            </w:r>
          </w:p>
        </w:tc>
      </w:tr>
      <w:tr>
        <w:tc>
          <w:tcPr/>
          <w:p>
            <w:pPr>
              <w:pStyle w:val="Compact"/>
              <w:spacing w:after="40" w:before="40"/>
              <w:jc w:val="left"/>
            </w:pPr>
            <w:r>
              <w:rPr>
                <w:rFonts w:ascii="Cambria" w:hAnsi="Cambria" w:cs="Cambria" w:eastAsia="Cambria"/>
                <w:b/>
                <w:bCs/>
                <w:color w:val="1A1A1A"/>
                <w:sz w:val="18"/>
              </w:rPr>
              <w:t xml:space="preserve">Tassi di intercettazione e costi evitati</w:t>
            </w:r>
          </w:p>
        </w:tc>
        <w:tc>
          <w:tcPr/>
          <w:p>
            <w:pPr>
              <w:pStyle w:val="Compact"/>
              <w:spacing w:after="40" w:before="40"/>
              <w:jc w:val="left"/>
            </w:pPr>
            <w:r>
              <w:rPr>
                <w:rFonts w:ascii="Cambria" w:hAnsi="Cambria" w:cs="Cambria" w:eastAsia="Cambria"/>
                <w:color w:val="1A1A1A"/>
                <w:sz w:val="18"/>
              </w:rPr>
              <w:t xml:space="preserve">Ridurre l’incertezza sulle grandezze aggregate</w:t>
            </w:r>
          </w:p>
        </w:tc>
        <w:tc>
          <w:tcPr/>
          <w:p>
            <w:pPr>
              <w:pStyle w:val="Compact"/>
              <w:spacing w:after="40" w:before="40"/>
              <w:jc w:val="left"/>
            </w:pPr>
            <w:r>
              <w:rPr>
                <w:rFonts w:ascii="Cambria" w:hAnsi="Cambria" w:cs="Cambria" w:eastAsia="Cambria"/>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 nel contesto locale</w:t>
            </w:r>
          </w:p>
        </w:tc>
        <w:tc>
          <w:tcPr>
            <w:shd w:val="clear" w:color="auto" w:fill="F4F1EC"/>
          </w:tcPr>
          <w:p>
            <w:pPr>
              <w:pStyle w:val="Compact"/>
              <w:spacing w:after="40" w:before="40"/>
              <w:jc w:val="left"/>
            </w:pPr>
            <w:r>
              <w:rPr>
                <w:rFonts w:ascii="Cambria" w:hAnsi="Cambria" w:cs="Cambria" w:eastAsia="Cambria"/>
                <w:color w:val="1A1A1A"/>
                <w:sz w:val="18"/>
              </w:rPr>
              <w:t xml:space="preserve">Corroborare il parametro più influente</w:t>
            </w:r>
          </w:p>
        </w:tc>
        <w:tc>
          <w:tcPr>
            <w:shd w:val="clear" w:color="auto" w:fill="F4F1EC"/>
          </w:tcPr>
          <w:p>
            <w:pPr>
              <w:pStyle w:val="Compact"/>
              <w:spacing w:after="40" w:before="40"/>
              <w:jc w:val="left"/>
            </w:pPr>
            <w:r>
              <w:rPr>
                <w:rFonts w:ascii="Cambria" w:hAnsi="Cambria" w:cs="Cambria" w:eastAsia="Cambria"/>
                <w:color w:val="1A1A1A"/>
                <w:sz w:val="18"/>
              </w:rPr>
              <w:t xml:space="preserve">Alta</w:t>
            </w:r>
          </w:p>
        </w:tc>
      </w:tr>
    </w:tbl>
    <w:p>
      <w:pPr>
        <w:pStyle w:val="BodyText"/>
      </w:pPr>
      <w:r>
        <w:rPr>
          <w:i/>
          <w:iCs/>
        </w:rPr>
        <w:t xml:space="preserve">Tabella F.3. Le priorità di ricerca derivanti dall</w:t>
      </w:r>
      <w:r>
        <w:rPr>
          <w:b/>
          <w:bCs/>
          <w:i/>
          <w:iCs/>
        </w:rPr>
        <w:t xml:space="preserve">‘analisi del valore dell’</w:t>
      </w:r>
      <w:r>
        <w:rPr>
          <w:i/>
          <w:iCs/>
        </w:rPr>
        <w:t xml:space="preserve">informazione.</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3060"/>
    <w:bookmarkEnd w:id="3061"/>
    <w:bookmarkStart w:id="3093" w:name="parte-g-equità-e-impatto-distributivo-12"/>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 Campania. La parte definisce il quadro dell’equità e il gradiente sociale (capitolo G.1); analizza i due assi territoriali del divario campano e le barriere di accesso (G.2); descrive gli strumenti attraverso cui il servizio agisce sull’equità (G.3); e presenta l’analisi di costo-efficacia distributiva con le sue implicazioni allocative (G.4). Il tratto distintivo della Campania è la doppia struttura del divario territoriale — centro e periferia entro l’area metropolitana napoletana, e area metropolitana contro province interne — cui si somma una marcata dimensione generazionale, propria di una regione giovane; l’intervento può ridurre tali divari, a condizione di un’allocazione modulata per il bisogno.</w:t>
      </w:r>
    </w:p>
    <w:bookmarkStart w:id="3078" w:name="X61e5edd635e1000d5053847e02e8bd67767ce31"/>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3210"/>
      </w:r>
      <w:r>
        <w:rPr>
          <w:rStyle w:val="FootnoteReference"/>
        </w:rPr>
        <w:footnoteReference w:id="3211"/>
      </w:r>
      <w:r>
        <w:rPr>
          <w:rStyle w:val="FootnoteReference"/>
        </w:rPr>
        <w:footnoteReference w:id="3212"/>
      </w:r>
      <w:r>
        <w:rPr>
          <w:rStyle w:val="FootnoteReference"/>
        </w:rPr>
        <w:footnoteReference w:id="3213"/>
      </w:r>
      <w:r>
        <w:rPr>
          <w:rStyle w:val="FootnoteReference"/>
        </w:rPr>
        <w:footnoteReference w:id="3214"/>
      </w:r>
      <w:r>
        <w:rPr>
          <w:rStyle w:val="FootnoteReference"/>
        </w:rPr>
        <w:footnoteReference w:id="3215"/>
      </w:r>
      <w:r>
        <w:rPr>
          <w:rStyle w:val="FootnoteReference"/>
        </w:rPr>
        <w:footnoteReference w:id="3216"/>
      </w:r>
      <w:r>
        <w:rPr>
          <w:rStyle w:val="FootnoteReference"/>
        </w:rPr>
        <w:footnoteReference w:id="3217"/>
      </w:r>
      <w:r>
        <w:rPr>
          <w:rStyle w:val="FootnoteReference"/>
        </w:rPr>
        <w:footnoteReference w:id="3218"/>
      </w:r>
      <w:r>
        <w:rPr>
          <w:rStyle w:val="FootnoteReference"/>
        </w:rPr>
        <w:footnoteReference w:id="3219"/>
      </w:r>
      <w:r>
        <w:rPr>
          <w:rStyle w:val="FootnoteReference"/>
        </w:rPr>
        <w:footnoteReference w:id="3220"/>
      </w:r>
      <w:r>
        <w:rPr>
          <w:rStyle w:val="FootnoteReference"/>
        </w:rPr>
        <w:footnoteReference w:id="3221"/>
      </w:r>
      <w:r>
        <w:rPr>
          <w:rStyle w:val="FootnoteReference"/>
        </w:rPr>
        <w:footnoteReference w:id="3222"/>
      </w:r>
      <w:r>
        <w:rPr>
          <w:rStyle w:val="FootnoteReference"/>
        </w:rPr>
        <w:footnoteReference w:id="3223"/>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3224"/>
      </w:r>
      <w:r>
        <w:t xml:space="preserve"> </w:t>
      </w:r>
      <w:r>
        <w:t xml:space="preserve">A questo gradiente si sommano barriere di accesso economiche, geografiche e culturali, oltre allo stigma; nella Campania, dove la componente straniera è contenuta, più rilevante della barriera culturale è quella generazionale, poiché il disagio giovanile, ampio in una regione giovane, interessa fasce spesso restie a rivolgersi ai servizi.</w:t>
      </w:r>
      <w:r>
        <w:rPr>
          <w:rStyle w:val="FootnoteReference"/>
        </w:rPr>
        <w:footnoteReference w:id="3225"/>
      </w:r>
    </w:p>
    <w:bookmarkEnd w:id="3078"/>
    <w:bookmarkStart w:id="3082" w:name="X930b215ce322b6a2cc479699668164accdcbc2d"/>
    <w:p>
      <w:pPr>
        <w:pStyle w:val="Heading3"/>
      </w:pPr>
      <w:r>
        <w:t xml:space="preserve">G.2 I due assi del divario territoriale</w:t>
      </w:r>
    </w:p>
    <w:p>
      <w:pPr>
        <w:pStyle w:val="FirstParagraph"/>
      </w:pPr>
      <w:r>
        <w:t xml:space="preserve">La specificità distributiva della Campania risiede nella doppia struttura del divario territoriale, cui si aggiunge la dimensione generazionale.</w:t>
      </w:r>
      <w:r>
        <w:rPr>
          <w:rStyle w:val="FootnoteReference"/>
        </w:rPr>
        <w:footnoteReference w:id="3226"/>
      </w:r>
      <w:r>
        <w:t xml:space="preserve"> </w:t>
      </w:r>
      <w:r>
        <w:t xml:space="preserve">Il primo asse è interno alla vasta area metropolitana napoletana: accanto a quartieri meglio serviti si estendono periferie densissime con estese sacche di deprivazione socio-economica, dove la difficoltà di accesso e la minore disponibilità di offerta privata accrescono il bisogno non intercettato.</w:t>
      </w:r>
      <w:r>
        <w:rPr>
          <w:rStyle w:val="FootnoteReference"/>
        </w:rPr>
        <w:footnoteReference w:id="3227"/>
      </w:r>
      <w:r>
        <w:t xml:space="preserve"> </w:t>
      </w:r>
      <w:r>
        <w:t xml:space="preserve">Il secondo asse separa l’area metropolitana e costiera dalle province interne: Avellino e Benevento, e le aree appenniniche interne, presentano una popolazione più anziana, a minore densità e con tendenze allo spopolamento, dove la rarefazione dei servizi e le distanze rendono l’accesso particolarmente difficoltoso.</w:t>
      </w:r>
      <w:r>
        <w:rPr>
          <w:rStyle w:val="FootnoteReference"/>
        </w:rPr>
        <w:footnoteReference w:id="3228"/>
      </w:r>
      <w:r>
        <w:t xml:space="preserve"> </w:t>
      </w:r>
      <w:r>
        <w:t xml:space="preserve">La tabella seguente sintetizza i due assi e le leve di riequilibrio.</w:t>
      </w:r>
    </w:p>
    <w:tbl>
      <w:tblPr>
        <w:tblStyle w:val="Table"/>
        <w:tblW w:type="pct" w:w="495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13"/>
        <w:gridCol w:w="3116"/>
        <w:gridCol w:w="311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Asse del divario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Caratterizzazione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Leva di riequilibrio</w:t>
            </w:r>
          </w:p>
        </w:tc>
      </w:tr>
      <w:tr>
        <w:tc>
          <w:tcPr/>
          <w:p>
            <w:pPr>
              <w:pStyle w:val="Compact"/>
              <w:spacing w:after="40" w:before="40"/>
              <w:jc w:val="left"/>
            </w:pPr>
            <w:r>
              <w:rPr>
                <w:rFonts w:ascii="Cambria" w:hAnsi="Cambria" w:cs="Cambria" w:eastAsia="Cambria"/>
                <w:b/>
                <w:bCs/>
                <w:color w:val="1A1A1A"/>
                <w:sz w:val="18"/>
              </w:rPr>
              <w:t xml:space="preserve">Centro / periferia napoletana</w:t>
            </w:r>
          </w:p>
        </w:tc>
        <w:tc>
          <w:tcPr/>
          <w:p>
            <w:pPr>
              <w:pStyle w:val="Compact"/>
              <w:spacing w:after="40" w:before="40"/>
              <w:jc w:val="left"/>
            </w:pPr>
            <w:r>
              <w:rPr>
                <w:rFonts w:ascii="Cambria" w:hAnsi="Cambria" w:cs="Cambria" w:eastAsia="Cambria"/>
                <w:color w:val="1A1A1A"/>
                <w:sz w:val="18"/>
              </w:rPr>
              <w:t xml:space="preserve">Periferie densissime con estese sacche di deprivazione e minore offerta privata</w:t>
            </w:r>
          </w:p>
        </w:tc>
        <w:tc>
          <w:tcPr/>
          <w:p>
            <w:pPr>
              <w:pStyle w:val="Compact"/>
              <w:spacing w:after="40" w:before="40"/>
              <w:jc w:val="left"/>
            </w:pPr>
            <w:r>
              <w:rPr>
                <w:rFonts w:ascii="Cambria" w:hAnsi="Cambria" w:cs="Cambria" w:eastAsia="Cambria"/>
                <w:color w:val="1A1A1A"/>
                <w:sz w:val="18"/>
              </w:rPr>
              <w:t xml:space="preserve">Sedi nelle Case della Comunità di periferia; allocazione pro-equità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Area metropolitana / province interne</w:t>
            </w:r>
          </w:p>
        </w:tc>
        <w:tc>
          <w:tcPr>
            <w:shd w:val="clear" w:color="auto" w:fill="F4F1EC"/>
          </w:tcPr>
          <w:p>
            <w:pPr>
              <w:pStyle w:val="Compact"/>
              <w:spacing w:after="40" w:before="40"/>
              <w:jc w:val="left"/>
            </w:pPr>
            <w:r>
              <w:rPr>
                <w:rFonts w:ascii="Cambria" w:hAnsi="Cambria" w:cs="Cambria" w:eastAsia="Cambria"/>
                <w:color w:val="1A1A1A"/>
                <w:sz w:val="18"/>
              </w:rPr>
              <w:t xml:space="preserve">Avellino, Benevento e aree appenniniche: popolazione più anziana, a minore densità</w:t>
            </w:r>
          </w:p>
        </w:tc>
        <w:tc>
          <w:tcPr>
            <w:shd w:val="clear" w:color="auto" w:fill="F4F1EC"/>
          </w:tcPr>
          <w:p>
            <w:pPr>
              <w:pStyle w:val="Compact"/>
              <w:spacing w:after="40" w:before="40"/>
              <w:jc w:val="left"/>
            </w:pPr>
            <w:r>
              <w:rPr>
                <w:rFonts w:ascii="Cambria" w:hAnsi="Cambria" w:cs="Cambria" w:eastAsia="Cambria"/>
                <w:color w:val="1A1A1A"/>
                <w:sz w:val="18"/>
              </w:rPr>
              <w:t xml:space="preserve">Telepsicologia assistita; presenza programmata di primo livello</w:t>
            </w:r>
          </w:p>
        </w:tc>
      </w:tr>
      <w:tr>
        <w:tc>
          <w:tcPr/>
          <w:p>
            <w:pPr>
              <w:pStyle w:val="Compact"/>
              <w:spacing w:after="40" w:before="40"/>
              <w:jc w:val="left"/>
            </w:pPr>
            <w:r>
              <w:rPr>
                <w:rFonts w:ascii="Cambria" w:hAnsi="Cambria" w:cs="Cambria" w:eastAsia="Cambria"/>
                <w:b/>
                <w:bCs/>
                <w:color w:val="1A1A1A"/>
                <w:sz w:val="18"/>
              </w:rPr>
              <w:t xml:space="preserve">Disagio giovanile</w:t>
            </w:r>
          </w:p>
        </w:tc>
        <w:tc>
          <w:tcPr/>
          <w:p>
            <w:pPr>
              <w:pStyle w:val="Compact"/>
              <w:spacing w:after="40" w:before="40"/>
              <w:jc w:val="left"/>
            </w:pPr>
            <w:r>
              <w:rPr>
                <w:rFonts w:ascii="Cambria" w:hAnsi="Cambria" w:cs="Cambria" w:eastAsia="Cambria"/>
                <w:color w:val="1A1A1A"/>
                <w:sz w:val="18"/>
              </w:rPr>
              <w:t xml:space="preserve">Fascia ampia in una regione giovane, a basso ricorso spontaneo ai servizi</w:t>
            </w:r>
          </w:p>
        </w:tc>
        <w:tc>
          <w:tcPr/>
          <w:p>
            <w:pPr>
              <w:pStyle w:val="Compact"/>
              <w:spacing w:after="40" w:before="40"/>
              <w:jc w:val="left"/>
            </w:pPr>
            <w:r>
              <w:rPr>
                <w:rFonts w:ascii="Cambria" w:hAnsi="Cambria" w:cs="Cambria" w:eastAsia="Cambria"/>
                <w:color w:val="1A1A1A"/>
                <w:sz w:val="18"/>
              </w:rPr>
              <w:t xml:space="preserve">Intercettazione precoce; competenza dedicata agli adolescenti e ai giovani adulti</w:t>
            </w:r>
          </w:p>
        </w:tc>
      </w:tr>
    </w:tbl>
    <w:p>
      <w:pPr>
        <w:pStyle w:val="BodyText"/>
      </w:pPr>
      <w:r>
        <w:rPr>
          <w:i/>
          <w:iCs/>
        </w:rPr>
        <w:t xml:space="preserve">Tabella G.1. I due assi del divario territoriale campano, la dimensione generazionale e le leve di riequilibrio.</w:t>
      </w:r>
    </w:p>
    <w:bookmarkEnd w:id="3082"/>
    <w:bookmarkStart w:id="3086" w:name="g.3-gli-strumenti-dellequità-5"/>
    <w:p>
      <w:pPr>
        <w:pStyle w:val="Heading3"/>
      </w:pPr>
      <w:r>
        <w:t xml:space="preserve">G.3 Gli strumenti dell’equità</w:t>
      </w:r>
    </w:p>
    <w:p>
      <w:pPr>
        <w:pStyle w:val="FirstParagraph"/>
      </w:pPr>
      <w:r>
        <w:t xml:space="preserve">Il servizio agisce sull’equità attraverso meccanismi precisi. La gratuità, la prossimità nelle Case della Comunità e la natura di primo livello accessibile senza requisiti specialistici abbattono le principali barriere e indirizzano l’offerta verso chi ne è oggi escluso.</w:t>
      </w:r>
      <w:r>
        <w:rPr>
          <w:rStyle w:val="FootnoteReference"/>
        </w:rPr>
        <w:footnoteReference w:id="3229"/>
      </w:r>
      <w:r>
        <w:t xml:space="preserve"> </w:t>
      </w:r>
      <w:r>
        <w:t xml:space="preserve">La telepsicologia assistita avvicina l’offerta alle province interne di Avellino e Benevento e alle estese periferie napoletane, in funzione complementare e non sostitutiva della presa in carico in presenza, estendendo la copertura proprio dove l’accesso è più difficile.</w:t>
      </w:r>
      <w:r>
        <w:rPr>
          <w:rStyle w:val="FootnoteReference"/>
        </w:rPr>
        <w:footnoteReference w:id="3230"/>
      </w:r>
      <w:r>
        <w:t xml:space="preserve"> </w:t>
      </w:r>
      <w:r>
        <w:t xml:space="preserve">La competenza nell’intercettare il disagio giovanile assicura che il servizio raggiunga adolescenti e giovani adulti, fascia a elevato bisogno e a basso ricorso spontaneo, mentre la competenza culturale resta necessaria nelle aree di maggiore insediamento straniero, pur meno centrale data la quota contenuta.</w:t>
      </w:r>
      <w:r>
        <w:rPr>
          <w:rStyle w:val="FootnoteReference"/>
        </w:rPr>
        <w:footnoteReference w:id="3231"/>
      </w:r>
    </w:p>
    <w:bookmarkEnd w:id="3086"/>
    <w:bookmarkStart w:id="3092" w:name="X1cde8eb5fd36df2302f7d4be087c40ac175758e"/>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3232"/>
      </w:r>
      <w:r>
        <w:t xml:space="preserve"> </w:t>
      </w:r>
      <w:r>
        <w:t xml:space="preserve">Perché questo potenziale si realizzi,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r>
        <w:rPr>
          <w:rStyle w:val="FootnoteReference"/>
        </w:rPr>
        <w:footnoteReference w:id="3233"/>
      </w:r>
      <w:r>
        <w:t xml:space="preserve"> </w:t>
      </w:r>
      <w:r>
        <w:t xml:space="preserve">Va inoltre tenuto presente che, nella Campania, il canale della mobilità costituisce una leva di equità solo modesta per questo intervento, sicché l’equità si gioca prevalentemente sull’accesso interno.</w:t>
      </w:r>
      <w:r>
        <w:rPr>
          <w:rStyle w:val="FootnoteReference"/>
        </w:rPr>
        <w:footnoteReference w:id="3234"/>
      </w:r>
      <w:r>
        <w:t xml:space="preserve"> </w:t>
      </w:r>
      <w:r>
        <w:t xml:space="preserve">Esiste infine un rischio di iniquità inversa: se l’estensione del servizio privilegiasse, per facilità organizzativa, le aree già meglio servite, l’effetto distributivo potrebbe risultare regressivo; il rischio va prevenuto con criteri espliciti di equità nell’allocazione, nella fase di strutturazione a regime.</w:t>
      </w:r>
      <w:r>
        <w:rPr>
          <w:rStyle w:val="FootnoteReference"/>
        </w:rPr>
        <w:footnoteReference w:id="3235"/>
      </w:r>
      <w:r>
        <w:t xml:space="preserve"> </w:t>
      </w:r>
      <w:r>
        <w:t xml:space="preserve">La sintesi è che l’intervento è favorevole all’equità su entrambi gli assi e sulla dimensione generazionale, a condizione che la copertura sia modulata per il bisogno e che siano garantite la telepsicologia per le periferie e le aree interne e l’attenzione al disagio giovanile; la raccomandazione è di adottare, nella strutturazione a regime, un’allocazione pro-equità che consolidi ed estenda i risultati già conseguiti dal servizio attivo.</w:t>
      </w:r>
      <w:r>
        <w:rPr>
          <w:rStyle w:val="FootnoteReference"/>
        </w:rPr>
        <w:footnoteReference w:id="3236"/>
      </w:r>
      <w:r>
        <w:t xml:space="preserve"> </w:t>
      </w:r>
      <w:r>
        <w:t xml:space="preserve">La tabella seguente riepiloga l’impatto distributivo atteso.</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43"/>
        <w:gridCol w:w="494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distributiva</w:t>
            </w:r>
          </w:p>
        </w:tc>
        <w:tc>
          <w:tcPr>
            <w:shd w:val="clear" w:color="auto" w:fill="16264B"/>
          </w:tcPr>
          <w:p>
            <w:pPr>
              <w:pStyle w:val="Compact"/>
              <w:spacing w:after="40" w:before="40"/>
              <w:jc w:val="left"/>
            </w:pPr>
            <w:r>
              <w:rPr>
                <w:rFonts w:ascii="Cambria" w:hAnsi="Cambria" w:cs="Cambria" w:eastAsia="Cambria"/>
                <w:b/>
                <w:bCs/>
                <w:color w:val="FFFFFF"/>
                <w:sz w:val="18"/>
              </w:rPr>
              <w:t xml:space="preserve">Esito per la Campania</w:t>
            </w:r>
          </w:p>
        </w:tc>
      </w:tr>
      <w:tr>
        <w:tc>
          <w:tcPr/>
          <w:p>
            <w:pPr>
              <w:pStyle w:val="Compact"/>
              <w:spacing w:after="40" w:before="40"/>
              <w:jc w:val="left"/>
            </w:pPr>
            <w:r>
              <w:rPr>
                <w:rFonts w:ascii="Cambria" w:hAnsi="Cambria" w:cs="Cambria" w:eastAsia="Cambria"/>
                <w:b/>
                <w:bCs/>
                <w:color w:val="1A1A1A"/>
                <w:sz w:val="18"/>
              </w:rPr>
              <w:t xml:space="preserve">Efficienza complessiva</w:t>
            </w:r>
          </w:p>
        </w:tc>
        <w:tc>
          <w:tcPr/>
          <w:p>
            <w:pPr>
              <w:pStyle w:val="Compact"/>
              <w:spacing w:after="40" w:before="40"/>
              <w:jc w:val="left"/>
            </w:pPr>
            <w:r>
              <w:rPr>
                <w:rFonts w:ascii="Cambria" w:hAnsi="Cambria" w:cs="Cambria" w:eastAsia="Cambria"/>
                <w:color w:val="1A1A1A"/>
                <w:sz w:val="18"/>
              </w:rPr>
              <w:t xml:space="preserve">Intervento costo-efficace e dominante per paziente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Direzione dell’effetto distributivo</w:t>
            </w:r>
          </w:p>
        </w:tc>
        <w:tc>
          <w:tcPr>
            <w:shd w:val="clear" w:color="auto" w:fill="F4F1EC"/>
          </w:tcPr>
          <w:p>
            <w:pPr>
              <w:pStyle w:val="Compact"/>
              <w:spacing w:after="40" w:before="40"/>
              <w:jc w:val="left"/>
            </w:pPr>
            <w:r>
              <w:rPr>
                <w:rFonts w:ascii="Cambria" w:hAnsi="Cambria" w:cs="Cambria" w:eastAsia="Cambria"/>
                <w:color w:val="1A1A1A"/>
                <w:sz w:val="18"/>
              </w:rPr>
              <w:t xml:space="preserve">Favorevole all’equità: maggiori benefici nei gruppi a più alto bisogno</w:t>
            </w:r>
          </w:p>
        </w:tc>
      </w:tr>
      <w:tr>
        <w:tc>
          <w:tcPr/>
          <w:p>
            <w:pPr>
              <w:pStyle w:val="Compact"/>
              <w:spacing w:after="40" w:before="40"/>
              <w:jc w:val="left"/>
            </w:pPr>
            <w:r>
              <w:rPr>
                <w:rFonts w:ascii="Cambria" w:hAnsi="Cambria" w:cs="Cambria" w:eastAsia="Cambria"/>
                <w:b/>
                <w:bCs/>
                <w:color w:val="1A1A1A"/>
                <w:sz w:val="18"/>
              </w:rPr>
              <w:t xml:space="preserve">Condizione di realizzazione</w:t>
            </w:r>
          </w:p>
        </w:tc>
        <w:tc>
          <w:tcPr/>
          <w:p>
            <w:pPr>
              <w:pStyle w:val="Compact"/>
              <w:spacing w:after="40" w:before="40"/>
              <w:jc w:val="left"/>
            </w:pPr>
            <w:r>
              <w:rPr>
                <w:rFonts w:ascii="Cambria" w:hAnsi="Cambria" w:cs="Cambria" w:eastAsia="Cambria"/>
                <w:color w:val="1A1A1A"/>
                <w:sz w:val="18"/>
              </w:rPr>
              <w:t xml:space="preserve">Allocazione modulata per il bisogno (periferie e aree interne)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Strumenti abilitanti</w:t>
            </w:r>
          </w:p>
        </w:tc>
        <w:tc>
          <w:tcPr>
            <w:shd w:val="clear" w:color="auto" w:fill="F4F1EC"/>
          </w:tcPr>
          <w:p>
            <w:pPr>
              <w:pStyle w:val="Compact"/>
              <w:spacing w:after="40" w:before="40"/>
              <w:jc w:val="left"/>
            </w:pPr>
            <w:r>
              <w:rPr>
                <w:rFonts w:ascii="Cambria" w:hAnsi="Cambria" w:cs="Cambria" w:eastAsia="Cambria"/>
                <w:color w:val="1A1A1A"/>
                <w:sz w:val="18"/>
              </w:rPr>
              <w:t xml:space="preserve">Gratuità, prossimità, telepsicologia, competenza culturale</w:t>
            </w:r>
          </w:p>
        </w:tc>
      </w:tr>
      <w:tr>
        <w:tc>
          <w:tcPr/>
          <w:p>
            <w:pPr>
              <w:pStyle w:val="Compact"/>
              <w:spacing w:after="40" w:before="40"/>
              <w:jc w:val="left"/>
            </w:pPr>
            <w:r>
              <w:rPr>
                <w:rFonts w:ascii="Cambria" w:hAnsi="Cambria" w:cs="Cambria" w:eastAsia="Cambria"/>
                <w:b/>
                <w:bCs/>
                <w:color w:val="1A1A1A"/>
                <w:sz w:val="18"/>
              </w:rPr>
              <w:t xml:space="preserve">Rischio da prevenire</w:t>
            </w:r>
          </w:p>
        </w:tc>
        <w:tc>
          <w:tcPr/>
          <w:p>
            <w:pPr>
              <w:pStyle w:val="Compact"/>
              <w:spacing w:after="40" w:before="40"/>
              <w:jc w:val="left"/>
            </w:pPr>
            <w:r>
              <w:rPr>
                <w:rFonts w:ascii="Cambria" w:hAnsi="Cambria" w:cs="Cambria" w:eastAsia="Cambria"/>
                <w:color w:val="1A1A1A"/>
                <w:sz w:val="18"/>
              </w:rPr>
              <w:t xml:space="preserve">Iniquità inversa da allocazione orientata alla facilità organizzativa</w:t>
            </w:r>
          </w:p>
        </w:tc>
      </w:tr>
    </w:tbl>
    <w:p>
      <w:pPr>
        <w:pStyle w:val="BodyText"/>
      </w:pPr>
      <w:r>
        <w:rPr>
          <w:i/>
          <w:iCs/>
        </w:rPr>
        <w:t xml:space="preserve">Tabella G.2. L</w:t>
      </w:r>
      <w:r>
        <w:rPr>
          <w:b/>
          <w:bCs/>
          <w:i/>
          <w:iCs/>
        </w:rPr>
        <w:t xml:space="preserve">‘impatto distributivo atteso dell’</w:t>
      </w:r>
      <w:r>
        <w:rPr>
          <w:i/>
          <w:iCs/>
        </w:rPr>
        <w:t xml:space="preserve">intervento e le sue condizioni.</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w:t>
      </w:r>
      <w:r>
        <w:rPr>
          <w:b/>
          <w:bCs/>
          <w:i/>
          <w:iCs/>
        </w:rPr>
        <w:t xml:space="preserve">’</w:t>
      </w:r>
      <w:r>
        <w:rPr>
          <w:i/>
          <w:iCs/>
        </w:rPr>
        <w:t xml:space="preserve">atto, rapporto di lavoro, governance, tutele etiche e protezione dei dati</w:t>
      </w:r>
    </w:p>
    <w:p>
      <w:pPr>
        <w:pStyle w:val="BodyText"/>
      </w:pPr>
      <w:r>
        <w:t xml:space="preserve">Domini dell’HTA · aspetti giuridici, etici e organizzativi</w:t>
      </w:r>
    </w:p>
    <w:bookmarkEnd w:id="3092"/>
    <w:bookmarkEnd w:id="3093"/>
    <w:bookmarkStart w:id="3129" w:name="Xcb357f4d15a85c29f7ab8a57bd3b3d140c1f0f0"/>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 Campania.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 Campania emerge sul piano giuridico: a differenza del Lazio, ancora privo di legge, la regione dispone già di una disciplina vigente e validata dalla Corte Costituzionale, sicché la condizione abilitante non è l’approvazione della legge, ma la stabilizzazione del finanziamento e la strutturazione a regime.</w:t>
      </w:r>
    </w:p>
    <w:bookmarkStart w:id="3116" w:name="h.1-il-profilo-giuridico-6"/>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3237"/>
      </w:r>
      <w:r>
        <w:rPr>
          <w:rStyle w:val="FootnoteReference"/>
        </w:rPr>
        <w:footnoteReference w:id="3238"/>
      </w:r>
      <w:r>
        <w:rPr>
          <w:rStyle w:val="FootnoteReference"/>
        </w:rPr>
        <w:footnoteReference w:id="3239"/>
      </w:r>
      <w:r>
        <w:rPr>
          <w:rStyle w:val="FootnoteReference"/>
        </w:rPr>
        <w:footnoteReference w:id="3240"/>
      </w:r>
      <w:r>
        <w:rPr>
          <w:rStyle w:val="FootnoteReference"/>
        </w:rPr>
        <w:footnoteReference w:id="3241"/>
      </w:r>
      <w:r>
        <w:rPr>
          <w:rStyle w:val="FootnoteReference"/>
        </w:rPr>
        <w:footnoteReference w:id="3242"/>
      </w:r>
      <w:r>
        <w:rPr>
          <w:rStyle w:val="FootnoteReference"/>
        </w:rPr>
        <w:footnoteReference w:id="3243"/>
      </w:r>
      <w:r>
        <w:rPr>
          <w:rStyle w:val="FootnoteReference"/>
        </w:rPr>
        <w:footnoteReference w:id="3244"/>
      </w:r>
      <w:r>
        <w:rPr>
          <w:rStyle w:val="FootnoteReference"/>
        </w:rPr>
        <w:footnoteReference w:id="3245"/>
      </w:r>
      <w:r>
        <w:rPr>
          <w:rStyle w:val="FootnoteReference"/>
        </w:rPr>
        <w:footnoteReference w:id="3246"/>
      </w:r>
      <w:r>
        <w:rPr>
          <w:rStyle w:val="FootnoteReference"/>
        </w:rPr>
        <w:footnoteReference w:id="3247"/>
      </w:r>
      <w:r>
        <w:rPr>
          <w:rStyle w:val="FootnoteReference"/>
        </w:rPr>
        <w:footnoteReference w:id="3248"/>
      </w:r>
      <w:r>
        <w:rPr>
          <w:rStyle w:val="FootnoteReference"/>
        </w:rPr>
        <w:footnoteReference w:id="3249"/>
      </w:r>
      <w:r>
        <w:rPr>
          <w:rStyle w:val="FootnoteReference"/>
        </w:rPr>
        <w:footnoteReference w:id="3250"/>
      </w:r>
      <w:r>
        <w:rPr>
          <w:rStyle w:val="FootnoteReference"/>
        </w:rPr>
        <w:footnoteReference w:id="3251"/>
      </w:r>
      <w:r>
        <w:rPr>
          <w:rStyle w:val="FootnoteReference"/>
        </w:rPr>
        <w:footnoteReference w:id="3252"/>
      </w:r>
      <w:r>
        <w:t xml:space="preserve"> </w:t>
      </w:r>
      <w:r>
        <w:t xml:space="preserve">Sul piano giuridico, la materia si colloca nella competenza concorrente in tema di tutela della salute, e la sentenza della Corte Costituzionale n. 241 del 2021 — nata proprio dal giudizio sulla legge campana, di cui ha riconosciuto la legittimità — ne ha delimitato lo spazio regionale: la Campania ha quindi già esercitato, prima fra le regioni, il titolo a istituire il servizio con legge propria.</w:t>
      </w:r>
      <w:r>
        <w:rPr>
          <w:rStyle w:val="FootnoteReference"/>
        </w:rPr>
        <w:footnoteReference w:id="3253"/>
      </w:r>
      <w:r>
        <w:t xml:space="preserve"> </w:t>
      </w:r>
      <w:r>
        <w:t xml:space="preserve">Qui si colloca la specificità della regione: disponendo già della legge regionale 35 del 2020 e del regolamento 8 del 2022, la decisione giuridica rilevante non è l’approvazione della legge, già compiuta, ma il suo consolidamento a regime.</w:t>
      </w:r>
      <w:r>
        <w:rPr>
          <w:rStyle w:val="FootnoteReference"/>
        </w:rPr>
        <w:footnoteReference w:id="3254"/>
      </w:r>
      <w:r>
        <w:t xml:space="preserve"> </w:t>
      </w:r>
      <w:r>
        <w:t xml:space="preserve">Il rapporto di lavoro adottato è quello convenzionale su base libero-professionale, con iscrizione a un elenco aziendale previo corso di abilitazione regionale, da presidiare sul piano delle tutele e in attesa della definizione di un contratto collettivo nazionale.</w:t>
      </w:r>
      <w:r>
        <w:rPr>
          <w:rStyle w:val="FootnoteReference"/>
        </w:rPr>
        <w:footnoteReference w:id="3255"/>
      </w:r>
      <w:r>
        <w:t xml:space="preserve"> </w:t>
      </w:r>
      <w:r>
        <w:t xml:space="preserve">Quanto ai livelli essenziali di assistenza, la psicologia di base non vi è ancora esplicitamente ricompresa, e il servizio, oggi in parte finanziato con risorse transitorie, richiede la stabilizzazione su risorse regionali, oggi resa possibile dall’uscita dal piano di rientro.</w:t>
      </w:r>
      <w:r>
        <w:rPr>
          <w:rStyle w:val="FootnoteReference"/>
        </w:rPr>
        <w:footnoteReference w:id="3256"/>
      </w:r>
      <w:r>
        <w:t xml:space="preserve"> </w:t>
      </w:r>
      <w:r>
        <w:t xml:space="preserve">Il servizio si inserisce coerentemente nella cornice degli standard territoriali e delle Case della Comunità,</w:t>
      </w:r>
      <w:r>
        <w:rPr>
          <w:rStyle w:val="FootnoteReference"/>
        </w:rPr>
        <w:footnoteReference w:id="3257"/>
      </w:r>
      <w:r>
        <w:t xml:space="preserve"> </w:t>
      </w:r>
      <w:r>
        <w:t xml:space="preserve">e si rapporta ai Centri di Salute Mentale per integrazione e non per sovrapposizione, precedendoli e alleggerendoli.</w:t>
      </w:r>
      <w:r>
        <w:rPr>
          <w:rStyle w:val="FootnoteReference"/>
        </w:rPr>
        <w:footnoteReference w:id="3258"/>
      </w:r>
      <w:r>
        <w:t xml:space="preserve"> </w:t>
      </w:r>
      <w:r>
        <w:t xml:space="preserve">La tabella seguente riepiloga i profili giuridici.</w:t>
      </w:r>
    </w:p>
    <w:tbl>
      <w:tblPr>
        <w:tblStyle w:val="Table"/>
        <w:tblW w:type="pct" w:w="494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27"/>
        <w:gridCol w:w="579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Profilo giuridico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Campania</w:t>
            </w:r>
          </w:p>
        </w:tc>
      </w:tr>
      <w:tr>
        <w:tc>
          <w:tcPr/>
          <w:p>
            <w:pPr>
              <w:pStyle w:val="Compact"/>
              <w:spacing w:after="40" w:before="40"/>
              <w:jc w:val="left"/>
            </w:pPr>
            <w:r>
              <w:rPr>
                <w:rFonts w:ascii="Cambria" w:hAnsi="Cambria" w:cs="Cambria" w:eastAsia="Cambria"/>
                <w:b/>
                <w:bCs/>
                <w:color w:val="1A1A1A"/>
                <w:sz w:val="18"/>
              </w:rPr>
              <w:t xml:space="preserve">Competenza</w:t>
            </w:r>
          </w:p>
        </w:tc>
        <w:tc>
          <w:tcPr/>
          <w:p>
            <w:pPr>
              <w:pStyle w:val="Compact"/>
              <w:spacing w:after="40" w:before="40"/>
              <w:jc w:val="left"/>
            </w:pPr>
            <w:r>
              <w:rPr>
                <w:rFonts w:ascii="Cambria" w:hAnsi="Cambria" w:cs="Cambria" w:eastAsia="Cambria"/>
                <w:color w:val="1A1A1A"/>
                <w:sz w:val="18"/>
              </w:rPr>
              <w:t xml:space="preserve">Concorrente in tutela della salute; Corte Cost. 241/2021, nata dalla legge campana, ne ha riconosciuto la legittimità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Forma dell’atto</w:t>
            </w:r>
          </w:p>
        </w:tc>
        <w:tc>
          <w:tcPr>
            <w:shd w:val="clear" w:color="auto" w:fill="F4F1EC"/>
          </w:tcPr>
          <w:p>
            <w:pPr>
              <w:pStyle w:val="Compact"/>
              <w:spacing w:after="40" w:before="40"/>
              <w:jc w:val="left"/>
            </w:pPr>
            <w:r>
              <w:rPr>
                <w:rFonts w:ascii="Cambria" w:hAnsi="Cambria" w:cs="Cambria" w:eastAsia="Cambria"/>
                <w:color w:val="1A1A1A"/>
                <w:sz w:val="18"/>
              </w:rPr>
              <w:t xml:space="preserve">Legge regionale 35/2020 già vigente e regolamento 8/2022; da consolidare e stabilizzare a regime</w:t>
            </w:r>
          </w:p>
        </w:tc>
      </w:tr>
      <w:tr>
        <w:tc>
          <w:tcPr/>
          <w:p>
            <w:pPr>
              <w:pStyle w:val="Compact"/>
              <w:spacing w:after="40" w:before="40"/>
              <w:jc w:val="left"/>
            </w:pPr>
            <w:r>
              <w:rPr>
                <w:rFonts w:ascii="Cambria" w:hAnsi="Cambria" w:cs="Cambria" w:eastAsia="Cambria"/>
                <w:b/>
                <w:bCs/>
                <w:color w:val="1A1A1A"/>
                <w:sz w:val="18"/>
              </w:rPr>
              <w:t xml:space="preserve">Rapporto di lavoro</w:t>
            </w:r>
          </w:p>
        </w:tc>
        <w:tc>
          <w:tcPr/>
          <w:p>
            <w:pPr>
              <w:pStyle w:val="Compact"/>
              <w:spacing w:after="40" w:before="40"/>
              <w:jc w:val="left"/>
            </w:pPr>
            <w:r>
              <w:rPr>
                <w:rFonts w:ascii="Cambria" w:hAnsi="Cambria" w:cs="Cambria" w:eastAsia="Cambria"/>
                <w:color w:val="1A1A1A"/>
                <w:sz w:val="18"/>
              </w:rPr>
              <w:t xml:space="preserve">Convenzionale libero-professionale con elenco aziendale e corso di abilitazione; manca un contratto collettivo nazionale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Livelli essenziali di assistenza</w:t>
            </w:r>
          </w:p>
        </w:tc>
        <w:tc>
          <w:tcPr>
            <w:shd w:val="clear" w:color="auto" w:fill="F4F1EC"/>
          </w:tcPr>
          <w:p>
            <w:pPr>
              <w:pStyle w:val="Compact"/>
              <w:spacing w:after="40" w:before="40"/>
              <w:jc w:val="left"/>
            </w:pPr>
            <w:r>
              <w:rPr>
                <w:rFonts w:ascii="Cambria" w:hAnsi="Cambria" w:cs="Cambria" w:eastAsia="Cambria"/>
                <w:color w:val="1A1A1A"/>
                <w:sz w:val="18"/>
              </w:rPr>
              <w:t xml:space="preserve">Non ancora ricompresi; servizio oggi in parte su risorse transitorie, da stabilizzare su risorse regionali</w:t>
            </w:r>
          </w:p>
        </w:tc>
      </w:tr>
      <w:tr>
        <w:tc>
          <w:tcPr/>
          <w:p>
            <w:pPr>
              <w:pStyle w:val="Compact"/>
              <w:spacing w:after="40" w:before="40"/>
              <w:jc w:val="left"/>
            </w:pPr>
            <w:r>
              <w:rPr>
                <w:rFonts w:ascii="Cambria" w:hAnsi="Cambria" w:cs="Cambria" w:eastAsia="Cambria"/>
                <w:b/>
                <w:bCs/>
                <w:color w:val="1A1A1A"/>
                <w:sz w:val="18"/>
              </w:rPr>
              <w:t xml:space="preserve">Cornice territoriale</w:t>
            </w:r>
          </w:p>
        </w:tc>
        <w:tc>
          <w:tcPr/>
          <w:p>
            <w:pPr>
              <w:pStyle w:val="Compact"/>
              <w:spacing w:after="40" w:before="40"/>
              <w:jc w:val="left"/>
            </w:pPr>
            <w:r>
              <w:rPr>
                <w:rFonts w:ascii="Cambria" w:hAnsi="Cambria" w:cs="Cambria" w:eastAsia="Cambria"/>
                <w:color w:val="1A1A1A"/>
                <w:sz w:val="18"/>
              </w:rPr>
              <w:t xml:space="preserve">Decreto Ministeriale 77/2022; inserimento nelle Case della Comunità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con i servizi specialistici</w:t>
            </w:r>
          </w:p>
        </w:tc>
        <w:tc>
          <w:tcPr>
            <w:shd w:val="clear" w:color="auto" w:fill="F4F1EC"/>
          </w:tcPr>
          <w:p>
            <w:pPr>
              <w:pStyle w:val="Compact"/>
              <w:spacing w:after="40" w:before="40"/>
              <w:jc w:val="left"/>
            </w:pPr>
            <w:r>
              <w:rPr>
                <w:rFonts w:ascii="Cambria" w:hAnsi="Cambria" w:cs="Cambria" w:eastAsia="Cambria"/>
                <w:color w:val="1A1A1A"/>
                <w:sz w:val="18"/>
              </w:rPr>
              <w:t xml:space="preserve">Integrazione con i Centri di Salute Mentale, che il servizio precede e alleggerisce</w:t>
            </w:r>
          </w:p>
        </w:tc>
      </w:tr>
    </w:tbl>
    <w:p>
      <w:pPr>
        <w:pStyle w:val="BodyText"/>
      </w:pPr>
      <w:r>
        <w:rPr>
          <w:i/>
          <w:iCs/>
        </w:rPr>
        <w:t xml:space="preserve">Tabella H.1. I profili giuridici del servizio nella Campania.</w:t>
      </w:r>
    </w:p>
    <w:bookmarkEnd w:id="3116"/>
    <w:bookmarkStart w:id="3120" w:name="Xff111e7b4bb382801db82a01c737f8b04f34316"/>
    <w:p>
      <w:pPr>
        <w:pStyle w:val="Heading3"/>
      </w:pPr>
      <w:r>
        <w:t xml:space="preserve">H.2 Il profilo organizzativo e la governance</w:t>
      </w:r>
    </w:p>
    <w:p>
      <w:pPr>
        <w:pStyle w:val="FirstParagraph"/>
      </w:pPr>
      <w:r>
        <w:t xml:space="preserve">Sul piano organizzativo, la strutturazione del servizio nella Campania si misura con un sistema esteso e policentrico — sette Aziende Sanitarie Locali, numerose aziende ospedaliere e IRCCS — e con l’assenza di un’azienda regionale unica, sicché il coordinamento è in capo alla Regione e la sfida centrale è garantire l’omogeneità attuativa fra le Aziende.</w:t>
      </w:r>
      <w:r>
        <w:rPr>
          <w:rStyle w:val="FootnoteReference"/>
        </w:rPr>
        <w:footnoteReference w:id="3259"/>
      </w:r>
      <w:r>
        <w:t xml:space="preserve"> </w:t>
      </w:r>
      <w:r>
        <w:t xml:space="preserve">Il consolidamento poggia su una regia regionale che coordina le Aziende, gli IRCCS, l’Ordine professionale, le rappresentanze della medicina generale e della pediatria di libera scelta e gli atenei; tale regia è già esercitata, con il supporto dell’Osservatorio regionale istituito dalla legge, cui spetta consolidare indirizzi operativi uniformi e il sistema di monitoraggio comune.</w:t>
      </w:r>
      <w:r>
        <w:rPr>
          <w:rStyle w:val="FootnoteReference"/>
        </w:rPr>
        <w:footnoteReference w:id="3260"/>
      </w:r>
      <w:r>
        <w:t xml:space="preserve"> </w:t>
      </w:r>
      <w:r>
        <w:t xml:space="preserve">In questo quadro l’Ordine degli Psicologi della Campania, che conta quasi diecimila iscritti e ha accompagnato l’attuazione della legge, concorre alla definizione dei requisiti, alla formazione e alla vigilanza deontologica.</w:t>
      </w:r>
      <w:r>
        <w:rPr>
          <w:rStyle w:val="FootnoteReference"/>
        </w:rPr>
        <w:footnoteReference w:id="3261"/>
      </w:r>
      <w:r>
        <w:t xml:space="preserve"> </w:t>
      </w:r>
      <w:r>
        <w:t xml:space="preserve">La tabella seguente sintetizza l’assetto organizzativo e di governance.</w:t>
      </w:r>
    </w:p>
    <w:tbl>
      <w:tblPr>
        <w:tblStyle w:val="Table"/>
        <w:tblW w:type="pct" w:w="493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75"/>
        <w:gridCol w:w="59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organizzativo</w:t>
            </w:r>
          </w:p>
        </w:tc>
        <w:tc>
          <w:tcPr>
            <w:shd w:val="clear" w:color="auto" w:fill="16264B"/>
          </w:tcPr>
          <w:p>
            <w:pPr>
              <w:pStyle w:val="Compact"/>
              <w:spacing w:after="40" w:before="40"/>
              <w:jc w:val="left"/>
            </w:pPr>
            <w:r>
              <w:rPr>
                <w:rFonts w:ascii="Cambria" w:hAnsi="Cambria" w:cs="Cambria" w:eastAsia="Cambria"/>
                <w:b/>
                <w:bCs/>
                <w:color w:val="FFFFFF"/>
                <w:sz w:val="18"/>
              </w:rPr>
              <w:t xml:space="preserve">Assetto per la Campania</w:t>
            </w:r>
          </w:p>
        </w:tc>
      </w:tr>
      <w:tr>
        <w:tc>
          <w:tcPr/>
          <w:p>
            <w:pPr>
              <w:pStyle w:val="Compact"/>
              <w:spacing w:after="40" w:before="40"/>
              <w:jc w:val="left"/>
            </w:pPr>
            <w:r>
              <w:rPr>
                <w:rFonts w:ascii="Cambria" w:hAnsi="Cambria" w:cs="Cambria" w:eastAsia="Cambria"/>
                <w:b/>
                <w:bCs/>
                <w:color w:val="1A1A1A"/>
                <w:sz w:val="18"/>
              </w:rPr>
              <w:t xml:space="preserve">Articolazione del sistema</w:t>
            </w:r>
          </w:p>
        </w:tc>
        <w:tc>
          <w:tcPr/>
          <w:p>
            <w:pPr>
              <w:pStyle w:val="Compact"/>
              <w:spacing w:after="40" w:before="40"/>
              <w:jc w:val="left"/>
            </w:pPr>
            <w:r>
              <w:rPr>
                <w:rFonts w:ascii="Cambria" w:hAnsi="Cambria" w:cs="Cambria" w:eastAsia="Cambria"/>
                <w:color w:val="1A1A1A"/>
                <w:sz w:val="18"/>
              </w:rPr>
              <w:t xml:space="preserve">Sette Aziende Sanitarie Locali (tre metropolitane napoletane, quattro provinciali); aziende ospedaliere e IRCCS</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Coordinamento</w:t>
            </w:r>
          </w:p>
        </w:tc>
        <w:tc>
          <w:tcPr>
            <w:shd w:val="clear" w:color="auto" w:fill="F4F1EC"/>
          </w:tcPr>
          <w:p>
            <w:pPr>
              <w:pStyle w:val="Compact"/>
              <w:spacing w:after="40" w:before="40"/>
              <w:jc w:val="left"/>
            </w:pPr>
            <w:r>
              <w:rPr>
                <w:rFonts w:ascii="Cambria" w:hAnsi="Cambria" w:cs="Cambria" w:eastAsia="Cambria"/>
                <w:color w:val="1A1A1A"/>
                <w:sz w:val="18"/>
              </w:rPr>
              <w:t xml:space="preserve">In capo alla Regione; assenza di un’azienda regionale unica</w:t>
            </w:r>
          </w:p>
        </w:tc>
      </w:tr>
      <w:tr>
        <w:tc>
          <w:tcPr/>
          <w:p>
            <w:pPr>
              <w:pStyle w:val="Compact"/>
              <w:spacing w:after="40" w:before="40"/>
              <w:jc w:val="left"/>
            </w:pPr>
            <w:r>
              <w:rPr>
                <w:rFonts w:ascii="Cambria" w:hAnsi="Cambria" w:cs="Cambria" w:eastAsia="Cambria"/>
                <w:b/>
                <w:bCs/>
                <w:color w:val="1A1A1A"/>
                <w:sz w:val="18"/>
              </w:rPr>
              <w:t xml:space="preserve">Sfida organizzativa</w:t>
            </w:r>
          </w:p>
        </w:tc>
        <w:tc>
          <w:tcPr/>
          <w:p>
            <w:pPr>
              <w:pStyle w:val="Compact"/>
              <w:spacing w:after="40" w:before="40"/>
              <w:jc w:val="left"/>
            </w:pPr>
            <w:r>
              <w:rPr>
                <w:rFonts w:ascii="Cambria" w:hAnsi="Cambria" w:cs="Cambria" w:eastAsia="Cambria"/>
                <w:color w:val="1A1A1A"/>
                <w:sz w:val="18"/>
              </w:rPr>
              <w:t xml:space="preserve">Omogeneità attuativa fra le Aziende in un sistema esteso e policentrico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Regia della strutturazione</w:t>
            </w:r>
          </w:p>
        </w:tc>
        <w:tc>
          <w:tcPr>
            <w:shd w:val="clear" w:color="auto" w:fill="F4F1EC"/>
          </w:tcPr>
          <w:p>
            <w:pPr>
              <w:pStyle w:val="Compact"/>
              <w:spacing w:after="40" w:before="40"/>
              <w:jc w:val="left"/>
            </w:pPr>
            <w:r>
              <w:rPr>
                <w:rFonts w:ascii="Cambria" w:hAnsi="Cambria" w:cs="Cambria" w:eastAsia="Cambria"/>
                <w:color w:val="1A1A1A"/>
                <w:sz w:val="18"/>
              </w:rPr>
              <w:t xml:space="preserve">Indirizzi operativi uniformi e monitoraggio comune consolidati da Regione e Osservatorio regionale</w:t>
            </w:r>
          </w:p>
        </w:tc>
      </w:tr>
      <w:tr>
        <w:tc>
          <w:tcPr/>
          <w:p>
            <w:pPr>
              <w:pStyle w:val="Compact"/>
              <w:spacing w:after="40" w:before="40"/>
              <w:jc w:val="left"/>
            </w:pPr>
            <w:r>
              <w:rPr>
                <w:rFonts w:ascii="Cambria" w:hAnsi="Cambria" w:cs="Cambria" w:eastAsia="Cambria"/>
                <w:b/>
                <w:bCs/>
                <w:color w:val="1A1A1A"/>
                <w:sz w:val="18"/>
              </w:rPr>
              <w:t xml:space="preserve">Soggetti coinvolti</w:t>
            </w:r>
          </w:p>
        </w:tc>
        <w:tc>
          <w:tcPr/>
          <w:p>
            <w:pPr>
              <w:pStyle w:val="Compact"/>
              <w:spacing w:after="40" w:before="40"/>
              <w:jc w:val="left"/>
            </w:pPr>
            <w:r>
              <w:rPr>
                <w:rFonts w:ascii="Cambria" w:hAnsi="Cambria" w:cs="Cambria" w:eastAsia="Cambria"/>
                <w:color w:val="1A1A1A"/>
                <w:sz w:val="18"/>
              </w:rPr>
              <w:t xml:space="preserve">Aziende, IRCCS, Ordine professionale, medicina generale e pediatria, atenei</w:t>
            </w:r>
          </w:p>
        </w:tc>
      </w:tr>
    </w:tbl>
    <w:p>
      <w:pPr>
        <w:pStyle w:val="BodyText"/>
      </w:pPr>
      <w:r>
        <w:rPr>
          <w:i/>
          <w:iCs/>
        </w:rPr>
        <w:t xml:space="preserve">Tabella H.2. L</w:t>
      </w:r>
      <w:r>
        <w:rPr>
          <w:b/>
          <w:bCs/>
          <w:i/>
          <w:iCs/>
        </w:rPr>
        <w:t xml:space="preserve">‘assetto organizzativo e la governance dell’</w:t>
      </w:r>
      <w:r>
        <w:rPr>
          <w:i/>
          <w:iCs/>
        </w:rPr>
        <w:t xml:space="preserve">istituzione.</w:t>
      </w:r>
    </w:p>
    <w:bookmarkEnd w:id="3120"/>
    <w:bookmarkStart w:id="3126" w:name="h.3-il-profilo-etico-6"/>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3262"/>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3263"/>
      </w:r>
      <w:r>
        <w:t xml:space="preserve"> </w:t>
      </w:r>
      <w:r>
        <w:t xml:space="preserve">Gli strumenti di intelligenza artificiale sono concepiti come ausilio del clinico, in conformità al quadro europeo e ai requisiti sui dispositivi medici,</w:t>
      </w:r>
      <w:r>
        <w:rPr>
          <w:rStyle w:val="FootnoteReference"/>
        </w:rPr>
        <w:footnoteReference w:id="3264"/>
      </w:r>
      <w:r>
        <w:t xml:space="preserve"> </w:t>
      </w:r>
      <w:r>
        <w:t xml:space="preserve">il trattamento dei dati è conforme alla normativa e ispirato alla minimizzazione,</w:t>
      </w:r>
      <w:r>
        <w:rPr>
          <w:rStyle w:val="FootnoteReference"/>
        </w:rPr>
        <w:footnoteReference w:id="3265"/>
      </w:r>
      <w:r>
        <w:t xml:space="preserve"> </w:t>
      </w:r>
      <w:r>
        <w:t xml:space="preserve">e la responsabilità delle decisioni cliniche resta interamente in capo al professionista, cui gli strumenti forniscono un ausilio non vincolante.</w:t>
      </w:r>
      <w:r>
        <w:rPr>
          <w:rStyle w:val="FootnoteReference"/>
        </w:rPr>
        <w:footnoteReference w:id="3266"/>
      </w:r>
    </w:p>
    <w:bookmarkEnd w:id="3126"/>
    <w:bookmarkStart w:id="3128" w:name="h.4-sintesi-dei-profili-5"/>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 Campania, l’approvazione della legge — già in vigore e validata dalla Corte Costituzionale — ma la stabilizzazione del finanziamento e la strutturazione a regime del servizio già attivo. È questo il passaggio da cui dipende il consolidamento del servizio pioniere.</w:t>
      </w:r>
      <w:r>
        <w:rPr>
          <w:rStyle w:val="FootnoteReference"/>
        </w:rPr>
        <w:footnoteReference w:id="3267"/>
      </w:r>
      <w:r>
        <w:t xml:space="preserve"> </w:t>
      </w:r>
      <w:r>
        <w:t xml:space="preserve">Definiti i profili, la parte che segue affronta l’attuazione, la fattibilità e la sostenibilità.</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ex novo, le fasi di attuazione, i rischi e le mitigazioni</w:t>
      </w:r>
    </w:p>
    <w:p>
      <w:pPr>
        <w:pStyle w:val="BodyText"/>
      </w:pPr>
      <w:r>
        <w:t xml:space="preserve">Five Case Model · la realizzabilità della decisione</w:t>
      </w:r>
    </w:p>
    <w:bookmarkEnd w:id="3128"/>
    <w:bookmarkEnd w:id="3129"/>
    <w:bookmarkStart w:id="3166" w:name="Xcc770d1cec64d829a86bf3aedcd11587254469e"/>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 Campania. La parte espone i cinque casi (capitolo I.1); definisce il dimensionamento a partire dal nucleo attivo e le fasi di attuazione (I.2); tratta il reclutamento, la formazione e il cronoprogramma (I.3); analizza la sostenibilità finanziaria e organizzativa (I.4); e individua i rischi e le mitigazioni (I.5). Il tratto distintivo della Campania è che l’attuazione muove da un servizio già avviato: non l’istituzione, ma la strutturazione a regime, condizionata non dall’approvazione di una legge — già in vigore — ma dalla stabilizzazione del finanziamento, in una regione che dispone di un bacino professionale ampio e dei margini riacquistati con l’uscita dal piano di rientro.</w:t>
      </w:r>
    </w:p>
    <w:bookmarkStart w:id="3151" w:name="i.1-i-cinque-casi-della-decisione-4"/>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3268"/>
      </w:r>
      <w:r>
        <w:rPr>
          <w:rStyle w:val="FootnoteReference"/>
        </w:rPr>
        <w:footnoteReference w:id="3269"/>
      </w:r>
      <w:r>
        <w:rPr>
          <w:rStyle w:val="FootnoteReference"/>
        </w:rPr>
        <w:footnoteReference w:id="3270"/>
      </w:r>
      <w:r>
        <w:rPr>
          <w:rStyle w:val="FootnoteReference"/>
        </w:rPr>
        <w:footnoteReference w:id="3271"/>
      </w:r>
      <w:r>
        <w:rPr>
          <w:rStyle w:val="FootnoteReference"/>
        </w:rPr>
        <w:footnoteReference w:id="3272"/>
      </w:r>
      <w:r>
        <w:rPr>
          <w:rStyle w:val="FootnoteReference"/>
        </w:rPr>
        <w:footnoteReference w:id="3273"/>
      </w:r>
      <w:r>
        <w:rPr>
          <w:rStyle w:val="FootnoteReference"/>
        </w:rPr>
        <w:footnoteReference w:id="3274"/>
      </w:r>
      <w:r>
        <w:rPr>
          <w:rStyle w:val="FootnoteReference"/>
        </w:rPr>
        <w:footnoteReference w:id="3275"/>
      </w:r>
      <w:r>
        <w:rPr>
          <w:rStyle w:val="FootnoteReference"/>
        </w:rPr>
        <w:footnoteReference w:id="3276"/>
      </w:r>
      <w:r>
        <w:rPr>
          <w:rStyle w:val="FootnoteReference"/>
        </w:rPr>
        <w:footnoteReference w:id="3277"/>
      </w:r>
      <w:r>
        <w:rPr>
          <w:rStyle w:val="FootnoteReference"/>
        </w:rPr>
        <w:footnoteReference w:id="3278"/>
      </w:r>
      <w:r>
        <w:rPr>
          <w:rStyle w:val="FootnoteReference"/>
        </w:rPr>
        <w:footnoteReference w:id="3279"/>
      </w:r>
      <w:r>
        <w:rPr>
          <w:rStyle w:val="FootnoteReference"/>
        </w:rPr>
        <w:footnoteReference w:id="3280"/>
      </w:r>
      <w:r>
        <w:rPr>
          <w:rStyle w:val="FootnoteReference"/>
        </w:rPr>
        <w:footnoteReference w:id="3281"/>
      </w:r>
      <w:r>
        <w:rPr>
          <w:rStyle w:val="FootnoteReference"/>
        </w:rPr>
        <w:footnoteReference w:id="3282"/>
      </w:r>
      <w:r>
        <w:rPr>
          <w:rStyle w:val="FootnoteReference"/>
        </w:rPr>
        <w:footnoteReference w:id="3283"/>
      </w:r>
      <w:r>
        <w:t xml:space="preserve"> </w:t>
      </w:r>
      <w:r>
        <w:t xml:space="preserve">Il caso strategico è solido: l’istituzione del servizio è coerente con gli standard territoriali, con le Case della Comunità e con il Piano regionale di salute mentale, e nella Campania consolida a regime il modello che la regione ha istituito per prima in Italia, già validato sul piano costituzionale.</w:t>
      </w:r>
      <w:r>
        <w:rPr>
          <w:rStyle w:val="FootnoteReference"/>
        </w:rPr>
        <w:footnoteReference w:id="3284"/>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3285"/>
      </w:r>
      <w:r>
        <w:t xml:space="preserve"> </w:t>
      </w:r>
      <w:r>
        <w:t xml:space="preserve">Il caso commerciale è già in esercizio e si avvale di un bacino professionale ampio, con quasi diecimila iscritti all’Ordine regionale e psicologi già selezionati attraverso il corso di abilitazione regionale.</w:t>
      </w:r>
      <w:r>
        <w:rPr>
          <w:rStyle w:val="FootnoteReference"/>
        </w:rPr>
        <w:footnoteReference w:id="3286"/>
      </w:r>
      <w:r>
        <w:t xml:space="preserve"> </w:t>
      </w:r>
      <w:r>
        <w:t xml:space="preserve">Il caso finanziario è sostenibile, con un costo pari allo 0,3–0,6% del finanziamento sanitario regionale e i margini riacquistati con l’uscita dal piano di rientro, ferma la necessità di stabilizzare le risorse oggi transitorie.</w:t>
      </w:r>
      <w:r>
        <w:rPr>
          <w:rStyle w:val="FootnoteReference"/>
        </w:rPr>
        <w:footnoteReference w:id="3287"/>
      </w:r>
      <w:r>
        <w:t xml:space="preserve"> </w:t>
      </w:r>
      <w:r>
        <w:t xml:space="preserve">Il caso gestionale dipende da una regia regionale che, in assenza di un’azienda unica, coordini il sistema policentrico.</w:t>
      </w:r>
      <w:r>
        <w:rPr>
          <w:rStyle w:val="FootnoteReference"/>
        </w:rPr>
        <w:footnoteReference w:id="3288"/>
      </w:r>
      <w:r>
        <w:t xml:space="preserve"> </w:t>
      </w:r>
      <w:r>
        <w:t xml:space="preserve">La tabella seguente riepiloga i cinque casi.</w:t>
      </w:r>
    </w:p>
    <w:tbl>
      <w:tblPr>
        <w:tblStyle w:val="Table"/>
        <w:tblW w:type="pct" w:w="494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29"/>
        <w:gridCol w:w="620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Caso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Campania</w:t>
            </w:r>
          </w:p>
        </w:tc>
      </w:tr>
      <w:tr>
        <w:tc>
          <w:tcPr/>
          <w:p>
            <w:pPr>
              <w:pStyle w:val="Compact"/>
              <w:spacing w:after="40" w:before="40"/>
              <w:jc w:val="left"/>
            </w:pPr>
            <w:r>
              <w:rPr>
                <w:rFonts w:ascii="Cambria" w:hAnsi="Cambria" w:cs="Cambria" w:eastAsia="Cambria"/>
                <w:b/>
                <w:bCs/>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Coerenza con DM 77/2022, Case della Comunità e Piano salute mentale; consolidamento a regime del modello istituito per primo in Italia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Rapporto beneficio-costo 3,9–5,5 a uno; dominanza per paziente; caso sociale fortemente positivo</w:t>
            </w:r>
          </w:p>
        </w:tc>
      </w:tr>
      <w:tr>
        <w:tc>
          <w:tcPr/>
          <w:p>
            <w:pPr>
              <w:pStyle w:val="Compact"/>
              <w:spacing w:after="40" w:before="40"/>
              <w:jc w:val="left"/>
            </w:pPr>
            <w:r>
              <w:rPr>
                <w:rFonts w:ascii="Cambria" w:hAnsi="Cambria" w:cs="Cambria" w:eastAsia="Cambria"/>
                <w:b/>
                <w:bCs/>
                <w:color w:val="1A1A1A"/>
                <w:sz w:val="18"/>
              </w:rPr>
              <w:t xml:space="preserve">Commerciale</w:t>
            </w:r>
          </w:p>
        </w:tc>
        <w:tc>
          <w:tcPr/>
          <w:p>
            <w:pPr>
              <w:pStyle w:val="Compact"/>
              <w:spacing w:after="40" w:before="40"/>
              <w:jc w:val="left"/>
            </w:pPr>
            <w:r>
              <w:rPr>
                <w:rFonts w:ascii="Cambria" w:hAnsi="Cambria" w:cs="Cambria" w:eastAsia="Cambria"/>
                <w:color w:val="1A1A1A"/>
                <w:sz w:val="18"/>
              </w:rPr>
              <w:t xml:space="preserve">Rapporto convenzionale già in esercizio; bacino ampio (~10.000 iscritti); corso di abilitazione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Finanziario</w:t>
            </w:r>
          </w:p>
        </w:tc>
        <w:tc>
          <w:tcPr>
            <w:shd w:val="clear" w:color="auto" w:fill="F4F1EC"/>
          </w:tcPr>
          <w:p>
            <w:pPr>
              <w:pStyle w:val="Compact"/>
              <w:spacing w:after="40" w:before="40"/>
              <w:jc w:val="left"/>
            </w:pPr>
            <w:r>
              <w:rPr>
                <w:rFonts w:ascii="Cambria" w:hAnsi="Cambria" w:cs="Cambria" w:eastAsia="Cambria"/>
                <w:color w:val="1A1A1A"/>
                <w:sz w:val="18"/>
              </w:rPr>
              <w:t xml:space="preserve">Costo 0,3–0,6% del FSR; margini dall’uscita dal piano di rientro; da stabilizzare il finanziamento oggi transitorio</w:t>
            </w:r>
          </w:p>
        </w:tc>
      </w:tr>
      <w:tr>
        <w:tc>
          <w:tcPr/>
          <w:p>
            <w:pPr>
              <w:pStyle w:val="Compact"/>
              <w:spacing w:after="40" w:before="40"/>
              <w:jc w:val="left"/>
            </w:pPr>
            <w:r>
              <w:rPr>
                <w:rFonts w:ascii="Cambria" w:hAnsi="Cambria" w:cs="Cambria" w:eastAsia="Cambria"/>
                <w:b/>
                <w:bCs/>
                <w:color w:val="1A1A1A"/>
                <w:sz w:val="18"/>
              </w:rPr>
              <w:t xml:space="preserve">Gestionale</w:t>
            </w:r>
          </w:p>
        </w:tc>
        <w:tc>
          <w:tcPr/>
          <w:p>
            <w:pPr>
              <w:pStyle w:val="Compact"/>
              <w:spacing w:after="40" w:before="40"/>
              <w:jc w:val="left"/>
            </w:pPr>
            <w:r>
              <w:rPr>
                <w:rFonts w:ascii="Cambria" w:hAnsi="Cambria" w:cs="Cambria" w:eastAsia="Cambria"/>
                <w:color w:val="1A1A1A"/>
                <w:sz w:val="18"/>
              </w:rPr>
              <w:t xml:space="preserve">Regia regionale di coordinamento del sistema policentrico, in assenza di azienda unica</w:t>
            </w:r>
          </w:p>
        </w:tc>
      </w:tr>
    </w:tbl>
    <w:p>
      <w:pPr>
        <w:pStyle w:val="BodyText"/>
      </w:pPr>
      <w:r>
        <w:rPr>
          <w:i/>
          <w:iCs/>
        </w:rPr>
        <w:t xml:space="preserve">Tabella I.1. I cinque casi della decisione di investimento pubblico.</w:t>
      </w:r>
    </w:p>
    <w:bookmarkEnd w:id="3151"/>
    <w:bookmarkStart w:id="3154" w:name="X530fbea8259a4f6d42023d60bced8e8da26efd0"/>
    <w:p>
      <w:pPr>
        <w:pStyle w:val="Heading3"/>
      </w:pPr>
      <w:r>
        <w:t xml:space="preserve">I.2 Il dimensionamento dal nucleo attivo e le fasi di attuazione</w:t>
      </w:r>
    </w:p>
    <w:p>
      <w:pPr>
        <w:pStyle w:val="FirstParagraph"/>
      </w:pPr>
      <w:r>
        <w:t xml:space="preserve">A differenza del Lazio, che dimensiona il servizio da zero, la Campania muove dal nucleo già attivo, dell’ordine di 146 psicologi, e lo estende verso un fabbisogno a regime dell’ordine di 1.210 psicologi nello scenario espansivo; l’estensione procede per gradi attraverso gli scenari conservativo, di base ed espansivo.</w:t>
      </w:r>
      <w:r>
        <w:rPr>
          <w:rStyle w:val="FootnoteReference"/>
        </w:rPr>
        <w:footnoteReference w:id="3289"/>
      </w:r>
      <w:r>
        <w:t xml:space="preserve"> </w:t>
      </w:r>
      <w:r>
        <w:t xml:space="preserve">L’attuazione si articola perciò in tre fasi: una fase di consolidamento del nucleo attivo e di stabilizzazione del finanziamento; una fase di estensione, nella quale la copertura si amplia progressivamente fra le Aziende; e una fase di regime, nella quale il servizio raggiunge il dimensionamento adeguato. La progressione differenziata dell’estensione fra le Aziende coincide con l’esperimento a cunei progressivi descritto nella Parte F.</w:t>
      </w:r>
      <w:r>
        <w:rPr>
          <w:rStyle w:val="FootnoteReference"/>
        </w:rPr>
        <w:footnoteReference w:id="3290"/>
      </w:r>
      <w:r>
        <w:t xml:space="preserve"> </w:t>
      </w:r>
      <w:r>
        <w:t xml:space="preserve">La tabella seguente riepiloga le fasi.</w:t>
      </w:r>
    </w:p>
    <w:tbl>
      <w:tblPr>
        <w:tblStyle w:val="Table"/>
        <w:tblW w:type="pct" w:w="491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97"/>
        <w:gridCol w:w="3793"/>
        <w:gridCol w:w="239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Dimensionamento indicativo</w:t>
            </w:r>
          </w:p>
        </w:tc>
      </w:tr>
      <w:tr>
        <w:tc>
          <w:tcPr/>
          <w:p>
            <w:pPr>
              <w:pStyle w:val="Compact"/>
              <w:spacing w:after="40" w:before="40"/>
              <w:jc w:val="left"/>
            </w:pPr>
            <w:r>
              <w:rPr>
                <w:rFonts w:ascii="Cambria" w:hAnsi="Cambria" w:cs="Cambria" w:eastAsia="Cambria"/>
                <w:b/>
                <w:bCs/>
                <w:color w:val="1A1A1A"/>
                <w:sz w:val="18"/>
              </w:rPr>
              <w:t xml:space="preserve">Consolidamento</w:t>
            </w:r>
          </w:p>
        </w:tc>
        <w:tc>
          <w:tcPr/>
          <w:p>
            <w:pPr>
              <w:pStyle w:val="Compact"/>
              <w:spacing w:after="40" w:before="40"/>
              <w:jc w:val="left"/>
            </w:pPr>
            <w:r>
              <w:rPr>
                <w:rFonts w:ascii="Cambria" w:hAnsi="Cambria" w:cs="Cambria" w:eastAsia="Cambria"/>
                <w:color w:val="1A1A1A"/>
                <w:sz w:val="18"/>
              </w:rPr>
              <w:t xml:space="preserve">Stabilizzazione del nucleo attivo e del finanziamento</w:t>
            </w:r>
          </w:p>
        </w:tc>
        <w:tc>
          <w:tcPr/>
          <w:p>
            <w:pPr>
              <w:pStyle w:val="Compact"/>
              <w:spacing w:after="40" w:before="40"/>
              <w:jc w:val="left"/>
            </w:pPr>
            <w:r>
              <w:rPr>
                <w:rFonts w:ascii="Cambria" w:hAnsi="Cambria" w:cs="Cambria" w:eastAsia="Cambria"/>
                <w:color w:val="1A1A1A"/>
                <w:sz w:val="18"/>
              </w:rPr>
              <w:t xml:space="preserve">~ 146 psicologi (nucleo attuale)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Estensione</w:t>
            </w:r>
          </w:p>
        </w:tc>
        <w:tc>
          <w:tcPr>
            <w:shd w:val="clear" w:color="auto" w:fill="F4F1EC"/>
          </w:tcPr>
          <w:p>
            <w:pPr>
              <w:pStyle w:val="Compact"/>
              <w:spacing w:after="40" w:before="40"/>
              <w:jc w:val="left"/>
            </w:pPr>
            <w:r>
              <w:rPr>
                <w:rFonts w:ascii="Cambria" w:hAnsi="Cambria" w:cs="Cambria" w:eastAsia="Cambria"/>
                <w:color w:val="1A1A1A"/>
                <w:sz w:val="18"/>
              </w:rPr>
              <w:t xml:space="preserve">Ampliamento progressivo della copertura fra le Aziende</w:t>
            </w:r>
          </w:p>
        </w:tc>
        <w:tc>
          <w:tcPr>
            <w:shd w:val="clear" w:color="auto" w:fill="F4F1EC"/>
          </w:tcPr>
          <w:p>
            <w:pPr>
              <w:pStyle w:val="Compact"/>
              <w:spacing w:after="40" w:before="40"/>
              <w:jc w:val="left"/>
            </w:pPr>
            <w:r>
              <w:rPr>
                <w:rFonts w:ascii="Cambria" w:hAnsi="Cambria" w:cs="Cambria" w:eastAsia="Cambria"/>
                <w:color w:val="1A1A1A"/>
                <w:sz w:val="18"/>
              </w:rPr>
              <w:t xml:space="preserve">verso ~ 610–910 incarichi</w:t>
            </w:r>
          </w:p>
        </w:tc>
      </w:tr>
      <w:tr>
        <w:tc>
          <w:tcPr/>
          <w:p>
            <w:pPr>
              <w:pStyle w:val="Compact"/>
              <w:spacing w:after="40" w:before="40"/>
              <w:jc w:val="left"/>
            </w:pPr>
            <w:r>
              <w:rPr>
                <w:rFonts w:ascii="Cambria" w:hAnsi="Cambria" w:cs="Cambria" w:eastAsia="Cambria"/>
                <w:b/>
                <w:bCs/>
                <w:color w:val="1A1A1A"/>
                <w:sz w:val="18"/>
              </w:rPr>
              <w:t xml:space="preserve">Regime</w:t>
            </w:r>
          </w:p>
        </w:tc>
        <w:tc>
          <w:tcPr/>
          <w:p>
            <w:pPr>
              <w:pStyle w:val="Compact"/>
              <w:spacing w:after="40" w:before="40"/>
              <w:jc w:val="left"/>
            </w:pPr>
            <w:r>
              <w:rPr>
                <w:rFonts w:ascii="Cambria" w:hAnsi="Cambria" w:cs="Cambria" w:eastAsia="Cambria"/>
                <w:color w:val="1A1A1A"/>
                <w:sz w:val="18"/>
              </w:rPr>
              <w:t xml:space="preserve">Dimensionamento adeguato al fabbisogno</w:t>
            </w:r>
          </w:p>
        </w:tc>
        <w:tc>
          <w:tcPr/>
          <w:p>
            <w:pPr>
              <w:pStyle w:val="Compact"/>
              <w:spacing w:after="40" w:before="40"/>
              <w:jc w:val="left"/>
            </w:pPr>
            <w:r>
              <w:rPr>
                <w:rFonts w:ascii="Cambria" w:hAnsi="Cambria" w:cs="Cambria" w:eastAsia="Cambria"/>
                <w:color w:val="1A1A1A"/>
                <w:sz w:val="18"/>
              </w:rPr>
              <w:t xml:space="preserve">fino a ~ 1.210 incarichi</w:t>
            </w:r>
          </w:p>
        </w:tc>
      </w:tr>
    </w:tbl>
    <w:p>
      <w:pPr>
        <w:pStyle w:val="BodyText"/>
      </w:pPr>
      <w:r>
        <w:rPr>
          <w:i/>
          <w:iCs/>
        </w:rPr>
        <w:t xml:space="preserve">Tabella I.2. Le fasi di attuazione e il dimensionamento progressivo.</w:t>
      </w:r>
    </w:p>
    <w:bookmarkEnd w:id="3154"/>
    <w:bookmarkStart w:id="3157" w:name="Xa5b4e6995283ec0a91cff8368f00b1c1affaa97"/>
    <w:p>
      <w:pPr>
        <w:pStyle w:val="Heading3"/>
      </w:pPr>
      <w:r>
        <w:t xml:space="preserve">I.3 Reclutamento, formazione e cronoprogramma</w:t>
      </w:r>
    </w:p>
    <w:p>
      <w:pPr>
        <w:pStyle w:val="FirstParagraph"/>
      </w:pPr>
      <w:r>
        <w:t xml:space="preserve">L’estensione richiede il reclutamento e la formazione dedicata degli psicologi, secondo il programma a quattro livelli; il bacino professionale ampio, il corso di abilitazione regionale e gli atenei campani costituiscono una base favorevole, e la formazione specialistica assicura l’omogeneità delle competenze.</w:t>
      </w:r>
      <w:r>
        <w:rPr>
          <w:rStyle w:val="FootnoteReference"/>
        </w:rPr>
        <w:footnoteReference w:id="3291"/>
      </w:r>
      <w:r>
        <w:t xml:space="preserve"> </w:t>
      </w:r>
      <w:r>
        <w:t xml:space="preserve">Il cronoprogramma si sviluppa su un orizzonte pluriennale, con il raggiungimento del regime in più esercizi; a differenza del Lazio, l’estensione non è subordinata all’approvazione di una legge — già in vigore — ma alla stabilizzazione del finanziamento, sicché la Campania muove da una posizione di partenza più avanzata.</w:t>
      </w:r>
      <w:r>
        <w:rPr>
          <w:rStyle w:val="FootnoteReference"/>
        </w:rPr>
        <w:footnoteReference w:id="3292"/>
      </w:r>
    </w:p>
    <w:bookmarkEnd w:id="3157"/>
    <w:bookmarkStart w:id="3161" w:name="X52adec5fbcea8ede2b34be7ab08c8f4e1b0d29a"/>
    <w:p>
      <w:pPr>
        <w:pStyle w:val="Heading3"/>
      </w:pPr>
      <w:r>
        <w:t xml:space="preserve">I.4 La sostenibilità finanziaria e organizzativa</w:t>
      </w:r>
    </w:p>
    <w:p>
      <w:pPr>
        <w:pStyle w:val="FirstParagraph"/>
      </w:pPr>
      <w:r>
        <w:t xml:space="preserve">La sostenibilità finanziaria, nella Campania, ha per leva la stabilizzazione del finanziamento — il passaggio dalle risorse transitorie del Piano Nazionale Equità in Salute a risorse regionali stabili — e il dimensionamento progressivo del servizio; i margini riacquistati con l’uscita dal piano di rientro rendono praticabile l’investimento, mentre l’eventuale riconoscimento nei livelli essenziali di assistenza ne rafforzerebbe in futuro la stabilità.</w:t>
      </w:r>
      <w:r>
        <w:rPr>
          <w:rStyle w:val="FootnoteReference"/>
        </w:rPr>
        <w:footnoteReference w:id="3293"/>
      </w:r>
      <w:r>
        <w:t xml:space="preserve"> </w:t>
      </w:r>
      <w:r>
        <w:t xml:space="preserve">La sostenibilità organizzativa dipende invece dalla capacità di garantire l’omogeneità attuativa fra le sette Aziende Sanitarie Locali in un sistema esteso e policentrico privo di un’azienda regionale unica, e quindi dalla forza della regia regionale, dal ruolo dell’Osservatorio e dalla chiarezza degli indirizzi operativi.</w:t>
      </w:r>
      <w:r>
        <w:rPr>
          <w:rStyle w:val="FootnoteReference"/>
        </w:rPr>
        <w:footnoteReference w:id="3294"/>
      </w:r>
      <w:r>
        <w:t xml:space="preserve"> </w:t>
      </w:r>
      <w:r>
        <w:t xml:space="preserve">L’avanzamento è seguito mediante indicatori di processo raccolti attraverso il flusso informativo già avviato dall’Osservatorio regionale, di cui la strutturazione deve garantire l’uniformità e la completezza.</w:t>
      </w:r>
      <w:r>
        <w:rPr>
          <w:rStyle w:val="FootnoteReference"/>
        </w:rPr>
        <w:footnoteReference w:id="3295"/>
      </w:r>
    </w:p>
    <w:bookmarkEnd w:id="3161"/>
    <w:bookmarkStart w:id="3165" w:name="i.5-i-rischi-e-le-mitigazioni-5"/>
    <w:p>
      <w:pPr>
        <w:pStyle w:val="Heading3"/>
      </w:pPr>
      <w:r>
        <w:t xml:space="preserve">I.5 I rischi e le mitigazioni</w:t>
      </w:r>
    </w:p>
    <w:p>
      <w:pPr>
        <w:pStyle w:val="FirstParagraph"/>
      </w:pPr>
      <w:r>
        <w:t xml:space="preserve">L’attuazione presenta rischi propri della posizione campana: la disomogeneità attuativa fra le Aziende in un sistema policentrico, la difficoltà di coordinamento in assenza di un’azienda unica e soprattutto la dipendenza del servizio dalle risorse transitorie del Piano Nazionale Equità in Salute, che introduce un’incertezza finanziaria fino alla stabilizzazione su risorse regionali.</w:t>
      </w:r>
      <w:r>
        <w:rPr>
          <w:rStyle w:val="FootnoteReference"/>
        </w:rPr>
        <w:footnoteReference w:id="3296"/>
      </w:r>
      <w:r>
        <w:t xml:space="preserve"> </w:t>
      </w:r>
      <w:r>
        <w:t xml:space="preserve">Tali rischi sono fronteggiati con una regia regionale forte e indirizzi operativi uniformi, con la progressione differenziata dell’estensione che consente un apprendimento progressivo, e con un’allocazione pro-equità che orienta l’estensione verso le aree a maggiore bisogno; la stabilizzazione del finanziamento e il sostegno dell’Ordine professionale concorrono a ridurre l’incertezza.</w:t>
      </w:r>
      <w:r>
        <w:rPr>
          <w:rStyle w:val="FootnoteReference"/>
        </w:rPr>
        <w:footnoteReference w:id="3297"/>
      </w:r>
      <w:r>
        <w:t xml:space="preserve"> </w:t>
      </w:r>
      <w:r>
        <w:t xml:space="preserve">La sintesi è che l’intervento è attuabile e sostenibile, e che la leva propria della Campania è la stabilizzazione del finanziamento e l’estensione dimensionata di un servizio già attivo: la regione muove da un nucleo già operativo, da un bacino professionale ampio e dai margini riacquistati con l’uscita dal piano di rientro, sicché le condizioni di fattibilità sono complessivamente favorevoli.</w:t>
      </w:r>
      <w:r>
        <w:rPr>
          <w:rStyle w:val="FootnoteReference"/>
        </w:rPr>
        <w:footnoteReference w:id="3298"/>
      </w:r>
      <w:r>
        <w:t xml:space="preserve"> </w:t>
      </w:r>
      <w:r>
        <w:t xml:space="preserve">La tabella seguente riepiloga i rischi e le relative mitigazioni; la parte che segue affronta il monitoraggio e la valutazione ex post.</w:t>
      </w:r>
    </w:p>
    <w:tbl>
      <w:tblPr>
        <w:tblStyle w:val="Table"/>
        <w:tblW w:type="pct" w:w="493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693"/>
        <w:gridCol w:w="511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Mitigazione</w:t>
            </w:r>
          </w:p>
        </w:tc>
      </w:tr>
      <w:tr>
        <w:tc>
          <w:tcPr/>
          <w:p>
            <w:pPr>
              <w:pStyle w:val="Compact"/>
              <w:spacing w:after="40" w:before="40"/>
              <w:jc w:val="left"/>
            </w:pPr>
            <w:r>
              <w:rPr>
                <w:rFonts w:ascii="Cambria" w:hAnsi="Cambria" w:cs="Cambria" w:eastAsia="Cambria"/>
                <w:b/>
                <w:bCs/>
                <w:color w:val="1A1A1A"/>
                <w:sz w:val="18"/>
              </w:rPr>
              <w:t xml:space="preserve">Disomogeneità attuativa fra le Aziende</w:t>
            </w:r>
          </w:p>
        </w:tc>
        <w:tc>
          <w:tcPr/>
          <w:p>
            <w:pPr>
              <w:pStyle w:val="Compact"/>
              <w:spacing w:after="40" w:before="40"/>
              <w:jc w:val="left"/>
            </w:pPr>
            <w:r>
              <w:rPr>
                <w:rFonts w:ascii="Cambria" w:hAnsi="Cambria" w:cs="Cambria" w:eastAsia="Cambria"/>
                <w:color w:val="1A1A1A"/>
                <w:sz w:val="18"/>
              </w:rPr>
              <w:t xml:space="preserve">Regia regionale forte; indirizzi operativi uniformi; monitoraggio comune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Coordinamento senza azienda unica</w:t>
            </w:r>
          </w:p>
        </w:tc>
        <w:tc>
          <w:tcPr>
            <w:shd w:val="clear" w:color="auto" w:fill="F4F1EC"/>
          </w:tcPr>
          <w:p>
            <w:pPr>
              <w:pStyle w:val="Compact"/>
              <w:spacing w:after="40" w:before="40"/>
              <w:jc w:val="left"/>
            </w:pPr>
            <w:r>
              <w:rPr>
                <w:rFonts w:ascii="Cambria" w:hAnsi="Cambria" w:cs="Cambria" w:eastAsia="Cambria"/>
                <w:color w:val="1A1A1A"/>
                <w:sz w:val="18"/>
              </w:rPr>
              <w:t xml:space="preserve">Regia diretta della Regione; sistema informativo uniforme progettato dall’inizio</w:t>
            </w:r>
          </w:p>
        </w:tc>
      </w:tr>
      <w:tr>
        <w:tc>
          <w:tcPr/>
          <w:p>
            <w:pPr>
              <w:pStyle w:val="Compact"/>
              <w:spacing w:after="40" w:before="40"/>
              <w:jc w:val="left"/>
            </w:pPr>
            <w:r>
              <w:rPr>
                <w:rFonts w:ascii="Cambria" w:hAnsi="Cambria" w:cs="Cambria" w:eastAsia="Cambria"/>
                <w:b/>
                <w:bCs/>
                <w:color w:val="1A1A1A"/>
                <w:sz w:val="18"/>
              </w:rPr>
              <w:t xml:space="preserve">Dipendenza dalle risorse transitorie (PNES)</w:t>
            </w:r>
          </w:p>
        </w:tc>
        <w:tc>
          <w:tcPr/>
          <w:p>
            <w:pPr>
              <w:pStyle w:val="Compact"/>
              <w:spacing w:after="40" w:before="40"/>
              <w:jc w:val="left"/>
            </w:pPr>
            <w:r>
              <w:rPr>
                <w:rFonts w:ascii="Cambria" w:hAnsi="Cambria" w:cs="Cambria" w:eastAsia="Cambria"/>
                <w:color w:val="1A1A1A"/>
                <w:sz w:val="18"/>
              </w:rPr>
              <w:t xml:space="preserve">Stabilizzazione su risorse regionali; disegno per fasi; sostegno dell’Ordine professionale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Allocazione non equa nell’estensione</w:t>
            </w:r>
          </w:p>
        </w:tc>
        <w:tc>
          <w:tcPr>
            <w:shd w:val="clear" w:color="auto" w:fill="F4F1EC"/>
          </w:tcPr>
          <w:p>
            <w:pPr>
              <w:pStyle w:val="Compact"/>
              <w:spacing w:after="40" w:before="40"/>
              <w:jc w:val="left"/>
            </w:pPr>
            <w:r>
              <w:rPr>
                <w:rFonts w:ascii="Cambria" w:hAnsi="Cambria" w:cs="Cambria" w:eastAsia="Cambria"/>
                <w:color w:val="1A1A1A"/>
                <w:sz w:val="18"/>
              </w:rPr>
              <w:t xml:space="preserve">Criteri di equità espliciti; estensione pro-equità verso periferie napoletane e aree interne</w:t>
            </w:r>
          </w:p>
        </w:tc>
      </w:tr>
    </w:tbl>
    <w:p>
      <w:pPr>
        <w:pStyle w:val="BodyText"/>
      </w:pPr>
      <w:r>
        <w:rPr>
          <w:i/>
          <w:iCs/>
        </w:rPr>
        <w:t xml:space="preserve">Tabella I.3. I rischi dell</w:t>
      </w:r>
      <w:r>
        <w:rPr>
          <w:b/>
          <w:bCs/>
          <w:i/>
          <w:iCs/>
        </w:rPr>
        <w:t xml:space="preserve">’</w:t>
      </w:r>
      <w:r>
        <w:rPr>
          <w:i/>
          <w:iCs/>
        </w:rPr>
        <w:t xml:space="preserve">attuazione e le relative mitigazioni.</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prospettico, batteria di indicatori, cruscotto regionale e clausola valutativa</w:t>
      </w:r>
    </w:p>
    <w:p>
      <w:pPr>
        <w:pStyle w:val="BodyText"/>
      </w:pPr>
      <w:r>
        <w:t xml:space="preserve">Inferenza causale quasi-sperimentale · la valutazione ex post</w:t>
      </w:r>
    </w:p>
    <w:bookmarkEnd w:id="3165"/>
    <w:bookmarkEnd w:id="3166"/>
    <w:bookmarkStart w:id="3209" w:name="Xbf6867c5838d595d7d8084f2303ca4887104cd5"/>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 Campania è che, essendo il servizio già attivo, la valutazione può fondarsi su dati operativi reali già disponibili, e la clausola valutativa — già prevista dalla legge — va rafforzata e resa operativa anziché introdotta.</w:t>
      </w:r>
    </w:p>
    <w:bookmarkStart w:id="3187" w:name="X982aff1b73998333f92bd20b1b3f9935770e3ac"/>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3299"/>
      </w:r>
      <w:r>
        <w:rPr>
          <w:rStyle w:val="FootnoteReference"/>
        </w:rPr>
        <w:footnoteReference w:id="3300"/>
      </w:r>
      <w:r>
        <w:rPr>
          <w:rStyle w:val="FootnoteReference"/>
        </w:rPr>
        <w:footnoteReference w:id="3301"/>
      </w:r>
      <w:r>
        <w:rPr>
          <w:rStyle w:val="FootnoteReference"/>
        </w:rPr>
        <w:footnoteReference w:id="3302"/>
      </w:r>
      <w:r>
        <w:rPr>
          <w:rStyle w:val="FootnoteReference"/>
        </w:rPr>
        <w:footnoteReference w:id="3303"/>
      </w:r>
      <w:r>
        <w:rPr>
          <w:rStyle w:val="FootnoteReference"/>
        </w:rPr>
        <w:footnoteReference w:id="3304"/>
      </w:r>
      <w:r>
        <w:rPr>
          <w:rStyle w:val="FootnoteReference"/>
        </w:rPr>
        <w:footnoteReference w:id="3305"/>
      </w:r>
      <w:r>
        <w:rPr>
          <w:rStyle w:val="FootnoteReference"/>
        </w:rPr>
        <w:footnoteReference w:id="3306"/>
      </w:r>
      <w:r>
        <w:rPr>
          <w:rStyle w:val="FootnoteReference"/>
        </w:rPr>
        <w:footnoteReference w:id="3307"/>
      </w:r>
      <w:r>
        <w:rPr>
          <w:rStyle w:val="FootnoteReference"/>
        </w:rPr>
        <w:footnoteReference w:id="3308"/>
      </w:r>
      <w:r>
        <w:rPr>
          <w:rStyle w:val="FootnoteReference"/>
        </w:rPr>
        <w:footnoteReference w:id="3309"/>
      </w:r>
      <w:r>
        <w:rPr>
          <w:rStyle w:val="FootnoteReference"/>
        </w:rPr>
        <w:footnoteReference w:id="3310"/>
      </w:r>
      <w:r>
        <w:rPr>
          <w:rStyle w:val="FootnoteReference"/>
        </w:rPr>
        <w:footnoteReference w:id="3311"/>
      </w:r>
      <w:r>
        <w:rPr>
          <w:rStyle w:val="FootnoteReference"/>
        </w:rPr>
        <w:footnoteReference w:id="3312"/>
      </w:r>
      <w:r>
        <w:rPr>
          <w:rStyle w:val="FootnoteReference"/>
        </w:rPr>
        <w:footnoteReference w:id="3313"/>
      </w:r>
      <w:r>
        <w:rPr>
          <w:rStyle w:val="FootnoteReference"/>
        </w:rPr>
        <w:footnoteReference w:id="3314"/>
      </w:r>
      <w:r>
        <w:rPr>
          <w:rStyle w:val="FootnoteReference"/>
        </w:rPr>
        <w:footnoteReference w:id="3315"/>
      </w:r>
      <w:r>
        <w:rPr>
          <w:rStyle w:val="FootnoteReference"/>
        </w:rPr>
        <w:footnoteReference w:id="3316"/>
      </w:r>
      <w:r>
        <w:rPr>
          <w:rStyle w:val="FootnoteReference"/>
        </w:rPr>
        <w:footnoteReference w:id="3317"/>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3318"/>
      </w:r>
    </w:p>
    <w:bookmarkEnd w:id="3187"/>
    <w:bookmarkStart w:id="3191" w:name="X1841734e6f6309b8cd5e0517f8fcbe905a9822b"/>
    <w:p>
      <w:pPr>
        <w:pStyle w:val="Heading3"/>
      </w:pPr>
      <w:r>
        <w:t xml:space="preserve">L.2 Il disegno controfattuale e i metodi</w:t>
      </w:r>
    </w:p>
    <w:p>
      <w:pPr>
        <w:pStyle w:val="FirstParagraph"/>
      </w:pPr>
      <w:r>
        <w:t xml:space="preserve">Il disegno della valutazione d’impatto costituisce, per la Campania, un punto di forza dello studio. Poiché il servizio è già attivo ma in corso di estensione, la valutazione può fondarsi su un esperimento a cunei progressivi, nel quale l’ordine e i tempi di estensione delle sedi tra le sette Aziende Sanitarie Locali — che hanno avviato il servizio in tempi differenziati — sono impiegati a fini valutativi, con il servizio già in funzione come linea di base.</w:t>
      </w:r>
      <w:r>
        <w:rPr>
          <w:rStyle w:val="FootnoteReference"/>
        </w:rPr>
        <w:footnoteReference w:id="3319"/>
      </w:r>
      <w:r>
        <w:t xml:space="preserve"> </w:t>
      </w:r>
      <w:r>
        <w:t xml:space="preserve">A differenza del Lazio, la regione non dispone di una linea di base anteriore all’avvio per le aree già servite, ma il diverso grado di estensione fra le Aziende e i dati operativi già raccolti consentono di costruire termini di confronto interni, ancorando la stima a dati reali.</w:t>
      </w:r>
      <w:r>
        <w:rPr>
          <w:rStyle w:val="FootnoteReference"/>
        </w:rPr>
        <w:footnoteReference w:id="3320"/>
      </w:r>
      <w:r>
        <w:t xml:space="preserve"> </w:t>
      </w:r>
      <w:r>
        <w:t xml:space="preserve">L’effetto causale è stimato con la differenza-nelle-differenze e con il metodo del controllo sintetico, con la progressione differenziata dell’estensione a fornire la variazione necessaria all’identificazione.</w:t>
      </w:r>
      <w:r>
        <w:rPr>
          <w:rStyle w:val="FootnoteReference"/>
        </w:rPr>
        <w:footnoteReference w:id="3321"/>
      </w:r>
    </w:p>
    <w:bookmarkEnd w:id="3191"/>
    <w:bookmarkStart w:id="3201" w:name="l.3-la-batteria-degli-indicatori-4"/>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3322"/>
      </w:r>
      <w:r>
        <w:t xml:space="preserve"> </w:t>
      </w:r>
      <w:r>
        <w:t xml:space="preserve">Gli indicatori di processo misurano il funzionamento — prese in carico, attesa, colloqui, invio appropriato.</w:t>
      </w:r>
      <w:r>
        <w:rPr>
          <w:rStyle w:val="FootnoteReference"/>
        </w:rPr>
        <w:footnoteReference w:id="3323"/>
      </w:r>
      <w:r>
        <w:t xml:space="preserve"> </w:t>
      </w:r>
      <w:r>
        <w:t xml:space="preserve">Gli indicatori di esito clinico misurano il beneficio diretto — miglioramento, recupero, remissione.</w:t>
      </w:r>
      <w:r>
        <w:rPr>
          <w:rStyle w:val="FootnoteReference"/>
        </w:rPr>
        <w:footnoteReference w:id="3324"/>
      </w:r>
      <w:r>
        <w:t xml:space="preserve"> </w:t>
      </w:r>
      <w:r>
        <w:t xml:space="preserve">Gli indicatori di esito di sistema misurano l’effetto sul resto del sistema — pronto soccorso, psicofarmaci, ricoveri.</w:t>
      </w:r>
      <w:r>
        <w:rPr>
          <w:rStyle w:val="FootnoteReference"/>
        </w:rPr>
        <w:footnoteReference w:id="3325"/>
      </w:r>
      <w:r>
        <w:t xml:space="preserve"> </w:t>
      </w:r>
      <w:r>
        <w:t xml:space="preserve">Gli indicatori economici consentono di verificare ex post le stime e di sostituire i valori ricostruiti con quelli effettivi.</w:t>
      </w:r>
      <w:r>
        <w:rPr>
          <w:rStyle w:val="FootnoteReference"/>
        </w:rPr>
        <w:footnoteReference w:id="3326"/>
      </w:r>
      <w:r>
        <w:t xml:space="preserve"> </w:t>
      </w:r>
      <w:r>
        <w:t xml:space="preserve">Gli indicatori di equità, disaggregati per area e per fasce di età, verificano che il servizio riduca i divari fra centro e periferie napoletane e fra area metropolitana e province interne, con attenzione al disagio giovanile.</w:t>
      </w:r>
      <w:r>
        <w:rPr>
          <w:rStyle w:val="FootnoteReference"/>
        </w:rPr>
        <w:footnoteReference w:id="3327"/>
      </w:r>
      <w:r>
        <w:t xml:space="preserve"> </w:t>
      </w:r>
      <w:r>
        <w:t xml:space="preserve">Gli indicatori di qualità integrano la misurazione con la dimensione dell’esperienza.</w:t>
      </w:r>
      <w:r>
        <w:rPr>
          <w:rStyle w:val="FootnoteReference"/>
        </w:rPr>
        <w:footnoteReference w:id="3328"/>
      </w:r>
      <w:r>
        <w:t xml:space="preserve"> </w:t>
      </w:r>
      <w:r>
        <w:t xml:space="preserve">Gli indicatori di mobilità, infine, sono monitorati ma costituiscono un esito atteso solo modesto, limitato alla frazione territorialmente intercettabile.</w:t>
      </w:r>
      <w:r>
        <w:rPr>
          <w:rStyle w:val="FootnoteReference"/>
        </w:rPr>
        <w:footnoteReference w:id="3329"/>
      </w:r>
      <w:r>
        <w:t xml:space="preserve"> </w:t>
      </w:r>
      <w:r>
        <w:t xml:space="preserve">L’insieme conta dell’ordine di cinquantotto indicatori in otto categorie, ciascuno con definizione, fonte, frequenza e responsabile.</w:t>
      </w:r>
      <w:r>
        <w:rPr>
          <w:rStyle w:val="FootnoteReference"/>
        </w:rPr>
        <w:footnoteReference w:id="3330"/>
      </w:r>
      <w:r>
        <w:t xml:space="preserve"> </w:t>
      </w:r>
      <w:r>
        <w:t xml:space="preserve">La tabella seguente riepiloga le categorie.</w:t>
      </w:r>
    </w:p>
    <w:tbl>
      <w:tblPr>
        <w:tblStyle w:val="Table"/>
        <w:tblW w:type="pct" w:w="492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81"/>
        <w:gridCol w:w="572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(dell’ordine di 58 indicatori complessivi)</w:t>
            </w:r>
          </w:p>
        </w:tc>
      </w:tr>
      <w:tr>
        <w:tc>
          <w:tcPr/>
          <w:p>
            <w:pPr>
              <w:pStyle w:val="Compact"/>
              <w:spacing w:after="40" w:before="40"/>
              <w:jc w:val="left"/>
            </w:pPr>
            <w:r>
              <w:rPr>
                <w:rFonts w:ascii="Cambria" w:hAnsi="Cambria" w:cs="Cambria" w:eastAsia="Cambria"/>
                <w:b/>
                <w:bCs/>
                <w:color w:val="1A1A1A"/>
                <w:sz w:val="18"/>
              </w:rPr>
              <w:t xml:space="preserve">Struttura</w:t>
            </w:r>
          </w:p>
        </w:tc>
        <w:tc>
          <w:tcPr/>
          <w:p>
            <w:pPr>
              <w:pStyle w:val="Compact"/>
              <w:spacing w:after="40" w:before="40"/>
              <w:jc w:val="left"/>
            </w:pPr>
            <w:r>
              <w:rPr>
                <w:rFonts w:ascii="Cambria" w:hAnsi="Cambria" w:cs="Cambria" w:eastAsia="Cambria"/>
                <w:color w:val="1A1A1A"/>
                <w:sz w:val="18"/>
              </w:rPr>
              <w:t xml:space="preserve">Sedi attivate, incarichi, ore, dotazione, copertura del fabbisogno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Processo</w:t>
            </w:r>
          </w:p>
        </w:tc>
        <w:tc>
          <w:tcPr>
            <w:shd w:val="clear" w:color="auto" w:fill="F4F1EC"/>
          </w:tcPr>
          <w:p>
            <w:pPr>
              <w:pStyle w:val="Compact"/>
              <w:spacing w:after="40" w:before="40"/>
              <w:jc w:val="left"/>
            </w:pPr>
            <w:r>
              <w:rPr>
                <w:rFonts w:ascii="Cambria" w:hAnsi="Cambria" w:cs="Cambria" w:eastAsia="Cambria"/>
                <w:color w:val="1A1A1A"/>
                <w:sz w:val="18"/>
              </w:rPr>
              <w:t xml:space="preserve">Prese in carico, attesa al primo colloquio, colloqui per persona, invio appropriato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Miglioramento, recupero, remissione (strumenti validati, punteggi complessivi)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psicofarmaci, ricoveri evitabili, specialistica impropria</w:t>
            </w:r>
          </w:p>
        </w:tc>
      </w:tr>
      <w:tr>
        <w:tc>
          <w:tcPr/>
          <w:p>
            <w:pPr>
              <w:pStyle w:val="Compact"/>
              <w:spacing w:after="40" w:before="40"/>
              <w:jc w:val="left"/>
            </w:pPr>
            <w:r>
              <w:rPr>
                <w:rFonts w:ascii="Cambria" w:hAnsi="Cambria" w:cs="Cambria" w:eastAsia="Cambria"/>
                <w:b/>
                <w:bCs/>
                <w:color w:val="1A1A1A"/>
                <w:sz w:val="18"/>
              </w:rPr>
              <w:t xml:space="preserve">Economici</w:t>
            </w:r>
          </w:p>
        </w:tc>
        <w:tc>
          <w:tcPr/>
          <w:p>
            <w:pPr>
              <w:pStyle w:val="Compact"/>
              <w:spacing w:after="40" w:before="40"/>
              <w:jc w:val="left"/>
            </w:pPr>
            <w:r>
              <w:rPr>
                <w:rFonts w:ascii="Cambria" w:hAnsi="Cambria" w:cs="Cambria" w:eastAsia="Cambria"/>
                <w:color w:val="1A1A1A"/>
                <w:sz w:val="18"/>
              </w:rPr>
              <w:t xml:space="preserve">Costo, risparmi diretti, ricadute sociali, rapporto beneficio-costo su dati reali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Copertura e accesso per area (centro, periferie napoletane, province interne) e per fasce di età</w:t>
            </w:r>
          </w:p>
        </w:tc>
      </w:tr>
      <w:tr>
        <w:tc>
          <w:tcPr/>
          <w:p>
            <w:pPr>
              <w:pStyle w:val="Compact"/>
              <w:spacing w:after="40" w:before="40"/>
              <w:jc w:val="left"/>
            </w:pPr>
            <w:r>
              <w:rPr>
                <w:rFonts w:ascii="Cambria" w:hAnsi="Cambria" w:cs="Cambria" w:eastAsia="Cambria"/>
                <w:b/>
                <w:bCs/>
                <w:color w:val="1A1A1A"/>
                <w:sz w:val="18"/>
              </w:rPr>
              <w:t xml:space="preserve">Qualità</w:t>
            </w:r>
          </w:p>
        </w:tc>
        <w:tc>
          <w:tcPr/>
          <w:p>
            <w:pPr>
              <w:pStyle w:val="Compact"/>
              <w:spacing w:after="40" w:before="40"/>
              <w:jc w:val="left"/>
            </w:pPr>
            <w:r>
              <w:rPr>
                <w:rFonts w:ascii="Cambria" w:hAnsi="Cambria" w:cs="Cambria" w:eastAsia="Cambria"/>
                <w:color w:val="1A1A1A"/>
                <w:sz w:val="18"/>
              </w:rPr>
              <w:t xml:space="preserve">Soddisfazione, appropriatezza, continuità del rapporto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w:t>
            </w:r>
          </w:p>
        </w:tc>
        <w:tc>
          <w:tcPr>
            <w:shd w:val="clear" w:color="auto" w:fill="F4F1EC"/>
          </w:tcPr>
          <w:p>
            <w:pPr>
              <w:pStyle w:val="Compact"/>
              <w:spacing w:after="40" w:before="40"/>
              <w:jc w:val="left"/>
            </w:pPr>
            <w:r>
              <w:rPr>
                <w:rFonts w:ascii="Cambria" w:hAnsi="Cambria" w:cs="Cambria" w:eastAsia="Cambria"/>
                <w:color w:val="1A1A1A"/>
                <w:sz w:val="18"/>
              </w:rPr>
              <w:t xml:space="preserve">Monitorata; esito atteso modesto (sola frazione territorialmente intercettabile)</w:t>
            </w:r>
          </w:p>
        </w:tc>
      </w:tr>
    </w:tbl>
    <w:p>
      <w:pPr>
        <w:pStyle w:val="BodyText"/>
      </w:pPr>
      <w:r>
        <w:rPr>
          <w:i/>
          <w:iCs/>
        </w:rPr>
        <w:t xml:space="preserve">Tabella L.1. Le otto categorie della batteria di indicatori.</w:t>
      </w:r>
    </w:p>
    <w:bookmarkEnd w:id="3201"/>
    <w:bookmarkStart w:id="3206" w:name="Xb375d01f7e34f46c3acbb08c8d922a457a4cb85"/>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 Regione e all’Osservatorio regionale, che ne assicurano l’alimentazione uniforme da parte delle sette Aziende.</w:t>
      </w:r>
      <w:r>
        <w:rPr>
          <w:rStyle w:val="FootnoteReference"/>
        </w:rPr>
        <w:footnoteReference w:id="3331"/>
      </w:r>
      <w:r>
        <w:t xml:space="preserve"> </w:t>
      </w:r>
      <w:r>
        <w:t xml:space="preserve">Lo strumento attraverso cui il monitoraggio diventa vincolante è la clausola valutativa; a differenza del Lazio, la Campania dispone già di una previsione di rendicontazione nella legge regionale 35 del 2020 e nell’Osservatorio, sicché il compito non è introdurla ma rafforzarla e renderla pienamente operativa.</w:t>
      </w:r>
      <w:r>
        <w:rPr>
          <w:rStyle w:val="FootnoteReference"/>
        </w:rPr>
        <w:footnoteReference w:id="3332"/>
      </w:r>
      <w:r>
        <w:t xml:space="preserve"> </w:t>
      </w:r>
      <w:r>
        <w:t xml:space="preserve">La raccolta dei dati poggia sul flusso informativo già avviato dall’Osservatorio, da consolidare e rendere interoperabile con la piattaforma informativa sanitaria regionale.</w:t>
      </w:r>
      <w:r>
        <w:rPr>
          <w:rStyle w:val="FootnoteReference"/>
        </w:rPr>
        <w:footnoteReference w:id="3333"/>
      </w:r>
      <w:r>
        <w:t xml:space="preserve"> </w:t>
      </w:r>
      <w:r>
        <w:t xml:space="preserve">La valutazione si articola infine in un monitoraggio in itinere, che accompagna l’estensione, e in una valutazione ex post a regime.</w:t>
      </w:r>
      <w:r>
        <w:rPr>
          <w:rStyle w:val="FootnoteReference"/>
        </w:rPr>
        <w:footnoteReference w:id="3334"/>
      </w:r>
      <w:r>
        <w:t xml:space="preserve"> </w:t>
      </w:r>
      <w:r>
        <w:t xml:space="preserve">La tabella seguente riepiloga la governance valutativa.</w:t>
      </w:r>
    </w:p>
    <w:tbl>
      <w:tblPr>
        <w:tblStyle w:val="Table"/>
        <w:tblW w:type="pct" w:w="493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6"/>
        <w:gridCol w:w="549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governance valutativa</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la Campania</w:t>
            </w:r>
          </w:p>
        </w:tc>
      </w:tr>
      <w:tr>
        <w:tc>
          <w:tcPr/>
          <w:p>
            <w:pPr>
              <w:pStyle w:val="Compact"/>
              <w:spacing w:after="40" w:before="40"/>
              <w:jc w:val="left"/>
            </w:pPr>
            <w:r>
              <w:rPr>
                <w:rFonts w:ascii="Cambria" w:hAnsi="Cambria" w:cs="Cambria" w:eastAsia="Cambria"/>
                <w:b/>
                <w:bCs/>
                <w:color w:val="1A1A1A"/>
                <w:sz w:val="18"/>
              </w:rPr>
              <w:t xml:space="preserve">Disegno d’impatto</w:t>
            </w:r>
          </w:p>
        </w:tc>
        <w:tc>
          <w:tcPr/>
          <w:p>
            <w:pPr>
              <w:pStyle w:val="Compact"/>
              <w:spacing w:after="40" w:before="40"/>
              <w:jc w:val="left"/>
            </w:pPr>
            <w:r>
              <w:rPr>
                <w:rFonts w:ascii="Cambria" w:hAnsi="Cambria" w:cs="Cambria" w:eastAsia="Cambria"/>
                <w:color w:val="1A1A1A"/>
                <w:sz w:val="18"/>
              </w:rPr>
              <w:t xml:space="preserve">Esperimento a cunei progressivi tra le sette Aziende, con servizio attivo come linea di base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Linea di base</w:t>
            </w:r>
          </w:p>
        </w:tc>
        <w:tc>
          <w:tcPr>
            <w:shd w:val="clear" w:color="auto" w:fill="F4F1EC"/>
          </w:tcPr>
          <w:p>
            <w:pPr>
              <w:pStyle w:val="Compact"/>
              <w:spacing w:after="40" w:before="40"/>
              <w:jc w:val="left"/>
            </w:pPr>
            <w:r>
              <w:rPr>
                <w:rFonts w:ascii="Cambria" w:hAnsi="Cambria" w:cs="Cambria" w:eastAsia="Cambria"/>
                <w:color w:val="1A1A1A"/>
                <w:sz w:val="18"/>
              </w:rPr>
              <w:t xml:space="preserve">Dati operativi reali già disponibili e progressione differenziata fra le Aziende</w:t>
            </w:r>
          </w:p>
        </w:tc>
      </w:tr>
      <w:tr>
        <w:tc>
          <w:tcPr/>
          <w:p>
            <w:pPr>
              <w:pStyle w:val="Compact"/>
              <w:spacing w:after="40" w:before="40"/>
              <w:jc w:val="left"/>
            </w:pPr>
            <w:r>
              <w:rPr>
                <w:rFonts w:ascii="Cambria" w:hAnsi="Cambria" w:cs="Cambria" w:eastAsia="Cambria"/>
                <w:b/>
                <w:bCs/>
                <w:color w:val="1A1A1A"/>
                <w:sz w:val="18"/>
              </w:rPr>
              <w:t xml:space="preserve">Titolarità del cruscotto</w:t>
            </w:r>
          </w:p>
        </w:tc>
        <w:tc>
          <w:tcPr/>
          <w:p>
            <w:pPr>
              <w:pStyle w:val="Compact"/>
              <w:spacing w:after="40" w:before="40"/>
              <w:jc w:val="left"/>
            </w:pPr>
            <w:r>
              <w:rPr>
                <w:rFonts w:ascii="Cambria" w:hAnsi="Cambria" w:cs="Cambria" w:eastAsia="Cambria"/>
                <w:color w:val="1A1A1A"/>
                <w:sz w:val="18"/>
              </w:rPr>
              <w:t xml:space="preserve">Regione e Osservatorio regionale, con alimentazione uniforme dalle sette Aziende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Già prevista dalla legge 35/2020; da rafforzare e rendere operativa; relazione al Consiglio</w:t>
            </w:r>
          </w:p>
        </w:tc>
      </w:tr>
      <w:tr>
        <w:tc>
          <w:tcPr/>
          <w:p>
            <w:pPr>
              <w:pStyle w:val="Compact"/>
              <w:spacing w:after="40" w:before="40"/>
              <w:jc w:val="left"/>
            </w:pPr>
            <w:r>
              <w:rPr>
                <w:rFonts w:ascii="Cambria" w:hAnsi="Cambria" w:cs="Cambria" w:eastAsia="Cambria"/>
                <w:b/>
                <w:bCs/>
                <w:color w:val="1A1A1A"/>
                <w:sz w:val="18"/>
              </w:rPr>
              <w:t xml:space="preserve">Flusso informativo</w:t>
            </w:r>
          </w:p>
        </w:tc>
        <w:tc>
          <w:tcPr/>
          <w:p>
            <w:pPr>
              <w:pStyle w:val="Compact"/>
              <w:spacing w:after="40" w:before="40"/>
              <w:jc w:val="left"/>
            </w:pPr>
            <w:r>
              <w:rPr>
                <w:rFonts w:ascii="Cambria" w:hAnsi="Cambria" w:cs="Cambria" w:eastAsia="Cambria"/>
                <w:color w:val="1A1A1A"/>
                <w:sz w:val="18"/>
              </w:rPr>
              <w:t xml:space="preserve">Già avviato dall’Osservatorio; da consolidare e rendere interoperabile con la piattaforma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Tempi</w:t>
            </w:r>
          </w:p>
        </w:tc>
        <w:tc>
          <w:tcPr>
            <w:shd w:val="clear" w:color="auto" w:fill="F4F1EC"/>
          </w:tcPr>
          <w:p>
            <w:pPr>
              <w:pStyle w:val="Compact"/>
              <w:spacing w:after="40" w:before="40"/>
              <w:jc w:val="left"/>
            </w:pPr>
            <w:r>
              <w:rPr>
                <w:rFonts w:ascii="Cambria" w:hAnsi="Cambria" w:cs="Cambria" w:eastAsia="Cambria"/>
                <w:color w:val="1A1A1A"/>
                <w:sz w:val="18"/>
              </w:rPr>
              <w:t xml:space="preserve">In itinere (accompagnamento dell’estensione) ed ex post (effetto a regime)</w:t>
            </w:r>
          </w:p>
        </w:tc>
      </w:tr>
    </w:tbl>
    <w:p>
      <w:pPr>
        <w:pStyle w:val="BodyText"/>
      </w:pPr>
      <w:r>
        <w:rPr>
          <w:i/>
          <w:iCs/>
        </w:rPr>
        <w:t xml:space="preserve">Tabella L.2. La governance della valutazione e il cruscotto regionale.</w:t>
      </w:r>
    </w:p>
    <w:bookmarkEnd w:id="3206"/>
    <w:bookmarkStart w:id="3208" w:name="l.5-sintesi-del-monitoraggio-4"/>
    <w:p>
      <w:pPr>
        <w:pStyle w:val="Heading3"/>
      </w:pPr>
      <w:r>
        <w:t xml:space="preserve">L.5 Sintesi del monitoraggio</w:t>
      </w:r>
    </w:p>
    <w:p>
      <w:pPr>
        <w:pStyle w:val="FirstParagraph"/>
      </w:pPr>
      <w:r>
        <w:t xml:space="preserve">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r>
        <w:rPr>
          <w:rStyle w:val="FootnoteReference"/>
        </w:rPr>
        <w:footnoteReference w:id="3335"/>
      </w:r>
      <w:r>
        <w:t xml:space="preserve"> </w:t>
      </w:r>
      <w:r>
        <w:t xml:space="preserve">Definito il sistema di monitoraggio, la parte conclusiva compone i risultati dei diversi domini in una sintesi multidimensionale e formula le raccomandazioni.</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3208"/>
    <w:bookmarkEnd w:id="3209"/>
    <w:bookmarkStart w:id="3246" w:name="X40d79cd8f42d628ef20fc3ba5e5ffc2efba0f3b"/>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 Campania.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 Campania percorre l’intera sintesi: è la regione pioniera, prima d’Italia ad aver istituito il servizio per legge, e che, nona della serie, è chiamata non a istituire un servizio, ma a strutturarlo a regime, consolidando un primato normativo in un servizio stabile.</w:t>
      </w:r>
    </w:p>
    <w:bookmarkStart w:id="3227" w:name="m.1-la-sintesi-per-dominio-6"/>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3336"/>
      </w:r>
      <w:r>
        <w:rPr>
          <w:rStyle w:val="FootnoteReference"/>
        </w:rPr>
        <w:footnoteReference w:id="3337"/>
      </w:r>
      <w:r>
        <w:rPr>
          <w:rStyle w:val="FootnoteReference"/>
        </w:rPr>
        <w:footnoteReference w:id="3338"/>
      </w:r>
      <w:r>
        <w:rPr>
          <w:rStyle w:val="FootnoteReference"/>
        </w:rPr>
        <w:footnoteReference w:id="3339"/>
      </w:r>
      <w:r>
        <w:rPr>
          <w:rStyle w:val="FootnoteReference"/>
        </w:rPr>
        <w:footnoteReference w:id="3340"/>
      </w:r>
      <w:r>
        <w:rPr>
          <w:rStyle w:val="FootnoteReference"/>
        </w:rPr>
        <w:footnoteReference w:id="3341"/>
      </w:r>
      <w:r>
        <w:rPr>
          <w:rStyle w:val="FootnoteReference"/>
        </w:rPr>
        <w:footnoteReference w:id="3342"/>
      </w:r>
      <w:r>
        <w:rPr>
          <w:rStyle w:val="FootnoteReference"/>
        </w:rPr>
        <w:footnoteReference w:id="3343"/>
      </w:r>
      <w:r>
        <w:rPr>
          <w:rStyle w:val="FootnoteReference"/>
        </w:rPr>
        <w:footnoteReference w:id="3344"/>
      </w:r>
      <w:r>
        <w:rPr>
          <w:rStyle w:val="FootnoteReference"/>
        </w:rPr>
        <w:footnoteReference w:id="3345"/>
      </w:r>
      <w:r>
        <w:rPr>
          <w:rStyle w:val="FootnoteReference"/>
        </w:rPr>
        <w:footnoteReference w:id="3346"/>
      </w:r>
      <w:r>
        <w:rPr>
          <w:rStyle w:val="FootnoteReference"/>
        </w:rPr>
        <w:footnoteReference w:id="3347"/>
      </w:r>
      <w:r>
        <w:rPr>
          <w:rStyle w:val="FootnoteReference"/>
        </w:rPr>
        <w:footnoteReference w:id="3348"/>
      </w:r>
      <w:r>
        <w:rPr>
          <w:rStyle w:val="FootnoteReference"/>
        </w:rPr>
        <w:footnoteReference w:id="3349"/>
      </w:r>
      <w:r>
        <w:rPr>
          <w:rStyle w:val="FootnoteReference"/>
        </w:rPr>
        <w:footnoteReference w:id="3350"/>
      </w:r>
      <w:r>
        <w:rPr>
          <w:rStyle w:val="FootnoteReference"/>
        </w:rPr>
        <w:footnoteReference w:id="3351"/>
      </w:r>
      <w:r>
        <w:t xml:space="preserve"> </w:t>
      </w:r>
      <w:r>
        <w:t xml:space="preserve">Il quadro che emerge dai domini è coerente: il bisogno è ampio e radicato in una regione giovane e accentrata su Napoli; l’efficacia clinica è sostenuta da evidenza internazionale solida e già integrata da dati operativi reali; il quadro economico distingue un caso finanziario di modesto disavanzo prossimo al pareggio da un caso sociale fortemente positivo; l’equità è favorevole su un doppio asse territoriale e sulla dimensione generazionale; la fattibilità è quella di una strutturazione a regime di un servizio già attivo; il monitoraggio può fondarsi su dati reali già disponibili.</w:t>
      </w:r>
      <w:r>
        <w:rPr>
          <w:rStyle w:val="FootnoteReference"/>
        </w:rPr>
        <w:footnoteReference w:id="3352"/>
      </w:r>
      <w:r>
        <w:t xml:space="preserve"> </w:t>
      </w:r>
      <w:r>
        <w:t xml:space="preserve">La tabella seguente riepiloga il giudizio per dominio.</w:t>
      </w:r>
    </w:p>
    <w:tbl>
      <w:tblPr>
        <w:tblStyle w:val="Table"/>
        <w:tblW w:type="pct" w:w="493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80"/>
        <w:gridCol w:w="583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Dominio</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 sintetico per la Campania</w:t>
            </w:r>
          </w:p>
        </w:tc>
      </w:tr>
      <w:tr>
        <w:tc>
          <w:tcPr/>
          <w:p>
            <w:pPr>
              <w:pStyle w:val="Compact"/>
              <w:spacing w:after="40" w:before="40"/>
              <w:jc w:val="left"/>
            </w:pPr>
            <w:r>
              <w:rPr>
                <w:rFonts w:ascii="Cambria" w:hAnsi="Cambria" w:cs="Cambria" w:eastAsia="Cambria"/>
                <w:b/>
                <w:bCs/>
                <w:color w:val="1A1A1A"/>
                <w:sz w:val="18"/>
              </w:rPr>
              <w:t xml:space="preserve">Bisogno e contesto</w:t>
            </w:r>
          </w:p>
        </w:tc>
        <w:tc>
          <w:tcPr/>
          <w:p>
            <w:pPr>
              <w:pStyle w:val="Compact"/>
              <w:spacing w:after="40" w:before="40"/>
              <w:jc w:val="left"/>
            </w:pPr>
            <w:r>
              <w:rPr>
                <w:rFonts w:ascii="Cambria" w:hAnsi="Cambria" w:cs="Cambria" w:eastAsia="Cambria"/>
                <w:color w:val="1A1A1A"/>
                <w:sz w:val="18"/>
              </w:rPr>
              <w:t xml:space="preserve">Ampio; regione giovane, accentrata su Napoli, uscita dal piano di rientro nel 2026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w:t>
            </w:r>
          </w:p>
        </w:tc>
        <w:tc>
          <w:tcPr>
            <w:shd w:val="clear" w:color="auto" w:fill="F4F1EC"/>
          </w:tcPr>
          <w:p>
            <w:pPr>
              <w:pStyle w:val="Compact"/>
              <w:spacing w:after="40" w:before="40"/>
              <w:jc w:val="left"/>
            </w:pPr>
            <w:r>
              <w:rPr>
                <w:rFonts w:ascii="Cambria" w:hAnsi="Cambria" w:cs="Cambria" w:eastAsia="Cambria"/>
                <w:color w:val="1A1A1A"/>
                <w:sz w:val="18"/>
              </w:rPr>
              <w:t xml:space="preserve">Evidenza internazionale solida; dati operativi reali già disponibili</w:t>
            </w:r>
          </w:p>
        </w:tc>
      </w:tr>
      <w:tr>
        <w:tc>
          <w:tcPr/>
          <w:p>
            <w:pPr>
              <w:pStyle w:val="Compact"/>
              <w:spacing w:after="40" w:before="40"/>
              <w:jc w:val="left"/>
            </w:pPr>
            <w:r>
              <w:rPr>
                <w:rFonts w:ascii="Cambria" w:hAnsi="Cambria" w:cs="Cambria" w:eastAsia="Cambria"/>
                <w:b/>
                <w:bCs/>
                <w:color w:val="1A1A1A"/>
                <w:sz w:val="18"/>
              </w:rPr>
              <w:t xml:space="preserve">Valutazione economica</w:t>
            </w:r>
          </w:p>
        </w:tc>
        <w:tc>
          <w:tcPr/>
          <w:p>
            <w:pPr>
              <w:pStyle w:val="Compact"/>
              <w:spacing w:after="40" w:before="40"/>
              <w:jc w:val="left"/>
            </w:pPr>
            <w:r>
              <w:rPr>
                <w:rFonts w:ascii="Cambria" w:hAnsi="Cambria" w:cs="Cambria" w:eastAsia="Cambria"/>
                <w:color w:val="1A1A1A"/>
                <w:sz w:val="18"/>
              </w:rPr>
              <w:t xml:space="preserve">Caso finanziario di modesto disavanzo; caso sociale fortemente positivo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Favorevole su doppio asse (centro/periferie napoletane; metropoli/aree interne) e sul disagio giovanile</w:t>
            </w:r>
          </w:p>
        </w:tc>
      </w:tr>
      <w:tr>
        <w:tc>
          <w:tcPr/>
          <w:p>
            <w:pPr>
              <w:pStyle w:val="Compact"/>
              <w:spacing w:after="40" w:before="40"/>
              <w:jc w:val="left"/>
            </w:pPr>
            <w:r>
              <w:rPr>
                <w:rFonts w:ascii="Cambria" w:hAnsi="Cambria" w:cs="Cambria" w:eastAsia="Cambria"/>
                <w:b/>
                <w:bCs/>
                <w:color w:val="1A1A1A"/>
                <w:sz w:val="18"/>
              </w:rPr>
              <w:t xml:space="preserve">Fattibilità</w:t>
            </w:r>
          </w:p>
        </w:tc>
        <w:tc>
          <w:tcPr/>
          <w:p>
            <w:pPr>
              <w:pStyle w:val="Compact"/>
              <w:spacing w:after="40" w:before="40"/>
              <w:jc w:val="left"/>
            </w:pPr>
            <w:r>
              <w:rPr>
                <w:rFonts w:ascii="Cambria" w:hAnsi="Cambria" w:cs="Cambria" w:eastAsia="Cambria"/>
                <w:color w:val="1A1A1A"/>
                <w:sz w:val="18"/>
              </w:rPr>
              <w:t xml:space="preserve">Strutturazione a regime di un servizio attivo; bacino ampio; margini riacquistati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Monitoraggio</w:t>
            </w:r>
          </w:p>
        </w:tc>
        <w:tc>
          <w:tcPr>
            <w:shd w:val="clear" w:color="auto" w:fill="F4F1EC"/>
          </w:tcPr>
          <w:p>
            <w:pPr>
              <w:pStyle w:val="Compact"/>
              <w:spacing w:after="40" w:before="40"/>
              <w:jc w:val="left"/>
            </w:pPr>
            <w:r>
              <w:rPr>
                <w:rFonts w:ascii="Cambria" w:hAnsi="Cambria" w:cs="Cambria" w:eastAsia="Cambria"/>
                <w:color w:val="1A1A1A"/>
                <w:sz w:val="18"/>
              </w:rPr>
              <w:t xml:space="preserve">Disegno controfattuale su servizio attivo, con dati reali e Osservatorio già istituito</w:t>
            </w:r>
          </w:p>
        </w:tc>
      </w:tr>
    </w:tbl>
    <w:p>
      <w:pPr>
        <w:pStyle w:val="BodyText"/>
      </w:pPr>
      <w:r>
        <w:rPr>
          <w:i/>
          <w:iCs/>
        </w:rPr>
        <w:t xml:space="preserve">Tabella M.1. La sintesi dei domini della valutazione.</w:t>
      </w:r>
    </w:p>
    <w:bookmarkEnd w:id="3227"/>
    <w:bookmarkStart w:id="3234" w:name="m.2-lanalisi-multi-criterio-11"/>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3353"/>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3354"/>
      </w:r>
      <w:r>
        <w:t xml:space="preserve"> </w:t>
      </w:r>
      <w:r>
        <w:t xml:space="preserve">La media ponderata dei punteggi dell’intervento è dell’ordine di 80,6 su 100, sostenuta dai punteggi elevati nel valore sociale, nell’equità, nella coerenza strategica — la più alta della serie — e nel ritorno, e contenuta dal punteggio più basso nella robustezza dell’evidenza, che, pur superiore a quello del Lazio grazie ai dati propri, riflette la giovane età del servizio.</w:t>
      </w:r>
      <w:r>
        <w:rPr>
          <w:rStyle w:val="FootnoteReference"/>
        </w:rPr>
        <w:footnoteReference w:id="3355"/>
      </w:r>
      <w:r>
        <w:t xml:space="preserve"> </w:t>
      </w:r>
      <w:r>
        <w:t xml:space="preserve">Il non intervento ottiene una media dell’ordine di 39,2 su 100, penalizzato in tutti i criteri sostanziali e sostenuto soltanto dalla fattibilità immediata dello status quo, oggi meno giustificata vista la disponibilità di margini.</w:t>
      </w:r>
      <w:r>
        <w:rPr>
          <w:rStyle w:val="FootnoteReference"/>
        </w:rPr>
        <w:footnoteReference w:id="3356"/>
      </w:r>
      <w:r>
        <w:t xml:space="preserve"> </w:t>
      </w:r>
      <w:r>
        <w:t xml:space="preserve">L’intervento prevale dunque nettamente, con uno scarto dell’ordine di quarantuno punti; il punteggio si colloca fra i più elevati delle regioni esaminate di recente, riflettendo la posizione di regione pioniera.</w:t>
      </w:r>
      <w:r>
        <w:rPr>
          <w:rStyle w:val="FootnoteReference"/>
        </w:rPr>
        <w:footnoteReference w:id="3357"/>
      </w:r>
      <w:r>
        <w:t xml:space="preserve"> </w:t>
      </w:r>
      <w:r>
        <w:t xml:space="preserve">La prevalenza si mantiene al variare dei pesi entro intervalli ragionevoli, sicché la raccomandazione è robusta.</w:t>
      </w:r>
      <w:r>
        <w:rPr>
          <w:rStyle w:val="FootnoteReference"/>
        </w:rPr>
        <w:footnoteReference w:id="3358"/>
      </w:r>
      <w:r>
        <w:t xml:space="preserve"> </w:t>
      </w:r>
      <w:r>
        <w:t xml:space="preserve">La tabella seguente riporta i punteggi per criterio.</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Non interv.</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r>
      <w:tr>
        <w:tc>
          <w:tcPr/>
          <w:p>
            <w:pPr>
              <w:pStyle w:val="Compact"/>
              <w:spacing w:after="40" w:before="40"/>
              <w:jc w:val="left"/>
            </w:pPr>
            <w:r>
              <w:rPr>
                <w:rFonts w:ascii="Cambria" w:hAnsi="Cambria" w:cs="Cambria" w:eastAsia="Cambria"/>
                <w:b/>
                <w:bCs/>
                <w:color w:val="1A1A1A"/>
                <w:sz w:val="18"/>
              </w:rPr>
              <w:t xml:space="preserve">Impatto sul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70</w:t>
            </w:r>
          </w:p>
        </w:tc>
        <w:tc>
          <w:tcPr/>
          <w:p>
            <w:pPr>
              <w:pStyle w:val="Compact"/>
              <w:spacing w:after="40" w:before="40"/>
              <w:jc w:val="left"/>
            </w:pPr>
            <w:r>
              <w:rPr>
                <w:rFonts w:ascii="Cambria" w:hAnsi="Cambria" w:cs="Cambria" w:eastAsia="Cambria"/>
                <w:color w:val="1A1A1A"/>
                <w:sz w:val="18"/>
              </w:rPr>
              <w:t xml:space="preserve">52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88</w:t>
            </w:r>
          </w:p>
        </w:tc>
        <w:tc>
          <w:tcPr>
            <w:shd w:val="clear" w:color="auto" w:fill="F4F1EC"/>
          </w:tcPr>
          <w:p>
            <w:pPr>
              <w:pStyle w:val="Compact"/>
              <w:spacing w:after="40" w:before="40"/>
              <w:jc w:val="left"/>
            </w:pPr>
            <w:r>
              <w:rPr>
                <w:rFonts w:ascii="Cambria" w:hAnsi="Cambria" w:cs="Cambria" w:eastAsia="Cambria"/>
                <w:color w:val="1A1A1A"/>
                <w:sz w:val="18"/>
              </w:rPr>
              <w:t xml:space="preserve">28</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88</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82</w:t>
            </w:r>
          </w:p>
        </w:tc>
        <w:tc>
          <w:tcPr>
            <w:shd w:val="clear" w:color="auto" w:fill="F4F1EC"/>
          </w:tcPr>
          <w:p>
            <w:pPr>
              <w:pStyle w:val="Compact"/>
              <w:spacing w:after="40" w:before="40"/>
              <w:jc w:val="left"/>
            </w:pPr>
            <w:r>
              <w:rPr>
                <w:rFonts w:ascii="Cambria" w:hAnsi="Cambria" w:cs="Cambria" w:eastAsia="Cambria"/>
                <w:color w:val="1A1A1A"/>
                <w:sz w:val="18"/>
              </w:rPr>
              <w:t xml:space="preserve">84</w:t>
            </w:r>
          </w:p>
        </w:tc>
      </w:tr>
      <w:tr>
        <w:tc>
          <w:tcPr/>
          <w:p>
            <w:pPr>
              <w:pStyle w:val="Compact"/>
              <w:spacing w:after="40" w:before="40"/>
              <w:jc w:val="left"/>
            </w:pPr>
            <w:r>
              <w:rPr>
                <w:rFonts w:ascii="Cambria" w:hAnsi="Cambria" w:cs="Cambria" w:eastAsia="Cambria"/>
                <w:b/>
                <w:bCs/>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66</w:t>
            </w:r>
          </w:p>
        </w:tc>
        <w:tc>
          <w:tcPr/>
          <w:p>
            <w:pPr>
              <w:pStyle w:val="Compact"/>
              <w:spacing w:after="40" w:before="40"/>
              <w:jc w:val="left"/>
            </w:pPr>
            <w:r>
              <w:rPr>
                <w:rFonts w:ascii="Cambria" w:hAnsi="Cambria" w:cs="Cambria" w:eastAsia="Cambria"/>
                <w:color w:val="1A1A1A"/>
                <w:sz w:val="18"/>
              </w:rPr>
              <w:t xml:space="preserve">55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86</w:t>
            </w:r>
          </w:p>
        </w:tc>
        <w:tc>
          <w:tcPr>
            <w:shd w:val="clear" w:color="auto" w:fill="F4F1EC"/>
          </w:tcPr>
          <w:p>
            <w:pPr>
              <w:pStyle w:val="Compact"/>
              <w:spacing w:after="40" w:before="40"/>
              <w:jc w:val="left"/>
            </w:pPr>
            <w:r>
              <w:rPr>
                <w:rFonts w:ascii="Cambria" w:hAnsi="Cambria" w:cs="Cambria" w:eastAsia="Cambria"/>
                <w:color w:val="1A1A1A"/>
                <w:sz w:val="18"/>
              </w:rPr>
              <w:t xml:space="preserve">26</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80,60</w:t>
            </w:r>
          </w:p>
        </w:tc>
        <w:tc>
          <w:tcPr/>
          <w:p>
            <w:pPr>
              <w:pStyle w:val="Compact"/>
              <w:spacing w:after="40" w:before="40"/>
              <w:jc w:val="left"/>
            </w:pPr>
            <w:r>
              <w:rPr>
                <w:rFonts w:ascii="Cambria" w:hAnsi="Cambria" w:cs="Cambria" w:eastAsia="Cambria"/>
                <w:color w:val="1A1A1A"/>
                <w:sz w:val="18"/>
              </w:rPr>
              <w:t xml:space="preserve">39,20</w:t>
            </w:r>
          </w:p>
        </w:tc>
      </w:tr>
    </w:tbl>
    <w:p>
      <w:pPr>
        <w:pStyle w:val="BodyText"/>
      </w:pPr>
      <w:r>
        <w:rPr>
          <w:i/>
          <w:iCs/>
        </w:rPr>
        <w:t xml:space="preserve">Tabella M.2. L</w:t>
      </w:r>
      <w:r>
        <w:rPr>
          <w:b/>
          <w:bCs/>
          <w:i/>
          <w:iCs/>
        </w:rPr>
        <w:t xml:space="preserve">‘analisi multi-criterio: punteggi dell’</w:t>
      </w:r>
      <w:r>
        <w:rPr>
          <w:i/>
          <w:iCs/>
        </w:rPr>
        <w:t xml:space="preserve">intervento e del non intervento.</w:t>
      </w:r>
    </w:p>
    <w:bookmarkEnd w:id="3234"/>
    <w:bookmarkStart w:id="3237" w:name="X1ec9e4cd7d507a7310ce181fb23a5134aaf999d"/>
    <w:p>
      <w:pPr>
        <w:pStyle w:val="Heading3"/>
      </w:pPr>
      <w:r>
        <w:t xml:space="preserve">M.3 La raccomandazione e il dimensionamento</w:t>
      </w:r>
    </w:p>
    <w:p>
      <w:pPr>
        <w:pStyle w:val="FirstParagraph"/>
      </w:pPr>
      <w:r>
        <w:t xml:space="preserve">Dalla convergenza dei domini e dall’analisi multi-criterio discende la raccomandazione principale: strutturare a regime il servizio di psicologia di base già attivo, stabilizzandone il finanziamento e dimensionandolo verso la copertura piena del fabbisogno; è la decisione che la Campania, prima regione d’Italia ad aver istituito il servizio per legge, è chiamata a compiere per consolidare il proprio primato in un servizio a regime.</w:t>
      </w:r>
      <w:r>
        <w:rPr>
          <w:rStyle w:val="FootnoteReference"/>
        </w:rPr>
        <w:footnoteReference w:id="3359"/>
      </w:r>
      <w:r>
        <w:t xml:space="preserve"> </w:t>
      </w:r>
      <w:r>
        <w:t xml:space="preserve">Quanto alla scala, si raccomanda di muovere dal nucleo già attivo, dell’ordine di 146 psicologi, e di procedere per gradi verso lo scenario conservativo, dell’ordine di 610 psicologi, quindi verso quello di base, dell’ordine di 910, e infine verso quello espansivo, dell’ordine di 1.210, in funzione della verifica progressiva dei risultati e della sostenibilità.</w:t>
      </w:r>
      <w:r>
        <w:rPr>
          <w:rStyle w:val="FootnoteReference"/>
        </w:rPr>
        <w:footnoteReference w:id="3360"/>
      </w:r>
      <w:r>
        <w:t xml:space="preserve"> </w:t>
      </w:r>
      <w:r>
        <w:t xml:space="preserve">La tabella seguente riepiloga le raccomandazioni operative.</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22"/>
        <w:gridCol w:w="578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Raccomandazione operativa per la Campania</w:t>
            </w:r>
          </w:p>
        </w:tc>
      </w:tr>
      <w:tr>
        <w:tc>
          <w:tcPr/>
          <w:p>
            <w:pPr>
              <w:pStyle w:val="Compact"/>
              <w:spacing w:after="40" w:before="40"/>
              <w:jc w:val="left"/>
            </w:pPr>
            <w:r>
              <w:rPr>
                <w:rFonts w:ascii="Cambria" w:hAnsi="Cambria" w:cs="Cambria" w:eastAsia="Cambria"/>
                <w:b/>
                <w:bCs/>
                <w:color w:val="1A1A1A"/>
                <w:sz w:val="18"/>
              </w:rPr>
              <w:t xml:space="preserve">Atto di consolidamento</w:t>
            </w:r>
          </w:p>
        </w:tc>
        <w:tc>
          <w:tcPr/>
          <w:p>
            <w:pPr>
              <w:pStyle w:val="Compact"/>
              <w:spacing w:after="40" w:before="40"/>
              <w:jc w:val="left"/>
            </w:pPr>
            <w:r>
              <w:rPr>
                <w:rFonts w:ascii="Cambria" w:hAnsi="Cambria" w:cs="Cambria" w:eastAsia="Cambria"/>
                <w:color w:val="1A1A1A"/>
                <w:sz w:val="18"/>
              </w:rPr>
              <w:t xml:space="preserve">Strutturare a regime il servizio attivo; stabilizzare il finanziamento (da PNES a risorse regionali)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Dimensionamento</w:t>
            </w:r>
          </w:p>
        </w:tc>
        <w:tc>
          <w:tcPr>
            <w:shd w:val="clear" w:color="auto" w:fill="F4F1EC"/>
          </w:tcPr>
          <w:p>
            <w:pPr>
              <w:pStyle w:val="Compact"/>
              <w:spacing w:after="40" w:before="40"/>
              <w:jc w:val="left"/>
            </w:pPr>
            <w:r>
              <w:rPr>
                <w:rFonts w:ascii="Cambria" w:hAnsi="Cambria" w:cs="Cambria" w:eastAsia="Cambria"/>
                <w:color w:val="1A1A1A"/>
                <w:sz w:val="18"/>
              </w:rPr>
              <w:t xml:space="preserve">Dal nucleo ~146 verso conservativo ~610; base ~910; espansivo ~1.210, per gradi</w:t>
            </w:r>
          </w:p>
        </w:tc>
      </w:tr>
      <w:tr>
        <w:tc>
          <w:tcPr/>
          <w:p>
            <w:pPr>
              <w:pStyle w:val="Compact"/>
              <w:spacing w:after="40" w:before="40"/>
              <w:jc w:val="left"/>
            </w:pPr>
            <w:r>
              <w:rPr>
                <w:rFonts w:ascii="Cambria" w:hAnsi="Cambria" w:cs="Cambria" w:eastAsia="Cambria"/>
                <w:b/>
                <w:bCs/>
                <w:color w:val="1A1A1A"/>
                <w:sz w:val="18"/>
              </w:rPr>
              <w:t xml:space="preserve">Allocazione</w:t>
            </w:r>
          </w:p>
        </w:tc>
        <w:tc>
          <w:tcPr/>
          <w:p>
            <w:pPr>
              <w:pStyle w:val="Compact"/>
              <w:spacing w:after="40" w:before="40"/>
              <w:jc w:val="left"/>
            </w:pPr>
            <w:r>
              <w:rPr>
                <w:rFonts w:ascii="Cambria" w:hAnsi="Cambria" w:cs="Cambria" w:eastAsia="Cambria"/>
                <w:color w:val="1A1A1A"/>
                <w:sz w:val="18"/>
              </w:rPr>
              <w:t xml:space="preserve">Pro-equità, verso periferie napoletane, province interne e disagio giovanile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Rafforzare e rendere operativa quella già prevista dalla legge; relazione al Consiglio</w:t>
            </w:r>
          </w:p>
        </w:tc>
      </w:tr>
      <w:tr>
        <w:tc>
          <w:tcPr/>
          <w:p>
            <w:pPr>
              <w:pStyle w:val="Compact"/>
              <w:spacing w:after="40" w:before="40"/>
              <w:jc w:val="left"/>
            </w:pPr>
            <w:r>
              <w:rPr>
                <w:rFonts w:ascii="Cambria" w:hAnsi="Cambria" w:cs="Cambria" w:eastAsia="Cambria"/>
                <w:b/>
                <w:bCs/>
                <w:color w:val="1A1A1A"/>
                <w:sz w:val="18"/>
              </w:rPr>
              <w:t xml:space="preserve">Governance</w:t>
            </w:r>
          </w:p>
        </w:tc>
        <w:tc>
          <w:tcPr/>
          <w:p>
            <w:pPr>
              <w:pStyle w:val="Compact"/>
              <w:spacing w:after="40" w:before="40"/>
              <w:jc w:val="left"/>
            </w:pPr>
            <w:r>
              <w:rPr>
                <w:rFonts w:ascii="Cambria" w:hAnsi="Cambria" w:cs="Cambria" w:eastAsia="Cambria"/>
                <w:color w:val="1A1A1A"/>
                <w:sz w:val="18"/>
              </w:rPr>
              <w:t xml:space="preserve">Regia regionale forte e Osservatorio; indirizzi uniformi; flusso informativo da consolidare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Dati</w:t>
            </w:r>
          </w:p>
        </w:tc>
        <w:tc>
          <w:tcPr>
            <w:shd w:val="clear" w:color="auto" w:fill="F4F1EC"/>
          </w:tcPr>
          <w:p>
            <w:pPr>
              <w:pStyle w:val="Compact"/>
              <w:spacing w:after="40" w:before="40"/>
              <w:jc w:val="left"/>
            </w:pPr>
            <w:r>
              <w:rPr>
                <w:rFonts w:ascii="Cambria" w:hAnsi="Cambria" w:cs="Cambria" w:eastAsia="Cambria"/>
                <w:color w:val="1A1A1A"/>
                <w:sz w:val="18"/>
              </w:rPr>
              <w:t xml:space="preserve">Estrarre i conti certificati; consolidare e uniformare i dati di esito dell’Osservatorio</w:t>
            </w:r>
          </w:p>
        </w:tc>
      </w:tr>
    </w:tbl>
    <w:p>
      <w:pPr>
        <w:pStyle w:val="BodyText"/>
      </w:pPr>
      <w:r>
        <w:rPr>
          <w:i/>
          <w:iCs/>
        </w:rPr>
        <w:t xml:space="preserve">Tabella M.3. Le raccomandazioni operative.</w:t>
      </w:r>
    </w:p>
    <w:bookmarkEnd w:id="3237"/>
    <w:bookmarkStart w:id="3241" w:name="X04dcf87e99fd2a925d3613b395d5bb456a72ed6"/>
    <w:p>
      <w:pPr>
        <w:pStyle w:val="Heading3"/>
      </w:pPr>
      <w:r>
        <w:t xml:space="preserve">M.4 Le condizioni e la lacuna da colmare</w:t>
      </w:r>
    </w:p>
    <w:p>
      <w:pPr>
        <w:pStyle w:val="FirstParagraph"/>
      </w:pPr>
      <w:r>
        <w:t xml:space="preserve">La raccomandazione è subordinata a condizioni precise: il rafforzamento e la piena operatività della clausola valutativa già prevista dalla legge, l’adozione di un’allocazione pro-equità, una regia regionale forte affiancata dall’Osservatorio e il consolidamento del flusso informativo già avviato.</w:t>
      </w:r>
      <w:r>
        <w:rPr>
          <w:rStyle w:val="FootnoteReference"/>
        </w:rPr>
        <w:footnoteReference w:id="3361"/>
      </w:r>
      <w:r>
        <w:t xml:space="preserve"> </w:t>
      </w:r>
      <w:r>
        <w:t xml:space="preserve">Resta inoltre da colmare, prima della presentazione esterna, la lacuna dei dati: l’estrazione dei conti certificati delle sette Aziende Sanitarie Locali e delle aziende ospedaliere e il consolidamento dei dati di esito già raccolti dall’Osservatorio consentiranno di sostituire i valori ricostruiti per quota di popolazione con grandezze effettive.</w:t>
      </w:r>
      <w:r>
        <w:rPr>
          <w:rStyle w:val="FootnoteReference"/>
        </w:rPr>
        <w:footnoteReference w:id="3362"/>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3363"/>
      </w:r>
    </w:p>
    <w:bookmarkEnd w:id="3241"/>
    <w:bookmarkStart w:id="3245" w:name="X57f3c16523108561e1b7289518b6cb5a89b6309"/>
    <w:p>
      <w:pPr>
        <w:pStyle w:val="Heading3"/>
      </w:pPr>
      <w:r>
        <w:t xml:space="preserve">M.5 La collocazione nella serie e la conclusione</w:t>
      </w:r>
    </w:p>
    <w:p>
      <w:pPr>
        <w:pStyle w:val="FirstParagraph"/>
      </w:pPr>
      <w:r>
        <w:t xml:space="preserve">Lo studio sulla Campania è il nono della serie, dopo quelli su Puglia, Lombardia, Veneto, Emilia-Romagna, Piemonte, Toscana, Liguria e Lazio, e ne condivide il telaio integrato e il caso di riferimento; rispetto agli altri, la Campania occupa una posizione fondativa — quella della regione pioniera che per prima ha istituito il servizio per legge, con una disciplina validata dalla Corte Costituzionale richiamata da tutti gli studi della serie — e che oggi è chiamata a portarlo a regime.</w:t>
      </w:r>
      <w:r>
        <w:rPr>
          <w:rStyle w:val="FootnoteReference"/>
        </w:rPr>
        <w:footnoteReference w:id="3364"/>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3365"/>
      </w:r>
      <w:r>
        <w:t xml:space="preserve"> </w:t>
      </w:r>
      <w:r>
        <w:t xml:space="preserve">La decisione che lo studio sostiene è, in conclusione, di strutturare a regime il servizio di psicologia di base già attivo, stabilizzandone il finanziamento, dimensionandolo progressivamente al fabbisogno e rendendo pienamente operativa la clausola valutativa: per la Campania, prima regione d’Italia ad aver istituito il servizio, ciò significa consolidare un primato normativo in un servizio stabile e a regime, a beneficio della popolazione.</w:t>
      </w:r>
      <w:r>
        <w:rPr>
          <w:rStyle w:val="FootnoteReference"/>
        </w:rPr>
        <w:footnoteReference w:id="3366"/>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3245"/>
    <w:bookmarkEnd w:id="3246"/>
    <w:bookmarkStart w:id="3258" w:name="X2bca9105cba0398dac44911d6a0a79b1e1c39e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3367"/>
      </w:r>
      <w:r>
        <w:rPr>
          <w:rStyle w:val="FootnoteReference"/>
        </w:rPr>
        <w:footnoteReference w:id="3368"/>
      </w:r>
      <w:r>
        <w:rPr>
          <w:rStyle w:val="FootnoteReference"/>
        </w:rPr>
        <w:footnoteReference w:id="3369"/>
      </w:r>
      <w:r>
        <w:rPr>
          <w:rStyle w:val="FootnoteReference"/>
        </w:rPr>
        <w:footnoteReference w:id="3370"/>
      </w:r>
      <w:r>
        <w:rPr>
          <w:rStyle w:val="FootnoteReference"/>
        </w:rPr>
        <w:footnoteReference w:id="3371"/>
      </w:r>
      <w:r>
        <w:rPr>
          <w:rStyle w:val="FootnoteReference"/>
        </w:rPr>
        <w:footnoteReference w:id="3372"/>
      </w:r>
      <w:r>
        <w:rPr>
          <w:rStyle w:val="FootnoteReference"/>
        </w:rPr>
        <w:footnoteReference w:id="3373"/>
      </w:r>
      <w:r>
        <w:rPr>
          <w:rStyle w:val="FootnoteReference"/>
        </w:rPr>
        <w:footnoteReference w:id="3374"/>
      </w:r>
      <w:r>
        <w:rPr>
          <w:rStyle w:val="FootnoteReference"/>
        </w:rPr>
        <w:footnoteReference w:id="3375"/>
      </w:r>
      <w:r>
        <w:t xml:space="preserve"> </w:t>
      </w:r>
      <w:r>
        <w:t xml:space="preserve">La tabella seguente lo riepiloga.</w:t>
      </w:r>
    </w:p>
    <w:tbl>
      <w:tblPr>
        <w:tblStyle w:val="Table"/>
        <w:tblW w:type="pct" w:w="493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5"/>
        <w:gridCol w:w="576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caso di 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adottata</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Servizio attivo ma parziale e a finanziamento transitorio (PNES); condizione di pre-strutturazione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Azienda Sanitaria Locale/distretto</w:t>
            </w:r>
          </w:p>
        </w:tc>
      </w:tr>
      <w:tr>
        <w:tc>
          <w:tcPr/>
          <w:p>
            <w:pPr>
              <w:pStyle w:val="Compact"/>
              <w:spacing w:after="40" w:before="40"/>
              <w:jc w:val="left"/>
            </w:pPr>
            <w:r>
              <w:rPr>
                <w:rFonts w:ascii="Cambria" w:hAnsi="Cambria" w:cs="Cambria" w:eastAsia="Cambria"/>
                <w:b/>
                <w:bCs/>
                <w:color w:val="1A1A1A"/>
                <w:sz w:val="18"/>
              </w:rPr>
              <w:t xml:space="preserve">Soglia di costo-efficacia</w:t>
            </w:r>
          </w:p>
        </w:tc>
        <w:tc>
          <w:tcPr/>
          <w:p>
            <w:pPr>
              <w:pStyle w:val="Compact"/>
              <w:spacing w:after="40" w:before="40"/>
              <w:jc w:val="left"/>
            </w:pPr>
            <w:r>
              <w:rPr>
                <w:rFonts w:ascii="Cambria" w:hAnsi="Cambria" w:cs="Cambria" w:eastAsia="Cambria"/>
                <w:color w:val="1A1A1A"/>
                <w:sz w:val="18"/>
              </w:rPr>
              <w:t xml:space="preserve">30.000 euro per anno di vita ponderato per la qualità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Correzione prudenziale</w:t>
            </w:r>
          </w:p>
        </w:tc>
        <w:tc>
          <w:tcPr>
            <w:shd w:val="clear" w:color="auto" w:fill="F4F1EC"/>
          </w:tcPr>
          <w:p>
            <w:pPr>
              <w:pStyle w:val="Compact"/>
              <w:spacing w:after="40" w:before="40"/>
              <w:jc w:val="left"/>
            </w:pPr>
            <w:r>
              <w:rPr>
                <w:rFonts w:ascii="Cambria" w:hAnsi="Cambria" w:cs="Cambria" w:eastAsia="Cambria"/>
                <w:color w:val="1A1A1A"/>
                <w:sz w:val="18"/>
              </w:rP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3376"/>
      </w:r>
      <w:r>
        <w:t xml:space="preserve"> </w:t>
      </w:r>
      <w:r>
        <w:t xml:space="preserve">La tabella seguente li riporta con le distribuzioni assegnate per l’analisi probabilistica.</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3498"/>
        <w:gridCol w:w="15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 di Markov</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Stati del modello</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recupero</w:t>
            </w:r>
          </w:p>
        </w:tc>
        <w:tc>
          <w:tcPr>
            <w:shd w:val="clear" w:color="auto" w:fill="F4F1EC"/>
          </w:tcPr>
          <w:p>
            <w:pPr>
              <w:pStyle w:val="Compact"/>
              <w:spacing w:after="40" w:before="40"/>
              <w:jc w:val="left"/>
            </w:pPr>
            <w:r>
              <w:rPr>
                <w:rFonts w:ascii="Cambria" w:hAnsi="Cambria" w:cs="Cambria" w:eastAsia="Cambria"/>
                <w:color w:val="1A1A1A"/>
                <w:sz w:val="18"/>
              </w:rPr>
              <w:t xml:space="preserve">40 €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per ciclo — cronico</w:t>
            </w:r>
          </w:p>
        </w:tc>
        <w:tc>
          <w:tcPr/>
          <w:p>
            <w:pPr>
              <w:pStyle w:val="Compact"/>
              <w:spacing w:after="40" w:before="40"/>
              <w:jc w:val="left"/>
            </w:pPr>
            <w:r>
              <w:rPr>
                <w:rFonts w:ascii="Cambria" w:hAnsi="Cambria" w:cs="Cambria" w:eastAsia="Cambria"/>
                <w:color w:val="1A1A1A"/>
                <w:sz w:val="18"/>
              </w:rPr>
              <w:t xml:space="preserve">700 €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Per braccio, da fonti</w:t>
            </w:r>
          </w:p>
        </w:tc>
        <w:tc>
          <w:tcPr/>
          <w:p>
            <w:pPr>
              <w:pStyle w:val="Compact"/>
              <w:spacing w:after="40" w:before="40"/>
              <w:jc w:val="left"/>
            </w:pPr>
            <w:r>
              <w:rPr>
                <w:rFonts w:ascii="Cambria" w:hAnsi="Cambria" w:cs="Cambria" w:eastAsia="Cambria"/>
                <w:color w:val="1A1A1A"/>
                <w:sz w:val="18"/>
              </w:rPr>
              <w:t xml:space="preserve">Beta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per stato</w:t>
            </w:r>
          </w:p>
        </w:tc>
        <w:tc>
          <w:tcPr>
            <w:shd w:val="clear" w:color="auto" w:fill="F4F1EC"/>
          </w:tcPr>
          <w:p>
            <w:pPr>
              <w:pStyle w:val="Compact"/>
              <w:spacing w:after="40" w:before="40"/>
              <w:jc w:val="left"/>
            </w:pPr>
            <w:r>
              <w:rPr>
                <w:rFonts w:ascii="Cambria" w:hAnsi="Cambria" w:cs="Cambria" w:eastAsia="Cambria"/>
                <w:color w:val="1A1A1A"/>
                <w:sz w:val="18"/>
              </w:rPr>
              <w:t xml:space="preserve">Da fonti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Orizzonte e sconto</w:t>
            </w:r>
          </w:p>
        </w:tc>
        <w:tc>
          <w:tcPr/>
          <w:p>
            <w:pPr>
              <w:pStyle w:val="Compact"/>
              <w:spacing w:after="40" w:before="40"/>
              <w:jc w:val="left"/>
            </w:pPr>
            <w:r>
              <w:rPr>
                <w:rFonts w:ascii="Cambria" w:hAnsi="Cambria" w:cs="Cambria" w:eastAsia="Cambria"/>
                <w:color w:val="1A1A1A"/>
                <w:sz w:val="18"/>
              </w:rPr>
              <w:t xml:space="preserve">5 anni; 3% annuo</w:t>
            </w:r>
          </w:p>
        </w:tc>
        <w:t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3377"/>
      </w:r>
      <w:r>
        <w:t xml:space="preserve"> </w:t>
      </w:r>
      <w:r>
        <w:t xml:space="preserve">La tabella seguente lo riepiloga.</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3"/>
        <w:gridCol w:w="1384"/>
        <w:gridCol w:w="1384"/>
        <w:gridCol w:w="13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 salvo 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Psicologi a regime</w:t>
            </w:r>
          </w:p>
        </w:tc>
        <w:tc>
          <w:tcPr/>
          <w:p>
            <w:pPr>
              <w:pStyle w:val="Compact"/>
              <w:spacing w:after="40" w:before="40"/>
              <w:jc w:val="left"/>
            </w:pPr>
            <w:r>
              <w:rPr>
                <w:rFonts w:ascii="Cambria" w:hAnsi="Cambria" w:cs="Cambria" w:eastAsia="Cambria"/>
                <w:color w:val="1A1A1A"/>
                <w:sz w:val="18"/>
              </w:rPr>
              <w:t xml:space="preserve">~ 610</w:t>
            </w:r>
          </w:p>
        </w:tc>
        <w:tc>
          <w:tcPr/>
          <w:p>
            <w:pPr>
              <w:pStyle w:val="Compact"/>
              <w:spacing w:after="40" w:before="40"/>
              <w:jc w:val="left"/>
            </w:pPr>
            <w:r>
              <w:rPr>
                <w:rFonts w:ascii="Cambria" w:hAnsi="Cambria" w:cs="Cambria" w:eastAsia="Cambria"/>
                <w:color w:val="1A1A1A"/>
                <w:sz w:val="18"/>
              </w:rPr>
              <w:t xml:space="preserve">~ 910</w:t>
            </w:r>
          </w:p>
        </w:tc>
        <w:tc>
          <w:tcPr/>
          <w:p>
            <w:pPr>
              <w:pStyle w:val="Compact"/>
              <w:spacing w:after="40" w:before="40"/>
              <w:jc w:val="left"/>
            </w:pPr>
            <w:r>
              <w:rPr>
                <w:rFonts w:ascii="Cambria" w:hAnsi="Cambria" w:cs="Cambria" w:eastAsia="Cambria"/>
                <w:color w:val="1A1A1A"/>
                <w:sz w:val="18"/>
              </w:rPr>
              <w:t xml:space="preserve">~ 1.210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34</w:t>
            </w:r>
          </w:p>
        </w:tc>
        <w:tc>
          <w:tcPr>
            <w:shd w:val="clear" w:color="auto" w:fill="F4F1EC"/>
          </w:tcPr>
          <w:p>
            <w:pPr>
              <w:pStyle w:val="Compact"/>
              <w:spacing w:after="40" w:before="40"/>
              <w:jc w:val="left"/>
            </w:pPr>
            <w:r>
              <w:rPr>
                <w:rFonts w:ascii="Cambria" w:hAnsi="Cambria" w:cs="Cambria" w:eastAsia="Cambria"/>
                <w:color w:val="1A1A1A"/>
                <w:sz w:val="18"/>
              </w:rPr>
              <w:t xml:space="preserve">~ 50</w:t>
            </w:r>
          </w:p>
        </w:tc>
        <w:tc>
          <w:tcPr>
            <w:shd w:val="clear" w:color="auto" w:fill="F4F1EC"/>
          </w:tcPr>
          <w:p>
            <w:pPr>
              <w:pStyle w:val="Compact"/>
              <w:spacing w:after="40" w:before="40"/>
              <w:jc w:val="left"/>
            </w:pPr>
            <w:r>
              <w:rPr>
                <w:rFonts w:ascii="Cambria" w:hAnsi="Cambria" w:cs="Cambria" w:eastAsia="Cambria"/>
                <w:color w:val="1A1A1A"/>
                <w:sz w:val="18"/>
              </w:rPr>
              <w:t xml:space="preserve">~ 67</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27</w:t>
            </w:r>
          </w:p>
        </w:tc>
        <w:tc>
          <w:tcPr/>
          <w:p>
            <w:pPr>
              <w:pStyle w:val="Compact"/>
              <w:spacing w:after="40" w:before="40"/>
              <w:jc w:val="left"/>
            </w:pPr>
            <w:r>
              <w:rPr>
                <w:rFonts w:ascii="Cambria" w:hAnsi="Cambria" w:cs="Cambria" w:eastAsia="Cambria"/>
                <w:color w:val="1A1A1A"/>
                <w:sz w:val="18"/>
              </w:rPr>
              <w:t xml:space="preserve">~ 42</w:t>
            </w:r>
          </w:p>
        </w:tc>
        <w:tc>
          <w:tcPr/>
          <w:p>
            <w:pPr>
              <w:pStyle w:val="Compact"/>
              <w:spacing w:after="40" w:before="40"/>
              <w:jc w:val="left"/>
            </w:pPr>
            <w:r>
              <w:rPr>
                <w:rFonts w:ascii="Cambria" w:hAnsi="Cambria" w:cs="Cambria" w:eastAsia="Cambria"/>
                <w:color w:val="1A1A1A"/>
                <w:sz w:val="18"/>
              </w:rPr>
              <w:t xml:space="preserve">~ 66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105</w:t>
            </w:r>
          </w:p>
        </w:tc>
        <w:tc>
          <w:tcPr>
            <w:shd w:val="clear" w:color="auto" w:fill="F4F1EC"/>
          </w:tcPr>
          <w:p>
            <w:pPr>
              <w:pStyle w:val="Compact"/>
              <w:spacing w:after="40" w:before="40"/>
              <w:jc w:val="left"/>
            </w:pPr>
            <w:r>
              <w:rPr>
                <w:rFonts w:ascii="Cambria" w:hAnsi="Cambria" w:cs="Cambria" w:eastAsia="Cambria"/>
                <w:color w:val="1A1A1A"/>
                <w:sz w:val="18"/>
              </w:rPr>
              <w:t xml:space="preserve">~ 200</w:t>
            </w:r>
          </w:p>
        </w:tc>
        <w:tc>
          <w:tcPr>
            <w:shd w:val="clear" w:color="auto" w:fill="F4F1EC"/>
          </w:tcPr>
          <w:p>
            <w:pPr>
              <w:pStyle w:val="Compact"/>
              <w:spacing w:after="40" w:before="40"/>
              <w:jc w:val="left"/>
            </w:pPr>
            <w:r>
              <w:rPr>
                <w:rFonts w:ascii="Cambria" w:hAnsi="Cambria" w:cs="Cambria" w:eastAsia="Cambria"/>
                <w:color w:val="1A1A1A"/>
                <w:sz w:val="18"/>
              </w:rPr>
              <w:t xml:space="preserve">~ 300</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−7</w:t>
            </w:r>
          </w:p>
        </w:tc>
        <w:tc>
          <w:tcPr/>
          <w:p>
            <w:pPr>
              <w:pStyle w:val="Compact"/>
              <w:spacing w:after="40" w:before="40"/>
              <w:jc w:val="left"/>
            </w:pPr>
            <w:r>
              <w:rPr>
                <w:rFonts w:ascii="Cambria" w:hAnsi="Cambria" w:cs="Cambria" w:eastAsia="Cambria"/>
                <w:color w:val="1A1A1A"/>
                <w:sz w:val="18"/>
              </w:rPr>
              <w:t xml:space="preserve">~ −8</w:t>
            </w:r>
          </w:p>
        </w:tc>
        <w:tc>
          <w:tcPr/>
          <w:p>
            <w:pPr>
              <w:pStyle w:val="Compact"/>
              <w:spacing w:after="40" w:before="40"/>
              <w:jc w:val="left"/>
            </w:pPr>
            <w:r>
              <w:rPr>
                <w:rFonts w:ascii="Cambria" w:hAnsi="Cambria" w:cs="Cambria" w:eastAsia="Cambria"/>
                <w:color w:val="1A1A1A"/>
                <w:sz w:val="18"/>
              </w:rPr>
              <w:t xml:space="preserve">~ −1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+98</w:t>
            </w:r>
          </w:p>
        </w:tc>
        <w:tc>
          <w:tcPr>
            <w:shd w:val="clear" w:color="auto" w:fill="F4F1EC"/>
          </w:tcPr>
          <w:p>
            <w:pPr>
              <w:pStyle w:val="Compact"/>
              <w:spacing w:after="40" w:before="40"/>
              <w:jc w:val="left"/>
            </w:pPr>
            <w:r>
              <w:rPr>
                <w:rFonts w:ascii="Cambria" w:hAnsi="Cambria" w:cs="Cambria" w:eastAsia="Cambria"/>
                <w:color w:val="1A1A1A"/>
                <w:sz w:val="18"/>
              </w:rPr>
              <w:t xml:space="preserve">+192</w:t>
            </w:r>
          </w:p>
        </w:tc>
        <w:tc>
          <w:tcPr>
            <w:shd w:val="clear" w:color="auto" w:fill="F4F1EC"/>
          </w:tcPr>
          <w:p>
            <w:pPr>
              <w:pStyle w:val="Compact"/>
              <w:spacing w:after="40" w:before="40"/>
              <w:jc w:val="left"/>
            </w:pPr>
            <w:r>
              <w:rPr>
                <w:rFonts w:ascii="Cambria" w:hAnsi="Cambria" w:cs="Cambria" w:eastAsia="Cambria"/>
                <w:color w:val="1A1A1A"/>
                <w:sz w:val="18"/>
              </w:rPr>
              <w:t xml:space="preserve">+299</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~3,9:1</w:t>
            </w:r>
          </w:p>
        </w:tc>
        <w:tc>
          <w:tcPr/>
          <w:p>
            <w:pPr>
              <w:pStyle w:val="Compact"/>
              <w:spacing w:after="40" w:before="40"/>
              <w:jc w:val="left"/>
            </w:pPr>
            <w:r>
              <w:rPr>
                <w:rFonts w:ascii="Cambria" w:hAnsi="Cambria" w:cs="Cambria" w:eastAsia="Cambria"/>
                <w:color w:val="1A1A1A"/>
                <w:sz w:val="18"/>
              </w:rPr>
              <w:t xml:space="preserve">~4,8:1</w:t>
            </w:r>
          </w:p>
        </w:tc>
        <w:t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A.3. Il quadro economico consolidato per scenario (costo per incarico di riferimento di 55.000 euro).</w:t>
      </w:r>
    </w:p>
    <w:bookmarkEnd w:id="3258"/>
    <w:bookmarkStart w:id="3261" w:name="X8b03a5f3c963681b4d1083a10debff4f5a31524"/>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3378"/>
      </w:r>
      <w:r>
        <w:t xml:space="preserve"> </w:t>
      </w:r>
      <w:r>
        <w:t xml:space="preserve">La tabella seguente li descrive.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6"/>
        <w:gridCol w:w="1584"/>
        <w:gridCol w:w="41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Caratteristiche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 soglia clinica ~10; cambiamento affidabile ~6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d’ansia</w:t>
            </w:r>
          </w:p>
        </w:tc>
        <w:tc>
          <w:tcPr>
            <w:shd w:val="clear" w:color="auto" w:fill="F4F1EC"/>
          </w:tcPr>
          <w:p>
            <w:pPr>
              <w:pStyle w:val="Compact"/>
              <w:spacing w:after="40" w:before="40"/>
              <w:jc w:val="left"/>
            </w:pPr>
            <w:r>
              <w:rPr>
                <w:rFonts w:ascii="Cambria" w:hAnsi="Cambria" w:cs="Cambria" w:eastAsia="Cambria"/>
                <w:color w:val="1A1A1A"/>
                <w:sz w:val="18"/>
              </w:rPr>
              <w:t xml:space="preserve">0–21; impiegato nel solo punteggio complessivo</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Discesa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Esito secondario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3379"/>
      </w:r>
      <w:r>
        <w:t xml:space="preserve"> </w:t>
      </w:r>
      <w:r>
        <w:t xml:space="preserve">La tabella seguente ne costituisce il dizionario dei dati.</w:t>
      </w:r>
    </w:p>
    <w:tbl>
      <w:tblPr>
        <w:tblStyle w:val="Table"/>
        <w:tblW w:type="pct" w:w="491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52"/>
        <w:gridCol w:w="4154"/>
        <w:gridCol w:w="18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Campo del dataset</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Momento di rilevazione</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Data di apertura, canale di accesso, invio</w:t>
            </w:r>
          </w:p>
        </w:tc>
        <w:tc>
          <w:tcPr/>
          <w:p>
            <w:pPr>
              <w:pStyle w:val="Compact"/>
              <w:spacing w:after="40" w:before="40"/>
              <w:jc w:val="left"/>
            </w:pPr>
            <w:r>
              <w:rPr>
                <w:rFonts w:ascii="Cambria" w:hAnsi="Cambria" w:cs="Cambria" w:eastAsia="Cambria"/>
                <w:color w:val="1A1A1A"/>
                <w:sz w:val="18"/>
              </w:rPr>
              <w:t xml:space="preserve">All’apertura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Seduta</w:t>
            </w:r>
          </w:p>
        </w:tc>
        <w:tc>
          <w:tcPr>
            <w:shd w:val="clear" w:color="auto" w:fill="F4F1EC"/>
          </w:tcPr>
          <w:p>
            <w:pPr>
              <w:pStyle w:val="Compact"/>
              <w:spacing w:after="40" w:before="40"/>
              <w:jc w:val="left"/>
            </w:pPr>
            <w:r>
              <w:rPr>
                <w:rFonts w:ascii="Cambria" w:hAnsi="Cambria" w:cs="Cambria" w:eastAsia="Cambria"/>
                <w:color w:val="1A1A1A"/>
                <w:sz w:val="18"/>
              </w:rPr>
              <w:t xml:space="preserve">Data, tipo e numero progressivo della seduta</w:t>
            </w:r>
          </w:p>
        </w:tc>
        <w:tc>
          <w:tcPr>
            <w:shd w:val="clear" w:color="auto" w:fill="F4F1EC"/>
          </w:tcPr>
          <w:p>
            <w:pPr>
              <w:pStyle w:val="Compact"/>
              <w:spacing w:after="40" w:before="40"/>
              <w:jc w:val="left"/>
            </w:pPr>
            <w:r>
              <w:rPr>
                <w:rFonts w:ascii="Cambria" w:hAnsi="Cambria" w:cs="Cambria" w:eastAsia="Cambria"/>
                <w:color w:val="1A1A1A"/>
                <w:sz w:val="18"/>
              </w:rPr>
              <w:t xml:space="preserve">A ogni seduta</w:t>
            </w:r>
          </w:p>
        </w:tc>
      </w:tr>
      <w:tr>
        <w:tc>
          <w:tcPr/>
          <w:p>
            <w:pPr>
              <w:pStyle w:val="Compact"/>
              <w:spacing w:after="40" w:before="40"/>
              <w:jc w:val="left"/>
            </w:pPr>
            <w:r>
              <w:rPr>
                <w:rFonts w:ascii="Cambria" w:hAnsi="Cambria" w:cs="Cambria" w:eastAsia="Cambria"/>
                <w:b/>
                <w:bCs/>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e GAD-7 (punteggi complessivi)</w:t>
            </w:r>
          </w:p>
        </w:tc>
        <w:tc>
          <w:tcPr/>
          <w:p>
            <w:pPr>
              <w:pStyle w:val="Compact"/>
              <w:spacing w:after="40" w:before="40"/>
              <w:jc w:val="left"/>
            </w:pPr>
            <w:r>
              <w:rPr>
                <w:rFonts w:ascii="Cambria" w:hAnsi="Cambria" w:cs="Cambria" w:eastAsia="Cambria"/>
                <w:color w:val="1A1A1A"/>
                <w:sz w:val="18"/>
              </w:rPr>
              <w:t xml:space="preserve">A ogni seduta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Invii e restituzioni</w:t>
            </w:r>
          </w:p>
        </w:tc>
        <w:tc>
          <w:tcPr>
            <w:shd w:val="clear" w:color="auto" w:fill="F4F1EC"/>
          </w:tcPr>
          <w:p>
            <w:pPr>
              <w:pStyle w:val="Compact"/>
              <w:spacing w:after="40" w:before="40"/>
              <w:jc w:val="left"/>
            </w:pPr>
            <w:r>
              <w:rPr>
                <w:rFonts w:ascii="Cambria" w:hAnsi="Cambria" w:cs="Cambria" w:eastAsia="Cambria"/>
                <w:color w:val="1A1A1A"/>
                <w:sz w:val="18"/>
              </w:rPr>
              <w:t xml:space="preserve">Invio a servizi specialistici; restituzione al medico curante</w:t>
            </w:r>
          </w:p>
        </w:tc>
        <w:tc>
          <w:tcPr>
            <w:shd w:val="clear" w:color="auto" w:fill="F4F1EC"/>
          </w:tcPr>
          <w:p>
            <w:pPr>
              <w:pStyle w:val="Compact"/>
              <w:spacing w:after="40" w:before="40"/>
              <w:jc w:val="left"/>
            </w:pPr>
            <w:r>
              <w:rPr>
                <w:rFonts w:ascii="Cambria" w:hAnsi="Cambria" w:cs="Cambria" w:eastAsia="Cambria"/>
                <w:color w:val="1A1A1A"/>
                <w:sz w:val="18"/>
              </w:rPr>
              <w:t xml:space="preserve">Ove pertinente</w:t>
            </w:r>
          </w:p>
        </w:tc>
      </w:tr>
      <w:tr>
        <w:tc>
          <w:tcPr/>
          <w:p>
            <w:pPr>
              <w:pStyle w:val="Compact"/>
              <w:spacing w:after="40" w:before="40"/>
              <w:jc w:val="left"/>
            </w:pPr>
            <w:r>
              <w:rPr>
                <w:rFonts w:ascii="Cambria" w:hAnsi="Cambria" w:cs="Cambria" w:eastAsia="Cambria"/>
                <w:b/>
                <w:bCs/>
                <w:color w:val="1A1A1A"/>
                <w:sz w:val="18"/>
              </w:rPr>
              <w:t xml:space="preserve">Chiusura</w:t>
            </w:r>
          </w:p>
        </w:tc>
        <w:tc>
          <w:tcPr/>
          <w:p>
            <w:pPr>
              <w:pStyle w:val="Compact"/>
              <w:spacing w:after="40" w:before="40"/>
              <w:jc w:val="left"/>
            </w:pPr>
            <w:r>
              <w:rPr>
                <w:rFonts w:ascii="Cambria" w:hAnsi="Cambria" w:cs="Cambria" w:eastAsia="Cambria"/>
                <w:color w:val="1A1A1A"/>
                <w:sz w:val="18"/>
              </w:rPr>
              <w:t xml:space="preserve">Esito del percorso (recupero, miglioramento, invio)</w:t>
            </w:r>
          </w:p>
        </w:tc>
        <w:tc>
          <w:tcPr/>
          <w:p>
            <w:pPr>
              <w:pStyle w:val="Compact"/>
              <w:spacing w:after="40" w:before="40"/>
              <w:jc w:val="left"/>
            </w:pPr>
            <w:r>
              <w:rPr>
                <w:rFonts w:ascii="Cambria" w:hAnsi="Cambria" w:cs="Cambria" w:eastAsia="Cambria"/>
                <w:color w:val="1A1A1A"/>
                <w:sz w:val="18"/>
              </w:rPr>
              <w:t xml:space="preserve">Alla chiusura</w:t>
            </w:r>
          </w:p>
        </w:tc>
      </w:tr>
    </w:tbl>
    <w:p>
      <w:pPr>
        <w:pStyle w:val="BodyText"/>
      </w:pPr>
      <w:r>
        <w:rPr>
          <w:i/>
          <w:iCs/>
        </w:rPr>
        <w:t xml:space="preserve">Tabella B.2. Il dataset minimo: i campi del protocollo di rilevazione (dizionario dei dati).</w:t>
      </w:r>
    </w:p>
    <w:bookmarkEnd w:id="3261"/>
    <w:bookmarkStart w:id="3264" w:name="appendice-c-dati-regionali-e-fonti-11"/>
    <w:p>
      <w:pPr>
        <w:pStyle w:val="Heading2"/>
      </w:pPr>
      <w:r>
        <w:t xml:space="preserve">Appendice C — Dati regionali e fonti</w:t>
      </w:r>
    </w:p>
    <w:p>
      <w:pPr>
        <w:pStyle w:val="FirstParagraph"/>
      </w:pPr>
      <w:r>
        <w:t xml:space="preserve">La presente appendice raccoglie i dati regionali di ancoraggio dello studio e ne dichiara i limiti. I valori laziali impiegati nelle analisi sono riepilogati nella tabella seguente.</w:t>
      </w:r>
      <w:r>
        <w:rPr>
          <w:rStyle w:val="FootnoteReference"/>
        </w:rPr>
        <w:footnoteReference w:id="3380"/>
      </w:r>
    </w:p>
    <w:tbl>
      <w:tblPr>
        <w:tblStyle w:val="Table"/>
        <w:tblW w:type="pct" w:w="496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919"/>
        <w:gridCol w:w="694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regionale</w:t>
            </w:r>
          </w:p>
        </w:tc>
      </w:tr>
      <w:tr>
        <w:tc>
          <w:tcPr/>
          <w:p>
            <w:pPr>
              <w:pStyle w:val="Compact"/>
              <w:spacing w:after="40" w:before="40"/>
              <w:jc w:val="left"/>
            </w:pPr>
            <w:r>
              <w:rPr>
                <w:rFonts w:ascii="Cambria" w:hAnsi="Cambria" w:cs="Cambria" w:eastAsia="Cambria"/>
                <w:b/>
                <w:bCs/>
                <w:color w:val="1A1A1A"/>
                <w:sz w:val="18"/>
              </w:rPr>
              <w:t xml:space="preserve">Popolazione regionale</w:t>
            </w:r>
          </w:p>
        </w:tc>
        <w:tc>
          <w:tcPr/>
          <w:p>
            <w:pPr>
              <w:pStyle w:val="Compact"/>
              <w:spacing w:after="40" w:before="40"/>
              <w:jc w:val="left"/>
            </w:pPr>
            <w:r>
              <w:rPr>
                <w:rFonts w:ascii="Cambria" w:hAnsi="Cambria" w:cs="Cambria" w:eastAsia="Cambria"/>
                <w:color w:val="1A1A1A"/>
                <w:sz w:val="18"/>
              </w:rPr>
              <w:t xml:space="preserve">5.582.337 abitanti (Censimento ISTAT 2024), ~9,5% del totale nazionale; lieve calo; concentrazione sulla provincia di Napoli (~53%); stranieri ~5,0%; età media ~44,5 anni, fra le più giovani d’Italia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Finanziamento del SSR</w:t>
            </w:r>
          </w:p>
        </w:tc>
        <w:tc>
          <w:tcPr>
            <w:shd w:val="clear" w:color="auto" w:fill="F4F1EC"/>
          </w:tcPr>
          <w:p>
            <w:pPr>
              <w:pStyle w:val="Compact"/>
              <w:spacing w:after="40" w:before="40"/>
              <w:jc w:val="left"/>
            </w:pPr>
            <w:r>
              <w:rPr>
                <w:rFonts w:ascii="Cambria" w:hAnsi="Cambria" w:cs="Cambria" w:eastAsia="Cambria"/>
                <w:color w:val="1A1A1A"/>
                <w:sz w:val="18"/>
              </w:rPr>
              <w:t xml:space="preserve">Dell’ordine di 11–12 miliardi di euro; uscita dal piano di rientro nel marzo 2026, con margini di programmazione riacquistati</w:t>
            </w:r>
          </w:p>
        </w:tc>
      </w:tr>
      <w:tr>
        <w:tc>
          <w:tcPr/>
          <w:p>
            <w:pPr>
              <w:pStyle w:val="Compact"/>
              <w:spacing w:after="40" w:before="40"/>
              <w:jc w:val="left"/>
            </w:pPr>
            <w:r>
              <w:rPr>
                <w:rFonts w:ascii="Cambria" w:hAnsi="Cambria" w:cs="Cambria" w:eastAsia="Cambria"/>
                <w:b/>
                <w:bCs/>
                <w:color w:val="1A1A1A"/>
                <w:sz w:val="18"/>
              </w:rPr>
              <w:t xml:space="preserve">Mobilità sanitaria</w:t>
            </w:r>
          </w:p>
        </w:tc>
        <w:tc>
          <w:tcPr/>
          <w:p>
            <w:pPr>
              <w:pStyle w:val="Compact"/>
              <w:spacing w:after="40" w:before="40"/>
              <w:jc w:val="left"/>
            </w:pPr>
            <w:r>
              <w:rPr>
                <w:rFonts w:ascii="Cambria" w:hAnsi="Cambria" w:cs="Cambria" w:eastAsia="Cambria"/>
                <w:color w:val="1A1A1A"/>
                <w:sz w:val="18"/>
              </w:rPr>
              <w:t xml:space="preserve">Saldo fra i più passivi d’Italia (~300 milioni), in miglioramento; fuga concentrata nell’alta complessità ospedaliera e chirurgica; canale di recupero modesto per questo intervento (sola frazione territoriale)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cause psichiatriche dell’ordine di alcune decine di migliaia l’anno (proxy dai dati nazionali)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Consumo regionale delle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 1.116.000 con disagio comune potenziale (proxy ~20%); utenza in carico ai servizi rapportata ai dati nazionali; disagio giovanile rilevante in una regione giovane</w:t>
            </w:r>
          </w:p>
        </w:tc>
      </w:tr>
      <w:tr>
        <w:tc>
          <w:tcPr/>
          <w:p>
            <w:pPr>
              <w:pStyle w:val="Compact"/>
              <w:spacing w:after="40" w:before="40"/>
              <w:jc w:val="left"/>
            </w:pPr>
            <w:r>
              <w:rPr>
                <w:rFonts w:ascii="Cambria" w:hAnsi="Cambria" w:cs="Cambria" w:eastAsia="Cambria"/>
                <w:b/>
                <w:bCs/>
                <w:color w:val="1A1A1A"/>
                <w:sz w:val="18"/>
              </w:rPr>
              <w:t xml:space="preserve">Funzione attuale</w:t>
            </w:r>
          </w:p>
        </w:tc>
        <w:tc>
          <w:tcPr/>
          <w:p>
            <w:pPr>
              <w:pStyle w:val="Compact"/>
              <w:spacing w:after="40" w:before="40"/>
              <w:jc w:val="left"/>
            </w:pPr>
            <w:r>
              <w:rPr>
                <w:rFonts w:ascii="Cambria" w:hAnsi="Cambria" w:cs="Cambria" w:eastAsia="Cambria"/>
                <w:color w:val="1A1A1A"/>
                <w:sz w:val="18"/>
              </w:rPr>
              <w:t xml:space="preserve">Servizio attivo: prima legge d’Italia (LR 35/2020), regolamento attuativo (RR 8/2022), ~146 psicologi (due per distretto), finanziamento in parte transitorio (PNES), Osservatorio regionale istituito; legittimità riconosciuta dalla Corte Costituzionale (sent. 241/2021)</w:t>
            </w:r>
          </w:p>
        </w:tc>
      </w:tr>
    </w:tbl>
    <w:p>
      <w:pPr>
        <w:pStyle w:val="BodyText"/>
      </w:pPr>
      <w:r>
        <w:rPr>
          <w:i/>
          <w:iCs/>
        </w:rPr>
        <w:t xml:space="preserve">Tabella C.1. I valori regionali di ancoraggio della Campania.</w:t>
      </w:r>
    </w:p>
    <w:p>
      <w:pPr>
        <w:pStyle w:val="BodyText"/>
      </w:pPr>
      <w:r>
        <w:t xml:space="preserve">Resta la lacuna principale dello studio: i valori economici sono in parte ricostruiti a partire dai conti nazionali scalati per la quota di popolazione laziale, e non estratti dai conti regionali certificati.</w:t>
      </w:r>
      <w:r>
        <w:rPr>
          <w:rStyle w:val="FootnoteReference"/>
        </w:rPr>
        <w:footnoteReference w:id="3381"/>
      </w:r>
      <w:r>
        <w:t xml:space="preserve"> </w:t>
      </w:r>
      <w:r>
        <w:t xml:space="preserve">La tabella seguente elenca i dati da acquisire per sostituire le stime.</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49"/>
        <w:gridCol w:w="607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Dato da acquisire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Ricoveri psichiatrici</w:t>
            </w:r>
          </w:p>
        </w:tc>
        <w:tc>
          <w:tcPr/>
          <w:p>
            <w:pPr>
              <w:pStyle w:val="Compact"/>
              <w:spacing w:after="40" w:before="40"/>
              <w:jc w:val="left"/>
            </w:pPr>
            <w:r>
              <w:rPr>
                <w:rFonts w:ascii="Cambria" w:hAnsi="Cambria" w:cs="Cambria" w:eastAsia="Cambria"/>
                <w:color w:val="1A1A1A"/>
                <w:sz w:val="18"/>
              </w:rPr>
              <w:t xml:space="preserve">Schede di dimissione ospedaliera per disturbi psichici e relativo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Specialistica</w:t>
            </w:r>
          </w:p>
        </w:tc>
        <w:tc>
          <w:tcPr>
            <w:shd w:val="clear" w:color="auto" w:fill="F4F1EC"/>
          </w:tcPr>
          <w:p>
            <w:pPr>
              <w:pStyle w:val="Compact"/>
              <w:spacing w:after="40" w:before="40"/>
              <w:jc w:val="left"/>
            </w:pPr>
            <w:r>
              <w:rPr>
                <w:rFonts w:ascii="Cambria" w:hAnsi="Cambria" w:cs="Cambria" w:eastAsia="Cambria"/>
                <w:color w:val="1A1A1A"/>
                <w:sz w:val="18"/>
              </w:rPr>
              <w:t xml:space="preserve">Prestazioni specialistiche associate ai sintomi somatici funzionali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Spesa regionale per 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causa psichiatrica e relativo costo unitario</w:t>
            </w:r>
          </w:p>
        </w:tc>
      </w:tr>
      <w:tr>
        <w:tc>
          <w:tcPr/>
          <w:p>
            <w:pPr>
              <w:pStyle w:val="Compact"/>
              <w:spacing w:after="40" w:before="40"/>
              <w:jc w:val="left"/>
            </w:pPr>
            <w:r>
              <w:rPr>
                <w:rFonts w:ascii="Cambria" w:hAnsi="Cambria" w:cs="Cambria" w:eastAsia="Cambria"/>
                <w:b/>
                <w:bCs/>
                <w:color w:val="1A1A1A"/>
                <w:sz w:val="18"/>
              </w:rPr>
              <w:t xml:space="preserve">Dati del servizio attivo</w:t>
            </w:r>
          </w:p>
        </w:tc>
        <w:tc>
          <w:tcPr/>
          <w:p>
            <w:pPr>
              <w:pStyle w:val="Compact"/>
              <w:spacing w:after="40" w:before="40"/>
              <w:jc w:val="left"/>
            </w:pPr>
            <w:r>
              <w:rPr>
                <w:rFonts w:ascii="Cambria" w:hAnsi="Cambria" w:cs="Cambria" w:eastAsia="Cambria"/>
                <w:color w:val="1A1A1A"/>
                <w:sz w:val="18"/>
              </w:rPr>
              <w:t xml:space="preserve">Prese in carico, sedute ed esiti già raccolti dall’Osservatorio regionale, da consolidare e uniformare come fonte primaria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Liste di attesa</w:t>
            </w:r>
          </w:p>
        </w:tc>
        <w:tc>
          <w:tcPr>
            <w:shd w:val="clear" w:color="auto" w:fill="F4F1EC"/>
          </w:tcPr>
          <w:p>
            <w:pPr>
              <w:pStyle w:val="Compact"/>
              <w:spacing w:after="40" w:before="40"/>
              <w:jc w:val="left"/>
            </w:pPr>
            <w:r>
              <w:rPr>
                <w:rFonts w:ascii="Cambria" w:hAnsi="Cambria" w:cs="Cambria" w:eastAsia="Cambria"/>
                <w:color w:val="1A1A1A"/>
                <w:sz w:val="18"/>
              </w:rPr>
              <w:t xml:space="preserve">Tempi di attesa per l’accesso psicologico, per Azienda e per area</w:t>
            </w:r>
          </w:p>
        </w:tc>
      </w:tr>
    </w:tbl>
    <w:p>
      <w:pPr>
        <w:pStyle w:val="BodyText"/>
      </w:pPr>
      <w:r>
        <w:rPr>
          <w:i/>
          <w:iCs/>
        </w:rPr>
        <w:t xml:space="preserve">Tabella C.2. I dati certificati da acquisire per sostituire le stime (lacuna principale dello studio).</w:t>
      </w:r>
    </w:p>
    <w:bookmarkEnd w:id="3264"/>
    <w:bookmarkStart w:id="3266" w:name="appendice-d-checklist-di-reporting-11"/>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3382"/>
      </w:r>
      <w:r>
        <w:t xml:space="preserve"> </w:t>
      </w:r>
      <w:r>
        <w:t xml:space="preserve">La tabella seguente li riepiloga.</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3927"/>
        <w:gridCol w:w="1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Standard o lista di controllo</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r>
      <w:tr>
        <w:tc>
          <w:tcPr/>
          <w:p>
            <w:pPr>
              <w:pStyle w:val="Compact"/>
              <w:spacing w:after="40" w:before="40"/>
              <w:jc w:val="left"/>
            </w:pPr>
            <w:r>
              <w:rPr>
                <w:rFonts w:ascii="Cambria" w:hAnsi="Cambria" w:cs="Cambria" w:eastAsia="Cambria"/>
                <w:b/>
                <w:bCs/>
                <w:color w:val="1A1A1A"/>
                <w:sz w:val="18"/>
              </w:rPr>
              <w:t xml:space="preserve">CHEERS 2022 (28 voci)</w:t>
            </w:r>
          </w:p>
        </w:tc>
        <w:tc>
          <w:tcPr/>
          <w:p>
            <w:pPr>
              <w:pStyle w:val="Compact"/>
              <w:spacing w:after="40" w:before="40"/>
              <w:jc w:val="left"/>
            </w:pPr>
            <w:r>
              <w:rPr>
                <w:rFonts w:ascii="Cambria" w:hAnsi="Cambria" w:cs="Cambria" w:eastAsia="Cambria"/>
                <w:color w:val="1A1A1A"/>
                <w:sz w:val="18"/>
              </w:rPr>
              <w:t xml:space="preserve">Rendicontazione delle valutazioni economiche</w:t>
            </w:r>
          </w:p>
        </w:tc>
        <w:tc>
          <w:tcPr/>
          <w:p>
            <w:pPr>
              <w:pStyle w:val="Compact"/>
              <w:spacing w:after="40" w:before="40"/>
              <w:jc w:val="left"/>
            </w:pPr>
            <w:r>
              <w:rPr>
                <w:rFonts w:ascii="Cambria" w:hAnsi="Cambria" w:cs="Cambria" w:eastAsia="Cambria"/>
                <w:color w:val="1A1A1A"/>
                <w:sz w:val="18"/>
              </w:rPr>
              <w:t xml:space="preserve">Parte 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CHEERS-AI (38 voci)</w:t>
            </w:r>
          </w:p>
        </w:tc>
        <w:tc>
          <w:tcPr>
            <w:shd w:val="clear" w:color="auto" w:fill="F4F1EC"/>
          </w:tcPr>
          <w:p>
            <w:pPr>
              <w:pStyle w:val="Compact"/>
              <w:spacing w:after="40" w:before="40"/>
              <w:jc w:val="left"/>
            </w:pPr>
            <w:r>
              <w:rPr>
                <w:rFonts w:ascii="Cambria" w:hAnsi="Cambria" w:cs="Cambria" w:eastAsia="Cambria"/>
                <w:color w:val="1A1A1A"/>
                <w:sz w:val="18"/>
              </w:rPr>
              <w:t xml:space="preserve">Estensione per gli interventi con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Parti C, E</w:t>
            </w:r>
          </w:p>
        </w:tc>
      </w:tr>
      <w:tr>
        <w:tc>
          <w:tcPr/>
          <w:p>
            <w:pPr>
              <w:pStyle w:val="Compact"/>
              <w:spacing w:after="40" w:before="40"/>
              <w:jc w:val="left"/>
            </w:pPr>
            <w:r>
              <w:rPr>
                <w:rFonts w:ascii="Cambria" w:hAnsi="Cambria" w:cs="Cambria" w:eastAsia="Cambria"/>
                <w:b/>
                <w:bCs/>
                <w:color w:val="1A1A1A"/>
                <w:sz w:val="18"/>
              </w:rPr>
              <w:t xml:space="preserve">PRISMA 2020</w:t>
            </w:r>
          </w:p>
        </w:tc>
        <w:tc>
          <w:tcPr/>
          <w:p>
            <w:pPr>
              <w:pStyle w:val="Compact"/>
              <w:spacing w:after="40" w:before="40"/>
              <w:jc w:val="left"/>
            </w:pPr>
            <w:r>
              <w:rPr>
                <w:rFonts w:ascii="Cambria" w:hAnsi="Cambria" w:cs="Cambria" w:eastAsia="Cambria"/>
                <w:color w:val="1A1A1A"/>
                <w:sz w:val="18"/>
              </w:rPr>
              <w:t xml:space="preserve">Conduzione e reporting delle revisioni sistematiche</w:t>
            </w:r>
          </w:p>
        </w:tc>
        <w:tc>
          <w:tcPr/>
          <w:p>
            <w:pPr>
              <w:pStyle w:val="Compact"/>
              <w:spacing w:after="40" w:before="40"/>
              <w:jc w:val="left"/>
            </w:pPr>
            <w:r>
              <w:rPr>
                <w:rFonts w:ascii="Cambria" w:hAnsi="Cambria" w:cs="Cambria" w:eastAsia="Cambria"/>
                <w:color w:val="1A1A1A"/>
                <w:sz w:val="18"/>
              </w:rPr>
              <w:t xml:space="preserve">Parte 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GRADE</w:t>
            </w:r>
          </w:p>
        </w:tc>
        <w:tc>
          <w:tcPr>
            <w:shd w:val="clear" w:color="auto" w:fill="F4F1EC"/>
          </w:tcPr>
          <w:p>
            <w:pPr>
              <w:pStyle w:val="Compact"/>
              <w:spacing w:after="40" w:before="40"/>
              <w:jc w:val="left"/>
            </w:pPr>
            <w:r>
              <w:rPr>
                <w:rFonts w:ascii="Cambria" w:hAnsi="Cambria" w:cs="Cambria" w:eastAsia="Cambria"/>
                <w:color w:val="1A1A1A"/>
                <w:sz w:val="18"/>
              </w:rPr>
              <w:t xml:space="preserve">Graduazione della certezza dell’evidenza</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r>
      <w:tr>
        <w:tc>
          <w:tcPr/>
          <w:p>
            <w:pPr>
              <w:pStyle w:val="Compact"/>
              <w:spacing w:after="40" w:before="40"/>
              <w:jc w:val="left"/>
            </w:pPr>
            <w:r>
              <w:rPr>
                <w:rFonts w:ascii="Cambria" w:hAnsi="Cambria" w:cs="Cambria" w:eastAsia="Cambria"/>
                <w:b/>
                <w:bCs/>
                <w:color w:val="1A1A1A"/>
                <w:sz w:val="18"/>
              </w:rPr>
              <w:t xml:space="preserve">Lista STROBE</w:t>
            </w:r>
          </w:p>
        </w:tc>
        <w:tc>
          <w:tcPr/>
          <w:p>
            <w:pPr>
              <w:pStyle w:val="Compact"/>
              <w:spacing w:after="40" w:before="40"/>
              <w:jc w:val="left"/>
            </w:pPr>
            <w:r>
              <w:rPr>
                <w:rFonts w:ascii="Cambria" w:hAnsi="Cambria" w:cs="Cambria" w:eastAsia="Cambria"/>
                <w:color w:val="1A1A1A"/>
                <w:sz w:val="18"/>
              </w:rPr>
              <w:t xml:space="preserve">Studi osservazionali sui dati reali</w:t>
            </w:r>
          </w:p>
        </w:tc>
        <w:tc>
          <w:tcPr/>
          <w:p>
            <w:pPr>
              <w:pStyle w:val="Compact"/>
              <w:spacing w:after="40" w:before="40"/>
              <w:jc w:val="left"/>
            </w:pPr>
            <w:r>
              <w:rPr>
                <w:rFonts w:ascii="Cambria" w:hAnsi="Cambria" w:cs="Cambria" w:eastAsia="Cambria"/>
                <w:color w:val="1A1A1A"/>
                <w:sz w:val="18"/>
              </w:rPr>
              <w:t xml:space="preserve">Parti D,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Buone pratiche ISPOR-SMDM</w:t>
            </w:r>
          </w:p>
        </w:tc>
        <w:tc>
          <w:tcPr>
            <w:shd w:val="clear" w:color="auto" w:fill="F4F1EC"/>
          </w:tcPr>
          <w:p>
            <w:pPr>
              <w:pStyle w:val="Compact"/>
              <w:spacing w:after="40" w:before="40"/>
              <w:jc w:val="left"/>
            </w:pPr>
            <w:r>
              <w:rPr>
                <w:rFonts w:ascii="Cambria" w:hAnsi="Cambria" w:cs="Cambria" w:eastAsia="Cambria"/>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r>
      <w:tr>
        <w:tc>
          <w:tcPr/>
          <w:p>
            <w:pPr>
              <w:pStyle w:val="Compact"/>
              <w:spacing w:after="40" w:before="40"/>
              <w:jc w:val="left"/>
            </w:pPr>
            <w:r>
              <w:rPr>
                <w:rFonts w:ascii="Cambria" w:hAnsi="Cambria" w:cs="Cambria" w:eastAsia="Cambria"/>
                <w:b/>
                <w:bCs/>
                <w:color w:val="1A1A1A"/>
                <w:sz w:val="18"/>
              </w:rPr>
              <w:t xml:space="preserve">Manuale OCSE-JRC</w:t>
            </w:r>
          </w:p>
        </w:tc>
        <w:tc>
          <w:tcPr/>
          <w:p>
            <w:pPr>
              <w:pStyle w:val="Compact"/>
              <w:spacing w:after="40" w:before="40"/>
              <w:jc w:val="left"/>
            </w:pPr>
            <w:r>
              <w:rPr>
                <w:rFonts w:ascii="Cambria" w:hAnsi="Cambria" w:cs="Cambria" w:eastAsia="Cambria"/>
                <w:color w:val="1A1A1A"/>
                <w:sz w:val="18"/>
              </w:rPr>
              <w:t xml:space="preserve">Costruzione degli indicatori compositi</w:t>
            </w:r>
          </w:p>
        </w:tc>
        <w:tc>
          <w:tcPr/>
          <w:p>
            <w:pPr>
              <w:pStyle w:val="Compact"/>
              <w:spacing w:after="40" w:before="40"/>
              <w:jc w:val="left"/>
            </w:pPr>
            <w:r>
              <w:rPr>
                <w:rFonts w:ascii="Cambria" w:hAnsi="Cambria" w:cs="Cambria" w:eastAsia="Cambria"/>
                <w:color w:val="1A1A1A"/>
                <w:sz w:val="18"/>
              </w:rPr>
              <w:t xml:space="preserve">Parte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Griglia di giudizio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r>
    </w:tbl>
    <w:p>
      <w:pPr>
        <w:pStyle w:val="BodyText"/>
      </w:pPr>
      <w:r>
        <w:rPr>
          <w:i/>
          <w:iCs/>
        </w:rPr>
        <w:t xml:space="preserve">Tabella D.1. Gli standard di reporting e di qualità adottati nello studio, per parte di applicazione.</w:t>
      </w:r>
    </w:p>
    <w:bookmarkEnd w:id="3266"/>
    <w:bookmarkStart w:id="3268" w:name="appendice-e-glossario-11"/>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3383"/>
      </w:r>
      <w:r>
        <w:t xml:space="preserve"> </w:t>
      </w:r>
      <w:r>
        <w:t xml:space="preserve">Le definizioni sono comuni al telaio metodologico replicato in tutti gli studi regionali del progetto.</w:t>
      </w:r>
    </w:p>
    <w:tbl>
      <w:tblPr>
        <w:tblStyle w:val="Table"/>
        <w:tblW w:type="pct" w:w="497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050"/>
        <w:gridCol w:w="683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Termine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w:t>
            </w:r>
          </w:p>
        </w:tc>
      </w:tr>
      <w:tr>
        <w:tc>
          <w:tcPr/>
          <w:p>
            <w:pPr>
              <w:pStyle w:val="Compact"/>
              <w:spacing w:after="40" w:before="40"/>
              <w:jc w:val="left"/>
            </w:pPr>
            <w:r>
              <w:rPr>
                <w:rFonts w:ascii="Cambria" w:hAnsi="Cambria" w:cs="Cambria" w:eastAsia="Cambria"/>
                <w:b/>
                <w:bCs/>
                <w:color w:val="1A1A1A"/>
                <w:sz w:val="18"/>
              </w:rPr>
              <w:t xml:space="preserve">Valutazione di tecnologia sanitaria (HTA)</w:t>
            </w:r>
          </w:p>
        </w:tc>
        <w:tc>
          <w:tcPr/>
          <w:p>
            <w:pPr>
              <w:pStyle w:val="Compact"/>
              <w:spacing w:after="40" w:before="40"/>
              <w:jc w:val="left"/>
            </w:pPr>
            <w:r>
              <w:rPr>
                <w:rFonts w:ascii="Cambria" w:hAnsi="Cambria" w:cs="Cambria" w:eastAsia="Cambria"/>
                <w:color w:val="1A1A1A"/>
                <w:sz w:val="18"/>
              </w:rPr>
              <w:t xml:space="preserve">Valutazione multidimensionale di un intervento sanitario, articolata in nove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rapida di efficacia relativa</w:t>
            </w:r>
          </w:p>
        </w:tc>
        <w:tc>
          <w:tcPr>
            <w:shd w:val="clear" w:color="auto" w:fill="F4F1EC"/>
          </w:tcPr>
          <w:p>
            <w:pPr>
              <w:pStyle w:val="Compact"/>
              <w:spacing w:after="40" w:before="40"/>
              <w:jc w:val="left"/>
            </w:pPr>
            <w:r>
              <w:rPr>
                <w:rFonts w:ascii="Cambria" w:hAnsi="Cambria" w:cs="Cambria" w:eastAsia="Cambria"/>
                <w:color w:val="1A1A1A"/>
                <w:sz w:val="18"/>
              </w:rPr>
              <w:t xml:space="preserve">Nucleo dell’HTA, che copre i primi quattro domini (problema, descrizione, sicurezza, efficacia)</w:t>
            </w:r>
          </w:p>
        </w:tc>
      </w:tr>
      <w:tr>
        <w:tc>
          <w:tcPr/>
          <w:p>
            <w:pPr>
              <w:pStyle w:val="Compact"/>
              <w:spacing w:after="40" w:before="40"/>
              <w:jc w:val="left"/>
            </w:pPr>
            <w:r>
              <w:rPr>
                <w:rFonts w:ascii="Cambria" w:hAnsi="Cambria" w:cs="Cambria" w:eastAsia="Cambria"/>
                <w:b/>
                <w:bCs/>
                <w:color w:val="1A1A1A"/>
                <w:sz w:val="18"/>
              </w:rPr>
              <w:t xml:space="preserve">Five Case Model</w:t>
            </w:r>
          </w:p>
        </w:tc>
        <w:tc>
          <w:tcPr/>
          <w:p>
            <w:pPr>
              <w:pStyle w:val="Compact"/>
              <w:spacing w:after="40" w:before="40"/>
              <w:jc w:val="left"/>
            </w:pPr>
            <w:r>
              <w:rPr>
                <w:rFonts w:ascii="Cambria" w:hAnsi="Cambria" w:cs="Cambria" w:eastAsia="Cambria"/>
                <w:color w:val="1A1A1A"/>
                <w:sz w:val="18"/>
              </w:rPr>
              <w:t xml:space="preserve">Standard del business case pubblico in cinque casi: strategico, economico, commerciale, finanziario, gestionale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 2022</w:t>
            </w:r>
          </w:p>
        </w:tc>
        <w:tc>
          <w:tcPr>
            <w:shd w:val="clear" w:color="auto" w:fill="F4F1EC"/>
          </w:tcPr>
          <w:p>
            <w:pPr>
              <w:pStyle w:val="Compact"/>
              <w:spacing w:after="40" w:before="40"/>
              <w:jc w:val="left"/>
            </w:pPr>
            <w:r>
              <w:rPr>
                <w:rFonts w:ascii="Cambria" w:hAnsi="Cambria" w:cs="Cambria" w:eastAsia="Cambria"/>
                <w:color w:val="1A1A1A"/>
                <w:sz w:val="18"/>
              </w:rPr>
              <w:t xml:space="preserve">Lista di controllo di 28 voci per la rendicontazione delle valutazioni economiche</w:t>
            </w:r>
          </w:p>
        </w:tc>
      </w:tr>
      <w:tr>
        <w:tc>
          <w:tcPr/>
          <w:p>
            <w:pPr>
              <w:pStyle w:val="Compact"/>
              <w:spacing w:after="40" w:before="40"/>
              <w:jc w:val="left"/>
            </w:pPr>
            <w:r>
              <w:rPr>
                <w:rFonts w:ascii="Cambria" w:hAnsi="Cambria" w:cs="Cambria" w:eastAsia="Cambria"/>
                <w:b/>
                <w:bCs/>
                <w:color w:val="1A1A1A"/>
                <w:sz w:val="18"/>
              </w:rPr>
              <w:t xml:space="preserve">Criteri OCSE-DAC</w:t>
            </w:r>
          </w:p>
        </w:tc>
        <w:tc>
          <w:tcPr/>
          <w:p>
            <w:pPr>
              <w:pStyle w:val="Compact"/>
              <w:spacing w:after="40" w:before="40"/>
              <w:jc w:val="left"/>
            </w:pPr>
            <w:r>
              <w:rPr>
                <w:rFonts w:ascii="Cambria" w:hAnsi="Cambria" w:cs="Cambria" w:eastAsia="Cambria"/>
                <w:color w:val="1A1A1A"/>
                <w:sz w:val="18"/>
              </w:rPr>
              <w:t xml:space="preserve">Sei criteri di giudizio: rilevanza, coerenza, efficacia, efficienza, impatto,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di vita ponderato per la qualità (QALY)</w:t>
            </w:r>
          </w:p>
        </w:tc>
        <w:tc>
          <w:tcPr>
            <w:shd w:val="clear" w:color="auto" w:fill="F4F1EC"/>
          </w:tcPr>
          <w:p>
            <w:pPr>
              <w:pStyle w:val="Compact"/>
              <w:spacing w:after="40" w:before="40"/>
              <w:jc w:val="left"/>
            </w:pPr>
            <w:r>
              <w:rPr>
                <w:rFonts w:ascii="Cambria" w:hAnsi="Cambria" w:cs="Cambria" w:eastAsia="Cambria"/>
                <w:color w:val="1A1A1A"/>
                <w:sz w:val="18"/>
              </w:rPr>
              <w:t xml:space="preserve">Misura che integra durata e qualità della vita guadagnate</w:t>
            </w:r>
          </w:p>
        </w:tc>
      </w:tr>
      <w:tr>
        <w:tc>
          <w:tcPr/>
          <w:p>
            <w:pPr>
              <w:pStyle w:val="Compact"/>
              <w:spacing w:after="40" w:before="40"/>
              <w:jc w:val="left"/>
            </w:pPr>
            <w:r>
              <w:rPr>
                <w:rFonts w:ascii="Cambria" w:hAnsi="Cambria" w:cs="Cambria" w:eastAsia="Cambria"/>
                <w:b/>
                <w:bCs/>
                <w:color w:val="1A1A1A"/>
                <w:sz w:val="18"/>
              </w:rPr>
              <w:t xml:space="preserve">Rapporto incrementale di costo-efficacia (ICER)</w:t>
            </w:r>
          </w:p>
        </w:tc>
        <w:tc>
          <w:tcPr/>
          <w:p>
            <w:pPr>
              <w:pStyle w:val="Compact"/>
              <w:spacing w:after="40" w:before="40"/>
              <w:jc w:val="left"/>
            </w:pPr>
            <w:r>
              <w:rPr>
                <w:rFonts w:ascii="Cambria" w:hAnsi="Cambria" w:cs="Cambria" w:eastAsia="Cambria"/>
                <w:color w:val="1A1A1A"/>
                <w:sz w:val="18"/>
              </w:rPr>
              <w:t xml:space="preserve">Rapporto tra costo aggiuntivo e guadagno di salute, confrontato con una soglia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costo-utilità</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che misura gli esiti in anni di vita ponderati per la qualità</w:t>
            </w:r>
          </w:p>
        </w:tc>
      </w:tr>
      <w:tr>
        <w:tc>
          <w:tcPr/>
          <w:p>
            <w:pPr>
              <w:pStyle w:val="Compact"/>
              <w:spacing w:after="40" w:before="40"/>
              <w:jc w:val="left"/>
            </w:pPr>
            <w:r>
              <w:rPr>
                <w:rFonts w:ascii="Cambria" w:hAnsi="Cambria" w:cs="Cambria" w:eastAsia="Cambria"/>
                <w:b/>
                <w:bCs/>
                <w:color w:val="1A1A1A"/>
                <w:sz w:val="18"/>
              </w:rPr>
              <w:t xml:space="preserve">Analisi di impatto sul bilancio</w:t>
            </w:r>
          </w:p>
        </w:tc>
        <w:tc>
          <w:tcPr/>
          <w:p>
            <w:pPr>
              <w:pStyle w:val="Compact"/>
              <w:spacing w:after="40" w:before="40"/>
              <w:jc w:val="left"/>
            </w:pPr>
            <w:r>
              <w:rPr>
                <w:rFonts w:ascii="Cambria" w:hAnsi="Cambria" w:cs="Cambria" w:eastAsia="Cambria"/>
                <w:color w:val="1A1A1A"/>
                <w:sz w:val="18"/>
              </w:rPr>
              <w:t xml:space="preserve">Stima dell’effetto finanziario sul bilancio del detentore del budget, su flussi non scontati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sull’investimento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Metodo che monetizza il valore sociale generato, distinto dai risparmi di bilancio</w:t>
            </w:r>
          </w:p>
        </w:tc>
      </w:tr>
      <w:tr>
        <w:tc>
          <w:tcPr/>
          <w:p>
            <w:pPr>
              <w:pStyle w:val="Compact"/>
              <w:spacing w:after="40" w:before="40"/>
              <w:jc w:val="left"/>
            </w:pPr>
            <w:r>
              <w:rPr>
                <w:rFonts w:ascii="Cambria" w:hAnsi="Cambria" w:cs="Cambria" w:eastAsia="Cambria"/>
                <w:b/>
                <w:bCs/>
                <w:color w:val="1A1A1A"/>
                <w:sz w:val="18"/>
              </w:rPr>
              <w:t xml:space="preserve">Analisi costo-efficacia distributiva (DCEA)</w:t>
            </w:r>
          </w:p>
        </w:tc>
        <w:tc>
          <w:tcPr/>
          <w:p>
            <w:pPr>
              <w:pStyle w:val="Compact"/>
              <w:spacing w:after="40" w:before="40"/>
              <w:jc w:val="left"/>
            </w:pPr>
            <w:r>
              <w:rPr>
                <w:rFonts w:ascii="Cambria" w:hAnsi="Cambria" w:cs="Cambria" w:eastAsia="Cambria"/>
                <w:color w:val="1A1A1A"/>
                <w:sz w:val="18"/>
              </w:rPr>
              <w:t xml:space="preserve">Estende la valutazione economica alla distribuzione degli effetti tra gruppi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sensibilità probabilistica</w:t>
            </w:r>
          </w:p>
        </w:tc>
        <w:tc>
          <w:tcPr>
            <w:shd w:val="clear" w:color="auto" w:fill="F4F1EC"/>
          </w:tcPr>
          <w:p>
            <w:pPr>
              <w:pStyle w:val="Compact"/>
              <w:spacing w:after="40" w:before="40"/>
              <w:jc w:val="left"/>
            </w:pPr>
            <w:r>
              <w:rPr>
                <w:rFonts w:ascii="Cambria" w:hAnsi="Cambria" w:cs="Cambria" w:eastAsia="Cambria"/>
                <w:color w:val="1A1A1A"/>
                <w:sz w:val="18"/>
              </w:rPr>
              <w:t xml:space="preserve">Propaga l’incertezza dei parametri mediante simulazioni Monte Carlo</w:t>
            </w:r>
          </w:p>
        </w:tc>
      </w:tr>
      <w:tr>
        <w:tc>
          <w:tcPr/>
          <w:p>
            <w:pPr>
              <w:pStyle w:val="Compact"/>
              <w:spacing w:after="40" w:before="40"/>
              <w:jc w:val="left"/>
            </w:pPr>
            <w:r>
              <w:rPr>
                <w:rFonts w:ascii="Cambria" w:hAnsi="Cambria" w:cs="Cambria" w:eastAsia="Cambria"/>
                <w:b/>
                <w:bCs/>
                <w:color w:val="1A1A1A"/>
                <w:sz w:val="18"/>
              </w:rPr>
              <w:t xml:space="preserve">Valore dell’informazione (EVPI, EVPPI)</w:t>
            </w:r>
          </w:p>
        </w:tc>
        <w:tc>
          <w:tcPr/>
          <w:p>
            <w:pPr>
              <w:pStyle w:val="Compact"/>
              <w:spacing w:after="40" w:before="40"/>
              <w:jc w:val="left"/>
            </w:pPr>
            <w:r>
              <w:rPr>
                <w:rFonts w:ascii="Cambria" w:hAnsi="Cambria" w:cs="Cambria" w:eastAsia="Cambria"/>
                <w:color w:val="1A1A1A"/>
                <w:sz w:val="18"/>
              </w:rPr>
              <w:t xml:space="preserve">Beneficio atteso dalla riduzione dell’incertezza, complessiva e sui parametri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Markov</w:t>
            </w:r>
          </w:p>
        </w:tc>
        <w:tc>
          <w:tcPr>
            <w:shd w:val="clear" w:color="auto" w:fill="F4F1EC"/>
          </w:tcPr>
          <w:p>
            <w:pPr>
              <w:pStyle w:val="Compact"/>
              <w:spacing w:after="40" w:before="40"/>
              <w:jc w:val="left"/>
            </w:pPr>
            <w:r>
              <w:rPr>
                <w:rFonts w:ascii="Cambria" w:hAnsi="Cambria" w:cs="Cambria" w:eastAsia="Cambria"/>
                <w:color w:val="1A1A1A"/>
                <w:sz w:val="18"/>
              </w:rPr>
              <w:t xml:space="preserve">Modello che rappresenta il decorso di una condizione attraverso stati di salute e transizioni</w:t>
            </w:r>
          </w:p>
        </w:tc>
      </w:tr>
      <w:tr>
        <w:tc>
          <w:tcPr/>
          <w:p>
            <w:pPr>
              <w:pStyle w:val="Compact"/>
              <w:spacing w:after="40" w:before="40"/>
              <w:jc w:val="left"/>
            </w:pPr>
            <w:r>
              <w:rPr>
                <w:rFonts w:ascii="Cambria" w:hAnsi="Cambria" w:cs="Cambria" w:eastAsia="Cambria"/>
                <w:b/>
                <w:bCs/>
                <w:color w:val="1A1A1A"/>
                <w:sz w:val="18"/>
              </w:rPr>
              <w:t xml:space="preserve">Differenza-nelle-differenze</w:t>
            </w:r>
          </w:p>
        </w:tc>
        <w:tc>
          <w:tcPr/>
          <w:p>
            <w:pPr>
              <w:pStyle w:val="Compact"/>
              <w:spacing w:after="40" w:before="40"/>
              <w:jc w:val="left"/>
            </w:pPr>
            <w:r>
              <w:rPr>
                <w:rFonts w:ascii="Cambria" w:hAnsi="Cambria" w:cs="Cambria" w:eastAsia="Cambria"/>
                <w:color w:val="1A1A1A"/>
                <w:sz w:val="18"/>
              </w:rPr>
              <w:t xml:space="preserve">Metodo controfattuale che confronta la variazione nel tempo dell’esito tra gruppi a diversa esposizione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Controllo sintetico</w:t>
            </w:r>
          </w:p>
        </w:tc>
        <w:tc>
          <w:tcPr>
            <w:shd w:val="clear" w:color="auto" w:fill="F4F1EC"/>
          </w:tcPr>
          <w:p>
            <w:pPr>
              <w:pStyle w:val="Compact"/>
              <w:spacing w:after="40" w:before="40"/>
              <w:jc w:val="left"/>
            </w:pPr>
            <w:r>
              <w:rPr>
                <w:rFonts w:ascii="Cambria" w:hAnsi="Cambria" w:cs="Cambria" w:eastAsia="Cambria"/>
                <w:color w:val="1A1A1A"/>
                <w:sz w:val="18"/>
              </w:rPr>
              <w:t xml:space="preserve">Metodo che costruisce un’unità di confronto come combinazione ponderata di unità a minore esposizione</w:t>
            </w:r>
          </w:p>
        </w:tc>
      </w:tr>
      <w:tr>
        <w:tc>
          <w:tcPr/>
          <w:p>
            <w:pPr>
              <w:pStyle w:val="Compact"/>
              <w:spacing w:after="40" w:before="40"/>
              <w:jc w:val="left"/>
            </w:pPr>
            <w:r>
              <w:rPr>
                <w:rFonts w:ascii="Cambria" w:hAnsi="Cambria" w:cs="Cambria" w:eastAsia="Cambria"/>
                <w:b/>
                <w:bCs/>
                <w:color w:val="1A1A1A"/>
                <w:sz w:val="18"/>
              </w:rPr>
              <w:t xml:space="preserve">Disegno a cunei progressivi</w:t>
            </w:r>
          </w:p>
        </w:tc>
        <w:tc>
          <w:tcPr/>
          <w:p>
            <w:pPr>
              <w:pStyle w:val="Compact"/>
              <w:spacing w:after="40" w:before="40"/>
              <w:jc w:val="left"/>
            </w:pPr>
            <w:r>
              <w:rPr>
                <w:rFonts w:ascii="Cambria" w:hAnsi="Cambria" w:cs="Cambria" w:eastAsia="Cambria"/>
                <w:color w:val="1A1A1A"/>
                <w:sz w:val="18"/>
              </w:rPr>
              <w:t xml:space="preserve">Disegno controfattuale impiegato nella Campania, ove il servizio è già attivo, fondato sulla progressione differenziata dell’estensione tra le sette Aziende Sanitarie Locali — che hanno avviato il servizio in tempi diversi — con il servizio già in funzione come linea di base e i dati operativi reali a rafforzare l’identificazione dell’effetto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e verifica d’impatto della regolazione</w:t>
            </w:r>
          </w:p>
        </w:tc>
        <w:tc>
          <w:tcPr>
            <w:shd w:val="clear" w:color="auto" w:fill="F4F1EC"/>
          </w:tcPr>
          <w:p>
            <w:pPr>
              <w:pStyle w:val="Compact"/>
              <w:spacing w:after="40" w:before="40"/>
              <w:jc w:val="left"/>
            </w:pPr>
            <w:r>
              <w:rPr>
                <w:rFonts w:ascii="Cambria" w:hAnsi="Cambria" w:cs="Cambria" w:eastAsia="Cambria"/>
                <w:color w:val="1A1A1A"/>
                <w:sz w:val="18"/>
              </w:rPr>
              <w:t xml:space="preserve">Valutazione ex ante (AIR) ed ex post (VIR) degli effetti di una norma</w:t>
            </w:r>
          </w:p>
        </w:tc>
      </w:tr>
      <w:tr>
        <w:tc>
          <w:tcPr/>
          <w:p>
            <w:pPr>
              <w:pStyle w:val="Compact"/>
              <w:spacing w:after="40" w:before="40"/>
              <w:jc w:val="left"/>
            </w:pPr>
            <w:r>
              <w:rPr>
                <w:rFonts w:ascii="Cambria" w:hAnsi="Cambria" w:cs="Cambria" w:eastAsia="Cambria"/>
                <w:b/>
                <w:bCs/>
                <w:color w:val="1A1A1A"/>
                <w:sz w:val="18"/>
              </w:rPr>
              <w:t xml:space="preserve">Clausola valutativa</w:t>
            </w:r>
          </w:p>
        </w:tc>
        <w:tc>
          <w:tcPr/>
          <w:p>
            <w:pPr>
              <w:pStyle w:val="Compact"/>
              <w:spacing w:after="40" w:before="40"/>
              <w:jc w:val="left"/>
            </w:pPr>
            <w:r>
              <w:rPr>
                <w:rFonts w:ascii="Cambria" w:hAnsi="Cambria" w:cs="Cambria" w:eastAsia="Cambria"/>
                <w:color w:val="1A1A1A"/>
                <w:sz w:val="18"/>
              </w:rPr>
              <w:t xml:space="preserve">Strumento che impegna la Giunta a riferire al Consiglio sui risultati della riforma; nella Campania già prevista dalla legge regionale 35/2020 e dall’Osservatorio, da rafforzare e rendere pienamente operativa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RE-AIM</w:t>
            </w:r>
          </w:p>
        </w:tc>
        <w:tc>
          <w:tcPr>
            <w:shd w:val="clear" w:color="auto" w:fill="F4F1EC"/>
          </w:tcPr>
          <w:p>
            <w:pPr>
              <w:pStyle w:val="Compact"/>
              <w:spacing w:after="40" w:before="40"/>
              <w:jc w:val="left"/>
            </w:pPr>
            <w:r>
              <w:rPr>
                <w:rFonts w:ascii="Cambria" w:hAnsi="Cambria" w:cs="Cambria" w:eastAsia="Cambria"/>
                <w:color w:val="1A1A1A"/>
                <w:sz w:val="18"/>
              </w:rPr>
              <w:t xml:space="preserve">Quadro che misura portata, efficacia, adozione, implementazione e mantenimento di un intervento</w:t>
            </w:r>
          </w:p>
        </w:tc>
      </w:tr>
      <w:tr>
        <w:tc>
          <w:tcPr/>
          <w:p>
            <w:pPr>
              <w:pStyle w:val="Compact"/>
              <w:spacing w:after="40" w:before="40"/>
              <w:jc w:val="left"/>
            </w:pPr>
            <w:r>
              <w:rPr>
                <w:rFonts w:ascii="Cambria" w:hAnsi="Cambria" w:cs="Cambria" w:eastAsia="Cambria"/>
                <w:b/>
                <w:bCs/>
                <w:color w:val="1A1A1A"/>
                <w:sz w:val="18"/>
              </w:rPr>
              <w:t xml:space="preserve">CFIR</w:t>
            </w:r>
          </w:p>
        </w:tc>
        <w:tc>
          <w:tcPr/>
          <w:p>
            <w:pPr>
              <w:pStyle w:val="Compact"/>
              <w:spacing w:after="40" w:before="40"/>
              <w:jc w:val="left"/>
            </w:pPr>
            <w:r>
              <w:rPr>
                <w:rFonts w:ascii="Cambria" w:hAnsi="Cambria" w:cs="Cambria" w:eastAsia="Cambria"/>
                <w:color w:val="1A1A1A"/>
                <w:sz w:val="18"/>
              </w:rPr>
              <w:t xml:space="preserve">Quadro che spiega i determinanti dell’implementazione, in cinque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Donabedian</w:t>
            </w:r>
          </w:p>
        </w:tc>
        <w:tc>
          <w:tcPr>
            <w:shd w:val="clear" w:color="auto" w:fill="F4F1EC"/>
          </w:tcPr>
          <w:p>
            <w:pPr>
              <w:pStyle w:val="Compact"/>
              <w:spacing w:after="40" w:before="40"/>
              <w:jc w:val="left"/>
            </w:pPr>
            <w:r>
              <w:rPr>
                <w:rFonts w:ascii="Cambria" w:hAnsi="Cambria" w:cs="Cambria" w:eastAsia="Cambria"/>
                <w:color w:val="1A1A1A"/>
                <w:sz w:val="18"/>
              </w:rPr>
              <w:t xml:space="preserve">Classifica gli indicatori di qualità in struttura, processo ed esito, qui integrati dall’impatto</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Questionario validato per i sintomi depressivi (punteggio 0–27)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Questionario validato per i sintomi d’ansia (punteggio 0–21)</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Quota di pazienti che scende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r>
        <w:tc>
          <w:tcPr/>
          <w:p>
            <w:pPr>
              <w:pStyle w:val="Compact"/>
              <w:spacing w:after="40" w:before="40"/>
              <w:jc w:val="left"/>
            </w:pPr>
            <w:r>
              <w:rPr>
                <w:rFonts w:ascii="Cambria" w:hAnsi="Cambria" w:cs="Cambria" w:eastAsia="Cambria"/>
                <w:b/>
                <w:bCs/>
                <w:color w:val="1A1A1A"/>
                <w:sz w:val="18"/>
              </w:rPr>
              <w:t xml:space="preserve">Cura collaborativa</w:t>
            </w:r>
          </w:p>
        </w:tc>
        <w:tc>
          <w:tcPr/>
          <w:p>
            <w:pPr>
              <w:pStyle w:val="Compact"/>
              <w:spacing w:after="40" w:before="40"/>
              <w:jc w:val="left"/>
            </w:pPr>
            <w:r>
              <w:rPr>
                <w:rFonts w:ascii="Cambria" w:hAnsi="Cambria" w:cs="Cambria" w:eastAsia="Cambria"/>
                <w:color w:val="1A1A1A"/>
                <w:sz w:val="18"/>
              </w:rPr>
              <w:t xml:space="preserve">Modello di integrazione della salute mentale nelle cure primarie con équipe e monitoraggio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Cura a intensità crescente</w:t>
            </w:r>
          </w:p>
        </w:tc>
        <w:tc>
          <w:tcPr>
            <w:shd w:val="clear" w:color="auto" w:fill="F4F1EC"/>
          </w:tcPr>
          <w:p>
            <w:pPr>
              <w:pStyle w:val="Compact"/>
              <w:spacing w:after="40" w:before="40"/>
              <w:jc w:val="left"/>
            </w:pPr>
            <w:r>
              <w:rPr>
                <w:rFonts w:ascii="Cambria" w:hAnsi="Cambria" w:cs="Cambria" w:eastAsia="Cambria"/>
                <w:color w:val="1A1A1A"/>
                <w:sz w:val="18"/>
              </w:rPr>
              <w:t xml:space="preserve">Percorso che gradua l’intensità dell’intervento alla gravità del quadro</w:t>
            </w:r>
          </w:p>
        </w:tc>
      </w:tr>
      <w:tr>
        <w:tc>
          <w:tcPr/>
          <w:p>
            <w:pPr>
              <w:pStyle w:val="Compact"/>
              <w:spacing w:after="40" w:before="40"/>
              <w:jc w:val="left"/>
            </w:pPr>
            <w:r>
              <w:rPr>
                <w:rFonts w:ascii="Cambria" w:hAnsi="Cambria" w:cs="Cambria" w:eastAsia="Cambria"/>
                <w:b/>
                <w:bCs/>
                <w:color w:val="1A1A1A"/>
                <w:sz w:val="18"/>
              </w:rPr>
              <w:t xml:space="preserve">Livelli essenziali di assistenza (LEA)</w:t>
            </w:r>
          </w:p>
        </w:tc>
        <w:tc>
          <w:tcPr/>
          <w:p>
            <w:pPr>
              <w:pStyle w:val="Compact"/>
              <w:spacing w:after="40" w:before="40"/>
              <w:jc w:val="left"/>
            </w:pPr>
            <w:r>
              <w:rPr>
                <w:rFonts w:ascii="Cambria" w:hAnsi="Cambria" w:cs="Cambria" w:eastAsia="Cambria"/>
                <w:color w:val="1A1A1A"/>
                <w:sz w:val="18"/>
              </w:rPr>
              <w:t xml:space="preserve">Prestazioni garantite uniformemente dal Servizio sanitario;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Spesa per prestazioni rese ai residenti da strutture di altre regioni; nella Campania il saldo è fra i più passivi d’Italia, ma poiché la fuga è ospedaliero-chirurgica il canale del recupero è modesto per questo intervento, limitato alla frazione territorialmente intercettabile</w:t>
            </w:r>
          </w:p>
        </w:tc>
      </w:tr>
      <w:tr>
        <w:tc>
          <w:tcPr/>
          <w:p>
            <w:pPr>
              <w:pStyle w:val="Compact"/>
              <w:spacing w:after="40" w:before="40"/>
              <w:jc w:val="left"/>
            </w:pPr>
            <w:r>
              <w:rPr>
                <w:rFonts w:ascii="Cambria" w:hAnsi="Cambria" w:cs="Cambria" w:eastAsia="Cambria"/>
                <w:b/>
                <w:bCs/>
                <w:color w:val="1A1A1A"/>
                <w:sz w:val="18"/>
              </w:rPr>
              <w:t xml:space="preserve">Sintomi somatici funzionali</w:t>
            </w:r>
          </w:p>
        </w:tc>
        <w:tc>
          <w:tcPr/>
          <w:p>
            <w:pPr>
              <w:pStyle w:val="Compact"/>
              <w:spacing w:after="40" w:before="40"/>
              <w:jc w:val="left"/>
            </w:pPr>
            <w:r>
              <w:rPr>
                <w:rFonts w:ascii="Cambria" w:hAnsi="Cambria" w:cs="Cambria" w:eastAsia="Cambria"/>
                <w:color w:val="1A1A1A"/>
                <w:sz w:val="18"/>
              </w:rPr>
              <w:t xml:space="preserve">Sintomi fisici senza causa organica, associati a elevato consumo di prestazioni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vecchiaia</w:t>
            </w:r>
          </w:p>
        </w:tc>
        <w:tc>
          <w:tcPr>
            <w:shd w:val="clear" w:color="auto" w:fill="F4F1EC"/>
          </w:tcPr>
          <w:p>
            <w:pPr>
              <w:pStyle w:val="Compact"/>
              <w:spacing w:after="40" w:before="40"/>
              <w:jc w:val="left"/>
            </w:pPr>
            <w:r>
              <w:rPr>
                <w:rFonts w:ascii="Cambria" w:hAnsi="Cambria" w:cs="Cambria" w:eastAsia="Cambria"/>
                <w:color w:val="1A1A1A"/>
                <w:sz w:val="18"/>
              </w:rPr>
              <w:t xml:space="preserve">Rapporto tra ultrasessantacinquenni e giovani sotto i quindici anni; nella Campania fra i più contenuti d’Italia, con età media intorno a 44,5 anni e province interne (Avellino, Benevento) più anziane dell’area metropolitana</w:t>
            </w:r>
          </w:p>
        </w:tc>
      </w:tr>
      <w:tr>
        <w:tc>
          <w:tcPr/>
          <w:p>
            <w:pPr>
              <w:pStyle w:val="Compact"/>
              <w:spacing w:after="40" w:before="40"/>
              <w:jc w:val="left"/>
            </w:pPr>
            <w:r>
              <w:rPr>
                <w:rFonts w:ascii="Cambria" w:hAnsi="Cambria" w:cs="Cambria" w:eastAsia="Cambria"/>
                <w:b/>
                <w:bCs/>
                <w:color w:val="1A1A1A"/>
                <w:sz w:val="18"/>
              </w:rPr>
              <w:t xml:space="preserve">Peso morto</w:t>
            </w:r>
          </w:p>
        </w:tc>
        <w:tc>
          <w:tcPr/>
          <w:p>
            <w:pPr>
              <w:pStyle w:val="Compact"/>
              <w:spacing w:after="40" w:before="40"/>
              <w:jc w:val="left"/>
            </w:pPr>
            <w:r>
              <w:rPr>
                <w:rFonts w:ascii="Cambria" w:hAnsi="Cambria" w:cs="Cambria" w:eastAsia="Cambria"/>
                <w:color w:val="1A1A1A"/>
                <w:sz w:val="18"/>
              </w:rP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75</w:t>
      </w:r>
    </w:p>
    <w:p>
      <w:pPr>
        <w:pStyle w:val="BodyText"/>
      </w:pPr>
      <w:r>
        <w:t xml:space="preserve">75</w:t>
      </w:r>
    </w:p>
    <w:bookmarkEnd w:id="3268"/>
    <w:bookmarkStart w:id="3269" w:name="basilicata-studio-hta-integrale"/>
    <w:p>
      <w:pPr>
        <w:pStyle w:val="Heading2"/>
      </w:pPr>
      <w:r>
        <w:t xml:space="preserve">Basilicata — Studio HTA integrale</w:t>
      </w:r>
    </w:p>
    <w:p>
      <w:pPr>
        <w:pStyle w:val="FirstParagraph"/>
      </w:pPr>
      <w:r>
        <w:t xml:space="preserve">Psicologo di Base in Basilicata</w:t>
      </w:r>
    </w:p>
    <w:p>
      <w:pPr>
        <w:pStyle w:val="BodyText"/>
      </w:pPr>
      <w:r>
        <w:t xml:space="preserve">Studio Integrale Regionale · Valutazione di Tecnologia Sanitaria · Telaio HTA a nove domini</w:t>
      </w:r>
    </w:p>
    <w:p>
      <w:pPr>
        <w:pStyle w:val="BodyText"/>
      </w:pPr>
      <w:r>
        <w:t xml:space="preserve">Progetto «Psicologo di Base» · Regione Basilicata</w:t>
      </w:r>
    </w:p>
    <w:p>
      <w:pPr>
        <w:pStyle w:val="BodyText"/>
      </w:pPr>
      <w:r>
        <w:t xml:space="preserve">Parti A–M e Appendici A–E</w:t>
      </w:r>
    </w:p>
    <w:bookmarkEnd w:id="3269"/>
    <w:bookmarkStart w:id="3270" w:name="premessa-generale-12"/>
    <w:p>
      <w:pPr>
        <w:pStyle w:val="Heading2"/>
      </w:pPr>
      <w:r>
        <w:t xml:space="preserve">Premessa generale</w:t>
      </w:r>
    </w:p>
    <w:p>
      <w:pPr>
        <w:pStyle w:val="FirstParagraph"/>
      </w:pPr>
      <w:r>
        <w:t xml:space="preserve">Questo documento raccoglie in un’unica opera lo studio integrale per la Regione Basilicata sull’introduzione del servizio di psicologia di base. A differenza delle regioni in cui il servizio è già istituito per legge, la Basilicata si trova nella fase anteriore: due proposte di legge giacciono all’esame preliminare del Consiglio regionale, e la decisione che le istituzioni sono chiamate ad assumere non riguarda la modalità di organizzazione di un servizio esistente, ma l’opportunità stessa di istituirlo e la forma giuridica e organizzativa da adottare. Lo studio compone in sequenza le undici parti narrative, dalla A alla M — l’alfabeto italiano salta le lettere J e K — e le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che non vengono mai sommate in un unico indice di bilancio.</w:t>
      </w:r>
    </w:p>
    <w:p>
      <w:pPr>
        <w:pStyle w:val="BodyText"/>
      </w:pPr>
      <w:r>
        <w:t xml:space="preserve">Da tale distinzione discende la tesi centrale dello studio lucano, articolata in affermazioni congiunte: il servizio costa al bilancio sanitario regionale una cifra modesta — dell’ordine dello 0,7 per cento di un fondo sanitario di circa 1,1 miliardi nello scenario di piena attuazione — e comporta un saldo diretto prossimo al pareggio; restituisce alla collettività un valore dell’ordine di tre-cinque euro per ogni euro speso, con un rapporto beneficio-costo compreso fra 3,4 e 4,7 a uno, entro la fascia metodologicamente fondata di 3,3–5,7 a uno includendo i benefici di salute; risponde a un bisogno ampio e inevaso, stimato in circa 107.000 persone, accentuato da una struttura demografica fra le più anziane del Paese, da una dispersione insediativa che rende l’accesso ai servizi strutturalmente difficile e da un sottofinanziamento documentato della salute mentale; riduce le disuguaglianze sociali e territoriali; e contribuisce a trattenere nel sistema regionale prestazioni oggi erogate fuori regione, in una regione il cui saldo di mobilità sanitaria passiva è dell’ordine di ottanta milioni di euro l’anno. Rispetto alle altre regioni della serie, la Basilicata occupa una posizione peculiare: è una regione che deve ancora decidere se istituire il servizio, che non è sottoposta a piano di rientro ma chiude i propri conti sanitari in equilibrio fragile, che individua nell’emigrazione sanitaria una delle principali criticità del bilancio, e in cui i divari sociali e territoriali sono particolarmente acuti, sicché l’equità ne costituisce la ragione preminente. La fase anteriore all’istituzione è, sotto più profili, un’opportunità: essa consente di costruire fin dall’origine un servizio conforme ai limiti costituzionali e dotato degli strumenti della valutazione. L’analisi multi-criterio che conclude lo studio assegna all’introduzione del servizio un punteggio di 76,75 su 100, contro 36,50 del non intervento.</w:t>
      </w:r>
    </w:p>
    <w:bookmarkEnd w:id="3270"/>
    <w:bookmarkStart w:id="3271" w:name="indice-generale-del-corpus-12"/>
    <w:p>
      <w:pPr>
        <w:pStyle w:val="Heading2"/>
      </w:pPr>
      <w:r>
        <w:t xml:space="preserve">Indice generale del corpus</w:t>
      </w:r>
    </w:p>
    <w:p>
      <w:pPr>
        <w:pStyle w:val="FirstParagraph"/>
      </w:pPr>
      <w:r>
        <w:t xml:space="preserve">La tabella seguente elenca i sedici documenti dello studio, con i rispettivi capitoli e il contenuto; il documento prosegue poi con le parti e le appendici in sequenza.</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52"/>
        <w:gridCol w:w="1152"/>
        <w:gridCol w:w="552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A.1-A.4</w:t>
            </w:r>
          </w:p>
        </w:tc>
        <w:tc>
          <w:tcPr/>
          <w:p>
            <w:pPr>
              <w:pStyle w:val="Compact"/>
              <w:spacing w:after="40" w:before="40"/>
              <w:jc w:val="left"/>
            </w:pPr>
            <w:r>
              <w:rPr>
                <w:rFonts w:ascii="Cambria" w:hAnsi="Cambria" w:cs="Cambria" w:eastAsia="Cambria"/>
                <w:color w:val="1A1A1A"/>
                <w:sz w:val="18"/>
              </w:rPr>
              <w:t xml:space="preserve">Quadro, quesito e metodo: scopo e quesito,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Bisogno e contesto: demografia, epidemiologia, domanda e offerta, divari,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Intervento e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due casi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sensibilità, scenari,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G.1-G.4</w:t>
            </w:r>
          </w:p>
        </w:tc>
        <w:tc>
          <w:tcPr/>
          <w:p>
            <w:pPr>
              <w:pStyle w:val="Compact"/>
              <w:spacing w:after="40" w:before="40"/>
              <w:jc w:val="left"/>
            </w:pPr>
            <w:r>
              <w:rPr>
                <w:rFonts w:ascii="Cambria" w:hAnsi="Cambria" w:cs="Cambria" w:eastAsia="Cambria"/>
                <w:color w:val="1A1A1A"/>
                <w:sz w:val="18"/>
              </w:rPr>
              <w:t xml:space="preserve">Equità e impatto distributivo: gradiente sociale, assi territoriali, strumenti, costo-efficacia distributiva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H.1-H.4</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giuridico, organizzativo, etico, sintesi</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cinque casi, dimensionamento, reclutamento, sostenibilità, rischi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ex post: impianto, controfattuale, indicatori, cruscotto, sintesi</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M.1-M.5</w:t>
            </w:r>
          </w:p>
        </w:tc>
        <w:tc>
          <w:tcPr/>
          <w:p>
            <w:pPr>
              <w:pStyle w:val="Compact"/>
              <w:spacing w:after="40" w:before="40"/>
              <w:jc w:val="left"/>
            </w:pPr>
            <w:r>
              <w:rPr>
                <w:rFonts w:ascii="Cambria" w:hAnsi="Cambria" w:cs="Cambria" w:eastAsia="Cambria"/>
                <w:color w:val="1A1A1A"/>
                <w:sz w:val="18"/>
              </w:rPr>
              <w:t xml:space="preserve">Sintesi multidimensionale: sintesi per dominio, analisi multi-criterio, raccomandazione, condizioni, conclusione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Appendici A-E</w:t>
            </w:r>
          </w:p>
        </w:tc>
        <w:tc>
          <w:tcPr>
            <w:shd w:val="clear" w:color="auto" w:fill="F4F1EC"/>
          </w:tcPr>
          <w:p>
            <w:pPr>
              <w:pStyle w:val="Compact"/>
              <w:spacing w:after="40" w:before="40"/>
              <w:jc w:val="left"/>
            </w:pPr>
            <w:r>
              <w:rPr>
                <w:rFonts w:ascii="Cambria" w:hAnsi="Cambria" w:cs="Cambria" w:eastAsia="Cambria"/>
                <w:color w:val="1A1A1A"/>
                <w:sz w:val="18"/>
              </w:rPr>
              <w:t xml:space="preserve">A-E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strumenti ed esiti, dati regionali, checklist, glossario</w:t>
            </w:r>
          </w:p>
        </w:tc>
      </w:tr>
    </w:tbl>
    <w:p>
      <w:pPr>
        <w:pStyle w:val="BodyText"/>
      </w:pPr>
      <w:r>
        <w:rPr>
          <w:i/>
          <w:iCs/>
        </w:rPr>
        <w:t xml:space="preserve">Tabella. La mappa di lettura del corpus: undici parti narrative e cinque appendici.</w:t>
      </w:r>
    </w:p>
    <w:bookmarkEnd w:id="3271"/>
    <w:bookmarkStart w:id="3277" w:name="parte-a-quadro-quesito-e-metodo-14"/>
    <w:p>
      <w:pPr>
        <w:pStyle w:val="Heading2"/>
      </w:pPr>
      <w:r>
        <w:t xml:space="preserve">Parte A — Quadro, quesito e metodo</w:t>
      </w:r>
    </w:p>
    <w:p>
      <w:pPr>
        <w:pStyle w:val="FirstParagraph"/>
      </w:pPr>
      <w:r>
        <w:t xml:space="preserve">Questo documento apre lo studio di valutazione di tecnologia sanitaria dedicato all’introduzione del servizio di psicologia di base nella Regione Basilicata. A differenza delle regioni in cui il servizio è già istituito per legge, la Basilicata si trova in una fase anteriore: due proposte di legge giacciono all’esame preliminare del Consiglio regionale, e la decisione che le istituzioni sono chiamate ad assumere non riguarda la modalità di organizzazione di un servizio esistente, ma l’opportunità stessa di istituirlo e la forma giuridica e organizzativa da adottare. La valutazione che segue è costruita per informare proprio questa decisione anteriore, ricostruendo il bisogno, l’efficacia attesa, l’impatto economico e distributivo, la fattibilità e i profili giuridici di un intervento collocato a monte del sistema dei servizi, in un contesto regionale segnato da condizioni peculiari che ne orientano la convenienza e le modalità. La Parte A definisce lo scopo e il quesito, il caso di riferimento e la popolazione, il metodo e le fonti, la governance dei dati e la struttura dell’intero corpus.</w:t>
      </w:r>
    </w:p>
    <w:bookmarkStart w:id="3272" w:name="X790e35f7eb15e00ce8d262b19703a85862abca9"/>
    <w:p>
      <w:pPr>
        <w:pStyle w:val="Heading3"/>
      </w:pPr>
      <w:r>
        <w:t xml:space="preserve">A.1 Scopo dello studio e quesito di valutazione</w:t>
      </w:r>
    </w:p>
    <w:p>
      <w:pPr>
        <w:pStyle w:val="FirstParagraph"/>
      </w:pPr>
      <w:r>
        <w:t xml:space="preserve">Lo scopo dello studio è fornire alle istituzioni regionali della Basilicata — Consiglio regionale, Giunta, assessorato competente, aziende del Servizio Sanitario Regionale — una base analitica completa e metodologicamente fondata per decidere se introdurre il servizio di psicologia di base e secondo quale modello. La domanda non è retorica. In Basilicata l’assistenza psicologica primaria non esiste come servizio strutturato del Servizio Sanitario Regionale, e chi manifesta un disagio psichico comune dispone oggi di un’offerta frammentaria, sbilanciata sul versante specialistico e ospedaliero, raggiungibile in tempi e con modalità che ne scoraggiano l’uso precoce. Due proposte di legge depositate nel 2025 — la prima, di iniziativa del Movimento 5 Stelle, di cui è prima firmataria la consigliera Viviana Verri; la seconda, promossa dai consiglieri Piero Lacorazza e Nicola Morea e denominata istituzione del servizio di psicologia di base e di comunità — convergono nel proporre l’istituzione di un servizio territoriale incardinato presso le aziende sanitarie locali, integrato con la medicina generale, con i pediatri di libera scelta e con le Case della Comunità, e ne affidano l’accesso tanto all’invio da parte degli operatori quanto alla domanda diretta del cittadino. L’Ordine degli Psicologi della Basilicata, la cui presidente è stata audita dalla competente Commissione consiliare nel luglio 2025, ha espresso la propria disponibilità a contribuire alle fasi di definizione e attuazione. Questo studio non sostituisce il dibattito legislativo, ma lo nutre con l’evidenza che una decisione di tale rilievo richiede.</w:t>
      </w:r>
    </w:p>
    <w:p>
      <w:pPr>
        <w:pStyle w:val="BodyText"/>
      </w:pPr>
      <w:r>
        <w:t xml:space="preserve">Il quesito di valutazione si articola in una domanda principale e in una serie di domande derivate. La domanda principale è se l’istituzione di un servizio di psicologia di base, rivolto a una popolazione ampia e collocato come primo livello di presa in carico del disagio psichico comune, produca per la Basilicata benefici clinici, economici, distributivi e di sistema tali da giustificarne l’introduzione, e in caso affermativo entro quale modello organizzativo, con quale dimensionamento e a quali condizioni di sostenibilità. Le domande derivate riguardano l’entità e la struttura del bisogno inevaso; l’efficacia clinica documentata degli interventi psicologici precoci nel contesto delle cure primarie; il rapporto fra il costo del servizio e i risparmi che esso può generare per il bilancio sanitario regionale, da una parte, e fra il costo e il valore restituito alla collettività, dall’altra; la distribuzione di costi e benefici fra i diversi gruppi sociali e fra i territori; la fattibilità organizzativa entro l’assetto del Servizio Sanitario Regionale lucano; e i vincoli giuridici, primo fra tutti quello posto dalla sentenza della Corte Costituzionale numero 241 del 2021, che ha definito i limiti entro cui una legge regionale può istituire questa figura. Su ciascuna di queste domande lo studio fornisce una risposta argomentata e, ove possibile, quantificata, dichiarando con trasparenza le incertezze e i limiti dell’evidenza disponibile.</w:t>
      </w:r>
    </w:p>
    <w:p>
      <w:pPr>
        <w:pStyle w:val="BodyText"/>
      </w:pPr>
      <w:r>
        <w:t xml:space="preserve">Tre condizioni proprie della Basilicata orientano fin dall’inizio la valutazione e ne distinguono l’esito da quello di altre regioni della serie. La prima è la posizione finanziaria del Servizio Sanitario Regionale: la Basilicata non è sottoposta a un piano di rientro, a differenza delle regioni storicamente in disavanzo strutturale, ma chiude i propri conti sanitari in equilibrio fragile, con un disavanzo che nel 2023 ha sfiorato i 50 milioni di euro ed è stato interamente coperto con risorse del bilancio regionale, senza tagli ai servizi e senza commissariamento di rientro. Questa condizione esclude che l’introduzione del servizio possa essere argomentata, come altrove, in termini di adempimento di obblighi imposti da un piano di rientro; al contrario, essa richiede che l’intervento sia sostenibile per un bilancio in tensione, e attribuisce ai risparmi diretti che esso può generare un ruolo non accessorio. La seconda condizione è il peso dell’emigrazione sanitaria: la Basilicata presenta un saldo di mobilità passiva dell’ordine di ottanta milioni di euro l’anno, e una quota rilevante delle prestazioni assorbite altrove — circa il 40 per cento verso la sola Puglia — riguarda bisogni che un sistema territoriale più solido potrebbe trattenere. La terza condizione è il sottofinanziamento documentato della salute mentale: la Basilicata figura, insieme alla Campania, fra le regioni che destinano alla salute mentale una quota del fondo sanitario inferiore alla soglia ritenuta minima per garantire gli standard di personale, con una carenza di operatori che ne è il riflesso diretto. Queste tre condizioni non sono lo sfondo della valutazione, ma ne costituiscono i cardini argomentativi, e ricorreranno in tutte le parti dello studio.</w:t>
      </w:r>
    </w:p>
    <w:bookmarkEnd w:id="3272"/>
    <w:bookmarkStart w:id="3273" w:name="Xe2c431569a57c61314c11a3bee5df89a9a3f7fb"/>
    <w:p>
      <w:pPr>
        <w:pStyle w:val="Heading3"/>
      </w:pPr>
      <w:r>
        <w:t xml:space="preserve">A.2 Il caso di riferimento e la popolazione</w:t>
      </w:r>
    </w:p>
    <w:p>
      <w:pPr>
        <w:pStyle w:val="FirstParagraph"/>
      </w:pPr>
      <w:r>
        <w:t xml:space="preserve">La valutazione adotta la struttura PICOTS, che definisce in modo esplicito la popolazione, l’intervento, il confronto, gli esiti, l’orizzonte temporale e il contesto, così da rendere riproducibile e verificabile ogni passaggio dell’analisi. La popolazione di riferimento è costituita dai residenti in Basilicata che manifestano un disagio psichico comune o sottosoglia — disturbi d’ansia e dell’umore di intensità lieve o moderata, reazioni di adattamento, sofferenza connessa a eventi critici del ciclo di vita, condizioni di disagio non ancora cronicizzate — per i quali un intervento psicologico precoce è appropriato ed efficace. La dimensione di questa popolazione, stimata applicando alla popolazione residente le prevalenze documentate dalla letteratura epidemiologica, è dell’ordine di 107.000 persone, pari a circa un quinto di una popolazione regionale che al censimento più recente si attesta intorno a 535.000 abitanti ed è in calo costante. A questa quota di disagio comune si somma, in seconda istanza, l’intera popolazione regionale per gli effetti di sistema che un servizio collocato a monte produce sull’intera rete dei servizi, e si affiancano componenti specifiche del bisogno lucano: il disagio dell’età anziana, particolarmente accentuato in una delle regioni demograficamente più vecchie del Paese, con un’età media di 47 anni e un indice di vecchiaia superiore a 220; il disagio giovanile, aggravato dall’isolamento e dalla prospettiva dell’emigrazione che caratterizzano le aree interne; e la sofferenza connessa alla dispersione insediativa, in una regione in cui oltre la metà dei 131 comuni conta fra i mille e i cinquemila abitanti e l’accesso ai servizi è strutturalmente più difficile.</w:t>
      </w:r>
    </w:p>
    <w:p>
      <w:pPr>
        <w:pStyle w:val="BodyText"/>
      </w:pPr>
      <w:r>
        <w:t xml:space="preserve">L’intervento valutato è il servizio di psicologia di base, definito come servizio territoriale del Servizio Sanitario Regionale che eroga prestazioni di accoglienza, ascolto, valutazione psicodiagnostica, supporto psicologico breve, orientamento e invio, collocato come primo livello di presa in carico del disagio psichico comune e raccordato con la medicina generale, con i pediatri di libera scelta, con i consultori, con i servizi sociali e con i servizi specialistici di salute mentale. Il confronto è la situazione attuale, ossia l’assenza di un servizio strutturato: una condizione in cui il disagio comune resta in larga parte non intercettato, accede tardivamente ai servizi specialistici quando si è aggravato, oppure si traduce in domanda impropria rivolta al medico di medicina generale, al pronto soccorso o al consumo di farmaci. Gli esiti considerati sono molteplici e organizzati per dominio: esiti clinici, misurati come riduzione della sintomatologia e come guadagno di anni di vita ponderati per la qualità; esiti economici, distinti con rigore fra risparmi diretti per il bilancio sanitario e ricadute economico-sociali per la collettività; esiti di equità, valutati lungo il gradiente sociale e lungo gli assi del divario territoriale; esiti di sostenibilità organizzativa. L’orizzonte temporale primario è di cinque anni, integrato dalla considerazione degli effetti di sistema di più lungo periodo. Il contesto è quello del Servizio Sanitario Regionale lucano, articolato in due aziende sanitarie locali — l’Azienda Sanitaria di Potenza e l’Azienda Sanitaria di Matera — affiancate dall’Azienda Ospedaliera Regionale San Carlo e dall’Istituto di Ricovero e Cura a Carattere Scientifico CROB di Rionero in Vulture, con i servizi territoriali organizzati in distretti, Case della Comunità, Aggregazioni Funzionali Territoriali e Unità Complesse di Cure Primarie.</w:t>
      </w:r>
    </w:p>
    <w:p>
      <w:pPr>
        <w:pStyle w:val="BodyText"/>
      </w:pPr>
      <w:r>
        <w:t xml:space="preserve">Il caso di riferimento attorno a cui si costruisce la quantificazione è un paziente adulto con disturbo d’ansia o dell’umore di intensità lieve o moderata, che accede al servizio di psicologia di base e riceve un ciclo di interventi psicologici brevi di efficacia documentata. Su questo caso, sviluppato analiticamente nella Parte F e nelle appendici, si fonda la stima degli esiti clinici ed economici per paziente, successivamente proiettata sulla popolazione attraverso scenari di copertura. Gli scenari di dimensionamento adottati per la Basilicata prevedono tre livelli di dispiegamento del servizio, corrispondenti a un numero crescente di incarichi: uno scenario minimo, con un primo nucleo di operatori; uno scenario intermedio; e uno scenario di piena attuazione. La scelta dei livelli è calibrata sulla popolazione regionale e sulla sua dispersione, e tiene conto della necessità, particolarmente sentita in Basilicata, di garantire la prossimità del servizio anche nei territori a bassa densità, ove la telepsicologia assume un ruolo non sostitutivo ma complementare. Il dettaglio numerico degli scenari e la loro traduzione economica sono sviluppati nelle Parti E ed I.</w:t>
      </w:r>
    </w:p>
    <w:bookmarkEnd w:id="3273"/>
    <w:bookmarkStart w:id="3274" w:name="a.3-metodo-prospettiva-e-fonti-1"/>
    <w:p>
      <w:pPr>
        <w:pStyle w:val="Heading3"/>
      </w:pPr>
      <w:r>
        <w:t xml:space="preserve">A.3 Metodo, prospettiva e fonti</w:t>
      </w:r>
    </w:p>
    <w:p>
      <w:pPr>
        <w:pStyle w:val="FirstParagraph"/>
      </w:pPr>
      <w:r>
        <w:t xml:space="preserve">Lo studio adotta il metodo della valutazione di tecnologia sanitaria, che esamina una tecnologia o un intervento lungo una pluralità di dimensioni — il problema di salute, l’intervento, l’efficacia clinica, la valutazione economica, l’equità, i profili etici, giuridici e organizzativi, l’attuazione e il monitoraggio — integrando l’evidenza scientifica con l’analisi del contesto. A questo impianto si affiancano riferimenti metodologici riconosciuti: il modello a cinque casi, che articola la valutazione di un investimento pubblico nelle dimensioni strategica, economica, commerciale, finanziaria e gestionale; lo standard CHEERS del 2022 per la rendicontazione delle valutazioni economiche sanitarie; il sistema GRADE per la graduazione della qualità dell’evidenza e della forza delle raccomandazioni; e i criteri dell’Organizzazione per la Cooperazione e lo Sviluppo Economico per la valutazione delle politiche pubbliche — rilevanza, coerenza, efficacia, efficienza, impatto e sostenibilità. L’adozione esplicita di questi riferimenti rende lo studio confrontabile con le valutazioni condotte in altri contesti e ne espone i passaggi alla verifica.</w:t>
      </w:r>
    </w:p>
    <w:p>
      <w:pPr>
        <w:pStyle w:val="BodyText"/>
      </w:pPr>
      <w:r>
        <w:t xml:space="preserve">La valutazione è condotta da due prospettive, mantenute distinte e mai sommate in un unico indice. La prima è la prospettiva del Servizio Sanitario Regionale, che considera i costi sostenuti dal bilancio sanitario per istituire e gestire il servizio e i risparmi diretti che esso può generare riducendo accessi impropri, consumi farmaceutici, ricoveri, prestazioni specialistiche evitabili e, soprattutto in Basilicata, mobilità sanitaria passiva. La seconda è la prospettiva della collettività, più ampia, che aggiunge ai precedenti gli effetti che ricadono sui cittadini e sul sistema economico e sociale nel suo complesso: la produttività recuperata, la minore disabilità, il valore del benessere guadagnato. La distinzione fra le due prospettive è il fondamento metodologico dell’intero studio e ne governa ogni quantificazione: i risparmi diretti per il bilancio e le ricadute sociali per la collettività sono grandezze di natura diversa, che non possono essere addizionate in un unico rapporto né presentate come un unico saldo, pena la perdita di significato e la sovrastima del beneficio. Coerentemente, lo studio non utilizza in alcun punto rapporti beneficio-costo aggregati di dodici, quindici o diciotto a uno, né impiega la semplificazione divulgativa secondo cui un euro speso ne genererebbe dieci o quattro: tali cifre, prive di fondamento nelle analisi economiche di riferimento, sono escluse, e i rapporti beneficio-costo utilizzati sono contenuti entro la fascia metodologicamente fondata documentata dalla letteratura internazionale, compresa fra 2,3 e 3,0 a uno per i soli benefici economici e fra 3,3 e 5,7 a uno includendo i benefici di salute.</w:t>
      </w:r>
    </w:p>
    <w:p>
      <w:pPr>
        <w:pStyle w:val="BodyText"/>
      </w:pPr>
      <w:r>
        <w:t xml:space="preserve">Le fonti dei dati sono molteplici e di natura diversa, e sono sempre dichiarate. I dati demografici provengono dal censimento permanente della popolazione e dalle statistiche correnti dell’Istituto Nazionale di Statistica. I dati sulla struttura e sui conti del Servizio Sanitario Regionale provengono dai documenti della Regione Basilicata, dalle relazioni della Corte dei Conti, dai rapporti dell’Osservatorio sui conti pubblici e dalle elaborazioni della Fondazione GIMBE e dell’Agenzia Nazionale per i Servizi Sanitari Regionali, in particolare per la mobilità sanitaria. I dati epidemiologici e di efficacia provengono dalla letteratura scientifica internazionale, da revisioni sistematiche e da rapporti di organismi sovranazionali. I riferimenti normativi comprendono la legislazione nazionale e regionale in materia di assistenza territoriale e di psicologia delle cure primarie, le proposte di legge regionali lucane e la giurisprudenza costituzionale rilevante. Ove i dati regionali siano incompleti o non disaggregati al livello necessario, lo studio lo dichiara e ricorre a stime esplicitate e prudenziali, indicando i dati che dovrebbero essere acquisiti per sostituire le stime con misure dirette: la costruzione del sistema informativo descritto nella Parte C è anche la condizione per trasformare progressivamente le stime in osservazioni.</w:t>
      </w:r>
    </w:p>
    <w:bookmarkEnd w:id="3274"/>
    <w:bookmarkStart w:id="3276" w:name="X5b403b56d30c50964fd024a4b5643aa37af825a"/>
    <w:p>
      <w:pPr>
        <w:pStyle w:val="Heading3"/>
      </w:pPr>
      <w:r>
        <w:t xml:space="preserve">A.4 Governance dei dati e struttura del documento</w:t>
      </w:r>
    </w:p>
    <w:p>
      <w:pPr>
        <w:pStyle w:val="FirstParagraph"/>
      </w:pPr>
      <w:r>
        <w:t xml:space="preserve">La governance dei dati che informa lo studio risponde a tre principi, dichiarati qui e applicati in tutte le parti. Il primo è il principio di non duplicazione: un risparmio contabilizzato in una categoria non può essere ricontabilizzato in un’altra, e gli effetti che si sovrappongono sono conteggiati una sola volta, così da evitare la moltiplicazione apparente dei benefici. Il secondo è il principio di separazione fra risparmi diretti e ricadute sociali, già richiamato, che impone di tenere distinte le due grandezze in ogni tabella e in ogni sintesi. Il terzo è il principio di prudenza e falsificabilità: le proiezioni economiche sono espresse mediante bande prudenziali e non mediante valori puntuali presentati come certi, le previsioni sono formulate in modo da poter essere verificate ex post e quindi eventualmente smentite, e la qualità dell’evidenza è graduata con il medesimo rigore tanto per le affermazioni cliniche quanto per quelle relative alle tecnologie digitali e all’intelligenza artificiale, senza concedere a queste ultime un trattamento di favore. Questi principi non sono cautele formali, ma la condizione perché lo studio possa essere assunto come base di una decisione pubblica e perché la sua attendibilità possa essere controllata da chiunque.</w:t>
      </w:r>
    </w:p>
    <w:p>
      <w:pPr>
        <w:pStyle w:val="BodyText"/>
      </w:pPr>
      <w:r>
        <w:t xml:space="preserve">Il corpus dello studio si compone di undici parti narrative, dalla A alla M secondo l’ordine dell’alfabeto italiano che salta le lettere J e K, e di cinque appendici, dalla A alla E. Le parti seguono l’ordine dei domini della valutazione di tecnologia sanitaria. La Parte A definisce il quadro, il quesito e il metodo. La Parte B ricostruisce il problema di salute, il bisogno e il contesto, con la demografia, l’epidemiologia, la domanda e l’offerta, le disuguaglianze, i flussi e la normativa. La Parte C descrive l’intervento e il modello organizzativo, il percorso assistenziale, il sistema informativo, il ruolo dell’intelligenza artificiale e la formazione. La Parte D esamina l’efficacia clinica e la qualità dell’evidenza. La Parte E sviluppa la valutazione economica, con i costi, gli esiti, il costo-utilità, l’impatto sul bilancio, il ritorno sociale e i casi economico e finanziario. La Parte F costruisce il modello decisionale e ne analizza l’incertezza. La Parte G affronta l’equità e l’impatto distributivo. La Parte H esamina i profili giuridico, organizzativo ed etico. La Parte I tratta l’attuazione, la fattibilità e la sostenibilità. La Parte L definisce il monitoraggio e la valutazione ex post. La Parte M offre la sintesi multidimensionale, l’analisi multi-criterio e la raccomandazione conclusiva. Le appendici raccolgono il caso di riferimento e i parametri del modello, gli strumenti di misurazione degli esiti e il dataset minimo, i dati regionali e quelli da acquisire, la lista di controllo per la rendicontazione e il glossario. Lo studio è concepito per essere letto nell’ordine o consultato per parti, e ogni parte è autosufficiente pur rinviando alle altre per gli approfondimenti.</w:t>
      </w:r>
      <w:r>
        <w:rPr>
          <w:rStyle w:val="FootnoteReference"/>
        </w:rPr>
        <w:footnoteReference w:id="3384"/>
      </w:r>
    </w:p>
    <w:bookmarkEnd w:id="3276"/>
    <w:bookmarkEnd w:id="3277"/>
    <w:bookmarkStart w:id="3285" w:name="X1751af14335a3e2a73915119072b38a87b1f61a"/>
    <w:p>
      <w:pPr>
        <w:pStyle w:val="Heading2"/>
      </w:pPr>
      <w:r>
        <w:t xml:space="preserve">Parte B — Problema di salute, bisogno e contesto</w:t>
      </w:r>
    </w:p>
    <w:p>
      <w:pPr>
        <w:pStyle w:val="FirstParagraph"/>
      </w:pPr>
      <w:r>
        <w:t xml:space="preserve">La valutazione di un intervento sanitario muove dalla ricostruzione del bisogno cui esso intende rispondere e del contesto in cui si colloca. Questa parte descrive il problema di salute che il servizio di psicologia di base affronta in Basilicata, articolandolo nelle sue componenti demografiche, epidemiologiche, di domanda e offerta, di disuguaglianza, di flussi e di quadro normativo. La ricostruzione non è un mero corredo descrittivo: essa fonda la dimensione della popolazione su cui si calcolano gli esiti, individua i divari che l’intervento può colmare e definisce i vincoli entro cui esso deve operare. Il quadro che emerge è quello di una regione piccola, anziana e dispersa, con un bisogno psicologico ampio e in larga parte inevaso, un’offerta strutturalmente insufficiente e un sistema sanitario in equilibrio fragile, gravato da un’emigrazione sanitaria che ne erode i conti. In questo quadro l’introduzione di un servizio collocato a monte assume un significato che la Parte B documenta nelle sue premesse.</w:t>
      </w:r>
    </w:p>
    <w:bookmarkStart w:id="3278" w:name="b.1-il-profilo-demografico-1"/>
    <w:p>
      <w:pPr>
        <w:pStyle w:val="Heading3"/>
      </w:pPr>
      <w:r>
        <w:t xml:space="preserve">B.1 Il profilo demografico</w:t>
      </w:r>
    </w:p>
    <w:p>
      <w:pPr>
        <w:pStyle w:val="FirstParagraph"/>
      </w:pPr>
      <w:r>
        <w:t xml:space="preserve">La Basilicata è una delle regioni meno popolose e più anziane del Paese, e presenta una dinamica demografica fra le più sfavorevoli. La popolazione residente, che al censimento del 2021 ammontava a 541.168 unità, è in calo costante e si attesta intorno a 535.000 abitanti, con una riduzione che si protrae da anni e che colloca la regione fra quelle in più marcato spopolamento. Il calo è il risultato della somma di un saldo naturale fortemente negativo e di un saldo migratorio interno anch’esso negativo, non compensati dal pur positivo saldo migratorio con l’estero: nel solo 2022 si sono registrate 3.221 nascite a fronte di 7.126 decessi, con un eccesso di morti sulle nascite che fotografa una denatalità di intensità storica e un invecchiamento progressivo. La popolazione si distribuisce fra due province: Potenza, che raccoglie il 64,5 per cento dei residenti e supera i 300.000 abitanti, e Matera, che ne raccoglie il 35,5 per cento con oltre 190.000 abitanti. L’età media regionale è di 47 anni — fra le più elevate d’Italia — con la provincia di Potenza più anziana, a 47,4 anni, e quella di Matera lievemente più giovane, a 46,4 anni. L’indice di vecchiaia, che misura il rapporto fra anziani e giovani, supera quota 220 ed è in crescita continua, segnalando un peso degli ultrasessantacinquenni largamente superiore a quello dei minori di quindici anni.</w:t>
      </w:r>
    </w:p>
    <w:p>
      <w:pPr>
        <w:pStyle w:val="BodyText"/>
      </w:pPr>
      <w:r>
        <w:t xml:space="preserve">La struttura insediativa è caratterizzata da una dispersione accentuata, che condiziona in modo determinante l’organizzazione dei servizi. La regione conta 131 comuni, dei quali oltre la metà — il 56,5 per cento — ha una popolazione compresa fra mille e cinquemila abitanti, e in questi piccoli centri risiede una quota consistente della popolazione. Soltanto due comuni superano i sessantamila abitanti: Potenza, capoluogo regionale, e Matera; gli altri centri di una certa dimensione, come Policoro, Melfi e Pisticci, non raggiungono i ventimila abitanti. Ne deriva una densità abitativa fra le più basse del Paese e un territorio in larga parte montano e interno, in cui molte comunità sono distanti dai poli sanitari e raggiungibili con tempi di percorrenza significativi. La componente straniera è contenuta: i cittadini stranieri residenti sono circa 24.000, pari al 4,5 per cento della popolazione, una quota nettamente inferiore alla media nazionale, distribuita prevalentemente fra le province di Matera e Potenza. La componente femminile prevale, soprattutto nelle età avanzate, in ragione della maggiore longevità.</w:t>
      </w:r>
    </w:p>
    <w:p>
      <w:pPr>
        <w:pStyle w:val="BodyText"/>
      </w:pPr>
      <w:r>
        <w:t xml:space="preserve">Questo profilo demografico ha implicazioni dirette sul bisogno psicologico e sull’architettura del servizio. Una popolazione anziana esprime un bisogno specifico legato alle patologie croniche, alla solitudine, al lutto e alla perdita di autonomia, condizioni in cui il disagio psichico si intreccia con quello fisico e in cui un intervento psicologico precoce può prevenire l’aggravamento e la medicalizzazione. Una popolazione giovane in contrazione, spinta all’emigrazione dalla scarsità di prospettive, esprime un disagio connesso allo sradicamento, all’isolamento e all’incertezza, particolarmente acuto nelle aree interne. La dispersione insediativa, infine, rende l’accesso fisico ai servizi un ostacolo concreto, e impone che il servizio di psicologia di base sia progettato fin dall’origine con una capillarità territoriale e con un ricorso strutturato alla telepsicologia, intesa non come surrogato della relazione clinica ma come strumento per garantirne la disponibilità anche dove la presenza fisica continuativa non è sostenibile. La demografia lucana, in sintesi, non solo amplifica il bisogno, ma ne modella la geografia.</w:t>
      </w:r>
    </w:p>
    <w:bookmarkEnd w:id="3278"/>
    <w:bookmarkStart w:id="3279" w:name="b.2-il-bisogno-epidemiologico-1"/>
    <w:p>
      <w:pPr>
        <w:pStyle w:val="Heading3"/>
      </w:pPr>
      <w:r>
        <w:t xml:space="preserve">B.2 Il bisogno epidemiologico</w:t>
      </w:r>
    </w:p>
    <w:p>
      <w:pPr>
        <w:pStyle w:val="FirstParagraph"/>
      </w:pPr>
      <w:r>
        <w:t xml:space="preserve">Il disagio psichico comune è, per definizione, diffuso. Le revisioni epidemiologiche internazionali stimano che, in un dato anno, una quota compresa fra il quindici e il venti per cento della popolazione adulta sperimenti un disturbo mentale comune — prevalentemente disturbi d’ansia e dell’umore di intensità lieve o moderata — e che una quota ancora maggiore attraversi, nel corso della vita, fasi di sofferenza psicologica connesse a eventi critici, transizioni e perdite. Applicando queste prevalenze alla popolazione residente in Basilicata si ottiene una stima dell’ordine di 107.000 persone interessate da disagio psichico comune in un anno, cui si aggiunge un’utenza specialistica in carico ai servizi per condizioni più severe. Questa cifra non è un dato amministrativo, ma una stima epidemiologica fondata su prevalenze documentate: la sua funzione è dimensionare il bisogno potenziale e, con esso, la popolazione su cui l’intervento può produrre effetti. La sua attendibilità è limitata dalla scarsità di rilevazioni regionali dirette, una lacuna che il sistema informativo descritto nella Parte C è destinato a colmare, sostituendo progressivamente la stima con l’osservazione.</w:t>
      </w:r>
    </w:p>
    <w:p>
      <w:pPr>
        <w:pStyle w:val="BodyText"/>
      </w:pPr>
      <w:r>
        <w:t xml:space="preserve">La struttura demografica lucana modula questa prevalenza generale in direzioni specifiche. L’invecchiamento accentuato sposta una parte rilevante del bisogno verso le età anziane, in cui la depressione è frequente, spesso non riconosciuta e frequentemente associata a patologie somatiche croniche e alla solitudine: in una regione con un’età media di 47 anni e un indice di vecchiaia superiore a 220, la depressione dell’anziano costituisce una componente quantitativamente importante e clinicamente trascurata del bisogno complessivo. Sul versante opposto del ciclo di vita, il disagio giovanile presenta in Basilicata caratteri aggravati dall’isolamento delle aree interne e dalla prospettiva dell’emigrazione, che priva i giovani di reti di sostegno e di opportunità: i fenomeni nazionali documentati — l’incremento del ricorso agli psicofarmaci nella popolazione adolescenziale, l’abbassamento dell’età del primo contatto con le sostanze, l’aumento dei comportamenti di ritiro e di autolesività — trovano in un contesto dispersivo e in contrazione demografica un terreno di particolare fragilità. A queste componenti si aggiunge il disagio connesso alle condizioni socioeconomiche, in una regione in cui i livelli di reddito e di occupazione sono inferiori alla media nazionale e in cui la deprivazione costituisce un fattore di rischio documentato per i disturbi mentali comuni.</w:t>
      </w:r>
    </w:p>
    <w:p>
      <w:pPr>
        <w:pStyle w:val="BodyText"/>
      </w:pPr>
      <w:r>
        <w:t xml:space="preserve">A fronte di un bisogno così strutturato, la risposta del sistema regionale è penalizzata da un sottofinanziamento documentato della salute mentale. Le analisi nazionali sulla ripartizione della spesa per la salute mentale collocano la Basilicata, insieme alla Campania, fra le regioni che destinano a questo settore una quota del fondo sanitario regionale inferiore alla soglia ritenuta minima per garantire gli standard di personale previsti dagli accordi nazionali — una quota che per la Basilicata risulta inferiore al 2,5 per cento, a fronte di un riferimento del 3,6 per cento — con una carenza di operatori che ne è il riflesso diretto. Questo dato non è un dettaglio contabile: esso indica che il sistema lucano dispone oggi di risorse insufficienti perfino per i servizi specialistici di salute mentale, e che l’introduzione di un servizio di psicologia di base, lungi dal sovrapporsi a un’offerta già adeguata, andrebbe a colmare un vuoto strutturale, intercettando a monte una domanda che oggi o resta inevasa o si scarica, impropriamente, sui servizi specialistici già sottodimensionati e sui livelli più costosi del sistema.</w:t>
      </w:r>
    </w:p>
    <w:bookmarkEnd w:id="3279"/>
    <w:bookmarkStart w:id="3280" w:name="X3d7442eba2969048a30bc8dfd33a51ed65f37be"/>
    <w:p>
      <w:pPr>
        <w:pStyle w:val="Heading3"/>
      </w:pPr>
      <w:r>
        <w:t xml:space="preserve">B.3 Domanda, offerta e divario di trattamento</w:t>
      </w:r>
    </w:p>
    <w:p>
      <w:pPr>
        <w:pStyle w:val="FirstParagraph"/>
      </w:pPr>
      <w:r>
        <w:t xml:space="preserve">Il bisogno epidemiologico si traduce solo in parte in domanda espressa, e la domanda espressa trova solo in parte una risposta appropriata. È questa la nozione di divario di trattamento: la distanza fra le persone che presentano un disturbo e quelle che ricevono un intervento adeguato. In Basilicata il divario è ampio, e ad alimentarlo concorrono fattori di domanda e fattori di offerta. Sul versante della domanda, una parte consistente del disagio comune non si traduce in richiesta di aiuto per ragioni culturali — lo stigma associato alla sofferenza psichica, particolarmente persistente nelle comunità piccole e nelle generazioni anziane — e per ragioni pratiche, legate alla difficoltà di individuare a chi rivolgersi in assenza di un servizio dedicato e visibile. Sul versante dell’offerta, l’assenza di un servizio di psicologia di base strutturato fa sì che il primo livello di presa in carico del disagio comune non esista come tale: chi cerca aiuto si rivolge al medico di medicina generale, che dispone di tempo e strumenti limitati per affrontare il disagio psichico; oppure accede ai servizi specialistici di salute mentale, concepiti per le condizioni severe e oggi sottodimensionati, dove giunge spesso tardivamente e quando la condizione si è già aggravata; oppure ricorre, quando può permetterselo, all’offerta privata, con un evidente effetto regressivo che esclude chi non dispone di mezzi.</w:t>
      </w:r>
    </w:p>
    <w:p>
      <w:pPr>
        <w:pStyle w:val="BodyText"/>
      </w:pPr>
      <w:r>
        <w:t xml:space="preserve">La conseguenza è duplice. Da un lato, una quota rilevante del bisogno resta inevasa, traducendosi in sofferenza prolungata, in perdita di funzionalità e in un rischio accresciuto di cronicizzazione. Dall’altro, la domanda che pure si esprime si distribuisce in modo inappropriato sui livelli del sistema: si traduce in consulti ripetuti al medico di medicina generale, in accessi al pronto soccorso per manifestazioni somatiche del disagio, in prescrizioni di farmaci come risposta di prima linea in assenza di alternative, e in invii ai servizi specialistici di casi che un livello intermedio avrebbe potuto trattare. Questa distribuzione impropria non solo è clinicamente subottimale, perché interviene tardi e con strumenti non sempre appropriati, ma è anche economicamente onerosa, perché impegna i livelli più costosi del sistema per bisogni che un servizio collocato a monte tratterebbe a costo inferiore. Il servizio di psicologia di base interviene precisamente su questo divario: rendendo visibile e accessibile un primo livello di presa in carico, intercetta la domanda inespressa, la orienta correttamente e la tratta tempestivamente, riducendo al contempo il carico improprio sui livelli a valle.</w:t>
      </w:r>
    </w:p>
    <w:p>
      <w:pPr>
        <w:pStyle w:val="BodyText"/>
      </w:pPr>
      <w:r>
        <w:t xml:space="preserve">La dimensione del divario in Basilicata è accentuata dalla combinazione fra il sottofinanziamento della salute mentale e la dispersione territoriale. Là dove l’offerta specialistica è già scarsa e i servizi sono concentrati nei pochi poli urbani, il residente di un piccolo comune interno affronta, per accedere a una prestazione psicologica, una barriera che somma la difficoltà di individuare il servizio, la distanza fisica e i tempi di attesa. Il risultato è che il divario di trattamento non è uniforme sul territorio, ma si concentra nelle aree interne e fra i gruppi più fragili, assumendo i tratti di una disuguaglianza che la Parte G analizza in dettaglio. L’introduzione del servizio di psicologia di base, se progettata con attenzione alla capillarità e alla prossimità, è lo strumento più diretto per ridurre simultaneamente l’ampiezza e l’iniquità del divario.</w:t>
      </w:r>
    </w:p>
    <w:bookmarkEnd w:id="3280"/>
    <w:bookmarkStart w:id="3281" w:name="b.4-le-disuguaglianze-1"/>
    <w:p>
      <w:pPr>
        <w:pStyle w:val="Heading3"/>
      </w:pPr>
      <w:r>
        <w:t xml:space="preserve">B.4 Le disuguaglianze</w:t>
      </w:r>
    </w:p>
    <w:p>
      <w:pPr>
        <w:pStyle w:val="FirstParagraph"/>
      </w:pPr>
      <w:r>
        <w:t xml:space="preserve">Il disagio psichico e l’accesso alle cure non si distribuiscono in modo uniforme nella popolazione, ma seguono un gradiente sociale e un gradiente territoriale che in Basilicata si rinforzano a vicenda. Il gradiente sociale è documentato dalla letteratura internazionale: la prevalenza dei disturbi mentali comuni è più elevata nei gruppi a minore reddito, minore istruzione e maggiore precarietà occupazionale, e proprio questi gruppi incontrano le maggiori difficoltà di accesso, sia per ragioni economiche — quando l’unica offerta disponibile è quella privata — sia per ragioni informative e culturali. In una regione in cui i livelli di reddito e di occupazione sono inferiori alla media nazionale e in cui la deprivazione è diffusa, il gradiente sociale assume un peso particolare: una quota maggiore della popolazione si colloca nella fascia a più alto rischio e a minore accesso, e l’assenza di un servizio pubblico gratuito o a basso costo lascia che il bisogno di questa fascia resti senza risposta, traducendosi in un effetto regressivo per cui la sofferenza si concentra dove minori sono le risorse per farvi fronte.</w:t>
      </w:r>
    </w:p>
    <w:p>
      <w:pPr>
        <w:pStyle w:val="BodyText"/>
      </w:pPr>
      <w:r>
        <w:t xml:space="preserve">Il gradiente territoriale, in Basilicata, è almeno altrettanto rilevante. La dispersione insediativa e la concentrazione dei servizi nei pochi poli urbani fanno sì che l’accesso a una prestazione psicologica dipenda in misura determinante dal luogo di residenza: chi vive in un piccolo comune interno è strutturalmente svantaggiato rispetto a chi risiede nei capoluoghi, e la distanza fisica si somma ai tempi di attesa e alla scarsità dell’offerta nel comporre una barriera che esclude di fatto una parte della popolazione. Questo divario territoriale non è una sfumatura geografica, ma una disuguaglianza sostanziale nell’accesso a un diritto, e colpisce proprio le aree — quelle interne, anziane e in spopolamento — in cui il bisogno è più acuto. La sovrapposizione fra il gradiente sociale e quello territoriale produce, nelle aree interne lucane, una concentrazione di svantaggio: comunità anziane, deprivate e lontane dai servizi, in cui il disagio è più frequente e l’accesso più difficile. Il servizio di psicologia di base, progettato con una distribuzione capillare e con il sostegno della telepsicologia, è lo strumento che può ridurre entrambi i gradienti, portando un primo livello di presa in carico gratuito o a basso costo là dove oggi non arriva alcuna offerta. La Parte G sviluppa l’analisi di questa dimensione e la traduce in termini di costo-efficacia distributiva.</w:t>
      </w:r>
    </w:p>
    <w:bookmarkEnd w:id="3281"/>
    <w:bookmarkStart w:id="3282" w:name="b.5-i-flussi-e-la-mobilità-sanitaria-1"/>
    <w:p>
      <w:pPr>
        <w:pStyle w:val="Heading3"/>
      </w:pPr>
      <w:r>
        <w:t xml:space="preserve">B.5 I flussi e la mobilità sanitaria</w:t>
      </w:r>
    </w:p>
    <w:p>
      <w:pPr>
        <w:pStyle w:val="FirstParagraph"/>
      </w:pPr>
      <w:r>
        <w:t xml:space="preserve">L’emigrazione sanitaria è, per la Basilicata, una delle questioni centrali del bilancio e dell’organizzazione, e costituisce uno dei principali argomenti a favore del rafforzamento dell’offerta territoriale. La mobilità sanitaria passiva — le prestazioni erogate ai residenti lucani in regioni diverse dalla propria, che si traducono in un debito per il Servizio Sanitario Regionale — genera per la Basilicata un saldo negativo dell’ordine di ottanta milioni di euro l’anno, classificato fra i saldi negativi di entità moderata ma rilevante per una regione di dimensioni contenute. Una quota cospicua di questo flusso si dirige verso la Puglia, che assorbe circa il 40 per cento dell’emigrazione sanitaria lucana: per il solo 2024, la Basilicata ha rimborsato alla Puglia un importo dell’ordine di 26 milioni di euro per i ricoveri e di oltre 7 milioni per le prestazioni specialistiche, e l’intesa siglata fra le due regioni ha fissato per il triennio successivo tetti di rimborso calcolati sui costi del 2024 ridotti del dieci per cento. Altri flussi si dirigono verso la Campania, la Calabria e le regioni del Nord. La mobilità lucana ha una componente in larga parte effettiva, dipendente cioè dalla scelta del cittadino, segno che essa riflette una percezione di insufficienza dell’offerta regionale e non soltanto vincoli di prossimità.</w:t>
      </w:r>
    </w:p>
    <w:p>
      <w:pPr>
        <w:pStyle w:val="BodyText"/>
      </w:pPr>
      <w:r>
        <w:t xml:space="preserve">La rilevanza della mobilità passiva per la valutazione del servizio di psicologia di base è diretta. Una parte dell’emigrazione sanitaria riguarda prestazioni — specialistiche, diagnostiche, talora di ricovero — che traggono origine, a monte, da condizioni di disagio psichico non intercettate per tempo: la somatizzazione del disagio genera accertamenti e consulti ripetuti, l’aggravamento di condizioni trattabili a livello territoriale conduce a prestazioni specialistiche più complesse, e l’assenza di una presa in carico di prossimità alimenta la ricerca di risposte altrove. Un servizio di psicologia di base che intercetti e tratti il disagio comune a monte può, di conseguenza, contribuire a trattenere nel sistema regionale una quota di prestazioni che oggi vengono erogate fuori regione, riducendo il saldo passivo. È bene precisare la natura prudenziale di questa affermazione: la quota di mobilità direttamente riconducibile al disagio psichico comune non è isolabile con precisione dai dati disponibili, e lo studio non le attribuisce un valore puntuale, ma la considera come una componente plausibile dei risparmi diretti, stimata entro bande conservative nella Parte E. Va inoltre osservato che la Basilicata non è priva di capacità attrattiva: alcune sue strutture, in particolare l’Istituto di Ricovero e Cura a Carattere Scientifico CROB per l’oncologia e l’Azienda Ospedaliera Regionale San Carlo, attraggono pazienti da regioni limitrofe, e nel 2024 il saldo complessivo della mobilità ha registrato un recupero rispetto all’anno precedente. Il rafforzamento dell’offerta territoriale si inserisce dunque in una strategia regionale già orientata a ridurre l’emigrazione e a trattenere valore nel sistema.</w:t>
      </w:r>
    </w:p>
    <w:bookmarkEnd w:id="3282"/>
    <w:bookmarkStart w:id="3284" w:name="b.6-il-quadro-normativo-1"/>
    <w:p>
      <w:pPr>
        <w:pStyle w:val="Heading3"/>
      </w:pPr>
      <w:r>
        <w:t xml:space="preserve">B.6 Il quadro normativo</w:t>
      </w:r>
    </w:p>
    <w:p>
      <w:pPr>
        <w:pStyle w:val="FirstParagraph"/>
      </w:pPr>
      <w:r>
        <w:t xml:space="preserve">L’introduzione del servizio di psicologia di base in Basilicata si colloca entro un quadro normativo articolato su più livelli, di cui occorre tenere conto sia per la legittimità sia per la coerenza dell’intervento. Sul piano nazionale, il decreto ministeriale numero 77 del 2022, che definisce i modelli e gli standard per lo sviluppo dell’assistenza territoriale, inserisce lo psicologo delle cure primarie fra i professionisti della rete territoriale e ne prevede la presenza nelle Case della Comunità, configurando l’assistenza psicologica primaria come componente attesa dell’organizzazione dei servizi territoriali. A livello parlamentare sono all’esame proposte di legge per l’istituzione di un servizio nazionale di psicologia di assistenza primaria, che prefigurano elenchi regionali, requisiti di accesso, percorsi formativi abilitanti e organismi di osservazione regionali. Questo contesto nazionale rende l’introduzione del servizio in Basilicata coerente con una direzione di politica sanitaria ampiamente condivisa e con l’evoluzione attesa dell’assistenza territoriale.</w:t>
      </w:r>
    </w:p>
    <w:p>
      <w:pPr>
        <w:pStyle w:val="BodyText"/>
      </w:pPr>
      <w:r>
        <w:t xml:space="preserve">Il vincolo giuridico più stringente è posto dalla sentenza della Corte Costituzionale numero 241 del 2021, che, pronunciandosi su una legge regionale istitutiva del servizio, ne ha censurato le disposizioni che configuravano nuovi rapporti di lavoro mediante incarichi libero-professionali in convenzione con il Servizio Sanitario Nazionale, in quanto eccedenti la competenza regionale in materia di ordinamento del personale e di rapporti convenzionali. Questa pronuncia non preclude alle regioni l’istituzione del servizio, ma ne circoscrive le modalità: una legge regionale lucana dovrà costruire il servizio entro i limiti della competenza regionale, evitando di disciplinare autonomamente i rapporti convenzionali che la Costituzione riserva al livello nazionale, e potrà a tal fine valorizzare gli strumenti già disponibili — l’inserimento nelle Case della Comunità, il raccordo con la medicina generale nell’ambito del ruolo unico, le forme di committenza compatibili con l’ordinamento — in attesa o in coerenza con un eventuale accordo nazionale. La Parte H sviluppa l’analisi di questo vincolo e delle soluzioni che vi si conformano.</w:t>
      </w:r>
    </w:p>
    <w:p>
      <w:pPr>
        <w:pStyle w:val="BodyText"/>
      </w:pPr>
      <w:r>
        <w:t xml:space="preserve">Sul piano regionale, l’assetto entro cui il servizio si inserirebbe è quello definito dal riordino del Servizio Sanitario Regionale, che articola il sistema in due aziende sanitarie locali — l’Azienda Sanitaria di Potenza e l’Azienda Sanitaria di Matera — affiancate dall’Azienda Ospedaliera Regionale San Carlo e dall’Istituto CROB, e dalla recente evoluzione dell’assistenza territoriale, con l’introduzione del ruolo unico della medicina generale, l’attivazione delle Aggregazioni Funzionali Territoriali e delle Unità Complesse di Cure Primarie e la realizzazione, nell’ambito della Missione 6 del Piano Nazionale di Ripresa e Resilienza, delle Case della Comunità e dell’infrastruttura digitale del Fascicolo Sanitario Elettronico regionale. Le due proposte di legge depositate nel 2025 si inseriscono in questo quadro, prevedendo un servizio incardinato presso le aziende sanitarie locali mediante unità funzionali, integrato con la medicina territoriale e con le Case della Comunità, con accesso diretto e su invio e con copertura a carico del Servizio Sanitario Regionale, eventualmente con compartecipazione mediante ticket. La dotazione finanziaria prevista da una delle proposte — dell’ordine di 100.000 euro annui per il primo triennio — è di natura simbolica e di avvio, e non corrisponde al dimensionamento necessario per un servizio a regime, che la Parte E quantifica. Il quadro normativo, in sintesi, è favorevole all’introduzione del servizio e ne indica la collocazione, ma ne richiede una costruzione giuridica attenta ai limiti costituzionali e un dimensionamento finanziario commisurato agli obiettivi.</w:t>
      </w:r>
      <w:r>
        <w:rPr>
          <w:rStyle w:val="FootnoteReference"/>
        </w:rPr>
        <w:footnoteReference w:id="3385"/>
      </w:r>
    </w:p>
    <w:bookmarkEnd w:id="3284"/>
    <w:bookmarkEnd w:id="3285"/>
    <w:bookmarkStart w:id="3293" w:name="parte-c-lintervento-e-il-modello-4"/>
    <w:p>
      <w:pPr>
        <w:pStyle w:val="Heading2"/>
      </w:pPr>
      <w:r>
        <w:t xml:space="preserve">Parte C — L’intervento e il modello</w:t>
      </w:r>
    </w:p>
    <w:p>
      <w:pPr>
        <w:pStyle w:val="FirstParagraph"/>
      </w:pPr>
      <w:r>
        <w:t xml:space="preserve">Definito il bisogno, la valutazione passa a descrivere l’intervento che intende rispondervi. Questa parte specifica che cosa sia il servizio di psicologia di base, come si organizzi, attraverso quale percorso assistenziale operi, su quale sistema informativo si fondi, quale ruolo vi assumano le tecnologie digitali e l’intelligenza artificiale, e quale formazione richieda il personale. La descrizione è costruita sulle condizioni della Basilicata — la fase anteriore all’istituzione del servizio, la dispersione insediativa, la struttura del Servizio Sanitario Regionale, i vincoli costituzionali — e definisce il modello che le parti successive sottopongono a valutazione economica, distributiva e di fattibilità. Poiché il servizio non esiste ancora, la Parte C non descrive un assetto da riformare, ma un assetto da costruire, e ne indica le scelte progettuali fondamentali.</w:t>
      </w:r>
    </w:p>
    <w:bookmarkStart w:id="3286" w:name="c.1-definizione-del-servizio-1"/>
    <w:p>
      <w:pPr>
        <w:pStyle w:val="Heading3"/>
      </w:pPr>
      <w:r>
        <w:t xml:space="preserve">C.1 Definizione del servizio</w:t>
      </w:r>
    </w:p>
    <w:p>
      <w:pPr>
        <w:pStyle w:val="FirstParagraph"/>
      </w:pPr>
      <w:r>
        <w:t xml:space="preserve">Il servizio di psicologia di base è un servizio territoriale del Servizio Sanitario Regionale che costituisce il primo livello di presa in carico del disagio psichico comune. Esso eroga un insieme definito di prestazioni: l’accoglienza e l’ascolto della domanda, la valutazione psicodiagnostica iniziale, il supporto psicologico breve attraverso interventi di efficacia documentata, l’orientamento del cittadino all’interno della rete dei servizi e l’invio, quando necessario, ai livelli specialistici. La sua funzione è duplice: trattare direttamente le condizioni di disagio comune per le quali un intervento psicologico breve è appropriato ed efficace, e filtrare e orientare la domanda, distinguendo i casi che possono essere risolti al primo livello da quelli che richiedono l’intervento specialistico, così da garantire l’appropriatezza dell’accesso ai livelli successivi. Il servizio si rivolge a tutta la popolazione, con un’attenzione particolare alle fasce di età e ai gruppi che la Parte B ha individuato come portatori di un bisogno specifico — gli anziani, gli adolescenti, le persone in condizione di deprivazione e isolamento — e opera in stretto raccordo con la medicina generale, con i pediatri di libera scelta, con i consultori, con i servizi sociali e con i servizi specialistici di salute mentale.</w:t>
      </w:r>
    </w:p>
    <w:p>
      <w:pPr>
        <w:pStyle w:val="BodyText"/>
      </w:pPr>
      <w:r>
        <w:t xml:space="preserve">È essenziale distinguere il servizio di psicologia di base dai servizi specialistici di salute mentale, con i quali esso non si sovrappone ma si integra. I servizi specialistici — i dipartimenti di salute mentale, i centri di salute mentale, i servizi per le dipendenze, la neuropsichiatria infantile — sono concepiti per le condizioni psichiatriche severe e per i disturbi conclamati, e richiedono competenze e intensità di intervento elevate. Il servizio di psicologia di base, al contrario, opera sul disagio comune e sottosoglia, a un livello di intensità inferiore e con una funzione di prossimità e di filtro. La distinzione è importante in Basilicata, dove i servizi specialistici sono già sottodimensionati per effetto del sottofinanziamento documentato: l’introduzione del servizio di psicologia di base non sottrae risorse al livello specialistico, ma ne allevia il carico, intercettando a monte una domanda che oggi vi si riversa impropriamente o resta inevasa. Il servizio, in altri termini, completa la rete dove essa è oggi mancante, e lo fa al livello più appropriato e meno costoso.</w:t>
      </w:r>
    </w:p>
    <w:p>
      <w:pPr>
        <w:pStyle w:val="BodyText"/>
      </w:pPr>
      <w:r>
        <w:t xml:space="preserve">La definizione del servizio come primo livello territoriale ne determina anche il regime di accesso. Coerentemente con le proposte di legge regionali e con il modello dell’assistenza primaria, l’accesso è previsto tanto su invio degli operatori — il medico di medicina generale, il pediatra di libera scelta, gli altri servizi territoriali e specialistici — quanto in forma diretta, su iniziativa del cittadino. Il doppio canale di accesso è funzionale all’obiettivo di ridurre il divario di trattamento: l’invio garantisce l’intercettazione dei casi che giungono all’attenzione degli operatori sanitari, mentre l’accesso diretto abbatte la barriera per chi non saprebbe a chi rivolgersi e rende il servizio visibile e raggiungibile. La copertura del servizio è a carico del Servizio Sanitario Regionale, con l’eventuale previsione di una compartecipazione mediante ticket, secondo le scelte che la legge regionale definirà; la Parte G analizza le implicazioni distributive di tale scelta, segnalando come un’eventuale compartecipazione debba essere calibrata in modo da non reintrodurre, per le fasce più fragili, la barriera economica che il servizio pubblico intende abbattere.</w:t>
      </w:r>
    </w:p>
    <w:bookmarkEnd w:id="3286"/>
    <w:bookmarkStart w:id="3287" w:name="c.2-il-modello-organizzativo-14"/>
    <w:p>
      <w:pPr>
        <w:pStyle w:val="Heading3"/>
      </w:pPr>
      <w:r>
        <w:t xml:space="preserve">C.2 Il modello organizzativo</w:t>
      </w:r>
    </w:p>
    <w:p>
      <w:pPr>
        <w:pStyle w:val="FirstParagraph"/>
      </w:pPr>
      <w:r>
        <w:t xml:space="preserve">Il modello organizzativo del servizio di psicologia di base in Basilicata è definito da alcune scelte progettuali fondamentali, dettate dalla struttura del Servizio Sanitario Regionale e dalle condizioni del territorio. La prima scelta riguarda la collocazione istituzionale: coerentemente con le proposte di legge regionali e con i vincoli costituzionali, il servizio è incardinato presso le aziende sanitarie locali — l’Azienda Sanitaria di Potenza e l’Azienda Sanitaria di Matera — attraverso unità funzionali dedicate, che ne coordinano l’attività sul territorio di rispettiva competenza e ne garantiscono il raccordo con gli altri servizi. La collocazione presso le due aziende territoriali, e non presso l’Azienda Ospedaliera o l’Istituto di ricovero, è coerente con la natura territoriale e di prossimità del servizio, e ne àncora l’organizzazione al livello distrettuale, dove si concentra l’assistenza primaria. Il coordinamento regionale, eventualmente affidato a un organismo di osservazione secondo il modello prefigurato dalle proposte nazionali, assicura l’uniformità degli standard, la programmazione e il monitoraggio.</w:t>
      </w:r>
    </w:p>
    <w:p>
      <w:pPr>
        <w:pStyle w:val="BodyText"/>
      </w:pPr>
      <w:r>
        <w:t xml:space="preserve">La seconda scelta riguarda la collocazione fisica e la capillarità. Le sedi del servizio sono individuate prioritariamente nelle Case della Comunità realizzate nell’ambito del Piano Nazionale di Ripresa e Resilienza, che costituiscono il punto di riferimento dell’assistenza territoriale e in cui il servizio si integra con gli altri professionisti della rete, e nei distretti sanitari. In una regione dispersa come la Basilicata, tuttavia, la concentrazione del servizio nelle sole Case della Comunità non sarebbe sufficiente a garantirne l’accesso ai residenti dei piccoli comuni interni: il modello prevede pertanto una distribuzione capillare, con presenze programmate nelle sedi territoriali periferiche e con un ricorso strutturato alla telepsicologia. La telepsicologia, in questo contesto, non è uno strumento di seconda scelta, ma una componente essenziale del modello, che consente di portare la prestazione psicologica nei territori a bassa densità, di garantire la continuità della presa in carico riducendo gli spostamenti, e di superare la barriera della distanza che la Parte B ha individuato come una delle principali determinanti del divario territoriale. Il suo impiego è regolato da protocolli che ne definiscono l’appropriatezza clinica, distinguendo le situazioni in cui la relazione a distanza è adeguata da quelle in cui la presenza fisica è necessaria.</w:t>
      </w:r>
    </w:p>
    <w:p>
      <w:pPr>
        <w:pStyle w:val="BodyText"/>
      </w:pPr>
      <w:r>
        <w:t xml:space="preserve">La terza scelta riguarda l’integrazione con la rete dei servizi. Il servizio di psicologia di base opera in raccordo strutturato con la medicina generale, valorizzando l’evoluzione recente dell’assistenza primaria lucana — il ruolo unico della medicina generale, le Aggregazioni Funzionali Territoriali e le Unità Complesse di Cure Primarie — che costituisce l’infrastruttura organizzativa entro cui il servizio si inserisce. Il medico di medicina generale e il pediatra di libera scelta sono i principali interlocutori del servizio, in entrata, attraverso l’invio dei pazienti, e in uscita, attraverso la restituzione e la continuità della presa in carico. Il raccordo con i servizi specialistici di salute mentale garantisce la gestione appropriata dei casi che eccedono il primo livello, mentre l’integrazione con i consultori, con i servizi sociali e con la scuola consente di intercettare il disagio nei contesti di vita e di costruire risposte che eccedono la dimensione strettamente sanitaria. Questa architettura di rete, in una regione in cui le risorse sono scarse, è anche una condizione di efficienza: evitando duplicazioni e garantendo la continuità, essa massimizza il rendimento delle risorse impiegate. La costruzione del modello entro i limiti posti dalla sentenza costituzionale numero 241 del 2021 — in particolare per quanto attiene alla forma dei rapporti professionali — è trattata nella Parte H.</w:t>
      </w:r>
    </w:p>
    <w:bookmarkEnd w:id="3287"/>
    <w:bookmarkStart w:id="3288" w:name="c.3-il-percorso-assistenziale-1"/>
    <w:p>
      <w:pPr>
        <w:pStyle w:val="Heading3"/>
      </w:pPr>
      <w:r>
        <w:t xml:space="preserve">C.3 Il percorso assistenziale</w:t>
      </w:r>
    </w:p>
    <w:p>
      <w:pPr>
        <w:pStyle w:val="FirstParagraph"/>
      </w:pPr>
      <w:r>
        <w:t xml:space="preserve">Il percorso assistenziale descrive la sequenza delle fasi attraverso cui il cittadino transita dal momento dell’accesso al servizio fino alla conclusione della presa in carico o all’invio. La prima fase è l’accesso, che avviene su invio di un operatore o per iniziativa diretta del cittadino, e che conduce a un primo contatto di accoglienza e ascolto, finalizzato a comprendere la domanda e a stabilire una relazione. La seconda fase è la valutazione, in cui lo psicologo conduce una valutazione psicodiagnostica iniziale, mediante colloquio e, ove appropriato, strumenti standardizzati di misurazione, allo scopo di definire la natura e l’intensità del disagio e di orientare la decisione clinica. Sulla base della valutazione, il percorso si articola secondo un modello di cure graduali: per le condizioni di disagio comune lievi e moderate, il servizio eroga direttamente un ciclo di interventi psicologici brevi, di durata definita e di efficacia documentata; per le condizioni che eccedono il primo livello, il servizio provvede all’invio ai servizi specialistici, garantendo il raccordo e la continuità; per le situazioni in cui il disagio si intreccia con bisogni sociali, il servizio attiva l’integrazione con i servizi sociali e con la rete territoriale.</w:t>
      </w:r>
    </w:p>
    <w:p>
      <w:pPr>
        <w:pStyle w:val="BodyText"/>
      </w:pPr>
      <w:r>
        <w:t xml:space="preserve">Il modello delle cure graduali è il principio organizzativo del percorso, e ne costituisce anche il fondamento di efficienza ed equità. Esso prevede che l’intensità dell’intervento sia commisurata alla gravità del bisogno, riservando le risorse più specialistiche e costose alle condizioni che le richiedono e trattando al primo livello, con interventi brevi, la larga maggioranza dei casi di disagio comune. Questo approccio, documentato dalla letteratura come efficace e costo-efficace, consente di trattare un numero elevato di persone con risorse contenute, e di garantire al contempo che chi necessita di un intervento più intensivo vi acceda tempestivamente e appropriatamente. La conclusione del percorso prevede la restituzione al medico di medicina generale e, ove opportuno, il monitoraggio degli esiti a distanza, che consente di verificare il mantenimento del beneficio e di intercettare eventuali ricadute. L’intero percorso è documentato nel sistema informativo, che ne registra le fasi, gli esiti e i tempi, alimentando la valutazione continua del servizio.</w:t>
      </w:r>
    </w:p>
    <w:p>
      <w:pPr>
        <w:pStyle w:val="BodyText"/>
      </w:pPr>
      <w:r>
        <w:t xml:space="preserve">In una regione dispersa, il percorso assistenziale deve essere progettato in modo da minimizzare le barriere di accesso lungo tutta la sua durata. La telepsicologia interviene in più punti del percorso: può supportare la fase di accesso e di primo contatto, riducendo i tempi e gli spostamenti; può consentire l’erogazione di parte del ciclo di interventi brevi a distanza, là dove la presenza fisica continuativa non è sostenibile; e può sostenere il monitoraggio degli esiti, garantendo la continuità senza imporre nuovi spostamenti. L’integrazione fra presenza fisica programmata e prestazione a distanza, regolata da protocolli clinici, è ciò che rende il percorso effettivamente accessibile anche ai residenti delle aree interne, e costituisce la traduzione operativa dell’obiettivo di equità territoriale che attraversa l’intero studio.</w:t>
      </w:r>
    </w:p>
    <w:bookmarkEnd w:id="3288"/>
    <w:bookmarkStart w:id="3289" w:name="c.4-il-sistema-informativo-2"/>
    <w:p>
      <w:pPr>
        <w:pStyle w:val="Heading3"/>
      </w:pPr>
      <w:r>
        <w:t xml:space="preserve">C.4 Il sistema informativo</w:t>
      </w:r>
    </w:p>
    <w:p>
      <w:pPr>
        <w:pStyle w:val="FirstParagraph"/>
      </w:pPr>
      <w:r>
        <w:t xml:space="preserve">Il sistema informativo è la condizione perché il servizio possa essere governato, valutato e migliorato. La sua funzione è triplice: registrare l’attività del servizio — gli accessi, le prestazioni, i percorsi, gli invii — così da consentirne la gestione e la programmazione; misurare gli esiti, attraverso strumenti standardizzati somministrati all’inizio e al termine della presa in carico, così da documentare l’efficacia del servizio e da alimentare la valutazione continua; e produrre i dati epidemiologici e di domanda che oggi mancano, sostituendo progressivamente le stime con l’osservazione diretta. Quest’ultima funzione è particolarmente rilevante per la Basilicata, dove la scarsità di rilevazioni regionali dirette costituisce un limite documentato dalla Parte B: il sistema informativo del servizio è lo strumento che, nel tempo, trasforma il bisogno stimato in bisogno osservato, e consente di calibrare il dimensionamento del servizio sui dati reali.</w:t>
      </w:r>
    </w:p>
    <w:p>
      <w:pPr>
        <w:pStyle w:val="BodyText"/>
      </w:pPr>
      <w:r>
        <w:t xml:space="preserve">La Basilicata dispone di un punto di partenza favorevole, costituito dall’infrastruttura digitale sanitaria regionale. Il Fascicolo Sanitario Elettronico regionale, sviluppato nell’ambito del programma di sanità digitale e già operativo, fornisce la base su cui il sistema informativo del servizio può innestarsi, garantendo l’integrazione con il resto della documentazione sanitaria del cittadino e la continuità informativa fra il servizio di psicologia di base e gli altri livelli del sistema. Il sistema informativo del servizio deve definire un dataset minimo — l’insieme delle variabili da rilevare per ogni accesso e per ogni percorso — costruito in modo da essere al tempo stesso sufficiente per la valutazione e sostenibile per gli operatori, evitando di gravare l’attività clinica di oneri di registrazione eccessivi. La protezione dei dati personali, particolarmente sensibili in ambito psicologico, è garantita dal rispetto della normativa vigente e da misure tecniche e organizzative adeguate, descritte nella Parte H. Il dataset minimo e gli strumenti di misurazione degli esiti sono dettagliati nell’Appendice B.</w:t>
      </w:r>
    </w:p>
    <w:bookmarkEnd w:id="3289"/>
    <w:bookmarkStart w:id="3290" w:name="Xb2ca394cd1cb36bd4c33929672cf928e77a53ca"/>
    <w:p>
      <w:pPr>
        <w:pStyle w:val="Heading3"/>
      </w:pPr>
      <w:r>
        <w:t xml:space="preserve">C.5 Il ruolo dell’intelligenza artificiale</w:t>
      </w:r>
    </w:p>
    <w:p>
      <w:pPr>
        <w:pStyle w:val="FirstParagraph"/>
      </w:pPr>
      <w:r>
        <w:t xml:space="preserve">Le tecnologie digitali e l’intelligenza artificiale possono svolgere un ruolo di supporto al servizio di psicologia di base, a condizione che il loro impiego sia governato con lo stesso rigore metodologico applicato agli interventi clinici e che la loro efficacia sia documentata e non semplicemente asserita. Le funzioni in cui tali tecnologie possono contribuire sono diverse: il supporto alla gestione della domanda e all’orientamento, attraverso strumenti che facilitano l’accesso e la prima informazione; il sostegno al monitoraggio degli esiti, attraverso strumenti di rilevazione a distanza; il supporto alla teleassistenza, di particolare rilevanza in un contesto disperso; e l’ausilio alla decisione clinica e all’organizzazione, attraverso l’elaborazione dei dati di attività. In una regione come la Basilicata, in cui la dispersione territoriale rende la prossimità un problema strutturale, le tecnologie che sostengono la prestazione a distanza e il monitoraggio remoto assumono un valore particolare, perché ampliano la capacità del servizio di raggiungere i territori periferici senza moltiplicare le risorse.</w:t>
      </w:r>
    </w:p>
    <w:p>
      <w:pPr>
        <w:pStyle w:val="BodyText"/>
      </w:pPr>
      <w:r>
        <w:t xml:space="preserve">Questo potenziale va però accompagnato da una valutazione prudente e da una graduazione dell’evidenza. Lo studio applica alle tecnologie digitali e all’intelligenza artificiale il medesimo criterio adottato per gli interventi clinici: le affermazioni sulla loro efficacia sono graduate secondo la qualità delle prove disponibili, e non si attribuisce a tali tecnologie un beneficio che le prove non sostengono. Molte applicazioni dell’intelligenza artificiale in ambito psicologico sono ancora in fase di sperimentazione, e la loro efficacia, la loro sicurezza e la loro accettabilità non sono uniformemente documentate; lo studio le considera pertanto come strumenti di supporto il cui impiego va introdotto gradualmente, valutato sul campo e sottoposto a verifica, e non come componenti la cui efficacia possa essere presupposta. Il quadro regolatorio europeo in materia di intelligenza artificiale fornisce il riferimento normativo: le disposizioni in materia di alfabetizzazione e di uso consapevole sono in vigore dal 2026, mentre gli obblighi relativi ai sistemi ad alto rischio, fra cui rientrano determinati dispositivi medici, si applicheranno a partire dal 2028. L’introduzione delle tecnologie nel servizio dovrà conformarsi a questo quadro, garantendo la trasparenza, la supervisione umana e la tutela dei diritti. La formazione del personale all’uso consapevole di tali strumenti, trattata nel paragrafo seguente, è una condizione di questo impiego prudente.</w:t>
      </w:r>
    </w:p>
    <w:bookmarkEnd w:id="3290"/>
    <w:bookmarkStart w:id="3292" w:name="c.6-la-formazione-del-personale-1"/>
    <w:p>
      <w:pPr>
        <w:pStyle w:val="Heading3"/>
      </w:pPr>
      <w:r>
        <w:t xml:space="preserve">C.6 La formazione del personale</w:t>
      </w:r>
    </w:p>
    <w:p>
      <w:pPr>
        <w:pStyle w:val="FirstParagraph"/>
      </w:pPr>
      <w:r>
        <w:t xml:space="preserve">La formazione del personale è una componente costitutiva del servizio, e non un suo accessorio. Le proposte di legge regionali prevedono espressamente attività di formazione e aggiornamento continuo per gli psicologi coinvolti, in coerenza con l’esigenza di garantire standard professionali elevati, e il modello nazionale prefigura corsi annuali abilitanti organizzati dalle regioni, con esame finale, per l’accesso agli elenchi. La formazione del personale del servizio di psicologia di base si articola su più livelli e modalità: la formazione di base, che fornisce le competenze cliniche necessarie per operare al primo livello con interventi psicologici brevi di efficacia documentata; la formazione specifica al modello organizzativo del servizio, che riguarda il lavoro in rete, il raccordo con la medicina generale, le cure graduali e i protocolli di invio; la formazione all’uso degli strumenti di misurazione degli esiti e del sistema informativo; e la formazione all’impiego consapevole delle tecnologie digitali e della telepsicologia, particolarmente rilevante in un contesto disperso. A queste si aggiunge la formazione continua, che mantiene aggiornate le competenze nel tempo e garantisce l’adesione alle evidenze emergenti.</w:t>
      </w:r>
    </w:p>
    <w:p>
      <w:pPr>
        <w:pStyle w:val="BodyText"/>
      </w:pPr>
      <w:r>
        <w:t xml:space="preserve">La formazione assume in Basilicata un rilievo specifico per due ragioni. La prima è che il servizio è da costruire, e la sua qualità dipende fin dall’origine dalla preparazione degli operatori: a differenza di una riforma che agisce su un servizio esistente, l’istituzione di un servizio nuovo richiede di formare un corpo professionale al modello prima ancora che esso operi, e la formazione iniziale è dunque una condizione di avvio. La seconda è che la dispersione territoriale e il ricorso strutturato alla telepsicologia richiedono competenze specifiche, che la formazione tradizionale non garantisce: operare efficacemente a distanza, mantenere la qualità della relazione clinica attraverso strumenti digitali, gestire la continuità della presa in carico in un contesto territoriale frammentato sono competenze che vanno formate esplicitamente. La Basilicata non dispone di un’offerta universitaria di psicologia sul proprio territorio, circostanza che rende necessario costruire i percorsi formativi in collaborazione con gli atenei e gli ordini professionali delle regioni limitrofe e con il sistema nazionale, e che suggerisce di valorizzare le modalità formative a distanza, coerentemente con la natura dispersa del contesto. Lo studio dedicato all’integrazione dell’intelligenza artificiale e alla formazione del personale, sviluppato parallelamente, approfondisce questi aspetti; la presente parte ne richiama la centralità come condizione della qualità e della sostenibilità del servizio.</w:t>
      </w:r>
      <w:r>
        <w:rPr>
          <w:rStyle w:val="FootnoteReference"/>
        </w:rPr>
        <w:footnoteReference w:id="3386"/>
      </w:r>
    </w:p>
    <w:bookmarkEnd w:id="3292"/>
    <w:bookmarkEnd w:id="3293"/>
    <w:bookmarkStart w:id="3299" w:name="parte-d-efficacia-clinica-ed-evidenza-9"/>
    <w:p>
      <w:pPr>
        <w:pStyle w:val="Heading2"/>
      </w:pPr>
      <w:r>
        <w:t xml:space="preserve">Parte D — Efficacia clinica ed evidenza</w:t>
      </w:r>
    </w:p>
    <w:p>
      <w:pPr>
        <w:pStyle w:val="FirstParagraph"/>
      </w:pPr>
      <w:r>
        <w:t xml:space="preserve">La decisione di introdurre un servizio sanitario richiede di accertare che esso funzioni, ossia che produca gli effetti clinici che gli si attribuiscono, e di stabilire con quale grado di certezza tale efficacia sia documentata. Questa parte esamina l’evidenza scientifica sull’efficacia degli interventi psicologici precoci nel contesto delle cure primarie, ne valuta la qualità con un metodo esplicito, la confronta con le esperienze di servizi analoghi già realizzati e ne discute la trasferibilità al contesto della Basilicata. L’analisi distingue ciò che l’evidenza sostiene con solidità da ciò che resta incerto, e gradua di conseguenza la forza delle conclusioni, applicando lo stesso rigore tanto alle affermazioni cliniche quanto a quelle relative agli strumenti digitali. L’efficacia clinica è il fondamento su cui poggia l’intera valutazione economica e distributiva: se l’intervento non producesse benefici clinici, nessun risparmio e nessun guadagno di benessere potrebbero esserne derivati.</w:t>
      </w:r>
    </w:p>
    <w:bookmarkStart w:id="3294" w:name="d.1-la-revisione-dellevidenza-1"/>
    <w:p>
      <w:pPr>
        <w:pStyle w:val="Heading3"/>
      </w:pPr>
      <w:r>
        <w:t xml:space="preserve">D.1 La revisione dell’evidenza</w:t>
      </w:r>
    </w:p>
    <w:p>
      <w:pPr>
        <w:pStyle w:val="FirstParagraph"/>
      </w:pPr>
      <w:r>
        <w:t xml:space="preserve">L’efficacia degli interventi psicologici per i disturbi mentali comuni — disturbi d’ansia e dell’umore di intensità lieve e moderata — è fra le più documentate della medicina contemporanea. Un’ampia letteratura, costituita da studi clinici randomizzati e da revisioni sistematiche con metanalisi, documenta che gli interventi psicologici strutturati e di durata definita, fra cui in primo luogo la terapia cognitivo-comportamentale e gli interventi a essa riconducibili, producono una riduzione significativa della sintomatologia ansiosa e depressiva, con dimensioni dell’effetto clinicamente rilevanti e con un mantenimento del beneficio nel tempo. Questa efficacia è documentata non solo in contesti specialistici, ma anche e specificamente nel contesto delle cure primarie, dove gli interventi psicologici brevi erogati a un primo livello di assistenza si sono dimostrati efficaci nel trattare il disagio comune, nel prevenirne la cronicizzazione e nel ridurre il ricorso ai livelli specialistici. La collocazione dell’intervento a monte del sistema, lungi dal comprometterne l’efficacia, ne costituisce una condizione di appropriatezza, perché consente di trattare le condizioni nella fase in cui sono più reversibili.</w:t>
      </w:r>
    </w:p>
    <w:p>
      <w:pPr>
        <w:pStyle w:val="BodyText"/>
      </w:pPr>
      <w:r>
        <w:t xml:space="preserve">Un secondo filone di evidenza riguarda i modelli organizzativi attraverso cui questi interventi sono erogati. I modelli di cura collaborativa, in cui il livello delle cure primarie e quello specialistico operano in modo integrato, e i modelli di cure graduali, in cui l’intensità dell’intervento è commisurata alla gravità del bisogno, sono documentati come efficaci e come capaci di estendere l’accesso al trattamento a un numero elevato di persone con risorse contenute. L’esperienza più estesa e studiata è quella del programma nazionale inglese per l’ampliamento dell’accesso alle terapie psicologiche, che ha erogato interventi psicologici a milioni di persone attraverso un modello di cure graduali integrato nelle cure primarie, documentando tassi di guarigione e di miglioramento clinicamente significativi e fornendo una base empirica solida sulla fattibilità e sull’efficacia di un servizio di psicologia collocato al primo livello. Questo modello, pur sviluppato in un contesto sanitario diverso, fornisce il riferimento empirico più pertinente per la valutazione di un servizio di psicologia di base, e ne documenta la realizzabilità su larga scala.</w:t>
      </w:r>
    </w:p>
    <w:p>
      <w:pPr>
        <w:pStyle w:val="BodyText"/>
      </w:pPr>
      <w:r>
        <w:t xml:space="preserve">Un terzo filone riguarda l’efficacia degli interventi nelle popolazioni specifiche che caratterizzano il bisogno lucano. Per la depressione dell’anziano, frequente e spesso non riconosciuta, gli interventi psicologici si sono dimostrati efficaci, anche in associazione con il trattamento delle patologie somatiche concomitanti, e capaci di migliorare la qualità della vita e di ridurre la disabilità. Per il disagio giovanile, gli interventi precoci documentano un’efficacia nel prevenire l’evoluzione verso disturbi conclamati e nel ridurre i comportamenti a rischio. Per le condizioni connesse alla deprivazione e all’isolamento, l’evidenza sostiene l’efficacia di interventi che integrano la dimensione psicologica con quella sociale. Questa specificità è rilevante per la Basilicata, perché documenta che l’efficacia del servizio non è generica, ma si estende proprio alle componenti del bisogno — anziani, giovani delle aree interne, popolazione deprivata — che la struttura demografica e sociale della regione rende prevalenti.</w:t>
      </w:r>
    </w:p>
    <w:bookmarkEnd w:id="3294"/>
    <w:bookmarkStart w:id="3295" w:name="d.2-la-qualità-dellevidenza-7"/>
    <w:p>
      <w:pPr>
        <w:pStyle w:val="Heading3"/>
      </w:pPr>
      <w:r>
        <w:t xml:space="preserve">D.2 La qualità dell’evidenza</w:t>
      </w:r>
    </w:p>
    <w:p>
      <w:pPr>
        <w:pStyle w:val="FirstParagraph"/>
      </w:pPr>
      <w:r>
        <w:t xml:space="preserve">Documentare che esistono prove di efficacia non è sufficiente: occorre valutare la qualità di tali prove, ossia il grado di fiducia che si può riporre nella stima dell’effetto. Lo studio adotta a questo fine il sistema GRADE, che gradua la qualità dell’evidenza su quattro livelli — alta, moderata, bassa, molto bassa — sulla base del disegno degli studi, della coerenza dei risultati, della loro precisione, della loro applicabilità e del rischio di distorsioni, e che gradua separatamente la forza delle raccomandazioni che ne derivano. L’applicazione di questo metodo consente di distinguere le affermazioni che l’evidenza sostiene con solidità da quelle che restano incerte, e di formulare conclusioni la cui forza è proporzionata alla qualità delle prove.</w:t>
      </w:r>
    </w:p>
    <w:p>
      <w:pPr>
        <w:pStyle w:val="BodyText"/>
      </w:pPr>
      <w:r>
        <w:t xml:space="preserve">Applicando il sistema GRADE all’evidenza sull’efficacia degli interventi psicologici per i disturbi mentali comuni, la qualità delle prove risulta da moderata ad alta. L’efficacia della terapia cognitivo-comportamentale e degli interventi affini nel ridurre la sintomatologia ansiosa e depressiva è sostenuta da un corpo ampio di studi randomizzati e di revisioni sistematiche, con risultati coerenti e con stime precise dell’effetto: per queste affermazioni la qualità dell’evidenza è alta. L’efficacia dei modelli di cure graduali e di cura collaborativa nel contesto delle cure primarie è anch’essa ben documentata, con una qualità dell’evidenza che si colloca su livelli da moderati ad alti. La trasferibilità dei risultati a un contesto sanitario e territoriale specifico, come quello lucano, introduce un elemento di incertezza che abbassa, per le stime quantitative riferite alla regione, la qualità dell’evidenza a livelli moderati: non perché l’efficacia sia in dubbio, ma perché la sua entità precisa nel contesto specifico dipende da fattori di implementazione che andranno verificati sul campo. Coerentemente con questa graduazione, lo studio formula le proprie conclusioni cliniche con la forza che la qualità dell’evidenza giustifica, evitando di attribuire alle stime una precisione che esse non possiedono.</w:t>
      </w:r>
    </w:p>
    <w:p>
      <w:pPr>
        <w:pStyle w:val="BodyText"/>
      </w:pPr>
      <w:r>
        <w:t xml:space="preserve">La medesima graduazione è applicata, con esito diverso, alle affermazioni relative agli strumenti digitali e all’intelligenza artificiale. L’evidenza sull’efficacia di tali strumenti come supporto agli interventi psicologici è, allo stato, meno consolidata di quella relativa agli interventi clinici tradizionali: per alcune applicazioni — la telepsicologia come modalità di erogazione di interventi di efficacia documentata — l’evidenza è discreta e in crescita; per altre — gli strumenti basati sull’intelligenza artificiale per il triage, il monitoraggio o il supporto alla decisione — l’evidenza è ancora preliminare e la qualità delle prove è bassa o molto bassa. Lo studio ne tiene conto, considerando tali strumenti come supporti il cui impiego va introdotto gradualmente e verificato, e non come componenti la cui efficacia possa essere presupposta. Questa applicazione simmetrica del metodo GRADE — che non concede agli strumenti digitali un trattamento di favore rispetto agli interventi clinici — è una garanzia dell’attendibilità complessiva della valutazione.</w:t>
      </w:r>
    </w:p>
    <w:bookmarkEnd w:id="3295"/>
    <w:bookmarkStart w:id="3296" w:name="d.3-i-benchmark-e-le-esperienze-1"/>
    <w:p>
      <w:pPr>
        <w:pStyle w:val="Heading3"/>
      </w:pPr>
      <w:r>
        <w:t xml:space="preserve">D.3 I benchmark e le esperienze</w:t>
      </w:r>
    </w:p>
    <w:p>
      <w:pPr>
        <w:pStyle w:val="FirstParagraph"/>
      </w:pPr>
      <w:r>
        <w:t xml:space="preserve">La valutazione di un servizio non ancora istituito può avvalersi dell’esperienza di servizi analoghi già realizzati, che ne documentano la fattibilità, gli esiti e le criticità. Sul piano internazionale, il riferimento principale è il già richiamato programma inglese, che fornisce il benchmark più solido sulla realizzabilità e sull’efficacia di un servizio di psicologia collocato nelle cure primarie: i suoi risultati documentano che un servizio di questo tipo può raggiungere una quota rilevante della popolazione, produrre tassi di miglioramento clinicamente significativi e operare in modo sostenibile, e ne segnalano al contempo le condizioni di successo, fra cui la qualità della formazione, la fedeltà ai protocolli, la misurazione sistematica degli esiti e l’integrazione con la rete. Altre esperienze internazionali, in contesti sanitari diversi, confermano la trasferibilità del modello e ne arricchiscono la conoscenza delle condizioni di efficacia.</w:t>
      </w:r>
    </w:p>
    <w:p>
      <w:pPr>
        <w:pStyle w:val="BodyText"/>
      </w:pPr>
      <w:r>
        <w:t xml:space="preserve">Sul piano nazionale, l’introduzione del servizio di psicologia di base o di assistenza primaria in diverse regioni italiane costituisce un benchmark di crescente rilevanza, ancorché di recente attuazione e non ancora compiutamente valutato. Le regioni che hanno istituito il servizio per legge offrono modelli organizzativi differenti, che documentano le possibili soluzioni e le difficoltà incontrate. Queste esperienze sono particolarmente pertinenti per la Basilicata, perché si collocano nel medesimo contesto sanitario e normativo nazionale e perché affrontano gli stessi vincoli — fra cui quello costituzionale — che la regione dovrà affrontare. L’osservazione delle soluzioni adottate altrove, dei modelli di collocazione istituzionale, di dimensionamento e di integrazione, fornisce alla Basilicata un repertorio di opzioni e di lezioni apprese che può orientare la costruzione del proprio servizio, evitando gli errori già emersi e valorizzando le soluzioni più efficaci. Lo studio raccomanda che la Basilicata si avvalga sistematicamente di questo confronto interregionale, sia nella fase di progettazione sia in quella di monitoraggio.</w:t>
      </w:r>
    </w:p>
    <w:p>
      <w:pPr>
        <w:pStyle w:val="BodyText"/>
      </w:pPr>
      <w:r>
        <w:t xml:space="preserve">L’utilizzo dei benchmark richiede però cautela metodologica. Le esperienze realizzate in contesti diversi — per sistema sanitario, per struttura demografica, per dotazione di risorse — non sono trasferibili in modo meccanico, e i loro risultati quantitativi non possono essere assunti tali e quali come previsione per la Basilicata. Il programma inglese opera in un sistema sanitario e in un contesto territoriale profondamente diversi; le esperienze di altre regioni italiane si collocano in contesti demografici e organizzativi differenti da quello lucano. Lo studio utilizza pertanto i benchmark come riferimenti qualitativi sulla fattibilità e sulle condizioni di efficacia, e non come basi per una proiezione quantitativa diretta, che è invece costruita, nella Parte F, mediante un modello calibrato sui parametri del contesto lucano e sottoposto ad analisi di incertezza. La distinzione fra l’uso qualitativo dei benchmark e la modellazione quantitativa è una garanzia di prudenza.</w:t>
      </w:r>
    </w:p>
    <w:bookmarkEnd w:id="3296"/>
    <w:bookmarkStart w:id="3298" w:name="d.4-la-trasferibilità-al-contesto-lucano"/>
    <w:p>
      <w:pPr>
        <w:pStyle w:val="Heading3"/>
      </w:pPr>
      <w:r>
        <w:t xml:space="preserve">D.4 La trasferibilità al contesto lucano</w:t>
      </w:r>
    </w:p>
    <w:p>
      <w:pPr>
        <w:pStyle w:val="FirstParagraph"/>
      </w:pPr>
      <w:r>
        <w:t xml:space="preserve">La trasferibilità dell’evidenza al contesto della Basilicata è la questione che collega l’efficacia documentata in generale all’efficacia attesa nello specifico contesto regionale. Tre ordini di fattori la favoriscono, e tre la condizionano. Fra i fattori favorevoli, il primo è la natura del bisogno: l’efficacia degli interventi psicologici per i disturbi mentali comuni è documentata proprio per le condizioni — disturbi d’ansia e dell’umore lievi e moderati, disagio dell’anziano, disagio giovanile — che la struttura demografica e sociale lucana rende prevalenti, sicché l’evidenza si applica direttamente al bisogno regionale. Il secondo è la collocazione del servizio: l’efficacia dei modelli di cure graduali nelle cure primarie è documentata, e il modello proposto per la Basilicata vi si conforma. Il terzo è l’infrastruttura territoriale in costruzione: le Case della Comunità, il ruolo unico della medicina generale, le Aggregazioni Funzionali Territoriali e l’infrastruttura digitale regionale forniscono il contesto organizzativo entro cui il servizio può operare efficacemente.</w:t>
      </w:r>
    </w:p>
    <w:p>
      <w:pPr>
        <w:pStyle w:val="BodyText"/>
      </w:pPr>
      <w:r>
        <w:t xml:space="preserve">Fra i fattori che condizionano la trasferibilità, il primo è la dispersione territoriale: l’efficacia documentata nei contesti urbani o ad alta densità deve essere garantita anche nelle aree interne a bassa densità, e ciò richiede che il modello incorpori la telepsicologia e la distribuzione capillare come componenti essenziali, la cui efficacia in tale impiego è oggetto di un’evidenza ancora in consolidamento. Il secondo è la scarsità di risorse: l’efficacia del servizio dipende dalla qualità della formazione, dalla fedeltà ai protocolli e dalla misurazione degli esiti, e tali condizioni richiedono un investimento che la situazione finanziaria regionale rende impegnativo, ancorché sostenibile. Il terzo è l’assenza di un’offerta universitaria di psicologia sul territorio regionale, che rende necessario costruire i percorsi formativi in collaborazione con il sistema nazionale e con le regioni limitrofe. Questi fattori non compromettono la trasferibilità dell’efficacia, ma ne indicano le condizioni: l’efficacia documentata si realizzerà in Basilicata nella misura in cui il servizio sarà progettato e attuato in modo da soddisfare tali condizioni. La valutazione che segue assume questa trasferibilità condizionata come premessa, e ne incorpora l’incertezza nelle analisi di sensibilità della Parte F.</w:t>
      </w:r>
      <w:r>
        <w:rPr>
          <w:rStyle w:val="FootnoteReference"/>
        </w:rPr>
        <w:footnoteReference w:id="3387"/>
      </w:r>
    </w:p>
    <w:bookmarkEnd w:id="3298"/>
    <w:bookmarkEnd w:id="3299"/>
    <w:bookmarkStart w:id="3307" w:name="parte-e-valutazione-economica-8"/>
    <w:p>
      <w:pPr>
        <w:pStyle w:val="Heading2"/>
      </w:pPr>
      <w:r>
        <w:t xml:space="preserve">Parte E — Valutazione economica</w:t>
      </w:r>
    </w:p>
    <w:p>
      <w:pPr>
        <w:pStyle w:val="FirstParagraph"/>
      </w:pPr>
      <w:r>
        <w:t xml:space="preserve">La valutazione economica traduce in termini monetari il rapporto fra le risorse che il servizio richiede e i benefici che produce. Questa parte ne sviluppa le componenti secondo lo standard CHEERS: i costi del servizio, gli esiti clinici espressi in termini idonei alla valutazione economica, il rapporto costo-utilità, l’impatto sul bilancio sanitario regionale, il ritorno sociale per la collettività e la sintesi nei due casi, finanziario ed economico. L’analisi è governata dal principio, dichiarato nella Parte A e applicato senza eccezioni, della separazione fra i risparmi diretti per il bilancio sanitario e le ricadute economico-sociali per la collettività: le due grandezze sono quantificate distintamente, presentate in tabelle separate e mai sommate in un unico saldo né espresse in un unico rapporto. Tutte le stime sono espresse mediante bande prudenziali, e i rapporti beneficio-costo utilizzati sono contenuti entro la fascia metodologicamente fondata documentata dalla letteratura internazionale. Le cifre sono riferite ai tre scenari di dimensionamento definiti per la Basilicata e calibrate sulla popolazione regionale, di circa 535.000 abitanti, e sul fondo sanitario regionale, dell’ordine di 1,1 miliardi di euro.</w:t>
      </w:r>
    </w:p>
    <w:bookmarkStart w:id="3300" w:name="e.1-i-costi-del-servizio-1"/>
    <w:p>
      <w:pPr>
        <w:pStyle w:val="Heading3"/>
      </w:pPr>
      <w:r>
        <w:t xml:space="preserve">E.1 I costi del servizio</w:t>
      </w:r>
    </w:p>
    <w:p>
      <w:pPr>
        <w:pStyle w:val="FirstParagraph"/>
      </w:pPr>
      <w:r>
        <w:t xml:space="preserve">Il costo del servizio di psicologia di base è costituito dalle risorse necessarie per istituirlo e gestirlo, e comprende i compensi degli psicologi incaricati, i costi della formazione, i costi di coordinamento e di funzionamento e i costi del sistema informativo. Il costo dipende in misura prevalente dal dimensionamento del servizio, ossia dal numero di incarichi attivati, e cresce con esso. Lo studio considera tre scenari di dimensionamento, calibrati sulla popolazione regionale e sulla sua dispersione: uno scenario minimo, con 40 incarichi, corrispondente a un primo nucleo del servizio; uno scenario intermedio, con 80 incarichi; e uno scenario di piena attuazione, con 120 incarichi. I tre livelli corrispondono a un rapporto fra operatori e popolazione che va da circa un incarico ogni 13.000 abitanti nello scenario minimo a circa un incarico ogni 4.500 abitanti nello scenario di piena attuazione, valori coerenti con quelli adottati per le altre regioni della serie e calibrati per garantire, nello scenario pieno, la capillarità che la dispersione lucana richiede.</w:t>
      </w:r>
    </w:p>
    <w:tbl>
      <w:tblPr>
        <w:tblStyle w:val="Table"/>
        <w:tblW w:type="pct" w:w="490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735"/>
        <w:gridCol w:w="1344"/>
        <w:gridCol w:w="1344"/>
        <w:gridCol w:w="1344"/>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Componente di costo (mln €/anno)</w:t>
            </w:r>
          </w:p>
        </w:tc>
        <w:tc>
          <w:tcPr>
            <w:shd w:val="clear" w:color="auto" w:fill="16264B"/>
          </w:tcPr>
          <w:p>
            <w:pPr>
              <w:pStyle w:val="Compact"/>
              <w:spacing w:after="40" w:before="40"/>
              <w:jc w:val="left"/>
            </w:pPr>
            <w:r>
              <w:rPr>
                <w:rFonts w:ascii="Cambria" w:hAnsi="Cambria" w:cs="Cambria" w:eastAsia="Cambria"/>
                <w:b/>
                <w:color w:val="FFFFFF"/>
                <w:sz w:val="18"/>
              </w:rPr>
              <w:t xml:space="preserve">Minimo (40)</w:t>
            </w:r>
          </w:p>
        </w:tc>
        <w:tc>
          <w:tcPr>
            <w:shd w:val="clear" w:color="auto" w:fill="16264B"/>
          </w:tcPr>
          <w:p>
            <w:pPr>
              <w:pStyle w:val="Compact"/>
              <w:spacing w:after="40" w:before="40"/>
              <w:jc w:val="left"/>
            </w:pPr>
            <w:r>
              <w:rPr>
                <w:rFonts w:ascii="Cambria" w:hAnsi="Cambria" w:cs="Cambria" w:eastAsia="Cambria"/>
                <w:b/>
                <w:color w:val="FFFFFF"/>
                <w:sz w:val="18"/>
              </w:rPr>
              <w:t xml:space="preserve">Intermedio (80)</w:t>
            </w:r>
          </w:p>
        </w:tc>
        <w:tc>
          <w:tcPr>
            <w:shd w:val="clear" w:color="auto" w:fill="16264B"/>
          </w:tcPr>
          <w:p>
            <w:pPr>
              <w:pStyle w:val="Compact"/>
              <w:spacing w:after="40" w:before="40"/>
              <w:jc w:val="left"/>
            </w:pPr>
            <w:r>
              <w:rPr>
                <w:rFonts w:ascii="Cambria" w:hAnsi="Cambria" w:cs="Cambria" w:eastAsia="Cambria"/>
                <w:b/>
                <w:color w:val="FFFFFF"/>
                <w:sz w:val="18"/>
              </w:rPr>
              <w:t xml:space="preserve">Pieno (120)</w:t>
            </w:r>
          </w:p>
        </w:tc>
      </w:tr>
      <w:tr>
        <w:tc>
          <w:tcPr/>
          <w:p>
            <w:pPr>
              <w:pStyle w:val="Compact"/>
              <w:spacing w:after="40" w:before="40"/>
              <w:jc w:val="left"/>
            </w:pPr>
            <w:r>
              <w:rPr>
                <w:rFonts w:ascii="Cambria" w:hAnsi="Cambria" w:cs="Cambria" w:eastAsia="Cambria"/>
                <w:color w:val="1A1A1A"/>
                <w:sz w:val="18"/>
              </w:rPr>
              <w:t xml:space="preserve">Compensi degli psicologi incaricati</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~4,0</w:t>
            </w:r>
          </w:p>
        </w:tc>
        <w:tc>
          <w:tcPr/>
          <w:p>
            <w:pPr>
              <w:pStyle w:val="Compact"/>
              <w:spacing w:after="40" w:before="40"/>
              <w:jc w:val="left"/>
            </w:pPr>
            <w:r>
              <w:rPr>
                <w:rFonts w:ascii="Cambria" w:hAnsi="Cambria" w:cs="Cambria" w:eastAsia="Cambria"/>
                <w:color w:val="1A1A1A"/>
                <w:sz w:val="18"/>
              </w:rPr>
              <w:t xml:space="preserve">~6,0</w:t>
            </w:r>
          </w:p>
        </w:tc>
      </w:tr>
      <w:tr>
        <w:tc>
          <w:tcPr>
            <w:shd w:val="clear" w:color="auto" w:fill="F4F1EC"/>
          </w:tcPr>
          <w:p>
            <w:pPr>
              <w:pStyle w:val="Compact"/>
              <w:spacing w:after="40" w:before="40"/>
              <w:jc w:val="left"/>
            </w:pPr>
            <w:r>
              <w:rPr>
                <w:rFonts w:ascii="Cambria" w:hAnsi="Cambria" w:cs="Cambria" w:eastAsia="Cambria"/>
                <w:color w:val="1A1A1A"/>
                <w:sz w:val="18"/>
              </w:rPr>
              <w:t xml:space="preserve">Formazione, coordinamento e sistema informativo</w:t>
            </w:r>
          </w:p>
        </w:tc>
        <w:tc>
          <w:tcPr>
            <w:shd w:val="clear" w:color="auto" w:fill="F4F1EC"/>
          </w:tcPr>
          <w:p>
            <w:pPr>
              <w:pStyle w:val="Compact"/>
              <w:spacing w:after="40" w:before="40"/>
              <w:jc w:val="left"/>
            </w:pPr>
            <w:r>
              <w:rPr>
                <w:rFonts w:ascii="Cambria" w:hAnsi="Cambria" w:cs="Cambria" w:eastAsia="Cambria"/>
                <w:color w:val="1A1A1A"/>
                <w:sz w:val="18"/>
              </w:rPr>
              <w:t xml:space="preserve">~0,5</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r>
      <w:tr>
        <w:tc>
          <w:tcPr/>
          <w:p>
            <w:pPr>
              <w:pStyle w:val="Compact"/>
              <w:spacing w:after="40" w:before="40"/>
              <w:jc w:val="left"/>
            </w:pPr>
            <w:r>
              <w:rPr>
                <w:rFonts w:ascii="Cambria" w:hAnsi="Cambria" w:cs="Cambria" w:eastAsia="Cambria"/>
                <w:b/>
                <w:bCs/>
                <w:color w:val="1A1A1A"/>
                <w:sz w:val="18"/>
              </w:rPr>
              <w:t xml:space="preserve">Costo totale del servizio</w:t>
            </w:r>
          </w:p>
        </w:tc>
        <w:tc>
          <w:tcPr/>
          <w:p>
            <w:pPr>
              <w:pStyle w:val="Compact"/>
              <w:spacing w:after="40" w:before="40"/>
              <w:jc w:val="left"/>
            </w:pPr>
            <w:r>
              <w:rPr>
                <w:rFonts w:ascii="Cambria" w:hAnsi="Cambria" w:cs="Cambria" w:eastAsia="Cambria"/>
                <w:b/>
                <w:bCs/>
                <w:color w:val="1A1A1A"/>
                <w:sz w:val="18"/>
              </w:rPr>
              <w:t xml:space="preserve">~2,5</w:t>
            </w:r>
          </w:p>
        </w:tc>
        <w:tc>
          <w:tcPr/>
          <w:p>
            <w:pPr>
              <w:pStyle w:val="Compact"/>
              <w:spacing w:after="40" w:before="40"/>
              <w:jc w:val="left"/>
            </w:pPr>
            <w:r>
              <w:rPr>
                <w:rFonts w:ascii="Cambria" w:hAnsi="Cambria" w:cs="Cambria" w:eastAsia="Cambria"/>
                <w:b/>
                <w:bCs/>
                <w:color w:val="1A1A1A"/>
                <w:sz w:val="18"/>
              </w:rPr>
              <w:t xml:space="preserve">~5,0</w:t>
            </w:r>
          </w:p>
        </w:tc>
        <w:tc>
          <w:tcPr/>
          <w:p>
            <w:pPr>
              <w:pStyle w:val="Compact"/>
              <w:spacing w:after="40" w:before="40"/>
              <w:jc w:val="left"/>
            </w:pPr>
            <w:r>
              <w:rPr>
                <w:rFonts w:ascii="Cambria" w:hAnsi="Cambria" w:cs="Cambria" w:eastAsia="Cambria"/>
                <w:b/>
                <w:bCs/>
                <w:color w:val="1A1A1A"/>
                <w:sz w:val="18"/>
              </w:rPr>
              <w:t xml:space="preserve">~7,5</w:t>
            </w:r>
          </w:p>
        </w:tc>
      </w:tr>
    </w:tbl>
    <w:p>
      <w:pPr>
        <w:pStyle w:val="BodyText"/>
      </w:pPr>
      <w:r>
        <w:rPr>
          <w:i/>
          <w:iCs/>
        </w:rPr>
        <w:t xml:space="preserve">Tabella E.1. Costo annuo del servizio per scenario di dimensionamento. Le cifre sono stime prudenziali arrotondate.</w:t>
      </w:r>
    </w:p>
    <w:p>
      <w:pPr>
        <w:pStyle w:val="BodyText"/>
      </w:pPr>
      <w:r>
        <w:t xml:space="preserve">Il costo totale del servizio va da circa 2,5 milioni di euro l’anno nello scenario minimo a circa 7,5 milioni nello scenario di piena attuazione. È utile collocare queste cifre nella scala del bilancio sanitario regionale: anche nello scenario di piena attuazione, il costo del servizio rappresenta una frazione contenuta del fondo sanitario regionale, dell’ordine dello 0,7 per cento, e una frazione ancora minore se si considera che esso si dispiega gradualmente nel tempo. La dotazione finanziaria prevista da una delle proposte di legge regionali — dell’ordine di 100.000 euro annui per il primo triennio — è di natura simbolica e di avvio, e non corrisponde al costo di un servizio a regime: la traduzione delle intenzioni legislative in un servizio effettivamente operante richiede un impegno finanziario commisurato agli scenari qui delineati, che la Parte I traduce in un percorso di dispiegamento graduale e sostenibile.</w:t>
      </w:r>
    </w:p>
    <w:bookmarkEnd w:id="3300"/>
    <w:bookmarkStart w:id="3301" w:name="e.2-gli-esiti-1"/>
    <w:p>
      <w:pPr>
        <w:pStyle w:val="Heading3"/>
      </w:pPr>
      <w:r>
        <w:t xml:space="preserve">E.2 Gli esiti</w:t>
      </w:r>
    </w:p>
    <w:p>
      <w:pPr>
        <w:pStyle w:val="FirstParagraph"/>
      </w:pPr>
      <w:r>
        <w:t xml:space="preserve">Gli esiti del servizio, ai fini della valutazione economica, sono espressi in due forme: la riduzione del consumo di risorse sanitarie, che si traduce nei risparmi diretti analizzati nel paragrafo E.4, e il guadagno di salute, espresso in anni di vita ponderati per la qualità. Quest’ultima misura — il guadagno di anni di vita aggiustati per la qualità, indicato con l’acronimo QALY — consente di rappresentare in un’unica grandezza il beneficio clinico in termini di durata e di qualità della vita, e di rapportarlo al costo per valutarne l’efficienza. La stima degli esiti per paziente è costruita, nella Parte F e nell’Appendice A, mediante un modello che simula il decorso di un paziente con disturbo d’ansia o dell’umore di intensità lieve o moderata trattato dal servizio, confrontandolo con il decorso in assenza di trattamento, lungo un orizzonte di cinque anni e con un tasso di sconto del 3 per cento.</w:t>
      </w:r>
    </w:p>
    <w:p>
      <w:pPr>
        <w:pStyle w:val="BodyText"/>
      </w:pPr>
      <w:r>
        <w:t xml:space="preserve">Il modello stima che il trattamento di un paziente con il servizio di psicologia di base produca, rispetto all’assenza di trattamento, un risparmio diretto di risorse sanitarie dell’ordine di 1.304 euro per paziente lungo l’orizzonte considerato e un guadagno di salute dell’ordine di 0,236 anni di vita ponderati per la qualità. Queste stime per paziente, invarianti rispetto al contesto regionale in quanto fondate sull’efficacia clinica documentata, costituiscono la base micro su cui si fonda la quantificazione aggregata. La loro proiezione sulla popolazione attraverso gli scenari di copertura, sviluppata nei paragrafi successivi, è condotta in modo prudenziale, assumendo che solo una quota del bisogno potenziale sia effettivamente intercettata e trattata in ciascuno scenario, coerentemente con il dispiegamento graduale del servizio e con la sua capacità effettiva.</w:t>
      </w:r>
    </w:p>
    <w:bookmarkEnd w:id="3301"/>
    <w:bookmarkStart w:id="3302" w:name="e.3-il-costo-utilità-1"/>
    <w:p>
      <w:pPr>
        <w:pStyle w:val="Heading3"/>
      </w:pPr>
      <w:r>
        <w:t xml:space="preserve">E.3 Il costo-utilità</w:t>
      </w:r>
    </w:p>
    <w:p>
      <w:pPr>
        <w:pStyle w:val="FirstParagraph"/>
      </w:pPr>
      <w:r>
        <w:t xml:space="preserve">Il rapporto costo-utilità mette in relazione il costo dell’intervento con il guadagno di salute che esso produce, ed è espresso come costo per anno di vita ponderato per la qualità guadagnato. Questo rapporto consente di valutare l’efficienza dell’intervento confrontandolo con la soglia di disponibilità a pagare comunemente adottata nelle valutazioni sanitarie, fissata in Italia e in contesti comparabili intorno ai 30.000 euro per anno di vita ponderato per la qualità. Un intervento il cui costo per anno di vita guadagnato è inferiore a tale soglia è considerato costo-efficace; un intervento che produce simultaneamente un guadagno di salute e un risparmio di risorse è considerato dominante, ossia preferibile sotto entrambi i profili.</w:t>
      </w:r>
    </w:p>
    <w:p>
      <w:pPr>
        <w:pStyle w:val="BodyText"/>
      </w:pPr>
      <w:r>
        <w:t xml:space="preserve">L’analisi condotta nella Parte F documenta che il servizio di psicologia di base si colloca, per il caso di riferimento, in posizione dominante: esso produce un guadagno di salute e, al contempo, un risparmio netto di risorse sanitarie, risultando quindi preferibile all’assenza di trattamento sotto entrambi i profili. Questa conclusione è sottoposta, nella Parte F, a un’analisi di sensibilità deterministica e probabilistica che ne verifica la robustezza rispetto alla variazione dei parametri: l’analisi probabilistica documenta che, nella larga maggioranza delle simulazioni, l’intervento resta costo-efficace, e in una quota elevata di esse resta dominante. La robustezza di questa conclusione è particolarmente rilevante per una regione con un bilancio in tensione come la Basilicata, perché documenta che l’efficienza dell’intervento non dipende da ipotesi favorevoli, ma si mantiene anche in scenari conservativi.</w:t>
      </w:r>
    </w:p>
    <w:bookmarkEnd w:id="3302"/>
    <w:bookmarkStart w:id="3303" w:name="e.4-limpatto-sul-bilancio-sanitario-1"/>
    <w:p>
      <w:pPr>
        <w:pStyle w:val="Heading3"/>
      </w:pPr>
      <w:r>
        <w:t xml:space="preserve">E.4 L’impatto sul bilancio sanitario</w:t>
      </w:r>
    </w:p>
    <w:p>
      <w:pPr>
        <w:pStyle w:val="FirstParagraph"/>
      </w:pPr>
      <w:r>
        <w:t xml:space="preserve">L’impatto sul bilancio sanitario regionale è costituito dai risparmi diretti che il servizio genera riducendo il consumo di risorse sanitarie. Questi risparmi si distribuiscono su quattro canali. Il primo è la riduzione degli accessi impropri al pronto soccorso per manifestazioni del disagio psichico. Il secondo è la riduzione della spesa farmaceutica, in particolare per i farmaci prescritti come risposta di prima linea al disagio comune in assenza di alternative. Il terzo è la riduzione dei ricoveri e delle prestazioni specialistiche evitabili, conseguente all’intercettazione precoce del disagio e alla prevenzione del suo aggravamento. Il quarto, di particolare rilevanza per la Basilicata, è la riduzione della mobilità sanitaria passiva, ossia delle prestazioni che i residenti lucani ricevono fuori regione e che il sistema regionale rimborsa: una parte di questa mobilità trae origine, a monte, da condizioni di disagio non intercettate per tempo, e un servizio territoriale più solido può contribuire a trattenerne una quota.</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3"/>
        <w:gridCol w:w="1384"/>
        <w:gridCol w:w="1384"/>
        <w:gridCol w:w="1384"/>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Canale di risparmio diretto (mln €/anno)</w:t>
            </w:r>
          </w:p>
        </w:tc>
        <w:tc>
          <w:tcPr>
            <w:shd w:val="clear" w:color="auto" w:fill="16264B"/>
          </w:tcPr>
          <w:p>
            <w:pPr>
              <w:pStyle w:val="Compact"/>
              <w:spacing w:after="40" w:before="40"/>
              <w:jc w:val="left"/>
            </w:pPr>
            <w:r>
              <w:rPr>
                <w:rFonts w:ascii="Cambria" w:hAnsi="Cambria" w:cs="Cambria" w:eastAsia="Cambria"/>
                <w:b/>
                <w:color w:val="FFFFFF"/>
                <w:sz w:val="18"/>
              </w:rPr>
              <w:t xml:space="preserve">Minimo (40)</w:t>
            </w:r>
          </w:p>
        </w:tc>
        <w:tc>
          <w:tcPr>
            <w:shd w:val="clear" w:color="auto" w:fill="16264B"/>
          </w:tcPr>
          <w:p>
            <w:pPr>
              <w:pStyle w:val="Compact"/>
              <w:spacing w:after="40" w:before="40"/>
              <w:jc w:val="left"/>
            </w:pPr>
            <w:r>
              <w:rPr>
                <w:rFonts w:ascii="Cambria" w:hAnsi="Cambria" w:cs="Cambria" w:eastAsia="Cambria"/>
                <w:b/>
                <w:color w:val="FFFFFF"/>
                <w:sz w:val="18"/>
              </w:rPr>
              <w:t xml:space="preserve">Intermedio (80)</w:t>
            </w:r>
          </w:p>
        </w:tc>
        <w:tc>
          <w:tcPr>
            <w:shd w:val="clear" w:color="auto" w:fill="16264B"/>
          </w:tcPr>
          <w:p>
            <w:pPr>
              <w:pStyle w:val="Compact"/>
              <w:spacing w:after="40" w:before="40"/>
              <w:jc w:val="left"/>
            </w:pPr>
            <w:r>
              <w:rPr>
                <w:rFonts w:ascii="Cambria" w:hAnsi="Cambria" w:cs="Cambria" w:eastAsia="Cambria"/>
                <w:b/>
                <w:color w:val="FFFFFF"/>
                <w:sz w:val="18"/>
              </w:rPr>
              <w:t xml:space="preserve">Pieno (120)</w:t>
            </w:r>
          </w:p>
        </w:tc>
      </w:tr>
      <w:tr>
        <w:tc>
          <w:tcPr/>
          <w:p>
            <w:pPr>
              <w:pStyle w:val="Compact"/>
              <w:spacing w:after="40" w:before="40"/>
              <w:jc w:val="left"/>
            </w:pPr>
            <w:r>
              <w:rPr>
                <w:rFonts w:ascii="Cambria" w:hAnsi="Cambria" w:cs="Cambria" w:eastAsia="Cambria"/>
                <w:color w:val="1A1A1A"/>
                <w:sz w:val="18"/>
              </w:rPr>
              <w:t xml:space="preserve">Minori accessi al pronto soccorso</w:t>
            </w:r>
          </w:p>
        </w:tc>
        <w:tc>
          <w:tcPr/>
          <w:p>
            <w:pPr>
              <w:pStyle w:val="Compact"/>
              <w:spacing w:after="40" w:before="40"/>
              <w:jc w:val="left"/>
            </w:pPr>
            <w:r>
              <w:rPr>
                <w:rFonts w:ascii="Cambria" w:hAnsi="Cambria" w:cs="Cambria" w:eastAsia="Cambria"/>
                <w:color w:val="1A1A1A"/>
                <w:sz w:val="18"/>
              </w:rPr>
              <w:t xml:space="preserve">~0,3</w:t>
            </w:r>
          </w:p>
        </w:tc>
        <w:tc>
          <w:tcPr/>
          <w:p>
            <w:pPr>
              <w:pStyle w:val="Compact"/>
              <w:spacing w:after="40" w:before="40"/>
              <w:jc w:val="left"/>
            </w:pPr>
            <w:r>
              <w:rPr>
                <w:rFonts w:ascii="Cambria" w:hAnsi="Cambria" w:cs="Cambria" w:eastAsia="Cambria"/>
                <w:color w:val="1A1A1A"/>
                <w:sz w:val="18"/>
              </w:rPr>
              <w:t xml:space="preserve">~0,5</w:t>
            </w:r>
          </w:p>
        </w:tc>
        <w:tc>
          <w:tcPr/>
          <w:p>
            <w:pPr>
              <w:pStyle w:val="Compact"/>
              <w:spacing w:after="40" w:before="40"/>
              <w:jc w:val="left"/>
            </w:pPr>
            <w:r>
              <w:rPr>
                <w:rFonts w:ascii="Cambria" w:hAnsi="Cambria" w:cs="Cambria" w:eastAsia="Cambria"/>
                <w:color w:val="1A1A1A"/>
                <w:sz w:val="18"/>
              </w:rPr>
              <w:t xml:space="preserve">~1,0</w:t>
            </w:r>
          </w:p>
        </w:tc>
      </w:tr>
      <w:tr>
        <w:tc>
          <w:tcPr>
            <w:shd w:val="clear" w:color="auto" w:fill="F4F1EC"/>
          </w:tcPr>
          <w:p>
            <w:pPr>
              <w:pStyle w:val="Compact"/>
              <w:spacing w:after="40" w:before="40"/>
              <w:jc w:val="left"/>
            </w:pPr>
            <w:r>
              <w:rPr>
                <w:rFonts w:ascii="Cambria" w:hAnsi="Cambria" w:cs="Cambria" w:eastAsia="Cambria"/>
                <w:color w:val="1A1A1A"/>
                <w:sz w:val="18"/>
              </w:rPr>
              <w:t xml:space="preserve">Minore spesa farmaceutica</w:t>
            </w:r>
          </w:p>
        </w:tc>
        <w:tc>
          <w:tcPr>
            <w:shd w:val="clear" w:color="auto" w:fill="F4F1EC"/>
          </w:tcPr>
          <w:p>
            <w:pPr>
              <w:pStyle w:val="Compact"/>
              <w:spacing w:after="40" w:before="40"/>
              <w:jc w:val="left"/>
            </w:pPr>
            <w:r>
              <w:rPr>
                <w:rFonts w:ascii="Cambria" w:hAnsi="Cambria" w:cs="Cambria" w:eastAsia="Cambria"/>
                <w:color w:val="1A1A1A"/>
                <w:sz w:val="18"/>
              </w:rPr>
              <w:t xml:space="preserve">~0,3</w:t>
            </w:r>
          </w:p>
        </w:tc>
        <w:tc>
          <w:tcPr>
            <w:shd w:val="clear" w:color="auto" w:fill="F4F1EC"/>
          </w:tcPr>
          <w:p>
            <w:pPr>
              <w:pStyle w:val="Compact"/>
              <w:spacing w:after="40" w:before="40"/>
              <w:jc w:val="left"/>
            </w:pPr>
            <w:r>
              <w:rPr>
                <w:rFonts w:ascii="Cambria" w:hAnsi="Cambria" w:cs="Cambria" w:eastAsia="Cambria"/>
                <w:color w:val="1A1A1A"/>
                <w:sz w:val="18"/>
              </w:rPr>
              <w:t xml:space="preserve">~0,5</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r>
      <w:tr>
        <w:tc>
          <w:tcPr/>
          <w:p>
            <w:pPr>
              <w:pStyle w:val="Compact"/>
              <w:spacing w:after="40" w:before="40"/>
              <w:jc w:val="left"/>
            </w:pPr>
            <w:r>
              <w:rPr>
                <w:rFonts w:ascii="Cambria" w:hAnsi="Cambria" w:cs="Cambria" w:eastAsia="Cambria"/>
                <w:color w:val="1A1A1A"/>
                <w:sz w:val="18"/>
              </w:rPr>
              <w:t xml:space="preserve">Minori ricoveri e prestazioni specialistiche</w:t>
            </w:r>
          </w:p>
        </w:tc>
        <w:tc>
          <w:tcPr/>
          <w:p>
            <w:pPr>
              <w:pStyle w:val="Compact"/>
              <w:spacing w:after="40" w:before="40"/>
              <w:jc w:val="left"/>
            </w:pPr>
            <w:r>
              <w:rPr>
                <w:rFonts w:ascii="Cambria" w:hAnsi="Cambria" w:cs="Cambria" w:eastAsia="Cambria"/>
                <w:color w:val="1A1A1A"/>
                <w:sz w:val="18"/>
              </w:rPr>
              <w:t xml:space="preserve">~0,7</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~2,0</w:t>
            </w:r>
          </w:p>
        </w:tc>
      </w:tr>
      <w:tr>
        <w:tc>
          <w:tcPr>
            <w:shd w:val="clear" w:color="auto" w:fill="F4F1EC"/>
          </w:tcPr>
          <w:p>
            <w:pPr>
              <w:pStyle w:val="Compact"/>
              <w:spacing w:after="40" w:before="40"/>
              <w:jc w:val="left"/>
            </w:pPr>
            <w:r>
              <w:rPr>
                <w:rFonts w:ascii="Cambria" w:hAnsi="Cambria" w:cs="Cambria" w:eastAsia="Cambria"/>
                <w:color w:val="1A1A1A"/>
                <w:sz w:val="18"/>
              </w:rPr>
              <w:t xml:space="preserve">Minore mobilità sanitaria passiva</w:t>
            </w:r>
          </w:p>
        </w:tc>
        <w:tc>
          <w:tcPr>
            <w:shd w:val="clear" w:color="auto" w:fill="F4F1EC"/>
          </w:tcPr>
          <w:p>
            <w:pPr>
              <w:pStyle w:val="Compact"/>
              <w:spacing w:after="40" w:before="40"/>
              <w:jc w:val="left"/>
            </w:pPr>
            <w:r>
              <w:rPr>
                <w:rFonts w:ascii="Cambria" w:hAnsi="Cambria" w:cs="Cambria" w:eastAsia="Cambria"/>
                <w:color w:val="1A1A1A"/>
                <w:sz w:val="18"/>
              </w:rPr>
              <w:t xml:space="preserve">~0,7</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r>
      <w:tr>
        <w:tc>
          <w:tcPr/>
          <w:p>
            <w:pPr>
              <w:pStyle w:val="Compact"/>
              <w:spacing w:after="40" w:before="40"/>
              <w:jc w:val="left"/>
            </w:pPr>
            <w:r>
              <w:rPr>
                <w:rFonts w:ascii="Cambria" w:hAnsi="Cambria" w:cs="Cambria" w:eastAsia="Cambria"/>
                <w:b/>
                <w:bCs/>
                <w:color w:val="1A1A1A"/>
                <w:sz w:val="18"/>
              </w:rPr>
              <w:t xml:space="preserve">Risparmi diretti totali</w:t>
            </w:r>
          </w:p>
        </w:tc>
        <w:tc>
          <w:tcPr/>
          <w:p>
            <w:pPr>
              <w:pStyle w:val="Compact"/>
              <w:spacing w:after="40" w:before="40"/>
              <w:jc w:val="left"/>
            </w:pPr>
            <w:r>
              <w:rPr>
                <w:rFonts w:ascii="Cambria" w:hAnsi="Cambria" w:cs="Cambria" w:eastAsia="Cambria"/>
                <w:b/>
                <w:bCs/>
                <w:color w:val="1A1A1A"/>
                <w:sz w:val="18"/>
              </w:rPr>
              <w:t xml:space="preserve">~2,0</w:t>
            </w:r>
          </w:p>
        </w:tc>
        <w:tc>
          <w:tcPr/>
          <w:p>
            <w:pPr>
              <w:pStyle w:val="Compact"/>
              <w:spacing w:after="40" w:before="40"/>
              <w:jc w:val="left"/>
            </w:pPr>
            <w:r>
              <w:rPr>
                <w:rFonts w:ascii="Cambria" w:hAnsi="Cambria" w:cs="Cambria" w:eastAsia="Cambria"/>
                <w:b/>
                <w:bCs/>
                <w:color w:val="1A1A1A"/>
                <w:sz w:val="18"/>
              </w:rPr>
              <w:t xml:space="preserve">~4,5</w:t>
            </w:r>
          </w:p>
        </w:tc>
        <w:tc>
          <w:tcPr/>
          <w:p>
            <w:pPr>
              <w:pStyle w:val="Compact"/>
              <w:spacing w:after="40" w:before="40"/>
              <w:jc w:val="left"/>
            </w:pPr>
            <w:r>
              <w:rPr>
                <w:rFonts w:ascii="Cambria" w:hAnsi="Cambria" w:cs="Cambria" w:eastAsia="Cambria"/>
                <w:b/>
                <w:bCs/>
                <w:color w:val="1A1A1A"/>
                <w:sz w:val="18"/>
              </w:rPr>
              <w:t xml:space="preserve">~7,0</w:t>
            </w:r>
          </w:p>
        </w:tc>
      </w:tr>
      <w:tr>
        <w:tc>
          <w:tcPr>
            <w:shd w:val="clear" w:color="auto" w:fill="F4F1EC"/>
          </w:tcPr>
          <w:p>
            <w:pPr>
              <w:pStyle w:val="Compact"/>
              <w:spacing w:after="40" w:before="40"/>
              <w:jc w:val="left"/>
            </w:pPr>
            <w:r>
              <w:rPr>
                <w:rFonts w:ascii="Cambria" w:hAnsi="Cambria" w:cs="Cambria" w:eastAsia="Cambria"/>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~5,0</w:t>
            </w:r>
          </w:p>
        </w:tc>
        <w:tc>
          <w:tcPr>
            <w:shd w:val="clear" w:color="auto" w:fill="F4F1EC"/>
          </w:tcPr>
          <w:p>
            <w:pPr>
              <w:pStyle w:val="Compact"/>
              <w:spacing w:after="40" w:before="40"/>
              <w:jc w:val="left"/>
            </w:pPr>
            <w:r>
              <w:rPr>
                <w:rFonts w:ascii="Cambria" w:hAnsi="Cambria" w:cs="Cambria" w:eastAsia="Cambria"/>
                <w:color w:val="1A1A1A"/>
                <w:sz w:val="18"/>
              </w:rPr>
              <w:t xml:space="preserve">~7,5</w:t>
            </w:r>
          </w:p>
        </w:tc>
      </w:tr>
      <w:tr>
        <w:tc>
          <w:tcPr/>
          <w:p>
            <w:pPr>
              <w:pStyle w:val="Compact"/>
              <w:spacing w:after="40" w:before="40"/>
              <w:jc w:val="left"/>
            </w:pPr>
            <w:r>
              <w:rPr>
                <w:rFonts w:ascii="Cambria" w:hAnsi="Cambria" w:cs="Cambria" w:eastAsia="Cambria"/>
                <w:b/>
                <w:bCs/>
                <w:color w:val="1A1A1A"/>
                <w:sz w:val="18"/>
              </w:rPr>
              <w:t xml:space="preserve">Saldo diretto per il bilancio</w:t>
            </w:r>
          </w:p>
        </w:tc>
        <w:tc>
          <w:tcPr/>
          <w:p>
            <w:pPr>
              <w:pStyle w:val="Compact"/>
              <w:spacing w:after="40" w:before="40"/>
              <w:jc w:val="left"/>
            </w:pPr>
            <w:r>
              <w:rPr>
                <w:rFonts w:ascii="Cambria" w:hAnsi="Cambria" w:cs="Cambria" w:eastAsia="Cambria"/>
                <w:b/>
                <w:bCs/>
                <w:color w:val="1A1A1A"/>
                <w:sz w:val="18"/>
              </w:rPr>
              <w:t xml:space="preserve">~ −0,5</w:t>
            </w:r>
          </w:p>
        </w:tc>
        <w:tc>
          <w:tcPr/>
          <w:p>
            <w:pPr>
              <w:pStyle w:val="Compact"/>
              <w:spacing w:after="40" w:before="40"/>
              <w:jc w:val="left"/>
            </w:pPr>
            <w:r>
              <w:rPr>
                <w:rFonts w:ascii="Cambria" w:hAnsi="Cambria" w:cs="Cambria" w:eastAsia="Cambria"/>
                <w:b/>
                <w:bCs/>
                <w:color w:val="1A1A1A"/>
                <w:sz w:val="18"/>
              </w:rPr>
              <w:t xml:space="preserve">~ −0,5</w:t>
            </w:r>
          </w:p>
        </w:tc>
        <w:tc>
          <w:tcPr/>
          <w:p>
            <w:pPr>
              <w:pStyle w:val="Compact"/>
              <w:spacing w:after="40" w:before="40"/>
              <w:jc w:val="left"/>
            </w:pPr>
            <w:r>
              <w:rPr>
                <w:rFonts w:ascii="Cambria" w:hAnsi="Cambria" w:cs="Cambria" w:eastAsia="Cambria"/>
                <w:b/>
                <w:bCs/>
                <w:color w:val="1A1A1A"/>
                <w:sz w:val="18"/>
              </w:rPr>
              <w:t xml:space="preserve">~ −0,5</w:t>
            </w:r>
          </w:p>
        </w:tc>
      </w:tr>
    </w:tbl>
    <w:p>
      <w:pPr>
        <w:pStyle w:val="BodyText"/>
      </w:pPr>
      <w:r>
        <w:rPr>
          <w:i/>
          <w:iCs/>
        </w:rPr>
        <w:t xml:space="preserve">Tabella E.4. Impatto sul bilancio sanitario regionale per scenario: risparmi diretti per canale, costo del servizio e saldo diretto. Cifre prudenziali arrotondate. Il canale della mobilità è quantificato entro bande conservative, data l’impossibilità di isolare con precisione la quota di mobilità riconducibile al disagio psichico comune.</w:t>
      </w:r>
    </w:p>
    <w:p>
      <w:pPr>
        <w:pStyle w:val="BodyText"/>
      </w:pPr>
      <w:r>
        <w:t xml:space="preserve">Il quadro che emerge è coerente in tutti gli scenari: i risparmi diretti compensano in larga parte il costo del servizio, lasciando un saldo diretto lievemente negativo, dell’ordine di mezzo milione di euro l’anno, sostanzialmente prossimo al pareggio. Questo saldo è trascurabile nella scala del bilancio sanitario regionale: esso rappresenta meno di un decimo di punto percentuale del fondo sanitario regionale, una cifra che il bilancio assorbe senza difficoltà e che è ampiamente inferiore al margine di incertezza delle stime. La struttura del risparmio diretto in Basilicata presenta una particolarità rispetto ad altre regioni: il canale della mobilità sanitaria passiva, data l’entità dell’emigrazione lucana, costituisce la componente più rilevante, e ciò àncora il caso diretto a una grandezza — il saldo di mobilità, dell’ordine di ottanta milioni di euro l’anno — la cui riduzione costituisce un obiettivo dichiarato della programmazione regionale. È bene ribadire la natura prudenziale di questa quantificazione: il canale della mobilità è stimato entro bande conservative, e la sua entità effettiva dipenderà dalla capacità del servizio di intercettare il disagio a monte e dall’evoluzione complessiva dell’offerta regionale.</w:t>
      </w:r>
    </w:p>
    <w:bookmarkEnd w:id="3303"/>
    <w:bookmarkStart w:id="3304" w:name="e.5-il-ritorno-sociale-8"/>
    <w:p>
      <w:pPr>
        <w:pStyle w:val="Heading3"/>
      </w:pPr>
      <w:r>
        <w:t xml:space="preserve">E.5 Il ritorno sociale</w:t>
      </w:r>
    </w:p>
    <w:p>
      <w:pPr>
        <w:pStyle w:val="FirstParagraph"/>
      </w:pPr>
      <w:r>
        <w:t xml:space="preserve">Accanto ai risparmi diretti per il bilancio sanitario, il servizio produce ricadute economico-sociali per la collettività, di natura diversa e di entità maggiore. Queste ricadute comprendono la produttività recuperata grazie alla riduzione dell’assenteismo e dell’inattività connessi al disagio psichico; la minore disabilità e la maggiore partecipazione sociale; il valore del benessere guadagnato dalle persone trattate e dalle loro famiglie; e gli effetti di lungo periodo sulla prevenzione della cronicizzazione e sulla riduzione del carico assistenziale futuro. La quantificazione di queste ricadute è condotta secondo la logica del ritorno sociale sull’investimento, che esprime in termini monetari il valore sociale generato per unità di risorse impiegate, ed è espressa, come tutte le stime dello studio, mediante bande prudenziali.</w:t>
      </w:r>
    </w:p>
    <w:tbl>
      <w:tblPr>
        <w:tblStyle w:val="Table"/>
        <w:tblW w:type="pct" w:w="490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96"/>
        <w:gridCol w:w="1357"/>
        <w:gridCol w:w="1357"/>
        <w:gridCol w:w="1357"/>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Grandezza (mln €/anno)</w:t>
            </w:r>
          </w:p>
        </w:tc>
        <w:tc>
          <w:tcPr>
            <w:shd w:val="clear" w:color="auto" w:fill="16264B"/>
          </w:tcPr>
          <w:p>
            <w:pPr>
              <w:pStyle w:val="Compact"/>
              <w:spacing w:after="40" w:before="40"/>
              <w:jc w:val="left"/>
            </w:pPr>
            <w:r>
              <w:rPr>
                <w:rFonts w:ascii="Cambria" w:hAnsi="Cambria" w:cs="Cambria" w:eastAsia="Cambria"/>
                <w:b/>
                <w:color w:val="FFFFFF"/>
                <w:sz w:val="18"/>
              </w:rPr>
              <w:t xml:space="preserve">Minimo (40)</w:t>
            </w:r>
          </w:p>
        </w:tc>
        <w:tc>
          <w:tcPr>
            <w:shd w:val="clear" w:color="auto" w:fill="16264B"/>
          </w:tcPr>
          <w:p>
            <w:pPr>
              <w:pStyle w:val="Compact"/>
              <w:spacing w:after="40" w:before="40"/>
              <w:jc w:val="left"/>
            </w:pPr>
            <w:r>
              <w:rPr>
                <w:rFonts w:ascii="Cambria" w:hAnsi="Cambria" w:cs="Cambria" w:eastAsia="Cambria"/>
                <w:b/>
                <w:color w:val="FFFFFF"/>
                <w:sz w:val="18"/>
              </w:rPr>
              <w:t xml:space="preserve">Intermedio (80)</w:t>
            </w:r>
          </w:p>
        </w:tc>
        <w:tc>
          <w:tcPr>
            <w:shd w:val="clear" w:color="auto" w:fill="16264B"/>
          </w:tcPr>
          <w:p>
            <w:pPr>
              <w:pStyle w:val="Compact"/>
              <w:spacing w:after="40" w:before="40"/>
              <w:jc w:val="left"/>
            </w:pPr>
            <w:r>
              <w:rPr>
                <w:rFonts w:ascii="Cambria" w:hAnsi="Cambria" w:cs="Cambria" w:eastAsia="Cambria"/>
                <w:b/>
                <w:color w:val="FFFFFF"/>
                <w:sz w:val="18"/>
              </w:rPr>
              <w:t xml:space="preserve">Pieno (120)</w:t>
            </w:r>
          </w:p>
        </w:tc>
      </w:tr>
      <w:tr>
        <w:tc>
          <w:tcPr/>
          <w:p>
            <w:pPr>
              <w:pStyle w:val="Compact"/>
              <w:spacing w:after="40" w:before="40"/>
              <w:jc w:val="left"/>
            </w:pPr>
            <w:r>
              <w:rPr>
                <w:rFonts w:ascii="Cambria" w:hAnsi="Cambria" w:cs="Cambria" w:eastAsia="Cambria"/>
                <w:color w:val="1A1A1A"/>
                <w:sz w:val="18"/>
              </w:rPr>
              <w:t xml:space="preserve">Risparmi diretti per il bilancio</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~4,5</w:t>
            </w:r>
          </w:p>
        </w:tc>
        <w:tc>
          <w:tcPr/>
          <w:p>
            <w:pPr>
              <w:pStyle w:val="Compact"/>
              <w:spacing w:after="40" w:before="40"/>
              <w:jc w:val="left"/>
            </w:pPr>
            <w:r>
              <w:rPr>
                <w:rFonts w:ascii="Cambria" w:hAnsi="Cambria" w:cs="Cambria" w:eastAsia="Cambria"/>
                <w:color w:val="1A1A1A"/>
                <w:sz w:val="18"/>
              </w:rPr>
              <w:t xml:space="preserve">~7,0</w:t>
            </w:r>
          </w:p>
        </w:tc>
      </w:tr>
      <w:tr>
        <w:tc>
          <w:tcPr>
            <w:shd w:val="clear" w:color="auto" w:fill="F4F1EC"/>
          </w:tcPr>
          <w:p>
            <w:pPr>
              <w:pStyle w:val="Compact"/>
              <w:spacing w:after="40" w:before="40"/>
              <w:jc w:val="left"/>
            </w:pPr>
            <w:r>
              <w:rPr>
                <w:rFonts w:ascii="Cambria" w:hAnsi="Cambria" w:cs="Cambria" w:eastAsia="Cambria"/>
                <w:color w:val="1A1A1A"/>
                <w:sz w:val="18"/>
              </w:rPr>
              <w:t xml:space="preserve">Ricadute economico-sociali per la collettività</w:t>
            </w:r>
          </w:p>
        </w:tc>
        <w:tc>
          <w:tcPr>
            <w:shd w:val="clear" w:color="auto" w:fill="F4F1EC"/>
          </w:tcPr>
          <w:p>
            <w:pPr>
              <w:pStyle w:val="Compact"/>
              <w:spacing w:after="40" w:before="40"/>
              <w:jc w:val="left"/>
            </w:pPr>
            <w:r>
              <w:rPr>
                <w:rFonts w:ascii="Cambria" w:hAnsi="Cambria" w:cs="Cambria" w:eastAsia="Cambria"/>
                <w:color w:val="1A1A1A"/>
                <w:sz w:val="18"/>
              </w:rPr>
              <w:t xml:space="preserve">~6,5</w:t>
            </w:r>
          </w:p>
        </w:tc>
        <w:tc>
          <w:tcPr>
            <w:shd w:val="clear" w:color="auto" w:fill="F4F1EC"/>
          </w:tcPr>
          <w:p>
            <w:pPr>
              <w:pStyle w:val="Compact"/>
              <w:spacing w:after="40" w:before="40"/>
              <w:jc w:val="left"/>
            </w:pPr>
            <w:r>
              <w:rPr>
                <w:rFonts w:ascii="Cambria" w:hAnsi="Cambria" w:cs="Cambria" w:eastAsia="Cambria"/>
                <w:color w:val="1A1A1A"/>
                <w:sz w:val="18"/>
              </w:rPr>
              <w:t xml:space="preserve">~15,0</w:t>
            </w:r>
          </w:p>
        </w:tc>
        <w:tc>
          <w:tcPr>
            <w:shd w:val="clear" w:color="auto" w:fill="F4F1EC"/>
          </w:tcPr>
          <w:p>
            <w:pPr>
              <w:pStyle w:val="Compact"/>
              <w:spacing w:after="40" w:before="40"/>
              <w:jc w:val="left"/>
            </w:pPr>
            <w:r>
              <w:rPr>
                <w:rFonts w:ascii="Cambria" w:hAnsi="Cambria" w:cs="Cambria" w:eastAsia="Cambria"/>
                <w:color w:val="1A1A1A"/>
                <w:sz w:val="18"/>
              </w:rPr>
              <w:t xml:space="preserve">~28,0</w:t>
            </w:r>
          </w:p>
        </w:tc>
      </w:tr>
      <w:tr>
        <w:tc>
          <w:tcPr/>
          <w:p>
            <w:pPr>
              <w:pStyle w:val="Compact"/>
              <w:spacing w:after="40" w:before="40"/>
              <w:jc w:val="left"/>
            </w:pPr>
            <w:r>
              <w:rPr>
                <w:rFonts w:ascii="Cambria" w:hAnsi="Cambria" w:cs="Cambria" w:eastAsia="Cambria"/>
                <w:b/>
                <w:bCs/>
                <w:color w:val="1A1A1A"/>
                <w:sz w:val="18"/>
              </w:rPr>
              <w:t xml:space="preserve">Ritorno complessivo (diretto + sociale)</w:t>
            </w:r>
          </w:p>
        </w:tc>
        <w:tc>
          <w:tcPr/>
          <w:p>
            <w:pPr>
              <w:pStyle w:val="Compact"/>
              <w:spacing w:after="40" w:before="40"/>
              <w:jc w:val="left"/>
            </w:pPr>
            <w:r>
              <w:rPr>
                <w:rFonts w:ascii="Cambria" w:hAnsi="Cambria" w:cs="Cambria" w:eastAsia="Cambria"/>
                <w:b/>
                <w:bCs/>
                <w:color w:val="1A1A1A"/>
                <w:sz w:val="18"/>
              </w:rPr>
              <w:t xml:space="preserve">~8,5</w:t>
            </w:r>
          </w:p>
        </w:tc>
        <w:tc>
          <w:tcPr/>
          <w:p>
            <w:pPr>
              <w:pStyle w:val="Compact"/>
              <w:spacing w:after="40" w:before="40"/>
              <w:jc w:val="left"/>
            </w:pPr>
            <w:r>
              <w:rPr>
                <w:rFonts w:ascii="Cambria" w:hAnsi="Cambria" w:cs="Cambria" w:eastAsia="Cambria"/>
                <w:b/>
                <w:bCs/>
                <w:color w:val="1A1A1A"/>
                <w:sz w:val="18"/>
              </w:rPr>
              <w:t xml:space="preserve">~19,5</w:t>
            </w:r>
          </w:p>
        </w:tc>
        <w:tc>
          <w:tcPr/>
          <w:p>
            <w:pPr>
              <w:pStyle w:val="Compact"/>
              <w:spacing w:after="40" w:before="40"/>
              <w:jc w:val="left"/>
            </w:pPr>
            <w:r>
              <w:rPr>
                <w:rFonts w:ascii="Cambria" w:hAnsi="Cambria" w:cs="Cambria" w:eastAsia="Cambria"/>
                <w:b/>
                <w:bCs/>
                <w:color w:val="1A1A1A"/>
                <w:sz w:val="18"/>
              </w:rPr>
              <w:t xml:space="preserve">~35,0</w:t>
            </w:r>
          </w:p>
        </w:tc>
      </w:tr>
    </w:tbl>
    <w:p>
      <w:pPr>
        <w:pStyle w:val="BodyText"/>
      </w:pPr>
      <w:r>
        <w:rPr>
          <w:i/>
          <w:iCs/>
        </w:rPr>
        <w:t xml:space="preserve">Tabella E.5. Risparmi diretti e ricadute sociali per scenario. Le due grandezze sono di natura diversa e sono qui esposte distintamente; la loro somma è presentata come ritorno complessivo per la collettività, e non come saldo per il bilancio sanitario.</w:t>
      </w:r>
    </w:p>
    <w:p>
      <w:pPr>
        <w:pStyle w:val="BodyText"/>
      </w:pPr>
      <w:r>
        <w:t xml:space="preserve">Le ricadute economico-sociali sono stimate in una grandezza che va da circa 6,5 milioni di euro l’anno nello scenario minimo a circa 28 milioni nello scenario di piena attuazione, e superano quindi nettamente i risparmi diretti, coerentemente con quanto documentato dalla letteratura economica sugli interventi di salute mentale, secondo cui la quota maggiore del valore generato ricade sulla collettività in forma di produttività e di benessere, e non sul solo bilancio sanitario. È essenziale ribadire che questa grandezza non si somma al saldo del bilancio sanitario per formare un unico risultato: il ritorno complessivo per la collettività e il saldo per il bilancio sanitario sono grandezze distinte, che misurano cose diverse e che lo studio mantiene separate. La somma dei risparmi diretti e delle ricadute sociali è presentata, nella tabella, come ritorno complessivo per la collettività, ed è in questa accezione — e solo in questa — che essa è utilizzata nel caso economico del paragrafo seguente.</w:t>
      </w:r>
    </w:p>
    <w:bookmarkEnd w:id="3304"/>
    <w:bookmarkStart w:id="3306" w:name="X6ddbcc2850138c6c004995eddc7335afc3c7697"/>
    <w:p>
      <w:pPr>
        <w:pStyle w:val="Heading3"/>
      </w:pPr>
      <w:r>
        <w:t xml:space="preserve">E.6 Il caso economico e il caso finanziario</w:t>
      </w:r>
    </w:p>
    <w:p>
      <w:pPr>
        <w:pStyle w:val="FirstParagraph"/>
      </w:pPr>
      <w:r>
        <w:t xml:space="preserve">La sintesi della valutazione economica si articola in due casi distinti, corrispondenti alle due prospettive mantenute separate lungo tutto lo studio. Il caso finanziario considera la prospettiva del bilancio sanitario regionale, e mette a confronto il costo del servizio con i soli risparmi diretti: in questa prospettiva, il servizio comporta un saldo lievemente negativo, dell’ordine di mezzo milione di euro l’anno, prossimo al pareggio e trascurabile nella scala del bilancio regionale. Il caso economico considera la prospettiva della collettività, e mette a confronto il costo del servizio con il ritorno complessivo, comprensivo dei risparmi diretti e delle ricadute sociali: in questa prospettiva, il servizio genera un valore largamente positivo, con un saldo complessivo che va da circa 6 milioni di euro l’anno nello scenario minimo a circa 27 milioni nello scenario di piena attuazione.</w:t>
      </w:r>
    </w:p>
    <w:tbl>
      <w:tblPr>
        <w:tblStyle w:val="Table"/>
        <w:tblW w:type="pct" w:w="489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454"/>
        <w:gridCol w:w="1454"/>
        <w:gridCol w:w="1454"/>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Sintesi (mln €/anno)</w:t>
            </w:r>
          </w:p>
        </w:tc>
        <w:tc>
          <w:tcPr>
            <w:shd w:val="clear" w:color="auto" w:fill="16264B"/>
          </w:tcPr>
          <w:p>
            <w:pPr>
              <w:pStyle w:val="Compact"/>
              <w:spacing w:after="40" w:before="40"/>
              <w:jc w:val="left"/>
            </w:pPr>
            <w:r>
              <w:rPr>
                <w:rFonts w:ascii="Cambria" w:hAnsi="Cambria" w:cs="Cambria" w:eastAsia="Cambria"/>
                <w:b/>
                <w:color w:val="FFFFFF"/>
                <w:sz w:val="18"/>
              </w:rPr>
              <w:t xml:space="preserve">Minimo (40)</w:t>
            </w:r>
          </w:p>
        </w:tc>
        <w:tc>
          <w:tcPr>
            <w:shd w:val="clear" w:color="auto" w:fill="16264B"/>
          </w:tcPr>
          <w:p>
            <w:pPr>
              <w:pStyle w:val="Compact"/>
              <w:spacing w:after="40" w:before="40"/>
              <w:jc w:val="left"/>
            </w:pPr>
            <w:r>
              <w:rPr>
                <w:rFonts w:ascii="Cambria" w:hAnsi="Cambria" w:cs="Cambria" w:eastAsia="Cambria"/>
                <w:b/>
                <w:color w:val="FFFFFF"/>
                <w:sz w:val="18"/>
              </w:rPr>
              <w:t xml:space="preserve">Intermedio (80)</w:t>
            </w:r>
          </w:p>
        </w:tc>
        <w:tc>
          <w:tcPr>
            <w:shd w:val="clear" w:color="auto" w:fill="16264B"/>
          </w:tcPr>
          <w:p>
            <w:pPr>
              <w:pStyle w:val="Compact"/>
              <w:spacing w:after="40" w:before="40"/>
              <w:jc w:val="left"/>
            </w:pPr>
            <w:r>
              <w:rPr>
                <w:rFonts w:ascii="Cambria" w:hAnsi="Cambria" w:cs="Cambria" w:eastAsia="Cambria"/>
                <w:b/>
                <w:color w:val="FFFFFF"/>
                <w:sz w:val="18"/>
              </w:rPr>
              <w:t xml:space="preserve">Pieno (120)</w:t>
            </w:r>
          </w:p>
        </w:tc>
      </w:tr>
      <w:tr>
        <w:tc>
          <w:tcPr/>
          <w:p>
            <w:pPr>
              <w:pStyle w:val="Compact"/>
              <w:spacing w:after="40" w:before="40"/>
              <w:jc w:val="left"/>
            </w:pPr>
            <w:r>
              <w:rPr>
                <w:rFonts w:ascii="Cambria" w:hAnsi="Cambria" w:cs="Cambria" w:eastAsia="Cambria"/>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~2,5</w:t>
            </w:r>
          </w:p>
        </w:tc>
        <w:tc>
          <w:tcPr/>
          <w:p>
            <w:pPr>
              <w:pStyle w:val="Compact"/>
              <w:spacing w:after="40" w:before="40"/>
              <w:jc w:val="left"/>
            </w:pPr>
            <w:r>
              <w:rPr>
                <w:rFonts w:ascii="Cambria" w:hAnsi="Cambria" w:cs="Cambria" w:eastAsia="Cambria"/>
                <w:color w:val="1A1A1A"/>
                <w:sz w:val="18"/>
              </w:rPr>
              <w:t xml:space="preserve">~5,0</w:t>
            </w:r>
          </w:p>
        </w:tc>
        <w:tc>
          <w:tcPr/>
          <w:p>
            <w:pPr>
              <w:pStyle w:val="Compact"/>
              <w:spacing w:after="40" w:before="40"/>
              <w:jc w:val="left"/>
            </w:pPr>
            <w:r>
              <w:rPr>
                <w:rFonts w:ascii="Cambria" w:hAnsi="Cambria" w:cs="Cambria" w:eastAsia="Cambria"/>
                <w:color w:val="1A1A1A"/>
                <w:sz w:val="18"/>
              </w:rPr>
              <w:t xml:space="preserve">~7,5</w:t>
            </w:r>
          </w:p>
        </w:tc>
      </w:tr>
      <w:tr>
        <w:tc>
          <w:tcPr>
            <w:shd w:val="clear" w:color="auto" w:fill="F4F1EC"/>
          </w:tcPr>
          <w:p>
            <w:pPr>
              <w:pStyle w:val="Compact"/>
              <w:spacing w:after="40" w:before="40"/>
              <w:jc w:val="left"/>
            </w:pPr>
            <w:r>
              <w:rPr>
                <w:rFonts w:ascii="Cambria" w:hAnsi="Cambria" w:cs="Cambria" w:eastAsia="Cambria"/>
                <w:color w:val="1A1A1A"/>
                <w:sz w:val="18"/>
              </w:rPr>
              <w:t xml:space="preserve">Saldo diretto —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−0,5</w:t>
            </w:r>
          </w:p>
        </w:tc>
        <w:tc>
          <w:tcPr>
            <w:shd w:val="clear" w:color="auto" w:fill="F4F1EC"/>
          </w:tcPr>
          <w:p>
            <w:pPr>
              <w:pStyle w:val="Compact"/>
              <w:spacing w:after="40" w:before="40"/>
              <w:jc w:val="left"/>
            </w:pPr>
            <w:r>
              <w:rPr>
                <w:rFonts w:ascii="Cambria" w:hAnsi="Cambria" w:cs="Cambria" w:eastAsia="Cambria"/>
                <w:color w:val="1A1A1A"/>
                <w:sz w:val="18"/>
              </w:rPr>
              <w:t xml:space="preserve">~ −0,5</w:t>
            </w:r>
          </w:p>
        </w:tc>
        <w:tc>
          <w:tcPr>
            <w:shd w:val="clear" w:color="auto" w:fill="F4F1EC"/>
          </w:tcPr>
          <w:p>
            <w:pPr>
              <w:pStyle w:val="Compact"/>
              <w:spacing w:after="40" w:before="40"/>
              <w:jc w:val="left"/>
            </w:pPr>
            <w:r>
              <w:rPr>
                <w:rFonts w:ascii="Cambria" w:hAnsi="Cambria" w:cs="Cambria" w:eastAsia="Cambria"/>
                <w:color w:val="1A1A1A"/>
                <w:sz w:val="18"/>
              </w:rPr>
              <w:t xml:space="preserve">~ −0,5</w:t>
            </w:r>
          </w:p>
        </w:tc>
      </w:tr>
      <w:tr>
        <w:tc>
          <w:tcPr/>
          <w:p>
            <w:pPr>
              <w:pStyle w:val="Compact"/>
              <w:spacing w:after="40" w:before="40"/>
              <w:jc w:val="left"/>
            </w:pPr>
            <w:r>
              <w:rPr>
                <w:rFonts w:ascii="Cambria" w:hAnsi="Cambria" w:cs="Cambria" w:eastAsia="Cambria"/>
                <w:color w:val="1A1A1A"/>
                <w:sz w:val="18"/>
              </w:rPr>
              <w:t xml:space="preserve">Ritorno complessivo per la collettività</w:t>
            </w:r>
          </w:p>
        </w:tc>
        <w:tc>
          <w:tcPr/>
          <w:p>
            <w:pPr>
              <w:pStyle w:val="Compact"/>
              <w:spacing w:after="40" w:before="40"/>
              <w:jc w:val="left"/>
            </w:pPr>
            <w:r>
              <w:rPr>
                <w:rFonts w:ascii="Cambria" w:hAnsi="Cambria" w:cs="Cambria" w:eastAsia="Cambria"/>
                <w:color w:val="1A1A1A"/>
                <w:sz w:val="18"/>
              </w:rPr>
              <w:t xml:space="preserve">~8,5</w:t>
            </w:r>
          </w:p>
        </w:tc>
        <w:tc>
          <w:tcPr/>
          <w:p>
            <w:pPr>
              <w:pStyle w:val="Compact"/>
              <w:spacing w:after="40" w:before="40"/>
              <w:jc w:val="left"/>
            </w:pPr>
            <w:r>
              <w:rPr>
                <w:rFonts w:ascii="Cambria" w:hAnsi="Cambria" w:cs="Cambria" w:eastAsia="Cambria"/>
                <w:color w:val="1A1A1A"/>
                <w:sz w:val="18"/>
              </w:rPr>
              <w:t xml:space="preserve">~19,5</w:t>
            </w:r>
          </w:p>
        </w:tc>
        <w:tc>
          <w:tcPr/>
          <w:p>
            <w:pPr>
              <w:pStyle w:val="Compact"/>
              <w:spacing w:after="40" w:before="40"/>
              <w:jc w:val="left"/>
            </w:pPr>
            <w:r>
              <w:rPr>
                <w:rFonts w:ascii="Cambria" w:hAnsi="Cambria" w:cs="Cambria" w:eastAsia="Cambria"/>
                <w:color w:val="1A1A1A"/>
                <w:sz w:val="18"/>
              </w:rPr>
              <w:t xml:space="preserve">~35,0</w:t>
            </w:r>
          </w:p>
        </w:tc>
      </w:tr>
      <w:tr>
        <w:tc>
          <w:tcPr>
            <w:shd w:val="clear" w:color="auto" w:fill="F4F1EC"/>
          </w:tcPr>
          <w:p>
            <w:pPr>
              <w:pStyle w:val="Compact"/>
              <w:spacing w:after="40" w:before="40"/>
              <w:jc w:val="left"/>
            </w:pPr>
            <w:r>
              <w:rPr>
                <w:rFonts w:ascii="Cambria" w:hAnsi="Cambria" w:cs="Cambria" w:eastAsia="Cambria"/>
                <w:color w:val="1A1A1A"/>
                <w:sz w:val="18"/>
              </w:rPr>
              <w:t xml:space="preserve">Saldo complessivo —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 +6,0</w:t>
            </w:r>
          </w:p>
        </w:tc>
        <w:tc>
          <w:tcPr>
            <w:shd w:val="clear" w:color="auto" w:fill="F4F1EC"/>
          </w:tcPr>
          <w:p>
            <w:pPr>
              <w:pStyle w:val="Compact"/>
              <w:spacing w:after="40" w:before="40"/>
              <w:jc w:val="left"/>
            </w:pPr>
            <w:r>
              <w:rPr>
                <w:rFonts w:ascii="Cambria" w:hAnsi="Cambria" w:cs="Cambria" w:eastAsia="Cambria"/>
                <w:color w:val="1A1A1A"/>
                <w:sz w:val="18"/>
              </w:rPr>
              <w:t xml:space="preserve">~ +14,5</w:t>
            </w:r>
          </w:p>
        </w:tc>
        <w:tc>
          <w:tcPr>
            <w:shd w:val="clear" w:color="auto" w:fill="F4F1EC"/>
          </w:tcPr>
          <w:p>
            <w:pPr>
              <w:pStyle w:val="Compact"/>
              <w:spacing w:after="40" w:before="40"/>
              <w:jc w:val="left"/>
            </w:pPr>
            <w:r>
              <w:rPr>
                <w:rFonts w:ascii="Cambria" w:hAnsi="Cambria" w:cs="Cambria" w:eastAsia="Cambria"/>
                <w:color w:val="1A1A1A"/>
                <w:sz w:val="18"/>
              </w:rPr>
              <w:t xml:space="preserve">~ +27,5</w:t>
            </w:r>
          </w:p>
        </w:tc>
      </w:tr>
      <w:tr>
        <w:tc>
          <w:tcPr/>
          <w:p>
            <w:pPr>
              <w:pStyle w:val="Compact"/>
              <w:spacing w:after="40" w:before="40"/>
              <w:jc w:val="left"/>
            </w:pPr>
            <w:r>
              <w:rPr>
                <w:rFonts w:ascii="Cambria" w:hAnsi="Cambria" w:cs="Cambria" w:eastAsia="Cambria"/>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~3,4 : 1</w:t>
            </w:r>
          </w:p>
        </w:tc>
        <w:tc>
          <w:tcPr/>
          <w:p>
            <w:pPr>
              <w:pStyle w:val="Compact"/>
              <w:spacing w:after="40" w:before="40"/>
              <w:jc w:val="left"/>
            </w:pPr>
            <w:r>
              <w:rPr>
                <w:rFonts w:ascii="Cambria" w:hAnsi="Cambria" w:cs="Cambria" w:eastAsia="Cambria"/>
                <w:color w:val="1A1A1A"/>
                <w:sz w:val="18"/>
              </w:rPr>
              <w:t xml:space="preserve">~3,9 : 1</w:t>
            </w:r>
          </w:p>
        </w:tc>
        <w:tc>
          <w:tcPr/>
          <w:p>
            <w:pPr>
              <w:pStyle w:val="Compact"/>
              <w:spacing w:after="40" w:before="40"/>
              <w:jc w:val="left"/>
            </w:pPr>
            <w:r>
              <w:rPr>
                <w:rFonts w:ascii="Cambria" w:hAnsi="Cambria" w:cs="Cambria" w:eastAsia="Cambria"/>
                <w:color w:val="1A1A1A"/>
                <w:sz w:val="18"/>
              </w:rPr>
              <w:t xml:space="preserve">~4,7 : 1</w:t>
            </w:r>
          </w:p>
        </w:tc>
      </w:tr>
    </w:tbl>
    <w:p>
      <w:pPr>
        <w:pStyle w:val="BodyText"/>
      </w:pPr>
      <w:r>
        <w:rPr>
          <w:i/>
          <w:iCs/>
        </w:rPr>
        <w:t xml:space="preserve">Tabella E.6. Sintesi economica per scenario: il caso finanziario (saldo diretto prossimo al pareggio) e il caso economico (ritorno complessivo e rapporto beneficio-costo). Il rapporto beneficio-costo è riferito al valore per la collettività ed è contenuto entro la fascia metodologicamente fondata.</w:t>
      </w:r>
    </w:p>
    <w:p>
      <w:pPr>
        <w:pStyle w:val="BodyText"/>
      </w:pPr>
      <w:r>
        <w:t xml:space="preserve">Il rapporto beneficio-costo complessivo — il rapporto fra il ritorno complessivo per la collettività e il costo del servizio — va da circa 3,4 a uno nello scenario minimo a circa 4,7 a uno nello scenario di piena attuazione. Questo rapporto è contenuto entro la fascia metodologicamente fondata documentata dalla letteratura internazionale, compresa fra 3,3 e 5,7 a uno includendo i benefici di salute, e lo studio non utilizza in alcun punto rapporti superiori né le semplificazioni divulgative prive di fondamento. La lettura congiunta dei due casi conduce alla conclusione che orienta l’intera valutazione: il servizio di psicologia di base costa al bilancio sanitario regionale una cifra modesta, con un saldo diretto prossimo al pareggio e trascurabile nella scala del finanziamento regionale, e restituisce alla collettività un valore dell’ordine di tre-cinque euro per ogni euro speso. Per una regione che non è sottoposta a piano di rientro ma chiude i propri conti in equilibrio fragile, e che individua nell’emigrazione sanitaria una delle principali criticità del bilancio, questa configurazione è particolarmente significativa: il servizio non grava in misura apprezzabile sul bilancio, contribuisce a trattenere prestazioni oggi erogate fuori regione e genera un valore sociale rilevante, costituendo un investimento sostenibile e di elevato rendimento collettivo.</w:t>
      </w:r>
      <w:r>
        <w:rPr>
          <w:rStyle w:val="FootnoteReference"/>
        </w:rPr>
        <w:footnoteReference w:id="3388"/>
      </w:r>
    </w:p>
    <w:bookmarkEnd w:id="3306"/>
    <w:bookmarkEnd w:id="3307"/>
    <w:bookmarkStart w:id="3314" w:name="parte-f-modellazione-e-incertezza-8"/>
    <w:p>
      <w:pPr>
        <w:pStyle w:val="Heading2"/>
      </w:pPr>
      <w:r>
        <w:t xml:space="preserve">Parte F — Modellazione e incertezza</w:t>
      </w:r>
    </w:p>
    <w:p>
      <w:pPr>
        <w:pStyle w:val="FirstParagraph"/>
      </w:pPr>
      <w:r>
        <w:t xml:space="preserve">Le stime economiche presentate nella Parte E poggiano su un modello che simula il decorso clinico ed economico di un paziente trattato dal servizio, confrontandolo con il decorso in assenza di trattamento. Questa parte ne espone la struttura e i parametri, e ne sottopone i risultati a un’analisi sistematica dell’incertezza, che è la condizione perché le conclusioni economiche possano essere assunte come affidabili. L’incertezza è di due tipi: l’incertezza sui parametri, ossia sui valori numerici che alimentano il modello, e l’incertezza sugli scenari, ossia sulle ipotesi di dispiegamento del servizio. La prima è affrontata mediante l’analisi di sensibilità deterministica e probabilistica, la seconda mediante l’analisi di scenari di copertura. L’esposizione esplicita dell’incertezza, anziché indebolire la valutazione, ne costituisce la garanzia di onestà, perché rende verificabile la robustezza delle conclusioni e ne dichiara i limiti.</w:t>
      </w:r>
    </w:p>
    <w:bookmarkStart w:id="3308" w:name="Xcb170f528dd574723110a1a609f0af435198065"/>
    <w:p>
      <w:pPr>
        <w:pStyle w:val="Heading3"/>
      </w:pPr>
      <w:r>
        <w:t xml:space="preserve">F.1 Il modello decisionale e i parametri</w:t>
      </w:r>
    </w:p>
    <w:p>
      <w:pPr>
        <w:pStyle w:val="FirstParagraph"/>
      </w:pPr>
      <w:r>
        <w:t xml:space="preserve">Il modello adottato è un modello di Markov, che rappresenta il decorso del paziente attraverso una successione di stati di salute fra i quali egli transita nel tempo con probabilità definite. Gli stati rappresentano le condizioni cliniche rilevanti — la condizione di disagio in atto, la condizione di recupero, la condizione di cronicizzazione — e le transizioni fra essi sono governate da probabilità derivate dalla letteratura sull’efficacia degli interventi psicologici. Il modello confronta due percorsi: quello di un paziente trattato dal servizio di psicologia di base e quello di un paziente non trattato, e ne calcola la differenza in termini di risorse sanitarie consumate e di anni di vita ponderati per la qualità. L’orizzonte temporale è di cinque anni, ritenuto adeguato a cogliere gli effetti dell’intervento sul decorso del disagio comune, e i valori futuri sono attualizzati con un tasso di sconto del 3 per cento, coerente con le convenzioni delle valutazioni economiche sanitarie.</w:t>
      </w:r>
    </w:p>
    <w:p>
      <w:pPr>
        <w:pStyle w:val="BodyText"/>
      </w:pPr>
      <w:r>
        <w:t xml:space="preserve">I parametri del modello sono di tre tipi: le probabilità di transizione fra gli stati, derivate dall’efficacia clinica documentata; i costi associati a ciascuno stato e all’intervento; e i valori di qualità della vita associati a ciascuno stato, espressi come utilità. I costi considerati comprendono il costo dell’intervento, dell’ordine di 300 euro una tantum per il ciclo di interventi brevi, e i costi associati agli stati, dell’ordine di 40 euro per ciclo per lo stato di recupero e di 700 euro per ciclo per lo stato di cronicizzazione, che riflettono il maggiore consumo di risorse sanitarie associato al persistere del disagio. I valori dei parametri sono desunti dalla letteratura e, ove disponibili, adattati al contesto italiano; la loro incertezza è rappresentata mediante distribuzioni di probabilità, che costituiscono la base dell’analisi probabilistica. Applicato al caso di riferimento, il modello stima un risparmio diretto di risorse sanitarie dell’ordine di 1.304 euro per paziente e un guadagno di salute dell’ordine di 0,236 anni di vita ponderati per la qualità lungo l’orizzonte di cinque anni. Questi valori per paziente, fondati sull’efficacia clinica e quindi invarianti rispetto al contesto regionale, costituiscono la base della quantificazione aggregata della Parte E.</w:t>
      </w:r>
    </w:p>
    <w:bookmarkEnd w:id="3308"/>
    <w:bookmarkStart w:id="3309" w:name="X6450d1eda016645d01a6531f3373c56c822716b"/>
    <w:p>
      <w:pPr>
        <w:pStyle w:val="Heading3"/>
      </w:pPr>
      <w:r>
        <w:t xml:space="preserve">F.2 L’analisi di sensibilità deterministica</w:t>
      </w:r>
    </w:p>
    <w:p>
      <w:pPr>
        <w:pStyle w:val="FirstParagraph"/>
      </w:pPr>
      <w:r>
        <w:t xml:space="preserve">L’analisi di sensibilità deterministica verifica come i risultati del modello varino al variare di ciascun parametro, considerato singolarmente, entro un intervallo plausibile. La sua funzione è individuare i parametri rispetto ai quali i risultati sono più sensibili, ossia quelli la cui variazione produce gli effetti maggiori sulla conclusione, così da concentrare su di essi l’attenzione e la raccolta di dati. L’analisi fa variare ciascun parametro fra un valore minimo e un valore massimo, mantenendo gli altri costanti, e osserva l’effetto sul risultato — il risparmio per paziente e il guadagno di salute, e quindi il rapporto costo-utilità.</w:t>
      </w:r>
    </w:p>
    <w:p>
      <w:pPr>
        <w:pStyle w:val="BodyText"/>
      </w:pPr>
      <w:r>
        <w:t xml:space="preserve">L’analisi documenta che i risultati sono robusti rispetto alla variazione della maggior parte dei parametri, e che la conclusione di dominanza dell’intervento — la sua capacità di produrre simultaneamente un guadagno di salute e un risparmio di risorse — si mantiene per un’ampia gamma di valori. I parametri rispetto ai quali i risultati sono più sensibili sono l’efficacia dell’intervento, ossia la probabilità di recupero associata al trattamento, e i costi associati allo stato di cronicizzazione, che determinano l’entità del risparmio evitato. Anche per valori conservativi di questi parametri, tuttavia, l’intervento mantiene un rapporto costo-utilità favorevole, collocandosi al di sotto della soglia di disponibilità a pagare. L’analisi deterministica fornisce così una prima conferma della robustezza delle conclusioni, e indica nell’efficacia dell’intervento e nei costi della cronicizzazione i parametri sui quali la raccolta di dati regionali, attraverso il sistema informativo, può ridurre maggiormente l’incertezza.</w:t>
      </w:r>
    </w:p>
    <w:bookmarkEnd w:id="3309"/>
    <w:bookmarkStart w:id="3310" w:name="Xe805f5b9b97b89d2671c0e2c983263b540341bc"/>
    <w:p>
      <w:pPr>
        <w:pStyle w:val="Heading3"/>
      </w:pPr>
      <w:r>
        <w:t xml:space="preserve">F.3 L’analisi di sensibilità probabilistica</w:t>
      </w:r>
    </w:p>
    <w:p>
      <w:pPr>
        <w:pStyle w:val="FirstParagraph"/>
      </w:pPr>
      <w:r>
        <w:t xml:space="preserve">L’analisi di sensibilità probabilistica costituisce la verifica più completa della robustezza delle conclusioni. A differenza dell’analisi deterministica, che fa variare un parametro alla volta, l’analisi probabilistica fa variare simultaneamente tutti i parametri, estraendone i valori dalle rispettive distribuzioni di probabilità, e ripete la simulazione un numero elevato di volte — nel caso presente, 10.000 simulazioni — ottenendo una distribuzione dei risultati possibili. Questa distribuzione consente di esprimere la conclusione non come un valore puntuale, ma come una probabilità: la probabilità che l’intervento sia costo-efficace, e la probabilità che sia dominante.</w:t>
      </w:r>
    </w:p>
    <w:p>
      <w:pPr>
        <w:pStyle w:val="BodyText"/>
      </w:pPr>
      <w:r>
        <w:t xml:space="preserve">I risultati dell’analisi probabilistica sono solidi. Alla soglia di disponibilità a pagare di 30.000 euro per anno di vita ponderato per la qualità, l’intervento risulta costo-efficace nell’88,9 per cento delle simulazioni, e dominante — capace cioè di produrre simultaneamente un guadagno di salute e un risparmio di risorse — nell’84,6 per cento delle simulazioni. Il beneficio netto monetario medio, che traduce in termini monetari il valore netto dell’intervento alla soglia considerata, è dell’ordine di 7.815 euro per paziente, con un intervallo di confidenza al 95 per cento compreso fra circa −5.736 e +21.501 euro. L’ampiezza di questo intervallo, che include valori negativi, esprime con onestà l’incertezza residua: in una minoranza di scenari l’intervento potrebbe non risultare vantaggioso. Tuttavia, la concentrazione della distribuzione su valori largamente positivi, e l’elevata probabilità di costo-efficacia e di dominanza, documentano che la conclusione è robusta e non dipende da ipotesi favorevoli. Per una regione con un bilancio in tensione, questa robustezza è la garanzia che l’investimento è razionale anche in una valutazione prudente.</w:t>
      </w:r>
    </w:p>
    <w:bookmarkEnd w:id="3310"/>
    <w:bookmarkStart w:id="3311" w:name="f.4-gli-scenari-di-copertura-2"/>
    <w:p>
      <w:pPr>
        <w:pStyle w:val="Heading3"/>
      </w:pPr>
      <w:r>
        <w:t xml:space="preserve">F.4 Gli scenari di copertura</w:t>
      </w:r>
    </w:p>
    <w:p>
      <w:pPr>
        <w:pStyle w:val="FirstParagraph"/>
      </w:pPr>
      <w:r>
        <w:t xml:space="preserve">L’incertezza sugli scenari riguarda non i parametri clinici, ma le ipotesi di dispiegamento del servizio: quanti operatori attivare, quale quota del bisogno intercettare, in quanto tempo. Lo studio affronta questa incertezza mediante i tre scenari di copertura introdotti nella Parte E — minimo, intermedio e pieno, corrispondenti a 40, 80 e 120 incarichi — che rappresentano altrettante ipotesi di dimensionamento del servizio. Ciascuno scenario è caratterizzato da un costo, da una quota di popolazione intercettata e da un volume di esiti, e la loro analisi consente di valutare come il rapporto fra costi e benefici vari al variare del dimensionamento.</w:t>
      </w:r>
    </w:p>
    <w:p>
      <w:pPr>
        <w:pStyle w:val="BodyText"/>
      </w:pPr>
      <w:r>
        <w:t xml:space="preserve">L’analisi degli scenari documenta che il rapporto beneficio-costo complessivo migliora al crescere del dimensionamento del servizio: lo scenario di piena attuazione presenta un rapporto più favorevole dello scenario minimo, in ragione delle economie di scala e della maggiore capacità di intercettazione del bisogno. Al tempo stesso, il saldo diretto per il bilancio si mantiene prossimo al pareggio in tutti gli scenari, segno che il servizio è sostenibile a ogni livello di dimensionamento. Questa configurazione ha un’implicazione strategica per la Basilicata: essa suggerisce di avviare il servizio con un dimensionamento iniziale contenuto, sostenibile per il bilancio e per la capacità organizzativa regionale, e di accrescerlo gradualmente, verificando sul campo gli esiti e calibrando il dispiegamento sui dati raccolti. La gradualità non è soltanto una cautela finanziaria, ma una strategia di apprendimento, che consente di costruire il servizio sulla base dell’evidenza prodotta dalla sua stessa attività. La Parte I traduce questa logica in un percorso di dispiegamento per fasi.</w:t>
      </w:r>
    </w:p>
    <w:bookmarkEnd w:id="3311"/>
    <w:bookmarkStart w:id="3313" w:name="X8d41efc63e1178344824c1ee6da011100a48792"/>
    <w:p>
      <w:pPr>
        <w:pStyle w:val="Heading3"/>
      </w:pPr>
      <w:r>
        <w:t xml:space="preserve">F.5 La verifica empirica e il valore dell’informazione</w:t>
      </w:r>
    </w:p>
    <w:p>
      <w:pPr>
        <w:pStyle w:val="FirstParagraph"/>
      </w:pPr>
      <w:r>
        <w:t xml:space="preserve">Il modello e le sue conclusioni non sono un punto di arrivo, ma una base che la realtà dovrà verificare. La verifica empirica consiste nel confrontare le previsioni del modello con gli esiti effettivamente osservati una volta che il servizio sia operante, e nel correggere il modello sulla base di tale confronto. Questa verifica è resa possibile dal sistema informativo descritto nella Parte C, che rileva gli esiti clinici e i consumi di risorse e consente di sostituire progressivamente le stime con le osservazioni. La verifica empirica è particolarmente importante per la Basilicata, dove la scarsità di dati regionali diretti rende le stime iniziali più incerte: il servizio, una volta avviato, produce esso stesso i dati che ne consentono la valutazione e la calibrazione, trasformando l’incertezza iniziale in conoscenza progressiva.</w:t>
      </w:r>
    </w:p>
    <w:p>
      <w:pPr>
        <w:pStyle w:val="BodyText"/>
      </w:pPr>
      <w:r>
        <w:t xml:space="preserve">La nozione di valore dell’informazione fornisce il quadro concettuale per ordinare questo processo. Essa esprime il valore che la riduzione dell’incertezza su un parametro avrebbe per la decisione, e consente di stabilire una priorità nella raccolta dei dati: i dati il cui valore informativo è maggiore — quelli relativi ai parametri rispetto ai quali le conclusioni sono più sensibili e l’incertezza è maggiore — sono quelli la cui raccolta va privilegiata. L’analisi condotta indica che i dati di maggiore valore informativo per la Basilicata sono quelli relativi all’efficacia effettiva del servizio nel contesto regionale, alla quota di domanda intercettata e alla composizione del risparmio diretto, in particolare per il canale della mobilità. La raccolta sistematica di questi dati, attraverso il sistema informativo e secondo il piano di monitoraggio della Parte L, è la condizione perché la valutazione si affini nel tempo e perché le decisioni di dimensionamento del servizio siano fondate su evidenza progressivamente più solida. L’incertezza, in questo quadro, non è un ostacolo alla decisione, ma un oggetto da governare: la decisione di avviare il servizio è razionale alla luce dell’evidenza disponibile, e il processo di raccolta dei dati ne consente la correzione e l’affinamento progressivi.</w:t>
      </w:r>
      <w:r>
        <w:rPr>
          <w:rStyle w:val="FootnoteReference"/>
        </w:rPr>
        <w:footnoteReference w:id="3389"/>
      </w:r>
    </w:p>
    <w:bookmarkEnd w:id="3313"/>
    <w:bookmarkEnd w:id="3314"/>
    <w:bookmarkStart w:id="3320" w:name="parte-g-equità-e-impatto-distributivo-13"/>
    <w:p>
      <w:pPr>
        <w:pStyle w:val="Heading2"/>
      </w:pPr>
      <w:r>
        <w:t xml:space="preserve">Parte G — Equità e impatto distributivo</w:t>
      </w:r>
    </w:p>
    <w:p>
      <w:pPr>
        <w:pStyle w:val="FirstParagraph"/>
      </w:pPr>
      <w:r>
        <w:t xml:space="preserve">La valutazione di un intervento sanitario non si esaurisce nella sua efficacia e nella sua efficienza, ma comprende la considerazione dei suoi effetti distributivi: chi ne beneficia, chi ne sostiene i costi, e se esso riduce o accresce le disuguaglianze esistenti. Questa parte analizza l’impatto distributivo del servizio di psicologia di base in Basilicata lungo due dimensioni — il gradiente sociale e il divario territoriale — e ne valuta la costo-efficacia distributiva, ossia la capacità di produrre benefici proprio nei gruppi in cui il bisogno è maggiore e l’accesso più difficile. In una regione segnata da deprivazione diffusa, da invecchiamento e da una dispersione insediativa che rende l’accesso ai servizi strutturalmente diseguale, la dimensione distributiva non è un complemento dell’analisi, ma una delle ragioni principali a favore dell’intervento. Il servizio, se progettato con attenzione all’equità, è uno strumento di riduzione delle disuguaglianze; se progettato senza tale attenzione, rischia di riprodurle.</w:t>
      </w:r>
    </w:p>
    <w:bookmarkStart w:id="3315" w:name="X82bc9f3b690f06e27528b26af47000deac74c5f"/>
    <w:p>
      <w:pPr>
        <w:pStyle w:val="Heading3"/>
      </w:pPr>
      <w:r>
        <w:t xml:space="preserve">G.1 Il quadro dell’equità e il gradiente sociale</w:t>
      </w:r>
    </w:p>
    <w:p>
      <w:pPr>
        <w:pStyle w:val="FirstParagraph"/>
      </w:pPr>
      <w:r>
        <w:t xml:space="preserve">L’equità in salute riguarda la giustizia nella distribuzione della salute e nell’accesso alle cure. Il principio di riferimento è che l’accesso alle cure dovrebbe dipendere dal bisogno e non dalle condizioni sociali o economiche o dal luogo di residenza, e che il sistema sanitario dovrebbe contrastare, e non riprodurre, le disuguaglianze esistenti. Il disagio psichico, come documentato nella Parte B, segue un gradiente sociale: la sua prevalenza è più elevata nei gruppi a minore reddito, minore istruzione e maggiore precarietà, e proprio questi gruppi incontrano le maggiori difficoltà di accesso al trattamento. Questo gradiente genera un effetto regressivo: la sofferenza si concentra dove minori sono le risorse per farvi fronte, e l’assenza di un’offerta pubblica accessibile lascia che il bisogno dei gruppi più fragili resti senza risposta o trovi risposta solo nell’offerta privata, accessibile a chi può permettersela.</w:t>
      </w:r>
    </w:p>
    <w:p>
      <w:pPr>
        <w:pStyle w:val="BodyText"/>
      </w:pPr>
      <w:r>
        <w:t xml:space="preserve">In Basilicata il gradiente sociale assume un peso particolare, in ragione delle condizioni socioeconomiche della regione. I livelli di reddito e di occupazione sono inferiori alla media nazionale, la deprivazione è diffusa, e una quota consistente della popolazione si colloca nelle fasce a maggiore rischio e a minore accesso. In questo contesto, l’assenza di un servizio pubblico di psicologia di base produce un effetto regressivo accentuato: il disagio comune dei gruppi deprivati, che è quantitativamente importante, resta in larga parte inevaso, perché tali gruppi non dispongono né dei mezzi per accedere all’offerta privata né, spesso, delle informazioni e delle risorse culturali per orientarsi nel sistema. L’introduzione di un servizio pubblico, gratuito o a basso costo e accessibile direttamente, agisce direttamente su questo gradiente, portando un primo livello di presa in carico proprio ai gruppi che oggi ne sono esclusi. Il servizio di psicologia di base, in questa prospettiva, non è un’offerta aggiuntiva indifferenziata, ma uno strumento di redistribuzione dell’accesso, il cui beneficio si concentra nei gruppi a maggiore bisogno e minore capacità di risposta autonoma.</w:t>
      </w:r>
    </w:p>
    <w:bookmarkEnd w:id="3315"/>
    <w:bookmarkStart w:id="3316" w:name="X148bfe9f1f61a66ddc747389d130da815614524"/>
    <w:p>
      <w:pPr>
        <w:pStyle w:val="Heading3"/>
      </w:pPr>
      <w:r>
        <w:t xml:space="preserve">G.2 I due assi del divario territoriale</w:t>
      </w:r>
    </w:p>
    <w:p>
      <w:pPr>
        <w:pStyle w:val="FirstParagraph"/>
      </w:pPr>
      <w:r>
        <w:t xml:space="preserve">Il divario territoriale costituisce, in Basilicata, una dimensione dell’equità almeno altrettanto rilevante del gradiente sociale, e si articola lungo due assi. Il primo asse è quello fra i poli urbani e le aree interne. La concentrazione dei servizi sanitari nei pochi centri di maggiore dimensione — i capoluoghi e alcuni centri intermedi — fa sì che l’accesso a una prestazione psicologica dipenda in misura determinante dalla distanza dal polo: il residente di un piccolo comune interno affronta tempi di percorrenza significativi, in un territorio in larga parte montano e con una rete di trasporti limitata, e a tale distanza si sommano la scarsità dell’offerta e i tempi di attesa. Questo asse del divario coincide in larga misura con la geografia della fragilità: le aree interne sono anche quelle più anziane, più deprivate e più colpite dallo spopolamento, sicché il divario territoriale si sovrappone al gradiente sociale e ne amplifica gli effetti.</w:t>
      </w:r>
    </w:p>
    <w:p>
      <w:pPr>
        <w:pStyle w:val="BodyText"/>
      </w:pPr>
      <w:r>
        <w:t xml:space="preserve">Il secondo asse è quello fra la popolazione raggiungibile dai servizi tradizionali e quella che, per condizione o per collocazione, ne resta di fatto esclusa anche quando i servizi esistono. Gli anziani non autonomi, le persone prive di mezzi di trasporto, chi vive in condizioni di isolamento, i giovani delle aree interne privi di reti di sostegno: per questi gruppi l’accesso a un servizio collocato in un polo distante è precluso indipendentemente dalla qualità dell’offerta. Su questo asse la telepsicologia assume un valore particolare, perché consente di superare la barriera della distanza e della mobilità, portando la prestazione nel luogo di vita della persona. La sovrapposizione fra i due assi territoriali e il gradiente sociale produce, nelle aree interne lucane, una concentrazione di svantaggio — comunità anziane, deprivate, isolate e lontane dai servizi — che costituisce il bersaglio prioritario di un servizio progettato secondo equità. La capillarità della distribuzione e il ricorso strutturato alla telepsicologia non sono, in questa prospettiva, accorgimenti organizzativi, ma scelte di equità, perché determinano se il servizio raggiungerà o meno i gruppi in cui il bisogno è più acuto.</w:t>
      </w:r>
    </w:p>
    <w:bookmarkEnd w:id="3316"/>
    <w:bookmarkStart w:id="3317" w:name="g.3-gli-strumenti-dellequità-6"/>
    <w:p>
      <w:pPr>
        <w:pStyle w:val="Heading3"/>
      </w:pPr>
      <w:r>
        <w:t xml:space="preserve">G.3 Gli strumenti dell’equità</w:t>
      </w:r>
    </w:p>
    <w:p>
      <w:pPr>
        <w:pStyle w:val="FirstParagraph"/>
      </w:pPr>
      <w:r>
        <w:t xml:space="preserve">La capacità del servizio di ridurre le disuguaglianze dipende dagli strumenti con cui è progettato, e non è una conseguenza automatica della sua istituzione. Il primo strumento è la gratuità o il basso costo dell’accesso. Un servizio pubblico accessibile gratuitamente, o con una compartecipazione contenuta e calibrata sulle condizioni economiche, abbatte la barriera che esclude i gruppi deprivati; per contro, una compartecipazione non calibrata reintrodurrebbe, per le fasce più fragili, proprio la barriera economica che il servizio intende rimuovere. Le proposte di legge regionali prevedono la possibilità di un ticket: lo studio raccomanda che, qualora introdotto, esso sia calibrato in modo da non escludere i gruppi a minore reddito, eventualmente attraverso esenzioni, perché un servizio concepito per l’equità non può reintrodurre per via tariffaria la disuguaglianza che intende contrastare.</w:t>
      </w:r>
    </w:p>
    <w:p>
      <w:pPr>
        <w:pStyle w:val="BodyText"/>
      </w:pPr>
      <w:r>
        <w:t xml:space="preserve">Il secondo strumento è l’accesso diretto. La possibilità di rivolgersi al servizio senza la mediazione obbligatoria di un invio abbatte una barriera informativa e culturale che colpisce in misura maggiore i gruppi a minore istruzione e a minore familiarità con il sistema sanitario. Il terzo strumento è la capillarità della distribuzione territoriale, che porta il servizio vicino ai luoghi di vita e riduce il divario fra poli e aree interne. Il quarto strumento è la telepsicologia, che supera la barriera della distanza e della mobilità per i gruppi che ne sono più colpiti. Il quinto strumento è la prossimità culturale e la riduzione dello stigma, perseguibile attraverso la collocazione del servizio in contesti non stigmatizzanti — le Case della Comunità, i contesti di vita — e attraverso un’azione informativa che renda il servizio visibile e accettabile, particolarmente importante nelle comunità piccole e nelle generazioni anziane in cui lo stigma è più persistente. La combinazione di questi strumenti determina la capacità effettiva del servizio di raggiungere i gruppi a maggiore bisogno, e va presidiata fin dalla progettazione e verificata nel monitoraggio, attraverso indicatori disaggregati per condizione sociale e per territorio, secondo quanto previsto dalla Parte L.</w:t>
      </w:r>
    </w:p>
    <w:bookmarkEnd w:id="3317"/>
    <w:bookmarkStart w:id="3319" w:name="g.4-la-costo-efficacia-distributiva-2"/>
    <w:p>
      <w:pPr>
        <w:pStyle w:val="Heading3"/>
      </w:pPr>
      <w:r>
        <w:t xml:space="preserve">G.4 La costo-efficacia distributiva</w:t>
      </w:r>
    </w:p>
    <w:p>
      <w:pPr>
        <w:pStyle w:val="FirstParagraph"/>
      </w:pPr>
      <w:r>
        <w:t xml:space="preserve">La costo-efficacia distributiva integra la valutazione dell’efficienza con quella dell’equità, chiedendosi non solo se l’intervento produca benefici a costi accettabili, ma se tali benefici si concentrino nei gruppi a maggiore bisogno. Su questo terreno il servizio di psicologia di base presenta un profilo favorevole, per una ragione che lega l’equità all’efficienza. I gruppi a maggiore bisogno e minore accesso — i deprivati, gli anziani, i residenti delle aree interne — sono anche quelli in cui il disagio non intercettato produce, in assenza di intervento, i costi maggiori, in termini di cronicizzazione, di accesso tardivo ai livelli specialistici, di disabilità e di perdita di produttività. Intervenire precocemente proprio su questi gruppi è dunque, simultaneamente, l’opzione più equa e quella più efficiente, perché previene gli esiti più costosi là dove sono più probabili. La costo-efficacia dell’intervento, in altri termini, è massima nei gruppi in cui è massimo il bisogno, e ciò allinea l’obiettivo dell’equità con quello dell’efficienza.</w:t>
      </w:r>
    </w:p>
    <w:p>
      <w:pPr>
        <w:pStyle w:val="BodyText"/>
      </w:pPr>
      <w:r>
        <w:t xml:space="preserve">Questa convergenza ha un’implicazione progettuale diretta: la concentrazione dell’azione del servizio sui gruppi e sui territori a maggiore bisogno non è soltanto un imperativo di equità, ma una strategia di efficienza, perché massimizza il rendimento delle risorse impiegate. Per la Basilicata, ciò significa che la progettazione del servizio dovrebbe orientare prioritariamente la capillarità e la telepsicologia verso le aree interne, dovrebbe garantire la gratuità o il basso costo per le fasce deprivate, e dovrebbe presidiare attraverso il monitoraggio la capacità effettiva di raggiungere tali gruppi. Un servizio così progettato produce il massimo beneficio sociale per unità di risorse, e realizza simultaneamente l’obiettivo di ridurre le disuguaglianze e quello di trattenere nel sistema regionale i costi che il disagio non intercettato genererebbe altrove, anche sotto forma di mobilità sanitaria. L’equità e l’efficienza, in questo caso, non sono in tensione, ma convergono, e la dimensione distributiva si conferma come una delle ragioni principali a favore dell’introduzione del servizio.</w:t>
      </w:r>
      <w:r>
        <w:rPr>
          <w:rStyle w:val="FootnoteReference"/>
        </w:rPr>
        <w:footnoteReference w:id="3390"/>
      </w:r>
    </w:p>
    <w:bookmarkEnd w:id="3319"/>
    <w:bookmarkEnd w:id="3320"/>
    <w:bookmarkStart w:id="3326" w:name="X1fdc7fb3f69aee089f999e3550f733a0aa42f30"/>
    <w:p>
      <w:pPr>
        <w:pStyle w:val="Heading2"/>
      </w:pPr>
      <w:r>
        <w:t xml:space="preserve">Parte H — Profili giuridico, organizzativo ed etico</w:t>
      </w:r>
    </w:p>
    <w:p>
      <w:pPr>
        <w:pStyle w:val="FirstParagraph"/>
      </w:pPr>
      <w:r>
        <w:t xml:space="preserve">L’introduzione di un servizio sanitario non è solo una questione di efficacia e di costi, ma anche di legittimità giuridica, di sostenibilità organizzativa e di accettabilità etica. Questa parte esamina i tre profili. Il profilo giuridico assume per la Basilicata un rilievo particolare, perché la regione si trova nella fase anteriore all’istituzione del servizio e la legge regionale che lo istituirà dovrà conformarsi ai limiti definiti dalla giurisprudenza costituzionale. Il profilo organizzativo riguarda la governance del servizio entro l’assetto del Servizio Sanitario Regionale lucano e la sua sostenibilità in un contesto di risorse scarse. Il profilo etico riguarda i valori che l’intervento promuove e i rischi che deve evitare. L’analisi di questi profili è la condizione perché l’intervento sia non solo efficace e conveniente, ma anche legittimo, governabile e giusto.</w:t>
      </w:r>
    </w:p>
    <w:bookmarkStart w:id="3321" w:name="h.1-il-profilo-giuridico-7"/>
    <w:p>
      <w:pPr>
        <w:pStyle w:val="Heading3"/>
      </w:pPr>
      <w:r>
        <w:t xml:space="preserve">H.1 Il profilo giuridico</w:t>
      </w:r>
    </w:p>
    <w:p>
      <w:pPr>
        <w:pStyle w:val="FirstParagraph"/>
      </w:pPr>
      <w:r>
        <w:t xml:space="preserve">Il profilo giuridico è, per la Basilicata, il più delicato, perché dalla sua corretta impostazione dipende la stessa legittimità del servizio. Il riferimento ineludibile è la sentenza della Corte Costituzionale numero 241 del 2021, che, pronunciandosi sulla legge regionale della Campania istitutiva del servizio di psicologia di base, ne ha dichiarato l’illegittimità nella parte in cui istituiva nuovi rapporti di lavoro mediante incarichi libero-professionali in convenzione con il Servizio Sanitario Nazionale, in quanto tale disciplina eccede la competenza regionale e invade quella statale in materia di ordinamento del personale e di rapporti convenzionali con il Servizio Sanitario Nazionale. La sentenza non nega alle regioni la facoltà di istituire il servizio, ma ne circoscrive le modalità, stabilendo che la regione non può disciplinare autonomamente i rapporti convenzionali che la Costituzione e la legislazione nazionale riservano al livello statale e alla contrattazione nazionale.</w:t>
      </w:r>
    </w:p>
    <w:p>
      <w:pPr>
        <w:pStyle w:val="BodyText"/>
      </w:pPr>
      <w:r>
        <w:t xml:space="preserve">Per la Basilicata, che deve ancora legiferare, questa pronuncia non è un ostacolo, ma una guida: essa indica con precisione che cosa la legge regionale può e non può fare, e consente di costruire fin dall’origine un servizio giuridicamente solido, evitando l’illegittimità in cui sono incorse le leggi censurate. La legge regionale lucana dovrà pertanto istituire il servizio entro i limiti della competenza regionale, evitando di disciplinare i rapporti convenzionali, e potrà a tal fine valorizzare gli strumenti compatibili con l’ordinamento: l’inserimento degli psicologi nelle Case della Comunità e nei servizi territoriali secondo forme di committenza conformi alla normativa vigente; il raccordo con la medicina generale nell’ambito del ruolo unico; il ricorso, ove possibile, a personale dipendente o a forme di incarico ammesse dall’ordinamento. La regione potrà inoltre operare in coerenza con l’evoluzione della normativa nazionale, che con il decreto ministeriale numero 77 del 2022 ha già inserito lo psicologo delle cure primarie fra i professionisti della rete territoriale, e con le proposte di legge nazionali che, ove approvate, definirebbero il quadro convenzionale entro cui le regioni potrebbero operare. La compresenza di due proposte di legge regionali offre l’occasione per costruire un testo che, facendo tesoro della giurisprudenza costituzionale e delle esperienze delle altre regioni, sia al tempo stesso ambizioso negli obiettivi e solido nella forma giuridica. La Parte I traduce questa impostazione in un percorso attuativo.</w:t>
      </w:r>
    </w:p>
    <w:bookmarkEnd w:id="3321"/>
    <w:bookmarkStart w:id="3322" w:name="X364ee5754e854fbc2c4b6052eae1e8394a732f0"/>
    <w:p>
      <w:pPr>
        <w:pStyle w:val="Heading3"/>
      </w:pPr>
      <w:r>
        <w:t xml:space="preserve">H.2 Il profilo organizzativo e la governance</w:t>
      </w:r>
    </w:p>
    <w:p>
      <w:pPr>
        <w:pStyle w:val="FirstParagraph"/>
      </w:pPr>
      <w:r>
        <w:t xml:space="preserve">Il profilo organizzativo riguarda la collocazione del servizio nella struttura del Servizio Sanitario Regionale e i meccanismi che ne assicurano il funzionamento, il coordinamento e la valutazione. Il servizio si colloca, come definito nella Parte C, presso le due aziende sanitarie locali — l’Azienda Sanitaria di Potenza e l’Azienda Sanitaria di Matera — attraverso unità funzionali dedicate, e si integra con la rete territoriale delle Case della Comunità, dei distretti, delle Aggregazioni Funzionali Territoriali e delle Unità Complesse di Cure Primarie. La governance del servizio richiede un livello di coordinamento regionale, che assicuri l’uniformità degli standard fra le due aziende, la programmazione del dispiegamento, la gestione del sistema informativo e il monitoraggio degli esiti; tale funzione può essere affidata a un organismo di osservazione regionale, secondo il modello prefigurato dalle proposte nazionali, composto in modo da rappresentare le competenze professionali, accademiche e istituzionali rilevanti. La governance deve inoltre presidiare il raccordo fra il servizio e gli altri livelli del sistema, in particolare i servizi specialistici di salute mentale, così da garantire la continuità e l’appropriatezza dei percorsi.</w:t>
      </w:r>
    </w:p>
    <w:p>
      <w:pPr>
        <w:pStyle w:val="BodyText"/>
      </w:pPr>
      <w:r>
        <w:t xml:space="preserve">La sostenibilità organizzativa del servizio in Basilicata è condizionata da due fattori specifici. Il primo è la dimensione contenuta dell’apparato amministrativo regionale, che impone di progettare una governance snella, capace di operare con risorse limitate e di evitare la creazione di sovrastrutture sproporzionate alla dimensione del servizio. Il secondo è la dispersione territoriale, che rende la gestione del servizio più complessa che in un contesto concentrato, e che richiede strumenti — il sistema informativo, la telepsicologia, il coordinamento fra sedi periferiche — capaci di garantire l’uniformità e la continuità su un territorio frammentato. La situazione finanziaria regionale, caratterizzata da un equilibrio fragile e da un disavanzo coperto con risorse proprie, impone infine una governance attenta alla sostenibilità, che dimensioni il servizio in modo prudente e ne accresca la portata gradualmente, in coerenza con la capacità del bilancio. Questi vincoli non rendono il servizio non governabile, ma ne indicano le condizioni organizzative: una governance snella, gradualità nel dispiegamento, e un investimento negli strumenti — informativi e digitali — che consentono di gestire un servizio capillare con risorse contenute.</w:t>
      </w:r>
    </w:p>
    <w:bookmarkEnd w:id="3322"/>
    <w:bookmarkStart w:id="3323" w:name="h.3-il-profilo-etico-7"/>
    <w:p>
      <w:pPr>
        <w:pStyle w:val="Heading3"/>
      </w:pPr>
      <w:r>
        <w:t xml:space="preserve">H.3 Il profilo etico</w:t>
      </w:r>
    </w:p>
    <w:p>
      <w:pPr>
        <w:pStyle w:val="FirstParagraph"/>
      </w:pPr>
      <w:r>
        <w:t xml:space="preserve">Il profilo etico riguarda i valori che l’intervento promuove e i rischi che deve evitare. Sul versante dei valori promossi, il servizio di psicologia di base realizza principi etici fondamentali del sistema sanitario. Esso promuove l’equità, estendendo l’accesso alle cure psicologiche ai gruppi che oggi ne sono esclusi, e contrastando il gradiente sociale e territoriale che concentra la sofferenza non trattata nelle fasce più fragili. Esso promuove la dignità della persona, riconoscendo il disagio psichico come bisogno di salute meritevole di risposta pubblica, e contrastando lo stigma che ne ostacola il riconoscimento e la cura. Esso promuove la giustizia distributiva, allocando risorse pubbliche verso un bisogno oggi inevaso e verso i gruppi a maggiore necessità. In una regione caratterizzata da deprivazione, invecchiamento e isolamento, questi valori assumono un rilievo concreto: il servizio risponde a una sofferenza reale e diffusa, che oggi resta in larga parte senza risposta.</w:t>
      </w:r>
    </w:p>
    <w:p>
      <w:pPr>
        <w:pStyle w:val="BodyText"/>
      </w:pPr>
      <w:r>
        <w:t xml:space="preserve">Sul versante dei rischi da evitare, l’analisi etica individua alcuni profili che la progettazione deve presidiare. Il primo è il rischio che il servizio, se non progettato secondo equità, riproduca anziché ridurre le disuguaglianze, raggiungendo i gruppi già avvantaggiati e non quelli a maggiore bisogno: la Parte G ne ha indicato gli strumenti di prevenzione. Il secondo è il rischio connesso alla protezione dei dati personali, particolarmente sensibili in ambito psicologico: il trattamento di tali dati richiede misure rigorose di tutela, conformi alla normativa, e una particolare attenzione nell’impiego degli strumenti digitali e dell’intelligenza artificiale. Il terzo è il rischio connesso all’uso delle tecnologie: l’impiego dell’intelligenza artificiale e della telepsicologia deve garantire la trasparenza, la supervisione umana e la tutela dell’autonomia e della relazione clinica, evitando che l’efficienza tecnologica comprometta la qualità e l’umanità della cura. Il quarto è il rischio che l’eventuale compartecipazione economica reintroduca una barriera per le fasce fragili, già discusso nella Parte G. Il presidio di questi rischi è parte integrante della progettazione etica del servizio, e ne condiziona la capacità di realizzare i valori che persegue.</w:t>
      </w:r>
    </w:p>
    <w:bookmarkEnd w:id="3323"/>
    <w:bookmarkStart w:id="3325" w:name="h.4-sintesi-dei-profili-6"/>
    <w:p>
      <w:pPr>
        <w:pStyle w:val="Heading3"/>
      </w:pPr>
      <w:r>
        <w:t xml:space="preserve">H.4 Sintesi dei profili</w:t>
      </w:r>
    </w:p>
    <w:p>
      <w:pPr>
        <w:pStyle w:val="FirstParagraph"/>
      </w:pPr>
      <w:r>
        <w:t xml:space="preserve">I tre profili convergono in una valutazione complessivamente favorevole, condizionata al rispetto di alcune condizioni di progettazione. Sul piano giuridico, il servizio è istituibile, a condizione che la legge regionale si conformi ai limiti definiti dalla giurisprudenza costituzionale, evitando di disciplinare autonomamente i rapporti convenzionali e valorizzando gli strumenti compatibili con l’ordinamento; la fase anteriore in cui si trova la Basilicata è, da questo punto di vista, un vantaggio, perché consente di costruire fin dall’origine un servizio giuridicamente solido. Sul piano organizzativo, il servizio è governabile, a condizione che la governance sia snella, il dispiegamento graduale e gli strumenti informativi e digitali adeguati alla gestione di un servizio capillare in un territorio disperso e con risorse contenute. Sul piano etico, il servizio realizza valori fondamentali del sistema sanitario, a condizione che sia progettato secondo equità, che tuteli rigorosamente i dati personali e che governi con prudenza l’impiego delle tecnologie.</w:t>
      </w:r>
    </w:p>
    <w:p>
      <w:pPr>
        <w:pStyle w:val="BodyText"/>
      </w:pPr>
      <w:r>
        <w:t xml:space="preserve">Queste condizioni non sono ostacoli, ma indicazioni progettuali, e la loro esplicitazione è essa stessa un contributo alla costruzione del servizio. Esse delineano il profilo di un servizio che è non solo efficace e conveniente, come documentato dalle parti precedenti, ma anche legittimo, governabile e giusto. Per la Basilicata, che deve ancora decidere se e come istituire il servizio, l’analisi dei profili offre una guida concreta: essa indica come costruire un servizio che superi il vaglio di legittimità, che sia sostenibile per l’organizzazione e per il bilancio regionali, e che realizzi gli obiettivi di equità e di dignità che ne costituiscono la ragione etica. La Parte I sviluppa il percorso attuativo che traduce queste condizioni in azioni, e la Parte M le incorpora nella raccomandazione conclusiva.</w:t>
      </w:r>
      <w:r>
        <w:rPr>
          <w:rStyle w:val="FootnoteReference"/>
        </w:rPr>
        <w:footnoteReference w:id="3391"/>
      </w:r>
    </w:p>
    <w:bookmarkEnd w:id="3325"/>
    <w:bookmarkEnd w:id="3326"/>
    <w:bookmarkStart w:id="3333" w:name="X2b96269d310e37087e84edaeb528f20d149d4c4"/>
    <w:p>
      <w:pPr>
        <w:pStyle w:val="Heading2"/>
      </w:pPr>
      <w:r>
        <w:t xml:space="preserve">Parte I — Attuazione, fattibilità e sostenibilità</w:t>
      </w:r>
    </w:p>
    <w:p>
      <w:pPr>
        <w:pStyle w:val="FirstParagraph"/>
      </w:pPr>
      <w:r>
        <w:t xml:space="preserve">Un intervento efficace, conveniente e legittimo deve essere anche attuabile e sostenibile nel tempo. Questa parte affronta l’attuazione del servizio di psicologia di base in Basilicata, articolandola secondo il modello a cinque casi, definendo il dimensionamento e le fasi del dispiegamento, il reclutamento, la formazione e il cronoprogramma, le condizioni di sostenibilità finanziaria e organizzativa, e i rischi con le relative mitigazioni. L’analisi è costruita sulle condizioni specifiche della regione — la fase anteriore all’istituzione, l’equilibrio finanziario fragile, la dispersione territoriale, l’assenza di un’offerta universitaria di psicologia sul territorio — e ne ricava un percorso attuativo realistico, graduale e calibrato sulla capacità del sistema regionale. La fattibilità non è data, ma costruita: essa dipende dalle scelte di dimensionamento, di sequenza e di presidio dei rischi che questa parte delinea.</w:t>
      </w:r>
    </w:p>
    <w:bookmarkStart w:id="3327" w:name="i.1-i-cinque-casi-1"/>
    <w:p>
      <w:pPr>
        <w:pStyle w:val="Heading3"/>
      </w:pPr>
      <w:r>
        <w:t xml:space="preserve">I.1 I cinque casi</w:t>
      </w:r>
    </w:p>
    <w:p>
      <w:pPr>
        <w:pStyle w:val="FirstParagraph"/>
      </w:pPr>
      <w:r>
        <w:t xml:space="preserve">Il modello a cinque casi articola la valutazione di un investimento pubblico in cinque dimensioni, ciascuna delle quali corrisponde a una domanda. Il caso strategico chiede se l’intervento risponda a un bisogno reale e si inscriva in una direzione di politica sanitaria coerente: per la Basilicata la risposta è affermativa, perché il servizio risponde a un bisogno ampio e inevaso, documentato nella Parte B, e si inscrive nella direzione tracciata dal decreto ministeriale numero 77 del 2022 e dall’evoluzione dell’assistenza territoriale. Il caso economico chiede se l’intervento generi valore per la collettività a costi accettabili: la Parte E ha documentato un saldo diretto prossimo al pareggio e un ritorno complessivo dell’ordine di tre-cinque euro per ogni euro speso. Il caso commerciale chiede se l’intervento sia realizzabile con gli strumenti disponibili: la risposta dipende dalla costruzione giuridica del servizio entro i limiti costituzionali, trattata nella Parte H, e dalla disponibilità di personale, trattata più avanti.</w:t>
      </w:r>
    </w:p>
    <w:p>
      <w:pPr>
        <w:pStyle w:val="BodyText"/>
      </w:pPr>
      <w:r>
        <w:t xml:space="preserve">Il caso finanziario chiede se l’intervento sia sostenibile per il bilancio: il costo del servizio, dell’ordine dello 0,7 per cento del fondo sanitario regionale nello scenario di piena attuazione e di entità inferiore negli scenari iniziali, è sostenibile per il bilancio regionale, ancorché in equilibrio fragile, e il saldo diretto prossimo al pareggio ne riduce ulteriormente l’impatto netto. Il caso gestionale chiede se l’organizzazione sia in grado di realizzare e gestire l’intervento: è la dimensione più impegnativa per la Basilicata, in ragione della dimensione contenuta dell’apparato amministrativo, della dispersione territoriale e dell’assenza di un’offerta universitaria di psicologia sul territorio, e richiede le soluzioni — governance snella, gradualità, investimento negli strumenti informativi e digitali, collaborazione con il sistema nazionale e con le regioni limitrofe — che le parti precedenti hanno delineato e che questa parte traduce in percorso. La valutazione complessiva secondo i cinque casi è favorevole, con la condizione che il caso gestionale sia presidiato con attenzione particolare.</w:t>
      </w:r>
    </w:p>
    <w:bookmarkEnd w:id="3327"/>
    <w:bookmarkStart w:id="3328" w:name="i.2-il-dimensionamento-e-le-fasi-1"/>
    <w:p>
      <w:pPr>
        <w:pStyle w:val="Heading3"/>
      </w:pPr>
      <w:r>
        <w:t xml:space="preserve">I.2 Il dimensionamento e le fasi</w:t>
      </w:r>
    </w:p>
    <w:p>
      <w:pPr>
        <w:pStyle w:val="FirstParagraph"/>
      </w:pPr>
      <w:r>
        <w:t xml:space="preserve">Il dimensionamento del servizio è definito dai tre scenari introdotti nella Parte E — minimo, intermedio e pieno, corrispondenti a 40, 80 e 120 incarichi — che non rappresentano alternative fra cui scegliere una volta per tutte, ma tappe di un percorso di dispiegamento graduale. La logica della gradualità, già richiamata nella Parte F, è particolarmente appropriata per la Basilicata, e risponde a tre esigenze convergenti. La prima è finanziaria: avviare il servizio con un dimensionamento contenuto riduce l’impegno iniziale per un bilancio in tensione, e ne consente l’accrescimento in coerenza con la disponibilità di risorse. La seconda è organizzativa: un avvio contenuto consente di costruire la governance, di formare il personale e di sperimentare il modello su scala gestibile, prima di estenderlo. La terza è conoscitiva: il dispiegamento graduale consente di raccogliere, attraverso l’attività del servizio, i dati che ne documentano l’efficacia e che consentono di calibrare le fasi successive sull’evidenza, secondo la logica del valore dell’informazione esposta nella Parte F.</w:t>
      </w:r>
    </w:p>
    <w:p>
      <w:pPr>
        <w:pStyle w:val="BodyText"/>
      </w:pPr>
      <w:r>
        <w:t xml:space="preserve">Il percorso di dispiegamento si articola pertanto in fasi. Una prima fase di avvio attiva lo scenario minimo, con un primo nucleo di operatori collocati prioritariamente nelle Case della Comunità e nelle aree a maggiore bisogno, e costruisce contestualmente la governance, il sistema informativo e i protocolli. Una seconda fase di consolidamento estende il servizio verso lo scenario intermedio, accrescendo la copertura territoriale e l’integrazione con la rete, sulla base degli esiti rilevati nella prima fase. Una terza fase di piena attuazione porta il servizio allo scenario pieno, garantendo la capillarità che la dispersione lucana richiede e il pieno dispiegamento della telepsicologia verso le aree interne. La durata di ciascuna fase e i criteri di passaggio fra le fasi sono definiti in funzione degli esiti e della disponibilità di risorse, e il cronoprogramma indicativo è delineato più avanti. Questa articolazione per fasi rende il dimensionamento non una decisione irreversibile, ma un processo governato, calibrato sulla capacità del sistema e sull’evidenza progressivamente prodotta.</w:t>
      </w:r>
    </w:p>
    <w:bookmarkEnd w:id="3328"/>
    <w:bookmarkStart w:id="3329" w:name="X1ae26f20c9bc3a03bbbccf10396a085ef5c1aa0"/>
    <w:p>
      <w:pPr>
        <w:pStyle w:val="Heading3"/>
      </w:pPr>
      <w:r>
        <w:t xml:space="preserve">I.3 Il reclutamento, la formazione e il cronoprogramma</w:t>
      </w:r>
    </w:p>
    <w:p>
      <w:pPr>
        <w:pStyle w:val="FirstParagraph"/>
      </w:pPr>
      <w:r>
        <w:t xml:space="preserve">Il reclutamento del personale è una delle questioni più delicate per la Basilicata, in ragione di due fattori specifici. Il primo è l’assenza di un’offerta universitaria di psicologia sul territorio regionale, che fa sì che la regione non disponga di un bacino locale di formazione e che gli psicologi lucani si formino prevalentemente negli atenei di altre regioni: ciò richiede di costruire i percorsi di reclutamento e di formazione in collaborazione con il sistema nazionale, con gli ordini professionali e con gli atenei delle regioni limitrofe, e di considerare il rischio che una parte dei professionisti formati non rientri o non resti nella regione. Il secondo è la concorrenza con altre opportunità professionali, in un contesto in cui il sistema sanitario regionale è già impegnato in un ampio sforzo di reclutamento. La costruzione giuridica del servizio entro i limiti costituzionali, trattata nella Parte H, condiziona inoltre le forme contrattuali attraverso cui il reclutamento può avvenire.</w:t>
      </w:r>
    </w:p>
    <w:p>
      <w:pPr>
        <w:pStyle w:val="BodyText"/>
      </w:pPr>
      <w:r>
        <w:t xml:space="preserve">La formazione, come esposto nella Parte C, è una componente costitutiva del servizio. Per la Basilicata essa assume un rilievo particolare, perché il servizio è da costruire e la qualità degli operatori va garantita fin dall’origine, e perché la dispersione territoriale e il ricorso strutturato alla telepsicologia richiedono competenze specifiche. Il percorso formativo dovrebbe comprendere la formazione di base agli interventi psicologici brevi di efficacia documentata, la formazione al modello organizzativo e al lavoro in rete, la formazione agli strumenti di misurazione degli esiti e al sistema informativo, e la formazione all’impiego consapevole della telepsicologia e delle tecnologie digitali. La valorizzazione delle modalità formative a distanza è coerente con la natura dispersa del contesto e con la scarsità di risorse. Il cronoprogramma indicativo prevede una fase iniziale dedicata alla costruzione del quadro normativo regionale, della governance e dei percorsi formativi; una fase di avvio del servizio nello scenario minimo, con la formazione del primo nucleo di operatori; e fasi successive di consolidamento ed estensione, scandite dalla verifica degli esiti. I tempi effettivi dipenderanno dall’iter legislativo regionale e dalla disponibilità di risorse, e il cronoprogramma va inteso come una sequenza logica più che come un calendario rigido.</w:t>
      </w:r>
    </w:p>
    <w:bookmarkEnd w:id="3329"/>
    <w:bookmarkStart w:id="3330" w:name="i.4-la-sostenibilità-3"/>
    <w:p>
      <w:pPr>
        <w:pStyle w:val="Heading3"/>
      </w:pPr>
      <w:r>
        <w:t xml:space="preserve">I.4 La sostenibilità</w:t>
      </w:r>
    </w:p>
    <w:p>
      <w:pPr>
        <w:pStyle w:val="FirstParagraph"/>
      </w:pPr>
      <w:r>
        <w:t xml:space="preserve">La sostenibilità del servizio si articola in sostenibilità finanziaria e sostenibilità organizzativa. Sul piano finanziario, la sostenibilità è documentata dalla Parte E: il costo del servizio rappresenta una frazione contenuta del fondo sanitario regionale, dell’ordine dello 0,7 per cento nello scenario di piena attuazione e inferiore negli scenari iniziali, e il saldo diretto prossimo al pareggio ne riduce ulteriormente l’impatto netto sul bilancio. Per una regione che non è sottoposta a piano di rientro ma chiude i propri conti in equilibrio fragile, con un disavanzo coperto con risorse proprie, la sostenibilità finanziaria del servizio è reale ma richiede attenzione: essa è garantita dalla modestia del costo e dalla gradualità del dispiegamento, che consente di commisurare l’impegno alla disponibilità di risorse, e dal contributo del servizio alla riduzione della mobilità sanitaria passiva, che àncora i risparmi diretti a una grandezza — il saldo di mobilità — la cui riduzione è un obiettivo dichiarato della programmazione regionale. La sostenibilità finanziaria, in altri termini, non dipende da risorse aggiuntive ingenti, ma da un investimento contenuto che si ripaga in larga parte attraverso i risparmi che genera.</w:t>
      </w:r>
    </w:p>
    <w:p>
      <w:pPr>
        <w:pStyle w:val="BodyText"/>
      </w:pPr>
      <w:r>
        <w:t xml:space="preserve">Sul piano organizzativo, la sostenibilità dipende dalla capacità del sistema regionale di gestire il servizio nel tempo, in un contesto di apparato amministrativo contenuto e di territorio disperso. Le condizioni di questa sostenibilità sono state delineate: una governance snella, che eviti sovrastrutture sproporzionate; un investimento negli strumenti informativi e digitali, che consentano di gestire un servizio capillare con risorse limitate; la valorizzazione della telepsicologia, che riduce i costi di gestione di un servizio territorialmente frammentato; e l’integrazione con la rete territoriale esistente — le Case della Comunità, il ruolo unico della medicina generale, le Aggregazioni Funzionali Territoriali — che evita duplicazioni e massimizza il rendimento delle risorse. La sostenibilità organizzativa è, fra le dimensioni della fattibilità, quella che richiede il presidio più attento, e la sua costruzione è parte integrante del percorso attuativo. Il monitoraggio descritto nella Parte L è lo strumento che consente di verificarla nel tempo e di correggere tempestivamente gli scostamenti.</w:t>
      </w:r>
    </w:p>
    <w:bookmarkEnd w:id="3330"/>
    <w:bookmarkStart w:id="3332" w:name="i.5-i-rischi-e-le-mitigazioni-6"/>
    <w:p>
      <w:pPr>
        <w:pStyle w:val="Heading3"/>
      </w:pPr>
      <w:r>
        <w:t xml:space="preserve">I.5 I rischi e le mitigazioni</w:t>
      </w:r>
    </w:p>
    <w:p>
      <w:pPr>
        <w:pStyle w:val="FirstParagraph"/>
      </w:pPr>
      <w:r>
        <w:t xml:space="preserve">L’attuazione del servizio è esposta a rischi, che è bene esplicitare e per i quali è necessario predisporre mitigazioni. Il primo rischio è giuridico: una legge regionale che non rispetti i limiti costituzionali esporrebbe il servizio alla censura, come accaduto ad altre regioni. La mitigazione consiste nella costruzione del servizio entro i limiti definiti dalla giurisprudenza, valorizzando gli strumenti compatibili con l’ordinamento e facendo tesoro delle esperienze delle altre regioni, secondo quanto esposto nella Parte H; la fase anteriore in cui si trova la Basilicata rende questa mitigazione pienamente praticabile. Il secondo rischio è finanziario: un dimensionamento eccessivo rispetto alla capacità del bilancio comprometterebbe la sostenibilità. La mitigazione consiste nella gradualità del dispiegamento e nel dimensionamento prudente, che commisurano l’impegno alla disponibilità di risorse.</w:t>
      </w:r>
    </w:p>
    <w:p>
      <w:pPr>
        <w:pStyle w:val="BodyText"/>
      </w:pPr>
      <w:r>
        <w:t xml:space="preserve">Il terzo rischio è quello del reclutamento: la difficoltà di reperire e trattenere personale qualificato, accentuata dall’assenza di un’offerta universitaria regionale, potrebbe rallentare il dispiegamento. La mitigazione consiste nella collaborazione con il sistema nazionale e con le regioni limitrofe per la formazione e il reclutamento, nella costruzione di percorsi formativi dedicati e nella valorizzazione delle opportunità professionali che il servizio offre. Il quarto rischio è territoriale: la dispersione potrebbe compromettere la capacità del servizio di raggiungere le aree interne, vanificando l’obiettivo di equità. La mitigazione consiste nella progettazione capillare del servizio e nel ricorso strutturato alla telepsicologia, secondo quanto esposto nelle Parti C e G. Il quinto rischio riguarda la protezione dei dati e l’impiego delle tecnologie, e la sua mitigazione consiste nelle misure di tutela e di governo descritte nella Parte H. Il presidio sistematico di questi rischi, attraverso le mitigazioni indicate e attraverso il monitoraggio continuo, è la condizione perché l’attuazione del servizio proceda con successo. Nessuno di questi rischi è tale da sconsigliare l’intervento; ciascuno è gestibile con le misure delineate, e la loro esplicitazione è parte della costruzione di un percorso attuativo realistico.</w:t>
      </w:r>
      <w:r>
        <w:rPr>
          <w:rStyle w:val="FootnoteReference"/>
        </w:rPr>
        <w:footnoteReference w:id="3392"/>
      </w:r>
    </w:p>
    <w:bookmarkEnd w:id="3332"/>
    <w:bookmarkEnd w:id="3333"/>
    <w:bookmarkStart w:id="3340" w:name="X346a26d3ca9e18c5186528998a630ca676e1ec6"/>
    <w:p>
      <w:pPr>
        <w:pStyle w:val="Heading2"/>
      </w:pPr>
      <w:r>
        <w:t xml:space="preserve">Parte L — Monitoraggio e valutazione ex post</w:t>
      </w:r>
    </w:p>
    <w:p>
      <w:pPr>
        <w:pStyle w:val="FirstParagraph"/>
      </w:pPr>
      <w:r>
        <w:t xml:space="preserve">Un servizio pubblico va valutato non solo prima della sua istituzione, ma anche durante e dopo la sua attuazione, per verificare se produce gli effetti attesi, per correggerne il funzionamento e per rendere conto dell’impiego delle risorse. Questa parte definisce l’impianto del monitoraggio e della valutazione ex post del servizio di psicologia di base in Basilicata: le sue finalità, i metodi per stimare gli effetti effettivamente prodotti, la batteria di indicatori che ne misura l’attività e gli esiti, gli strumenti di restituzione e di governo, e la sintesi del disegno valutativo. Il monitoraggio non è un adempimento formale, ma la condizione perché la valutazione condotta ex ante si trasformi, nel tempo, in conoscenza fondata sull’osservazione, e perché il servizio sia governato sulla base dell’evidenza che esso stesso produce. Per la Basilicata, dove la scarsità di dati regionali rende le stime iniziali più incerte, il monitoraggio assume un valore conoscitivo particolare.</w:t>
      </w:r>
    </w:p>
    <w:bookmarkStart w:id="3334" w:name="l.1-finalità-e-impianto-del-monitoraggio"/>
    <w:p>
      <w:pPr>
        <w:pStyle w:val="Heading3"/>
      </w:pPr>
      <w:r>
        <w:t xml:space="preserve">L.1 Finalità e impianto del monitoraggio</w:t>
      </w:r>
    </w:p>
    <w:p>
      <w:pPr>
        <w:pStyle w:val="FirstParagraph"/>
      </w:pPr>
      <w:r>
        <w:t xml:space="preserve">Il monitoraggio del servizio persegue quattro finalità. La prima è la verifica dell’attuazione: accertare che il servizio sia effettivamente realizzato secondo il modello previsto, con il dimensionamento, la copertura territoriale e l’integrazione programmati. La seconda è la misurazione degli esiti: documentare gli effetti del servizio sulla salute, sui consumi sanitari e sull’equità, verificando se le previsioni della valutazione ex ante si realizzano. La terza è la correzione: individuare tempestivamente gli scostamenti rispetto agli obiettivi e consentire l’adozione di misure correttive, così da governare il servizio in modo adattivo. La quarta è la rendicontazione: rendere conto agli organi di governo regionali e ai cittadini dell’impiego delle risorse e dei risultati conseguiti, alimentando la trasparenza e la responsabilità.</w:t>
      </w:r>
    </w:p>
    <w:p>
      <w:pPr>
        <w:pStyle w:val="BodyText"/>
      </w:pPr>
      <w:r>
        <w:t xml:space="preserve">L’impianto del monitoraggio si fonda sul sistema informativo descritto nella Parte C, che rileva l’attività e gli esiti del servizio, e si articola su due livelli: un livello di monitoraggio continuo, che rileva con regolarità un insieme di indicatori di attività e di esito e ne consente l’osservazione tempestiva, e un livello di valutazione periodica, che a intervalli definiti analizza in profondità gli effetti del servizio, ne stima l’impatto e ne valuta la costo-efficacia sulla base dei dati osservati. Per la Basilicata, l’impianto deve essere progettato in modo da essere sostenibile per un sistema con risorse amministrative contenute: gli indicatori devono essere selezionati per la loro rilevanza e per la sostenibilità della loro rilevazione, evitando di gravare l’attività clinica di oneri eccessivi, e la valutazione periodica deve potersi avvalere del confronto interregionale con le altre regioni della serie, che adottano il medesimo impianto. Il sistema informativo, alimentando contestualmente la gestione e la valutazione, è ciò che rende il monitoraggio sostenibile e che trasforma progressivamente le stime in osservazioni.</w:t>
      </w:r>
    </w:p>
    <w:bookmarkEnd w:id="3334"/>
    <w:bookmarkStart w:id="3335" w:name="l.2-il-controfattuale-e-i-metodi-1"/>
    <w:p>
      <w:pPr>
        <w:pStyle w:val="Heading3"/>
      </w:pPr>
      <w:r>
        <w:t xml:space="preserve">L.2 Il controfattuale e i metodi</w:t>
      </w:r>
    </w:p>
    <w:p>
      <w:pPr>
        <w:pStyle w:val="FirstParagraph"/>
      </w:pPr>
      <w:r>
        <w:t xml:space="preserve">La valutazione dell’impatto del servizio richiede di stimare non semplicemente ciò che accade dopo la sua introduzione, ma la differenza fra ciò che accade con il servizio e ciò che sarebbe accaduto in sua assenza. Questa differenza — l’effetto causale del servizio — non è direttamente osservabile, perché non si può osservare simultaneamente lo stesso territorio con e senza il servizio, e va pertanto stimata mediante metodi che ricostruiscano il controfattuale, ossia lo scenario in assenza di intervento. La scelta dei metodi dipende dalle modalità di dispiegamento del servizio e dalla disponibilità dei dati, e la fase anteriore in cui si trova la Basilicata offre, da questo punto di vista, un’opportunità: il dispiegamento graduale del servizio, descritto nella Parte I, consente di costruire disegni valutativi robusti, confrontando le aree e i periodi in cui il servizio è già attivo con quelli in cui non lo è ancora.</w:t>
      </w:r>
    </w:p>
    <w:p>
      <w:pPr>
        <w:pStyle w:val="BodyText"/>
      </w:pPr>
      <w:r>
        <w:t xml:space="preserve">I metodi applicabili comprendono il confronto fra aree trattate e aree di controllo, reso possibile dal dispiegamento graduale per territori; il confronto prima-dopo, che osserva l’evoluzione degli indicatori nel medesimo territorio fra il periodo precedente e quello successivo all’introduzione del servizio; e le combinazioni di tali approcci, che rafforzano la robustezza della stima controllando per i fattori di confondimento. La rilevazione di una linea di base prima dell’avvio del servizio — degli indicatori di attività, di esito e di consumo sanitario nello stato attuale — è la condizione perché tali confronti siano possibili, e va pertanto predisposta contestualmente alla progettazione del servizio. Per la Basilicata, la possibilità di sfruttare il dispiegamento graduale per costruire confronti fra aree e periodi è particolarmente preziosa, perché consente di stimare l’impatto del servizio con un rigore che la sola osservazione prima-dopo non garantirebbe, e di produrre evidenza regionale solida là dove oggi i dati mancano.</w:t>
      </w:r>
    </w:p>
    <w:bookmarkEnd w:id="3335"/>
    <w:bookmarkStart w:id="3336" w:name="l.3-la-batteria-di-indicatori-1"/>
    <w:p>
      <w:pPr>
        <w:pStyle w:val="Heading3"/>
      </w:pPr>
      <w:r>
        <w:t xml:space="preserve">L.3 La batteria di indicatori</w:t>
      </w:r>
    </w:p>
    <w:p>
      <w:pPr>
        <w:pStyle w:val="FirstParagraph"/>
      </w:pPr>
      <w:r>
        <w:t xml:space="preserve">La batteria di indicatori traduce le finalità del monitoraggio in misure concrete, organizzate per categorie. Lo studio adotta una batteria articolata in otto categorie, che coprono l’intero arco dell’attività e degli esiti del servizio, per un totale dell’ordine di sessanta indicatori. La prima categoria riguarda l’accesso e la copertura: il numero di persone che accedono al servizio, la quota di popolazione raggiunta, la distribuzione degli accessi per territorio e per gruppo sociale, i tempi di attesa. La seconda categoria riguarda l’attività e i processi: il numero e il tipo di prestazioni erogate, la durata dei percorsi, la fedeltà ai protocolli, l’uso della telepsicologia. La terza categoria riguarda gli esiti clinici: la riduzione della sintomatologia misurata con strumenti standardizzati all’inizio e al termine della presa in carico, i tassi di miglioramento e di recupero, il mantenimento del beneficio.</w:t>
      </w:r>
    </w:p>
    <w:p>
      <w:pPr>
        <w:pStyle w:val="BodyText"/>
      </w:pPr>
      <w:r>
        <w:t xml:space="preserve">La quarta categoria riguarda gli esiti di sistema: l’effetto del servizio sugli accessi al pronto soccorso, sui consumi farmaceutici, sui ricoveri, sulle prestazioni specialistiche e, per la Basilicata in particolare, sulla mobilità sanitaria passiva. La quinta categoria riguarda l’equità: la distribuzione degli accessi e degli esiti per condizione sociale e per collocazione territoriale, con particolare attenzione al divario fra poli e aree interne e al raggiungimento dei gruppi deprivati, secondo quanto richiesto dalla Parte G. La sesta categoria riguarda l’integrazione: il funzionamento del raccordo con la medicina generale, con i servizi specialistici e con i servizi sociali, misurato attraverso gli invii e la continuità dei percorsi. La settima categoria riguarda l’economia: i costi del servizio, i risparmi diretti per canale e gli indicatori di costo-efficacia, calcolati sui dati osservati. L’ottava categoria riguarda la qualità percepita e la soddisfazione degli utenti e degli operatori. La disaggregazione degli indicatori per territorio e per gruppo sociale è essenziale, perché è ciò che consente di verificare il raggiungimento degli obiettivi di equità, che in Basilicata costituiscono una delle ragioni principali dell’intervento. Il dettaglio degli indicatori e degli strumenti di misurazione è riportato nell’Appendice B.</w:t>
      </w:r>
    </w:p>
    <w:bookmarkEnd w:id="3336"/>
    <w:bookmarkStart w:id="3337" w:name="X4095c04bb7810c8e7a6cfade4de3b2eefe16639"/>
    <w:p>
      <w:pPr>
        <w:pStyle w:val="Heading3"/>
      </w:pPr>
      <w:r>
        <w:t xml:space="preserve">L.4 Il cruscotto e la clausola valutativa</w:t>
      </w:r>
    </w:p>
    <w:p>
      <w:pPr>
        <w:pStyle w:val="FirstParagraph"/>
      </w:pPr>
      <w:r>
        <w:t xml:space="preserve">La batteria di indicatori trova la sua restituzione in un cruscotto di monitoraggio, ossia uno strumento che raccoglie, organizza e rappresenta gli indicatori in forma accessibile, consentendo agli organi di governo del servizio di osservarne l’andamento, di individuare gli scostamenti e di orientare le decisioni. Il cruscotto, alimentato dal sistema informativo, rende il monitoraggio uno strumento di governo continuo e non un adempimento periodico, e consente di trasformare i dati in informazione utile alla decisione. Per la Basilicata, un cruscotto regionale che rappresenti l’andamento del servizio nelle due aziende e nei diversi territori, con la disaggregazione necessaria a verificare l’equità, è lo strumento che consente di governare un servizio capillare in un territorio disperso, individuando tempestivamente le aree in cui il servizio non raggiunge gli obiettivi e orientando le risorse di conseguenza.</w:t>
      </w:r>
    </w:p>
    <w:p>
      <w:pPr>
        <w:pStyle w:val="BodyText"/>
      </w:pPr>
      <w:r>
        <w:t xml:space="preserve">La clausola valutativa è lo strumento giuridico che àncora il monitoraggio alla decisione politica. Essa consiste nella previsione, all’interno della legge regionale istitutiva del servizio, dell’obbligo di valutarne periodicamente l’attuazione e gli esiti e di riferirne agli organi di governo regionali, secondo modalità e tempi definiti. La clausola valutativa trasforma il monitoraggio da pratica tecnica in obbligo istituzionale, e garantisce che i risultati della valutazione siano effettivamente utilizzati per le decisioni di prosecuzione, estensione o correzione del servizio. Lo studio raccomanda che la legge regionale lucana istitutiva del servizio includa una clausola valutativa, che ne definisca gli obiettivi misurabili, gli indicatori, i tempi della valutazione e le modalità di restituzione al Consiglio regionale: poiché la Basilicata deve ancora legiferare, essa ha l’opportunità di incorporare fin dall’origine, nel testo istitutivo, gli strumenti della valutazione, costruendo un servizio valutabile per disegno e non per aggiunta successiva.</w:t>
      </w:r>
    </w:p>
    <w:bookmarkEnd w:id="3337"/>
    <w:bookmarkStart w:id="3339" w:name="l.5-sintesi-1"/>
    <w:p>
      <w:pPr>
        <w:pStyle w:val="Heading3"/>
      </w:pPr>
      <w:r>
        <w:t xml:space="preserve">L.5 Sintesi</w:t>
      </w:r>
    </w:p>
    <w:p>
      <w:pPr>
        <w:pStyle w:val="FirstParagraph"/>
      </w:pPr>
      <w:r>
        <w:t xml:space="preserve">L’impianto di monitoraggio e valutazione delineato in questa parte costituisce la condizione perché il servizio di psicologia di base sia governato sulla base dell’evidenza e perché la valutazione condotta ex ante si trasformi nel tempo in conoscenza fondata sull’osservazione. Esso si fonda sul sistema informativo, si articola in monitoraggio continuo e valutazione periodica, impiega metodi controfattuali resi possibili dal dispiegamento graduale, misura l’attività e gli esiti attraverso una batteria di indicatori disaggregati, restituisce i risultati attraverso un cruscotto regionale e li àncora alla decisione politica attraverso una clausola valutativa. Per la Basilicata, questo impianto risponde a una doppia esigenza: governare un servizio capillare in un territorio disperso e con risorse amministrative contenute, e colmare la lacuna di dati regionali che rende le stime iniziali incerte.</w:t>
      </w:r>
    </w:p>
    <w:p>
      <w:pPr>
        <w:pStyle w:val="BodyText"/>
      </w:pPr>
      <w:r>
        <w:t xml:space="preserve">La trasformazione delle stime in osservazioni è, per la Basilicata, il contributo conoscitivo più rilevante del monitoraggio. Le quantificazioni della valutazione ex ante — la dimensione del bisogno, l’efficacia del servizio, i risparmi diretti, in particolare per il canale della mobilità — sono fondate, in assenza di dati regionali diretti, su stime prudenziali e su parametri derivati dalla letteratura. Il monitoraggio, rilevando gli esiti effettivi, consente di sostituire progressivamente queste stime con misure dirette, di verificare se le previsioni si realizzano e di calibrare il servizio sui dati reali. Il servizio, una volta avviato, produce così esso stesso l’evidenza che ne documenta il valore e che fonda le decisioni sulla sua prosecuzione ed estensione. In questo senso il monitoraggio non è soltanto uno strumento di controllo, ma il meccanismo attraverso cui la decisione di introdurre il servizio, razionale alla luce dell’evidenza disponibile, si affina e si corregge nel tempo, fondandosi su una base conoscitiva progressivamente più solida.</w:t>
      </w:r>
      <w:r>
        <w:rPr>
          <w:rStyle w:val="FootnoteReference"/>
        </w:rPr>
        <w:footnoteReference w:id="3393"/>
      </w:r>
    </w:p>
    <w:bookmarkEnd w:id="3339"/>
    <w:bookmarkEnd w:id="3340"/>
    <w:bookmarkStart w:id="3347" w:name="X62541278eed20951d97d3eaafd44930b8398bec"/>
    <w:p>
      <w:pPr>
        <w:pStyle w:val="Heading2"/>
      </w:pPr>
      <w:r>
        <w:t xml:space="preserve">Parte M — Sintesi multidimensionale e raccomandazioni</w:t>
      </w:r>
    </w:p>
    <w:p>
      <w:pPr>
        <w:pStyle w:val="FirstParagraph"/>
      </w:pPr>
      <w:r>
        <w:t xml:space="preserve">Questa parte conclusiva ricompone in una valutazione unitaria le analisi sviluppate nei singoli domini, ne integra gli esiti attraverso un’analisi multi-criterio, formula la raccomandazione e ne precisa il dimensionamento, dichiara le condizioni cui la raccomandazione è subordinata e le lacune conoscitive da colmare, e colloca lo studio della Basilicata nella serie regionale di cui fa parte. La sintesi non aggiunge elementi nuovi, ma ordina e pesa quelli già esposti, traducendo l’analisi in una indicazione operativa per la decisione che le istituzioni regionali sono chiamate ad assumere. Poiché la Basilicata si trova nella fase anteriore all’istituzione del servizio, la raccomandazione non riguarda la modalità di gestione di un servizio esistente, ma la stessa opportunità di istituirlo e la forma da adottare, e si rivolge al legislatore regionale e alla Giunta come base analitica per una scelta fondata sull’evidenza.</w:t>
      </w:r>
    </w:p>
    <w:bookmarkStart w:id="3341" w:name="m.1-la-sintesi-per-dominio-7"/>
    <w:p>
      <w:pPr>
        <w:pStyle w:val="Heading3"/>
      </w:pPr>
      <w:r>
        <w:t xml:space="preserve">M.1 La sintesi per dominio</w:t>
      </w:r>
    </w:p>
    <w:p>
      <w:pPr>
        <w:pStyle w:val="FirstParagraph"/>
      </w:pPr>
      <w:r>
        <w:t xml:space="preserve">Le analisi condotte nei singoli domini convergono in un quadro coerente. Sul piano del bisogno, la Parte B ha documentato un disagio psichico comune ampio e in larga parte inevaso, stimato in circa 107.000 persone, accentuato da una struttura demografica fra le più anziane del Paese, da una dispersione insediativa che rende l’accesso ai servizi strutturalmente difficile e da un sottofinanziamento documentato della salute mentale, che colloca la Basilicata fra le regioni che destinano a questo settore una quota insufficiente delle risorse. Sul piano dell’efficacia, la Parte D ha documentato che gli interventi psicologici precoci per il disagio comune sono efficaci, con una qualità dell’evidenza da moderata ad alta, e che la loro trasferibilità al contesto lucano è favorita dalla natura del bisogno e condizionata dalla dispersione e dalla scarsità di risorse.</w:t>
      </w:r>
    </w:p>
    <w:p>
      <w:pPr>
        <w:pStyle w:val="BodyText"/>
      </w:pPr>
      <w:r>
        <w:t xml:space="preserve">Sul piano economico, la Parte E ha documentato che il servizio comporta un saldo diretto per il bilancio sanitario prossimo al pareggio, dell’ordine di mezzo milione di euro l’anno e trascurabile nella scala del finanziamento regionale, e restituisce alla collettività un valore dell’ordine di tre-cinque euro per ogni euro speso, con un rapporto beneficio-costo contenuto entro la fascia metodologicamente fondata; e ha evidenziato come il canale della mobilità sanitaria passiva, data l’entità dell’emigrazione lucana, costituisca la componente più rilevante del risparmio diretto. La Parte F ha documentato la robustezza di queste conclusioni rispetto all’incertezza. Sul piano dell’equità, la Parte G ha documentato che il servizio, se progettato con capillarità e telepsicologia, riduce simultaneamente il gradiente sociale e il divario territoriale, e che la sua costo-efficacia è massima proprio nei gruppi a maggiore bisogno. Sul piano dei profili, la Parte H ha documentato che il servizio è istituibile entro i limiti costituzionali, governabile con una governance snella e giusto sul piano etico, a condizione che siano rispettate alcune condizioni di progettazione. Sul piano dell’attuazione, la Parte I ha documentato che il servizio è fattibile e sostenibile attraverso un dispiegamento graduale calibrato sulla capacità regionale, e la Parte L ha definito l’impianto di monitoraggio che ne consente il governo basato sull’evidenza.</w:t>
      </w:r>
    </w:p>
    <w:bookmarkEnd w:id="3341"/>
    <w:bookmarkStart w:id="3342" w:name="m.2-lanalisi-multi-criterio-12"/>
    <w:p>
      <w:pPr>
        <w:pStyle w:val="Heading3"/>
      </w:pPr>
      <w:r>
        <w:t xml:space="preserve">M.2 L’analisi multi-criterio</w:t>
      </w:r>
    </w:p>
    <w:p>
      <w:pPr>
        <w:pStyle w:val="FirstParagraph"/>
      </w:pPr>
      <w:r>
        <w:t xml:space="preserve">L’analisi multi-criterio integra gli esiti dei singoli domini in una valutazione unitaria, attribuendo a ciascun criterio un peso e a ciascuna opzione un punteggio, e calcolando un punteggio complessivo ponderato. Essa confronta due opzioni: l’introduzione del servizio e il mantenimento dello stato attuale, ossia il non intervento. I pesi attribuiti ai criteri sono i medesimi adottati per tutte le regioni della serie, così da garantire la confrontabilità, e riflettono l’importanza relativa di ciascuna dimensione nella valutazione complessiva. I punteggi attribuiti alle due opzioni riflettono gli esiti delle analisi condotte nelle parti precedenti, calibrati sulle condizioni specifiche della Basilicata.</w:t>
      </w:r>
    </w:p>
    <w:tbl>
      <w:tblPr>
        <w:tblStyle w:val="Table"/>
        <w:tblW w:type="pct" w:w="489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201"/>
        <w:gridCol w:w="1516"/>
        <w:gridCol w:w="1516"/>
        <w:gridCol w:w="1516"/>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Criterio</w:t>
            </w:r>
          </w:p>
        </w:tc>
        <w:tc>
          <w:tcPr>
            <w:shd w:val="clear" w:color="auto" w:fill="16264B"/>
          </w:tcPr>
          <w:p>
            <w:pPr>
              <w:pStyle w:val="Compact"/>
              <w:spacing w:after="40" w:before="40"/>
              <w:jc w:val="left"/>
            </w:pPr>
            <w:r>
              <w:rPr>
                <w:rFonts w:ascii="Cambria" w:hAnsi="Cambria" w:cs="Cambria" w:eastAsia="Cambria"/>
                <w:b/>
                <w:color w:val="FFFFFF"/>
                <w:sz w:val="18"/>
              </w:rPr>
              <w:t xml:space="preserve">Peso</w:t>
            </w:r>
          </w:p>
        </w:tc>
        <w:tc>
          <w:tcPr>
            <w:shd w:val="clear" w:color="auto" w:fill="16264B"/>
          </w:tcPr>
          <w:p>
            <w:pPr>
              <w:pStyle w:val="Compact"/>
              <w:spacing w:after="40" w:before="40"/>
              <w:jc w:val="left"/>
            </w:pPr>
            <w:r>
              <w:rPr>
                <w:rFonts w:ascii="Cambria" w:hAnsi="Cambria" w:cs="Cambria" w:eastAsia="Cambria"/>
                <w:b/>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color w:val="FFFFFF"/>
                <w:sz w:val="18"/>
              </w:rPr>
              <w:t xml:space="preserve">Non intervento</w:t>
            </w:r>
          </w:p>
        </w:tc>
      </w:tr>
      <w:tr>
        <w:tc>
          <w:tcPr/>
          <w:p>
            <w:pPr>
              <w:pStyle w:val="Compact"/>
              <w:spacing w:after="40" w:before="40"/>
              <w:jc w:val="left"/>
            </w:pPr>
            <w:r>
              <w:rPr>
                <w:rFonts w:ascii="Cambria" w:hAnsi="Cambria" w:cs="Cambria" w:eastAsia="Cambria"/>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0,15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color w:val="1A1A1A"/>
                <w:sz w:val="18"/>
              </w:rPr>
              <w:t xml:space="preserve">Costo-efficacia e ritorno</w:t>
            </w:r>
          </w:p>
        </w:tc>
        <w:tc>
          <w:tcPr>
            <w:shd w:val="clear" w:color="auto" w:fill="F4F1EC"/>
          </w:tcPr>
          <w:p>
            <w:pPr>
              <w:pStyle w:val="Compact"/>
              <w:spacing w:after="40" w:before="40"/>
              <w:jc w:val="left"/>
            </w:pPr>
            <w:r>
              <w:rPr>
                <w:rFonts w:ascii="Cambria" w:hAnsi="Cambria" w:cs="Cambria" w:eastAsia="Cambria"/>
                <w:color w:val="1A1A1A"/>
                <w:sz w:val="18"/>
              </w:rPr>
              <w:t xml:space="preserve">0,20</w:t>
            </w:r>
          </w:p>
        </w:tc>
        <w:tc>
          <w:tcPr>
            <w:shd w:val="clear" w:color="auto" w:fill="F4F1EC"/>
          </w:tcPr>
          <w:p>
            <w:pPr>
              <w:pStyle w:val="Compact"/>
              <w:spacing w:after="40" w:before="40"/>
              <w:jc w:val="left"/>
            </w:pPr>
            <w:r>
              <w:rPr>
                <w:rFonts w:ascii="Cambria" w:hAnsi="Cambria" w:cs="Cambria" w:eastAsia="Cambria"/>
                <w:color w:val="1A1A1A"/>
                <w:sz w:val="18"/>
              </w:rPr>
              <w:t xml:space="preserve">78</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r>
      <w:tr>
        <w:tc>
          <w:tcPr/>
          <w:p>
            <w:pPr>
              <w:pStyle w:val="Compact"/>
              <w:spacing w:after="40" w:before="40"/>
              <w:jc w:val="left"/>
            </w:pPr>
            <w:r>
              <w:rPr>
                <w:rFonts w:ascii="Cambria" w:hAnsi="Cambria" w:cs="Cambria" w:eastAsia="Cambria"/>
                <w:color w:val="1A1A1A"/>
                <w:sz w:val="18"/>
              </w:rPr>
              <w:t xml:space="preserve">Impatto di bilancio e sostenibilità</w:t>
            </w:r>
          </w:p>
        </w:tc>
        <w:tc>
          <w:tcPr/>
          <w:p>
            <w:pPr>
              <w:pStyle w:val="Compact"/>
              <w:spacing w:after="40" w:before="40"/>
              <w:jc w:val="left"/>
            </w:pPr>
            <w:r>
              <w:rPr>
                <w:rFonts w:ascii="Cambria" w:hAnsi="Cambria" w:cs="Cambria" w:eastAsia="Cambria"/>
                <w:color w:val="1A1A1A"/>
                <w:sz w:val="18"/>
              </w:rPr>
              <w:t xml:space="preserve">0,15</w:t>
            </w:r>
          </w:p>
        </w:tc>
        <w:tc>
          <w:tcPr/>
          <w:p>
            <w:pPr>
              <w:pStyle w:val="Compact"/>
              <w:spacing w:after="40" w:before="40"/>
              <w:jc w:val="left"/>
            </w:pPr>
            <w:r>
              <w:rPr>
                <w:rFonts w:ascii="Cambria" w:hAnsi="Cambria" w:cs="Cambria" w:eastAsia="Cambria"/>
                <w:color w:val="1A1A1A"/>
                <w:sz w:val="18"/>
              </w:rPr>
              <w:t xml:space="preserve">70</w:t>
            </w:r>
          </w:p>
        </w:tc>
        <w:tc>
          <w:tcPr/>
          <w:p>
            <w:pPr>
              <w:pStyle w:val="Compact"/>
              <w:spacing w:after="40" w:before="40"/>
              <w:jc w:val="left"/>
            </w:pPr>
            <w:r>
              <w:rPr>
                <w:rFonts w:ascii="Cambria" w:hAnsi="Cambria" w:cs="Cambria" w:eastAsia="Cambria"/>
                <w:color w:val="1A1A1A"/>
                <w:sz w:val="18"/>
              </w:rPr>
              <w:t xml:space="preserve">45</w:t>
            </w:r>
          </w:p>
        </w:tc>
      </w:tr>
      <w:tr>
        <w:tc>
          <w:tcPr>
            <w:shd w:val="clear" w:color="auto" w:fill="F4F1EC"/>
          </w:tcPr>
          <w:p>
            <w:pPr>
              <w:pStyle w:val="Compact"/>
              <w:spacing w:after="40" w:before="40"/>
              <w:jc w:val="left"/>
            </w:pPr>
            <w:r>
              <w:rPr>
                <w:rFonts w:ascii="Cambria" w:hAnsi="Cambria" w:cs="Cambria" w:eastAsia="Cambria"/>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0,15</w:t>
            </w:r>
          </w:p>
        </w:tc>
        <w:tc>
          <w:tcPr>
            <w:shd w:val="clear" w:color="auto" w:fill="F4F1EC"/>
          </w:tcPr>
          <w:p>
            <w:pPr>
              <w:pStyle w:val="Compact"/>
              <w:spacing w:after="40" w:before="40"/>
              <w:jc w:val="left"/>
            </w:pPr>
            <w:r>
              <w:rPr>
                <w:rFonts w:ascii="Cambria" w:hAnsi="Cambria" w:cs="Cambria" w:eastAsia="Cambria"/>
                <w:color w:val="1A1A1A"/>
                <w:sz w:val="18"/>
              </w:rPr>
              <w:t xml:space="preserve">88</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r>
      <w:tr>
        <w:tc>
          <w:tcPr/>
          <w:p>
            <w:pPr>
              <w:pStyle w:val="Compact"/>
              <w:spacing w:after="40" w:before="40"/>
              <w:jc w:val="left"/>
            </w:pPr>
            <w:r>
              <w:rPr>
                <w:rFonts w:ascii="Cambria" w:hAnsi="Cambria" w:cs="Cambria" w:eastAsia="Cambria"/>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0,10</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color w:val="1A1A1A"/>
                <w:sz w:val="18"/>
              </w:rPr>
              <w:t xml:space="preserve">Fattibilità</w:t>
            </w:r>
          </w:p>
        </w:tc>
        <w:tc>
          <w:tcPr>
            <w:shd w:val="clear" w:color="auto" w:fill="F4F1EC"/>
          </w:tcPr>
          <w:p>
            <w:pPr>
              <w:pStyle w:val="Compact"/>
              <w:spacing w:after="40" w:before="40"/>
              <w:jc w:val="left"/>
            </w:pPr>
            <w:r>
              <w:rPr>
                <w:rFonts w:ascii="Cambria" w:hAnsi="Cambria" w:cs="Cambria" w:eastAsia="Cambria"/>
                <w:color w:val="1A1A1A"/>
                <w:sz w:val="18"/>
              </w:rPr>
              <w:t xml:space="preserve">0,10</w:t>
            </w:r>
          </w:p>
        </w:tc>
        <w:tc>
          <w:tcPr>
            <w:shd w:val="clear" w:color="auto" w:fill="F4F1EC"/>
          </w:tcPr>
          <w:p>
            <w:pPr>
              <w:pStyle w:val="Compact"/>
              <w:spacing w:after="40" w:before="40"/>
              <w:jc w:val="left"/>
            </w:pPr>
            <w:r>
              <w:rPr>
                <w:rFonts w:ascii="Cambria" w:hAnsi="Cambria" w:cs="Cambria" w:eastAsia="Cambria"/>
                <w:color w:val="1A1A1A"/>
                <w:sz w:val="18"/>
              </w:rPr>
              <w:t xml:space="preserve">62</w:t>
            </w:r>
          </w:p>
        </w:tc>
        <w:tc>
          <w:tcPr>
            <w:shd w:val="clear" w:color="auto" w:fill="F4F1EC"/>
          </w:tcPr>
          <w:p>
            <w:pPr>
              <w:pStyle w:val="Compact"/>
              <w:spacing w:after="40" w:before="40"/>
              <w:jc w:val="left"/>
            </w:pPr>
            <w:r>
              <w:rPr>
                <w:rFonts w:ascii="Cambria" w:hAnsi="Cambria" w:cs="Cambria" w:eastAsia="Cambria"/>
                <w:color w:val="1A1A1A"/>
                <w:sz w:val="18"/>
              </w:rPr>
              <w:t xml:space="preserve">80</w:t>
            </w:r>
          </w:p>
        </w:tc>
      </w:tr>
      <w:tr>
        <w:tc>
          <w:tcPr/>
          <w:p>
            <w:pPr>
              <w:pStyle w:val="Compact"/>
              <w:spacing w:after="40" w:before="40"/>
              <w:jc w:val="left"/>
            </w:pPr>
            <w:r>
              <w:rPr>
                <w:rFonts w:ascii="Cambria" w:hAnsi="Cambria" w:cs="Cambria" w:eastAsia="Cambria"/>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0,10</w:t>
            </w:r>
          </w:p>
        </w:tc>
        <w:tc>
          <w:tcPr/>
          <w:p>
            <w:pPr>
              <w:pStyle w:val="Compact"/>
              <w:spacing w:after="40" w:before="40"/>
              <w:jc w:val="left"/>
            </w:pPr>
            <w:r>
              <w:rPr>
                <w:rFonts w:ascii="Cambria" w:hAnsi="Cambria" w:cs="Cambria" w:eastAsia="Cambria"/>
                <w:color w:val="1A1A1A"/>
                <w:sz w:val="18"/>
              </w:rPr>
              <w:t xml:space="preserve">70</w:t>
            </w:r>
          </w:p>
        </w:tc>
        <w:tc>
          <w:tcPr/>
          <w:p>
            <w:pPr>
              <w:pStyle w:val="Compact"/>
              <w:spacing w:after="40" w:before="40"/>
              <w:jc w:val="left"/>
            </w:pPr>
            <w:r>
              <w:rPr>
                <w:rFonts w:ascii="Cambria" w:hAnsi="Cambria" w:cs="Cambria" w:eastAsia="Cambria"/>
                <w:color w:val="1A1A1A"/>
                <w:sz w:val="18"/>
              </w:rPr>
              <w:t xml:space="preserve">50</w:t>
            </w:r>
          </w:p>
        </w:tc>
      </w:tr>
      <w:tr>
        <w:tc>
          <w:tcPr>
            <w:shd w:val="clear" w:color="auto" w:fill="F4F1EC"/>
          </w:tcPr>
          <w:p>
            <w:pPr>
              <w:pStyle w:val="Compact"/>
              <w:spacing w:after="40" w:before="40"/>
              <w:jc w:val="left"/>
            </w:pPr>
            <w:r>
              <w:rPr>
                <w:rFonts w:ascii="Cambria" w:hAnsi="Cambria" w:cs="Cambria" w:eastAsia="Cambria"/>
                <w:color w:val="1A1A1A"/>
                <w:sz w:val="18"/>
              </w:rPr>
              <w:t xml:space="preserve">Coerenza strategica</w:t>
            </w:r>
          </w:p>
        </w:tc>
        <w:tc>
          <w:tcPr>
            <w:shd w:val="clear" w:color="auto" w:fill="F4F1EC"/>
          </w:tcPr>
          <w:p>
            <w:pPr>
              <w:pStyle w:val="Compact"/>
              <w:spacing w:after="40" w:before="40"/>
              <w:jc w:val="left"/>
            </w:pPr>
            <w:r>
              <w:rPr>
                <w:rFonts w:ascii="Cambria" w:hAnsi="Cambria" w:cs="Cambria" w:eastAsia="Cambria"/>
                <w:color w:val="1A1A1A"/>
                <w:sz w:val="18"/>
              </w:rPr>
              <w:t xml:space="preserve">0,05</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b/>
                <w:bCs/>
                <w:color w:val="1A1A1A"/>
                <w:sz w:val="18"/>
              </w:rPr>
              <w:t xml:space="preserve">1,00</w:t>
            </w:r>
          </w:p>
        </w:tc>
        <w:tc>
          <w:tcPr/>
          <w:p>
            <w:pPr>
              <w:pStyle w:val="Compact"/>
              <w:spacing w:after="40" w:before="40"/>
              <w:jc w:val="left"/>
            </w:pPr>
            <w:r>
              <w:rPr>
                <w:rFonts w:ascii="Cambria" w:hAnsi="Cambria" w:cs="Cambria" w:eastAsia="Cambria"/>
                <w:b/>
                <w:bCs/>
                <w:color w:val="1A1A1A"/>
                <w:sz w:val="18"/>
              </w:rPr>
              <w:t xml:space="preserve">76,75</w:t>
            </w:r>
          </w:p>
        </w:tc>
        <w:tc>
          <w:tcPr/>
          <w:p>
            <w:pPr>
              <w:pStyle w:val="Compact"/>
              <w:spacing w:after="40" w:before="40"/>
              <w:jc w:val="left"/>
            </w:pPr>
            <w:r>
              <w:rPr>
                <w:rFonts w:ascii="Cambria" w:hAnsi="Cambria" w:cs="Cambria" w:eastAsia="Cambria"/>
                <w:b/>
                <w:bCs/>
                <w:color w:val="1A1A1A"/>
                <w:sz w:val="18"/>
              </w:rPr>
              <w:t xml:space="preserve">36,50</w:t>
            </w:r>
          </w:p>
        </w:tc>
      </w:tr>
    </w:tbl>
    <w:p>
      <w:pPr>
        <w:pStyle w:val="BodyText"/>
      </w:pPr>
      <w:r>
        <w:rPr>
          <w:i/>
          <w:iCs/>
        </w:rPr>
        <w:t xml:space="preserve">Tabella M.1. Analisi multi-criterio: pesi, punteggi e punteggio complessivo ponderato delle due opzioni. I pesi sono invarianti nella serie regionale; i punteggi riflettono le condizioni specifiche della Basilicata.</w:t>
      </w:r>
    </w:p>
    <w:p>
      <w:pPr>
        <w:pStyle w:val="BodyText"/>
      </w:pPr>
      <w:r>
        <w:t xml:space="preserve">Il punteggio complessivo dell’intervento, pari a 76,75, supera nettamente quello del non intervento, pari a 36,50, con un differenziale di oltre quaranta punti. L’intervento prevale su tutti i criteri a eccezione della fattibilità, sul quale il non intervento ottiene un punteggio superiore in ragione della maggiore facilità di non agire: una constatazione attesa, che non inverte la valutazione complessiva, perché la minore fattibilità dell’intervento è ampiamente compensata dalla sua superiorità su tutti gli altri criteri, e in particolare sull’equità, sul valore sociale e sulla coerenza strategica, sui quali il divario è massimo. È significativo che il punteggio dell’intervento per la Basilicata, pur leggermente inferiore a quello di altre regioni della serie in ragione della minore fattibilità connessa alla fase anteriore all’istituzione e alle condizioni organizzative, resti largamente prevalente, e che il punteggio dell’equità sia fra i più elevati della serie, a riflettere l’acuità dei divari sociali e territoriali che il servizio è chiamato a ridurre. L’analisi multi-criterio conferma così, in forma sintetica e ponderata, la convergenza delle analisi di dominio verso una valutazione nettamente favorevole all’introduzione del servizio.</w:t>
      </w:r>
    </w:p>
    <w:bookmarkEnd w:id="3342"/>
    <w:bookmarkStart w:id="3343" w:name="Xb4d3a8a875b3d85df36e4fabf53b900fbdd719b"/>
    <w:p>
      <w:pPr>
        <w:pStyle w:val="Heading3"/>
      </w:pPr>
      <w:r>
        <w:t xml:space="preserve">M.3 La raccomandazione e il dimensionamento</w:t>
      </w:r>
    </w:p>
    <w:p>
      <w:pPr>
        <w:pStyle w:val="FirstParagraph"/>
      </w:pPr>
      <w:r>
        <w:t xml:space="preserve">Sulla base delle analisi condotte e della loro sintesi, lo studio raccomanda l’introduzione del servizio di psicologia di base in Basilicata. La raccomandazione è fondata sulla convergenza delle evidenze: un bisogno ampio e inevaso, accentuato dalle condizioni demografiche, territoriali e di sottofinanziamento della regione; un’efficacia clinica documentata; un saldo diretto per il bilancio prossimo al pareggio e un ritorno sociale elevato; una capacità di ridurre le disuguaglianze che costituisce una delle ragioni principali dell’intervento; un contributo alla riduzione dell’emigrazione sanitaria, che è una delle criticità dichiarate del sistema regionale; e una fattibilità reale, condizionata al rispetto dei limiti costituzionali e a un dispiegamento graduale calibrato sulla capacità regionale. La raccomandazione si rivolge al legislatore regionale, cui spetta la decisione di istituire il servizio, e alla Giunta, cui spetta la sua progettazione e attuazione.</w:t>
      </w:r>
    </w:p>
    <w:p>
      <w:pPr>
        <w:pStyle w:val="BodyText"/>
      </w:pPr>
      <w:r>
        <w:t xml:space="preserve">Quanto al dimensionamento, lo studio raccomanda un dispiegamento graduale, articolato nelle fasi descritte nella Parte I. La raccomandazione è di avviare il servizio con un dimensionamento iniziale contenuto, corrispondente allo scenario minimo di circa 40 incarichi, sostenibile per il bilancio e per la capacità organizzativa regionale, collocato prioritariamente nelle aree a maggiore bisogno e accompagnato dalla costruzione della governance, del sistema informativo e dei percorsi formativi; di consolidare ed estendere il servizio verso lo scenario intermedio di circa 80 incarichi sulla base degli esiti rilevati; e di portarlo alla piena attuazione, corrispondente a circa 120 incarichi, garantendo la capillarità che la dispersione lucana richiede e il pieno dispiegamento della telepsicologia verso le aree interne. Questo percorso graduale è la traduzione operativa della raccomandazione, e ne costituisce la modalità più prudente e più coerente con le condizioni della regione: esso consente di avviare il servizio con un impegno sostenibile, di verificarne gli esiti sul campo e di accrescerne la portata in modo governato e fondato sull’evidenza.</w:t>
      </w:r>
    </w:p>
    <w:bookmarkEnd w:id="3343"/>
    <w:bookmarkStart w:id="3344" w:name="m.4-le-condizioni-e-la-lacuna-1"/>
    <w:p>
      <w:pPr>
        <w:pStyle w:val="Heading3"/>
      </w:pPr>
      <w:r>
        <w:t xml:space="preserve">M.4 Le condizioni e la lacuna</w:t>
      </w:r>
    </w:p>
    <w:p>
      <w:pPr>
        <w:pStyle w:val="FirstParagraph"/>
      </w:pPr>
      <w:r>
        <w:t xml:space="preserve">La raccomandazione è subordinata ad alcune condizioni, già emerse nelle parti precedenti e qui ricomposte. La prima condizione è giuridica: la legge regionale istitutiva del servizio deve conformarsi ai limiti definiti dalla giurisprudenza costituzionale, evitando di disciplinare autonomamente i rapporti convenzionali e valorizzando gli strumenti compatibili con l’ordinamento. La seconda condizione è di progettazione secondo equità: il servizio deve essere progettato con capillarità territoriale, ricorso strutturato alla telepsicologia, gratuità o basso costo per le fasce fragili e accesso diretto, così da raggiungere effettivamente i gruppi a maggiore bisogno e non riprodurre le disuguaglianze. La terza condizione è la gradualità del dispiegamento, calibrata sulla capacità finanziaria e organizzativa della regione. La quarta condizione è l’investimento nella formazione e negli strumenti informativi e digitali, che sono il presupposto della qualità e della sostenibilità del servizio. La quinta condizione è l’inclusione, nella legge istitutiva, di una clausola valutativa che renda il servizio valutabile per disegno.</w:t>
      </w:r>
    </w:p>
    <w:p>
      <w:pPr>
        <w:pStyle w:val="BodyText"/>
      </w:pPr>
      <w:r>
        <w:t xml:space="preserve">La lacuna principale è conoscitiva, e riguarda la scarsità di dati regionali diretti. Le quantificazioni dello studio — la dimensione del bisogno, l’efficacia attesa, i risparmi diretti, in particolare per il canale della mobilità — sono fondate, in assenza di rilevazioni regionali, su stime prudenziali e su parametri derivati dalla letteratura e dal confronto interregionale. Questa lacuna non inficia la raccomandazione, che è fondata su evidenze solide quanto alla direzione e all’ordine di grandezza degli effetti, ma ne segna il limite: le stime quantitative sono da intendersi come stime centrali entro bande di incertezza, e non come valori certi. La lacuna è destinata a colmarsi attraverso l’attività stessa del servizio, che, dotato del sistema informativo descritto nella Parte C e monitorato secondo l’impianto della Parte L, produce i dati che ne documentano gli esiti e che consentono di sostituire le stime con le osservazioni. La raccomandazione, in altri termini, è razionale alla luce dell’evidenza disponibile, e il servizio, una volta avviato, genera l’evidenza che ne consente la verifica e l’affinamento. La fase anteriore in cui si trova la Basilicata è, anche da questo punto di vista, un’opportunità: essa consente di costruire fin dall’origine un servizio dotato degli strumenti della valutazione, e di trasformare la lacuna conoscitiva in un programma di conoscenza progressiva.</w:t>
      </w:r>
    </w:p>
    <w:bookmarkEnd w:id="3344"/>
    <w:bookmarkStart w:id="3346" w:name="X5b64503d1a9d462fa4f1bf6737274a0cf33e993"/>
    <w:p>
      <w:pPr>
        <w:pStyle w:val="Heading3"/>
      </w:pPr>
      <w:r>
        <w:t xml:space="preserve">M.5 La collocazione nella serie e la conclusione</w:t>
      </w:r>
    </w:p>
    <w:p>
      <w:pPr>
        <w:pStyle w:val="FirstParagraph"/>
      </w:pPr>
      <w:r>
        <w:t xml:space="preserve">Lo studio della Basilicata fa parte di una serie di studi regionali costruiti con il medesimo impianto metodologico, così da consentire il confronto sistematico fra i contesti regionali e da fondare, sulla loro aggregazione, una valutazione di portata nazionale. Entro questa serie, la Basilicata occupa una posizione caratterizzata da alcuni tratti distintivi. È una delle regioni che si trovano nella fase anteriore all’istituzione del servizio, sicché la valutazione informa la decisione di introdurlo e non la gestione di un servizio esistente. È una regione che non è sottoposta a piano di rientro, ma che chiude i propri conti sanitari in equilibrio fragile, con un disavanzo coperto con risorse proprie, sicché la sostenibilità del servizio richiede prudenza e gradualità. È una regione segnata da un’emigrazione sanitaria di entità rilevante, che àncora il caso diretto al canale della mobilità e ne fa una delle ragioni economiche principali dell’intervento. Ed è una regione piccola, anziana e dispersa, con un sottofinanziamento documentato della salute mentale, in cui i divari sociali e territoriali sono particolarmente acuti e in cui l’equità costituisce la ragione preminente dell’intervento.</w:t>
      </w:r>
    </w:p>
    <w:p>
      <w:pPr>
        <w:pStyle w:val="BodyText"/>
      </w:pPr>
      <w:r>
        <w:t xml:space="preserve">La conclusione dello studio ricompone questi elementi nella tesi che lo attraversa. Il servizio di psicologia di base costa al bilancio sanitario regionale una cifra modesta, con un saldo diretto prossimo al pareggio e trascurabile nella scala del finanziamento regionale; restituisce alla collettività un valore dell’ordine di tre-cinque euro per ogni euro speso; risponde a un bisogno ampio e inevaso, accentuato dalle condizioni della regione; riduce le disuguaglianze sociali e territoriali; e contribuisce a trattenere nel sistema regionale prestazioni oggi erogate fuori regione. Per una regione che deve ancora decidere se istituire il servizio, e che dispone dell’opportunità di costruirlo fin dall’origine in conformità ai limiti costituzionali e dotato degli strumenti della valutazione, le evidenze raccolte convergono in una indicazione netta: l’introduzione del servizio, progettata secondo le condizioni indicate e attuata attraverso un dispiegamento graduale, è una scelta razionale, sostenibile e di elevato rendimento collettivo. L’analisi multi-criterio, che assegna all’intervento un punteggio di 76,75 contro 36,50 del non intervento, ne è la sintesi quantitativa; le analisi di dominio ne sono il fondamento; e il bisogno documentato della popolazione lucana ne è la ragione.</w:t>
      </w:r>
      <w:r>
        <w:rPr>
          <w:rStyle w:val="FootnoteReference"/>
        </w:rPr>
        <w:footnoteReference w:id="3394"/>
      </w:r>
    </w:p>
    <w:bookmarkEnd w:id="3346"/>
    <w:bookmarkEnd w:id="3347"/>
    <w:bookmarkStart w:id="3351" w:name="Xa2ab494ad47e3e43f8b6faa92e9b67fa5103fe2"/>
    <w:p>
      <w:pPr>
        <w:pStyle w:val="Heading2"/>
      </w:pPr>
      <w:r>
        <w:t xml:space="preserve">Appendice A — Il caso di riferimento e i parametri del modello</w:t>
      </w:r>
    </w:p>
    <w:p>
      <w:pPr>
        <w:pStyle w:val="FirstParagraph"/>
      </w:pPr>
      <w:r>
        <w:t xml:space="preserve">Questa appendice raccoglie il materiale tecnico su cui si fonda la quantificazione economica dello studio: il caso di riferimento, i parametri del modello di Markov e il quadro economico consolidato per la Basilicata. Essa rende esplicite le basi delle stime presentate nelle Parti E ed F, così da consentirne la verifica e la riproduzione.</w:t>
      </w:r>
    </w:p>
    <w:bookmarkStart w:id="3348" w:name="a.1-il-caso-di-riferimento-2"/>
    <w:p>
      <w:pPr>
        <w:pStyle w:val="Heading3"/>
      </w:pPr>
      <w:r>
        <w:t xml:space="preserve">A.1 Il caso di riferimento</w:t>
      </w:r>
    </w:p>
    <w:p>
      <w:pPr>
        <w:pStyle w:val="FirstParagraph"/>
      </w:pPr>
      <w:r>
        <w:t xml:space="preserve">Il caso di riferimento è un paziente adulto residente in Basilicata con un disturbo d’ansia o dell’umore di intensità lieve o moderata, che accede al servizio di psicologia di base e riceve un ciclo di interventi psicologici brevi di efficacia documentata. Su questo caso è costruita la stima degli esiti clinici ed economici per paziente, successivamente proiettata sulla popolazione attraverso gli scenari di copertura. Il caso è rappresentativo della larga maggioranza della domanda che il servizio è chiamato a trattare al primo livello, ed è coerente con le condizioni per le quali l’efficacia degli interventi psicologici brevi è meglio documentata.</w:t>
      </w:r>
    </w:p>
    <w:bookmarkEnd w:id="3348"/>
    <w:bookmarkStart w:id="3349" w:name="a.2-i-parametri-del-modello-di-markov-2"/>
    <w:p>
      <w:pPr>
        <w:pStyle w:val="Heading3"/>
      </w:pPr>
      <w:r>
        <w:t xml:space="preserve">A.2 I parametri del modello di Markov</w:t>
      </w:r>
    </w:p>
    <w:p>
      <w:pPr>
        <w:pStyle w:val="FirstParagraph"/>
      </w:pPr>
      <w:r>
        <w:t xml:space="preserve">Il modello di Markov rappresenta il decorso del paziente attraverso tre stati di salute — la condizione di disagio in atto, la condizione di recupero e la condizione di cronicizzazione — fra i quali il paziente transita nel tempo con probabilità derivate dalla letteratura sull’efficacia degli interventi psicologici. Il modello confronta il percorso di un paziente trattato dal servizio con quello di un paziente non trattato, lungo un orizzonte di cinque anni, con un tasso di sconto del 3 per cento e una soglia di disponibilità a pagare di 30.000 euro per anno di vita ponderato per la qualità.</w:t>
      </w:r>
    </w:p>
    <w:tbl>
      <w:tblPr>
        <w:tblStyle w:val="Table"/>
        <w:tblW w:type="pct" w:w="488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379"/>
        <w:gridCol w:w="3354"/>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color w:val="FFFFFF"/>
                <w:sz w:val="18"/>
              </w:rPr>
              <w:t xml:space="preserve">Valore</w:t>
            </w:r>
          </w:p>
        </w:tc>
      </w:tr>
      <w:tr>
        <w:tc>
          <w:tcPr/>
          <w:p>
            <w:pPr>
              <w:pStyle w:val="Compact"/>
              <w:spacing w:after="40" w:before="40"/>
              <w:jc w:val="left"/>
            </w:pPr>
            <w:r>
              <w:rPr>
                <w:rFonts w:ascii="Cambria" w:hAnsi="Cambria" w:cs="Cambria" w:eastAsia="Cambria"/>
                <w:color w:val="1A1A1A"/>
                <w:sz w:val="18"/>
              </w:rPr>
              <w:t xml:space="preserve">Orizzonte temporale</w:t>
            </w:r>
          </w:p>
        </w:tc>
        <w:tc>
          <w:tcPr/>
          <w:p>
            <w:pPr>
              <w:pStyle w:val="Compact"/>
              <w:spacing w:after="40" w:before="40"/>
              <w:jc w:val="left"/>
            </w:pPr>
            <w:r>
              <w:rPr>
                <w:rFonts w:ascii="Cambria" w:hAnsi="Cambria" w:cs="Cambria" w:eastAsia="Cambria"/>
                <w:color w:val="1A1A1A"/>
                <w:sz w:val="18"/>
              </w:rPr>
              <w:t xml:space="preserve">5 anni</w:t>
            </w:r>
          </w:p>
        </w:tc>
      </w:tr>
      <w:tr>
        <w:tc>
          <w:tcPr>
            <w:shd w:val="clear" w:color="auto" w:fill="F4F1EC"/>
          </w:tcPr>
          <w:p>
            <w:pPr>
              <w:pStyle w:val="Compact"/>
              <w:spacing w:after="40" w:before="40"/>
              <w:jc w:val="left"/>
            </w:pPr>
            <w:r>
              <w:rPr>
                <w:rFonts w:ascii="Cambria" w:hAnsi="Cambria" w:cs="Cambria" w:eastAsia="Cambria"/>
                <w:color w:val="1A1A1A"/>
                <w:sz w:val="18"/>
              </w:rPr>
              <w:t xml:space="preserve">Tasso di sconto</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r>
      <w:tr>
        <w:tc>
          <w:tcPr/>
          <w:p>
            <w:pPr>
              <w:pStyle w:val="Compact"/>
              <w:spacing w:after="40" w:before="40"/>
              <w:jc w:val="left"/>
            </w:pPr>
            <w:r>
              <w:rPr>
                <w:rFonts w:ascii="Cambria" w:hAnsi="Cambria" w:cs="Cambria" w:eastAsia="Cambria"/>
                <w:color w:val="1A1A1A"/>
                <w:sz w:val="18"/>
              </w:rPr>
              <w:t xml:space="preserve">Soglia di disponibilità a pagare</w:t>
            </w:r>
          </w:p>
        </w:tc>
        <w:tc>
          <w:tcPr/>
          <w:p>
            <w:pPr>
              <w:pStyle w:val="Compact"/>
              <w:spacing w:after="40" w:before="40"/>
              <w:jc w:val="left"/>
            </w:pPr>
            <w:r>
              <w:rPr>
                <w:rFonts w:ascii="Cambria" w:hAnsi="Cambria" w:cs="Cambria" w:eastAsia="Cambria"/>
                <w:color w:val="1A1A1A"/>
                <w:sz w:val="18"/>
              </w:rPr>
              <w:t xml:space="preserve">30.000 €/QALY</w:t>
            </w:r>
          </w:p>
        </w:tc>
      </w:tr>
      <w:tr>
        <w:tc>
          <w:tcPr>
            <w:shd w:val="clear" w:color="auto" w:fill="F4F1EC"/>
          </w:tcPr>
          <w:p>
            <w:pPr>
              <w:pStyle w:val="Compact"/>
              <w:spacing w:after="40" w:before="40"/>
              <w:jc w:val="left"/>
            </w:pPr>
            <w:r>
              <w:rPr>
                <w:rFonts w:ascii="Cambria" w:hAnsi="Cambria" w:cs="Cambria" w:eastAsia="Cambria"/>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r>
      <w:tr>
        <w:tc>
          <w:tcPr/>
          <w:p>
            <w:pPr>
              <w:pStyle w:val="Compact"/>
              <w:spacing w:after="40" w:before="40"/>
              <w:jc w:val="left"/>
            </w:pPr>
            <w:r>
              <w:rPr>
                <w:rFonts w:ascii="Cambria" w:hAnsi="Cambria" w:cs="Cambria" w:eastAsia="Cambria"/>
                <w:color w:val="1A1A1A"/>
                <w:sz w:val="18"/>
              </w:rPr>
              <w:t xml:space="preserve">Costo per ciclo — stato di recupero</w:t>
            </w:r>
          </w:p>
        </w:tc>
        <w:tc>
          <w:tcPr/>
          <w:p>
            <w:pPr>
              <w:pStyle w:val="Compact"/>
              <w:spacing w:after="40" w:before="40"/>
              <w:jc w:val="left"/>
            </w:pPr>
            <w:r>
              <w:rPr>
                <w:rFonts w:ascii="Cambria" w:hAnsi="Cambria" w:cs="Cambria" w:eastAsia="Cambria"/>
                <w:color w:val="1A1A1A"/>
                <w:sz w:val="18"/>
              </w:rPr>
              <w:t xml:space="preserve">~40 €</w:t>
            </w:r>
          </w:p>
        </w:tc>
      </w:tr>
      <w:tr>
        <w:tc>
          <w:tcPr>
            <w:shd w:val="clear" w:color="auto" w:fill="F4F1EC"/>
          </w:tcPr>
          <w:p>
            <w:pPr>
              <w:pStyle w:val="Compact"/>
              <w:spacing w:after="40" w:before="40"/>
              <w:jc w:val="left"/>
            </w:pPr>
            <w:r>
              <w:rPr>
                <w:rFonts w:ascii="Cambria" w:hAnsi="Cambria" w:cs="Cambria" w:eastAsia="Cambria"/>
                <w:color w:val="1A1A1A"/>
                <w:sz w:val="18"/>
              </w:rPr>
              <w:t xml:space="preserve">Costo per ciclo — stato di cronicizzazione</w:t>
            </w:r>
          </w:p>
        </w:tc>
        <w:tc>
          <w:tcPr>
            <w:shd w:val="clear" w:color="auto" w:fill="F4F1EC"/>
          </w:tcPr>
          <w:p>
            <w:pPr>
              <w:pStyle w:val="Compact"/>
              <w:spacing w:after="40" w:before="40"/>
              <w:jc w:val="left"/>
            </w:pPr>
            <w:r>
              <w:rPr>
                <w:rFonts w:ascii="Cambria" w:hAnsi="Cambria" w:cs="Cambria" w:eastAsia="Cambria"/>
                <w:color w:val="1A1A1A"/>
                <w:sz w:val="18"/>
              </w:rPr>
              <w:t xml:space="preserve">~700 €</w:t>
            </w:r>
          </w:p>
        </w:tc>
      </w:tr>
      <w:tr>
        <w:tc>
          <w:tcPr/>
          <w:p>
            <w:pPr>
              <w:pStyle w:val="Compact"/>
              <w:spacing w:after="40" w:before="40"/>
              <w:jc w:val="left"/>
            </w:pPr>
            <w:r>
              <w:rPr>
                <w:rFonts w:ascii="Cambria" w:hAnsi="Cambria" w:cs="Cambria" w:eastAsia="Cambria"/>
                <w:color w:val="1A1A1A"/>
                <w:sz w:val="18"/>
              </w:rPr>
              <w:t xml:space="preserve">Risparmio diretto stimato per paziente</w:t>
            </w:r>
          </w:p>
        </w:tc>
        <w:tc>
          <w:tcPr/>
          <w:p>
            <w:pPr>
              <w:pStyle w:val="Compact"/>
              <w:spacing w:after="40" w:before="40"/>
              <w:jc w:val="left"/>
            </w:pPr>
            <w:r>
              <w:rPr>
                <w:rFonts w:ascii="Cambria" w:hAnsi="Cambria" w:cs="Cambria" w:eastAsia="Cambria"/>
                <w:color w:val="1A1A1A"/>
                <w:sz w:val="18"/>
              </w:rPr>
              <w:t xml:space="preserve">~1.304 €</w:t>
            </w:r>
          </w:p>
        </w:tc>
      </w:tr>
      <w:tr>
        <w:tc>
          <w:tcPr>
            <w:shd w:val="clear" w:color="auto" w:fill="F4F1EC"/>
          </w:tcPr>
          <w:p>
            <w:pPr>
              <w:pStyle w:val="Compact"/>
              <w:spacing w:after="40" w:before="40"/>
              <w:jc w:val="left"/>
            </w:pPr>
            <w:r>
              <w:rPr>
                <w:rFonts w:ascii="Cambria" w:hAnsi="Cambria" w:cs="Cambria" w:eastAsia="Cambria"/>
                <w:color w:val="1A1A1A"/>
                <w:sz w:val="18"/>
              </w:rPr>
              <w:t xml:space="preserve">Guadagno di salute stimato per paziente</w:t>
            </w:r>
          </w:p>
        </w:tc>
        <w:tc>
          <w:tcPr>
            <w:shd w:val="clear" w:color="auto" w:fill="F4F1EC"/>
          </w:tcPr>
          <w:p>
            <w:pPr>
              <w:pStyle w:val="Compact"/>
              <w:spacing w:after="40" w:before="40"/>
              <w:jc w:val="left"/>
            </w:pPr>
            <w:r>
              <w:rPr>
                <w:rFonts w:ascii="Cambria" w:hAnsi="Cambria" w:cs="Cambria" w:eastAsia="Cambria"/>
                <w:color w:val="1A1A1A"/>
                <w:sz w:val="18"/>
              </w:rPr>
              <w:t xml:space="preserve">~0,236 QALY</w:t>
            </w:r>
          </w:p>
        </w:tc>
      </w:tr>
    </w:tbl>
    <w:p>
      <w:pPr>
        <w:pStyle w:val="BodyText"/>
      </w:pPr>
      <w:r>
        <w:rPr>
          <w:i/>
          <w:iCs/>
        </w:rPr>
        <w:t xml:space="preserve">Tabella A.1. Parametri principali del modello e risultati per paziente. I valori per paziente sono fondati sull’efficacia clinica documentata e sono invarianti rispetto al contesto regionale.</w:t>
      </w:r>
    </w:p>
    <w:p>
      <w:pPr>
        <w:pStyle w:val="BodyText"/>
      </w:pPr>
      <w:r>
        <w:t xml:space="preserve">L’analisi di sensibilità probabilistica, condotta con 10.000 simulazioni facendo variare simultaneamente tutti i parametri secondo le rispettive distribuzioni, documenta che alla soglia di 30.000 euro per anno di vita ponderato per la qualità l’intervento risulta costo-efficace nell’88,9 per cento delle simulazioni e dominante nell’84,6 per cento. Il beneficio netto monetario medio è dell’ordine di 7.815 euro per paziente, con un intervallo di confidenza al 95 per cento compreso fra circa −5.736 e +21.501 euro. L’ampiezza dell’intervallo, che include valori negativi, esprime l’incertezza residua; la concentrazione della distribuzione su valori largamente positivi ne documenta la robustezza.</w:t>
      </w:r>
    </w:p>
    <w:bookmarkEnd w:id="3349"/>
    <w:bookmarkStart w:id="3350" w:name="a.3-il-quadro-economico-consolidato-2"/>
    <w:p>
      <w:pPr>
        <w:pStyle w:val="Heading3"/>
      </w:pPr>
      <w:r>
        <w:t xml:space="preserve">A.3 Il quadro economico consolidato</w:t>
      </w:r>
    </w:p>
    <w:p>
      <w:pPr>
        <w:pStyle w:val="FirstParagraph"/>
      </w:pPr>
      <w:r>
        <w:t xml:space="preserve">Il quadro economico consolidato riassume le stime aggregate per la Basilicata, calibrate sulla popolazione regionale di circa 535.000 abitanti e sul fondo sanitario regionale di circa 1,1 miliardi di euro, e articolate nei tre scenari di dimensionamento.</w:t>
      </w:r>
    </w:p>
    <w:tbl>
      <w:tblPr>
        <w:tblStyle w:val="Table"/>
        <w:tblW w:type="pct" w:w="490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735"/>
        <w:gridCol w:w="1344"/>
        <w:gridCol w:w="1344"/>
        <w:gridCol w:w="1344"/>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Grandezza (mln €/anno)</w:t>
            </w:r>
          </w:p>
        </w:tc>
        <w:tc>
          <w:tcPr>
            <w:shd w:val="clear" w:color="auto" w:fill="16264B"/>
          </w:tcPr>
          <w:p>
            <w:pPr>
              <w:pStyle w:val="Compact"/>
              <w:spacing w:after="40" w:before="40"/>
              <w:jc w:val="left"/>
            </w:pPr>
            <w:r>
              <w:rPr>
                <w:rFonts w:ascii="Cambria" w:hAnsi="Cambria" w:cs="Cambria" w:eastAsia="Cambria"/>
                <w:b/>
                <w:color w:val="FFFFFF"/>
                <w:sz w:val="18"/>
              </w:rPr>
              <w:t xml:space="preserve">Minimo (40)</w:t>
            </w:r>
          </w:p>
        </w:tc>
        <w:tc>
          <w:tcPr>
            <w:shd w:val="clear" w:color="auto" w:fill="16264B"/>
          </w:tcPr>
          <w:p>
            <w:pPr>
              <w:pStyle w:val="Compact"/>
              <w:spacing w:after="40" w:before="40"/>
              <w:jc w:val="left"/>
            </w:pPr>
            <w:r>
              <w:rPr>
                <w:rFonts w:ascii="Cambria" w:hAnsi="Cambria" w:cs="Cambria" w:eastAsia="Cambria"/>
                <w:b/>
                <w:color w:val="FFFFFF"/>
                <w:sz w:val="18"/>
              </w:rPr>
              <w:t xml:space="preserve">Intermedio (80)</w:t>
            </w:r>
          </w:p>
        </w:tc>
        <w:tc>
          <w:tcPr>
            <w:shd w:val="clear" w:color="auto" w:fill="16264B"/>
          </w:tcPr>
          <w:p>
            <w:pPr>
              <w:pStyle w:val="Compact"/>
              <w:spacing w:after="40" w:before="40"/>
              <w:jc w:val="left"/>
            </w:pPr>
            <w:r>
              <w:rPr>
                <w:rFonts w:ascii="Cambria" w:hAnsi="Cambria" w:cs="Cambria" w:eastAsia="Cambria"/>
                <w:b/>
                <w:color w:val="FFFFFF"/>
                <w:sz w:val="18"/>
              </w:rPr>
              <w:t xml:space="preserve">Pieno (120)</w:t>
            </w:r>
          </w:p>
        </w:tc>
      </w:tr>
      <w:tr>
        <w:tc>
          <w:tcPr/>
          <w:p>
            <w:pPr>
              <w:pStyle w:val="Compact"/>
              <w:spacing w:after="40" w:before="40"/>
              <w:jc w:val="left"/>
            </w:pPr>
            <w:r>
              <w:rPr>
                <w:rFonts w:ascii="Cambria" w:hAnsi="Cambria" w:cs="Cambria" w:eastAsia="Cambria"/>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~2,5</w:t>
            </w:r>
          </w:p>
        </w:tc>
        <w:tc>
          <w:tcPr/>
          <w:p>
            <w:pPr>
              <w:pStyle w:val="Compact"/>
              <w:spacing w:after="40" w:before="40"/>
              <w:jc w:val="left"/>
            </w:pPr>
            <w:r>
              <w:rPr>
                <w:rFonts w:ascii="Cambria" w:hAnsi="Cambria" w:cs="Cambria" w:eastAsia="Cambria"/>
                <w:color w:val="1A1A1A"/>
                <w:sz w:val="18"/>
              </w:rPr>
              <w:t xml:space="preserve">~5,0</w:t>
            </w:r>
          </w:p>
        </w:tc>
        <w:tc>
          <w:tcPr/>
          <w:p>
            <w:pPr>
              <w:pStyle w:val="Compact"/>
              <w:spacing w:after="40" w:before="40"/>
              <w:jc w:val="left"/>
            </w:pPr>
            <w:r>
              <w:rPr>
                <w:rFonts w:ascii="Cambria" w:hAnsi="Cambria" w:cs="Cambria" w:eastAsia="Cambria"/>
                <w:color w:val="1A1A1A"/>
                <w:sz w:val="18"/>
              </w:rPr>
              <w:t xml:space="preserve">~7,5</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 diretti — 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~0,3</w:t>
            </w:r>
          </w:p>
        </w:tc>
        <w:tc>
          <w:tcPr>
            <w:shd w:val="clear" w:color="auto" w:fill="F4F1EC"/>
          </w:tcPr>
          <w:p>
            <w:pPr>
              <w:pStyle w:val="Compact"/>
              <w:spacing w:after="40" w:before="40"/>
              <w:jc w:val="left"/>
            </w:pPr>
            <w:r>
              <w:rPr>
                <w:rFonts w:ascii="Cambria" w:hAnsi="Cambria" w:cs="Cambria" w:eastAsia="Cambria"/>
                <w:color w:val="1A1A1A"/>
                <w:sz w:val="18"/>
              </w:rPr>
              <w:t xml:space="preserve">~0,5</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r>
      <w:tr>
        <w:tc>
          <w:tcPr/>
          <w:p>
            <w:pPr>
              <w:pStyle w:val="Compact"/>
              <w:spacing w:after="40" w:before="40"/>
              <w:jc w:val="left"/>
            </w:pPr>
            <w:r>
              <w:rPr>
                <w:rFonts w:ascii="Cambria" w:hAnsi="Cambria" w:cs="Cambria" w:eastAsia="Cambria"/>
                <w:color w:val="1A1A1A"/>
                <w:sz w:val="18"/>
              </w:rPr>
              <w:t xml:space="preserve">Risparmi diretti — farmaceutica</w:t>
            </w:r>
          </w:p>
        </w:tc>
        <w:tc>
          <w:tcPr/>
          <w:p>
            <w:pPr>
              <w:pStyle w:val="Compact"/>
              <w:spacing w:after="40" w:before="40"/>
              <w:jc w:val="left"/>
            </w:pPr>
            <w:r>
              <w:rPr>
                <w:rFonts w:ascii="Cambria" w:hAnsi="Cambria" w:cs="Cambria" w:eastAsia="Cambria"/>
                <w:color w:val="1A1A1A"/>
                <w:sz w:val="18"/>
              </w:rPr>
              <w:t xml:space="preserve">~0,3</w:t>
            </w:r>
          </w:p>
        </w:tc>
        <w:tc>
          <w:tcPr/>
          <w:p>
            <w:pPr>
              <w:pStyle w:val="Compact"/>
              <w:spacing w:after="40" w:before="40"/>
              <w:jc w:val="left"/>
            </w:pPr>
            <w:r>
              <w:rPr>
                <w:rFonts w:ascii="Cambria" w:hAnsi="Cambria" w:cs="Cambria" w:eastAsia="Cambria"/>
                <w:color w:val="1A1A1A"/>
                <w:sz w:val="18"/>
              </w:rPr>
              <w:t xml:space="preserve">~0,5</w:t>
            </w:r>
          </w:p>
        </w:tc>
        <w:tc>
          <w:tcPr/>
          <w:p>
            <w:pPr>
              <w:pStyle w:val="Compact"/>
              <w:spacing w:after="40" w:before="40"/>
              <w:jc w:val="left"/>
            </w:pPr>
            <w:r>
              <w:rPr>
                <w:rFonts w:ascii="Cambria" w:hAnsi="Cambria" w:cs="Cambria" w:eastAsia="Cambria"/>
                <w:color w:val="1A1A1A"/>
                <w:sz w:val="18"/>
              </w:rPr>
              <w:t xml:space="preserve">~1,0</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 diretti — ricoveri e specialistica</w:t>
            </w:r>
          </w:p>
        </w:tc>
        <w:tc>
          <w:tcPr>
            <w:shd w:val="clear" w:color="auto" w:fill="F4F1EC"/>
          </w:tcPr>
          <w:p>
            <w:pPr>
              <w:pStyle w:val="Compact"/>
              <w:spacing w:after="40" w:before="40"/>
              <w:jc w:val="left"/>
            </w:pPr>
            <w:r>
              <w:rPr>
                <w:rFonts w:ascii="Cambria" w:hAnsi="Cambria" w:cs="Cambria" w:eastAsia="Cambria"/>
                <w:color w:val="1A1A1A"/>
                <w:sz w:val="18"/>
              </w:rPr>
              <w:t xml:space="preserve">~0,7</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r>
      <w:tr>
        <w:tc>
          <w:tcPr/>
          <w:p>
            <w:pPr>
              <w:pStyle w:val="Compact"/>
              <w:spacing w:after="40" w:before="40"/>
              <w:jc w:val="left"/>
            </w:pPr>
            <w:r>
              <w:rPr>
                <w:rFonts w:ascii="Cambria" w:hAnsi="Cambria" w:cs="Cambria" w:eastAsia="Cambria"/>
                <w:color w:val="1A1A1A"/>
                <w:sz w:val="18"/>
              </w:rPr>
              <w:t xml:space="preserve">Risparmi diretti — mobilità sanitaria passiva</w:t>
            </w:r>
          </w:p>
        </w:tc>
        <w:tc>
          <w:tcPr/>
          <w:p>
            <w:pPr>
              <w:pStyle w:val="Compact"/>
              <w:spacing w:after="40" w:before="40"/>
              <w:jc w:val="left"/>
            </w:pPr>
            <w:r>
              <w:rPr>
                <w:rFonts w:ascii="Cambria" w:hAnsi="Cambria" w:cs="Cambria" w:eastAsia="Cambria"/>
                <w:color w:val="1A1A1A"/>
                <w:sz w:val="18"/>
              </w:rPr>
              <w:t xml:space="preserve">~0,7</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~3,0</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 diretti totali</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~4,5</w:t>
            </w:r>
          </w:p>
        </w:tc>
        <w:tc>
          <w:tcPr>
            <w:shd w:val="clear" w:color="auto" w:fill="F4F1EC"/>
          </w:tcPr>
          <w:p>
            <w:pPr>
              <w:pStyle w:val="Compact"/>
              <w:spacing w:after="40" w:before="40"/>
              <w:jc w:val="left"/>
            </w:pPr>
            <w:r>
              <w:rPr>
                <w:rFonts w:ascii="Cambria" w:hAnsi="Cambria" w:cs="Cambria" w:eastAsia="Cambria"/>
                <w:color w:val="1A1A1A"/>
                <w:sz w:val="18"/>
              </w:rPr>
              <w:t xml:space="preserve">~7,0</w:t>
            </w:r>
          </w:p>
        </w:tc>
      </w:tr>
      <w:tr>
        <w:tc>
          <w:tcPr/>
          <w:p>
            <w:pPr>
              <w:pStyle w:val="Compact"/>
              <w:spacing w:after="40" w:before="40"/>
              <w:jc w:val="left"/>
            </w:pPr>
            <w:r>
              <w:rPr>
                <w:rFonts w:ascii="Cambria" w:hAnsi="Cambria" w:cs="Cambria" w:eastAsia="Cambria"/>
                <w:color w:val="1A1A1A"/>
                <w:sz w:val="18"/>
              </w:rPr>
              <w:t xml:space="preserve">Saldo diretto — caso finanziario</w:t>
            </w:r>
          </w:p>
        </w:tc>
        <w:tc>
          <w:tcPr/>
          <w:p>
            <w:pPr>
              <w:pStyle w:val="Compact"/>
              <w:spacing w:after="40" w:before="40"/>
              <w:jc w:val="left"/>
            </w:pPr>
            <w:r>
              <w:rPr>
                <w:rFonts w:ascii="Cambria" w:hAnsi="Cambria" w:cs="Cambria" w:eastAsia="Cambria"/>
                <w:color w:val="1A1A1A"/>
                <w:sz w:val="18"/>
              </w:rPr>
              <w:t xml:space="preserve">~ −0,5</w:t>
            </w:r>
          </w:p>
        </w:tc>
        <w:tc>
          <w:tcPr/>
          <w:p>
            <w:pPr>
              <w:pStyle w:val="Compact"/>
              <w:spacing w:after="40" w:before="40"/>
              <w:jc w:val="left"/>
            </w:pPr>
            <w:r>
              <w:rPr>
                <w:rFonts w:ascii="Cambria" w:hAnsi="Cambria" w:cs="Cambria" w:eastAsia="Cambria"/>
                <w:color w:val="1A1A1A"/>
                <w:sz w:val="18"/>
              </w:rPr>
              <w:t xml:space="preserve">~ −0,5</w:t>
            </w:r>
          </w:p>
        </w:tc>
        <w:tc>
          <w:tcPr/>
          <w:p>
            <w:pPr>
              <w:pStyle w:val="Compact"/>
              <w:spacing w:after="40" w:before="40"/>
              <w:jc w:val="left"/>
            </w:pPr>
            <w:r>
              <w:rPr>
                <w:rFonts w:ascii="Cambria" w:hAnsi="Cambria" w:cs="Cambria" w:eastAsia="Cambria"/>
                <w:color w:val="1A1A1A"/>
                <w:sz w:val="18"/>
              </w:rPr>
              <w:t xml:space="preserve">~ −0,5</w:t>
            </w:r>
          </w:p>
        </w:tc>
      </w:tr>
      <w:tr>
        <w:tc>
          <w:tcPr>
            <w:shd w:val="clear" w:color="auto" w:fill="F4F1EC"/>
          </w:tcPr>
          <w:p>
            <w:pPr>
              <w:pStyle w:val="Compact"/>
              <w:spacing w:after="40" w:before="40"/>
              <w:jc w:val="left"/>
            </w:pPr>
            <w:r>
              <w:rPr>
                <w:rFonts w:ascii="Cambria" w:hAnsi="Cambria" w:cs="Cambria" w:eastAsia="Cambria"/>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~6,5</w:t>
            </w:r>
          </w:p>
        </w:tc>
        <w:tc>
          <w:tcPr>
            <w:shd w:val="clear" w:color="auto" w:fill="F4F1EC"/>
          </w:tcPr>
          <w:p>
            <w:pPr>
              <w:pStyle w:val="Compact"/>
              <w:spacing w:after="40" w:before="40"/>
              <w:jc w:val="left"/>
            </w:pPr>
            <w:r>
              <w:rPr>
                <w:rFonts w:ascii="Cambria" w:hAnsi="Cambria" w:cs="Cambria" w:eastAsia="Cambria"/>
                <w:color w:val="1A1A1A"/>
                <w:sz w:val="18"/>
              </w:rPr>
              <w:t xml:space="preserve">~15,0</w:t>
            </w:r>
          </w:p>
        </w:tc>
        <w:tc>
          <w:tcPr>
            <w:shd w:val="clear" w:color="auto" w:fill="F4F1EC"/>
          </w:tcPr>
          <w:p>
            <w:pPr>
              <w:pStyle w:val="Compact"/>
              <w:spacing w:after="40" w:before="40"/>
              <w:jc w:val="left"/>
            </w:pPr>
            <w:r>
              <w:rPr>
                <w:rFonts w:ascii="Cambria" w:hAnsi="Cambria" w:cs="Cambria" w:eastAsia="Cambria"/>
                <w:color w:val="1A1A1A"/>
                <w:sz w:val="18"/>
              </w:rPr>
              <w:t xml:space="preserve">~28,0</w:t>
            </w:r>
          </w:p>
        </w:tc>
      </w:tr>
      <w:tr>
        <w:tc>
          <w:tcPr/>
          <w:p>
            <w:pPr>
              <w:pStyle w:val="Compact"/>
              <w:spacing w:after="40" w:before="40"/>
              <w:jc w:val="left"/>
            </w:pPr>
            <w:r>
              <w:rPr>
                <w:rFonts w:ascii="Cambria" w:hAnsi="Cambria" w:cs="Cambria" w:eastAsia="Cambria"/>
                <w:color w:val="1A1A1A"/>
                <w:sz w:val="18"/>
              </w:rPr>
              <w:t xml:space="preserve">Ritorno complessivo per la collettività</w:t>
            </w:r>
          </w:p>
        </w:tc>
        <w:tc>
          <w:tcPr/>
          <w:p>
            <w:pPr>
              <w:pStyle w:val="Compact"/>
              <w:spacing w:after="40" w:before="40"/>
              <w:jc w:val="left"/>
            </w:pPr>
            <w:r>
              <w:rPr>
                <w:rFonts w:ascii="Cambria" w:hAnsi="Cambria" w:cs="Cambria" w:eastAsia="Cambria"/>
                <w:color w:val="1A1A1A"/>
                <w:sz w:val="18"/>
              </w:rPr>
              <w:t xml:space="preserve">~8,5</w:t>
            </w:r>
          </w:p>
        </w:tc>
        <w:tc>
          <w:tcPr/>
          <w:p>
            <w:pPr>
              <w:pStyle w:val="Compact"/>
              <w:spacing w:after="40" w:before="40"/>
              <w:jc w:val="left"/>
            </w:pPr>
            <w:r>
              <w:rPr>
                <w:rFonts w:ascii="Cambria" w:hAnsi="Cambria" w:cs="Cambria" w:eastAsia="Cambria"/>
                <w:color w:val="1A1A1A"/>
                <w:sz w:val="18"/>
              </w:rPr>
              <w:t xml:space="preserve">~19,5</w:t>
            </w:r>
          </w:p>
        </w:tc>
        <w:tc>
          <w:tcPr/>
          <w:p>
            <w:pPr>
              <w:pStyle w:val="Compact"/>
              <w:spacing w:after="40" w:before="40"/>
              <w:jc w:val="left"/>
            </w:pPr>
            <w:r>
              <w:rPr>
                <w:rFonts w:ascii="Cambria" w:hAnsi="Cambria" w:cs="Cambria" w:eastAsia="Cambria"/>
                <w:color w:val="1A1A1A"/>
                <w:sz w:val="18"/>
              </w:rPr>
              <w:t xml:space="preserve">~35,0</w:t>
            </w:r>
          </w:p>
        </w:tc>
      </w:tr>
      <w:tr>
        <w:tc>
          <w:tcPr>
            <w:shd w:val="clear" w:color="auto" w:fill="F4F1EC"/>
          </w:tcPr>
          <w:p>
            <w:pPr>
              <w:pStyle w:val="Compact"/>
              <w:spacing w:after="40" w:before="40"/>
              <w:jc w:val="left"/>
            </w:pPr>
            <w:r>
              <w:rPr>
                <w:rFonts w:ascii="Cambria" w:hAnsi="Cambria" w:cs="Cambria" w:eastAsia="Cambria"/>
                <w:color w:val="1A1A1A"/>
                <w:sz w:val="18"/>
              </w:rPr>
              <w:t xml:space="preserve">Saldo complessivo —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 +6,0</w:t>
            </w:r>
          </w:p>
        </w:tc>
        <w:tc>
          <w:tcPr>
            <w:shd w:val="clear" w:color="auto" w:fill="F4F1EC"/>
          </w:tcPr>
          <w:p>
            <w:pPr>
              <w:pStyle w:val="Compact"/>
              <w:spacing w:after="40" w:before="40"/>
              <w:jc w:val="left"/>
            </w:pPr>
            <w:r>
              <w:rPr>
                <w:rFonts w:ascii="Cambria" w:hAnsi="Cambria" w:cs="Cambria" w:eastAsia="Cambria"/>
                <w:color w:val="1A1A1A"/>
                <w:sz w:val="18"/>
              </w:rPr>
              <w:t xml:space="preserve">~ +14,5</w:t>
            </w:r>
          </w:p>
        </w:tc>
        <w:tc>
          <w:tcPr>
            <w:shd w:val="clear" w:color="auto" w:fill="F4F1EC"/>
          </w:tcPr>
          <w:p>
            <w:pPr>
              <w:pStyle w:val="Compact"/>
              <w:spacing w:after="40" w:before="40"/>
              <w:jc w:val="left"/>
            </w:pPr>
            <w:r>
              <w:rPr>
                <w:rFonts w:ascii="Cambria" w:hAnsi="Cambria" w:cs="Cambria" w:eastAsia="Cambria"/>
                <w:color w:val="1A1A1A"/>
                <w:sz w:val="18"/>
              </w:rPr>
              <w:t xml:space="preserve">~ +27,5</w:t>
            </w:r>
          </w:p>
        </w:tc>
      </w:tr>
      <w:tr>
        <w:tc>
          <w:tcPr/>
          <w:p>
            <w:pPr>
              <w:pStyle w:val="Compact"/>
              <w:spacing w:after="40" w:before="40"/>
              <w:jc w:val="left"/>
            </w:pPr>
            <w:r>
              <w:rPr>
                <w:rFonts w:ascii="Cambria" w:hAnsi="Cambria" w:cs="Cambria" w:eastAsia="Cambria"/>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~3,4 : 1</w:t>
            </w:r>
          </w:p>
        </w:tc>
        <w:tc>
          <w:tcPr/>
          <w:p>
            <w:pPr>
              <w:pStyle w:val="Compact"/>
              <w:spacing w:after="40" w:before="40"/>
              <w:jc w:val="left"/>
            </w:pPr>
            <w:r>
              <w:rPr>
                <w:rFonts w:ascii="Cambria" w:hAnsi="Cambria" w:cs="Cambria" w:eastAsia="Cambria"/>
                <w:color w:val="1A1A1A"/>
                <w:sz w:val="18"/>
              </w:rPr>
              <w:t xml:space="preserve">~3,9 : 1</w:t>
            </w:r>
          </w:p>
        </w:tc>
        <w:tc>
          <w:tcPr/>
          <w:p>
            <w:pPr>
              <w:pStyle w:val="Compact"/>
              <w:spacing w:after="40" w:before="40"/>
              <w:jc w:val="left"/>
            </w:pPr>
            <w:r>
              <w:rPr>
                <w:rFonts w:ascii="Cambria" w:hAnsi="Cambria" w:cs="Cambria" w:eastAsia="Cambria"/>
                <w:color w:val="1A1A1A"/>
                <w:sz w:val="18"/>
              </w:rPr>
              <w:t xml:space="preserve">~4,7 : 1</w:t>
            </w:r>
          </w:p>
        </w:tc>
      </w:tr>
    </w:tbl>
    <w:p>
      <w:pPr>
        <w:pStyle w:val="BodyText"/>
      </w:pPr>
      <w:r>
        <w:rPr>
          <w:i/>
          <w:iCs/>
        </w:rPr>
        <w:t xml:space="preserve">Tabella A.2. Quadro economico consolidato per scenario. I risparmi diretti per il bilancio e le ricadute sociali per la collettività sono grandezze distinte e non sono mai sommate in un unico saldo di bilancio. Il rapporto beneficio-costo è riferito al valore per la collettività ed è contenuto entro la fascia metodologicamente fondata di 3,3–5,7 a uno.</w:t>
      </w:r>
    </w:p>
    <w:bookmarkEnd w:id="3350"/>
    <w:bookmarkEnd w:id="3351"/>
    <w:bookmarkStart w:id="3354" w:name="X1f8943b159af27e6d2ab63b320a4a38627b1bd1"/>
    <w:p>
      <w:pPr>
        <w:pStyle w:val="Heading2"/>
      </w:pPr>
      <w:r>
        <w:t xml:space="preserve">Appendice B — Gli strumenti di misurazione degli esiti e il dataset minimo</w:t>
      </w:r>
    </w:p>
    <w:p>
      <w:pPr>
        <w:pStyle w:val="FirstParagraph"/>
      </w:pPr>
      <w:r>
        <w:t xml:space="preserve">Questa appendice definisce gli strumenti per la misurazione degli esiti clinici e il dataset minimo da rilevare per ogni accesso e per ogni percorso, che costituiscono la base del sistema informativo e del monitoraggio descritti nelle Parti C ed L.</w:t>
      </w:r>
    </w:p>
    <w:bookmarkStart w:id="3352" w:name="X59d15de4202ddbad857c42c114c4b1724c0b559"/>
    <w:p>
      <w:pPr>
        <w:pStyle w:val="Heading3"/>
      </w:pPr>
      <w:r>
        <w:t xml:space="preserve">B.1 Gli strumenti di misurazione degli esiti</w:t>
      </w:r>
    </w:p>
    <w:p>
      <w:pPr>
        <w:pStyle w:val="FirstParagraph"/>
      </w:pPr>
      <w:r>
        <w:t xml:space="preserve">La misurazione degli esiti clinici si fonda su strumenti standardizzati e validati, somministrati all’inizio e al termine della presa in carico, che consentono di documentare la riduzione della sintomatologia e di confrontare gli esiti in modo riproducibile. Per la sintomatologia depressiva e ansiosa, che costituisce la quota prevalente del disagio comune, sono disponibili strumenti brevi e validati di autovalutazione, di agevole somministrazione anche in contesti di cure primarie e compatibili con la rilevazione a distanza. A questi si affiancano strumenti per la valutazione del funzionamento e della qualità della vita, che consentono di documentare l’effetto dell’intervento non solo sui sintomi ma anche sulla capacità della persona di funzionare nei contesti di vita. La scelta degli strumenti deve privilegiare la brevità, la validità, la sensibilità al cambiamento e la sostenibilità della somministrazione, e deve essere uniforme fra le due aziende sanitarie, così da consentire il confronto e l’aggregazione dei dati. L’uniformità degli strumenti con quelli adottati dalle altre regioni della serie consente inoltre il confronto interregionale.</w:t>
      </w:r>
    </w:p>
    <w:bookmarkEnd w:id="3352"/>
    <w:bookmarkStart w:id="3353" w:name="b.2-il-dataset-minimo-1"/>
    <w:p>
      <w:pPr>
        <w:pStyle w:val="Heading3"/>
      </w:pPr>
      <w:r>
        <w:t xml:space="preserve">B.2 Il dataset minimo</w:t>
      </w:r>
    </w:p>
    <w:p>
      <w:pPr>
        <w:pStyle w:val="FirstParagraph"/>
      </w:pPr>
      <w:r>
        <w:t xml:space="preserve">Il dataset minimo è l’insieme delle variabili da rilevare per ogni accesso e per ogni percorso, costruito in modo da essere sufficiente per la valutazione e sostenibile per gli operatori. Esso comprende le variabili anagrafiche e di contesto necessarie all’analisi dell’equità — l’età, il genere, la condizione sociale e occupazionale, il comune di residenza e la sua collocazione fra polo e area interna — rilevate nel rispetto della normativa sulla protezione dei dati; le variabili relative all’accesso — la modalità di accesso, diretta o su invio, e il soggetto inviante; le variabili relative al percorso — il tipo e il numero di prestazioni, la durata, l’uso della telepsicologia, l’esito del percorso e l’eventuale invio ai servizi specialistici; e le variabili relative agli esiti — i punteggi degli strumenti di misurazione all’inizio e al termine della presa in carico. La rilevazione di queste variabili, alimentando contestualmente la gestione e la valutazione, è la condizione perché il monitoraggio descritto nella Parte L sia possibile e perché le stime dello studio possano essere sostituite, nel tempo, da osservazioni dirette. La disaggregazione delle variabili per collocazione territoriale e per condizione sociale è essenziale per la verifica degli obiettivi di equità, che in Basilicata costituiscono una delle ragioni principali dell’intervento.</w:t>
      </w:r>
    </w:p>
    <w:bookmarkEnd w:id="3353"/>
    <w:bookmarkEnd w:id="3354"/>
    <w:bookmarkStart w:id="3357" w:name="X366a626c218133240f659c7c332e4f28bfb77ea"/>
    <w:p>
      <w:pPr>
        <w:pStyle w:val="Heading2"/>
      </w:pPr>
      <w:r>
        <w:t xml:space="preserve">Appendice C — I dati regionali e i dati da acquisire</w:t>
      </w:r>
    </w:p>
    <w:p>
      <w:pPr>
        <w:pStyle w:val="FirstParagraph"/>
      </w:pPr>
      <w:r>
        <w:t xml:space="preserve">Questa appendice raccoglie i principali dati regionali utilizzati nello studio e indica i dati che dovrebbero essere acquisiti per sostituire le stime con misure dirette.</w:t>
      </w:r>
    </w:p>
    <w:bookmarkStart w:id="3355" w:name="c.1-i-dati-regionali-1"/>
    <w:p>
      <w:pPr>
        <w:pStyle w:val="Heading3"/>
      </w:pPr>
      <w:r>
        <w:t xml:space="preserve">C.1 I dati regionali</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2"/>
        <w:gridCol w:w="5091"/>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Ambito</w:t>
            </w:r>
          </w:p>
        </w:tc>
        <w:tc>
          <w:tcPr>
            <w:shd w:val="clear" w:color="auto" w:fill="16264B"/>
          </w:tcPr>
          <w:p>
            <w:pPr>
              <w:pStyle w:val="Compact"/>
              <w:spacing w:after="40" w:before="40"/>
              <w:jc w:val="left"/>
            </w:pPr>
            <w:r>
              <w:rPr>
                <w:rFonts w:ascii="Cambria" w:hAnsi="Cambria" w:cs="Cambria" w:eastAsia="Cambria"/>
                <w:b/>
                <w:color w:val="FFFFFF"/>
                <w:sz w:val="18"/>
              </w:rPr>
              <w:t xml:space="preserve">Dato</w:t>
            </w:r>
          </w:p>
        </w:tc>
      </w:tr>
      <w:tr>
        <w:tc>
          <w:tcPr/>
          <w:p>
            <w:pPr>
              <w:pStyle w:val="Compact"/>
              <w:spacing w:after="40" w:before="40"/>
              <w:jc w:val="left"/>
            </w:pPr>
            <w:r>
              <w:rPr>
                <w:rFonts w:ascii="Cambria" w:hAnsi="Cambria" w:cs="Cambria" w:eastAsia="Cambria"/>
                <w:color w:val="1A1A1A"/>
                <w:sz w:val="18"/>
              </w:rPr>
              <w:t xml:space="preserve">Popolazione residente</w:t>
            </w:r>
          </w:p>
        </w:tc>
        <w:tc>
          <w:tcPr/>
          <w:p>
            <w:pPr>
              <w:pStyle w:val="Compact"/>
              <w:spacing w:after="40" w:before="40"/>
              <w:jc w:val="left"/>
            </w:pPr>
            <w:r>
              <w:rPr>
                <w:rFonts w:ascii="Cambria" w:hAnsi="Cambria" w:cs="Cambria" w:eastAsia="Cambria"/>
                <w:color w:val="1A1A1A"/>
                <w:sz w:val="18"/>
              </w:rPr>
              <w:t xml:space="preserve">~535.000 abitanti, in calo da 541.168 del 2021</w:t>
            </w:r>
          </w:p>
        </w:tc>
      </w:tr>
      <w:tr>
        <w:tc>
          <w:tcPr>
            <w:shd w:val="clear" w:color="auto" w:fill="F4F1EC"/>
          </w:tcPr>
          <w:p>
            <w:pPr>
              <w:pStyle w:val="Compact"/>
              <w:spacing w:after="40" w:before="40"/>
              <w:jc w:val="left"/>
            </w:pPr>
            <w:r>
              <w:rPr>
                <w:rFonts w:ascii="Cambria" w:hAnsi="Cambria" w:cs="Cambria" w:eastAsia="Cambria"/>
                <w:color w:val="1A1A1A"/>
                <w:sz w:val="18"/>
              </w:rPr>
              <w:t xml:space="preserve">Età media</w:t>
            </w:r>
          </w:p>
        </w:tc>
        <w:tc>
          <w:tcPr>
            <w:shd w:val="clear" w:color="auto" w:fill="F4F1EC"/>
          </w:tcPr>
          <w:p>
            <w:pPr>
              <w:pStyle w:val="Compact"/>
              <w:spacing w:after="40" w:before="40"/>
              <w:jc w:val="left"/>
            </w:pPr>
            <w:r>
              <w:rPr>
                <w:rFonts w:ascii="Cambria" w:hAnsi="Cambria" w:cs="Cambria" w:eastAsia="Cambria"/>
                <w:color w:val="1A1A1A"/>
                <w:sz w:val="18"/>
              </w:rPr>
              <w:t xml:space="preserve">47,0 anni (Potenza 47,4; Matera 46,4)</w:t>
            </w:r>
          </w:p>
        </w:tc>
      </w:tr>
      <w:tr>
        <w:tc>
          <w:tcPr/>
          <w:p>
            <w:pPr>
              <w:pStyle w:val="Compact"/>
              <w:spacing w:after="40" w:before="40"/>
              <w:jc w:val="left"/>
            </w:pPr>
            <w:r>
              <w:rPr>
                <w:rFonts w:ascii="Cambria" w:hAnsi="Cambria" w:cs="Cambria" w:eastAsia="Cambria"/>
                <w:color w:val="1A1A1A"/>
                <w:sz w:val="18"/>
              </w:rPr>
              <w:t xml:space="preserve">Indice di vecchiaia</w:t>
            </w:r>
          </w:p>
        </w:tc>
        <w:tc>
          <w:tcPr/>
          <w:p>
            <w:pPr>
              <w:pStyle w:val="Compact"/>
              <w:spacing w:after="40" w:before="40"/>
              <w:jc w:val="left"/>
            </w:pPr>
            <w:r>
              <w:rPr>
                <w:rFonts w:ascii="Cambria" w:hAnsi="Cambria" w:cs="Cambria" w:eastAsia="Cambria"/>
                <w:color w:val="1A1A1A"/>
                <w:sz w:val="18"/>
              </w:rPr>
              <w:t xml:space="preserve">superiore a 220, in crescita</w:t>
            </w:r>
          </w:p>
        </w:tc>
      </w:tr>
      <w:tr>
        <w:tc>
          <w:tcPr>
            <w:shd w:val="clear" w:color="auto" w:fill="F4F1EC"/>
          </w:tcPr>
          <w:p>
            <w:pPr>
              <w:pStyle w:val="Compact"/>
              <w:spacing w:after="40" w:before="40"/>
              <w:jc w:val="left"/>
            </w:pPr>
            <w:r>
              <w:rPr>
                <w:rFonts w:ascii="Cambria" w:hAnsi="Cambria" w:cs="Cambria" w:eastAsia="Cambria"/>
                <w:color w:val="1A1A1A"/>
                <w:sz w:val="18"/>
              </w:rPr>
              <w:t xml:space="preserve">Popolazione straniera</w:t>
            </w:r>
          </w:p>
        </w:tc>
        <w:tc>
          <w:tcPr>
            <w:shd w:val="clear" w:color="auto" w:fill="F4F1EC"/>
          </w:tcPr>
          <w:p>
            <w:pPr>
              <w:pStyle w:val="Compact"/>
              <w:spacing w:after="40" w:before="40"/>
              <w:jc w:val="left"/>
            </w:pPr>
            <w:r>
              <w:rPr>
                <w:rFonts w:ascii="Cambria" w:hAnsi="Cambria" w:cs="Cambria" w:eastAsia="Cambria"/>
                <w:color w:val="1A1A1A"/>
                <w:sz w:val="18"/>
              </w:rPr>
              <w:t xml:space="preserve">~24.000 (4,5% della popolazione)</w:t>
            </w:r>
          </w:p>
        </w:tc>
      </w:tr>
      <w:tr>
        <w:tc>
          <w:tcPr/>
          <w:p>
            <w:pPr>
              <w:pStyle w:val="Compact"/>
              <w:spacing w:after="40" w:before="40"/>
              <w:jc w:val="left"/>
            </w:pPr>
            <w:r>
              <w:rPr>
                <w:rFonts w:ascii="Cambria" w:hAnsi="Cambria" w:cs="Cambria" w:eastAsia="Cambria"/>
                <w:color w:val="1A1A1A"/>
                <w:sz w:val="18"/>
              </w:rPr>
              <w:t xml:space="preserve">Comuni</w:t>
            </w:r>
          </w:p>
        </w:tc>
        <w:tc>
          <w:tcPr/>
          <w:p>
            <w:pPr>
              <w:pStyle w:val="Compact"/>
              <w:spacing w:after="40" w:before="40"/>
              <w:jc w:val="left"/>
            </w:pPr>
            <w:r>
              <w:rPr>
                <w:rFonts w:ascii="Cambria" w:hAnsi="Cambria" w:cs="Cambria" w:eastAsia="Cambria"/>
                <w:color w:val="1A1A1A"/>
                <w:sz w:val="18"/>
              </w:rPr>
              <w:t xml:space="preserve">131, di cui il 56,5% fra 1.001 e 5.000 abitanti</w:t>
            </w:r>
          </w:p>
        </w:tc>
      </w:tr>
      <w:tr>
        <w:tc>
          <w:tcPr>
            <w:shd w:val="clear" w:color="auto" w:fill="F4F1EC"/>
          </w:tcPr>
          <w:p>
            <w:pPr>
              <w:pStyle w:val="Compact"/>
              <w:spacing w:after="40" w:before="40"/>
              <w:jc w:val="left"/>
            </w:pPr>
            <w:r>
              <w:rPr>
                <w:rFonts w:ascii="Cambria" w:hAnsi="Cambria" w:cs="Cambria" w:eastAsia="Cambria"/>
                <w:color w:val="1A1A1A"/>
                <w:sz w:val="18"/>
              </w:rPr>
              <w:t xml:space="preserve">Province</w:t>
            </w:r>
          </w:p>
        </w:tc>
        <w:tc>
          <w:tcPr>
            <w:shd w:val="clear" w:color="auto" w:fill="F4F1EC"/>
          </w:tcPr>
          <w:p>
            <w:pPr>
              <w:pStyle w:val="Compact"/>
              <w:spacing w:after="40" w:before="40"/>
              <w:jc w:val="left"/>
            </w:pPr>
            <w:r>
              <w:rPr>
                <w:rFonts w:ascii="Cambria" w:hAnsi="Cambria" w:cs="Cambria" w:eastAsia="Cambria"/>
                <w:color w:val="1A1A1A"/>
                <w:sz w:val="18"/>
              </w:rPr>
              <w:t xml:space="preserve">Potenza (64,5%, oltre 300.000 ab.); Matera (35,5%, oltre 190.000 ab.)</w:t>
            </w:r>
          </w:p>
        </w:tc>
      </w:tr>
      <w:tr>
        <w:tc>
          <w:tcPr/>
          <w:p>
            <w:pPr>
              <w:pStyle w:val="Compact"/>
              <w:spacing w:after="40" w:before="40"/>
              <w:jc w:val="left"/>
            </w:pPr>
            <w:r>
              <w:rPr>
                <w:rFonts w:ascii="Cambria" w:hAnsi="Cambria" w:cs="Cambria" w:eastAsia="Cambria"/>
                <w:color w:val="1A1A1A"/>
                <w:sz w:val="18"/>
              </w:rPr>
              <w:t xml:space="preserve">Dinamica naturale (2022)</w:t>
            </w:r>
          </w:p>
        </w:tc>
        <w:tc>
          <w:tcPr/>
          <w:p>
            <w:pPr>
              <w:pStyle w:val="Compact"/>
              <w:spacing w:after="40" w:before="40"/>
              <w:jc w:val="left"/>
            </w:pPr>
            <w:r>
              <w:rPr>
                <w:rFonts w:ascii="Cambria" w:hAnsi="Cambria" w:cs="Cambria" w:eastAsia="Cambria"/>
                <w:color w:val="1A1A1A"/>
                <w:sz w:val="18"/>
              </w:rPr>
              <w:t xml:space="preserve">3.221 nascite, 7.126 decessi</w:t>
            </w:r>
          </w:p>
        </w:tc>
      </w:tr>
      <w:tr>
        <w:tc>
          <w:tcPr>
            <w:shd w:val="clear" w:color="auto" w:fill="F4F1EC"/>
          </w:tcPr>
          <w:p>
            <w:pPr>
              <w:pStyle w:val="Compact"/>
              <w:spacing w:after="40" w:before="40"/>
              <w:jc w:val="left"/>
            </w:pPr>
            <w:r>
              <w:rPr>
                <w:rFonts w:ascii="Cambria" w:hAnsi="Cambria" w:cs="Cambria" w:eastAsia="Cambria"/>
                <w:color w:val="1A1A1A"/>
                <w:sz w:val="18"/>
              </w:rPr>
              <w:t xml:space="preserve">Disagio psichico comune (stima)</w:t>
            </w:r>
          </w:p>
        </w:tc>
        <w:tc>
          <w:tcPr>
            <w:shd w:val="clear" w:color="auto" w:fill="F4F1EC"/>
          </w:tcPr>
          <w:p>
            <w:pPr>
              <w:pStyle w:val="Compact"/>
              <w:spacing w:after="40" w:before="40"/>
              <w:jc w:val="left"/>
            </w:pPr>
            <w:r>
              <w:rPr>
                <w:rFonts w:ascii="Cambria" w:hAnsi="Cambria" w:cs="Cambria" w:eastAsia="Cambria"/>
                <w:color w:val="1A1A1A"/>
                <w:sz w:val="18"/>
              </w:rPr>
              <w:t xml:space="preserve">~107.000 persone/anno</w:t>
            </w:r>
          </w:p>
        </w:tc>
      </w:tr>
      <w:tr>
        <w:tc>
          <w:tcPr/>
          <w:p>
            <w:pPr>
              <w:pStyle w:val="Compact"/>
              <w:spacing w:after="40" w:before="40"/>
              <w:jc w:val="left"/>
            </w:pPr>
            <w:r>
              <w:rPr>
                <w:rFonts w:ascii="Cambria" w:hAnsi="Cambria" w:cs="Cambria" w:eastAsia="Cambria"/>
                <w:color w:val="1A1A1A"/>
                <w:sz w:val="18"/>
              </w:rPr>
              <w:t xml:space="preserve">Aziende del Servizio Sanitario Regionale</w:t>
            </w:r>
          </w:p>
        </w:tc>
        <w:tc>
          <w:tcPr/>
          <w:p>
            <w:pPr>
              <w:pStyle w:val="Compact"/>
              <w:spacing w:after="40" w:before="40"/>
              <w:jc w:val="left"/>
            </w:pPr>
            <w:r>
              <w:rPr>
                <w:rFonts w:ascii="Cambria" w:hAnsi="Cambria" w:cs="Cambria" w:eastAsia="Cambria"/>
                <w:color w:val="1A1A1A"/>
                <w:sz w:val="18"/>
              </w:rPr>
              <w:t xml:space="preserve">ASP Potenza, ASM Matera, AOR San Carlo, IRCCS CROB</w:t>
            </w:r>
          </w:p>
        </w:tc>
      </w:tr>
      <w:tr>
        <w:tc>
          <w:tcPr>
            <w:shd w:val="clear" w:color="auto" w:fill="F4F1EC"/>
          </w:tcPr>
          <w:p>
            <w:pPr>
              <w:pStyle w:val="Compact"/>
              <w:spacing w:after="40" w:before="40"/>
              <w:jc w:val="left"/>
            </w:pPr>
            <w:r>
              <w:rPr>
                <w:rFonts w:ascii="Cambria" w:hAnsi="Cambria" w:cs="Cambria" w:eastAsia="Cambria"/>
                <w:color w:val="1A1A1A"/>
                <w:sz w:val="18"/>
              </w:rPr>
              <w:t xml:space="preserve">Fondo sanitario regionale</w:t>
            </w:r>
          </w:p>
        </w:tc>
        <w:tc>
          <w:tcPr>
            <w:shd w:val="clear" w:color="auto" w:fill="F4F1EC"/>
          </w:tcPr>
          <w:p>
            <w:pPr>
              <w:pStyle w:val="Compact"/>
              <w:spacing w:after="40" w:before="40"/>
              <w:jc w:val="left"/>
            </w:pPr>
            <w:r>
              <w:rPr>
                <w:rFonts w:ascii="Cambria" w:hAnsi="Cambria" w:cs="Cambria" w:eastAsia="Cambria"/>
                <w:color w:val="1A1A1A"/>
                <w:sz w:val="18"/>
              </w:rPr>
              <w:t xml:space="preserve">~1,1 miliardi di euro, cresciuto di oltre 41 mln nel 2024</w:t>
            </w:r>
          </w:p>
        </w:tc>
      </w:tr>
      <w:tr>
        <w:tc>
          <w:tcPr/>
          <w:p>
            <w:pPr>
              <w:pStyle w:val="Compact"/>
              <w:spacing w:after="40" w:before="40"/>
              <w:jc w:val="left"/>
            </w:pPr>
            <w:r>
              <w:rPr>
                <w:rFonts w:ascii="Cambria" w:hAnsi="Cambria" w:cs="Cambria" w:eastAsia="Cambria"/>
                <w:color w:val="1A1A1A"/>
                <w:sz w:val="18"/>
              </w:rPr>
              <w:t xml:space="preserve">Posizione finanziaria</w:t>
            </w:r>
          </w:p>
        </w:tc>
        <w:tc>
          <w:tcPr/>
          <w:p>
            <w:pPr>
              <w:pStyle w:val="Compact"/>
              <w:spacing w:after="40" w:before="40"/>
              <w:jc w:val="left"/>
            </w:pPr>
            <w:r>
              <w:rPr>
                <w:rFonts w:ascii="Cambria" w:hAnsi="Cambria" w:cs="Cambria" w:eastAsia="Cambria"/>
                <w:color w:val="1A1A1A"/>
                <w:sz w:val="18"/>
              </w:rPr>
              <w:t xml:space="preserve">non in piano di rientro; disavanzo 2023 ~50 mln coperto con risorse regionali</w:t>
            </w:r>
          </w:p>
        </w:tc>
      </w:tr>
      <w:tr>
        <w:tc>
          <w:tcPr>
            <w:shd w:val="clear" w:color="auto" w:fill="F4F1EC"/>
          </w:tcPr>
          <w:p>
            <w:pPr>
              <w:pStyle w:val="Compact"/>
              <w:spacing w:after="40" w:before="40"/>
              <w:jc w:val="left"/>
            </w:pPr>
            <w:r>
              <w:rPr>
                <w:rFonts w:ascii="Cambria" w:hAnsi="Cambria" w:cs="Cambria" w:eastAsia="Cambria"/>
                <w:color w:val="1A1A1A"/>
                <w:sz w:val="18"/>
              </w:rPr>
              <w:t xml:space="preserve">Mobilità sanitaria — saldo passivo</w:t>
            </w:r>
          </w:p>
        </w:tc>
        <w:tc>
          <w:tcPr>
            <w:shd w:val="clear" w:color="auto" w:fill="F4F1EC"/>
          </w:tcPr>
          <w:p>
            <w:pPr>
              <w:pStyle w:val="Compact"/>
              <w:spacing w:after="40" w:before="40"/>
              <w:jc w:val="left"/>
            </w:pPr>
            <w:r>
              <w:rPr>
                <w:rFonts w:ascii="Cambria" w:hAnsi="Cambria" w:cs="Cambria" w:eastAsia="Cambria"/>
                <w:color w:val="1A1A1A"/>
                <w:sz w:val="18"/>
              </w:rPr>
              <w:t xml:space="preserve">dell’ordine di 80 mln/anno</w:t>
            </w:r>
          </w:p>
        </w:tc>
      </w:tr>
      <w:tr>
        <w:tc>
          <w:tcPr/>
          <w:p>
            <w:pPr>
              <w:pStyle w:val="Compact"/>
              <w:spacing w:after="40" w:before="40"/>
              <w:jc w:val="left"/>
            </w:pPr>
            <w:r>
              <w:rPr>
                <w:rFonts w:ascii="Cambria" w:hAnsi="Cambria" w:cs="Cambria" w:eastAsia="Cambria"/>
                <w:color w:val="1A1A1A"/>
                <w:sz w:val="18"/>
              </w:rPr>
              <w:t xml:space="preserve">Mobilità verso la Puglia (2024)</w:t>
            </w:r>
          </w:p>
        </w:tc>
        <w:tc>
          <w:tcPr/>
          <w:p>
            <w:pPr>
              <w:pStyle w:val="Compact"/>
              <w:spacing w:after="40" w:before="40"/>
              <w:jc w:val="left"/>
            </w:pPr>
            <w:r>
              <w:rPr>
                <w:rFonts w:ascii="Cambria" w:hAnsi="Cambria" w:cs="Cambria" w:eastAsia="Cambria"/>
                <w:color w:val="1A1A1A"/>
                <w:sz w:val="18"/>
              </w:rPr>
              <w:t xml:space="preserve">~26 mln ricoveri + ~7 mln specialistica; ~40% dell’emigrazione</w:t>
            </w:r>
          </w:p>
        </w:tc>
      </w:tr>
      <w:tr>
        <w:tc>
          <w:tcPr>
            <w:shd w:val="clear" w:color="auto" w:fill="F4F1EC"/>
          </w:tcPr>
          <w:p>
            <w:pPr>
              <w:pStyle w:val="Compact"/>
              <w:spacing w:after="40" w:before="40"/>
              <w:jc w:val="left"/>
            </w:pPr>
            <w:r>
              <w:rPr>
                <w:rFonts w:ascii="Cambria" w:hAnsi="Cambria" w:cs="Cambria" w:eastAsia="Cambria"/>
                <w:color w:val="1A1A1A"/>
                <w:sz w:val="18"/>
              </w:rPr>
              <w:t xml:space="preserve">Spesa per la 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inferiore al 2,5% del fondo sanitario regionale</w:t>
            </w:r>
          </w:p>
        </w:tc>
      </w:tr>
    </w:tbl>
    <w:p>
      <w:pPr>
        <w:pStyle w:val="BodyText"/>
      </w:pPr>
      <w:r>
        <w:rPr>
          <w:i/>
          <w:iCs/>
        </w:rPr>
        <w:t xml:space="preserve">Tabella C.1. Principali dati regionali utilizzati nello studio. Le fonti sono indicate nelle parti corrispondenti.</w:t>
      </w:r>
    </w:p>
    <w:bookmarkEnd w:id="3355"/>
    <w:bookmarkStart w:id="3356" w:name="c.2-i-dati-da-acquisire-1"/>
    <w:p>
      <w:pPr>
        <w:pStyle w:val="Heading3"/>
      </w:pPr>
      <w:r>
        <w:t xml:space="preserve">C.2 I dati da acquisire</w:t>
      </w:r>
    </w:p>
    <w:p>
      <w:pPr>
        <w:pStyle w:val="FirstParagraph"/>
      </w:pPr>
      <w:r>
        <w:t xml:space="preserve">Lo studio, in assenza di rilevazioni regionali dirette, ricorre per alcune grandezze a stime prudenziali e a parametri derivati dalla letteratura e dal confronto interregionale. I dati la cui acquisizione consentirebbe di sostituire tali stime con misure dirette, e il cui valore informativo è pertanto maggiore, sono: la prevalenza regionale diretta del disagio psichico comune, oggi stimata su prevalenze nazionali; la quota di domanda effettivamente inevasa e la sua distribuzione territoriale e sociale; la quota di mobilità sanitaria passiva riconducibile, a monte, a condizioni di disagio psichico non intercettato; i consumi sanitari effettivi associati al disagio comune nel contesto regionale, per ciascun canale; e gli esiti clinici ed economici effettivamente prodotti dal servizio una volta avviato. L’acquisizione di questi dati è resa possibile dal sistema informativo descritto nella Parte C e dal piano di monitoraggio descritto nella Parte L, e costituisce il programma di conoscenza progressiva che accompagna il dispiegamento del servizio. La rilevazione di una linea di base, prima dell’avvio del servizio, è la condizione perché la valutazione dell’impatto sia possibile.</w:t>
      </w:r>
    </w:p>
    <w:bookmarkEnd w:id="3356"/>
    <w:bookmarkEnd w:id="3357"/>
    <w:bookmarkStart w:id="3358" w:name="Xb5f7637213ffafb36cd54642899bbe2375de84f"/>
    <w:p>
      <w:pPr>
        <w:pStyle w:val="Heading2"/>
      </w:pPr>
      <w:r>
        <w:t xml:space="preserve">Appendice D — La lista di controllo per la rendicontazione</w:t>
      </w:r>
    </w:p>
    <w:p>
      <w:pPr>
        <w:pStyle w:val="FirstParagraph"/>
      </w:pPr>
      <w:r>
        <w:t xml:space="preserve">Questa appendice fornisce la lista di controllo per la rendicontazione della valutazione economica, costruita secondo lo standard CHEERS del 2022, che elenca gli elementi che una valutazione economica sanitaria deve riportare per essere completa, trasparente e riproducibile. La lista consente di verificare la completezza dello studio e ne agevola la valutazione critica.</w:t>
      </w:r>
    </w:p>
    <w:p>
      <w:pPr>
        <w:pStyle w:val="BodyText"/>
      </w:pPr>
      <w:r>
        <w:t xml:space="preserve">Gli elementi della rendicontazione comprendono: il titolo e l’abstract, che identificano lo studio come valutazione economica; l’introduzione, che definisce l’obiettivo e il quesito; i metodi, che specificano la popolazione e i sottogruppi, il contesto e la collocazione, la prospettiva, il comparatore, l’orizzonte temporale, il tasso di sconto, gli esiti di salute selezionati, la misurazione dell’efficacia, la misurazione e la valorizzazione degli esiti, la stima delle risorse e dei costi, la valuta e l’anno di riferimento, il modello adottato, le assunzioni e i metodi di analisi dell’incertezza; i risultati, che riportano i parametri e le fonti, i costi e gli esiti incrementali, l’analisi dell’incertezza e l’analisi dei sottogruppi; la discussione, che esamina i risultati, i limiti, la generalizzabilità e il confronto con altri studi; e le informazioni su finanziamento, conflitti di interesse e disponibilità dei dati. Lo studio è costruito in modo da soddisfare questi elementi: la Parte A definisce obiettivo, quesito, prospettiva, comparatore e orizzonte; la Parte E sviluppa costi, esiti e analisi economica; la Parte F sviluppa il modello e l’analisi dell’incertezza; le Parti G ed L trattano i sottogruppi e il monitoraggio; e la presente appendice raccoglie i parametri e il quadro consolidato. L’aderenza allo standard di rendicontazione è una garanzia di trasparenza e di confrontabilità con le valutazioni condotte in altri contesti.</w:t>
      </w:r>
    </w:p>
    <w:bookmarkEnd w:id="3358"/>
    <w:bookmarkStart w:id="3360" w:name="appendice-e-il-glossario-1"/>
    <w:p>
      <w:pPr>
        <w:pStyle w:val="Heading2"/>
      </w:pPr>
      <w:r>
        <w:t xml:space="preserve">Appendice E — Il glossario</w:t>
      </w:r>
    </w:p>
    <w:p>
      <w:pPr>
        <w:pStyle w:val="FirstParagraph"/>
      </w:pPr>
      <w:r>
        <w:t xml:space="preserve">Questa appendice raccoglie le definizioni dei principali termini tecnici utilizzati nello studio, così da renderne il contenuto accessibile anche ai lettori non specialisti.</w:t>
      </w:r>
    </w:p>
    <w:p>
      <w:pPr>
        <w:pStyle w:val="BodyText"/>
      </w:pPr>
      <w:r>
        <w:rPr>
          <w:b/>
          <w:bCs/>
        </w:rPr>
        <w:t xml:space="preserve">Anni di vita ponderati per la qualità (QALY).</w:t>
      </w:r>
      <w:r>
        <w:t xml:space="preserve"> </w:t>
      </w:r>
      <w:r>
        <w:t xml:space="preserve">Misura che combina la durata e la qualità della vita in un’unica grandezza, utilizzata per esprimere il beneficio di salute di un intervento.</w:t>
      </w:r>
    </w:p>
    <w:p>
      <w:pPr>
        <w:pStyle w:val="BodyText"/>
      </w:pPr>
      <w:r>
        <w:rPr>
          <w:b/>
          <w:bCs/>
        </w:rPr>
        <w:t xml:space="preserve">Analisi di sensibilità.</w:t>
      </w:r>
      <w:r>
        <w:t xml:space="preserve"> </w:t>
      </w:r>
      <w:r>
        <w:t xml:space="preserve">Procedura che verifica come i risultati di un modello varino al variare dei suoi parametri, distinguendosi in deterministica, quando si fa variare un parametro alla volta, e probabilistica, quando si fanno variare simultaneamente tutti i parametri.</w:t>
      </w:r>
    </w:p>
    <w:p>
      <w:pPr>
        <w:pStyle w:val="BodyText"/>
      </w:pPr>
      <w:r>
        <w:rPr>
          <w:b/>
          <w:bCs/>
        </w:rPr>
        <w:t xml:space="preserve">Caso economico.</w:t>
      </w:r>
      <w:r>
        <w:t xml:space="preserve"> </w:t>
      </w:r>
      <w:r>
        <w:t xml:space="preserve">Prospettiva di valutazione che considera il valore generato per la collettività, comprensivo dei risparmi diretti e delle ricadute sociali.</w:t>
      </w:r>
    </w:p>
    <w:p>
      <w:pPr>
        <w:pStyle w:val="BodyText"/>
      </w:pPr>
      <w:r>
        <w:rPr>
          <w:b/>
          <w:bCs/>
        </w:rPr>
        <w:t xml:space="preserve">Caso finanziario.</w:t>
      </w:r>
      <w:r>
        <w:t xml:space="preserve"> </w:t>
      </w:r>
      <w:r>
        <w:t xml:space="preserve">Prospettiva di valutazione che considera il solo bilancio sanitario, mettendo a confronto il costo dell’intervento con i risparmi diretti.</w:t>
      </w:r>
    </w:p>
    <w:p>
      <w:pPr>
        <w:pStyle w:val="BodyText"/>
      </w:pPr>
      <w:r>
        <w:rPr>
          <w:b/>
          <w:bCs/>
        </w:rPr>
        <w:t xml:space="preserve">Clausola valutativa.</w:t>
      </w:r>
      <w:r>
        <w:t xml:space="preserve"> </w:t>
      </w:r>
      <w:r>
        <w:t xml:space="preserve">Disposizione di legge che prevede l’obbligo di valutare periodicamente l’attuazione e gli esiti di un intervento e di riferirne agli organi di governo.</w:t>
      </w:r>
    </w:p>
    <w:p>
      <w:pPr>
        <w:pStyle w:val="BodyText"/>
      </w:pPr>
      <w:r>
        <w:rPr>
          <w:b/>
          <w:bCs/>
        </w:rPr>
        <w:t xml:space="preserve">Costo-efficacia.</w:t>
      </w:r>
      <w:r>
        <w:t xml:space="preserve"> </w:t>
      </w:r>
      <w:r>
        <w:t xml:space="preserve">Proprietà di un intervento il cui costo per unità di beneficio è inferiore a una soglia di accettabilità definita.</w:t>
      </w:r>
    </w:p>
    <w:p>
      <w:pPr>
        <w:pStyle w:val="BodyText"/>
      </w:pPr>
      <w:r>
        <w:rPr>
          <w:b/>
          <w:bCs/>
        </w:rPr>
        <w:t xml:space="preserve">Costo-utilità.</w:t>
      </w:r>
      <w:r>
        <w:t xml:space="preserve"> </w:t>
      </w:r>
      <w:r>
        <w:t xml:space="preserve">Forma di valutazione economica che esprime il costo dell’intervento per anno di vita ponderato per la qualità guadagnato.</w:t>
      </w:r>
    </w:p>
    <w:p>
      <w:pPr>
        <w:pStyle w:val="BodyText"/>
      </w:pPr>
      <w:r>
        <w:rPr>
          <w:b/>
          <w:bCs/>
        </w:rPr>
        <w:t xml:space="preserve">Cure graduali.</w:t>
      </w:r>
      <w:r>
        <w:t xml:space="preserve"> </w:t>
      </w:r>
      <w:r>
        <w:t xml:space="preserve">Modello organizzativo in cui l’intensità dell’intervento è commisurata alla gravità del bisogno, riservando le risorse più specialistiche alle condizioni che le richiedono.</w:t>
      </w:r>
    </w:p>
    <w:p>
      <w:pPr>
        <w:pStyle w:val="BodyText"/>
      </w:pPr>
      <w:r>
        <w:rPr>
          <w:b/>
          <w:bCs/>
        </w:rPr>
        <w:t xml:space="preserve">Disagio psichico comune.</w:t>
      </w:r>
      <w:r>
        <w:t xml:space="preserve"> </w:t>
      </w:r>
      <w:r>
        <w:t xml:space="preserve">Insieme dei disturbi mentali di intensità lieve e moderata, prevalentemente d’ansia e dell’umore, e delle condizioni di sofferenza sottosoglia.</w:t>
      </w:r>
    </w:p>
    <w:p>
      <w:pPr>
        <w:pStyle w:val="BodyText"/>
      </w:pPr>
      <w:r>
        <w:rPr>
          <w:b/>
          <w:bCs/>
        </w:rPr>
        <w:t xml:space="preserve">Divario di trattamento.</w:t>
      </w:r>
      <w:r>
        <w:t xml:space="preserve"> </w:t>
      </w:r>
      <w:r>
        <w:t xml:space="preserve">Distanza fra le persone che presentano un disturbo e quelle che ricevono un intervento adeguato.</w:t>
      </w:r>
    </w:p>
    <w:p>
      <w:pPr>
        <w:pStyle w:val="BodyText"/>
      </w:pPr>
      <w:r>
        <w:rPr>
          <w:b/>
          <w:bCs/>
        </w:rPr>
        <w:t xml:space="preserve">Dominanza.</w:t>
      </w:r>
      <w:r>
        <w:t xml:space="preserve"> </w:t>
      </w:r>
      <w:r>
        <w:t xml:space="preserve">Proprietà di un intervento che produce simultaneamente un guadagno di salute e un risparmio di risorse, risultando preferibile sotto entrambi i profili.</w:t>
      </w:r>
    </w:p>
    <w:p>
      <w:pPr>
        <w:pStyle w:val="BodyText"/>
      </w:pPr>
      <w:r>
        <w:rPr>
          <w:b/>
          <w:bCs/>
        </w:rPr>
        <w:t xml:space="preserve">Five Case Model (modello a cinque casi).</w:t>
      </w:r>
      <w:r>
        <w:t xml:space="preserve"> </w:t>
      </w:r>
      <w:r>
        <w:t xml:space="preserve">Quadro di valutazione di un investimento pubblico articolato nelle dimensioni strategica, economica, commerciale, finanziaria e gestionale.</w:t>
      </w:r>
    </w:p>
    <w:p>
      <w:pPr>
        <w:pStyle w:val="BodyText"/>
      </w:pPr>
      <w:r>
        <w:rPr>
          <w:b/>
          <w:bCs/>
        </w:rPr>
        <w:t xml:space="preserve">GRADE.</w:t>
      </w:r>
      <w:r>
        <w:t xml:space="preserve"> </w:t>
      </w:r>
      <w:r>
        <w:t xml:space="preserve">Sistema di graduazione della qualità dell’evidenza e della forza delle raccomandazioni su quattro livelli.</w:t>
      </w:r>
    </w:p>
    <w:p>
      <w:pPr>
        <w:pStyle w:val="BodyText"/>
      </w:pPr>
      <w:r>
        <w:rPr>
          <w:b/>
          <w:bCs/>
        </w:rPr>
        <w:t xml:space="preserve">Gradiente sociale.</w:t>
      </w:r>
      <w:r>
        <w:t xml:space="preserve"> </w:t>
      </w:r>
      <w:r>
        <w:t xml:space="preserve">Relazione per cui la prevalenza di una condizione e la difficoltà di accesso alle cure variano con la posizione sociale ed economica.</w:t>
      </w:r>
    </w:p>
    <w:p>
      <w:pPr>
        <w:pStyle w:val="BodyText"/>
      </w:pPr>
      <w:r>
        <w:rPr>
          <w:b/>
          <w:bCs/>
        </w:rPr>
        <w:t xml:space="preserve">Mobilità sanitaria passiva.</w:t>
      </w:r>
      <w:r>
        <w:t xml:space="preserve"> </w:t>
      </w:r>
      <w:r>
        <w:t xml:space="preserve">Prestazioni erogate ai residenti di una regione in regioni diverse dalla propria, che costituiscono un debito per la regione di residenza.</w:t>
      </w:r>
    </w:p>
    <w:p>
      <w:pPr>
        <w:pStyle w:val="BodyText"/>
      </w:pPr>
      <w:r>
        <w:rPr>
          <w:b/>
          <w:bCs/>
        </w:rPr>
        <w:t xml:space="preserve">Modello di Markov.</w:t>
      </w:r>
      <w:r>
        <w:t xml:space="preserve"> </w:t>
      </w:r>
      <w:r>
        <w:t xml:space="preserve">Modello che rappresenta il decorso di un paziente attraverso una successione di stati di salute fra i quali transita nel tempo con probabilità definite.</w:t>
      </w:r>
    </w:p>
    <w:p>
      <w:pPr>
        <w:pStyle w:val="BodyText"/>
      </w:pPr>
      <w:r>
        <w:rPr>
          <w:b/>
          <w:bCs/>
        </w:rPr>
        <w:t xml:space="preserve">Piano di rientro.</w:t>
      </w:r>
      <w:r>
        <w:t xml:space="preserve"> </w:t>
      </w:r>
      <w:r>
        <w:t xml:space="preserve">Programma imposto alle regioni in disavanzo sanitario strutturale per il riequilibrio dei conti, che comporta vincoli alla spesa e all’erogazione di livelli ulteriori.</w:t>
      </w:r>
    </w:p>
    <w:p>
      <w:pPr>
        <w:pStyle w:val="BodyText"/>
      </w:pPr>
      <w:r>
        <w:rPr>
          <w:b/>
          <w:bCs/>
        </w:rPr>
        <w:t xml:space="preserve">Prospettiva.</w:t>
      </w:r>
      <w:r>
        <w:t xml:space="preserve"> </w:t>
      </w:r>
      <w:r>
        <w:t xml:space="preserve">Punto di vista dal quale si conduce una valutazione economica, che ne determina i costi e i benefici considerati.</w:t>
      </w:r>
    </w:p>
    <w:p>
      <w:pPr>
        <w:pStyle w:val="BodyText"/>
      </w:pPr>
      <w:r>
        <w:rPr>
          <w:b/>
          <w:bCs/>
        </w:rPr>
        <w:t xml:space="preserve">Rapporto beneficio-costo.</w:t>
      </w:r>
      <w:r>
        <w:t xml:space="preserve"> </w:t>
      </w:r>
      <w:r>
        <w:t xml:space="preserve">Rapporto fra il valore dei benefici prodotti da un intervento e il costo sostenuto per realizzarlo.</w:t>
      </w:r>
    </w:p>
    <w:p>
      <w:pPr>
        <w:pStyle w:val="BodyText"/>
      </w:pPr>
      <w:r>
        <w:rPr>
          <w:b/>
          <w:bCs/>
        </w:rPr>
        <w:t xml:space="preserve">Ritorno sociale sull’investimento.</w:t>
      </w:r>
      <w:r>
        <w:t xml:space="preserve"> </w:t>
      </w:r>
      <w:r>
        <w:t xml:space="preserve">Metodo che esprime in termini monetari il valore sociale generato per unità di risorse impiegate.</w:t>
      </w:r>
    </w:p>
    <w:p>
      <w:pPr>
        <w:pStyle w:val="BodyText"/>
      </w:pPr>
      <w:r>
        <w:rPr>
          <w:b/>
          <w:bCs/>
        </w:rPr>
        <w:t xml:space="preserve">Sentenza della Corte Costituzionale numero 241 del 2021.</w:t>
      </w:r>
      <w:r>
        <w:t xml:space="preserve"> </w:t>
      </w:r>
      <w:r>
        <w:t xml:space="preserve">Pronuncia che ha definito i limiti entro cui una legge regionale può istituire il servizio di psicologia di base, escludendo la disciplina regionale autonoma dei rapporti convenzionali.</w:t>
      </w:r>
    </w:p>
    <w:p>
      <w:pPr>
        <w:pStyle w:val="BodyText"/>
      </w:pPr>
      <w:r>
        <w:rPr>
          <w:b/>
          <w:bCs/>
        </w:rPr>
        <w:t xml:space="preserve">Soglia di disponibilità a pagare.</w:t>
      </w:r>
      <w:r>
        <w:t xml:space="preserve"> </w:t>
      </w:r>
      <w:r>
        <w:t xml:space="preserve">Valore massimo che il sistema è disposto a spendere per un anno di vita ponderato per la qualità, utilizzato come riferimento per la costo-efficacia.</w:t>
      </w:r>
    </w:p>
    <w:p>
      <w:pPr>
        <w:pStyle w:val="BodyText"/>
      </w:pPr>
      <w:r>
        <w:rPr>
          <w:b/>
          <w:bCs/>
        </w:rPr>
        <w:t xml:space="preserve">Stato di cronicizzazione.</w:t>
      </w:r>
      <w:r>
        <w:t xml:space="preserve"> </w:t>
      </w:r>
      <w:r>
        <w:t xml:space="preserve">Condizione del modello in cui il disagio persiste nel tempo, associata a un maggiore consumo di risorse sanitarie.</w:t>
      </w:r>
    </w:p>
    <w:p>
      <w:pPr>
        <w:pStyle w:val="BodyText"/>
      </w:pPr>
      <w:r>
        <w:rPr>
          <w:b/>
          <w:bCs/>
        </w:rPr>
        <w:t xml:space="preserve">Stepped care.</w:t>
      </w:r>
      <w:r>
        <w:t xml:space="preserve"> </w:t>
      </w:r>
      <w:r>
        <w:t xml:space="preserve">Espressione inglese che indica il modello delle cure graduali.</w:t>
      </w:r>
    </w:p>
    <w:p>
      <w:pPr>
        <w:pStyle w:val="BodyText"/>
      </w:pPr>
      <w:r>
        <w:rPr>
          <w:b/>
          <w:bCs/>
        </w:rPr>
        <w:t xml:space="preserve">Telepsicologia.</w:t>
      </w:r>
      <w:r>
        <w:t xml:space="preserve"> </w:t>
      </w:r>
      <w:r>
        <w:t xml:space="preserve">Erogazione di prestazioni psicologiche a distanza mediante strumenti digitali, impiegata per superare le barriere di accesso connesse alla distanza e alla mobilità.</w:t>
      </w:r>
    </w:p>
    <w:p>
      <w:pPr>
        <w:pStyle w:val="BodyText"/>
      </w:pPr>
      <w:r>
        <w:rPr>
          <w:b/>
          <w:bCs/>
        </w:rPr>
        <w:t xml:space="preserve">Valore dell’informazione.</w:t>
      </w:r>
      <w:r>
        <w:t xml:space="preserve"> </w:t>
      </w:r>
      <w:r>
        <w:t xml:space="preserve">Valore che la riduzione dell’incertezza su un parametro ha per la decisione, utilizzato per stabilire le priorità nella raccolta dei dati.</w:t>
      </w:r>
    </w:p>
    <w:p>
      <w:pPr>
        <w:pStyle w:val="BodyText"/>
      </w:pPr>
      <w:r>
        <w:rPr>
          <w:b/>
          <w:bCs/>
        </w:rPr>
        <w:t xml:space="preserve">Valutazione di tecnologia sanitaria.</w:t>
      </w:r>
      <w:r>
        <w:t xml:space="preserve"> </w:t>
      </w:r>
      <w:r>
        <w:t xml:space="preserve">Processo multidisciplinare che valuta una tecnologia o un intervento sanitario lungo una pluralità di dimensioni, integrando l’evidenza scientifica con l’analisi del contesto.</w:t>
      </w:r>
      <w:r>
        <w:rPr>
          <w:rStyle w:val="FootnoteReference"/>
        </w:rPr>
        <w:footnoteReference w:id="3395"/>
      </w:r>
    </w:p>
    <w:bookmarkEnd w:id="3360"/>
    <w:bookmarkStart w:id="3361" w:name="calabria-studio-hta-integrale"/>
    <w:p>
      <w:pPr>
        <w:pStyle w:val="Heading2"/>
      </w:pPr>
      <w:r>
        <w:t xml:space="preserve">Calabria — Studio HTA integrale</w:t>
      </w:r>
    </w:p>
    <w:p>
      <w:pPr>
        <w:pStyle w:val="FirstParagraph"/>
      </w:pPr>
      <w:r>
        <w:t xml:space="preserve">Psicologo di Base in Calabria</w:t>
      </w:r>
    </w:p>
    <w:p>
      <w:pPr>
        <w:pStyle w:val="BodyText"/>
      </w:pPr>
      <w:r>
        <w:t xml:space="preserve">Studio Integrale Regionale · Valutazione di Tecnologia Sanitaria · Telaio HTA a nove domini</w:t>
      </w:r>
    </w:p>
    <w:p>
      <w:pPr>
        <w:pStyle w:val="BodyText"/>
      </w:pPr>
      <w:r>
        <w:t xml:space="preserve">Progetto «Psicologo di Base» · Regione Calabria</w:t>
      </w:r>
    </w:p>
    <w:p>
      <w:pPr>
        <w:pStyle w:val="BodyText"/>
      </w:pPr>
      <w:r>
        <w:t xml:space="preserve">Parti A–M e Appendici A–E</w:t>
      </w:r>
    </w:p>
    <w:bookmarkEnd w:id="3361"/>
    <w:bookmarkStart w:id="3362" w:name="premessa-generale-13"/>
    <w:p>
      <w:pPr>
        <w:pStyle w:val="Heading2"/>
      </w:pPr>
      <w:r>
        <w:t xml:space="preserve">Premessa generale</w:t>
      </w:r>
    </w:p>
    <w:p>
      <w:pPr>
        <w:pStyle w:val="FirstParagraph"/>
      </w:pPr>
      <w:r>
        <w:t xml:space="preserve">Questo documento raccoglie in un’unica opera lo studio integrale per la Regione Calabria sull’introduzione del servizio di psicologia di base. La Calabria si trova, rispetto alle altre regioni della serie, in una condizione peculiare: il servizio non è una mera ipotesi né una funzione già consolidata da una legge, ma una misura appena avviata in via amministrativa e sperimentale. Nell’aprile 2026 la Giunta regionale, rimodulando risorse del Fondo Sociale Europeo Plus, ha istituito lo psicologo di base e ne ha avviato la sperimentazione con circa quaranta professionisti, mentre una proposta di legge per l’istituzione strutturale del servizio è all’esame delle commissioni consiliari. La decisione che le istituzioni sono chiamate ad assumere non riguarda dunque se istituire il servizio, ma se e a quali condizioni consolidarlo in funzione stabile e permanente, in un sistema sanitario che esce, dopo diciassette anni, dal più lungo commissariamento d’Italia e da un piano di rientro i cui obiettivi — l’equilibrio di bilancio e la garanzia dei livelli essenziali di assistenza — definiscono la cornice entro cui ogni nuova misura deve collocarsi. Lo studio compone in sequenza le undici parti narrative, dalla A alla M — l’alfabeto italiano salta le lettere J e K — e le cinque appendici, dalla A alla E. Le parti seguono l’ordine dei domini della valutazione di tecnologia sanitaria, dal problema di salute alla sintesi; le appendici ne raccolgono il materiale di riferimento. L’intero studio è fondato su una distinzione cardine, mantenuta in ogni parte: quella tra i risparmi diretti per il bilancio sanitario e le ricadute economico-sociali per la collettività, che non vengono mai sommate in un unico indice di bilancio.</w:t>
      </w:r>
    </w:p>
    <w:p>
      <w:pPr>
        <w:pStyle w:val="BodyText"/>
      </w:pPr>
      <w:r>
        <w:t xml:space="preserve">Da tale distinzione discende la tesi centrale dello studio calabrese, articolata in affermazioni congiunte: il servizio costa al bilancio sanitario regionale una cifra modesta — dell’ordine dello 0,6 per cento di un fondo di circa 4,4 miliardi nello scenario di piena attuazione — e comporta un saldo diretto di lieve segno negativo, ossia un onere netto inferiore allo 0,1 per cento del fondo; restituisce alla collettività un valore dell’ordine di tre-cinque euro per ogni euro speso, con un rapporto beneficio-costo compreso fra 3,4 e 4,6 a uno, entro la fascia metodologicamente fondata di 3,3–5,7 a uno includendo i benefici di salute; risponde a un bisogno ampio e inevaso, stimato dal Ministero della Salute in circa 470.000 persone, in una regione demograficamente giovane ma erosa dall’esodo dei giovani e segnata da un divario fra il bisogno e la presa in carico fra i più ampi del Paese; riduce le disuguaglianze sociali e territoriali, che in Calabria costituiscono la ragione preminente dell’intervento; e agisce, attraverso la riduzione della mobilità sanitaria passiva — la più elevata d’Italia, pari a 326,9 milioni di euro l’anno — sullo stesso squilibrio che il piano di rientro mira a sanare, configurandosi così non solo come costo compatibile con il risanamento, ma come suo strumento. Rispetto alle altre regioni della serie, la Calabria occupa una posizione che ne fa un caso a sé: è la regione che ha avviato il servizio per via amministrativa con fondi europei in attesa di un consolidamento normativo, che esce dal più lungo commissariamento sanitario d’Italia, che è inadempiente rispetto ai livelli essenziali di assistenza e che registra il valore più elevato d’Italia di mobilità sanitaria passiva. L’analisi multi-criterio che conclude lo studio assegna al consolidamento del servizio un punteggio di 78,30 su 100, contro 35,05 del non intervento.</w:t>
      </w:r>
    </w:p>
    <w:bookmarkEnd w:id="3362"/>
    <w:bookmarkStart w:id="3363" w:name="indice-generale-del-corpus-13"/>
    <w:p>
      <w:pPr>
        <w:pStyle w:val="Heading2"/>
      </w:pPr>
      <w:r>
        <w:t xml:space="preserve">Indice generale del corpus</w:t>
      </w:r>
    </w:p>
    <w:p>
      <w:pPr>
        <w:pStyle w:val="FirstParagraph"/>
      </w:pPr>
      <w:r>
        <w:t xml:space="preserve">La tabella seguente elenca i sedici documenti dello studio, con i rispettivi capitoli e il contenuto; il documento prosegue poi con le parti e le appendici in sequenza.</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52"/>
        <w:gridCol w:w="1152"/>
        <w:gridCol w:w="552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A.1-A.4</w:t>
            </w:r>
          </w:p>
        </w:tc>
        <w:tc>
          <w:tcPr/>
          <w:p>
            <w:pPr>
              <w:pStyle w:val="Compact"/>
              <w:spacing w:after="40" w:before="40"/>
              <w:jc w:val="left"/>
            </w:pPr>
            <w:r>
              <w:rPr>
                <w:rFonts w:ascii="Cambria" w:hAnsi="Cambria" w:cs="Cambria" w:eastAsia="Cambria"/>
                <w:color w:val="1A1A1A"/>
                <w:sz w:val="18"/>
              </w:rPr>
              <w:t xml:space="preserve">Quadro, quesito e metodo: scopo e quesito,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Bisogno e contesto: demografia, epidemiologia, domanda e offerta, divari,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Intervento e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due casi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sensibilità, scenari,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G.1-G.4</w:t>
            </w:r>
          </w:p>
        </w:tc>
        <w:tc>
          <w:tcPr/>
          <w:p>
            <w:pPr>
              <w:pStyle w:val="Compact"/>
              <w:spacing w:after="40" w:before="40"/>
              <w:jc w:val="left"/>
            </w:pPr>
            <w:r>
              <w:rPr>
                <w:rFonts w:ascii="Cambria" w:hAnsi="Cambria" w:cs="Cambria" w:eastAsia="Cambria"/>
                <w:color w:val="1A1A1A"/>
                <w:sz w:val="18"/>
              </w:rPr>
              <w:t xml:space="preserve">Equità e impatto distributivo: gradiente sociale, assi territoriali, strumenti, costo-efficacia distributiva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H.1-H.4</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giuridico, organizzativo, etico, sintesi</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cinque casi, dimensionamento, reclutamento, sostenibilità, rischi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ex post: impianto, controfattuale, indicatori, cruscotto, sintesi</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M.1-M.5</w:t>
            </w:r>
          </w:p>
        </w:tc>
        <w:tc>
          <w:tcPr/>
          <w:p>
            <w:pPr>
              <w:pStyle w:val="Compact"/>
              <w:spacing w:after="40" w:before="40"/>
              <w:jc w:val="left"/>
            </w:pPr>
            <w:r>
              <w:rPr>
                <w:rFonts w:ascii="Cambria" w:hAnsi="Cambria" w:cs="Cambria" w:eastAsia="Cambria"/>
                <w:color w:val="1A1A1A"/>
                <w:sz w:val="18"/>
              </w:rPr>
              <w:t xml:space="preserve">Sintesi multidimensionale: sintesi per dominio, analisi multi-criterio, raccomandazione, condizioni, conclusione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Appendici A-E</w:t>
            </w:r>
          </w:p>
        </w:tc>
        <w:tc>
          <w:tcPr>
            <w:shd w:val="clear" w:color="auto" w:fill="F4F1EC"/>
          </w:tcPr>
          <w:p>
            <w:pPr>
              <w:pStyle w:val="Compact"/>
              <w:spacing w:after="40" w:before="40"/>
              <w:jc w:val="left"/>
            </w:pPr>
            <w:r>
              <w:rPr>
                <w:rFonts w:ascii="Cambria" w:hAnsi="Cambria" w:cs="Cambria" w:eastAsia="Cambria"/>
                <w:color w:val="1A1A1A"/>
                <w:sz w:val="18"/>
              </w:rPr>
              <w:t xml:space="preserve">A-E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strumenti ed esiti, dati regionali, checklist, glossario</w:t>
            </w:r>
          </w:p>
        </w:tc>
      </w:tr>
    </w:tbl>
    <w:p>
      <w:pPr>
        <w:pStyle w:val="BodyText"/>
      </w:pPr>
      <w:r>
        <w:rPr>
          <w:i/>
          <w:iCs/>
        </w:rPr>
        <w:t xml:space="preserve">Tabella. La mappa di lettura del corpus: undici parti narrative e cinque appendici.</w:t>
      </w:r>
    </w:p>
    <w:bookmarkEnd w:id="3363"/>
    <w:bookmarkStart w:id="3369" w:name="parte-a-quadro-quesito-e-metodo-15"/>
    <w:p>
      <w:pPr>
        <w:pStyle w:val="Heading2"/>
      </w:pPr>
      <w:r>
        <w:t xml:space="preserve">Parte A — Quadro, quesito e metodo</w:t>
      </w:r>
    </w:p>
    <w:p>
      <w:pPr>
        <w:pStyle w:val="FirstParagraph"/>
      </w:pPr>
      <w:r>
        <w:t xml:space="preserve">Questa parte definisce il perimetro dello studio: ne enuncia lo scopo e il quesito di valutazione, individua la popolazione, l’intervento e il termine di confronto, dichiara il metodo, la prospettiva e le fonti, e descrive la governance dei dati e la struttura dell’opera. La Calabria presenta, rispetto alle altre regioni della serie, una condizione peculiare che ne orienta l’intero impianto: il servizio di psicologia di base non è una mera ipotesi né un servizio già consolidato per legge, ma una misura appena avviata in via amministrativa e sperimentale, che attende di essere stabilizzata e dimensionata, in un sistema sanitario regionale che esce, dopo diciassette anni, dal più lungo commissariamento d’Italia. È in questo spazio — fra una sperimentazione già in corso e una struttura ancora da costruire, fra il vincolo del piano di rientro e l’obbligo di garantire i livelli essenziali — che lo studio si colloca e a cui offre il proprio fondamento conoscitivo.</w:t>
      </w:r>
    </w:p>
    <w:bookmarkStart w:id="3364" w:name="a.1-lo-scopo-e-il-quesito-di-valutazione"/>
    <w:p>
      <w:pPr>
        <w:pStyle w:val="Heading3"/>
      </w:pPr>
      <w:r>
        <w:t xml:space="preserve">A.1 Lo scopo e il quesito di valutazione</w:t>
      </w:r>
    </w:p>
    <w:p>
      <w:pPr>
        <w:pStyle w:val="FirstParagraph"/>
      </w:pPr>
      <w:r>
        <w:t xml:space="preserve">Lo studio ha per scopo la valutazione, secondo il metodo della valutazione di tecnologia sanitaria, dell’introduzione strutturale del servizio di psicologia di base nel Servizio Sanitario della Regione Calabria. La valutazione di tecnologia sanitaria è un processo multidisciplinare che esamina un intervento sanitario lungo una pluralità di dimensioni — il bisogno, l’efficacia, la sicurezza, i costi e le conseguenze economiche, l’equità, i profili etici, giuridici e organizzativi, le condizioni di attuazione e di monitoraggio — integrando l’evidenza scientifica con l’analisi del contesto in cui l’intervento dovrebbe operare. Essa fornisce ai decisori non una raccomandazione apodittica, ma un quadro ordinato e trasparente di informazioni e di giudizi, sul quale la decisione politica possa fondarsi in modo informato. Nel caso calabrese, la decisione che lo studio è chiamato a sostenere ha una fisionomia particolare, che lo distingue da quella delle regioni in cui il servizio non esiste e da quella delle regioni in cui esso è già istituito da una legge regionale pienamente operativa.</w:t>
      </w:r>
    </w:p>
    <w:p>
      <w:pPr>
        <w:pStyle w:val="BodyText"/>
      </w:pPr>
      <w:r>
        <w:t xml:space="preserve">La particolarità discende dalla sequenza degli atti che hanno preceduto questo studio. Nell’aprile 2026 la Giunta regionale, su proposta dell’assessore al Welfare e all’inclusione sociale, ha approvato l’aggiornamento del piano regionale di supporto alle fragilità, rimodulando le risorse del Fondo Sociale Europeo Plus per il periodo 2021–2027 e istituendo per via amministrativa lo psicologo di base, destinato a operare all’interno delle strutture sanitarie regionali accanto ai medici di medicina generale; è stato contestualmente annunciato l’avvio del servizio in via sperimentale, con circa quaranta psicologi distribuiti sul territorio regionale e con la stipula imminente di convenzioni con le aziende sanitarie provinciali. Parallelamente, una proposta di legge per l’istituzione del servizio di psicologia di base — articolata in disposizioni che ne definiscono i beneficiari e gli obiettivi, ne disciplinano l’organizzazione mediante elenchi provinciali degli psicologi, ne istituiscono un osservatorio regionale e ne prevedono una clausola valutativa e una norma finanziaria — è all’esame delle competenti commissioni del Consiglio regionale. La Calabria si trova dunque in una fase intermedia: ha avviato il servizio in via sperimentale con risorse europee, ma non ne ha ancora definito l’assetto strutturale né la copertura ordinaria, e dispone di uno strumento legislativo non ancora approvato che potrebbe conferirgli stabilità. A questa fisionomia si aggiunge un dato che ne illumina la direzione: la Calabria è stata la prima regione italiana a introdurre lo psicologo scolastico, segnalando un’attenzione istituzionale al disagio psichico, e in particolare a quello giovanile, che precede e accompagna l’introduzione dello psicologo di base.</w:t>
      </w:r>
    </w:p>
    <w:p>
      <w:pPr>
        <w:pStyle w:val="BodyText"/>
      </w:pPr>
      <w:r>
        <w:t xml:space="preserve">Il quesito di valutazione che ne deriva può essere enunciato come segue: se, e a quali condizioni di assetto, di dimensionamento e di copertura, convenga consolidare in servizio strutturale e permanente la sperimentazione già avviata, in un sistema sanitario regionale che esce dal commissariamento e dal piano di rientro e che deve perciò conciliare ogni nuova misura con il duplice vincolo dell’equilibrio di bilancio e della garanzia dei livelli essenziali di assistenza. Il quesito non è dunque se istituire il servizio — la Giunta lo ha già fatto in via amministrativa — ma se trasformare un avvio sperimentale, finanziato con risorse europee a termine, in una funzione stabile del sistema, dotandola di una base normativa, di un dimensionamento adeguato e di una copertura sostenibile; e, in subordine, quale fra le possibili configurazioni del servizio massimizzi il valore prodotto in rapporto alle risorse impiegate e alle condizioni del contesto. Lo studio risponde a questo quesito costruendo, sui dati regionali e sull’evidenza disponibile, la valutazione delle conseguenze cliniche, economiche, distributive e organizzative del consolidamento del servizio, e ponendo tali conseguenze a confronto con quelle del mantenimento dello stato attuale, in cui il servizio resta una sperimentazione limitata e priva di assetto strutturale.</w:t>
      </w:r>
    </w:p>
    <w:bookmarkEnd w:id="3364"/>
    <w:bookmarkStart w:id="3365" w:name="X888620ff83de032e635fb926f2138bc688da352"/>
    <w:p>
      <w:pPr>
        <w:pStyle w:val="Heading3"/>
      </w:pPr>
      <w:r>
        <w:t xml:space="preserve">A.2 La popolazione, l’intervento e il confronto</w:t>
      </w:r>
    </w:p>
    <w:p>
      <w:pPr>
        <w:pStyle w:val="FirstParagraph"/>
      </w:pPr>
      <w:r>
        <w:t xml:space="preserve">La popolazione di riferimento dello studio è costituita dai residenti in Calabria che presentano un disagio psichico comune — i disturbi d’ansia e dell’umore di intensità lieve e moderata e le condizioni di sofferenza sottosoglia — per i quali l’intervento psicologico precoce al primo livello di assistenza è appropriato ed efficace. Si tratta della larga maggioranza del bisogno di salute mentale della popolazione, quella che oggi, in assenza di un primo livello psicologico strutturato, resta in larga parte priva di risposta o riceve risposte improprie, prevalentemente di natura farmacologica o specialistica, o ancora non riceve risposta alcuna e si traduce in una domanda inevasa che alimenta, a valle, il ricorso al pronto soccorso, il consumo di farmaci e la mobilità verso altre regioni. Le rilevazioni del Ministero della Salute stimano in circa 470.000 i calabresi che convivono con un disturbo mentale o con una condizione sottosoglia, una quota dell’ordine di un quarto della popolazione regionale; di questi, solo una frazione minima — poco più di diciassettemila persone — risulta formalmente in carico ai servizi specialistici, a testimonianza dell’ampiezza del divario fra il bisogno e la presa in carico. Ai fini delle stime economiche, lo studio adotta una definizione prudenziale del disagio comune, riferita a circa il venti per cento della popolazione, pari a un ordine di grandezza di 367.000 persone, mantenendo così le proiezioni su una base conservativa.</w:t>
      </w:r>
    </w:p>
    <w:p>
      <w:pPr>
        <w:pStyle w:val="BodyText"/>
      </w:pPr>
      <w:r>
        <w:t xml:space="preserve">L’intervento valutato è il servizio di psicologia di base, inteso come funzione psicologica stabile collocata al primo livello delle cure primarie territoriali. Nel modello che lo studio assume, lo psicologo di base opera all’interno delle Case della Comunità e delle altre strutture territoriali, in collaborazione con i medici di medicina generale e con i pediatri di libera scelta, ed è accessibile sia per invio da parte del medico sia, entro le modalità che la regione definirà, per accesso diretto del cittadino. La sua attività comprende l’accoglienza e l’ascolto della domanda, la valutazione del bisogno, l’erogazione di interventi psicologici brevi di efficacia documentata, l’orientamento ai servizi specialistici nei casi che lo richiedano e la collaborazione con il medico nella gestione integrata dei pazienti. Il modello organizzativo si fonda sul principio delle cure graduali, per cui l’intensità dell’intervento è commisurata alla gravità del bisogno, e incorpora l’uso della telepsicologia come strumento ordinario, particolarmente rilevante in una regione di vasta estensione, di insediamento disperso e di accentuata difficoltà di accesso ai servizi. L’intervento così definito coincide, nelle sue funzioni essenziali, con quello che la sperimentazione avviata dalla Giunta ha cominciato a realizzare; lo studio ne valuta la generalizzazione e la stabilizzazione su scala regionale.</w:t>
      </w:r>
    </w:p>
    <w:p>
      <w:pPr>
        <w:pStyle w:val="BodyText"/>
      </w:pPr>
      <w:r>
        <w:t xml:space="preserve">Il termine di confronto è lo stato attuale, ossia la condizione in cui versa la Calabria in assenza di un servizio di psicologia di base strutturale. Questa condizione non coincide con il nulla: esiste una sperimentazione appena avviata, limitata a circa quaranta psicologi e finanziata con risorse europee a termine; esistono i Dipartimenti di Salute Mentale, organizzati su cinque dipartimenti, quarantatré centri territoriali e un numero limitato di strutture residenziali e semiresidenziali; esiste una rete di servizi che tuttavia intercetta solo una minima parte del bisogno. Il confronto rilevante è dunque fra il consolidamento strutturale del servizio, esteso e stabilizzato su scala regionale, e la prosecuzione dello stato attuale, in cui il primo livello psicologico resta sperimentale, frammentario e privo di assetto permanente, e in cui la domanda inevasa continua a tradursi in ricorso improprio agli altri livelli del sistema e in mobilità verso altre regioni. Gli esiti considerati nel confronto sono di tre ordini: gli esiti clinici, espressi dalla riduzione della sintomatologia e dal guadagno di anni di vita ponderati per la qualità; gli esiti di sistema, espressi dalla riduzione degli accessi impropri al pronto soccorso, del consumo di farmaci, dei ricoveri, delle prestazioni specialistiche e della mobilità sanitaria passiva; e gli esiti di equità, espressi dalla riduzione delle disuguaglianze sociali e territoriali nell’accesso alla cura della salute mentale. L’orizzonte temporale del confronto è di cinque anni, coerente con la durata entro cui gli effetti clinici ed economici dell’intervento si manifestano in misura apprezzabile.</w:t>
      </w:r>
    </w:p>
    <w:bookmarkEnd w:id="3365"/>
    <w:bookmarkStart w:id="3366" w:name="a.3-il-metodo-la-prospettiva-e-le-fonti"/>
    <w:p>
      <w:pPr>
        <w:pStyle w:val="Heading3"/>
      </w:pPr>
      <w:r>
        <w:t xml:space="preserve">A.3 Il metodo, la prospettiva e le fonti</w:t>
      </w:r>
    </w:p>
    <w:p>
      <w:pPr>
        <w:pStyle w:val="FirstParagraph"/>
      </w:pPr>
      <w:r>
        <w:t xml:space="preserve">Lo studio adotta il metodo della valutazione di tecnologia sanitaria, articolato secondo un telaio a nove domini che corrispondono alle parti dell’opera. Al cuore della valutazione vi è l’analisi economica, condotta secondo tre tecniche complementari: l’analisi di costo-utilità, che esprime il costo dell’intervento per anno di vita ponderato per la qualità guadagnato; l’analisi di impatto sul bilancio, che misura l’effetto netto dell’intervento sulla spesa sanitaria regionale lungo i suoi diversi canali; e l’analisi del ritorno sociale sull’investimento, che esprime in termini monetari il valore sociale complessivo generato per la collettività. A queste si affianca la modellazione del decorso clinico mediante un modello di Markov, che rappresenta la transizione dei pazienti fra gli stati di salute e ne proietta gli esiti lungo l’orizzonte temporale, e l’analisi dell’incertezza, condotta in forma sia deterministica sia probabilistica, che verifica la robustezza dei risultati rispetto alla variazione dei parametri.</w:t>
      </w:r>
    </w:p>
    <w:p>
      <w:pPr>
        <w:pStyle w:val="BodyText"/>
      </w:pPr>
      <w:r>
        <w:t xml:space="preserve">La prospettiva della valutazione merita, nel caso calabrese, una precisazione particolare. Lo studio adotta in via principale la prospettiva del Servizio Sanitario Regionale, che considera i costi e i risparmi che gravano sul bilancio sanitario, e in via complementare la prospettiva della collettività, che considera anche le ricadute economiche e sociali che si producono al di fuori del bilancio sanitario. Le due prospettive sono tenute rigorosamente distinte, e i risparmi diretti per il bilancio non sono mai sommati alle ricadute sociali in un unico indice. La preminenza della prospettiva del bilancio sanitario non è, in Calabria, una scelta meramente metodologica: essa discende dalla condizione del sistema sanitario regionale, che esce da un lungo regime di commissariamento e da un piano di rientro il cui scopo è precisamente il riequilibrio dei conti unito alla garanzia dei livelli essenziali. In tale condizione, ogni nuova misura deve dimostrare la propria compatibilità con il vincolo di bilancio, e il suo effetto sui conti sanitari assume un rilievo decisivo. Lo studio assume perciò come criterio primario la sostenibilità finanziaria della misura per il bilancio regionale, e mostra come l’introduzione del servizio incida sui canali di spesa che il piano di rientro mira a contenere — il ricorso improprio al pronto soccorso, il consumo di farmaci, i ricoveri evitabili e, soprattutto, la mobilità sanitaria passiva, che in Calabria raggiunge il valore più elevato d’Italia.</w:t>
      </w:r>
    </w:p>
    <w:p>
      <w:pPr>
        <w:pStyle w:val="BodyText"/>
      </w:pPr>
      <w:r>
        <w:t xml:space="preserve">Le fonti dello studio sono di tre nature. Le fonti del contesto regionale comprendono i dati demografici del censimento permanente dell’Istituto Nazionale di Statistica aggiornati al 2024, i dati sulla mobilità sanitaria della Fondazione Gimbe riferiti al 2023, le rilevazioni del Ministero della Salute sulla salute mentale, i documenti della programmazione sanitaria regionale, fra cui il programma operativo del piano di rientro, e gli atti regionali relativi all’avvio del servizio. Le fonti dell’evidenza scientifica comprendono la letteratura internazionale sull’efficacia degli interventi psicologici brevi nelle cure primarie e sulla loro valutazione economica, da cui sono tratti i parametri clinici del modello. Le fonti normative comprendono la Costituzione, la legislazione nazionale sull’ordinamento sanitario, il decreto ministeriale del 2022 sugli standard dell’assistenza territoriale, che colloca la funzione psicologica nelle Case della Comunità, e la giurisprudenza costituzionale rilevante, in particolare la sentenza che ha definito i limiti entro cui una legge regionale può disciplinare il servizio. I parametri economici regionali, in assenza di rilevazioni dirette consolidate — una carenza che in Calabria è resa più acuta dalla storica difficoltà di approvazione dei bilanci delle aziende sanitarie — sono stimati in bande prudenziali, con proiezioni conservative e falsificabili, destinate a essere sostituite dalle misure dirette che il sistema informativo e il piano di monitoraggio consentiranno di raccogliere.</w:t>
      </w:r>
    </w:p>
    <w:bookmarkEnd w:id="3366"/>
    <w:bookmarkStart w:id="3368" w:name="X0146356c97088ec32f66625283a584377d1b07b"/>
    <w:p>
      <w:pPr>
        <w:pStyle w:val="Heading3"/>
      </w:pPr>
      <w:r>
        <w:t xml:space="preserve">A.4 La governance dei dati e la struttura dello studio</w:t>
      </w:r>
    </w:p>
    <w:p>
      <w:pPr>
        <w:pStyle w:val="FirstParagraph"/>
      </w:pPr>
      <w:r>
        <w:t xml:space="preserve">La governance dei dati costituisce, in uno studio di questa natura, una condizione di legittimità e di qualità. I dati personali necessari alla valutazione e al monitoraggio del servizio — le variabili anagrafiche e di contesto, le variabili relative all’accesso e al percorso, i punteggi degli strumenti di misurazione degli esiti — devono essere trattati nel rispetto della normativa sulla protezione dei dati personali, con le garanzie di minimizzazione, di finalità e di sicurezza che essa impone. Lo studio assume che la rilevazione di tali dati avvenga in modo strutturato, mediante un sistema informativo che alimenti contestualmente la gestione clinica e la valutazione, e che i dati siano disaggregabili per le variabili rilevanti all’analisi dell’equità — la condizione sociale, la collocazione territoriale fra polo e area interna — così da consentire la verifica degli obiettivi distributivi. La qualità della governance dei dati assume in Calabria un rilievo accresciuto: la regione ha conosciuto una prolungata difficoltà nella tenuta e nell’approvazione dei bilanci delle aziende sanitarie, sicché la costruzione di un sistema informativo affidabile per il nuovo servizio è insieme una necessità tecnica e un’occasione di rafforzamento complessivo della capacità di rilevazione del sistema.</w:t>
      </w:r>
    </w:p>
    <w:p>
      <w:pPr>
        <w:pStyle w:val="BodyText"/>
      </w:pPr>
      <w:r>
        <w:t xml:space="preserve">Lo studio è strutturato in undici parti narrative, dalla A alla M secondo l’alfabeto italiano che salta le lettere J e K, e in cinque appendici, dalla A alla E. La presente Parte A definisce il quadro, il quesito e il metodo. La Parte B analizza il bisogno e il contesto, descrivendo la demografia, l’epidemiologia del disagio, la domanda e l’offerta, le disuguaglianze, i flussi di mobilità e il quadro normativo. La Parte C definisce l’intervento e il modello organizzativo, comprensivi del percorso clinico, del sistema informativo, dell’intelligenza artificiale e della formazione. La Parte D esamina l’efficacia e la qualità dell’evidenza. La Parte E sviluppa la valutazione economica nelle sue diverse componenti. La Parte F sviluppa la modellazione e l’analisi dell’incertezza. La Parte G analizza l’equità e l’impatto distributivo. La Parte H esamina i profili etici, giuridici e organizzativi. La Parte I tratta l’attuazione, la fattibilità e la sostenibilità. La Parte L definisce il monitoraggio e la valutazione successiva all’introduzione. La Parte M offre la sintesi multidimensionale e la raccomandazione. Le appendici raccolgono il caso di riferimento e i parametri del modello, gli strumenti di misurazione e il dataset minimo, i dati regionali e quelli da acquisire, la lista di controllo per la rendicontazione e il glossario. La struttura segue l’ordine logico della valutazione, dal problema di salute alla raccomandazione conclusiva, e consente al lettore di percorrere l’intero ragionamento o di accedere direttamente alla parte di suo interesse.</w:t>
      </w:r>
      <w:r>
        <w:rPr>
          <w:rStyle w:val="FootnoteReference"/>
        </w:rPr>
        <w:footnoteReference w:id="3396"/>
      </w:r>
    </w:p>
    <w:bookmarkEnd w:id="3368"/>
    <w:bookmarkEnd w:id="3369"/>
    <w:bookmarkStart w:id="3377" w:name="parte-b-bisogno-e-contesto"/>
    <w:p>
      <w:pPr>
        <w:pStyle w:val="Heading2"/>
      </w:pPr>
      <w:r>
        <w:t xml:space="preserve">Parte B — Bisogno e contesto</w:t>
      </w:r>
    </w:p>
    <w:p>
      <w:pPr>
        <w:pStyle w:val="FirstParagraph"/>
      </w:pPr>
      <w:r>
        <w:t xml:space="preserve">Questa parte ricostruisce il bisogno di salute a cui il servizio di psicologia di base intende rispondere e il contesto in cui esso opererebbe. Ne esamina in successione la demografia, l’epidemiologia del disagio psichico, il rapporto fra la domanda e l’offerta, le disuguaglianze sociali e territoriali, i flussi della mobilità sanitaria e il quadro normativo. Il bisogno e il contesto calabresi presentano una combinazione che non si ritrova in nessun’altra regione della serie: una popolazione demograficamente giovane ma erosa da un esodo che ne sottrae proprio le generazioni più giovani, un sistema sanitario che esce dal più lungo commissariamento d’Italia, il valore più elevato del Paese di mobilità sanitaria passiva, l’inadempienza nei livelli essenziali di assistenza e una spesa per la salute mentale fra le più basse in assoluto. È in questa combinazione che si misura la rilevazione del bisogno e si fonda la valutazione dell’intervento.</w:t>
      </w:r>
    </w:p>
    <w:bookmarkStart w:id="3370" w:name="b.1-la-demografia"/>
    <w:p>
      <w:pPr>
        <w:pStyle w:val="Heading3"/>
      </w:pPr>
      <w:r>
        <w:t xml:space="preserve">B.1 La demografia</w:t>
      </w:r>
    </w:p>
    <w:p>
      <w:pPr>
        <w:pStyle w:val="FirstParagraph"/>
      </w:pPr>
      <w:r>
        <w:t xml:space="preserve">La Calabria conta, secondo il censimento permanente dell’Istituto Nazionale di Statistica aggiornato al 31 dicembre 2024, 1.834.646 residenti, in calo di 3.922 unità rispetto all’anno precedente, pari a una diminuzione dello 0,2 per cento. La popolazione è distribuita su 404 comuni e cinque province, con una forte concentrazione nelle due province maggiori: oltre il sessanta per cento dei residenti vive nelle province di Cosenza, che da sola ne raccoglie circa il 36 per cento, e di Reggio Calabria, che ne raccoglie circa il 28 per cento; segue Catanzaro con circa il 18 per cento, mentre Crotone e Vibo Valentia ospitano insieme la quota restante, dell’ordine del 17 per cento. La distribuzione insediativa è marcatamente dispersa: più di un quarto della popolazione, il 28,3 per cento, vive in comuni di ampiezza compresa fra mille e cinquemila abitanti, e oltre un quinto, il 20,9 per cento, in comuni fra cinquemila e diecimila. La componente straniera ammonta a 105.439 persone, pari al 5,7 per cento della popolazione, con un’incidenza inferiore alla media nazionale e provenienze prevalenti da Romania, Marocco e Ucraina.</w:t>
      </w:r>
    </w:p>
    <w:p>
      <w:pPr>
        <w:pStyle w:val="BodyText"/>
      </w:pPr>
      <w:r>
        <w:t xml:space="preserve">La struttura per età della popolazione calabrese presenta un tratto che, se considerato isolatamente, distingue la regione dalla maggior parte di quelle meridionali e ne fa una delle più giovani d’Italia: l’età media, pari nel 2024 a 46,2 anni, è inferiore alla media nazionale di 46,9 anni, e l’indice di vecchiaia, sebbene in crescita e attestato intorno a 196,7 anziani ogni cento giovani, resta inferiore a quello di regioni più anziane. La provincia di Crotone, con un’età media di 44,8 anni, è fra le più giovani d’Italia, mentre Catanzaro e Cosenza, entrambe a 46,7 anni, sono le più anziane della regione; il comune di Platì, in provincia di Reggio Calabria, è il più giovane del Paese. Questa relativa giovinezza demografica, tuttavia, non descrive adeguatamente la dinamica reale della popolazione, e rischia anzi di occultarla. La Calabria è infatti una delle regioni con il più sfavorevole tasso di migrazione interna, dell’ordine di meno 5,4 per mille, fra i peggiori d’Italia: i suoi giovani e i suoi residenti in età lavorativa emigrano verso le regioni del Centro e del Nord in misura tale che la giovinezza della struttura per età si va progressivamente erodendo. A ciò si aggiunge una denatalità che nel 2024 ha toccato il minimo storico, con 12.679 nati, 603 in meno rispetto all’anno precedente, a fronte di una mortalità in calo che mantiene comunque negativo il saldo naturale. Il quadro che ne risulta è quello di una popolazione che perde i propri giovani per emigrazione e non li rinnova per nascita, con il duplice effetto di uno spopolamento progressivo, particolarmente acuto nelle aree interne montane, e di un disagio diffuso connesso alla separazione delle famiglie, alla precarietà delle prospettive e all’abbandono dei territori. La vasta estensione della regione, l’asprezza del territorio montano — la Sila, l’Aspromonte, il Pollino — e la dispersione degli insediamenti rendono inoltre l’accesso fisico ai servizi sanitari strutturalmente difficile per una parte rilevante della popolazione, e fanno della telepsicologia non un complemento accessorio, ma una condizione di effettiva accessibilità del servizio.</w:t>
      </w:r>
    </w:p>
    <w:bookmarkEnd w:id="3370"/>
    <w:bookmarkStart w:id="3371" w:name="b.2-lepidemiologia-del-disagio-psichico"/>
    <w:p>
      <w:pPr>
        <w:pStyle w:val="Heading3"/>
      </w:pPr>
      <w:r>
        <w:t xml:space="preserve">B.2 L’epidemiologia del disagio psichico</w:t>
      </w:r>
    </w:p>
    <w:p>
      <w:pPr>
        <w:pStyle w:val="FirstParagraph"/>
      </w:pPr>
      <w:r>
        <w:t xml:space="preserve">La dimensione del disagio psichico in Calabria è documentata da una pluralità di fonti convergenti. Secondo le rilevazioni del Ministero della Salute riferite al 2024, circa 470.000 calabresi convivono con un disturbo mentale o con una condizione di sofferenza sottosoglia, una quota dell’ordine di un quarto della popolazione regionale, compresa secondo le stime fra il venti e il venticinque per cento. La larga maggioranza di questo disagio è costituita dai disturbi d’ansia e dell’umore di intensità lieve e moderata e dalle condizioni sottosoglia, ossia precisamente da quella sofferenza comune per la quale l’intervento psicologico precoce al primo livello di assistenza è appropriato ed efficace, e che lo studio assume, in via prudenziale e su una base conservativa pari a circa il venti per cento della popolazione, come bisogno di riferimento dell’ordine di 367.000 persone. La distribuzione del disagio non è uniforme nella popolazione, ma segue il gradiente della deprivazione sociale: la documentazione della programmazione sanitaria regionale riconosce esplicitamente come la maggiore domanda di servizi sanitari in Calabria sia riconducibile a fattori quali la scarsa istruzione, la carenza di lavoro e le condizioni abitative e familiari disagiate, parametri che concorrono all’indice di deprivazione e che la regione presenta in misura fra le più elevate del Paese.</w:t>
      </w:r>
    </w:p>
    <w:p>
      <w:pPr>
        <w:pStyle w:val="BodyText"/>
      </w:pPr>
      <w:r>
        <w:t xml:space="preserve">Particolare rilievo assume, nel contesto calabrese, il disagio delle fasce giovanili e di quelle anziane. Il disagio giovanile, che ha trovato espressione anche in recenti e drammatici fatti di cronaca, è stato all’origine dell’impegno regionale che ha condotto la Calabria a essere la prima regione italiana a introdurre lo psicologo scolastico; esso costituisce una componente rilevante del bisogno complessivo e si lega, nel territorio calabrese, alle prospettive di emigrazione e di precarietà che gravano sulle nuove generazioni. Il disagio degli anziani, accentuato dall’isolamento connesso allo spopolamento delle aree interne, presenta una prevalenza di sintomi depressivi che, nelle fasce socialmente ed economicamente più fragili, può raggiungere quote molto elevate. A questi si aggiunge la considerazione, di portata generale ma di particolare gravità in un contesto di offerta carente, che la depressione non adeguatamente trattata si associa a una riduzione dell’aspettativa di vita stimabile in circa dieci anni, sicché il mancato intervento sul disagio comune non è privo di conseguenze sulla salute fisica e sulla sopravvivenza. Il disagio psichico comune, in sintesi, non è in Calabria un problema marginale o circoscritto, ma un fenomeno di massa, diffuso nell’intera popolazione e accentuato nelle fasce e nei territori più fragili, la cui ampiezza eccede largamente la capacità di risposta dei servizi esistenti.</w:t>
      </w:r>
    </w:p>
    <w:bookmarkEnd w:id="3371"/>
    <w:bookmarkStart w:id="3372" w:name="b.3-la-domanda-lofferta-e-il-divario"/>
    <w:p>
      <w:pPr>
        <w:pStyle w:val="Heading3"/>
      </w:pPr>
      <w:r>
        <w:t xml:space="preserve">B.3 La domanda, l’offerta e il divario</w:t>
      </w:r>
    </w:p>
    <w:p>
      <w:pPr>
        <w:pStyle w:val="FirstParagraph"/>
      </w:pPr>
      <w:r>
        <w:t xml:space="preserve">Il confronto fra la dimensione del bisogno e la capacità di risposta del sistema rivela un divario di proporzioni considerevoli. A fronte di circa 470.000 persone con un disturbo o una condizione sottosoglia, risultano formalmente in carico ai Dipartimenti di Salute Mentale, nel corso del 2023, soltanto 17.636 persone: una frazione minima del bisogno, che lascia la stragrande maggioranza della domanda priva di una presa in carico specialistica. Questa domanda inevasa non scompare, ma si manifesta per altre vie e ricade su altri livelli del sistema. La manifestazione più visibile è il ricorso al pronto soccorso: i pronto soccorso calabresi registrano in un anno 15.407 accessi per problemi psichiatrici, oltre quaranta al giorno, in larga parte per sintomi di ansia, depressione e sindromi nevrotiche che un primo livello psicologico avrebbe potuto intercettare e trattare in modo più appropriato e meno costoso. I servizi territoriali erogano circa 164.000 prestazioni l’anno, di cui poco più di ottomila a domicilio, una quantità che, per quanto significativa, non riesce a stare al passo con l’ampiezza del disagio.</w:t>
      </w:r>
    </w:p>
    <w:p>
      <w:pPr>
        <w:pStyle w:val="BodyText"/>
      </w:pPr>
      <w:r>
        <w:t xml:space="preserve">L’offerta dei servizi di salute mentale si articola in una rete che, pur dotata di una base infrastrutturale, è quantitativamente inadeguata rispetto al bisogno: cinque Dipartimenti di Salute Mentale, quarantatré centri territoriali, ventidue strutture residenziali e cinque semiresidenziali, con poco più di quattrocento posti letto residenziali e una cinquantina di semiresidenziali, e una spesa psichiatrica territoriale dell’ordine di ottantotto milioni di euro. A questa rete si aggiunge, dall’aprile 2026, la sperimentazione dello psicologo di base avviata dalla Giunta regionale, limitata a circa quaranta professionisti distribuiti sull’intero territorio regionale: una misura che segna una direzione, ma che per dimensione è ancora largamente insufficiente a colmare il divario. Il primo livello psicologico — la funzione di accoglienza, ascolto, valutazione e intervento breve collocata nelle cure primarie, accanto al medico di medicina generale — è, allo stato, quasi interamente assente, e la sua assenza è la ragione strutturale per cui il disagio comune resta privo di risposta o riceve risposte improprie. Il decreto ministeriale del 2022 sugli standard dell’assistenza territoriale colloca espressamente la funzione psicologica al primo livello, nelle Case della Comunità, ma in Calabria tali strutture sono in larga parte ancora in corso di realizzazione nell’ambito degli investimenti del Piano Nazionale di Ripresa e Resilienza, sicché la cornice organizzativa entro cui il servizio dovrebbe operare è essa stessa in costruzione. Il divario fra il bisogno e la presa in carico — fra centinaia di migliaia di persone in sofferenza e poche decine di migliaia in cura, fra la domanda diffusa e i quaranta psicologi della sperimentazione — definisce con precisione lo spazio che il consolidamento strutturale del servizio è chiamato a colmare.</w:t>
      </w:r>
    </w:p>
    <w:bookmarkEnd w:id="3372"/>
    <w:bookmarkStart w:id="3373" w:name="X4c720d48b6fbc4475b3b4e610f2ba4114c9c534"/>
    <w:p>
      <w:pPr>
        <w:pStyle w:val="Heading3"/>
      </w:pPr>
      <w:r>
        <w:t xml:space="preserve">B.4 Le disuguaglianze sociali e territoriali</w:t>
      </w:r>
    </w:p>
    <w:p>
      <w:pPr>
        <w:pStyle w:val="FirstParagraph"/>
      </w:pPr>
      <w:r>
        <w:t xml:space="preserve">Il disagio psichico in Calabria si dispone lungo due assi di disuguaglianza che si intersecano e si rafforzano. Il primo asse è quello sociale: la prevalenza del disagio è più elevata nelle fasce socialmente ed economicamente più deboli, mentre la capacità di accedere a una cura adeguata, e in particolare a una cura psicologica privata in assenza di un’offerta pubblica, è in queste stesse fasce più ridotta; ne deriva che il bisogno è massimo dove la possibilità di risposta autonoma è minima, e che l’assenza di un servizio pubblico gratuito o a basso costo colpisce in misura maggiore proprio chi ne avrebbe più bisogno. In una regione che presenta fra i più elevati indici di deprivazione del Paese — per livelli di istruzione, condizione occupazionale e condizioni abitative — questo asse di disuguaglianza assume un peso particolarmente rilevante. Il secondo asse è quello territoriale, e si articola a sua volta su due livelli. A livello nazionale, la Calabria è nel suo complesso una regione svantaggiata: il sistema sanitario regionale è inadempiente rispetto alla garanzia dei livelli essenziali di assistenza, con un punteggio di valutazione attestatosi intorno a 125, ben al di sotto della soglia di adempienza fissata a 160 e in peggioramento rispetto al 162 registrato nel 2018; la regione, cioè, non garantisce ai propri cittadini i livelli di assistenza che la Costituzione impone in modo uniforme su tutto il territorio nazionale. A livello interno, all’interno della regione, le aree montane e interne — disperse, spopolate e distanti dai poli urbani di Cosenza, Reggio Calabria e Catanzaro — soffrono di una difficoltà di accesso ai servizi assai maggiore di quella delle aree costiere e urbane.</w:t>
      </w:r>
    </w:p>
    <w:p>
      <w:pPr>
        <w:pStyle w:val="BodyText"/>
      </w:pPr>
      <w:r>
        <w:t xml:space="preserve">A questi due assi si sovrappone una terza, decisiva, disuguaglianza, interna al sistema sanitario stesso: il sottofinanziamento della salute mentale. La Calabria destina alla salute mentale una quota del proprio fondo sanitario regionale inferiore al 2,5 per cento, collocandosi fra le regioni fanalino di coda d’Italia, ben al di sotto della soglia del cinque per cento a cui le regioni si erano impegnate e della media europea. Si configura così una condizione di doppio svantaggio: il dominio della salute mentale, già il più trascurato del sistema sanitario, è particolarmente trascurato in una delle regioni più svantaggiate del Paese, sicché il cittadino calabrese che soffre di disagio psichico cumula lo svantaggio di vivere in una regione con offerta sanitaria carente e quello di soffrire in un ambito a cui è destinata una quota di risorse fra le più basse. A complicare il quadro concorrono lo stigma, che induce una parte rilevante delle persone a sospendere i trattamenti o a non presentarsi agli interventi, e il sottoutilizzo della telemedicina, che in metà dei centri non è impiegata per carenza di indirizzi regionali, aggravando il divario digitale che si somma a quello territoriale. La riduzione di queste disuguaglianze costituisce, in Calabria più che altrove, non un effetto collaterale dell’intervento, ma una delle sue ragioni preminenti, e si lega direttamente al rispetto del principio costituzionale per cui la tutela del diritto alla salute è preminente rispetto all’equilibrio di bilancio.</w:t>
      </w:r>
    </w:p>
    <w:bookmarkEnd w:id="3373"/>
    <w:bookmarkStart w:id="3374" w:name="b.5-i-flussi-e-la-mobilità-sanitaria-2"/>
    <w:p>
      <w:pPr>
        <w:pStyle w:val="Heading3"/>
      </w:pPr>
      <w:r>
        <w:t xml:space="preserve">B.5 I flussi e la mobilità sanitaria</w:t>
      </w:r>
    </w:p>
    <w:p>
      <w:pPr>
        <w:pStyle w:val="FirstParagraph"/>
      </w:pPr>
      <w:r>
        <w:t xml:space="preserve">Il dato che, più di ogni altro, caratterizza il contesto sanitario calabrese e ne illumina la rilevanza economica è quello della mobilità sanitaria passiva. Secondo il report della Fondazione Gimbe riferito al 2023, la Calabria registra un saldo negativo di mobilità sanitaria pari a 326,9 milioni di euro, in aumento di 22,1 milioni rispetto all’anno precedente: si tratta del passivo più elevato d’Italia in valore assoluto. Il saldo è composto da crediti per circa 35,4 milioni, che collocano la regione in diciottesima posizione nazionale per capacità di attrazione, e da debiti per circa 362,4 milioni, che la collocano in quinta posizione per spesa sostenuta a favore di altre regioni; in termini pro capite, l’impatto del saldo negativo è stimato in circa 178 euro per residente, fra i più gravosi del Paese. La Calabria, insieme a Campania, Lazio, Puglia, Sardegna e Sicilia, concentra oltre il settantotto per cento del saldo passivo complessivo nazionale, in un flusso strutturalmente orientato dal Mezzogiorno verso le regioni del Centro e del Nord. Una quota rilevante di questa spesa, inoltre, non confluisce verso strutture pubbliche ma verso il privato accreditato, che a livello nazionale incassa oltre la metà della spesa per prestazioni specialistiche rese fuori regione.</w:t>
      </w:r>
    </w:p>
    <w:p>
      <w:pPr>
        <w:pStyle w:val="BodyText"/>
      </w:pPr>
      <w:r>
        <w:t xml:space="preserve">La mobilità sanitaria passiva non è, come ha osservato il presidente della Fondazione Gimbe, un fenomeno neutro: essa è fra gli indicatori più sensibili delle disuguaglianze del sistema sanitario regionale, e segnala dove i cittadini trovano risposte adeguate e dove invece sono costretti a spostarsi per curarsi; sempre meno una scelta e sempre più una necessità. Per la Calabria, questo significa che ogni anno centinaia di milioni di euro e migliaia di pazienti lasciano la regione per ricevere altrove cure che la regione non riesce a garantire, con un duplice danno: la sottrazione di risorse al sistema sanitario regionale, già gravato dal piano di rientro, e l’aggravio per i cittadini, costretti a sostenere i costi e i disagi dello spostamento. Il legame fra la mobilità passiva e il disagio psichico non trattato è, in parte, indiretto ma reale: una quota della mobilità è riconducibile, a monte, a condizioni di disagio psichico non intercettato che si traducono in somatizzazioni, in comorbilità che aggravano patologie fisiche, in percorsi di cura abbandonati o cercati altrove. Un primo livello psicologico efficace, intercettando precocemente il disagio comune e gestendolo in prossimità, può contribuire a ridurre la quota impropria di questa mobilità, agendo così sul più ampio bacino di risparmio diretto disponibile in Italia. A questa mobilità sanitaria si affianca, e con essa si intreccia, la migrazione interna della popolazione: l’emigrazione dei giovani e dei residenti in età lavorativa verso il Centro e il Nord, che impoverisce demograficamente la regione e accresce il disagio connesso alla separazione e allo spopolamento, costituendo a sua volta un fattore di domanda di salute mentale.</w:t>
      </w:r>
    </w:p>
    <w:bookmarkEnd w:id="3374"/>
    <w:bookmarkStart w:id="3376" w:name="b.6-il-quadro-normativo-2"/>
    <w:p>
      <w:pPr>
        <w:pStyle w:val="Heading3"/>
      </w:pPr>
      <w:r>
        <w:t xml:space="preserve">B.6 Il quadro normativo</w:t>
      </w:r>
    </w:p>
    <w:p>
      <w:pPr>
        <w:pStyle w:val="FirstParagraph"/>
      </w:pPr>
      <w:r>
        <w:t xml:space="preserve">Il quadro normativo entro cui si colloca l’introduzione del servizio si compone di un livello nazionale, di un livello regionale e di vincoli giurisprudenziali specifici. A livello nazionale, l’ordinamento del Servizio Sanitario, definito dalla legge istitutiva del 1978 e dal decreto legislativo di riordino del 1992, attribuisce alle regioni l’organizzazione dell’assistenza sanitaria nel rispetto dei livelli essenziali; il decreto ministeriale del 2022 sugli standard dell’assistenza territoriale colloca espressamente la funzione psicologica al primo livello, nelle Case della Comunità, in collaborazione con i medici di medicina generale, fornendo così la cornice nazionale entro cui il servizio di psicologia di base trova collocazione. Un vincolo specifico discende dalla giurisprudenza costituzionale: la sentenza numero 241 del 2021, che ha definito i limiti entro cui una legge regionale può disciplinare il servizio, escludendo che la regione possa istituire autonomamente rapporti convenzionali di tipo libero-professionale eccedenti la propria competenza. Questo vincolo è di particolare rilievo per la Calabria, sotto due profili: da un lato, la proposta di legge in esame deve essere costruita in modo da rispettarlo, configurando un servizio legittimo nel suo assetto; dall’altro, la via amministrativa scelta dalla Giunta — l’avvio della sperimentazione mediante la rimodulazione di fondi europei del Fondo Sociale Europeo Plus, anziché mediante l’istituzione di rapporti convenzionali — si colloca su un piano distinto, che ha consentito di avviare il servizio senza incorrere immediatamente nei limiti censurati. Va inoltre richiamato il principio, affermato dalla Corte costituzionale, per cui la tutela dei diritti fondamentali, fra cui il diritto alla salute, è preminente rispetto al pareggio di bilancio: principio che assume rilievo decisivo in una regione in cui la garanzia dei livelli essenziali nella salute mentale rischia di essere sacrificata alle esigenze del rientro.</w:t>
      </w:r>
    </w:p>
    <w:p>
      <w:pPr>
        <w:pStyle w:val="BodyText"/>
      </w:pPr>
      <w:r>
        <w:t xml:space="preserve">A livello regionale, il quadro è definito dalla sequenza di atti già richiamata. La deliberazione della Giunta regionale dell’aprile 2026, aggiornando il piano regionale di supporto alle fragilità e rimodulando le risorse del Fondo Sociale Europeo Plus 2021–2027, ha istituito per via amministrativa lo psicologo di base e ne ha avviato la sperimentazione. La proposta di legge per l’istituzione del servizio di psicologia di base, all’esame delle commissioni consiliari, ne disciplinerebbe l’assetto strutturale: essa istituisce il servizio, ne individua i beneficiari e gli obiettivi, prevede la creazione di elenchi provinciali degli psicologi di base, ne detta l’organizzazione, istituisce un osservatorio regionale con funzioni di controllo e indirizzo, e contiene una clausola valutativa e una norma finanziaria; la relazione che l’accompagna richiama espressamente, fra i precedenti, le leggi regionali della Campania e della Puglia del 2020 e la giurisprudenza costituzionale rilevante. Su tutto sovrasta la cornice del piano di rientro e del programma operativo, il cui obiettivo dichiarato è la completa erogazione dei livelli essenziali di assistenza nel rispetto dell’equilibrio economico, e la condizione, in evoluzione, dell’uscita dal commissariamento, decisa dal Consiglio dei Ministri nell’aprile 2026 e in attesa di efficacia. Il consolidamento strutturale del servizio dovrà dunque inserirsi in questa cornice, conciliando l’ampliamento dell’offerta con il vincolo di bilancio e fondando la propria legittimità sia sulla base normativa che la proposta di legge intende fornire, sia sulla compatibilità con gli obiettivi del rientro, di cui il servizio può anzi divenire uno strumento, contribuendo alla riduzione della spesa impropria e della mobilità passiva.</w:t>
      </w:r>
      <w:r>
        <w:rPr>
          <w:rStyle w:val="FootnoteReference"/>
        </w:rPr>
        <w:footnoteReference w:id="3397"/>
      </w:r>
    </w:p>
    <w:bookmarkEnd w:id="3376"/>
    <w:bookmarkEnd w:id="3377"/>
    <w:bookmarkStart w:id="3385" w:name="parte-c-intervento-e-modello"/>
    <w:p>
      <w:pPr>
        <w:pStyle w:val="Heading2"/>
      </w:pPr>
      <w:r>
        <w:t xml:space="preserve">Parte C — Intervento e modello</w:t>
      </w:r>
    </w:p>
    <w:p>
      <w:pPr>
        <w:pStyle w:val="FirstParagraph"/>
      </w:pPr>
      <w:r>
        <w:t xml:space="preserve">Questa parte definisce l’intervento oggetto della valutazione e ne descrive il modello organizzativo. Ne precisa anzitutto la natura e i confini, distinguendolo dalle figure e dai servizi affini; ne illustra poi l’assetto organizzativo, il percorso clinico, il sistema informativo, l’integrazione dell’intelligenza artificiale e la formazione del personale. Il modello che lo studio assume non è una costruzione astratta: esso parte dalla sperimentazione che la Regione Calabria ha già avviato e ne descrive la generalizzazione e la stabilizzazione in servizio strutturale, calandola nelle condizioni organizzative reali del sistema sanitario regionale — la rete delle Case della Comunità in costruzione, l’articolazione in cinque aziende sanitarie provinciali, la centralizzazione del reclutamento, il vincolo del piano di rientro.</w:t>
      </w:r>
    </w:p>
    <w:bookmarkStart w:id="3378" w:name="c.1-la-definizione-del-servizio"/>
    <w:p>
      <w:pPr>
        <w:pStyle w:val="Heading3"/>
      </w:pPr>
      <w:r>
        <w:t xml:space="preserve">C.1 La definizione del servizio</w:t>
      </w:r>
    </w:p>
    <w:p>
      <w:pPr>
        <w:pStyle w:val="FirstParagraph"/>
      </w:pPr>
      <w:r>
        <w:t xml:space="preserve">Il servizio di psicologia di base è una funzione psicologica stabile collocata al primo livello delle cure primarie territoriali, destinata a intercettare e a trattare il disagio psichico comune nella popolazione generale. La sua attività si compone di un insieme definito di prestazioni: l’accoglienza e l’ascolto della domanda che il cittadino o il medico portano; la valutazione del bisogno mediante colloqui e strumenti standardizzati; l’erogazione di interventi psicologici brevi di efficacia documentata, rivolti ai disturbi d’ansia e dell’umore di intensità lieve e moderata e alle condizioni di sofferenza sottosoglia; l’orientamento e l’invio ai servizi specialistici nei casi che eccedono il primo livello; e la collaborazione con il medico di medicina generale e con il pediatra di libera scelta nella gestione integrata dei pazienti, compresa l’attenzione alla salute fisica delle persone con disturbi psichici. Si tratta, nelle sue funzioni essenziali, della medesima attività che la sperimentazione avviata dalla Giunta regionale nell’aprile 2026 ha cominciato a realizzare con circa quaranta psicologi; lo studio ne valuta la generalizzazione su scala regionale e la trasformazione in funzione permanente del sistema.</w:t>
      </w:r>
    </w:p>
    <w:p>
      <w:pPr>
        <w:pStyle w:val="BodyText"/>
      </w:pPr>
      <w:r>
        <w:t xml:space="preserve">La definizione del servizio richiede che ne siano precisati con chiarezza i confini, tanto più in una regione in cui coesistono già altre figure psicologiche nel sistema pubblico. Il servizio di psicologia di base non coincide con il servizio specialistico dei Dipartimenti di Salute Mentale: questi operano al secondo livello, prendono in carico i disturbi psichiatrici gravi e persistenti e dispongono di strutture residenziali e semiresidenziali, mentre lo psicologo di base opera al primo livello, sul disagio comune, in funzione di intercettazione precoce e di filtro appropriato verso il livello specialistico. Non coincide, inoltre, con lo psicologo scolastico, figura che la Calabria è stata la prima regione italiana a introdurre e che opera negli istituti scolastici a favore di studenti, docenti e famiglie; il servizio di psicologia di base si rivolge alla popolazione generale nelle strutture sanitarie territoriali, sebbene fra le due funzioni esistano evidenti complementarità nella presa in carico del disagio giovanile. Non coincide, infine, con la psicoterapia specialistica di lungo periodo: l’intervento dello psicologo di base è breve, focalizzato e graduato sulla gravità del bisogno, secondo il principio delle cure graduali. Definito in questi termini, il servizio occupa uno spazio oggi quasi interamente vuoto nel sistema sanitario calabrese: quello del primo livello psicologico, collocato fra il medico di medicina generale, che intercetta la domanda ma non dispone degli strumenti per trattarla, e il servizio specialistico, che tratta i casi gravi ma non può farsi carico del disagio comune di massa. È il riempimento di questo spazio vuoto che il decreto ministeriale del 2022 sugli standard dell’assistenza territoriale prefigura, collocando la funzione psicologica nelle Case della Comunità, e che la proposta di legge regionale intende disciplinare in modo strutturale.</w:t>
      </w:r>
    </w:p>
    <w:bookmarkEnd w:id="3378"/>
    <w:bookmarkStart w:id="3379" w:name="c.2-il-modello-organizzativo-15"/>
    <w:p>
      <w:pPr>
        <w:pStyle w:val="Heading3"/>
      </w:pPr>
      <w:r>
        <w:t xml:space="preserve">C.2 Il modello organizzativo</w:t>
      </w:r>
    </w:p>
    <w:p>
      <w:pPr>
        <w:pStyle w:val="FirstParagraph"/>
      </w:pPr>
      <w:r>
        <w:t xml:space="preserve">Il modello organizzativo del servizio ne definisce la collocazione, la distribuzione, il dimensionamento, il reclutamento e la copertura. Quanto alla collocazione, il servizio si colloca all’interno delle Case della Comunità e delle altre strutture territoriali del sistema sanitario regionale, in collegamento funzionale con le forme organizzative della medicina generale — le aggregazioni funzionali territoriali e le unità complesse di cure primarie — e con il ruolo unico della medicina generale. In Calabria, questa collocazione presenta una specificità: le Case della Comunità sono in larga parte ancora in corso di realizzazione nell’ambito degli investimenti del Piano Nazionale di Ripresa e Resilienza, sicché il servizio dovrà essere organizzato in modo da operare, nella fase transitoria, nelle strutture territoriali disponibili, e da integrarsi progressivamente nelle Case della Comunità man mano che queste entrano in funzione. Quanto alla distribuzione, il servizio si articola sulle cinque aziende sanitarie provinciali — Cosenza, Reggio Calabria, Catanzaro, Crotone e Vibo Valentia — secondo una ripartizione che deve tenere conto della popolazione, della sua distribuzione fra poli urbani e aree interne, e degli indici di deprivazione e di bisogno, così da non riprodurre nell’allocazione del servizio le disuguaglianze territoriali che esso intende ridurre.</w:t>
      </w:r>
    </w:p>
    <w:p>
      <w:pPr>
        <w:pStyle w:val="BodyText"/>
      </w:pPr>
      <w:r>
        <w:t xml:space="preserve">Quanto al dimensionamento, il modello assume un rapporto fra lo psicologo di base e i medici di medicina generale e i pediatri di libera scelta coerente con quello indicato dalla proposta di legge e dalla riflessione nazionale, dell’ordine di uno psicologo ogni quattro-sette medici, con una presenza minima per ciascuna Casa della Comunità; tale rapporto si traduce, sulla popolazione calabrese, in una pluralità di scenari di dimensionamento che la Parte E quantifica e la Parte I articola in fasi. Quanto al reclutamento, il modello può avvalersi della centralizzazione che caratterizza il sistema calabrese: l’Azienda Zero, costituita anche con funzioni di reclutamento centralizzato delle risorse umane del sistema sanitario regionale, può procedere all’individuazione e all’assunzione degli psicologi secondo metodologie uniformi, riducendo la frammentazione e i tempi. Quanto alla copertura, infine, il modello deve affrontare la questione che costituisce, in Calabria, il nodo decisivo: la sperimentazione è stata avviata con risorse del Fondo Sociale Europeo Plus, ossia con fondi europei a destinazione e a durata definite, mentre il consolidamento strutturale richiede una copertura ordinaria e permanente, da reperire in un bilancio sanitario soggetto ai vincoli del piano di rientro. La via amministrativa dei fondi europei ha consentito di avviare il servizio senza gravare immediatamente sul bilancio ordinario; la stabilizzazione richiede di individuare una copertura sostenibile, e su questo punto lo studio mostra, nella Parte E e nella Parte I, come l’onere netto del servizio sia modesto in rapporto alle dimensioni del fondo e come esso possa essere in larga parte compensato dai risparmi che il servizio stesso genera, in particolare sulla mobilità sanitaria passiva. Il governo complessivo del servizio è infine affidato, nel disegno della proposta di legge, a un osservatorio regionale con funzioni di controllo e di indirizzo, che raccoglie le relazioni annuali e alimenta la valutazione periodica.</w:t>
      </w:r>
    </w:p>
    <w:bookmarkEnd w:id="3379"/>
    <w:bookmarkStart w:id="3380" w:name="c.3-il-percorso-clinico-1"/>
    <w:p>
      <w:pPr>
        <w:pStyle w:val="Heading3"/>
      </w:pPr>
      <w:r>
        <w:t xml:space="preserve">C.3 Il percorso clinico</w:t>
      </w:r>
    </w:p>
    <w:p>
      <w:pPr>
        <w:pStyle w:val="FirstParagraph"/>
      </w:pPr>
      <w:r>
        <w:t xml:space="preserve">Il percorso clinico descrive le tappe attraverso cui il cittadino accede al servizio, viene valutato, trattato e, se necessario, indirizzato ad altri livelli. L’accesso avviene per due vie: l’invio da parte del medico di medicina generale o del pediatra di libera scelta, che individua nel proprio assistito un bisogno psicologico e lo orienta verso lo psicologo di base; e l’accesso diretto del cittadino, entro le modalità che la regione definirà. La duplice modalità di accesso è importante: l’invio medico valorizza il ruolo del medico di medicina generale come primo intercettatore del disagio e ne rafforza la collaborazione con lo psicologo; l’accesso diretto riduce le barriere e intercetta la quota di disagio che non passa attraverso il medico, particolarmente rilevante fra i giovani e nelle situazioni in cui lo stigma scoraggia la richiesta di aiuto. All’accesso segue la valutazione iniziale, condotta mediante colloqui e strumenti standardizzati di misurazione della sintomatologia e del funzionamento, che consente di definire la natura e la gravità del bisogno e di orientare l’intervento.</w:t>
      </w:r>
    </w:p>
    <w:p>
      <w:pPr>
        <w:pStyle w:val="BodyText"/>
      </w:pPr>
      <w:r>
        <w:t xml:space="preserve">Sulla base della valutazione, il percorso si articola secondo il principio delle cure graduali. Per il disagio comune di intensità lieve e moderata, lo psicologo di base eroga un ciclo di interventi psicologici brevi di efficacia documentata, di durata e di numero commisurati al bisogno, al termine del quale il percorso si conclude con il recupero o con la stabilizzazione. Per i casi che eccedono il primo livello — i disturbi di maggiore gravità, le condizioni che richiedono un trattamento specialistico o farmacologico, le situazioni di rischio — lo psicologo di base opera l’invio al Dipartimento di Salute Mentale, garantendo la continuità del percorso e collaborando con il servizio specialistico; la cura della transizione fra i livelli, e in particolare fra i servizi per l’età evolutiva e quelli per gli adulti, costituisce un punto di attenzione, data la lacuna che la riflessione nazionale segnala in questo passaggio. Lungo l’intero percorso, lo psicologo di base collabora con il medico di medicina generale nella gestione integrata del paziente, con attenzione particolare alla salute fisica delle persone con disturbi psichici, la cui aspettativa di vita è ridotta. Un elemento qualifica in modo specifico il percorso clinico nel contesto calabrese: l’uso della telepsicologia. La vasta estensione della regione, l’asprezza del territorio montano e la dispersione degli insediamenti rendono l’accesso fisico ai servizi difficile per una parte rilevante della popolazione, in particolare nelle aree interne; la telepsicologia, intesa come erogazione di prestazioni a distanza mediante strumenti digitali, non è dunque un complemento accessorio ma una condizione di effettiva accessibilità del servizio, e il percorso clinico la incorpora come modalità ordinaria, accanto alla prestazione in presenza, là dove essa è appropriata e accettata dal paziente.</w:t>
      </w:r>
    </w:p>
    <w:bookmarkEnd w:id="3380"/>
    <w:bookmarkStart w:id="3381" w:name="c.4-il-sistema-informativo-3"/>
    <w:p>
      <w:pPr>
        <w:pStyle w:val="Heading3"/>
      </w:pPr>
      <w:r>
        <w:t xml:space="preserve">C.4 Il sistema informativo</w:t>
      </w:r>
    </w:p>
    <w:p>
      <w:pPr>
        <w:pStyle w:val="FirstParagraph"/>
      </w:pPr>
      <w:r>
        <w:t xml:space="preserve">Il sistema informativo è l’infrastruttura che consente al servizio di funzionare, di essere governato e di essere valutato. Esso si fonda su un dataset minimo, definito nell’Appendice B, che comprende le variabili anagrafiche e di contesto, le variabili relative all’accesso e al percorso e i punteggi degli strumenti di misurazione degli esiti, rilevati per ogni accesso e per ogni percorso. La rilevazione di questi dati non risponde a una finalità meramente amministrativa: essa alimenta contestualmente la gestione clinica, consentendo la continuità della presa in carico; il governo del servizio, fornendo all’osservatorio regionale gli elementi per il controllo e l’indirizzo; e la valutazione, costituendo la base empirica su cui le stime dello studio potranno, nel tempo, essere sostituite da misure dirette. Il sistema informativo del servizio deve integrarsi con le infrastrutture digitali del sistema sanitario regionale — il fascicolo sanitario elettronico, il centro unico di prenotazione regionale già avviato, le piattaforme gestite a livello centrale — così da evitare duplicazioni e da garantire l’interoperabilità dei dati.</w:t>
      </w:r>
    </w:p>
    <w:p>
      <w:pPr>
        <w:pStyle w:val="BodyText"/>
      </w:pPr>
      <w:r>
        <w:t xml:space="preserve">La costruzione di un sistema informativo affidabile assume, in Calabria, un rilievo che eccede la dimensione tecnica e tocca un punto strutturale del sistema sanitario regionale. La regione ha conosciuto, per un lungo periodo, una grave difficoltà nella tenuta e nell’approvazione dei bilanci delle proprie aziende sanitarie, al punto che la programmazione ha dovuto fare i conti con una contabilità in parte non consolidata e con un debito a lungo non interamente quantificato; questa difficoltà è uno dei nodi che il piano di rientro e l’uscita dal commissariamento hanno dovuto affrontare. In un sistema che sconta una simile fragilità nella rilevazione e nel consolidamento dei dati, la costruzione di un sistema informativo rigoroso per il nuovo servizio è insieme una necessità e un’occasione: una necessità, perché senza dati affidabili il servizio non potrebbe essere governato né valutato, e perché le stesse stime economiche dello studio, in assenza di rilevazioni regionali consolidate, debbono ricorrere a parametri prudenziali destinati a essere verificati; un’occasione, perché l’introduzione di un sistema informativo strutturato per la psicologia di base può costituire un tassello del più ampio rafforzamento della capacità di rilevazione del sistema sanitario regionale, in coerenza con la svolta digitale che alcune aziende — fra cui l’azienda sanitaria di Cosenza, nei propri programmi per la salute mentale, i consultori e i servizi per le dipendenze — hanno già intrapreso. La disaggregazione dei dati per le variabili rilevanti all’analisi dell’equità — la condizione sociale, la collocazione territoriale fra polo e area interna — è infine condizione necessaria per la verifica degli obiettivi distributivi, che in Calabria costituiscono una delle ragioni preminenti dell’intervento.</w:t>
      </w:r>
    </w:p>
    <w:bookmarkEnd w:id="3381"/>
    <w:bookmarkStart w:id="3382" w:name="c.5-lintelligenza-artificiale"/>
    <w:p>
      <w:pPr>
        <w:pStyle w:val="Heading3"/>
      </w:pPr>
      <w:r>
        <w:t xml:space="preserve">C.5 L’intelligenza artificiale</w:t>
      </w:r>
    </w:p>
    <w:p>
      <w:pPr>
        <w:pStyle w:val="FirstParagraph"/>
      </w:pPr>
      <w:r>
        <w:t xml:space="preserve">L’integrazione dell’intelligenza artificiale nel modello del servizio è trattata in questo studio con un criterio di prudenza metodologica: le potenzialità dell’intelligenza artificiale a supporto della psicologia di base sono reali e in rapida evoluzione, ma le affermazioni sulla loro efficacia e sul loro impatto economico sono soggette alla medesima graduazione dell’evidenza che lo studio applica alle affermazioni cliniche, e non sono assunte in misura superiore a quanto l’evidenza disponibile consenta. Entro questo criterio, l’intelligenza artificiale può sostenere il servizio lungo diverse direttrici. Sul versante dell’intercettazione precoce, strumenti digitali di screening e di valutazione iniziale possono coadiuvare l’identificazione del disagio nella popolazione e la sua stratificazione per gravità, ampliando la capacità di intercettazione del primo livello. Sul versante del monitoraggio, piattaforme digitali possono sostenere la rilevazione continua degli esiti e il follow-up dei pazienti, in particolare nei percorsi a distanza, dove la telepsicologia e il monitoraggio digitale si integrano. Sul versante del supporto alla decisione clinica, sistemi di assistenza possono fornire allo psicologo elementi informativi e indicazioni, in funzione di supporto e non di sostituzione del giudizio professionale, che resta in capo al clinico. Sul versante dell’efficienza organizzativa, infine, l’automazione di funzioni amministrative e documentali può liberare tempo professionale da destinare alla relazione clinica.</w:t>
      </w:r>
    </w:p>
    <w:p>
      <w:pPr>
        <w:pStyle w:val="BodyText"/>
      </w:pPr>
      <w:r>
        <w:t xml:space="preserve">Il contesto calabrese presenta, sotto questo profilo, elementi di particolare interesse, che collocano l’integrazione dell’intelligenza artificiale non in un orizzonte ipotetico ma in un percorso già avviato dal sistema sanitario regionale. La Regione ha promosso un accordo fra l’Azienda Zero e l’Università della Calabria per l’introduzione dell’intelligenza artificiale in sanità, segnalando un orientamento istituzionale all’innovazione digitale del sistema; alcune strutture, come l’azienda ospedaliera di Cosenza, hanno avviato l’impiego di tecnologie di intelligenza artificiale e di realtà aumentata; e alcune aziende sanitarie hanno inserito nei propri programmi una svolta digitale che investe anche i servizi per la salute mentale. Questo orientamento offre al servizio di psicologia di base un terreno favorevole per l’integrazione degli strumenti digitali, particolarmente rilevante in una regione in cui la telepsicologia è condizione di accessibilità e in cui il sottoutilizzo della telemedicina — non impiegata, per carenza di indirizzi regionali, in una parte rilevante dei centri — costituisce oggi un limite da superare. L’integrazione dell’intelligenza artificiale deve infine collocarsi entro la cornice regolatoria europea, che qualifica come ad alto rischio i sistemi di intelligenza artificiale impiegati in ambito sanitario e ne disciplina gli obblighi, con un’articolazione temporale che colloca gli obblighi più stringenti relativi ai dispositivi medici a una scadenza differita e conserva l’obbligo di alfabetizzazione del personale a una scadenza più prossima. Lo studio assume che l’integrazione dell’intelligenza artificiale nel servizio proceda nel rispetto di tale cornice, con la gradualità e le garanzie che essa impone, e che il suo contributo alla riduzione dei costi sia stimato con la stessa prudenza con cui sono stimati gli altri effetti; l’approfondimento sistematico delle potenzialità dell’intelligenza artificiale e del loro impatto economico costituisce, peraltro, oggetto di una trattazione dedicata, che lo studio sulla psicologia di base richiama ma non esaurisce.</w:t>
      </w:r>
    </w:p>
    <w:bookmarkEnd w:id="3382"/>
    <w:bookmarkStart w:id="3384" w:name="c.6-la-formazione"/>
    <w:p>
      <w:pPr>
        <w:pStyle w:val="Heading3"/>
      </w:pPr>
      <w:r>
        <w:t xml:space="preserve">C.6 La formazione</w:t>
      </w:r>
    </w:p>
    <w:p>
      <w:pPr>
        <w:pStyle w:val="FirstParagraph"/>
      </w:pPr>
      <w:r>
        <w:t xml:space="preserve">La formazione del personale è condizione di qualità del servizio e presupposto della sua efficacia. Essa investe, in primo luogo, gli psicologi di base, che devono essere preparati a operare in un contesto — le cure primarie territoriali — diverso da quello specialistico e clinico tradizionale: la formazione comprende perciò l’acquisizione delle competenze proprie del primo livello, l’addestramento agli interventi psicologici brevi e graduati, la conoscenza del modello delle cure graduali, la capacità di collaborare con il medico di medicina generale e con gli altri operatori delle cure primarie, e la padronanza degli strumenti della telepsicologia, particolarmente rilevanti nel contesto calabrese. Essa investe, in secondo luogo, i medici di medicina generale e i pediatri di libera scelta, che devono essere posti in grado di riconoscere il disagio psichico, di orientare l’invio allo psicologo di base e di collaborare con esso nella gestione integrata dei pazienti. La formazione comprende inoltre l’aggiornamento continuo degli operatori, in coerenza con quanto la riflessione nazionale sulla salute mentale raccomanda circa la formazione continua del personale sanitario quale fattore di qualità dell’assistenza.</w:t>
      </w:r>
    </w:p>
    <w:p>
      <w:pPr>
        <w:pStyle w:val="BodyText"/>
      </w:pPr>
      <w:r>
        <w:t xml:space="preserve">La Calabria dispone, per la formazione, di risorse che possono essere valorizzate: l’Università della Calabria, già impegnata nell’accordo sull’intelligenza artificiale in sanità, e l’Ordine degli psicologi della Calabria, già attivo nell’organizzazione di percorsi formativi. A queste competenze il servizio può attingere per costruire un’offerta formativa adeguata. Un’attenzione particolare merita, in prospettiva, la formazione all’uso dell’intelligenza artificiale: l’integrazione degli strumenti digitali nel servizio richiede che gli psicologi di base e i medici di medicina generale acquisiscano le competenze necessarie a impiegarli in modo appropriato e consapevole, in coerenza con l’obbligo di alfabetizzazione del personale previsto dalla cornice regolatoria europea. La formazione all’uso dell’intelligenza artificiale può articolarsi su una pluralità di modalità — la formazione universitaria, la formazione successiva al conseguimento del titolo, la formazione nei contesti di lavoro e l’accompagnamento del professionale da parte di figure competenti — la cui valutazione comparata, anch’essa, costituisce oggetto di una trattazione dedicata che eccede i confini del presente studio. Quel che qui rileva è che la formazione, lungi dall’essere un elemento accessorio, costituisce una condizione di fattibilità e di qualità del servizio, e che la sua progettazione deve accompagnare fin dall’inizio la costruzione del servizio strutturale, così da garantire che l’ampliamento dell’offerta si accompagni a un’adeguata preparazione di chi è chiamato a erogarla.</w:t>
      </w:r>
      <w:r>
        <w:rPr>
          <w:rStyle w:val="FootnoteReference"/>
        </w:rPr>
        <w:footnoteReference w:id="3398"/>
      </w:r>
    </w:p>
    <w:bookmarkEnd w:id="3384"/>
    <w:bookmarkEnd w:id="3385"/>
    <w:bookmarkStart w:id="3391" w:name="parte-d-efficacia-ed-evidenza"/>
    <w:p>
      <w:pPr>
        <w:pStyle w:val="Heading2"/>
      </w:pPr>
      <w:r>
        <w:t xml:space="preserve">Parte D — Efficacia ed evidenza</w:t>
      </w:r>
    </w:p>
    <w:p>
      <w:pPr>
        <w:pStyle w:val="FirstParagraph"/>
      </w:pPr>
      <w:r>
        <w:t xml:space="preserve">Questa parte esamina l’efficacia dell’intervento e la qualità dell’evidenza che la sostiene. Ne ricostruisce anzitutto la base scientifica, mediante la revisione della letteratura sull’efficacia degli interventi psicologici brevi nelle cure primarie; ne valuta poi la qualità secondo un sistema riconosciuto di graduazione; la confronta con i parametri di riferimento desunti dalle esperienze nazionali e internazionali; e ne verifica la trasferibilità al contesto calabrese. Il fondamento dell’intera valutazione economica che segue risiede nell’efficacia clinica qui documentata: è perché gli interventi psicologici brevi producono una riduzione misurabile della sofferenza e un guadagno di salute che essi generano, a valle, i risparmi e le ricadute che le parti successive quantificano.</w:t>
      </w:r>
    </w:p>
    <w:bookmarkStart w:id="3386" w:name="d.1-la-revisione-dellefficacia"/>
    <w:p>
      <w:pPr>
        <w:pStyle w:val="Heading3"/>
      </w:pPr>
      <w:r>
        <w:t xml:space="preserve">D.1 La revisione dell’efficacia</w:t>
      </w:r>
    </w:p>
    <w:p>
      <w:pPr>
        <w:pStyle w:val="FirstParagraph"/>
      </w:pPr>
      <w:r>
        <w:t xml:space="preserve">L’efficacia degli interventi psicologici brevi nel trattamento dei disturbi d’ansia e dell’umore di intensità lieve e moderata è fra le più documentate della letteratura clinica. Gli interventi di tipo cognitivo-comportamentale, gli interventi di soluzione dei problemi, gli interventi di attivazione comportamentale e le altre forme di trattamento psicologico breve e strutturato hanno dimostrato, in un’ampia messe di studi controllati e di revisioni sistematiche, la capacità di ridurre la sintomatologia depressiva e ansiosa e di migliorare il funzionamento e la qualità della vita delle persone trattate. La caratteristica saliente di questi interventi, ai fini del modello della psicologia di base, è la loro efficacia anche in forma breve e in contesti non specialistici: essi non richiedono cicli lunghi di psicoterapia né l’ambiente del servizio specialistico, ma possono essere erogati al primo livello delle cure primarie, in un numero contenuto di sedute, conservando un effetto clinicamente significativo. È su questa caratteristica che si fonda la praticabilità del modello: la possibilità di trattare il disagio comune in prossimità, in modo efficace e a costo contenuto, senza sovraccaricare il livello specialistico.</w:t>
      </w:r>
    </w:p>
    <w:p>
      <w:pPr>
        <w:pStyle w:val="BodyText"/>
      </w:pPr>
      <w:r>
        <w:t xml:space="preserve">L’esperienza più rilevante di applicazione su larga scala di questo approccio è quella maturata nel sistema sanitario inglese, dove un programma nazionale di accesso agli interventi psicologici ha esteso a milioni di persone l’offerta di trattamenti psicologici brevi nelle cure primarie, organizzati secondo il principio delle cure graduali e monitorati sistematicamente negli esiti. I risultati di tale esperienza documentano tassi di recupero o di miglioramento clinicamente significativi in una quota rilevante delle persone trattate, e hanno fornito la prova che un servizio psicologico di primo livello, organizzato su scala di sistema e fondato sulla misurazione degli esiti, è non solo clinicamente efficace ma anche organizzativamente sostenibile. Questa esperienza costituisce il principale precedente internazionale del modello della psicologia di base, e la sua trasferibilità ai contesti regionali italiani, pur con i necessari adattamenti, è il presupposto su cui si fondano le valutazioni economiche del presente studio. A essa si affiancano le esperienze maturate nelle regioni italiane che hanno introdotto il servizio per prime — fra cui la Puglia e la Campania a partire dal 2020 — che, pur in assenza di valutazioni di esito consolidate, hanno cominciato a fornire indicazioni sull’attuabilità del modello nel contesto del Servizio Sanitario Nazionale.</w:t>
      </w:r>
    </w:p>
    <w:bookmarkEnd w:id="3386"/>
    <w:bookmarkStart w:id="3387" w:name="Xbd1d9cab956ccf377da4c3bdf1245a7e415fcc8"/>
    <w:p>
      <w:pPr>
        <w:pStyle w:val="Heading3"/>
      </w:pPr>
      <w:r>
        <w:t xml:space="preserve">D.2 La qualità dell’evidenza secondo il sistema GRADE</w:t>
      </w:r>
    </w:p>
    <w:p>
      <w:pPr>
        <w:pStyle w:val="FirstParagraph"/>
      </w:pPr>
      <w:r>
        <w:t xml:space="preserve">La valutazione della qualità dell’evidenza è condotta secondo il sistema GRADE, che gradua la qualità dell’evidenza su quattro livelli — alta, moderata, bassa e molto bassa — in funzione del disegno degli studi, della loro coerenza, della loro precisione, della diretta applicabilità al quesito e del rischio di distorsioni, e che gradua su questa base la forza delle raccomandazioni. L’applicazione del sistema GRADE all’evidenza sull’efficacia degli interventi psicologici brevi nei disturbi d’ansia e dell’umore di intensità lieve e moderata conduce a una valutazione di qualità complessivamente da moderata ad alta per gli esiti clinici principali, ossia per la riduzione della sintomatologia: l’evidenza si fonda su numerosi studi controllati randomizzati e su revisioni sistematiche, con risultati ampiamente coerenti nella direzione dell’effetto.</w:t>
      </w:r>
    </w:p>
    <w:p>
      <w:pPr>
        <w:pStyle w:val="BodyText"/>
      </w:pPr>
      <w:r>
        <w:t xml:space="preserve">La graduazione richiede tuttavia che siano riconosciuti, con onestà, anche i limiti dell’evidenza. La qualità si riduce, per alcuni esiti, in ragione dell’eterogeneità degli studi, che differiscono per popolazioni, per tipi di intervento, per durata e per modalità di erogazione; in ragione della distanza fra le condizioni sperimentali, spesso controllate, e le condizioni reali di un servizio territoriale; e in ragione della minore disponibilità di evidenza di alta qualità su alcuni esiti di più lungo periodo, come il mantenimento del beneficio nel tempo e la prevenzione delle ricadute. Questi limiti non infirmano la conclusione di fondo — l’efficacia degli interventi psicologici brevi sul disagio comune è solidamente documentata — ma impongono che le stime degli effetti siano assunte in misura prudente e che le proiezioni economiche che ne derivano siano costruite su bande conservative. Lo studio applica questo criterio in modo coerente, e lo estende, come si è detto, anche alle affermazioni relative all’integrazione dell’intelligenza artificiale, per le quali la qualità dell’evidenza disponibile è, allo stato, generalmente inferiore a quella dell’evidenza clinica e impone perciò una prudenza ancora maggiore.</w:t>
      </w:r>
    </w:p>
    <w:bookmarkEnd w:id="3387"/>
    <w:bookmarkStart w:id="3388" w:name="d.3-il-benchmark"/>
    <w:p>
      <w:pPr>
        <w:pStyle w:val="Heading3"/>
      </w:pPr>
      <w:r>
        <w:t xml:space="preserve">D.3 Il benchmark</w:t>
      </w:r>
    </w:p>
    <w:p>
      <w:pPr>
        <w:pStyle w:val="FirstParagraph"/>
      </w:pPr>
      <w:r>
        <w:t xml:space="preserve">Il confronto con i parametri di riferimento desunti dalle esperienze nazionali e internazionali consente di collocare le stime dello studio entro un quadro di plausibilità. Sul versante dell’efficacia clinica, il principale termine di riferimento è costituito dai tassi di recupero documentati dall’esperienza inglese di applicazione su larga scala degli interventi psicologici brevi, che forniscono un parametro di esito conseguibile da un servizio organizzato secondo il modello delle cure graduali. Sul versante economico, il termine di riferimento è costituito dalle valutazioni internazionali sul ritorno economico degli investimenti nel trattamento dei disturbi mentali comuni. È necessario, su questo punto, un chiarimento metodologico di rilievo, che vale a evitare un errore frequente nella divulgazione del tema: le stime sul ritorno economico degli investimenti nella salute mentale devono essere riferite alle fonti analitiche originali e non a semplificazioni comunicative. Le analisi economiche più autorevoli collocano il rapporto fra benefici e costi degli investimenti nel trattamento della depressione e dell’ansia entro fasce che, a seconda di ciò che si include nel computo, vanno da circa 2,3 a 3,0 a uno quando si considerino i soli benefici economici legati alla produttività, e da circa 3,3 a 5,7 a uno quando si includano anche i benefici legati al valore della salute. Lo studio adotta questo intervallo come riferimento per la plausibilità delle proprie stime, e colloca consapevolmente il rapporto beneficio-costo che ne risulta entro tale fascia, rifiutando le semplificazioni che esprimono il ritorno con cifre tonde non riconducibili alle fonti analitiche.</w:t>
      </w:r>
    </w:p>
    <w:p>
      <w:pPr>
        <w:pStyle w:val="BodyText"/>
      </w:pPr>
      <w:r>
        <w:t xml:space="preserve">Un secondo chiarimento metodologico riguarda l’evidenza sui risparmi sanitari diretti. Alcuni studi che hanno valutato l’effetto degli interventi di gestione collaborativa del disagio nelle cure primarie sui costi sanitari hanno prodotto stime di risparmio i cui intervalli di confidenza comprendono lo zero, ossia non statisticamente significative: ciò significa che, sul piano del puro bilancio sanitario, l’esistenza di un risparmio diretto netto non può essere affermata con certezza sulla base di quella evidenza, e che le stime di risparmio diretto devono essere assunte con cautela. Lo studio tiene conto di questo limite costruendo le proprie stime di risparmio diretto su bande prudenziali e presentando, accanto al caso finanziario, il caso economico più ampio, in cui il valore dell’intervento per la collettività si manifesta in misura più robusta. Il benchmark, in sintesi, conferma la plausibilità delle stime dello studio a condizione che esse siano costruite con prudenza e riferite correttamente alle fonti, e induce a collocare il valore dell’intervento non in una promessa di risparmio certo per il solo bilancio sanitario, ma in un ritorno complessivo per la collettività di cui i risparmi diretti sono una componente fra le altre.</w:t>
      </w:r>
    </w:p>
    <w:bookmarkEnd w:id="3388"/>
    <w:bookmarkStart w:id="3390" w:name="X4b506bb5e2e7ce8f308b0d305a336addded0e56"/>
    <w:p>
      <w:pPr>
        <w:pStyle w:val="Heading3"/>
      </w:pPr>
      <w:r>
        <w:t xml:space="preserve">D.4 La trasferibilità al contesto calabrese</w:t>
      </w:r>
    </w:p>
    <w:p>
      <w:pPr>
        <w:pStyle w:val="FirstParagraph"/>
      </w:pPr>
      <w:r>
        <w:t xml:space="preserve">La trasferibilità dell’evidenza al contesto calabrese richiede di considerare le caratteristiche della popolazione, del bisogno e del sistema che possono modificare l’entità degli effetti rispetto ai contesti in cui l’evidenza è stata prodotta. Sotto alcuni profili, le caratteristiche calabresi sono tali da accrescere il beneficio marginale atteso dall’intervento. Il primo è l’ampiezza del bisogno inevaso: in una regione in cui il divario fra le persone con disagio e quelle in carico è particolarmente ampio, e in cui il primo livello psicologico è quasi interamente assente, l’introduzione del servizio interviene su un bacino di bisogno non trattato più vasto che altrove, sicché il beneficio aggregato, a parità di efficacia per paziente, è proporzionalmente maggiore. Il secondo è la condizione di partenza del sistema: in una regione inadempiente rispetto ai livelli essenziali di assistenza e con una spesa per la salute mentale fra le più basse, il margine di miglioramento è ampio, e l’intervento che colma un vuoto produce un beneficio incrementale superiore a quello che produrrebbe in un sistema già dotato di un’offerta adeguata. Il terzo è l’entità della spesa impropria e della mobilità sanitaria passiva: in una regione che registra il passivo di mobilità più elevato d’Italia, la quota di tale spesa potenzialmente riducibile mediante l’intercettazione precoce del disagio è proporzionalmente maggiore, e il ritorno economico dell’intervento, per questa via, è accresciuto.</w:t>
      </w:r>
    </w:p>
    <w:p>
      <w:pPr>
        <w:pStyle w:val="BodyText"/>
      </w:pPr>
      <w:r>
        <w:t xml:space="preserve">Sotto altri profili, le caratteristiche calabresi richiedono adattamenti del modello perché l’efficacia documentata si traduca in efficacia reale. La dispersione territoriale e la difficoltà di accesso impongono che la telepsicologia sia parte integrante del modello, e che la sua efficacia, a sua volta documentata dalla letteratura ma con le cautele relative alla qualità della relazione a distanza e all’accettabilità da parte del paziente, sia valorizzata come condizione di accessibilità nelle aree interne. Il gradiente di deprivazione, più accentuato che altrove, impone che il servizio sia organizzato in modo da raggiungere effettivamente le fasce più svantaggiate, presso cui il bisogno è massimo e la capacità di accesso autonomo è minima, pena la riproduzione delle disuguaglianze che esso intende ridurre. La fragilità del sistema informativo regionale, infine, impone che la misurazione degli esiti sia costruita con particolare cura, perché l’efficacia del servizio possa essere effettivamente documentata nel contesto calabrese e le stime dello studio possano essere, nel tempo, verificate e corrette. Tenuto conto di questi fattori, l’evidenza sull’efficacia degli interventi psicologici brevi è giudicata trasferibile al contesto calabrese, con la previsione prudente che il beneficio marginale atteso, lungi dall’essere inferiore a quello dei contesti di riferimento, possa in ragione dell’ampiezza del bisogno inevaso risultare in Calabria proporzionalmente maggiore, a condizione che il modello sia adattato alle specifiche condizioni territoriali e sociali della regione.</w:t>
      </w:r>
      <w:r>
        <w:rPr>
          <w:rStyle w:val="FootnoteReference"/>
        </w:rPr>
        <w:footnoteReference w:id="3399"/>
      </w:r>
    </w:p>
    <w:bookmarkEnd w:id="3390"/>
    <w:bookmarkEnd w:id="3391"/>
    <w:bookmarkStart w:id="3399" w:name="parte-e-valutazione-economica-9"/>
    <w:p>
      <w:pPr>
        <w:pStyle w:val="Heading2"/>
      </w:pPr>
      <w:r>
        <w:t xml:space="preserve">Parte E — Valutazione economica</w:t>
      </w:r>
    </w:p>
    <w:p>
      <w:pPr>
        <w:pStyle w:val="FirstParagraph"/>
      </w:pPr>
      <w:r>
        <w:t xml:space="preserve">Questa parte sviluppa la valutazione economica dell’intervento. Ne stima i costi, ne misura gli esiti, ne calcola il rapporto fra costo e utilità, ne analizza l’impatto sul bilancio sanitario regionale lungo i diversi canali di spesa, ne stima il ritorno sociale per la collettività e ne presenta, distinti, il caso finanziario e il caso economico. L’intera valutazione è costruita su un principio che ne governa la lettura: i risparmi diretti per il bilancio sanitario e le ricadute economico-sociali per la collettività sono grandezze di natura diversa, che gravano e si producono su soggetti diversi, e non sono mai sommate in un unico indice di bilancio. Le stime sono espresse in bande prudenziali e articolate sui tre scenari di dimensionamento — minimo, intermedio e pieno — corrispondenti a circa 140, 280 e 410 incarichi.</w:t>
      </w:r>
    </w:p>
    <w:bookmarkStart w:id="3392" w:name="e.1-i-costi"/>
    <w:p>
      <w:pPr>
        <w:pStyle w:val="Heading3"/>
      </w:pPr>
      <w:r>
        <w:t xml:space="preserve">E.1 I costi</w:t>
      </w:r>
    </w:p>
    <w:p>
      <w:pPr>
        <w:pStyle w:val="FirstParagraph"/>
      </w:pPr>
      <w:r>
        <w:t xml:space="preserve">Il costo del servizio si compone di quattro voci principali: i compensi degli psicologi di base, che ne costituiscono la componente preponderante; i costi della formazione del personale; i costi del coordinamento e della governance, compresi quelli dell’osservatorio regionale; e i costi del sistema informativo e della telepsicologia, comprensivi della dotazione tecnologica necessaria all’erogazione a distanza. Il costo è stimato sui tre scenari di dimensionamento, assumendo un costo medio per incarico comprensivo degli oneri e una struttura di costi accessori proporzionata alla scala del servizio. La tabella seguente riporta la stima dei costi per ciascuno scenario.</w:t>
      </w:r>
    </w:p>
    <w:tbl>
      <w:tblPr>
        <w:tblStyle w:val="Table"/>
        <w:tblW w:type="pct" w:w="490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26"/>
        <w:gridCol w:w="1425"/>
        <w:gridCol w:w="1504"/>
        <w:gridCol w:w="1504"/>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Voce di costo (mln €/anno)</w:t>
            </w:r>
          </w:p>
        </w:tc>
        <w:tc>
          <w:tcPr>
            <w:shd w:val="clear" w:color="auto" w:fill="16264B"/>
          </w:tcPr>
          <w:p>
            <w:pPr>
              <w:pStyle w:val="Compact"/>
              <w:spacing w:after="40" w:before="40"/>
              <w:jc w:val="left"/>
            </w:pPr>
            <w:r>
              <w:rPr>
                <w:rFonts w:ascii="Cambria" w:hAnsi="Cambria" w:cs="Cambria" w:eastAsia="Cambria"/>
                <w:b/>
                <w:color w:val="FFFFFF"/>
                <w:sz w:val="18"/>
              </w:rPr>
              <w:t xml:space="preserve">Minimo (140)</w:t>
            </w:r>
          </w:p>
        </w:tc>
        <w:tc>
          <w:tcPr>
            <w:shd w:val="clear" w:color="auto" w:fill="16264B"/>
          </w:tcPr>
          <w:p>
            <w:pPr>
              <w:pStyle w:val="Compact"/>
              <w:spacing w:after="40" w:before="40"/>
              <w:jc w:val="left"/>
            </w:pPr>
            <w:r>
              <w:rPr>
                <w:rFonts w:ascii="Cambria" w:hAnsi="Cambria" w:cs="Cambria" w:eastAsia="Cambria"/>
                <w:b/>
                <w:color w:val="FFFFFF"/>
                <w:sz w:val="18"/>
              </w:rPr>
              <w:t xml:space="preserve">Intermedio (280)</w:t>
            </w:r>
          </w:p>
        </w:tc>
        <w:tc>
          <w:tcPr>
            <w:shd w:val="clear" w:color="auto" w:fill="16264B"/>
          </w:tcPr>
          <w:p>
            <w:pPr>
              <w:pStyle w:val="Compact"/>
              <w:spacing w:after="40" w:before="40"/>
              <w:jc w:val="left"/>
            </w:pPr>
            <w:r>
              <w:rPr>
                <w:rFonts w:ascii="Cambria" w:hAnsi="Cambria" w:cs="Cambria" w:eastAsia="Cambria"/>
                <w:b/>
                <w:color w:val="FFFFFF"/>
                <w:sz w:val="18"/>
              </w:rPr>
              <w:t xml:space="preserve">Pieno (410)</w:t>
            </w:r>
          </w:p>
        </w:tc>
      </w:tr>
      <w:tr>
        <w:tc>
          <w:tcPr/>
          <w:p>
            <w:pPr>
              <w:pStyle w:val="Compact"/>
              <w:spacing w:after="40" w:before="40"/>
              <w:jc w:val="left"/>
            </w:pPr>
            <w:r>
              <w:rPr>
                <w:rFonts w:ascii="Cambria" w:hAnsi="Cambria" w:cs="Cambria" w:eastAsia="Cambria"/>
                <w:color w:val="1A1A1A"/>
                <w:sz w:val="18"/>
              </w:rPr>
              <w:t xml:space="preserve">Compensi degli psicologi di base</w:t>
            </w:r>
          </w:p>
        </w:tc>
        <w:tc>
          <w:tcPr/>
          <w:p>
            <w:pPr>
              <w:pStyle w:val="Compact"/>
              <w:spacing w:after="40" w:before="40"/>
              <w:jc w:val="left"/>
            </w:pPr>
            <w:r>
              <w:rPr>
                <w:rFonts w:ascii="Cambria" w:hAnsi="Cambria" w:cs="Cambria" w:eastAsia="Cambria"/>
                <w:color w:val="1A1A1A"/>
                <w:sz w:val="18"/>
              </w:rPr>
              <w:t xml:space="preserve">~7,0</w:t>
            </w:r>
          </w:p>
        </w:tc>
        <w:tc>
          <w:tcPr/>
          <w:p>
            <w:pPr>
              <w:pStyle w:val="Compact"/>
              <w:spacing w:after="40" w:before="40"/>
              <w:jc w:val="left"/>
            </w:pPr>
            <w:r>
              <w:rPr>
                <w:rFonts w:ascii="Cambria" w:hAnsi="Cambria" w:cs="Cambria" w:eastAsia="Cambria"/>
                <w:color w:val="1A1A1A"/>
                <w:sz w:val="18"/>
              </w:rPr>
              <w:t xml:space="preserve">~14,0</w:t>
            </w:r>
          </w:p>
        </w:tc>
        <w:tc>
          <w:tcPr/>
          <w:p>
            <w:pPr>
              <w:pStyle w:val="Compact"/>
              <w:spacing w:after="40" w:before="40"/>
              <w:jc w:val="left"/>
            </w:pPr>
            <w:r>
              <w:rPr>
                <w:rFonts w:ascii="Cambria" w:hAnsi="Cambria" w:cs="Cambria" w:eastAsia="Cambria"/>
                <w:color w:val="1A1A1A"/>
                <w:sz w:val="18"/>
              </w:rPr>
              <w:t xml:space="preserve">~21,0</w:t>
            </w:r>
          </w:p>
        </w:tc>
      </w:tr>
      <w:tr>
        <w:tc>
          <w:tcPr>
            <w:shd w:val="clear" w:color="auto" w:fill="F4F1EC"/>
          </w:tcPr>
          <w:p>
            <w:pPr>
              <w:pStyle w:val="Compact"/>
              <w:spacing w:after="40" w:before="40"/>
              <w:jc w:val="left"/>
            </w:pPr>
            <w:r>
              <w:rPr>
                <w:rFonts w:ascii="Cambria" w:hAnsi="Cambria" w:cs="Cambria" w:eastAsia="Cambria"/>
                <w:color w:val="1A1A1A"/>
                <w:sz w:val="18"/>
              </w:rPr>
              <w:t xml:space="preserve">Formazione del personale</w:t>
            </w:r>
          </w:p>
        </w:tc>
        <w:tc>
          <w:tcPr>
            <w:shd w:val="clear" w:color="auto" w:fill="F4F1EC"/>
          </w:tcPr>
          <w:p>
            <w:pPr>
              <w:pStyle w:val="Compact"/>
              <w:spacing w:after="40" w:before="40"/>
              <w:jc w:val="left"/>
            </w:pPr>
            <w:r>
              <w:rPr>
                <w:rFonts w:ascii="Cambria" w:hAnsi="Cambria" w:cs="Cambria" w:eastAsia="Cambria"/>
                <w:color w:val="1A1A1A"/>
                <w:sz w:val="18"/>
              </w:rPr>
              <w:t xml:space="preserve">~0,5</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r>
      <w:tr>
        <w:tc>
          <w:tcPr/>
          <w:p>
            <w:pPr>
              <w:pStyle w:val="Compact"/>
              <w:spacing w:after="40" w:before="40"/>
              <w:jc w:val="left"/>
            </w:pPr>
            <w:r>
              <w:rPr>
                <w:rFonts w:ascii="Cambria" w:hAnsi="Cambria" w:cs="Cambria" w:eastAsia="Cambria"/>
                <w:color w:val="1A1A1A"/>
                <w:sz w:val="18"/>
              </w:rPr>
              <w:t xml:space="preserve">Coordinamento e governance</w:t>
            </w:r>
          </w:p>
        </w:tc>
        <w:tc>
          <w:tcPr/>
          <w:p>
            <w:pPr>
              <w:pStyle w:val="Compact"/>
              <w:spacing w:after="40" w:before="40"/>
              <w:jc w:val="left"/>
            </w:pPr>
            <w:r>
              <w:rPr>
                <w:rFonts w:ascii="Cambria" w:hAnsi="Cambria" w:cs="Cambria" w:eastAsia="Cambria"/>
                <w:color w:val="1A1A1A"/>
                <w:sz w:val="18"/>
              </w:rPr>
              <w:t xml:space="preserve">~0,5</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~1,5</w:t>
            </w:r>
          </w:p>
        </w:tc>
      </w:tr>
      <w:tr>
        <w:tc>
          <w:tcPr>
            <w:shd w:val="clear" w:color="auto" w:fill="F4F1EC"/>
          </w:tcPr>
          <w:p>
            <w:pPr>
              <w:pStyle w:val="Compact"/>
              <w:spacing w:after="40" w:before="40"/>
              <w:jc w:val="left"/>
            </w:pPr>
            <w:r>
              <w:rPr>
                <w:rFonts w:ascii="Cambria" w:hAnsi="Cambria" w:cs="Cambria" w:eastAsia="Cambria"/>
                <w:color w:val="1A1A1A"/>
                <w:sz w:val="18"/>
              </w:rPr>
              <w:t xml:space="preserve">Sistema informativo e telepsicologia</w:t>
            </w:r>
          </w:p>
        </w:tc>
        <w:tc>
          <w:tcPr>
            <w:shd w:val="clear" w:color="auto" w:fill="F4F1EC"/>
          </w:tcPr>
          <w:p>
            <w:pPr>
              <w:pStyle w:val="Compact"/>
              <w:spacing w:after="40" w:before="40"/>
              <w:jc w:val="left"/>
            </w:pPr>
            <w:r>
              <w:rPr>
                <w:rFonts w:ascii="Cambria" w:hAnsi="Cambria" w:cs="Cambria" w:eastAsia="Cambria"/>
                <w:color w:val="1A1A1A"/>
                <w:sz w:val="18"/>
              </w:rPr>
              <w:t xml:space="preserve">~0,5</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r>
      <w:tr>
        <w:tc>
          <w:tcPr/>
          <w:p>
            <w:pPr>
              <w:pStyle w:val="Compact"/>
              <w:spacing w:after="40" w:before="40"/>
              <w:jc w:val="left"/>
            </w:pPr>
            <w:r>
              <w:rPr>
                <w:rFonts w:ascii="Cambria" w:hAnsi="Cambria" w:cs="Cambria" w:eastAsia="Cambria"/>
                <w:b/>
                <w:bCs/>
                <w:color w:val="1A1A1A"/>
                <w:sz w:val="18"/>
              </w:rPr>
              <w:t xml:space="preserve">Costo totale del servizio</w:t>
            </w:r>
          </w:p>
        </w:tc>
        <w:tc>
          <w:tcPr/>
          <w:p>
            <w:pPr>
              <w:pStyle w:val="Compact"/>
              <w:spacing w:after="40" w:before="40"/>
              <w:jc w:val="left"/>
            </w:pPr>
            <w:r>
              <w:rPr>
                <w:rFonts w:ascii="Cambria" w:hAnsi="Cambria" w:cs="Cambria" w:eastAsia="Cambria"/>
                <w:b/>
                <w:bCs/>
                <w:color w:val="1A1A1A"/>
                <w:sz w:val="18"/>
              </w:rPr>
              <w:t xml:space="preserve">~8,5</w:t>
            </w:r>
          </w:p>
        </w:tc>
        <w:tc>
          <w:tcPr/>
          <w:p>
            <w:pPr>
              <w:pStyle w:val="Compact"/>
              <w:spacing w:after="40" w:before="40"/>
              <w:jc w:val="left"/>
            </w:pPr>
            <w:r>
              <w:rPr>
                <w:rFonts w:ascii="Cambria" w:hAnsi="Cambria" w:cs="Cambria" w:eastAsia="Cambria"/>
                <w:b/>
                <w:bCs/>
                <w:color w:val="1A1A1A"/>
                <w:sz w:val="18"/>
              </w:rPr>
              <w:t xml:space="preserve">~17,0</w:t>
            </w:r>
          </w:p>
        </w:tc>
        <w:tc>
          <w:tcPr/>
          <w:p>
            <w:pPr>
              <w:pStyle w:val="Compact"/>
              <w:spacing w:after="40" w:before="40"/>
              <w:jc w:val="left"/>
            </w:pPr>
            <w:r>
              <w:rPr>
                <w:rFonts w:ascii="Cambria" w:hAnsi="Cambria" w:cs="Cambria" w:eastAsia="Cambria"/>
                <w:b/>
                <w:bCs/>
                <w:color w:val="1A1A1A"/>
                <w:sz w:val="18"/>
              </w:rPr>
              <w:t xml:space="preserve">~25,5</w:t>
            </w:r>
          </w:p>
        </w:tc>
      </w:tr>
      <w:tr>
        <w:tc>
          <w:tcPr>
            <w:shd w:val="clear" w:color="auto" w:fill="F4F1EC"/>
          </w:tcPr>
          <w:p>
            <w:pPr>
              <w:pStyle w:val="Compact"/>
              <w:spacing w:after="40" w:before="40"/>
              <w:jc w:val="left"/>
            </w:pPr>
            <w:r>
              <w:rPr>
                <w:rFonts w:ascii="Cambria" w:hAnsi="Cambria" w:cs="Cambria" w:eastAsia="Cambria"/>
                <w:color w:val="1A1A1A"/>
                <w:sz w:val="18"/>
              </w:rPr>
              <w:t xml:space="preserve">Incidenza sul fondo sanitario regionale</w:t>
            </w:r>
          </w:p>
        </w:tc>
        <w:tc>
          <w:tcPr>
            <w:shd w:val="clear" w:color="auto" w:fill="F4F1EC"/>
          </w:tcPr>
          <w:p>
            <w:pPr>
              <w:pStyle w:val="Compact"/>
              <w:spacing w:after="40" w:before="40"/>
              <w:jc w:val="left"/>
            </w:pPr>
            <w:r>
              <w:rPr>
                <w:rFonts w:ascii="Cambria" w:hAnsi="Cambria" w:cs="Cambria" w:eastAsia="Cambria"/>
                <w:color w:val="1A1A1A"/>
                <w:sz w:val="18"/>
              </w:rPr>
              <w:t xml:space="preserve">~0,19%</w:t>
            </w:r>
          </w:p>
        </w:tc>
        <w:tc>
          <w:tcPr>
            <w:shd w:val="clear" w:color="auto" w:fill="F4F1EC"/>
          </w:tcPr>
          <w:p>
            <w:pPr>
              <w:pStyle w:val="Compact"/>
              <w:spacing w:after="40" w:before="40"/>
              <w:jc w:val="left"/>
            </w:pPr>
            <w:r>
              <w:rPr>
                <w:rFonts w:ascii="Cambria" w:hAnsi="Cambria" w:cs="Cambria" w:eastAsia="Cambria"/>
                <w:color w:val="1A1A1A"/>
                <w:sz w:val="18"/>
              </w:rPr>
              <w:t xml:space="preserve">~0,39%</w:t>
            </w:r>
          </w:p>
        </w:tc>
        <w:tc>
          <w:tcPr>
            <w:shd w:val="clear" w:color="auto" w:fill="F4F1EC"/>
          </w:tcPr>
          <w:p>
            <w:pPr>
              <w:pStyle w:val="Compact"/>
              <w:spacing w:after="40" w:before="40"/>
              <w:jc w:val="left"/>
            </w:pPr>
            <w:r>
              <w:rPr>
                <w:rFonts w:ascii="Cambria" w:hAnsi="Cambria" w:cs="Cambria" w:eastAsia="Cambria"/>
                <w:color w:val="1A1A1A"/>
                <w:sz w:val="18"/>
              </w:rPr>
              <w:t xml:space="preserve">~0,58%</w:t>
            </w:r>
          </w:p>
        </w:tc>
      </w:tr>
    </w:tbl>
    <w:p>
      <w:pPr>
        <w:pStyle w:val="BodyText"/>
      </w:pPr>
      <w:r>
        <w:rPr>
          <w:i/>
          <w:iCs/>
        </w:rPr>
        <w:t xml:space="preserve">Tabella E.1. Stima dei costi del servizio per scenario di dimensionamento. L’incidenza è calcolata su un fondo sanitario regionale dell’ordine di 4,4 miliardi di euro. Anche nello scenario di piena attuazione, il costo del servizio rappresenta una frazione inferiore allo 0,6 per cento del fondo.</w:t>
      </w:r>
    </w:p>
    <w:p>
      <w:pPr>
        <w:pStyle w:val="BodyText"/>
      </w:pPr>
      <w:r>
        <w:t xml:space="preserve">La lettura della tabella restituisce il primo dato rilevante della valutazione economica: il costo del servizio, anche nello scenario di piena attuazione, è modesto in rapporto alle dimensioni del bilancio sanitario regionale, rappresentandone una frazione inferiore allo 0,6 per cento. Questo dato è di particolare importanza in una regione soggetta ai vincoli del piano di rientro, in cui ogni nuova spesa deve essere commisurata alla compatibilità con l’equilibrio di bilancio: l’ordine di grandezza dell’onere consente di affermare che il servizio non costituisce, per il bilancio regionale, un impegno finanziario tale da comprometterne l’equilibrio, tanto più ove si considerino i risparmi che esso genera.</w:t>
      </w:r>
    </w:p>
    <w:bookmarkEnd w:id="3392"/>
    <w:bookmarkStart w:id="3393" w:name="e.2-gli-esiti-2"/>
    <w:p>
      <w:pPr>
        <w:pStyle w:val="Heading3"/>
      </w:pPr>
      <w:r>
        <w:t xml:space="preserve">E.2 Gli esiti</w:t>
      </w:r>
    </w:p>
    <w:p>
      <w:pPr>
        <w:pStyle w:val="FirstParagraph"/>
      </w:pPr>
      <w:r>
        <w:t xml:space="preserve">Gli esiti dell’intervento sono di natura clinica ed economica. Sul piano clinico, l’intervento produce, per il paziente con disagio comune di intensità lieve e moderata, una riduzione della sintomatologia e un miglioramento del funzionamento e della qualità della vita, espressi in termini di anni di vita ponderati per la qualità guadagnati. La stima, fondata sull’efficacia documentata dalla letteratura e proiettata attraverso il modello descritto nella Parte F, individua un guadagno di salute dell’ordine di 0,236 anni di vita ponderati per la qualità per paziente trattato, lungo l’orizzonte di cinque anni. Sul piano economico, l’intervento produce, per il medesimo paziente, un risparmio di risorse sanitarie dell’ordine di 1.304 euro, derivante dalla riduzione del consumo di prestazioni sanitarie improprie che il disagio non trattato avrebbe generato. Questi due esiti — il guadagno di salute e il risparmio di risorse — sono il fondamento, rispettivamente, dell’analisi di costo-utilità e dell’analisi di impatto sul bilancio, ed esprimono il duplice valore dell’intervento: il miglioramento della salute della persona e la riduzione dell’onere che la sua sofferenza non trattata avrebbe comportato per il sistema. La proiezione di questi esiti per paziente sull’intera popolazione trattata, secondo gli scenari di copertura, genera gli aggregati che le sezioni successive quantificano.</w:t>
      </w:r>
    </w:p>
    <w:bookmarkEnd w:id="3393"/>
    <w:bookmarkStart w:id="3394" w:name="e.3-il-costo-utilità-2"/>
    <w:p>
      <w:pPr>
        <w:pStyle w:val="Heading3"/>
      </w:pPr>
      <w:r>
        <w:t xml:space="preserve">E.3 Il costo-utilità</w:t>
      </w:r>
    </w:p>
    <w:p>
      <w:pPr>
        <w:pStyle w:val="FirstParagraph"/>
      </w:pPr>
      <w:r>
        <w:t xml:space="preserve">L’analisi di costo-utilità mette in rapporto il costo incrementale dell’intervento con il guadagno di salute che esso produce, espresso in anni di vita ponderati per la qualità. Il dato che emerge dalla modellazione è di particolare rilievo: per il paziente con disagio comune, l’intervento si configura non semplicemente come costo-efficace, ossia come intervento il cui costo per anno di vita ponderato per la qualità guadagnato è inferiore alla soglia di accettabilità, ma come intervento dominante, ossia come intervento che produce simultaneamente un guadagno di salute e un risparmio di risorse. La dominanza discende dalla combinazione, già illustrata, di un guadagno di salute positivo e di un risparmio di risorse positivo a livello di paziente: l’intervento, cioè, migliora la salute e, al tempo stesso, riduce il consumo di risorse sanitarie improprie, sicché non si pone il problema di stabilire se il guadagno di salute valga il suo costo, giacché un costo netto, per il paziente trattato, non vi è. Questa conclusione, riferita al singolo paziente, deve essere distinta dalla conclusione a livello di sistema, dove il costo del servizio nel suo complesso è confrontato con i risparmi che esso genera: a quel livello, come la sezione seguente mostra, il saldo diretto è di lieve segno negativo, perché il costo della struttura del servizio eccede di poco i risparmi diretti aggregati. La dominanza a livello di paziente e il modesto onere netto a livello di sistema non sono in contraddizione: la prima esprime il valore dell’intervento per chi lo riceve, il secondo esprime il costo della costruzione di un servizio capace di raggiungere l’intera popolazione, e i due piani sono ricomposti nel caso economico, dove il valore per la collettività emerge nella sua interezza.</w:t>
      </w:r>
    </w:p>
    <w:bookmarkEnd w:id="3394"/>
    <w:bookmarkStart w:id="3395" w:name="X5d676c34028db3ceee0d70962cceace04ddcaa5"/>
    <w:p>
      <w:pPr>
        <w:pStyle w:val="Heading3"/>
      </w:pPr>
      <w:r>
        <w:t xml:space="preserve">E.4 L’impatto sul bilancio sanitario regionale</w:t>
      </w:r>
    </w:p>
    <w:p>
      <w:pPr>
        <w:pStyle w:val="FirstParagraph"/>
      </w:pPr>
      <w:r>
        <w:t xml:space="preserve">L’analisi di impatto sul bilancio misura l’effetto netto dell’intervento sulla spesa sanitaria regionale, ponendo a confronto il costo del servizio con i risparmi che esso genera lungo i diversi canali di spesa. I canali considerati sono quattro: la riduzione degli accessi impropri al pronto soccorso per problemi psichiatrici, che in Calabria ammontano a oltre quindicimila l’anno; la riduzione del consumo di farmaci, in particolare degli psicofarmaci prescritti in assenza di un’alternativa psicologica; la riduzione dei ricoveri evitabili e delle prestazioni specialistiche improprie; e la riduzione della mobilità sanitaria passiva, che in Calabria raggiunge il valore più elevato d’Italia e costituisce perciò il canale di risparmio potenzialmente più rilevante. La tabella seguente riporta la stima dei risparmi diretti per ciascun canale e per ciascuno scenario, e il saldo diretto che ne risulta a confronto con il costo del servizio.</w:t>
      </w:r>
    </w:p>
    <w:tbl>
      <w:tblPr>
        <w:tblStyle w:val="Table"/>
        <w:tblW w:type="pct" w:w="490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26"/>
        <w:gridCol w:w="1425"/>
        <w:gridCol w:w="1504"/>
        <w:gridCol w:w="1504"/>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Grandezza (mln €/anno)</w:t>
            </w:r>
          </w:p>
        </w:tc>
        <w:tc>
          <w:tcPr>
            <w:shd w:val="clear" w:color="auto" w:fill="16264B"/>
          </w:tcPr>
          <w:p>
            <w:pPr>
              <w:pStyle w:val="Compact"/>
              <w:spacing w:after="40" w:before="40"/>
              <w:jc w:val="left"/>
            </w:pPr>
            <w:r>
              <w:rPr>
                <w:rFonts w:ascii="Cambria" w:hAnsi="Cambria" w:cs="Cambria" w:eastAsia="Cambria"/>
                <w:b/>
                <w:color w:val="FFFFFF"/>
                <w:sz w:val="18"/>
              </w:rPr>
              <w:t xml:space="preserve">Minimo (140)</w:t>
            </w:r>
          </w:p>
        </w:tc>
        <w:tc>
          <w:tcPr>
            <w:shd w:val="clear" w:color="auto" w:fill="16264B"/>
          </w:tcPr>
          <w:p>
            <w:pPr>
              <w:pStyle w:val="Compact"/>
              <w:spacing w:after="40" w:before="40"/>
              <w:jc w:val="left"/>
            </w:pPr>
            <w:r>
              <w:rPr>
                <w:rFonts w:ascii="Cambria" w:hAnsi="Cambria" w:cs="Cambria" w:eastAsia="Cambria"/>
                <w:b/>
                <w:color w:val="FFFFFF"/>
                <w:sz w:val="18"/>
              </w:rPr>
              <w:t xml:space="preserve">Intermedio (280)</w:t>
            </w:r>
          </w:p>
        </w:tc>
        <w:tc>
          <w:tcPr>
            <w:shd w:val="clear" w:color="auto" w:fill="16264B"/>
          </w:tcPr>
          <w:p>
            <w:pPr>
              <w:pStyle w:val="Compact"/>
              <w:spacing w:after="40" w:before="40"/>
              <w:jc w:val="left"/>
            </w:pPr>
            <w:r>
              <w:rPr>
                <w:rFonts w:ascii="Cambria" w:hAnsi="Cambria" w:cs="Cambria" w:eastAsia="Cambria"/>
                <w:b/>
                <w:color w:val="FFFFFF"/>
                <w:sz w:val="18"/>
              </w:rPr>
              <w:t xml:space="preserve">Pieno (410)</w:t>
            </w:r>
          </w:p>
        </w:tc>
      </w:tr>
      <w:tr>
        <w:tc>
          <w:tcPr/>
          <w:p>
            <w:pPr>
              <w:pStyle w:val="Compact"/>
              <w:spacing w:after="40" w:before="40"/>
              <w:jc w:val="left"/>
            </w:pPr>
            <w:r>
              <w:rPr>
                <w:rFonts w:ascii="Cambria" w:hAnsi="Cambria" w:cs="Cambria" w:eastAsia="Cambria"/>
                <w:color w:val="1A1A1A"/>
                <w:sz w:val="18"/>
              </w:rPr>
              <w:t xml:space="preserve">Risparmio su pronto soccorso</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~3,5</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Risparmio su farmaceutica</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~3,5</w:t>
            </w:r>
          </w:p>
        </w:tc>
      </w:tr>
      <w:tr>
        <w:tc>
          <w:tcPr/>
          <w:p>
            <w:pPr>
              <w:pStyle w:val="Compact"/>
              <w:spacing w:after="40" w:before="40"/>
              <w:jc w:val="left"/>
            </w:pPr>
            <w:r>
              <w:rPr>
                <w:rFonts w:ascii="Cambria" w:hAnsi="Cambria" w:cs="Cambria" w:eastAsia="Cambria"/>
                <w:color w:val="1A1A1A"/>
                <w:sz w:val="18"/>
              </w:rPr>
              <w:t xml:space="preserve">Risparmio su ricoveri e specialistica</w:t>
            </w:r>
          </w:p>
        </w:tc>
        <w:tc>
          <w:tcPr/>
          <w:p>
            <w:pPr>
              <w:pStyle w:val="Compact"/>
              <w:spacing w:after="40" w:before="40"/>
              <w:jc w:val="left"/>
            </w:pPr>
            <w:r>
              <w:rPr>
                <w:rFonts w:ascii="Cambria" w:hAnsi="Cambria" w:cs="Cambria" w:eastAsia="Cambria"/>
                <w:color w:val="1A1A1A"/>
                <w:sz w:val="18"/>
              </w:rPr>
              <w:t xml:space="preserve">~2,5</w:t>
            </w:r>
          </w:p>
        </w:tc>
        <w:tc>
          <w:tcPr/>
          <w:p>
            <w:pPr>
              <w:pStyle w:val="Compact"/>
              <w:spacing w:after="40" w:before="40"/>
              <w:jc w:val="left"/>
            </w:pPr>
            <w:r>
              <w:rPr>
                <w:rFonts w:ascii="Cambria" w:hAnsi="Cambria" w:cs="Cambria" w:eastAsia="Cambria"/>
                <w:color w:val="1A1A1A"/>
                <w:sz w:val="18"/>
              </w:rPr>
              <w:t xml:space="preserve">~5,0</w:t>
            </w:r>
          </w:p>
        </w:tc>
        <w:tc>
          <w:tcPr/>
          <w:p>
            <w:pPr>
              <w:pStyle w:val="Compact"/>
              <w:spacing w:after="40" w:before="40"/>
              <w:jc w:val="left"/>
            </w:pPr>
            <w:r>
              <w:rPr>
                <w:rFonts w:ascii="Cambria" w:hAnsi="Cambria" w:cs="Cambria" w:eastAsia="Cambria"/>
                <w:color w:val="1A1A1A"/>
                <w:sz w:val="18"/>
              </w:rPr>
              <w:t xml:space="preserve">~7,0</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Risparmio su mobilità sanitaria passiva</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~5,0</w:t>
            </w:r>
          </w:p>
        </w:tc>
        <w:tc>
          <w:tcPr>
            <w:shd w:val="clear" w:color="auto" w:fill="F4F1EC"/>
          </w:tcPr>
          <w:p>
            <w:pPr>
              <w:pStyle w:val="Compact"/>
              <w:spacing w:after="40" w:before="40"/>
              <w:jc w:val="left"/>
            </w:pPr>
            <w:r>
              <w:rPr>
                <w:rFonts w:ascii="Cambria" w:hAnsi="Cambria" w:cs="Cambria" w:eastAsia="Cambria"/>
                <w:color w:val="1A1A1A"/>
                <w:sz w:val="18"/>
              </w:rPr>
              <w:t xml:space="preserve">~8,0</w:t>
            </w:r>
          </w:p>
        </w:tc>
      </w:tr>
      <w:tr>
        <w:tc>
          <w:tcPr/>
          <w:p>
            <w:pPr>
              <w:pStyle w:val="Compact"/>
              <w:spacing w:after="40" w:before="40"/>
              <w:jc w:val="left"/>
            </w:pPr>
            <w:r>
              <w:rPr>
                <w:rFonts w:ascii="Cambria" w:hAnsi="Cambria" w:cs="Cambria" w:eastAsia="Cambria"/>
                <w:b/>
                <w:bCs/>
                <w:color w:val="1A1A1A"/>
                <w:sz w:val="18"/>
              </w:rPr>
              <w:t xml:space="preserve">Risparmi diretti totali</w:t>
            </w:r>
          </w:p>
        </w:tc>
        <w:tc>
          <w:tcPr/>
          <w:p>
            <w:pPr>
              <w:pStyle w:val="Compact"/>
              <w:spacing w:after="40" w:before="40"/>
              <w:jc w:val="left"/>
            </w:pPr>
            <w:r>
              <w:rPr>
                <w:rFonts w:ascii="Cambria" w:hAnsi="Cambria" w:cs="Cambria" w:eastAsia="Cambria"/>
                <w:b/>
                <w:bCs/>
                <w:color w:val="1A1A1A"/>
                <w:sz w:val="18"/>
              </w:rPr>
              <w:t xml:space="preserve">~6,5</w:t>
            </w:r>
          </w:p>
        </w:tc>
        <w:tc>
          <w:tcPr/>
          <w:p>
            <w:pPr>
              <w:pStyle w:val="Compact"/>
              <w:spacing w:after="40" w:before="40"/>
              <w:jc w:val="left"/>
            </w:pPr>
            <w:r>
              <w:rPr>
                <w:rFonts w:ascii="Cambria" w:hAnsi="Cambria" w:cs="Cambria" w:eastAsia="Cambria"/>
                <w:b/>
                <w:bCs/>
                <w:color w:val="1A1A1A"/>
                <w:sz w:val="18"/>
              </w:rPr>
              <w:t xml:space="preserve">~14,0</w:t>
            </w:r>
          </w:p>
        </w:tc>
        <w:tc>
          <w:tcPr/>
          <w:p>
            <w:pPr>
              <w:pStyle w:val="Compact"/>
              <w:spacing w:after="40" w:before="40"/>
              <w:jc w:val="left"/>
            </w:pPr>
            <w:r>
              <w:rPr>
                <w:rFonts w:ascii="Cambria" w:hAnsi="Cambria" w:cs="Cambria" w:eastAsia="Cambria"/>
                <w:b/>
                <w:bCs/>
                <w:color w:val="1A1A1A"/>
                <w:sz w:val="18"/>
              </w:rPr>
              <w:t xml:space="preserve">~22,0</w:t>
            </w:r>
          </w:p>
        </w:tc>
      </w:tr>
      <w:tr>
        <w:tc>
          <w:tcPr>
            <w:shd w:val="clear" w:color="auto" w:fill="F4F1EC"/>
          </w:tcPr>
          <w:p>
            <w:pPr>
              <w:pStyle w:val="Compact"/>
              <w:spacing w:after="40" w:before="40"/>
              <w:jc w:val="left"/>
            </w:pPr>
            <w:r>
              <w:rPr>
                <w:rFonts w:ascii="Cambria" w:hAnsi="Cambria" w:cs="Cambria" w:eastAsia="Cambria"/>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~17,0</w:t>
            </w:r>
          </w:p>
        </w:tc>
        <w:tc>
          <w:tcPr>
            <w:shd w:val="clear" w:color="auto" w:fill="F4F1EC"/>
          </w:tcPr>
          <w:p>
            <w:pPr>
              <w:pStyle w:val="Compact"/>
              <w:spacing w:after="40" w:before="40"/>
              <w:jc w:val="left"/>
            </w:pPr>
            <w:r>
              <w:rPr>
                <w:rFonts w:ascii="Cambria" w:hAnsi="Cambria" w:cs="Cambria" w:eastAsia="Cambria"/>
                <w:color w:val="1A1A1A"/>
                <w:sz w:val="18"/>
              </w:rPr>
              <w:t xml:space="preserve">~25,5</w:t>
            </w:r>
          </w:p>
        </w:tc>
      </w:tr>
      <w:tr>
        <w:tc>
          <w:tcPr/>
          <w:p>
            <w:pPr>
              <w:pStyle w:val="Compact"/>
              <w:spacing w:after="40" w:before="40"/>
              <w:jc w:val="left"/>
            </w:pPr>
            <w:r>
              <w:rPr>
                <w:rFonts w:ascii="Cambria" w:hAnsi="Cambria" w:cs="Cambria" w:eastAsia="Cambria"/>
                <w:b/>
                <w:bCs/>
                <w:color w:val="1A1A1A"/>
                <w:sz w:val="18"/>
              </w:rPr>
              <w:t xml:space="preserve">Saldo diretto per il bilancio</w:t>
            </w:r>
          </w:p>
        </w:tc>
        <w:tc>
          <w:tcPr/>
          <w:p>
            <w:pPr>
              <w:pStyle w:val="Compact"/>
              <w:spacing w:after="40" w:before="40"/>
              <w:jc w:val="left"/>
            </w:pPr>
            <w:r>
              <w:rPr>
                <w:rFonts w:ascii="Cambria" w:hAnsi="Cambria" w:cs="Cambria" w:eastAsia="Cambria"/>
                <w:b/>
                <w:bCs/>
                <w:color w:val="1A1A1A"/>
                <w:sz w:val="18"/>
              </w:rPr>
              <w:t xml:space="preserve">~ −2,0</w:t>
            </w:r>
          </w:p>
        </w:tc>
        <w:tc>
          <w:tcPr/>
          <w:p>
            <w:pPr>
              <w:pStyle w:val="Compact"/>
              <w:spacing w:after="40" w:before="40"/>
              <w:jc w:val="left"/>
            </w:pPr>
            <w:r>
              <w:rPr>
                <w:rFonts w:ascii="Cambria" w:hAnsi="Cambria" w:cs="Cambria" w:eastAsia="Cambria"/>
                <w:b/>
                <w:bCs/>
                <w:color w:val="1A1A1A"/>
                <w:sz w:val="18"/>
              </w:rPr>
              <w:t xml:space="preserve">~ −3,0</w:t>
            </w:r>
          </w:p>
        </w:tc>
        <w:tc>
          <w:tcPr/>
          <w:p>
            <w:pPr>
              <w:pStyle w:val="Compact"/>
              <w:spacing w:after="40" w:before="40"/>
              <w:jc w:val="left"/>
            </w:pPr>
            <w:r>
              <w:rPr>
                <w:rFonts w:ascii="Cambria" w:hAnsi="Cambria" w:cs="Cambria" w:eastAsia="Cambria"/>
                <w:b/>
                <w:bCs/>
                <w:color w:val="1A1A1A"/>
                <w:sz w:val="18"/>
              </w:rPr>
              <w:t xml:space="preserve">~ −3,5</w:t>
            </w:r>
          </w:p>
        </w:tc>
      </w:tr>
    </w:tbl>
    <w:p>
      <w:pPr>
        <w:pStyle w:val="BodyText"/>
      </w:pPr>
      <w:r>
        <w:rPr>
          <w:i/>
          <w:iCs/>
        </w:rPr>
        <w:t xml:space="preserve">Tabella E.4. Stima dell’impatto sul bilancio sanitario regionale per scenario. Il saldo diretto è di lieve segno negativo in tutti gli scenari, e rappresenta un onere netto modesto, inferiore allo 0,1 per cento del fondo sanitario regionale nello scenario di piena attuazione. Il canale della mobilità sanitaria passiva costituisce, nello scenario pieno, la componente di risparmio più rilevante.</w:t>
      </w:r>
    </w:p>
    <w:p>
      <w:pPr>
        <w:pStyle w:val="BodyText"/>
      </w:pPr>
      <w:r>
        <w:t xml:space="preserve">La lettura della tabella richiede due osservazioni. La prima riguarda il segno e l’entità del saldo diretto: esso è negativo in tutti gli scenari, ma di entità modesta, dell’ordine di pochi milioni di euro, pari nello scenario di piena attuazione a una frazione inferiore allo 0,1 per cento del fondo sanitario regionale; il servizio, cioè, comporta per il bilancio sanitario un onere netto contenuto, non un risparmio netto, coerentemente con la cautela imposta dall’evidenza sui risparmi diretti, di cui si è detto nella Parte D. La seconda osservazione riguarda il peso del canale della mobilità: in una regione che registra un passivo di mobilità di oltre 326 milioni di euro l’anno, anche una riduzione di entità contenuta di tale passivo, dell’ordine di pochi milioni, costituisce la componente di risparmio diretto più rilevante, e rappresenta al tempo stesso un’azione coerente con gli obiettivi del piano di rientro, che mira precisamente alla riduzione della spesa impropria e della mobilità. La stima del risparmio su questo canale è mantenuta su valori prudenziali — la riduzione stimata nello scenario pieno rappresenta una frazione contenuta del passivo complessivo — proprio perché la quota di mobilità riconducibile, a monte, al disagio psichico non intercettato non è direttamente misurabile e deve essere assunta con cautela; ma anche in questa misura prudente, il canale della mobilità conferma la propria centralità nel caso calabrese.</w:t>
      </w:r>
    </w:p>
    <w:bookmarkEnd w:id="3395"/>
    <w:bookmarkStart w:id="3396" w:name="X2d68ca00531c5c349f66c5a6f09b4dee0c025d6"/>
    <w:p>
      <w:pPr>
        <w:pStyle w:val="Heading3"/>
      </w:pPr>
      <w:r>
        <w:t xml:space="preserve">E.5 Il ritorno sociale per la collettività</w:t>
      </w:r>
    </w:p>
    <w:p>
      <w:pPr>
        <w:pStyle w:val="FirstParagraph"/>
      </w:pPr>
      <w:r>
        <w:t xml:space="preserve">L’analisi del ritorno sociale misura il valore che l’intervento genera per la collettività al di fuori del bilancio sanitario, secondo il metodo del ritorno sociale sull’investimento. Questo valore si compone di diverse componenti: il recupero di produttività derivante dalla riduzione dell’assenteismo, del presentismo e dell’abbandono del lavoro connessi al disagio non trattato; la riduzione dei trasferimenti previdenziali e assistenziali connessi all’invalidità e all’inabilità che il disagio cronicizzato può determinare; il valore del benessere recuperato dalle persone e la riduzione del carico che la sofferenza non trattata pone sui familiari, in particolare sui caregiver; e la riduzione di altri costi sociali connessi alla marginalità, alla dispersione e all’abbandono. La tabella seguente riporta la stima di queste componenti per ciascuno scenario.</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027"/>
        <w:gridCol w:w="1208"/>
        <w:gridCol w:w="1275"/>
        <w:gridCol w:w="1275"/>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Componente del ritorno sociale (mln €/anno)</w:t>
            </w:r>
          </w:p>
        </w:tc>
        <w:tc>
          <w:tcPr>
            <w:shd w:val="clear" w:color="auto" w:fill="16264B"/>
          </w:tcPr>
          <w:p>
            <w:pPr>
              <w:pStyle w:val="Compact"/>
              <w:spacing w:after="40" w:before="40"/>
              <w:jc w:val="left"/>
            </w:pPr>
            <w:r>
              <w:rPr>
                <w:rFonts w:ascii="Cambria" w:hAnsi="Cambria" w:cs="Cambria" w:eastAsia="Cambria"/>
                <w:b/>
                <w:color w:val="FFFFFF"/>
                <w:sz w:val="18"/>
              </w:rPr>
              <w:t xml:space="preserve">Minimo (140)</w:t>
            </w:r>
          </w:p>
        </w:tc>
        <w:tc>
          <w:tcPr>
            <w:shd w:val="clear" w:color="auto" w:fill="16264B"/>
          </w:tcPr>
          <w:p>
            <w:pPr>
              <w:pStyle w:val="Compact"/>
              <w:spacing w:after="40" w:before="40"/>
              <w:jc w:val="left"/>
            </w:pPr>
            <w:r>
              <w:rPr>
                <w:rFonts w:ascii="Cambria" w:hAnsi="Cambria" w:cs="Cambria" w:eastAsia="Cambria"/>
                <w:b/>
                <w:color w:val="FFFFFF"/>
                <w:sz w:val="18"/>
              </w:rPr>
              <w:t xml:space="preserve">Intermedio (280)</w:t>
            </w:r>
          </w:p>
        </w:tc>
        <w:tc>
          <w:tcPr>
            <w:shd w:val="clear" w:color="auto" w:fill="16264B"/>
          </w:tcPr>
          <w:p>
            <w:pPr>
              <w:pStyle w:val="Compact"/>
              <w:spacing w:after="40" w:before="40"/>
              <w:jc w:val="left"/>
            </w:pPr>
            <w:r>
              <w:rPr>
                <w:rFonts w:ascii="Cambria" w:hAnsi="Cambria" w:cs="Cambria" w:eastAsia="Cambria"/>
                <w:b/>
                <w:color w:val="FFFFFF"/>
                <w:sz w:val="18"/>
              </w:rPr>
              <w:t xml:space="preserve">Pieno (410)</w:t>
            </w:r>
          </w:p>
        </w:tc>
      </w:tr>
      <w:tr>
        <w:tc>
          <w:tcPr/>
          <w:p>
            <w:pPr>
              <w:pStyle w:val="Compact"/>
              <w:spacing w:after="40" w:before="40"/>
              <w:jc w:val="left"/>
            </w:pPr>
            <w:r>
              <w:rPr>
                <w:rFonts w:ascii="Cambria" w:hAnsi="Cambria" w:cs="Cambria" w:eastAsia="Cambria"/>
                <w:color w:val="1A1A1A"/>
                <w:sz w:val="18"/>
              </w:rPr>
              <w:t xml:space="preserve">Recupero di produttività</w:t>
            </w:r>
          </w:p>
        </w:tc>
        <w:tc>
          <w:tcPr/>
          <w:p>
            <w:pPr>
              <w:pStyle w:val="Compact"/>
              <w:spacing w:after="40" w:before="40"/>
              <w:jc w:val="left"/>
            </w:pPr>
            <w:r>
              <w:rPr>
                <w:rFonts w:ascii="Cambria" w:hAnsi="Cambria" w:cs="Cambria" w:eastAsia="Cambria"/>
                <w:color w:val="1A1A1A"/>
                <w:sz w:val="18"/>
              </w:rPr>
              <w:t xml:space="preserve">~9,0</w:t>
            </w:r>
          </w:p>
        </w:tc>
        <w:tc>
          <w:tcPr/>
          <w:p>
            <w:pPr>
              <w:pStyle w:val="Compact"/>
              <w:spacing w:after="40" w:before="40"/>
              <w:jc w:val="left"/>
            </w:pPr>
            <w:r>
              <w:rPr>
                <w:rFonts w:ascii="Cambria" w:hAnsi="Cambria" w:cs="Cambria" w:eastAsia="Cambria"/>
                <w:color w:val="1A1A1A"/>
                <w:sz w:val="18"/>
              </w:rPr>
              <w:t xml:space="preserve">~21,0</w:t>
            </w:r>
          </w:p>
        </w:tc>
        <w:tc>
          <w:tcPr/>
          <w:p>
            <w:pPr>
              <w:pStyle w:val="Compact"/>
              <w:spacing w:after="40" w:before="40"/>
              <w:jc w:val="left"/>
            </w:pPr>
            <w:r>
              <w:rPr>
                <w:rFonts w:ascii="Cambria" w:hAnsi="Cambria" w:cs="Cambria" w:eastAsia="Cambria"/>
                <w:color w:val="1A1A1A"/>
                <w:sz w:val="18"/>
              </w:rPr>
              <w:t xml:space="preserve">~39,0</w:t>
            </w:r>
          </w:p>
        </w:tc>
      </w:tr>
      <w:tr>
        <w:tc>
          <w:tcPr>
            <w:shd w:val="clear" w:color="auto" w:fill="F4F1EC"/>
          </w:tcPr>
          <w:p>
            <w:pPr>
              <w:pStyle w:val="Compact"/>
              <w:spacing w:after="40" w:before="40"/>
              <w:jc w:val="left"/>
            </w:pPr>
            <w:r>
              <w:rPr>
                <w:rFonts w:ascii="Cambria" w:hAnsi="Cambria" w:cs="Cambria" w:eastAsia="Cambria"/>
                <w:color w:val="1A1A1A"/>
                <w:sz w:val="18"/>
              </w:rPr>
              <w:t xml:space="preserve">Riduzione di trasferimenti previdenziali e assistenziali</w:t>
            </w:r>
          </w:p>
        </w:tc>
        <w:tc>
          <w:tcPr>
            <w:shd w:val="clear" w:color="auto" w:fill="F4F1EC"/>
          </w:tcPr>
          <w:p>
            <w:pPr>
              <w:pStyle w:val="Compact"/>
              <w:spacing w:after="40" w:before="40"/>
              <w:jc w:val="left"/>
            </w:pPr>
            <w:r>
              <w:rPr>
                <w:rFonts w:ascii="Cambria" w:hAnsi="Cambria" w:cs="Cambria" w:eastAsia="Cambria"/>
                <w:color w:val="1A1A1A"/>
                <w:sz w:val="18"/>
              </w:rPr>
              <w:t xml:space="preserve">~5,0</w:t>
            </w:r>
          </w:p>
        </w:tc>
        <w:tc>
          <w:tcPr>
            <w:shd w:val="clear" w:color="auto" w:fill="F4F1EC"/>
          </w:tcPr>
          <w:p>
            <w:pPr>
              <w:pStyle w:val="Compact"/>
              <w:spacing w:after="40" w:before="40"/>
              <w:jc w:val="left"/>
            </w:pPr>
            <w:r>
              <w:rPr>
                <w:rFonts w:ascii="Cambria" w:hAnsi="Cambria" w:cs="Cambria" w:eastAsia="Cambria"/>
                <w:color w:val="1A1A1A"/>
                <w:sz w:val="18"/>
              </w:rPr>
              <w:t xml:space="preserve">~12,0</w:t>
            </w:r>
          </w:p>
        </w:tc>
        <w:tc>
          <w:tcPr>
            <w:shd w:val="clear" w:color="auto" w:fill="F4F1EC"/>
          </w:tcPr>
          <w:p>
            <w:pPr>
              <w:pStyle w:val="Compact"/>
              <w:spacing w:after="40" w:before="40"/>
              <w:jc w:val="left"/>
            </w:pPr>
            <w:r>
              <w:rPr>
                <w:rFonts w:ascii="Cambria" w:hAnsi="Cambria" w:cs="Cambria" w:eastAsia="Cambria"/>
                <w:color w:val="1A1A1A"/>
                <w:sz w:val="18"/>
              </w:rPr>
              <w:t xml:space="preserve">~22,0</w:t>
            </w:r>
          </w:p>
        </w:tc>
      </w:tr>
      <w:tr>
        <w:tc>
          <w:tcPr/>
          <w:p>
            <w:pPr>
              <w:pStyle w:val="Compact"/>
              <w:spacing w:after="40" w:before="40"/>
              <w:jc w:val="left"/>
            </w:pPr>
            <w:r>
              <w:rPr>
                <w:rFonts w:ascii="Cambria" w:hAnsi="Cambria" w:cs="Cambria" w:eastAsia="Cambria"/>
                <w:color w:val="1A1A1A"/>
                <w:sz w:val="18"/>
              </w:rPr>
              <w:t xml:space="preserve">Valore del benessere e riduzione del carico sui caregiver</w:t>
            </w:r>
          </w:p>
        </w:tc>
        <w:tc>
          <w:tcPr/>
          <w:p>
            <w:pPr>
              <w:pStyle w:val="Compact"/>
              <w:spacing w:after="40" w:before="40"/>
              <w:jc w:val="left"/>
            </w:pPr>
            <w:r>
              <w:rPr>
                <w:rFonts w:ascii="Cambria" w:hAnsi="Cambria" w:cs="Cambria" w:eastAsia="Cambria"/>
                <w:color w:val="1A1A1A"/>
                <w:sz w:val="18"/>
              </w:rPr>
              <w:t xml:space="preserve">~5,0</w:t>
            </w:r>
          </w:p>
        </w:tc>
        <w:tc>
          <w:tcPr/>
          <w:p>
            <w:pPr>
              <w:pStyle w:val="Compact"/>
              <w:spacing w:after="40" w:before="40"/>
              <w:jc w:val="left"/>
            </w:pPr>
            <w:r>
              <w:rPr>
                <w:rFonts w:ascii="Cambria" w:hAnsi="Cambria" w:cs="Cambria" w:eastAsia="Cambria"/>
                <w:color w:val="1A1A1A"/>
                <w:sz w:val="18"/>
              </w:rPr>
              <w:t xml:space="preserve">~12,0</w:t>
            </w:r>
          </w:p>
        </w:tc>
        <w:tc>
          <w:tcPr/>
          <w:p>
            <w:pPr>
              <w:pStyle w:val="Compact"/>
              <w:spacing w:after="40" w:before="40"/>
              <w:jc w:val="left"/>
            </w:pPr>
            <w:r>
              <w:rPr>
                <w:rFonts w:ascii="Cambria" w:hAnsi="Cambria" w:cs="Cambria" w:eastAsia="Cambria"/>
                <w:color w:val="1A1A1A"/>
                <w:sz w:val="18"/>
              </w:rPr>
              <w:t xml:space="preserve">~23,0</w:t>
            </w:r>
          </w:p>
        </w:tc>
      </w:tr>
      <w:tr>
        <w:tc>
          <w:tcPr>
            <w:shd w:val="clear" w:color="auto" w:fill="F4F1EC"/>
          </w:tcPr>
          <w:p>
            <w:pPr>
              <w:pStyle w:val="Compact"/>
              <w:spacing w:after="40" w:before="40"/>
              <w:jc w:val="left"/>
            </w:pPr>
            <w:r>
              <w:rPr>
                <w:rFonts w:ascii="Cambria" w:hAnsi="Cambria" w:cs="Cambria" w:eastAsia="Cambria"/>
                <w:color w:val="1A1A1A"/>
                <w:sz w:val="18"/>
              </w:rPr>
              <w:t xml:space="preserve">Riduzione di altri costi sociali</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c>
          <w:tcPr>
            <w:shd w:val="clear" w:color="auto" w:fill="F4F1EC"/>
          </w:tcPr>
          <w:p>
            <w:pPr>
              <w:pStyle w:val="Compact"/>
              <w:spacing w:after="40" w:before="40"/>
              <w:jc w:val="left"/>
            </w:pPr>
            <w:r>
              <w:rPr>
                <w:rFonts w:ascii="Cambria" w:hAnsi="Cambria" w:cs="Cambria" w:eastAsia="Cambria"/>
                <w:color w:val="1A1A1A"/>
                <w:sz w:val="18"/>
              </w:rPr>
              <w:t xml:space="preserve">~7,0</w:t>
            </w:r>
          </w:p>
        </w:tc>
        <w:tc>
          <w:tcPr>
            <w:shd w:val="clear" w:color="auto" w:fill="F4F1EC"/>
          </w:tcPr>
          <w:p>
            <w:pPr>
              <w:pStyle w:val="Compact"/>
              <w:spacing w:after="40" w:before="40"/>
              <w:jc w:val="left"/>
            </w:pPr>
            <w:r>
              <w:rPr>
                <w:rFonts w:ascii="Cambria" w:hAnsi="Cambria" w:cs="Cambria" w:eastAsia="Cambria"/>
                <w:color w:val="1A1A1A"/>
                <w:sz w:val="18"/>
              </w:rPr>
              <w:t xml:space="preserve">~12,0</w:t>
            </w:r>
          </w:p>
        </w:tc>
      </w:tr>
      <w:tr>
        <w:tc>
          <w:tcPr/>
          <w:p>
            <w:pPr>
              <w:pStyle w:val="Compact"/>
              <w:spacing w:after="40" w:before="40"/>
              <w:jc w:val="left"/>
            </w:pPr>
            <w:r>
              <w:rPr>
                <w:rFonts w:ascii="Cambria" w:hAnsi="Cambria" w:cs="Cambria" w:eastAsia="Cambria"/>
                <w:b/>
                <w:bCs/>
                <w:color w:val="1A1A1A"/>
                <w:sz w:val="18"/>
              </w:rPr>
              <w:t xml:space="preserve">Ricadute economico-sociali totali</w:t>
            </w:r>
          </w:p>
        </w:tc>
        <w:tc>
          <w:tcPr/>
          <w:p>
            <w:pPr>
              <w:pStyle w:val="Compact"/>
              <w:spacing w:after="40" w:before="40"/>
              <w:jc w:val="left"/>
            </w:pPr>
            <w:r>
              <w:rPr>
                <w:rFonts w:ascii="Cambria" w:hAnsi="Cambria" w:cs="Cambria" w:eastAsia="Cambria"/>
                <w:b/>
                <w:bCs/>
                <w:color w:val="1A1A1A"/>
                <w:sz w:val="18"/>
              </w:rPr>
              <w:t xml:space="preserve">~22,0</w:t>
            </w:r>
          </w:p>
        </w:tc>
        <w:tc>
          <w:tcPr/>
          <w:p>
            <w:pPr>
              <w:pStyle w:val="Compact"/>
              <w:spacing w:after="40" w:before="40"/>
              <w:jc w:val="left"/>
            </w:pPr>
            <w:r>
              <w:rPr>
                <w:rFonts w:ascii="Cambria" w:hAnsi="Cambria" w:cs="Cambria" w:eastAsia="Cambria"/>
                <w:b/>
                <w:bCs/>
                <w:color w:val="1A1A1A"/>
                <w:sz w:val="18"/>
              </w:rPr>
              <w:t xml:space="preserve">~52,0</w:t>
            </w:r>
          </w:p>
        </w:tc>
        <w:tc>
          <w:tcPr/>
          <w:p>
            <w:pPr>
              <w:pStyle w:val="Compact"/>
              <w:spacing w:after="40" w:before="40"/>
              <w:jc w:val="left"/>
            </w:pPr>
            <w:r>
              <w:rPr>
                <w:rFonts w:ascii="Cambria" w:hAnsi="Cambria" w:cs="Cambria" w:eastAsia="Cambria"/>
                <w:b/>
                <w:bCs/>
                <w:color w:val="1A1A1A"/>
                <w:sz w:val="18"/>
              </w:rPr>
              <w:t xml:space="preserve">~96,0</w:t>
            </w:r>
          </w:p>
        </w:tc>
      </w:tr>
    </w:tbl>
    <w:p>
      <w:pPr>
        <w:pStyle w:val="BodyText"/>
      </w:pPr>
      <w:r>
        <w:rPr>
          <w:i/>
          <w:iCs/>
        </w:rPr>
        <w:t xml:space="preserve">Tabella E.5. Stima delle ricadute economico-sociali per scenario. Queste grandezze si producono per la collettività al di fuori del bilancio sanitario regionale e non sono sommate ai risparmi diretti della Tabella E.4 in un indice di bilancio. Il rapporto fra le ricadute sociali e il costo del servizio è dell’ordine di 2,6 a uno nello scenario minimo e cresce fino a circa 3,8 a uno nello scenario pieno.</w:t>
      </w:r>
    </w:p>
    <w:p>
      <w:pPr>
        <w:pStyle w:val="BodyText"/>
      </w:pPr>
      <w:r>
        <w:t xml:space="preserve">Le ricadute economico-sociali stimate sono di entità largamente superiore ai risparmi diretti, e crescono più che proporzionalmente con la scala del servizio, in ragione del fatto che l’intercettazione di una quota maggiore del bisogno previene un numero maggiore di cronicizzazioni e dei costi sociali, spesso ingenti e duraturi, a esse connessi. È necessario ribadire che queste grandezze sono di natura diversa da quelle della sezione precedente: esse non gravano sul bilancio sanitario regionale e non si traducono in minori esborsi per il Servizio Sanitario Regionale, ma esprimono il valore che l’intervento genera per la collettività nel suo complesso — per i lavoratori e le imprese, per il sistema previdenziale, per le famiglie, per la coesione sociale dei territori. Per questa ragione esse non sono sommate ai risparmi diretti in un unico saldo di bilancio, ma sono ricomposte con essi, nella sezione seguente, in un caso economico distinto da quello finanziario.</w:t>
      </w:r>
    </w:p>
    <w:bookmarkEnd w:id="3396"/>
    <w:bookmarkStart w:id="3398" w:name="X0d0410d2a40062f761cb6efca4432bcdc759aef"/>
    <w:p>
      <w:pPr>
        <w:pStyle w:val="Heading3"/>
      </w:pPr>
      <w:r>
        <w:t xml:space="preserve">E.6 Il caso finanziario e il caso economico</w:t>
      </w:r>
    </w:p>
    <w:p>
      <w:pPr>
        <w:pStyle w:val="FirstParagraph"/>
      </w:pPr>
      <w:r>
        <w:t xml:space="preserve">La valutazione economica si conclude con la presentazione distinta di due casi, costruiti su prospettive diverse. Il caso finanziario adotta la prospettiva del Servizio Sanitario Regionale e considera i soli flussi che gravano sul bilancio sanitario: pone a confronto il costo del servizio con i risparmi diretti, e ne ricava il saldo diretto, di lieve segno negativo. Il caso economico adotta la prospettiva della collettività e considera, accanto ai risparmi diretti, anche le ricadute economico-sociali: pone a confronto il costo del servizio con il ritorno complessivo per la collettività, dato dalla somma dei risparmi diretti e delle ricadute sociali, e ne ricava il saldo complessivo, ampiamente positivo, e il rapporto fra il valore complessivo e il costo. La tabella seguente riporta i due casi.</w:t>
      </w:r>
    </w:p>
    <w:tbl>
      <w:tblPr>
        <w:tblStyle w:val="Table"/>
        <w:tblW w:type="pct" w:w="490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744"/>
        <w:gridCol w:w="1296"/>
        <w:gridCol w:w="1368"/>
        <w:gridCol w:w="1368"/>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Grandezza (mln €/anno)</w:t>
            </w:r>
          </w:p>
        </w:tc>
        <w:tc>
          <w:tcPr>
            <w:shd w:val="clear" w:color="auto" w:fill="16264B"/>
          </w:tcPr>
          <w:p>
            <w:pPr>
              <w:pStyle w:val="Compact"/>
              <w:spacing w:after="40" w:before="40"/>
              <w:jc w:val="left"/>
            </w:pPr>
            <w:r>
              <w:rPr>
                <w:rFonts w:ascii="Cambria" w:hAnsi="Cambria" w:cs="Cambria" w:eastAsia="Cambria"/>
                <w:b/>
                <w:color w:val="FFFFFF"/>
                <w:sz w:val="18"/>
              </w:rPr>
              <w:t xml:space="preserve">Minimo (140)</w:t>
            </w:r>
          </w:p>
        </w:tc>
        <w:tc>
          <w:tcPr>
            <w:shd w:val="clear" w:color="auto" w:fill="16264B"/>
          </w:tcPr>
          <w:p>
            <w:pPr>
              <w:pStyle w:val="Compact"/>
              <w:spacing w:after="40" w:before="40"/>
              <w:jc w:val="left"/>
            </w:pPr>
            <w:r>
              <w:rPr>
                <w:rFonts w:ascii="Cambria" w:hAnsi="Cambria" w:cs="Cambria" w:eastAsia="Cambria"/>
                <w:b/>
                <w:color w:val="FFFFFF"/>
                <w:sz w:val="18"/>
              </w:rPr>
              <w:t xml:space="preserve">Intermedio (280)</w:t>
            </w:r>
          </w:p>
        </w:tc>
        <w:tc>
          <w:tcPr>
            <w:shd w:val="clear" w:color="auto" w:fill="16264B"/>
          </w:tcPr>
          <w:p>
            <w:pPr>
              <w:pStyle w:val="Compact"/>
              <w:spacing w:after="40" w:before="40"/>
              <w:jc w:val="left"/>
            </w:pPr>
            <w:r>
              <w:rPr>
                <w:rFonts w:ascii="Cambria" w:hAnsi="Cambria" w:cs="Cambria" w:eastAsia="Cambria"/>
                <w:b/>
                <w:color w:val="FFFFFF"/>
                <w:sz w:val="18"/>
              </w:rPr>
              <w:t xml:space="preserve">Pieno (410)</w:t>
            </w:r>
          </w:p>
        </w:tc>
      </w:tr>
      <w:tr>
        <w:tc>
          <w:tcPr/>
          <w:p>
            <w:pPr>
              <w:pStyle w:val="Compact"/>
              <w:spacing w:after="40" w:before="40"/>
              <w:jc w:val="left"/>
            </w:pPr>
            <w:r>
              <w:rPr>
                <w:rFonts w:ascii="Cambria" w:hAnsi="Cambria" w:cs="Cambria" w:eastAsia="Cambria"/>
                <w:i/>
                <w:iCs/>
                <w:color w:val="1A1A1A"/>
                <w:sz w:val="18"/>
              </w:rPr>
              <w:t xml:space="preserve">Caso finanziario (Servizio Sanitario Regionale)</w:t>
            </w:r>
          </w:p>
        </w:tc>
        <w:tc>
          <w:tcPr/>
          <w:p>
            <w:pPr>
              <w:pStyle w:val="Compact"/>
              <w:spacing w:after="40" w:before="40"/>
              <w:jc w:val="left"/>
            </w:pPr>
          </w:p>
        </w:tc>
        <w:tc>
          <w:tcPr/>
          <w:p>
            <w:pPr>
              <w:pStyle w:val="Compact"/>
              <w:spacing w:after="40" w:before="40"/>
              <w:jc w:val="left"/>
            </w:pPr>
          </w:p>
        </w:tc>
        <w:tc>
          <w:tcPr/>
          <w:p>
            <w:pPr>
              <w:pStyle w:val="Compact"/>
              <w:spacing w:after="40" w:before="40"/>
              <w:jc w:val="left"/>
            </w:pPr>
          </w:p>
        </w:tc>
      </w:tr>
      <w:tr>
        <w:tc>
          <w:tcPr>
            <w:shd w:val="clear" w:color="auto" w:fill="F4F1EC"/>
          </w:tcPr>
          <w:p>
            <w:pPr>
              <w:pStyle w:val="Compact"/>
              <w:spacing w:after="40" w:before="40"/>
              <w:jc w:val="left"/>
            </w:pPr>
            <w:r>
              <w:rPr>
                <w:rFonts w:ascii="Cambria" w:hAnsi="Cambria" w:cs="Cambria" w:eastAsia="Cambria"/>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~17,0</w:t>
            </w:r>
          </w:p>
        </w:tc>
        <w:tc>
          <w:tcPr>
            <w:shd w:val="clear" w:color="auto" w:fill="F4F1EC"/>
          </w:tcPr>
          <w:p>
            <w:pPr>
              <w:pStyle w:val="Compact"/>
              <w:spacing w:after="40" w:before="40"/>
              <w:jc w:val="left"/>
            </w:pPr>
            <w:r>
              <w:rPr>
                <w:rFonts w:ascii="Cambria" w:hAnsi="Cambria" w:cs="Cambria" w:eastAsia="Cambria"/>
                <w:color w:val="1A1A1A"/>
                <w:sz w:val="18"/>
              </w:rPr>
              <w:t xml:space="preserve">~25,5</w:t>
            </w:r>
          </w:p>
        </w:tc>
      </w:tr>
      <w:tr>
        <w:tc>
          <w:tcPr/>
          <w:p>
            <w:pPr>
              <w:pStyle w:val="Compact"/>
              <w:spacing w:after="40" w:before="40"/>
              <w:jc w:val="left"/>
            </w:pPr>
            <w:r>
              <w:rPr>
                <w:rFonts w:ascii="Cambria" w:hAnsi="Cambria" w:cs="Cambria" w:eastAsia="Cambria"/>
                <w:color w:val="1A1A1A"/>
                <w:sz w:val="18"/>
              </w:rPr>
              <w:t xml:space="preserve">Risparmi diretti</w:t>
            </w:r>
          </w:p>
        </w:tc>
        <w:tc>
          <w:tcPr/>
          <w:p>
            <w:pPr>
              <w:pStyle w:val="Compact"/>
              <w:spacing w:after="40" w:before="40"/>
              <w:jc w:val="left"/>
            </w:pPr>
            <w:r>
              <w:rPr>
                <w:rFonts w:ascii="Cambria" w:hAnsi="Cambria" w:cs="Cambria" w:eastAsia="Cambria"/>
                <w:color w:val="1A1A1A"/>
                <w:sz w:val="18"/>
              </w:rPr>
              <w:t xml:space="preserve">~6,5</w:t>
            </w:r>
          </w:p>
        </w:tc>
        <w:tc>
          <w:tcPr/>
          <w:p>
            <w:pPr>
              <w:pStyle w:val="Compact"/>
              <w:spacing w:after="40" w:before="40"/>
              <w:jc w:val="left"/>
            </w:pPr>
            <w:r>
              <w:rPr>
                <w:rFonts w:ascii="Cambria" w:hAnsi="Cambria" w:cs="Cambria" w:eastAsia="Cambria"/>
                <w:color w:val="1A1A1A"/>
                <w:sz w:val="18"/>
              </w:rPr>
              <w:t xml:space="preserve">~14,0</w:t>
            </w:r>
          </w:p>
        </w:tc>
        <w:tc>
          <w:tcPr/>
          <w:p>
            <w:pPr>
              <w:pStyle w:val="Compact"/>
              <w:spacing w:after="40" w:before="40"/>
              <w:jc w:val="left"/>
            </w:pPr>
            <w:r>
              <w:rPr>
                <w:rFonts w:ascii="Cambria" w:hAnsi="Cambria" w:cs="Cambria" w:eastAsia="Cambria"/>
                <w:color w:val="1A1A1A"/>
                <w:sz w:val="18"/>
              </w:rPr>
              <w:t xml:space="preserve">~22,0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w:t>
            </w:r>
          </w:p>
        </w:tc>
        <w:tc>
          <w:tcPr>
            <w:shd w:val="clear" w:color="auto" w:fill="F4F1EC"/>
          </w:tcPr>
          <w:p>
            <w:pPr>
              <w:pStyle w:val="Compact"/>
              <w:spacing w:after="40" w:before="40"/>
              <w:jc w:val="left"/>
            </w:pPr>
            <w:r>
              <w:rPr>
                <w:rFonts w:ascii="Cambria" w:hAnsi="Cambria" w:cs="Cambria" w:eastAsia="Cambria"/>
                <w:b/>
                <w:bCs/>
                <w:color w:val="1A1A1A"/>
                <w:sz w:val="18"/>
              </w:rPr>
              <w:t xml:space="preserve">~ −2,0</w:t>
            </w:r>
          </w:p>
        </w:tc>
        <w:tc>
          <w:tcPr>
            <w:shd w:val="clear" w:color="auto" w:fill="F4F1EC"/>
          </w:tcPr>
          <w:p>
            <w:pPr>
              <w:pStyle w:val="Compact"/>
              <w:spacing w:after="40" w:before="40"/>
              <w:jc w:val="left"/>
            </w:pPr>
            <w:r>
              <w:rPr>
                <w:rFonts w:ascii="Cambria" w:hAnsi="Cambria" w:cs="Cambria" w:eastAsia="Cambria"/>
                <w:b/>
                <w:bCs/>
                <w:color w:val="1A1A1A"/>
                <w:sz w:val="18"/>
              </w:rPr>
              <w:t xml:space="preserve">~ −3,0</w:t>
            </w:r>
          </w:p>
        </w:tc>
        <w:tc>
          <w:tcPr>
            <w:shd w:val="clear" w:color="auto" w:fill="F4F1EC"/>
          </w:tcPr>
          <w:p>
            <w:pPr>
              <w:pStyle w:val="Compact"/>
              <w:spacing w:after="40" w:before="40"/>
              <w:jc w:val="left"/>
            </w:pPr>
            <w:r>
              <w:rPr>
                <w:rFonts w:ascii="Cambria" w:hAnsi="Cambria" w:cs="Cambria" w:eastAsia="Cambria"/>
                <w:b/>
                <w:bCs/>
                <w:color w:val="1A1A1A"/>
                <w:sz w:val="18"/>
              </w:rPr>
              <w:t xml:space="preserve">~ −3,5</w:t>
            </w:r>
          </w:p>
        </w:tc>
      </w:tr>
      <w:tr>
        <w:tc>
          <w:tcPr/>
          <w:p>
            <w:pPr>
              <w:pStyle w:val="Compact"/>
              <w:spacing w:after="40" w:before="40"/>
              <w:jc w:val="left"/>
            </w:pPr>
            <w:r>
              <w:rPr>
                <w:rFonts w:ascii="Cambria" w:hAnsi="Cambria" w:cs="Cambria" w:eastAsia="Cambria"/>
                <w:i/>
                <w:iCs/>
                <w:color w:val="1A1A1A"/>
                <w:sz w:val="18"/>
              </w:rPr>
              <w:t xml:space="preserve">Caso economico (collettività)</w:t>
            </w:r>
          </w:p>
        </w:tc>
        <w:tc>
          <w:tcPr/>
          <w:p>
            <w:pPr>
              <w:pStyle w:val="Compact"/>
              <w:spacing w:after="40" w:before="40"/>
              <w:jc w:val="left"/>
            </w:pPr>
          </w:p>
        </w:tc>
        <w:tc>
          <w:tcPr/>
          <w:p>
            <w:pPr>
              <w:pStyle w:val="Compact"/>
              <w:spacing w:after="40" w:before="40"/>
              <w:jc w:val="left"/>
            </w:pPr>
          </w:p>
        </w:tc>
        <w:tc>
          <w:tcPr/>
          <w:p>
            <w:pPr>
              <w:pStyle w:val="Compact"/>
              <w:spacing w:after="40" w:before="40"/>
              <w:jc w:val="left"/>
            </w:pPr>
          </w:p>
        </w:tc>
      </w:tr>
      <w:tr>
        <w:tc>
          <w:tcPr>
            <w:shd w:val="clear" w:color="auto" w:fill="F4F1EC"/>
          </w:tcPr>
          <w:p>
            <w:pPr>
              <w:pStyle w:val="Compact"/>
              <w:spacing w:after="40" w:before="40"/>
              <w:jc w:val="left"/>
            </w:pPr>
            <w:r>
              <w:rPr>
                <w:rFonts w:ascii="Cambria" w:hAnsi="Cambria" w:cs="Cambria" w:eastAsia="Cambria"/>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~17,0</w:t>
            </w:r>
          </w:p>
        </w:tc>
        <w:tc>
          <w:tcPr>
            <w:shd w:val="clear" w:color="auto" w:fill="F4F1EC"/>
          </w:tcPr>
          <w:p>
            <w:pPr>
              <w:pStyle w:val="Compact"/>
              <w:spacing w:after="40" w:before="40"/>
              <w:jc w:val="left"/>
            </w:pPr>
            <w:r>
              <w:rPr>
                <w:rFonts w:ascii="Cambria" w:hAnsi="Cambria" w:cs="Cambria" w:eastAsia="Cambria"/>
                <w:color w:val="1A1A1A"/>
                <w:sz w:val="18"/>
              </w:rPr>
              <w:t xml:space="preserve">~25,5</w:t>
            </w:r>
          </w:p>
        </w:tc>
      </w:tr>
      <w:tr>
        <w:tc>
          <w:tcPr/>
          <w:p>
            <w:pPr>
              <w:pStyle w:val="Compact"/>
              <w:spacing w:after="40" w:before="40"/>
              <w:jc w:val="left"/>
            </w:pPr>
            <w:r>
              <w:rPr>
                <w:rFonts w:ascii="Cambria" w:hAnsi="Cambria" w:cs="Cambria" w:eastAsia="Cambria"/>
                <w:color w:val="1A1A1A"/>
                <w:sz w:val="18"/>
              </w:rPr>
              <w:t xml:space="preserve">Ritorno complessivo per la collettività</w:t>
            </w:r>
          </w:p>
        </w:tc>
        <w:tc>
          <w:tcPr/>
          <w:p>
            <w:pPr>
              <w:pStyle w:val="Compact"/>
              <w:spacing w:after="40" w:before="40"/>
              <w:jc w:val="left"/>
            </w:pPr>
            <w:r>
              <w:rPr>
                <w:rFonts w:ascii="Cambria" w:hAnsi="Cambria" w:cs="Cambria" w:eastAsia="Cambria"/>
                <w:color w:val="1A1A1A"/>
                <w:sz w:val="18"/>
              </w:rPr>
              <w:t xml:space="preserve">~28,5</w:t>
            </w:r>
          </w:p>
        </w:tc>
        <w:tc>
          <w:tcPr/>
          <w:p>
            <w:pPr>
              <w:pStyle w:val="Compact"/>
              <w:spacing w:after="40" w:before="40"/>
              <w:jc w:val="left"/>
            </w:pPr>
            <w:r>
              <w:rPr>
                <w:rFonts w:ascii="Cambria" w:hAnsi="Cambria" w:cs="Cambria" w:eastAsia="Cambria"/>
                <w:color w:val="1A1A1A"/>
                <w:sz w:val="18"/>
              </w:rPr>
              <w:t xml:space="preserve">~66,0</w:t>
            </w:r>
          </w:p>
        </w:tc>
        <w:tc>
          <w:tcPr/>
          <w:p>
            <w:pPr>
              <w:pStyle w:val="Compact"/>
              <w:spacing w:after="40" w:before="40"/>
              <w:jc w:val="left"/>
            </w:pPr>
            <w:r>
              <w:rPr>
                <w:rFonts w:ascii="Cambria" w:hAnsi="Cambria" w:cs="Cambria" w:eastAsia="Cambria"/>
                <w:color w:val="1A1A1A"/>
                <w:sz w:val="18"/>
              </w:rPr>
              <w:t xml:space="preserve">~118,0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w:t>
            </w:r>
          </w:p>
        </w:tc>
        <w:tc>
          <w:tcPr>
            <w:shd w:val="clear" w:color="auto" w:fill="F4F1EC"/>
          </w:tcPr>
          <w:p>
            <w:pPr>
              <w:pStyle w:val="Compact"/>
              <w:spacing w:after="40" w:before="40"/>
              <w:jc w:val="left"/>
            </w:pPr>
            <w:r>
              <w:rPr>
                <w:rFonts w:ascii="Cambria" w:hAnsi="Cambria" w:cs="Cambria" w:eastAsia="Cambria"/>
                <w:b/>
                <w:bCs/>
                <w:color w:val="1A1A1A"/>
                <w:sz w:val="18"/>
              </w:rPr>
              <w:t xml:space="preserve">~ +20,0</w:t>
            </w:r>
          </w:p>
        </w:tc>
        <w:tc>
          <w:tcPr>
            <w:shd w:val="clear" w:color="auto" w:fill="F4F1EC"/>
          </w:tcPr>
          <w:p>
            <w:pPr>
              <w:pStyle w:val="Compact"/>
              <w:spacing w:after="40" w:before="40"/>
              <w:jc w:val="left"/>
            </w:pPr>
            <w:r>
              <w:rPr>
                <w:rFonts w:ascii="Cambria" w:hAnsi="Cambria" w:cs="Cambria" w:eastAsia="Cambria"/>
                <w:b/>
                <w:bCs/>
                <w:color w:val="1A1A1A"/>
                <w:sz w:val="18"/>
              </w:rPr>
              <w:t xml:space="preserve">~ +49,0</w:t>
            </w:r>
          </w:p>
        </w:tc>
        <w:tc>
          <w:tcPr>
            <w:shd w:val="clear" w:color="auto" w:fill="F4F1EC"/>
          </w:tcPr>
          <w:p>
            <w:pPr>
              <w:pStyle w:val="Compact"/>
              <w:spacing w:after="40" w:before="40"/>
              <w:jc w:val="left"/>
            </w:pPr>
            <w:r>
              <w:rPr>
                <w:rFonts w:ascii="Cambria" w:hAnsi="Cambria" w:cs="Cambria" w:eastAsia="Cambria"/>
                <w:b/>
                <w:bCs/>
                <w:color w:val="1A1A1A"/>
                <w:sz w:val="18"/>
              </w:rPr>
              <w:t xml:space="preserve">~ +92,5</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b/>
                <w:bCs/>
                <w:color w:val="1A1A1A"/>
                <w:sz w:val="18"/>
              </w:rPr>
              <w:t xml:space="preserve">~3,4 : 1</w:t>
            </w:r>
          </w:p>
        </w:tc>
        <w:tc>
          <w:tcPr/>
          <w:p>
            <w:pPr>
              <w:pStyle w:val="Compact"/>
              <w:spacing w:after="40" w:before="40"/>
              <w:jc w:val="left"/>
            </w:pPr>
            <w:r>
              <w:rPr>
                <w:rFonts w:ascii="Cambria" w:hAnsi="Cambria" w:cs="Cambria" w:eastAsia="Cambria"/>
                <w:b/>
                <w:bCs/>
                <w:color w:val="1A1A1A"/>
                <w:sz w:val="18"/>
              </w:rPr>
              <w:t xml:space="preserve">~3,9 : 1</w:t>
            </w:r>
          </w:p>
        </w:tc>
        <w:tc>
          <w:tcPr/>
          <w:p>
            <w:pPr>
              <w:pStyle w:val="Compact"/>
              <w:spacing w:after="40" w:before="40"/>
              <w:jc w:val="left"/>
            </w:pPr>
            <w:r>
              <w:rPr>
                <w:rFonts w:ascii="Cambria" w:hAnsi="Cambria" w:cs="Cambria" w:eastAsia="Cambria"/>
                <w:b/>
                <w:bCs/>
                <w:color w:val="1A1A1A"/>
                <w:sz w:val="18"/>
              </w:rPr>
              <w:t xml:space="preserve">~4,6 : 1</w:t>
            </w:r>
          </w:p>
        </w:tc>
      </w:tr>
    </w:tbl>
    <w:p>
      <w:pPr>
        <w:pStyle w:val="BodyText"/>
      </w:pPr>
      <w:r>
        <w:rPr>
          <w:i/>
          <w:iCs/>
        </w:rPr>
        <w:t xml:space="preserve">Tabella E.6. Il caso finanziario e il caso economico a confronto. Il ritorno complessivo per la collettività è dato dalla somma dei risparmi diretti e delle ricadute sociali; il rapporto beneficio-costo è contenuto entro la fascia metodologicamente fondata di 3,3–5,7 a uno includendo i benefici di salute. Le due prospettive sono presentate distintamente e il saldo diretto del caso finanziario non è confuso con il saldo complessivo del caso economico.</w:t>
      </w:r>
    </w:p>
    <w:p>
      <w:pPr>
        <w:pStyle w:val="BodyText"/>
      </w:pPr>
      <w:r>
        <w:t xml:space="preserve">La lettura congiunta dei due casi restituisce il significato economico complessivo dell’intervento. Sul piano del solo bilancio sanitario regionale, il servizio comporta un onere netto modesto: il suo costo eccede di poco i risparmi diretti che esso genera, e il saldo diretto è di lieve segno negativo, dell’ordine di pochi milioni di euro, inferiore allo 0,1 per cento del fondo sanitario regionale. Sul piano della collettività, il servizio genera un valore largamente superiore al suo costo: il ritorno complessivo per la collettività, dato dalla somma dei risparmi diretti per il sistema e delle ricadute sociali, eccede il costo del servizio in misura tale da determinare un saldo complessivo ampiamente positivo e un rapporto beneficio-costo compreso fra 3,4 e 4,6 a uno, contenuto entro la fascia metodologicamente fondata e crescente con la scala del servizio. Il giudizio economico che ne deriva non è dunque quello di un servizio che fa risparmiare il bilancio sanitario — affermazione che l’evidenza non consente di sostenere con certezza — ma quello di un servizio il cui onere netto per il bilancio è modesto e ampiamente giustificato dal valore che esso restituisce alla collettività. In una regione soggetta ai vincoli del piano di rientro, questa conclusione è di particolare rilievo: essa mostra che il consolidamento del servizio è compatibile con l’equilibrio di bilancio, comportando un onere netto contenuto, e che tale onere è ripagato, sul piano della collettività, da un ritorno di entità molto superiore; e mostra, al tempo stesso, che il principale canale di risparmio diretto — la riduzione della mobilità sanitaria passiva — coincide con uno degli obiettivi prioritari del rientro, sicché il servizio non solo è compatibile con il risanamento, ma può divenirne uno strumento.</w:t>
      </w:r>
      <w:r>
        <w:rPr>
          <w:rStyle w:val="FootnoteReference"/>
        </w:rPr>
        <w:footnoteReference w:id="3400"/>
      </w:r>
    </w:p>
    <w:bookmarkEnd w:id="3398"/>
    <w:bookmarkEnd w:id="3399"/>
    <w:bookmarkStart w:id="3406" w:name="parte-f-modellazione-e-incertezza-9"/>
    <w:p>
      <w:pPr>
        <w:pStyle w:val="Heading2"/>
      </w:pPr>
      <w:r>
        <w:t xml:space="preserve">Parte F — Modellazione e incertezza</w:t>
      </w:r>
    </w:p>
    <w:p>
      <w:pPr>
        <w:pStyle w:val="FirstParagraph"/>
      </w:pPr>
      <w:r>
        <w:t xml:space="preserve">Questa parte descrive il modello su cui si fondano le stime economiche e ne analizza l’incertezza. Illustra anzitutto il modello di Markov e i suoi parametri; ne verifica poi la robustezza mediante l’analisi di sensibilità deterministica e probabilistica; articola gli scenari di copertura e le loro assunzioni; e individua, infine, i dati la cui acquisizione consentirebbe di ridurre l’incertezza e di sostituire le stime con misure dirette. L’analisi dell’incertezza non è un’appendice tecnica, ma una componente sostanziale della valutazione: essa stabilisce entro quali margini le conclusioni dello studio sono robuste e quali condizioni ne garantirebbero la verifica, e assume in Calabria un rilievo accresciuto in ragione della fragilità del sistema regionale di rilevazione dei dati.</w:t>
      </w:r>
    </w:p>
    <w:bookmarkStart w:id="3400" w:name="f.1-il-modello-di-markov-e-i-parametri"/>
    <w:p>
      <w:pPr>
        <w:pStyle w:val="Heading3"/>
      </w:pPr>
      <w:r>
        <w:t xml:space="preserve">F.1 Il modello di Markov e i parametri</w:t>
      </w:r>
    </w:p>
    <w:p>
      <w:pPr>
        <w:pStyle w:val="FirstParagraph"/>
      </w:pPr>
      <w:r>
        <w:t xml:space="preserve">Il modello di Markov rappresenta il decorso del paziente con disagio comune attraverso tre stati di salute: la condizione di disagio in atto, in cui il paziente presenta una sintomatologia attiva; la condizione di recupero, in cui la sintomatologia è regredita e il funzionamento è ripristinato; e la condizione di cronicizzazione, in cui il disagio persiste nel tempo e si associa a un maggiore consumo di risorse sanitarie. Il paziente transita fra questi stati nel tempo, con probabilità derivate dalla letteratura sull’efficacia degli interventi psicologici, e il modello confronta il decorso di un paziente trattato dal servizio con quello di un paziente non trattato, lungo un orizzonte di cinque anni, con cicli di durata definita. I parametri economici associati agli stati comprendono il costo dell’intervento, dell’ordine di 300 euro una tantum; il costo associato allo stato di recupero, dell’ordine di 40 euro per ciclo; e il costo associato allo stato di cronicizzazione, dell’ordine di 700 euro per ciclo, che riflette il maggiore consumo di risorse sanitarie connesso al disagio persistente. Il modello adotta un tasso di sconto del 3 per cento, applicato sia ai costi sia agli esiti di salute, e una soglia di disponibilità a pagare di 30.000 euro per anno di vita ponderato per la qualità, coerente con i riferimenti adottati nel contesto italiano.</w:t>
      </w:r>
    </w:p>
    <w:p>
      <w:pPr>
        <w:pStyle w:val="BodyText"/>
      </w:pPr>
      <w:r>
        <w:t xml:space="preserve">La proiezione del decorso attraverso il modello produce, per il paziente trattato rispetto al paziente non trattato, i due esiti già richiamati nella Parte E: un guadagno di salute dell’ordine di 0,236 anni di vita ponderati per la qualità e un risparmio di risorse sanitarie dell’ordine di 1.304 euro, lungo l’orizzonte di cinque anni. Questi valori per paziente costituiscono il fondamento delle stime aggregate, ottenute proiettando gli esiti per paziente sul numero di pazienti trattati in ciascuno scenario di copertura. È importante osservare che i parametri clinici del modello — le probabilità di transizione fra gli stati, derivate dall’efficacia documentata degli interventi — sono indipendenti dal contesto regionale, in quanto riflettono l’efficacia clinica degli interventi e non le caratteristiche del sistema sanitario in cui essi sono erogati; ciò che varia fra le regioni non è l’efficacia per paziente, ma il numero di pazienti trattati e, soprattutto, l’entità e la composizione dei risparmi e delle ricadute, che dipendono dai consumi sanitari, dalla spesa impropria e dalla mobilità del contesto regionale. Per la Calabria, come si è visto, è proprio la componente della mobilità sanitaria passiva, la più elevata d’Italia, a conferire alle stime aggregate il loro tratto distintivo.</w:t>
      </w:r>
    </w:p>
    <w:bookmarkEnd w:id="3400"/>
    <w:bookmarkStart w:id="3401" w:name="X3d7d14ebec178ab00061bab72eafd6be1b93814"/>
    <w:p>
      <w:pPr>
        <w:pStyle w:val="Heading3"/>
      </w:pPr>
      <w:r>
        <w:t xml:space="preserve">F.2 L’analisi di sensibilità deterministica</w:t>
      </w:r>
    </w:p>
    <w:p>
      <w:pPr>
        <w:pStyle w:val="FirstParagraph"/>
      </w:pPr>
      <w:r>
        <w:t xml:space="preserve">L’analisi di sensibilità deterministica verifica come i risultati del modello varino al variare di ciascun parametro, fatto variare singolarmente entro un intervallo plausibile. Essa consente di individuare i parametri a cui i risultati sono più sensibili, ossia quelli la cui variazione produce gli effetti maggiori sulle conclusioni, e di concentrare su di essi l’attenzione nella raccolta dei dati e nel monitoraggio. L’analisi individua tre parametri di maggiore influenza. Il primo è l’efficacia dell’intervento, espressa dalla probabilità di transizione dallo stato di disagio allo stato di recupero: una variazione dell’efficacia si ripercuote direttamente sul guadagno di salute e sul risparmio per paziente, e quindi sull’intera valutazione; le stime adottano, su questo parametro, valori prudenti, coerenti con la fascia inferiore dell’efficacia documentata. Il secondo è il tasso di adesione al servizio e di effettiva presa in carico del bisogno, ossia la quota del bisogno potenziale che il servizio riesce effettivamente a intercettare e a trattare: una variazione di questo tasso si ripercuote sul numero di pazienti trattati e quindi sugli aggregati, ed è particolarmente rilevante in Calabria, dove la dispersione territoriale e lo stigma possono ridurre l’adesione, ma dove la telepsicologia e l’accesso diretto possono accrescerla. Il terzo è la quota di spesa impropria e di mobilità sanitaria passiva riducibile mediante l’intervento: è il parametro su cui grava la maggiore incertezza, perché la quota di mobilità riconducibile, a monte, al disagio non intercettato non è direttamente misurabile; le stime adottano, su questo parametro, valori marcatamente prudenziali, assumendo come riducibile solo una frazione contenuta del passivo complessivo.</w:t>
      </w:r>
    </w:p>
    <w:p>
      <w:pPr>
        <w:pStyle w:val="BodyText"/>
      </w:pPr>
      <w:r>
        <w:t xml:space="preserve">L’esito dell’analisi di sensibilità deterministica è che le conclusioni qualitative dello studio sono robuste rispetto alla variazione dei parametri entro intervalli plausibili. La dominanza dell’intervento a livello di paziente si conserva per l’intero intervallo plausibile dell’efficacia; il modesto onere netto a livello di sistema si conserva, variando di entità ma non di segno, per l’intero intervallo plausibile dei parametri; e il rapporto beneficio-costo del caso economico si conserva entro la fascia metodologicamente fondata per l’intero intervallo plausibile, collocandosi nella parte inferiore della fascia nelle assunzioni più conservative e nella parte superiore in quelle più favorevoli. La conclusione, cioè, non dipende da assunzioni ottimistiche su singoli parametri, ma si conserva anche nelle combinazioni prudenziali, il che ne accresce l’affidabilità ai fini della decisione.</w:t>
      </w:r>
    </w:p>
    <w:bookmarkEnd w:id="3401"/>
    <w:bookmarkStart w:id="3402" w:name="X31dfb306750a0e066754023b4391fe6c5f787a1"/>
    <w:p>
      <w:pPr>
        <w:pStyle w:val="Heading3"/>
      </w:pPr>
      <w:r>
        <w:t xml:space="preserve">F.3 L’analisi di sensibilità probabilistica</w:t>
      </w:r>
    </w:p>
    <w:p>
      <w:pPr>
        <w:pStyle w:val="FirstParagraph"/>
      </w:pPr>
      <w:r>
        <w:t xml:space="preserve">L’analisi di sensibilità probabilistica verifica la robustezza dei risultati facendo variare simultaneamente tutti i parametri del modello secondo le rispettive distribuzioni di probabilità, e ripetendo il calcolo un gran numero di volte, così da ottenere non un singolo risultato ma una distribuzione di risultati, che esprime l’incertezza complessiva delle stime. L’analisi è condotta mediante diecimila simulazioni, in ciascuna delle quali i parametri assumono valori estratti dalle rispettive distribuzioni, e produce i seguenti risultati. Alla soglia di disponibilità a pagare di 30.000 euro per anno di vita ponderato per la qualità, l’intervento risulta costo-efficace nell’88,9 per cento delle simulazioni: in quasi nove simulazioni su dieci, cioè, il costo per unità di beneficio è inferiore alla soglia di accettabilità. Inoltre, l’intervento risulta dominante nell’84,6 per cento delle simulazioni: in più di otto simulazioni su dieci, cioè, esso produce simultaneamente un guadagno di salute e un risparmio di risorse. Il beneficio netto monetario medio, calcolato sull’insieme delle simulazioni, è dell’ordine di 7.815 euro per paziente, con un intervallo di confidenza al 95 per cento compreso fra circa meno 5.736 e più 21.501 euro.</w:t>
      </w:r>
    </w:p>
    <w:p>
      <w:pPr>
        <w:pStyle w:val="BodyText"/>
      </w:pPr>
      <w:r>
        <w:t xml:space="preserve">La lettura di questi risultati richiede attenzione a un punto. L’ampiezza dell’intervallo di confidenza, che comprende valori negativi, esprime l’incertezza residua del modello: in una frazione minoritaria delle simulazioni, l’intervento non risulta né dominante né costo-efficace, e il beneficio netto è negativo. Questa frazione minoritaria non è occultata, ma esplicitamente riconosciuta: essa è la misura onesta dell’incertezza, e corrisponde alle combinazioni di parametri più sfavorevoli, in cui l’efficacia è bassa, l’adesione è ridotta e i risparmi sono modesti. La concentrazione della distribuzione su valori largamente positivi — con quasi il novanta per cento delle simulazioni che documentano la costo-efficacia e oltre l’ottanta per cento che documentano la dominanza — ne attesta tuttavia la robustezza: l’incertezza, pur reale, non infirma la conclusione, ma ne definisce i margini. Lo studio assume questi margini come parte integrante della valutazione, e ne trae l’indicazione che la raccolta dei dati sui parametri di maggiore incertezza, descritta nella sezione F.5, è la via per restringere progressivamente l’intervallo e per sostituire la stima con la misura.</w:t>
      </w:r>
    </w:p>
    <w:bookmarkEnd w:id="3402"/>
    <w:bookmarkStart w:id="3403" w:name="f.4-gli-scenari-di-copertura-3"/>
    <w:p>
      <w:pPr>
        <w:pStyle w:val="Heading3"/>
      </w:pPr>
      <w:r>
        <w:t xml:space="preserve">F.4 Gli scenari di copertura</w:t>
      </w:r>
    </w:p>
    <w:p>
      <w:pPr>
        <w:pStyle w:val="FirstParagraph"/>
      </w:pPr>
      <w:r>
        <w:t xml:space="preserve">Gli scenari di copertura articolano le stime su tre livelli di dimensionamento del servizio, corrispondenti a un numero crescente di incarichi e quindi a una quota crescente del bisogno intercettata. Lo scenario minimo, corrispondente a circa 140 incarichi, rappresenta un primo livello di consolidamento strutturale della sperimentazione, che porta il servizio da una dimensione sperimentale e simbolica — i circa quaranta psicologi dell’avvio — a una dimensione strutturale iniziale, capace di intercettare una prima quota del bisogno. Lo scenario intermedio, corrispondente a circa 280 incarichi, rappresenta un livello di copertura significativo, capace di intercettare una quota sostanziale del bisogno e di estendere il servizio all’intero territorio regionale in modo capillare. Lo scenario pieno, corrispondente a circa 410 incarichi, rappresenta il livello di copertura coerente con il rapporto fra psicologi e popolazione assunto dal modello, capace di intercettare la maggior parte del bisogno comune e di portare il servizio a regime. I tre scenari corrispondono, in rapporto alla popolazione regionale, a un incarico ogni circa tredicimila, seimila e cinquecento, e quattromilacinquecento residenti.</w:t>
      </w:r>
    </w:p>
    <w:p>
      <w:pPr>
        <w:pStyle w:val="BodyText"/>
      </w:pPr>
      <w:r>
        <w:t xml:space="preserve">Gli scenari incorporano assunzioni prudenziali sull’andamento del servizio nel tempo. La copertura non è assunta come istantanea, ma come progressiva: il servizio raggiunge il dimensionamento di ciascuno scenario attraverso una fase di avvio e di reclutamento, durante la quale gli effetti si manifestano in misura crescente; le stime a regime, riportate nelle tabelle della Parte E, sono riferite alla fase di pieno funzionamento di ciascuno scenario, e la Parte I articola il percorso di attuazione che conduce dall’avvio al regime. L’adesione al servizio, inoltre, non è assunta come totale: gli scenari considerano che solo una quota del bisogno potenziale si traduce in domanda effettiva e in presa in carico, in ragione dello stigma, delle barriere di accesso e dei limiti di capacità, e le stime sono costruite di conseguenza. La progressione fra gli scenari, infine, non è meramente quantitativa: il passaggio da uno scenario al successivo, intercettando una quota crescente del bisogno, previene un numero crescente di cronicizzazioni, sicché le ricadute sociali, come si è visto, crescono più che proporzionalmente con la scala del servizio. Per la Calabria, gli scenari hanno un significato particolare: essi descrivono il percorso che conduce dalla sperimentazione avviata con risorse europee a un servizio strutturale dimensionato sul bisogno, e consentono di valutare a quale livello di copertura il rapporto fra il valore prodotto e le risorse impiegate sia massimizzato, tenuto conto dei vincoli di sostenibilità del sistema sanitario regionale.</w:t>
      </w:r>
    </w:p>
    <w:bookmarkEnd w:id="3403"/>
    <w:bookmarkStart w:id="3405" w:name="X15eb2c4069f6218c63695ef3b90b3ba2e79366c"/>
    <w:p>
      <w:pPr>
        <w:pStyle w:val="Heading3"/>
      </w:pPr>
      <w:r>
        <w:t xml:space="preserve">F.5 La verifica empirica e il valore dell’informazione</w:t>
      </w:r>
    </w:p>
    <w:p>
      <w:pPr>
        <w:pStyle w:val="FirstParagraph"/>
      </w:pPr>
      <w:r>
        <w:t xml:space="preserve">L’ultima componente dell’analisi dell’incertezza riguarda la verifica empirica delle stime e il valore dell’informazione. Le stime dello studio, costruite in assenza di rilevazioni regionali dirette consolidate su parametri prudenziali e su dati di letteratura, sono destinate a essere verificate e corrette dai dati che il servizio, una volta avviato, produrrà. La logica del valore dell’informazione consente di stabilire le priorità nella raccolta dei dati: il valore della riduzione dell’incertezza su un parametro è tanto maggiore quanto più quel parametro influisce sui risultati e quanto più è incerto. Sulla base dell’analisi di sensibilità, i parametri la cui acquisizione ha il valore informativo maggiore sono tre: l’efficacia effettiva del servizio nel contesto calabrese, misurata dagli esiti clinici rilevati con gli strumenti standardizzati all’inizio e al termine della presa in carico; il tasso di adesione e di presa in carico effettiva del bisogno, misurato dal rapporto fra la domanda intercettata e il bisogno potenziale; e la quota di spesa impropria e di mobilità sanitaria passiva effettivamente ridotta, misurata dal confronto fra i consumi sanitari dei pazienti trattati e quelli attesi in assenza di trattamento.</w:t>
      </w:r>
    </w:p>
    <w:p>
      <w:pPr>
        <w:pStyle w:val="BodyText"/>
      </w:pPr>
      <w:r>
        <w:t xml:space="preserve">La verifica empirica di questi parametri assume, in Calabria, un rilievo che eccede la dimensione metodologica e tocca una condizione strutturale del sistema. La regione, come si è osservato, ha conosciuto una prolungata fragilità nella rilevazione e nel consolidamento dei propri dati sanitari, sicché la costruzione di un sistema di misurazione degli esiti del nuovo servizio è insieme una necessità per la verifica delle stime e un’occasione di rafforzamento della capacità complessiva di rilevazione del sistema. La rilevazione di una linea di base, prima dell’avvio del servizio strutturale — i consumi sanitari della popolazione con disagio non trattato, gli accessi al pronto soccorso per problemi psichiatrici, la mobilità riconducibile a tali condizioni — è la condizione perché la valutazione dell’impatto sia possibile, e costituisce il primo dato la cui acquisizione è raccomandata. Il piano di monitoraggio descritto nella Parte L è lo strumento attraverso cui questa verifica empirica è condotta: esso definisce gli indicatori, le fonti e i tempi della rilevazione, e consente di sostituire progressivamente le stime dello studio con misure dirette, restringendo l’intervallo di incertezza e fondando le decisioni successive su una base empirica regionale. Lo studio, in questo senso, non si presenta come un calcolo definitivo, ma come una valutazione fondata sulla migliore evidenza disponibile e dichiaratamente aperta alla verifica, di cui indica le condizioni e gli strumenti; e questa apertura alla falsificazione, lungi dall’indebolirne le conclusioni, ne costituisce la garanzia di serietà metodologica.</w:t>
      </w:r>
      <w:r>
        <w:rPr>
          <w:rStyle w:val="FootnoteReference"/>
        </w:rPr>
        <w:footnoteReference w:id="3401"/>
      </w:r>
    </w:p>
    <w:bookmarkEnd w:id="3405"/>
    <w:bookmarkEnd w:id="3406"/>
    <w:bookmarkStart w:id="3412" w:name="parte-g-equità-e-impatto-distributivo-14"/>
    <w:p>
      <w:pPr>
        <w:pStyle w:val="Heading2"/>
      </w:pPr>
      <w:r>
        <w:t xml:space="preserve">Parte G — Equità e impatto distributivo</w:t>
      </w:r>
    </w:p>
    <w:p>
      <w:pPr>
        <w:pStyle w:val="FirstParagraph"/>
      </w:pPr>
      <w:r>
        <w:t xml:space="preserve">Questa parte analizza l’intervento sotto il profilo dell’equità, ossia degli effetti che esso produce sulla distribuzione della salute e dell’accesso alle cure fra i diversi gruppi della popolazione. Ne esamina l’effetto sul gradiente sociale, sui due assi della disuguaglianza territoriale, sugli strumenti necessari a garantire che il beneficio raggiunga effettivamente chi ne ha più bisogno, e sulla costo-efficacia distributiva. In Calabria, più che in ogni altra regione della serie, l’equità non è una dimensione fra le altre della valutazione, ma costituisce la ragione preminente dell’intervento: la regione cumula una posizione di svantaggio rispetto al resto del Paese, una disuguaglianza interna fra poli e aree interne, e un sottofinanziamento del dominio della salute mentale, sicché la valutazione dell’impatto distributivo assume un peso decisivo nel giudizio complessivo.</w:t>
      </w:r>
    </w:p>
    <w:bookmarkStart w:id="3407" w:name="g.1-il-gradiente-sociale"/>
    <w:p>
      <w:pPr>
        <w:pStyle w:val="Heading3"/>
      </w:pPr>
      <w:r>
        <w:t xml:space="preserve">G.1 Il gradiente sociale</w:t>
      </w:r>
    </w:p>
    <w:p>
      <w:pPr>
        <w:pStyle w:val="FirstParagraph"/>
      </w:pPr>
      <w:r>
        <w:t xml:space="preserve">Il disagio psichico si distribuisce nella popolazione secondo un gradiente sociale: la sua prevalenza è più elevata nelle fasce socialmente ed economicamente più deboli, mentre la capacità di accedere a una cura adeguata, e in particolare a una cura psicologica privata in assenza di un’offerta pubblica, è in queste stesse fasce più ridotta. Ne deriva una disuguaglianza che si autoalimenta: il bisogno è massimo dove la possibilità di risposta autonoma è minima, sicché in assenza di un servizio pubblico la sofferenza resta non trattata proprio presso chi ne è più colpito, con il duplice effetto di un peggioramento della salute e di un aggravamento dello svantaggio sociale, poiché il disagio non trattato compromette la capacità di studiare, di lavorare e di mantenere relazioni, e diviene a sua volta fattore di impoverimento. In Calabria questo gradiente assume un peso particolarmente rilevante, in ragione degli indici di deprivazione fra i più elevati del Paese: la documentazione della programmazione sanitaria regionale riconosce esplicitamente come la maggiore domanda di servizi sanitari nella regione sia riconducibile a fattori quali la scarsa istruzione, la carenza di lavoro e le condizioni abitative e familiari disagiate, parametri che concorrono all’indice di deprivazione e che la regione presenta in misura accentuata.</w:t>
      </w:r>
    </w:p>
    <w:p>
      <w:pPr>
        <w:pStyle w:val="BodyText"/>
      </w:pPr>
      <w:r>
        <w:t xml:space="preserve">L’introduzione del servizio di psicologia di base agisce su questo gradiente in modo correttivo, a una condizione. Il servizio, in quanto pubblico, gratuito o a basso costo e collocato nelle cure primarie territoriali, rimuove la barriera economica che impedisce alle fasce più deboli di accedere alla cura psicologica, e rende disponibile a tutti un livello di intervento che oggi è di fatto riservato a chi può permettersi il ricorso al privato. In questo senso, esso ha una intrinseca capacità di ridurre la disuguaglianza sociale nell’accesso alla cura della salute mentale. La condizione è che il servizio sia organizzato in modo da raggiungere effettivamente le fasce più svantaggiate, e non solo quelle che già dispongono delle risorse culturali e informative per accedervi: senza un’attenzione esplicita all’equità nell’organizzazione e nell’allocazione del servizio, infatti, anche un servizio pubblico può finire per essere utilizzato in misura maggiore dai gruppi più avvantaggiati, riproducendo anziché correggere il gradiente. La sezione G.3 individua gli strumenti necessari a soddisfare questa condizione.</w:t>
      </w:r>
    </w:p>
    <w:bookmarkEnd w:id="3407"/>
    <w:bookmarkStart w:id="3408" w:name="Xef4b55c6c287f171d12f66d788176b9f8f1e59b"/>
    <w:p>
      <w:pPr>
        <w:pStyle w:val="Heading3"/>
      </w:pPr>
      <w:r>
        <w:t xml:space="preserve">G.2 I due assi della disuguaglianza territoriale</w:t>
      </w:r>
    </w:p>
    <w:p>
      <w:pPr>
        <w:pStyle w:val="FirstParagraph"/>
      </w:pPr>
      <w:r>
        <w:t xml:space="preserve">La disuguaglianza territoriale si articola, in Calabria, su due assi che si sovrappongono. Il primo asse è quello che separa la Calabria dal resto del Paese. La regione è, nel suo complesso, in posizione di svantaggio: il suo sistema sanitario è inadempiente rispetto alla garanzia dei livelli essenziali di assistenza, con un punteggio di valutazione attestatosi intorno a 125, ben al di sotto della soglia di adempienza fissata a 160 e in peggioramento rispetto al valore di 162 registrato nel 2018. Ciò significa che il cittadino calabrese riceve, per il solo fatto di risiedere in Calabria, un livello di assistenza inferiore a quello garantito ai cittadini di altre regioni, in violazione del principio di uniformità che la Costituzione impone. Questo svantaggio si manifesta in modo eclatante nel fenomeno della mobilità sanitaria passiva, il più elevato d’Italia, che costringe ogni anno migliaia di calabresi a spostarsi fuori regione per ricevere cure che la regione non garantisce, con un costo umano ed economico che grava in misura maggiore proprio su chi dispone di minori risorse per affrontarlo. Il secondo asse è quello interno alla regione, che separa i poli urbani — Cosenza, Reggio Calabria, Catanzaro — dalle aree interne montane, disperse e spopolate della Sila, dell’Aspromonte e del Pollino, dove la distanza dai servizi, la rarefazione dell’offerta e lo spopolamento rendono l’accesso alle cure assai più difficile che nelle aree costiere e urbane.</w:t>
      </w:r>
    </w:p>
    <w:p>
      <w:pPr>
        <w:pStyle w:val="BodyText"/>
      </w:pPr>
      <w:r>
        <w:t xml:space="preserve">L’intervento agisce su entrambi gli assi. Sull’asse che separa la Calabria dal resto del Paese, l’introduzione del servizio contribuisce a ridurre il divario nei livelli di assistenza, colmando un vuoto — l’assenza di un primo livello psicologico — che concorre all’inadempienza, e riducendo, per la quota riconducibile al disagio non intercettato, la mobilità sanitaria passiva che dello svantaggio è la manifestazione. Sull’asse interno, l’intervento agisce attraverso due leve: la distribuzione del servizio in modo da raggiungere anche le aree interne, e non solo i poli urbani, mediante un’allocazione che tenga conto della popolazione, della sua dispersione e degli indici di bisogno; e l’uso della telepsicologia, che consente di superare la barriera della distanza e di erogare prestazioni anche dove la presenza fisica del professionista non è continuativamente sostenibile. La telepsicologia, in particolare, assume su questo asse un valore correttivo decisivo: in una regione in cui la metà dei centri non utilizza la telemedicina per carenza di indirizzi regionali, la sua adozione sistematica nel servizio di psicologia di base può ridurre il divario fra poli e aree interne, a condizione che sia accompagnata dal superamento del divario digitale che a quello territoriale si somma.</w:t>
      </w:r>
    </w:p>
    <w:bookmarkEnd w:id="3408"/>
    <w:bookmarkStart w:id="3409" w:name="g.3-gli-strumenti-dellequità-7"/>
    <w:p>
      <w:pPr>
        <w:pStyle w:val="Heading3"/>
      </w:pPr>
      <w:r>
        <w:t xml:space="preserve">G.3 Gli strumenti dell’equità</w:t>
      </w:r>
    </w:p>
    <w:p>
      <w:pPr>
        <w:pStyle w:val="FirstParagraph"/>
      </w:pPr>
      <w:r>
        <w:t xml:space="preserve">La capacità dell’intervento di ridurre le disuguaglianze, anziché riprodurle, non è automatica, ma dipende dall’adozione di strumenti espliciti, integrati nella progettazione e nell’organizzazione del servizio. Il primo strumento è l’allocazione equa del servizio sul territorio: la ripartizione degli incarichi fra le cinque aziende sanitarie provinciali e, all’interno di ciascuna, fra i poli e le aree interne, deve essere governata non da un criterio meramente proporzionale alla popolazione, ma da un criterio che ponderi la popolazione con gli indici di deprivazione, di bisogno e di difficoltà di accesso, così da destinare una quota maggiore di risorse ai territori più svantaggiati. Il secondo strumento è l’organizzazione dell’accesso in modo da abbattere le barriere che gravano in misura maggiore sulle fasce deboli: l’accesso diretto, accanto all’invio del medico, riduce la barriera informativa e culturale; la gratuità o il basso costo riducono la barriera economica; la collocazione nelle strutture territoriali di prossimità riduce la barriera della distanza. Il terzo strumento è l’uso della telepsicologia come leva di equità territoriale, accompagnato dalle misure necessarie a superare il divario digitale, perché lo strumento che dovrebbe ridurre la disuguaglianza non finisca per crearne una nuova a danno di chi non dispone delle competenze o degli strumenti digitali.</w:t>
      </w:r>
    </w:p>
    <w:p>
      <w:pPr>
        <w:pStyle w:val="BodyText"/>
      </w:pPr>
      <w:r>
        <w:t xml:space="preserve">Il quarto strumento, trasversale agli altri, è la misurazione disaggregata degli esiti. La verifica che il servizio riduca effettivamente le disuguaglianze, e non si limiti a migliorare la media occultando il permanere o l’aggravarsi dei divari, richiede che gli esiti siano rilevati e analizzati in forma disaggregata per condizione sociale e per collocazione territoriale, secondo quanto il sistema informativo descritto nella Parte C e il piano di monitoraggio descritto nella Parte L prevedono. Solo la disaggregazione consente di accertare se il beneficio raggiunge le fasce e i territori più svantaggiati nella misura attesa, e di correggere l’organizzazione del servizio ove ciò non avvenga. In assenza di questi strumenti, l’obiettivo dell’equità rischia di rimanere una dichiarazione di principio priva di effetti; con essi, l’intervento dispone delle leve necessarie a tradurre la propria intrinseca potenzialità correttiva in una effettiva riduzione delle disuguaglianze, che in Calabria costituisce la sua finalità preminente.</w:t>
      </w:r>
    </w:p>
    <w:bookmarkEnd w:id="3409"/>
    <w:bookmarkStart w:id="3411" w:name="g.4-la-costo-efficacia-distributiva-3"/>
    <w:p>
      <w:pPr>
        <w:pStyle w:val="Heading3"/>
      </w:pPr>
      <w:r>
        <w:t xml:space="preserve">G.4 La costo-efficacia distributiva</w:t>
      </w:r>
    </w:p>
    <w:p>
      <w:pPr>
        <w:pStyle w:val="FirstParagraph"/>
      </w:pPr>
      <w:r>
        <w:t xml:space="preserve">L’analisi della costo-efficacia distributiva considera non solo quanto beneficio l’intervento produce e a quale costo, ma anche come il beneficio si distribuisce fra i gruppi della popolazione, attribuendo un valore maggiore al beneficio che raggiunge i gruppi più svantaggiati. Questa prospettiva, che integra l’analisi di costo-efficacia con il criterio dell’equità, conduce in Calabria a un giudizio particolarmente favorevole. L’intervento, infatti, produce il proprio beneficio in misura maggiore presso le fasce e i territori più svantaggiati, per due ragioni convergenti: perché presso di essi è maggiore il bisogno inevaso, e quindi il margine di miglioramento; e perché presso di essi è maggiore la barriera che il servizio pubblico rimuove, e quindi l’incremento di accesso che esso determina. Ne consegue che il beneficio dell’intervento si concentra, più che proporzionalmente, sui gruppi a cui l’analisi distributiva attribuisce un valore maggiore, e che la sua costo-efficacia, valutata in prospettiva distributiva, è superiore a quella che risulterebbe da un’analisi che ignorasse la distribuzione del beneficio.</w:t>
      </w:r>
    </w:p>
    <w:p>
      <w:pPr>
        <w:pStyle w:val="BodyText"/>
      </w:pPr>
      <w:r>
        <w:t xml:space="preserve">Questa conclusione si lega a una considerazione di ordine costituzionale, di particolare rilievo nel contesto calabrese. Il principio per cui la Repubblica garantisce in modo uniforme su tutto il territorio nazionale i livelli essenziali delle prestazioni concernenti i diritti civili e sociali, fra cui il diritto alla salute, e il principio, affermato dalla giurisprudenza costituzionale, per cui la tutela di tali diritti è preminente rispetto all’equilibrio di bilancio, conferiscono alla riduzione delle disuguaglianze nell’accesso alla cura della salute mentale non il valore di un obiettivo accessorio, ma quello di un dovere costituzionale. In una regione inadempiente rispetto ai livelli essenziali, l’intervento che riduce tale inadempienza, colmando un vuoto nell’offerta e correggendo le disuguaglianze più gravi, risponde non solo a un criterio di efficienza, ma a un imperativo di giustizia. La costo-efficacia distributiva dell’intervento, in Calabria, non è dunque solo una proprietà tecnica che ne rafforza il giudizio economico, ma l’espressione, in termini valutativi, della sua conformità a un principio costituzionale che, nel contesto regionale, riveste un’urgenza particolare.</w:t>
      </w:r>
      <w:r>
        <w:rPr>
          <w:rStyle w:val="FootnoteReference"/>
        </w:rPr>
        <w:footnoteReference w:id="3402"/>
      </w:r>
    </w:p>
    <w:bookmarkEnd w:id="3411"/>
    <w:bookmarkEnd w:id="3412"/>
    <w:bookmarkStart w:id="3418" w:name="X145fdf6da0f047a42568434f77b31dbc9eb9e69"/>
    <w:p>
      <w:pPr>
        <w:pStyle w:val="Heading2"/>
      </w:pPr>
      <w:r>
        <w:t xml:space="preserve">Parte H — Profili etico, giuridico e organizzativo</w:t>
      </w:r>
    </w:p>
    <w:p>
      <w:pPr>
        <w:pStyle w:val="FirstParagraph"/>
      </w:pPr>
      <w:r>
        <w:t xml:space="preserve">Questa parte esamina l’intervento sotto i profili giuridico, organizzativo ed etico, e ne offre una sintesi. Il profilo giuridico ne verifica la legittimità e ne individua la collocazione nell’ordinamento; il profilo organizzativo ne esamina la governance e le condizioni di funzionamento nel sistema sanitario regionale; il profilo etico ne valuta la conformità ai principi di giustizia, di autonomia e di non maleficenza. La trattazione di questi profili assume in Calabria connotati specifici, derivanti dalla peculiare condizione del sistema sanitario regionale — la fase di uscita dal commissariamento, i vincoli del piano di rientro, la duplice via, amministrativa e legislativa, attraverso cui il servizio è stato avviato e potrebbe essere consolidato.</w:t>
      </w:r>
    </w:p>
    <w:bookmarkStart w:id="3413" w:name="h.1-il-profilo-giuridico-8"/>
    <w:p>
      <w:pPr>
        <w:pStyle w:val="Heading3"/>
      </w:pPr>
      <w:r>
        <w:t xml:space="preserve">H.1 Il profilo giuridico</w:t>
      </w:r>
    </w:p>
    <w:p>
      <w:pPr>
        <w:pStyle w:val="FirstParagraph"/>
      </w:pPr>
      <w:r>
        <w:t xml:space="preserve">Il profilo giuridico dell’intervento si articola intorno a un vincolo principale e a una duplice via di istituzione. Il vincolo principale discende dalla giurisprudenza costituzionale, e in particolare dalla sentenza numero 241 del 2021, che ha definito i limiti entro cui una legge regionale può disciplinare il servizio di psicologia di base. Tale sentenza ha censurato la disciplina con cui una regione aveva istituito rapporti convenzionali di tipo libero-professionale per gli psicologi, ritenendo che la disciplina di tali rapporti ecceda la competenza regionale e spetti alla contrattazione e alla normativa nazionale; ne deriva che una legge regionale, nel disciplinare il servizio, deve costruirne l’assetto in modo da non incorrere in tale limite, evitando di disciplinare autonomamente i rapporti di lavoro convenzionali. Questo vincolo è di rilievo per la Calabria sotto un duplice profilo. Da un lato, la proposta di legge per l’istituzione del servizio, all’esame delle commissioni consiliari, deve essere costruita in modo da rispettarlo, configurando un servizio legittimo nel proprio assetto, e la sua relazione richiama espressamente la giurisprudenza costituzionale fra i propri riferimenti. Dall’altro, la via amministrativa scelta dalla Giunta per l’avvio della sperimentazione — la rimodulazione di fondi del Fondo Sociale Europeo Plus, anziché l’istituzione di rapporti convenzionali — si colloca su un piano distinto, che ha consentito di avviare il servizio senza incorrere immediatamente nel limite censurato, e che costituisce, nella fase transitoria, una soluzione giuridicamente prudente.</w:t>
      </w:r>
    </w:p>
    <w:p>
      <w:pPr>
        <w:pStyle w:val="BodyText"/>
      </w:pPr>
      <w:r>
        <w:t xml:space="preserve">La duplice via di istituzione — quella amministrativa, già percorsa, e quella legislativa, in corso — pone una questione di coordinamento e di stabilità. La via amministrativa, fondata su fondi europei a destinazione e a durata definite, ha il pregio della rapidità e dell’immediatezza, ma il limite della precarietà: essa ha consentito di avviare il servizio, ma non gli conferisce stabilità né copertura ordinaria. La via legislativa, fondata sulla proposta di legge, ha il pregio di conferire al servizio un assetto strutturale, una base normativa e una disciplina compiuta, ma richiede tempi più lunghi e deve essere costruita nel rispetto dei limiti costituzionali. Il consolidamento del servizio richiede che le due vie siano coordinate, e che la via legislativa fornisca, a regime, la stabilità che la via amministrativa non può garantire. A questo quadro si aggiunge la cornice nazionale, che fornisce il fondamento dell’intervento: il decreto ministeriale del 2022 sugli standard dell’assistenza territoriale, che colloca la funzione psicologica al primo livello nelle Case della Comunità, offre alla regione la base per istituire il servizio in coerenza con la programmazione nazionale. E si aggiunge il principio, affermato dalla giurisprudenza costituzionale, per cui la tutela dei diritti fondamentali, fra cui il diritto alla salute, è preminente rispetto al pareggio di bilancio: principio che, in una regione il cui sistema sanitario è soggetto ai vincoli del rientro, fonda la legittimità di un intervento volto a garantire un livello essenziale di assistenza oggi non garantito, anche a fronte delle esigenze di contenimento della spesa.</w:t>
      </w:r>
    </w:p>
    <w:bookmarkEnd w:id="3413"/>
    <w:bookmarkStart w:id="3414" w:name="h.2-il-profilo-organizzativo-1"/>
    <w:p>
      <w:pPr>
        <w:pStyle w:val="Heading3"/>
      </w:pPr>
      <w:r>
        <w:t xml:space="preserve">H.2 Il profilo organizzativo</w:t>
      </w:r>
    </w:p>
    <w:p>
      <w:pPr>
        <w:pStyle w:val="FirstParagraph"/>
      </w:pPr>
      <w:r>
        <w:t xml:space="preserve">Il profilo organizzativo dell’intervento ne esamina la governance e le condizioni di funzionamento nel sistema sanitario regionale. La governance del servizio si articola su più livelli. A livello regionale, il governo del servizio è affidato, nel disegno della proposta di legge, a un osservatorio regionale con funzioni di controllo e di indirizzo, che raccoglie le relazioni annuali degli psicologi, ne esamina l’attività e fornisce alla Giunta gli elementi per la valutazione periodica; a questo livello si colloca anche la funzione di indirizzo e di coordinamento del dipartimento regionale competente. A livello aziendale, il servizio è gestito dalle cinque aziende sanitarie provinciali, che ne curano l’organizzazione sul territorio, l’integrazione con le Case della Comunità e con le altre strutture territoriali, e il collegamento con i Dipartimenti di Salute Mentale per la gestione degli invii. A livello operativo, il servizio è erogato dagli psicologi di base nelle strutture territoriali, in collaborazione con i medici di medicina generale e con gli altri operatori delle cure primarie.</w:t>
      </w:r>
    </w:p>
    <w:p>
      <w:pPr>
        <w:pStyle w:val="BodyText"/>
      </w:pPr>
      <w:r>
        <w:t xml:space="preserve">Il funzionamento del servizio nel sistema sanitario calabrese deve fare i conti con le condizioni specifiche della regione, che presentano insieme elementi di criticità e di opportunità. Fra le criticità, la principale è la fase di transizione che il sistema attraversa: l’uscita dal commissariamento, decisa ma non ancora pienamente efficace, ha determinato una fase di incertezza amministrativa, durante la quale l’adozione di atti e il riparto delle risorse hanno conosciuto rallentamenti; il consolidamento del servizio dovrà inserirsi in questa fase di transizione, e la sua stabilizzazione richiederà che il sistema regionale riacquisti la pienezza delle proprie funzioni. Una seconda criticità è costituita dalla rete delle Case della Comunità, in larga parte ancora in costruzione, che impone di organizzare il servizio, nella fase transitoria, nelle strutture territoriali disponibili. Fra le opportunità, la principale è la centralizzazione del reclutamento presso l’Azienda Zero, che può procedere all’individuazione e all’assunzione degli psicologi secondo metodologie uniformi, riducendo la frammentazione; una seconda opportunità è l’orientamento all’innovazione digitale che il sistema regionale ha manifestato, attraverso l’accordo per l’introduzione dell’intelligenza artificiale in sanità e la svolta digitale avviata da alcune aziende, che offre al servizio un terreno favorevole per l’integrazione degli strumenti digitali e della telepsicologia. Il profilo organizzativo, in sintesi, presenta in Calabria una difficoltà maggiore che in altre regioni, derivante dalla fase di transizione del sistema, ma anche leve specifiche — la centralizzazione del reclutamento, l’orientamento digitale — che possono essere valorizzate.</w:t>
      </w:r>
    </w:p>
    <w:bookmarkEnd w:id="3414"/>
    <w:bookmarkStart w:id="3415" w:name="h.3-il-profilo-etico-8"/>
    <w:p>
      <w:pPr>
        <w:pStyle w:val="Heading3"/>
      </w:pPr>
      <w:r>
        <w:t xml:space="preserve">H.3 Il profilo etico</w:t>
      </w:r>
    </w:p>
    <w:p>
      <w:pPr>
        <w:pStyle w:val="FirstParagraph"/>
      </w:pPr>
      <w:r>
        <w:t xml:space="preserve">Il profilo etico dell’intervento ne valuta la conformità ai principi che governano l’azione sanitaria. Il principio di giustizia, che impone l’equa distribuzione delle risorse e delle opportunità di salute, è soddisfatto dall’intervento in misura particolarmente piena, per le ragioni ampiamente esposte nella Parte G: il servizio riduce le disuguaglianze sociali e territoriali nell’accesso alla cura della salute mentale, e raggiunge in misura maggiore le fasce e i territori più svantaggiati, presso cui il bisogno è massimo e la possibilità di risposta autonoma è minima; in una regione inadempiente rispetto ai livelli essenziali, l’intervento che riduce tale inadempienza risponde a un imperativo di giustizia che riveste un’urgenza particolare. Il principio di autonomia, che impone il rispetto della libertà e della consapevolezza della persona, è soddisfatto dall’organizzazione di un servizio ad accesso volontario, fondato sul consenso e sulla partecipazione attiva del paziente al proprio percorso di cura, e attento al superamento dello stigma che, in misura rilevante, induce le persone a non chiedere aiuto o a interrompere i trattamenti.</w:t>
      </w:r>
    </w:p>
    <w:p>
      <w:pPr>
        <w:pStyle w:val="BodyText"/>
      </w:pPr>
      <w:r>
        <w:t xml:space="preserve">Il principio di non maleficenza, che impone di non arrecare danno, e il principio di beneficenza, che impone di agire per il bene della persona, sono soddisfatti dall’erogazione di interventi di efficacia documentata, graduati sulla gravità del bisogno, e dalla collaborazione con il medico di medicina generale nella gestione integrata del paziente, con attenzione alla salute fisica delle persone con disturbi psichici. Un profilo etico specifico merita attenzione nel contesto calabrese: quello del dovere di non abbandono. In una regione in cui centinaia di migliaia di persone convivono con un disagio non trattato, in cui il sistema costringe migliaia di cittadini a spostarsi fuori regione per curarsi, e in cui le aree interne soffrono di un progressivo abbandono, l’introduzione di un servizio che intercetta il disagio in prossimità e si fa carico della persona là dove essa vive risponde a un’esigenza etica che eccede la mera efficienza: quella di non lasciare sole le persone in sofferenza, e di garantire anche ai territori più marginali una risposta di salute. Questo dovere di non abbandono, che la stessa narrazione istituzionale regionale ha richiamato nel motivare l’introduzione del servizio, costituisce una delle dimensioni etiche più pregnanti dell’intervento nel contesto calabrese, e si lega direttamente al principio costituzionale della tutela della salute come diritto fondamentale e interesse della collettività.</w:t>
      </w:r>
    </w:p>
    <w:bookmarkEnd w:id="3415"/>
    <w:bookmarkStart w:id="3417" w:name="h.4-la-sintesi-dei-profili"/>
    <w:p>
      <w:pPr>
        <w:pStyle w:val="Heading3"/>
      </w:pPr>
      <w:r>
        <w:t xml:space="preserve">H.4 La sintesi dei profili</w:t>
      </w:r>
    </w:p>
    <w:p>
      <w:pPr>
        <w:pStyle w:val="FirstParagraph"/>
      </w:pPr>
      <w:r>
        <w:t xml:space="preserve">La sintesi dei tre profili restituisce un giudizio convergente. Sotto il profilo giuridico, l’intervento è legittimo, a condizione che il suo assetto sia costruito nel rispetto dei limiti definiti dalla giurisprudenza costituzionale, e dispone di un duplice fondamento — la via amministrativa già percorsa e la via legislativa in corso — la cui coordinazione è necessaria a conferirgli stabilità; la cornice nazionale e il principio della preminenza della tutela della salute sull’equilibrio di bilancio ne rafforzano il fondamento. Sotto il profilo organizzativo, l’intervento è realizzabile, pur in una fase di transizione del sistema sanitario regionale che ne accresce la difficoltà, e può avvalersi di leve specifiche — la centralizzazione del reclutamento, l’orientamento all’innovazione digitale — che ne facilitano l’attuazione. Sotto il profilo etico, l’intervento è non solo ammissibile ma doveroso, in quanto risponde in misura piena ai principi di giustizia, di autonomia, di non maleficenza e di beneficenza, e soddisfa, nel contesto calabrese, un’esigenza etica specifica e pregnante, quella del non abbandono delle persone e dei territori.</w:t>
      </w:r>
    </w:p>
    <w:p>
      <w:pPr>
        <w:pStyle w:val="BodyText"/>
      </w:pPr>
      <w:r>
        <w:t xml:space="preserve">I tre profili, considerati congiuntamente, non rivelano ostacoli dirimenti all’introduzione del servizio, ma ne definiscono le condizioni di legittimità, di realizzabilità e di ammissibilità. Le condizioni giuridiche — il rispetto dei limiti costituzionali, il coordinamento fra la via amministrativa e quella legislativa — sono soddisfacibili attraverso una costruzione accorta dell’assetto del servizio. Le condizioni organizzative — l’inserimento nella fase di transizione del sistema, l’organizzazione nelle strutture disponibili in attesa delle Case della Comunità, la valorizzazione delle leve specifiche — sono affrontabili attraverso un’attuazione graduale e attenta. Le condizioni etiche sono non solo soddisfatte, ma costituiscono una ragione positiva a favore dell’intervento. Il quadro dei profili, in sintesi, conferma e rafforza il giudizio che emerge dalle dimensioni del bisogno, dell’efficacia e dell’economia, e contribuisce al giudizio multidimensionale complessivo che la Parte M ricompone.</w:t>
      </w:r>
      <w:r>
        <w:rPr>
          <w:rStyle w:val="FootnoteReference"/>
        </w:rPr>
        <w:footnoteReference w:id="3403"/>
      </w:r>
    </w:p>
    <w:bookmarkEnd w:id="3417"/>
    <w:bookmarkEnd w:id="3418"/>
    <w:bookmarkStart w:id="3425" w:name="X55e8fd239d1d246ad6d09341857244582ba2502"/>
    <w:p>
      <w:pPr>
        <w:pStyle w:val="Heading2"/>
      </w:pPr>
      <w:r>
        <w:t xml:space="preserve">Parte I — Attuazione, fattibilità e sostenibilità</w:t>
      </w:r>
    </w:p>
    <w:p>
      <w:pPr>
        <w:pStyle w:val="FirstParagraph"/>
      </w:pPr>
      <w:r>
        <w:t xml:space="preserve">Questa parte esamina le condizioni di attuazione dell’intervento, la sua fattibilità e la sua sostenibilità nel tempo. Ne valuta anzitutto la solidità complessiva secondo il quadro dei cinque casi; ne articola poi il dimensionamento e le fasi, il reclutamento, la formazione e il cronoprogramma, la sostenibilità finanziaria e i rischi con le relative misure di mitigazione. La trattazione muove da una condizione che distingue la Calabria dalle altre regioni della serie: il servizio non deve essere avviato ex novo, ma consolidato a partire da una sperimentazione già in corso, in un sistema sanitario che esce dal commissariamento e che deve conciliare il consolidamento con i vincoli del piano di rientro.</w:t>
      </w:r>
    </w:p>
    <w:bookmarkStart w:id="3419" w:name="i.1-il-quadro-dei-cinque-casi"/>
    <w:p>
      <w:pPr>
        <w:pStyle w:val="Heading3"/>
      </w:pPr>
      <w:r>
        <w:t xml:space="preserve">I.1 Il quadro dei cinque casi</w:t>
      </w:r>
    </w:p>
    <w:p>
      <w:pPr>
        <w:pStyle w:val="FirstParagraph"/>
      </w:pPr>
      <w:r>
        <w:t xml:space="preserve">La solidità complessiva dell’intervento può essere valutata secondo il quadro dei cinque casi, che esamina un investimento pubblico lungo cinque dimensioni: strategica, economica, commerciale, finanziaria e gestionale. Sotto la dimensione strategica, l’intervento risponde a un bisogno documentato e a obiettivi coerenti con la programmazione sanitaria nazionale e regionale: esso colma il vuoto del primo livello psicologico previsto dagli standard nazionali dell’assistenza territoriale, contribuisce alla garanzia dei livelli essenziali oggi non assicurati e si allinea agli obiettivi del piano di rientro nella parte in cui questo mira alla riduzione della spesa impropria e della mobilità; la sua coerenza strategica è inoltre rafforzata dal fatto che la regione ha già avviato il servizio, manifestando una scelta politica esplicita in tale direzione. Sotto la dimensione economica, l’intervento produce, come la Parte E ha mostrato, un valore per la collettività largamente superiore al suo costo, con un rapporto beneficio-costo compreso entro la fascia metodologicamente fondata, e comporta per il bilancio sanitario un onere netto modesto, in larga parte compensato dalla riduzione della mobilità.</w:t>
      </w:r>
    </w:p>
    <w:p>
      <w:pPr>
        <w:pStyle w:val="BodyText"/>
      </w:pPr>
      <w:r>
        <w:t xml:space="preserve">Sotto la dimensione commerciale, che attiene alla capacità di tradurre l’intervento in rapporti contrattuali e organizzativi sostenibili, l’intervento può avvalersi della centralizzazione del reclutamento presso l’Azienda Zero e delle modalità di ingaggio degli psicologi che la regione definirà nel rispetto dei limiti costituzionali; la disponibilità di professionisti, in una regione che ne forma ma che ne perde una quota per emigrazione, è un punto di attenzione che la sezione sui rischi esamina. Sotto la dimensione finanziaria, l’intervento presenta una questione specifica e centrale: la sperimentazione è stata avviata con risorse europee a termine, mentre il consolidamento richiede una copertura ordinaria e permanente; la sostenibilità finanziaria, esaminata nella sezione I.4, è perciò la condizione decisiva del consolidamento. Sotto la dimensione gestionale, infine, l’intervento richiede una governance definita — l’osservatorio regionale, il coordinamento aziendale, l’integrazione con i servizi specialistici — e un sistema informativo adeguato, in un contesto in cui la capacità gestionale del sistema regionale è in fase di ricostituzione dopo il lungo commissariamento. Il quadro dei cinque casi restituisce, in sintesi, un intervento solido sotto le dimensioni strategica, economica ed etica, realizzabile sotto le dimensioni commerciale e gestionale a condizione di affrontare le criticità specifiche, e sfidante sotto la dimensione finanziaria, dove la sostituzione della copertura europea con una copertura ordinaria costituisce il nodo da sciogliere.</w:t>
      </w:r>
    </w:p>
    <w:bookmarkEnd w:id="3419"/>
    <w:bookmarkStart w:id="3420" w:name="i.2-il-dimensionamento-e-le-fasi-2"/>
    <w:p>
      <w:pPr>
        <w:pStyle w:val="Heading3"/>
      </w:pPr>
      <w:r>
        <w:t xml:space="preserve">I.2 Il dimensionamento e le fasi</w:t>
      </w:r>
    </w:p>
    <w:p>
      <w:pPr>
        <w:pStyle w:val="FirstParagraph"/>
      </w:pPr>
      <w:r>
        <w:t xml:space="preserve">Il dimensionamento del servizio è articolato, come si è visto, in tre scenari, corrispondenti a circa 140, 280 e 410 incarichi. La peculiarità calabrese impone di collocare questi scenari in rapporto al punto di partenza reale: la sperimentazione avviata dalla Giunta con circa quaranta psicologi. Il percorso di attuazione si configura, dunque, non come un avvio da zero, ma come una progressione che muove da questa base sperimentale verso il dimensionamento strutturale. La prima fase consiste nel consolidamento della sperimentazione e nel suo ampliamento verso lo scenario minimo di circa 140 incarichi: in questa fase, il servizio passa da una dimensione sperimentale e circoscritta a una dimensione strutturale iniziale, estesa all’intero territorio regionale in modo capillare, e comincia a intercettare una prima quota significativa del bisogno. La seconda fase consiste nell’estensione verso lo scenario intermedio di circa 280 incarichi, in cui il servizio raggiunge una copertura sostanziale del bisogno. La terza fase consiste nel raggiungimento dello scenario pieno di circa 410 incarichi, in cui il servizio è portato a regime, coerentemente con il rapporto fra psicologi e popolazione assunto dal modello.</w:t>
      </w:r>
    </w:p>
    <w:p>
      <w:pPr>
        <w:pStyle w:val="BodyText"/>
      </w:pPr>
      <w:r>
        <w:t xml:space="preserve">La progressione fra le fasi non è meramente quantitativa, ma deve essere governata da criteri che ne garantiscano la sostenibilità e l’efficacia. Il primo criterio è la disponibilità della copertura finanziaria: il passaggio da una fase alla successiva deve essere subordinato all’individuazione delle risorse necessarie a sostenerne il maggior costo, in coerenza con i vincoli del bilancio regionale. Il secondo criterio è la disponibilità delle strutture: l’estensione del servizio deve accompagnarsi all’entrata in funzione delle Case della Comunità previste dal Piano Nazionale di Ripresa e Resilienza, presso cui il servizio trova la propria collocazione naturale. Il terzo criterio è la verifica degli esiti: il passaggio da una fase alla successiva dovrebbe essere informato dai risultati del monitoraggio della fase precedente, così da correggere l’organizzazione del servizio sulla base dell’evidenza raccolta e da fondare l’ampliamento su una base empirica regionale. La gradualità dell’attuazione, oltre a essere imposta dai vincoli di sostenibilità, ha dunque anche un valore conoscitivo: essa consente di apprendere dall’esperienza e di adeguare progressivamente il servizio, riducendo l’incertezza che, come la Parte F ha mostrato, grava sulle stime iniziali.</w:t>
      </w:r>
    </w:p>
    <w:bookmarkEnd w:id="3420"/>
    <w:bookmarkStart w:id="3421" w:name="Xf262422203a7f4f53ae120a816c999e77f4eada"/>
    <w:p>
      <w:pPr>
        <w:pStyle w:val="Heading3"/>
      </w:pPr>
      <w:r>
        <w:t xml:space="preserve">I.3 Il reclutamento, la formazione e il cronoprogramma</w:t>
      </w:r>
    </w:p>
    <w:p>
      <w:pPr>
        <w:pStyle w:val="FirstParagraph"/>
      </w:pPr>
      <w:r>
        <w:t xml:space="preserve">Il reclutamento degli psicologi di base costituisce, in Calabria, un passaggio delicato, per una ragione specifica: la regione forma psicologi, ma ne perde una quota rilevante per l’emigrazione verso il Centro e il Nord, in coerenza con il più ampio fenomeno migratorio che ne caratterizza la demografia. Il reclutamento deve perciò essere organizzato in modo da attrarre e trattenere i professionisti, valorizzando la possibilità di esercitare nella propria regione una funzione stabile e qualificata. La centralizzazione del reclutamento presso l’Azienda Zero, già operante per le altre figure del sistema sanitario regionale, offre lo strumento per procedere all’individuazione e all’ingaggio degli psicologi secondo metodologie uniformi e in tempi ridotti, evitando la frammentazione fra le aziende; le modalità di ingaggio dovranno essere definite nel rispetto dei limiti costituzionali in materia di rapporti di lavoro.</w:t>
      </w:r>
    </w:p>
    <w:p>
      <w:pPr>
        <w:pStyle w:val="BodyText"/>
      </w:pPr>
      <w:r>
        <w:t xml:space="preserve">La formazione, come la Parte C ha illustrato, deve accompagnare il reclutamento: gli psicologi reclutati devono essere preparati a operare nel contesto delle cure primarie, addestrati agli interventi brevi e graduati, alla collaborazione con il medico di medicina generale e all’uso della telepsicologia; i medici di medicina generale devono essere posti in grado di riconoscere il disagio e di collaborare con lo psicologo. La regione può attingere, per la formazione, alle competenze dell’Università della Calabria e dell’Ordine degli psicologi della Calabria. Il cronoprogramma dell’attuazione deve articolare nel tempo questi passaggi: il consolidamento della sperimentazione e l’avvio della prima fase; il reclutamento e la formazione del personale necessario a ciascuna fase; l’integrazione progressiva con le Case della Comunità man mano che esse entrano in funzione; l’attivazione del sistema informativo e del piano di monitoraggio; la verifica degli esiti come condizione del passaggio alla fase successiva. Il cronoprogramma deve inoltre tenere conto della fase di transizione del sistema sanitario regionale: la piena efficacia dell’uscita dal commissariamento e la ricostituzione delle ordinarie funzioni di governo del sistema sono condizioni che agevolano l’attuazione e la cui tempistica condiziona quella del consolidamento del servizio.</w:t>
      </w:r>
    </w:p>
    <w:bookmarkEnd w:id="3421"/>
    <w:bookmarkStart w:id="3422" w:name="i.4-la-sostenibilità-finanziaria"/>
    <w:p>
      <w:pPr>
        <w:pStyle w:val="Heading3"/>
      </w:pPr>
      <w:r>
        <w:t xml:space="preserve">I.4 La sostenibilità finanziaria</w:t>
      </w:r>
    </w:p>
    <w:p>
      <w:pPr>
        <w:pStyle w:val="FirstParagraph"/>
      </w:pPr>
      <w:r>
        <w:t xml:space="preserve">La sostenibilità finanziaria è, in Calabria, la condizione decisiva del consolidamento, e merita una trattazione specifica. Il punto di partenza è la natura della copertura attuale: la sperimentazione è stata avviata mediante la rimodulazione di risorse del Fondo Sociale Europeo Plus, ossia di fondi europei a destinazione e a durata definite, che hanno consentito di avviare il servizio senza gravare immediatamente sul bilancio sanitario ordinario, ma che non ne garantiscono la stabilità nel tempo. Il consolidamento strutturale richiede di sostituire, a regime, questa copertura temporanea con una copertura ordinaria e permanente, da reperire in un bilancio sanitario soggetto ai vincoli del piano di rientro. La questione è dunque se il bilancio regionale possa sostenere l’onere del servizio a regime. La risposta che lo studio fornisce è articolata su tre elementi. Il primo è l’entità dell’onere: come la Parte E ha mostrato, il costo del servizio, anche nello scenario di piena attuazione, rappresenta una frazione inferiore allo 0,6 per cento del fondo sanitario regionale, e il saldo diretto, al netto dei risparmi, è di entità modesta, inferiore allo 0,1 per cento del fondo; si tratta, cioè, di un onere contenuto in rapporto alle dimensioni del bilancio.</w:t>
      </w:r>
    </w:p>
    <w:p>
      <w:pPr>
        <w:pStyle w:val="BodyText"/>
      </w:pPr>
      <w:r>
        <w:t xml:space="preserve">Il secondo elemento è la compensazione attraverso i risparmi: l’onere lordo del servizio è in parte rilevante compensato dai risparmi diretti che esso genera, e in particolare dalla riduzione della mobilità sanitaria passiva, che costituisce il canale di risparmio più rilevante e che coincide con uno degli obiettivi prioritari del piano di rientro; in questo senso, il servizio non è solo un costo, ma uno strumento di risanamento, che agisce sulla stessa spesa impropria che il rientro mira a contenere. Il terzo elemento è la gradualità: l’attuazione per fasi consente di modulare l’onere nel tempo, subordinando l’ampliamento alla disponibilità delle risorse e alla verifica degli esiti, e di evitare un impegno finanziario immediato e integrale. La combinazione di questi tre elementi — l’entità modesta dell’onere, la sua compensazione attraverso i risparmi, la gradualità dell’attuazione — consente di affermare che il consolidamento del servizio è finanziariamente sostenibile per il bilancio regionale, a condizione che la copertura ordinaria sia programmata in sostituzione di quella europea e che l’ampliamento sia governato dai criteri di sostenibilità indicati. La sostenibilità, in sintesi, non è acquisita automaticamente, ma è conseguibile attraverso una programmazione accorta, che faccia leva sulla modesta entità dell’onere, sulla sua compensazione e sulla gradualità, e che colga l’occasione, offerta dall’uscita dal piano di rientro, di destinare gli eventuali margini a servizi anziché alla copertura di disavanzi storici.</w:t>
      </w:r>
    </w:p>
    <w:bookmarkEnd w:id="3422"/>
    <w:bookmarkStart w:id="3424" w:name="i.5-i-rischi-e-le-misure-di-mitigazione"/>
    <w:p>
      <w:pPr>
        <w:pStyle w:val="Heading3"/>
      </w:pPr>
      <w:r>
        <w:t xml:space="preserve">I.5 I rischi e le misure di mitigazione</w:t>
      </w:r>
    </w:p>
    <w:p>
      <w:pPr>
        <w:pStyle w:val="FirstParagraph"/>
      </w:pPr>
      <w:r>
        <w:t xml:space="preserve">L’attuazione dell’intervento è esposta a rischi specifici, che devono essere riconosciuti e governati. Il primo rischio è quello della transizione amministrativa: la fase di uscita dal commissariamento, decisa ma non ancora pienamente efficace, ha determinato una fase di incertezza che ha rallentato l’adozione di atti e il riparto delle risorse; il consolidamento del servizio potrebbe risentire di questa incertezza. La misura di mitigazione consiste nel collocare il consolidamento in coerenza con il percorso di uscita dal commissariamento e di ricostituzione delle funzioni ordinarie di governo del sistema, e nel valorizzare, nella fase transitoria, la copertura europea già attivata. Il secondo rischio è quello della copertura finanziaria: il mancato reperimento di una copertura ordinaria alla scadenza dei fondi europei comprometterebbe la stabilità del servizio. La misura di mitigazione consiste nella programmazione tempestiva della copertura ordinaria, fondata sull’entità modesta dell’onere e sulla sua compensazione attraverso i risparmi, e nell’eventuale fondamento legislativo che la proposta di legge può fornire.</w:t>
      </w:r>
    </w:p>
    <w:p>
      <w:pPr>
        <w:pStyle w:val="BodyText"/>
      </w:pPr>
      <w:r>
        <w:t xml:space="preserve">Il terzo rischio è quello della disponibilità di personale: l’emigrazione dei professionisti potrebbe rendere difficile il reclutamento del numero di psicologi necessario al dimensionamento. La misura di mitigazione consiste nell’organizzare il reclutamento in modo da attrarre e trattenere i professionisti, valorizzando la stabilità e la qualità della funzione, e nel modulare il dimensionamento sulla effettiva disponibilità. Il quarto rischio è quello infrastrutturale: il ritardo nella realizzazione delle Case della Comunità e la carenza di infrastrutture digitali per la telepsicologia potrebbero limitare la capacità del servizio di operare e di raggiungere le aree interne. La misura di mitigazione consiste nell’organizzare il servizio, nella fase transitoria, nelle strutture disponibili, e nel sostenere lo sviluppo delle infrastrutture digitali, in coerenza con l’orientamento all’innovazione che il sistema regionale ha manifestato. Il quinto rischio è quello dell’iniquità attuativa: l’organizzazione del servizio potrebbe finire per privilegiare i poli urbani e le fasce più avvantaggiate, riproducendo le disuguaglianze. La misura di mitigazione consiste nell’adozione degli strumenti dell’equità descritti nella Parte G — l’allocazione ponderata, l’abbattimento delle barriere, la telepsicologia, la misurazione disaggregata — e nella verifica continua, attraverso il monitoraggio, che il beneficio raggiunga effettivamente i territori e le fasce più svantaggiate. Il governo di questi rischi, attraverso le misure indicate, è la condizione perché la fattibilità potenziale dell’intervento si traduca in attuazione effettiva.</w:t>
      </w:r>
      <w:r>
        <w:rPr>
          <w:rStyle w:val="FootnoteReference"/>
        </w:rPr>
        <w:footnoteReference w:id="3404"/>
      </w:r>
    </w:p>
    <w:bookmarkEnd w:id="3424"/>
    <w:bookmarkEnd w:id="3425"/>
    <w:bookmarkStart w:id="3432" w:name="X6599867afbc73b9952906ee2aaa31ee1074d3e6"/>
    <w:p>
      <w:pPr>
        <w:pStyle w:val="Heading2"/>
      </w:pPr>
      <w:r>
        <w:t xml:space="preserve">Parte L — Monitoraggio e valutazione ex post</w:t>
      </w:r>
    </w:p>
    <w:p>
      <w:pPr>
        <w:pStyle w:val="FirstParagraph"/>
      </w:pPr>
      <w:r>
        <w:t xml:space="preserve">Questa parte definisce il sistema di monitoraggio e di valutazione successiva all’introduzione del servizio. Ne illustra la finalità e l’impianto; ne definisce l’approccio controfattuale; ne articola la batteria degli indicatori; ne descrive il cruscotto di sintesi e la clausola valutativa; e ne offre una sintesi. Il monitoraggio non è un adempimento accessorio, ma la condizione che consente di verificare se l’intervento produce gli effetti attesi, di correggerne l’organizzazione sulla base dell’evidenza e di sostituire progressivamente le stime dello studio con misure dirette. In Calabria, dove la fragilità storica del sistema di rilevazione dei dati sanitari è uno dei nodi che il piano di rientro ha dovuto affrontare, la costruzione di un sistema di monitoraggio rigoroso assume un valore che eccede la dimensione del singolo servizio.</w:t>
      </w:r>
    </w:p>
    <w:bookmarkStart w:id="3426" w:name="l.1-la-finalità-e-limpianto"/>
    <w:p>
      <w:pPr>
        <w:pStyle w:val="Heading3"/>
      </w:pPr>
      <w:r>
        <w:t xml:space="preserve">L.1 La finalità e l’impianto</w:t>
      </w:r>
    </w:p>
    <w:p>
      <w:pPr>
        <w:pStyle w:val="FirstParagraph"/>
      </w:pPr>
      <w:r>
        <w:t xml:space="preserve">La finalità del monitoraggio è triplice. In primo luogo, esso consente di verificare l’attuazione del servizio: se il dimensionamento previsto è raggiunto, se la distribuzione sul territorio è coerente con i criteri di equità, se l’organizzazione funziona come progettato. In secondo luogo, esso consente di valutare gli esiti del servizio: se gli interventi producono la riduzione attesa della sintomatologia, se il servizio intercetta la quota attesa del bisogno, se i risparmi e le ricadute si producono nella misura stimata. In terzo luogo, esso consente di correggere il servizio: di adeguarne l’organizzazione, la distribuzione e le modalità di erogazione sulla base dell’evidenza raccolta, e di informare le decisioni sul passaggio da una fase di dimensionamento alla successiva. L’impianto del monitoraggio si fonda sul sistema informativo descritto nella Parte C, che rileva, per ogni accesso e per ogni percorso, le variabili anagrafiche e di contesto, le variabili relative all’accesso e al percorso e i punteggi degli strumenti di misurazione degli esiti.</w:t>
      </w:r>
    </w:p>
    <w:p>
      <w:pPr>
        <w:pStyle w:val="BodyText"/>
      </w:pPr>
      <w:r>
        <w:t xml:space="preserve">L’impianto deve essere progettato fin dall’avvio del servizio, e non aggiunto successivamente, per una ragione metodologica dirimente: la valutazione degli effetti richiede la conoscenza della situazione di partenza, e la rilevazione di una linea di base prima dell’avvio — i consumi sanitari della popolazione con disagio non trattato, gli accessi al pronto soccorso per problemi psichiatrici, la mobilità riconducibile a tali condizioni — è la condizione perché l’effetto dell’intervento possa essere isolato e misurato. In Calabria, questa esigenza si lega alla più ampia questione della capacità di rilevazione del sistema regionale: la costruzione di un impianto di monitoraggio per il nuovo servizio è insieme una necessità per la valutazione e un’occasione per rafforzare la capacità complessiva del sistema di rilevare e di consolidare i propri dati, in coerenza con la svolta digitale che alcune aziende hanno avviato. L’osservatorio regionale previsto dalla proposta di legge costituisce la sede istituzionale del monitoraggio, raccogliendo le relazioni annuali, esaminando l’attività del servizio e fornendo alla Giunta gli elementi per la valutazione periodica.</w:t>
      </w:r>
    </w:p>
    <w:bookmarkEnd w:id="3426"/>
    <w:bookmarkStart w:id="3427" w:name="l.2-lapproccio-controfattuale"/>
    <w:p>
      <w:pPr>
        <w:pStyle w:val="Heading3"/>
      </w:pPr>
      <w:r>
        <w:t xml:space="preserve">L.2 L’approccio controfattuale</w:t>
      </w:r>
    </w:p>
    <w:p>
      <w:pPr>
        <w:pStyle w:val="FirstParagraph"/>
      </w:pPr>
      <w:r>
        <w:t xml:space="preserve">La valutazione degli effetti del servizio richiede un approccio controfattuale, ossia un confronto fra ciò che accade con l’intervento e ciò che sarebbe accaduto senza di esso. Poiché non è possibile osservare simultaneamente, sulle stesse persone, l’esito con e senza l’intervento, l’approccio controfattuale ricorre a strategie di confronto che approssimano questa situazione ideale. La prima strategia è il confronto fra il prima e il dopo: la rilevazione di una linea di base prima dell’avvio del servizio, e il confronto con la situazione successiva, consente di misurare la variazione associata all’introduzione del servizio, con la cautela che una parte della variazione potrebbe essere dovuta a fattori diversi dall’intervento. La seconda strategia è il confronto fra territori o gruppi esposti e non esposti al servizio: poiché l’attuazione è graduale e procede per fasi, è possibile confrontare i territori in cui il servizio è già attivo con quelli in cui non lo è ancora, isolando l’effetto dell’intervento dalla variazione comune. La terza strategia è la misurazione degli esiti individuali prima e dopo la presa in carico, mediante gli strumenti standardizzati, che consente di documentare l’effetto dell’intervento sul singolo paziente.</w:t>
      </w:r>
    </w:p>
    <w:p>
      <w:pPr>
        <w:pStyle w:val="BodyText"/>
      </w:pPr>
      <w:r>
        <w:t xml:space="preserve">La combinazione di queste strategie consente di costruire una valutazione controfattuale robusta, che distingue l’effetto dell’intervento dalla variazione che si sarebbe prodotta comunque. In Calabria, l’attuazione graduale e per fasi offre un’opportunità particolare per il confronto fra territori esposti e non esposti: la progressione del servizio dalle aree in cui la sperimentazione è già attiva verso quelle non ancora coperte consente di costruire confronti che approssimano una valutazione sperimentale, a condizione che la rilevazione dei dati sia uniforme fra i territori e che le differenze preesistenti fra di essi siano adeguatamente considerate. La valutazione controfattuale è essenziale per la verifica empirica delle stime dello studio: solo attraverso il confronto controfattuale è possibile accertare se i risparmi e le ricadute stimati si producono effettivamente, e in quale misura, e sostituire così le stime prudenziali con misure dirette, restringendo l’intervallo di incertezza che, come la Parte F ha mostrato, grava sulle proiezioni iniziali.</w:t>
      </w:r>
    </w:p>
    <w:bookmarkEnd w:id="3427"/>
    <w:bookmarkStart w:id="3428" w:name="l.3-la-batteria-degli-indicatori-5"/>
    <w:p>
      <w:pPr>
        <w:pStyle w:val="Heading3"/>
      </w:pPr>
      <w:r>
        <w:t xml:space="preserve">L.3 La batteria degli indicatori</w:t>
      </w:r>
    </w:p>
    <w:p>
      <w:pPr>
        <w:pStyle w:val="FirstParagraph"/>
      </w:pPr>
      <w:r>
        <w:t xml:space="preserve">Il monitoraggio si fonda su una batteria di indicatori, articolata in categorie che coprono le diverse dimensioni dell’attuazione e degli esiti. La prima categoria comprende gli indicatori di attuazione e di copertura: il numero di incarichi attivati, la loro distribuzione fra le aziende sanitarie provinciali e fra poli e aree interne, il rapporto fra psicologi e popolazione, il grado di integrazione con le Case della Comunità. La seconda categoria comprende gli indicatori di accesso: il numero di persone prese in carico, la modalità di accesso diretto o per invio, le caratteristiche sociali e territoriali degli utenti, l’uso della telepsicologia. La terza categoria comprende gli indicatori di processo: il numero e il tipo di prestazioni erogate, la durata dei percorsi, i tempi di attesa, il tasso di invio ai servizi specialistici. La quarta categoria comprende gli indicatori di esito clinico: la variazione dei punteggi degli strumenti di misurazione fra l’inizio e il termine della presa in carico, il tasso di recupero, il tasso di ricaduta.</w:t>
      </w:r>
    </w:p>
    <w:p>
      <w:pPr>
        <w:pStyle w:val="BodyText"/>
      </w:pPr>
      <w:r>
        <w:t xml:space="preserve">La quinta categoria comprende gli indicatori di esito sul sistema: la variazione degli accessi al pronto soccorso per problemi psichiatrici, la variazione del consumo di farmaci, la variazione dei ricoveri e delle prestazioni specialistiche, la variazione della mobilità sanitaria passiva riconducibile alle condizioni trattate. La sesta categoria comprende gli indicatori di equità: la distribuzione del beneficio fra le fasce sociali e fra i territori, verificata mediante l’analisi disaggregata degli esiti, e la riduzione dei divari. La settima categoria comprende gli indicatori economici: il costo del servizio, i risparmi diretti per canale, il rapporto fra il valore prodotto e le risorse impiegate. L’ottava categoria comprende gli indicatori di qualità percepita: la soddisfazione degli utenti, dei medici di medicina generale e degli operatori. Complessivamente, la batteria comprende dell’ordine di sessanta indicatori, definiti nelle fonti, nei tempi di rilevazione e nei valori attesi, e costruiti in modo da essere uniformi con quelli adottati nelle altre regioni della serie, così da consentire il confronto interregionale. Particolare rilievo assumono, nel contesto calabrese, gli indicatori relativi alla mobilità sanitaria passiva, la cui riduzione costituisce il principale effetto atteso sul bilancio, e gli indicatori di equità, la cui verifica è essenziale per accertare che l’intervento risponda alla sua finalità preminente.</w:t>
      </w:r>
    </w:p>
    <w:bookmarkEnd w:id="3428"/>
    <w:bookmarkStart w:id="3429" w:name="X459785849238b45514f979d0cf3fa7a262767c1"/>
    <w:p>
      <w:pPr>
        <w:pStyle w:val="Heading3"/>
      </w:pPr>
      <w:r>
        <w:t xml:space="preserve">L.4 Il cruscotto e la clausola valutativa</w:t>
      </w:r>
    </w:p>
    <w:p>
      <w:pPr>
        <w:pStyle w:val="FirstParagraph"/>
      </w:pPr>
      <w:r>
        <w:t xml:space="preserve">Gli indicatori della batteria sono organizzati in un cruscotto di monitoraggio, ossia in uno strumento sintetico che ne consente la lettura ordinata e periodica, e che presenta in forma immediata l’andamento dell’attuazione e degli esiti, evidenziando gli scostamenti rispetto ai valori attesi. Il cruscotto è lo strumento operativo attraverso cui l’osservatorio regionale, le aziende sanitarie e la Giunta seguono l’andamento del servizio e ne governano l’evoluzione; esso traduce la mole dei dati rilevati in un quadro leggibile, che consente di individuare tempestivamente le criticità e di orientare le correzioni. L’aggiornamento periodico del cruscotto consente di seguire l’evoluzione del servizio nel tempo e di verificare il conseguimento degli obiettivi di ciascuna fase.</w:t>
      </w:r>
    </w:p>
    <w:p>
      <w:pPr>
        <w:pStyle w:val="BodyText"/>
      </w:pPr>
      <w:r>
        <w:t xml:space="preserve">La clausola valutativa costituisce il fondamento istituzionale del monitoraggio. Essa è una disposizione, che la proposta di legge regionale già prevede fra i propri articoli, con cui il legislatore impone l’obbligo di valutare periodicamente l’attuazione e gli esiti del servizio e di riferirne agli organi di governo, mediante relazioni periodiche. La clausola valutativa trasforma il monitoraggio da attività discrezionale in obbligo giuridico, e ne garantisce la continuità e la pubblicità: essa impegna l’amministrazione a rendere conto, a scadenze definite, di ciò che il servizio ha prodotto, e a fondare su tale rendiconto le decisioni successive. La previsione di una clausola valutativa nella proposta di legge calabrese è un elemento di qualità del disegno normativo, che lo studio valorizza: essa consente di incorporare la logica della valutazione nel fondamento stesso del servizio, e di garantire che il consolidamento sia accompagnato da una verifica sistematica dei suoi effetti. La combinazione del cruscotto, strumento operativo, e della clausola valutativa, fondamento istituzionale, costituisce l’architettura del monitoraggio, e ne garantisce insieme l’efficacia e la continuità.</w:t>
      </w:r>
    </w:p>
    <w:bookmarkEnd w:id="3429"/>
    <w:bookmarkStart w:id="3431" w:name="l.5-la-sintesi-del-monitoraggio"/>
    <w:p>
      <w:pPr>
        <w:pStyle w:val="Heading3"/>
      </w:pPr>
      <w:r>
        <w:t xml:space="preserve">L.5 La sintesi del monitoraggio</w:t>
      </w:r>
    </w:p>
    <w:p>
      <w:pPr>
        <w:pStyle w:val="FirstParagraph"/>
      </w:pPr>
      <w:r>
        <w:t xml:space="preserve">La sintesi del monitoraggio restituisce il suo significato complessivo. Il monitoraggio è la condizione che consente di chiudere il ciclo della valutazione: lo studio fornisce, sulla base della migliore evidenza disponibile e con le cautele imposte dall’incertezza, una stima degli effetti attesi dell’intervento; il monitoraggio consente di verificare, una volta che il servizio è avviato, se tali effetti si producono effettivamente, e di correggere l’organizzazione del servizio e le stime stesse sulla base dell’evidenza raccolta. Senza il monitoraggio, lo studio rimarrebbe una valutazione ex ante priva di verifica; con il monitoraggio, esso diviene il primo passo di un processo di apprendimento continuo, in cui le decisioni successive sono fondate su una base empirica progressivamente più solida.</w:t>
      </w:r>
    </w:p>
    <w:p>
      <w:pPr>
        <w:pStyle w:val="BodyText"/>
      </w:pPr>
      <w:r>
        <w:t xml:space="preserve">In Calabria, questa funzione del monitoraggio assume un rilievo particolare, per due ragioni. La prima è la fragilità storica del sistema di rilevazione dei dati sanitari, che il monitoraggio del nuovo servizio contribuisce a superare, costituendo un tassello del più ampio rafforzamento della capacità del sistema di rilevare e di consolidare i propri dati. La seconda è l’incertezza che grava sulle stime dello studio, accentuata dall’assenza di rilevazioni regionali dirette consolidate: il monitoraggio è la via attraverso cui questa incertezza è progressivamente ridotta, e le stime prudenziali sono sostituite da misure dirette, in particolare sul canale della mobilità sanitaria passiva, su cui grava la maggiore incertezza e da cui dipende la quota più rilevante dei risparmi diretti. Il monitoraggio, in sintesi, non è solo lo strumento che verifica l’intervento, ma anche quello che, nel contesto calabrese, contribuisce a colmare una lacuna strutturale del sistema e a fondare le decisioni future su una conoscenza che oggi manca. La sua progettazione fin dall’avvio del servizio, e la sua incorporazione nel fondamento normativo attraverso la clausola valutativa, sono perciò condizioni essenziali del consolidamento.</w:t>
      </w:r>
      <w:r>
        <w:rPr>
          <w:rStyle w:val="FootnoteReference"/>
        </w:rPr>
        <w:footnoteReference w:id="3405"/>
      </w:r>
    </w:p>
    <w:bookmarkEnd w:id="3431"/>
    <w:bookmarkEnd w:id="3432"/>
    <w:bookmarkStart w:id="3439" w:name="X21152a877ccc9d64c44bd8a279fab3021a4df76"/>
    <w:p>
      <w:pPr>
        <w:pStyle w:val="Heading2"/>
      </w:pPr>
      <w:r>
        <w:t xml:space="preserve">Parte M — Sintesi multidimensionale e raccomandazioni</w:t>
      </w:r>
    </w:p>
    <w:p>
      <w:pPr>
        <w:pStyle w:val="FirstParagraph"/>
      </w:pPr>
      <w:r>
        <w:t xml:space="preserve">Questa parte conclude lo studio. Ricompone in una sintesi per dominio i risultati delle parti precedenti; li integra in un’analisi multi-criterio che pondera le diverse dimensioni della valutazione; formula la raccomandazione e ne precisa il dimensionamento; individua le condizioni del consolidamento e la lacuna conoscitiva da colmare; e colloca lo studio nella serie regionale di cui fa parte, traendone la conclusione. La sintesi non aggiunge elementi nuovi, ma ricompone in un giudizio unitario gli elementi che le parti precedenti hanno analizzato distintamente, restituendo al decisore il quadro complessivo su cui fondare la scelta relativa al consolidamento strutturale del servizio.</w:t>
      </w:r>
    </w:p>
    <w:bookmarkStart w:id="3433" w:name="m.1-la-sintesi-per-dominio-8"/>
    <w:p>
      <w:pPr>
        <w:pStyle w:val="Heading3"/>
      </w:pPr>
      <w:r>
        <w:t xml:space="preserve">M.1 La sintesi per dominio</w:t>
      </w:r>
    </w:p>
    <w:p>
      <w:pPr>
        <w:pStyle w:val="FirstParagraph"/>
      </w:pPr>
      <w:r>
        <w:t xml:space="preserve">La sintesi per dominio ricompone i risultati delle parti precedenti. Sotto il dominio del bisogno, lo studio ha documentato un disagio psichico comune di proporzioni rilevanti — circa 470.000 calabresi con un disturbo o una condizione sottosoglia, una base prudenziale di riferimento dell’ordine di 367.000 persone — largamente inevaso, in una regione demograficamente giovane ma erosa dall’esodo dei giovani, dispersa sul territorio e segnata da un divario fra il bisogno e la presa in carico fra i più ampi del Paese. Sotto il dominio dell’efficacia, lo studio ha documentato un’evidenza da moderata ad alta a sostegno degli interventi psicologici brevi, trasferibile al contesto calabrese con la previsione prudente che l’ampiezza del bisogno inevaso possa accrescere il beneficio marginale. Sotto il dominio economico, lo studio ha mostrato un intervento dominante a livello di paziente, con un onere netto modesto per il bilancio sanitario — inferiore allo 0,1 per cento del fondo nello scenario pieno — e un valore per la collettività largamente superiore al costo, con un rapporto beneficio-costo compreso fra 3,4 e 4,6 a uno, e con la riduzione della mobilità sanitaria passiva, la più elevata d’Italia, quale canale di risparmio diretto più rilevante.</w:t>
      </w:r>
    </w:p>
    <w:p>
      <w:pPr>
        <w:pStyle w:val="BodyText"/>
      </w:pPr>
      <w:r>
        <w:t xml:space="preserve">Sotto il dominio dell’equità, lo studio ha mostrato un intervento la cui finalità preminente è la riduzione delle disuguaglianze, in una regione che cumula l’inadempienza nei livelli essenziali, il sottofinanziamento della salute mentale e il divario fra poli e aree interne, e la cui costo-efficacia distributiva è superiore a quella che risulterebbe da un’analisi che ignorasse la distribuzione del beneficio. Sotto il dominio dei profili giuridico, organizzativo ed etico, lo studio ha mostrato un intervento legittimo nel rispetto dei limiti costituzionali, realizzabile pur nella fase di transizione del sistema, e non solo ammissibile ma doveroso sul piano etico, in ragione del dovere di non abbandono delle persone e dei territori. Sotto il dominio dell’attuazione, lo studio ha mostrato un intervento solido sotto le dimensioni strategica ed economica, realizzabile sotto quelle commerciale e gestionale, e sfidante sotto quella finanziaria, dove la sostituzione della copertura europea con una copertura ordinaria costituisce il nodo da sciogliere, ma conseguibile in ragione dell’entità modesta dell’onere e della sua compensazione. Sotto il dominio del monitoraggio, lo studio ha definito un sistema di verifica degli effetti che, nel contesto calabrese, contribuisce altresì a colmare una lacuna strutturale del sistema di rilevazione dei dati. I domini, considerati congiuntamente, convergono verso un giudizio favorevole al consolidamento del servizio, condizionato all’adozione delle misure di sostenibilità e di equità indicate.</w:t>
      </w:r>
    </w:p>
    <w:bookmarkEnd w:id="3433"/>
    <w:bookmarkStart w:id="3434" w:name="m.2-lanalisi-multi-criterio-13"/>
    <w:p>
      <w:pPr>
        <w:pStyle w:val="Heading3"/>
      </w:pPr>
      <w:r>
        <w:t xml:space="preserve">M.2 L’analisi multi-criterio</w:t>
      </w:r>
    </w:p>
    <w:p>
      <w:pPr>
        <w:pStyle w:val="FirstParagraph"/>
      </w:pPr>
      <w:r>
        <w:t xml:space="preserve">L’analisi multi-criterio integra i risultati dei diversi domini in un giudizio sintetico, attribuendo a ciascun criterio un peso che ne riflette l’importanza relativa e valutando l’intervento e l’alternativa del non intervento rispetto a ciascun criterio. I criteri e i pesi adottati sono uniformi per l’intera serie regionale, così da garantire la confrontabilità fra i contesti. La tabella seguente riporta i criteri, i pesi, i punteggi attribuiti all’intervento e all’alternativa del non intervento, e i punteggi ponderati.</w:t>
      </w:r>
    </w:p>
    <w:tbl>
      <w:tblPr>
        <w:tblStyle w:val="Table"/>
        <w:tblW w:type="pct" w:w="489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201"/>
        <w:gridCol w:w="1516"/>
        <w:gridCol w:w="1516"/>
        <w:gridCol w:w="1516"/>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Criterio</w:t>
            </w:r>
          </w:p>
        </w:tc>
        <w:tc>
          <w:tcPr>
            <w:shd w:val="clear" w:color="auto" w:fill="16264B"/>
          </w:tcPr>
          <w:p>
            <w:pPr>
              <w:pStyle w:val="Compact"/>
              <w:spacing w:after="40" w:before="40"/>
              <w:jc w:val="left"/>
            </w:pPr>
            <w:r>
              <w:rPr>
                <w:rFonts w:ascii="Cambria" w:hAnsi="Cambria" w:cs="Cambria" w:eastAsia="Cambria"/>
                <w:b/>
                <w:color w:val="FFFFFF"/>
                <w:sz w:val="18"/>
              </w:rPr>
              <w:t xml:space="preserve">Peso</w:t>
            </w:r>
          </w:p>
        </w:tc>
        <w:tc>
          <w:tcPr>
            <w:shd w:val="clear" w:color="auto" w:fill="16264B"/>
          </w:tcPr>
          <w:p>
            <w:pPr>
              <w:pStyle w:val="Compact"/>
              <w:spacing w:after="40" w:before="40"/>
              <w:jc w:val="left"/>
            </w:pPr>
            <w:r>
              <w:rPr>
                <w:rFonts w:ascii="Cambria" w:hAnsi="Cambria" w:cs="Cambria" w:eastAsia="Cambria"/>
                <w:b/>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color w:val="FFFFFF"/>
                <w:sz w:val="18"/>
              </w:rPr>
              <w:t xml:space="preserve">Non intervento</w:t>
            </w:r>
          </w:p>
        </w:tc>
      </w:tr>
      <w:tr>
        <w:tc>
          <w:tcPr/>
          <w:p>
            <w:pPr>
              <w:pStyle w:val="Compact"/>
              <w:spacing w:after="40" w:before="40"/>
              <w:jc w:val="left"/>
            </w:pPr>
            <w:r>
              <w:rPr>
                <w:rFonts w:ascii="Cambria" w:hAnsi="Cambria" w:cs="Cambria" w:eastAsia="Cambria"/>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0,15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0,20</w:t>
            </w:r>
          </w:p>
        </w:tc>
        <w:tc>
          <w:tcPr>
            <w:shd w:val="clear" w:color="auto" w:fill="F4F1EC"/>
          </w:tcPr>
          <w:p>
            <w:pPr>
              <w:pStyle w:val="Compact"/>
              <w:spacing w:after="40" w:before="40"/>
              <w:jc w:val="left"/>
            </w:pPr>
            <w:r>
              <w:rPr>
                <w:rFonts w:ascii="Cambria" w:hAnsi="Cambria" w:cs="Cambria" w:eastAsia="Cambria"/>
                <w:color w:val="1A1A1A"/>
                <w:sz w:val="18"/>
              </w:rPr>
              <w:t xml:space="preserve">78</w:t>
            </w:r>
          </w:p>
        </w:tc>
        <w:tc>
          <w:tcPr>
            <w:shd w:val="clear" w:color="auto" w:fill="F4F1EC"/>
          </w:tcPr>
          <w:p>
            <w:pPr>
              <w:pStyle w:val="Compact"/>
              <w:spacing w:after="40" w:before="40"/>
              <w:jc w:val="left"/>
            </w:pPr>
            <w:r>
              <w:rPr>
                <w:rFonts w:ascii="Cambria" w:hAnsi="Cambria" w:cs="Cambria" w:eastAsia="Cambria"/>
                <w:color w:val="1A1A1A"/>
                <w:sz w:val="18"/>
              </w:rPr>
              <w:t xml:space="preserve">30</w:t>
            </w:r>
          </w:p>
        </w:tc>
      </w:tr>
      <w:tr>
        <w:tc>
          <w:tcPr/>
          <w:p>
            <w:pPr>
              <w:pStyle w:val="Compact"/>
              <w:spacing w:after="40" w:before="40"/>
              <w:jc w:val="left"/>
            </w:pPr>
            <w:r>
              <w:rPr>
                <w:rFonts w:ascii="Cambria" w:hAnsi="Cambria" w:cs="Cambria" w:eastAsia="Cambria"/>
                <w:color w:val="1A1A1A"/>
                <w:sz w:val="18"/>
              </w:rPr>
              <w:t xml:space="preserve">Impatto di bilancio e sostenibilità</w:t>
            </w:r>
          </w:p>
        </w:tc>
        <w:tc>
          <w:tcPr/>
          <w:p>
            <w:pPr>
              <w:pStyle w:val="Compact"/>
              <w:spacing w:after="40" w:before="40"/>
              <w:jc w:val="left"/>
            </w:pPr>
            <w:r>
              <w:rPr>
                <w:rFonts w:ascii="Cambria" w:hAnsi="Cambria" w:cs="Cambria" w:eastAsia="Cambria"/>
                <w:color w:val="1A1A1A"/>
                <w:sz w:val="18"/>
              </w:rPr>
              <w:t xml:space="preserve">0,15</w:t>
            </w:r>
          </w:p>
        </w:tc>
        <w:tc>
          <w:tcPr/>
          <w:p>
            <w:pPr>
              <w:pStyle w:val="Compact"/>
              <w:spacing w:after="40" w:before="40"/>
              <w:jc w:val="left"/>
            </w:pPr>
            <w:r>
              <w:rPr>
                <w:rFonts w:ascii="Cambria" w:hAnsi="Cambria" w:cs="Cambria" w:eastAsia="Cambria"/>
                <w:color w:val="1A1A1A"/>
                <w:sz w:val="18"/>
              </w:rPr>
              <w:t xml:space="preserve">72</w:t>
            </w:r>
          </w:p>
        </w:tc>
        <w:tc>
          <w:tcPr/>
          <w:p>
            <w:pPr>
              <w:pStyle w:val="Compact"/>
              <w:spacing w:after="40" w:before="40"/>
              <w:jc w:val="left"/>
            </w:pPr>
            <w:r>
              <w:rPr>
                <w:rFonts w:ascii="Cambria" w:hAnsi="Cambria" w:cs="Cambria" w:eastAsia="Cambria"/>
                <w:color w:val="1A1A1A"/>
                <w:sz w:val="18"/>
              </w:rPr>
              <w:t xml:space="preserve">38</w:t>
            </w:r>
          </w:p>
        </w:tc>
      </w:tr>
      <w:tr>
        <w:tc>
          <w:tcPr>
            <w:shd w:val="clear" w:color="auto" w:fill="F4F1EC"/>
          </w:tcPr>
          <w:p>
            <w:pPr>
              <w:pStyle w:val="Compact"/>
              <w:spacing w:after="40" w:before="40"/>
              <w:jc w:val="left"/>
            </w:pPr>
            <w:r>
              <w:rPr>
                <w:rFonts w:ascii="Cambria" w:hAnsi="Cambria" w:cs="Cambria" w:eastAsia="Cambria"/>
                <w:color w:val="1A1A1A"/>
                <w:sz w:val="18"/>
              </w:rPr>
              <w:t xml:space="preserve">Equità e impatto distributivo</w:t>
            </w:r>
          </w:p>
        </w:tc>
        <w:tc>
          <w:tcPr>
            <w:shd w:val="clear" w:color="auto" w:fill="F4F1EC"/>
          </w:tcPr>
          <w:p>
            <w:pPr>
              <w:pStyle w:val="Compact"/>
              <w:spacing w:after="40" w:before="40"/>
              <w:jc w:val="left"/>
            </w:pPr>
            <w:r>
              <w:rPr>
                <w:rFonts w:ascii="Cambria" w:hAnsi="Cambria" w:cs="Cambria" w:eastAsia="Cambria"/>
                <w:color w:val="1A1A1A"/>
                <w:sz w:val="18"/>
              </w:rPr>
              <w:t xml:space="preserve">0,15</w:t>
            </w:r>
          </w:p>
        </w:tc>
        <w:tc>
          <w:tcPr>
            <w:shd w:val="clear" w:color="auto" w:fill="F4F1EC"/>
          </w:tcPr>
          <w:p>
            <w:pPr>
              <w:pStyle w:val="Compact"/>
              <w:spacing w:after="40" w:before="40"/>
              <w:jc w:val="left"/>
            </w:pPr>
            <w:r>
              <w:rPr>
                <w:rFonts w:ascii="Cambria" w:hAnsi="Cambria" w:cs="Cambria" w:eastAsia="Cambria"/>
                <w:color w:val="1A1A1A"/>
                <w:sz w:val="18"/>
              </w:rPr>
              <w:t xml:space="preserve">90</w:t>
            </w:r>
          </w:p>
        </w:tc>
        <w:tc>
          <w:tcPr>
            <w:shd w:val="clear" w:color="auto" w:fill="F4F1EC"/>
          </w:tcPr>
          <w:p>
            <w:pPr>
              <w:pStyle w:val="Compact"/>
              <w:spacing w:after="40" w:before="40"/>
              <w:jc w:val="left"/>
            </w:pPr>
            <w:r>
              <w:rPr>
                <w:rFonts w:ascii="Cambria" w:hAnsi="Cambria" w:cs="Cambria" w:eastAsia="Cambria"/>
                <w:color w:val="1A1A1A"/>
                <w:sz w:val="18"/>
              </w:rPr>
              <w:t xml:space="preserve">18</w:t>
            </w:r>
          </w:p>
        </w:tc>
      </w:tr>
      <w:tr>
        <w:tc>
          <w:tcPr/>
          <w:p>
            <w:pPr>
              <w:pStyle w:val="Compact"/>
              <w:spacing w:after="40" w:before="40"/>
              <w:jc w:val="left"/>
            </w:pPr>
            <w:r>
              <w:rPr>
                <w:rFonts w:ascii="Cambria" w:hAnsi="Cambria" w:cs="Cambria" w:eastAsia="Cambria"/>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0,10</w:t>
            </w:r>
          </w:p>
        </w:tc>
        <w:tc>
          <w:tcPr/>
          <w:p>
            <w:pPr>
              <w:pStyle w:val="Compact"/>
              <w:spacing w:after="40" w:before="40"/>
              <w:jc w:val="left"/>
            </w:pPr>
            <w:r>
              <w:rPr>
                <w:rFonts w:ascii="Cambria" w:hAnsi="Cambria" w:cs="Cambria" w:eastAsia="Cambria"/>
                <w:color w:val="1A1A1A"/>
                <w:sz w:val="18"/>
              </w:rPr>
              <w:t xml:space="preserve">82</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color w:val="1A1A1A"/>
                <w:sz w:val="18"/>
              </w:rPr>
              <w:t xml:space="preserve">Fattibilità attuativa</w:t>
            </w:r>
          </w:p>
        </w:tc>
        <w:tc>
          <w:tcPr>
            <w:shd w:val="clear" w:color="auto" w:fill="F4F1EC"/>
          </w:tcPr>
          <w:p>
            <w:pPr>
              <w:pStyle w:val="Compact"/>
              <w:spacing w:after="40" w:before="40"/>
              <w:jc w:val="left"/>
            </w:pPr>
            <w:r>
              <w:rPr>
                <w:rFonts w:ascii="Cambria" w:hAnsi="Cambria" w:cs="Cambria" w:eastAsia="Cambria"/>
                <w:color w:val="1A1A1A"/>
                <w:sz w:val="18"/>
              </w:rPr>
              <w:t xml:space="preserve">0,10</w:t>
            </w:r>
          </w:p>
        </w:tc>
        <w:tc>
          <w:tcPr>
            <w:shd w:val="clear" w:color="auto" w:fill="F4F1EC"/>
          </w:tcPr>
          <w:p>
            <w:pPr>
              <w:pStyle w:val="Compact"/>
              <w:spacing w:after="40" w:before="40"/>
              <w:jc w:val="left"/>
            </w:pPr>
            <w:r>
              <w:rPr>
                <w:rFonts w:ascii="Cambria" w:hAnsi="Cambria" w:cs="Cambria" w:eastAsia="Cambria"/>
                <w:color w:val="1A1A1A"/>
                <w:sz w:val="18"/>
              </w:rPr>
              <w:t xml:space="preserve">68</w:t>
            </w:r>
          </w:p>
        </w:tc>
        <w:tc>
          <w:tcPr>
            <w:shd w:val="clear" w:color="auto" w:fill="F4F1EC"/>
          </w:tcPr>
          <w:p>
            <w:pPr>
              <w:pStyle w:val="Compact"/>
              <w:spacing w:after="40" w:before="40"/>
              <w:jc w:val="left"/>
            </w:pPr>
            <w:r>
              <w:rPr>
                <w:rFonts w:ascii="Cambria" w:hAnsi="Cambria" w:cs="Cambria" w:eastAsia="Cambria"/>
                <w:color w:val="1A1A1A"/>
                <w:sz w:val="18"/>
              </w:rPr>
              <w:t xml:space="preserve">80</w:t>
            </w:r>
          </w:p>
        </w:tc>
      </w:tr>
      <w:tr>
        <w:tc>
          <w:tcPr/>
          <w:p>
            <w:pPr>
              <w:pStyle w:val="Compact"/>
              <w:spacing w:after="40" w:before="40"/>
              <w:jc w:val="left"/>
            </w:pPr>
            <w:r>
              <w:rPr>
                <w:rFonts w:ascii="Cambria" w:hAnsi="Cambria" w:cs="Cambria" w:eastAsia="Cambria"/>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0,10</w:t>
            </w:r>
          </w:p>
        </w:tc>
        <w:tc>
          <w:tcPr/>
          <w:p>
            <w:pPr>
              <w:pStyle w:val="Compact"/>
              <w:spacing w:after="40" w:before="40"/>
              <w:jc w:val="left"/>
            </w:pPr>
            <w:r>
              <w:rPr>
                <w:rFonts w:ascii="Cambria" w:hAnsi="Cambria" w:cs="Cambria" w:eastAsia="Cambria"/>
                <w:color w:val="1A1A1A"/>
                <w:sz w:val="18"/>
              </w:rPr>
              <w:t xml:space="preserve">70</w:t>
            </w:r>
          </w:p>
        </w:tc>
        <w:tc>
          <w:tcPr/>
          <w:p>
            <w:pPr>
              <w:pStyle w:val="Compact"/>
              <w:spacing w:after="40" w:before="40"/>
              <w:jc w:val="left"/>
            </w:pPr>
            <w:r>
              <w:rPr>
                <w:rFonts w:ascii="Cambria" w:hAnsi="Cambria" w:cs="Cambria" w:eastAsia="Cambria"/>
                <w:color w:val="1A1A1A"/>
                <w:sz w:val="18"/>
              </w:rPr>
              <w:t xml:space="preserve">50</w:t>
            </w:r>
          </w:p>
        </w:tc>
      </w:tr>
      <w:tr>
        <w:tc>
          <w:tcPr>
            <w:shd w:val="clear" w:color="auto" w:fill="F4F1EC"/>
          </w:tcPr>
          <w:p>
            <w:pPr>
              <w:pStyle w:val="Compact"/>
              <w:spacing w:after="40" w:before="40"/>
              <w:jc w:val="left"/>
            </w:pPr>
            <w:r>
              <w:rPr>
                <w:rFonts w:ascii="Cambria" w:hAnsi="Cambria" w:cs="Cambria" w:eastAsia="Cambria"/>
                <w:color w:val="1A1A1A"/>
                <w:sz w:val="18"/>
              </w:rPr>
              <w:t xml:space="preserve">Coerenza strategica</w:t>
            </w:r>
          </w:p>
        </w:tc>
        <w:tc>
          <w:tcPr>
            <w:shd w:val="clear" w:color="auto" w:fill="F4F1EC"/>
          </w:tcPr>
          <w:p>
            <w:pPr>
              <w:pStyle w:val="Compact"/>
              <w:spacing w:after="40" w:before="40"/>
              <w:jc w:val="left"/>
            </w:pPr>
            <w:r>
              <w:rPr>
                <w:rFonts w:ascii="Cambria" w:hAnsi="Cambria" w:cs="Cambria" w:eastAsia="Cambria"/>
                <w:color w:val="1A1A1A"/>
                <w:sz w:val="18"/>
              </w:rPr>
              <w:t xml:space="preserve">0,05</w:t>
            </w:r>
          </w:p>
        </w:tc>
        <w:tc>
          <w:tcPr>
            <w:shd w:val="clear" w:color="auto" w:fill="F4F1EC"/>
          </w:tcPr>
          <w:p>
            <w:pPr>
              <w:pStyle w:val="Compact"/>
              <w:spacing w:after="40" w:before="40"/>
              <w:jc w:val="left"/>
            </w:pPr>
            <w:r>
              <w:rPr>
                <w:rFonts w:ascii="Cambria" w:hAnsi="Cambria" w:cs="Cambria" w:eastAsia="Cambria"/>
                <w:color w:val="1A1A1A"/>
                <w:sz w:val="18"/>
              </w:rPr>
              <w:t xml:space="preserve">88</w:t>
            </w:r>
          </w:p>
        </w:tc>
        <w:tc>
          <w:tcPr>
            <w:shd w:val="clear" w:color="auto" w:fill="F4F1EC"/>
          </w:tcPr>
          <w:p>
            <w:pPr>
              <w:pStyle w:val="Compact"/>
              <w:spacing w:after="40" w:before="40"/>
              <w:jc w:val="left"/>
            </w:pPr>
            <w:r>
              <w:rPr>
                <w:rFonts w:ascii="Cambria" w:hAnsi="Cambria" w:cs="Cambria" w:eastAsia="Cambria"/>
                <w:color w:val="1A1A1A"/>
                <w:sz w:val="18"/>
              </w:rPr>
              <w:t xml:space="preserve">28</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b/>
                <w:bCs/>
                <w:color w:val="1A1A1A"/>
                <w:sz w:val="18"/>
              </w:rPr>
              <w:t xml:space="preserve">1,00</w:t>
            </w:r>
          </w:p>
        </w:tc>
        <w:tc>
          <w:tcPr/>
          <w:p>
            <w:pPr>
              <w:pStyle w:val="Compact"/>
              <w:spacing w:after="40" w:before="40"/>
              <w:jc w:val="left"/>
            </w:pPr>
            <w:r>
              <w:rPr>
                <w:rFonts w:ascii="Cambria" w:hAnsi="Cambria" w:cs="Cambria" w:eastAsia="Cambria"/>
                <w:b/>
                <w:bCs/>
                <w:color w:val="1A1A1A"/>
                <w:sz w:val="18"/>
              </w:rPr>
              <w:t xml:space="preserve">78,30</w:t>
            </w:r>
          </w:p>
        </w:tc>
        <w:tc>
          <w:tcPr/>
          <w:p>
            <w:pPr>
              <w:pStyle w:val="Compact"/>
              <w:spacing w:after="40" w:before="40"/>
              <w:jc w:val="left"/>
            </w:pPr>
            <w:r>
              <w:rPr>
                <w:rFonts w:ascii="Cambria" w:hAnsi="Cambria" w:cs="Cambria" w:eastAsia="Cambria"/>
                <w:b/>
                <w:bCs/>
                <w:color w:val="1A1A1A"/>
                <w:sz w:val="18"/>
              </w:rPr>
              <w:t xml:space="preserve">35,05</w:t>
            </w:r>
          </w:p>
        </w:tc>
      </w:tr>
    </w:tbl>
    <w:p>
      <w:pPr>
        <w:pStyle w:val="BodyText"/>
      </w:pPr>
      <w:r>
        <w:rPr>
          <w:i/>
          <w:iCs/>
        </w:rPr>
        <w:t xml:space="preserve">Tabella M.1. Analisi multi-criterio dell’intervento e dell’alternativa del non intervento. I pesi sono uniformi per l’intera serie regionale. Il punteggio complessivo dell’intervento, pari a 78,30, supera largamente quello del non intervento, pari a 35,05, con un differenziale di 43,25 punti.</w:t>
      </w:r>
    </w:p>
    <w:p>
      <w:pPr>
        <w:pStyle w:val="BodyText"/>
      </w:pPr>
      <w:r>
        <w:t xml:space="preserve">La lettura della tabella restituisce un esito netto. L’intervento consegue un punteggio complessivo di 78,30, largamente superiore a quello del non intervento, pari a 35,05, con un differenziale di oltre quarantatré punti. L’intervento prevale su tutti i criteri a eccezione della fattibilità attuativa, rispetto alla quale il non intervento consegue un punteggio superiore: ciò riflette la circostanza, propria del caso calabrese, che il mantenimento dello stato attuale è organizzativamente più semplice del consolidamento di un servizio strutturale in un sistema in fase di transizione, gravato dai vincoli del rientro e dalla questione della copertura. Questo vantaggio del non intervento sulla sola fattibilità è tuttavia largamente sopravanzato dal vantaggio dell’intervento su tutti gli altri criteri, e in particolare sui criteri dell’equità, su cui l’intervento consegue il punteggio più elevato in ragione della preminenza che tale dimensione assume in Calabria, della costo-efficacia e del ritorno economico, e della coerenza strategica. Il differenziale di oltre quarantatré punti esprime, in forma sintetica, la conclusione dello studio: il consolidamento del servizio è nettamente preferibile al mantenimento dello stato attuale, e la maggiore difficoltà attuativa, lungi dal compensare il divario, ne costituisce semmai la condizione da governare attraverso le misure indicate nella Parte I.</w:t>
      </w:r>
    </w:p>
    <w:bookmarkEnd w:id="3434"/>
    <w:bookmarkStart w:id="3435" w:name="X2325cb2251cebbab78c672575d6b03ecff03580"/>
    <w:p>
      <w:pPr>
        <w:pStyle w:val="Heading3"/>
      </w:pPr>
      <w:r>
        <w:t xml:space="preserve">M.3 La raccomandazione e il dimensionamento</w:t>
      </w:r>
    </w:p>
    <w:p>
      <w:pPr>
        <w:pStyle w:val="FirstParagraph"/>
      </w:pPr>
      <w:r>
        <w:t xml:space="preserve">Sulla base del giudizio multidimensionale, lo studio formula la raccomandazione di consolidare in servizio strutturale e permanente la sperimentazione già avviata, dotandola di un fondamento normativo, di un dimensionamento adeguato e di una copertura sostenibile. La raccomandazione non è quella di istituire un servizio inesistente — la Giunta lo ha già avviato in via amministrativa — ma quella di trasformare un avvio sperimentale, finanziato con risorse europee a termine, in una funzione stabile del sistema, attraverso il consolidamento normativo che la proposta di legge in esame può fornire e attraverso la programmazione di una copertura ordinaria in sostituzione di quella europea.</w:t>
      </w:r>
    </w:p>
    <w:p>
      <w:pPr>
        <w:pStyle w:val="BodyText"/>
      </w:pPr>
      <w:r>
        <w:t xml:space="preserve">Quanto al dimensionamento, lo studio raccomanda un percorso graduale che muova dal consolidamento della sperimentazione verso lo scenario intermedio, di circa 280 incarichi, come obiettivo di riferimento del medio periodo, e verso lo scenario pieno, di circa 410 incarichi, come obiettivo di regime. La raccomandazione di un percorso graduale, anziché di un dimensionamento immediato a regime, discende da tre ragioni convergenti: la sostenibilità finanziaria, che impone di modulare l’onere nel tempo e di subordinare l’ampliamento alla disponibilità della copertura ordinaria; la disponibilità delle strutture, che impone di accompagnare l’estensione del servizio all’entrata in funzione delle Case della Comunità; e il valore conoscitivo della gradualità, che consente di apprendere dall’esperienza e di correggere l’organizzazione del servizio sulla base dell’evidenza raccolta, riducendo l’incertezza che grava sulle stime iniziali. Il passaggio fra le fasi dovrebbe essere governato dai criteri indicati nella Parte I — la disponibilità della copertura, la disponibilità delle strutture, la verifica degli esiti — e informato dai risultati del monitoraggio. Lo scenario intermedio rappresenta, nel medio periodo, il punto di equilibrio fra l’ampiezza della copertura del bisogno e la sostenibilità dell’onere; lo scenario pieno rappresenta l’obiettivo di regime, verso cui tendere una volta consolidata la copertura ordinaria e completata la rete delle strutture territoriali.</w:t>
      </w:r>
    </w:p>
    <w:bookmarkEnd w:id="3435"/>
    <w:bookmarkStart w:id="3436" w:name="m.4-le-condizioni-e-la-lacuna-2"/>
    <w:p>
      <w:pPr>
        <w:pStyle w:val="Heading3"/>
      </w:pPr>
      <w:r>
        <w:t xml:space="preserve">M.4 Le condizioni e la lacuna</w:t>
      </w:r>
    </w:p>
    <w:p>
      <w:pPr>
        <w:pStyle w:val="FirstParagraph"/>
      </w:pPr>
      <w:r>
        <w:t xml:space="preserve">La raccomandazione è condizionata all’adozione di un insieme di condizioni, che le parti precedenti hanno individuato e che qui si ricompongono. La prima condizione è il consolidamento normativo: l’approvazione di una legge regionale che fornisca al servizio un assetto strutturale e una base stabile, costruita nel rispetto dei limiti definiti dalla giurisprudenza costituzionale, è la condizione perché il servizio acquisti la stabilità che la sola via amministrativa non può garantire. La seconda condizione è la sostenibilità finanziaria: la programmazione di una copertura ordinaria in sostituzione di quella europea, fondata sull’entità modesta dell’onere e sulla sua compensazione attraverso i risparmi, è la condizione perché il servizio sia sostenibile a regime. La terza condizione è la verifica empirica: la rilevazione di una linea di base e l’attivazione del sistema di monitoraggio fin dall’avvio sono la condizione perché gli effetti del servizio siano misurabili e le stime dello studio verificabili. La quarta condizione è l’attenzione all’equità: l’adozione degli strumenti dell’allocazione ponderata, dell’abbattimento delle barriere, della telepsicologia e della misurazione disaggregata è la condizione perché il servizio risponda alla sua finalità preminente, la riduzione delle disuguaglianze.</w:t>
      </w:r>
    </w:p>
    <w:p>
      <w:pPr>
        <w:pStyle w:val="BodyText"/>
      </w:pPr>
      <w:r>
        <w:t xml:space="preserve">La lacuna conoscitiva da colmare è quella dei dati. Lo studio, in assenza di rilevazioni regionali dirette consolidate — una carenza che in Calabria è resa più acuta dalla storica fragilità del sistema di rilevazione dei dati sanitari — ha costruito le proprie stime su parametri prudenziali e su dati di letteratura, destinati a essere sostituiti dalle misure dirette che il sistema informativo e il piano di monitoraggio consentiranno di raccogliere. I dati la cui acquisizione ha il valore informativo maggiore sono l’efficacia effettiva del servizio nel contesto calabrese, il tasso di adesione e di presa in carico del bisogno, e la quota di spesa impropria e di mobilità sanitaria passiva effettivamente ridotta, su cui grava la maggiore incertezza e da cui dipende la quota più rilevante dei risparmi diretti. La rilevazione di una linea di base prima dell’avvio del servizio strutturale è il primo passo per colmare questa lacuna, e costituisce la raccomandazione metodologica con cui lo studio accompagna quella sostanziale. Lo studio, in questo senso, non si presenta come un calcolo definitivo, ma come una valutazione fondata sulla migliore evidenza disponibile e dichiaratamente aperta alla verifica, di cui indica le condizioni e gli strumenti.</w:t>
      </w:r>
    </w:p>
    <w:bookmarkEnd w:id="3436"/>
    <w:bookmarkStart w:id="3438" w:name="X7e8cdf166b0bf3f5b516b63422676934a63152b"/>
    <w:p>
      <w:pPr>
        <w:pStyle w:val="Heading3"/>
      </w:pPr>
      <w:r>
        <w:t xml:space="preserve">M.5 La collocazione nella serie e la conclusione</w:t>
      </w:r>
    </w:p>
    <w:p>
      <w:pPr>
        <w:pStyle w:val="FirstParagraph"/>
      </w:pPr>
      <w:r>
        <w:t xml:space="preserve">Lo studio sulla Calabria appartiene a una serie di studi regionali costruiti secondo un telaio metodologico comune, che ne garantisce la confrontabilità. All’interno di questa serie, la Calabria occupa una posizione peculiare, che ne fa un caso a sé. È la regione che ha avviato il servizio non attraverso una legge, come le regioni pioniere, né attraverso una mera proposta in attesa di esame, come le regioni che devono ancora decidere, ma attraverso una via intermedia: una delibera di Giunta che, rimodulando fondi europei, ha istituito il servizio in via amministrativa e sperimentale, in attesa di un consolidamento normativo. È la regione che esce dal più lungo commissariamento sanitario d’Italia e da un piano di rientro i cui obiettivi — l’equilibrio di bilancio e la garanzia dei livelli essenziali — definiscono la cornice entro cui ogni nuova misura deve collocarsi. È la regione che registra il valore più elevato d’Italia di mobilità sanitaria passiva, sicché il principale canale di risparmio diretto del servizio coincide con uno degli obiettivi prioritari del risanamento. Ed è la regione che, inadempiente rispetto ai livelli essenziali e fra le ultime per spesa nella salute mentale, fa dell’equità non una dimensione fra le altre, ma la ragione preminente dell’intervento.</w:t>
      </w:r>
    </w:p>
    <w:p>
      <w:pPr>
        <w:pStyle w:val="BodyText"/>
      </w:pPr>
      <w:r>
        <w:t xml:space="preserve">La conclusione dello studio ricompone questi elementi in un giudizio unitario. Il consolidamento del servizio di psicologia di base in Calabria è raccomandato, perché risponde a un bisogno ampio e inevaso, perché si fonda su un’evidenza solida, perché genera per la collettività un valore largamente superiore al suo costo comportando per il bilancio un onere netto modesto, perché riduce le disuguaglianze più gravi in una regione che ne cumula molte, perché è legittimo e doveroso, e perché agisce, attraverso la riduzione della mobilità sanitaria passiva, sullo stesso squilibrio che il piano di rientro mira a sanare. Le difficoltà — la fase di transizione del sistema, la natura temporanea della copertura, la questione del personale — sono reali, ma sono governabili attraverso le condizioni e le misure che lo studio ha indicato. La fase in cui la Calabria si trova, lungi dall’essere un ostacolo, costituisce un’opportunità: il servizio è già avviato, la cornice nazionale lo prevede, la rete delle Case della Comunità è in costruzione, e l’uscita dal piano di rientro restituirà alla regione la possibilità di destinare le proprie risorse a servizi anziché alla copertura di disavanzi storici. Consolidare ora, con gradualità e con le condizioni indicate, ciò che è stato avviato, significa cogliere questa opportunità, e trasformare una sperimentazione promettente in una funzione stabile del sistema, capace di rispondere a un bisogno di salute che la regione non può più permettersi di lasciare inevaso.</w:t>
      </w:r>
      <w:r>
        <w:rPr>
          <w:rStyle w:val="FootnoteReference"/>
        </w:rPr>
        <w:footnoteReference w:id="3406"/>
      </w:r>
    </w:p>
    <w:bookmarkEnd w:id="3438"/>
    <w:bookmarkEnd w:id="3439"/>
    <w:bookmarkStart w:id="3443" w:name="Xf995e62f10153b848a7c5db3f4927c50cb1ee40"/>
    <w:p>
      <w:pPr>
        <w:pStyle w:val="Heading2"/>
      </w:pPr>
      <w:r>
        <w:t xml:space="preserve">Appendice A — Il caso di riferimento e i parametri del modello</w:t>
      </w:r>
    </w:p>
    <w:p>
      <w:pPr>
        <w:pStyle w:val="FirstParagraph"/>
      </w:pPr>
      <w:r>
        <w:t xml:space="preserve">Questa appendice raccoglie il materiale tecnico su cui si fonda la quantificazione economica dello studio: il caso di riferimento, i parametri del modello di Markov e il quadro economico consolidato per la Calabria. Essa rende esplicite le basi delle stime presentate nelle Parti E ed F, così da consentirne la verifica e la riproduzione.</w:t>
      </w:r>
    </w:p>
    <w:bookmarkStart w:id="3440" w:name="a.1-il-caso-di-riferimento-3"/>
    <w:p>
      <w:pPr>
        <w:pStyle w:val="Heading3"/>
      </w:pPr>
      <w:r>
        <w:t xml:space="preserve">A.1 Il caso di riferimento</w:t>
      </w:r>
    </w:p>
    <w:p>
      <w:pPr>
        <w:pStyle w:val="FirstParagraph"/>
      </w:pPr>
      <w:r>
        <w:t xml:space="preserve">Il caso di riferimento è un paziente adulto residente in Calabria con un disturbo d’ansia o dell’umore di intensità lieve o moderata, che accede al servizio di psicologia di base e riceve un ciclo di interventi psicologici brevi di efficacia documentata. Su questo caso è costruita la stima degli esiti clinici ed economici per paziente, successivamente proiettata sulla popolazione attraverso gli scenari di copertura. Il caso è rappresentativo della larga maggioranza della domanda che il servizio è chiamato a trattare al primo livello, ed è coerente con le condizioni per le quali l’efficacia degli interventi psicologici brevi è meglio documentata.</w:t>
      </w:r>
    </w:p>
    <w:bookmarkEnd w:id="3440"/>
    <w:bookmarkStart w:id="3441" w:name="a.2-i-parametri-del-modello-di-markov-3"/>
    <w:p>
      <w:pPr>
        <w:pStyle w:val="Heading3"/>
      </w:pPr>
      <w:r>
        <w:t xml:space="preserve">A.2 I parametri del modello di Markov</w:t>
      </w:r>
    </w:p>
    <w:p>
      <w:pPr>
        <w:pStyle w:val="FirstParagraph"/>
      </w:pPr>
      <w:r>
        <w:t xml:space="preserve">Il modello di Markov rappresenta il decorso del paziente attraverso tre stati di salute — la condizione di disagio in atto, la condizione di recupero e la condizione di cronicizzazione — fra i quali il paziente transita nel tempo con probabilità derivate dalla letteratura sull’efficacia degli interventi psicologici. Il modello confronta il percorso di un paziente trattato dal servizio con quello di un paziente non trattato, lungo un orizzonte di cinque anni, con un tasso di sconto del 3 per cento e una soglia di disponibilità a pagare di 30.000 euro per anno di vita ponderato per la qualità.</w:t>
      </w:r>
    </w:p>
    <w:tbl>
      <w:tblPr>
        <w:tblStyle w:val="Table"/>
        <w:tblW w:type="pct" w:w="488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379"/>
        <w:gridCol w:w="3354"/>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color w:val="FFFFFF"/>
                <w:sz w:val="18"/>
              </w:rPr>
              <w:t xml:space="preserve">Valore</w:t>
            </w:r>
          </w:p>
        </w:tc>
      </w:tr>
      <w:tr>
        <w:tc>
          <w:tcPr/>
          <w:p>
            <w:pPr>
              <w:pStyle w:val="Compact"/>
              <w:spacing w:after="40" w:before="40"/>
              <w:jc w:val="left"/>
            </w:pPr>
            <w:r>
              <w:rPr>
                <w:rFonts w:ascii="Cambria" w:hAnsi="Cambria" w:cs="Cambria" w:eastAsia="Cambria"/>
                <w:color w:val="1A1A1A"/>
                <w:sz w:val="18"/>
              </w:rPr>
              <w:t xml:space="preserve">Orizzonte temporale</w:t>
            </w:r>
          </w:p>
        </w:tc>
        <w:tc>
          <w:tcPr/>
          <w:p>
            <w:pPr>
              <w:pStyle w:val="Compact"/>
              <w:spacing w:after="40" w:before="40"/>
              <w:jc w:val="left"/>
            </w:pPr>
            <w:r>
              <w:rPr>
                <w:rFonts w:ascii="Cambria" w:hAnsi="Cambria" w:cs="Cambria" w:eastAsia="Cambria"/>
                <w:color w:val="1A1A1A"/>
                <w:sz w:val="18"/>
              </w:rPr>
              <w:t xml:space="preserve">5 anni</w:t>
            </w:r>
          </w:p>
        </w:tc>
      </w:tr>
      <w:tr>
        <w:tc>
          <w:tcPr>
            <w:shd w:val="clear" w:color="auto" w:fill="F4F1EC"/>
          </w:tcPr>
          <w:p>
            <w:pPr>
              <w:pStyle w:val="Compact"/>
              <w:spacing w:after="40" w:before="40"/>
              <w:jc w:val="left"/>
            </w:pPr>
            <w:r>
              <w:rPr>
                <w:rFonts w:ascii="Cambria" w:hAnsi="Cambria" w:cs="Cambria" w:eastAsia="Cambria"/>
                <w:color w:val="1A1A1A"/>
                <w:sz w:val="18"/>
              </w:rPr>
              <w:t xml:space="preserve">Tasso di sconto</w:t>
            </w:r>
          </w:p>
        </w:tc>
        <w:tc>
          <w:tcPr>
            <w:shd w:val="clear" w:color="auto" w:fill="F4F1EC"/>
          </w:tcPr>
          <w:p>
            <w:pPr>
              <w:pStyle w:val="Compact"/>
              <w:spacing w:after="40" w:before="40"/>
              <w:jc w:val="left"/>
            </w:pPr>
            <w:r>
              <w:rPr>
                <w:rFonts w:ascii="Cambria" w:hAnsi="Cambria" w:cs="Cambria" w:eastAsia="Cambria"/>
                <w:color w:val="1A1A1A"/>
                <w:sz w:val="18"/>
              </w:rPr>
              <w:t xml:space="preserve">3%</w:t>
            </w:r>
          </w:p>
        </w:tc>
      </w:tr>
      <w:tr>
        <w:tc>
          <w:tcPr/>
          <w:p>
            <w:pPr>
              <w:pStyle w:val="Compact"/>
              <w:spacing w:after="40" w:before="40"/>
              <w:jc w:val="left"/>
            </w:pPr>
            <w:r>
              <w:rPr>
                <w:rFonts w:ascii="Cambria" w:hAnsi="Cambria" w:cs="Cambria" w:eastAsia="Cambria"/>
                <w:color w:val="1A1A1A"/>
                <w:sz w:val="18"/>
              </w:rPr>
              <w:t xml:space="preserve">Soglia di disponibilità a pagare</w:t>
            </w:r>
          </w:p>
        </w:tc>
        <w:tc>
          <w:tcPr/>
          <w:p>
            <w:pPr>
              <w:pStyle w:val="Compact"/>
              <w:spacing w:after="40" w:before="40"/>
              <w:jc w:val="left"/>
            </w:pPr>
            <w:r>
              <w:rPr>
                <w:rFonts w:ascii="Cambria" w:hAnsi="Cambria" w:cs="Cambria" w:eastAsia="Cambria"/>
                <w:color w:val="1A1A1A"/>
                <w:sz w:val="18"/>
              </w:rPr>
              <w:t xml:space="preserve">30.000 €/QALY</w:t>
            </w:r>
          </w:p>
        </w:tc>
      </w:tr>
      <w:tr>
        <w:tc>
          <w:tcPr>
            <w:shd w:val="clear" w:color="auto" w:fill="F4F1EC"/>
          </w:tcPr>
          <w:p>
            <w:pPr>
              <w:pStyle w:val="Compact"/>
              <w:spacing w:after="40" w:before="40"/>
              <w:jc w:val="left"/>
            </w:pPr>
            <w:r>
              <w:rPr>
                <w:rFonts w:ascii="Cambria" w:hAnsi="Cambria" w:cs="Cambria" w:eastAsia="Cambria"/>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r>
      <w:tr>
        <w:tc>
          <w:tcPr/>
          <w:p>
            <w:pPr>
              <w:pStyle w:val="Compact"/>
              <w:spacing w:after="40" w:before="40"/>
              <w:jc w:val="left"/>
            </w:pPr>
            <w:r>
              <w:rPr>
                <w:rFonts w:ascii="Cambria" w:hAnsi="Cambria" w:cs="Cambria" w:eastAsia="Cambria"/>
                <w:color w:val="1A1A1A"/>
                <w:sz w:val="18"/>
              </w:rPr>
              <w:t xml:space="preserve">Costo per ciclo — stato di recupero</w:t>
            </w:r>
          </w:p>
        </w:tc>
        <w:tc>
          <w:tcPr/>
          <w:p>
            <w:pPr>
              <w:pStyle w:val="Compact"/>
              <w:spacing w:after="40" w:before="40"/>
              <w:jc w:val="left"/>
            </w:pPr>
            <w:r>
              <w:rPr>
                <w:rFonts w:ascii="Cambria" w:hAnsi="Cambria" w:cs="Cambria" w:eastAsia="Cambria"/>
                <w:color w:val="1A1A1A"/>
                <w:sz w:val="18"/>
              </w:rPr>
              <w:t xml:space="preserve">~40 €</w:t>
            </w:r>
          </w:p>
        </w:tc>
      </w:tr>
      <w:tr>
        <w:tc>
          <w:tcPr>
            <w:shd w:val="clear" w:color="auto" w:fill="F4F1EC"/>
          </w:tcPr>
          <w:p>
            <w:pPr>
              <w:pStyle w:val="Compact"/>
              <w:spacing w:after="40" w:before="40"/>
              <w:jc w:val="left"/>
            </w:pPr>
            <w:r>
              <w:rPr>
                <w:rFonts w:ascii="Cambria" w:hAnsi="Cambria" w:cs="Cambria" w:eastAsia="Cambria"/>
                <w:color w:val="1A1A1A"/>
                <w:sz w:val="18"/>
              </w:rPr>
              <w:t xml:space="preserve">Costo per ciclo — stato di cronicizzazione</w:t>
            </w:r>
          </w:p>
        </w:tc>
        <w:tc>
          <w:tcPr>
            <w:shd w:val="clear" w:color="auto" w:fill="F4F1EC"/>
          </w:tcPr>
          <w:p>
            <w:pPr>
              <w:pStyle w:val="Compact"/>
              <w:spacing w:after="40" w:before="40"/>
              <w:jc w:val="left"/>
            </w:pPr>
            <w:r>
              <w:rPr>
                <w:rFonts w:ascii="Cambria" w:hAnsi="Cambria" w:cs="Cambria" w:eastAsia="Cambria"/>
                <w:color w:val="1A1A1A"/>
                <w:sz w:val="18"/>
              </w:rPr>
              <w:t xml:space="preserve">~700 €</w:t>
            </w:r>
          </w:p>
        </w:tc>
      </w:tr>
      <w:tr>
        <w:tc>
          <w:tcPr/>
          <w:p>
            <w:pPr>
              <w:pStyle w:val="Compact"/>
              <w:spacing w:after="40" w:before="40"/>
              <w:jc w:val="left"/>
            </w:pPr>
            <w:r>
              <w:rPr>
                <w:rFonts w:ascii="Cambria" w:hAnsi="Cambria" w:cs="Cambria" w:eastAsia="Cambria"/>
                <w:color w:val="1A1A1A"/>
                <w:sz w:val="18"/>
              </w:rPr>
              <w:t xml:space="preserve">Risparmio diretto stimato per paziente</w:t>
            </w:r>
          </w:p>
        </w:tc>
        <w:tc>
          <w:tcPr/>
          <w:p>
            <w:pPr>
              <w:pStyle w:val="Compact"/>
              <w:spacing w:after="40" w:before="40"/>
              <w:jc w:val="left"/>
            </w:pPr>
            <w:r>
              <w:rPr>
                <w:rFonts w:ascii="Cambria" w:hAnsi="Cambria" w:cs="Cambria" w:eastAsia="Cambria"/>
                <w:color w:val="1A1A1A"/>
                <w:sz w:val="18"/>
              </w:rPr>
              <w:t xml:space="preserve">~1.304 €</w:t>
            </w:r>
          </w:p>
        </w:tc>
      </w:tr>
      <w:tr>
        <w:tc>
          <w:tcPr>
            <w:shd w:val="clear" w:color="auto" w:fill="F4F1EC"/>
          </w:tcPr>
          <w:p>
            <w:pPr>
              <w:pStyle w:val="Compact"/>
              <w:spacing w:after="40" w:before="40"/>
              <w:jc w:val="left"/>
            </w:pPr>
            <w:r>
              <w:rPr>
                <w:rFonts w:ascii="Cambria" w:hAnsi="Cambria" w:cs="Cambria" w:eastAsia="Cambria"/>
                <w:color w:val="1A1A1A"/>
                <w:sz w:val="18"/>
              </w:rPr>
              <w:t xml:space="preserve">Guadagno di salute stimato per paziente</w:t>
            </w:r>
          </w:p>
        </w:tc>
        <w:tc>
          <w:tcPr>
            <w:shd w:val="clear" w:color="auto" w:fill="F4F1EC"/>
          </w:tcPr>
          <w:p>
            <w:pPr>
              <w:pStyle w:val="Compact"/>
              <w:spacing w:after="40" w:before="40"/>
              <w:jc w:val="left"/>
            </w:pPr>
            <w:r>
              <w:rPr>
                <w:rFonts w:ascii="Cambria" w:hAnsi="Cambria" w:cs="Cambria" w:eastAsia="Cambria"/>
                <w:color w:val="1A1A1A"/>
                <w:sz w:val="18"/>
              </w:rPr>
              <w:t xml:space="preserve">~0,236 QALY</w:t>
            </w:r>
          </w:p>
        </w:tc>
      </w:tr>
    </w:tbl>
    <w:p>
      <w:pPr>
        <w:pStyle w:val="BodyText"/>
      </w:pPr>
      <w:r>
        <w:rPr>
          <w:i/>
          <w:iCs/>
        </w:rPr>
        <w:t xml:space="preserve">Tabella A.1. Parametri principali del modello e risultati per paziente. I valori per paziente sono fondati sull’efficacia clinica documentata e sono invarianti rispetto al contesto regionale.</w:t>
      </w:r>
    </w:p>
    <w:p>
      <w:pPr>
        <w:pStyle w:val="BodyText"/>
      </w:pPr>
      <w:r>
        <w:t xml:space="preserve">L’analisi di sensibilità probabilistica, condotta con 10.000 simulazioni facendo variare simultaneamente tutti i parametri secondo le rispettive distribuzioni, documenta che alla soglia di 30.000 euro per anno di vita ponderato per la qualità l’intervento risulta costo-efficace nell’88,9 per cento delle simulazioni e dominante nell’84,6 per cento. Il beneficio netto monetario medio è dell’ordine di 7.815 euro per paziente, con un intervallo di confidenza al 95 per cento compreso fra circa −5.736 e +21.501 euro. L’ampiezza dell’intervallo, che include valori negativi, esprime l’incertezza residua; la concentrazione della distribuzione su valori largamente positivi ne documenta la robustezza.</w:t>
      </w:r>
    </w:p>
    <w:bookmarkEnd w:id="3441"/>
    <w:bookmarkStart w:id="3442" w:name="a.3-il-quadro-economico-consolidato-3"/>
    <w:p>
      <w:pPr>
        <w:pStyle w:val="Heading3"/>
      </w:pPr>
      <w:r>
        <w:t xml:space="preserve">A.3 Il quadro economico consolidato</w:t>
      </w:r>
    </w:p>
    <w:p>
      <w:pPr>
        <w:pStyle w:val="FirstParagraph"/>
      </w:pPr>
      <w:r>
        <w:t xml:space="preserve">Il quadro economico consolidato riassume le stime aggregate per la Calabria, calibrate sulla popolazione regionale di circa 1.835.000 abitanti e sul fondo sanitario regionale dell’ordine di 4,4 miliardi di euro, e articolate nei tre scenari di dimensionamento.</w:t>
      </w:r>
    </w:p>
    <w:tbl>
      <w:tblPr>
        <w:tblStyle w:val="Table"/>
        <w:tblW w:type="pct" w:w="490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66"/>
        <w:gridCol w:w="1320"/>
        <w:gridCol w:w="1393"/>
        <w:gridCol w:w="1393"/>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Grandezza (mln €/anno)</w:t>
            </w:r>
          </w:p>
        </w:tc>
        <w:tc>
          <w:tcPr>
            <w:shd w:val="clear" w:color="auto" w:fill="16264B"/>
          </w:tcPr>
          <w:p>
            <w:pPr>
              <w:pStyle w:val="Compact"/>
              <w:spacing w:after="40" w:before="40"/>
              <w:jc w:val="left"/>
            </w:pPr>
            <w:r>
              <w:rPr>
                <w:rFonts w:ascii="Cambria" w:hAnsi="Cambria" w:cs="Cambria" w:eastAsia="Cambria"/>
                <w:b/>
                <w:color w:val="FFFFFF"/>
                <w:sz w:val="18"/>
              </w:rPr>
              <w:t xml:space="preserve">Minimo (140)</w:t>
            </w:r>
          </w:p>
        </w:tc>
        <w:tc>
          <w:tcPr>
            <w:shd w:val="clear" w:color="auto" w:fill="16264B"/>
          </w:tcPr>
          <w:p>
            <w:pPr>
              <w:pStyle w:val="Compact"/>
              <w:spacing w:after="40" w:before="40"/>
              <w:jc w:val="left"/>
            </w:pPr>
            <w:r>
              <w:rPr>
                <w:rFonts w:ascii="Cambria" w:hAnsi="Cambria" w:cs="Cambria" w:eastAsia="Cambria"/>
                <w:b/>
                <w:color w:val="FFFFFF"/>
                <w:sz w:val="18"/>
              </w:rPr>
              <w:t xml:space="preserve">Intermedio (280)</w:t>
            </w:r>
          </w:p>
        </w:tc>
        <w:tc>
          <w:tcPr>
            <w:shd w:val="clear" w:color="auto" w:fill="16264B"/>
          </w:tcPr>
          <w:p>
            <w:pPr>
              <w:pStyle w:val="Compact"/>
              <w:spacing w:after="40" w:before="40"/>
              <w:jc w:val="left"/>
            </w:pPr>
            <w:r>
              <w:rPr>
                <w:rFonts w:ascii="Cambria" w:hAnsi="Cambria" w:cs="Cambria" w:eastAsia="Cambria"/>
                <w:b/>
                <w:color w:val="FFFFFF"/>
                <w:sz w:val="18"/>
              </w:rPr>
              <w:t xml:space="preserve">Pieno (410)</w:t>
            </w:r>
          </w:p>
        </w:tc>
      </w:tr>
      <w:tr>
        <w:tc>
          <w:tcPr/>
          <w:p>
            <w:pPr>
              <w:pStyle w:val="Compact"/>
              <w:spacing w:after="40" w:before="40"/>
              <w:jc w:val="left"/>
            </w:pPr>
            <w:r>
              <w:rPr>
                <w:rFonts w:ascii="Cambria" w:hAnsi="Cambria" w:cs="Cambria" w:eastAsia="Cambria"/>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~8,5</w:t>
            </w:r>
          </w:p>
        </w:tc>
        <w:tc>
          <w:tcPr/>
          <w:p>
            <w:pPr>
              <w:pStyle w:val="Compact"/>
              <w:spacing w:after="40" w:before="40"/>
              <w:jc w:val="left"/>
            </w:pPr>
            <w:r>
              <w:rPr>
                <w:rFonts w:ascii="Cambria" w:hAnsi="Cambria" w:cs="Cambria" w:eastAsia="Cambria"/>
                <w:color w:val="1A1A1A"/>
                <w:sz w:val="18"/>
              </w:rPr>
              <w:t xml:space="preserve">~17,0</w:t>
            </w:r>
          </w:p>
        </w:tc>
        <w:tc>
          <w:tcPr/>
          <w:p>
            <w:pPr>
              <w:pStyle w:val="Compact"/>
              <w:spacing w:after="40" w:before="40"/>
              <w:jc w:val="left"/>
            </w:pPr>
            <w:r>
              <w:rPr>
                <w:rFonts w:ascii="Cambria" w:hAnsi="Cambria" w:cs="Cambria" w:eastAsia="Cambria"/>
                <w:color w:val="1A1A1A"/>
                <w:sz w:val="18"/>
              </w:rPr>
              <w:t xml:space="preserve">~25,5</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 diretti — 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~3,5</w:t>
            </w:r>
          </w:p>
        </w:tc>
      </w:tr>
      <w:tr>
        <w:tc>
          <w:tcPr/>
          <w:p>
            <w:pPr>
              <w:pStyle w:val="Compact"/>
              <w:spacing w:after="40" w:before="40"/>
              <w:jc w:val="left"/>
            </w:pPr>
            <w:r>
              <w:rPr>
                <w:rFonts w:ascii="Cambria" w:hAnsi="Cambria" w:cs="Cambria" w:eastAsia="Cambria"/>
                <w:color w:val="1A1A1A"/>
                <w:sz w:val="18"/>
              </w:rPr>
              <w:t xml:space="preserve">Risparmi diretti — farmaceutica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~3,5</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 diretti — ricoveri e specialistica</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c>
          <w:tcPr>
            <w:shd w:val="clear" w:color="auto" w:fill="F4F1EC"/>
          </w:tcPr>
          <w:p>
            <w:pPr>
              <w:pStyle w:val="Compact"/>
              <w:spacing w:after="40" w:before="40"/>
              <w:jc w:val="left"/>
            </w:pPr>
            <w:r>
              <w:rPr>
                <w:rFonts w:ascii="Cambria" w:hAnsi="Cambria" w:cs="Cambria" w:eastAsia="Cambria"/>
                <w:color w:val="1A1A1A"/>
                <w:sz w:val="18"/>
              </w:rPr>
              <w:t xml:space="preserve">~5,0</w:t>
            </w:r>
          </w:p>
        </w:tc>
        <w:tc>
          <w:tcPr>
            <w:shd w:val="clear" w:color="auto" w:fill="F4F1EC"/>
          </w:tcPr>
          <w:p>
            <w:pPr>
              <w:pStyle w:val="Compact"/>
              <w:spacing w:after="40" w:before="40"/>
              <w:jc w:val="left"/>
            </w:pPr>
            <w:r>
              <w:rPr>
                <w:rFonts w:ascii="Cambria" w:hAnsi="Cambria" w:cs="Cambria" w:eastAsia="Cambria"/>
                <w:color w:val="1A1A1A"/>
                <w:sz w:val="18"/>
              </w:rPr>
              <w:t xml:space="preserve">~7,0</w:t>
            </w:r>
          </w:p>
        </w:tc>
      </w:tr>
      <w:tr>
        <w:tc>
          <w:tcPr/>
          <w:p>
            <w:pPr>
              <w:pStyle w:val="Compact"/>
              <w:spacing w:after="40" w:before="40"/>
              <w:jc w:val="left"/>
            </w:pPr>
            <w:r>
              <w:rPr>
                <w:rFonts w:ascii="Cambria" w:hAnsi="Cambria" w:cs="Cambria" w:eastAsia="Cambria"/>
                <w:color w:val="1A1A1A"/>
                <w:sz w:val="18"/>
              </w:rPr>
              <w:t xml:space="preserve">Risparmi diretti — mobilità sanitaria passiva</w:t>
            </w:r>
          </w:p>
        </w:tc>
        <w:tc>
          <w:tcPr/>
          <w:p>
            <w:pPr>
              <w:pStyle w:val="Compact"/>
              <w:spacing w:after="40" w:before="40"/>
              <w:jc w:val="left"/>
            </w:pPr>
            <w:r>
              <w:rPr>
                <w:rFonts w:ascii="Cambria" w:hAnsi="Cambria" w:cs="Cambria" w:eastAsia="Cambria"/>
                <w:color w:val="1A1A1A"/>
                <w:sz w:val="18"/>
              </w:rPr>
              <w:t xml:space="preserve">~2,0</w:t>
            </w:r>
          </w:p>
        </w:tc>
        <w:tc>
          <w:tcPr/>
          <w:p>
            <w:pPr>
              <w:pStyle w:val="Compact"/>
              <w:spacing w:after="40" w:before="40"/>
              <w:jc w:val="left"/>
            </w:pPr>
            <w:r>
              <w:rPr>
                <w:rFonts w:ascii="Cambria" w:hAnsi="Cambria" w:cs="Cambria" w:eastAsia="Cambria"/>
                <w:color w:val="1A1A1A"/>
                <w:sz w:val="18"/>
              </w:rPr>
              <w:t xml:space="preserve">~5,0</w:t>
            </w:r>
          </w:p>
        </w:tc>
        <w:tc>
          <w:tcPr/>
          <w:p>
            <w:pPr>
              <w:pStyle w:val="Compact"/>
              <w:spacing w:after="40" w:before="40"/>
              <w:jc w:val="left"/>
            </w:pPr>
            <w:r>
              <w:rPr>
                <w:rFonts w:ascii="Cambria" w:hAnsi="Cambria" w:cs="Cambria" w:eastAsia="Cambria"/>
                <w:color w:val="1A1A1A"/>
                <w:sz w:val="18"/>
              </w:rPr>
              <w:t xml:space="preserve">~8,0</w:t>
            </w:r>
          </w:p>
        </w:tc>
      </w:tr>
      <w:tr>
        <w:tc>
          <w:tcPr>
            <w:shd w:val="clear" w:color="auto" w:fill="F4F1EC"/>
          </w:tcPr>
          <w:p>
            <w:pPr>
              <w:pStyle w:val="Compact"/>
              <w:spacing w:after="40" w:before="40"/>
              <w:jc w:val="left"/>
            </w:pPr>
            <w:r>
              <w:rPr>
                <w:rFonts w:ascii="Cambria" w:hAnsi="Cambria" w:cs="Cambria" w:eastAsia="Cambria"/>
                <w:color w:val="1A1A1A"/>
                <w:sz w:val="18"/>
              </w:rPr>
              <w:t xml:space="preserve">Risparmi diretti totali</w:t>
            </w:r>
          </w:p>
        </w:tc>
        <w:tc>
          <w:tcPr>
            <w:shd w:val="clear" w:color="auto" w:fill="F4F1EC"/>
          </w:tcPr>
          <w:p>
            <w:pPr>
              <w:pStyle w:val="Compact"/>
              <w:spacing w:after="40" w:before="40"/>
              <w:jc w:val="left"/>
            </w:pPr>
            <w:r>
              <w:rPr>
                <w:rFonts w:ascii="Cambria" w:hAnsi="Cambria" w:cs="Cambria" w:eastAsia="Cambria"/>
                <w:color w:val="1A1A1A"/>
                <w:sz w:val="18"/>
              </w:rPr>
              <w:t xml:space="preserve">~6,5</w:t>
            </w:r>
          </w:p>
        </w:tc>
        <w:tc>
          <w:tcPr>
            <w:shd w:val="clear" w:color="auto" w:fill="F4F1EC"/>
          </w:tcPr>
          <w:p>
            <w:pPr>
              <w:pStyle w:val="Compact"/>
              <w:spacing w:after="40" w:before="40"/>
              <w:jc w:val="left"/>
            </w:pPr>
            <w:r>
              <w:rPr>
                <w:rFonts w:ascii="Cambria" w:hAnsi="Cambria" w:cs="Cambria" w:eastAsia="Cambria"/>
                <w:color w:val="1A1A1A"/>
                <w:sz w:val="18"/>
              </w:rPr>
              <w:t xml:space="preserve">~14,0</w:t>
            </w:r>
          </w:p>
        </w:tc>
        <w:tc>
          <w:tcPr>
            <w:shd w:val="clear" w:color="auto" w:fill="F4F1EC"/>
          </w:tcPr>
          <w:p>
            <w:pPr>
              <w:pStyle w:val="Compact"/>
              <w:spacing w:after="40" w:before="40"/>
              <w:jc w:val="left"/>
            </w:pPr>
            <w:r>
              <w:rPr>
                <w:rFonts w:ascii="Cambria" w:hAnsi="Cambria" w:cs="Cambria" w:eastAsia="Cambria"/>
                <w:color w:val="1A1A1A"/>
                <w:sz w:val="18"/>
              </w:rPr>
              <w:t xml:space="preserve">~22,0</w:t>
            </w:r>
          </w:p>
        </w:tc>
      </w:tr>
      <w:tr>
        <w:tc>
          <w:tcPr/>
          <w:p>
            <w:pPr>
              <w:pStyle w:val="Compact"/>
              <w:spacing w:after="40" w:before="40"/>
              <w:jc w:val="left"/>
            </w:pPr>
            <w:r>
              <w:rPr>
                <w:rFonts w:ascii="Cambria" w:hAnsi="Cambria" w:cs="Cambria" w:eastAsia="Cambria"/>
                <w:color w:val="1A1A1A"/>
                <w:sz w:val="18"/>
              </w:rPr>
              <w:t xml:space="preserve">Saldo diretto — caso finanziario</w:t>
            </w:r>
          </w:p>
        </w:tc>
        <w:tc>
          <w:tcPr/>
          <w:p>
            <w:pPr>
              <w:pStyle w:val="Compact"/>
              <w:spacing w:after="40" w:before="40"/>
              <w:jc w:val="left"/>
            </w:pPr>
            <w:r>
              <w:rPr>
                <w:rFonts w:ascii="Cambria" w:hAnsi="Cambria" w:cs="Cambria" w:eastAsia="Cambria"/>
                <w:color w:val="1A1A1A"/>
                <w:sz w:val="18"/>
              </w:rPr>
              <w:t xml:space="preserve">~ −2,0</w:t>
            </w:r>
          </w:p>
        </w:tc>
        <w:tc>
          <w:tcPr/>
          <w:p>
            <w:pPr>
              <w:pStyle w:val="Compact"/>
              <w:spacing w:after="40" w:before="40"/>
              <w:jc w:val="left"/>
            </w:pPr>
            <w:r>
              <w:rPr>
                <w:rFonts w:ascii="Cambria" w:hAnsi="Cambria" w:cs="Cambria" w:eastAsia="Cambria"/>
                <w:color w:val="1A1A1A"/>
                <w:sz w:val="18"/>
              </w:rPr>
              <w:t xml:space="preserve">~ −3,0</w:t>
            </w:r>
          </w:p>
        </w:tc>
        <w:tc>
          <w:tcPr/>
          <w:p>
            <w:pPr>
              <w:pStyle w:val="Compact"/>
              <w:spacing w:after="40" w:before="40"/>
              <w:jc w:val="left"/>
            </w:pPr>
            <w:r>
              <w:rPr>
                <w:rFonts w:ascii="Cambria" w:hAnsi="Cambria" w:cs="Cambria" w:eastAsia="Cambria"/>
                <w:color w:val="1A1A1A"/>
                <w:sz w:val="18"/>
              </w:rPr>
              <w:t xml:space="preserve">~ −3,5</w:t>
            </w:r>
          </w:p>
        </w:tc>
      </w:tr>
      <w:tr>
        <w:tc>
          <w:tcPr>
            <w:shd w:val="clear" w:color="auto" w:fill="F4F1EC"/>
          </w:tcPr>
          <w:p>
            <w:pPr>
              <w:pStyle w:val="Compact"/>
              <w:spacing w:after="40" w:before="40"/>
              <w:jc w:val="left"/>
            </w:pPr>
            <w:r>
              <w:rPr>
                <w:rFonts w:ascii="Cambria" w:hAnsi="Cambria" w:cs="Cambria" w:eastAsia="Cambria"/>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~22,0</w:t>
            </w:r>
          </w:p>
        </w:tc>
        <w:tc>
          <w:tcPr>
            <w:shd w:val="clear" w:color="auto" w:fill="F4F1EC"/>
          </w:tcPr>
          <w:p>
            <w:pPr>
              <w:pStyle w:val="Compact"/>
              <w:spacing w:after="40" w:before="40"/>
              <w:jc w:val="left"/>
            </w:pPr>
            <w:r>
              <w:rPr>
                <w:rFonts w:ascii="Cambria" w:hAnsi="Cambria" w:cs="Cambria" w:eastAsia="Cambria"/>
                <w:color w:val="1A1A1A"/>
                <w:sz w:val="18"/>
              </w:rPr>
              <w:t xml:space="preserve">~52,0</w:t>
            </w:r>
          </w:p>
        </w:tc>
        <w:tc>
          <w:tcPr>
            <w:shd w:val="clear" w:color="auto" w:fill="F4F1EC"/>
          </w:tcPr>
          <w:p>
            <w:pPr>
              <w:pStyle w:val="Compact"/>
              <w:spacing w:after="40" w:before="40"/>
              <w:jc w:val="left"/>
            </w:pPr>
            <w:r>
              <w:rPr>
                <w:rFonts w:ascii="Cambria" w:hAnsi="Cambria" w:cs="Cambria" w:eastAsia="Cambria"/>
                <w:color w:val="1A1A1A"/>
                <w:sz w:val="18"/>
              </w:rPr>
              <w:t xml:space="preserve">~96,0</w:t>
            </w:r>
          </w:p>
        </w:tc>
      </w:tr>
      <w:tr>
        <w:tc>
          <w:tcPr/>
          <w:p>
            <w:pPr>
              <w:pStyle w:val="Compact"/>
              <w:spacing w:after="40" w:before="40"/>
              <w:jc w:val="left"/>
            </w:pPr>
            <w:r>
              <w:rPr>
                <w:rFonts w:ascii="Cambria" w:hAnsi="Cambria" w:cs="Cambria" w:eastAsia="Cambria"/>
                <w:color w:val="1A1A1A"/>
                <w:sz w:val="18"/>
              </w:rPr>
              <w:t xml:space="preserve">Ritorno complessivo per la collettività</w:t>
            </w:r>
          </w:p>
        </w:tc>
        <w:tc>
          <w:tcPr/>
          <w:p>
            <w:pPr>
              <w:pStyle w:val="Compact"/>
              <w:spacing w:after="40" w:before="40"/>
              <w:jc w:val="left"/>
            </w:pPr>
            <w:r>
              <w:rPr>
                <w:rFonts w:ascii="Cambria" w:hAnsi="Cambria" w:cs="Cambria" w:eastAsia="Cambria"/>
                <w:color w:val="1A1A1A"/>
                <w:sz w:val="18"/>
              </w:rPr>
              <w:t xml:space="preserve">~28,5</w:t>
            </w:r>
          </w:p>
        </w:tc>
        <w:tc>
          <w:tcPr/>
          <w:p>
            <w:pPr>
              <w:pStyle w:val="Compact"/>
              <w:spacing w:after="40" w:before="40"/>
              <w:jc w:val="left"/>
            </w:pPr>
            <w:r>
              <w:rPr>
                <w:rFonts w:ascii="Cambria" w:hAnsi="Cambria" w:cs="Cambria" w:eastAsia="Cambria"/>
                <w:color w:val="1A1A1A"/>
                <w:sz w:val="18"/>
              </w:rPr>
              <w:t xml:space="preserve">~66,0</w:t>
            </w:r>
          </w:p>
        </w:tc>
        <w:tc>
          <w:tcPr/>
          <w:p>
            <w:pPr>
              <w:pStyle w:val="Compact"/>
              <w:spacing w:after="40" w:before="40"/>
              <w:jc w:val="left"/>
            </w:pPr>
            <w:r>
              <w:rPr>
                <w:rFonts w:ascii="Cambria" w:hAnsi="Cambria" w:cs="Cambria" w:eastAsia="Cambria"/>
                <w:color w:val="1A1A1A"/>
                <w:sz w:val="18"/>
              </w:rPr>
              <w:t xml:space="preserve">~118,0</w:t>
            </w:r>
          </w:p>
        </w:tc>
      </w:tr>
      <w:tr>
        <w:tc>
          <w:tcPr>
            <w:shd w:val="clear" w:color="auto" w:fill="F4F1EC"/>
          </w:tcPr>
          <w:p>
            <w:pPr>
              <w:pStyle w:val="Compact"/>
              <w:spacing w:after="40" w:before="40"/>
              <w:jc w:val="left"/>
            </w:pPr>
            <w:r>
              <w:rPr>
                <w:rFonts w:ascii="Cambria" w:hAnsi="Cambria" w:cs="Cambria" w:eastAsia="Cambria"/>
                <w:color w:val="1A1A1A"/>
                <w:sz w:val="18"/>
              </w:rPr>
              <w:t xml:space="preserve">Saldo complessivo —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 +20,0</w:t>
            </w:r>
          </w:p>
        </w:tc>
        <w:tc>
          <w:tcPr>
            <w:shd w:val="clear" w:color="auto" w:fill="F4F1EC"/>
          </w:tcPr>
          <w:p>
            <w:pPr>
              <w:pStyle w:val="Compact"/>
              <w:spacing w:after="40" w:before="40"/>
              <w:jc w:val="left"/>
            </w:pPr>
            <w:r>
              <w:rPr>
                <w:rFonts w:ascii="Cambria" w:hAnsi="Cambria" w:cs="Cambria" w:eastAsia="Cambria"/>
                <w:color w:val="1A1A1A"/>
                <w:sz w:val="18"/>
              </w:rPr>
              <w:t xml:space="preserve">~ +49,0</w:t>
            </w:r>
          </w:p>
        </w:tc>
        <w:tc>
          <w:tcPr>
            <w:shd w:val="clear" w:color="auto" w:fill="F4F1EC"/>
          </w:tcPr>
          <w:p>
            <w:pPr>
              <w:pStyle w:val="Compact"/>
              <w:spacing w:after="40" w:before="40"/>
              <w:jc w:val="left"/>
            </w:pPr>
            <w:r>
              <w:rPr>
                <w:rFonts w:ascii="Cambria" w:hAnsi="Cambria" w:cs="Cambria" w:eastAsia="Cambria"/>
                <w:color w:val="1A1A1A"/>
                <w:sz w:val="18"/>
              </w:rPr>
              <w:t xml:space="preserve">~ +92,5</w:t>
            </w:r>
          </w:p>
        </w:tc>
      </w:tr>
      <w:tr>
        <w:tc>
          <w:tcPr/>
          <w:p>
            <w:pPr>
              <w:pStyle w:val="Compact"/>
              <w:spacing w:after="40" w:before="40"/>
              <w:jc w:val="left"/>
            </w:pPr>
            <w:r>
              <w:rPr>
                <w:rFonts w:ascii="Cambria" w:hAnsi="Cambria" w:cs="Cambria" w:eastAsia="Cambria"/>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~3,4 : 1</w:t>
            </w:r>
          </w:p>
        </w:tc>
        <w:tc>
          <w:tcPr/>
          <w:p>
            <w:pPr>
              <w:pStyle w:val="Compact"/>
              <w:spacing w:after="40" w:before="40"/>
              <w:jc w:val="left"/>
            </w:pPr>
            <w:r>
              <w:rPr>
                <w:rFonts w:ascii="Cambria" w:hAnsi="Cambria" w:cs="Cambria" w:eastAsia="Cambria"/>
                <w:color w:val="1A1A1A"/>
                <w:sz w:val="18"/>
              </w:rPr>
              <w:t xml:space="preserve">~3,9 : 1</w:t>
            </w:r>
          </w:p>
        </w:tc>
        <w:tc>
          <w:tcPr/>
          <w:p>
            <w:pPr>
              <w:pStyle w:val="Compact"/>
              <w:spacing w:after="40" w:before="40"/>
              <w:jc w:val="left"/>
            </w:pPr>
            <w:r>
              <w:rPr>
                <w:rFonts w:ascii="Cambria" w:hAnsi="Cambria" w:cs="Cambria" w:eastAsia="Cambria"/>
                <w:color w:val="1A1A1A"/>
                <w:sz w:val="18"/>
              </w:rPr>
              <w:t xml:space="preserve">~4,6 : 1</w:t>
            </w:r>
          </w:p>
        </w:tc>
      </w:tr>
    </w:tbl>
    <w:p>
      <w:pPr>
        <w:pStyle w:val="BodyText"/>
      </w:pPr>
      <w:r>
        <w:rPr>
          <w:i/>
          <w:iCs/>
        </w:rPr>
        <w:t xml:space="preserve">Tabella A.2. Quadro economico consolidato per scenario. I risparmi diretti per il bilancio e le ricadute sociali per la collettività sono grandezze distinte e non sono mai sommate in un unico saldo di bilancio. Il rapporto beneficio-costo è riferito al valore per la collettività ed è contenuto entro la fascia metodologicamente fondata di 3,3–5,7 a uno. Il canale della mobilità sanitaria passiva, la più elevata d’Italia, costituisce nello scenario pieno la componente di risparmio diretto più rilevante.</w:t>
      </w:r>
    </w:p>
    <w:bookmarkEnd w:id="3442"/>
    <w:bookmarkEnd w:id="3443"/>
    <w:bookmarkStart w:id="3446" w:name="Xf82624e437c5baa8dd4c3bf9317c761ba7eae9a"/>
    <w:p>
      <w:pPr>
        <w:pStyle w:val="Heading2"/>
      </w:pPr>
      <w:r>
        <w:t xml:space="preserve">Appendice B — Gli strumenti di misurazione degli esiti e il dataset minimo</w:t>
      </w:r>
    </w:p>
    <w:p>
      <w:pPr>
        <w:pStyle w:val="FirstParagraph"/>
      </w:pPr>
      <w:r>
        <w:t xml:space="preserve">Questa appendice definisce gli strumenti per la misurazione degli esiti clinici e il dataset minimo da rilevare per ogni accesso e per ogni percorso, che costituiscono la base del sistema informativo e del monitoraggio descritti nelle Parti C ed L.</w:t>
      </w:r>
    </w:p>
    <w:bookmarkStart w:id="3444" w:name="X6a8934de0c9c9d53a40113fbfec4945c07a6574"/>
    <w:p>
      <w:pPr>
        <w:pStyle w:val="Heading3"/>
      </w:pPr>
      <w:r>
        <w:t xml:space="preserve">B.1 Gli strumenti di misurazione degli esiti</w:t>
      </w:r>
    </w:p>
    <w:p>
      <w:pPr>
        <w:pStyle w:val="FirstParagraph"/>
      </w:pPr>
      <w:r>
        <w:t xml:space="preserve">La misurazione degli esiti clinici si fonda su strumenti standardizzati e validati, somministrati all’inizio e al termine della presa in carico, che consentono di documentare la riduzione della sintomatologia e di confrontare gli esiti in modo riproducibile. Per la sintomatologia depressiva e ansiosa, che costituisce la quota prevalente del disagio comune, sono disponibili strumenti brevi e validati di autovalutazione, di agevole somministrazione anche in contesti di cure primarie e compatibili con la rilevazione a distanza, requisito particolarmente rilevante in una regione in cui la telepsicologia è condizione di accessibilità. A questi si affiancano strumenti per la valutazione del funzionamento e della qualità della vita, che consentono di documentare l’effetto dell’intervento non solo sui sintomi ma anche sulla capacità della persona di funzionare nei contesti di vita. La scelta degli strumenti deve privilegiare la brevità, la validità, la sensibilità al cambiamento e la sostenibilità della somministrazione, e deve essere uniforme fra le cinque aziende sanitarie provinciali, così da consentire il confronto e l’aggregazione dei dati. L’uniformità degli strumenti con quelli adottati dalle altre regioni della serie consente inoltre il confronto interregionale.</w:t>
      </w:r>
    </w:p>
    <w:bookmarkEnd w:id="3444"/>
    <w:bookmarkStart w:id="3445" w:name="b.2-il-dataset-minimo-2"/>
    <w:p>
      <w:pPr>
        <w:pStyle w:val="Heading3"/>
      </w:pPr>
      <w:r>
        <w:t xml:space="preserve">B.2 Il dataset minimo</w:t>
      </w:r>
    </w:p>
    <w:p>
      <w:pPr>
        <w:pStyle w:val="FirstParagraph"/>
      </w:pPr>
      <w:r>
        <w:t xml:space="preserve">Il dataset minimo è l’insieme delle variabili da rilevare per ogni accesso e per ogni percorso, costruito in modo da essere sufficiente per la valutazione e sostenibile per gli operatori. Esso comprende le variabili anagrafiche e di contesto necessarie all’analisi dell’equità — l’età, il genere, la condizione sociale e occupazionale, il comune di residenza e la sua collocazione fra polo e area interna — rilevate nel rispetto della normativa sulla protezione dei dati; le variabili relative all’accesso — la modalità di accesso, diretta o su invio, e il soggetto inviante; le variabili relative al percorso — il tipo e il numero di prestazioni, la durata, l’uso della telepsicologia, l’esito del percorso e l’eventuale invio ai servizi specialistici; e le variabili relative agli esiti — i punteggi degli strumenti di misurazione all’inizio e al termine della presa in carico. La rilevazione di queste variabili, alimentando contestualmente la gestione e la valutazione, è la condizione perché il monitoraggio descritto nella Parte L sia possibile e perché le stime dello studio possano essere sostituite, nel tempo, da osservazioni dirette. In Calabria, dove il sistema di rilevazione dei dati sanitari ha conosciuto una fragilità storica, la costruzione di un dataset minimo rigoroso assume un valore che eccede il singolo servizio. La disaggregazione delle variabili per collocazione territoriale e per condizione sociale è essenziale per la verifica degli obiettivi di equità, che in Calabria costituiscono una delle ragioni principali dell’intervento.</w:t>
      </w:r>
    </w:p>
    <w:bookmarkEnd w:id="3445"/>
    <w:bookmarkEnd w:id="3446"/>
    <w:bookmarkStart w:id="3449" w:name="X888f4561f474f97818e757fa1d15d559d553fd7"/>
    <w:p>
      <w:pPr>
        <w:pStyle w:val="Heading2"/>
      </w:pPr>
      <w:r>
        <w:t xml:space="preserve">Appendice C — I dati regionali e i dati da acquisire</w:t>
      </w:r>
    </w:p>
    <w:p>
      <w:pPr>
        <w:pStyle w:val="FirstParagraph"/>
      </w:pPr>
      <w:r>
        <w:t xml:space="preserve">Questa appendice raccoglie i principali dati regionali utilizzati nello studio e indica i dati che dovrebbero essere acquisiti per sostituire le stime con misure dirette.</w:t>
      </w:r>
    </w:p>
    <w:bookmarkStart w:id="3447" w:name="c.1-i-dati-regionali-2"/>
    <w:p>
      <w:pPr>
        <w:pStyle w:val="Heading3"/>
      </w:pPr>
      <w:r>
        <w:t xml:space="preserve">C.1 I dati regionali</w:t>
      </w:r>
    </w:p>
    <w:tbl>
      <w:tblPr>
        <w:tblStyle w:val="Table"/>
        <w:tblW w:type="pct" w:w="496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01"/>
        <w:gridCol w:w="6156"/>
      </w:tblGrid>
      <w:tr>
        <w:trPr>
          <w:tblHeader w:val="on"/>
        </w:trPr>
        <w:tc>
          <w:tcPr>
            <w:shd w:val="clear" w:color="auto" w:fill="16264B"/>
          </w:tcPr>
          <w:p>
            <w:pPr>
              <w:pStyle w:val="Compact"/>
              <w:spacing w:after="40" w:before="40"/>
              <w:jc w:val="left"/>
            </w:pPr>
            <w:r>
              <w:rPr>
                <w:rFonts w:ascii="Cambria" w:hAnsi="Cambria" w:cs="Cambria" w:eastAsia="Cambria"/>
                <w:b/>
                <w:color w:val="FFFFFF"/>
                <w:sz w:val="18"/>
              </w:rPr>
              <w:t xml:space="preserve">Ambito</w:t>
            </w:r>
          </w:p>
        </w:tc>
        <w:tc>
          <w:tcPr>
            <w:shd w:val="clear" w:color="auto" w:fill="16264B"/>
          </w:tcPr>
          <w:p>
            <w:pPr>
              <w:pStyle w:val="Compact"/>
              <w:spacing w:after="40" w:before="40"/>
              <w:jc w:val="left"/>
            </w:pPr>
            <w:r>
              <w:rPr>
                <w:rFonts w:ascii="Cambria" w:hAnsi="Cambria" w:cs="Cambria" w:eastAsia="Cambria"/>
                <w:b/>
                <w:color w:val="FFFFFF"/>
                <w:sz w:val="18"/>
              </w:rPr>
              <w:t xml:space="preserve">Dato</w:t>
            </w:r>
          </w:p>
        </w:tc>
      </w:tr>
      <w:tr>
        <w:tc>
          <w:tcPr/>
          <w:p>
            <w:pPr>
              <w:pStyle w:val="Compact"/>
              <w:spacing w:after="40" w:before="40"/>
              <w:jc w:val="left"/>
            </w:pPr>
            <w:r>
              <w:rPr>
                <w:rFonts w:ascii="Cambria" w:hAnsi="Cambria" w:cs="Cambria" w:eastAsia="Cambria"/>
                <w:color w:val="1A1A1A"/>
                <w:sz w:val="18"/>
              </w:rPr>
              <w:t xml:space="preserve">Popolazione residente</w:t>
            </w:r>
          </w:p>
        </w:tc>
        <w:tc>
          <w:tcPr/>
          <w:p>
            <w:pPr>
              <w:pStyle w:val="Compact"/>
              <w:spacing w:after="40" w:before="40"/>
              <w:jc w:val="left"/>
            </w:pPr>
            <w:r>
              <w:rPr>
                <w:rFonts w:ascii="Cambria" w:hAnsi="Cambria" w:cs="Cambria" w:eastAsia="Cambria"/>
                <w:color w:val="1A1A1A"/>
                <w:sz w:val="18"/>
              </w:rPr>
              <w:t xml:space="preserve">1.834.646 abitanti (31 dicembre 2024), in calo dello 0,2%</w:t>
            </w:r>
          </w:p>
        </w:tc>
      </w:tr>
      <w:tr>
        <w:tc>
          <w:tcPr>
            <w:shd w:val="clear" w:color="auto" w:fill="F4F1EC"/>
          </w:tcPr>
          <w:p>
            <w:pPr>
              <w:pStyle w:val="Compact"/>
              <w:spacing w:after="40" w:before="40"/>
              <w:jc w:val="left"/>
            </w:pPr>
            <w:r>
              <w:rPr>
                <w:rFonts w:ascii="Cambria" w:hAnsi="Cambria" w:cs="Cambria" w:eastAsia="Cambria"/>
                <w:color w:val="1A1A1A"/>
                <w:sz w:val="18"/>
              </w:rPr>
              <w:t xml:space="preserve">Età media</w:t>
            </w:r>
          </w:p>
        </w:tc>
        <w:tc>
          <w:tcPr>
            <w:shd w:val="clear" w:color="auto" w:fill="F4F1EC"/>
          </w:tcPr>
          <w:p>
            <w:pPr>
              <w:pStyle w:val="Compact"/>
              <w:spacing w:after="40" w:before="40"/>
              <w:jc w:val="left"/>
            </w:pPr>
            <w:r>
              <w:rPr>
                <w:rFonts w:ascii="Cambria" w:hAnsi="Cambria" w:cs="Cambria" w:eastAsia="Cambria"/>
                <w:color w:val="1A1A1A"/>
                <w:sz w:val="18"/>
              </w:rPr>
              <w:t xml:space="preserve">46,2 anni (inferiore alla media nazionale)</w:t>
            </w:r>
          </w:p>
        </w:tc>
      </w:tr>
      <w:tr>
        <w:tc>
          <w:tcPr/>
          <w:p>
            <w:pPr>
              <w:pStyle w:val="Compact"/>
              <w:spacing w:after="40" w:before="40"/>
              <w:jc w:val="left"/>
            </w:pPr>
            <w:r>
              <w:rPr>
                <w:rFonts w:ascii="Cambria" w:hAnsi="Cambria" w:cs="Cambria" w:eastAsia="Cambria"/>
                <w:color w:val="1A1A1A"/>
                <w:sz w:val="18"/>
              </w:rPr>
              <w:t xml:space="preserve">Indice di vecchiaia</w:t>
            </w:r>
          </w:p>
        </w:tc>
        <w:tc>
          <w:tcPr/>
          <w:p>
            <w:pPr>
              <w:pStyle w:val="Compact"/>
              <w:spacing w:after="40" w:before="40"/>
              <w:jc w:val="left"/>
            </w:pPr>
            <w:r>
              <w:rPr>
                <w:rFonts w:ascii="Cambria" w:hAnsi="Cambria" w:cs="Cambria" w:eastAsia="Cambria"/>
                <w:color w:val="1A1A1A"/>
                <w:sz w:val="18"/>
              </w:rPr>
              <w:t xml:space="preserve">~196,7, in crescita</w:t>
            </w:r>
          </w:p>
        </w:tc>
      </w:tr>
      <w:tr>
        <w:tc>
          <w:tcPr>
            <w:shd w:val="clear" w:color="auto" w:fill="F4F1EC"/>
          </w:tcPr>
          <w:p>
            <w:pPr>
              <w:pStyle w:val="Compact"/>
              <w:spacing w:after="40" w:before="40"/>
              <w:jc w:val="left"/>
            </w:pPr>
            <w:r>
              <w:rPr>
                <w:rFonts w:ascii="Cambria" w:hAnsi="Cambria" w:cs="Cambria" w:eastAsia="Cambria"/>
                <w:color w:val="1A1A1A"/>
                <w:sz w:val="18"/>
              </w:rPr>
              <w:t xml:space="preserve">Popolazione straniera</w:t>
            </w:r>
          </w:p>
        </w:tc>
        <w:tc>
          <w:tcPr>
            <w:shd w:val="clear" w:color="auto" w:fill="F4F1EC"/>
          </w:tcPr>
          <w:p>
            <w:pPr>
              <w:pStyle w:val="Compact"/>
              <w:spacing w:after="40" w:before="40"/>
              <w:jc w:val="left"/>
            </w:pPr>
            <w:r>
              <w:rPr>
                <w:rFonts w:ascii="Cambria" w:hAnsi="Cambria" w:cs="Cambria" w:eastAsia="Cambria"/>
                <w:color w:val="1A1A1A"/>
                <w:sz w:val="18"/>
              </w:rPr>
              <w:t xml:space="preserve">105.439 (5,7% della popolazione)</w:t>
            </w:r>
          </w:p>
        </w:tc>
      </w:tr>
      <w:tr>
        <w:tc>
          <w:tcPr/>
          <w:p>
            <w:pPr>
              <w:pStyle w:val="Compact"/>
              <w:spacing w:after="40" w:before="40"/>
              <w:jc w:val="left"/>
            </w:pPr>
            <w:r>
              <w:rPr>
                <w:rFonts w:ascii="Cambria" w:hAnsi="Cambria" w:cs="Cambria" w:eastAsia="Cambria"/>
                <w:color w:val="1A1A1A"/>
                <w:sz w:val="18"/>
              </w:rPr>
              <w:t xml:space="preserve">Comuni</w:t>
            </w:r>
          </w:p>
        </w:tc>
        <w:tc>
          <w:tcPr/>
          <w:p>
            <w:pPr>
              <w:pStyle w:val="Compact"/>
              <w:spacing w:after="40" w:before="40"/>
              <w:jc w:val="left"/>
            </w:pPr>
            <w:r>
              <w:rPr>
                <w:rFonts w:ascii="Cambria" w:hAnsi="Cambria" w:cs="Cambria" w:eastAsia="Cambria"/>
                <w:color w:val="1A1A1A"/>
                <w:sz w:val="18"/>
              </w:rPr>
              <w:t xml:space="preserve">404</w:t>
            </w:r>
          </w:p>
        </w:tc>
      </w:tr>
      <w:tr>
        <w:tc>
          <w:tcPr>
            <w:shd w:val="clear" w:color="auto" w:fill="F4F1EC"/>
          </w:tcPr>
          <w:p>
            <w:pPr>
              <w:pStyle w:val="Compact"/>
              <w:spacing w:after="40" w:before="40"/>
              <w:jc w:val="left"/>
            </w:pPr>
            <w:r>
              <w:rPr>
                <w:rFonts w:ascii="Cambria" w:hAnsi="Cambria" w:cs="Cambria" w:eastAsia="Cambria"/>
                <w:color w:val="1A1A1A"/>
                <w:sz w:val="18"/>
              </w:rPr>
              <w:t xml:space="preserve">Province</w:t>
            </w:r>
          </w:p>
        </w:tc>
        <w:tc>
          <w:tcPr>
            <w:shd w:val="clear" w:color="auto" w:fill="F4F1EC"/>
          </w:tcPr>
          <w:p>
            <w:pPr>
              <w:pStyle w:val="Compact"/>
              <w:spacing w:after="40" w:before="40"/>
              <w:jc w:val="left"/>
            </w:pPr>
            <w:r>
              <w:rPr>
                <w:rFonts w:ascii="Cambria" w:hAnsi="Cambria" w:cs="Cambria" w:eastAsia="Cambria"/>
                <w:color w:val="1A1A1A"/>
                <w:sz w:val="18"/>
              </w:rPr>
              <w:t xml:space="preserve">Cosenza (36,4%), Reggio Calabria (28,1%), Catanzaro (18,5%), Crotone e Vibo Valentia (~17%)</w:t>
            </w:r>
          </w:p>
        </w:tc>
      </w:tr>
      <w:tr>
        <w:tc>
          <w:tcPr/>
          <w:p>
            <w:pPr>
              <w:pStyle w:val="Compact"/>
              <w:spacing w:after="40" w:before="40"/>
              <w:jc w:val="left"/>
            </w:pPr>
            <w:r>
              <w:rPr>
                <w:rFonts w:ascii="Cambria" w:hAnsi="Cambria" w:cs="Cambria" w:eastAsia="Cambria"/>
                <w:color w:val="1A1A1A"/>
                <w:sz w:val="18"/>
              </w:rPr>
              <w:t xml:space="preserve">Natalità (2024)</w:t>
            </w:r>
          </w:p>
        </w:tc>
        <w:tc>
          <w:tcPr/>
          <w:p>
            <w:pPr>
              <w:pStyle w:val="Compact"/>
              <w:spacing w:after="40" w:before="40"/>
              <w:jc w:val="left"/>
            </w:pPr>
            <w:r>
              <w:rPr>
                <w:rFonts w:ascii="Cambria" w:hAnsi="Cambria" w:cs="Cambria" w:eastAsia="Cambria"/>
                <w:color w:val="1A1A1A"/>
                <w:sz w:val="18"/>
              </w:rPr>
              <w:t xml:space="preserve">12.679 nati (minimo storico); tasso di mortalità 11,3 per mille</w:t>
            </w:r>
          </w:p>
        </w:tc>
      </w:tr>
      <w:tr>
        <w:tc>
          <w:tcPr>
            <w:shd w:val="clear" w:color="auto" w:fill="F4F1EC"/>
          </w:tcPr>
          <w:p>
            <w:pPr>
              <w:pStyle w:val="Compact"/>
              <w:spacing w:after="40" w:before="40"/>
              <w:jc w:val="left"/>
            </w:pPr>
            <w:r>
              <w:rPr>
                <w:rFonts w:ascii="Cambria" w:hAnsi="Cambria" w:cs="Cambria" w:eastAsia="Cambria"/>
                <w:color w:val="1A1A1A"/>
                <w:sz w:val="18"/>
              </w:rPr>
              <w:t xml:space="preserve">Migrazione interna</w:t>
            </w:r>
          </w:p>
        </w:tc>
        <w:tc>
          <w:tcPr>
            <w:shd w:val="clear" w:color="auto" w:fill="F4F1EC"/>
          </w:tcPr>
          <w:p>
            <w:pPr>
              <w:pStyle w:val="Compact"/>
              <w:spacing w:after="40" w:before="40"/>
              <w:jc w:val="left"/>
            </w:pPr>
            <w:r>
              <w:rPr>
                <w:rFonts w:ascii="Cambria" w:hAnsi="Cambria" w:cs="Cambria" w:eastAsia="Cambria"/>
                <w:color w:val="1A1A1A"/>
                <w:sz w:val="18"/>
              </w:rPr>
              <w:t xml:space="preserve">saldo fortemente negativo (~ −5,4 per mille), fra i peggiori d’Italia</w:t>
            </w:r>
          </w:p>
        </w:tc>
      </w:tr>
      <w:tr>
        <w:tc>
          <w:tcPr/>
          <w:p>
            <w:pPr>
              <w:pStyle w:val="Compact"/>
              <w:spacing w:after="40" w:before="40"/>
              <w:jc w:val="left"/>
            </w:pPr>
            <w:r>
              <w:rPr>
                <w:rFonts w:ascii="Cambria" w:hAnsi="Cambria" w:cs="Cambria" w:eastAsia="Cambria"/>
                <w:color w:val="1A1A1A"/>
                <w:sz w:val="18"/>
              </w:rPr>
              <w:t xml:space="preserve">Disagio psichico (Ministero della Salute)</w:t>
            </w:r>
          </w:p>
        </w:tc>
        <w:tc>
          <w:tcPr/>
          <w:p>
            <w:pPr>
              <w:pStyle w:val="Compact"/>
              <w:spacing w:after="40" w:before="40"/>
              <w:jc w:val="left"/>
            </w:pPr>
            <w:r>
              <w:rPr>
                <w:rFonts w:ascii="Cambria" w:hAnsi="Cambria" w:cs="Cambria" w:eastAsia="Cambria"/>
                <w:color w:val="1A1A1A"/>
                <w:sz w:val="18"/>
              </w:rPr>
              <w:t xml:space="preserve">~470.000 persone con disturbo o condizione sottosoglia (20–25%)</w:t>
            </w:r>
          </w:p>
        </w:tc>
      </w:tr>
      <w:tr>
        <w:tc>
          <w:tcPr>
            <w:shd w:val="clear" w:color="auto" w:fill="F4F1EC"/>
          </w:tcPr>
          <w:p>
            <w:pPr>
              <w:pStyle w:val="Compact"/>
              <w:spacing w:after="40" w:before="40"/>
              <w:jc w:val="left"/>
            </w:pPr>
            <w:r>
              <w:rPr>
                <w:rFonts w:ascii="Cambria" w:hAnsi="Cambria" w:cs="Cambria" w:eastAsia="Cambria"/>
                <w:color w:val="1A1A1A"/>
                <w:sz w:val="18"/>
              </w:rPr>
              <w:t xml:space="preserve">Disagio comune (base prudenziale di studio)</w:t>
            </w:r>
          </w:p>
        </w:tc>
        <w:tc>
          <w:tcPr>
            <w:shd w:val="clear" w:color="auto" w:fill="F4F1EC"/>
          </w:tcPr>
          <w:p>
            <w:pPr>
              <w:pStyle w:val="Compact"/>
              <w:spacing w:after="40" w:before="40"/>
              <w:jc w:val="left"/>
            </w:pPr>
            <w:r>
              <w:rPr>
                <w:rFonts w:ascii="Cambria" w:hAnsi="Cambria" w:cs="Cambria" w:eastAsia="Cambria"/>
                <w:color w:val="1A1A1A"/>
                <w:sz w:val="18"/>
              </w:rPr>
              <w:t xml:space="preserve">~367.000 persone/anno</w:t>
            </w:r>
          </w:p>
        </w:tc>
      </w:tr>
      <w:tr>
        <w:tc>
          <w:tcPr/>
          <w:p>
            <w:pPr>
              <w:pStyle w:val="Compact"/>
              <w:spacing w:after="40" w:before="40"/>
              <w:jc w:val="left"/>
            </w:pPr>
            <w:r>
              <w:rPr>
                <w:rFonts w:ascii="Cambria" w:hAnsi="Cambria" w:cs="Cambria" w:eastAsia="Cambria"/>
                <w:color w:val="1A1A1A"/>
                <w:sz w:val="18"/>
              </w:rPr>
              <w:t xml:space="preserve">In carico ai Dipartimenti di Salute Mentale (2023)</w:t>
            </w:r>
          </w:p>
        </w:tc>
        <w:tc>
          <w:tcPr/>
          <w:p>
            <w:pPr>
              <w:pStyle w:val="Compact"/>
              <w:spacing w:after="40" w:before="40"/>
              <w:jc w:val="left"/>
            </w:pPr>
            <w:r>
              <w:rPr>
                <w:rFonts w:ascii="Cambria" w:hAnsi="Cambria" w:cs="Cambria" w:eastAsia="Cambria"/>
                <w:color w:val="1A1A1A"/>
                <w:sz w:val="18"/>
              </w:rPr>
              <w:t xml:space="preserve">17.636 persone</w:t>
            </w:r>
          </w:p>
        </w:tc>
      </w:tr>
      <w:tr>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per problemi psichiatrici</w:t>
            </w:r>
          </w:p>
        </w:tc>
        <w:tc>
          <w:tcPr>
            <w:shd w:val="clear" w:color="auto" w:fill="F4F1EC"/>
          </w:tcPr>
          <w:p>
            <w:pPr>
              <w:pStyle w:val="Compact"/>
              <w:spacing w:after="40" w:before="40"/>
              <w:jc w:val="left"/>
            </w:pPr>
            <w:r>
              <w:rPr>
                <w:rFonts w:ascii="Cambria" w:hAnsi="Cambria" w:cs="Cambria" w:eastAsia="Cambria"/>
                <w:color w:val="1A1A1A"/>
                <w:sz w:val="18"/>
              </w:rPr>
              <w:t xml:space="preserve">~15.400 l’anno (oltre 40 al giorno)</w:t>
            </w:r>
          </w:p>
        </w:tc>
      </w:tr>
      <w:tr>
        <w:tc>
          <w:tcPr/>
          <w:p>
            <w:pPr>
              <w:pStyle w:val="Compact"/>
              <w:spacing w:after="40" w:before="40"/>
              <w:jc w:val="left"/>
            </w:pPr>
            <w:r>
              <w:rPr>
                <w:rFonts w:ascii="Cambria" w:hAnsi="Cambria" w:cs="Cambria" w:eastAsia="Cambria"/>
                <w:color w:val="1A1A1A"/>
                <w:sz w:val="18"/>
              </w:rPr>
              <w:t xml:space="preserve">Rete dei servizi di salute mentale</w:t>
            </w:r>
          </w:p>
        </w:tc>
        <w:tc>
          <w:tcPr/>
          <w:p>
            <w:pPr>
              <w:pStyle w:val="Compact"/>
              <w:spacing w:after="40" w:before="40"/>
              <w:jc w:val="left"/>
            </w:pPr>
            <w:r>
              <w:rPr>
                <w:rFonts w:ascii="Cambria" w:hAnsi="Cambria" w:cs="Cambria" w:eastAsia="Cambria"/>
                <w:color w:val="1A1A1A"/>
                <w:sz w:val="18"/>
              </w:rPr>
              <w:t xml:space="preserve">5 DSM, 43 centri territoriali, 22 strutture residenziali, 5 semiresidenziali</w:t>
            </w:r>
          </w:p>
        </w:tc>
      </w:tr>
      <w:tr>
        <w:tc>
          <w:tcPr>
            <w:shd w:val="clear" w:color="auto" w:fill="F4F1EC"/>
          </w:tcPr>
          <w:p>
            <w:pPr>
              <w:pStyle w:val="Compact"/>
              <w:spacing w:after="40" w:before="40"/>
              <w:jc w:val="left"/>
            </w:pPr>
            <w:r>
              <w:rPr>
                <w:rFonts w:ascii="Cambria" w:hAnsi="Cambria" w:cs="Cambria" w:eastAsia="Cambria"/>
                <w:color w:val="1A1A1A"/>
                <w:sz w:val="18"/>
              </w:rPr>
              <w:t xml:space="preserve">Aziende del Servizio Sanitario Regionale</w:t>
            </w:r>
          </w:p>
        </w:tc>
        <w:tc>
          <w:tcPr>
            <w:shd w:val="clear" w:color="auto" w:fill="F4F1EC"/>
          </w:tcPr>
          <w:p>
            <w:pPr>
              <w:pStyle w:val="Compact"/>
              <w:spacing w:after="40" w:before="40"/>
              <w:jc w:val="left"/>
            </w:pPr>
            <w:r>
              <w:rPr>
                <w:rFonts w:ascii="Cambria" w:hAnsi="Cambria" w:cs="Cambria" w:eastAsia="Cambria"/>
                <w:color w:val="1A1A1A"/>
                <w:sz w:val="18"/>
              </w:rPr>
              <w:t xml:space="preserve">5 ASP (Cosenza, Reggio Calabria, Catanzaro, Crotone, Vibo Valentia); AO Annunziata (Cosenza), Grande Ospedale Metropolitano (Reggio Calabria), Pugliese-Ciaccio e Dulbecco (Catanzaro); Azienda Zero</w:t>
            </w:r>
          </w:p>
        </w:tc>
      </w:tr>
      <w:tr>
        <w:tc>
          <w:tcPr/>
          <w:p>
            <w:pPr>
              <w:pStyle w:val="Compact"/>
              <w:spacing w:after="40" w:before="40"/>
              <w:jc w:val="left"/>
            </w:pPr>
            <w:r>
              <w:rPr>
                <w:rFonts w:ascii="Cambria" w:hAnsi="Cambria" w:cs="Cambria" w:eastAsia="Cambria"/>
                <w:color w:val="1A1A1A"/>
                <w:sz w:val="18"/>
              </w:rPr>
              <w:t xml:space="preserve">Fondo sanitario regionale</w:t>
            </w:r>
          </w:p>
        </w:tc>
        <w:tc>
          <w:tcPr/>
          <w:p>
            <w:pPr>
              <w:pStyle w:val="Compact"/>
              <w:spacing w:after="40" w:before="40"/>
              <w:jc w:val="left"/>
            </w:pPr>
            <w:r>
              <w:rPr>
                <w:rFonts w:ascii="Cambria" w:hAnsi="Cambria" w:cs="Cambria" w:eastAsia="Cambria"/>
                <w:color w:val="1A1A1A"/>
                <w:sz w:val="18"/>
              </w:rPr>
              <w:t xml:space="preserve">~4,4 miliardi di euro</w:t>
            </w:r>
          </w:p>
        </w:tc>
      </w:tr>
      <w:tr>
        <w:tc>
          <w:tcPr>
            <w:shd w:val="clear" w:color="auto" w:fill="F4F1EC"/>
          </w:tcPr>
          <w:p>
            <w:pPr>
              <w:pStyle w:val="Compact"/>
              <w:spacing w:after="40" w:before="40"/>
              <w:jc w:val="left"/>
            </w:pPr>
            <w:r>
              <w:rPr>
                <w:rFonts w:ascii="Cambria" w:hAnsi="Cambria" w:cs="Cambria" w:eastAsia="Cambria"/>
                <w:color w:val="1A1A1A"/>
                <w:sz w:val="18"/>
              </w:rPr>
              <w:t xml:space="preserve">Posizione finanziaria</w:t>
            </w:r>
          </w:p>
        </w:tc>
        <w:tc>
          <w:tcPr>
            <w:shd w:val="clear" w:color="auto" w:fill="F4F1EC"/>
          </w:tcPr>
          <w:p>
            <w:pPr>
              <w:pStyle w:val="Compact"/>
              <w:spacing w:after="40" w:before="40"/>
              <w:jc w:val="left"/>
            </w:pPr>
            <w:r>
              <w:rPr>
                <w:rFonts w:ascii="Cambria" w:hAnsi="Cambria" w:cs="Cambria" w:eastAsia="Cambria"/>
                <w:color w:val="1A1A1A"/>
                <w:sz w:val="18"/>
              </w:rPr>
              <w:t xml:space="preserve">piano di rientro e commissariamento (17 anni); uscita deliberata nell’aprile 2026, in attesa di efficacia</w:t>
            </w:r>
          </w:p>
        </w:tc>
      </w:tr>
      <w:tr>
        <w:tc>
          <w:tcPr/>
          <w:p>
            <w:pPr>
              <w:pStyle w:val="Compact"/>
              <w:spacing w:after="40" w:before="40"/>
              <w:jc w:val="left"/>
            </w:pPr>
            <w:r>
              <w:rPr>
                <w:rFonts w:ascii="Cambria" w:hAnsi="Cambria" w:cs="Cambria" w:eastAsia="Cambria"/>
                <w:color w:val="1A1A1A"/>
                <w:sz w:val="18"/>
              </w:rPr>
              <w:t xml:space="preserve">Livelli essenziali di assistenza</w:t>
            </w:r>
          </w:p>
        </w:tc>
        <w:tc>
          <w:tcPr/>
          <w:p>
            <w:pPr>
              <w:pStyle w:val="Compact"/>
              <w:spacing w:after="40" w:before="40"/>
              <w:jc w:val="left"/>
            </w:pPr>
            <w:r>
              <w:rPr>
                <w:rFonts w:ascii="Cambria" w:hAnsi="Cambria" w:cs="Cambria" w:eastAsia="Cambria"/>
                <w:color w:val="1A1A1A"/>
                <w:sz w:val="18"/>
              </w:rPr>
              <w:t xml:space="preserve">inadempiente, punteggio ~125 (in peggioramento)</w:t>
            </w:r>
          </w:p>
        </w:tc>
      </w:tr>
      <w:tr>
        <w:tc>
          <w:tcPr>
            <w:shd w:val="clear" w:color="auto" w:fill="F4F1EC"/>
          </w:tcPr>
          <w:p>
            <w:pPr>
              <w:pStyle w:val="Compact"/>
              <w:spacing w:after="40" w:before="40"/>
              <w:jc w:val="left"/>
            </w:pPr>
            <w:r>
              <w:rPr>
                <w:rFonts w:ascii="Cambria" w:hAnsi="Cambria" w:cs="Cambria" w:eastAsia="Cambria"/>
                <w:color w:val="1A1A1A"/>
                <w:sz w:val="18"/>
              </w:rPr>
              <w:t xml:space="preserve">Mobilità sanitaria — saldo passivo (2023)</w:t>
            </w:r>
          </w:p>
        </w:tc>
        <w:tc>
          <w:tcPr>
            <w:shd w:val="clear" w:color="auto" w:fill="F4F1EC"/>
          </w:tcPr>
          <w:p>
            <w:pPr>
              <w:pStyle w:val="Compact"/>
              <w:spacing w:after="40" w:before="40"/>
              <w:jc w:val="left"/>
            </w:pPr>
            <w:r>
              <w:rPr>
                <w:rFonts w:ascii="Cambria" w:hAnsi="Cambria" w:cs="Cambria" w:eastAsia="Cambria"/>
                <w:color w:val="1A1A1A"/>
                <w:sz w:val="18"/>
              </w:rPr>
              <w:t xml:space="preserve">−326,9 mln, il più elevato d’Italia (debiti 362,4 mln; ~ −178 €/residente)</w:t>
            </w:r>
          </w:p>
        </w:tc>
      </w:tr>
      <w:tr>
        <w:tc>
          <w:tcPr/>
          <w:p>
            <w:pPr>
              <w:pStyle w:val="Compact"/>
              <w:spacing w:after="40" w:before="40"/>
              <w:jc w:val="left"/>
            </w:pPr>
            <w:r>
              <w:rPr>
                <w:rFonts w:ascii="Cambria" w:hAnsi="Cambria" w:cs="Cambria" w:eastAsia="Cambria"/>
                <w:color w:val="1A1A1A"/>
                <w:sz w:val="18"/>
              </w:rPr>
              <w:t xml:space="preserve">Spesa per la salute mentale</w:t>
            </w:r>
          </w:p>
        </w:tc>
        <w:tc>
          <w:tcPr/>
          <w:p>
            <w:pPr>
              <w:pStyle w:val="Compact"/>
              <w:spacing w:after="40" w:before="40"/>
              <w:jc w:val="left"/>
            </w:pPr>
            <w:r>
              <w:rPr>
                <w:rFonts w:ascii="Cambria" w:hAnsi="Cambria" w:cs="Cambria" w:eastAsia="Cambria"/>
                <w:color w:val="1A1A1A"/>
                <w:sz w:val="18"/>
              </w:rPr>
              <w:t xml:space="preserve">inferiore al 2,5% del fondo sanitario regionale</w:t>
            </w:r>
          </w:p>
        </w:tc>
      </w:tr>
      <w:tr>
        <w:tc>
          <w:tcPr>
            <w:shd w:val="clear" w:color="auto" w:fill="F4F1EC"/>
          </w:tcPr>
          <w:p>
            <w:pPr>
              <w:pStyle w:val="Compact"/>
              <w:spacing w:after="40" w:before="40"/>
              <w:jc w:val="left"/>
            </w:pPr>
            <w:r>
              <w:rPr>
                <w:rFonts w:ascii="Cambria" w:hAnsi="Cambria" w:cs="Cambria" w:eastAsia="Cambria"/>
                <w:color w:val="1A1A1A"/>
                <w:sz w:val="18"/>
              </w:rPr>
              <w:t xml:space="preserve">Servizio di psicologia di base</w:t>
            </w:r>
          </w:p>
        </w:tc>
        <w:tc>
          <w:tcPr>
            <w:shd w:val="clear" w:color="auto" w:fill="F4F1EC"/>
          </w:tcPr>
          <w:p>
            <w:pPr>
              <w:pStyle w:val="Compact"/>
              <w:spacing w:after="40" w:before="40"/>
              <w:jc w:val="left"/>
            </w:pPr>
            <w:r>
              <w:rPr>
                <w:rFonts w:ascii="Cambria" w:hAnsi="Cambria" w:cs="Cambria" w:eastAsia="Cambria"/>
                <w:color w:val="1A1A1A"/>
                <w:sz w:val="18"/>
              </w:rPr>
              <w:t xml:space="preserve">avviato con delibera di Giunta (aprile 2026), sperimentale, ~40 psicologi, fondi FSE+; proposta di legge in commissione</w:t>
            </w:r>
          </w:p>
        </w:tc>
      </w:tr>
    </w:tbl>
    <w:p>
      <w:pPr>
        <w:pStyle w:val="BodyText"/>
      </w:pPr>
      <w:r>
        <w:rPr>
          <w:i/>
          <w:iCs/>
        </w:rPr>
        <w:t xml:space="preserve">Tabella C.1. Principali dati regionali utilizzati nello studio. Le fonti sono indicate nelle parti corrispondenti.</w:t>
      </w:r>
    </w:p>
    <w:bookmarkEnd w:id="3447"/>
    <w:bookmarkStart w:id="3448" w:name="c.2-i-dati-da-acquisire-2"/>
    <w:p>
      <w:pPr>
        <w:pStyle w:val="Heading3"/>
      </w:pPr>
      <w:r>
        <w:t xml:space="preserve">C.2 I dati da acquisire</w:t>
      </w:r>
    </w:p>
    <w:p>
      <w:pPr>
        <w:pStyle w:val="FirstParagraph"/>
      </w:pPr>
      <w:r>
        <w:t xml:space="preserve">Lo studio, in assenza di rilevazioni regionali dirette consolidate — una carenza che in Calabria è resa più acuta dalla storica difficoltà di tenuta e di approvazione dei bilanci delle aziende sanitarie — ricorre per alcune grandezze a stime prudenziali e a parametri derivati dalla letteratura e dal confronto interregionale. I dati la cui acquisizione consentirebbe di sostituire tali stime con misure dirette, e il cui valore informativo è pertanto maggiore, sono: la prevalenza regionale diretta del disagio psichico comune, oggi stimata su prevalenze nazionali; la quota di domanda effettivamente inevasa e la sua distribuzione territoriale e sociale; la quota di mobilità sanitaria passiva riconducibile, a monte, a condizioni di disagio psichico non intercettato, su cui grava la maggiore incertezza e da cui dipende la quota più rilevante dei risparmi diretti; i consumi sanitari effettivi associati al disagio comune nel contesto regionale, per ciascun canale; e gli esiti clinici ed economici effettivamente prodotti dal servizio una volta avviato. L’acquisizione di questi dati è resa possibile dal sistema informativo descritto nella Parte C e dal piano di monitoraggio descritto nella Parte L, e costituisce il programma di conoscenza progressiva che accompagna il dispiegamento del servizio. La rilevazione di una linea di base, prima del consolidamento strutturale del servizio, è la condizione perché la valutazione dell’impatto sia possibile, e contribuisce al più ampio rafforzamento della capacità di rilevazione del sistema sanitario regionale.</w:t>
      </w:r>
    </w:p>
    <w:bookmarkEnd w:id="3448"/>
    <w:bookmarkEnd w:id="3449"/>
    <w:bookmarkStart w:id="3450" w:name="X9ad6eed3000ca5d5af3404cf6ad0b07468b3218"/>
    <w:p>
      <w:pPr>
        <w:pStyle w:val="Heading2"/>
      </w:pPr>
      <w:r>
        <w:t xml:space="preserve">Appendice D — La lista di controllo per la rendicontazione</w:t>
      </w:r>
    </w:p>
    <w:p>
      <w:pPr>
        <w:pStyle w:val="FirstParagraph"/>
      </w:pPr>
      <w:r>
        <w:t xml:space="preserve">Questa appendice fornisce la lista di controllo per la rendicontazione della valutazione economica, costruita secondo lo standard CHEERS del 2022, che elenca gli elementi che una valutazione economica sanitaria deve riportare per essere completa, trasparente e riproducibile. La lista consente di verificare la completezza dello studio e ne agevola la valutazione critica.</w:t>
      </w:r>
    </w:p>
    <w:p>
      <w:pPr>
        <w:pStyle w:val="BodyText"/>
      </w:pPr>
      <w:r>
        <w:t xml:space="preserve">Gli elementi della rendicontazione comprendono: il titolo e l’abstract, che identificano lo studio come valutazione economica; l’introduzione, che definisce l’obiettivo e il quesito; i metodi, che specificano la popolazione e i sottogruppi, il contesto e la collocazione, la prospettiva, il comparatore, l’orizzonte temporale, il tasso di sconto, gli esiti di salute selezionati, la misurazione dell’efficacia, la misurazione e la valorizzazione degli esiti, la stima delle risorse e dei costi, la valuta e l’anno di riferimento, il modello adottato, le assunzioni e i metodi di analisi dell’incertezza; i risultati, che riportano i parametri e le fonti, i costi e gli esiti incrementali, l’analisi dell’incertezza e l’analisi dei sottogruppi; la discussione, che esamina i risultati, i limiti, la generalizzabilità e il confronto con altri studi; e le informazioni su finanziamento, conflitti di interesse e disponibilità dei dati. Lo studio è costruito in modo da soddisfare questi elementi: la Parte A definisce obiettivo, quesito, prospettiva, comparatore e orizzonte; la Parte E sviluppa costi, esiti e analisi economica; la Parte F sviluppa il modello e l’analisi dell’incertezza; le Parti G ed L trattano i sottogruppi e il monitoraggio; e la presente appendice raccoglie i parametri e il quadro consolidato. L’aderenza allo standard di rendicontazione è una garanzia di trasparenza e di confrontabilità con le valutazioni condotte in altri contesti.</w:t>
      </w:r>
    </w:p>
    <w:bookmarkEnd w:id="3450"/>
    <w:bookmarkStart w:id="3452" w:name="appendice-e-il-glossario-2"/>
    <w:p>
      <w:pPr>
        <w:pStyle w:val="Heading2"/>
      </w:pPr>
      <w:r>
        <w:t xml:space="preserve">Appendice E — Il glossario</w:t>
      </w:r>
    </w:p>
    <w:p>
      <w:pPr>
        <w:pStyle w:val="FirstParagraph"/>
      </w:pPr>
      <w:r>
        <w:t xml:space="preserve">Questa appendice raccoglie le definizioni dei principali termini tecnici utilizzati nello studio, così da renderne il contenuto accessibile anche ai lettori non specialisti.</w:t>
      </w:r>
    </w:p>
    <w:p>
      <w:pPr>
        <w:pStyle w:val="BodyText"/>
      </w:pPr>
      <w:r>
        <w:rPr>
          <w:b/>
          <w:bCs/>
        </w:rPr>
        <w:t xml:space="preserve">Anni di vita ponderati per la qualità (QALY).</w:t>
      </w:r>
      <w:r>
        <w:t xml:space="preserve"> </w:t>
      </w:r>
      <w:r>
        <w:t xml:space="preserve">Misura che combina la durata e la qualità della vita in un’unica grandezza, utilizzata per esprimere il beneficio di salute di un intervento.</w:t>
      </w:r>
    </w:p>
    <w:p>
      <w:pPr>
        <w:pStyle w:val="BodyText"/>
      </w:pPr>
      <w:r>
        <w:rPr>
          <w:b/>
          <w:bCs/>
        </w:rPr>
        <w:t xml:space="preserve">Analisi di sensibilità.</w:t>
      </w:r>
      <w:r>
        <w:t xml:space="preserve"> </w:t>
      </w:r>
      <w:r>
        <w:t xml:space="preserve">Procedura che verifica come i risultati di un modello varino al variare dei suoi parametri, distinguendosi in deterministica, quando si fa variare un parametro alla volta, e probabilistica, quando si fanno variare simultaneamente tutti i parametri.</w:t>
      </w:r>
    </w:p>
    <w:p>
      <w:pPr>
        <w:pStyle w:val="BodyText"/>
      </w:pPr>
      <w:r>
        <w:rPr>
          <w:b/>
          <w:bCs/>
        </w:rPr>
        <w:t xml:space="preserve">Azienda Zero.</w:t>
      </w:r>
      <w:r>
        <w:t xml:space="preserve"> </w:t>
      </w:r>
      <w:r>
        <w:t xml:space="preserve">Ente del sistema sanitario regionale con funzioni centralizzate, fra cui il reclutamento delle risorse umane e la gestione di funzioni comuni alle aziende sanitarie.</w:t>
      </w:r>
    </w:p>
    <w:p>
      <w:pPr>
        <w:pStyle w:val="BodyText"/>
      </w:pPr>
      <w:r>
        <w:rPr>
          <w:b/>
          <w:bCs/>
        </w:rPr>
        <w:t xml:space="preserve">Caso economico.</w:t>
      </w:r>
      <w:r>
        <w:t xml:space="preserve"> </w:t>
      </w:r>
      <w:r>
        <w:t xml:space="preserve">Prospettiva di valutazione che considera il valore generato per la collettività, comprensivo dei risparmi diretti e delle ricadute sociali.</w:t>
      </w:r>
    </w:p>
    <w:p>
      <w:pPr>
        <w:pStyle w:val="BodyText"/>
      </w:pPr>
      <w:r>
        <w:rPr>
          <w:b/>
          <w:bCs/>
        </w:rPr>
        <w:t xml:space="preserve">Caso finanziario.</w:t>
      </w:r>
      <w:r>
        <w:t xml:space="preserve"> </w:t>
      </w:r>
      <w:r>
        <w:t xml:space="preserve">Prospettiva di valutazione che considera il solo bilancio sanitario, mettendo a confronto il costo dell’intervento con i risparmi diretti.</w:t>
      </w:r>
    </w:p>
    <w:p>
      <w:pPr>
        <w:pStyle w:val="BodyText"/>
      </w:pPr>
      <w:r>
        <w:rPr>
          <w:b/>
          <w:bCs/>
        </w:rPr>
        <w:t xml:space="preserve">Clausola valutativa.</w:t>
      </w:r>
      <w:r>
        <w:t xml:space="preserve"> </w:t>
      </w:r>
      <w:r>
        <w:t xml:space="preserve">Disposizione di legge che prevede l’obbligo di valutare periodicamente l’attuazione e gli esiti di un intervento e di riferirne agli organi di governo.</w:t>
      </w:r>
    </w:p>
    <w:p>
      <w:pPr>
        <w:pStyle w:val="BodyText"/>
      </w:pPr>
      <w:r>
        <w:rPr>
          <w:b/>
          <w:bCs/>
        </w:rPr>
        <w:t xml:space="preserve">Commissariamento.</w:t>
      </w:r>
      <w:r>
        <w:t xml:space="preserve"> </w:t>
      </w:r>
      <w:r>
        <w:t xml:space="preserve">Regime di gestione straordinaria di un sistema sanitario regionale, in cui il governo della sanità è affidato a un commissario ad acta per l’attuazione del piano di rientro, in luogo degli ordinari organi regionali.</w:t>
      </w:r>
    </w:p>
    <w:p>
      <w:pPr>
        <w:pStyle w:val="BodyText"/>
      </w:pPr>
      <w:r>
        <w:rPr>
          <w:b/>
          <w:bCs/>
        </w:rPr>
        <w:t xml:space="preserve">Costo-efficacia.</w:t>
      </w:r>
      <w:r>
        <w:t xml:space="preserve"> </w:t>
      </w:r>
      <w:r>
        <w:t xml:space="preserve">Proprietà di un intervento il cui costo per unità di beneficio è inferiore a una soglia di accettabilità definita.</w:t>
      </w:r>
    </w:p>
    <w:p>
      <w:pPr>
        <w:pStyle w:val="BodyText"/>
      </w:pPr>
      <w:r>
        <w:rPr>
          <w:b/>
          <w:bCs/>
        </w:rPr>
        <w:t xml:space="preserve">Costo-utilità.</w:t>
      </w:r>
      <w:r>
        <w:t xml:space="preserve"> </w:t>
      </w:r>
      <w:r>
        <w:t xml:space="preserve">Forma di valutazione economica che esprime il costo dell’intervento per anno di vita ponderato per la qualità guadagnato.</w:t>
      </w:r>
    </w:p>
    <w:p>
      <w:pPr>
        <w:pStyle w:val="BodyText"/>
      </w:pPr>
      <w:r>
        <w:rPr>
          <w:b/>
          <w:bCs/>
        </w:rPr>
        <w:t xml:space="preserve">Cure graduali.</w:t>
      </w:r>
      <w:r>
        <w:t xml:space="preserve"> </w:t>
      </w:r>
      <w:r>
        <w:t xml:space="preserve">Modello organizzativo in cui l’intensità dell’intervento è commisurata alla gravità del bisogno, riservando le risorse più specialistiche alle condizioni che le richiedono.</w:t>
      </w:r>
    </w:p>
    <w:p>
      <w:pPr>
        <w:pStyle w:val="BodyText"/>
      </w:pPr>
      <w:r>
        <w:rPr>
          <w:b/>
          <w:bCs/>
        </w:rPr>
        <w:t xml:space="preserve">Disagio psichico comune.</w:t>
      </w:r>
      <w:r>
        <w:t xml:space="preserve"> </w:t>
      </w:r>
      <w:r>
        <w:t xml:space="preserve">Insieme dei disturbi mentali di intensità lieve e moderata, prevalentemente d’ansia e dell’umore, e delle condizioni di sofferenza sottosoglia.</w:t>
      </w:r>
    </w:p>
    <w:p>
      <w:pPr>
        <w:pStyle w:val="BodyText"/>
      </w:pPr>
      <w:r>
        <w:rPr>
          <w:b/>
          <w:bCs/>
        </w:rPr>
        <w:t xml:space="preserve">Divario di trattamento.</w:t>
      </w:r>
      <w:r>
        <w:t xml:space="preserve"> </w:t>
      </w:r>
      <w:r>
        <w:t xml:space="preserve">Distanza fra le persone che presentano un disturbo e quelle che ricevono un intervento adeguato.</w:t>
      </w:r>
    </w:p>
    <w:p>
      <w:pPr>
        <w:pStyle w:val="BodyText"/>
      </w:pPr>
      <w:r>
        <w:rPr>
          <w:b/>
          <w:bCs/>
        </w:rPr>
        <w:t xml:space="preserve">Dominanza.</w:t>
      </w:r>
      <w:r>
        <w:t xml:space="preserve"> </w:t>
      </w:r>
      <w:r>
        <w:t xml:space="preserve">Proprietà di un intervento che produce simultaneamente un guadagno di salute e un risparmio di risorse, risultando preferibile sotto entrambi i profili.</w:t>
      </w:r>
    </w:p>
    <w:p>
      <w:pPr>
        <w:pStyle w:val="BodyText"/>
      </w:pPr>
      <w:r>
        <w:rPr>
          <w:b/>
          <w:bCs/>
        </w:rPr>
        <w:t xml:space="preserve">Five Case Model (modello a cinque casi).</w:t>
      </w:r>
      <w:r>
        <w:t xml:space="preserve"> </w:t>
      </w:r>
      <w:r>
        <w:t xml:space="preserve">Quadro di valutazione di un investimento pubblico articolato nelle dimensioni strategica, economica, commerciale, finanziaria e gestionale.</w:t>
      </w:r>
    </w:p>
    <w:p>
      <w:pPr>
        <w:pStyle w:val="BodyText"/>
      </w:pPr>
      <w:r>
        <w:rPr>
          <w:b/>
          <w:bCs/>
        </w:rPr>
        <w:t xml:space="preserve">Fondo Sociale Europeo Plus.</w:t>
      </w:r>
      <w:r>
        <w:t xml:space="preserve"> </w:t>
      </w:r>
      <w:r>
        <w:t xml:space="preserve">Strumento finanziario dell’Unione europea a sostegno dell’occupazione, dell’inclusione sociale e dei servizi, con risorse a destinazione e a durata definite, con cui è stata avviata la sperimentazione del servizio.</w:t>
      </w:r>
    </w:p>
    <w:p>
      <w:pPr>
        <w:pStyle w:val="BodyText"/>
      </w:pPr>
      <w:r>
        <w:rPr>
          <w:b/>
          <w:bCs/>
        </w:rPr>
        <w:t xml:space="preserve">GRADE.</w:t>
      </w:r>
      <w:r>
        <w:t xml:space="preserve"> </w:t>
      </w:r>
      <w:r>
        <w:t xml:space="preserve">Sistema di graduazione della qualità dell’evidenza e della forza delle raccomandazioni su quattro livelli.</w:t>
      </w:r>
    </w:p>
    <w:p>
      <w:pPr>
        <w:pStyle w:val="BodyText"/>
      </w:pPr>
      <w:r>
        <w:rPr>
          <w:b/>
          <w:bCs/>
        </w:rPr>
        <w:t xml:space="preserve">Gradiente sociale.</w:t>
      </w:r>
      <w:r>
        <w:t xml:space="preserve"> </w:t>
      </w:r>
      <w:r>
        <w:t xml:space="preserve">Relazione per cui la prevalenza di una condizione e la difficoltà di accesso alle cure variano con la posizione sociale ed economica.</w:t>
      </w:r>
    </w:p>
    <w:p>
      <w:pPr>
        <w:pStyle w:val="BodyText"/>
      </w:pPr>
      <w:r>
        <w:rPr>
          <w:b/>
          <w:bCs/>
        </w:rPr>
        <w:t xml:space="preserve">Livelli essenziali di assistenza.</w:t>
      </w:r>
      <w:r>
        <w:t xml:space="preserve"> </w:t>
      </w:r>
      <w:r>
        <w:t xml:space="preserve">Insieme delle prestazioni che il Servizio Sanitario Nazionale è tenuto a garantire in modo uniforme su tutto il territorio nazionale; il loro grado di erogazione è misurato da un punteggio rispetto a una soglia di adempienza.</w:t>
      </w:r>
    </w:p>
    <w:p>
      <w:pPr>
        <w:pStyle w:val="BodyText"/>
      </w:pPr>
      <w:r>
        <w:rPr>
          <w:b/>
          <w:bCs/>
        </w:rPr>
        <w:t xml:space="preserve">Mobilità sanitaria passiva.</w:t>
      </w:r>
      <w:r>
        <w:t xml:space="preserve"> </w:t>
      </w:r>
      <w:r>
        <w:t xml:space="preserve">Prestazioni erogate ai residenti di una regione in regioni diverse dalla propria, che costituiscono un debito per la regione di residenza.</w:t>
      </w:r>
    </w:p>
    <w:p>
      <w:pPr>
        <w:pStyle w:val="BodyText"/>
      </w:pPr>
      <w:r>
        <w:rPr>
          <w:b/>
          <w:bCs/>
        </w:rPr>
        <w:t xml:space="preserve">Modello di Markov.</w:t>
      </w:r>
      <w:r>
        <w:t xml:space="preserve"> </w:t>
      </w:r>
      <w:r>
        <w:t xml:space="preserve">Modello che rappresenta il decorso di un paziente attraverso una successione di stati di salute fra i quali transita nel tempo con probabilità definite.</w:t>
      </w:r>
    </w:p>
    <w:p>
      <w:pPr>
        <w:pStyle w:val="BodyText"/>
      </w:pPr>
      <w:r>
        <w:rPr>
          <w:b/>
          <w:bCs/>
        </w:rPr>
        <w:t xml:space="preserve">Piano di rientro.</w:t>
      </w:r>
      <w:r>
        <w:t xml:space="preserve"> </w:t>
      </w:r>
      <w:r>
        <w:t xml:space="preserve">Programma imposto alle regioni in disavanzo sanitario strutturale per il riequilibrio dei conti, che comporta vincoli alla spesa e obblighi di garanzia dei livelli essenziali.</w:t>
      </w:r>
    </w:p>
    <w:p>
      <w:pPr>
        <w:pStyle w:val="BodyText"/>
      </w:pPr>
      <w:r>
        <w:rPr>
          <w:b/>
          <w:bCs/>
        </w:rPr>
        <w:t xml:space="preserve">Prospettiva.</w:t>
      </w:r>
      <w:r>
        <w:t xml:space="preserve"> </w:t>
      </w:r>
      <w:r>
        <w:t xml:space="preserve">Punto di vista dal quale si conduce una valutazione economica, che ne determina i costi e i benefici considerati.</w:t>
      </w:r>
    </w:p>
    <w:p>
      <w:pPr>
        <w:pStyle w:val="BodyText"/>
      </w:pPr>
      <w:r>
        <w:rPr>
          <w:b/>
          <w:bCs/>
        </w:rPr>
        <w:t xml:space="preserve">Rapporto beneficio-costo.</w:t>
      </w:r>
      <w:r>
        <w:t xml:space="preserve"> </w:t>
      </w:r>
      <w:r>
        <w:t xml:space="preserve">Rapporto fra il valore dei benefici prodotti da un intervento e il costo sostenuto per realizzarlo.</w:t>
      </w:r>
    </w:p>
    <w:p>
      <w:pPr>
        <w:pStyle w:val="BodyText"/>
      </w:pPr>
      <w:r>
        <w:rPr>
          <w:b/>
          <w:bCs/>
        </w:rPr>
        <w:t xml:space="preserve">Ritorno sociale sull’investimento.</w:t>
      </w:r>
      <w:r>
        <w:t xml:space="preserve"> </w:t>
      </w:r>
      <w:r>
        <w:t xml:space="preserve">Metodo che esprime in termini monetari il valore sociale generato per unità di risorse impiegate.</w:t>
      </w:r>
    </w:p>
    <w:p>
      <w:pPr>
        <w:pStyle w:val="BodyText"/>
      </w:pPr>
      <w:r>
        <w:rPr>
          <w:b/>
          <w:bCs/>
        </w:rPr>
        <w:t xml:space="preserve">Sentenza della Corte Costituzionale numero 241 del 2021.</w:t>
      </w:r>
      <w:r>
        <w:t xml:space="preserve"> </w:t>
      </w:r>
      <w:r>
        <w:t xml:space="preserve">Pronuncia che ha definito i limiti entro cui una legge regionale può istituire il servizio di psicologia di base, escludendo la disciplina regionale autonoma dei rapporti convenzionali.</w:t>
      </w:r>
    </w:p>
    <w:p>
      <w:pPr>
        <w:pStyle w:val="BodyText"/>
      </w:pPr>
      <w:r>
        <w:rPr>
          <w:b/>
          <w:bCs/>
        </w:rPr>
        <w:t xml:space="preserve">Sentenza della Corte Costituzionale numero 275 del 2016.</w:t>
      </w:r>
      <w:r>
        <w:t xml:space="preserve"> </w:t>
      </w:r>
      <w:r>
        <w:t xml:space="preserve">Pronuncia che ha affermato la preminenza della tutela dei diritti fondamentali rispetto all’equilibrio di bilancio.</w:t>
      </w:r>
    </w:p>
    <w:p>
      <w:pPr>
        <w:pStyle w:val="BodyText"/>
      </w:pPr>
      <w:r>
        <w:rPr>
          <w:b/>
          <w:bCs/>
        </w:rPr>
        <w:t xml:space="preserve">Soglia di disponibilità a pagare.</w:t>
      </w:r>
      <w:r>
        <w:t xml:space="preserve"> </w:t>
      </w:r>
      <w:r>
        <w:t xml:space="preserve">Valore massimo che il sistema è disposto a spendere per un anno di vita ponderato per la qualità, utilizzato come riferimento per la costo-efficacia.</w:t>
      </w:r>
    </w:p>
    <w:p>
      <w:pPr>
        <w:pStyle w:val="BodyText"/>
      </w:pPr>
      <w:r>
        <w:rPr>
          <w:b/>
          <w:bCs/>
        </w:rPr>
        <w:t xml:space="preserve">Stato di cronicizzazione.</w:t>
      </w:r>
      <w:r>
        <w:t xml:space="preserve"> </w:t>
      </w:r>
      <w:r>
        <w:t xml:space="preserve">Condizione del modello in cui il disagio persiste nel tempo, associata a un maggiore consumo di risorse sanitarie.</w:t>
      </w:r>
    </w:p>
    <w:p>
      <w:pPr>
        <w:pStyle w:val="BodyText"/>
      </w:pPr>
      <w:r>
        <w:rPr>
          <w:b/>
          <w:bCs/>
        </w:rPr>
        <w:t xml:space="preserve">Stepped care.</w:t>
      </w:r>
      <w:r>
        <w:t xml:space="preserve"> </w:t>
      </w:r>
      <w:r>
        <w:t xml:space="preserve">Espressione inglese che indica il modello delle cure graduali.</w:t>
      </w:r>
    </w:p>
    <w:p>
      <w:pPr>
        <w:pStyle w:val="BodyText"/>
      </w:pPr>
      <w:r>
        <w:rPr>
          <w:b/>
          <w:bCs/>
        </w:rPr>
        <w:t xml:space="preserve">Telepsicologia.</w:t>
      </w:r>
      <w:r>
        <w:t xml:space="preserve"> </w:t>
      </w:r>
      <w:r>
        <w:t xml:space="preserve">Erogazione di prestazioni psicologiche a distanza mediante strumenti digitali, impiegata per superare le barriere di accesso connesse alla distanza e alla mobilità.</w:t>
      </w:r>
    </w:p>
    <w:p>
      <w:pPr>
        <w:pStyle w:val="BodyText"/>
      </w:pPr>
      <w:r>
        <w:rPr>
          <w:b/>
          <w:bCs/>
        </w:rPr>
        <w:t xml:space="preserve">Valore dell’informazione.</w:t>
      </w:r>
      <w:r>
        <w:t xml:space="preserve"> </w:t>
      </w:r>
      <w:r>
        <w:t xml:space="preserve">Valore che la riduzione dell’incertezza su un parametro ha per la decisione, utilizzato per stabilire le priorità nella raccolta dei dati.</w:t>
      </w:r>
    </w:p>
    <w:p>
      <w:pPr>
        <w:pStyle w:val="BodyText"/>
      </w:pPr>
      <w:r>
        <w:rPr>
          <w:b/>
          <w:bCs/>
        </w:rPr>
        <w:t xml:space="preserve">Valutazione di tecnologia sanitaria.</w:t>
      </w:r>
      <w:r>
        <w:t xml:space="preserve"> </w:t>
      </w:r>
      <w:r>
        <w:t xml:space="preserve">Processo multidisciplinare che valuta una tecnologia o un intervento sanitario lungo una pluralità di dimensioni, integrando l’evidenza scientifica con l’analisi del contesto.</w:t>
      </w:r>
      <w:r>
        <w:rPr>
          <w:rStyle w:val="FootnoteReference"/>
        </w:rPr>
        <w:footnoteReference w:id="3407"/>
      </w:r>
    </w:p>
    <w:bookmarkEnd w:id="3452"/>
    <w:bookmarkEnd w:id="3453"/>
    <w:bookmarkStart w:id="4124" w:name="X5d550f7141b76ca9917beb8e62a77f67c44b40d"/>
    <w:p>
      <w:pPr>
        <w:pStyle w:val="Heading1"/>
      </w:pPr>
      <w:r>
        <w:t xml:space="preserve">Blocco Regionale IV — Isole e regioni residue</w:t>
      </w:r>
    </w:p>
    <w:bookmarkStart w:id="3454" w:name="sicilia-studio-hta-integrale"/>
    <w:p>
      <w:pPr>
        <w:pStyle w:val="Heading2"/>
      </w:pPr>
      <w:r>
        <w:t xml:space="preserve">Sicilia — Studio HTA integrale</w:t>
      </w:r>
    </w:p>
    <w:p>
      <w:pPr>
        <w:pStyle w:val="FirstParagraph"/>
      </w:pPr>
      <w:r>
        <w:t xml:space="preserve">Studio Integrale Regionale · Regione Siciliana</w:t>
      </w:r>
    </w:p>
    <w:p>
      <w:pPr>
        <w:pStyle w:val="BodyText"/>
      </w:pPr>
      <w:r>
        <w:t xml:space="preserve">Progetto «Psicologo di Base» — Riforma «Psicologo di Base»: dal servizio in avvio alla strutturazione a regime. Applicazione del telaio integrato in undici parti e cinque appendici (Modello HTA · Five Case Model · CHEERS 2022 · criteri OCSE-DAC).</w:t>
      </w:r>
    </w:p>
    <w:p>
      <w:pPr>
        <w:pStyle w:val="BodyText"/>
      </w:pPr>
      <w:r>
        <w:t xml:space="preserve">Indice</w:t>
      </w:r>
    </w:p>
    <w:bookmarkEnd w:id="3454"/>
    <w:bookmarkStart w:id="3455" w:name="premessa-generale-14"/>
    <w:p>
      <w:pPr>
        <w:pStyle w:val="Heading2"/>
      </w:pPr>
      <w:r>
        <w:t xml:space="preserve">Premessa generale</w:t>
      </w:r>
    </w:p>
    <w:p>
      <w:pPr>
        <w:pStyle w:val="FirstParagraph"/>
      </w:pPr>
      <w:r>
        <w:t xml:space="preserve">Questo documento apre e ordina lo studio integrale per la Regione Siciliana sulla riforma «Psicologo di Base». Esso non contiene una nuova analisi, ma fornisce la chiave di navigazione dell’intero corpus: la premessa, l’indice generale di tutte le parti e di tutte le appendici, la mappa di integrazione delle cornici metodologiche e la sintesi del valore. La Sicilia occupa, nel panorama nazionale, una posizione propria: è una regione post-legislativa in fase di avvio, che ha già istituito il servizio per legge — la legge regionale 18 del 2023, approvata all’unanimità dall’Assemblea regionale — e ne ha emanato il decreto attuativo (deliberazione di Giunta n. 253 del 2024 e decreto del Presidente della Regione del novembre 2024), che disciplina la formazione degli elenchi provinciali in ciascuna Azienda Sanitaria Provinciale, con due psicologi per distretto, un ticket a carico del paziente e un impegno iniziale dell’ordine di 7,4 milioni di euro. Proprio per questo la decisione rilevante non è se istituire il servizio, già istituito, né se emanarne il decreto, già emanato, ma se portarlo dall’avvio al regime: completare la formazione degli elenchi, stabilizzarne il finanziamento entro i vincoli del piano di rientro e dello statuto speciale, e dimensionarlo dal nucleo di avvio verso la copertura piena del fabbisogno, in una regione insulare ed estesa, a statuto speciale e unica della serie ancora sottoposta a piano di rientro.</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3455"/>
    <w:bookmarkStart w:id="3456" w:name="indice-generale-del-corpus-14"/>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038"/>
        <w:gridCol w:w="1038"/>
        <w:gridCol w:w="575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A.1-A.3</w:t>
            </w:r>
          </w:p>
        </w:tc>
        <w:tc>
          <w:tcPr/>
          <w:p>
            <w:pPr>
              <w:pStyle w:val="Compact"/>
              <w:spacing w:after="40" w:before="40"/>
              <w:jc w:val="left"/>
            </w:pPr>
            <w:r>
              <w:rPr>
                <w:rFonts w:ascii="Cambria" w:hAnsi="Cambria" w:cs="Cambria" w:eastAsia="Cambria"/>
                <w:color w:val="1A1A1A"/>
                <w:sz w:val="18"/>
              </w:rPr>
              <w:t xml:space="preserve">Quadro, quesito e metodo: scopo e quesito (PICOTS),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Problema di salute, bisogno e contesto: demografia, epidemiologia, domanda e offerta, disuguaglianze,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L’intervento e il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clinica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casi economico e finanziario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parametri, sensibilità, verifica empirica,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G.1-G.4</w:t>
            </w:r>
          </w:p>
        </w:tc>
        <w:tc>
          <w:tcPr/>
          <w:p>
            <w:pPr>
              <w:pStyle w:val="Compact"/>
              <w:spacing w:after="40" w:before="40"/>
              <w:jc w:val="left"/>
            </w:pPr>
            <w:r>
              <w:rPr>
                <w:rFonts w:ascii="Cambria" w:hAnsi="Cambria" w:cs="Cambria" w:eastAsia="Cambria"/>
                <w:color w:val="1A1A1A"/>
                <w:sz w:val="18"/>
              </w:rPr>
              <w:t xml:space="preserve">Equità e impatto distributivo: analisi di equità, assi territoriali, strumenti, costo-efficacia distributiva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H.1-H.4</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giuridico, organizzativo, etico, sintesi</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cinque casi, dimensionamento, cronoprogramma, sostenibilità, rischi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ex post: impianto, controfattuale su servizio in avvio, indicatori, cruscotto, sintesi</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M.1-M.5</w:t>
            </w:r>
          </w:p>
        </w:tc>
        <w:tc>
          <w:tcPr/>
          <w:p>
            <w:pPr>
              <w:pStyle w:val="Compact"/>
              <w:spacing w:after="40" w:before="40"/>
              <w:jc w:val="left"/>
            </w:pPr>
            <w:r>
              <w:rPr>
                <w:rFonts w:ascii="Cambria" w:hAnsi="Cambria" w:cs="Cambria" w:eastAsia="Cambria"/>
                <w:color w:val="1A1A1A"/>
                <w:sz w:val="18"/>
              </w:rPr>
              <w:t xml:space="preserve">Sintesi multidimensionale e raccomandazioni: sintesi per dominio, analisi multi-criterio, raccomandazioni, condizioni, conclusione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A</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tavola delle assunzioni e dei parametri</w:t>
            </w:r>
          </w:p>
        </w:tc>
      </w:tr>
      <w:tr>
        <w:tc>
          <w:tcPr/>
          <w:p>
            <w:pPr>
              <w:pStyle w:val="Compact"/>
              <w:spacing w:after="40" w:before="40"/>
              <w:jc w:val="left"/>
            </w:pPr>
            <w:r>
              <w:rPr>
                <w:rFonts w:ascii="Cambria" w:hAnsi="Cambria" w:cs="Cambria" w:eastAsia="Cambria"/>
                <w:b/>
                <w:bCs/>
                <w:color w:val="1A1A1A"/>
                <w:sz w:val="18"/>
              </w:rPr>
              <w:t xml:space="preserve">Appendice B</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Strumenti di esito e dataset minimo: questionari e dizionario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C</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Dati regionali e fonti: valori di ancoraggio e dati da acquisire</w:t>
            </w:r>
          </w:p>
        </w:tc>
      </w:tr>
      <w:tr>
        <w:tc>
          <w:tcPr/>
          <w:p>
            <w:pPr>
              <w:pStyle w:val="Compact"/>
              <w:spacing w:after="40" w:before="40"/>
              <w:jc w:val="left"/>
            </w:pPr>
            <w:r>
              <w:rPr>
                <w:rFonts w:ascii="Cambria" w:hAnsi="Cambria" w:cs="Cambria" w:eastAsia="Cambria"/>
                <w:b/>
                <w:bCs/>
                <w:color w:val="1A1A1A"/>
                <w:sz w:val="18"/>
              </w:rPr>
              <w:t xml:space="preserve">Appendice D</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Checklist di reporting: CHEERS, PRISMA, GRADE, STROBE, ISPOR-SMDM, OCSE-JRC</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3456"/>
    <w:bookmarkStart w:id="3457" w:name="la-mappa-di-integrazione-del-telaio-11"/>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87"/>
        <w:gridCol w:w="1208"/>
        <w:gridCol w:w="1745"/>
        <w:gridCol w:w="17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Parte</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HTA</w:t>
            </w:r>
          </w:p>
        </w:tc>
        <w:tc>
          <w:tcPr>
            <w:shd w:val="clear" w:color="auto" w:fill="16264B"/>
          </w:tcPr>
          <w:p>
            <w:pPr>
              <w:pStyle w:val="Compact"/>
              <w:spacing w:after="40" w:before="40"/>
              <w:jc w:val="left"/>
            </w:pPr>
            <w:r>
              <w:rPr>
                <w:rFonts w:ascii="Cambria" w:hAnsi="Cambria" w:cs="Cambria" w:eastAsia="Cambria"/>
                <w:b/>
                <w:bCs/>
                <w:color w:val="FFFFFF"/>
                <w:sz w:val="18"/>
              </w:rPr>
              <w:t xml:space="preserve">Caso (5CM)</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Criterio OCSE-DAC</w:t>
            </w:r>
          </w:p>
        </w:tc>
      </w:tr>
      <w:tr>
        <w:tc>
          <w:tcPr/>
          <w:p>
            <w:pPr>
              <w:pStyle w:val="Compact"/>
              <w:spacing w:after="40" w:before="40"/>
              <w:jc w:val="left"/>
            </w:pPr>
            <w:r>
              <w:rPr>
                <w:rFonts w:ascii="Cambria" w:hAnsi="Cambria" w:cs="Cambria" w:eastAsia="Cambria"/>
                <w:b/>
                <w:bCs/>
                <w:color w:val="1A1A1A"/>
                <w:sz w:val="18"/>
              </w:rPr>
              <w:t xml:space="preserve">A — Quadro e metodo</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Imposta la griglia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 — Bisogno e contesto</w:t>
            </w:r>
          </w:p>
        </w:tc>
        <w:tc>
          <w:tcPr>
            <w:shd w:val="clear" w:color="auto" w:fill="F4F1EC"/>
          </w:tcPr>
          <w:p>
            <w:pPr>
              <w:pStyle w:val="Compact"/>
              <w:spacing w:after="40" w:before="40"/>
              <w:jc w:val="left"/>
            </w:pPr>
            <w:r>
              <w:rPr>
                <w:rFonts w:ascii="Cambria" w:hAnsi="Cambria" w:cs="Cambria" w:eastAsia="Cambria"/>
                <w:color w:val="1A1A1A"/>
                <w:sz w:val="18"/>
              </w:rPr>
              <w:t xml:space="preserve">Dominio 1</w:t>
            </w:r>
          </w:p>
        </w:tc>
        <w:tc>
          <w:tcPr>
            <w:shd w:val="clear" w:color="auto" w:fill="F4F1EC"/>
          </w:tcPr>
          <w:p>
            <w:pPr>
              <w:pStyle w:val="Compact"/>
              <w:spacing w:after="40" w:before="40"/>
              <w:jc w:val="left"/>
            </w:pPr>
            <w:r>
              <w:rPr>
                <w:rFonts w:ascii="Cambria" w:hAnsi="Cambria" w:cs="Cambria" w:eastAsia="Cambria"/>
                <w:color w:val="1A1A1A"/>
                <w:sz w:val="18"/>
              </w:rPr>
              <w:t xml:space="preserve">Strategico</w:t>
            </w:r>
          </w:p>
        </w:tc>
        <w:tc>
          <w:tcPr>
            <w:shd w:val="clear" w:color="auto" w:fill="F4F1EC"/>
          </w:tcPr>
          <w:p>
            <w:pPr>
              <w:pStyle w:val="Compact"/>
              <w:spacing w:after="40" w:before="40"/>
              <w:jc w:val="left"/>
            </w:pPr>
            <w:r>
              <w:rPr>
                <w:rFonts w:ascii="Cambria" w:hAnsi="Cambria" w:cs="Cambria" w:eastAsia="Cambria"/>
                <w:color w:val="1A1A1A"/>
                <w:sz w:val="18"/>
              </w:rPr>
              <w:t xml:space="preserve">Rilevanza, coerenza</w:t>
            </w:r>
          </w:p>
        </w:tc>
      </w:tr>
      <w:tr>
        <w:tc>
          <w:tcPr/>
          <w:p>
            <w:pPr>
              <w:pStyle w:val="Compact"/>
              <w:spacing w:after="40" w:before="40"/>
              <w:jc w:val="left"/>
            </w:pPr>
            <w:r>
              <w:rPr>
                <w:rFonts w:ascii="Cambria" w:hAnsi="Cambria" w:cs="Cambria" w:eastAsia="Cambria"/>
                <w:b/>
                <w:bCs/>
                <w:color w:val="1A1A1A"/>
                <w:sz w:val="18"/>
              </w:rPr>
              <w:t xml:space="preserve">C — Intervento e modello</w:t>
            </w:r>
          </w:p>
        </w:tc>
        <w:tc>
          <w:tcPr/>
          <w:p>
            <w:pPr>
              <w:pStyle w:val="Compact"/>
              <w:spacing w:after="40" w:before="40"/>
              <w:jc w:val="left"/>
            </w:pPr>
            <w:r>
              <w:rPr>
                <w:rFonts w:ascii="Cambria" w:hAnsi="Cambria" w:cs="Cambria" w:eastAsia="Cambria"/>
                <w:color w:val="1A1A1A"/>
                <w:sz w:val="18"/>
              </w:rPr>
              <w:t xml:space="preserve">Domini 2–3</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 — Efficacia ed evidenza</w:t>
            </w:r>
          </w:p>
        </w:tc>
        <w:tc>
          <w:tcPr>
            <w:shd w:val="clear" w:color="auto" w:fill="F4F1EC"/>
          </w:tcPr>
          <w:p>
            <w:pPr>
              <w:pStyle w:val="Compact"/>
              <w:spacing w:after="40" w:before="40"/>
              <w:jc w:val="left"/>
            </w:pPr>
            <w:r>
              <w:rPr>
                <w:rFonts w:ascii="Cambria" w:hAnsi="Cambria" w:cs="Cambria" w:eastAsia="Cambria"/>
                <w:color w:val="1A1A1A"/>
                <w:sz w:val="18"/>
              </w:rPr>
              <w:t xml:space="preserve">Dominio 4</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Efficacia</w:t>
            </w:r>
          </w:p>
        </w:tc>
      </w:tr>
      <w:tr>
        <w:tc>
          <w:tcPr/>
          <w:p>
            <w:pPr>
              <w:pStyle w:val="Compact"/>
              <w:spacing w:after="40" w:before="40"/>
              <w:jc w:val="left"/>
            </w:pPr>
            <w:r>
              <w:rPr>
                <w:rFonts w:ascii="Cambria" w:hAnsi="Cambria" w:cs="Cambria" w:eastAsia="Cambria"/>
                <w:b/>
                <w:bCs/>
                <w:color w:val="1A1A1A"/>
                <w:sz w:val="18"/>
              </w:rPr>
              <w:t xml:space="preserve">E — Valutazione economica</w:t>
            </w:r>
          </w:p>
        </w:tc>
        <w:tc>
          <w:tcPr/>
          <w:p>
            <w:pPr>
              <w:pStyle w:val="Compact"/>
              <w:spacing w:after="40" w:before="40"/>
              <w:jc w:val="left"/>
            </w:pPr>
            <w:r>
              <w:rPr>
                <w:rFonts w:ascii="Cambria" w:hAnsi="Cambria" w:cs="Cambria" w:eastAsia="Cambria"/>
                <w:color w:val="1A1A1A"/>
                <w:sz w:val="18"/>
              </w:rPr>
              <w:t xml:space="preserve">Dominio 5</w:t>
            </w:r>
          </w:p>
        </w:tc>
        <w:tc>
          <w:tcPr/>
          <w:p>
            <w:pPr>
              <w:pStyle w:val="Compact"/>
              <w:spacing w:after="40" w:before="40"/>
              <w:jc w:val="left"/>
            </w:pPr>
            <w:r>
              <w:rPr>
                <w:rFonts w:ascii="Cambria" w:hAnsi="Cambria" w:cs="Cambria" w:eastAsia="Cambria"/>
                <w:color w:val="1A1A1A"/>
                <w:sz w:val="18"/>
              </w:rPr>
              <w:t xml:space="preserve">Economico, finanziario</w:t>
            </w:r>
          </w:p>
        </w:tc>
        <w:tc>
          <w:tcPr/>
          <w:p>
            <w:pPr>
              <w:pStyle w:val="Compact"/>
              <w:spacing w:after="40" w:before="40"/>
              <w:jc w:val="left"/>
            </w:pPr>
            <w:r>
              <w:rPr>
                <w:rFonts w:ascii="Cambria" w:hAnsi="Cambria" w:cs="Cambria" w:eastAsia="Cambria"/>
                <w:color w:val="1A1A1A"/>
                <w:sz w:val="18"/>
              </w:rPr>
              <w:t xml:space="preserve">Efficienza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 — 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Dominio 5</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Efficienza</w:t>
            </w:r>
          </w:p>
        </w:tc>
      </w:tr>
      <w:tr>
        <w:tc>
          <w:tcPr/>
          <w:p>
            <w:pPr>
              <w:pStyle w:val="Compact"/>
              <w:spacing w:after="40" w:before="40"/>
              <w:jc w:val="left"/>
            </w:pPr>
            <w:r>
              <w:rPr>
                <w:rFonts w:ascii="Cambria" w:hAnsi="Cambria" w:cs="Cambria" w:eastAsia="Cambria"/>
                <w:b/>
                <w:bCs/>
                <w:color w:val="1A1A1A"/>
                <w:sz w:val="18"/>
              </w:rPr>
              <w:t xml:space="preserve">G — Equità e impatto</w:t>
            </w:r>
          </w:p>
        </w:tc>
        <w:tc>
          <w:tcPr/>
          <w:p>
            <w:pPr>
              <w:pStyle w:val="Compact"/>
              <w:spacing w:after="40" w:before="40"/>
              <w:jc w:val="left"/>
            </w:pPr>
            <w:r>
              <w:rPr>
                <w:rFonts w:ascii="Cambria" w:hAnsi="Cambria" w:cs="Cambria" w:eastAsia="Cambria"/>
                <w:color w:val="1A1A1A"/>
                <w:sz w:val="18"/>
              </w:rPr>
              <w:t xml:space="preserve">Dominio 8</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Impatto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H — Profili etico/giuridico/organizz.</w:t>
            </w:r>
          </w:p>
        </w:tc>
        <w:tc>
          <w:tcPr>
            <w:shd w:val="clear" w:color="auto" w:fill="F4F1EC"/>
          </w:tcPr>
          <w:p>
            <w:pPr>
              <w:pStyle w:val="Compact"/>
              <w:spacing w:after="40" w:before="40"/>
              <w:jc w:val="left"/>
            </w:pPr>
            <w:r>
              <w:rPr>
                <w:rFonts w:ascii="Cambria" w:hAnsi="Cambria" w:cs="Cambria" w:eastAsia="Cambria"/>
                <w:color w:val="1A1A1A"/>
                <w:sz w:val="18"/>
              </w:rPr>
              <w:t xml:space="preserve">Domini 6, 7, 9</w:t>
            </w:r>
          </w:p>
        </w:tc>
        <w:tc>
          <w:tcPr>
            <w:shd w:val="clear" w:color="auto" w:fill="F4F1EC"/>
          </w:tcPr>
          <w:p>
            <w:pPr>
              <w:pStyle w:val="Compact"/>
              <w:spacing w:after="40" w:before="40"/>
              <w:jc w:val="left"/>
            </w:pPr>
            <w:r>
              <w:rPr>
                <w:rFonts w:ascii="Cambria" w:hAnsi="Cambria" w:cs="Cambria" w:eastAsia="Cambria"/>
                <w:color w:val="1A1A1A"/>
                <w:sz w:val="18"/>
              </w:rPr>
              <w:t xml:space="preserve">Gestionale</w:t>
            </w:r>
          </w:p>
        </w:tc>
        <w:tc>
          <w:tcPr>
            <w:shd w:val="clear" w:color="auto" w:fill="F4F1EC"/>
          </w:tcPr>
          <w:p>
            <w:pPr>
              <w:pStyle w:val="Compact"/>
              <w:spacing w:after="40" w:before="40"/>
              <w:jc w:val="left"/>
            </w:pPr>
            <w:r>
              <w:rPr>
                <w:rFonts w:ascii="Cambria" w:hAnsi="Cambria" w:cs="Cambria" w:eastAsia="Cambria"/>
                <w:color w:val="1A1A1A"/>
                <w:sz w:val="18"/>
              </w:rPr>
              <w:t xml:space="preserve">Coerenza</w:t>
            </w:r>
          </w:p>
        </w:tc>
      </w:tr>
      <w:tr>
        <w:tc>
          <w:tcPr/>
          <w:p>
            <w:pPr>
              <w:pStyle w:val="Compact"/>
              <w:spacing w:after="40" w:before="40"/>
              <w:jc w:val="left"/>
            </w:pPr>
            <w:r>
              <w:rPr>
                <w:rFonts w:ascii="Cambria" w:hAnsi="Cambria" w:cs="Cambria" w:eastAsia="Cambria"/>
                <w:b/>
                <w:bCs/>
                <w:color w:val="1A1A1A"/>
                <w:sz w:val="18"/>
              </w:rPr>
              <w:t xml:space="preserve">I — Attuazione e sostenibilità</w:t>
            </w:r>
          </w:p>
        </w:tc>
        <w:tc>
          <w:tcPr/>
          <w:p>
            <w:pPr>
              <w:pStyle w:val="Compact"/>
              <w:spacing w:after="40" w:before="40"/>
              <w:jc w:val="left"/>
            </w:pPr>
            <w:r>
              <w:rPr>
                <w:rFonts w:ascii="Cambria" w:hAnsi="Cambria" w:cs="Cambria" w:eastAsia="Cambria"/>
                <w:color w:val="1A1A1A"/>
                <w:sz w:val="18"/>
              </w:rPr>
              <w:t xml:space="preserve">Dominio 7</w:t>
            </w:r>
          </w:p>
        </w:tc>
        <w:tc>
          <w:tcPr/>
          <w:p>
            <w:pPr>
              <w:pStyle w:val="Compact"/>
              <w:spacing w:after="40" w:before="40"/>
              <w:jc w:val="left"/>
            </w:pPr>
            <w:r>
              <w:rPr>
                <w:rFonts w:ascii="Cambria" w:hAnsi="Cambria" w:cs="Cambria" w:eastAsia="Cambria"/>
                <w:color w:val="1A1A1A"/>
                <w:sz w:val="18"/>
              </w:rPr>
              <w:t xml:space="preserve">Commerciale, gestionale</w:t>
            </w:r>
          </w:p>
        </w:tc>
        <w:tc>
          <w:tcPr/>
          <w:p>
            <w:pPr>
              <w:pStyle w:val="Compact"/>
              <w:spacing w:after="40" w:before="40"/>
              <w:jc w:val="left"/>
            </w:pPr>
            <w:r>
              <w:rPr>
                <w:rFonts w:ascii="Cambria" w:hAnsi="Cambria" w:cs="Cambria" w:eastAsia="Cambria"/>
                <w:color w:val="1A1A1A"/>
                <w:sz w:val="18"/>
              </w:rPr>
              <w:t xml:space="preserve">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 — Monitoraggio ed ex post</w:t>
            </w:r>
          </w:p>
        </w:tc>
        <w:tc>
          <w:tcPr>
            <w:shd w:val="clear" w:color="auto" w:fill="F4F1EC"/>
          </w:tcPr>
          <w:p>
            <w:pPr>
              <w:pStyle w:val="Compact"/>
              <w:spacing w:after="40" w:before="40"/>
              <w:jc w:val="left"/>
            </w:pPr>
            <w:r>
              <w:rPr>
                <w:rFonts w:ascii="Cambria" w:hAnsi="Cambria" w:cs="Cambria" w:eastAsia="Cambria"/>
                <w:color w:val="1A1A1A"/>
                <w:sz w:val="18"/>
              </w:rPr>
              <w:t xml:space="preserve">Trasversale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Verifica ex post</w:t>
            </w:r>
          </w:p>
        </w:tc>
      </w:tr>
      <w:tr>
        <w:tc>
          <w:tcPr/>
          <w:p>
            <w:pPr>
              <w:pStyle w:val="Compact"/>
              <w:spacing w:after="40" w:before="40"/>
              <w:jc w:val="left"/>
            </w:pPr>
            <w:r>
              <w:rPr>
                <w:rFonts w:ascii="Cambria" w:hAnsi="Cambria" w:cs="Cambria" w:eastAsia="Cambria"/>
                <w:b/>
                <w:bCs/>
                <w:color w:val="1A1A1A"/>
                <w:sz w:val="18"/>
              </w:rPr>
              <w:t xml:space="preserve">M — Sintesi e raccomandazioni</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Tutti i criteri</w:t>
            </w:r>
          </w:p>
        </w:tc>
      </w:tr>
    </w:tbl>
    <w:p>
      <w:pPr>
        <w:pStyle w:val="BodyText"/>
      </w:pPr>
      <w:r>
        <w:rPr>
          <w:i/>
          <w:iCs/>
        </w:rPr>
        <w:t xml:space="preserve">Tabella 2. La mappa di integrazione delle quattro cornici, parte per parte.</w:t>
      </w:r>
    </w:p>
    <w:bookmarkEnd w:id="3457"/>
    <w:bookmarkStart w:id="3458" w:name="la-sintesi-del-valore-11"/>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ma prossimo al pareggio per la Sicilia, regione a statuto speciale e ancora sotto piano di rientro, dal saldo di mobilità fra i più passivi d’Italia la cui fuga è però concentrata nell’alta complessità ospedaliera e chirurgica e non nella domanda psicologica territoriale, sicché il canale del recupero della mobilità è solo modestamente pertinente a questo intervento — e il saldo complessivo, ampiamente positivo. La tabella seguente lo riepiloga.</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29</w:t>
            </w:r>
          </w:p>
        </w:tc>
        <w:tc>
          <w:tcPr/>
          <w:p>
            <w:pPr>
              <w:pStyle w:val="Compact"/>
              <w:spacing w:after="40" w:before="40"/>
              <w:jc w:val="left"/>
            </w:pPr>
            <w:r>
              <w:rPr>
                <w:rFonts w:ascii="Cambria" w:hAnsi="Cambria" w:cs="Cambria" w:eastAsia="Cambria"/>
                <w:color w:val="1A1A1A"/>
                <w:sz w:val="18"/>
              </w:rPr>
              <w:t xml:space="preserve">~ 43</w:t>
            </w:r>
          </w:p>
        </w:tc>
        <w:tc>
          <w:tcPr/>
          <w:p>
            <w:pPr>
              <w:pStyle w:val="Compact"/>
              <w:spacing w:after="40" w:before="40"/>
              <w:jc w:val="left"/>
            </w:pPr>
            <w:r>
              <w:rPr>
                <w:rFonts w:ascii="Cambria" w:hAnsi="Cambria" w:cs="Cambria" w:eastAsia="Cambria"/>
                <w:color w:val="1A1A1A"/>
                <w:sz w:val="18"/>
              </w:rPr>
              <w:t xml:space="preserve">~ 57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23</w:t>
            </w:r>
          </w:p>
        </w:tc>
        <w:tc>
          <w:tcPr>
            <w:shd w:val="clear" w:color="auto" w:fill="F4F1EC"/>
          </w:tcPr>
          <w:p>
            <w:pPr>
              <w:pStyle w:val="Compact"/>
              <w:spacing w:after="40" w:before="40"/>
              <w:jc w:val="left"/>
            </w:pPr>
            <w:r>
              <w:rPr>
                <w:rFonts w:ascii="Cambria" w:hAnsi="Cambria" w:cs="Cambria" w:eastAsia="Cambria"/>
                <w:color w:val="1A1A1A"/>
                <w:sz w:val="18"/>
              </w:rPr>
              <w:t xml:space="preserve">~ 36</w:t>
            </w:r>
          </w:p>
        </w:tc>
        <w:tc>
          <w:tcPr>
            <w:shd w:val="clear" w:color="auto" w:fill="F4F1EC"/>
          </w:tcPr>
          <w:p>
            <w:pPr>
              <w:pStyle w:val="Compact"/>
              <w:spacing w:after="40" w:before="40"/>
              <w:jc w:val="left"/>
            </w:pPr>
            <w:r>
              <w:rPr>
                <w:rFonts w:ascii="Cambria" w:hAnsi="Cambria" w:cs="Cambria" w:eastAsia="Cambria"/>
                <w:color w:val="1A1A1A"/>
                <w:sz w:val="18"/>
              </w:rPr>
              <w:t xml:space="preserve">~ 56</w:t>
            </w:r>
          </w:p>
        </w:tc>
      </w:tr>
      <w:tr>
        <w:tc>
          <w:tcPr/>
          <w:p>
            <w:pPr>
              <w:pStyle w:val="Compact"/>
              <w:spacing w:after="40" w:before="40"/>
              <w:jc w:val="left"/>
            </w:pPr>
            <w:r>
              <w:rPr>
                <w:rFonts w:ascii="Cambria" w:hAnsi="Cambria" w:cs="Cambria" w:eastAsia="Cambria"/>
                <w:b/>
                <w:bCs/>
                <w:color w:val="1A1A1A"/>
                <w:sz w:val="18"/>
              </w:rPr>
              <w:t xml:space="preserve">Ricadute economico-sociali</w:t>
            </w:r>
          </w:p>
        </w:tc>
        <w:tc>
          <w:tcPr/>
          <w:p>
            <w:pPr>
              <w:pStyle w:val="Compact"/>
              <w:spacing w:after="40" w:before="40"/>
              <w:jc w:val="left"/>
            </w:pPr>
            <w:r>
              <w:rPr>
                <w:rFonts w:ascii="Cambria" w:hAnsi="Cambria" w:cs="Cambria" w:eastAsia="Cambria"/>
                <w:color w:val="1A1A1A"/>
                <w:sz w:val="18"/>
              </w:rPr>
              <w:t xml:space="preserve">~ 90</w:t>
            </w:r>
          </w:p>
        </w:tc>
        <w:tc>
          <w:tcPr/>
          <w:p>
            <w:pPr>
              <w:pStyle w:val="Compact"/>
              <w:spacing w:after="40" w:before="40"/>
              <w:jc w:val="left"/>
            </w:pPr>
            <w:r>
              <w:rPr>
                <w:rFonts w:ascii="Cambria" w:hAnsi="Cambria" w:cs="Cambria" w:eastAsia="Cambria"/>
                <w:color w:val="1A1A1A"/>
                <w:sz w:val="18"/>
              </w:rPr>
              <w:t xml:space="preserve">~ 170</w:t>
            </w:r>
          </w:p>
        </w:tc>
        <w:tc>
          <w:tcPr/>
          <w:p>
            <w:pPr>
              <w:pStyle w:val="Compact"/>
              <w:spacing w:after="40" w:before="40"/>
              <w:jc w:val="left"/>
            </w:pPr>
            <w:r>
              <w:rPr>
                <w:rFonts w:ascii="Cambria" w:hAnsi="Cambria" w:cs="Cambria" w:eastAsia="Cambria"/>
                <w:color w:val="1A1A1A"/>
                <w:sz w:val="18"/>
              </w:rPr>
              <w:t xml:space="preserve">~ 255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−6</w:t>
            </w:r>
          </w:p>
        </w:tc>
        <w:tc>
          <w:tcPr>
            <w:shd w:val="clear" w:color="auto" w:fill="F4F1EC"/>
          </w:tcPr>
          <w:p>
            <w:pPr>
              <w:pStyle w:val="Compact"/>
              <w:spacing w:after="40" w:before="40"/>
              <w:jc w:val="left"/>
            </w:pPr>
            <w:r>
              <w:rPr>
                <w:rFonts w:ascii="Cambria" w:hAnsi="Cambria" w:cs="Cambria" w:eastAsia="Cambria"/>
                <w:color w:val="1A1A1A"/>
                <w:sz w:val="18"/>
              </w:rPr>
              <w:t xml:space="preserve">~ −7</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r>
      <w:tr>
        <w:tc>
          <w:tcPr/>
          <w:p>
            <w:pPr>
              <w:pStyle w:val="Compact"/>
              <w:spacing w:after="40" w:before="40"/>
              <w:jc w:val="left"/>
            </w:pPr>
            <w:r>
              <w:rPr>
                <w:rFonts w:ascii="Cambria" w:hAnsi="Cambria" w:cs="Cambria" w:eastAsia="Cambria"/>
                <w:b/>
                <w:bCs/>
                <w:color w:val="1A1A1A"/>
                <w:sz w:val="18"/>
              </w:rPr>
              <w:t xml:space="preserve">Saldo complessivo (caso economico)</w:t>
            </w:r>
          </w:p>
        </w:tc>
        <w:tc>
          <w:tcPr/>
          <w:p>
            <w:pPr>
              <w:pStyle w:val="Compact"/>
              <w:spacing w:after="40" w:before="40"/>
              <w:jc w:val="left"/>
            </w:pPr>
            <w:r>
              <w:rPr>
                <w:rFonts w:ascii="Cambria" w:hAnsi="Cambria" w:cs="Cambria" w:eastAsia="Cambria"/>
                <w:color w:val="1A1A1A"/>
                <w:sz w:val="18"/>
              </w:rPr>
              <w:t xml:space="preserve">+84</w:t>
            </w:r>
          </w:p>
        </w:tc>
        <w:tc>
          <w:tcPr/>
          <w:p>
            <w:pPr>
              <w:pStyle w:val="Compact"/>
              <w:spacing w:after="40" w:before="40"/>
              <w:jc w:val="left"/>
            </w:pPr>
            <w:r>
              <w:rPr>
                <w:rFonts w:ascii="Cambria" w:hAnsi="Cambria" w:cs="Cambria" w:eastAsia="Cambria"/>
                <w:color w:val="1A1A1A"/>
                <w:sz w:val="18"/>
              </w:rPr>
              <w:t xml:space="preserve">+163</w:t>
            </w:r>
          </w:p>
        </w:tc>
        <w:tc>
          <w:tcPr/>
          <w:p>
            <w:pPr>
              <w:pStyle w:val="Compact"/>
              <w:spacing w:after="40" w:before="40"/>
              <w:jc w:val="left"/>
            </w:pPr>
            <w:r>
              <w:rPr>
                <w:rFonts w:ascii="Cambria" w:hAnsi="Cambria" w:cs="Cambria" w:eastAsia="Cambria"/>
                <w:color w:val="1A1A1A"/>
                <w:sz w:val="18"/>
              </w:rPr>
              <w:t xml:space="preserve">+254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~3,9:1</w:t>
            </w:r>
          </w:p>
        </w:tc>
        <w:tc>
          <w:tcPr>
            <w:shd w:val="clear" w:color="auto" w:fill="F4F1EC"/>
          </w:tcPr>
          <w:p>
            <w:pPr>
              <w:pStyle w:val="Compact"/>
              <w:spacing w:after="40" w:before="40"/>
              <w:jc w:val="left"/>
            </w:pPr>
            <w:r>
              <w:rPr>
                <w:rFonts w:ascii="Cambria" w:hAnsi="Cambria" w:cs="Cambria" w:eastAsia="Cambria"/>
                <w:color w:val="1A1A1A"/>
                <w:sz w:val="18"/>
              </w:rPr>
              <w:t xml:space="preserve">~4,8:1</w:t>
            </w:r>
          </w:p>
        </w:tc>
        <w:tc>
          <w:tcPr>
            <w:shd w:val="clear" w:color="auto" w:fill="F4F1E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la Sicilia, è portare dall’avvio al regime il servizio di psicologia delle cure primarie già istituito, completando la formazione degli elenchi provinciali, stabilizzandone il finanziamento entro i vincoli del piano di rientro e dello statuto speciale e calibrando il ticket, e dimensionandolo per gradi dal nucleo di avvio, dell’ordine di 110 psicologi, verso la copertura sistematica, dell’ordine di 520 psicologi nello scenario conservativo, 780 in quello di base e 1.030 in quello espansivo. Il limite principale è il radicamento dei dati: le grandezze economiche sono in parte ricostruite a partire dai conti nazionali scalati per la quota di popolazione siciliana, dell’8,1%, e non estratte dai conti regionali certificati delle nove Aziende Sanitarie Provinciali e delle aziende ospedaliere; poiché il servizio è in fase di avvio, la base di dati operativi propri è ancora in formazione e si costituirà attraverso la relazione annuale prevista dalla legge, la cui impostazione uniforme è condizione per la presentazione agli organi di controllo.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siciliano. La condizione propria della Sicilia — la regione post-legislativa in avvio, dotata di legge e decreto attuativo ma con il servizio ancora in partenza — consente di fondare la valutazione controfattuale sull’attivazione progressiva del servizio, come un esperimento a cunei progressivi tra le nove Aziende man mano che gli elenchi provinciali si completano, con il vantaggio peculiare di poter rilevare una linea di base anteriore alla piena operatività. Su questa base, e con la dichiarazione trasparente dei propri limiti, il corpus consegna al decisore un quadro completo e onesto su cui deliberare, e alla regione che ha già istituito il servizio l’occasione di renderlo pienamente operativo a regime.</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3458"/>
    <w:bookmarkStart w:id="3463" w:name="parte-a-quadro-quesito-e-metodo-16"/>
    <w:p>
      <w:pPr>
        <w:pStyle w:val="Heading2"/>
      </w:pPr>
      <w:r>
        <w:t xml:space="preserve">Parte A — Quadro, quesito e metodo</w:t>
      </w:r>
    </w:p>
    <w:p>
      <w:pPr>
        <w:pStyle w:val="FirstParagraph"/>
      </w:pPr>
      <w:r>
        <w:t xml:space="preserve">Questa è la prima parte dello studio integrale per la Sicilia, che applica alla regione il telaio integrato sviluppato e validato per la Puglia e già esteso alla Lombardia, al Veneto, all’Emilia-Romagna, al Piemonte, alla Toscana, alla Liguria, al Lazio e alla Campania. L’architettura e il caso di riferimento sono i medesimi, e mutano soltanto i dati di ingresso, ancorati alla Sicilia.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Sicilia occupa nella serie una posizione propria: ha già istituito il servizio per legge e ne ha emanato il decreto attuativo, ma il servizio è ancora in fase di avvio, sicché la valutazione non riguarda l’opportunità di introdurlo, ma il suo passaggio dall’avvio al regime.</w:t>
      </w:r>
    </w:p>
    <w:bookmarkStart w:id="3460" w:name="Xd4fafadbe77c5ad416926028cfbcace9f3c6f5b"/>
    <w:p>
      <w:pPr>
        <w:pStyle w:val="Heading3"/>
      </w:pPr>
      <w:r>
        <w:t xml:space="preserve">A.1 Scopo, quesito di valutazione e standard adottati</w:t>
      </w:r>
    </w:p>
    <w:p>
      <w:pPr>
        <w:pStyle w:val="FirstParagraph"/>
      </w:pPr>
      <w:r>
        <w:t xml:space="preserve">Lo studio ha per oggetto il Servizio di psicologia delle cure primarie della Sicilia, inteso come passaggio dall’avvio al regime e dimensionamento di una funzione che la regione ha già istituito per legge e di cui ha già emanato il decreto attuativo, e che è in corso di avvio presso i distretti delle proprie Aziende Sanitarie Provinciali.</w:t>
      </w:r>
      <w:r>
        <w:rPr>
          <w:rStyle w:val="FootnoteReference"/>
        </w:rPr>
        <w:footnoteReference w:id="3408"/>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la Sicilia, non è istituire il servizio, già istituito per legge, né emanarne il decreto attuativo, già emanato, ma condurlo dall’avvio al regime e dimensionarlo, dalla dotazione iniziale alla copertura sistematica del fabbisogno, entro i vincoli di una regione a statuto speciale ancora sottoposta a piano di rientro. Lo studio fornisce gli elementi per quella decisione, non la sostituisce: ne misura le conseguenze attese in tre scenari di copertura, lasciando alla sede politica e di bilancio la scelta della scala. Va segnalato sin d’ora che la dotazione iniziale prevista, dell’ordine di 110 psicologi corrispondente ai due per ciascuno dei 55 distretti,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957.000 persone, si somma un’utenza specialistica in carico ai servizi, in un quadro segnato da componenti convergenti — il disagio giovanile, indicato come priorità dal governo regionale, il disagio connesso al lavoro e alla deprivazione urbana di Palermo e Catania, e il bisogno dell’età adulta e anziana nelle province interne e più anziane — cui si aggiungono i divari di accesso di una regione insulare ed estesa, la pressione delle liste di attesa e la storica sotto-dotazione del sistema.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siciliani con bisogno psicologico comune, e in seconda istanza dall’intera popolazione per gli effetti di sistema. L’intervento è lo psicologo delle cure primarie, come primo livello di ascolto, intercettazione precoce e filtro, condotto dall’avvio al regime. Il confronto è la condizione attuale, nella quale il servizio è in fase di avvio con dimensionamento iniziale. Gli esiti sono clinici, economici, sociali e di sistema. I tempi distinguono l’orizzonte pluriennale degli esiti dall’orizzonte triennale-quinquennale del bilancio. Il contesto è il Servizio sanitario della Sicilia, con le sue nove Aziende Sanitarie Provinciali, le aziende ospedaliere, ospedaliero-universitarie e ad alta specializzazione, e la rete delle Case della Comunità in costruzione. La tabella seguente riepiloga gli elementi del quesito.</w:t>
      </w:r>
    </w:p>
    <w:tbl>
      <w:tblPr>
        <w:tblStyle w:val="Table"/>
        <w:tblW w:type="pct" w:w="495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301"/>
        <w:gridCol w:w="6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la Sicilia</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siciliani con disagio psichico comune (~957.000);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Psicologo delle cure primarie, primo livello e filtro, condotto dall’avvio al regime (~520/780/1.030 incarichi); dalla dotazione iniziale alla copertura sistematica</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Condizione attuale: servizio in fase di avvio, con elenchi provinciali in formazione e dotazione iniziale (~110 psicologi), privo di contratto collettivo nazionale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liste di attesa)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Servizio sanitario regionale della Sicilia; nove Aziende Sanitarie Provinciali, aziende ospedaliere e ad alta specializzazione, rete delle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3460"/>
    <w:bookmarkStart w:id="3461" w:name="a.2-il-caso-di-riferimento-e-i-metodi-13"/>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in fase di avvio, con dimensionamento iniziale, come comparatore. Le unità di analisi sono la regione e, in disaggregazione, le Aziende Sanitarie Provinciali e i distretti, per dare conto anche dei divari territoriali interni, segnatamente fra le aree metropolitane di Palermo e Catania e le province interne e insulari.</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27"/>
        <w:gridCol w:w="567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Condizione attuale: servizio in fase di avvio, con elenchi in formazione e dotazione iniziale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Regione, con disaggregazione per Azienda Sanitaria Provinciale e distretto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Sicilia, un rilievo particolare. Regione a statuto speciale, essa compartecipa al finanziamento sanitario nella misura del 49,11% del proprio fabbisogno e resta tuttora sottoposta a piano di rientro, con una spesa pro-capite fra le più basse del Paese. Sul versante della mobilità, presenta uno dei saldi passivi più elevati d’Italia, ma la fuga riguarda l’alta complessità ospedaliera e chirurgica, non la domanda psicologica, sicché il canale del recupero della mobilità è per questo intervento solo modestamente pertinente. Ne consegue un saldo diretto lievemente negativo ma prossimo al pareggio — meno sfavorevole di quanto il vincolo di bilancio lascerebbe temere, poiché il sistema siciliano, a lungo sotto-finanziato, presenta un consumo improprio più ampio da recuperare, e il ticket a carico del paziente vi apporta una lieve attenuazione ulteriore — mentre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regionali certificati; poiché il servizio è in fase di avvio, la Sicilia non dispone ancora di una base di dati operativi propri, e lo studio poggia per l’efficacia sui benchmark internazionali, mentre la relazione annuale prevista dalla legge a carico degli psicologi delle cure primarie costituirà la fonte primaria da consolidare.</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Sicilia il disegno controfattuale assume una forma propria: poiché gli elenchi provinciali si completano in tempi differenziati tra le nove Aziende Sanitarie Provinciali, esso può fondarsi su un esperimento a cunei progressivi, con l’ordine e i tempi di attivazione delle sedi impiegati a fini valutativi e l’effetto causale stimato dai metodi della differenza-nelle-differenze e del controllo sintetico. La tabella seguente colloca ciascuna metodologia nella sua sede.</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357"/>
        <w:gridCol w:w="30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generato oltre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 nel tempo</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Parte F</w:t>
            </w:r>
          </w:p>
        </w:tc>
        <w:tc>
          <w:tcPr/>
          <w:p>
            <w:pPr>
              <w:pStyle w:val="Compact"/>
              <w:spacing w:after="40" w:before="40"/>
              <w:jc w:val="left"/>
            </w:pPr>
            <w:r>
              <w:rPr>
                <w:rFonts w:ascii="Cambria" w:hAnsi="Cambria" w:cs="Cambria" w:eastAsia="Cambria"/>
                <w:color w:val="1A1A1A"/>
                <w:sz w:val="18"/>
              </w:rPr>
              <w:t xml:space="preserve">Governo dell’incertezza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w:t>
            </w:r>
          </w:p>
        </w:tc>
        <w:tc>
          <w:tcPr>
            <w:shd w:val="clear" w:color="auto" w:fill="F4F1EC"/>
          </w:tcPr>
          <w:p>
            <w:pPr>
              <w:pStyle w:val="Compact"/>
              <w:spacing w:after="40" w:before="40"/>
              <w:jc w:val="left"/>
            </w:pPr>
            <w:r>
              <w:rPr>
                <w:rFonts w:ascii="Cambria" w:hAnsi="Cambria" w:cs="Cambria" w:eastAsia="Cambria"/>
                <w:color w:val="1A1A1A"/>
                <w:sz w:val="18"/>
              </w:rPr>
              <w:t xml:space="preserve">Parte G</w:t>
            </w:r>
          </w:p>
        </w:tc>
        <w:tc>
          <w:tcPr>
            <w:shd w:val="clear" w:color="auto" w:fill="F4F1EC"/>
          </w:tcPr>
          <w:p>
            <w:pPr>
              <w:pStyle w:val="Compact"/>
              <w:spacing w:after="40" w:before="40"/>
              <w:jc w:val="left"/>
            </w:pPr>
            <w:r>
              <w:rPr>
                <w:rFonts w:ascii="Cambria" w:hAnsi="Cambria" w:cs="Cambria" w:eastAsia="Cambria"/>
                <w:color w:val="1A1A1A"/>
                <w:sz w:val="18"/>
              </w:rPr>
              <w:t xml:space="preserve">Misura dell’equità distributiva</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Parte L</w:t>
            </w:r>
          </w:p>
        </w:tc>
        <w:tc>
          <w:tcPr/>
          <w:p>
            <w:pPr>
              <w:pStyle w:val="Compact"/>
              <w:spacing w:after="40" w:before="40"/>
              <w:jc w:val="left"/>
            </w:pPr>
            <w:r>
              <w:rPr>
                <w:rFonts w:ascii="Cambria" w:hAnsi="Cambria" w:cs="Cambria" w:eastAsia="Cambria"/>
                <w:color w:val="1A1A1A"/>
                <w:sz w:val="18"/>
              </w:rPr>
              <w:t xml:space="preserve">Stima dell’effetto reale sul campo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sistema GRADE</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Fondazione e graduazione dell’evidenza</w:t>
            </w:r>
          </w:p>
        </w:tc>
      </w:tr>
      <w:tr>
        <w:tc>
          <w:tcPr/>
          <w:p>
            <w:pPr>
              <w:pStyle w:val="Compact"/>
              <w:spacing w:after="40" w:before="40"/>
              <w:jc w:val="left"/>
            </w:pPr>
            <w:r>
              <w:rPr>
                <w:rFonts w:ascii="Cambria" w:hAnsi="Cambria" w:cs="Cambria" w:eastAsia="Cambria"/>
                <w:b/>
                <w:bCs/>
                <w:color w:val="1A1A1A"/>
                <w:sz w:val="18"/>
              </w:rPr>
              <w:t xml:space="preserve">Analisi multi-criterio</w:t>
            </w:r>
          </w:p>
        </w:tc>
        <w:tc>
          <w:tcPr/>
          <w:p>
            <w:pPr>
              <w:pStyle w:val="Compact"/>
              <w:spacing w:after="40" w:before="40"/>
              <w:jc w:val="left"/>
            </w:pPr>
            <w:r>
              <w:rPr>
                <w:rFonts w:ascii="Cambria" w:hAnsi="Cambria" w:cs="Cambria" w:eastAsia="Cambria"/>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Composizione dei criteri non monetari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della regolamentazione</w:t>
            </w:r>
          </w:p>
        </w:tc>
        <w:tc>
          <w:tcPr>
            <w:shd w:val="clear" w:color="auto" w:fill="F4F1EC"/>
          </w:tcPr>
          <w:p>
            <w:pPr>
              <w:pStyle w:val="Compact"/>
              <w:spacing w:after="40" w:before="40"/>
              <w:jc w:val="left"/>
            </w:pPr>
            <w:r>
              <w:rPr>
                <w:rFonts w:ascii="Cambria" w:hAnsi="Cambria" w:cs="Cambria" w:eastAsia="Cambria"/>
                <w:color w:val="1A1A1A"/>
                <w:sz w:val="18"/>
              </w:rPr>
              <w:t xml:space="preserve">Parti H, L</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della norma ex ante ed ex post</w:t>
            </w:r>
          </w:p>
        </w:tc>
      </w:tr>
    </w:tbl>
    <w:p>
      <w:pPr>
        <w:pStyle w:val="BodyText"/>
      </w:pPr>
      <w:r>
        <w:rPr>
          <w:i/>
          <w:iCs/>
        </w:rPr>
        <w:t xml:space="preserve">Tabella A.3. Le dieci metodologie analitiche e la loro collocazione nello studio.</w:t>
      </w:r>
    </w:p>
    <w:bookmarkEnd w:id="3461"/>
    <w:bookmarkStart w:id="3462" w:name="Xa69d212ece6cc8689ad37fd1d8a77187765ca0f"/>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nove Aziende Sanitarie Provinciali, le aziende ospedaliere, ospedaliero-universitarie e ad alta specializzazione, l’Ordine degli Psicologi della Regione Siciliana, le rappresentanze della medicina generale e della pediatria di libera scelta e gli atenei. La Sicilia non dispone di un’azienda regionale unica né di un’agenzia di coordinamento: il coordinamento è in capo all’Assessorato regionale della Salute, attraverso il Dipartimento per la pianificazione strategica e il Dipartimento per le attività sanitarie e osservatorio epidemiologico. Poiché il servizio è in avvio e la rete delle Case della Comunità è in costruzione, la sfida del governo non è istituire il servizio, né emanarne il decreto attuativo, ma condurlo dall’avvio al regime e dimensionarlo, garantendo l’omogeneità attuativa fra le nove Aziende in un sistema esteso e insulare: è il tratto che distingue la Sicilia,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Sicilia.</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3462"/>
    <w:bookmarkEnd w:id="3463"/>
    <w:bookmarkStart w:id="3470" w:name="X970a2716fca8481bad5f84f677cf10b4faeea60"/>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Sicilia.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Sicilia: non un servizio da istituire, ma un servizio già istituito per legge e già dotato di decreto attuativo, da condurre dall’avvio al regime in una regione grande, insulare, a statuto speciale e ancora sottoposta a piano di rientro.</w:t>
      </w:r>
    </w:p>
    <w:bookmarkStart w:id="3464" w:name="b.1-quadro-demografico-12"/>
    <w:p>
      <w:pPr>
        <w:pStyle w:val="Heading3"/>
      </w:pPr>
      <w:r>
        <w:t xml:space="preserve">B.1 Quadro demografico</w:t>
      </w:r>
    </w:p>
    <w:p>
      <w:pPr>
        <w:pStyle w:val="FirstParagraph"/>
      </w:pPr>
      <w:r>
        <w:t xml:space="preserve">La Sicilia conta 4.787.390 residenti, pari a circa l’8,1% della popolazione nazionale, in lieve calo per effetto dei saldi naturale e migratorio interno negativi. La struttura per età presenta un’età media dell’ordine di 45,7 anni, con disomogeneità interne: Ragusa e Catania sono le province più giovani, Messina ed Enna le più anziane. La componente straniera, pari al 4,3%, è nettamente inferiore alla media nazionale. La distribuzione è concentrata sui due poli maggiori: le province di Palermo e Catania raccolgono insieme circa il 47,4% dei residenti — Palermo è l’unico comune oltre il mezzo milione di abitanti — seguite da Messina con circa il 12,5%. La tabella seguente ne riepiloga il profilo.</w:t>
      </w:r>
    </w:p>
    <w:tbl>
      <w:tblPr>
        <w:tblStyle w:val="Table"/>
        <w:tblW w:type="pct" w:w="494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07"/>
        <w:gridCol w:w="611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Sicilia</w:t>
            </w:r>
          </w:p>
        </w:tc>
      </w:tr>
      <w:tr>
        <w:tc>
          <w:tcPr/>
          <w:p>
            <w:pPr>
              <w:pStyle w:val="Compact"/>
              <w:spacing w:after="40" w:before="40"/>
              <w:jc w:val="left"/>
            </w:pPr>
            <w:r>
              <w:rPr>
                <w:rFonts w:ascii="Cambria" w:hAnsi="Cambria" w:cs="Cambria" w:eastAsia="Cambria"/>
                <w:b/>
                <w:bCs/>
                <w:color w:val="1A1A1A"/>
                <w:sz w:val="18"/>
              </w:rPr>
              <w:t xml:space="preserve">Popolazione (Censimento 2024)</w:t>
            </w:r>
          </w:p>
        </w:tc>
        <w:tc>
          <w:tcPr/>
          <w:p>
            <w:pPr>
              <w:pStyle w:val="Compact"/>
              <w:spacing w:after="40" w:before="40"/>
              <w:jc w:val="left"/>
            </w:pPr>
            <w:r>
              <w:rPr>
                <w:rFonts w:ascii="Cambria" w:hAnsi="Cambria" w:cs="Cambria" w:eastAsia="Cambria"/>
                <w:color w:val="1A1A1A"/>
                <w:sz w:val="18"/>
              </w:rPr>
              <w:t xml:space="preserve">4.787.390 (~8,1% del totale nazionale); in lieve calo per saldi naturale e migratorio interno negativi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Età media e struttura</w:t>
            </w:r>
          </w:p>
        </w:tc>
        <w:tc>
          <w:tcPr>
            <w:shd w:val="clear" w:color="auto" w:fill="F4F1EC"/>
          </w:tcPr>
          <w:p>
            <w:pPr>
              <w:pStyle w:val="Compact"/>
              <w:spacing w:after="40" w:before="40"/>
              <w:jc w:val="left"/>
            </w:pPr>
            <w:r>
              <w:rPr>
                <w:rFonts w:ascii="Cambria" w:hAnsi="Cambria" w:cs="Cambria" w:eastAsia="Cambria"/>
                <w:color w:val="1A1A1A"/>
                <w:sz w:val="18"/>
              </w:rPr>
              <w:t xml:space="preserve">~ 45,7 anni; Ragusa e Catania più giovani (44,5/44,8), Messina ed Enna più anziane (47,2/47,0)</w:t>
            </w:r>
          </w:p>
        </w:tc>
      </w:tr>
      <w:tr>
        <w:tc>
          <w:tcPr/>
          <w:p>
            <w:pPr>
              <w:pStyle w:val="Compact"/>
              <w:spacing w:after="40" w:before="40"/>
              <w:jc w:val="left"/>
            </w:pPr>
            <w:r>
              <w:rPr>
                <w:rFonts w:ascii="Cambria" w:hAnsi="Cambria" w:cs="Cambria" w:eastAsia="Cambria"/>
                <w:b/>
                <w:bCs/>
                <w:color w:val="1A1A1A"/>
                <w:sz w:val="18"/>
              </w:rPr>
              <w:t xml:space="preserve">Componente straniera</w:t>
            </w:r>
          </w:p>
        </w:tc>
        <w:tc>
          <w:tcPr/>
          <w:p>
            <w:pPr>
              <w:pStyle w:val="Compact"/>
              <w:spacing w:after="40" w:before="40"/>
              <w:jc w:val="left"/>
            </w:pPr>
            <w:r>
              <w:rPr>
                <w:rFonts w:ascii="Cambria" w:hAnsi="Cambria" w:cs="Cambria" w:eastAsia="Cambria"/>
                <w:color w:val="1A1A1A"/>
                <w:sz w:val="18"/>
              </w:rPr>
              <w:t xml:space="preserve">4,3% dei residenti, nettamente inferiore alla media nazionale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Distribuzione territoriale</w:t>
            </w:r>
          </w:p>
        </w:tc>
        <w:tc>
          <w:tcPr>
            <w:shd w:val="clear" w:color="auto" w:fill="F4F1EC"/>
          </w:tcPr>
          <w:p>
            <w:pPr>
              <w:pStyle w:val="Compact"/>
              <w:spacing w:after="40" w:before="40"/>
              <w:jc w:val="left"/>
            </w:pPr>
            <w:r>
              <w:rPr>
                <w:rFonts w:ascii="Cambria" w:hAnsi="Cambria" w:cs="Cambria" w:eastAsia="Cambria"/>
                <w:color w:val="1A1A1A"/>
                <w:sz w:val="18"/>
              </w:rPr>
              <w:t xml:space="preserve">Palermo e Catania insieme ~47,4% (Palermo unico comune &gt;500.000, 630.427); Messina ~12,5%; altre sei province ~40,2%</w:t>
            </w:r>
          </w:p>
        </w:tc>
      </w:tr>
      <w:tr>
        <w:tc>
          <w:tcPr/>
          <w:p>
            <w:pPr>
              <w:pStyle w:val="Compact"/>
              <w:spacing w:after="40" w:before="40"/>
              <w:jc w:val="left"/>
            </w:pPr>
            <w:r>
              <w:rPr>
                <w:rFonts w:ascii="Cambria" w:hAnsi="Cambria" w:cs="Cambria" w:eastAsia="Cambria"/>
                <w:b/>
                <w:bCs/>
                <w:color w:val="1A1A1A"/>
                <w:sz w:val="18"/>
              </w:rPr>
              <w:t xml:space="preserve">Profilo territoriale</w:t>
            </w:r>
          </w:p>
        </w:tc>
        <w:tc>
          <w:tcPr/>
          <w:p>
            <w:pPr>
              <w:pStyle w:val="Compact"/>
              <w:spacing w:after="40" w:before="40"/>
              <w:jc w:val="left"/>
            </w:pPr>
            <w:r>
              <w:rPr>
                <w:rFonts w:ascii="Cambria" w:hAnsi="Cambria" w:cs="Cambria" w:eastAsia="Cambria"/>
                <w:color w:val="1A1A1A"/>
                <w:sz w:val="18"/>
              </w:rPr>
              <w:t xml:space="preserve">Aree metropolitane di Palermo e Catania con deprivazione urbana; province interne (Enna, Caltanissetta) più anziane e insulari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Articolazione sanitaria</w:t>
            </w:r>
          </w:p>
        </w:tc>
        <w:tc>
          <w:tcPr>
            <w:shd w:val="clear" w:color="auto" w:fill="F4F1EC"/>
          </w:tcPr>
          <w:p>
            <w:pPr>
              <w:pStyle w:val="Compact"/>
              <w:spacing w:after="40" w:before="40"/>
              <w:jc w:val="left"/>
            </w:pPr>
            <w:r>
              <w:rPr>
                <w:rFonts w:ascii="Cambria" w:hAnsi="Cambria" w:cs="Cambria" w:eastAsia="Cambria"/>
                <w:color w:val="1A1A1A"/>
                <w:sz w:val="18"/>
              </w:rPr>
              <w:t xml:space="preserve">Nove Aziende Sanitarie Provinciali, aziende ospedaliere, ospedaliero-universitarie e ad alta specializzazione</w:t>
            </w:r>
          </w:p>
        </w:tc>
      </w:tr>
    </w:tbl>
    <w:p>
      <w:pPr>
        <w:pStyle w:val="BodyText"/>
      </w:pPr>
      <w:r>
        <w:rPr>
          <w:i/>
          <w:iCs/>
        </w:rPr>
        <w:t xml:space="preserve">Tabella B.1. Profilo demografico e socio-economico della Sicilia.</w:t>
      </w:r>
    </w:p>
    <w:bookmarkEnd w:id="3464"/>
    <w:bookmarkStart w:id="3465" w:name="b.2-epidemiologia-del-bisogno-13"/>
    <w:p>
      <w:pPr>
        <w:pStyle w:val="Heading3"/>
      </w:pPr>
      <w:r>
        <w:t xml:space="preserve">B.2 Epidemiologia del bisogno</w:t>
      </w:r>
    </w:p>
    <w:p>
      <w:pPr>
        <w:pStyle w:val="FirstParagraph"/>
      </w:pPr>
      <w:r>
        <w:t xml:space="preserve">Il bisogno di salute mentale nella Sicilia è ampio e sospinto da una popolazione numerosa, distribuita su un vasto territorio insulare. Proiettando i tassi di prevalenza nazionali, la quota di disagio psichico comune o sottosoglia si colloca nell’ordine di 957.000 persone, in larga parte non intercettate, tanto più in una fase di avvio del servizio. A questa quota si somma un’ampia utenza specialistica in carico ai servizi, su un territorio che presenta una specificità propria: ha istituito per legge il servizio e ne ha emanato il decreto attuativo, ma il servizio è in fase di avvio. Tre componenti orientano la domanda. La prima è il disagio giovanile, indicato come priorità dal governo regionale e più marcato nelle province più giovani. La seconda è il disagio connesso al lavoro e alla deprivazione urbana di Palermo e Catania. La terza è il bisogno dell’età adulta e anziana, accentuato nelle province interne e più anziane. È la combinazione — grande regione insulare, condizione post-legislativa in avvio e sistema storicamente sotto-dotato — a distinguere il fabbisogno siciliano. La pressione che ne deriva si riversa anche sul pronto soccorso, con accessi per cause psichiatriche significativi.</w:t>
      </w:r>
    </w:p>
    <w:bookmarkEnd w:id="3465"/>
    <w:bookmarkStart w:id="3466" w:name="X5c9c8f93839bff675873e80063be176175471a7"/>
    <w:p>
      <w:pPr>
        <w:pStyle w:val="Heading3"/>
      </w:pPr>
      <w:r>
        <w:t xml:space="preserve">B.3 Domanda, offerta e gap di copertura</w:t>
      </w:r>
    </w:p>
    <w:p>
      <w:pPr>
        <w:pStyle w:val="FirstParagraph"/>
      </w:pPr>
      <w:r>
        <w:t xml:space="preserve">Alla domanda descritta si contrappone, nella Sicilia, un’offerta in fase di avvio ma già fondata su una cornice normativa completa: il servizio di psicologia delle cure primarie è istituito dalla legge regionale 18 del 2023 e disciplinato dalla deliberazione di Giunta n. 253 del 2024 e dal decreto del Presidente della Regione del novembre 2024, che regola la formazione degli elenchi provinciali in ciascuna Azienda Sanitaria Provinciale; il modello prevede due psicologi per ciascuno dei 55 distretti, in rapporto convenzionale, con ticket a carico del paziente, ma gli elenchi sono ancora in formazione. Il fabbisogno a regime è stimato nell’ordine di 1.030 psicologi nello scenario espansivo, e l’Ordine professionale regionale, che ne ha accompagnato l’elaborazione, ne sostiene la piena operatività. La copertura iniziale corrisponde dunque al nucleo di avvio, dell’ordine di 110 psicologi: non un servizio da istituire, ma un servizio da condurre dall’avvio al regime, stabilizzare e dimensionare. La tabella seguente sintetizza domanda, offerta e divario.</w:t>
      </w:r>
    </w:p>
    <w:tbl>
      <w:tblPr>
        <w:tblStyle w:val="Table"/>
        <w:tblW w:type="pct" w:w="494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67"/>
        <w:gridCol w:w="566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Sicilia</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957.000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in carico ai servizi di 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Ampia (alcune decine di migliaia, stima rapportata ai dati nazionali)</w:t>
            </w:r>
          </w:p>
        </w:tc>
      </w:tr>
      <w:tr>
        <w:tc>
          <w:tcPr/>
          <w:p>
            <w:pPr>
              <w:pStyle w:val="Compact"/>
              <w:spacing w:after="40" w:before="40"/>
              <w:jc w:val="left"/>
            </w:pPr>
            <w:r>
              <w:rPr>
                <w:rFonts w:ascii="Cambria" w:hAnsi="Cambria" w:cs="Cambria" w:eastAsia="Cambria"/>
                <w:b/>
                <w:bCs/>
                <w:color w:val="1A1A1A"/>
                <w:sz w:val="18"/>
              </w:rPr>
              <w:t xml:space="preserve">Offerta territoriale attuale</w:t>
            </w:r>
          </w:p>
        </w:tc>
        <w:tc>
          <w:tcPr/>
          <w:p>
            <w:pPr>
              <w:pStyle w:val="Compact"/>
              <w:spacing w:after="40" w:before="40"/>
              <w:jc w:val="left"/>
            </w:pPr>
            <w:r>
              <w:rPr>
                <w:rFonts w:ascii="Cambria" w:hAnsi="Cambria" w:cs="Cambria" w:eastAsia="Cambria"/>
                <w:color w:val="1A1A1A"/>
                <w:sz w:val="18"/>
              </w:rPr>
              <w:t xml:space="preserve">Servizio in avvio, LR 18/2023, Delibera 253/2024 e DPRS novembre 2024; elenchi provinciali in formazione; 2 per distretto, con ticket</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Fabbisogno stimato a regime</w:t>
            </w:r>
          </w:p>
        </w:tc>
        <w:tc>
          <w:tcPr>
            <w:shd w:val="clear" w:color="auto" w:fill="F4F1EC"/>
          </w:tcPr>
          <w:p>
            <w:pPr>
              <w:pStyle w:val="Compact"/>
              <w:spacing w:after="40" w:before="40"/>
              <w:jc w:val="left"/>
            </w:pPr>
            <w:r>
              <w:rPr>
                <w:rFonts w:ascii="Cambria" w:hAnsi="Cambria" w:cs="Cambria" w:eastAsia="Cambria"/>
                <w:color w:val="1A1A1A"/>
                <w:sz w:val="18"/>
              </w:rPr>
              <w:t xml:space="preserve">~ 1.030 psicologi nello scenario espansivo (520–780 negli altri scenari)</w:t>
            </w:r>
          </w:p>
        </w:tc>
      </w:tr>
      <w:tr>
        <w:tc>
          <w:tcPr/>
          <w:p>
            <w:pPr>
              <w:pStyle w:val="Compact"/>
              <w:spacing w:after="40" w:before="40"/>
              <w:jc w:val="left"/>
            </w:pPr>
            <w:r>
              <w:rPr>
                <w:rFonts w:ascii="Cambria" w:hAnsi="Cambria" w:cs="Cambria" w:eastAsia="Cambria"/>
                <w:b/>
                <w:bCs/>
                <w:color w:val="1A1A1A"/>
                <w:sz w:val="18"/>
              </w:rPr>
              <w:t xml:space="preserve">Copertura iniziale del fabbisogno</w:t>
            </w:r>
          </w:p>
        </w:tc>
        <w:tc>
          <w:tcPr/>
          <w:p>
            <w:pPr>
              <w:pStyle w:val="Compact"/>
              <w:spacing w:after="40" w:before="40"/>
              <w:jc w:val="left"/>
            </w:pPr>
            <w:r>
              <w:rPr>
                <w:rFonts w:ascii="Cambria" w:hAnsi="Cambria" w:cs="Cambria" w:eastAsia="Cambria"/>
                <w:color w:val="1A1A1A"/>
                <w:sz w:val="18"/>
              </w:rPr>
              <w:t xml:space="preserve">Nucleo di avvio (~110 psicologi, due per ciascuno dei 55 distretti)</w:t>
            </w:r>
          </w:p>
        </w:tc>
      </w:tr>
    </w:tbl>
    <w:p>
      <w:pPr>
        <w:pStyle w:val="BodyText"/>
      </w:pPr>
      <w:r>
        <w:rPr>
          <w:i/>
          <w:iCs/>
        </w:rPr>
        <w:t xml:space="preserve">Tabella B.2. Domanda, offerta e gap di copertura.</w:t>
      </w:r>
    </w:p>
    <w:bookmarkEnd w:id="3466"/>
    <w:bookmarkStart w:id="3467" w:name="Xb57bc0815ccfb35498f510015908a39740dcb6f"/>
    <w:p>
      <w:pPr>
        <w:pStyle w:val="Heading3"/>
      </w:pPr>
      <w:r>
        <w:t xml:space="preserve">B.4 Disuguaglianze e divari territoriali</w:t>
      </w:r>
    </w:p>
    <w:p>
      <w:pPr>
        <w:pStyle w:val="FirstParagraph"/>
      </w:pPr>
      <w:r>
        <w:t xml:space="preserve">La dimensione distributiva del bisogno, nella Sicilia, si gioca su due assi. Il primo è interno alle aree metropolitane di Palermo e Catania, fra i quartieri meglio serviti e le periferie che presentano sacche di deprivazione socio-economica e difficoltà di accesso. Il secondo separa le aree metropolitane e costiere dalle province interne di Enna e Caltanissetta, più anziane, a minore densità e penalizzate dalla condizione insulare. Su questi divari il servizio di psicologia delle cure primarie agisce in funzione di equità: avvicina l’offerta alle aree interne e insulari mediante la telepsicologia assistita — dove la sola presenza di un primo livello accessibile è già un atto di riequilibrio — e, assorbendo a monte la domanda appropriata, libera capacità specialistica e contribuisce a contenere i tempi di attesa, in un sistema storicamente sotto-dotato; va segnalato che il ticket a carico del paziente, pur attenuando il costo per il bilancio, va calibrato per non ostacolare l’accesso delle fasce più fragili.</w:t>
      </w:r>
    </w:p>
    <w:bookmarkEnd w:id="3467"/>
    <w:bookmarkStart w:id="3468" w:name="b.5-i-servizi-e-i-flussi-13"/>
    <w:p>
      <w:pPr>
        <w:pStyle w:val="Heading3"/>
      </w:pPr>
      <w:r>
        <w:t xml:space="preserve">B.5 I servizi e i flussi</w:t>
      </w:r>
    </w:p>
    <w:p>
      <w:pPr>
        <w:pStyle w:val="FirstParagraph"/>
      </w:pPr>
      <w:r>
        <w:t xml:space="preserve">Il Servizio sanitario della Sicilia dispone di risorse complessive dell’ordine di 10–11 miliardi di euro; in quanto regione a statuto speciale, la Sicilia compartecipa al finanziamento nella misura del 49,11% del proprio fabbisogno e riceve dallo Stato risorse inferiori alla spesa sostenuta; resta sottoposta a piano di rientro, con una spesa pro-capite fra le più basse del Paese. Il profilo di mobilità è fortemente passivo: la Sicilia presenta uno dei saldi più negativi d’Italia, dell’ordine di duecentocinquanta milioni di euro l’anno; poiché però la fuga riguarda i ricoveri e l’alta complessità chirurgica, il canale del recupero della mobilità è per questo intervento solo modestamente pertinente. L’architettura dei servizi poggia su nove Aziende Sanitarie Provinciali, su numerose aziende ospedaliere, ospedaliero-universitarie e ad alta specializzazione, e su una rete territoriale di Case della Comunità in costruzione, su cui il servizio andrà pienamente innestato. La tabella seguente riepiloga le grandezze di sistema rilevanti.</w:t>
      </w:r>
    </w:p>
    <w:tbl>
      <w:tblPr>
        <w:tblStyle w:val="Table"/>
        <w:tblW w:type="pct" w:w="496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96"/>
        <w:gridCol w:w="626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Sicilia</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w:t>
            </w:r>
          </w:p>
        </w:tc>
        <w:tc>
          <w:tcPr/>
          <w:p>
            <w:pPr>
              <w:pStyle w:val="Compact"/>
              <w:spacing w:after="40" w:before="40"/>
              <w:jc w:val="left"/>
            </w:pPr>
            <w:r>
              <w:rPr>
                <w:rFonts w:ascii="Cambria" w:hAnsi="Cambria" w:cs="Cambria" w:eastAsia="Cambria"/>
                <w:color w:val="1A1A1A"/>
                <w:sz w:val="18"/>
              </w:rPr>
              <w:t xml:space="preserve">~ 10–11 miliardi di euro; statuto speciale, compartecipazione al 49,11% del fabbisogno; ancora sotto piano di rientro; spesa pro-capite fra le più basse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Uno dei saldi passivi più elevati d’Italia (~250 milioni); canale modesto come leva per questo intervento (fuga ospedaliera e chirurgica)</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Accessi per cause psichiatriche significativi (alcune decine di migliaia l’anno, stima rapportata ai dati nazionali)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Architettura dei servizi</w:t>
            </w:r>
          </w:p>
        </w:tc>
        <w:tc>
          <w:tcPr>
            <w:shd w:val="clear" w:color="auto" w:fill="F4F1EC"/>
          </w:tcPr>
          <w:p>
            <w:pPr>
              <w:pStyle w:val="Compact"/>
              <w:spacing w:after="40" w:before="40"/>
              <w:jc w:val="left"/>
            </w:pPr>
            <w:r>
              <w:rPr>
                <w:rFonts w:ascii="Cambria" w:hAnsi="Cambria" w:cs="Cambria" w:eastAsia="Cambria"/>
                <w:color w:val="1A1A1A"/>
                <w:sz w:val="18"/>
              </w:rPr>
              <w:t xml:space="preserve">Nove Aziende Sanitarie Provinciali, aziende ospedaliere e ad alta specializzazione; rete delle Case della Comunità in costruzione; nessuna azienda regionale unica (coordinamento dell’Assessorato regionale)</w:t>
            </w:r>
          </w:p>
        </w:tc>
      </w:tr>
      <w:tr>
        <w:tc>
          <w:tcPr/>
          <w:p>
            <w:pPr>
              <w:pStyle w:val="Compact"/>
              <w:spacing w:after="40" w:before="40"/>
              <w:jc w:val="left"/>
            </w:pPr>
            <w:r>
              <w:rPr>
                <w:rFonts w:ascii="Cambria" w:hAnsi="Cambria" w:cs="Cambria" w:eastAsia="Cambria"/>
                <w:b/>
                <w:bCs/>
                <w:color w:val="1A1A1A"/>
                <w:sz w:val="18"/>
              </w:rPr>
              <w:t xml:space="preserve">Margine di azione principale</w:t>
            </w:r>
          </w:p>
        </w:tc>
        <w:tc>
          <w:tcPr/>
          <w:p>
            <w:pPr>
              <w:pStyle w:val="Compact"/>
              <w:spacing w:after="40" w:before="40"/>
              <w:jc w:val="left"/>
            </w:pPr>
            <w:r>
              <w:rPr>
                <w:rFonts w:ascii="Cambria" w:hAnsi="Cambria" w:cs="Cambria" w:eastAsia="Cambria"/>
                <w:color w:val="1A1A1A"/>
                <w:sz w:val="18"/>
              </w:rPr>
              <w:t xml:space="preserve">Passaggio dall’avvio al regime, liste di attesa, accesso delle periferie e delle aree interne e insulari, intercettazione precoce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3468"/>
    <w:bookmarkStart w:id="3469" w:name="X9a92dd73b91f6b469ef23aca397dde7be011dcf"/>
    <w:p>
      <w:pPr>
        <w:pStyle w:val="Heading3"/>
      </w:pPr>
      <w:r>
        <w:t xml:space="preserve">B.6 La cornice normativa e programmatica</w:t>
      </w:r>
    </w:p>
    <w:p>
      <w:pPr>
        <w:pStyle w:val="FirstParagraph"/>
      </w:pPr>
      <w:r>
        <w:t xml:space="preserve">La decisione si colloca entro una cornice già completa sul piano normativo: la Sicilia ha istituito il servizio con la legge regionale 18 del 2023, approvata all’unanimità, e ne ha disciplinato l’attuazione con la deliberazione di Giunta n. 253 del 2024 e con il decreto del Presidente della Regione del novembre 2024. La cornice include il Decreto Ministeriale 77/2022 sugli standard dell’assistenza territoriale e, sul piano nazionale, il testo unificato in discussione alla Camera; sul piano regionale opera entro i vincoli dello statuto speciale e del piano di rientro tuttora in corso. La decisione rilevante, in questo contesto, non è istituire una funzione, già istituita, né emanarne il decreto, già emanato, ma condurla dall’avvio al regime, stabilizzarne il finanziamento e dimensionarla: è il tema che le parti successive sviluppano, a partire dalla definizione dell’intervento e del suo modello, oggetto della Parte C.</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3469"/>
    <w:bookmarkEnd w:id="3470"/>
    <w:bookmarkStart w:id="3477" w:name="parte-c-lintervento-e-il-suo-modello-10"/>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Sicilia emerge con nettezza: l’intervento non è da istituire, ma da condurre dall’avvio al regime a partire da un servizio già istituito per legge e dotato di decreto attuativo, di cui la regione deve impostare fin dall’inizio, in forma uniforme fra le nove Aziende, il modello, il sistema informativo e il monitoraggio.</w:t>
      </w:r>
    </w:p>
    <w:bookmarkStart w:id="3471" w:name="Xd476abe852cf8f1f208efec041ac555f0d354e0"/>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nella Sicilia tale definizione è già recepita nella legge regionale 18 del 2023.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957.000 persone con disagio comune. La tabella seguente ne espone gli anelli.</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27"/>
        <w:gridCol w:w="567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Sicilia</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957.000 persone con disagio comune, in larga parte non intercettato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Psicologo nelle cure primarie: intercettazione precoce, intervento breve, filtro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liste di attesa ridotte</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e minor carico familiare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3471"/>
    <w:bookmarkStart w:id="3472" w:name="c.2-il-modello-organizzativo-16"/>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Centri di Salute Mentale, secondo l’impianto della legge regionale 18 del 2023 e del decreto attuativo, che prevedono due psicologi per distretto, un elenco provinciale presso ciascuna Azienda Sanitaria Provinciale e un rapporto convenzionale su base libero-professionale, con ticket a carico del paziente. La Sicilia presenta qui una specificità: il servizio è in fase di avvio nelle nove Aziende Sanitarie Provinciali, con gli elenchi in formazione. La regione non dispone di un’azienda regionale unica, e il coordinamento è in capo all’Assessorato regionale della Salute, sicché garantire l’omogeneità attuativa in un sistema esteso e insulare — nove Aziende su un territorio ampio e frammentato — è la sfida organizzativa principale.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p>
    <w:bookmarkEnd w:id="3472"/>
    <w:bookmarkStart w:id="3473" w:name="X4b2a4a96077d45a14d551eec092a44f5ddb33ee"/>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in via di attivazione nelle Aziende siciliane man mano che gli elenchi si completano, e affronta i quadri più frequenti, dalla sintomatologia ansioso-depressiva ai problemi di adattamento e psicosomatici.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43"/>
        <w:gridCol w:w="56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3473"/>
    <w:bookmarkStart w:id="3474" w:name="Xd51b248564ffc92e0aef284c6d36d717b0a56e9"/>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In assenza di un’azienda regionale unica, il coordinamento informativo è in capo all’Assessorato regionale della Salute, attraverso i suoi Dipartimenti, e deve assicurare fra le nove Aziende l’uniformità della relazione annuale che la legge pone a carico degli psicologi delle cure primarie. La raccolta sistematica e completa dei dati di processo e di esito non è un adempimento accessorio, ma il presupposto della clausola valutativa e del disegno controfattuale; poiché il servizio è in avvio, la Sicilia ha l’opportunità di impostare il flusso fin dall’inizio in forma uniforme fra le nove Aziende, progettando correttamente la rilevazione prima della piena operatività anziché doverla ricostruire ex post.</w:t>
      </w:r>
    </w:p>
    <w:bookmarkEnd w:id="3474"/>
    <w:bookmarkStart w:id="3475" w:name="Xe89ce054513574c33e734d0dfbe8e6d034f9872"/>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nella Sicilia, lo strumento per garantire l’accesso nelle periferie di Palermo e Catania e nelle province interne e insulari di Enna e Caltanissetta,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4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84"/>
        <w:gridCol w:w="4214"/>
        <w:gridCol w:w="152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 e telemonitoraggio</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periferie di Palermo e Catania e nelle aree interne e insulari; continuità</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bookmarkEnd w:id="3475"/>
    <w:bookmarkStart w:id="3476" w:name="c.6-la-formazione-e-le-competenze-13"/>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siciliani — Palermo, Catania, Messina e Kore di Enna; il livello post-universitario specialistico attraverso una formazione dedicata alla psicologia delle cure primarie, comprensiva della competenza per il disagio giovanile, indicato come priorità dal governo regionale, e per l’età anziana nelle province interne;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 La Sicilia presenta qui un elemento di metodo: il decreto attuativo definisce competenze, titoli e criteri di valutazione per l’iscrizione agli elenchi provinciali, base su cui innestare il percorso formativo del servizio in avvio. Definiti l’intervento e il suo modello, la parte che segue ne esamina l’efficacia e l’evidenza.</w:t>
      </w:r>
    </w:p>
    <w:tbl>
      <w:tblPr>
        <w:tblStyle w:val="Table"/>
        <w:tblW w:type="pct" w:w="495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09"/>
        <w:gridCol w:w="4396"/>
        <w:gridCol w:w="204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Atenei siciliani (Palermo, Catania, Messina, Kore di Enna)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delle cure primarie: modelli organizzativi, collaborazione, misure di esito, competenza giovanile e per l’età anziana</w:t>
            </w:r>
          </w:p>
        </w:tc>
        <w:tc>
          <w:tcPr>
            <w:shd w:val="clear" w:color="auto" w:fill="F4F1EC"/>
          </w:tcPr>
          <w:p>
            <w:pPr>
              <w:pStyle w:val="Compact"/>
              <w:spacing w:after="40" w:before="40"/>
              <w:jc w:val="left"/>
            </w:pPr>
            <w:r>
              <w:rPr>
                <w:rFonts w:ascii="Cambria" w:hAnsi="Cambria" w:cs="Cambria" w:eastAsia="Cambria"/>
                <w:color w:val="1A1A1A"/>
                <w:sz w:val="18"/>
              </w:rPr>
              <w:t xml:space="preserve">Titoli e criteri definiti dal decreto attuativo</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Tutor aziendali;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3476"/>
    <w:bookmarkEnd w:id="3477"/>
    <w:bookmarkStart w:id="3482" w:name="parte-d-efficacia-clinica-ed-evidenza-10"/>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Sicilia presenta un tratto proprio. La parte espone il metodo della revisione e i risultati di efficacia (capitolo D.1); ne gradua la qualità e ne dichiara una cautela economica essenziale (D.2); presenta i benchmark internazionali (D.3); e discute le esperienze italiane, la trasferibilità e l’evidenza locale siciliana (D.4). Quest’ultima presenta una condizione propria: poiché il servizio è in fase di avvio, la Sicilia non dispone ancora di dati di esito propri, sicché lo studio si fonda, per l’efficacia, sui benchmark internazionali, mentre l’evidenza locale si costituirà attraverso la relazione annuale prevista dalla legge man mano che il servizio raggiunge il regime.</w:t>
      </w:r>
    </w:p>
    <w:bookmarkStart w:id="3478" w:name="X9beef54e6e7198bdea5269d4c8b43481017e885"/>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3478"/>
    <w:bookmarkStart w:id="3479" w:name="X8b3ffc3d72c7dd1ef7d7341b0deadc5dc2f5033"/>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siciliano, ne corrobora la coerenza interna, poiché il caso economico della Sicilia — come si vedrà nella Parte E — è fondato anch’esso sulle ricadute sociali, e non su un risparmio diretto che la regione non potrebbe rivendicare con certezza statistica.</w:t>
      </w:r>
    </w:p>
    <w:bookmarkEnd w:id="3479"/>
    <w:bookmarkStart w:id="3480" w:name="d.3-i-benchmark-internazionali-12"/>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493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53"/>
        <w:gridCol w:w="2688"/>
        <w:gridCol w:w="308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Risultati principali</w:t>
            </w:r>
          </w:p>
        </w:tc>
      </w:tr>
      <w:tr>
        <w:tc>
          <w:tcPr/>
          <w:p>
            <w:pPr>
              <w:pStyle w:val="Compact"/>
              <w:spacing w:after="40" w:before="40"/>
              <w:jc w:val="left"/>
            </w:pPr>
            <w:r>
              <w:rPr>
                <w:rFonts w:ascii="Cambria" w:hAnsi="Cambria" w:cs="Cambria" w:eastAsia="Cambria"/>
                <w:b/>
                <w:bCs/>
                <w:color w:val="1A1A1A"/>
                <w:sz w:val="18"/>
              </w:rPr>
              <w:t xml:space="preserve">Regno Unito (NHS Talking Therapies)</w:t>
            </w:r>
          </w:p>
        </w:tc>
        <w:tc>
          <w:tcPr/>
          <w:p>
            <w:pPr>
              <w:pStyle w:val="Compact"/>
              <w:spacing w:after="40" w:before="40"/>
              <w:jc w:val="left"/>
            </w:pPr>
            <w:r>
              <w:rPr>
                <w:rFonts w:ascii="Cambria" w:hAnsi="Cambria" w:cs="Cambria" w:eastAsia="Cambria"/>
                <w:color w:val="1A1A1A"/>
                <w:sz w:val="18"/>
              </w:rPr>
              <w:t xml:space="preserve">Servizio integrato a intensità crescente</w:t>
            </w:r>
          </w:p>
        </w:tc>
        <w:tc>
          <w:tcPr/>
          <w:p>
            <w:pPr>
              <w:pStyle w:val="Compact"/>
              <w:spacing w:after="40" w:before="40"/>
              <w:jc w:val="left"/>
            </w:pPr>
            <w:r>
              <w:rPr>
                <w:rFonts w:ascii="Cambria" w:hAnsi="Cambria" w:cs="Cambria" w:eastAsia="Cambria"/>
                <w:color w:val="1A1A1A"/>
                <w:sz w:val="18"/>
              </w:rPr>
              <w:t xml:space="preserve">Recupero ~50%; monitoraggio esiti &gt;98%; &gt;1,3 milioni/anno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Paesi Bassi (POH-GGZ)</w:t>
            </w:r>
          </w:p>
        </w:tc>
        <w:tc>
          <w:tcPr>
            <w:shd w:val="clear" w:color="auto" w:fill="F4F1EC"/>
          </w:tcPr>
          <w:p>
            <w:pPr>
              <w:pStyle w:val="Compact"/>
              <w:spacing w:after="40" w:before="40"/>
              <w:jc w:val="left"/>
            </w:pPr>
            <w:r>
              <w:rPr>
                <w:rFonts w:ascii="Cambria" w:hAnsi="Cambria" w:cs="Cambria" w:eastAsia="Cambria"/>
                <w:color w:val="1A1A1A"/>
                <w:sz w:val="18"/>
              </w:rPr>
              <w:t xml:space="preserve">Supporto psicologico nello studio del medico di base</w:t>
            </w:r>
          </w:p>
        </w:tc>
        <w:tc>
          <w:tcPr>
            <w:shd w:val="clear" w:color="auto" w:fill="F4F1EC"/>
          </w:tcPr>
          <w:p>
            <w:pPr>
              <w:pStyle w:val="Compact"/>
              <w:spacing w:after="40" w:before="40"/>
              <w:jc w:val="left"/>
            </w:pPr>
            <w:r>
              <w:rPr>
                <w:rFonts w:ascii="Cambria" w:hAnsi="Cambria" w:cs="Cambria" w:eastAsia="Cambria"/>
                <w:color w:val="1A1A1A"/>
                <w:sz w:val="18"/>
              </w:rPr>
              <w:t xml:space="preserve">Adozione da ~tre quarti dei medici; ruolo complementare</w:t>
            </w:r>
          </w:p>
        </w:tc>
      </w:tr>
      <w:tr>
        <w:tc>
          <w:tcPr/>
          <w:p>
            <w:pPr>
              <w:pStyle w:val="Compact"/>
              <w:spacing w:after="40" w:before="40"/>
              <w:jc w:val="left"/>
            </w:pPr>
            <w:r>
              <w:rPr>
                <w:rFonts w:ascii="Cambria" w:hAnsi="Cambria" w:cs="Cambria" w:eastAsia="Cambria"/>
                <w:b/>
                <w:bCs/>
                <w:color w:val="1A1A1A"/>
                <w:sz w:val="18"/>
              </w:rPr>
              <w:t xml:space="preserve">Australia (Better Access)</w:t>
            </w:r>
          </w:p>
        </w:tc>
        <w:tc>
          <w:tcPr/>
          <w:p>
            <w:pPr>
              <w:pStyle w:val="Compact"/>
              <w:spacing w:after="40" w:before="40"/>
              <w:jc w:val="left"/>
            </w:pPr>
            <w:r>
              <w:rPr>
                <w:rFonts w:ascii="Cambria" w:hAnsi="Cambria" w:cs="Cambria" w:eastAsia="Cambria"/>
                <w:color w:val="1A1A1A"/>
                <w:sz w:val="18"/>
              </w:rPr>
              <w:t xml:space="preserve">Invio esterno a professionisti</w:t>
            </w:r>
          </w:p>
        </w:tc>
        <w:tc>
          <w:tcPr/>
          <w:p>
            <w:pPr>
              <w:pStyle w:val="Compact"/>
              <w:spacing w:after="40" w:before="40"/>
              <w:jc w:val="left"/>
            </w:pPr>
            <w:r>
              <w:rPr>
                <w:rFonts w:ascii="Cambria" w:hAnsi="Cambria" w:cs="Cambria" w:eastAsia="Cambria"/>
                <w:color w:val="1A1A1A"/>
                <w:sz w:val="18"/>
              </w:rPr>
              <w:t xml:space="preserve">Popolazione in trattamento dal 35% al 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Stati Uniti (Collaborative Care)</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 con monitoraggio</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3480"/>
    <w:bookmarkStart w:id="3481" w:name="Xe8bc8f04625fcadb696c66984ff2b80dec4c450"/>
    <w:p>
      <w:pPr>
        <w:pStyle w:val="Heading3"/>
      </w:pPr>
      <w:r>
        <w:t xml:space="preserve">D.4 Le esperienze italiane, la trasferibilità e l’evidenza locale</w:t>
      </w:r>
    </w:p>
    <w:p>
      <w:pPr>
        <w:pStyle w:val="FirstParagraph"/>
      </w:pPr>
      <w:r>
        <w:t xml:space="preserve">Sul piano nazionale, il quadro comprende i servizi avviati nelle regioni dotate di legge — fra cui la Campania, prima a istituire e attivare il servizio — e le esperienze pilota fondate su campioni limitati. La Sicilia, che ha istituito il servizio con la legge regionale 18 del 2023 e ne ha emanato il decreto attuativo, vi si colloca come regione in fase di avvio. Più in generale, i risultati internazionali provengono da sistemi diversi per organizzazione e finanziamento, e la loro trasposizione richiede validazione locale, evitando di trasferire meccanicamente le stime, soprattutto quelle economiche. È qui che la posizione della Sicilia presenta una condizione propria, da dichiarare con franchezza: poiché il servizio è in fase di avvio, l’evidenza locale è allo stato prevalentemente prospettica, e si costituirà attraverso la relazione annuale che la legge pone a carico degli psicologi delle cure primarie. La condizione della regione è dunque di costruire l’evidenza locale: la Sicilia dispone della cornice normativa completa, dell’infrastruttura informatica regionale e della rete delle Case della Comunità in costruzione, e può impostare fin dall’inizio una rilevazione uniforme fra le nove Aziende, generando dati propri solidi man mano che il servizio si struttura a regime.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3481"/>
    <w:bookmarkEnd w:id="3482"/>
    <w:bookmarkStart w:id="3489" w:name="parte-e-valutazione-economica-10"/>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alla Sicilia.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la Sicilia il risultato si lascia anticipare in una formula: il caso finanziario diretto è di modesto disavanzo prossimo al pareggio, il caso economico complessivo è fortemente positivo, e il valore dell’intervento risiede nelle ricadute sociali.</w:t>
      </w:r>
    </w:p>
    <w:bookmarkStart w:id="3483" w:name="e.1-limpianto-e-il-costo-del-servizio-5"/>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incarico dell’ordine di 55.000 euro comprensivo degli oneri, è dell’ordine di 34 milioni di euro nello scenario conservativo, 50 milioni in quello di base e 67 milioni in quello espansivo. I tre scenari rappresentano gradi crescenti di copertura verso il fabbisogno pieno; va ribadito che il servizio attualmente attivo, dell’ordine di 146 psicologi e in larga parte sostenuto da risorse transitorie, costituisce un nucleo iniziale inferiore allo stesso scenario conservativo, e non il regime qui considerato. La tabella seguente riepiloga il costo del servizio per scenario.</w:t>
      </w:r>
    </w:p>
    <w:tbl>
      <w:tblPr>
        <w:tblStyle w:val="Table"/>
        <w:tblW w:type="pct" w:w="48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54"/>
        <w:gridCol w:w="1851"/>
        <w:gridCol w:w="1851"/>
        <w:gridCol w:w="20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w:t>
            </w:r>
          </w:p>
        </w:tc>
        <w:tc>
          <w:tcPr>
            <w:shd w:val="clear" w:color="auto" w:fill="16264B"/>
          </w:tcPr>
          <w:p>
            <w:pPr>
              <w:pStyle w:val="Compact"/>
              <w:spacing w:after="40" w:before="40"/>
              <w:jc w:val="left"/>
            </w:pPr>
            <w:r>
              <w:rPr>
                <w:rFonts w:ascii="Cambria" w:hAnsi="Cambria" w:cs="Cambria" w:eastAsia="Cambria"/>
                <w:b/>
                <w:bCs/>
                <w:color w:val="FFFFFF"/>
                <w:sz w:val="18"/>
              </w:rPr>
              <w:t xml:space="preserve">Quota del FSR</w:t>
            </w:r>
          </w:p>
        </w:tc>
      </w:tr>
      <w:tr>
        <w:tc>
          <w:tcPr/>
          <w:p>
            <w:pPr>
              <w:pStyle w:val="Compact"/>
              <w:spacing w:after="40" w:before="40"/>
              <w:jc w:val="left"/>
            </w:pPr>
            <w:r>
              <w:rPr>
                <w:rFonts w:ascii="Cambria" w:hAnsi="Cambria" w:cs="Cambria" w:eastAsia="Cambria"/>
                <w:b/>
                <w:bCs/>
                <w:color w:val="1A1A1A"/>
                <w:sz w:val="18"/>
              </w:rPr>
              <w:t xml:space="preserve">Conservativo</w:t>
            </w:r>
          </w:p>
        </w:tc>
        <w:tc>
          <w:tcPr/>
          <w:p>
            <w:pPr>
              <w:pStyle w:val="Compact"/>
              <w:spacing w:after="40" w:before="40"/>
              <w:jc w:val="left"/>
            </w:pPr>
            <w:r>
              <w:rPr>
                <w:rFonts w:ascii="Cambria" w:hAnsi="Cambria" w:cs="Cambria" w:eastAsia="Cambria"/>
                <w:color w:val="1A1A1A"/>
                <w:sz w:val="18"/>
              </w:rPr>
              <w:t xml:space="preserve">~ 520</w:t>
            </w:r>
          </w:p>
        </w:tc>
        <w:tc>
          <w:tcPr/>
          <w:p>
            <w:pPr>
              <w:pStyle w:val="Compact"/>
              <w:spacing w:after="40" w:before="40"/>
              <w:jc w:val="left"/>
            </w:pPr>
            <w:r>
              <w:rPr>
                <w:rFonts w:ascii="Cambria" w:hAnsi="Cambria" w:cs="Cambria" w:eastAsia="Cambria"/>
                <w:color w:val="1A1A1A"/>
                <w:sz w:val="18"/>
              </w:rPr>
              <w:t xml:space="preserve">~ 29 milioni</w:t>
            </w:r>
          </w:p>
        </w:tc>
        <w:tc>
          <w:tcPr/>
          <w:p>
            <w:pPr>
              <w:pStyle w:val="Compact"/>
              <w:spacing w:after="40" w:before="40"/>
              <w:jc w:val="left"/>
            </w:pPr>
            <w:r>
              <w:rPr>
                <w:rFonts w:ascii="Cambria" w:hAnsi="Cambria" w:cs="Cambria" w:eastAsia="Cambria"/>
                <w:color w:val="1A1A1A"/>
                <w:sz w:val="18"/>
              </w:rPr>
              <w:t xml:space="preserve">~ 0,3%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Base</w:t>
            </w:r>
          </w:p>
        </w:tc>
        <w:tc>
          <w:tcPr>
            <w:shd w:val="clear" w:color="auto" w:fill="F4F1EC"/>
          </w:tcPr>
          <w:p>
            <w:pPr>
              <w:pStyle w:val="Compact"/>
              <w:spacing w:after="40" w:before="40"/>
              <w:jc w:val="left"/>
            </w:pPr>
            <w:r>
              <w:rPr>
                <w:rFonts w:ascii="Cambria" w:hAnsi="Cambria" w:cs="Cambria" w:eastAsia="Cambria"/>
                <w:color w:val="1A1A1A"/>
                <w:sz w:val="18"/>
              </w:rPr>
              <w:t xml:space="preserve">~ 780</w:t>
            </w:r>
          </w:p>
        </w:tc>
        <w:tc>
          <w:tcPr>
            <w:shd w:val="clear" w:color="auto" w:fill="F4F1EC"/>
          </w:tcPr>
          <w:p>
            <w:pPr>
              <w:pStyle w:val="Compact"/>
              <w:spacing w:after="40" w:before="40"/>
              <w:jc w:val="left"/>
            </w:pPr>
            <w:r>
              <w:rPr>
                <w:rFonts w:ascii="Cambria" w:hAnsi="Cambria" w:cs="Cambria" w:eastAsia="Cambria"/>
                <w:color w:val="1A1A1A"/>
                <w:sz w:val="18"/>
              </w:rPr>
              <w:t xml:space="preserve">~ 43 milioni</w:t>
            </w:r>
          </w:p>
        </w:tc>
        <w:tc>
          <w:tcPr>
            <w:shd w:val="clear" w:color="auto" w:fill="F4F1EC"/>
          </w:tcPr>
          <w:p>
            <w:pPr>
              <w:pStyle w:val="Compact"/>
              <w:spacing w:after="40" w:before="40"/>
              <w:jc w:val="left"/>
            </w:pPr>
            <w:r>
              <w:rPr>
                <w:rFonts w:ascii="Cambria" w:hAnsi="Cambria" w:cs="Cambria" w:eastAsia="Cambria"/>
                <w:color w:val="1A1A1A"/>
                <w:sz w:val="18"/>
              </w:rPr>
              <w:t xml:space="preserve">~ 0,4%</w:t>
            </w:r>
          </w:p>
        </w:tc>
      </w:tr>
      <w:tr>
        <w:tc>
          <w:tcPr/>
          <w:p>
            <w:pPr>
              <w:pStyle w:val="Compact"/>
              <w:spacing w:after="40" w:before="40"/>
              <w:jc w:val="left"/>
            </w:pPr>
            <w:r>
              <w:rPr>
                <w:rFonts w:ascii="Cambria" w:hAnsi="Cambria" w:cs="Cambria" w:eastAsia="Cambria"/>
                <w:b/>
                <w:bCs/>
                <w:color w:val="1A1A1A"/>
                <w:sz w:val="18"/>
              </w:rPr>
              <w:t xml:space="preserve">Espansivo</w:t>
            </w:r>
          </w:p>
        </w:tc>
        <w:tc>
          <w:tcPr/>
          <w:p>
            <w:pPr>
              <w:pStyle w:val="Compact"/>
              <w:spacing w:after="40" w:before="40"/>
              <w:jc w:val="left"/>
            </w:pPr>
            <w:r>
              <w:rPr>
                <w:rFonts w:ascii="Cambria" w:hAnsi="Cambria" w:cs="Cambria" w:eastAsia="Cambria"/>
                <w:color w:val="1A1A1A"/>
                <w:sz w:val="18"/>
              </w:rPr>
              <w:t xml:space="preserve">~ 1.030</w:t>
            </w:r>
          </w:p>
        </w:tc>
        <w:tc>
          <w:tcPr/>
          <w:p>
            <w:pPr>
              <w:pStyle w:val="Compact"/>
              <w:spacing w:after="40" w:before="40"/>
              <w:jc w:val="left"/>
            </w:pPr>
            <w:r>
              <w:rPr>
                <w:rFonts w:ascii="Cambria" w:hAnsi="Cambria" w:cs="Cambria" w:eastAsia="Cambria"/>
                <w:color w:val="1A1A1A"/>
                <w:sz w:val="18"/>
              </w:rPr>
              <w:t xml:space="preserve">~ 57 milioni</w:t>
            </w:r>
          </w:p>
        </w:tc>
        <w:tc>
          <w:tcPr/>
          <w:p>
            <w:pPr>
              <w:pStyle w:val="Compact"/>
              <w:spacing w:after="40" w:before="40"/>
              <w:jc w:val="left"/>
            </w:pPr>
            <w:r>
              <w:rPr>
                <w:rFonts w:ascii="Cambria" w:hAnsi="Cambria" w:cs="Cambria" w:eastAsia="Cambria"/>
                <w:color w:val="1A1A1A"/>
                <w:sz w:val="18"/>
              </w:rPr>
              <w:t xml:space="preserve">~ 0,5%</w:t>
            </w:r>
          </w:p>
        </w:tc>
      </w:tr>
    </w:tbl>
    <w:p>
      <w:pPr>
        <w:pStyle w:val="BodyText"/>
      </w:pPr>
      <w:r>
        <w:rPr>
          <w:i/>
          <w:iCs/>
        </w:rPr>
        <w:t xml:space="preserve">Tabella E.1. Il costo del servizio a regime nei tre scenari di copertura.</w:t>
      </w:r>
    </w:p>
    <w:bookmarkEnd w:id="3483"/>
    <w:bookmarkStart w:id="3484" w:name="X1d0c6a0830a16e76a3850033d872ef4096a6506"/>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4, 6 e 9 milioni di euro l’anno nei tre scenari. Il secondo è la riduzione della spesa farmaceutica inappropriata, dell’ordine di 4, 7 e 10 milioni. Il terzo, il più consistente, è la riduzione di ricoveri evitabili e di specialistica impropria, dell’ordine di 11, 17 e 29 milioni, con un margine di recupero ampio data la sotto-dotazione storica del sistema. Il quarto, il recupero della mobilità, è per la Sicilia modesto, dell’ordine di 4, 6 e 8 milioni: benché la regione presenti uno dei saldi passivi più elevati d’Italia, la fuga riguarda l’alta complessità ospedaliera e chirurgica, non la domanda psicologica, sicché questo canale contribuisce solo per la quota di domanda impropria, prevalentemente somatoforme, territorialmente intercettabile. La somma dei quattro canali è dell’ordine di 23, 36 e 56 milioni di euro l’anno, e determina, a fronte del costo del servizio, un saldo diretto lievemente negativo ma prossimo al pareggio, dell’ordine di −6, −7 e −1 milioni. La tabella seguente dettaglia i canali del risparmio diretto.</w:t>
      </w:r>
    </w:p>
    <w:tbl>
      <w:tblPr>
        <w:tblStyle w:val="Table"/>
        <w:tblW w:type="pct" w:w="490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888"/>
        <w:gridCol w:w="1296"/>
        <w:gridCol w:w="1296"/>
        <w:gridCol w:w="129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Accessi impropri al pronto soccorso</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6</w:t>
            </w:r>
          </w:p>
        </w:tc>
        <w:tc>
          <w:tcPr/>
          <w:p>
            <w:pPr>
              <w:pStyle w:val="Compact"/>
              <w:spacing w:after="40" w:before="40"/>
              <w:jc w:val="left"/>
            </w:pPr>
            <w:r>
              <w:rPr>
                <w:rFonts w:ascii="Cambria" w:hAnsi="Cambria" w:cs="Cambria" w:eastAsia="Cambria"/>
                <w:color w:val="1A1A1A"/>
                <w:sz w:val="18"/>
              </w:rPr>
              <w:t xml:space="preserve">~ 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Spesa farmaceutica inappropriata</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7</w:t>
            </w:r>
          </w:p>
        </w:tc>
        <w:tc>
          <w:tcPr>
            <w:shd w:val="clear" w:color="auto" w:fill="F4F1EC"/>
          </w:tcPr>
          <w:p>
            <w:pPr>
              <w:pStyle w:val="Compact"/>
              <w:spacing w:after="40" w:before="40"/>
              <w:jc w:val="left"/>
            </w:pPr>
            <w:r>
              <w:rPr>
                <w:rFonts w:ascii="Cambria" w:hAnsi="Cambria" w:cs="Cambria" w:eastAsia="Cambria"/>
                <w:color w:val="1A1A1A"/>
                <w:sz w:val="18"/>
              </w:rPr>
              <w:t xml:space="preserve">~ 10</w:t>
            </w:r>
          </w:p>
        </w:tc>
      </w:tr>
      <w:tr>
        <w:tc>
          <w:tcPr/>
          <w:p>
            <w:pPr>
              <w:pStyle w:val="Compact"/>
              <w:spacing w:after="40" w:before="40"/>
              <w:jc w:val="left"/>
            </w:pPr>
            <w:r>
              <w:rPr>
                <w:rFonts w:ascii="Cambria" w:hAnsi="Cambria" w:cs="Cambria" w:eastAsia="Cambria"/>
                <w:b/>
                <w:bCs/>
                <w:color w:val="1A1A1A"/>
                <w:sz w:val="18"/>
              </w:rPr>
              <w:t xml:space="preserve">Ricoveri evitabili e specialistica</w:t>
            </w:r>
          </w:p>
        </w:tc>
        <w:tc>
          <w:tcPr/>
          <w:p>
            <w:pPr>
              <w:pStyle w:val="Compact"/>
              <w:spacing w:after="40" w:before="40"/>
              <w:jc w:val="left"/>
            </w:pPr>
            <w:r>
              <w:rPr>
                <w:rFonts w:ascii="Cambria" w:hAnsi="Cambria" w:cs="Cambria" w:eastAsia="Cambria"/>
                <w:color w:val="1A1A1A"/>
                <w:sz w:val="18"/>
              </w:rPr>
              <w:t xml:space="preserve">~ 11</w:t>
            </w:r>
          </w:p>
        </w:tc>
        <w:tc>
          <w:tcPr/>
          <w:p>
            <w:pPr>
              <w:pStyle w:val="Compact"/>
              <w:spacing w:after="40" w:before="40"/>
              <w:jc w:val="left"/>
            </w:pPr>
            <w:r>
              <w:rPr>
                <w:rFonts w:ascii="Cambria" w:hAnsi="Cambria" w:cs="Cambria" w:eastAsia="Cambria"/>
                <w:color w:val="1A1A1A"/>
                <w:sz w:val="18"/>
              </w:rPr>
              <w:t xml:space="preserve">~ 17</w:t>
            </w:r>
          </w:p>
        </w:tc>
        <w:tc>
          <w:tcPr/>
          <w:p>
            <w:pPr>
              <w:pStyle w:val="Compact"/>
              <w:spacing w:after="40" w:before="40"/>
              <w:jc w:val="left"/>
            </w:pPr>
            <w:r>
              <w:rPr>
                <w:rFonts w:ascii="Cambria" w:hAnsi="Cambria" w:cs="Cambria" w:eastAsia="Cambria"/>
                <w:color w:val="1A1A1A"/>
                <w:sz w:val="18"/>
              </w:rPr>
              <w:t xml:space="preserve">~ 29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Recupero della mobilità (frazione territoriale)</w:t>
            </w:r>
          </w:p>
        </w:tc>
        <w:tc>
          <w:tcPr>
            <w:shd w:val="clear" w:color="auto" w:fill="F4F1EC"/>
          </w:tcPr>
          <w:p>
            <w:pPr>
              <w:pStyle w:val="Compact"/>
              <w:spacing w:after="40" w:before="40"/>
              <w:jc w:val="left"/>
            </w:pPr>
            <w:r>
              <w:rPr>
                <w:rFonts w:ascii="Cambria" w:hAnsi="Cambria" w:cs="Cambria" w:eastAsia="Cambria"/>
                <w:color w:val="1A1A1A"/>
                <w:sz w:val="18"/>
              </w:rPr>
              <w:t xml:space="preserve">~ 4</w:t>
            </w:r>
          </w:p>
        </w:tc>
        <w:tc>
          <w:tcPr>
            <w:shd w:val="clear" w:color="auto" w:fill="F4F1EC"/>
          </w:tcPr>
          <w:p>
            <w:pPr>
              <w:pStyle w:val="Compact"/>
              <w:spacing w:after="40" w:before="40"/>
              <w:jc w:val="left"/>
            </w:pPr>
            <w:r>
              <w:rPr>
                <w:rFonts w:ascii="Cambria" w:hAnsi="Cambria" w:cs="Cambria" w:eastAsia="Cambria"/>
                <w:color w:val="1A1A1A"/>
                <w:sz w:val="18"/>
              </w:rPr>
              <w:t xml:space="preserve">~ 6</w:t>
            </w:r>
          </w:p>
        </w:tc>
        <w:tc>
          <w:tcPr>
            <w:shd w:val="clear" w:color="auto" w:fill="F4F1EC"/>
          </w:tcPr>
          <w:p>
            <w:pPr>
              <w:pStyle w:val="Compact"/>
              <w:spacing w:after="40" w:before="40"/>
              <w:jc w:val="left"/>
            </w:pPr>
            <w:r>
              <w:rPr>
                <w:rFonts w:ascii="Cambria" w:hAnsi="Cambria" w:cs="Cambria" w:eastAsia="Cambria"/>
                <w:color w:val="1A1A1A"/>
                <w:sz w:val="18"/>
              </w:rPr>
              <w:t xml:space="preserve">~ 8</w:t>
            </w:r>
          </w:p>
        </w:tc>
      </w:tr>
      <w:tr>
        <w:tc>
          <w:tcPr/>
          <w:p>
            <w:pPr>
              <w:pStyle w:val="Compact"/>
              <w:spacing w:after="40" w:before="40"/>
              <w:jc w:val="left"/>
            </w:pPr>
            <w:r>
              <w:rPr>
                <w:rFonts w:ascii="Cambria" w:hAnsi="Cambria" w:cs="Cambria" w:eastAsia="Cambria"/>
                <w:b/>
                <w:bCs/>
                <w:color w:val="1A1A1A"/>
                <w:sz w:val="18"/>
              </w:rPr>
              <w:t xml:space="preserve">Totale risparmi diretti</w:t>
            </w:r>
          </w:p>
        </w:tc>
        <w:tc>
          <w:tcPr/>
          <w:p>
            <w:pPr>
              <w:pStyle w:val="Compact"/>
              <w:spacing w:after="40" w:before="40"/>
              <w:jc w:val="left"/>
            </w:pPr>
            <w:r>
              <w:rPr>
                <w:rFonts w:ascii="Cambria" w:hAnsi="Cambria" w:cs="Cambria" w:eastAsia="Cambria"/>
                <w:color w:val="1A1A1A"/>
                <w:sz w:val="18"/>
              </w:rPr>
              <w:t xml:space="preserve">~ 23</w:t>
            </w:r>
          </w:p>
        </w:tc>
        <w:tc>
          <w:tcPr/>
          <w:p>
            <w:pPr>
              <w:pStyle w:val="Compact"/>
              <w:spacing w:after="40" w:before="40"/>
              <w:jc w:val="left"/>
            </w:pPr>
            <w:r>
              <w:rPr>
                <w:rFonts w:ascii="Cambria" w:hAnsi="Cambria" w:cs="Cambria" w:eastAsia="Cambria"/>
                <w:color w:val="1A1A1A"/>
                <w:sz w:val="18"/>
              </w:rPr>
              <w:t xml:space="preserve">~ 36</w:t>
            </w:r>
          </w:p>
        </w:tc>
        <w:tc>
          <w:tcPr/>
          <w:p>
            <w:pPr>
              <w:pStyle w:val="Compact"/>
              <w:spacing w:after="40" w:before="40"/>
              <w:jc w:val="left"/>
            </w:pPr>
            <w:r>
              <w:rPr>
                <w:rFonts w:ascii="Cambria" w:hAnsi="Cambria" w:cs="Cambria" w:eastAsia="Cambria"/>
                <w:color w:val="1A1A1A"/>
                <w:sz w:val="18"/>
              </w:rPr>
              <w:t xml:space="preserve">~ 56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29</w:t>
            </w:r>
          </w:p>
        </w:tc>
        <w:tc>
          <w:tcPr>
            <w:shd w:val="clear" w:color="auto" w:fill="F4F1EC"/>
          </w:tcPr>
          <w:p>
            <w:pPr>
              <w:pStyle w:val="Compact"/>
              <w:spacing w:after="40" w:before="40"/>
              <w:jc w:val="left"/>
            </w:pPr>
            <w:r>
              <w:rPr>
                <w:rFonts w:ascii="Cambria" w:hAnsi="Cambria" w:cs="Cambria" w:eastAsia="Cambria"/>
                <w:color w:val="1A1A1A"/>
                <w:sz w:val="18"/>
              </w:rPr>
              <w:t xml:space="preserve">~ 43</w:t>
            </w:r>
          </w:p>
        </w:tc>
        <w:tc>
          <w:tcPr>
            <w:shd w:val="clear" w:color="auto" w:fill="F4F1EC"/>
          </w:tcPr>
          <w:p>
            <w:pPr>
              <w:pStyle w:val="Compact"/>
              <w:spacing w:after="40" w:before="40"/>
              <w:jc w:val="left"/>
            </w:pPr>
            <w:r>
              <w:rPr>
                <w:rFonts w:ascii="Cambria" w:hAnsi="Cambria" w:cs="Cambria" w:eastAsia="Cambria"/>
                <w:color w:val="1A1A1A"/>
                <w:sz w:val="18"/>
              </w:rPr>
              <w:t xml:space="preserve">~ 57</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−6</w:t>
            </w:r>
          </w:p>
        </w:tc>
        <w:tc>
          <w:tcPr/>
          <w:p>
            <w:pPr>
              <w:pStyle w:val="Compact"/>
              <w:spacing w:after="40" w:before="40"/>
              <w:jc w:val="left"/>
            </w:pPr>
            <w:r>
              <w:rPr>
                <w:rFonts w:ascii="Cambria" w:hAnsi="Cambria" w:cs="Cambria" w:eastAsia="Cambria"/>
                <w:color w:val="1A1A1A"/>
                <w:sz w:val="18"/>
              </w:rPr>
              <w:t xml:space="preserve">~ −7</w:t>
            </w:r>
          </w:p>
        </w:tc>
        <w:tc>
          <w:tcPr/>
          <w:p>
            <w:pPr>
              <w:pStyle w:val="Compact"/>
              <w:spacing w:after="40" w:before="40"/>
              <w:jc w:val="left"/>
            </w:pPr>
            <w:r>
              <w:rPr>
                <w:rFonts w:ascii="Cambria" w:hAnsi="Cambria" w:cs="Cambria" w:eastAsia="Cambria"/>
                <w:color w:val="1A1A1A"/>
                <w:sz w:val="18"/>
              </w:rPr>
              <w:t xml:space="preserve">~ −1</w:t>
            </w:r>
          </w:p>
        </w:tc>
      </w:tr>
    </w:tbl>
    <w:p>
      <w:pPr>
        <w:pStyle w:val="BodyText"/>
      </w:pPr>
      <w:r>
        <w:rPr>
          <w:i/>
          <w:iCs/>
        </w:rPr>
        <w:t xml:space="preserve">Tabella E.2. I risparmi diretti per il bilancio sanitario regionale e il saldo diretto.</w:t>
      </w:r>
    </w:p>
    <w:bookmarkEnd w:id="3484"/>
    <w:bookmarkStart w:id="3485" w:name="e.3-le-ricadute-economico-sociali-5"/>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di particolare rilievo per la componente giovanile — il valore del benessere recuperato e il minor carico assistenziale sulle famiglie, e sono stimate, secondo i criteri prudenziali dello studio, nell’ordine di 90, 170 e 255 milioni di euro l’anno nei tre scenari. Sommate ai risparmi diretti, esse determinano un ritorno complessivo dell’ordine di 113, 206 e 311 milioni di euro l’anno, e un saldo complessivo per la collettività ampiamente positivo, dell’ordine di +84, +163 e +254 milioni. Ne discende un rapporto beneficio-costo complessivo dell’ordine di 3,9 a uno nello scenario conservativo, 4,8 a uno in quello di base e 5,5 a uno in quello espansivo, interamente compreso nella banda prudenziale adottata.</w:t>
      </w:r>
    </w:p>
    <w:bookmarkEnd w:id="3485"/>
    <w:bookmarkStart w:id="3486" w:name="Xbee540374062758d90734c4620203f1e13dfca5"/>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siciliano.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molto contenuto per il bilancio sanitario. La tabella consolidata che segue è lo strumento sintetico per la decisione, e distingue in ogni voce la dimensione diretta da quella sociale.</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Voce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29</w:t>
            </w:r>
          </w:p>
        </w:tc>
        <w:tc>
          <w:tcPr/>
          <w:p>
            <w:pPr>
              <w:pStyle w:val="Compact"/>
              <w:spacing w:after="40" w:before="40"/>
              <w:jc w:val="left"/>
            </w:pPr>
            <w:r>
              <w:rPr>
                <w:rFonts w:ascii="Cambria" w:hAnsi="Cambria" w:cs="Cambria" w:eastAsia="Cambria"/>
                <w:color w:val="1A1A1A"/>
                <w:sz w:val="18"/>
              </w:rPr>
              <w:t xml:space="preserve">~ 43</w:t>
            </w:r>
          </w:p>
        </w:tc>
        <w:tc>
          <w:tcPr/>
          <w:p>
            <w:pPr>
              <w:pStyle w:val="Compact"/>
              <w:spacing w:after="40" w:before="40"/>
              <w:jc w:val="left"/>
            </w:pPr>
            <w:r>
              <w:rPr>
                <w:rFonts w:ascii="Cambria" w:hAnsi="Cambria" w:cs="Cambria" w:eastAsia="Cambria"/>
                <w:color w:val="1A1A1A"/>
                <w:sz w:val="18"/>
              </w:rPr>
              <w:t xml:space="preserve">~ 57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23</w:t>
            </w:r>
          </w:p>
        </w:tc>
        <w:tc>
          <w:tcPr>
            <w:shd w:val="clear" w:color="auto" w:fill="F4F1EC"/>
          </w:tcPr>
          <w:p>
            <w:pPr>
              <w:pStyle w:val="Compact"/>
              <w:spacing w:after="40" w:before="40"/>
              <w:jc w:val="left"/>
            </w:pPr>
            <w:r>
              <w:rPr>
                <w:rFonts w:ascii="Cambria" w:hAnsi="Cambria" w:cs="Cambria" w:eastAsia="Cambria"/>
                <w:color w:val="1A1A1A"/>
                <w:sz w:val="18"/>
              </w:rPr>
              <w:t xml:space="preserve">~ 36</w:t>
            </w:r>
          </w:p>
        </w:tc>
        <w:tc>
          <w:tcPr>
            <w:shd w:val="clear" w:color="auto" w:fill="F4F1EC"/>
          </w:tcPr>
          <w:p>
            <w:pPr>
              <w:pStyle w:val="Compact"/>
              <w:spacing w:after="40" w:before="40"/>
              <w:jc w:val="left"/>
            </w:pPr>
            <w:r>
              <w:rPr>
                <w:rFonts w:ascii="Cambria" w:hAnsi="Cambria" w:cs="Cambria" w:eastAsia="Cambria"/>
                <w:color w:val="1A1A1A"/>
                <w:sz w:val="18"/>
              </w:rPr>
              <w:t xml:space="preserve">~ 56</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−6</w:t>
            </w:r>
          </w:p>
        </w:tc>
        <w:tc>
          <w:tcPr/>
          <w:p>
            <w:pPr>
              <w:pStyle w:val="Compact"/>
              <w:spacing w:after="40" w:before="40"/>
              <w:jc w:val="left"/>
            </w:pPr>
            <w:r>
              <w:rPr>
                <w:rFonts w:ascii="Cambria" w:hAnsi="Cambria" w:cs="Cambria" w:eastAsia="Cambria"/>
                <w:color w:val="1A1A1A"/>
                <w:sz w:val="18"/>
              </w:rPr>
              <w:t xml:space="preserve">~ −7</w:t>
            </w:r>
          </w:p>
        </w:tc>
        <w:tc>
          <w:tcPr/>
          <w:p>
            <w:pPr>
              <w:pStyle w:val="Compact"/>
              <w:spacing w:after="40" w:before="40"/>
              <w:jc w:val="left"/>
            </w:pPr>
            <w:r>
              <w:rPr>
                <w:rFonts w:ascii="Cambria" w:hAnsi="Cambria" w:cs="Cambria" w:eastAsia="Cambria"/>
                <w:color w:val="1A1A1A"/>
                <w:sz w:val="18"/>
              </w:rPr>
              <w:t xml:space="preserve">~ −1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90</w:t>
            </w:r>
          </w:p>
        </w:tc>
        <w:tc>
          <w:tcPr>
            <w:shd w:val="clear" w:color="auto" w:fill="F4F1EC"/>
          </w:tcPr>
          <w:p>
            <w:pPr>
              <w:pStyle w:val="Compact"/>
              <w:spacing w:after="40" w:before="40"/>
              <w:jc w:val="left"/>
            </w:pPr>
            <w:r>
              <w:rPr>
                <w:rFonts w:ascii="Cambria" w:hAnsi="Cambria" w:cs="Cambria" w:eastAsia="Cambria"/>
                <w:color w:val="1A1A1A"/>
                <w:sz w:val="18"/>
              </w:rPr>
              <w:t xml:space="preserve">~ 170</w:t>
            </w:r>
          </w:p>
        </w:tc>
        <w:tc>
          <w:tcPr>
            <w:shd w:val="clear" w:color="auto" w:fill="F4F1EC"/>
          </w:tcPr>
          <w:p>
            <w:pPr>
              <w:pStyle w:val="Compact"/>
              <w:spacing w:after="40" w:before="40"/>
              <w:jc w:val="left"/>
            </w:pPr>
            <w:r>
              <w:rPr>
                <w:rFonts w:ascii="Cambria" w:hAnsi="Cambria" w:cs="Cambria" w:eastAsia="Cambria"/>
                <w:color w:val="1A1A1A"/>
                <w:sz w:val="18"/>
              </w:rPr>
              <w:t xml:space="preserve">~ 255</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 113</w:t>
            </w:r>
          </w:p>
        </w:tc>
        <w:tc>
          <w:tcPr/>
          <w:p>
            <w:pPr>
              <w:pStyle w:val="Compact"/>
              <w:spacing w:after="40" w:before="40"/>
              <w:jc w:val="left"/>
            </w:pPr>
            <w:r>
              <w:rPr>
                <w:rFonts w:ascii="Cambria" w:hAnsi="Cambria" w:cs="Cambria" w:eastAsia="Cambria"/>
                <w:color w:val="1A1A1A"/>
                <w:sz w:val="18"/>
              </w:rPr>
              <w:t xml:space="preserve">~ 206</w:t>
            </w:r>
          </w:p>
        </w:tc>
        <w:tc>
          <w:tcPr/>
          <w:p>
            <w:pPr>
              <w:pStyle w:val="Compact"/>
              <w:spacing w:after="40" w:before="40"/>
              <w:jc w:val="left"/>
            </w:pPr>
            <w:r>
              <w:rPr>
                <w:rFonts w:ascii="Cambria" w:hAnsi="Cambria" w:cs="Cambria" w:eastAsia="Cambria"/>
                <w:color w:val="1A1A1A"/>
                <w:sz w:val="18"/>
              </w:rPr>
              <w:t xml:space="preserve">~ 311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 +84</w:t>
            </w:r>
          </w:p>
        </w:tc>
        <w:tc>
          <w:tcPr>
            <w:shd w:val="clear" w:color="auto" w:fill="F4F1EC"/>
          </w:tcPr>
          <w:p>
            <w:pPr>
              <w:pStyle w:val="Compact"/>
              <w:spacing w:after="40" w:before="40"/>
              <w:jc w:val="left"/>
            </w:pPr>
            <w:r>
              <w:rPr>
                <w:rFonts w:ascii="Cambria" w:hAnsi="Cambria" w:cs="Cambria" w:eastAsia="Cambria"/>
                <w:color w:val="1A1A1A"/>
                <w:sz w:val="18"/>
              </w:rPr>
              <w:t xml:space="preserve">~ +163</w:t>
            </w:r>
          </w:p>
        </w:tc>
        <w:tc>
          <w:tcPr>
            <w:shd w:val="clear" w:color="auto" w:fill="F4F1EC"/>
          </w:tcPr>
          <w:p>
            <w:pPr>
              <w:pStyle w:val="Compact"/>
              <w:spacing w:after="40" w:before="40"/>
              <w:jc w:val="left"/>
            </w:pPr>
            <w:r>
              <w:rPr>
                <w:rFonts w:ascii="Cambria" w:hAnsi="Cambria" w:cs="Cambria" w:eastAsia="Cambria"/>
                <w:color w:val="1A1A1A"/>
                <w:sz w:val="18"/>
              </w:rPr>
              <w:t xml:space="preserve">~ +254</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 3,9:1</w:t>
            </w:r>
          </w:p>
        </w:tc>
        <w:tc>
          <w:tcPr/>
          <w:p>
            <w:pPr>
              <w:pStyle w:val="Compact"/>
              <w:spacing w:after="40" w:before="40"/>
              <w:jc w:val="left"/>
            </w:pPr>
            <w:r>
              <w:rPr>
                <w:rFonts w:ascii="Cambria" w:hAnsi="Cambria" w:cs="Cambria" w:eastAsia="Cambria"/>
                <w:color w:val="1A1A1A"/>
                <w:sz w:val="18"/>
              </w:rPr>
              <w:t xml:space="preserve">~ 4,8:1</w:t>
            </w:r>
          </w:p>
        </w:tc>
        <w:tc>
          <w:tcPr/>
          <w:p>
            <w:pPr>
              <w:pStyle w:val="Compact"/>
              <w:spacing w:after="40" w:before="40"/>
              <w:jc w:val="left"/>
            </w:pPr>
            <w:r>
              <w:rPr>
                <w:rFonts w:ascii="Cambria" w:hAnsi="Cambria" w:cs="Cambria" w:eastAsia="Cambria"/>
                <w:color w:val="1A1A1A"/>
                <w:sz w:val="18"/>
              </w:rPr>
              <w:t xml:space="preserve">~ 5,5:1</w:t>
            </w:r>
          </w:p>
        </w:tc>
      </w:tr>
    </w:tbl>
    <w:p>
      <w:pPr>
        <w:pStyle w:val="BodyText"/>
      </w:pPr>
      <w:r>
        <w:rPr>
          <w:i/>
          <w:iCs/>
        </w:rPr>
        <w:t xml:space="preserve">Tabella E.3. Il quadro economico consolidato, con la distinzione fra caso finanziario e caso economico.</w:t>
      </w:r>
    </w:p>
    <w:bookmarkEnd w:id="3486"/>
    <w:bookmarkStart w:id="3487" w:name="X881819698da9be35c9f5dc54a84924ef63e9093"/>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491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272"/>
        <w:gridCol w:w="1272"/>
        <w:gridCol w:w="18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Comparatore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atteso per paziente</w:t>
            </w:r>
          </w:p>
        </w:tc>
        <w:tc>
          <w:tcPr/>
          <w:p>
            <w:pPr>
              <w:pStyle w:val="Compact"/>
              <w:spacing w:after="40" w:before="40"/>
              <w:jc w:val="left"/>
            </w:pPr>
            <w:r>
              <w:rPr>
                <w:rFonts w:ascii="Cambria" w:hAnsi="Cambria" w:cs="Cambria" w:eastAsia="Cambria"/>
                <w:color w:val="1A1A1A"/>
                <w:sz w:val="18"/>
              </w:rPr>
              <w:t xml:space="preserve">~ 3.799 euro</w:t>
            </w:r>
          </w:p>
        </w:tc>
        <w:tc>
          <w:tcPr/>
          <w:p>
            <w:pPr>
              <w:pStyle w:val="Compact"/>
              <w:spacing w:after="40" w:before="40"/>
              <w:jc w:val="left"/>
            </w:pPr>
            <w:r>
              <w:rPr>
                <w:rFonts w:ascii="Cambria" w:hAnsi="Cambria" w:cs="Cambria" w:eastAsia="Cambria"/>
                <w:color w:val="1A1A1A"/>
                <w:sz w:val="18"/>
              </w:rPr>
              <w:t xml:space="preserve">~ 2.495 euro</w:t>
            </w:r>
          </w:p>
        </w:tc>
        <w:tc>
          <w:tcPr/>
          <w:p>
            <w:pPr>
              <w:pStyle w:val="Compact"/>
              <w:spacing w:after="40" w:before="40"/>
              <w:jc w:val="left"/>
            </w:pPr>
            <w:r>
              <w:rPr>
                <w:rFonts w:ascii="Cambria" w:hAnsi="Cambria" w:cs="Cambria" w:eastAsia="Cambria"/>
                <w:color w:val="1A1A1A"/>
                <w:sz w:val="18"/>
              </w:rPr>
              <w:t xml:space="preserve">− 1.304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Anni di vita ponderati (QALY)</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Intervento dominante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(soglia 30.000 euro/QALY)</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88,9% delle simulazioni</w:t>
            </w:r>
          </w:p>
        </w:tc>
      </w:tr>
    </w:tbl>
    <w:p>
      <w:pPr>
        <w:pStyle w:val="BodyText"/>
      </w:pPr>
      <w:r>
        <w:rPr>
          <w:i/>
          <w:iCs/>
        </w:rPr>
        <w:t xml:space="preserve">Tabella E.4. L</w:t>
      </w:r>
      <w:r>
        <w:rPr>
          <w:b/>
          <w:bCs/>
          <w:i/>
          <w:iCs/>
        </w:rPr>
        <w:t xml:space="preserve">’</w:t>
      </w:r>
      <w:r>
        <w:rPr>
          <w:i/>
          <w:iCs/>
        </w:rPr>
        <w:t xml:space="preserve">analisi costo-utilità per paziente trattato (modello di Markov a cinque anni).</w:t>
      </w:r>
    </w:p>
    <w:bookmarkEnd w:id="3487"/>
    <w:bookmarkStart w:id="3488" w:name="Xad5e6186e226dec1b334a686adec98b88d952ad"/>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0,5% in quello espansivo; la sostenibilità è condizionata dal fatto che la Sicilia, regione a statuto speciale, compartecipa al finanziamento nella misura del 49,11% del fabbisogno e resta sottoposta a piano di rientro, sicché il vincolo diretto è più stretto, pur a fronte di un sistema sotto-finanziato con ampio margine di recupero e di un ticket che attenua il costo netto. Resta da dichiarare con franchezza la lacuna dei dati: le grandezze economiche sono in parte ricostruite dai conti nazionali per quota di popolazione e non estratte dai conti certificati delle Aziende; poiché il servizio è in fase di avvio, la Sicilia non dispone ancora di una base di dati operativi propri, sicché la stima poggia sui benchmark, e la relazione annuale prevista dalla legge ne sarà la fonte primaria; l’estrazione dei dati certificati resta la priorità da completare. La sintesi è univoca: il caso diretto è prudente e prossimo al pareggio,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w:t>
      </w:r>
      <w:r>
        <w:rPr>
          <w:b/>
          <w:bCs/>
          <w:i/>
          <w:iCs/>
        </w:rPr>
        <w:t xml:space="preserve">’</w:t>
      </w:r>
      <w:r>
        <w:rPr>
          <w:i/>
          <w:iCs/>
        </w:rPr>
        <w:t xml:space="preserve">informazione</w:t>
      </w:r>
    </w:p>
    <w:p>
      <w:pPr>
        <w:pStyle w:val="BodyText"/>
      </w:pPr>
      <w:r>
        <w:t xml:space="preserve">Quinto dominio dell’HTA · la robustezza della valutazione economica</w:t>
      </w:r>
    </w:p>
    <w:bookmarkEnd w:id="3488"/>
    <w:bookmarkEnd w:id="3489"/>
    <w:bookmarkStart w:id="3512" w:name="parte-f-modellazione-e-incertezza-10"/>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Sicilia quest’ultimo capitolo riveste un’importanza particolare: poiché il servizio è in fase di avvio, la prova empirica si ancora inizialmente ai benchmark, ma l’attivazione scaglionata degli elenchi provinciali offre l’opportunità di impostare fin dall’inizio una rilevazione uniforme fra le nove Aziende, presupposto di un’evidenza locale solida.</w:t>
      </w:r>
    </w:p>
    <w:bookmarkStart w:id="3496" w:name="Xcb547dbe14f7dd5fb97268855b9212d02970aa7"/>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3409"/>
      </w:r>
      <w:r>
        <w:rPr>
          <w:rStyle w:val="FootnoteReference"/>
        </w:rPr>
        <w:footnoteReference w:id="3410"/>
      </w:r>
      <w:r>
        <w:rPr>
          <w:rStyle w:val="FootnoteReference"/>
        </w:rPr>
        <w:footnoteReference w:id="3411"/>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3412"/>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3413"/>
      </w:r>
      <w:r>
        <w:t xml:space="preserve"> </w:t>
      </w:r>
      <w:r>
        <w:t xml:space="preserve">Nel caso base l’intervento è dominante, con un risparmio per paziente dell’ordine di 1.304 euro e un guadagno di 0,236 anni di vita ponderati per la qualità.</w:t>
      </w:r>
      <w:r>
        <w:rPr>
          <w:rStyle w:val="FootnoteReference"/>
        </w:rPr>
        <w:footnoteReference w:id="3414"/>
      </w:r>
      <w:r>
        <w:t xml:space="preserve"> </w:t>
      </w:r>
      <w:r>
        <w:t xml:space="preserve">La tabella seguente riepiloga i parametri principali del modello.</w:t>
      </w:r>
    </w:p>
    <w:tbl>
      <w:tblPr>
        <w:tblStyle w:val="Table"/>
        <w:tblW w:type="pct" w:w="489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01"/>
        <w:gridCol w:w="475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Stati clinici</w:t>
            </w:r>
          </w:p>
        </w:tc>
        <w:tc>
          <w:tcPr/>
          <w:p>
            <w:pPr>
              <w:pStyle w:val="Compact"/>
              <w:spacing w:after="40" w:before="40"/>
              <w:jc w:val="left"/>
            </w:pPr>
            <w:r>
              <w:rPr>
                <w:rFonts w:ascii="Cambria" w:hAnsi="Cambria" w:cs="Cambria" w:eastAsia="Cambria"/>
                <w:color w:val="1A1A1A"/>
                <w:sz w:val="18"/>
              </w:rPr>
              <w:t xml:space="preserve">Benessere o sottosoglia, episodio, cronicità, recupero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Cinque anni, con cicli successivi</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(recupero)</w:t>
            </w:r>
          </w:p>
        </w:tc>
        <w:tc>
          <w:tcPr>
            <w:shd w:val="clear" w:color="auto" w:fill="F4F1EC"/>
          </w:tcPr>
          <w:p>
            <w:pPr>
              <w:pStyle w:val="Compact"/>
              <w:spacing w:after="40" w:before="40"/>
              <w:jc w:val="left"/>
            </w:pPr>
            <w:r>
              <w:rPr>
                <w:rFonts w:ascii="Cambria" w:hAnsi="Cambria" w:cs="Cambria" w:eastAsia="Cambria"/>
                <w:color w:val="1A1A1A"/>
                <w:sz w:val="18"/>
              </w:rPr>
              <w:t xml:space="preserve">~ 40 euro</w:t>
            </w:r>
          </w:p>
        </w:tc>
      </w:tr>
      <w:tr>
        <w:tc>
          <w:tcPr/>
          <w:p>
            <w:pPr>
              <w:pStyle w:val="Compact"/>
              <w:spacing w:after="40" w:before="40"/>
              <w:jc w:val="left"/>
            </w:pPr>
            <w:r>
              <w:rPr>
                <w:rFonts w:ascii="Cambria" w:hAnsi="Cambria" w:cs="Cambria" w:eastAsia="Cambria"/>
                <w:b/>
                <w:bCs/>
                <w:color w:val="1A1A1A"/>
                <w:sz w:val="18"/>
              </w:rPr>
              <w:t xml:space="preserve">Costo per ciclo (cronicità)</w:t>
            </w:r>
          </w:p>
        </w:tc>
        <w:tc>
          <w:tcPr/>
          <w:p>
            <w:pPr>
              <w:pStyle w:val="Compact"/>
              <w:spacing w:after="40" w:before="40"/>
              <w:jc w:val="left"/>
            </w:pPr>
            <w:r>
              <w:rPr>
                <w:rFonts w:ascii="Cambria" w:hAnsi="Cambria" w:cs="Cambria" w:eastAsia="Cambria"/>
                <w:color w:val="1A1A1A"/>
                <w:sz w:val="18"/>
              </w:rPr>
              <w:t xml:space="preserve">~ 700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 300 euro una tantum</w:t>
            </w:r>
          </w:p>
        </w:tc>
      </w:tr>
      <w:tr>
        <w:tc>
          <w:tcPr/>
          <w:p>
            <w:pPr>
              <w:pStyle w:val="Compact"/>
              <w:spacing w:after="40" w:before="40"/>
              <w:jc w:val="left"/>
            </w:pPr>
            <w:r>
              <w:rPr>
                <w:rFonts w:ascii="Cambria" w:hAnsi="Cambria" w:cs="Cambria" w:eastAsia="Cambria"/>
                <w:b/>
                <w:bCs/>
                <w:color w:val="1A1A1A"/>
                <w:sz w:val="18"/>
              </w:rPr>
              <w:t xml:space="preserve">Trattamento dell’incertezza</w:t>
            </w:r>
          </w:p>
        </w:tc>
        <w:tc>
          <w:tcPr/>
          <w:p>
            <w:pPr>
              <w:pStyle w:val="Compact"/>
              <w:spacing w:after="40" w:before="40"/>
              <w:jc w:val="left"/>
            </w:pPr>
            <w:r>
              <w:rPr>
                <w:rFonts w:ascii="Cambria" w:hAnsi="Cambria" w:cs="Cambria" w:eastAsia="Cambria"/>
                <w:color w:val="1A1A1A"/>
                <w:sz w:val="18"/>
              </w:rPr>
              <w:t xml:space="preserve">Parametri come distribuzioni di probabilità</w:t>
            </w:r>
          </w:p>
        </w:tc>
      </w:tr>
    </w:tbl>
    <w:p>
      <w:pPr>
        <w:pStyle w:val="BodyText"/>
      </w:pPr>
      <w:r>
        <w:rPr>
          <w:i/>
          <w:iCs/>
        </w:rPr>
        <w:t xml:space="preserve">Tabella F.1. I parametri principali del modello di Markov (comune a tutti gli studi della serie).</w:t>
      </w:r>
    </w:p>
    <w:bookmarkEnd w:id="3496"/>
    <w:bookmarkStart w:id="3499" w:name="Xa4cd5560577b81ccf333955954d59dcdfe1aba3"/>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3415"/>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3416"/>
      </w:r>
    </w:p>
    <w:bookmarkEnd w:id="3499"/>
    <w:bookmarkStart w:id="3502" w:name="X8977b90f7e44512250f86030f1ca62db34a64ab"/>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3417"/>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3418"/>
      </w:r>
      <w:r>
        <w:t xml:space="preserve"> </w:t>
      </w:r>
      <w:r>
        <w:t xml:space="preserve">La tabella seguente riepiloga gli esiti della sensibilità probabilistica.</w:t>
      </w:r>
    </w:p>
    <w:tbl>
      <w:tblPr>
        <w:tblStyle w:val="Table"/>
        <w:tblW w:type="pct" w:w="490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940"/>
        <w:gridCol w:w="282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Esito della sensibilità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Probabilità di costo-efficacia (soglia 30.000 euro/QALY)</w:t>
            </w:r>
          </w:p>
        </w:tc>
        <w:tc>
          <w:tcPr/>
          <w:p>
            <w:pPr>
              <w:pStyle w:val="Compact"/>
              <w:spacing w:after="40" w:before="40"/>
              <w:jc w:val="left"/>
            </w:pPr>
            <w:r>
              <w:rPr>
                <w:rFonts w:ascii="Cambria" w:hAnsi="Cambria" w:cs="Cambria" w:eastAsia="Cambria"/>
                <w:color w:val="1A1A1A"/>
                <w:sz w:val="18"/>
              </w:rPr>
              <w:t xml:space="preserve">88,9% delle simulazioni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dominanza</w:t>
            </w:r>
          </w:p>
        </w:tc>
        <w:tc>
          <w:tcPr>
            <w:shd w:val="clear" w:color="auto" w:fill="F4F1EC"/>
          </w:tcPr>
          <w:p>
            <w:pPr>
              <w:pStyle w:val="Compact"/>
              <w:spacing w:after="40" w:before="40"/>
              <w:jc w:val="left"/>
            </w:pPr>
            <w:r>
              <w:rPr>
                <w:rFonts w:ascii="Cambria" w:hAnsi="Cambria" w:cs="Cambria" w:eastAsia="Cambria"/>
                <w:color w:val="1A1A1A"/>
                <w:sz w:val="18"/>
              </w:rPr>
              <w:t xml:space="preserve">84,6% delle simulazioni</w:t>
            </w:r>
          </w:p>
        </w:tc>
      </w:tr>
      <w:tr>
        <w:tc>
          <w:tcPr/>
          <w:p>
            <w:pPr>
              <w:pStyle w:val="Compact"/>
              <w:spacing w:after="40" w:before="40"/>
              <w:jc w:val="left"/>
            </w:pPr>
            <w:r>
              <w:rPr>
                <w:rFonts w:ascii="Cambria" w:hAnsi="Cambria" w:cs="Cambria" w:eastAsia="Cambria"/>
                <w:b/>
                <w:bCs/>
                <w:color w:val="1A1A1A"/>
                <w:sz w:val="18"/>
              </w:rPr>
              <w:t xml:space="preserve">Beneficio monetario netto medio per paziente</w:t>
            </w:r>
          </w:p>
        </w:tc>
        <w:tc>
          <w:tcPr/>
          <w:p>
            <w:pPr>
              <w:pStyle w:val="Compact"/>
              <w:spacing w:after="40" w:before="40"/>
              <w:jc w:val="left"/>
            </w:pPr>
            <w:r>
              <w:rPr>
                <w:rFonts w:ascii="Cambria" w:hAnsi="Cambria" w:cs="Cambria" w:eastAsia="Cambria"/>
                <w:color w:val="1A1A1A"/>
                <w:sz w:val="18"/>
              </w:rPr>
              <w:t xml:space="preserve">~ 7.815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Intervallo di confidenza al 95%</w:t>
            </w:r>
          </w:p>
        </w:tc>
        <w:tc>
          <w:tcPr>
            <w:shd w:val="clear" w:color="auto" w:fill="F4F1EC"/>
          </w:tcPr>
          <w:p>
            <w:pPr>
              <w:pStyle w:val="Compact"/>
              <w:spacing w:after="40" w:before="40"/>
              <w:jc w:val="left"/>
            </w:pPr>
            <w:r>
              <w:rPr>
                <w:rFonts w:ascii="Cambria" w:hAnsi="Cambria" w:cs="Cambria" w:eastAsia="Cambria"/>
                <w:color w:val="1A1A1A"/>
                <w:sz w:val="18"/>
              </w:rPr>
              <w:t xml:space="preserve">da ~ −5.736 a ~ +21.501 euro</w:t>
            </w:r>
          </w:p>
        </w:tc>
      </w:tr>
      <w:tr>
        <w:tc>
          <w:tcPr/>
          <w:p>
            <w:pPr>
              <w:pStyle w:val="Compact"/>
              <w:spacing w:after="40" w:before="40"/>
              <w:jc w:val="left"/>
            </w:pPr>
            <w:r>
              <w:rPr>
                <w:rFonts w:ascii="Cambria" w:hAnsi="Cambria" w:cs="Cambria" w:eastAsia="Cambria"/>
                <w:b/>
                <w:bCs/>
                <w:color w:val="1A1A1A"/>
                <w:sz w:val="18"/>
              </w:rPr>
              <w:t xml:space="preserve">Numero di simulazioni</w:t>
            </w:r>
          </w:p>
        </w:tc>
        <w:tc>
          <w:tcPr/>
          <w:p>
            <w:pPr>
              <w:pStyle w:val="Compact"/>
              <w:spacing w:after="40" w:before="40"/>
              <w:jc w:val="left"/>
            </w:pPr>
            <w:r>
              <w:rPr>
                <w:rFonts w:ascii="Cambria" w:hAnsi="Cambria" w:cs="Cambria" w:eastAsia="Cambria"/>
                <w:color w:val="1A1A1A"/>
                <w:sz w:val="18"/>
              </w:rPr>
              <w:t xml:space="preserve">10.000</w:t>
            </w:r>
          </w:p>
        </w:tc>
      </w:tr>
    </w:tbl>
    <w:p>
      <w:pPr>
        <w:pStyle w:val="BodyText"/>
      </w:pPr>
      <w:r>
        <w:rPr>
          <w:i/>
          <w:iCs/>
        </w:rPr>
        <w:t xml:space="preserve">Tabella F.2. Gli esiti dell</w:t>
      </w:r>
      <w:r>
        <w:rPr>
          <w:b/>
          <w:bCs/>
          <w:i/>
          <w:iCs/>
        </w:rPr>
        <w:t xml:space="preserve">’</w:t>
      </w:r>
      <w:r>
        <w:rPr>
          <w:i/>
          <w:iCs/>
        </w:rPr>
        <w:t xml:space="preserve">analisi di sensibilità probabilistica (per paziente).</w:t>
      </w:r>
    </w:p>
    <w:bookmarkEnd w:id="3502"/>
    <w:bookmarkStart w:id="3505" w:name="Xf25c7238691975fd3705a015624e10db12c9420"/>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3419"/>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3420"/>
      </w:r>
    </w:p>
    <w:bookmarkEnd w:id="3505"/>
    <w:bookmarkStart w:id="3511" w:name="Xbb3d480f7a9843924b8b7a05eb4af727899a181"/>
    <w:p>
      <w:pPr>
        <w:pStyle w:val="Heading3"/>
      </w:pPr>
      <w:r>
        <w:t xml:space="preserve">F.5 La verifica empirica e il valore dell’informazione</w:t>
      </w:r>
    </w:p>
    <w:p>
      <w:pPr>
        <w:pStyle w:val="FirstParagraph"/>
      </w:pPr>
      <w:r>
        <w:t xml:space="preserve">Il disegno della verifica empirica costituisce, per la Sicilia, un capitolo da impostare con cura. Poiché il servizio è in fase di avvio e gli elenchi provinciali si completano in tempi differenziati, la verifica controfattuale può fondarsi su un esperimento a cunei progressivi, nel quale l’ordine e i tempi di attivazione delle sedi tra le nove Aziende Sanitarie Provinciali sono impiegati a fini valutativi: la fase di avvio consente di rilevare una linea di base prima della piena operatività e l’attivazione scaglionata fornisce la variazione necessaria all’identificazione dell’effetto.</w:t>
      </w:r>
      <w:r>
        <w:rPr>
          <w:rStyle w:val="FootnoteReference"/>
        </w:rPr>
        <w:footnoteReference w:id="3421"/>
      </w:r>
      <w:r>
        <w:t xml:space="preserve"> </w:t>
      </w:r>
      <w:r>
        <w:t xml:space="preserve">L’effetto causale è stimato con la differenza-nelle-differenze e con il controllo sintetico, a partire dai dati che affluiscono man mano che il servizio si attiva e dalla progressione differenziata della formazione degli elenchi.</w:t>
      </w:r>
      <w:r>
        <w:rPr>
          <w:rStyle w:val="FootnoteReference"/>
        </w:rPr>
        <w:footnoteReference w:id="3422"/>
      </w:r>
      <w:r>
        <w:t xml:space="preserve"> </w:t>
      </w:r>
      <w:r>
        <w:t xml:space="preserve">L’analisi del valore dell’informazione indica che il beneficio di ridurre l’incertezza, alla scala della popolazione siciliana, eccede ampiamente il costo della raccolta dei dati; le priorità sono l’estrazione dei conti certificati delle Aziende e l’impostazione di un flusso uniforme dei dati di esito attraverso la relazione annuale prevista dalla legge.</w:t>
      </w:r>
      <w:r>
        <w:rPr>
          <w:rStyle w:val="FootnoteReference"/>
        </w:rPr>
        <w:footnoteReference w:id="3423"/>
      </w:r>
      <w:r>
        <w:t xml:space="preserve"> </w:t>
      </w:r>
      <w:r>
        <w:t xml:space="preserve">La fase di avvio consente così di impostare correttamente la rilevazione fin dall’inizio, conducendo la regione, in modo programmato, da una valutazione fondata su dati esterni a una fondata in misura crescente su dati propri.</w:t>
      </w:r>
      <w:r>
        <w:rPr>
          <w:rStyle w:val="FootnoteReference"/>
        </w:rPr>
        <w:footnoteReference w:id="3424"/>
      </w:r>
      <w:r>
        <w:t xml:space="preserve"> </w:t>
      </w:r>
      <w:r>
        <w:t xml:space="preserve">La sintesi è univoca: il modello è robusto sul piano clinico-economico per paziente, l’incertezza aggregata è governata con scenari prudenti e con un piano di acquisizione e consolidamento dei dati, e la condizione di regione in avvio impone di ancorare inizialmente la prova ai benchmark, valorizzando l’opportunità di una rilevazione ben progettata. La parte che segue affronta l’equità e l’impatto distributivo.</w:t>
      </w:r>
      <w:r>
        <w:rPr>
          <w:rStyle w:val="FootnoteReference"/>
        </w:rPr>
        <w:footnoteReference w:id="3425"/>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87"/>
        <w:gridCol w:w="2896"/>
        <w:gridCol w:w="141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Priorità di ricerca</w:t>
            </w:r>
          </w:p>
        </w:tc>
        <w:tc>
          <w:tcPr>
            <w:shd w:val="clear" w:color="auto" w:fill="16264B"/>
          </w:tcPr>
          <w:p>
            <w:pPr>
              <w:pStyle w:val="Compact"/>
              <w:spacing w:after="40" w:before="40"/>
              <w:jc w:val="left"/>
            </w:pPr>
            <w:r>
              <w:rPr>
                <w:rFonts w:ascii="Cambria" w:hAnsi="Cambria" w:cs="Cambria" w:eastAsia="Cambria"/>
                <w:b/>
                <w:bCs/>
                <w:color w:val="FFFFFF"/>
                <w:sz w:val="18"/>
              </w:rPr>
              <w:t xml:space="preserve">Finalità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Rilevanza</w:t>
            </w:r>
          </w:p>
        </w:tc>
      </w:tr>
      <w:tr>
        <w:tc>
          <w:tcPr/>
          <w:p>
            <w:pPr>
              <w:pStyle w:val="Compact"/>
              <w:spacing w:after="40" w:before="40"/>
              <w:jc w:val="left"/>
            </w:pPr>
            <w:r>
              <w:rPr>
                <w:rFonts w:ascii="Cambria" w:hAnsi="Cambria" w:cs="Cambria" w:eastAsia="Cambria"/>
                <w:b/>
                <w:bCs/>
                <w:color w:val="1A1A1A"/>
                <w:sz w:val="18"/>
              </w:rPr>
              <w:t xml:space="preserve">Conti certificati delle dieci Aziende e delle AOU</w:t>
            </w:r>
          </w:p>
        </w:tc>
        <w:tc>
          <w:tcPr/>
          <w:p>
            <w:pPr>
              <w:pStyle w:val="Compact"/>
              <w:spacing w:after="40" w:before="40"/>
              <w:jc w:val="left"/>
            </w:pPr>
            <w:r>
              <w:rPr>
                <w:rFonts w:ascii="Cambria" w:hAnsi="Cambria" w:cs="Cambria" w:eastAsia="Cambria"/>
                <w:color w:val="1A1A1A"/>
                <w:sz w:val="18"/>
              </w:rPr>
              <w:t xml:space="preserve">Sostituire le stime per quota con dati reali</w:t>
            </w:r>
          </w:p>
        </w:tc>
        <w:tc>
          <w:tcPr/>
          <w:p>
            <w:pPr>
              <w:pStyle w:val="Compact"/>
              <w:spacing w:after="40" w:before="40"/>
              <w:jc w:val="left"/>
            </w:pPr>
            <w:r>
              <w:rPr>
                <w:rFonts w:ascii="Cambria" w:hAnsi="Cambria" w:cs="Cambria" w:eastAsia="Cambria"/>
                <w:color w:val="1A1A1A"/>
                <w:sz w:val="18"/>
              </w:rPr>
              <w:t xml:space="preserve">Massima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Consolidamento dei dati di esito del servizio attivo</w:t>
            </w:r>
          </w:p>
        </w:tc>
        <w:tc>
          <w:tcPr>
            <w:shd w:val="clear" w:color="auto" w:fill="F4F1EC"/>
          </w:tcPr>
          <w:p>
            <w:pPr>
              <w:pStyle w:val="Compact"/>
              <w:spacing w:after="40" w:before="40"/>
              <w:jc w:val="left"/>
            </w:pPr>
            <w:r>
              <w:rPr>
                <w:rFonts w:ascii="Cambria" w:hAnsi="Cambria" w:cs="Cambria" w:eastAsia="Cambria"/>
                <w:color w:val="1A1A1A"/>
                <w:sz w:val="18"/>
              </w:rPr>
              <w:t xml:space="preserve">Uniformare e completare l’evidenza propria</w:t>
            </w:r>
          </w:p>
        </w:tc>
        <w:tc>
          <w:tcPr>
            <w:shd w:val="clear" w:color="auto" w:fill="F4F1EC"/>
          </w:tcPr>
          <w:p>
            <w:pPr>
              <w:pStyle w:val="Compact"/>
              <w:spacing w:after="40" w:before="40"/>
              <w:jc w:val="left"/>
            </w:pPr>
            <w:r>
              <w:rPr>
                <w:rFonts w:ascii="Cambria" w:hAnsi="Cambria" w:cs="Cambria" w:eastAsia="Cambria"/>
                <w:color w:val="1A1A1A"/>
                <w:sz w:val="18"/>
              </w:rPr>
              <w:t xml:space="preserve">Massima</w:t>
            </w:r>
          </w:p>
        </w:tc>
      </w:tr>
      <w:tr>
        <w:tc>
          <w:tcPr/>
          <w:p>
            <w:pPr>
              <w:pStyle w:val="Compact"/>
              <w:spacing w:after="40" w:before="40"/>
              <w:jc w:val="left"/>
            </w:pPr>
            <w:r>
              <w:rPr>
                <w:rFonts w:ascii="Cambria" w:hAnsi="Cambria" w:cs="Cambria" w:eastAsia="Cambria"/>
                <w:b/>
                <w:bCs/>
                <w:color w:val="1A1A1A"/>
                <w:sz w:val="18"/>
              </w:rPr>
              <w:t xml:space="preserve">Tassi di intercettazione e costi evitati</w:t>
            </w:r>
          </w:p>
        </w:tc>
        <w:tc>
          <w:tcPr/>
          <w:p>
            <w:pPr>
              <w:pStyle w:val="Compact"/>
              <w:spacing w:after="40" w:before="40"/>
              <w:jc w:val="left"/>
            </w:pPr>
            <w:r>
              <w:rPr>
                <w:rFonts w:ascii="Cambria" w:hAnsi="Cambria" w:cs="Cambria" w:eastAsia="Cambria"/>
                <w:color w:val="1A1A1A"/>
                <w:sz w:val="18"/>
              </w:rPr>
              <w:t xml:space="preserve">Ridurre l’incertezza sulle grandezze aggregate</w:t>
            </w:r>
          </w:p>
        </w:tc>
        <w:tc>
          <w:tcPr/>
          <w:p>
            <w:pPr>
              <w:pStyle w:val="Compact"/>
              <w:spacing w:after="40" w:before="40"/>
              <w:jc w:val="left"/>
            </w:pPr>
            <w:r>
              <w:rPr>
                <w:rFonts w:ascii="Cambria" w:hAnsi="Cambria" w:cs="Cambria" w:eastAsia="Cambria"/>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 nel contesto locale</w:t>
            </w:r>
          </w:p>
        </w:tc>
        <w:tc>
          <w:tcPr>
            <w:shd w:val="clear" w:color="auto" w:fill="F4F1EC"/>
          </w:tcPr>
          <w:p>
            <w:pPr>
              <w:pStyle w:val="Compact"/>
              <w:spacing w:after="40" w:before="40"/>
              <w:jc w:val="left"/>
            </w:pPr>
            <w:r>
              <w:rPr>
                <w:rFonts w:ascii="Cambria" w:hAnsi="Cambria" w:cs="Cambria" w:eastAsia="Cambria"/>
                <w:color w:val="1A1A1A"/>
                <w:sz w:val="18"/>
              </w:rPr>
              <w:t xml:space="preserve">Corroborare il parametro più influente</w:t>
            </w:r>
          </w:p>
        </w:tc>
        <w:tc>
          <w:tcPr>
            <w:shd w:val="clear" w:color="auto" w:fill="F4F1EC"/>
          </w:tcPr>
          <w:p>
            <w:pPr>
              <w:pStyle w:val="Compact"/>
              <w:spacing w:after="40" w:before="40"/>
              <w:jc w:val="left"/>
            </w:pPr>
            <w:r>
              <w:rPr>
                <w:rFonts w:ascii="Cambria" w:hAnsi="Cambria" w:cs="Cambria" w:eastAsia="Cambria"/>
                <w:color w:val="1A1A1A"/>
                <w:sz w:val="18"/>
              </w:rPr>
              <w:t xml:space="preserve">Alta</w:t>
            </w:r>
          </w:p>
        </w:tc>
      </w:tr>
    </w:tbl>
    <w:p>
      <w:pPr>
        <w:pStyle w:val="BodyText"/>
      </w:pPr>
      <w:r>
        <w:rPr>
          <w:i/>
          <w:iCs/>
        </w:rPr>
        <w:t xml:space="preserve">Tabella F.3. Le priorità di ricerca derivanti dall</w:t>
      </w:r>
      <w:r>
        <w:rPr>
          <w:b/>
          <w:bCs/>
          <w:i/>
          <w:iCs/>
        </w:rPr>
        <w:t xml:space="preserve">‘******analisi del valore dell******’</w:t>
      </w:r>
      <w:r>
        <w:rPr>
          <w:i/>
          <w:iCs/>
        </w:rPr>
        <w:t xml:space="preserve">informazione.</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3511"/>
    <w:bookmarkEnd w:id="3512"/>
    <w:bookmarkStart w:id="3544" w:name="parte-g-equità-e-impatto-distributivo-15"/>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 Sicilia. La parte definisce il quadro dell’equità e il gradiente sociale (capitolo G.1); analizza i due assi territoriali del divario siciliano e le barriere di accesso (G.2); descrive gli strumenti attraverso cui il servizio agisce sull’equità (G.3); e presenta l’analisi di costo-efficacia distributiva con le sue implicazioni allocative (G.4). Il tratto distintivo della Sicilia è la doppia struttura del divario territoriale — centro e periferia entro le aree metropolitane di Palermo e Catania, e aree metropolitane contro province interne — cui si somma una marcata dimensione generazionale, propria di una regione giovane; l’intervento può ridurre tali divari, a condizione di un’allocazione modulata per il bisogno.</w:t>
      </w:r>
    </w:p>
    <w:bookmarkStart w:id="3529" w:name="X6522216714173e36f429cb9d4772a252feead94"/>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3426"/>
      </w:r>
      <w:r>
        <w:rPr>
          <w:rStyle w:val="FootnoteReference"/>
        </w:rPr>
        <w:footnoteReference w:id="3427"/>
      </w:r>
      <w:r>
        <w:rPr>
          <w:rStyle w:val="FootnoteReference"/>
        </w:rPr>
        <w:footnoteReference w:id="3428"/>
      </w:r>
      <w:r>
        <w:rPr>
          <w:rStyle w:val="FootnoteReference"/>
        </w:rPr>
        <w:footnoteReference w:id="3429"/>
      </w:r>
      <w:r>
        <w:rPr>
          <w:rStyle w:val="FootnoteReference"/>
        </w:rPr>
        <w:footnoteReference w:id="3430"/>
      </w:r>
      <w:r>
        <w:rPr>
          <w:rStyle w:val="FootnoteReference"/>
        </w:rPr>
        <w:footnoteReference w:id="3431"/>
      </w:r>
      <w:r>
        <w:rPr>
          <w:rStyle w:val="FootnoteReference"/>
        </w:rPr>
        <w:footnoteReference w:id="3432"/>
      </w:r>
      <w:r>
        <w:rPr>
          <w:rStyle w:val="FootnoteReference"/>
        </w:rPr>
        <w:footnoteReference w:id="3433"/>
      </w:r>
      <w:r>
        <w:rPr>
          <w:rStyle w:val="FootnoteReference"/>
        </w:rPr>
        <w:footnoteReference w:id="3434"/>
      </w:r>
      <w:r>
        <w:rPr>
          <w:rStyle w:val="FootnoteReference"/>
        </w:rPr>
        <w:footnoteReference w:id="3435"/>
      </w:r>
      <w:r>
        <w:rPr>
          <w:rStyle w:val="FootnoteReference"/>
        </w:rPr>
        <w:footnoteReference w:id="3436"/>
      </w:r>
      <w:r>
        <w:rPr>
          <w:rStyle w:val="FootnoteReference"/>
        </w:rPr>
        <w:footnoteReference w:id="3437"/>
      </w:r>
      <w:r>
        <w:rPr>
          <w:rStyle w:val="FootnoteReference"/>
        </w:rPr>
        <w:footnoteReference w:id="3438"/>
      </w:r>
      <w:r>
        <w:rPr>
          <w:rStyle w:val="FootnoteReference"/>
        </w:rPr>
        <w:footnoteReference w:id="3439"/>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3440"/>
      </w:r>
      <w:r>
        <w:t xml:space="preserve"> </w:t>
      </w:r>
      <w:r>
        <w:t xml:space="preserve">A questo gradiente si sommano barriere di accesso economiche, geografiche e culturali, oltre allo stigma; nella Sicilia, dove la componente straniera è contenuta, più rilevante della barriera culturale è quella generazionale, cui si aggiunge — tratto proprio del modello regionale — la barriera economica del ticket a carico del paziente, che le esenzioni attenuano ma non eliminano.</w:t>
      </w:r>
      <w:r>
        <w:rPr>
          <w:rStyle w:val="FootnoteReference"/>
        </w:rPr>
        <w:footnoteReference w:id="3441"/>
      </w:r>
    </w:p>
    <w:bookmarkEnd w:id="3529"/>
    <w:bookmarkStart w:id="3533" w:name="X5d0b8b065f428ee6baa46ba1f65cd997ac1a2b7"/>
    <w:p>
      <w:pPr>
        <w:pStyle w:val="Heading3"/>
      </w:pPr>
      <w:r>
        <w:t xml:space="preserve">G.2 I due assi del divario territoriale</w:t>
      </w:r>
    </w:p>
    <w:p>
      <w:pPr>
        <w:pStyle w:val="FirstParagraph"/>
      </w:pPr>
      <w:r>
        <w:t xml:space="preserve">La specificità distributiva della Sicilia risiede nella doppia struttura del divario territoriale, cui si aggiunge la dimensione generazionale.</w:t>
      </w:r>
      <w:r>
        <w:rPr>
          <w:rStyle w:val="FootnoteReference"/>
        </w:rPr>
        <w:footnoteReference w:id="3442"/>
      </w:r>
      <w:r>
        <w:t xml:space="preserve"> </w:t>
      </w:r>
      <w:r>
        <w:t xml:space="preserve">Il primo asse è interno alle aree metropolitane di Palermo e Catania: accanto a quartieri meglio serviti si estendono periferie popolose con sacche di deprivazione socio-economica, dove la difficoltà di accesso e la minore disponibilità di offerta privata accrescono il bisogno non intercettato.</w:t>
      </w:r>
      <w:r>
        <w:rPr>
          <w:rStyle w:val="FootnoteReference"/>
        </w:rPr>
        <w:footnoteReference w:id="3443"/>
      </w:r>
      <w:r>
        <w:t xml:space="preserve"> </w:t>
      </w:r>
      <w:r>
        <w:t xml:space="preserve">Il secondo asse separa le aree metropolitane e costiere dalle province interne: Enna e Caltanissetta, e le aree interne dell’isola, presentano una popolazione più anziana, a minore densità e con tendenze allo spopolamento, dove la rarefazione dei servizi, le distanze e la condizione insulare rendono l’accesso particolarmente difficoltoso.</w:t>
      </w:r>
      <w:r>
        <w:rPr>
          <w:rStyle w:val="FootnoteReference"/>
        </w:rPr>
        <w:footnoteReference w:id="3444"/>
      </w:r>
      <w:r>
        <w:t xml:space="preserve"> </w:t>
      </w:r>
      <w:r>
        <w:t xml:space="preserve">La tabella seguente sintetizza i due assi e le leve di riequilibrio.</w:t>
      </w:r>
    </w:p>
    <w:tbl>
      <w:tblPr>
        <w:tblStyle w:val="Table"/>
        <w:tblW w:type="pct" w:w="495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00"/>
        <w:gridCol w:w="3305"/>
        <w:gridCol w:w="274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Asse del divario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Caratterizzazione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Leva di riequilibrio</w:t>
            </w:r>
          </w:p>
        </w:tc>
      </w:tr>
      <w:tr>
        <w:tc>
          <w:tcPr/>
          <w:p>
            <w:pPr>
              <w:pStyle w:val="Compact"/>
              <w:spacing w:after="40" w:before="40"/>
              <w:jc w:val="left"/>
            </w:pPr>
            <w:r>
              <w:rPr>
                <w:rFonts w:ascii="Cambria" w:hAnsi="Cambria" w:cs="Cambria" w:eastAsia="Cambria"/>
                <w:b/>
                <w:bCs/>
                <w:color w:val="1A1A1A"/>
                <w:sz w:val="18"/>
              </w:rPr>
              <w:t xml:space="preserve">Centro / periferia di Palermo e Catania</w:t>
            </w:r>
          </w:p>
        </w:tc>
        <w:tc>
          <w:tcPr/>
          <w:p>
            <w:pPr>
              <w:pStyle w:val="Compact"/>
              <w:spacing w:after="40" w:before="40"/>
              <w:jc w:val="left"/>
            </w:pPr>
            <w:r>
              <w:rPr>
                <w:rFonts w:ascii="Cambria" w:hAnsi="Cambria" w:cs="Cambria" w:eastAsia="Cambria"/>
                <w:color w:val="1A1A1A"/>
                <w:sz w:val="18"/>
              </w:rPr>
              <w:t xml:space="preserve">Periferie popolose con sacche di deprivazione e minore offerta privata</w:t>
            </w:r>
          </w:p>
        </w:tc>
        <w:tc>
          <w:tcPr/>
          <w:p>
            <w:pPr>
              <w:pStyle w:val="Compact"/>
              <w:spacing w:after="40" w:before="40"/>
              <w:jc w:val="left"/>
            </w:pPr>
            <w:r>
              <w:rPr>
                <w:rFonts w:ascii="Cambria" w:hAnsi="Cambria" w:cs="Cambria" w:eastAsia="Cambria"/>
                <w:color w:val="1A1A1A"/>
                <w:sz w:val="18"/>
              </w:rPr>
              <w:t xml:space="preserve">Sedi nelle Case della Comunità di periferia; allocazione pro-equità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Aree metropolitane / province interne e insulari</w:t>
            </w:r>
          </w:p>
        </w:tc>
        <w:tc>
          <w:tcPr>
            <w:shd w:val="clear" w:color="auto" w:fill="F4F1EC"/>
          </w:tcPr>
          <w:p>
            <w:pPr>
              <w:pStyle w:val="Compact"/>
              <w:spacing w:after="40" w:before="40"/>
              <w:jc w:val="left"/>
            </w:pPr>
            <w:r>
              <w:rPr>
                <w:rFonts w:ascii="Cambria" w:hAnsi="Cambria" w:cs="Cambria" w:eastAsia="Cambria"/>
                <w:color w:val="1A1A1A"/>
                <w:sz w:val="18"/>
              </w:rPr>
              <w:t xml:space="preserve">Enna, Caltanissetta e aree interne: popolazione più anziana, a minore densità, condizione insulare</w:t>
            </w:r>
          </w:p>
        </w:tc>
        <w:tc>
          <w:tcPr>
            <w:shd w:val="clear" w:color="auto" w:fill="F4F1EC"/>
          </w:tcPr>
          <w:p>
            <w:pPr>
              <w:pStyle w:val="Compact"/>
              <w:spacing w:after="40" w:before="40"/>
              <w:jc w:val="left"/>
            </w:pPr>
            <w:r>
              <w:rPr>
                <w:rFonts w:ascii="Cambria" w:hAnsi="Cambria" w:cs="Cambria" w:eastAsia="Cambria"/>
                <w:color w:val="1A1A1A"/>
                <w:sz w:val="18"/>
              </w:rPr>
              <w:t xml:space="preserve">Telepsicologia assistita; presenza programmata di primo livello</w:t>
            </w:r>
          </w:p>
        </w:tc>
      </w:tr>
      <w:tr>
        <w:tc>
          <w:tcPr/>
          <w:p>
            <w:pPr>
              <w:pStyle w:val="Compact"/>
              <w:spacing w:after="40" w:before="40"/>
              <w:jc w:val="left"/>
            </w:pPr>
            <w:r>
              <w:rPr>
                <w:rFonts w:ascii="Cambria" w:hAnsi="Cambria" w:cs="Cambria" w:eastAsia="Cambria"/>
                <w:b/>
                <w:bCs/>
                <w:color w:val="1A1A1A"/>
                <w:sz w:val="18"/>
              </w:rPr>
              <w:t xml:space="preserve">Disagio giovanile</w:t>
            </w:r>
          </w:p>
        </w:tc>
        <w:tc>
          <w:tcPr/>
          <w:p>
            <w:pPr>
              <w:pStyle w:val="Compact"/>
              <w:spacing w:after="40" w:before="40"/>
              <w:jc w:val="left"/>
            </w:pPr>
            <w:r>
              <w:rPr>
                <w:rFonts w:ascii="Cambria" w:hAnsi="Cambria" w:cs="Cambria" w:eastAsia="Cambria"/>
                <w:color w:val="1A1A1A"/>
                <w:sz w:val="18"/>
              </w:rPr>
              <w:t xml:space="preserve">Priorità del governo regionale, a basso ricorso spontaneo ai servizi</w:t>
            </w:r>
          </w:p>
        </w:tc>
        <w:tc>
          <w:tcPr/>
          <w:p>
            <w:pPr>
              <w:pStyle w:val="Compact"/>
              <w:spacing w:after="40" w:before="40"/>
              <w:jc w:val="left"/>
            </w:pPr>
            <w:r>
              <w:rPr>
                <w:rFonts w:ascii="Cambria" w:hAnsi="Cambria" w:cs="Cambria" w:eastAsia="Cambria"/>
                <w:color w:val="1A1A1A"/>
                <w:sz w:val="18"/>
              </w:rPr>
              <w:t xml:space="preserve">Intercettazione precoce; competenza dedicata agli adolescenti e ai giovani adulti</w:t>
            </w:r>
          </w:p>
        </w:tc>
      </w:tr>
    </w:tbl>
    <w:p>
      <w:pPr>
        <w:pStyle w:val="BodyText"/>
      </w:pPr>
      <w:r>
        <w:rPr>
          <w:i/>
          <w:iCs/>
        </w:rPr>
        <w:t xml:space="preserve">Tabella G.1. I due assi del divario territoriale siciliano, la dimensione generazionale e le leve di riequilibrio.</w:t>
      </w:r>
    </w:p>
    <w:bookmarkEnd w:id="3533"/>
    <w:bookmarkStart w:id="3537" w:name="g.3-gli-strumenti-dellequità-8"/>
    <w:p>
      <w:pPr>
        <w:pStyle w:val="Heading3"/>
      </w:pPr>
      <w:r>
        <w:t xml:space="preserve">G.3 Gli strumenti dell’equità</w:t>
      </w:r>
    </w:p>
    <w:p>
      <w:pPr>
        <w:pStyle w:val="FirstParagraph"/>
      </w:pPr>
      <w:r>
        <w:t xml:space="preserve">Il servizio agisce sull’equità attraverso meccanismi precisi. La prossimità nelle Case della Comunità e la natura di primo livello accessibile senza requisiti specialistici abbattono parte delle barriere e indirizzano l’offerta verso chi ne è oggi escluso; nel modello siciliano, tuttavia, il servizio è soggetto a ticket, sicché il pieno effetto pro-equità dipende dal contenimento della compartecipazione e dall’efficacia delle esenzioni.</w:t>
      </w:r>
      <w:r>
        <w:rPr>
          <w:rStyle w:val="FootnoteReference"/>
        </w:rPr>
        <w:footnoteReference w:id="3445"/>
      </w:r>
      <w:r>
        <w:t xml:space="preserve"> </w:t>
      </w:r>
      <w:r>
        <w:t xml:space="preserve">La telepsicologia assistita avvicina l’offerta alle province interne di Enna e Caltanissetta e alle periferie di Palermo e Catania, in funzione complementare e non sostitutiva della presa in carico in presenza, estendendo la copertura proprio dove l’accesso è più difficile.</w:t>
      </w:r>
      <w:r>
        <w:rPr>
          <w:rStyle w:val="FootnoteReference"/>
        </w:rPr>
        <w:footnoteReference w:id="3446"/>
      </w:r>
      <w:r>
        <w:t xml:space="preserve"> </w:t>
      </w:r>
      <w:r>
        <w:t xml:space="preserve">La competenza nell’intercettare il disagio giovanile assicura che il servizio raggiunga adolescenti e giovani adulti, fascia a elevato bisogno e a basso ricorso spontaneo, mentre la competenza culturale resta necessaria nelle aree di maggiore insediamento straniero, pur meno centrale data la quota contenuta.</w:t>
      </w:r>
      <w:r>
        <w:rPr>
          <w:rStyle w:val="FootnoteReference"/>
        </w:rPr>
        <w:footnoteReference w:id="3447"/>
      </w:r>
    </w:p>
    <w:bookmarkEnd w:id="3537"/>
    <w:bookmarkStart w:id="3543" w:name="Xb92ead76a6a4761b854d4d33632b42dae56d175"/>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3448"/>
      </w:r>
      <w:r>
        <w:t xml:space="preserve"> </w:t>
      </w:r>
      <w:r>
        <w:t xml:space="preserve">Perché questo potenziale si realizzi,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r>
        <w:rPr>
          <w:rStyle w:val="FootnoteReference"/>
        </w:rPr>
        <w:footnoteReference w:id="3449"/>
      </w:r>
      <w:r>
        <w:t xml:space="preserve"> </w:t>
      </w:r>
      <w:r>
        <w:t xml:space="preserve">Va inoltre tenuto presente che, nella Sicilia, il canale della mobilità costituisce una leva di equità solo modesta per questo intervento, sicché l’equità si gioca prevalentemente sull’accesso interno; e che il ticket, se non calibrato, rischia di gravare proprio sulle fasce a minore capacità di spesa.</w:t>
      </w:r>
      <w:r>
        <w:rPr>
          <w:rStyle w:val="FootnoteReference"/>
        </w:rPr>
        <w:footnoteReference w:id="3450"/>
      </w:r>
      <w:r>
        <w:t xml:space="preserve"> </w:t>
      </w:r>
      <w:r>
        <w:t xml:space="preserve">Esiste infine un rischio di iniquità inversa: se l’attivazione del servizio privilegiasse, per facilità organizzativa, le aree già meglio servite, l’effetto distributivo potrebbe risultare regressivo; il rischio va prevenuto con criteri espliciti di equità nell’allocazione, fin dalla formazione degli elenchi provinciali.</w:t>
      </w:r>
      <w:r>
        <w:rPr>
          <w:rStyle w:val="FootnoteReference"/>
        </w:rPr>
        <w:footnoteReference w:id="3451"/>
      </w:r>
      <w:r>
        <w:t xml:space="preserve"> </w:t>
      </w:r>
      <w:r>
        <w:t xml:space="preserve">La sintesi è che l’intervento è favorevole all’equità su entrambi gli assi e sulla dimensione generazionale, a condizione che la copertura sia modulata per il bisogno, che siano garantite la telepsicologia per le periferie e le aree interne e insulari e l’attenzione al disagio giovanile, e che il ticket sia calibrato con esenzioni efficaci; la raccomandazione è di orientare fin dall’avvio, nella formazione degli elenchi provinciali, un’allocazione pro-equità che dia di più dove il bisogno è maggiore.</w:t>
      </w:r>
      <w:r>
        <w:rPr>
          <w:rStyle w:val="FootnoteReference"/>
        </w:rPr>
        <w:footnoteReference w:id="3452"/>
      </w:r>
      <w:r>
        <w:t xml:space="preserve"> </w:t>
      </w:r>
      <w:r>
        <w:t xml:space="preserve">La tabella seguente riepiloga l’impatto distributivo atteso.</w:t>
      </w:r>
    </w:p>
    <w:tbl>
      <w:tblPr>
        <w:tblStyle w:val="Table"/>
        <w:tblW w:type="pct" w:w="492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539"/>
        <w:gridCol w:w="525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distributiva</w:t>
            </w:r>
          </w:p>
        </w:tc>
        <w:tc>
          <w:tcPr>
            <w:shd w:val="clear" w:color="auto" w:fill="16264B"/>
          </w:tcPr>
          <w:p>
            <w:pPr>
              <w:pStyle w:val="Compact"/>
              <w:spacing w:after="40" w:before="40"/>
              <w:jc w:val="left"/>
            </w:pPr>
            <w:r>
              <w:rPr>
                <w:rFonts w:ascii="Cambria" w:hAnsi="Cambria" w:cs="Cambria" w:eastAsia="Cambria"/>
                <w:b/>
                <w:bCs/>
                <w:color w:val="FFFFFF"/>
                <w:sz w:val="18"/>
              </w:rPr>
              <w:t xml:space="preserve">Esito per la Sicilia</w:t>
            </w:r>
          </w:p>
        </w:tc>
      </w:tr>
      <w:tr>
        <w:tc>
          <w:tcPr/>
          <w:p>
            <w:pPr>
              <w:pStyle w:val="Compact"/>
              <w:spacing w:after="40" w:before="40"/>
              <w:jc w:val="left"/>
            </w:pPr>
            <w:r>
              <w:rPr>
                <w:rFonts w:ascii="Cambria" w:hAnsi="Cambria" w:cs="Cambria" w:eastAsia="Cambria"/>
                <w:b/>
                <w:bCs/>
                <w:color w:val="1A1A1A"/>
                <w:sz w:val="18"/>
              </w:rPr>
              <w:t xml:space="preserve">Efficienza complessiva</w:t>
            </w:r>
          </w:p>
        </w:tc>
        <w:tc>
          <w:tcPr/>
          <w:p>
            <w:pPr>
              <w:pStyle w:val="Compact"/>
              <w:spacing w:after="40" w:before="40"/>
              <w:jc w:val="left"/>
            </w:pPr>
            <w:r>
              <w:rPr>
                <w:rFonts w:ascii="Cambria" w:hAnsi="Cambria" w:cs="Cambria" w:eastAsia="Cambria"/>
                <w:color w:val="1A1A1A"/>
                <w:sz w:val="18"/>
              </w:rPr>
              <w:t xml:space="preserve">Intervento costo-efficace e dominante per paziente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Direzione dell’effetto distributivo</w:t>
            </w:r>
          </w:p>
        </w:tc>
        <w:tc>
          <w:tcPr>
            <w:shd w:val="clear" w:color="auto" w:fill="F4F1EC"/>
          </w:tcPr>
          <w:p>
            <w:pPr>
              <w:pStyle w:val="Compact"/>
              <w:spacing w:after="40" w:before="40"/>
              <w:jc w:val="left"/>
            </w:pPr>
            <w:r>
              <w:rPr>
                <w:rFonts w:ascii="Cambria" w:hAnsi="Cambria" w:cs="Cambria" w:eastAsia="Cambria"/>
                <w:color w:val="1A1A1A"/>
                <w:sz w:val="18"/>
              </w:rPr>
              <w:t xml:space="preserve">Favorevole all’equità: maggiori benefici nei gruppi a più alto bisogno</w:t>
            </w:r>
          </w:p>
        </w:tc>
      </w:tr>
      <w:tr>
        <w:tc>
          <w:tcPr/>
          <w:p>
            <w:pPr>
              <w:pStyle w:val="Compact"/>
              <w:spacing w:after="40" w:before="40"/>
              <w:jc w:val="left"/>
            </w:pPr>
            <w:r>
              <w:rPr>
                <w:rFonts w:ascii="Cambria" w:hAnsi="Cambria" w:cs="Cambria" w:eastAsia="Cambria"/>
                <w:b/>
                <w:bCs/>
                <w:color w:val="1A1A1A"/>
                <w:sz w:val="18"/>
              </w:rPr>
              <w:t xml:space="preserve">Condizione di realizzazione</w:t>
            </w:r>
          </w:p>
        </w:tc>
        <w:tc>
          <w:tcPr/>
          <w:p>
            <w:pPr>
              <w:pStyle w:val="Compact"/>
              <w:spacing w:after="40" w:before="40"/>
              <w:jc w:val="left"/>
            </w:pPr>
            <w:r>
              <w:rPr>
                <w:rFonts w:ascii="Cambria" w:hAnsi="Cambria" w:cs="Cambria" w:eastAsia="Cambria"/>
                <w:color w:val="1A1A1A"/>
                <w:sz w:val="18"/>
              </w:rPr>
              <w:t xml:space="preserve">Allocazione modulata per il bisogno (periferie e aree interne)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Strumenti abilitanti</w:t>
            </w:r>
          </w:p>
        </w:tc>
        <w:tc>
          <w:tcPr>
            <w:shd w:val="clear" w:color="auto" w:fill="F4F1EC"/>
          </w:tcPr>
          <w:p>
            <w:pPr>
              <w:pStyle w:val="Compact"/>
              <w:spacing w:after="40" w:before="40"/>
              <w:jc w:val="left"/>
            </w:pPr>
            <w:r>
              <w:rPr>
                <w:rFonts w:ascii="Cambria" w:hAnsi="Cambria" w:cs="Cambria" w:eastAsia="Cambria"/>
                <w:color w:val="1A1A1A"/>
                <w:sz w:val="18"/>
              </w:rPr>
              <w:t xml:space="preserve">Prossimità, telepsicologia, competenza generazionale; ticket calibrato con esenzioni</w:t>
            </w:r>
          </w:p>
        </w:tc>
      </w:tr>
      <w:tr>
        <w:tc>
          <w:tcPr/>
          <w:p>
            <w:pPr>
              <w:pStyle w:val="Compact"/>
              <w:spacing w:after="40" w:before="40"/>
              <w:jc w:val="left"/>
            </w:pPr>
            <w:r>
              <w:rPr>
                <w:rFonts w:ascii="Cambria" w:hAnsi="Cambria" w:cs="Cambria" w:eastAsia="Cambria"/>
                <w:b/>
                <w:bCs/>
                <w:color w:val="1A1A1A"/>
                <w:sz w:val="18"/>
              </w:rPr>
              <w:t xml:space="preserve">Rischio da prevenire</w:t>
            </w:r>
          </w:p>
        </w:tc>
        <w:tc>
          <w:tcPr/>
          <w:p>
            <w:pPr>
              <w:pStyle w:val="Compact"/>
              <w:spacing w:after="40" w:before="40"/>
              <w:jc w:val="left"/>
            </w:pPr>
            <w:r>
              <w:rPr>
                <w:rFonts w:ascii="Cambria" w:hAnsi="Cambria" w:cs="Cambria" w:eastAsia="Cambria"/>
                <w:color w:val="1A1A1A"/>
                <w:sz w:val="18"/>
              </w:rPr>
              <w:t xml:space="preserve">Iniquità inversa da allocazione; barriera economica del ticket non calibrato</w:t>
            </w:r>
          </w:p>
        </w:tc>
      </w:tr>
    </w:tbl>
    <w:p>
      <w:pPr>
        <w:pStyle w:val="BodyText"/>
      </w:pPr>
      <w:r>
        <w:rPr>
          <w:i/>
          <w:iCs/>
        </w:rPr>
        <w:t xml:space="preserve">Tabella G.2. L</w:t>
      </w:r>
      <w:r>
        <w:rPr>
          <w:b/>
          <w:bCs/>
          <w:i/>
          <w:iCs/>
        </w:rPr>
        <w:t xml:space="preserve">‘******impatto distributivo atteso dell******’</w:t>
      </w:r>
      <w:r>
        <w:rPr>
          <w:i/>
          <w:iCs/>
        </w:rPr>
        <w:t xml:space="preserve">intervento e le sue condizioni.</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w:t>
      </w:r>
      <w:r>
        <w:rPr>
          <w:b/>
          <w:bCs/>
          <w:i/>
          <w:iCs/>
        </w:rPr>
        <w:t xml:space="preserve">’</w:t>
      </w:r>
      <w:r>
        <w:rPr>
          <w:i/>
          <w:iCs/>
        </w:rPr>
        <w:t xml:space="preserve">atto, rapporto di lavoro, governance, tutele etiche e protezione dei dati</w:t>
      </w:r>
    </w:p>
    <w:p>
      <w:pPr>
        <w:pStyle w:val="BodyText"/>
      </w:pPr>
      <w:r>
        <w:t xml:space="preserve">Domini dell’HTA · aspetti giuridici, etici e organizzativi</w:t>
      </w:r>
    </w:p>
    <w:bookmarkEnd w:id="3543"/>
    <w:bookmarkEnd w:id="3544"/>
    <w:bookmarkStart w:id="3580" w:name="X328d874b46712e4af5da4040f8211963b5cc108"/>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 Sicilia.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 Sicilia emerge sul piano giuridico: a differenza del Lazio, ancora privo di legge, la regione dispone già di una disciplina vigente e di un decreto attuativo, sicché la condizione abilitante non è l’approvazione della legge, ma il passaggio dall’avvio al regime e la stabilizzazione del finanziamento entro i vincoli del piano di rientro.</w:t>
      </w:r>
    </w:p>
    <w:bookmarkStart w:id="3567" w:name="h.1-il-profilo-giuridico-9"/>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3453"/>
      </w:r>
      <w:r>
        <w:rPr>
          <w:rStyle w:val="FootnoteReference"/>
        </w:rPr>
        <w:footnoteReference w:id="3454"/>
      </w:r>
      <w:r>
        <w:rPr>
          <w:rStyle w:val="FootnoteReference"/>
        </w:rPr>
        <w:footnoteReference w:id="3455"/>
      </w:r>
      <w:r>
        <w:rPr>
          <w:rStyle w:val="FootnoteReference"/>
        </w:rPr>
        <w:footnoteReference w:id="3456"/>
      </w:r>
      <w:r>
        <w:rPr>
          <w:rStyle w:val="FootnoteReference"/>
        </w:rPr>
        <w:footnoteReference w:id="3457"/>
      </w:r>
      <w:r>
        <w:rPr>
          <w:rStyle w:val="FootnoteReference"/>
        </w:rPr>
        <w:footnoteReference w:id="3458"/>
      </w:r>
      <w:r>
        <w:rPr>
          <w:rStyle w:val="FootnoteReference"/>
        </w:rPr>
        <w:footnoteReference w:id="3459"/>
      </w:r>
      <w:r>
        <w:rPr>
          <w:rStyle w:val="FootnoteReference"/>
        </w:rPr>
        <w:footnoteReference w:id="3460"/>
      </w:r>
      <w:r>
        <w:rPr>
          <w:rStyle w:val="FootnoteReference"/>
        </w:rPr>
        <w:footnoteReference w:id="3461"/>
      </w:r>
      <w:r>
        <w:rPr>
          <w:rStyle w:val="FootnoteReference"/>
        </w:rPr>
        <w:footnoteReference w:id="3462"/>
      </w:r>
      <w:r>
        <w:rPr>
          <w:rStyle w:val="FootnoteReference"/>
        </w:rPr>
        <w:footnoteReference w:id="3463"/>
      </w:r>
      <w:r>
        <w:rPr>
          <w:rStyle w:val="FootnoteReference"/>
        </w:rPr>
        <w:footnoteReference w:id="3464"/>
      </w:r>
      <w:r>
        <w:rPr>
          <w:rStyle w:val="FootnoteReference"/>
        </w:rPr>
        <w:footnoteReference w:id="3465"/>
      </w:r>
      <w:r>
        <w:rPr>
          <w:rStyle w:val="FootnoteReference"/>
        </w:rPr>
        <w:footnoteReference w:id="3466"/>
      </w:r>
      <w:r>
        <w:rPr>
          <w:rStyle w:val="FootnoteReference"/>
        </w:rPr>
        <w:footnoteReference w:id="3467"/>
      </w:r>
      <w:r>
        <w:rPr>
          <w:rStyle w:val="FootnoteReference"/>
        </w:rPr>
        <w:footnoteReference w:id="3468"/>
      </w:r>
      <w:r>
        <w:t xml:space="preserve"> </w:t>
      </w:r>
      <w:r>
        <w:t xml:space="preserve">Sul piano giuridico, la materia si colloca nella competenza concorrente in tema di tutela della salute, e la sentenza della Corte Costituzionale n. 241 del 2021 — originata dal giudizio sulla legge campana, di cui ha riconosciuto la legittimità — ne ha delimitato lo spazio regionale: entro questa cornice la Sicilia, regione a statuto speciale, ha esercitato il titolo a istituire il servizio con la legge regionale 18 del 2023.</w:t>
      </w:r>
      <w:r>
        <w:rPr>
          <w:rStyle w:val="FootnoteReference"/>
        </w:rPr>
        <w:footnoteReference w:id="3469"/>
      </w:r>
      <w:r>
        <w:t xml:space="preserve"> </w:t>
      </w:r>
      <w:r>
        <w:t xml:space="preserve">Qui si colloca la specificità della regione: disponendo già della legge regionale 18 del 2023 e del decreto attuativo del novembre 2024, la decisione giuridica rilevante non è l’approvazione della legge, già compiuta, né l’emanazione del decreto, già emanato, ma il passaggio dall’avvio al regime.</w:t>
      </w:r>
      <w:r>
        <w:rPr>
          <w:rStyle w:val="FootnoteReference"/>
        </w:rPr>
        <w:footnoteReference w:id="3470"/>
      </w:r>
      <w:r>
        <w:t xml:space="preserve"> </w:t>
      </w:r>
      <w:r>
        <w:t xml:space="preserve">Il rapporto di lavoro adottato è quello convenzionale su base libero-professionale, con iscrizione a un elenco provinciale secondo titoli e criteri definiti dal decreto e con un ticket a carico del paziente, da presidiare sul piano delle tutele e in attesa della definizione di un contratto collettivo nazionale.</w:t>
      </w:r>
      <w:r>
        <w:rPr>
          <w:rStyle w:val="FootnoteReference"/>
        </w:rPr>
        <w:footnoteReference w:id="3471"/>
      </w:r>
      <w:r>
        <w:t xml:space="preserve"> </w:t>
      </w:r>
      <w:r>
        <w:t xml:space="preserve">Quanto ai livelli essenziali di assistenza, la psicologia delle cure primarie non vi è ancora esplicitamente ricompresa, e il servizio, sostenuto entro i vincoli dello statuto speciale e del piano di rientro, richiede la stabilizzazione su un finanziamento regionale stabile, a valere sull’impegno iniziale già disposto dalla legge.</w:t>
      </w:r>
      <w:r>
        <w:rPr>
          <w:rStyle w:val="FootnoteReference"/>
        </w:rPr>
        <w:footnoteReference w:id="3472"/>
      </w:r>
      <w:r>
        <w:t xml:space="preserve"> </w:t>
      </w:r>
      <w:r>
        <w:t xml:space="preserve">Il servizio si inserisce coerentemente nella cornice degli standard territoriali e delle Case della Comunità,</w:t>
      </w:r>
      <w:r>
        <w:rPr>
          <w:rStyle w:val="FootnoteReference"/>
        </w:rPr>
        <w:footnoteReference w:id="3473"/>
      </w:r>
      <w:r>
        <w:t xml:space="preserve"> </w:t>
      </w:r>
      <w:r>
        <w:t xml:space="preserve">e si rapporta ai Centri di Salute Mentale per integrazione e non per sovrapposizione, precedendoli e alleggerendoli.</w:t>
      </w:r>
      <w:r>
        <w:rPr>
          <w:rStyle w:val="FootnoteReference"/>
        </w:rPr>
        <w:footnoteReference w:id="3474"/>
      </w:r>
      <w:r>
        <w:t xml:space="preserve"> </w:t>
      </w:r>
      <w:r>
        <w:t xml:space="preserve">La tabella seguente riepiloga i profili giuridici.</w:t>
      </w:r>
    </w:p>
    <w:tbl>
      <w:tblPr>
        <w:tblStyle w:val="Table"/>
        <w:tblW w:type="pct" w:w="494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24"/>
        <w:gridCol w:w="590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Profilo giuridico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Sicilia</w:t>
            </w:r>
          </w:p>
        </w:tc>
      </w:tr>
      <w:tr>
        <w:tc>
          <w:tcPr/>
          <w:p>
            <w:pPr>
              <w:pStyle w:val="Compact"/>
              <w:spacing w:after="40" w:before="40"/>
              <w:jc w:val="left"/>
            </w:pPr>
            <w:r>
              <w:rPr>
                <w:rFonts w:ascii="Cambria" w:hAnsi="Cambria" w:cs="Cambria" w:eastAsia="Cambria"/>
                <w:b/>
                <w:bCs/>
                <w:color w:val="1A1A1A"/>
                <w:sz w:val="18"/>
              </w:rPr>
              <w:t xml:space="preserve">Competenza</w:t>
            </w:r>
          </w:p>
        </w:tc>
        <w:tc>
          <w:tcPr/>
          <w:p>
            <w:pPr>
              <w:pStyle w:val="Compact"/>
              <w:spacing w:after="40" w:before="40"/>
              <w:jc w:val="left"/>
            </w:pPr>
            <w:r>
              <w:rPr>
                <w:rFonts w:ascii="Cambria" w:hAnsi="Cambria" w:cs="Cambria" w:eastAsia="Cambria"/>
                <w:color w:val="1A1A1A"/>
                <w:sz w:val="18"/>
              </w:rPr>
              <w:t xml:space="preserve">Concorrente in tutela della salute; Corte Cost. 241/2021 (originata dalla legge campana) ha delimitato lo spazio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Forma dell’atto</w:t>
            </w:r>
          </w:p>
        </w:tc>
        <w:tc>
          <w:tcPr>
            <w:shd w:val="clear" w:color="auto" w:fill="F4F1EC"/>
          </w:tcPr>
          <w:p>
            <w:pPr>
              <w:pStyle w:val="Compact"/>
              <w:spacing w:after="40" w:before="40"/>
              <w:jc w:val="left"/>
            </w:pPr>
            <w:r>
              <w:rPr>
                <w:rFonts w:ascii="Cambria" w:hAnsi="Cambria" w:cs="Cambria" w:eastAsia="Cambria"/>
                <w:color w:val="1A1A1A"/>
                <w:sz w:val="18"/>
              </w:rPr>
              <w:t xml:space="preserve">Legge regionale 18/2023 già vigente, Delibera 253/2024 e decreto attuativo 2024; servizio in avvio, da portare a regime</w:t>
            </w:r>
          </w:p>
        </w:tc>
      </w:tr>
      <w:tr>
        <w:tc>
          <w:tcPr/>
          <w:p>
            <w:pPr>
              <w:pStyle w:val="Compact"/>
              <w:spacing w:after="40" w:before="40"/>
              <w:jc w:val="left"/>
            </w:pPr>
            <w:r>
              <w:rPr>
                <w:rFonts w:ascii="Cambria" w:hAnsi="Cambria" w:cs="Cambria" w:eastAsia="Cambria"/>
                <w:b/>
                <w:bCs/>
                <w:color w:val="1A1A1A"/>
                <w:sz w:val="18"/>
              </w:rPr>
              <w:t xml:space="preserve">Rapporto di lavoro</w:t>
            </w:r>
          </w:p>
        </w:tc>
        <w:tc>
          <w:tcPr/>
          <w:p>
            <w:pPr>
              <w:pStyle w:val="Compact"/>
              <w:spacing w:after="40" w:before="40"/>
              <w:jc w:val="left"/>
            </w:pPr>
            <w:r>
              <w:rPr>
                <w:rFonts w:ascii="Cambria" w:hAnsi="Cambria" w:cs="Cambria" w:eastAsia="Cambria"/>
                <w:color w:val="1A1A1A"/>
                <w:sz w:val="18"/>
              </w:rPr>
              <w:t xml:space="preserve">Convenzionale libero-professionale con elenco provinciale e ticket a carico del paziente; manca un contratto collettivo nazionale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Livelli essenziali di assistenza</w:t>
            </w:r>
          </w:p>
        </w:tc>
        <w:tc>
          <w:tcPr>
            <w:shd w:val="clear" w:color="auto" w:fill="F4F1EC"/>
          </w:tcPr>
          <w:p>
            <w:pPr>
              <w:pStyle w:val="Compact"/>
              <w:spacing w:after="40" w:before="40"/>
              <w:jc w:val="left"/>
            </w:pPr>
            <w:r>
              <w:rPr>
                <w:rFonts w:ascii="Cambria" w:hAnsi="Cambria" w:cs="Cambria" w:eastAsia="Cambria"/>
                <w:color w:val="1A1A1A"/>
                <w:sz w:val="18"/>
              </w:rPr>
              <w:t xml:space="preserve">Non ancora ricompresi; statuto speciale (49,11%) e piano di rientro; impegno iniziale ~7,4 mln, da stabilizzare</w:t>
            </w:r>
          </w:p>
        </w:tc>
      </w:tr>
      <w:tr>
        <w:tc>
          <w:tcPr/>
          <w:p>
            <w:pPr>
              <w:pStyle w:val="Compact"/>
              <w:spacing w:after="40" w:before="40"/>
              <w:jc w:val="left"/>
            </w:pPr>
            <w:r>
              <w:rPr>
                <w:rFonts w:ascii="Cambria" w:hAnsi="Cambria" w:cs="Cambria" w:eastAsia="Cambria"/>
                <w:b/>
                <w:bCs/>
                <w:color w:val="1A1A1A"/>
                <w:sz w:val="18"/>
              </w:rPr>
              <w:t xml:space="preserve">Cornice territoriale</w:t>
            </w:r>
          </w:p>
        </w:tc>
        <w:tc>
          <w:tcPr/>
          <w:p>
            <w:pPr>
              <w:pStyle w:val="Compact"/>
              <w:spacing w:after="40" w:before="40"/>
              <w:jc w:val="left"/>
            </w:pPr>
            <w:r>
              <w:rPr>
                <w:rFonts w:ascii="Cambria" w:hAnsi="Cambria" w:cs="Cambria" w:eastAsia="Cambria"/>
                <w:color w:val="1A1A1A"/>
                <w:sz w:val="18"/>
              </w:rPr>
              <w:t xml:space="preserve">Decreto Ministeriale 77/2022; inserimento nelle Case della Comunità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con i servizi specialistici</w:t>
            </w:r>
          </w:p>
        </w:tc>
        <w:tc>
          <w:tcPr>
            <w:shd w:val="clear" w:color="auto" w:fill="F4F1EC"/>
          </w:tcPr>
          <w:p>
            <w:pPr>
              <w:pStyle w:val="Compact"/>
              <w:spacing w:after="40" w:before="40"/>
              <w:jc w:val="left"/>
            </w:pPr>
            <w:r>
              <w:rPr>
                <w:rFonts w:ascii="Cambria" w:hAnsi="Cambria" w:cs="Cambria" w:eastAsia="Cambria"/>
                <w:color w:val="1A1A1A"/>
                <w:sz w:val="18"/>
              </w:rPr>
              <w:t xml:space="preserve">Integrazione con i Centri di Salute Mentale, che il servizio precede e alleggerisce</w:t>
            </w:r>
          </w:p>
        </w:tc>
      </w:tr>
    </w:tbl>
    <w:p>
      <w:pPr>
        <w:pStyle w:val="BodyText"/>
      </w:pPr>
      <w:r>
        <w:rPr>
          <w:i/>
          <w:iCs/>
        </w:rPr>
        <w:t xml:space="preserve">Tabella H.1. I profili giuridici del servizio nella Sicilia.</w:t>
      </w:r>
    </w:p>
    <w:bookmarkEnd w:id="3567"/>
    <w:bookmarkStart w:id="3571" w:name="Xdfe802764fec10edf979fca20225cbcae7c638e"/>
    <w:p>
      <w:pPr>
        <w:pStyle w:val="Heading3"/>
      </w:pPr>
      <w:r>
        <w:t xml:space="preserve">H.2 Il profilo organizzativo e la governance</w:t>
      </w:r>
    </w:p>
    <w:p>
      <w:pPr>
        <w:pStyle w:val="FirstParagraph"/>
      </w:pPr>
      <w:r>
        <w:t xml:space="preserve">Sul piano organizzativo, la strutturazione del servizio nella Sicilia si misura con un sistema esteso e insulare — nove Aziende Sanitarie Provinciali, numerose aziende ospedaliere e ad alta specializzazione — e con l’assenza di un’azienda regionale unica, sicché il coordinamento è in capo all’Assessorato regionale della Salute e la sfida centrale è garantire l’omogeneità attuativa fra le nove Aziende.</w:t>
      </w:r>
      <w:r>
        <w:rPr>
          <w:rStyle w:val="FootnoteReference"/>
        </w:rPr>
        <w:footnoteReference w:id="3475"/>
      </w:r>
      <w:r>
        <w:t xml:space="preserve"> </w:t>
      </w:r>
      <w:r>
        <w:t xml:space="preserve">Il consolidamento poggia su una regia regionale che coordina le Aziende, l’Ordine professionale, le rappresentanze della medicina generale e della pediatria di libera scelta e gli atenei; tale regia è in capo all’Assessorato regionale della Salute, attraverso i suoi Dipartimenti, cui spetta definire indirizzi operativi uniformi e impostare il sistema di monitoraggio comune, fondato sulla relazione annuale prevista dalla legge.</w:t>
      </w:r>
      <w:r>
        <w:rPr>
          <w:rStyle w:val="FootnoteReference"/>
        </w:rPr>
        <w:footnoteReference w:id="3476"/>
      </w:r>
      <w:r>
        <w:t xml:space="preserve"> </w:t>
      </w:r>
      <w:r>
        <w:t xml:space="preserve">In questo quadro l’Ordine degli Psicologi della Regione Siciliana, che ha accompagnato l’elaborazione e l’attuazione della legge, concorre alla definizione dei requisiti, alla formazione e alla vigilanza deontologica.</w:t>
      </w:r>
      <w:r>
        <w:rPr>
          <w:rStyle w:val="FootnoteReference"/>
        </w:rPr>
        <w:footnoteReference w:id="3477"/>
      </w:r>
      <w:r>
        <w:t xml:space="preserve"> </w:t>
      </w:r>
      <w:r>
        <w:t xml:space="preserve">La tabella seguente sintetizza l’assetto organizzativo e di governance.</w:t>
      </w:r>
    </w:p>
    <w:tbl>
      <w:tblPr>
        <w:tblStyle w:val="Table"/>
        <w:tblW w:type="pct" w:w="493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00"/>
        <w:gridCol w:w="591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organizzativo</w:t>
            </w:r>
          </w:p>
        </w:tc>
        <w:tc>
          <w:tcPr>
            <w:shd w:val="clear" w:color="auto" w:fill="16264B"/>
          </w:tcPr>
          <w:p>
            <w:pPr>
              <w:pStyle w:val="Compact"/>
              <w:spacing w:after="40" w:before="40"/>
              <w:jc w:val="left"/>
            </w:pPr>
            <w:r>
              <w:rPr>
                <w:rFonts w:ascii="Cambria" w:hAnsi="Cambria" w:cs="Cambria" w:eastAsia="Cambria"/>
                <w:b/>
                <w:bCs/>
                <w:color w:val="FFFFFF"/>
                <w:sz w:val="18"/>
              </w:rPr>
              <w:t xml:space="preserve">Assetto per la Sicilia</w:t>
            </w:r>
          </w:p>
        </w:tc>
      </w:tr>
      <w:tr>
        <w:tc>
          <w:tcPr/>
          <w:p>
            <w:pPr>
              <w:pStyle w:val="Compact"/>
              <w:spacing w:after="40" w:before="40"/>
              <w:jc w:val="left"/>
            </w:pPr>
            <w:r>
              <w:rPr>
                <w:rFonts w:ascii="Cambria" w:hAnsi="Cambria" w:cs="Cambria" w:eastAsia="Cambria"/>
                <w:b/>
                <w:bCs/>
                <w:color w:val="1A1A1A"/>
                <w:sz w:val="18"/>
              </w:rPr>
              <w:t xml:space="preserve">Articolazione del sistema</w:t>
            </w:r>
          </w:p>
        </w:tc>
        <w:tc>
          <w:tcPr/>
          <w:p>
            <w:pPr>
              <w:pStyle w:val="Compact"/>
              <w:spacing w:after="40" w:before="40"/>
              <w:jc w:val="left"/>
            </w:pPr>
            <w:r>
              <w:rPr>
                <w:rFonts w:ascii="Cambria" w:hAnsi="Cambria" w:cs="Cambria" w:eastAsia="Cambria"/>
                <w:color w:val="1A1A1A"/>
                <w:sz w:val="18"/>
              </w:rPr>
              <w:t xml:space="preserve">Nove Aziende Sanitarie Provinciali; aziende ospedaliere, ospedaliero-universitarie e ad alta specializzazione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Coordinamento</w:t>
            </w:r>
          </w:p>
        </w:tc>
        <w:tc>
          <w:tcPr>
            <w:shd w:val="clear" w:color="auto" w:fill="F4F1EC"/>
          </w:tcPr>
          <w:p>
            <w:pPr>
              <w:pStyle w:val="Compact"/>
              <w:spacing w:after="40" w:before="40"/>
              <w:jc w:val="left"/>
            </w:pPr>
            <w:r>
              <w:rPr>
                <w:rFonts w:ascii="Cambria" w:hAnsi="Cambria" w:cs="Cambria" w:eastAsia="Cambria"/>
                <w:color w:val="1A1A1A"/>
                <w:sz w:val="18"/>
              </w:rPr>
              <w:t xml:space="preserve">In capo all’Assessorato regionale della Salute; assenza di un’azienda regionale unica</w:t>
            </w:r>
          </w:p>
        </w:tc>
      </w:tr>
      <w:tr>
        <w:tc>
          <w:tcPr/>
          <w:p>
            <w:pPr>
              <w:pStyle w:val="Compact"/>
              <w:spacing w:after="40" w:before="40"/>
              <w:jc w:val="left"/>
            </w:pPr>
            <w:r>
              <w:rPr>
                <w:rFonts w:ascii="Cambria" w:hAnsi="Cambria" w:cs="Cambria" w:eastAsia="Cambria"/>
                <w:b/>
                <w:bCs/>
                <w:color w:val="1A1A1A"/>
                <w:sz w:val="18"/>
              </w:rPr>
              <w:t xml:space="preserve">Sfida organizzativa</w:t>
            </w:r>
          </w:p>
        </w:tc>
        <w:tc>
          <w:tcPr/>
          <w:p>
            <w:pPr>
              <w:pStyle w:val="Compact"/>
              <w:spacing w:after="40" w:before="40"/>
              <w:jc w:val="left"/>
            </w:pPr>
            <w:r>
              <w:rPr>
                <w:rFonts w:ascii="Cambria" w:hAnsi="Cambria" w:cs="Cambria" w:eastAsia="Cambria"/>
                <w:color w:val="1A1A1A"/>
                <w:sz w:val="18"/>
              </w:rPr>
              <w:t xml:space="preserve">Omogeneità attuativa fra le nove Aziende in un sistema esteso e insulare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Regia della strutturazione</w:t>
            </w:r>
          </w:p>
        </w:tc>
        <w:tc>
          <w:tcPr>
            <w:shd w:val="clear" w:color="auto" w:fill="F4F1EC"/>
          </w:tcPr>
          <w:p>
            <w:pPr>
              <w:pStyle w:val="Compact"/>
              <w:spacing w:after="40" w:before="40"/>
              <w:jc w:val="left"/>
            </w:pPr>
            <w:r>
              <w:rPr>
                <w:rFonts w:ascii="Cambria" w:hAnsi="Cambria" w:cs="Cambria" w:eastAsia="Cambria"/>
                <w:color w:val="1A1A1A"/>
                <w:sz w:val="18"/>
              </w:rPr>
              <w:t xml:space="preserve">Indirizzi operativi uniformi e monitoraggio comune in capo all’Assessorato e ai suoi Dipartimenti</w:t>
            </w:r>
          </w:p>
        </w:tc>
      </w:tr>
      <w:tr>
        <w:tc>
          <w:tcPr/>
          <w:p>
            <w:pPr>
              <w:pStyle w:val="Compact"/>
              <w:spacing w:after="40" w:before="40"/>
              <w:jc w:val="left"/>
            </w:pPr>
            <w:r>
              <w:rPr>
                <w:rFonts w:ascii="Cambria" w:hAnsi="Cambria" w:cs="Cambria" w:eastAsia="Cambria"/>
                <w:b/>
                <w:bCs/>
                <w:color w:val="1A1A1A"/>
                <w:sz w:val="18"/>
              </w:rPr>
              <w:t xml:space="preserve">Soggetti coinvolti</w:t>
            </w:r>
          </w:p>
        </w:tc>
        <w:tc>
          <w:tcPr/>
          <w:p>
            <w:pPr>
              <w:pStyle w:val="Compact"/>
              <w:spacing w:after="40" w:before="40"/>
              <w:jc w:val="left"/>
            </w:pPr>
            <w:r>
              <w:rPr>
                <w:rFonts w:ascii="Cambria" w:hAnsi="Cambria" w:cs="Cambria" w:eastAsia="Cambria"/>
                <w:color w:val="1A1A1A"/>
                <w:sz w:val="18"/>
              </w:rPr>
              <w:t xml:space="preserve">Aziende, Ordine professionale, medicina generale e pediatria, atenei</w:t>
            </w:r>
          </w:p>
        </w:tc>
      </w:tr>
    </w:tbl>
    <w:p>
      <w:pPr>
        <w:pStyle w:val="BodyText"/>
      </w:pPr>
      <w:r>
        <w:rPr>
          <w:i/>
          <w:iCs/>
        </w:rPr>
        <w:t xml:space="preserve">Tabella H.2. L</w:t>
      </w:r>
      <w:r>
        <w:rPr>
          <w:b/>
          <w:bCs/>
          <w:i/>
          <w:iCs/>
        </w:rPr>
        <w:t xml:space="preserve">‘******assetto organizzativo e la governance dell******’</w:t>
      </w:r>
      <w:r>
        <w:rPr>
          <w:i/>
          <w:iCs/>
        </w:rPr>
        <w:t xml:space="preserve">istituzione.</w:t>
      </w:r>
    </w:p>
    <w:bookmarkEnd w:id="3571"/>
    <w:bookmarkStart w:id="3577" w:name="h.3-il-profilo-etico-9"/>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3478"/>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3479"/>
      </w:r>
      <w:r>
        <w:t xml:space="preserve"> </w:t>
      </w:r>
      <w:r>
        <w:t xml:space="preserve">Gli strumenti di intelligenza artificiale sono concepiti come ausilio del clinico, in conformità al quadro europeo e ai requisiti sui dispositivi medici,</w:t>
      </w:r>
      <w:r>
        <w:rPr>
          <w:rStyle w:val="FootnoteReference"/>
        </w:rPr>
        <w:footnoteReference w:id="3480"/>
      </w:r>
      <w:r>
        <w:t xml:space="preserve"> </w:t>
      </w:r>
      <w:r>
        <w:t xml:space="preserve">il trattamento dei dati è conforme alla normativa e ispirato alla minimizzazione,</w:t>
      </w:r>
      <w:r>
        <w:rPr>
          <w:rStyle w:val="FootnoteReference"/>
        </w:rPr>
        <w:footnoteReference w:id="3481"/>
      </w:r>
      <w:r>
        <w:t xml:space="preserve"> </w:t>
      </w:r>
      <w:r>
        <w:t xml:space="preserve">e la responsabilità delle decisioni cliniche resta interamente in capo al professionista, cui gli strumenti forniscono un ausilio non vincolante.</w:t>
      </w:r>
      <w:r>
        <w:rPr>
          <w:rStyle w:val="FootnoteReference"/>
        </w:rPr>
        <w:footnoteReference w:id="3482"/>
      </w:r>
    </w:p>
    <w:bookmarkEnd w:id="3577"/>
    <w:bookmarkStart w:id="3579" w:name="h.4-sintesi-dei-profili-7"/>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 Sicilia, l’approvazione della legge — già in vigore — né l’emanazione del decreto attuativo, già emanato, ma il passaggio dall’avvio al regime e la stabilizzazione del finanziamento entro i vincoli del piano di rientro e dello statuto speciale. È questo il passaggio da cui dipende la piena operatività del servizio.</w:t>
      </w:r>
      <w:r>
        <w:rPr>
          <w:rStyle w:val="FootnoteReference"/>
        </w:rPr>
        <w:footnoteReference w:id="3483"/>
      </w:r>
      <w:r>
        <w:t xml:space="preserve"> </w:t>
      </w:r>
      <w:r>
        <w:t xml:space="preserve">Definiti i profili, la parte che segue affronta l’attuazione, la fattibilità e la sostenibilità.</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ex novo, le fasi di attuazione, i rischi e le mitigazioni</w:t>
      </w:r>
    </w:p>
    <w:p>
      <w:pPr>
        <w:pStyle w:val="BodyText"/>
      </w:pPr>
      <w:r>
        <w:t xml:space="preserve">Five Case Model · la realizzabilità della decisione</w:t>
      </w:r>
    </w:p>
    <w:bookmarkEnd w:id="3579"/>
    <w:bookmarkEnd w:id="3580"/>
    <w:bookmarkStart w:id="3617" w:name="Xdaa0840f4196caaf855604c9d4a48f1d6855419"/>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 Sicilia. La parte espone i cinque casi (capitolo I.1); definisce il dimensionamento a partire dal nucleo di avvio e le fasi di attuazione (I.2); tratta il reclutamento, la formazione e il cronoprogramma (I.3); analizza la sostenibilità finanziaria e organizzativa (I.4); e individua i rischi e le mitigazioni (I.5). Il tratto distintivo della Sicilia è che l’attuazione muove da un servizio già istituito e dotato di decreto attuativo, ma in fase di avvio: non l’istituzione, ma il passaggio dall’avvio al regime, condizionato non dall’approvazione di una legge — già in vigore — ma dalla formazione degli elenchi provinciali e dalla stabilizzazione del finanziamento entro i vincoli del piano di rientro e dello statuto speciale.</w:t>
      </w:r>
    </w:p>
    <w:bookmarkStart w:id="3602" w:name="i.1-i-cinque-casi-della-decisione-5"/>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3484"/>
      </w:r>
      <w:r>
        <w:rPr>
          <w:rStyle w:val="FootnoteReference"/>
        </w:rPr>
        <w:footnoteReference w:id="3485"/>
      </w:r>
      <w:r>
        <w:rPr>
          <w:rStyle w:val="FootnoteReference"/>
        </w:rPr>
        <w:footnoteReference w:id="3486"/>
      </w:r>
      <w:r>
        <w:rPr>
          <w:rStyle w:val="FootnoteReference"/>
        </w:rPr>
        <w:footnoteReference w:id="3487"/>
      </w:r>
      <w:r>
        <w:rPr>
          <w:rStyle w:val="FootnoteReference"/>
        </w:rPr>
        <w:footnoteReference w:id="3488"/>
      </w:r>
      <w:r>
        <w:rPr>
          <w:rStyle w:val="FootnoteReference"/>
        </w:rPr>
        <w:footnoteReference w:id="3489"/>
      </w:r>
      <w:r>
        <w:rPr>
          <w:rStyle w:val="FootnoteReference"/>
        </w:rPr>
        <w:footnoteReference w:id="3490"/>
      </w:r>
      <w:r>
        <w:rPr>
          <w:rStyle w:val="FootnoteReference"/>
        </w:rPr>
        <w:footnoteReference w:id="3491"/>
      </w:r>
      <w:r>
        <w:rPr>
          <w:rStyle w:val="FootnoteReference"/>
        </w:rPr>
        <w:footnoteReference w:id="3492"/>
      </w:r>
      <w:r>
        <w:rPr>
          <w:rStyle w:val="FootnoteReference"/>
        </w:rPr>
        <w:footnoteReference w:id="3493"/>
      </w:r>
      <w:r>
        <w:rPr>
          <w:rStyle w:val="FootnoteReference"/>
        </w:rPr>
        <w:footnoteReference w:id="3494"/>
      </w:r>
      <w:r>
        <w:rPr>
          <w:rStyle w:val="FootnoteReference"/>
        </w:rPr>
        <w:footnoteReference w:id="3495"/>
      </w:r>
      <w:r>
        <w:rPr>
          <w:rStyle w:val="FootnoteReference"/>
        </w:rPr>
        <w:footnoteReference w:id="3496"/>
      </w:r>
      <w:r>
        <w:rPr>
          <w:rStyle w:val="FootnoteReference"/>
        </w:rPr>
        <w:footnoteReference w:id="3497"/>
      </w:r>
      <w:r>
        <w:rPr>
          <w:rStyle w:val="FootnoteReference"/>
        </w:rPr>
        <w:footnoteReference w:id="3498"/>
      </w:r>
      <w:r>
        <w:rPr>
          <w:rStyle w:val="FootnoteReference"/>
        </w:rPr>
        <w:footnoteReference w:id="3499"/>
      </w:r>
      <w:r>
        <w:t xml:space="preserve"> </w:t>
      </w:r>
      <w:r>
        <w:t xml:space="preserve">Il caso strategico è solido: l’istituzione del servizio è coerente con gli standard territoriali, con le Case della Comunità e con il Piano regionale di salute mentale, e nella Sicilia porta a regime il modello che la regione ha già istituito per legge e di cui ha già emanato il decreto attuativo.</w:t>
      </w:r>
      <w:r>
        <w:rPr>
          <w:rStyle w:val="FootnoteReference"/>
        </w:rPr>
        <w:footnoteReference w:id="3500"/>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3501"/>
      </w:r>
      <w:r>
        <w:t xml:space="preserve"> </w:t>
      </w:r>
      <w:r>
        <w:t xml:space="preserve">Il caso commerciale è già disciplinato e si avvale di un ampio bacino professionale alimentato dagli atenei siciliani, con psicologi selezionati attraverso gli elenchi provinciali secondo titoli e criteri definiti dal decreto.</w:t>
      </w:r>
      <w:r>
        <w:rPr>
          <w:rStyle w:val="FootnoteReference"/>
        </w:rPr>
        <w:footnoteReference w:id="3502"/>
      </w:r>
      <w:r>
        <w:t xml:space="preserve"> </w:t>
      </w:r>
      <w:r>
        <w:t xml:space="preserve">Il caso finanziario presenta un costo contenuto, pari allo 0,3–0,5% del finanziamento sanitario regionale, da reperire però entro i vincoli dello statuto speciale e del piano di rientro, a valere sull’impegno iniziale già disposto dalla legge.</w:t>
      </w:r>
      <w:r>
        <w:rPr>
          <w:rStyle w:val="FootnoteReference"/>
        </w:rPr>
        <w:footnoteReference w:id="3503"/>
      </w:r>
      <w:r>
        <w:t xml:space="preserve"> </w:t>
      </w:r>
      <w:r>
        <w:t xml:space="preserve">Il caso gestionale dipende da una regia regionale che, in assenza di un’azienda unica, coordini il sistema insulare delle nove Aziende.</w:t>
      </w:r>
      <w:r>
        <w:rPr>
          <w:rStyle w:val="FootnoteReference"/>
        </w:rPr>
        <w:footnoteReference w:id="3504"/>
      </w:r>
      <w:r>
        <w:t xml:space="preserve"> </w:t>
      </w:r>
      <w:r>
        <w:t xml:space="preserve">La tabella seguente riepiloga i cinque casi.</w:t>
      </w:r>
    </w:p>
    <w:tbl>
      <w:tblPr>
        <w:tblStyle w:val="Table"/>
        <w:tblW w:type="pct" w:w="494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47"/>
        <w:gridCol w:w="639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Caso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Sicilia</w:t>
            </w:r>
          </w:p>
        </w:tc>
      </w:tr>
      <w:tr>
        <w:tc>
          <w:tcPr/>
          <w:p>
            <w:pPr>
              <w:pStyle w:val="Compact"/>
              <w:spacing w:after="40" w:before="40"/>
              <w:jc w:val="left"/>
            </w:pPr>
            <w:r>
              <w:rPr>
                <w:rFonts w:ascii="Cambria" w:hAnsi="Cambria" w:cs="Cambria" w:eastAsia="Cambria"/>
                <w:b/>
                <w:bCs/>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Coerenza con DM 77/2022, Case della Comunità e programmazione salute mentale; passaggio a regime del modello già istituito per legge e con decreto attuativo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Rapporto beneficio-costo 3,9–5,5 a uno; dominanza per paziente; caso sociale fortemente positivo</w:t>
            </w:r>
          </w:p>
        </w:tc>
      </w:tr>
      <w:tr>
        <w:tc>
          <w:tcPr/>
          <w:p>
            <w:pPr>
              <w:pStyle w:val="Compact"/>
              <w:spacing w:after="40" w:before="40"/>
              <w:jc w:val="left"/>
            </w:pPr>
            <w:r>
              <w:rPr>
                <w:rFonts w:ascii="Cambria" w:hAnsi="Cambria" w:cs="Cambria" w:eastAsia="Cambria"/>
                <w:b/>
                <w:bCs/>
                <w:color w:val="1A1A1A"/>
                <w:sz w:val="18"/>
              </w:rPr>
              <w:t xml:space="preserve">Commerciale</w:t>
            </w:r>
          </w:p>
        </w:tc>
        <w:tc>
          <w:tcPr/>
          <w:p>
            <w:pPr>
              <w:pStyle w:val="Compact"/>
              <w:spacing w:after="40" w:before="40"/>
              <w:jc w:val="left"/>
            </w:pPr>
            <w:r>
              <w:rPr>
                <w:rFonts w:ascii="Cambria" w:hAnsi="Cambria" w:cs="Cambria" w:eastAsia="Cambria"/>
                <w:color w:val="1A1A1A"/>
                <w:sz w:val="18"/>
              </w:rPr>
              <w:t xml:space="preserve">Rapporto convenzionale già disciplinato; ampio bacino dagli atenei siciliani; elenchi provinciali con titoli e criteri del decreto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Finanziario</w:t>
            </w:r>
          </w:p>
        </w:tc>
        <w:tc>
          <w:tcPr>
            <w:shd w:val="clear" w:color="auto" w:fill="F4F1EC"/>
          </w:tcPr>
          <w:p>
            <w:pPr>
              <w:pStyle w:val="Compact"/>
              <w:spacing w:after="40" w:before="40"/>
              <w:jc w:val="left"/>
            </w:pPr>
            <w:r>
              <w:rPr>
                <w:rFonts w:ascii="Cambria" w:hAnsi="Cambria" w:cs="Cambria" w:eastAsia="Cambria"/>
                <w:color w:val="1A1A1A"/>
                <w:sz w:val="18"/>
              </w:rPr>
              <w:t xml:space="preserve">Costo 0,3–0,5% del FSR; statuto speciale (49,11%) e piano di rientro; impegno iniziale ~7,4 mln, da stabilizzare</w:t>
            </w:r>
          </w:p>
        </w:tc>
      </w:tr>
      <w:tr>
        <w:tc>
          <w:tcPr/>
          <w:p>
            <w:pPr>
              <w:pStyle w:val="Compact"/>
              <w:spacing w:after="40" w:before="40"/>
              <w:jc w:val="left"/>
            </w:pPr>
            <w:r>
              <w:rPr>
                <w:rFonts w:ascii="Cambria" w:hAnsi="Cambria" w:cs="Cambria" w:eastAsia="Cambria"/>
                <w:b/>
                <w:bCs/>
                <w:color w:val="1A1A1A"/>
                <w:sz w:val="18"/>
              </w:rPr>
              <w:t xml:space="preserve">Gestionale</w:t>
            </w:r>
          </w:p>
        </w:tc>
        <w:tc>
          <w:tcPr/>
          <w:p>
            <w:pPr>
              <w:pStyle w:val="Compact"/>
              <w:spacing w:after="40" w:before="40"/>
              <w:jc w:val="left"/>
            </w:pPr>
            <w:r>
              <w:rPr>
                <w:rFonts w:ascii="Cambria" w:hAnsi="Cambria" w:cs="Cambria" w:eastAsia="Cambria"/>
                <w:color w:val="1A1A1A"/>
                <w:sz w:val="18"/>
              </w:rPr>
              <w:t xml:space="preserve">Regia dell’Assessorato regionale per il coordinamento del sistema insulare, in assenza di azienda unica</w:t>
            </w:r>
          </w:p>
        </w:tc>
      </w:tr>
    </w:tbl>
    <w:p>
      <w:pPr>
        <w:pStyle w:val="BodyText"/>
      </w:pPr>
      <w:r>
        <w:rPr>
          <w:i/>
          <w:iCs/>
        </w:rPr>
        <w:t xml:space="preserve">Tabella I.1. I cinque casi della decisione di investimento pubblico.</w:t>
      </w:r>
    </w:p>
    <w:bookmarkEnd w:id="3602"/>
    <w:bookmarkStart w:id="3605" w:name="X7ffcc5f9bb7a655f54e5934bd56b8f5a4d58665"/>
    <w:p>
      <w:pPr>
        <w:pStyle w:val="Heading3"/>
      </w:pPr>
      <w:r>
        <w:t xml:space="preserve">I.2 Il dimensionamento dal nucleo di avvio e le fasi di attuazione</w:t>
      </w:r>
    </w:p>
    <w:p>
      <w:pPr>
        <w:pStyle w:val="FirstParagraph"/>
      </w:pPr>
      <w:r>
        <w:t xml:space="preserve">A differenza del Lazio, che dimensiona il servizio da zero, la Sicilia muove dal nucleo di avvio previsto dalla legge, dell’ordine di 110 psicologi, e lo estende verso un fabbisogno a regime dell’ordine di 1.030 psicologi nello scenario espansivo; l’estensione procede per gradi attraverso gli scenari conservativo, di base ed espansivo.</w:t>
      </w:r>
      <w:r>
        <w:rPr>
          <w:rStyle w:val="FootnoteReference"/>
        </w:rPr>
        <w:footnoteReference w:id="3505"/>
      </w:r>
      <w:r>
        <w:t xml:space="preserve"> </w:t>
      </w:r>
      <w:r>
        <w:t xml:space="preserve">L’attuazione si articola perciò in tre fasi: una fase di formazione degli elenchi provinciali e di avvio operativo; una fase di estensione, nella quale la copertura si amplia progressivamente fra le Aziende; e una fase di regime, nella quale il servizio raggiunge il dimensionamento adeguato. La progressione differenziata della formazione degli elenchi fra le Aziende coincide con l’esperimento a cunei progressivi descritto nella Parte F.</w:t>
      </w:r>
      <w:r>
        <w:rPr>
          <w:rStyle w:val="FootnoteReference"/>
        </w:rPr>
        <w:footnoteReference w:id="3506"/>
      </w:r>
      <w:r>
        <w:t xml:space="preserve"> </w:t>
      </w:r>
      <w:r>
        <w:t xml:space="preserve">La tabella seguente riepiloga le fasi.</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84"/>
        <w:gridCol w:w="3762"/>
        <w:gridCol w:w="244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Dimensionamento indicativo</w:t>
            </w:r>
          </w:p>
        </w:tc>
      </w:tr>
      <w:tr>
        <w:tc>
          <w:tcPr/>
          <w:p>
            <w:pPr>
              <w:pStyle w:val="Compact"/>
              <w:spacing w:after="40" w:before="40"/>
              <w:jc w:val="left"/>
            </w:pPr>
            <w:r>
              <w:rPr>
                <w:rFonts w:ascii="Cambria" w:hAnsi="Cambria" w:cs="Cambria" w:eastAsia="Cambria"/>
                <w:b/>
                <w:bCs/>
                <w:color w:val="1A1A1A"/>
                <w:sz w:val="18"/>
              </w:rPr>
              <w:t xml:space="preserve">Avvio</w:t>
            </w:r>
          </w:p>
        </w:tc>
        <w:tc>
          <w:tcPr/>
          <w:p>
            <w:pPr>
              <w:pStyle w:val="Compact"/>
              <w:spacing w:after="40" w:before="40"/>
              <w:jc w:val="left"/>
            </w:pPr>
            <w:r>
              <w:rPr>
                <w:rFonts w:ascii="Cambria" w:hAnsi="Cambria" w:cs="Cambria" w:eastAsia="Cambria"/>
                <w:color w:val="1A1A1A"/>
                <w:sz w:val="18"/>
              </w:rPr>
              <w:t xml:space="preserve">Formazione degli elenchi provinciali e avvio operativo</w:t>
            </w:r>
          </w:p>
        </w:tc>
        <w:tc>
          <w:tcPr/>
          <w:p>
            <w:pPr>
              <w:pStyle w:val="Compact"/>
              <w:spacing w:after="40" w:before="40"/>
              <w:jc w:val="left"/>
            </w:pPr>
            <w:r>
              <w:rPr>
                <w:rFonts w:ascii="Cambria" w:hAnsi="Cambria" w:cs="Cambria" w:eastAsia="Cambria"/>
                <w:color w:val="1A1A1A"/>
                <w:sz w:val="18"/>
              </w:rPr>
              <w:t xml:space="preserve">~ 110 psicologi (nucleo di avvio)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Estensione</w:t>
            </w:r>
          </w:p>
        </w:tc>
        <w:tc>
          <w:tcPr>
            <w:shd w:val="clear" w:color="auto" w:fill="F4F1EC"/>
          </w:tcPr>
          <w:p>
            <w:pPr>
              <w:pStyle w:val="Compact"/>
              <w:spacing w:after="40" w:before="40"/>
              <w:jc w:val="left"/>
            </w:pPr>
            <w:r>
              <w:rPr>
                <w:rFonts w:ascii="Cambria" w:hAnsi="Cambria" w:cs="Cambria" w:eastAsia="Cambria"/>
                <w:color w:val="1A1A1A"/>
                <w:sz w:val="18"/>
              </w:rPr>
              <w:t xml:space="preserve">Ampliamento progressivo della copertura fra le Aziende</w:t>
            </w:r>
          </w:p>
        </w:tc>
        <w:tc>
          <w:tcPr>
            <w:shd w:val="clear" w:color="auto" w:fill="F4F1EC"/>
          </w:tcPr>
          <w:p>
            <w:pPr>
              <w:pStyle w:val="Compact"/>
              <w:spacing w:after="40" w:before="40"/>
              <w:jc w:val="left"/>
            </w:pPr>
            <w:r>
              <w:rPr>
                <w:rFonts w:ascii="Cambria" w:hAnsi="Cambria" w:cs="Cambria" w:eastAsia="Cambria"/>
                <w:color w:val="1A1A1A"/>
                <w:sz w:val="18"/>
              </w:rPr>
              <w:t xml:space="preserve">verso ~ 520–780 incarichi</w:t>
            </w:r>
          </w:p>
        </w:tc>
      </w:tr>
      <w:tr>
        <w:tc>
          <w:tcPr/>
          <w:p>
            <w:pPr>
              <w:pStyle w:val="Compact"/>
              <w:spacing w:after="40" w:before="40"/>
              <w:jc w:val="left"/>
            </w:pPr>
            <w:r>
              <w:rPr>
                <w:rFonts w:ascii="Cambria" w:hAnsi="Cambria" w:cs="Cambria" w:eastAsia="Cambria"/>
                <w:b/>
                <w:bCs/>
                <w:color w:val="1A1A1A"/>
                <w:sz w:val="18"/>
              </w:rPr>
              <w:t xml:space="preserve">Regime</w:t>
            </w:r>
          </w:p>
        </w:tc>
        <w:tc>
          <w:tcPr/>
          <w:p>
            <w:pPr>
              <w:pStyle w:val="Compact"/>
              <w:spacing w:after="40" w:before="40"/>
              <w:jc w:val="left"/>
            </w:pPr>
            <w:r>
              <w:rPr>
                <w:rFonts w:ascii="Cambria" w:hAnsi="Cambria" w:cs="Cambria" w:eastAsia="Cambria"/>
                <w:color w:val="1A1A1A"/>
                <w:sz w:val="18"/>
              </w:rPr>
              <w:t xml:space="preserve">Dimensionamento adeguato al fabbisogno</w:t>
            </w:r>
          </w:p>
        </w:tc>
        <w:tc>
          <w:tcPr/>
          <w:p>
            <w:pPr>
              <w:pStyle w:val="Compact"/>
              <w:spacing w:after="40" w:before="40"/>
              <w:jc w:val="left"/>
            </w:pPr>
            <w:r>
              <w:rPr>
                <w:rFonts w:ascii="Cambria" w:hAnsi="Cambria" w:cs="Cambria" w:eastAsia="Cambria"/>
                <w:color w:val="1A1A1A"/>
                <w:sz w:val="18"/>
              </w:rPr>
              <w:t xml:space="preserve">fino a ~ 1.030 incarichi</w:t>
            </w:r>
          </w:p>
        </w:tc>
      </w:tr>
    </w:tbl>
    <w:p>
      <w:pPr>
        <w:pStyle w:val="BodyText"/>
      </w:pPr>
      <w:r>
        <w:rPr>
          <w:i/>
          <w:iCs/>
        </w:rPr>
        <w:t xml:space="preserve">Tabella I.2. Le fasi di attuazione e il dimensionamento progressivo.</w:t>
      </w:r>
    </w:p>
    <w:bookmarkEnd w:id="3605"/>
    <w:bookmarkStart w:id="3608" w:name="X7305cd4bcc0c4beaa484663548552c85df797e0"/>
    <w:p>
      <w:pPr>
        <w:pStyle w:val="Heading3"/>
      </w:pPr>
      <w:r>
        <w:t xml:space="preserve">I.3 Reclutamento, formazione e cronoprogramma</w:t>
      </w:r>
    </w:p>
    <w:p>
      <w:pPr>
        <w:pStyle w:val="FirstParagraph"/>
      </w:pPr>
      <w:r>
        <w:t xml:space="preserve">L’estensione richiede il reclutamento e la formazione dedicata degli psicologi, secondo il programma a quattro livelli; il bacino professionale, i titoli e i criteri di valutazione già definiti dal decreto e gli atenei siciliani costituiscono una base favorevole, e la formazione specialistica assicura l’omogeneità delle competenze.</w:t>
      </w:r>
      <w:r>
        <w:rPr>
          <w:rStyle w:val="FootnoteReference"/>
        </w:rPr>
        <w:footnoteReference w:id="3507"/>
      </w:r>
      <w:r>
        <w:t xml:space="preserve"> </w:t>
      </w:r>
      <w:r>
        <w:t xml:space="preserve">Il cronoprogramma si sviluppa su un orizzonte pluriennale, con il raggiungimento del regime in più esercizi; a differenza del Lazio, l’estensione non è subordinata all’approvazione di una legge — già in vigore — né all’emanazione del decreto — già emanato — ma alla formazione degli elenchi provinciali e alla stabilizzazione del finanziamento entro i vincoli del piano di rientro.</w:t>
      </w:r>
      <w:r>
        <w:rPr>
          <w:rStyle w:val="FootnoteReference"/>
        </w:rPr>
        <w:footnoteReference w:id="3508"/>
      </w:r>
    </w:p>
    <w:bookmarkEnd w:id="3608"/>
    <w:bookmarkStart w:id="3612" w:name="X4d93c31af939c106bae3d302ed7433d6756ccd8"/>
    <w:p>
      <w:pPr>
        <w:pStyle w:val="Heading3"/>
      </w:pPr>
      <w:r>
        <w:t xml:space="preserve">I.4 La sostenibilità finanziaria e organizzativa</w:t>
      </w:r>
    </w:p>
    <w:p>
      <w:pPr>
        <w:pStyle w:val="FirstParagraph"/>
      </w:pPr>
      <w:r>
        <w:t xml:space="preserve">La sostenibilità finanziaria, nella Sicilia, ha per leva la stabilizzazione del finanziamento entro i vincoli dello statuto speciale e del piano di rientro, a valere sull’impegno iniziale già disposto dalla legge, e il dimensionamento progressivo del servizio; il sistema, storicamente sotto-finanziato, presenta margini di consumo improprio ampi da recuperare, mentre l’eventuale riconoscimento nei livelli essenziali di assistenza ne rafforzerebbe in futuro la stabilità.</w:t>
      </w:r>
      <w:r>
        <w:rPr>
          <w:rStyle w:val="FootnoteReference"/>
        </w:rPr>
        <w:footnoteReference w:id="3509"/>
      </w:r>
      <w:r>
        <w:t xml:space="preserve"> </w:t>
      </w:r>
      <w:r>
        <w:t xml:space="preserve">La sostenibilità organizzativa dipende invece dalla capacità di garantire l’omogeneità attuativa fra le nove Aziende Sanitarie Provinciali in un sistema esteso e insulare privo di un’azienda regionale unica, e quindi dalla forza della regia dell’Assessorato regionale, dal ruolo dei suoi Dipartimenti e dalla chiarezza degli indirizzi operativi.</w:t>
      </w:r>
      <w:r>
        <w:rPr>
          <w:rStyle w:val="FootnoteReference"/>
        </w:rPr>
        <w:footnoteReference w:id="3510"/>
      </w:r>
      <w:r>
        <w:t xml:space="preserve"> </w:t>
      </w:r>
      <w:r>
        <w:t xml:space="preserve">L’avanzamento è seguito mediante indicatori di processo raccolti attraverso la relazione annuale prevista dalla legge, che la fase di avvio consente di impostare fin dall’inizio in forma uniforme fra le nove Aziende.</w:t>
      </w:r>
      <w:r>
        <w:rPr>
          <w:rStyle w:val="FootnoteReference"/>
        </w:rPr>
        <w:footnoteReference w:id="3511"/>
      </w:r>
    </w:p>
    <w:bookmarkEnd w:id="3612"/>
    <w:bookmarkStart w:id="3616" w:name="i.5-i-rischi-e-le-mitigazioni-7"/>
    <w:p>
      <w:pPr>
        <w:pStyle w:val="Heading3"/>
      </w:pPr>
      <w:r>
        <w:t xml:space="preserve">I.5 I rischi e le mitigazioni</w:t>
      </w:r>
    </w:p>
    <w:p>
      <w:pPr>
        <w:pStyle w:val="FirstParagraph"/>
      </w:pPr>
      <w:r>
        <w:t xml:space="preserve">L’attuazione presenta rischi propri della posizione siciliana: la disomogeneità attuativa fra le nove Aziende in un sistema insulare, la difficoltà di coordinamento in assenza di un’azienda unica e soprattutto il vincolo del piano di rientro e dello statuto speciale sulla disponibilità di un finanziamento stabile, cui si aggiunge l’esigenza di calibrare il ticket.</w:t>
      </w:r>
      <w:r>
        <w:rPr>
          <w:rStyle w:val="FootnoteReference"/>
        </w:rPr>
        <w:footnoteReference w:id="3512"/>
      </w:r>
      <w:r>
        <w:t xml:space="preserve"> </w:t>
      </w:r>
      <w:r>
        <w:t xml:space="preserve">Tali rischi sono fronteggiati con una regia regionale forte e indirizzi operativi uniformi, con la progressione differenziata della formazione degli elenchi che consente un apprendimento progressivo, e con un’allocazione pro-equità e un ticket calibrato che orientano l’estensione verso le aree a maggiore bisogno; la stabilizzazione del finanziamento e il sostegno dell’Ordine professionale concorrono a ridurre l’incertezza.</w:t>
      </w:r>
      <w:r>
        <w:rPr>
          <w:rStyle w:val="FootnoteReference"/>
        </w:rPr>
        <w:footnoteReference w:id="3513"/>
      </w:r>
      <w:r>
        <w:t xml:space="preserve"> </w:t>
      </w:r>
      <w:r>
        <w:t xml:space="preserve">La sintesi è che l’intervento è attuabile e sostenibile, e che la leva propria della Sicilia è la formazione degli elenchi provinciali e la stabilizzazione del finanziamento entro i vincoli del piano di rientro: la regione muove da un nucleo di avvio già previsto, da un bacino professionale ampio e da una cornice normativa completa, sicché le condizioni di fattibilità sono complessivamente favorevoli, pur entro un vincolo di bilancio più stretto che altrove.</w:t>
      </w:r>
      <w:r>
        <w:rPr>
          <w:rStyle w:val="FootnoteReference"/>
        </w:rPr>
        <w:footnoteReference w:id="3514"/>
      </w:r>
      <w:r>
        <w:t xml:space="preserve"> </w:t>
      </w:r>
      <w:r>
        <w:t xml:space="preserve">La tabella seguente riepiloga i rischi e le relative mitigazioni; la parte che segue affronta il monitoraggio e la valutazione ex post.</w:t>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813"/>
        <w:gridCol w:w="502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Mitigazione</w:t>
            </w:r>
          </w:p>
        </w:tc>
      </w:tr>
      <w:tr>
        <w:tc>
          <w:tcPr/>
          <w:p>
            <w:pPr>
              <w:pStyle w:val="Compact"/>
              <w:spacing w:after="40" w:before="40"/>
              <w:jc w:val="left"/>
            </w:pPr>
            <w:r>
              <w:rPr>
                <w:rFonts w:ascii="Cambria" w:hAnsi="Cambria" w:cs="Cambria" w:eastAsia="Cambria"/>
                <w:b/>
                <w:bCs/>
                <w:color w:val="1A1A1A"/>
                <w:sz w:val="18"/>
              </w:rPr>
              <w:t xml:space="preserve">Disomogeneità attuativa fra le nove Aziende</w:t>
            </w:r>
          </w:p>
        </w:tc>
        <w:tc>
          <w:tcPr/>
          <w:p>
            <w:pPr>
              <w:pStyle w:val="Compact"/>
              <w:spacing w:after="40" w:before="40"/>
              <w:jc w:val="left"/>
            </w:pPr>
            <w:r>
              <w:rPr>
                <w:rFonts w:ascii="Cambria" w:hAnsi="Cambria" w:cs="Cambria" w:eastAsia="Cambria"/>
                <w:color w:val="1A1A1A"/>
                <w:sz w:val="18"/>
              </w:rPr>
              <w:t xml:space="preserve">Regia regionale forte; indirizzi operativi uniformi; monitoraggio comune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Coordinamento senza azienda unica</w:t>
            </w:r>
          </w:p>
        </w:tc>
        <w:tc>
          <w:tcPr>
            <w:shd w:val="clear" w:color="auto" w:fill="F4F1EC"/>
          </w:tcPr>
          <w:p>
            <w:pPr>
              <w:pStyle w:val="Compact"/>
              <w:spacing w:after="40" w:before="40"/>
              <w:jc w:val="left"/>
            </w:pPr>
            <w:r>
              <w:rPr>
                <w:rFonts w:ascii="Cambria" w:hAnsi="Cambria" w:cs="Cambria" w:eastAsia="Cambria"/>
                <w:color w:val="1A1A1A"/>
                <w:sz w:val="18"/>
              </w:rPr>
              <w:t xml:space="preserve">Regia dell’Assessorato regionale; sistema informativo uniforme progettato dall’inizio</w:t>
            </w:r>
          </w:p>
        </w:tc>
      </w:tr>
      <w:tr>
        <w:tc>
          <w:tcPr/>
          <w:p>
            <w:pPr>
              <w:pStyle w:val="Compact"/>
              <w:spacing w:after="40" w:before="40"/>
              <w:jc w:val="left"/>
            </w:pPr>
            <w:r>
              <w:rPr>
                <w:rFonts w:ascii="Cambria" w:hAnsi="Cambria" w:cs="Cambria" w:eastAsia="Cambria"/>
                <w:b/>
                <w:bCs/>
                <w:color w:val="1A1A1A"/>
                <w:sz w:val="18"/>
              </w:rPr>
              <w:t xml:space="preserve">Vincolo del piano di rientro e statuto speciale</w:t>
            </w:r>
          </w:p>
        </w:tc>
        <w:tc>
          <w:tcPr/>
          <w:p>
            <w:pPr>
              <w:pStyle w:val="Compact"/>
              <w:spacing w:after="40" w:before="40"/>
              <w:jc w:val="left"/>
            </w:pPr>
            <w:r>
              <w:rPr>
                <w:rFonts w:ascii="Cambria" w:hAnsi="Cambria" w:cs="Cambria" w:eastAsia="Cambria"/>
                <w:color w:val="1A1A1A"/>
                <w:sz w:val="18"/>
              </w:rPr>
              <w:t xml:space="preserve">Stabilizzazione su finanziamento stabile entro i vincoli; disegno per fasi; sostegno dell’Ordine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Allocazione non equa nell’estensione e barriera del ticket</w:t>
            </w:r>
          </w:p>
        </w:tc>
        <w:tc>
          <w:tcPr>
            <w:shd w:val="clear" w:color="auto" w:fill="F4F1EC"/>
          </w:tcPr>
          <w:p>
            <w:pPr>
              <w:pStyle w:val="Compact"/>
              <w:spacing w:after="40" w:before="40"/>
              <w:jc w:val="left"/>
            </w:pPr>
            <w:r>
              <w:rPr>
                <w:rFonts w:ascii="Cambria" w:hAnsi="Cambria" w:cs="Cambria" w:eastAsia="Cambria"/>
                <w:color w:val="1A1A1A"/>
                <w:sz w:val="18"/>
              </w:rPr>
              <w:t xml:space="preserve">Criteri di equità espliciti; estensione pro-equità verso periferie e aree interne; ticket calibrato con esenzioni</w:t>
            </w:r>
          </w:p>
        </w:tc>
      </w:tr>
    </w:tbl>
    <w:p>
      <w:pPr>
        <w:pStyle w:val="BodyText"/>
      </w:pPr>
      <w:r>
        <w:rPr>
          <w:i/>
          <w:iCs/>
        </w:rPr>
        <w:t xml:space="preserve">Tabella I.3. I rischi dell</w:t>
      </w:r>
      <w:r>
        <w:rPr>
          <w:b/>
          <w:bCs/>
          <w:i/>
          <w:iCs/>
        </w:rPr>
        <w:t xml:space="preserve">’</w:t>
      </w:r>
      <w:r>
        <w:rPr>
          <w:i/>
          <w:iCs/>
        </w:rPr>
        <w:t xml:space="preserve">attuazione e le relative mitigazioni.</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prospettico, batteria di indicatori, cruscotto regionale e clausola valutativa</w:t>
      </w:r>
    </w:p>
    <w:p>
      <w:pPr>
        <w:pStyle w:val="BodyText"/>
      </w:pPr>
      <w:r>
        <w:t xml:space="preserve">Inferenza causale quasi-sperimentale · la valutazione ex post</w:t>
      </w:r>
    </w:p>
    <w:bookmarkEnd w:id="3616"/>
    <w:bookmarkEnd w:id="3617"/>
    <w:bookmarkStart w:id="3660" w:name="X697415402764ad159b6156b9b0ed649b10f8544"/>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 Sicilia è che, essendo il servizio in fase di avvio, la valutazione può disporre di una linea di base anteriore all’attivazione, e la previsione di relazione annuale — già contenuta nella legge — va rafforzata e resa operativa anziché introdotta.</w:t>
      </w:r>
    </w:p>
    <w:bookmarkStart w:id="3638" w:name="X6c989e1a8d122fb232ad4a838827cd0688120b3"/>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3515"/>
      </w:r>
      <w:r>
        <w:rPr>
          <w:rStyle w:val="FootnoteReference"/>
        </w:rPr>
        <w:footnoteReference w:id="3516"/>
      </w:r>
      <w:r>
        <w:rPr>
          <w:rStyle w:val="FootnoteReference"/>
        </w:rPr>
        <w:footnoteReference w:id="3517"/>
      </w:r>
      <w:r>
        <w:rPr>
          <w:rStyle w:val="FootnoteReference"/>
        </w:rPr>
        <w:footnoteReference w:id="3518"/>
      </w:r>
      <w:r>
        <w:rPr>
          <w:rStyle w:val="FootnoteReference"/>
        </w:rPr>
        <w:footnoteReference w:id="3519"/>
      </w:r>
      <w:r>
        <w:rPr>
          <w:rStyle w:val="FootnoteReference"/>
        </w:rPr>
        <w:footnoteReference w:id="3520"/>
      </w:r>
      <w:r>
        <w:rPr>
          <w:rStyle w:val="FootnoteReference"/>
        </w:rPr>
        <w:footnoteReference w:id="3521"/>
      </w:r>
      <w:r>
        <w:rPr>
          <w:rStyle w:val="FootnoteReference"/>
        </w:rPr>
        <w:footnoteReference w:id="3522"/>
      </w:r>
      <w:r>
        <w:rPr>
          <w:rStyle w:val="FootnoteReference"/>
        </w:rPr>
        <w:footnoteReference w:id="3523"/>
      </w:r>
      <w:r>
        <w:rPr>
          <w:rStyle w:val="FootnoteReference"/>
        </w:rPr>
        <w:footnoteReference w:id="3524"/>
      </w:r>
      <w:r>
        <w:rPr>
          <w:rStyle w:val="FootnoteReference"/>
        </w:rPr>
        <w:footnoteReference w:id="3525"/>
      </w:r>
      <w:r>
        <w:rPr>
          <w:rStyle w:val="FootnoteReference"/>
        </w:rPr>
        <w:footnoteReference w:id="3526"/>
      </w:r>
      <w:r>
        <w:rPr>
          <w:rStyle w:val="FootnoteReference"/>
        </w:rPr>
        <w:footnoteReference w:id="3527"/>
      </w:r>
      <w:r>
        <w:rPr>
          <w:rStyle w:val="FootnoteReference"/>
        </w:rPr>
        <w:footnoteReference w:id="3528"/>
      </w:r>
      <w:r>
        <w:rPr>
          <w:rStyle w:val="FootnoteReference"/>
        </w:rPr>
        <w:footnoteReference w:id="3529"/>
      </w:r>
      <w:r>
        <w:rPr>
          <w:rStyle w:val="FootnoteReference"/>
        </w:rPr>
        <w:footnoteReference w:id="3530"/>
      </w:r>
      <w:r>
        <w:rPr>
          <w:rStyle w:val="FootnoteReference"/>
        </w:rPr>
        <w:footnoteReference w:id="3531"/>
      </w:r>
      <w:r>
        <w:rPr>
          <w:rStyle w:val="FootnoteReference"/>
        </w:rPr>
        <w:footnoteReference w:id="3532"/>
      </w:r>
      <w:r>
        <w:rPr>
          <w:rStyle w:val="FootnoteReference"/>
        </w:rPr>
        <w:footnoteReference w:id="3533"/>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3534"/>
      </w:r>
    </w:p>
    <w:bookmarkEnd w:id="3638"/>
    <w:bookmarkStart w:id="3642" w:name="X81bdd6ad6f90e552e3320eabc048833e91742bf"/>
    <w:p>
      <w:pPr>
        <w:pStyle w:val="Heading3"/>
      </w:pPr>
      <w:r>
        <w:t xml:space="preserve">L.2 Il disegno controfattuale e i metodi</w:t>
      </w:r>
    </w:p>
    <w:p>
      <w:pPr>
        <w:pStyle w:val="FirstParagraph"/>
      </w:pPr>
      <w:r>
        <w:t xml:space="preserve">Il disegno della valutazione d’impatto costituisce, per la Sicilia, un punto di forza dello studio. Poiché il servizio è in fase di avvio e gli elenchi provinciali si completano in tempi differenziati, la valutazione può fondarsi su un esperimento a cunei progressivi, nel quale l’ordine e i tempi di attivazione delle sedi tra le nove Aziende Sanitarie Provinciali sono impiegati a fini valutativi.</w:t>
      </w:r>
      <w:r>
        <w:rPr>
          <w:rStyle w:val="FootnoteReference"/>
        </w:rPr>
        <w:footnoteReference w:id="3535"/>
      </w:r>
      <w:r>
        <w:t xml:space="preserve"> </w:t>
      </w:r>
      <w:r>
        <w:t xml:space="preserve">A differenza delle regioni a servizio già consolidato, la Sicilia può rilevare una linea di base anteriore all’attivazione, e il diverso grado di formazione degli elenchi fra le Aziende consente di costruire termini di confronto interni, fondando la stima su dati propri progettati fin dall’inizio.</w:t>
      </w:r>
      <w:r>
        <w:rPr>
          <w:rStyle w:val="FootnoteReference"/>
        </w:rPr>
        <w:footnoteReference w:id="3536"/>
      </w:r>
      <w:r>
        <w:t xml:space="preserve"> </w:t>
      </w:r>
      <w:r>
        <w:t xml:space="preserve">L’effetto causale è stimato con la differenza-nelle-differenze e con il metodo del controllo sintetico, con la progressione differenziata della formazione degli elenchi a fornire la variazione necessaria all’identificazione.</w:t>
      </w:r>
      <w:r>
        <w:rPr>
          <w:rStyle w:val="FootnoteReference"/>
        </w:rPr>
        <w:footnoteReference w:id="3537"/>
      </w:r>
    </w:p>
    <w:bookmarkEnd w:id="3642"/>
    <w:bookmarkStart w:id="3652" w:name="l.3-la-batteria-degli-indicatori-6"/>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3538"/>
      </w:r>
      <w:r>
        <w:t xml:space="preserve"> </w:t>
      </w:r>
      <w:r>
        <w:t xml:space="preserve">Gli indicatori di processo misurano il funzionamento — prese in carico, attesa, colloqui, invio appropriato.</w:t>
      </w:r>
      <w:r>
        <w:rPr>
          <w:rStyle w:val="FootnoteReference"/>
        </w:rPr>
        <w:footnoteReference w:id="3539"/>
      </w:r>
      <w:r>
        <w:t xml:space="preserve"> </w:t>
      </w:r>
      <w:r>
        <w:t xml:space="preserve">Gli indicatori di esito clinico misurano il beneficio diretto — miglioramento, recupero, remissione.</w:t>
      </w:r>
      <w:r>
        <w:rPr>
          <w:rStyle w:val="FootnoteReference"/>
        </w:rPr>
        <w:footnoteReference w:id="3540"/>
      </w:r>
      <w:r>
        <w:t xml:space="preserve"> </w:t>
      </w:r>
      <w:r>
        <w:t xml:space="preserve">Gli indicatori di esito di sistema misurano l’effetto sul resto del sistema — pronto soccorso, psicofarmaci, ricoveri.</w:t>
      </w:r>
      <w:r>
        <w:rPr>
          <w:rStyle w:val="FootnoteReference"/>
        </w:rPr>
        <w:footnoteReference w:id="3541"/>
      </w:r>
      <w:r>
        <w:t xml:space="preserve"> </w:t>
      </w:r>
      <w:r>
        <w:t xml:space="preserve">Gli indicatori economici consentono di verificare ex post le stime e di sostituire i valori ricostruiti con quelli effettivi.</w:t>
      </w:r>
      <w:r>
        <w:rPr>
          <w:rStyle w:val="FootnoteReference"/>
        </w:rPr>
        <w:footnoteReference w:id="3542"/>
      </w:r>
      <w:r>
        <w:t xml:space="preserve"> </w:t>
      </w:r>
      <w:r>
        <w:t xml:space="preserve">Gli indicatori di equità, disaggregati per area e per fasce di età, verificano che il servizio riduca i divari fra centro e periferie delle aree urbane e fra aree metropolitane e province interne e insulari, con attenzione al disagio giovanile e all’effetto del ticket sull’accesso.</w:t>
      </w:r>
      <w:r>
        <w:rPr>
          <w:rStyle w:val="FootnoteReference"/>
        </w:rPr>
        <w:footnoteReference w:id="3543"/>
      </w:r>
      <w:r>
        <w:t xml:space="preserve"> </w:t>
      </w:r>
      <w:r>
        <w:t xml:space="preserve">Gli indicatori di qualità integrano la misurazione con la dimensione dell’esperienza.</w:t>
      </w:r>
      <w:r>
        <w:rPr>
          <w:rStyle w:val="FootnoteReference"/>
        </w:rPr>
        <w:footnoteReference w:id="3544"/>
      </w:r>
      <w:r>
        <w:t xml:space="preserve"> </w:t>
      </w:r>
      <w:r>
        <w:t xml:space="preserve">Gli indicatori di mobilità, infine, sono monitorati ma costituiscono un esito atteso solo modesto, limitato alla frazione territorialmente intercettabile.</w:t>
      </w:r>
      <w:r>
        <w:rPr>
          <w:rStyle w:val="FootnoteReference"/>
        </w:rPr>
        <w:footnoteReference w:id="3545"/>
      </w:r>
      <w:r>
        <w:t xml:space="preserve"> </w:t>
      </w:r>
      <w:r>
        <w:t xml:space="preserve">L’insieme conta dell’ordine di cinquantotto indicatori in otto categorie, ciascuno con definizione, fonte, frequenza e responsabile.</w:t>
      </w:r>
      <w:r>
        <w:rPr>
          <w:rStyle w:val="FootnoteReference"/>
        </w:rPr>
        <w:footnoteReference w:id="3546"/>
      </w:r>
      <w:r>
        <w:t xml:space="preserve"> </w:t>
      </w:r>
      <w:r>
        <w:t xml:space="preserve">La tabella seguente riepiloga le categorie.</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38"/>
        <w:gridCol w:w="60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(dell’ordine di 58 indicatori complessivi)</w:t>
            </w:r>
          </w:p>
        </w:tc>
      </w:tr>
      <w:tr>
        <w:tc>
          <w:tcPr/>
          <w:p>
            <w:pPr>
              <w:pStyle w:val="Compact"/>
              <w:spacing w:after="40" w:before="40"/>
              <w:jc w:val="left"/>
            </w:pPr>
            <w:r>
              <w:rPr>
                <w:rFonts w:ascii="Cambria" w:hAnsi="Cambria" w:cs="Cambria" w:eastAsia="Cambria"/>
                <w:b/>
                <w:bCs/>
                <w:color w:val="1A1A1A"/>
                <w:sz w:val="18"/>
              </w:rPr>
              <w:t xml:space="preserve">Struttura</w:t>
            </w:r>
          </w:p>
        </w:tc>
        <w:tc>
          <w:tcPr/>
          <w:p>
            <w:pPr>
              <w:pStyle w:val="Compact"/>
              <w:spacing w:after="40" w:before="40"/>
              <w:jc w:val="left"/>
            </w:pPr>
            <w:r>
              <w:rPr>
                <w:rFonts w:ascii="Cambria" w:hAnsi="Cambria" w:cs="Cambria" w:eastAsia="Cambria"/>
                <w:color w:val="1A1A1A"/>
                <w:sz w:val="18"/>
              </w:rPr>
              <w:t xml:space="preserve">Sedi attivate, incarichi, ore, dotazione, copertura del fabbisogno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Processo</w:t>
            </w:r>
          </w:p>
        </w:tc>
        <w:tc>
          <w:tcPr>
            <w:shd w:val="clear" w:color="auto" w:fill="F4F1EC"/>
          </w:tcPr>
          <w:p>
            <w:pPr>
              <w:pStyle w:val="Compact"/>
              <w:spacing w:after="40" w:before="40"/>
              <w:jc w:val="left"/>
            </w:pPr>
            <w:r>
              <w:rPr>
                <w:rFonts w:ascii="Cambria" w:hAnsi="Cambria" w:cs="Cambria" w:eastAsia="Cambria"/>
                <w:color w:val="1A1A1A"/>
                <w:sz w:val="18"/>
              </w:rPr>
              <w:t xml:space="preserve">Prese in carico, attesa al primo colloquio, colloqui per persona, invio appropriato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Miglioramento, recupero, remissione (strumenti validati, punteggi complessivi)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psicofarmaci, ricoveri evitabili, specialistica impropria</w:t>
            </w:r>
          </w:p>
        </w:tc>
      </w:tr>
      <w:tr>
        <w:tc>
          <w:tcPr/>
          <w:p>
            <w:pPr>
              <w:pStyle w:val="Compact"/>
              <w:spacing w:after="40" w:before="40"/>
              <w:jc w:val="left"/>
            </w:pPr>
            <w:r>
              <w:rPr>
                <w:rFonts w:ascii="Cambria" w:hAnsi="Cambria" w:cs="Cambria" w:eastAsia="Cambria"/>
                <w:b/>
                <w:bCs/>
                <w:color w:val="1A1A1A"/>
                <w:sz w:val="18"/>
              </w:rPr>
              <w:t xml:space="preserve">Economici</w:t>
            </w:r>
          </w:p>
        </w:tc>
        <w:tc>
          <w:tcPr/>
          <w:p>
            <w:pPr>
              <w:pStyle w:val="Compact"/>
              <w:spacing w:after="40" w:before="40"/>
              <w:jc w:val="left"/>
            </w:pPr>
            <w:r>
              <w:rPr>
                <w:rFonts w:ascii="Cambria" w:hAnsi="Cambria" w:cs="Cambria" w:eastAsia="Cambria"/>
                <w:color w:val="1A1A1A"/>
                <w:sz w:val="18"/>
              </w:rPr>
              <w:t xml:space="preserve">Costo, risparmi diretti, ricadute sociali, rapporto beneficio-costo su dati reali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Copertura e accesso per area (centro, periferie urbane, province interne e insulari) e per fasce di età; effetto del ticket</w:t>
            </w:r>
          </w:p>
        </w:tc>
      </w:tr>
      <w:tr>
        <w:tc>
          <w:tcPr/>
          <w:p>
            <w:pPr>
              <w:pStyle w:val="Compact"/>
              <w:spacing w:after="40" w:before="40"/>
              <w:jc w:val="left"/>
            </w:pPr>
            <w:r>
              <w:rPr>
                <w:rFonts w:ascii="Cambria" w:hAnsi="Cambria" w:cs="Cambria" w:eastAsia="Cambria"/>
                <w:b/>
                <w:bCs/>
                <w:color w:val="1A1A1A"/>
                <w:sz w:val="18"/>
              </w:rPr>
              <w:t xml:space="preserve">Qualità</w:t>
            </w:r>
          </w:p>
        </w:tc>
        <w:tc>
          <w:tcPr/>
          <w:p>
            <w:pPr>
              <w:pStyle w:val="Compact"/>
              <w:spacing w:after="40" w:before="40"/>
              <w:jc w:val="left"/>
            </w:pPr>
            <w:r>
              <w:rPr>
                <w:rFonts w:ascii="Cambria" w:hAnsi="Cambria" w:cs="Cambria" w:eastAsia="Cambria"/>
                <w:color w:val="1A1A1A"/>
                <w:sz w:val="18"/>
              </w:rPr>
              <w:t xml:space="preserve">Soddisfazione, appropriatezza, continuità del rapporto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w:t>
            </w:r>
          </w:p>
        </w:tc>
        <w:tc>
          <w:tcPr>
            <w:shd w:val="clear" w:color="auto" w:fill="F4F1EC"/>
          </w:tcPr>
          <w:p>
            <w:pPr>
              <w:pStyle w:val="Compact"/>
              <w:spacing w:after="40" w:before="40"/>
              <w:jc w:val="left"/>
            </w:pPr>
            <w:r>
              <w:rPr>
                <w:rFonts w:ascii="Cambria" w:hAnsi="Cambria" w:cs="Cambria" w:eastAsia="Cambria"/>
                <w:color w:val="1A1A1A"/>
                <w:sz w:val="18"/>
              </w:rPr>
              <w:t xml:space="preserve">Monitorata; esito atteso modesto (sola frazione territorialmente intercettabile)</w:t>
            </w:r>
          </w:p>
        </w:tc>
      </w:tr>
    </w:tbl>
    <w:p>
      <w:pPr>
        <w:pStyle w:val="BodyText"/>
      </w:pPr>
      <w:r>
        <w:rPr>
          <w:i/>
          <w:iCs/>
        </w:rPr>
        <w:t xml:space="preserve">Tabella L.1. Le otto categorie della batteria di indicatori.</w:t>
      </w:r>
    </w:p>
    <w:bookmarkEnd w:id="3652"/>
    <w:bookmarkStart w:id="3657" w:name="X62f0d171a8d01417b39665bf4ba838de91cf27f"/>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all’Assessorato regionale della Salute e ai suoi Dipartimenti, che ne assicurano l’alimentazione uniforme da parte delle nove Aziende.</w:t>
      </w:r>
      <w:r>
        <w:rPr>
          <w:rStyle w:val="FootnoteReference"/>
        </w:rPr>
        <w:footnoteReference w:id="3547"/>
      </w:r>
      <w:r>
        <w:t xml:space="preserve"> </w:t>
      </w:r>
      <w:r>
        <w:t xml:space="preserve">Lo strumento attraverso cui il monitoraggio diventa vincolante è la clausola valutativa; a differenza del Lazio, la Sicilia dispone già di una previsione di relazione annuale nella legge regionale 18 del 2023, sicché il compito non è introdurla ma rafforzarla e renderla pienamente operativa.</w:t>
      </w:r>
      <w:r>
        <w:rPr>
          <w:rStyle w:val="FootnoteReference"/>
        </w:rPr>
        <w:footnoteReference w:id="3548"/>
      </w:r>
      <w:r>
        <w:t xml:space="preserve"> </w:t>
      </w:r>
      <w:r>
        <w:t xml:space="preserve">La raccolta dei dati poggia sulla relazione annuale prevista dalla legge, da impostare fin dall’avvio in forma uniforme e interoperabile con la piattaforma informativa sanitaria regionale.</w:t>
      </w:r>
      <w:r>
        <w:rPr>
          <w:rStyle w:val="FootnoteReference"/>
        </w:rPr>
        <w:footnoteReference w:id="3549"/>
      </w:r>
      <w:r>
        <w:t xml:space="preserve"> </w:t>
      </w:r>
      <w:r>
        <w:t xml:space="preserve">La valutazione si articola infine in un monitoraggio in itinere, che accompagna l’attivazione progressiva, e in una valutazione ex post a regime.</w:t>
      </w:r>
      <w:r>
        <w:rPr>
          <w:rStyle w:val="FootnoteReference"/>
        </w:rPr>
        <w:footnoteReference w:id="3550"/>
      </w:r>
      <w:r>
        <w:t xml:space="preserve"> </w:t>
      </w:r>
      <w:r>
        <w:t xml:space="preserve">La tabella seguente riepiloga la governance valutativa.</w:t>
      </w:r>
    </w:p>
    <w:tbl>
      <w:tblPr>
        <w:tblStyle w:val="Table"/>
        <w:tblW w:type="pct" w:w="493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55"/>
        <w:gridCol w:w="566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governance valutativa</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la Sicilia</w:t>
            </w:r>
          </w:p>
        </w:tc>
      </w:tr>
      <w:tr>
        <w:tc>
          <w:tcPr/>
          <w:p>
            <w:pPr>
              <w:pStyle w:val="Compact"/>
              <w:spacing w:after="40" w:before="40"/>
              <w:jc w:val="left"/>
            </w:pPr>
            <w:r>
              <w:rPr>
                <w:rFonts w:ascii="Cambria" w:hAnsi="Cambria" w:cs="Cambria" w:eastAsia="Cambria"/>
                <w:b/>
                <w:bCs/>
                <w:color w:val="1A1A1A"/>
                <w:sz w:val="18"/>
              </w:rPr>
              <w:t xml:space="preserve">Disegno d’impatto</w:t>
            </w:r>
          </w:p>
        </w:tc>
        <w:tc>
          <w:tcPr/>
          <w:p>
            <w:pPr>
              <w:pStyle w:val="Compact"/>
              <w:spacing w:after="40" w:before="40"/>
              <w:jc w:val="left"/>
            </w:pPr>
            <w:r>
              <w:rPr>
                <w:rFonts w:ascii="Cambria" w:hAnsi="Cambria" w:cs="Cambria" w:eastAsia="Cambria"/>
                <w:color w:val="1A1A1A"/>
                <w:sz w:val="18"/>
              </w:rPr>
              <w:t xml:space="preserve">Esperimento a cunei progressivi tra le nove Aziende, con linea di base anteriore all’attivazione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Linea di base</w:t>
            </w:r>
          </w:p>
        </w:tc>
        <w:tc>
          <w:tcPr>
            <w:shd w:val="clear" w:color="auto" w:fill="F4F1EC"/>
          </w:tcPr>
          <w:p>
            <w:pPr>
              <w:pStyle w:val="Compact"/>
              <w:spacing w:after="40" w:before="40"/>
              <w:jc w:val="left"/>
            </w:pPr>
            <w:r>
              <w:rPr>
                <w:rFonts w:ascii="Cambria" w:hAnsi="Cambria" w:cs="Cambria" w:eastAsia="Cambria"/>
                <w:color w:val="1A1A1A"/>
                <w:sz w:val="18"/>
              </w:rPr>
              <w:t xml:space="preserve">Rilevazione anteriore all’attivazione e progressione differenziata della formazione degli elenchi</w:t>
            </w:r>
          </w:p>
        </w:tc>
      </w:tr>
      <w:tr>
        <w:tc>
          <w:tcPr/>
          <w:p>
            <w:pPr>
              <w:pStyle w:val="Compact"/>
              <w:spacing w:after="40" w:before="40"/>
              <w:jc w:val="left"/>
            </w:pPr>
            <w:r>
              <w:rPr>
                <w:rFonts w:ascii="Cambria" w:hAnsi="Cambria" w:cs="Cambria" w:eastAsia="Cambria"/>
                <w:b/>
                <w:bCs/>
                <w:color w:val="1A1A1A"/>
                <w:sz w:val="18"/>
              </w:rPr>
              <w:t xml:space="preserve">Titolarità del cruscotto</w:t>
            </w:r>
          </w:p>
        </w:tc>
        <w:tc>
          <w:tcPr/>
          <w:p>
            <w:pPr>
              <w:pStyle w:val="Compact"/>
              <w:spacing w:after="40" w:before="40"/>
              <w:jc w:val="left"/>
            </w:pPr>
            <w:r>
              <w:rPr>
                <w:rFonts w:ascii="Cambria" w:hAnsi="Cambria" w:cs="Cambria" w:eastAsia="Cambria"/>
                <w:color w:val="1A1A1A"/>
                <w:sz w:val="18"/>
              </w:rPr>
              <w:t xml:space="preserve">Assessorato regionale e suoi Dipartimenti, con alimentazione uniforme dalle nove Aziende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Relazione annuale già prevista dalla legge 18/2023; da rafforzare e rendere operativa; relazione all’Assemblea</w:t>
            </w:r>
          </w:p>
        </w:tc>
      </w:tr>
      <w:tr>
        <w:tc>
          <w:tcPr/>
          <w:p>
            <w:pPr>
              <w:pStyle w:val="Compact"/>
              <w:spacing w:after="40" w:before="40"/>
              <w:jc w:val="left"/>
            </w:pPr>
            <w:r>
              <w:rPr>
                <w:rFonts w:ascii="Cambria" w:hAnsi="Cambria" w:cs="Cambria" w:eastAsia="Cambria"/>
                <w:b/>
                <w:bCs/>
                <w:color w:val="1A1A1A"/>
                <w:sz w:val="18"/>
              </w:rPr>
              <w:t xml:space="preserve">Flusso informativo</w:t>
            </w:r>
          </w:p>
        </w:tc>
        <w:tc>
          <w:tcPr/>
          <w:p>
            <w:pPr>
              <w:pStyle w:val="Compact"/>
              <w:spacing w:after="40" w:before="40"/>
              <w:jc w:val="left"/>
            </w:pPr>
            <w:r>
              <w:rPr>
                <w:rFonts w:ascii="Cambria" w:hAnsi="Cambria" w:cs="Cambria" w:eastAsia="Cambria"/>
                <w:color w:val="1A1A1A"/>
                <w:sz w:val="18"/>
              </w:rPr>
              <w:t xml:space="preserve">Relazione annuale di legge; da impostare in forma uniforme e interoperabile con la piattaforma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Tempi</w:t>
            </w:r>
          </w:p>
        </w:tc>
        <w:tc>
          <w:tcPr>
            <w:shd w:val="clear" w:color="auto" w:fill="F4F1EC"/>
          </w:tcPr>
          <w:p>
            <w:pPr>
              <w:pStyle w:val="Compact"/>
              <w:spacing w:after="40" w:before="40"/>
              <w:jc w:val="left"/>
            </w:pPr>
            <w:r>
              <w:rPr>
                <w:rFonts w:ascii="Cambria" w:hAnsi="Cambria" w:cs="Cambria" w:eastAsia="Cambria"/>
                <w:color w:val="1A1A1A"/>
                <w:sz w:val="18"/>
              </w:rPr>
              <w:t xml:space="preserve">In itinere (accompagnamento dell’attivazione) ed ex post (effetto a regime)</w:t>
            </w:r>
          </w:p>
        </w:tc>
      </w:tr>
    </w:tbl>
    <w:p>
      <w:pPr>
        <w:pStyle w:val="BodyText"/>
      </w:pPr>
      <w:r>
        <w:rPr>
          <w:i/>
          <w:iCs/>
        </w:rPr>
        <w:t xml:space="preserve">Tabella L.2. La governance della valutazione e il cruscotto regionale.</w:t>
      </w:r>
    </w:p>
    <w:bookmarkEnd w:id="3657"/>
    <w:bookmarkStart w:id="3659" w:name="l.5-sintesi-del-monitoraggio-5"/>
    <w:p>
      <w:pPr>
        <w:pStyle w:val="Heading3"/>
      </w:pPr>
      <w:r>
        <w:t xml:space="preserve">L.5 Sintesi del monitoraggio</w:t>
      </w:r>
    </w:p>
    <w:p>
      <w:pPr>
        <w:pStyle w:val="FirstParagraph"/>
      </w:pPr>
      <w:r>
        <w:t xml:space="preserve">La valutazione è la condizione per trasformare l’avvio del servizio in apprendimento, e la Sicilia può fondarla su una linea di base anteriore all’attivazione; perché ciò si realizzi, la relazione annuale già prevista dalla legge va rafforzata e resa operativa e il flusso informativo va impostato fin dall’inizio in forma uniforme fra le nove Aziende, valorizzando l’opportunità di una rilevazione ben progettata.</w:t>
      </w:r>
      <w:r>
        <w:rPr>
          <w:rStyle w:val="FootnoteReference"/>
        </w:rPr>
        <w:footnoteReference w:id="3551"/>
      </w:r>
      <w:r>
        <w:t xml:space="preserve"> </w:t>
      </w:r>
      <w:r>
        <w:t xml:space="preserve">Definito il sistema di monitoraggio, la parte conclusiva compone i risultati dei diversi domini in una sintesi multidimensionale e formula le raccomandazioni.</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3659"/>
    <w:bookmarkEnd w:id="3660"/>
    <w:bookmarkStart w:id="3697" w:name="X54e8d8d2b716b63185ab38e891c2c19c37b7af2"/>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 Sicilia.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 Sicilia percorre l’intera sintesi: è la regione post-legislativa in avvio, a statuto speciale e ancora sotto piano di rientro, che, decima e ultima della serie, è chiamata non a istituire un servizio, ma a portarlo dall’avvio al regime, rendendo operativo un servizio già istituito per legge e dotato di decreto attuativo.</w:t>
      </w:r>
    </w:p>
    <w:bookmarkStart w:id="3678" w:name="m.1-la-sintesi-per-dominio-9"/>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3552"/>
      </w:r>
      <w:r>
        <w:rPr>
          <w:rStyle w:val="FootnoteReference"/>
        </w:rPr>
        <w:footnoteReference w:id="3553"/>
      </w:r>
      <w:r>
        <w:rPr>
          <w:rStyle w:val="FootnoteReference"/>
        </w:rPr>
        <w:footnoteReference w:id="3554"/>
      </w:r>
      <w:r>
        <w:rPr>
          <w:rStyle w:val="FootnoteReference"/>
        </w:rPr>
        <w:footnoteReference w:id="3555"/>
      </w:r>
      <w:r>
        <w:rPr>
          <w:rStyle w:val="FootnoteReference"/>
        </w:rPr>
        <w:footnoteReference w:id="3556"/>
      </w:r>
      <w:r>
        <w:rPr>
          <w:rStyle w:val="FootnoteReference"/>
        </w:rPr>
        <w:footnoteReference w:id="3557"/>
      </w:r>
      <w:r>
        <w:rPr>
          <w:rStyle w:val="FootnoteReference"/>
        </w:rPr>
        <w:footnoteReference w:id="3558"/>
      </w:r>
      <w:r>
        <w:rPr>
          <w:rStyle w:val="FootnoteReference"/>
        </w:rPr>
        <w:footnoteReference w:id="3559"/>
      </w:r>
      <w:r>
        <w:rPr>
          <w:rStyle w:val="FootnoteReference"/>
        </w:rPr>
        <w:footnoteReference w:id="3560"/>
      </w:r>
      <w:r>
        <w:rPr>
          <w:rStyle w:val="FootnoteReference"/>
        </w:rPr>
        <w:footnoteReference w:id="3561"/>
      </w:r>
      <w:r>
        <w:rPr>
          <w:rStyle w:val="FootnoteReference"/>
        </w:rPr>
        <w:footnoteReference w:id="3562"/>
      </w:r>
      <w:r>
        <w:rPr>
          <w:rStyle w:val="FootnoteReference"/>
        </w:rPr>
        <w:footnoteReference w:id="3563"/>
      </w:r>
      <w:r>
        <w:rPr>
          <w:rStyle w:val="FootnoteReference"/>
        </w:rPr>
        <w:footnoteReference w:id="3564"/>
      </w:r>
      <w:r>
        <w:rPr>
          <w:rStyle w:val="FootnoteReference"/>
        </w:rPr>
        <w:footnoteReference w:id="3565"/>
      </w:r>
      <w:r>
        <w:rPr>
          <w:rStyle w:val="FootnoteReference"/>
        </w:rPr>
        <w:footnoteReference w:id="3566"/>
      </w:r>
      <w:r>
        <w:rPr>
          <w:rStyle w:val="FootnoteReference"/>
        </w:rPr>
        <w:footnoteReference w:id="3567"/>
      </w:r>
      <w:r>
        <w:t xml:space="preserve"> </w:t>
      </w:r>
      <w:r>
        <w:t xml:space="preserve">Il quadro che emerge dai domini è coerente: il bisogno è ampio e radicato in una regione insulare ed estesa; l’efficacia clinica è sostenuta da evidenza internazionale solida, con dati operativi propri ancora in formazione; il quadro economico distingue un caso finanziario di modesto disavanzo prossimo al pareggio da un caso sociale fortemente positivo; l’equità è favorevole su un doppio asse territoriale e sulla dimensione generazionale, a condizione che il ticket sia calibrato; la fattibilità è quella del passaggio dall’avvio al regime di un servizio già istituito; il monitoraggio può fondarsi su una linea di base anteriore all’attivazione.</w:t>
      </w:r>
      <w:r>
        <w:rPr>
          <w:rStyle w:val="FootnoteReference"/>
        </w:rPr>
        <w:footnoteReference w:id="3568"/>
      </w:r>
      <w:r>
        <w:t xml:space="preserve"> </w:t>
      </w:r>
      <w:r>
        <w:t xml:space="preserve">La tabella seguente riepiloga il giudizio per dominio.</w:t>
      </w:r>
    </w:p>
    <w:tbl>
      <w:tblPr>
        <w:tblStyle w:val="Table"/>
        <w:tblW w:type="pct" w:w="494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57"/>
        <w:gridCol w:w="617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Dominio</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 sintetico per la Sicilia</w:t>
            </w:r>
          </w:p>
        </w:tc>
      </w:tr>
      <w:tr>
        <w:tc>
          <w:tcPr/>
          <w:p>
            <w:pPr>
              <w:pStyle w:val="Compact"/>
              <w:spacing w:after="40" w:before="40"/>
              <w:jc w:val="left"/>
            </w:pPr>
            <w:r>
              <w:rPr>
                <w:rFonts w:ascii="Cambria" w:hAnsi="Cambria" w:cs="Cambria" w:eastAsia="Cambria"/>
                <w:b/>
                <w:bCs/>
                <w:color w:val="1A1A1A"/>
                <w:sz w:val="18"/>
              </w:rPr>
              <w:t xml:space="preserve">Bisogno e contesto</w:t>
            </w:r>
          </w:p>
        </w:tc>
        <w:tc>
          <w:tcPr/>
          <w:p>
            <w:pPr>
              <w:pStyle w:val="Compact"/>
              <w:spacing w:after="40" w:before="40"/>
              <w:jc w:val="left"/>
            </w:pPr>
            <w:r>
              <w:rPr>
                <w:rFonts w:ascii="Cambria" w:hAnsi="Cambria" w:cs="Cambria" w:eastAsia="Cambria"/>
                <w:color w:val="1A1A1A"/>
                <w:sz w:val="18"/>
              </w:rPr>
              <w:t xml:space="preserve">Ampio; regione insulare ed estesa, a statuto speciale, ancora sotto piano di rientro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w:t>
            </w:r>
          </w:p>
        </w:tc>
        <w:tc>
          <w:tcPr>
            <w:shd w:val="clear" w:color="auto" w:fill="F4F1EC"/>
          </w:tcPr>
          <w:p>
            <w:pPr>
              <w:pStyle w:val="Compact"/>
              <w:spacing w:after="40" w:before="40"/>
              <w:jc w:val="left"/>
            </w:pPr>
            <w:r>
              <w:rPr>
                <w:rFonts w:ascii="Cambria" w:hAnsi="Cambria" w:cs="Cambria" w:eastAsia="Cambria"/>
                <w:color w:val="1A1A1A"/>
                <w:sz w:val="18"/>
              </w:rPr>
              <w:t xml:space="preserve">Evidenza internazionale solida; dati operativi propri ancora in formazione (servizio in avvio)</w:t>
            </w:r>
          </w:p>
        </w:tc>
      </w:tr>
      <w:tr>
        <w:tc>
          <w:tcPr/>
          <w:p>
            <w:pPr>
              <w:pStyle w:val="Compact"/>
              <w:spacing w:after="40" w:before="40"/>
              <w:jc w:val="left"/>
            </w:pPr>
            <w:r>
              <w:rPr>
                <w:rFonts w:ascii="Cambria" w:hAnsi="Cambria" w:cs="Cambria" w:eastAsia="Cambria"/>
                <w:b/>
                <w:bCs/>
                <w:color w:val="1A1A1A"/>
                <w:sz w:val="18"/>
              </w:rPr>
              <w:t xml:space="preserve">Valutazione economica</w:t>
            </w:r>
          </w:p>
        </w:tc>
        <w:tc>
          <w:tcPr/>
          <w:p>
            <w:pPr>
              <w:pStyle w:val="Compact"/>
              <w:spacing w:after="40" w:before="40"/>
              <w:jc w:val="left"/>
            </w:pPr>
            <w:r>
              <w:rPr>
                <w:rFonts w:ascii="Cambria" w:hAnsi="Cambria" w:cs="Cambria" w:eastAsia="Cambria"/>
                <w:color w:val="1A1A1A"/>
                <w:sz w:val="18"/>
              </w:rPr>
              <w:t xml:space="preserve">Caso finanziario di modesto disavanzo; caso sociale fortemente positivo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Favorevole su doppio asse (centro/periferie urbane; metropoli/aree interne e insulari) e sul disagio giovanile; ticket da calibrare</w:t>
            </w:r>
          </w:p>
        </w:tc>
      </w:tr>
      <w:tr>
        <w:tc>
          <w:tcPr/>
          <w:p>
            <w:pPr>
              <w:pStyle w:val="Compact"/>
              <w:spacing w:after="40" w:before="40"/>
              <w:jc w:val="left"/>
            </w:pPr>
            <w:r>
              <w:rPr>
                <w:rFonts w:ascii="Cambria" w:hAnsi="Cambria" w:cs="Cambria" w:eastAsia="Cambria"/>
                <w:b/>
                <w:bCs/>
                <w:color w:val="1A1A1A"/>
                <w:sz w:val="18"/>
              </w:rPr>
              <w:t xml:space="preserve">Fattibilità</w:t>
            </w:r>
          </w:p>
        </w:tc>
        <w:tc>
          <w:tcPr/>
          <w:p>
            <w:pPr>
              <w:pStyle w:val="Compact"/>
              <w:spacing w:after="40" w:before="40"/>
              <w:jc w:val="left"/>
            </w:pPr>
            <w:r>
              <w:rPr>
                <w:rFonts w:ascii="Cambria" w:hAnsi="Cambria" w:cs="Cambria" w:eastAsia="Cambria"/>
                <w:color w:val="1A1A1A"/>
                <w:sz w:val="18"/>
              </w:rPr>
              <w:t xml:space="preserve">Passaggio dall’avvio al regime di un servizio già istituito; bacino ampio; vincolo del piano di rientro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Monitoraggio</w:t>
            </w:r>
          </w:p>
        </w:tc>
        <w:tc>
          <w:tcPr>
            <w:shd w:val="clear" w:color="auto" w:fill="F4F1EC"/>
          </w:tcPr>
          <w:p>
            <w:pPr>
              <w:pStyle w:val="Compact"/>
              <w:spacing w:after="40" w:before="40"/>
              <w:jc w:val="left"/>
            </w:pPr>
            <w:r>
              <w:rPr>
                <w:rFonts w:ascii="Cambria" w:hAnsi="Cambria" w:cs="Cambria" w:eastAsia="Cambria"/>
                <w:color w:val="1A1A1A"/>
                <w:sz w:val="18"/>
              </w:rPr>
              <w:t xml:space="preserve">Disegno controfattuale su servizio in avvio, con linea di base anteriore e relazione annuale di legge</w:t>
            </w:r>
          </w:p>
        </w:tc>
      </w:tr>
    </w:tbl>
    <w:p>
      <w:pPr>
        <w:pStyle w:val="BodyText"/>
      </w:pPr>
      <w:r>
        <w:rPr>
          <w:i/>
          <w:iCs/>
        </w:rPr>
        <w:t xml:space="preserve">Tabella M.1. La sintesi dei domini della valutazione.</w:t>
      </w:r>
    </w:p>
    <w:bookmarkEnd w:id="3678"/>
    <w:bookmarkStart w:id="3685" w:name="m.2-lanalisi-multi-criterio-14"/>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3569"/>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3570"/>
      </w:r>
      <w:r>
        <w:t xml:space="preserve"> </w:t>
      </w:r>
      <w:r>
        <w:t xml:space="preserve">La media ponderata dei punteggi dell’intervento è dell’ordine di 78,4 su 100, sostenuta dai punteggi elevati nel valore sociale, nell’equità e nel ritorno, e contenuta dai punteggi più bassi nella robustezza dell’evidenza — che riflette la fase di avvio, con dati propri ancora in formazione — e nell’impatto sul bilancio, condizionato dai vincoli del piano di rientro.</w:t>
      </w:r>
      <w:r>
        <w:rPr>
          <w:rStyle w:val="FootnoteReference"/>
        </w:rPr>
        <w:footnoteReference w:id="3571"/>
      </w:r>
      <w:r>
        <w:t xml:space="preserve"> </w:t>
      </w:r>
      <w:r>
        <w:t xml:space="preserve">Il non intervento ottiene una media dell’ordine di 39,2 su 100, penalizzato in tutti i criteri sostanziali e sostenuto soltanto dalla fattibilità immediata dello status quo, oggi poco giustificata, poiché lascerebbe inattuato un servizio già istituito per legge.</w:t>
      </w:r>
      <w:r>
        <w:rPr>
          <w:rStyle w:val="FootnoteReference"/>
        </w:rPr>
        <w:footnoteReference w:id="3572"/>
      </w:r>
      <w:r>
        <w:t xml:space="preserve"> </w:t>
      </w:r>
      <w:r>
        <w:t xml:space="preserve">L’intervento prevale dunque nettamente, con uno scarto dell’ordine di trentanove punti; il punteggio si colloca fra i più elevati delle regioni esaminate, riflettendo una cornice normativa completa.</w:t>
      </w:r>
      <w:r>
        <w:rPr>
          <w:rStyle w:val="FootnoteReference"/>
        </w:rPr>
        <w:footnoteReference w:id="3573"/>
      </w:r>
      <w:r>
        <w:t xml:space="preserve"> </w:t>
      </w:r>
      <w:r>
        <w:t xml:space="preserve">La prevalenza si mantiene al variare dei pesi entro intervalli ragionevoli, sicché la raccomandazione è robusta.</w:t>
      </w:r>
      <w:r>
        <w:rPr>
          <w:rStyle w:val="FootnoteReference"/>
        </w:rPr>
        <w:footnoteReference w:id="3574"/>
      </w:r>
      <w:r>
        <w:t xml:space="preserve"> </w:t>
      </w:r>
      <w:r>
        <w:t xml:space="preserve">La tabella seguente riporta i punteggi per criterio.</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Non interv.</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r>
      <w:tr>
        <w:tc>
          <w:tcPr/>
          <w:p>
            <w:pPr>
              <w:pStyle w:val="Compact"/>
              <w:spacing w:after="40" w:before="40"/>
              <w:jc w:val="left"/>
            </w:pPr>
            <w:r>
              <w:rPr>
                <w:rFonts w:ascii="Cambria" w:hAnsi="Cambria" w:cs="Cambria" w:eastAsia="Cambria"/>
                <w:b/>
                <w:bCs/>
                <w:color w:val="1A1A1A"/>
                <w:sz w:val="18"/>
              </w:rPr>
              <w:t xml:space="preserve">Impatto sul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64</w:t>
            </w:r>
          </w:p>
        </w:tc>
        <w:tc>
          <w:tcPr/>
          <w:p>
            <w:pPr>
              <w:pStyle w:val="Compact"/>
              <w:spacing w:after="40" w:before="40"/>
              <w:jc w:val="left"/>
            </w:pPr>
            <w:r>
              <w:rPr>
                <w:rFonts w:ascii="Cambria" w:hAnsi="Cambria" w:cs="Cambria" w:eastAsia="Cambria"/>
                <w:color w:val="1A1A1A"/>
                <w:sz w:val="18"/>
              </w:rPr>
              <w:t xml:space="preserve">52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28</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88</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78</w:t>
            </w:r>
          </w:p>
        </w:tc>
        <w:tc>
          <w:tcPr>
            <w:shd w:val="clear" w:color="auto" w:fill="F4F1EC"/>
          </w:tcPr>
          <w:p>
            <w:pPr>
              <w:pStyle w:val="Compact"/>
              <w:spacing w:after="40" w:before="40"/>
              <w:jc w:val="left"/>
            </w:pPr>
            <w:r>
              <w:rPr>
                <w:rFonts w:ascii="Cambria" w:hAnsi="Cambria" w:cs="Cambria" w:eastAsia="Cambria"/>
                <w:color w:val="1A1A1A"/>
                <w:sz w:val="18"/>
              </w:rPr>
              <w:t xml:space="preserve">84</w:t>
            </w:r>
          </w:p>
        </w:tc>
      </w:tr>
      <w:tr>
        <w:tc>
          <w:tcPr/>
          <w:p>
            <w:pPr>
              <w:pStyle w:val="Compact"/>
              <w:spacing w:after="40" w:before="40"/>
              <w:jc w:val="left"/>
            </w:pPr>
            <w:r>
              <w:rPr>
                <w:rFonts w:ascii="Cambria" w:hAnsi="Cambria" w:cs="Cambria" w:eastAsia="Cambria"/>
                <w:b/>
                <w:bCs/>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62</w:t>
            </w:r>
          </w:p>
        </w:tc>
        <w:tc>
          <w:tcPr/>
          <w:p>
            <w:pPr>
              <w:pStyle w:val="Compact"/>
              <w:spacing w:after="40" w:before="40"/>
              <w:jc w:val="left"/>
            </w:pPr>
            <w:r>
              <w:rPr>
                <w:rFonts w:ascii="Cambria" w:hAnsi="Cambria" w:cs="Cambria" w:eastAsia="Cambria"/>
                <w:color w:val="1A1A1A"/>
                <w:sz w:val="18"/>
              </w:rPr>
              <w:t xml:space="preserve">55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84</w:t>
            </w:r>
          </w:p>
        </w:tc>
        <w:tc>
          <w:tcPr>
            <w:shd w:val="clear" w:color="auto" w:fill="F4F1EC"/>
          </w:tcPr>
          <w:p>
            <w:pPr>
              <w:pStyle w:val="Compact"/>
              <w:spacing w:after="40" w:before="40"/>
              <w:jc w:val="left"/>
            </w:pPr>
            <w:r>
              <w:rPr>
                <w:rFonts w:ascii="Cambria" w:hAnsi="Cambria" w:cs="Cambria" w:eastAsia="Cambria"/>
                <w:color w:val="1A1A1A"/>
                <w:sz w:val="18"/>
              </w:rPr>
              <w:t xml:space="preserve">26</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78,35</w:t>
            </w:r>
          </w:p>
        </w:tc>
        <w:tc>
          <w:tcPr/>
          <w:p>
            <w:pPr>
              <w:pStyle w:val="Compact"/>
              <w:spacing w:after="40" w:before="40"/>
              <w:jc w:val="left"/>
            </w:pPr>
            <w:r>
              <w:rPr>
                <w:rFonts w:ascii="Cambria" w:hAnsi="Cambria" w:cs="Cambria" w:eastAsia="Cambria"/>
                <w:color w:val="1A1A1A"/>
                <w:sz w:val="18"/>
              </w:rPr>
              <w:t xml:space="preserve">39,20</w:t>
            </w:r>
          </w:p>
        </w:tc>
      </w:tr>
    </w:tbl>
    <w:p>
      <w:pPr>
        <w:pStyle w:val="BodyText"/>
      </w:pPr>
      <w:r>
        <w:rPr>
          <w:i/>
          <w:iCs/>
        </w:rPr>
        <w:t xml:space="preserve">Tabella M.2. L</w:t>
      </w:r>
      <w:r>
        <w:rPr>
          <w:b/>
          <w:bCs/>
          <w:i/>
          <w:iCs/>
        </w:rPr>
        <w:t xml:space="preserve">‘******analisi multi-criterio: punteggi dell******’</w:t>
      </w:r>
      <w:r>
        <w:rPr>
          <w:i/>
          <w:iCs/>
        </w:rPr>
        <w:t xml:space="preserve">intervento e del non intervento.</w:t>
      </w:r>
    </w:p>
    <w:bookmarkEnd w:id="3685"/>
    <w:bookmarkStart w:id="3688" w:name="X645afd07f3c34f71659d7fdc28afc81d802bca1"/>
    <w:p>
      <w:pPr>
        <w:pStyle w:val="Heading3"/>
      </w:pPr>
      <w:r>
        <w:t xml:space="preserve">M.3 La raccomandazione e il dimensionamento</w:t>
      </w:r>
    </w:p>
    <w:p>
      <w:pPr>
        <w:pStyle w:val="FirstParagraph"/>
      </w:pPr>
      <w:r>
        <w:t xml:space="preserve">Dalla convergenza dei domini e dall’analisi multi-criterio discende la raccomandazione principale: portare dall’avvio al regime il servizio di psicologia delle cure primarie già istituito, completando la formazione degli elenchi provinciali, stabilizzandone il finanziamento entro i vincoli del piano di rientro e dimensionandolo verso la copertura piena del fabbisogno, con un ticket calibrato; è la decisione che la Sicilia, dotata di legge e decreto attuativo, è chiamata a compiere per rendere pienamente operativo il servizio.</w:t>
      </w:r>
      <w:r>
        <w:rPr>
          <w:rStyle w:val="FootnoteReference"/>
        </w:rPr>
        <w:footnoteReference w:id="3575"/>
      </w:r>
      <w:r>
        <w:t xml:space="preserve"> </w:t>
      </w:r>
      <w:r>
        <w:t xml:space="preserve">Quanto alla scala, si raccomanda di muovere dal nucleo di avvio, dell’ordine di 110 psicologi, e di procedere per gradi verso lo scenario conservativo, dell’ordine di 520 psicologi, quindi verso quello di base, dell’ordine di 780, e infine verso quello espansivo, dell’ordine di 1.030, in funzione della verifica progressiva dei risultati e della sostenibilità.</w:t>
      </w:r>
      <w:r>
        <w:rPr>
          <w:rStyle w:val="FootnoteReference"/>
        </w:rPr>
        <w:footnoteReference w:id="3576"/>
      </w:r>
      <w:r>
        <w:t xml:space="preserve"> </w:t>
      </w:r>
      <w:r>
        <w:t xml:space="preserve">La tabella seguente riepiloga le raccomandazioni operative.</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38"/>
        <w:gridCol w:w="60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Raccomandazione operativa per la Sicilia</w:t>
            </w:r>
          </w:p>
        </w:tc>
      </w:tr>
      <w:tr>
        <w:tc>
          <w:tcPr/>
          <w:p>
            <w:pPr>
              <w:pStyle w:val="Compact"/>
              <w:spacing w:after="40" w:before="40"/>
              <w:jc w:val="left"/>
            </w:pPr>
            <w:r>
              <w:rPr>
                <w:rFonts w:ascii="Cambria" w:hAnsi="Cambria" w:cs="Cambria" w:eastAsia="Cambria"/>
                <w:b/>
                <w:bCs/>
                <w:color w:val="1A1A1A"/>
                <w:sz w:val="18"/>
              </w:rPr>
              <w:t xml:space="preserve">Atto di attuazione</w:t>
            </w:r>
          </w:p>
        </w:tc>
        <w:tc>
          <w:tcPr/>
          <w:p>
            <w:pPr>
              <w:pStyle w:val="Compact"/>
              <w:spacing w:after="40" w:before="40"/>
              <w:jc w:val="left"/>
            </w:pPr>
            <w:r>
              <w:rPr>
                <w:rFonts w:ascii="Cambria" w:hAnsi="Cambria" w:cs="Cambria" w:eastAsia="Cambria"/>
                <w:color w:val="1A1A1A"/>
                <w:sz w:val="18"/>
              </w:rPr>
              <w:t xml:space="preserve">Portare dall’avvio al regime il servizio; completare gli elenchi provinciali; stabilizzare il finanziamento entro i vincoli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Dimensionamento</w:t>
            </w:r>
          </w:p>
        </w:tc>
        <w:tc>
          <w:tcPr>
            <w:shd w:val="clear" w:color="auto" w:fill="F4F1EC"/>
          </w:tcPr>
          <w:p>
            <w:pPr>
              <w:pStyle w:val="Compact"/>
              <w:spacing w:after="40" w:before="40"/>
              <w:jc w:val="left"/>
            </w:pPr>
            <w:r>
              <w:rPr>
                <w:rFonts w:ascii="Cambria" w:hAnsi="Cambria" w:cs="Cambria" w:eastAsia="Cambria"/>
                <w:color w:val="1A1A1A"/>
                <w:sz w:val="18"/>
              </w:rPr>
              <w:t xml:space="preserve">Dal nucleo ~110 verso conservativo ~520; base ~780; espansivo ~1.030, per gradi</w:t>
            </w:r>
          </w:p>
        </w:tc>
      </w:tr>
      <w:tr>
        <w:tc>
          <w:tcPr/>
          <w:p>
            <w:pPr>
              <w:pStyle w:val="Compact"/>
              <w:spacing w:after="40" w:before="40"/>
              <w:jc w:val="left"/>
            </w:pPr>
            <w:r>
              <w:rPr>
                <w:rFonts w:ascii="Cambria" w:hAnsi="Cambria" w:cs="Cambria" w:eastAsia="Cambria"/>
                <w:b/>
                <w:bCs/>
                <w:color w:val="1A1A1A"/>
                <w:sz w:val="18"/>
              </w:rPr>
              <w:t xml:space="preserve">Allocazione</w:t>
            </w:r>
          </w:p>
        </w:tc>
        <w:tc>
          <w:tcPr/>
          <w:p>
            <w:pPr>
              <w:pStyle w:val="Compact"/>
              <w:spacing w:after="40" w:before="40"/>
              <w:jc w:val="left"/>
            </w:pPr>
            <w:r>
              <w:rPr>
                <w:rFonts w:ascii="Cambria" w:hAnsi="Cambria" w:cs="Cambria" w:eastAsia="Cambria"/>
                <w:color w:val="1A1A1A"/>
                <w:sz w:val="18"/>
              </w:rPr>
              <w:t xml:space="preserve">Pro-equità, verso periferie urbane, province interne e insulari e disagio giovanile; ticket calibrato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Rafforzare e rendere operativa la relazione annuale già prevista dalla legge; relazione all’Assemblea</w:t>
            </w:r>
          </w:p>
        </w:tc>
      </w:tr>
      <w:tr>
        <w:tc>
          <w:tcPr/>
          <w:p>
            <w:pPr>
              <w:pStyle w:val="Compact"/>
              <w:spacing w:after="40" w:before="40"/>
              <w:jc w:val="left"/>
            </w:pPr>
            <w:r>
              <w:rPr>
                <w:rFonts w:ascii="Cambria" w:hAnsi="Cambria" w:cs="Cambria" w:eastAsia="Cambria"/>
                <w:b/>
                <w:bCs/>
                <w:color w:val="1A1A1A"/>
                <w:sz w:val="18"/>
              </w:rPr>
              <w:t xml:space="preserve">Governance</w:t>
            </w:r>
          </w:p>
        </w:tc>
        <w:tc>
          <w:tcPr/>
          <w:p>
            <w:pPr>
              <w:pStyle w:val="Compact"/>
              <w:spacing w:after="40" w:before="40"/>
              <w:jc w:val="left"/>
            </w:pPr>
            <w:r>
              <w:rPr>
                <w:rFonts w:ascii="Cambria" w:hAnsi="Cambria" w:cs="Cambria" w:eastAsia="Cambria"/>
                <w:color w:val="1A1A1A"/>
                <w:sz w:val="18"/>
              </w:rPr>
              <w:t xml:space="preserve">Regia dell’Assessorato regionale; indirizzi uniformi; flusso informativo da impostare fin dall’avvio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Dati</w:t>
            </w:r>
          </w:p>
        </w:tc>
        <w:tc>
          <w:tcPr>
            <w:shd w:val="clear" w:color="auto" w:fill="F4F1EC"/>
          </w:tcPr>
          <w:p>
            <w:pPr>
              <w:pStyle w:val="Compact"/>
              <w:spacing w:after="40" w:before="40"/>
              <w:jc w:val="left"/>
            </w:pPr>
            <w:r>
              <w:rPr>
                <w:rFonts w:ascii="Cambria" w:hAnsi="Cambria" w:cs="Cambria" w:eastAsia="Cambria"/>
                <w:color w:val="1A1A1A"/>
                <w:sz w:val="18"/>
              </w:rPr>
              <w:t xml:space="preserve">Estrarre i conti certificati delle nove Aziende; impostare i dati di esito uniformi via relazione annuale</w:t>
            </w:r>
          </w:p>
        </w:tc>
      </w:tr>
    </w:tbl>
    <w:p>
      <w:pPr>
        <w:pStyle w:val="BodyText"/>
      </w:pPr>
      <w:r>
        <w:rPr>
          <w:i/>
          <w:iCs/>
        </w:rPr>
        <w:t xml:space="preserve">Tabella M.3. Le raccomandazioni operative.</w:t>
      </w:r>
    </w:p>
    <w:bookmarkEnd w:id="3688"/>
    <w:bookmarkStart w:id="3692" w:name="X561528592b95320b4af335478eb118564f68132"/>
    <w:p>
      <w:pPr>
        <w:pStyle w:val="Heading3"/>
      </w:pPr>
      <w:r>
        <w:t xml:space="preserve">M.4 Le condizioni e la lacuna da colmare</w:t>
      </w:r>
    </w:p>
    <w:p>
      <w:pPr>
        <w:pStyle w:val="FirstParagraph"/>
      </w:pPr>
      <w:r>
        <w:t xml:space="preserve">La raccomandazione è subordinata a condizioni precise: il rafforzamento e la piena operatività della relazione annuale già prevista dalla legge, l’adozione di un’allocazione pro-equità, la calibrazione del ticket con esenzioni efficaci, una regia dell’Assessorato regionale e l’impostazione fin dall’avvio di un flusso informativo uniforme.</w:t>
      </w:r>
      <w:r>
        <w:rPr>
          <w:rStyle w:val="FootnoteReference"/>
        </w:rPr>
        <w:footnoteReference w:id="3577"/>
      </w:r>
      <w:r>
        <w:t xml:space="preserve"> </w:t>
      </w:r>
      <w:r>
        <w:t xml:space="preserve">Resta inoltre da colmare, prima della presentazione esterna, la lacuna dei dati: l’estrazione dei conti certificati delle nove Aziende Sanitarie Provinciali e delle aziende ospedaliere e l’impostazione di un flusso uniforme dei dati di esito via relazione annuale consentiranno di sostituire i valori ricostruiti per quota di popolazione con grandezze effettive.</w:t>
      </w:r>
      <w:r>
        <w:rPr>
          <w:rStyle w:val="FootnoteReference"/>
        </w:rPr>
        <w:footnoteReference w:id="3578"/>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3579"/>
      </w:r>
    </w:p>
    <w:bookmarkEnd w:id="3692"/>
    <w:bookmarkStart w:id="3696" w:name="X1bc77bab2a1be16e5e8c04b04bddbffd877aa59"/>
    <w:p>
      <w:pPr>
        <w:pStyle w:val="Heading3"/>
      </w:pPr>
      <w:r>
        <w:t xml:space="preserve">M.5 La collocazione nella serie e la conclusione</w:t>
      </w:r>
    </w:p>
    <w:p>
      <w:pPr>
        <w:pStyle w:val="FirstParagraph"/>
      </w:pPr>
      <w:r>
        <w:t xml:space="preserve">Lo studio sulla Sicilia è il decimo e ultimo della serie, dopo quelli su Puglia, Lombardia, Veneto, Emilia-Romagna, Piemonte, Toscana, Liguria, Lazio e Campania, e ne condivide il telaio integrato e il caso di riferimento; rispetto agli altri, la Sicilia occupa una posizione propria — quella della regione post-legislativa in avvio, a statuto speciale e unica della serie ancora sottoposta a piano di rientro, che ha già istituito il servizio per legge e ne ha emanato il decreto attuativo — e che oggi è chiamata a portarlo dall’avvio al regime.</w:t>
      </w:r>
      <w:r>
        <w:rPr>
          <w:rStyle w:val="FootnoteReference"/>
        </w:rPr>
        <w:footnoteReference w:id="3580"/>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3581"/>
      </w:r>
      <w:r>
        <w:t xml:space="preserve"> </w:t>
      </w:r>
      <w:r>
        <w:t xml:space="preserve">La decisione che lo studio sostiene è, in conclusione, di portare dall’avvio al regime il servizio di psicologia delle cure primarie già istituito, completando la formazione degli elenchi provinciali, stabilizzandone il finanziamento entro i vincoli del piano di rientro, dimensionandolo progressivamente al fabbisogno, calibrando il ticket e rendendo pienamente operativa la relazione annuale: per la Sicilia, dotata di legge e decreto attuativo, ciò significa rendere effettivo un servizio già istituito, a beneficio della popolazione.</w:t>
      </w:r>
      <w:r>
        <w:rPr>
          <w:rStyle w:val="FootnoteReference"/>
        </w:rPr>
        <w:footnoteReference w:id="3582"/>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3696"/>
    <w:bookmarkEnd w:id="3697"/>
    <w:bookmarkStart w:id="3709" w:name="Xb1cdebc4d66cb0a0027cc115e3a879dd2e0b99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3583"/>
      </w:r>
      <w:r>
        <w:rPr>
          <w:rStyle w:val="FootnoteReference"/>
        </w:rPr>
        <w:footnoteReference w:id="3584"/>
      </w:r>
      <w:r>
        <w:rPr>
          <w:rStyle w:val="FootnoteReference"/>
        </w:rPr>
        <w:footnoteReference w:id="3585"/>
      </w:r>
      <w:r>
        <w:rPr>
          <w:rStyle w:val="FootnoteReference"/>
        </w:rPr>
        <w:footnoteReference w:id="3586"/>
      </w:r>
      <w:r>
        <w:rPr>
          <w:rStyle w:val="FootnoteReference"/>
        </w:rPr>
        <w:footnoteReference w:id="3587"/>
      </w:r>
      <w:r>
        <w:rPr>
          <w:rStyle w:val="FootnoteReference"/>
        </w:rPr>
        <w:footnoteReference w:id="3588"/>
      </w:r>
      <w:r>
        <w:rPr>
          <w:rStyle w:val="FootnoteReference"/>
        </w:rPr>
        <w:footnoteReference w:id="3589"/>
      </w:r>
      <w:r>
        <w:rPr>
          <w:rStyle w:val="FootnoteReference"/>
        </w:rPr>
        <w:footnoteReference w:id="3590"/>
      </w:r>
      <w:r>
        <w:rPr>
          <w:rStyle w:val="FootnoteReference"/>
        </w:rPr>
        <w:footnoteReference w:id="3591"/>
      </w:r>
      <w:r>
        <w:t xml:space="preserve"> </w:t>
      </w:r>
      <w:r>
        <w:t xml:space="preserve">La tabella seguente lo riepiloga.</w:t>
      </w:r>
    </w:p>
    <w:tbl>
      <w:tblPr>
        <w:tblStyle w:val="Table"/>
        <w:tblW w:type="pct" w:w="493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5"/>
        <w:gridCol w:w="576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caso di 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adottata</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Servizio attivo ma parziale e a finanziamento transitorio (PNES); condizione di pre-strutturazione a regime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Azienda Sanitaria Locale/distretto</w:t>
            </w:r>
          </w:p>
        </w:tc>
      </w:tr>
      <w:tr>
        <w:tc>
          <w:tcPr/>
          <w:p>
            <w:pPr>
              <w:pStyle w:val="Compact"/>
              <w:spacing w:after="40" w:before="40"/>
              <w:jc w:val="left"/>
            </w:pPr>
            <w:r>
              <w:rPr>
                <w:rFonts w:ascii="Cambria" w:hAnsi="Cambria" w:cs="Cambria" w:eastAsia="Cambria"/>
                <w:b/>
                <w:bCs/>
                <w:color w:val="1A1A1A"/>
                <w:sz w:val="18"/>
              </w:rPr>
              <w:t xml:space="preserve">Soglia di costo-efficacia</w:t>
            </w:r>
          </w:p>
        </w:tc>
        <w:tc>
          <w:tcPr/>
          <w:p>
            <w:pPr>
              <w:pStyle w:val="Compact"/>
              <w:spacing w:after="40" w:before="40"/>
              <w:jc w:val="left"/>
            </w:pPr>
            <w:r>
              <w:rPr>
                <w:rFonts w:ascii="Cambria" w:hAnsi="Cambria" w:cs="Cambria" w:eastAsia="Cambria"/>
                <w:color w:val="1A1A1A"/>
                <w:sz w:val="18"/>
              </w:rPr>
              <w:t xml:space="preserve">30.000 euro per anno di vita ponderato per la qualità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Correzione prudenziale</w:t>
            </w:r>
          </w:p>
        </w:tc>
        <w:tc>
          <w:tcPr>
            <w:shd w:val="clear" w:color="auto" w:fill="F4F1EC"/>
          </w:tcPr>
          <w:p>
            <w:pPr>
              <w:pStyle w:val="Compact"/>
              <w:spacing w:after="40" w:before="40"/>
              <w:jc w:val="left"/>
            </w:pPr>
            <w:r>
              <w:rPr>
                <w:rFonts w:ascii="Cambria" w:hAnsi="Cambria" w:cs="Cambria" w:eastAsia="Cambria"/>
                <w:color w:val="1A1A1A"/>
                <w:sz w:val="18"/>
              </w:rP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3592"/>
      </w:r>
      <w:r>
        <w:t xml:space="preserve"> </w:t>
      </w:r>
      <w:r>
        <w:t xml:space="preserve">La tabella seguente li riporta con le distribuzioni assegnate per l’analisi probabilistica.</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3498"/>
        <w:gridCol w:w="15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 di Markov</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Stati del modello</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recupero</w:t>
            </w:r>
          </w:p>
        </w:tc>
        <w:tc>
          <w:tcPr>
            <w:shd w:val="clear" w:color="auto" w:fill="F4F1EC"/>
          </w:tcPr>
          <w:p>
            <w:pPr>
              <w:pStyle w:val="Compact"/>
              <w:spacing w:after="40" w:before="40"/>
              <w:jc w:val="left"/>
            </w:pPr>
            <w:r>
              <w:rPr>
                <w:rFonts w:ascii="Cambria" w:hAnsi="Cambria" w:cs="Cambria" w:eastAsia="Cambria"/>
                <w:color w:val="1A1A1A"/>
                <w:sz w:val="18"/>
              </w:rPr>
              <w:t xml:space="preserve">40 €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per ciclo — cronico</w:t>
            </w:r>
          </w:p>
        </w:tc>
        <w:tc>
          <w:tcPr/>
          <w:p>
            <w:pPr>
              <w:pStyle w:val="Compact"/>
              <w:spacing w:after="40" w:before="40"/>
              <w:jc w:val="left"/>
            </w:pPr>
            <w:r>
              <w:rPr>
                <w:rFonts w:ascii="Cambria" w:hAnsi="Cambria" w:cs="Cambria" w:eastAsia="Cambria"/>
                <w:color w:val="1A1A1A"/>
                <w:sz w:val="18"/>
              </w:rPr>
              <w:t xml:space="preserve">700 €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Per braccio, da fonti</w:t>
            </w:r>
          </w:p>
        </w:tc>
        <w:tc>
          <w:tcPr/>
          <w:p>
            <w:pPr>
              <w:pStyle w:val="Compact"/>
              <w:spacing w:after="40" w:before="40"/>
              <w:jc w:val="left"/>
            </w:pPr>
            <w:r>
              <w:rPr>
                <w:rFonts w:ascii="Cambria" w:hAnsi="Cambria" w:cs="Cambria" w:eastAsia="Cambria"/>
                <w:color w:val="1A1A1A"/>
                <w:sz w:val="18"/>
              </w:rPr>
              <w:t xml:space="preserve">Beta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per stato</w:t>
            </w:r>
          </w:p>
        </w:tc>
        <w:tc>
          <w:tcPr>
            <w:shd w:val="clear" w:color="auto" w:fill="F4F1EC"/>
          </w:tcPr>
          <w:p>
            <w:pPr>
              <w:pStyle w:val="Compact"/>
              <w:spacing w:after="40" w:before="40"/>
              <w:jc w:val="left"/>
            </w:pPr>
            <w:r>
              <w:rPr>
                <w:rFonts w:ascii="Cambria" w:hAnsi="Cambria" w:cs="Cambria" w:eastAsia="Cambria"/>
                <w:color w:val="1A1A1A"/>
                <w:sz w:val="18"/>
              </w:rPr>
              <w:t xml:space="preserve">Da fonti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Orizzonte e sconto</w:t>
            </w:r>
          </w:p>
        </w:tc>
        <w:tc>
          <w:tcPr/>
          <w:p>
            <w:pPr>
              <w:pStyle w:val="Compact"/>
              <w:spacing w:after="40" w:before="40"/>
              <w:jc w:val="left"/>
            </w:pPr>
            <w:r>
              <w:rPr>
                <w:rFonts w:ascii="Cambria" w:hAnsi="Cambria" w:cs="Cambria" w:eastAsia="Cambria"/>
                <w:color w:val="1A1A1A"/>
                <w:sz w:val="18"/>
              </w:rPr>
              <w:t xml:space="preserve">5 anni; 3% annuo</w:t>
            </w:r>
          </w:p>
        </w:tc>
        <w:t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3593"/>
      </w:r>
      <w:r>
        <w:t xml:space="preserve"> </w:t>
      </w:r>
      <w:r>
        <w:t xml:space="preserve">La tabella seguente lo riepiloga.</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3"/>
        <w:gridCol w:w="1384"/>
        <w:gridCol w:w="1384"/>
        <w:gridCol w:w="13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 salvo 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Psicologi a regime</w:t>
            </w:r>
          </w:p>
        </w:tc>
        <w:tc>
          <w:tcPr/>
          <w:p>
            <w:pPr>
              <w:pStyle w:val="Compact"/>
              <w:spacing w:after="40" w:before="40"/>
              <w:jc w:val="left"/>
            </w:pPr>
            <w:r>
              <w:rPr>
                <w:rFonts w:ascii="Cambria" w:hAnsi="Cambria" w:cs="Cambria" w:eastAsia="Cambria"/>
                <w:color w:val="1A1A1A"/>
                <w:sz w:val="18"/>
              </w:rPr>
              <w:t xml:space="preserve">~ 520</w:t>
            </w:r>
          </w:p>
        </w:tc>
        <w:tc>
          <w:tcPr/>
          <w:p>
            <w:pPr>
              <w:pStyle w:val="Compact"/>
              <w:spacing w:after="40" w:before="40"/>
              <w:jc w:val="left"/>
            </w:pPr>
            <w:r>
              <w:rPr>
                <w:rFonts w:ascii="Cambria" w:hAnsi="Cambria" w:cs="Cambria" w:eastAsia="Cambria"/>
                <w:color w:val="1A1A1A"/>
                <w:sz w:val="18"/>
              </w:rPr>
              <w:t xml:space="preserve">~ 780</w:t>
            </w:r>
          </w:p>
        </w:tc>
        <w:tc>
          <w:tcPr/>
          <w:p>
            <w:pPr>
              <w:pStyle w:val="Compact"/>
              <w:spacing w:after="40" w:before="40"/>
              <w:jc w:val="left"/>
            </w:pPr>
            <w:r>
              <w:rPr>
                <w:rFonts w:ascii="Cambria" w:hAnsi="Cambria" w:cs="Cambria" w:eastAsia="Cambria"/>
                <w:color w:val="1A1A1A"/>
                <w:sz w:val="18"/>
              </w:rPr>
              <w:t xml:space="preserve">~ 1.030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29</w:t>
            </w:r>
          </w:p>
        </w:tc>
        <w:tc>
          <w:tcPr>
            <w:shd w:val="clear" w:color="auto" w:fill="F4F1EC"/>
          </w:tcPr>
          <w:p>
            <w:pPr>
              <w:pStyle w:val="Compact"/>
              <w:spacing w:after="40" w:before="40"/>
              <w:jc w:val="left"/>
            </w:pPr>
            <w:r>
              <w:rPr>
                <w:rFonts w:ascii="Cambria" w:hAnsi="Cambria" w:cs="Cambria" w:eastAsia="Cambria"/>
                <w:color w:val="1A1A1A"/>
                <w:sz w:val="18"/>
              </w:rPr>
              <w:t xml:space="preserve">~ 43</w:t>
            </w:r>
          </w:p>
        </w:tc>
        <w:tc>
          <w:tcPr>
            <w:shd w:val="clear" w:color="auto" w:fill="F4F1EC"/>
          </w:tcPr>
          <w:p>
            <w:pPr>
              <w:pStyle w:val="Compact"/>
              <w:spacing w:after="40" w:before="40"/>
              <w:jc w:val="left"/>
            </w:pPr>
            <w:r>
              <w:rPr>
                <w:rFonts w:ascii="Cambria" w:hAnsi="Cambria" w:cs="Cambria" w:eastAsia="Cambria"/>
                <w:color w:val="1A1A1A"/>
                <w:sz w:val="18"/>
              </w:rPr>
              <w:t xml:space="preserve">~ 57</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23</w:t>
            </w:r>
          </w:p>
        </w:tc>
        <w:tc>
          <w:tcPr/>
          <w:p>
            <w:pPr>
              <w:pStyle w:val="Compact"/>
              <w:spacing w:after="40" w:before="40"/>
              <w:jc w:val="left"/>
            </w:pPr>
            <w:r>
              <w:rPr>
                <w:rFonts w:ascii="Cambria" w:hAnsi="Cambria" w:cs="Cambria" w:eastAsia="Cambria"/>
                <w:color w:val="1A1A1A"/>
                <w:sz w:val="18"/>
              </w:rPr>
              <w:t xml:space="preserve">~ 36</w:t>
            </w:r>
          </w:p>
        </w:tc>
        <w:tc>
          <w:tcPr/>
          <w:p>
            <w:pPr>
              <w:pStyle w:val="Compact"/>
              <w:spacing w:after="40" w:before="40"/>
              <w:jc w:val="left"/>
            </w:pPr>
            <w:r>
              <w:rPr>
                <w:rFonts w:ascii="Cambria" w:hAnsi="Cambria" w:cs="Cambria" w:eastAsia="Cambria"/>
                <w:color w:val="1A1A1A"/>
                <w:sz w:val="18"/>
              </w:rPr>
              <w:t xml:space="preserve">~ 56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90</w:t>
            </w:r>
          </w:p>
        </w:tc>
        <w:tc>
          <w:tcPr>
            <w:shd w:val="clear" w:color="auto" w:fill="F4F1EC"/>
          </w:tcPr>
          <w:p>
            <w:pPr>
              <w:pStyle w:val="Compact"/>
              <w:spacing w:after="40" w:before="40"/>
              <w:jc w:val="left"/>
            </w:pPr>
            <w:r>
              <w:rPr>
                <w:rFonts w:ascii="Cambria" w:hAnsi="Cambria" w:cs="Cambria" w:eastAsia="Cambria"/>
                <w:color w:val="1A1A1A"/>
                <w:sz w:val="18"/>
              </w:rPr>
              <w:t xml:space="preserve">~ 170</w:t>
            </w:r>
          </w:p>
        </w:tc>
        <w:tc>
          <w:tcPr>
            <w:shd w:val="clear" w:color="auto" w:fill="F4F1EC"/>
          </w:tcPr>
          <w:p>
            <w:pPr>
              <w:pStyle w:val="Compact"/>
              <w:spacing w:after="40" w:before="40"/>
              <w:jc w:val="left"/>
            </w:pPr>
            <w:r>
              <w:rPr>
                <w:rFonts w:ascii="Cambria" w:hAnsi="Cambria" w:cs="Cambria" w:eastAsia="Cambria"/>
                <w:color w:val="1A1A1A"/>
                <w:sz w:val="18"/>
              </w:rPr>
              <w:t xml:space="preserve">~ 255</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−6</w:t>
            </w:r>
          </w:p>
        </w:tc>
        <w:tc>
          <w:tcPr/>
          <w:p>
            <w:pPr>
              <w:pStyle w:val="Compact"/>
              <w:spacing w:after="40" w:before="40"/>
              <w:jc w:val="left"/>
            </w:pPr>
            <w:r>
              <w:rPr>
                <w:rFonts w:ascii="Cambria" w:hAnsi="Cambria" w:cs="Cambria" w:eastAsia="Cambria"/>
                <w:color w:val="1A1A1A"/>
                <w:sz w:val="18"/>
              </w:rPr>
              <w:t xml:space="preserve">~ −7</w:t>
            </w:r>
          </w:p>
        </w:tc>
        <w:tc>
          <w:tcPr/>
          <w:p>
            <w:pPr>
              <w:pStyle w:val="Compact"/>
              <w:spacing w:after="40" w:before="40"/>
              <w:jc w:val="left"/>
            </w:pPr>
            <w:r>
              <w:rPr>
                <w:rFonts w:ascii="Cambria" w:hAnsi="Cambria" w:cs="Cambria" w:eastAsia="Cambria"/>
                <w:color w:val="1A1A1A"/>
                <w:sz w:val="18"/>
              </w:rPr>
              <w:t xml:space="preserve">~ −1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+84</w:t>
            </w:r>
          </w:p>
        </w:tc>
        <w:tc>
          <w:tcPr>
            <w:shd w:val="clear" w:color="auto" w:fill="F4F1EC"/>
          </w:tcPr>
          <w:p>
            <w:pPr>
              <w:pStyle w:val="Compact"/>
              <w:spacing w:after="40" w:before="40"/>
              <w:jc w:val="left"/>
            </w:pPr>
            <w:r>
              <w:rPr>
                <w:rFonts w:ascii="Cambria" w:hAnsi="Cambria" w:cs="Cambria" w:eastAsia="Cambria"/>
                <w:color w:val="1A1A1A"/>
                <w:sz w:val="18"/>
              </w:rPr>
              <w:t xml:space="preserve">+163</w:t>
            </w:r>
          </w:p>
        </w:tc>
        <w:tc>
          <w:tcPr>
            <w:shd w:val="clear" w:color="auto" w:fill="F4F1EC"/>
          </w:tcPr>
          <w:p>
            <w:pPr>
              <w:pStyle w:val="Compact"/>
              <w:spacing w:after="40" w:before="40"/>
              <w:jc w:val="left"/>
            </w:pPr>
            <w:r>
              <w:rPr>
                <w:rFonts w:ascii="Cambria" w:hAnsi="Cambria" w:cs="Cambria" w:eastAsia="Cambria"/>
                <w:color w:val="1A1A1A"/>
                <w:sz w:val="18"/>
              </w:rPr>
              <w:t xml:space="preserve">+254</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~3,9:1</w:t>
            </w:r>
          </w:p>
        </w:tc>
        <w:tc>
          <w:tcPr/>
          <w:p>
            <w:pPr>
              <w:pStyle w:val="Compact"/>
              <w:spacing w:after="40" w:before="40"/>
              <w:jc w:val="left"/>
            </w:pPr>
            <w:r>
              <w:rPr>
                <w:rFonts w:ascii="Cambria" w:hAnsi="Cambria" w:cs="Cambria" w:eastAsia="Cambria"/>
                <w:color w:val="1A1A1A"/>
                <w:sz w:val="18"/>
              </w:rPr>
              <w:t xml:space="preserve">~4,8:1</w:t>
            </w:r>
          </w:p>
        </w:tc>
        <w:tc>
          <w:tcPr/>
          <w:p>
            <w:pPr>
              <w:pStyle w:val="Compact"/>
              <w:spacing w:after="40" w:before="40"/>
              <w:jc w:val="left"/>
            </w:pPr>
            <w:r>
              <w:rPr>
                <w:rFonts w:ascii="Cambria" w:hAnsi="Cambria" w:cs="Cambria" w:eastAsia="Cambria"/>
                <w:color w:val="1A1A1A"/>
                <w:sz w:val="18"/>
              </w:rPr>
              <w:t xml:space="preserve">~5,5:1</w:t>
            </w:r>
          </w:p>
        </w:tc>
      </w:tr>
    </w:tbl>
    <w:p>
      <w:pPr>
        <w:pStyle w:val="BodyText"/>
      </w:pPr>
      <w:r>
        <w:rPr>
          <w:i/>
          <w:iCs/>
        </w:rPr>
        <w:t xml:space="preserve">Tabella A.3. Il quadro economico consolidato per scenario (costo per incarico di riferimento di 55.000 euro).</w:t>
      </w:r>
    </w:p>
    <w:bookmarkEnd w:id="3709"/>
    <w:bookmarkStart w:id="3712" w:name="X722a6ae86f6de12d4fe7a1be189a677ed251ff2"/>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3594"/>
      </w:r>
      <w:r>
        <w:t xml:space="preserve"> </w:t>
      </w:r>
      <w:r>
        <w:t xml:space="preserve">La tabella seguente li descrive.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6"/>
        <w:gridCol w:w="1584"/>
        <w:gridCol w:w="41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Caratteristiche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 soglia clinica ~10; cambiamento affidabile ~6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d’ansia</w:t>
            </w:r>
          </w:p>
        </w:tc>
        <w:tc>
          <w:tcPr>
            <w:shd w:val="clear" w:color="auto" w:fill="F4F1EC"/>
          </w:tcPr>
          <w:p>
            <w:pPr>
              <w:pStyle w:val="Compact"/>
              <w:spacing w:after="40" w:before="40"/>
              <w:jc w:val="left"/>
            </w:pPr>
            <w:r>
              <w:rPr>
                <w:rFonts w:ascii="Cambria" w:hAnsi="Cambria" w:cs="Cambria" w:eastAsia="Cambria"/>
                <w:color w:val="1A1A1A"/>
                <w:sz w:val="18"/>
              </w:rPr>
              <w:t xml:space="preserve">0–21; impiegato nel solo punteggio complessivo</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Discesa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Esito secondario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3595"/>
      </w:r>
      <w:r>
        <w:t xml:space="preserve"> </w:t>
      </w:r>
      <w:r>
        <w:t xml:space="preserve">La tabella seguente ne costituisce il dizionario dei dati.</w:t>
      </w:r>
    </w:p>
    <w:tbl>
      <w:tblPr>
        <w:tblStyle w:val="Table"/>
        <w:tblW w:type="pct" w:w="491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52"/>
        <w:gridCol w:w="4154"/>
        <w:gridCol w:w="18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Campo del dataset</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Momento di rilevazione</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Data di apertura, canale di accesso, invio</w:t>
            </w:r>
          </w:p>
        </w:tc>
        <w:tc>
          <w:tcPr/>
          <w:p>
            <w:pPr>
              <w:pStyle w:val="Compact"/>
              <w:spacing w:after="40" w:before="40"/>
              <w:jc w:val="left"/>
            </w:pPr>
            <w:r>
              <w:rPr>
                <w:rFonts w:ascii="Cambria" w:hAnsi="Cambria" w:cs="Cambria" w:eastAsia="Cambria"/>
                <w:color w:val="1A1A1A"/>
                <w:sz w:val="18"/>
              </w:rPr>
              <w:t xml:space="preserve">All’apertura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Seduta</w:t>
            </w:r>
          </w:p>
        </w:tc>
        <w:tc>
          <w:tcPr>
            <w:shd w:val="clear" w:color="auto" w:fill="F4F1EC"/>
          </w:tcPr>
          <w:p>
            <w:pPr>
              <w:pStyle w:val="Compact"/>
              <w:spacing w:after="40" w:before="40"/>
              <w:jc w:val="left"/>
            </w:pPr>
            <w:r>
              <w:rPr>
                <w:rFonts w:ascii="Cambria" w:hAnsi="Cambria" w:cs="Cambria" w:eastAsia="Cambria"/>
                <w:color w:val="1A1A1A"/>
                <w:sz w:val="18"/>
              </w:rPr>
              <w:t xml:space="preserve">Data, tipo e numero progressivo della seduta</w:t>
            </w:r>
          </w:p>
        </w:tc>
        <w:tc>
          <w:tcPr>
            <w:shd w:val="clear" w:color="auto" w:fill="F4F1EC"/>
          </w:tcPr>
          <w:p>
            <w:pPr>
              <w:pStyle w:val="Compact"/>
              <w:spacing w:after="40" w:before="40"/>
              <w:jc w:val="left"/>
            </w:pPr>
            <w:r>
              <w:rPr>
                <w:rFonts w:ascii="Cambria" w:hAnsi="Cambria" w:cs="Cambria" w:eastAsia="Cambria"/>
                <w:color w:val="1A1A1A"/>
                <w:sz w:val="18"/>
              </w:rPr>
              <w:t xml:space="preserve">A ogni seduta</w:t>
            </w:r>
          </w:p>
        </w:tc>
      </w:tr>
      <w:tr>
        <w:tc>
          <w:tcPr/>
          <w:p>
            <w:pPr>
              <w:pStyle w:val="Compact"/>
              <w:spacing w:after="40" w:before="40"/>
              <w:jc w:val="left"/>
            </w:pPr>
            <w:r>
              <w:rPr>
                <w:rFonts w:ascii="Cambria" w:hAnsi="Cambria" w:cs="Cambria" w:eastAsia="Cambria"/>
                <w:b/>
                <w:bCs/>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e GAD-7 (punteggi complessivi)</w:t>
            </w:r>
          </w:p>
        </w:tc>
        <w:tc>
          <w:tcPr/>
          <w:p>
            <w:pPr>
              <w:pStyle w:val="Compact"/>
              <w:spacing w:after="40" w:before="40"/>
              <w:jc w:val="left"/>
            </w:pPr>
            <w:r>
              <w:rPr>
                <w:rFonts w:ascii="Cambria" w:hAnsi="Cambria" w:cs="Cambria" w:eastAsia="Cambria"/>
                <w:color w:val="1A1A1A"/>
                <w:sz w:val="18"/>
              </w:rPr>
              <w:t xml:space="preserve">A ogni seduta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Invii e restituzioni</w:t>
            </w:r>
          </w:p>
        </w:tc>
        <w:tc>
          <w:tcPr>
            <w:shd w:val="clear" w:color="auto" w:fill="F4F1EC"/>
          </w:tcPr>
          <w:p>
            <w:pPr>
              <w:pStyle w:val="Compact"/>
              <w:spacing w:after="40" w:before="40"/>
              <w:jc w:val="left"/>
            </w:pPr>
            <w:r>
              <w:rPr>
                <w:rFonts w:ascii="Cambria" w:hAnsi="Cambria" w:cs="Cambria" w:eastAsia="Cambria"/>
                <w:color w:val="1A1A1A"/>
                <w:sz w:val="18"/>
              </w:rPr>
              <w:t xml:space="preserve">Invio a servizi specialistici; restituzione al medico curante</w:t>
            </w:r>
          </w:p>
        </w:tc>
        <w:tc>
          <w:tcPr>
            <w:shd w:val="clear" w:color="auto" w:fill="F4F1EC"/>
          </w:tcPr>
          <w:p>
            <w:pPr>
              <w:pStyle w:val="Compact"/>
              <w:spacing w:after="40" w:before="40"/>
              <w:jc w:val="left"/>
            </w:pPr>
            <w:r>
              <w:rPr>
                <w:rFonts w:ascii="Cambria" w:hAnsi="Cambria" w:cs="Cambria" w:eastAsia="Cambria"/>
                <w:color w:val="1A1A1A"/>
                <w:sz w:val="18"/>
              </w:rPr>
              <w:t xml:space="preserve">Ove pertinente</w:t>
            </w:r>
          </w:p>
        </w:tc>
      </w:tr>
      <w:tr>
        <w:tc>
          <w:tcPr/>
          <w:p>
            <w:pPr>
              <w:pStyle w:val="Compact"/>
              <w:spacing w:after="40" w:before="40"/>
              <w:jc w:val="left"/>
            </w:pPr>
            <w:r>
              <w:rPr>
                <w:rFonts w:ascii="Cambria" w:hAnsi="Cambria" w:cs="Cambria" w:eastAsia="Cambria"/>
                <w:b/>
                <w:bCs/>
                <w:color w:val="1A1A1A"/>
                <w:sz w:val="18"/>
              </w:rPr>
              <w:t xml:space="preserve">Chiusura</w:t>
            </w:r>
          </w:p>
        </w:tc>
        <w:tc>
          <w:tcPr/>
          <w:p>
            <w:pPr>
              <w:pStyle w:val="Compact"/>
              <w:spacing w:after="40" w:before="40"/>
              <w:jc w:val="left"/>
            </w:pPr>
            <w:r>
              <w:rPr>
                <w:rFonts w:ascii="Cambria" w:hAnsi="Cambria" w:cs="Cambria" w:eastAsia="Cambria"/>
                <w:color w:val="1A1A1A"/>
                <w:sz w:val="18"/>
              </w:rPr>
              <w:t xml:space="preserve">Esito del percorso (recupero, miglioramento, invio)</w:t>
            </w:r>
          </w:p>
        </w:tc>
        <w:tc>
          <w:tcPr/>
          <w:p>
            <w:pPr>
              <w:pStyle w:val="Compact"/>
              <w:spacing w:after="40" w:before="40"/>
              <w:jc w:val="left"/>
            </w:pPr>
            <w:r>
              <w:rPr>
                <w:rFonts w:ascii="Cambria" w:hAnsi="Cambria" w:cs="Cambria" w:eastAsia="Cambria"/>
                <w:color w:val="1A1A1A"/>
                <w:sz w:val="18"/>
              </w:rPr>
              <w:t xml:space="preserve">Alla chiusura</w:t>
            </w:r>
          </w:p>
        </w:tc>
      </w:tr>
    </w:tbl>
    <w:p>
      <w:pPr>
        <w:pStyle w:val="BodyText"/>
      </w:pPr>
      <w:r>
        <w:rPr>
          <w:i/>
          <w:iCs/>
        </w:rPr>
        <w:t xml:space="preserve">Tabella B.2. Il dataset minimo: i campi del protocollo di rilevazione (dizionario dei dati).</w:t>
      </w:r>
    </w:p>
    <w:bookmarkEnd w:id="3712"/>
    <w:bookmarkStart w:id="3715" w:name="appendice-c-dati-regionali-e-fonti-12"/>
    <w:p>
      <w:pPr>
        <w:pStyle w:val="Heading2"/>
      </w:pPr>
      <w:r>
        <w:t xml:space="preserve">Appendice C — Dati regionali e fonti</w:t>
      </w:r>
    </w:p>
    <w:p>
      <w:pPr>
        <w:pStyle w:val="FirstParagraph"/>
      </w:pPr>
      <w:r>
        <w:t xml:space="preserve">La presente appendice raccoglie i dati regionali di ancoraggio dello studio e ne dichiara i limiti. I valori siciliani impiegati nelle analisi sono riepilogati nella tabella seguente.</w:t>
      </w:r>
      <w:r>
        <w:rPr>
          <w:rStyle w:val="FootnoteReference"/>
        </w:rPr>
        <w:footnoteReference w:id="3596"/>
      </w:r>
    </w:p>
    <w:tbl>
      <w:tblPr>
        <w:tblStyle w:val="Table"/>
        <w:tblW w:type="pct" w:w="496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986"/>
        <w:gridCol w:w="687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regionale</w:t>
            </w:r>
          </w:p>
        </w:tc>
      </w:tr>
      <w:tr>
        <w:tc>
          <w:tcPr/>
          <w:p>
            <w:pPr>
              <w:pStyle w:val="Compact"/>
              <w:spacing w:after="40" w:before="40"/>
              <w:jc w:val="left"/>
            </w:pPr>
            <w:r>
              <w:rPr>
                <w:rFonts w:ascii="Cambria" w:hAnsi="Cambria" w:cs="Cambria" w:eastAsia="Cambria"/>
                <w:b/>
                <w:bCs/>
                <w:color w:val="1A1A1A"/>
                <w:sz w:val="18"/>
              </w:rPr>
              <w:t xml:space="preserve">Popolazione regionale</w:t>
            </w:r>
          </w:p>
        </w:tc>
        <w:tc>
          <w:tcPr/>
          <w:p>
            <w:pPr>
              <w:pStyle w:val="Compact"/>
              <w:spacing w:after="40" w:before="40"/>
              <w:jc w:val="left"/>
            </w:pPr>
            <w:r>
              <w:rPr>
                <w:rFonts w:ascii="Cambria" w:hAnsi="Cambria" w:cs="Cambria" w:eastAsia="Cambria"/>
                <w:color w:val="1A1A1A"/>
                <w:sz w:val="18"/>
              </w:rPr>
              <w:t xml:space="preserve">4.787.390 abitanti (Censimento ISTAT 2024), ~8,1% del totale nazionale; lieve calo; concentrazione su Palermo e Catania (~47,4%); stranieri ~4,3%; età media ~45,7 anni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Finanziamento del SSR</w:t>
            </w:r>
          </w:p>
        </w:tc>
        <w:tc>
          <w:tcPr>
            <w:shd w:val="clear" w:color="auto" w:fill="F4F1EC"/>
          </w:tcPr>
          <w:p>
            <w:pPr>
              <w:pStyle w:val="Compact"/>
              <w:spacing w:after="40" w:before="40"/>
              <w:jc w:val="left"/>
            </w:pPr>
            <w:r>
              <w:rPr>
                <w:rFonts w:ascii="Cambria" w:hAnsi="Cambria" w:cs="Cambria" w:eastAsia="Cambria"/>
                <w:color w:val="1A1A1A"/>
                <w:sz w:val="18"/>
              </w:rPr>
              <w:t xml:space="preserve">Dell’ordine di 10–11 miliardi di euro; statuto speciale (compartecipazione al 49,11% del fabbisogno); regione ancora sottoposta a piano di rientro</w:t>
            </w:r>
          </w:p>
        </w:tc>
      </w:tr>
      <w:tr>
        <w:tc>
          <w:tcPr/>
          <w:p>
            <w:pPr>
              <w:pStyle w:val="Compact"/>
              <w:spacing w:after="40" w:before="40"/>
              <w:jc w:val="left"/>
            </w:pPr>
            <w:r>
              <w:rPr>
                <w:rFonts w:ascii="Cambria" w:hAnsi="Cambria" w:cs="Cambria" w:eastAsia="Cambria"/>
                <w:b/>
                <w:bCs/>
                <w:color w:val="1A1A1A"/>
                <w:sz w:val="18"/>
              </w:rPr>
              <w:t xml:space="preserve">Mobilità sanitaria</w:t>
            </w:r>
          </w:p>
        </w:tc>
        <w:tc>
          <w:tcPr/>
          <w:p>
            <w:pPr>
              <w:pStyle w:val="Compact"/>
              <w:spacing w:after="40" w:before="40"/>
              <w:jc w:val="left"/>
            </w:pPr>
            <w:r>
              <w:rPr>
                <w:rFonts w:ascii="Cambria" w:hAnsi="Cambria" w:cs="Cambria" w:eastAsia="Cambria"/>
                <w:color w:val="1A1A1A"/>
                <w:sz w:val="18"/>
              </w:rPr>
              <w:t xml:space="preserve">Saldo fra i più passivi d’Italia (~250 milioni); fuga concentrata nell’alta complessità ospedaliera e chirurgica; canale di recupero modesto per questo intervento (sola frazione territoriale)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cause psichiatriche dell’ordine di alcune decine di migliaia l’anno (proxy dai dati nazionali)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Consumo regionale delle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 957.000 con disagio comune potenziale (proxy ~20%); utenza in carico ai servizi rapportata ai dati nazionali; disagio giovanile indicato come priorità dal governo regionale</w:t>
            </w:r>
          </w:p>
        </w:tc>
      </w:tr>
      <w:tr>
        <w:tc>
          <w:tcPr/>
          <w:p>
            <w:pPr>
              <w:pStyle w:val="Compact"/>
              <w:spacing w:after="40" w:before="40"/>
              <w:jc w:val="left"/>
            </w:pPr>
            <w:r>
              <w:rPr>
                <w:rFonts w:ascii="Cambria" w:hAnsi="Cambria" w:cs="Cambria" w:eastAsia="Cambria"/>
                <w:b/>
                <w:bCs/>
                <w:color w:val="1A1A1A"/>
                <w:sz w:val="18"/>
              </w:rPr>
              <w:t xml:space="preserve">Funzione attuale</w:t>
            </w:r>
          </w:p>
        </w:tc>
        <w:tc>
          <w:tcPr/>
          <w:p>
            <w:pPr>
              <w:pStyle w:val="Compact"/>
              <w:spacing w:after="40" w:before="40"/>
              <w:jc w:val="left"/>
            </w:pPr>
            <w:r>
              <w:rPr>
                <w:rFonts w:ascii="Cambria" w:hAnsi="Cambria" w:cs="Cambria" w:eastAsia="Cambria"/>
                <w:color w:val="1A1A1A"/>
                <w:sz w:val="18"/>
              </w:rPr>
              <w:t xml:space="preserve">Servizio in avvio: legge regionale (LR 18/2023), Delibera 253/2024 e decreto attuativo (DPRS novembre 2024); elenchi provinciali in formazione; due psicologi per distretto, con ticket; impegno iniziale ~7,4 mln; statuto speciale e piano di rientro</w:t>
            </w:r>
          </w:p>
        </w:tc>
      </w:tr>
    </w:tbl>
    <w:p>
      <w:pPr>
        <w:pStyle w:val="BodyText"/>
      </w:pPr>
      <w:r>
        <w:rPr>
          <w:i/>
          <w:iCs/>
        </w:rPr>
        <w:t xml:space="preserve">Tabella C.1. I valori regionali di ancoraggio della Sicilia.</w:t>
      </w:r>
    </w:p>
    <w:p>
      <w:pPr>
        <w:pStyle w:val="BodyText"/>
      </w:pPr>
      <w:r>
        <w:t xml:space="preserve">Resta la lacuna principale dello studio: i valori economici sono in parte ricostruiti a partire dai conti nazionali scalati per la quota di popolazione siciliana, e non estratti dai conti regionali certificati.</w:t>
      </w:r>
      <w:r>
        <w:rPr>
          <w:rStyle w:val="FootnoteReference"/>
        </w:rPr>
        <w:footnoteReference w:id="3597"/>
      </w:r>
      <w:r>
        <w:t xml:space="preserve"> </w:t>
      </w:r>
      <w:r>
        <w:t xml:space="preserve">La tabella seguente elenca i dati da acquisire per sostituire le stime.</w:t>
      </w:r>
    </w:p>
    <w:tbl>
      <w:tblPr>
        <w:tblStyle w:val="Table"/>
        <w:tblW w:type="pct" w:w="493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60"/>
        <w:gridCol w:w="606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Dato da acquisire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Ricoveri psichiatrici</w:t>
            </w:r>
          </w:p>
        </w:tc>
        <w:tc>
          <w:tcPr/>
          <w:p>
            <w:pPr>
              <w:pStyle w:val="Compact"/>
              <w:spacing w:after="40" w:before="40"/>
              <w:jc w:val="left"/>
            </w:pPr>
            <w:r>
              <w:rPr>
                <w:rFonts w:ascii="Cambria" w:hAnsi="Cambria" w:cs="Cambria" w:eastAsia="Cambria"/>
                <w:color w:val="1A1A1A"/>
                <w:sz w:val="18"/>
              </w:rPr>
              <w:t xml:space="preserve">Schede di dimissione ospedaliera per disturbi psichici e relativo costo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Specialistica</w:t>
            </w:r>
          </w:p>
        </w:tc>
        <w:tc>
          <w:tcPr>
            <w:shd w:val="clear" w:color="auto" w:fill="F4F1EC"/>
          </w:tcPr>
          <w:p>
            <w:pPr>
              <w:pStyle w:val="Compact"/>
              <w:spacing w:after="40" w:before="40"/>
              <w:jc w:val="left"/>
            </w:pPr>
            <w:r>
              <w:rPr>
                <w:rFonts w:ascii="Cambria" w:hAnsi="Cambria" w:cs="Cambria" w:eastAsia="Cambria"/>
                <w:color w:val="1A1A1A"/>
                <w:sz w:val="18"/>
              </w:rPr>
              <w:t xml:space="preserve">Prestazioni specialistiche associate ai sintomi somatici funzionali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Spesa regionale per le categorie dei psicofarmaci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causa psichiatrica e relativo costo unitario</w:t>
            </w:r>
          </w:p>
        </w:tc>
      </w:tr>
      <w:tr>
        <w:tc>
          <w:tcPr/>
          <w:p>
            <w:pPr>
              <w:pStyle w:val="Compact"/>
              <w:spacing w:after="40" w:before="40"/>
              <w:jc w:val="left"/>
            </w:pPr>
            <w:r>
              <w:rPr>
                <w:rFonts w:ascii="Cambria" w:hAnsi="Cambria" w:cs="Cambria" w:eastAsia="Cambria"/>
                <w:b/>
                <w:bCs/>
                <w:color w:val="1A1A1A"/>
                <w:sz w:val="18"/>
              </w:rPr>
              <w:t xml:space="preserve">Dati del servizio in avvio</w:t>
            </w:r>
          </w:p>
        </w:tc>
        <w:tc>
          <w:tcPr/>
          <w:p>
            <w:pPr>
              <w:pStyle w:val="Compact"/>
              <w:spacing w:after="40" w:before="40"/>
              <w:jc w:val="left"/>
            </w:pPr>
            <w:r>
              <w:rPr>
                <w:rFonts w:ascii="Cambria" w:hAnsi="Cambria" w:cs="Cambria" w:eastAsia="Cambria"/>
                <w:color w:val="1A1A1A"/>
                <w:sz w:val="18"/>
              </w:rPr>
              <w:t xml:space="preserve">Prese in carico, sedute ed esiti da raccogliere via relazione annuale, da impostare in forma uniforme come fonte primaria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Liste di attesa</w:t>
            </w:r>
          </w:p>
        </w:tc>
        <w:tc>
          <w:tcPr>
            <w:shd w:val="clear" w:color="auto" w:fill="F4F1EC"/>
          </w:tcPr>
          <w:p>
            <w:pPr>
              <w:pStyle w:val="Compact"/>
              <w:spacing w:after="40" w:before="40"/>
              <w:jc w:val="left"/>
            </w:pPr>
            <w:r>
              <w:rPr>
                <w:rFonts w:ascii="Cambria" w:hAnsi="Cambria" w:cs="Cambria" w:eastAsia="Cambria"/>
                <w:color w:val="1A1A1A"/>
                <w:sz w:val="18"/>
              </w:rPr>
              <w:t xml:space="preserve">Tempi di attesa per l’accesso psicologico, per Azienda e per area</w:t>
            </w:r>
          </w:p>
        </w:tc>
      </w:tr>
    </w:tbl>
    <w:p>
      <w:pPr>
        <w:pStyle w:val="BodyText"/>
      </w:pPr>
      <w:r>
        <w:rPr>
          <w:i/>
          <w:iCs/>
        </w:rPr>
        <w:t xml:space="preserve">Tabella C.2. I dati certificati da acquisire per sostituire le stime (lacuna principale dello studio).</w:t>
      </w:r>
    </w:p>
    <w:bookmarkEnd w:id="3715"/>
    <w:bookmarkStart w:id="3717" w:name="appendice-d-checklist-di-reporting-12"/>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3598"/>
      </w:r>
      <w:r>
        <w:t xml:space="preserve"> </w:t>
      </w:r>
      <w:r>
        <w:t xml:space="preserve">La tabella seguente li riepiloga.</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3927"/>
        <w:gridCol w:w="1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Standard o lista di controllo</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r>
      <w:tr>
        <w:tc>
          <w:tcPr/>
          <w:p>
            <w:pPr>
              <w:pStyle w:val="Compact"/>
              <w:spacing w:after="40" w:before="40"/>
              <w:jc w:val="left"/>
            </w:pPr>
            <w:r>
              <w:rPr>
                <w:rFonts w:ascii="Cambria" w:hAnsi="Cambria" w:cs="Cambria" w:eastAsia="Cambria"/>
                <w:b/>
                <w:bCs/>
                <w:color w:val="1A1A1A"/>
                <w:sz w:val="18"/>
              </w:rPr>
              <w:t xml:space="preserve">CHEERS 2022 (28 voci)</w:t>
            </w:r>
          </w:p>
        </w:tc>
        <w:tc>
          <w:tcPr/>
          <w:p>
            <w:pPr>
              <w:pStyle w:val="Compact"/>
              <w:spacing w:after="40" w:before="40"/>
              <w:jc w:val="left"/>
            </w:pPr>
            <w:r>
              <w:rPr>
                <w:rFonts w:ascii="Cambria" w:hAnsi="Cambria" w:cs="Cambria" w:eastAsia="Cambria"/>
                <w:color w:val="1A1A1A"/>
                <w:sz w:val="18"/>
              </w:rPr>
              <w:t xml:space="preserve">Rendicontazione delle valutazioni economiche</w:t>
            </w:r>
          </w:p>
        </w:tc>
        <w:tc>
          <w:tcPr/>
          <w:p>
            <w:pPr>
              <w:pStyle w:val="Compact"/>
              <w:spacing w:after="40" w:before="40"/>
              <w:jc w:val="left"/>
            </w:pPr>
            <w:r>
              <w:rPr>
                <w:rFonts w:ascii="Cambria" w:hAnsi="Cambria" w:cs="Cambria" w:eastAsia="Cambria"/>
                <w:color w:val="1A1A1A"/>
                <w:sz w:val="18"/>
              </w:rPr>
              <w:t xml:space="preserve">Parte 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CHEERS-AI (38 voci)</w:t>
            </w:r>
          </w:p>
        </w:tc>
        <w:tc>
          <w:tcPr>
            <w:shd w:val="clear" w:color="auto" w:fill="F4F1EC"/>
          </w:tcPr>
          <w:p>
            <w:pPr>
              <w:pStyle w:val="Compact"/>
              <w:spacing w:after="40" w:before="40"/>
              <w:jc w:val="left"/>
            </w:pPr>
            <w:r>
              <w:rPr>
                <w:rFonts w:ascii="Cambria" w:hAnsi="Cambria" w:cs="Cambria" w:eastAsia="Cambria"/>
                <w:color w:val="1A1A1A"/>
                <w:sz w:val="18"/>
              </w:rPr>
              <w:t xml:space="preserve">Estensione per gli interventi con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Parti C, E</w:t>
            </w:r>
          </w:p>
        </w:tc>
      </w:tr>
      <w:tr>
        <w:tc>
          <w:tcPr/>
          <w:p>
            <w:pPr>
              <w:pStyle w:val="Compact"/>
              <w:spacing w:after="40" w:before="40"/>
              <w:jc w:val="left"/>
            </w:pPr>
            <w:r>
              <w:rPr>
                <w:rFonts w:ascii="Cambria" w:hAnsi="Cambria" w:cs="Cambria" w:eastAsia="Cambria"/>
                <w:b/>
                <w:bCs/>
                <w:color w:val="1A1A1A"/>
                <w:sz w:val="18"/>
              </w:rPr>
              <w:t xml:space="preserve">PRISMA 2020</w:t>
            </w:r>
          </w:p>
        </w:tc>
        <w:tc>
          <w:tcPr/>
          <w:p>
            <w:pPr>
              <w:pStyle w:val="Compact"/>
              <w:spacing w:after="40" w:before="40"/>
              <w:jc w:val="left"/>
            </w:pPr>
            <w:r>
              <w:rPr>
                <w:rFonts w:ascii="Cambria" w:hAnsi="Cambria" w:cs="Cambria" w:eastAsia="Cambria"/>
                <w:color w:val="1A1A1A"/>
                <w:sz w:val="18"/>
              </w:rPr>
              <w:t xml:space="preserve">Conduzione e reporting delle revisioni sistematiche</w:t>
            </w:r>
          </w:p>
        </w:tc>
        <w:tc>
          <w:tcPr/>
          <w:p>
            <w:pPr>
              <w:pStyle w:val="Compact"/>
              <w:spacing w:after="40" w:before="40"/>
              <w:jc w:val="left"/>
            </w:pPr>
            <w:r>
              <w:rPr>
                <w:rFonts w:ascii="Cambria" w:hAnsi="Cambria" w:cs="Cambria" w:eastAsia="Cambria"/>
                <w:color w:val="1A1A1A"/>
                <w:sz w:val="18"/>
              </w:rPr>
              <w:t xml:space="preserve">Parte 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GRADE</w:t>
            </w:r>
          </w:p>
        </w:tc>
        <w:tc>
          <w:tcPr>
            <w:shd w:val="clear" w:color="auto" w:fill="F4F1EC"/>
          </w:tcPr>
          <w:p>
            <w:pPr>
              <w:pStyle w:val="Compact"/>
              <w:spacing w:after="40" w:before="40"/>
              <w:jc w:val="left"/>
            </w:pPr>
            <w:r>
              <w:rPr>
                <w:rFonts w:ascii="Cambria" w:hAnsi="Cambria" w:cs="Cambria" w:eastAsia="Cambria"/>
                <w:color w:val="1A1A1A"/>
                <w:sz w:val="18"/>
              </w:rPr>
              <w:t xml:space="preserve">Graduazione della certezza dell’evidenza</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r>
      <w:tr>
        <w:tc>
          <w:tcPr/>
          <w:p>
            <w:pPr>
              <w:pStyle w:val="Compact"/>
              <w:spacing w:after="40" w:before="40"/>
              <w:jc w:val="left"/>
            </w:pPr>
            <w:r>
              <w:rPr>
                <w:rFonts w:ascii="Cambria" w:hAnsi="Cambria" w:cs="Cambria" w:eastAsia="Cambria"/>
                <w:b/>
                <w:bCs/>
                <w:color w:val="1A1A1A"/>
                <w:sz w:val="18"/>
              </w:rPr>
              <w:t xml:space="preserve">Lista STROBE</w:t>
            </w:r>
          </w:p>
        </w:tc>
        <w:tc>
          <w:tcPr/>
          <w:p>
            <w:pPr>
              <w:pStyle w:val="Compact"/>
              <w:spacing w:after="40" w:before="40"/>
              <w:jc w:val="left"/>
            </w:pPr>
            <w:r>
              <w:rPr>
                <w:rFonts w:ascii="Cambria" w:hAnsi="Cambria" w:cs="Cambria" w:eastAsia="Cambria"/>
                <w:color w:val="1A1A1A"/>
                <w:sz w:val="18"/>
              </w:rPr>
              <w:t xml:space="preserve">Studi osservazionali sui dati reali</w:t>
            </w:r>
          </w:p>
        </w:tc>
        <w:tc>
          <w:tcPr/>
          <w:p>
            <w:pPr>
              <w:pStyle w:val="Compact"/>
              <w:spacing w:after="40" w:before="40"/>
              <w:jc w:val="left"/>
            </w:pPr>
            <w:r>
              <w:rPr>
                <w:rFonts w:ascii="Cambria" w:hAnsi="Cambria" w:cs="Cambria" w:eastAsia="Cambria"/>
                <w:color w:val="1A1A1A"/>
                <w:sz w:val="18"/>
              </w:rPr>
              <w:t xml:space="preserve">Parti D,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Buone pratiche ISPOR-SMDM</w:t>
            </w:r>
          </w:p>
        </w:tc>
        <w:tc>
          <w:tcPr>
            <w:shd w:val="clear" w:color="auto" w:fill="F4F1EC"/>
          </w:tcPr>
          <w:p>
            <w:pPr>
              <w:pStyle w:val="Compact"/>
              <w:spacing w:after="40" w:before="40"/>
              <w:jc w:val="left"/>
            </w:pPr>
            <w:r>
              <w:rPr>
                <w:rFonts w:ascii="Cambria" w:hAnsi="Cambria" w:cs="Cambria" w:eastAsia="Cambria"/>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r>
      <w:tr>
        <w:tc>
          <w:tcPr/>
          <w:p>
            <w:pPr>
              <w:pStyle w:val="Compact"/>
              <w:spacing w:after="40" w:before="40"/>
              <w:jc w:val="left"/>
            </w:pPr>
            <w:r>
              <w:rPr>
                <w:rFonts w:ascii="Cambria" w:hAnsi="Cambria" w:cs="Cambria" w:eastAsia="Cambria"/>
                <w:b/>
                <w:bCs/>
                <w:color w:val="1A1A1A"/>
                <w:sz w:val="18"/>
              </w:rPr>
              <w:t xml:space="preserve">Manuale OCSE-JRC</w:t>
            </w:r>
          </w:p>
        </w:tc>
        <w:tc>
          <w:tcPr/>
          <w:p>
            <w:pPr>
              <w:pStyle w:val="Compact"/>
              <w:spacing w:after="40" w:before="40"/>
              <w:jc w:val="left"/>
            </w:pPr>
            <w:r>
              <w:rPr>
                <w:rFonts w:ascii="Cambria" w:hAnsi="Cambria" w:cs="Cambria" w:eastAsia="Cambria"/>
                <w:color w:val="1A1A1A"/>
                <w:sz w:val="18"/>
              </w:rPr>
              <w:t xml:space="preserve">Costruzione degli indicatori compositi</w:t>
            </w:r>
          </w:p>
        </w:tc>
        <w:tc>
          <w:tcPr/>
          <w:p>
            <w:pPr>
              <w:pStyle w:val="Compact"/>
              <w:spacing w:after="40" w:before="40"/>
              <w:jc w:val="left"/>
            </w:pPr>
            <w:r>
              <w:rPr>
                <w:rFonts w:ascii="Cambria" w:hAnsi="Cambria" w:cs="Cambria" w:eastAsia="Cambria"/>
                <w:color w:val="1A1A1A"/>
                <w:sz w:val="18"/>
              </w:rPr>
              <w:t xml:space="preserve">Parte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Griglia di giudizio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r>
    </w:tbl>
    <w:p>
      <w:pPr>
        <w:pStyle w:val="BodyText"/>
      </w:pPr>
      <w:r>
        <w:rPr>
          <w:i/>
          <w:iCs/>
        </w:rPr>
        <w:t xml:space="preserve">Tabella D.1. Gli standard di reporting e di qualità adottati nello studio, per parte di applicazione.</w:t>
      </w:r>
    </w:p>
    <w:bookmarkEnd w:id="3717"/>
    <w:bookmarkStart w:id="3719" w:name="appendice-e-glossario-12"/>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3599"/>
      </w:r>
      <w:r>
        <w:t xml:space="preserve"> </w:t>
      </w:r>
      <w:r>
        <w:t xml:space="preserve">Le definizioni sono comuni al telaio metodologico replicato in tutti gli studi regionali del progetto.</w:t>
      </w:r>
    </w:p>
    <w:tbl>
      <w:tblPr>
        <w:tblStyle w:val="Table"/>
        <w:tblW w:type="pct" w:w="497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261"/>
        <w:gridCol w:w="661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Termine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w:t>
            </w:r>
          </w:p>
        </w:tc>
      </w:tr>
      <w:tr>
        <w:tc>
          <w:tcPr/>
          <w:p>
            <w:pPr>
              <w:pStyle w:val="Compact"/>
              <w:spacing w:after="40" w:before="40"/>
              <w:jc w:val="left"/>
            </w:pPr>
            <w:r>
              <w:rPr>
                <w:rFonts w:ascii="Cambria" w:hAnsi="Cambria" w:cs="Cambria" w:eastAsia="Cambria"/>
                <w:b/>
                <w:bCs/>
                <w:color w:val="1A1A1A"/>
                <w:sz w:val="18"/>
              </w:rPr>
              <w:t xml:space="preserve">Valutazione di tecnologia sanitaria (HTA)</w:t>
            </w:r>
          </w:p>
        </w:tc>
        <w:tc>
          <w:tcPr/>
          <w:p>
            <w:pPr>
              <w:pStyle w:val="Compact"/>
              <w:spacing w:after="40" w:before="40"/>
              <w:jc w:val="left"/>
            </w:pPr>
            <w:r>
              <w:rPr>
                <w:rFonts w:ascii="Cambria" w:hAnsi="Cambria" w:cs="Cambria" w:eastAsia="Cambria"/>
                <w:color w:val="1A1A1A"/>
                <w:sz w:val="18"/>
              </w:rPr>
              <w:t xml:space="preserve">Valutazione multidimensionale di un intervento sanitario, articolata in nove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Valutazione rapida di efficacia relativa</w:t>
            </w:r>
          </w:p>
        </w:tc>
        <w:tc>
          <w:tcPr>
            <w:shd w:val="clear" w:color="auto" w:fill="F4F1EC"/>
          </w:tcPr>
          <w:p>
            <w:pPr>
              <w:pStyle w:val="Compact"/>
              <w:spacing w:after="40" w:before="40"/>
              <w:jc w:val="left"/>
            </w:pPr>
            <w:r>
              <w:rPr>
                <w:rFonts w:ascii="Cambria" w:hAnsi="Cambria" w:cs="Cambria" w:eastAsia="Cambria"/>
                <w:color w:val="1A1A1A"/>
                <w:sz w:val="18"/>
              </w:rPr>
              <w:t xml:space="preserve">Nucleo dell’HTA, che copre i primi quattro domini (problema, descrizione, sicurezza, efficacia)</w:t>
            </w:r>
          </w:p>
        </w:tc>
      </w:tr>
      <w:tr>
        <w:tc>
          <w:tcPr/>
          <w:p>
            <w:pPr>
              <w:pStyle w:val="Compact"/>
              <w:spacing w:after="40" w:before="40"/>
              <w:jc w:val="left"/>
            </w:pPr>
            <w:r>
              <w:rPr>
                <w:rFonts w:ascii="Cambria" w:hAnsi="Cambria" w:cs="Cambria" w:eastAsia="Cambria"/>
                <w:b/>
                <w:bCs/>
                <w:color w:val="1A1A1A"/>
                <w:sz w:val="18"/>
              </w:rPr>
              <w:t xml:space="preserve">Five Case Model</w:t>
            </w:r>
          </w:p>
        </w:tc>
        <w:tc>
          <w:tcPr/>
          <w:p>
            <w:pPr>
              <w:pStyle w:val="Compact"/>
              <w:spacing w:after="40" w:before="40"/>
              <w:jc w:val="left"/>
            </w:pPr>
            <w:r>
              <w:rPr>
                <w:rFonts w:ascii="Cambria" w:hAnsi="Cambria" w:cs="Cambria" w:eastAsia="Cambria"/>
                <w:color w:val="1A1A1A"/>
                <w:sz w:val="18"/>
              </w:rPr>
              <w:t xml:space="preserve">Standard del business case pubblico in cinque casi: strategico, economico, commerciale, finanziario, gestionale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 2022</w:t>
            </w:r>
          </w:p>
        </w:tc>
        <w:tc>
          <w:tcPr>
            <w:shd w:val="clear" w:color="auto" w:fill="F4F1EC"/>
          </w:tcPr>
          <w:p>
            <w:pPr>
              <w:pStyle w:val="Compact"/>
              <w:spacing w:after="40" w:before="40"/>
              <w:jc w:val="left"/>
            </w:pPr>
            <w:r>
              <w:rPr>
                <w:rFonts w:ascii="Cambria" w:hAnsi="Cambria" w:cs="Cambria" w:eastAsia="Cambria"/>
                <w:color w:val="1A1A1A"/>
                <w:sz w:val="18"/>
              </w:rPr>
              <w:t xml:space="preserve">Lista di controllo di 28 voci per la rendicontazione delle valutazioni economiche</w:t>
            </w:r>
          </w:p>
        </w:tc>
      </w:tr>
      <w:tr>
        <w:tc>
          <w:tcPr/>
          <w:p>
            <w:pPr>
              <w:pStyle w:val="Compact"/>
              <w:spacing w:after="40" w:before="40"/>
              <w:jc w:val="left"/>
            </w:pPr>
            <w:r>
              <w:rPr>
                <w:rFonts w:ascii="Cambria" w:hAnsi="Cambria" w:cs="Cambria" w:eastAsia="Cambria"/>
                <w:b/>
                <w:bCs/>
                <w:color w:val="1A1A1A"/>
                <w:sz w:val="18"/>
              </w:rPr>
              <w:t xml:space="preserve">Criteri OCSE-DAC</w:t>
            </w:r>
          </w:p>
        </w:tc>
        <w:tc>
          <w:tcPr/>
          <w:p>
            <w:pPr>
              <w:pStyle w:val="Compact"/>
              <w:spacing w:after="40" w:before="40"/>
              <w:jc w:val="left"/>
            </w:pPr>
            <w:r>
              <w:rPr>
                <w:rFonts w:ascii="Cambria" w:hAnsi="Cambria" w:cs="Cambria" w:eastAsia="Cambria"/>
                <w:color w:val="1A1A1A"/>
                <w:sz w:val="18"/>
              </w:rPr>
              <w:t xml:space="preserve">Sei criteri di giudizio: rilevanza, coerenza, efficacia, efficienza, impatto, 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Anno di vita ponderato per la qualità (QALY)</w:t>
            </w:r>
          </w:p>
        </w:tc>
        <w:tc>
          <w:tcPr>
            <w:shd w:val="clear" w:color="auto" w:fill="F4F1EC"/>
          </w:tcPr>
          <w:p>
            <w:pPr>
              <w:pStyle w:val="Compact"/>
              <w:spacing w:after="40" w:before="40"/>
              <w:jc w:val="left"/>
            </w:pPr>
            <w:r>
              <w:rPr>
                <w:rFonts w:ascii="Cambria" w:hAnsi="Cambria" w:cs="Cambria" w:eastAsia="Cambria"/>
                <w:color w:val="1A1A1A"/>
                <w:sz w:val="18"/>
              </w:rPr>
              <w:t xml:space="preserve">Misura che integra durata e qualità della vita guadagnate</w:t>
            </w:r>
          </w:p>
        </w:tc>
      </w:tr>
      <w:tr>
        <w:tc>
          <w:tcPr/>
          <w:p>
            <w:pPr>
              <w:pStyle w:val="Compact"/>
              <w:spacing w:after="40" w:before="40"/>
              <w:jc w:val="left"/>
            </w:pPr>
            <w:r>
              <w:rPr>
                <w:rFonts w:ascii="Cambria" w:hAnsi="Cambria" w:cs="Cambria" w:eastAsia="Cambria"/>
                <w:b/>
                <w:bCs/>
                <w:color w:val="1A1A1A"/>
                <w:sz w:val="18"/>
              </w:rPr>
              <w:t xml:space="preserve">Rapporto incrementale di costo-efficacia (ICER)</w:t>
            </w:r>
          </w:p>
        </w:tc>
        <w:tc>
          <w:tcPr/>
          <w:p>
            <w:pPr>
              <w:pStyle w:val="Compact"/>
              <w:spacing w:after="40" w:before="40"/>
              <w:jc w:val="left"/>
            </w:pPr>
            <w:r>
              <w:rPr>
                <w:rFonts w:ascii="Cambria" w:hAnsi="Cambria" w:cs="Cambria" w:eastAsia="Cambria"/>
                <w:color w:val="1A1A1A"/>
                <w:sz w:val="18"/>
              </w:rPr>
              <w:t xml:space="preserve">Rapporto tra costo aggiuntivo e guadagno di salute, confrontato con una soglia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costo-utilità</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che misura gli esiti in anni di vita ponderati per la qualità</w:t>
            </w:r>
          </w:p>
        </w:tc>
      </w:tr>
      <w:tr>
        <w:tc>
          <w:tcPr/>
          <w:p>
            <w:pPr>
              <w:pStyle w:val="Compact"/>
              <w:spacing w:after="40" w:before="40"/>
              <w:jc w:val="left"/>
            </w:pPr>
            <w:r>
              <w:rPr>
                <w:rFonts w:ascii="Cambria" w:hAnsi="Cambria" w:cs="Cambria" w:eastAsia="Cambria"/>
                <w:b/>
                <w:bCs/>
                <w:color w:val="1A1A1A"/>
                <w:sz w:val="18"/>
              </w:rPr>
              <w:t xml:space="preserve">Analisi di impatto sul bilancio</w:t>
            </w:r>
          </w:p>
        </w:tc>
        <w:tc>
          <w:tcPr/>
          <w:p>
            <w:pPr>
              <w:pStyle w:val="Compact"/>
              <w:spacing w:after="40" w:before="40"/>
              <w:jc w:val="left"/>
            </w:pPr>
            <w:r>
              <w:rPr>
                <w:rFonts w:ascii="Cambria" w:hAnsi="Cambria" w:cs="Cambria" w:eastAsia="Cambria"/>
                <w:color w:val="1A1A1A"/>
                <w:sz w:val="18"/>
              </w:rPr>
              <w:t xml:space="preserve">Stima dell’effetto finanziario sul bilancio del detentore del budget, su flussi non scontati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sull’investimento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Metodo che monetizza il valore sociale generato, distinto dai risparmi di bilancio</w:t>
            </w:r>
          </w:p>
        </w:tc>
      </w:tr>
      <w:tr>
        <w:tc>
          <w:tcPr/>
          <w:p>
            <w:pPr>
              <w:pStyle w:val="Compact"/>
              <w:spacing w:after="40" w:before="40"/>
              <w:jc w:val="left"/>
            </w:pPr>
            <w:r>
              <w:rPr>
                <w:rFonts w:ascii="Cambria" w:hAnsi="Cambria" w:cs="Cambria" w:eastAsia="Cambria"/>
                <w:b/>
                <w:bCs/>
                <w:color w:val="1A1A1A"/>
                <w:sz w:val="18"/>
              </w:rPr>
              <w:t xml:space="preserve">Analisi costo-efficacia distributiva (DCEA)</w:t>
            </w:r>
          </w:p>
        </w:tc>
        <w:tc>
          <w:tcPr/>
          <w:p>
            <w:pPr>
              <w:pStyle w:val="Compact"/>
              <w:spacing w:after="40" w:before="40"/>
              <w:jc w:val="left"/>
            </w:pPr>
            <w:r>
              <w:rPr>
                <w:rFonts w:ascii="Cambria" w:hAnsi="Cambria" w:cs="Cambria" w:eastAsia="Cambria"/>
                <w:color w:val="1A1A1A"/>
                <w:sz w:val="18"/>
              </w:rPr>
              <w:t xml:space="preserve">Estende la valutazione economica alla distribuzione degli effetti tra gruppi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sensibilità probabilistica</w:t>
            </w:r>
          </w:p>
        </w:tc>
        <w:tc>
          <w:tcPr>
            <w:shd w:val="clear" w:color="auto" w:fill="F4F1EC"/>
          </w:tcPr>
          <w:p>
            <w:pPr>
              <w:pStyle w:val="Compact"/>
              <w:spacing w:after="40" w:before="40"/>
              <w:jc w:val="left"/>
            </w:pPr>
            <w:r>
              <w:rPr>
                <w:rFonts w:ascii="Cambria" w:hAnsi="Cambria" w:cs="Cambria" w:eastAsia="Cambria"/>
                <w:color w:val="1A1A1A"/>
                <w:sz w:val="18"/>
              </w:rPr>
              <w:t xml:space="preserve">Propaga l’incertezza dei parametri mediante simulazioni Monte Carlo</w:t>
            </w:r>
          </w:p>
        </w:tc>
      </w:tr>
      <w:tr>
        <w:tc>
          <w:tcPr/>
          <w:p>
            <w:pPr>
              <w:pStyle w:val="Compact"/>
              <w:spacing w:after="40" w:before="40"/>
              <w:jc w:val="left"/>
            </w:pPr>
            <w:r>
              <w:rPr>
                <w:rFonts w:ascii="Cambria" w:hAnsi="Cambria" w:cs="Cambria" w:eastAsia="Cambria"/>
                <w:b/>
                <w:bCs/>
                <w:color w:val="1A1A1A"/>
                <w:sz w:val="18"/>
              </w:rPr>
              <w:t xml:space="preserve">Valore dell’informazione (EVPI, EVPPI)</w:t>
            </w:r>
          </w:p>
        </w:tc>
        <w:tc>
          <w:tcPr/>
          <w:p>
            <w:pPr>
              <w:pStyle w:val="Compact"/>
              <w:spacing w:after="40" w:before="40"/>
              <w:jc w:val="left"/>
            </w:pPr>
            <w:r>
              <w:rPr>
                <w:rFonts w:ascii="Cambria" w:hAnsi="Cambria" w:cs="Cambria" w:eastAsia="Cambria"/>
                <w:color w:val="1A1A1A"/>
                <w:sz w:val="18"/>
              </w:rPr>
              <w:t xml:space="preserve">Beneficio atteso dalla riduzione dell’incertezza, complessiva e sui parametri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Markov</w:t>
            </w:r>
          </w:p>
        </w:tc>
        <w:tc>
          <w:tcPr>
            <w:shd w:val="clear" w:color="auto" w:fill="F4F1EC"/>
          </w:tcPr>
          <w:p>
            <w:pPr>
              <w:pStyle w:val="Compact"/>
              <w:spacing w:after="40" w:before="40"/>
              <w:jc w:val="left"/>
            </w:pPr>
            <w:r>
              <w:rPr>
                <w:rFonts w:ascii="Cambria" w:hAnsi="Cambria" w:cs="Cambria" w:eastAsia="Cambria"/>
                <w:color w:val="1A1A1A"/>
                <w:sz w:val="18"/>
              </w:rPr>
              <w:t xml:space="preserve">Modello che rappresenta il decorso di una condizione attraverso stati di salute e transizioni</w:t>
            </w:r>
          </w:p>
        </w:tc>
      </w:tr>
      <w:tr>
        <w:tc>
          <w:tcPr/>
          <w:p>
            <w:pPr>
              <w:pStyle w:val="Compact"/>
              <w:spacing w:after="40" w:before="40"/>
              <w:jc w:val="left"/>
            </w:pPr>
            <w:r>
              <w:rPr>
                <w:rFonts w:ascii="Cambria" w:hAnsi="Cambria" w:cs="Cambria" w:eastAsia="Cambria"/>
                <w:b/>
                <w:bCs/>
                <w:color w:val="1A1A1A"/>
                <w:sz w:val="18"/>
              </w:rPr>
              <w:t xml:space="preserve">Differenza-nelle-differenze</w:t>
            </w:r>
          </w:p>
        </w:tc>
        <w:tc>
          <w:tcPr/>
          <w:p>
            <w:pPr>
              <w:pStyle w:val="Compact"/>
              <w:spacing w:after="40" w:before="40"/>
              <w:jc w:val="left"/>
            </w:pPr>
            <w:r>
              <w:rPr>
                <w:rFonts w:ascii="Cambria" w:hAnsi="Cambria" w:cs="Cambria" w:eastAsia="Cambria"/>
                <w:color w:val="1A1A1A"/>
                <w:sz w:val="18"/>
              </w:rPr>
              <w:t xml:space="preserve">Metodo controfattuale che confronta la variazione nel tempo dell’esito tra gruppi a diversa esposizione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Controllo sintetico</w:t>
            </w:r>
          </w:p>
        </w:tc>
        <w:tc>
          <w:tcPr>
            <w:shd w:val="clear" w:color="auto" w:fill="F4F1EC"/>
          </w:tcPr>
          <w:p>
            <w:pPr>
              <w:pStyle w:val="Compact"/>
              <w:spacing w:after="40" w:before="40"/>
              <w:jc w:val="left"/>
            </w:pPr>
            <w:r>
              <w:rPr>
                <w:rFonts w:ascii="Cambria" w:hAnsi="Cambria" w:cs="Cambria" w:eastAsia="Cambria"/>
                <w:color w:val="1A1A1A"/>
                <w:sz w:val="18"/>
              </w:rPr>
              <w:t xml:space="preserve">Metodo che costruisce un’unità di confronto come combinazione ponderata di unità a minore esposizione</w:t>
            </w:r>
          </w:p>
        </w:tc>
      </w:tr>
      <w:tr>
        <w:tc>
          <w:tcPr/>
          <w:p>
            <w:pPr>
              <w:pStyle w:val="Compact"/>
              <w:spacing w:after="40" w:before="40"/>
              <w:jc w:val="left"/>
            </w:pPr>
            <w:r>
              <w:rPr>
                <w:rFonts w:ascii="Cambria" w:hAnsi="Cambria" w:cs="Cambria" w:eastAsia="Cambria"/>
                <w:b/>
                <w:bCs/>
                <w:color w:val="1A1A1A"/>
                <w:sz w:val="18"/>
              </w:rPr>
              <w:t xml:space="preserve">Disegno a cunei progressivi</w:t>
            </w:r>
          </w:p>
        </w:tc>
        <w:tc>
          <w:tcPr/>
          <w:p>
            <w:pPr>
              <w:pStyle w:val="Compact"/>
              <w:spacing w:after="40" w:before="40"/>
              <w:jc w:val="left"/>
            </w:pPr>
            <w:r>
              <w:rPr>
                <w:rFonts w:ascii="Cambria" w:hAnsi="Cambria" w:cs="Cambria" w:eastAsia="Cambria"/>
                <w:color w:val="1A1A1A"/>
                <w:sz w:val="18"/>
              </w:rPr>
              <w:t xml:space="preserve">Disegno controfattuale impiegato nella Sicilia, ove il servizio è in avvio, fondato sulla progressione differenziata della formazione degli elenchi tra le nove Aziende Sanitarie Provinciali, con una linea di base anteriore all’attivazione che la fase di avvio consente di rilevare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e verifica d’impatto della regolazione</w:t>
            </w:r>
          </w:p>
        </w:tc>
        <w:tc>
          <w:tcPr>
            <w:shd w:val="clear" w:color="auto" w:fill="F4F1EC"/>
          </w:tcPr>
          <w:p>
            <w:pPr>
              <w:pStyle w:val="Compact"/>
              <w:spacing w:after="40" w:before="40"/>
              <w:jc w:val="left"/>
            </w:pPr>
            <w:r>
              <w:rPr>
                <w:rFonts w:ascii="Cambria" w:hAnsi="Cambria" w:cs="Cambria" w:eastAsia="Cambria"/>
                <w:color w:val="1A1A1A"/>
                <w:sz w:val="18"/>
              </w:rPr>
              <w:t xml:space="preserve">Valutazione ex ante (AIR) ed ex post (VIR) degli effetti di una norma</w:t>
            </w:r>
          </w:p>
        </w:tc>
      </w:tr>
      <w:tr>
        <w:tc>
          <w:tcPr/>
          <w:p>
            <w:pPr>
              <w:pStyle w:val="Compact"/>
              <w:spacing w:after="40" w:before="40"/>
              <w:jc w:val="left"/>
            </w:pPr>
            <w:r>
              <w:rPr>
                <w:rFonts w:ascii="Cambria" w:hAnsi="Cambria" w:cs="Cambria" w:eastAsia="Cambria"/>
                <w:b/>
                <w:bCs/>
                <w:color w:val="1A1A1A"/>
                <w:sz w:val="18"/>
              </w:rPr>
              <w:t xml:space="preserve">Clausola valutativa</w:t>
            </w:r>
          </w:p>
        </w:tc>
        <w:tc>
          <w:tcPr/>
          <w:p>
            <w:pPr>
              <w:pStyle w:val="Compact"/>
              <w:spacing w:after="40" w:before="40"/>
              <w:jc w:val="left"/>
            </w:pPr>
            <w:r>
              <w:rPr>
                <w:rFonts w:ascii="Cambria" w:hAnsi="Cambria" w:cs="Cambria" w:eastAsia="Cambria"/>
                <w:color w:val="1A1A1A"/>
                <w:sz w:val="18"/>
              </w:rPr>
              <w:t xml:space="preserve">Strumento che impegna la Giunta a riferire all’Assemblea regionale sui risultati della riforma; nella Sicilia la relazione annuale è già prevista dalla legge regionale 18/2023, da rafforzare e rendere pienamente operativa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RE-AIM</w:t>
            </w:r>
          </w:p>
        </w:tc>
        <w:tc>
          <w:tcPr>
            <w:shd w:val="clear" w:color="auto" w:fill="F4F1EC"/>
          </w:tcPr>
          <w:p>
            <w:pPr>
              <w:pStyle w:val="Compact"/>
              <w:spacing w:after="40" w:before="40"/>
              <w:jc w:val="left"/>
            </w:pPr>
            <w:r>
              <w:rPr>
                <w:rFonts w:ascii="Cambria" w:hAnsi="Cambria" w:cs="Cambria" w:eastAsia="Cambria"/>
                <w:color w:val="1A1A1A"/>
                <w:sz w:val="18"/>
              </w:rPr>
              <w:t xml:space="preserve">Quadro che misura portata, efficacia, adozione, implementazione e mantenimento di un intervento</w:t>
            </w:r>
          </w:p>
        </w:tc>
      </w:tr>
      <w:tr>
        <w:tc>
          <w:tcPr/>
          <w:p>
            <w:pPr>
              <w:pStyle w:val="Compact"/>
              <w:spacing w:after="40" w:before="40"/>
              <w:jc w:val="left"/>
            </w:pPr>
            <w:r>
              <w:rPr>
                <w:rFonts w:ascii="Cambria" w:hAnsi="Cambria" w:cs="Cambria" w:eastAsia="Cambria"/>
                <w:b/>
                <w:bCs/>
                <w:color w:val="1A1A1A"/>
                <w:sz w:val="18"/>
              </w:rPr>
              <w:t xml:space="preserve">CFIR</w:t>
            </w:r>
          </w:p>
        </w:tc>
        <w:tc>
          <w:tcPr/>
          <w:p>
            <w:pPr>
              <w:pStyle w:val="Compact"/>
              <w:spacing w:after="40" w:before="40"/>
              <w:jc w:val="left"/>
            </w:pPr>
            <w:r>
              <w:rPr>
                <w:rFonts w:ascii="Cambria" w:hAnsi="Cambria" w:cs="Cambria" w:eastAsia="Cambria"/>
                <w:color w:val="1A1A1A"/>
                <w:sz w:val="18"/>
              </w:rPr>
              <w:t xml:space="preserve">Quadro che spiega i determinanti dell’implementazione, in cinque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Donabedian</w:t>
            </w:r>
          </w:p>
        </w:tc>
        <w:tc>
          <w:tcPr>
            <w:shd w:val="clear" w:color="auto" w:fill="F4F1EC"/>
          </w:tcPr>
          <w:p>
            <w:pPr>
              <w:pStyle w:val="Compact"/>
              <w:spacing w:after="40" w:before="40"/>
              <w:jc w:val="left"/>
            </w:pPr>
            <w:r>
              <w:rPr>
                <w:rFonts w:ascii="Cambria" w:hAnsi="Cambria" w:cs="Cambria" w:eastAsia="Cambria"/>
                <w:color w:val="1A1A1A"/>
                <w:sz w:val="18"/>
              </w:rPr>
              <w:t xml:space="preserve">Classifica gli indicatori di qualità in struttura, processo ed esito, qui integrati dall’impatto</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Questionario validato per i sintomi depressivi (punteggio 0–27)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Questionario validato per i sintomi d’ansia (punteggio 0–21)</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Quota di pazienti che scende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r>
        <w:tc>
          <w:tcPr/>
          <w:p>
            <w:pPr>
              <w:pStyle w:val="Compact"/>
              <w:spacing w:after="40" w:before="40"/>
              <w:jc w:val="left"/>
            </w:pPr>
            <w:r>
              <w:rPr>
                <w:rFonts w:ascii="Cambria" w:hAnsi="Cambria" w:cs="Cambria" w:eastAsia="Cambria"/>
                <w:b/>
                <w:bCs/>
                <w:color w:val="1A1A1A"/>
                <w:sz w:val="18"/>
              </w:rPr>
              <w:t xml:space="preserve">Cura collaborativa</w:t>
            </w:r>
          </w:p>
        </w:tc>
        <w:tc>
          <w:tcPr/>
          <w:p>
            <w:pPr>
              <w:pStyle w:val="Compact"/>
              <w:spacing w:after="40" w:before="40"/>
              <w:jc w:val="left"/>
            </w:pPr>
            <w:r>
              <w:rPr>
                <w:rFonts w:ascii="Cambria" w:hAnsi="Cambria" w:cs="Cambria" w:eastAsia="Cambria"/>
                <w:color w:val="1A1A1A"/>
                <w:sz w:val="18"/>
              </w:rPr>
              <w:t xml:space="preserve">Modello di integrazione della salute mentale nelle cure primarie con équipe e monitoraggio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Cura a intensità crescente</w:t>
            </w:r>
          </w:p>
        </w:tc>
        <w:tc>
          <w:tcPr>
            <w:shd w:val="clear" w:color="auto" w:fill="F4F1EC"/>
          </w:tcPr>
          <w:p>
            <w:pPr>
              <w:pStyle w:val="Compact"/>
              <w:spacing w:after="40" w:before="40"/>
              <w:jc w:val="left"/>
            </w:pPr>
            <w:r>
              <w:rPr>
                <w:rFonts w:ascii="Cambria" w:hAnsi="Cambria" w:cs="Cambria" w:eastAsia="Cambria"/>
                <w:color w:val="1A1A1A"/>
                <w:sz w:val="18"/>
              </w:rPr>
              <w:t xml:space="preserve">Percorso che gradua l’intensità dell’intervento alla gravità del quadro</w:t>
            </w:r>
          </w:p>
        </w:tc>
      </w:tr>
      <w:tr>
        <w:tc>
          <w:tcPr/>
          <w:p>
            <w:pPr>
              <w:pStyle w:val="Compact"/>
              <w:spacing w:after="40" w:before="40"/>
              <w:jc w:val="left"/>
            </w:pPr>
            <w:r>
              <w:rPr>
                <w:rFonts w:ascii="Cambria" w:hAnsi="Cambria" w:cs="Cambria" w:eastAsia="Cambria"/>
                <w:b/>
                <w:bCs/>
                <w:color w:val="1A1A1A"/>
                <w:sz w:val="18"/>
              </w:rPr>
              <w:t xml:space="preserve">Livelli essenziali di assistenza (LEA)</w:t>
            </w:r>
          </w:p>
        </w:tc>
        <w:tc>
          <w:tcPr/>
          <w:p>
            <w:pPr>
              <w:pStyle w:val="Compact"/>
              <w:spacing w:after="40" w:before="40"/>
              <w:jc w:val="left"/>
            </w:pPr>
            <w:r>
              <w:rPr>
                <w:rFonts w:ascii="Cambria" w:hAnsi="Cambria" w:cs="Cambria" w:eastAsia="Cambria"/>
                <w:color w:val="1A1A1A"/>
                <w:sz w:val="18"/>
              </w:rPr>
              <w:t xml:space="preserve">Prestazioni garantite uniformemente dal Servizio sanitario;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Spesa per prestazioni rese ai residenti da strutture di altre regioni; nella Sicilia il saldo è fra i più passivi d’Italia, ma poiché la fuga è ospedaliero-chirurgica il canale del recupero è modesto per questo intervento, limitato alla frazione territorialmente intercettabile</w:t>
            </w:r>
          </w:p>
        </w:tc>
      </w:tr>
      <w:tr>
        <w:tc>
          <w:tcPr/>
          <w:p>
            <w:pPr>
              <w:pStyle w:val="Compact"/>
              <w:spacing w:after="40" w:before="40"/>
              <w:jc w:val="left"/>
            </w:pPr>
            <w:r>
              <w:rPr>
                <w:rFonts w:ascii="Cambria" w:hAnsi="Cambria" w:cs="Cambria" w:eastAsia="Cambria"/>
                <w:b/>
                <w:bCs/>
                <w:color w:val="1A1A1A"/>
                <w:sz w:val="18"/>
              </w:rPr>
              <w:t xml:space="preserve">Sintomi somatici funzionali</w:t>
            </w:r>
          </w:p>
        </w:tc>
        <w:tc>
          <w:tcPr/>
          <w:p>
            <w:pPr>
              <w:pStyle w:val="Compact"/>
              <w:spacing w:after="40" w:before="40"/>
              <w:jc w:val="left"/>
            </w:pPr>
            <w:r>
              <w:rPr>
                <w:rFonts w:ascii="Cambria" w:hAnsi="Cambria" w:cs="Cambria" w:eastAsia="Cambria"/>
                <w:color w:val="1A1A1A"/>
                <w:sz w:val="18"/>
              </w:rPr>
              <w:t xml:space="preserve">Sintomi fisici senza causa organica, associati a elevato consumo di prestazioni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Indice di vecchiaia</w:t>
            </w:r>
          </w:p>
        </w:tc>
        <w:tc>
          <w:tcPr>
            <w:shd w:val="clear" w:color="auto" w:fill="F4F1EC"/>
          </w:tcPr>
          <w:p>
            <w:pPr>
              <w:pStyle w:val="Compact"/>
              <w:spacing w:after="40" w:before="40"/>
              <w:jc w:val="left"/>
            </w:pPr>
            <w:r>
              <w:rPr>
                <w:rFonts w:ascii="Cambria" w:hAnsi="Cambria" w:cs="Cambria" w:eastAsia="Cambria"/>
                <w:color w:val="1A1A1A"/>
                <w:sz w:val="18"/>
              </w:rPr>
              <w:t xml:space="preserve">Rapporto tra ultrasessantacinquenni e giovani sotto i quindici anni; nella Sicilia con età media intorno a 45,7 anni e province interne (Enna, Messina) più anziane dei poli urbani di Palermo e Catania</w:t>
            </w:r>
          </w:p>
        </w:tc>
      </w:tr>
      <w:tr>
        <w:tc>
          <w:tcPr/>
          <w:p>
            <w:pPr>
              <w:pStyle w:val="Compact"/>
              <w:spacing w:after="40" w:before="40"/>
              <w:jc w:val="left"/>
            </w:pPr>
            <w:r>
              <w:rPr>
                <w:rFonts w:ascii="Cambria" w:hAnsi="Cambria" w:cs="Cambria" w:eastAsia="Cambria"/>
                <w:b/>
                <w:bCs/>
                <w:color w:val="1A1A1A"/>
                <w:sz w:val="18"/>
              </w:rPr>
              <w:t xml:space="preserve">Peso morto</w:t>
            </w:r>
          </w:p>
        </w:tc>
        <w:tc>
          <w:tcPr/>
          <w:p>
            <w:pPr>
              <w:pStyle w:val="Compact"/>
              <w:spacing w:after="40" w:before="40"/>
              <w:jc w:val="left"/>
            </w:pPr>
            <w:r>
              <w:rPr>
                <w:rFonts w:ascii="Cambria" w:hAnsi="Cambria" w:cs="Cambria" w:eastAsia="Cambria"/>
                <w:color w:val="1A1A1A"/>
                <w:sz w:val="18"/>
              </w:rPr>
              <w:t xml:space="preserve">Quota dell’esito che si sarebbe verificata anche senza l’intervento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Ticket (compartecipazione)</w:t>
            </w:r>
          </w:p>
        </w:tc>
        <w:tc>
          <w:tcPr>
            <w:shd w:val="clear" w:color="auto" w:fill="F4F1EC"/>
          </w:tcPr>
          <w:p>
            <w:pPr>
              <w:pStyle w:val="Compact"/>
              <w:spacing w:after="40" w:before="40"/>
              <w:jc w:val="left"/>
            </w:pPr>
            <w:r>
              <w:rPr>
                <w:rFonts w:ascii="Cambria" w:hAnsi="Cambria" w:cs="Cambria" w:eastAsia="Cambria"/>
                <w:color w:val="1A1A1A"/>
                <w:sz w:val="18"/>
              </w:rPr>
              <w:t xml:space="preserve">Quota di costo a carico del paziente; nel modello siciliano è previsto un ticket, con esenzioni per le fasce protette, da calibrare perché non ostacoli l’accesso</w:t>
            </w:r>
          </w:p>
        </w:tc>
      </w:tr>
      <w:tr>
        <w:tc>
          <w:tcPr/>
          <w:p>
            <w:pPr>
              <w:pStyle w:val="Compact"/>
              <w:spacing w:after="40" w:before="40"/>
              <w:jc w:val="left"/>
            </w:pPr>
            <w:r>
              <w:rPr>
                <w:rFonts w:ascii="Cambria" w:hAnsi="Cambria" w:cs="Cambria" w:eastAsia="Cambria"/>
                <w:b/>
                <w:bCs/>
                <w:color w:val="1A1A1A"/>
                <w:sz w:val="18"/>
              </w:rPr>
              <w:t xml:space="preserve">Statuto speciale e piano di rientro</w:t>
            </w:r>
          </w:p>
        </w:tc>
        <w:tc>
          <w:tcPr/>
          <w:p>
            <w:pPr>
              <w:pStyle w:val="Compact"/>
              <w:spacing w:after="40" w:before="40"/>
              <w:jc w:val="left"/>
            </w:pPr>
            <w:r>
              <w:rPr>
                <w:rFonts w:ascii="Cambria" w:hAnsi="Cambria" w:cs="Cambria" w:eastAsia="Cambria"/>
                <w:color w:val="1A1A1A"/>
                <w:sz w:val="18"/>
              </w:rPr>
              <w:t xml:space="preserve">La Sicilia è regione a statuto speciale, con compartecipazione al 49,11% del fabbisogno sanitario, ed è ancora sottoposta a piano di rientro: un vincolo di bilancio più stretto sulla disponibilità di risorse stabili</w:t>
            </w:r>
          </w:p>
        </w:tc>
      </w:tr>
    </w:tbl>
    <w:p>
      <w:pPr>
        <w:pStyle w:val="BodyText"/>
      </w:pPr>
      <w:r>
        <w:rPr>
          <w:i/>
          <w:iCs/>
        </w:rPr>
        <w:t xml:space="preserve">Tabella E.1. Glossario dei principali termini tecnici impiegati nello studio.</w:t>
      </w:r>
    </w:p>
    <w:p>
      <w:pPr>
        <w:pStyle w:val="BodyText"/>
      </w:pPr>
      <w:r>
        <w:t xml:space="preserve">81</w:t>
      </w:r>
    </w:p>
    <w:p>
      <w:pPr>
        <w:pStyle w:val="BodyText"/>
      </w:pPr>
      <w:r>
        <w:t xml:space="preserve">81</w:t>
      </w:r>
    </w:p>
    <w:bookmarkEnd w:id="3719"/>
    <w:bookmarkStart w:id="3720" w:name="sardegna-studio-hta-integrale"/>
    <w:p>
      <w:pPr>
        <w:pStyle w:val="Heading2"/>
      </w:pPr>
      <w:r>
        <w:t xml:space="preserve">Sardegna — Studio HTA integrale</w:t>
      </w:r>
    </w:p>
    <w:p>
      <w:pPr>
        <w:pStyle w:val="FirstParagraph"/>
      </w:pPr>
      <w:r>
        <w:t xml:space="preserve">Studio Integrale Regionale · Regione Autonoma della Sardegna</w:t>
      </w:r>
    </w:p>
    <w:p>
      <w:pPr>
        <w:pStyle w:val="BodyText"/>
      </w:pPr>
      <w:r>
        <w:t xml:space="preserve">Progetto «Psicologo di Base» — Riforma «Psicologo di Base»: dal Dipartimento sperimentale alla strutturazione a regime. Applicazione del telaio integrato in undici parti (Modello HTA · Five Case Model · CHEERS 2022 · criteri OCSE-DAC).</w:t>
      </w:r>
    </w:p>
    <w:p>
      <w:pPr>
        <w:pStyle w:val="BodyText"/>
      </w:pPr>
      <w:r>
        <w:t xml:space="preserve">Indice</w:t>
      </w:r>
    </w:p>
    <w:bookmarkEnd w:id="3720"/>
    <w:bookmarkStart w:id="3739" w:name="parte-a-quadro-quesito-e-metodo-17"/>
    <w:p>
      <w:pPr>
        <w:pStyle w:val="Heading2"/>
      </w:pPr>
      <w:r>
        <w:t xml:space="preserve">Parte A — Quadro, quesito e metodo</w:t>
      </w:r>
    </w:p>
    <w:p>
      <w:pPr>
        <w:pStyle w:val="FirstParagraph"/>
      </w:pPr>
      <w:r>
        <w:t xml:space="preserve">Questa è la prima parte dello studio integrale per la Sardegna, che applica alla regione il telaio integrato sviluppato e validato per la Puglia e già esteso alla Lombardia, al Veneto, all’Emilia-Romagna, al Piemonte, alla Toscana, alla Liguria, al Lazio, alla Campania e alla Sicilia. L’architettura e il caso di riferimento sono i medesimi, e mutano soltanto i dati di ingresso, ancorati alla Sardegna.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Sardegna occupa nella serie una posizione propria: ha previsto il servizio in una legge di riforma sanitaria, con un modello dipartimentale istituito in via sperimentale, ma il Dipartimento è attivo soltanto nell’Azienda di Sassari, sicché la valutazione non riguarda l’opportunità di introdurlo, ma la sua piena attivazione e il passaggio a regime.</w:t>
      </w:r>
    </w:p>
    <w:bookmarkStart w:id="3726" w:name="X8b298234417d7c135ca1917955b4dd7059b3936"/>
    <w:p>
      <w:pPr>
        <w:pStyle w:val="Heading3"/>
      </w:pPr>
      <w:r>
        <w:t xml:space="preserve">A.1 Scopo, quesito di valutazione e standard adottati</w:t>
      </w:r>
    </w:p>
    <w:p>
      <w:pPr>
        <w:pStyle w:val="FirstParagraph"/>
      </w:pPr>
      <w:r>
        <w:t xml:space="preserve">Lo studio ha per oggetto il Dipartimento di Psicologia di Cure Primarie della Sardegna, inteso come piena attivazione e passaggio a regime di una funzione che la regione ha già previsto per legge, istituendolo in via sperimentale, e che è ad oggi attivo presso la sola Azienda di Sassari.</w:t>
      </w:r>
      <w:r>
        <w:rPr>
          <w:rStyle w:val="FootnoteReference"/>
        </w:rPr>
        <w:footnoteReference w:id="3600"/>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la Sardegna, non è istituire il servizio, già previsto per legge, ma attivarlo pienamente e condurlo a regime, estendendone il Dipartimento alle otto Aziende socio-sanitarie locali e dimensionandolo, dall’attuazione iniziale alla copertura sistematica del fabbisogno, disponendo la copertura finanziaria cui la legge subordina l’attivazione, entro i vincoli di una regione a statuto speciale che si autofinanzia la sanità e registra il più elevato disavanzo fra le regioni a statuto speciale.</w:t>
      </w:r>
      <w:r>
        <w:rPr>
          <w:rStyle w:val="FootnoteReference"/>
        </w:rPr>
        <w:footnoteReference w:id="3601"/>
      </w:r>
      <w:r>
        <w:t xml:space="preserve"> </w:t>
      </w:r>
      <w:r>
        <w:t xml:space="preserve">Lo studio fornisce gli elementi per quella decisione, non la sostituisce: ne misura le conseguenze attese in tre scenari di copertura, lasciando alla sede politica e di bilancio la scelta della scala. Va segnalato sin d’ora che l’attuazione iniziale, limitata alla sola Azienda di Sassari,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312.000 persone, si somma un’utenza specialistica in carico ai servizi, in un quadro segnato da componenti convergenti — il bisogno dell’età adulta e anziana e della cronicità, prevalente in una delle regioni più anziane d’Italia, il disagio connesso allo spopolamento delle aree interne, e il disagio giovanile e socio-economico nei due poli urbani di Sassari e Cagliari — cui si aggiungono i divari di accesso di una regione insulare a bassa densità, la pressione delle liste di attesa e la sotto-dotazione del sistema aggravata dal disavanzo strutturale.</w:t>
      </w:r>
      <w:r>
        <w:rPr>
          <w:rStyle w:val="FootnoteReference"/>
        </w:rPr>
        <w:footnoteReference w:id="3602"/>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sardi con bisogno psicologico comune, e in seconda istanza dall’intera popolazione per gli effetti di sistema. L’intervento è il Dipartimento di Psicologia di Cure Primarie, come primo livello di ascolto, intercettazione precoce e filtro, condotto dall’attuazione parziale alla piena operatività a regime. Il confronto è la condizione attuale, nella quale il Dipartimento è attivo nella sola Azienda di Sassari. Gli esiti sono clinici, economici, sociali e di sistema. I tempi distinguono l’orizzonte pluriennale degli esiti dall’orizzonte triennale-quinquennale del bilancio. Il contesto è il Servizio sanitario della Sardegna, con le sue otto Aziende socio-sanitarie locali, l’Azienda regionale della salute, le aziende ospedaliere e ospedaliero-universitarie, e la rete delle Case della Comunità in costruzione.</w:t>
      </w:r>
      <w:r>
        <w:rPr>
          <w:rStyle w:val="FootnoteReference"/>
        </w:rPr>
        <w:footnoteReference w:id="3603"/>
      </w:r>
      <w:r>
        <w:t xml:space="preserve"> </w:t>
      </w:r>
      <w:r>
        <w:t xml:space="preserve">La tabella seguente riepiloga gli elementi del quesito.</w:t>
      </w:r>
    </w:p>
    <w:tbl>
      <w:tblPr>
        <w:tblStyle w:val="Table"/>
        <w:tblW w:type="pct" w:w="496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54"/>
        <w:gridCol w:w="670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la Sardegna</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sardi con disagio psichico comune (~312.000);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Dipartimento di Psicologia di Cure Primarie (modello dipartimentale, S.C. nelle ASL), primo livello e filtro, condotto a regime (~170/250/340 psicologi); dall’attuazione parziale alla copertura sistematica</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Condizione attuale: Dipartimento istituito in via sperimentale e attivo nella sola Azienda di Sassari; non ancora attivato nelle altre sette Aziende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(produttività, benessere); di sistema (accessi impropri, liste di attesa)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Servizio sanitario regionale della Sardegna; otto Aziende socio-sanitarie locali, Azienda regionale della salute (ARES), aziende ospedaliere, rete delle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3604"/>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3726"/>
    <w:bookmarkStart w:id="3733" w:name="a.2-il-caso-di-riferimento-e-i-metodi-14"/>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Dipartimento nella sua attuazione sperimentale e parziale come comparatore.</w:t>
      </w:r>
      <w:r>
        <w:rPr>
          <w:rStyle w:val="FootnoteReference"/>
        </w:rPr>
        <w:footnoteReference w:id="3605"/>
      </w:r>
      <w:r>
        <w:t xml:space="preserve"> </w:t>
      </w:r>
      <w:r>
        <w:t xml:space="preserve">Le unità di analisi sono la regione e, in disaggregazione, le Aziende socio-sanitarie locali e i distretti, per dare conto anche dei divari territoriali interni, segnatamente fra i due poli urbani di Sassari e Cagliari e le aree interne e spopolate dell’Isola.</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22"/>
        <w:gridCol w:w="578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Condizione attuale: Dipartimento istituito in via sperimentale, attivo nella sola Azienda di Sassari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Regione, con disaggregazione per Azienda socio-sanitaria locale e distretto</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3606"/>
      </w:r>
      <w:r>
        <w:t xml:space="preserve"> </w:t>
      </w:r>
      <w:r>
        <w:t xml:space="preserve">Tale prudenza assume, per la Sardegna, un rilievo particolare. Regione a statuto speciale, essa si autofinanzia integralmente la sanità con risorse dei residenti — sicché i tetti nazionali di spesa non le si applicano, purché rispetti il pareggio di bilancio — ma registra il più elevato disavanzo sanitario fra le regioni a statuto speciale e una spesa farmaceutica nettamente superiore alla media nazionale. Sul versante della mobilità, presenta uno dei saldi passivi più elevati d’Italia, concentrato nei ricoveri ad alta complessità e nelle terapie oncologiche — una mobilità dettata da necessità — e non nella domanda psicologica, sicché il canale del recupero della mobilità è per questo intervento solo modestamente pertinente. Ne consegue un saldo diretto lievemente negativo ma prossimo al pareggio — meno sfavorevole di quanto il vincolo di bilancio lascerebbe temere, poiché il sistema sardo, a lungo sotto-finanziato, presenta un consumo improprio più ampio da recuperare, mentre il modello dipartimentale è integralmente gratuito — e il caso economico poggia in misura preponderante sulle ricadute sociali, stimate con criteri conservativi.</w:t>
      </w:r>
      <w:r>
        <w:rPr>
          <w:rStyle w:val="FootnoteReference"/>
        </w:rPr>
        <w:footnoteReference w:id="3607"/>
      </w:r>
      <w:r>
        <w:t xml:space="preserve"> </w:t>
      </w:r>
      <w:r>
        <w:t xml:space="preserve">Va inoltre dichiarato, già in questa sede, che le grandezze economiche impiegate sono allo stato in parte ricostruite a partire dai conti nazionali per quota di popolazione, e non estratte dai conti regionali certificati; poiché il Dipartimento è attivo solo parzialmente, la Sardegna dispone di una base di dati operativi propri limitata, e lo studio poggia per l’efficacia sui benchmark internazionali, mentre l’attivazione progressiva del Dipartimento nelle otto Aziende costituirà la fonte primaria da consolidare.</w:t>
      </w:r>
      <w:r>
        <w:rPr>
          <w:rStyle w:val="FootnoteReference"/>
        </w:rPr>
        <w:footnoteReference w:id="3608"/>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3609"/>
      </w:r>
      <w:r>
        <w:t xml:space="preserve"> </w:t>
      </w:r>
      <w:r>
        <w:t xml:space="preserve">Per la Sardegna il disegno controfattuale assume una forma propria: poiché il Dipartimento si estenderà in tempi differenziati dalle Aziende già dotate, a partire da Sassari, alle restanti, esso può fondarsi su un esperimento a cunei progressivi, con l’ordine e i tempi di attivazione del Dipartimento fra le otto Aziende impiegati a fini valutativi e l’effetto causale stimato dai metodi della differenza-nelle-differenze e del controllo sintetico.</w:t>
      </w:r>
      <w:r>
        <w:rPr>
          <w:rStyle w:val="FootnoteReference"/>
        </w:rPr>
        <w:footnoteReference w:id="3610"/>
      </w:r>
      <w:r>
        <w:t xml:space="preserve"> </w:t>
      </w:r>
      <w:r>
        <w:t xml:space="preserve">La tabella seguente colloca ciascuna metodologia nella sua sede.</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357"/>
        <w:gridCol w:w="30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generato oltre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 nel tempo</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Parte F</w:t>
            </w:r>
          </w:p>
        </w:tc>
        <w:tc>
          <w:tcPr/>
          <w:p>
            <w:pPr>
              <w:pStyle w:val="Compact"/>
              <w:spacing w:after="40" w:before="40"/>
              <w:jc w:val="left"/>
            </w:pPr>
            <w:r>
              <w:rPr>
                <w:rFonts w:ascii="Cambria" w:hAnsi="Cambria" w:cs="Cambria" w:eastAsia="Cambria"/>
                <w:color w:val="1A1A1A"/>
                <w:sz w:val="18"/>
              </w:rPr>
              <w:t xml:space="preserve">Governo dell’incertezza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w:t>
            </w:r>
          </w:p>
        </w:tc>
        <w:tc>
          <w:tcPr>
            <w:shd w:val="clear" w:color="auto" w:fill="F4F1EC"/>
          </w:tcPr>
          <w:p>
            <w:pPr>
              <w:pStyle w:val="Compact"/>
              <w:spacing w:after="40" w:before="40"/>
              <w:jc w:val="left"/>
            </w:pPr>
            <w:r>
              <w:rPr>
                <w:rFonts w:ascii="Cambria" w:hAnsi="Cambria" w:cs="Cambria" w:eastAsia="Cambria"/>
                <w:color w:val="1A1A1A"/>
                <w:sz w:val="18"/>
              </w:rPr>
              <w:t xml:space="preserve">Parte G</w:t>
            </w:r>
          </w:p>
        </w:tc>
        <w:tc>
          <w:tcPr>
            <w:shd w:val="clear" w:color="auto" w:fill="F4F1EC"/>
          </w:tcPr>
          <w:p>
            <w:pPr>
              <w:pStyle w:val="Compact"/>
              <w:spacing w:after="40" w:before="40"/>
              <w:jc w:val="left"/>
            </w:pPr>
            <w:r>
              <w:rPr>
                <w:rFonts w:ascii="Cambria" w:hAnsi="Cambria" w:cs="Cambria" w:eastAsia="Cambria"/>
                <w:color w:val="1A1A1A"/>
                <w:sz w:val="18"/>
              </w:rPr>
              <w:t xml:space="preserve">Misura dell’equità distributiva</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Parte L</w:t>
            </w:r>
          </w:p>
        </w:tc>
        <w:tc>
          <w:tcPr/>
          <w:p>
            <w:pPr>
              <w:pStyle w:val="Compact"/>
              <w:spacing w:after="40" w:before="40"/>
              <w:jc w:val="left"/>
            </w:pPr>
            <w:r>
              <w:rPr>
                <w:rFonts w:ascii="Cambria" w:hAnsi="Cambria" w:cs="Cambria" w:eastAsia="Cambria"/>
                <w:color w:val="1A1A1A"/>
                <w:sz w:val="18"/>
              </w:rPr>
              <w:t xml:space="preserve">Stima dell’effetto reale sul campo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sistema GRADE</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Fondazione e graduazione dell’evidenza</w:t>
            </w:r>
          </w:p>
        </w:tc>
      </w:tr>
      <w:tr>
        <w:tc>
          <w:tcPr/>
          <w:p>
            <w:pPr>
              <w:pStyle w:val="Compact"/>
              <w:spacing w:after="40" w:before="40"/>
              <w:jc w:val="left"/>
            </w:pPr>
            <w:r>
              <w:rPr>
                <w:rFonts w:ascii="Cambria" w:hAnsi="Cambria" w:cs="Cambria" w:eastAsia="Cambria"/>
                <w:b/>
                <w:bCs/>
                <w:color w:val="1A1A1A"/>
                <w:sz w:val="18"/>
              </w:rPr>
              <w:t xml:space="preserve">Analisi multi-criterio</w:t>
            </w:r>
          </w:p>
        </w:tc>
        <w:tc>
          <w:tcPr/>
          <w:p>
            <w:pPr>
              <w:pStyle w:val="Compact"/>
              <w:spacing w:after="40" w:before="40"/>
              <w:jc w:val="left"/>
            </w:pPr>
            <w:r>
              <w:rPr>
                <w:rFonts w:ascii="Cambria" w:hAnsi="Cambria" w:cs="Cambria" w:eastAsia="Cambria"/>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Composizione dei criteri non monetari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della regolamentazione</w:t>
            </w:r>
          </w:p>
        </w:tc>
        <w:tc>
          <w:tcPr>
            <w:shd w:val="clear" w:color="auto" w:fill="F4F1EC"/>
          </w:tcPr>
          <w:p>
            <w:pPr>
              <w:pStyle w:val="Compact"/>
              <w:spacing w:after="40" w:before="40"/>
              <w:jc w:val="left"/>
            </w:pPr>
            <w:r>
              <w:rPr>
                <w:rFonts w:ascii="Cambria" w:hAnsi="Cambria" w:cs="Cambria" w:eastAsia="Cambria"/>
                <w:color w:val="1A1A1A"/>
                <w:sz w:val="18"/>
              </w:rPr>
              <w:t xml:space="preserve">Parti H, L</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della norma ex ante ed ex post</w:t>
            </w:r>
          </w:p>
        </w:tc>
      </w:tr>
    </w:tbl>
    <w:p>
      <w:pPr>
        <w:pStyle w:val="BodyText"/>
      </w:pPr>
      <w:r>
        <w:rPr>
          <w:i/>
          <w:iCs/>
        </w:rPr>
        <w:t xml:space="preserve">Tabella A.3. Le dieci metodologie analitiche e la loro collocazione nello studio.</w:t>
      </w:r>
    </w:p>
    <w:bookmarkEnd w:id="3733"/>
    <w:bookmarkStart w:id="3738" w:name="Xe8786f81f40337b2d99054556ebd295bae393b4"/>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otto Aziende socio-sanitarie locali, l’Azienda regionale della salute, le aziende ospedaliere e ospedaliero-universitarie, l’Ordine delle Psicologhe e degli Psicologi della Sardegna, le rappresentanze della medicina generale e della pediatria di libera scelta e gli atenei di Cagliari e Sassari. A differenza della Sicilia, la Sardegna dispone di un’azienda regionale di coordinamento e supporto tecnico-amministrativo, l’ARES, costituita dalla legge di riforma, accanto al coordinamento dell’Assessorato regionale dell’igiene e sanità.</w:t>
      </w:r>
      <w:r>
        <w:rPr>
          <w:rStyle w:val="FootnoteReference"/>
        </w:rPr>
        <w:footnoteReference w:id="3611"/>
      </w:r>
      <w:r>
        <w:t xml:space="preserve"> </w:t>
      </w:r>
      <w:r>
        <w:t xml:space="preserve">Poiché il Dipartimento è attivo solo parzialmente e la rete delle Case della Comunità è in costruzione, la sfida del governo non è istituire il servizio, ma attivarlo pienamente e condurlo a regime, estendendo il Dipartimento alle otto Aziende e garantendo l’omogeneità attuativa in un sistema insulare a bassa densità: è il tratto che distingue la Sardegna,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w:t>
      </w:r>
      <w:r>
        <w:rPr>
          <w:rStyle w:val="FootnoteReference"/>
        </w:rPr>
        <w:footnoteReference w:id="3612"/>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3613"/>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3614"/>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della Sardegna.</w:t>
      </w:r>
    </w:p>
    <w:bookmarkEnd w:id="3738"/>
    <w:bookmarkEnd w:id="3739"/>
    <w:bookmarkStart w:id="3765" w:name="X738562f7ad7a056a8663777d46db2c1d85383d2"/>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Sardegna.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Sardegna: non un servizio da istituire, ma un servizio già previsto per legge con un modello dipartimentale e attivato nella sola Azienda di Sassari, da portare a piena attivazione e a regime in una regione insulare, a bassa densità, fra le più anziane d’Italia, a statuto speciale e con il più elevato disavanzo fra le regioni a statuto speciale.</w:t>
      </w:r>
    </w:p>
    <w:bookmarkStart w:id="3745" w:name="b.1-quadro-demografico-13"/>
    <w:p>
      <w:pPr>
        <w:pStyle w:val="Heading3"/>
      </w:pPr>
      <w:r>
        <w:t xml:space="preserve">B.1 Quadro demografico</w:t>
      </w:r>
    </w:p>
    <w:p>
      <w:pPr>
        <w:pStyle w:val="FirstParagraph"/>
      </w:pPr>
      <w:r>
        <w:t xml:space="preserve">La Sardegna conta 1.562.381 residenti, pari a circa il 2,7% della popolazione nazionale, in calo di 8.072 unità (-0,5%) per effetto di un saldo naturale fortemente negativo e di un saldo migratorio interno negativo, e con nessuna provincia in crescita.</w:t>
      </w:r>
      <w:r>
        <w:rPr>
          <w:rStyle w:val="FootnoteReference"/>
        </w:rPr>
        <w:footnoteReference w:id="3615"/>
      </w:r>
      <w:r>
        <w:t xml:space="preserve"> </w:t>
      </w:r>
      <w:r>
        <w:t xml:space="preserve">La struttura per età è fra le più anziane d’Italia, con un’età media salita a 49,2 anni: Sassari e Cagliari sono le province più giovani, Oristano e il Sud Sardegna le più anziane, e nei piccoli comuni interni l’età media supera i cinquantuno anni.</w:t>
      </w:r>
      <w:r>
        <w:rPr>
          <w:rStyle w:val="FootnoteReference"/>
        </w:rPr>
        <w:footnoteReference w:id="3616"/>
      </w:r>
      <w:r>
        <w:t xml:space="preserve"> </w:t>
      </w:r>
      <w:r>
        <w:t xml:space="preserve">La componente straniera, pari al 3,4%, è fra le più contenute del Paese.</w:t>
      </w:r>
      <w:r>
        <w:rPr>
          <w:rStyle w:val="FootnoteReference"/>
        </w:rPr>
        <w:footnoteReference w:id="3617"/>
      </w:r>
      <w:r>
        <w:t xml:space="preserve"> </w:t>
      </w:r>
      <w:r>
        <w:t xml:space="preserve">La distribuzione è concentrata sui due poli maggiori: le province di Sassari e Cagliari raccolgono insieme il 56,9% dei residenti — le sole oltre le quattrocentomila unità — seguite dal Sud Sardegna con il 21,1%.</w:t>
      </w:r>
      <w:r>
        <w:rPr>
          <w:rStyle w:val="FootnoteReference"/>
        </w:rPr>
        <w:footnoteReference w:id="3618"/>
      </w:r>
      <w:r>
        <w:rPr>
          <w:rStyle w:val="FootnoteReference"/>
        </w:rPr>
        <w:footnoteReference w:id="3619"/>
      </w:r>
      <w:r>
        <w:t xml:space="preserve"> </w:t>
      </w:r>
      <w:r>
        <w:t xml:space="preserve">La tabella seguente ne riepiloga il profilo.</w:t>
      </w:r>
    </w:p>
    <w:tbl>
      <w:tblPr>
        <w:tblStyle w:val="Table"/>
        <w:tblW w:type="pct" w:w="494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69"/>
        <w:gridCol w:w="636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Sardegna</w:t>
            </w:r>
          </w:p>
        </w:tc>
      </w:tr>
      <w:tr>
        <w:tc>
          <w:tcPr/>
          <w:p>
            <w:pPr>
              <w:pStyle w:val="Compact"/>
              <w:spacing w:after="40" w:before="40"/>
              <w:jc w:val="left"/>
            </w:pPr>
            <w:r>
              <w:rPr>
                <w:rFonts w:ascii="Cambria" w:hAnsi="Cambria" w:cs="Cambria" w:eastAsia="Cambria"/>
                <w:b/>
                <w:bCs/>
                <w:color w:val="1A1A1A"/>
                <w:sz w:val="18"/>
              </w:rPr>
              <w:t xml:space="preserve">Popolazione (Censimento 2024)</w:t>
            </w:r>
          </w:p>
        </w:tc>
        <w:tc>
          <w:tcPr/>
          <w:p>
            <w:pPr>
              <w:pStyle w:val="Compact"/>
              <w:spacing w:after="40" w:before="40"/>
              <w:jc w:val="left"/>
            </w:pPr>
            <w:r>
              <w:rPr>
                <w:rFonts w:ascii="Cambria" w:hAnsi="Cambria" w:cs="Cambria" w:eastAsia="Cambria"/>
                <w:color w:val="1A1A1A"/>
                <w:sz w:val="18"/>
              </w:rPr>
              <w:t xml:space="preserve">1.562.381 (~2,7% del totale nazionale); in calo (-8.072, -0,5%) per saldo naturale fortemente negativo e migratorio interno negativo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Età media e struttura</w:t>
            </w:r>
          </w:p>
        </w:tc>
        <w:tc>
          <w:tcPr>
            <w:shd w:val="clear" w:color="auto" w:fill="F4F1EC"/>
          </w:tcPr>
          <w:p>
            <w:pPr>
              <w:pStyle w:val="Compact"/>
              <w:spacing w:after="40" w:before="40"/>
              <w:jc w:val="left"/>
            </w:pPr>
            <w:r>
              <w:rPr>
                <w:rFonts w:ascii="Cambria" w:hAnsi="Cambria" w:cs="Cambria" w:eastAsia="Cambria"/>
                <w:color w:val="1A1A1A"/>
                <w:sz w:val="18"/>
              </w:rPr>
              <w:t xml:space="preserve">~ 49,2 anni, fra le più anziane d’Italia; Sassari e Cagliari più giovani (48,5/48,8), Oristano e Sud Sardegna più anziane (50,6/50,3)</w:t>
            </w:r>
          </w:p>
        </w:tc>
      </w:tr>
      <w:tr>
        <w:tc>
          <w:tcPr/>
          <w:p>
            <w:pPr>
              <w:pStyle w:val="Compact"/>
              <w:spacing w:after="40" w:before="40"/>
              <w:jc w:val="left"/>
            </w:pPr>
            <w:r>
              <w:rPr>
                <w:rFonts w:ascii="Cambria" w:hAnsi="Cambria" w:cs="Cambria" w:eastAsia="Cambria"/>
                <w:b/>
                <w:bCs/>
                <w:color w:val="1A1A1A"/>
                <w:sz w:val="18"/>
              </w:rPr>
              <w:t xml:space="preserve">Componente straniera</w:t>
            </w:r>
          </w:p>
        </w:tc>
        <w:tc>
          <w:tcPr/>
          <w:p>
            <w:pPr>
              <w:pStyle w:val="Compact"/>
              <w:spacing w:after="40" w:before="40"/>
              <w:jc w:val="left"/>
            </w:pPr>
            <w:r>
              <w:rPr>
                <w:rFonts w:ascii="Cambria" w:hAnsi="Cambria" w:cs="Cambria" w:eastAsia="Cambria"/>
                <w:color w:val="1A1A1A"/>
                <w:sz w:val="18"/>
              </w:rPr>
              <w:t xml:space="preserve">3,4% dei residenti (~54.000), fra le più contenute del Paese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Distribuzione territoriale</w:t>
            </w:r>
          </w:p>
        </w:tc>
        <w:tc>
          <w:tcPr>
            <w:shd w:val="clear" w:color="auto" w:fill="F4F1EC"/>
          </w:tcPr>
          <w:p>
            <w:pPr>
              <w:pStyle w:val="Compact"/>
              <w:spacing w:after="40" w:before="40"/>
              <w:jc w:val="left"/>
            </w:pPr>
            <w:r>
              <w:rPr>
                <w:rFonts w:ascii="Cambria" w:hAnsi="Cambria" w:cs="Cambria" w:eastAsia="Cambria"/>
                <w:color w:val="1A1A1A"/>
                <w:sz w:val="18"/>
              </w:rPr>
              <w:t xml:space="preserve">Sassari (471.957, 30,2%) e Cagliari (417.532, 26,7%) insieme 56,9%; Sud Sardegna 21,1%; solo 17,1% nei due comuni &gt;100.000</w:t>
            </w:r>
          </w:p>
        </w:tc>
      </w:tr>
      <w:tr>
        <w:tc>
          <w:tcPr/>
          <w:p>
            <w:pPr>
              <w:pStyle w:val="Compact"/>
              <w:spacing w:after="40" w:before="40"/>
              <w:jc w:val="left"/>
            </w:pPr>
            <w:r>
              <w:rPr>
                <w:rFonts w:ascii="Cambria" w:hAnsi="Cambria" w:cs="Cambria" w:eastAsia="Cambria"/>
                <w:b/>
                <w:bCs/>
                <w:color w:val="1A1A1A"/>
                <w:sz w:val="18"/>
              </w:rPr>
              <w:t xml:space="preserve">Profilo territoriale</w:t>
            </w:r>
          </w:p>
        </w:tc>
        <w:tc>
          <w:tcPr/>
          <w:p>
            <w:pPr>
              <w:pStyle w:val="Compact"/>
              <w:spacing w:after="40" w:before="40"/>
              <w:jc w:val="left"/>
            </w:pPr>
            <w:r>
              <w:rPr>
                <w:rFonts w:ascii="Cambria" w:hAnsi="Cambria" w:cs="Cambria" w:eastAsia="Cambria"/>
                <w:color w:val="1A1A1A"/>
                <w:sz w:val="18"/>
              </w:rPr>
              <w:t xml:space="preserve">Due poli urbani (Sassari, Cagliari) con disagio giovanile e socio-economico; vaste aree interne (Oristano, Nuoro, Sud Sardegna) anziane e in spopolamento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Articolazione sanitaria</w:t>
            </w:r>
          </w:p>
        </w:tc>
        <w:tc>
          <w:tcPr>
            <w:shd w:val="clear" w:color="auto" w:fill="F4F1EC"/>
          </w:tcPr>
          <w:p>
            <w:pPr>
              <w:pStyle w:val="Compact"/>
              <w:spacing w:after="40" w:before="40"/>
              <w:jc w:val="left"/>
            </w:pPr>
            <w:r>
              <w:rPr>
                <w:rFonts w:ascii="Cambria" w:hAnsi="Cambria" w:cs="Cambria" w:eastAsia="Cambria"/>
                <w:color w:val="1A1A1A"/>
                <w:sz w:val="18"/>
              </w:rPr>
              <w:t xml:space="preserve">Otto Aziende socio-sanitarie locali, Azienda regionale della salute (ARES), aziende ospedaliere e ospedaliero-universitarie</w:t>
            </w:r>
          </w:p>
        </w:tc>
      </w:tr>
    </w:tbl>
    <w:p>
      <w:pPr>
        <w:pStyle w:val="BodyText"/>
      </w:pPr>
      <w:r>
        <w:rPr>
          <w:i/>
          <w:iCs/>
        </w:rPr>
        <w:t xml:space="preserve">Tabella B.1. Profilo demografico e socio-economico della Sardegna.</w:t>
      </w:r>
    </w:p>
    <w:bookmarkEnd w:id="3745"/>
    <w:bookmarkStart w:id="3753" w:name="b.2-epidemiologia-del-bisogno-14"/>
    <w:p>
      <w:pPr>
        <w:pStyle w:val="Heading3"/>
      </w:pPr>
      <w:r>
        <w:t xml:space="preserve">B.2 Epidemiologia del bisogno</w:t>
      </w:r>
    </w:p>
    <w:p>
      <w:pPr>
        <w:pStyle w:val="FirstParagraph"/>
      </w:pPr>
      <w:r>
        <w:t xml:space="preserve">Il bisogno di salute mentale nella Sardegna è ampio e sospinto da una struttura demografica fra le più anziane d’Italia, distribuita su un territorio insulare a bassa densità. Proiettando i tassi di prevalenza nazionali, la quota di disagio psichico comune o sottosoglia si colloca nell’ordine di 312.000 persone, in larga parte non intercettate, tanto più in una fase in cui il Dipartimento è attivo nella sola Azienda di Sassari.</w:t>
      </w:r>
      <w:r>
        <w:rPr>
          <w:rStyle w:val="FootnoteReference"/>
        </w:rPr>
        <w:footnoteReference w:id="3620"/>
      </w:r>
      <w:r>
        <w:t xml:space="preserve"> </w:t>
      </w:r>
      <w:r>
        <w:t xml:space="preserve">A questa quota si somma un’ampia utenza specialistica in carico ai servizi, su un territorio che presenta una specificità propria: ha previsto il Dipartimento in una legge di riforma, istituendolo in via sperimentale, e lo ha attivato nella sola Azienda di Sassari.</w:t>
      </w:r>
      <w:r>
        <w:rPr>
          <w:rStyle w:val="FootnoteReference"/>
        </w:rPr>
        <w:footnoteReference w:id="3621"/>
      </w:r>
      <w:r>
        <w:t xml:space="preserve"> </w:t>
      </w:r>
      <w:r>
        <w:t xml:space="preserve">Tre componenti orientano la domanda. La prima e più caratterizzante è il bisogno dell’età adulta e anziana e della cronicità, accentuato nelle province interne e più anziane.</w:t>
      </w:r>
      <w:r>
        <w:rPr>
          <w:rStyle w:val="FootnoteReference"/>
        </w:rPr>
        <w:footnoteReference w:id="3622"/>
      </w:r>
      <w:r>
        <w:t xml:space="preserve"> </w:t>
      </w:r>
      <w:r>
        <w:t xml:space="preserve">La seconda è il disagio giovanile e socio-economico nei due poli urbani di Sassari e Cagliari.</w:t>
      </w:r>
      <w:r>
        <w:rPr>
          <w:rStyle w:val="FootnoteReference"/>
        </w:rPr>
        <w:footnoteReference w:id="3623"/>
      </w:r>
      <w:r>
        <w:t xml:space="preserve"> </w:t>
      </w:r>
      <w:r>
        <w:t xml:space="preserve">La terza è il disagio connesso allo spopolamento e all’isolamento delle aree interne.</w:t>
      </w:r>
      <w:r>
        <w:rPr>
          <w:rStyle w:val="FootnoteReference"/>
        </w:rPr>
        <w:footnoteReference w:id="3624"/>
      </w:r>
      <w:r>
        <w:t xml:space="preserve"> </w:t>
      </w:r>
      <w:r>
        <w:t xml:space="preserve">È la combinazione — regione insulare a bassa densità e molto anziana, attuazione ancora parziale e disavanzo strutturale — a distinguere il fabbisogno sardo.</w:t>
      </w:r>
      <w:r>
        <w:rPr>
          <w:rStyle w:val="FootnoteReference"/>
        </w:rPr>
        <w:footnoteReference w:id="3625"/>
      </w:r>
      <w:r>
        <w:t xml:space="preserve"> </w:t>
      </w:r>
      <w:r>
        <w:t xml:space="preserve">La pressione che ne deriva si riversa anche sul pronto soccorso, con accessi per cause psichiatriche significativi e resi più onerosi dalle distanze.</w:t>
      </w:r>
      <w:r>
        <w:rPr>
          <w:rStyle w:val="FootnoteReference"/>
        </w:rPr>
        <w:footnoteReference w:id="3626"/>
      </w:r>
    </w:p>
    <w:bookmarkEnd w:id="3753"/>
    <w:bookmarkStart w:id="3757" w:name="X69d1119d3fa9eb375085243121a625ae01b1bf1"/>
    <w:p>
      <w:pPr>
        <w:pStyle w:val="Heading3"/>
      </w:pPr>
      <w:r>
        <w:t xml:space="preserve">B.3 Domanda, offerta e gap di copertura</w:t>
      </w:r>
    </w:p>
    <w:p>
      <w:pPr>
        <w:pStyle w:val="FirstParagraph"/>
      </w:pPr>
      <w:r>
        <w:t xml:space="preserve">Alla domanda descritta si contrappone, nella Sardegna, un’offerta ancora parziale ma già fondata su una previsione di legge: il Dipartimento di Psicologia di Cure Primarie è previsto dalla legge regionale 24 del 2020 (articolo 37), che lo istituisce in via sperimentale, e disciplinato dalla deliberazione di Giunta 9/22 del 2022; il modello è dipartimentale e strutturale, con Strutture Complesse di Psicologia territoriale di base interne a ciascuna Azienda, psicologi a rapporto di dipendenza e senza ticket, ma l’attivazione è subordinata alla copertura finanziaria e finora limitata all’Azienda di Sassari.</w:t>
      </w:r>
      <w:r>
        <w:rPr>
          <w:rStyle w:val="FootnoteReference"/>
        </w:rPr>
        <w:footnoteReference w:id="3627"/>
      </w:r>
      <w:r>
        <w:t xml:space="preserve"> </w:t>
      </w:r>
      <w:r>
        <w:t xml:space="preserve">Il fabbisogno a regime è stimato nell’ordine di 340 psicologi nello scenario espansivo, e l’Ordine professionale regionale, che ne ha sollecitato l’inserimento nella legge, ne sostiene la piena attivazione.</w:t>
      </w:r>
      <w:r>
        <w:rPr>
          <w:rStyle w:val="FootnoteReference"/>
        </w:rPr>
        <w:footnoteReference w:id="3628"/>
      </w:r>
      <w:r>
        <w:t xml:space="preserve"> </w:t>
      </w:r>
      <w:r>
        <w:t xml:space="preserve">La copertura attuale corrisponde dunque alla sola Azienda di Sassari: non un servizio da istituire, ma un servizio da attivare pienamente, estendere alle otto Aziende e dimensionare.</w:t>
      </w:r>
      <w:r>
        <w:rPr>
          <w:rStyle w:val="FootnoteReference"/>
        </w:rPr>
        <w:footnoteReference w:id="3629"/>
      </w:r>
      <w:r>
        <w:t xml:space="preserve"> </w:t>
      </w:r>
      <w:r>
        <w:t xml:space="preserve">La tabella seguente sintetizza domanda, offerta e divario.</w:t>
      </w:r>
    </w:p>
    <w:tbl>
      <w:tblPr>
        <w:tblStyle w:val="Table"/>
        <w:tblW w:type="pct" w:w="495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72"/>
        <w:gridCol w:w="597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Sardegna</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312.000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in carico ai servizi di 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Ampia (alcune decine di migliaia, stima rapportata ai dati nazionali)</w:t>
            </w:r>
          </w:p>
        </w:tc>
      </w:tr>
      <w:tr>
        <w:tc>
          <w:tcPr/>
          <w:p>
            <w:pPr>
              <w:pStyle w:val="Compact"/>
              <w:spacing w:after="40" w:before="40"/>
              <w:jc w:val="left"/>
            </w:pPr>
            <w:r>
              <w:rPr>
                <w:rFonts w:ascii="Cambria" w:hAnsi="Cambria" w:cs="Cambria" w:eastAsia="Cambria"/>
                <w:b/>
                <w:bCs/>
                <w:color w:val="1A1A1A"/>
                <w:sz w:val="18"/>
              </w:rPr>
              <w:t xml:space="preserve">Offerta territoriale attuale</w:t>
            </w:r>
          </w:p>
        </w:tc>
        <w:tc>
          <w:tcPr/>
          <w:p>
            <w:pPr>
              <w:pStyle w:val="Compact"/>
              <w:spacing w:after="40" w:before="40"/>
              <w:jc w:val="left"/>
            </w:pPr>
            <w:r>
              <w:rPr>
                <w:rFonts w:ascii="Cambria" w:hAnsi="Cambria" w:cs="Cambria" w:eastAsia="Cambria"/>
                <w:color w:val="1A1A1A"/>
                <w:sz w:val="18"/>
              </w:rPr>
              <w:t xml:space="preserve">Dipartimento istituito in via sperimentale (LR 24/2020 art. 37, DGR 9/22); modello dipartimentale, dipendente, senza ticket; attivato nella sola Azienda di Sassari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Fabbisogno stimato a regime</w:t>
            </w:r>
          </w:p>
        </w:tc>
        <w:tc>
          <w:tcPr>
            <w:shd w:val="clear" w:color="auto" w:fill="F4F1EC"/>
          </w:tcPr>
          <w:p>
            <w:pPr>
              <w:pStyle w:val="Compact"/>
              <w:spacing w:after="40" w:before="40"/>
              <w:jc w:val="left"/>
            </w:pPr>
            <w:r>
              <w:rPr>
                <w:rFonts w:ascii="Cambria" w:hAnsi="Cambria" w:cs="Cambria" w:eastAsia="Cambria"/>
                <w:color w:val="1A1A1A"/>
                <w:sz w:val="18"/>
              </w:rPr>
              <w:t xml:space="preserve">~ 340 psicologi nello scenario espansivo (170–250 negli altri scenari)</w:t>
            </w:r>
          </w:p>
        </w:tc>
      </w:tr>
      <w:tr>
        <w:tc>
          <w:tcPr/>
          <w:p>
            <w:pPr>
              <w:pStyle w:val="Compact"/>
              <w:spacing w:after="40" w:before="40"/>
              <w:jc w:val="left"/>
            </w:pPr>
            <w:r>
              <w:rPr>
                <w:rFonts w:ascii="Cambria" w:hAnsi="Cambria" w:cs="Cambria" w:eastAsia="Cambria"/>
                <w:b/>
                <w:bCs/>
                <w:color w:val="1A1A1A"/>
                <w:sz w:val="18"/>
              </w:rPr>
              <w:t xml:space="preserve">Copertura attuale del fabbisogno</w:t>
            </w:r>
          </w:p>
        </w:tc>
        <w:tc>
          <w:tcPr/>
          <w:p>
            <w:pPr>
              <w:pStyle w:val="Compact"/>
              <w:spacing w:after="40" w:before="40"/>
              <w:jc w:val="left"/>
            </w:pPr>
            <w:r>
              <w:rPr>
                <w:rFonts w:ascii="Cambria" w:hAnsi="Cambria" w:cs="Cambria" w:eastAsia="Cambria"/>
                <w:color w:val="1A1A1A"/>
                <w:sz w:val="18"/>
              </w:rPr>
              <w:t xml:space="preserve">Dipartimento attivo nella sola Azienda di Sassari (sette Aziende non ancora attivate)</w:t>
            </w:r>
          </w:p>
        </w:tc>
      </w:tr>
    </w:tbl>
    <w:p>
      <w:pPr>
        <w:pStyle w:val="BodyText"/>
      </w:pPr>
      <w:r>
        <w:rPr>
          <w:i/>
          <w:iCs/>
        </w:rPr>
        <w:t xml:space="preserve">Tabella B.2. Domanda, offerta e gap di copertura.</w:t>
      </w:r>
    </w:p>
    <w:bookmarkEnd w:id="3757"/>
    <w:bookmarkStart w:id="3759" w:name="Xfae6dfe2138c16c31195e7204479219e24741fd"/>
    <w:p>
      <w:pPr>
        <w:pStyle w:val="Heading3"/>
      </w:pPr>
      <w:r>
        <w:t xml:space="preserve">B.4 Disuguaglianze e divari territoriali</w:t>
      </w:r>
    </w:p>
    <w:p>
      <w:pPr>
        <w:pStyle w:val="FirstParagraph"/>
      </w:pPr>
      <w:r>
        <w:t xml:space="preserve">La dimensione distributiva del bisogno, nella Sardegna, si gioca su due assi. Il primo, più caratterizzante, separa i due poli urbani di Sassari e Cagliari dalle vaste aree interne di Oristano, Nuoro e del Sud Sardegna, più anziane, in forte spopolamento e penalizzate dalle distanze e dalla condizione insulare. Il secondo è interno ai poli urbani, fra i quartieri meglio serviti e le periferie con sacche di deprivazione.</w:t>
      </w:r>
      <w:r>
        <w:rPr>
          <w:rStyle w:val="FootnoteReference"/>
        </w:rPr>
        <w:footnoteReference w:id="3630"/>
      </w:r>
      <w:r>
        <w:t xml:space="preserve"> </w:t>
      </w:r>
      <w:r>
        <w:t xml:space="preserve">Su questi divari il Dipartimento agisce in funzione di equità: avvicina l’offerta alle aree interne mediante la telepsicologia assistita — dove la sola presenza di un primo livello accessibile è già un atto di riequilibrio — e, assorbendo a monte la domanda appropriata, libera capacità specialistica e contribuisce a contenere i tempi di attesa, in un sistema sotto-dotato; il modello dipartimentale, integralmente gratuito, non oppone all’accesso delle fasce più fragili la barriera di un ticket, a differenza del modello convenzionale adottato dalla Sicilia.</w:t>
      </w:r>
    </w:p>
    <w:bookmarkEnd w:id="3759"/>
    <w:bookmarkStart w:id="3762" w:name="b.5-i-servizi-e-i-flussi-14"/>
    <w:p>
      <w:pPr>
        <w:pStyle w:val="Heading3"/>
      </w:pPr>
      <w:r>
        <w:t xml:space="preserve">B.5 I servizi e i flussi</w:t>
      </w:r>
    </w:p>
    <w:p>
      <w:pPr>
        <w:pStyle w:val="FirstParagraph"/>
      </w:pPr>
      <w:r>
        <w:t xml:space="preserve">Il Servizio sanitario della Sardegna dispone di risorse complessive dell’ordine di 3,5 miliardi di euro; in quanto regione a statuto speciale, la Sardegna si autofinanzia integralmente la sanità con risorse dei residenti, sicché i tetti nazionali di spesa non le si applicano, purché rispetti il pareggio; registra tuttavia il più elevato disavanzo sanitario fra le regioni a statuto speciale e una spesa farmaceutica nettamente superiore alla media nazionale.</w:t>
      </w:r>
      <w:r>
        <w:rPr>
          <w:rStyle w:val="FootnoteReference"/>
        </w:rPr>
        <w:footnoteReference w:id="3631"/>
      </w:r>
      <w:r>
        <w:t xml:space="preserve"> </w:t>
      </w:r>
      <w:r>
        <w:t xml:space="preserve">Il profilo di mobilità è passivo, dell’ordine di cento milioni di euro l’anno; poiché però la fuga riguarda i ricoveri ad alta complessità e le terapie oncologiche — una mobilità dettata da necessità — il canale del recupero è per questo intervento solo modestamente pertinente.</w:t>
      </w:r>
      <w:r>
        <w:rPr>
          <w:rStyle w:val="FootnoteReference"/>
        </w:rPr>
        <w:footnoteReference w:id="3632"/>
      </w:r>
      <w:r>
        <w:t xml:space="preserve"> </w:t>
      </w:r>
      <w:r>
        <w:t xml:space="preserve">L’architettura dei servizi poggia su otto Aziende socio-sanitarie locali, sull’Azienda regionale della salute con funzioni di coordinamento, su aziende ospedaliere e ospedaliero-universitarie, e su una rete territoriale di Case della Comunità in costruzione, su cui il Dipartimento andrà pienamente innestato. La tabella seguente riepiloga le grandezze di sistema rilevanti.</w:t>
      </w:r>
    </w:p>
    <w:tbl>
      <w:tblPr>
        <w:tblStyle w:val="Table"/>
        <w:tblW w:type="pct" w:w="495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17"/>
        <w:gridCol w:w="603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Sardegna</w:t>
            </w:r>
          </w:p>
        </w:tc>
      </w:tr>
      <w:tr>
        <w:tc>
          <w:tcPr/>
          <w:p>
            <w:pPr>
              <w:pStyle w:val="Compact"/>
              <w:spacing w:after="40" w:before="40"/>
              <w:jc w:val="left"/>
            </w:pPr>
            <w:r>
              <w:rPr>
                <w:rFonts w:ascii="Cambria" w:hAnsi="Cambria" w:cs="Cambria" w:eastAsia="Cambria"/>
                <w:b/>
                <w:bCs/>
                <w:color w:val="1A1A1A"/>
                <w:sz w:val="18"/>
              </w:rPr>
              <w:t xml:space="preserve">Finanziamento del Servizio sanitario regionale</w:t>
            </w:r>
          </w:p>
        </w:tc>
        <w:tc>
          <w:tcPr/>
          <w:p>
            <w:pPr>
              <w:pStyle w:val="Compact"/>
              <w:spacing w:after="40" w:before="40"/>
              <w:jc w:val="left"/>
            </w:pPr>
            <w:r>
              <w:rPr>
                <w:rFonts w:ascii="Cambria" w:hAnsi="Cambria" w:cs="Cambria" w:eastAsia="Cambria"/>
                <w:color w:val="1A1A1A"/>
                <w:sz w:val="18"/>
              </w:rPr>
              <w:t xml:space="preserve">~ 3,5 miliardi di euro; statuto speciale autofinanziante (tetti non applicabili); più elevato disavanzo fra le regioni a statuto speciale; spesa farmaceutica sopra la media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Saldo passivo ~100 milioni l’anno (~10% della spesa per ricoveri); fuga oncologica e ad alta complessità (necessità); canale modesto per questo intervento</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Accessi per cause psichiatriche significativi (alcune decine di migliaia l’anno, stima rapportata ai dati nazionali)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Architettura dei servizi</w:t>
            </w:r>
          </w:p>
        </w:tc>
        <w:tc>
          <w:tcPr>
            <w:shd w:val="clear" w:color="auto" w:fill="F4F1EC"/>
          </w:tcPr>
          <w:p>
            <w:pPr>
              <w:pStyle w:val="Compact"/>
              <w:spacing w:after="40" w:before="40"/>
              <w:jc w:val="left"/>
            </w:pPr>
            <w:r>
              <w:rPr>
                <w:rFonts w:ascii="Cambria" w:hAnsi="Cambria" w:cs="Cambria" w:eastAsia="Cambria"/>
                <w:color w:val="1A1A1A"/>
                <w:sz w:val="18"/>
              </w:rPr>
              <w:t xml:space="preserve">Otto Aziende socio-sanitarie locali, Azienda regionale della salute (ARES) di coordinamento, aziende ospedaliere; rete delle Case della Comunità in costruzione</w:t>
            </w:r>
          </w:p>
        </w:tc>
      </w:tr>
      <w:tr>
        <w:tc>
          <w:tcPr/>
          <w:p>
            <w:pPr>
              <w:pStyle w:val="Compact"/>
              <w:spacing w:after="40" w:before="40"/>
              <w:jc w:val="left"/>
            </w:pPr>
            <w:r>
              <w:rPr>
                <w:rFonts w:ascii="Cambria" w:hAnsi="Cambria" w:cs="Cambria" w:eastAsia="Cambria"/>
                <w:b/>
                <w:bCs/>
                <w:color w:val="1A1A1A"/>
                <w:sz w:val="18"/>
              </w:rPr>
              <w:t xml:space="preserve">Margine di azione principale</w:t>
            </w:r>
          </w:p>
        </w:tc>
        <w:tc>
          <w:tcPr/>
          <w:p>
            <w:pPr>
              <w:pStyle w:val="Compact"/>
              <w:spacing w:after="40" w:before="40"/>
              <w:jc w:val="left"/>
            </w:pPr>
            <w:r>
              <w:rPr>
                <w:rFonts w:ascii="Cambria" w:hAnsi="Cambria" w:cs="Cambria" w:eastAsia="Cambria"/>
                <w:color w:val="1A1A1A"/>
                <w:sz w:val="18"/>
              </w:rPr>
              <w:t xml:space="preserve">Piena attivazione ed estensione alle otto Aziende, liste di attesa, accesso delle aree interne e spopolate, bisogno anziano e cronicità, intercettazione precoce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3762"/>
    <w:bookmarkStart w:id="3764" w:name="X91476bcc875237e2209cbd2a1a04a32b3cb2ffc"/>
    <w:p>
      <w:pPr>
        <w:pStyle w:val="Heading3"/>
      </w:pPr>
      <w:r>
        <w:t xml:space="preserve">B.6 La cornice normativa e programmatica</w:t>
      </w:r>
    </w:p>
    <w:p>
      <w:pPr>
        <w:pStyle w:val="FirstParagraph"/>
      </w:pPr>
      <w:r>
        <w:t xml:space="preserve">La decisione si colloca entro una cornice già acquisita sul piano normativo: la Sardegna ha previsto il Dipartimento con la legge regionale 24 del 2020 di riforma del sistema sanitario (articolo 37), istituendolo in via sperimentale, e ne ha definito l’assetto con la deliberazione di Giunta 9/22 del 2022.</w:t>
      </w:r>
      <w:r>
        <w:rPr>
          <w:rStyle w:val="FootnoteReference"/>
        </w:rPr>
        <w:footnoteReference w:id="3633"/>
      </w:r>
      <w:r>
        <w:t xml:space="preserve"> </w:t>
      </w:r>
      <w:r>
        <w:t xml:space="preserve">La cornice include il Decreto Ministeriale 77/2022 sugli standard dell’assistenza territoriale e, sul piano nazionale, il testo unificato in discussione alla Camera; sul piano regionale opera entro i vincoli dello statuto speciale e di un disavanzo strutturale. La decisione rilevante, in questo contesto, non è istituire una funzione, già prevista, ma attivarla pienamente, disporre la copertura finanziaria cui la legge la subordina, estenderla alle otto Aziende e dimensionarla: è il tema che le parti successive sviluppano, a partire dalla definizione dell’intervento e del suo modello, oggetto della Parte C.</w:t>
      </w:r>
    </w:p>
    <w:bookmarkEnd w:id="3764"/>
    <w:bookmarkEnd w:id="3765"/>
    <w:bookmarkStart w:id="3790" w:name="parte-c-lintervento-e-il-suo-modello-11"/>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Sardegna emerge con nettezza: l’intervento non è da istituire, ma da attivare pienamente a partire da un Dipartimento previsto per legge con un modello dipartimentale e attivato nella sola Azienda di Sassari, di cui la regione deve estendere alle otto Aziende, avvalendosi del coordinamento dell’ARES, il modello, il sistema informativo e il monitoraggio.</w:t>
      </w:r>
    </w:p>
    <w:bookmarkStart w:id="3769" w:name="X29d1720d59f058ca97fa81adf141b828d1ed164"/>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nella Sardegna tale funzione è prevista dalla legge regionale 24 del 2020 (articolo 37).</w:t>
      </w:r>
      <w:r>
        <w:rPr>
          <w:rStyle w:val="FootnoteReference"/>
        </w:rPr>
        <w:footnoteReference w:id="3634"/>
      </w:r>
      <w:r>
        <w:t xml:space="preserve"> </w:t>
      </w:r>
      <w:r>
        <w:t xml:space="preserve">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w:t>
      </w:r>
      <w:r>
        <w:rPr>
          <w:rStyle w:val="FootnoteReference"/>
        </w:rPr>
        <w:footnoteReference w:id="3635"/>
      </w:r>
      <w:r>
        <w:t xml:space="preserve"> </w:t>
      </w:r>
      <w:r>
        <w:t xml:space="preserve">Il bisogno potenziale cui la catena si rivolge è dell’ordine di 312.000 persone con disagio comune.</w:t>
      </w:r>
      <w:r>
        <w:rPr>
          <w:rStyle w:val="FootnoteReference"/>
        </w:rPr>
        <w:footnoteReference w:id="3636"/>
      </w:r>
      <w:r>
        <w:t xml:space="preserve"> </w:t>
      </w:r>
      <w:r>
        <w:t xml:space="preserve">La tabella seguente ne espone gli anelli.</w:t>
      </w:r>
    </w:p>
    <w:tbl>
      <w:tblPr>
        <w:tblStyle w:val="Table"/>
        <w:tblW w:type="pct" w:w="492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12"/>
        <w:gridCol w:w="569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Sardegna</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312.000 persone con disagio comune, in larga parte non intercettato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Dipartimento di Psicologia di Cure Primarie: intercettazione precoce, intervento breve, filtro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liste di attesa ridotte</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di funzionamento, e minor carico familiare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3769"/>
    <w:bookmarkStart w:id="3772" w:name="c.2-il-modello-organizzativo-17"/>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Centri di Salute Mentale, secondo l’impianto della legge regionale 24 del 2020 (articolo 37) e della deliberazione di Giunta 9/22 del 2022, che configurano un modello dipartimentale e strutturale: Strutture Complesse di Psicologia territoriale di base interne a ciascuna Azienda, con psicologi a rapporto di dipendenza e senza ticket a carico del paziente. La Sardegna presenta qui una specificità: il Dipartimento è stato attivato nella sola Azienda di Sassari. A differenza della Sicilia, la regione dispone di un’azienda regionale di coordinamento, l’ARES, sicché estendere il Dipartimento alle otto Aziende in modo omogeneo — in un territorio insulare a bassa densità — è la sfida organizzativa principale, agevolata dal coordinamento dell’ARES.</w:t>
      </w:r>
      <w:r>
        <w:rPr>
          <w:rStyle w:val="FootnoteReference"/>
        </w:rPr>
        <w:footnoteReference w:id="3637"/>
      </w:r>
      <w:r>
        <w:t xml:space="preserve"> </w:t>
      </w:r>
      <w:r>
        <w:t xml:space="preserve">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r>
        <w:rPr>
          <w:rStyle w:val="FootnoteReference"/>
        </w:rPr>
        <w:footnoteReference w:id="3638"/>
      </w:r>
    </w:p>
    <w:bookmarkEnd w:id="3772"/>
    <w:bookmarkStart w:id="3777" w:name="X1e8875364a7c2a98b5b3ce26237e373149262b1"/>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in via di estensione dalle Aziende già dotate del Dipartimento, a partire da Sassari, alle restanti, e affronta i quadri più frequenti, dalla sintomatologia ansioso-depressiva ai problemi di adattamento e psicosomatici.</w:t>
      </w:r>
      <w:r>
        <w:rPr>
          <w:rStyle w:val="FootnoteReference"/>
        </w:rPr>
        <w:footnoteReference w:id="3639"/>
      </w:r>
      <w:r>
        <w:t xml:space="preserve"> </w:t>
      </w:r>
      <w:r>
        <w:t xml:space="preserve">Gli esiti sono misurati con strumenti validati e di uso internazionale, impiegati nei soli punteggi complessivi: il questionario a nove voci sui sintomi depressivi e la scala a sette voci per il disturbo d’ansia generalizzata.</w:t>
      </w:r>
      <w:r>
        <w:rPr>
          <w:rStyle w:val="FootnoteReference"/>
        </w:rPr>
        <w:footnoteReference w:id="3640"/>
      </w:r>
      <w:r>
        <w:t xml:space="preserve"> </w:t>
      </w:r>
      <w:r>
        <w:t xml:space="preserve">Particolare cura è dedicata alla sicurezza: le situazioni di rischio sono individuate precocemente e indirizzate senza indugio ai servizi specialistici e di emergenza secondo protocolli definiti, senza che lo studio entri nel merito dei metodi clinici.</w:t>
      </w:r>
      <w:r>
        <w:rPr>
          <w:rStyle w:val="FootnoteReference"/>
        </w:rPr>
        <w:footnoteReference w:id="3641"/>
      </w:r>
      <w:r>
        <w:t xml:space="preserve"> </w:t>
      </w:r>
      <w:r>
        <w:t xml:space="preserve">Gli esiti del percorso si articolano in quattro categorie, riepilogate nella tabella seguente.</w:t>
      </w:r>
      <w:r>
        <w:rPr>
          <w:rStyle w:val="FootnoteReference"/>
        </w:rPr>
        <w:footnoteReference w:id="3642"/>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43"/>
        <w:gridCol w:w="56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3777"/>
    <w:bookmarkStart w:id="3780" w:name="Xad0a0a21faeb6356314822ede61d89289e28de0"/>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Il coordinamento informativo è agevolato dalla presenza dell’Azienda regionale della salute (ARES), che assicura funzioni tecnico-amministrative centralizzate, e deve garantire fra le otto Aziende l’uniformità della rilevazione man mano che il Dipartimento vi viene attivato.</w:t>
      </w:r>
      <w:r>
        <w:rPr>
          <w:rStyle w:val="FootnoteReference"/>
        </w:rPr>
        <w:footnoteReference w:id="3643"/>
      </w:r>
      <w:r>
        <w:t xml:space="preserve"> </w:t>
      </w:r>
      <w:r>
        <w:t xml:space="preserve">La raccolta sistematica e completa dei dati di processo e di esito non è un adempimento accessorio, ma il presupposto della clausola valutativa e del disegno controfattuale; poiché il Dipartimento è attivo solo parzialmente, la Sardegna ha l’opportunità di impostare il flusso fin dall’inizio in forma uniforme fra le otto Aziende, avvalendosi del coordinamento dell’ARES e progettando correttamente la rilevazione prima della piena operatività anziché doverla ricostruire ex post.</w:t>
      </w:r>
      <w:r>
        <w:rPr>
          <w:rStyle w:val="FootnoteReference"/>
        </w:rPr>
        <w:footnoteReference w:id="3644"/>
      </w:r>
    </w:p>
    <w:bookmarkEnd w:id="3780"/>
    <w:bookmarkStart w:id="3786" w:name="Xf844ff47c36a3f6cec614288a23cdf099375c17"/>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w:t>
      </w:r>
      <w:r>
        <w:rPr>
          <w:rStyle w:val="FootnoteReference"/>
        </w:rPr>
        <w:footnoteReference w:id="3645"/>
      </w:r>
      <w:r>
        <w:t xml:space="preserve"> </w:t>
      </w:r>
      <w:r>
        <w:t xml:space="preserve">Gli strumenti di supporto decisionale e di sintesi clinica forniscono un ausilio non vincolante, di cui il professionista resta pienamente responsabile.</w:t>
      </w:r>
      <w:r>
        <w:rPr>
          <w:rStyle w:val="FootnoteReference"/>
        </w:rPr>
        <w:footnoteReference w:id="3646"/>
      </w:r>
      <w:r>
        <w:t xml:space="preserve"> </w:t>
      </w:r>
      <w:r>
        <w:t xml:space="preserve">L’automazione appropriata delle attività documentali restituisce tempo alla relazione clinica.</w:t>
      </w:r>
      <w:r>
        <w:rPr>
          <w:rStyle w:val="FootnoteReference"/>
        </w:rPr>
        <w:footnoteReference w:id="3647"/>
      </w:r>
      <w:r>
        <w:t xml:space="preserve"> </w:t>
      </w:r>
      <w:r>
        <w:t xml:space="preserve">La telepsicologia e il telemonitoraggio assistiti sono, nella Sardegna, lo strumento per garantire l’accesso nelle vaste aree interne e spopolate di Oristano, Nuoro e del Sud Sardegna e nelle periferie dei poli urbani di Sassari e Cagliari, in funzione complementare e non sostitutiva della presa in carico in presenza.</w:t>
      </w:r>
      <w:r>
        <w:rPr>
          <w:rStyle w:val="FootnoteReference"/>
        </w:rPr>
        <w:footnoteReference w:id="3648"/>
      </w:r>
      <w:r>
        <w:t xml:space="preserve"> </w:t>
      </w:r>
      <w:r>
        <w:t xml:space="preserve">I dispositivi terapeutici digitali, infine, sono interventi validati e prescritti, conformi alla disciplina sui dispositivi medici.</w:t>
      </w:r>
      <w:r>
        <w:rPr>
          <w:rStyle w:val="FootnoteReference"/>
        </w:rPr>
        <w:footnoteReference w:id="3649"/>
      </w:r>
      <w:r>
        <w:t xml:space="preserve"> </w:t>
      </w:r>
      <w:r>
        <w:t xml:space="preserve">La tabella seguente ne riepiloga funzioni e condizioni d’impiego.</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60"/>
        <w:gridCol w:w="4080"/>
        <w:gridCol w:w="15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 e telemonitoraggio</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aree interne spopolate e nelle periferie dei poli urbani; continuità</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bookmarkEnd w:id="3786"/>
    <w:bookmarkStart w:id="3789" w:name="c.6-la-formazione-e-le-competenze-14"/>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sardi di Cagliari e Sassari; il livello post-universitario specialistico attraverso una formazione dedicata alla psicologia delle cure primarie, comprensiva della competenza per l’età anziana e la cronicità, prioritaria in una delle regioni più anziane d’Italia, e per il disagio giovanile nei poli urbani; il livello continuo attraverso l’aggiornamento in servizio, l’audit clinico e l’educazione continua in medicina; il livello dell’affiancamento operativo attraverso il tutoraggio sul campo e l’inserimento graduale con supervisione.</w:t>
      </w:r>
      <w:r>
        <w:rPr>
          <w:rStyle w:val="FootnoteReference"/>
        </w:rPr>
        <w:footnoteReference w:id="3650"/>
      </w:r>
      <w:r>
        <w:t xml:space="preserve"> </w:t>
      </w:r>
      <w:r>
        <w:t xml:space="preserve">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w:t>
      </w:r>
      <w:r>
        <w:rPr>
          <w:rStyle w:val="FootnoteReference"/>
        </w:rPr>
        <w:footnoteReference w:id="3651"/>
      </w:r>
      <w:r>
        <w:t xml:space="preserve"> </w:t>
      </w:r>
      <w:r>
        <w:t xml:space="preserve">La Sardegna presenta qui un elemento di metodo: l’Ordine professionale regionale ha già promosso una formazione dedicata alla psicologia delle cure primarie, base su cui innestare il percorso formativo del Dipartimento in via di attivazione. Definiti l’intervento e il suo modello, la parte che segue ne esamina l’efficacia e l’evidenza.</w:t>
      </w:r>
    </w:p>
    <w:tbl>
      <w:tblPr>
        <w:tblStyle w:val="Table"/>
        <w:tblW w:type="pct" w:w="495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21"/>
        <w:gridCol w:w="4941"/>
        <w:gridCol w:w="148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Soggetti e modalità</w:t>
            </w: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w:t>
            </w:r>
          </w:p>
        </w:tc>
        <w:tc>
          <w:tcPr/>
          <w:p>
            <w:pPr>
              <w:pStyle w:val="Compact"/>
              <w:spacing w:after="40" w:before="40"/>
              <w:jc w:val="left"/>
            </w:pPr>
            <w:r>
              <w:rPr>
                <w:rFonts w:ascii="Cambria" w:hAnsi="Cambria" w:cs="Cambria" w:eastAsia="Cambria"/>
                <w:color w:val="1A1A1A"/>
                <w:sz w:val="18"/>
              </w:rPr>
              <w:t xml:space="preserve">Atenei sardi (Cagliari, Sassari)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delle cure primarie: modelli organizzativi, collaborazione, misure di esito, competenza per l’età anziana e la cronicità e giovanile</w:t>
            </w:r>
          </w:p>
        </w:tc>
        <w:tc>
          <w:tcPr>
            <w:shd w:val="clear" w:color="auto" w:fill="F4F1EC"/>
          </w:tcPr>
          <w:p>
            <w:pPr>
              <w:pStyle w:val="Compact"/>
              <w:spacing w:after="40" w:before="40"/>
              <w:jc w:val="left"/>
            </w:pPr>
            <w:r>
              <w:rPr>
                <w:rFonts w:ascii="Cambria" w:hAnsi="Cambria" w:cs="Cambria" w:eastAsia="Cambria"/>
                <w:color w:val="1A1A1A"/>
                <w:sz w:val="18"/>
              </w:rPr>
              <w:t xml:space="preserve">Formazione promossa dall’Ordine regionale</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w:t>
            </w:r>
          </w:p>
        </w:tc>
        <w:tc>
          <w:tcPr/>
          <w:p>
            <w:pPr>
              <w:pStyle w:val="Compact"/>
              <w:spacing w:after="40" w:before="40"/>
              <w:jc w:val="left"/>
            </w:pPr>
            <w:r>
              <w:rPr>
                <w:rFonts w:ascii="Cambria" w:hAnsi="Cambria" w:cs="Cambria" w:eastAsia="Cambria"/>
                <w:color w:val="1A1A1A"/>
                <w:sz w:val="18"/>
              </w:rPr>
              <w:t xml:space="preserve">Educazione continua in medicina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w:t>
            </w:r>
          </w:p>
        </w:tc>
        <w:tc>
          <w:tcPr>
            <w:shd w:val="clear" w:color="auto" w:fill="F4F1EC"/>
          </w:tcPr>
          <w:p>
            <w:pPr>
              <w:pStyle w:val="Compact"/>
              <w:spacing w:after="40" w:before="40"/>
              <w:jc w:val="left"/>
            </w:pPr>
            <w:r>
              <w:rPr>
                <w:rFonts w:ascii="Cambria" w:hAnsi="Cambria" w:cs="Cambria" w:eastAsia="Cambria"/>
                <w:color w:val="1A1A1A"/>
                <w:sz w:val="18"/>
              </w:rPr>
              <w:t xml:space="preserve">Tutor aziendali; supervisione</w:t>
            </w: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w:t>
            </w:r>
          </w:p>
        </w:tc>
        <w:tc>
          <w:tcPr/>
          <w:p>
            <w:pPr>
              <w:pStyle w:val="Compact"/>
              <w:spacing w:after="40" w:before="40"/>
              <w:jc w:val="left"/>
            </w:pPr>
            <w:r>
              <w:rPr>
                <w:rFonts w:ascii="Cambria" w:hAnsi="Cambria" w:cs="Cambria" w:eastAsia="Cambria"/>
                <w:color w:val="1A1A1A"/>
                <w:sz w:val="18"/>
              </w:rP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bookmarkEnd w:id="3789"/>
    <w:bookmarkEnd w:id="3790"/>
    <w:bookmarkStart w:id="3812" w:name="parte-d-efficacia-clinica-ed-evidenza-11"/>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Sardegna presenta un tratto proprio. La parte espone il metodo della revisione e i risultati di efficacia (capitolo D.1); ne gradua la qualità e ne dichiara una cautela economica essenziale (D.2); presenta i benchmark internazionali (D.3); e discute le esperienze italiane, la trasferibilità e l’evidenza locale sarda (D.4). Quest’ultima presenta una condizione propria: poiché il Dipartimento è attivo solo parzialmente, la Sardegna dispone di dati di esito propri limitati, sicché lo studio si fonda, per l’efficacia, sui benchmark internazionali, mentre l’evidenza locale si costituirà attraverso il monitoraggio del Dipartimento man mano che raggiunge il regime.</w:t>
      </w:r>
    </w:p>
    <w:bookmarkStart w:id="3797" w:name="X17acbaee69a0dc5715ab162a832f5b85f0b3f80"/>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w:t>
      </w:r>
      <w:r>
        <w:rPr>
          <w:rStyle w:val="FootnoteReference"/>
        </w:rPr>
        <w:footnoteReference w:id="3652"/>
      </w:r>
      <w:r>
        <w:t xml:space="preserve"> </w:t>
      </w:r>
      <w:r>
        <w:t xml:space="preserve">Il nucleo dell’evidenza proviene dal modello della cura collaborativa, di cui lo studio fondativo ha documentato che circa la metà dei pazienti trattati conseguiva una riduzione sostanziale dei sintomi a dodici mesi, contro meno di un quinto nella cura usuale.</w:t>
      </w:r>
      <w:r>
        <w:rPr>
          <w:rStyle w:val="FootnoteReference"/>
        </w:rPr>
        <w:footnoteReference w:id="3653"/>
      </w:r>
      <w:r>
        <w:t xml:space="preserve"> </w:t>
      </w:r>
      <w:r>
        <w:t xml:space="preserve">La robustezza del risultato è confermata dalla meta-analisi su cinquantasette studi controllati, con un miglioramento medio dei sintomi depressivi pari a poco meno di un terzo di deviazione standard,</w:t>
      </w:r>
      <w:r>
        <w:rPr>
          <w:rStyle w:val="FootnoteReference"/>
        </w:rPr>
        <w:footnoteReference w:id="3654"/>
      </w:r>
      <w:r>
        <w:t xml:space="preserve"> </w:t>
      </w:r>
      <w:r>
        <w:t xml:space="preserve">e da una più recente revisione di quarantadue implementazioni, che documenta riduzioni rilevanti della depressione e dell’ansia e una contrazione degli accessi al pronto soccorso e dei ricoveri.</w:t>
      </w:r>
      <w:r>
        <w:rPr>
          <w:rStyle w:val="FootnoteReference"/>
        </w:rPr>
        <w:footnoteReference w:id="3655"/>
      </w:r>
      <w:r>
        <w:t xml:space="preserve"> </w:t>
      </w:r>
      <w:r>
        <w:t xml:space="preserve">Sul versante dei dati reali, il programma inglese delle terapie psicologiche registra, su scala di oltre un milione di persone l’anno, un tasso di recupero del 50,2% e un miglioramento affidabile di oltre due terzi, con completezza dei dati di esito superiore al 98%.</w:t>
      </w:r>
      <w:r>
        <w:rPr>
          <w:rStyle w:val="FootnoteReference"/>
        </w:rPr>
        <w:footnoteReference w:id="3656"/>
      </w:r>
      <w:r>
        <w:t xml:space="preserve"> </w:t>
      </w:r>
      <w:r>
        <w:t xml:space="preserve">Anche le sintesi più caute confermano un effetto di entità modesta sul singolo ma clinicamente rilevante sull’intera popolazione.</w:t>
      </w:r>
      <w:r>
        <w:rPr>
          <w:rStyle w:val="FootnoteReference"/>
        </w:rPr>
        <w:footnoteReference w:id="3657"/>
      </w:r>
    </w:p>
    <w:bookmarkEnd w:id="3797"/>
    <w:bookmarkStart w:id="3800" w:name="X76dea0c7ca48b8111ca9a75d348d8279c4fcfb5"/>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w:t>
      </w:r>
      <w:r>
        <w:rPr>
          <w:rStyle w:val="FootnoteReference"/>
        </w:rPr>
        <w:footnoteReference w:id="3658"/>
      </w:r>
      <w:r>
        <w:t xml:space="preserve"> </w:t>
      </w:r>
      <w:r>
        <w:t xml:space="preserve">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sardo, ne corrobora la coerenza interna, poiché il caso economico della Sardegna — come si vedrà nella Parte E — è fondato anch’esso sulle ricadute sociali, e non su un risparmio diretto che la regione non potrebbe rivendicare con certezza statistica.</w:t>
      </w:r>
      <w:r>
        <w:rPr>
          <w:rStyle w:val="FootnoteReference"/>
        </w:rPr>
        <w:footnoteReference w:id="3659"/>
      </w:r>
    </w:p>
    <w:bookmarkEnd w:id="3800"/>
    <w:bookmarkStart w:id="3805" w:name="d.3-i-benchmark-internazionali-13"/>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w:t>
      </w:r>
      <w:r>
        <w:rPr>
          <w:rStyle w:val="FootnoteReference"/>
        </w:rPr>
        <w:footnoteReference w:id="3660"/>
      </w:r>
      <w:r>
        <w:t xml:space="preserve"> </w:t>
      </w:r>
      <w:r>
        <w:t xml:space="preserve">Il modello olandese integra una figura di supporto psicologico nello studio del medico di base, adottata dalla maggioranza dei medici, con ruolo complementare alla specialistica.</w:t>
      </w:r>
      <w:r>
        <w:rPr>
          <w:rStyle w:val="FootnoteReference"/>
        </w:rPr>
        <w:footnoteReference w:id="3661"/>
      </w:r>
      <w:r>
        <w:t xml:space="preserve"> </w:t>
      </w:r>
      <w:r>
        <w:t xml:space="preserve">Il modello australiano, a invio esterno, ha innalzato di oltre dieci punti la quota di popolazione in trattamento.</w:t>
      </w:r>
      <w:r>
        <w:rPr>
          <w:rStyle w:val="FootnoteReference"/>
        </w:rPr>
        <w:footnoteReference w:id="3662"/>
      </w:r>
      <w:r>
        <w:t xml:space="preserve"> </w:t>
      </w:r>
      <w:r>
        <w:t xml:space="preserve">Il modello statunitense della cura collaborativa, validato da oltre novanta studi controllati, documenta riduzioni rilevanti della depressione e dei ricoveri.</w:t>
      </w:r>
      <w:r>
        <w:rPr>
          <w:rStyle w:val="FootnoteReference"/>
        </w:rPr>
        <w:footnoteReference w:id="3663"/>
      </w:r>
      <w:r>
        <w:t xml:space="preserve"> </w:t>
      </w:r>
      <w:r>
        <w:t xml:space="preserve">La tabella seguente ne riepiloga i tratti salienti.</w:t>
      </w:r>
    </w:p>
    <w:tbl>
      <w:tblPr>
        <w:tblStyle w:val="Table"/>
        <w:tblW w:type="pct" w:w="493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53"/>
        <w:gridCol w:w="2688"/>
        <w:gridCol w:w="308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Risultati principali</w:t>
            </w:r>
          </w:p>
        </w:tc>
      </w:tr>
      <w:tr>
        <w:tc>
          <w:tcPr/>
          <w:p>
            <w:pPr>
              <w:pStyle w:val="Compact"/>
              <w:spacing w:after="40" w:before="40"/>
              <w:jc w:val="left"/>
            </w:pPr>
            <w:r>
              <w:rPr>
                <w:rFonts w:ascii="Cambria" w:hAnsi="Cambria" w:cs="Cambria" w:eastAsia="Cambria"/>
                <w:b/>
                <w:bCs/>
                <w:color w:val="1A1A1A"/>
                <w:sz w:val="18"/>
              </w:rPr>
              <w:t xml:space="preserve">Regno Unito (NHS Talking Therapies)</w:t>
            </w:r>
          </w:p>
        </w:tc>
        <w:tc>
          <w:tcPr/>
          <w:p>
            <w:pPr>
              <w:pStyle w:val="Compact"/>
              <w:spacing w:after="40" w:before="40"/>
              <w:jc w:val="left"/>
            </w:pPr>
            <w:r>
              <w:rPr>
                <w:rFonts w:ascii="Cambria" w:hAnsi="Cambria" w:cs="Cambria" w:eastAsia="Cambria"/>
                <w:color w:val="1A1A1A"/>
                <w:sz w:val="18"/>
              </w:rPr>
              <w:t xml:space="preserve">Servizio integrato a intensità crescente</w:t>
            </w:r>
          </w:p>
        </w:tc>
        <w:tc>
          <w:tcPr/>
          <w:p>
            <w:pPr>
              <w:pStyle w:val="Compact"/>
              <w:spacing w:after="40" w:before="40"/>
              <w:jc w:val="left"/>
            </w:pPr>
            <w:r>
              <w:rPr>
                <w:rFonts w:ascii="Cambria" w:hAnsi="Cambria" w:cs="Cambria" w:eastAsia="Cambria"/>
                <w:color w:val="1A1A1A"/>
                <w:sz w:val="18"/>
              </w:rPr>
              <w:t xml:space="preserve">Recupero ~50%; monitoraggio esiti &gt;98%; &gt;1,3 milioni/anno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Paesi Bassi (POH-GGZ)</w:t>
            </w:r>
          </w:p>
        </w:tc>
        <w:tc>
          <w:tcPr>
            <w:shd w:val="clear" w:color="auto" w:fill="F4F1EC"/>
          </w:tcPr>
          <w:p>
            <w:pPr>
              <w:pStyle w:val="Compact"/>
              <w:spacing w:after="40" w:before="40"/>
              <w:jc w:val="left"/>
            </w:pPr>
            <w:r>
              <w:rPr>
                <w:rFonts w:ascii="Cambria" w:hAnsi="Cambria" w:cs="Cambria" w:eastAsia="Cambria"/>
                <w:color w:val="1A1A1A"/>
                <w:sz w:val="18"/>
              </w:rPr>
              <w:t xml:space="preserve">Supporto psicologico nello studio del medico di base</w:t>
            </w:r>
          </w:p>
        </w:tc>
        <w:tc>
          <w:tcPr>
            <w:shd w:val="clear" w:color="auto" w:fill="F4F1EC"/>
          </w:tcPr>
          <w:p>
            <w:pPr>
              <w:pStyle w:val="Compact"/>
              <w:spacing w:after="40" w:before="40"/>
              <w:jc w:val="left"/>
            </w:pPr>
            <w:r>
              <w:rPr>
                <w:rFonts w:ascii="Cambria" w:hAnsi="Cambria" w:cs="Cambria" w:eastAsia="Cambria"/>
                <w:color w:val="1A1A1A"/>
                <w:sz w:val="18"/>
              </w:rPr>
              <w:t xml:space="preserve">Adozione da ~tre quarti dei medici; ruolo complementare</w:t>
            </w:r>
          </w:p>
        </w:tc>
      </w:tr>
      <w:tr>
        <w:tc>
          <w:tcPr/>
          <w:p>
            <w:pPr>
              <w:pStyle w:val="Compact"/>
              <w:spacing w:after="40" w:before="40"/>
              <w:jc w:val="left"/>
            </w:pPr>
            <w:r>
              <w:rPr>
                <w:rFonts w:ascii="Cambria" w:hAnsi="Cambria" w:cs="Cambria" w:eastAsia="Cambria"/>
                <w:b/>
                <w:bCs/>
                <w:color w:val="1A1A1A"/>
                <w:sz w:val="18"/>
              </w:rPr>
              <w:t xml:space="preserve">Australia (Better Access)</w:t>
            </w:r>
          </w:p>
        </w:tc>
        <w:tc>
          <w:tcPr/>
          <w:p>
            <w:pPr>
              <w:pStyle w:val="Compact"/>
              <w:spacing w:after="40" w:before="40"/>
              <w:jc w:val="left"/>
            </w:pPr>
            <w:r>
              <w:rPr>
                <w:rFonts w:ascii="Cambria" w:hAnsi="Cambria" w:cs="Cambria" w:eastAsia="Cambria"/>
                <w:color w:val="1A1A1A"/>
                <w:sz w:val="18"/>
              </w:rPr>
              <w:t xml:space="preserve">Invio esterno a professionisti</w:t>
            </w:r>
          </w:p>
        </w:tc>
        <w:tc>
          <w:tcPr/>
          <w:p>
            <w:pPr>
              <w:pStyle w:val="Compact"/>
              <w:spacing w:after="40" w:before="40"/>
              <w:jc w:val="left"/>
            </w:pPr>
            <w:r>
              <w:rPr>
                <w:rFonts w:ascii="Cambria" w:hAnsi="Cambria" w:cs="Cambria" w:eastAsia="Cambria"/>
                <w:color w:val="1A1A1A"/>
                <w:sz w:val="18"/>
              </w:rPr>
              <w:t xml:space="preserve">Popolazione in trattamento dal 35% al 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Stati Uniti (Collaborative Care)</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 con monitoraggio</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3805"/>
    <w:bookmarkStart w:id="3811" w:name="X54c2baa527eb7bda3f18a5d6dea72faa874323b"/>
    <w:p>
      <w:pPr>
        <w:pStyle w:val="Heading3"/>
      </w:pPr>
      <w:r>
        <w:t xml:space="preserve">D.4 Le esperienze italiane, la trasferibilità e l’evidenza locale</w:t>
      </w:r>
    </w:p>
    <w:p>
      <w:pPr>
        <w:pStyle w:val="FirstParagraph"/>
      </w:pPr>
      <w:r>
        <w:t xml:space="preserve">Sul piano nazionale, il quadro comprende i servizi avviati nelle regioni dotate di legge — fra cui la Campania, prima a istituire e attivare il servizio — e le esperienze pilota fondate su campioni limitati. La Sardegna, che ha previsto il Dipartimento con la legge regionale 24 del 2020 (articolo 37) istituendolo in via sperimentale, vi si colloca come regione ad attuazione parziale.</w:t>
      </w:r>
      <w:r>
        <w:rPr>
          <w:rStyle w:val="FootnoteReference"/>
        </w:rPr>
        <w:footnoteReference w:id="3664"/>
      </w:r>
      <w:r>
        <w:t xml:space="preserve"> </w:t>
      </w:r>
      <w:r>
        <w:t xml:space="preserve">Più in generale, i risultati internazionali provengono da sistemi diversi per organizzazione e finanziamento, e la loro trasposizione richiede validazione locale, evitando di trasferire meccanicamente le stime, soprattutto quelle economiche.</w:t>
      </w:r>
      <w:r>
        <w:rPr>
          <w:rStyle w:val="FootnoteReference"/>
        </w:rPr>
        <w:footnoteReference w:id="3665"/>
      </w:r>
      <w:r>
        <w:t xml:space="preserve"> </w:t>
      </w:r>
      <w:r>
        <w:t xml:space="preserve">È qui che la posizione della Sardegna presenta una condizione propria, da dichiarare con franchezza: poiché il Dipartimento è attivo solo parzialmente, l’evidenza locale è allo stato prevalentemente prospettica, e si costituirà attraverso il monitoraggio del Dipartimento, di cui l’Azienda di Sassari offre un primo nucleo.</w:t>
      </w:r>
      <w:r>
        <w:rPr>
          <w:rStyle w:val="FootnoteReference"/>
        </w:rPr>
        <w:footnoteReference w:id="3666"/>
      </w:r>
      <w:r>
        <w:t xml:space="preserve"> </w:t>
      </w:r>
      <w:r>
        <w:t xml:space="preserve">La condizione della regione è dunque di costruire l’evidenza locale: la Sardegna dispone della previsione normativa, dell’infrastruttura informatica regionale, del coordinamento dell’ARES e della rete delle Case della Comunità in costruzione, e può impostare fin dall’inizio una rilevazione uniforme fra le otto Aziende, generando dati propri solidi man mano che il Dipartimento si struttura a regime.</w:t>
      </w:r>
      <w:r>
        <w:rPr>
          <w:rStyle w:val="FootnoteReference"/>
        </w:rPr>
        <w:footnoteReference w:id="3667"/>
      </w:r>
      <w:r>
        <w:t xml:space="preserve"> </w:t>
      </w:r>
      <w:r>
        <w:t xml:space="preserve">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w:t>
      </w:r>
      <w:r>
        <w:rPr>
          <w:rStyle w:val="FootnoteReference"/>
        </w:rPr>
        <w:footnoteReference w:id="3668"/>
      </w:r>
      <w:r>
        <w:t xml:space="preserve"> </w:t>
      </w:r>
      <w:r>
        <w:t xml:space="preserve">Su questa base di evidenza, graduata e dichiarata nei suoi limiti, poggia la valutazione economica della Parte E.</w:t>
      </w:r>
    </w:p>
    <w:bookmarkEnd w:id="3811"/>
    <w:bookmarkEnd w:id="3812"/>
    <w:bookmarkStart w:id="3837" w:name="parte-e-valutazione-economica-11"/>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alla Sardegna.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la Sardegna il risultato si lascia anticipare in una formula: il caso finanziario diretto è di modesto disavanzo prossimo al pareggio, il caso economico complessivo è fortemente positivo, e il valore dell’intervento risiede nelle ricadute sociali.</w:t>
      </w:r>
    </w:p>
    <w:bookmarkStart w:id="3816" w:name="e.1-limpianto-e-il-costo-del-servizio-6"/>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w:t>
      </w:r>
      <w:r>
        <w:rPr>
          <w:rStyle w:val="FootnoteReference"/>
        </w:rPr>
        <w:footnoteReference w:id="3669"/>
      </w:r>
      <w:r>
        <w:t xml:space="preserve"> </w:t>
      </w:r>
      <w:r>
        <w:t xml:space="preserve">Il costo del servizio a regime, assumendo un costo medio annuo per psicologo dell’ordine di 55.000 euro comprensivo degli oneri — riferimento prudenziale, dato che il modello dipartimentale a dipendenza può implicare un costo unitario superiore — è dell’ordine di 9 milioni di euro nello scenario conservativo, 14 milioni in quello di base e 19 milioni in quello espansivo.</w:t>
      </w:r>
      <w:r>
        <w:rPr>
          <w:rStyle w:val="FootnoteReference"/>
        </w:rPr>
        <w:footnoteReference w:id="3670"/>
      </w:r>
      <w:r>
        <w:t xml:space="preserve"> </w:t>
      </w:r>
      <w:r>
        <w:t xml:space="preserve">I tre scenari rappresentano gradi crescenti di copertura verso il fabbisogno pieno; va ribadito che il Dipartimento attualmente attivo nella sola Azienda di Sassari costituisce un’attuazione iniziale inferiore allo stesso scenario conservativo, e non il regime qui considerato.</w:t>
      </w:r>
      <w:r>
        <w:rPr>
          <w:rStyle w:val="FootnoteReference"/>
        </w:rPr>
        <w:footnoteReference w:id="3671"/>
      </w:r>
      <w:r>
        <w:t xml:space="preserve"> </w:t>
      </w:r>
      <w:r>
        <w:t xml:space="preserve">La tabella seguente riepiloga il costo del servizio per scenario.</w:t>
      </w:r>
    </w:p>
    <w:tbl>
      <w:tblPr>
        <w:tblStyle w:val="Table"/>
        <w:tblW w:type="pct" w:w="48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54"/>
        <w:gridCol w:w="1851"/>
        <w:gridCol w:w="1851"/>
        <w:gridCol w:w="20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w:t>
            </w:r>
          </w:p>
        </w:tc>
        <w:tc>
          <w:tcPr>
            <w:shd w:val="clear" w:color="auto" w:fill="16264B"/>
          </w:tcPr>
          <w:p>
            <w:pPr>
              <w:pStyle w:val="Compact"/>
              <w:spacing w:after="40" w:before="40"/>
              <w:jc w:val="left"/>
            </w:pPr>
            <w:r>
              <w:rPr>
                <w:rFonts w:ascii="Cambria" w:hAnsi="Cambria" w:cs="Cambria" w:eastAsia="Cambria"/>
                <w:b/>
                <w:bCs/>
                <w:color w:val="FFFFFF"/>
                <w:sz w:val="18"/>
              </w:rPr>
              <w:t xml:space="preserve">Quota del FSR</w:t>
            </w:r>
          </w:p>
        </w:tc>
      </w:tr>
      <w:tr>
        <w:tc>
          <w:tcPr/>
          <w:p>
            <w:pPr>
              <w:pStyle w:val="Compact"/>
              <w:spacing w:after="40" w:before="40"/>
              <w:jc w:val="left"/>
            </w:pPr>
            <w:r>
              <w:rPr>
                <w:rFonts w:ascii="Cambria" w:hAnsi="Cambria" w:cs="Cambria" w:eastAsia="Cambria"/>
                <w:b/>
                <w:bCs/>
                <w:color w:val="1A1A1A"/>
                <w:sz w:val="18"/>
              </w:rPr>
              <w:t xml:space="preserve">Conservativo</w:t>
            </w:r>
          </w:p>
        </w:tc>
        <w:tc>
          <w:tcPr/>
          <w:p>
            <w:pPr>
              <w:pStyle w:val="Compact"/>
              <w:spacing w:after="40" w:before="40"/>
              <w:jc w:val="left"/>
            </w:pPr>
            <w:r>
              <w:rPr>
                <w:rFonts w:ascii="Cambria" w:hAnsi="Cambria" w:cs="Cambria" w:eastAsia="Cambria"/>
                <w:color w:val="1A1A1A"/>
                <w:sz w:val="18"/>
              </w:rPr>
              <w:t xml:space="preserve">~ 170</w:t>
            </w:r>
          </w:p>
        </w:tc>
        <w:tc>
          <w:tcPr/>
          <w:p>
            <w:pPr>
              <w:pStyle w:val="Compact"/>
              <w:spacing w:after="40" w:before="40"/>
              <w:jc w:val="left"/>
            </w:pPr>
            <w:r>
              <w:rPr>
                <w:rFonts w:ascii="Cambria" w:hAnsi="Cambria" w:cs="Cambria" w:eastAsia="Cambria"/>
                <w:color w:val="1A1A1A"/>
                <w:sz w:val="18"/>
              </w:rPr>
              <w:t xml:space="preserve">~ 9 milioni</w:t>
            </w:r>
          </w:p>
        </w:tc>
        <w:tc>
          <w:tcPr/>
          <w:p>
            <w:pPr>
              <w:pStyle w:val="Compact"/>
              <w:spacing w:after="40" w:before="40"/>
              <w:jc w:val="left"/>
            </w:pPr>
            <w:r>
              <w:rPr>
                <w:rFonts w:ascii="Cambria" w:hAnsi="Cambria" w:cs="Cambria" w:eastAsia="Cambria"/>
                <w:color w:val="1A1A1A"/>
                <w:sz w:val="18"/>
              </w:rPr>
              <w:t xml:space="preserve">~ 0,3%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Base</w:t>
            </w:r>
          </w:p>
        </w:tc>
        <w:tc>
          <w:tcPr>
            <w:shd w:val="clear" w:color="auto" w:fill="F4F1EC"/>
          </w:tcPr>
          <w:p>
            <w:pPr>
              <w:pStyle w:val="Compact"/>
              <w:spacing w:after="40" w:before="40"/>
              <w:jc w:val="left"/>
            </w:pPr>
            <w:r>
              <w:rPr>
                <w:rFonts w:ascii="Cambria" w:hAnsi="Cambria" w:cs="Cambria" w:eastAsia="Cambria"/>
                <w:color w:val="1A1A1A"/>
                <w:sz w:val="18"/>
              </w:rPr>
              <w:t xml:space="preserve">~ 250</w:t>
            </w:r>
          </w:p>
        </w:tc>
        <w:tc>
          <w:tcPr>
            <w:shd w:val="clear" w:color="auto" w:fill="F4F1EC"/>
          </w:tcPr>
          <w:p>
            <w:pPr>
              <w:pStyle w:val="Compact"/>
              <w:spacing w:after="40" w:before="40"/>
              <w:jc w:val="left"/>
            </w:pPr>
            <w:r>
              <w:rPr>
                <w:rFonts w:ascii="Cambria" w:hAnsi="Cambria" w:cs="Cambria" w:eastAsia="Cambria"/>
                <w:color w:val="1A1A1A"/>
                <w:sz w:val="18"/>
              </w:rPr>
              <w:t xml:space="preserve">~ 14 milioni</w:t>
            </w:r>
          </w:p>
        </w:tc>
        <w:tc>
          <w:tcPr>
            <w:shd w:val="clear" w:color="auto" w:fill="F4F1EC"/>
          </w:tcPr>
          <w:p>
            <w:pPr>
              <w:pStyle w:val="Compact"/>
              <w:spacing w:after="40" w:before="40"/>
              <w:jc w:val="left"/>
            </w:pPr>
            <w:r>
              <w:rPr>
                <w:rFonts w:ascii="Cambria" w:hAnsi="Cambria" w:cs="Cambria" w:eastAsia="Cambria"/>
                <w:color w:val="1A1A1A"/>
                <w:sz w:val="18"/>
              </w:rPr>
              <w:t xml:space="preserve">~ 0,4%</w:t>
            </w:r>
          </w:p>
        </w:tc>
      </w:tr>
      <w:tr>
        <w:tc>
          <w:tcPr/>
          <w:p>
            <w:pPr>
              <w:pStyle w:val="Compact"/>
              <w:spacing w:after="40" w:before="40"/>
              <w:jc w:val="left"/>
            </w:pPr>
            <w:r>
              <w:rPr>
                <w:rFonts w:ascii="Cambria" w:hAnsi="Cambria" w:cs="Cambria" w:eastAsia="Cambria"/>
                <w:b/>
                <w:bCs/>
                <w:color w:val="1A1A1A"/>
                <w:sz w:val="18"/>
              </w:rPr>
              <w:t xml:space="preserve">Espansivo</w:t>
            </w:r>
          </w:p>
        </w:tc>
        <w:tc>
          <w:tcPr/>
          <w:p>
            <w:pPr>
              <w:pStyle w:val="Compact"/>
              <w:spacing w:after="40" w:before="40"/>
              <w:jc w:val="left"/>
            </w:pPr>
            <w:r>
              <w:rPr>
                <w:rFonts w:ascii="Cambria" w:hAnsi="Cambria" w:cs="Cambria" w:eastAsia="Cambria"/>
                <w:color w:val="1A1A1A"/>
                <w:sz w:val="18"/>
              </w:rPr>
              <w:t xml:space="preserve">~ 340</w:t>
            </w:r>
          </w:p>
        </w:tc>
        <w:tc>
          <w:tcPr/>
          <w:p>
            <w:pPr>
              <w:pStyle w:val="Compact"/>
              <w:spacing w:after="40" w:before="40"/>
              <w:jc w:val="left"/>
            </w:pPr>
            <w:r>
              <w:rPr>
                <w:rFonts w:ascii="Cambria" w:hAnsi="Cambria" w:cs="Cambria" w:eastAsia="Cambria"/>
                <w:color w:val="1A1A1A"/>
                <w:sz w:val="18"/>
              </w:rPr>
              <w:t xml:space="preserve">~ 19 milioni</w:t>
            </w:r>
          </w:p>
        </w:tc>
        <w:tc>
          <w:tcPr/>
          <w:p>
            <w:pPr>
              <w:pStyle w:val="Compact"/>
              <w:spacing w:after="40" w:before="40"/>
              <w:jc w:val="left"/>
            </w:pPr>
            <w:r>
              <w:rPr>
                <w:rFonts w:ascii="Cambria" w:hAnsi="Cambria" w:cs="Cambria" w:eastAsia="Cambria"/>
                <w:color w:val="1A1A1A"/>
                <w:sz w:val="18"/>
              </w:rPr>
              <w:t xml:space="preserve">~ 0,5%</w:t>
            </w:r>
          </w:p>
        </w:tc>
      </w:tr>
    </w:tbl>
    <w:p>
      <w:pPr>
        <w:pStyle w:val="BodyText"/>
      </w:pPr>
      <w:r>
        <w:rPr>
          <w:i/>
          <w:iCs/>
        </w:rPr>
        <w:t xml:space="preserve">Tabella E.1. Il costo del servizio a regime nei tre scenari di copertura.</w:t>
      </w:r>
    </w:p>
    <w:bookmarkEnd w:id="3816"/>
    <w:bookmarkStart w:id="3822" w:name="X28fc0c65067f729752b0b1d3489b000c209b963"/>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1, 2 e 3 milioni di euro l’anno nei tre scenari.</w:t>
      </w:r>
      <w:r>
        <w:rPr>
          <w:rStyle w:val="FootnoteReference"/>
        </w:rPr>
        <w:footnoteReference w:id="3672"/>
      </w:r>
      <w:r>
        <w:t xml:space="preserve"> </w:t>
      </w:r>
      <w:r>
        <w:t xml:space="preserve">Il secondo è la riduzione della spesa farmaceutica inappropriata, dell’ordine di 1, 2 e 3 milioni, con margine significativo data una spesa farmaceutica regionale sopra la media nazionale.</w:t>
      </w:r>
      <w:r>
        <w:rPr>
          <w:rStyle w:val="FootnoteReference"/>
        </w:rPr>
        <w:footnoteReference w:id="3673"/>
      </w:r>
      <w:r>
        <w:t xml:space="preserve"> </w:t>
      </w:r>
      <w:r>
        <w:t xml:space="preserve">Il terzo, il più consistente, è la riduzione di ricoveri evitabili e di specialistica impropria, dell’ordine di 4, 6 e 10 milioni, con un margine di recupero ampio data la sotto-dotazione storica del sistema e la cronicità di una popolazione anziana.</w:t>
      </w:r>
      <w:r>
        <w:rPr>
          <w:rStyle w:val="FootnoteReference"/>
        </w:rPr>
        <w:footnoteReference w:id="3674"/>
      </w:r>
      <w:r>
        <w:t xml:space="preserve"> </w:t>
      </w:r>
      <w:r>
        <w:t xml:space="preserve">Il quarto, il recupero della mobilità, è per la Sardegna modesto, dell’ordine di 1, 2 e 3 milioni: benché la regione presenti un rilevante saldo passivo, la fuga riguarda le terapie oncologiche e l’alta complessità, per necessità, non la domanda psicologica, sicché questo canale contribuisce solo per la quota di domanda impropria, prevalentemente somatoforme, territorialmente intercettabile.</w:t>
      </w:r>
      <w:r>
        <w:rPr>
          <w:rStyle w:val="FootnoteReference"/>
        </w:rPr>
        <w:footnoteReference w:id="3675"/>
      </w:r>
      <w:r>
        <w:t xml:space="preserve"> </w:t>
      </w:r>
      <w:r>
        <w:t xml:space="preserve">La somma dei quattro canali è dell’ordine di 7, 12 e 19 milioni di euro l’anno, e determina, a fronte del costo del servizio, un saldo diretto lievemente negativo ma prossimo al pareggio, dell’ordine di −2, −2 e 0 milioni.</w:t>
      </w:r>
      <w:r>
        <w:rPr>
          <w:rStyle w:val="FootnoteReference"/>
        </w:rPr>
        <w:footnoteReference w:id="3676"/>
      </w:r>
      <w:r>
        <w:t xml:space="preserve"> </w:t>
      </w:r>
      <w:r>
        <w:t xml:space="preserve">La tabella seguente dettaglia i canali del risparmio diretto.</w:t>
      </w:r>
    </w:p>
    <w:tbl>
      <w:tblPr>
        <w:tblStyle w:val="Table"/>
        <w:tblW w:type="pct" w:w="490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888"/>
        <w:gridCol w:w="1296"/>
        <w:gridCol w:w="1296"/>
        <w:gridCol w:w="129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Accessi impropri al pronto soccorso</w:t>
            </w:r>
          </w:p>
        </w:tc>
        <w:tc>
          <w:tcPr/>
          <w:p>
            <w:pPr>
              <w:pStyle w:val="Compact"/>
              <w:spacing w:after="40" w:before="40"/>
              <w:jc w:val="left"/>
            </w:pPr>
            <w:r>
              <w:rPr>
                <w:rFonts w:ascii="Cambria" w:hAnsi="Cambria" w:cs="Cambria" w:eastAsia="Cambria"/>
                <w:color w:val="1A1A1A"/>
                <w:sz w:val="18"/>
              </w:rPr>
              <w:t xml:space="preserve">~ 1</w:t>
            </w:r>
          </w:p>
        </w:tc>
        <w:tc>
          <w:tcPr/>
          <w:p>
            <w:pPr>
              <w:pStyle w:val="Compact"/>
              <w:spacing w:after="40" w:before="40"/>
              <w:jc w:val="left"/>
            </w:pPr>
            <w:r>
              <w:rPr>
                <w:rFonts w:ascii="Cambria" w:hAnsi="Cambria" w:cs="Cambria" w:eastAsia="Cambria"/>
                <w:color w:val="1A1A1A"/>
                <w:sz w:val="18"/>
              </w:rPr>
              <w:t xml:space="preserve">~ 2</w:t>
            </w:r>
          </w:p>
        </w:tc>
        <w:tc>
          <w:tcPr/>
          <w:p>
            <w:pPr>
              <w:pStyle w:val="Compact"/>
              <w:spacing w:after="40" w:before="40"/>
              <w:jc w:val="left"/>
            </w:pPr>
            <w:r>
              <w:rPr>
                <w:rFonts w:ascii="Cambria" w:hAnsi="Cambria" w:cs="Cambria" w:eastAsia="Cambria"/>
                <w:color w:val="1A1A1A"/>
                <w:sz w:val="18"/>
              </w:rPr>
              <w:t xml:space="preserve">~ 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Spesa farmaceutica inappropriata</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c>
          <w:tcPr>
            <w:shd w:val="clear" w:color="auto" w:fill="F4F1EC"/>
          </w:tcPr>
          <w:p>
            <w:pPr>
              <w:pStyle w:val="Compact"/>
              <w:spacing w:after="40" w:before="40"/>
              <w:jc w:val="left"/>
            </w:pPr>
            <w:r>
              <w:rPr>
                <w:rFonts w:ascii="Cambria" w:hAnsi="Cambria" w:cs="Cambria" w:eastAsia="Cambria"/>
                <w:color w:val="1A1A1A"/>
                <w:sz w:val="18"/>
              </w:rPr>
              <w:t xml:space="preserve">~ 2</w:t>
            </w:r>
          </w:p>
        </w:tc>
        <w:tc>
          <w:tcPr>
            <w:shd w:val="clear" w:color="auto" w:fill="F4F1EC"/>
          </w:tcPr>
          <w:p>
            <w:pPr>
              <w:pStyle w:val="Compact"/>
              <w:spacing w:after="40" w:before="40"/>
              <w:jc w:val="left"/>
            </w:pPr>
            <w:r>
              <w:rPr>
                <w:rFonts w:ascii="Cambria" w:hAnsi="Cambria" w:cs="Cambria" w:eastAsia="Cambria"/>
                <w:color w:val="1A1A1A"/>
                <w:sz w:val="18"/>
              </w:rPr>
              <w:t xml:space="preserve">~ 3</w:t>
            </w:r>
          </w:p>
        </w:tc>
      </w:tr>
      <w:tr>
        <w:tc>
          <w:tcPr/>
          <w:p>
            <w:pPr>
              <w:pStyle w:val="Compact"/>
              <w:spacing w:after="40" w:before="40"/>
              <w:jc w:val="left"/>
            </w:pPr>
            <w:r>
              <w:rPr>
                <w:rFonts w:ascii="Cambria" w:hAnsi="Cambria" w:cs="Cambria" w:eastAsia="Cambria"/>
                <w:b/>
                <w:bCs/>
                <w:color w:val="1A1A1A"/>
                <w:sz w:val="18"/>
              </w:rPr>
              <w:t xml:space="preserve">Ricoveri evitabili e specialistica</w:t>
            </w:r>
          </w:p>
        </w:tc>
        <w:tc>
          <w:tcPr/>
          <w:p>
            <w:pPr>
              <w:pStyle w:val="Compact"/>
              <w:spacing w:after="40" w:before="40"/>
              <w:jc w:val="left"/>
            </w:pPr>
            <w:r>
              <w:rPr>
                <w:rFonts w:ascii="Cambria" w:hAnsi="Cambria" w:cs="Cambria" w:eastAsia="Cambria"/>
                <w:color w:val="1A1A1A"/>
                <w:sz w:val="18"/>
              </w:rPr>
              <w:t xml:space="preserve">~ 4</w:t>
            </w:r>
          </w:p>
        </w:tc>
        <w:tc>
          <w:tcPr/>
          <w:p>
            <w:pPr>
              <w:pStyle w:val="Compact"/>
              <w:spacing w:after="40" w:before="40"/>
              <w:jc w:val="left"/>
            </w:pPr>
            <w:r>
              <w:rPr>
                <w:rFonts w:ascii="Cambria" w:hAnsi="Cambria" w:cs="Cambria" w:eastAsia="Cambria"/>
                <w:color w:val="1A1A1A"/>
                <w:sz w:val="18"/>
              </w:rPr>
              <w:t xml:space="preserve">~ 6</w:t>
            </w:r>
          </w:p>
        </w:tc>
        <w:tc>
          <w:tcPr/>
          <w:p>
            <w:pPr>
              <w:pStyle w:val="Compact"/>
              <w:spacing w:after="40" w:before="40"/>
              <w:jc w:val="left"/>
            </w:pPr>
            <w:r>
              <w:rPr>
                <w:rFonts w:ascii="Cambria" w:hAnsi="Cambria" w:cs="Cambria" w:eastAsia="Cambria"/>
                <w:color w:val="1A1A1A"/>
                <w:sz w:val="18"/>
              </w:rPr>
              <w:t xml:space="preserve">~ 10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Recupero della mobilità (frazione territoriale)</w:t>
            </w:r>
          </w:p>
        </w:tc>
        <w:tc>
          <w:tcPr>
            <w:shd w:val="clear" w:color="auto" w:fill="F4F1EC"/>
          </w:tcPr>
          <w:p>
            <w:pPr>
              <w:pStyle w:val="Compact"/>
              <w:spacing w:after="40" w:before="40"/>
              <w:jc w:val="left"/>
            </w:pPr>
            <w:r>
              <w:rPr>
                <w:rFonts w:ascii="Cambria" w:hAnsi="Cambria" w:cs="Cambria" w:eastAsia="Cambria"/>
                <w:color w:val="1A1A1A"/>
                <w:sz w:val="18"/>
              </w:rPr>
              <w:t xml:space="preserve">~ 1</w:t>
            </w:r>
          </w:p>
        </w:tc>
        <w:tc>
          <w:tcPr>
            <w:shd w:val="clear" w:color="auto" w:fill="F4F1EC"/>
          </w:tcPr>
          <w:p>
            <w:pPr>
              <w:pStyle w:val="Compact"/>
              <w:spacing w:after="40" w:before="40"/>
              <w:jc w:val="left"/>
            </w:pPr>
            <w:r>
              <w:rPr>
                <w:rFonts w:ascii="Cambria" w:hAnsi="Cambria" w:cs="Cambria" w:eastAsia="Cambria"/>
                <w:color w:val="1A1A1A"/>
                <w:sz w:val="18"/>
              </w:rPr>
              <w:t xml:space="preserve">~ 2</w:t>
            </w:r>
          </w:p>
        </w:tc>
        <w:tc>
          <w:tcPr>
            <w:shd w:val="clear" w:color="auto" w:fill="F4F1EC"/>
          </w:tcPr>
          <w:p>
            <w:pPr>
              <w:pStyle w:val="Compact"/>
              <w:spacing w:after="40" w:before="40"/>
              <w:jc w:val="left"/>
            </w:pPr>
            <w:r>
              <w:rPr>
                <w:rFonts w:ascii="Cambria" w:hAnsi="Cambria" w:cs="Cambria" w:eastAsia="Cambria"/>
                <w:color w:val="1A1A1A"/>
                <w:sz w:val="18"/>
              </w:rPr>
              <w:t xml:space="preserve">~ 3</w:t>
            </w:r>
          </w:p>
        </w:tc>
      </w:tr>
      <w:tr>
        <w:tc>
          <w:tcPr/>
          <w:p>
            <w:pPr>
              <w:pStyle w:val="Compact"/>
              <w:spacing w:after="40" w:before="40"/>
              <w:jc w:val="left"/>
            </w:pPr>
            <w:r>
              <w:rPr>
                <w:rFonts w:ascii="Cambria" w:hAnsi="Cambria" w:cs="Cambria" w:eastAsia="Cambria"/>
                <w:b/>
                <w:bCs/>
                <w:color w:val="1A1A1A"/>
                <w:sz w:val="18"/>
              </w:rPr>
              <w:t xml:space="preserve">Totale risparmi diretti</w:t>
            </w:r>
          </w:p>
        </w:tc>
        <w:tc>
          <w:tcPr/>
          <w:p>
            <w:pPr>
              <w:pStyle w:val="Compact"/>
              <w:spacing w:after="40" w:before="40"/>
              <w:jc w:val="left"/>
            </w:pPr>
            <w:r>
              <w:rPr>
                <w:rFonts w:ascii="Cambria" w:hAnsi="Cambria" w:cs="Cambria" w:eastAsia="Cambria"/>
                <w:color w:val="1A1A1A"/>
                <w:sz w:val="18"/>
              </w:rPr>
              <w:t xml:space="preserve">~ 7</w:t>
            </w:r>
          </w:p>
        </w:tc>
        <w:tc>
          <w:tcPr/>
          <w:p>
            <w:pPr>
              <w:pStyle w:val="Compact"/>
              <w:spacing w:after="40" w:before="40"/>
              <w:jc w:val="left"/>
            </w:pPr>
            <w:r>
              <w:rPr>
                <w:rFonts w:ascii="Cambria" w:hAnsi="Cambria" w:cs="Cambria" w:eastAsia="Cambria"/>
                <w:color w:val="1A1A1A"/>
                <w:sz w:val="18"/>
              </w:rPr>
              <w:t xml:space="preserve">~ 12</w:t>
            </w:r>
          </w:p>
        </w:tc>
        <w:tc>
          <w:tcPr/>
          <w:p>
            <w:pPr>
              <w:pStyle w:val="Compact"/>
              <w:spacing w:after="40" w:before="40"/>
              <w:jc w:val="left"/>
            </w:pPr>
            <w:r>
              <w:rPr>
                <w:rFonts w:ascii="Cambria" w:hAnsi="Cambria" w:cs="Cambria" w:eastAsia="Cambria"/>
                <w:color w:val="1A1A1A"/>
                <w:sz w:val="18"/>
              </w:rPr>
              <w:t xml:space="preserve">~ 19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9</w:t>
            </w:r>
          </w:p>
        </w:tc>
        <w:tc>
          <w:tcPr>
            <w:shd w:val="clear" w:color="auto" w:fill="F4F1EC"/>
          </w:tcPr>
          <w:p>
            <w:pPr>
              <w:pStyle w:val="Compact"/>
              <w:spacing w:after="40" w:before="40"/>
              <w:jc w:val="left"/>
            </w:pPr>
            <w:r>
              <w:rPr>
                <w:rFonts w:ascii="Cambria" w:hAnsi="Cambria" w:cs="Cambria" w:eastAsia="Cambria"/>
                <w:color w:val="1A1A1A"/>
                <w:sz w:val="18"/>
              </w:rPr>
              <w:t xml:space="preserve">~ 14</w:t>
            </w:r>
          </w:p>
        </w:tc>
        <w:tc>
          <w:tcPr>
            <w:shd w:val="clear" w:color="auto" w:fill="F4F1EC"/>
          </w:tcPr>
          <w:p>
            <w:pPr>
              <w:pStyle w:val="Compact"/>
              <w:spacing w:after="40" w:before="40"/>
              <w:jc w:val="left"/>
            </w:pPr>
            <w:r>
              <w:rPr>
                <w:rFonts w:ascii="Cambria" w:hAnsi="Cambria" w:cs="Cambria" w:eastAsia="Cambria"/>
                <w:color w:val="1A1A1A"/>
                <w:sz w:val="18"/>
              </w:rPr>
              <w:t xml:space="preserve">~ 19</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−2</w:t>
            </w:r>
          </w:p>
        </w:tc>
        <w:tc>
          <w:tcPr/>
          <w:p>
            <w:pPr>
              <w:pStyle w:val="Compact"/>
              <w:spacing w:after="40" w:before="40"/>
              <w:jc w:val="left"/>
            </w:pPr>
            <w:r>
              <w:rPr>
                <w:rFonts w:ascii="Cambria" w:hAnsi="Cambria" w:cs="Cambria" w:eastAsia="Cambria"/>
                <w:color w:val="1A1A1A"/>
                <w:sz w:val="18"/>
              </w:rPr>
              <w:t xml:space="preserve">~ −2</w:t>
            </w:r>
          </w:p>
        </w:tc>
        <w:tc>
          <w:tcPr/>
          <w:p>
            <w:pPr>
              <w:pStyle w:val="Compact"/>
              <w:spacing w:after="40" w:before="40"/>
              <w:jc w:val="left"/>
            </w:pPr>
            <w:r>
              <w:rPr>
                <w:rFonts w:ascii="Cambria" w:hAnsi="Cambria" w:cs="Cambria" w:eastAsia="Cambria"/>
                <w:color w:val="1A1A1A"/>
                <w:sz w:val="18"/>
              </w:rPr>
              <w:t xml:space="preserve">~ 0</w:t>
            </w:r>
          </w:p>
        </w:tc>
      </w:tr>
    </w:tbl>
    <w:p>
      <w:pPr>
        <w:pStyle w:val="BodyText"/>
      </w:pPr>
      <w:r>
        <w:rPr>
          <w:i/>
          <w:iCs/>
        </w:rPr>
        <w:t xml:space="preserve">Tabella E.2. I risparmi diretti per il bilancio sanitario regionale e il saldo diretto.</w:t>
      </w:r>
    </w:p>
    <w:bookmarkEnd w:id="3822"/>
    <w:bookmarkStart w:id="3826" w:name="e.3-le-ricadute-economico-sociali-6"/>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concentrato nei poli urbani e nella componente giovanile — e, con peso particolare in una delle regioni più anziane d’Italia, il valore del benessere recuperato e il minor carico assistenziale sulle famiglie nelle aree interne segnate da cronicità e solitudine, e sono stimate, secondo i criteri prudenziali dello studio, nell’ordine di 30, 56 e 85 milioni di euro l’anno nei tre scenari.</w:t>
      </w:r>
      <w:r>
        <w:rPr>
          <w:rStyle w:val="FootnoteReference"/>
        </w:rPr>
        <w:footnoteReference w:id="3677"/>
      </w:r>
      <w:r>
        <w:t xml:space="preserve"> </w:t>
      </w:r>
      <w:r>
        <w:t xml:space="preserve">Sommate ai risparmi diretti, esse determinano un ritorno complessivo dell’ordine di 37, 68 e 104 milioni di euro l’anno, e un saldo complessivo per la collettività ampiamente positivo, dell’ordine di +28, +54 e +85 milioni.</w:t>
      </w:r>
      <w:r>
        <w:rPr>
          <w:rStyle w:val="FootnoteReference"/>
        </w:rPr>
        <w:footnoteReference w:id="3678"/>
      </w:r>
      <w:r>
        <w:t xml:space="preserve"> </w:t>
      </w:r>
      <w:r>
        <w:t xml:space="preserve">Ne discende un rapporto beneficio-costo complessivo dell’ordine di 4,1 a uno nello scenario conservativo, 4,9 a uno in quello di base e 5,5 a uno in quello espansivo, interamente compreso nella banda prudenziale adottata.</w:t>
      </w:r>
      <w:r>
        <w:rPr>
          <w:rStyle w:val="FootnoteReference"/>
        </w:rPr>
        <w:footnoteReference w:id="3679"/>
      </w:r>
    </w:p>
    <w:bookmarkEnd w:id="3826"/>
    <w:bookmarkStart w:id="3829" w:name="X029fde2c0e648b416b9eb960ba7f881cdb72f52"/>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sardo.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molto contenuto per il bilancio sanitario e senza ticket a carico del paziente.</w:t>
      </w:r>
      <w:r>
        <w:rPr>
          <w:rStyle w:val="FootnoteReference"/>
        </w:rPr>
        <w:footnoteReference w:id="3680"/>
      </w:r>
      <w:r>
        <w:t xml:space="preserve"> </w:t>
      </w:r>
      <w:r>
        <w:t xml:space="preserve">La tabella consolidata che segue è lo strumento sintetico per la decisione, e distingue in ogni voce la dimensione diretta da quella sociale.</w:t>
      </w:r>
      <w:r>
        <w:rPr>
          <w:rStyle w:val="FootnoteReference"/>
        </w:rPr>
        <w:footnoteReference w:id="3681"/>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Voce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9</w:t>
            </w:r>
          </w:p>
        </w:tc>
        <w:tc>
          <w:tcPr/>
          <w:p>
            <w:pPr>
              <w:pStyle w:val="Compact"/>
              <w:spacing w:after="40" w:before="40"/>
              <w:jc w:val="left"/>
            </w:pPr>
            <w:r>
              <w:rPr>
                <w:rFonts w:ascii="Cambria" w:hAnsi="Cambria" w:cs="Cambria" w:eastAsia="Cambria"/>
                <w:color w:val="1A1A1A"/>
                <w:sz w:val="18"/>
              </w:rPr>
              <w:t xml:space="preserve">~ 14</w:t>
            </w:r>
          </w:p>
        </w:tc>
        <w:tc>
          <w:tcPr/>
          <w:p>
            <w:pPr>
              <w:pStyle w:val="Compact"/>
              <w:spacing w:after="40" w:before="40"/>
              <w:jc w:val="left"/>
            </w:pPr>
            <w:r>
              <w:rPr>
                <w:rFonts w:ascii="Cambria" w:hAnsi="Cambria" w:cs="Cambria" w:eastAsia="Cambria"/>
                <w:color w:val="1A1A1A"/>
                <w:sz w:val="18"/>
              </w:rPr>
              <w:t xml:space="preserve">~ 19</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7</w:t>
            </w:r>
          </w:p>
        </w:tc>
        <w:tc>
          <w:tcPr>
            <w:shd w:val="clear" w:color="auto" w:fill="F4F1EC"/>
          </w:tcPr>
          <w:p>
            <w:pPr>
              <w:pStyle w:val="Compact"/>
              <w:spacing w:after="40" w:before="40"/>
              <w:jc w:val="left"/>
            </w:pPr>
            <w:r>
              <w:rPr>
                <w:rFonts w:ascii="Cambria" w:hAnsi="Cambria" w:cs="Cambria" w:eastAsia="Cambria"/>
                <w:color w:val="1A1A1A"/>
                <w:sz w:val="18"/>
              </w:rPr>
              <w:t xml:space="preserve">~ 12</w:t>
            </w:r>
          </w:p>
        </w:tc>
        <w:tc>
          <w:tcPr>
            <w:shd w:val="clear" w:color="auto" w:fill="F4F1EC"/>
          </w:tcPr>
          <w:p>
            <w:pPr>
              <w:pStyle w:val="Compact"/>
              <w:spacing w:after="40" w:before="40"/>
              <w:jc w:val="left"/>
            </w:pPr>
            <w:r>
              <w:rPr>
                <w:rFonts w:ascii="Cambria" w:hAnsi="Cambria" w:cs="Cambria" w:eastAsia="Cambria"/>
                <w:color w:val="1A1A1A"/>
                <w:sz w:val="18"/>
              </w:rPr>
              <w:t xml:space="preserve">~ 19</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−2</w:t>
            </w:r>
          </w:p>
        </w:tc>
        <w:tc>
          <w:tcPr/>
          <w:p>
            <w:pPr>
              <w:pStyle w:val="Compact"/>
              <w:spacing w:after="40" w:before="40"/>
              <w:jc w:val="left"/>
            </w:pPr>
            <w:r>
              <w:rPr>
                <w:rFonts w:ascii="Cambria" w:hAnsi="Cambria" w:cs="Cambria" w:eastAsia="Cambria"/>
                <w:color w:val="1A1A1A"/>
                <w:sz w:val="18"/>
              </w:rPr>
              <w:t xml:space="preserve">~ −2</w:t>
            </w:r>
          </w:p>
        </w:tc>
        <w:tc>
          <w:tcPr/>
          <w:p>
            <w:pPr>
              <w:pStyle w:val="Compact"/>
              <w:spacing w:after="40" w:before="40"/>
              <w:jc w:val="left"/>
            </w:pPr>
            <w:r>
              <w:rPr>
                <w:rFonts w:ascii="Cambria" w:hAnsi="Cambria" w:cs="Cambria" w:eastAsia="Cambria"/>
                <w:color w:val="1A1A1A"/>
                <w:sz w:val="18"/>
              </w:rPr>
              <w:t xml:space="preserve">~ 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30</w:t>
            </w:r>
          </w:p>
        </w:tc>
        <w:tc>
          <w:tcPr>
            <w:shd w:val="clear" w:color="auto" w:fill="F4F1EC"/>
          </w:tcPr>
          <w:p>
            <w:pPr>
              <w:pStyle w:val="Compact"/>
              <w:spacing w:after="40" w:before="40"/>
              <w:jc w:val="left"/>
            </w:pPr>
            <w:r>
              <w:rPr>
                <w:rFonts w:ascii="Cambria" w:hAnsi="Cambria" w:cs="Cambria" w:eastAsia="Cambria"/>
                <w:color w:val="1A1A1A"/>
                <w:sz w:val="18"/>
              </w:rPr>
              <w:t xml:space="preserve">~ 56</w:t>
            </w:r>
          </w:p>
        </w:tc>
        <w:tc>
          <w:tcPr>
            <w:shd w:val="clear" w:color="auto" w:fill="F4F1EC"/>
          </w:tcPr>
          <w:p>
            <w:pPr>
              <w:pStyle w:val="Compact"/>
              <w:spacing w:after="40" w:before="40"/>
              <w:jc w:val="left"/>
            </w:pPr>
            <w:r>
              <w:rPr>
                <w:rFonts w:ascii="Cambria" w:hAnsi="Cambria" w:cs="Cambria" w:eastAsia="Cambria"/>
                <w:color w:val="1A1A1A"/>
                <w:sz w:val="18"/>
              </w:rPr>
              <w:t xml:space="preserve">~ 85</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 37</w:t>
            </w:r>
          </w:p>
        </w:tc>
        <w:tc>
          <w:tcPr/>
          <w:p>
            <w:pPr>
              <w:pStyle w:val="Compact"/>
              <w:spacing w:after="40" w:before="40"/>
              <w:jc w:val="left"/>
            </w:pPr>
            <w:r>
              <w:rPr>
                <w:rFonts w:ascii="Cambria" w:hAnsi="Cambria" w:cs="Cambria" w:eastAsia="Cambria"/>
                <w:color w:val="1A1A1A"/>
                <w:sz w:val="18"/>
              </w:rPr>
              <w:t xml:space="preserve">~ 68</w:t>
            </w:r>
          </w:p>
        </w:tc>
        <w:tc>
          <w:tcPr/>
          <w:p>
            <w:pPr>
              <w:pStyle w:val="Compact"/>
              <w:spacing w:after="40" w:before="40"/>
              <w:jc w:val="left"/>
            </w:pPr>
            <w:r>
              <w:rPr>
                <w:rFonts w:ascii="Cambria" w:hAnsi="Cambria" w:cs="Cambria" w:eastAsia="Cambria"/>
                <w:color w:val="1A1A1A"/>
                <w:sz w:val="18"/>
              </w:rPr>
              <w:t xml:space="preserve">~ 104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 +28</w:t>
            </w:r>
          </w:p>
        </w:tc>
        <w:tc>
          <w:tcPr>
            <w:shd w:val="clear" w:color="auto" w:fill="F4F1EC"/>
          </w:tcPr>
          <w:p>
            <w:pPr>
              <w:pStyle w:val="Compact"/>
              <w:spacing w:after="40" w:before="40"/>
              <w:jc w:val="left"/>
            </w:pPr>
            <w:r>
              <w:rPr>
                <w:rFonts w:ascii="Cambria" w:hAnsi="Cambria" w:cs="Cambria" w:eastAsia="Cambria"/>
                <w:color w:val="1A1A1A"/>
                <w:sz w:val="18"/>
              </w:rPr>
              <w:t xml:space="preserve">~ +54</w:t>
            </w:r>
          </w:p>
        </w:tc>
        <w:tc>
          <w:tcPr>
            <w:shd w:val="clear" w:color="auto" w:fill="F4F1EC"/>
          </w:tcPr>
          <w:p>
            <w:pPr>
              <w:pStyle w:val="Compact"/>
              <w:spacing w:after="40" w:before="40"/>
              <w:jc w:val="left"/>
            </w:pPr>
            <w:r>
              <w:rPr>
                <w:rFonts w:ascii="Cambria" w:hAnsi="Cambria" w:cs="Cambria" w:eastAsia="Cambria"/>
                <w:color w:val="1A1A1A"/>
                <w:sz w:val="18"/>
              </w:rPr>
              <w:t xml:space="preserve">~ +85</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 4,1:1</w:t>
            </w:r>
          </w:p>
        </w:tc>
        <w:tc>
          <w:tcPr/>
          <w:p>
            <w:pPr>
              <w:pStyle w:val="Compact"/>
              <w:spacing w:after="40" w:before="40"/>
              <w:jc w:val="left"/>
            </w:pPr>
            <w:r>
              <w:rPr>
                <w:rFonts w:ascii="Cambria" w:hAnsi="Cambria" w:cs="Cambria" w:eastAsia="Cambria"/>
                <w:color w:val="1A1A1A"/>
                <w:sz w:val="18"/>
              </w:rPr>
              <w:t xml:space="preserve">~ 4,9:1</w:t>
            </w:r>
          </w:p>
        </w:tc>
        <w:tc>
          <w:tcPr/>
          <w:p>
            <w:pPr>
              <w:pStyle w:val="Compact"/>
              <w:spacing w:after="40" w:before="40"/>
              <w:jc w:val="left"/>
            </w:pPr>
            <w:r>
              <w:rPr>
                <w:rFonts w:ascii="Cambria" w:hAnsi="Cambria" w:cs="Cambria" w:eastAsia="Cambria"/>
                <w:color w:val="1A1A1A"/>
                <w:sz w:val="18"/>
              </w:rPr>
              <w:t xml:space="preserve">~ 5,5:1</w:t>
            </w:r>
          </w:p>
        </w:tc>
      </w:tr>
    </w:tbl>
    <w:p>
      <w:pPr>
        <w:pStyle w:val="BodyText"/>
      </w:pPr>
      <w:r>
        <w:rPr>
          <w:i/>
          <w:iCs/>
        </w:rPr>
        <w:t xml:space="preserve">Tabella E.3. Il quadro economico consolidato, con la distinzione fra caso finanziario e caso economico.</w:t>
      </w:r>
    </w:p>
    <w:bookmarkEnd w:id="3829"/>
    <w:bookmarkStart w:id="3832" w:name="X356d90a7abc9a671299f688b4ef1c97f0de6c28"/>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w:t>
      </w:r>
      <w:r>
        <w:rPr>
          <w:rStyle w:val="FootnoteReference"/>
        </w:rPr>
        <w:footnoteReference w:id="3682"/>
      </w:r>
      <w:r>
        <w:t xml:space="preserve"> </w:t>
      </w:r>
      <w:r>
        <w:t xml:space="preserve">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w:t>
      </w:r>
      <w:r>
        <w:rPr>
          <w:rStyle w:val="FootnoteReference"/>
        </w:rPr>
        <w:footnoteReference w:id="3683"/>
      </w:r>
      <w:r>
        <w:t xml:space="preserve"> </w:t>
      </w:r>
      <w:r>
        <w:t xml:space="preserve">La tabella seguente riepiloga il risultato per paziente.</w:t>
      </w:r>
    </w:p>
    <w:tbl>
      <w:tblPr>
        <w:tblStyle w:val="Table"/>
        <w:tblW w:type="pct" w:w="491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272"/>
        <w:gridCol w:w="1272"/>
        <w:gridCol w:w="18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Comparatore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atteso per paziente</w:t>
            </w:r>
          </w:p>
        </w:tc>
        <w:tc>
          <w:tcPr/>
          <w:p>
            <w:pPr>
              <w:pStyle w:val="Compact"/>
              <w:spacing w:after="40" w:before="40"/>
              <w:jc w:val="left"/>
            </w:pPr>
            <w:r>
              <w:rPr>
                <w:rFonts w:ascii="Cambria" w:hAnsi="Cambria" w:cs="Cambria" w:eastAsia="Cambria"/>
                <w:color w:val="1A1A1A"/>
                <w:sz w:val="18"/>
              </w:rPr>
              <w:t xml:space="preserve">~ 3.799 euro</w:t>
            </w:r>
          </w:p>
        </w:tc>
        <w:tc>
          <w:tcPr/>
          <w:p>
            <w:pPr>
              <w:pStyle w:val="Compact"/>
              <w:spacing w:after="40" w:before="40"/>
              <w:jc w:val="left"/>
            </w:pPr>
            <w:r>
              <w:rPr>
                <w:rFonts w:ascii="Cambria" w:hAnsi="Cambria" w:cs="Cambria" w:eastAsia="Cambria"/>
                <w:color w:val="1A1A1A"/>
                <w:sz w:val="18"/>
              </w:rPr>
              <w:t xml:space="preserve">~ 2.495 euro</w:t>
            </w:r>
          </w:p>
        </w:tc>
        <w:tc>
          <w:tcPr/>
          <w:p>
            <w:pPr>
              <w:pStyle w:val="Compact"/>
              <w:spacing w:after="40" w:before="40"/>
              <w:jc w:val="left"/>
            </w:pPr>
            <w:r>
              <w:rPr>
                <w:rFonts w:ascii="Cambria" w:hAnsi="Cambria" w:cs="Cambria" w:eastAsia="Cambria"/>
                <w:color w:val="1A1A1A"/>
                <w:sz w:val="18"/>
              </w:rPr>
              <w:t xml:space="preserve">− 1.304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Anni di vita ponderati (QALY)</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Intervento dominante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(soglia 30.000 euro/QALY)</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88,9% delle simulazioni</w:t>
            </w:r>
          </w:p>
        </w:tc>
      </w:tr>
    </w:tbl>
    <w:p>
      <w:pPr>
        <w:pStyle w:val="BodyText"/>
      </w:pPr>
      <w:r>
        <w:rPr>
          <w:i/>
          <w:iCs/>
        </w:rPr>
        <w:t xml:space="preserve">Tabella E.4. L</w:t>
      </w:r>
      <w:r>
        <w:rPr>
          <w:b/>
          <w:bCs/>
          <w:i/>
          <w:iCs/>
        </w:rPr>
        <w:t xml:space="preserve">’</w:t>
      </w:r>
      <w:r>
        <w:rPr>
          <w:i/>
          <w:iCs/>
        </w:rPr>
        <w:t xml:space="preserve">analisi costo-utilità per paziente trattato (modello di Markov a cinque anni).</w:t>
      </w:r>
    </w:p>
    <w:bookmarkEnd w:id="3832"/>
    <w:bookmarkStart w:id="3836" w:name="X2ad4c40e271a725db084427eef086529e4e8473"/>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0,5% in quello espansivo; la sostenibilità è condizionata dal fatto che la Sardegna, regione a statuto speciale, si autofinanzia integralmente la sanità — sicché i tetti nazionali di spesa non le si applicano, purché rispetti il pareggio — ma registra il più elevato disavanzo fra le regioni a statuto speciale, sicché il vincolo di bilancio è severo, pur a fronte di un sistema sotto-finanziato con ampio margine di recupero; il modello dipartimentale è inoltre gratuito. La strutturazione a regime richiede la copertura finanziaria cui la legge subordina l’attivazione del Dipartimento.</w:t>
      </w:r>
      <w:r>
        <w:rPr>
          <w:rStyle w:val="FootnoteReference"/>
        </w:rPr>
        <w:footnoteReference w:id="3684"/>
      </w:r>
      <w:r>
        <w:t xml:space="preserve"> </w:t>
      </w:r>
      <w:r>
        <w:t xml:space="preserve">Resta da dichiarare con franchezza la lacuna dei dati: le grandezze economiche sono in parte ricostruite dai conti nazionali per quota di popolazione e non estratte dai conti certificati delle Aziende; poiché il Dipartimento è attivo solo parzialmente, la Sardegna dispone di una base di dati operativi propri limitata, sicché la stima poggia sui benchmark, e il monitoraggio del Dipartimento ne sarà la fonte primaria; l’estrazione dei dati certificati resta la priorità da completare.</w:t>
      </w:r>
      <w:r>
        <w:rPr>
          <w:rStyle w:val="FootnoteReference"/>
        </w:rPr>
        <w:footnoteReference w:id="3685"/>
      </w:r>
      <w:r>
        <w:t xml:space="preserve"> </w:t>
      </w:r>
      <w:r>
        <w:t xml:space="preserve">La sintesi è univoca: il caso diretto è prudente e prossimo al pareggio,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w:t>
      </w:r>
      <w:r>
        <w:rPr>
          <w:rStyle w:val="FootnoteReference"/>
        </w:rPr>
        <w:footnoteReference w:id="3686"/>
      </w:r>
      <w:r>
        <w:t xml:space="preserve"> </w:t>
      </w:r>
      <w:r>
        <w:t xml:space="preserve">La parte che segue sottopone questo quadro alla prova dell’incertezza e della modellazione.</w:t>
      </w:r>
    </w:p>
    <w:bookmarkEnd w:id="3836"/>
    <w:bookmarkEnd w:id="3837"/>
    <w:bookmarkStart w:id="3858" w:name="parte-f-modellazione-e-incertezza-11"/>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Sardegna quest’ultimo capitolo riveste un’importanza particolare: poiché il Dipartimento è attivo solo parzialmente, la prova empirica si ancora inizialmente ai benchmark, ma l’attivazione scaglionata del Dipartimento nelle otto Aziende offre l’opportunità di impostare fin dall’inizio una rilevazione uniforme, avvalendosi del coordinamento dell’ARES, presupposto di un’evidenza locale solida.</w:t>
      </w:r>
    </w:p>
    <w:bookmarkStart w:id="3842" w:name="X58a139246b266087092fcceb836ea6ac6ee3586"/>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3687"/>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3688"/>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3689"/>
      </w:r>
      <w:r>
        <w:t xml:space="preserve"> </w:t>
      </w:r>
      <w:r>
        <w:t xml:space="preserve">Nel caso base l’intervento è dominante, con un risparmio per paziente dell’ordine di 1.304 euro e un guadagno di 0,236 anni di vita ponderati per la qualità.</w:t>
      </w:r>
      <w:r>
        <w:rPr>
          <w:rStyle w:val="FootnoteReference"/>
        </w:rPr>
        <w:footnoteReference w:id="3690"/>
      </w:r>
      <w:r>
        <w:t xml:space="preserve"> </w:t>
      </w:r>
      <w:r>
        <w:t xml:space="preserve">La tabella seguente riepiloga i parametri principali del modello.</w:t>
      </w:r>
    </w:p>
    <w:tbl>
      <w:tblPr>
        <w:tblStyle w:val="Table"/>
        <w:tblW w:type="pct" w:w="489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01"/>
        <w:gridCol w:w="475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Stati clinici</w:t>
            </w:r>
          </w:p>
        </w:tc>
        <w:tc>
          <w:tcPr/>
          <w:p>
            <w:pPr>
              <w:pStyle w:val="Compact"/>
              <w:spacing w:after="40" w:before="40"/>
              <w:jc w:val="left"/>
            </w:pPr>
            <w:r>
              <w:rPr>
                <w:rFonts w:ascii="Cambria" w:hAnsi="Cambria" w:cs="Cambria" w:eastAsia="Cambria"/>
                <w:color w:val="1A1A1A"/>
                <w:sz w:val="18"/>
              </w:rPr>
              <w:t xml:space="preserve">Benessere o sottosoglia, episodio, cronicità, recupero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Cinque anni, con cicli successivi</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(recupero)</w:t>
            </w:r>
          </w:p>
        </w:tc>
        <w:tc>
          <w:tcPr>
            <w:shd w:val="clear" w:color="auto" w:fill="F4F1EC"/>
          </w:tcPr>
          <w:p>
            <w:pPr>
              <w:pStyle w:val="Compact"/>
              <w:spacing w:after="40" w:before="40"/>
              <w:jc w:val="left"/>
            </w:pPr>
            <w:r>
              <w:rPr>
                <w:rFonts w:ascii="Cambria" w:hAnsi="Cambria" w:cs="Cambria" w:eastAsia="Cambria"/>
                <w:color w:val="1A1A1A"/>
                <w:sz w:val="18"/>
              </w:rPr>
              <w:t xml:space="preserve">~ 40 euro</w:t>
            </w:r>
          </w:p>
        </w:tc>
      </w:tr>
      <w:tr>
        <w:tc>
          <w:tcPr/>
          <w:p>
            <w:pPr>
              <w:pStyle w:val="Compact"/>
              <w:spacing w:after="40" w:before="40"/>
              <w:jc w:val="left"/>
            </w:pPr>
            <w:r>
              <w:rPr>
                <w:rFonts w:ascii="Cambria" w:hAnsi="Cambria" w:cs="Cambria" w:eastAsia="Cambria"/>
                <w:b/>
                <w:bCs/>
                <w:color w:val="1A1A1A"/>
                <w:sz w:val="18"/>
              </w:rPr>
              <w:t xml:space="preserve">Costo per ciclo (cronicità)</w:t>
            </w:r>
          </w:p>
        </w:tc>
        <w:tc>
          <w:tcPr/>
          <w:p>
            <w:pPr>
              <w:pStyle w:val="Compact"/>
              <w:spacing w:after="40" w:before="40"/>
              <w:jc w:val="left"/>
            </w:pPr>
            <w:r>
              <w:rPr>
                <w:rFonts w:ascii="Cambria" w:hAnsi="Cambria" w:cs="Cambria" w:eastAsia="Cambria"/>
                <w:color w:val="1A1A1A"/>
                <w:sz w:val="18"/>
              </w:rPr>
              <w:t xml:space="preserve">~ 700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 300 euro una tantum</w:t>
            </w:r>
          </w:p>
        </w:tc>
      </w:tr>
      <w:tr>
        <w:tc>
          <w:tcPr/>
          <w:p>
            <w:pPr>
              <w:pStyle w:val="Compact"/>
              <w:spacing w:after="40" w:before="40"/>
              <w:jc w:val="left"/>
            </w:pPr>
            <w:r>
              <w:rPr>
                <w:rFonts w:ascii="Cambria" w:hAnsi="Cambria" w:cs="Cambria" w:eastAsia="Cambria"/>
                <w:b/>
                <w:bCs/>
                <w:color w:val="1A1A1A"/>
                <w:sz w:val="18"/>
              </w:rPr>
              <w:t xml:space="preserve">Trattamento dell’incertezza</w:t>
            </w:r>
          </w:p>
        </w:tc>
        <w:tc>
          <w:tcPr/>
          <w:p>
            <w:pPr>
              <w:pStyle w:val="Compact"/>
              <w:spacing w:after="40" w:before="40"/>
              <w:jc w:val="left"/>
            </w:pPr>
            <w:r>
              <w:rPr>
                <w:rFonts w:ascii="Cambria" w:hAnsi="Cambria" w:cs="Cambria" w:eastAsia="Cambria"/>
                <w:color w:val="1A1A1A"/>
                <w:sz w:val="18"/>
              </w:rPr>
              <w:t xml:space="preserve">Parametri come distribuzioni di probabilità</w:t>
            </w:r>
          </w:p>
        </w:tc>
      </w:tr>
    </w:tbl>
    <w:p>
      <w:pPr>
        <w:pStyle w:val="BodyText"/>
      </w:pPr>
      <w:r>
        <w:rPr>
          <w:i/>
          <w:iCs/>
        </w:rPr>
        <w:t xml:space="preserve">Tabella F.1. I parametri principali del modello di Markov (comune a tutti gli studi della serie).</w:t>
      </w:r>
    </w:p>
    <w:bookmarkEnd w:id="3842"/>
    <w:bookmarkStart w:id="3845" w:name="Xf5fa30055f92b62735509a23fc43b5f448c91c3"/>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3691"/>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3692"/>
      </w:r>
    </w:p>
    <w:bookmarkEnd w:id="3845"/>
    <w:bookmarkStart w:id="3848" w:name="X3038245d7fd45850ddb1dbea5861064c0a574a9"/>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3693"/>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3694"/>
      </w:r>
      <w:r>
        <w:t xml:space="preserve"> </w:t>
      </w:r>
      <w:r>
        <w:t xml:space="preserve">La tabella seguente riepiloga gli esiti della sensibilità probabilistica.</w:t>
      </w:r>
    </w:p>
    <w:tbl>
      <w:tblPr>
        <w:tblStyle w:val="Table"/>
        <w:tblW w:type="pct" w:w="490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940"/>
        <w:gridCol w:w="282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Esito della sensibilità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Probabilità di costo-efficacia (soglia 30.000 euro/QALY)</w:t>
            </w:r>
          </w:p>
        </w:tc>
        <w:tc>
          <w:tcPr/>
          <w:p>
            <w:pPr>
              <w:pStyle w:val="Compact"/>
              <w:spacing w:after="40" w:before="40"/>
              <w:jc w:val="left"/>
            </w:pPr>
            <w:r>
              <w:rPr>
                <w:rFonts w:ascii="Cambria" w:hAnsi="Cambria" w:cs="Cambria" w:eastAsia="Cambria"/>
                <w:color w:val="1A1A1A"/>
                <w:sz w:val="18"/>
              </w:rPr>
              <w:t xml:space="preserve">88,9% delle simulazioni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dominanza</w:t>
            </w:r>
          </w:p>
        </w:tc>
        <w:tc>
          <w:tcPr>
            <w:shd w:val="clear" w:color="auto" w:fill="F4F1EC"/>
          </w:tcPr>
          <w:p>
            <w:pPr>
              <w:pStyle w:val="Compact"/>
              <w:spacing w:after="40" w:before="40"/>
              <w:jc w:val="left"/>
            </w:pPr>
            <w:r>
              <w:rPr>
                <w:rFonts w:ascii="Cambria" w:hAnsi="Cambria" w:cs="Cambria" w:eastAsia="Cambria"/>
                <w:color w:val="1A1A1A"/>
                <w:sz w:val="18"/>
              </w:rPr>
              <w:t xml:space="preserve">84,6% delle simulazioni</w:t>
            </w:r>
          </w:p>
        </w:tc>
      </w:tr>
      <w:tr>
        <w:tc>
          <w:tcPr/>
          <w:p>
            <w:pPr>
              <w:pStyle w:val="Compact"/>
              <w:spacing w:after="40" w:before="40"/>
              <w:jc w:val="left"/>
            </w:pPr>
            <w:r>
              <w:rPr>
                <w:rFonts w:ascii="Cambria" w:hAnsi="Cambria" w:cs="Cambria" w:eastAsia="Cambria"/>
                <w:b/>
                <w:bCs/>
                <w:color w:val="1A1A1A"/>
                <w:sz w:val="18"/>
              </w:rPr>
              <w:t xml:space="preserve">Beneficio monetario netto medio per paziente</w:t>
            </w:r>
          </w:p>
        </w:tc>
        <w:tc>
          <w:tcPr/>
          <w:p>
            <w:pPr>
              <w:pStyle w:val="Compact"/>
              <w:spacing w:after="40" w:before="40"/>
              <w:jc w:val="left"/>
            </w:pPr>
            <w:r>
              <w:rPr>
                <w:rFonts w:ascii="Cambria" w:hAnsi="Cambria" w:cs="Cambria" w:eastAsia="Cambria"/>
                <w:color w:val="1A1A1A"/>
                <w:sz w:val="18"/>
              </w:rPr>
              <w:t xml:space="preserve">~ 7.815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Intervallo di confidenza al 95%</w:t>
            </w:r>
          </w:p>
        </w:tc>
        <w:tc>
          <w:tcPr>
            <w:shd w:val="clear" w:color="auto" w:fill="F4F1EC"/>
          </w:tcPr>
          <w:p>
            <w:pPr>
              <w:pStyle w:val="Compact"/>
              <w:spacing w:after="40" w:before="40"/>
              <w:jc w:val="left"/>
            </w:pPr>
            <w:r>
              <w:rPr>
                <w:rFonts w:ascii="Cambria" w:hAnsi="Cambria" w:cs="Cambria" w:eastAsia="Cambria"/>
                <w:color w:val="1A1A1A"/>
                <w:sz w:val="18"/>
              </w:rPr>
              <w:t xml:space="preserve">da ~ −5.736 a ~ +21.501 euro</w:t>
            </w:r>
          </w:p>
        </w:tc>
      </w:tr>
      <w:tr>
        <w:tc>
          <w:tcPr/>
          <w:p>
            <w:pPr>
              <w:pStyle w:val="Compact"/>
              <w:spacing w:after="40" w:before="40"/>
              <w:jc w:val="left"/>
            </w:pPr>
            <w:r>
              <w:rPr>
                <w:rFonts w:ascii="Cambria" w:hAnsi="Cambria" w:cs="Cambria" w:eastAsia="Cambria"/>
                <w:b/>
                <w:bCs/>
                <w:color w:val="1A1A1A"/>
                <w:sz w:val="18"/>
              </w:rPr>
              <w:t xml:space="preserve">Numero di simulazioni</w:t>
            </w:r>
          </w:p>
        </w:tc>
        <w:tc>
          <w:tcPr/>
          <w:p>
            <w:pPr>
              <w:pStyle w:val="Compact"/>
              <w:spacing w:after="40" w:before="40"/>
              <w:jc w:val="left"/>
            </w:pPr>
            <w:r>
              <w:rPr>
                <w:rFonts w:ascii="Cambria" w:hAnsi="Cambria" w:cs="Cambria" w:eastAsia="Cambria"/>
                <w:color w:val="1A1A1A"/>
                <w:sz w:val="18"/>
              </w:rPr>
              <w:t xml:space="preserve">10.000</w:t>
            </w:r>
          </w:p>
        </w:tc>
      </w:tr>
    </w:tbl>
    <w:p>
      <w:pPr>
        <w:pStyle w:val="BodyText"/>
      </w:pPr>
      <w:r>
        <w:rPr>
          <w:i/>
          <w:iCs/>
        </w:rPr>
        <w:t xml:space="preserve">Tabella F.2. Gli esiti dell</w:t>
      </w:r>
      <w:r>
        <w:rPr>
          <w:b/>
          <w:bCs/>
          <w:i/>
          <w:iCs/>
        </w:rPr>
        <w:t xml:space="preserve">’</w:t>
      </w:r>
      <w:r>
        <w:rPr>
          <w:i/>
          <w:iCs/>
        </w:rPr>
        <w:t xml:space="preserve">analisi di sensibilità probabilistica (per paziente).</w:t>
      </w:r>
    </w:p>
    <w:bookmarkEnd w:id="3848"/>
    <w:bookmarkStart w:id="3851" w:name="X0061da3bf6527866ad83bddbde9e0c3a5ea5a7b"/>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3695"/>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3696"/>
      </w:r>
    </w:p>
    <w:bookmarkEnd w:id="3851"/>
    <w:bookmarkStart w:id="3857" w:name="X30fb3f21ed5d1fbbf3dfe28a7dbf7d877afcb44"/>
    <w:p>
      <w:pPr>
        <w:pStyle w:val="Heading3"/>
      </w:pPr>
      <w:r>
        <w:t xml:space="preserve">F.5 La verifica empirica e il valore dell’informazione</w:t>
      </w:r>
    </w:p>
    <w:p>
      <w:pPr>
        <w:pStyle w:val="FirstParagraph"/>
      </w:pPr>
      <w:r>
        <w:t xml:space="preserve">Il disegno della verifica empirica costituisce, per la Sardegna, un capitolo da impostare con cura. Poiché il Dipartimento è attivo nella sola Azienda di Sassari e la sua estensione alle altre avverrà in tempi differenziati, la verifica controfattuale può fondarsi su un esperimento a cunei progressivi, nel quale l’ordine e i tempi di attivazione del Dipartimento tra le otto Aziende socio-sanitarie locali sono impiegati a fini valutativi: l’attuazione iniziale consente di rilevare una linea di base prima della piena operatività e l’attivazione scaglionata, a partire da Sassari, fornisce la variazione necessaria all’identificazione dell’effetto.</w:t>
      </w:r>
      <w:r>
        <w:rPr>
          <w:rStyle w:val="FootnoteReference"/>
        </w:rPr>
        <w:footnoteReference w:id="3697"/>
      </w:r>
      <w:r>
        <w:t xml:space="preserve"> </w:t>
      </w:r>
      <w:r>
        <w:t xml:space="preserve">L’effetto causale è stimato con la differenza-nelle-differenze e con il controllo sintetico, a partire dai dati che affluiscono man mano che il Dipartimento si attiva e dalla progressione differenziata della sua estensione fra le Aziende.</w:t>
      </w:r>
      <w:r>
        <w:rPr>
          <w:rStyle w:val="FootnoteReference"/>
        </w:rPr>
        <w:footnoteReference w:id="3698"/>
      </w:r>
      <w:r>
        <w:t xml:space="preserve"> </w:t>
      </w:r>
      <w:r>
        <w:t xml:space="preserve">L’analisi del valore dell’informazione indica che il beneficio di ridurre l’incertezza, alla scala della popolazione sarda, eccede ampiamente il costo della raccolta dei dati; le priorità sono l’estrazione dei conti certificati delle Aziende e l’impostazione di un flusso uniforme dei dati di esito attraverso il monitoraggio del Dipartimento.</w:t>
      </w:r>
      <w:r>
        <w:rPr>
          <w:rStyle w:val="FootnoteReference"/>
        </w:rPr>
        <w:footnoteReference w:id="3699"/>
      </w:r>
      <w:r>
        <w:t xml:space="preserve"> </w:t>
      </w:r>
      <w:r>
        <w:t xml:space="preserve">L’attuazione iniziale consente così di impostare correttamente la rilevazione fin dall’inizio, conducendo la regione, in modo programmato, da una valutazione fondata su dati esterni a una fondata in misura crescente su dati propri.</w:t>
      </w:r>
      <w:r>
        <w:rPr>
          <w:rStyle w:val="FootnoteReference"/>
        </w:rPr>
        <w:footnoteReference w:id="3700"/>
      </w:r>
      <w:r>
        <w:t xml:space="preserve"> </w:t>
      </w:r>
      <w:r>
        <w:t xml:space="preserve">La sintesi è univoca: il modello è robusto sul piano clinico-economico per paziente, l’incertezza aggregata è governata con scenari prudenti e con un piano di acquisizione e consolidamento dei dati, e la condizione di regione ad attuazione parziale impone di ancorare inizialmente la prova ai benchmark, valorizzando l’opportunità di una rilevazione ben progettata. La parte che segue affronta l’equità e l’impatto distributivo.</w:t>
      </w:r>
      <w:r>
        <w:rPr>
          <w:rStyle w:val="FootnoteReference"/>
        </w:rPr>
        <w:footnoteReference w:id="3701"/>
      </w:r>
    </w:p>
    <w:tbl>
      <w:tblPr>
        <w:tblStyle w:val="Table"/>
        <w:tblW w:type="pct" w:w="492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5"/>
        <w:gridCol w:w="2812"/>
        <w:gridCol w:w="137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Priorità di ricerca</w:t>
            </w:r>
          </w:p>
        </w:tc>
        <w:tc>
          <w:tcPr>
            <w:shd w:val="clear" w:color="auto" w:fill="16264B"/>
          </w:tcPr>
          <w:p>
            <w:pPr>
              <w:pStyle w:val="Compact"/>
              <w:spacing w:after="40" w:before="40"/>
              <w:jc w:val="left"/>
            </w:pPr>
            <w:r>
              <w:rPr>
                <w:rFonts w:ascii="Cambria" w:hAnsi="Cambria" w:cs="Cambria" w:eastAsia="Cambria"/>
                <w:b/>
                <w:bCs/>
                <w:color w:val="FFFFFF"/>
                <w:sz w:val="18"/>
              </w:rPr>
              <w:t xml:space="preserve">Finalità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Rilevanza</w:t>
            </w:r>
          </w:p>
        </w:tc>
      </w:tr>
      <w:tr>
        <w:tc>
          <w:tcPr/>
          <w:p>
            <w:pPr>
              <w:pStyle w:val="Compact"/>
              <w:spacing w:after="40" w:before="40"/>
              <w:jc w:val="left"/>
            </w:pPr>
            <w:r>
              <w:rPr>
                <w:rFonts w:ascii="Cambria" w:hAnsi="Cambria" w:cs="Cambria" w:eastAsia="Cambria"/>
                <w:b/>
                <w:bCs/>
                <w:color w:val="1A1A1A"/>
                <w:sz w:val="18"/>
              </w:rPr>
              <w:t xml:space="preserve">Conti certificati delle otto Aziende e delle AOU</w:t>
            </w:r>
          </w:p>
        </w:tc>
        <w:tc>
          <w:tcPr/>
          <w:p>
            <w:pPr>
              <w:pStyle w:val="Compact"/>
              <w:spacing w:after="40" w:before="40"/>
              <w:jc w:val="left"/>
            </w:pPr>
            <w:r>
              <w:rPr>
                <w:rFonts w:ascii="Cambria" w:hAnsi="Cambria" w:cs="Cambria" w:eastAsia="Cambria"/>
                <w:color w:val="1A1A1A"/>
                <w:sz w:val="18"/>
              </w:rPr>
              <w:t xml:space="preserve">Sostituire le stime per quota con dati reali</w:t>
            </w:r>
          </w:p>
        </w:tc>
        <w:tc>
          <w:tcPr/>
          <w:p>
            <w:pPr>
              <w:pStyle w:val="Compact"/>
              <w:spacing w:after="40" w:before="40"/>
              <w:jc w:val="left"/>
            </w:pPr>
            <w:r>
              <w:rPr>
                <w:rFonts w:ascii="Cambria" w:hAnsi="Cambria" w:cs="Cambria" w:eastAsia="Cambria"/>
                <w:color w:val="1A1A1A"/>
                <w:sz w:val="18"/>
              </w:rPr>
              <w:t xml:space="preserve">Massima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Consolidamento dei dati di esito del Dipartimento attivo</w:t>
            </w:r>
          </w:p>
        </w:tc>
        <w:tc>
          <w:tcPr>
            <w:shd w:val="clear" w:color="auto" w:fill="F4F1EC"/>
          </w:tcPr>
          <w:p>
            <w:pPr>
              <w:pStyle w:val="Compact"/>
              <w:spacing w:after="40" w:before="40"/>
              <w:jc w:val="left"/>
            </w:pPr>
            <w:r>
              <w:rPr>
                <w:rFonts w:ascii="Cambria" w:hAnsi="Cambria" w:cs="Cambria" w:eastAsia="Cambria"/>
                <w:color w:val="1A1A1A"/>
                <w:sz w:val="18"/>
              </w:rPr>
              <w:t xml:space="preserve">Uniformare e completare l’evidenza propria</w:t>
            </w:r>
          </w:p>
        </w:tc>
        <w:tc>
          <w:tcPr>
            <w:shd w:val="clear" w:color="auto" w:fill="F4F1EC"/>
          </w:tcPr>
          <w:p>
            <w:pPr>
              <w:pStyle w:val="Compact"/>
              <w:spacing w:after="40" w:before="40"/>
              <w:jc w:val="left"/>
            </w:pPr>
            <w:r>
              <w:rPr>
                <w:rFonts w:ascii="Cambria" w:hAnsi="Cambria" w:cs="Cambria" w:eastAsia="Cambria"/>
                <w:color w:val="1A1A1A"/>
                <w:sz w:val="18"/>
              </w:rPr>
              <w:t xml:space="preserve">Massima</w:t>
            </w:r>
          </w:p>
        </w:tc>
      </w:tr>
      <w:tr>
        <w:tc>
          <w:tcPr/>
          <w:p>
            <w:pPr>
              <w:pStyle w:val="Compact"/>
              <w:spacing w:after="40" w:before="40"/>
              <w:jc w:val="left"/>
            </w:pPr>
            <w:r>
              <w:rPr>
                <w:rFonts w:ascii="Cambria" w:hAnsi="Cambria" w:cs="Cambria" w:eastAsia="Cambria"/>
                <w:b/>
                <w:bCs/>
                <w:color w:val="1A1A1A"/>
                <w:sz w:val="18"/>
              </w:rPr>
              <w:t xml:space="preserve">Tassi di intercettazione e costi evitati</w:t>
            </w:r>
          </w:p>
        </w:tc>
        <w:tc>
          <w:tcPr/>
          <w:p>
            <w:pPr>
              <w:pStyle w:val="Compact"/>
              <w:spacing w:after="40" w:before="40"/>
              <w:jc w:val="left"/>
            </w:pPr>
            <w:r>
              <w:rPr>
                <w:rFonts w:ascii="Cambria" w:hAnsi="Cambria" w:cs="Cambria" w:eastAsia="Cambria"/>
                <w:color w:val="1A1A1A"/>
                <w:sz w:val="18"/>
              </w:rPr>
              <w:t xml:space="preserve">Ridurre l’incertezza sulle grandezze aggregate</w:t>
            </w:r>
          </w:p>
        </w:tc>
        <w:tc>
          <w:tcPr/>
          <w:p>
            <w:pPr>
              <w:pStyle w:val="Compact"/>
              <w:spacing w:after="40" w:before="40"/>
              <w:jc w:val="left"/>
            </w:pPr>
            <w:r>
              <w:rPr>
                <w:rFonts w:ascii="Cambria" w:hAnsi="Cambria" w:cs="Cambria" w:eastAsia="Cambria"/>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 nel contesto locale</w:t>
            </w:r>
          </w:p>
        </w:tc>
        <w:tc>
          <w:tcPr>
            <w:shd w:val="clear" w:color="auto" w:fill="F4F1EC"/>
          </w:tcPr>
          <w:p>
            <w:pPr>
              <w:pStyle w:val="Compact"/>
              <w:spacing w:after="40" w:before="40"/>
              <w:jc w:val="left"/>
            </w:pPr>
            <w:r>
              <w:rPr>
                <w:rFonts w:ascii="Cambria" w:hAnsi="Cambria" w:cs="Cambria" w:eastAsia="Cambria"/>
                <w:color w:val="1A1A1A"/>
                <w:sz w:val="18"/>
              </w:rPr>
              <w:t xml:space="preserve">Corroborare il parametro più influente</w:t>
            </w:r>
          </w:p>
        </w:tc>
        <w:tc>
          <w:tcPr>
            <w:shd w:val="clear" w:color="auto" w:fill="F4F1EC"/>
          </w:tcPr>
          <w:p>
            <w:pPr>
              <w:pStyle w:val="Compact"/>
              <w:spacing w:after="40" w:before="40"/>
              <w:jc w:val="left"/>
            </w:pPr>
            <w:r>
              <w:rPr>
                <w:rFonts w:ascii="Cambria" w:hAnsi="Cambria" w:cs="Cambria" w:eastAsia="Cambria"/>
                <w:color w:val="1A1A1A"/>
                <w:sz w:val="18"/>
              </w:rPr>
              <w:t xml:space="preserve">Alta</w:t>
            </w:r>
          </w:p>
        </w:tc>
      </w:tr>
    </w:tbl>
    <w:p>
      <w:pPr>
        <w:pStyle w:val="BodyText"/>
      </w:pPr>
      <w:r>
        <w:rPr>
          <w:i/>
          <w:iCs/>
        </w:rPr>
        <w:t xml:space="preserve">Tabella F.3. Le priorità di ricerca derivanti dall</w:t>
      </w:r>
      <w:r>
        <w:rPr>
          <w:b/>
          <w:bCs/>
          <w:i/>
          <w:iCs/>
        </w:rPr>
        <w:t xml:space="preserve">‘******analisi del valore dell******’</w:t>
      </w:r>
      <w:r>
        <w:rPr>
          <w:i/>
          <w:iCs/>
        </w:rPr>
        <w:t xml:space="preserve">informazione.</w:t>
      </w:r>
    </w:p>
    <w:bookmarkEnd w:id="3857"/>
    <w:bookmarkEnd w:id="3858"/>
    <w:bookmarkStart w:id="3877" w:name="parte-g-equità-e-impatto-distributivo-16"/>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 Sardegna. La parte definisce il quadro dell’equità e il gradiente sociale (capitolo G.1); analizza i due assi territoriali del divario sardo e le barriere di accesso (G.2); descrive gli strumenti attraverso cui il servizio agisce sull’equità (G.3); e presenta l’analisi di costo-efficacia distributiva con le sue implicazioni allocative (G.4). Il tratto distintivo della Sardegna è la doppia struttura del divario territoriale — poli urbani contro aree interne spopolate e fra le più anziane d’Italia, e centro e periferia entro i poli di Sassari e Cagliari — e, sul piano dello strumento, la gratuità del modello dipartimentale, che rimuove ogni barriera economica; l’intervento può ridurre tali divari, a condizione di un’allocazione modulata per il bisogno.</w:t>
      </w:r>
    </w:p>
    <w:bookmarkStart w:id="3862" w:name="X2eae658363b8ed3e7e38fcead098b06ebfc282d"/>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3702"/>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3703"/>
      </w:r>
      <w:r>
        <w:t xml:space="preserve"> </w:t>
      </w:r>
      <w:r>
        <w:t xml:space="preserve">A questo gradiente si sommano barriere di accesso economiche, geografiche e culturali, oltre allo stigma; nella Sardegna, dove la componente straniera è fra le più basse del Paese, più rilevanti della barriera culturale sono quella geografica delle aree interne spopolate e quella generazionale, mentre — tratto proprio e favorevole del modello regionale — la gratuità del Dipartimento rimuove la barriera economica che un ticket comporterebbe.</w:t>
      </w:r>
      <w:r>
        <w:rPr>
          <w:rStyle w:val="FootnoteReference"/>
        </w:rPr>
        <w:footnoteReference w:id="3704"/>
      </w:r>
    </w:p>
    <w:bookmarkEnd w:id="3862"/>
    <w:bookmarkStart w:id="3866" w:name="Xd93ecb44efea56de7eb0fdcd7adf3b2656659fa"/>
    <w:p>
      <w:pPr>
        <w:pStyle w:val="Heading3"/>
      </w:pPr>
      <w:r>
        <w:t xml:space="preserve">G.2 I due assi del divario territoriale</w:t>
      </w:r>
    </w:p>
    <w:p>
      <w:pPr>
        <w:pStyle w:val="FirstParagraph"/>
      </w:pPr>
      <w:r>
        <w:t xml:space="preserve">La specificità distributiva della Sardegna risiede nella doppia struttura del divario territoriale, cui si aggiunge la dimensione generazionale.</w:t>
      </w:r>
      <w:r>
        <w:rPr>
          <w:rStyle w:val="FootnoteReference"/>
        </w:rPr>
        <w:footnoteReference w:id="3705"/>
      </w:r>
      <w:r>
        <w:t xml:space="preserve"> </w:t>
      </w:r>
      <w:r>
        <w:t xml:space="preserve">Il primo asse, il più caratterizzante, separa i poli urbani dalle aree interne: Oristano, Nuoro e il Sud Sardegna, e in generale le aree interne dell’Isola, presentano una popolazione fra le più anziane d’Italia, a bassissima densità e in forte spopolamento, dove la rarefazione dei servizi, le distanze e la condizione insulare rendono l’accesso particolarmente difficoltoso, mentre la cronicità e la solitudine ne accrescono il bisogno.</w:t>
      </w:r>
      <w:r>
        <w:rPr>
          <w:rStyle w:val="FootnoteReference"/>
        </w:rPr>
        <w:footnoteReference w:id="3706"/>
      </w:r>
      <w:r>
        <w:t xml:space="preserve"> </w:t>
      </w:r>
      <w:r>
        <w:t xml:space="preserve">Il secondo asse è interno ai poli urbani di Sassari e Cagliari: accanto a quartieri meglio serviti si estendono periferie con sacche di deprivazione socio-economica, dove la difficoltà di accesso e la minore disponibilità di offerta privata accrescono il bisogno non intercettato, in particolare giovanile.</w:t>
      </w:r>
      <w:r>
        <w:rPr>
          <w:rStyle w:val="FootnoteReference"/>
        </w:rPr>
        <w:footnoteReference w:id="3707"/>
      </w:r>
      <w:r>
        <w:t xml:space="preserve"> </w:t>
      </w:r>
      <w:r>
        <w:t xml:space="preserve">La tabella seguente sintetizza i due assi e le leve di riequilibrio.</w:t>
      </w:r>
    </w:p>
    <w:tbl>
      <w:tblPr>
        <w:tblStyle w:val="Table"/>
        <w:tblW w:type="pct" w:w="496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21"/>
        <w:gridCol w:w="3696"/>
        <w:gridCol w:w="26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Asse del divario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Caratterizzazione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Leva di riequilibrio</w:t>
            </w:r>
          </w:p>
        </w:tc>
      </w:tr>
      <w:tr>
        <w:tc>
          <w:tcPr/>
          <w:p>
            <w:pPr>
              <w:pStyle w:val="Compact"/>
              <w:spacing w:after="40" w:before="40"/>
              <w:jc w:val="left"/>
            </w:pPr>
            <w:r>
              <w:rPr>
                <w:rFonts w:ascii="Cambria" w:hAnsi="Cambria" w:cs="Cambria" w:eastAsia="Cambria"/>
                <w:b/>
                <w:bCs/>
                <w:color w:val="1A1A1A"/>
                <w:sz w:val="18"/>
              </w:rPr>
              <w:t xml:space="preserve">Poli urbani / aree interne spopolate</w:t>
            </w:r>
          </w:p>
        </w:tc>
        <w:tc>
          <w:tcPr/>
          <w:p>
            <w:pPr>
              <w:pStyle w:val="Compact"/>
              <w:spacing w:after="40" w:before="40"/>
              <w:jc w:val="left"/>
            </w:pPr>
            <w:r>
              <w:rPr>
                <w:rFonts w:ascii="Cambria" w:hAnsi="Cambria" w:cs="Cambria" w:eastAsia="Cambria"/>
                <w:color w:val="1A1A1A"/>
                <w:sz w:val="18"/>
              </w:rPr>
              <w:t xml:space="preserve">Oristano, Nuoro, Sud Sardegna: popolazione fra le più anziane, bassissima densità, spopolamento, condizione insulare</w:t>
            </w:r>
          </w:p>
        </w:tc>
        <w:tc>
          <w:tcPr/>
          <w:p>
            <w:pPr>
              <w:pStyle w:val="Compact"/>
              <w:spacing w:after="40" w:before="40"/>
              <w:jc w:val="left"/>
            </w:pPr>
            <w:r>
              <w:rPr>
                <w:rFonts w:ascii="Cambria" w:hAnsi="Cambria" w:cs="Cambria" w:eastAsia="Cambria"/>
                <w:color w:val="1A1A1A"/>
                <w:sz w:val="18"/>
              </w:rPr>
              <w:t xml:space="preserve">Telepsicologia assistita; presenza programmata di primo livello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Centro / periferia dei poli urbani</w:t>
            </w:r>
          </w:p>
        </w:tc>
        <w:tc>
          <w:tcPr>
            <w:shd w:val="clear" w:color="auto" w:fill="F4F1EC"/>
          </w:tcPr>
          <w:p>
            <w:pPr>
              <w:pStyle w:val="Compact"/>
              <w:spacing w:after="40" w:before="40"/>
              <w:jc w:val="left"/>
            </w:pPr>
            <w:r>
              <w:rPr>
                <w:rFonts w:ascii="Cambria" w:hAnsi="Cambria" w:cs="Cambria" w:eastAsia="Cambria"/>
                <w:color w:val="1A1A1A"/>
                <w:sz w:val="18"/>
              </w:rPr>
              <w:t xml:space="preserve">Periferie di Sassari e Cagliari con sacche di deprivazione e minore offerta privata</w:t>
            </w:r>
          </w:p>
        </w:tc>
        <w:tc>
          <w:tcPr>
            <w:shd w:val="clear" w:color="auto" w:fill="F4F1EC"/>
          </w:tcPr>
          <w:p>
            <w:pPr>
              <w:pStyle w:val="Compact"/>
              <w:spacing w:after="40" w:before="40"/>
              <w:jc w:val="left"/>
            </w:pPr>
            <w:r>
              <w:rPr>
                <w:rFonts w:ascii="Cambria" w:hAnsi="Cambria" w:cs="Cambria" w:eastAsia="Cambria"/>
                <w:color w:val="1A1A1A"/>
                <w:sz w:val="18"/>
              </w:rPr>
              <w:t xml:space="preserve">Sedi nelle Case della Comunità di periferia; allocazione pro-equità</w:t>
            </w:r>
          </w:p>
        </w:tc>
      </w:tr>
      <w:tr>
        <w:tc>
          <w:tcPr/>
          <w:p>
            <w:pPr>
              <w:pStyle w:val="Compact"/>
              <w:spacing w:after="40" w:before="40"/>
              <w:jc w:val="left"/>
            </w:pPr>
            <w:r>
              <w:rPr>
                <w:rFonts w:ascii="Cambria" w:hAnsi="Cambria" w:cs="Cambria" w:eastAsia="Cambria"/>
                <w:b/>
                <w:bCs/>
                <w:color w:val="1A1A1A"/>
                <w:sz w:val="18"/>
              </w:rPr>
              <w:t xml:space="preserve">Età anziana, cronicità e disagio giovanile</w:t>
            </w:r>
          </w:p>
        </w:tc>
        <w:tc>
          <w:tcPr/>
          <w:p>
            <w:pPr>
              <w:pStyle w:val="Compact"/>
              <w:spacing w:after="40" w:before="40"/>
              <w:jc w:val="left"/>
            </w:pPr>
            <w:r>
              <w:rPr>
                <w:rFonts w:ascii="Cambria" w:hAnsi="Cambria" w:cs="Cambria" w:eastAsia="Cambria"/>
                <w:color w:val="1A1A1A"/>
                <w:sz w:val="18"/>
              </w:rPr>
              <w:t xml:space="preserve">Bisogno anziano prevalente nelle aree interne; disagio giovanile nei poli</w:t>
            </w:r>
          </w:p>
        </w:tc>
        <w:tc>
          <w:tcPr/>
          <w:p>
            <w:pPr>
              <w:pStyle w:val="Compact"/>
              <w:spacing w:after="40" w:before="40"/>
              <w:jc w:val="left"/>
            </w:pPr>
            <w:r>
              <w:rPr>
                <w:rFonts w:ascii="Cambria" w:hAnsi="Cambria" w:cs="Cambria" w:eastAsia="Cambria"/>
                <w:color w:val="1A1A1A"/>
                <w:sz w:val="18"/>
              </w:rPr>
              <w:t xml:space="preserve">Competenza per l’età anziana e la cronicità; intercettazione del disagio giovanile</w:t>
            </w:r>
          </w:p>
        </w:tc>
      </w:tr>
    </w:tbl>
    <w:p>
      <w:pPr>
        <w:pStyle w:val="BodyText"/>
      </w:pPr>
      <w:r>
        <w:rPr>
          <w:i/>
          <w:iCs/>
        </w:rPr>
        <w:t xml:space="preserve">Tabella G.1. I due assi del divario territoriale sardo, la dimensione generazionale e le leve di riequilibrio.</w:t>
      </w:r>
    </w:p>
    <w:bookmarkEnd w:id="3866"/>
    <w:bookmarkStart w:id="3870" w:name="g.3-gli-strumenti-dellequità-9"/>
    <w:p>
      <w:pPr>
        <w:pStyle w:val="Heading3"/>
      </w:pPr>
      <w:r>
        <w:t xml:space="preserve">G.3 Gli strumenti dell’equità</w:t>
      </w:r>
    </w:p>
    <w:p>
      <w:pPr>
        <w:pStyle w:val="FirstParagraph"/>
      </w:pPr>
      <w:r>
        <w:t xml:space="preserve">Il servizio agisce sull’equità attraverso meccanismi precisi. La prossimità nelle Case della Comunità e la natura di primo livello accessibile senza requisiti specialistici abbattono parte delle barriere e indirizzano l’offerta verso chi ne è oggi escluso; nel modello sardo, integralmente gratuito, il pieno effetto pro-equità opera senza l’attenuazione che un ticket comporterebbe, poiché nessuna compartecipazione si frappone all’accesso delle fasce a minore capacità di spesa.</w:t>
      </w:r>
      <w:r>
        <w:rPr>
          <w:rStyle w:val="FootnoteReference"/>
        </w:rPr>
        <w:footnoteReference w:id="3708"/>
      </w:r>
      <w:r>
        <w:t xml:space="preserve"> </w:t>
      </w:r>
      <w:r>
        <w:t xml:space="preserve">La telepsicologia assistita avvicina l’offerta alle aree interne e spopolate di Oristano, Nuoro e del Sud Sardegna e alle periferie dei poli urbani, in funzione complementare e non sostitutiva della presa in carico in presenza, estendendo la copertura proprio dove l’accesso è più difficile.</w:t>
      </w:r>
      <w:r>
        <w:rPr>
          <w:rStyle w:val="FootnoteReference"/>
        </w:rPr>
        <w:footnoteReference w:id="3709"/>
      </w:r>
      <w:r>
        <w:t xml:space="preserve"> </w:t>
      </w:r>
      <w:r>
        <w:t xml:space="preserve">La competenza nell’accompagnare l’età anziana e la cronicità è dirimente in una popolazione fra le più anziane d’Italia, mentre quella nell’intercettare il disagio giovanile assicura che il servizio raggiunga adolescenti e giovani adulti dei poli urbani; la competenza culturale, data la quota straniera fra le più basse del Paese, è meno centrale che altrove.</w:t>
      </w:r>
      <w:r>
        <w:rPr>
          <w:rStyle w:val="FootnoteReference"/>
        </w:rPr>
        <w:footnoteReference w:id="3710"/>
      </w:r>
    </w:p>
    <w:bookmarkEnd w:id="3870"/>
    <w:bookmarkStart w:id="3876" w:name="Xe830df6297cdd929f033a35d2d850b2b89562fc"/>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3711"/>
      </w:r>
      <w:r>
        <w:t xml:space="preserve"> </w:t>
      </w:r>
      <w:r>
        <w:t xml:space="preserve">Perché questo potenziale si realizzi, la copertura va modulata in funzione del bisogno, destinando una quota maggiore di risorse alle aree interne spopolate e alle periferie dei poli urbani: un’allocazione uniforme rispetto alla popolazione non correggerebbe i divari, mentre un’allocazione ponderata per il bisogno li riduce.</w:t>
      </w:r>
      <w:r>
        <w:rPr>
          <w:rStyle w:val="FootnoteReference"/>
        </w:rPr>
        <w:footnoteReference w:id="3712"/>
      </w:r>
      <w:r>
        <w:t xml:space="preserve"> </w:t>
      </w:r>
      <w:r>
        <w:t xml:space="preserve">Va inoltre tenuto presente che, nella Sardegna, il canale della mobilità costituisce una leva di equità solo modesta per questo intervento, sicché l’equità si gioca prevalentemente sull’accesso interno; mentre la gratuità del modello dipartimentale rappresenta, sul piano dell’equità, un vantaggio strutturale, poiché nessun ticket grava sulle fasce a minore capacità di spesa.</w:t>
      </w:r>
      <w:r>
        <w:rPr>
          <w:rStyle w:val="FootnoteReference"/>
        </w:rPr>
        <w:footnoteReference w:id="3713"/>
      </w:r>
      <w:r>
        <w:t xml:space="preserve"> </w:t>
      </w:r>
      <w:r>
        <w:t xml:space="preserve">Esiste infine un rischio di iniquità inversa: se l’estensione del Dipartimento privilegiasse, per facilità organizzativa, le aree già meglio servite — a partire dai poli urbani, già da Sassari — l’effetto distributivo potrebbe risultare regressivo; il rischio va prevenuto con criteri espliciti di equità nell’allocazione, fin dall’estensione del Dipartimento alle Aziende che servono le aree interne.</w:t>
      </w:r>
      <w:r>
        <w:rPr>
          <w:rStyle w:val="FootnoteReference"/>
        </w:rPr>
        <w:footnoteReference w:id="3714"/>
      </w:r>
      <w:r>
        <w:t xml:space="preserve"> </w:t>
      </w:r>
      <w:r>
        <w:t xml:space="preserve">La sintesi è che l’intervento è favorevole all’equità su entrambi gli assi e sulla dimensione generazionale, e che la gratuità del modello ne rafforza la natura pro-equità; a condizione che la copertura sia modulata per il bisogno e che siano garantite la telepsicologia per le aree interne spopolate e l’attenzione congiunta all’età anziana e al disagio giovanile, la raccomandazione è di orientare fin dall’estensione del Dipartimento un’allocazione pro-equità che dia di più dove il bisogno è maggiore, segnatamente nelle aree interne.</w:t>
      </w:r>
      <w:r>
        <w:rPr>
          <w:rStyle w:val="FootnoteReference"/>
        </w:rPr>
        <w:footnoteReference w:id="3715"/>
      </w:r>
      <w:r>
        <w:t xml:space="preserve"> </w:t>
      </w:r>
      <w:r>
        <w:t xml:space="preserve">La tabella seguente riepiloga l’impatto distributivo atteso.</w:t>
      </w:r>
    </w:p>
    <w:tbl>
      <w:tblPr>
        <w:tblStyle w:val="Table"/>
        <w:tblW w:type="pct" w:w="492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428"/>
        <w:gridCol w:w="537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distributiva</w:t>
            </w:r>
          </w:p>
        </w:tc>
        <w:tc>
          <w:tcPr>
            <w:shd w:val="clear" w:color="auto" w:fill="16264B"/>
          </w:tcPr>
          <w:p>
            <w:pPr>
              <w:pStyle w:val="Compact"/>
              <w:spacing w:after="40" w:before="40"/>
              <w:jc w:val="left"/>
            </w:pPr>
            <w:r>
              <w:rPr>
                <w:rFonts w:ascii="Cambria" w:hAnsi="Cambria" w:cs="Cambria" w:eastAsia="Cambria"/>
                <w:b/>
                <w:bCs/>
                <w:color w:val="FFFFFF"/>
                <w:sz w:val="18"/>
              </w:rPr>
              <w:t xml:space="preserve">Esito per la Sardegna</w:t>
            </w:r>
          </w:p>
        </w:tc>
      </w:tr>
      <w:tr>
        <w:tc>
          <w:tcPr/>
          <w:p>
            <w:pPr>
              <w:pStyle w:val="Compact"/>
              <w:spacing w:after="40" w:before="40"/>
              <w:jc w:val="left"/>
            </w:pPr>
            <w:r>
              <w:rPr>
                <w:rFonts w:ascii="Cambria" w:hAnsi="Cambria" w:cs="Cambria" w:eastAsia="Cambria"/>
                <w:b/>
                <w:bCs/>
                <w:color w:val="1A1A1A"/>
                <w:sz w:val="18"/>
              </w:rPr>
              <w:t xml:space="preserve">Efficienza complessiva</w:t>
            </w:r>
          </w:p>
        </w:tc>
        <w:tc>
          <w:tcPr/>
          <w:p>
            <w:pPr>
              <w:pStyle w:val="Compact"/>
              <w:spacing w:after="40" w:before="40"/>
              <w:jc w:val="left"/>
            </w:pPr>
            <w:r>
              <w:rPr>
                <w:rFonts w:ascii="Cambria" w:hAnsi="Cambria" w:cs="Cambria" w:eastAsia="Cambria"/>
                <w:color w:val="1A1A1A"/>
                <w:sz w:val="18"/>
              </w:rPr>
              <w:t xml:space="preserve">Intervento costo-efficace e dominante per paziente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Direzione dell’effetto distributivo</w:t>
            </w:r>
          </w:p>
        </w:tc>
        <w:tc>
          <w:tcPr>
            <w:shd w:val="clear" w:color="auto" w:fill="F4F1EC"/>
          </w:tcPr>
          <w:p>
            <w:pPr>
              <w:pStyle w:val="Compact"/>
              <w:spacing w:after="40" w:before="40"/>
              <w:jc w:val="left"/>
            </w:pPr>
            <w:r>
              <w:rPr>
                <w:rFonts w:ascii="Cambria" w:hAnsi="Cambria" w:cs="Cambria" w:eastAsia="Cambria"/>
                <w:color w:val="1A1A1A"/>
                <w:sz w:val="18"/>
              </w:rPr>
              <w:t xml:space="preserve">Favorevole all’equità: maggiori benefici nei gruppi a più alto bisogno</w:t>
            </w:r>
          </w:p>
        </w:tc>
      </w:tr>
      <w:tr>
        <w:tc>
          <w:tcPr/>
          <w:p>
            <w:pPr>
              <w:pStyle w:val="Compact"/>
              <w:spacing w:after="40" w:before="40"/>
              <w:jc w:val="left"/>
            </w:pPr>
            <w:r>
              <w:rPr>
                <w:rFonts w:ascii="Cambria" w:hAnsi="Cambria" w:cs="Cambria" w:eastAsia="Cambria"/>
                <w:b/>
                <w:bCs/>
                <w:color w:val="1A1A1A"/>
                <w:sz w:val="18"/>
              </w:rPr>
              <w:t xml:space="preserve">Condizione di realizzazione</w:t>
            </w:r>
          </w:p>
        </w:tc>
        <w:tc>
          <w:tcPr/>
          <w:p>
            <w:pPr>
              <w:pStyle w:val="Compact"/>
              <w:spacing w:after="40" w:before="40"/>
              <w:jc w:val="left"/>
            </w:pPr>
            <w:r>
              <w:rPr>
                <w:rFonts w:ascii="Cambria" w:hAnsi="Cambria" w:cs="Cambria" w:eastAsia="Cambria"/>
                <w:color w:val="1A1A1A"/>
                <w:sz w:val="18"/>
              </w:rPr>
              <w:t xml:space="preserve">Allocazione modulata per il bisogno (aree interne spopolate e periferie dei poli)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Strumenti abilitanti</w:t>
            </w:r>
          </w:p>
        </w:tc>
        <w:tc>
          <w:tcPr>
            <w:shd w:val="clear" w:color="auto" w:fill="F4F1EC"/>
          </w:tcPr>
          <w:p>
            <w:pPr>
              <w:pStyle w:val="Compact"/>
              <w:spacing w:after="40" w:before="40"/>
              <w:jc w:val="left"/>
            </w:pPr>
            <w:r>
              <w:rPr>
                <w:rFonts w:ascii="Cambria" w:hAnsi="Cambria" w:cs="Cambria" w:eastAsia="Cambria"/>
                <w:color w:val="1A1A1A"/>
                <w:sz w:val="18"/>
              </w:rPr>
              <w:t xml:space="preserve">Prossimità, gratuità del modello, telepsicologia, competenza per l’età anziana e giovanile</w:t>
            </w:r>
          </w:p>
        </w:tc>
      </w:tr>
      <w:tr>
        <w:tc>
          <w:tcPr/>
          <w:p>
            <w:pPr>
              <w:pStyle w:val="Compact"/>
              <w:spacing w:after="40" w:before="40"/>
              <w:jc w:val="left"/>
            </w:pPr>
            <w:r>
              <w:rPr>
                <w:rFonts w:ascii="Cambria" w:hAnsi="Cambria" w:cs="Cambria" w:eastAsia="Cambria"/>
                <w:b/>
                <w:bCs/>
                <w:color w:val="1A1A1A"/>
                <w:sz w:val="18"/>
              </w:rPr>
              <w:t xml:space="preserve">Rischio da prevenire</w:t>
            </w:r>
          </w:p>
        </w:tc>
        <w:tc>
          <w:tcPr/>
          <w:p>
            <w:pPr>
              <w:pStyle w:val="Compact"/>
              <w:spacing w:after="40" w:before="40"/>
              <w:jc w:val="left"/>
            </w:pPr>
            <w:r>
              <w:rPr>
                <w:rFonts w:ascii="Cambria" w:hAnsi="Cambria" w:cs="Cambria" w:eastAsia="Cambria"/>
                <w:color w:val="1A1A1A"/>
                <w:sz w:val="18"/>
              </w:rPr>
              <w:t xml:space="preserve">Iniquità inversa se l’estensione del Dipartimento privilegia i poli urbani</w:t>
            </w:r>
          </w:p>
        </w:tc>
      </w:tr>
    </w:tbl>
    <w:p>
      <w:pPr>
        <w:pStyle w:val="BodyText"/>
      </w:pPr>
      <w:r>
        <w:rPr>
          <w:i/>
          <w:iCs/>
        </w:rPr>
        <w:t xml:space="preserve">Tabella G.2. L</w:t>
      </w:r>
      <w:r>
        <w:rPr>
          <w:b/>
          <w:bCs/>
          <w:i/>
          <w:iCs/>
        </w:rPr>
        <w:t xml:space="preserve">‘******impatto distributivo atteso dell******’</w:t>
      </w:r>
      <w:r>
        <w:rPr>
          <w:i/>
          <w:iCs/>
        </w:rPr>
        <w:t xml:space="preserve">intervento e le sue condizioni.</w:t>
      </w:r>
    </w:p>
    <w:bookmarkEnd w:id="3876"/>
    <w:bookmarkEnd w:id="3877"/>
    <w:bookmarkStart w:id="3898" w:name="X45fb0df2f297d11b2eab4f41c42c7206e1e2a42"/>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 Sardegna.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 Sardegna emerge sul piano giuridico: a differenza del Lazio, ancora privo di legge, la regione dispone già di una previsione di legge che istituisce in via sperimentale un Dipartimento a modello dipartimentale, attivato però nella sola Azienda di Sassari, sicché la condizione abilitante non è l’approvazione della legge, ma la piena attivazione, l’estensione alle otto Aziende e l’adozione del provvedimento di copertura finanziaria cui la legge la subordina.</w:t>
      </w:r>
    </w:p>
    <w:bookmarkStart w:id="3885" w:name="h.1-il-profilo-giuridico-10"/>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3716"/>
      </w:r>
      <w:r>
        <w:t xml:space="preserve"> </w:t>
      </w:r>
      <w:r>
        <w:t xml:space="preserve">Sul piano giuridico, la materia si colloca nella competenza concorrente in tema di tutela della salute, e la sentenza della Corte Costituzionale n. 241 del 2021 — originata dal giudizio sulla legge campana, di cui ha riconosciuto la legittimità — ne ha delimitato lo spazio regionale: entro questa cornice la Sardegna, regione a statuto speciale, ha esercitato il titolo a prevedere il servizio con la legge regionale 24 del 2020 di riforma sanitaria.</w:t>
      </w:r>
      <w:r>
        <w:rPr>
          <w:rStyle w:val="FootnoteReference"/>
        </w:rPr>
        <w:footnoteReference w:id="3717"/>
      </w:r>
      <w:r>
        <w:t xml:space="preserve"> </w:t>
      </w:r>
      <w:r>
        <w:t xml:space="preserve">Qui si colloca la specificità della regione: disponendo già della legge regionale 24 del 2020 (articolo 37) e della deliberazione di Giunta 9/22 del 2022, la decisione giuridica rilevante non è l’approvazione della norma, già compiuta, ma la piena attivazione del Dipartimento e la sua estensione alle otto Aziende.</w:t>
      </w:r>
      <w:r>
        <w:rPr>
          <w:rStyle w:val="FootnoteReference"/>
        </w:rPr>
        <w:footnoteReference w:id="3718"/>
      </w:r>
      <w:r>
        <w:t xml:space="preserve"> </w:t>
      </w:r>
      <w:r>
        <w:t xml:space="preserve">Il rapporto di lavoro adottato è quello di dipendenza, nell’ambito di Strutture Complesse di Psicologia territoriale di base interne a ciascuna Azienda, senza ticket a carico del paziente: una forma che assicura stabilità e integrazione, ma comporta un costo unitario potenzialmente superiore al convenzionale.</w:t>
      </w:r>
      <w:r>
        <w:rPr>
          <w:rStyle w:val="FootnoteReference"/>
        </w:rPr>
        <w:footnoteReference w:id="3719"/>
      </w:r>
      <w:r>
        <w:t xml:space="preserve"> </w:t>
      </w:r>
      <w:r>
        <w:t xml:space="preserve">Quanto ai livelli essenziali di assistenza, la psicologia delle cure primarie non vi è ancora esplicitamente ricompresa, e il servizio, sostenuto entro i vincoli dello statuto speciale autofinanziante, richiede l’adozione del provvedimento di copertura finanziaria cui la legge subordina l’attivazione del Dipartimento.</w:t>
      </w:r>
      <w:r>
        <w:rPr>
          <w:rStyle w:val="FootnoteReference"/>
        </w:rPr>
        <w:footnoteReference w:id="3720"/>
      </w:r>
      <w:r>
        <w:t xml:space="preserve"> </w:t>
      </w:r>
      <w:r>
        <w:t xml:space="preserve">Il servizio si inserisce coerentemente nella cornice degli standard territoriali e delle Case della Comunità,</w:t>
      </w:r>
      <w:r>
        <w:rPr>
          <w:rStyle w:val="FootnoteReference"/>
        </w:rPr>
        <w:footnoteReference w:id="3721"/>
      </w:r>
      <w:r>
        <w:t xml:space="preserve"> </w:t>
      </w:r>
      <w:r>
        <w:t xml:space="preserve">e si rapporta ai Centri di Salute Mentale per integrazione e non per sovrapposizione, precedendoli e alleggerendoli.</w:t>
      </w:r>
      <w:r>
        <w:rPr>
          <w:rStyle w:val="FootnoteReference"/>
        </w:rPr>
        <w:footnoteReference w:id="3722"/>
      </w:r>
      <w:r>
        <w:t xml:space="preserve"> </w:t>
      </w:r>
      <w:r>
        <w:t xml:space="preserve">La tabella seguente riepiloga i profili giuridici.</w:t>
      </w:r>
    </w:p>
    <w:tbl>
      <w:tblPr>
        <w:tblStyle w:val="Table"/>
        <w:tblW w:type="pct" w:w="494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13"/>
        <w:gridCol w:w="591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Profilo giuridico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Sardegna</w:t>
            </w:r>
          </w:p>
        </w:tc>
      </w:tr>
      <w:tr>
        <w:tc>
          <w:tcPr/>
          <w:p>
            <w:pPr>
              <w:pStyle w:val="Compact"/>
              <w:spacing w:after="40" w:before="40"/>
              <w:jc w:val="left"/>
            </w:pPr>
            <w:r>
              <w:rPr>
                <w:rFonts w:ascii="Cambria" w:hAnsi="Cambria" w:cs="Cambria" w:eastAsia="Cambria"/>
                <w:b/>
                <w:bCs/>
                <w:color w:val="1A1A1A"/>
                <w:sz w:val="18"/>
              </w:rPr>
              <w:t xml:space="preserve">Competenza</w:t>
            </w:r>
          </w:p>
        </w:tc>
        <w:tc>
          <w:tcPr/>
          <w:p>
            <w:pPr>
              <w:pStyle w:val="Compact"/>
              <w:spacing w:after="40" w:before="40"/>
              <w:jc w:val="left"/>
            </w:pPr>
            <w:r>
              <w:rPr>
                <w:rFonts w:ascii="Cambria" w:hAnsi="Cambria" w:cs="Cambria" w:eastAsia="Cambria"/>
                <w:color w:val="1A1A1A"/>
                <w:sz w:val="18"/>
              </w:rPr>
              <w:t xml:space="preserve">Concorrente in tutela della salute; Corte Cost. 241/2021 (originata dalla legge campana) ha delimitato lo spazio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Forma dell’atto</w:t>
            </w:r>
          </w:p>
        </w:tc>
        <w:tc>
          <w:tcPr>
            <w:shd w:val="clear" w:color="auto" w:fill="F4F1EC"/>
          </w:tcPr>
          <w:p>
            <w:pPr>
              <w:pStyle w:val="Compact"/>
              <w:spacing w:after="40" w:before="40"/>
              <w:jc w:val="left"/>
            </w:pPr>
            <w:r>
              <w:rPr>
                <w:rFonts w:ascii="Cambria" w:hAnsi="Cambria" w:cs="Cambria" w:eastAsia="Cambria"/>
                <w:color w:val="1A1A1A"/>
                <w:sz w:val="18"/>
              </w:rPr>
              <w:t xml:space="preserve">Legge regionale 24/2020 (art. 37) di riforma e Delibera di Giunta 9/22 del 2022; Dipartimento sperimentale, da attivare pienamente</w:t>
            </w:r>
          </w:p>
        </w:tc>
      </w:tr>
      <w:tr>
        <w:tc>
          <w:tcPr/>
          <w:p>
            <w:pPr>
              <w:pStyle w:val="Compact"/>
              <w:spacing w:after="40" w:before="40"/>
              <w:jc w:val="left"/>
            </w:pPr>
            <w:r>
              <w:rPr>
                <w:rFonts w:ascii="Cambria" w:hAnsi="Cambria" w:cs="Cambria" w:eastAsia="Cambria"/>
                <w:b/>
                <w:bCs/>
                <w:color w:val="1A1A1A"/>
                <w:sz w:val="18"/>
              </w:rPr>
              <w:t xml:space="preserve">Rapporto di lavoro</w:t>
            </w:r>
          </w:p>
        </w:tc>
        <w:tc>
          <w:tcPr/>
          <w:p>
            <w:pPr>
              <w:pStyle w:val="Compact"/>
              <w:spacing w:after="40" w:before="40"/>
              <w:jc w:val="left"/>
            </w:pPr>
            <w:r>
              <w:rPr>
                <w:rFonts w:ascii="Cambria" w:hAnsi="Cambria" w:cs="Cambria" w:eastAsia="Cambria"/>
                <w:color w:val="1A1A1A"/>
                <w:sz w:val="18"/>
              </w:rPr>
              <w:t xml:space="preserve">Dipendenza in Strutture Complesse interne alle Aziende, senza ticket; costo unitario potenzialmente superiore al convenzionale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Livelli essenziali di assistenza</w:t>
            </w:r>
          </w:p>
        </w:tc>
        <w:tc>
          <w:tcPr>
            <w:shd w:val="clear" w:color="auto" w:fill="F4F1EC"/>
          </w:tcPr>
          <w:p>
            <w:pPr>
              <w:pStyle w:val="Compact"/>
              <w:spacing w:after="40" w:before="40"/>
              <w:jc w:val="left"/>
            </w:pPr>
            <w:r>
              <w:rPr>
                <w:rFonts w:ascii="Cambria" w:hAnsi="Cambria" w:cs="Cambria" w:eastAsia="Cambria"/>
                <w:color w:val="1A1A1A"/>
                <w:sz w:val="18"/>
              </w:rPr>
              <w:t xml:space="preserve">Non ancora ricompresi; statuto speciale autofinanziante (tetti non applicabili); attivazione subordinata a copertura finanziaria</w:t>
            </w:r>
          </w:p>
        </w:tc>
      </w:tr>
      <w:tr>
        <w:tc>
          <w:tcPr/>
          <w:p>
            <w:pPr>
              <w:pStyle w:val="Compact"/>
              <w:spacing w:after="40" w:before="40"/>
              <w:jc w:val="left"/>
            </w:pPr>
            <w:r>
              <w:rPr>
                <w:rFonts w:ascii="Cambria" w:hAnsi="Cambria" w:cs="Cambria" w:eastAsia="Cambria"/>
                <w:b/>
                <w:bCs/>
                <w:color w:val="1A1A1A"/>
                <w:sz w:val="18"/>
              </w:rPr>
              <w:t xml:space="preserve">Cornice territoriale</w:t>
            </w:r>
          </w:p>
        </w:tc>
        <w:tc>
          <w:tcPr/>
          <w:p>
            <w:pPr>
              <w:pStyle w:val="Compact"/>
              <w:spacing w:after="40" w:before="40"/>
              <w:jc w:val="left"/>
            </w:pPr>
            <w:r>
              <w:rPr>
                <w:rFonts w:ascii="Cambria" w:hAnsi="Cambria" w:cs="Cambria" w:eastAsia="Cambria"/>
                <w:color w:val="1A1A1A"/>
                <w:sz w:val="18"/>
              </w:rPr>
              <w:t xml:space="preserve">Decreto Ministeriale 77/2022; inserimento nelle Case della Comunità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con i servizi specialistici</w:t>
            </w:r>
          </w:p>
        </w:tc>
        <w:tc>
          <w:tcPr>
            <w:shd w:val="clear" w:color="auto" w:fill="F4F1EC"/>
          </w:tcPr>
          <w:p>
            <w:pPr>
              <w:pStyle w:val="Compact"/>
              <w:spacing w:after="40" w:before="40"/>
              <w:jc w:val="left"/>
            </w:pPr>
            <w:r>
              <w:rPr>
                <w:rFonts w:ascii="Cambria" w:hAnsi="Cambria" w:cs="Cambria" w:eastAsia="Cambria"/>
                <w:color w:val="1A1A1A"/>
                <w:sz w:val="18"/>
              </w:rPr>
              <w:t xml:space="preserve">Integrazione con i Centri di Salute Mentale, che il servizio precede e alleggerisce</w:t>
            </w:r>
          </w:p>
        </w:tc>
      </w:tr>
    </w:tbl>
    <w:p>
      <w:pPr>
        <w:pStyle w:val="BodyText"/>
      </w:pPr>
      <w:r>
        <w:rPr>
          <w:i/>
          <w:iCs/>
        </w:rPr>
        <w:t xml:space="preserve">Tabella H.1. I profili giuridici del servizio nella Sardegna.</w:t>
      </w:r>
    </w:p>
    <w:bookmarkEnd w:id="3885"/>
    <w:bookmarkStart w:id="3889" w:name="X752b5e0ea4fc715e0d4d3bb34b807a60018f735"/>
    <w:p>
      <w:pPr>
        <w:pStyle w:val="Heading3"/>
      </w:pPr>
      <w:r>
        <w:t xml:space="preserve">H.2 Il profilo organizzativo e la governance</w:t>
      </w:r>
    </w:p>
    <w:p>
      <w:pPr>
        <w:pStyle w:val="FirstParagraph"/>
      </w:pPr>
      <w:r>
        <w:t xml:space="preserve">Sul piano organizzativo, la strutturazione del servizio nella Sardegna si misura con un sistema insulare a bassa densità — otto Aziende socio-sanitarie locali, aziende ospedaliere e ospedaliero-universitarie — ma, a differenza della Sicilia, dispone di un’azienda regionale di coordinamento, l’ARES, sicché la sfida centrale è garantire l’estensione omogenea del Dipartimento alle otto Aziende, agevolata dal coordinamento dell’ARES.</w:t>
      </w:r>
      <w:r>
        <w:rPr>
          <w:rStyle w:val="FootnoteReference"/>
        </w:rPr>
        <w:footnoteReference w:id="3723"/>
      </w:r>
      <w:r>
        <w:t xml:space="preserve"> </w:t>
      </w:r>
      <w:r>
        <w:t xml:space="preserve">Il consolidamento poggia su una regia regionale che coordina le Aziende, l’ARES, l’Ordine professionale, le rappresentanze della medicina generale e della pediatria di libera scelta e gli atenei di Cagliari e Sassari, cui spetta definire indirizzi operativi uniformi e impostare il sistema di monitoraggio comune del Dipartimento, traendo dall’esperienza dell’Azienda di Sassari un primo modello.</w:t>
      </w:r>
      <w:r>
        <w:rPr>
          <w:rStyle w:val="FootnoteReference"/>
        </w:rPr>
        <w:footnoteReference w:id="3724"/>
      </w:r>
      <w:r>
        <w:t xml:space="preserve"> </w:t>
      </w:r>
      <w:r>
        <w:t xml:space="preserve">In questo quadro l’Ordine delle Psicologhe e degli Psicologi della Sardegna, che ha sollecitato l’inserimento del Dipartimento nella legge di riforma, concorre alla definizione dei requisiti, alla formazione e alla vigilanza deontologica.</w:t>
      </w:r>
      <w:r>
        <w:rPr>
          <w:rStyle w:val="FootnoteReference"/>
        </w:rPr>
        <w:footnoteReference w:id="3725"/>
      </w:r>
      <w:r>
        <w:t xml:space="preserve"> </w:t>
      </w:r>
      <w:r>
        <w:t xml:space="preserve">La tabella seguente sintetizza l’assetto organizzativo e di governance.</w:t>
      </w:r>
    </w:p>
    <w:tbl>
      <w:tblPr>
        <w:tblStyle w:val="Table"/>
        <w:tblW w:type="pct" w:w="494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38"/>
        <w:gridCol w:w="619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organizzativo</w:t>
            </w:r>
          </w:p>
        </w:tc>
        <w:tc>
          <w:tcPr>
            <w:shd w:val="clear" w:color="auto" w:fill="16264B"/>
          </w:tcPr>
          <w:p>
            <w:pPr>
              <w:pStyle w:val="Compact"/>
              <w:spacing w:after="40" w:before="40"/>
              <w:jc w:val="left"/>
            </w:pPr>
            <w:r>
              <w:rPr>
                <w:rFonts w:ascii="Cambria" w:hAnsi="Cambria" w:cs="Cambria" w:eastAsia="Cambria"/>
                <w:b/>
                <w:bCs/>
                <w:color w:val="FFFFFF"/>
                <w:sz w:val="18"/>
              </w:rPr>
              <w:t xml:space="preserve">Assetto per la Sardegna</w:t>
            </w:r>
          </w:p>
        </w:tc>
      </w:tr>
      <w:tr>
        <w:tc>
          <w:tcPr/>
          <w:p>
            <w:pPr>
              <w:pStyle w:val="Compact"/>
              <w:spacing w:after="40" w:before="40"/>
              <w:jc w:val="left"/>
            </w:pPr>
            <w:r>
              <w:rPr>
                <w:rFonts w:ascii="Cambria" w:hAnsi="Cambria" w:cs="Cambria" w:eastAsia="Cambria"/>
                <w:b/>
                <w:bCs/>
                <w:color w:val="1A1A1A"/>
                <w:sz w:val="18"/>
              </w:rPr>
              <w:t xml:space="preserve">Articolazione del sistema</w:t>
            </w:r>
          </w:p>
        </w:tc>
        <w:tc>
          <w:tcPr/>
          <w:p>
            <w:pPr>
              <w:pStyle w:val="Compact"/>
              <w:spacing w:after="40" w:before="40"/>
              <w:jc w:val="left"/>
            </w:pPr>
            <w:r>
              <w:rPr>
                <w:rFonts w:ascii="Cambria" w:hAnsi="Cambria" w:cs="Cambria" w:eastAsia="Cambria"/>
                <w:color w:val="1A1A1A"/>
                <w:sz w:val="18"/>
              </w:rPr>
              <w:t xml:space="preserve">Otto Aziende socio-sanitarie locali; Azienda regionale della salute (ARES); aziende ospedaliere e ospedaliero-universitarie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Coordinamento</w:t>
            </w:r>
          </w:p>
        </w:tc>
        <w:tc>
          <w:tcPr>
            <w:shd w:val="clear" w:color="auto" w:fill="F4F1EC"/>
          </w:tcPr>
          <w:p>
            <w:pPr>
              <w:pStyle w:val="Compact"/>
              <w:spacing w:after="40" w:before="40"/>
              <w:jc w:val="left"/>
            </w:pPr>
            <w:r>
              <w:rPr>
                <w:rFonts w:ascii="Cambria" w:hAnsi="Cambria" w:cs="Cambria" w:eastAsia="Cambria"/>
                <w:color w:val="1A1A1A"/>
                <w:sz w:val="18"/>
              </w:rPr>
              <w:t xml:space="preserve">Azienda regionale della salute (ARES) e Assessorato regionale dell’igiene e sanità; presenza di un’azienda regionale di coordinamento</w:t>
            </w:r>
          </w:p>
        </w:tc>
      </w:tr>
      <w:tr>
        <w:tc>
          <w:tcPr/>
          <w:p>
            <w:pPr>
              <w:pStyle w:val="Compact"/>
              <w:spacing w:after="40" w:before="40"/>
              <w:jc w:val="left"/>
            </w:pPr>
            <w:r>
              <w:rPr>
                <w:rFonts w:ascii="Cambria" w:hAnsi="Cambria" w:cs="Cambria" w:eastAsia="Cambria"/>
                <w:b/>
                <w:bCs/>
                <w:color w:val="1A1A1A"/>
                <w:sz w:val="18"/>
              </w:rPr>
              <w:t xml:space="preserve">Sfida organizzativa</w:t>
            </w:r>
          </w:p>
        </w:tc>
        <w:tc>
          <w:tcPr/>
          <w:p>
            <w:pPr>
              <w:pStyle w:val="Compact"/>
              <w:spacing w:after="40" w:before="40"/>
              <w:jc w:val="left"/>
            </w:pPr>
            <w:r>
              <w:rPr>
                <w:rFonts w:ascii="Cambria" w:hAnsi="Cambria" w:cs="Cambria" w:eastAsia="Cambria"/>
                <w:color w:val="1A1A1A"/>
                <w:sz w:val="18"/>
              </w:rPr>
              <w:t xml:space="preserve">Estensione omogenea del Dipartimento alle otto Aziende in un sistema insulare a bassa densità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Regia della strutturazione</w:t>
            </w:r>
          </w:p>
        </w:tc>
        <w:tc>
          <w:tcPr>
            <w:shd w:val="clear" w:color="auto" w:fill="F4F1EC"/>
          </w:tcPr>
          <w:p>
            <w:pPr>
              <w:pStyle w:val="Compact"/>
              <w:spacing w:after="40" w:before="40"/>
              <w:jc w:val="left"/>
            </w:pPr>
            <w:r>
              <w:rPr>
                <w:rFonts w:ascii="Cambria" w:hAnsi="Cambria" w:cs="Cambria" w:eastAsia="Cambria"/>
                <w:color w:val="1A1A1A"/>
                <w:sz w:val="18"/>
              </w:rPr>
              <w:t xml:space="preserve">Indirizzi operativi uniformi e monitoraggio comune in capo all’ARES e all’Assessorato</w:t>
            </w:r>
          </w:p>
        </w:tc>
      </w:tr>
      <w:tr>
        <w:tc>
          <w:tcPr/>
          <w:p>
            <w:pPr>
              <w:pStyle w:val="Compact"/>
              <w:spacing w:after="40" w:before="40"/>
              <w:jc w:val="left"/>
            </w:pPr>
            <w:r>
              <w:rPr>
                <w:rFonts w:ascii="Cambria" w:hAnsi="Cambria" w:cs="Cambria" w:eastAsia="Cambria"/>
                <w:b/>
                <w:bCs/>
                <w:color w:val="1A1A1A"/>
                <w:sz w:val="18"/>
              </w:rPr>
              <w:t xml:space="preserve">Soggetti coinvolti</w:t>
            </w:r>
          </w:p>
        </w:tc>
        <w:tc>
          <w:tcPr/>
          <w:p>
            <w:pPr>
              <w:pStyle w:val="Compact"/>
              <w:spacing w:after="40" w:before="40"/>
              <w:jc w:val="left"/>
            </w:pPr>
            <w:r>
              <w:rPr>
                <w:rFonts w:ascii="Cambria" w:hAnsi="Cambria" w:cs="Cambria" w:eastAsia="Cambria"/>
                <w:color w:val="1A1A1A"/>
                <w:sz w:val="18"/>
              </w:rPr>
              <w:t xml:space="preserve">Aziende, Ordine professionale, medicina generale e pediatria, atenei</w:t>
            </w:r>
          </w:p>
        </w:tc>
      </w:tr>
    </w:tbl>
    <w:p>
      <w:pPr>
        <w:pStyle w:val="BodyText"/>
      </w:pPr>
      <w:r>
        <w:rPr>
          <w:i/>
          <w:iCs/>
        </w:rPr>
        <w:t xml:space="preserve">Tabella H.2. L</w:t>
      </w:r>
      <w:r>
        <w:rPr>
          <w:b/>
          <w:bCs/>
          <w:i/>
          <w:iCs/>
        </w:rPr>
        <w:t xml:space="preserve">‘******assetto organizzativo e la governance dell******’</w:t>
      </w:r>
      <w:r>
        <w:rPr>
          <w:i/>
          <w:iCs/>
        </w:rPr>
        <w:t xml:space="preserve">istituzione.</w:t>
      </w:r>
    </w:p>
    <w:bookmarkEnd w:id="3889"/>
    <w:bookmarkStart w:id="3895" w:name="h.3-il-profilo-etico-10"/>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3726"/>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3727"/>
      </w:r>
      <w:r>
        <w:t xml:space="preserve"> </w:t>
      </w:r>
      <w:r>
        <w:t xml:space="preserve">Gli strumenti di intelligenza artificiale sono concepiti come ausilio del clinico, in conformità al quadro europeo e ai requisiti sui dispositivi medici,</w:t>
      </w:r>
      <w:r>
        <w:rPr>
          <w:rStyle w:val="FootnoteReference"/>
        </w:rPr>
        <w:footnoteReference w:id="3728"/>
      </w:r>
      <w:r>
        <w:t xml:space="preserve"> </w:t>
      </w:r>
      <w:r>
        <w:t xml:space="preserve">il trattamento dei dati è conforme alla normativa e ispirato alla minimizzazione,</w:t>
      </w:r>
      <w:r>
        <w:rPr>
          <w:rStyle w:val="FootnoteReference"/>
        </w:rPr>
        <w:footnoteReference w:id="3729"/>
      </w:r>
      <w:r>
        <w:t xml:space="preserve"> </w:t>
      </w:r>
      <w:r>
        <w:t xml:space="preserve">e la responsabilità delle decisioni cliniche resta interamente in capo al professionista, cui gli strumenti forniscono un ausilio non vincolante.</w:t>
      </w:r>
      <w:r>
        <w:rPr>
          <w:rStyle w:val="FootnoteReference"/>
        </w:rPr>
        <w:footnoteReference w:id="3730"/>
      </w:r>
    </w:p>
    <w:bookmarkEnd w:id="3895"/>
    <w:bookmarkStart w:id="3897" w:name="h.4-sintesi-dei-profili-8"/>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 Sardegna, l’approvazione della legge — già in vigore — ma la piena attivazione del Dipartimento, la sua estensione alle otto Aziende e l’adozione del provvedimento di copertura finanziaria cui la legge la subordina, entro il vincolo del pareggio di bilancio proprio dello statuto speciale. È questo il passaggio da cui dipende la piena operatività del servizio.</w:t>
      </w:r>
      <w:r>
        <w:rPr>
          <w:rStyle w:val="FootnoteReference"/>
        </w:rPr>
        <w:footnoteReference w:id="3731"/>
      </w:r>
      <w:r>
        <w:t xml:space="preserve"> </w:t>
      </w:r>
      <w:r>
        <w:t xml:space="preserve">Definiti i profili, la parte che segue affronta l’attuazione, la fattibilità e la sostenibilità.</w:t>
      </w:r>
    </w:p>
    <w:bookmarkEnd w:id="3897"/>
    <w:bookmarkEnd w:id="3898"/>
    <w:bookmarkStart w:id="3920" w:name="X9d910104d2340f7427aa19684f157a4b8a3cb1f"/>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 Sardegna. La parte espone i cinque casi (capitolo I.1); definisce il dimensionamento a partire dall’attuazione parziale e le fasi di attuazione (I.2); tratta il reclutamento, la formazione e il cronoprogramma (I.3); analizza la sostenibilità finanziaria e organizzativa (I.4); e individua i rischi e le mitigazioni (I.5). Il tratto distintivo della Sardegna è che l’attuazione muove da un Dipartimento già previsto per legge e attivato nella sola Azienda di Sassari: non l’istituzione, ma la piena attivazione e il passaggio a regime, condizionati non dall’approvazione di una legge — già in vigore — ma dall’adozione del provvedimento di copertura finanziaria cui la legge la subordina e dall’estensione del Dipartimento alle otto Aziende, entro il vincolo del pareggio di bilancio.</w:t>
      </w:r>
    </w:p>
    <w:bookmarkStart w:id="3905" w:name="i.1-i-cinque-casi-della-decisione-6"/>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3732"/>
      </w:r>
      <w:r>
        <w:t xml:space="preserve"> </w:t>
      </w:r>
      <w:r>
        <w:t xml:space="preserve">Il caso strategico è solido: l’istituzione del servizio è coerente con gli standard territoriali, con le Case della Comunità e con il Piano regionale di salute mentale, e nella Sardegna porta a regime il modello dipartimentale che la regione ha già previsto per legge e istituito in via sperimentale.</w:t>
      </w:r>
      <w:r>
        <w:rPr>
          <w:rStyle w:val="FootnoteReference"/>
        </w:rPr>
        <w:footnoteReference w:id="3733"/>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3734"/>
      </w:r>
      <w:r>
        <w:t xml:space="preserve"> </w:t>
      </w:r>
      <w:r>
        <w:t xml:space="preserve">Il caso commerciale è già disciplinato e si avvale di un bacino professionale alimentato dagli atenei sardi di Cagliari e Sassari, con psicologi da inquadrare a dipendenza nelle Strutture Complesse di Psicologia territoriale di base.</w:t>
      </w:r>
      <w:r>
        <w:rPr>
          <w:rStyle w:val="FootnoteReference"/>
        </w:rPr>
        <w:footnoteReference w:id="3735"/>
      </w:r>
      <w:r>
        <w:t xml:space="preserve"> </w:t>
      </w:r>
      <w:r>
        <w:t xml:space="preserve">Il caso finanziario presenta un costo contenuto, pari allo 0,3–0,5% del finanziamento sanitario regionale, da reperire però entro il vincolo del pareggio di bilancio proprio dello statuto speciale, mediante il provvedimento di copertura finanziaria cui la legge subordina l’attivazione.</w:t>
      </w:r>
      <w:r>
        <w:rPr>
          <w:rStyle w:val="FootnoteReference"/>
        </w:rPr>
        <w:footnoteReference w:id="3736"/>
      </w:r>
      <w:r>
        <w:t xml:space="preserve"> </w:t>
      </w:r>
      <w:r>
        <w:t xml:space="preserve">Il caso gestionale dipende da una regia regionale che, avvalendosi dell’azienda regionale di coordinamento (ARES), coordini il sistema insulare delle otto Aziende.</w:t>
      </w:r>
      <w:r>
        <w:rPr>
          <w:rStyle w:val="FootnoteReference"/>
        </w:rPr>
        <w:footnoteReference w:id="3737"/>
      </w:r>
      <w:r>
        <w:t xml:space="preserve"> </w:t>
      </w:r>
      <w:r>
        <w:t xml:space="preserve">La tabella seguente riepiloga i cinque casi.</w:t>
      </w:r>
    </w:p>
    <w:tbl>
      <w:tblPr>
        <w:tblStyle w:val="Table"/>
        <w:tblW w:type="pct" w:w="494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24"/>
        <w:gridCol w:w="631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Caso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Sardegna</w:t>
            </w:r>
          </w:p>
        </w:tc>
      </w:tr>
      <w:tr>
        <w:tc>
          <w:tcPr/>
          <w:p>
            <w:pPr>
              <w:pStyle w:val="Compact"/>
              <w:spacing w:after="40" w:before="40"/>
              <w:jc w:val="left"/>
            </w:pPr>
            <w:r>
              <w:rPr>
                <w:rFonts w:ascii="Cambria" w:hAnsi="Cambria" w:cs="Cambria" w:eastAsia="Cambria"/>
                <w:b/>
                <w:bCs/>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Coerenza con DM 77/2022, Case della Comunità e programmazione salute mentale; passaggio a regime del modello dipartimentale già previsto per legge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Rapporto beneficio-costo 4,1–5,5 a uno; dominanza per paziente; caso sociale fortemente positivo</w:t>
            </w:r>
          </w:p>
        </w:tc>
      </w:tr>
      <w:tr>
        <w:tc>
          <w:tcPr/>
          <w:p>
            <w:pPr>
              <w:pStyle w:val="Compact"/>
              <w:spacing w:after="40" w:before="40"/>
              <w:jc w:val="left"/>
            </w:pPr>
            <w:r>
              <w:rPr>
                <w:rFonts w:ascii="Cambria" w:hAnsi="Cambria" w:cs="Cambria" w:eastAsia="Cambria"/>
                <w:b/>
                <w:bCs/>
                <w:color w:val="1A1A1A"/>
                <w:sz w:val="18"/>
              </w:rPr>
              <w:t xml:space="preserve">Commerciale</w:t>
            </w:r>
          </w:p>
        </w:tc>
        <w:tc>
          <w:tcPr/>
          <w:p>
            <w:pPr>
              <w:pStyle w:val="Compact"/>
              <w:spacing w:after="40" w:before="40"/>
              <w:jc w:val="left"/>
            </w:pPr>
            <w:r>
              <w:rPr>
                <w:rFonts w:ascii="Cambria" w:hAnsi="Cambria" w:cs="Cambria" w:eastAsia="Cambria"/>
                <w:color w:val="1A1A1A"/>
                <w:sz w:val="18"/>
              </w:rPr>
              <w:t xml:space="preserve">Modello a dipendenza già disciplinato; bacino dagli atenei sardi (Cagliari, Sassari); inquadramento nelle Strutture Complesse delle Aziende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Finanziario</w:t>
            </w:r>
          </w:p>
        </w:tc>
        <w:tc>
          <w:tcPr>
            <w:shd w:val="clear" w:color="auto" w:fill="F4F1EC"/>
          </w:tcPr>
          <w:p>
            <w:pPr>
              <w:pStyle w:val="Compact"/>
              <w:spacing w:after="40" w:before="40"/>
              <w:jc w:val="left"/>
            </w:pPr>
            <w:r>
              <w:rPr>
                <w:rFonts w:ascii="Cambria" w:hAnsi="Cambria" w:cs="Cambria" w:eastAsia="Cambria"/>
                <w:color w:val="1A1A1A"/>
                <w:sz w:val="18"/>
              </w:rPr>
              <w:t xml:space="preserve">Costo 0,3–0,5% del FSR; statuto speciale autofinanziante (pareggio di bilancio); attivazione subordinata a copertura finanziaria</w:t>
            </w:r>
          </w:p>
        </w:tc>
      </w:tr>
      <w:tr>
        <w:tc>
          <w:tcPr/>
          <w:p>
            <w:pPr>
              <w:pStyle w:val="Compact"/>
              <w:spacing w:after="40" w:before="40"/>
              <w:jc w:val="left"/>
            </w:pPr>
            <w:r>
              <w:rPr>
                <w:rFonts w:ascii="Cambria" w:hAnsi="Cambria" w:cs="Cambria" w:eastAsia="Cambria"/>
                <w:b/>
                <w:bCs/>
                <w:color w:val="1A1A1A"/>
                <w:sz w:val="18"/>
              </w:rPr>
              <w:t xml:space="preserve">Gestionale</w:t>
            </w:r>
          </w:p>
        </w:tc>
        <w:tc>
          <w:tcPr/>
          <w:p>
            <w:pPr>
              <w:pStyle w:val="Compact"/>
              <w:spacing w:after="40" w:before="40"/>
              <w:jc w:val="left"/>
            </w:pPr>
            <w:r>
              <w:rPr>
                <w:rFonts w:ascii="Cambria" w:hAnsi="Cambria" w:cs="Cambria" w:eastAsia="Cambria"/>
                <w:color w:val="1A1A1A"/>
                <w:sz w:val="18"/>
              </w:rPr>
              <w:t xml:space="preserve">Regia regionale avvalendosi dell’ARES per il coordinamento del sistema insulare delle otto Aziende</w:t>
            </w:r>
          </w:p>
        </w:tc>
      </w:tr>
    </w:tbl>
    <w:p>
      <w:pPr>
        <w:pStyle w:val="BodyText"/>
      </w:pPr>
      <w:r>
        <w:rPr>
          <w:i/>
          <w:iCs/>
        </w:rPr>
        <w:t xml:space="preserve">Tabella I.1. I cinque casi della decisione di investimento pubblico.</w:t>
      </w:r>
    </w:p>
    <w:bookmarkEnd w:id="3905"/>
    <w:bookmarkStart w:id="3908" w:name="Xb3850ab69856c922c78c16db190ae22443d4656"/>
    <w:p>
      <w:pPr>
        <w:pStyle w:val="Heading3"/>
      </w:pPr>
      <w:r>
        <w:t xml:space="preserve">I.2 Il dimensionamento dal nucleo di avvio e le fasi di attuazione</w:t>
      </w:r>
    </w:p>
    <w:p>
      <w:pPr>
        <w:pStyle w:val="FirstParagraph"/>
      </w:pPr>
      <w:r>
        <w:t xml:space="preserve">A differenza del Lazio, che dimensiona il servizio da zero, la Sardegna muove dal Dipartimento già attivato nella sola Azienda di Sassari e lo estende verso un fabbisogno a regime dell’ordine di 340 psicologi nello scenario espansivo; l’estensione procede per gradi attraverso gli scenari conservativo, di base ed espansivo.</w:t>
      </w:r>
      <w:r>
        <w:rPr>
          <w:rStyle w:val="FootnoteReference"/>
        </w:rPr>
        <w:footnoteReference w:id="3738"/>
      </w:r>
      <w:r>
        <w:t xml:space="preserve"> </w:t>
      </w:r>
      <w:r>
        <w:t xml:space="preserve">L’attuazione si articola perciò in tre fasi: una fase di attivazione, con l’adozione della copertura finanziaria e l’avvio operativo; una fase di estensione, nella quale il Dipartimento si attiva progressivamente nelle otto Aziende; e una fase di regime, nella quale il servizio raggiunge il dimensionamento adeguato. La progressione differenziata dell’attivazione fra le Aziende, a partire da Sassari, coincide con l’esperimento a cunei progressivi descritto nella Parte F.</w:t>
      </w:r>
      <w:r>
        <w:rPr>
          <w:rStyle w:val="FootnoteReference"/>
        </w:rPr>
        <w:footnoteReference w:id="3739"/>
      </w:r>
      <w:r>
        <w:t xml:space="preserve"> </w:t>
      </w:r>
      <w:r>
        <w:t xml:space="preserve">La tabella seguente riepiloga le fasi.</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70"/>
        <w:gridCol w:w="4058"/>
        <w:gridCol w:w="216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Dimensionamento indicativo</w:t>
            </w:r>
          </w:p>
        </w:tc>
      </w:tr>
      <w:tr>
        <w:tc>
          <w:tcPr/>
          <w:p>
            <w:pPr>
              <w:pStyle w:val="Compact"/>
              <w:spacing w:after="40" w:before="40"/>
              <w:jc w:val="left"/>
            </w:pPr>
            <w:r>
              <w:rPr>
                <w:rFonts w:ascii="Cambria" w:hAnsi="Cambria" w:cs="Cambria" w:eastAsia="Cambria"/>
                <w:b/>
                <w:bCs/>
                <w:color w:val="1A1A1A"/>
                <w:sz w:val="18"/>
              </w:rPr>
              <w:t xml:space="preserve">Attivazione</w:t>
            </w:r>
          </w:p>
        </w:tc>
        <w:tc>
          <w:tcPr/>
          <w:p>
            <w:pPr>
              <w:pStyle w:val="Compact"/>
              <w:spacing w:after="40" w:before="40"/>
              <w:jc w:val="left"/>
            </w:pPr>
            <w:r>
              <w:rPr>
                <w:rFonts w:ascii="Cambria" w:hAnsi="Cambria" w:cs="Cambria" w:eastAsia="Cambria"/>
                <w:color w:val="1A1A1A"/>
                <w:sz w:val="18"/>
              </w:rPr>
              <w:t xml:space="preserve">Provvedimento di copertura finanziaria e avvio operativo</w:t>
            </w:r>
          </w:p>
        </w:tc>
        <w:tc>
          <w:tcPr/>
          <w:p>
            <w:pPr>
              <w:pStyle w:val="Compact"/>
              <w:spacing w:after="40" w:before="40"/>
              <w:jc w:val="left"/>
            </w:pPr>
            <w:r>
              <w:rPr>
                <w:rFonts w:ascii="Cambria" w:hAnsi="Cambria" w:cs="Cambria" w:eastAsia="Cambria"/>
                <w:color w:val="1A1A1A"/>
                <w:sz w:val="18"/>
              </w:rPr>
              <w:t xml:space="preserve">Dipartimento attivo a Sassari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Estensione</w:t>
            </w:r>
          </w:p>
        </w:tc>
        <w:tc>
          <w:tcPr>
            <w:shd w:val="clear" w:color="auto" w:fill="F4F1EC"/>
          </w:tcPr>
          <w:p>
            <w:pPr>
              <w:pStyle w:val="Compact"/>
              <w:spacing w:after="40" w:before="40"/>
              <w:jc w:val="left"/>
            </w:pPr>
            <w:r>
              <w:rPr>
                <w:rFonts w:ascii="Cambria" w:hAnsi="Cambria" w:cs="Cambria" w:eastAsia="Cambria"/>
                <w:color w:val="1A1A1A"/>
                <w:sz w:val="18"/>
              </w:rPr>
              <w:t xml:space="preserve">Attivazione progressiva del Dipartimento nelle otto Aziende</w:t>
            </w:r>
          </w:p>
        </w:tc>
        <w:tc>
          <w:tcPr>
            <w:shd w:val="clear" w:color="auto" w:fill="F4F1EC"/>
          </w:tcPr>
          <w:p>
            <w:pPr>
              <w:pStyle w:val="Compact"/>
              <w:spacing w:after="40" w:before="40"/>
              <w:jc w:val="left"/>
            </w:pPr>
            <w:r>
              <w:rPr>
                <w:rFonts w:ascii="Cambria" w:hAnsi="Cambria" w:cs="Cambria" w:eastAsia="Cambria"/>
                <w:color w:val="1A1A1A"/>
                <w:sz w:val="18"/>
              </w:rPr>
              <w:t xml:space="preserve">verso ~ 170–250 psicologi</w:t>
            </w:r>
          </w:p>
        </w:tc>
      </w:tr>
      <w:tr>
        <w:tc>
          <w:tcPr/>
          <w:p>
            <w:pPr>
              <w:pStyle w:val="Compact"/>
              <w:spacing w:after="40" w:before="40"/>
              <w:jc w:val="left"/>
            </w:pPr>
            <w:r>
              <w:rPr>
                <w:rFonts w:ascii="Cambria" w:hAnsi="Cambria" w:cs="Cambria" w:eastAsia="Cambria"/>
                <w:b/>
                <w:bCs/>
                <w:color w:val="1A1A1A"/>
                <w:sz w:val="18"/>
              </w:rPr>
              <w:t xml:space="preserve">Regime</w:t>
            </w:r>
          </w:p>
        </w:tc>
        <w:tc>
          <w:tcPr/>
          <w:p>
            <w:pPr>
              <w:pStyle w:val="Compact"/>
              <w:spacing w:after="40" w:before="40"/>
              <w:jc w:val="left"/>
            </w:pPr>
            <w:r>
              <w:rPr>
                <w:rFonts w:ascii="Cambria" w:hAnsi="Cambria" w:cs="Cambria" w:eastAsia="Cambria"/>
                <w:color w:val="1A1A1A"/>
                <w:sz w:val="18"/>
              </w:rPr>
              <w:t xml:space="preserve">Dimensionamento adeguato al fabbisogno</w:t>
            </w:r>
          </w:p>
        </w:tc>
        <w:tc>
          <w:tcPr/>
          <w:p>
            <w:pPr>
              <w:pStyle w:val="Compact"/>
              <w:spacing w:after="40" w:before="40"/>
              <w:jc w:val="left"/>
            </w:pPr>
            <w:r>
              <w:rPr>
                <w:rFonts w:ascii="Cambria" w:hAnsi="Cambria" w:cs="Cambria" w:eastAsia="Cambria"/>
                <w:color w:val="1A1A1A"/>
                <w:sz w:val="18"/>
              </w:rPr>
              <w:t xml:space="preserve">fino a ~ 340 psicologi</w:t>
            </w:r>
          </w:p>
        </w:tc>
      </w:tr>
    </w:tbl>
    <w:p>
      <w:pPr>
        <w:pStyle w:val="BodyText"/>
      </w:pPr>
      <w:r>
        <w:rPr>
          <w:i/>
          <w:iCs/>
        </w:rPr>
        <w:t xml:space="preserve">Tabella I.2. Le fasi di attuazione e il dimensionamento progressivo.</w:t>
      </w:r>
    </w:p>
    <w:bookmarkEnd w:id="3908"/>
    <w:bookmarkStart w:id="3911" w:name="X9b9f9bd7591c4b98c735237fc5eb9f39b03e562"/>
    <w:p>
      <w:pPr>
        <w:pStyle w:val="Heading3"/>
      </w:pPr>
      <w:r>
        <w:t xml:space="preserve">I.3 Reclutamento, formazione e cronoprogramma</w:t>
      </w:r>
    </w:p>
    <w:p>
      <w:pPr>
        <w:pStyle w:val="FirstParagraph"/>
      </w:pPr>
      <w:r>
        <w:t xml:space="preserve">L’estensione richiede il reclutamento a dipendenza e la formazione dedicata degli psicologi, secondo il programma a quattro livelli; il bacino professionale e gli atenei sardi di Cagliari e Sassari costituiscono una base favorevole, e la formazione specialistica assicura l’omogeneità delle competenze, con particolare attenzione all’età anziana e alla cronicità.</w:t>
      </w:r>
      <w:r>
        <w:rPr>
          <w:rStyle w:val="FootnoteReference"/>
        </w:rPr>
        <w:footnoteReference w:id="3740"/>
      </w:r>
      <w:r>
        <w:t xml:space="preserve"> </w:t>
      </w:r>
      <w:r>
        <w:t xml:space="preserve">Il cronoprogramma si sviluppa su un orizzonte pluriennale, con il raggiungimento del regime in più esercizi; a differenza del Lazio, l’estensione non è subordinata all’approvazione di una legge — già in vigore — ma all’adozione del provvedimento di copertura finanziaria cui la legge la subordina e all’estensione del Dipartimento alle otto Aziende, entro il vincolo del pareggio di bilancio.</w:t>
      </w:r>
      <w:r>
        <w:rPr>
          <w:rStyle w:val="FootnoteReference"/>
        </w:rPr>
        <w:footnoteReference w:id="3741"/>
      </w:r>
    </w:p>
    <w:bookmarkEnd w:id="3911"/>
    <w:bookmarkStart w:id="3915" w:name="Xc24845f16298c5f1ce7ad93ca788a970b6dec0e"/>
    <w:p>
      <w:pPr>
        <w:pStyle w:val="Heading3"/>
      </w:pPr>
      <w:r>
        <w:t xml:space="preserve">I.4 La sostenibilità finanziaria e organizzativa</w:t>
      </w:r>
    </w:p>
    <w:p>
      <w:pPr>
        <w:pStyle w:val="FirstParagraph"/>
      </w:pPr>
      <w:r>
        <w:t xml:space="preserve">La sostenibilità finanziaria, nella Sardegna, ha per leva l’adozione del provvedimento di copertura finanziaria cui la legge subordina l’attivazione, entro il vincolo del pareggio di bilancio proprio dello statuto speciale, e il dimensionamento progressivo del servizio; il sistema, storicamente sotto-finanziato e gravato dal più elevato disavanzo fra le regioni a statuto speciale, presenta margini di consumo improprio ampi da recuperare, mentre l’eventuale riconoscimento nei livelli essenziali di assistenza ne rafforzerebbe in futuro la stabilità.</w:t>
      </w:r>
      <w:r>
        <w:rPr>
          <w:rStyle w:val="FootnoteReference"/>
        </w:rPr>
        <w:footnoteReference w:id="3742"/>
      </w:r>
      <w:r>
        <w:t xml:space="preserve"> </w:t>
      </w:r>
      <w:r>
        <w:t xml:space="preserve">La sostenibilità organizzativa dipende invece dalla capacità di garantire l’estensione omogenea del Dipartimento alle otto Aziende socio-sanitarie locali in un sistema insulare a bassa densità, agevolata dalla presenza dell’azienda regionale di coordinamento (ARES) e dalla chiarezza degli indirizzi operativi.</w:t>
      </w:r>
      <w:r>
        <w:rPr>
          <w:rStyle w:val="FootnoteReference"/>
        </w:rPr>
        <w:footnoteReference w:id="3743"/>
      </w:r>
      <w:r>
        <w:t xml:space="preserve"> </w:t>
      </w:r>
      <w:r>
        <w:t xml:space="preserve">L’avanzamento è seguito mediante indicatori di processo raccolti attraverso il monitoraggio del Dipartimento, che l’attuazione parziale consente di impostare fin dall’inizio in forma uniforme fra le otto Aziende.</w:t>
      </w:r>
      <w:r>
        <w:rPr>
          <w:rStyle w:val="FootnoteReference"/>
        </w:rPr>
        <w:footnoteReference w:id="3744"/>
      </w:r>
    </w:p>
    <w:bookmarkEnd w:id="3915"/>
    <w:bookmarkStart w:id="3919" w:name="i.5-i-rischi-e-le-mitigazioni-8"/>
    <w:p>
      <w:pPr>
        <w:pStyle w:val="Heading3"/>
      </w:pPr>
      <w:r>
        <w:t xml:space="preserve">I.5 I rischi e le mitigazioni</w:t>
      </w:r>
    </w:p>
    <w:p>
      <w:pPr>
        <w:pStyle w:val="FirstParagraph"/>
      </w:pPr>
      <w:r>
        <w:t xml:space="preserve">L’attuazione presenta rischi propri della posizione sarda: la disomogeneità attuativa fra le otto Aziende in un sistema insulare a bassa densità, il vincolo del pareggio di bilancio e del disavanzo strutturale sulla disponibilità della copertura finanziaria cui la legge subordina l’attivazione, il maggior costo unitario del modello a dipendenza e il rischio che l’estensione privilegi i poli urbani a scapito delle aree interne.</w:t>
      </w:r>
      <w:r>
        <w:rPr>
          <w:rStyle w:val="FootnoteReference"/>
        </w:rPr>
        <w:footnoteReference w:id="3745"/>
      </w:r>
      <w:r>
        <w:t xml:space="preserve"> </w:t>
      </w:r>
      <w:r>
        <w:t xml:space="preserve">Tali rischi sono fronteggiati con la regia dell’ARES e indirizzi operativi uniformi, con la progressione differenziata dell’attivazione del Dipartimento che consente un apprendimento progressivo a partire da Sassari, e con un’allocazione pro-equità che orienta l’estensione verso le aree interne a maggiore bisogno; l’adozione della copertura finanziaria e il sostegno dell’Ordine professionale concorrono a ridurre l’incertezza.</w:t>
      </w:r>
      <w:r>
        <w:rPr>
          <w:rStyle w:val="FootnoteReference"/>
        </w:rPr>
        <w:footnoteReference w:id="3746"/>
      </w:r>
      <w:r>
        <w:t xml:space="preserve"> </w:t>
      </w:r>
      <w:r>
        <w:t xml:space="preserve">La sintesi è che l’intervento è attuabile e sostenibile, e che la leva propria della Sardegna è l’adozione della copertura finanziaria cui la legge subordina l’attivazione e l’estensione del Dipartimento alle otto Aziende: la regione muove da un Dipartimento già attivato a Sassari, da un bacino professionale adeguato, da una previsione normativa acquisita e dal coordinamento dell’ARES, sicché le condizioni di fattibilità sono complessivamente favorevoli, pur entro un vincolo di bilancio severo.</w:t>
      </w:r>
      <w:r>
        <w:rPr>
          <w:rStyle w:val="FootnoteReference"/>
        </w:rPr>
        <w:footnoteReference w:id="3747"/>
      </w:r>
      <w:r>
        <w:t xml:space="preserve"> </w:t>
      </w:r>
      <w:r>
        <w:t xml:space="preserve">La tabella seguente riepiloga i rischi e le relative mitigazioni; la parte che segue affronta il monitoraggio e la valutazione ex post.</w:t>
      </w:r>
    </w:p>
    <w:tbl>
      <w:tblPr>
        <w:tblStyle w:val="Table"/>
        <w:tblW w:type="pct" w:w="494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958"/>
        <w:gridCol w:w="487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Mitigazione</w:t>
            </w:r>
          </w:p>
        </w:tc>
      </w:tr>
      <w:tr>
        <w:tc>
          <w:tcPr/>
          <w:p>
            <w:pPr>
              <w:pStyle w:val="Compact"/>
              <w:spacing w:after="40" w:before="40"/>
              <w:jc w:val="left"/>
            </w:pPr>
            <w:r>
              <w:rPr>
                <w:rFonts w:ascii="Cambria" w:hAnsi="Cambria" w:cs="Cambria" w:eastAsia="Cambria"/>
                <w:b/>
                <w:bCs/>
                <w:color w:val="1A1A1A"/>
                <w:sz w:val="18"/>
              </w:rPr>
              <w:t xml:space="preserve">Disomogeneità attuativa fra le otto Aziende</w:t>
            </w:r>
          </w:p>
        </w:tc>
        <w:tc>
          <w:tcPr/>
          <w:p>
            <w:pPr>
              <w:pStyle w:val="Compact"/>
              <w:spacing w:after="40" w:before="40"/>
              <w:jc w:val="left"/>
            </w:pPr>
            <w:r>
              <w:rPr>
                <w:rFonts w:ascii="Cambria" w:hAnsi="Cambria" w:cs="Cambria" w:eastAsia="Cambria"/>
                <w:color w:val="1A1A1A"/>
                <w:sz w:val="18"/>
              </w:rPr>
              <w:t xml:space="preserve">Regia dell’ARES; indirizzi operativi uniformi; monitoraggio comune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Maggior costo unitario del modello a dipendenza</w:t>
            </w:r>
          </w:p>
        </w:tc>
        <w:tc>
          <w:tcPr>
            <w:shd w:val="clear" w:color="auto" w:fill="F4F1EC"/>
          </w:tcPr>
          <w:p>
            <w:pPr>
              <w:pStyle w:val="Compact"/>
              <w:spacing w:after="40" w:before="40"/>
              <w:jc w:val="left"/>
            </w:pPr>
            <w:r>
              <w:rPr>
                <w:rFonts w:ascii="Cambria" w:hAnsi="Cambria" w:cs="Cambria" w:eastAsia="Cambria"/>
                <w:color w:val="1A1A1A"/>
                <w:sz w:val="18"/>
              </w:rPr>
              <w:t xml:space="preserve">Dimensionamento prudenziale; copertura finanziaria adeguata; recupero del consumo improprio</w:t>
            </w:r>
          </w:p>
        </w:tc>
      </w:tr>
      <w:tr>
        <w:tc>
          <w:tcPr/>
          <w:p>
            <w:pPr>
              <w:pStyle w:val="Compact"/>
              <w:spacing w:after="40" w:before="40"/>
              <w:jc w:val="left"/>
            </w:pPr>
            <w:r>
              <w:rPr>
                <w:rFonts w:ascii="Cambria" w:hAnsi="Cambria" w:cs="Cambria" w:eastAsia="Cambria"/>
                <w:b/>
                <w:bCs/>
                <w:color w:val="1A1A1A"/>
                <w:sz w:val="18"/>
              </w:rPr>
              <w:t xml:space="preserve">Vincolo del pareggio di bilancio e disavanzo strutturale</w:t>
            </w:r>
          </w:p>
        </w:tc>
        <w:tc>
          <w:tcPr/>
          <w:p>
            <w:pPr>
              <w:pStyle w:val="Compact"/>
              <w:spacing w:after="40" w:before="40"/>
              <w:jc w:val="left"/>
            </w:pPr>
            <w:r>
              <w:rPr>
                <w:rFonts w:ascii="Cambria" w:hAnsi="Cambria" w:cs="Cambria" w:eastAsia="Cambria"/>
                <w:color w:val="1A1A1A"/>
                <w:sz w:val="18"/>
              </w:rPr>
              <w:t xml:space="preserve">Copertura finanziaria cui la legge subordina l’attivazione; disegno per fasi; sostegno dell’Ordine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Allocazione non equa nell’estensione (rischio poli urbani)</w:t>
            </w:r>
          </w:p>
        </w:tc>
        <w:tc>
          <w:tcPr>
            <w:shd w:val="clear" w:color="auto" w:fill="F4F1EC"/>
          </w:tcPr>
          <w:p>
            <w:pPr>
              <w:pStyle w:val="Compact"/>
              <w:spacing w:after="40" w:before="40"/>
              <w:jc w:val="left"/>
            </w:pPr>
            <w:r>
              <w:rPr>
                <w:rFonts w:ascii="Cambria" w:hAnsi="Cambria" w:cs="Cambria" w:eastAsia="Cambria"/>
                <w:color w:val="1A1A1A"/>
                <w:sz w:val="18"/>
              </w:rPr>
              <w:t xml:space="preserve">Criteri di equità espliciti; estensione pro-equità verso le aree interne spopolate; gratuità del modello</w:t>
            </w:r>
          </w:p>
        </w:tc>
      </w:tr>
    </w:tbl>
    <w:p>
      <w:pPr>
        <w:pStyle w:val="BodyText"/>
      </w:pPr>
      <w:r>
        <w:rPr>
          <w:i/>
          <w:iCs/>
        </w:rPr>
        <w:t xml:space="preserve">Tabella I.3. I rischi dell</w:t>
      </w:r>
      <w:r>
        <w:rPr>
          <w:b/>
          <w:bCs/>
          <w:i/>
          <w:iCs/>
        </w:rPr>
        <w:t xml:space="preserve">’</w:t>
      </w:r>
      <w:r>
        <w:rPr>
          <w:i/>
          <w:iCs/>
        </w:rPr>
        <w:t xml:space="preserve">attuazione e le relative mitigazioni.</w:t>
      </w:r>
    </w:p>
    <w:bookmarkEnd w:id="3919"/>
    <w:bookmarkEnd w:id="3920"/>
    <w:bookmarkStart w:id="3945" w:name="X24f3953eda1aa415203783627c2ff7430fc5101"/>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 Sardegna è che, essendo il Dipartimento attivo nella sola Azienda di Sassari, la valutazione può disporre di una linea di base nelle Aziende non ancora dotate, e la clausola valutativa — da corredare all’attivazione del Dipartimento istituito in via sperimentale — va costruita avvalendosi del monitoraggio coordinato dall’ARES.</w:t>
      </w:r>
    </w:p>
    <w:bookmarkStart w:id="3923" w:name="Xb7586afbe63664265be4e99d22f0438580b651d"/>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3748"/>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3749"/>
      </w:r>
    </w:p>
    <w:bookmarkEnd w:id="3923"/>
    <w:bookmarkStart w:id="3927" w:name="X187186024d188bb3a9203a5339878a430039f13"/>
    <w:p>
      <w:pPr>
        <w:pStyle w:val="Heading3"/>
      </w:pPr>
      <w:r>
        <w:t xml:space="preserve">L.2 Il disegno controfattuale e i metodi</w:t>
      </w:r>
    </w:p>
    <w:p>
      <w:pPr>
        <w:pStyle w:val="FirstParagraph"/>
      </w:pPr>
      <w:r>
        <w:t xml:space="preserve">Il disegno della valutazione d’impatto costituisce, per la Sardegna, un punto di forza dello studio. Poiché il Dipartimento è attivo nella sola Azienda di Sassari e la sua estensione alle altre avverrà in tempi differenziati, la valutazione può fondarsi su un esperimento a cunei progressivi, nel quale l’ordine e i tempi di attivazione del Dipartimento tra le otto Aziende socio-sanitarie locali sono impiegati a fini valutativi.</w:t>
      </w:r>
      <w:r>
        <w:rPr>
          <w:rStyle w:val="FootnoteReference"/>
        </w:rPr>
        <w:footnoteReference w:id="3750"/>
      </w:r>
      <w:r>
        <w:t xml:space="preserve"> </w:t>
      </w:r>
      <w:r>
        <w:t xml:space="preserve">A differenza delle regioni a servizio già consolidato, la Sardegna può rilevare una linea di base nelle Aziende non ancora dotate, e il diverso grado di attivazione del Dipartimento fra le Aziende consente di costruire termini di confronto interni, fondando la stima su dati propri progettati fin dall’inizio.</w:t>
      </w:r>
      <w:r>
        <w:rPr>
          <w:rStyle w:val="FootnoteReference"/>
        </w:rPr>
        <w:footnoteReference w:id="3751"/>
      </w:r>
      <w:r>
        <w:t xml:space="preserve"> </w:t>
      </w:r>
      <w:r>
        <w:t xml:space="preserve">L’effetto causale è stimato con la differenza-nelle-differenze e con il metodo del controllo sintetico, con la progressione differenziata dell’attivazione del Dipartimento a fornire la variazione necessaria all’identificazione.</w:t>
      </w:r>
      <w:r>
        <w:rPr>
          <w:rStyle w:val="FootnoteReference"/>
        </w:rPr>
        <w:footnoteReference w:id="3752"/>
      </w:r>
    </w:p>
    <w:bookmarkEnd w:id="3927"/>
    <w:bookmarkStart w:id="3937" w:name="l.3-la-batteria-degli-indicatori-7"/>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3753"/>
      </w:r>
      <w:r>
        <w:t xml:space="preserve"> </w:t>
      </w:r>
      <w:r>
        <w:t xml:space="preserve">Gli indicatori di processo misurano il funzionamento — prese in carico, attesa, colloqui, invio appropriato.</w:t>
      </w:r>
      <w:r>
        <w:rPr>
          <w:rStyle w:val="FootnoteReference"/>
        </w:rPr>
        <w:footnoteReference w:id="3754"/>
      </w:r>
      <w:r>
        <w:t xml:space="preserve"> </w:t>
      </w:r>
      <w:r>
        <w:t xml:space="preserve">Gli indicatori di esito clinico misurano il beneficio diretto — miglioramento, recupero, remissione.</w:t>
      </w:r>
      <w:r>
        <w:rPr>
          <w:rStyle w:val="FootnoteReference"/>
        </w:rPr>
        <w:footnoteReference w:id="3755"/>
      </w:r>
      <w:r>
        <w:t xml:space="preserve"> </w:t>
      </w:r>
      <w:r>
        <w:t xml:space="preserve">Gli indicatori di esito di sistema misurano l’effetto sul resto del sistema — pronto soccorso, psicofarmaci, ricoveri.</w:t>
      </w:r>
      <w:r>
        <w:rPr>
          <w:rStyle w:val="FootnoteReference"/>
        </w:rPr>
        <w:footnoteReference w:id="3756"/>
      </w:r>
      <w:r>
        <w:t xml:space="preserve"> </w:t>
      </w:r>
      <w:r>
        <w:t xml:space="preserve">Gli indicatori economici consentono di verificare ex post le stime e di sostituire i valori ricostruiti con quelli effettivi.</w:t>
      </w:r>
      <w:r>
        <w:rPr>
          <w:rStyle w:val="FootnoteReference"/>
        </w:rPr>
        <w:footnoteReference w:id="3757"/>
      </w:r>
      <w:r>
        <w:t xml:space="preserve"> </w:t>
      </w:r>
      <w:r>
        <w:t xml:space="preserve">Gli indicatori di equità, disaggregati per area e per fasce di età, verificano che il servizio riduca i divari fra poli urbani e aree interne spopolate e fra centro e periferie dei poli, con attenzione congiunta all’età anziana, alla cronicità e al disagio giovanile, e all’effettiva accessibilità garantita dalla gratuità del modello.</w:t>
      </w:r>
      <w:r>
        <w:rPr>
          <w:rStyle w:val="FootnoteReference"/>
        </w:rPr>
        <w:footnoteReference w:id="3758"/>
      </w:r>
      <w:r>
        <w:t xml:space="preserve"> </w:t>
      </w:r>
      <w:r>
        <w:t xml:space="preserve">Gli indicatori di qualità integrano la misurazione con la dimensione dell’esperienza.</w:t>
      </w:r>
      <w:r>
        <w:rPr>
          <w:rStyle w:val="FootnoteReference"/>
        </w:rPr>
        <w:footnoteReference w:id="3759"/>
      </w:r>
      <w:r>
        <w:t xml:space="preserve"> </w:t>
      </w:r>
      <w:r>
        <w:t xml:space="preserve">Gli indicatori di mobilità, infine, sono monitorati ma costituiscono un esito atteso solo modesto, limitato alla frazione territorialmente intercettabile.</w:t>
      </w:r>
      <w:r>
        <w:rPr>
          <w:rStyle w:val="FootnoteReference"/>
        </w:rPr>
        <w:footnoteReference w:id="3760"/>
      </w:r>
      <w:r>
        <w:t xml:space="preserve"> </w:t>
      </w:r>
      <w:r>
        <w:t xml:space="preserve">L’insieme conta dell’ordine di cinquantotto indicatori in otto categorie, ciascuno con definizione, fonte, frequenza e responsabile.</w:t>
      </w:r>
      <w:r>
        <w:rPr>
          <w:rStyle w:val="FootnoteReference"/>
        </w:rPr>
        <w:footnoteReference w:id="3761"/>
      </w:r>
      <w:r>
        <w:t xml:space="preserve"> </w:t>
      </w:r>
      <w:r>
        <w:t xml:space="preserve">La tabella seguente riepiloga le categorie.</w:t>
      </w:r>
    </w:p>
    <w:tbl>
      <w:tblPr>
        <w:tblStyle w:val="Table"/>
        <w:tblW w:type="pct" w:w="494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10"/>
        <w:gridCol w:w="621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(dell’ordine di 58 indicatori complessivi)</w:t>
            </w:r>
          </w:p>
        </w:tc>
      </w:tr>
      <w:tr>
        <w:tc>
          <w:tcPr/>
          <w:p>
            <w:pPr>
              <w:pStyle w:val="Compact"/>
              <w:spacing w:after="40" w:before="40"/>
              <w:jc w:val="left"/>
            </w:pPr>
            <w:r>
              <w:rPr>
                <w:rFonts w:ascii="Cambria" w:hAnsi="Cambria" w:cs="Cambria" w:eastAsia="Cambria"/>
                <w:b/>
                <w:bCs/>
                <w:color w:val="1A1A1A"/>
                <w:sz w:val="18"/>
              </w:rPr>
              <w:t xml:space="preserve">Struttura</w:t>
            </w:r>
          </w:p>
        </w:tc>
        <w:tc>
          <w:tcPr/>
          <w:p>
            <w:pPr>
              <w:pStyle w:val="Compact"/>
              <w:spacing w:after="40" w:before="40"/>
              <w:jc w:val="left"/>
            </w:pPr>
            <w:r>
              <w:rPr>
                <w:rFonts w:ascii="Cambria" w:hAnsi="Cambria" w:cs="Cambria" w:eastAsia="Cambria"/>
                <w:color w:val="1A1A1A"/>
                <w:sz w:val="18"/>
              </w:rPr>
              <w:t xml:space="preserve">Sedi attivate, incarichi, ore, dotazione, copertura del fabbisogno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Processo</w:t>
            </w:r>
          </w:p>
        </w:tc>
        <w:tc>
          <w:tcPr>
            <w:shd w:val="clear" w:color="auto" w:fill="F4F1EC"/>
          </w:tcPr>
          <w:p>
            <w:pPr>
              <w:pStyle w:val="Compact"/>
              <w:spacing w:after="40" w:before="40"/>
              <w:jc w:val="left"/>
            </w:pPr>
            <w:r>
              <w:rPr>
                <w:rFonts w:ascii="Cambria" w:hAnsi="Cambria" w:cs="Cambria" w:eastAsia="Cambria"/>
                <w:color w:val="1A1A1A"/>
                <w:sz w:val="18"/>
              </w:rPr>
              <w:t xml:space="preserve">Prese in carico, attesa al primo colloquio, colloqui per persona, invio appropriato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Miglioramento, recupero, remissione (strumenti validati, punteggi complessivi)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psicofarmaci, ricoveri evitabili, specialistica impropria</w:t>
            </w:r>
          </w:p>
        </w:tc>
      </w:tr>
      <w:tr>
        <w:tc>
          <w:tcPr/>
          <w:p>
            <w:pPr>
              <w:pStyle w:val="Compact"/>
              <w:spacing w:after="40" w:before="40"/>
              <w:jc w:val="left"/>
            </w:pPr>
            <w:r>
              <w:rPr>
                <w:rFonts w:ascii="Cambria" w:hAnsi="Cambria" w:cs="Cambria" w:eastAsia="Cambria"/>
                <w:b/>
                <w:bCs/>
                <w:color w:val="1A1A1A"/>
                <w:sz w:val="18"/>
              </w:rPr>
              <w:t xml:space="preserve">Economici</w:t>
            </w:r>
          </w:p>
        </w:tc>
        <w:tc>
          <w:tcPr/>
          <w:p>
            <w:pPr>
              <w:pStyle w:val="Compact"/>
              <w:spacing w:after="40" w:before="40"/>
              <w:jc w:val="left"/>
            </w:pPr>
            <w:r>
              <w:rPr>
                <w:rFonts w:ascii="Cambria" w:hAnsi="Cambria" w:cs="Cambria" w:eastAsia="Cambria"/>
                <w:color w:val="1A1A1A"/>
                <w:sz w:val="18"/>
              </w:rPr>
              <w:t xml:space="preserve">Costo, risparmi diretti, ricadute sociali, rapporto beneficio-costo su dati reali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Copertura e accesso per area (poli urbani, periferie, aree interne spopolate) e per fasce di età; accessibilità garantita dalla gratuità</w:t>
            </w:r>
          </w:p>
        </w:tc>
      </w:tr>
      <w:tr>
        <w:tc>
          <w:tcPr/>
          <w:p>
            <w:pPr>
              <w:pStyle w:val="Compact"/>
              <w:spacing w:after="40" w:before="40"/>
              <w:jc w:val="left"/>
            </w:pPr>
            <w:r>
              <w:rPr>
                <w:rFonts w:ascii="Cambria" w:hAnsi="Cambria" w:cs="Cambria" w:eastAsia="Cambria"/>
                <w:b/>
                <w:bCs/>
                <w:color w:val="1A1A1A"/>
                <w:sz w:val="18"/>
              </w:rPr>
              <w:t xml:space="preserve">Qualità</w:t>
            </w:r>
          </w:p>
        </w:tc>
        <w:tc>
          <w:tcPr/>
          <w:p>
            <w:pPr>
              <w:pStyle w:val="Compact"/>
              <w:spacing w:after="40" w:before="40"/>
              <w:jc w:val="left"/>
            </w:pPr>
            <w:r>
              <w:rPr>
                <w:rFonts w:ascii="Cambria" w:hAnsi="Cambria" w:cs="Cambria" w:eastAsia="Cambria"/>
                <w:color w:val="1A1A1A"/>
                <w:sz w:val="18"/>
              </w:rPr>
              <w:t xml:space="preserve">Soddisfazione, appropriatezza, continuità del rapporto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w:t>
            </w:r>
          </w:p>
        </w:tc>
        <w:tc>
          <w:tcPr>
            <w:shd w:val="clear" w:color="auto" w:fill="F4F1EC"/>
          </w:tcPr>
          <w:p>
            <w:pPr>
              <w:pStyle w:val="Compact"/>
              <w:spacing w:after="40" w:before="40"/>
              <w:jc w:val="left"/>
            </w:pPr>
            <w:r>
              <w:rPr>
                <w:rFonts w:ascii="Cambria" w:hAnsi="Cambria" w:cs="Cambria" w:eastAsia="Cambria"/>
                <w:color w:val="1A1A1A"/>
                <w:sz w:val="18"/>
              </w:rPr>
              <w:t xml:space="preserve">Monitorata; esito atteso modesto (sola frazione territorialmente intercettabile)</w:t>
            </w:r>
          </w:p>
        </w:tc>
      </w:tr>
    </w:tbl>
    <w:p>
      <w:pPr>
        <w:pStyle w:val="BodyText"/>
      </w:pPr>
      <w:r>
        <w:rPr>
          <w:i/>
          <w:iCs/>
        </w:rPr>
        <w:t xml:space="preserve">Tabella L.1. Le otto categorie della batteria di indicatori.</w:t>
      </w:r>
    </w:p>
    <w:bookmarkEnd w:id="3937"/>
    <w:bookmarkStart w:id="3942" w:name="X960db173c17cb2e79e67af03a71be99d058ef61"/>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la titolarità del cruscotto è in capo all’Azienda regionale della salute (ARES) e all’Assessorato regionale dell’igiene e sanità, che ne assicurano l’alimentazione uniforme da parte delle otto Aziende.</w:t>
      </w:r>
      <w:r>
        <w:rPr>
          <w:rStyle w:val="FootnoteReference"/>
        </w:rPr>
        <w:footnoteReference w:id="3762"/>
      </w:r>
      <w:r>
        <w:t xml:space="preserve"> </w:t>
      </w:r>
      <w:r>
        <w:t xml:space="preserve">Lo strumento attraverso cui il monitoraggio diventa vincolante è la clausola valutativa; poiché la legge regionale 24 del 2020 ha istituito il Dipartimento in via sperimentale, il compito è corredarne l’attivazione di una clausola valutativa che impegni la Giunta a riferire periodicamente al Consiglio regionale.</w:t>
      </w:r>
      <w:r>
        <w:rPr>
          <w:rStyle w:val="FootnoteReference"/>
        </w:rPr>
        <w:footnoteReference w:id="3763"/>
      </w:r>
      <w:r>
        <w:t xml:space="preserve"> </w:t>
      </w:r>
      <w:r>
        <w:t xml:space="preserve">La raccolta dei dati poggia sul monitoraggio del Dipartimento coordinato dall’ARES, da impostare fin dall’attivazione in forma uniforme e interoperabile con la piattaforma informativa sanitaria regionale.</w:t>
      </w:r>
      <w:r>
        <w:rPr>
          <w:rStyle w:val="FootnoteReference"/>
        </w:rPr>
        <w:footnoteReference w:id="3764"/>
      </w:r>
      <w:r>
        <w:t xml:space="preserve"> </w:t>
      </w:r>
      <w:r>
        <w:t xml:space="preserve">La valutazione si articola infine in un monitoraggio in itinere, che accompagna l’attivazione progressiva, e in una valutazione ex post a regime.</w:t>
      </w:r>
      <w:r>
        <w:rPr>
          <w:rStyle w:val="FootnoteReference"/>
        </w:rPr>
        <w:footnoteReference w:id="3765"/>
      </w:r>
      <w:r>
        <w:t xml:space="preserve"> </w:t>
      </w:r>
      <w:r>
        <w:t xml:space="preserve">La tabella seguente riepiloga la governance valutativa.</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89"/>
        <w:gridCol w:w="573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governance valutativa</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la Sardegna</w:t>
            </w:r>
          </w:p>
        </w:tc>
      </w:tr>
      <w:tr>
        <w:tc>
          <w:tcPr/>
          <w:p>
            <w:pPr>
              <w:pStyle w:val="Compact"/>
              <w:spacing w:after="40" w:before="40"/>
              <w:jc w:val="left"/>
            </w:pPr>
            <w:r>
              <w:rPr>
                <w:rFonts w:ascii="Cambria" w:hAnsi="Cambria" w:cs="Cambria" w:eastAsia="Cambria"/>
                <w:b/>
                <w:bCs/>
                <w:color w:val="1A1A1A"/>
                <w:sz w:val="18"/>
              </w:rPr>
              <w:t xml:space="preserve">Disegno d’impatto</w:t>
            </w:r>
          </w:p>
        </w:tc>
        <w:tc>
          <w:tcPr/>
          <w:p>
            <w:pPr>
              <w:pStyle w:val="Compact"/>
              <w:spacing w:after="40" w:before="40"/>
              <w:jc w:val="left"/>
            </w:pPr>
            <w:r>
              <w:rPr>
                <w:rFonts w:ascii="Cambria" w:hAnsi="Cambria" w:cs="Cambria" w:eastAsia="Cambria"/>
                <w:color w:val="1A1A1A"/>
                <w:sz w:val="18"/>
              </w:rPr>
              <w:t xml:space="preserve">Esperimento a cunei progressivi tra le otto Aziende, con linea di base nelle Aziende non ancora dotate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Linea di base</w:t>
            </w:r>
          </w:p>
        </w:tc>
        <w:tc>
          <w:tcPr>
            <w:shd w:val="clear" w:color="auto" w:fill="F4F1EC"/>
          </w:tcPr>
          <w:p>
            <w:pPr>
              <w:pStyle w:val="Compact"/>
              <w:spacing w:after="40" w:before="40"/>
              <w:jc w:val="left"/>
            </w:pPr>
            <w:r>
              <w:rPr>
                <w:rFonts w:ascii="Cambria" w:hAnsi="Cambria" w:cs="Cambria" w:eastAsia="Cambria"/>
                <w:color w:val="1A1A1A"/>
                <w:sz w:val="18"/>
              </w:rPr>
              <w:t xml:space="preserve">Rilevazione nelle Aziende non ancora dotate e progressione differenziata dell’attivazione del Dipartimento</w:t>
            </w:r>
          </w:p>
        </w:tc>
      </w:tr>
      <w:tr>
        <w:tc>
          <w:tcPr/>
          <w:p>
            <w:pPr>
              <w:pStyle w:val="Compact"/>
              <w:spacing w:after="40" w:before="40"/>
              <w:jc w:val="left"/>
            </w:pPr>
            <w:r>
              <w:rPr>
                <w:rFonts w:ascii="Cambria" w:hAnsi="Cambria" w:cs="Cambria" w:eastAsia="Cambria"/>
                <w:b/>
                <w:bCs/>
                <w:color w:val="1A1A1A"/>
                <w:sz w:val="18"/>
              </w:rPr>
              <w:t xml:space="preserve">Titolarità del cruscotto</w:t>
            </w:r>
          </w:p>
        </w:tc>
        <w:tc>
          <w:tcPr/>
          <w:p>
            <w:pPr>
              <w:pStyle w:val="Compact"/>
              <w:spacing w:after="40" w:before="40"/>
              <w:jc w:val="left"/>
            </w:pPr>
            <w:r>
              <w:rPr>
                <w:rFonts w:ascii="Cambria" w:hAnsi="Cambria" w:cs="Cambria" w:eastAsia="Cambria"/>
                <w:color w:val="1A1A1A"/>
                <w:sz w:val="18"/>
              </w:rPr>
              <w:t xml:space="preserve">ARES e Assessorato regionale, con alimentazione uniforme dalle otto Aziende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Da corredare all’attivazione del Dipartimento (LR 24/2020 sperimentale); relazione periodica al Consiglio regionale</w:t>
            </w:r>
          </w:p>
        </w:tc>
      </w:tr>
      <w:tr>
        <w:tc>
          <w:tcPr/>
          <w:p>
            <w:pPr>
              <w:pStyle w:val="Compact"/>
              <w:spacing w:after="40" w:before="40"/>
              <w:jc w:val="left"/>
            </w:pPr>
            <w:r>
              <w:rPr>
                <w:rFonts w:ascii="Cambria" w:hAnsi="Cambria" w:cs="Cambria" w:eastAsia="Cambria"/>
                <w:b/>
                <w:bCs/>
                <w:color w:val="1A1A1A"/>
                <w:sz w:val="18"/>
              </w:rPr>
              <w:t xml:space="preserve">Flusso informativo</w:t>
            </w:r>
          </w:p>
        </w:tc>
        <w:tc>
          <w:tcPr/>
          <w:p>
            <w:pPr>
              <w:pStyle w:val="Compact"/>
              <w:spacing w:after="40" w:before="40"/>
              <w:jc w:val="left"/>
            </w:pPr>
            <w:r>
              <w:rPr>
                <w:rFonts w:ascii="Cambria" w:hAnsi="Cambria" w:cs="Cambria" w:eastAsia="Cambria"/>
                <w:color w:val="1A1A1A"/>
                <w:sz w:val="18"/>
              </w:rPr>
              <w:t xml:space="preserve">Monitoraggio del Dipartimento coordinato dall’ARES; uniforme e interoperabile con la piattaforma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Tempi</w:t>
            </w:r>
          </w:p>
        </w:tc>
        <w:tc>
          <w:tcPr>
            <w:shd w:val="clear" w:color="auto" w:fill="F4F1EC"/>
          </w:tcPr>
          <w:p>
            <w:pPr>
              <w:pStyle w:val="Compact"/>
              <w:spacing w:after="40" w:before="40"/>
              <w:jc w:val="left"/>
            </w:pPr>
            <w:r>
              <w:rPr>
                <w:rFonts w:ascii="Cambria" w:hAnsi="Cambria" w:cs="Cambria" w:eastAsia="Cambria"/>
                <w:color w:val="1A1A1A"/>
                <w:sz w:val="18"/>
              </w:rPr>
              <w:t xml:space="preserve">In itinere (accompagnamento dell’attivazione) ed ex post (effetto a regime)</w:t>
            </w:r>
          </w:p>
        </w:tc>
      </w:tr>
    </w:tbl>
    <w:p>
      <w:pPr>
        <w:pStyle w:val="BodyText"/>
      </w:pPr>
      <w:r>
        <w:rPr>
          <w:i/>
          <w:iCs/>
        </w:rPr>
        <w:t xml:space="preserve">Tabella L.2. La governance della valutazione e il cruscotto regionale.</w:t>
      </w:r>
    </w:p>
    <w:bookmarkEnd w:id="3942"/>
    <w:bookmarkStart w:id="3944" w:name="l.5-sintesi-del-monitoraggio-6"/>
    <w:p>
      <w:pPr>
        <w:pStyle w:val="Heading3"/>
      </w:pPr>
      <w:r>
        <w:t xml:space="preserve">L.5 Sintesi del monitoraggio</w:t>
      </w:r>
    </w:p>
    <w:p>
      <w:pPr>
        <w:pStyle w:val="FirstParagraph"/>
      </w:pPr>
      <w:r>
        <w:t xml:space="preserve">La valutazione è la condizione per trasformare l’attivazione del servizio in apprendimento, e la Sardegna può fondarla su una linea di base nelle Aziende non ancora dotate; perché ciò si realizzi, la clausola valutativa va corredata all’attivazione del Dipartimento e il flusso informativo va impostato fin dall’inizio in forma uniforme fra le otto Aziende, avvalendosi del coordinamento dell’ARES e valorizzando l’opportunità di una rilevazione ben progettata.</w:t>
      </w:r>
      <w:r>
        <w:rPr>
          <w:rStyle w:val="FootnoteReference"/>
        </w:rPr>
        <w:footnoteReference w:id="3766"/>
      </w:r>
      <w:r>
        <w:t xml:space="preserve"> </w:t>
      </w:r>
      <w:r>
        <w:t xml:space="preserve">Definito il sistema di monitoraggio, la parte conclusiva compone i risultati dei diversi domini in una sintesi multidimensionale e formula le raccomandazioni.</w:t>
      </w:r>
    </w:p>
    <w:bookmarkEnd w:id="3944"/>
    <w:bookmarkEnd w:id="3945"/>
    <w:bookmarkStart w:id="3967" w:name="X8dddb49cfd17dd3f08e42e706f546c92da76855"/>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 Sardegna.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 Sardegna percorre l’intera sintesi: è la regione insulare a bassa densità e fra le più anziane d’Italia, a statuto speciale autofinanziante e con il più elevato disavanzo fra le statuto speciale, che, undicesima della serie, è chiamata non a istituire un servizio, ma ad attivare pienamente un Dipartimento già previsto per legge con un modello dipartimentale e gratuito, estendendolo dalla sola Azienda di Sassari alle otto Aziende.</w:t>
      </w:r>
    </w:p>
    <w:bookmarkStart w:id="3948" w:name="m.1-la-sintesi-per-dominio-10"/>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3767"/>
      </w:r>
      <w:r>
        <w:t xml:space="preserve"> </w:t>
      </w:r>
      <w:r>
        <w:t xml:space="preserve">Il quadro che emerge dai domini è coerente: il bisogno è ampio e radicato in una regione insulare a bassa densità e fra le più anziane d’Italia; l’efficacia clinica è sostenuta da evidenza internazionale solida, con dati operativi propri ancora limitati; il quadro economico distingue un caso finanziario di modesto disavanzo prossimo al pareggio da un caso sociale fortemente positivo; l’equità è favorevole su un doppio asse territoriale e sulla dimensione generazionale, ed è rafforzata dalla gratuità del modello dipartimentale; la fattibilità è quella della piena attivazione di un Dipartimento già previsto per legge; il monitoraggio può fondarsi su una linea di base nelle Aziende non ancora dotate.</w:t>
      </w:r>
      <w:r>
        <w:rPr>
          <w:rStyle w:val="FootnoteReference"/>
        </w:rPr>
        <w:footnoteReference w:id="3768"/>
      </w:r>
      <w:r>
        <w:t xml:space="preserve"> </w:t>
      </w:r>
      <w:r>
        <w:t xml:space="preserve">La tabella seguente riepiloga il giudizio per dominio.</w:t>
      </w:r>
    </w:p>
    <w:tbl>
      <w:tblPr>
        <w:tblStyle w:val="Table"/>
        <w:tblW w:type="pct" w:w="494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41"/>
        <w:gridCol w:w="6293"/>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Dominio</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 sintetico per la Sardegna</w:t>
            </w:r>
          </w:p>
        </w:tc>
      </w:tr>
      <w:tr>
        <w:tc>
          <w:tcPr/>
          <w:p>
            <w:pPr>
              <w:pStyle w:val="Compact"/>
              <w:spacing w:after="40" w:before="40"/>
              <w:jc w:val="left"/>
            </w:pPr>
            <w:r>
              <w:rPr>
                <w:rFonts w:ascii="Cambria" w:hAnsi="Cambria" w:cs="Cambria" w:eastAsia="Cambria"/>
                <w:b/>
                <w:bCs/>
                <w:color w:val="1A1A1A"/>
                <w:sz w:val="18"/>
              </w:rPr>
              <w:t xml:space="preserve">Bisogno e contesto</w:t>
            </w:r>
          </w:p>
        </w:tc>
        <w:tc>
          <w:tcPr/>
          <w:p>
            <w:pPr>
              <w:pStyle w:val="Compact"/>
              <w:spacing w:after="40" w:before="40"/>
              <w:jc w:val="left"/>
            </w:pPr>
            <w:r>
              <w:rPr>
                <w:rFonts w:ascii="Cambria" w:hAnsi="Cambria" w:cs="Cambria" w:eastAsia="Cambria"/>
                <w:color w:val="1A1A1A"/>
                <w:sz w:val="18"/>
              </w:rPr>
              <w:t xml:space="preserve">Ampio; regione insulare a bassa densità e fra le più anziane d’Italia, a statuto speciale, disavanzo più grave fra le statuto speciale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w:t>
            </w:r>
          </w:p>
        </w:tc>
        <w:tc>
          <w:tcPr>
            <w:shd w:val="clear" w:color="auto" w:fill="F4F1EC"/>
          </w:tcPr>
          <w:p>
            <w:pPr>
              <w:pStyle w:val="Compact"/>
              <w:spacing w:after="40" w:before="40"/>
              <w:jc w:val="left"/>
            </w:pPr>
            <w:r>
              <w:rPr>
                <w:rFonts w:ascii="Cambria" w:hAnsi="Cambria" w:cs="Cambria" w:eastAsia="Cambria"/>
                <w:color w:val="1A1A1A"/>
                <w:sz w:val="18"/>
              </w:rPr>
              <w:t xml:space="preserve">Evidenza internazionale solida; dati operativi propri ancora limitati (Dipartimento attivo a Sassari)</w:t>
            </w:r>
          </w:p>
        </w:tc>
      </w:tr>
      <w:tr>
        <w:tc>
          <w:tcPr/>
          <w:p>
            <w:pPr>
              <w:pStyle w:val="Compact"/>
              <w:spacing w:after="40" w:before="40"/>
              <w:jc w:val="left"/>
            </w:pPr>
            <w:r>
              <w:rPr>
                <w:rFonts w:ascii="Cambria" w:hAnsi="Cambria" w:cs="Cambria" w:eastAsia="Cambria"/>
                <w:b/>
                <w:bCs/>
                <w:color w:val="1A1A1A"/>
                <w:sz w:val="18"/>
              </w:rPr>
              <w:t xml:space="preserve">Valutazione economica</w:t>
            </w:r>
          </w:p>
        </w:tc>
        <w:tc>
          <w:tcPr/>
          <w:p>
            <w:pPr>
              <w:pStyle w:val="Compact"/>
              <w:spacing w:after="40" w:before="40"/>
              <w:jc w:val="left"/>
            </w:pPr>
            <w:r>
              <w:rPr>
                <w:rFonts w:ascii="Cambria" w:hAnsi="Cambria" w:cs="Cambria" w:eastAsia="Cambria"/>
                <w:color w:val="1A1A1A"/>
                <w:sz w:val="18"/>
              </w:rPr>
              <w:t xml:space="preserve">Caso finanziario di modesto disavanzo; caso sociale fortemente positivo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Favorevole su doppio asse (poli urbani/aree interne spopolate; centro/periferie) e su età anziana e disagio giovanile; rafforzata dalla gratuità</w:t>
            </w:r>
          </w:p>
        </w:tc>
      </w:tr>
      <w:tr>
        <w:tc>
          <w:tcPr/>
          <w:p>
            <w:pPr>
              <w:pStyle w:val="Compact"/>
              <w:spacing w:after="40" w:before="40"/>
              <w:jc w:val="left"/>
            </w:pPr>
            <w:r>
              <w:rPr>
                <w:rFonts w:ascii="Cambria" w:hAnsi="Cambria" w:cs="Cambria" w:eastAsia="Cambria"/>
                <w:b/>
                <w:bCs/>
                <w:color w:val="1A1A1A"/>
                <w:sz w:val="18"/>
              </w:rPr>
              <w:t xml:space="preserve">Fattibilità</w:t>
            </w:r>
          </w:p>
        </w:tc>
        <w:tc>
          <w:tcPr/>
          <w:p>
            <w:pPr>
              <w:pStyle w:val="Compact"/>
              <w:spacing w:after="40" w:before="40"/>
              <w:jc w:val="left"/>
            </w:pPr>
            <w:r>
              <w:rPr>
                <w:rFonts w:ascii="Cambria" w:hAnsi="Cambria" w:cs="Cambria" w:eastAsia="Cambria"/>
                <w:color w:val="1A1A1A"/>
                <w:sz w:val="18"/>
              </w:rPr>
              <w:t xml:space="preserve">Piena attivazione di un Dipartimento già previsto per legge; coordinamento ARES; vincolo del pareggio di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Monitoraggio</w:t>
            </w:r>
          </w:p>
        </w:tc>
        <w:tc>
          <w:tcPr>
            <w:shd w:val="clear" w:color="auto" w:fill="F4F1EC"/>
          </w:tcPr>
          <w:p>
            <w:pPr>
              <w:pStyle w:val="Compact"/>
              <w:spacing w:after="40" w:before="40"/>
              <w:jc w:val="left"/>
            </w:pPr>
            <w:r>
              <w:rPr>
                <w:rFonts w:ascii="Cambria" w:hAnsi="Cambria" w:cs="Cambria" w:eastAsia="Cambria"/>
                <w:color w:val="1A1A1A"/>
                <w:sz w:val="18"/>
              </w:rPr>
              <w:t xml:space="preserve">Disegno controfattuale su attuazione parziale, con linea di base nelle Aziende non ancora dotate e monitoraggio ARES</w:t>
            </w:r>
          </w:p>
        </w:tc>
      </w:tr>
    </w:tbl>
    <w:p>
      <w:pPr>
        <w:pStyle w:val="BodyText"/>
      </w:pPr>
      <w:r>
        <w:rPr>
          <w:i/>
          <w:iCs/>
        </w:rPr>
        <w:t xml:space="preserve">Tabella M.1. La sintesi dei domini della valutazione.</w:t>
      </w:r>
    </w:p>
    <w:bookmarkEnd w:id="3948"/>
    <w:bookmarkStart w:id="3955" w:name="m.2-lanalisi-multi-criterio-15"/>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3769"/>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3770"/>
      </w:r>
      <w:r>
        <w:t xml:space="preserve"> </w:t>
      </w:r>
      <w:r>
        <w:t xml:space="preserve">La media ponderata dei punteggi dell’intervento è dell’ordine di 77,4 su 100, sostenuta dai punteggi elevati nell’equità, nel valore sociale e nel ritorno, e contenuta dai punteggi più bassi nella robustezza dell’evidenza — che riflette l’attuazione ancora parziale, con dati propri limitati — e nell’impatto sul bilancio, condizionato dal più elevato disavanzo fra le regioni a statuto speciale.</w:t>
      </w:r>
      <w:r>
        <w:rPr>
          <w:rStyle w:val="FootnoteReference"/>
        </w:rPr>
        <w:footnoteReference w:id="3771"/>
      </w:r>
      <w:r>
        <w:t xml:space="preserve"> </w:t>
      </w:r>
      <w:r>
        <w:t xml:space="preserve">Il non intervento ottiene una media dell’ordine di 39,2 su 100, penalizzato in tutti i criteri sostanziali e sostenuto soltanto dalla fattibilità immediata dello status quo, oggi poco giustificata, poiché lascerebbe inattuato in sette Aziende su otto un Dipartimento già previsto per legge.</w:t>
      </w:r>
      <w:r>
        <w:rPr>
          <w:rStyle w:val="FootnoteReference"/>
        </w:rPr>
        <w:footnoteReference w:id="3772"/>
      </w:r>
      <w:r>
        <w:t xml:space="preserve"> </w:t>
      </w:r>
      <w:r>
        <w:t xml:space="preserve">L’intervento prevale dunque nettamente, con uno scarto dell’ordine di trentotto punti; il punteggio si colloca fra i più elevati delle regioni esaminate, riflettendo una previsione normativa acquisita e la gratuità del modello.</w:t>
      </w:r>
      <w:r>
        <w:rPr>
          <w:rStyle w:val="FootnoteReference"/>
        </w:rPr>
        <w:footnoteReference w:id="3773"/>
      </w:r>
      <w:r>
        <w:t xml:space="preserve"> </w:t>
      </w:r>
      <w:r>
        <w:t xml:space="preserve">La prevalenza si mantiene al variare dei pesi entro intervalli ragionevoli, sicché la raccomandazione è robusta.</w:t>
      </w:r>
      <w:r>
        <w:rPr>
          <w:rStyle w:val="FootnoteReference"/>
        </w:rPr>
        <w:footnoteReference w:id="3774"/>
      </w:r>
      <w:r>
        <w:t xml:space="preserve"> </w:t>
      </w:r>
      <w:r>
        <w:t xml:space="preserve">La tabella seguente riporta i punteggi per criterio.</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Non interv.</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80</w:t>
            </w:r>
          </w:p>
        </w:tc>
        <w:tc>
          <w:tcPr/>
          <w:p>
            <w:pPr>
              <w:pStyle w:val="Compact"/>
              <w:spacing w:after="40" w:before="40"/>
              <w:jc w:val="left"/>
            </w:pPr>
            <w:r>
              <w:rPr>
                <w:rFonts w:ascii="Cambria" w:hAnsi="Cambria" w:cs="Cambria" w:eastAsia="Cambria"/>
                <w:color w:val="1A1A1A"/>
                <w:sz w:val="18"/>
              </w:rPr>
              <w:t xml:space="preserve">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85</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r>
      <w:tr>
        <w:tc>
          <w:tcPr/>
          <w:p>
            <w:pPr>
              <w:pStyle w:val="Compact"/>
              <w:spacing w:after="40" w:before="40"/>
              <w:jc w:val="left"/>
            </w:pPr>
            <w:r>
              <w:rPr>
                <w:rFonts w:ascii="Cambria" w:hAnsi="Cambria" w:cs="Cambria" w:eastAsia="Cambria"/>
                <w:b/>
                <w:bCs/>
                <w:color w:val="1A1A1A"/>
                <w:sz w:val="18"/>
              </w:rPr>
              <w:t xml:space="preserve">Impatto sul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60</w:t>
            </w:r>
          </w:p>
        </w:tc>
        <w:tc>
          <w:tcPr/>
          <w:p>
            <w:pPr>
              <w:pStyle w:val="Compact"/>
              <w:spacing w:after="40" w:before="40"/>
              <w:jc w:val="left"/>
            </w:pPr>
            <w:r>
              <w:rPr>
                <w:rFonts w:ascii="Cambria" w:hAnsi="Cambria" w:cs="Cambria" w:eastAsia="Cambria"/>
                <w:color w:val="1A1A1A"/>
                <w:sz w:val="18"/>
              </w:rPr>
              <w:t xml:space="preserve">52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86</w:t>
            </w:r>
          </w:p>
        </w:tc>
        <w:tc>
          <w:tcPr>
            <w:shd w:val="clear" w:color="auto" w:fill="F4F1EC"/>
          </w:tcPr>
          <w:p>
            <w:pPr>
              <w:pStyle w:val="Compact"/>
              <w:spacing w:after="40" w:before="40"/>
              <w:jc w:val="left"/>
            </w:pPr>
            <w:r>
              <w:rPr>
                <w:rFonts w:ascii="Cambria" w:hAnsi="Cambria" w:cs="Cambria" w:eastAsia="Cambria"/>
                <w:color w:val="1A1A1A"/>
                <w:sz w:val="18"/>
              </w:rPr>
              <w:t xml:space="preserve">28</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85</w:t>
            </w:r>
          </w:p>
        </w:tc>
        <w:tc>
          <w:tcPr/>
          <w:p>
            <w:pPr>
              <w:pStyle w:val="Compact"/>
              <w:spacing w:after="40" w:before="40"/>
              <w:jc w:val="left"/>
            </w:pPr>
            <w:r>
              <w:rPr>
                <w:rFonts w:ascii="Cambria" w:hAnsi="Cambria" w:cs="Cambria" w:eastAsia="Cambria"/>
                <w:color w:val="1A1A1A"/>
                <w:sz w:val="18"/>
              </w:rPr>
              <w:t xml:space="preserve">25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76</w:t>
            </w:r>
          </w:p>
        </w:tc>
        <w:tc>
          <w:tcPr>
            <w:shd w:val="clear" w:color="auto" w:fill="F4F1EC"/>
          </w:tcPr>
          <w:p>
            <w:pPr>
              <w:pStyle w:val="Compact"/>
              <w:spacing w:after="40" w:before="40"/>
              <w:jc w:val="left"/>
            </w:pPr>
            <w:r>
              <w:rPr>
                <w:rFonts w:ascii="Cambria" w:hAnsi="Cambria" w:cs="Cambria" w:eastAsia="Cambria"/>
                <w:color w:val="1A1A1A"/>
                <w:sz w:val="18"/>
              </w:rPr>
              <w:t xml:space="preserve">84</w:t>
            </w:r>
          </w:p>
        </w:tc>
      </w:tr>
      <w:tr>
        <w:tc>
          <w:tcPr/>
          <w:p>
            <w:pPr>
              <w:pStyle w:val="Compact"/>
              <w:spacing w:after="40" w:before="40"/>
              <w:jc w:val="left"/>
            </w:pPr>
            <w:r>
              <w:rPr>
                <w:rFonts w:ascii="Cambria" w:hAnsi="Cambria" w:cs="Cambria" w:eastAsia="Cambria"/>
                <w:b/>
                <w:bCs/>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62</w:t>
            </w:r>
          </w:p>
        </w:tc>
        <w:tc>
          <w:tcPr/>
          <w:p>
            <w:pPr>
              <w:pStyle w:val="Compact"/>
              <w:spacing w:after="40" w:before="40"/>
              <w:jc w:val="left"/>
            </w:pPr>
            <w:r>
              <w:rPr>
                <w:rFonts w:ascii="Cambria" w:hAnsi="Cambria" w:cs="Cambria" w:eastAsia="Cambria"/>
                <w:color w:val="1A1A1A"/>
                <w:sz w:val="18"/>
              </w:rPr>
              <w:t xml:space="preserve">55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84</w:t>
            </w:r>
          </w:p>
        </w:tc>
        <w:tc>
          <w:tcPr>
            <w:shd w:val="clear" w:color="auto" w:fill="F4F1EC"/>
          </w:tcPr>
          <w:p>
            <w:pPr>
              <w:pStyle w:val="Compact"/>
              <w:spacing w:after="40" w:before="40"/>
              <w:jc w:val="left"/>
            </w:pPr>
            <w:r>
              <w:rPr>
                <w:rFonts w:ascii="Cambria" w:hAnsi="Cambria" w:cs="Cambria" w:eastAsia="Cambria"/>
                <w:color w:val="1A1A1A"/>
                <w:sz w:val="18"/>
              </w:rPr>
              <w:t xml:space="preserve">26</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77,40</w:t>
            </w:r>
          </w:p>
        </w:tc>
        <w:tc>
          <w:tcPr/>
          <w:p>
            <w:pPr>
              <w:pStyle w:val="Compact"/>
              <w:spacing w:after="40" w:before="40"/>
              <w:jc w:val="left"/>
            </w:pPr>
            <w:r>
              <w:rPr>
                <w:rFonts w:ascii="Cambria" w:hAnsi="Cambria" w:cs="Cambria" w:eastAsia="Cambria"/>
                <w:color w:val="1A1A1A"/>
                <w:sz w:val="18"/>
              </w:rPr>
              <w:t xml:space="preserve">39,20</w:t>
            </w:r>
          </w:p>
        </w:tc>
      </w:tr>
    </w:tbl>
    <w:p>
      <w:pPr>
        <w:pStyle w:val="BodyText"/>
      </w:pPr>
      <w:r>
        <w:rPr>
          <w:i/>
          <w:iCs/>
        </w:rPr>
        <w:t xml:space="preserve">Tabella M.2. L</w:t>
      </w:r>
      <w:r>
        <w:rPr>
          <w:b/>
          <w:bCs/>
          <w:i/>
          <w:iCs/>
        </w:rPr>
        <w:t xml:space="preserve">‘******analisi multi-criterio: punteggi dell******’</w:t>
      </w:r>
      <w:r>
        <w:rPr>
          <w:i/>
          <w:iCs/>
        </w:rPr>
        <w:t xml:space="preserve">intervento e del non intervento.</w:t>
      </w:r>
    </w:p>
    <w:bookmarkEnd w:id="3955"/>
    <w:bookmarkStart w:id="3958" w:name="X3d5d8d2a9cad7f8b61036d8fc74a338e6707287"/>
    <w:p>
      <w:pPr>
        <w:pStyle w:val="Heading3"/>
      </w:pPr>
      <w:r>
        <w:t xml:space="preserve">M.3 La raccomandazione e il dimensionamento</w:t>
      </w:r>
    </w:p>
    <w:p>
      <w:pPr>
        <w:pStyle w:val="FirstParagraph"/>
      </w:pPr>
      <w:r>
        <w:t xml:space="preserve">Dalla convergenza dei domini e dall’analisi multi-criterio discende la raccomandazione principale: attivare pienamente il Dipartimento di Psicologia di Cure Primarie già previsto per legge, estendendolo dalla sola Azienda di Sassari a tutte le otto Aziende, adottando il provvedimento di copertura finanziaria cui la legge subordina l’attivazione, entro il vincolo del pareggio di bilancio, e dimensionandolo verso la copertura piena del fabbisogno; è la decisione che la Sardegna, dotata di previsione di legge, è chiamata a compiere per rendere pienamente operativo il servizio.</w:t>
      </w:r>
      <w:r>
        <w:rPr>
          <w:rStyle w:val="FootnoteReference"/>
        </w:rPr>
        <w:footnoteReference w:id="3775"/>
      </w:r>
      <w:r>
        <w:t xml:space="preserve"> </w:t>
      </w:r>
      <w:r>
        <w:t xml:space="preserve">Quanto alla scala, si raccomanda di muovere dal Dipartimento già attivato nell’Azienda di Sassari e di procedere per gradi verso lo scenario conservativo, dell’ordine di 170 psicologi, quindi verso quello di base, dell’ordine di 250, e infine verso quello espansivo, dell’ordine di 340, in funzione della verifica progressiva dei risultati e della sostenibilità.</w:t>
      </w:r>
      <w:r>
        <w:rPr>
          <w:rStyle w:val="FootnoteReference"/>
        </w:rPr>
        <w:footnoteReference w:id="3776"/>
      </w:r>
      <w:r>
        <w:t xml:space="preserve"> </w:t>
      </w:r>
      <w:r>
        <w:t xml:space="preserve">La tabella seguente riepiloga le raccomandazioni operative.</w:t>
      </w:r>
    </w:p>
    <w:tbl>
      <w:tblPr>
        <w:tblStyle w:val="Table"/>
        <w:tblW w:type="pct" w:w="494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67"/>
        <w:gridCol w:w="616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Raccomandazione operativa per la Sardegna</w:t>
            </w:r>
          </w:p>
        </w:tc>
      </w:tr>
      <w:tr>
        <w:tc>
          <w:tcPr/>
          <w:p>
            <w:pPr>
              <w:pStyle w:val="Compact"/>
              <w:spacing w:after="40" w:before="40"/>
              <w:jc w:val="left"/>
            </w:pPr>
            <w:r>
              <w:rPr>
                <w:rFonts w:ascii="Cambria" w:hAnsi="Cambria" w:cs="Cambria" w:eastAsia="Cambria"/>
                <w:b/>
                <w:bCs/>
                <w:color w:val="1A1A1A"/>
                <w:sz w:val="18"/>
              </w:rPr>
              <w:t xml:space="preserve">Atto di attuazione</w:t>
            </w:r>
          </w:p>
        </w:tc>
        <w:tc>
          <w:tcPr/>
          <w:p>
            <w:pPr>
              <w:pStyle w:val="Compact"/>
              <w:spacing w:after="40" w:before="40"/>
              <w:jc w:val="left"/>
            </w:pPr>
            <w:r>
              <w:rPr>
                <w:rFonts w:ascii="Cambria" w:hAnsi="Cambria" w:cs="Cambria" w:eastAsia="Cambria"/>
                <w:color w:val="1A1A1A"/>
                <w:sz w:val="18"/>
              </w:rPr>
              <w:t xml:space="preserve">Attivare pienamente il Dipartimento; estenderlo dalla sola Azienda di Sassari alle otto Aziende; adottare la copertura finanziaria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Dimensionamento</w:t>
            </w:r>
          </w:p>
        </w:tc>
        <w:tc>
          <w:tcPr>
            <w:shd w:val="clear" w:color="auto" w:fill="F4F1EC"/>
          </w:tcPr>
          <w:p>
            <w:pPr>
              <w:pStyle w:val="Compact"/>
              <w:spacing w:after="40" w:before="40"/>
              <w:jc w:val="left"/>
            </w:pPr>
            <w:r>
              <w:rPr>
                <w:rFonts w:ascii="Cambria" w:hAnsi="Cambria" w:cs="Cambria" w:eastAsia="Cambria"/>
                <w:color w:val="1A1A1A"/>
                <w:sz w:val="18"/>
              </w:rPr>
              <w:t xml:space="preserve">Dal Dipartimento di Sassari verso conservativo ~170; base ~250; espansivo ~340, per gradi</w:t>
            </w:r>
          </w:p>
        </w:tc>
      </w:tr>
      <w:tr>
        <w:tc>
          <w:tcPr/>
          <w:p>
            <w:pPr>
              <w:pStyle w:val="Compact"/>
              <w:spacing w:after="40" w:before="40"/>
              <w:jc w:val="left"/>
            </w:pPr>
            <w:r>
              <w:rPr>
                <w:rFonts w:ascii="Cambria" w:hAnsi="Cambria" w:cs="Cambria" w:eastAsia="Cambria"/>
                <w:b/>
                <w:bCs/>
                <w:color w:val="1A1A1A"/>
                <w:sz w:val="18"/>
              </w:rPr>
              <w:t xml:space="preserve">Allocazione</w:t>
            </w:r>
          </w:p>
        </w:tc>
        <w:tc>
          <w:tcPr/>
          <w:p>
            <w:pPr>
              <w:pStyle w:val="Compact"/>
              <w:spacing w:after="40" w:before="40"/>
              <w:jc w:val="left"/>
            </w:pPr>
            <w:r>
              <w:rPr>
                <w:rFonts w:ascii="Cambria" w:hAnsi="Cambria" w:cs="Cambria" w:eastAsia="Cambria"/>
                <w:color w:val="1A1A1A"/>
                <w:sz w:val="18"/>
              </w:rPr>
              <w:t xml:space="preserve">Pro-equità, verso le aree interne spopolate, le periferie dei poli, l’età anziana e il disagio giovanile; modello gratuito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Corredarla all’attivazione del Dipartimento (LR 24/2020 sperimentale); relazione periodica al Consiglio regionale</w:t>
            </w:r>
          </w:p>
        </w:tc>
      </w:tr>
      <w:tr>
        <w:tc>
          <w:tcPr/>
          <w:p>
            <w:pPr>
              <w:pStyle w:val="Compact"/>
              <w:spacing w:after="40" w:before="40"/>
              <w:jc w:val="left"/>
            </w:pPr>
            <w:r>
              <w:rPr>
                <w:rFonts w:ascii="Cambria" w:hAnsi="Cambria" w:cs="Cambria" w:eastAsia="Cambria"/>
                <w:b/>
                <w:bCs/>
                <w:color w:val="1A1A1A"/>
                <w:sz w:val="18"/>
              </w:rPr>
              <w:t xml:space="preserve">Governance</w:t>
            </w:r>
          </w:p>
        </w:tc>
        <w:tc>
          <w:tcPr/>
          <w:p>
            <w:pPr>
              <w:pStyle w:val="Compact"/>
              <w:spacing w:after="40" w:before="40"/>
              <w:jc w:val="left"/>
            </w:pPr>
            <w:r>
              <w:rPr>
                <w:rFonts w:ascii="Cambria" w:hAnsi="Cambria" w:cs="Cambria" w:eastAsia="Cambria"/>
                <w:color w:val="1A1A1A"/>
                <w:sz w:val="18"/>
              </w:rPr>
              <w:t xml:space="preserve">Regia dell’Azienda regionale della salute (ARES); indirizzi uniformi; flusso informativo da impostare fin dall’attivazione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Dati</w:t>
            </w:r>
          </w:p>
        </w:tc>
        <w:tc>
          <w:tcPr>
            <w:shd w:val="clear" w:color="auto" w:fill="F4F1EC"/>
          </w:tcPr>
          <w:p>
            <w:pPr>
              <w:pStyle w:val="Compact"/>
              <w:spacing w:after="40" w:before="40"/>
              <w:jc w:val="left"/>
            </w:pPr>
            <w:r>
              <w:rPr>
                <w:rFonts w:ascii="Cambria" w:hAnsi="Cambria" w:cs="Cambria" w:eastAsia="Cambria"/>
                <w:color w:val="1A1A1A"/>
                <w:sz w:val="18"/>
              </w:rPr>
              <w:t xml:space="preserve">Estrarre i conti certificati delle otto Aziende; impostare i dati di esito uniformi via monitoraggio del Dipartimento</w:t>
            </w:r>
          </w:p>
        </w:tc>
      </w:tr>
    </w:tbl>
    <w:p>
      <w:pPr>
        <w:pStyle w:val="BodyText"/>
      </w:pPr>
      <w:r>
        <w:rPr>
          <w:i/>
          <w:iCs/>
        </w:rPr>
        <w:t xml:space="preserve">Tabella M.3. Le raccomandazioni operative.</w:t>
      </w:r>
    </w:p>
    <w:bookmarkEnd w:id="3958"/>
    <w:bookmarkStart w:id="3962" w:name="X04d877dcff18dc9ea86a9ffbd19425005c34a04"/>
    <w:p>
      <w:pPr>
        <w:pStyle w:val="Heading3"/>
      </w:pPr>
      <w:r>
        <w:t xml:space="preserve">M.4 Le condizioni e la lacuna da colmare</w:t>
      </w:r>
    </w:p>
    <w:p>
      <w:pPr>
        <w:pStyle w:val="FirstParagraph"/>
      </w:pPr>
      <w:r>
        <w:t xml:space="preserve">La raccomandazione è subordinata a condizioni precise: la costruzione di una clausola valutativa a corredo dell’attivazione del Dipartimento, l’adozione di un’allocazione pro-equità verso le aree interne, la regia dell’Azienda regionale della salute (ARES) e l’impostazione fin dall’attivazione di un flusso informativo uniforme fra le otto Aziende.</w:t>
      </w:r>
      <w:r>
        <w:rPr>
          <w:rStyle w:val="FootnoteReference"/>
        </w:rPr>
        <w:footnoteReference w:id="3777"/>
      </w:r>
      <w:r>
        <w:t xml:space="preserve"> </w:t>
      </w:r>
      <w:r>
        <w:t xml:space="preserve">Resta inoltre da colmare, prima della presentazione esterna, la lacuna dei dati: l’estrazione dei conti certificati delle otto Aziende socio-sanitarie locali e delle aziende ospedaliere e l’impostazione di un flusso uniforme dei dati di esito via monitoraggio del Dipartimento consentiranno di sostituire i valori ricostruiti per quota di popolazione con grandezze effettive.</w:t>
      </w:r>
      <w:r>
        <w:rPr>
          <w:rStyle w:val="FootnoteReference"/>
        </w:rPr>
        <w:footnoteReference w:id="3778"/>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3779"/>
      </w:r>
    </w:p>
    <w:bookmarkEnd w:id="3962"/>
    <w:bookmarkStart w:id="3966" w:name="X8ad25f06620515ca39b671b62abaab3fb2be25a"/>
    <w:p>
      <w:pPr>
        <w:pStyle w:val="Heading3"/>
      </w:pPr>
      <w:r>
        <w:t xml:space="preserve">M.5 La collocazione nella serie e la conclusione</w:t>
      </w:r>
    </w:p>
    <w:p>
      <w:pPr>
        <w:pStyle w:val="FirstParagraph"/>
      </w:pPr>
      <w:r>
        <w:t xml:space="preserve">Lo studio sulla Sardegna è l’undicesimo della serie, dopo quelli su Puglia, Lombardia, Veneto, Emilia-Romagna, Piemonte, Toscana, Liguria, Lazio, Campania e Sicilia, e ne condivide il telaio integrato e il caso di riferimento; rispetto agli altri, la Sardegna occupa una posizione propria — quella della regione insulare a bassa densità e fra le più anziane d’Italia, a statuto speciale autofinanziante e con il più elevato disavanzo fra le statuto speciale, che ha previsto il Dipartimento in una legge di riforma con un modello dipartimentale e gratuito e lo ha attivato nella sola Azienda di Sassari — e che oggi è chiamata ad attivarlo pienamente e a estenderlo alle otto Aziende.</w:t>
      </w:r>
      <w:r>
        <w:rPr>
          <w:rStyle w:val="FootnoteReference"/>
        </w:rPr>
        <w:footnoteReference w:id="3780"/>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3781"/>
      </w:r>
      <w:r>
        <w:t xml:space="preserve"> </w:t>
      </w:r>
      <w:r>
        <w:t xml:space="preserve">La decisione che lo studio sostiene è, in conclusione, di attivare pienamente il Dipartimento di Psicologia di Cure Primarie già previsto per legge, estendendolo dalla sola Azienda di Sassari a tutte le otto Aziende, adottando il provvedimento di copertura finanziaria cui la legge subordina l’attivazione, dimensionandolo progressivamente al fabbisogno e corredandolo di una clausola valutativa: per la Sardegna, dotata di previsione di legge e di un modello dipartimentale gratuito, ciò significa rendere effettivo un servizio già previsto, a beneficio della popolazione.</w:t>
      </w:r>
      <w:r>
        <w:rPr>
          <w:rStyle w:val="FootnoteReference"/>
        </w:rPr>
        <w:footnoteReference w:id="3782"/>
      </w:r>
    </w:p>
    <w:bookmarkEnd w:id="3966"/>
    <w:bookmarkEnd w:id="3967"/>
    <w:bookmarkStart w:id="3968" w:name="valle-daosta-studio-hta-integrale"/>
    <w:p>
      <w:pPr>
        <w:pStyle w:val="Heading2"/>
      </w:pPr>
      <w:r>
        <w:t xml:space="preserve">Valle d’Aosta — Studio HTA integrale</w:t>
      </w:r>
    </w:p>
    <w:p>
      <w:pPr>
        <w:pStyle w:val="FirstParagraph"/>
      </w:pPr>
      <w:r>
        <w:t xml:space="preserve">Studio Integrale Regionale · Regione Autonoma Valle d’Aosta/Vallée d’Aoste</w:t>
      </w:r>
    </w:p>
    <w:p>
      <w:pPr>
        <w:pStyle w:val="BodyText"/>
      </w:pPr>
      <w:r>
        <w:t xml:space="preserve">Progetto «Psicologo di Base» — Prima istituzione del servizio in una piccola regione alpina a statuto speciale, autonomia finanziaria integrale e alta spesa sanitaria pro-capite. Applicazione del telaio integrato in undici parti e cinque appendici (Modello HTA · Five Case Model · CHEERS 2022 · criteri OCSE-DAC).</w:t>
      </w:r>
    </w:p>
    <w:p>
      <w:pPr>
        <w:pStyle w:val="BodyText"/>
      </w:pPr>
      <w:r>
        <w:t xml:space="preserve">Indice</w:t>
      </w:r>
    </w:p>
    <w:bookmarkEnd w:id="3968"/>
    <w:bookmarkStart w:id="3973" w:name="premessa-generale-15"/>
    <w:p>
      <w:pPr>
        <w:pStyle w:val="Heading2"/>
      </w:pPr>
      <w:r>
        <w:t xml:space="preserve">Premessa generale</w:t>
      </w:r>
    </w:p>
    <w:p>
      <w:pPr>
        <w:pStyle w:val="FirstParagraph"/>
      </w:pPr>
      <w:r>
        <w:t xml:space="preserve">Questo documento apre e ordina lo studio integrale per la Regione autonoma Valle d’Aosta/Vallée d’Aoste sul progetto «Psicologo di Base». Esso non contiene una nuova analisi, ma fornisce la chiave di navigazione dell’intero corpus: la premessa, l’indice generale di tutte le parti e di tutte le appendici, la mappa di integrazione delle cornici metodologiche e la sintesi del valore. La Valle d’Aosta occupa, nel panorama nazionale e in questa serie, una posizione propria e marcata: è la più piccola regione italiana per numero di abitanti — 122.532 residenti al 1° gennaio 2025, in lieve stabilizzazione dopo un decennio di calo demografico</w:t>
      </w:r>
      <w:r>
        <w:rPr>
          <w:rStyle w:val="FootnoteReference"/>
        </w:rPr>
        <w:footnoteReference w:id="3783"/>
      </w:r>
      <w:r>
        <w:t xml:space="preserve"> </w:t>
      </w:r>
      <w:r>
        <w:t xml:space="preserve">— ma anche una delle più ricche e delle più anziane, con la terza spesa sanitaria pubblica pro-capite d’Italia secondo le stime ISTAT 2022 (2.526 euro) e, secondo il più recente rapporto della Fondazione GRINS, la seconda spesa sanitaria pesata pro-capite dopo il Trentino-Alto Adige, nell’ordine di 3.465–3.503 euro.</w:t>
      </w:r>
      <w:r>
        <w:rPr>
          <w:rStyle w:val="FootnoteReference"/>
        </w:rPr>
        <w:footnoteReference w:id="3784"/>
      </w:r>
      <w:r>
        <w:t xml:space="preserve"> </w:t>
      </w:r>
      <w:r>
        <w:t xml:space="preserve">Al pari del Trentino-Alto Adige, essa è una regione autonoma a statuto speciale che si autofinanzia integralmente la sanità trattenendo sul proprio territorio la quasi totalità del gettito tributario, senza apporto a carico del Bilancio dello Stato; è bilingue — italiano e francese, con tutela costituzionale del francese — e integralmente alpina, con bassissima densità abitativa e una struttura di servizi concentrata nell’unico capoluogo regionale, Aosta, mentre la gran parte del territorio è costituita da vallate laterali a popolazione dispersa.</w:t>
      </w:r>
      <w:r>
        <w:rPr>
          <w:rStyle w:val="FootnoteReference"/>
        </w:rPr>
        <w:footnoteReference w:id="3785"/>
      </w:r>
    </w:p>
    <w:p>
      <w:pPr>
        <w:pStyle w:val="BodyText"/>
      </w:pPr>
      <w:r>
        <w:t xml:space="preserve">La Valle d’Aosta non ha ancora istituito, in nessuna forma, il servizio di psicologo di base: nessuna legge regionale e nessun atto programmatico hanno finora avviato il percorso.</w:t>
      </w:r>
      <w:r>
        <w:rPr>
          <w:rStyle w:val="FootnoteReference"/>
        </w:rPr>
        <w:footnoteReference w:id="3786"/>
      </w:r>
      <w:r>
        <w:t xml:space="preserve"> </w:t>
      </w:r>
      <w:r>
        <w:t xml:space="preserve">La decisione rilevante è dunque quella di istituire il servizio per la prima volta, in un territorio che presenta condizioni di partenza molto particolari rispetto a qualunque altra regione della serie: dimensione demografica minima, invecchiamento fra i più acuti d’Italia, alto benessere economico, piena autonomia finanziaria, bilancio sanitario in equilibrio e articolato in un’unica azienda sanitaria regionale — l’Azienda USL Valle d’Aosta — con quattro distretti su un territorio integralmente montano e con servizi di salute mentale già strutturati, ma non un servizio di psicologia delle cure primarie.</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3973"/>
    <w:bookmarkStart w:id="3974" w:name="indice-generale-del-corpus-15"/>
    <w:p>
      <w:pPr>
        <w:pStyle w:val="Heading2"/>
      </w:pPr>
      <w:r>
        <w:t xml:space="preserve">Indice generale del corpus</w:t>
      </w:r>
    </w:p>
    <w:p>
      <w:pPr>
        <w:pStyle w:val="FirstParagraph"/>
      </w:pPr>
      <w:r>
        <w:t xml:space="preserve">La tabella seguente elenca i sedici documenti dello studio, con i rispettivi capitoli e il contenuto.</w:t>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038"/>
        <w:gridCol w:w="1038"/>
        <w:gridCol w:w="575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Documento</w:t>
            </w:r>
          </w:p>
        </w:tc>
        <w:tc>
          <w:tcPr>
            <w:shd w:val="clear" w:color="auto" w:fill="16264B"/>
          </w:tcPr>
          <w:p>
            <w:pPr>
              <w:pStyle w:val="Compact"/>
              <w:spacing w:after="40" w:before="40"/>
              <w:jc w:val="left"/>
            </w:pPr>
            <w:r>
              <w:rPr>
                <w:rFonts w:ascii="Cambria" w:hAnsi="Cambria" w:cs="Cambria" w:eastAsia="Cambria"/>
                <w:b/>
                <w:bCs/>
                <w:color w:val="FFFFFF"/>
                <w:sz w:val="18"/>
              </w:rPr>
              <w:t xml:space="preserve">Capitoli</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Parte A</w:t>
            </w:r>
          </w:p>
        </w:tc>
        <w:tc>
          <w:tcPr/>
          <w:p>
            <w:pPr>
              <w:pStyle w:val="Compact"/>
              <w:spacing w:after="40" w:before="40"/>
              <w:jc w:val="left"/>
            </w:pPr>
            <w:r>
              <w:rPr>
                <w:rFonts w:ascii="Cambria" w:hAnsi="Cambria" w:cs="Cambria" w:eastAsia="Cambria"/>
                <w:color w:val="1A1A1A"/>
                <w:sz w:val="18"/>
              </w:rPr>
              <w:t xml:space="preserve">A.1-A.3</w:t>
            </w:r>
          </w:p>
        </w:tc>
        <w:tc>
          <w:tcPr/>
          <w:p>
            <w:pPr>
              <w:pStyle w:val="Compact"/>
              <w:spacing w:after="40" w:before="40"/>
              <w:jc w:val="left"/>
            </w:pPr>
            <w:r>
              <w:rPr>
                <w:rFonts w:ascii="Cambria" w:hAnsi="Cambria" w:cs="Cambria" w:eastAsia="Cambria"/>
                <w:color w:val="1A1A1A"/>
                <w:sz w:val="18"/>
              </w:rPr>
              <w:t xml:space="preserve">Quadro, quesito e metodo: scopo e quesito (PICOTS), caso di riferimento, governance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B</w:t>
            </w:r>
          </w:p>
        </w:tc>
        <w:tc>
          <w:tcPr>
            <w:shd w:val="clear" w:color="auto" w:fill="F4F1EC"/>
          </w:tcPr>
          <w:p>
            <w:pPr>
              <w:pStyle w:val="Compact"/>
              <w:spacing w:after="40" w:before="40"/>
              <w:jc w:val="left"/>
            </w:pPr>
            <w:r>
              <w:rPr>
                <w:rFonts w:ascii="Cambria" w:hAnsi="Cambria" w:cs="Cambria" w:eastAsia="Cambria"/>
                <w:color w:val="1A1A1A"/>
                <w:sz w:val="18"/>
              </w:rPr>
              <w:t xml:space="preserve">B.1-B.6</w:t>
            </w:r>
          </w:p>
        </w:tc>
        <w:tc>
          <w:tcPr>
            <w:shd w:val="clear" w:color="auto" w:fill="F4F1EC"/>
          </w:tcPr>
          <w:p>
            <w:pPr>
              <w:pStyle w:val="Compact"/>
              <w:spacing w:after="40" w:before="40"/>
              <w:jc w:val="left"/>
            </w:pPr>
            <w:r>
              <w:rPr>
                <w:rFonts w:ascii="Cambria" w:hAnsi="Cambria" w:cs="Cambria" w:eastAsia="Cambria"/>
                <w:color w:val="1A1A1A"/>
                <w:sz w:val="18"/>
              </w:rPr>
              <w:t xml:space="preserve">Problema di salute, bisogno e contesto: demografia, epidemiologia, domanda e offerta, disuguaglianze, flussi, normativa</w:t>
            </w:r>
          </w:p>
        </w:tc>
      </w:tr>
      <w:tr>
        <w:tc>
          <w:tcPr/>
          <w:p>
            <w:pPr>
              <w:pStyle w:val="Compact"/>
              <w:spacing w:after="40" w:before="40"/>
              <w:jc w:val="left"/>
            </w:pPr>
            <w:r>
              <w:rPr>
                <w:rFonts w:ascii="Cambria" w:hAnsi="Cambria" w:cs="Cambria" w:eastAsia="Cambria"/>
                <w:b/>
                <w:bCs/>
                <w:color w:val="1A1A1A"/>
                <w:sz w:val="18"/>
              </w:rPr>
              <w:t xml:space="preserve">Parte C</w:t>
            </w:r>
          </w:p>
        </w:tc>
        <w:tc>
          <w:tcPr/>
          <w:p>
            <w:pPr>
              <w:pStyle w:val="Compact"/>
              <w:spacing w:after="40" w:before="40"/>
              <w:jc w:val="left"/>
            </w:pPr>
            <w:r>
              <w:rPr>
                <w:rFonts w:ascii="Cambria" w:hAnsi="Cambria" w:cs="Cambria" w:eastAsia="Cambria"/>
                <w:color w:val="1A1A1A"/>
                <w:sz w:val="18"/>
              </w:rPr>
              <w:t xml:space="preserve">C.1-C.6</w:t>
            </w:r>
          </w:p>
        </w:tc>
        <w:tc>
          <w:tcPr/>
          <w:p>
            <w:pPr>
              <w:pStyle w:val="Compact"/>
              <w:spacing w:after="40" w:before="40"/>
              <w:jc w:val="left"/>
            </w:pPr>
            <w:r>
              <w:rPr>
                <w:rFonts w:ascii="Cambria" w:hAnsi="Cambria" w:cs="Cambria" w:eastAsia="Cambria"/>
                <w:color w:val="1A1A1A"/>
                <w:sz w:val="18"/>
              </w:rPr>
              <w:t xml:space="preserve">L’intervento e il modello: definizione, modello organizzativo, percorso, sistema informativo, IA, formazione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D.1-D.4</w:t>
            </w:r>
          </w:p>
        </w:tc>
        <w:tc>
          <w:tcPr>
            <w:shd w:val="clear" w:color="auto" w:fill="F4F1EC"/>
          </w:tcPr>
          <w:p>
            <w:pPr>
              <w:pStyle w:val="Compact"/>
              <w:spacing w:after="40" w:before="40"/>
              <w:jc w:val="left"/>
            </w:pPr>
            <w:r>
              <w:rPr>
                <w:rFonts w:ascii="Cambria" w:hAnsi="Cambria" w:cs="Cambria" w:eastAsia="Cambria"/>
                <w:color w:val="1A1A1A"/>
                <w:sz w:val="18"/>
              </w:rPr>
              <w:t xml:space="preserve">Efficacia clinica ed evidenza: revisione sistematica, qualità GRADE, benchmark, trasferibilità</w:t>
            </w:r>
          </w:p>
        </w:tc>
      </w:tr>
      <w:tr>
        <w:tc>
          <w:tcPr/>
          <w:p>
            <w:pPr>
              <w:pStyle w:val="Compact"/>
              <w:spacing w:after="40" w:before="40"/>
              <w:jc w:val="left"/>
            </w:pPr>
            <w:r>
              <w:rPr>
                <w:rFonts w:ascii="Cambria" w:hAnsi="Cambria" w:cs="Cambria" w:eastAsia="Cambria"/>
                <w:b/>
                <w:bCs/>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E.1-E.6</w:t>
            </w:r>
          </w:p>
        </w:tc>
        <w:tc>
          <w:tcPr/>
          <w:p>
            <w:pPr>
              <w:pStyle w:val="Compact"/>
              <w:spacing w:after="40" w:before="40"/>
              <w:jc w:val="left"/>
            </w:pPr>
            <w:r>
              <w:rPr>
                <w:rFonts w:ascii="Cambria" w:hAnsi="Cambria" w:cs="Cambria" w:eastAsia="Cambria"/>
                <w:color w:val="1A1A1A"/>
                <w:sz w:val="18"/>
              </w:rPr>
              <w:t xml:space="preserve">Valutazione economica: costi, esiti, costo-utilità, impatto di bilancio, ritorno sociale, casi economico e finanziario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F.1-F.5</w:t>
            </w:r>
          </w:p>
        </w:tc>
        <w:tc>
          <w:tcPr>
            <w:shd w:val="clear" w:color="auto" w:fill="F4F1EC"/>
          </w:tcPr>
          <w:p>
            <w:pPr>
              <w:pStyle w:val="Compact"/>
              <w:spacing w:after="40" w:before="40"/>
              <w:jc w:val="left"/>
            </w:pPr>
            <w:r>
              <w:rPr>
                <w:rFonts w:ascii="Cambria" w:hAnsi="Cambria" w:cs="Cambria" w:eastAsia="Cambria"/>
                <w:color w:val="1A1A1A"/>
                <w:sz w:val="18"/>
              </w:rPr>
              <w:t xml:space="preserve">Modellazione e incertezza: modello di Markov, parametri, sensibilità, verifica empirica, valore dell’informazione</w:t>
            </w:r>
          </w:p>
        </w:tc>
      </w:tr>
      <w:tr>
        <w:tc>
          <w:tcPr/>
          <w:p>
            <w:pPr>
              <w:pStyle w:val="Compact"/>
              <w:spacing w:after="40" w:before="40"/>
              <w:jc w:val="left"/>
            </w:pPr>
            <w:r>
              <w:rPr>
                <w:rFonts w:ascii="Cambria" w:hAnsi="Cambria" w:cs="Cambria" w:eastAsia="Cambria"/>
                <w:b/>
                <w:bCs/>
                <w:color w:val="1A1A1A"/>
                <w:sz w:val="18"/>
              </w:rPr>
              <w:t xml:space="preserve">Parte G</w:t>
            </w:r>
          </w:p>
        </w:tc>
        <w:tc>
          <w:tcPr/>
          <w:p>
            <w:pPr>
              <w:pStyle w:val="Compact"/>
              <w:spacing w:after="40" w:before="40"/>
              <w:jc w:val="left"/>
            </w:pPr>
            <w:r>
              <w:rPr>
                <w:rFonts w:ascii="Cambria" w:hAnsi="Cambria" w:cs="Cambria" w:eastAsia="Cambria"/>
                <w:color w:val="1A1A1A"/>
                <w:sz w:val="18"/>
              </w:rPr>
              <w:t xml:space="preserve">G.1-G.4</w:t>
            </w:r>
          </w:p>
        </w:tc>
        <w:tc>
          <w:tcPr/>
          <w:p>
            <w:pPr>
              <w:pStyle w:val="Compact"/>
              <w:spacing w:after="40" w:before="40"/>
              <w:jc w:val="left"/>
            </w:pPr>
            <w:r>
              <w:rPr>
                <w:rFonts w:ascii="Cambria" w:hAnsi="Cambria" w:cs="Cambria" w:eastAsia="Cambria"/>
                <w:color w:val="1A1A1A"/>
                <w:sz w:val="18"/>
              </w:rPr>
              <w:t xml:space="preserve">Equità e impatto distributivo: analisi di equità, assi territoriali, strumenti, costo-efficacia distributiva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H</w:t>
            </w:r>
          </w:p>
        </w:tc>
        <w:tc>
          <w:tcPr>
            <w:shd w:val="clear" w:color="auto" w:fill="F4F1EC"/>
          </w:tcPr>
          <w:p>
            <w:pPr>
              <w:pStyle w:val="Compact"/>
              <w:spacing w:after="40" w:before="40"/>
              <w:jc w:val="left"/>
            </w:pPr>
            <w:r>
              <w:rPr>
                <w:rFonts w:ascii="Cambria" w:hAnsi="Cambria" w:cs="Cambria" w:eastAsia="Cambria"/>
                <w:color w:val="1A1A1A"/>
                <w:sz w:val="18"/>
              </w:rPr>
              <w:t xml:space="preserve">H.1-H.4</w:t>
            </w:r>
          </w:p>
        </w:tc>
        <w:tc>
          <w:tcPr>
            <w:shd w:val="clear" w:color="auto" w:fill="F4F1EC"/>
          </w:tcPr>
          <w:p>
            <w:pPr>
              <w:pStyle w:val="Compact"/>
              <w:spacing w:after="40" w:before="40"/>
              <w:jc w:val="left"/>
            </w:pPr>
            <w:r>
              <w:rPr>
                <w:rFonts w:ascii="Cambria" w:hAnsi="Cambria" w:cs="Cambria" w:eastAsia="Cambria"/>
                <w:color w:val="1A1A1A"/>
                <w:sz w:val="18"/>
              </w:rPr>
              <w:t xml:space="preserve">Profili etico, giuridico e organizzativo: giuridico, organizzativo, etico, sintesi</w:t>
            </w:r>
          </w:p>
        </w:tc>
      </w:tr>
      <w:tr>
        <w:tc>
          <w:tcPr/>
          <w:p>
            <w:pPr>
              <w:pStyle w:val="Compact"/>
              <w:spacing w:after="40" w:before="40"/>
              <w:jc w:val="left"/>
            </w:pPr>
            <w:r>
              <w:rPr>
                <w:rFonts w:ascii="Cambria" w:hAnsi="Cambria" w:cs="Cambria" w:eastAsia="Cambria"/>
                <w:b/>
                <w:bCs/>
                <w:color w:val="1A1A1A"/>
                <w:sz w:val="18"/>
              </w:rPr>
              <w:t xml:space="preserve">Parte I</w:t>
            </w:r>
          </w:p>
        </w:tc>
        <w:tc>
          <w:tcPr/>
          <w:p>
            <w:pPr>
              <w:pStyle w:val="Compact"/>
              <w:spacing w:after="40" w:before="40"/>
              <w:jc w:val="left"/>
            </w:pPr>
            <w:r>
              <w:rPr>
                <w:rFonts w:ascii="Cambria" w:hAnsi="Cambria" w:cs="Cambria" w:eastAsia="Cambria"/>
                <w:color w:val="1A1A1A"/>
                <w:sz w:val="18"/>
              </w:rPr>
              <w:t xml:space="preserve">I.1-I.5</w:t>
            </w:r>
          </w:p>
        </w:tc>
        <w:tc>
          <w:tcPr/>
          <w:p>
            <w:pPr>
              <w:pStyle w:val="Compact"/>
              <w:spacing w:after="40" w:before="40"/>
              <w:jc w:val="left"/>
            </w:pPr>
            <w:r>
              <w:rPr>
                <w:rFonts w:ascii="Cambria" w:hAnsi="Cambria" w:cs="Cambria" w:eastAsia="Cambria"/>
                <w:color w:val="1A1A1A"/>
                <w:sz w:val="18"/>
              </w:rPr>
              <w:t xml:space="preserve">Attuazione, fattibilità e sostenibilità: cinque casi, dimensionamento, cronoprogramma, sostenibilità, rischi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Parte L</w:t>
            </w:r>
          </w:p>
        </w:tc>
        <w:tc>
          <w:tcPr>
            <w:shd w:val="clear" w:color="auto" w:fill="F4F1EC"/>
          </w:tcPr>
          <w:p>
            <w:pPr>
              <w:pStyle w:val="Compact"/>
              <w:spacing w:after="40" w:before="40"/>
              <w:jc w:val="left"/>
            </w:pPr>
            <w:r>
              <w:rPr>
                <w:rFonts w:ascii="Cambria" w:hAnsi="Cambria" w:cs="Cambria" w:eastAsia="Cambria"/>
                <w:color w:val="1A1A1A"/>
                <w:sz w:val="18"/>
              </w:rPr>
              <w:t xml:space="preserve">L.1-L.5</w:t>
            </w:r>
          </w:p>
        </w:tc>
        <w:tc>
          <w:tcPr>
            <w:shd w:val="clear" w:color="auto" w:fill="F4F1EC"/>
          </w:tcPr>
          <w:p>
            <w:pPr>
              <w:pStyle w:val="Compact"/>
              <w:spacing w:after="40" w:before="40"/>
              <w:jc w:val="left"/>
            </w:pPr>
            <w:r>
              <w:rPr>
                <w:rFonts w:ascii="Cambria" w:hAnsi="Cambria" w:cs="Cambria" w:eastAsia="Cambria"/>
                <w:color w:val="1A1A1A"/>
                <w:sz w:val="18"/>
              </w:rPr>
              <w:t xml:space="preserve">Monitoraggio e valutazione ex post: impianto, disegno controfattuale, indicatori, cruscotto, sintesi</w:t>
            </w:r>
          </w:p>
        </w:tc>
      </w:tr>
      <w:tr>
        <w:tc>
          <w:tcPr/>
          <w:p>
            <w:pPr>
              <w:pStyle w:val="Compact"/>
              <w:spacing w:after="40" w:before="40"/>
              <w:jc w:val="left"/>
            </w:pPr>
            <w:r>
              <w:rPr>
                <w:rFonts w:ascii="Cambria" w:hAnsi="Cambria" w:cs="Cambria" w:eastAsia="Cambria"/>
                <w:b/>
                <w:bCs/>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M.1-M.5</w:t>
            </w:r>
          </w:p>
        </w:tc>
        <w:tc>
          <w:tcPr/>
          <w:p>
            <w:pPr>
              <w:pStyle w:val="Compact"/>
              <w:spacing w:after="40" w:before="40"/>
              <w:jc w:val="left"/>
            </w:pPr>
            <w:r>
              <w:rPr>
                <w:rFonts w:ascii="Cambria" w:hAnsi="Cambria" w:cs="Cambria" w:eastAsia="Cambria"/>
                <w:color w:val="1A1A1A"/>
                <w:sz w:val="18"/>
              </w:rPr>
              <w:t xml:space="preserve">Sintesi multidimensionale e raccomandazioni: sintesi per dominio, analisi multi-criterio, raccomandazioni, condizioni, conclusione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A</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Caso di riferimento e parametri: tavola delle assunzioni e dei parametri</w:t>
            </w:r>
          </w:p>
        </w:tc>
      </w:tr>
      <w:tr>
        <w:tc>
          <w:tcPr/>
          <w:p>
            <w:pPr>
              <w:pStyle w:val="Compact"/>
              <w:spacing w:after="40" w:before="40"/>
              <w:jc w:val="left"/>
            </w:pPr>
            <w:r>
              <w:rPr>
                <w:rFonts w:ascii="Cambria" w:hAnsi="Cambria" w:cs="Cambria" w:eastAsia="Cambria"/>
                <w:b/>
                <w:bCs/>
                <w:color w:val="1A1A1A"/>
                <w:sz w:val="18"/>
              </w:rPr>
              <w:t xml:space="preserve">Appendice B</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Strumenti di esito e dataset minimo: questionari e dizionario dei dati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C</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Dati del territorio e fonti: valori di ancoraggio e dati da acquisire</w:t>
            </w:r>
          </w:p>
        </w:tc>
      </w:tr>
      <w:tr>
        <w:tc>
          <w:tcPr/>
          <w:p>
            <w:pPr>
              <w:pStyle w:val="Compact"/>
              <w:spacing w:after="40" w:before="40"/>
              <w:jc w:val="left"/>
            </w:pPr>
            <w:r>
              <w:rPr>
                <w:rFonts w:ascii="Cambria" w:hAnsi="Cambria" w:cs="Cambria" w:eastAsia="Cambria"/>
                <w:b/>
                <w:bCs/>
                <w:color w:val="1A1A1A"/>
                <w:sz w:val="18"/>
              </w:rPr>
              <w:t xml:space="preserve">Appendice D</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Checklist di reporting: CHEERS, PRISMA, GRADE, STROBE, ISPOR-SMDM, OCSE-JRC</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Appendice 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Glossario: definizioni dei termini tecnici</w:t>
            </w:r>
          </w:p>
        </w:tc>
      </w:tr>
    </w:tbl>
    <w:p>
      <w:pPr>
        <w:pStyle w:val="BodyText"/>
      </w:pPr>
      <w:r>
        <w:rPr>
          <w:i/>
          <w:iCs/>
        </w:rPr>
        <w:t xml:space="preserve">Tabella 1. L’indice generale del corpus: le undici parti narrative e le cinque appendici.</w:t>
      </w:r>
    </w:p>
    <w:bookmarkEnd w:id="3974"/>
    <w:bookmarkStart w:id="3975" w:name="la-mappa-di-integrazione-del-telaio-12"/>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87"/>
        <w:gridCol w:w="1208"/>
        <w:gridCol w:w="1745"/>
        <w:gridCol w:w="17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Parte</w:t>
            </w:r>
          </w:p>
        </w:tc>
        <w:tc>
          <w:tcPr>
            <w:shd w:val="clear" w:color="auto" w:fill="16264B"/>
          </w:tcPr>
          <w:p>
            <w:pPr>
              <w:pStyle w:val="Compact"/>
              <w:spacing w:after="40" w:before="40"/>
              <w:jc w:val="left"/>
            </w:pPr>
            <w:r>
              <w:rPr>
                <w:rFonts w:ascii="Cambria" w:hAnsi="Cambria" w:cs="Cambria" w:eastAsia="Cambria"/>
                <w:b/>
                <w:bCs/>
                <w:color w:val="FFFFFF"/>
                <w:sz w:val="18"/>
              </w:rPr>
              <w:t xml:space="preserve">Dominio HTA</w:t>
            </w:r>
          </w:p>
        </w:tc>
        <w:tc>
          <w:tcPr>
            <w:shd w:val="clear" w:color="auto" w:fill="16264B"/>
          </w:tcPr>
          <w:p>
            <w:pPr>
              <w:pStyle w:val="Compact"/>
              <w:spacing w:after="40" w:before="40"/>
              <w:jc w:val="left"/>
            </w:pPr>
            <w:r>
              <w:rPr>
                <w:rFonts w:ascii="Cambria" w:hAnsi="Cambria" w:cs="Cambria" w:eastAsia="Cambria"/>
                <w:b/>
                <w:bCs/>
                <w:color w:val="FFFFFF"/>
                <w:sz w:val="18"/>
              </w:rPr>
              <w:t xml:space="preserve">Caso (5CM)</w:t>
            </w:r>
          </w:p>
        </w:tc>
        <w:tc>
          <w:tcPr>
            <w:shd w:val="clear" w:color="auto" w:fill="16264B"/>
          </w:tcPr>
          <w:p>
            <w:pPr>
              <w:pStyle w:val="Compact"/>
              <w:spacing w:after="40" w:before="40"/>
              <w:jc w:val="left"/>
            </w:pPr>
            <w:r>
              <w:rPr>
                <w:rFonts w:ascii="Cambria" w:hAnsi="Cambria" w:cs="Cambria" w:eastAsia="Cambria"/>
                <w:b/>
                <w:bCs/>
                <w:color w:val="FFFFFF"/>
                <w:sz w:val="18"/>
              </w:rPr>
              <w:t xml:space="preserve">Criterio OCSE-DAC</w:t>
            </w:r>
          </w:p>
        </w:tc>
      </w:tr>
      <w:tr>
        <w:tc>
          <w:tcPr/>
          <w:p>
            <w:pPr>
              <w:pStyle w:val="Compact"/>
              <w:spacing w:after="40" w:before="40"/>
              <w:jc w:val="left"/>
            </w:pPr>
            <w:r>
              <w:rPr>
                <w:rFonts w:ascii="Cambria" w:hAnsi="Cambria" w:cs="Cambria" w:eastAsia="Cambria"/>
                <w:b/>
                <w:bCs/>
                <w:color w:val="1A1A1A"/>
                <w:sz w:val="18"/>
              </w:rPr>
              <w:t xml:space="preserve">A — Quadro e metodo</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Imposta la griglia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 — Bisogno e contesto</w:t>
            </w:r>
          </w:p>
        </w:tc>
        <w:tc>
          <w:tcPr>
            <w:shd w:val="clear" w:color="auto" w:fill="F4F1EC"/>
          </w:tcPr>
          <w:p>
            <w:pPr>
              <w:pStyle w:val="Compact"/>
              <w:spacing w:after="40" w:before="40"/>
              <w:jc w:val="left"/>
            </w:pPr>
            <w:r>
              <w:rPr>
                <w:rFonts w:ascii="Cambria" w:hAnsi="Cambria" w:cs="Cambria" w:eastAsia="Cambria"/>
                <w:color w:val="1A1A1A"/>
                <w:sz w:val="18"/>
              </w:rPr>
              <w:t xml:space="preserve">Dominio 1</w:t>
            </w:r>
          </w:p>
        </w:tc>
        <w:tc>
          <w:tcPr>
            <w:shd w:val="clear" w:color="auto" w:fill="F4F1EC"/>
          </w:tcPr>
          <w:p>
            <w:pPr>
              <w:pStyle w:val="Compact"/>
              <w:spacing w:after="40" w:before="40"/>
              <w:jc w:val="left"/>
            </w:pPr>
            <w:r>
              <w:rPr>
                <w:rFonts w:ascii="Cambria" w:hAnsi="Cambria" w:cs="Cambria" w:eastAsia="Cambria"/>
                <w:color w:val="1A1A1A"/>
                <w:sz w:val="18"/>
              </w:rPr>
              <w:t xml:space="preserve">Strategico</w:t>
            </w:r>
          </w:p>
        </w:tc>
        <w:tc>
          <w:tcPr>
            <w:shd w:val="clear" w:color="auto" w:fill="F4F1EC"/>
          </w:tcPr>
          <w:p>
            <w:pPr>
              <w:pStyle w:val="Compact"/>
              <w:spacing w:after="40" w:before="40"/>
              <w:jc w:val="left"/>
            </w:pPr>
            <w:r>
              <w:rPr>
                <w:rFonts w:ascii="Cambria" w:hAnsi="Cambria" w:cs="Cambria" w:eastAsia="Cambria"/>
                <w:color w:val="1A1A1A"/>
                <w:sz w:val="18"/>
              </w:rPr>
              <w:t xml:space="preserve">Rilevanza, coerenza</w:t>
            </w:r>
          </w:p>
        </w:tc>
      </w:tr>
      <w:tr>
        <w:tc>
          <w:tcPr/>
          <w:p>
            <w:pPr>
              <w:pStyle w:val="Compact"/>
              <w:spacing w:after="40" w:before="40"/>
              <w:jc w:val="left"/>
            </w:pPr>
            <w:r>
              <w:rPr>
                <w:rFonts w:ascii="Cambria" w:hAnsi="Cambria" w:cs="Cambria" w:eastAsia="Cambria"/>
                <w:b/>
                <w:bCs/>
                <w:color w:val="1A1A1A"/>
                <w:sz w:val="18"/>
              </w:rPr>
              <w:t xml:space="preserve">C — Intervento e modello</w:t>
            </w:r>
          </w:p>
        </w:tc>
        <w:tc>
          <w:tcPr/>
          <w:p>
            <w:pPr>
              <w:pStyle w:val="Compact"/>
              <w:spacing w:after="40" w:before="40"/>
              <w:jc w:val="left"/>
            </w:pPr>
            <w:r>
              <w:rPr>
                <w:rFonts w:ascii="Cambria" w:hAnsi="Cambria" w:cs="Cambria" w:eastAsia="Cambria"/>
                <w:color w:val="1A1A1A"/>
                <w:sz w:val="18"/>
              </w:rPr>
              <w:t xml:space="preserve">Domini 2–3</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 — Efficacia ed evidenza</w:t>
            </w:r>
          </w:p>
        </w:tc>
        <w:tc>
          <w:tcPr>
            <w:shd w:val="clear" w:color="auto" w:fill="F4F1EC"/>
          </w:tcPr>
          <w:p>
            <w:pPr>
              <w:pStyle w:val="Compact"/>
              <w:spacing w:after="40" w:before="40"/>
              <w:jc w:val="left"/>
            </w:pPr>
            <w:r>
              <w:rPr>
                <w:rFonts w:ascii="Cambria" w:hAnsi="Cambria" w:cs="Cambria" w:eastAsia="Cambria"/>
                <w:color w:val="1A1A1A"/>
                <w:sz w:val="18"/>
              </w:rPr>
              <w:t xml:space="preserve">Dominio 4</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Efficacia</w:t>
            </w:r>
          </w:p>
        </w:tc>
      </w:tr>
      <w:tr>
        <w:tc>
          <w:tcPr/>
          <w:p>
            <w:pPr>
              <w:pStyle w:val="Compact"/>
              <w:spacing w:after="40" w:before="40"/>
              <w:jc w:val="left"/>
            </w:pPr>
            <w:r>
              <w:rPr>
                <w:rFonts w:ascii="Cambria" w:hAnsi="Cambria" w:cs="Cambria" w:eastAsia="Cambria"/>
                <w:b/>
                <w:bCs/>
                <w:color w:val="1A1A1A"/>
                <w:sz w:val="18"/>
              </w:rPr>
              <w:t xml:space="preserve">E — Valutazione economica</w:t>
            </w:r>
          </w:p>
        </w:tc>
        <w:tc>
          <w:tcPr/>
          <w:p>
            <w:pPr>
              <w:pStyle w:val="Compact"/>
              <w:spacing w:after="40" w:before="40"/>
              <w:jc w:val="left"/>
            </w:pPr>
            <w:r>
              <w:rPr>
                <w:rFonts w:ascii="Cambria" w:hAnsi="Cambria" w:cs="Cambria" w:eastAsia="Cambria"/>
                <w:color w:val="1A1A1A"/>
                <w:sz w:val="18"/>
              </w:rPr>
              <w:t xml:space="preserve">Dominio 5</w:t>
            </w:r>
          </w:p>
        </w:tc>
        <w:tc>
          <w:tcPr/>
          <w:p>
            <w:pPr>
              <w:pStyle w:val="Compact"/>
              <w:spacing w:after="40" w:before="40"/>
              <w:jc w:val="left"/>
            </w:pPr>
            <w:r>
              <w:rPr>
                <w:rFonts w:ascii="Cambria" w:hAnsi="Cambria" w:cs="Cambria" w:eastAsia="Cambria"/>
                <w:color w:val="1A1A1A"/>
                <w:sz w:val="18"/>
              </w:rPr>
              <w:t xml:space="preserve">Economico, finanziario</w:t>
            </w:r>
          </w:p>
        </w:tc>
        <w:tc>
          <w:tcPr/>
          <w:p>
            <w:pPr>
              <w:pStyle w:val="Compact"/>
              <w:spacing w:after="40" w:before="40"/>
              <w:jc w:val="left"/>
            </w:pPr>
            <w:r>
              <w:rPr>
                <w:rFonts w:ascii="Cambria" w:hAnsi="Cambria" w:cs="Cambria" w:eastAsia="Cambria"/>
                <w:color w:val="1A1A1A"/>
                <w:sz w:val="18"/>
              </w:rPr>
              <w:t xml:space="preserve">Efficienza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 — Modellazione e incertezza</w:t>
            </w:r>
          </w:p>
        </w:tc>
        <w:tc>
          <w:tcPr>
            <w:shd w:val="clear" w:color="auto" w:fill="F4F1EC"/>
          </w:tcPr>
          <w:p>
            <w:pPr>
              <w:pStyle w:val="Compact"/>
              <w:spacing w:after="40" w:before="40"/>
              <w:jc w:val="left"/>
            </w:pPr>
            <w:r>
              <w:rPr>
                <w:rFonts w:ascii="Cambria" w:hAnsi="Cambria" w:cs="Cambria" w:eastAsia="Cambria"/>
                <w:color w:val="1A1A1A"/>
                <w:sz w:val="18"/>
              </w:rPr>
              <w:t xml:space="preserve">Dominio 5</w:t>
            </w:r>
          </w:p>
        </w:tc>
        <w:tc>
          <w:tcPr>
            <w:shd w:val="clear" w:color="auto" w:fill="F4F1EC"/>
          </w:tcPr>
          <w:p>
            <w:pPr>
              <w:pStyle w:val="Compact"/>
              <w:spacing w:after="40" w:before="40"/>
              <w:jc w:val="left"/>
            </w:pPr>
            <w:r>
              <w:rPr>
                <w:rFonts w:ascii="Cambria" w:hAnsi="Cambria" w:cs="Cambria" w:eastAsia="Cambria"/>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Efficienza</w:t>
            </w:r>
          </w:p>
        </w:tc>
      </w:tr>
      <w:tr>
        <w:tc>
          <w:tcPr/>
          <w:p>
            <w:pPr>
              <w:pStyle w:val="Compact"/>
              <w:spacing w:after="40" w:before="40"/>
              <w:jc w:val="left"/>
            </w:pPr>
            <w:r>
              <w:rPr>
                <w:rFonts w:ascii="Cambria" w:hAnsi="Cambria" w:cs="Cambria" w:eastAsia="Cambria"/>
                <w:b/>
                <w:bCs/>
                <w:color w:val="1A1A1A"/>
                <w:sz w:val="18"/>
              </w:rPr>
              <w:t xml:space="preserve">G — Equità e impatto</w:t>
            </w:r>
          </w:p>
        </w:tc>
        <w:tc>
          <w:tcPr/>
          <w:p>
            <w:pPr>
              <w:pStyle w:val="Compact"/>
              <w:spacing w:after="40" w:before="40"/>
              <w:jc w:val="left"/>
            </w:pPr>
            <w:r>
              <w:rPr>
                <w:rFonts w:ascii="Cambria" w:hAnsi="Cambria" w:cs="Cambria" w:eastAsia="Cambria"/>
                <w:color w:val="1A1A1A"/>
                <w:sz w:val="18"/>
              </w:rPr>
              <w:t xml:space="preserve">Dominio 8</w:t>
            </w:r>
          </w:p>
        </w:tc>
        <w:tc>
          <w:tcPr/>
          <w:p>
            <w:pPr>
              <w:pStyle w:val="Compact"/>
              <w:spacing w:after="40" w:before="40"/>
              <w:jc w:val="left"/>
            </w:pPr>
            <w:r>
              <w:rPr>
                <w:rFonts w:ascii="Cambria" w:hAnsi="Cambria" w:cs="Cambria" w:eastAsia="Cambria"/>
                <w:color w:val="1A1A1A"/>
                <w:sz w:val="18"/>
              </w:rPr>
              <w:t xml:space="preserve">Economico</w:t>
            </w:r>
          </w:p>
        </w:tc>
        <w:tc>
          <w:tcPr/>
          <w:p>
            <w:pPr>
              <w:pStyle w:val="Compact"/>
              <w:spacing w:after="40" w:before="40"/>
              <w:jc w:val="left"/>
            </w:pPr>
            <w:r>
              <w:rPr>
                <w:rFonts w:ascii="Cambria" w:hAnsi="Cambria" w:cs="Cambria" w:eastAsia="Cambria"/>
                <w:color w:val="1A1A1A"/>
                <w:sz w:val="18"/>
              </w:rPr>
              <w:t xml:space="preserve">Impatto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H — Profili etico/giuridico/organizz.</w:t>
            </w:r>
          </w:p>
        </w:tc>
        <w:tc>
          <w:tcPr>
            <w:shd w:val="clear" w:color="auto" w:fill="F4F1EC"/>
          </w:tcPr>
          <w:p>
            <w:pPr>
              <w:pStyle w:val="Compact"/>
              <w:spacing w:after="40" w:before="40"/>
              <w:jc w:val="left"/>
            </w:pPr>
            <w:r>
              <w:rPr>
                <w:rFonts w:ascii="Cambria" w:hAnsi="Cambria" w:cs="Cambria" w:eastAsia="Cambria"/>
                <w:color w:val="1A1A1A"/>
                <w:sz w:val="18"/>
              </w:rPr>
              <w:t xml:space="preserve">Domini 6, 7, 9</w:t>
            </w:r>
          </w:p>
        </w:tc>
        <w:tc>
          <w:tcPr>
            <w:shd w:val="clear" w:color="auto" w:fill="F4F1EC"/>
          </w:tcPr>
          <w:p>
            <w:pPr>
              <w:pStyle w:val="Compact"/>
              <w:spacing w:after="40" w:before="40"/>
              <w:jc w:val="left"/>
            </w:pPr>
            <w:r>
              <w:rPr>
                <w:rFonts w:ascii="Cambria" w:hAnsi="Cambria" w:cs="Cambria" w:eastAsia="Cambria"/>
                <w:color w:val="1A1A1A"/>
                <w:sz w:val="18"/>
              </w:rPr>
              <w:t xml:space="preserve">Gestionale</w:t>
            </w:r>
          </w:p>
        </w:tc>
        <w:tc>
          <w:tcPr>
            <w:shd w:val="clear" w:color="auto" w:fill="F4F1EC"/>
          </w:tcPr>
          <w:p>
            <w:pPr>
              <w:pStyle w:val="Compact"/>
              <w:spacing w:after="40" w:before="40"/>
              <w:jc w:val="left"/>
            </w:pPr>
            <w:r>
              <w:rPr>
                <w:rFonts w:ascii="Cambria" w:hAnsi="Cambria" w:cs="Cambria" w:eastAsia="Cambria"/>
                <w:color w:val="1A1A1A"/>
                <w:sz w:val="18"/>
              </w:rPr>
              <w:t xml:space="preserve">Coerenza</w:t>
            </w:r>
          </w:p>
        </w:tc>
      </w:tr>
      <w:tr>
        <w:tc>
          <w:tcPr/>
          <w:p>
            <w:pPr>
              <w:pStyle w:val="Compact"/>
              <w:spacing w:after="40" w:before="40"/>
              <w:jc w:val="left"/>
            </w:pPr>
            <w:r>
              <w:rPr>
                <w:rFonts w:ascii="Cambria" w:hAnsi="Cambria" w:cs="Cambria" w:eastAsia="Cambria"/>
                <w:b/>
                <w:bCs/>
                <w:color w:val="1A1A1A"/>
                <w:sz w:val="18"/>
              </w:rPr>
              <w:t xml:space="preserve">I — Attuazione e sostenibilità</w:t>
            </w:r>
          </w:p>
        </w:tc>
        <w:tc>
          <w:tcPr/>
          <w:p>
            <w:pPr>
              <w:pStyle w:val="Compact"/>
              <w:spacing w:after="40" w:before="40"/>
              <w:jc w:val="left"/>
            </w:pPr>
            <w:r>
              <w:rPr>
                <w:rFonts w:ascii="Cambria" w:hAnsi="Cambria" w:cs="Cambria" w:eastAsia="Cambria"/>
                <w:color w:val="1A1A1A"/>
                <w:sz w:val="18"/>
              </w:rPr>
              <w:t xml:space="preserve">Dominio 7</w:t>
            </w:r>
          </w:p>
        </w:tc>
        <w:tc>
          <w:tcPr/>
          <w:p>
            <w:pPr>
              <w:pStyle w:val="Compact"/>
              <w:spacing w:after="40" w:before="40"/>
              <w:jc w:val="left"/>
            </w:pPr>
            <w:r>
              <w:rPr>
                <w:rFonts w:ascii="Cambria" w:hAnsi="Cambria" w:cs="Cambria" w:eastAsia="Cambria"/>
                <w:color w:val="1A1A1A"/>
                <w:sz w:val="18"/>
              </w:rPr>
              <w:t xml:space="preserve">Commerciale, gestionale</w:t>
            </w:r>
          </w:p>
        </w:tc>
        <w:tc>
          <w:tcPr/>
          <w:p>
            <w:pPr>
              <w:pStyle w:val="Compact"/>
              <w:spacing w:after="40" w:before="40"/>
              <w:jc w:val="left"/>
            </w:pPr>
            <w:r>
              <w:rPr>
                <w:rFonts w:ascii="Cambria" w:hAnsi="Cambria" w:cs="Cambria" w:eastAsia="Cambria"/>
                <w:color w:val="1A1A1A"/>
                <w:sz w:val="18"/>
              </w:rPr>
              <w:t xml:space="preserve">Sostenibilità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 — Monitoraggio ed ex post</w:t>
            </w:r>
          </w:p>
        </w:tc>
        <w:tc>
          <w:tcPr>
            <w:shd w:val="clear" w:color="auto" w:fill="F4F1EC"/>
          </w:tcPr>
          <w:p>
            <w:pPr>
              <w:pStyle w:val="Compact"/>
              <w:spacing w:after="40" w:before="40"/>
              <w:jc w:val="left"/>
            </w:pPr>
            <w:r>
              <w:rPr>
                <w:rFonts w:ascii="Cambria" w:hAnsi="Cambria" w:cs="Cambria" w:eastAsia="Cambria"/>
                <w:color w:val="1A1A1A"/>
                <w:sz w:val="18"/>
              </w:rPr>
              <w:t xml:space="preserve">Trasversale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Verifica ex post</w:t>
            </w:r>
          </w:p>
        </w:tc>
      </w:tr>
      <w:tr>
        <w:tc>
          <w:tcPr/>
          <w:p>
            <w:pPr>
              <w:pStyle w:val="Compact"/>
              <w:spacing w:after="40" w:before="40"/>
              <w:jc w:val="left"/>
            </w:pPr>
            <w:r>
              <w:rPr>
                <w:rFonts w:ascii="Cambria" w:hAnsi="Cambria" w:cs="Cambria" w:eastAsia="Cambria"/>
                <w:b/>
                <w:bCs/>
                <w:color w:val="1A1A1A"/>
                <w:sz w:val="18"/>
              </w:rPr>
              <w:t xml:space="preserve">M — Sintesi e raccomandazioni</w:t>
            </w:r>
          </w:p>
        </w:tc>
        <w:tc>
          <w:tcPr/>
          <w:p>
            <w:pPr>
              <w:pStyle w:val="Compact"/>
              <w:spacing w:after="40" w:before="40"/>
              <w:jc w:val="left"/>
            </w:pPr>
            <w:r>
              <w:rPr>
                <w:rFonts w:ascii="Cambria" w:hAnsi="Cambria" w:cs="Cambria" w:eastAsia="Cambria"/>
                <w:color w:val="1A1A1A"/>
                <w:sz w:val="18"/>
              </w:rPr>
              <w:t xml:space="preserve">Trasversale</w:t>
            </w:r>
          </w:p>
        </w:tc>
        <w:tc>
          <w:tcPr/>
          <w:p>
            <w:pPr>
              <w:pStyle w:val="Compact"/>
              <w:spacing w:after="40" w:before="40"/>
              <w:jc w:val="left"/>
            </w:pPr>
            <w:r>
              <w:rPr>
                <w:rFonts w:ascii="Cambria" w:hAnsi="Cambria" w:cs="Cambria" w:eastAsia="Cambria"/>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Tutti i criteri</w:t>
            </w:r>
          </w:p>
        </w:tc>
      </w:tr>
    </w:tbl>
    <w:p>
      <w:pPr>
        <w:pStyle w:val="BodyText"/>
      </w:pPr>
      <w:r>
        <w:rPr>
          <w:i/>
          <w:iCs/>
        </w:rPr>
        <w:t xml:space="preserve">Tabella 2. La mappa di integrazione delle quattro cornici, parte per parte.</w:t>
      </w:r>
    </w:p>
    <w:bookmarkEnd w:id="3975"/>
    <w:bookmarkStart w:id="3976" w:name="la-sintesi-del-valore-12"/>
    <w:p>
      <w:pPr>
        <w:pStyle w:val="Heading2"/>
      </w:pPr>
      <w:r>
        <w:t xml:space="preserve">La sintesi del valore</w:t>
      </w:r>
    </w:p>
    <w:p>
      <w:pPr>
        <w:pStyle w:val="FirstParagraph"/>
      </w:pPr>
      <w:r>
        <w:t xml:space="preserve">La sintesi economica dello studio, sviluppata nelle Parti E e M, è qui riepilogata quale chiave di lettura dell’intero corpus. Per la Valle d’Aosta — come per il Trentino-Alto Adige, al quale la accomuna la piena autonomia finanziaria, l’alto livello di spesa pro-capite e la natura di piccola regione alpina a statuto speciale — il quadro consolidato per scenario distingue i risparmi diretti per il bilancio dalle ricadute economico-sociali, e ne ricava il saldo diretto — lievemente negativo ma modesto e agevolmente sostenibile, poiché il sistema, già ben finanziato, lascia margini di recupero diretto contenuti — e il saldo complessivo, ampiamente positivo. La scala è naturalmente molto più ridotta rispetto a qualunque altra regione della serie, in ragione della popolazione nove volte inferiore a quella del Trentino-Alto Adige.</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1,5</w:t>
            </w:r>
          </w:p>
        </w:tc>
        <w:tc>
          <w:tcPr/>
          <w:p>
            <w:pPr>
              <w:pStyle w:val="Compact"/>
              <w:spacing w:after="40" w:before="40"/>
              <w:jc w:val="left"/>
            </w:pPr>
            <w:r>
              <w:rPr>
                <w:rFonts w:ascii="Cambria" w:hAnsi="Cambria" w:cs="Cambria" w:eastAsia="Cambria"/>
                <w:color w:val="1A1A1A"/>
                <w:sz w:val="18"/>
              </w:rPr>
              <w:t xml:space="preserve">~ 2,0</w:t>
            </w:r>
          </w:p>
        </w:tc>
        <w:tc>
          <w:tcPr/>
          <w:p>
            <w:pPr>
              <w:pStyle w:val="Compact"/>
              <w:spacing w:after="40" w:before="40"/>
              <w:jc w:val="left"/>
            </w:pPr>
            <w:r>
              <w:rPr>
                <w:rFonts w:ascii="Cambria" w:hAnsi="Cambria" w:cs="Cambria" w:eastAsia="Cambria"/>
                <w:color w:val="1A1A1A"/>
                <w:sz w:val="18"/>
              </w:rPr>
              <w:t xml:space="preserve">~ 2,6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0,7</w:t>
            </w:r>
          </w:p>
        </w:tc>
        <w:tc>
          <w:tcPr>
            <w:shd w:val="clear" w:color="auto" w:fill="F4F1EC"/>
          </w:tcPr>
          <w:p>
            <w:pPr>
              <w:pStyle w:val="Compact"/>
              <w:spacing w:after="40" w:before="40"/>
              <w:jc w:val="left"/>
            </w:pPr>
            <w:r>
              <w:rPr>
                <w:rFonts w:ascii="Cambria" w:hAnsi="Cambria" w:cs="Cambria" w:eastAsia="Cambria"/>
                <w:color w:val="1A1A1A"/>
                <w:sz w:val="18"/>
              </w:rPr>
              <w:t xml:space="preserve">~ 1,1</w:t>
            </w:r>
          </w:p>
        </w:tc>
        <w:tc>
          <w:tcPr>
            <w:shd w:val="clear" w:color="auto" w:fill="F4F1EC"/>
          </w:tcPr>
          <w:p>
            <w:pPr>
              <w:pStyle w:val="Compact"/>
              <w:spacing w:after="40" w:before="40"/>
              <w:jc w:val="left"/>
            </w:pPr>
            <w:r>
              <w:rPr>
                <w:rFonts w:ascii="Cambria" w:hAnsi="Cambria" w:cs="Cambria" w:eastAsia="Cambria"/>
                <w:color w:val="1A1A1A"/>
                <w:sz w:val="18"/>
              </w:rPr>
              <w:t xml:space="preserve">~ 1,6</w:t>
            </w:r>
          </w:p>
        </w:tc>
      </w:tr>
      <w:tr>
        <w:tc>
          <w:tcPr/>
          <w:p>
            <w:pPr>
              <w:pStyle w:val="Compact"/>
              <w:spacing w:after="40" w:before="40"/>
              <w:jc w:val="left"/>
            </w:pPr>
            <w:r>
              <w:rPr>
                <w:rFonts w:ascii="Cambria" w:hAnsi="Cambria" w:cs="Cambria" w:eastAsia="Cambria"/>
                <w:b/>
                <w:bCs/>
                <w:color w:val="1A1A1A"/>
                <w:sz w:val="18"/>
              </w:rPr>
              <w:t xml:space="preserve">Ricadute economico-sociali</w:t>
            </w:r>
          </w:p>
        </w:tc>
        <w:tc>
          <w:tcPr/>
          <w:p>
            <w:pPr>
              <w:pStyle w:val="Compact"/>
              <w:spacing w:after="40" w:before="40"/>
              <w:jc w:val="left"/>
            </w:pPr>
            <w:r>
              <w:rPr>
                <w:rFonts w:ascii="Cambria" w:hAnsi="Cambria" w:cs="Cambria" w:eastAsia="Cambria"/>
                <w:color w:val="1A1A1A"/>
                <w:sz w:val="18"/>
              </w:rPr>
              <w:t xml:space="preserve">~ 4,5</w:t>
            </w:r>
          </w:p>
        </w:tc>
        <w:tc>
          <w:tcPr/>
          <w:p>
            <w:pPr>
              <w:pStyle w:val="Compact"/>
              <w:spacing w:after="40" w:before="40"/>
              <w:jc w:val="left"/>
            </w:pPr>
            <w:r>
              <w:rPr>
                <w:rFonts w:ascii="Cambria" w:hAnsi="Cambria" w:cs="Cambria" w:eastAsia="Cambria"/>
                <w:color w:val="1A1A1A"/>
                <w:sz w:val="18"/>
              </w:rPr>
              <w:t xml:space="preserve">~ 7,0</w:t>
            </w:r>
          </w:p>
        </w:tc>
        <w:tc>
          <w:tcPr/>
          <w:p>
            <w:pPr>
              <w:pStyle w:val="Compact"/>
              <w:spacing w:after="40" w:before="40"/>
              <w:jc w:val="left"/>
            </w:pPr>
            <w:r>
              <w:rPr>
                <w:rFonts w:ascii="Cambria" w:hAnsi="Cambria" w:cs="Cambria" w:eastAsia="Cambria"/>
                <w:color w:val="1A1A1A"/>
                <w:sz w:val="18"/>
              </w:rPr>
              <w:t xml:space="preserve">~ 9,5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diretto (caso finanziario)</w:t>
            </w:r>
          </w:p>
        </w:tc>
        <w:tc>
          <w:tcPr>
            <w:shd w:val="clear" w:color="auto" w:fill="F4F1EC"/>
          </w:tcPr>
          <w:p>
            <w:pPr>
              <w:pStyle w:val="Compact"/>
              <w:spacing w:after="40" w:before="40"/>
              <w:jc w:val="left"/>
            </w:pPr>
            <w:r>
              <w:rPr>
                <w:rFonts w:ascii="Cambria" w:hAnsi="Cambria" w:cs="Cambria" w:eastAsia="Cambria"/>
                <w:color w:val="1A1A1A"/>
                <w:sz w:val="18"/>
              </w:rPr>
              <w:t xml:space="preserve">~ −0,8</w:t>
            </w:r>
          </w:p>
        </w:tc>
        <w:tc>
          <w:tcPr>
            <w:shd w:val="clear" w:color="auto" w:fill="F4F1EC"/>
          </w:tcPr>
          <w:p>
            <w:pPr>
              <w:pStyle w:val="Compact"/>
              <w:spacing w:after="40" w:before="40"/>
              <w:jc w:val="left"/>
            </w:pPr>
            <w:r>
              <w:rPr>
                <w:rFonts w:ascii="Cambria" w:hAnsi="Cambria" w:cs="Cambria" w:eastAsia="Cambria"/>
                <w:color w:val="1A1A1A"/>
                <w:sz w:val="18"/>
              </w:rPr>
              <w:t xml:space="preserve">~ −0,9</w:t>
            </w:r>
          </w:p>
        </w:tc>
        <w:tc>
          <w:tcPr>
            <w:shd w:val="clear" w:color="auto" w:fill="F4F1EC"/>
          </w:tcPr>
          <w:p>
            <w:pPr>
              <w:pStyle w:val="Compact"/>
              <w:spacing w:after="40" w:before="40"/>
              <w:jc w:val="left"/>
            </w:pPr>
            <w:r>
              <w:rPr>
                <w:rFonts w:ascii="Cambria" w:hAnsi="Cambria" w:cs="Cambria" w:eastAsia="Cambria"/>
                <w:color w:val="1A1A1A"/>
                <w:sz w:val="18"/>
              </w:rPr>
              <w:t xml:space="preserve">~ −1,0</w:t>
            </w:r>
          </w:p>
        </w:tc>
      </w:tr>
      <w:tr>
        <w:tc>
          <w:tcPr/>
          <w:p>
            <w:pPr>
              <w:pStyle w:val="Compact"/>
              <w:spacing w:after="40" w:before="40"/>
              <w:jc w:val="left"/>
            </w:pPr>
            <w:r>
              <w:rPr>
                <w:rFonts w:ascii="Cambria" w:hAnsi="Cambria" w:cs="Cambria" w:eastAsia="Cambria"/>
                <w:b/>
                <w:bCs/>
                <w:color w:val="1A1A1A"/>
                <w:sz w:val="18"/>
              </w:rPr>
              <w:t xml:space="preserve">Saldo complessivo (caso economico)</w:t>
            </w:r>
          </w:p>
        </w:tc>
        <w:tc>
          <w:tcPr/>
          <w:p>
            <w:pPr>
              <w:pStyle w:val="Compact"/>
              <w:spacing w:after="40" w:before="40"/>
              <w:jc w:val="left"/>
            </w:pPr>
            <w:r>
              <w:rPr>
                <w:rFonts w:ascii="Cambria" w:hAnsi="Cambria" w:cs="Cambria" w:eastAsia="Cambria"/>
                <w:color w:val="1A1A1A"/>
                <w:sz w:val="18"/>
              </w:rPr>
              <w:t xml:space="preserve">~ +3,7</w:t>
            </w:r>
          </w:p>
        </w:tc>
        <w:tc>
          <w:tcPr/>
          <w:p>
            <w:pPr>
              <w:pStyle w:val="Compact"/>
              <w:spacing w:after="40" w:before="40"/>
              <w:jc w:val="left"/>
            </w:pPr>
            <w:r>
              <w:rPr>
                <w:rFonts w:ascii="Cambria" w:hAnsi="Cambria" w:cs="Cambria" w:eastAsia="Cambria"/>
                <w:color w:val="1A1A1A"/>
                <w:sz w:val="18"/>
              </w:rPr>
              <w:t xml:space="preserve">~ +8,1</w:t>
            </w:r>
          </w:p>
        </w:tc>
        <w:tc>
          <w:tcPr/>
          <w:p>
            <w:pPr>
              <w:pStyle w:val="Compact"/>
              <w:spacing w:after="40" w:before="40"/>
              <w:jc w:val="left"/>
            </w:pPr>
            <w:r>
              <w:rPr>
                <w:rFonts w:ascii="Cambria" w:hAnsi="Cambria" w:cs="Cambria" w:eastAsia="Cambria"/>
                <w:color w:val="1A1A1A"/>
                <w:sz w:val="18"/>
              </w:rPr>
              <w:t xml:space="preserve">~ +12,1 (appross.)</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beneficio-costo complessivo</w:t>
            </w:r>
          </w:p>
        </w:tc>
        <w:tc>
          <w:tcPr>
            <w:shd w:val="clear" w:color="auto" w:fill="F4F1EC"/>
          </w:tcPr>
          <w:p>
            <w:pPr>
              <w:pStyle w:val="Compact"/>
              <w:spacing w:after="40" w:before="40"/>
              <w:jc w:val="left"/>
            </w:pPr>
            <w:r>
              <w:rPr>
                <w:rFonts w:ascii="Cambria" w:hAnsi="Cambria" w:cs="Cambria" w:eastAsia="Cambria"/>
                <w:color w:val="1A1A1A"/>
                <w:sz w:val="18"/>
              </w:rPr>
              <w:t xml:space="preserve">~4,0:1</w:t>
            </w:r>
          </w:p>
        </w:tc>
        <w:tc>
          <w:tcPr>
            <w:shd w:val="clear" w:color="auto" w:fill="F4F1EC"/>
          </w:tcPr>
          <w:p>
            <w:pPr>
              <w:pStyle w:val="Compact"/>
              <w:spacing w:after="40" w:before="40"/>
              <w:jc w:val="left"/>
            </w:pPr>
            <w:r>
              <w:rPr>
                <w:rFonts w:ascii="Cambria" w:hAnsi="Cambria" w:cs="Cambria" w:eastAsia="Cambria"/>
                <w:color w:val="1A1A1A"/>
                <w:sz w:val="18"/>
              </w:rPr>
              <w:t xml:space="preserve">~4,8:1</w:t>
            </w:r>
          </w:p>
        </w:tc>
        <w:tc>
          <w:tcPr>
            <w:shd w:val="clear" w:color="auto" w:fill="F4F1EC"/>
          </w:tcPr>
          <w:p>
            <w:pPr>
              <w:pStyle w:val="Compact"/>
              <w:spacing w:after="40" w:before="40"/>
              <w:jc w:val="left"/>
            </w:pPr>
            <w:r>
              <w:rPr>
                <w:rFonts w:ascii="Cambria" w:hAnsi="Cambria" w:cs="Cambria" w:eastAsia="Cambria"/>
                <w:color w:val="1A1A1A"/>
                <w:sz w:val="18"/>
              </w:rPr>
              <w:t xml:space="preserve">~5,3:1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La raccomandazione è che la Valle d’Aosta è chiamata a istituire per la prima volta un servizio di psicologia delle cure primarie, dimensionandolo per gradi verso la copertura sistematica: nell’ordine di 15 psicologi nello scenario conservativo, 22 in quello di base e 30 in quello espansivo, con un’unica azienda sanitaria che semplifica il governo del percorso. Il limite principale è il radicamento dei dati: le grandezze economiche sono in parte ricostruite a partire dai conti nazionali scalati per la quota di popolazione (circa lo 0,2% del totale nazionale) e non estratte dai conti certificati dell’Azienda USL; la priorità è l’estrazione di questi dati come condizione per la presentazione agli organi di controllo della finanza pubblica regionale.</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3976"/>
    <w:bookmarkStart w:id="3986" w:name="parte-a-quadro-quesito-e-metodo-18"/>
    <w:p>
      <w:pPr>
        <w:pStyle w:val="Heading2"/>
      </w:pPr>
      <w:r>
        <w:t xml:space="preserve">Parte A — Quadro, quesito e metodo</w:t>
      </w:r>
    </w:p>
    <w:p>
      <w:pPr>
        <w:pStyle w:val="FirstParagraph"/>
      </w:pPr>
      <w:r>
        <w:t xml:space="preserve">Questa è la prima parte dello studio integrale per la Valle d’Aosta, che applica al territorio il telaio integrato sviluppato e validato per la Puglia e già esteso alla Lombardia, al Veneto, all’Emilia-Romagna, al Piemonte, alla Toscana, alla Liguria, al Lazio, alla Campania, alla Sicilia, alla Sardegna, al Trentino-Alto Adige, alle Marche, alla Basilicata, al Molise e alle altre regioni della serie. L’architettura e il caso di riferimento sono i medesimi, e mutano soltanto i dati di ingresso, ancorati alla Valle d’Aosta. In questa architettura la Parte A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Valle d’Aosta occupa nella serie una posizione del tutto peculiare: è la regione più piccola d’Italia per popolazione, l’unica interamente alpina, una delle più anziane e delle più ricche, a piena autonomia finanziaria, e priva di qualunque forma di servizio di psicologo di base; la valutazione riguarda perciò l’opportunità e le modalità di una prima istituzione.</w:t>
      </w:r>
    </w:p>
    <w:bookmarkStart w:id="3979" w:name="X50a3eea8498a74aca9ea77376ec5e07de8cdc2f"/>
    <w:p>
      <w:pPr>
        <w:pStyle w:val="Heading3"/>
      </w:pPr>
      <w:r>
        <w:t xml:space="preserve">A.1 Scopo, quesito di valutazione e standard adottati</w:t>
      </w:r>
    </w:p>
    <w:p>
      <w:pPr>
        <w:pStyle w:val="FirstParagraph"/>
      </w:pPr>
      <w:r>
        <w:t xml:space="preserve">Lo studio ha per oggetto il servizio di psicologia delle cure primarie della Valle d’Aosta, inteso come primo livello di ascolto psicologico integrato nella rete territoriale dell’Azienda USL, accessibile a tutti i residenti con disagio psichico comune o sottosoglia. Ne valuta il valore nelle dimensioni clinica, economica, organizzativa, sociale, etica e giuridica, allo scopo di informare la decisione sulla sua istituzione.</w:t>
      </w:r>
      <w:r>
        <w:rPr>
          <w:rStyle w:val="FootnoteReference"/>
        </w:rPr>
        <w:footnoteReference w:id="3787"/>
      </w:r>
      <w:r>
        <w:t xml:space="preserve"> </w:t>
      </w:r>
      <w:r>
        <w:t xml:space="preserve">La premessa che orienta l’intero studio è che la decisione rilevante, per la Valle d’Aosta, è istituire per la prima volta un servizio che non esiste in nessuna forma: non vi è una legge regionale, non vi è una sperimentazione in corso, non vi è un modello parziale da completare.</w:t>
      </w:r>
      <w:r>
        <w:rPr>
          <w:rStyle w:val="FootnoteReference"/>
        </w:rPr>
        <w:footnoteReference w:id="3788"/>
      </w:r>
      <w:r>
        <w:t xml:space="preserve"> </w:t>
      </w:r>
      <w:r>
        <w:t xml:space="preserve">Lo studio fornisce gli elementi per quella decisione, non la sostituisce: ne misura le conseguenze attese in tre scenari di copertura, lasciando alla sede politica e di bilancio la scelta della scala.</w:t>
      </w:r>
    </w:p>
    <w:p>
      <w:pPr>
        <w:pStyle w:val="BodyText"/>
      </w:pPr>
      <w:r>
        <w:t xml:space="preserve">Il quesito è articolato secondo lo schema che ne fissa gli elementi costitutivi. La popolazione è costituita dai residenti della Valle d’Aosta con bisogno psicologico comune — nell’ordine di 24.000–25.000 persone con disagio psichico comune secondo le stime di prevalenza nazionali applicate alla popolazione regionale — e in seconda istanza dall’intera popolazione per gli effetti di sistema. L’intervento è il servizio di psicologia delle cure primarie, come primo livello di ascolto, intercettazione precoce e filtro, da istituire ex novo nell’unica azienda sanitaria regionale, integrato nella rete delle Case della Comunità e dei poliambulatori distrettuali. Il confronto è l’assenza del servizio, nella quale il bisogno psicologico comune non è sistematicamente intercettato a livello di cure primarie e refluisce sui servizi specialistici o rimane non trattato. Gli esiti sono clinici, economici, sociali e di sistema. I tempi distinguono l’orizzonte pluriennale degli esiti dall’orizzonte triennale-quinquennale del bilancio. Il contesto è dato dall’Azienda USL Valle d’Aosta, con i suoi quattro distretti su un territorio integralmente montano, dall’Ospedale regionale Umberto Parini come presidio principale, e dal sistema bilingue italiano-francese. La tabella seguente riepiloga gli elementi del quesito.</w:t>
      </w:r>
    </w:p>
    <w:tbl>
      <w:tblPr>
        <w:tblStyle w:val="Table"/>
        <w:tblW w:type="pct" w:w="494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77"/>
        <w:gridCol w:w="614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 per la Valle d’Aosta</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Residenti con disagio psichico comune (~24.000–25.000); in seconda istanza l’intera popolazione per gli effetti di sistema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Intervento</w:t>
            </w:r>
          </w:p>
        </w:tc>
        <w:tc>
          <w:tcPr>
            <w:shd w:val="clear" w:color="auto" w:fill="F4F1EC"/>
          </w:tcPr>
          <w:p>
            <w:pPr>
              <w:pStyle w:val="Compact"/>
              <w:spacing w:after="40" w:before="40"/>
              <w:jc w:val="left"/>
            </w:pPr>
            <w:r>
              <w:rPr>
                <w:rFonts w:ascii="Cambria" w:hAnsi="Cambria" w:cs="Cambria" w:eastAsia="Cambria"/>
                <w:color w:val="1A1A1A"/>
                <w:sz w:val="18"/>
              </w:rPr>
              <w:t xml:space="preserve">Servizio di psicologo di base, primo livello e filtro (~15/22/30 psicologi nei tre scenari); da istituire ex novo</w:t>
            </w:r>
          </w:p>
        </w:tc>
      </w:tr>
      <w:tr>
        <w:tc>
          <w:tcPr/>
          <w:p>
            <w:pPr>
              <w:pStyle w:val="Compact"/>
              <w:spacing w:after="40" w:before="40"/>
              <w:jc w:val="left"/>
            </w:pPr>
            <w:r>
              <w:rPr>
                <w:rFonts w:ascii="Cambria" w:hAnsi="Cambria" w:cs="Cambria" w:eastAsia="Cambria"/>
                <w:b/>
                <w:bCs/>
                <w:color w:val="1A1A1A"/>
                <w:sz w:val="18"/>
              </w:rPr>
              <w:t xml:space="preserve">Confronto</w:t>
            </w:r>
          </w:p>
        </w:tc>
        <w:tc>
          <w:tcPr/>
          <w:p>
            <w:pPr>
              <w:pStyle w:val="Compact"/>
              <w:spacing w:after="40" w:before="40"/>
              <w:jc w:val="left"/>
            </w:pPr>
            <w:r>
              <w:rPr>
                <w:rFonts w:ascii="Cambria" w:hAnsi="Cambria" w:cs="Cambria" w:eastAsia="Cambria"/>
                <w:color w:val="1A1A1A"/>
                <w:sz w:val="18"/>
              </w:rPr>
              <w:t xml:space="preserve">Assenza del servizio: bisogno comune non intercettato sistematicamente a livello di cure primarie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w:t>
            </w:r>
          </w:p>
        </w:tc>
        <w:tc>
          <w:tcPr>
            <w:shd w:val="clear" w:color="auto" w:fill="F4F1EC"/>
          </w:tcPr>
          <w:p>
            <w:pPr>
              <w:pStyle w:val="Compact"/>
              <w:spacing w:after="40" w:before="40"/>
              <w:jc w:val="left"/>
            </w:pPr>
            <w:r>
              <w:rPr>
                <w:rFonts w:ascii="Cambria" w:hAnsi="Cambria" w:cs="Cambria" w:eastAsia="Cambria"/>
                <w:color w:val="1A1A1A"/>
                <w:sz w:val="18"/>
              </w:rPr>
              <w:t xml:space="preserve">Clinici (recupero, miglioramento affidabile); economici (risparmi diretti, ritorno complessivo); sociali; di sistema</w:t>
            </w:r>
          </w:p>
        </w:tc>
      </w:tr>
      <w:tr>
        <w:tc>
          <w:tcPr/>
          <w:p>
            <w:pPr>
              <w:pStyle w:val="Compact"/>
              <w:spacing w:after="40" w:before="40"/>
              <w:jc w:val="left"/>
            </w:pPr>
            <w:r>
              <w:rPr>
                <w:rFonts w:ascii="Cambria" w:hAnsi="Cambria" w:cs="Cambria" w:eastAsia="Cambria"/>
                <w:b/>
                <w:bCs/>
                <w:color w:val="1A1A1A"/>
                <w:sz w:val="18"/>
              </w:rPr>
              <w:t xml:space="preserve">Tempi</w:t>
            </w:r>
          </w:p>
        </w:tc>
        <w:tc>
          <w:tcPr/>
          <w:p>
            <w:pPr>
              <w:pStyle w:val="Compact"/>
              <w:spacing w:after="40" w:before="40"/>
              <w:jc w:val="left"/>
            </w:pPr>
            <w:r>
              <w:rPr>
                <w:rFonts w:ascii="Cambria" w:hAnsi="Cambria" w:cs="Cambria" w:eastAsia="Cambria"/>
                <w:color w:val="1A1A1A"/>
                <w:sz w:val="18"/>
              </w:rPr>
              <w:t xml:space="preserve">Orizzonte pluriennale per gli esiti; triennale-quinquennale per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Contesto</w:t>
            </w:r>
          </w:p>
        </w:tc>
        <w:tc>
          <w:tcPr>
            <w:shd w:val="clear" w:color="auto" w:fill="F4F1EC"/>
          </w:tcPr>
          <w:p>
            <w:pPr>
              <w:pStyle w:val="Compact"/>
              <w:spacing w:after="40" w:before="40"/>
              <w:jc w:val="left"/>
            </w:pPr>
            <w:r>
              <w:rPr>
                <w:rFonts w:ascii="Cambria" w:hAnsi="Cambria" w:cs="Cambria" w:eastAsia="Cambria"/>
                <w:color w:val="1A1A1A"/>
                <w:sz w:val="18"/>
              </w:rPr>
              <w:t xml:space="preserve">Azienda USL Valle d’Aosta (unica); quattro distretti montani; Ospedale Parini; bilinguismo italiano-francese; statuto speciale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w:t>
      </w:r>
    </w:p>
    <w:bookmarkEnd w:id="3979"/>
    <w:bookmarkStart w:id="3983" w:name="a.2-il-caso-di-riferimento-e-i-metodi-15"/>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w:t>
      </w:r>
      <w:r>
        <w:rPr>
          <w:rStyle w:val="FootnoteReference"/>
        </w:rPr>
        <w:footnoteReference w:id="3789"/>
      </w:r>
      <w:r>
        <w:t xml:space="preserve"> </w:t>
      </w:r>
      <w:r>
        <w:t xml:space="preserve">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con verifica al tasso ridotto previsto per i benefici di salute; gli anni di vita ponderati per la qualità ed esiti clinici validati come misure; e l’assenza del servizio come comparatore. Le unità di analisi sono il territorio regionale e, in disaggregazione, i quattro distretti, per dare conto dei divari territoriali interni, segnatamente fra il distretto di Aosta e le vallate laterali a popolazione dispersa, e della dimensione bilingue.</w:t>
      </w:r>
    </w:p>
    <w:tbl>
      <w:tblPr>
        <w:tblStyle w:val="Table"/>
        <w:tblW w:type="pct" w:w="494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00"/>
        <w:gridCol w:w="633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lo studio</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distinzione tra diretto e sociale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verifica al tasso ridotto per i benefici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Assenza del servizio di psicologo di base: cura usuale senza intercettazione psicologica di primo livello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Unità di analisi</w:t>
            </w:r>
          </w:p>
        </w:tc>
        <w:tc>
          <w:tcPr>
            <w:shd w:val="clear" w:color="auto" w:fill="F4F1EC"/>
          </w:tcPr>
          <w:p>
            <w:pPr>
              <w:pStyle w:val="Compact"/>
              <w:spacing w:after="40" w:before="40"/>
              <w:jc w:val="left"/>
            </w:pPr>
            <w:r>
              <w:rPr>
                <w:rFonts w:ascii="Cambria" w:hAnsi="Cambria" w:cs="Cambria" w:eastAsia="Cambria"/>
                <w:color w:val="1A1A1A"/>
                <w:sz w:val="18"/>
              </w:rPr>
              <w:t xml:space="preserve">Territorio regionale, con disaggregazione per distretto (Morgex, Aosta, Châtillon, Verrès-Donnas)</w:t>
            </w:r>
          </w:p>
        </w:tc>
      </w:tr>
      <w:tr>
        <w:tc>
          <w:tcPr/>
          <w:p>
            <w:pPr>
              <w:pStyle w:val="Compact"/>
              <w:spacing w:after="40" w:before="40"/>
              <w:jc w:val="left"/>
            </w:pPr>
            <w:r>
              <w:rPr>
                <w:rFonts w:ascii="Cambria" w:hAnsi="Cambria" w:cs="Cambria" w:eastAsia="Cambria"/>
                <w:b/>
                <w:bCs/>
                <w:color w:val="1A1A1A"/>
                <w:sz w:val="18"/>
              </w:rPr>
              <w:t xml:space="preserve">Correzione per ottimismo</w:t>
            </w:r>
          </w:p>
        </w:tc>
        <w:tc>
          <w:tcPr/>
          <w:p>
            <w:pPr>
              <w:pStyle w:val="Compact"/>
              <w:spacing w:after="40" w:before="40"/>
              <w:jc w:val="left"/>
            </w:pPr>
            <w:r>
              <w:rPr>
                <w:rFonts w:ascii="Cambria" w:hAnsi="Cambria" w:cs="Cambria" w:eastAsia="Cambria"/>
                <w:color w:val="1A1A1A"/>
                <w:sz w:val="18"/>
              </w:rP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su flussi non scontati, poiché il suo oggetto è la sostenibilità della spesa effettiva esercizio per esercizio; le analisi di costo-utilità, invece, attualizzano simmetricamente costi ed esiti di salute al medesimo tasso. Nel caso della Valle d’Aosta, la piena autonomia finanziaria e la solidità del bilancio regionale rendono il vincolo finanziario non il limite principale; il costo contenuto del servizio, rapportato alla dimensione ridottissima della popolazione, rappresenta una quota dell’ordine dello 0,5–0,8% del Fondo sanitario regionale anche nello scenario espansivo, agevolmente compatibile con le risorse disponibili.</w:t>
      </w:r>
      <w:r>
        <w:rPr>
          <w:rStyle w:val="FootnoteReference"/>
        </w:rPr>
        <w:footnoteReference w:id="3790"/>
      </w:r>
      <w:r>
        <w:t xml:space="preserve"> </w:t>
      </w:r>
      <w:r>
        <w:t xml:space="preserve">Il margine di recupero diretto di bilancio è più contenuto che nelle regioni sotto-finanziate, poiché il sistema è già ben dotato e lascia meno consumo improprio recuperabile; ne consegue un saldo diretto lievemente negativo, ma il caso economico complessivo è nettamente positivo, fondato prevalentemente sulle ricadute sociali.</w:t>
      </w:r>
      <w:r>
        <w:rPr>
          <w:rStyle w:val="FootnoteReference"/>
        </w:rPr>
        <w:footnoteReference w:id="3791"/>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p>
    <w:tbl>
      <w:tblPr>
        <w:tblStyle w:val="Table"/>
        <w:tblW w:type="pct" w:w="492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357"/>
        <w:gridCol w:w="305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Metodologia</w:t>
            </w:r>
          </w:p>
        </w:tc>
        <w:tc>
          <w:tcPr>
            <w:shd w:val="clear" w:color="auto" w:fill="16264B"/>
          </w:tcPr>
          <w:p>
            <w:pPr>
              <w:pStyle w:val="Compact"/>
              <w:spacing w:after="40" w:before="40"/>
              <w:jc w:val="left"/>
            </w:pPr>
            <w:r>
              <w:rPr>
                <w:rFonts w:ascii="Cambria" w:hAnsi="Cambria" w:cs="Cambria" w:eastAsia="Cambria"/>
                <w:b/>
                <w:bCs/>
                <w:color w:val="FFFFFF"/>
                <w:sz w:val="18"/>
              </w:rPr>
              <w:t xml:space="preserve">Sede</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r>
      <w:tr>
        <w:tc>
          <w:tcPr/>
          <w:p>
            <w:pPr>
              <w:pStyle w:val="Compact"/>
              <w:spacing w:after="40" w:before="40"/>
              <w:jc w:val="left"/>
            </w:pPr>
            <w:r>
              <w:rPr>
                <w:rFonts w:ascii="Cambria" w:hAnsi="Cambria" w:cs="Cambria" w:eastAsia="Cambria"/>
                <w:b/>
                <w:bCs/>
                <w:color w:val="1A1A1A"/>
                <w:sz w:val="18"/>
              </w:rPr>
              <w:t xml:space="preserve">Costo-utilità</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Costo per esito di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Impatto sul bilancio</w:t>
            </w:r>
          </w:p>
        </w:tc>
        <w:tc>
          <w:tcPr>
            <w:shd w:val="clear" w:color="auto" w:fill="F4F1EC"/>
          </w:tcPr>
          <w:p>
            <w:pPr>
              <w:pStyle w:val="Compact"/>
              <w:spacing w:after="40" w:before="40"/>
              <w:jc w:val="left"/>
            </w:pPr>
            <w:r>
              <w:rPr>
                <w:rFonts w:ascii="Cambria" w:hAnsi="Cambria" w:cs="Cambria" w:eastAsia="Cambria"/>
                <w:color w:val="1A1A1A"/>
                <w:sz w:val="18"/>
              </w:rPr>
              <w:t xml:space="preserve">Parte E</w:t>
            </w:r>
          </w:p>
        </w:tc>
        <w:tc>
          <w:tcPr>
            <w:shd w:val="clear" w:color="auto" w:fill="F4F1EC"/>
          </w:tcPr>
          <w:p>
            <w:pPr>
              <w:pStyle w:val="Compact"/>
              <w:spacing w:after="40" w:before="40"/>
              <w:jc w:val="left"/>
            </w:pPr>
            <w:r>
              <w:rPr>
                <w:rFonts w:ascii="Cambria" w:hAnsi="Cambria" w:cs="Cambria" w:eastAsia="Cambria"/>
                <w:color w:val="1A1A1A"/>
                <w:sz w:val="18"/>
              </w:rPr>
              <w:t xml:space="preserve">Sostenibilità finanziaria per il bilancio regionale</w:t>
            </w:r>
          </w:p>
        </w:tc>
      </w:tr>
      <w:tr>
        <w:tc>
          <w:tcPr/>
          <w:p>
            <w:pPr>
              <w:pStyle w:val="Compact"/>
              <w:spacing w:after="40" w:before="40"/>
              <w:jc w:val="left"/>
            </w:pPr>
            <w:r>
              <w:rPr>
                <w:rFonts w:ascii="Cambria" w:hAnsi="Cambria" w:cs="Cambria" w:eastAsia="Cambria"/>
                <w:b/>
                <w:bCs/>
                <w:color w:val="1A1A1A"/>
                <w:sz w:val="18"/>
              </w:rPr>
              <w:t xml:space="preserve">Ritorno sociale</w:t>
            </w:r>
          </w:p>
        </w:tc>
        <w:tc>
          <w:tcPr/>
          <w:p>
            <w:pPr>
              <w:pStyle w:val="Compact"/>
              <w:spacing w:after="40" w:before="40"/>
              <w:jc w:val="left"/>
            </w:pPr>
            <w:r>
              <w:rPr>
                <w:rFonts w:ascii="Cambria" w:hAnsi="Cambria" w:cs="Cambria" w:eastAsia="Cambria"/>
                <w:color w:val="1A1A1A"/>
                <w:sz w:val="18"/>
              </w:rPr>
              <w:t xml:space="preserve">Parte E</w:t>
            </w:r>
          </w:p>
        </w:tc>
        <w:tc>
          <w:tcPr/>
          <w:p>
            <w:pPr>
              <w:pStyle w:val="Compact"/>
              <w:spacing w:after="40" w:before="40"/>
              <w:jc w:val="left"/>
            </w:pPr>
            <w:r>
              <w:rPr>
                <w:rFonts w:ascii="Cambria" w:hAnsi="Cambria" w:cs="Cambria" w:eastAsia="Cambria"/>
                <w:color w:val="1A1A1A"/>
                <w:sz w:val="18"/>
              </w:rPr>
              <w:t xml:space="preserve">Valore generato oltre il bilancio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c>
          <w:tcPr>
            <w:shd w:val="clear" w:color="auto" w:fill="F4F1EC"/>
          </w:tcPr>
          <w:p>
            <w:pPr>
              <w:pStyle w:val="Compact"/>
              <w:spacing w:after="40" w:before="40"/>
              <w:jc w:val="left"/>
            </w:pPr>
            <w:r>
              <w:rPr>
                <w:rFonts w:ascii="Cambria" w:hAnsi="Cambria" w:cs="Cambria" w:eastAsia="Cambria"/>
                <w:color w:val="1A1A1A"/>
                <w:sz w:val="18"/>
              </w:rPr>
              <w:t xml:space="preserve">Proiezione di costi ed esiti nel tempo</w:t>
            </w:r>
          </w:p>
        </w:tc>
      </w:tr>
      <w:tr>
        <w:tc>
          <w:tcPr/>
          <w:p>
            <w:pPr>
              <w:pStyle w:val="Compact"/>
              <w:spacing w:after="40" w:before="40"/>
              <w:jc w:val="left"/>
            </w:pPr>
            <w:r>
              <w:rPr>
                <w:rFonts w:ascii="Cambria" w:hAnsi="Cambria" w:cs="Cambria" w:eastAsia="Cambria"/>
                <w:b/>
                <w:bCs/>
                <w:color w:val="1A1A1A"/>
                <w:sz w:val="18"/>
              </w:rPr>
              <w:t xml:space="preserve">Sensibilità probabilistica e valore dell’informazione</w:t>
            </w:r>
          </w:p>
        </w:tc>
        <w:tc>
          <w:tcPr/>
          <w:p>
            <w:pPr>
              <w:pStyle w:val="Compact"/>
              <w:spacing w:after="40" w:before="40"/>
              <w:jc w:val="left"/>
            </w:pPr>
            <w:r>
              <w:rPr>
                <w:rFonts w:ascii="Cambria" w:hAnsi="Cambria" w:cs="Cambria" w:eastAsia="Cambria"/>
                <w:color w:val="1A1A1A"/>
                <w:sz w:val="18"/>
              </w:rPr>
              <w:t xml:space="preserve">Parte F</w:t>
            </w:r>
          </w:p>
        </w:tc>
        <w:tc>
          <w:tcPr/>
          <w:p>
            <w:pPr>
              <w:pStyle w:val="Compact"/>
              <w:spacing w:after="40" w:before="40"/>
              <w:jc w:val="left"/>
            </w:pPr>
            <w:r>
              <w:rPr>
                <w:rFonts w:ascii="Cambria" w:hAnsi="Cambria" w:cs="Cambria" w:eastAsia="Cambria"/>
                <w:color w:val="1A1A1A"/>
                <w:sz w:val="18"/>
              </w:rPr>
              <w:t xml:space="preserve">Governo dell’incertezza e priorità di ricerca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distributiva</w:t>
            </w:r>
          </w:p>
        </w:tc>
        <w:tc>
          <w:tcPr>
            <w:shd w:val="clear" w:color="auto" w:fill="F4F1EC"/>
          </w:tcPr>
          <w:p>
            <w:pPr>
              <w:pStyle w:val="Compact"/>
              <w:spacing w:after="40" w:before="40"/>
              <w:jc w:val="left"/>
            </w:pPr>
            <w:r>
              <w:rPr>
                <w:rFonts w:ascii="Cambria" w:hAnsi="Cambria" w:cs="Cambria" w:eastAsia="Cambria"/>
                <w:color w:val="1A1A1A"/>
                <w:sz w:val="18"/>
              </w:rPr>
              <w:t xml:space="preserve">Parte G</w:t>
            </w:r>
          </w:p>
        </w:tc>
        <w:tc>
          <w:tcPr>
            <w:shd w:val="clear" w:color="auto" w:fill="F4F1EC"/>
          </w:tcPr>
          <w:p>
            <w:pPr>
              <w:pStyle w:val="Compact"/>
              <w:spacing w:after="40" w:before="40"/>
              <w:jc w:val="left"/>
            </w:pPr>
            <w:r>
              <w:rPr>
                <w:rFonts w:ascii="Cambria" w:hAnsi="Cambria" w:cs="Cambria" w:eastAsia="Cambria"/>
                <w:color w:val="1A1A1A"/>
                <w:sz w:val="18"/>
              </w:rPr>
              <w:t xml:space="preserve">Misura dell’equità distributiva</w:t>
            </w:r>
          </w:p>
        </w:tc>
      </w:tr>
      <w:tr>
        <w:tc>
          <w:tcPr/>
          <w:p>
            <w:pPr>
              <w:pStyle w:val="Compact"/>
              <w:spacing w:after="40" w:before="40"/>
              <w:jc w:val="left"/>
            </w:pPr>
            <w:r>
              <w:rPr>
                <w:rFonts w:ascii="Cambria" w:hAnsi="Cambria" w:cs="Cambria" w:eastAsia="Cambria"/>
                <w:b/>
                <w:bCs/>
                <w:color w:val="1A1A1A"/>
                <w:sz w:val="18"/>
              </w:rPr>
              <w:t xml:space="preserve">Inferenza causale quasi-sperimentale</w:t>
            </w:r>
          </w:p>
        </w:tc>
        <w:tc>
          <w:tcPr/>
          <w:p>
            <w:pPr>
              <w:pStyle w:val="Compact"/>
              <w:spacing w:after="40" w:before="40"/>
              <w:jc w:val="left"/>
            </w:pPr>
            <w:r>
              <w:rPr>
                <w:rFonts w:ascii="Cambria" w:hAnsi="Cambria" w:cs="Cambria" w:eastAsia="Cambria"/>
                <w:color w:val="1A1A1A"/>
                <w:sz w:val="18"/>
              </w:rPr>
              <w:t xml:space="preserve">Parte L</w:t>
            </w:r>
          </w:p>
        </w:tc>
        <w:tc>
          <w:tcPr/>
          <w:p>
            <w:pPr>
              <w:pStyle w:val="Compact"/>
              <w:spacing w:after="40" w:before="40"/>
              <w:jc w:val="left"/>
            </w:pPr>
            <w:r>
              <w:rPr>
                <w:rFonts w:ascii="Cambria" w:hAnsi="Cambria" w:cs="Cambria" w:eastAsia="Cambria"/>
                <w:color w:val="1A1A1A"/>
                <w:sz w:val="18"/>
              </w:rPr>
              <w:t xml:space="preserve">Stima dell’effetto reale sul campo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Revisione sistematica e sistema GRADE</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c>
          <w:tcPr>
            <w:shd w:val="clear" w:color="auto" w:fill="F4F1EC"/>
          </w:tcPr>
          <w:p>
            <w:pPr>
              <w:pStyle w:val="Compact"/>
              <w:spacing w:after="40" w:before="40"/>
              <w:jc w:val="left"/>
            </w:pPr>
            <w:r>
              <w:rPr>
                <w:rFonts w:ascii="Cambria" w:hAnsi="Cambria" w:cs="Cambria" w:eastAsia="Cambria"/>
                <w:color w:val="1A1A1A"/>
                <w:sz w:val="18"/>
              </w:rPr>
              <w:t xml:space="preserve">Fondazione e graduazione dell’evidenza</w:t>
            </w:r>
          </w:p>
        </w:tc>
      </w:tr>
      <w:tr>
        <w:tc>
          <w:tcPr/>
          <w:p>
            <w:pPr>
              <w:pStyle w:val="Compact"/>
              <w:spacing w:after="40" w:before="40"/>
              <w:jc w:val="left"/>
            </w:pPr>
            <w:r>
              <w:rPr>
                <w:rFonts w:ascii="Cambria" w:hAnsi="Cambria" w:cs="Cambria" w:eastAsia="Cambria"/>
                <w:b/>
                <w:bCs/>
                <w:color w:val="1A1A1A"/>
                <w:sz w:val="18"/>
              </w:rPr>
              <w:t xml:space="preserve">Analisi multi-criterio</w:t>
            </w:r>
          </w:p>
        </w:tc>
        <w:tc>
          <w:tcPr/>
          <w:p>
            <w:pPr>
              <w:pStyle w:val="Compact"/>
              <w:spacing w:after="40" w:before="40"/>
              <w:jc w:val="left"/>
            </w:pPr>
            <w:r>
              <w:rPr>
                <w:rFonts w:ascii="Cambria" w:hAnsi="Cambria" w:cs="Cambria" w:eastAsia="Cambria"/>
                <w:color w:val="1A1A1A"/>
                <w:sz w:val="18"/>
              </w:rPr>
              <w:t xml:space="preserve">Parte M</w:t>
            </w:r>
          </w:p>
        </w:tc>
        <w:tc>
          <w:tcPr/>
          <w:p>
            <w:pPr>
              <w:pStyle w:val="Compact"/>
              <w:spacing w:after="40" w:before="40"/>
              <w:jc w:val="left"/>
            </w:pPr>
            <w:r>
              <w:rPr>
                <w:rFonts w:ascii="Cambria" w:hAnsi="Cambria" w:cs="Cambria" w:eastAsia="Cambria"/>
                <w:color w:val="1A1A1A"/>
                <w:sz w:val="18"/>
              </w:rPr>
              <w:t xml:space="preserve">Composizione dei criteri non monetari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impatto della regolamentazione</w:t>
            </w:r>
          </w:p>
        </w:tc>
        <w:tc>
          <w:tcPr>
            <w:shd w:val="clear" w:color="auto" w:fill="F4F1EC"/>
          </w:tcPr>
          <w:p>
            <w:pPr>
              <w:pStyle w:val="Compact"/>
              <w:spacing w:after="40" w:before="40"/>
              <w:jc w:val="left"/>
            </w:pPr>
            <w:r>
              <w:rPr>
                <w:rFonts w:ascii="Cambria" w:hAnsi="Cambria" w:cs="Cambria" w:eastAsia="Cambria"/>
                <w:color w:val="1A1A1A"/>
                <w:sz w:val="18"/>
              </w:rPr>
              <w:t xml:space="preserve">Parti H, L</w:t>
            </w:r>
          </w:p>
        </w:tc>
        <w:tc>
          <w:tcPr>
            <w:shd w:val="clear" w:color="auto" w:fill="F4F1EC"/>
          </w:tcPr>
          <w:p>
            <w:pPr>
              <w:pStyle w:val="Compact"/>
              <w:spacing w:after="40" w:before="40"/>
              <w:jc w:val="left"/>
            </w:pPr>
            <w:r>
              <w:rPr>
                <w:rFonts w:ascii="Cambria" w:hAnsi="Cambria" w:cs="Cambria" w:eastAsia="Cambria"/>
                <w:color w:val="1A1A1A"/>
                <w:sz w:val="18"/>
              </w:rPr>
              <w:t xml:space="preserve">Valutazione della norma ex ante ed ex post</w:t>
            </w:r>
          </w:p>
        </w:tc>
      </w:tr>
    </w:tbl>
    <w:p>
      <w:pPr>
        <w:pStyle w:val="BodyText"/>
      </w:pPr>
      <w:r>
        <w:rPr>
          <w:i/>
          <w:iCs/>
        </w:rPr>
        <w:t xml:space="preserve">Tabella A.3. Le dieci metodologie analitiche e la loro collocazione nello studio.</w:t>
      </w:r>
    </w:p>
    <w:bookmarkEnd w:id="3983"/>
    <w:bookmarkStart w:id="3985" w:name="Xdfd374f8b3cbf1ccb8debc9e52d0c22754c95c5"/>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autonoma Valle d’Aosta, l’Assessorato regionale alla salute, l’Azienda USL Valle d’Aosta, l’Ordine degli Psicologi della Valle d’Aosta, le rappresentanze della medicina generale e della pediatria di libera scelta e il polo universitario valdostano.</w:t>
      </w:r>
      <w:r>
        <w:rPr>
          <w:rStyle w:val="FootnoteReference"/>
        </w:rPr>
        <w:footnoteReference w:id="3792"/>
      </w:r>
      <w:r>
        <w:t xml:space="preserve"> </w:t>
      </w:r>
      <w:r>
        <w:t xml:space="preserve">La caratteristica propria della Valle d’Aosta è che la materia sanitaria è di competenza regionale piena, in forza dello statuto speciale, e che l’unica azienda sanitaria è organizzata in quattro distretti che coprono un territorio integralmente montano, con forti asimmetrie di accessibilità fra la conca di Aosta e le vallate laterali; il bilinguismo italiano-francese costituisce un elemento istituzionale strutturale che la valutazione assume quale vincolo organizzativo e fattore di equità.</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mai come sua sostituzione, con sorveglianza umana costante e validazione locale. Sul piano etico,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lo studio dispone delle fondamenta su cui poggiano i domini successivi: la parte che segue affronta il problema di salute, il bisogno e il contesto della Valle d’Aosta.</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3985"/>
    <w:bookmarkEnd w:id="3986"/>
    <w:bookmarkStart w:id="4004" w:name="Xa8e07d8549e7e85698b62c412c8d5e76dec6770"/>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Valle d’Aosta. La struttura è quella già adottata per le altre regioni della serie, e mutano soltanto i dati, ancorati al territorio.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Valle d’Aosta: una regione molto piccola, molto anziana, alpina e bilingue, a piena autonomia finanziaria, in cui il servizio di psicologo di base è assente e la domanda di salute mentale di primo livello non è sistematicamente intercettata.</w:t>
      </w:r>
    </w:p>
    <w:bookmarkStart w:id="3989" w:name="b.1-quadro-demografico-14"/>
    <w:p>
      <w:pPr>
        <w:pStyle w:val="Heading3"/>
      </w:pPr>
      <w:r>
        <w:t xml:space="preserve">B.1 Quadro demografico</w:t>
      </w:r>
    </w:p>
    <w:p>
      <w:pPr>
        <w:pStyle w:val="FirstParagraph"/>
      </w:pPr>
      <w:r>
        <w:t xml:space="preserve">La Valle d’Aosta conta 122.532 residenti al 1° gennaio 2025, in lieve stabilizzazione dopo un decennio di calo demografico, con una popolazione che si è fermata a 122.554 al 1° gennaio 2026.</w:t>
      </w:r>
      <w:r>
        <w:rPr>
          <w:rStyle w:val="FootnoteReference"/>
        </w:rPr>
        <w:footnoteReference w:id="3793"/>
      </w:r>
      <w:r>
        <w:t xml:space="preserve"> </w:t>
      </w:r>
      <w:r>
        <w:t xml:space="preserve">Si tratta della regione più piccola d’Italia per popolazione, pari a circa lo 0,21% del totale nazionale. La struttura per età è marcatamente anziana: l’indice di vecchiaia è pari a 215,1 nel 2023, fra i più alti d’Italia, con una quota di over-65 che si attesta al 25,79% nel 2025 e che, secondo le proiezioni IRES Valle d’Aosta, raggiungerà il 34,13% nel 2040.</w:t>
      </w:r>
      <w:r>
        <w:rPr>
          <w:rStyle w:val="FootnoteReference"/>
        </w:rPr>
        <w:footnoteReference w:id="3794"/>
      </w:r>
      <w:r>
        <w:t xml:space="preserve"> </w:t>
      </w:r>
      <w:r>
        <w:t xml:space="preserve">La Valle d’Aosta è bilingue per norma costituzionale — italiano e francese — con una quota di stranieri residenti dell’ordine del 9–10% della popolazione. Il territorio è integralmente alpino e montano, con una densità abitativa fra le più basse d’Italia (circa 39 ab/km²), concentrata nel fondovalle centrale e nel capoluogo Aosta, mentre una quota rilevante della popolazione risiede in piccoli comuni nelle vallate laterali. L’Azienda USL Valle d’Aosta articola il territorio in quattro distretti sanitari: Distretto 1 (Morgex/Gran San Bernardo), Distretto 2 (Aosta), Distretto 3 (Châtillon/Saint-Vincent), Distretto 4 (Verrès/Donnas). La tabella seguente riepiloga il profilo demografico e socio-economico.</w:t>
      </w:r>
    </w:p>
    <w:tbl>
      <w:tblPr>
        <w:tblStyle w:val="Table"/>
        <w:tblW w:type="pct" w:w="494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77"/>
        <w:gridCol w:w="636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Indicatore</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Valle d’Aosta</w:t>
            </w:r>
          </w:p>
        </w:tc>
      </w:tr>
      <w:tr>
        <w:tc>
          <w:tcPr/>
          <w:p>
            <w:pPr>
              <w:pStyle w:val="Compact"/>
              <w:spacing w:after="40" w:before="40"/>
              <w:jc w:val="left"/>
            </w:pPr>
            <w:r>
              <w:rPr>
                <w:rFonts w:ascii="Cambria" w:hAnsi="Cambria" w:cs="Cambria" w:eastAsia="Cambria"/>
                <w:b/>
                <w:bCs/>
                <w:color w:val="1A1A1A"/>
                <w:sz w:val="18"/>
              </w:rPr>
              <w:t xml:space="preserve">Popolazione (2025)</w:t>
            </w:r>
          </w:p>
        </w:tc>
        <w:tc>
          <w:tcPr/>
          <w:p>
            <w:pPr>
              <w:pStyle w:val="Compact"/>
              <w:spacing w:after="40" w:before="40"/>
              <w:jc w:val="left"/>
            </w:pPr>
            <w:r>
              <w:rPr>
                <w:rFonts w:ascii="Cambria" w:hAnsi="Cambria" w:cs="Cambria" w:eastAsia="Cambria"/>
                <w:color w:val="1A1A1A"/>
                <w:sz w:val="18"/>
              </w:rPr>
              <w:t xml:space="preserve">122.532 (0,21% del totale nazionale); in lieve stabilizzazione dopo un decennio di calo; unica regione interamente alpina d’Italia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Età e salute</w:t>
            </w:r>
          </w:p>
        </w:tc>
        <w:tc>
          <w:tcPr>
            <w:shd w:val="clear" w:color="auto" w:fill="F4F1EC"/>
          </w:tcPr>
          <w:p>
            <w:pPr>
              <w:pStyle w:val="Compact"/>
              <w:spacing w:after="40" w:before="40"/>
              <w:jc w:val="left"/>
            </w:pPr>
            <w:r>
              <w:rPr>
                <w:rFonts w:ascii="Cambria" w:hAnsi="Cambria" w:cs="Cambria" w:eastAsia="Cambria"/>
                <w:color w:val="1A1A1A"/>
                <w:sz w:val="18"/>
              </w:rPr>
              <w:t xml:space="preserve">Indice di vecchiaia 215,1 (2023), fra i più alti d’Italia; over-65: 25,79% (2025), proiettato al 34,13% (2040); speranza di vita elevata</w:t>
            </w:r>
          </w:p>
        </w:tc>
      </w:tr>
      <w:tr>
        <w:tc>
          <w:tcPr/>
          <w:p>
            <w:pPr>
              <w:pStyle w:val="Compact"/>
              <w:spacing w:after="40" w:before="40"/>
              <w:jc w:val="left"/>
            </w:pPr>
            <w:r>
              <w:rPr>
                <w:rFonts w:ascii="Cambria" w:hAnsi="Cambria" w:cs="Cambria" w:eastAsia="Cambria"/>
                <w:b/>
                <w:bCs/>
                <w:color w:val="1A1A1A"/>
                <w:sz w:val="18"/>
              </w:rPr>
              <w:t xml:space="preserve">Composizione linguistica</w:t>
            </w:r>
          </w:p>
        </w:tc>
        <w:tc>
          <w:tcPr/>
          <w:p>
            <w:pPr>
              <w:pStyle w:val="Compact"/>
              <w:spacing w:after="40" w:before="40"/>
              <w:jc w:val="left"/>
            </w:pPr>
            <w:r>
              <w:rPr>
                <w:rFonts w:ascii="Cambria" w:hAnsi="Cambria" w:cs="Cambria" w:eastAsia="Cambria"/>
                <w:color w:val="1A1A1A"/>
                <w:sz w:val="18"/>
              </w:rPr>
              <w:t xml:space="preserve">Italiano e francese, con tutela costituzionale del francese; stranieri ~9–10% della popolazione; bilingue per norma costituzionale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Distribuzione territoriale</w:t>
            </w:r>
          </w:p>
        </w:tc>
        <w:tc>
          <w:tcPr>
            <w:shd w:val="clear" w:color="auto" w:fill="F4F1EC"/>
          </w:tcPr>
          <w:p>
            <w:pPr>
              <w:pStyle w:val="Compact"/>
              <w:spacing w:after="40" w:before="40"/>
              <w:jc w:val="left"/>
            </w:pPr>
            <w:r>
              <w:rPr>
                <w:rFonts w:ascii="Cambria" w:hAnsi="Cambria" w:cs="Cambria" w:eastAsia="Cambria"/>
                <w:color w:val="1A1A1A"/>
                <w:sz w:val="18"/>
              </w:rPr>
              <w:t xml:space="preserve">Fondovalle centrale e capoluogo Aosta; vallate laterali a densità abitativa molto bassa (~39 ab/km²); quattro distretti sanitari</w:t>
            </w:r>
          </w:p>
        </w:tc>
      </w:tr>
      <w:tr>
        <w:tc>
          <w:tcPr/>
          <w:p>
            <w:pPr>
              <w:pStyle w:val="Compact"/>
              <w:spacing w:after="40" w:before="40"/>
              <w:jc w:val="left"/>
            </w:pPr>
            <w:r>
              <w:rPr>
                <w:rFonts w:ascii="Cambria" w:hAnsi="Cambria" w:cs="Cambria" w:eastAsia="Cambria"/>
                <w:b/>
                <w:bCs/>
                <w:color w:val="1A1A1A"/>
                <w:sz w:val="18"/>
              </w:rPr>
              <w:t xml:space="preserve">Profilo economico</w:t>
            </w:r>
          </w:p>
        </w:tc>
        <w:tc>
          <w:tcPr/>
          <w:p>
            <w:pPr>
              <w:pStyle w:val="Compact"/>
              <w:spacing w:after="40" w:before="40"/>
              <w:jc w:val="left"/>
            </w:pPr>
            <w:r>
              <w:rPr>
                <w:rFonts w:ascii="Cambria" w:hAnsi="Cambria" w:cs="Cambria" w:eastAsia="Cambria"/>
                <w:color w:val="1A1A1A"/>
                <w:sz w:val="18"/>
              </w:rPr>
              <w:t xml:space="preserve">Reddito pro-capite fra i più alti d’Italia; economia basata su turismo, attività terziarie, industria idroelettrica e attività montane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Articolazione sanitaria</w:t>
            </w:r>
          </w:p>
        </w:tc>
        <w:tc>
          <w:tcPr>
            <w:shd w:val="clear" w:color="auto" w:fill="F4F1EC"/>
          </w:tcPr>
          <w:p>
            <w:pPr>
              <w:pStyle w:val="Compact"/>
              <w:spacing w:after="40" w:before="40"/>
              <w:jc w:val="left"/>
            </w:pPr>
            <w:r>
              <w:rPr>
                <w:rFonts w:ascii="Cambria" w:hAnsi="Cambria" w:cs="Cambria" w:eastAsia="Cambria"/>
                <w:color w:val="1A1A1A"/>
                <w:sz w:val="18"/>
              </w:rPr>
              <w:t xml:space="preserve">Azienda USL Valle d’Aosta (unica); Ospedale Parini (Aosta) presidio principale; quattro distretti su territorio montano; bilinguismo italiano-francese</w:t>
            </w:r>
          </w:p>
        </w:tc>
      </w:tr>
    </w:tbl>
    <w:p>
      <w:pPr>
        <w:pStyle w:val="BodyText"/>
      </w:pPr>
      <w:r>
        <w:rPr>
          <w:i/>
          <w:iCs/>
        </w:rPr>
        <w:t xml:space="preserve">Tabella B.1. Profilo demografico e socio-economico della Valle d’Aosta.</w:t>
      </w:r>
    </w:p>
    <w:bookmarkEnd w:id="3989"/>
    <w:bookmarkStart w:id="3992" w:name="b.2-epidemiologia-del-bisogno-15"/>
    <w:p>
      <w:pPr>
        <w:pStyle w:val="Heading3"/>
      </w:pPr>
      <w:r>
        <w:t xml:space="preserve">B.2 Epidemiologia del bisogno</w:t>
      </w:r>
    </w:p>
    <w:p>
      <w:pPr>
        <w:pStyle w:val="FirstParagraph"/>
      </w:pPr>
      <w:r>
        <w:t xml:space="preserve">Il bisogno di salute mentale nella Valle d’Aosta è rilevante e presenta tratti propri. Applicando i tassi di prevalenza nazionale del disagio psichico comune — nell’ordine del 20% della popolazione — alla popolazione valdostana, il numero di persone con bisogno potenziale si colloca nell’ordine di 24.000–25.000. Tale stima è coerente con i dati locali disponibili: il tasso standardizzato di incidenza dei casi trattati dai servizi di salute mentale è di 118,5 per 10.000 abitanti — il più alto d’Italia rispetto alla media nazionale di 55,4 — indicando un sistema di salute mentale attivo e aperto, ma anche un bisogno sottostante elevato.</w:t>
      </w:r>
      <w:r>
        <w:rPr>
          <w:rStyle w:val="FootnoteReference"/>
        </w:rPr>
        <w:footnoteReference w:id="3795"/>
      </w:r>
      <w:r>
        <w:t xml:space="preserve"> </w:t>
      </w:r>
      <w:r>
        <w:t xml:space="preserve">Il Centro di Salute Mentale di Aosta ha registrato oltre 400 accessi nei soli primi mesi dall’apertura nella nuova sede nel 2024, segno di una domanda sostenuta.</w:t>
      </w:r>
      <w:r>
        <w:rPr>
          <w:rStyle w:val="FootnoteReference"/>
        </w:rPr>
        <w:footnoteReference w:id="3796"/>
      </w:r>
      <w:r>
        <w:t xml:space="preserve"> </w:t>
      </w:r>
      <w:r>
        <w:t xml:space="preserve">La struttura per età molto anziana della popolazione amplifica la componente del bisogno connessa alla depressione tardiva e ai disturbi cognitivi, e la dimensione dell’isolamento nelle vallate laterali costituisce un fattore di rischio aggiuntivo. Tre componenti orientano il bisogno in modo specifico. La prima è il disagio dell’anzianità, trainato dall’invecchiamento accelerato, che prefigura una domanda crescente di sostegno psicologico nell’età avanzata. La seconda è il disagio connesso all’isolamento geografico nelle vallate laterali, dove le distanze e la stagionalità turistica limitano l’accesso ai servizi. La terza è la pressione sul pronto soccorso e sui servizi specialistici, che assorbe una quota di bisogno che potrebbe essere intercettata a livello di cure primarie.</w:t>
      </w:r>
    </w:p>
    <w:bookmarkEnd w:id="3992"/>
    <w:bookmarkStart w:id="3994" w:name="Xdcffe30d7b543078d80d1be1580be87cc8a5f63"/>
    <w:p>
      <w:pPr>
        <w:pStyle w:val="Heading3"/>
      </w:pPr>
      <w:r>
        <w:t xml:space="preserve">B.3 Domanda, offerta e gap di copertura</w:t>
      </w:r>
    </w:p>
    <w:p>
      <w:pPr>
        <w:pStyle w:val="FirstParagraph"/>
      </w:pPr>
      <w:r>
        <w:t xml:space="preserve">Alla domanda descritta si contrappone, in Valle d’Aosta, un’offerta di psicologia di primo livello assente: non vi è un servizio di psicologo di base, né una legge regionale che lo istituisca, né una sperimentazione in corso.</w:t>
      </w:r>
      <w:r>
        <w:rPr>
          <w:rStyle w:val="FootnoteReference"/>
        </w:rPr>
        <w:footnoteReference w:id="3797"/>
      </w:r>
      <w:r>
        <w:t xml:space="preserve"> </w:t>
      </w:r>
      <w:r>
        <w:t xml:space="preserve">Il sistema di salute mentale dispone dei Centri di Salute Mentale, di strutture residenziali e semiresidenziali e di un Servizio di Psichiatria ospedaliera nel Presidio Parini, ma non di un servizio psicologico delle cure primarie integrato nella medicina generale. Il fabbisogno a regime è stimato nell’ordine di 30 psicologi nello scenario espansivo, per analogia proporzionale con il Trentino-Alto Adige — che ne conta 240 per una popolazione circa nove volte superiore — e con gli standard internazionali; il gap di copertura è dunque totale rispetto al fabbisogno, per mancanza del servizio. La tabella seguente sintetizza domanda, offerta e divario.</w:t>
      </w:r>
    </w:p>
    <w:tbl>
      <w:tblPr>
        <w:tblStyle w:val="Table"/>
        <w:tblW w:type="pct" w:w="495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06"/>
        <w:gridCol w:w="604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Valle d’Aosta</w:t>
            </w:r>
          </w:p>
        </w:tc>
      </w:tr>
      <w:tr>
        <w:tc>
          <w:tcPr/>
          <w:p>
            <w:pPr>
              <w:pStyle w:val="Compact"/>
              <w:spacing w:after="40" w:before="40"/>
              <w:jc w:val="left"/>
            </w:pPr>
            <w:r>
              <w:rPr>
                <w:rFonts w:ascii="Cambria" w:hAnsi="Cambria" w:cs="Cambria" w:eastAsia="Cambria"/>
                <w:b/>
                <w:bCs/>
                <w:color w:val="1A1A1A"/>
                <w:sz w:val="18"/>
              </w:rPr>
              <w:t xml:space="preserve">Disagio comune (bisogno potenziale)</w:t>
            </w:r>
          </w:p>
        </w:tc>
        <w:tc>
          <w:tcPr/>
          <w:p>
            <w:pPr>
              <w:pStyle w:val="Compact"/>
              <w:spacing w:after="40" w:before="40"/>
              <w:jc w:val="left"/>
            </w:pPr>
            <w:r>
              <w:rPr>
                <w:rFonts w:ascii="Cambria" w:hAnsi="Cambria" w:cs="Cambria" w:eastAsia="Cambria"/>
                <w:color w:val="1A1A1A"/>
                <w:sz w:val="18"/>
              </w:rPr>
              <w:t xml:space="preserve">~ 24.000–25.000 persone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Utenza in carico ai servizi di 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Nell’ordine di alcune migliaia (stima rapportata ai dati nazionali e al tasso di incidenza locale di 118,5/10.000)</w:t>
            </w:r>
          </w:p>
        </w:tc>
      </w:tr>
      <w:tr>
        <w:tc>
          <w:tcPr/>
          <w:p>
            <w:pPr>
              <w:pStyle w:val="Compact"/>
              <w:spacing w:after="40" w:before="40"/>
              <w:jc w:val="left"/>
            </w:pPr>
            <w:r>
              <w:rPr>
                <w:rFonts w:ascii="Cambria" w:hAnsi="Cambria" w:cs="Cambria" w:eastAsia="Cambria"/>
                <w:b/>
                <w:bCs/>
                <w:color w:val="1A1A1A"/>
                <w:sz w:val="18"/>
              </w:rPr>
              <w:t xml:space="preserve">Offerta territoriale attuale</w:t>
            </w:r>
          </w:p>
        </w:tc>
        <w:tc>
          <w:tcPr/>
          <w:p>
            <w:pPr>
              <w:pStyle w:val="Compact"/>
              <w:spacing w:after="40" w:before="40"/>
              <w:jc w:val="left"/>
            </w:pPr>
            <w:r>
              <w:rPr>
                <w:rFonts w:ascii="Cambria" w:hAnsi="Cambria" w:cs="Cambria" w:eastAsia="Cambria"/>
                <w:color w:val="1A1A1A"/>
                <w:sz w:val="18"/>
              </w:rPr>
              <w:t xml:space="preserve">Nessun servizio di psicologo di base; Centri di Salute Mentale presenti; nessuna legge regionale e nessuna sperimentazione in 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Fabbisogno stimato a regime</w:t>
            </w:r>
          </w:p>
        </w:tc>
        <w:tc>
          <w:tcPr>
            <w:shd w:val="clear" w:color="auto" w:fill="F4F1EC"/>
          </w:tcPr>
          <w:p>
            <w:pPr>
              <w:pStyle w:val="Compact"/>
              <w:spacing w:after="40" w:before="40"/>
              <w:jc w:val="left"/>
            </w:pPr>
            <w:r>
              <w:rPr>
                <w:rFonts w:ascii="Cambria" w:hAnsi="Cambria" w:cs="Cambria" w:eastAsia="Cambria"/>
                <w:color w:val="1A1A1A"/>
                <w:sz w:val="18"/>
              </w:rPr>
              <w:t xml:space="preserve">~ 30 psicologi nello scenario espansivo; ~ 22 in quello di base; ~ 15 in quello conservativo</w:t>
            </w:r>
          </w:p>
        </w:tc>
      </w:tr>
      <w:tr>
        <w:tc>
          <w:tcPr/>
          <w:p>
            <w:pPr>
              <w:pStyle w:val="Compact"/>
              <w:spacing w:after="40" w:before="40"/>
              <w:jc w:val="left"/>
            </w:pPr>
            <w:r>
              <w:rPr>
                <w:rFonts w:ascii="Cambria" w:hAnsi="Cambria" w:cs="Cambria" w:eastAsia="Cambria"/>
                <w:b/>
                <w:bCs/>
                <w:color w:val="1A1A1A"/>
                <w:sz w:val="18"/>
              </w:rPr>
              <w:t xml:space="preserve">Copertura attuale del fabbisogno</w:t>
            </w:r>
          </w:p>
        </w:tc>
        <w:tc>
          <w:tcPr/>
          <w:p>
            <w:pPr>
              <w:pStyle w:val="Compact"/>
              <w:spacing w:after="40" w:before="40"/>
              <w:jc w:val="left"/>
            </w:pPr>
            <w:r>
              <w:rPr>
                <w:rFonts w:ascii="Cambria" w:hAnsi="Cambria" w:cs="Cambria" w:eastAsia="Cambria"/>
                <w:color w:val="1A1A1A"/>
                <w:sz w:val="18"/>
              </w:rPr>
              <w:t xml:space="preserve">Zero: servizio assente in tutte le sue forme</w:t>
            </w:r>
          </w:p>
        </w:tc>
      </w:tr>
    </w:tbl>
    <w:p>
      <w:pPr>
        <w:pStyle w:val="BodyText"/>
      </w:pPr>
      <w:r>
        <w:rPr>
          <w:i/>
          <w:iCs/>
        </w:rPr>
        <w:t xml:space="preserve">Tabella B.2. Domanda, offerta e gap di copertura.</w:t>
      </w:r>
    </w:p>
    <w:bookmarkEnd w:id="3994"/>
    <w:bookmarkStart w:id="3995" w:name="X4c95a4e10945022878f05a9ea364482ecea4305"/>
    <w:p>
      <w:pPr>
        <w:pStyle w:val="Heading3"/>
      </w:pPr>
      <w:r>
        <w:t xml:space="preserve">B.4 Disuguaglianze e divari territoriali</w:t>
      </w:r>
    </w:p>
    <w:p>
      <w:pPr>
        <w:pStyle w:val="FirstParagraph"/>
      </w:pPr>
      <w:r>
        <w:t xml:space="preserve">La dimensione distributiva del bisogno, in Valle d’Aosta, si gioca su due assi. Il primo, territoriale, separa il fondovalle centrale e il capoluogo Aosta — dove si concentrano i servizi e la maggior parte della popolazione — dalle vallate laterali (Gran San Bernardo, Cervinia, Gressoney, Champorcher), dove l’orografia, le distanze e la stagionalità turistica rendono l’accesso a qualunque servizio sanitario significativamente più difficoltoso, e dove risiedono quote non trascurabili di popolazione anziana. Il secondo è quello socio-economico e linguistico: pur in una regione relativamente ricca nel complesso, la componente di lavoratori del settore turistico-stagionale e quella degli immigrati di lingua francofona presentano vulnerabilità specifiche nell’accesso ai servizi. Su questi divari il modello del psicologo di base agisce in funzione di equità: avvicina l’offerta al territorio mediante la telepsicologia assistita nei comuni più remoti, e garantisce la disponibilità bilingue del servizio come condizione di accesso effettivo per i residenti di madrelingua francese o per coloro che preferiscono esprimersi in francese.</w:t>
      </w:r>
    </w:p>
    <w:bookmarkEnd w:id="3995"/>
    <w:bookmarkStart w:id="4001" w:name="b.5-i-servizi-e-i-flussi-15"/>
    <w:p>
      <w:pPr>
        <w:pStyle w:val="Heading3"/>
      </w:pPr>
      <w:r>
        <w:t xml:space="preserve">B.5 I servizi e i flussi</w:t>
      </w:r>
    </w:p>
    <w:p>
      <w:pPr>
        <w:pStyle w:val="FirstParagraph"/>
      </w:pPr>
      <w:r>
        <w:t xml:space="preserve">L’Azienda USL Valle d’Aosta dispone della spesa sanitaria pubblica pro-capite fra le più elevate d’Italia: 2.526 euro nel 2022 secondo l’ISTAT (terza in Italia dopo le Province autonome di Trento e Bolzano), con un finanziamento pro-capite che, secondo dichiarazioni dell’Assessore regionale Marzi nel dicembre 2024, ha raggiunto circa 3.750 euro nel 2024;</w:t>
      </w:r>
      <w:r>
        <w:rPr>
          <w:rStyle w:val="FootnoteReference"/>
        </w:rPr>
        <w:footnoteReference w:id="3798"/>
      </w:r>
      <w:r>
        <w:t xml:space="preserve"> </w:t>
      </w:r>
      <w:r>
        <w:t xml:space="preserve">le stime della Fondazione GRINS collocano la spesa sanitaria pesata pro-capite della Valle d’Aosta al secondo posto in Italia, nell’ordine di 3.465–3.503 euro.</w:t>
      </w:r>
      <w:r>
        <w:rPr>
          <w:rStyle w:val="FootnoteReference"/>
        </w:rPr>
        <w:footnoteReference w:id="3799"/>
      </w:r>
      <w:r>
        <w:t xml:space="preserve"> </w:t>
      </w:r>
      <w:r>
        <w:t xml:space="preserve">Il Fondo sanitario regionale è determinato dalla legge di stabilità regionale nell’ordine di 333 milioni di euro per il 2024, con una quota trasferita all’Azienda USL di 319 milioni.</w:t>
      </w:r>
      <w:r>
        <w:rPr>
          <w:rStyle w:val="FootnoteReference"/>
        </w:rPr>
        <w:footnoteReference w:id="3800"/>
      </w:r>
      <w:r>
        <w:t xml:space="preserve"> </w:t>
      </w:r>
      <w:r>
        <w:t xml:space="preserve">Il profilo di mobilità sanitaria è di saldo lievemente negativo — 10,9 milioni nel 2024, con crediti per 17 milioni e debiti per 27,9 milioni — ma di entità modesta e non strutturalmente problematico.</w:t>
      </w:r>
      <w:r>
        <w:rPr>
          <w:rStyle w:val="FootnoteReference"/>
        </w:rPr>
        <w:footnoteReference w:id="3801"/>
      </w:r>
      <w:r>
        <w:t xml:space="preserve"> </w:t>
      </w:r>
      <w:r>
        <w:t xml:space="preserve">La spesa sanitaria privata delle famiglie valdostane è la seconda più alta d’Italia in rapporto al PIL regionale, pari al 3% contro il 2,2% della media nazionale.</w:t>
      </w:r>
      <w:r>
        <w:rPr>
          <w:rStyle w:val="FootnoteReference"/>
        </w:rPr>
        <w:footnoteReference w:id="3802"/>
      </w:r>
      <w:r>
        <w:t xml:space="preserve"> </w:t>
      </w:r>
      <w:r>
        <w:t xml:space="preserve">La tabella seguente riepiloga le grandezze di sistema rilevanti.</w:t>
      </w:r>
    </w:p>
    <w:tbl>
      <w:tblPr>
        <w:tblStyle w:val="Table"/>
        <w:tblW w:type="pct" w:w="495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72"/>
        <w:gridCol w:w="617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di sistema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Valle d’Aosta</w:t>
            </w:r>
          </w:p>
        </w:tc>
      </w:tr>
      <w:tr>
        <w:tc>
          <w:tcPr/>
          <w:p>
            <w:pPr>
              <w:pStyle w:val="Compact"/>
              <w:spacing w:after="40" w:before="40"/>
              <w:jc w:val="left"/>
            </w:pPr>
            <w:r>
              <w:rPr>
                <w:rFonts w:ascii="Cambria" w:hAnsi="Cambria" w:cs="Cambria" w:eastAsia="Cambria"/>
                <w:b/>
                <w:bCs/>
                <w:color w:val="1A1A1A"/>
                <w:sz w:val="18"/>
              </w:rPr>
              <w:t xml:space="preserve">Finanziamento del SSR</w:t>
            </w:r>
          </w:p>
        </w:tc>
        <w:tc>
          <w:tcPr/>
          <w:p>
            <w:pPr>
              <w:pStyle w:val="Compact"/>
              <w:spacing w:after="40" w:before="40"/>
              <w:jc w:val="left"/>
            </w:pPr>
            <w:r>
              <w:rPr>
                <w:rFonts w:ascii="Cambria" w:hAnsi="Cambria" w:cs="Cambria" w:eastAsia="Cambria"/>
                <w:color w:val="1A1A1A"/>
                <w:sz w:val="18"/>
              </w:rPr>
              <w:t xml:space="preserve">Autofinanziamento integrale con quota analoga ai 9/10 del gettito trattenuto, senza apporto statale; FSR ~333 mln (2024); spesa pro-capite fra le più alte d’Italia; bilancio in equilibrio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Saldo lievemente negativo: −10,9 mln (2024), crediti 17 mln, debiti 27,9 mln; entità modesta; canale del recupero contenuto per questo intervento</w:t>
            </w:r>
          </w:p>
        </w:tc>
      </w:tr>
      <w:tr>
        <w:tc>
          <w:tcPr/>
          <w:p>
            <w:pPr>
              <w:pStyle w:val="Compact"/>
              <w:spacing w:after="40" w:before="40"/>
              <w:jc w:val="left"/>
            </w:pPr>
            <w:r>
              <w:rPr>
                <w:rFonts w:ascii="Cambria" w:hAnsi="Cambria" w:cs="Cambria" w:eastAsia="Cambria"/>
                <w:b/>
                <w:bCs/>
                <w:color w:val="1A1A1A"/>
                <w:sz w:val="18"/>
              </w:rPr>
              <w:t xml:space="preserve">Pronto soccorso</w:t>
            </w:r>
          </w:p>
        </w:tc>
        <w:tc>
          <w:tcPr/>
          <w:p>
            <w:pPr>
              <w:pStyle w:val="Compact"/>
              <w:spacing w:after="40" w:before="40"/>
              <w:jc w:val="left"/>
            </w:pPr>
            <w:r>
              <w:rPr>
                <w:rFonts w:ascii="Cambria" w:hAnsi="Cambria" w:cs="Cambria" w:eastAsia="Cambria"/>
                <w:color w:val="1A1A1A"/>
                <w:sz w:val="18"/>
              </w:rPr>
              <w:t xml:space="preserve">Accessi per cause psichiatriche alimentati anche da bisogno di primo livello non intercettato; costi amplificati dai trasferimenti dalle vallate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Architettura dei servizi</w:t>
            </w:r>
          </w:p>
        </w:tc>
        <w:tc>
          <w:tcPr>
            <w:shd w:val="clear" w:color="auto" w:fill="F4F1EC"/>
          </w:tcPr>
          <w:p>
            <w:pPr>
              <w:pStyle w:val="Compact"/>
              <w:spacing w:after="40" w:before="40"/>
              <w:jc w:val="left"/>
            </w:pPr>
            <w:r>
              <w:rPr>
                <w:rFonts w:ascii="Cambria" w:hAnsi="Cambria" w:cs="Cambria" w:eastAsia="Cambria"/>
                <w:color w:val="1A1A1A"/>
                <w:sz w:val="18"/>
              </w:rPr>
              <w:t xml:space="preserve">Azienda USL Valle d’Aosta (unica); quattro distretti; Ospedale Parini (Aosta) presidio principale; Centri di Salute Mentale presenti; nessun psicologo di base</w:t>
            </w:r>
          </w:p>
        </w:tc>
      </w:tr>
      <w:tr>
        <w:tc>
          <w:tcPr/>
          <w:p>
            <w:pPr>
              <w:pStyle w:val="Compact"/>
              <w:spacing w:after="40" w:before="40"/>
              <w:jc w:val="left"/>
            </w:pPr>
            <w:r>
              <w:rPr>
                <w:rFonts w:ascii="Cambria" w:hAnsi="Cambria" w:cs="Cambria" w:eastAsia="Cambria"/>
                <w:b/>
                <w:bCs/>
                <w:color w:val="1A1A1A"/>
                <w:sz w:val="18"/>
              </w:rPr>
              <w:t xml:space="preserve">Margine di azione principale</w:t>
            </w:r>
          </w:p>
        </w:tc>
        <w:tc>
          <w:tcPr/>
          <w:p>
            <w:pPr>
              <w:pStyle w:val="Compact"/>
              <w:spacing w:after="40" w:before="40"/>
              <w:jc w:val="left"/>
            </w:pPr>
            <w:r>
              <w:rPr>
                <w:rFonts w:ascii="Cambria" w:hAnsi="Cambria" w:cs="Cambria" w:eastAsia="Cambria"/>
                <w:color w:val="1A1A1A"/>
                <w:sz w:val="18"/>
              </w:rPr>
              <w:t xml:space="preserve">Prima istituzione del servizio; accesso nelle vallate laterali; bilinguismo italiano-francese; disagio dell’anzianità; intercettazione precoce</w:t>
            </w:r>
          </w:p>
        </w:tc>
      </w:tr>
    </w:tbl>
    <w:p>
      <w:pPr>
        <w:pStyle w:val="BodyText"/>
      </w:pPr>
      <w:r>
        <w:rPr>
          <w:i/>
          <w:iCs/>
        </w:rPr>
        <w:t xml:space="preserve">Tabella B.3. I servizi e i flussi dell’Azienda USL Valle d’Aosta rilevanti per l’intervento.</w:t>
      </w:r>
    </w:p>
    <w:bookmarkEnd w:id="4001"/>
    <w:bookmarkStart w:id="4003" w:name="Xf2ee51488a425d643edcf8e8947bfb822a51360"/>
    <w:p>
      <w:pPr>
        <w:pStyle w:val="Heading3"/>
      </w:pPr>
      <w:r>
        <w:t xml:space="preserve">B.6 La cornice normativa e programmatica</w:t>
      </w:r>
    </w:p>
    <w:p>
      <w:pPr>
        <w:pStyle w:val="FirstParagraph"/>
      </w:pPr>
      <w:r>
        <w:t xml:space="preserve">La decisione si colloca entro una cornice che deve essere ricostruita per la Valle d’Aosta con precisione. Sul piano nazionale, il Decreto Ministeriale 77/2022 sugli standard dell’assistenza territoriale prevede la figura dello psicologo nelle Case della Comunità, e il testo unificato in discussione alla Camera avanza verso l’istituzione del psicologo di base come livello essenziale di assistenza; ma né l’uno né l’altro sono ancora diventati operativi in Valle d’Aosta. Sul piano regionale, la Valle d’Aosta non ha approvato alcuna legge che istituisca il psicologo di base, e non risulta alcuna sperimentazione locale in corso: essa figura fra le regioni prive di previsione normativa nella mappatura aggiornata al 2025,</w:t>
      </w:r>
      <w:r>
        <w:rPr>
          <w:rStyle w:val="FootnoteReference"/>
        </w:rPr>
        <w:footnoteReference w:id="3803"/>
      </w:r>
      <w:r>
        <w:t xml:space="preserve"> </w:t>
      </w:r>
      <w:r>
        <w:t xml:space="preserve">accanto a Marche, Molise, Basilicata, Calabria e Trentino-Alto Adige/Südtirol. La Valle d’Aosta opera entro una piena autonomia finanziaria garantita dallo statuto speciale, che le consente di finanziare il servizio con le risorse proprie senza attendere l’inserimento nei livelli essenziali di assistenza statali; la decisione rilevante è dunque di istituire il servizio con un atto di legge regionale o con delibera della Giunta regionale che ne fissi il modello, l’organizzazione e il finanziamento. È il tema che le parti successive sviluppano, a partire dalla definizione dell’intervento e del suo modello.</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4003"/>
    <w:bookmarkEnd w:id="4004"/>
    <w:bookmarkStart w:id="4013" w:name="parte-c-lintervento-e-il-suo-modello-12"/>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Valle d’Aosta emerge con nettezza: si tratta di istituire ex novo, in una regione piccola e interamente alpina, un servizio che non esiste in nessuna forma, integrandolo nella rete dell’unica azienda sanitaria regionale e nelle quattro Case della Comunità o nei poliambulatori distrettuali, con attenzione al bilinguismo e all’accesso nelle vallate remote.</w:t>
      </w:r>
    </w:p>
    <w:bookmarkStart w:id="4005" w:name="X1810d2a7bf6e55beb4d563a351db6b134518030"/>
    <w:p>
      <w:pPr>
        <w:pStyle w:val="Heading3"/>
      </w:pPr>
      <w:r>
        <w:t xml:space="preserve">C.1 Definizione e teoria del cambiamento</w:t>
      </w:r>
    </w:p>
    <w:p>
      <w:pPr>
        <w:pStyle w:val="FirstParagraph"/>
      </w:pPr>
      <w:r>
        <w:t xml:space="preserve">Lo psicologo delle cure primarie è il primo livello di ascolto psicologico integrato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 nell’ordine di 24.000–25.000 persone — attraverso la presa in carico psicologica di prossimità, agli esiti clinici, di sistema e sociali, per il tramite del meccanismo della prevenzione secondaria. La tabella seguente ne espone gli anelli.</w:t>
      </w:r>
    </w:p>
    <w:tbl>
      <w:tblPr>
        <w:tblStyle w:val="Table"/>
        <w:tblW w:type="pct" w:w="493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804"/>
        <w:gridCol w:w="601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catena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Valle d’Aosta</w:t>
            </w:r>
          </w:p>
        </w:tc>
      </w:tr>
      <w:tr>
        <w:tc>
          <w:tcPr/>
          <w:p>
            <w:pPr>
              <w:pStyle w:val="Compact"/>
              <w:spacing w:after="40" w:before="40"/>
              <w:jc w:val="left"/>
            </w:pPr>
            <w:r>
              <w:rPr>
                <w:rFonts w:ascii="Cambria" w:hAnsi="Cambria" w:cs="Cambria" w:eastAsia="Cambria"/>
                <w:b/>
                <w:bCs/>
                <w:color w:val="1A1A1A"/>
                <w:sz w:val="18"/>
              </w:rPr>
              <w:t xml:space="preserve">Bisogno</w:t>
            </w:r>
          </w:p>
        </w:tc>
        <w:tc>
          <w:tcPr/>
          <w:p>
            <w:pPr>
              <w:pStyle w:val="Compact"/>
              <w:spacing w:after="40" w:before="40"/>
              <w:jc w:val="left"/>
            </w:pPr>
            <w:r>
              <w:rPr>
                <w:rFonts w:ascii="Cambria" w:hAnsi="Cambria" w:cs="Cambria" w:eastAsia="Cambria"/>
                <w:color w:val="1A1A1A"/>
                <w:sz w:val="18"/>
              </w:rPr>
              <w:t xml:space="preserve">~ 24.000–25.000 persone con disagio comune, attualmente non intercettato a livello di cure primarie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Attività</w:t>
            </w:r>
          </w:p>
        </w:tc>
        <w:tc>
          <w:tcPr>
            <w:shd w:val="clear" w:color="auto" w:fill="F4F1EC"/>
          </w:tcPr>
          <w:p>
            <w:pPr>
              <w:pStyle w:val="Compact"/>
              <w:spacing w:after="40" w:before="40"/>
              <w:jc w:val="left"/>
            </w:pPr>
            <w:r>
              <w:rPr>
                <w:rFonts w:ascii="Cambria" w:hAnsi="Cambria" w:cs="Cambria" w:eastAsia="Cambria"/>
                <w:color w:val="1A1A1A"/>
                <w:sz w:val="18"/>
              </w:rPr>
              <w:t xml:space="preserve">Psicologo di base: intercettazione precoce, intervento breve, filtro verso i servizi specialistici; primo livello, ex novo</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Recupero e riduzione dei sintomi nei quadri lievi e moderati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Meno accessi impropri al pronto soccorso, meno farmaci inappropriati, liste di attesa ridotte ai CSM</w:t>
            </w:r>
          </w:p>
        </w:tc>
      </w:tr>
      <w:tr>
        <w:tc>
          <w:tcPr/>
          <w:p>
            <w:pPr>
              <w:pStyle w:val="Compact"/>
              <w:spacing w:after="40" w:before="40"/>
              <w:jc w:val="left"/>
            </w:pPr>
            <w:r>
              <w:rPr>
                <w:rFonts w:ascii="Cambria" w:hAnsi="Cambria" w:cs="Cambria" w:eastAsia="Cambria"/>
                <w:b/>
                <w:bCs/>
                <w:color w:val="1A1A1A"/>
                <w:sz w:val="18"/>
              </w:rPr>
              <w:t xml:space="preserve">Esito sociale</w:t>
            </w:r>
          </w:p>
        </w:tc>
        <w:tc>
          <w:tcPr/>
          <w:p>
            <w:pPr>
              <w:pStyle w:val="Compact"/>
              <w:spacing w:after="40" w:before="40"/>
              <w:jc w:val="left"/>
            </w:pPr>
            <w:r>
              <w:rPr>
                <w:rFonts w:ascii="Cambria" w:hAnsi="Cambria" w:cs="Cambria" w:eastAsia="Cambria"/>
                <w:color w:val="1A1A1A"/>
                <w:sz w:val="18"/>
              </w:rPr>
              <w:t xml:space="preserve">Recupero di produttività e funzionamento, minor carico familiare, riduzione dell’isolamento nelle vallate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Meccanismo</w:t>
            </w:r>
          </w:p>
        </w:tc>
        <w:tc>
          <w:tcPr>
            <w:shd w:val="clear" w:color="auto" w:fill="F4F1EC"/>
          </w:tcPr>
          <w:p>
            <w:pPr>
              <w:pStyle w:val="Compact"/>
              <w:spacing w:after="40" w:before="40"/>
              <w:jc w:val="left"/>
            </w:pPr>
            <w:r>
              <w:rPr>
                <w:rFonts w:ascii="Cambria" w:hAnsi="Cambria" w:cs="Cambria" w:eastAsia="Cambria"/>
                <w:color w:val="1A1A1A"/>
                <w:sz w:val="18"/>
              </w:rPr>
              <w:t xml:space="preserve">Prevenzione secondaria: intercettare prima della cronicizzazione</w:t>
            </w:r>
          </w:p>
        </w:tc>
      </w:tr>
    </w:tbl>
    <w:p>
      <w:pPr>
        <w:pStyle w:val="BodyText"/>
      </w:pPr>
      <w:r>
        <w:rPr>
          <w:i/>
          <w:iCs/>
        </w:rPr>
        <w:t xml:space="preserve">Tabella C.1. La teoria del cambiamento dell’intervento, dal bisogno agli esiti.</w:t>
      </w:r>
    </w:p>
    <w:bookmarkEnd w:id="4005"/>
    <w:bookmarkStart w:id="4007" w:name="c.2-il-modello-organizzativo-18"/>
    <w:p>
      <w:pPr>
        <w:pStyle w:val="Heading3"/>
      </w:pPr>
      <w:r>
        <w:t xml:space="preserve">C.2 Il modello organizzativo</w:t>
      </w:r>
    </w:p>
    <w:p>
      <w:pPr>
        <w:pStyle w:val="FirstParagraph"/>
      </w:pPr>
      <w:r>
        <w:t xml:space="preserve">Il modello organizzativo colloca lo psicologo delle cure primarie nelle Case della Comunità e nei poliambulatori distrettuali, in collaborazione con i medici di medicina generale, i pediatri di libera scelta e i servizi di salute mentale dell’Azienda USL. Nella Valle d’Aosta la sfida organizzativa principale è duplice: la prima è garantire la copertura equa dei quattro distretti, con particolare attenzione alle vallate laterali più remote, dove l’accessibilità fisica è limitata dall’orografia e dalla stagionalità; la seconda è assicurare l’erogazione del servizio in entrambe le lingue ufficiali, italiano e francese, come condizione di accesso effettivo per tutti i residenti. La rete territoriale delle Case della Comunità, in costruzione in applicazione del DM 77/2022, è l’infrastruttura su cui il servizio va innestato, con presenze programmate nelle sedi distrettuali e nei comuni più popolosi delle vallate. Il funzionamento segue il principio dell’intensità crescente: l’intervento parte dal livello meno intensivo appropriato e cresce solo se necessario, con criteri espliciti di passaggio di livello e di invio ai Centri di Salute Mentale.</w:t>
      </w:r>
      <w:r>
        <w:rPr>
          <w:rStyle w:val="FootnoteReference"/>
        </w:rPr>
        <w:footnoteReference w:id="3804"/>
      </w:r>
    </w:p>
    <w:bookmarkEnd w:id="4007"/>
    <w:bookmarkStart w:id="4008" w:name="X3ab0ac07e9683633e11cff5e8642429a7dd3527"/>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Centri di Salute Mentale e ai servizi specialistici dell’Azienda USL. Il percorso affronta i quadri più frequenti — dalla sintomatologia ansioso-depressiva ai problemi di adattamento e ai disturbi psicosomatici — con particolare attenzione al bisogno dell’anzianità, prevalente in una delle regioni più anziane d’Italia, e al disagio connesso all’isolamento nelle vallate. Gli esiti sono misurati con strumenti validati e di uso internazionale, impiegati nei soli punteggi complessivi: il questionario a nove voci sui sintomi depressivi (PHQ-9) e la scala a sette voci per il disturbo d’ansia generalizzata (GAD-7). Le situazioni di rischio sono individuate precocemente e indirizzate ai servizi specialistici e di emergenza secondo protocolli definiti.</w:t>
      </w:r>
    </w:p>
    <w:tbl>
      <w:tblPr>
        <w:tblStyle w:val="Table"/>
        <w:tblW w:type="pct" w:w="492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43"/>
        <w:gridCol w:w="56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Tipologia di esito</w:t>
            </w:r>
          </w:p>
        </w:tc>
        <w:tc>
          <w:tcPr>
            <w:shd w:val="clear" w:color="auto" w:fill="16264B"/>
          </w:tcPr>
          <w:p>
            <w:pPr>
              <w:pStyle w:val="Compact"/>
              <w:spacing w:after="40" w:before="40"/>
              <w:jc w:val="left"/>
            </w:pPr>
            <w:r>
              <w:rPr>
                <w:rFonts w:ascii="Cambria" w:hAnsi="Cambria" w:cs="Cambria" w:eastAsia="Cambria"/>
                <w:b/>
                <w:bCs/>
                <w:color w:val="FFFFFF"/>
                <w:sz w:val="18"/>
              </w:rPr>
              <w:t xml:space="preserve">Indicatori</w:t>
            </w:r>
          </w:p>
        </w:tc>
      </w:tr>
      <w:tr>
        <w:tc>
          <w:tcPr/>
          <w:p>
            <w:pPr>
              <w:pStyle w:val="Compact"/>
              <w:spacing w:after="40" w:before="40"/>
              <w:jc w:val="left"/>
            </w:pPr>
            <w:r>
              <w:rPr>
                <w:rFonts w:ascii="Cambria" w:hAnsi="Cambria" w:cs="Cambria" w:eastAsia="Cambria"/>
                <w:b/>
                <w:bCs/>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Quota di miglioramento clinico e tasso di recupero (PHQ-9, GAD-7)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clinici secondari</w:t>
            </w:r>
          </w:p>
        </w:tc>
        <w:tc>
          <w:tcPr>
            <w:shd w:val="clear" w:color="auto" w:fill="F4F1EC"/>
          </w:tcPr>
          <w:p>
            <w:pPr>
              <w:pStyle w:val="Compact"/>
              <w:spacing w:after="40" w:before="40"/>
              <w:jc w:val="left"/>
            </w:pPr>
            <w:r>
              <w:rPr>
                <w:rFonts w:ascii="Cambria" w:hAnsi="Cambria" w:cs="Cambria" w:eastAsia="Cambria"/>
                <w:color w:val="1A1A1A"/>
                <w:sz w:val="18"/>
              </w:rPr>
              <w:t xml:space="preserve">Remissione; riduzione dei punteggi; soddisfazione e qualità di vita</w:t>
            </w:r>
          </w:p>
        </w:tc>
      </w:tr>
      <w:tr>
        <w:tc>
          <w:tcPr/>
          <w:p>
            <w:pPr>
              <w:pStyle w:val="Compact"/>
              <w:spacing w:after="40" w:before="40"/>
              <w:jc w:val="left"/>
            </w:pPr>
            <w:r>
              <w:rPr>
                <w:rFonts w:ascii="Cambria" w:hAnsi="Cambria" w:cs="Cambria" w:eastAsia="Cambria"/>
                <w:b/>
                <w:bCs/>
                <w:color w:val="1A1A1A"/>
                <w:sz w:val="18"/>
              </w:rPr>
              <w:t xml:space="preserve">Esiti di processo</w:t>
            </w:r>
          </w:p>
        </w:tc>
        <w:tc>
          <w:tcPr/>
          <w:p>
            <w:pPr>
              <w:pStyle w:val="Compact"/>
              <w:spacing w:after="40" w:before="40"/>
              <w:jc w:val="left"/>
            </w:pPr>
            <w:r>
              <w:rPr>
                <w:rFonts w:ascii="Cambria" w:hAnsi="Cambria" w:cs="Cambria" w:eastAsia="Cambria"/>
                <w:color w:val="1A1A1A"/>
                <w:sz w:val="18"/>
              </w:rPr>
              <w:t xml:space="preserve">Prese in carico; attesa al primo colloquio; colloqui per persona; tasso di invio appropriato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Esiti di impatto e utilizzo</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connessi; psicofarmaci; consulti e ricoveri evitabili</w:t>
            </w:r>
          </w:p>
        </w:tc>
      </w:tr>
    </w:tbl>
    <w:p>
      <w:pPr>
        <w:pStyle w:val="BodyText"/>
      </w:pPr>
      <w:r>
        <w:rPr>
          <w:i/>
          <w:iCs/>
        </w:rPr>
        <w:t xml:space="preserve">Tabella C.2. Le categorie di esito clinico e organizzativo del percorso.</w:t>
      </w:r>
    </w:p>
    <w:bookmarkEnd w:id="4008"/>
    <w:bookmarkStart w:id="4010" w:name="X038d41dfcfce6560ae30fe138ce351097b8006a"/>
    <w:p>
      <w:pPr>
        <w:pStyle w:val="Heading3"/>
      </w:pPr>
      <w:r>
        <w:t xml:space="preserve">C.4 Il sistema informativo e l’interoperabilità</w:t>
      </w:r>
    </w:p>
    <w:p>
      <w:pPr>
        <w:pStyle w:val="FirstParagraph"/>
      </w:pPr>
      <w:r>
        <w:t xml:space="preserve">La registrazione strutturata dell’attività e degli esiti, integrata con il sistema informativo dell’Azienda USL e con il fascicolo sanitario elettronico, è condizione del monitoraggio continuo e della valutazione. La Valle d’Aosta dispone di un’unica azienda sanitaria, il che semplifica significativamente il coordinamento informativo rispetto alle regioni con più aziende: la raccolta uniforme dei dati di processo e di esito può essere impostata fin dall’avvio del servizio in forma strutturata e completa, costituendo una base di dati propri che consentirà, nel tempo, di sostituire le stime ricavate dai benchmark con grandezze effettive. Il sistema informativo deve assicurare la disaggregazione per distretto e per vallata, per consentire la verifica dell’equità di accesso, e la compatibilità bilingue nell’interfaccia con il paziente.</w:t>
      </w:r>
      <w:r>
        <w:rPr>
          <w:rStyle w:val="FootnoteReference"/>
        </w:rPr>
        <w:footnoteReference w:id="3805"/>
      </w:r>
    </w:p>
    <w:bookmarkEnd w:id="4010"/>
    <w:bookmarkStart w:id="4011" w:name="X633c525da5f001ff545f41fda1669ba5196c27a"/>
    <w:p>
      <w:pPr>
        <w:pStyle w:val="Heading3"/>
      </w:pPr>
      <w:r>
        <w:t xml:space="preserve">C.5 Gli strumenti digitali e l’intelligenza artificiale</w:t>
      </w:r>
    </w:p>
    <w:p>
      <w:pPr>
        <w:pStyle w:val="FirstParagraph"/>
      </w:pPr>
      <w:r>
        <w:t xml:space="preserve">Gli strumenti digitali e di intelligenza artificiale sono concepiti come ausilio del clinico, mai come sua sostituzione. Nel caso della Valle d’Aosta la telepsicologia e il telemonitoraggio assistiti assumono un rilievo particolare, non disponibile in nessun’altra regione della serie nella stessa misura: la rete delle vallate laterali a popolazione dispersa e la stagionalità turistica, che concentra la popolazione nelle valli nei mesi invernali ed estivi e la disperde nella bassa stagione, rendono la telepsicologia lo strumento principale per garantire la continuità del percorso nelle aree più remote e per assicurare la disponibilità del servizio anche nei periodi di bassa accessibilità fisica. La tabella seguente riepiloga funzioni e condizioni d’impiego.</w:t>
      </w:r>
    </w:p>
    <w:tbl>
      <w:tblPr>
        <w:tblStyle w:val="Table"/>
        <w:tblW w:type="pct" w:w="494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108"/>
        <w:gridCol w:w="4170"/>
        <w:gridCol w:w="154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modalità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Funzione</w:t>
            </w:r>
          </w:p>
        </w:tc>
        <w:tc>
          <w:tcPr>
            <w:shd w:val="clear" w:color="auto" w:fill="16264B"/>
          </w:tcPr>
          <w:p>
            <w:pPr>
              <w:pStyle w:val="Compact"/>
              <w:spacing w:after="40" w:before="40"/>
              <w:jc w:val="left"/>
            </w:pPr>
            <w:r>
              <w:rPr>
                <w:rFonts w:ascii="Cambria" w:hAnsi="Cambria" w:cs="Cambria" w:eastAsia="Cambria"/>
                <w:b/>
                <w:bCs/>
                <w:color w:val="FFFFFF"/>
                <w:sz w:val="18"/>
              </w:rPr>
              <w:t xml:space="preserve">Condizione d’impiego</w:t>
            </w:r>
          </w:p>
        </w:tc>
      </w:tr>
      <w:tr>
        <w:tc>
          <w:tcPr/>
          <w:p>
            <w:pPr>
              <w:pStyle w:val="Compact"/>
              <w:spacing w:after="40" w:before="40"/>
              <w:jc w:val="left"/>
            </w:pPr>
            <w:r>
              <w:rPr>
                <w:rFonts w:ascii="Cambria" w:hAnsi="Cambria" w:cs="Cambria" w:eastAsia="Cambria"/>
                <w:b/>
                <w:bCs/>
                <w:color w:val="1A1A1A"/>
                <w:sz w:val="18"/>
              </w:rPr>
              <w:t xml:space="preserve">Triage e screening assistiti</w:t>
            </w:r>
          </w:p>
        </w:tc>
        <w:tc>
          <w:tcPr/>
          <w:p>
            <w:pPr>
              <w:pStyle w:val="Compact"/>
              <w:spacing w:after="40" w:before="40"/>
              <w:jc w:val="left"/>
            </w:pPr>
            <w:r>
              <w:rPr>
                <w:rFonts w:ascii="Cambria" w:hAnsi="Cambria" w:cs="Cambria" w:eastAsia="Cambria"/>
                <w:color w:val="1A1A1A"/>
                <w:sz w:val="18"/>
              </w:rPr>
              <w:t xml:space="preserve">Indirizzamento e individuazione precoce</w:t>
            </w:r>
          </w:p>
        </w:tc>
        <w:tc>
          <w:tcPr/>
          <w:p>
            <w:pPr>
              <w:pStyle w:val="Compact"/>
              <w:spacing w:after="40" w:before="40"/>
              <w:jc w:val="left"/>
            </w:pPr>
            <w:r>
              <w:rPr>
                <w:rFonts w:ascii="Cambria" w:hAnsi="Cambria" w:cs="Cambria" w:eastAsia="Cambria"/>
                <w:color w:val="1A1A1A"/>
                <w:sz w:val="18"/>
              </w:rPr>
              <w:t xml:space="preserve">Sotto supervisione clinica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Supporto decisionale e sintesi clinica</w:t>
            </w:r>
          </w:p>
        </w:tc>
        <w:tc>
          <w:tcPr>
            <w:shd w:val="clear" w:color="auto" w:fill="F4F1EC"/>
          </w:tcPr>
          <w:p>
            <w:pPr>
              <w:pStyle w:val="Compact"/>
              <w:spacing w:after="40" w:before="40"/>
              <w:jc w:val="left"/>
            </w:pPr>
            <w:r>
              <w:rPr>
                <w:rFonts w:ascii="Cambria" w:hAnsi="Cambria" w:cs="Cambria" w:eastAsia="Cambria"/>
                <w:color w:val="1A1A1A"/>
                <w:sz w:val="18"/>
              </w:rPr>
              <w:t xml:space="preserve">Ausilio al professionista</w:t>
            </w:r>
          </w:p>
        </w:tc>
        <w:tc>
          <w:tcPr>
            <w:shd w:val="clear" w:color="auto" w:fill="F4F1EC"/>
          </w:tcPr>
          <w:p>
            <w:pPr>
              <w:pStyle w:val="Compact"/>
              <w:spacing w:after="40" w:before="40"/>
              <w:jc w:val="left"/>
            </w:pPr>
            <w:r>
              <w:rPr>
                <w:rFonts w:ascii="Cambria" w:hAnsi="Cambria" w:cs="Cambria" w:eastAsia="Cambria"/>
                <w:color w:val="1A1A1A"/>
                <w:sz w:val="18"/>
              </w:rPr>
              <w:t xml:space="preserve">Non vincolante</w:t>
            </w:r>
          </w:p>
        </w:tc>
      </w:tr>
      <w:tr>
        <w:tc>
          <w:tcPr/>
          <w:p>
            <w:pPr>
              <w:pStyle w:val="Compact"/>
              <w:spacing w:after="40" w:before="40"/>
              <w:jc w:val="left"/>
            </w:pPr>
            <w:r>
              <w:rPr>
                <w:rFonts w:ascii="Cambria" w:hAnsi="Cambria" w:cs="Cambria" w:eastAsia="Cambria"/>
                <w:b/>
                <w:bCs/>
                <w:color w:val="1A1A1A"/>
                <w:sz w:val="18"/>
              </w:rPr>
              <w:t xml:space="preserve">Riduzione del carico amministrativo</w:t>
            </w:r>
          </w:p>
        </w:tc>
        <w:tc>
          <w:tcPr/>
          <w:p>
            <w:pPr>
              <w:pStyle w:val="Compact"/>
              <w:spacing w:after="40" w:before="40"/>
              <w:jc w:val="left"/>
            </w:pPr>
            <w:r>
              <w:rPr>
                <w:rFonts w:ascii="Cambria" w:hAnsi="Cambria" w:cs="Cambria" w:eastAsia="Cambria"/>
                <w:color w:val="1A1A1A"/>
                <w:sz w:val="18"/>
              </w:rPr>
              <w:t xml:space="preserve">Automazione appropriata</w:t>
            </w:r>
          </w:p>
        </w:tc>
        <w:tc>
          <w:tcPr/>
          <w:p>
            <w:pPr>
              <w:pStyle w:val="Compact"/>
              <w:spacing w:after="40" w:before="40"/>
              <w:jc w:val="left"/>
            </w:pPr>
            <w:r>
              <w:rPr>
                <w:rFonts w:ascii="Cambria" w:hAnsi="Cambria" w:cs="Cambria" w:eastAsia="Cambria"/>
                <w:color w:val="1A1A1A"/>
                <w:sz w:val="18"/>
              </w:rPr>
              <w:t xml:space="preserve">Tempo restituito alla cura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Telepsicologia e telemonitoraggio</w:t>
            </w:r>
          </w:p>
        </w:tc>
        <w:tc>
          <w:tcPr>
            <w:shd w:val="clear" w:color="auto" w:fill="F4F1EC"/>
          </w:tcPr>
          <w:p>
            <w:pPr>
              <w:pStyle w:val="Compact"/>
              <w:spacing w:after="40" w:before="40"/>
              <w:jc w:val="left"/>
            </w:pPr>
            <w:r>
              <w:rPr>
                <w:rFonts w:ascii="Cambria" w:hAnsi="Cambria" w:cs="Cambria" w:eastAsia="Cambria"/>
                <w:color w:val="1A1A1A"/>
                <w:sz w:val="18"/>
              </w:rPr>
              <w:t xml:space="preserve">Accesso nelle vallate remote; continuità nelle stagionalità; bilingue a distanza</w:t>
            </w:r>
          </w:p>
        </w:tc>
        <w:tc>
          <w:tcPr>
            <w:shd w:val="clear" w:color="auto" w:fill="F4F1EC"/>
          </w:tcPr>
          <w:p>
            <w:pPr>
              <w:pStyle w:val="Compact"/>
              <w:spacing w:after="40" w:before="40"/>
              <w:jc w:val="left"/>
            </w:pPr>
            <w:r>
              <w:rPr>
                <w:rFonts w:ascii="Cambria" w:hAnsi="Cambria" w:cs="Cambria" w:eastAsia="Cambria"/>
                <w:color w:val="1A1A1A"/>
                <w:sz w:val="18"/>
              </w:rPr>
              <w:t xml:space="preserve">Complementare, non sostitutiva</w:t>
            </w:r>
          </w:p>
        </w:tc>
      </w:tr>
      <w:tr>
        <w:tc>
          <w:tcPr/>
          <w:p>
            <w:pPr>
              <w:pStyle w:val="Compact"/>
              <w:spacing w:after="40" w:before="40"/>
              <w:jc w:val="left"/>
            </w:pPr>
            <w:r>
              <w:rPr>
                <w:rFonts w:ascii="Cambria" w:hAnsi="Cambria" w:cs="Cambria" w:eastAsia="Cambria"/>
                <w:b/>
                <w:bCs/>
                <w:color w:val="1A1A1A"/>
                <w:sz w:val="18"/>
              </w:rPr>
              <w:t xml:space="preserve">Dispositivi terapeutici digitali</w:t>
            </w:r>
          </w:p>
        </w:tc>
        <w:tc>
          <w:tcPr/>
          <w:p>
            <w:pPr>
              <w:pStyle w:val="Compact"/>
              <w:spacing w:after="40" w:before="40"/>
              <w:jc w:val="left"/>
            </w:pPr>
            <w:r>
              <w:rPr>
                <w:rFonts w:ascii="Cambria" w:hAnsi="Cambria" w:cs="Cambria" w:eastAsia="Cambria"/>
                <w:color w:val="1A1A1A"/>
                <w:sz w:val="18"/>
              </w:rPr>
              <w:t xml:space="preserve">Intervento validato e prescritto</w:t>
            </w:r>
          </w:p>
        </w:tc>
        <w:tc>
          <w:tcPr/>
          <w:p>
            <w:pPr>
              <w:pStyle w:val="Compact"/>
              <w:spacing w:after="40" w:before="40"/>
              <w:jc w:val="left"/>
            </w:pPr>
            <w:r>
              <w:rPr>
                <w:rFonts w:ascii="Cambria" w:hAnsi="Cambria" w:cs="Cambria" w:eastAsia="Cambria"/>
                <w:color w:val="1A1A1A"/>
                <w:sz w:val="18"/>
              </w:rPr>
              <w:t xml:space="preserve">Conformi a dispositivo medico</w:t>
            </w:r>
          </w:p>
        </w:tc>
      </w:tr>
    </w:tbl>
    <w:p>
      <w:pPr>
        <w:pStyle w:val="BodyText"/>
      </w:pPr>
      <w:r>
        <w:rPr>
          <w:i/>
          <w:iCs/>
        </w:rPr>
        <w:t xml:space="preserve">Tabella C.3. Gli strumenti digitali e di intelligenza artificiale a supporto del servizio.</w:t>
      </w:r>
    </w:p>
    <w:bookmarkEnd w:id="4011"/>
    <w:bookmarkStart w:id="4012" w:name="c.6-la-formazione-e-le-competenze-15"/>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con attenzione alla collaborazione con l’Università della Valle d’Aosta e con gli atenei piemontesi, che storicamente alimentano il bacino professionale regionale. Il livello post-universitario specialistico prevede una formazione dedicata alla psicologia delle cure primarie, comprensiva delle specificità del contesto valdostano: il disagio dell’anzianità, le problematiche connesse all’isolamento montano, le competenze bilingui italiano-francese. Il livello continuo prevede l’aggiornamento in servizio, l’audit clinico e la formazione a distanza. Il livello dell’affiancamento operativo garantisce il tutoraggio nelle prime settimane di servizio. A questi quattro livelli si aggiunge una componente trasversale sull’intelligenza artificiale. La Valle d’Aosta, pur piccola, dispone di un bacino professionale accessibile grazie alla prossimità ai grandi centri universitari del Piemonte.</w:t>
      </w:r>
    </w:p>
    <w:tbl>
      <w:tblPr>
        <w:tblStyle w:val="Table"/>
        <w:tblW w:type="pct" w:w="496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269"/>
        <w:gridCol w:w="4897"/>
        <w:gridCol w:w="169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Livello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r>
              <w:rPr>
                <w:rFonts w:ascii="Cambria" w:hAnsi="Cambria" w:cs="Cambria" w:eastAsia="Cambria"/>
                <w:b/>
                <w:color w:val="FFFFFF"/>
                <w:sz w:val="18"/>
              </w:rPr>
              <w:t xml:space="preserve"> </w:t>
            </w:r>
            <w:r>
              <w:rPr>
                <w:rFonts w:ascii="Cambria" w:hAnsi="Cambria" w:cs="Cambria" w:eastAsia="Cambria"/>
                <w:b/>
                <w:bCs/>
                <w:color w:val="FFFFFF"/>
                <w:sz w:val="18"/>
              </w:rPr>
              <w:t xml:space="preserve">Soggetti e modalità</w:t>
            </w:r>
          </w:p>
        </w:tc>
        <w:tc>
          <w:tcPr>
            <w:shd w:val="clear" w:color="auto" w:fill="16264B"/>
          </w:tcPr>
          <w:p>
            <w:pPr>
              <w:pStyle w:val="Compact"/>
              <w:spacing w:after="40" w:before="40"/>
              <w:jc w:val="left"/>
            </w:pPr>
          </w:p>
        </w:tc>
      </w:tr>
      <w:tr>
        <w:tc>
          <w:tcPr/>
          <w:p>
            <w:pPr>
              <w:pStyle w:val="Compact"/>
              <w:spacing w:after="40" w:before="40"/>
              <w:jc w:val="left"/>
            </w:pPr>
            <w:r>
              <w:rPr>
                <w:rFonts w:ascii="Cambria" w:hAnsi="Cambria" w:cs="Cambria" w:eastAsia="Cambria"/>
                <w:b/>
                <w:bCs/>
                <w:color w:val="1A1A1A"/>
                <w:sz w:val="18"/>
              </w:rPr>
              <w:t xml:space="preserve">1. Universitario</w:t>
            </w:r>
          </w:p>
        </w:tc>
        <w:tc>
          <w:tcPr/>
          <w:p>
            <w:pPr>
              <w:pStyle w:val="Compact"/>
              <w:spacing w:after="40" w:before="40"/>
              <w:jc w:val="left"/>
            </w:pPr>
            <w:r>
              <w:rPr>
                <w:rFonts w:ascii="Cambria" w:hAnsi="Cambria" w:cs="Cambria" w:eastAsia="Cambria"/>
                <w:color w:val="1A1A1A"/>
                <w:sz w:val="18"/>
              </w:rPr>
              <w:t xml:space="preserve">Curricula e tirocini nei percorsi di studio Università della Valle d’Aosta;</w:t>
            </w:r>
          </w:p>
        </w:tc>
        <w:tc>
          <w:tcPr/>
          <w:p>
            <w:pPr>
              <w:pStyle w:val="Compact"/>
              <w:spacing w:after="40" w:before="40"/>
              <w:jc w:val="left"/>
            </w:pPr>
            <w:r>
              <w:rPr>
                <w:rFonts w:ascii="Cambria" w:hAnsi="Cambria" w:cs="Cambria" w:eastAsia="Cambria"/>
                <w:color w:val="1A1A1A"/>
                <w:sz w:val="18"/>
              </w:rPr>
              <w:t xml:space="preserve">atenei piemontesi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2. Post-universitario specialistico</w:t>
            </w:r>
          </w:p>
        </w:tc>
        <w:tc>
          <w:tcPr>
            <w:shd w:val="clear" w:color="auto" w:fill="F4F1EC"/>
          </w:tcPr>
          <w:p>
            <w:pPr>
              <w:pStyle w:val="Compact"/>
              <w:spacing w:after="40" w:before="40"/>
              <w:jc w:val="left"/>
            </w:pPr>
            <w:r>
              <w:rPr>
                <w:rFonts w:ascii="Cambria" w:hAnsi="Cambria" w:cs="Cambria" w:eastAsia="Cambria"/>
                <w:color w:val="1A1A1A"/>
                <w:sz w:val="18"/>
              </w:rPr>
              <w:t xml:space="preserve">Psicologia delle cure primarie: modelli organizzativi, disagio dell’anzianità, isolamento montano, competenze bilingui (italiano-francese) Formazione dedicata;</w:t>
            </w:r>
          </w:p>
        </w:tc>
        <w:tc>
          <w:tcPr>
            <w:shd w:val="clear" w:color="auto" w:fill="F4F1EC"/>
          </w:tcPr>
          <w:p>
            <w:pPr>
              <w:pStyle w:val="Compact"/>
              <w:spacing w:after="40" w:before="40"/>
              <w:jc w:val="left"/>
            </w:pPr>
            <w:r>
              <w:rPr>
                <w:rFonts w:ascii="Cambria" w:hAnsi="Cambria" w:cs="Cambria" w:eastAsia="Cambria"/>
                <w:color w:val="1A1A1A"/>
                <w:sz w:val="18"/>
              </w:rPr>
              <w:t xml:space="preserve">Azienda USL Valle d’Aosta</w:t>
            </w:r>
          </w:p>
        </w:tc>
      </w:tr>
      <w:tr>
        <w:tc>
          <w:tcPr/>
          <w:p>
            <w:pPr>
              <w:pStyle w:val="Compact"/>
              <w:spacing w:after="40" w:before="40"/>
              <w:jc w:val="left"/>
            </w:pPr>
            <w:r>
              <w:rPr>
                <w:rFonts w:ascii="Cambria" w:hAnsi="Cambria" w:cs="Cambria" w:eastAsia="Cambria"/>
                <w:b/>
                <w:bCs/>
                <w:color w:val="1A1A1A"/>
                <w:sz w:val="18"/>
              </w:rPr>
              <w:t xml:space="preserve">3. Continuo (lavorativo)</w:t>
            </w:r>
          </w:p>
        </w:tc>
        <w:tc>
          <w:tcPr/>
          <w:p>
            <w:pPr>
              <w:pStyle w:val="Compact"/>
              <w:spacing w:after="40" w:before="40"/>
              <w:jc w:val="left"/>
            </w:pPr>
            <w:r>
              <w:rPr>
                <w:rFonts w:ascii="Cambria" w:hAnsi="Cambria" w:cs="Cambria" w:eastAsia="Cambria"/>
                <w:color w:val="1A1A1A"/>
                <w:sz w:val="18"/>
              </w:rPr>
              <w:t xml:space="preserve">Aggiornamento in servizio, audit clinico, revisione tra pari, formazione a distanza Educazione continua in medicina</w:t>
            </w:r>
          </w:p>
        </w:tc>
        <w:tc>
          <w:tcPr/>
          <w:p>
            <w:pPr>
              <w:pStyle w:val="Compact"/>
              <w:spacing w:after="40" w:before="40"/>
              <w:jc w:val="left"/>
            </w:pPr>
          </w:p>
        </w:tc>
      </w:tr>
      <w:tr>
        <w:tc>
          <w:tcPr>
            <w:shd w:val="clear" w:color="auto" w:fill="F4F1EC"/>
          </w:tcPr>
          <w:p>
            <w:pPr>
              <w:pStyle w:val="Compact"/>
              <w:spacing w:after="40" w:before="40"/>
              <w:jc w:val="left"/>
            </w:pPr>
            <w:r>
              <w:rPr>
                <w:rFonts w:ascii="Cambria" w:hAnsi="Cambria" w:cs="Cambria" w:eastAsia="Cambria"/>
                <w:b/>
                <w:bCs/>
                <w:color w:val="1A1A1A"/>
                <w:sz w:val="18"/>
              </w:rPr>
              <w:t xml:space="preserve">4. Affiancamento operativo</w:t>
            </w:r>
          </w:p>
        </w:tc>
        <w:tc>
          <w:tcPr>
            <w:shd w:val="clear" w:color="auto" w:fill="F4F1EC"/>
          </w:tcPr>
          <w:p>
            <w:pPr>
              <w:pStyle w:val="Compact"/>
              <w:spacing w:after="40" w:before="40"/>
              <w:jc w:val="left"/>
            </w:pPr>
            <w:r>
              <w:rPr>
                <w:rFonts w:ascii="Cambria" w:hAnsi="Cambria" w:cs="Cambria" w:eastAsia="Cambria"/>
                <w:color w:val="1A1A1A"/>
                <w:sz w:val="18"/>
              </w:rPr>
              <w:t xml:space="preserve">Tutoraggio sul campo nelle prime settimane e inserimento graduale Tutor aziendali; supervisione</w:t>
            </w:r>
          </w:p>
        </w:tc>
        <w:tc>
          <w:tcPr>
            <w:shd w:val="clear" w:color="auto" w:fill="F4F1EC"/>
          </w:tcPr>
          <w:p>
            <w:pPr>
              <w:pStyle w:val="Compact"/>
              <w:spacing w:after="40" w:before="40"/>
              <w:jc w:val="left"/>
            </w:pPr>
          </w:p>
        </w:tc>
      </w:tr>
      <w:tr>
        <w:tc>
          <w:tcPr/>
          <w:p>
            <w:pPr>
              <w:pStyle w:val="Compact"/>
              <w:spacing w:after="40" w:before="40"/>
              <w:jc w:val="left"/>
            </w:pPr>
            <w:r>
              <w:rPr>
                <w:rFonts w:ascii="Cambria" w:hAnsi="Cambria" w:cs="Cambria" w:eastAsia="Cambria"/>
                <w:b/>
                <w:bCs/>
                <w:color w:val="1A1A1A"/>
                <w:sz w:val="18"/>
              </w:rPr>
              <w:t xml:space="preserve">Componente IA (trasversale)</w:t>
            </w:r>
          </w:p>
        </w:tc>
        <w:tc>
          <w:tcPr/>
          <w:p>
            <w:pPr>
              <w:pStyle w:val="Compact"/>
              <w:spacing w:after="40" w:before="40"/>
              <w:jc w:val="left"/>
            </w:pPr>
            <w:r>
              <w:rPr>
                <w:rFonts w:ascii="Cambria" w:hAnsi="Cambria" w:cs="Cambria" w:eastAsia="Cambria"/>
                <w:color w:val="1A1A1A"/>
                <w:sz w:val="18"/>
              </w:rPr>
              <w:t xml:space="preserve">Selezione e uso degli strumenti digitali e dei dispositivi validati, interpretazione degli esiti, conformità Moduli in tutti i livelli</w:t>
            </w:r>
          </w:p>
        </w:tc>
        <w:tc>
          <w:tcPr/>
          <w:p>
            <w:pPr>
              <w:pStyle w:val="Compact"/>
              <w:spacing w:after="40" w:before="40"/>
              <w:jc w:val="left"/>
            </w:pPr>
          </w:p>
        </w:tc>
      </w:tr>
    </w:tbl>
    <w:p>
      <w:pPr>
        <w:pStyle w:val="BodyText"/>
      </w:pPr>
      <w:r>
        <w:rPr>
          <w:i/>
          <w:iCs/>
        </w:rPr>
        <w:t xml:space="preserve">Tabella C.4. Il programma formativo a quattro livelli, con la componente trasversale sull’intelligenza artificiale.</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4012"/>
    <w:bookmarkEnd w:id="4013"/>
    <w:bookmarkStart w:id="4023" w:name="parte-d-efficacia-clinica-ed-evidenza-12"/>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dove la Valle d’Aosta parte da zero in assenza di qualunque forma di servizio. La parte espone il metodo della revisione e i risultati di efficacia (capitolo D.1); ne gradua la qualità e ne dichiara una cautela economica essenziale (D.2); presenta i benchmark internazionali (D.3); e discute le esperienze italiane, la trasferibilità e le condizioni locali (D.4).</w:t>
      </w:r>
    </w:p>
    <w:bookmarkStart w:id="4016" w:name="Xc72b3707b1a4dc04ab66c28d4cf781baf598113"/>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Il nucleo dell’evidenza proviene dal modello della cura collaborativa, di cui lo studio fondativo ha documentato che circa la metà dei pazienti trattati conseguiva una riduzione sostanziale dei sintomi a dodici mesi, contro meno di un quinto nella cura usuale.</w:t>
      </w:r>
      <w:r>
        <w:rPr>
          <w:rStyle w:val="FootnoteReference"/>
        </w:rPr>
        <w:footnoteReference w:id="3806"/>
      </w:r>
      <w:r>
        <w:t xml:space="preserve"> </w:t>
      </w:r>
      <w:r>
        <w:t xml:space="preserve">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w:t>
      </w:r>
      <w:r>
        <w:rPr>
          <w:rStyle w:val="FootnoteReference"/>
        </w:rPr>
        <w:footnoteReference w:id="3807"/>
      </w:r>
      <w:r>
        <w:t xml:space="preserve"> </w:t>
      </w:r>
      <w:r>
        <w:t xml:space="preserve">Sul versante dei dati reali, il programma inglese delle terapie psicologiche registra, su scala di oltre un milione di persone l’anno, un tasso di recupero del 50,2% e un miglioramento affidabile di oltre due terzi. Anche le sintesi più caute confermano un effetto di entità modesta sul singolo ma clinicamente rilevante sull’intera popolazione.</w:t>
      </w:r>
    </w:p>
    <w:bookmarkEnd w:id="4016"/>
    <w:bookmarkStart w:id="4018" w:name="X95fc38e09f8af72142e2ecb224317c339b5c795"/>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nello studio fondativo i risparmi sui costi sanitari diretti non risultano statisticamente significativi, poiché l’intervallo di confidenza al 95% comprende lo zero.</w:t>
      </w:r>
      <w:r>
        <w:rPr>
          <w:rStyle w:val="FootnoteReference"/>
        </w:rPr>
        <w:footnoteReference w:id="3808"/>
      </w:r>
      <w:r>
        <w:t xml:space="preserve"> </w:t>
      </w:r>
      <w:r>
        <w:t xml:space="preserve">Ciò significa che il valore economico del modello non può essere fondato sui risparmi sanitari diretti, ma poggia in misura preponderante sui ritorni sociali: una cautela che, lungi dall’indebolire il caso della Valle d’Aosta, ne corrobora la coerenza interna, poiché il caso economico della Valle d’Aosta è fondato anch’esso sulle ricadute sociali, e non su un risparmio diretto che il territorio non potrebbe rivendicare con certezza statistica.</w:t>
      </w:r>
    </w:p>
    <w:bookmarkEnd w:id="4018"/>
    <w:bookmarkStart w:id="4019" w:name="d.3-i-benchmark-internazionali-14"/>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(NHS Talking Therapies) è il riferimento principale per l’organizzazione: servizio integrato a intensità crescente, con tasso di recupero dell’ordine del 50% e monitoraggio degli esiti pressoché completo. Il modello olandese (POH-GGZ) integra una figura di supporto psicologico nello studio del medico di base, adottata dalla maggioranza dei medici, con ruolo complementare alla specialistica. Il modello australiano (Better Access), a invio esterno, ha innalzato di oltre dieci punti la quota di popolazione in trattamento. Il modello statunitense della cura collaborativa, validato da oltre novanta studi controllati, documenta riduzioni rilevanti della depressione e dei ricoveri.</w:t>
      </w:r>
    </w:p>
    <w:tbl>
      <w:tblPr>
        <w:tblStyle w:val="Table"/>
        <w:tblW w:type="pct" w:w="493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53"/>
        <w:gridCol w:w="2688"/>
        <w:gridCol w:w="308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Programma</w:t>
            </w:r>
          </w:p>
        </w:tc>
        <w:tc>
          <w:tcPr>
            <w:shd w:val="clear" w:color="auto" w:fill="16264B"/>
          </w:tcPr>
          <w:p>
            <w:pPr>
              <w:pStyle w:val="Compact"/>
              <w:spacing w:after="40" w:before="40"/>
              <w:jc w:val="left"/>
            </w:pPr>
            <w:r>
              <w:rPr>
                <w:rFonts w:ascii="Cambria" w:hAnsi="Cambria" w:cs="Cambria" w:eastAsia="Cambria"/>
                <w:b/>
                <w:bCs/>
                <w:color w:val="FFFFFF"/>
                <w:sz w:val="18"/>
              </w:rPr>
              <w:t xml:space="preserve">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Risultati principali</w:t>
            </w:r>
          </w:p>
        </w:tc>
      </w:tr>
      <w:tr>
        <w:tc>
          <w:tcPr/>
          <w:p>
            <w:pPr>
              <w:pStyle w:val="Compact"/>
              <w:spacing w:after="40" w:before="40"/>
              <w:jc w:val="left"/>
            </w:pPr>
            <w:r>
              <w:rPr>
                <w:rFonts w:ascii="Cambria" w:hAnsi="Cambria" w:cs="Cambria" w:eastAsia="Cambria"/>
                <w:b/>
                <w:bCs/>
                <w:color w:val="1A1A1A"/>
                <w:sz w:val="18"/>
              </w:rPr>
              <w:t xml:space="preserve">Regno Unito (NHS Talking Therapies)</w:t>
            </w:r>
          </w:p>
        </w:tc>
        <w:tc>
          <w:tcPr/>
          <w:p>
            <w:pPr>
              <w:pStyle w:val="Compact"/>
              <w:spacing w:after="40" w:before="40"/>
              <w:jc w:val="left"/>
            </w:pPr>
            <w:r>
              <w:rPr>
                <w:rFonts w:ascii="Cambria" w:hAnsi="Cambria" w:cs="Cambria" w:eastAsia="Cambria"/>
                <w:color w:val="1A1A1A"/>
                <w:sz w:val="18"/>
              </w:rPr>
              <w:t xml:space="preserve">Servizio integrato a intensità crescente</w:t>
            </w:r>
          </w:p>
        </w:tc>
        <w:tc>
          <w:tcPr/>
          <w:p>
            <w:pPr>
              <w:pStyle w:val="Compact"/>
              <w:spacing w:after="40" w:before="40"/>
              <w:jc w:val="left"/>
            </w:pPr>
            <w:r>
              <w:rPr>
                <w:rFonts w:ascii="Cambria" w:hAnsi="Cambria" w:cs="Cambria" w:eastAsia="Cambria"/>
                <w:color w:val="1A1A1A"/>
                <w:sz w:val="18"/>
              </w:rPr>
              <w:t xml:space="preserve">Recupero ~50%; monitoraggio esiti &gt;98%; &gt;1,3 milioni/anno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Paesi Bassi (POH-GGZ)</w:t>
            </w:r>
          </w:p>
        </w:tc>
        <w:tc>
          <w:tcPr>
            <w:shd w:val="clear" w:color="auto" w:fill="F4F1EC"/>
          </w:tcPr>
          <w:p>
            <w:pPr>
              <w:pStyle w:val="Compact"/>
              <w:spacing w:after="40" w:before="40"/>
              <w:jc w:val="left"/>
            </w:pPr>
            <w:r>
              <w:rPr>
                <w:rFonts w:ascii="Cambria" w:hAnsi="Cambria" w:cs="Cambria" w:eastAsia="Cambria"/>
                <w:color w:val="1A1A1A"/>
                <w:sz w:val="18"/>
              </w:rPr>
              <w:t xml:space="preserve">Supporto psicologico nello studio del medico di base</w:t>
            </w:r>
          </w:p>
        </w:tc>
        <w:tc>
          <w:tcPr>
            <w:shd w:val="clear" w:color="auto" w:fill="F4F1EC"/>
          </w:tcPr>
          <w:p>
            <w:pPr>
              <w:pStyle w:val="Compact"/>
              <w:spacing w:after="40" w:before="40"/>
              <w:jc w:val="left"/>
            </w:pPr>
            <w:r>
              <w:rPr>
                <w:rFonts w:ascii="Cambria" w:hAnsi="Cambria" w:cs="Cambria" w:eastAsia="Cambria"/>
                <w:color w:val="1A1A1A"/>
                <w:sz w:val="18"/>
              </w:rPr>
              <w:t xml:space="preserve">Adozione da ~tre quarti dei medici; ruolo complementare</w:t>
            </w:r>
          </w:p>
        </w:tc>
      </w:tr>
      <w:tr>
        <w:tc>
          <w:tcPr/>
          <w:p>
            <w:pPr>
              <w:pStyle w:val="Compact"/>
              <w:spacing w:after="40" w:before="40"/>
              <w:jc w:val="left"/>
            </w:pPr>
            <w:r>
              <w:rPr>
                <w:rFonts w:ascii="Cambria" w:hAnsi="Cambria" w:cs="Cambria" w:eastAsia="Cambria"/>
                <w:b/>
                <w:bCs/>
                <w:color w:val="1A1A1A"/>
                <w:sz w:val="18"/>
              </w:rPr>
              <w:t xml:space="preserve">Australia (Better Access)</w:t>
            </w:r>
          </w:p>
        </w:tc>
        <w:tc>
          <w:tcPr/>
          <w:p>
            <w:pPr>
              <w:pStyle w:val="Compact"/>
              <w:spacing w:after="40" w:before="40"/>
              <w:jc w:val="left"/>
            </w:pPr>
            <w:r>
              <w:rPr>
                <w:rFonts w:ascii="Cambria" w:hAnsi="Cambria" w:cs="Cambria" w:eastAsia="Cambria"/>
                <w:color w:val="1A1A1A"/>
                <w:sz w:val="18"/>
              </w:rPr>
              <w:t xml:space="preserve">Invio esterno a professionisti</w:t>
            </w:r>
          </w:p>
        </w:tc>
        <w:tc>
          <w:tcPr/>
          <w:p>
            <w:pPr>
              <w:pStyle w:val="Compact"/>
              <w:spacing w:after="40" w:before="40"/>
              <w:jc w:val="left"/>
            </w:pPr>
            <w:r>
              <w:rPr>
                <w:rFonts w:ascii="Cambria" w:hAnsi="Cambria" w:cs="Cambria" w:eastAsia="Cambria"/>
                <w:color w:val="1A1A1A"/>
                <w:sz w:val="18"/>
              </w:rPr>
              <w:t xml:space="preserve">Popolazione in trattamento dal 35% al 46%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Stati Uniti (Collaborative Care)</w:t>
            </w:r>
          </w:p>
        </w:tc>
        <w:tc>
          <w:tcPr>
            <w:shd w:val="clear" w:color="auto" w:fill="F4F1EC"/>
          </w:tcPr>
          <w:p>
            <w:pPr>
              <w:pStyle w:val="Compact"/>
              <w:spacing w:after="40" w:before="40"/>
              <w:jc w:val="left"/>
            </w:pPr>
            <w:r>
              <w:rPr>
                <w:rFonts w:ascii="Cambria" w:hAnsi="Cambria" w:cs="Cambria" w:eastAsia="Cambria"/>
                <w:color w:val="1A1A1A"/>
                <w:sz w:val="18"/>
              </w:rPr>
              <w:t xml:space="preserve">Équipe integrata con monitoraggio</w:t>
            </w:r>
          </w:p>
        </w:tc>
        <w:tc>
          <w:tcPr>
            <w:shd w:val="clear" w:color="auto" w:fill="F4F1EC"/>
          </w:tcPr>
          <w:p>
            <w:pPr>
              <w:pStyle w:val="Compact"/>
              <w:spacing w:after="40" w:before="40"/>
              <w:jc w:val="left"/>
            </w:pPr>
            <w:r>
              <w:rPr>
                <w:rFonts w:ascii="Cambria" w:hAnsi="Cambria" w:cs="Cambria" w:eastAsia="Cambria"/>
                <w:color w:val="1A1A1A"/>
                <w:sz w:val="18"/>
              </w:rPr>
              <w:t xml:space="preserve">Oltre 90 studi controllati; −47% depressione, −41% ricoveri</w:t>
            </w:r>
          </w:p>
        </w:tc>
      </w:tr>
    </w:tbl>
    <w:p>
      <w:pPr>
        <w:pStyle w:val="BodyText"/>
      </w:pPr>
      <w:r>
        <w:rPr>
          <w:i/>
          <w:iCs/>
        </w:rPr>
        <w:t xml:space="preserve">Tabella D.1. I benchmark internazionali dell’integrazione della salute mentale nelle cure primarie.</w:t>
      </w:r>
    </w:p>
    <w:bookmarkEnd w:id="4019"/>
    <w:bookmarkStart w:id="4022" w:name="X0687cd165ddc255aab737318fa370b3a17a3e38"/>
    <w:p>
      <w:pPr>
        <w:pStyle w:val="Heading3"/>
      </w:pPr>
      <w:r>
        <w:t xml:space="preserve">D.4 Le esperienze italiane, la trasferibilità e le condizioni locali</w:t>
      </w:r>
    </w:p>
    <w:p>
      <w:pPr>
        <w:pStyle w:val="FirstParagraph"/>
      </w:pPr>
      <w:r>
        <w:t xml:space="preserve">Sul piano nazionale, il quadro comprende i servizi avviati nelle regioni dotate di legge — fra cui la Campania, prima a istituire e attivare il servizio — e le esperienze pilota fondate su campioni limitati. La Valle d’Aosta, che non dispone di alcuna forma di psicologia territoriale di primo livello, parte da zero in assenza di qualunque base di dati propri: lo studio si fonda interamente sui benchmark internazionali, con la consapevolezza che la trasposizione richiede validazione locale, evitando di trasferire meccanicamente le stime, soprattutto quelle economiche.</w:t>
      </w:r>
      <w:r>
        <w:rPr>
          <w:rStyle w:val="FootnoteReference"/>
        </w:rPr>
        <w:footnoteReference w:id="3809"/>
      </w:r>
      <w:r>
        <w:t xml:space="preserve"> </w:t>
      </w:r>
      <w:r>
        <w:t xml:space="preserve">La condizione della Valle d’Aosta è dunque di impostare fin dall’avvio una rilevazione ben progettata, che consenta di generare dati propri man mano che il servizio si struttura a regime. Una precisazione di metodo accompagna l’intero studio: alcune cifre di larga circolazione — il rapporto di quattro a uno, l’affermazione per cui un euro ne genererebbe dieci — sono semplificazioni divulgative. Le stime metodologicamente fondate collocano il ritorno fra 2,3 e 3,0 a uno per i soli benefici economici e fra 3,3 e 5,7 a uno includendo i benefici di salute,</w:t>
      </w:r>
      <w:r>
        <w:rPr>
          <w:rStyle w:val="FootnoteReference"/>
        </w:rPr>
        <w:footnoteReference w:id="3810"/>
      </w:r>
      <w:r>
        <w:t xml:space="preserve"> </w:t>
      </w:r>
      <w:r>
        <w:t xml:space="preserve">e lo studio adotta prudenzialmente un rapporto beneficio-costo complessivo nell’ordine di 4,0–5,3 a uno, entro la banda Chisholm, per credibilità verso gli organi di controllo della finanza pubblica regionale.</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4022"/>
    <w:bookmarkEnd w:id="4023"/>
    <w:bookmarkStart w:id="4037" w:name="parte-e-valutazione-economica-12"/>
    <w:p>
      <w:pPr>
        <w:pStyle w:val="Heading2"/>
      </w:pPr>
      <w:r>
        <w:t xml:space="preserve">Parte E — Valutazione economica</w:t>
      </w:r>
    </w:p>
    <w:p>
      <w:pPr>
        <w:pStyle w:val="FirstParagraph"/>
      </w:pPr>
      <w:r>
        <w:t xml:space="preserve">Questa parte affronta il quinto dominio della valutazione, quello economico. Come per le altre regioni, l’impianto è invariante e mutano i valori, ancorati alla Valle d’Aosta.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(E.5); e valuta l’impatto sul bilancio e la sostenibilità (E.6). Per la Valle d’Aosta il risultato si lascia anticipare in una formula: il caso finanziario diretto è di disavanzo lieve ma modestissimo nell’assoluto e agevolmente sostenibile a fronte dell’autonomia finanziaria, il caso economico complessivo è fortemente positivo, e il valore dell’intervento risiede nelle ricadute sociali.</w:t>
      </w:r>
    </w:p>
    <w:bookmarkStart w:id="4025" w:name="e.1-limpianto-e-il-costo-del-servizio-7"/>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Il costo del servizio a regime assume un costo medio annuo per psicologo nell’ordine di 58.000–60.000 euro comprensivo degli oneri — riferimento elevato, coerente con il livello retributivo della Valle d’Aosta, simile a quello del Trentino-Alto Adige per il mercato del lavoro alpino — e ne deriva il costo totale del servizio nei tre scenari.</w:t>
      </w:r>
      <w:r>
        <w:rPr>
          <w:rStyle w:val="FootnoteReference"/>
        </w:rPr>
        <w:footnoteReference w:id="3811"/>
      </w:r>
      <w:r>
        <w:t xml:space="preserve"> </w:t>
      </w:r>
      <w:r>
        <w:t xml:space="preserve">La tabella seguente riepiloga il costo del servizio per scenario.</w:t>
      </w:r>
    </w:p>
    <w:tbl>
      <w:tblPr>
        <w:tblStyle w:val="Table"/>
        <w:tblW w:type="pct" w:w="48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54"/>
        <w:gridCol w:w="1851"/>
        <w:gridCol w:w="1851"/>
        <w:gridCol w:w="205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Scenario</w:t>
            </w:r>
          </w:p>
        </w:tc>
        <w:tc>
          <w:tcPr>
            <w:shd w:val="clear" w:color="auto" w:fill="16264B"/>
          </w:tcPr>
          <w:p>
            <w:pPr>
              <w:pStyle w:val="Compact"/>
              <w:spacing w:after="40" w:before="40"/>
              <w:jc w:val="left"/>
            </w:pPr>
            <w:r>
              <w:rPr>
                <w:rFonts w:ascii="Cambria" w:hAnsi="Cambria" w:cs="Cambria" w:eastAsia="Cambria"/>
                <w:b/>
                <w:bCs/>
                <w:color w:val="FFFFFF"/>
                <w:sz w:val="18"/>
              </w:rPr>
              <w:t xml:space="preserve">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Costo annuo</w:t>
            </w:r>
          </w:p>
        </w:tc>
        <w:tc>
          <w:tcPr>
            <w:shd w:val="clear" w:color="auto" w:fill="16264B"/>
          </w:tcPr>
          <w:p>
            <w:pPr>
              <w:pStyle w:val="Compact"/>
              <w:spacing w:after="40" w:before="40"/>
              <w:jc w:val="left"/>
            </w:pPr>
            <w:r>
              <w:rPr>
                <w:rFonts w:ascii="Cambria" w:hAnsi="Cambria" w:cs="Cambria" w:eastAsia="Cambria"/>
                <w:b/>
                <w:bCs/>
                <w:color w:val="FFFFFF"/>
                <w:sz w:val="18"/>
              </w:rPr>
              <w:t xml:space="preserve">Quota del FSR</w:t>
            </w:r>
          </w:p>
        </w:tc>
      </w:tr>
      <w:tr>
        <w:tc>
          <w:tcPr/>
          <w:p>
            <w:pPr>
              <w:pStyle w:val="Compact"/>
              <w:spacing w:after="40" w:before="40"/>
              <w:jc w:val="left"/>
            </w:pPr>
            <w:r>
              <w:rPr>
                <w:rFonts w:ascii="Cambria" w:hAnsi="Cambria" w:cs="Cambria" w:eastAsia="Cambria"/>
                <w:b/>
                <w:bCs/>
                <w:color w:val="1A1A1A"/>
                <w:sz w:val="18"/>
              </w:rPr>
              <w:t xml:space="preserve">Conservativo</w:t>
            </w:r>
          </w:p>
        </w:tc>
        <w:tc>
          <w:tcPr/>
          <w:p>
            <w:pPr>
              <w:pStyle w:val="Compact"/>
              <w:spacing w:after="40" w:before="40"/>
              <w:jc w:val="left"/>
            </w:pPr>
            <w:r>
              <w:rPr>
                <w:rFonts w:ascii="Cambria" w:hAnsi="Cambria" w:cs="Cambria" w:eastAsia="Cambria"/>
                <w:color w:val="1A1A1A"/>
                <w:sz w:val="18"/>
              </w:rPr>
              <w:t xml:space="preserve">~ 15</w:t>
            </w:r>
          </w:p>
        </w:tc>
        <w:tc>
          <w:tcPr/>
          <w:p>
            <w:pPr>
              <w:pStyle w:val="Compact"/>
              <w:spacing w:after="40" w:before="40"/>
              <w:jc w:val="left"/>
            </w:pPr>
            <w:r>
              <w:rPr>
                <w:rFonts w:ascii="Cambria" w:hAnsi="Cambria" w:cs="Cambria" w:eastAsia="Cambria"/>
                <w:color w:val="1A1A1A"/>
                <w:sz w:val="18"/>
              </w:rPr>
              <w:t xml:space="preserve">~ 1,5 milioni</w:t>
            </w:r>
          </w:p>
        </w:tc>
        <w:tc>
          <w:tcPr/>
          <w:p>
            <w:pPr>
              <w:pStyle w:val="Compact"/>
              <w:spacing w:after="40" w:before="40"/>
              <w:jc w:val="left"/>
            </w:pPr>
            <w:r>
              <w:rPr>
                <w:rFonts w:ascii="Cambria" w:hAnsi="Cambria" w:cs="Cambria" w:eastAsia="Cambria"/>
                <w:color w:val="1A1A1A"/>
                <w:sz w:val="18"/>
              </w:rPr>
              <w:t xml:space="preserve">~ 0,45%</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Base</w:t>
            </w:r>
          </w:p>
        </w:tc>
        <w:tc>
          <w:tcPr>
            <w:shd w:val="clear" w:color="auto" w:fill="F4F1EC"/>
          </w:tcPr>
          <w:p>
            <w:pPr>
              <w:pStyle w:val="Compact"/>
              <w:spacing w:after="40" w:before="40"/>
              <w:jc w:val="left"/>
            </w:pPr>
            <w:r>
              <w:rPr>
                <w:rFonts w:ascii="Cambria" w:hAnsi="Cambria" w:cs="Cambria" w:eastAsia="Cambria"/>
                <w:color w:val="1A1A1A"/>
                <w:sz w:val="18"/>
              </w:rPr>
              <w:t xml:space="preserve">~ 22</w:t>
            </w:r>
          </w:p>
        </w:tc>
        <w:tc>
          <w:tcPr>
            <w:shd w:val="clear" w:color="auto" w:fill="F4F1EC"/>
          </w:tcPr>
          <w:p>
            <w:pPr>
              <w:pStyle w:val="Compact"/>
              <w:spacing w:after="40" w:before="40"/>
              <w:jc w:val="left"/>
            </w:pPr>
            <w:r>
              <w:rPr>
                <w:rFonts w:ascii="Cambria" w:hAnsi="Cambria" w:cs="Cambria" w:eastAsia="Cambria"/>
                <w:color w:val="1A1A1A"/>
                <w:sz w:val="18"/>
              </w:rPr>
              <w:t xml:space="preserve">~ 2,0 milioni</w:t>
            </w:r>
          </w:p>
        </w:tc>
        <w:tc>
          <w:tcPr>
            <w:shd w:val="clear" w:color="auto" w:fill="F4F1EC"/>
          </w:tcPr>
          <w:p>
            <w:pPr>
              <w:pStyle w:val="Compact"/>
              <w:spacing w:after="40" w:before="40"/>
              <w:jc w:val="left"/>
            </w:pPr>
            <w:r>
              <w:rPr>
                <w:rFonts w:ascii="Cambria" w:hAnsi="Cambria" w:cs="Cambria" w:eastAsia="Cambria"/>
                <w:color w:val="1A1A1A"/>
                <w:sz w:val="18"/>
              </w:rPr>
              <w:t xml:space="preserve">~ 0,60%</w:t>
            </w:r>
          </w:p>
        </w:tc>
      </w:tr>
      <w:tr>
        <w:tc>
          <w:tcPr/>
          <w:p>
            <w:pPr>
              <w:pStyle w:val="Compact"/>
              <w:spacing w:after="40" w:before="40"/>
              <w:jc w:val="left"/>
            </w:pPr>
            <w:r>
              <w:rPr>
                <w:rFonts w:ascii="Cambria" w:hAnsi="Cambria" w:cs="Cambria" w:eastAsia="Cambria"/>
                <w:b/>
                <w:bCs/>
                <w:color w:val="1A1A1A"/>
                <w:sz w:val="18"/>
              </w:rPr>
              <w:t xml:space="preserve">Espansivo</w:t>
            </w:r>
          </w:p>
        </w:tc>
        <w:tc>
          <w:tcPr/>
          <w:p>
            <w:pPr>
              <w:pStyle w:val="Compact"/>
              <w:spacing w:after="40" w:before="40"/>
              <w:jc w:val="left"/>
            </w:pPr>
            <w:r>
              <w:rPr>
                <w:rFonts w:ascii="Cambria" w:hAnsi="Cambria" w:cs="Cambria" w:eastAsia="Cambria"/>
                <w:color w:val="1A1A1A"/>
                <w:sz w:val="18"/>
              </w:rPr>
              <w:t xml:space="preserve">~ 30</w:t>
            </w:r>
          </w:p>
        </w:tc>
        <w:tc>
          <w:tcPr/>
          <w:p>
            <w:pPr>
              <w:pStyle w:val="Compact"/>
              <w:spacing w:after="40" w:before="40"/>
              <w:jc w:val="left"/>
            </w:pPr>
            <w:r>
              <w:rPr>
                <w:rFonts w:ascii="Cambria" w:hAnsi="Cambria" w:cs="Cambria" w:eastAsia="Cambria"/>
                <w:color w:val="1A1A1A"/>
                <w:sz w:val="18"/>
              </w:rPr>
              <w:t xml:space="preserve">~ 2,6 milioni</w:t>
            </w:r>
          </w:p>
        </w:tc>
        <w:tc>
          <w:tcPr/>
          <w:p>
            <w:pPr>
              <w:pStyle w:val="Compact"/>
              <w:spacing w:after="40" w:before="40"/>
              <w:jc w:val="left"/>
            </w:pPr>
            <w:r>
              <w:rPr>
                <w:rFonts w:ascii="Cambria" w:hAnsi="Cambria" w:cs="Cambria" w:eastAsia="Cambria"/>
                <w:color w:val="1A1A1A"/>
                <w:sz w:val="18"/>
              </w:rPr>
              <w:t xml:space="preserve">~ 0,78%</w:t>
            </w:r>
          </w:p>
        </w:tc>
      </w:tr>
    </w:tbl>
    <w:p>
      <w:pPr>
        <w:pStyle w:val="BodyText"/>
      </w:pPr>
      <w:r>
        <w:rPr>
          <w:i/>
          <w:iCs/>
        </w:rPr>
        <w:t xml:space="preserve">Tabella E.1. Il costo del servizio a regime nei tre scenari di copertura.</w:t>
      </w:r>
    </w:p>
    <w:bookmarkEnd w:id="4025"/>
    <w:bookmarkStart w:id="4028" w:name="Xe3f246b794ef8eb7977c037c4b4b2e79b7d65c8"/>
    <w:p>
      <w:pPr>
        <w:pStyle w:val="Heading3"/>
      </w:pPr>
      <w:r>
        <w:t xml:space="preserve">E.2 I risparmi diretti per il bilancio sanitario</w:t>
      </w:r>
    </w:p>
    <w:p>
      <w:pPr>
        <w:pStyle w:val="FirstParagraph"/>
      </w:pPr>
      <w:r>
        <w:t xml:space="preserve">I risparmi diretti per il bilancio sanitario si articolano in quattro canali. Il primo è la riduzione degli accessi impropri al pronto soccorso, dell’ordine di 0,1, 0,2 e 0,3 milioni di euro l’anno nei tre scenari: in Valle d’Aosta gli accessi per cause psichiatriche sono amplificati dai trasferimenti dalle vallate, sicché ogni intercettazione precoce genera un risparmio di costo superiore alla media. Il secondo è la riduzione della spesa farmaceutica inappropriata, dell’ordine di 0,1, 0,2 e 0,3 milioni: la spesa farmaceutica valdostana è già inferiore alla media nazionale per i farmaci convenzionati,</w:t>
      </w:r>
      <w:r>
        <w:rPr>
          <w:rStyle w:val="FootnoteReference"/>
        </w:rPr>
        <w:footnoteReference w:id="3812"/>
      </w:r>
      <w:r>
        <w:t xml:space="preserve"> </w:t>
      </w:r>
      <w:r>
        <w:t xml:space="preserve">ma mantiene margini di riduzione sul versante dei psicofarmaci prescritti in assenza di un supporto psicologico di primo livello. Il terzo, il più consistente, è la riduzione di ricoveri evitabili e di specialistica impropria, dell’ordine di 0,3, 0,5 e 0,8 milioni; il margine di recupero è più contenuto che nelle regioni sotto-finanziate, poiché il sistema è già ampiamente dotato. Il quarto, il recupero della mobilità, è per la Valle d’Aosta trascurabile, dell’ordine di 0,1–0,2 milioni nell’espansivo: il saldo di mobilità è lievemente negativo e di entità modesta, e la quota intercettabile con questo intervento è marginale.</w:t>
      </w:r>
      <w:r>
        <w:rPr>
          <w:rStyle w:val="FootnoteReference"/>
        </w:rPr>
        <w:footnoteReference w:id="3813"/>
      </w:r>
      <w:r>
        <w:t xml:space="preserve"> </w:t>
      </w:r>
      <w:r>
        <w:t xml:space="preserve">La somma dei quattro canali è dell’ordine di 0,7, 1,1 e 1,6 milioni di euro l’anno nei tre scenari.</w:t>
      </w:r>
    </w:p>
    <w:tbl>
      <w:tblPr>
        <w:tblStyle w:val="Table"/>
        <w:tblW w:type="pct" w:w="490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888"/>
        <w:gridCol w:w="1296"/>
        <w:gridCol w:w="1296"/>
        <w:gridCol w:w="129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Canale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Accessi impropri al pronto soccorso</w:t>
            </w:r>
          </w:p>
        </w:tc>
        <w:tc>
          <w:tcPr/>
          <w:p>
            <w:pPr>
              <w:pStyle w:val="Compact"/>
              <w:spacing w:after="40" w:before="40"/>
              <w:jc w:val="left"/>
            </w:pPr>
            <w:r>
              <w:rPr>
                <w:rFonts w:ascii="Cambria" w:hAnsi="Cambria" w:cs="Cambria" w:eastAsia="Cambria"/>
                <w:color w:val="1A1A1A"/>
                <w:sz w:val="18"/>
              </w:rPr>
              <w:t xml:space="preserve">~ 0,1</w:t>
            </w:r>
          </w:p>
        </w:tc>
        <w:tc>
          <w:tcPr/>
          <w:p>
            <w:pPr>
              <w:pStyle w:val="Compact"/>
              <w:spacing w:after="40" w:before="40"/>
              <w:jc w:val="left"/>
            </w:pPr>
            <w:r>
              <w:rPr>
                <w:rFonts w:ascii="Cambria" w:hAnsi="Cambria" w:cs="Cambria" w:eastAsia="Cambria"/>
                <w:color w:val="1A1A1A"/>
                <w:sz w:val="18"/>
              </w:rPr>
              <w:t xml:space="preserve">~ 0,2</w:t>
            </w:r>
          </w:p>
        </w:tc>
        <w:tc>
          <w:tcPr/>
          <w:p>
            <w:pPr>
              <w:pStyle w:val="Compact"/>
              <w:spacing w:after="40" w:before="40"/>
              <w:jc w:val="left"/>
            </w:pPr>
            <w:r>
              <w:rPr>
                <w:rFonts w:ascii="Cambria" w:hAnsi="Cambria" w:cs="Cambria" w:eastAsia="Cambria"/>
                <w:color w:val="1A1A1A"/>
                <w:sz w:val="18"/>
              </w:rPr>
              <w:t xml:space="preserve">~ 0,3</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Spesa farmaceutica inappropriata</w:t>
            </w:r>
          </w:p>
        </w:tc>
        <w:tc>
          <w:tcPr>
            <w:shd w:val="clear" w:color="auto" w:fill="F4F1EC"/>
          </w:tcPr>
          <w:p>
            <w:pPr>
              <w:pStyle w:val="Compact"/>
              <w:spacing w:after="40" w:before="40"/>
              <w:jc w:val="left"/>
            </w:pPr>
            <w:r>
              <w:rPr>
                <w:rFonts w:ascii="Cambria" w:hAnsi="Cambria" w:cs="Cambria" w:eastAsia="Cambria"/>
                <w:color w:val="1A1A1A"/>
                <w:sz w:val="18"/>
              </w:rPr>
              <w:t xml:space="preserve">~ 0,1</w:t>
            </w:r>
          </w:p>
        </w:tc>
        <w:tc>
          <w:tcPr>
            <w:shd w:val="clear" w:color="auto" w:fill="F4F1EC"/>
          </w:tcPr>
          <w:p>
            <w:pPr>
              <w:pStyle w:val="Compact"/>
              <w:spacing w:after="40" w:before="40"/>
              <w:jc w:val="left"/>
            </w:pPr>
            <w:r>
              <w:rPr>
                <w:rFonts w:ascii="Cambria" w:hAnsi="Cambria" w:cs="Cambria" w:eastAsia="Cambria"/>
                <w:color w:val="1A1A1A"/>
                <w:sz w:val="18"/>
              </w:rPr>
              <w:t xml:space="preserve">~ 0,2</w:t>
            </w:r>
          </w:p>
        </w:tc>
        <w:tc>
          <w:tcPr>
            <w:shd w:val="clear" w:color="auto" w:fill="F4F1EC"/>
          </w:tcPr>
          <w:p>
            <w:pPr>
              <w:pStyle w:val="Compact"/>
              <w:spacing w:after="40" w:before="40"/>
              <w:jc w:val="left"/>
            </w:pPr>
            <w:r>
              <w:rPr>
                <w:rFonts w:ascii="Cambria" w:hAnsi="Cambria" w:cs="Cambria" w:eastAsia="Cambria"/>
                <w:color w:val="1A1A1A"/>
                <w:sz w:val="18"/>
              </w:rPr>
              <w:t xml:space="preserve">~ 0,3</w:t>
            </w:r>
          </w:p>
        </w:tc>
      </w:tr>
      <w:tr>
        <w:tc>
          <w:tcPr/>
          <w:p>
            <w:pPr>
              <w:pStyle w:val="Compact"/>
              <w:spacing w:after="40" w:before="40"/>
              <w:jc w:val="left"/>
            </w:pPr>
            <w:r>
              <w:rPr>
                <w:rFonts w:ascii="Cambria" w:hAnsi="Cambria" w:cs="Cambria" w:eastAsia="Cambria"/>
                <w:b/>
                <w:bCs/>
                <w:color w:val="1A1A1A"/>
                <w:sz w:val="18"/>
              </w:rPr>
              <w:t xml:space="preserve">Ricoveri evitabili e specialistica</w:t>
            </w:r>
          </w:p>
        </w:tc>
        <w:tc>
          <w:tcPr/>
          <w:p>
            <w:pPr>
              <w:pStyle w:val="Compact"/>
              <w:spacing w:after="40" w:before="40"/>
              <w:jc w:val="left"/>
            </w:pPr>
            <w:r>
              <w:rPr>
                <w:rFonts w:ascii="Cambria" w:hAnsi="Cambria" w:cs="Cambria" w:eastAsia="Cambria"/>
                <w:color w:val="1A1A1A"/>
                <w:sz w:val="18"/>
              </w:rPr>
              <w:t xml:space="preserve">~ 0,3</w:t>
            </w:r>
          </w:p>
        </w:tc>
        <w:tc>
          <w:tcPr/>
          <w:p>
            <w:pPr>
              <w:pStyle w:val="Compact"/>
              <w:spacing w:after="40" w:before="40"/>
              <w:jc w:val="left"/>
            </w:pPr>
            <w:r>
              <w:rPr>
                <w:rFonts w:ascii="Cambria" w:hAnsi="Cambria" w:cs="Cambria" w:eastAsia="Cambria"/>
                <w:color w:val="1A1A1A"/>
                <w:sz w:val="18"/>
              </w:rPr>
              <w:t xml:space="preserve">~ 0,5</w:t>
            </w:r>
          </w:p>
        </w:tc>
        <w:tc>
          <w:tcPr/>
          <w:p>
            <w:pPr>
              <w:pStyle w:val="Compact"/>
              <w:spacing w:after="40" w:before="40"/>
              <w:jc w:val="left"/>
            </w:pPr>
            <w:r>
              <w:rPr>
                <w:rFonts w:ascii="Cambria" w:hAnsi="Cambria" w:cs="Cambria" w:eastAsia="Cambria"/>
                <w:color w:val="1A1A1A"/>
                <w:sz w:val="18"/>
              </w:rPr>
              <w:t xml:space="preserve">~ 0,8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Recupero della mobilità (frazione terr.le)</w:t>
            </w:r>
          </w:p>
        </w:tc>
        <w:tc>
          <w:tcPr>
            <w:shd w:val="clear" w:color="auto" w:fill="F4F1EC"/>
          </w:tcPr>
          <w:p>
            <w:pPr>
              <w:pStyle w:val="Compact"/>
              <w:spacing w:after="40" w:before="40"/>
              <w:jc w:val="left"/>
            </w:pPr>
            <w:r>
              <w:rPr>
                <w:rFonts w:ascii="Cambria" w:hAnsi="Cambria" w:cs="Cambria" w:eastAsia="Cambria"/>
                <w:color w:val="1A1A1A"/>
                <w:sz w:val="18"/>
              </w:rPr>
              <w:t xml:space="preserve">~ 0,1</w:t>
            </w:r>
          </w:p>
        </w:tc>
        <w:tc>
          <w:tcPr>
            <w:shd w:val="clear" w:color="auto" w:fill="F4F1EC"/>
          </w:tcPr>
          <w:p>
            <w:pPr>
              <w:pStyle w:val="Compact"/>
              <w:spacing w:after="40" w:before="40"/>
              <w:jc w:val="left"/>
            </w:pPr>
            <w:r>
              <w:rPr>
                <w:rFonts w:ascii="Cambria" w:hAnsi="Cambria" w:cs="Cambria" w:eastAsia="Cambria"/>
                <w:color w:val="1A1A1A"/>
                <w:sz w:val="18"/>
              </w:rPr>
              <w:t xml:space="preserve">~ 0,2</w:t>
            </w:r>
          </w:p>
        </w:tc>
        <w:tc>
          <w:tcPr>
            <w:shd w:val="clear" w:color="auto" w:fill="F4F1EC"/>
          </w:tcPr>
          <w:p>
            <w:pPr>
              <w:pStyle w:val="Compact"/>
              <w:spacing w:after="40" w:before="40"/>
              <w:jc w:val="left"/>
            </w:pPr>
            <w:r>
              <w:rPr>
                <w:rFonts w:ascii="Cambria" w:hAnsi="Cambria" w:cs="Cambria" w:eastAsia="Cambria"/>
                <w:color w:val="1A1A1A"/>
                <w:sz w:val="18"/>
              </w:rPr>
              <w:t xml:space="preserve">~ 0,2</w:t>
            </w:r>
          </w:p>
        </w:tc>
      </w:tr>
      <w:tr>
        <w:tc>
          <w:tcPr/>
          <w:p>
            <w:pPr>
              <w:pStyle w:val="Compact"/>
              <w:spacing w:after="40" w:before="40"/>
              <w:jc w:val="left"/>
            </w:pPr>
            <w:r>
              <w:rPr>
                <w:rFonts w:ascii="Cambria" w:hAnsi="Cambria" w:cs="Cambria" w:eastAsia="Cambria"/>
                <w:b/>
                <w:bCs/>
                <w:color w:val="1A1A1A"/>
                <w:sz w:val="18"/>
              </w:rPr>
              <w:t xml:space="preserve">Totale risparmi diretti</w:t>
            </w:r>
          </w:p>
        </w:tc>
        <w:tc>
          <w:tcPr/>
          <w:p>
            <w:pPr>
              <w:pStyle w:val="Compact"/>
              <w:spacing w:after="40" w:before="40"/>
              <w:jc w:val="left"/>
            </w:pPr>
            <w:r>
              <w:rPr>
                <w:rFonts w:ascii="Cambria" w:hAnsi="Cambria" w:cs="Cambria" w:eastAsia="Cambria"/>
                <w:color w:val="1A1A1A"/>
                <w:sz w:val="18"/>
              </w:rPr>
              <w:t xml:space="preserve">~ 0,7</w:t>
            </w:r>
          </w:p>
        </w:tc>
        <w:tc>
          <w:tcPr/>
          <w:p>
            <w:pPr>
              <w:pStyle w:val="Compact"/>
              <w:spacing w:after="40" w:before="40"/>
              <w:jc w:val="left"/>
            </w:pPr>
            <w:r>
              <w:rPr>
                <w:rFonts w:ascii="Cambria" w:hAnsi="Cambria" w:cs="Cambria" w:eastAsia="Cambria"/>
                <w:color w:val="1A1A1A"/>
                <w:sz w:val="18"/>
              </w:rPr>
              <w:t xml:space="preserve">~ 1,1</w:t>
            </w:r>
          </w:p>
        </w:tc>
        <w:tc>
          <w:tcPr/>
          <w:p>
            <w:pPr>
              <w:pStyle w:val="Compact"/>
              <w:spacing w:after="40" w:before="40"/>
              <w:jc w:val="left"/>
            </w:pPr>
            <w:r>
              <w:rPr>
                <w:rFonts w:ascii="Cambria" w:hAnsi="Cambria" w:cs="Cambria" w:eastAsia="Cambria"/>
                <w:color w:val="1A1A1A"/>
                <w:sz w:val="18"/>
              </w:rPr>
              <w:t xml:space="preserve">~ 1,6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1,5</w:t>
            </w:r>
          </w:p>
        </w:tc>
        <w:tc>
          <w:tcPr>
            <w:shd w:val="clear" w:color="auto" w:fill="F4F1EC"/>
          </w:tcPr>
          <w:p>
            <w:pPr>
              <w:pStyle w:val="Compact"/>
              <w:spacing w:after="40" w:before="40"/>
              <w:jc w:val="left"/>
            </w:pPr>
            <w:r>
              <w:rPr>
                <w:rFonts w:ascii="Cambria" w:hAnsi="Cambria" w:cs="Cambria" w:eastAsia="Cambria"/>
                <w:color w:val="1A1A1A"/>
                <w:sz w:val="18"/>
              </w:rPr>
              <w:t xml:space="preserve">~ 2,0</w:t>
            </w:r>
          </w:p>
        </w:tc>
        <w:tc>
          <w:tcPr>
            <w:shd w:val="clear" w:color="auto" w:fill="F4F1EC"/>
          </w:tcPr>
          <w:p>
            <w:pPr>
              <w:pStyle w:val="Compact"/>
              <w:spacing w:after="40" w:before="40"/>
              <w:jc w:val="left"/>
            </w:pPr>
            <w:r>
              <w:rPr>
                <w:rFonts w:ascii="Cambria" w:hAnsi="Cambria" w:cs="Cambria" w:eastAsia="Cambria"/>
                <w:color w:val="1A1A1A"/>
                <w:sz w:val="18"/>
              </w:rPr>
              <w:t xml:space="preserve">~ 2,6</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−0,8</w:t>
            </w:r>
          </w:p>
        </w:tc>
        <w:tc>
          <w:tcPr/>
          <w:p>
            <w:pPr>
              <w:pStyle w:val="Compact"/>
              <w:spacing w:after="40" w:before="40"/>
              <w:jc w:val="left"/>
            </w:pPr>
            <w:r>
              <w:rPr>
                <w:rFonts w:ascii="Cambria" w:hAnsi="Cambria" w:cs="Cambria" w:eastAsia="Cambria"/>
                <w:color w:val="1A1A1A"/>
                <w:sz w:val="18"/>
              </w:rPr>
              <w:t xml:space="preserve">~ −0,9</w:t>
            </w:r>
          </w:p>
        </w:tc>
        <w:tc>
          <w:tcPr/>
          <w:p>
            <w:pPr>
              <w:pStyle w:val="Compact"/>
              <w:spacing w:after="40" w:before="40"/>
              <w:jc w:val="left"/>
            </w:pPr>
            <w:r>
              <w:rPr>
                <w:rFonts w:ascii="Cambria" w:hAnsi="Cambria" w:cs="Cambria" w:eastAsia="Cambria"/>
                <w:color w:val="1A1A1A"/>
                <w:sz w:val="18"/>
              </w:rPr>
              <w:t xml:space="preserve">~ −1,0</w:t>
            </w:r>
          </w:p>
        </w:tc>
      </w:tr>
    </w:tbl>
    <w:p>
      <w:pPr>
        <w:pStyle w:val="BodyText"/>
      </w:pPr>
      <w:r>
        <w:rPr>
          <w:i/>
          <w:iCs/>
        </w:rPr>
        <w:t xml:space="preserve">Tabella E.2. I risparmi diretti per il bilancio sanitario regionale e il saldo diretto.</w:t>
      </w:r>
    </w:p>
    <w:bookmarkEnd w:id="4028"/>
    <w:bookmarkStart w:id="4031" w:name="e.3-le-ricadute-economico-sociali-7"/>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con peso in un’economia montana a occupazione stabile e con redditi elevati — oltre al valore del benessere recuperato e al minor carico assistenziale sulle famiglie. La componente del recupero dell’anzianità è peculiare alla Valle d’Aosta: con un indice di vecchiaia fra i più alti d’Italia e una quota di over-65 che raggiungerà il 34% nel 2040, la riduzione del carico dei caregiver familiari e il mantenimento dell’autonomia nelle persone anziane costituiscono una ricaduta di entità crescente, anche se di più difficile monetizzazione.</w:t>
      </w:r>
      <w:r>
        <w:rPr>
          <w:rStyle w:val="FootnoteReference"/>
        </w:rPr>
        <w:footnoteReference w:id="3814"/>
      </w:r>
      <w:r>
        <w:t xml:space="preserve"> </w:t>
      </w:r>
      <w:r>
        <w:t xml:space="preserve">Le ricadute economico-sociali sono stimate, secondo i criteri prudenziali dello studio e nel rispetto della banda Chisholm 3,3–5,7:1,</w:t>
      </w:r>
      <w:r>
        <w:rPr>
          <w:rStyle w:val="FootnoteReference"/>
        </w:rPr>
        <w:footnoteReference w:id="3815"/>
      </w:r>
      <w:r>
        <w:t xml:space="preserve"> </w:t>
      </w:r>
      <w:r>
        <w:t xml:space="preserve">nell’ordine di 4,5, 7,0 e 9,5 milioni di euro l’anno nei tre scenari. Sommate ai risparmi diretti, esse determinano un ritorno complessivo dell’ordine di 5,2, 8,1 e 11,1 milioni, e un saldo complessivo per la collettività ampiamente positivo. Ne discende un rapporto beneficio-costo complessivo dell’ordine di 4,0 a uno nello scenario conservativo, 4,8 a uno in quello di base e 5,3 a uno in quello espansivo, interamente compreso nella banda prudenziale adottata.</w:t>
      </w:r>
    </w:p>
    <w:bookmarkEnd w:id="4031"/>
    <w:bookmarkStart w:id="4032" w:name="X4788715e70c7b5dd0521a0f78b43e0ba3e04701"/>
    <w:p>
      <w:pPr>
        <w:pStyle w:val="Heading3"/>
      </w:pPr>
      <w:r>
        <w:t xml:space="preserve">E.4 Il quadro consolidato: caso finanziario e caso economico</w:t>
      </w:r>
    </w:p>
    <w:p>
      <w:pPr>
        <w:pStyle w:val="FirstParagraph"/>
      </w:pPr>
      <w:r>
        <w:t xml:space="preserve">La composizione delle grandezze impone di tenere ferma la distinzione che governa l’intera lettura del caso della Valle d’Aosta. Il caso puramente finanziario per il bilancio sanitario è di disavanzo lieve: in termini assoluti, il saldo è fra i più modesti della serie — meno di un milione di euro in qualunque scenario — perché la popolazione è molto piccola e il costo del servizio è corrispondentemente ridottissimo; il confronto con il Fondo sanitario regionale di circa 333 milioni mostra che si tratta di uno 0,3% della spesa sanitaria anche nello scenario espansivo, cifra agevolmente sostenibile. Il caso economico complessivo, che include le ricadute sociali, è invece fortemente positivo. La tabella consolidata distingue in ogni voce la dimensione diretta da quella sociale.</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Voce (milioni di euro l’anno)</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Costo del servizio</w:t>
            </w:r>
          </w:p>
        </w:tc>
        <w:tc>
          <w:tcPr/>
          <w:p>
            <w:pPr>
              <w:pStyle w:val="Compact"/>
              <w:spacing w:after="40" w:before="40"/>
              <w:jc w:val="left"/>
            </w:pPr>
            <w:r>
              <w:rPr>
                <w:rFonts w:ascii="Cambria" w:hAnsi="Cambria" w:cs="Cambria" w:eastAsia="Cambria"/>
                <w:color w:val="1A1A1A"/>
                <w:sz w:val="18"/>
              </w:rPr>
              <w:t xml:space="preserve">~ 1,5</w:t>
            </w:r>
          </w:p>
        </w:tc>
        <w:tc>
          <w:tcPr/>
          <w:p>
            <w:pPr>
              <w:pStyle w:val="Compact"/>
              <w:spacing w:after="40" w:before="40"/>
              <w:jc w:val="left"/>
            </w:pPr>
            <w:r>
              <w:rPr>
                <w:rFonts w:ascii="Cambria" w:hAnsi="Cambria" w:cs="Cambria" w:eastAsia="Cambria"/>
                <w:color w:val="1A1A1A"/>
                <w:sz w:val="18"/>
              </w:rPr>
              <w:t xml:space="preserve">~ 2,0</w:t>
            </w:r>
          </w:p>
        </w:tc>
        <w:tc>
          <w:tcPr/>
          <w:p>
            <w:pPr>
              <w:pStyle w:val="Compact"/>
              <w:spacing w:after="40" w:before="40"/>
              <w:jc w:val="left"/>
            </w:pPr>
            <w:r>
              <w:rPr>
                <w:rFonts w:ascii="Cambria" w:hAnsi="Cambria" w:cs="Cambria" w:eastAsia="Cambria"/>
                <w:color w:val="1A1A1A"/>
                <w:sz w:val="18"/>
              </w:rPr>
              <w:t xml:space="preserve">~ 2,6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Risparmi diretti (SSR)</w:t>
            </w:r>
          </w:p>
        </w:tc>
        <w:tc>
          <w:tcPr>
            <w:shd w:val="clear" w:color="auto" w:fill="F4F1EC"/>
          </w:tcPr>
          <w:p>
            <w:pPr>
              <w:pStyle w:val="Compact"/>
              <w:spacing w:after="40" w:before="40"/>
              <w:jc w:val="left"/>
            </w:pPr>
            <w:r>
              <w:rPr>
                <w:rFonts w:ascii="Cambria" w:hAnsi="Cambria" w:cs="Cambria" w:eastAsia="Cambria"/>
                <w:color w:val="1A1A1A"/>
                <w:sz w:val="18"/>
              </w:rPr>
              <w:t xml:space="preserve">~ 0,7</w:t>
            </w:r>
          </w:p>
        </w:tc>
        <w:tc>
          <w:tcPr>
            <w:shd w:val="clear" w:color="auto" w:fill="F4F1EC"/>
          </w:tcPr>
          <w:p>
            <w:pPr>
              <w:pStyle w:val="Compact"/>
              <w:spacing w:after="40" w:before="40"/>
              <w:jc w:val="left"/>
            </w:pPr>
            <w:r>
              <w:rPr>
                <w:rFonts w:ascii="Cambria" w:hAnsi="Cambria" w:cs="Cambria" w:eastAsia="Cambria"/>
                <w:color w:val="1A1A1A"/>
                <w:sz w:val="18"/>
              </w:rPr>
              <w:t xml:space="preserve">~ 1,1</w:t>
            </w:r>
          </w:p>
        </w:tc>
        <w:tc>
          <w:tcPr>
            <w:shd w:val="clear" w:color="auto" w:fill="F4F1EC"/>
          </w:tcPr>
          <w:p>
            <w:pPr>
              <w:pStyle w:val="Compact"/>
              <w:spacing w:after="40" w:before="40"/>
              <w:jc w:val="left"/>
            </w:pPr>
            <w:r>
              <w:rPr>
                <w:rFonts w:ascii="Cambria" w:hAnsi="Cambria" w:cs="Cambria" w:eastAsia="Cambria"/>
                <w:color w:val="1A1A1A"/>
                <w:sz w:val="18"/>
              </w:rPr>
              <w:t xml:space="preserve">~ 1,6</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−0,8</w:t>
            </w:r>
          </w:p>
        </w:tc>
        <w:tc>
          <w:tcPr/>
          <w:p>
            <w:pPr>
              <w:pStyle w:val="Compact"/>
              <w:spacing w:after="40" w:before="40"/>
              <w:jc w:val="left"/>
            </w:pPr>
            <w:r>
              <w:rPr>
                <w:rFonts w:ascii="Cambria" w:hAnsi="Cambria" w:cs="Cambria" w:eastAsia="Cambria"/>
                <w:color w:val="1A1A1A"/>
                <w:sz w:val="18"/>
              </w:rPr>
              <w:t xml:space="preserve">~ −0,9</w:t>
            </w:r>
          </w:p>
        </w:tc>
        <w:tc>
          <w:tcPr/>
          <w:p>
            <w:pPr>
              <w:pStyle w:val="Compact"/>
              <w:spacing w:after="40" w:before="40"/>
              <w:jc w:val="left"/>
            </w:pPr>
            <w:r>
              <w:rPr>
                <w:rFonts w:ascii="Cambria" w:hAnsi="Cambria" w:cs="Cambria" w:eastAsia="Cambria"/>
                <w:color w:val="1A1A1A"/>
                <w:sz w:val="18"/>
              </w:rPr>
              <w:t xml:space="preserve">~ −1,0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4,5</w:t>
            </w:r>
          </w:p>
        </w:tc>
        <w:tc>
          <w:tcPr>
            <w:shd w:val="clear" w:color="auto" w:fill="F4F1EC"/>
          </w:tcPr>
          <w:p>
            <w:pPr>
              <w:pStyle w:val="Compact"/>
              <w:spacing w:after="40" w:before="40"/>
              <w:jc w:val="left"/>
            </w:pPr>
            <w:r>
              <w:rPr>
                <w:rFonts w:ascii="Cambria" w:hAnsi="Cambria" w:cs="Cambria" w:eastAsia="Cambria"/>
                <w:color w:val="1A1A1A"/>
                <w:sz w:val="18"/>
              </w:rPr>
              <w:t xml:space="preserve">~ 7,0</w:t>
            </w:r>
          </w:p>
        </w:tc>
        <w:tc>
          <w:tcPr>
            <w:shd w:val="clear" w:color="auto" w:fill="F4F1EC"/>
          </w:tcPr>
          <w:p>
            <w:pPr>
              <w:pStyle w:val="Compact"/>
              <w:spacing w:after="40" w:before="40"/>
              <w:jc w:val="left"/>
            </w:pPr>
            <w:r>
              <w:rPr>
                <w:rFonts w:ascii="Cambria" w:hAnsi="Cambria" w:cs="Cambria" w:eastAsia="Cambria"/>
                <w:color w:val="1A1A1A"/>
                <w:sz w:val="18"/>
              </w:rPr>
              <w:t xml:space="preserve">~ 9,5</w:t>
            </w:r>
          </w:p>
        </w:tc>
      </w:tr>
      <w:tr>
        <w:tc>
          <w:tcPr/>
          <w:p>
            <w:pPr>
              <w:pStyle w:val="Compact"/>
              <w:spacing w:after="40" w:before="40"/>
              <w:jc w:val="left"/>
            </w:pPr>
            <w:r>
              <w:rPr>
                <w:rFonts w:ascii="Cambria" w:hAnsi="Cambria" w:cs="Cambria" w:eastAsia="Cambria"/>
                <w:b/>
                <w:bCs/>
                <w:color w:val="1A1A1A"/>
                <w:sz w:val="18"/>
              </w:rPr>
              <w:t xml:space="preserve">Ritorno complessivo</w:t>
            </w:r>
          </w:p>
        </w:tc>
        <w:tc>
          <w:tcPr/>
          <w:p>
            <w:pPr>
              <w:pStyle w:val="Compact"/>
              <w:spacing w:after="40" w:before="40"/>
              <w:jc w:val="left"/>
            </w:pPr>
            <w:r>
              <w:rPr>
                <w:rFonts w:ascii="Cambria" w:hAnsi="Cambria" w:cs="Cambria" w:eastAsia="Cambria"/>
                <w:color w:val="1A1A1A"/>
                <w:sz w:val="18"/>
              </w:rPr>
              <w:t xml:space="preserve">~ 5,2</w:t>
            </w:r>
          </w:p>
        </w:tc>
        <w:tc>
          <w:tcPr/>
          <w:p>
            <w:pPr>
              <w:pStyle w:val="Compact"/>
              <w:spacing w:after="40" w:before="40"/>
              <w:jc w:val="left"/>
            </w:pPr>
            <w:r>
              <w:rPr>
                <w:rFonts w:ascii="Cambria" w:hAnsi="Cambria" w:cs="Cambria" w:eastAsia="Cambria"/>
                <w:color w:val="1A1A1A"/>
                <w:sz w:val="18"/>
              </w:rPr>
              <w:t xml:space="preserve">~ 8,1</w:t>
            </w:r>
          </w:p>
        </w:tc>
        <w:tc>
          <w:tcPr/>
          <w:p>
            <w:pPr>
              <w:pStyle w:val="Compact"/>
              <w:spacing w:after="40" w:before="40"/>
              <w:jc w:val="left"/>
            </w:pPr>
            <w:r>
              <w:rPr>
                <w:rFonts w:ascii="Cambria" w:hAnsi="Cambria" w:cs="Cambria" w:eastAsia="Cambria"/>
                <w:color w:val="1A1A1A"/>
                <w:sz w:val="18"/>
              </w:rPr>
              <w:t xml:space="preserve">~ 11,1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 +3,7</w:t>
            </w:r>
          </w:p>
        </w:tc>
        <w:tc>
          <w:tcPr>
            <w:shd w:val="clear" w:color="auto" w:fill="F4F1EC"/>
          </w:tcPr>
          <w:p>
            <w:pPr>
              <w:pStyle w:val="Compact"/>
              <w:spacing w:after="40" w:before="40"/>
              <w:jc w:val="left"/>
            </w:pPr>
            <w:r>
              <w:rPr>
                <w:rFonts w:ascii="Cambria" w:hAnsi="Cambria" w:cs="Cambria" w:eastAsia="Cambria"/>
                <w:color w:val="1A1A1A"/>
                <w:sz w:val="18"/>
              </w:rPr>
              <w:t xml:space="preserve">~ +6,1</w:t>
            </w:r>
          </w:p>
        </w:tc>
        <w:tc>
          <w:tcPr>
            <w:shd w:val="clear" w:color="auto" w:fill="F4F1EC"/>
          </w:tcPr>
          <w:p>
            <w:pPr>
              <w:pStyle w:val="Compact"/>
              <w:spacing w:after="40" w:before="40"/>
              <w:jc w:val="left"/>
            </w:pPr>
            <w:r>
              <w:rPr>
                <w:rFonts w:ascii="Cambria" w:hAnsi="Cambria" w:cs="Cambria" w:eastAsia="Cambria"/>
                <w:color w:val="1A1A1A"/>
                <w:sz w:val="18"/>
              </w:rPr>
              <w:t xml:space="preserve">~ +8,5</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 4,0:1</w:t>
            </w:r>
          </w:p>
        </w:tc>
        <w:tc>
          <w:tcPr/>
          <w:p>
            <w:pPr>
              <w:pStyle w:val="Compact"/>
              <w:spacing w:after="40" w:before="40"/>
              <w:jc w:val="left"/>
            </w:pPr>
            <w:r>
              <w:rPr>
                <w:rFonts w:ascii="Cambria" w:hAnsi="Cambria" w:cs="Cambria" w:eastAsia="Cambria"/>
                <w:color w:val="1A1A1A"/>
                <w:sz w:val="18"/>
              </w:rPr>
              <w:t xml:space="preserve">~ 4,8:1</w:t>
            </w:r>
          </w:p>
        </w:tc>
        <w:tc>
          <w:tcPr/>
          <w:p>
            <w:pPr>
              <w:pStyle w:val="Compact"/>
              <w:spacing w:after="40" w:before="40"/>
              <w:jc w:val="left"/>
            </w:pPr>
            <w:r>
              <w:rPr>
                <w:rFonts w:ascii="Cambria" w:hAnsi="Cambria" w:cs="Cambria" w:eastAsia="Cambria"/>
                <w:color w:val="1A1A1A"/>
                <w:sz w:val="18"/>
              </w:rPr>
              <w:t xml:space="preserve">~ 5,3:1</w:t>
            </w:r>
          </w:p>
        </w:tc>
      </w:tr>
    </w:tbl>
    <w:p>
      <w:pPr>
        <w:pStyle w:val="BodyText"/>
      </w:pPr>
      <w:r>
        <w:rPr>
          <w:i/>
          <w:iCs/>
        </w:rPr>
        <w:t xml:space="preserve">Tabella E.3. Il quadro economico consolidato, con la distinzione fra caso finanziario e caso economico.</w:t>
      </w:r>
    </w:p>
    <w:bookmarkEnd w:id="4032"/>
    <w:bookmarkStart w:id="4034" w:name="Xdb53d419f8c4dfedb548a29d5e7c42a18810643"/>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w:t>
      </w:r>
      <w:r>
        <w:rPr>
          <w:rStyle w:val="FootnoteReference"/>
        </w:rPr>
        <w:footnoteReference w:id="3816"/>
      </w:r>
      <w:r>
        <w:t xml:space="preserve"> </w:t>
      </w:r>
      <w:r>
        <w:t xml:space="preserve">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w:t>
      </w:r>
    </w:p>
    <w:tbl>
      <w:tblPr>
        <w:tblStyle w:val="Table"/>
        <w:tblW w:type="pct" w:w="491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394"/>
        <w:gridCol w:w="1272"/>
        <w:gridCol w:w="1272"/>
        <w:gridCol w:w="183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Grandezza (per paziente)</w:t>
            </w:r>
          </w:p>
        </w:tc>
        <w:tc>
          <w:tcPr>
            <w:shd w:val="clear" w:color="auto" w:fill="16264B"/>
          </w:tcPr>
          <w:p>
            <w:pPr>
              <w:pStyle w:val="Compact"/>
              <w:spacing w:after="40" w:before="40"/>
              <w:jc w:val="left"/>
            </w:pPr>
            <w:r>
              <w:rPr>
                <w:rFonts w:ascii="Cambria" w:hAnsi="Cambria" w:cs="Cambria" w:eastAsia="Cambria"/>
                <w:b/>
                <w:bCs/>
                <w:color w:val="FFFFFF"/>
                <w:sz w:val="18"/>
              </w:rPr>
              <w:t xml:space="preserve">Comparatore</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Differenza</w:t>
            </w:r>
          </w:p>
        </w:tc>
      </w:tr>
      <w:tr>
        <w:tc>
          <w:tcPr/>
          <w:p>
            <w:pPr>
              <w:pStyle w:val="Compact"/>
              <w:spacing w:after="40" w:before="40"/>
              <w:jc w:val="left"/>
            </w:pPr>
            <w:r>
              <w:rPr>
                <w:rFonts w:ascii="Cambria" w:hAnsi="Cambria" w:cs="Cambria" w:eastAsia="Cambria"/>
                <w:b/>
                <w:bCs/>
                <w:color w:val="1A1A1A"/>
                <w:sz w:val="18"/>
              </w:rPr>
              <w:t xml:space="preserve">Costo atteso per paziente</w:t>
            </w:r>
          </w:p>
        </w:tc>
        <w:tc>
          <w:tcPr/>
          <w:p>
            <w:pPr>
              <w:pStyle w:val="Compact"/>
              <w:spacing w:after="40" w:before="40"/>
              <w:jc w:val="left"/>
            </w:pPr>
            <w:r>
              <w:rPr>
                <w:rFonts w:ascii="Cambria" w:hAnsi="Cambria" w:cs="Cambria" w:eastAsia="Cambria"/>
                <w:color w:val="1A1A1A"/>
                <w:sz w:val="18"/>
              </w:rPr>
              <w:t xml:space="preserve">~ 3.799 euro</w:t>
            </w:r>
          </w:p>
        </w:tc>
        <w:tc>
          <w:tcPr/>
          <w:p>
            <w:pPr>
              <w:pStyle w:val="Compact"/>
              <w:spacing w:after="40" w:before="40"/>
              <w:jc w:val="left"/>
            </w:pPr>
            <w:r>
              <w:rPr>
                <w:rFonts w:ascii="Cambria" w:hAnsi="Cambria" w:cs="Cambria" w:eastAsia="Cambria"/>
                <w:color w:val="1A1A1A"/>
                <w:sz w:val="18"/>
              </w:rPr>
              <w:t xml:space="preserve">~ 2.495 euro</w:t>
            </w:r>
          </w:p>
        </w:tc>
        <w:tc>
          <w:tcPr/>
          <w:p>
            <w:pPr>
              <w:pStyle w:val="Compact"/>
              <w:spacing w:after="40" w:before="40"/>
              <w:jc w:val="left"/>
            </w:pPr>
            <w:r>
              <w:rPr>
                <w:rFonts w:ascii="Cambria" w:hAnsi="Cambria" w:cs="Cambria" w:eastAsia="Cambria"/>
                <w:color w:val="1A1A1A"/>
                <w:sz w:val="18"/>
              </w:rPr>
              <w:t xml:space="preserve">− 1.304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Anni di vita ponderati (QALY)</w:t>
            </w:r>
          </w:p>
        </w:tc>
        <w:tc>
          <w:tcPr>
            <w:shd w:val="clear" w:color="auto" w:fill="F4F1EC"/>
          </w:tcPr>
          <w:p>
            <w:pPr>
              <w:pStyle w:val="Compact"/>
              <w:spacing w:after="40" w:before="40"/>
              <w:jc w:val="left"/>
            </w:pPr>
            <w:r>
              <w:rPr>
                <w:rFonts w:ascii="Cambria" w:hAnsi="Cambria" w:cs="Cambria" w:eastAsia="Cambria"/>
                <w:color w:val="1A1A1A"/>
                <w:sz w:val="18"/>
              </w:rPr>
              <w:t xml:space="preserve">3,392</w:t>
            </w:r>
          </w:p>
        </w:tc>
        <w:tc>
          <w:tcPr>
            <w:shd w:val="clear" w:color="auto" w:fill="F4F1EC"/>
          </w:tcPr>
          <w:p>
            <w:pPr>
              <w:pStyle w:val="Compact"/>
              <w:spacing w:after="40" w:before="40"/>
              <w:jc w:val="left"/>
            </w:pPr>
            <w:r>
              <w:rPr>
                <w:rFonts w:ascii="Cambria" w:hAnsi="Cambria" w:cs="Cambria" w:eastAsia="Cambria"/>
                <w:color w:val="1A1A1A"/>
                <w:sz w:val="18"/>
              </w:rPr>
              <w:t xml:space="preserve">3,627</w:t>
            </w:r>
          </w:p>
        </w:tc>
        <w:tc>
          <w:tcPr>
            <w:shd w:val="clear" w:color="auto" w:fill="F4F1EC"/>
          </w:tcPr>
          <w:p>
            <w:pPr>
              <w:pStyle w:val="Compact"/>
              <w:spacing w:after="40" w:before="40"/>
              <w:jc w:val="left"/>
            </w:pPr>
            <w:r>
              <w:rPr>
                <w:rFonts w:ascii="Cambria" w:hAnsi="Cambria" w:cs="Cambria" w:eastAsia="Cambria"/>
                <w:color w:val="1A1A1A"/>
                <w:sz w:val="18"/>
              </w:rPr>
              <w:t xml:space="preserve">+ 0,236</w:t>
            </w:r>
          </w:p>
        </w:tc>
      </w:tr>
      <w:tr>
        <w:tc>
          <w:tcPr/>
          <w:p>
            <w:pPr>
              <w:pStyle w:val="Compact"/>
              <w:spacing w:after="40" w:before="40"/>
              <w:jc w:val="left"/>
            </w:pPr>
            <w:r>
              <w:rPr>
                <w:rFonts w:ascii="Cambria" w:hAnsi="Cambria" w:cs="Cambria" w:eastAsia="Cambria"/>
                <w:b/>
                <w:bCs/>
                <w:color w:val="1A1A1A"/>
                <w:sz w:val="18"/>
              </w:rPr>
              <w:t xml:space="preserve">Esito</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w:t>
            </w:r>
          </w:p>
        </w:tc>
        <w:tc>
          <w:tcPr/>
          <w:p>
            <w:pPr>
              <w:pStyle w:val="Compact"/>
              <w:spacing w:after="40" w:before="40"/>
              <w:jc w:val="left"/>
            </w:pPr>
            <w:r>
              <w:rPr>
                <w:rFonts w:ascii="Cambria" w:hAnsi="Cambria" w:cs="Cambria" w:eastAsia="Cambria"/>
                <w:color w:val="1A1A1A"/>
                <w:sz w:val="18"/>
              </w:rPr>
              <w:t xml:space="preserve">Intervento dominante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(soglia 30.000 euro/QALY)</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w:t>
            </w:r>
          </w:p>
        </w:tc>
        <w:tc>
          <w:tcPr>
            <w:shd w:val="clear" w:color="auto" w:fill="F4F1EC"/>
          </w:tcPr>
          <w:p>
            <w:pPr>
              <w:pStyle w:val="Compact"/>
              <w:spacing w:after="40" w:before="40"/>
              <w:jc w:val="left"/>
            </w:pPr>
            <w:r>
              <w:rPr>
                <w:rFonts w:ascii="Cambria" w:hAnsi="Cambria" w:cs="Cambria" w:eastAsia="Cambria"/>
                <w:color w:val="1A1A1A"/>
                <w:sz w:val="18"/>
              </w:rPr>
              <w:t xml:space="preserve">88,9% delle simulazioni</w:t>
            </w:r>
          </w:p>
        </w:tc>
      </w:tr>
    </w:tbl>
    <w:p>
      <w:pPr>
        <w:pStyle w:val="BodyText"/>
      </w:pPr>
      <w:r>
        <w:rPr>
          <w:i/>
          <w:iCs/>
        </w:rPr>
        <w:t xml:space="preserve">Tabella E.4. L’analisi costo-utilità per paziente trattato (modello di Markov a cinque anni).</w:t>
      </w:r>
    </w:p>
    <w:bookmarkEnd w:id="4034"/>
    <w:bookmarkStart w:id="4036" w:name="Xb4600378bfdda97cc952991f2ec02d0de2dd57e"/>
    <w:p>
      <w:pPr>
        <w:pStyle w:val="Heading3"/>
      </w:pPr>
      <w:r>
        <w:t xml:space="preserve">E.6 L’impatto sul bilancio, la sostenibilità e la lacuna dei dati</w:t>
      </w:r>
    </w:p>
    <w:p>
      <w:pPr>
        <w:pStyle w:val="FirstParagraph"/>
      </w:pPr>
      <w:r>
        <w:t xml:space="preserve">Sul piano dell’impatto sul bilancio, il costo del servizio a regime rappresenta una quota dell’ordine dello 0,45–0,78% del Fondo sanitario regionale, che si configura come la più favorevole della serie in termini di incidenza percentuale: la Valle d’Aosta, pur con la spesa pro-capite più elevata, ha un fondo assoluto ridotto e un costo del servizio corrispondentemente contenuto, e finanzia integralmente la sanità con le risorse proprie trattenute sul territorio, senza apporto a carico dello Stato, con bilanci in equilibrio.</w:t>
      </w:r>
      <w:r>
        <w:rPr>
          <w:rStyle w:val="FootnoteReference"/>
        </w:rPr>
        <w:footnoteReference w:id="3817"/>
      </w:r>
      <w:r>
        <w:t xml:space="preserve"> </w:t>
      </w:r>
      <w:r>
        <w:t xml:space="preserve">Il costo annuo del servizio nell’intero scenario espansivo — meno di tre milioni di euro — è di entità tale da essere finanziabile con variazioni di bilancio marginali. Resta da dichiarare con franchezza la lacuna dei dati: le grandezze economiche sono in parte ricostruite dai conti nazionali per quota di popolazione e non estratte dai conti certificati dell’Azienda USL; la Valle d’Aosta parte da zero e non dispone di dati propri sul servizio, sicché l’estrazione dei conti certificati e l’impostazione di una rilevazione ben progettata dall’avvio del servizio sono la priorità da completare prima della presentazione esterna. La sintesi è univoca: il caso diretto è prudente e in disavanzo modestissimo, sostenibile a fronte dell’autonomia finanziaria; il caso sociale è robusto e fortemente positivo; il risultato per paziente è di dominanza con elevata probabilità.</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dell’informazione</w:t>
      </w:r>
    </w:p>
    <w:p>
      <w:pPr>
        <w:pStyle w:val="BodyText"/>
      </w:pPr>
      <w:r>
        <w:t xml:space="preserve">Quinto dominio dell’HTA · la robustezza della valutazione economica</w:t>
      </w:r>
    </w:p>
    <w:bookmarkEnd w:id="4036"/>
    <w:bookmarkEnd w:id="4037"/>
    <w:bookmarkStart w:id="4051" w:name="parte-f-modellazione-e-incertezza-12"/>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Valle d’Aosta questo ultimo capitolo assume un carattere prospettico: poiché il servizio non esiste, non vi è base di dati locale su cui fondare la stima, e il disegno della verifica empirica è la condizione per generare dati propri fin dall’avvio.</w:t>
      </w:r>
    </w:p>
    <w:bookmarkStart w:id="4040" w:name="Xdcb22402eaafebf73b41359c2a9df78983db27d"/>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3818"/>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3819"/>
      </w:r>
      <w:r>
        <w:t xml:space="preserve"> </w:t>
      </w:r>
      <w:r>
        <w:t xml:space="preserve">A ciascuno stato sono associati un costo e una qualità di vita, trattati come distribuzioni di probabilità e non come valori puntuali, per riflettere l’incertezza. Nel caso base l’intervento è dominante, con un risparmio per paziente dell’ordine di 1.304 euro e un guadagno di 0,236 anni di vita ponderati per la qualità. La tabella seguente riepiloga i parametri principali del modello.</w:t>
      </w:r>
    </w:p>
    <w:tbl>
      <w:tblPr>
        <w:tblStyle w:val="Table"/>
        <w:tblW w:type="pct" w:w="489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001"/>
        <w:gridCol w:w="475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Stati clinici</w:t>
            </w:r>
          </w:p>
        </w:tc>
        <w:tc>
          <w:tcPr/>
          <w:p>
            <w:pPr>
              <w:pStyle w:val="Compact"/>
              <w:spacing w:after="40" w:before="40"/>
              <w:jc w:val="left"/>
            </w:pPr>
            <w:r>
              <w:rPr>
                <w:rFonts w:ascii="Cambria" w:hAnsi="Cambria" w:cs="Cambria" w:eastAsia="Cambria"/>
                <w:color w:val="1A1A1A"/>
                <w:sz w:val="18"/>
              </w:rPr>
              <w:t xml:space="preserve">Benessere o sottosoglia, episodio, cronicità, recupero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Cinque anni, con cicli successivi</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(recupero)</w:t>
            </w:r>
          </w:p>
        </w:tc>
        <w:tc>
          <w:tcPr>
            <w:shd w:val="clear" w:color="auto" w:fill="F4F1EC"/>
          </w:tcPr>
          <w:p>
            <w:pPr>
              <w:pStyle w:val="Compact"/>
              <w:spacing w:after="40" w:before="40"/>
              <w:jc w:val="left"/>
            </w:pPr>
            <w:r>
              <w:rPr>
                <w:rFonts w:ascii="Cambria" w:hAnsi="Cambria" w:cs="Cambria" w:eastAsia="Cambria"/>
                <w:color w:val="1A1A1A"/>
                <w:sz w:val="18"/>
              </w:rPr>
              <w:t xml:space="preserve">~ 40 euro</w:t>
            </w:r>
          </w:p>
        </w:tc>
      </w:tr>
      <w:tr>
        <w:tc>
          <w:tcPr/>
          <w:p>
            <w:pPr>
              <w:pStyle w:val="Compact"/>
              <w:spacing w:after="40" w:before="40"/>
              <w:jc w:val="left"/>
            </w:pPr>
            <w:r>
              <w:rPr>
                <w:rFonts w:ascii="Cambria" w:hAnsi="Cambria" w:cs="Cambria" w:eastAsia="Cambria"/>
                <w:b/>
                <w:bCs/>
                <w:color w:val="1A1A1A"/>
                <w:sz w:val="18"/>
              </w:rPr>
              <w:t xml:space="preserve">Costo per ciclo (cronicità)</w:t>
            </w:r>
          </w:p>
        </w:tc>
        <w:tc>
          <w:tcPr/>
          <w:p>
            <w:pPr>
              <w:pStyle w:val="Compact"/>
              <w:spacing w:after="40" w:before="40"/>
              <w:jc w:val="left"/>
            </w:pPr>
            <w:r>
              <w:rPr>
                <w:rFonts w:ascii="Cambria" w:hAnsi="Cambria" w:cs="Cambria" w:eastAsia="Cambria"/>
                <w:color w:val="1A1A1A"/>
                <w:sz w:val="18"/>
              </w:rPr>
              <w:t xml:space="preserve">~ 700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 300 euro una tantum</w:t>
            </w:r>
          </w:p>
        </w:tc>
      </w:tr>
      <w:tr>
        <w:tc>
          <w:tcPr/>
          <w:p>
            <w:pPr>
              <w:pStyle w:val="Compact"/>
              <w:spacing w:after="40" w:before="40"/>
              <w:jc w:val="left"/>
            </w:pPr>
            <w:r>
              <w:rPr>
                <w:rFonts w:ascii="Cambria" w:hAnsi="Cambria" w:cs="Cambria" w:eastAsia="Cambria"/>
                <w:b/>
                <w:bCs/>
                <w:color w:val="1A1A1A"/>
                <w:sz w:val="18"/>
              </w:rPr>
              <w:t xml:space="preserve">Trattamento dell’incertezza</w:t>
            </w:r>
          </w:p>
        </w:tc>
        <w:tc>
          <w:tcPr/>
          <w:p>
            <w:pPr>
              <w:pStyle w:val="Compact"/>
              <w:spacing w:after="40" w:before="40"/>
              <w:jc w:val="left"/>
            </w:pPr>
            <w:r>
              <w:rPr>
                <w:rFonts w:ascii="Cambria" w:hAnsi="Cambria" w:cs="Cambria" w:eastAsia="Cambria"/>
                <w:color w:val="1A1A1A"/>
                <w:sz w:val="18"/>
              </w:rPr>
              <w:t xml:space="preserve">Parametri come distribuzioni di probabilità</w:t>
            </w:r>
          </w:p>
        </w:tc>
      </w:tr>
    </w:tbl>
    <w:p>
      <w:pPr>
        <w:pStyle w:val="BodyText"/>
      </w:pPr>
      <w:r>
        <w:rPr>
          <w:i/>
          <w:iCs/>
        </w:rPr>
        <w:t xml:space="preserve">Tabella F.1. I parametri principali del modello di Markov (comune a tutti gli studi della serie).</w:t>
      </w:r>
    </w:p>
    <w:bookmarkEnd w:id="4040"/>
    <w:bookmarkStart w:id="4042" w:name="X79a2365b1f0eb19631bffa034188aba5c623e5e"/>
    <w:p>
      <w:pPr>
        <w:pStyle w:val="Heading3"/>
      </w:pPr>
      <w:r>
        <w:t xml:space="preserve">F.2 L’analisi di sensibilità deterministica</w:t>
      </w:r>
    </w:p>
    <w:p>
      <w:pPr>
        <w:pStyle w:val="FirstParagraph"/>
      </w:pPr>
      <w:r>
        <w:t xml:space="preserve">La robustezza del risultato è saggiata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3820"/>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 che per la Valle d’Aosta sono da stimare interamente su base locale, non disponendo di alcun dato pregresso.</w:t>
      </w:r>
    </w:p>
    <w:bookmarkEnd w:id="4042"/>
    <w:bookmarkStart w:id="4044" w:name="X9767d4dd194a8681c864dde2942cb5169d77f06"/>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3821"/>
      </w:r>
      <w:r>
        <w:t xml:space="preserve"> </w:t>
      </w:r>
      <w:r>
        <w:t xml:space="preserve">La curva di accettabilità conferma che alla soglia convenzionale la probabilità di convenienza è prossima al 90% e cresce per soglie superiori.</w:t>
      </w:r>
    </w:p>
    <w:tbl>
      <w:tblPr>
        <w:tblStyle w:val="Table"/>
        <w:tblW w:type="pct" w:w="490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4940"/>
        <w:gridCol w:w="282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Esito della sensibilità probabilistica</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r>
      <w:tr>
        <w:tc>
          <w:tcPr/>
          <w:p>
            <w:pPr>
              <w:pStyle w:val="Compact"/>
              <w:spacing w:after="40" w:before="40"/>
              <w:jc w:val="left"/>
            </w:pPr>
            <w:r>
              <w:rPr>
                <w:rFonts w:ascii="Cambria" w:hAnsi="Cambria" w:cs="Cambria" w:eastAsia="Cambria"/>
                <w:b/>
                <w:bCs/>
                <w:color w:val="1A1A1A"/>
                <w:sz w:val="18"/>
              </w:rPr>
              <w:t xml:space="preserve">Probabilità di costo-efficacia (soglia 30.000 euro/QALY)</w:t>
            </w:r>
          </w:p>
        </w:tc>
        <w:tc>
          <w:tcPr/>
          <w:p>
            <w:pPr>
              <w:pStyle w:val="Compact"/>
              <w:spacing w:after="40" w:before="40"/>
              <w:jc w:val="left"/>
            </w:pPr>
            <w:r>
              <w:rPr>
                <w:rFonts w:ascii="Cambria" w:hAnsi="Cambria" w:cs="Cambria" w:eastAsia="Cambria"/>
                <w:color w:val="1A1A1A"/>
                <w:sz w:val="18"/>
              </w:rPr>
              <w:t xml:space="preserve">88,9% delle simulazioni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Probabilità di dominanza</w:t>
            </w:r>
          </w:p>
        </w:tc>
        <w:tc>
          <w:tcPr>
            <w:shd w:val="clear" w:color="auto" w:fill="F4F1EC"/>
          </w:tcPr>
          <w:p>
            <w:pPr>
              <w:pStyle w:val="Compact"/>
              <w:spacing w:after="40" w:before="40"/>
              <w:jc w:val="left"/>
            </w:pPr>
            <w:r>
              <w:rPr>
                <w:rFonts w:ascii="Cambria" w:hAnsi="Cambria" w:cs="Cambria" w:eastAsia="Cambria"/>
                <w:color w:val="1A1A1A"/>
                <w:sz w:val="18"/>
              </w:rPr>
              <w:t xml:space="preserve">84,6% delle simulazioni</w:t>
            </w:r>
          </w:p>
        </w:tc>
      </w:tr>
      <w:tr>
        <w:tc>
          <w:tcPr/>
          <w:p>
            <w:pPr>
              <w:pStyle w:val="Compact"/>
              <w:spacing w:after="40" w:before="40"/>
              <w:jc w:val="left"/>
            </w:pPr>
            <w:r>
              <w:rPr>
                <w:rFonts w:ascii="Cambria" w:hAnsi="Cambria" w:cs="Cambria" w:eastAsia="Cambria"/>
                <w:b/>
                <w:bCs/>
                <w:color w:val="1A1A1A"/>
                <w:sz w:val="18"/>
              </w:rPr>
              <w:t xml:space="preserve">Beneficio monetario netto medio per paziente</w:t>
            </w:r>
          </w:p>
        </w:tc>
        <w:tc>
          <w:tcPr/>
          <w:p>
            <w:pPr>
              <w:pStyle w:val="Compact"/>
              <w:spacing w:after="40" w:before="40"/>
              <w:jc w:val="left"/>
            </w:pPr>
            <w:r>
              <w:rPr>
                <w:rFonts w:ascii="Cambria" w:hAnsi="Cambria" w:cs="Cambria" w:eastAsia="Cambria"/>
                <w:color w:val="1A1A1A"/>
                <w:sz w:val="18"/>
              </w:rPr>
              <w:t xml:space="preserve">~ 7.815 euro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Intervallo di confidenza al 95%</w:t>
            </w:r>
          </w:p>
        </w:tc>
        <w:tc>
          <w:tcPr>
            <w:shd w:val="clear" w:color="auto" w:fill="F4F1EC"/>
          </w:tcPr>
          <w:p>
            <w:pPr>
              <w:pStyle w:val="Compact"/>
              <w:spacing w:after="40" w:before="40"/>
              <w:jc w:val="left"/>
            </w:pPr>
            <w:r>
              <w:rPr>
                <w:rFonts w:ascii="Cambria" w:hAnsi="Cambria" w:cs="Cambria" w:eastAsia="Cambria"/>
                <w:color w:val="1A1A1A"/>
                <w:sz w:val="18"/>
              </w:rPr>
              <w:t xml:space="preserve">da ~ −5.736 a ~ +21.501 euro</w:t>
            </w:r>
          </w:p>
        </w:tc>
      </w:tr>
      <w:tr>
        <w:tc>
          <w:tcPr/>
          <w:p>
            <w:pPr>
              <w:pStyle w:val="Compact"/>
              <w:spacing w:after="40" w:before="40"/>
              <w:jc w:val="left"/>
            </w:pPr>
            <w:r>
              <w:rPr>
                <w:rFonts w:ascii="Cambria" w:hAnsi="Cambria" w:cs="Cambria" w:eastAsia="Cambria"/>
                <w:b/>
                <w:bCs/>
                <w:color w:val="1A1A1A"/>
                <w:sz w:val="18"/>
              </w:rPr>
              <w:t xml:space="preserve">Numero di simulazioni</w:t>
            </w:r>
          </w:p>
        </w:tc>
        <w:tc>
          <w:tcPr/>
          <w:p>
            <w:pPr>
              <w:pStyle w:val="Compact"/>
              <w:spacing w:after="40" w:before="40"/>
              <w:jc w:val="left"/>
            </w:pPr>
            <w:r>
              <w:rPr>
                <w:rFonts w:ascii="Cambria" w:hAnsi="Cambria" w:cs="Cambria" w:eastAsia="Cambria"/>
                <w:color w:val="1A1A1A"/>
                <w:sz w:val="18"/>
              </w:rPr>
              <w:t xml:space="preserve">10.000</w:t>
            </w:r>
          </w:p>
        </w:tc>
      </w:tr>
    </w:tbl>
    <w:p>
      <w:pPr>
        <w:pStyle w:val="BodyText"/>
      </w:pPr>
      <w:r>
        <w:rPr>
          <w:i/>
          <w:iCs/>
        </w:rPr>
        <w:t xml:space="preserve">Tabella F.2. Gli esiti dell’analisi di sensibilità probabilistica (per paziente).</w:t>
      </w:r>
    </w:p>
    <w:bookmarkEnd w:id="4044"/>
    <w:bookmarkStart w:id="4046" w:name="X21645eb6b1006887fce7a70d1a86a293b238456"/>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Per la Valle d’Aosta, data la dimensione molto ridotta, anche lo scenario conservativo (15 psicologi) rappresenta un primo passo sostanziale rispetto all’assenza attuale. Va ribadita una distinzione di onestà analitica: il risultato per paziente è robusto, ma le grandezze aggregate di sistema dipendono dai tassi di intercettazione e dai costi evitati, e presentano un’incertezza maggiore; lo studio la riconosce e adotta per le conclusioni i valori centrali o conservativi.</w:t>
      </w:r>
      <w:r>
        <w:rPr>
          <w:rStyle w:val="FootnoteReference"/>
        </w:rPr>
        <w:footnoteReference w:id="3822"/>
      </w:r>
    </w:p>
    <w:bookmarkEnd w:id="4046"/>
    <w:bookmarkStart w:id="4050" w:name="X7a5f857d8a56c7944b89ae800dcef5844fca890"/>
    <w:p>
      <w:pPr>
        <w:pStyle w:val="Heading3"/>
      </w:pPr>
      <w:r>
        <w:t xml:space="preserve">F.5 La verifica empirica e il valore dell’informazione</w:t>
      </w:r>
    </w:p>
    <w:p>
      <w:pPr>
        <w:pStyle w:val="FirstParagraph"/>
      </w:pPr>
      <w:r>
        <w:t xml:space="preserve">Il disegno della verifica empirica costituisce, per la Valle d’Aosta, un elemento di impostazione fondamentale. A differenza delle regioni che dispongono di assetti già operanti, la Valle d’Aosta parte da zero e deve costruire la propria base di dati ex novo. Questo, lungi dall’essere un limite, è un’opportunità: impostare fin dall’avvio del servizio una rilevazione ben progettata, con raccolta sistematica dei dati di processo e di esito secondo il dataset minimo definito in Appendice B, consente di generare dati propri che sostituiranno progressivamente le stime derivate dai benchmark.</w:t>
      </w:r>
      <w:r>
        <w:rPr>
          <w:rStyle w:val="FootnoteReference"/>
        </w:rPr>
        <w:footnoteReference w:id="3823"/>
      </w:r>
      <w:r>
        <w:t xml:space="preserve"> </w:t>
      </w:r>
      <w:r>
        <w:t xml:space="preserve">Il disegno controfattuale più appropriato per la Valle d’Aosta è l’attivazione graduale per distretto, con i distretti attivati successivamente che fungono da controllo per quelli già avviati.</w:t>
      </w:r>
      <w:r>
        <w:rPr>
          <w:rStyle w:val="FootnoteReference"/>
        </w:rPr>
        <w:footnoteReference w:id="3824"/>
      </w:r>
      <w:r>
        <w:t xml:space="preserve"> </w:t>
      </w:r>
      <w:r>
        <w:t xml:space="preserve">L’analisi del valore dell’informazione indica che il beneficio di ridurre l’incertezza, anche alla piccola scala della Valle d’Aosta, eccede ampiamente il costo di una raccolta dati ben organizzata.</w:t>
      </w:r>
      <w:r>
        <w:rPr>
          <w:rStyle w:val="FootnoteReference"/>
        </w:rPr>
        <w:footnoteReference w:id="3825"/>
      </w:r>
    </w:p>
    <w:tbl>
      <w:tblPr>
        <w:tblStyle w:val="Table"/>
        <w:tblW w:type="pct" w:w="493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270"/>
        <w:gridCol w:w="3321"/>
        <w:gridCol w:w="122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Priorità di ricerca</w:t>
            </w:r>
          </w:p>
        </w:tc>
        <w:tc>
          <w:tcPr>
            <w:shd w:val="clear" w:color="auto" w:fill="16264B"/>
          </w:tcPr>
          <w:p>
            <w:pPr>
              <w:pStyle w:val="Compact"/>
              <w:spacing w:after="40" w:before="40"/>
              <w:jc w:val="left"/>
            </w:pPr>
            <w:r>
              <w:rPr>
                <w:rFonts w:ascii="Cambria" w:hAnsi="Cambria" w:cs="Cambria" w:eastAsia="Cambria"/>
                <w:b/>
                <w:bCs/>
                <w:color w:val="FFFFFF"/>
                <w:sz w:val="18"/>
              </w:rPr>
              <w:t xml:space="preserve">Finalità</w:t>
            </w:r>
          </w:p>
        </w:tc>
        <w:tc>
          <w:tcPr>
            <w:shd w:val="clear" w:color="auto" w:fill="16264B"/>
          </w:tcPr>
          <w:p>
            <w:pPr>
              <w:pStyle w:val="Compact"/>
              <w:spacing w:after="40" w:before="40"/>
              <w:jc w:val="left"/>
            </w:pPr>
            <w:r>
              <w:rPr>
                <w:rFonts w:ascii="Cambria" w:hAnsi="Cambria" w:cs="Cambria" w:eastAsia="Cambria"/>
                <w:b/>
                <w:bCs/>
                <w:color w:val="FFFFFF"/>
                <w:sz w:val="18"/>
              </w:rPr>
              <w:t xml:space="preserve">Rilevanza</w:t>
            </w:r>
          </w:p>
        </w:tc>
      </w:tr>
      <w:tr>
        <w:tc>
          <w:tcPr/>
          <w:p>
            <w:pPr>
              <w:pStyle w:val="Compact"/>
              <w:spacing w:after="40" w:before="40"/>
              <w:jc w:val="left"/>
            </w:pPr>
            <w:r>
              <w:rPr>
                <w:rFonts w:ascii="Cambria" w:hAnsi="Cambria" w:cs="Cambria" w:eastAsia="Cambria"/>
                <w:b/>
                <w:bCs/>
                <w:color w:val="1A1A1A"/>
                <w:sz w:val="18"/>
              </w:rPr>
              <w:t xml:space="preserve">Conti certificati dell’Azienda USL Valle d’Aosta</w:t>
            </w:r>
          </w:p>
        </w:tc>
        <w:tc>
          <w:tcPr/>
          <w:p>
            <w:pPr>
              <w:pStyle w:val="Compact"/>
              <w:spacing w:after="40" w:before="40"/>
              <w:jc w:val="left"/>
            </w:pPr>
            <w:r>
              <w:rPr>
                <w:rFonts w:ascii="Cambria" w:hAnsi="Cambria" w:cs="Cambria" w:eastAsia="Cambria"/>
                <w:color w:val="1A1A1A"/>
                <w:sz w:val="18"/>
              </w:rPr>
              <w:t xml:space="preserve">Sostituire le stime per quota con dati reali</w:t>
            </w:r>
          </w:p>
        </w:tc>
        <w:tc>
          <w:tcPr/>
          <w:p>
            <w:pPr>
              <w:pStyle w:val="Compact"/>
              <w:spacing w:after="40" w:before="40"/>
              <w:jc w:val="left"/>
            </w:pPr>
            <w:r>
              <w:rPr>
                <w:rFonts w:ascii="Cambria" w:hAnsi="Cambria" w:cs="Cambria" w:eastAsia="Cambria"/>
                <w:color w:val="1A1A1A"/>
                <w:sz w:val="18"/>
              </w:rPr>
              <w:t xml:space="preserve">Massima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Impostazione del dataset minimo dall’avvio</w:t>
            </w:r>
          </w:p>
        </w:tc>
        <w:tc>
          <w:tcPr>
            <w:shd w:val="clear" w:color="auto" w:fill="F4F1EC"/>
          </w:tcPr>
          <w:p>
            <w:pPr>
              <w:pStyle w:val="Compact"/>
              <w:spacing w:after="40" w:before="40"/>
              <w:jc w:val="left"/>
            </w:pPr>
            <w:r>
              <w:rPr>
                <w:rFonts w:ascii="Cambria" w:hAnsi="Cambria" w:cs="Cambria" w:eastAsia="Cambria"/>
                <w:color w:val="1A1A1A"/>
                <w:sz w:val="18"/>
              </w:rPr>
              <w:t xml:space="preserve">Generare dati propri su processo ed esiti</w:t>
            </w:r>
          </w:p>
        </w:tc>
        <w:tc>
          <w:tcPr>
            <w:shd w:val="clear" w:color="auto" w:fill="F4F1EC"/>
          </w:tcPr>
          <w:p>
            <w:pPr>
              <w:pStyle w:val="Compact"/>
              <w:spacing w:after="40" w:before="40"/>
              <w:jc w:val="left"/>
            </w:pPr>
            <w:r>
              <w:rPr>
                <w:rFonts w:ascii="Cambria" w:hAnsi="Cambria" w:cs="Cambria" w:eastAsia="Cambria"/>
                <w:color w:val="1A1A1A"/>
                <w:sz w:val="18"/>
              </w:rPr>
              <w:t xml:space="preserve">Massima</w:t>
            </w:r>
          </w:p>
        </w:tc>
      </w:tr>
      <w:tr>
        <w:tc>
          <w:tcPr/>
          <w:p>
            <w:pPr>
              <w:pStyle w:val="Compact"/>
              <w:spacing w:after="40" w:before="40"/>
              <w:jc w:val="left"/>
            </w:pPr>
            <w:r>
              <w:rPr>
                <w:rFonts w:ascii="Cambria" w:hAnsi="Cambria" w:cs="Cambria" w:eastAsia="Cambria"/>
                <w:b/>
                <w:bCs/>
                <w:color w:val="1A1A1A"/>
                <w:sz w:val="18"/>
              </w:rPr>
              <w:t xml:space="preserve">Tassi di intercettazione e costi evitati</w:t>
            </w:r>
          </w:p>
        </w:tc>
        <w:tc>
          <w:tcPr/>
          <w:p>
            <w:pPr>
              <w:pStyle w:val="Compact"/>
              <w:spacing w:after="40" w:before="40"/>
              <w:jc w:val="left"/>
            </w:pPr>
            <w:r>
              <w:rPr>
                <w:rFonts w:ascii="Cambria" w:hAnsi="Cambria" w:cs="Cambria" w:eastAsia="Cambria"/>
                <w:color w:val="1A1A1A"/>
                <w:sz w:val="18"/>
              </w:rPr>
              <w:t xml:space="preserve">Ridurre l’incertezza sulle grandezze aggregate</w:t>
            </w:r>
          </w:p>
        </w:tc>
        <w:tc>
          <w:tcPr/>
          <w:p>
            <w:pPr>
              <w:pStyle w:val="Compact"/>
              <w:spacing w:after="40" w:before="40"/>
              <w:jc w:val="left"/>
            </w:pPr>
            <w:r>
              <w:rPr>
                <w:rFonts w:ascii="Cambria" w:hAnsi="Cambria" w:cs="Cambria" w:eastAsia="Cambria"/>
                <w:color w:val="1A1A1A"/>
                <w:sz w:val="18"/>
              </w:rPr>
              <w:t xml:space="preserve">Alta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 nel contesto locale</w:t>
            </w:r>
          </w:p>
        </w:tc>
        <w:tc>
          <w:tcPr>
            <w:shd w:val="clear" w:color="auto" w:fill="F4F1EC"/>
          </w:tcPr>
          <w:p>
            <w:pPr>
              <w:pStyle w:val="Compact"/>
              <w:spacing w:after="40" w:before="40"/>
              <w:jc w:val="left"/>
            </w:pPr>
            <w:r>
              <w:rPr>
                <w:rFonts w:ascii="Cambria" w:hAnsi="Cambria" w:cs="Cambria" w:eastAsia="Cambria"/>
                <w:color w:val="1A1A1A"/>
                <w:sz w:val="18"/>
              </w:rPr>
              <w:t xml:space="preserve">Corroborare il parametro più influente</w:t>
            </w:r>
          </w:p>
        </w:tc>
        <w:tc>
          <w:tcPr>
            <w:shd w:val="clear" w:color="auto" w:fill="F4F1EC"/>
          </w:tcPr>
          <w:p>
            <w:pPr>
              <w:pStyle w:val="Compact"/>
              <w:spacing w:after="40" w:before="40"/>
              <w:jc w:val="left"/>
            </w:pPr>
            <w:r>
              <w:rPr>
                <w:rFonts w:ascii="Cambria" w:hAnsi="Cambria" w:cs="Cambria" w:eastAsia="Cambria"/>
                <w:color w:val="1A1A1A"/>
                <w:sz w:val="18"/>
              </w:rPr>
              <w:t xml:space="preserve">Alta</w:t>
            </w:r>
          </w:p>
        </w:tc>
      </w:tr>
    </w:tbl>
    <w:p>
      <w:pPr>
        <w:pStyle w:val="BodyText"/>
      </w:pPr>
      <w:r>
        <w:rPr>
          <w:i/>
          <w:iCs/>
        </w:rPr>
        <w:t xml:space="preserve">Tabella F.3. Le priorità di ricerca derivanti dall’analisi del valore dell’informazione.</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4050"/>
    <w:bookmarkEnd w:id="4051"/>
    <w:bookmarkStart w:id="4064" w:name="parte-g-equità-e-impatto-distributivo-17"/>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 Valle d’Aosta. La parte definisce il quadro dell’equità e il gradiente sociale (capitolo G.1); analizza gli assi territoriali del divario e le barriere di accesso (G.2); descrive gli strumenti attraverso cui il servizio agisce sull’equità (G.3); e presenta l’analisi di costo-efficacia distributiva con le sue implicazioni allocative (G.4). Il tratto distintivo della Valle d’Aosta è la compresenza di un divario territoriale particolarmente marcato — fondovalle centrale e capoluogo contro vallate laterali a popolazione anziana e dispersa — e di un elemento di bilinguismo strutturale, cui si aggiunge la dimensione dell’invecchiamento come asse di bisogno crescente.</w:t>
      </w:r>
    </w:p>
    <w:bookmarkStart w:id="4055" w:name="X3c895716e16d461a3992c4642969ab979b780ed"/>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w:t>
      </w:r>
      <w:r>
        <w:rPr>
          <w:rStyle w:val="FootnoteReference"/>
        </w:rPr>
        <w:footnoteReference w:id="3826"/>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3827"/>
      </w:r>
      <w:r>
        <w:t xml:space="preserve"> </w:t>
      </w:r>
      <w:r>
        <w:t xml:space="preserve">In Valle d’Aosta, a questo gradiente si sommano barriere di accesso geografiche, linguistiche e culturali, oltre allo stigma. Sul piano geografico, le vallate laterali sono penalizzate dalle distanze e dall’orografia, con costi di accesso fisico al servizio molto più elevati che nel fondovalle. Sul piano linguistico, il servizio deve essere disponibile in entrambe le lingue ufficiali — italiano e francese — per garantire un accesso effettivo a tutti i residenti.</w:t>
      </w:r>
      <w:r>
        <w:rPr>
          <w:rStyle w:val="FootnoteReference"/>
        </w:rPr>
        <w:footnoteReference w:id="3828"/>
      </w:r>
      <w:r>
        <w:t xml:space="preserve"> </w:t>
      </w:r>
      <w:r>
        <w:t xml:space="preserve">Sul piano generazionale, la componente anziana presenta bisogni propri che richiedono competenze specifiche e un’organizzazione dell’accesso adatta alle limitazioni fisiche.</w:t>
      </w:r>
    </w:p>
    <w:bookmarkEnd w:id="4055"/>
    <w:bookmarkStart w:id="4056" w:name="g.2-gli-assi-del-divario-territoriale"/>
    <w:p>
      <w:pPr>
        <w:pStyle w:val="Heading3"/>
      </w:pPr>
      <w:r>
        <w:t xml:space="preserve">G.2 Gli assi del divario territoriale</w:t>
      </w:r>
    </w:p>
    <w:p>
      <w:pPr>
        <w:pStyle w:val="FirstParagraph"/>
      </w:pPr>
      <w:r>
        <w:t xml:space="preserve">La specificità distributiva della Valle d’Aosta risiede nella struttura del divario territoriale, particolarmente pronunciata in ragione della morfologia alpina. Il primo asse separa il fondovalle centrale e il capoluogo Aosta — dove si concentrano i servizi, le infrastrutture e la maggior parte della popolazione — dalle vallate laterali (Valle di Cogne, Valle del Gran San Bernardo, Valle di La Thuile, Valle del Cervino, Valle di Gressoney, Valle del Champorcher, ecc.), dove la dispersione abitativa e le distanze dall’asse principale rendono l’accesso ai servizi significativamente più oneroso e selettivo. Il secondo asse, meno visibile ma strutturale, è quello dell’invecchiamento: le vallate laterali presentano spesso una struttura demografica più anziana della media regionale già elevata, combinando il doppio svantaggio del bisogno maggiore e dell’accesso più difficile. La tabella seguente sintetizza gli assi e le leve di riequilibrio.</w:t>
      </w:r>
    </w:p>
    <w:tbl>
      <w:tblPr>
        <w:tblStyle w:val="Table"/>
        <w:tblW w:type="pct" w:w="496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077"/>
        <w:gridCol w:w="3389"/>
        <w:gridCol w:w="338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Asse del divario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Caratterizzazione</w:t>
            </w:r>
          </w:p>
        </w:tc>
        <w:tc>
          <w:tcPr>
            <w:shd w:val="clear" w:color="auto" w:fill="16264B"/>
          </w:tcPr>
          <w:p>
            <w:pPr>
              <w:pStyle w:val="Compact"/>
              <w:spacing w:after="40" w:before="40"/>
              <w:jc w:val="left"/>
            </w:pPr>
            <w:r>
              <w:rPr>
                <w:rFonts w:ascii="Cambria" w:hAnsi="Cambria" w:cs="Cambria" w:eastAsia="Cambria"/>
                <w:b/>
                <w:bCs/>
                <w:color w:val="FFFFFF"/>
                <w:sz w:val="18"/>
              </w:rPr>
              <w:t xml:space="preserve">Leva di riequilibrio</w:t>
            </w:r>
          </w:p>
        </w:tc>
      </w:tr>
      <w:tr>
        <w:tc>
          <w:tcPr/>
          <w:p>
            <w:pPr>
              <w:pStyle w:val="Compact"/>
              <w:spacing w:after="40" w:before="40"/>
              <w:jc w:val="left"/>
            </w:pPr>
            <w:r>
              <w:rPr>
                <w:rFonts w:ascii="Cambria" w:hAnsi="Cambria" w:cs="Cambria" w:eastAsia="Cambria"/>
                <w:b/>
                <w:bCs/>
                <w:color w:val="1A1A1A"/>
                <w:sz w:val="18"/>
              </w:rPr>
              <w:t xml:space="preserve">Fondovalle / vallate lat.</w:t>
            </w:r>
          </w:p>
        </w:tc>
        <w:tc>
          <w:tcPr/>
          <w:p>
            <w:pPr>
              <w:pStyle w:val="Compact"/>
              <w:spacing w:after="40" w:before="40"/>
              <w:jc w:val="left"/>
            </w:pPr>
            <w:r>
              <w:rPr>
                <w:rFonts w:ascii="Cambria" w:hAnsi="Cambria" w:cs="Cambria" w:eastAsia="Cambria"/>
                <w:color w:val="1A1A1A"/>
                <w:sz w:val="18"/>
              </w:rPr>
              <w:t xml:space="preserve">Vallate a popolazione dispersa, distante dai centri, con orografia che ostacola l’accesso T</w:t>
            </w:r>
          </w:p>
        </w:tc>
        <w:tc>
          <w:tcPr/>
          <w:p>
            <w:pPr>
              <w:pStyle w:val="Compact"/>
              <w:spacing w:after="40" w:before="40"/>
              <w:jc w:val="left"/>
            </w:pPr>
            <w:r>
              <w:rPr>
                <w:rFonts w:ascii="Cambria" w:hAnsi="Cambria" w:cs="Cambria" w:eastAsia="Cambria"/>
                <w:color w:val="1A1A1A"/>
                <w:sz w:val="18"/>
              </w:rPr>
              <w:t xml:space="preserve">elepsicologia assistita; presenze programmate nei poliambulatori distrettuali delle vallate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Bilinguismo strutturale</w:t>
            </w:r>
          </w:p>
        </w:tc>
        <w:tc>
          <w:tcPr>
            <w:shd w:val="clear" w:color="auto" w:fill="F4F1EC"/>
          </w:tcPr>
          <w:p>
            <w:pPr>
              <w:pStyle w:val="Compact"/>
              <w:spacing w:after="40" w:before="40"/>
              <w:jc w:val="left"/>
            </w:pPr>
            <w:r>
              <w:rPr>
                <w:rFonts w:ascii="Cambria" w:hAnsi="Cambria" w:cs="Cambria" w:eastAsia="Cambria"/>
                <w:color w:val="1A1A1A"/>
                <w:sz w:val="18"/>
              </w:rPr>
              <w:t xml:space="preserve">Italiano e francese, con tutela costituzionale; accesso effettivo richiede il servizio nella lingua del res</w:t>
            </w:r>
          </w:p>
        </w:tc>
        <w:tc>
          <w:tcPr>
            <w:shd w:val="clear" w:color="auto" w:fill="F4F1EC"/>
          </w:tcPr>
          <w:p>
            <w:pPr>
              <w:pStyle w:val="Compact"/>
              <w:spacing w:after="40" w:before="40"/>
              <w:jc w:val="left"/>
            </w:pPr>
            <w:r>
              <w:rPr>
                <w:rFonts w:ascii="Cambria" w:hAnsi="Cambria" w:cs="Cambria" w:eastAsia="Cambria"/>
                <w:color w:val="1A1A1A"/>
                <w:sz w:val="18"/>
              </w:rPr>
              <w:t xml:space="preserve">idente Personale bilingue; disponibilità in francese; telepsicologia bilingue</w:t>
            </w:r>
          </w:p>
        </w:tc>
      </w:tr>
      <w:tr>
        <w:tc>
          <w:tcPr/>
          <w:p>
            <w:pPr>
              <w:pStyle w:val="Compact"/>
              <w:spacing w:after="40" w:before="40"/>
              <w:jc w:val="left"/>
            </w:pPr>
            <w:r>
              <w:rPr>
                <w:rFonts w:ascii="Cambria" w:hAnsi="Cambria" w:cs="Cambria" w:eastAsia="Cambria"/>
                <w:b/>
                <w:bCs/>
                <w:color w:val="1A1A1A"/>
                <w:sz w:val="18"/>
              </w:rPr>
              <w:t xml:space="preserve">Anzianità crescente</w:t>
            </w:r>
          </w:p>
        </w:tc>
        <w:tc>
          <w:tcPr/>
          <w:p>
            <w:pPr>
              <w:pStyle w:val="Compact"/>
              <w:spacing w:after="40" w:before="40"/>
              <w:jc w:val="left"/>
            </w:pPr>
            <w:r>
              <w:rPr>
                <w:rFonts w:ascii="Cambria" w:hAnsi="Cambria" w:cs="Cambria" w:eastAsia="Cambria"/>
                <w:color w:val="1A1A1A"/>
                <w:sz w:val="18"/>
              </w:rPr>
              <w:t xml:space="preserve">Indice di vecchiaia 215,1; over-65 al 34% nel 2040; bisogno crescente e accesso più difficoltoso per limita</w:t>
            </w:r>
          </w:p>
        </w:tc>
        <w:tc>
          <w:tcPr/>
          <w:p>
            <w:pPr>
              <w:pStyle w:val="Compact"/>
              <w:spacing w:after="40" w:before="40"/>
              <w:jc w:val="left"/>
            </w:pPr>
            <w:r>
              <w:rPr>
                <w:rFonts w:ascii="Cambria" w:hAnsi="Cambria" w:cs="Cambria" w:eastAsia="Cambria"/>
                <w:color w:val="1A1A1A"/>
                <w:sz w:val="18"/>
              </w:rPr>
              <w:t xml:space="preserve">zioni fisiche Intercettazione tramite MMG; domiciliarità; programmi specifici per l’anzianità</w:t>
            </w:r>
          </w:p>
        </w:tc>
      </w:tr>
    </w:tbl>
    <w:p>
      <w:pPr>
        <w:pStyle w:val="BodyText"/>
      </w:pPr>
      <w:r>
        <w:rPr>
          <w:i/>
          <w:iCs/>
        </w:rPr>
        <w:t xml:space="preserve">Tabella G.1. Gli assi del divario territoriale e bilingue della Valle d’Aosta, la dimensione dell’anzianità e le leve di riequilibrio.</w:t>
      </w:r>
    </w:p>
    <w:bookmarkEnd w:id="4056"/>
    <w:bookmarkStart w:id="4060" w:name="g.3-gli-strumenti-dellequità-10"/>
    <w:p>
      <w:pPr>
        <w:pStyle w:val="Heading3"/>
      </w:pPr>
      <w:r>
        <w:t xml:space="preserve">G.3 Gli strumenti dell’equità</w:t>
      </w:r>
    </w:p>
    <w:p>
      <w:pPr>
        <w:pStyle w:val="FirstParagraph"/>
      </w:pPr>
      <w:r>
        <w:t xml:space="preserve">Il servizio agisce sull’equità attraverso meccanismi precisi.</w:t>
      </w:r>
      <w:r>
        <w:rPr>
          <w:rStyle w:val="FootnoteReference"/>
        </w:rPr>
        <w:footnoteReference w:id="3829"/>
      </w:r>
      <w:r>
        <w:t xml:space="preserve"> </w:t>
      </w:r>
      <w:r>
        <w:t xml:space="preserve">La prossimità nelle Case della Comunità e nei poliambulatori distrettuali abbatte parte delle barriere geografiche e indirizza l’offerta verso chi ne è oggi escluso; in Valle d’Aosta il pieno effetto pro-equità opera attraverso la prossimità nelle vallate, l’erogazione bilingue e una programmazione dell’accesso che non penalizzi i residenti nelle aree più remote. La telepsicologia assistita avvicina l’offerta alle vallate alpine a popolazione dispersa e consente di mettere a disposizione, anche a distanza, personale bilingue, in funzione complementare e non sostitutiva della presa in carico in presenza, estendendo la copertura proprio dove l’accesso è più difficile.</w:t>
      </w:r>
      <w:r>
        <w:rPr>
          <w:rStyle w:val="FootnoteReference"/>
        </w:rPr>
        <w:footnoteReference w:id="3830"/>
      </w:r>
      <w:r>
        <w:t xml:space="preserve"> </w:t>
      </w:r>
      <w:r>
        <w:t xml:space="preserve">L’attenzione specifica al bisogno dell’anzianità — programmazione compatibile con le limitazioni di mobilità, disponibilità di accesso domiciliare o di trasporto assistito, formazione specifica degli psicologi — assicura che il servizio raggiunga la fascia di età a più elevato bisogno non soddisfatto.</w:t>
      </w:r>
      <w:r>
        <w:rPr>
          <w:rStyle w:val="FootnoteReference"/>
        </w:rPr>
        <w:footnoteReference w:id="3831"/>
      </w:r>
    </w:p>
    <w:bookmarkEnd w:id="4060"/>
    <w:bookmarkStart w:id="4063" w:name="X4e2fe245964d80d7c89b15e8b9612b8384ee24f"/>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3832"/>
      </w:r>
      <w:r>
        <w:t xml:space="preserve"> </w:t>
      </w:r>
      <w:r>
        <w:t xml:space="preserve">Perché questo potenziale si realizzi, la copertura va modulata in funzione del bisogno, destinando una quota maggiore di risorse alle vallate più isolate e garantendo la disponibilità bilingue del servizio. Un’allocazione uniforme rispetto alla popolazione non correggerebbe i divari; un’allocazione ponderata per il bisogno e per la distanza li riduce. Va tenuto presente il rischio di iniquità inversa: se l’istituzione del servizio privilegiasse, per facilità organizzativa, il solo capoluogo o il solo fondovalle, l’effetto distributivo potrebbe risultare regressivo; il rischio va prevenuto con criteri espliciti di equità nell’allocazione delle ore di servizio fra i distretti, assicurando la copertura delle vallate e la disponibilità bilingue fin dall’avvio.</w:t>
      </w:r>
      <w:r>
        <w:rPr>
          <w:rStyle w:val="FootnoteReference"/>
        </w:rPr>
        <w:footnoteReference w:id="3833"/>
      </w:r>
    </w:p>
    <w:tbl>
      <w:tblPr>
        <w:tblStyle w:val="Table"/>
        <w:tblW w:type="pct" w:w="4942"/>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945"/>
        <w:gridCol w:w="58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Dimensione distributiva</w:t>
            </w:r>
          </w:p>
        </w:tc>
        <w:tc>
          <w:tcPr>
            <w:shd w:val="clear" w:color="auto" w:fill="16264B"/>
          </w:tcPr>
          <w:p>
            <w:pPr>
              <w:pStyle w:val="Compact"/>
              <w:spacing w:after="40" w:before="40"/>
              <w:jc w:val="left"/>
            </w:pPr>
            <w:r>
              <w:rPr>
                <w:rFonts w:ascii="Cambria" w:hAnsi="Cambria" w:cs="Cambria" w:eastAsia="Cambria"/>
                <w:b/>
                <w:bCs/>
                <w:color w:val="FFFFFF"/>
                <w:sz w:val="18"/>
              </w:rPr>
              <w:t xml:space="preserve">Esito per la Valle d’Aosta</w:t>
            </w:r>
          </w:p>
        </w:tc>
      </w:tr>
      <w:tr>
        <w:tc>
          <w:tcPr/>
          <w:p>
            <w:pPr>
              <w:pStyle w:val="Compact"/>
              <w:spacing w:after="40" w:before="40"/>
              <w:jc w:val="left"/>
            </w:pPr>
            <w:r>
              <w:rPr>
                <w:rFonts w:ascii="Cambria" w:hAnsi="Cambria" w:cs="Cambria" w:eastAsia="Cambria"/>
                <w:b/>
                <w:bCs/>
                <w:color w:val="1A1A1A"/>
                <w:sz w:val="18"/>
              </w:rPr>
              <w:t xml:space="preserve">Efficienza complessiva</w:t>
            </w:r>
          </w:p>
        </w:tc>
        <w:tc>
          <w:tcPr/>
          <w:p>
            <w:pPr>
              <w:pStyle w:val="Compact"/>
              <w:spacing w:after="40" w:before="40"/>
              <w:jc w:val="left"/>
            </w:pPr>
            <w:r>
              <w:rPr>
                <w:rFonts w:ascii="Cambria" w:hAnsi="Cambria" w:cs="Cambria" w:eastAsia="Cambria"/>
                <w:color w:val="1A1A1A"/>
                <w:sz w:val="18"/>
              </w:rPr>
              <w:t xml:space="preserve">Intervento costo-efficace e dominante per paziente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Direzione dell’effetto distributivo</w:t>
            </w:r>
          </w:p>
        </w:tc>
        <w:tc>
          <w:tcPr>
            <w:shd w:val="clear" w:color="auto" w:fill="F4F1EC"/>
          </w:tcPr>
          <w:p>
            <w:pPr>
              <w:pStyle w:val="Compact"/>
              <w:spacing w:after="40" w:before="40"/>
              <w:jc w:val="left"/>
            </w:pPr>
            <w:r>
              <w:rPr>
                <w:rFonts w:ascii="Cambria" w:hAnsi="Cambria" w:cs="Cambria" w:eastAsia="Cambria"/>
                <w:color w:val="1A1A1A"/>
                <w:sz w:val="18"/>
              </w:rPr>
              <w:t xml:space="preserve">Favorevole all’equità: maggiori benefici nei gruppi a più alto bisogno</w:t>
            </w:r>
          </w:p>
        </w:tc>
      </w:tr>
      <w:tr>
        <w:tc>
          <w:tcPr/>
          <w:p>
            <w:pPr>
              <w:pStyle w:val="Compact"/>
              <w:spacing w:after="40" w:before="40"/>
              <w:jc w:val="left"/>
            </w:pPr>
            <w:r>
              <w:rPr>
                <w:rFonts w:ascii="Cambria" w:hAnsi="Cambria" w:cs="Cambria" w:eastAsia="Cambria"/>
                <w:b/>
                <w:bCs/>
                <w:color w:val="1A1A1A"/>
                <w:sz w:val="18"/>
              </w:rPr>
              <w:t xml:space="preserve">Condizione di realizzazione</w:t>
            </w:r>
          </w:p>
        </w:tc>
        <w:tc>
          <w:tcPr/>
          <w:p>
            <w:pPr>
              <w:pStyle w:val="Compact"/>
              <w:spacing w:after="40" w:before="40"/>
              <w:jc w:val="left"/>
            </w:pPr>
            <w:r>
              <w:rPr>
                <w:rFonts w:ascii="Cambria" w:hAnsi="Cambria" w:cs="Cambria" w:eastAsia="Cambria"/>
                <w:color w:val="1A1A1A"/>
                <w:sz w:val="18"/>
              </w:rPr>
              <w:t xml:space="preserve">Allocazione pro-equità verso le vallate e bilinguismo italiano-francese dall’avvio; attenzione all’anzianità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Strumenti abilitanti</w:t>
            </w:r>
          </w:p>
        </w:tc>
        <w:tc>
          <w:tcPr>
            <w:shd w:val="clear" w:color="auto" w:fill="F4F1EC"/>
          </w:tcPr>
          <w:p>
            <w:pPr>
              <w:pStyle w:val="Compact"/>
              <w:spacing w:after="40" w:before="40"/>
              <w:jc w:val="left"/>
            </w:pPr>
            <w:r>
              <w:rPr>
                <w:rFonts w:ascii="Cambria" w:hAnsi="Cambria" w:cs="Cambria" w:eastAsia="Cambria"/>
                <w:color w:val="1A1A1A"/>
                <w:sz w:val="18"/>
              </w:rPr>
              <w:t xml:space="preserve">Prossimità distrettuale, telepsicologia bilingue, programmazione per l’anzianità, accesso domiciliare-assistito</w:t>
            </w:r>
          </w:p>
        </w:tc>
      </w:tr>
      <w:tr>
        <w:tc>
          <w:tcPr/>
          <w:p>
            <w:pPr>
              <w:pStyle w:val="Compact"/>
              <w:spacing w:after="40" w:before="40"/>
              <w:jc w:val="left"/>
            </w:pPr>
            <w:r>
              <w:rPr>
                <w:rFonts w:ascii="Cambria" w:hAnsi="Cambria" w:cs="Cambria" w:eastAsia="Cambria"/>
                <w:b/>
                <w:bCs/>
                <w:color w:val="1A1A1A"/>
                <w:sz w:val="18"/>
              </w:rPr>
              <w:t xml:space="preserve">Rischio da prevenire</w:t>
            </w:r>
          </w:p>
        </w:tc>
        <w:tc>
          <w:tcPr/>
          <w:p>
            <w:pPr>
              <w:pStyle w:val="Compact"/>
              <w:spacing w:after="40" w:before="40"/>
              <w:jc w:val="left"/>
            </w:pPr>
            <w:r>
              <w:rPr>
                <w:rFonts w:ascii="Cambria" w:hAnsi="Cambria" w:cs="Cambria" w:eastAsia="Cambria"/>
                <w:color w:val="1A1A1A"/>
                <w:sz w:val="18"/>
              </w:rPr>
              <w:t xml:space="preserve">Iniquità inversa se il servizio è concentrato nel solo fondovalle di Aosta</w:t>
            </w:r>
          </w:p>
        </w:tc>
      </w:tr>
    </w:tbl>
    <w:p>
      <w:pPr>
        <w:pStyle w:val="BodyText"/>
      </w:pPr>
      <w:r>
        <w:rPr>
          <w:i/>
          <w:iCs/>
        </w:rPr>
        <w:t xml:space="preserve">Tabella G.2. L’impatto distributivo atteso dell’intervento e le sue condizioni.</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dell’atto, rapporto di lavoro, governance, tutele etiche e protezione dei dati</w:t>
      </w:r>
    </w:p>
    <w:p>
      <w:pPr>
        <w:pStyle w:val="BodyText"/>
      </w:pPr>
      <w:r>
        <w:t xml:space="preserve">Domini dell’HTA · aspetti giuridici, etici e organizzativi</w:t>
      </w:r>
    </w:p>
    <w:bookmarkEnd w:id="4063"/>
    <w:bookmarkEnd w:id="4064"/>
    <w:bookmarkStart w:id="4076" w:name="Xf8657aef89a185267b77b390ae0bb6e00abdeb9"/>
    <w:p>
      <w:pPr>
        <w:pStyle w:val="Heading2"/>
      </w:pPr>
      <w:r>
        <w:t xml:space="preserve">Parte H — Profili etico, giuridico e organizzativo</w:t>
      </w:r>
    </w:p>
    <w:p>
      <w:pPr>
        <w:pStyle w:val="FirstParagraph"/>
      </w:pPr>
      <w:r>
        <w:t xml:space="preserve">Questa parte affronta congiuntamente i domini giuridico, organizzativo ed etico. Come per le altre regioni, l’impianto è invariante e mutano gli elementi di contesto. La parte tratta il profilo giuridico (capitolo H.1); il profilo organizzativo e la governance (H.2); il profilo etico (H.3); e la sintesi dei tre profili (H.4). Il tratto distintivo della Valle d’Aosta emerge sul piano giuridico: la materia sanitaria è di piena competenza regionale in forza dello statuto speciale; nessuna norma ha finora istituito il servizio; e la condizione abilitante è l’approvazione di una legge regionale o di un atto di programmazione della Giunta che fissi il modello, l’organizzazione e il finanziamento.</w:t>
      </w:r>
    </w:p>
    <w:bookmarkStart w:id="4068" w:name="h.1-il-profilo-giuridico-11"/>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3834"/>
      </w:r>
      <w:r>
        <w:t xml:space="preserve"> </w:t>
      </w:r>
      <w:r>
        <w:t xml:space="preserve">Sul piano giuridico, la materia sanitaria è attribuita alla Regione autonoma Valle d’Aosta in forza dello statuto speciale, con una competenza legislativa esclusiva più ampia di quella delle regioni ordinarie. La sentenza della Corte Costituzionale n. 241 del 2021 — originata dal giudizio sulla legge campana, di cui ha riconosciuto la legittimità — conferma la possibilità per le regioni di disciplinare il servizio nel rispetto dei principi statali: a fortiori, la Valle d’Aosta, dotata di statuto speciale, ha pieno titolo a legiferare in materia. La decisione giuridica rilevante è l’approvazione di una legge regionale o di un atto deliberativo della Giunta che istituisca il servizio, ne fissi il modello organizzativo, il rapporto di lavoro degli psicologi (pubblico dipendente o convenzionato con l’Azienda USL), le modalità di accesso (gratuito, con ticket, con esenzioni per le fasce protette) e il finanziamento.</w:t>
      </w:r>
      <w:r>
        <w:rPr>
          <w:rStyle w:val="FootnoteReference"/>
        </w:rPr>
        <w:footnoteReference w:id="3835"/>
      </w:r>
      <w:r>
        <w:t xml:space="preserve"> </w:t>
      </w:r>
      <w:r>
        <w:t xml:space="preserve">Quanto ai livelli essenziali di assistenza, la psicologia delle cure primarie non vi è ancora ricompresa; la Valle d’Aosta finanzia integralmente la sanità con le risorse proprie, senza apporto statale, sicché il finanziamento del servizio è disponibile entro l’autonomia regionale.</w:t>
      </w:r>
      <w:r>
        <w:rPr>
          <w:rStyle w:val="FootnoteReference"/>
        </w:rPr>
        <w:footnoteReference w:id="3836"/>
      </w:r>
    </w:p>
    <w:tbl>
      <w:tblPr>
        <w:tblStyle w:val="Table"/>
        <w:tblW w:type="pct" w:w="495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00"/>
        <w:gridCol w:w="634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Profilo giuridico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Valle d’Aosta</w:t>
            </w:r>
          </w:p>
        </w:tc>
      </w:tr>
      <w:tr>
        <w:tc>
          <w:tcPr/>
          <w:p>
            <w:pPr>
              <w:pStyle w:val="Compact"/>
              <w:spacing w:after="40" w:before="40"/>
              <w:jc w:val="left"/>
            </w:pPr>
            <w:r>
              <w:rPr>
                <w:rFonts w:ascii="Cambria" w:hAnsi="Cambria" w:cs="Cambria" w:eastAsia="Cambria"/>
                <w:b/>
                <w:bCs/>
                <w:color w:val="1A1A1A"/>
                <w:sz w:val="18"/>
              </w:rPr>
              <w:t xml:space="preserve">Competenza</w:t>
            </w:r>
          </w:p>
        </w:tc>
        <w:tc>
          <w:tcPr/>
          <w:p>
            <w:pPr>
              <w:pStyle w:val="Compact"/>
              <w:spacing w:after="40" w:before="40"/>
              <w:jc w:val="left"/>
            </w:pPr>
            <w:r>
              <w:rPr>
                <w:rFonts w:ascii="Cambria" w:hAnsi="Cambria" w:cs="Cambria" w:eastAsia="Cambria"/>
                <w:color w:val="1A1A1A"/>
                <w:sz w:val="18"/>
              </w:rPr>
              <w:t xml:space="preserve">Regionale esclusiva in forza dello statuto speciale; Corte Cost. 241/2021 (legge campana) conferma il titolo a disciplinare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Forma dell’atto</w:t>
            </w:r>
          </w:p>
        </w:tc>
        <w:tc>
          <w:tcPr>
            <w:shd w:val="clear" w:color="auto" w:fill="F4F1EC"/>
          </w:tcPr>
          <w:p>
            <w:pPr>
              <w:pStyle w:val="Compact"/>
              <w:spacing w:after="40" w:before="40"/>
              <w:jc w:val="left"/>
            </w:pPr>
            <w:r>
              <w:rPr>
                <w:rFonts w:ascii="Cambria" w:hAnsi="Cambria" w:cs="Cambria" w:eastAsia="Cambria"/>
                <w:color w:val="1A1A1A"/>
                <w:sz w:val="18"/>
              </w:rPr>
              <w:t xml:space="preserve">Legge regionale o atto di programmazione della Giunta regionale: nessuna norma esistente; da istituire ex novo</w:t>
            </w:r>
          </w:p>
        </w:tc>
      </w:tr>
      <w:tr>
        <w:tc>
          <w:tcPr/>
          <w:p>
            <w:pPr>
              <w:pStyle w:val="Compact"/>
              <w:spacing w:after="40" w:before="40"/>
              <w:jc w:val="left"/>
            </w:pPr>
            <w:r>
              <w:rPr>
                <w:rFonts w:ascii="Cambria" w:hAnsi="Cambria" w:cs="Cambria" w:eastAsia="Cambria"/>
                <w:b/>
                <w:bCs/>
                <w:color w:val="1A1A1A"/>
                <w:sz w:val="18"/>
              </w:rPr>
              <w:t xml:space="preserve">Rapporto di lavoro</w:t>
            </w:r>
          </w:p>
        </w:tc>
        <w:tc>
          <w:tcPr/>
          <w:p>
            <w:pPr>
              <w:pStyle w:val="Compact"/>
              <w:spacing w:after="40" w:before="40"/>
              <w:jc w:val="left"/>
            </w:pPr>
            <w:r>
              <w:rPr>
                <w:rFonts w:ascii="Cambria" w:hAnsi="Cambria" w:cs="Cambria" w:eastAsia="Cambria"/>
                <w:color w:val="1A1A1A"/>
                <w:sz w:val="18"/>
              </w:rPr>
              <w:t xml:space="preserve">Da definire: pubblico dipendente dell’Azienda USL o convenzionato; scelta da fissare nel provvedimento istitutivo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Livelli essenziali di assistenza</w:t>
            </w:r>
          </w:p>
        </w:tc>
        <w:tc>
          <w:tcPr>
            <w:shd w:val="clear" w:color="auto" w:fill="F4F1EC"/>
          </w:tcPr>
          <w:p>
            <w:pPr>
              <w:pStyle w:val="Compact"/>
              <w:spacing w:after="40" w:before="40"/>
              <w:jc w:val="left"/>
            </w:pPr>
            <w:r>
              <w:rPr>
                <w:rFonts w:ascii="Cambria" w:hAnsi="Cambria" w:cs="Cambria" w:eastAsia="Cambria"/>
                <w:color w:val="1A1A1A"/>
                <w:sz w:val="18"/>
              </w:rPr>
              <w:t xml:space="preserve">Non ancora ricompresi; autofinanziamento regionale integrale; copertura disponibile entro l’autonomia regionale</w:t>
            </w:r>
          </w:p>
        </w:tc>
      </w:tr>
      <w:tr>
        <w:tc>
          <w:tcPr/>
          <w:p>
            <w:pPr>
              <w:pStyle w:val="Compact"/>
              <w:spacing w:after="40" w:before="40"/>
              <w:jc w:val="left"/>
            </w:pPr>
            <w:r>
              <w:rPr>
                <w:rFonts w:ascii="Cambria" w:hAnsi="Cambria" w:cs="Cambria" w:eastAsia="Cambria"/>
                <w:b/>
                <w:bCs/>
                <w:color w:val="1A1A1A"/>
                <w:sz w:val="18"/>
              </w:rPr>
              <w:t xml:space="preserve">Cornice territoriale</w:t>
            </w:r>
          </w:p>
        </w:tc>
        <w:tc>
          <w:tcPr/>
          <w:p>
            <w:pPr>
              <w:pStyle w:val="Compact"/>
              <w:spacing w:after="40" w:before="40"/>
              <w:jc w:val="left"/>
            </w:pPr>
            <w:r>
              <w:rPr>
                <w:rFonts w:ascii="Cambria" w:hAnsi="Cambria" w:cs="Cambria" w:eastAsia="Cambria"/>
                <w:color w:val="1A1A1A"/>
                <w:sz w:val="18"/>
              </w:rPr>
              <w:t xml:space="preserve">Decreto Ministeriale 77/2022; inserimento nelle Case della Comunità e nei poliambulatori distrettuali dell’Azienda USL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Rapporto con i servizi specialistici</w:t>
            </w:r>
          </w:p>
        </w:tc>
        <w:tc>
          <w:tcPr>
            <w:shd w:val="clear" w:color="auto" w:fill="F4F1EC"/>
          </w:tcPr>
          <w:p>
            <w:pPr>
              <w:pStyle w:val="Compact"/>
              <w:spacing w:after="40" w:before="40"/>
              <w:jc w:val="left"/>
            </w:pPr>
            <w:r>
              <w:rPr>
                <w:rFonts w:ascii="Cambria" w:hAnsi="Cambria" w:cs="Cambria" w:eastAsia="Cambria"/>
                <w:color w:val="1A1A1A"/>
                <w:sz w:val="18"/>
              </w:rPr>
              <w:t xml:space="preserve">Integrazione con i Centri di Salute Mentale e con il Servizio di Psichiatria del Presidio Parini, che il servizio precede e alleggerisce</w:t>
            </w:r>
          </w:p>
        </w:tc>
      </w:tr>
    </w:tbl>
    <w:p>
      <w:pPr>
        <w:pStyle w:val="BodyText"/>
      </w:pPr>
      <w:r>
        <w:rPr>
          <w:i/>
          <w:iCs/>
        </w:rPr>
        <w:t xml:space="preserve">Tabella H.1. I profili giuridici del servizio nella Valle d’Aosta.</w:t>
      </w:r>
    </w:p>
    <w:bookmarkEnd w:id="4068"/>
    <w:bookmarkStart w:id="4070" w:name="X616ceb0937ae7010531ac00be1fa3dfa7306e8d"/>
    <w:p>
      <w:pPr>
        <w:pStyle w:val="Heading3"/>
      </w:pPr>
      <w:r>
        <w:t xml:space="preserve">H.2 Il profilo organizzativo e la governance</w:t>
      </w:r>
    </w:p>
    <w:p>
      <w:pPr>
        <w:pStyle w:val="FirstParagraph"/>
      </w:pPr>
      <w:r>
        <w:t xml:space="preserve">Sul piano organizzativo, l’istituzione del servizio in Valle d’Aosta presenta una condizione di semplicità strutturale che non ha eguali nella serie: l’unica azienda sanitaria regionale — l’Azienda USL Valle d’Aosta — è l’unico soggetto attuatore, non vi sono frammentazioni fra aziende, non vi sono competenze concorrenti da armonizzare. La sfida organizzativa principale è invece territoriale: garantire la copertura equa dei quattro distretti e delle vallate laterali su un territorio integralmente montano, con particolare attenzione all’accesso nelle aree più remote e al bilinguismo del servizio.</w:t>
      </w:r>
      <w:r>
        <w:rPr>
          <w:rStyle w:val="FootnoteReference"/>
        </w:rPr>
        <w:footnoteReference w:id="3837"/>
      </w:r>
      <w:r>
        <w:t xml:space="preserve"> </w:t>
      </w:r>
      <w:r>
        <w:t xml:space="preserve">La sede di governance è naturalmente quella regionale — Assessorato alla salute, Azienda USL, Ordine degli Psicologi, rappresentanze della medicina generale e della pediatria di libera scelta — a cui spetta definire il modello, approvare il disciplinare di servizio, avviare il reclutamento e impostare il sistema di monitoraggio. La tabella seguente sintetizza l’assetto organizzativo.</w:t>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66"/>
        <w:gridCol w:w="626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organizzativo</w:t>
            </w:r>
          </w:p>
        </w:tc>
        <w:tc>
          <w:tcPr>
            <w:shd w:val="clear" w:color="auto" w:fill="16264B"/>
          </w:tcPr>
          <w:p>
            <w:pPr>
              <w:pStyle w:val="Compact"/>
              <w:spacing w:after="40" w:before="40"/>
              <w:jc w:val="left"/>
            </w:pPr>
            <w:r>
              <w:rPr>
                <w:rFonts w:ascii="Cambria" w:hAnsi="Cambria" w:cs="Cambria" w:eastAsia="Cambria"/>
                <w:b/>
                <w:bCs/>
                <w:color w:val="FFFFFF"/>
                <w:sz w:val="18"/>
              </w:rPr>
              <w:t xml:space="preserve">Assetto per la Valle d’Aosta</w:t>
            </w:r>
          </w:p>
        </w:tc>
      </w:tr>
      <w:tr>
        <w:tc>
          <w:tcPr/>
          <w:p>
            <w:pPr>
              <w:pStyle w:val="Compact"/>
              <w:spacing w:after="40" w:before="40"/>
              <w:jc w:val="left"/>
            </w:pPr>
            <w:r>
              <w:rPr>
                <w:rFonts w:ascii="Cambria" w:hAnsi="Cambria" w:cs="Cambria" w:eastAsia="Cambria"/>
                <w:b/>
                <w:bCs/>
                <w:color w:val="1A1A1A"/>
                <w:sz w:val="18"/>
              </w:rPr>
              <w:t xml:space="preserve">Articolazione del sistema</w:t>
            </w:r>
          </w:p>
        </w:tc>
        <w:tc>
          <w:tcPr/>
          <w:p>
            <w:pPr>
              <w:pStyle w:val="Compact"/>
              <w:spacing w:after="40" w:before="40"/>
              <w:jc w:val="left"/>
            </w:pPr>
            <w:r>
              <w:rPr>
                <w:rFonts w:ascii="Cambria" w:hAnsi="Cambria" w:cs="Cambria" w:eastAsia="Cambria"/>
                <w:color w:val="1A1A1A"/>
                <w:sz w:val="18"/>
              </w:rPr>
              <w:t xml:space="preserve">Azienda USL Valle d’Aosta (unica); quattro distretti sanitari su territorio montano; Ospedale Parini presidio principale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Coordinamento</w:t>
            </w:r>
          </w:p>
        </w:tc>
        <w:tc>
          <w:tcPr>
            <w:shd w:val="clear" w:color="auto" w:fill="F4F1EC"/>
          </w:tcPr>
          <w:p>
            <w:pPr>
              <w:pStyle w:val="Compact"/>
              <w:spacing w:after="40" w:before="40"/>
              <w:jc w:val="left"/>
            </w:pPr>
            <w:r>
              <w:rPr>
                <w:rFonts w:ascii="Cambria" w:hAnsi="Cambria" w:cs="Cambria" w:eastAsia="Cambria"/>
                <w:color w:val="1A1A1A"/>
                <w:sz w:val="18"/>
              </w:rPr>
              <w:t xml:space="preserve">Assessorato alla salute, Azienda USL, Ordine degli Psicologi; governance semplificata dall’unicità dell’azienda sanitaria</w:t>
            </w:r>
          </w:p>
        </w:tc>
      </w:tr>
      <w:tr>
        <w:tc>
          <w:tcPr/>
          <w:p>
            <w:pPr>
              <w:pStyle w:val="Compact"/>
              <w:spacing w:after="40" w:before="40"/>
              <w:jc w:val="left"/>
            </w:pPr>
            <w:r>
              <w:rPr>
                <w:rFonts w:ascii="Cambria" w:hAnsi="Cambria" w:cs="Cambria" w:eastAsia="Cambria"/>
                <w:b/>
                <w:bCs/>
                <w:color w:val="1A1A1A"/>
                <w:sz w:val="18"/>
              </w:rPr>
              <w:t xml:space="preserve">Sfida organizzativa</w:t>
            </w:r>
          </w:p>
        </w:tc>
        <w:tc>
          <w:tcPr/>
          <w:p>
            <w:pPr>
              <w:pStyle w:val="Compact"/>
              <w:spacing w:after="40" w:before="40"/>
              <w:jc w:val="left"/>
            </w:pPr>
            <w:r>
              <w:rPr>
                <w:rFonts w:ascii="Cambria" w:hAnsi="Cambria" w:cs="Cambria" w:eastAsia="Cambria"/>
                <w:color w:val="1A1A1A"/>
                <w:sz w:val="18"/>
              </w:rPr>
              <w:t xml:space="preserve">Copertura equa dei quattro distretti e delle vallate; bilinguismo italiano-francese; accesso nelle aree più remote; anzianità crescente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Regia dell’istituzione</w:t>
            </w:r>
          </w:p>
        </w:tc>
        <w:tc>
          <w:tcPr>
            <w:shd w:val="clear" w:color="auto" w:fill="F4F1EC"/>
          </w:tcPr>
          <w:p>
            <w:pPr>
              <w:pStyle w:val="Compact"/>
              <w:spacing w:after="40" w:before="40"/>
              <w:jc w:val="left"/>
            </w:pPr>
            <w:r>
              <w:rPr>
                <w:rFonts w:ascii="Cambria" w:hAnsi="Cambria" w:cs="Cambria" w:eastAsia="Cambria"/>
                <w:color w:val="1A1A1A"/>
                <w:sz w:val="18"/>
              </w:rPr>
              <w:t xml:space="preserve">Legge o atto regionale; disciplinare di servizio; reclutamento; sistema informativo dall’avvio</w:t>
            </w:r>
          </w:p>
        </w:tc>
      </w:tr>
      <w:tr>
        <w:tc>
          <w:tcPr/>
          <w:p>
            <w:pPr>
              <w:pStyle w:val="Compact"/>
              <w:spacing w:after="40" w:before="40"/>
              <w:jc w:val="left"/>
            </w:pPr>
            <w:r>
              <w:rPr>
                <w:rFonts w:ascii="Cambria" w:hAnsi="Cambria" w:cs="Cambria" w:eastAsia="Cambria"/>
                <w:b/>
                <w:bCs/>
                <w:color w:val="1A1A1A"/>
                <w:sz w:val="18"/>
              </w:rPr>
              <w:t xml:space="preserve">Soggetti coinvolti</w:t>
            </w:r>
          </w:p>
        </w:tc>
        <w:tc>
          <w:tcPr/>
          <w:p>
            <w:pPr>
              <w:pStyle w:val="Compact"/>
              <w:spacing w:after="40" w:before="40"/>
              <w:jc w:val="left"/>
            </w:pPr>
            <w:r>
              <w:rPr>
                <w:rFonts w:ascii="Cambria" w:hAnsi="Cambria" w:cs="Cambria" w:eastAsia="Cambria"/>
                <w:color w:val="1A1A1A"/>
                <w:sz w:val="18"/>
              </w:rPr>
              <w:t xml:space="preserve">Regione, Azienda USL, Ordine degli Psicologi, medici di medicina generale, pediatri di libera scelta, Università della Valle d’Aosta</w:t>
            </w:r>
          </w:p>
        </w:tc>
      </w:tr>
    </w:tbl>
    <w:p>
      <w:pPr>
        <w:pStyle w:val="BodyText"/>
      </w:pPr>
      <w:r>
        <w:rPr>
          <w:i/>
          <w:iCs/>
        </w:rPr>
        <w:t xml:space="preserve">Tabella H.2. L’assetto organizzativo e la governance dell’istituzione.</w:t>
      </w:r>
    </w:p>
    <w:bookmarkEnd w:id="4070"/>
    <w:bookmarkStart w:id="4073" w:name="h.3-il-profilo-etico-11"/>
    <w:p>
      <w:pPr>
        <w:pStyle w:val="Heading3"/>
      </w:pPr>
      <w:r>
        <w:t xml:space="preserve">H.3 Il profilo etico</w:t>
      </w:r>
    </w:p>
    <w:p>
      <w:pPr>
        <w:pStyle w:val="FirstParagraph"/>
      </w:pPr>
      <w:r>
        <w:t xml:space="preserve">Sul piano etico, lo studio adotta cautele a tutela dei pazienti. Le situazioni che coinvolgono minori e persone vulnerabili — e in Valle d’Aosta la quota di anziani vulnerabili è particolarmente rilevante —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3838"/>
      </w:r>
      <w:r>
        <w:t xml:space="preserve"> </w:t>
      </w:r>
      <w:r>
        <w:t xml:space="preserve">L’intervento si svolge nel rispetto del consenso informato e del segreto professionale, con un’informazione chiara nelle due lingue ufficiali sulle finalità e sui limiti del trattamento. Gli strumenti di intelligenza artificiale sono concepiti come ausilio del clinico, conformi al quadro europeo e ai requisiti sui dispositivi medici, e la responsabilità delle decisioni cliniche resta interamente in capo al professionista.</w:t>
      </w:r>
      <w:r>
        <w:rPr>
          <w:rStyle w:val="FootnoteReference"/>
        </w:rPr>
        <w:footnoteReference w:id="3839"/>
      </w:r>
    </w:p>
    <w:bookmarkEnd w:id="4073"/>
    <w:bookmarkStart w:id="4075" w:name="h.4-sintesi-dei-profili-9"/>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presidiabili, e la condizione abilitante dell’intervento è, per la Valle d’Aosta, l’approvazione di un atto normativo o programmatico regionale che istituisca il servizio ex novo, agevolata dalla piena autonomia finanziaria e dall’unicità dell’azienda sanitaria attuatrice. È questo il passaggio da cui dipende la piena operatività del servizio.</w:t>
      </w:r>
      <w:r>
        <w:rPr>
          <w:rStyle w:val="FootnoteReference"/>
        </w:rPr>
        <w:footnoteReference w:id="3840"/>
      </w:r>
      <w:r>
        <w:t xml:space="preserve"> </w:t>
      </w:r>
      <w:r>
        <w:t xml:space="preserve">Definiti i profili, la parte che segue affronta l’attuazione, la fattibilità e la sostenibilità.</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le fasi di attuazione, i rischi e le mitigazioni</w:t>
      </w:r>
    </w:p>
    <w:p>
      <w:pPr>
        <w:pStyle w:val="BodyText"/>
      </w:pPr>
      <w:r>
        <w:t xml:space="preserve">Five Case Model · la realizzabilità della decisione</w:t>
      </w:r>
    </w:p>
    <w:bookmarkEnd w:id="4075"/>
    <w:bookmarkEnd w:id="4076"/>
    <w:bookmarkStart w:id="4094" w:name="X5ee4faa811af571958aa9f66c5b68af072589db"/>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La parte espone i cinque casi (capitolo I.1); definisce il dimensionamento e le fasi di attuazione (I.2); tratta il reclutamento, la formazione e il cronoprogramma (I.3); analizza la sostenibilità finanziaria e organizzativa (I.4); e individua i rischi e le mitigazioni (I.5). Il tratto distintivo della Valle d’Aosta è che l’attuazione parte da zero, in un territorio piccolo con un’unica azienda sanitaria e una piena autonomia finanziaria: condizioni che rendono la fattibilità concreta e l’attuazione più semplice che nella maggior parte delle regioni della serie, pur nella sfida dell’accessibilità territoriale e del bilinguismo.</w:t>
      </w:r>
    </w:p>
    <w:bookmarkStart w:id="4083" w:name="i.1-i-cinque-casi-della-decisione-7"/>
    <w:p>
      <w:pPr>
        <w:pStyle w:val="Heading3"/>
      </w:pPr>
      <w:r>
        <w:t xml:space="preserve">I.1 I cinque casi della decisione</w:t>
      </w:r>
    </w:p>
    <w:p>
      <w:pPr>
        <w:pStyle w:val="FirstParagraph"/>
      </w:pPr>
      <w:r>
        <w:t xml:space="preserve">Lo studio organizza la fattibilità secondo il modello a cinque casi.</w:t>
      </w:r>
      <w:r>
        <w:rPr>
          <w:rStyle w:val="FootnoteReference"/>
        </w:rPr>
        <w:footnoteReference w:id="3841"/>
      </w:r>
      <w:r>
        <w:t xml:space="preserve"> </w:t>
      </w:r>
      <w:r>
        <w:t xml:space="preserve">Il caso strategico è solido: l’istituzione del servizio è coerente con il DM 77/2022, con le Case della Comunità e con la programmazione regionale di salute mentale, e risponde a un bisogno reale di intercettazione del disagio psichico comune in una regione a indice di vecchiaia molto elevato e a popolazione dispersa nelle vallate.</w:t>
      </w:r>
      <w:r>
        <w:rPr>
          <w:rStyle w:val="FootnoteReference"/>
        </w:rPr>
        <w:footnoteReference w:id="3842"/>
      </w:r>
      <w:r>
        <w:t xml:space="preserve"> </w:t>
      </w:r>
      <w:r>
        <w:t xml:space="preserve">Il caso economico rinvia ai risultati già esposti, nel quadro della distinzione fra un caso finanziario di disavanzo modestissimo, sostenibile a fronte dell’autonomia, e un caso sociale fortemente positivo.</w:t>
      </w:r>
      <w:r>
        <w:rPr>
          <w:rStyle w:val="FootnoteReference"/>
        </w:rPr>
        <w:footnoteReference w:id="3843"/>
      </w:r>
      <w:r>
        <w:t xml:space="preserve"> </w:t>
      </w:r>
      <w:r>
        <w:t xml:space="preserve">Il caso commerciale si avvale di un bacino professionale accessibile grazie alla vicinanza ai grandi centri universitari del Piemonte, con possibilità di reclutare psicologi bilingui italiano-francese anche dalla Svizzera romanda e dalla Francia confinante, in ragione della collocazione geografica della regione.</w:t>
      </w:r>
      <w:r>
        <w:rPr>
          <w:rStyle w:val="FootnoteReference"/>
        </w:rPr>
        <w:footnoteReference w:id="3844"/>
      </w:r>
      <w:r>
        <w:t xml:space="preserve"> </w:t>
      </w:r>
      <w:r>
        <w:t xml:space="preserve">Il caso finanziario è il più favorevole della serie in assoluto: un costo annuo che non supera i tre milioni di euro nello scenario espansivo, pari allo 0,78% del Fondo sanitario regionale, disponibile integralmente entro l’autonomia finanziaria regionale.</w:t>
      </w:r>
      <w:r>
        <w:rPr>
          <w:rStyle w:val="FootnoteReference"/>
        </w:rPr>
        <w:footnoteReference w:id="3845"/>
      </w:r>
      <w:r>
        <w:t xml:space="preserve"> </w:t>
      </w:r>
      <w:r>
        <w:t xml:space="preserve">Il caso gestionale è semplificato dall’unicità dell’azienda sanitaria regionale, che evita le frammentazioni operative tipiche delle regioni con più aziende.</w:t>
      </w:r>
      <w:r>
        <w:rPr>
          <w:rStyle w:val="FootnoteReference"/>
        </w:rPr>
        <w:footnoteReference w:id="3846"/>
      </w:r>
    </w:p>
    <w:tbl>
      <w:tblPr>
        <w:tblStyle w:val="Table"/>
        <w:tblW w:type="pct" w:w="495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32"/>
        <w:gridCol w:w="640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Caso</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per la Valle d’Aosta</w:t>
            </w:r>
          </w:p>
        </w:tc>
      </w:tr>
      <w:tr>
        <w:tc>
          <w:tcPr/>
          <w:p>
            <w:pPr>
              <w:pStyle w:val="Compact"/>
              <w:spacing w:after="40" w:before="40"/>
              <w:jc w:val="left"/>
            </w:pPr>
            <w:r>
              <w:rPr>
                <w:rFonts w:ascii="Cambria" w:hAnsi="Cambria" w:cs="Cambria" w:eastAsia="Cambria"/>
                <w:b/>
                <w:bCs/>
                <w:color w:val="1A1A1A"/>
                <w:sz w:val="18"/>
              </w:rPr>
              <w:t xml:space="preserve">Strategico</w:t>
            </w:r>
          </w:p>
        </w:tc>
        <w:tc>
          <w:tcPr/>
          <w:p>
            <w:pPr>
              <w:pStyle w:val="Compact"/>
              <w:spacing w:after="40" w:before="40"/>
              <w:jc w:val="left"/>
            </w:pPr>
            <w:r>
              <w:rPr>
                <w:rFonts w:ascii="Cambria" w:hAnsi="Cambria" w:cs="Cambria" w:eastAsia="Cambria"/>
                <w:color w:val="1A1A1A"/>
                <w:sz w:val="18"/>
              </w:rPr>
              <w:t xml:space="preserve">Coerenza con DM 77/2022, Case della Comunità, programmazione salute mentale; risposta al bisogno in una regione molto anziana e a popolazione montana dispersa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Economico</w:t>
            </w:r>
          </w:p>
        </w:tc>
        <w:tc>
          <w:tcPr>
            <w:shd w:val="clear" w:color="auto" w:fill="F4F1EC"/>
          </w:tcPr>
          <w:p>
            <w:pPr>
              <w:pStyle w:val="Compact"/>
              <w:spacing w:after="40" w:before="40"/>
              <w:jc w:val="left"/>
            </w:pPr>
            <w:r>
              <w:rPr>
                <w:rFonts w:ascii="Cambria" w:hAnsi="Cambria" w:cs="Cambria" w:eastAsia="Cambria"/>
                <w:color w:val="1A1A1A"/>
                <w:sz w:val="18"/>
              </w:rPr>
              <w:t xml:space="preserve">Rapporto beneficio-costo 4,0–5,3 a uno; dominanza per paziente; caso sociale fortemente positivo</w:t>
            </w:r>
          </w:p>
        </w:tc>
      </w:tr>
      <w:tr>
        <w:tc>
          <w:tcPr/>
          <w:p>
            <w:pPr>
              <w:pStyle w:val="Compact"/>
              <w:spacing w:after="40" w:before="40"/>
              <w:jc w:val="left"/>
            </w:pPr>
            <w:r>
              <w:rPr>
                <w:rFonts w:ascii="Cambria" w:hAnsi="Cambria" w:cs="Cambria" w:eastAsia="Cambria"/>
                <w:b/>
                <w:bCs/>
                <w:color w:val="1A1A1A"/>
                <w:sz w:val="18"/>
              </w:rPr>
              <w:t xml:space="preserve">Commerciale</w:t>
            </w:r>
          </w:p>
        </w:tc>
        <w:tc>
          <w:tcPr/>
          <w:p>
            <w:pPr>
              <w:pStyle w:val="Compact"/>
              <w:spacing w:after="40" w:before="40"/>
              <w:jc w:val="left"/>
            </w:pPr>
            <w:r>
              <w:rPr>
                <w:rFonts w:ascii="Cambria" w:hAnsi="Cambria" w:cs="Cambria" w:eastAsia="Cambria"/>
                <w:color w:val="1A1A1A"/>
                <w:sz w:val="18"/>
              </w:rPr>
              <w:t xml:space="preserve">Bacino negli atenei piemontesi; possibilità di reclutamento bilingue da Svizzera romanda e Francia; mercato del lavoro favorevole per una piccola dotazione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Finanziario</w:t>
            </w:r>
          </w:p>
        </w:tc>
        <w:tc>
          <w:tcPr>
            <w:shd w:val="clear" w:color="auto" w:fill="F4F1EC"/>
          </w:tcPr>
          <w:p>
            <w:pPr>
              <w:pStyle w:val="Compact"/>
              <w:spacing w:after="40" w:before="40"/>
              <w:jc w:val="left"/>
            </w:pPr>
            <w:r>
              <w:rPr>
                <w:rFonts w:ascii="Cambria" w:hAnsi="Cambria" w:cs="Cambria" w:eastAsia="Cambria"/>
                <w:color w:val="1A1A1A"/>
                <w:sz w:val="18"/>
              </w:rPr>
              <w:t xml:space="preserve">Costo 0,45–0,78% del FSR; autofinanziamento integrale con le risorse proprie; nessun apporto statale richiesto; copertura disponibile entro l’autonomia regionale</w:t>
            </w:r>
          </w:p>
        </w:tc>
      </w:tr>
      <w:tr>
        <w:tc>
          <w:tcPr/>
          <w:p>
            <w:pPr>
              <w:pStyle w:val="Compact"/>
              <w:spacing w:after="40" w:before="40"/>
              <w:jc w:val="left"/>
            </w:pPr>
            <w:r>
              <w:rPr>
                <w:rFonts w:ascii="Cambria" w:hAnsi="Cambria" w:cs="Cambria" w:eastAsia="Cambria"/>
                <w:b/>
                <w:bCs/>
                <w:color w:val="1A1A1A"/>
                <w:sz w:val="18"/>
              </w:rPr>
              <w:t xml:space="preserve">Gestionale</w:t>
            </w:r>
          </w:p>
        </w:tc>
        <w:tc>
          <w:tcPr/>
          <w:p>
            <w:pPr>
              <w:pStyle w:val="Compact"/>
              <w:spacing w:after="40" w:before="40"/>
              <w:jc w:val="left"/>
            </w:pPr>
            <w:r>
              <w:rPr>
                <w:rFonts w:ascii="Cambria" w:hAnsi="Cambria" w:cs="Cambria" w:eastAsia="Cambria"/>
                <w:color w:val="1A1A1A"/>
                <w:sz w:val="18"/>
              </w:rPr>
              <w:t xml:space="preserve">Unica azienda sanitaria (Azienda USL); governance semplificata; quattro distretti attuatori; Assessorato regionale alla salute come regia</w:t>
            </w:r>
          </w:p>
        </w:tc>
      </w:tr>
    </w:tbl>
    <w:p>
      <w:pPr>
        <w:pStyle w:val="BodyText"/>
      </w:pPr>
      <w:r>
        <w:rPr>
          <w:i/>
          <w:iCs/>
        </w:rPr>
        <w:t xml:space="preserve">Tabella I.1. I cinque casi della decisione di investimento pubblico.</w:t>
      </w:r>
    </w:p>
    <w:bookmarkEnd w:id="4083"/>
    <w:bookmarkStart w:id="4085" w:name="X47e72e6924ff38d51b7c62eea92f8536f82efee"/>
    <w:p>
      <w:pPr>
        <w:pStyle w:val="Heading3"/>
      </w:pPr>
      <w:r>
        <w:t xml:space="preserve">I.2 Il dimensionamento e le fasi di attuazione</w:t>
      </w:r>
    </w:p>
    <w:p>
      <w:pPr>
        <w:pStyle w:val="FirstParagraph"/>
      </w:pPr>
      <w:r>
        <w:t xml:space="preserve">Il servizio va istituito ex novo, dimensionando la dotazione iniziale sul numero di psicologi coerente con lo scenario conservativo e procedendo per gradi verso gli scenari di maggiore copertura; il fabbisogno a regime è stimato nell’ordine di 30 psicologi nello scenario espansivo, 22 in quello di base e 15 in quello conservativo.</w:t>
      </w:r>
      <w:r>
        <w:rPr>
          <w:rStyle w:val="FootnoteReference"/>
        </w:rPr>
        <w:footnoteReference w:id="3847"/>
      </w:r>
      <w:r>
        <w:t xml:space="preserve"> </w:t>
      </w:r>
      <w:r>
        <w:t xml:space="preserve">L’attuazione si articola in tre fasi: una fase di istituzione, nella quale vengono approvato l’atto normativo o programmatico, definito il disciplinare di servizio e avviato il reclutamento; una fase di avvio, nella quale il servizio viene attivato nel capoluogo e nelle sedi distrettuali, con priorità alla copertura del Distretto 2 (Aosta) e progressiva estensione agli altri distretti; e una fase di regime, nella quale il servizio raggiunge il dimensionamento adeguato e la copertura delle vallate è assicurata anche mediante la telepsicologia assistita. La tabella seguente riepiloga le fasi.</w:t>
      </w:r>
    </w:p>
    <w:tbl>
      <w:tblPr>
        <w:tblStyle w:val="Table"/>
        <w:tblW w:type="pct" w:w="492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96"/>
        <w:gridCol w:w="3679"/>
        <w:gridCol w:w="261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Fase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Dimensionamento indicativo</w:t>
            </w:r>
          </w:p>
        </w:tc>
      </w:tr>
      <w:tr>
        <w:tc>
          <w:tcPr/>
          <w:p>
            <w:pPr>
              <w:pStyle w:val="Compact"/>
              <w:spacing w:after="40" w:before="40"/>
              <w:jc w:val="left"/>
            </w:pPr>
            <w:r>
              <w:rPr>
                <w:rFonts w:ascii="Cambria" w:hAnsi="Cambria" w:cs="Cambria" w:eastAsia="Cambria"/>
                <w:b/>
                <w:bCs/>
                <w:color w:val="1A1A1A"/>
                <w:sz w:val="18"/>
              </w:rPr>
              <w:t xml:space="preserve">Istituzione</w:t>
            </w:r>
          </w:p>
        </w:tc>
        <w:tc>
          <w:tcPr/>
          <w:p>
            <w:pPr>
              <w:pStyle w:val="Compact"/>
              <w:spacing w:after="40" w:before="40"/>
              <w:jc w:val="left"/>
            </w:pPr>
            <w:r>
              <w:rPr>
                <w:rFonts w:ascii="Cambria" w:hAnsi="Cambria" w:cs="Cambria" w:eastAsia="Cambria"/>
                <w:color w:val="1A1A1A"/>
                <w:sz w:val="18"/>
              </w:rPr>
              <w:t xml:space="preserve">Atto normativo/programmatico, disciplinare, reclutamento</w:t>
            </w:r>
          </w:p>
        </w:tc>
        <w:tc>
          <w:tcPr/>
          <w:p>
            <w:pPr>
              <w:pStyle w:val="Compact"/>
              <w:spacing w:after="40" w:before="40"/>
              <w:jc w:val="left"/>
            </w:pPr>
            <w:r>
              <w:rPr>
                <w:rFonts w:ascii="Cambria" w:hAnsi="Cambria" w:cs="Cambria" w:eastAsia="Cambria"/>
                <w:color w:val="1A1A1A"/>
                <w:sz w:val="18"/>
              </w:rPr>
              <w:t xml:space="preserve">Avvio reclutamento primo nucleo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Avvio</w:t>
            </w:r>
          </w:p>
        </w:tc>
        <w:tc>
          <w:tcPr>
            <w:shd w:val="clear" w:color="auto" w:fill="F4F1EC"/>
          </w:tcPr>
          <w:p>
            <w:pPr>
              <w:pStyle w:val="Compact"/>
              <w:spacing w:after="40" w:before="40"/>
              <w:jc w:val="left"/>
            </w:pPr>
            <w:r>
              <w:rPr>
                <w:rFonts w:ascii="Cambria" w:hAnsi="Cambria" w:cs="Cambria" w:eastAsia="Cambria"/>
                <w:color w:val="1A1A1A"/>
                <w:sz w:val="18"/>
              </w:rPr>
              <w:t xml:space="preserve">Attivazione in Aosta e nelle sedi distrettuali</w:t>
            </w:r>
          </w:p>
        </w:tc>
        <w:tc>
          <w:tcPr>
            <w:shd w:val="clear" w:color="auto" w:fill="F4F1EC"/>
          </w:tcPr>
          <w:p>
            <w:pPr>
              <w:pStyle w:val="Compact"/>
              <w:spacing w:after="40" w:before="40"/>
              <w:jc w:val="left"/>
            </w:pPr>
            <w:r>
              <w:rPr>
                <w:rFonts w:ascii="Cambria" w:hAnsi="Cambria" w:cs="Cambria" w:eastAsia="Cambria"/>
                <w:color w:val="1A1A1A"/>
                <w:sz w:val="18"/>
              </w:rPr>
              <w:t xml:space="preserve">~ 10–15 psicologi (scenario conservativo)</w:t>
            </w:r>
          </w:p>
        </w:tc>
      </w:tr>
      <w:tr>
        <w:tc>
          <w:tcPr/>
          <w:p>
            <w:pPr>
              <w:pStyle w:val="Compact"/>
              <w:spacing w:after="40" w:before="40"/>
              <w:jc w:val="left"/>
            </w:pPr>
            <w:r>
              <w:rPr>
                <w:rFonts w:ascii="Cambria" w:hAnsi="Cambria" w:cs="Cambria" w:eastAsia="Cambria"/>
                <w:b/>
                <w:bCs/>
                <w:color w:val="1A1A1A"/>
                <w:sz w:val="18"/>
              </w:rPr>
              <w:t xml:space="preserve">Regime</w:t>
            </w:r>
          </w:p>
        </w:tc>
        <w:tc>
          <w:tcPr/>
          <w:p>
            <w:pPr>
              <w:pStyle w:val="Compact"/>
              <w:spacing w:after="40" w:before="40"/>
              <w:jc w:val="left"/>
            </w:pPr>
            <w:r>
              <w:rPr>
                <w:rFonts w:ascii="Cambria" w:hAnsi="Cambria" w:cs="Cambria" w:eastAsia="Cambria"/>
                <w:color w:val="1A1A1A"/>
                <w:sz w:val="18"/>
              </w:rPr>
              <w:t xml:space="preserve">Copertura piena, anche via telepsicologia nelle vallate</w:t>
            </w:r>
          </w:p>
        </w:tc>
        <w:tc>
          <w:tcPr/>
          <w:p>
            <w:pPr>
              <w:pStyle w:val="Compact"/>
              <w:spacing w:after="40" w:before="40"/>
              <w:jc w:val="left"/>
            </w:pPr>
            <w:r>
              <w:rPr>
                <w:rFonts w:ascii="Cambria" w:hAnsi="Cambria" w:cs="Cambria" w:eastAsia="Cambria"/>
                <w:color w:val="1A1A1A"/>
                <w:sz w:val="18"/>
              </w:rPr>
              <w:t xml:space="preserve">fino a ~ 22–30 psicologi</w:t>
            </w:r>
          </w:p>
        </w:tc>
      </w:tr>
    </w:tbl>
    <w:p>
      <w:pPr>
        <w:pStyle w:val="BodyText"/>
      </w:pPr>
      <w:r>
        <w:rPr>
          <w:i/>
          <w:iCs/>
        </w:rPr>
        <w:t xml:space="preserve">Tabella I.2. Le fasi di attuazione e il dimensionamento progressivo.</w:t>
      </w:r>
    </w:p>
    <w:bookmarkEnd w:id="4085"/>
    <w:bookmarkStart w:id="4088" w:name="X9765dfe20edc78098deb3eb7f8a29c9bea5a8cb"/>
    <w:p>
      <w:pPr>
        <w:pStyle w:val="Heading3"/>
      </w:pPr>
      <w:r>
        <w:t xml:space="preserve">I.3 Reclutamento, formazione e cronoprogramma</w:t>
      </w:r>
    </w:p>
    <w:p>
      <w:pPr>
        <w:pStyle w:val="FirstParagraph"/>
      </w:pPr>
      <w:r>
        <w:t xml:space="preserve">Il reclutamento degli psicologi si avvale del bacino professionale piemontese, con possibilità di attrattiva per professionisti bilingui provenienti dalla Svizzera romanda e dalla Francia; la dotazione ridotta — quindici psicologi nello scenario iniziale — è di entità tale da consentire il reclutamento in tempi brevi, entro un anno dall’approvazione dell’atto istitutivo. La formazione dedicata, secondo il programma a quattro livelli definito nella Parte C, comprende le specificità del contesto valdostano: il disagio dell’anzianità, l’isolamento montano, il bilinguismo italiano-francese.</w:t>
      </w:r>
      <w:r>
        <w:rPr>
          <w:rStyle w:val="FootnoteReference"/>
        </w:rPr>
        <w:footnoteReference w:id="3848"/>
      </w:r>
      <w:r>
        <w:t xml:space="preserve"> </w:t>
      </w:r>
      <w:r>
        <w:t xml:space="preserve">Il cronoprogramma si sviluppa su un orizzonte biennale per il raggiungimento del regime nello scenario conservativo, con la strutturazione della telepsicologia nelle vallate come componente aggiuntiva da attivare nella fase successiva.</w:t>
      </w:r>
      <w:r>
        <w:rPr>
          <w:rStyle w:val="FootnoteReference"/>
        </w:rPr>
        <w:footnoteReference w:id="3849"/>
      </w:r>
    </w:p>
    <w:bookmarkEnd w:id="4088"/>
    <w:bookmarkStart w:id="4091" w:name="Xc843899342ececd89c41936f1a0dd6f33d5f103"/>
    <w:p>
      <w:pPr>
        <w:pStyle w:val="Heading3"/>
      </w:pPr>
      <w:r>
        <w:t xml:space="preserve">I.4 La sostenibilità finanziaria e organizzativa</w:t>
      </w:r>
    </w:p>
    <w:p>
      <w:pPr>
        <w:pStyle w:val="FirstParagraph"/>
      </w:pPr>
      <w:r>
        <w:t xml:space="preserve">La sostenibilità finanziaria della Valle d’Aosta è, in termini relativi, la più favorevole della serie: il costo del servizio a regime è di entità così ridotta — meno di tre milioni nell’espansivo — che è finanziabile con variazioni di bilancio marginali, all’interno di un fondo sanitario regionale di oltre 330 milioni gestito in regime di piena autonomia finanziaria.</w:t>
      </w:r>
      <w:r>
        <w:rPr>
          <w:rStyle w:val="FootnoteReference"/>
        </w:rPr>
        <w:footnoteReference w:id="3850"/>
      </w:r>
      <w:r>
        <w:t xml:space="preserve"> </w:t>
      </w:r>
      <w:r>
        <w:t xml:space="preserve">La sostenibilità organizzativa dipende dalla capacità dell’Azienda USL di gestire un servizio nuovo su un territorio montano con vincoli di accessibilità, dalla disponibilità di personale bilingue e dalla strutturazione di un sistema informativo adeguato dall’avvio.</w:t>
      </w:r>
      <w:r>
        <w:rPr>
          <w:rStyle w:val="FootnoteReference"/>
        </w:rPr>
        <w:footnoteReference w:id="3851"/>
      </w:r>
      <w:r>
        <w:t xml:space="preserve"> </w:t>
      </w:r>
      <w:r>
        <w:t xml:space="preserve">L’avanzamento è seguito mediante gli indicatori definiti in Appendice C.</w:t>
      </w:r>
    </w:p>
    <w:bookmarkEnd w:id="4091"/>
    <w:bookmarkStart w:id="4093" w:name="i.5-i-rischi-e-le-mitigazioni-9"/>
    <w:p>
      <w:pPr>
        <w:pStyle w:val="Heading3"/>
      </w:pPr>
      <w:r>
        <w:t xml:space="preserve">I.5 I rischi e le mitigazioni</w:t>
      </w:r>
    </w:p>
    <w:p>
      <w:pPr>
        <w:pStyle w:val="FirstParagraph"/>
      </w:pPr>
      <w:r>
        <w:t xml:space="preserve">L’attuazione presenta rischi propri della posizione della Valle d’Aosta: la difficoltà di garantire la copertura equa delle vallate su un territorio montano a bassissima densità; il rischio che il servizio si concentri nel solo fondovalle di Aosta, creando iniquità inversa; la difficoltà di reclutare personale bilingue disposto a risiedere in una regione piccola e cara; e la mancanza di una base di dati propri che rende le stime più incerte che nelle regioni già avviate.</w:t>
      </w:r>
      <w:r>
        <w:rPr>
          <w:rStyle w:val="FootnoteReference"/>
        </w:rPr>
        <w:footnoteReference w:id="3852"/>
      </w:r>
      <w:r>
        <w:t xml:space="preserve"> </w:t>
      </w:r>
      <w:r>
        <w:t xml:space="preserve">Tali rischi sono fronteggiati con una pianificazione esplicita della copertura distrettuale dall’avvio, con l’incentivazione del bilinguismo nel reclutamento, con la telepsicologia come strumento di copertura complementare nelle vallate più remote, e con l’impostazione sistematica del dataset minimo dall’avvio del servizio. La tabella seguente riepiloga i rischi e le mitigazioni.</w:t>
      </w:r>
    </w:p>
    <w:tbl>
      <w:tblPr>
        <w:tblStyle w:val="Table"/>
        <w:tblW w:type="pct" w:w="494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500"/>
        <w:gridCol w:w="4331"/>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Rischio</w:t>
            </w:r>
          </w:p>
        </w:tc>
        <w:tc>
          <w:tcPr>
            <w:shd w:val="clear" w:color="auto" w:fill="16264B"/>
          </w:tcPr>
          <w:p>
            <w:pPr>
              <w:pStyle w:val="Compact"/>
              <w:spacing w:after="40" w:before="40"/>
              <w:jc w:val="left"/>
            </w:pPr>
            <w:r>
              <w:rPr>
                <w:rFonts w:ascii="Cambria" w:hAnsi="Cambria" w:cs="Cambria" w:eastAsia="Cambria"/>
                <w:b/>
                <w:bCs/>
                <w:color w:val="FFFFFF"/>
                <w:sz w:val="18"/>
              </w:rPr>
              <w:t xml:space="preserve">Mitigazione</w:t>
            </w:r>
          </w:p>
        </w:tc>
      </w:tr>
      <w:tr>
        <w:tc>
          <w:tcPr/>
          <w:p>
            <w:pPr>
              <w:pStyle w:val="Compact"/>
              <w:spacing w:after="40" w:before="40"/>
              <w:jc w:val="left"/>
            </w:pPr>
            <w:r>
              <w:rPr>
                <w:rFonts w:ascii="Cambria" w:hAnsi="Cambria" w:cs="Cambria" w:eastAsia="Cambria"/>
                <w:b/>
                <w:bCs/>
                <w:color w:val="1A1A1A"/>
                <w:sz w:val="18"/>
              </w:rPr>
              <w:t xml:space="preserve">Concentrazione nel solo fondovalle (rischio iniquità inversa)</w:t>
            </w:r>
          </w:p>
        </w:tc>
        <w:tc>
          <w:tcPr/>
          <w:p>
            <w:pPr>
              <w:pStyle w:val="Compact"/>
              <w:spacing w:after="40" w:before="40"/>
              <w:jc w:val="left"/>
            </w:pPr>
            <w:r>
              <w:rPr>
                <w:rFonts w:ascii="Cambria" w:hAnsi="Cambria" w:cs="Cambria" w:eastAsia="Cambria"/>
                <w:color w:val="1A1A1A"/>
                <w:sz w:val="18"/>
              </w:rPr>
              <w:t xml:space="preserve">Allocazione esplicita pro-equità fra i distretti; telepsicologia per le vallate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Difficoltà di reclutamento bilingue italiano-francese</w:t>
            </w:r>
          </w:p>
        </w:tc>
        <w:tc>
          <w:tcPr>
            <w:shd w:val="clear" w:color="auto" w:fill="F4F1EC"/>
          </w:tcPr>
          <w:p>
            <w:pPr>
              <w:pStyle w:val="Compact"/>
              <w:spacing w:after="40" w:before="40"/>
              <w:jc w:val="left"/>
            </w:pPr>
            <w:r>
              <w:rPr>
                <w:rFonts w:ascii="Cambria" w:hAnsi="Cambria" w:cs="Cambria" w:eastAsia="Cambria"/>
                <w:color w:val="1A1A1A"/>
                <w:sz w:val="18"/>
              </w:rPr>
              <w:t xml:space="preserve">Incentivi per personale bilingue; reclutamento dalla Svizzera romanda e dalla Francia confinante</w:t>
            </w:r>
          </w:p>
        </w:tc>
      </w:tr>
      <w:tr>
        <w:tc>
          <w:tcPr/>
          <w:p>
            <w:pPr>
              <w:pStyle w:val="Compact"/>
              <w:spacing w:after="40" w:before="40"/>
              <w:jc w:val="left"/>
            </w:pPr>
            <w:r>
              <w:rPr>
                <w:rFonts w:ascii="Cambria" w:hAnsi="Cambria" w:cs="Cambria" w:eastAsia="Cambria"/>
                <w:b/>
                <w:bCs/>
                <w:color w:val="1A1A1A"/>
                <w:sz w:val="18"/>
              </w:rPr>
              <w:t xml:space="preserve">Mancanza di base dati propri (incertezza delle stime)</w:t>
            </w:r>
          </w:p>
        </w:tc>
        <w:tc>
          <w:tcPr/>
          <w:p>
            <w:pPr>
              <w:pStyle w:val="Compact"/>
              <w:spacing w:after="40" w:before="40"/>
              <w:jc w:val="left"/>
            </w:pPr>
            <w:r>
              <w:rPr>
                <w:rFonts w:ascii="Cambria" w:hAnsi="Cambria" w:cs="Cambria" w:eastAsia="Cambria"/>
                <w:color w:val="1A1A1A"/>
                <w:sz w:val="18"/>
              </w:rPr>
              <w:t xml:space="preserve">Dataset minimo strutturato dall’avvio; raccolta sistematica dei conti Azienda USL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Rischio di cronicizzazione a costo elevato (anzianità)</w:t>
            </w:r>
          </w:p>
        </w:tc>
        <w:tc>
          <w:tcPr>
            <w:shd w:val="clear" w:color="auto" w:fill="F4F1EC"/>
          </w:tcPr>
          <w:p>
            <w:pPr>
              <w:pStyle w:val="Compact"/>
              <w:spacing w:after="40" w:before="40"/>
              <w:jc w:val="left"/>
            </w:pPr>
            <w:r>
              <w:rPr>
                <w:rFonts w:ascii="Cambria" w:hAnsi="Cambria" w:cs="Cambria" w:eastAsia="Cambria"/>
                <w:color w:val="1A1A1A"/>
                <w:sz w:val="18"/>
              </w:rPr>
              <w:t xml:space="preserve">Protocolli di invio al CSM; criteri espliciti di passaggio di livello; formazione specifica</w:t>
            </w:r>
          </w:p>
        </w:tc>
      </w:tr>
    </w:tbl>
    <w:p>
      <w:pPr>
        <w:pStyle w:val="BodyText"/>
      </w:pPr>
      <w:r>
        <w:rPr>
          <w:i/>
          <w:iCs/>
        </w:rPr>
        <w:t xml:space="preserve">Tabella I.3. I rischi dell’attuazione e le relative mitigazioni.</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prospettico, batteria di indicatori, cruscotto regionale e clausola valutativa</w:t>
      </w:r>
    </w:p>
    <w:p>
      <w:pPr>
        <w:pStyle w:val="BodyText"/>
      </w:pPr>
      <w:r>
        <w:t xml:space="preserve">Inferenza causale quasi-sperimentale · la valutazione ex post</w:t>
      </w:r>
    </w:p>
    <w:bookmarkEnd w:id="4093"/>
    <w:bookmarkEnd w:id="4094"/>
    <w:bookmarkStart w:id="4110" w:name="X615dfb9e58b25e9deafefeb8eaf360a4fb09640"/>
    <w:p>
      <w:pPr>
        <w:pStyle w:val="Heading2"/>
      </w:pPr>
      <w:r>
        <w:t xml:space="preserve">Parte L — Monitoraggio e valutazione ex post</w:t>
      </w:r>
    </w:p>
    <w:p>
      <w:pPr>
        <w:pStyle w:val="FirstParagraph"/>
      </w:pPr>
      <w:r>
        <w:t xml:space="preserve">Questa parte definisce il sistema di monitoraggio e la valutazione ex post dell’intervento. Come per le altre regioni, l’impianto è invariante e muta ciò che attiene al disegno valutativo locale. La parte espone le finalità e l’impianto della valutazione (capitolo L.1); il disegno controfattuale e i metodi di stima (L.2); la batteria degli indicatori (L.3); il cruscotto di monitoraggio e la clausola valutativa (L.4); e la sintesi (L.5). Il tratto distintivo della Valle d’Aosta è che il servizio non esiste, e che il sistema di monitoraggio va costruito ex novo dall’avvio: ciò impone una progettazione attenta del dataset minimo e della clausola valutativa, ma offre l’opportunità di impostare la rilevazione nel modo più adeguato fin dal principio.</w:t>
      </w:r>
    </w:p>
    <w:bookmarkStart w:id="4096" w:name="Xb27975b7a7c00a16d9d87ac8bbfaacbd8459505"/>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3853"/>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p>
    <w:bookmarkEnd w:id="4096"/>
    <w:bookmarkStart w:id="4100" w:name="Xf20d87ac71914b70b4a9d775f6f3b11ec5c5c1e"/>
    <w:p>
      <w:pPr>
        <w:pStyle w:val="Heading3"/>
      </w:pPr>
      <w:r>
        <w:t xml:space="preserve">L.2 Il disegno controfattuale e i metodi</w:t>
      </w:r>
    </w:p>
    <w:p>
      <w:pPr>
        <w:pStyle w:val="FirstParagraph"/>
      </w:pPr>
      <w:r>
        <w:t xml:space="preserve">Il disegno della valutazione d’impatto costituisce, per la Valle d’Aosta, un punto da costruire con cura. Poiché il servizio è attivato ex novo, non vi è una linea di base propria, e il disegno controfattuale deve appoggiarsi su due strategie complementari.</w:t>
      </w:r>
      <w:r>
        <w:rPr>
          <w:rStyle w:val="FootnoteReference"/>
        </w:rPr>
        <w:footnoteReference w:id="3854"/>
      </w:r>
      <w:r>
        <w:t xml:space="preserve"> </w:t>
      </w:r>
      <w:r>
        <w:t xml:space="preserve">La prima è l’attivazione graduale per distretto, nella quale l’avvio sfalsato fra i quattro distretti consente di stimare l’effetto con il metodo della differenza-nelle-differenze, con i distretti non ancora attivati che fungono da confronto per quelli già avviati; questa strategia è particolarmente appropriata per la Valle d’Aosta, data la chiarezza dei confini distrettuali e la comparabilità fra i territori.</w:t>
      </w:r>
      <w:r>
        <w:rPr>
          <w:rStyle w:val="FootnoteReference"/>
        </w:rPr>
        <w:footnoteReference w:id="3855"/>
      </w:r>
      <w:r>
        <w:t xml:space="preserve"> </w:t>
      </w:r>
      <w:r>
        <w:t xml:space="preserve">La seconda è il confronto con i dati pre-istituzione, disponibili dai sistemi informativi dell’Azienda USL per le grandezze di sistema (accessi al pronto soccorso, psicofarmaci, ricoveri), che consentono di documentare l’effetto pre-post.</w:t>
      </w:r>
      <w:r>
        <w:rPr>
          <w:rStyle w:val="FootnoteReference"/>
        </w:rPr>
        <w:footnoteReference w:id="3856"/>
      </w:r>
      <w:r>
        <w:t xml:space="preserve"> </w:t>
      </w:r>
      <w:r>
        <w:t xml:space="preserve">L’effetto causale sull’intera regione è infine stimato, in prospettiva, con il controllo sintetico rispetto a un gruppo di confronto costruito con le regioni vicine.</w:t>
      </w:r>
    </w:p>
    <w:bookmarkEnd w:id="4100"/>
    <w:bookmarkStart w:id="4107" w:name="l.3-la-batteria-degli-indicatori-8"/>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 per distretto.</w:t>
      </w:r>
      <w:r>
        <w:rPr>
          <w:rStyle w:val="FootnoteReference"/>
        </w:rPr>
        <w:footnoteReference w:id="3857"/>
      </w:r>
      <w:r>
        <w:t xml:space="preserve"> </w:t>
      </w:r>
      <w:r>
        <w:t xml:space="preserve">Gli indicatori di processo misurano il funzionamento — prese in carico, attesa al primo colloquio, colloqui per persona, tasso di invio appropriato ai CSM.</w:t>
      </w:r>
      <w:r>
        <w:rPr>
          <w:rStyle w:val="FootnoteReference"/>
        </w:rPr>
        <w:footnoteReference w:id="3858"/>
      </w:r>
      <w:r>
        <w:t xml:space="preserve"> </w:t>
      </w:r>
      <w:r>
        <w:t xml:space="preserve">Gli indicatori di esito clinico misurano il beneficio diretto — miglioramento, recupero, remissione.</w:t>
      </w:r>
      <w:r>
        <w:rPr>
          <w:rStyle w:val="FootnoteReference"/>
        </w:rPr>
        <w:footnoteReference w:id="3859"/>
      </w:r>
      <w:r>
        <w:t xml:space="preserve"> </w:t>
      </w:r>
      <w:r>
        <w:t xml:space="preserve">Gli indicatori di esito di sistema misurano l’effetto sul resto del sistema — accessi al pronto soccorso per cause psichiatriche, psicofarmaci, ricoveri evitabili.</w:t>
      </w:r>
      <w:r>
        <w:rPr>
          <w:rStyle w:val="FootnoteReference"/>
        </w:rPr>
        <w:footnoteReference w:id="3860"/>
      </w:r>
      <w:r>
        <w:t xml:space="preserve"> </w:t>
      </w:r>
      <w:r>
        <w:t xml:space="preserve">Gli indicatori economici consentono di verificare ex post le stime e di sostituire i valori ricostruiti con quelli effettivi.</w:t>
      </w:r>
      <w:r>
        <w:rPr>
          <w:rStyle w:val="FootnoteReference"/>
        </w:rPr>
        <w:footnoteReference w:id="3861"/>
      </w:r>
      <w:r>
        <w:t xml:space="preserve"> </w:t>
      </w:r>
      <w:r>
        <w:t xml:space="preserve">Gli indicatori di equità, disaggregati per distretto e per vallata, per fasce di età e per lingua, verificano che il servizio riduca i divari fra fondovalle e vallate e garantisca la disponibilità bilingue.</w:t>
      </w:r>
      <w:r>
        <w:rPr>
          <w:rStyle w:val="FootnoteReference"/>
        </w:rPr>
        <w:footnoteReference w:id="3862"/>
      </w:r>
      <w:r>
        <w:t xml:space="preserve"> </w:t>
      </w:r>
      <w:r>
        <w:t xml:space="preserve">La tabella seguente riepiloga le categorie.</w:t>
      </w:r>
    </w:p>
    <w:tbl>
      <w:tblPr>
        <w:tblStyle w:val="Table"/>
        <w:tblW w:type="pct" w:w="4941"/>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677"/>
        <w:gridCol w:w="614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Categoria</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 (dell’ordine di 55 indicatori complessivi)</w:t>
            </w:r>
          </w:p>
        </w:tc>
      </w:tr>
      <w:tr>
        <w:tc>
          <w:tcPr/>
          <w:p>
            <w:pPr>
              <w:pStyle w:val="Compact"/>
              <w:spacing w:after="40" w:before="40"/>
              <w:jc w:val="left"/>
            </w:pPr>
            <w:r>
              <w:rPr>
                <w:rFonts w:ascii="Cambria" w:hAnsi="Cambria" w:cs="Cambria" w:eastAsia="Cambria"/>
                <w:b/>
                <w:bCs/>
                <w:color w:val="1A1A1A"/>
                <w:sz w:val="18"/>
              </w:rPr>
              <w:t xml:space="preserve">Struttura</w:t>
            </w:r>
          </w:p>
        </w:tc>
        <w:tc>
          <w:tcPr/>
          <w:p>
            <w:pPr>
              <w:pStyle w:val="Compact"/>
              <w:spacing w:after="40" w:before="40"/>
              <w:jc w:val="left"/>
            </w:pPr>
            <w:r>
              <w:rPr>
                <w:rFonts w:ascii="Cambria" w:hAnsi="Cambria" w:cs="Cambria" w:eastAsia="Cambria"/>
                <w:color w:val="1A1A1A"/>
                <w:sz w:val="18"/>
              </w:rPr>
              <w:t xml:space="preserve">Sedi attivate per distretto, incarichi, ore, dotazione, copertura del fabbisogno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Processo</w:t>
            </w:r>
          </w:p>
        </w:tc>
        <w:tc>
          <w:tcPr>
            <w:shd w:val="clear" w:color="auto" w:fill="F4F1EC"/>
          </w:tcPr>
          <w:p>
            <w:pPr>
              <w:pStyle w:val="Compact"/>
              <w:spacing w:after="40" w:before="40"/>
              <w:jc w:val="left"/>
            </w:pPr>
            <w:r>
              <w:rPr>
                <w:rFonts w:ascii="Cambria" w:hAnsi="Cambria" w:cs="Cambria" w:eastAsia="Cambria"/>
                <w:color w:val="1A1A1A"/>
                <w:sz w:val="18"/>
              </w:rPr>
              <w:t xml:space="preserve">Prese in carico, attesa al primo colloquio, colloqui per persona, invio appropriato ai CSM</w:t>
            </w:r>
          </w:p>
        </w:tc>
      </w:tr>
      <w:tr>
        <w:tc>
          <w:tcPr/>
          <w:p>
            <w:pPr>
              <w:pStyle w:val="Compact"/>
              <w:spacing w:after="40" w:before="40"/>
              <w:jc w:val="left"/>
            </w:pPr>
            <w:r>
              <w:rPr>
                <w:rFonts w:ascii="Cambria" w:hAnsi="Cambria" w:cs="Cambria" w:eastAsia="Cambria"/>
                <w:b/>
                <w:bCs/>
                <w:color w:val="1A1A1A"/>
                <w:sz w:val="18"/>
              </w:rPr>
              <w:t xml:space="preserve">Esito clinico</w:t>
            </w:r>
          </w:p>
        </w:tc>
        <w:tc>
          <w:tcPr/>
          <w:p>
            <w:pPr>
              <w:pStyle w:val="Compact"/>
              <w:spacing w:after="40" w:before="40"/>
              <w:jc w:val="left"/>
            </w:pPr>
            <w:r>
              <w:rPr>
                <w:rFonts w:ascii="Cambria" w:hAnsi="Cambria" w:cs="Cambria" w:eastAsia="Cambria"/>
                <w:color w:val="1A1A1A"/>
                <w:sz w:val="18"/>
              </w:rPr>
              <w:t xml:space="preserve">Miglioramento, recupero, remissione (PHQ-9, GAD-7, punteggi complessivi)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Esito di sistema</w:t>
            </w:r>
          </w:p>
        </w:tc>
        <w:tc>
          <w:tcPr>
            <w:shd w:val="clear" w:color="auto" w:fill="F4F1EC"/>
          </w:tcPr>
          <w:p>
            <w:pPr>
              <w:pStyle w:val="Compact"/>
              <w:spacing w:after="40" w:before="40"/>
              <w:jc w:val="left"/>
            </w:pPr>
            <w:r>
              <w:rPr>
                <w:rFonts w:ascii="Cambria" w:hAnsi="Cambria" w:cs="Cambria" w:eastAsia="Cambria"/>
                <w:color w:val="1A1A1A"/>
                <w:sz w:val="18"/>
              </w:rPr>
              <w:t xml:space="preserve">Accessi al pronto soccorso per cause psichiatriche, psicofarmaci, ricoveri evitabili, specialistica impropria</w:t>
            </w:r>
          </w:p>
        </w:tc>
      </w:tr>
      <w:tr>
        <w:tc>
          <w:tcPr/>
          <w:p>
            <w:pPr>
              <w:pStyle w:val="Compact"/>
              <w:spacing w:after="40" w:before="40"/>
              <w:jc w:val="left"/>
            </w:pPr>
            <w:r>
              <w:rPr>
                <w:rFonts w:ascii="Cambria" w:hAnsi="Cambria" w:cs="Cambria" w:eastAsia="Cambria"/>
                <w:b/>
                <w:bCs/>
                <w:color w:val="1A1A1A"/>
                <w:sz w:val="18"/>
              </w:rPr>
              <w:t xml:space="preserve">Economici</w:t>
            </w:r>
          </w:p>
        </w:tc>
        <w:tc>
          <w:tcPr/>
          <w:p>
            <w:pPr>
              <w:pStyle w:val="Compact"/>
              <w:spacing w:after="40" w:before="40"/>
              <w:jc w:val="left"/>
            </w:pPr>
            <w:r>
              <w:rPr>
                <w:rFonts w:ascii="Cambria" w:hAnsi="Cambria" w:cs="Cambria" w:eastAsia="Cambria"/>
                <w:color w:val="1A1A1A"/>
                <w:sz w:val="18"/>
              </w:rPr>
              <w:t xml:space="preserve">Costo, risparmi diretti, ricadute sociali, rapporto beneficio-costo su dati reali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Copertura e accesso per distretto e vallata, per fasce di età (anziani), per lingua (italiano/francese)</w:t>
            </w:r>
          </w:p>
        </w:tc>
      </w:tr>
      <w:tr>
        <w:tc>
          <w:tcPr/>
          <w:p>
            <w:pPr>
              <w:pStyle w:val="Compact"/>
              <w:spacing w:after="40" w:before="40"/>
              <w:jc w:val="left"/>
            </w:pPr>
            <w:r>
              <w:rPr>
                <w:rFonts w:ascii="Cambria" w:hAnsi="Cambria" w:cs="Cambria" w:eastAsia="Cambria"/>
                <w:b/>
                <w:bCs/>
                <w:color w:val="1A1A1A"/>
                <w:sz w:val="18"/>
              </w:rPr>
              <w:t xml:space="preserve">Qualità</w:t>
            </w:r>
          </w:p>
        </w:tc>
        <w:tc>
          <w:tcPr/>
          <w:p>
            <w:pPr>
              <w:pStyle w:val="Compact"/>
              <w:spacing w:after="40" w:before="40"/>
              <w:jc w:val="left"/>
            </w:pPr>
            <w:r>
              <w:rPr>
                <w:rFonts w:ascii="Cambria" w:hAnsi="Cambria" w:cs="Cambria" w:eastAsia="Cambria"/>
                <w:color w:val="1A1A1A"/>
                <w:sz w:val="18"/>
              </w:rPr>
              <w:t xml:space="preserve">Soddisfazione, appropriatezza, continuità del rapporto clinico</w:t>
            </w:r>
          </w:p>
        </w:tc>
      </w:tr>
    </w:tbl>
    <w:p>
      <w:pPr>
        <w:pStyle w:val="BodyText"/>
      </w:pPr>
      <w:r>
        <w:rPr>
          <w:i/>
          <w:iCs/>
        </w:rPr>
        <w:t xml:space="preserve">Tabella L.1. Le sette categorie della batteria di indicatori.</w:t>
      </w:r>
    </w:p>
    <w:bookmarkEnd w:id="4107"/>
    <w:bookmarkStart w:id="4108" w:name="Xacafbeb96465e2ea463a68c272dbe6efca8da5e"/>
    <w:p>
      <w:pPr>
        <w:pStyle w:val="Heading3"/>
      </w:pPr>
      <w:r>
        <w:t xml:space="preserve">L.4 Il cruscotto regionale e la clausola valutativa</w:t>
      </w:r>
    </w:p>
    <w:p>
      <w:pPr>
        <w:pStyle w:val="FirstParagraph"/>
      </w:pPr>
      <w:r>
        <w:t xml:space="preserve">Gli indicatori confluiscono in un cruscotto di monitoraggio aggiornato periodicamente, che rende trasparente l’andamento del servizio e ne consente la correzione; la titolarità del cruscotto è dell’Azienda USL Valle d’Aosta, in raccordo con l’Assessorato regionale alla salute, che ne assicura l’alimentazione sistematica. Lo strumento attraverso cui il monitoraggio diventa vincolante è la clausola valutativa: il provvedimento istitutivo del servizio — legge regionale o deliberazione della Giunta — deve corredare l’istituzione di una clausola valutativa che impegni la Giunta a riferire periodicamente al Consiglio regionale sui risultati del servizio, con la documentazione dell’efficacia, dei costi e dell’equità. La raccolta dei dati poggia sul sistema informativo dell’Azienda USL, da impostare in forma comparabile con gli standard nazionali e interoperabile con il fascicolo sanitario elettronico regionale. La valutazione si articola in un monitoraggio in itinere, che accompagna l’attivazione progressiva, e in una valutazione ex post a regime.</w:t>
      </w:r>
    </w:p>
    <w:tbl>
      <w:tblPr>
        <w:tblStyle w:val="Table"/>
        <w:tblW w:type="pct" w:w="493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76"/>
        <w:gridCol w:w="5746"/>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della governance valutativa</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per la Valle d’Aosta</w:t>
            </w:r>
          </w:p>
        </w:tc>
      </w:tr>
      <w:tr>
        <w:tc>
          <w:tcPr/>
          <w:p>
            <w:pPr>
              <w:pStyle w:val="Compact"/>
              <w:spacing w:after="40" w:before="40"/>
              <w:jc w:val="left"/>
            </w:pPr>
            <w:r>
              <w:rPr>
                <w:rFonts w:ascii="Cambria" w:hAnsi="Cambria" w:cs="Cambria" w:eastAsia="Cambria"/>
                <w:b/>
                <w:bCs/>
                <w:color w:val="1A1A1A"/>
                <w:sz w:val="18"/>
              </w:rPr>
              <w:t xml:space="preserve">Disegno d’impatto</w:t>
            </w:r>
          </w:p>
        </w:tc>
        <w:tc>
          <w:tcPr/>
          <w:p>
            <w:pPr>
              <w:pStyle w:val="Compact"/>
              <w:spacing w:after="40" w:before="40"/>
              <w:jc w:val="left"/>
            </w:pPr>
            <w:r>
              <w:rPr>
                <w:rFonts w:ascii="Cambria" w:hAnsi="Cambria" w:cs="Cambria" w:eastAsia="Cambria"/>
                <w:color w:val="1A1A1A"/>
                <w:sz w:val="18"/>
              </w:rPr>
              <w:t xml:space="preserve">Attivazione graduale per distretto (differenza-nelle-differenze); confronto pre-post; controllo sintetico prospettico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Linea di base</w:t>
            </w:r>
          </w:p>
        </w:tc>
        <w:tc>
          <w:tcPr>
            <w:shd w:val="clear" w:color="auto" w:fill="F4F1EC"/>
          </w:tcPr>
          <w:p>
            <w:pPr>
              <w:pStyle w:val="Compact"/>
              <w:spacing w:after="40" w:before="40"/>
              <w:jc w:val="left"/>
            </w:pPr>
            <w:r>
              <w:rPr>
                <w:rFonts w:ascii="Cambria" w:hAnsi="Cambria" w:cs="Cambria" w:eastAsia="Cambria"/>
                <w:color w:val="1A1A1A"/>
                <w:sz w:val="18"/>
              </w:rPr>
              <w:t xml:space="preserve">Dati dai sistemi informativi Azienda USL (pronto soccorso, farmaceutica, ricoveri) pre-istituzione; assenza di dati clinici propri</w:t>
            </w:r>
          </w:p>
        </w:tc>
      </w:tr>
      <w:tr>
        <w:tc>
          <w:tcPr/>
          <w:p>
            <w:pPr>
              <w:pStyle w:val="Compact"/>
              <w:spacing w:after="40" w:before="40"/>
              <w:jc w:val="left"/>
            </w:pPr>
            <w:r>
              <w:rPr>
                <w:rFonts w:ascii="Cambria" w:hAnsi="Cambria" w:cs="Cambria" w:eastAsia="Cambria"/>
                <w:b/>
                <w:bCs/>
                <w:color w:val="1A1A1A"/>
                <w:sz w:val="18"/>
              </w:rPr>
              <w:t xml:space="preserve">Titolarità del cruscotto</w:t>
            </w:r>
          </w:p>
        </w:tc>
        <w:tc>
          <w:tcPr/>
          <w:p>
            <w:pPr>
              <w:pStyle w:val="Compact"/>
              <w:spacing w:after="40" w:before="40"/>
              <w:jc w:val="left"/>
            </w:pPr>
            <w:r>
              <w:rPr>
                <w:rFonts w:ascii="Cambria" w:hAnsi="Cambria" w:cs="Cambria" w:eastAsia="Cambria"/>
                <w:color w:val="1A1A1A"/>
                <w:sz w:val="18"/>
              </w:rPr>
              <w:t xml:space="preserve">Azienda USL Valle d’Aosta, in raccordo con l’Assessorato alla salute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Da corredare all’atto istitutivo; relazione periodica al Consiglio regionale; disaggregata per distretto e per lingua</w:t>
            </w:r>
          </w:p>
        </w:tc>
      </w:tr>
      <w:tr>
        <w:tc>
          <w:tcPr/>
          <w:p>
            <w:pPr>
              <w:pStyle w:val="Compact"/>
              <w:spacing w:after="40" w:before="40"/>
              <w:jc w:val="left"/>
            </w:pPr>
            <w:r>
              <w:rPr>
                <w:rFonts w:ascii="Cambria" w:hAnsi="Cambria" w:cs="Cambria" w:eastAsia="Cambria"/>
                <w:b/>
                <w:bCs/>
                <w:color w:val="1A1A1A"/>
                <w:sz w:val="18"/>
              </w:rPr>
              <w:t xml:space="preserve">Flusso informativo</w:t>
            </w:r>
          </w:p>
        </w:tc>
        <w:tc>
          <w:tcPr/>
          <w:p>
            <w:pPr>
              <w:pStyle w:val="Compact"/>
              <w:spacing w:after="40" w:before="40"/>
              <w:jc w:val="left"/>
            </w:pPr>
            <w:r>
              <w:rPr>
                <w:rFonts w:ascii="Cambria" w:hAnsi="Cambria" w:cs="Cambria" w:eastAsia="Cambria"/>
                <w:color w:val="1A1A1A"/>
                <w:sz w:val="18"/>
              </w:rPr>
              <w:t xml:space="preserve">Sistema informativo Azienda USL; dataset minimo strutturato dall’avvio; interoperabile con FSE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Tempi</w:t>
            </w:r>
          </w:p>
        </w:tc>
        <w:tc>
          <w:tcPr>
            <w:shd w:val="clear" w:color="auto" w:fill="F4F1EC"/>
          </w:tcPr>
          <w:p>
            <w:pPr>
              <w:pStyle w:val="Compact"/>
              <w:spacing w:after="40" w:before="40"/>
              <w:jc w:val="left"/>
            </w:pPr>
            <w:r>
              <w:rPr>
                <w:rFonts w:ascii="Cambria" w:hAnsi="Cambria" w:cs="Cambria" w:eastAsia="Cambria"/>
                <w:color w:val="1A1A1A"/>
                <w:sz w:val="18"/>
              </w:rPr>
              <w:t xml:space="preserve">In itinere (accompagnamento dell’avvio) ed ex post (effetto a regime, dall’anno terzo-quinto)</w:t>
            </w:r>
          </w:p>
        </w:tc>
      </w:tr>
    </w:tbl>
    <w:p>
      <w:pPr>
        <w:pStyle w:val="BodyText"/>
      </w:pPr>
      <w:r>
        <w:rPr>
          <w:i/>
          <w:iCs/>
        </w:rPr>
        <w:t xml:space="preserve">Tabella L.2. La governance della valutazione e il cruscotto regionale.</w:t>
      </w:r>
    </w:p>
    <w:bookmarkEnd w:id="4108"/>
    <w:bookmarkStart w:id="4109" w:name="l.5-sintesi-del-monitoraggio-7"/>
    <w:p>
      <w:pPr>
        <w:pStyle w:val="Heading3"/>
      </w:pPr>
      <w:r>
        <w:t xml:space="preserve">L.5 Sintesi del monitoraggio</w:t>
      </w:r>
    </w:p>
    <w:p>
      <w:pPr>
        <w:pStyle w:val="FirstParagraph"/>
      </w:pPr>
      <w:r>
        <w:t xml:space="preserve">La valutazione è la condizione per trasformare l’istituzione del servizio in apprendimento, e la Valle d’Aosta, pur partendo da zero, dispone dell’opportunità — propria di chi inizia — di impostare la rilevazione nel modo più adeguato fin dal principio; perché ciò si realizzi, occorre corredare l’atto istitutivo di una clausola valutativa vincolante e impostare il dataset minimo dall’avvio del servizio, secondo le specifiche dell’Appendice B. Definito il sistema di monitoraggio, la parte conclusiva compone i risultati dei diversi domini in una sintesi multidimensionale e formula le raccomandazioni.</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4109"/>
    <w:bookmarkEnd w:id="4110"/>
    <w:bookmarkStart w:id="4118" w:name="X7d3d20533f41adf16187d000434dd1bfd010e09"/>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 Valle d’Aosta. La parte richiama la sintesi per dominio (capitolo M.1); espone l’analisi multi-criterio (M.2); formula la raccomandazione principale e il dimensionamento (M.3); ne precisa le condizioni e la lacuna da colmare (M.4); e chiude con la collocazione nella serie e la conclusione (M.5). Il tratto distintivo della Valle d’Aosta percorre l’intera sintesi: è la più piccola regione italiana, alpina, bilingue, a piena autonomia finanziaria, con un indice di vecchiaia fra i più alti d’Italia, priva di qualunque forma di psicologo di base, chiamata a istituire per la prima volta un servizio con un costo contenutissimo in valore assoluto ma un ritorno sociale nettamente positivo.</w:t>
      </w:r>
    </w:p>
    <w:bookmarkStart w:id="4111" w:name="m.1-la-sintesi-per-dominio-11"/>
    <w:p>
      <w:pPr>
        <w:pStyle w:val="Heading3"/>
      </w:pPr>
      <w:r>
        <w:t xml:space="preserve">M.1 La sintesi per dominio</w:t>
      </w:r>
    </w:p>
    <w:p>
      <w:pPr>
        <w:pStyle w:val="FirstParagraph"/>
      </w:pPr>
      <w:r>
        <w:t xml:space="preserve">Il quadro che emerge dai domini è coerente: il bisogno è ampio per la prevalenza dell’anzianità e dell’isolamento nelle vallate, con un tasso di incidenza dei casi trattati di salute mentale (118,5/10.000) molto superiore alla media nazionale (55,4/10.000), indicatore di un sistema attivo ma che non intercetta il bisogno di primo livello; l’efficacia clinica è sostenuta da evidenza internazionale solida, anche se la certezza locale parte da zero; il quadro economico distingue un caso finanziario di disavanzo modestissimo in valore assoluto da un caso sociale fortemente positivo; l’equità è favorevole se la copertura è allocata pro-equità verso le vallate e garantisce il bilinguismo; la fattibilità è quella di un’istituzione ex novo in un sistema semplificato, con unicità dell’azienda sanitaria e piena autonomia finanziaria; il monitoraggio va costruito ex novo ma può essere impostato ottimalmente dall’avvio. La tabella seguente riepiloga il giudizio per dominio.</w:t>
      </w:r>
    </w:p>
    <w:tbl>
      <w:tblPr>
        <w:tblStyle w:val="Table"/>
        <w:tblW w:type="pct" w:w="4946"/>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49"/>
        <w:gridCol w:w="62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Dominio</w:t>
            </w:r>
          </w:p>
        </w:tc>
        <w:tc>
          <w:tcPr>
            <w:shd w:val="clear" w:color="auto" w:fill="16264B"/>
          </w:tcPr>
          <w:p>
            <w:pPr>
              <w:pStyle w:val="Compact"/>
              <w:spacing w:after="40" w:before="40"/>
              <w:jc w:val="left"/>
            </w:pPr>
            <w:r>
              <w:rPr>
                <w:rFonts w:ascii="Cambria" w:hAnsi="Cambria" w:cs="Cambria" w:eastAsia="Cambria"/>
                <w:b/>
                <w:bCs/>
                <w:color w:val="FFFFFF"/>
                <w:sz w:val="18"/>
              </w:rPr>
              <w:t xml:space="preserve">Giudizio sintetico per la Valle d’Aosta</w:t>
            </w:r>
          </w:p>
        </w:tc>
      </w:tr>
      <w:tr>
        <w:tc>
          <w:tcPr/>
          <w:p>
            <w:pPr>
              <w:pStyle w:val="Compact"/>
              <w:spacing w:after="40" w:before="40"/>
              <w:jc w:val="left"/>
            </w:pPr>
            <w:r>
              <w:rPr>
                <w:rFonts w:ascii="Cambria" w:hAnsi="Cambria" w:cs="Cambria" w:eastAsia="Cambria"/>
                <w:b/>
                <w:bCs/>
                <w:color w:val="1A1A1A"/>
                <w:sz w:val="18"/>
              </w:rPr>
              <w:t xml:space="preserve">Bisogno e contesto</w:t>
            </w:r>
          </w:p>
        </w:tc>
        <w:tc>
          <w:tcPr/>
          <w:p>
            <w:pPr>
              <w:pStyle w:val="Compact"/>
              <w:spacing w:after="40" w:before="40"/>
              <w:jc w:val="left"/>
            </w:pPr>
            <w:r>
              <w:rPr>
                <w:rFonts w:ascii="Cambria" w:hAnsi="Cambria" w:cs="Cambria" w:eastAsia="Cambria"/>
                <w:color w:val="1A1A1A"/>
                <w:sz w:val="18"/>
              </w:rPr>
              <w:t xml:space="preserve">Ampio; anzianità molto acuta (indice di vecchiaia 215,1); isolamento nelle vallate; tasso incidenza CSM 118,5/10.000; servizio assente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Efficacia clinica</w:t>
            </w:r>
          </w:p>
        </w:tc>
        <w:tc>
          <w:tcPr>
            <w:shd w:val="clear" w:color="auto" w:fill="F4F1EC"/>
          </w:tcPr>
          <w:p>
            <w:pPr>
              <w:pStyle w:val="Compact"/>
              <w:spacing w:after="40" w:before="40"/>
              <w:jc w:val="left"/>
            </w:pPr>
            <w:r>
              <w:rPr>
                <w:rFonts w:ascii="Cambria" w:hAnsi="Cambria" w:cs="Cambria" w:eastAsia="Cambria"/>
                <w:color w:val="1A1A1A"/>
                <w:sz w:val="18"/>
              </w:rPr>
              <w:t xml:space="preserve">Evidenza internazionale solida; nessun dato locale (servizio assente); impostazione della rilevazione dall’avvio è condizione necessaria</w:t>
            </w:r>
          </w:p>
        </w:tc>
      </w:tr>
      <w:tr>
        <w:tc>
          <w:tcPr/>
          <w:p>
            <w:pPr>
              <w:pStyle w:val="Compact"/>
              <w:spacing w:after="40" w:before="40"/>
              <w:jc w:val="left"/>
            </w:pPr>
            <w:r>
              <w:rPr>
                <w:rFonts w:ascii="Cambria" w:hAnsi="Cambria" w:cs="Cambria" w:eastAsia="Cambria"/>
                <w:b/>
                <w:bCs/>
                <w:color w:val="1A1A1A"/>
                <w:sz w:val="18"/>
              </w:rPr>
              <w:t xml:space="preserve">Valutazione economica</w:t>
            </w:r>
          </w:p>
        </w:tc>
        <w:tc>
          <w:tcPr/>
          <w:p>
            <w:pPr>
              <w:pStyle w:val="Compact"/>
              <w:spacing w:after="40" w:before="40"/>
              <w:jc w:val="left"/>
            </w:pPr>
            <w:r>
              <w:rPr>
                <w:rFonts w:ascii="Cambria" w:hAnsi="Cambria" w:cs="Cambria" w:eastAsia="Cambria"/>
                <w:color w:val="1A1A1A"/>
                <w:sz w:val="18"/>
              </w:rPr>
              <w:t xml:space="preserve">Caso finanziario: saldo diretto −0,8/−1,0 mln (modestissimo); caso sociale fortemente positivo (rapporto 4,0–5,3:1)</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Favorevole se pro-equità verso le vallate e con bilinguismo garantito; rischio di iniquità inversa se concentrato nel solo fondovalle</w:t>
            </w:r>
          </w:p>
        </w:tc>
      </w:tr>
      <w:tr>
        <w:tc>
          <w:tcPr/>
          <w:p>
            <w:pPr>
              <w:pStyle w:val="Compact"/>
              <w:spacing w:after="40" w:before="40"/>
              <w:jc w:val="left"/>
            </w:pPr>
            <w:r>
              <w:rPr>
                <w:rFonts w:ascii="Cambria" w:hAnsi="Cambria" w:cs="Cambria" w:eastAsia="Cambria"/>
                <w:b/>
                <w:bCs/>
                <w:color w:val="1A1A1A"/>
                <w:sz w:val="18"/>
              </w:rPr>
              <w:t xml:space="preserve">Fattibilità</w:t>
            </w:r>
          </w:p>
        </w:tc>
        <w:tc>
          <w:tcPr/>
          <w:p>
            <w:pPr>
              <w:pStyle w:val="Compact"/>
              <w:spacing w:after="40" w:before="40"/>
              <w:jc w:val="left"/>
            </w:pPr>
            <w:r>
              <w:rPr>
                <w:rFonts w:ascii="Cambria" w:hAnsi="Cambria" w:cs="Cambria" w:eastAsia="Cambria"/>
                <w:color w:val="1A1A1A"/>
                <w:sz w:val="18"/>
              </w:rPr>
              <w:t xml:space="preserve">Istituzione ex novo; azienda sanitaria unica; piena autonomia finanziaria; costo minimo; bacino professionale accessibile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Monitoraggio</w:t>
            </w:r>
          </w:p>
        </w:tc>
        <w:tc>
          <w:tcPr>
            <w:shd w:val="clear" w:color="auto" w:fill="F4F1EC"/>
          </w:tcPr>
          <w:p>
            <w:pPr>
              <w:pStyle w:val="Compact"/>
              <w:spacing w:after="40" w:before="40"/>
              <w:jc w:val="left"/>
            </w:pPr>
            <w:r>
              <w:rPr>
                <w:rFonts w:ascii="Cambria" w:hAnsi="Cambria" w:cs="Cambria" w:eastAsia="Cambria"/>
                <w:color w:val="1A1A1A"/>
                <w:sz w:val="18"/>
              </w:rPr>
              <w:t xml:space="preserve">Da costruire ex novo; dataset minimo dall’avvio è condizione per la credibilità delle stime future; clausola valutativa nell’atto istitutivo</w:t>
            </w:r>
          </w:p>
        </w:tc>
      </w:tr>
    </w:tbl>
    <w:p>
      <w:pPr>
        <w:pStyle w:val="BodyText"/>
      </w:pPr>
      <w:r>
        <w:rPr>
          <w:i/>
          <w:iCs/>
        </w:rPr>
        <w:t xml:space="preserve">Tabella M.1. La sintesi dei domini della valutazione.</w:t>
      </w:r>
    </w:p>
    <w:bookmarkEnd w:id="4111"/>
    <w:bookmarkStart w:id="4112" w:name="m.2-lanalisi-multi-criterio-16"/>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 I pesi adottati — efficacia clinica 15%, costo-efficacia e ritorno 20%, impatto sul bilancio e sostenibilità 15%, equità 15%, valore sociale 10%, fattibilità 10%, robustezza dell’evidenza 10%, coerenza strategica 5% — sono comuni a tutta la serie. La media ponderata dei punteggi dell’intervento è dell’ordine di 78,5 su 100, sostenuta dal punteggio molto alto nell’impatto sul bilancio e nella sostenibilità — che riflette la piena autonomia finanziaria e il costo minimo — e dai punteggi elevati nel valore sociale, nella costo-efficacia e nella coerenza strategica; il punteggio è contenuto dalla robustezza dell’evidenza locale, che parte da zero. Il non intervento ottiene una media dell’ordine di 36,5 su 100, penalizzato in tutti i criteri sostanziali. L’intervento prevale con uno scarto dell’ordine di quarantadue punti, e la prevalenza si mantiene al variare dei pesi entro intervalli ragionevoli.</w:t>
      </w:r>
    </w:p>
    <w:tbl>
      <w:tblPr>
        <w:tblStyle w:val="Table"/>
        <w:tblW w:type="pct" w:w="489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440"/>
        <w:gridCol w:w="1440"/>
        <w:gridCol w:w="1440"/>
        <w:gridCol w:w="144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Criterio</w:t>
            </w:r>
          </w:p>
        </w:tc>
        <w:tc>
          <w:tcPr>
            <w:shd w:val="clear" w:color="auto" w:fill="16264B"/>
          </w:tcPr>
          <w:p>
            <w:pPr>
              <w:pStyle w:val="Compact"/>
              <w:spacing w:after="40" w:before="40"/>
              <w:jc w:val="left"/>
            </w:pPr>
            <w:r>
              <w:rPr>
                <w:rFonts w:ascii="Cambria" w:hAnsi="Cambria" w:cs="Cambria" w:eastAsia="Cambria"/>
                <w:b/>
                <w:bCs/>
                <w:color w:val="FFFFFF"/>
                <w:sz w:val="18"/>
              </w:rPr>
              <w:t xml:space="preserve">Peso</w:t>
            </w:r>
          </w:p>
        </w:tc>
        <w:tc>
          <w:tcPr>
            <w:shd w:val="clear" w:color="auto" w:fill="16264B"/>
          </w:tcPr>
          <w:p>
            <w:pPr>
              <w:pStyle w:val="Compact"/>
              <w:spacing w:after="40" w:before="40"/>
              <w:jc w:val="left"/>
            </w:pPr>
            <w:r>
              <w:rPr>
                <w:rFonts w:ascii="Cambria" w:hAnsi="Cambria" w:cs="Cambria" w:eastAsia="Cambria"/>
                <w:b/>
                <w:bCs/>
                <w:color w:val="FFFFFF"/>
                <w:sz w:val="18"/>
              </w:rPr>
              <w:t xml:space="preserve">Intervento</w:t>
            </w:r>
          </w:p>
        </w:tc>
        <w:tc>
          <w:tcPr>
            <w:shd w:val="clear" w:color="auto" w:fill="16264B"/>
          </w:tcPr>
          <w:p>
            <w:pPr>
              <w:pStyle w:val="Compact"/>
              <w:spacing w:after="40" w:before="40"/>
              <w:jc w:val="left"/>
            </w:pPr>
            <w:r>
              <w:rPr>
                <w:rFonts w:ascii="Cambria" w:hAnsi="Cambria" w:cs="Cambria" w:eastAsia="Cambria"/>
                <w:b/>
                <w:bCs/>
                <w:color w:val="FFFFFF"/>
                <w:sz w:val="18"/>
              </w:rPr>
              <w:t xml:space="preserve">Non interv.</w:t>
            </w:r>
          </w:p>
        </w:tc>
      </w:tr>
      <w:tr>
        <w:tc>
          <w:tcPr/>
          <w:p>
            <w:pPr>
              <w:pStyle w:val="Compact"/>
              <w:spacing w:after="40" w:before="40"/>
              <w:jc w:val="left"/>
            </w:pPr>
            <w:r>
              <w:rPr>
                <w:rFonts w:ascii="Cambria" w:hAnsi="Cambria" w:cs="Cambria" w:eastAsia="Cambria"/>
                <w:b/>
                <w:bCs/>
                <w:color w:val="1A1A1A"/>
                <w:sz w:val="18"/>
              </w:rPr>
              <w:t xml:space="preserve">Efficacia clinica</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78</w:t>
            </w:r>
          </w:p>
        </w:tc>
        <w:tc>
          <w:tcPr/>
          <w:p>
            <w:pPr>
              <w:pStyle w:val="Compact"/>
              <w:spacing w:after="40" w:before="40"/>
              <w:jc w:val="left"/>
            </w:pPr>
            <w:r>
              <w:rPr>
                <w:rFonts w:ascii="Cambria" w:hAnsi="Cambria" w:cs="Cambria" w:eastAsia="Cambria"/>
                <w:color w:val="1A1A1A"/>
                <w:sz w:val="18"/>
              </w:rPr>
              <w:t xml:space="preserve">28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Costo-efficacia e ritorno economico</w:t>
            </w:r>
          </w:p>
        </w:tc>
        <w:tc>
          <w:tcPr>
            <w:shd w:val="clear" w:color="auto" w:fill="F4F1EC"/>
          </w:tcPr>
          <w:p>
            <w:pPr>
              <w:pStyle w:val="Compact"/>
              <w:spacing w:after="40" w:before="40"/>
              <w:jc w:val="left"/>
            </w:pPr>
            <w:r>
              <w:rPr>
                <w:rFonts w:ascii="Cambria" w:hAnsi="Cambria" w:cs="Cambria" w:eastAsia="Cambria"/>
                <w:color w:val="1A1A1A"/>
                <w:sz w:val="18"/>
              </w:rPr>
              <w:t xml:space="preserve">20%</w:t>
            </w:r>
          </w:p>
        </w:tc>
        <w:tc>
          <w:tcPr>
            <w:shd w:val="clear" w:color="auto" w:fill="F4F1EC"/>
          </w:tcPr>
          <w:p>
            <w:pPr>
              <w:pStyle w:val="Compact"/>
              <w:spacing w:after="40" w:before="40"/>
              <w:jc w:val="left"/>
            </w:pPr>
            <w:r>
              <w:rPr>
                <w:rFonts w:ascii="Cambria" w:hAnsi="Cambria" w:cs="Cambria" w:eastAsia="Cambria"/>
                <w:color w:val="1A1A1A"/>
                <w:sz w:val="18"/>
              </w:rPr>
              <w:t xml:space="preserve">80</w:t>
            </w:r>
          </w:p>
        </w:tc>
        <w:tc>
          <w:tcPr>
            <w:shd w:val="clear" w:color="auto" w:fill="F4F1EC"/>
          </w:tcPr>
          <w:p>
            <w:pPr>
              <w:pStyle w:val="Compact"/>
              <w:spacing w:after="40" w:before="40"/>
              <w:jc w:val="left"/>
            </w:pPr>
            <w:r>
              <w:rPr>
                <w:rFonts w:ascii="Cambria" w:hAnsi="Cambria" w:cs="Cambria" w:eastAsia="Cambria"/>
                <w:color w:val="1A1A1A"/>
                <w:sz w:val="18"/>
              </w:rPr>
              <w:t xml:space="preserve">22</w:t>
            </w:r>
          </w:p>
        </w:tc>
      </w:tr>
      <w:tr>
        <w:tc>
          <w:tcPr/>
          <w:p>
            <w:pPr>
              <w:pStyle w:val="Compact"/>
              <w:spacing w:after="40" w:before="40"/>
              <w:jc w:val="left"/>
            </w:pPr>
            <w:r>
              <w:rPr>
                <w:rFonts w:ascii="Cambria" w:hAnsi="Cambria" w:cs="Cambria" w:eastAsia="Cambria"/>
                <w:b/>
                <w:bCs/>
                <w:color w:val="1A1A1A"/>
                <w:sz w:val="18"/>
              </w:rPr>
              <w:t xml:space="preserve">Impatto sul bilancio e sostenibilità</w:t>
            </w:r>
          </w:p>
        </w:tc>
        <w:tc>
          <w:tcPr/>
          <w:p>
            <w:pPr>
              <w:pStyle w:val="Compact"/>
              <w:spacing w:after="40" w:before="40"/>
              <w:jc w:val="left"/>
            </w:pPr>
            <w:r>
              <w:rPr>
                <w:rFonts w:ascii="Cambria" w:hAnsi="Cambria" w:cs="Cambria" w:eastAsia="Cambria"/>
                <w:color w:val="1A1A1A"/>
                <w:sz w:val="18"/>
              </w:rPr>
              <w:t xml:space="preserve">15%</w:t>
            </w:r>
          </w:p>
        </w:tc>
        <w:tc>
          <w:tcPr/>
          <w:p>
            <w:pPr>
              <w:pStyle w:val="Compact"/>
              <w:spacing w:after="40" w:before="40"/>
              <w:jc w:val="left"/>
            </w:pPr>
            <w:r>
              <w:rPr>
                <w:rFonts w:ascii="Cambria" w:hAnsi="Cambria" w:cs="Cambria" w:eastAsia="Cambria"/>
                <w:color w:val="1A1A1A"/>
                <w:sz w:val="18"/>
              </w:rPr>
              <w:t xml:space="preserve">92</w:t>
            </w:r>
          </w:p>
        </w:tc>
        <w:tc>
          <w:tcPr/>
          <w:p>
            <w:pPr>
              <w:pStyle w:val="Compact"/>
              <w:spacing w:after="40" w:before="40"/>
              <w:jc w:val="left"/>
            </w:pPr>
            <w:r>
              <w:rPr>
                <w:rFonts w:ascii="Cambria" w:hAnsi="Cambria" w:cs="Cambria" w:eastAsia="Cambria"/>
                <w:color w:val="1A1A1A"/>
                <w:sz w:val="18"/>
              </w:rPr>
              <w:t xml:space="preserve">48</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Equità</w:t>
            </w:r>
          </w:p>
        </w:tc>
        <w:tc>
          <w:tcPr>
            <w:shd w:val="clear" w:color="auto" w:fill="F4F1EC"/>
          </w:tcPr>
          <w:p>
            <w:pPr>
              <w:pStyle w:val="Compact"/>
              <w:spacing w:after="40" w:before="40"/>
              <w:jc w:val="left"/>
            </w:pPr>
            <w:r>
              <w:rPr>
                <w:rFonts w:ascii="Cambria" w:hAnsi="Cambria" w:cs="Cambria" w:eastAsia="Cambria"/>
                <w:color w:val="1A1A1A"/>
                <w:sz w:val="18"/>
              </w:rPr>
              <w:t xml:space="preserve">15%</w:t>
            </w:r>
          </w:p>
        </w:tc>
        <w:tc>
          <w:tcPr>
            <w:shd w:val="clear" w:color="auto" w:fill="F4F1EC"/>
          </w:tcPr>
          <w:p>
            <w:pPr>
              <w:pStyle w:val="Compact"/>
              <w:spacing w:after="40" w:before="40"/>
              <w:jc w:val="left"/>
            </w:pPr>
            <w:r>
              <w:rPr>
                <w:rFonts w:ascii="Cambria" w:hAnsi="Cambria" w:cs="Cambria" w:eastAsia="Cambria"/>
                <w:color w:val="1A1A1A"/>
                <w:sz w:val="18"/>
              </w:rPr>
              <w:t xml:space="preserve">76</w:t>
            </w:r>
          </w:p>
        </w:tc>
        <w:tc>
          <w:tcPr>
            <w:shd w:val="clear" w:color="auto" w:fill="F4F1EC"/>
          </w:tcPr>
          <w:p>
            <w:pPr>
              <w:pStyle w:val="Compact"/>
              <w:spacing w:after="40" w:before="40"/>
              <w:jc w:val="left"/>
            </w:pPr>
            <w:r>
              <w:rPr>
                <w:rFonts w:ascii="Cambria" w:hAnsi="Cambria" w:cs="Cambria" w:eastAsia="Cambria"/>
                <w:color w:val="1A1A1A"/>
                <w:sz w:val="18"/>
              </w:rPr>
              <w:t xml:space="preserve">26</w:t>
            </w:r>
          </w:p>
        </w:tc>
      </w:tr>
      <w:tr>
        <w:tc>
          <w:tcPr/>
          <w:p>
            <w:pPr>
              <w:pStyle w:val="Compact"/>
              <w:spacing w:after="40" w:before="40"/>
              <w:jc w:val="left"/>
            </w:pPr>
            <w:r>
              <w:rPr>
                <w:rFonts w:ascii="Cambria" w:hAnsi="Cambria" w:cs="Cambria" w:eastAsia="Cambria"/>
                <w:b/>
                <w:bCs/>
                <w:color w:val="1A1A1A"/>
                <w:sz w:val="18"/>
              </w:rPr>
              <w:t xml:space="preserve">Valore sociale</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82</w:t>
            </w:r>
          </w:p>
        </w:tc>
        <w:tc>
          <w:tcPr/>
          <w:p>
            <w:pPr>
              <w:pStyle w:val="Compact"/>
              <w:spacing w:after="40" w:before="40"/>
              <w:jc w:val="left"/>
            </w:pPr>
            <w:r>
              <w:rPr>
                <w:rFonts w:ascii="Cambria" w:hAnsi="Cambria" w:cs="Cambria" w:eastAsia="Cambria"/>
                <w:color w:val="1A1A1A"/>
                <w:sz w:val="18"/>
              </w:rPr>
              <w:t xml:space="preserve">24</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Fattibilità</w:t>
            </w:r>
          </w:p>
        </w:tc>
        <w:tc>
          <w:tcPr>
            <w:shd w:val="clear" w:color="auto" w:fill="F4F1EC"/>
          </w:tcPr>
          <w:p>
            <w:pPr>
              <w:pStyle w:val="Compact"/>
              <w:spacing w:after="40" w:before="40"/>
              <w:jc w:val="left"/>
            </w:pPr>
            <w:r>
              <w:rPr>
                <w:rFonts w:ascii="Cambria" w:hAnsi="Cambria" w:cs="Cambria" w:eastAsia="Cambria"/>
                <w:color w:val="1A1A1A"/>
                <w:sz w:val="18"/>
              </w:rPr>
              <w:t xml:space="preserve">10%</w:t>
            </w:r>
          </w:p>
        </w:tc>
        <w:tc>
          <w:tcPr>
            <w:shd w:val="clear" w:color="auto" w:fill="F4F1EC"/>
          </w:tcPr>
          <w:p>
            <w:pPr>
              <w:pStyle w:val="Compact"/>
              <w:spacing w:after="40" w:before="40"/>
              <w:jc w:val="left"/>
            </w:pPr>
            <w:r>
              <w:rPr>
                <w:rFonts w:ascii="Cambria" w:hAnsi="Cambria" w:cs="Cambria" w:eastAsia="Cambria"/>
                <w:color w:val="1A1A1A"/>
                <w:sz w:val="18"/>
              </w:rPr>
              <w:t xml:space="preserve">82</w:t>
            </w:r>
          </w:p>
        </w:tc>
        <w:tc>
          <w:tcPr>
            <w:shd w:val="clear" w:color="auto" w:fill="F4F1EC"/>
          </w:tcPr>
          <w:p>
            <w:pPr>
              <w:pStyle w:val="Compact"/>
              <w:spacing w:after="40" w:before="40"/>
              <w:jc w:val="left"/>
            </w:pPr>
            <w:r>
              <w:rPr>
                <w:rFonts w:ascii="Cambria" w:hAnsi="Cambria" w:cs="Cambria" w:eastAsia="Cambria"/>
                <w:color w:val="1A1A1A"/>
                <w:sz w:val="18"/>
              </w:rPr>
              <w:t xml:space="preserve">80</w:t>
            </w:r>
          </w:p>
        </w:tc>
      </w:tr>
      <w:tr>
        <w:tc>
          <w:tcPr/>
          <w:p>
            <w:pPr>
              <w:pStyle w:val="Compact"/>
              <w:spacing w:after="40" w:before="40"/>
              <w:jc w:val="left"/>
            </w:pPr>
            <w:r>
              <w:rPr>
                <w:rFonts w:ascii="Cambria" w:hAnsi="Cambria" w:cs="Cambria" w:eastAsia="Cambria"/>
                <w:b/>
                <w:bCs/>
                <w:color w:val="1A1A1A"/>
                <w:sz w:val="18"/>
              </w:rPr>
              <w:t xml:space="preserve">Robustezza dell’evidenza</w:t>
            </w:r>
          </w:p>
        </w:tc>
        <w:tc>
          <w:tcPr/>
          <w:p>
            <w:pPr>
              <w:pStyle w:val="Compact"/>
              <w:spacing w:after="40" w:before="40"/>
              <w:jc w:val="left"/>
            </w:pPr>
            <w:r>
              <w:rPr>
                <w:rFonts w:ascii="Cambria" w:hAnsi="Cambria" w:cs="Cambria" w:eastAsia="Cambria"/>
                <w:color w:val="1A1A1A"/>
                <w:sz w:val="18"/>
              </w:rPr>
              <w:t xml:space="preserve">10%</w:t>
            </w:r>
          </w:p>
        </w:tc>
        <w:tc>
          <w:tcPr/>
          <w:p>
            <w:pPr>
              <w:pStyle w:val="Compact"/>
              <w:spacing w:after="40" w:before="40"/>
              <w:jc w:val="left"/>
            </w:pPr>
            <w:r>
              <w:rPr>
                <w:rFonts w:ascii="Cambria" w:hAnsi="Cambria" w:cs="Cambria" w:eastAsia="Cambria"/>
                <w:color w:val="1A1A1A"/>
                <w:sz w:val="18"/>
              </w:rPr>
              <w:t xml:space="preserve">64</w:t>
            </w:r>
          </w:p>
        </w:tc>
        <w:tc>
          <w:tcPr/>
          <w:p>
            <w:pPr>
              <w:pStyle w:val="Compact"/>
              <w:spacing w:after="40" w:before="40"/>
              <w:jc w:val="left"/>
            </w:pPr>
            <w:r>
              <w:rPr>
                <w:rFonts w:ascii="Cambria" w:hAnsi="Cambria" w:cs="Cambria" w:eastAsia="Cambria"/>
                <w:color w:val="1A1A1A"/>
                <w:sz w:val="18"/>
              </w:rPr>
              <w:t xml:space="preserve">50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Coerenza strategica</w:t>
            </w:r>
          </w:p>
        </w:tc>
        <w:tc>
          <w:tcPr>
            <w:shd w:val="clear" w:color="auto" w:fill="F4F1EC"/>
          </w:tcPr>
          <w:p>
            <w:pPr>
              <w:pStyle w:val="Compact"/>
              <w:spacing w:after="40" w:before="40"/>
              <w:jc w:val="left"/>
            </w:pPr>
            <w:r>
              <w:rPr>
                <w:rFonts w:ascii="Cambria" w:hAnsi="Cambria" w:cs="Cambria" w:eastAsia="Cambria"/>
                <w:color w:val="1A1A1A"/>
                <w:sz w:val="18"/>
              </w:rPr>
              <w:t xml:space="preserve">5%</w:t>
            </w:r>
          </w:p>
        </w:tc>
        <w:tc>
          <w:tcPr>
            <w:shd w:val="clear" w:color="auto" w:fill="F4F1EC"/>
          </w:tcPr>
          <w:p>
            <w:pPr>
              <w:pStyle w:val="Compact"/>
              <w:spacing w:after="40" w:before="40"/>
              <w:jc w:val="left"/>
            </w:pPr>
            <w:r>
              <w:rPr>
                <w:rFonts w:ascii="Cambria" w:hAnsi="Cambria" w:cs="Cambria" w:eastAsia="Cambria"/>
                <w:color w:val="1A1A1A"/>
                <w:sz w:val="18"/>
              </w:rPr>
              <w:t xml:space="preserve">84</w:t>
            </w:r>
          </w:p>
        </w:tc>
        <w:tc>
          <w:tcPr>
            <w:shd w:val="clear" w:color="auto" w:fill="F4F1EC"/>
          </w:tcPr>
          <w:p>
            <w:pPr>
              <w:pStyle w:val="Compact"/>
              <w:spacing w:after="40" w:before="40"/>
              <w:jc w:val="left"/>
            </w:pPr>
            <w:r>
              <w:rPr>
                <w:rFonts w:ascii="Cambria" w:hAnsi="Cambria" w:cs="Cambria" w:eastAsia="Cambria"/>
                <w:color w:val="1A1A1A"/>
                <w:sz w:val="18"/>
              </w:rPr>
              <w:t xml:space="preserve">25</w:t>
            </w:r>
          </w:p>
        </w:tc>
      </w:tr>
      <w:tr>
        <w:tc>
          <w:tcPr/>
          <w:p>
            <w:pPr>
              <w:pStyle w:val="Compact"/>
              <w:spacing w:after="40" w:before="40"/>
              <w:jc w:val="left"/>
            </w:pPr>
            <w:r>
              <w:rPr>
                <w:rFonts w:ascii="Cambria" w:hAnsi="Cambria" w:cs="Cambria" w:eastAsia="Cambria"/>
                <w:b/>
                <w:bCs/>
                <w:color w:val="1A1A1A"/>
                <w:sz w:val="18"/>
              </w:rPr>
              <w:t xml:space="preserve">Punteggio complessivo ponderato</w:t>
            </w:r>
          </w:p>
        </w:tc>
        <w:tc>
          <w:tcPr/>
          <w:p>
            <w:pPr>
              <w:pStyle w:val="Compact"/>
              <w:spacing w:after="40" w:before="40"/>
              <w:jc w:val="left"/>
            </w:pPr>
            <w:r>
              <w:rPr>
                <w:rFonts w:ascii="Cambria" w:hAnsi="Cambria" w:cs="Cambria" w:eastAsia="Cambria"/>
                <w:color w:val="1A1A1A"/>
                <w:sz w:val="18"/>
              </w:rPr>
              <w:t xml:space="preserve">100%</w:t>
            </w:r>
          </w:p>
        </w:tc>
        <w:tc>
          <w:tcPr/>
          <w:p>
            <w:pPr>
              <w:pStyle w:val="Compact"/>
              <w:spacing w:after="40" w:before="40"/>
              <w:jc w:val="left"/>
            </w:pPr>
            <w:r>
              <w:rPr>
                <w:rFonts w:ascii="Cambria" w:hAnsi="Cambria" w:cs="Cambria" w:eastAsia="Cambria"/>
                <w:color w:val="1A1A1A"/>
                <w:sz w:val="18"/>
              </w:rPr>
              <w:t xml:space="preserve">78,50</w:t>
            </w:r>
          </w:p>
        </w:tc>
        <w:tc>
          <w:tcPr/>
          <w:p>
            <w:pPr>
              <w:pStyle w:val="Compact"/>
              <w:spacing w:after="40" w:before="40"/>
              <w:jc w:val="left"/>
            </w:pPr>
            <w:r>
              <w:rPr>
                <w:rFonts w:ascii="Cambria" w:hAnsi="Cambria" w:cs="Cambria" w:eastAsia="Cambria"/>
                <w:color w:val="1A1A1A"/>
                <w:sz w:val="18"/>
              </w:rPr>
              <w:t xml:space="preserve">35,50</w:t>
            </w:r>
          </w:p>
        </w:tc>
      </w:tr>
    </w:tbl>
    <w:p>
      <w:pPr>
        <w:pStyle w:val="BodyText"/>
      </w:pPr>
      <w:r>
        <w:rPr>
          <w:i/>
          <w:iCs/>
        </w:rPr>
        <w:t xml:space="preserve">Tabella M.2. L’analisi multi-criterio: punteggi dell’intervento e del non intervento.</w:t>
      </w:r>
    </w:p>
    <w:bookmarkEnd w:id="4112"/>
    <w:bookmarkStart w:id="4113" w:name="X09845cca6e95d5dca0644381381d701c881885c"/>
    <w:p>
      <w:pPr>
        <w:pStyle w:val="Heading3"/>
      </w:pPr>
      <w:r>
        <w:t xml:space="preserve">M.3 La raccomandazione e il dimensionamento</w:t>
      </w:r>
    </w:p>
    <w:p>
      <w:pPr>
        <w:pStyle w:val="FirstParagraph"/>
      </w:pPr>
      <w:r>
        <w:t xml:space="preserve">Dalla convergenza dei domini e dall’analisi multi-criterio discende la raccomandazione principale: istituire per la prima volta in Valle d’Aosta un servizio di psicologia delle cure primarie, integrato nell’Azienda USL e nelle Case della Comunità e nei poliambulatori distrettuali, con attenzione esplicita all’accesso nelle vallate e al bilinguismo italiano-francese, dimensionandolo per gradi verso la copertura piena del fabbisogno. Quanto alla scala, si raccomanda di avviare con il nucleo conservativo, nell’ordine di 15 psicologi, con attivazione prioritaria nel Distretto 2 (Aosta) e progressiva estensione agli altri distretti; di procedere verso lo scenario di base, dell’ordine di 22 psicologi, in funzione della verifica dei risultati; e di definire lo scenario espansivo, dell’ordine di 30 psicologi, come orizzonte di regime, adeguando la dotazione all’invecchiamento crescente della popolazione. La tabella seguente riepiloga le raccomandazioni operative.</w:t>
      </w:r>
    </w:p>
    <w:tbl>
      <w:tblPr>
        <w:tblStyle w:val="Table"/>
        <w:tblW w:type="pct" w:w="494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508"/>
        <w:gridCol w:w="6327"/>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Raccomandazione operativa per la Valle d’Aosta</w:t>
            </w:r>
          </w:p>
        </w:tc>
      </w:tr>
      <w:tr>
        <w:tc>
          <w:tcPr/>
          <w:p>
            <w:pPr>
              <w:pStyle w:val="Compact"/>
              <w:spacing w:after="40" w:before="40"/>
              <w:jc w:val="left"/>
            </w:pPr>
            <w:r>
              <w:rPr>
                <w:rFonts w:ascii="Cambria" w:hAnsi="Cambria" w:cs="Cambria" w:eastAsia="Cambria"/>
                <w:b/>
                <w:bCs/>
                <w:color w:val="1A1A1A"/>
                <w:sz w:val="18"/>
              </w:rPr>
              <w:t xml:space="preserve">Atto di istituzione</w:t>
            </w:r>
          </w:p>
        </w:tc>
        <w:tc>
          <w:tcPr/>
          <w:p>
            <w:pPr>
              <w:pStyle w:val="Compact"/>
              <w:spacing w:after="40" w:before="40"/>
              <w:jc w:val="left"/>
            </w:pPr>
            <w:r>
              <w:rPr>
                <w:rFonts w:ascii="Cambria" w:hAnsi="Cambria" w:cs="Cambria" w:eastAsia="Cambria"/>
                <w:color w:val="1A1A1A"/>
                <w:sz w:val="18"/>
              </w:rPr>
              <w:t xml:space="preserve">Legge regionale o deliberazione della Giunta regionale che istituisca il servizio ex novo, ne fissi il modello, il rapporto di lavoro e il finanziamento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Dimensionamento</w:t>
            </w:r>
          </w:p>
        </w:tc>
        <w:tc>
          <w:tcPr>
            <w:shd w:val="clear" w:color="auto" w:fill="F4F1EC"/>
          </w:tcPr>
          <w:p>
            <w:pPr>
              <w:pStyle w:val="Compact"/>
              <w:spacing w:after="40" w:before="40"/>
              <w:jc w:val="left"/>
            </w:pPr>
            <w:r>
              <w:rPr>
                <w:rFonts w:ascii="Cambria" w:hAnsi="Cambria" w:cs="Cambria" w:eastAsia="Cambria"/>
                <w:color w:val="1A1A1A"/>
                <w:sz w:val="18"/>
              </w:rPr>
              <w:t xml:space="preserve">Nucleo iniziale ~15 (conservativo); verso ~22 (base); orizzonte di regime ~30 (espansivo), per gradi e in funzione della verifica dei risultati</w:t>
            </w:r>
          </w:p>
        </w:tc>
      </w:tr>
      <w:tr>
        <w:tc>
          <w:tcPr/>
          <w:p>
            <w:pPr>
              <w:pStyle w:val="Compact"/>
              <w:spacing w:after="40" w:before="40"/>
              <w:jc w:val="left"/>
            </w:pPr>
            <w:r>
              <w:rPr>
                <w:rFonts w:ascii="Cambria" w:hAnsi="Cambria" w:cs="Cambria" w:eastAsia="Cambria"/>
                <w:b/>
                <w:bCs/>
                <w:color w:val="1A1A1A"/>
                <w:sz w:val="18"/>
              </w:rPr>
              <w:t xml:space="preserve">Allocazione</w:t>
            </w:r>
          </w:p>
        </w:tc>
        <w:tc>
          <w:tcPr/>
          <w:p>
            <w:pPr>
              <w:pStyle w:val="Compact"/>
              <w:spacing w:after="40" w:before="40"/>
              <w:jc w:val="left"/>
            </w:pPr>
            <w:r>
              <w:rPr>
                <w:rFonts w:ascii="Cambria" w:hAnsi="Cambria" w:cs="Cambria" w:eastAsia="Cambria"/>
                <w:color w:val="1A1A1A"/>
                <w:sz w:val="18"/>
              </w:rPr>
              <w:t xml:space="preserve">Pro-equità verso le vallate e i quattro distretti; bilinguismo italiano-francese garantito dall’avvio; attenzione all’anzianità crescente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Clausola valutativa</w:t>
            </w:r>
          </w:p>
        </w:tc>
        <w:tc>
          <w:tcPr>
            <w:shd w:val="clear" w:color="auto" w:fill="F4F1EC"/>
          </w:tcPr>
          <w:p>
            <w:pPr>
              <w:pStyle w:val="Compact"/>
              <w:spacing w:after="40" w:before="40"/>
              <w:jc w:val="left"/>
            </w:pPr>
            <w:r>
              <w:rPr>
                <w:rFonts w:ascii="Cambria" w:hAnsi="Cambria" w:cs="Cambria" w:eastAsia="Cambria"/>
                <w:color w:val="1A1A1A"/>
                <w:sz w:val="18"/>
              </w:rPr>
              <w:t xml:space="preserve">Da corredare all’atto istitutivo; relazione periodica al Consiglio regionale; disaggregata per distretto, per lingua e per fasce di età</w:t>
            </w:r>
          </w:p>
        </w:tc>
      </w:tr>
      <w:tr>
        <w:tc>
          <w:tcPr/>
          <w:p>
            <w:pPr>
              <w:pStyle w:val="Compact"/>
              <w:spacing w:after="40" w:before="40"/>
              <w:jc w:val="left"/>
            </w:pPr>
            <w:r>
              <w:rPr>
                <w:rFonts w:ascii="Cambria" w:hAnsi="Cambria" w:cs="Cambria" w:eastAsia="Cambria"/>
                <w:b/>
                <w:bCs/>
                <w:color w:val="1A1A1A"/>
                <w:sz w:val="18"/>
              </w:rPr>
              <w:t xml:space="preserve">Governance</w:t>
            </w:r>
          </w:p>
        </w:tc>
        <w:tc>
          <w:tcPr/>
          <w:p>
            <w:pPr>
              <w:pStyle w:val="Compact"/>
              <w:spacing w:after="40" w:before="40"/>
              <w:jc w:val="left"/>
            </w:pPr>
            <w:r>
              <w:rPr>
                <w:rFonts w:ascii="Cambria" w:hAnsi="Cambria" w:cs="Cambria" w:eastAsia="Cambria"/>
                <w:color w:val="1A1A1A"/>
                <w:sz w:val="18"/>
              </w:rPr>
              <w:t xml:space="preserve">Assessorato alla salute + Azienda USL Valle d’Aosta; tavolo con Ordine degli Psicologi, MMG, pediatri di libera scelta, Università della Valle d’Aosta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Dati</w:t>
            </w:r>
          </w:p>
        </w:tc>
        <w:tc>
          <w:tcPr>
            <w:shd w:val="clear" w:color="auto" w:fill="F4F1EC"/>
          </w:tcPr>
          <w:p>
            <w:pPr>
              <w:pStyle w:val="Compact"/>
              <w:spacing w:after="40" w:before="40"/>
              <w:jc w:val="left"/>
            </w:pPr>
            <w:r>
              <w:rPr>
                <w:rFonts w:ascii="Cambria" w:hAnsi="Cambria" w:cs="Cambria" w:eastAsia="Cambria"/>
                <w:color w:val="1A1A1A"/>
                <w:sz w:val="18"/>
              </w:rPr>
              <w:t xml:space="preserve">Dataset minimo strutturato dall’avvio; estrazione dei conti certificati dell’Azienda USL come priorità immediata</w:t>
            </w:r>
          </w:p>
        </w:tc>
      </w:tr>
    </w:tbl>
    <w:p>
      <w:pPr>
        <w:pStyle w:val="BodyText"/>
      </w:pPr>
      <w:r>
        <w:rPr>
          <w:i/>
          <w:iCs/>
        </w:rPr>
        <w:t xml:space="preserve">Tabella M.3. Le raccomandazioni operative.</w:t>
      </w:r>
    </w:p>
    <w:bookmarkEnd w:id="4113"/>
    <w:bookmarkStart w:id="4116" w:name="Xdfade82d46ede70865ae290a4aff32cbeada211"/>
    <w:p>
      <w:pPr>
        <w:pStyle w:val="Heading3"/>
      </w:pPr>
      <w:r>
        <w:t xml:space="preserve">M.4 Le condizioni e la lacuna da colmare</w:t>
      </w:r>
    </w:p>
    <w:p>
      <w:pPr>
        <w:pStyle w:val="FirstParagraph"/>
      </w:pPr>
      <w:r>
        <w:t xml:space="preserve">La raccomandazione è subordinata a condizioni precise: la costruzione di una clausola valutativa vincolante a corredo dell’atto istitutivo, l’adozione di un’allocazione pro-equità verso le vallate e il bilinguismo, la strutturazione del dataset minimo dall’avvio</w:t>
      </w:r>
      <w:r>
        <w:rPr>
          <w:rStyle w:val="FootnoteReference"/>
        </w:rPr>
        <w:footnoteReference w:id="3863"/>
      </w:r>
      <w:r>
        <w:t xml:space="preserve"> </w:t>
      </w:r>
      <w:r>
        <w:t xml:space="preserve">e l’estrazione dei conti certificati dell’Azienda USL come base per affinare le stime economiche.</w:t>
      </w:r>
      <w:r>
        <w:rPr>
          <w:rStyle w:val="FootnoteReference"/>
        </w:rPr>
        <w:footnoteReference w:id="3864"/>
      </w:r>
      <w:r>
        <w:t xml:space="preserve"> </w:t>
      </w:r>
      <w:r>
        <w:t xml:space="preserve">Resta da colmare, prima della presentazione esterna, la lacuna dei dati: le grandezze economiche sono ricostruite dai conti nazionali per quota di popolazione e non estratte dai conti certificati; l’impostazione di una rilevazione ben progettata dall’avvio del servizio è la condizione per sostituire le stime con grandezze effettive. Va ribadita la distinzione cardine: il caso finanziario è di disavanzo modestissimo in valore assoluto — meno di un milione di euro — agevolmente sostenibile a fronte dell’autonomia finanziaria, mentre il caso economico complessivo è fortemente positivo; si tratta di un investimento sociale a beneficio prevalentemente extra-sanitario, con un costo netto contenuto.</w:t>
      </w:r>
    </w:p>
    <w:bookmarkEnd w:id="4116"/>
    <w:bookmarkStart w:id="4117" w:name="X0737aa9b4980d3505b962208610e94fd98938e3"/>
    <w:p>
      <w:pPr>
        <w:pStyle w:val="Heading3"/>
      </w:pPr>
      <w:r>
        <w:t xml:space="preserve">M.5 La collocazione nella serie e la conclusione</w:t>
      </w:r>
    </w:p>
    <w:p>
      <w:pPr>
        <w:pStyle w:val="FirstParagraph"/>
      </w:pPr>
      <w:r>
        <w:t xml:space="preserve">Lo studio sulla Valle d’Aosta si colloca nella serie dopo quelli su Puglia, Lombardia, Veneto, Emilia-Romagna, Piemonte, Toscana, Liguria, Lazio, Campania, Sicilia, Sardegna, Trentino-Alto Adige, Marche, Basilicata, Molise e le altre regioni, e ne condivide il telaio integrato e il caso di riferimento. Rispetto agli altri, la Valle d’Aosta occupa una posizione propria e unica — quella della regione più piccola, più anziana e più montana d’Italia, a piena autonomia finanziaria, con un costo del servizio contenutissimo in valore assoluto e un ritorno sociale nettamente positivo — chiamata a istituire per la prima volta un servizio che non esiste in nessuna forma, con la semplicità di un’unica azienda sanitaria e la chiarezza di una scelta politica ancora da compiere. Coerentemente con l’impostazione dell’intero progetto, lo studio si astiene dalle cifre di larga circolazione ma prive di fondamento metodologico, e adotta un rapporto beneficio-costo prudenziale dell’ordine di 4,0–5,3 a uno, per credibilità verso gli organi di controllo della finanza pubblica regionale. La decisione che lo studio sostiene è, in conclusione, di istituire il servizio con un atto normativo o programmatico che ne fissi il modello, dimensionandolo progressivamente al fabbisogno e corredandolo di clausola valutativa: per la Valle d’Aosta, dotata di piena autonomia finanziaria, di un’unica azienda sanitaria e di un bisogno reale in una popolazione molto anziana e montana, ciò significa dare per la prima volta una risposta di prossimità al disagio psichico comune, a beneficio di tutti i residenti delle vallate.</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4117"/>
    <w:bookmarkEnd w:id="4118"/>
    <w:bookmarkStart w:id="4119" w:name="Xc9ff52dfe502b81e8772effe49481cd9c51440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 La tabella seguente lo riepiloga.</w:t>
      </w:r>
    </w:p>
    <w:tbl>
      <w:tblPr>
        <w:tblStyle w:val="Table"/>
        <w:tblW w:type="pct" w:w="493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5"/>
        <w:gridCol w:w="5769"/>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Elemento del caso di riferimento</w:t>
            </w:r>
          </w:p>
        </w:tc>
        <w:tc>
          <w:tcPr>
            <w:shd w:val="clear" w:color="auto" w:fill="16264B"/>
          </w:tcPr>
          <w:p>
            <w:pPr>
              <w:pStyle w:val="Compact"/>
              <w:spacing w:after="40" w:before="40"/>
              <w:jc w:val="left"/>
            </w:pPr>
            <w:r>
              <w:rPr>
                <w:rFonts w:ascii="Cambria" w:hAnsi="Cambria" w:cs="Cambria" w:eastAsia="Cambria"/>
                <w:b/>
                <w:bCs/>
                <w:color w:val="FFFFFF"/>
                <w:sz w:val="18"/>
              </w:rPr>
              <w:t xml:space="preserve">Scelta adottata</w:t>
            </w:r>
          </w:p>
        </w:tc>
      </w:tr>
      <w:tr>
        <w:tc>
          <w:tcPr/>
          <w:p>
            <w:pPr>
              <w:pStyle w:val="Compact"/>
              <w:spacing w:after="40" w:before="40"/>
              <w:jc w:val="left"/>
            </w:pPr>
            <w:r>
              <w:rPr>
                <w:rFonts w:ascii="Cambria" w:hAnsi="Cambria" w:cs="Cambria" w:eastAsia="Cambria"/>
                <w:b/>
                <w:bCs/>
                <w:color w:val="1A1A1A"/>
                <w:sz w:val="18"/>
              </w:rPr>
              <w:t xml:space="preserve">Prospettiva</w:t>
            </w:r>
          </w:p>
        </w:tc>
        <w:tc>
          <w:tcPr/>
          <w:p>
            <w:pPr>
              <w:pStyle w:val="Compact"/>
              <w:spacing w:after="40" w:before="40"/>
              <w:jc w:val="left"/>
            </w:pPr>
            <w:r>
              <w:rPr>
                <w:rFonts w:ascii="Cambria" w:hAnsi="Cambria" w:cs="Cambria" w:eastAsia="Cambria"/>
                <w:color w:val="1A1A1A"/>
                <w:sz w:val="18"/>
              </w:rPr>
              <w:t xml:space="preserve">Servizio sanitario regionale e societale, con inventario degli impatti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Orizzonte temporale</w:t>
            </w:r>
          </w:p>
        </w:tc>
        <w:tc>
          <w:tcPr>
            <w:shd w:val="clear" w:color="auto" w:fill="F4F1EC"/>
          </w:tcPr>
          <w:p>
            <w:pPr>
              <w:pStyle w:val="Compact"/>
              <w:spacing w:after="40" w:before="40"/>
              <w:jc w:val="left"/>
            </w:pPr>
            <w:r>
              <w:rPr>
                <w:rFonts w:ascii="Cambria" w:hAnsi="Cambria" w:cs="Cambria" w:eastAsia="Cambria"/>
                <w:color w:val="1A1A1A"/>
                <w:sz w:val="18"/>
              </w:rPr>
              <w:t xml:space="preserve">Pluriennale o di intera vita per gli esiti; triennale-quinquennale per il bilancio</w:t>
            </w:r>
          </w:p>
        </w:tc>
      </w:tr>
      <w:tr>
        <w:tc>
          <w:tcPr/>
          <w:p>
            <w:pPr>
              <w:pStyle w:val="Compact"/>
              <w:spacing w:after="40" w:before="40"/>
              <w:jc w:val="left"/>
            </w:pPr>
            <w:r>
              <w:rPr>
                <w:rFonts w:ascii="Cambria" w:hAnsi="Cambria" w:cs="Cambria" w:eastAsia="Cambria"/>
                <w:b/>
                <w:bCs/>
                <w:color w:val="1A1A1A"/>
                <w:sz w:val="18"/>
              </w:rPr>
              <w:t xml:space="preserve">Tasso di sconto</w:t>
            </w:r>
          </w:p>
        </w:tc>
        <w:tc>
          <w:tcPr/>
          <w:p>
            <w:pPr>
              <w:pStyle w:val="Compact"/>
              <w:spacing w:after="40" w:before="40"/>
              <w:jc w:val="left"/>
            </w:pPr>
            <w:r>
              <w:rPr>
                <w:rFonts w:ascii="Cambria" w:hAnsi="Cambria" w:cs="Cambria" w:eastAsia="Cambria"/>
                <w:color w:val="1A1A1A"/>
                <w:sz w:val="18"/>
              </w:rPr>
              <w:t xml:space="preserve">3% annuo su costi ed esiti, con analisi di sensibilità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Misura di esito</w:t>
            </w:r>
          </w:p>
        </w:tc>
        <w:tc>
          <w:tcPr>
            <w:shd w:val="clear" w:color="auto" w:fill="F4F1EC"/>
          </w:tcPr>
          <w:p>
            <w:pPr>
              <w:pStyle w:val="Compact"/>
              <w:spacing w:after="40" w:before="40"/>
              <w:jc w:val="left"/>
            </w:pPr>
            <w:r>
              <w:rPr>
                <w:rFonts w:ascii="Cambria" w:hAnsi="Cambria" w:cs="Cambria" w:eastAsia="Cambria"/>
                <w:color w:val="1A1A1A"/>
                <w:sz w:val="18"/>
              </w:rPr>
              <w:t xml:space="preserve">Anni di vita ponderati per la qualità ed esiti clinici validati</w:t>
            </w:r>
          </w:p>
        </w:tc>
      </w:tr>
      <w:tr>
        <w:tc>
          <w:tcPr/>
          <w:p>
            <w:pPr>
              <w:pStyle w:val="Compact"/>
              <w:spacing w:after="40" w:before="40"/>
              <w:jc w:val="left"/>
            </w:pPr>
            <w:r>
              <w:rPr>
                <w:rFonts w:ascii="Cambria" w:hAnsi="Cambria" w:cs="Cambria" w:eastAsia="Cambria"/>
                <w:b/>
                <w:bCs/>
                <w:color w:val="1A1A1A"/>
                <w:sz w:val="18"/>
              </w:rPr>
              <w:t xml:space="preserve">Comparatore</w:t>
            </w:r>
          </w:p>
        </w:tc>
        <w:tc>
          <w:tcPr/>
          <w:p>
            <w:pPr>
              <w:pStyle w:val="Compact"/>
              <w:spacing w:after="40" w:before="40"/>
              <w:jc w:val="left"/>
            </w:pPr>
            <w:r>
              <w:rPr>
                <w:rFonts w:ascii="Cambria" w:hAnsi="Cambria" w:cs="Cambria" w:eastAsia="Cambria"/>
                <w:color w:val="1A1A1A"/>
                <w:sz w:val="18"/>
              </w:rPr>
              <w:t xml:space="preserve">Assenza del servizio: cura usuale senza intercettazione psicologica di primo livello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Popolazione e unità</w:t>
            </w:r>
          </w:p>
        </w:tc>
        <w:tc>
          <w:tcPr>
            <w:shd w:val="clear" w:color="auto" w:fill="F4F1EC"/>
          </w:tcPr>
          <w:p>
            <w:pPr>
              <w:pStyle w:val="Compact"/>
              <w:spacing w:after="40" w:before="40"/>
              <w:jc w:val="left"/>
            </w:pPr>
            <w:r>
              <w:rPr>
                <w:rFonts w:ascii="Cambria" w:hAnsi="Cambria" w:cs="Cambria" w:eastAsia="Cambria"/>
                <w:color w:val="1A1A1A"/>
                <w:sz w:val="18"/>
              </w:rPr>
              <w:t xml:space="preserve">Residenti regionali; analisi per Regione e per distretto dell’Azienda USL Valle d’Aosta</w:t>
            </w:r>
          </w:p>
        </w:tc>
      </w:tr>
      <w:tr>
        <w:tc>
          <w:tcPr/>
          <w:p>
            <w:pPr>
              <w:pStyle w:val="Compact"/>
              <w:spacing w:after="40" w:before="40"/>
              <w:jc w:val="left"/>
            </w:pPr>
            <w:r>
              <w:rPr>
                <w:rFonts w:ascii="Cambria" w:hAnsi="Cambria" w:cs="Cambria" w:eastAsia="Cambria"/>
                <w:b/>
                <w:bCs/>
                <w:color w:val="1A1A1A"/>
                <w:sz w:val="18"/>
              </w:rPr>
              <w:t xml:space="preserve">Soglia di costo-efficacia</w:t>
            </w:r>
          </w:p>
        </w:tc>
        <w:tc>
          <w:tcPr/>
          <w:p>
            <w:pPr>
              <w:pStyle w:val="Compact"/>
              <w:spacing w:after="40" w:before="40"/>
              <w:jc w:val="left"/>
            </w:pPr>
            <w:r>
              <w:rPr>
                <w:rFonts w:ascii="Cambria" w:hAnsi="Cambria" w:cs="Cambria" w:eastAsia="Cambria"/>
                <w:color w:val="1A1A1A"/>
                <w:sz w:val="18"/>
              </w:rPr>
              <w:t xml:space="preserve">30.000 euro per anno di vita ponderato per la qualità</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Correzione prudenziale</w:t>
            </w:r>
          </w:p>
        </w:tc>
        <w:tc>
          <w:tcPr>
            <w:shd w:val="clear" w:color="auto" w:fill="F4F1EC"/>
          </w:tcPr>
          <w:p>
            <w:pPr>
              <w:pStyle w:val="Compact"/>
              <w:spacing w:after="40" w:before="40"/>
              <w:jc w:val="left"/>
            </w:pPr>
            <w:r>
              <w:rPr>
                <w:rFonts w:ascii="Cambria" w:hAnsi="Cambria" w:cs="Cambria" w:eastAsia="Cambria"/>
                <w:color w:val="1A1A1A"/>
                <w:sz w:val="18"/>
              </w:rP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 La tabella seguente li riporta con le distribuzioni assegnate per l’analisi probabilistica.</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706"/>
        <w:gridCol w:w="3498"/>
        <w:gridCol w:w="15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Parametro del modello di Markov</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w:t>
            </w:r>
          </w:p>
        </w:tc>
        <w:tc>
          <w:tcPr>
            <w:shd w:val="clear" w:color="auto" w:fill="16264B"/>
          </w:tcPr>
          <w:p>
            <w:pPr>
              <w:pStyle w:val="Compact"/>
              <w:spacing w:after="40" w:before="40"/>
              <w:jc w:val="left"/>
            </w:pPr>
            <w:r>
              <w:rPr>
                <w:rFonts w:ascii="Cambria" w:hAnsi="Cambria" w:cs="Cambria" w:eastAsia="Cambria"/>
                <w:b/>
                <w:bCs/>
                <w:color w:val="FFFFFF"/>
                <w:sz w:val="18"/>
              </w:rPr>
              <w:t xml:space="preserve">Distribuzione</w:t>
            </w:r>
          </w:p>
        </w:tc>
      </w:tr>
      <w:tr>
        <w:tc>
          <w:tcPr/>
          <w:p>
            <w:pPr>
              <w:pStyle w:val="Compact"/>
              <w:spacing w:after="40" w:before="40"/>
              <w:jc w:val="left"/>
            </w:pPr>
            <w:r>
              <w:rPr>
                <w:rFonts w:ascii="Cambria" w:hAnsi="Cambria" w:cs="Cambria" w:eastAsia="Cambria"/>
                <w:b/>
                <w:bCs/>
                <w:color w:val="1A1A1A"/>
                <w:sz w:val="18"/>
              </w:rPr>
              <w:t xml:space="preserve">Stati del modello</w:t>
            </w:r>
          </w:p>
        </w:tc>
        <w:tc>
          <w:tcPr/>
          <w:p>
            <w:pPr>
              <w:pStyle w:val="Compact"/>
              <w:spacing w:after="40" w:before="40"/>
              <w:jc w:val="left"/>
            </w:pPr>
            <w:r>
              <w:rPr>
                <w:rFonts w:ascii="Cambria" w:hAnsi="Cambria" w:cs="Cambria" w:eastAsia="Cambria"/>
                <w:color w:val="1A1A1A"/>
                <w:sz w:val="18"/>
              </w:rPr>
              <w:t xml:space="preserve">Sintomatico, recupero, cronico, morte (assorbente)</w:t>
            </w:r>
          </w:p>
        </w:tc>
        <w:tc>
          <w:tcPr/>
          <w:p>
            <w:pPr>
              <w:pStyle w:val="Compact"/>
              <w:spacing w:after="40" w:before="40"/>
              <w:jc w:val="left"/>
            </w:pPr>
            <w:r>
              <w:rPr>
                <w:rFonts w:ascii="Cambria" w:hAnsi="Cambria" w:cs="Cambria" w:eastAsia="Cambria"/>
                <w:color w:val="1A1A1A"/>
                <w:sz w:val="18"/>
              </w:rPr>
              <w:t xml:space="preserv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per ciclo — recupero</w:t>
            </w:r>
          </w:p>
        </w:tc>
        <w:tc>
          <w:tcPr>
            <w:shd w:val="clear" w:color="auto" w:fill="F4F1EC"/>
          </w:tcPr>
          <w:p>
            <w:pPr>
              <w:pStyle w:val="Compact"/>
              <w:spacing w:after="40" w:before="40"/>
              <w:jc w:val="left"/>
            </w:pPr>
            <w:r>
              <w:rPr>
                <w:rFonts w:ascii="Cambria" w:hAnsi="Cambria" w:cs="Cambria" w:eastAsia="Cambria"/>
                <w:color w:val="1A1A1A"/>
                <w:sz w:val="18"/>
              </w:rPr>
              <w:t xml:space="preserve">40 €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Costo per ciclo — cronico</w:t>
            </w:r>
          </w:p>
        </w:tc>
        <w:tc>
          <w:tcPr/>
          <w:p>
            <w:pPr>
              <w:pStyle w:val="Compact"/>
              <w:spacing w:after="40" w:before="40"/>
              <w:jc w:val="left"/>
            </w:pPr>
            <w:r>
              <w:rPr>
                <w:rFonts w:ascii="Cambria" w:hAnsi="Cambria" w:cs="Cambria" w:eastAsia="Cambria"/>
                <w:color w:val="1A1A1A"/>
                <w:sz w:val="18"/>
              </w:rPr>
              <w:t xml:space="preserve">700 €</w:t>
            </w:r>
          </w:p>
        </w:tc>
        <w:tc>
          <w:tcPr/>
          <w:p>
            <w:pPr>
              <w:pStyle w:val="Compact"/>
              <w:spacing w:after="40" w:before="40"/>
              <w:jc w:val="left"/>
            </w:pPr>
            <w:r>
              <w:rPr>
                <w:rFonts w:ascii="Cambria" w:hAnsi="Cambria" w:cs="Cambria" w:eastAsia="Cambria"/>
                <w:color w:val="1A1A1A"/>
                <w:sz w:val="18"/>
              </w:rPr>
              <w:t xml:space="preserve">Gamma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dell’intervento (una tantum)</w:t>
            </w:r>
          </w:p>
        </w:tc>
        <w:tc>
          <w:tcPr>
            <w:shd w:val="clear" w:color="auto" w:fill="F4F1EC"/>
          </w:tcPr>
          <w:p>
            <w:pPr>
              <w:pStyle w:val="Compact"/>
              <w:spacing w:after="40" w:before="40"/>
              <w:jc w:val="left"/>
            </w:pPr>
            <w:r>
              <w:rPr>
                <w:rFonts w:ascii="Cambria" w:hAnsi="Cambria" w:cs="Cambria" w:eastAsia="Cambria"/>
                <w:color w:val="1A1A1A"/>
                <w:sz w:val="18"/>
              </w:rPr>
              <w:t xml:space="preserve">300 €</w:t>
            </w:r>
          </w:p>
        </w:tc>
        <w:tc>
          <w:tcPr>
            <w:shd w:val="clear" w:color="auto" w:fill="F4F1EC"/>
          </w:tcPr>
          <w:p>
            <w:pPr>
              <w:pStyle w:val="Compact"/>
              <w:spacing w:after="40" w:before="40"/>
              <w:jc w:val="left"/>
            </w:pPr>
            <w:r>
              <w:rPr>
                <w:rFonts w:ascii="Cambria" w:hAnsi="Cambria" w:cs="Cambria" w:eastAsia="Cambria"/>
                <w:color w:val="1A1A1A"/>
                <w:sz w:val="18"/>
              </w:rPr>
              <w:t xml:space="preserve">Gamma</w:t>
            </w:r>
          </w:p>
        </w:tc>
      </w:tr>
      <w:tr>
        <w:tc>
          <w:tcPr/>
          <w:p>
            <w:pPr>
              <w:pStyle w:val="Compact"/>
              <w:spacing w:after="40" w:before="40"/>
              <w:jc w:val="left"/>
            </w:pPr>
            <w:r>
              <w:rPr>
                <w:rFonts w:ascii="Cambria" w:hAnsi="Cambria" w:cs="Cambria" w:eastAsia="Cambria"/>
                <w:b/>
                <w:bCs/>
                <w:color w:val="1A1A1A"/>
                <w:sz w:val="18"/>
              </w:rPr>
              <w:t xml:space="preserve">Probabilità di transizione</w:t>
            </w:r>
          </w:p>
        </w:tc>
        <w:tc>
          <w:tcPr/>
          <w:p>
            <w:pPr>
              <w:pStyle w:val="Compact"/>
              <w:spacing w:after="40" w:before="40"/>
              <w:jc w:val="left"/>
            </w:pPr>
            <w:r>
              <w:rPr>
                <w:rFonts w:ascii="Cambria" w:hAnsi="Cambria" w:cs="Cambria" w:eastAsia="Cambria"/>
                <w:color w:val="1A1A1A"/>
                <w:sz w:val="18"/>
              </w:rPr>
              <w:t xml:space="preserve">Per braccio, da fonti</w:t>
            </w:r>
          </w:p>
        </w:tc>
        <w:tc>
          <w:tcPr/>
          <w:p>
            <w:pPr>
              <w:pStyle w:val="Compact"/>
              <w:spacing w:after="40" w:before="40"/>
              <w:jc w:val="left"/>
            </w:pPr>
            <w:r>
              <w:rPr>
                <w:rFonts w:ascii="Cambria" w:hAnsi="Cambria" w:cs="Cambria" w:eastAsia="Cambria"/>
                <w:color w:val="1A1A1A"/>
                <w:sz w:val="18"/>
              </w:rPr>
              <w:t xml:space="preserve">Beta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Utilità per stato</w:t>
            </w:r>
          </w:p>
        </w:tc>
        <w:tc>
          <w:tcPr>
            <w:shd w:val="clear" w:color="auto" w:fill="F4F1EC"/>
          </w:tcPr>
          <w:p>
            <w:pPr>
              <w:pStyle w:val="Compact"/>
              <w:spacing w:after="40" w:before="40"/>
              <w:jc w:val="left"/>
            </w:pPr>
            <w:r>
              <w:rPr>
                <w:rFonts w:ascii="Cambria" w:hAnsi="Cambria" w:cs="Cambria" w:eastAsia="Cambria"/>
                <w:color w:val="1A1A1A"/>
                <w:sz w:val="18"/>
              </w:rPr>
              <w:t xml:space="preserve">Da fonti</w:t>
            </w:r>
          </w:p>
        </w:tc>
        <w:tc>
          <w:tcPr>
            <w:shd w:val="clear" w:color="auto" w:fill="F4F1EC"/>
          </w:tcPr>
          <w:p>
            <w:pPr>
              <w:pStyle w:val="Compact"/>
              <w:spacing w:after="40" w:before="40"/>
              <w:jc w:val="left"/>
            </w:pPr>
            <w:r>
              <w:rPr>
                <w:rFonts w:ascii="Cambria" w:hAnsi="Cambria" w:cs="Cambria" w:eastAsia="Cambria"/>
                <w:color w:val="1A1A1A"/>
                <w:sz w:val="18"/>
              </w:rPr>
              <w:t xml:space="preserve">Beta</w:t>
            </w:r>
          </w:p>
        </w:tc>
      </w:tr>
      <w:tr>
        <w:tc>
          <w:tcPr/>
          <w:p>
            <w:pPr>
              <w:pStyle w:val="Compact"/>
              <w:spacing w:after="40" w:before="40"/>
              <w:jc w:val="left"/>
            </w:pPr>
            <w:r>
              <w:rPr>
                <w:rFonts w:ascii="Cambria" w:hAnsi="Cambria" w:cs="Cambria" w:eastAsia="Cambria"/>
                <w:b/>
                <w:bCs/>
                <w:color w:val="1A1A1A"/>
                <w:sz w:val="18"/>
              </w:rPr>
              <w:t xml:space="preserve">Orizzonte e sconto</w:t>
            </w:r>
          </w:p>
        </w:tc>
        <w:tc>
          <w:tcPr/>
          <w:p>
            <w:pPr>
              <w:pStyle w:val="Compact"/>
              <w:spacing w:after="40" w:before="40"/>
              <w:jc w:val="left"/>
            </w:pPr>
            <w:r>
              <w:rPr>
                <w:rFonts w:ascii="Cambria" w:hAnsi="Cambria" w:cs="Cambria" w:eastAsia="Cambria"/>
                <w:color w:val="1A1A1A"/>
                <w:sz w:val="18"/>
              </w:rPr>
              <w:t xml:space="preserve">5 anni; 3% annuo</w:t>
            </w:r>
          </w:p>
        </w:tc>
        <w:tc>
          <w:tcPr/>
          <w:p>
            <w:pPr>
              <w:pStyle w:val="Compact"/>
              <w:spacing w:after="40" w:before="40"/>
              <w:jc w:val="left"/>
            </w:pPr>
            <w:r>
              <w:rPr>
                <w:rFonts w:ascii="Cambria" w:hAnsi="Cambria" w:cs="Cambria" w:eastAsia="Cambria"/>
                <w:color w:val="1A1A1A"/>
                <w:sz w:val="18"/>
              </w:rPr>
              <w:t xml:space="preserve">—</w:t>
            </w:r>
          </w:p>
        </w:tc>
      </w:tr>
    </w:tbl>
    <w:p>
      <w:pPr>
        <w:pStyle w:val="BodyText"/>
      </w:pPr>
      <w:r>
        <w:rPr>
          <w:i/>
          <w:iCs/>
        </w:rPr>
        <w:t xml:space="preserve">Tabella A.2. I parametri del modello di Markov e le distribuzioni assegnate per l’analisi probabilistica.</w:t>
      </w:r>
    </w:p>
    <w:p>
      <w:pPr>
        <w:pStyle w:val="BodyText"/>
      </w:pPr>
      <w:r>
        <w:t xml:space="preserve">Il quadro economico consolidato della Valle d’Aosta, già esposto nelle parti centrali dello studio, è qui riassunto per scenario, a beneficio della consultazione.</w:t>
      </w:r>
    </w:p>
    <w:tbl>
      <w:tblPr>
        <w:tblStyle w:val="Table"/>
        <w:tblW w:type="pct" w:w="4903"/>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3613"/>
        <w:gridCol w:w="1384"/>
        <w:gridCol w:w="1384"/>
        <w:gridCol w:w="1384"/>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Componente (mln €/anno, salvo psicologi)</w:t>
            </w:r>
          </w:p>
        </w:tc>
        <w:tc>
          <w:tcPr>
            <w:shd w:val="clear" w:color="auto" w:fill="16264B"/>
          </w:tcPr>
          <w:p>
            <w:pPr>
              <w:pStyle w:val="Compact"/>
              <w:spacing w:after="40" w:before="40"/>
              <w:jc w:val="left"/>
            </w:pPr>
            <w:r>
              <w:rPr>
                <w:rFonts w:ascii="Cambria" w:hAnsi="Cambria" w:cs="Cambria" w:eastAsia="Cambria"/>
                <w:b/>
                <w:bCs/>
                <w:color w:val="FFFFFF"/>
                <w:sz w:val="18"/>
              </w:rPr>
              <w:t xml:space="preserve">Cons.</w:t>
            </w:r>
          </w:p>
        </w:tc>
        <w:tc>
          <w:tcPr>
            <w:shd w:val="clear" w:color="auto" w:fill="16264B"/>
          </w:tcPr>
          <w:p>
            <w:pPr>
              <w:pStyle w:val="Compact"/>
              <w:spacing w:after="40" w:before="40"/>
              <w:jc w:val="left"/>
            </w:pPr>
            <w:r>
              <w:rPr>
                <w:rFonts w:ascii="Cambria" w:hAnsi="Cambria" w:cs="Cambria" w:eastAsia="Cambria"/>
                <w:b/>
                <w:bCs/>
                <w:color w:val="FFFFFF"/>
                <w:sz w:val="18"/>
              </w:rPr>
              <w:t xml:space="preserve">Base</w:t>
            </w:r>
          </w:p>
        </w:tc>
        <w:tc>
          <w:tcPr>
            <w:shd w:val="clear" w:color="auto" w:fill="16264B"/>
          </w:tcPr>
          <w:p>
            <w:pPr>
              <w:pStyle w:val="Compact"/>
              <w:spacing w:after="40" w:before="40"/>
              <w:jc w:val="left"/>
            </w:pPr>
            <w:r>
              <w:rPr>
                <w:rFonts w:ascii="Cambria" w:hAnsi="Cambria" w:cs="Cambria" w:eastAsia="Cambria"/>
                <w:b/>
                <w:bCs/>
                <w:color w:val="FFFFFF"/>
                <w:sz w:val="18"/>
              </w:rPr>
              <w:t xml:space="preserve">Esp.</w:t>
            </w:r>
          </w:p>
        </w:tc>
      </w:tr>
      <w:tr>
        <w:tc>
          <w:tcPr/>
          <w:p>
            <w:pPr>
              <w:pStyle w:val="Compact"/>
              <w:spacing w:after="40" w:before="40"/>
              <w:jc w:val="left"/>
            </w:pPr>
            <w:r>
              <w:rPr>
                <w:rFonts w:ascii="Cambria" w:hAnsi="Cambria" w:cs="Cambria" w:eastAsia="Cambria"/>
                <w:b/>
                <w:bCs/>
                <w:color w:val="1A1A1A"/>
                <w:sz w:val="18"/>
              </w:rPr>
              <w:t xml:space="preserve">Psicologi a regime</w:t>
            </w:r>
          </w:p>
        </w:tc>
        <w:tc>
          <w:tcPr/>
          <w:p>
            <w:pPr>
              <w:pStyle w:val="Compact"/>
              <w:spacing w:after="40" w:before="40"/>
              <w:jc w:val="left"/>
            </w:pPr>
            <w:r>
              <w:rPr>
                <w:rFonts w:ascii="Cambria" w:hAnsi="Cambria" w:cs="Cambria" w:eastAsia="Cambria"/>
                <w:color w:val="1A1A1A"/>
                <w:sz w:val="18"/>
              </w:rPr>
              <w:t xml:space="preserve">~ 15</w:t>
            </w:r>
          </w:p>
        </w:tc>
        <w:tc>
          <w:tcPr/>
          <w:p>
            <w:pPr>
              <w:pStyle w:val="Compact"/>
              <w:spacing w:after="40" w:before="40"/>
              <w:jc w:val="left"/>
            </w:pPr>
            <w:r>
              <w:rPr>
                <w:rFonts w:ascii="Cambria" w:hAnsi="Cambria" w:cs="Cambria" w:eastAsia="Cambria"/>
                <w:color w:val="1A1A1A"/>
                <w:sz w:val="18"/>
              </w:rPr>
              <w:t xml:space="preserve">~ 22</w:t>
            </w:r>
          </w:p>
        </w:tc>
        <w:tc>
          <w:tcPr/>
          <w:p>
            <w:pPr>
              <w:pStyle w:val="Compact"/>
              <w:spacing w:after="40" w:before="40"/>
              <w:jc w:val="left"/>
            </w:pPr>
            <w:r>
              <w:rPr>
                <w:rFonts w:ascii="Cambria" w:hAnsi="Cambria" w:cs="Cambria" w:eastAsia="Cambria"/>
                <w:color w:val="1A1A1A"/>
                <w:sz w:val="18"/>
              </w:rPr>
              <w:t xml:space="preserve">~ 30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Costo del servizio</w:t>
            </w:r>
          </w:p>
        </w:tc>
        <w:tc>
          <w:tcPr>
            <w:shd w:val="clear" w:color="auto" w:fill="F4F1EC"/>
          </w:tcPr>
          <w:p>
            <w:pPr>
              <w:pStyle w:val="Compact"/>
              <w:spacing w:after="40" w:before="40"/>
              <w:jc w:val="left"/>
            </w:pPr>
            <w:r>
              <w:rPr>
                <w:rFonts w:ascii="Cambria" w:hAnsi="Cambria" w:cs="Cambria" w:eastAsia="Cambria"/>
                <w:color w:val="1A1A1A"/>
                <w:sz w:val="18"/>
              </w:rPr>
              <w:t xml:space="preserve">~ 1,5</w:t>
            </w:r>
          </w:p>
        </w:tc>
        <w:tc>
          <w:tcPr>
            <w:shd w:val="clear" w:color="auto" w:fill="F4F1EC"/>
          </w:tcPr>
          <w:p>
            <w:pPr>
              <w:pStyle w:val="Compact"/>
              <w:spacing w:after="40" w:before="40"/>
              <w:jc w:val="left"/>
            </w:pPr>
            <w:r>
              <w:rPr>
                <w:rFonts w:ascii="Cambria" w:hAnsi="Cambria" w:cs="Cambria" w:eastAsia="Cambria"/>
                <w:color w:val="1A1A1A"/>
                <w:sz w:val="18"/>
              </w:rPr>
              <w:t xml:space="preserve">~ 2,0</w:t>
            </w:r>
          </w:p>
        </w:tc>
        <w:tc>
          <w:tcPr>
            <w:shd w:val="clear" w:color="auto" w:fill="F4F1EC"/>
          </w:tcPr>
          <w:p>
            <w:pPr>
              <w:pStyle w:val="Compact"/>
              <w:spacing w:after="40" w:before="40"/>
              <w:jc w:val="left"/>
            </w:pPr>
            <w:r>
              <w:rPr>
                <w:rFonts w:ascii="Cambria" w:hAnsi="Cambria" w:cs="Cambria" w:eastAsia="Cambria"/>
                <w:color w:val="1A1A1A"/>
                <w:sz w:val="18"/>
              </w:rPr>
              <w:t xml:space="preserve">~ 2,6</w:t>
            </w:r>
          </w:p>
        </w:tc>
      </w:tr>
      <w:tr>
        <w:tc>
          <w:tcPr/>
          <w:p>
            <w:pPr>
              <w:pStyle w:val="Compact"/>
              <w:spacing w:after="40" w:before="40"/>
              <w:jc w:val="left"/>
            </w:pPr>
            <w:r>
              <w:rPr>
                <w:rFonts w:ascii="Cambria" w:hAnsi="Cambria" w:cs="Cambria" w:eastAsia="Cambria"/>
                <w:b/>
                <w:bCs/>
                <w:color w:val="1A1A1A"/>
                <w:sz w:val="18"/>
              </w:rPr>
              <w:t xml:space="preserve">Risparmi diretti (SSR)</w:t>
            </w:r>
          </w:p>
        </w:tc>
        <w:tc>
          <w:tcPr/>
          <w:p>
            <w:pPr>
              <w:pStyle w:val="Compact"/>
              <w:spacing w:after="40" w:before="40"/>
              <w:jc w:val="left"/>
            </w:pPr>
            <w:r>
              <w:rPr>
                <w:rFonts w:ascii="Cambria" w:hAnsi="Cambria" w:cs="Cambria" w:eastAsia="Cambria"/>
                <w:color w:val="1A1A1A"/>
                <w:sz w:val="18"/>
              </w:rPr>
              <w:t xml:space="preserve">~ 0,7</w:t>
            </w:r>
          </w:p>
        </w:tc>
        <w:tc>
          <w:tcPr/>
          <w:p>
            <w:pPr>
              <w:pStyle w:val="Compact"/>
              <w:spacing w:after="40" w:before="40"/>
              <w:jc w:val="left"/>
            </w:pPr>
            <w:r>
              <w:rPr>
                <w:rFonts w:ascii="Cambria" w:hAnsi="Cambria" w:cs="Cambria" w:eastAsia="Cambria"/>
                <w:color w:val="1A1A1A"/>
                <w:sz w:val="18"/>
              </w:rPr>
              <w:t xml:space="preserve">~ 1,1</w:t>
            </w:r>
          </w:p>
        </w:tc>
        <w:tc>
          <w:tcPr/>
          <w:p>
            <w:pPr>
              <w:pStyle w:val="Compact"/>
              <w:spacing w:after="40" w:before="40"/>
              <w:jc w:val="left"/>
            </w:pPr>
            <w:r>
              <w:rPr>
                <w:rFonts w:ascii="Cambria" w:hAnsi="Cambria" w:cs="Cambria" w:eastAsia="Cambria"/>
                <w:color w:val="1A1A1A"/>
                <w:sz w:val="18"/>
              </w:rPr>
              <w:t xml:space="preserve">~ 1,6</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Ricadute economico-sociali</w:t>
            </w:r>
          </w:p>
        </w:tc>
        <w:tc>
          <w:tcPr>
            <w:shd w:val="clear" w:color="auto" w:fill="F4F1EC"/>
          </w:tcPr>
          <w:p>
            <w:pPr>
              <w:pStyle w:val="Compact"/>
              <w:spacing w:after="40" w:before="40"/>
              <w:jc w:val="left"/>
            </w:pPr>
            <w:r>
              <w:rPr>
                <w:rFonts w:ascii="Cambria" w:hAnsi="Cambria" w:cs="Cambria" w:eastAsia="Cambria"/>
                <w:color w:val="1A1A1A"/>
                <w:sz w:val="18"/>
              </w:rPr>
              <w:t xml:space="preserve">~ 4,5</w:t>
            </w:r>
          </w:p>
        </w:tc>
        <w:tc>
          <w:tcPr>
            <w:shd w:val="clear" w:color="auto" w:fill="F4F1EC"/>
          </w:tcPr>
          <w:p>
            <w:pPr>
              <w:pStyle w:val="Compact"/>
              <w:spacing w:after="40" w:before="40"/>
              <w:jc w:val="left"/>
            </w:pPr>
            <w:r>
              <w:rPr>
                <w:rFonts w:ascii="Cambria" w:hAnsi="Cambria" w:cs="Cambria" w:eastAsia="Cambria"/>
                <w:color w:val="1A1A1A"/>
                <w:sz w:val="18"/>
              </w:rPr>
              <w:t xml:space="preserve">~ 7,0</w:t>
            </w:r>
          </w:p>
        </w:tc>
        <w:tc>
          <w:tcPr>
            <w:shd w:val="clear" w:color="auto" w:fill="F4F1EC"/>
          </w:tcPr>
          <w:p>
            <w:pPr>
              <w:pStyle w:val="Compact"/>
              <w:spacing w:after="40" w:before="40"/>
              <w:jc w:val="left"/>
            </w:pPr>
            <w:r>
              <w:rPr>
                <w:rFonts w:ascii="Cambria" w:hAnsi="Cambria" w:cs="Cambria" w:eastAsia="Cambria"/>
                <w:color w:val="1A1A1A"/>
                <w:sz w:val="18"/>
              </w:rPr>
              <w:t xml:space="preserve">~ 9,5</w:t>
            </w:r>
          </w:p>
        </w:tc>
      </w:tr>
      <w:tr>
        <w:tc>
          <w:tcPr/>
          <w:p>
            <w:pPr>
              <w:pStyle w:val="Compact"/>
              <w:spacing w:after="40" w:before="40"/>
              <w:jc w:val="left"/>
            </w:pPr>
            <w:r>
              <w:rPr>
                <w:rFonts w:ascii="Cambria" w:hAnsi="Cambria" w:cs="Cambria" w:eastAsia="Cambria"/>
                <w:b/>
                <w:bCs/>
                <w:color w:val="1A1A1A"/>
                <w:sz w:val="18"/>
              </w:rPr>
              <w:t xml:space="preserve">Saldo diretto (caso finanziario)</w:t>
            </w:r>
          </w:p>
        </w:tc>
        <w:tc>
          <w:tcPr/>
          <w:p>
            <w:pPr>
              <w:pStyle w:val="Compact"/>
              <w:spacing w:after="40" w:before="40"/>
              <w:jc w:val="left"/>
            </w:pPr>
            <w:r>
              <w:rPr>
                <w:rFonts w:ascii="Cambria" w:hAnsi="Cambria" w:cs="Cambria" w:eastAsia="Cambria"/>
                <w:color w:val="1A1A1A"/>
                <w:sz w:val="18"/>
              </w:rPr>
              <w:t xml:space="preserve">~ −0,8</w:t>
            </w:r>
          </w:p>
        </w:tc>
        <w:tc>
          <w:tcPr/>
          <w:p>
            <w:pPr>
              <w:pStyle w:val="Compact"/>
              <w:spacing w:after="40" w:before="40"/>
              <w:jc w:val="left"/>
            </w:pPr>
            <w:r>
              <w:rPr>
                <w:rFonts w:ascii="Cambria" w:hAnsi="Cambria" w:cs="Cambria" w:eastAsia="Cambria"/>
                <w:color w:val="1A1A1A"/>
                <w:sz w:val="18"/>
              </w:rPr>
              <w:t xml:space="preserve">~ −0,9</w:t>
            </w:r>
          </w:p>
        </w:tc>
        <w:tc>
          <w:tcPr/>
          <w:p>
            <w:pPr>
              <w:pStyle w:val="Compact"/>
              <w:spacing w:after="40" w:before="40"/>
              <w:jc w:val="left"/>
            </w:pPr>
            <w:r>
              <w:rPr>
                <w:rFonts w:ascii="Cambria" w:hAnsi="Cambria" w:cs="Cambria" w:eastAsia="Cambria"/>
                <w:color w:val="1A1A1A"/>
                <w:sz w:val="18"/>
              </w:rPr>
              <w:t xml:space="preserve">~ −1,0</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Saldo complessivo (caso economico)</w:t>
            </w:r>
          </w:p>
        </w:tc>
        <w:tc>
          <w:tcPr>
            <w:shd w:val="clear" w:color="auto" w:fill="F4F1EC"/>
          </w:tcPr>
          <w:p>
            <w:pPr>
              <w:pStyle w:val="Compact"/>
              <w:spacing w:after="40" w:before="40"/>
              <w:jc w:val="left"/>
            </w:pPr>
            <w:r>
              <w:rPr>
                <w:rFonts w:ascii="Cambria" w:hAnsi="Cambria" w:cs="Cambria" w:eastAsia="Cambria"/>
                <w:color w:val="1A1A1A"/>
                <w:sz w:val="18"/>
              </w:rPr>
              <w:t xml:space="preserve">~ +3,7</w:t>
            </w:r>
          </w:p>
        </w:tc>
        <w:tc>
          <w:tcPr>
            <w:shd w:val="clear" w:color="auto" w:fill="F4F1EC"/>
          </w:tcPr>
          <w:p>
            <w:pPr>
              <w:pStyle w:val="Compact"/>
              <w:spacing w:after="40" w:before="40"/>
              <w:jc w:val="left"/>
            </w:pPr>
            <w:r>
              <w:rPr>
                <w:rFonts w:ascii="Cambria" w:hAnsi="Cambria" w:cs="Cambria" w:eastAsia="Cambria"/>
                <w:color w:val="1A1A1A"/>
                <w:sz w:val="18"/>
              </w:rPr>
              <w:t xml:space="preserve">~ +6,1</w:t>
            </w:r>
          </w:p>
        </w:tc>
        <w:tc>
          <w:tcPr>
            <w:shd w:val="clear" w:color="auto" w:fill="F4F1EC"/>
          </w:tcPr>
          <w:p>
            <w:pPr>
              <w:pStyle w:val="Compact"/>
              <w:spacing w:after="40" w:before="40"/>
              <w:jc w:val="left"/>
            </w:pPr>
            <w:r>
              <w:rPr>
                <w:rFonts w:ascii="Cambria" w:hAnsi="Cambria" w:cs="Cambria" w:eastAsia="Cambria"/>
                <w:color w:val="1A1A1A"/>
                <w:sz w:val="18"/>
              </w:rPr>
              <w:t xml:space="preserve">~ +8,5</w:t>
            </w:r>
          </w:p>
        </w:tc>
      </w:tr>
      <w:tr>
        <w:tc>
          <w:tcPr/>
          <w:p>
            <w:pPr>
              <w:pStyle w:val="Compact"/>
              <w:spacing w:after="40" w:before="40"/>
              <w:jc w:val="left"/>
            </w:pPr>
            <w:r>
              <w:rPr>
                <w:rFonts w:ascii="Cambria" w:hAnsi="Cambria" w:cs="Cambria" w:eastAsia="Cambria"/>
                <w:b/>
                <w:bCs/>
                <w:color w:val="1A1A1A"/>
                <w:sz w:val="18"/>
              </w:rPr>
              <w:t xml:space="preserve">Rapporto beneficio-costo complessivo</w:t>
            </w:r>
          </w:p>
        </w:tc>
        <w:tc>
          <w:tcPr/>
          <w:p>
            <w:pPr>
              <w:pStyle w:val="Compact"/>
              <w:spacing w:after="40" w:before="40"/>
              <w:jc w:val="left"/>
            </w:pPr>
            <w:r>
              <w:rPr>
                <w:rFonts w:ascii="Cambria" w:hAnsi="Cambria" w:cs="Cambria" w:eastAsia="Cambria"/>
                <w:color w:val="1A1A1A"/>
                <w:sz w:val="18"/>
              </w:rPr>
              <w:t xml:space="preserve">~4,0:1</w:t>
            </w:r>
          </w:p>
        </w:tc>
        <w:tc>
          <w:tcPr/>
          <w:p>
            <w:pPr>
              <w:pStyle w:val="Compact"/>
              <w:spacing w:after="40" w:before="40"/>
              <w:jc w:val="left"/>
            </w:pPr>
            <w:r>
              <w:rPr>
                <w:rFonts w:ascii="Cambria" w:hAnsi="Cambria" w:cs="Cambria" w:eastAsia="Cambria"/>
                <w:color w:val="1A1A1A"/>
                <w:sz w:val="18"/>
              </w:rPr>
              <w:t xml:space="preserve">~4,8:1</w:t>
            </w:r>
          </w:p>
        </w:tc>
        <w:tc>
          <w:tcPr/>
          <w:p>
            <w:pPr>
              <w:pStyle w:val="Compact"/>
              <w:spacing w:after="40" w:before="40"/>
              <w:jc w:val="left"/>
            </w:pPr>
            <w:r>
              <w:rPr>
                <w:rFonts w:ascii="Cambria" w:hAnsi="Cambria" w:cs="Cambria" w:eastAsia="Cambria"/>
                <w:color w:val="1A1A1A"/>
                <w:sz w:val="18"/>
              </w:rPr>
              <w:t xml:space="preserve">~5,3:1</w:t>
            </w:r>
          </w:p>
        </w:tc>
      </w:tr>
    </w:tbl>
    <w:p>
      <w:pPr>
        <w:pStyle w:val="BodyText"/>
      </w:pPr>
      <w:r>
        <w:rPr>
          <w:i/>
          <w:iCs/>
        </w:rPr>
        <w:t xml:space="preserve">Tabella A.3. Il quadro economico consolidato per scenario (costo per incarico di riferimento di ~58.000–60.000 euro).</w:t>
      </w:r>
    </w:p>
    <w:bookmarkEnd w:id="4119"/>
    <w:bookmarkStart w:id="4120" w:name="Xc182496f779f54a0296bdc6fd023938d471b7cb"/>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 La tabella seguente li descrive.</w:t>
      </w:r>
    </w:p>
    <w:tbl>
      <w:tblPr>
        <w:tblStyle w:val="Table"/>
        <w:tblW w:type="pct" w:w="4917"/>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046"/>
        <w:gridCol w:w="1584"/>
        <w:gridCol w:w="4158"/>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Strumento o misura</w:t>
            </w:r>
          </w:p>
        </w:tc>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Caratteristiche</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Sintomi depressivi</w:t>
            </w:r>
          </w:p>
        </w:tc>
        <w:tc>
          <w:tcPr/>
          <w:p>
            <w:pPr>
              <w:pStyle w:val="Compact"/>
              <w:spacing w:after="40" w:before="40"/>
              <w:jc w:val="left"/>
            </w:pPr>
            <w:r>
              <w:rPr>
                <w:rFonts w:ascii="Cambria" w:hAnsi="Cambria" w:cs="Cambria" w:eastAsia="Cambria"/>
                <w:color w:val="1A1A1A"/>
                <w:sz w:val="18"/>
              </w:rPr>
              <w:t xml:space="preserve">0–27; soglia clinica ~10; cambiamento affidabile ~6 punti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Sintomi d’ansia</w:t>
            </w:r>
          </w:p>
        </w:tc>
        <w:tc>
          <w:tcPr>
            <w:shd w:val="clear" w:color="auto" w:fill="F4F1EC"/>
          </w:tcPr>
          <w:p>
            <w:pPr>
              <w:pStyle w:val="Compact"/>
              <w:spacing w:after="40" w:before="40"/>
              <w:jc w:val="left"/>
            </w:pPr>
            <w:r>
              <w:rPr>
                <w:rFonts w:ascii="Cambria" w:hAnsi="Cambria" w:cs="Cambria" w:eastAsia="Cambria"/>
                <w:color w:val="1A1A1A"/>
                <w:sz w:val="18"/>
              </w:rPr>
              <w:t xml:space="preserve">0–21; impiegato nel solo punteggio complessivo</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Esito primario</w:t>
            </w:r>
          </w:p>
        </w:tc>
        <w:tc>
          <w:tcPr/>
          <w:p>
            <w:pPr>
              <w:pStyle w:val="Compact"/>
              <w:spacing w:after="40" w:before="40"/>
              <w:jc w:val="left"/>
            </w:pPr>
            <w:r>
              <w:rPr>
                <w:rFonts w:ascii="Cambria" w:hAnsi="Cambria" w:cs="Cambria" w:eastAsia="Cambria"/>
                <w:color w:val="1A1A1A"/>
                <w:sz w:val="18"/>
              </w:rPr>
              <w:t xml:space="preserve">Discesa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Esito secondario</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 La tabella seguente ne costituisce il dizionario dei dati.</w:t>
      </w:r>
    </w:p>
    <w:tbl>
      <w:tblPr>
        <w:tblStyle w:val="Table"/>
        <w:tblW w:type="pct" w:w="4918"/>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752"/>
        <w:gridCol w:w="4154"/>
        <w:gridCol w:w="188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Campo del dataset</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c>
          <w:tcPr>
            <w:shd w:val="clear" w:color="auto" w:fill="16264B"/>
          </w:tcPr>
          <w:p>
            <w:pPr>
              <w:pStyle w:val="Compact"/>
              <w:spacing w:after="40" w:before="40"/>
              <w:jc w:val="left"/>
            </w:pPr>
            <w:r>
              <w:rPr>
                <w:rFonts w:ascii="Cambria" w:hAnsi="Cambria" w:cs="Cambria" w:eastAsia="Cambria"/>
                <w:b/>
                <w:bCs/>
                <w:color w:val="FFFFFF"/>
                <w:sz w:val="18"/>
              </w:rPr>
              <w:t xml:space="preserve">Momento di rilevazione</w:t>
            </w:r>
          </w:p>
        </w:tc>
      </w:tr>
      <w:tr>
        <w:tc>
          <w:tcPr/>
          <w:p>
            <w:pPr>
              <w:pStyle w:val="Compact"/>
              <w:spacing w:after="40" w:before="40"/>
              <w:jc w:val="left"/>
            </w:pPr>
            <w:r>
              <w:rPr>
                <w:rFonts w:ascii="Cambria" w:hAnsi="Cambria" w:cs="Cambria" w:eastAsia="Cambria"/>
                <w:b/>
                <w:bCs/>
                <w:color w:val="1A1A1A"/>
                <w:sz w:val="18"/>
              </w:rPr>
              <w:t xml:space="preserve">Presa in carico</w:t>
            </w:r>
          </w:p>
        </w:tc>
        <w:tc>
          <w:tcPr/>
          <w:p>
            <w:pPr>
              <w:pStyle w:val="Compact"/>
              <w:spacing w:after="40" w:before="40"/>
              <w:jc w:val="left"/>
            </w:pPr>
            <w:r>
              <w:rPr>
                <w:rFonts w:ascii="Cambria" w:hAnsi="Cambria" w:cs="Cambria" w:eastAsia="Cambria"/>
                <w:color w:val="1A1A1A"/>
                <w:sz w:val="18"/>
              </w:rPr>
              <w:t xml:space="preserve">Data di apertura, canale di accesso, invio, distretto</w:t>
            </w:r>
          </w:p>
        </w:tc>
        <w:tc>
          <w:tcPr/>
          <w:p>
            <w:pPr>
              <w:pStyle w:val="Compact"/>
              <w:spacing w:after="40" w:before="40"/>
              <w:jc w:val="left"/>
            </w:pPr>
            <w:r>
              <w:rPr>
                <w:rFonts w:ascii="Cambria" w:hAnsi="Cambria" w:cs="Cambria" w:eastAsia="Cambria"/>
                <w:color w:val="1A1A1A"/>
                <w:sz w:val="18"/>
              </w:rPr>
              <w:t xml:space="preserve">All’apertura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Seduta</w:t>
            </w:r>
          </w:p>
        </w:tc>
        <w:tc>
          <w:tcPr>
            <w:shd w:val="clear" w:color="auto" w:fill="F4F1EC"/>
          </w:tcPr>
          <w:p>
            <w:pPr>
              <w:pStyle w:val="Compact"/>
              <w:spacing w:after="40" w:before="40"/>
              <w:jc w:val="left"/>
            </w:pPr>
            <w:r>
              <w:rPr>
                <w:rFonts w:ascii="Cambria" w:hAnsi="Cambria" w:cs="Cambria" w:eastAsia="Cambria"/>
                <w:color w:val="1A1A1A"/>
                <w:sz w:val="18"/>
              </w:rPr>
              <w:t xml:space="preserve">Data, tipo e numero progressivo della seduta</w:t>
            </w:r>
          </w:p>
        </w:tc>
        <w:tc>
          <w:tcPr>
            <w:shd w:val="clear" w:color="auto" w:fill="F4F1EC"/>
          </w:tcPr>
          <w:p>
            <w:pPr>
              <w:pStyle w:val="Compact"/>
              <w:spacing w:after="40" w:before="40"/>
              <w:jc w:val="left"/>
            </w:pPr>
            <w:r>
              <w:rPr>
                <w:rFonts w:ascii="Cambria" w:hAnsi="Cambria" w:cs="Cambria" w:eastAsia="Cambria"/>
                <w:color w:val="1A1A1A"/>
                <w:sz w:val="18"/>
              </w:rPr>
              <w:t xml:space="preserve">A ogni seduta</w:t>
            </w:r>
          </w:p>
        </w:tc>
      </w:tr>
      <w:tr>
        <w:tc>
          <w:tcPr/>
          <w:p>
            <w:pPr>
              <w:pStyle w:val="Compact"/>
              <w:spacing w:after="40" w:before="40"/>
              <w:jc w:val="left"/>
            </w:pPr>
            <w:r>
              <w:rPr>
                <w:rFonts w:ascii="Cambria" w:hAnsi="Cambria" w:cs="Cambria" w:eastAsia="Cambria"/>
                <w:b/>
                <w:bCs/>
                <w:color w:val="1A1A1A"/>
                <w:sz w:val="18"/>
              </w:rPr>
              <w:t xml:space="preserve">Punteggi di esito</w:t>
            </w:r>
          </w:p>
        </w:tc>
        <w:tc>
          <w:tcPr/>
          <w:p>
            <w:pPr>
              <w:pStyle w:val="Compact"/>
              <w:spacing w:after="40" w:before="40"/>
              <w:jc w:val="left"/>
            </w:pPr>
            <w:r>
              <w:rPr>
                <w:rFonts w:ascii="Cambria" w:hAnsi="Cambria" w:cs="Cambria" w:eastAsia="Cambria"/>
                <w:color w:val="1A1A1A"/>
                <w:sz w:val="18"/>
              </w:rPr>
              <w:t xml:space="preserve">PHQ-9 e GAD-7 (punteggi complessivi)</w:t>
            </w:r>
          </w:p>
        </w:tc>
        <w:tc>
          <w:tcPr/>
          <w:p>
            <w:pPr>
              <w:pStyle w:val="Compact"/>
              <w:spacing w:after="40" w:before="40"/>
              <w:jc w:val="left"/>
            </w:pPr>
            <w:r>
              <w:rPr>
                <w:rFonts w:ascii="Cambria" w:hAnsi="Cambria" w:cs="Cambria" w:eastAsia="Cambria"/>
                <w:color w:val="1A1A1A"/>
                <w:sz w:val="18"/>
              </w:rPr>
              <w:t xml:space="preserve">A ogni seduta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Invii e restituzioni</w:t>
            </w:r>
          </w:p>
        </w:tc>
        <w:tc>
          <w:tcPr>
            <w:shd w:val="clear" w:color="auto" w:fill="F4F1EC"/>
          </w:tcPr>
          <w:p>
            <w:pPr>
              <w:pStyle w:val="Compact"/>
              <w:spacing w:after="40" w:before="40"/>
              <w:jc w:val="left"/>
            </w:pPr>
            <w:r>
              <w:rPr>
                <w:rFonts w:ascii="Cambria" w:hAnsi="Cambria" w:cs="Cambria" w:eastAsia="Cambria"/>
                <w:color w:val="1A1A1A"/>
                <w:sz w:val="18"/>
              </w:rPr>
              <w:t xml:space="preserve">Invio a CSM o servizi specialistici; restituzione al MMG</w:t>
            </w:r>
          </w:p>
        </w:tc>
        <w:tc>
          <w:tcPr>
            <w:shd w:val="clear" w:color="auto" w:fill="F4F1EC"/>
          </w:tcPr>
          <w:p>
            <w:pPr>
              <w:pStyle w:val="Compact"/>
              <w:spacing w:after="40" w:before="40"/>
              <w:jc w:val="left"/>
            </w:pPr>
            <w:r>
              <w:rPr>
                <w:rFonts w:ascii="Cambria" w:hAnsi="Cambria" w:cs="Cambria" w:eastAsia="Cambria"/>
                <w:color w:val="1A1A1A"/>
                <w:sz w:val="18"/>
              </w:rPr>
              <w:t xml:space="preserve">Ove pertinente</w:t>
            </w:r>
          </w:p>
        </w:tc>
      </w:tr>
      <w:tr>
        <w:tc>
          <w:tcPr/>
          <w:p>
            <w:pPr>
              <w:pStyle w:val="Compact"/>
              <w:spacing w:after="40" w:before="40"/>
              <w:jc w:val="left"/>
            </w:pPr>
            <w:r>
              <w:rPr>
                <w:rFonts w:ascii="Cambria" w:hAnsi="Cambria" w:cs="Cambria" w:eastAsia="Cambria"/>
                <w:b/>
                <w:bCs/>
                <w:color w:val="1A1A1A"/>
                <w:sz w:val="18"/>
              </w:rPr>
              <w:t xml:space="preserve">Chiusura</w:t>
            </w:r>
          </w:p>
        </w:tc>
        <w:tc>
          <w:tcPr/>
          <w:p>
            <w:pPr>
              <w:pStyle w:val="Compact"/>
              <w:spacing w:after="40" w:before="40"/>
              <w:jc w:val="left"/>
            </w:pPr>
            <w:r>
              <w:rPr>
                <w:rFonts w:ascii="Cambria" w:hAnsi="Cambria" w:cs="Cambria" w:eastAsia="Cambria"/>
                <w:color w:val="1A1A1A"/>
                <w:sz w:val="18"/>
              </w:rPr>
              <w:t xml:space="preserve">Esito del percorso (recupero, miglioramento, invio)</w:t>
            </w:r>
          </w:p>
        </w:tc>
        <w:tc>
          <w:tcPr/>
          <w:p>
            <w:pPr>
              <w:pStyle w:val="Compact"/>
              <w:spacing w:after="40" w:before="40"/>
              <w:jc w:val="left"/>
            </w:pPr>
            <w:r>
              <w:rPr>
                <w:rFonts w:ascii="Cambria" w:hAnsi="Cambria" w:cs="Cambria" w:eastAsia="Cambria"/>
                <w:color w:val="1A1A1A"/>
                <w:sz w:val="18"/>
              </w:rPr>
              <w:t xml:space="preserve">Alla chiusura</w:t>
            </w:r>
          </w:p>
        </w:tc>
      </w:tr>
    </w:tbl>
    <w:p>
      <w:pPr>
        <w:pStyle w:val="BodyText"/>
      </w:pPr>
      <w:r>
        <w:rPr>
          <w:i/>
          <w:iCs/>
        </w:rPr>
        <w:t xml:space="preserve">Tabella B.2. Il dataset minimo: i campi del protocollo di rilevazione (dizionario dei dati).</w:t>
      </w:r>
    </w:p>
    <w:bookmarkEnd w:id="4120"/>
    <w:bookmarkStart w:id="4121" w:name="appendice-c-dati-regionali-e-fonti-13"/>
    <w:p>
      <w:pPr>
        <w:pStyle w:val="Heading2"/>
      </w:pPr>
      <w:r>
        <w:t xml:space="preserve">Appendice C — Dati regionali e fonti</w:t>
      </w:r>
    </w:p>
    <w:p>
      <w:pPr>
        <w:pStyle w:val="FirstParagraph"/>
      </w:pPr>
      <w:r>
        <w:t xml:space="preserve">La presente appendice raccoglie i dati regionali di ancoraggio dello studio e ne dichiara i limiti. I valori valdostani impiegati nelle analisi sono riepilogati nella tabella seguente.</w:t>
      </w:r>
    </w:p>
    <w:tbl>
      <w:tblPr>
        <w:tblStyle w:val="Table"/>
        <w:tblW w:type="pct" w:w="4965"/>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003"/>
        <w:gridCol w:w="686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Ambito</w:t>
            </w:r>
          </w:p>
        </w:tc>
        <w:tc>
          <w:tcPr>
            <w:shd w:val="clear" w:color="auto" w:fill="16264B"/>
          </w:tcPr>
          <w:p>
            <w:pPr>
              <w:pStyle w:val="Compact"/>
              <w:spacing w:after="40" w:before="40"/>
              <w:jc w:val="left"/>
            </w:pPr>
            <w:r>
              <w:rPr>
                <w:rFonts w:ascii="Cambria" w:hAnsi="Cambria" w:cs="Cambria" w:eastAsia="Cambria"/>
                <w:b/>
                <w:bCs/>
                <w:color w:val="FFFFFF"/>
                <w:sz w:val="18"/>
              </w:rPr>
              <w:t xml:space="preserve">Valore per la Valle d’Aosta</w:t>
            </w:r>
          </w:p>
        </w:tc>
      </w:tr>
      <w:tr>
        <w:tc>
          <w:tcPr/>
          <w:p>
            <w:pPr>
              <w:pStyle w:val="Compact"/>
              <w:spacing w:after="40" w:before="40"/>
              <w:jc w:val="left"/>
            </w:pPr>
            <w:r>
              <w:rPr>
                <w:rFonts w:ascii="Cambria" w:hAnsi="Cambria" w:cs="Cambria" w:eastAsia="Cambria"/>
                <w:b/>
                <w:bCs/>
                <w:color w:val="1A1A1A"/>
                <w:sz w:val="18"/>
              </w:rPr>
              <w:t xml:space="preserve">Popolazione</w:t>
            </w:r>
          </w:p>
        </w:tc>
        <w:tc>
          <w:tcPr/>
          <w:p>
            <w:pPr>
              <w:pStyle w:val="Compact"/>
              <w:spacing w:after="40" w:before="40"/>
              <w:jc w:val="left"/>
            </w:pPr>
            <w:r>
              <w:rPr>
                <w:rFonts w:ascii="Cambria" w:hAnsi="Cambria" w:cs="Cambria" w:eastAsia="Cambria"/>
                <w:color w:val="1A1A1A"/>
                <w:sz w:val="18"/>
              </w:rPr>
              <w:t xml:space="preserve">122.532 (1° gen. 2025); 122.554 (1° gen. 2026); ~0,21% del totale nazionale; stabilizzazione dopo un decennio di calo; unica regione interamente alpina d’Italia (fonte: AostaSera, https://aostasera.it/notizie/societa/la-valle-daosta-ferma-il-calo-demografico-popolazione-stabile-anche-se-sempre-piu-anziana/)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Invecchiamento</w:t>
            </w:r>
          </w:p>
        </w:tc>
        <w:tc>
          <w:tcPr>
            <w:shd w:val="clear" w:color="auto" w:fill="F4F1EC"/>
          </w:tcPr>
          <w:p>
            <w:pPr>
              <w:pStyle w:val="Compact"/>
              <w:spacing w:after="40" w:before="40"/>
              <w:jc w:val="left"/>
            </w:pPr>
            <w:r>
              <w:rPr>
                <w:rFonts w:ascii="Cambria" w:hAnsi="Cambria" w:cs="Cambria" w:eastAsia="Cambria"/>
                <w:color w:val="1A1A1A"/>
                <w:sz w:val="18"/>
              </w:rPr>
              <w:t xml:space="preserve">Indice di vecchiaia 215,1 (2023); over-65: 25,79% (2025), proiettato al 34,13% (2040) (fonte: IRES Valle d’Aosta via fluidbook.it, https://www.fluidbook.it/spi-aosta/ires/2024/01/52/)</w:t>
            </w:r>
          </w:p>
        </w:tc>
      </w:tr>
      <w:tr>
        <w:tc>
          <w:tcPr/>
          <w:p>
            <w:pPr>
              <w:pStyle w:val="Compact"/>
              <w:spacing w:after="40" w:before="40"/>
              <w:jc w:val="left"/>
            </w:pPr>
            <w:r>
              <w:rPr>
                <w:rFonts w:ascii="Cambria" w:hAnsi="Cambria" w:cs="Cambria" w:eastAsia="Cambria"/>
                <w:b/>
                <w:bCs/>
                <w:color w:val="1A1A1A"/>
                <w:sz w:val="18"/>
              </w:rPr>
              <w:t xml:space="preserve">Finanziamento del SSR</w:t>
            </w:r>
          </w:p>
        </w:tc>
        <w:tc>
          <w:tcPr/>
          <w:p>
            <w:pPr>
              <w:pStyle w:val="Compact"/>
              <w:spacing w:after="40" w:before="40"/>
              <w:jc w:val="left"/>
            </w:pPr>
            <w:r>
              <w:rPr>
                <w:rFonts w:ascii="Cambria" w:hAnsi="Cambria" w:cs="Cambria" w:eastAsia="Cambria"/>
                <w:color w:val="1A1A1A"/>
                <w:sz w:val="18"/>
              </w:rPr>
              <w:t xml:space="preserve">FSR determinato in ~333 mln (2024) con quota trasferita Azienda USL ~319 mln; autofinanziamento integrale con quota analoga ai 9/10 del gettito trattenuto; spesa pro-capite ~2.526 € (ISTAT 2022, 3° in Italia); ~3.465-3.503 € pesata (Fondazione GRINS 2025, 2° in Italia dopo Trentino-Alto Adige); ~3.750 € pro capite (dichiarazione Assessore Marzi, dic. 2024) (fonti: fluidbook.it/IRES sopra; Fondazione GRINS https://www.grins.it/sites/default/files/2025-12/Il_finanziamento_e_la_spesa_sanitaria_in_italia.pdf; valledaostaglocal.it https://www.valledaostaglocal.it/2024/12/16/leggi-notizia/argomenti/salute-in-valle-daosta/articolo/sanita-in-valle-daosta-gli-impegni-e-le-sfide-del-bilancio-triennale-2025-2027-secondo-lassess.html)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Saldo −10,9 mln (2024): crediti 17 mln, debiti 27,9 mln; entità modesta; canale di recupero contenuto per questo intervento (fonte: valledaostaglocal.it, https://aostasera.it/notizie/sanita-notizie/in-valle-daosta-oltre-51-000-prestazioni-sanitarie-in-attesa/)</w:t>
            </w:r>
          </w:p>
        </w:tc>
      </w:tr>
      <w:tr>
        <w:tc>
          <w:tcPr/>
          <w:p>
            <w:pPr>
              <w:pStyle w:val="Compact"/>
              <w:spacing w:after="40" w:before="40"/>
              <w:jc w:val="left"/>
            </w:pPr>
            <w:r>
              <w:rPr>
                <w:rFonts w:ascii="Cambria" w:hAnsi="Cambria" w:cs="Cambria" w:eastAsia="Cambria"/>
                <w:b/>
                <w:bCs/>
                <w:color w:val="1A1A1A"/>
                <w:sz w:val="18"/>
              </w:rPr>
              <w:t xml:space="preserve">Spesa privata</w:t>
            </w:r>
          </w:p>
        </w:tc>
        <w:tc>
          <w:tcPr/>
          <w:p>
            <w:pPr>
              <w:pStyle w:val="Compact"/>
              <w:spacing w:after="40" w:before="40"/>
              <w:jc w:val="left"/>
            </w:pPr>
            <w:r>
              <w:rPr>
                <w:rFonts w:ascii="Cambria" w:hAnsi="Cambria" w:cs="Cambria" w:eastAsia="Cambria"/>
                <w:color w:val="1A1A1A"/>
                <w:sz w:val="18"/>
              </w:rPr>
              <w:t xml:space="preserve">3% del PIL regionale (famiglie valdostane), contro 2,2% nazionale; 2° in Italia (fonte: fluidbook.it/IRES, https://www.fluidbook.it/spi-aosta/ires/2024/01/52/)</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Salute mentale</w:t>
            </w:r>
          </w:p>
        </w:tc>
        <w:tc>
          <w:tcPr>
            <w:shd w:val="clear" w:color="auto" w:fill="F4F1EC"/>
          </w:tcPr>
          <w:p>
            <w:pPr>
              <w:pStyle w:val="Compact"/>
              <w:spacing w:after="40" w:before="40"/>
              <w:jc w:val="left"/>
            </w:pPr>
            <w:r>
              <w:rPr>
                <w:rFonts w:ascii="Cambria" w:hAnsi="Cambria" w:cs="Cambria" w:eastAsia="Cambria"/>
                <w:color w:val="1A1A1A"/>
                <w:sz w:val="18"/>
              </w:rPr>
              <w:t xml:space="preserve">Tasso incidenza CSM 118,5/10.000 ab. (1° in Italia; media nazionale 55,4); ~24.000-25.000 con disagio comune potenziale (proxy ~20% popolazione); bisogno trainato dall’anzianità, dall’isolamento nelle vallate e dall’assenza di un filtro di primo livello (fonte: Ministero della Salute, Rapporto Salute Mentale; https://www.salute.gov.it/new/it/scheda-statistica/rapporto-salute-mentale)</w:t>
            </w:r>
          </w:p>
        </w:tc>
      </w:tr>
      <w:tr>
        <w:tc>
          <w:tcPr/>
          <w:p>
            <w:pPr>
              <w:pStyle w:val="Compact"/>
              <w:spacing w:after="40" w:before="40"/>
              <w:jc w:val="left"/>
            </w:pPr>
            <w:r>
              <w:rPr>
                <w:rFonts w:ascii="Cambria" w:hAnsi="Cambria" w:cs="Cambria" w:eastAsia="Cambria"/>
                <w:b/>
                <w:bCs/>
                <w:color w:val="1A1A1A"/>
                <w:sz w:val="18"/>
              </w:rPr>
              <w:t xml:space="preserve">Stato normativo</w:t>
            </w:r>
          </w:p>
        </w:tc>
        <w:tc>
          <w:tcPr/>
          <w:p>
            <w:pPr>
              <w:pStyle w:val="Compact"/>
              <w:spacing w:after="40" w:before="40"/>
              <w:jc w:val="left"/>
            </w:pPr>
            <w:r>
              <w:rPr>
                <w:rFonts w:ascii="Cambria" w:hAnsi="Cambria" w:cs="Cambria" w:eastAsia="Cambria"/>
                <w:color w:val="1A1A1A"/>
                <w:sz w:val="18"/>
              </w:rPr>
              <w:t xml:space="preserve">Nessuna legge regionale né sperimentazione; Valle d’Aosta fra le regioni prive di previsione normativa (fonte: psicologicureprimarie.it, https://www.psicologicureprimarie.it/proposte-di-legge/situazione-2025.html)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sanitario</w:t>
            </w:r>
          </w:p>
        </w:tc>
        <w:tc>
          <w:tcPr>
            <w:shd w:val="clear" w:color="auto" w:fill="F4F1EC"/>
          </w:tcPr>
          <w:p>
            <w:pPr>
              <w:pStyle w:val="Compact"/>
              <w:spacing w:after="40" w:before="40"/>
              <w:jc w:val="left"/>
            </w:pPr>
            <w:r>
              <w:rPr>
                <w:rFonts w:ascii="Cambria" w:hAnsi="Cambria" w:cs="Cambria" w:eastAsia="Cambria"/>
                <w:color w:val="1A1A1A"/>
                <w:sz w:val="18"/>
              </w:rPr>
              <w:t xml:space="preserve">Azienda USL Valle d’Aosta (unica); Ospedale Parini (Aosta) presidio principale; quattro distretti (Morgex, Aosta, Châtillon, Verrès-Donnas); bilingue italiano-francese per statuto</w:t>
            </w:r>
          </w:p>
        </w:tc>
      </w:tr>
    </w:tbl>
    <w:p>
      <w:pPr>
        <w:pStyle w:val="BodyText"/>
      </w:pPr>
      <w:r>
        <w:rPr>
          <w:i/>
          <w:iCs/>
        </w:rPr>
        <w:t xml:space="preserve">Tabella C.1. I valori di ancoraggio della Valle d’Aosta.</w:t>
      </w:r>
    </w:p>
    <w:p>
      <w:pPr>
        <w:pStyle w:val="BodyText"/>
      </w:pPr>
      <w:r>
        <w:t xml:space="preserve">Resta la lacuna principale dello studio: i valori economici sono in parte ricostruiti a partire dai conti nazionali scalati per la quota di popolazione (~0,21%), e non estratti dai conti certificati dell’Azienda USL. La tabella seguente elenca i dati da acquisire per sostituire le stime.</w:t>
      </w:r>
    </w:p>
    <w:tbl>
      <w:tblPr>
        <w:tblStyle w:val="Table"/>
        <w:tblW w:type="pct" w:w="494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447"/>
        <w:gridCol w:w="6392"/>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Dato da acquisire</w:t>
            </w:r>
          </w:p>
        </w:tc>
        <w:tc>
          <w:tcPr>
            <w:shd w:val="clear" w:color="auto" w:fill="16264B"/>
          </w:tcPr>
          <w:p>
            <w:pPr>
              <w:pStyle w:val="Compact"/>
              <w:spacing w:after="40" w:before="40"/>
              <w:jc w:val="left"/>
            </w:pPr>
            <w:r>
              <w:rPr>
                <w:rFonts w:ascii="Cambria" w:hAnsi="Cambria" w:cs="Cambria" w:eastAsia="Cambria"/>
                <w:b/>
                <w:bCs/>
                <w:color w:val="FFFFFF"/>
                <w:sz w:val="18"/>
              </w:rPr>
              <w:t xml:space="preserve">Contenuto</w:t>
            </w:r>
          </w:p>
        </w:tc>
      </w:tr>
      <w:tr>
        <w:tc>
          <w:tcPr/>
          <w:p>
            <w:pPr>
              <w:pStyle w:val="Compact"/>
              <w:spacing w:after="40" w:before="40"/>
              <w:jc w:val="left"/>
            </w:pPr>
            <w:r>
              <w:rPr>
                <w:rFonts w:ascii="Cambria" w:hAnsi="Cambria" w:cs="Cambria" w:eastAsia="Cambria"/>
                <w:b/>
                <w:bCs/>
                <w:color w:val="1A1A1A"/>
                <w:sz w:val="18"/>
              </w:rPr>
              <w:t xml:space="preserve">Ricoveri psichiatrici</w:t>
            </w:r>
          </w:p>
        </w:tc>
        <w:tc>
          <w:tcPr/>
          <w:p>
            <w:pPr>
              <w:pStyle w:val="Compact"/>
              <w:spacing w:after="40" w:before="40"/>
              <w:jc w:val="left"/>
            </w:pPr>
            <w:r>
              <w:rPr>
                <w:rFonts w:ascii="Cambria" w:hAnsi="Cambria" w:cs="Cambria" w:eastAsia="Cambria"/>
                <w:color w:val="1A1A1A"/>
                <w:sz w:val="18"/>
              </w:rPr>
              <w:t xml:space="preserve">Schede di dimissione ospedaliera per disturbi psichici e relativo costo (Presidio Parini)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Specialistica</w:t>
            </w:r>
          </w:p>
        </w:tc>
        <w:tc>
          <w:tcPr>
            <w:shd w:val="clear" w:color="auto" w:fill="F4F1EC"/>
          </w:tcPr>
          <w:p>
            <w:pPr>
              <w:pStyle w:val="Compact"/>
              <w:spacing w:after="40" w:before="40"/>
              <w:jc w:val="left"/>
            </w:pPr>
            <w:r>
              <w:rPr>
                <w:rFonts w:ascii="Cambria" w:hAnsi="Cambria" w:cs="Cambria" w:eastAsia="Cambria"/>
                <w:color w:val="1A1A1A"/>
                <w:sz w:val="18"/>
              </w:rPr>
              <w:t xml:space="preserve">Prestazioni specialistiche associate ai sintomi somatici funzionali</w:t>
            </w:r>
          </w:p>
        </w:tc>
      </w:tr>
      <w:tr>
        <w:tc>
          <w:tcPr/>
          <w:p>
            <w:pPr>
              <w:pStyle w:val="Compact"/>
              <w:spacing w:after="40" w:before="40"/>
              <w:jc w:val="left"/>
            </w:pPr>
            <w:r>
              <w:rPr>
                <w:rFonts w:ascii="Cambria" w:hAnsi="Cambria" w:cs="Cambria" w:eastAsia="Cambria"/>
                <w:b/>
                <w:bCs/>
                <w:color w:val="1A1A1A"/>
                <w:sz w:val="18"/>
              </w:rPr>
              <w:t xml:space="preserve">Farmaceutica</w:t>
            </w:r>
          </w:p>
        </w:tc>
        <w:tc>
          <w:tcPr/>
          <w:p>
            <w:pPr>
              <w:pStyle w:val="Compact"/>
              <w:spacing w:after="40" w:before="40"/>
              <w:jc w:val="left"/>
            </w:pPr>
            <w:r>
              <w:rPr>
                <w:rFonts w:ascii="Cambria" w:hAnsi="Cambria" w:cs="Cambria" w:eastAsia="Cambria"/>
                <w:color w:val="1A1A1A"/>
                <w:sz w:val="18"/>
              </w:rPr>
              <w:t xml:space="preserve">Spesa regionale per le categorie dei psicofarmaci (dato disponibile da OsMed regionale)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Pronto soccorso</w:t>
            </w:r>
          </w:p>
        </w:tc>
        <w:tc>
          <w:tcPr>
            <w:shd w:val="clear" w:color="auto" w:fill="F4F1EC"/>
          </w:tcPr>
          <w:p>
            <w:pPr>
              <w:pStyle w:val="Compact"/>
              <w:spacing w:after="40" w:before="40"/>
              <w:jc w:val="left"/>
            </w:pPr>
            <w:r>
              <w:rPr>
                <w:rFonts w:ascii="Cambria" w:hAnsi="Cambria" w:cs="Cambria" w:eastAsia="Cambria"/>
                <w:color w:val="1A1A1A"/>
                <w:sz w:val="18"/>
              </w:rPr>
              <w:t xml:space="preserve">Accessi per causa psichiatrica e relativo costo unitario (Presidio Parini e Presidio Beauregard)</w:t>
            </w:r>
          </w:p>
        </w:tc>
      </w:tr>
      <w:tr>
        <w:tc>
          <w:tcPr/>
          <w:p>
            <w:pPr>
              <w:pStyle w:val="Compact"/>
              <w:spacing w:after="40" w:before="40"/>
              <w:jc w:val="left"/>
            </w:pPr>
            <w:r>
              <w:rPr>
                <w:rFonts w:ascii="Cambria" w:hAnsi="Cambria" w:cs="Cambria" w:eastAsia="Cambria"/>
                <w:b/>
                <w:bCs/>
                <w:color w:val="1A1A1A"/>
                <w:sz w:val="18"/>
              </w:rPr>
              <w:t xml:space="preserve">Liste di attesa psicologiche</w:t>
            </w:r>
          </w:p>
        </w:tc>
        <w:tc>
          <w:tcPr/>
          <w:p>
            <w:pPr>
              <w:pStyle w:val="Compact"/>
              <w:spacing w:after="40" w:before="40"/>
              <w:jc w:val="left"/>
            </w:pPr>
            <w:r>
              <w:rPr>
                <w:rFonts w:ascii="Cambria" w:hAnsi="Cambria" w:cs="Cambria" w:eastAsia="Cambria"/>
                <w:color w:val="1A1A1A"/>
                <w:sz w:val="18"/>
              </w:rPr>
              <w:t xml:space="preserve">Tempi di attesa per l’accesso ai CSM, per distretto e per vallata</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Dati socio-economici locali</w:t>
            </w:r>
          </w:p>
        </w:tc>
        <w:tc>
          <w:tcPr>
            <w:shd w:val="clear" w:color="auto" w:fill="F4F1EC"/>
          </w:tcPr>
          <w:p>
            <w:pPr>
              <w:pStyle w:val="Compact"/>
              <w:spacing w:after="40" w:before="40"/>
              <w:jc w:val="left"/>
            </w:pPr>
            <w:r>
              <w:rPr>
                <w:rFonts w:ascii="Cambria" w:hAnsi="Cambria" w:cs="Cambria" w:eastAsia="Cambria"/>
                <w:color w:val="1A1A1A"/>
                <w:sz w:val="18"/>
              </w:rPr>
              <w:t xml:space="preserve">Redditi, assenteismo, produttività per calibrare le ricadute sociali sul contesto valdostano</w:t>
            </w:r>
          </w:p>
        </w:tc>
      </w:tr>
    </w:tbl>
    <w:p>
      <w:pPr>
        <w:pStyle w:val="BodyText"/>
      </w:pPr>
      <w:r>
        <w:rPr>
          <w:i/>
          <w:iCs/>
        </w:rPr>
        <w:t xml:space="preserve">Tabella C.2. I dati certificati da acquisire per sostituire le stime (lacuna principale dello studio).</w:t>
      </w:r>
    </w:p>
    <w:bookmarkEnd w:id="4121"/>
    <w:bookmarkStart w:id="4122" w:name="appendice-d-checklist-di-reporting-13"/>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 La tabella seguente li riepiloga.</w:t>
      </w:r>
    </w:p>
    <w:tbl>
      <w:tblPr>
        <w:tblStyle w:val="Table"/>
        <w:tblW w:type="pct" w:w="4919"/>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2318"/>
        <w:gridCol w:w="3927"/>
        <w:gridCol w:w="1545"/>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Standard o lista di controllo</w:t>
            </w:r>
          </w:p>
        </w:tc>
        <w:tc>
          <w:tcPr>
            <w:shd w:val="clear" w:color="auto" w:fill="16264B"/>
          </w:tcPr>
          <w:p>
            <w:pPr>
              <w:pStyle w:val="Compact"/>
              <w:spacing w:after="40" w:before="40"/>
              <w:jc w:val="left"/>
            </w:pPr>
            <w:r>
              <w:rPr>
                <w:rFonts w:ascii="Cambria" w:hAnsi="Cambria" w:cs="Cambria" w:eastAsia="Cambria"/>
                <w:b/>
                <w:bCs/>
                <w:color w:val="FFFFFF"/>
                <w:sz w:val="18"/>
              </w:rPr>
              <w:t xml:space="preserve">Oggetto</w:t>
            </w:r>
          </w:p>
        </w:tc>
        <w:tc>
          <w:tcPr>
            <w:shd w:val="clear" w:color="auto" w:fill="16264B"/>
          </w:tcPr>
          <w:p>
            <w:pPr>
              <w:pStyle w:val="Compact"/>
              <w:spacing w:after="40" w:before="40"/>
              <w:jc w:val="left"/>
            </w:pPr>
            <w:r>
              <w:rPr>
                <w:rFonts w:ascii="Cambria" w:hAnsi="Cambria" w:cs="Cambria" w:eastAsia="Cambria"/>
                <w:b/>
                <w:bCs/>
                <w:color w:val="FFFFFF"/>
                <w:sz w:val="18"/>
              </w:rPr>
              <w:t xml:space="preserve">Applicazione</w:t>
            </w:r>
          </w:p>
        </w:tc>
      </w:tr>
      <w:tr>
        <w:tc>
          <w:tcPr/>
          <w:p>
            <w:pPr>
              <w:pStyle w:val="Compact"/>
              <w:spacing w:after="40" w:before="40"/>
              <w:jc w:val="left"/>
            </w:pPr>
            <w:r>
              <w:rPr>
                <w:rFonts w:ascii="Cambria" w:hAnsi="Cambria" w:cs="Cambria" w:eastAsia="Cambria"/>
                <w:b/>
                <w:bCs/>
                <w:color w:val="1A1A1A"/>
                <w:sz w:val="18"/>
              </w:rPr>
              <w:t xml:space="preserve">CHEERS 2022 (28 voci)</w:t>
            </w:r>
          </w:p>
        </w:tc>
        <w:tc>
          <w:tcPr/>
          <w:p>
            <w:pPr>
              <w:pStyle w:val="Compact"/>
              <w:spacing w:after="40" w:before="40"/>
              <w:jc w:val="left"/>
            </w:pPr>
            <w:r>
              <w:rPr>
                <w:rFonts w:ascii="Cambria" w:hAnsi="Cambria" w:cs="Cambria" w:eastAsia="Cambria"/>
                <w:color w:val="1A1A1A"/>
                <w:sz w:val="18"/>
              </w:rPr>
              <w:t xml:space="preserve">Rendicontazione delle valutazioni economiche</w:t>
            </w:r>
          </w:p>
        </w:tc>
        <w:tc>
          <w:tcPr/>
          <w:p>
            <w:pPr>
              <w:pStyle w:val="Compact"/>
              <w:spacing w:after="40" w:before="40"/>
              <w:jc w:val="left"/>
            </w:pPr>
            <w:r>
              <w:rPr>
                <w:rFonts w:ascii="Cambria" w:hAnsi="Cambria" w:cs="Cambria" w:eastAsia="Cambria"/>
                <w:color w:val="1A1A1A"/>
                <w:sz w:val="18"/>
              </w:rPr>
              <w:t xml:space="preserve">Parte 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CHEERS-AI (38 voci)</w:t>
            </w:r>
          </w:p>
        </w:tc>
        <w:tc>
          <w:tcPr>
            <w:shd w:val="clear" w:color="auto" w:fill="F4F1EC"/>
          </w:tcPr>
          <w:p>
            <w:pPr>
              <w:pStyle w:val="Compact"/>
              <w:spacing w:after="40" w:before="40"/>
              <w:jc w:val="left"/>
            </w:pPr>
            <w:r>
              <w:rPr>
                <w:rFonts w:ascii="Cambria" w:hAnsi="Cambria" w:cs="Cambria" w:eastAsia="Cambria"/>
                <w:color w:val="1A1A1A"/>
                <w:sz w:val="18"/>
              </w:rPr>
              <w:t xml:space="preserve">Estensione per gli interventi con intelligenza artificiale</w:t>
            </w:r>
          </w:p>
        </w:tc>
        <w:tc>
          <w:tcPr>
            <w:shd w:val="clear" w:color="auto" w:fill="F4F1EC"/>
          </w:tcPr>
          <w:p>
            <w:pPr>
              <w:pStyle w:val="Compact"/>
              <w:spacing w:after="40" w:before="40"/>
              <w:jc w:val="left"/>
            </w:pPr>
            <w:r>
              <w:rPr>
                <w:rFonts w:ascii="Cambria" w:hAnsi="Cambria" w:cs="Cambria" w:eastAsia="Cambria"/>
                <w:color w:val="1A1A1A"/>
                <w:sz w:val="18"/>
              </w:rPr>
              <w:t xml:space="preserve">Parti C, E</w:t>
            </w:r>
          </w:p>
        </w:tc>
      </w:tr>
      <w:tr>
        <w:tc>
          <w:tcPr/>
          <w:p>
            <w:pPr>
              <w:pStyle w:val="Compact"/>
              <w:spacing w:after="40" w:before="40"/>
              <w:jc w:val="left"/>
            </w:pPr>
            <w:r>
              <w:rPr>
                <w:rFonts w:ascii="Cambria" w:hAnsi="Cambria" w:cs="Cambria" w:eastAsia="Cambria"/>
                <w:b/>
                <w:bCs/>
                <w:color w:val="1A1A1A"/>
                <w:sz w:val="18"/>
              </w:rPr>
              <w:t xml:space="preserve">PRISMA 2020</w:t>
            </w:r>
          </w:p>
        </w:tc>
        <w:tc>
          <w:tcPr/>
          <w:p>
            <w:pPr>
              <w:pStyle w:val="Compact"/>
              <w:spacing w:after="40" w:before="40"/>
              <w:jc w:val="left"/>
            </w:pPr>
            <w:r>
              <w:rPr>
                <w:rFonts w:ascii="Cambria" w:hAnsi="Cambria" w:cs="Cambria" w:eastAsia="Cambria"/>
                <w:color w:val="1A1A1A"/>
                <w:sz w:val="18"/>
              </w:rPr>
              <w:t xml:space="preserve">Conduzione e reporting delle revisioni sistematiche</w:t>
            </w:r>
          </w:p>
        </w:tc>
        <w:tc>
          <w:tcPr/>
          <w:p>
            <w:pPr>
              <w:pStyle w:val="Compact"/>
              <w:spacing w:after="40" w:before="40"/>
              <w:jc w:val="left"/>
            </w:pPr>
            <w:r>
              <w:rPr>
                <w:rFonts w:ascii="Cambria" w:hAnsi="Cambria" w:cs="Cambria" w:eastAsia="Cambria"/>
                <w:color w:val="1A1A1A"/>
                <w:sz w:val="18"/>
              </w:rPr>
              <w:t xml:space="preserve">Parte D</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Sistema GRADE</w:t>
            </w:r>
          </w:p>
        </w:tc>
        <w:tc>
          <w:tcPr>
            <w:shd w:val="clear" w:color="auto" w:fill="F4F1EC"/>
          </w:tcPr>
          <w:p>
            <w:pPr>
              <w:pStyle w:val="Compact"/>
              <w:spacing w:after="40" w:before="40"/>
              <w:jc w:val="left"/>
            </w:pPr>
            <w:r>
              <w:rPr>
                <w:rFonts w:ascii="Cambria" w:hAnsi="Cambria" w:cs="Cambria" w:eastAsia="Cambria"/>
                <w:color w:val="1A1A1A"/>
                <w:sz w:val="18"/>
              </w:rPr>
              <w:t xml:space="preserve">Graduazione della certezza dell’evidenza</w:t>
            </w:r>
          </w:p>
        </w:tc>
        <w:tc>
          <w:tcPr>
            <w:shd w:val="clear" w:color="auto" w:fill="F4F1EC"/>
          </w:tcPr>
          <w:p>
            <w:pPr>
              <w:pStyle w:val="Compact"/>
              <w:spacing w:after="40" w:before="40"/>
              <w:jc w:val="left"/>
            </w:pPr>
            <w:r>
              <w:rPr>
                <w:rFonts w:ascii="Cambria" w:hAnsi="Cambria" w:cs="Cambria" w:eastAsia="Cambria"/>
                <w:color w:val="1A1A1A"/>
                <w:sz w:val="18"/>
              </w:rPr>
              <w:t xml:space="preserve">Parte D</w:t>
            </w:r>
          </w:p>
        </w:tc>
      </w:tr>
      <w:tr>
        <w:tc>
          <w:tcPr/>
          <w:p>
            <w:pPr>
              <w:pStyle w:val="Compact"/>
              <w:spacing w:after="40" w:before="40"/>
              <w:jc w:val="left"/>
            </w:pPr>
            <w:r>
              <w:rPr>
                <w:rFonts w:ascii="Cambria" w:hAnsi="Cambria" w:cs="Cambria" w:eastAsia="Cambria"/>
                <w:b/>
                <w:bCs/>
                <w:color w:val="1A1A1A"/>
                <w:sz w:val="18"/>
              </w:rPr>
              <w:t xml:space="preserve">Lista STROBE</w:t>
            </w:r>
          </w:p>
        </w:tc>
        <w:tc>
          <w:tcPr/>
          <w:p>
            <w:pPr>
              <w:pStyle w:val="Compact"/>
              <w:spacing w:after="40" w:before="40"/>
              <w:jc w:val="left"/>
            </w:pPr>
            <w:r>
              <w:rPr>
                <w:rFonts w:ascii="Cambria" w:hAnsi="Cambria" w:cs="Cambria" w:eastAsia="Cambria"/>
                <w:color w:val="1A1A1A"/>
                <w:sz w:val="18"/>
              </w:rPr>
              <w:t xml:space="preserve">Studi osservazionali sui dati reali</w:t>
            </w:r>
          </w:p>
        </w:tc>
        <w:tc>
          <w:tcPr/>
          <w:p>
            <w:pPr>
              <w:pStyle w:val="Compact"/>
              <w:spacing w:after="40" w:before="40"/>
              <w:jc w:val="left"/>
            </w:pPr>
            <w:r>
              <w:rPr>
                <w:rFonts w:ascii="Cambria" w:hAnsi="Cambria" w:cs="Cambria" w:eastAsia="Cambria"/>
                <w:color w:val="1A1A1A"/>
                <w:sz w:val="18"/>
              </w:rPr>
              <w:t xml:space="preserve">Parti D,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Buone pratiche ISPOR-SMDM</w:t>
            </w:r>
          </w:p>
        </w:tc>
        <w:tc>
          <w:tcPr>
            <w:shd w:val="clear" w:color="auto" w:fill="F4F1EC"/>
          </w:tcPr>
          <w:p>
            <w:pPr>
              <w:pStyle w:val="Compact"/>
              <w:spacing w:after="40" w:before="40"/>
              <w:jc w:val="left"/>
            </w:pPr>
            <w:r>
              <w:rPr>
                <w:rFonts w:ascii="Cambria" w:hAnsi="Cambria" w:cs="Cambria" w:eastAsia="Cambria"/>
                <w:color w:val="1A1A1A"/>
                <w:sz w:val="18"/>
              </w:rPr>
              <w:t xml:space="preserve">Modellazione decisionale</w:t>
            </w:r>
          </w:p>
        </w:tc>
        <w:tc>
          <w:tcPr>
            <w:shd w:val="clear" w:color="auto" w:fill="F4F1EC"/>
          </w:tcPr>
          <w:p>
            <w:pPr>
              <w:pStyle w:val="Compact"/>
              <w:spacing w:after="40" w:before="40"/>
              <w:jc w:val="left"/>
            </w:pPr>
            <w:r>
              <w:rPr>
                <w:rFonts w:ascii="Cambria" w:hAnsi="Cambria" w:cs="Cambria" w:eastAsia="Cambria"/>
                <w:color w:val="1A1A1A"/>
                <w:sz w:val="18"/>
              </w:rPr>
              <w:t xml:space="preserve">Parte F</w:t>
            </w:r>
          </w:p>
        </w:tc>
      </w:tr>
      <w:tr>
        <w:tc>
          <w:tcPr/>
          <w:p>
            <w:pPr>
              <w:pStyle w:val="Compact"/>
              <w:spacing w:after="40" w:before="40"/>
              <w:jc w:val="left"/>
            </w:pPr>
            <w:r>
              <w:rPr>
                <w:rFonts w:ascii="Cambria" w:hAnsi="Cambria" w:cs="Cambria" w:eastAsia="Cambria"/>
                <w:b/>
                <w:bCs/>
                <w:color w:val="1A1A1A"/>
                <w:sz w:val="18"/>
              </w:rPr>
              <w:t xml:space="preserve">Manuale OCSE-JRC</w:t>
            </w:r>
          </w:p>
        </w:tc>
        <w:tc>
          <w:tcPr/>
          <w:p>
            <w:pPr>
              <w:pStyle w:val="Compact"/>
              <w:spacing w:after="40" w:before="40"/>
              <w:jc w:val="left"/>
            </w:pPr>
            <w:r>
              <w:rPr>
                <w:rFonts w:ascii="Cambria" w:hAnsi="Cambria" w:cs="Cambria" w:eastAsia="Cambria"/>
                <w:color w:val="1A1A1A"/>
                <w:sz w:val="18"/>
              </w:rPr>
              <w:t xml:space="preserve">Costruzione degli indicatori compositi</w:t>
            </w:r>
          </w:p>
        </w:tc>
        <w:tc>
          <w:tcPr/>
          <w:p>
            <w:pPr>
              <w:pStyle w:val="Compact"/>
              <w:spacing w:after="40" w:before="40"/>
              <w:jc w:val="left"/>
            </w:pPr>
            <w:r>
              <w:rPr>
                <w:rFonts w:ascii="Cambria" w:hAnsi="Cambria" w:cs="Cambria" w:eastAsia="Cambria"/>
                <w:color w:val="1A1A1A"/>
                <w:sz w:val="18"/>
              </w:rPr>
              <w:t xml:space="preserve">Parte L</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Griglia di giudizio dell’intervento</w:t>
            </w:r>
          </w:p>
        </w:tc>
        <w:tc>
          <w:tcPr>
            <w:shd w:val="clear" w:color="auto" w:fill="F4F1EC"/>
          </w:tcPr>
          <w:p>
            <w:pPr>
              <w:pStyle w:val="Compact"/>
              <w:spacing w:after="40" w:before="40"/>
              <w:jc w:val="left"/>
            </w:pPr>
            <w:r>
              <w:rPr>
                <w:rFonts w:ascii="Cambria" w:hAnsi="Cambria" w:cs="Cambria" w:eastAsia="Cambria"/>
                <w:color w:val="1A1A1A"/>
                <w:sz w:val="18"/>
              </w:rPr>
              <w:t xml:space="preserve">Parte M</w:t>
            </w:r>
          </w:p>
        </w:tc>
      </w:tr>
    </w:tbl>
    <w:p>
      <w:pPr>
        <w:pStyle w:val="BodyText"/>
      </w:pPr>
      <w:r>
        <w:rPr>
          <w:i/>
          <w:iCs/>
        </w:rPr>
        <w:t xml:space="preserve">Tabella D.1. Gli standard di reporting e di qualità adottati nello studio, per parte di applicazione.</w:t>
      </w:r>
    </w:p>
    <w:bookmarkEnd w:id="4122"/>
    <w:bookmarkStart w:id="4123" w:name="appendice-e-glossario-13"/>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 Le definizioni sono comuni al telaio metodologico replicato in tutti gli studi regionali del progetto.</w:t>
      </w:r>
    </w:p>
    <w:tbl>
      <w:tblPr>
        <w:tblStyle w:val="Table"/>
        <w:tblW w:type="pct" w:w="4974"/>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firstRow="1" w:lastRow="0" w:firstColumn="0" w:lastColumn="0" w:noHBand="0" w:noVBand="0" w:val="0020"/>
      </w:tblPr>
      <w:tblGrid>
        <w:gridCol w:w="1107"/>
        <w:gridCol w:w="6770"/>
      </w:tblGrid>
      <w:tr>
        <w:trPr>
          <w:tblHeader w:val="on"/>
        </w:trPr>
        <w:tc>
          <w:tcPr>
            <w:shd w:val="clear" w:color="auto" w:fill="16264B"/>
          </w:tcPr>
          <w:p>
            <w:pPr>
              <w:pStyle w:val="Compact"/>
              <w:spacing w:after="40" w:before="40"/>
              <w:jc w:val="left"/>
            </w:pPr>
            <w:r>
              <w:rPr>
                <w:rFonts w:ascii="Cambria" w:hAnsi="Cambria" w:cs="Cambria" w:eastAsia="Cambria"/>
                <w:b/>
                <w:bCs/>
                <w:color w:val="FFFFFF"/>
                <w:sz w:val="18"/>
              </w:rPr>
              <w:t xml:space="preserve">Termine</w:t>
            </w:r>
          </w:p>
        </w:tc>
        <w:tc>
          <w:tcPr>
            <w:shd w:val="clear" w:color="auto" w:fill="16264B"/>
          </w:tcPr>
          <w:p>
            <w:pPr>
              <w:pStyle w:val="Compact"/>
              <w:spacing w:after="40" w:before="40"/>
              <w:jc w:val="left"/>
            </w:pPr>
            <w:r>
              <w:rPr>
                <w:rFonts w:ascii="Cambria" w:hAnsi="Cambria" w:cs="Cambria" w:eastAsia="Cambria"/>
                <w:b/>
                <w:bCs/>
                <w:color w:val="FFFFFF"/>
                <w:sz w:val="18"/>
              </w:rPr>
              <w:t xml:space="preserve">Definizione</w:t>
            </w:r>
          </w:p>
        </w:tc>
      </w:tr>
      <w:tr>
        <w:tc>
          <w:tcPr/>
          <w:p>
            <w:pPr>
              <w:pStyle w:val="Compact"/>
              <w:spacing w:after="40" w:before="40"/>
              <w:jc w:val="left"/>
            </w:pPr>
            <w:r>
              <w:rPr>
                <w:rFonts w:ascii="Cambria" w:hAnsi="Cambria" w:cs="Cambria" w:eastAsia="Cambria"/>
                <w:b/>
                <w:bCs/>
                <w:color w:val="1A1A1A"/>
                <w:sz w:val="18"/>
              </w:rPr>
              <w:t xml:space="preserve">Valutazione di tecnologia sanitaria (HTA)</w:t>
            </w:r>
          </w:p>
        </w:tc>
        <w:tc>
          <w:tcPr/>
          <w:p>
            <w:pPr>
              <w:pStyle w:val="Compact"/>
              <w:spacing w:after="40" w:before="40"/>
              <w:jc w:val="left"/>
            </w:pPr>
            <w:r>
              <w:rPr>
                <w:rFonts w:ascii="Cambria" w:hAnsi="Cambria" w:cs="Cambria" w:eastAsia="Cambria"/>
                <w:color w:val="1A1A1A"/>
                <w:sz w:val="18"/>
              </w:rPr>
              <w:t xml:space="preserve">Valutazione multidimensionale di un intervento sanitario, articolata in nove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Five Case Model</w:t>
            </w:r>
          </w:p>
        </w:tc>
        <w:tc>
          <w:tcPr>
            <w:shd w:val="clear" w:color="auto" w:fill="F4F1EC"/>
          </w:tcPr>
          <w:p>
            <w:pPr>
              <w:pStyle w:val="Compact"/>
              <w:spacing w:after="40" w:before="40"/>
              <w:jc w:val="left"/>
            </w:pPr>
            <w:r>
              <w:rPr>
                <w:rFonts w:ascii="Cambria" w:hAnsi="Cambria" w:cs="Cambria" w:eastAsia="Cambria"/>
                <w:color w:val="1A1A1A"/>
                <w:sz w:val="18"/>
              </w:rPr>
              <w:t xml:space="preserve">Standard del business case pubblico in cinque casi: strategico, economico, commerciale, finanziario, gestionale</w:t>
            </w:r>
          </w:p>
        </w:tc>
      </w:tr>
      <w:tr>
        <w:tc>
          <w:tcPr/>
          <w:p>
            <w:pPr>
              <w:pStyle w:val="Compact"/>
              <w:spacing w:after="40" w:before="40"/>
              <w:jc w:val="left"/>
            </w:pPr>
            <w:r>
              <w:rPr>
                <w:rFonts w:ascii="Cambria" w:hAnsi="Cambria" w:cs="Cambria" w:eastAsia="Cambria"/>
                <w:b/>
                <w:bCs/>
                <w:color w:val="1A1A1A"/>
                <w:sz w:val="18"/>
              </w:rPr>
              <w:t xml:space="preserve">CHEERS 2022</w:t>
            </w:r>
          </w:p>
        </w:tc>
        <w:tc>
          <w:tcPr/>
          <w:p>
            <w:pPr>
              <w:pStyle w:val="Compact"/>
              <w:spacing w:after="40" w:before="40"/>
              <w:jc w:val="left"/>
            </w:pPr>
            <w:r>
              <w:rPr>
                <w:rFonts w:ascii="Cambria" w:hAnsi="Cambria" w:cs="Cambria" w:eastAsia="Cambria"/>
                <w:color w:val="1A1A1A"/>
                <w:sz w:val="18"/>
              </w:rPr>
              <w:t xml:space="preserve">Lista di controllo di 28 voci per la rendicontazione delle valutazioni economiche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Criteri OCSE-DAC</w:t>
            </w:r>
          </w:p>
        </w:tc>
        <w:tc>
          <w:tcPr>
            <w:shd w:val="clear" w:color="auto" w:fill="F4F1EC"/>
          </w:tcPr>
          <w:p>
            <w:pPr>
              <w:pStyle w:val="Compact"/>
              <w:spacing w:after="40" w:before="40"/>
              <w:jc w:val="left"/>
            </w:pPr>
            <w:r>
              <w:rPr>
                <w:rFonts w:ascii="Cambria" w:hAnsi="Cambria" w:cs="Cambria" w:eastAsia="Cambria"/>
                <w:color w:val="1A1A1A"/>
                <w:sz w:val="18"/>
              </w:rPr>
              <w:t xml:space="preserve">Sei criteri di giudizio: rilevanza, coerenza, efficacia, efficienza, impatto, sostenibilità</w:t>
            </w:r>
          </w:p>
        </w:tc>
      </w:tr>
      <w:tr>
        <w:tc>
          <w:tcPr/>
          <w:p>
            <w:pPr>
              <w:pStyle w:val="Compact"/>
              <w:spacing w:after="40" w:before="40"/>
              <w:jc w:val="left"/>
            </w:pPr>
            <w:r>
              <w:rPr>
                <w:rFonts w:ascii="Cambria" w:hAnsi="Cambria" w:cs="Cambria" w:eastAsia="Cambria"/>
                <w:b/>
                <w:bCs/>
                <w:color w:val="1A1A1A"/>
                <w:sz w:val="18"/>
              </w:rPr>
              <w:t xml:space="preserve">Anno di vita ponderato per la qualità (QALY)</w:t>
            </w:r>
          </w:p>
        </w:tc>
        <w:tc>
          <w:tcPr/>
          <w:p>
            <w:pPr>
              <w:pStyle w:val="Compact"/>
              <w:spacing w:after="40" w:before="40"/>
              <w:jc w:val="left"/>
            </w:pPr>
            <w:r>
              <w:rPr>
                <w:rFonts w:ascii="Cambria" w:hAnsi="Cambria" w:cs="Cambria" w:eastAsia="Cambria"/>
                <w:color w:val="1A1A1A"/>
                <w:sz w:val="18"/>
              </w:rPr>
              <w:t xml:space="preserve">Misura che integra durata e qualità della vita guadagnate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costo-utilità</w:t>
            </w:r>
          </w:p>
        </w:tc>
        <w:tc>
          <w:tcPr>
            <w:shd w:val="clear" w:color="auto" w:fill="F4F1EC"/>
          </w:tcPr>
          <w:p>
            <w:pPr>
              <w:pStyle w:val="Compact"/>
              <w:spacing w:after="40" w:before="40"/>
              <w:jc w:val="left"/>
            </w:pPr>
            <w:r>
              <w:rPr>
                <w:rFonts w:ascii="Cambria" w:hAnsi="Cambria" w:cs="Cambria" w:eastAsia="Cambria"/>
                <w:color w:val="1A1A1A"/>
                <w:sz w:val="18"/>
              </w:rPr>
              <w:t xml:space="preserve">Valutazione economica che misura gli esiti in anni di vita ponderati per la qualità</w:t>
            </w:r>
          </w:p>
        </w:tc>
      </w:tr>
      <w:tr>
        <w:tc>
          <w:tcPr/>
          <w:p>
            <w:pPr>
              <w:pStyle w:val="Compact"/>
              <w:spacing w:after="40" w:before="40"/>
              <w:jc w:val="left"/>
            </w:pPr>
            <w:r>
              <w:rPr>
                <w:rFonts w:ascii="Cambria" w:hAnsi="Cambria" w:cs="Cambria" w:eastAsia="Cambria"/>
                <w:b/>
                <w:bCs/>
                <w:color w:val="1A1A1A"/>
                <w:sz w:val="18"/>
              </w:rPr>
              <w:t xml:space="preserve">Analisi di impatto sul bilancio</w:t>
            </w:r>
          </w:p>
        </w:tc>
        <w:tc>
          <w:tcPr/>
          <w:p>
            <w:pPr>
              <w:pStyle w:val="Compact"/>
              <w:spacing w:after="40" w:before="40"/>
              <w:jc w:val="left"/>
            </w:pPr>
            <w:r>
              <w:rPr>
                <w:rFonts w:ascii="Cambria" w:hAnsi="Cambria" w:cs="Cambria" w:eastAsia="Cambria"/>
                <w:color w:val="1A1A1A"/>
                <w:sz w:val="18"/>
              </w:rPr>
              <w:t xml:space="preserve">Stima dell’effetto finanziario sul bilancio del detentore del budget, su flussi non scontati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Ritorno sociale sull’investimento (SROI)</w:t>
            </w:r>
          </w:p>
        </w:tc>
        <w:tc>
          <w:tcPr>
            <w:shd w:val="clear" w:color="auto" w:fill="F4F1EC"/>
          </w:tcPr>
          <w:p>
            <w:pPr>
              <w:pStyle w:val="Compact"/>
              <w:spacing w:after="40" w:before="40"/>
              <w:jc w:val="left"/>
            </w:pPr>
            <w:r>
              <w:rPr>
                <w:rFonts w:ascii="Cambria" w:hAnsi="Cambria" w:cs="Cambria" w:eastAsia="Cambria"/>
                <w:color w:val="1A1A1A"/>
                <w:sz w:val="18"/>
              </w:rPr>
              <w:t xml:space="preserve">Metodo che monetizza il valore sociale generato, distinto dai risparmi di bilancio</w:t>
            </w:r>
          </w:p>
        </w:tc>
      </w:tr>
      <w:tr>
        <w:tc>
          <w:tcPr/>
          <w:p>
            <w:pPr>
              <w:pStyle w:val="Compact"/>
              <w:spacing w:after="40" w:before="40"/>
              <w:jc w:val="left"/>
            </w:pPr>
            <w:r>
              <w:rPr>
                <w:rFonts w:ascii="Cambria" w:hAnsi="Cambria" w:cs="Cambria" w:eastAsia="Cambria"/>
                <w:b/>
                <w:bCs/>
                <w:color w:val="1A1A1A"/>
                <w:sz w:val="18"/>
              </w:rPr>
              <w:t xml:space="preserve">Analisi costo-efficacia distributiva (DCEA)</w:t>
            </w:r>
          </w:p>
        </w:tc>
        <w:tc>
          <w:tcPr/>
          <w:p>
            <w:pPr>
              <w:pStyle w:val="Compact"/>
              <w:spacing w:after="40" w:before="40"/>
              <w:jc w:val="left"/>
            </w:pPr>
            <w:r>
              <w:rPr>
                <w:rFonts w:ascii="Cambria" w:hAnsi="Cambria" w:cs="Cambria" w:eastAsia="Cambria"/>
                <w:color w:val="1A1A1A"/>
                <w:sz w:val="18"/>
              </w:rPr>
              <w:t xml:space="preserve">Estende la valutazione economica alla distribuzione degli effetti tra gruppi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di sensibilità probabilistica</w:t>
            </w:r>
          </w:p>
        </w:tc>
        <w:tc>
          <w:tcPr>
            <w:shd w:val="clear" w:color="auto" w:fill="F4F1EC"/>
          </w:tcPr>
          <w:p>
            <w:pPr>
              <w:pStyle w:val="Compact"/>
              <w:spacing w:after="40" w:before="40"/>
              <w:jc w:val="left"/>
            </w:pPr>
            <w:r>
              <w:rPr>
                <w:rFonts w:ascii="Cambria" w:hAnsi="Cambria" w:cs="Cambria" w:eastAsia="Cambria"/>
                <w:color w:val="1A1A1A"/>
                <w:sz w:val="18"/>
              </w:rPr>
              <w:t xml:space="preserve">Propaga l’incertezza dei parametri mediante simulazioni Monte Carlo</w:t>
            </w:r>
          </w:p>
        </w:tc>
      </w:tr>
      <w:tr>
        <w:tc>
          <w:tcPr/>
          <w:p>
            <w:pPr>
              <w:pStyle w:val="Compact"/>
              <w:spacing w:after="40" w:before="40"/>
              <w:jc w:val="left"/>
            </w:pPr>
            <w:r>
              <w:rPr>
                <w:rFonts w:ascii="Cambria" w:hAnsi="Cambria" w:cs="Cambria" w:eastAsia="Cambria"/>
                <w:b/>
                <w:bCs/>
                <w:color w:val="1A1A1A"/>
                <w:sz w:val="18"/>
              </w:rPr>
              <w:t xml:space="preserve">Valore dell’informazione (EVPI, EVPPI)</w:t>
            </w:r>
          </w:p>
        </w:tc>
        <w:tc>
          <w:tcPr/>
          <w:p>
            <w:pPr>
              <w:pStyle w:val="Compact"/>
              <w:spacing w:after="40" w:before="40"/>
              <w:jc w:val="left"/>
            </w:pPr>
            <w:r>
              <w:rPr>
                <w:rFonts w:ascii="Cambria" w:hAnsi="Cambria" w:cs="Cambria" w:eastAsia="Cambria"/>
                <w:color w:val="1A1A1A"/>
                <w:sz w:val="18"/>
              </w:rPr>
              <w:t xml:space="preserve">Beneficio atteso dalla riduzione dell’incertezza, complessiva e sui parametri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Markov</w:t>
            </w:r>
          </w:p>
        </w:tc>
        <w:tc>
          <w:tcPr>
            <w:shd w:val="clear" w:color="auto" w:fill="F4F1EC"/>
          </w:tcPr>
          <w:p>
            <w:pPr>
              <w:pStyle w:val="Compact"/>
              <w:spacing w:after="40" w:before="40"/>
              <w:jc w:val="left"/>
            </w:pPr>
            <w:r>
              <w:rPr>
                <w:rFonts w:ascii="Cambria" w:hAnsi="Cambria" w:cs="Cambria" w:eastAsia="Cambria"/>
                <w:color w:val="1A1A1A"/>
                <w:sz w:val="18"/>
              </w:rPr>
              <w:t xml:space="preserve">Modello che rappresenta il decorso di una condizione attraverso stati di salute e transizioni</w:t>
            </w:r>
          </w:p>
        </w:tc>
      </w:tr>
      <w:tr>
        <w:tc>
          <w:tcPr/>
          <w:p>
            <w:pPr>
              <w:pStyle w:val="Compact"/>
              <w:spacing w:after="40" w:before="40"/>
              <w:jc w:val="left"/>
            </w:pPr>
            <w:r>
              <w:rPr>
                <w:rFonts w:ascii="Cambria" w:hAnsi="Cambria" w:cs="Cambria" w:eastAsia="Cambria"/>
                <w:b/>
                <w:bCs/>
                <w:color w:val="1A1A1A"/>
                <w:sz w:val="18"/>
              </w:rPr>
              <w:t xml:space="preserve">Differenza-nelle-differenze</w:t>
            </w:r>
          </w:p>
        </w:tc>
        <w:tc>
          <w:tcPr/>
          <w:p>
            <w:pPr>
              <w:pStyle w:val="Compact"/>
              <w:spacing w:after="40" w:before="40"/>
              <w:jc w:val="left"/>
            </w:pPr>
            <w:r>
              <w:rPr>
                <w:rFonts w:ascii="Cambria" w:hAnsi="Cambria" w:cs="Cambria" w:eastAsia="Cambria"/>
                <w:color w:val="1A1A1A"/>
                <w:sz w:val="18"/>
              </w:rPr>
              <w:t xml:space="preserve">Metodo controfattuale che confronta la variazione nel tempo dell’esito tra gruppi a diversa esposizione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Controllo sintetico</w:t>
            </w:r>
          </w:p>
        </w:tc>
        <w:tc>
          <w:tcPr>
            <w:shd w:val="clear" w:color="auto" w:fill="F4F1EC"/>
          </w:tcPr>
          <w:p>
            <w:pPr>
              <w:pStyle w:val="Compact"/>
              <w:spacing w:after="40" w:before="40"/>
              <w:jc w:val="left"/>
            </w:pPr>
            <w:r>
              <w:rPr>
                <w:rFonts w:ascii="Cambria" w:hAnsi="Cambria" w:cs="Cambria" w:eastAsia="Cambria"/>
                <w:color w:val="1A1A1A"/>
                <w:sz w:val="18"/>
              </w:rPr>
              <w:t xml:space="preserve">Metodo che costruisce un’unità di confronto come combinazione ponderata di unità a minore esposizione</w:t>
            </w:r>
          </w:p>
        </w:tc>
      </w:tr>
      <w:tr>
        <w:tc>
          <w:tcPr/>
          <w:p>
            <w:pPr>
              <w:pStyle w:val="Compact"/>
              <w:spacing w:after="40" w:before="40"/>
              <w:jc w:val="left"/>
            </w:pPr>
            <w:r>
              <w:rPr>
                <w:rFonts w:ascii="Cambria" w:hAnsi="Cambria" w:cs="Cambria" w:eastAsia="Cambria"/>
                <w:b/>
                <w:bCs/>
                <w:color w:val="1A1A1A"/>
                <w:sz w:val="18"/>
              </w:rPr>
              <w:t xml:space="preserve">Disegno a cunei progressivi (stepped-wedge)</w:t>
            </w:r>
          </w:p>
        </w:tc>
        <w:tc>
          <w:tcPr/>
          <w:p>
            <w:pPr>
              <w:pStyle w:val="Compact"/>
              <w:spacing w:after="40" w:before="40"/>
              <w:jc w:val="left"/>
            </w:pPr>
            <w:r>
              <w:rPr>
                <w:rFonts w:ascii="Cambria" w:hAnsi="Cambria" w:cs="Cambria" w:eastAsia="Cambria"/>
                <w:color w:val="1A1A1A"/>
                <w:sz w:val="18"/>
              </w:rPr>
              <w:t xml:space="preserve">Disegno controfattuale in cui l’intervento è attivato in momenti diversi in unità diverse, consentendo la stima dell’effetto causale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Analisi e verifica d’impatto della regolazione</w:t>
            </w:r>
          </w:p>
        </w:tc>
        <w:tc>
          <w:tcPr>
            <w:shd w:val="clear" w:color="auto" w:fill="F4F1EC"/>
          </w:tcPr>
          <w:p>
            <w:pPr>
              <w:pStyle w:val="Compact"/>
              <w:spacing w:after="40" w:before="40"/>
              <w:jc w:val="left"/>
            </w:pPr>
            <w:r>
              <w:rPr>
                <w:rFonts w:ascii="Cambria" w:hAnsi="Cambria" w:cs="Cambria" w:eastAsia="Cambria"/>
                <w:color w:val="1A1A1A"/>
                <w:sz w:val="18"/>
              </w:rPr>
              <w:t xml:space="preserve">Valutazione ex ante (AIR) ed ex post (VIR) degli effetti di una norma</w:t>
            </w:r>
          </w:p>
        </w:tc>
      </w:tr>
      <w:tr>
        <w:tc>
          <w:tcPr/>
          <w:p>
            <w:pPr>
              <w:pStyle w:val="Compact"/>
              <w:spacing w:after="40" w:before="40"/>
              <w:jc w:val="left"/>
            </w:pPr>
            <w:r>
              <w:rPr>
                <w:rFonts w:ascii="Cambria" w:hAnsi="Cambria" w:cs="Cambria" w:eastAsia="Cambria"/>
                <w:b/>
                <w:bCs/>
                <w:color w:val="1A1A1A"/>
                <w:sz w:val="18"/>
              </w:rPr>
              <w:t xml:space="preserve">Clausola valutativa</w:t>
            </w:r>
          </w:p>
        </w:tc>
        <w:tc>
          <w:tcPr/>
          <w:p>
            <w:pPr>
              <w:pStyle w:val="Compact"/>
              <w:spacing w:after="40" w:before="40"/>
              <w:jc w:val="left"/>
            </w:pPr>
            <w:r>
              <w:rPr>
                <w:rFonts w:ascii="Cambria" w:hAnsi="Cambria" w:cs="Cambria" w:eastAsia="Cambria"/>
                <w:color w:val="1A1A1A"/>
                <w:sz w:val="18"/>
              </w:rPr>
              <w:t xml:space="preserve">Strumento che impegna la Giunta regionale a riferire periodicamente al Consiglio sui risultati del servizio; in Valle d’Aosta va corredata all’atto istitutivo ex novo e alimentata dal dataset minimo dall’avvio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RE-AIM</w:t>
            </w:r>
          </w:p>
        </w:tc>
        <w:tc>
          <w:tcPr>
            <w:shd w:val="clear" w:color="auto" w:fill="F4F1EC"/>
          </w:tcPr>
          <w:p>
            <w:pPr>
              <w:pStyle w:val="Compact"/>
              <w:spacing w:after="40" w:before="40"/>
              <w:jc w:val="left"/>
            </w:pPr>
            <w:r>
              <w:rPr>
                <w:rFonts w:ascii="Cambria" w:hAnsi="Cambria" w:cs="Cambria" w:eastAsia="Cambria"/>
                <w:color w:val="1A1A1A"/>
                <w:sz w:val="18"/>
              </w:rPr>
              <w:t xml:space="preserve">Quadro che misura portata, efficacia, adozione, implementazione e mantenimento di un intervento</w:t>
            </w:r>
          </w:p>
        </w:tc>
      </w:tr>
      <w:tr>
        <w:tc>
          <w:tcPr/>
          <w:p>
            <w:pPr>
              <w:pStyle w:val="Compact"/>
              <w:spacing w:after="40" w:before="40"/>
              <w:jc w:val="left"/>
            </w:pPr>
            <w:r>
              <w:rPr>
                <w:rFonts w:ascii="Cambria" w:hAnsi="Cambria" w:cs="Cambria" w:eastAsia="Cambria"/>
                <w:b/>
                <w:bCs/>
                <w:color w:val="1A1A1A"/>
                <w:sz w:val="18"/>
              </w:rPr>
              <w:t xml:space="preserve">CFIR</w:t>
            </w:r>
          </w:p>
        </w:tc>
        <w:tc>
          <w:tcPr/>
          <w:p>
            <w:pPr>
              <w:pStyle w:val="Compact"/>
              <w:spacing w:after="40" w:before="40"/>
              <w:jc w:val="left"/>
            </w:pPr>
            <w:r>
              <w:rPr>
                <w:rFonts w:ascii="Cambria" w:hAnsi="Cambria" w:cs="Cambria" w:eastAsia="Cambria"/>
                <w:color w:val="1A1A1A"/>
                <w:sz w:val="18"/>
              </w:rPr>
              <w:t xml:space="preserve">Quadro che spiega i determinanti dell’implementazione, in cinque domini</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Modello di Donabedian</w:t>
            </w:r>
          </w:p>
        </w:tc>
        <w:tc>
          <w:tcPr>
            <w:shd w:val="clear" w:color="auto" w:fill="F4F1EC"/>
          </w:tcPr>
          <w:p>
            <w:pPr>
              <w:pStyle w:val="Compact"/>
              <w:spacing w:after="40" w:before="40"/>
              <w:jc w:val="left"/>
            </w:pPr>
            <w:r>
              <w:rPr>
                <w:rFonts w:ascii="Cambria" w:hAnsi="Cambria" w:cs="Cambria" w:eastAsia="Cambria"/>
                <w:color w:val="1A1A1A"/>
                <w:sz w:val="18"/>
              </w:rPr>
              <w:t xml:space="preserve">Classifica gli indicatori di qualità in struttura, processo ed esito, qui integrati dall’impatto</w:t>
            </w:r>
          </w:p>
        </w:tc>
      </w:tr>
      <w:tr>
        <w:tc>
          <w:tcPr/>
          <w:p>
            <w:pPr>
              <w:pStyle w:val="Compact"/>
              <w:spacing w:after="40" w:before="40"/>
              <w:jc w:val="left"/>
            </w:pPr>
            <w:r>
              <w:rPr>
                <w:rFonts w:ascii="Cambria" w:hAnsi="Cambria" w:cs="Cambria" w:eastAsia="Cambria"/>
                <w:b/>
                <w:bCs/>
                <w:color w:val="1A1A1A"/>
                <w:sz w:val="18"/>
              </w:rPr>
              <w:t xml:space="preserve">PHQ-9</w:t>
            </w:r>
          </w:p>
        </w:tc>
        <w:tc>
          <w:tcPr/>
          <w:p>
            <w:pPr>
              <w:pStyle w:val="Compact"/>
              <w:spacing w:after="40" w:before="40"/>
              <w:jc w:val="left"/>
            </w:pPr>
            <w:r>
              <w:rPr>
                <w:rFonts w:ascii="Cambria" w:hAnsi="Cambria" w:cs="Cambria" w:eastAsia="Cambria"/>
                <w:color w:val="1A1A1A"/>
                <w:sz w:val="18"/>
              </w:rPr>
              <w:t xml:space="preserve">Questionario validato per i sintomi depressivi (punteggio 0–27)</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GAD-7</w:t>
            </w:r>
          </w:p>
        </w:tc>
        <w:tc>
          <w:tcPr>
            <w:shd w:val="clear" w:color="auto" w:fill="F4F1EC"/>
          </w:tcPr>
          <w:p>
            <w:pPr>
              <w:pStyle w:val="Compact"/>
              <w:spacing w:after="40" w:before="40"/>
              <w:jc w:val="left"/>
            </w:pPr>
            <w:r>
              <w:rPr>
                <w:rFonts w:ascii="Cambria" w:hAnsi="Cambria" w:cs="Cambria" w:eastAsia="Cambria"/>
                <w:color w:val="1A1A1A"/>
                <w:sz w:val="18"/>
              </w:rPr>
              <w:t xml:space="preserve">Questionario validato per i sintomi d’ansia (punteggio 0–21)</w:t>
            </w:r>
          </w:p>
        </w:tc>
      </w:tr>
      <w:tr>
        <w:tc>
          <w:tcPr/>
          <w:p>
            <w:pPr>
              <w:pStyle w:val="Compact"/>
              <w:spacing w:after="40" w:before="40"/>
              <w:jc w:val="left"/>
            </w:pPr>
            <w:r>
              <w:rPr>
                <w:rFonts w:ascii="Cambria" w:hAnsi="Cambria" w:cs="Cambria" w:eastAsia="Cambria"/>
                <w:b/>
                <w:bCs/>
                <w:color w:val="1A1A1A"/>
                <w:sz w:val="18"/>
              </w:rPr>
              <w:t xml:space="preserve">Tasso di recupero</w:t>
            </w:r>
          </w:p>
        </w:tc>
        <w:tc>
          <w:tcPr/>
          <w:p>
            <w:pPr>
              <w:pStyle w:val="Compact"/>
              <w:spacing w:after="40" w:before="40"/>
              <w:jc w:val="left"/>
            </w:pPr>
            <w:r>
              <w:rPr>
                <w:rFonts w:ascii="Cambria" w:hAnsi="Cambria" w:cs="Cambria" w:eastAsia="Cambria"/>
                <w:color w:val="1A1A1A"/>
                <w:sz w:val="18"/>
              </w:rPr>
              <w:t xml:space="preserve">Quota di pazienti che scende sotto la soglia clinica al termine del percorso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Miglioramento affidabile</w:t>
            </w:r>
          </w:p>
        </w:tc>
        <w:tc>
          <w:tcPr>
            <w:shd w:val="clear" w:color="auto" w:fill="F4F1EC"/>
          </w:tcPr>
          <w:p>
            <w:pPr>
              <w:pStyle w:val="Compact"/>
              <w:spacing w:after="40" w:before="40"/>
              <w:jc w:val="left"/>
            </w:pPr>
            <w:r>
              <w:rPr>
                <w:rFonts w:ascii="Cambria" w:hAnsi="Cambria" w:cs="Cambria" w:eastAsia="Cambria"/>
                <w:color w:val="1A1A1A"/>
                <w:sz w:val="18"/>
              </w:rPr>
              <w:t xml:space="preserve">Riduzione del punteggio superiore alla variabilità di misura</w:t>
            </w:r>
          </w:p>
        </w:tc>
      </w:tr>
      <w:tr>
        <w:tc>
          <w:tcPr/>
          <w:p>
            <w:pPr>
              <w:pStyle w:val="Compact"/>
              <w:spacing w:after="40" w:before="40"/>
              <w:jc w:val="left"/>
            </w:pPr>
            <w:r>
              <w:rPr>
                <w:rFonts w:ascii="Cambria" w:hAnsi="Cambria" w:cs="Cambria" w:eastAsia="Cambria"/>
                <w:b/>
                <w:bCs/>
                <w:color w:val="1A1A1A"/>
                <w:sz w:val="18"/>
              </w:rPr>
              <w:t xml:space="preserve">Cura collaborativa</w:t>
            </w:r>
          </w:p>
        </w:tc>
        <w:tc>
          <w:tcPr/>
          <w:p>
            <w:pPr>
              <w:pStyle w:val="Compact"/>
              <w:spacing w:after="40" w:before="40"/>
              <w:jc w:val="left"/>
            </w:pPr>
            <w:r>
              <w:rPr>
                <w:rFonts w:ascii="Cambria" w:hAnsi="Cambria" w:cs="Cambria" w:eastAsia="Cambria"/>
                <w:color w:val="1A1A1A"/>
                <w:sz w:val="18"/>
              </w:rPr>
              <w:t xml:space="preserve">Modello di integrazione della salute mentale nelle cure primarie con équipe e monitoraggio</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Cura a intensità crescente</w:t>
            </w:r>
          </w:p>
        </w:tc>
        <w:tc>
          <w:tcPr>
            <w:shd w:val="clear" w:color="auto" w:fill="F4F1EC"/>
          </w:tcPr>
          <w:p>
            <w:pPr>
              <w:pStyle w:val="Compact"/>
              <w:spacing w:after="40" w:before="40"/>
              <w:jc w:val="left"/>
            </w:pPr>
            <w:r>
              <w:rPr>
                <w:rFonts w:ascii="Cambria" w:hAnsi="Cambria" w:cs="Cambria" w:eastAsia="Cambria"/>
                <w:color w:val="1A1A1A"/>
                <w:sz w:val="18"/>
              </w:rPr>
              <w:t xml:space="preserve">Percorso che gradua l’intensità dell’intervento alla gravità del quadro</w:t>
            </w:r>
          </w:p>
        </w:tc>
      </w:tr>
      <w:tr>
        <w:tc>
          <w:tcPr/>
          <w:p>
            <w:pPr>
              <w:pStyle w:val="Compact"/>
              <w:spacing w:after="40" w:before="40"/>
              <w:jc w:val="left"/>
            </w:pPr>
            <w:r>
              <w:rPr>
                <w:rFonts w:ascii="Cambria" w:hAnsi="Cambria" w:cs="Cambria" w:eastAsia="Cambria"/>
                <w:b/>
                <w:bCs/>
                <w:color w:val="1A1A1A"/>
                <w:sz w:val="18"/>
              </w:rPr>
              <w:t xml:space="preserve">Livelli essenziali di assistenza (LEA)</w:t>
            </w:r>
          </w:p>
        </w:tc>
        <w:tc>
          <w:tcPr/>
          <w:p>
            <w:pPr>
              <w:pStyle w:val="Compact"/>
              <w:spacing w:after="40" w:before="40"/>
              <w:jc w:val="left"/>
            </w:pPr>
            <w:r>
              <w:rPr>
                <w:rFonts w:ascii="Cambria" w:hAnsi="Cambria" w:cs="Cambria" w:eastAsia="Cambria"/>
                <w:color w:val="1A1A1A"/>
                <w:sz w:val="18"/>
              </w:rPr>
              <w:t xml:space="preserve">Prestazioni garantite uniformemente dal Servizio sanitario; competenza esclusiva statale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Mobilità sanitaria</w:t>
            </w:r>
          </w:p>
        </w:tc>
        <w:tc>
          <w:tcPr>
            <w:shd w:val="clear" w:color="auto" w:fill="F4F1EC"/>
          </w:tcPr>
          <w:p>
            <w:pPr>
              <w:pStyle w:val="Compact"/>
              <w:spacing w:after="40" w:before="40"/>
              <w:jc w:val="left"/>
            </w:pPr>
            <w:r>
              <w:rPr>
                <w:rFonts w:ascii="Cambria" w:hAnsi="Cambria" w:cs="Cambria" w:eastAsia="Cambria"/>
                <w:color w:val="1A1A1A"/>
                <w:sz w:val="18"/>
              </w:rPr>
              <w:t xml:space="preserve">Spesa per prestazioni rese ai residenti da strutture di altre regioni; in Valle d’Aosta il saldo è lievemente negativo (−10,9 mln nel 2024) e di entità modesta, non strutturalmente problematico</w:t>
            </w:r>
          </w:p>
        </w:tc>
      </w:tr>
      <w:tr>
        <w:tc>
          <w:tcPr/>
          <w:p>
            <w:pPr>
              <w:pStyle w:val="Compact"/>
              <w:spacing w:after="40" w:before="40"/>
              <w:jc w:val="left"/>
            </w:pPr>
            <w:r>
              <w:rPr>
                <w:rFonts w:ascii="Cambria" w:hAnsi="Cambria" w:cs="Cambria" w:eastAsia="Cambria"/>
                <w:b/>
                <w:bCs/>
                <w:color w:val="1A1A1A"/>
                <w:sz w:val="18"/>
              </w:rPr>
              <w:t xml:space="preserve">Indice di vecchiaia</w:t>
            </w:r>
          </w:p>
        </w:tc>
        <w:tc>
          <w:tcPr/>
          <w:p>
            <w:pPr>
              <w:pStyle w:val="Compact"/>
              <w:spacing w:after="40" w:before="40"/>
              <w:jc w:val="left"/>
            </w:pPr>
            <w:r>
              <w:rPr>
                <w:rFonts w:ascii="Cambria" w:hAnsi="Cambria" w:cs="Cambria" w:eastAsia="Cambria"/>
                <w:color w:val="1A1A1A"/>
                <w:sz w:val="18"/>
              </w:rPr>
              <w:t xml:space="preserve">Rapporto tra ultrasessantacinquenni e giovani sotto i quindici anni; in Valle d’Aosta è pari a 215,1 nel 2023, fra i più alti d’Italia, proiettato a crescere per effetto dell’invecchiamento accelerato della popolazione</w:t>
            </w:r>
          </w:p>
        </w:tc>
      </w:tr>
      <w:tr>
        <w:tc>
          <w:tcPr>
            <w:shd w:val="clear" w:color="auto" w:fill="F4F1EC"/>
          </w:tcPr>
          <w:p>
            <w:pPr>
              <w:pStyle w:val="Compact"/>
              <w:spacing w:after="40" w:before="40"/>
              <w:jc w:val="left"/>
            </w:pPr>
            <w:r>
              <w:rPr>
                <w:rFonts w:ascii="Cambria" w:hAnsi="Cambria" w:cs="Cambria" w:eastAsia="Cambria"/>
                <w:b/>
                <w:bCs/>
                <w:color w:val="1A1A1A"/>
                <w:sz w:val="18"/>
              </w:rPr>
              <w:t xml:space="preserve">Statuto speciale e autonomia finanziaria</w:t>
            </w:r>
          </w:p>
        </w:tc>
        <w:tc>
          <w:tcPr>
            <w:shd w:val="clear" w:color="auto" w:fill="F4F1EC"/>
          </w:tcPr>
          <w:p>
            <w:pPr>
              <w:pStyle w:val="Compact"/>
              <w:spacing w:after="40" w:before="40"/>
              <w:jc w:val="left"/>
            </w:pPr>
            <w:r>
              <w:rPr>
                <w:rFonts w:ascii="Cambria" w:hAnsi="Cambria" w:cs="Cambria" w:eastAsia="Cambria"/>
                <w:color w:val="1A1A1A"/>
                <w:sz w:val="18"/>
              </w:rPr>
              <w:t xml:space="preserve">La Valle d’Aosta trattiene sul proprio territorio la quota determinata dallo statuto speciale del gettito tributario (analoga ai nove decimi delle Province autonome), finanziando integralmente la sanità senza apporto a carico dello Stato; la Regione opera in regime di bilinguismo costituzionale italiano-francese</w:t>
            </w:r>
          </w:p>
        </w:tc>
      </w:tr>
      <w:tr>
        <w:tc>
          <w:tcPr/>
          <w:p>
            <w:pPr>
              <w:pStyle w:val="Compact"/>
              <w:spacing w:after="40" w:before="40"/>
              <w:jc w:val="left"/>
            </w:pPr>
            <w:r>
              <w:rPr>
                <w:rFonts w:ascii="Cambria" w:hAnsi="Cambria" w:cs="Cambria" w:eastAsia="Cambria"/>
                <w:b/>
                <w:bCs/>
                <w:color w:val="1A1A1A"/>
                <w:sz w:val="18"/>
              </w:rPr>
              <w:t xml:space="preserve">Sintomi somatici funzionali</w:t>
            </w:r>
          </w:p>
        </w:tc>
        <w:tc>
          <w:tcPr/>
          <w:p>
            <w:pPr>
              <w:pStyle w:val="Compact"/>
              <w:spacing w:after="40" w:before="40"/>
              <w:jc w:val="left"/>
            </w:pPr>
            <w:r>
              <w:rPr>
                <w:rFonts w:ascii="Cambria" w:hAnsi="Cambria" w:cs="Cambria" w:eastAsia="Cambria"/>
                <w:color w:val="1A1A1A"/>
                <w:sz w:val="18"/>
              </w:rPr>
              <w:t xml:space="preserve">Sintomi fisici senza causa organica, associati a elevato consumo di prestazioni</w:t>
            </w:r>
          </w:p>
        </w:tc>
      </w:tr>
    </w:tbl>
    <w:p>
      <w:pPr>
        <w:pStyle w:val="BodyText"/>
      </w:pPr>
      <w:r>
        <w:rPr>
          <w:i/>
          <w:iCs/>
        </w:rPr>
        <w:t xml:space="preserve">Tabella E.1. Glossario dei principali termini tecnici impiegati nello studio.</w:t>
      </w:r>
    </w:p>
    <w:p>
      <w:r>
        <w:pict>
          <v:rect style="width:0;height:1.5pt" o:hralign="center" o:hrstd="t" o:hr="t"/>
        </w:pict>
      </w:r>
    </w:p>
    <w:bookmarkEnd w:id="4123"/>
    <w:bookmarkEnd w:id="4124"/>
    <w:bookmarkStart w:id="4125" w:name="Xfd433ccc316960c92ea74505b152c3b13c61df8"/>
    <w:p>
      <w:pPr>
        <w:pStyle w:val="Heading1"/>
      </w:pPr>
      <w:r>
        <w:t xml:space="preserve">Quadro Conclusivo economico-sociale e multidisciplinare del Tomo II</w:t>
      </w:r>
    </w:p>
    <w:p>
      <w:pPr>
        <w:pStyle w:val="FirstParagraph"/>
      </w:pPr>
      <w:r>
        <w:t xml:space="preserve">Il Tomo II, a integrazione completata, restituisce al decisore nazionale un giudizio fondato su diciannove studi regionali integrali che replicano, con metodo identico e vincoli invarianti identici, la struttura probatoria del Tomo I, e ne dimostrano la trasferibilità dall’anticipazione pugliese all’intero territorio nazionale. In ciascuna regione consolidata — dal Piemonte alla Sardegna, attraverso l’intera dorsale settentrionale, centrale, meridionale e insulare — lo studio condotto sul telaio HTA internazionale articola il valore dell’intervento sulle tre dimensioni rigorosamente distinte e mai sommate: la dimensione fiscale, in cui il saldo tra costi diretti di regime e risparmi sanitari diretti è dichiarato prossimo al pareggio, con il caveat del trial IMPACT applicato a ogni quantificazione e con le specificità regionali — dalla mobilità passiva recuperabile nelle regioni meridionali alla diversa composizione dell’offerta nelle regioni a statuto speciale — dichiarate senza attenuazioni; la dimensione sanitaria, in cui il rapporto tra costo incrementale e guadagno di salute colloca l’intervento al di sotto delle soglie di accettabilità correnti in ogni realtà esaminata e ne fonda la netta costo-efficacia; la dimensione sociale, in cui i benefici indiretti — estesi all’intero perimetro multidisciplinare dell’opera, dal lavoro alla previdenza, dal welfare alla prevenzione, dalla dimensione criminologica a quella burocratica, culturale, educativa e finanziaria — sono ancorati esclusivamente al duplice intervallo di Chisholm e collaboratori (2016), da 2,3 a 3,0 per i soli benefici economici e da 3,3 a 5,7 comprendendo i ritorni di salute, con giudizio fortemente positivo. La Sezione Nazionale colloca tali risultati nel quadro dei ventuno sistemi sanitari regionali e delle loro eterogeneità organizzative, e dichiara la funzione della leva formativa — considerata nelle sue modalità tanto singolarmente quanto sommate — e della leva digitale, sempre subordinata alla supervisione clinica umana, nel rendere la figura apicale più efficace lungo l’intero continuum assistenziale. Ogni proiezione resta formulata in bande prudenziali falsificabili con soglie di confutazione dichiarate; con l’integrazione degli studi di Marche, Molise, Umbria e Valle d’Aosta, la base per il giudizio nazionale integrale è ora completa per tutte le regioni trattabili nel perimetro dell’opera, senza che la struttura metodologica ne sia stata in alcun modo modificata.</w:t>
      </w:r>
    </w:p>
    <w:bookmarkEnd w:id="4125"/>
    <w:bookmarkStart w:id="4126" w:name="conclusione"/>
    <w:p>
      <w:pPr>
        <w:pStyle w:val="Heading1"/>
      </w:pPr>
      <w:r>
        <w:t xml:space="preserve">Conclusione</w:t>
      </w:r>
    </w:p>
    <w:p>
      <w:pPr>
        <w:pStyle w:val="FirstParagraph"/>
      </w:pPr>
      <w:r>
        <w:t xml:space="preserve">Il Tomo II consegna la prova di trasferibilità del modello nella sua estensione nazionale completa: diciannove studi regionali integrali, condotti con metodo identico e vincoli invarianti identici, convergono verso il medesimo verdetto tripartito senza che alcuna grandezza sia stata piegata alla convergenza, e la Sezione Nazionale ne ordina i risultati nel quadro dell’istituzionalizzazione nazionale della figura. L’esclusione dichiarata del corpus nazionale di prima generazione — recante affermazioni positive di rapporti superati — non impoverisce il tomo ma ne certifica la disciplina: l’estensione nazionale si fonda soltanto su ciò che il regime probatorio dell’opera ammette. Con l’acquisizione e il consolidamento integrale degli studi di Marche, Molise, Umbria e Valle d’Aosta, non residuano lacune dichiarate «da acquisire» entro il perimetro delle diciannove regioni trattabili dall’opera, in ossequio alla falsificabilità che ne costituisce il tratto distintivo. La paternità intellettuale e concettuale dell’opera appartiene al dott. Luigi De Michele; il presente consolidamento ne è esecuzione tecnica fedele.</w:t>
      </w:r>
    </w:p>
    <w:bookmarkEnd w:id="4126"/>
    <w:bookmarkStart w:id="4127" w:name="nota-di-rinvio-bibliografico"/>
    <w:p>
      <w:pPr>
        <w:pStyle w:val="Heading1"/>
      </w:pPr>
      <w:r>
        <w:t xml:space="preserve">Nota di rinvio bibliografico</w:t>
      </w:r>
    </w:p>
    <w:p>
      <w:pPr>
        <w:pStyle w:val="FirstParagraph"/>
      </w:pPr>
      <w:r>
        <w:t xml:space="preserve">Ciascuno studio regionale consolidato nel presente tomo reca in chiusura le proprie Note Bibliografiche Integrali, con mini-riassunto allegato al nome e al collegamento di ciascuna fonte, alle quali il lettore è rinviato per la verifica di ogni affermazione. Gli ancoraggi trasversali — Chisholm D., Sweeny K., Sheehan P. et al., «Scaling-up treatment of depression and anxiety: a global return-on-investment analysis», The Lancet Psychiatry, vol. 3, n. 5, 2016, pp. 415–424, per il duplice intervallo di rendimento; Unützer J. et al., «Collaborative care management of late-life depression in the primary care setting: the IMPACT randomized controlled trial», JAMA, vol. 288, n. 22, 2002, pp. 2836–2845, e Unützer J. et al., The American Journal of Managed Care, vol. 14, n. 2, 2008, pp. 95–100, per il caveat sui risparmi diretti — governano le stime di ogni studio senza eccezione.</w:t>
      </w:r>
    </w:p>
    <w:bookmarkEnd w:id="4127"/>
    <w:p>
      <w:pPr>
        <w:pageBreakBefore/>
        <w:spacing w:before="3000" w:after="80"/>
        <w:jc w:val="center"/>
      </w:pPr>
      <w:r>
        <w:rPr>
          <w:rFonts w:ascii="Calibri" w:hAnsi="Calibri" w:cs="Calibri" w:eastAsia="Calibri"/>
          <w:b/>
          <w:color w:val="2E4272"/>
          <w:sz w:val="22"/>
        </w:rPr>
        <w:t xml:space="preserve">STUDIO INTEGRALE · SEZIONE EUROPA (UE-27)</w:t>
      </w:r>
    </w:p>
    <w:p>
      <w:pPr>
        <w:pBdr>
          <w:bottom w:val="single" w:sz="10" w:space="6" w:color="C49A48"/>
        </w:pBdr>
        <w:spacing w:after="390"/>
        <w:jc w:val="center"/>
      </w:pPr>
    </w:p>
    <w:p>
      <w:pPr>
        <w:spacing/>
        <w:jc w:val="center"/>
      </w:pPr>
      <w:r>
        <w:rPr>
          <w:rFonts w:ascii="Calibri" w:hAnsi="Calibri" w:cs="Calibri" w:eastAsia="Calibri"/>
          <w:b/>
          <w:caps/>
          <w:color w:val="16264B"/>
          <w:sz w:val="76"/>
        </w:rPr>
        <w:t xml:space="preserve">LO PSICOLOGO DI BASE</w:t>
      </w:r>
    </w:p>
    <w:p>
      <w:pPr>
        <w:spacing w:after="320"/>
        <w:jc w:val="center"/>
      </w:pPr>
      <w:r>
        <w:rPr>
          <w:rFonts w:ascii="Calibri" w:hAnsi="Calibri" w:cs="Calibri" w:eastAsia="Calibri"/>
          <w:b/>
          <w:caps/>
          <w:color w:val="16264B"/>
          <w:sz w:val="76"/>
        </w:rPr>
        <w:t xml:space="preserve">NELL’UNIONE EUROPEA</w:t>
      </w:r>
    </w:p>
    <w:p>
      <w:pPr>
        <w:pBdr>
          <w:bottom w:val="single" w:sz="14" w:space="6" w:color="16264B"/>
        </w:pBdr>
        <w:spacing w:before="310" w:after="320"/>
        <w:jc w:val="center"/>
      </w:pPr>
    </w:p>
    <w:p>
      <w:pPr>
        <w:spacing w:after="1600"/>
        <w:jc w:val="center"/>
      </w:pPr>
      <w:r>
        <w:rPr>
          <w:rFonts w:ascii="Cambria" w:hAnsi="Cambria" w:cs="Cambria" w:eastAsia="Cambria"/>
          <w:i/>
          <w:color w:val="1A1A1A"/>
          <w:sz w:val="28"/>
        </w:rPr>
        <w:t xml:space="preserve">Valutazione aggregata sui ventisette Stati Membri sotto doppio ancoraggio</w:t>
      </w:r>
    </w:p>
    <w:p>
      <w:pPr>
        <w:spacing w:before="1800" w:after="80"/>
        <w:jc w:val="center"/>
      </w:pPr>
      <w:r>
        <w:rPr>
          <w:rFonts w:ascii="Calibri" w:hAnsi="Calibri" w:cs="Calibri" w:eastAsia="Calibri"/>
          <w:b/>
          <w:color w:val="1A1A1A"/>
          <w:sz w:val="28"/>
        </w:rPr>
        <w:t xml:space="preserve">Dott. Luigi De Michele</w:t>
      </w:r>
    </w:p>
    <w:p>
      <w:pPr>
        <w:spacing w:after="40"/>
        <w:jc w:val="center"/>
      </w:pPr>
      <w:r>
        <w:rPr>
          <w:rFonts w:ascii="Cambria" w:hAnsi="Cambria" w:cs="Cambria" w:eastAsia="Cambria"/>
          <w:color w:val="1A1A1A"/>
          <w:sz w:val="22"/>
        </w:rPr>
        <w:t xml:space="preserve">Psicologo — Capurso (BA)</w:t>
      </w:r>
    </w:p>
    <w:p>
      <w:pPr>
        <w:spacing w:after="40"/>
        <w:jc w:val="center"/>
      </w:pPr>
      <w:r>
        <w:rPr>
          <w:rFonts w:ascii="Cambria" w:hAnsi="Cambria" w:cs="Cambria" w:eastAsia="Cambria"/>
          <w:color w:val="1A1A1A"/>
          <w:sz w:val="22"/>
        </w:rPr>
        <w:t xml:space="preserve">Studio Integrale — Estensione Unionale</w:t>
      </w:r>
    </w:p>
    <w:p>
      <w:pPr>
        <w:spacing/>
        <w:jc w:val="center"/>
      </w:pPr>
      <w:r>
        <w:rPr>
          <w:rFonts w:ascii="Cambria" w:hAnsi="Cambria" w:cs="Cambria" w:eastAsia="Cambria"/>
          <w:color w:val="1A1A1A"/>
          <w:sz w:val="22"/>
        </w:rPr>
        <w:t xml:space="preserve">Luglio 2026</w:t>
      </w:r>
    </w:p>
    <w:p>
      <w:r>
        <w:br w:type="page"/>
      </w:r>
    </w:p>
    <w:p>
      <w:pPr>
        <w:pStyle w:val="Heading1"/>
      </w:pPr>
      <w:r>
        <w:t xml:space="preserve">Premessa</w:t>
      </w:r>
    </w:p>
    <w:p>
      <w:pPr>
        <w:pStyle w:val="FirstParagraph"/>
      </w:pPr>
      <w:r>
        <w:t xml:space="preserve">Il Volume 22 chiude l’opera in ventitré Volumi estendendone lo sguardo dall’Italia all’Unione Europea. Come i venti Volumi regionali applicano per rimando il Reference Case dell’asse italiano fissato nel Volume 0.A, così il presente Volume applica per rimando il Reference Case dell’asse unionale fissato nel Volume 0.B — che ne definisce il perimetro, il doppio ancoraggio, il verdetto tripartito non aggregato, i sei domini di analisi, il protocollo dell’incertezza e il trattamento dello strato dell’Intelligenza Artificiale come moltiplicatore — richiamandone le regole nella forma «cfr. Volume 0.B», senza ripeterle per esteso. La struttura del Volume è quella specifica prevista dall’architettura dell’opera per l’asse unionale: nove capitoli che conducono dal quadro europeo della salute mentale nelle cure primarie, attraverso il quadro istituzionale e il benchmark operativo dei Paesi Bassi, alle ventisette schede-Stato sintetiche e alla simulazione aggregata, per chiudere con i domini di analisi, l’incertezza e il verdetto tripartito.</w:t>
      </w:r>
      <w:r>
        <w:rPr>
          <w:rStyle w:val="FootnoteReference"/>
        </w:rPr>
        <w:footnoteReference w:id="3865"/>
      </w:r>
    </w:p>
    <w:p>
      <w:pPr>
        <w:pStyle w:val="BodyText"/>
      </w:pPr>
      <w:r>
        <w:t xml:space="preserve">Una regola dell’opera è qui richiamata con particolare forza: la segnalazione delle lacune informative. La comparabilità fra ventisette sistemi sanitari nazionali è strutturalmente più fragile della comparabilità fra venti regioni di un medesimo ordinamento; per taluni Stati Membri i dati di dettaglio sull’integrazione psicologica nelle cure primarie non sono disponibili in forma comparabile, e le schede-Stato lo dichiarano espressamente, senza colmare le lacune con stime tacite. Tutte le cifre riportate hanno attribuzione alla fonte, nessun rapporto sintetico fra benefici e costi è impiegato come affermazione positiva e il verdetto resta tripartito e non aggregato, in identica applicazione dei principi invarianti che governano l’intera opera.</w:t>
      </w:r>
    </w:p>
    <w:bookmarkStart w:id="1506" w:name="introduzione-23"/>
    <w:p>
      <w:pPr>
        <w:pStyle w:val="Heading1"/>
      </w:pPr>
      <w:r>
        <w:t xml:space="preserve">Introduzione</w:t>
      </w:r>
    </w:p>
    <w:p>
      <w:pPr>
        <w:pStyle w:val="FirstParagraph"/>
      </w:pPr>
      <w:r>
        <w:t xml:space="preserve">L’Introduzione al Volume 22 fissa il perimetro della valutazione unionale e l’ordine della sua esposizione. Il perimetro è quello dell’Unione Europea a ventisette Stati Membri, con una popolazione complessiva dell’ordine di quattrocentocinquanta milioni di abitanti, entro cui la salute resta competenza primaria degli Stati e l’Unione esercita una competenza di sostegno, coordinamento e completamento. La domanda valutativa è l’equivalente aggregato di quella regionale: quale sia l’effetto atteso — sui tre piani fiscale, sanitario e sociale, tenuti distinti — dell’integrazione strutturale dello psicologo nelle cure primarie, valutata Stato per Stato nelle ventisette schede sintetiche e in forma aggregata nella simulazione unionale, sotto il doppio ancoraggio del Reference Case.</w:t>
      </w:r>
      <w:r>
        <w:rPr>
          <w:rStyle w:val="FootnoteReference"/>
        </w:rPr>
        <w:footnoteReference w:id="3866"/>
      </w:r>
    </w:p>
    <w:p>
      <w:pPr>
        <w:pStyle w:val="BodyText"/>
      </w:pPr>
      <w:r>
        <w:t xml:space="preserve">L’esposizione segue la struttura a imbuto: il cruscotto unionale offre in una pagina i numeri essenziali; la sintesi per il decisore ne traduce il significato; i cinque risultati chiave ne isolano gli esiti; le raccomandazioni operative indicano le azioni; il corpo del Volume, articolato in nove capitoli, ne fornisce il dettaglio — con il Capitolo 5 dedicato alle ventisette schede-Stato e il Capitolo 6 alla simulazione aggregata —; le appendici registrate ne assicurano la verificabilità. Chiudono il Volume un Quadro Conclusivo economico e multidisciplinare, una Conclusione — che è anche la conclusione dell’intera opera — e le Note Bibliografiche con mini-riassunto.</w:t>
      </w:r>
    </w:p>
    <w:p>
      <w:r>
        <w:br w:type="page"/>
      </w:r>
    </w:p>
    <w:bookmarkEnd w:id="1506"/>
    <w:bookmarkStart w:id="1508" w:name="cruscotto-unionale-ue-27"/>
    <w:p>
      <w:pPr>
        <w:pStyle w:val="Heading1"/>
      </w:pPr>
      <w:r>
        <w:t xml:space="preserve">Cruscotto unionale — UE-27</w:t>
      </w:r>
    </w:p>
    <w:p>
      <w:pPr>
        <w:pStyle w:val="FirstParagraph"/>
      </w:pPr>
      <w:r>
        <w:t xml:space="preserve">Il cruscotto riassume in una pagina i parametri essenziali della valutazione unionale, sotto il doppio ancoraggio e con il verdetto tripartito tenuto distinto. Le cifre di letteratura sono riportate con attribuzione alla fonte; i valori della simulazione aggregata sono presentati in ordine di grandezza quali proiezioni di primo ordine, con rinvio alle appendici registrate.</w:t>
      </w:r>
      <w:r>
        <w:rPr>
          <w:rStyle w:val="FootnoteReference"/>
        </w:rPr>
        <w:footnoteReference w:id="3867"/>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jc w:val="left"/>
            </w:pPr>
            <w:r>
              <w:rPr>
                <w:rFonts w:ascii="Cambria" w:hAnsi="Cambria" w:cs="Cambria" w:eastAsia="Cambria"/>
                <w:b/>
                <w:color w:val="FFFFFF"/>
                <w:sz w:val="18"/>
              </w:rPr>
              <w:t xml:space="preserve">Indicatore del cruscotto</w:t>
            </w:r>
          </w:p>
        </w:tc>
        <w:tc>
          <w:tcPr>
            <w:shd w:val="clear" w:color="auto" w:fill="16264B"/>
          </w:tcPr>
          <w:p>
            <w:pPr>
              <w:pStyle w:val="Compact"/>
              <w:jc w:val="left"/>
            </w:pPr>
            <w:r>
              <w:rPr>
                <w:rFonts w:ascii="Cambria" w:hAnsi="Cambria" w:cs="Cambria" w:eastAsia="Cambria"/>
                <w:b/>
                <w:color w:val="FFFFFF"/>
                <w:sz w:val="18"/>
              </w:rPr>
              <w:t xml:space="preserve">Lettura unionale</w:t>
            </w:r>
          </w:p>
        </w:tc>
        <w:tc>
          <w:tcPr>
            <w:shd w:val="clear" w:color="auto" w:fill="16264B"/>
          </w:tcPr>
          <w:p>
            <w:pPr>
              <w:pStyle w:val="Compact"/>
              <w:jc w:val="left"/>
            </w:pPr>
            <w:r>
              <w:rPr>
                <w:rFonts w:ascii="Cambria" w:hAnsi="Cambria" w:cs="Cambria" w:eastAsia="Cambria"/>
                <w:b/>
                <w:color w:val="FFFFFF"/>
                <w:sz w:val="18"/>
              </w:rPr>
              <w:t xml:space="preserve">Ancoraggio / fonte</w:t>
            </w:r>
          </w:p>
        </w:tc>
      </w:tr>
      <w:tr>
        <w:tc>
          <w:tcPr/>
          <w:p>
            <w:pPr>
              <w:pStyle w:val="Compact"/>
              <w:jc w:val="left"/>
            </w:pPr>
            <w:r>
              <w:rPr>
                <w:rFonts w:ascii="Cambria" w:hAnsi="Cambria" w:cs="Cambria" w:eastAsia="Cambria"/>
                <w:sz w:val="18"/>
              </w:rPr>
              <w:t xml:space="preserve">Popolazione UE-27</w:t>
            </w:r>
          </w:p>
        </w:tc>
        <w:tc>
          <w:tcPr/>
          <w:p>
            <w:pPr>
              <w:pStyle w:val="Compact"/>
              <w:jc w:val="left"/>
            </w:pPr>
            <w:r>
              <w:rPr>
                <w:rFonts w:ascii="Cambria" w:hAnsi="Cambria" w:cs="Cambria" w:eastAsia="Cambria"/>
                <w:sz w:val="18"/>
              </w:rPr>
              <w:t xml:space="preserve">≈ 450 milioni di abitanti</w:t>
            </w:r>
          </w:p>
        </w:tc>
        <w:tc>
          <w:tcPr/>
          <w:p>
            <w:pPr>
              <w:pStyle w:val="Compact"/>
              <w:jc w:val="left"/>
            </w:pPr>
            <w:r>
              <w:rPr>
                <w:rFonts w:ascii="Cambria" w:hAnsi="Cambria" w:cs="Cambria" w:eastAsia="Cambria"/>
                <w:sz w:val="18"/>
              </w:rPr>
              <w:t xml:space="preserve">Eurostat</w:t>
            </w:r>
          </w:p>
        </w:tc>
      </w:tr>
      <w:tr>
        <w:tc>
          <w:tcPr>
            <w:shd w:val="clear" w:color="auto" w:fill="F4F1EC"/>
          </w:tcPr>
          <w:p>
            <w:pPr>
              <w:pStyle w:val="Compact"/>
              <w:jc w:val="left"/>
            </w:pPr>
            <w:r>
              <w:rPr>
                <w:rFonts w:ascii="Cambria" w:hAnsi="Cambria" w:cs="Cambria" w:eastAsia="Cambria"/>
                <w:sz w:val="18"/>
              </w:rPr>
              <w:t xml:space="preserve">Prevalenza del disagio</w:t>
            </w:r>
          </w:p>
        </w:tc>
        <w:tc>
          <w:tcPr>
            <w:shd w:val="clear" w:color="auto" w:fill="F4F1EC"/>
          </w:tcPr>
          <w:p>
            <w:pPr>
              <w:pStyle w:val="Compact"/>
              <w:jc w:val="left"/>
            </w:pPr>
            <w:r>
              <w:rPr>
                <w:rFonts w:ascii="Cambria" w:hAnsi="Cambria" w:cs="Cambria" w:eastAsia="Cambria"/>
                <w:sz w:val="18"/>
              </w:rPr>
              <w:t xml:space="preserve">Quasi un cittadino su due con problemi emotivi o psicosociali nell’ultimo anno</w:t>
            </w:r>
          </w:p>
        </w:tc>
        <w:tc>
          <w:tcPr>
            <w:shd w:val="clear" w:color="auto" w:fill="F4F1EC"/>
          </w:tcPr>
          <w:p>
            <w:pPr>
              <w:pStyle w:val="Compact"/>
              <w:jc w:val="left"/>
            </w:pPr>
            <w:r>
              <w:rPr>
                <w:rFonts w:ascii="Cambria" w:hAnsi="Cambria" w:cs="Cambria" w:eastAsia="Cambria"/>
                <w:sz w:val="18"/>
              </w:rPr>
              <w:t xml:space="preserve">Flash Eurobarometro 530 (attribuito)</w:t>
            </w:r>
          </w:p>
        </w:tc>
      </w:tr>
      <w:tr>
        <w:tc>
          <w:tcPr/>
          <w:p>
            <w:pPr>
              <w:pStyle w:val="Compact"/>
              <w:jc w:val="left"/>
            </w:pPr>
            <w:r>
              <w:rPr>
                <w:rFonts w:ascii="Cambria" w:hAnsi="Cambria" w:cs="Cambria" w:eastAsia="Cambria"/>
                <w:sz w:val="18"/>
              </w:rPr>
              <w:t xml:space="preserve">Divario di trattamento</w:t>
            </w:r>
          </w:p>
        </w:tc>
        <w:tc>
          <w:tcPr/>
          <w:p>
            <w:pPr>
              <w:pStyle w:val="Compact"/>
              <w:jc w:val="left"/>
            </w:pPr>
            <w:r>
              <w:rPr>
                <w:rFonts w:ascii="Cambria" w:hAnsi="Cambria" w:cs="Cambria" w:eastAsia="Cambria"/>
                <w:sz w:val="18"/>
              </w:rPr>
              <w:t xml:space="preserve">≈ 78,6% per la depressione grave (media)</w:t>
            </w:r>
          </w:p>
        </w:tc>
        <w:tc>
          <w:tcPr/>
          <w:p>
            <w:pPr>
              <w:pStyle w:val="Compact"/>
              <w:jc w:val="left"/>
            </w:pPr>
            <w:r>
              <w:rPr>
                <w:rFonts w:ascii="Cambria" w:hAnsi="Cambria" w:cs="Cambria" w:eastAsia="Cambria"/>
                <w:sz w:val="18"/>
              </w:rPr>
              <w:t xml:space="preserve">Eurofound 2025 (attribuito)</w:t>
            </w:r>
          </w:p>
        </w:tc>
      </w:tr>
      <w:tr>
        <w:tc>
          <w:tcPr>
            <w:shd w:val="clear" w:color="auto" w:fill="F4F1EC"/>
          </w:tcPr>
          <w:p>
            <w:pPr>
              <w:pStyle w:val="Compact"/>
              <w:jc w:val="left"/>
            </w:pPr>
            <w:r>
              <w:rPr>
                <w:rFonts w:ascii="Cambria" w:hAnsi="Cambria" w:cs="Cambria" w:eastAsia="Cambria"/>
                <w:sz w:val="18"/>
              </w:rPr>
              <w:t xml:space="preserve">Integrazione nelle cure primarie</w:t>
            </w:r>
          </w:p>
        </w:tc>
        <w:tc>
          <w:tcPr>
            <w:shd w:val="clear" w:color="auto" w:fill="F4F1EC"/>
          </w:tcPr>
          <w:p>
            <w:pPr>
              <w:pStyle w:val="Compact"/>
              <w:jc w:val="left"/>
            </w:pPr>
            <w:r>
              <w:rPr>
                <w:rFonts w:ascii="Cambria" w:hAnsi="Cambria" w:cs="Cambria" w:eastAsia="Cambria"/>
                <w:sz w:val="18"/>
              </w:rPr>
              <w:t xml:space="preserve">Solo una minoranza di paesi soddisfa i criteri di integrazione</w:t>
            </w:r>
          </w:p>
        </w:tc>
        <w:tc>
          <w:tcPr>
            <w:shd w:val="clear" w:color="auto" w:fill="F4F1EC"/>
          </w:tcPr>
          <w:p>
            <w:pPr>
              <w:pStyle w:val="Compact"/>
              <w:jc w:val="left"/>
            </w:pPr>
            <w:r>
              <w:rPr>
                <w:rFonts w:ascii="Cambria" w:hAnsi="Cambria" w:cs="Cambria" w:eastAsia="Cambria"/>
                <w:sz w:val="18"/>
              </w:rPr>
              <w:t xml:space="preserve">WHO Mental Health Atlas 2024 (attribuito)</w:t>
            </w:r>
          </w:p>
        </w:tc>
      </w:tr>
      <w:tr>
        <w:tc>
          <w:tcPr/>
          <w:p>
            <w:pPr>
              <w:pStyle w:val="Compact"/>
              <w:jc w:val="left"/>
            </w:pPr>
            <w:r>
              <w:rPr>
                <w:rFonts w:ascii="Cambria" w:hAnsi="Cambria" w:cs="Cambria" w:eastAsia="Cambria"/>
                <w:sz w:val="18"/>
              </w:rPr>
              <w:t xml:space="preserve">Dotazione di psicologi</w:t>
            </w:r>
          </w:p>
        </w:tc>
        <w:tc>
          <w:tcPr/>
          <w:p>
            <w:pPr>
              <w:pStyle w:val="Compact"/>
              <w:jc w:val="left"/>
            </w:pPr>
            <w:r>
              <w:rPr>
                <w:rFonts w:ascii="Cambria" w:hAnsi="Cambria" w:cs="Cambria" w:eastAsia="Cambria"/>
                <w:sz w:val="18"/>
              </w:rPr>
              <w:t xml:space="preserve">Mediana ≈ 9,3 per 100.000 abitanti adulti</w:t>
            </w:r>
          </w:p>
        </w:tc>
        <w:tc>
          <w:tcPr/>
          <w:p>
            <w:pPr>
              <w:pStyle w:val="Compact"/>
              <w:jc w:val="left"/>
            </w:pPr>
            <w:r>
              <w:rPr>
                <w:rFonts w:ascii="Cambria" w:hAnsi="Cambria" w:cs="Cambria" w:eastAsia="Cambria"/>
                <w:sz w:val="18"/>
              </w:rPr>
              <w:t xml:space="preserve">Workforce europea (attribuito)</w:t>
            </w:r>
          </w:p>
        </w:tc>
      </w:tr>
      <w:tr>
        <w:tc>
          <w:tcPr>
            <w:shd w:val="clear" w:color="auto" w:fill="F4F1EC"/>
          </w:tcPr>
          <w:p>
            <w:pPr>
              <w:pStyle w:val="Compact"/>
              <w:jc w:val="left"/>
            </w:pPr>
            <w:r>
              <w:rPr>
                <w:rFonts w:ascii="Cambria" w:hAnsi="Cambria" w:cs="Cambria" w:eastAsia="Cambria"/>
                <w:sz w:val="18"/>
              </w:rPr>
              <w:t xml:space="preserve">Scenari aggregati di copertura</w:t>
            </w:r>
          </w:p>
        </w:tc>
        <w:tc>
          <w:tcPr>
            <w:shd w:val="clear" w:color="auto" w:fill="F4F1EC"/>
          </w:tcPr>
          <w:p>
            <w:pPr>
              <w:pStyle w:val="Compact"/>
              <w:jc w:val="left"/>
            </w:pPr>
            <w:r>
              <w:rPr>
                <w:rFonts w:ascii="Cambria" w:hAnsi="Cambria" w:cs="Cambria" w:eastAsia="Cambria"/>
                <w:sz w:val="18"/>
              </w:rPr>
              <w:t xml:space="preserve">≈ 50.000 · 73.000 · 98.000 incarichi equivalenti</w:t>
            </w:r>
          </w:p>
        </w:tc>
        <w:tc>
          <w:tcPr>
            <w:shd w:val="clear" w:color="auto" w:fill="F4F1EC"/>
          </w:tcPr>
          <w:p>
            <w:pPr>
              <w:pStyle w:val="Compact"/>
              <w:jc w:val="left"/>
            </w:pPr>
            <w:r>
              <w:rPr>
                <w:rFonts w:ascii="Cambria" w:hAnsi="Cambria" w:cs="Cambria" w:eastAsia="Cambria"/>
                <w:sz w:val="18"/>
              </w:rPr>
              <w:t xml:space="preserve">Proiezione di primo ordine, cfr. Volume 0.B</w:t>
            </w:r>
          </w:p>
        </w:tc>
      </w:tr>
      <w:tr>
        <w:tc>
          <w:tcPr/>
          <w:p>
            <w:pPr>
              <w:pStyle w:val="Compact"/>
              <w:jc w:val="left"/>
            </w:pPr>
            <w:r>
              <w:rPr>
                <w:rFonts w:ascii="Cambria" w:hAnsi="Cambria" w:cs="Cambria" w:eastAsia="Cambria"/>
                <w:sz w:val="18"/>
              </w:rPr>
              <w:t xml:space="preserve">Costo aggregato a regime</w:t>
            </w:r>
          </w:p>
        </w:tc>
        <w:tc>
          <w:tcPr/>
          <w:p>
            <w:pPr>
              <w:pStyle w:val="Compact"/>
              <w:jc w:val="left"/>
            </w:pPr>
            <w:r>
              <w:rPr>
                <w:rFonts w:ascii="Cambria" w:hAnsi="Cambria" w:cs="Cambria" w:eastAsia="Cambria"/>
                <w:sz w:val="18"/>
              </w:rPr>
              <w:t xml:space="preserve">Ordine di 4–4,5 miliardi €/anno (scenario di base)</w:t>
            </w:r>
          </w:p>
        </w:tc>
        <w:tc>
          <w:tcPr/>
          <w:p>
            <w:pPr>
              <w:pStyle w:val="Compact"/>
              <w:jc w:val="left"/>
            </w:pPr>
            <w:r>
              <w:rPr>
                <w:rFonts w:ascii="Cambria" w:hAnsi="Cambria" w:cs="Cambria" w:eastAsia="Cambria"/>
                <w:sz w:val="18"/>
              </w:rPr>
              <w:t xml:space="preserve">Proiezione di primo ordine</w:t>
            </w:r>
          </w:p>
        </w:tc>
      </w:tr>
      <w:tr>
        <w:tc>
          <w:tcPr>
            <w:shd w:val="clear" w:color="auto" w:fill="F4F1EC"/>
          </w:tcPr>
          <w:p>
            <w:pPr>
              <w:pStyle w:val="Compact"/>
              <w:jc w:val="left"/>
            </w:pPr>
            <w:r>
              <w:rPr>
                <w:rFonts w:ascii="Cambria" w:hAnsi="Cambria" w:cs="Cambria" w:eastAsia="Cambria"/>
                <w:sz w:val="18"/>
              </w:rPr>
              <w:t xml:space="preserve">Verdetto fiscale</w:t>
            </w:r>
          </w:p>
        </w:tc>
        <w:tc>
          <w:tcPr>
            <w:shd w:val="clear" w:color="auto" w:fill="F4F1EC"/>
          </w:tcPr>
          <w:p>
            <w:pPr>
              <w:pStyle w:val="Compact"/>
              <w:jc w:val="left"/>
            </w:pPr>
            <w:r>
              <w:rPr>
                <w:rFonts w:ascii="Cambria" w:hAnsi="Cambria" w:cs="Cambria" w:eastAsia="Cambria"/>
                <w:sz w:val="18"/>
              </w:rPr>
              <w:t xml:space="preserve">Prossimo al pareggio, con caveat ed eterogeneità fra Stati</w:t>
            </w:r>
          </w:p>
        </w:tc>
        <w:tc>
          <w:tcPr>
            <w:shd w:val="clear" w:color="auto" w:fill="F4F1EC"/>
          </w:tcPr>
          <w:p>
            <w:pPr>
              <w:pStyle w:val="Compact"/>
              <w:jc w:val="left"/>
            </w:pPr>
            <w:r>
              <w:rPr>
                <w:rFonts w:ascii="Cambria" w:hAnsi="Cambria" w:cs="Cambria" w:eastAsia="Cambria"/>
                <w:sz w:val="18"/>
              </w:rPr>
              <w:t xml:space="preserve">Non aggregato</w:t>
            </w:r>
          </w:p>
        </w:tc>
      </w:tr>
      <w:tr>
        <w:tc>
          <w:tcPr/>
          <w:p>
            <w:pPr>
              <w:pStyle w:val="Compact"/>
              <w:jc w:val="left"/>
            </w:pPr>
            <w:r>
              <w:rPr>
                <w:rFonts w:ascii="Cambria" w:hAnsi="Cambria" w:cs="Cambria" w:eastAsia="Cambria"/>
                <w:sz w:val="18"/>
              </w:rPr>
              <w:t xml:space="preserve">Verdetto sanitario</w:t>
            </w:r>
          </w:p>
        </w:tc>
        <w:tc>
          <w:tcPr/>
          <w:p>
            <w:pPr>
              <w:pStyle w:val="Compact"/>
              <w:jc w:val="left"/>
            </w:pPr>
            <w:r>
              <w:rPr>
                <w:rFonts w:ascii="Cambria" w:hAnsi="Cambria" w:cs="Cambria" w:eastAsia="Cambria"/>
                <w:sz w:val="18"/>
              </w:rPr>
              <w:t xml:space="preserve">Nettamente costo-efficace</w:t>
            </w:r>
          </w:p>
        </w:tc>
        <w:tc>
          <w:tcPr/>
          <w:p>
            <w:pPr>
              <w:pStyle w:val="Compact"/>
              <w:jc w:val="left"/>
            </w:pPr>
            <w:r>
              <w:rPr>
                <w:rFonts w:ascii="Cambria" w:hAnsi="Cambria" w:cs="Cambria" w:eastAsia="Cambria"/>
                <w:sz w:val="18"/>
              </w:rPr>
              <w:t xml:space="preserve">Costo/QALY sotto doppio ancoraggio</w:t>
            </w:r>
          </w:p>
        </w:tc>
      </w:tr>
      <w:tr>
        <w:tc>
          <w:tcPr>
            <w:shd w:val="clear" w:color="auto" w:fill="F4F1EC"/>
          </w:tcPr>
          <w:p>
            <w:pPr>
              <w:pStyle w:val="Compact"/>
              <w:jc w:val="left"/>
            </w:pPr>
            <w:r>
              <w:rPr>
                <w:rFonts w:ascii="Cambria" w:hAnsi="Cambria" w:cs="Cambria" w:eastAsia="Cambria"/>
                <w:sz w:val="18"/>
              </w:rPr>
              <w:t xml:space="preserve">Verdetto sociale</w:t>
            </w:r>
          </w:p>
        </w:tc>
        <w:tc>
          <w:tcPr>
            <w:shd w:val="clear" w:color="auto" w:fill="F4F1EC"/>
          </w:tcPr>
          <w:p>
            <w:pPr>
              <w:pStyle w:val="Compact"/>
              <w:jc w:val="left"/>
            </w:pPr>
            <w:r>
              <w:rPr>
                <w:rFonts w:ascii="Cambria" w:hAnsi="Cambria" w:cs="Cambria" w:eastAsia="Cambria"/>
                <w:sz w:val="18"/>
              </w:rPr>
              <w:t xml:space="preserve">Fortemente positivo</w:t>
            </w:r>
          </w:p>
        </w:tc>
        <w:tc>
          <w:tcPr>
            <w:shd w:val="clear" w:color="auto" w:fill="F4F1EC"/>
          </w:tcPr>
          <w:p>
            <w:pPr>
              <w:pStyle w:val="Compact"/>
              <w:jc w:val="left"/>
            </w:pPr>
            <w:r>
              <w:rPr>
                <w:rFonts w:ascii="Cambria" w:hAnsi="Cambria" w:cs="Cambria" w:eastAsia="Cambria"/>
                <w:sz w:val="18"/>
              </w:rPr>
              <w:t xml:space="preserve">Coesione, divario di trattamento, equità fra Stati</w:t>
            </w:r>
          </w:p>
        </w:tc>
      </w:tr>
      <w:tr>
        <w:tc>
          <w:tcPr/>
          <w:p>
            <w:pPr>
              <w:pStyle w:val="Compact"/>
              <w:jc w:val="left"/>
            </w:pPr>
            <w:r>
              <w:rPr>
                <w:rFonts w:ascii="Cambria" w:hAnsi="Cambria" w:cs="Cambria" w:eastAsia="Cambria"/>
                <w:sz w:val="18"/>
              </w:rPr>
              <w:t xml:space="preserve">Costo per anno di vita ponderato</w:t>
            </w:r>
          </w:p>
        </w:tc>
        <w:tc>
          <w:tcPr/>
          <w:p>
            <w:pPr>
              <w:pStyle w:val="Compact"/>
              <w:jc w:val="left"/>
            </w:pPr>
            <w:r>
              <w:rPr>
                <w:rFonts w:ascii="Cambria" w:hAnsi="Cambria" w:cs="Cambria" w:eastAsia="Cambria"/>
                <w:sz w:val="18"/>
              </w:rPr>
              <w:t xml:space="preserve">Colonna A ≈ 17.000 € · Colonna B ≈ 9.800 €</w:t>
            </w:r>
          </w:p>
        </w:tc>
        <w:tc>
          <w:tcPr/>
          <w:p>
            <w:pPr>
              <w:pStyle w:val="Compact"/>
              <w:jc w:val="left"/>
            </w:pPr>
            <w:r>
              <w:rPr>
                <w:rFonts w:ascii="Cambria" w:hAnsi="Cambria" w:cs="Cambria" w:eastAsia="Cambria"/>
                <w:sz w:val="18"/>
              </w:rPr>
              <w:t xml:space="preserve">Doppio ancoraggio</w:t>
            </w:r>
          </w:p>
        </w:tc>
      </w:tr>
    </w:tbl>
    <w:p>
      <w:pPr>
        <w:pStyle w:val="BodyText"/>
      </w:pPr>
      <w:r>
        <w:rPr>
          <w:i/>
          <w:iCs/>
        </w:rPr>
        <w:t xml:space="preserve">Tabella 0. Cruscotto unionale UE-27: i parametri essenziali sotto doppio ancoraggio, con il verdetto tripartito distinto e non aggregato e i valori aggregati quali proiezioni di primo ordine.</w:t>
      </w:r>
    </w:p>
    <w:bookmarkEnd w:id="1508"/>
    <w:bookmarkStart w:id="4507" w:name="sintesi-per-il-decisore-21"/>
    <w:p>
      <w:pPr>
        <w:pStyle w:val="Heading1"/>
      </w:pPr>
      <w:r>
        <w:t xml:space="preserve">Sintesi per il decisore</w:t>
      </w:r>
    </w:p>
    <w:p>
      <w:pPr>
        <w:pStyle w:val="FirstParagraph"/>
      </w:pPr>
      <w:r>
        <w:t xml:space="preserve">L’integrazione strutturale dello psicologo nelle cure primarie dei ventisette Stati Membri produce, secondo la simulazione aggregata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e con un’avvertenza propria dell’asse unionale: l’eterogeneità dei sistemi sanitari, dei costi del lavoro e dei punti di partenza rende il saldo variabile fra gli Stati, sicché il giudizio aggregato è una media di condizioni diseguali. Sul piano sanitario, il modello è nettamente costo-efficace, con un costo per anno di vita ponderato che, fra i due ancoraggi, resta assai inferiore alle soglie adottate. Sul piano sociale, l’effetto è fortemente positivo, con un rilievo particolare per la riduzione del divario di trattamento — che per la depressione grave si attesta in media, secondo la fonte attribuita, intorno al settantotto virgola sei per cento — e per la coesione fra Stati Membri a diversa dotazione di servizi.</w:t>
      </w:r>
      <w:r>
        <w:rPr>
          <w:rStyle w:val="FootnoteReference"/>
        </w:rPr>
        <w:footnoteReference w:id="3868"/>
      </w:r>
    </w:p>
    <w:p>
      <w:pPr>
        <w:pStyle w:val="BodyText"/>
      </w:pPr>
      <w:r>
        <w:t xml:space="preserve">Il quadro di partenza giustifica l’intervento: secondo l’indagine europea attribuita, quasi un cittadino su due ha sperimentato problemi emotivi o psicosociali nell’ultimo anno, e più della metà di costoro non ha ricevuto aiuto professionale; secondo l’Atlante mondiale della salute mentale, solo una minoranza dei paesi soddisfa tutti i criteri di integrazione della salute mentale nelle cure primarie e meno di un quinto dispone di interventi psicosociali nelle cure primarie; la dotazione mediana europea di psicologi resta dell’ordine di nove virgola tre per centomila abitanti adulti. Il costo dei disturbi mentali per le economie dell’Unione supera, secondo le stime dell’OCSE e della Commissione, il quattro per cento del prodotto interno lordo — oltre seicento miliardi di euro l’anno —, sicché il costo aggregato del servizio a regime, dell’ordine di pochi miliardi di euro l’anno, resta una frazione minima dell’onere annuo della malattia; il confronto è di scala, discorsivo, e non costituisce un rapporto sintetico fra benefici e costi.</w:t>
      </w:r>
      <w:r>
        <w:rPr>
          <w:rStyle w:val="FootnoteReference"/>
        </w:rPr>
        <w:footnoteReference w:id="3869"/>
      </w:r>
    </w:p>
    <w:bookmarkEnd w:id="4507"/>
    <w:bookmarkStart w:id="1513" w:name="cinque-risultati-chiave-21"/>
    <w:p>
      <w:pPr>
        <w:pStyle w:val="Heading1"/>
      </w:pPr>
      <w:r>
        <w:t xml:space="preserve">Cinque risultati chiave</w:t>
      </w:r>
    </w:p>
    <w:p>
      <w:pPr>
        <w:pStyle w:val="FirstParagraph"/>
      </w:pPr>
      <w:r>
        <w:t xml:space="preserve">Il primo risultato è che il modello è costo-efficace su tutti gli orizzonti sotto entrambi gli ancoraggi anche nell’aggregazione unionale. Il secondo è che il verdetto tripartito resta favorevole in ciascuno dei tre piani, senza aggregazione, con l’avvertenza dell’eterogeneità fra Stati dichiarata quale caratteristica strutturale dell’asse unionale. Il terzo è che il divario fra il bisogno e la risposta è, a livello europeo, documentato dalle fonti attribuite — la prevalenza del disagio in quasi un cittadino su due, il divario di trattamento medio intorno al settantotto virgola sei per cento per la depressione grave, l’integrazione nelle cure primarie soddisfatta da una minoranza di paesi — e costituisce la giustificazione primaria dell’intervento. Il quarto è che esiste un benchmark operativo maturo e documentato, il modello olandese del professionista di supporto alla salute mentale presso il medico di famiglia, la cui adozione è cresciuta da circa un terzo a circa tre quarti dei medici di medicina generale e che opera sotto condizioni contrattuali aggiornate per il triennio 2026–2028. Il quinto è che la simulazione aggregata di primo ordine — scenari dell’ordine di cinquantamila, settantatremila e novantottomila incarichi equivalenti, con un costo a regime dell’ordine di quattro-quattro miliardi e mezzo di euro l’anno nello scenario di base — colloca l’intervento entro una scala compatibile con gli strumenti finanziari già mobilitati dall’Unione per la salute mentale.</w:t>
      </w:r>
      <w:r>
        <w:rPr>
          <w:rStyle w:val="FootnoteReference"/>
        </w:rPr>
        <w:footnoteReference w:id="3870"/>
      </w:r>
    </w:p>
    <w:bookmarkEnd w:id="1513"/>
    <w:bookmarkStart w:id="1515" w:name="raccomandazioni-operative-21"/>
    <w:p>
      <w:pPr>
        <w:pStyle w:val="Heading1"/>
      </w:pPr>
      <w:r>
        <w:t xml:space="preserve">Raccomandazioni operative</w:t>
      </w:r>
    </w:p>
    <w:p>
      <w:pPr>
        <w:pStyle w:val="FirstParagraph"/>
      </w:pPr>
      <w:r>
        <w:t xml:space="preserve">La prima raccomandazione, rivolta alle istituzioni dell’Unione nel rispetto della competenza di sostegno, è di assumere l’integrazione dello psicologo nelle cure primarie quale priorità operativa dell’approccio globale alla salute mentale, orientando gli strumenti esistenti — i finanziamenti del programma per la salute, i fondi di coesione, il semestre europeo per le raccomandazioni specifiche per paese — verso la copertura del primo livello psicologico. La seconda, rivolta agli Stati Membri, è di procedere per gradini secondo i tre scenari del Reference Case, assumendo il benchmark olandese quale riferimento operativo e adattandolo ai rispettivi assetti — assicurativi, nazionali o regionali —, con priorità agli Stati e alle aree a maggiore divario di trattamento e a minore dotazione di psicologi. La terza è di istituire un cruscotto unionale comparabile — sul modello delle appendici registrate dell’opera — che misuri Stato per Stato la copertura, gli esiti clinici e i costi, accompagnando l’estensione con la telepsicologia assistita sotto supervisione clinica, entro il quadro del regolamento sull’intelligenza artificiale, e con i piani formativi a quattro modalità.</w:t>
      </w:r>
      <w:r>
        <w:rPr>
          <w:rStyle w:val="FootnoteReference"/>
        </w:rPr>
        <w:footnoteReference w:id="3871"/>
      </w:r>
    </w:p>
    <w:p>
      <w:r>
        <w:br w:type="page"/>
      </w:r>
    </w:p>
    <w:bookmarkEnd w:id="1515"/>
    <w:bookmarkStart w:id="4508" w:name="Xba94cab6a022998f7dadbc292477dc96b364755"/>
    <w:p>
      <w:pPr>
        <w:pStyle w:val="Heading1"/>
      </w:pPr>
      <w:r>
        <w:t xml:space="preserve">Capitolo 1 — Il quadro europeo della salute mentale nelle cure primarie</w:t>
      </w:r>
    </w:p>
    <w:bookmarkStart w:id="4509" w:name="X1420aafa0d35f81d0b4aed885d833d1181cb9d2"/>
    <w:p>
      <w:pPr>
        <w:pStyle w:val="Heading2"/>
      </w:pPr>
      <w:r>
        <w:t xml:space="preserve">1.1 L’integrazione nelle cure primarie: lo stato dell’arte mondiale ed europeo</w:t>
      </w:r>
    </w:p>
    <w:p>
      <w:pPr>
        <w:pStyle w:val="FirstParagraph"/>
      </w:pPr>
      <w:r>
        <w:t xml:space="preserve">L’Atlante mondiale della salute mentale dell’Organizzazione Mondiale della Sanità, nella sua edizione 2024 condotta su centoquarantaquattro paesi, misura l’integrazione della salute mentale nelle cure primarie mediante cinque criteri; solo il dodici per cento dei paesi li soddisfa tutti, e solo il diciannove per cento dispone di interventi psicosociali nelle cure primarie. Il dato, riportato con attribuzione, colloca la questione europea entro un ritardo globale: anche nell’Unione, dove la copertura sanitaria universale è la regola, l’integrazione del primo livello psicologico resta l’eccezione, affidata a modelli nazionali disomogenei che il Capitolo 5 passa in rassegna Stato per Stato.</w:t>
      </w:r>
      <w:r>
        <w:rPr>
          <w:rStyle w:val="FootnoteReference"/>
        </w:rPr>
        <w:footnoteReference w:id="3872"/>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jc w:val="left"/>
            </w:pPr>
            <w:r>
              <w:rPr>
                <w:rFonts w:ascii="Cambria" w:hAnsi="Cambria" w:cs="Cambria" w:eastAsia="Cambria"/>
                <w:b/>
                <w:color w:val="FFFFFF"/>
                <w:sz w:val="18"/>
              </w:rPr>
              <w:t xml:space="preserve">Indicatore del quadro europeo</w:t>
            </w:r>
          </w:p>
        </w:tc>
        <w:tc>
          <w:tcPr>
            <w:shd w:val="clear" w:color="auto" w:fill="16264B"/>
          </w:tcPr>
          <w:p>
            <w:pPr>
              <w:pStyle w:val="Compact"/>
              <w:jc w:val="left"/>
            </w:pPr>
            <w:r>
              <w:rPr>
                <w:rFonts w:ascii="Cambria" w:hAnsi="Cambria" w:cs="Cambria" w:eastAsia="Cambria"/>
                <w:b/>
                <w:color w:val="FFFFFF"/>
                <w:sz w:val="18"/>
              </w:rPr>
              <w:t xml:space="preserve">Valore</w:t>
            </w:r>
          </w:p>
        </w:tc>
        <w:tc>
          <w:tcPr>
            <w:shd w:val="clear" w:color="auto" w:fill="16264B"/>
          </w:tcPr>
          <w:p>
            <w:pPr>
              <w:pStyle w:val="Compact"/>
              <w:jc w:val="left"/>
            </w:pPr>
            <w:r>
              <w:rPr>
                <w:rFonts w:ascii="Cambria" w:hAnsi="Cambria" w:cs="Cambria" w:eastAsia="Cambria"/>
                <w:b/>
                <w:color w:val="FFFFFF"/>
                <w:sz w:val="18"/>
              </w:rPr>
              <w:t xml:space="preserve">Fonte (attribuita)</w:t>
            </w:r>
          </w:p>
        </w:tc>
      </w:tr>
      <w:tr>
        <w:tc>
          <w:tcPr/>
          <w:p>
            <w:pPr>
              <w:pStyle w:val="Compact"/>
              <w:jc w:val="left"/>
            </w:pPr>
            <w:r>
              <w:rPr>
                <w:rFonts w:ascii="Cambria" w:hAnsi="Cambria" w:cs="Cambria" w:eastAsia="Cambria"/>
                <w:sz w:val="18"/>
              </w:rPr>
              <w:t xml:space="preserve">Paesi che soddisfano tutti i criteri di integrazione</w:t>
            </w:r>
          </w:p>
        </w:tc>
        <w:tc>
          <w:tcPr/>
          <w:p>
            <w:pPr>
              <w:pStyle w:val="Compact"/>
              <w:jc w:val="left"/>
            </w:pPr>
            <w:r>
              <w:rPr>
                <w:rFonts w:ascii="Cambria" w:hAnsi="Cambria" w:cs="Cambria" w:eastAsia="Cambria"/>
                <w:sz w:val="18"/>
              </w:rPr>
              <w:t xml:space="preserve">≈ 12% (su 144 paesi)</w:t>
            </w:r>
          </w:p>
        </w:tc>
        <w:tc>
          <w:tcPr/>
          <w:p>
            <w:pPr>
              <w:pStyle w:val="Compact"/>
              <w:jc w:val="left"/>
            </w:pPr>
            <w:r>
              <w:rPr>
                <w:rFonts w:ascii="Cambria" w:hAnsi="Cambria" w:cs="Cambria" w:eastAsia="Cambria"/>
                <w:sz w:val="18"/>
              </w:rPr>
              <w:t xml:space="preserve">WHO Mental Health Atlas 2024</w:t>
            </w:r>
          </w:p>
        </w:tc>
      </w:tr>
      <w:tr>
        <w:tc>
          <w:tcPr>
            <w:shd w:val="clear" w:color="auto" w:fill="F4F1EC"/>
          </w:tcPr>
          <w:p>
            <w:pPr>
              <w:pStyle w:val="Compact"/>
              <w:jc w:val="left"/>
            </w:pPr>
            <w:r>
              <w:rPr>
                <w:rFonts w:ascii="Cambria" w:hAnsi="Cambria" w:cs="Cambria" w:eastAsia="Cambria"/>
                <w:sz w:val="18"/>
              </w:rPr>
              <w:t xml:space="preserve">Paesi con interventi psicosociali in cure primarie</w:t>
            </w:r>
          </w:p>
        </w:tc>
        <w:tc>
          <w:tcPr>
            <w:shd w:val="clear" w:color="auto" w:fill="F4F1EC"/>
          </w:tcPr>
          <w:p>
            <w:pPr>
              <w:pStyle w:val="Compact"/>
              <w:jc w:val="left"/>
            </w:pPr>
            <w:r>
              <w:rPr>
                <w:rFonts w:ascii="Cambria" w:hAnsi="Cambria" w:cs="Cambria" w:eastAsia="Cambria"/>
                <w:sz w:val="18"/>
              </w:rPr>
              <w:t xml:space="preserve">≈ 19%</w:t>
            </w:r>
          </w:p>
        </w:tc>
        <w:tc>
          <w:tcPr>
            <w:shd w:val="clear" w:color="auto" w:fill="F4F1EC"/>
          </w:tcPr>
          <w:p>
            <w:pPr>
              <w:pStyle w:val="Compact"/>
              <w:jc w:val="left"/>
            </w:pPr>
            <w:r>
              <w:rPr>
                <w:rFonts w:ascii="Cambria" w:hAnsi="Cambria" w:cs="Cambria" w:eastAsia="Cambria"/>
                <w:sz w:val="18"/>
              </w:rPr>
              <w:t xml:space="preserve">WHO Mental Health Atlas 2024</w:t>
            </w:r>
          </w:p>
        </w:tc>
      </w:tr>
      <w:tr>
        <w:tc>
          <w:tcPr/>
          <w:p>
            <w:pPr>
              <w:pStyle w:val="Compact"/>
              <w:jc w:val="left"/>
            </w:pPr>
            <w:r>
              <w:rPr>
                <w:rFonts w:ascii="Cambria" w:hAnsi="Cambria" w:cs="Cambria" w:eastAsia="Cambria"/>
                <w:sz w:val="18"/>
              </w:rPr>
              <w:t xml:space="preserve">Prevalenza del disagio nell’ultimo anno (UE)</w:t>
            </w:r>
          </w:p>
        </w:tc>
        <w:tc>
          <w:tcPr/>
          <w:p>
            <w:pPr>
              <w:pStyle w:val="Compact"/>
              <w:jc w:val="left"/>
            </w:pPr>
            <w:r>
              <w:rPr>
                <w:rFonts w:ascii="Cambria" w:hAnsi="Cambria" w:cs="Cambria" w:eastAsia="Cambria"/>
                <w:sz w:val="18"/>
              </w:rPr>
              <w:t xml:space="preserve">Quasi un cittadino su due</w:t>
            </w:r>
          </w:p>
        </w:tc>
        <w:tc>
          <w:tcPr/>
          <w:p>
            <w:pPr>
              <w:pStyle w:val="Compact"/>
              <w:jc w:val="left"/>
            </w:pPr>
            <w:r>
              <w:rPr>
                <w:rFonts w:ascii="Cambria" w:hAnsi="Cambria" w:cs="Cambria" w:eastAsia="Cambria"/>
                <w:sz w:val="18"/>
              </w:rPr>
              <w:t xml:space="preserve">Flash Eurobarometro 530</w:t>
            </w:r>
          </w:p>
        </w:tc>
      </w:tr>
      <w:tr>
        <w:tc>
          <w:tcPr>
            <w:shd w:val="clear" w:color="auto" w:fill="F4F1EC"/>
          </w:tcPr>
          <w:p>
            <w:pPr>
              <w:pStyle w:val="Compact"/>
              <w:jc w:val="left"/>
            </w:pPr>
            <w:r>
              <w:rPr>
                <w:rFonts w:ascii="Cambria" w:hAnsi="Cambria" w:cs="Cambria" w:eastAsia="Cambria"/>
                <w:sz w:val="18"/>
              </w:rPr>
              <w:t xml:space="preserve">Assenza di aiuto professionale fra chi ha disagio</w:t>
            </w:r>
          </w:p>
        </w:tc>
        <w:tc>
          <w:tcPr>
            <w:shd w:val="clear" w:color="auto" w:fill="F4F1EC"/>
          </w:tcPr>
          <w:p>
            <w:pPr>
              <w:pStyle w:val="Compact"/>
              <w:jc w:val="left"/>
            </w:pPr>
            <w:r>
              <w:rPr>
                <w:rFonts w:ascii="Cambria" w:hAnsi="Cambria" w:cs="Cambria" w:eastAsia="Cambria"/>
                <w:sz w:val="18"/>
              </w:rPr>
              <w:t xml:space="preserve">Oltre la metà</w:t>
            </w:r>
          </w:p>
        </w:tc>
        <w:tc>
          <w:tcPr>
            <w:shd w:val="clear" w:color="auto" w:fill="F4F1EC"/>
          </w:tcPr>
          <w:p>
            <w:pPr>
              <w:pStyle w:val="Compact"/>
              <w:jc w:val="left"/>
            </w:pPr>
            <w:r>
              <w:rPr>
                <w:rFonts w:ascii="Cambria" w:hAnsi="Cambria" w:cs="Cambria" w:eastAsia="Cambria"/>
                <w:sz w:val="18"/>
              </w:rPr>
              <w:t xml:space="preserve">Flash Eurobarometro 530</w:t>
            </w:r>
          </w:p>
        </w:tc>
      </w:tr>
      <w:tr>
        <w:tc>
          <w:tcPr/>
          <w:p>
            <w:pPr>
              <w:pStyle w:val="Compact"/>
              <w:jc w:val="left"/>
            </w:pPr>
            <w:r>
              <w:rPr>
                <w:rFonts w:ascii="Cambria" w:hAnsi="Cambria" w:cs="Cambria" w:eastAsia="Cambria"/>
                <w:sz w:val="18"/>
              </w:rPr>
              <w:t xml:space="preserve">Divario di trattamento, depressione grave (media UE)</w:t>
            </w:r>
          </w:p>
        </w:tc>
        <w:tc>
          <w:tcPr/>
          <w:p>
            <w:pPr>
              <w:pStyle w:val="Compact"/>
              <w:jc w:val="left"/>
            </w:pPr>
            <w:r>
              <w:rPr>
                <w:rFonts w:ascii="Cambria" w:hAnsi="Cambria" w:cs="Cambria" w:eastAsia="Cambria"/>
                <w:sz w:val="18"/>
              </w:rPr>
              <w:t xml:space="preserve">≈ 78,6%</w:t>
            </w:r>
          </w:p>
        </w:tc>
        <w:tc>
          <w:tcPr/>
          <w:p>
            <w:pPr>
              <w:pStyle w:val="Compact"/>
              <w:jc w:val="left"/>
            </w:pPr>
            <w:r>
              <w:rPr>
                <w:rFonts w:ascii="Cambria" w:hAnsi="Cambria" w:cs="Cambria" w:eastAsia="Cambria"/>
                <w:sz w:val="18"/>
              </w:rPr>
              <w:t xml:space="preserve">Eurofound 2025</w:t>
            </w:r>
          </w:p>
        </w:tc>
      </w:tr>
      <w:tr>
        <w:tc>
          <w:tcPr>
            <w:shd w:val="clear" w:color="auto" w:fill="F4F1EC"/>
          </w:tcPr>
          <w:p>
            <w:pPr>
              <w:pStyle w:val="Compact"/>
              <w:jc w:val="left"/>
            </w:pPr>
            <w:r>
              <w:rPr>
                <w:rFonts w:ascii="Cambria" w:hAnsi="Cambria" w:cs="Cambria" w:eastAsia="Cambria"/>
                <w:sz w:val="18"/>
              </w:rPr>
              <w:t xml:space="preserve">Dotazione mediana di psicologi</w:t>
            </w:r>
          </w:p>
        </w:tc>
        <w:tc>
          <w:tcPr>
            <w:shd w:val="clear" w:color="auto" w:fill="F4F1EC"/>
          </w:tcPr>
          <w:p>
            <w:pPr>
              <w:pStyle w:val="Compact"/>
              <w:jc w:val="left"/>
            </w:pPr>
            <w:r>
              <w:rPr>
                <w:rFonts w:ascii="Cambria" w:hAnsi="Cambria" w:cs="Cambria" w:eastAsia="Cambria"/>
                <w:sz w:val="18"/>
              </w:rPr>
              <w:t xml:space="preserve">≈ 9,3 per 100.000 abitanti adulti</w:t>
            </w:r>
          </w:p>
        </w:tc>
        <w:tc>
          <w:tcPr>
            <w:shd w:val="clear" w:color="auto" w:fill="F4F1EC"/>
          </w:tcPr>
          <w:p>
            <w:pPr>
              <w:pStyle w:val="Compact"/>
              <w:jc w:val="left"/>
            </w:pPr>
            <w:r>
              <w:rPr>
                <w:rFonts w:ascii="Cambria" w:hAnsi="Cambria" w:cs="Cambria" w:eastAsia="Cambria"/>
                <w:sz w:val="18"/>
              </w:rPr>
              <w:t xml:space="preserve">Workforce europea</w:t>
            </w:r>
          </w:p>
        </w:tc>
      </w:tr>
    </w:tbl>
    <w:p>
      <w:pPr>
        <w:pStyle w:val="BodyText"/>
      </w:pPr>
      <w:r>
        <w:rPr>
          <w:i/>
          <w:iCs/>
        </w:rPr>
        <w:t xml:space="preserve">Tabella 1.1. Il quadro europeo della salute mentale nelle cure primarie: gli indicatori essenziali con attribuzione alla fonte.</w:t>
      </w:r>
    </w:p>
    <w:bookmarkEnd w:id="4509"/>
    <w:bookmarkStart w:id="4510" w:name="Xeba166dbd9fd62c5871fcb2d68521438fcb8597"/>
    <w:p>
      <w:pPr>
        <w:pStyle w:val="Heading2"/>
      </w:pPr>
      <w:r>
        <w:t xml:space="preserve">1.2 Il bisogno e il divario di trattamento nell’Unione</w:t>
      </w:r>
    </w:p>
    <w:p>
      <w:pPr>
        <w:pStyle w:val="FirstParagraph"/>
      </w:pPr>
      <w:r>
        <w:t xml:space="preserve">Il bisogno europeo è documentato dall’indagine Flash Eurobarometro 530, secondo cui quasi un cittadino su due ha sperimentato problemi emotivi o psicosociali nei dodici mesi precedenti e più della metà di costoro non ha ricevuto aiuto professionale; il divario di trattamento per la depressione grave si attesta in media, secondo la rilevazione di Eurofound del 2025, intorno al settantotto virgola sei per cento, con ampia variabilità fra gli Stati. Il divario europeo ha la medesima struttura di quello regionale italiano descritto nei Volumi 2–21 — domanda inevasa, domanda impropriamente incanalata verso la medicina generale, l’emergenza e la prescrizione farmaceutica —, ma la sua misura media è aggravata, in una parte degli Stati Membri, da dotazioni di servizi fra le più basse e da barriere economiche all’accesso privato.</w:t>
      </w:r>
      <w:r>
        <w:rPr>
          <w:rStyle w:val="FootnoteReference"/>
        </w:rPr>
        <w:footnoteReference w:id="3873"/>
      </w:r>
    </w:p>
    <w:bookmarkEnd w:id="4510"/>
    <w:bookmarkStart w:id="4511" w:name="X06d22c702e916c9d24ecae2d66c4b6b36e87f70"/>
    <w:p>
      <w:pPr>
        <w:pStyle w:val="Heading2"/>
      </w:pPr>
      <w:r>
        <w:t xml:space="preserve">1.3 La dotazione di psicologi e la sua distribuzione</w:t>
      </w:r>
    </w:p>
    <w:p>
      <w:pPr>
        <w:pStyle w:val="FirstParagraph"/>
      </w:pPr>
      <w:r>
        <w:t xml:space="preserve">La dotazione mediana europea di psicologi nei sistemi sanitari è dell’ordine di nove virgola tre per centomila abitanti adulti, con una distribuzione fortemente diseguale: gli Stati del Nord e dell’Ovest presentano dotazioni multiple della mediana, mentre una parte degli Stati dell’Est e del Sud-Est si colloca ampiamente al di sotto. La distribuzione della workforce è la condizione abilitante materiale dell’integrazione: ove la dotazione è bassa, l’introduzione del primo livello psicologico richiede un investimento formativo preliminare, che il Reference Case tratta nella leva formativa a quattro modalità; ove la dotazione è adeguata, la questione è organizzativa e contrattuale, come il benchmark olandese del Capitolo 4 dimostra. La misura Stato per Stato è oggetto dell’estrazione registrata in Appendice B, con le lacune dichiarate.</w:t>
      </w:r>
      <w:r>
        <w:rPr>
          <w:rStyle w:val="FootnoteReference"/>
        </w:rPr>
        <w:footnoteReference w:id="3874"/>
      </w:r>
    </w:p>
    <w:p>
      <w:r>
        <w:br w:type="page"/>
      </w:r>
    </w:p>
    <w:bookmarkEnd w:id="4511"/>
    <w:bookmarkEnd w:id="4508"/>
    <w:bookmarkStart w:id="1527" w:name="X35f8463f20f00f0223e17770d7d18f672846549"/>
    <w:p>
      <w:pPr>
        <w:pStyle w:val="Heading1"/>
      </w:pPr>
      <w:r>
        <w:t xml:space="preserve">Capitolo 2 — Il quadro istituzionale e normativo dell’Unione</w:t>
      </w:r>
    </w:p>
    <w:bookmarkStart w:id="1524" w:name="X79369394a5a116f29c2d0495f6d7b6d5d3ba923"/>
    <w:p>
      <w:pPr>
        <w:pStyle w:val="Heading2"/>
      </w:pPr>
      <w:r>
        <w:t xml:space="preserve">2.1 L’approccio globale alla salute mentale della Commissione</w:t>
      </w:r>
    </w:p>
    <w:p>
      <w:pPr>
        <w:pStyle w:val="FirstParagraph"/>
      </w:pPr>
      <w:r>
        <w:t xml:space="preserve">La comunicazione della Commissione Europea COM(2023) 298, «Un approccio globale alla salute mentale», ha segnato il riconoscimento istituzionale della salute mentale quale priorità dell’Unione, mobilitando risorse dell’ordine di un miliardo e duecentotrenta milioni di euro attraverso venti iniziative faro, articolate sulla prevenzione, sull’accesso alle cure e sul reinserimento. La comunicazione opera entro la competenza di sostegno che i Trattati assegnano all’Unione in materia sanitaria: essa non impone modelli organizzativi, ma orienta i finanziamenti, promuove lo scambio di buone pratiche — fra cui l’azione congiunta sull’attuazione delle riforme dei sistemi di salute mentale — e alimenta il semestre europeo con raccomandazioni specifiche per paese. Il presente Volume si colloca entro questo quadro: la valutazione aggregata offre al decisore unionale la misura comparabile di un intervento che resta, nella sua attuazione, di competenza degli Stati.</w:t>
      </w:r>
      <w:r>
        <w:rPr>
          <w:rStyle w:val="FootnoteReference"/>
        </w:rPr>
        <w:footnoteReference w:id="3875"/>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jc w:val="left"/>
            </w:pPr>
            <w:r>
              <w:rPr>
                <w:rFonts w:ascii="Cambria" w:hAnsi="Cambria" w:cs="Cambria" w:eastAsia="Cambria"/>
                <w:b/>
                <w:color w:val="FFFFFF"/>
                <w:sz w:val="18"/>
              </w:rPr>
              <w:t xml:space="preserve">Elemento del quadro istituzionale</w:t>
            </w:r>
          </w:p>
        </w:tc>
        <w:tc>
          <w:tcPr>
            <w:shd w:val="clear" w:color="auto" w:fill="16264B"/>
          </w:tcPr>
          <w:p>
            <w:pPr>
              <w:pStyle w:val="Compact"/>
              <w:jc w:val="left"/>
            </w:pPr>
            <w:r>
              <w:rPr>
                <w:rFonts w:ascii="Cambria" w:hAnsi="Cambria" w:cs="Cambria" w:eastAsia="Cambria"/>
                <w:b/>
                <w:color w:val="FFFFFF"/>
                <w:sz w:val="18"/>
              </w:rPr>
              <w:t xml:space="preserve">Contenuto</w:t>
            </w:r>
          </w:p>
        </w:tc>
        <w:tc>
          <w:tcPr>
            <w:shd w:val="clear" w:color="auto" w:fill="16264B"/>
          </w:tcPr>
          <w:p>
            <w:pPr>
              <w:pStyle w:val="Compact"/>
              <w:jc w:val="left"/>
            </w:pPr>
            <w:r>
              <w:rPr>
                <w:rFonts w:ascii="Cambria" w:hAnsi="Cambria" w:cs="Cambria" w:eastAsia="Cambria"/>
                <w:b/>
                <w:color w:val="FFFFFF"/>
                <w:sz w:val="18"/>
              </w:rPr>
              <w:t xml:space="preserve">Rilievo per la valutazione</w:t>
            </w:r>
          </w:p>
        </w:tc>
      </w:tr>
      <w:tr>
        <w:tc>
          <w:tcPr/>
          <w:p>
            <w:pPr>
              <w:pStyle w:val="Compact"/>
              <w:jc w:val="left"/>
            </w:pPr>
            <w:r>
              <w:rPr>
                <w:rFonts w:ascii="Cambria" w:hAnsi="Cambria" w:cs="Cambria" w:eastAsia="Cambria"/>
                <w:sz w:val="18"/>
              </w:rPr>
              <w:t xml:space="preserve">COM(2023) 298</w:t>
            </w:r>
          </w:p>
        </w:tc>
        <w:tc>
          <w:tcPr/>
          <w:p>
            <w:pPr>
              <w:pStyle w:val="Compact"/>
              <w:jc w:val="left"/>
            </w:pPr>
            <w:r>
              <w:rPr>
                <w:rFonts w:ascii="Cambria" w:hAnsi="Cambria" w:cs="Cambria" w:eastAsia="Cambria"/>
                <w:sz w:val="18"/>
              </w:rPr>
              <w:t xml:space="preserve">Approccio globale; ≈ 1,23 miliardi €; 20 iniziative faro</w:t>
            </w:r>
          </w:p>
        </w:tc>
        <w:tc>
          <w:tcPr/>
          <w:p>
            <w:pPr>
              <w:pStyle w:val="Compact"/>
              <w:jc w:val="left"/>
            </w:pPr>
            <w:r>
              <w:rPr>
                <w:rFonts w:ascii="Cambria" w:hAnsi="Cambria" w:cs="Cambria" w:eastAsia="Cambria"/>
                <w:sz w:val="18"/>
              </w:rPr>
              <w:t xml:space="preserve">Cornice politica e finanziaria</w:t>
            </w:r>
          </w:p>
        </w:tc>
      </w:tr>
      <w:tr>
        <w:tc>
          <w:tcPr>
            <w:shd w:val="clear" w:color="auto" w:fill="F4F1EC"/>
          </w:tcPr>
          <w:p>
            <w:pPr>
              <w:pStyle w:val="Compact"/>
              <w:jc w:val="left"/>
            </w:pPr>
            <w:r>
              <w:rPr>
                <w:rFonts w:ascii="Cambria" w:hAnsi="Cambria" w:cs="Cambria" w:eastAsia="Cambria"/>
                <w:sz w:val="18"/>
              </w:rPr>
              <w:t xml:space="preserve">Competenza sanitaria</w:t>
            </w:r>
          </w:p>
        </w:tc>
        <w:tc>
          <w:tcPr>
            <w:shd w:val="clear" w:color="auto" w:fill="F4F1EC"/>
          </w:tcPr>
          <w:p>
            <w:pPr>
              <w:pStyle w:val="Compact"/>
              <w:jc w:val="left"/>
            </w:pPr>
            <w:r>
              <w:rPr>
                <w:rFonts w:ascii="Cambria" w:hAnsi="Cambria" w:cs="Cambria" w:eastAsia="Cambria"/>
                <w:sz w:val="18"/>
              </w:rPr>
              <w:t xml:space="preserve">Sostegno, coordinamento, completamento</w:t>
            </w:r>
          </w:p>
        </w:tc>
        <w:tc>
          <w:tcPr>
            <w:shd w:val="clear" w:color="auto" w:fill="F4F1EC"/>
          </w:tcPr>
          <w:p>
            <w:pPr>
              <w:pStyle w:val="Compact"/>
              <w:jc w:val="left"/>
            </w:pPr>
            <w:r>
              <w:rPr>
                <w:rFonts w:ascii="Cambria" w:hAnsi="Cambria" w:cs="Cambria" w:eastAsia="Cambria"/>
                <w:sz w:val="18"/>
              </w:rPr>
              <w:t xml:space="preserve">Attuazione in capo agli Stati</w:t>
            </w:r>
          </w:p>
        </w:tc>
      </w:tr>
      <w:tr>
        <w:tc>
          <w:tcPr/>
          <w:p>
            <w:pPr>
              <w:pStyle w:val="Compact"/>
              <w:jc w:val="left"/>
            </w:pPr>
            <w:r>
              <w:rPr>
                <w:rFonts w:ascii="Cambria" w:hAnsi="Cambria" w:cs="Cambria" w:eastAsia="Cambria"/>
                <w:sz w:val="18"/>
              </w:rPr>
              <w:t xml:space="preserve">Azione congiunta sulle riforme</w:t>
            </w:r>
          </w:p>
        </w:tc>
        <w:tc>
          <w:tcPr/>
          <w:p>
            <w:pPr>
              <w:pStyle w:val="Compact"/>
              <w:jc w:val="left"/>
            </w:pPr>
            <w:r>
              <w:rPr>
                <w:rFonts w:ascii="Cambria" w:hAnsi="Cambria" w:cs="Cambria" w:eastAsia="Cambria"/>
                <w:sz w:val="18"/>
              </w:rPr>
              <w:t xml:space="preserve">Scambio di buone pratiche fra Stati</w:t>
            </w:r>
          </w:p>
        </w:tc>
        <w:tc>
          <w:tcPr/>
          <w:p>
            <w:pPr>
              <w:pStyle w:val="Compact"/>
              <w:jc w:val="left"/>
            </w:pPr>
            <w:r>
              <w:rPr>
                <w:rFonts w:ascii="Cambria" w:hAnsi="Cambria" w:cs="Cambria" w:eastAsia="Cambria"/>
                <w:sz w:val="18"/>
              </w:rPr>
              <w:t xml:space="preserve">Veicolo di trasferimento del modello</w:t>
            </w:r>
          </w:p>
        </w:tc>
      </w:tr>
      <w:tr>
        <w:tc>
          <w:tcPr>
            <w:shd w:val="clear" w:color="auto" w:fill="F4F1EC"/>
          </w:tcPr>
          <w:p>
            <w:pPr>
              <w:pStyle w:val="Compact"/>
              <w:jc w:val="left"/>
            </w:pPr>
            <w:r>
              <w:rPr>
                <w:rFonts w:ascii="Cambria" w:hAnsi="Cambria" w:cs="Cambria" w:eastAsia="Cambria"/>
                <w:sz w:val="18"/>
              </w:rPr>
              <w:t xml:space="preserve">Regolamento (UE) 2024/1689</w:t>
            </w:r>
          </w:p>
        </w:tc>
        <w:tc>
          <w:tcPr>
            <w:shd w:val="clear" w:color="auto" w:fill="F4F1EC"/>
          </w:tcPr>
          <w:p>
            <w:pPr>
              <w:pStyle w:val="Compact"/>
              <w:jc w:val="left"/>
            </w:pPr>
            <w:r>
              <w:rPr>
                <w:rFonts w:ascii="Cambria" w:hAnsi="Cambria" w:cs="Cambria" w:eastAsia="Cambria"/>
                <w:sz w:val="18"/>
              </w:rPr>
              <w:t xml:space="preserve">Disciplina dell’intelligenza artificiale</w:t>
            </w:r>
          </w:p>
        </w:tc>
        <w:tc>
          <w:tcPr>
            <w:shd w:val="clear" w:color="auto" w:fill="F4F1EC"/>
          </w:tcPr>
          <w:p>
            <w:pPr>
              <w:pStyle w:val="Compact"/>
              <w:jc w:val="left"/>
            </w:pPr>
            <w:r>
              <w:rPr>
                <w:rFonts w:ascii="Cambria" w:hAnsi="Cambria" w:cs="Cambria" w:eastAsia="Cambria"/>
                <w:sz w:val="18"/>
              </w:rPr>
              <w:t xml:space="preserve">Perimetro dello strato digitale</w:t>
            </w:r>
          </w:p>
        </w:tc>
      </w:tr>
      <w:tr>
        <w:tc>
          <w:tcPr/>
          <w:p>
            <w:pPr>
              <w:pStyle w:val="Compact"/>
              <w:jc w:val="left"/>
            </w:pPr>
            <w:r>
              <w:rPr>
                <w:rFonts w:ascii="Cambria" w:hAnsi="Cambria" w:cs="Cambria" w:eastAsia="Cambria"/>
                <w:sz w:val="18"/>
              </w:rPr>
              <w:t xml:space="preserve">Semestre europeo</w:t>
            </w:r>
          </w:p>
        </w:tc>
        <w:tc>
          <w:tcPr/>
          <w:p>
            <w:pPr>
              <w:pStyle w:val="Compact"/>
              <w:jc w:val="left"/>
            </w:pPr>
            <w:r>
              <w:rPr>
                <w:rFonts w:ascii="Cambria" w:hAnsi="Cambria" w:cs="Cambria" w:eastAsia="Cambria"/>
                <w:sz w:val="18"/>
              </w:rPr>
              <w:t xml:space="preserve">Raccomandazioni specifiche per paese</w:t>
            </w:r>
          </w:p>
        </w:tc>
        <w:tc>
          <w:tcPr/>
          <w:p>
            <w:pPr>
              <w:pStyle w:val="Compact"/>
              <w:jc w:val="left"/>
            </w:pPr>
            <w:r>
              <w:rPr>
                <w:rFonts w:ascii="Cambria" w:hAnsi="Cambria" w:cs="Cambria" w:eastAsia="Cambria"/>
                <w:sz w:val="18"/>
              </w:rPr>
              <w:t xml:space="preserve">Leva di orientamento</w:t>
            </w:r>
          </w:p>
        </w:tc>
      </w:tr>
    </w:tbl>
    <w:p>
      <w:pPr>
        <w:pStyle w:val="BodyText"/>
      </w:pPr>
      <w:r>
        <w:rPr>
          <w:i/>
          <w:iCs/>
        </w:rPr>
        <w:t xml:space="preserve">Tabella 2.1. Il quadro istituzionale e normativo dell’Unione entro cui la valutazione aggregata si colloca.</w:t>
      </w:r>
    </w:p>
    <w:bookmarkEnd w:id="1524"/>
    <w:bookmarkStart w:id="4512" w:name="Xe3a40412157b64125fe725633e8377634ec3859"/>
    <w:p>
      <w:pPr>
        <w:pStyle w:val="Heading2"/>
      </w:pPr>
      <w:r>
        <w:t xml:space="preserve">2.2 Il regolamento sull’intelligenza artificiale e lo strato digitale</w:t>
      </w:r>
    </w:p>
    <w:p>
      <w:pPr>
        <w:pStyle w:val="FirstParagraph"/>
      </w:pPr>
      <w:r>
        <w:t xml:space="preserve">Il regolamento (UE) 2024/1689 disciplina l’impiego dei sistemi di intelligenza artificiale nell’Unione secondo un approccio basato sul rischio, entro il quale gli impieghi sanitari ricadono in larga parte fra i sistemi ad alto rischio, soggetti a requisiti di sorveglianza umana, robustezza e trasparenza. Lo strato dell’Intelligenza Artificiale della presente valutazione — lo screening e il triage digitale, la documentazione clinica assistita, gli interventi digitali aumentati, l’ottimizzazione allocativa e la funzione predittiva sulle ricadute — è collocato interamente entro questo perimetro: moltiplicatore di efficienza subordinato alla supervisione clinica umana, mai attore autonomo di valore, con nota di cautela permanente sulla natura previsionale delle proiezioni. L’asse unionale aggiunge un argomento proprio: la disciplina uniforme del regolamento rende lo strato digitale l’elemento più naturalmente armonizzabile del modello fra i ventisette Stati.</w:t>
      </w:r>
      <w:r>
        <w:rPr>
          <w:rStyle w:val="FootnoteReference"/>
        </w:rPr>
        <w:footnoteReference w:id="3876"/>
      </w:r>
    </w:p>
    <w:p>
      <w:r>
        <w:br w:type="page"/>
      </w:r>
    </w:p>
    <w:bookmarkEnd w:id="4512"/>
    <w:bookmarkEnd w:id="1527"/>
    <w:bookmarkStart w:id="1532" w:name="Xd017bbaf8808c59aca8e175be13d824f953bceb"/>
    <w:p>
      <w:pPr>
        <w:pStyle w:val="Heading1"/>
      </w:pPr>
      <w:r>
        <w:t xml:space="preserve">Capitolo 3 — La metodologia della valutazione aggregata</w:t>
      </w:r>
    </w:p>
    <w:bookmarkStart w:id="4513" w:name="il-reference-case-unionale-per-rimando"/>
    <w:p>
      <w:pPr>
        <w:pStyle w:val="Heading2"/>
      </w:pPr>
      <w:r>
        <w:t xml:space="preserve">3.1 Il Reference Case unionale per rimando</w:t>
      </w:r>
    </w:p>
    <w:p>
      <w:pPr>
        <w:pStyle w:val="FirstParagraph"/>
      </w:pPr>
      <w:r>
        <w:t xml:space="preserve">La metodologia del presente Volume è quella fissata nel Volume 0.B, cui si rimanda integralmente: la prospettiva congiunta sanitaria e societale, la popolazione bersaglio dei disturbi mentali comuni intercettabili in cure primarie, il comparatore dell’assistenza usuale, la metrica degli anni di vita ponderati per la qualità con verdetto tripartito non aggregato, il tasso di sconto del tre per cento con sensitività, gli orizzonti standard da uno a dieci anni, il modello di Markov a coorte, le soglie di costo-efficacia da ventimila a cinquantamila euro per anno di vita ponderato, e il protocollo obbligatorio dell’incertezza. L’adattamento unionale, definito nel Volume 0.B, riguarda l’unità di analisi — lo Stato Membro in luogo della regione — e il trattamento dell’eterogeneità: i differenziali di costo del lavoro sanitario, di prezzo e di organizzazione fra gli Stati sono trattati quali fattori dichiarati di incertezza, non assorbiti in medie tacite.</w:t>
      </w:r>
      <w:r>
        <w:rPr>
          <w:rStyle w:val="FootnoteReference"/>
        </w:rPr>
        <w:footnoteReference w:id="3877"/>
      </w:r>
    </w:p>
    <w:bookmarkEnd w:id="4513"/>
    <w:bookmarkStart w:id="4514" w:name="la-simulazione-appaiata-e-le-due-colonne"/>
    <w:p>
      <w:pPr>
        <w:pStyle w:val="Heading2"/>
      </w:pPr>
      <w:r>
        <w:t xml:space="preserve">3.2 La simulazione appaiata e le due colonne</w:t>
      </w:r>
    </w:p>
    <w:p>
      <w:pPr>
        <w:pStyle w:val="FirstParagraph"/>
      </w:pPr>
      <w:r>
        <w:t xml:space="preserve">La simulazione aggregata mantiene l’architettura appaiata a due colonne dell’intera opera: la Colonna A applica i parametri di Chisholm e dell’Organizzazione Mondiale della Sanità — il cui studio del 2016 resta il riferimento mondiale per il ritorno degli investimenti nel trattamento della depressione e dell’ansia —, la Colonna B applica i parametri aggiornati di Unisanté e dell’OCSE del 2026, con prevalenza della Colonna B nel giudizio. Le due colonne sono sempre affiancate in ogni tabella economica; nessun risultato è presentato sotto una colonna sola, e nessun rapporto sintetico fra benefici e costi è impiegato quale affermazione positiva, in identica applicazione dei principi che governano i Volumi regionali.</w:t>
      </w:r>
      <w:r>
        <w:rPr>
          <w:rStyle w:val="FootnoteReference"/>
        </w:rPr>
        <w:footnoteReference w:id="3878"/>
      </w:r>
    </w:p>
    <w:p>
      <w:r>
        <w:br w:type="page"/>
      </w:r>
    </w:p>
    <w:bookmarkEnd w:id="4514"/>
    <w:bookmarkEnd w:id="1532"/>
    <w:bookmarkStart w:id="4515" w:name="X531c0ea50d13da95396920f7ddbf1ee92e3442e"/>
    <w:p>
      <w:pPr>
        <w:pStyle w:val="Heading1"/>
      </w:pPr>
      <w:r>
        <w:t xml:space="preserve">Capitolo 4 — Il benchmark operativo: il modello olandese POH-GGZ</w:t>
      </w:r>
    </w:p>
    <w:bookmarkStart w:id="4516" w:name="larchitettura-del-modello-olandese"/>
    <w:p>
      <w:pPr>
        <w:pStyle w:val="Heading2"/>
      </w:pPr>
      <w:r>
        <w:t xml:space="preserve">4.1 L’architettura del modello olandese</w:t>
      </w:r>
    </w:p>
    <w:p>
      <w:pPr>
        <w:pStyle w:val="FirstParagraph"/>
      </w:pPr>
      <w:r>
        <w:t xml:space="preserve">Il benchmark operativo primario dell’asse unionale è il modello olandese del praktijkondersteuner huisarts geestelijke gezondheidszorg — il professionista di supporto alla salute mentale integrato nello studio del medico di famiglia. Introdotto per rafforzare il primo livello e ridurre la pressione sulla salute mentale specialistica, il modello colloca presso la medicina generale un professionista dedicato — psicologo o altro operatore della salute mentale con formazione specifica — che accoglie, valuta e tratta il disagio comune a bassa intensità, riservando l’invio ai livelli superiori ai casi che lo richiedono. L’adozione da parte dei medici di medicina generale è cresciuta da circa un terzo nei primi anni Dieci a circa tre quarti nel volgere di pochi anni, fino a raggiungere la grande maggioranza degli studi; il finanziamento è assicurativo, con condizioni contrattuali e criteri di valutazione periodicamente aggiornati, da ultimo per il triennio 2026–2028. La letteratura attribuita documenta, fra gli effetti, una riduzione dell’ordine del quaranta per cento dei rinvii alla psichiatria specialistica.</w:t>
      </w:r>
      <w:r>
        <w:rPr>
          <w:rStyle w:val="FootnoteReference"/>
        </w:rPr>
        <w:footnoteReference w:id="3879"/>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jc w:val="left"/>
            </w:pPr>
            <w:r>
              <w:rPr>
                <w:rFonts w:ascii="Cambria" w:hAnsi="Cambria" w:cs="Cambria" w:eastAsia="Cambria"/>
                <w:b/>
                <w:color w:val="FFFFFF"/>
                <w:sz w:val="18"/>
              </w:rPr>
              <w:t xml:space="preserve">Elemento del benchmark POH-GGZ</w:t>
            </w:r>
          </w:p>
        </w:tc>
        <w:tc>
          <w:tcPr>
            <w:shd w:val="clear" w:color="auto" w:fill="16264B"/>
          </w:tcPr>
          <w:p>
            <w:pPr>
              <w:pStyle w:val="Compact"/>
              <w:jc w:val="left"/>
            </w:pPr>
            <w:r>
              <w:rPr>
                <w:rFonts w:ascii="Cambria" w:hAnsi="Cambria" w:cs="Cambria" w:eastAsia="Cambria"/>
                <w:b/>
                <w:color w:val="FFFFFF"/>
                <w:sz w:val="18"/>
              </w:rPr>
              <w:t xml:space="preserve">Contenuto</w:t>
            </w:r>
          </w:p>
        </w:tc>
        <w:tc>
          <w:tcPr>
            <w:shd w:val="clear" w:color="auto" w:fill="16264B"/>
          </w:tcPr>
          <w:p>
            <w:pPr>
              <w:pStyle w:val="Compact"/>
              <w:jc w:val="left"/>
            </w:pPr>
            <w:r>
              <w:rPr>
                <w:rFonts w:ascii="Cambria" w:hAnsi="Cambria" w:cs="Cambria" w:eastAsia="Cambria"/>
                <w:b/>
                <w:color w:val="FFFFFF"/>
                <w:sz w:val="18"/>
              </w:rPr>
              <w:t xml:space="preserve">Rilievo per il trasferimento</w:t>
            </w:r>
          </w:p>
        </w:tc>
      </w:tr>
      <w:tr>
        <w:tc>
          <w:tcPr/>
          <w:p>
            <w:pPr>
              <w:pStyle w:val="Compact"/>
              <w:jc w:val="left"/>
            </w:pPr>
            <w:r>
              <w:rPr>
                <w:rFonts w:ascii="Cambria" w:hAnsi="Cambria" w:cs="Cambria" w:eastAsia="Cambria"/>
                <w:sz w:val="18"/>
              </w:rPr>
              <w:t xml:space="preserve">Collocazione</w:t>
            </w:r>
          </w:p>
        </w:tc>
        <w:tc>
          <w:tcPr/>
          <w:p>
            <w:pPr>
              <w:pStyle w:val="Compact"/>
              <w:jc w:val="left"/>
            </w:pPr>
            <w:r>
              <w:rPr>
                <w:rFonts w:ascii="Cambria" w:hAnsi="Cambria" w:cs="Cambria" w:eastAsia="Cambria"/>
                <w:sz w:val="18"/>
              </w:rPr>
              <w:t xml:space="preserve">Studio del medico di famiglia</w:t>
            </w:r>
          </w:p>
        </w:tc>
        <w:tc>
          <w:tcPr/>
          <w:p>
            <w:pPr>
              <w:pStyle w:val="Compact"/>
              <w:jc w:val="left"/>
            </w:pPr>
            <w:r>
              <w:rPr>
                <w:rFonts w:ascii="Cambria" w:hAnsi="Cambria" w:cs="Cambria" w:eastAsia="Cambria"/>
                <w:sz w:val="18"/>
              </w:rPr>
              <w:t xml:space="preserve">Identica logica di prossimità del modello italiano</w:t>
            </w:r>
          </w:p>
        </w:tc>
      </w:tr>
      <w:tr>
        <w:tc>
          <w:tcPr>
            <w:shd w:val="clear" w:color="auto" w:fill="F4F1EC"/>
          </w:tcPr>
          <w:p>
            <w:pPr>
              <w:pStyle w:val="Compact"/>
              <w:jc w:val="left"/>
            </w:pPr>
            <w:r>
              <w:rPr>
                <w:rFonts w:ascii="Cambria" w:hAnsi="Cambria" w:cs="Cambria" w:eastAsia="Cambria"/>
                <w:sz w:val="18"/>
              </w:rPr>
              <w:t xml:space="preserve">Funzione</w:t>
            </w:r>
          </w:p>
        </w:tc>
        <w:tc>
          <w:tcPr>
            <w:shd w:val="clear" w:color="auto" w:fill="F4F1EC"/>
          </w:tcPr>
          <w:p>
            <w:pPr>
              <w:pStyle w:val="Compact"/>
              <w:jc w:val="left"/>
            </w:pPr>
            <w:r>
              <w:rPr>
                <w:rFonts w:ascii="Cambria" w:hAnsi="Cambria" w:cs="Cambria" w:eastAsia="Cambria"/>
                <w:sz w:val="18"/>
              </w:rPr>
              <w:t xml:space="preserve">Accoglienza, valutazione, trattamento a bassa intensità</w:t>
            </w:r>
          </w:p>
        </w:tc>
        <w:tc>
          <w:tcPr>
            <w:shd w:val="clear" w:color="auto" w:fill="F4F1EC"/>
          </w:tcPr>
          <w:p>
            <w:pPr>
              <w:pStyle w:val="Compact"/>
              <w:jc w:val="left"/>
            </w:pPr>
            <w:r>
              <w:rPr>
                <w:rFonts w:ascii="Cambria" w:hAnsi="Cambria" w:cs="Cambria" w:eastAsia="Cambria"/>
                <w:sz w:val="18"/>
              </w:rPr>
              <w:t xml:space="preserve">Primo livello della cascata</w:t>
            </w:r>
          </w:p>
        </w:tc>
      </w:tr>
      <w:tr>
        <w:tc>
          <w:tcPr/>
          <w:p>
            <w:pPr>
              <w:pStyle w:val="Compact"/>
              <w:jc w:val="left"/>
            </w:pPr>
            <w:r>
              <w:rPr>
                <w:rFonts w:ascii="Cambria" w:hAnsi="Cambria" w:cs="Cambria" w:eastAsia="Cambria"/>
                <w:sz w:val="18"/>
              </w:rPr>
              <w:t xml:space="preserve">Adozione</w:t>
            </w:r>
          </w:p>
        </w:tc>
        <w:tc>
          <w:tcPr/>
          <w:p>
            <w:pPr>
              <w:pStyle w:val="Compact"/>
              <w:jc w:val="left"/>
            </w:pPr>
            <w:r>
              <w:rPr>
                <w:rFonts w:ascii="Cambria" w:hAnsi="Cambria" w:cs="Cambria" w:eastAsia="Cambria"/>
                <w:sz w:val="18"/>
              </w:rPr>
              <w:t xml:space="preserve">Da ≈ un terzo a ≈ tre quarti dei medici, fino alla grande maggioranza</w:t>
            </w:r>
          </w:p>
        </w:tc>
        <w:tc>
          <w:tcPr/>
          <w:p>
            <w:pPr>
              <w:pStyle w:val="Compact"/>
              <w:jc w:val="left"/>
            </w:pPr>
            <w:r>
              <w:rPr>
                <w:rFonts w:ascii="Cambria" w:hAnsi="Cambria" w:cs="Cambria" w:eastAsia="Cambria"/>
                <w:sz w:val="18"/>
              </w:rPr>
              <w:t xml:space="preserve">Scalabilità dimostrata</w:t>
            </w:r>
          </w:p>
        </w:tc>
      </w:tr>
      <w:tr>
        <w:tc>
          <w:tcPr>
            <w:shd w:val="clear" w:color="auto" w:fill="F4F1EC"/>
          </w:tcPr>
          <w:p>
            <w:pPr>
              <w:pStyle w:val="Compact"/>
              <w:jc w:val="left"/>
            </w:pPr>
            <w:r>
              <w:rPr>
                <w:rFonts w:ascii="Cambria" w:hAnsi="Cambria" w:cs="Cambria" w:eastAsia="Cambria"/>
                <w:sz w:val="18"/>
              </w:rPr>
              <w:t xml:space="preserve">Finanziamento</w:t>
            </w:r>
          </w:p>
        </w:tc>
        <w:tc>
          <w:tcPr>
            <w:shd w:val="clear" w:color="auto" w:fill="F4F1EC"/>
          </w:tcPr>
          <w:p>
            <w:pPr>
              <w:pStyle w:val="Compact"/>
              <w:jc w:val="left"/>
            </w:pPr>
            <w:r>
              <w:rPr>
                <w:rFonts w:ascii="Cambria" w:hAnsi="Cambria" w:cs="Cambria" w:eastAsia="Cambria"/>
                <w:sz w:val="18"/>
              </w:rPr>
              <w:t xml:space="preserve">Assicurativo, condizioni 2026–2028</w:t>
            </w:r>
          </w:p>
        </w:tc>
        <w:tc>
          <w:tcPr>
            <w:shd w:val="clear" w:color="auto" w:fill="F4F1EC"/>
          </w:tcPr>
          <w:p>
            <w:pPr>
              <w:pStyle w:val="Compact"/>
              <w:jc w:val="left"/>
            </w:pPr>
            <w:r>
              <w:rPr>
                <w:rFonts w:ascii="Cambria" w:hAnsi="Cambria" w:cs="Cambria" w:eastAsia="Cambria"/>
                <w:sz w:val="18"/>
              </w:rPr>
              <w:t xml:space="preserve">Adattabile ai sistemi nazionali</w:t>
            </w:r>
          </w:p>
        </w:tc>
      </w:tr>
      <w:tr>
        <w:tc>
          <w:tcPr/>
          <w:p>
            <w:pPr>
              <w:pStyle w:val="Compact"/>
              <w:jc w:val="left"/>
            </w:pPr>
            <w:r>
              <w:rPr>
                <w:rFonts w:ascii="Cambria" w:hAnsi="Cambria" w:cs="Cambria" w:eastAsia="Cambria"/>
                <w:sz w:val="18"/>
              </w:rPr>
              <w:t xml:space="preserve">Effetto documentato</w:t>
            </w:r>
          </w:p>
        </w:tc>
        <w:tc>
          <w:tcPr/>
          <w:p>
            <w:pPr>
              <w:pStyle w:val="Compact"/>
              <w:jc w:val="left"/>
            </w:pPr>
            <w:r>
              <w:rPr>
                <w:rFonts w:ascii="Cambria" w:hAnsi="Cambria" w:cs="Cambria" w:eastAsia="Cambria"/>
                <w:sz w:val="18"/>
              </w:rPr>
              <w:t xml:space="preserve">Riduzione ≈ 40% dei rinvii alla specialistica (attribuita)</w:t>
            </w:r>
          </w:p>
        </w:tc>
        <w:tc>
          <w:tcPr/>
          <w:p>
            <w:pPr>
              <w:pStyle w:val="Compact"/>
              <w:jc w:val="left"/>
            </w:pPr>
            <w:r>
              <w:rPr>
                <w:rFonts w:ascii="Cambria" w:hAnsi="Cambria" w:cs="Cambria" w:eastAsia="Cambria"/>
                <w:sz w:val="18"/>
              </w:rPr>
              <w:t xml:space="preserve">Canale del beneficio diretto</w:t>
            </w:r>
          </w:p>
        </w:tc>
      </w:tr>
    </w:tbl>
    <w:p>
      <w:pPr>
        <w:pStyle w:val="BodyText"/>
      </w:pPr>
      <w:r>
        <w:rPr>
          <w:i/>
          <w:iCs/>
        </w:rPr>
        <w:t xml:space="preserve">Tabella 4.1. Il benchmark operativo olandese POH-GGZ: architettura, adozione, finanziamento ed effetti documentati, riportati con attribuzione.</w:t>
      </w:r>
    </w:p>
    <w:bookmarkEnd w:id="4516"/>
    <w:bookmarkStart w:id="1536" w:name="la-trasferibilità-del-benchmark"/>
    <w:p>
      <w:pPr>
        <w:pStyle w:val="Heading2"/>
      </w:pPr>
      <w:r>
        <w:t xml:space="preserve">4.2 La trasferibilità del benchmark</w:t>
      </w:r>
    </w:p>
    <w:p>
      <w:pPr>
        <w:pStyle w:val="FirstParagraph"/>
      </w:pPr>
      <w:r>
        <w:t xml:space="preserve">La trasferibilità del benchmark olandese agli altri ventisei Stati è la questione operativa centrale dell’asse unionale. Tre elementi la sostengono: la funzione — l’intercettazione a bassa intensità presso la medicina generale — è indipendente dall’assetto di finanziamento, sicché il modello è replicabile tanto nei sistemi assicurativi quanto in quelli a servizio sanitario nazionale; la scalabilità è dimostrata dalla crescita dell’adozione entro un decennio; e la parentela con il modello italiano dello Psicologo di Base — che dell’opera costituisce l’oggetto — è diretta, differendo i due modelli per il profilo professionale ammesso ma non per la collocazione né per la funzione. Tre elementi la condizionano: la dotazione di psicologi, ove bassa, richiede l’investimento formativo preliminare; l’assetto contrattuale della medicina generale determina la velocità di adozione; e la remunerazione del primo livello dev’essere disegnata in modo da non generare incentivi alla sostituzione della specialistica necessaria. Le schede-Stato del Capitolo 5 registrano, per ciascun paese, la distanza dal benchmark.</w:t>
      </w:r>
      <w:r>
        <w:rPr>
          <w:rStyle w:val="FootnoteReference"/>
        </w:rPr>
        <w:footnoteReference w:id="3880"/>
      </w:r>
    </w:p>
    <w:p>
      <w:r>
        <w:br w:type="page"/>
      </w:r>
    </w:p>
    <w:bookmarkEnd w:id="1536"/>
    <w:bookmarkEnd w:id="4515"/>
    <w:bookmarkStart w:id="1542" w:name="X1c3996ab0d07dd0319c86e9fc444ebdf27a11b2"/>
    <w:p>
      <w:pPr>
        <w:pStyle w:val="Heading1"/>
      </w:pPr>
      <w:r>
        <w:t xml:space="preserve">Capitolo 5 — Le ventisette schede-Stato sintetiche</w:t>
      </w:r>
    </w:p>
    <w:p>
      <w:pPr>
        <w:pStyle w:val="FirstParagraph"/>
      </w:pPr>
      <w:r>
        <w:t xml:space="preserve">Le schede che seguono registrano, per ciascuno dei ventisette Stati Membri in ordine alfabetico, la popolazione in ordine di grandezza, lo stato dell’integrazione psicologica nelle cure primarie e la distanza dal benchmark operativo; ove i dati di dettaglio non siano disponibili in forma comparabile, la lacuna è dichiarata espressamente, secondo la regola dell’opera. Le schede sono sintetiche per costruzione: la loro funzione è comparativa, non monografica, e la calibrazione fine è rinviata alle appendici registrate.</w:t>
      </w:r>
      <w:r>
        <w:rPr>
          <w:rStyle w:val="FootnoteReference"/>
        </w:rPr>
        <w:footnoteReference w:id="3881"/>
      </w:r>
    </w:p>
    <w:p>
      <w:pPr>
        <w:pStyle w:val="BodyText"/>
      </w:pPr>
      <w:r>
        <w:rPr>
          <w:b/>
          <w:bCs/>
        </w:rPr>
        <w:t xml:space="preserve">Austria.</w:t>
      </w:r>
      <w:r>
        <w:t xml:space="preserve"> </w:t>
      </w:r>
      <w:r>
        <w:t xml:space="preserve">Popolazione dell’ordine di nove milioni di abitanti. La psicoterapia convenzionata opera per contingenti limitati e programmi dedicati hanno rafforzato l’offerta per l’infanzia e la gioventù; l’integrazione strutturale del primo livello psicologico nella medicina generale non è generalizzata. Distanza dal benchmark: intermedia.</w:t>
      </w:r>
    </w:p>
    <w:p>
      <w:pPr>
        <w:pStyle w:val="BodyText"/>
      </w:pPr>
      <w:r>
        <w:rPr>
          <w:b/>
          <w:bCs/>
        </w:rPr>
        <w:t xml:space="preserve">Belgio.</w:t>
      </w:r>
      <w:r>
        <w:t xml:space="preserve"> </w:t>
      </w:r>
      <w:r>
        <w:t xml:space="preserve">Popolazione dell’ordine di dodici milioni. La convenzione federale per la psicologia di prima linea, avviata nel 2019 e ampliata dal 2021, rimborsa sedute presso psicologi convenzionati in rete con la medicina generale: è, fra i modelli nazionali, uno dei più prossimi allo Psicologo di Base. Distanza dal benchmark: ridotta.</w:t>
      </w:r>
    </w:p>
    <w:p>
      <w:pPr>
        <w:pStyle w:val="BodyText"/>
      </w:pPr>
      <w:r>
        <w:rPr>
          <w:b/>
          <w:bCs/>
        </w:rPr>
        <w:t xml:space="preserve">Bulgaria.</w:t>
      </w:r>
      <w:r>
        <w:t xml:space="preserve"> </w:t>
      </w:r>
      <w:r>
        <w:t xml:space="preserve">Popolazione dell’ordine di sei milioni e mezzo. La dotazione di psicologi è fra le più basse dell’Unione e l’integrazione nelle cure primarie non è strutturata; i dati di dettaglio comparabili non sono disponibili — lacuna dichiarata. Distanza dal benchmark: ampia.</w:t>
      </w:r>
    </w:p>
    <w:p>
      <w:pPr>
        <w:pStyle w:val="BodyText"/>
      </w:pPr>
      <w:r>
        <w:rPr>
          <w:b/>
          <w:bCs/>
        </w:rPr>
        <w:t xml:space="preserve">Cechia.</w:t>
      </w:r>
      <w:r>
        <w:t xml:space="preserve"> </w:t>
      </w:r>
      <w:r>
        <w:t xml:space="preserve">Popolazione dell’ordine di undici milioni. La riforma della salute mentale ha istituito dal 2018 i Centri di Salute Mentale territoriali; l’integrazione del primo livello psicologico nella medicina generale è in via di sviluppo. Distanza dal benchmark: intermedia.</w:t>
      </w:r>
    </w:p>
    <w:p>
      <w:pPr>
        <w:pStyle w:val="BodyText"/>
      </w:pPr>
      <w:r>
        <w:rPr>
          <w:b/>
          <w:bCs/>
        </w:rPr>
        <w:t xml:space="preserve">Cipro.</w:t>
      </w:r>
      <w:r>
        <w:t xml:space="preserve"> </w:t>
      </w:r>
      <w:r>
        <w:t xml:space="preserve">Popolazione dell’ordine di novecentomila abitanti. Il sistema sanitario generale di recente introduzione include servizi di salute mentale; l’integrazione nelle cure primarie è in fase iniziale e i dati di dettaglio sono limitati — lacuna dichiarata. Distanza dal benchmark: ampia.</w:t>
      </w:r>
    </w:p>
    <w:p>
      <w:pPr>
        <w:pStyle w:val="BodyText"/>
      </w:pPr>
      <w:r>
        <w:rPr>
          <w:b/>
          <w:bCs/>
        </w:rPr>
        <w:t xml:space="preserve">Croazia.</w:t>
      </w:r>
      <w:r>
        <w:t xml:space="preserve"> </w:t>
      </w:r>
      <w:r>
        <w:t xml:space="preserve">Popolazione dell’ordine di quattro milioni. L’integrazione psicologica nelle cure primarie è limitata; i dati di dettaglio comparabili non sono disponibili — lacuna dichiarata. Distanza dal benchmark: ampia.</w:t>
      </w:r>
    </w:p>
    <w:p>
      <w:pPr>
        <w:pStyle w:val="BodyText"/>
      </w:pPr>
      <w:r>
        <w:rPr>
          <w:b/>
          <w:bCs/>
        </w:rPr>
        <w:t xml:space="preserve">Danimarca.</w:t>
      </w:r>
      <w:r>
        <w:t xml:space="preserve"> </w:t>
      </w:r>
      <w:r>
        <w:t xml:space="preserve">Popolazione dell’ordine di sei milioni. Le sedute psicologiche sono rimborsate su invio del medico di famiglia per categorie definite, con gratuità per i giovani con ansia e depressione: il raccordo con la medicina generale è consolidato. Distanza dal benchmark: ridotta.</w:t>
      </w:r>
    </w:p>
    <w:p>
      <w:pPr>
        <w:pStyle w:val="BodyText"/>
      </w:pPr>
      <w:r>
        <w:rPr>
          <w:b/>
          <w:bCs/>
        </w:rPr>
        <w:t xml:space="preserve">Estonia.</w:t>
      </w:r>
      <w:r>
        <w:t xml:space="preserve"> </w:t>
      </w:r>
      <w:r>
        <w:t xml:space="preserve">Popolazione dell’ordine di un milione e quattrocentomila abitanti. Il finanziamento di servizi di salute mentale presso i centri di cure primarie è stato introdotto nel quadro del piano nazionale; l’estensione è in corso. Distanza dal benchmark: intermedia.</w:t>
      </w:r>
    </w:p>
    <w:p>
      <w:pPr>
        <w:pStyle w:val="BodyText"/>
      </w:pPr>
      <w:r>
        <w:rPr>
          <w:b/>
          <w:bCs/>
        </w:rPr>
        <w:t xml:space="preserve">Finlandia.</w:t>
      </w:r>
      <w:r>
        <w:t xml:space="preserve"> </w:t>
      </w:r>
      <w:r>
        <w:t xml:space="preserve">Popolazione dell’ordine di cinque milioni e mezzo. La garanzia di accesso alle terapie brevi nelle cure primarie, entro la riforma del welfare sanitario e il programma nazionale di salute mentale, colloca il paese fra i percorsi più strutturati. Distanza dal benchmark: ridotta.</w:t>
      </w:r>
    </w:p>
    <w:p>
      <w:pPr>
        <w:pStyle w:val="BodyText"/>
      </w:pPr>
      <w:r>
        <w:rPr>
          <w:b/>
          <w:bCs/>
        </w:rPr>
        <w:t xml:space="preserve">Francia.</w:t>
      </w:r>
      <w:r>
        <w:t xml:space="preserve"> </w:t>
      </w:r>
      <w:r>
        <w:t xml:space="preserve">Popolazione dell’ordine di sessantotto milioni. Il dispositivo nazionale «Mon soutien psy» rimborsa un contingente annuo di sedute psicologiche, con accesso divenuto diretto: è il maggiore esperimento nazionale di primo livello psicologico dell’Unione per popolazione coperta. Distanza dal benchmark: ridotta.</w:t>
      </w:r>
    </w:p>
    <w:p>
      <w:pPr>
        <w:pStyle w:val="BodyText"/>
      </w:pPr>
      <w:r>
        <w:rPr>
          <w:b/>
          <w:bCs/>
        </w:rPr>
        <w:t xml:space="preserve">Germania.</w:t>
      </w:r>
      <w:r>
        <w:t xml:space="preserve"> </w:t>
      </w:r>
      <w:r>
        <w:t xml:space="preserve">Popolazione dell’ordine di ottantaquattro milioni. La psicoterapia ambulatoriale convenzionata è ampia e l’accesso passa per colloqui d’orientamento dedicati; l’integrazione formale nella medicina generale non è strutturata e i tempi d’attesa restano rilevanti. Distanza dal benchmark: intermedia.</w:t>
      </w:r>
    </w:p>
    <w:p>
      <w:pPr>
        <w:pStyle w:val="BodyText"/>
      </w:pPr>
      <w:r>
        <w:rPr>
          <w:b/>
          <w:bCs/>
        </w:rPr>
        <w:t xml:space="preserve">Grecia.</w:t>
      </w:r>
      <w:r>
        <w:t xml:space="preserve"> </w:t>
      </w:r>
      <w:r>
        <w:t xml:space="preserve">Popolazione dell’ordine di dieci milioni e mezzo. La riforma psichiatrica ha costruito la rete territoriale e le unità locali di cure primarie includono in parte figure psicologiche; la copertura è parziale e i dati di dettaglio sono limitati — lacuna dichiarata. Distanza dal benchmark: ampia.</w:t>
      </w:r>
    </w:p>
    <w:p>
      <w:pPr>
        <w:pStyle w:val="BodyText"/>
      </w:pPr>
      <w:r>
        <w:rPr>
          <w:b/>
          <w:bCs/>
        </w:rPr>
        <w:t xml:space="preserve">Irlanda.</w:t>
      </w:r>
      <w:r>
        <w:t xml:space="preserve"> </w:t>
      </w:r>
      <w:r>
        <w:t xml:space="preserve">Popolazione dell’ordine di cinque milioni e trecentomila abitanti. Il programma di counselling nelle cure primarie per i titolari di tessera sanitaria e l’espansione dei servizi psicologici di comunità delineano un percorso di rafforzamento del primo livello. Distanza dal benchmark: intermedia.</w:t>
      </w:r>
    </w:p>
    <w:p>
      <w:pPr>
        <w:pStyle w:val="BodyText"/>
      </w:pPr>
      <w:r>
        <w:rPr>
          <w:b/>
          <w:bCs/>
        </w:rPr>
        <w:t xml:space="preserve">Italia.</w:t>
      </w:r>
      <w:r>
        <w:t xml:space="preserve"> </w:t>
      </w:r>
      <w:r>
        <w:t xml:space="preserve">Popolazione dell’ordine di cinquantanove milioni. È il caso capostipite regionale dell’opera: la legge pugliese del 2023 ha istituito il primo Servizio di Psicologia di Base, altre regioni hanno legiferato o sperimentato, e un sostegno economico nazionale alla psicoterapia è attivo; manca un modello nazionale strutturato — si rinvia ai Volumi 1–21. Distanza dal benchmark: intermedia, con avanguardie regionali.</w:t>
      </w:r>
    </w:p>
    <w:p>
      <w:pPr>
        <w:pStyle w:val="BodyText"/>
      </w:pPr>
      <w:r>
        <w:rPr>
          <w:b/>
          <w:bCs/>
        </w:rPr>
        <w:t xml:space="preserve">Lettonia.</w:t>
      </w:r>
      <w:r>
        <w:t xml:space="preserve"> </w:t>
      </w:r>
      <w:r>
        <w:t xml:space="preserve">Popolazione dell’ordine di un milione e novecentomila abitanti. La dotazione di psicologi è limitata e l’integrazione nelle cure primarie non è strutturata; i dati di dettaglio comparabili non sono disponibili — lacuna dichiarata. Distanza dal benchmark: ampia.</w:t>
      </w:r>
    </w:p>
    <w:p>
      <w:pPr>
        <w:pStyle w:val="BodyText"/>
      </w:pPr>
      <w:r>
        <w:rPr>
          <w:b/>
          <w:bCs/>
        </w:rPr>
        <w:t xml:space="preserve">Lituania.</w:t>
      </w:r>
      <w:r>
        <w:t xml:space="preserve"> </w:t>
      </w:r>
      <w:r>
        <w:t xml:space="preserve">Popolazione dell’ordine di due milioni e novecentomila abitanti. La rete municipale dei centri di salute mentale include figure psicologiche in raccordo con le cure primarie; l’estensione del primo livello è in evoluzione. Distanza dal benchmark: intermedia.</w:t>
      </w:r>
    </w:p>
    <w:p>
      <w:pPr>
        <w:pStyle w:val="BodyText"/>
      </w:pPr>
      <w:r>
        <w:rPr>
          <w:b/>
          <w:bCs/>
        </w:rPr>
        <w:t xml:space="preserve">Lussemburgo.</w:t>
      </w:r>
      <w:r>
        <w:t xml:space="preserve"> </w:t>
      </w:r>
      <w:r>
        <w:t xml:space="preserve">Popolazione dell’ordine di settecentomila abitanti. Una convenzione recente ha introdotto il rimborso delle prestazioni psicoterapeutiche; la scala ridotta agevola l’attuazione e i dati di dettaglio sono in consolidamento — lacuna parziale dichiarata. Distanza dal benchmark: intermedia.</w:t>
      </w:r>
    </w:p>
    <w:p>
      <w:pPr>
        <w:pStyle w:val="BodyText"/>
      </w:pPr>
      <w:r>
        <w:rPr>
          <w:b/>
          <w:bCs/>
        </w:rPr>
        <w:t xml:space="preserve">Malta.</w:t>
      </w:r>
      <w:r>
        <w:t xml:space="preserve"> </w:t>
      </w:r>
      <w:r>
        <w:t xml:space="preserve">Popolazione dell’ordine di mezzo milione di abitanti. I servizi psicologici operano presso i centri di salute pubblici; la scala ridotta rende l’estensione del primo livello rapidamente attuabile. Distanza dal benchmark: intermedia.</w:t>
      </w:r>
    </w:p>
    <w:p>
      <w:pPr>
        <w:pStyle w:val="BodyText"/>
      </w:pPr>
      <w:r>
        <w:rPr>
          <w:b/>
          <w:bCs/>
        </w:rPr>
        <w:t xml:space="preserve">Paesi Bassi.</w:t>
      </w:r>
      <w:r>
        <w:t xml:space="preserve"> </w:t>
      </w:r>
      <w:r>
        <w:t xml:space="preserve">Popolazione dell’ordine di diciotto milioni. È il benchmark operativo primario: il professionista di supporto alla salute mentale presso il medico di famiglia copre la grande maggioranza degli studi, con finanziamento assicurativo e condizioni contrattuali aggiornate per il triennio 2026–2028 — cfr. Capitolo 4. Distanza dal benchmark: nulla per definizione.</w:t>
      </w:r>
    </w:p>
    <w:p>
      <w:pPr>
        <w:pStyle w:val="BodyText"/>
      </w:pPr>
      <w:r>
        <w:rPr>
          <w:b/>
          <w:bCs/>
        </w:rPr>
        <w:t xml:space="preserve">Polonia.</w:t>
      </w:r>
      <w:r>
        <w:t xml:space="preserve"> </w:t>
      </w:r>
      <w:r>
        <w:t xml:space="preserve">Popolazione dell’ordine di trentasette milioni. Il programma pilota dei Centri di Salute Mentale è in espansione e la riforma procede per gradini; l’integrazione del primo livello psicologico nella medicina generale è in sviluppo. Distanza dal benchmark: intermedia.</w:t>
      </w:r>
    </w:p>
    <w:p>
      <w:pPr>
        <w:pStyle w:val="BodyText"/>
      </w:pPr>
      <w:r>
        <w:rPr>
          <w:b/>
          <w:bCs/>
        </w:rPr>
        <w:t xml:space="preserve">Portogallo.</w:t>
      </w:r>
      <w:r>
        <w:t xml:space="preserve"> </w:t>
      </w:r>
      <w:r>
        <w:t xml:space="preserve">Popolazione dell’ordine di dieci milioni e mezzo. Il piano nazionale ha accresciuto il numero di psicologi nei raggruppamenti di centri di salute: è fra i percorsi di rafforzamento del primo livello più chiari dell’Europa meridionale. Distanza dal benchmark: ridotta.</w:t>
      </w:r>
    </w:p>
    <w:p>
      <w:pPr>
        <w:pStyle w:val="BodyText"/>
      </w:pPr>
      <w:r>
        <w:rPr>
          <w:b/>
          <w:bCs/>
        </w:rPr>
        <w:t xml:space="preserve">Romania.</w:t>
      </w:r>
      <w:r>
        <w:t xml:space="preserve"> </w:t>
      </w:r>
      <w:r>
        <w:t xml:space="preserve">Popolazione dell’ordine di diciannove milioni. La dotazione di psicologi è fra le più basse e l’integrazione nelle cure primarie non è strutturata; i dati di dettaglio comparabili non sono disponibili — lacuna dichiarata. Distanza dal benchmark: ampia.</w:t>
      </w:r>
    </w:p>
    <w:p>
      <w:pPr>
        <w:pStyle w:val="BodyText"/>
      </w:pPr>
      <w:r>
        <w:rPr>
          <w:b/>
          <w:bCs/>
        </w:rPr>
        <w:t xml:space="preserve">Slovacchia.</w:t>
      </w:r>
      <w:r>
        <w:t xml:space="preserve"> </w:t>
      </w:r>
      <w:r>
        <w:t xml:space="preserve">Popolazione dell’ordine di cinque milioni e mezzo. L’integrazione psicologica nelle cure primarie è limitata e la riforma è in discussione; i dati di dettaglio comparabili non sono disponibili — lacuna dichiarata. Distanza dal benchmark: ampia.</w:t>
      </w:r>
    </w:p>
    <w:p>
      <w:pPr>
        <w:pStyle w:val="BodyText"/>
      </w:pPr>
      <w:r>
        <w:rPr>
          <w:b/>
          <w:bCs/>
        </w:rPr>
        <w:t xml:space="preserve">Slovenia.</w:t>
      </w:r>
      <w:r>
        <w:t xml:space="preserve"> </w:t>
      </w:r>
      <w:r>
        <w:t xml:space="preserve">Popolazione dell’ordine di due milioni e centomila abitanti. Il programma nazionale ha istituito dal 2019 i centri per la salute mentale presso i centri sanitari di comunità: è un modello strutturato di prossimità fra i più compiuti dell’area. Distanza dal benchmark: ridotta.</w:t>
      </w:r>
    </w:p>
    <w:p>
      <w:pPr>
        <w:pStyle w:val="BodyText"/>
      </w:pPr>
      <w:r>
        <w:rPr>
          <w:b/>
          <w:bCs/>
        </w:rPr>
        <w:t xml:space="preserve">Spagna.</w:t>
      </w:r>
      <w:r>
        <w:t xml:space="preserve"> </w:t>
      </w:r>
      <w:r>
        <w:t xml:space="preserve">Popolazione dell’ordine di quarantanove milioni. Le sperimentazioni di psicologia clinica nell’assistenza primaria — fra cui l’ampio studio controllato nazionale — e i piani regionali documentano efficacia e domanda; il modello nazionale non è generalizzato. Distanza dal benchmark: intermedia.</w:t>
      </w:r>
    </w:p>
    <w:p>
      <w:pPr>
        <w:pStyle w:val="BodyText"/>
      </w:pPr>
      <w:r>
        <w:rPr>
          <w:b/>
          <w:bCs/>
        </w:rPr>
        <w:t xml:space="preserve">Svezia.</w:t>
      </w:r>
      <w:r>
        <w:t xml:space="preserve"> </w:t>
      </w:r>
      <w:r>
        <w:t xml:space="preserve">Popolazione dell’ordine di dieci milioni e mezzo. Gli psicologi e le équipe di salute mentale operano diffusamente nei centri di cure primarie quale prima linea: è fra i sistemi più integrati dell’Unione. Distanza dal benchmark: ridotta.</w:t>
      </w:r>
    </w:p>
    <w:p>
      <w:pPr>
        <w:pStyle w:val="BodyText"/>
      </w:pPr>
      <w:r>
        <w:rPr>
          <w:b/>
          <w:bCs/>
        </w:rPr>
        <w:t xml:space="preserve">Ungheria.</w:t>
      </w:r>
      <w:r>
        <w:t xml:space="preserve"> </w:t>
      </w:r>
      <w:r>
        <w:t xml:space="preserve">Popolazione dell’ordine di nove milioni e mezzo. L’integrazione psicologica nelle cure primarie è limitata; i dati di dettaglio comparabili non sono disponibili — lacuna dichiarata. Distanza dal benchmark: ampia.</w:t>
      </w:r>
      <w:r>
        <w:rPr>
          <w:rStyle w:val="FootnoteReference"/>
        </w:rPr>
        <w:footnoteReference w:id="3882"/>
      </w:r>
    </w:p>
    <w:bookmarkStart w:id="1541" w:name="il-riepilogo-comparativo"/>
    <w:p>
      <w:pPr>
        <w:pStyle w:val="Heading2"/>
      </w:pPr>
      <w:r>
        <w:t xml:space="preserve">5.1 Il riepilogo comparativo</w:t>
      </w:r>
    </w:p>
    <w:p>
      <w:pPr>
        <w:pStyle w:val="FirstParagraph"/>
      </w:pPr>
      <w:r>
        <w:t xml:space="preserve">Il riepilogo comparativo ordina i ventisette Stati per distanza dal benchmark operativo. Otto Stati presentano una distanza ridotta — il benchmark stesso e i modelli nazionali strutturati di primo livello —; undici una distanza intermedia — percorsi in sviluppo, avanguardie parziali o regionali —; otto una distanza ampia, coincidente in larga parte con le dotazioni di psicologi più basse e con le lacune informative dichiarate. La geografia del ritardo non è casuale: essa segue il gradiente della workforce e della spesa sanitaria, sicché l’equità fra Stati — trattata nel Capitolo 7 — è la dimensione distributiva propria dell’asse unionale.</w:t>
      </w:r>
      <w:r>
        <w:rPr>
          <w:rStyle w:val="FootnoteReference"/>
        </w:rPr>
        <w:footnoteReference w:id="3883"/>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jc w:val="left"/>
            </w:pPr>
            <w:r>
              <w:rPr>
                <w:rFonts w:ascii="Cambria" w:hAnsi="Cambria" w:cs="Cambria" w:eastAsia="Cambria"/>
                <w:b/>
                <w:color w:val="FFFFFF"/>
                <w:sz w:val="18"/>
              </w:rPr>
              <w:t xml:space="preserve">Fascia di distanza dal benchmark</w:t>
            </w:r>
          </w:p>
        </w:tc>
        <w:tc>
          <w:tcPr>
            <w:shd w:val="clear" w:color="auto" w:fill="16264B"/>
          </w:tcPr>
          <w:p>
            <w:pPr>
              <w:pStyle w:val="Compact"/>
              <w:jc w:val="left"/>
            </w:pPr>
            <w:r>
              <w:rPr>
                <w:rFonts w:ascii="Cambria" w:hAnsi="Cambria" w:cs="Cambria" w:eastAsia="Cambria"/>
                <w:b/>
                <w:color w:val="FFFFFF"/>
                <w:sz w:val="18"/>
              </w:rPr>
              <w:t xml:space="preserve">Stati Membri</w:t>
            </w:r>
          </w:p>
        </w:tc>
        <w:tc>
          <w:tcPr>
            <w:shd w:val="clear" w:color="auto" w:fill="16264B"/>
          </w:tcPr>
          <w:p>
            <w:pPr>
              <w:pStyle w:val="Compact"/>
              <w:jc w:val="left"/>
            </w:pPr>
            <w:r>
              <w:rPr>
                <w:rFonts w:ascii="Cambria" w:hAnsi="Cambria" w:cs="Cambria" w:eastAsia="Cambria"/>
                <w:b/>
                <w:color w:val="FFFFFF"/>
                <w:sz w:val="18"/>
              </w:rPr>
              <w:t xml:space="preserve">Numero</w:t>
            </w:r>
          </w:p>
        </w:tc>
      </w:tr>
      <w:tr>
        <w:tc>
          <w:tcPr/>
          <w:p>
            <w:pPr>
              <w:pStyle w:val="Compact"/>
              <w:jc w:val="left"/>
            </w:pPr>
            <w:r>
              <w:rPr>
                <w:rFonts w:ascii="Cambria" w:hAnsi="Cambria" w:cs="Cambria" w:eastAsia="Cambria"/>
                <w:sz w:val="18"/>
              </w:rPr>
              <w:t xml:space="preserve">Ridotta</w:t>
            </w:r>
          </w:p>
        </w:tc>
        <w:tc>
          <w:tcPr/>
          <w:p>
            <w:pPr>
              <w:pStyle w:val="Compact"/>
              <w:jc w:val="left"/>
            </w:pPr>
            <w:r>
              <w:rPr>
                <w:rFonts w:ascii="Cambria" w:hAnsi="Cambria" w:cs="Cambria" w:eastAsia="Cambria"/>
                <w:sz w:val="18"/>
              </w:rPr>
              <w:t xml:space="preserve">Paesi Bassi, Belgio, Danimarca, Finlandia, Francia, Portogallo, Slovenia, Svezia</w:t>
            </w:r>
          </w:p>
        </w:tc>
        <w:tc>
          <w:tcPr/>
          <w:p>
            <w:pPr>
              <w:pStyle w:val="Compact"/>
              <w:jc w:val="left"/>
            </w:pPr>
            <w:r>
              <w:rPr>
                <w:rFonts w:ascii="Cambria" w:hAnsi="Cambria" w:cs="Cambria" w:eastAsia="Cambria"/>
                <w:sz w:val="18"/>
              </w:rPr>
              <w:t xml:space="preserve">8</w:t>
            </w:r>
          </w:p>
        </w:tc>
      </w:tr>
      <w:tr>
        <w:tc>
          <w:tcPr>
            <w:shd w:val="clear" w:color="auto" w:fill="F4F1EC"/>
          </w:tcPr>
          <w:p>
            <w:pPr>
              <w:pStyle w:val="Compact"/>
              <w:jc w:val="left"/>
            </w:pPr>
            <w:r>
              <w:rPr>
                <w:rFonts w:ascii="Cambria" w:hAnsi="Cambria" w:cs="Cambria" w:eastAsia="Cambria"/>
                <w:sz w:val="18"/>
              </w:rPr>
              <w:t xml:space="preserve">Intermedia</w:t>
            </w:r>
          </w:p>
        </w:tc>
        <w:tc>
          <w:tcPr>
            <w:shd w:val="clear" w:color="auto" w:fill="F4F1EC"/>
          </w:tcPr>
          <w:p>
            <w:pPr>
              <w:pStyle w:val="Compact"/>
              <w:jc w:val="left"/>
            </w:pPr>
            <w:r>
              <w:rPr>
                <w:rFonts w:ascii="Cambria" w:hAnsi="Cambria" w:cs="Cambria" w:eastAsia="Cambria"/>
                <w:sz w:val="18"/>
              </w:rPr>
              <w:t xml:space="preserve">Austria, Cechia, Estonia, Germania, Irlanda, Italia, Lituania, Lussemburgo, Malta, Polonia, Spagna</w:t>
            </w:r>
          </w:p>
        </w:tc>
        <w:tc>
          <w:tcPr>
            <w:shd w:val="clear" w:color="auto" w:fill="F4F1EC"/>
          </w:tcPr>
          <w:p>
            <w:pPr>
              <w:pStyle w:val="Compact"/>
              <w:jc w:val="left"/>
            </w:pPr>
            <w:r>
              <w:rPr>
                <w:rFonts w:ascii="Cambria" w:hAnsi="Cambria" w:cs="Cambria" w:eastAsia="Cambria"/>
                <w:sz w:val="18"/>
              </w:rPr>
              <w:t xml:space="preserve">11</w:t>
            </w:r>
          </w:p>
        </w:tc>
      </w:tr>
      <w:tr>
        <w:tc>
          <w:tcPr/>
          <w:p>
            <w:pPr>
              <w:pStyle w:val="Compact"/>
              <w:jc w:val="left"/>
            </w:pPr>
            <w:r>
              <w:rPr>
                <w:rFonts w:ascii="Cambria" w:hAnsi="Cambria" w:cs="Cambria" w:eastAsia="Cambria"/>
                <w:sz w:val="18"/>
              </w:rPr>
              <w:t xml:space="preserve">Ampia (con lacune dichiarate)</w:t>
            </w:r>
          </w:p>
        </w:tc>
        <w:tc>
          <w:tcPr/>
          <w:p>
            <w:pPr>
              <w:pStyle w:val="Compact"/>
              <w:jc w:val="left"/>
            </w:pPr>
            <w:r>
              <w:rPr>
                <w:rFonts w:ascii="Cambria" w:hAnsi="Cambria" w:cs="Cambria" w:eastAsia="Cambria"/>
                <w:sz w:val="18"/>
              </w:rPr>
              <w:t xml:space="preserve">Bulgaria, Cipro, Croazia, Grecia, Lettonia, Romania, Slovacchia, Ungheria</w:t>
            </w:r>
          </w:p>
        </w:tc>
        <w:tc>
          <w:tcPr/>
          <w:p>
            <w:pPr>
              <w:pStyle w:val="Compact"/>
              <w:jc w:val="left"/>
            </w:pPr>
            <w:r>
              <w:rPr>
                <w:rFonts w:ascii="Cambria" w:hAnsi="Cambria" w:cs="Cambria" w:eastAsia="Cambria"/>
                <w:sz w:val="18"/>
              </w:rPr>
              <w:t xml:space="preserve">8</w:t>
            </w:r>
          </w:p>
        </w:tc>
      </w:tr>
    </w:tbl>
    <w:p>
      <w:pPr>
        <w:pStyle w:val="BodyText"/>
      </w:pPr>
      <w:r>
        <w:rPr>
          <w:i/>
          <w:iCs/>
        </w:rPr>
        <w:t xml:space="preserve">Tabella 5.1. Il riepilogo comparativo delle ventisette schede-Stato per distanza dal benchmark operativo, con le lacune informative dichiarate.</w:t>
      </w:r>
    </w:p>
    <w:p>
      <w:r>
        <w:br w:type="page"/>
      </w:r>
    </w:p>
    <w:bookmarkEnd w:id="1541"/>
    <w:bookmarkEnd w:id="1542"/>
    <w:bookmarkStart w:id="4517" w:name="Xd10b46bee46f04d90c50fe84d382b36ab68bab9"/>
    <w:p>
      <w:pPr>
        <w:pStyle w:val="Heading1"/>
      </w:pPr>
      <w:r>
        <w:t xml:space="preserve">Capitolo 6 — La simulazione aggregata UE-27 sotto doppio ancoraggio</w:t>
      </w:r>
    </w:p>
    <w:bookmarkStart w:id="1544" w:name="la-simulazione-appaiata-unionale"/>
    <w:p>
      <w:pPr>
        <w:pStyle w:val="Heading2"/>
      </w:pPr>
      <w:r>
        <w:t xml:space="preserve">6.1 La simulazione appaiata unionale</w:t>
      </w:r>
    </w:p>
    <w:p>
      <w:pPr>
        <w:pStyle w:val="FirstParagraph"/>
      </w:pPr>
      <w:r>
        <w:t xml:space="preserve">La simulazione aggregata è condotta con il modello di Markov a coorte a ciclo annuale del Reference Case unionale, sotto il doppio ancoraggio: la Colonna A applica i parametri di Chisholm e dell’Organizzazione Mondiale della Sanità, la Colonna B quelli di Unisanté e dell’OCSE, con prevalenza della Colonna B nel giudizio. Le due colonne sono sempre affiancate; tutte le cifre sono riportate con attribuzione, nessuna è affermata a memoria né espressa come rapporto sintetico, e i risultati aggregati sono qualificati quali proiezioni di primo ordine, la cui calibrazione Stato per Stato — condizionata dalle lacune dichiarate — è oggetto delle appendici registrate.</w:t>
      </w:r>
      <w:r>
        <w:rPr>
          <w:rStyle w:val="FootnoteReference"/>
        </w:rPr>
        <w:footnoteReference w:id="3884"/>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jc w:val="left"/>
            </w:pPr>
            <w:r>
              <w:rPr>
                <w:rFonts w:ascii="Cambria" w:hAnsi="Cambria" w:cs="Cambria" w:eastAsia="Cambria"/>
                <w:b/>
                <w:color w:val="FFFFFF"/>
                <w:sz w:val="18"/>
              </w:rPr>
              <w:t xml:space="preserve">Metrica economica</w:t>
            </w:r>
          </w:p>
        </w:tc>
        <w:tc>
          <w:tcPr>
            <w:shd w:val="clear" w:color="auto" w:fill="16264B"/>
          </w:tcPr>
          <w:p>
            <w:pPr>
              <w:pStyle w:val="Compact"/>
              <w:jc w:val="left"/>
            </w:pPr>
            <w:r>
              <w:rPr>
                <w:rFonts w:ascii="Cambria" w:hAnsi="Cambria" w:cs="Cambria" w:eastAsia="Cambria"/>
                <w:b/>
                <w:color w:val="FFFFFF"/>
                <w:sz w:val="18"/>
              </w:rPr>
              <w:t xml:space="preserve">Colonna A — Chisholm/OMS</w:t>
            </w:r>
          </w:p>
        </w:tc>
        <w:tc>
          <w:tcPr>
            <w:shd w:val="clear" w:color="auto" w:fill="16264B"/>
          </w:tcPr>
          <w:p>
            <w:pPr>
              <w:pStyle w:val="Compact"/>
              <w:jc w:val="left"/>
            </w:pPr>
            <w:r>
              <w:rPr>
                <w:rFonts w:ascii="Cambria" w:hAnsi="Cambria" w:cs="Cambria" w:eastAsia="Cambria"/>
                <w:b/>
                <w:color w:val="FFFFFF"/>
                <w:sz w:val="18"/>
              </w:rPr>
              <w:t xml:space="preserve">Colonna B — Unisanté/OCSE</w:t>
            </w:r>
          </w:p>
        </w:tc>
      </w:tr>
      <w:tr>
        <w:tc>
          <w:tcPr/>
          <w:p>
            <w:pPr>
              <w:pStyle w:val="Compact"/>
              <w:jc w:val="left"/>
            </w:pPr>
            <w:r>
              <w:rPr>
                <w:rFonts w:ascii="Cambria" w:hAnsi="Cambria" w:cs="Cambria" w:eastAsia="Cambria"/>
                <w:sz w:val="18"/>
              </w:rPr>
              <w:t xml:space="preserve">Costo per anno di vita ponderato</w:t>
            </w:r>
          </w:p>
        </w:tc>
        <w:tc>
          <w:tcPr/>
          <w:p>
            <w:pPr>
              <w:pStyle w:val="Compact"/>
              <w:jc w:val="left"/>
            </w:pPr>
            <w:r>
              <w:rPr>
                <w:rFonts w:ascii="Cambria" w:hAnsi="Cambria" w:cs="Cambria" w:eastAsia="Cambria"/>
                <w:sz w:val="18"/>
              </w:rPr>
              <w:t xml:space="preserve">≈ 17.000 €/QALY</w:t>
            </w:r>
          </w:p>
        </w:tc>
        <w:tc>
          <w:tcPr/>
          <w:p>
            <w:pPr>
              <w:pStyle w:val="Compact"/>
              <w:jc w:val="left"/>
            </w:pPr>
            <w:r>
              <w:rPr>
                <w:rFonts w:ascii="Cambria" w:hAnsi="Cambria" w:cs="Cambria" w:eastAsia="Cambria"/>
                <w:sz w:val="18"/>
              </w:rPr>
              <w:t xml:space="preserve">≈ 9.800 €/QALY</w:t>
            </w:r>
          </w:p>
        </w:tc>
      </w:tr>
      <w:tr>
        <w:tc>
          <w:tcPr>
            <w:shd w:val="clear" w:color="auto" w:fill="F4F1EC"/>
          </w:tcPr>
          <w:p>
            <w:pPr>
              <w:pStyle w:val="Compact"/>
              <w:jc w:val="left"/>
            </w:pPr>
            <w:r>
              <w:rPr>
                <w:rFonts w:ascii="Cambria" w:hAnsi="Cambria" w:cs="Cambria" w:eastAsia="Cambria"/>
                <w:sz w:val="18"/>
              </w:rPr>
              <w:t xml:space="preserve">Ritorno per i soli benefici economici</w:t>
            </w:r>
          </w:p>
        </w:tc>
        <w:tc>
          <w:tcPr>
            <w:shd w:val="clear" w:color="auto" w:fill="F4F1EC"/>
          </w:tcPr>
          <w:p>
            <w:pPr>
              <w:pStyle w:val="Compact"/>
              <w:jc w:val="left"/>
            </w:pPr>
            <w:r>
              <w:rPr>
                <w:rFonts w:ascii="Cambria" w:hAnsi="Cambria" w:cs="Cambria" w:eastAsia="Cambria"/>
                <w:sz w:val="18"/>
              </w:rPr>
              <w:t xml:space="preserve">Riportato con attribuzione OMS</w:t>
            </w:r>
          </w:p>
        </w:tc>
        <w:tc>
          <w:tcPr>
            <w:shd w:val="clear" w:color="auto" w:fill="F4F1EC"/>
          </w:tcPr>
          <w:p>
            <w:pPr>
              <w:pStyle w:val="Compact"/>
              <w:jc w:val="left"/>
            </w:pPr>
            <w:r>
              <w:rPr>
                <w:rFonts w:ascii="Cambria" w:hAnsi="Cambria" w:cs="Cambria" w:eastAsia="Cambria"/>
                <w:sz w:val="18"/>
              </w:rPr>
              <w:t xml:space="preserve">Scenario base aggiornato OCSE</w:t>
            </w:r>
          </w:p>
        </w:tc>
      </w:tr>
      <w:tr>
        <w:tc>
          <w:tcPr/>
          <w:p>
            <w:pPr>
              <w:pStyle w:val="Compact"/>
              <w:jc w:val="left"/>
            </w:pPr>
            <w:r>
              <w:rPr>
                <w:rFonts w:ascii="Cambria" w:hAnsi="Cambria" w:cs="Cambria" w:eastAsia="Cambria"/>
                <w:sz w:val="18"/>
              </w:rPr>
              <w:t xml:space="preserve">Ritorno con i ritorni sanitari</w:t>
            </w:r>
          </w:p>
        </w:tc>
        <w:tc>
          <w:tcPr/>
          <w:p>
            <w:pPr>
              <w:pStyle w:val="Compact"/>
              <w:jc w:val="left"/>
            </w:pPr>
            <w:r>
              <w:rPr>
                <w:rFonts w:ascii="Cambria" w:hAnsi="Cambria" w:cs="Cambria" w:eastAsia="Cambria"/>
                <w:sz w:val="18"/>
              </w:rPr>
              <w:t xml:space="preserve">Riportato con attribuzione OMS</w:t>
            </w:r>
          </w:p>
        </w:tc>
        <w:tc>
          <w:tcPr/>
          <w:p>
            <w:pPr>
              <w:pStyle w:val="Compact"/>
              <w:jc w:val="left"/>
            </w:pPr>
            <w:r>
              <w:rPr>
                <w:rFonts w:ascii="Cambria" w:hAnsi="Cambria" w:cs="Cambria" w:eastAsia="Cambria"/>
                <w:sz w:val="18"/>
              </w:rPr>
              <w:t xml:space="preserve">Scenario base aggiornato OCSE</w:t>
            </w:r>
          </w:p>
        </w:tc>
      </w:tr>
      <w:tr>
        <w:tc>
          <w:tcPr>
            <w:shd w:val="clear" w:color="auto" w:fill="F4F1EC"/>
          </w:tcPr>
          <w:p>
            <w:pPr>
              <w:pStyle w:val="Compact"/>
              <w:jc w:val="left"/>
            </w:pPr>
            <w:r>
              <w:rPr>
                <w:rFonts w:ascii="Cambria" w:hAnsi="Cambria" w:cs="Cambria" w:eastAsia="Cambria"/>
                <w:sz w:val="18"/>
              </w:rPr>
              <w:t xml:space="preserve">Orizzonti</w:t>
            </w:r>
          </w:p>
        </w:tc>
        <w:tc>
          <w:tcPr>
            <w:shd w:val="clear" w:color="auto" w:fill="F4F1EC"/>
          </w:tcPr>
          <w:p>
            <w:pPr>
              <w:pStyle w:val="Compact"/>
              <w:jc w:val="left"/>
            </w:pPr>
            <w:r>
              <w:rPr>
                <w:rFonts w:ascii="Cambria" w:hAnsi="Cambria" w:cs="Cambria" w:eastAsia="Cambria"/>
                <w:sz w:val="18"/>
              </w:rPr>
              <w:t xml:space="preserve">1 · 3 · 5 · 7 · 10 anni</w:t>
            </w:r>
          </w:p>
        </w:tc>
        <w:tc>
          <w:tcPr>
            <w:shd w:val="clear" w:color="auto" w:fill="F4F1EC"/>
          </w:tcPr>
          <w:p>
            <w:pPr>
              <w:pStyle w:val="Compact"/>
              <w:jc w:val="left"/>
            </w:pPr>
            <w:r>
              <w:rPr>
                <w:rFonts w:ascii="Cambria" w:hAnsi="Cambria" w:cs="Cambria" w:eastAsia="Cambria"/>
                <w:sz w:val="18"/>
              </w:rPr>
              <w:t xml:space="preserve">1 · 3 · 5 · 7 · 10 anni</w:t>
            </w:r>
          </w:p>
        </w:tc>
      </w:tr>
      <w:tr>
        <w:tc>
          <w:tcPr/>
          <w:p>
            <w:pPr>
              <w:pStyle w:val="Compact"/>
              <w:jc w:val="left"/>
            </w:pPr>
            <w:r>
              <w:rPr>
                <w:rFonts w:ascii="Cambria" w:hAnsi="Cambria" w:cs="Cambria" w:eastAsia="Cambria"/>
                <w:sz w:val="18"/>
              </w:rPr>
              <w:t xml:space="preserve">Soglie di costo-efficacia</w:t>
            </w:r>
          </w:p>
        </w:tc>
        <w:tc>
          <w:tcPr/>
          <w:p>
            <w:pPr>
              <w:pStyle w:val="Compact"/>
              <w:jc w:val="left"/>
            </w:pPr>
            <w:r>
              <w:rPr>
                <w:rFonts w:ascii="Cambria" w:hAnsi="Cambria" w:cs="Cambria" w:eastAsia="Cambria"/>
                <w:sz w:val="18"/>
              </w:rPr>
              <w:t xml:space="preserve">20.000 · 30.000 · 50.000 €/QALY</w:t>
            </w:r>
          </w:p>
        </w:tc>
        <w:tc>
          <w:tcPr/>
          <w:p>
            <w:pPr>
              <w:pStyle w:val="Compact"/>
              <w:jc w:val="left"/>
            </w:pPr>
            <w:r>
              <w:rPr>
                <w:rFonts w:ascii="Cambria" w:hAnsi="Cambria" w:cs="Cambria" w:eastAsia="Cambria"/>
                <w:sz w:val="18"/>
              </w:rPr>
              <w:t xml:space="preserve">20.000 · 30.000 · 50.000 €/QALY</w:t>
            </w:r>
          </w:p>
        </w:tc>
      </w:tr>
    </w:tbl>
    <w:p>
      <w:pPr>
        <w:pStyle w:val="BodyText"/>
      </w:pPr>
      <w:r>
        <w:rPr>
          <w:i/>
          <w:iCs/>
        </w:rPr>
        <w:t xml:space="preserve">Tabella 6.1. La simulazione appaiata unionale sotto doppio ancoraggio; i valori sono riportati con attribuzione e la Colonna B prevale nel giudizio.</w:t>
      </w:r>
    </w:p>
    <w:bookmarkEnd w:id="1544"/>
    <w:bookmarkStart w:id="4518" w:name="X0ea487b922f06540a18a3d0f77f5d56df2f2b59"/>
    <w:p>
      <w:pPr>
        <w:pStyle w:val="Heading2"/>
      </w:pPr>
      <w:r>
        <w:t xml:space="preserve">6.2 Il dimensionamento aggregato per scenario</w:t>
      </w:r>
    </w:p>
    <w:p>
      <w:pPr>
        <w:pStyle w:val="FirstParagraph"/>
      </w:pPr>
      <w:r>
        <w:t xml:space="preserve">Il dimensionamento aggregato proietta sull’Unione, per proporzione demografica e quale approssimazione di primo ordine, i tre scenari del Reference Case: lo scenario conservativo dell’ordine di cinquantamila incarichi equivalenti a tempo pieno, quello di base dell’ordine di settantatremila, quello espansivo dell’ordine di novantottomila. Il costo aggregato del servizio a regime, nello scenario di base, si colloca nell’ordine di quattro-quattro miliardi e mezzo di euro l’anno; i differenziali di costo del lavoro sanitario fra gli Stati — che si distendono su un intervallo ampio — sono trattati quali fattori dichiarati di incertezza e non assorbiti in medie tacite, sicché il valore aggregato è una banda, non un punto. La distribuzione per Stato, condizionata dalla distanza dal benchmark e dalla dotazione di workforce, è oggetto dell’Appendice D; ove un parametro nazionale non sia disponibile, la lacuna è dichiarata.</w:t>
      </w:r>
      <w:r>
        <w:rPr>
          <w:rStyle w:val="FootnoteReference"/>
        </w:rPr>
        <w:footnoteReference w:id="3885"/>
      </w:r>
    </w:p>
    <w:bookmarkEnd w:id="4518"/>
    <w:bookmarkStart w:id="4519" w:name="X1bb69d44a127dde611c9e2eb55476223d9f6c92"/>
    <w:p>
      <w:pPr>
        <w:pStyle w:val="Heading2"/>
      </w:pPr>
      <w:r>
        <w:t xml:space="preserve">6.3 Il confronto di scala con l’onere della malattia</w:t>
      </w:r>
    </w:p>
    <w:p>
      <w:pPr>
        <w:pStyle w:val="FirstParagraph"/>
      </w:pPr>
      <w:r>
        <w:t xml:space="preserve">Il costo dei disturbi mentali per le economie dell’Unione supera, secondo le stime dell’OCSE e della Commissione riportate con attribuzione, il quattro per cento del prodotto interno lordo — oltre seicento miliardi di euro l’anno fra costi sanitari, programmi sociali e minore occupazione e produttività. Il confronto con il costo aggregato del servizio a regime — dell’ordine di pochi miliardi di euro l’anno — è un confronto di scala, espresso discorsivamente: esso colloca l’intervento entro una frazione minima dell’onere annuo della malattia, senza costituire un rapporto sintetico fra benefici e costi, che il principio dell’opera vieta. L’argomento economico cardine resta il differenziale di costo per gravità, riportato con attribuzione all’OCSE: l’intercettazione precoce evita che il disagio comune maturi in quadri gravi, il cui costo di trattamento è un multiplo di quello dei quadri lievi, e la sua forza vale identica in ciascuno dei ventisette sistemi.</w:t>
      </w:r>
      <w:r>
        <w:rPr>
          <w:rStyle w:val="FootnoteReference"/>
        </w:rPr>
        <w:footnoteReference w:id="3886"/>
      </w:r>
    </w:p>
    <w:p>
      <w:r>
        <w:br w:type="page"/>
      </w:r>
    </w:p>
    <w:bookmarkEnd w:id="4519"/>
    <w:bookmarkEnd w:id="4517"/>
    <w:bookmarkStart w:id="4520" w:name="Xc0f8339291354740339a6ea9a593f64efbf373e"/>
    <w:p>
      <w:pPr>
        <w:pStyle w:val="Heading1"/>
      </w:pPr>
      <w:r>
        <w:t xml:space="preserve">Capitolo 7 — I sei domini di analisi e l’equità fra Stati Membri</w:t>
      </w:r>
    </w:p>
    <w:bookmarkStart w:id="4521" w:name="i-sei-domini-nella-lettura-unionale"/>
    <w:p>
      <w:pPr>
        <w:pStyle w:val="Heading2"/>
      </w:pPr>
      <w:r>
        <w:t xml:space="preserve">7.1 I sei domini nella lettura unionale</w:t>
      </w:r>
    </w:p>
    <w:p>
      <w:pPr>
        <w:pStyle w:val="FirstParagraph"/>
      </w:pPr>
      <w:r>
        <w:t xml:space="preserve">I sei domini di analisi del Reference Case sono applicati alla lettura unionale. Il dominio epidemiologico-clinico registra il divario di trattamento medio e la sua variabilità; l’economico-sanitario il costo-efficacia aggregato sotto doppio ancoraggio; il fiscale-previdenziale gli oneri sociali evitabili e il recupero di produttività, di competenza degli Stati; il sociale la coesione e la riduzione del disagio non trattato; l’organizzativo-strutturale la trasferibilità del benchmark nei diversi assetti; l’equità la convergenza fra Stati a diversa dotazione, dimensione distributiva propria dell’asse unionale.</w:t>
      </w:r>
      <w:r>
        <w:rPr>
          <w:rStyle w:val="FootnoteReference"/>
        </w:rPr>
        <w:footnoteReference w:id="3887"/>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jc w:val="left"/>
            </w:pPr>
            <w:r>
              <w:rPr>
                <w:rFonts w:ascii="Cambria" w:hAnsi="Cambria" w:cs="Cambria" w:eastAsia="Cambria"/>
                <w:b/>
                <w:color w:val="FFFFFF"/>
                <w:sz w:val="18"/>
              </w:rPr>
              <w:t xml:space="preserve">Dominio</w:t>
            </w:r>
          </w:p>
        </w:tc>
        <w:tc>
          <w:tcPr>
            <w:shd w:val="clear" w:color="auto" w:fill="16264B"/>
          </w:tcPr>
          <w:p>
            <w:pPr>
              <w:pStyle w:val="Compact"/>
              <w:jc w:val="left"/>
            </w:pPr>
            <w:r>
              <w:rPr>
                <w:rFonts w:ascii="Cambria" w:hAnsi="Cambria" w:cs="Cambria" w:eastAsia="Cambria"/>
                <w:b/>
                <w:color w:val="FFFFFF"/>
                <w:sz w:val="18"/>
              </w:rPr>
              <w:t xml:space="preserve">Lettura unionale</w:t>
            </w:r>
          </w:p>
        </w:tc>
        <w:tc>
          <w:tcPr>
            <w:shd w:val="clear" w:color="auto" w:fill="16264B"/>
          </w:tcPr>
          <w:p>
            <w:pPr>
              <w:pStyle w:val="Compact"/>
              <w:jc w:val="left"/>
            </w:pPr>
            <w:r>
              <w:rPr>
                <w:rFonts w:ascii="Cambria" w:hAnsi="Cambria" w:cs="Cambria" w:eastAsia="Cambria"/>
                <w:b/>
                <w:color w:val="FFFFFF"/>
                <w:sz w:val="18"/>
              </w:rPr>
              <w:t xml:space="preserve">Segno</w:t>
            </w:r>
          </w:p>
        </w:tc>
      </w:tr>
      <w:tr>
        <w:tc>
          <w:tcPr/>
          <w:p>
            <w:pPr>
              <w:pStyle w:val="Compact"/>
              <w:jc w:val="left"/>
            </w:pPr>
            <w:r>
              <w:rPr>
                <w:rFonts w:ascii="Cambria" w:hAnsi="Cambria" w:cs="Cambria" w:eastAsia="Cambria"/>
                <w:sz w:val="18"/>
              </w:rPr>
              <w:t xml:space="preserve">Epidemiologico-clinico</w:t>
            </w:r>
          </w:p>
        </w:tc>
        <w:tc>
          <w:tcPr/>
          <w:p>
            <w:pPr>
              <w:pStyle w:val="Compact"/>
              <w:jc w:val="left"/>
            </w:pPr>
            <w:r>
              <w:rPr>
                <w:rFonts w:ascii="Cambria" w:hAnsi="Cambria" w:cs="Cambria" w:eastAsia="Cambria"/>
                <w:sz w:val="18"/>
              </w:rPr>
              <w:t xml:space="preserve">Divario di trattamento medio elevato, variabile fra Stati</w:t>
            </w:r>
          </w:p>
        </w:tc>
        <w:tc>
          <w:tcPr/>
          <w:p>
            <w:pPr>
              <w:pStyle w:val="Compact"/>
              <w:jc w:val="left"/>
            </w:pPr>
            <w:r>
              <w:rPr>
                <w:rFonts w:ascii="Cambria" w:hAnsi="Cambria" w:cs="Cambria" w:eastAsia="Cambria"/>
                <w:sz w:val="18"/>
              </w:rPr>
              <w:t xml:space="preserve">Riduzione attesa</w:t>
            </w:r>
          </w:p>
        </w:tc>
      </w:tr>
      <w:tr>
        <w:tc>
          <w:tcPr>
            <w:shd w:val="clear" w:color="auto" w:fill="F4F1EC"/>
          </w:tcPr>
          <w:p>
            <w:pPr>
              <w:pStyle w:val="Compact"/>
              <w:jc w:val="left"/>
            </w:pPr>
            <w:r>
              <w:rPr>
                <w:rFonts w:ascii="Cambria" w:hAnsi="Cambria" w:cs="Cambria" w:eastAsia="Cambria"/>
                <w:sz w:val="18"/>
              </w:rPr>
              <w:t xml:space="preserve">Economico-sanitario</w:t>
            </w:r>
          </w:p>
        </w:tc>
        <w:tc>
          <w:tcPr>
            <w:shd w:val="clear" w:color="auto" w:fill="F4F1EC"/>
          </w:tcPr>
          <w:p>
            <w:pPr>
              <w:pStyle w:val="Compact"/>
              <w:jc w:val="left"/>
            </w:pPr>
            <w:r>
              <w:rPr>
                <w:rFonts w:ascii="Cambria" w:hAnsi="Cambria" w:cs="Cambria" w:eastAsia="Cambria"/>
                <w:sz w:val="18"/>
              </w:rPr>
              <w:t xml:space="preserve">Costo/QALY favorevole in aggregato</w:t>
            </w:r>
          </w:p>
        </w:tc>
        <w:tc>
          <w:tcPr>
            <w:shd w:val="clear" w:color="auto" w:fill="F4F1EC"/>
          </w:tcPr>
          <w:p>
            <w:pPr>
              <w:pStyle w:val="Compact"/>
              <w:jc w:val="left"/>
            </w:pPr>
            <w:r>
              <w:rPr>
                <w:rFonts w:ascii="Cambria" w:hAnsi="Cambria" w:cs="Cambria" w:eastAsia="Cambria"/>
                <w:sz w:val="18"/>
              </w:rPr>
              <w:t xml:space="preserve">Favorevole</w:t>
            </w:r>
          </w:p>
        </w:tc>
      </w:tr>
      <w:tr>
        <w:tc>
          <w:tcPr/>
          <w:p>
            <w:pPr>
              <w:pStyle w:val="Compact"/>
              <w:jc w:val="left"/>
            </w:pPr>
            <w:r>
              <w:rPr>
                <w:rFonts w:ascii="Cambria" w:hAnsi="Cambria" w:cs="Cambria" w:eastAsia="Cambria"/>
                <w:sz w:val="18"/>
              </w:rPr>
              <w:t xml:space="preserve">Fiscale-previdenziale</w:t>
            </w:r>
          </w:p>
        </w:tc>
        <w:tc>
          <w:tcPr/>
          <w:p>
            <w:pPr>
              <w:pStyle w:val="Compact"/>
              <w:jc w:val="left"/>
            </w:pPr>
            <w:r>
              <w:rPr>
                <w:rFonts w:ascii="Cambria" w:hAnsi="Cambria" w:cs="Cambria" w:eastAsia="Cambria"/>
                <w:sz w:val="18"/>
              </w:rPr>
              <w:t xml:space="preserve">Oneri sociali evitabili, produttività recuperata</w:t>
            </w:r>
          </w:p>
        </w:tc>
        <w:tc>
          <w:tcPr/>
          <w:p>
            <w:pPr>
              <w:pStyle w:val="Compact"/>
              <w:jc w:val="left"/>
            </w:pPr>
            <w:r>
              <w:rPr>
                <w:rFonts w:ascii="Cambria" w:hAnsi="Cambria" w:cs="Cambria" w:eastAsia="Cambria"/>
                <w:sz w:val="18"/>
              </w:rPr>
              <w:t xml:space="preserve">Positivo, differito</w:t>
            </w:r>
          </w:p>
        </w:tc>
      </w:tr>
      <w:tr>
        <w:tc>
          <w:tcPr>
            <w:shd w:val="clear" w:color="auto" w:fill="F4F1EC"/>
          </w:tcPr>
          <w:p>
            <w:pPr>
              <w:pStyle w:val="Compact"/>
              <w:jc w:val="left"/>
            </w:pPr>
            <w:r>
              <w:rPr>
                <w:rFonts w:ascii="Cambria" w:hAnsi="Cambria" w:cs="Cambria" w:eastAsia="Cambria"/>
                <w:sz w:val="18"/>
              </w:rPr>
              <w:t xml:space="preserve">Sociale</w:t>
            </w:r>
          </w:p>
        </w:tc>
        <w:tc>
          <w:tcPr>
            <w:shd w:val="clear" w:color="auto" w:fill="F4F1EC"/>
          </w:tcPr>
          <w:p>
            <w:pPr>
              <w:pStyle w:val="Compact"/>
              <w:jc w:val="left"/>
            </w:pPr>
            <w:r>
              <w:rPr>
                <w:rFonts w:ascii="Cambria" w:hAnsi="Cambria" w:cs="Cambria" w:eastAsia="Cambria"/>
                <w:sz w:val="18"/>
              </w:rPr>
              <w:t xml:space="preserve">Coesione e riduzione del disagio non trattato</w:t>
            </w:r>
          </w:p>
        </w:tc>
        <w:tc>
          <w:tcPr>
            <w:shd w:val="clear" w:color="auto" w:fill="F4F1EC"/>
          </w:tcPr>
          <w:p>
            <w:pPr>
              <w:pStyle w:val="Compact"/>
              <w:jc w:val="left"/>
            </w:pPr>
            <w:r>
              <w:rPr>
                <w:rFonts w:ascii="Cambria" w:hAnsi="Cambria" w:cs="Cambria" w:eastAsia="Cambria"/>
                <w:sz w:val="18"/>
              </w:rPr>
              <w:t xml:space="preserve">Fortemente positivo</w:t>
            </w:r>
          </w:p>
        </w:tc>
      </w:tr>
      <w:tr>
        <w:tc>
          <w:tcPr/>
          <w:p>
            <w:pPr>
              <w:pStyle w:val="Compact"/>
              <w:jc w:val="left"/>
            </w:pPr>
            <w:r>
              <w:rPr>
                <w:rFonts w:ascii="Cambria" w:hAnsi="Cambria" w:cs="Cambria" w:eastAsia="Cambria"/>
                <w:sz w:val="18"/>
              </w:rPr>
              <w:t xml:space="preserve">Organizzativo-strutturale</w:t>
            </w:r>
          </w:p>
        </w:tc>
        <w:tc>
          <w:tcPr/>
          <w:p>
            <w:pPr>
              <w:pStyle w:val="Compact"/>
              <w:jc w:val="left"/>
            </w:pPr>
            <w:r>
              <w:rPr>
                <w:rFonts w:ascii="Cambria" w:hAnsi="Cambria" w:cs="Cambria" w:eastAsia="Cambria"/>
                <w:sz w:val="18"/>
              </w:rPr>
              <w:t xml:space="preserve">Benchmark trasferibile nei diversi assetti</w:t>
            </w:r>
          </w:p>
        </w:tc>
        <w:tc>
          <w:tcPr/>
          <w:p>
            <w:pPr>
              <w:pStyle w:val="Compact"/>
              <w:jc w:val="left"/>
            </w:pPr>
            <w:r>
              <w:rPr>
                <w:rFonts w:ascii="Cambria" w:hAnsi="Cambria" w:cs="Cambria" w:eastAsia="Cambria"/>
                <w:sz w:val="18"/>
              </w:rPr>
              <w:t xml:space="preserve">Positivo, condizionato</w:t>
            </w:r>
          </w:p>
        </w:tc>
      </w:tr>
      <w:tr>
        <w:tc>
          <w:tcPr>
            <w:shd w:val="clear" w:color="auto" w:fill="F4F1EC"/>
          </w:tcPr>
          <w:p>
            <w:pPr>
              <w:pStyle w:val="Compact"/>
              <w:jc w:val="left"/>
            </w:pPr>
            <w:r>
              <w:rPr>
                <w:rFonts w:ascii="Cambria" w:hAnsi="Cambria" w:cs="Cambria" w:eastAsia="Cambria"/>
                <w:sz w:val="18"/>
              </w:rPr>
              <w:t xml:space="preserve">Equità</w:t>
            </w:r>
          </w:p>
        </w:tc>
        <w:tc>
          <w:tcPr>
            <w:shd w:val="clear" w:color="auto" w:fill="F4F1EC"/>
          </w:tcPr>
          <w:p>
            <w:pPr>
              <w:pStyle w:val="Compact"/>
              <w:jc w:val="left"/>
            </w:pPr>
            <w:r>
              <w:rPr>
                <w:rFonts w:ascii="Cambria" w:hAnsi="Cambria" w:cs="Cambria" w:eastAsia="Cambria"/>
                <w:sz w:val="18"/>
              </w:rPr>
              <w:t xml:space="preserve">Convergenza fra Stati a diversa dotazione</w:t>
            </w:r>
          </w:p>
        </w:tc>
        <w:tc>
          <w:tcPr>
            <w:shd w:val="clear" w:color="auto" w:fill="F4F1EC"/>
          </w:tcPr>
          <w:p>
            <w:pPr>
              <w:pStyle w:val="Compact"/>
              <w:jc w:val="left"/>
            </w:pPr>
            <w:r>
              <w:rPr>
                <w:rFonts w:ascii="Cambria" w:hAnsi="Cambria" w:cs="Cambria" w:eastAsia="Cambria"/>
                <w:sz w:val="18"/>
              </w:rPr>
              <w:t xml:space="preserve">Positivo, distributivo</w:t>
            </w:r>
          </w:p>
        </w:tc>
      </w:tr>
    </w:tbl>
    <w:p>
      <w:pPr>
        <w:pStyle w:val="BodyText"/>
      </w:pPr>
      <w:r>
        <w:rPr>
          <w:i/>
          <w:iCs/>
        </w:rPr>
        <w:t xml:space="preserve">Tabella 7.1. I sei domini di analisi nella lettura unionale, con il segno atteso dell’effetto, tenuti distinti e non aggregati.</w:t>
      </w:r>
    </w:p>
    <w:bookmarkEnd w:id="4521"/>
    <w:bookmarkStart w:id="4522" w:name="lequità-fra-stati-membri"/>
    <w:p>
      <w:pPr>
        <w:pStyle w:val="Heading2"/>
      </w:pPr>
      <w:r>
        <w:t xml:space="preserve">7.2 L’equità fra Stati Membri</w:t>
      </w:r>
    </w:p>
    <w:p>
      <w:pPr>
        <w:pStyle w:val="FirstParagraph"/>
      </w:pPr>
      <w:r>
        <w:t xml:space="preserve">Il dominio dell’equità assume, nell’asse unionale, la direzione della convergenza fra Stati: la geografia del ritardo — otto Stati a distanza ampia dal benchmark, coincidenti in larga parte con le dotazioni di psicologi più basse — riproduce su scala continentale il gradiente che i Volumi regionali hanno documentato fra aree centrali e aree interne. L’integrazione del primo livello psicologico opera quale leva di convergenza: essa riduce il divario di trattamento là dove è più ampio, e gli strumenti finanziari dell’Unione — orientati secondo la prima raccomandazione operativa — possono compensare il differenziale di capacità di investimento fra gli Stati. L’effetto distributivo è tenuto distinto dal verdetto fiscale e da quello sanitario, secondo il divieto di aggregazione che governa l’intera opera.</w:t>
      </w:r>
      <w:r>
        <w:rPr>
          <w:rStyle w:val="FootnoteReference"/>
        </w:rPr>
        <w:footnoteReference w:id="3888"/>
      </w:r>
    </w:p>
    <w:p>
      <w:r>
        <w:br w:type="page"/>
      </w:r>
    </w:p>
    <w:bookmarkEnd w:id="4522"/>
    <w:bookmarkEnd w:id="4520"/>
    <w:bookmarkStart w:id="4523" w:name="X8129cf7f90275cc1df3a169b2361f26267ab476"/>
    <w:p>
      <w:pPr>
        <w:pStyle w:val="Heading1"/>
      </w:pPr>
      <w:r>
        <w:t xml:space="preserve">Capitolo 8 — La sensitività e l’incertezza</w:t>
      </w:r>
    </w:p>
    <w:bookmarkStart w:id="4524" w:name="X06df856c9b851298535ed14915fd46b2983cc86"/>
    <w:p>
      <w:pPr>
        <w:pStyle w:val="Heading2"/>
      </w:pPr>
      <w:r>
        <w:t xml:space="preserve">8.1 Il protocollo dell’incertezza applicato all’asse unionale</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Nell’asse unionale, i parametri a maggiore impatto atteso sono i differenziali di costo del lavoro sanitario fra gli Stati, la velocità di adozione nei paesi a distanza ampia dal benchmark, e la disponibilità di workforce nei paesi a dotazione più bassa; l’eterogeneità fra Stati accresce strutturalmente l’ampiezza degli intervalli aggregati, ciò che è dichiarato quale cautela interpretativa, e le lacune informative delle schede-Stato sono trattate quali fattori espliciti di incertezza, non quali assenze silenziose.</w:t>
      </w:r>
      <w:r>
        <w:rPr>
          <w:rStyle w:val="FootnoteReference"/>
        </w:rPr>
        <w:footnoteReference w:id="3889"/>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jc w:val="left"/>
            </w:pPr>
            <w:r>
              <w:rPr>
                <w:rFonts w:ascii="Cambria" w:hAnsi="Cambria" w:cs="Cambria" w:eastAsia="Cambria"/>
                <w:b/>
                <w:color w:val="FFFFFF"/>
                <w:sz w:val="18"/>
              </w:rPr>
              <w:t xml:space="preserve">Strumento</w:t>
            </w:r>
          </w:p>
        </w:tc>
        <w:tc>
          <w:tcPr>
            <w:shd w:val="clear" w:color="auto" w:fill="16264B"/>
          </w:tcPr>
          <w:p>
            <w:pPr>
              <w:pStyle w:val="Compact"/>
              <w:jc w:val="left"/>
            </w:pPr>
            <w:r>
              <w:rPr>
                <w:rFonts w:ascii="Cambria" w:hAnsi="Cambria" w:cs="Cambria" w:eastAsia="Cambria"/>
                <w:b/>
                <w:color w:val="FFFFFF"/>
                <w:sz w:val="18"/>
              </w:rPr>
              <w:t xml:space="preserve">Applicazione unionale</w:t>
            </w:r>
          </w:p>
        </w:tc>
        <w:tc>
          <w:tcPr>
            <w:shd w:val="clear" w:color="auto" w:fill="16264B"/>
          </w:tcPr>
          <w:p>
            <w:pPr>
              <w:pStyle w:val="Compact"/>
              <w:jc w:val="left"/>
            </w:pPr>
            <w:r>
              <w:rPr>
                <w:rFonts w:ascii="Cambria" w:hAnsi="Cambria" w:cs="Cambria" w:eastAsia="Cambria"/>
                <w:b/>
                <w:color w:val="FFFFFF"/>
                <w:sz w:val="18"/>
              </w:rPr>
              <w:t xml:space="preserve">Parametro critico atteso</w:t>
            </w:r>
          </w:p>
        </w:tc>
      </w:tr>
      <w:tr>
        <w:tc>
          <w:tcPr/>
          <w:p>
            <w:pPr>
              <w:pStyle w:val="Compact"/>
              <w:jc w:val="left"/>
            </w:pPr>
            <w:r>
              <w:rPr>
                <w:rFonts w:ascii="Cambria" w:hAnsi="Cambria" w:cs="Cambria" w:eastAsia="Cambria"/>
                <w:sz w:val="18"/>
              </w:rPr>
              <w:t xml:space="preserve">Sensitività deterministica</w:t>
            </w:r>
          </w:p>
        </w:tc>
        <w:tc>
          <w:tcPr/>
          <w:p>
            <w:pPr>
              <w:pStyle w:val="Compact"/>
              <w:jc w:val="left"/>
            </w:pPr>
            <w:r>
              <w:rPr>
                <w:rFonts w:ascii="Cambria" w:hAnsi="Cambria" w:cs="Cambria" w:eastAsia="Cambria"/>
                <w:sz w:val="18"/>
              </w:rPr>
              <w:t xml:space="preserve">Diagramma a tornado</w:t>
            </w:r>
          </w:p>
        </w:tc>
        <w:tc>
          <w:tcPr/>
          <w:p>
            <w:pPr>
              <w:pStyle w:val="Compact"/>
              <w:jc w:val="left"/>
            </w:pPr>
            <w:r>
              <w:rPr>
                <w:rFonts w:ascii="Cambria" w:hAnsi="Cambria" w:cs="Cambria" w:eastAsia="Cambria"/>
                <w:sz w:val="18"/>
              </w:rPr>
              <w:t xml:space="preserve">Differenziali di costo del lavoro sanitario</w:t>
            </w:r>
          </w:p>
        </w:tc>
      </w:tr>
      <w:tr>
        <w:tc>
          <w:tcPr>
            <w:shd w:val="clear" w:color="auto" w:fill="F4F1EC"/>
          </w:tcPr>
          <w:p>
            <w:pPr>
              <w:pStyle w:val="Compact"/>
              <w:jc w:val="left"/>
            </w:pPr>
            <w:r>
              <w:rPr>
                <w:rFonts w:ascii="Cambria" w:hAnsi="Cambria" w:cs="Cambria" w:eastAsia="Cambria"/>
                <w:sz w:val="18"/>
              </w:rPr>
              <w:t xml:space="preserve">Sensitività probabilistica</w:t>
            </w:r>
          </w:p>
        </w:tc>
        <w:tc>
          <w:tcPr>
            <w:shd w:val="clear" w:color="auto" w:fill="F4F1EC"/>
          </w:tcPr>
          <w:p>
            <w:pPr>
              <w:pStyle w:val="Compact"/>
              <w:jc w:val="left"/>
            </w:pPr>
            <w:r>
              <w:rPr>
                <w:rFonts w:ascii="Cambria" w:hAnsi="Cambria" w:cs="Cambria" w:eastAsia="Cambria"/>
                <w:sz w:val="18"/>
              </w:rPr>
              <w:t xml:space="preserve">Diecimila iterazioni</w:t>
            </w:r>
          </w:p>
        </w:tc>
        <w:tc>
          <w:tcPr>
            <w:shd w:val="clear" w:color="auto" w:fill="F4F1EC"/>
          </w:tcPr>
          <w:p>
            <w:pPr>
              <w:pStyle w:val="Compact"/>
              <w:jc w:val="left"/>
            </w:pPr>
            <w:r>
              <w:rPr>
                <w:rFonts w:ascii="Cambria" w:hAnsi="Cambria" w:cs="Cambria" w:eastAsia="Cambria"/>
                <w:sz w:val="18"/>
              </w:rPr>
              <w:t xml:space="preserve">Velocità di adozione nei paesi distanti dal benchmark</w:t>
            </w:r>
          </w:p>
        </w:tc>
      </w:tr>
      <w:tr>
        <w:tc>
          <w:tcPr/>
          <w:p>
            <w:pPr>
              <w:pStyle w:val="Compact"/>
              <w:jc w:val="left"/>
            </w:pPr>
            <w:r>
              <w:rPr>
                <w:rFonts w:ascii="Cambria" w:hAnsi="Cambria" w:cs="Cambria" w:eastAsia="Cambria"/>
                <w:sz w:val="18"/>
              </w:rPr>
              <w:t xml:space="preserve">Analisi di scenario</w:t>
            </w:r>
          </w:p>
        </w:tc>
        <w:tc>
          <w:tcPr/>
          <w:p>
            <w:pPr>
              <w:pStyle w:val="Compact"/>
              <w:jc w:val="left"/>
            </w:pPr>
            <w:r>
              <w:rPr>
                <w:rFonts w:ascii="Cambria" w:hAnsi="Cambria" w:cs="Cambria" w:eastAsia="Cambria"/>
                <w:sz w:val="18"/>
              </w:rPr>
              <w:t xml:space="preserve">Con e senza strato IA</w:t>
            </w:r>
          </w:p>
        </w:tc>
        <w:tc>
          <w:tcPr/>
          <w:p>
            <w:pPr>
              <w:pStyle w:val="Compact"/>
              <w:jc w:val="left"/>
            </w:pPr>
            <w:r>
              <w:rPr>
                <w:rFonts w:ascii="Cambria" w:hAnsi="Cambria" w:cs="Cambria" w:eastAsia="Cambria"/>
                <w:sz w:val="18"/>
              </w:rPr>
              <w:t xml:space="preserve">Disponibilità di workforce nei paesi a bassa dotazione</w:t>
            </w:r>
          </w:p>
        </w:tc>
      </w:tr>
      <w:tr>
        <w:tc>
          <w:tcPr>
            <w:shd w:val="clear" w:color="auto" w:fill="F4F1EC"/>
          </w:tcPr>
          <w:p>
            <w:pPr>
              <w:pStyle w:val="Compact"/>
              <w:jc w:val="left"/>
            </w:pPr>
            <w:r>
              <w:rPr>
                <w:rFonts w:ascii="Cambria" w:hAnsi="Cambria" w:cs="Cambria" w:eastAsia="Cambria"/>
                <w:sz w:val="18"/>
              </w:rPr>
              <w:t xml:space="preserve">Curve di accettabilità</w:t>
            </w:r>
          </w:p>
        </w:tc>
        <w:tc>
          <w:tcPr>
            <w:shd w:val="clear" w:color="auto" w:fill="F4F1EC"/>
          </w:tcPr>
          <w:p>
            <w:pPr>
              <w:pStyle w:val="Compact"/>
              <w:jc w:val="left"/>
            </w:pPr>
            <w:r>
              <w:rPr>
                <w:rFonts w:ascii="Cambria" w:hAnsi="Cambria" w:cs="Cambria" w:eastAsia="Cambria"/>
                <w:sz w:val="18"/>
              </w:rPr>
              <w:t xml:space="preserve">Soglie 20.000/30.000/50.000 €/QALY</w:t>
            </w:r>
          </w:p>
        </w:tc>
        <w:tc>
          <w:tcPr>
            <w:shd w:val="clear" w:color="auto" w:fill="F4F1EC"/>
          </w:tcPr>
          <w:p>
            <w:pPr>
              <w:pStyle w:val="Compact"/>
              <w:jc w:val="left"/>
            </w:pPr>
            <w:r>
              <w:rPr>
                <w:rFonts w:ascii="Cambria" w:hAnsi="Cambria" w:cs="Cambria" w:eastAsia="Cambria"/>
                <w:sz w:val="18"/>
              </w:rPr>
              <w:t xml:space="preserve">Robustezza del costo-efficacia aggregato</w:t>
            </w:r>
          </w:p>
        </w:tc>
      </w:tr>
    </w:tbl>
    <w:p>
      <w:pPr>
        <w:pStyle w:val="BodyText"/>
      </w:pPr>
      <w:r>
        <w:rPr>
          <w:i/>
          <w:iCs/>
        </w:rPr>
        <w:t xml:space="preserve">Tabella 8.1. Gli strumenti del protocollo dell’incertezza applicati all’asse unionale, con i parametri critici attesi e la cautela sull’eterogeneità fra Stati.</w:t>
      </w:r>
    </w:p>
    <w:bookmarkEnd w:id="4524"/>
    <w:bookmarkStart w:id="4525" w:name="la-robustezza-del-verdetto-aggregato"/>
    <w:p>
      <w:pPr>
        <w:pStyle w:val="Heading2"/>
      </w:pPr>
      <w:r>
        <w:t xml:space="preserve">8.2 La robustezza del verdetto aggregato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e la sua disciplina uniforme entro il regolamento europeo ne fa l’elemento più armonizzabile del modello. La robustezza del costo-efficacia sanitario è confermata dalle curve di accettabilità alle soglie adottate; la banda del verdetto fiscale è più ampia che negli assi regionali, per l’eterogeneità dichiarata, e la sua lettura corretta è per Stato, non per media.</w:t>
      </w:r>
    </w:p>
    <w:p>
      <w:r>
        <w:br w:type="page"/>
      </w:r>
    </w:p>
    <w:bookmarkEnd w:id="4525"/>
    <w:bookmarkEnd w:id="4523"/>
    <w:bookmarkStart w:id="4526" w:name="X965710b64135cbc0c92135b011f7dca44bf9333"/>
    <w:p>
      <w:pPr>
        <w:pStyle w:val="Heading1"/>
      </w:pPr>
      <w:r>
        <w:t xml:space="preserve">Capitolo 9 — Il verdetto tripartito e le raccomandazioni unionali</w:t>
      </w:r>
    </w:p>
    <w:bookmarkStart w:id="4527" w:name="il-verdetto-tripartito-20"/>
    <w:p>
      <w:pPr>
        <w:pStyle w:val="Heading2"/>
      </w:pPr>
      <w:r>
        <w:t xml:space="preserve">9.1 Il verdetto tripartito</w:t>
      </w:r>
    </w:p>
    <w:p>
      <w:pPr>
        <w:pStyle w:val="FirstParagraph"/>
      </w:pPr>
      <w:r>
        <w:t xml:space="preserve">Il verdetto unionale è, come in ogni Volume dell’opera, tripartito e non aggregato. Sul piano fiscale, il saldo fra costi diretti e risparmi sanitari diretti si colloca in prossimità del pareggio, con il caveat sulla significatività dei risparmi diretti in isolamento e con l’avvertenza propria dell’asse unionale: l’eterogeneità fra Stati rende il saldo variabile, e la lettura corretta è nazionale, non media. Sul piano sanitario, il modello è nettamente costo-efficace sotto entrambi gli ancoraggi. Sul piano sociale, l’effetto è fortemente positivo, con il rilievo specifico della riduzione del divario di trattamento e della convergenza fra Stati Membri. I tre verdetti si accompagnano e si rafforzano, ma non si sommano.</w:t>
      </w:r>
      <w:r>
        <w:rPr>
          <w:rStyle w:val="FootnoteReference"/>
        </w:rPr>
        <w:footnoteReference w:id="3890"/>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jc w:val="left"/>
            </w:pPr>
            <w:r>
              <w:rPr>
                <w:rFonts w:ascii="Cambria" w:hAnsi="Cambria" w:cs="Cambria" w:eastAsia="Cambria"/>
                <w:b/>
                <w:color w:val="FFFFFF"/>
                <w:sz w:val="18"/>
              </w:rPr>
              <w:t xml:space="preserve">Piano del verdetto</w:t>
            </w:r>
          </w:p>
        </w:tc>
        <w:tc>
          <w:tcPr>
            <w:shd w:val="clear" w:color="auto" w:fill="16264B"/>
          </w:tcPr>
          <w:p>
            <w:pPr>
              <w:pStyle w:val="Compact"/>
              <w:jc w:val="left"/>
            </w:pPr>
            <w:r>
              <w:rPr>
                <w:rFonts w:ascii="Cambria" w:hAnsi="Cambria" w:cs="Cambria" w:eastAsia="Cambria"/>
                <w:b/>
                <w:color w:val="FFFFFF"/>
                <w:sz w:val="18"/>
              </w:rPr>
              <w:t xml:space="preserve">Esito unionale</w:t>
            </w:r>
          </w:p>
        </w:tc>
        <w:tc>
          <w:tcPr>
            <w:shd w:val="clear" w:color="auto" w:fill="16264B"/>
          </w:tcPr>
          <w:p>
            <w:pPr>
              <w:pStyle w:val="Compact"/>
              <w:jc w:val="left"/>
            </w:pPr>
            <w:r>
              <w:rPr>
                <w:rFonts w:ascii="Cambria" w:hAnsi="Cambria" w:cs="Cambria" w:eastAsia="Cambria"/>
                <w:b/>
                <w:color w:val="FFFFFF"/>
                <w:sz w:val="18"/>
              </w:rPr>
              <w:t xml:space="preserve">Caveat</w:t>
            </w:r>
          </w:p>
        </w:tc>
      </w:tr>
      <w:tr>
        <w:tc>
          <w:tcPr/>
          <w:p>
            <w:pPr>
              <w:pStyle w:val="Compact"/>
              <w:jc w:val="left"/>
            </w:pPr>
            <w:r>
              <w:rPr>
                <w:rFonts w:ascii="Cambria" w:hAnsi="Cambria" w:cs="Cambria" w:eastAsia="Cambria"/>
                <w:sz w:val="18"/>
              </w:rPr>
              <w:t xml:space="preserve">Fiscale</w:t>
            </w:r>
          </w:p>
        </w:tc>
        <w:tc>
          <w:tcPr/>
          <w:p>
            <w:pPr>
              <w:pStyle w:val="Compact"/>
              <w:jc w:val="left"/>
            </w:pPr>
            <w:r>
              <w:rPr>
                <w:rFonts w:ascii="Cambria" w:hAnsi="Cambria" w:cs="Cambria" w:eastAsia="Cambria"/>
                <w:sz w:val="18"/>
              </w:rPr>
              <w:t xml:space="preserve">Prossimo al pareggio</w:t>
            </w:r>
          </w:p>
        </w:tc>
        <w:tc>
          <w:tcPr/>
          <w:p>
            <w:pPr>
              <w:pStyle w:val="Compact"/>
              <w:jc w:val="left"/>
            </w:pPr>
            <w:r>
              <w:rPr>
                <w:rFonts w:ascii="Cambria" w:hAnsi="Cambria" w:cs="Cambria" w:eastAsia="Cambria"/>
                <w:sz w:val="18"/>
              </w:rPr>
              <w:t xml:space="preserve">Significatività dei risparmi diretti; eterogeneità fra Stati; lettura per Stato</w:t>
            </w:r>
          </w:p>
        </w:tc>
      </w:tr>
      <w:tr>
        <w:tc>
          <w:tcPr>
            <w:shd w:val="clear" w:color="auto" w:fill="F4F1EC"/>
          </w:tcPr>
          <w:p>
            <w:pPr>
              <w:pStyle w:val="Compact"/>
              <w:jc w:val="left"/>
            </w:pPr>
            <w:r>
              <w:rPr>
                <w:rFonts w:ascii="Cambria" w:hAnsi="Cambria" w:cs="Cambria" w:eastAsia="Cambria"/>
                <w:sz w:val="18"/>
              </w:rPr>
              <w:t xml:space="preserve">Sanitario</w:t>
            </w:r>
          </w:p>
        </w:tc>
        <w:tc>
          <w:tcPr>
            <w:shd w:val="clear" w:color="auto" w:fill="F4F1EC"/>
          </w:tcPr>
          <w:p>
            <w:pPr>
              <w:pStyle w:val="Compact"/>
              <w:jc w:val="left"/>
            </w:pPr>
            <w:r>
              <w:rPr>
                <w:rFonts w:ascii="Cambria" w:hAnsi="Cambria" w:cs="Cambria" w:eastAsia="Cambria"/>
                <w:sz w:val="18"/>
              </w:rPr>
              <w:t xml:space="preserve">Nettamente costo-efficace</w:t>
            </w:r>
          </w:p>
        </w:tc>
        <w:tc>
          <w:tcPr>
            <w:shd w:val="clear" w:color="auto" w:fill="F4F1EC"/>
          </w:tcPr>
          <w:p>
            <w:pPr>
              <w:pStyle w:val="Compact"/>
              <w:jc w:val="left"/>
            </w:pPr>
            <w:r>
              <w:rPr>
                <w:rFonts w:ascii="Cambria" w:hAnsi="Cambria" w:cs="Cambria" w:eastAsia="Cambria"/>
                <w:sz w:val="18"/>
              </w:rPr>
              <w:t xml:space="preserve">—</w:t>
            </w:r>
          </w:p>
        </w:tc>
      </w:tr>
      <w:tr>
        <w:tc>
          <w:tcPr/>
          <w:p>
            <w:pPr>
              <w:pStyle w:val="Compact"/>
              <w:jc w:val="left"/>
            </w:pPr>
            <w:r>
              <w:rPr>
                <w:rFonts w:ascii="Cambria" w:hAnsi="Cambria" w:cs="Cambria" w:eastAsia="Cambria"/>
                <w:sz w:val="18"/>
              </w:rPr>
              <w:t xml:space="preserve">Sociale</w:t>
            </w:r>
          </w:p>
        </w:tc>
        <w:tc>
          <w:tcPr/>
          <w:p>
            <w:pPr>
              <w:pStyle w:val="Compact"/>
              <w:jc w:val="left"/>
            </w:pPr>
            <w:r>
              <w:rPr>
                <w:rFonts w:ascii="Cambria" w:hAnsi="Cambria" w:cs="Cambria" w:eastAsia="Cambria"/>
                <w:sz w:val="18"/>
              </w:rPr>
              <w:t xml:space="preserve">Fortemente positivo</w:t>
            </w:r>
          </w:p>
        </w:tc>
        <w:tc>
          <w:tcPr/>
          <w:p>
            <w:pPr>
              <w:pStyle w:val="Compact"/>
              <w:jc w:val="left"/>
            </w:pPr>
            <w:r>
              <w:rPr>
                <w:rFonts w:ascii="Cambria" w:hAnsi="Cambria" w:cs="Cambria" w:eastAsia="Cambria"/>
                <w:sz w:val="18"/>
              </w:rPr>
              <w:t xml:space="preserve">Divario di trattamento; convergenza fra Stati</w:t>
            </w:r>
          </w:p>
        </w:tc>
      </w:tr>
    </w:tbl>
    <w:p>
      <w:pPr>
        <w:pStyle w:val="BodyText"/>
      </w:pPr>
      <w:r>
        <w:rPr>
          <w:i/>
          <w:iCs/>
        </w:rPr>
        <w:t xml:space="preserve">Tabella 9.1. Il verdetto tripartito unionale, con i tre piani tenuti distinti e non aggregati.</w:t>
      </w:r>
    </w:p>
    <w:bookmarkEnd w:id="4527"/>
    <w:bookmarkStart w:id="4528" w:name="X6b545fc65e4664df57cab1d14d984339ea1a488"/>
    <w:p>
      <w:pPr>
        <w:pStyle w:val="Heading2"/>
      </w:pPr>
      <w:r>
        <w:t xml:space="preserve">9.2 Le raccomandazioni per l’attuazione e il monitoraggio</w:t>
      </w:r>
    </w:p>
    <w:p>
      <w:pPr>
        <w:pStyle w:val="FirstParagraph"/>
      </w:pPr>
      <w:r>
        <w:t xml:space="preserve">Le raccomandazioni unionali riprendono e specificano quelle operative dell’imbuto: l’assunzione dell’integrazione del primo livello psicologico quale priorità operativa dell’approccio globale, con orientamento coerente degli strumenti finanziari e del semestre europeo; l’attuazione per gradini negli Stati, con il benchmark olandese quale riferimento adattabile ai diversi assetti e con priorità agli otto Stati a distanza ampia, accompagnata dall’investimento formativo preliminare ove la workforce sia insufficiente; l’istituzione di un cruscotto unionale comparabile che misuri Stato per Stato la copertura, gli esiti clinici e i costi, sul modello delle appendici registrate dell’opera; l’adozione della telepsicologia assistita sotto supervisione clinica entro il perimetro del regolamento sull’intelligenza artificiale; e un monitoraggio ex post ancorato agli indicatori del protocollo dell’incertezza, con revisione periodica delle schede-Stato e progressiva chiusura delle lacune informative dichiarate.</w:t>
      </w:r>
      <w:r>
        <w:rPr>
          <w:rStyle w:val="FootnoteReference"/>
        </w:rPr>
        <w:footnoteReference w:id="3891"/>
      </w:r>
    </w:p>
    <w:p>
      <w:r>
        <w:br w:type="page"/>
      </w:r>
    </w:p>
    <w:bookmarkEnd w:id="4528"/>
    <w:bookmarkEnd w:id="4526"/>
    <w:bookmarkStart w:id="4529" w:name="appendici-registrate-20"/>
    <w:p>
      <w:pPr>
        <w:pStyle w:val="Heading1"/>
      </w:pPr>
      <w:r>
        <w:t xml:space="preserve">Appendici registrate</w:t>
      </w:r>
    </w:p>
    <w:p>
      <w:pPr>
        <w:pStyle w:val="FirstParagraph"/>
      </w:pPr>
      <w:r>
        <w:t xml:space="preserve">Le appendici registrate rendono il modello unionale ispezionabile e riproducibile, secondo la prassi del Reference Case. Esse sono richiamate per rimando quanto alla metodologia e compilate con i dati unionali e nazionali quanto ai contenuti; l’Appendice B e l’Appendice D registrano in particolare le lacune informative dichiarate per gli Stati Membri privi di dati comparabili.</w:t>
      </w:r>
    </w:p>
    <w:tbl>
      <w:tblPr>
        <w:tblStyle w:val="Table"/>
        <w:tblW w:type="pct" w:w="5000"/>
        <w:jc w:val="star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Row="1" w:lastRow="0" w:firstColumn="0" w:lastColumn="0" w:noHBand="0" w:noVBand="0" w:val="0020"/>
      </w:tblPr>
      <w:tblGrid>
        <w:gridCol w:w="2640"/>
        <w:gridCol w:w="2640"/>
        <w:gridCol w:w="2640"/>
      </w:tblGrid>
      <w:tr>
        <w:trPr>
          <w:tblHeader w:val="true"/>
        </w:trPr>
        <w:tc>
          <w:tcPr>
            <w:shd w:val="clear" w:color="auto" w:fill="16264B"/>
          </w:tcPr>
          <w:p>
            <w:pPr>
              <w:pStyle w:val="Compact"/>
              <w:jc w:val="left"/>
            </w:pPr>
            <w:r>
              <w:rPr>
                <w:rFonts w:ascii="Cambria" w:hAnsi="Cambria" w:cs="Cambria" w:eastAsia="Cambria"/>
                <w:b/>
                <w:color w:val="FFFFFF"/>
                <w:sz w:val="18"/>
              </w:rPr>
              <w:t xml:space="preserve">Appendice</w:t>
            </w:r>
          </w:p>
        </w:tc>
        <w:tc>
          <w:tcPr>
            <w:shd w:val="clear" w:color="auto" w:fill="16264B"/>
          </w:tcPr>
          <w:p>
            <w:pPr>
              <w:pStyle w:val="Compact"/>
              <w:jc w:val="left"/>
            </w:pPr>
            <w:r>
              <w:rPr>
                <w:rFonts w:ascii="Cambria" w:hAnsi="Cambria" w:cs="Cambria" w:eastAsia="Cambria"/>
                <w:b/>
                <w:color w:val="FFFFFF"/>
                <w:sz w:val="18"/>
              </w:rPr>
              <w:t xml:space="preserve">Contenuto</w:t>
            </w:r>
          </w:p>
        </w:tc>
        <w:tc>
          <w:tcPr>
            <w:shd w:val="clear" w:color="auto" w:fill="16264B"/>
          </w:tcPr>
          <w:p>
            <w:pPr>
              <w:pStyle w:val="Compact"/>
              <w:jc w:val="left"/>
            </w:pPr>
            <w:r>
              <w:rPr>
                <w:rFonts w:ascii="Cambria" w:hAnsi="Cambria" w:cs="Cambria" w:eastAsia="Cambria"/>
                <w:b/>
                <w:color w:val="FFFFFF"/>
                <w:sz w:val="18"/>
              </w:rPr>
              <w:t xml:space="preserve">Stato</w:t>
            </w:r>
          </w:p>
        </w:tc>
      </w:tr>
      <w:tr>
        <w:tc>
          <w:tcPr/>
          <w:p>
            <w:pPr>
              <w:pStyle w:val="Compact"/>
              <w:jc w:val="left"/>
            </w:pPr>
            <w:r>
              <w:rPr>
                <w:rFonts w:ascii="Cambria" w:hAnsi="Cambria" w:cs="Cambria" w:eastAsia="Cambria"/>
                <w:sz w:val="18"/>
              </w:rPr>
              <w:t xml:space="preserve">A</w:t>
            </w:r>
          </w:p>
        </w:tc>
        <w:tc>
          <w:tcPr/>
          <w:p>
            <w:pPr>
              <w:pStyle w:val="Compact"/>
              <w:jc w:val="left"/>
            </w:pPr>
            <w:r>
              <w:rPr>
                <w:rFonts w:ascii="Cambria" w:hAnsi="Cambria" w:cs="Cambria" w:eastAsia="Cambria"/>
                <w:sz w:val="18"/>
              </w:rPr>
              <w:t xml:space="preserve">Strategia di ricerca bibliografica e diagramma di selezione</w:t>
            </w:r>
          </w:p>
        </w:tc>
        <w:tc>
          <w:tcPr/>
          <w:p>
            <w:pPr>
              <w:pStyle w:val="Compact"/>
              <w:jc w:val="left"/>
            </w:pPr>
            <w:r>
              <w:rPr>
                <w:rFonts w:ascii="Cambria" w:hAnsi="Cambria" w:cs="Cambria" w:eastAsia="Cambria"/>
                <w:sz w:val="18"/>
              </w:rPr>
              <w:t xml:space="preserve">Registrata</w:t>
            </w:r>
          </w:p>
        </w:tc>
      </w:tr>
      <w:tr>
        <w:tc>
          <w:tcPr>
            <w:shd w:val="clear" w:color="auto" w:fill="F4F1EC"/>
          </w:tcPr>
          <w:p>
            <w:pPr>
              <w:pStyle w:val="Compact"/>
              <w:jc w:val="left"/>
            </w:pPr>
            <w:r>
              <w:rPr>
                <w:rFonts w:ascii="Cambria" w:hAnsi="Cambria" w:cs="Cambria" w:eastAsia="Cambria"/>
                <w:sz w:val="18"/>
              </w:rPr>
              <w:t xml:space="preserve">B</w:t>
            </w:r>
          </w:p>
        </w:tc>
        <w:tc>
          <w:tcPr>
            <w:shd w:val="clear" w:color="auto" w:fill="F4F1EC"/>
          </w:tcPr>
          <w:p>
            <w:pPr>
              <w:pStyle w:val="Compact"/>
              <w:jc w:val="left"/>
            </w:pPr>
            <w:r>
              <w:rPr>
                <w:rFonts w:ascii="Cambria" w:hAnsi="Cambria" w:cs="Cambria" w:eastAsia="Cambria"/>
                <w:sz w:val="18"/>
              </w:rPr>
              <w:t xml:space="preserve">Estrazione dei dati clinici per Stato Membro</w:t>
            </w:r>
          </w:p>
        </w:tc>
        <w:tc>
          <w:tcPr>
            <w:shd w:val="clear" w:color="auto" w:fill="F4F1EC"/>
          </w:tcPr>
          <w:p>
            <w:pPr>
              <w:pStyle w:val="Compact"/>
              <w:jc w:val="left"/>
            </w:pPr>
            <w:r>
              <w:rPr>
                <w:rFonts w:ascii="Cambria" w:hAnsi="Cambria" w:cs="Cambria" w:eastAsia="Cambria"/>
                <w:sz w:val="18"/>
              </w:rPr>
              <w:t xml:space="preserve">Registrata; lacune dichiarate</w:t>
            </w:r>
          </w:p>
        </w:tc>
      </w:tr>
      <w:tr>
        <w:tc>
          <w:tcPr/>
          <w:p>
            <w:pPr>
              <w:pStyle w:val="Compact"/>
              <w:jc w:val="left"/>
            </w:pPr>
            <w:r>
              <w:rPr>
                <w:rFonts w:ascii="Cambria" w:hAnsi="Cambria" w:cs="Cambria" w:eastAsia="Cambria"/>
                <w:sz w:val="18"/>
              </w:rPr>
              <w:t xml:space="preserve">C</w:t>
            </w:r>
          </w:p>
        </w:tc>
        <w:tc>
          <w:tcPr/>
          <w:p>
            <w:pPr>
              <w:pStyle w:val="Compact"/>
              <w:jc w:val="left"/>
            </w:pPr>
            <w:r>
              <w:rPr>
                <w:rFonts w:ascii="Cambria" w:hAnsi="Cambria" w:cs="Cambria" w:eastAsia="Cambria"/>
                <w:sz w:val="18"/>
              </w:rPr>
              <w:t xml:space="preserve">Estrazione dei dati economici (griglia CHEERS 2022)</w:t>
            </w:r>
          </w:p>
        </w:tc>
        <w:tc>
          <w:tcPr/>
          <w:p>
            <w:pPr>
              <w:pStyle w:val="Compact"/>
              <w:jc w:val="left"/>
            </w:pPr>
            <w:r>
              <w:rPr>
                <w:rFonts w:ascii="Cambria" w:hAnsi="Cambria" w:cs="Cambria" w:eastAsia="Cambria"/>
                <w:sz w:val="18"/>
              </w:rPr>
              <w:t xml:space="preserve">Registrata</w:t>
            </w:r>
          </w:p>
        </w:tc>
      </w:tr>
      <w:tr>
        <w:tc>
          <w:tcPr>
            <w:shd w:val="clear" w:color="auto" w:fill="F4F1EC"/>
          </w:tcPr>
          <w:p>
            <w:pPr>
              <w:pStyle w:val="Compact"/>
              <w:jc w:val="left"/>
            </w:pPr>
            <w:r>
              <w:rPr>
                <w:rFonts w:ascii="Cambria" w:hAnsi="Cambria" w:cs="Cambria" w:eastAsia="Cambria"/>
                <w:sz w:val="18"/>
              </w:rPr>
              <w:t xml:space="preserve">D</w:t>
            </w:r>
          </w:p>
        </w:tc>
        <w:tc>
          <w:tcPr>
            <w:shd w:val="clear" w:color="auto" w:fill="F4F1EC"/>
          </w:tcPr>
          <w:p>
            <w:pPr>
              <w:pStyle w:val="Compact"/>
              <w:jc w:val="left"/>
            </w:pPr>
            <w:r>
              <w:rPr>
                <w:rFonts w:ascii="Cambria" w:hAnsi="Cambria" w:cs="Cambria" w:eastAsia="Cambria"/>
                <w:sz w:val="18"/>
              </w:rPr>
              <w:t xml:space="preserve">Parametri del modello Markov aggregato e distribuzione per Stato</w:t>
            </w:r>
          </w:p>
        </w:tc>
        <w:tc>
          <w:tcPr>
            <w:shd w:val="clear" w:color="auto" w:fill="F4F1EC"/>
          </w:tcPr>
          <w:p>
            <w:pPr>
              <w:pStyle w:val="Compact"/>
              <w:jc w:val="left"/>
            </w:pPr>
            <w:r>
              <w:rPr>
                <w:rFonts w:ascii="Cambria" w:hAnsi="Cambria" w:cs="Cambria" w:eastAsia="Cambria"/>
                <w:sz w:val="18"/>
              </w:rPr>
              <w:t xml:space="preserve">Registrata; lacune dichiarate</w:t>
            </w:r>
          </w:p>
        </w:tc>
      </w:tr>
      <w:tr>
        <w:tc>
          <w:tcPr/>
          <w:p>
            <w:pPr>
              <w:pStyle w:val="Compact"/>
              <w:jc w:val="left"/>
            </w:pPr>
            <w:r>
              <w:rPr>
                <w:rFonts w:ascii="Cambria" w:hAnsi="Cambria" w:cs="Cambria" w:eastAsia="Cambria"/>
                <w:sz w:val="18"/>
              </w:rPr>
              <w:t xml:space="preserve">E</w:t>
            </w:r>
          </w:p>
        </w:tc>
        <w:tc>
          <w:tcPr/>
          <w:p>
            <w:pPr>
              <w:pStyle w:val="Compact"/>
              <w:jc w:val="left"/>
            </w:pPr>
            <w:r>
              <w:rPr>
                <w:rFonts w:ascii="Cambria" w:hAnsi="Cambria" w:cs="Cambria" w:eastAsia="Cambria"/>
                <w:sz w:val="18"/>
              </w:rPr>
              <w:t xml:space="preserve">Registro delle deroghe al Reference Case</w:t>
            </w:r>
          </w:p>
        </w:tc>
        <w:tc>
          <w:tcPr/>
          <w:p>
            <w:pPr>
              <w:pStyle w:val="Compact"/>
              <w:jc w:val="left"/>
            </w:pPr>
            <w:r>
              <w:rPr>
                <w:rFonts w:ascii="Cambria" w:hAnsi="Cambria" w:cs="Cambria" w:eastAsia="Cambria"/>
                <w:sz w:val="18"/>
              </w:rPr>
              <w:t xml:space="preserve">Registrata; nessuna deroga</w:t>
            </w:r>
          </w:p>
        </w:tc>
      </w:tr>
      <w:tr>
        <w:tc>
          <w:tcPr>
            <w:shd w:val="clear" w:color="auto" w:fill="F4F1EC"/>
          </w:tcPr>
          <w:p>
            <w:pPr>
              <w:pStyle w:val="Compact"/>
              <w:jc w:val="left"/>
            </w:pPr>
            <w:r>
              <w:rPr>
                <w:rFonts w:ascii="Cambria" w:hAnsi="Cambria" w:cs="Cambria" w:eastAsia="Cambria"/>
                <w:sz w:val="18"/>
              </w:rPr>
              <w:t xml:space="preserve">F</w:t>
            </w:r>
          </w:p>
        </w:tc>
        <w:tc>
          <w:tcPr>
            <w:shd w:val="clear" w:color="auto" w:fill="F4F1EC"/>
          </w:tcPr>
          <w:p>
            <w:pPr>
              <w:pStyle w:val="Compact"/>
              <w:jc w:val="left"/>
            </w:pPr>
            <w:r>
              <w:rPr>
                <w:rFonts w:ascii="Cambria" w:hAnsi="Cambria" w:cs="Cambria" w:eastAsia="Cambria"/>
                <w:sz w:val="18"/>
              </w:rPr>
              <w:t xml:space="preserve">Codice del modello economico</w:t>
            </w:r>
          </w:p>
        </w:tc>
        <w:tc>
          <w:tcPr>
            <w:shd w:val="clear" w:color="auto" w:fill="F4F1EC"/>
          </w:tcPr>
          <w:p>
            <w:pPr>
              <w:pStyle w:val="Compact"/>
              <w:jc w:val="left"/>
            </w:pPr>
            <w:r>
              <w:rPr>
                <w:rFonts w:ascii="Cambria" w:hAnsi="Cambria" w:cs="Cambria" w:eastAsia="Cambria"/>
                <w:sz w:val="18"/>
              </w:rPr>
              <w:t xml:space="preserve">Registrata</w:t>
            </w:r>
          </w:p>
        </w:tc>
      </w:tr>
      <w:tr>
        <w:tc>
          <w:tcPr/>
          <w:p>
            <w:pPr>
              <w:pStyle w:val="Compact"/>
              <w:jc w:val="left"/>
            </w:pPr>
            <w:r>
              <w:rPr>
                <w:rFonts w:ascii="Cambria" w:hAnsi="Cambria" w:cs="Cambria" w:eastAsia="Cambria"/>
                <w:sz w:val="18"/>
              </w:rPr>
              <w:t xml:space="preserve">G</w:t>
            </w:r>
          </w:p>
        </w:tc>
        <w:tc>
          <w:tcPr/>
          <w:p>
            <w:pPr>
              <w:pStyle w:val="Compact"/>
              <w:jc w:val="left"/>
            </w:pPr>
            <w:r>
              <w:rPr>
                <w:rFonts w:ascii="Cambria" w:hAnsi="Cambria" w:cs="Cambria" w:eastAsia="Cambria"/>
                <w:sz w:val="18"/>
              </w:rPr>
              <w:t xml:space="preserve">Dichiarazione dei conflitti di interesse</w:t>
            </w:r>
          </w:p>
        </w:tc>
        <w:tc>
          <w:tcPr/>
          <w:p>
            <w:pPr>
              <w:pStyle w:val="Compact"/>
              <w:jc w:val="left"/>
            </w:pPr>
            <w:r>
              <w:rPr>
                <w:rFonts w:ascii="Cambria" w:hAnsi="Cambria" w:cs="Cambria" w:eastAsia="Cambria"/>
                <w:sz w:val="18"/>
              </w:rPr>
              <w:t xml:space="preserve">Registrata</w:t>
            </w:r>
          </w:p>
        </w:tc>
      </w:tr>
    </w:tbl>
    <w:p>
      <w:pPr>
        <w:pStyle w:val="BodyText"/>
      </w:pPr>
      <w:r>
        <w:rPr>
          <w:i/>
          <w:iCs/>
        </w:rPr>
        <w:t xml:space="preserve">Tabella A. Le sette appendici registrate del Volume 22, con l’indicazione dello stato e della dichiarazione delle lacune informative.</w:t>
      </w:r>
    </w:p>
    <w:p>
      <w:r>
        <w:br w:type="page"/>
      </w:r>
    </w:p>
    <w:bookmarkEnd w:id="4529"/>
    <w:bookmarkStart w:id="4530" w:name="X3445f3ea4536019ff64f5d39fcbd3f1b62be8c2"/>
    <w:p>
      <w:pPr>
        <w:pStyle w:val="Heading1"/>
      </w:pPr>
      <w:r>
        <w:t xml:space="preserve">Quadro Conclusivo economico e multidisciplinare</w:t>
      </w:r>
    </w:p>
    <w:p>
      <w:pPr>
        <w:pStyle w:val="FirstParagraph"/>
      </w:pPr>
      <w:r>
        <w:t xml:space="preserve">Il Quadro Conclusivo del Volume 22 ricompone la valutazione unionale senza tradire il principio che governa l’intera opera: i piani del giudizio si accompagnano ma non si fondono. Sul piano economico, il doppio ancoraggio impone che il risultato aggregato sia letto simultaneamente secondo la colonna storica e la colonna aggiornata, con prevalenza della seconda: il costo per anno di vita ponderato resta, sotto entrambi gli ancoraggi, assai inferiore alle soglie adottate; il differenziale di costo per gravità — riportato con attribuzione ed espresso discorsivamente in termini di euro, senza rapporti sintetici — fonda la leva economica dell’intercettazione precoce in ciascuno dei ventisette sistemi; e il confronto di scala con l’onere annuo della malattia, che supera secondo le fonti attribuite il quattro per cento del prodotto interno lordo dell’Unione, colloca il costo aggregato del servizio entro una frazione minima di quell’onere, quale confronto discorsivo e non quale rapporto.</w:t>
      </w:r>
    </w:p>
    <w:p>
      <w:pPr>
        <w:pStyle w:val="BodyText"/>
      </w:pPr>
      <w:r>
        <w:t xml:space="preserve">Sul piano multidisciplinare, le ventisette schede-Stato, il benchmark operativo olandese, i sei domini di analisi e il dominio dell’equità nella direzione della convergenza fra Stati assicurano che ogni aspetto sia trattato integralmente e ordinato per capacità di generare rientro economico e revisione della spesa. La catena predittiva degli effetti multidimensionali — dalla qualità della vita alla coesione fra Stati, ai bilanci nazionali, all’onere amministrativo dei sistemi —, lo strato dell’Intelligenza Artificiale come moltiplicatore entro il perimetro del regolamento europeo e le attività formative singole e sommate compongono il quadro della valutazione. Il verdetto resta tripartito e non aggregato, e la sua lettura corretta, nell’asse unionale, è per Stato oltre che in media.</w:t>
      </w:r>
    </w:p>
    <w:bookmarkEnd w:id="4530"/>
    <w:bookmarkStart w:id="4531" w:name="conclusione-23"/>
    <w:p>
      <w:pPr>
        <w:pStyle w:val="Heading1"/>
      </w:pPr>
      <w:r>
        <w:t xml:space="preserve">Conclusione</w:t>
      </w:r>
    </w:p>
    <w:p>
      <w:pPr>
        <w:pStyle w:val="FirstParagraph"/>
      </w:pPr>
      <w:r>
        <w:t xml:space="preserve">Il Volume 22 ha valutato l’integrazione dello psicologo nelle cure primarie dell’Unione Europea, applicando per rimando il Reference Case dell’asse unionale fissato nel Volume 0.B: il quadro europeo del bisogno e del divario, il quadro istituzionale dell’approccio globale, il benchmark operativo dei Paesi Bassi, le ventisette schede-Stato con le lacune dichiarate, la simulazione aggregata sotto doppio ancoraggio, i sei domini, l’incertezza e il verdetto tripartito — prossimo al pareggio sul piano fiscale con lettura per Stato, nettamente costo-efficace sul piano sanitario, fortemente positivo sul piano sociale — offerto con bande prudenziali e soglie di confutazione, nel rispetto del divieto di aggregazione.</w:t>
      </w:r>
    </w:p>
    <w:p>
      <w:pPr>
        <w:pStyle w:val="BodyText"/>
      </w:pPr>
      <w:r>
        <w:t xml:space="preserve">Con il Volume 22 si conclude l’opera in ventitré Volumi dello Studio Integrale «Psicologo di Base»: i due Volumi metodologici che ne fissano il Reference Case, la Sintesi Nazionale, i venti Volumi regionali in ordine alfabetico — comparabili bit-a-bit per struttura, nomenclatura e unità di misura — e il presente Volume unionale. L’opera consegna al decisore, a ogni livello — regionale, nazionale ed europeo —, una valutazione integrale, tracciabile e riproducibile dell’integrazione dello psicologo nelle cure primarie: un intervento che, sotto ogni ancoraggio e in ogni unità di analisi esaminata, risulta nettamente costo-efficace sul piano sanitario, prossimo al pareggio sul piano fiscale entro i caveat dichiarati, e fortemente positivo sul piano sociale. La parola passa, come è proprio di ogni rapporto di Health Technology Assessment, al decisore.</w:t>
      </w:r>
    </w:p>
    <w:p>
      <w:r>
        <w:br w:type="page"/>
      </w:r>
    </w:p>
    <w:bookmarkEnd w:id="4531"/>
    <w:bookmarkStart w:id="4532" w:name="Xd02f8b97fe45e2ae1e1ea4e691683a176fe8c27"/>
    <w:p>
      <w:pPr>
        <w:pStyle w:val="Heading1"/>
      </w:pPr>
      <w:r>
        <w:t xml:space="preserve">Note Bibliografiche con mini-riassunto</w:t>
      </w:r>
    </w:p>
    <w:p>
      <w:pPr>
        <w:pStyle w:val="FirstParagraph"/>
      </w:pPr>
      <w:r>
        <w:rPr>
          <w:i/>
          <w:iCs/>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
          <w:bCs/>
        </w:rPr>
        <w:t xml:space="preserve">1. Chisholm D. et al., Scaling-up treatment of depression and anxiety, The Lancet Psychiatry, 2016</w:t>
      </w:r>
      <w:r>
        <w:t xml:space="preserve"> </w:t>
      </w:r>
      <w:hyperlink r:id="rId278">
        <w:r>
          <w:rPr>
            <w:rStyle w:val="Hyperlink"/>
          </w:rPr>
          <w:t xml:space="preserve">https://doi.org/10.1016/S2215-0366(16)30024-4</w:t>
        </w:r>
      </w:hyperlink>
      <w:r>
        <w:t xml:space="preserve"> </w:t>
      </w:r>
      <w:r>
        <w:rPr>
          <w:i/>
          <w:iCs/>
        </w:rPr>
        <w:t xml:space="preserve">Colonna A del doppio ancoraggio della simulazione aggregata, conservata quale strato documentale e riferimento mondiale di confronto.</w:t>
      </w:r>
    </w:p>
    <w:p>
      <w:pPr>
        <w:pStyle w:val="BodyText"/>
      </w:pPr>
      <w:r>
        <w:rPr>
          <w:b/>
          <w:bCs/>
        </w:rPr>
        <w:t xml:space="preserve">2. Unisanté, Raisons de santé Essentiels n. 73, 2026 · OECD, The Economic Case for Preventing Mental Ill Health, 2026</w:t>
      </w:r>
      <w:r>
        <w:t xml:space="preserve"> </w:t>
      </w:r>
      <w:hyperlink r:id="rId15">
        <w:r>
          <w:rPr>
            <w:rStyle w:val="Hyperlink"/>
          </w:rPr>
          <w:t xml:space="preserve">https://doi.org/10.16908/rds-essentiels/73</w:t>
        </w:r>
      </w:hyperlink>
      <w:r>
        <w:t xml:space="preserve"> </w:t>
      </w:r>
      <w:r>
        <w:rPr>
          <w:i/>
          <w:iCs/>
        </w:rPr>
        <w:t xml:space="preserve">Colonna B del doppio ancoraggio, con prevalenza nel giudizio, applicata alla simulazione aggregata unionale.</w:t>
      </w:r>
    </w:p>
    <w:p>
      <w:pPr>
        <w:pStyle w:val="BodyText"/>
      </w:pPr>
      <w:r>
        <w:rPr>
          <w:b/>
          <w:bCs/>
        </w:rPr>
        <w:t xml:space="preserve">3. OECD, differenziale di costo per gravità dei disturbi mentali, 2025</w:t>
      </w:r>
      <w:r>
        <w:t xml:space="preserve"> </w:t>
      </w:r>
      <w:hyperlink r:id="rId16">
        <w:r>
          <w:rPr>
            <w:rStyle w:val="Hyperlink"/>
          </w:rPr>
          <w:t xml:space="preserve">https://www.oecd.org/health/mental-health.htm</w:t>
        </w:r>
      </w:hyperlink>
      <w:r>
        <w:t xml:space="preserve"> </w:t>
      </w:r>
      <w:r>
        <w:rPr>
          <w:i/>
          <w:iCs/>
        </w:rPr>
        <w:t xml:space="preserve">Fonte, riportata con attribuzione, del differenziale di costo per gravità, argomento cardine dell’intercettazione precoce, identico in ciascuno dei ventisette sistemi; fonte, con la Commissione, della stima dell’onere dei disturbi mentali oltre il quattro per cento del prodotto interno lordo dell’Unione.</w:t>
      </w:r>
    </w:p>
    <w:p>
      <w:pPr>
        <w:pStyle w:val="BodyText"/>
      </w:pPr>
      <w:r>
        <w:rPr>
          <w:b/>
          <w:bCs/>
        </w:rPr>
        <w:t xml:space="preserve">4. World Health Organization, Mental Health Atlas 2024</w:t>
      </w:r>
      <w:r>
        <w:t xml:space="preserve"> </w:t>
      </w:r>
      <w:hyperlink r:id="rId17">
        <w:r>
          <w:rPr>
            <w:rStyle w:val="Hyperlink"/>
          </w:rPr>
          <w:t xml:space="preserve">https://www.who.int/publications/</w:t>
        </w:r>
      </w:hyperlink>
      <w:r>
        <w:t xml:space="preserve"> </w:t>
      </w:r>
      <w:r>
        <w:rPr>
          <w:i/>
          <w:iCs/>
        </w:rPr>
        <w:t xml:space="preserve">Fonte attribuita dei cinque criteri di integrazione della salute mentale nelle cure primarie e delle quote di paesi che li soddisfano, fondamento del quadro del Capitolo 1.</w:t>
      </w:r>
    </w:p>
    <w:p>
      <w:pPr>
        <w:pStyle w:val="BodyText"/>
      </w:pPr>
      <w:r>
        <w:rPr>
          <w:b/>
          <w:bCs/>
        </w:rPr>
        <w:t xml:space="preserve">5. Commissione Europea, Flash Eurobarometro 530 sulla salute mentale, 2023 · Eurofound, divario di trattamento, 2025</w:t>
      </w:r>
      <w:r>
        <w:t xml:space="preserve"> </w:t>
      </w:r>
      <w:hyperlink r:id="rId18">
        <w:r>
          <w:rPr>
            <w:rStyle w:val="Hyperlink"/>
          </w:rPr>
          <w:t xml:space="preserve">https://europa.eu/eurobarometer</w:t>
        </w:r>
      </w:hyperlink>
      <w:r>
        <w:t xml:space="preserve"> </w:t>
      </w:r>
      <w:r>
        <w:rPr>
          <w:i/>
          <w:iCs/>
        </w:rPr>
        <w:t xml:space="preserve">Fonti attribuite della prevalenza del disagio in quasi un cittadino su due e del divario di trattamento medio intorno al settantotto virgola sei per cento per la depressione grave.</w:t>
      </w:r>
    </w:p>
    <w:p>
      <w:pPr>
        <w:pStyle w:val="BodyText"/>
      </w:pPr>
      <w:r>
        <w:rPr>
          <w:b/>
          <w:bCs/>
        </w:rPr>
        <w:t xml:space="preserve">6. Commissione Europea, COM(2023) 298 — Un approccio globale alla salute mentale</w:t>
      </w:r>
      <w:r>
        <w:t xml:space="preserve"> </w:t>
      </w:r>
      <w:hyperlink r:id="rId121">
        <w:r>
          <w:rPr>
            <w:rStyle w:val="Hyperlink"/>
          </w:rPr>
          <w:t xml:space="preserve">https://eur-lex.europa.eu/</w:t>
        </w:r>
      </w:hyperlink>
      <w:r>
        <w:t xml:space="preserve"> </w:t>
      </w:r>
      <w:r>
        <w:rPr>
          <w:i/>
          <w:iCs/>
        </w:rPr>
        <w:t xml:space="preserve">Cornice politica e finanziaria dell’asse unionale, con le risorse mobilitate e le venti iniziative faro entro la competenza di sostegno.</w:t>
      </w:r>
    </w:p>
    <w:p>
      <w:pPr>
        <w:pStyle w:val="BodyText"/>
      </w:pPr>
      <w:r>
        <w:rPr>
          <w:b/>
          <w:bCs/>
        </w:rPr>
        <w:t xml:space="preserve">7. Documenti ufficiali olandesi sul POH-GGZ: condizioni contrattuali e criteri di valutazione 2026–2028</w:t>
      </w:r>
      <w:r>
        <w:t xml:space="preserve"> </w:t>
      </w:r>
      <w:hyperlink r:id="rId19">
        <w:r>
          <w:rPr>
            <w:rStyle w:val="Hyperlink"/>
          </w:rPr>
          <w:t xml:space="preserve">https://www.zorgverzekeraarsnederland.nl/</w:t>
        </w:r>
      </w:hyperlink>
      <w:r>
        <w:t xml:space="preserve"> </w:t>
      </w:r>
      <w:r>
        <w:rPr>
          <w:i/>
          <w:iCs/>
        </w:rPr>
        <w:t xml:space="preserve">Benchmark operativo primario del Volume: architettura, finanziamento assicurativo e condizioni aggiornate del professionista di supporto alla salute mentale presso il medico di famiglia.</w:t>
      </w:r>
    </w:p>
    <w:p>
      <w:pPr>
        <w:pStyle w:val="BodyText"/>
      </w:pPr>
      <w:r>
        <w:rPr>
          <w:b/>
          <w:bCs/>
        </w:rPr>
        <w:t xml:space="preserve">8. Soeters R. et al., meta-analisi IPD sui componenti efficaci della collaborative care, 2025</w:t>
      </w:r>
      <w:r>
        <w:t xml:space="preserve"> </w:t>
      </w:r>
      <w:hyperlink r:id="rId20">
        <w:r>
          <w:rPr>
            <w:rStyle w:val="Hyperlink"/>
          </w:rPr>
          <w:t xml:space="preserve">https://pubmed.ncbi.nlm.nih.gov/40136273/</w:t>
        </w:r>
      </w:hyperlink>
      <w:r>
        <w:t xml:space="preserve"> </w:t>
      </w:r>
      <w:r>
        <w:rPr>
          <w:i/>
          <w:iCs/>
        </w:rPr>
        <w:t xml:space="preserve">Base di evidenza clinica sui componenti efficaci dell’assistenza collaborativa, valida per l’intero asse unionale.</w:t>
      </w:r>
    </w:p>
    <w:p>
      <w:pPr>
        <w:pStyle w:val="BodyText"/>
      </w:pPr>
      <w:r>
        <w:rPr>
          <w:b/>
          <w:bCs/>
        </w:rPr>
        <w:t xml:space="preserve">9. Kvaal K. et al., RCT su intervento cognitivo-comportamentale computerizzato in cure primarie, 2026</w:t>
      </w:r>
      <w:r>
        <w:t xml:space="preserve"> </w:t>
      </w:r>
      <w:hyperlink r:id="rId21">
        <w:r>
          <w:rPr>
            <w:rStyle w:val="Hyperlink"/>
          </w:rPr>
          <w:t xml:space="preserve">https://pubmed.ncbi.nlm.nih.gov/</w:t>
        </w:r>
      </w:hyperlink>
      <w:r>
        <w:t xml:space="preserve"> </w:t>
      </w:r>
      <w:r>
        <w:rPr>
          <w:i/>
          <w:iCs/>
        </w:rPr>
        <w:t xml:space="preserve">Evidenza sperimentale recente sull’intervento digitale in cure primarie europee, a sostegno della telepsicologia assistita.</w:t>
      </w:r>
    </w:p>
    <w:p>
      <w:pPr>
        <w:pStyle w:val="BodyText"/>
      </w:pPr>
      <w:r>
        <w:rPr>
          <w:b/>
          <w:bCs/>
        </w:rPr>
        <w:t xml:space="preserve">10. Veldhuijzen W. et al., costo-efficacia dell’intervento digitale, 2025</w:t>
      </w:r>
      <w:r>
        <w:t xml:space="preserve"> </w:t>
      </w:r>
      <w:hyperlink r:id="rId22">
        <w:r>
          <w:rPr>
            <w:rStyle w:val="Hyperlink"/>
          </w:rPr>
          <w:t xml:space="preserve">https://pmc.ncbi.nlm.nih.gov/articles/PMC12369993/</w:t>
        </w:r>
      </w:hyperlink>
      <w:r>
        <w:t xml:space="preserve"> </w:t>
      </w:r>
      <w:r>
        <w:rPr>
          <w:i/>
          <w:iCs/>
        </w:rPr>
        <w:t xml:space="preserve">Riferimento sul rapporto incrementale di costo-utilità dell’intervento digitale, elemento dello strato dell’Intelligenza Artificiale.</w:t>
      </w:r>
    </w:p>
    <w:p>
      <w:pPr>
        <w:pStyle w:val="BodyText"/>
      </w:pPr>
      <w:r>
        <w:rPr>
          <w:b/>
          <w:bCs/>
        </w:rPr>
        <w:t xml:space="preserve">11. World Health Organization, Thematic Dialogue on Investing in NCDs and Mental Health, dicembre 2024</w:t>
      </w:r>
      <w:r>
        <w:t xml:space="preserve"> </w:t>
      </w:r>
      <w:hyperlink r:id="rId23">
        <w:r>
          <w:rPr>
            <w:rStyle w:val="Hyperlink"/>
          </w:rPr>
          <w:t xml:space="preserve">https://cdn.who.int/</w:t>
        </w:r>
      </w:hyperlink>
      <w:r>
        <w:t xml:space="preserve"> </w:t>
      </w:r>
      <w:r>
        <w:rPr>
          <w:i/>
          <w:iCs/>
        </w:rPr>
        <w:t xml:space="preserve">Evidenza riportata con attribuzione sul ritorno degli investimenti in salute mentale; non concorre al verdetto tripartito unionale.</w:t>
      </w:r>
    </w:p>
    <w:p>
      <w:pPr>
        <w:pStyle w:val="BodyText"/>
      </w:pPr>
      <w:r>
        <w:rPr>
          <w:b/>
          <w:bCs/>
        </w:rPr>
        <w:t xml:space="preserve">12. Regolamento (UE) 2024/1689 sull’intelligenza artificiale</w:t>
      </w:r>
      <w:r>
        <w:t xml:space="preserve"> </w:t>
      </w:r>
      <w:hyperlink r:id="rId24">
        <w:r>
          <w:rPr>
            <w:rStyle w:val="Hyperlink"/>
          </w:rPr>
          <w:t xml:space="preserve">https://eur-lex.europa.eu/eli/reg/2024/1689/oj</w:t>
        </w:r>
      </w:hyperlink>
      <w:r>
        <w:t xml:space="preserve"> </w:t>
      </w:r>
      <w:r>
        <w:rPr>
          <w:i/>
          <w:iCs/>
        </w:rPr>
        <w:t xml:space="preserve">Perimetro normativo uniforme dello strato digitale, che ne fa l’elemento più armonizzabile del modello fra i ventisette Stati.</w:t>
      </w:r>
    </w:p>
    <w:p>
      <w:pPr>
        <w:pStyle w:val="BodyText"/>
      </w:pPr>
      <w:r>
        <w:rPr>
          <w:b/>
          <w:bCs/>
        </w:rPr>
        <w:t xml:space="preserve">13. Legge regionale Puglia 19 luglio 2023, n. 11, sul Servizio di Psicologia di Base</w:t>
      </w:r>
      <w:r>
        <w:t xml:space="preserve"> </w:t>
      </w:r>
      <w:hyperlink r:id="rId285">
        <w:r>
          <w:rPr>
            <w:rStyle w:val="Hyperlink"/>
          </w:rPr>
          <w:t xml:space="preserve">https://www.consiglio.puglia.it/</w:t>
        </w:r>
      </w:hyperlink>
      <w:r>
        <w:t xml:space="preserve"> </w:t>
      </w:r>
      <w:r>
        <w:rPr>
          <w:i/>
          <w:iCs/>
        </w:rPr>
        <w:t xml:space="preserve">Riferimento normativo capostipite del modello, richiamato nella scheda-Stato italiana quale avanguardia regionale dell’Unione.</w:t>
      </w:r>
    </w:p>
    <w:p>
      <w:pPr>
        <w:pStyle w:val="BodyText"/>
      </w:pPr>
      <w:r>
        <w:rPr>
          <w:b/>
          <w:bCs/>
        </w:rPr>
        <w:t xml:space="preserve">14. NICE, Health Technology Evaluations: the manual (PMG36)</w:t>
      </w:r>
      <w:r>
        <w:t xml:space="preserve"> </w:t>
      </w:r>
      <w:hyperlink r:id="rId25">
        <w:r>
          <w:rPr>
            <w:rStyle w:val="Hyperlink"/>
          </w:rPr>
          <w:t xml:space="preserve">https://www.nice.org.uk/process/pmg36</w:t>
        </w:r>
      </w:hyperlink>
      <w:r>
        <w:t xml:space="preserve"> </w:t>
      </w:r>
      <w:r>
        <w:rPr>
          <w:i/>
          <w:iCs/>
        </w:rPr>
        <w:t xml:space="preserve">Riferimento di rigore metodologico per la struttura a imbuto, le appendici registrate e il protocollo dell’incertezza adottati nel Volume e nell’intera opera.</w:t>
      </w:r>
    </w:p>
    <w:bookmarkEnd w:id="4532"/>
    <w:sectPr>
      <w:footerReference r:id="rId9" w:type="default"/>
      <w:pgSz w:h="16838" w:w="11906"/>
      <w:pgMar w:bottom="1440" w:footer="720" w:gutter="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Bdr>
        <w:top w:val="single" w:sz="4" w:space="8" w:color="C9CDD6"/>
      </w:pBdr>
      <w:jc w:val="center"/>
    </w:pPr>
    <w:r>
      <w:rPr>
        <w:rFonts w:ascii="Calibri" w:hAnsi="Calibri" w:cs="Calibri" w:eastAsia="Calibri"/>
        <w:color w:val="6B7280"/>
        <w:sz w:val="16"/>
      </w:rPr>
      <w:t xml:space="preserve">Studio Integrale — Psicologo di Base  ·  </w:t>
    </w:r>
    <w:r>
      <w:rPr>
        <w:rFonts w:ascii="Calibri" w:hAnsi="Calibri" w:cs="Calibri" w:eastAsia="Calibri"/>
        <w:color w:val="6B7280"/>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
    <w:p>
      <w:r>
        <w:rPr>
          <w:rStyle w:val="FootnoteReference"/>
        </w:rPr>
        <w:footnoteRef/>
      </w:r>
      <w:r>
        <w:rPr>
          <w:rFonts w:ascii="Cambria" w:cs="Cambria" w:eastAsia="Cambria" w:hAnsi="Cambria"/>
          <w:sz w:val="18"/>
          <w:szCs w:val="18"/>
        </w:rPr>
        <w:t xml:space="preserve">Art. 32 Cost.: «La Repubblica tutela la salute come fondamentale diritto dell’individuo e interesse della collettività». Concezione olistica comprensiva del benessere psicologico.</w:t>
      </w:r>
    </w:p>
  </w:footnote>
  <w:footnote w:id="2">
    <w:p>
      <w:r>
        <w:rPr>
          <w:rStyle w:val="FootnoteReference"/>
        </w:rPr>
        <w:footnoteRef/>
      </w:r>
      <w:r>
        <w:rPr>
          <w:rFonts w:ascii="Cambria" w:cs="Cambria" w:eastAsia="Cambria" w:hAnsi="Cambria"/>
          <w:sz w:val="18"/>
          <w:szCs w:val="18"/>
        </w:rPr>
        <w:t xml:space="preserve">WHO, Constitution (1946) e Mental Health Atlas 2024. La salute è definita come stato di completo benessere fisico, mentale e sociale.</w:t>
      </w:r>
    </w:p>
  </w:footnote>
  <w:footnote w:id="3">
    <w:p>
      <w:pPr>
        <w:pStyle w:val="FootnoteText"/>
      </w:pPr>
      <w:r>
        <w:rPr>
          <w:rStyle w:val="FootnoteReference"/>
        </w:rPr>
        <w:footnoteRef/>
      </w:r>
      <w:r>
        <w:t xml:space="preserve"> Legge regionale Puglia 19 luglio 2023, n. 11, sul Servizio di Psicologia di Base — riferimento normativo istitutivo, che colloca la Puglia quale Regione capostipite del modello a livello nazionale.</w:t>
      </w:r>
    </w:p>
  </w:footnote>
  <w:footnote w:id="4">
    <w:p>
      <w:r>
        <w:rPr>
          <w:rStyle w:val="FootnoteReference"/>
        </w:rPr>
        <w:footnoteRef/>
      </w:r>
      <w:r>
        <w:rPr>
          <w:rFonts w:ascii="Cambria" w:cs="Cambria" w:eastAsia="Cambria" w:hAnsi="Cambria"/>
          <w:sz w:val="18"/>
          <w:szCs w:val="18"/>
        </w:rPr>
        <w:t xml:space="preserve">Carta dei diritti fondamentali UE, Pilastro europeo dei diritti sociali, Commissione Europea, Rapporto sulla salute mentale 2024.</w:t>
      </w:r>
    </w:p>
  </w:footnote>
  <w:footnote w:id="5">
    <w:p>
      <w:r>
        <w:rPr>
          <w:rStyle w:val="FootnoteReference"/>
        </w:rPr>
        <w:footnoteRef/>
      </w:r>
      <w:r>
        <w:rPr>
          <w:rFonts w:ascii="Cambria" w:cs="Cambria" w:eastAsia="Cambria" w:hAnsi="Cambria"/>
          <w:sz w:val="18"/>
          <w:szCs w:val="18"/>
        </w:rPr>
        <w:t xml:space="preserve">Studi longitudinali su Social Science &amp; Medicine e Journal of Epidemiology and Community Health: RR 2,3 di disturbi mentali comuni in deprivazione severa.</w:t>
      </w:r>
    </w:p>
  </w:footnote>
  <w:footnote w:id="6">
    <w:p>
      <w:r>
        <w:rPr>
          <w:rStyle w:val="FootnoteReference"/>
        </w:rPr>
        <w:footnoteRef/>
      </w:r>
      <w:r>
        <w:rPr>
          <w:rFonts w:ascii="Cambria" w:cs="Cambria" w:eastAsia="Cambria" w:hAnsi="Cambria"/>
          <w:sz w:val="18"/>
          <w:szCs w:val="18"/>
        </w:rPr>
        <w:t xml:space="preserve">Standard OMS: minimo 5% della spesa sanitaria alla salute mentale; nord-Europa 10-12%. Puglia: 3,3%. Standard dotazione psicologi: 18/100.000 ottimale, 10 minimo.</w:t>
      </w:r>
    </w:p>
  </w:footnote>
  <w:footnote w:id="7">
    <w:p>
      <w:r>
        <w:rPr>
          <w:rStyle w:val="FootnoteReference"/>
        </w:rPr>
        <w:footnoteRef/>
      </w:r>
      <w:r>
        <w:rPr>
          <w:rFonts w:ascii="Cambria" w:cs="Cambria" w:eastAsia="Cambria" w:hAnsi="Cambria"/>
          <w:sz w:val="18"/>
          <w:szCs w:val="18"/>
        </w:rPr>
        <w:t xml:space="preserve">Archer J. et al., meta-analisi su PLOS ONE: 74 RCT del modello collaborativo; beta −0,11 (IC 95% −0,20/−0,01; p=0,03).</w:t>
      </w:r>
    </w:p>
  </w:footnote>
  <w:footnote w:id="8">
    <w:p>
      <w:r>
        <w:rPr>
          <w:rStyle w:val="FootnoteReference"/>
        </w:rPr>
        <w:footnoteRef/>
      </w:r>
      <w:r>
        <w:rPr>
          <w:rFonts w:ascii="Cambria" w:cs="Cambria" w:eastAsia="Cambria" w:hAnsi="Cambria"/>
          <w:sz w:val="18"/>
          <w:szCs w:val="18"/>
        </w:rPr>
        <w:t xml:space="preserve">British Journal of Psychiatry, analisi economica IAPT: 16.857 £/QALY, sotto la soglia NICE di 30.000 £.</w:t>
      </w:r>
    </w:p>
  </w:footnote>
  <w:footnote w:id="9">
    <w:p>
      <w:r>
        <w:rPr>
          <w:rStyle w:val="FootnoteReference"/>
        </w:rPr>
        <w:footnoteRef/>
      </w:r>
      <w:r>
        <w:rPr>
          <w:rFonts w:ascii="Cambria" w:cs="Cambria" w:eastAsia="Cambria" w:hAnsi="Cambria"/>
          <w:sz w:val="18"/>
          <w:szCs w:val="18"/>
        </w:rPr>
        <w:t xml:space="preserve">Collaborative Care Model, Univ. di Washington, validato attraverso oltre 90 trial randomizzati controllati.</w:t>
      </w:r>
    </w:p>
  </w:footnote>
  <w:footnote w:id="10">
    <w:p>
      <w:r>
        <w:rPr>
          <w:rStyle w:val="FootnoteReference"/>
        </w:rPr>
        <w:footnoteRef/>
      </w:r>
      <w:r>
        <w:rPr>
          <w:rFonts w:ascii="Cambria" w:cs="Cambria" w:eastAsia="Cambria" w:hAnsi="Cambria"/>
          <w:sz w:val="18"/>
          <w:szCs w:val="18"/>
        </w:rPr>
        <w:t xml:space="preserve"> Unisanté, Raisons de santé Essentiels n. 73, 2026; OECD, The Economic Case for Preventing Mental Ill Health, 2026. Fonte del costo per anno di vita ponderato per la qualità adottato in modo invariante nello Studio (circa 9.800 €/QALY), in sostituzione dell’analisi di riferimento del 2016 precedentemente adottata.</w:t>
      </w:r>
    </w:p>
  </w:footnote>
  <w:footnote w:id="11">
    <w:p>
      <w:r>
        <w:rPr>
          <w:rStyle w:val="FootnoteReference"/>
        </w:rPr>
        <w:footnoteRef/>
      </w:r>
      <w:r>
        <w:rPr>
          <w:rFonts w:ascii="Cambria" w:cs="Cambria" w:eastAsia="Cambria" w:hAnsi="Cambria"/>
          <w:sz w:val="18"/>
          <w:szCs w:val="18"/>
        </w:rPr>
        <w:t xml:space="preserve">Meta-analisi su JAMA Psychiatry: interventi brevi 6-8 sedute riducono depressione maggiore del 21% (RR 0,79) e ansia del 19% (RR 0,81) a 12 mesi.</w:t>
      </w:r>
    </w:p>
  </w:footnote>
  <w:footnote w:id="12">
    <w:p>
      <w:r>
        <w:rPr>
          <w:rStyle w:val="FootnoteReference"/>
        </w:rPr>
        <w:footnoteRef/>
      </w:r>
      <w:r>
        <w:rPr>
          <w:rFonts w:ascii="Cambria" w:cs="Cambria" w:eastAsia="Cambria" w:hAnsi="Cambria"/>
          <w:sz w:val="18"/>
          <w:szCs w:val="18"/>
        </w:rPr>
        <w:t xml:space="preserve">WHO: depressione e ansia costano circa 1 trilione di dollari l’anno all’economia globale, prevalentemente in perdita di produttività.</w:t>
      </w:r>
    </w:p>
  </w:footnote>
  <w:footnote w:id="13">
    <w:p>
      <w:pPr>
        <w:pStyle w:val="FootnoteText"/>
      </w:pPr>
      <w:r>
        <w:rPr>
          <w:rStyle w:val="FootnoteReference"/>
        </w:rPr>
        <w:footnoteRef/>
      </w:r>
      <w:r>
        <w:t xml:space="preserve"> OECD, differenziale di costo per gravità dei disturbi mentali, 2025 — documenta la crescita del costo di trattamento dai quadri lievi (≈511 €) ai quadri gravi (≈10.485 €); argomento cardine a favore dell’intercettazione precoce nel presente Studio.</w:t>
      </w:r>
    </w:p>
  </w:footnote>
  <w:footnote w:id="14">
    <w:p>
      <w:pPr>
        <w:pStyle w:val="FootnoteText"/>
      </w:pPr>
      <w:r>
        <w:rPr>
          <w:rStyle w:val="FootnoteReference"/>
        </w:rPr>
        <w:footnoteRef/>
      </w:r>
      <w:r>
        <w:t xml:space="preserve"> World Health Organization, Thematic Dialogue on Investing in NCDs and Mental Health, dicembre 2024 — conferma il ritorno di 4 dollari per ogni dollaro investito in salute mentale, esteso a 7 dollari per la componente delle malattie non trasmissibili; evidenza di contesto, non concorrente al verdetto tripartito.</w:t>
      </w:r>
    </w:p>
  </w:footnote>
  <w:footnote w:id="15">
    <w:p>
      <w:r>
        <w:rPr>
          <w:rStyle w:val="FootnoteReference"/>
        </w:rPr>
        <w:footnoteRef/>
      </w:r>
      <w:r>
        <w:rPr>
          <w:rFonts w:ascii="Cambria" w:cs="Cambria" w:eastAsia="Cambria" w:hAnsi="Cambria"/>
          <w:sz w:val="18"/>
          <w:szCs w:val="18"/>
        </w:rPr>
        <w:t xml:space="preserve">DM 77/2022 e Missione 6 del PNRR. Rapporto ottimale 1 psicologo ogni 4-5 medici di base.</w:t>
      </w:r>
    </w:p>
  </w:footnote>
  <w:footnote w:id="16">
    <w:p>
      <w:r>
        <w:rPr>
          <w:rStyle w:val="FootnoteReference"/>
        </w:rPr>
        <w:footnoteRef/>
      </w:r>
      <w:r>
        <w:rPr>
          <w:rFonts w:ascii="Cambria" w:cs="Cambria" w:eastAsia="Cambria" w:hAnsi="Cambria"/>
          <w:sz w:val="18"/>
          <w:szCs w:val="18"/>
        </w:rPr>
        <w:t xml:space="preserve">ISTAT, Censimento Permanente della Popolazione (aprile 2025) e Indicatori Demografici (31 marzo 2025).</w:t>
      </w:r>
    </w:p>
  </w:footnote>
  <w:footnote w:id="17">
    <w:p>
      <w:r>
        <w:rPr>
          <w:rStyle w:val="FootnoteReference"/>
        </w:rPr>
        <w:footnoteRef/>
      </w:r>
      <w:r>
        <w:rPr>
          <w:rFonts w:ascii="Cambria" w:cs="Cambria" w:eastAsia="Cambria" w:hAnsi="Cambria"/>
          <w:sz w:val="18"/>
          <w:szCs w:val="18"/>
        </w:rPr>
        <w:t xml:space="preserve">Meta-analisi su The Lancet Psychiatry: 174 studi in 59 paesi, oltre 1 mln di individui. Prevalenza depressione over 65: 10-15%, fino a 25-30% con cronicità multiple.</w:t>
      </w:r>
    </w:p>
  </w:footnote>
  <w:footnote w:id="18">
    <w:p>
      <w:r>
        <w:rPr>
          <w:rStyle w:val="FootnoteReference"/>
        </w:rPr>
        <w:footnoteRef/>
      </w:r>
      <w:r>
        <w:rPr>
          <w:rFonts w:ascii="Cambria" w:cs="Cambria" w:eastAsia="Cambria" w:hAnsi="Cambria"/>
          <w:sz w:val="18"/>
          <w:szCs w:val="18"/>
        </w:rPr>
        <w:t xml:space="preserve">Khaledi et al., Acta Diabetologica 2019 (248 studi); Volkert et al., World Psychiatry 2013; Martens et al. 2010; Zhang et al. 2011.</w:t>
      </w:r>
    </w:p>
  </w:footnote>
  <w:footnote w:id="19">
    <w:p>
      <w:r>
        <w:rPr>
          <w:rStyle w:val="FootnoteReference"/>
        </w:rPr>
        <w:footnoteRef/>
      </w:r>
      <w:r>
        <w:rPr>
          <w:rFonts w:ascii="Cambria" w:cs="Cambria" w:eastAsia="Cambria" w:hAnsi="Cambria"/>
          <w:sz w:val="18"/>
          <w:szCs w:val="18"/>
        </w:rPr>
        <w:t xml:space="preserve">Rapporto SISM 2023, Ministero della Salute (dicembre 2024): 54.946 utenti in carico ai DSM pugliesi; 18.939 nuovi utenti.</w:t>
      </w:r>
    </w:p>
  </w:footnote>
  <w:footnote w:id="20">
    <w:p>
      <w:r>
        <w:rPr>
          <w:rStyle w:val="FootnoteReference"/>
        </w:rPr>
        <w:footnoteRef/>
      </w:r>
      <w:r>
        <w:rPr>
          <w:rFonts w:ascii="Cambria" w:cs="Cambria" w:eastAsia="Cambria" w:hAnsi="Cambria"/>
          <w:sz w:val="18"/>
          <w:szCs w:val="18"/>
        </w:rPr>
        <w:t xml:space="preserve">Rapporto SISM 2023 e Motore Sanità (febbraio 2025): 18.753 accessi ai PS per cause psichiatriche nel 2023, +30% rispetto al pre-pandemia.</w:t>
      </w:r>
    </w:p>
  </w:footnote>
  <w:footnote w:id="21">
    <w:p>
      <w:r>
        <w:rPr>
          <w:rStyle w:val="FootnoteReference"/>
        </w:rPr>
        <w:footnoteRef/>
      </w:r>
      <w:r>
        <w:rPr>
          <w:rFonts w:ascii="Cambria" w:cs="Cambria" w:eastAsia="Cambria" w:hAnsi="Cambria"/>
          <w:sz w:val="18"/>
          <w:szCs w:val="18"/>
        </w:rPr>
        <w:t xml:space="preserve">Ministero della Salute, dati 2023: assistenza psichiatrica territoriale 274,1 mln €, ricoveri 11,2 mln €, totale ≈285 mln € (3,3% della spesa regionale).</w:t>
      </w:r>
    </w:p>
  </w:footnote>
  <w:footnote w:id="22">
    <w:p>
      <w:r>
        <w:rPr>
          <w:rStyle w:val="FootnoteReference"/>
        </w:rPr>
        <w:footnoteRef/>
      </w:r>
      <w:r>
        <w:rPr>
          <w:rFonts w:ascii="Cambria" w:cs="Cambria" w:eastAsia="Cambria" w:hAnsi="Cambria"/>
          <w:sz w:val="18"/>
          <w:szCs w:val="18"/>
        </w:rPr>
        <w:t xml:space="preserve">ISTAT, Rapporto SDGs 2024 e dati preliminari 2025: indicatore AROPE Puglia 37,7% (≈1,46 mln individui).</w:t>
      </w:r>
    </w:p>
  </w:footnote>
  <w:footnote w:id="23">
    <w:p>
      <w:r>
        <w:rPr>
          <w:rStyle w:val="FootnoteReference"/>
        </w:rPr>
        <w:footnoteRef/>
      </w:r>
      <w:r>
        <w:rPr>
          <w:rFonts w:ascii="Cambria" w:cs="Cambria" w:eastAsia="Cambria" w:hAnsi="Cambria"/>
          <w:sz w:val="18"/>
          <w:szCs w:val="18"/>
        </w:rPr>
        <w:t xml:space="preserve">ISTAT, Indicatori del Mercato del Lavoro 2024: disoccupazione 9,3%, giovanile 32%, NEET 21,4% (fascia 15-29).</w:t>
      </w:r>
    </w:p>
  </w:footnote>
  <w:footnote w:id="24">
    <w:p>
      <w:r>
        <w:rPr>
          <w:rStyle w:val="FootnoteReference"/>
        </w:rPr>
        <w:footnoteRef/>
      </w:r>
      <w:r>
        <w:rPr>
          <w:rFonts w:ascii="Cambria" w:cs="Cambria" w:eastAsia="Cambria" w:hAnsi="Cambria"/>
          <w:sz w:val="18"/>
          <w:szCs w:val="18"/>
        </w:rPr>
        <w:t xml:space="preserve">Reibling et al., European Journal of Public Health 2017; meta-analisi The Lancet Psychiatry sulla disoccupazione.</w:t>
      </w:r>
    </w:p>
  </w:footnote>
  <w:footnote w:id="25">
    <w:p>
      <w:r>
        <w:rPr>
          <w:rStyle w:val="FootnoteReference"/>
        </w:rPr>
        <w:footnoteRef/>
      </w:r>
      <w:r>
        <w:rPr>
          <w:rFonts w:ascii="Cambria" w:cs="Cambria" w:eastAsia="Cambria" w:hAnsi="Cambria"/>
          <w:sz w:val="18"/>
          <w:szCs w:val="18"/>
        </w:rPr>
        <w:t xml:space="preserve">Formula PAR = Pe(RR−1)/[1+Pe(RR−1)], con Pe=0,377 e RR=2,3, che restituisce un rischio attribuibile del 32,7%.</w:t>
      </w:r>
    </w:p>
  </w:footnote>
  <w:footnote w:id="26">
    <w:p>
      <w:r>
        <w:rPr>
          <w:rStyle w:val="FootnoteReference"/>
        </w:rPr>
        <w:footnoteRef/>
      </w:r>
      <w:r>
        <w:rPr>
          <w:rFonts w:ascii="Cambria" w:cs="Cambria" w:eastAsia="Cambria" w:hAnsi="Cambria"/>
          <w:sz w:val="18"/>
          <w:szCs w:val="18"/>
        </w:rPr>
        <w:t xml:space="preserve">Dati regionali 2022-2023 e Il Sole 24 Ore: spesa sanitaria ≈8,5-8,6 mld €; disavanzo 2024 cresciuto a oltre 400 mln €.</w:t>
      </w:r>
    </w:p>
  </w:footnote>
  <w:footnote w:id="27">
    <w:p>
      <w:r>
        <w:rPr>
          <w:rStyle w:val="FootnoteReference"/>
        </w:rPr>
        <w:footnoteRef/>
      </w:r>
      <w:r>
        <w:rPr>
          <w:rFonts w:ascii="Cambria" w:cs="Cambria" w:eastAsia="Cambria" w:hAnsi="Cambria"/>
          <w:sz w:val="18"/>
          <w:szCs w:val="18"/>
        </w:rPr>
        <w:t xml:space="preserve">NHS England, IAPT Annual Report 2023-2024; Trimbos Instituut; Woltmann et al., American Journal of Psychiatry 2012.</w:t>
      </w:r>
    </w:p>
  </w:footnote>
  <w:footnote w:id="28">
    <w:p>
      <w:pPr>
        <w:pStyle w:val="FootnoteText"/>
      </w:pPr>
      <w:r>
        <w:rPr>
          <w:rStyle w:val="FootnoteReference"/>
        </w:rPr>
        <w:footnoteRef/>
      </w:r>
      <w:r>
        <w:t xml:space="preserve"> </w:t>
      </w:r>
      <w:r>
        <w:t xml:space="preserve">Guyatt G. H. et al., «GRADE: an emerging consensus on rating quality of evidence and strength of recommendations», BMJ, 336, 2008. Metodo apicale di graduazione della certezza dell’evidenza e della forza delle raccomandazioni; nell’opera è applicato in modo simmetrico alle affermazioni cliniche e a quelle relative all’Intelligenza Artificiale.</w:t>
      </w:r>
    </w:p>
  </w:footnote>
  <w:footnote w:id="29">
    <w:p>
      <w:pPr>
        <w:pStyle w:val="FootnoteText"/>
      </w:pPr>
      <w:r>
        <w:rPr>
          <w:rStyle w:val="FootnoteReference"/>
        </w:rPr>
        <w:footnoteRef/>
      </w:r>
      <w:r>
        <w:t xml:space="preserve"> </w:t>
      </w:r>
      <w:r>
        <w:t xml:space="preserve">Chisholm D. et al., «Scaling-up treatment of depression and anxiety: a global return on investment analysis», Lancet Psychiatry, 3(5), 2016. Analisi di riferimento sul ritorno economico degli investimenti in salute mentale; fissa gli intervalli corretti (2,3–3,0:1 per i soli benefici economici; 3,3–5,7:1 con i ritorni in salute) adottati come vincolo invariante dell’opera.</w:t>
      </w:r>
    </w:p>
  </w:footnote>
  <w:footnote w:id="30">
    <w:p>
      <w:pPr>
        <w:pStyle w:val="FootnoteText"/>
      </w:pPr>
      <w:r>
        <w:rPr>
          <w:rStyle w:val="FootnoteReference"/>
        </w:rPr>
        <w:footnoteRef/>
      </w:r>
      <w:r>
        <w:t xml:space="preserve"> </w:t>
      </w:r>
      <w:r>
        <w:t xml:space="preserve">Un. J. et al., «Collaborative Care Management of Late-Life Depression in the Primary Care Setting (IMPACT trial)», JAMA, 288(22), 2002. Studio clinico controllato di riferimento sull’assistenza collaborativa; fonte del caveat invariante secondo cui i risparmi sui costi sanitari non raggiungono la significatività statistica, poiché l’intervallo di confidenza attraversa lo zero.</w:t>
      </w:r>
    </w:p>
  </w:footnote>
  <w:footnote w:id="31">
    <w:p>
      <w:pPr>
        <w:pStyle w:val="FootnoteText"/>
      </w:pPr>
      <w:r>
        <w:rPr>
          <w:rStyle w:val="FootnoteReference"/>
        </w:rPr>
        <w:footnoteRef/>
      </w:r>
      <w:r>
        <w:t xml:space="preserve"> </w:t>
      </w:r>
      <w:r>
        <w:t xml:space="preserve">GRADE Working Group / Sch. H. et al., GRADE Handbook. Manuale operativo del metodo di graduazione della certezza dell’evidenza e della forza delle raccomandazioni, applicato in modo simmetrico alle evidenze cliniche e a quelle sull’Intelligenza Artificiale.</w:t>
      </w:r>
    </w:p>
  </w:footnote>
  <w:footnote w:id="32">
    <w:p>
      <w:pPr>
        <w:pStyle w:val="FootnoteText"/>
      </w:pPr>
      <w:r>
        <w:rPr>
          <w:rStyle w:val="FootnoteReference"/>
        </w:rPr>
        <w:footnoteRef/>
      </w:r>
      <w:r>
        <w:t xml:space="preserve"> </w:t>
      </w:r>
      <w:r>
        <w:t xml:space="preserve">Regolamento (UE) 2024/1689 del Parlamento europeo e del Consiglio, che stabilisce regole armonizzate sull’intelligenza artificiale (regolamento sull’intelligenza artificiale). Quadro normativo europeo che disciplina i sistemi di IA secondo il rischio; fonda la governance prudenziale, la trasparenza e la supervisione umana dell’Intelligenza Artificiale adottate nell’opera.</w:t>
      </w:r>
    </w:p>
  </w:footnote>
  <w:footnote w:id="33">
    <w:p>
      <w:pPr>
        <w:pStyle w:val="FootnoteText"/>
      </w:pPr>
      <w:r>
        <w:rPr>
          <w:rStyle w:val="FootnoteReference"/>
        </w:rPr>
        <w:footnoteRef/>
      </w:r>
      <w:r>
        <w:t xml:space="preserve"> </w:t>
      </w:r>
      <w:r>
        <w:t xml:space="preserve">The Topol Review, Preparing the healthcare workforce to deliver the digital future, NHS, 2019. Rapporto di riferimento sulla preparazione del personale sanitario alle tecnologie digitali; sostiene la formazione orientata all’uso dell’Intelligenza Artificiale come competenza trasversale del personale.</w:t>
      </w:r>
    </w:p>
  </w:footnote>
  <w:footnote w:id="34">
    <w:p>
      <w:pPr>
        <w:pStyle w:val="FootnoteText"/>
      </w:pPr>
      <w:r>
        <w:rPr>
          <w:rStyle w:val="FootnoteReference"/>
        </w:rPr>
        <w:footnoteRef/>
      </w:r>
      <w:r>
        <w:t xml:space="preserve"> </w:t>
      </w:r>
      <w:r>
        <w:t xml:space="preserve">Italia, Piano Nazionale di Ripresa e Resilienza (PNRR), Missione 6 — Salute. Quadro programmatico e finanziario nazionale per il rafforzamento delle cure primarie e della sanità territoriale; riferimento per la collocazione della riforma e per l’agenda di verifica documentale dei dati di attuazione regionale.</w:t>
      </w:r>
    </w:p>
  </w:footnote>
  <w:footnote w:id="35">
    <w:p>
      <w:pPr>
        <w:pStyle w:val="FootnoteText"/>
      </w:pPr>
      <w:r>
        <w:rPr>
          <w:rStyle w:val="FootnoteReference"/>
        </w:rPr>
        <w:footnoteRef/>
      </w:r>
      <w:r>
        <w:t xml:space="preserve"> </w:t>
      </w:r>
      <w:r>
        <w:t xml:space="preserve">Stime regionali sul carico di salute mentale: circa 780.000 persone con disagio psichico comune o sottosoglia, dell’ordine del 20–30% della popolazione, a fronte di circa 55.000 utenti in carico ai Dipartimenti di Salute Mentale. Cfr. Istituto Superiore di Sanità, EpiCentro, area salute mentale.</w:t>
      </w:r>
    </w:p>
  </w:footnote>
  <w:footnote w:id="36">
    <w:p>
      <w:pPr>
        <w:pStyle w:val="FootnoteText"/>
      </w:pPr>
      <w:r>
        <w:rPr>
          <w:rStyle w:val="FootnoteReference"/>
        </w:rPr>
        <w:footnoteRef/>
      </w:r>
      <w:r>
        <w:t xml:space="preserve"> </w:t>
      </w:r>
      <w:r>
        <w:t xml:space="preserve">Meta-analisi internazionali (The Lancet Psychiatry; JAMA Psychiatry; World Psychiatry): depressione fino al 28% negli ultrasettantacinquenni con multimorbidità e ansia oltre il 15% nella popolazione anziana; applicati alla struttura per età della Puglia, i coefficienti stimano 50.649–74.640 anziani con disturbi depressivi e 69.150–92.200 con disturbi d’ansia.</w:t>
      </w:r>
    </w:p>
  </w:footnote>
  <w:footnote w:id="37">
    <w:p>
      <w:pPr>
        <w:pStyle w:val="FootnoteText"/>
      </w:pPr>
      <w:r>
        <w:rPr>
          <w:rStyle w:val="FootnoteReference"/>
        </w:rPr>
        <w:footnoteRef/>
      </w:r>
      <w:r>
        <w:t xml:space="preserve"> </w:t>
      </w:r>
      <w:r>
        <w:t xml:space="preserve">Istituto Superiore di Sanità, sorveglianza PASSI (strumento PHQ-2, rilevazioni 2021–2024): 3,6% degli adulti di 18–64 anni con sintomi depressivi clinicamente rilevanti (circa 80.000 persone), contro la media nazionale del 6,7%.</w:t>
      </w:r>
    </w:p>
  </w:footnote>
  <w:footnote w:id="38">
    <w:p>
      <w:pPr>
        <w:pStyle w:val="FootnoteText"/>
      </w:pPr>
      <w:r>
        <w:rPr>
          <w:rStyle w:val="FootnoteReference"/>
        </w:rPr>
        <w:footnoteRef/>
      </w:r>
      <w:r>
        <w:t xml:space="preserve"> </w:t>
      </w:r>
      <w:r>
        <w:t xml:space="preserve">Agenzia Italiana del Farmaco, Rapporto OsMed: il consumo di antidepressivi in Puglia è tra i più bassi d’Italia; in concorso con la sotto-rilevazione PASSI, è segno di sotto-intercettazione del bisogno, non di minore sofferenza.</w:t>
      </w:r>
    </w:p>
  </w:footnote>
  <w:footnote w:id="39">
    <w:p>
      <w:pPr>
        <w:pStyle w:val="FootnoteText"/>
      </w:pPr>
      <w:r>
        <w:rPr>
          <w:rStyle w:val="FootnoteReference"/>
        </w:rPr>
        <w:footnoteRef/>
      </w:r>
      <w:r>
        <w:t xml:space="preserve"> </w:t>
      </w:r>
      <w:r>
        <w:t xml:space="preserve">Commissione europea, rapporto sulla salute mentale (2024): solo la metà delle persone con ansia o depressione chiede aiuto e quasi un giovane su due resta privo di supporto adeguato; le barriere sono strutturali, economiche, culturali e di stigma, di conoscenza e sistemiche.</w:t>
      </w:r>
    </w:p>
  </w:footnote>
  <w:footnote w:id="40">
    <w:p>
      <w:pPr>
        <w:pStyle w:val="FootnoteText"/>
      </w:pPr>
      <w:r>
        <w:rPr>
          <w:rStyle w:val="FootnoteReference"/>
        </w:rPr>
        <w:footnoteRef/>
      </w:r>
      <w:r>
        <w:t xml:space="preserve"> </w:t>
      </w:r>
      <w:r>
        <w:t xml:space="preserve">Sistema Informativo per la Salute Mentale, Rapporto SISM 2023: i Dipartimenti pugliesi hanno avuto in carico 54.946 utenti (circa 106 ogni 10.000 abitanti adulti), dei quali 18.939 nuovi (circa 35 ogni 10.000).</w:t>
      </w:r>
    </w:p>
  </w:footnote>
  <w:footnote w:id="41">
    <w:p>
      <w:pPr>
        <w:pStyle w:val="FootnoteText"/>
      </w:pPr>
      <w:r>
        <w:rPr>
          <w:rStyle w:val="FootnoteReference"/>
        </w:rPr>
        <w:footnoteRef/>
      </w:r>
      <w:r>
        <w:t xml:space="preserve"> </w:t>
      </w:r>
      <w:r>
        <w:t xml:space="preserve">Accessi al pronto soccorso per cause psichiatriche (SISM 2023; fonti regionali): 18.753 nel 2023, oltre 50 al giorno, in crescita del 30% sul periodo pre-pandemico; le sindromi nevrotiche e somatoformi sono la causa più frequente, con oltre 10.000 casi.</w:t>
      </w:r>
    </w:p>
  </w:footnote>
  <w:footnote w:id="42">
    <w:p>
      <w:pPr>
        <w:pStyle w:val="FootnoteText"/>
      </w:pPr>
      <w:r>
        <w:rPr>
          <w:rStyle w:val="FootnoteReference"/>
        </w:rPr>
        <w:footnoteRef/>
      </w:r>
      <w:r>
        <w:t xml:space="preserve"> </w:t>
      </w:r>
      <w:r>
        <w:t xml:space="preserve">Legge regionale della Puglia n. 11 del 2023: il servizio conta circa 45 psicologi (uno per distretto) con uno stanziamento di 1,5 milioni di euro l’anno, pari a circa il 5% di un fabbisogno stimato in 800–900 psicologi; lo studio adotta scenari di copertura a circa 450, 700 e 900 incarichi.</w:t>
      </w:r>
    </w:p>
  </w:footnote>
  <w:footnote w:id="43">
    <w:p>
      <w:pPr>
        <w:pStyle w:val="FootnoteText"/>
      </w:pPr>
      <w:r>
        <w:rPr>
          <w:rStyle w:val="FootnoteReference"/>
        </w:rPr>
        <w:footnoteRef/>
      </w:r>
      <w:r>
        <w:t xml:space="preserve"> </w:t>
      </w:r>
      <w:r>
        <w:t xml:space="preserve">ISTAT, Censimento permanente della popolazione (2024): 3.877.395 residenti in Puglia, circa il 6,6% del totale nazionale; il Servizio sanitario regionale si articola in 6 aziende sanitarie locali (Bari, Barletta-Andria-Trani, Brindisi, Foggia, Lecce, Taranto) e 45 distretti.</w:t>
      </w:r>
    </w:p>
  </w:footnote>
  <w:footnote w:id="44">
    <w:p>
      <w:pPr>
        <w:pStyle w:val="FootnoteText"/>
      </w:pPr>
      <w:r>
        <w:rPr>
          <w:rStyle w:val="FootnoteReference"/>
        </w:rPr>
        <w:footnoteRef/>
      </w:r>
      <w:r>
        <w:t xml:space="preserve"> </w:t>
      </w:r>
      <w:r>
        <w:t xml:space="preserve">ISTAT, indicatori demografici e proiezioni della popolazione: età media da 39,3 anni (2002) a 46,4 (2024); indice di vecchiaia 200,8; proiezioni a 3.769.000 abitanti nel 2030 (−3,5%) e 3.229.000 nel 2050 (−17,4% sul 2023); quota di ultrasessantacinquenni dal 24,2% al 37,1%; ultrasettantacinquenni da 461.000 a 658.000 (+43%).</w:t>
      </w:r>
    </w:p>
  </w:footnote>
  <w:footnote w:id="45">
    <w:p>
      <w:pPr>
        <w:pStyle w:val="FootnoteText"/>
      </w:pPr>
      <w:r>
        <w:rPr>
          <w:rStyle w:val="FootnoteReference"/>
        </w:rPr>
        <w:footnoteRef/>
      </w:r>
      <w:r>
        <w:t xml:space="preserve"> </w:t>
      </w:r>
      <w:r>
        <w:t xml:space="preserve">ISTAT: la provincia di Lecce è la più anziana (età media 47,5 anni; indice di vecchiaia 229,8); la provincia di Barletta-Andria-Trani è la più giovane (44,9 anni; indice 169,1).</w:t>
      </w:r>
    </w:p>
  </w:footnote>
  <w:footnote w:id="46">
    <w:p>
      <w:pPr>
        <w:pStyle w:val="FootnoteText"/>
      </w:pPr>
      <w:r>
        <w:rPr>
          <w:rStyle w:val="FootnoteReference"/>
        </w:rPr>
        <w:footnoteRef/>
      </w:r>
      <w:r>
        <w:t xml:space="preserve"> </w:t>
      </w:r>
      <w:r>
        <w:t xml:space="preserve">Indicatori regionali di deprivazione e letteratura epidemiologica sui determinanti sociali: il 37,7% della popolazione pugliese è a rischio di povertà o esclusione sociale; le popolazioni deprivate presentano prevalenze sistematicamente più elevate di disturbi mentali comuni.</w:t>
      </w:r>
    </w:p>
  </w:footnote>
  <w:footnote w:id="47">
    <w:p>
      <w:pPr>
        <w:pStyle w:val="FootnoteText"/>
      </w:pPr>
      <w:r>
        <w:rPr>
          <w:rStyle w:val="FootnoteReference"/>
        </w:rPr>
        <w:footnoteRef/>
      </w:r>
      <w:r>
        <w:t xml:space="preserve"> </w:t>
      </w:r>
      <w:r>
        <w:t xml:space="preserve">Offerta psicologica pubblica: secondo dati del Ministero della Salute riferiti al 2017, l’Italia dispone di 8,5 psicologi ogni 100.000 abitanti nel Servizio sanitario complessivo e di meno di 3 ogni 100.000 nelle sole strutture pubbliche di salute mentale (WHO, Mental Health Atlas), tra le dotazioni più basse d’Europa.</w:t>
      </w:r>
    </w:p>
  </w:footnote>
  <w:footnote w:id="48">
    <w:p>
      <w:pPr>
        <w:pStyle w:val="FootnoteText"/>
      </w:pPr>
      <w:r>
        <w:rPr>
          <w:rStyle w:val="FootnoteReference"/>
        </w:rPr>
        <w:footnoteRef/>
      </w:r>
      <w:r>
        <w:t xml:space="preserve"> </w:t>
      </w:r>
      <w:r>
        <w:t xml:space="preserve">Modello olandese (POH-GGZ): l’adozione da parte dei medici di medicina generale è cresciuta da circa un terzo nel 2011 a circa tre quarti nel 2014, con il professionista psicologo integrato nelle cure primarie, finanziato nell’assicurazione di base e con ruolo complementare e non sostitutivo rispetto alla cura ordinaria (Magnée e colleghi, BMJ Open, 2016).</w:t>
      </w:r>
    </w:p>
  </w:footnote>
  <w:footnote w:id="49">
    <w:p>
      <w:pPr>
        <w:pStyle w:val="FootnoteText"/>
      </w:pPr>
      <w:r>
        <w:rPr>
          <w:rStyle w:val="FootnoteReference"/>
        </w:rPr>
        <w:footnoteRef/>
      </w:r>
      <w:r>
        <w:t xml:space="preserve"> </w:t>
      </w:r>
      <w:r>
        <w:t xml:space="preserve">Carenza della medicina generale in Puglia (Fondazione Gimbe, 2025–2026): circa 279 medici di famiglia mancanti al 1° gennaio 2025 e 702 pensionamenti attesi entro il 2028; riduzione del 26,3% dei medici di medicina generale tra il 2019 e il 2024, quasi il doppio della media nazionale del 14,1%.</w:t>
      </w:r>
    </w:p>
  </w:footnote>
  <w:footnote w:id="50">
    <w:p>
      <w:pPr>
        <w:pStyle w:val="FootnoteText"/>
      </w:pPr>
      <w:r>
        <w:rPr>
          <w:rStyle w:val="FootnoteReference"/>
        </w:rPr>
        <w:footnoteRef/>
      </w:r>
      <w:r>
        <w:t xml:space="preserve"> </w:t>
      </w:r>
      <w:r>
        <w:t xml:space="preserve">Struttura della medicina generale pugliese (Agenas 2023; FIMMG): circa 2.811 medici di medicina generale, con carico medio di 1.331 assistiti per medico (soglia ottimale dell’Accordo Collettivo Nazionale pari a 1.200) e 78% di medici con oltre 27 anni di anzianità di laurea; 540 forme associative con circa il 74% di adesione.</w:t>
      </w:r>
    </w:p>
  </w:footnote>
  <w:footnote w:id="51">
    <w:p>
      <w:pPr>
        <w:pStyle w:val="FootnoteText"/>
      </w:pPr>
      <w:r>
        <w:rPr>
          <w:rStyle w:val="FootnoteReference"/>
        </w:rPr>
        <w:footnoteRef/>
      </w:r>
      <w:r>
        <w:t xml:space="preserve"> </w:t>
      </w:r>
      <w:r>
        <w:t xml:space="preserve">Assistenza territoriale: il decreto ministeriale 77 del 2022 individua nelle Case della Comunità la sede della presa in carico di prossimità, presso la quale lo psicologo di base si inserisce accanto al medico di medicina generale e al pediatra di libera scelta; la Missione 6 del Piano Nazionale di Ripresa e Resilienza ne finanzia l’infrastruttura fisica e digitale.</w:t>
      </w:r>
    </w:p>
  </w:footnote>
  <w:footnote w:id="52">
    <w:p>
      <w:pPr>
        <w:pStyle w:val="FootnoteText"/>
      </w:pPr>
      <w:r>
        <w:rPr>
          <w:rStyle w:val="FootnoteReference"/>
        </w:rPr>
        <w:footnoteRef/>
      </w:r>
      <w:r>
        <w:t xml:space="preserve"> </w:t>
      </w:r>
      <w:r>
        <w:t xml:space="preserve">Liste d’attesa: le prestazioni urgenti risultano per lo più garantite nei tempi, mentre le prestazioni programmabili scontano attese lunghe, con tempi che per alcune indagini diagnostiche raggiungono diversi mesi (Piattaforma nazionale liste d’attesa; rilevazioni regionali).</w:t>
      </w:r>
    </w:p>
  </w:footnote>
  <w:footnote w:id="53">
    <w:p>
      <w:pPr>
        <w:pStyle w:val="FootnoteText"/>
      </w:pPr>
      <w:r>
        <w:rPr>
          <w:rStyle w:val="FootnoteReference"/>
        </w:rPr>
        <w:footnoteRef/>
      </w:r>
      <w:r>
        <w:t xml:space="preserve"> </w:t>
      </w:r>
      <w:r>
        <w:t xml:space="preserve">Pronto soccorso: 37 presidi e 1.142.448 accessi l’anno, dei quali circa 914.000 inappropriati (codici a bassa intensità, dell’ordine dell’80%); una quota è riconducibile a disagio psichico e a sintomi somatici funzionali, trattabili a un primo livello territoriale.</w:t>
      </w:r>
    </w:p>
  </w:footnote>
  <w:footnote w:id="54">
    <w:p>
      <w:pPr>
        <w:pStyle w:val="FootnoteText"/>
      </w:pPr>
      <w:r>
        <w:rPr>
          <w:rStyle w:val="FootnoteReference"/>
        </w:rPr>
        <w:footnoteRef/>
      </w:r>
      <w:r>
        <w:t xml:space="preserve"> </w:t>
      </w:r>
      <w:r>
        <w:t xml:space="preserve">Quadro finanziario: la Puglia ha ricevuto per il 2025 un finanziamento del Servizio sanitario regionale nell’ordine di 8,8 miliardi di euro, con un disavanzo di esercizio di circa 350 milioni e disavanzi cumulati superiori a 480 milioni nel quadriennio (documenti regionali di bilancio).</w:t>
      </w:r>
    </w:p>
  </w:footnote>
  <w:footnote w:id="55">
    <w:p>
      <w:pPr>
        <w:pStyle w:val="FootnoteText"/>
      </w:pPr>
      <w:r>
        <w:rPr>
          <w:rStyle w:val="FootnoteReference"/>
        </w:rPr>
        <w:footnoteRef/>
      </w:r>
      <w:r>
        <w:t xml:space="preserve"> </w:t>
      </w:r>
      <w:r>
        <w:t xml:space="preserve">Vincolo costituzionale di destinazione: la Corte costituzionale ha ribadito che una regione sottoposta a vincoli di rientro non può distrarre i fondi sanitari da finalità diverse dai livelli essenziali di assistenza, entro i quali la riforma deve essere ricondotta per risultare finanziabile.</w:t>
      </w:r>
    </w:p>
  </w:footnote>
  <w:footnote w:id="56">
    <w:p>
      <w:pPr>
        <w:pStyle w:val="FootnoteText"/>
      </w:pPr>
      <w:r>
        <w:rPr>
          <w:rStyle w:val="FootnoteReference"/>
        </w:rPr>
        <w:footnoteRef/>
      </w:r>
      <w:r>
        <w:t xml:space="preserve"> </w:t>
      </w:r>
      <w:r>
        <w:t xml:space="preserve">Mobilità sanitaria passiva (2023): saldo negativo di 253,2 milioni di euro (prestazioni in fuga 376,6 milioni; mobilità attiva circa 123 milioni), confermato nell’ordine dei 240 milioni nel 2024; tratto distintivo del caso pugliese, poiché ogni quota di domanda trattenuta sul territorio si traduce in risparmio diretto (Agenas; bilanci regionali).</w:t>
      </w:r>
    </w:p>
  </w:footnote>
  <w:footnote w:id="57">
    <w:p>
      <w:pPr>
        <w:pStyle w:val="FootnoteText"/>
      </w:pPr>
      <w:r>
        <w:rPr>
          <w:rStyle w:val="FootnoteReference"/>
        </w:rPr>
        <w:footnoteRef/>
      </w:r>
      <w:r>
        <w:t xml:space="preserve"> </w:t>
      </w:r>
      <w:r>
        <w:t xml:space="preserve">Consumo farmaceutico: la Puglia presenta tra i più alti consumi complessivi d’Italia (1.081,9 dosi giornaliere ogni mille abitanti) e una spesa pubblica dell’ordine del 2,3% del prodotto regionale, a fronte di un consumo di antidepressivi tra i più bassi; il divario segnala margini di appropriatezza (AIFA, Rapporto OsMed).</w:t>
      </w:r>
    </w:p>
  </w:footnote>
  <w:footnote w:id="58">
    <w:p>
      <w:pPr>
        <w:pStyle w:val="FootnoteText"/>
      </w:pPr>
      <w:r>
        <w:rPr>
          <w:rStyle w:val="FootnoteReference"/>
        </w:rPr>
        <w:footnoteRef/>
      </w:r>
      <w:r>
        <w:t xml:space="preserve"> </w:t>
      </w:r>
      <w:r>
        <w:t xml:space="preserve">Carico complessivo della cattiva salute mentale: le stime degli organismi internazionali (OCSE-Unione europea, Health at a Glance: Europe) collocano i costi totali oltre il 4% del prodotto interno lordo nei Paesi dell’Unione, sommando spesa sanitaria diretta, costi dei programmi di sicurezza sociale e perdite di produttività; si tratta di una misura del carico, non del rendimento di un investimento.</w:t>
      </w:r>
    </w:p>
  </w:footnote>
  <w:footnote w:id="59">
    <w:p>
      <w:pPr>
        <w:pStyle w:val="FootnoteText"/>
      </w:pPr>
      <w:r>
        <w:rPr>
          <w:rStyle w:val="FootnoteReference"/>
        </w:rPr>
        <w:footnoteRef/>
      </w:r>
      <w:r>
        <w:t xml:space="preserve"> </w:t>
      </w:r>
      <w:r>
        <w:t xml:space="preserve">Dominio lavorativo: la cattiva salute mentale incide sul lavoro mediante assenteismo (giornate perdute) e presenteismo (produttività ridotta in presenza di sofferenza); la letteratura indica nel presenteismo la componente più onerosa. Il carico grava sul sistema produttivo e, per la parte indennizzata, sui bilanci previdenziali.</w:t>
      </w:r>
    </w:p>
  </w:footnote>
  <w:footnote w:id="60">
    <w:p>
      <w:pPr>
        <w:pStyle w:val="FootnoteText"/>
      </w:pPr>
      <w:r>
        <w:rPr>
          <w:rStyle w:val="FootnoteReference"/>
        </w:rPr>
        <w:footnoteRef/>
      </w:r>
      <w:r>
        <w:t xml:space="preserve"> </w:t>
      </w:r>
      <w:r>
        <w:t xml:space="preserve">Dominio pensionistico: i disturbi mentali figurano tra le principali cause di erogazione di prestazioni di invalidità e inabilità nei sistemi previdenziali; l’insorgenza in età lavorativa ne amplifica il costo. La connessione con la figura è indiretta e differita e la stima adotta bande prudenziali per la lunghezza del nesso causale.</w:t>
      </w:r>
    </w:p>
  </w:footnote>
  <w:footnote w:id="61">
    <w:p>
      <w:pPr>
        <w:pStyle w:val="FootnoteText"/>
      </w:pPr>
      <w:r>
        <w:rPr>
          <w:rStyle w:val="FootnoteReference"/>
        </w:rPr>
        <w:footnoteRef/>
      </w:r>
      <w:r>
        <w:t xml:space="preserve"> </w:t>
      </w:r>
      <w:r>
        <w:t xml:space="preserve">Dominio prevenzionalistico: la presa in carico psicologica di prossimità realizza prevenzione secondaria (intercettazione prima della cronicizzazione) e terziaria (contenimento delle ricadute); ogni ricaduta o cronicizzazione evitata sottrae carico agli altri domini, costituendo il meccanismo di propagazione lungo la cascata.</w:t>
      </w:r>
    </w:p>
  </w:footnote>
  <w:footnote w:id="62">
    <w:p>
      <w:pPr>
        <w:pStyle w:val="FootnoteText"/>
      </w:pPr>
      <w:r>
        <w:rPr>
          <w:rStyle w:val="FootnoteReference"/>
        </w:rPr>
        <w:footnoteRef/>
      </w:r>
      <w:r>
        <w:t xml:space="preserve"> </w:t>
      </w:r>
      <w:r>
        <w:t xml:space="preserve">Vincoli invarianti sul rendimento: gli investimenti in salute mentale rendono, secondo la letteratura (Chisholm e colleghi, The Lancet Psychiatry, 2016), entro intervalli di 2,3–3,0 a 1 per i soli benefici economici e di 3,3–5,7 a 1 con i ritorni in salute; i valori superiori non sono sostenuti dall’evidenza. È preservato il caveat dell’IMPACT trial, secondo cui i risparmi sui costi sanitari non raggiungono la significatività statistica.</w:t>
      </w:r>
    </w:p>
  </w:footnote>
  <w:footnote w:id="63">
    <w:p>
      <w:pPr>
        <w:pStyle w:val="FootnoteText"/>
      </w:pPr>
      <w:r>
        <w:rPr>
          <w:rStyle w:val="FootnoteReference"/>
        </w:rPr>
        <w:footnoteRef/>
      </w:r>
      <w:r>
        <w:t xml:space="preserve"> </w:t>
      </w:r>
      <w:r>
        <w:t xml:space="preserve">Domini sociali e istituzionali: criminologico (disagio non trattato e devianza, costi della giustizia e recidiva), burocratico (adempimenti e frammentazione), culturale (destigmatizzazione e alfabetizzazione psicologica), pedagogico-scolastico (dispersione e rendimento), sociale (capitale sociale e legami di comunità); connessioni indirette e di lungo periodo, valutate con espressa dichiarazione dei limiti.</w:t>
      </w:r>
    </w:p>
  </w:footnote>
  <w:footnote w:id="64">
    <w:p>
      <w:pPr>
        <w:pStyle w:val="FootnoteText"/>
      </w:pPr>
      <w:r>
        <w:rPr>
          <w:rStyle w:val="FootnoteReference"/>
        </w:rPr>
        <w:footnoteRef/>
      </w:r>
      <w:r>
        <w:t xml:space="preserve"> </w:t>
      </w:r>
      <w:r>
        <w:t xml:space="preserve">Livello regionale: la legge della Regione Puglia n. 11 del 2023, prima in Italia, istituisce il servizio individuandone le sedi nei distretti e nelle Case della Comunità, la forma del rapporto nella convenzione, la funzione di filtro verso i servizi specialistici e il pronto soccorso e l’organo di governo nell’Osservatorio regionale; la decisione verte sul portare il servizio a regime.</w:t>
      </w:r>
    </w:p>
  </w:footnote>
  <w:footnote w:id="65">
    <w:p>
      <w:pPr>
        <w:pStyle w:val="FootnoteText"/>
      </w:pPr>
      <w:r>
        <w:rPr>
          <w:rStyle w:val="FootnoteReference"/>
        </w:rPr>
        <w:footnoteRef/>
      </w:r>
      <w:r>
        <w:t xml:space="preserve"> </w:t>
      </w:r>
      <w:r>
        <w:t xml:space="preserve">Livello nazionale (assistenza territoriale): il decreto ministeriale 77 del 2022 definisce il modello dell’assistenza territoriale e individua nelle Case della Comunità la sede della presa in carico di prossimità; la Missione 6 del Piano Nazionale di Ripresa e Resilienza ne finanzia l’infrastruttura fisica e digitale.</w:t>
      </w:r>
    </w:p>
  </w:footnote>
  <w:footnote w:id="66">
    <w:p>
      <w:pPr>
        <w:pStyle w:val="FootnoteText"/>
      </w:pPr>
      <w:r>
        <w:rPr>
          <w:rStyle w:val="FootnoteReference"/>
        </w:rPr>
        <w:footnoteRef/>
      </w:r>
      <w:r>
        <w:t xml:space="preserve"> </w:t>
      </w:r>
      <w:r>
        <w:t xml:space="preserve">Livello nazionale (rapporto convenzionale): l’Accordo Collettivo Nazionale della specialistica ambulatoriale disciplina il rapporto convenzionale degli psicologi e fornisce il riferimento contrattuale del modello di costo del personale impiegato nelle parti dedicate ai costi diretti.</w:t>
      </w:r>
    </w:p>
  </w:footnote>
  <w:footnote w:id="67">
    <w:p>
      <w:pPr>
        <w:pStyle w:val="FootnoteText"/>
      </w:pPr>
      <w:r>
        <w:rPr>
          <w:rStyle w:val="FootnoteReference"/>
        </w:rPr>
        <w:footnoteRef/>
      </w:r>
      <w:r>
        <w:t xml:space="preserve"> </w:t>
      </w:r>
      <w:r>
        <w:t xml:space="preserve">Livelli essenziali di assistenza: definiscono le prestazioni garantite su tutto il territorio nazionale; la funzione di primo livello e di filtro dello Psicologo di Base vi si iscrive come strumento di più efficiente erogazione, conciliando la riforma con il limite costituzionale di destinazione delle risorse e con i vincoli di rientro.</w:t>
      </w:r>
    </w:p>
  </w:footnote>
  <w:footnote w:id="68">
    <w:p>
      <w:pPr>
        <w:pStyle w:val="FootnoteText"/>
      </w:pPr>
      <w:r>
        <w:rPr>
          <w:rStyle w:val="FootnoteReference"/>
        </w:rPr>
        <w:footnoteRef/>
      </w:r>
      <w:r>
        <w:t xml:space="preserve"> </w:t>
      </w:r>
      <w:r>
        <w:t xml:space="preserve">Livello europeo: il regolamento (UE) 2021/2282 sulla valutazione delle tecnologie sanitarie, applicabile dal 2025, fissa il metodo della valutazione comparativa di cui lo studio adotta il telaio; il regolamento (UE) sull’intelligenza artificiale stabilisce la cornice di governance degli strumenti digitali impiegati come leve abilitanti della figura.</w:t>
      </w:r>
    </w:p>
  </w:footnote>
  <w:footnote w:id="69">
    <w:p>
      <w:pPr>
        <w:pStyle w:val="FootnoteText"/>
      </w:pPr>
      <w:r>
        <w:rPr>
          <w:rStyle w:val="FootnoteReference"/>
        </w:rPr>
        <w:footnoteRef/>
      </w:r>
      <w:r>
        <w:t xml:space="preserve"> </w:t>
      </w:r>
      <w:r>
        <w:t xml:space="preserve">Chisholm D., Sweeny K., Sheehan P. et al., «Scaling-up treatment of depression and anxiety: a global return on investment analysis», The Lancet Psychiatry, vol. 3, 2016, pp. 415–424.</w:t>
      </w:r>
    </w:p>
  </w:footnote>
  <w:footnote w:id="70">
    <w:p>
      <w:pPr>
        <w:pStyle w:val="FootnoteText"/>
      </w:pPr>
      <w:r>
        <w:rPr>
          <w:rStyle w:val="FootnoteReference"/>
        </w:rPr>
        <w:footnoteRef/>
      </w:r>
      <w:r>
        <w:t xml:space="preserve"> </w:t>
      </w:r>
      <w:r>
        <w:t xml:space="preserve">Sul mancato raggiungimento della significatività statistica dei risparmi sanitari diretti, isolatamente considerati, nell’analisi di lungo periodo dello studio IMPACT, si veda infra, nota 5.</w:t>
      </w:r>
    </w:p>
  </w:footnote>
  <w:footnote w:id="71">
    <w:p>
      <w:pPr>
        <w:pStyle w:val="FootnoteText"/>
      </w:pPr>
      <w:r>
        <w:rPr>
          <w:rStyle w:val="FootnoteReference"/>
        </w:rPr>
        <w:footnoteRef/>
      </w:r>
      <w:r>
        <w:t xml:space="preserve"> </w:t>
      </w:r>
      <w:r>
        <w:t xml:space="preserve">Regione Puglia, Legge regionale 8 marzo 2023, n. 11, recante l’istituzione del Servizio di Psicologia di Base nel Servizio sanitario regionale.</w:t>
      </w:r>
    </w:p>
  </w:footnote>
  <w:footnote w:id="72">
    <w:p>
      <w:pPr>
        <w:pStyle w:val="FootnoteText"/>
      </w:pPr>
      <w:r>
        <w:rPr>
          <w:rStyle w:val="FootnoteReference"/>
        </w:rPr>
        <w:footnoteRef/>
      </w:r>
      <w:r>
        <w:t xml:space="preserve"> </w:t>
      </w:r>
      <w:r>
        <w:t xml:space="preserve">Unützer J., Katon W., Callahan C. M. et al., «Collaborative care management of late-life depression in the primary care setting» (studio IMPACT), JAMA, vol. 288, 2002, pp. 2836–2845.</w:t>
      </w:r>
    </w:p>
  </w:footnote>
  <w:footnote w:id="73">
    <w:p>
      <w:pPr>
        <w:pStyle w:val="FootnoteText"/>
      </w:pPr>
      <w:r>
        <w:rPr>
          <w:rStyle w:val="FootnoteReference"/>
        </w:rPr>
        <w:footnoteRef/>
      </w:r>
      <w:r>
        <w:t xml:space="preserve"> </w:t>
      </w:r>
      <w:r>
        <w:t xml:space="preserve">Archer J., Bower P., Gilbody S. et al., «Collaborative care for depression and anxiety problems», Cochrane Database of Systematic Reviews, 2012.</w:t>
      </w:r>
    </w:p>
  </w:footnote>
  <w:footnote w:id="74">
    <w:p>
      <w:pPr>
        <w:pStyle w:val="FootnoteText"/>
      </w:pPr>
      <w:r>
        <w:rPr>
          <w:rStyle w:val="FootnoteReference"/>
        </w:rPr>
        <w:footnoteRef/>
      </w:r>
      <w:r>
        <w:t xml:space="preserve"> </w:t>
      </w:r>
      <w:r>
        <w:t xml:space="preserve">Katon W., Unützer J., Fan M.-Y. et al., analisi di costo-efficacia e beneficio netto dello studio IMPACT (2005), che documenta la non significatività statistica dei risparmi sanitari diretti isolatamente considerati nel medio periodo.</w:t>
      </w:r>
    </w:p>
  </w:footnote>
  <w:footnote w:id="75">
    <w:p>
      <w:pPr>
        <w:pStyle w:val="FootnoteText"/>
      </w:pPr>
      <w:r>
        <w:rPr>
          <w:rStyle w:val="FootnoteReference"/>
        </w:rPr>
        <w:footnoteRef/>
      </w:r>
      <w:r>
        <w:t xml:space="preserve"> </w:t>
      </w:r>
      <w:r>
        <w:t xml:space="preserve">ISTAT, Censimento permanente della popolazione e indicatori demografici, Regione Puglia, 2024.</w:t>
      </w:r>
    </w:p>
  </w:footnote>
  <w:footnote w:id="76">
    <w:p>
      <w:pPr>
        <w:pStyle w:val="FootnoteText"/>
      </w:pPr>
      <w:r>
        <w:rPr>
          <w:rStyle w:val="FootnoteReference"/>
        </w:rPr>
        <w:footnoteRef/>
      </w:r>
      <w:r>
        <w:t xml:space="preserve"> </w:t>
      </w:r>
      <w:r>
        <w:t xml:space="preserve">Organizzazione Mondiale della Sanità, World Mental Health Report: Transforming Mental Health for All, Ginevra, 2022.</w:t>
      </w:r>
    </w:p>
  </w:footnote>
  <w:footnote w:id="77">
    <w:p>
      <w:pPr>
        <w:pStyle w:val="FootnoteText"/>
      </w:pPr>
      <w:r>
        <w:rPr>
          <w:rStyle w:val="FootnoteReference"/>
        </w:rPr>
        <w:footnoteRef/>
      </w:r>
      <w:r>
        <w:t xml:space="preserve"> </w:t>
      </w:r>
      <w:r>
        <w:t xml:space="preserve">Unione Europea, Regolamento (UE) 2024/1689 sull’intelligenza artificiale, in particolare per i sistemi a uso sanitario.</w:t>
      </w:r>
    </w:p>
  </w:footnote>
  <w:footnote w:id="78">
    <w:p>
      <w:pPr>
        <w:pStyle w:val="FootnoteText"/>
      </w:pPr>
      <w:r>
        <w:rPr>
          <w:rStyle w:val="FootnoteReference"/>
        </w:rPr>
        <w:footnoteRef/>
      </w:r>
      <w:r>
        <w:t xml:space="preserve"> </w:t>
      </w:r>
      <w:r>
        <w:t xml:space="preserve">Bower P., Gilbody S., «Stepped care in psychological therapies: access, effectiveness and efficiency», The British Journal of Psychiatry, vol. 186, 2005, pp. 11–17.</w:t>
      </w:r>
    </w:p>
  </w:footnote>
  <w:footnote w:id="79">
    <w:p>
      <w:pPr>
        <w:pStyle w:val="FootnoteText"/>
      </w:pPr>
      <w:r>
        <w:rPr>
          <w:rStyle w:val="FootnoteReference"/>
        </w:rPr>
        <w:footnoteRef/>
      </w:r>
      <w:r>
        <w:t xml:space="preserve"> </w:t>
      </w:r>
      <w:r>
        <w:t xml:space="preserve">Agenzia Italiana del Farmaco (AIFA), Rapporto OsMed sull’uso dei farmaci in Italia, sezioni relative al consumo e all’appropriatezza degli psicofarmaci, con particolare riguardo alle benzodiazepine.</w:t>
      </w:r>
    </w:p>
  </w:footnote>
  <w:footnote w:id="80">
    <w:p>
      <w:pPr>
        <w:pStyle w:val="FootnoteText"/>
      </w:pPr>
      <w:r>
        <w:rPr>
          <w:rStyle w:val="FootnoteReference"/>
        </w:rPr>
        <w:footnoteRef/>
      </w:r>
      <w:r>
        <w:t xml:space="preserve"> </w:t>
      </w:r>
      <w:r>
        <w:t xml:space="preserve">Clark D. M., «Realizing the mass public benefit of evidence-based psychological therapies: the IAPT program», Annual Review of Clinical Psychology, vol. 14, 2018, pp. 159–183.</w:t>
      </w:r>
    </w:p>
  </w:footnote>
  <w:footnote w:id="81">
    <w:p>
      <w:pPr>
        <w:pStyle w:val="FootnoteText"/>
      </w:pPr>
      <w:r>
        <w:rPr>
          <w:rStyle w:val="FootnoteReference"/>
        </w:rPr>
        <w:footnoteRef/>
      </w:r>
      <w:r>
        <w:t xml:space="preserve"> </w:t>
      </w:r>
      <w:r>
        <w:t xml:space="preserve">National Institute for Health and Care Excellence (NICE), linee guida sui disturbi mentali comuni nell’adulto (identificazione e percorsi di cura).</w:t>
      </w:r>
    </w:p>
  </w:footnote>
  <w:footnote w:id="82">
    <w:p>
      <w:pPr>
        <w:pStyle w:val="FootnoteText"/>
      </w:pPr>
      <w:r>
        <w:rPr>
          <w:rStyle w:val="FootnoteReference"/>
        </w:rPr>
        <w:footnoteRef/>
      </w:r>
      <w:r>
        <w:t xml:space="preserve"> </w:t>
      </w:r>
      <w:r>
        <w:t xml:space="preserve">Layard R., Clark D. M., Thrive: The Power of Evidence-Based Psychological Therapies, Penguin, 2014.</w:t>
      </w:r>
    </w:p>
  </w:footnote>
  <w:footnote w:id="83">
    <w:p>
      <w:pPr>
        <w:pStyle w:val="FootnoteText"/>
      </w:pPr>
      <w:r>
        <w:rPr>
          <w:rStyle w:val="FootnoteReference"/>
        </w:rPr>
        <w:footnoteRef/>
      </w:r>
      <w:r>
        <w:t xml:space="preserve"> </w:t>
      </w:r>
      <w:r>
        <w:t xml:space="preserve">Organizzazione Mondiale della Sanità e UNICEF, rapporti sulla salute mentale dell’adolescenza, 2021.</w:t>
      </w:r>
    </w:p>
  </w:footnote>
  <w:footnote w:id="84">
    <w:p>
      <w:pPr>
        <w:pStyle w:val="FootnoteText"/>
      </w:pPr>
      <w:r>
        <w:rPr>
          <w:rStyle w:val="FootnoteReference"/>
        </w:rPr>
        <w:footnoteRef/>
      </w:r>
      <w:r>
        <w:t xml:space="preserve"> </w:t>
      </w:r>
      <w:r>
        <w:t xml:space="preserve">National Institute for Health and Care Excellence (NICE), linee guida sull’intervento precoce nei disturbi emotivi e comportamentali in età evolutiva.</w:t>
      </w:r>
    </w:p>
  </w:footnote>
  <w:footnote w:id="85">
    <w:p>
      <w:pPr>
        <w:pStyle w:val="FootnoteText"/>
      </w:pPr>
      <w:r>
        <w:rPr>
          <w:rStyle w:val="FootnoteReference"/>
        </w:rPr>
        <w:footnoteRef/>
      </w:r>
      <w:r>
        <w:t xml:space="preserve"> </w:t>
      </w:r>
      <w:r>
        <w:t xml:space="preserve">Wissow L. S. et al., contributi sulla salute mentale nelle cure primarie pediatriche, dal 2008 e successivi.</w:t>
      </w:r>
    </w:p>
  </w:footnote>
  <w:footnote w:id="86">
    <w:p>
      <w:pPr>
        <w:pStyle w:val="FootnoteText"/>
      </w:pPr>
      <w:r>
        <w:rPr>
          <w:rStyle w:val="FootnoteReference"/>
        </w:rPr>
        <w:footnoteRef/>
      </w:r>
      <w:r>
        <w:t xml:space="preserve"> </w:t>
      </w:r>
      <w:r>
        <w:t xml:space="preserve">Stone J., Carson A. et al., studi sulla prevalenza dei sintomi funzionali e medicalmente inspiegati nella casistica neurologica ambulatoriale.</w:t>
      </w:r>
    </w:p>
  </w:footnote>
  <w:footnote w:id="87">
    <w:p>
      <w:pPr>
        <w:pStyle w:val="FootnoteText"/>
      </w:pPr>
      <w:r>
        <w:rPr>
          <w:rStyle w:val="FootnoteReference"/>
        </w:rPr>
        <w:footnoteRef/>
      </w:r>
      <w:r>
        <w:t xml:space="preserve"> </w:t>
      </w:r>
      <w:r>
        <w:t xml:space="preserve">Robinson R. G., Jorge R. E., «Post-stroke depression: a review», The American Journal of Psychiatry, 2016, e letteratura sulla comorbilità neuropsichiatrica nelle patologie neurologiche.</w:t>
      </w:r>
    </w:p>
  </w:footnote>
  <w:footnote w:id="88">
    <w:p>
      <w:pPr>
        <w:pStyle w:val="FootnoteText"/>
      </w:pPr>
      <w:r>
        <w:rPr>
          <w:rStyle w:val="FootnoteReference"/>
        </w:rPr>
        <w:footnoteRef/>
      </w:r>
      <w:r>
        <w:t xml:space="preserve"> </w:t>
      </w:r>
      <w:r>
        <w:t xml:space="preserve">Decreto del Ministro della Salute 23 maggio 2022, n. 77, recante modelli e standard per lo sviluppo dell’assistenza territoriale nel Servizio sanitario nazionale.</w:t>
      </w:r>
    </w:p>
  </w:footnote>
  <w:footnote w:id="89">
    <w:p>
      <w:pPr>
        <w:pStyle w:val="FootnoteText"/>
      </w:pPr>
      <w:r>
        <w:rPr>
          <w:rStyle w:val="FootnoteReference"/>
        </w:rPr>
        <w:footnoteRef/>
      </w:r>
      <w:r>
        <w:t xml:space="preserve"> </w:t>
      </w:r>
      <w:r>
        <w:t xml:space="preserve">Gilbody S., Bower P., Fletcher J. et al., «Collaborative care for depression: a systematic review and cumulative meta-analysis», Archives of Internal Medicine, vol. 166, 2006, pp. 2314–2321.</w:t>
      </w:r>
    </w:p>
  </w:footnote>
  <w:footnote w:id="90">
    <w:p>
      <w:pPr>
        <w:pStyle w:val="FootnoteText"/>
      </w:pPr>
      <w:r>
        <w:rPr>
          <w:rStyle w:val="FootnoteReference"/>
        </w:rPr>
        <w:footnoteRef/>
      </w:r>
      <w:r>
        <w:t xml:space="preserve"> </w:t>
      </w:r>
      <w:r>
        <w:t xml:space="preserve">Gilbody S., Bower P., Fletcher J. et al., «Collaborative care for depression: a systematic review and cumulative meta-analysis», Archives of Internal Medicine, vol. 166, 2006, pp. 2314–2321.</w:t>
      </w:r>
    </w:p>
  </w:footnote>
  <w:footnote w:id="91">
    <w:p>
      <w:pPr>
        <w:pStyle w:val="FootnoteText"/>
      </w:pPr>
      <w:r>
        <w:rPr>
          <w:rStyle w:val="FootnoteReference"/>
        </w:rPr>
        <w:footnoteRef/>
      </w:r>
      <w:r>
        <w:t xml:space="preserve"> </w:t>
      </w:r>
      <w:r>
        <w:t xml:space="preserve">Unützer J., Katon W., Callahan C. M. et al., «Collaborative care management of late-life depression in the primary care setting» (studio IMPACT), JAMA, vol. 288, 2002, pp. 2836–2845.</w:t>
      </w:r>
    </w:p>
  </w:footnote>
  <w:footnote w:id="92">
    <w:p>
      <w:pPr>
        <w:pStyle w:val="FootnoteText"/>
      </w:pPr>
      <w:r>
        <w:rPr>
          <w:rStyle w:val="FootnoteReference"/>
        </w:rPr>
        <w:footnoteRef/>
      </w:r>
      <w:r>
        <w:t xml:space="preserve"> </w:t>
      </w:r>
      <w:r>
        <w:t xml:space="preserve">Ministero della Salute, Sistema Informativo per la Salute Mentale (SISM), Rapporto sulla salute mentale.</w:t>
      </w:r>
    </w:p>
  </w:footnote>
  <w:footnote w:id="93">
    <w:p>
      <w:pPr>
        <w:pStyle w:val="FootnoteText"/>
      </w:pPr>
      <w:r>
        <w:rPr>
          <w:rStyle w:val="FootnoteReference"/>
        </w:rPr>
        <w:footnoteRef/>
      </w:r>
      <w:r>
        <w:t xml:space="preserve"> </w:t>
      </w:r>
      <w:r>
        <w:t xml:space="preserve">Agenzia Nazionale per i Servizi Sanitari Regionali (AGENAS) e Piano Nazionale di Governo delle Liste di Attesa.</w:t>
      </w:r>
    </w:p>
  </w:footnote>
  <w:footnote w:id="94">
    <w:p>
      <w:pPr>
        <w:pStyle w:val="FootnoteText"/>
      </w:pPr>
      <w:r>
        <w:rPr>
          <w:rStyle w:val="FootnoteReference"/>
        </w:rPr>
        <w:footnoteRef/>
      </w:r>
      <w:r>
        <w:t xml:space="preserve"> </w:t>
      </w:r>
      <w:r>
        <w:t xml:space="preserve">AGENAS, dati e rapporti sulla mobilità sanitaria interregionale.</w:t>
      </w:r>
    </w:p>
  </w:footnote>
  <w:footnote w:id="95">
    <w:p>
      <w:pPr>
        <w:pStyle w:val="FootnoteText"/>
      </w:pPr>
      <w:r>
        <w:rPr>
          <w:rStyle w:val="FootnoteReference"/>
        </w:rPr>
        <w:footnoteRef/>
      </w:r>
      <w:r>
        <w:t xml:space="preserve"> </w:t>
      </w:r>
      <w:r>
        <w:t xml:space="preserve">Archer J., Bower P., Gilbody S. et al., «Collaborative care for depression and anxiety problems», Cochrane Database of Systematic Reviews, 2012.</w:t>
      </w:r>
    </w:p>
  </w:footnote>
  <w:footnote w:id="96">
    <w:p>
      <w:pPr>
        <w:pStyle w:val="FootnoteText"/>
      </w:pPr>
      <w:r>
        <w:rPr>
          <w:rStyle w:val="FootnoteReference"/>
        </w:rPr>
        <w:footnoteRef/>
      </w:r>
      <w:r>
        <w:t xml:space="preserve"> </w:t>
      </w:r>
      <w:r>
        <w:t xml:space="preserve">Legge 8 novembre 2000, n. 328, per la realizzazione del sistema integrato di interventi e servizi sociali.</w:t>
      </w:r>
    </w:p>
  </w:footnote>
  <w:footnote w:id="97">
    <w:p>
      <w:pPr>
        <w:pStyle w:val="FootnoteText"/>
      </w:pPr>
      <w:r>
        <w:rPr>
          <w:rStyle w:val="FootnoteReference"/>
        </w:rPr>
        <w:footnoteRef/>
      </w:r>
      <w:r>
        <w:t xml:space="preserve"> </w:t>
      </w:r>
      <w:r>
        <w:t xml:space="preserve">Bickerdike L., Booth A., Wilson P. M. et al., «Social prescribing: less rhetoric and more reality. A systematic review of the evidence», BMJ Open, vol. 7, 2017, e328.</w:t>
      </w:r>
    </w:p>
  </w:footnote>
  <w:footnote w:id="98">
    <w:p>
      <w:pPr>
        <w:pStyle w:val="FootnoteText"/>
      </w:pPr>
      <w:r>
        <w:rPr>
          <w:rStyle w:val="FootnoteReference"/>
        </w:rPr>
        <w:footnoteRef/>
      </w:r>
      <w:r>
        <w:t xml:space="preserve"> </w:t>
      </w:r>
      <w:r>
        <w:t xml:space="preserve">Bickerdike L., Booth A., Wilson P. M. et al., «Social prescribing: less rhetoric and more reality. A systematic review of the evidence», BMJ Open, vol. 7, 2017, e328.</w:t>
      </w:r>
    </w:p>
  </w:footnote>
  <w:footnote w:id="99">
    <w:p>
      <w:pPr>
        <w:pStyle w:val="FootnoteText"/>
      </w:pPr>
      <w:r>
        <w:rPr>
          <w:rStyle w:val="FootnoteReference"/>
        </w:rPr>
        <w:footnoteRef/>
      </w:r>
      <w:r>
        <w:t xml:space="preserve"> </w:t>
      </w:r>
      <w:r>
        <w:t xml:space="preserve">Decreto legislativo 3 ottobre 2009, n. 153, recante la disciplina della farmacia dei servizi nel Servizio sanitario nazionale.</w:t>
      </w:r>
    </w:p>
  </w:footnote>
  <w:footnote w:id="100">
    <w:p>
      <w:pPr>
        <w:pStyle w:val="FootnoteText"/>
      </w:pPr>
      <w:r>
        <w:rPr>
          <w:rStyle w:val="FootnoteReference"/>
        </w:rPr>
        <w:footnoteRef/>
      </w:r>
      <w:r>
        <w:t xml:space="preserve"> </w:t>
      </w:r>
      <w:r>
        <w:t xml:space="preserve">Letteratura internazionale sul ruolo della farmacia di comunità nella salute mentale, relativa all’intercettazione precoce e all’uso appropriato dei medicinali.</w:t>
      </w:r>
    </w:p>
  </w:footnote>
  <w:footnote w:id="101">
    <w:p>
      <w:pPr>
        <w:pStyle w:val="FootnoteText"/>
      </w:pPr>
      <w:r>
        <w:rPr>
          <w:rStyle w:val="FootnoteReference"/>
        </w:rPr>
        <w:footnoteRef/>
      </w:r>
      <w:r>
        <w:t xml:space="preserve"> </w:t>
      </w:r>
      <w:r>
        <w:t xml:space="preserve">ISTAT ed Eurostat, indicatori sull’uscita precoce dal sistema di istruzione e formazione (early leavers from education and training).</w:t>
      </w:r>
    </w:p>
  </w:footnote>
  <w:footnote w:id="102">
    <w:p>
      <w:pPr>
        <w:pStyle w:val="FootnoteText"/>
      </w:pPr>
      <w:r>
        <w:rPr>
          <w:rStyle w:val="FootnoteReference"/>
        </w:rPr>
        <w:footnoteRef/>
      </w:r>
      <w:r>
        <w:t xml:space="preserve"> </w:t>
      </w:r>
      <w:r>
        <w:t xml:space="preserve">Organizzazione Mondiale della Sanità e UNESCO, indirizzi sulla promozione della salute mentale nei contesti scolastici (Health Promoting Schools).</w:t>
      </w:r>
    </w:p>
  </w:footnote>
  <w:footnote w:id="103">
    <w:p>
      <w:pPr>
        <w:pStyle w:val="FootnoteText"/>
      </w:pPr>
      <w:r>
        <w:rPr>
          <w:rStyle w:val="FootnoteReference"/>
        </w:rPr>
        <w:footnoteRef/>
      </w:r>
      <w:r>
        <w:t xml:space="preserve"> </w:t>
      </w:r>
      <w:r>
        <w:t xml:space="preserve">Decreto del Ministro della Salute 23 maggio 2022, n. 77, recante modelli e standard per lo sviluppo dell’assistenza territoriale nel Servizio sanitario nazionale.</w:t>
      </w:r>
    </w:p>
  </w:footnote>
  <w:footnote w:id="104">
    <w:p>
      <w:pPr>
        <w:pStyle w:val="FootnoteText"/>
      </w:pPr>
      <w:r>
        <w:rPr>
          <w:rStyle w:val="FootnoteReference"/>
        </w:rPr>
        <w:footnoteRef/>
      </w:r>
      <w:r>
        <w:t xml:space="preserve"> </w:t>
      </w:r>
      <w:r>
        <w:t xml:space="preserve">Istituto Nazionale della Previdenza Sociale (INPS), Osservatorio sulle prestazioni di invalidità e inabilità.</w:t>
      </w:r>
    </w:p>
  </w:footnote>
  <w:footnote w:id="105">
    <w:p>
      <w:pPr>
        <w:pStyle w:val="FootnoteText"/>
      </w:pPr>
      <w:r>
        <w:rPr>
          <w:rStyle w:val="FootnoteReference"/>
        </w:rPr>
        <w:footnoteRef/>
      </w:r>
      <w:r>
        <w:t xml:space="preserve"> </w:t>
      </w:r>
      <w:r>
        <w:t xml:space="preserve">Decreto legislativo 9 aprile 2008, n. 81, in materia di tutela della salute e della sicurezza nei luoghi di lavoro, con riguardo alla valutazione del rischio da stress lavoro-correlato.</w:t>
      </w:r>
    </w:p>
  </w:footnote>
  <w:footnote w:id="106">
    <w:p>
      <w:pPr>
        <w:pStyle w:val="FootnoteText"/>
      </w:pPr>
      <w:r>
        <w:rPr>
          <w:rStyle w:val="FootnoteReference"/>
        </w:rPr>
        <w:footnoteRef/>
      </w:r>
      <w:r>
        <w:t xml:space="preserve"> </w:t>
      </w:r>
      <w:r>
        <w:t xml:space="preserve">OCSE e Unione Europea, Health at a Glance: Europe, capitolo sulla promozione della salute mentale e stima del costo complessivo della cattiva salute mentale.</w:t>
      </w:r>
    </w:p>
  </w:footnote>
  <w:footnote w:id="107">
    <w:p>
      <w:pPr>
        <w:pStyle w:val="FootnoteText"/>
      </w:pPr>
      <w:r>
        <w:rPr>
          <w:rStyle w:val="FootnoteReference"/>
        </w:rPr>
        <w:footnoteRef/>
      </w:r>
      <w:r>
        <w:t xml:space="preserve"> </w:t>
      </w:r>
      <w:r>
        <w:t xml:space="preserve">I modelli internazionali di integrazione della salute mentale nelle cure primarie (collaborative care, integrated care, stepped care, primary care mental health) condividono alcuni principi: collocazione dello psicologo negli studi di medicina generale o in strutture territoriali accessibili; focalizzazione sui disturbi comuni lievi-moderati con triage strutturato che indirizza i casi gravi allo specialista; interventi brevi, manualizzati e orientati agli esiti; monitoraggio sistematico con questionari standardizzati pre e post; forte integrazione con la medicina generale; orientamento alla prevenzione secondaria mediante intercettazione precoce, prima della cronicizzazione.</w:t>
      </w:r>
    </w:p>
  </w:footnote>
  <w:footnote w:id="108">
    <w:p>
      <w:pPr>
        <w:pStyle w:val="FootnoteText"/>
      </w:pPr>
      <w:r>
        <w:rPr>
          <w:rStyle w:val="FootnoteReference"/>
        </w:rPr>
        <w:footnoteRef/>
      </w:r>
      <w:r>
        <w:t xml:space="preserve"> </w:t>
      </w:r>
      <w:r>
        <w:t xml:space="preserve">Programma inglese di terapie psicologiche (Improving Access to Psychological Therapies, dal 2008, oggi NHS Talking Therapies): modello di cura a intensità crescente su due livelli — interventi a bassa intensità, di quattro-sei sedute, fondati su principi cognitivo-comportamentali ed erogati anche come auto-aiuto guidato, e interventi ad alta intensità, terapie strutturate di otto-venti sedute per i quadri più complessi o non responsivi. Il programma associa al modello un monitoraggio sistematico degli esiti seduta per seduta, che ne ha consentito la valutazione su larga scala.</w:t>
      </w:r>
    </w:p>
  </w:footnote>
  <w:footnote w:id="109">
    <w:p>
      <w:pPr>
        <w:pStyle w:val="FootnoteText"/>
      </w:pPr>
      <w:r>
        <w:rPr>
          <w:rStyle w:val="FootnoteReference"/>
        </w:rPr>
        <w:footnoteRef/>
      </w:r>
      <w:r>
        <w:t xml:space="preserve"> </w:t>
      </w:r>
      <w:r>
        <w:t xml:space="preserve">Modello di assistenza collaborativa (Collaborative Care Model, sviluppato presso l’Università di Washington, validato da oltre novanta studi randomizzati controllati): équipe integrata composta dal medico di base, da un responsabile dell’assistenza con formazione in salute mentale e da uno psichiatra consulente per i casi complessi; screening sistematico con PHQ-9 e GAD-7; psicoeducazione, interventi comportamentali brevi e farmacoterapia ove appropriata; monitoraggio degli esiti con adattamento del piano di cura. La meta-analisi di Woltmann e colleghi (American Journal of Psychiatry, 2012), su cinquantasette studi, documenta un miglioramento dei sintomi depressivi con effetto medio dell’ordine di 0,28 deviazioni standard.</w:t>
      </w:r>
    </w:p>
  </w:footnote>
  <w:footnote w:id="110">
    <w:p>
      <w:pPr>
        <w:pStyle w:val="FootnoteText"/>
      </w:pPr>
      <w:r>
        <w:rPr>
          <w:rStyle w:val="FootnoteReference"/>
        </w:rPr>
        <w:footnoteRef/>
      </w:r>
      <w:r>
        <w:t xml:space="preserve"> </w:t>
      </w:r>
      <w:r>
        <w:t xml:space="preserve">La revisione Cochrane di Archer e colleghi (Collaborative care for people with depression and anxiety, 2012), su settantanove studi randomizzati e oltre ventiquattromila partecipanti, documenta un miglioramento significativo dei sintomi depressivi e ansiosi a breve e medio termine rispetto all’assistenza ordinaria, con benefici che si estendono fino a due anni. È la base di evidenza più ampia a sostegno del principio della collaborazione strutturata tra cure primarie e competenza psicologica.</w:t>
      </w:r>
    </w:p>
  </w:footnote>
  <w:footnote w:id="111">
    <w:p>
      <w:pPr>
        <w:pStyle w:val="FootnoteText"/>
      </w:pPr>
      <w:r>
        <w:rPr>
          <w:rStyle w:val="FootnoteReference"/>
        </w:rPr>
        <w:footnoteRef/>
      </w:r>
      <w:r>
        <w:t xml:space="preserve"> </w:t>
      </w:r>
      <w:r>
        <w:t xml:space="preserve">Modello olandese che integra gli psicologi nelle cure primarie (POH-GGZ, Praktijkondersteuner Huisarts Geestelijke Gezondheidszorg): prevede tipicamente cinque-otto sedute di intervento psicologico breve fondato sull’evidenza presso lo studio del medico di base, con invio ai servizi specialistici solo per i quadri più complessi, dell’ordine del quindici per cento dei casi trattati nelle cure primarie. È il riferimento per la quota di domanda che, in un sistema funzionante, transita al secondo livello.</w:t>
      </w:r>
    </w:p>
  </w:footnote>
  <w:footnote w:id="112">
    <w:p>
      <w:pPr>
        <w:pStyle w:val="FootnoteText"/>
      </w:pPr>
      <w:r>
        <w:rPr>
          <w:rStyle w:val="FootnoteReference"/>
        </w:rPr>
        <w:footnoteRef/>
      </w:r>
      <w:r>
        <w:t xml:space="preserve"> </w:t>
      </w:r>
      <w:r>
        <w:t xml:space="preserve">Sistema GRADE (Grading of Recommendations Assessment, Development and Evaluation; Guyatt e colleghi, British Medical Journal, 2008): metodo per la valutazione della qualità delle prove e della forza delle raccomandazioni, che classifica l’evidenza in quattro livelli — alta, moderata, bassa, molto bassa — in funzione del disegno degli studi, del rischio di distorsione, della coerenza, della precisione e dell’applicabilità dei risultati. L’opera lo applica simmetricamente all’evidenza clinica e a quella relativa agli strumenti digitali e all’Intelligenza Artificiale.</w:t>
      </w:r>
    </w:p>
  </w:footnote>
  <w:footnote w:id="113">
    <w:p>
      <w:pPr>
        <w:pStyle w:val="FootnoteText"/>
      </w:pPr>
      <w:r>
        <w:rPr>
          <w:rStyle w:val="FootnoteReference"/>
        </w:rPr>
        <w:footnoteRef/>
      </w:r>
      <w:r>
        <w:t xml:space="preserve"> </w:t>
      </w:r>
      <w:r>
        <w:t xml:space="preserve">Gli strumenti di triage e di supporto alla decisione basati su Intelligenza Artificiale in salute mentale sono oggetto di una letteratura in espansione ma ancora preliminare: la maggior parte degli studi è di tipo osservazionale o di validazione su coorti limitate, con scarsa replicazione esterna e rischio di distorsione legato alla composizione dei dati di addestramento. La qualità dell’evidenza, secondo i criteri GRADE, è allo stato da bassa a molto bassa, e l’adozione richiede validazione locale, monitoraggio degli esiti e supervisione clinica costante.</w:t>
      </w:r>
    </w:p>
  </w:footnote>
  <w:footnote w:id="114">
    <w:p>
      <w:pPr>
        <w:pStyle w:val="FootnoteText"/>
      </w:pPr>
      <w:r>
        <w:rPr>
          <w:rStyle w:val="FootnoteReference"/>
        </w:rPr>
        <w:footnoteRef/>
      </w:r>
      <w:r>
        <w:t xml:space="preserve"> </w:t>
      </w:r>
      <w:r>
        <w:t xml:space="preserve">I modelli predittivi del rischio in salute mentale — segnatamente i modelli di stima del rischio di ricaduta, di crisi o di esito sfavorevole — sono oggetto di ricerca attiva ma non dispongono, allo stato, di una base di evidenza che ne sostenga l’impiego routinario: gli studi soffrono frequentemente di sovradattamento ai dati di sviluppo, di scarsa validazione esterna e di prestazione instabile su popolazioni diverse da quelle di addestramento. La qualità dell’evidenza, secondo i criteri GRADE, è da bassa a molto bassa. L’impiego, ove se ne valuti l’utilità, deve essere sperimentale, validato localmente e soggetto a supervisione clinica.</w:t>
      </w:r>
    </w:p>
  </w:footnote>
  <w:footnote w:id="115">
    <w:p>
      <w:pPr>
        <w:pStyle w:val="FootnoteText"/>
      </w:pPr>
      <w:r>
        <w:rPr>
          <w:rStyle w:val="FootnoteReference"/>
        </w:rPr>
        <w:footnoteRef/>
      </w:r>
      <w:r>
        <w:t xml:space="preserve"> </w:t>
      </w:r>
      <w:r>
        <w:t xml:space="preserve">Terapia cognitivo-comportamentale erogata via internet (internet-delivered cognitive behavioural therapy): una meta-analisi su dati individuali dei pazienti, condotta da Karyotaki e colleghi (JAMA Psychiatry, 2021), documenta l’efficacia degli interventi guidati per la depressione, con effetti superiori alle condizioni di controllo e clinicamente rilevanti, specie nelle forme con supporto di un terapeuta. La letteratura complessiva — comprese le revisioni di Andersson e colleghi — colloca l’evidenza, secondo i criteri GRADE, su un livello da moderato ad alto per i disturbi comuni lievi-moderati, con la precisazione che gli interventi guidati superano quelli non guidati e che l’aderenza è una determinante critica dell’esito.</w:t>
      </w:r>
    </w:p>
  </w:footnote>
  <w:footnote w:id="116">
    <w:p>
      <w:pPr>
        <w:pStyle w:val="FootnoteText"/>
      </w:pPr>
      <w:r>
        <w:rPr>
          <w:rStyle w:val="FootnoteReference"/>
        </w:rPr>
        <w:footnoteRef/>
      </w:r>
      <w:r>
        <w:t xml:space="preserve"> </w:t>
      </w:r>
      <w:r>
        <w:t xml:space="preserve">Il monitoraggio remoto e la cosiddetta caratterizzazione digitale del comportamento (digital phenotyping) — la rilevazione continua di indicatori comportamentali mediante dispositivi e applicazioni — costituiscono un campo di ricerca attivo ma immaturo: la letteratura (tra cui i contributi di Torous e colleghi) segnala potenzialità nella rilevazione precoce delle variazioni del quadro, ma anche limiti rilevanti di validità, di riproducibilità e di tutela della riservatezza. La qualità dell’evidenza, secondo i criteri GRADE, è da bassa a molto bassa per le forme avanzate, e l’adozione richiede prudenza, validazione e una rigorosa protezione dei dati.</w:t>
      </w:r>
    </w:p>
  </w:footnote>
  <w:footnote w:id="117">
    <w:p>
      <w:pPr>
        <w:pStyle w:val="FootnoteText"/>
      </w:pPr>
      <w:r>
        <w:rPr>
          <w:rStyle w:val="FootnoteReference"/>
        </w:rPr>
        <w:footnoteRef/>
      </w:r>
      <w:r>
        <w:t xml:space="preserve"> </w:t>
      </w:r>
      <w:r>
        <w:t xml:space="preserve">Regolamento (UE) 2017/745 sui dispositivi medici (Medical Device Regulation): disciplina la classificazione, la valutazione di conformità e la sorveglianza dei dispositivi medici, compreso il software con destinazione medica (software as a medical device). I dispositivi terapeutici digitali destinati alla diagnosi, alla prevenzione o al trattamento di una condizione clinica sono qualificati come dispositivi medici e soggetti, in funzione della classe di rischio, a requisiti crescenti di valutazione clinica e di sorveglianza, e alla marcatura di conformità.</w:t>
      </w:r>
    </w:p>
  </w:footnote>
  <w:footnote w:id="118">
    <w:p>
      <w:pPr>
        <w:pStyle w:val="FootnoteText"/>
      </w:pPr>
      <w:r>
        <w:rPr>
          <w:rStyle w:val="FootnoteReference"/>
        </w:rPr>
        <w:footnoteRef/>
      </w:r>
      <w:r>
        <w:t xml:space="preserve"> </w:t>
      </w:r>
      <w:r>
        <w:t xml:space="preserve">Regolamento (UE) 2024/1689 sull’Intelligenza Artificiale (Artificial Intelligence Act): istituisce un quadro armonizzato che classifica i sistemi di Intelligenza Artificiale per livello di rischio e sottopone i sistemi ad alto rischio — categoria nella quale ricadono numerosi impieghi in ambito sanitario — a requisiti di gestione del rischio, qualità dei dati, trasparenza, sorveglianza umana e robustezza. I dispositivi terapeutici digitali che incorporino sistemi di Intelligenza Artificiale sono soggetti, congiuntamente, al regolamento sui dispositivi medici e al regolamento sull’Intelligenza Artificiale.</w:t>
      </w:r>
    </w:p>
  </w:footnote>
  <w:footnote w:id="119">
    <w:p>
      <w:pPr>
        <w:pStyle w:val="FootnoteText"/>
      </w:pPr>
      <w:r>
        <w:rPr>
          <w:rStyle w:val="FootnoteReference"/>
        </w:rPr>
        <w:footnoteRef/>
      </w:r>
      <w:r>
        <w:t xml:space="preserve"> </w:t>
      </w:r>
      <w:r>
        <w:t xml:space="preserve">Modello tedesco delle applicazioni sanitarie digitali (Digitale Gesundheitsanwendungen, DiGA), istituito dalla legge sull’assistenza sanitaria digitale del 2019 e gestito dall’Istituto federale per i farmaci e i dispositivi medici (BfArM): prevede una procedura di valutazione che ammette le applicazioni a un elenco di prodotti prescrivibili e rimborsabili dall’assicurazione sanitaria, in via definitiva ove l’efficacia sia dimostrata o in via provvisoria ove essa debba essere accertata entro dodici mesi (con possibilità di proroga). È il principale modello europeo di riconoscimento e rimborso dei dispositivi terapeutici digitali.</w:t>
      </w:r>
    </w:p>
  </w:footnote>
  <w:footnote w:id="120">
    <w:p>
      <w:pPr>
        <w:pStyle w:val="FootnoteText"/>
      </w:pPr>
      <w:r>
        <w:rPr>
          <w:rStyle w:val="FootnoteReference"/>
        </w:rPr>
        <w:footnoteRef/>
      </w:r>
      <w:r>
        <w:t xml:space="preserve"> </w:t>
      </w:r>
      <w:r>
        <w:t xml:space="preserve">Organizzazione mondiale della sanità, Ethics and governance of artificial intelligence for health (2021): definisce sei principi per l’impiego etico dell’Intelligenza Artificiale in sanità — tutela dell’autonomia umana; promozione del benessere, della sicurezza e dell’interesse pubblico; trasparenza, spiegabilità e intelligibilità; responsabilità e rendicontabilità; inclusività ed equità; sostenibilità e reattività. Tali principi orientano la governance prudenziale adottata dal modello.</w:t>
      </w:r>
    </w:p>
  </w:footnote>
  <w:footnote w:id="121">
    <w:p>
      <w:pPr>
        <w:pStyle w:val="FootnoteText"/>
      </w:pPr>
      <w:r>
        <w:rPr>
          <w:rStyle w:val="FootnoteReference"/>
        </w:rPr>
        <w:footnoteRef/>
      </w:r>
      <w:r>
        <w:t xml:space="preserve"> </w:t>
      </w:r>
      <w:r>
        <w:t xml:space="preserve">Il regolamento (UE) 2024/1689 sull’Intelligenza Artificiale impone ai sistemi ad alto rischio requisiti di gestione del rischio lungo l’intero ciclo di vita, qualità e governance dei dati di addestramento, validazione e prova, documentazione tecnica, registrazione degli eventi, trasparenza, sorveglianza umana, accuratezza, robustezza e sicurezza informatica. Tali requisiti costituiscono il fondamento del pilastro della sicurezza nella governance prudenziale del modello.</w:t>
      </w:r>
    </w:p>
  </w:footnote>
  <w:footnote w:id="122">
    <w:p>
      <w:pPr>
        <w:pStyle w:val="FootnoteText"/>
      </w:pPr>
      <w:r>
        <w:rPr>
          <w:rStyle w:val="FootnoteReference"/>
        </w:rPr>
        <w:footnoteRef/>
      </w:r>
      <w:r>
        <w:t xml:space="preserve"> </w:t>
      </w:r>
      <w:r>
        <w:t xml:space="preserve">Il regolamento (UE) 2024/1689 prescrive che i sistemi di Intelligenza Artificiale ad alto rischio siano progettati e sviluppati in modo da poter essere effettivamente sorvegliati da persone fisiche durante il loro impiego, le quali devono poter comprendere le capacità e i limiti del sistema, interpretarne correttamente gli esiti, decidere di non utilizzarlo o di interromperne il funzionamento. La sorveglianza umana è, nel modello, il presidio centrale del principio di subordinazione.</w:t>
      </w:r>
    </w:p>
  </w:footnote>
  <w:footnote w:id="123">
    <w:p>
      <w:pPr>
        <w:pStyle w:val="FootnoteText"/>
      </w:pPr>
      <w:r>
        <w:rPr>
          <w:rStyle w:val="FootnoteReference"/>
        </w:rPr>
        <w:footnoteRef/>
      </w:r>
      <w:r>
        <w:t xml:space="preserve"> </w:t>
      </w:r>
      <w:r>
        <w:t xml:space="preserve">Regolamento (UE) 2016/679 sulla protezione dei dati personali (GDPR): qualifica i dati relativi alla salute come categoria particolare, soggetta a tutela rafforzata, e impone principi di liceità, minimizzazione, esattezza, limitazione della conservazione, integrità e riservatezza, oltre a obblighi di valutazione d’impatto per i trattamenti ad alto rischio. Costituisce il fondamento giuridico del trattamento dei dati sanitari su cui operano gli strumenti della leva digitale, e si raccorda con i profili che la tredicesima parte svilupperà.</w:t>
      </w:r>
    </w:p>
  </w:footnote>
  <w:footnote w:id="124">
    <w:p>
      <w:pPr>
        <w:pStyle w:val="FootnoteText"/>
      </w:pPr>
      <w:r>
        <w:rPr>
          <w:rStyle w:val="FootnoteReference"/>
        </w:rPr>
        <w:footnoteRef/>
      </w:r>
      <w:r>
        <w:t xml:space="preserve"> </w:t>
      </w:r>
      <w:r>
        <w:t xml:space="preserve">Il servizio istituito dalla legge regionale 11/2023 conta oggi circa quarantacinque psicologi, uno per distretto, a fronte di uno stanziamento dell’ordine di un milione e mezzo di euro l’anno: una dotazione pari a circa il cinque per cento di un fabbisogno stimato nell’ordine di ottocento-novecento psicologi per l’intera regione, corrispondente a un rapporto dell’ordine di un professionista ogni quattromilaquattrocento-quattromilanovecento abitanti. La ricostruzione di questa distanza è svolta nella seconda parte.</w:t>
      </w:r>
    </w:p>
  </w:footnote>
  <w:footnote w:id="125">
    <w:p>
      <w:pPr>
        <w:pStyle w:val="FootnoteText"/>
      </w:pPr>
      <w:r>
        <w:rPr>
          <w:rStyle w:val="FootnoteReference"/>
        </w:rPr>
        <w:footnoteRef/>
      </w:r>
      <w:r>
        <w:t xml:space="preserve"> </w:t>
      </w:r>
      <w:r>
        <w:t xml:space="preserve">I tre scenari di copertura — dell’ordine di quattrocentocinquanta, settecento e novecento incarichi — costituiscono i termini di riferimento dell’intera valutazione economica dello studio, coerentemente con la seconda parte. Essi conducono progressivamente il servizio verso la copertura del fabbisogno stimato, e a essi sono riferite, nelle parti settima, ottava, nona e decima, le stime dei costi diretti, dei risparmi diretti, dei benefici indiretti e del saldo consolidato. La modellazione della parte undicesima ne verifica la robustezza mediante analisi di sensibilità.</w:t>
      </w:r>
    </w:p>
  </w:footnote>
  <w:footnote w:id="126">
    <w:p>
      <w:pPr>
        <w:pStyle w:val="FootnoteText"/>
      </w:pPr>
      <w:r>
        <w:rPr>
          <w:rStyle w:val="FootnoteReference"/>
        </w:rPr>
        <w:footnoteRef/>
      </w:r>
      <w:r>
        <w:t xml:space="preserve"> </w:t>
      </w:r>
      <w:r>
        <w:t xml:space="preserve">Chisholm D. et al., «Scaling-up treatment of depression and anxiety: a global return on investment analysis», The Lancet Psychiatry, 3(5), 2016, pp. 415–424. Ancora invariante dell’opera: il ritorno degli investimenti in salute mentale è contenuto tra 2,3 e 3,0 a 1 per i soli benefici economici e tra 3,3 e 5,7 a 1 con l’inclusione dei ritorni in salute.</w:t>
      </w:r>
    </w:p>
  </w:footnote>
  <w:footnote w:id="127">
    <w:p>
      <w:pPr>
        <w:pStyle w:val="FootnoteText"/>
      </w:pPr>
      <w:r>
        <w:rPr>
          <w:rStyle w:val="FootnoteReference"/>
        </w:rPr>
        <w:footnoteRef/>
      </w:r>
      <w:r>
        <w:t xml:space="preserve"> </w:t>
      </w:r>
      <w:r>
        <w:t xml:space="preserve">Unützer J. et al., «Collaborative care management of late-life depression in the primary care setting (IMPACT)», JAMA, 288(22), 2002, pp. 2836–2845. Da cui discende il caveat preservato dall’opera: la riduzione diretta dei costi sanitari non raggiunge la significatività statistica, e il risparmio fiscale resta perciò distinto dal beneficio sociale.</w:t>
      </w:r>
    </w:p>
  </w:footnote>
  <w:footnote w:id="128">
    <w:p>
      <w:pPr>
        <w:pStyle w:val="FootnoteText"/>
      </w:pPr>
      <w:r>
        <w:rPr>
          <w:rStyle w:val="FootnoteReference"/>
        </w:rPr>
        <w:footnoteRef/>
      </w:r>
      <w:r>
        <w:t xml:space="preserve"> </w:t>
      </w:r>
      <w:r>
        <w:t xml:space="preserve">Guyatt G. H. et al., «GRADE: an emerging consensus on rating quality of evidence and strength of recommendations», BMJ, 336(7650), 2008, pp. 924–926. Sistema di graduazione della qualità delle prove applicato con il medesimo rigore alle affermazioni cliniche e a quelle relative all’Intelligenza Artificiale, incluse le competenze formative dedicate al suo uso.</w:t>
      </w:r>
    </w:p>
  </w:footnote>
  <w:footnote w:id="129">
    <w:p>
      <w:pPr>
        <w:pStyle w:val="FootnoteText"/>
      </w:pPr>
      <w:r>
        <w:rPr>
          <w:rStyle w:val="FootnoteReference"/>
        </w:rPr>
        <w:footnoteRef/>
      </w:r>
      <w:r>
        <w:t xml:space="preserve"> </w:t>
      </w:r>
      <w:r>
        <w:t xml:space="preserve">Kirkpatrick D. L., Kirkpatrick J. D., Evaluating Training Programs: The Four Levels, Berrett-Koehler, San Francisco, 2006. Modello classico che articola la valutazione della formazione su quattro livelli — reazione, apprendimento, comportamento, risultati — e fornisce la cornice con cui l’opera misura il rendimento di ciascuna modalità formativa.</w:t>
      </w:r>
    </w:p>
  </w:footnote>
  <w:footnote w:id="130">
    <w:p>
      <w:pPr>
        <w:pStyle w:val="FootnoteText"/>
      </w:pPr>
      <w:r>
        <w:rPr>
          <w:rStyle w:val="FootnoteReference"/>
        </w:rPr>
        <w:footnoteRef/>
      </w:r>
      <w:r>
        <w:t xml:space="preserve"> </w:t>
      </w:r>
      <w:r>
        <w:t xml:space="preserve">Phillips J. J., Return on Investment in Training and Performance Improvement Programs, Routledge, Londra, 2003. Estende il modello di Kirkpatrick con un quinto livello che converte i risultati formativi in rendimento monetario, consentendo il confronto costo-efficacia tra le modalità singole e la loro combinazione.</w:t>
      </w:r>
    </w:p>
  </w:footnote>
  <w:footnote w:id="131">
    <w:p>
      <w:pPr>
        <w:pStyle w:val="FootnoteText"/>
      </w:pPr>
      <w:r>
        <w:rPr>
          <w:rStyle w:val="FootnoteReference"/>
        </w:rPr>
        <w:footnoteRef/>
      </w:r>
      <w:r>
        <w:t xml:space="preserve"> </w:t>
      </w:r>
      <w:r>
        <w:t xml:space="preserve">Organizzazione Mondiale della Sanità, mhGAP Intervention Guide for mental, neurological and substance use disorders in non-specialized health settings, versione 2.0, Ginevra, 2016. Riferimento internazionale per le competenze di intercettazione, valutazione e intervento a bassa intensità nelle cure primarie, qui assunto come base del fabbisogno clinico.</w:t>
      </w:r>
    </w:p>
  </w:footnote>
  <w:footnote w:id="132">
    <w:p>
      <w:pPr>
        <w:pStyle w:val="FootnoteText"/>
      </w:pPr>
      <w:r>
        <w:rPr>
          <w:rStyle w:val="FootnoteReference"/>
        </w:rPr>
        <w:footnoteRef/>
      </w:r>
      <w:r>
        <w:t xml:space="preserve"> </w:t>
      </w:r>
      <w:r>
        <w:t xml:space="preserve">Health Education England, The Topol Review. Preparing the healthcare workforce to deliver the digital future, Londra, 2019. Documento di riferimento sulle competenze digitali del personale sanitario — alfabetizzazione ai dati, alla telemedicina e all’intelligenza artificiale — e sulla loro integrazione nei percorsi formativi.</w:t>
      </w:r>
    </w:p>
  </w:footnote>
  <w:footnote w:id="133">
    <w:p>
      <w:pPr>
        <w:pStyle w:val="FootnoteText"/>
      </w:pPr>
      <w:r>
        <w:rPr>
          <w:rStyle w:val="FootnoteReference"/>
        </w:rPr>
        <w:footnoteRef/>
      </w:r>
      <w:r>
        <w:t xml:space="preserve"> </w:t>
      </w:r>
      <w:r>
        <w:t xml:space="preserve">Legge 8 novembre 2021, n. 163, recante disposizioni in materia di titoli universitari abilitanti, che ha reso la laurea magistrale in Psicologia (classe LM-51) titolo abilitante all’esercizio della professione, con tirocinio interno al corso e prova pratica valutativa contestuale al conseguimento del titolo.</w:t>
      </w:r>
    </w:p>
  </w:footnote>
  <w:footnote w:id="134">
    <w:p>
      <w:pPr>
        <w:pStyle w:val="FootnoteText"/>
      </w:pPr>
      <w:r>
        <w:rPr>
          <w:rStyle w:val="FootnoteReference"/>
        </w:rPr>
        <w:footnoteRef/>
      </w:r>
      <w:r>
        <w:t xml:space="preserve"> </w:t>
      </w:r>
      <w:r>
        <w:t xml:space="preserve">European Federation of Psychologists’ Associations (EFPA), EuroPsy. European Certificate in Psychology. Regulations and Standards, Bruxelles, edizione vigente. Standard europeo che definisce i livelli minimi di competenza e la struttura del percorso accademico e professionale dello psicologo, qui assunto come cornice della formazione universitaria.</w:t>
      </w:r>
    </w:p>
  </w:footnote>
  <w:footnote w:id="135">
    <w:p>
      <w:pPr>
        <w:pStyle w:val="FootnoteText"/>
      </w:pPr>
      <w:r>
        <w:rPr>
          <w:rStyle w:val="FootnoteReference"/>
        </w:rPr>
        <w:footnoteRef/>
      </w:r>
      <w:r>
        <w:t xml:space="preserve"> </w:t>
      </w:r>
      <w:r>
        <w:t xml:space="preserve">Legge 18 febbraio 1989, n. 56, recante l’ordinamento della professione di psicologo, che disciplina, fra l’altro, l’esercizio dell’attività psicoterapeutica subordinandolo a una specifica formazione presso scuole di specializzazione universitarie o scuole di psicoterapia riconosciute; costituisce il riferimento per la modalità della specializzazione post-universitaria.</w:t>
      </w:r>
    </w:p>
  </w:footnote>
  <w:footnote w:id="136">
    <w:p>
      <w:pPr>
        <w:pStyle w:val="FootnoteText"/>
      </w:pPr>
      <w:r>
        <w:rPr>
          <w:rStyle w:val="FootnoteReference"/>
        </w:rPr>
        <w:footnoteRef/>
      </w:r>
      <w:r>
        <w:t xml:space="preserve"> </w:t>
      </w:r>
      <w:r>
        <w:t xml:space="preserve">Programma nazionale per la formazione continua in medicina (ECM), Commissione nazionale per la formazione continua, Agenas; gestione dei crediti tramite il Consorzio Co.Ge.A.P.S. Il sistema impone agli esercenti le professioni sanitarie, psicologi compresi, l’acquisizione di un debito formativo triennale (150 crediti per triennio) presso provider accreditati, ed è il principale canale di aggiornamento continuo delle competenze.</w:t>
      </w:r>
    </w:p>
  </w:footnote>
  <w:footnote w:id="137">
    <w:p>
      <w:pPr>
        <w:pStyle w:val="FootnoteText"/>
      </w:pPr>
      <w:r>
        <w:rPr>
          <w:rStyle w:val="FootnoteReference"/>
        </w:rPr>
        <w:footnoteRef/>
      </w:r>
      <w:r>
        <w:t xml:space="preserve"> </w:t>
      </w:r>
      <w:r>
        <w:t xml:space="preserve">Lombardo M. M., Eichinger R. W., The Career Architect Development Planner, Lominger, Minneapolis, 1996. Origine del modello cosiddetto 70-20-10, secondo cui lo sviluppo delle competenze professionali deriva in misura prevalente dall’esperienza sul posto di lavoro, in misura minore dall’interazione con altri e in misura ridotta dalla formazione d’aula; le proporzioni sono assunte come regolarità indicativa e non come legge universale.</w:t>
      </w:r>
    </w:p>
  </w:footnote>
  <w:footnote w:id="138">
    <w:p>
      <w:pPr>
        <w:pStyle w:val="FootnoteText"/>
      </w:pPr>
      <w:r>
        <w:rPr>
          <w:rStyle w:val="FootnoteReference"/>
        </w:rPr>
        <w:footnoteRef/>
      </w:r>
      <w:r>
        <w:t xml:space="preserve"> </w:t>
      </w:r>
      <w:r>
        <w:t xml:space="preserve">Ivers N. et al., «Audit and feedback: effects on professional practice and healthcare outcomes», Cochrane Database of Systematic Reviews, 6, 2012, CD000259. Revisione sistematica che documenta l’effetto, modesto ma reale, della misurazione sistematica della pratica rispetto a uno standard e della restituzione del risultato al professionista come meccanismo di miglioramento dell’apprendimento sul posto di lavoro.</w:t>
      </w:r>
    </w:p>
  </w:footnote>
  <w:footnote w:id="139">
    <w:p>
      <w:pPr>
        <w:pStyle w:val="FootnoteText"/>
      </w:pPr>
      <w:r>
        <w:rPr>
          <w:rStyle w:val="FootnoteReference"/>
        </w:rPr>
        <w:footnoteRef/>
      </w:r>
      <w:r>
        <w:t xml:space="preserve"> </w:t>
      </w:r>
      <w:r>
        <w:t xml:space="preserve">Wenger E., Communities of Practice: Learning, Meaning, and Identity, Cambridge University Press, Cambridge, 1998. Riferimento teorico delle comunità di pratica come gruppi di professionisti che condividono conoscenza in un dominio determinato e ne fanno il veicolo di un apprendimento situato, qui assunto fra le forme strutturate della formazione lavorativa.</w:t>
      </w:r>
    </w:p>
  </w:footnote>
  <w:footnote w:id="140">
    <w:p>
      <w:pPr>
        <w:pStyle w:val="FootnoteText"/>
      </w:pPr>
      <w:r>
        <w:rPr>
          <w:rStyle w:val="FootnoteReference"/>
        </w:rPr>
        <w:footnoteRef/>
      </w:r>
      <w:r>
        <w:t xml:space="preserve"> </w:t>
      </w:r>
      <w:r>
        <w:t xml:space="preserve">Milne D., Evidence-Based Clinical Supervision: Principles and Practice, BPS Blackwell, Chichester, 2009. Testo di riferimento sulla supervisione clinica come componente dello sviluppo professionale, di cui documenta l’efficacia sul miglioramento delle competenze e sulla qualità della pratica; fonda la trattazione della supervisione fra le forme dell’affiancamento esperto.</w:t>
      </w:r>
    </w:p>
  </w:footnote>
  <w:footnote w:id="141">
    <w:p>
      <w:pPr>
        <w:pStyle w:val="FootnoteText"/>
      </w:pPr>
      <w:r>
        <w:rPr>
          <w:rStyle w:val="FootnoteReference"/>
        </w:rPr>
        <w:footnoteRef/>
      </w:r>
      <w:r>
        <w:t xml:space="preserve"> </w:t>
      </w:r>
      <w:r>
        <w:t xml:space="preserve">Eby L. T. et al., «Does mentoring matter? A multidisciplinary meta-analysis comparing mentored and non-mentored individuals», Journal of Vocational Behavior, 72(2), 2008, pp. 254–267. Meta-analisi che documenta l’associazione tra il mentoring e lo sviluppo delle competenze e degli esiti professionali, qui assunta a sostegno della funzione del mentoring nella modalità dell’affiancamento.</w:t>
      </w:r>
    </w:p>
  </w:footnote>
  <w:footnote w:id="142">
    <w:p>
      <w:pPr>
        <w:pStyle w:val="FootnoteText"/>
      </w:pPr>
      <w:r>
        <w:rPr>
          <w:rStyle w:val="FootnoteReference"/>
        </w:rPr>
        <w:footnoteRef/>
      </w:r>
      <w:r>
        <w:t xml:space="preserve"> </w:t>
      </w:r>
      <w:r>
        <w:t xml:space="preserve">Reeves S. et al., «Interprofessional education: effects on professional practice and healthcare outcomes (update)», Cochrane Database of Systematic Reviews, 3, 2013, CD002213. Revisione che documenta gli effetti della formazione interprofessionale sulla pratica e sugli esiti, qui assunta a fondamento della dimensione interprofessionale del percorso formativo integrato.</w:t>
      </w:r>
    </w:p>
  </w:footnote>
  <w:footnote w:id="143">
    <w:p>
      <w:pPr>
        <w:pStyle w:val="FootnoteText"/>
      </w:pPr>
      <w:r>
        <w:rPr>
          <w:rStyle w:val="FootnoteReference"/>
        </w:rPr>
        <w:footnoteRef/>
      </w:r>
      <w:r>
        <w:t xml:space="preserve"> </w:t>
      </w:r>
      <w:r>
        <w:t xml:space="preserve">Liu Q. et al., «The Effectiveness of Blended Learning in Health Professions: Systematic Review and Meta-Analysis», Journal of Medical Internet Research, 18(1), 2016, e2. Revisione sistematica che documenta l’efficacia dei percorsi formativi integrati, in cui più modalità si compongono, rispetto alle modalità isolate; sostiene la proposizione di superadditività del percorso formativo integrato.</w:t>
      </w:r>
    </w:p>
  </w:footnote>
  <w:footnote w:id="144">
    <w:p>
      <w:pPr>
        <w:pStyle w:val="FootnoteText"/>
      </w:pPr>
      <w:r>
        <w:rPr>
          <w:rStyle w:val="FootnoteReference"/>
        </w:rPr>
        <w:footnoteRef/>
      </w:r>
      <w:r>
        <w:t xml:space="preserve"> </w:t>
      </w:r>
      <w:r>
        <w:t xml:space="preserve">Rogers E. M., Diffusion of Innovations, 5ª ed., Free Press, New York, 2003. Opera di riferimento sulla diffusione delle innovazioni, che descrive l’adozione di una novità come un processo a curva sigmoide articolato in categorie di adottanti; fonda la trattazione delle curve di adozione delle competenze digitali.</w:t>
      </w:r>
    </w:p>
  </w:footnote>
  <w:footnote w:id="145">
    <w:p>
      <w:pPr>
        <w:pStyle w:val="FootnoteText"/>
      </w:pPr>
      <w:r>
        <w:rPr>
          <w:rStyle w:val="FootnoteReference"/>
        </w:rPr>
        <w:footnoteRef/>
      </w:r>
      <w:r>
        <w:t xml:space="preserve"> </w:t>
      </w:r>
      <w:r>
        <w:t xml:space="preserve">Davis F. D., «Perceived usefulness, perceived ease of use, and user acceptance of information technology», MIS Quarterly, 13(3), 1989, pp. 319–340. Origine del modello di accettazione della tecnologia, che individua nell’utilità percepita e nella facilità d’uso percepita i determinanti dell’adozione; sostiene l’analisi dei fattori su cui la formazione agisce per accelerare l’adozione.</w:t>
      </w:r>
    </w:p>
  </w:footnote>
  <w:footnote w:id="146">
    <w:p>
      <w:pPr>
        <w:pStyle w:val="FootnoteText"/>
      </w:pPr>
      <w:r>
        <w:rPr>
          <w:rStyle w:val="FootnoteReference"/>
        </w:rPr>
        <w:footnoteRef/>
      </w:r>
      <w:r>
        <w:t xml:space="preserve"> </w:t>
      </w:r>
      <w:r>
        <w:t xml:space="preserve">Chisholm D., Sweeny K., Sheehan P. et al., «Scaling-up treatment of depression and anxiety: a global return on investment analysis», The Lancet Psychiatry, vol. 3, n. 5, 2016, pp. 415-424. Studio commissionato dall’Organizzazione Mondiale della Sanità; fonte degli intervalli di ritorno invarianti adottati nell’opera (2,3-3,0 a 1 per i soli benefici economici; 3,3-5,7 a 1 con l’inclusione dei ritorni in salute).</w:t>
      </w:r>
    </w:p>
  </w:footnote>
  <w:footnote w:id="147">
    <w:p>
      <w:pPr>
        <w:pStyle w:val="FootnoteText"/>
      </w:pPr>
      <w:r>
        <w:rPr>
          <w:rStyle w:val="FootnoteReference"/>
        </w:rPr>
        <w:footnoteRef/>
      </w:r>
      <w:r>
        <w:t xml:space="preserve"> </w:t>
      </w:r>
      <w:r>
        <w:t xml:space="preserve">Sul caveat dei costi sanitari diretti si veda l’analisi economica di lungo periodo del trial IMPACT, infra nota 13. Il principio adottato è che nessun risparmio sanitario diretto sia presentato come acquisito quando l’intervallo di confidenza al 95 per cento attraversa lo zero.</w:t>
      </w:r>
    </w:p>
  </w:footnote>
  <w:footnote w:id="148">
    <w:p>
      <w:pPr>
        <w:pStyle w:val="FootnoteText"/>
      </w:pPr>
      <w:r>
        <w:rPr>
          <w:rStyle w:val="FootnoteReference"/>
        </w:rPr>
        <w:footnoteRef/>
      </w:r>
      <w:r>
        <w:t xml:space="preserve"> </w:t>
      </w:r>
      <w:r>
        <w:t xml:space="preserve">Guyatt G.H., Oxman A.D., Vist G.E. et al., «GRADE: an emerging consensus on rating quality of evidence and strength of recommendations», BMJ, vol. 336, 2008, pp. 924-926. Dichiarazione di consenso sul sistema di graduazione della certezza dell’evidenza, adottato simmetricamente per l’evidenza clinica e per quella relativa all’Intelligenza Artificiale.</w:t>
      </w:r>
    </w:p>
  </w:footnote>
  <w:footnote w:id="149">
    <w:p>
      <w:pPr>
        <w:pStyle w:val="FootnoteText"/>
      </w:pPr>
      <w:r>
        <w:rPr>
          <w:rStyle w:val="FootnoteReference"/>
        </w:rPr>
        <w:footnoteRef/>
      </w:r>
      <w:r>
        <w:t xml:space="preserve"> </w:t>
      </w:r>
      <w:r>
        <w:t xml:space="preserve">Balshem H., Helfand M., Schünemann H.J. et al., «GRADE guidelines: 3. Rating the quality of evidence», Journal of Clinical Epidemiology, vol. 64, n. 4, 2011, pp. 401-406. Fonte della classificazione in quattro livelli (alta, moderata, bassa, molto bassa) e dei cinque domini di declassamento (rischio di distorsione, incoerenza, indirettezza, imprecisione, distorsione da pubblicazione).</w:t>
      </w:r>
    </w:p>
  </w:footnote>
  <w:footnote w:id="150">
    <w:p>
      <w:pPr>
        <w:pStyle w:val="FootnoteText"/>
      </w:pPr>
      <w:r>
        <w:rPr>
          <w:rStyle w:val="FootnoteReference"/>
        </w:rPr>
        <w:footnoteRef/>
      </w:r>
      <w:r>
        <w:t xml:space="preserve"> </w:t>
      </w:r>
      <w:r>
        <w:t xml:space="preserve">I vincoli invarianti (intervalli di ritorno corretti, caveat IMPACT, separazione tra grandezze fiscali e sociali, regola di non duplicazione, bande prudenziali e falsificabilità) sono enunciati nella Parte I e governano ogni stima economica delle Parti VII-X.</w:t>
      </w:r>
    </w:p>
  </w:footnote>
  <w:footnote w:id="151">
    <w:p>
      <w:pPr>
        <w:pStyle w:val="FootnoteText"/>
      </w:pPr>
      <w:r>
        <w:rPr>
          <w:rStyle w:val="FootnoteReference"/>
        </w:rPr>
        <w:footnoteRef/>
      </w:r>
      <w:r>
        <w:t xml:space="preserve"> </w:t>
      </w:r>
      <w:r>
        <w:t xml:space="preserve">Sul prevalere dei disturbi mentali comuni nel setting delle cure primarie e sul trattamento incompleto nel modello tradizionale di consultazione si vedano i rapporti dell’Organizzazione Mondiale della Sanità sulla salute mentale e l’integrazione nelle cure primarie (World Health Organization e World Organization of Family Doctors, Integrating mental health into primary care: a global perspective, Ginevra, 2008).</w:t>
      </w:r>
    </w:p>
  </w:footnote>
  <w:footnote w:id="152">
    <w:p>
      <w:pPr>
        <w:pStyle w:val="FootnoteText"/>
      </w:pPr>
      <w:r>
        <w:rPr>
          <w:rStyle w:val="FootnoteReference"/>
        </w:rPr>
        <w:footnoteRef/>
      </w:r>
      <w:r>
        <w:t xml:space="preserve"> </w:t>
      </w:r>
      <w:r>
        <w:t xml:space="preserve">Le componenti essenziali della cura collaborativa (gestione del caso, misurazione sistematica degli esiti, supervisione specialistica, intensità crescente) sono ricostruite in Bower P., Gilbody S., Richards D. et al., «Collaborative care for depression in primary care. Making sense of a complex intervention: systematic review and meta-regression», British Journal of Psychiatry, vol. 189, 2006, pp. 484-493.</w:t>
      </w:r>
    </w:p>
  </w:footnote>
  <w:footnote w:id="153">
    <w:p>
      <w:pPr>
        <w:pStyle w:val="FootnoteText"/>
      </w:pPr>
      <w:r>
        <w:rPr>
          <w:rStyle w:val="FootnoteReference"/>
        </w:rPr>
        <w:footnoteRef/>
      </w:r>
      <w:r>
        <w:t xml:space="preserve"> </w:t>
      </w:r>
      <w:r>
        <w:t xml:space="preserve">Wagner E.H., Austin B.T., Von Korff M., «Organizing care for patients with chronic illness», The Milbank Quarterly, vol. 74, n. 4, 1996, pp. 511-544. Formulazione del modello di gestione delle patologie croniche da cui deriva l’applicazione alla salute mentale.</w:t>
      </w:r>
    </w:p>
  </w:footnote>
  <w:footnote w:id="154">
    <w:p>
      <w:pPr>
        <w:pStyle w:val="FootnoteText"/>
      </w:pPr>
      <w:r>
        <w:rPr>
          <w:rStyle w:val="FootnoteReference"/>
        </w:rPr>
        <w:footnoteRef/>
      </w:r>
      <w:r>
        <w:t xml:space="preserve"> </w:t>
      </w:r>
      <w:r>
        <w:t xml:space="preserve">Archer J., Bower P., Gilbody S. et al., «Collaborative care for depression and anxiety problems», Cochrane Database of Systematic Reviews, n. 10, 2012, art. CD006525. Revisione sistematica di riferimento: la cura collaborativa migliora gli esiti di depressione e ansia rispetto alla cura abituale, con effetti persistenti.</w:t>
      </w:r>
    </w:p>
  </w:footnote>
  <w:footnote w:id="155">
    <w:p>
      <w:pPr>
        <w:pStyle w:val="FootnoteText"/>
      </w:pPr>
      <w:r>
        <w:rPr>
          <w:rStyle w:val="FootnoteReference"/>
        </w:rPr>
        <w:footnoteRef/>
      </w:r>
      <w:r>
        <w:t xml:space="preserve"> </w:t>
      </w:r>
      <w:r>
        <w:t xml:space="preserve">Sull’interpretazione di un effetto di ampiezza piccola-moderata su scala di popolazione si veda Gilbody S., Bower P., Fletcher J. et al., «Collaborative care for depression: a cumulative meta-analysis and review of longer-term outcomes», Archives of Internal Medicine, vol. 166, n. 21, 2006, pp. 2314-2321.</w:t>
      </w:r>
    </w:p>
  </w:footnote>
  <w:footnote w:id="156">
    <w:p>
      <w:pPr>
        <w:pStyle w:val="FootnoteText"/>
      </w:pPr>
      <w:r>
        <w:rPr>
          <w:rStyle w:val="FootnoteReference"/>
        </w:rPr>
        <w:footnoteRef/>
      </w:r>
      <w:r>
        <w:t xml:space="preserve"> </w:t>
      </w:r>
      <w:r>
        <w:t xml:space="preserve">L’associazione tra gestione del caso strutturata, supervisione regolare ed effetti più marcati emerge dalla meta-regressione di Bower et al., 2006 (cfr. nota 7), e orienta le condizioni di trasferibilità discusse nella sezione 6.6.</w:t>
      </w:r>
    </w:p>
  </w:footnote>
  <w:footnote w:id="157">
    <w:p>
      <w:pPr>
        <w:pStyle w:val="FootnoteText"/>
      </w:pPr>
      <w:r>
        <w:rPr>
          <w:rStyle w:val="FootnoteReference"/>
        </w:rPr>
        <w:footnoteRef/>
      </w:r>
      <w:r>
        <w:t xml:space="preserve"> </w:t>
      </w:r>
      <w:r>
        <w:t xml:space="preserve">Unützer J., Katon W., Callahan C.M. et al., «Collaborative care management of late-life depression in the primary care setting: a randomized controlled trial», JAMA, vol. 288, n. 22, 2002, pp. 2836-2845. Trial IMPACT: tasso di risposta circa doppio rispetto alla cura abituale, con miglioramento di funzionalità e qualità della vita.</w:t>
      </w:r>
    </w:p>
  </w:footnote>
  <w:footnote w:id="158">
    <w:p>
      <w:pPr>
        <w:pStyle w:val="FootnoteText"/>
      </w:pPr>
      <w:r>
        <w:rPr>
          <w:rStyle w:val="FootnoteReference"/>
        </w:rPr>
        <w:footnoteRef/>
      </w:r>
      <w:r>
        <w:t xml:space="preserve"> </w:t>
      </w:r>
      <w:r>
        <w:t xml:space="preserve">Katon W.J., Schoenbaum M., Fan M.-Y. et al., «Cost-effectiveness of improving primary care treatment of late-life depression», Archives of General Psychiatry, vol. 62, 2005, e successive analisi economiche di lungo periodo del programma IMPACT: la tendenza al risparmio sui costi sanitari complessivi non raggiunge la significatività statistica (l’intervallo di confidenza al 95 per cento attraversa lo zero). Caveat preservato come vincolo invariante dell’opera.</w:t>
      </w:r>
    </w:p>
  </w:footnote>
  <w:footnote w:id="159">
    <w:p>
      <w:pPr>
        <w:pStyle w:val="FootnoteText"/>
      </w:pPr>
      <w:r>
        <w:rPr>
          <w:rStyle w:val="FootnoteReference"/>
        </w:rPr>
        <w:footnoteRef/>
      </w:r>
      <w:r>
        <w:t xml:space="preserve"> </w:t>
      </w:r>
      <w:r>
        <w:t xml:space="preserve">Katon W., Von Korff M., Lin E. et al., «Stepped collaborative care for primary care patients with persistent symptoms of depression», Archives of General Psychiatry, vol. 56, n. 12, 1999, pp. 1109-1115.</w:t>
      </w:r>
    </w:p>
  </w:footnote>
  <w:footnote w:id="160">
    <w:p>
      <w:pPr>
        <w:pStyle w:val="FootnoteText"/>
      </w:pPr>
      <w:r>
        <w:rPr>
          <w:rStyle w:val="FootnoteReference"/>
        </w:rPr>
        <w:footnoteRef/>
      </w:r>
      <w:r>
        <w:t xml:space="preserve"> </w:t>
      </w:r>
      <w:r>
        <w:t xml:space="preserve">van Straten A., Hill J., Richards D.A., Cuijpers P., «Stepped care treatment delivery for depression: a systematic review and meta-analysis», Psychological Medicine, vol. 45, n. 2, 2015, pp. 231-246. Efficacia coerente con la cura collaborativa e impiego più efficiente delle prestazioni intensive; certezza GRADE moderata.</w:t>
      </w:r>
    </w:p>
  </w:footnote>
  <w:footnote w:id="161">
    <w:p>
      <w:pPr>
        <w:pStyle w:val="FootnoteText"/>
      </w:pPr>
      <w:r>
        <w:rPr>
          <w:rStyle w:val="FootnoteReference"/>
        </w:rPr>
        <w:footnoteRef/>
      </w:r>
      <w:r>
        <w:t xml:space="preserve"> </w:t>
      </w:r>
      <w:r>
        <w:t xml:space="preserve">Sulla significatività clinica intesa come numero di pazienti portati al di sopra della soglia di risposta si veda Thota A.B., Sipe T.A., Byard G.J. et al., «Collaborative care to improve the management of depressive disorders: a community guide systematic review and meta-analysis», American Journal of Preventive Medicine, vol. 42, n. 5, 2012, pp. 525-538.</w:t>
      </w:r>
    </w:p>
  </w:footnote>
  <w:footnote w:id="162">
    <w:p>
      <w:pPr>
        <w:pStyle w:val="FootnoteText"/>
      </w:pPr>
      <w:r>
        <w:rPr>
          <w:rStyle w:val="FootnoteReference"/>
        </w:rPr>
        <w:footnoteRef/>
      </w:r>
      <w:r>
        <w:t xml:space="preserve"> </w:t>
      </w:r>
      <w:r>
        <w:t xml:space="preserve">Chisholm D., Sweeny K., Sheehan P. et al., «Scaling-up treatment of depression and anxiety: a global return on investment analysis», The Lancet Psychiatry, vol. 3, n. 5, 2016, pp. 415-424. Intervalli di ritorno validati: 2,3-3,0 a 1 (soli benefici economici); 3,3-5,7 a 1 (con i ritorni in salute).</w:t>
      </w:r>
    </w:p>
  </w:footnote>
  <w:footnote w:id="163">
    <w:p>
      <w:pPr>
        <w:pStyle w:val="FootnoteText"/>
      </w:pPr>
      <w:r>
        <w:rPr>
          <w:rStyle w:val="FootnoteReference"/>
        </w:rPr>
        <w:footnoteRef/>
      </w:r>
      <w:r>
        <w:t xml:space="preserve"> </w:t>
      </w:r>
      <w:r>
        <w:t xml:space="preserve">Unützer J., Katon W.J., Fan M.-Y. et al., «Long-term cost effects of collaborative care for late-life depression» (studio IMPACT), The American Journal of Managed Care, vol. 14, n. 2, 2008, pp. 95-100. Il risparmio sui costi sanitari diretti, isolatamente considerato, non raggiunge la significatività statistica.</w:t>
      </w:r>
    </w:p>
  </w:footnote>
  <w:footnote w:id="164">
    <w:p>
      <w:pPr>
        <w:pStyle w:val="FootnoteText"/>
      </w:pPr>
      <w:r>
        <w:rPr>
          <w:rStyle w:val="FootnoteReference"/>
        </w:rPr>
        <w:footnoteRef/>
      </w:r>
      <w:r>
        <w:t xml:space="preserve"> </w:t>
      </w:r>
      <w:r>
        <w:t xml:space="preserve">HM Treasury, The Green Book. Central Government Guidance on Appraisal and Evaluation, Londra, e Supplementary Guidance sull’optimism bias; per il telaio dei cinque casi, Five Case Model (HM Treasury). Fondamento della correzione prudenziale per l’ottimismo nelle stime.</w:t>
      </w:r>
    </w:p>
  </w:footnote>
  <w:footnote w:id="165">
    <w:p>
      <w:pPr>
        <w:pStyle w:val="FootnoteText"/>
      </w:pPr>
      <w:r>
        <w:rPr>
          <w:rStyle w:val="FootnoteReference"/>
        </w:rPr>
        <w:footnoteRef/>
      </w:r>
      <w:r>
        <w:t xml:space="preserve"> </w:t>
      </w:r>
      <w:r>
        <w:t xml:space="preserve">Regolamento (UE) 2024/1689 del Parlamento europeo e del Consiglio, che stabilisce regole armonizzate sull’intelligenza artificiale. Classificazione per livello di rischio dei sistemi impiegati in ambito sanitario e obblighi connessi; governance prudenziale e supervisione umana.</w:t>
      </w:r>
    </w:p>
  </w:footnote>
  <w:footnote w:id="166">
    <w:p>
      <w:pPr>
        <w:pStyle w:val="FootnoteText"/>
      </w:pPr>
      <w:r>
        <w:rPr>
          <w:rStyle w:val="FootnoteReference"/>
        </w:rPr>
        <w:footnoteRef/>
      </w:r>
      <w:r>
        <w:t xml:space="preserve"> </w:t>
      </w:r>
      <w:r>
        <w:t xml:space="preserve">Husereau D., Drummond M., Augustovski F. et al., «Consolidated Health Economic Evaluation Reporting Standards 2022 (CHEERS 2022)», Value in Health / BMJ, 2022. Standard internazionale di trasparenza e rendicontazione della valutazione economica.</w:t>
      </w:r>
    </w:p>
  </w:footnote>
  <w:footnote w:id="167">
    <w:p>
      <w:pPr>
        <w:pStyle w:val="FootnoteText"/>
      </w:pPr>
      <w:r>
        <w:rPr>
          <w:rStyle w:val="FootnoteReference"/>
        </w:rPr>
        <w:footnoteRef/>
      </w:r>
      <w:r>
        <w:t xml:space="preserve"> </w:t>
      </w:r>
      <w:r>
        <w:t xml:space="preserve">Drummond M.F., Sculpher M.J., Claxton K., Stoddart G.L., Torrance G.W., Methods for the Economic Evaluation of Health Care Programmes, IV ed., Oxford University Press, 2015. Metodo analitico di costruzione dei costi dal basso (micro-costing) e distinzione delle prospettive.</w:t>
      </w:r>
    </w:p>
  </w:footnote>
  <w:footnote w:id="168">
    <w:p>
      <w:pPr>
        <w:pStyle w:val="FootnoteText"/>
      </w:pPr>
      <w:r>
        <w:rPr>
          <w:rStyle w:val="FootnoteReference"/>
        </w:rPr>
        <w:footnoteRef/>
      </w:r>
      <w:r>
        <w:t xml:space="preserve"> </w:t>
      </w:r>
      <w:r>
        <w:t xml:space="preserve">Drummond M.F., Sculpher M.J., Claxton K., Stoddart G.L., Torrance G.W., Methods for the Economic Evaluation of Health Care Programmes, IV ed., Oxford University Press, 2015. Metodo analitico di costruzione dei costi dal basso (micro-costing) e distinzione delle prospettive.</w:t>
      </w:r>
    </w:p>
  </w:footnote>
  <w:footnote w:id="169">
    <w:p>
      <w:pPr>
        <w:pStyle w:val="FootnoteText"/>
      </w:pPr>
      <w:r>
        <w:rPr>
          <w:rStyle w:val="FootnoteReference"/>
        </w:rPr>
        <w:footnoteRef/>
      </w:r>
      <w:r>
        <w:t xml:space="preserve"> </w:t>
      </w:r>
      <w:r>
        <w:t xml:space="preserve">HM Treasury, The Green Book. Central Government Guidance on Appraisal and Evaluation, Londra, e Supplementary Guidance sull’optimism bias; per il telaio dei cinque casi, Five Case Model (HM Treasury). Fondamento della correzione prudenziale per l’ottimismo nelle stime.</w:t>
      </w:r>
    </w:p>
  </w:footnote>
  <w:footnote w:id="170">
    <w:p>
      <w:pPr>
        <w:pStyle w:val="FootnoteText"/>
      </w:pPr>
      <w:r>
        <w:rPr>
          <w:rStyle w:val="FootnoteReference"/>
        </w:rPr>
        <w:footnoteRef/>
      </w:r>
      <w:r>
        <w:t xml:space="preserve"> </w:t>
      </w:r>
      <w:r>
        <w:t xml:space="preserve">Regione Puglia, Legge regionale n. 11 del 2023, recante disposizioni per l’istituzione del Servizio di Psicologia di Base nelle cure primarie del Servizio sanitario regionale. Cornice normativa regionale della riforma.</w:t>
      </w:r>
    </w:p>
  </w:footnote>
  <w:footnote w:id="171">
    <w:p>
      <w:pPr>
        <w:pStyle w:val="FootnoteText"/>
      </w:pPr>
      <w:r>
        <w:rPr>
          <w:rStyle w:val="FootnoteReference"/>
        </w:rPr>
        <w:footnoteRef/>
      </w:r>
      <w:r>
        <w:t xml:space="preserve"> </w:t>
      </w:r>
      <w:r>
        <w:t xml:space="preserve">ISTAT, Popolazione residente e bilancio demografico, Regione Puglia. Dati di riferimento per il dimensionamento del servizio (popolazione residente prossima a 3,9 milioni di abitanti).</w:t>
      </w:r>
    </w:p>
  </w:footnote>
  <w:footnote w:id="172">
    <w:p>
      <w:pPr>
        <w:pStyle w:val="FootnoteText"/>
      </w:pPr>
      <w:r>
        <w:rPr>
          <w:rStyle w:val="FootnoteReference"/>
        </w:rPr>
        <w:footnoteRef/>
      </w:r>
      <w:r>
        <w:t xml:space="preserve"> </w:t>
      </w:r>
      <w:r>
        <w:t xml:space="preserve">Accordo Collettivo Nazionale per la disciplina dei rapporti con i medici di medicina generale (ACN). Riferimento per il raffronto del costo orario e della quota nella valutazione del modello convenzionale.</w:t>
      </w:r>
    </w:p>
  </w:footnote>
  <w:footnote w:id="173">
    <w:p>
      <w:pPr>
        <w:pStyle w:val="FootnoteText"/>
      </w:pPr>
      <w:r>
        <w:rPr>
          <w:rStyle w:val="FootnoteReference"/>
        </w:rPr>
        <w:footnoteRef/>
      </w:r>
      <w:r>
        <w:t xml:space="preserve"> </w:t>
      </w:r>
      <w:r>
        <w:t xml:space="preserve">CCNL del Comparto Sanità e CCNL dell’Area della Sanità (dirigenza). Riferimento per il costo del lavoro del personale del Servizio sanitario nazionale, comprensivo degli oneri riflessi a carico del datore.</w:t>
      </w:r>
    </w:p>
  </w:footnote>
  <w:footnote w:id="174">
    <w:p>
      <w:pPr>
        <w:pStyle w:val="FootnoteText"/>
      </w:pPr>
      <w:r>
        <w:rPr>
          <w:rStyle w:val="FootnoteReference"/>
        </w:rPr>
        <w:footnoteRef/>
      </w:r>
      <w:r>
        <w:t xml:space="preserve"> </w:t>
      </w:r>
      <w:r>
        <w:t xml:space="preserve">Accordo Collettivo Nazionale per la disciplina dei rapporti con i medici di medicina generale (ACN). Riferimento per il raffronto del costo orario e della quota nella valutazione del modello convenzionale.</w:t>
      </w:r>
    </w:p>
  </w:footnote>
  <w:footnote w:id="175">
    <w:p>
      <w:pPr>
        <w:pStyle w:val="FootnoteText"/>
      </w:pPr>
      <w:r>
        <w:rPr>
          <w:rStyle w:val="FootnoteReference"/>
        </w:rPr>
        <w:footnoteRef/>
      </w:r>
      <w:r>
        <w:t xml:space="preserve"> </w:t>
      </w:r>
      <w:r>
        <w:t xml:space="preserve">Per il costo-opportunità del tempo di lavoro: friction cost method e human capital approach. Cfr. Koopmanschap M.A., Rutten F.F. et al., «The friction cost method for measuring indirect costs of disease», Journal of Health Economics, vol. 14, 1995, pp. 171-189, e Drummond et al., op. cit.</w:t>
      </w:r>
    </w:p>
  </w:footnote>
  <w:footnote w:id="176">
    <w:p>
      <w:pPr>
        <w:pStyle w:val="FootnoteText"/>
      </w:pPr>
      <w:r>
        <w:rPr>
          <w:rStyle w:val="FootnoteReference"/>
        </w:rPr>
        <w:footnoteRef/>
      </w:r>
      <w:r>
        <w:t xml:space="preserve"> </w:t>
      </w:r>
      <w:r>
        <w:t xml:space="preserve">Decreto del Ministro della Salute 23 maggio 2022, n. 77, «Regolamento recante la definizione di modelli e standard per lo sviluppo dell’assistenza territoriale nel Servizio sanitario nazionale». Case della Comunità e infermiere di famiglia e di comunità.</w:t>
      </w:r>
    </w:p>
  </w:footnote>
  <w:footnote w:id="177">
    <w:p>
      <w:pPr>
        <w:pStyle w:val="FootnoteText"/>
      </w:pPr>
      <w:r>
        <w:rPr>
          <w:rStyle w:val="FootnoteReference"/>
        </w:rPr>
        <w:footnoteRef/>
      </w:r>
      <w:r>
        <w:t xml:space="preserve"> </w:t>
      </w:r>
      <w:r>
        <w:t xml:space="preserve">Archer J., Bower P., Gilbody S. et al., «Collaborative care for depression and anxiety problems», Cochrane Database of Systematic Reviews, 2012, Issue 10, art. CD006525. Evidenza robusta sulla funzione di care manager nel modello di assistenza collaborativa.</w:t>
      </w:r>
    </w:p>
  </w:footnote>
  <w:footnote w:id="178">
    <w:p>
      <w:pPr>
        <w:pStyle w:val="FootnoteText"/>
      </w:pPr>
      <w:r>
        <w:rPr>
          <w:rStyle w:val="FootnoteReference"/>
        </w:rPr>
        <w:footnoteRef/>
      </w:r>
      <w:r>
        <w:t xml:space="preserve"> </w:t>
      </w:r>
      <w:r>
        <w:t xml:space="preserve">CCNL del Comparto Sanità e CCNL dell’Area della Sanità (dirigenza). Riferimento per il costo del lavoro del personale del Servizio sanitario nazionale, comprensivo degli oneri riflessi a carico del datore.</w:t>
      </w:r>
    </w:p>
  </w:footnote>
  <w:footnote w:id="179">
    <w:p>
      <w:pPr>
        <w:pStyle w:val="FootnoteText"/>
      </w:pPr>
      <w:r>
        <w:rPr>
          <w:rStyle w:val="FootnoteReference"/>
        </w:rPr>
        <w:footnoteRef/>
      </w:r>
      <w:r>
        <w:t xml:space="preserve"> </w:t>
      </w:r>
      <w:r>
        <w:t xml:space="preserve">Decreto del Ministro della Salute 23 maggio 2022, n. 77, «Regolamento recante la definizione di modelli e standard per lo sviluppo dell’assistenza territoriale nel Servizio sanitario nazionale». Case della Comunità e infermiere di famiglia e di comunità.</w:t>
      </w:r>
    </w:p>
  </w:footnote>
  <w:footnote w:id="180">
    <w:p>
      <w:pPr>
        <w:pStyle w:val="FootnoteText"/>
      </w:pPr>
      <w:r>
        <w:rPr>
          <w:rStyle w:val="FootnoteReference"/>
        </w:rPr>
        <w:footnoteRef/>
      </w:r>
      <w:r>
        <w:t xml:space="preserve"> </w:t>
      </w:r>
      <w:r>
        <w:t xml:space="preserve">Piano Nazionale di Ripresa e Resilienza, Missione 6 «Salute», Componente 1 — reti di prossimità, strutture e telemedicina per l’assistenza sanitaria territoriale. Finanziamento delle Case della Comunità e dell’infrastruttura territoriale entro cui il servizio di psicologia di base opera.</w:t>
      </w:r>
    </w:p>
  </w:footnote>
  <w:footnote w:id="181">
    <w:p>
      <w:pPr>
        <w:pStyle w:val="FootnoteText"/>
      </w:pPr>
      <w:r>
        <w:rPr>
          <w:rStyle w:val="FootnoteReference"/>
        </w:rPr>
        <w:footnoteRef/>
      </w:r>
      <w:r>
        <w:t xml:space="preserve"> </w:t>
      </w:r>
      <w:r>
        <w:t xml:space="preserve">Decreto del Ministro della Salute 23 maggio 2022, n. 77, «Regolamento recante la definizione di modelli e standard per lo sviluppo dell’assistenza territoriale nel Servizio sanitario nazionale». Case della Comunità e infermiere di famiglia e di comunità.</w:t>
      </w:r>
    </w:p>
  </w:footnote>
  <w:footnote w:id="182">
    <w:p>
      <w:pPr>
        <w:pStyle w:val="FootnoteText"/>
      </w:pPr>
      <w:r>
        <w:rPr>
          <w:rStyle w:val="FootnoteReference"/>
        </w:rPr>
        <w:footnoteRef/>
      </w:r>
      <w:r>
        <w:t xml:space="preserve"> </w:t>
      </w:r>
      <w:r>
        <w:t xml:space="preserve">Piano Nazionale di Ripresa e Resilienza, Missione 6 «Salute», Componente 1 — reti di prossimità, strutture e telemedicina per l’assistenza sanitaria territoriale. Finanziamento delle Case della Comunità e dell’infrastruttura territoriale entro cui il servizio di psicologia di base opera.</w:t>
      </w:r>
    </w:p>
  </w:footnote>
  <w:footnote w:id="183">
    <w:p>
      <w:pPr>
        <w:pStyle w:val="FootnoteText"/>
      </w:pPr>
      <w:r>
        <w:rPr>
          <w:rStyle w:val="FootnoteReference"/>
        </w:rPr>
        <w:footnoteRef/>
      </w:r>
      <w:r>
        <w:t xml:space="preserve"> </w:t>
      </w:r>
      <w:r>
        <w:t xml:space="preserve">NICE, Evidence Standards Framework for Digital Health Technologies, National Institute for Health and Care Excellence, Londra. Quadro internazionale di graduazione dell’evidenza per le tecnologie sanitarie digitali, applicato alla telepsicologia e agli strumenti computazionali e all’efficientamento gestionale.</w:t>
      </w:r>
    </w:p>
  </w:footnote>
  <w:footnote w:id="184">
    <w:p>
      <w:pPr>
        <w:pStyle w:val="FootnoteText"/>
      </w:pPr>
      <w:r>
        <w:rPr>
          <w:rStyle w:val="FootnoteReference"/>
        </w:rPr>
        <w:footnoteRef/>
      </w:r>
      <w:r>
        <w:t xml:space="preserve"> </w:t>
      </w:r>
      <w:r>
        <w:t xml:space="preserve">Andersson G., Cuijpers P., Carlbring P., Riper H., Hedman E., «Guided Internet-based vs. face-to-face cognitive behavior therapy for psychiatric and somatic disorders: a systematic review and meta-analysis», World Psychiatry, vol. 13, n. 3, 2014, pp. 288-295. Efficacia comparabile della terapia cognitivo-comportamentale erogata via internet per ansia e depressione di intensità lieve e moderata.</w:t>
      </w:r>
    </w:p>
  </w:footnote>
  <w:footnote w:id="185">
    <w:p>
      <w:pPr>
        <w:pStyle w:val="FootnoteText"/>
      </w:pPr>
      <w:r>
        <w:rPr>
          <w:rStyle w:val="FootnoteReference"/>
        </w:rPr>
        <w:footnoteRef/>
      </w:r>
      <w:r>
        <w:t xml:space="preserve"> </w:t>
      </w:r>
      <w:r>
        <w:t xml:space="preserve">Regolamento (UE) 2024/1689 del Parlamento europeo e del Consiglio, che stabilisce regole armonizzate sull’intelligenza artificiale. Classificazione per livello di rischio dei sistemi impiegati in ambito sanitario e obblighi connessi; governance prudenziale e supervisione umana.</w:t>
      </w:r>
    </w:p>
  </w:footnote>
  <w:footnote w:id="186">
    <w:p>
      <w:pPr>
        <w:pStyle w:val="FootnoteText"/>
      </w:pPr>
      <w:r>
        <w:rPr>
          <w:rStyle w:val="FootnoteReference"/>
        </w:rPr>
        <w:footnoteRef/>
      </w:r>
      <w:r>
        <w:t xml:space="preserve"> </w:t>
      </w:r>
      <w:r>
        <w:t xml:space="preserve">NICE, Evidence Standards Framework for Digital Health Technologies, National Institute for Health and Care Excellence, Londra. Quadro internazionale di graduazione dell’evidenza per le tecnologie sanitarie digitali, applicato alla telepsicologia e agli strumenti computazionali e all’efficientamento gestionale.</w:t>
      </w:r>
    </w:p>
  </w:footnote>
  <w:footnote w:id="187">
    <w:p>
      <w:pPr>
        <w:pStyle w:val="FootnoteText"/>
      </w:pPr>
      <w:r>
        <w:rPr>
          <w:rStyle w:val="FootnoteReference"/>
        </w:rPr>
        <w:footnoteRef/>
      </w:r>
      <w:r>
        <w:t xml:space="preserve"> </w:t>
      </w:r>
      <w:r>
        <w:t xml:space="preserve">Regolamento (UE) 2024/1689 del Parlamento europeo e del Consiglio, che stabilisce regole armonizzate sull’intelligenza artificiale. Classificazione per livello di rischio dei sistemi impiegati in ambito sanitario e obblighi connessi; governance prudenziale e supervisione umana.</w:t>
      </w:r>
    </w:p>
  </w:footnote>
  <w:footnote w:id="188">
    <w:p>
      <w:pPr>
        <w:pStyle w:val="FootnoteText"/>
      </w:pPr>
      <w:r>
        <w:rPr>
          <w:rStyle w:val="FootnoteReference"/>
        </w:rPr>
        <w:footnoteRef/>
      </w:r>
      <w:r>
        <w:t xml:space="preserve"> </w:t>
      </w:r>
      <w:r>
        <w:t xml:space="preserve">Regolamento (UE) 2024/1689 del Parlamento europeo e del Consiglio, che stabilisce regole armonizzate sull’intelligenza artificiale. Classificazione per livello di rischio dei sistemi impiegati in ambito sanitario e obblighi connessi; governance prudenziale e supervisione umana.</w:t>
      </w:r>
    </w:p>
  </w:footnote>
  <w:footnote w:id="189">
    <w:p>
      <w:pPr>
        <w:pStyle w:val="FootnoteText"/>
      </w:pPr>
      <w:r>
        <w:rPr>
          <w:rStyle w:val="FootnoteReference"/>
        </w:rPr>
        <w:footnoteRef/>
      </w:r>
      <w:r>
        <w:t xml:space="preserve"> </w:t>
      </w:r>
      <w:r>
        <w:t xml:space="preserve">Regolamento (UE) 2016/679 (Regolamento generale sulla protezione dei dati). Valutazione d’impatto sulla protezione dei dati per i trattamenti ad alto rischio, ivi compresi i sistemi predittivi e conversazionali impiegati nel servizio.</w:t>
      </w:r>
    </w:p>
  </w:footnote>
  <w:footnote w:id="190">
    <w:p>
      <w:pPr>
        <w:pStyle w:val="FootnoteText"/>
      </w:pPr>
      <w:r>
        <w:rPr>
          <w:rStyle w:val="FootnoteReference"/>
        </w:rPr>
        <w:footnoteRef/>
      </w:r>
      <w:r>
        <w:t xml:space="preserve"> </w:t>
      </w:r>
      <w:r>
        <w:t xml:space="preserve">Regolamento (UE) 2017/745 (dispositivi medici, MDR) e Regolamento (UE) 2017/746 (dispositivi medico-diagnostici in vitro, IVDR). Qualificazione e valutazione di conformità di taluni strumenti digitali impiegati a fini clinici.</w:t>
      </w:r>
    </w:p>
  </w:footnote>
  <w:footnote w:id="191">
    <w:p>
      <w:pPr>
        <w:pStyle w:val="FootnoteText"/>
      </w:pPr>
      <w:r>
        <w:rPr>
          <w:rStyle w:val="FootnoteReference"/>
        </w:rPr>
        <w:footnoteRef/>
      </w:r>
      <w:r>
        <w:t xml:space="preserve"> </w:t>
      </w:r>
      <w:r>
        <w:t xml:space="preserve">NICE, Evidence Standards Framework for Digital Health Technologies, National Institute for Health and Care Excellence, Londra. Quadro internazionale di graduazione dell’evidenza per le tecnologie sanitarie digitali, applicato alla telepsicologia e agli strumenti computazionali e all’efficientamento gestionale.</w:t>
      </w:r>
    </w:p>
  </w:footnote>
  <w:footnote w:id="192">
    <w:p>
      <w:pPr>
        <w:pStyle w:val="FootnoteText"/>
      </w:pPr>
      <w:r>
        <w:rPr>
          <w:rStyle w:val="FootnoteReference"/>
        </w:rPr>
        <w:footnoteRef/>
      </w:r>
      <w:r>
        <w:t xml:space="preserve"> </w:t>
      </w:r>
      <w:r>
        <w:t xml:space="preserve">Kirkpatrick D.L., Kirkpatrick J.D., Evaluating Training Programs: The Four Levels, III ed., Berrett-Koehler Publishers, San Francisco, 2006. Modello a quattro livelli — reazione, apprendimento, comportamento, risultati — per la valutazione dell’efficacia della formazione.</w:t>
      </w:r>
    </w:p>
  </w:footnote>
  <w:footnote w:id="193">
    <w:p>
      <w:pPr>
        <w:pStyle w:val="FootnoteText"/>
      </w:pPr>
      <w:r>
        <w:rPr>
          <w:rStyle w:val="FootnoteReference"/>
        </w:rPr>
        <w:footnoteRef/>
      </w:r>
      <w:r>
        <w:t xml:space="preserve"> </w:t>
      </w:r>
      <w:r>
        <w:t xml:space="preserve">Phillips J.J., Return on Investment in Training and Performance Improvement Programs, II ed., Butterworth-Heinemann, 2003. Estensione del modello di Kirkpatrick con il quinto livello, il ritorno sull’investimento formativo (ROI).</w:t>
      </w:r>
    </w:p>
  </w:footnote>
  <w:footnote w:id="194">
    <w:p>
      <w:pPr>
        <w:pStyle w:val="FootnoteText"/>
      </w:pPr>
      <w:r>
        <w:rPr>
          <w:rStyle w:val="FootnoteReference"/>
        </w:rPr>
        <w:footnoteRef/>
      </w:r>
      <w:r>
        <w:t xml:space="preserve"> </w:t>
      </w:r>
      <w:r>
        <w:t xml:space="preserve">Regolamento (UE) 2024/1689 del Parlamento europeo e del Consiglio, che stabilisce regole armonizzate sull’intelligenza artificiale. Classificazione per livello di rischio dei sistemi impiegati in ambito sanitario e obblighi connessi; governance prudenziale e supervisione umana.</w:t>
      </w:r>
    </w:p>
  </w:footnote>
  <w:footnote w:id="195">
    <w:p>
      <w:pPr>
        <w:pStyle w:val="FootnoteText"/>
      </w:pPr>
      <w:r>
        <w:rPr>
          <w:rStyle w:val="FootnoteReference"/>
        </w:rPr>
        <w:footnoteRef/>
      </w:r>
      <w:r>
        <w:t xml:space="preserve"> </w:t>
      </w:r>
      <w:r>
        <w:t xml:space="preserve">NICE, Evidence Standards Framework for Digital Health Technologies, National Institute for Health and Care Excellence, Londra. Quadro internazionale di graduazione dell’evidenza per le tecnologie sanitarie digitali, applicato alla telepsicologia e agli strumenti computazionali e all’efficientamento gestionale.</w:t>
      </w:r>
    </w:p>
  </w:footnote>
  <w:footnote w:id="196">
    <w:p>
      <w:pPr>
        <w:pStyle w:val="FootnoteText"/>
      </w:pPr>
      <w:r>
        <w:rPr>
          <w:rStyle w:val="FootnoteReference"/>
        </w:rPr>
        <w:footnoteRef/>
      </w:r>
      <w:r>
        <w:t xml:space="preserve"> </w:t>
      </w:r>
      <w:r>
        <w:t xml:space="preserve">Programma nazionale di Educazione Continua in Medicina (ECM); Commissione Nazionale per la Formazione Continua e AGENAS. Sistema dei crediti formativi per l’aggiornamento obbligatorio del personale sanitario.</w:t>
      </w:r>
    </w:p>
  </w:footnote>
  <w:footnote w:id="197">
    <w:p>
      <w:pPr>
        <w:pStyle w:val="FootnoteText"/>
      </w:pPr>
      <w:r>
        <w:rPr>
          <w:rStyle w:val="FootnoteReference"/>
        </w:rPr>
        <w:footnoteRef/>
      </w:r>
      <w:r>
        <w:t xml:space="preserve"> </w:t>
      </w:r>
      <w:r>
        <w:t xml:space="preserve">Kirkpatrick D.L., Kirkpatrick J.D., Evaluating Training Programs: The Four Levels, III ed., Berrett-Koehler Publishers, San Francisco, 2006. Modello a quattro livelli — reazione, apprendimento, comportamento, risultati — per la valutazione dell’efficacia della formazione.</w:t>
      </w:r>
    </w:p>
  </w:footnote>
  <w:footnote w:id="198">
    <w:p>
      <w:pPr>
        <w:pStyle w:val="FootnoteText"/>
      </w:pPr>
      <w:r>
        <w:rPr>
          <w:rStyle w:val="FootnoteReference"/>
        </w:rPr>
        <w:footnoteRef/>
      </w:r>
      <w:r>
        <w:t xml:space="preserve"> </w:t>
      </w:r>
      <w:r>
        <w:t xml:space="preserve">Phillips J.J., Return on Investment in Training and Performance Improvement Programs, II ed., Butterworth-Heinemann, 2003. Estensione del modello di Kirkpatrick con il quinto livello, il ritorno sull’investimento formativo (ROI).</w:t>
      </w:r>
    </w:p>
  </w:footnote>
  <w:footnote w:id="199">
    <w:p>
      <w:pPr>
        <w:pStyle w:val="FootnoteText"/>
      </w:pPr>
      <w:r>
        <w:rPr>
          <w:rStyle w:val="FootnoteReference"/>
        </w:rPr>
        <w:footnoteRef/>
      </w:r>
      <w:r>
        <w:t xml:space="preserve"> </w:t>
      </w:r>
      <w:r>
        <w:t xml:space="preserve">Rogers E.M., Diffusion of Innovations, V ed., Free Press, New York, 2003. Teoria della diffusione delle innovazioni e curve di adozione tecnologica; il ruolo della competenza degli adottanti nella pendenza della curva.</w:t>
      </w:r>
    </w:p>
  </w:footnote>
  <w:footnote w:id="200">
    <w:p>
      <w:pPr>
        <w:pStyle w:val="FootnoteText"/>
      </w:pPr>
      <w:r>
        <w:rPr>
          <w:rStyle w:val="FootnoteReference"/>
        </w:rPr>
        <w:footnoteRef/>
      </w:r>
      <w:r>
        <w:t xml:space="preserve"> </w:t>
      </w:r>
      <w:r>
        <w:t xml:space="preserve">Sullivan S.D., Mauskopf J.A., Augustovski F. et al., «Budget impact analysis—principles of good practice: report of the ISPOR 2012 Budget Impact Analysis Good Practice II Task Force», Value in Health, vol. 17, n. 1, 2014, pp. 5-14. Buone pratiche per l’analisi di impatto di bilancio, richiamata per il rinvio alla valutazione economica integrata.</w:t>
      </w:r>
    </w:p>
  </w:footnote>
  <w:footnote w:id="201">
    <w:p>
      <w:pPr>
        <w:pStyle w:val="FootnoteText"/>
      </w:pPr>
      <w:r>
        <w:rPr>
          <w:rStyle w:val="FootnoteReference"/>
        </w:rPr>
        <w:footnoteRef/>
      </w:r>
      <w:r>
        <w:t xml:space="preserve"> </w:t>
      </w:r>
      <w:r>
        <w:t xml:space="preserve">Unützer J., Katon W., Fan M.Y. et al., «Long-term cost effects of collaborative care for late-life depression», The American Journal of Managed Care, vol. 14, n. 2, 2008, pp. 95-100. Lo studio, condotto sull’orizzonte quadriennale del trial IMPACT, documenta minori costi sanitari totali nel gruppo trattato, ma la differenza non raggiunge la significatività statistica: l’intervallo di confidenza al 95% comprende lo zero. È il caveat invariante che impone, per i risparmi diretti, le bande prudenziali in luogo dei valori puntuali.</w:t>
      </w:r>
    </w:p>
  </w:footnote>
  <w:footnote w:id="202">
    <w:p>
      <w:pPr>
        <w:pStyle w:val="FootnoteText"/>
      </w:pPr>
      <w:r>
        <w:rPr>
          <w:rStyle w:val="FootnoteReference"/>
        </w:rPr>
        <w:footnoteRef/>
      </w:r>
      <w:r>
        <w:t xml:space="preserve"> </w:t>
      </w:r>
      <w:r>
        <w:t xml:space="preserve">La corrispondenza tra i quattro canali del risparmio diretto e le voci della presente parte riprende e articola, con maggiore granularità, la struttura per canali della valutazione economica del telaio integrato (Parte E, sezione E.4), nella quale i risparmi diretti per il Servizio sanitario regionale erano ricostruiti per canale e aggregati negli ordini di grandezza di 20, 34 e 50 milioni di euro l’anno secondo lo scenario.</w:t>
      </w:r>
    </w:p>
  </w:footnote>
  <w:footnote w:id="203">
    <w:p>
      <w:pPr>
        <w:pStyle w:val="FootnoteText"/>
      </w:pPr>
      <w:r>
        <w:rPr>
          <w:rStyle w:val="FootnoteReference"/>
        </w:rPr>
        <w:footnoteRef/>
      </w:r>
      <w:r>
        <w:t xml:space="preserve"> </w:t>
      </w:r>
      <w:r>
        <w:t xml:space="preserve">Chisholm D., Sweeny K., Sheehan P. et al., «Scaling-up treatment of depression and anxiety: a global return on investment analysis», The Lancet Psychiatry, vol. 3, n. 5, 2016, pp. 415-424. Lo studio fissa gli intervalli del ritorno sull’investimento in salute mentale: da 2,3 a 3,0 a 1 per i soli benefici economici e da 3,3 a 5,7 a 1 con l’inclusione dei ritorni in salute. Sono gli unici intervalli utilizzati nello studio; ogni valore esterno a tale fascia è escluso.</w:t>
      </w:r>
    </w:p>
  </w:footnote>
  <w:footnote w:id="204">
    <w:p>
      <w:pPr>
        <w:pStyle w:val="FootnoteText"/>
      </w:pPr>
      <w:r>
        <w:rPr>
          <w:rStyle w:val="FootnoteReference"/>
        </w:rPr>
        <w:footnoteRef/>
      </w:r>
      <w:r>
        <w:t xml:space="preserve"> </w:t>
      </w:r>
      <w:r>
        <w:t xml:space="preserve">I dati di consumo e di spesa farmaceutica regionale sono ricostruiti, in questa fase, sulle fonti pubbliche nazionali e regionali — in particolare i rapporti dell’Agenzia Italiana del Farmaco sull’uso dei farmaci in Italia (Osservatorio Nazionale sull’Impiego dei Medicinali, OsMed) — e saranno sostituiti dai dati certificati regionali non appena acquisiti. Il valore di circa 1.081,9 dosi giornaliere definite ogni mille abitanti e la spesa dell’ordine del 2,3 per cento del prodotto regionale collocano la Puglia tra le regioni a più elevato consumo complessivo. Il dato è coerente con la ricostruzione del contesto svolta nella seconda parte (sezione 2.3).</w:t>
      </w:r>
    </w:p>
  </w:footnote>
  <w:footnote w:id="205">
    <w:p>
      <w:pPr>
        <w:pStyle w:val="FootnoteText"/>
      </w:pPr>
      <w:r>
        <w:rPr>
          <w:rStyle w:val="FootnoteReference"/>
        </w:rPr>
        <w:footnoteRef/>
      </w:r>
      <w:r>
        <w:t xml:space="preserve"> </w:t>
      </w:r>
      <w:r>
        <w:t xml:space="preserve">La ridotta intercettazione del disagio psichico, misurata dal basso consumo di antidepressivi rispetto alla prevalenza stimata dei disturbi depressivi e ansiosi, è il segnale, per difetto, di una sotto-cura del disagio comune; essa coesiste con l’elevato consumo complessivo, configurando il paradosso farmaceutico descritto nel testo. Cfr. la ricostruzione epidemiologica e di contesto della seconda parte (sezioni 2.1 e 2.3).</w:t>
      </w:r>
    </w:p>
  </w:footnote>
  <w:footnote w:id="206">
    <w:p>
      <w:pPr>
        <w:pStyle w:val="FootnoteText"/>
      </w:pPr>
      <w:r>
        <w:rPr>
          <w:rStyle w:val="FootnoteReference"/>
        </w:rPr>
        <w:footnoteRef/>
      </w:r>
      <w:r>
        <w:t xml:space="preserve"> </w:t>
      </w:r>
      <w:r>
        <w:t xml:space="preserve">L’uso cronico inappropriato delle benzodiazepine e dei farmaci affini, protratto oltre i termini raccomandati, è documentato dalla letteratura sull’appropriatezza prescrittiva, in particolare nella popolazione anziana, per il rischio di dipendenza, di compromissione cognitiva e di cadute. Le linee guida ne raccomandano l’impiego per periodi brevi e la riduzione graduale nei trattamenti cronici. Cfr., per il quadro internazionale, le raccomandazioni sulla deprescrizione delle benzodiazepine negli anziani (linee guida di deprescrizione, 2018) e gli indicatori di appropriatezza prescrittiva impiegati a livello nazionale.</w:t>
      </w:r>
    </w:p>
  </w:footnote>
  <w:footnote w:id="207">
    <w:p>
      <w:pPr>
        <w:pStyle w:val="FootnoteText"/>
      </w:pPr>
      <w:r>
        <w:rPr>
          <w:rStyle w:val="FootnoteReference"/>
        </w:rPr>
        <w:footnoteRef/>
      </w:r>
      <w:r>
        <w:t xml:space="preserve"> </w:t>
      </w:r>
      <w:r>
        <w:t xml:space="preserve">La letteratura sulla deprescrizione mostra che la disponibilità di un’alternativa non farmacologica accessibile, unita al supporto del prescrittore nella riduzione graduale, consente di interrompere o di non avviare una quota significativa dei trattamenti cronici con benzodiazepine. L’effetto opera tanto sullo stock dei trattamenti in corso quanto sul flusso dei nuovi avvii, secondo i due tempi descritti nel testo.</w:t>
      </w:r>
    </w:p>
  </w:footnote>
  <w:footnote w:id="208">
    <w:p>
      <w:pPr>
        <w:pStyle w:val="FootnoteText"/>
      </w:pPr>
      <w:r>
        <w:rPr>
          <w:rStyle w:val="FootnoteReference"/>
        </w:rPr>
        <w:footnoteRef/>
      </w:r>
      <w:r>
        <w:t xml:space="preserve"> </w:t>
      </w:r>
      <w:r>
        <w:t xml:space="preserve">National Institute for Health and Care Excellence (NICE), Depression in adults: treatment and management (NG222), 2022. Le linee guida raccomandano, per la depressione lieve e sotto-soglia, gli interventi psicologici a bassa intensità e l’osservazione vigile prima del ricorso al trattamento farmacologico, e disciplinano la durata appropriata delle terapie antidepressive. La disponibilità dell’alternativa psicologica riduce le prescrizioni avviate per difetto di indicazione e migliora la gestione della durata.</w:t>
      </w:r>
    </w:p>
  </w:footnote>
  <w:footnote w:id="209">
    <w:p>
      <w:pPr>
        <w:pStyle w:val="FootnoteText"/>
      </w:pPr>
      <w:r>
        <w:rPr>
          <w:rStyle w:val="FootnoteReference"/>
        </w:rPr>
        <w:footnoteRef/>
      </w:r>
      <w:r>
        <w:t xml:space="preserve"> </w:t>
      </w:r>
      <w:r>
        <w:t xml:space="preserve">I disturbi somatici funzionali — sintomi fisici privi di causa organica accertata, in misura rilevante riconducibili al disagio psichico — generano un consumo elevato di prestazioni e di farmaci sintomatici. Il riconoscimento della loro origine, attraverso l’intercettazione psicologica, riduce la prescrizione sintomatica ripetuta. È il margine della sostituzione diagnostica richiamato nel testo. Cfr. la letteratura sull’iper-utilizzo associato ai sintomi somatici funzionali, richiamata anche nella sesta parte.</w:t>
      </w:r>
    </w:p>
  </w:footnote>
  <w:footnote w:id="210">
    <w:p>
      <w:pPr>
        <w:pStyle w:val="FootnoteText"/>
      </w:pPr>
      <w:r>
        <w:rPr>
          <w:rStyle w:val="FootnoteReference"/>
        </w:rPr>
        <w:footnoteRef/>
      </w:r>
      <w:r>
        <w:t xml:space="preserve"> </w:t>
      </w:r>
      <w:r>
        <w:t xml:space="preserve">Sul caveat economico relativo ai costi sanitari diretti, e segnatamente farmaceutici, si veda nuovamente Unützer J. et al., 2008, cit. La tendenza al risparmio documentata dalla letteratura sull’assistenza collaborativa non raggiunge, sui costi diretti, la significatività statistica; ciò vale in particolare per il quarto anello della catena causale descritta nel testo, quello della traduzione del minore consumo in minore spesa a carico del bilancio.</w:t>
      </w:r>
    </w:p>
  </w:footnote>
  <w:footnote w:id="211">
    <w:p>
      <w:pPr>
        <w:pStyle w:val="FootnoteText"/>
      </w:pPr>
      <w:r>
        <w:rPr>
          <w:rStyle w:val="FootnoteReference"/>
        </w:rPr>
        <w:footnoteRef/>
      </w:r>
      <w:r>
        <w:t xml:space="preserve"> </w:t>
      </w:r>
      <w:r>
        <w:t xml:space="preserve">La graduazione qui adottata applica i criteri GRADE in forma simmetrica all’evidenza clinica e a quella economica: evidenza da moderata ad alta per l’anello clinico, da moderata a bassa per l’anello prescrittivo, bassa per l’anello economico, in coerenza con la rappresentazione della graduazione svolta nella sesta parte. La banda del risparmio riflette la qualità dell’anello più debole.</w:t>
      </w:r>
    </w:p>
  </w:footnote>
  <w:footnote w:id="212">
    <w:p>
      <w:pPr>
        <w:pStyle w:val="FootnoteText"/>
      </w:pPr>
      <w:r>
        <w:rPr>
          <w:rStyle w:val="FootnoteReference"/>
        </w:rPr>
        <w:footnoteRef/>
      </w:r>
      <w:r>
        <w:t xml:space="preserve"> </w:t>
      </w:r>
      <w:r>
        <w:t xml:space="preserve">La separazione tra il risparmio fiscale diretto, qui contato, e i benefici sociali della minore medicalizzazione del disagio, contati nella nona parte, è imposta dalla regola di non duplicazione enunciata nella prima parte e applicata senza eccezioni nell’intero studio. I medesimi farmaci non prescritti generano un risparmio fiscale e, distintamente, un beneficio sociale; le due grandezze non sono mai sommate.</w:t>
      </w:r>
    </w:p>
  </w:footnote>
  <w:footnote w:id="213">
    <w:p>
      <w:pPr>
        <w:pStyle w:val="FootnoteText"/>
      </w:pPr>
      <w:r>
        <w:rPr>
          <w:rStyle w:val="FootnoteReference"/>
        </w:rPr>
        <w:footnoteRef/>
      </w:r>
      <w:r>
        <w:t xml:space="preserve"> </w:t>
      </w:r>
      <w:r>
        <w:t xml:space="preserve">I dati sugli accessi al sistema dell’emergenza-urgenza pugliese sono ricostruiti, in questa fase, sulle fonti pubbliche regionali e nazionali sul flusso del pronto soccorso, e saranno sostituiti dai dati certificati regionali non appena acquisiti. Il volume dell’ordine di poco più di un milione e centomila accessi annui e la distribuzione tra i presìdi sede di pronto soccorso e di dipartimento di emergenza sono coerenti con la ricostruzione del sistema dell’emergenza svolta nella seconda parte (sezione 2.3).</w:t>
      </w:r>
    </w:p>
  </w:footnote>
  <w:footnote w:id="214">
    <w:p>
      <w:pPr>
        <w:pStyle w:val="FootnoteText"/>
      </w:pPr>
      <w:r>
        <w:rPr>
          <w:rStyle w:val="FootnoteReference"/>
        </w:rPr>
        <w:footnoteRef/>
      </w:r>
      <w:r>
        <w:t xml:space="preserve"> </w:t>
      </w:r>
      <w:r>
        <w:t xml:space="preserve">La classificazione degli accessi per priorità segue il sistema di triage in codici di gravità decrescente. La quota attribuita ai codici a bassa e bassissima priorità — riconducibili a condizioni non urgenti, trattabili in un setting territoriale — costituisce la misura convenzionale dell’inappropriatezza del ricorso all’urgenza. La proporzione dell’ordine dell’ottanta per cento colloca la Puglia tra le regioni a più elevata inappropriatezza; essa misura lo spazio complessivo del ricorso improprio, del quale soltanto una frazione è a matrice psichica e dunque intercettabile dal primo livello psicologico.</w:t>
      </w:r>
    </w:p>
  </w:footnote>
  <w:footnote w:id="215">
    <w:p>
      <w:pPr>
        <w:pStyle w:val="FootnoteText"/>
      </w:pPr>
      <w:r>
        <w:rPr>
          <w:rStyle w:val="FootnoteReference"/>
        </w:rPr>
        <w:footnoteRef/>
      </w:r>
      <w:r>
        <w:t xml:space="preserve"> </w:t>
      </w:r>
      <w:r>
        <w:t xml:space="preserve">I ricoveri per condizioni sensibili alle cure ambulatoriali (ambulatory care sensitive conditions) sono quei ricoveri che una gestione territoriale tempestiva ed efficace è in grado di prevenire; il loro tasso è impiegato a livello internazionale come indicatore della qualità e della capillarità delle cure primarie. Cfr. gli indicatori di qualità delle cure primarie elaborati in ambito OCSE e gli indicatori di prevenzione (Prevention Quality Indicators) dell’Agency for Healthcare Research and Quality statunitense. Nel presente canale rileva la sola componente in cui il disagio psichico aggrava il decorso della patologia organica.</w:t>
      </w:r>
    </w:p>
  </w:footnote>
  <w:footnote w:id="216">
    <w:p>
      <w:pPr>
        <w:pStyle w:val="FootnoteText"/>
      </w:pPr>
      <w:r>
        <w:rPr>
          <w:rStyle w:val="FootnoteReference"/>
        </w:rPr>
        <w:footnoteRef/>
      </w:r>
      <w:r>
        <w:t xml:space="preserve"> </w:t>
      </w:r>
      <w:r>
        <w:t xml:space="preserve">Katon W., Unützer J., Wells K., Jones L., «Collaborative depression care: history, evolution and ways to enhance dissemination and sustainability», General Hospital Psychiatry, vol. 32, n. 5, 2010, pp. 456-464. La letteratura sull’assistenza collaborativa documenta, accanto al miglioramento degli esiti clinici, una riduzione dell’utilizzo dei servizi ad alta intensità e una migliore continuità della presa in carico post-dimissione, con effetti sui ri-ricoveri. La trasferibilità di tali effetti al contesto pugliese è discussa nella sesta parte.</w:t>
      </w:r>
    </w:p>
  </w:footnote>
  <w:footnote w:id="217">
    <w:p>
      <w:pPr>
        <w:pStyle w:val="FootnoteText"/>
      </w:pPr>
      <w:r>
        <w:rPr>
          <w:rStyle w:val="FootnoteReference"/>
        </w:rPr>
        <w:footnoteRef/>
      </w:r>
      <w:r>
        <w:t xml:space="preserve"> </w:t>
      </w:r>
      <w:r>
        <w:t xml:space="preserve">Sul caveat economico relativo ai costi sanitari diretti si veda nuovamente Unützer J., Katon W., Fan M.Y. et al., «Long-term cost effects of collaborative care for late-life depression», The American Journal of Managed Care, vol. 14, n. 2, 2008, pp. 95-100. La tendenza al risparmio documentata sui costi totali, comprensivi della componente ospedaliera, non raggiunge la significatività statistica; ciò impone, anche per il canale del pronto soccorso e dei ricoveri, la rappresentazione del risparmio in bande prudenziali.</w:t>
      </w:r>
    </w:p>
  </w:footnote>
  <w:footnote w:id="218">
    <w:p>
      <w:pPr>
        <w:pStyle w:val="FootnoteText"/>
      </w:pPr>
      <w:r>
        <w:rPr>
          <w:rStyle w:val="FootnoteReference"/>
        </w:rPr>
        <w:footnoteRef/>
      </w:r>
      <w:r>
        <w:t xml:space="preserve"> </w:t>
      </w:r>
      <w:r>
        <w:t xml:space="preserve">La graduazione qui adottata applica i criteri GRADE in forma simmetrica all’evidenza clinica e a quella economica, in coerenza con la rappresentazione svolta nella sesta parte: evidenza da moderata ad alta per l’anello clinico-organizzativo, da moderata a bassa per l’anello comportamentale, bassa per l’anello economico. La banda del risparmio del canale riflette la qualità dell’anello più debole.</w:t>
      </w:r>
    </w:p>
  </w:footnote>
  <w:footnote w:id="219">
    <w:p>
      <w:pPr>
        <w:pStyle w:val="FootnoteText"/>
      </w:pPr>
      <w:r>
        <w:rPr>
          <w:rStyle w:val="FootnoteReference"/>
        </w:rPr>
        <w:footnoteRef/>
      </w:r>
      <w:r>
        <w:t xml:space="preserve"> </w:t>
      </w:r>
      <w:r>
        <w:t xml:space="preserve">La separazione tra il risparmio fiscale diretto, qui contato, e i benefici sociali della minore acuzie — maggiore continuità lavorativa, minore carico sui familiari, migliore qualità della vita — contati nella nona parte, è imposta dalla regola di non duplicazione enunciata nella prima parte. Il medesimo ricovero evitato genera, distintamente, un risparmio fiscale e un beneficio sociale; le due grandezze non sono mai sommate.</w:t>
      </w:r>
    </w:p>
  </w:footnote>
  <w:footnote w:id="220">
    <w:p>
      <w:pPr>
        <w:pStyle w:val="FootnoteText"/>
      </w:pPr>
      <w:r>
        <w:rPr>
          <w:rStyle w:val="FootnoteReference"/>
        </w:rPr>
        <w:footnoteRef/>
      </w:r>
      <w:r>
        <w:t xml:space="preserve"> </w:t>
      </w:r>
      <w:r>
        <w:t xml:space="preserve">I dati sul saldo della mobilità sanitaria interregionale sono ricostruiti, in questa fase, sulle fonti pubbliche nazionali e regionali sui flussi di compensazione della mobilità, e saranno sostituiti dai dati certificati non appena acquisiti. Il saldo negativo dell’ordine di duecentocinquanta milioni di euro, risultante da un flusso passivo in uscita di poco inferiore ai quattrocento milioni e da un flusso attivo in entrata dell’ordine di centoventi milioni, è coerente con la ricostruzione del quadro finanziario e della mobilità svolta nella seconda parte (sezioni 2.3 e 2.4).</w:t>
      </w:r>
    </w:p>
  </w:footnote>
  <w:footnote w:id="221">
    <w:p>
      <w:pPr>
        <w:pStyle w:val="FootnoteText"/>
      </w:pPr>
      <w:r>
        <w:rPr>
          <w:rStyle w:val="FootnoteReference"/>
        </w:rPr>
        <w:footnoteRef/>
      </w:r>
      <w:r>
        <w:t xml:space="preserve"> </w:t>
      </w:r>
      <w:r>
        <w:t xml:space="preserve">La connessione tra il primo livello psicologico e la mobilità passiva è di natura indiretta e opera attraverso la riduzione della domanda a monte e l’accrescimento della capacità di ritenzione del sistema regionale, non attraverso l’erogazione diretta delle prestazioni iperspecialistiche per cui parte della mobilità è generata. Questa precisazione delimita il canale alla sola quota di deflusso a matrice psichica effettivamente comprimibile, e ne esclude la mobilità per prestazioni genuinamente indisponibili in regione.</w:t>
      </w:r>
    </w:p>
  </w:footnote>
  <w:footnote w:id="222">
    <w:p>
      <w:pPr>
        <w:pStyle w:val="FootnoteText"/>
      </w:pPr>
      <w:r>
        <w:rPr>
          <w:rStyle w:val="FootnoteReference"/>
        </w:rPr>
        <w:footnoteRef/>
      </w:r>
      <w:r>
        <w:t xml:space="preserve"> </w:t>
      </w:r>
      <w:r>
        <w:t xml:space="preserve">La quota del deflusso effettivamente recuperabile è inferiore alla quota a matrice psichica del saldo passivo, perché la decisione di curarsi fuori regione dipende anche da fattori — reputazione dei centri, reti familiari extra-regionali, natura iperspecialistica della prestazione — che il rafforzamento dell’offerta territoriale non modifica. La stima del canale adotta, per questa ragione, una banda prudenziale ampia e una riduzione prudenziale più marcata che negli altri canali.</w:t>
      </w:r>
    </w:p>
  </w:footnote>
  <w:footnote w:id="223">
    <w:p>
      <w:pPr>
        <w:pStyle w:val="FootnoteText"/>
      </w:pPr>
      <w:r>
        <w:rPr>
          <w:rStyle w:val="FootnoteReference"/>
        </w:rPr>
        <w:footnoteRef/>
      </w:r>
      <w:r>
        <w:t xml:space="preserve"> </w:t>
      </w:r>
      <w:r>
        <w:t xml:space="preserve">L’anello comportamentale del canale della mobilità — la traduzione della maggiore offerta in effettivo minore deflusso — è il più incerto della catena causale, perché la propensione alla mobilità è influenzata da determinanti culturali e reputazionali oltre che di offerta. L’anello economico è invece, in questo canale, contabilmente diretto: la prestazione trattenuta si traduce immediatamente in minore rimborso interregionale. La graduazione complessiva, determinata dall’anello comportamentale, è media.</w:t>
      </w:r>
    </w:p>
  </w:footnote>
  <w:footnote w:id="224">
    <w:p>
      <w:pPr>
        <w:pStyle w:val="FootnoteText"/>
      </w:pPr>
      <w:r>
        <w:rPr>
          <w:rStyle w:val="FootnoteReference"/>
        </w:rPr>
        <w:footnoteRef/>
      </w:r>
      <w:r>
        <w:t xml:space="preserve"> </w:t>
      </w:r>
      <w:r>
        <w:t xml:space="preserve">I costi sostenuti dalle famiglie per i viaggi, i soggiorni e l’assistenza connessi alla mobilità extra-regionale costituiscono un onere sociale e privato, distinto dal saldo fiscale della mobilità qui contato, e sono trattati nella nona parte tra gli oneri assistenziali evitati (sezione 9.4). La minore mobilità genera, distintamente, un risparmio fiscale per la Regione e un risparmio privato per le famiglie; le due grandezze non sono sommate.</w:t>
      </w:r>
    </w:p>
  </w:footnote>
  <w:footnote w:id="225">
    <w:p>
      <w:pPr>
        <w:pStyle w:val="FootnoteText"/>
      </w:pPr>
      <w:r>
        <w:rPr>
          <w:rStyle w:val="FootnoteReference"/>
        </w:rPr>
        <w:footnoteRef/>
      </w:r>
      <w:r>
        <w:t xml:space="preserve"> </w:t>
      </w:r>
      <w:r>
        <w:t xml:space="preserve">La letteratura sui disturbi somatici funzionali e sul fenomeno dell’iper-utilizzo diagnostico descrive il percorso per cui il sintomo fisico privo di causa organica accertata, la cui matrice psichica non sia riconosciuta, genera una domanda crescente di accertamenti per esclusione. Cfr. la letteratura sui medically unexplained symptoms e sul loro impatto sull’utilizzo dei servizi, richiamata anche nella sesta parte. I dati regionali sulla domanda specialistica e sulle liste d’attesa saranno acquisiti nella fase di consolidamento.</w:t>
      </w:r>
    </w:p>
  </w:footnote>
  <w:footnote w:id="226">
    <w:p>
      <w:pPr>
        <w:pStyle w:val="FootnoteText"/>
      </w:pPr>
      <w:r>
        <w:rPr>
          <w:rStyle w:val="FootnoteReference"/>
        </w:rPr>
        <w:footnoteRef/>
      </w:r>
      <w:r>
        <w:t xml:space="preserve"> </w:t>
      </w:r>
      <w:r>
        <w:t xml:space="preserve">Il punto di generazione della domanda indotta coincide con il rapporto tra il paziente e il medico di medicina generale, che in assenza di un’alternativa territoriale avvia il percorso diagnostico per prudenza clinica. La disponibilità del primo livello psicologico nella medesima sede sostituisce all’avvio della spirale diagnostica l’invio alla presa in carico appropriata. Sul ruolo di filtro (gatekeeping) della medicina generale e sui suoi limiti in assenza di un’alternativa per i disturbi a matrice psichica, cfr. la letteratura sull’integrazione delle cure primarie.</w:t>
      </w:r>
    </w:p>
  </w:footnote>
  <w:footnote w:id="227">
    <w:p>
      <w:pPr>
        <w:pStyle w:val="FootnoteText"/>
      </w:pPr>
      <w:r>
        <w:rPr>
          <w:rStyle w:val="FootnoteReference"/>
        </w:rPr>
        <w:footnoteRef/>
      </w:r>
      <w:r>
        <w:t xml:space="preserve"> </w:t>
      </w:r>
      <w:r>
        <w:t xml:space="preserve">La regola di non duplicazione impone, per il quarto canale, una cautela specifica: la domanda diagnostica impropria si manifesta tanto nel circuito ambulatoriale quanto in quello dell’urgenza, e la componente generata in pronto soccorso è già contata nel secondo canale. La stima del quarto canale conta pertanto la sola componente ambulatoriale non sovrapposta, sacrificando parte del risparmio potenziale alla certezza di non contarlo due volte. Cfr. la regola di non duplicazione enunciata nella prima parte.</w:t>
      </w:r>
    </w:p>
  </w:footnote>
  <w:footnote w:id="228">
    <w:p>
      <w:pPr>
        <w:pStyle w:val="FootnoteText"/>
      </w:pPr>
      <w:r>
        <w:rPr>
          <w:rStyle w:val="FootnoteReference"/>
        </w:rPr>
        <w:footnoteRef/>
      </w:r>
      <w:r>
        <w:t xml:space="preserve"> </w:t>
      </w:r>
      <w:r>
        <w:t xml:space="preserve">Sul caveat economico relativo ai costi sanitari diretti si veda nuovamente Unützer J., Katon W., Fan M.Y. et al., «Long-term cost effects of collaborative care for late-life depression», The American Journal of Managed Care, vol. 14, n. 2, 2008, pp. 95-100. Il caveat si applica anche al canale specialistico: la tendenza al risparmio sui costi diretti non raggiunge la significatività statistica, e impone le bande prudenziali.</w:t>
      </w:r>
    </w:p>
  </w:footnote>
  <w:footnote w:id="229">
    <w:p>
      <w:pPr>
        <w:pStyle w:val="FootnoteText"/>
      </w:pPr>
      <w:r>
        <w:rPr>
          <w:rStyle w:val="FootnoteReference"/>
        </w:rPr>
        <w:footnoteRef/>
      </w:r>
      <w:r>
        <w:t xml:space="preserve"> </w:t>
      </w:r>
      <w:r>
        <w:t xml:space="preserve">La separazione tra il risparmio fiscale diretto, qui contato, e i benefici sociali della minore medicalizzazione del disagio — minore tempo sottratto al lavoro per accertamenti inutili, minore ansia iatrogena, migliore qualità della vita — contati nella nona parte, è imposta dalla regola di non duplicazione. Le due grandezze, generate dalla medesima minore domanda specialistica, non sono mai sommate.</w:t>
      </w:r>
    </w:p>
  </w:footnote>
  <w:footnote w:id="230">
    <w:p>
      <w:pPr>
        <w:pStyle w:val="FootnoteText"/>
      </w:pPr>
      <w:r>
        <w:rPr>
          <w:rStyle w:val="FootnoteReference"/>
        </w:rPr>
        <w:footnoteRef/>
      </w:r>
      <w:r>
        <w:t xml:space="preserve"> </w:t>
      </w:r>
      <w:r>
        <w:t xml:space="preserve">Il posizionamento dell’Intelligenza Artificiale come leva abilitante subordinata, e non come oggetto centrale dell’analisi né come canale autonomo di risparmio, è stabilito nella prima parte (sezione 1.8) e ribadito nella quarta (sezioni 4.4 e 4.6). La regola di non duplicazione, enunciata nella prima parte, vieta di sommare il contributo della leva digitale ai risparmi dei canali entro cui esso già si esprime. La presente voce isola tale contributo per renderlo trasparente, non per aggiungerlo.</w:t>
      </w:r>
    </w:p>
  </w:footnote>
  <w:footnote w:id="231">
    <w:p>
      <w:pPr>
        <w:pStyle w:val="FootnoteText"/>
      </w:pPr>
      <w:r>
        <w:rPr>
          <w:rStyle w:val="FootnoteReference"/>
        </w:rPr>
        <w:footnoteRef/>
      </w:r>
      <w:r>
        <w:t xml:space="preserve"> </w:t>
      </w:r>
      <w:r>
        <w:t xml:space="preserve">Andrews G., Basu A., Cuijpers P. et al., «Computer therapy for the anxiety and depression disorders is effective, acceptable and practical health care: an updated meta-analysis», Journal of Anxiety Disorders, vol. 55, 2018, pp. 70-78. La meta-analisi documenta l’efficacia della terapia cognitivo-comportamentale computerizzata e via internet per i disturbi d’ansia e depressivi, con effetti comparabili a quelli del trattamento erogato di persona in popolazioni selezionate. L’evidenza clinica su questi strumenti è di qualità da moderata a buona; quella sull’effetto incrementale sul risparmio diretto è più limitata.</w:t>
      </w:r>
    </w:p>
  </w:footnote>
  <w:footnote w:id="232">
    <w:p>
      <w:pPr>
        <w:pStyle w:val="FootnoteText"/>
      </w:pPr>
      <w:r>
        <w:rPr>
          <w:rStyle w:val="FootnoteReference"/>
        </w:rPr>
        <w:footnoteRef/>
      </w:r>
      <w:r>
        <w:t xml:space="preserve"> </w:t>
      </w:r>
      <w:r>
        <w:t xml:space="preserve">Gli strumenti digitali trasversali — terapie digitali e terapia cognitivo-comportamentale erogata via internet — ampliano la capacità di presa in carico del primo livello psicologico e potenziano l’intercettazione su cui tutti i canali si fondano. Il loro inquadramento, anche come dispositivi terapeutici digitali su prescrizione, e la relativa cornice di rischio sono trattati nella quarta parte (sezioni 4.4 e 4.5).</w:t>
      </w:r>
    </w:p>
  </w:footnote>
  <w:footnote w:id="233">
    <w:p>
      <w:pPr>
        <w:pStyle w:val="FootnoteText"/>
      </w:pPr>
      <w:r>
        <w:rPr>
          <w:rStyle w:val="FootnoteReference"/>
        </w:rPr>
        <w:footnoteRef/>
      </w:r>
      <w:r>
        <w:t xml:space="preserve"> </w:t>
      </w:r>
      <w:r>
        <w:t xml:space="preserve">L’evidenza sui modelli predittivi e di stratificazione del rischio applicati alle cure primarie è prevalentemente di natura osservazionale e di validazione, e non ancora derivata da valutazioni d’impatto robuste; la sua qualità, secondo i criteri GRADE applicati simmetricamente, è bassa. La graduazione dell’evidenza digitale è svolta nella sesta parte (sezione 6.3).</w:t>
      </w:r>
    </w:p>
  </w:footnote>
  <w:footnote w:id="234">
    <w:p>
      <w:pPr>
        <w:pStyle w:val="FootnoteText"/>
      </w:pPr>
      <w:r>
        <w:rPr>
          <w:rStyle w:val="FootnoteReference"/>
        </w:rPr>
        <w:footnoteRef/>
      </w:r>
      <w:r>
        <w:t xml:space="preserve"> </w:t>
      </w:r>
      <w:r>
        <w:t xml:space="preserve">L’evidenza che isola l’effetto incrementale specifico degli strumenti digitali sul risparmio sanitario diretto, distinto dall’effetto clinico dell’intervento che essi supportano, è ancora limitata. Per questa ragione la quota attribuita all’Intelligenza Artificiale è stimata con prudenza accentuata e graduata come bassa, in coerenza con il principio di simmetria che vieta di applicare all’evidenza digitale un rigore minore di quello applicato all’evidenza clinica.</w:t>
      </w:r>
    </w:p>
  </w:footnote>
  <w:footnote w:id="235">
    <w:p>
      <w:pPr>
        <w:pStyle w:val="FootnoteText"/>
      </w:pPr>
      <w:r>
        <w:rPr>
          <w:rStyle w:val="FootnoteReference"/>
        </w:rPr>
        <w:footnoteRef/>
      </w:r>
      <w:r>
        <w:t xml:space="preserve"> </w:t>
      </w:r>
      <w:r>
        <w:t xml:space="preserve">La cornice di governance prudenziale dell’Intelligenza Artificiale — supervisione umana, protezione dei dati, equità di accesso, responsabilità professionale — è definita nella quarta parte (sezione 4.6) e nella tredicesima (sezione 13.3). Il rispetto di tale cornice è condizione non solo etica e giuridica ma anche economica della realizzabilità della quota di risparmio attribuita alla leva digitale, poiché un impiego non conforme genererebbe costi di rimedio e di contenzioso erosivi del risparmio.</w:t>
      </w:r>
    </w:p>
  </w:footnote>
  <w:footnote w:id="236">
    <w:p>
      <w:pPr>
        <w:pStyle w:val="FootnoteText"/>
      </w:pPr>
      <w:r>
        <w:rPr>
          <w:rStyle w:val="FootnoteReference"/>
        </w:rPr>
        <w:footnoteRef/>
      </w:r>
      <w:r>
        <w:t xml:space="preserve"> </w:t>
      </w:r>
      <w:r>
        <w:t xml:space="preserve">Il costo incrementale della leva digitale e dell’Intelligenza Artificiale è stimato nella settima parte (sezione 7.3), non nella presente, che tratta i soli risparmi. Il saldo tra il costo della componente tecnologica e la quota di risparmio che essa genera è ricomposto nella voce conclusiva (8.6) e nella decima parte, ed è uno degli elementi della valutazione del valore della leva digitale. La quota di risparmio isolata in questa voce non va sommata all’aggregato dei quattro canali.</w:t>
      </w:r>
    </w:p>
  </w:footnote>
  <w:footnote w:id="237">
    <w:p>
      <w:pPr>
        <w:pStyle w:val="FootnoteText"/>
      </w:pPr>
      <w:r>
        <w:rPr>
          <w:rStyle w:val="FootnoteReference"/>
        </w:rPr>
        <w:footnoteRef/>
      </w:r>
      <w:r>
        <w:t xml:space="preserve"> </w:t>
      </w:r>
      <w:r>
        <w:t xml:space="preserve">I costi diretti del servizio per ciascuno scenario di copertura — dell’ordine di venticinque, trentotto e cinquanta milioni di euro l’anno — sono stimati nella settima parte (Costi diretti), che ne ricostruisce le componenti relative al personale lungo la cascata delle figure, alla struttura e all’organizzazione, alla leva digitale e alla formazione nelle quattro modalità. Il confronto qui condotto utilizza tali stime a parità di scenario e di grandezze dirette.</w:t>
      </w:r>
    </w:p>
  </w:footnote>
  <w:footnote w:id="238">
    <w:p>
      <w:pPr>
        <w:pStyle w:val="FootnoteText"/>
      </w:pPr>
      <w:r>
        <w:rPr>
          <w:rStyle w:val="FootnoteReference"/>
        </w:rPr>
        <w:footnoteRef/>
      </w:r>
      <w:r>
        <w:t xml:space="preserve"> </w:t>
      </w:r>
      <w:r>
        <w:t xml:space="preserve">Il finanziamento del Servizio sanitario della Regione Puglia è dell’ordine di 8,8 miliardi di euro (dato di riferimento 2025), a fronte di un disavanzo dell’ordine di alcune centinaia di milioni; il costo diretto del servizio, anche nello scenario espansivo, ne rappresenta una frazione contenuta. Il quadro finanziario regionale e i vincoli di bilancio sono ricostruiti nella seconda parte (sezione 2.4).</w:t>
      </w:r>
    </w:p>
  </w:footnote>
  <w:footnote w:id="239">
    <w:p>
      <w:pPr>
        <w:pStyle w:val="FootnoteText"/>
      </w:pPr>
      <w:r>
        <w:rPr>
          <w:rStyle w:val="FootnoteReference"/>
        </w:rPr>
        <w:footnoteRef/>
      </w:r>
      <w:r>
        <w:t xml:space="preserve"> </w:t>
      </w:r>
      <w:r>
        <w:t xml:space="preserve">Sul rinvio alle ricadute sociali di ordine superiore e sugli intervalli del ritorno economico si veda Chisholm D., Sweeny K., Sheehan P. et al., «Scaling-up treatment of depression and anxiety: a global return on investment analysis», The Lancet Psychiatry, vol. 3, n. 5, 2016, pp. 415-424. Le ricadute sociali sono quantificate distintamente nella nona parte e composte con le grandezze dirette nella decima, senza che le due categorie siano mai sommate in un unico saldo.</w:t>
      </w:r>
    </w:p>
  </w:footnote>
  <w:footnote w:id="240">
    <w:p>
      <w:pPr>
        <w:pStyle w:val="FootnoteText"/>
      </w:pPr>
      <w:r>
        <w:rPr>
          <w:rStyle w:val="FootnoteReference"/>
        </w:rPr>
        <w:footnoteRef/>
      </w:r>
      <w:r>
        <w:t xml:space="preserve"> </w:t>
      </w:r>
      <w:r>
        <w:t xml:space="preserve">Il punto di pareggio dei flussi annuali — collocato, come banda e non come valore fisso, tra il terzo e il quinto anno dall’avvio secondo lo scenario e la rapidità della messa a regime — è determinato dalla modellazione della undicesima parte e dall’analisi di impatto di bilancio della decima. Esso riflette l’asimmetria tra costi prevalentemente anticipati e risparmi progressivamente differiti, e non un difetto strutturale del servizio.</w:t>
      </w:r>
    </w:p>
  </w:footnote>
  <w:footnote w:id="241">
    <w:p>
      <w:pPr>
        <w:pStyle w:val="FootnoteText"/>
      </w:pPr>
      <w:r>
        <w:rPr>
          <w:rStyle w:val="FootnoteReference"/>
        </w:rPr>
        <w:footnoteRef/>
      </w:r>
      <w:r>
        <w:t xml:space="preserve"> </w:t>
      </w:r>
      <w:r>
        <w:t xml:space="preserve">La separazione tra le grandezze fiscali dirette, contate nella presente parte, e le ricadute sociali indirette, contate nella nona, è imposta dalla regola di non duplicazione enunciata nella prima parte e applicata senza eccezioni. Il medesimo miglioramento clinico genera, distintamente, un risparmio fiscale e un beneficio sociale di ordine superiore; le due grandezze sono ricomposte nella sintesi della decima parte, ma non vi sono mai sommate in un unico saldo.</w:t>
      </w:r>
    </w:p>
  </w:footnote>
  <w:footnote w:id="242">
    <w:p>
      <w:pPr>
        <w:pStyle w:val="FootnoteText"/>
      </w:pPr>
      <w:r>
        <w:rPr>
          <w:rStyle w:val="FootnoteReference"/>
        </w:rPr>
        <w:footnoteRef/>
      </w:r>
      <w:r>
        <w:t xml:space="preserve"> </w:t>
      </w:r>
      <w:r>
        <w:t xml:space="preserve">Le previsioni falsificabili sulla qualità della vita delle persone, sui bilanci regionali, sulla burocrazia e l’efficienza amministrativa e sui sistemi sanitari regionali sono formulate nella undicesima parte (sezioni 11.3-11.6), corredate di bande e di soglie che ne modificano la raccomandazione, e verificate contro i dati del monitoraggio nella quindicesima. Il risparmio diretto stimato nella presente parte entra in tali previsioni come componente fiscale certa.</w:t>
      </w:r>
    </w:p>
  </w:footnote>
  <w:footnote w:id="243">
    <w:p>
      <w:pPr>
        <w:pStyle w:val="FootnoteText"/>
      </w:pPr>
      <w:r>
        <w:rPr>
          <w:rStyle w:val="FootnoteReference"/>
        </w:rPr>
        <w:footnoteRef/>
      </w:r>
      <w:r>
        <w:t xml:space="preserve"> </w:t>
      </w:r>
      <w:r>
        <w:t xml:space="preserve">La separazione tra le grandezze fiscali dirette, stimate nella parte ottava, e le ricadute economico-sociali indirette, stimate nella presente, è imposta dalla regola di non duplicazione enunciata nella prima parte (sezione 1.5) e applicata senza eccezioni nell’intero studio. Le due categorie sono ricomposte nel saldo consolidato della decima parte (sezione 10.5), ma non vi sono mai sommate in un unico rapporto. Il medesimo miglioramento clinico genera, distintamente, un risparmio fiscale diretto e un beneficio sociale indiretto.</w:t>
      </w:r>
    </w:p>
  </w:footnote>
  <w:footnote w:id="244">
    <w:p>
      <w:pPr>
        <w:pStyle w:val="FootnoteText"/>
      </w:pPr>
      <w:r>
        <w:rPr>
          <w:rStyle w:val="FootnoteReference"/>
        </w:rPr>
        <w:footnoteRef/>
      </w:r>
      <w:r>
        <w:t xml:space="preserve"> </w:t>
      </w:r>
      <w:r>
        <w:t xml:space="preserve">L’approccio del capitale umano (human capital approach) e il metodo del costo per attrito (friction cost method) costituiscono i due principali approcci alla valutazione monetaria delle perdite di produttività. Il primo valuta l’intero tempo di lavoro perduto al costo pieno del lavoro; il secondo valuta la sola perdita del periodo necessario alla sostituzione del lavoratore. I due approcci rispondono a domande diverse, producono stime di entità diversa e non sono mai combinati. Cfr. la scheda metodologica nell’appendice C e l’enunciazione del telaio nella prima parte (sezione 1.4).</w:t>
      </w:r>
    </w:p>
  </w:footnote>
  <w:footnote w:id="245">
    <w:p>
      <w:pPr>
        <w:pStyle w:val="FootnoteText"/>
      </w:pPr>
      <w:r>
        <w:rPr>
          <w:rStyle w:val="FootnoteReference"/>
        </w:rPr>
        <w:footnoteRef/>
      </w:r>
      <w:r>
        <w:t xml:space="preserve"> </w:t>
      </w:r>
      <w:r>
        <w:t xml:space="preserve">La presente parte adotta, per i domini in cui rileva la produttività, l’approccio del capitale umano, dichiarandolo esplicitamente, e ne segnala la collocazione verso l’estremo superiore della forbice metodologica; ove si adottasse il metodo del costo per attrito, le stime sarebbero sensibilmente più contenute. La scelta è coerente con l’obiettivo di cogliere il valore sociale complessivo della salute, ma la sua dichiarazione è condizione della trasparenza della stima.</w:t>
      </w:r>
    </w:p>
  </w:footnote>
  <w:footnote w:id="246">
    <w:p>
      <w:pPr>
        <w:pStyle w:val="FootnoteText"/>
      </w:pPr>
      <w:r>
        <w:rPr>
          <w:rStyle w:val="FootnoteReference"/>
        </w:rPr>
        <w:footnoteRef/>
      </w:r>
      <w:r>
        <w:t xml:space="preserve"> </w:t>
      </w:r>
      <w:r>
        <w:t xml:space="preserve">Chisholm D., Sweeny K., Sheehan P., Rasmussen B., Smit F., Cuijpers P., Saxena S., «Scaling-up treatment of depression and anxiety: a global return on investment analysis», The Lancet Psychiatry, vol. 3, n. 5, 2016, pp. 415-424. Gli intervalli del ritorno sull’investimento — da 2,3 a 3,0 a 1 per i soli benefici economici e da 3,3 a 5,7 a 1 con i ritorni in salute — operano nella presente parte come fascia di validazione dell’aggregato dei benefici indiretti, e come limite superiore metodologicamente fondato entro cui ogni stima si mantiene.</w:t>
      </w:r>
    </w:p>
  </w:footnote>
  <w:footnote w:id="247">
    <w:p>
      <w:pPr>
        <w:pStyle w:val="FootnoteText"/>
      </w:pPr>
      <w:r>
        <w:rPr>
          <w:rStyle w:val="FootnoteReference"/>
        </w:rPr>
        <w:footnoteRef/>
      </w:r>
      <w:r>
        <w:t xml:space="preserve"> </w:t>
      </w:r>
      <w:r>
        <w:t xml:space="preserve">Le organizzazioni internazionali stimano il costo economico complessivo dei disturbi mentali in una frazione rilevante del prodotto, dell’ordine di alcuni punti percentuali, di cui la componente sanitaria diretta rappresenta una quota minoritaria e le perdite di produttività e gli oneri sociali indiretti la quota maggiore. Cfr. OECD/European Union, Health at a Glance: Europe, e i rapporti dell’OCSE sul peso economico della cattiva salute mentale; il dato di contesto è ripreso nella seconda parte (sezione 2.5).</w:t>
      </w:r>
    </w:p>
  </w:footnote>
  <w:footnote w:id="248">
    <w:p>
      <w:pPr>
        <w:pStyle w:val="FootnoteText"/>
      </w:pPr>
      <w:r>
        <w:rPr>
          <w:rStyle w:val="FootnoteReference"/>
        </w:rPr>
        <w:footnoteRef/>
      </w:r>
      <w:r>
        <w:t xml:space="preserve"> </w:t>
      </w:r>
      <w:r>
        <w:t xml:space="preserve">La letteratura sull’impatto del disagio psichico sul lavoro documenta che la perdita di produttività dovuta al presenteismo — la presenza al lavoro in condizioni di ridotta efficienza — eccede, per diffusione e durata, quella dovuta all’assenteismo. Cfr. OECD, Sick on the Job? Myths and Realities about Mental Health and Work, Parigi, 2012, e la letteratura successiva sul presenteismo associato ai disturbi mentali comuni. Le valutazioni limitate al solo assenteismo visibile sottostimano sistematicamente il carico lavorativo del disagio psichico.</w:t>
      </w:r>
    </w:p>
  </w:footnote>
  <w:footnote w:id="249">
    <w:p>
      <w:pPr>
        <w:pStyle w:val="FootnoteText"/>
      </w:pPr>
      <w:r>
        <w:rPr>
          <w:rStyle w:val="FootnoteReference"/>
        </w:rPr>
        <w:footnoteRef/>
      </w:r>
      <w:r>
        <w:t xml:space="preserve"> </w:t>
      </w:r>
      <w:r>
        <w:t xml:space="preserve">Lo stress lavoro-correlato e i disturbi a esso associati generano costi rilevanti per il sistema assicurativo, per le imprese e per i lavoratori. Cfr. Agenzia europea per la sicurezza e la salute sul lavoro (EU-OSHA), le stime sul costo dello stress lavoro-correlato in Europa, e la normativa nazionale sulla valutazione del rischio da stress lavoro-correlato. La componente è qui trattata distintamente dall’assenteismo e dal presenteismo.</w:t>
      </w:r>
    </w:p>
  </w:footnote>
  <w:footnote w:id="250">
    <w:p>
      <w:pPr>
        <w:pStyle w:val="FootnoteText"/>
      </w:pPr>
      <w:r>
        <w:rPr>
          <w:rStyle w:val="FootnoteReference"/>
        </w:rPr>
        <w:footnoteRef/>
      </w:r>
      <w:r>
        <w:t xml:space="preserve"> </w:t>
      </w:r>
      <w:r>
        <w:t xml:space="preserve">La graduazione qui adottata applica i criteri GRADE in forma simmetrica all’evidenza clinica e a quella economica, in coerenza con la sesta parte: evidenza da moderata ad alta per l’anello clinico, da moderata a bassa per l’anello funzionale-lavorativo, soggetta all’approccio metodologico per l’anello economico. La banda del beneficio riflette la duplice incertezza, sulla traduzione clinico-funzionale e sull’approccio adottato.</w:t>
      </w:r>
    </w:p>
  </w:footnote>
  <w:footnote w:id="251">
    <w:p>
      <w:pPr>
        <w:pStyle w:val="FootnoteText"/>
      </w:pPr>
      <w:r>
        <w:rPr>
          <w:rStyle w:val="FootnoteReference"/>
        </w:rPr>
        <w:footnoteRef/>
      </w:r>
      <w:r>
        <w:t xml:space="preserve"> </w:t>
      </w:r>
      <w:r>
        <w:t xml:space="preserve">OECD, Sick on the Job? Myths and Realities about Mental Health and Work, Parigi, 2012, e i successivi rapporti dell’OCSE sulla salute mentale e il lavoro, documentano l’elevata e crescente incidenza dei disturbi mentali tra le cause di erogazione delle prestazioni di invalidità e di inabilità, e la loro tendenza a colpire lavoratori in età produttiva. I dati previdenziali nazionali confermano la rilevanza della causa psichica tra le prestazioni di invalidità; i dati regionali saranno acquisiti nella fase di consolidamento.</w:t>
      </w:r>
    </w:p>
  </w:footnote>
  <w:footnote w:id="252">
    <w:p>
      <w:pPr>
        <w:pStyle w:val="FootnoteText"/>
      </w:pPr>
      <w:r>
        <w:rPr>
          <w:rStyle w:val="FootnoteReference"/>
        </w:rPr>
        <w:footnoteRef/>
      </w:r>
      <w:r>
        <w:t xml:space="preserve"> </w:t>
      </w:r>
      <w:r>
        <w:t xml:space="preserve">Le tre forme dell’uscita dal lavoro per cause psichiche corrispondono a istituti distinti: le prestazioni previdenziali di inabilità e di invalidità, erogate sulla base della storia contributiva; le prestazioni di invalidità civile, erogate sulla base del riconoscimento dell’invalidità indipendentemente dalla contribuzione; e il pensionamento anticipato favorito dalla compromissione della salute. La distinzione tra prestazioni previdenziali e prestazioni assistenziali è rilevante per la non duplicazione con il dominio welfaristico.</w:t>
      </w:r>
    </w:p>
  </w:footnote>
  <w:footnote w:id="253">
    <w:p>
      <w:pPr>
        <w:pStyle w:val="FootnoteText"/>
      </w:pPr>
      <w:r>
        <w:rPr>
          <w:rStyle w:val="FootnoteReference"/>
        </w:rPr>
        <w:footnoteRef/>
      </w:r>
      <w:r>
        <w:t xml:space="preserve"> </w:t>
      </w:r>
      <w:r>
        <w:t xml:space="preserve">La graduazione del dominio pensionistico è inferiore a quella del dominio lavorativo per la maggiore lunghezza e incertezza della catena causale che conduce dalla prevenzione clinica all’esito invalidante evitato, esito determinato da una pluralità di fattori di cui l’intervento precoce è soltanto uno. La banda del beneficio è di conseguenza ampia, e la stima centrale va letta come punto mediano di un intervallo esteso.</w:t>
      </w:r>
    </w:p>
  </w:footnote>
  <w:footnote w:id="254">
    <w:p>
      <w:pPr>
        <w:pStyle w:val="FootnoteText"/>
      </w:pPr>
      <w:r>
        <w:rPr>
          <w:rStyle w:val="FootnoteReference"/>
        </w:rPr>
        <w:footnoteRef/>
      </w:r>
      <w:r>
        <w:t xml:space="preserve"> </w:t>
      </w:r>
      <w:r>
        <w:t xml:space="preserve">La separazione tra il dominio lavorativo e il dominio pensionistico è garantita dalla soglia tra la produttività di breve periodo del lavoratore che resta occupato, attribuita al primo, e l’uscita permanente dal lavoro evitata, attribuita al secondo. Nessun euro è contato in entrambi i domini. La separazione tra il dominio pensionistico e il dominio welfaristico è garantita dalla distinzione tra prestazioni previdenziali e prestazioni assistenziali non previdenziali. Entrambe le decurtazioni sono riprese e applicate nella voce conclusiva (sezione 9.17).</w:t>
      </w:r>
    </w:p>
  </w:footnote>
  <w:footnote w:id="255">
    <w:p>
      <w:pPr>
        <w:pStyle w:val="FootnoteText"/>
      </w:pPr>
      <w:r>
        <w:rPr>
          <w:rStyle w:val="FootnoteReference"/>
        </w:rPr>
        <w:footnoteRef/>
      </w:r>
      <w:r>
        <w:t xml:space="preserve"> </w:t>
      </w:r>
      <w:r>
        <w:t xml:space="preserve">Il dominio produttivistico è trattato come sintesi che integra senza aggiungere, in applicazione della regola di non duplicazione enunciata nella sezione 1.5 e ripresa nell’introduzione alla presente parte. Esso conta esclusivamente la componente residua di output — mortalità prematura e capitale umano di lungo periodo — non già attribuita ai domini lavorativo (9.1, produttività del lavoratore occupato) e pensionistico (9.2, uscita permanente dal lavoro). L’approccio adottato è quello del capitale umano, in coerenza con gli altri domini produttivi e senza combinazione con il metodo del costo per attrito.</w:t>
      </w:r>
    </w:p>
  </w:footnote>
  <w:footnote w:id="256">
    <w:p>
      <w:pPr>
        <w:pStyle w:val="FootnoteText"/>
      </w:pPr>
      <w:r>
        <w:rPr>
          <w:rStyle w:val="FootnoteReference"/>
        </w:rPr>
        <w:footnoteRef/>
      </w:r>
      <w:r>
        <w:t xml:space="preserve"> </w:t>
      </w:r>
      <w:r>
        <w:t xml:space="preserve">I disturbi mentali sono associati a un eccesso di mortalità prematura, riconducibile tanto al suicidio quanto a un più elevato rischio di mortalità per cause somatiche concomitanti. La letteratura epidemiologica internazionale documenta una significativa riduzione dell’aspettativa di vita associata ai disturbi mentali gravi e un eccesso di mortalità anche per i disturbi comuni non trattati. La stima della quota di tale mortalità prevenibile dal solo intervento di primo livello è soggetta a evidenza di qualità bassa, e la relativa componente è quantificata con la massima prudenza; i dati regionali saranno acquisiti nella fase di consolidamento.</w:t>
      </w:r>
    </w:p>
  </w:footnote>
  <w:footnote w:id="257">
    <w:p>
      <w:pPr>
        <w:pStyle w:val="FootnoteText"/>
      </w:pPr>
      <w:r>
        <w:rPr>
          <w:rStyle w:val="FootnoteReference"/>
        </w:rPr>
        <w:footnoteRef/>
      </w:r>
      <w:r>
        <w:t xml:space="preserve"> </w:t>
      </w:r>
      <w:r>
        <w:t xml:space="preserve">La letteratura economica sul capitale umano documenta che il disagio psichico prolungato erode nel tempo le competenze, l’esperienza e le traiettorie professionali, generando una perdita dinamica di lungo periodo che eccede la perdita di produttività di breve periodo. La quantificazione di questa componente è prevalentemente teorica e soggetta a evidenza di qualità bassa; essa è inclusa nel dominio produttivistico come componente residua, distinta dalla produttività di breve periodo del dominio lavorativo.</w:t>
      </w:r>
    </w:p>
  </w:footnote>
  <w:footnote w:id="258">
    <w:p>
      <w:pPr>
        <w:pStyle w:val="FootnoteText"/>
      </w:pPr>
      <w:r>
        <w:rPr>
          <w:rStyle w:val="FootnoteReference"/>
        </w:rPr>
        <w:footnoteRef/>
      </w:r>
      <w:r>
        <w:t xml:space="preserve"> </w:t>
      </w:r>
      <w:r>
        <w:t xml:space="preserve">La valutazione monetaria dell’assistenza informale prestata dai caregiver può essere condotta secondo l’approccio del costo di sostituzione, che la valuta al costo di un’assistenza professionale equivalente, o secondo l’approccio del costo opportunità, che la valuta al valore delle attività alternative cui i caregiver potrebbero dedicarsi. I due approcci producono stime diverse e non sono combinati; la presente parte adotta un criterio prudenziale dichiarato. Cfr. la letteratura sull’economia dell’assistenza informale e la scheda metodologica nell’appendice C.</w:t>
      </w:r>
    </w:p>
  </w:footnote>
  <w:footnote w:id="259">
    <w:p>
      <w:pPr>
        <w:pStyle w:val="FootnoteText"/>
      </w:pPr>
      <w:r>
        <w:rPr>
          <w:rStyle w:val="FootnoteReference"/>
        </w:rPr>
        <w:footnoteRef/>
      </w:r>
      <w:r>
        <w:t xml:space="preserve"> </w:t>
      </w:r>
      <w:r>
        <w:t xml:space="preserve">Il dominio assistenzialistico fonda la propria additività rispetto agli altri domini su una distinzione di soggetti: esso riguarda i caregiver, persone diverse dal paziente. La produttività del caregiver conservata, in particolare, non si sovrappone alla produttività del paziente colta dal dominio lavorativo (9.1), poiché si tratta di soggetti diversi; le due grandezze sono pertanto distinte e sommabili. Questa è la peculiarità della non duplicazione nel dominio assistenzialistico.</w:t>
      </w:r>
    </w:p>
  </w:footnote>
  <w:footnote w:id="260">
    <w:p>
      <w:pPr>
        <w:pStyle w:val="FootnoteText"/>
      </w:pPr>
      <w:r>
        <w:rPr>
          <w:rStyle w:val="FootnoteReference"/>
        </w:rPr>
        <w:footnoteRef/>
      </w:r>
      <w:r>
        <w:t xml:space="preserve"> </w:t>
      </w:r>
      <w:r>
        <w:t xml:space="preserve">La graduazione del dominio welfaristico è da intermedia a bassa per la forte mediazione esercitata dal contesto socio-economico sulla traduzione del miglioramento clinico in minore ricorso alle prestazioni assistenziali. In una regione segnata dal disagio sociale come la Puglia, la relazione tra disagio psichico e ricorso all’assistenza è intrecciata con fattori economici e occupazionali indipendenti, che complicano l’attribuzione e impongono bande prudenziali ampie.</w:t>
      </w:r>
    </w:p>
  </w:footnote>
  <w:footnote w:id="261">
    <w:p>
      <w:pPr>
        <w:pStyle w:val="FootnoteText"/>
      </w:pPr>
      <w:r>
        <w:rPr>
          <w:rStyle w:val="FootnoteReference"/>
        </w:rPr>
        <w:footnoteRef/>
      </w:r>
      <w:r>
        <w:t xml:space="preserve"> </w:t>
      </w:r>
      <w:r>
        <w:t xml:space="preserve">La distinzione tra il dominio pensionistico (9.2) e il dominio welfaristico (9.5) si fonda sulla base giuridica della prestazione: il dominio pensionistico coglie le prestazioni previdenziali fondate sulla contribuzione (pensioni di inabilità, assegni di invalidità) e le prestazioni di invalidità civile a carattere pensionistico; il dominio welfaristico coglie le prestazioni assistenziali fondate sul bisogno e non sulla contribuzione (indennità di accompagnamento e prestazioni analoghe, misure di sostegno al reddito). Le due categorie sono distinte e non sovrapposte; la decurtazione per non duplicazione è ripresa nella sezione 9.17.</w:t>
      </w:r>
    </w:p>
  </w:footnote>
  <w:footnote w:id="262">
    <w:p>
      <w:pPr>
        <w:pStyle w:val="FootnoteText"/>
      </w:pPr>
      <w:r>
        <w:rPr>
          <w:rStyle w:val="FootnoteReference"/>
        </w:rPr>
        <w:footnoteRef/>
      </w:r>
      <w:r>
        <w:t xml:space="preserve"> </w:t>
      </w:r>
      <w:r>
        <w:t xml:space="preserve">L’attribuzione al disagio psichico prevenibile di una quota della spesa assistenziale non previdenziale è resa difficile, nel contesto pugliese, dall’intreccio tra disagio psichico e disagio socio-economico, ciascuno dei quali può essere causa o conseguenza dell’altro. La stima isola prudenzialmente la sola quota plausibilmente riconducibile al disagio psichico prevenibile, e la verifica documentale, nella fase di consolidamento, mirerà a precisare tale attribuzione sui dati regionali.</w:t>
      </w:r>
    </w:p>
  </w:footnote>
  <w:footnote w:id="263">
    <w:p>
      <w:pPr>
        <w:pStyle w:val="FootnoteText"/>
      </w:pPr>
      <w:r>
        <w:rPr>
          <w:rStyle w:val="FootnoteReference"/>
        </w:rPr>
        <w:footnoteRef/>
      </w:r>
      <w:r>
        <w:t xml:space="preserve"> </w:t>
      </w:r>
      <w:r>
        <w:t xml:space="preserve">Il dominio prevenzionalistico è trattato, come il produttivistico, come ambito in parte trasversale: la prevenzione è il meccanismo attraverso cui la riforma genera la maggior parte dei propri benefici, già contabilizzati come benefici presenti nei risparmi diretti (parte ottava) e nei domini lavorativo (9.1) e pensionistico (9.2). Per evitare il doppio conteggio, il dominio quantifica la sola componente prospettica residua — i costi futuri evitati attraverso la prevenzione delle ricadute e della cronicizzazione — non già colta come beneficio presente dagli altri domini.</w:t>
      </w:r>
    </w:p>
  </w:footnote>
  <w:footnote w:id="264">
    <w:p>
      <w:pPr>
        <w:pStyle w:val="FootnoteText"/>
      </w:pPr>
      <w:r>
        <w:rPr>
          <w:rStyle w:val="FootnoteReference"/>
        </w:rPr>
        <w:footnoteRef/>
      </w:r>
      <w:r>
        <w:t xml:space="preserve"> </w:t>
      </w:r>
      <w:r>
        <w:t xml:space="preserve">La distinzione tra i tre livelli di prevenzione (primaria, secondaria, terziaria) è quella consolidata nella sanità pubblica. La prevenzione secondaria, su cui lo Psicologo di Base opera più direttamente attraverso l’intercettazione precoce, e la prevenzione terziaria, che contiene la progressione del disturbo conclamato, generano un valore prospettico di costi futuri evitati. La componente presente di tale valore è già contabilizzata altrove; il dominio coglie la sola componente prospettica residua, attualizzata.</w:t>
      </w:r>
    </w:p>
  </w:footnote>
  <w:footnote w:id="265">
    <w:p>
      <w:pPr>
        <w:pStyle w:val="FootnoteText"/>
      </w:pPr>
      <w:r>
        <w:rPr>
          <w:rStyle w:val="FootnoteReference"/>
        </w:rPr>
        <w:footnoteRef/>
      </w:r>
      <w:r>
        <w:t xml:space="preserve"> </w:t>
      </w:r>
      <w:r>
        <w:t xml:space="preserve">La quantificazione della prevenzione delle ricadute e della cronicizzazione si fonda sulla letteratura relativa all’efficacia di lungo periodo della presa in carico e del monitoraggio, e sui modelli di decorso del disturbo. Questa componente è strettamente collegata alla modellazione di lungo periodo della parte undicesima (modello di Markov e microsimulazione), che proietta nel tempo i decorsi e i costi; la stima della componente residua sarà coordinata con tale modellazione nella fase di consolidamento.</w:t>
      </w:r>
    </w:p>
  </w:footnote>
  <w:footnote w:id="266">
    <w:p>
      <w:pPr>
        <w:pStyle w:val="FootnoteText"/>
      </w:pPr>
      <w:r>
        <w:rPr>
          <w:rStyle w:val="FootnoteReference"/>
        </w:rPr>
        <w:footnoteRef/>
      </w:r>
      <w:r>
        <w:t xml:space="preserve"> </w:t>
      </w:r>
      <w:r>
        <w:t xml:space="preserve">La graduazione del dominio criminologico è bassa, tra le più basse della parte, in ragione della lunghezza e dell’incertezza della catena causale, della limitatezza e della natura mediata della frazione su cui il dominio agisce, e della difficoltà di attribuire al solo intervento di cura un esito determinato da una pluralità di fattori sociali ed economici. La banda del beneficio è di conseguenza ampia, e la stima centrale è deliberatamente contenuta.</w:t>
      </w:r>
    </w:p>
  </w:footnote>
  <w:footnote w:id="267">
    <w:p>
      <w:pPr>
        <w:pStyle w:val="FootnoteText"/>
      </w:pPr>
      <w:r>
        <w:rPr>
          <w:rStyle w:val="FootnoteReference"/>
        </w:rPr>
        <w:footnoteRef/>
      </w:r>
      <w:r>
        <w:t xml:space="preserve"> </w:t>
      </w:r>
      <w:r>
        <w:t xml:space="preserve">La letteratura criminologica ed epidemiologica documenta in modo concorde che la grande maggioranza delle persone con disturbi psichici non è coinvolta in alcuna forma di devianza, e che esse sono più frequentemente vittime che autrici di atti di violenza. La relazione tra disagio e contatto con il sistema giudiziario, ove esista, è indiretta e mediata da fattori quali l’abbandono, l’esclusione sociale e la concomitanza di altri fattori di disagio, e riguarda prevalentemente i disturbi gravi non trattati. Il dominio non misura un nesso tra disturbo e devianza, ma il valore della cura nel prevenire l’abbandono da cui un contatto penale può trarre origine in una frazione piccola e mediata di situazioni.</w:t>
      </w:r>
    </w:p>
  </w:footnote>
  <w:footnote w:id="268">
    <w:p>
      <w:pPr>
        <w:pStyle w:val="FootnoteText"/>
      </w:pPr>
      <w:r>
        <w:rPr>
          <w:rStyle w:val="FootnoteReference"/>
        </w:rPr>
        <w:footnoteRef/>
      </w:r>
      <w:r>
        <w:t xml:space="preserve"> </w:t>
      </w:r>
      <w:r>
        <w:t xml:space="preserve">I dati sulla presenza di persone con disturbi psichici non adeguatamente presi in carico nel circuito penale e detentivo, e sull’efficacia dei percorsi di diversione verso la cura e di reinserimento, vanno trattati con cautela e nel rispetto della dignità delle persone. Essi riguardano una frazione limitata del fenomeno complessivo e saranno acquisiti, nel rispetto di tali cautele, nella fase di consolidamento; la loro lettura resterà sempre vincolata all’interpretazione corretta del dominio.</w:t>
      </w:r>
    </w:p>
  </w:footnote>
  <w:footnote w:id="269">
    <w:p>
      <w:pPr>
        <w:pStyle w:val="FootnoteText"/>
      </w:pPr>
      <w:r>
        <w:rPr>
          <w:rStyle w:val="FootnoteReference"/>
        </w:rPr>
        <w:footnoteRef/>
      </w:r>
      <w:r>
        <w:t xml:space="preserve"> </w:t>
      </w:r>
      <w:r>
        <w:t xml:space="preserve">Il beneficio burocratico riguarda l’efficienza del processo amministrativo — il costo del tempo dedicato agli adempimenti e alla gestione — distinto dal costo sostanziale delle prestazioni, già colto dagli altri domini. La distinzione tra costo del processo e costo della prestazione garantisce la non duplicazione. La graduazione è intermedia per l’effetto organizzativo di semplificazione e più incerta per la sua quantificazione economica, che dipende dalla misurazione del tempo amministrativo risparmiato.</w:t>
      </w:r>
    </w:p>
  </w:footnote>
  <w:footnote w:id="270">
    <w:p>
      <w:pPr>
        <w:pStyle w:val="FootnoteText"/>
      </w:pPr>
      <w:r>
        <w:rPr>
          <w:rStyle w:val="FootnoteReference"/>
        </w:rPr>
        <w:footnoteRef/>
      </w:r>
      <w:r>
        <w:t xml:space="preserve"> </w:t>
      </w:r>
      <w:r>
        <w:t xml:space="preserve">Il dominio culturale è trattato come dominio a prevalente natura qualitativa: solo la componente dello stigma come barriera all’accesso è quantificata, nella sua quota monetizzabile residua, mentre l’alfabetizzazione psicologica è riconosciuta nella sua dimensione qualitativa e non monetizzata. L’esclusione del qualitativo dall’aggregato monetario non ne nega il valore, ma ne rispetta l’irriducibilità, ed evita di attribuire una falsa precisione numerica a un bene immateriale. Questo criterio governa i domini a prevalente natura culturale, formativa e relazionale della presente tranche.</w:t>
      </w:r>
    </w:p>
  </w:footnote>
  <w:footnote w:id="271">
    <w:p>
      <w:pPr>
        <w:pStyle w:val="FootnoteText"/>
      </w:pPr>
      <w:r>
        <w:rPr>
          <w:rStyle w:val="FootnoteReference"/>
        </w:rPr>
        <w:footnoteRef/>
      </w:r>
      <w:r>
        <w:t xml:space="preserve"> </w:t>
      </w:r>
      <w:r>
        <w:t xml:space="preserve">Lo stigma, sociale e interiorizzato, costituisce una barriera documentata all’accesso alle cure per la salute mentale, e ritarda la richiesta di aiuto. La letteratura sulla salute pubblica documenta l’effetto dello stigma sul ritardo nell’accesso e l’effetto di normalizzazione esercitato dalla prossimità e dalla diffusione dei servizi. La componente monetizzata del dominio culturale coglie la sola quota della riduzione del ritardo non già contabilizzata dai domini sanitari e produttivi e dal dominio prevenzionalistico.</w:t>
      </w:r>
    </w:p>
  </w:footnote>
  <w:footnote w:id="272">
    <w:p>
      <w:pPr>
        <w:pStyle w:val="FootnoteText"/>
      </w:pPr>
      <w:r>
        <w:rPr>
          <w:rStyle w:val="FootnoteReference"/>
        </w:rPr>
        <w:footnoteRef/>
      </w:r>
      <w:r>
        <w:t xml:space="preserve"> </w:t>
      </w:r>
      <w:r>
        <w:t xml:space="preserve">Il disagio psichico in età evolutiva incide su un capitale umano in formazione, e le sue conseguenze, se il disturbo non è intercettato, si protraggono per l’intera vita, con la dispersione scolastica quale esito più grave sul piano del capitale umano. La relazione tra disagio non trattato e dispersione è mediata dal contesto socio-economico, particolarmente rilevante in Puglia. Il valore del capitale umano dei giovani preservato è valutato secondo l’approccio del capitale umano e attualizzato, data la sua proiezione sulla vita futura.</w:t>
      </w:r>
    </w:p>
  </w:footnote>
  <w:footnote w:id="273">
    <w:p>
      <w:pPr>
        <w:pStyle w:val="FootnoteText"/>
      </w:pPr>
      <w:r>
        <w:rPr>
          <w:rStyle w:val="FootnoteReference"/>
        </w:rPr>
        <w:footnoteRef/>
      </w:r>
      <w:r>
        <w:t xml:space="preserve"> </w:t>
      </w:r>
      <w:r>
        <w:t xml:space="preserve">La distinzione tra il dominio pedagogico-scolastico (9.10) e i domini lavorativo (9.1) e produttivistico (9.3) si fonda sulla diversa popolazione e sulla diversa fase del ciclo di vita: il dominio pedagogico-scolastico riguarda la popolazione giovanile in formazione, i domini lavorativo e produttivistico la popolazione adulta occupata. Il capitale umano dei giovani preservato non si sovrappone alla produttività degli adulti né al loro capitale umano di lungo periodo; le popolazioni e le fasi sono diverse. La decurtazione per non duplicazione è ripresa nella sezione 9.17.</w:t>
      </w:r>
    </w:p>
  </w:footnote>
  <w:footnote w:id="274">
    <w:p>
      <w:pPr>
        <w:pStyle w:val="FootnoteText"/>
      </w:pPr>
      <w:r>
        <w:rPr>
          <w:rStyle w:val="FootnoteReference"/>
        </w:rPr>
        <w:footnoteRef/>
      </w:r>
      <w:r>
        <w:t xml:space="preserve"> </w:t>
      </w:r>
      <w:r>
        <w:t xml:space="preserve">Il dominio accademico è quello in cui il divario tra valore reale e valore monetizzabile è più ampio: il valore della riforma come infrastruttura di conoscenza, di ricerca e di innovazione è reale e potenzialmente rilevante, ma prevalentemente qualitativo e di lungo periodo. Solo la quota traducibile della generazione di evidenza è monetizzata, in misura minima; l’innovazione e la formazione sono riconosciute qualitativamente e non monetizzate, nel rispetto della loro natura immateriale.</w:t>
      </w:r>
    </w:p>
  </w:footnote>
  <w:footnote w:id="275">
    <w:p>
      <w:pPr>
        <w:pStyle w:val="FootnoteText"/>
      </w:pPr>
      <w:r>
        <w:rPr>
          <w:rStyle w:val="FootnoteReference"/>
        </w:rPr>
        <w:footnoteRef/>
      </w:r>
      <w:r>
        <w:t xml:space="preserve"> </w:t>
      </w:r>
      <w:r>
        <w:t xml:space="preserve">Il dominio industriale coglie il livello dell’organizzazione — turnover, costi di sostituzione, clima organizzativo — distinto dal livello individuale del lavoratore colto dal dominio lavorativo (9.1). La graduazione è intermedia, soggetta alla difficoltà di misurare il valore organizzativo distintamente da quello individuale e alla qualità variabile dell’evidenza sulla relazione tra benessere, turnover e clima.</w:t>
      </w:r>
    </w:p>
  </w:footnote>
  <w:footnote w:id="276">
    <w:p>
      <w:pPr>
        <w:pStyle w:val="FootnoteText"/>
      </w:pPr>
      <w:r>
        <w:rPr>
          <w:rStyle w:val="FootnoteReference"/>
        </w:rPr>
        <w:footnoteRef/>
      </w:r>
      <w:r>
        <w:t xml:space="preserve"> </w:t>
      </w:r>
      <w:r>
        <w:t xml:space="preserve">La distinzione tra il dominio industriale (9.12) e il dominio lavorativo (9.1) si fonda sul diverso livello di analisi: il dominio lavorativo coglie la produttività del singolo lavoratore (assenteismo, presenteismo individuali); il dominio industriale coglie gli effetti a livello dell’organizzazione (turnover, costi di sostituzione, clima). I due livelli sono distinti e additivi, perché colgono dimensioni diverse — l’individuo e l’organizzazione — del medesimo fenomeno. La decurtazione per non duplicazione è ripresa nella sezione 9.17.</w:t>
      </w:r>
    </w:p>
  </w:footnote>
  <w:footnote w:id="277">
    <w:p>
      <w:pPr>
        <w:pStyle w:val="FootnoteText"/>
      </w:pPr>
      <w:r>
        <w:rPr>
          <w:rStyle w:val="FootnoteReference"/>
        </w:rPr>
        <w:footnoteRef/>
      </w:r>
      <w:r>
        <w:t xml:space="preserve"> </w:t>
      </w:r>
      <w:r>
        <w:t xml:space="preserve">Il dominio sindacale reca un valore prevalentemente istituzionale, connesso al rafforzamento della tutela della salute mentale dei lavoratori e della cultura della prevenzione del rischio psicosociale. Solo la minima componente residua del sostegno alla prevenzione del rischio psicosociale è monetizzata, distinta dai domini lavorativo (9.1) e industriale (9.12); il rafforzamento della tutela collettiva è riconosciuto nella sua dimensione istituzionale e non monetizzato.</w:t>
      </w:r>
    </w:p>
  </w:footnote>
  <w:footnote w:id="278">
    <w:p>
      <w:pPr>
        <w:pStyle w:val="FootnoteText"/>
      </w:pPr>
      <w:r>
        <w:rPr>
          <w:rStyle w:val="FootnoteReference"/>
        </w:rPr>
        <w:footnoteRef/>
      </w:r>
      <w:r>
        <w:t xml:space="preserve"> </w:t>
      </w:r>
      <w:r>
        <w:t xml:space="preserve">Il rischio psicosociale — lo stress lavoro-correlato e i fattori organizzativi e relazionali che incidono sulla salute mentale — è riconosciuto tra i rischi da prevenire nei luoghi di lavoro dalla normativa sulla sicurezza. La tutela della salute mentale dei lavoratori è una funzione della protezione collettiva, su cui la riforma incide indirettamente rafforzando la disponibilità di cure prossime; la componente monetizzata coglie la sola quota residua non già attribuita ai domini lavorativo e industriale.</w:t>
      </w:r>
    </w:p>
  </w:footnote>
  <w:footnote w:id="279">
    <w:p>
      <w:pPr>
        <w:pStyle w:val="FootnoteText"/>
      </w:pPr>
      <w:r>
        <w:rPr>
          <w:rStyle w:val="FootnoteReference"/>
        </w:rPr>
        <w:footnoteRef/>
      </w:r>
      <w:r>
        <w:t xml:space="preserve"> </w:t>
      </w:r>
      <w:r>
        <w:t xml:space="preserve">Il dominio antropologico è trattato come genuinamente non monetizzabile: il valore della trasformazione del rapporto della comunità con la sofferenza psichica e dell’accrescimento della sua capacità di accoglienza e cura informale è profondo e reale, ma di natura tale da non potersi ridurre a una cifra senza tradirlo. La sua esclusione dall’aggregato monetario è una scelta di rigore e di rispetto per la natura del valore, non un segno di marginalità; il valore è riconosciuto nella sua dimensione qualitativa e antropologica.</w:t>
      </w:r>
    </w:p>
  </w:footnote>
  <w:footnote w:id="280">
    <w:p>
      <w:pPr>
        <w:pStyle w:val="FootnoteText"/>
      </w:pPr>
      <w:r>
        <w:rPr>
          <w:rStyle w:val="FootnoteReference"/>
        </w:rPr>
        <w:footnoteRef/>
      </w:r>
      <w:r>
        <w:t xml:space="preserve"> </w:t>
      </w:r>
      <w:r>
        <w:t xml:space="preserve">Il dominio sociale, come l’antropologico, è trattato come genuinamente non monetizzabile: il capitale sociale — il patrimonio immateriale di fiducia, reti di relazioni, partecipazione e coesione — è un bene collettivo e relazionale, reale e fondamentale per il benessere delle comunità, ma irriducibile alla misura monetaria. La presenza di domini non monetizzati nel perimetro integrale riconosce che non tutto il valore generato dalla riforma è monetizzabile, e che la pluralità dei valori esige una pluralità di trattamenti.</w:t>
      </w:r>
    </w:p>
  </w:footnote>
  <w:footnote w:id="281">
    <w:p>
      <w:pPr>
        <w:pStyle w:val="FootnoteText"/>
      </w:pPr>
      <w:r>
        <w:rPr>
          <w:rStyle w:val="FootnoteReference"/>
        </w:rPr>
        <w:footnoteRef/>
      </w:r>
      <w:r>
        <w:t xml:space="preserve"> </w:t>
      </w:r>
      <w:r>
        <w:t xml:space="preserve">Il dominio finanziario è trattato come lente di consolidamento, non come addendo autonomo, in applicazione della regola di non duplicazione: esso ricompone in una prospettiva finanziaria unitaria gli effetti sui bilanci regionali già attribuiti agli altri domini e ai risparmi diretti (parte ottava), senza ricontarli. Solo la componente residua di stabilizzazione e prevedibilità dei bilanci — distinta dall’entità della spesa, già contabilizzata — è quantificata. La sintesi finanziaria compiuta è sviluppata nella decima parte (analisi di impatto di bilancio) e nell’undicesima (modellazione di lungo periodo).</w:t>
      </w:r>
    </w:p>
  </w:footnote>
  <w:footnote w:id="282">
    <w:p>
      <w:pPr>
        <w:pStyle w:val="FootnoteText"/>
      </w:pPr>
      <w:r>
        <w:rPr>
          <w:rStyle w:val="FootnoteReference"/>
        </w:rPr>
        <w:footnoteRef/>
      </w:r>
      <w:r>
        <w:t xml:space="preserve"> </w:t>
      </w:r>
      <w:r>
        <w:t xml:space="preserve">La funzione di consolidamento del dominio finanziario non aggiunge valore, ma lo ricompone: essa ricostruisce il quadro complessivo dell’impatto della riforma sui bilanci regionali a partire dagli effetti già attribuiti agli altri domini, offrendo al decisore una visione finanziaria unitaria. Il doppio conteggio è evitato distinguendo la ricomposizione (che non riconta) dalla sola componente residua di stabilizzazione (che il dominio aggiunge in proprio).</w:t>
      </w:r>
    </w:p>
  </w:footnote>
  <w:footnote w:id="283">
    <w:p>
      <w:pPr>
        <w:pStyle w:val="FootnoteText"/>
      </w:pPr>
      <w:r>
        <w:rPr>
          <w:rStyle w:val="FootnoteReference"/>
        </w:rPr>
        <w:footnoteRef/>
      </w:r>
      <w:r>
        <w:t xml:space="preserve"> </w:t>
      </w:r>
      <w:r>
        <w:t xml:space="preserve">Con il dominio finanziario il perimetro multidisciplinare integrale è interamente percorso: sedici domini, dal lavorativo al finanziario, attraversati ciascuno nella sua natura — economica, sociale, culturale, istituzionale, relazionale o di sintesi — e con il rispetto costante della regola di non duplicazione. La voce conclusiva (sezione 9.17) ricompone i domini monetizzabili in un aggregato netto, applica le decurtazioni per le sovrapposizioni residue tra domini contigui, e ne verifica la coerenza con l’ancora invariante di Chisholm.</w:t>
      </w:r>
    </w:p>
  </w:footnote>
  <w:footnote w:id="284">
    <w:p>
      <w:pPr>
        <w:pStyle w:val="FootnoteText"/>
      </w:pPr>
      <w:r>
        <w:rPr>
          <w:rStyle w:val="FootnoteReference"/>
        </w:rPr>
        <w:footnoteRef/>
      </w:r>
      <w:r>
        <w:t xml:space="preserve"> </w:t>
      </w:r>
      <w:r>
        <w:t xml:space="preserve">La distinzione tra le grandezze fiscali dirette (risparmi per il bilancio sanitario regionale, parte ottava) e le grandezze sociali indirette (benefici per il tessuto economico e sociale, parte nona) è imposta dalla regola di non duplicazione enunciata nella prima parte (sezione 1.5). Le due categorie sono ricomposte nel saldo consolidato (sezione 10.5) in colonne distinte, ma non sono mai sommate in un’unica cifra. La presente parte aggiunge una terza dimensione, quella di salute, stabilita dalla valutazione costo-utilità, anch’essa tenuta distinta dalle prime due.</w:t>
      </w:r>
    </w:p>
  </w:footnote>
  <w:footnote w:id="285">
    <w:p>
      <w:pPr>
        <w:pStyle w:val="FootnoteText"/>
      </w:pPr>
      <w:r>
        <w:rPr>
          <w:rStyle w:val="FootnoteReference"/>
        </w:rPr>
        <w:footnoteRef/>
      </w:r>
      <w:r>
        <w:t xml:space="preserve"> </w:t>
      </w:r>
      <w:r>
        <w:t xml:space="preserve">Il rapporto incrementale costo-efficacia esprime il costo per anno di vita in buona salute guadagnato (QALY), e si confronta con una soglia convenzionale di disponibilità a pagare. La soglia comunemente adottata nella letteratura economico-sanitaria europea e italiana è dell’ordine di 25.000–40.000 euro per QALY; valori analoghi sono impiegati da agenzie di valutazione internazionali. La valutazione adotta prudenzialmente tale intervallo come riferimento e, per la monetizzazione, il valore intermedio dell’ordine di 30.000 euro per QALY.</w:t>
      </w:r>
    </w:p>
  </w:footnote>
  <w:footnote w:id="286">
    <w:p>
      <w:pPr>
        <w:pStyle w:val="FootnoteText"/>
      </w:pPr>
      <w:r>
        <w:rPr>
          <w:rStyle w:val="FootnoteReference"/>
        </w:rPr>
        <w:footnoteRef/>
      </w:r>
      <w:r>
        <w:t xml:space="preserve"> </w:t>
      </w:r>
      <w:r>
        <w:t xml:space="preserve">Il rapporto incrementale costo-efficacia è calcolato in via prudenziale sul costo diretto lordo, senza dedurre i risparmi diretti, ottenendo un rapporto conservativo (dell’ordine di 16.000–19.000 euro per QALY nei tre scenari) ampiamente inferiore alla soglia. Il rapporto netto dei risparmi diretti, più favorevole, è soggetto al caveat dell’IMPACT trial (Unützer et al. 2008) sulla significatività statistica dei risparmi sanitari diretti; la valutazione si fonda perciò sul rapporto lordo, indenne dal caveat.</w:t>
      </w:r>
    </w:p>
  </w:footnote>
  <w:footnote w:id="287">
    <w:p>
      <w:pPr>
        <w:pStyle w:val="FootnoteText"/>
      </w:pPr>
      <w:r>
        <w:rPr>
          <w:rStyle w:val="FootnoteReference"/>
        </w:rPr>
        <w:footnoteRef/>
      </w:r>
      <w:r>
        <w:t xml:space="preserve"> </w:t>
      </w:r>
      <w:r>
        <w:t xml:space="preserve">Il passaggio dalla prima fascia di Chisholm (soli benefici economici, 2,3–3,0 a 1) alla seconda (con ritorni di salute, 3,3–5,7 a 1) è operato dall’aggiunta del valore monetizzato dei guadagni di salute ai benefici economici indiretti. Il rapporto dei soli benefici economici (~2,6, ~2,6, ~2,8 a 1) si colloca nella prima fascia; il rapporto con valore della salute (~4,2, ~4,3, ~4,6 a 1) nella seconda. La duplice collocazione costituisce una seconda convergenza con la letteratura, dopo quella della nona parte. Il valore della salute è composto con i benefici economici per il solo calcolo del rapporto, e non sommato ai risparmi diretti.</w:t>
      </w:r>
    </w:p>
  </w:footnote>
  <w:footnote w:id="288">
    <w:p>
      <w:pPr>
        <w:pStyle w:val="FootnoteText"/>
      </w:pPr>
      <w:r>
        <w:rPr>
          <w:rStyle w:val="FootnoteReference"/>
        </w:rPr>
        <w:footnoteRef/>
      </w:r>
      <w:r>
        <w:t xml:space="preserve"> </w:t>
      </w:r>
      <w:r>
        <w:t xml:space="preserve">La costo-efficacia della riforma, stabilita sul rapporto lordo, è il risultato più robusto della voce, perché non dipende né dai risparmi diretti né dai benefici indiretti, ma soltanto dal rapporto tra costo diretto e guadagni di salute, sostenuto da evidenza graduata da moderata ad alta (sesta parte). La monetizzazione del valore dei guadagni di salute dipende invece dal valore convenzionale dell’anno di vita in buona salute, una convenzione dichiarata; le bande prudenziali dei guadagni di salute si propagano ai rapporti, verificati sui valori centrali. La proiezione pluriennale è riservata alla modellazione (undicesima parte).</w:t>
      </w:r>
    </w:p>
  </w:footnote>
  <w:footnote w:id="289">
    <w:p>
      <w:pPr>
        <w:pStyle w:val="FootnoteText"/>
      </w:pPr>
      <w:r>
        <w:rPr>
          <w:rStyle w:val="FootnoteReference"/>
        </w:rPr>
        <w:footnoteRef/>
      </w:r>
      <w:r>
        <w:t xml:space="preserve"> </w:t>
      </w:r>
      <w:r>
        <w:t xml:space="preserve">L’analisi di impatto di bilancio (Budget Impact Analysis) misura la sostenibilità finanziaria di un intervento per un bilancio determinato in un orizzonte definito, ed è complementare alla valutazione costo-efficacia, che ne misura l’efficienza. Un intervento può essere costo-efficace e tuttavia comportare un impatto di bilancio rilevante se la popolazione è ampia, o viceversa; la valutazione completa richiede entrambe le analisi. Cfr. Drummond et al. 2015 per l’impianto metodologico delle due analisi.</w:t>
      </w:r>
    </w:p>
  </w:footnote>
  <w:footnote w:id="290">
    <w:p>
      <w:pPr>
        <w:pStyle w:val="FootnoteText"/>
      </w:pPr>
      <w:r>
        <w:rPr>
          <w:rStyle w:val="FootnoteReference"/>
        </w:rPr>
        <w:footnoteRef/>
      </w:r>
      <w:r>
        <w:t xml:space="preserve"> </w:t>
      </w:r>
      <w:r>
        <w:t xml:space="preserve">La traiettoria quinquennale dell’impatto di bilancio (scenario intermedio) modella il crescere dei costi (22, 32, 38, 38, 38 milioni) e il ritardato maturare dei risparmi (2, 9, 18, 27, 34 milioni), con impatto netto sul bilancio sanitario di +20, +23, +20, +11, +4 milioni nei cinque anni. L’impatto cumulato del quinquennio è dell’ordine di 78 milioni, concentrato nei primi anni. Il pareggio quasi raggiunto al quinto anno è coerente con il saldo fiscale diretto a regime stabilito dall’ottava parte.</w:t>
      </w:r>
    </w:p>
  </w:footnote>
  <w:footnote w:id="291">
    <w:p>
      <w:pPr>
        <w:pStyle w:val="FootnoteText"/>
      </w:pPr>
      <w:r>
        <w:rPr>
          <w:rStyle w:val="FootnoteReference"/>
        </w:rPr>
        <w:footnoteRef/>
      </w:r>
      <w:r>
        <w:t xml:space="preserve"> </w:t>
      </w:r>
      <w:r>
        <w:t xml:space="preserve">La variante prudenziale dell’analisi di impatto di bilancio esclude i risparmi diretti, in ossequio al caveat dell’IMPACT trial (Unützer et al. 2008), e computa il solo costo lordo: l’impatto netto coincide con il costo, ~38 milioni l’anno a regime, e l’impatto cumulato del quinquennio è dell’ordine di 168 milioni, contro i 78 della variante centrale. La differenza (~90 milioni cumulati) è il valore dei risparmi diretti. La conclusione di sostenibilità, fondandosi anche sulla variante prudenziale, è robusta rispetto al caveat.</w:t>
      </w:r>
    </w:p>
  </w:footnote>
  <w:footnote w:id="292">
    <w:p>
      <w:pPr>
        <w:pStyle w:val="FootnoteText"/>
      </w:pPr>
      <w:r>
        <w:rPr>
          <w:rStyle w:val="FootnoteReference"/>
        </w:rPr>
        <w:footnoteRef/>
      </w:r>
      <w:r>
        <w:t xml:space="preserve"> </w:t>
      </w:r>
      <w:r>
        <w:t xml:space="preserve">La sostenibilità è valutata rapportando l’impatto di bilancio al Fondo Sanitario Regionale della Puglia, dell’ordine di alcuni miliardi di euro l’anno (ordine di grandezza ~8.000 milioni). Il costo lordo a regime (~38 milioni) è dell’ordine di mezzo punto percentuale del Fondo; l’impatto netto della variante centrale a regime (~4 milioni) è una frazione trascurabile (~0,05%); anche la variante prudenziale resta entro mezzo punto percentuale. La riforma è perciò ampiamente sostenibile per il bilancio sanitario regionale.</w:t>
      </w:r>
    </w:p>
  </w:footnote>
  <w:footnote w:id="293">
    <w:p>
      <w:pPr>
        <w:pStyle w:val="FootnoteText"/>
      </w:pPr>
      <w:r>
        <w:rPr>
          <w:rStyle w:val="FootnoteReference"/>
        </w:rPr>
        <w:footnoteRef/>
      </w:r>
      <w:r>
        <w:t xml:space="preserve"> </w:t>
      </w:r>
      <w:r>
        <w:t xml:space="preserve">La traiettoria dei costi è graduata alta (parametri di costo osservabili, settima parte); la traiettoria dei risparmi è graduata bassa (caveat IMPACT, profilo di maturazione stimato). L’impatto netto, differenza tra le due, eredita l’incertezza dei risparmi ed è presentato in due varianti (centrale e prudenziale) che ne delimitano l’intervallo. La conclusione di sostenibilità vale anche nella variante prudenziale, ed è perciò robusta. La proiezione oltre il quinquennio è riservata alla modellazione (undicesima parte).</w:t>
      </w:r>
    </w:p>
  </w:footnote>
  <w:footnote w:id="294">
    <w:p>
      <w:pPr>
        <w:pStyle w:val="FootnoteText"/>
      </w:pPr>
      <w:r>
        <w:rPr>
          <w:rStyle w:val="FootnoteReference"/>
        </w:rPr>
        <w:footnoteRef/>
      </w:r>
      <w:r>
        <w:t xml:space="preserve"> </w:t>
      </w:r>
      <w:r>
        <w:t xml:space="preserve">Il rendimento sociale dell’investimento (Social Return on Investment) misura il valore sociale complessivo creato per ogni euro investito, ed è la più ampia delle misure della valutazione, perché abbraccia i benefici sociali indiretti e il valore dei guadagni di salute. Esso si distingue dalla costo-efficacia (soli esiti di salute) e dall’analisi di impatto di bilancio (soli effetti sul bilancio sanitario). Cfr. la metodologia consolidata del rendimento sociale per l’impianto dei deflatori.</w:t>
      </w:r>
    </w:p>
  </w:footnote>
  <w:footnote w:id="295">
    <w:p>
      <w:pPr>
        <w:pStyle w:val="FootnoteText"/>
      </w:pPr>
      <w:r>
        <w:rPr>
          <w:rStyle w:val="FootnoteReference"/>
        </w:rPr>
        <w:footnoteRef/>
      </w:r>
      <w:r>
        <w:t xml:space="preserve"> </w:t>
      </w:r>
      <w:r>
        <w:t xml:space="preserve">I quattro deflatori del rendimento sociale — per ciò che si sarebbe verificato comunque (deadweight, ~15%), per l’attribuzione ad altri fattori (~8%), per gli effetti spostati altrove (displacement, ~4%) e per il decadimento nel tempo (minimo, riferito all’orizzonte annuale) — si compongono in un fattore di ritenzione dell’ordine di 0,75, corrispondente a una riduzione complessiva del valore lordo dell’ordine di un quarto. La riduzione è il presidio di prudenza del metodo, che attribuisce alla riforma il solo valore genuinamente imputabile.</w:t>
      </w:r>
    </w:p>
  </w:footnote>
  <w:footnote w:id="296">
    <w:p>
      <w:pPr>
        <w:pStyle w:val="FootnoteText"/>
      </w:pPr>
      <w:r>
        <w:rPr>
          <w:rStyle w:val="FootnoteReference"/>
        </w:rPr>
        <w:footnoteRef/>
      </w:r>
      <w:r>
        <w:t xml:space="preserve"> </w:t>
      </w:r>
      <w:r>
        <w:t xml:space="preserve">Il rendimento sociale netto (~3,1, ~3,2, ~3,5 a 1 nei tre scenari) è calcolato sul valore sociale netto (~78, ~123, ~174 milioni) rapportato all’investimento (~25, ~38, ~50 milioni). Esso è deliberatamente più conservativo del rapporto lordo con valore della salute (~4,2, ~4,3, ~4,6 a 1, voce 10.1), e la differenza è l’effetto dei deflatori. Il rendimento netto si colloca in prossimità del margine inferiore della fascia superiore di Chisholm (3,3–5,7 a 1), a conferma della robustezza del valore anche con il metodo più prudente.</w:t>
      </w:r>
    </w:p>
  </w:footnote>
  <w:footnote w:id="297">
    <w:p>
      <w:pPr>
        <w:pStyle w:val="FootnoteText"/>
      </w:pPr>
      <w:r>
        <w:rPr>
          <w:rStyle w:val="FootnoteReference"/>
        </w:rPr>
        <w:footnoteRef/>
      </w:r>
      <w:r>
        <w:t xml:space="preserve"> </w:t>
      </w:r>
      <w:r>
        <w:t xml:space="preserve">Il valore sociale lordo eredita la graduazione delle sue componenti (benefici indiretti, da moderata a bassa; valore della salute, costo-efficacia solida ma monetizzazione convenzionale); i deflatori sono soggetti a incertezza, essendo riferiti a valori comunemente adottati ma non specifici al contesto. Il rendimento netto è perciò stima centrale di un intervallo. Esso esclude le grandezze fiscali dirette (oggetto dell’analisi di impatto di bilancio) ed è riferito ai valori annui; la proiezione pluriennale, con il decadimento, è riservata alla modellazione (undicesima parte).</w:t>
      </w:r>
    </w:p>
  </w:footnote>
  <w:footnote w:id="298">
    <w:p>
      <w:pPr>
        <w:pStyle w:val="FootnoteText"/>
      </w:pPr>
      <w:r>
        <w:rPr>
          <w:rStyle w:val="FootnoteReference"/>
        </w:rPr>
        <w:footnoteRef/>
      </w:r>
      <w:r>
        <w:t xml:space="preserve"> </w:t>
      </w:r>
      <w:r>
        <w:t xml:space="preserve">La sintesi multi-criterio (Multi-Criteria Decision Analysis) compone in un quadro unitario dimensioni eterogenee, non riducibili a un’unica unità di misura, mediante punteggi su scala comune ponderati per pesi che ne esprimono l’importanza relativa. Essa ricompone le valutazioni economiche con i criteri non economici (equità, fattibilità, qualità) in una valutazione complessiva. Cfr. la metodologia consolidata della valutazione multi-criterio in sanità (Thokala et al.; Marsh et al., rapporti ISPOR) per l’impianto del metodo.</w:t>
      </w:r>
    </w:p>
  </w:footnote>
  <w:footnote w:id="299">
    <w:p>
      <w:pPr>
        <w:pStyle w:val="FootnoteText"/>
      </w:pPr>
      <w:r>
        <w:rPr>
          <w:rStyle w:val="FootnoteReference"/>
        </w:rPr>
        <w:footnoteRef/>
      </w:r>
      <w:r>
        <w:t xml:space="preserve"> </w:t>
      </w:r>
      <w:r>
        <w:t xml:space="preserve">I punteggi sui criteri sono attribuiti sulla base dei risultati delle parti precedenti: efficacia e salute (sesta parte e voce 10.1, evidenza solida, ICER sotto soglia); ritorno economico (nona parte, fascia di Chisholm; voce 10.3, rendimento sociale); equità (dodicesima parte, miglioramento dell’accesso temperato dal rischio di divario digitale); sostenibilità (voce 10.2, impatto contenuto); fattibilità (realizzabilità organizzativa); innovazione (quarta parte, leve abilitanti). I punteggi variano per scenario secondo la tensione tra i criteri che premiano la scala e quelli che la penalizzano.</w:t>
      </w:r>
    </w:p>
  </w:footnote>
  <w:footnote w:id="300">
    <w:p>
      <w:pPr>
        <w:pStyle w:val="FootnoteText"/>
      </w:pPr>
      <w:r>
        <w:rPr>
          <w:rStyle w:val="FootnoteReference"/>
        </w:rPr>
        <w:footnoteRef/>
      </w:r>
      <w:r>
        <w:t xml:space="preserve"> </w:t>
      </w:r>
      <w:r>
        <w:t xml:space="preserve">Il punteggio composito è la somma dei punteggi di criterio ponderati per i pesi canonici: ~75, ~77, ~78 su cento nei tre scenari. La leggera crescita con il dimensionamento riflette la prevalenza, nella composizione ponderata, dei criteri che premiano la scala (salute, ritorno, equità) su quelli che la penalizzano (sostenibilità, fattibilità). Tutti gli scenari si collocano nella fascia favorevole, dell’ordine di tre quarti della scala, senza valori estremi, in coerenza con la prudenza della valutazione.</w:t>
      </w:r>
    </w:p>
  </w:footnote>
  <w:footnote w:id="301">
    <w:p>
      <w:pPr>
        <w:pStyle w:val="FootnoteText"/>
      </w:pPr>
      <w:r>
        <w:rPr>
          <w:rStyle w:val="FootnoteReference"/>
        </w:rPr>
        <w:footnoteRef/>
      </w:r>
      <w:r>
        <w:t xml:space="preserve"> </w:t>
      </w:r>
      <w:r>
        <w:t xml:space="preserve">L’analisi di sensibilità ricalcola il punteggio composito con schemi di ponderazione alternativi (equiponderazione; ponderazione a favore del ritorno economico; ponderazione a favore dell’equità), ottenendo un intervallo ristretto (~73–78 su cento) in tutti gli scenari. La ristrettezza dell’intervallo testimonia la robustezza della valutazione rispetto alla scelta dei pesi. I punteggi sui criteri non economici (equità, fattibilità, innovazione) comportano un grado di giudizio qualitativo, riconosciuto; il composito è robusto nell’ordine di grandezza, non una misura puntuale.</w:t>
      </w:r>
    </w:p>
  </w:footnote>
  <w:footnote w:id="302">
    <w:p>
      <w:pPr>
        <w:pStyle w:val="FootnoteText"/>
      </w:pPr>
      <w:r>
        <w:rPr>
          <w:rStyle w:val="FootnoteReference"/>
        </w:rPr>
        <w:footnoteRef/>
      </w:r>
      <w:r>
        <w:t xml:space="preserve"> </w:t>
      </w:r>
      <w:r>
        <w:t xml:space="preserve">Il saldo economico consolidato è una composizione, non una somma: esso ricompone le grandezze economiche raggruppandole per dimensione e mostrandone il rapporto, ma non le riduce a un’unica cifra. La regola di non duplicazione (prima parte, sezione 1.5) impone di tenere distinte le tre dimensioni — fiscale diretta, sociale indiretta, di salute — perché la loro somma confonderebbe ciò che è distinto: il risparmio per il bilancio sanitario, il beneficio per il tessuto sociale e il valore della salute sono grandezze di natura diversa.</w:t>
      </w:r>
    </w:p>
  </w:footnote>
  <w:footnote w:id="303">
    <w:p>
      <w:pPr>
        <w:pStyle w:val="FootnoteText"/>
      </w:pPr>
      <w:r>
        <w:rPr>
          <w:rStyle w:val="FootnoteReference"/>
        </w:rPr>
        <w:footnoteRef/>
      </w:r>
      <w:r>
        <w:t xml:space="preserve"> </w:t>
      </w:r>
      <w:r>
        <w:t xml:space="preserve">Il verdetto del saldo consolidato è la convergenza di tre giudizi favorevoli, ciascuno sul proprio piano: sul conto fiscale diretto, prossimità al pareggio a regime (posizione netta ~ −5, ~ −4, ~ 0 milioni); sul conto della salute, netta costo-efficacia (ICER ~17.300 €/QALY, sotto soglia, risultato più robusto perché indenne dai caveat); sul conto sociale, forte positività (benefici indiretti ~98 milioni, rapporto ~2,6 a 1 entro la fascia di Chisholm). Le tre dimensioni non sono sommate, ma convergono in un giudizio favorevole ciascuna autonomamente.</w:t>
      </w:r>
    </w:p>
  </w:footnote>
  <w:footnote w:id="304">
    <w:p>
      <w:pPr>
        <w:pStyle w:val="FootnoteText"/>
      </w:pPr>
      <w:r>
        <w:rPr>
          <w:rStyle w:val="FootnoteReference"/>
        </w:rPr>
        <w:footnoteRef/>
      </w:r>
      <w:r>
        <w:t xml:space="preserve"> </w:t>
      </w:r>
      <w:r>
        <w:t xml:space="preserve">Il verdetto, fondato sulla convergenza di tre dimensioni distinte ciascuna stabilita con il proprio metodo, è più robusto di un giudizio fondato su un’unica cifra, che confonderebbe dimensioni distinte e dipenderebbe dalle assunzioni più incerte. La dimensione di salute (costo-efficacia) ha il fondamento più solido; la sociale, solida nell’ordine di grandezza; la fiscale, più incerta nei risparmi (caveat IMPACT, due varianti). Il saldo è statico e a regime; la proiezione temporale è riservata alla modellazione (undicesima parte), la distribuzione all’analisi dell’equità (dodicesima parte).</w:t>
      </w:r>
    </w:p>
  </w:footnote>
  <w:footnote w:id="305">
    <w:p>
      <w:pPr>
        <w:pStyle w:val="FootnoteText"/>
      </w:pPr>
      <w:r>
        <w:rPr>
          <w:rStyle w:val="FootnoteReference"/>
        </w:rPr>
        <w:footnoteRef/>
      </w:r>
      <w:r>
        <w:t xml:space="preserve"> </w:t>
      </w:r>
      <w:r>
        <w:t xml:space="preserve">Il verdetto tripartito sintetizza il valore della riforma su tre dimensioni distinte, ciascuna stabilita autonomamente: sul conto fiscale diretto, prossimità al pareggio a regime (posizione netta ~ −5, ~ −4, ~ 0 milioni nei tre scenari); sul conto della salute, netta costo-efficacia (ICER ~17.300 €/QALY nello scenario intermedio, sotto la soglia convenzionale di 25.000–40.000); sul conto sociale, forte positività (benefici indiretti ~98 milioni nello scenario intermedio, rapporto ~2,6 a 1 entro la prima fascia di Chisholm). I tre termini non sono sommati, ma convergono ciascuno sul proprio piano.</w:t>
      </w:r>
    </w:p>
  </w:footnote>
  <w:footnote w:id="306">
    <w:p>
      <w:pPr>
        <w:pStyle w:val="FootnoteText"/>
      </w:pPr>
      <w:r>
        <w:rPr>
          <w:rStyle w:val="FootnoteReference"/>
        </w:rPr>
        <w:footnoteRef/>
      </w:r>
      <w:r>
        <w:t xml:space="preserve"> </w:t>
      </w:r>
      <w:r>
        <w:t xml:space="preserve">La valutazione integrata rifiuta la cifra unica — la somma di tutte le grandezze — perché essa confonderebbe categorie distinte (risparmio fiscale, beneficio sociale, valore di salute) e produrrebbe un numero privo di significato interpretabile. Essa adotta la ricomposizione che preserva la distinzione, traduzione nella sintesi della regola di non duplicazione (prima parte, sezione 1.5). Il verdetto tripartito, fondato sulla convergenza di tre dimensioni distinte, è più robusto di una cifra unica, dipendente questa dalle assunzioni più incerte.</w:t>
      </w:r>
    </w:p>
  </w:footnote>
  <w:footnote w:id="307">
    <w:p>
      <w:pPr>
        <w:pStyle w:val="FootnoteText"/>
      </w:pPr>
      <w:r>
        <w:rPr>
          <w:rStyle w:val="FootnoteReference"/>
        </w:rPr>
        <w:footnoteRef/>
      </w:r>
      <w:r>
        <w:t xml:space="preserve"> </w:t>
      </w:r>
      <w:r>
        <w:t xml:space="preserve">Le convergenze con gli intervalli di Chisholm sono tre: la prima (nona parte), il rapporto dei soli benefici economici (~2,6 a 1) entro la prima fascia (2,3–3,0 a 1); la seconda (voce 10.1), il rapporto che include il valore della salute (~4,3 a 1) entro la seconda fascia (3,3–5,7 a 1); la terza (voce 10.3), il rendimento sociale al netto dei deflatori (~3,2 a 1) in prossimità del margine inferiore della seconda fascia. Le tre convergenze, raggiunte per vie indipendenti con stime costruite autonomamente, confermano la coerenza del valore della riforma con la letteratura.</w:t>
      </w:r>
    </w:p>
  </w:footnote>
  <w:footnote w:id="308">
    <w:p>
      <w:pPr>
        <w:pStyle w:val="FootnoteText"/>
      </w:pPr>
      <w:r>
        <w:rPr>
          <w:rStyle w:val="FootnoteReference"/>
        </w:rPr>
        <w:footnoteRef/>
      </w:r>
      <w:r>
        <w:t xml:space="preserve"> </w:t>
      </w:r>
      <w:r>
        <w:t xml:space="preserve">Le tre dimensioni del valore sono la traduzione economica della cascata gerarchica delle figure (terza parte): la dimensione fiscale diretta misura il valore generato nel sistema sanitario, lungo il tratto dallo Psicologo di Base alle figure cliniche; la dimensione sociale indiretta misura il valore propagato ai domini extra-sanitari, lungo il tratto alle figure istituzionali ed extra-sanitarie; la dimensione di salute misura il valore prodotto nelle persone, all’origine della cascata. Il saldo consolidato ricompone in grandezze il valore che la cascata genera e propaga dall’apice ai domini periferici.</w:t>
      </w:r>
    </w:p>
  </w:footnote>
  <w:footnote w:id="309">
    <w:p>
      <w:pPr>
        <w:pStyle w:val="FootnoteText"/>
      </w:pPr>
      <w:r>
        <w:rPr>
          <w:rStyle w:val="FootnoteReference"/>
        </w:rPr>
        <w:footnoteRef/>
      </w:r>
      <w:r>
        <w:t xml:space="preserve"> </w:t>
      </w:r>
      <w:r>
        <w:t xml:space="preserve">Il verdetto tripartito è la convergenza di tre giudizi favorevoli, ciascuno stabilito sul proprio piano e con il proprio metodo: l’analisi di impatto di bilancio per il conto fiscale, la valutazione costo-utilità per il conto della salute, l’analisi dei benefici indiretti per il conto sociale. La convergenza per tre vie indipendenti è la forma più solida del giudizio, perché ciascuna dimensione lo sostiene autonomamente e la conclusione non dipende da nessuna singola assunzione. La costo-efficacia (conto della salute) è il risultato più robusto, indenne dai caveat che gravano sulle altre grandezze.</w:t>
      </w:r>
    </w:p>
  </w:footnote>
  <w:footnote w:id="310">
    <w:p>
      <w:pPr>
        <w:pStyle w:val="FootnoteText"/>
      </w:pPr>
      <w:r>
        <w:rPr>
          <w:rStyle w:val="FootnoteReference"/>
        </w:rPr>
        <w:footnoteRef/>
      </w:r>
      <w:r>
        <w:t xml:space="preserve"> </w:t>
      </w:r>
      <w:r>
        <w:t xml:space="preserve">I tre strumenti della modellazione hanno funzioni distinte e complementari: il modello di Markov fornisce la struttura degli stati e delle transizioni entro cui si rappresenta il decorso del disagio e l’effetto della riforma; la microsimulazione popola la struttura di individui eterogenei, rendendo la proiezione sensibile alla composizione della popolazione; l’analisi di sensibilità probabilistica propaga l’incertezza dei parametri agli esiti, producendo distribuzioni anziché stime puntuali. Cfr. Drummond et al. 2015 e Briggs et al. 2006 per l’impianto della modellazione decisionale in sanità.</w:t>
      </w:r>
    </w:p>
  </w:footnote>
  <w:footnote w:id="311">
    <w:p>
      <w:pPr>
        <w:pStyle w:val="FootnoteText"/>
      </w:pPr>
      <w:r>
        <w:rPr>
          <w:rStyle w:val="FootnoteReference"/>
        </w:rPr>
        <w:footnoteRef/>
      </w:r>
      <w:r>
        <w:t xml:space="preserve"> </w:t>
      </w:r>
      <w:r>
        <w:t xml:space="preserve">La falsificabilità impone, per ciascuna previsione, tre elementi: il valore previsto come banda prudenziale; la soglia di confutazione, ossia il valore che, se non raggiunto, smentisce la previsione; e il metodo di verifica ex-post. La quindicesima parte, dedicata al monitoraggio e alla valutazione ex-post, condurrà la verifica, confrontando le previsioni con gli esiti osservati. La falsificabilità è un vincolo metodologico stringente, che espone la riforma alla verifica dei fatti, e non una cautela retorica.</w:t>
      </w:r>
    </w:p>
  </w:footnote>
  <w:footnote w:id="312">
    <w:p>
      <w:pPr>
        <w:pStyle w:val="FootnoteText"/>
      </w:pPr>
      <w:r>
        <w:rPr>
          <w:rStyle w:val="FootnoteReference"/>
        </w:rPr>
        <w:footnoteRef/>
      </w:r>
      <w:r>
        <w:t xml:space="preserve"> </w:t>
      </w:r>
      <w:r>
        <w:t xml:space="preserve">Il modello di Markov rappresenta l’evoluzione di una condizione di salute attraverso un insieme di stati mutuamente esclusivi ed esaustivi, tra i quali la popolazione transita secondo probabilità definite in cicli successivi, accumulando gli esiti associati a ciascuno stato lungo l’orizzonte. È lo strumento consolidato della valutazione economica per la proiezione del decorso di una condizione cronica o recidivante, qual è il disagio comune. Cfr. Sonnenberg e Beck 1993 per l’introduzione del metodo, e Drummond et al. 2015 per l’uso in valutazione economica.</w:t>
      </w:r>
    </w:p>
  </w:footnote>
  <w:footnote w:id="313">
    <w:p>
      <w:pPr>
        <w:pStyle w:val="FootnoteText"/>
      </w:pPr>
      <w:r>
        <w:rPr>
          <w:rStyle w:val="FootnoteReference"/>
        </w:rPr>
        <w:footnoteRef/>
      </w:r>
      <w:r>
        <w:t xml:space="preserve"> </w:t>
      </w:r>
      <w:r>
        <w:t xml:space="preserve">L’effetto della riforma nel modello consiste nella modificazione delle probabilità di transizione: la presa in carico del disturbo accresce la probabilità di remissione (da ~0,25 a ~0,50 annua) e riduce la probabilità di cronicizzazione (da ~0,18 a ~0,06 annua). L’effetto cumulato, lungo l’orizzonte e sulla popolazione intercettata, genera i guadagni di salute (più popolazione verso il benessere) e i risparmi (meno popolazione verso la cronicizzazione, stato di più alto costo). Le grandezze statiche della decima parte trovano così la loro generazione dinamica.</w:t>
      </w:r>
    </w:p>
  </w:footnote>
  <w:footnote w:id="314">
    <w:p>
      <w:pPr>
        <w:pStyle w:val="FootnoteText"/>
      </w:pPr>
      <w:r>
        <w:rPr>
          <w:rStyle w:val="FootnoteReference"/>
        </w:rPr>
        <w:footnoteRef/>
      </w:r>
      <w:r>
        <w:t xml:space="preserve"> </w:t>
      </w:r>
      <w:r>
        <w:t xml:space="preserve">La struttura del modello (stati e transizioni) è solida, riflettendo il decorso noto del disagio comune. I parametri sono di varia qualità: pesi di utilità graduati da moderata ad alta; probabilità di transizione del decorso naturale graduate moderata; probabilità del decorso con riforma graduate da moderata ad alta (sesta parte). I parametri sono corredati di bande prudenziali, propagate agli esiti dall’analisi di sensibilità. Il modello è una rappresentazione semplificata, da intendere come strumento di proiezione, non come descrizione esatta della realtà.</w:t>
      </w:r>
    </w:p>
  </w:footnote>
  <w:footnote w:id="315">
    <w:p>
      <w:pPr>
        <w:pStyle w:val="FootnoteText"/>
      </w:pPr>
      <w:r>
        <w:rPr>
          <w:rStyle w:val="FootnoteReference"/>
        </w:rPr>
        <w:footnoteRef/>
      </w:r>
      <w:r>
        <w:t xml:space="preserve"> </w:t>
      </w:r>
      <w:r>
        <w:t xml:space="preserve">L’analisi di sensibilità probabilistica assegna a ciascun parametro incerto una distribuzione di probabilità, e calcola gli esiti del modello per un gran numero di combinazioni dei parametri estratte dalle distribuzioni, attraverso la simulazione ripetuta (di tipo Monte Carlo), producendo la distribuzione degli esiti e gli intervalli di credibilità. Essa esprime e propaga l’incertezza, che l’analisi deterministica cela. Cfr. Briggs et al. 2006 per la metodologia dell’analisi probabilistica.</w:t>
      </w:r>
    </w:p>
  </w:footnote>
  <w:footnote w:id="316">
    <w:p>
      <w:pPr>
        <w:pStyle w:val="FootnoteText"/>
      </w:pPr>
      <w:r>
        <w:rPr>
          <w:rStyle w:val="FootnoteReference"/>
        </w:rPr>
        <w:footnoteRef/>
      </w:r>
      <w:r>
        <w:t xml:space="preserve"> </w:t>
      </w:r>
      <w:r>
        <w:t xml:space="preserve">I risultati dell’analisi probabilistica confermano il risultato deterministico: il rapporto costo-efficacia mediano coincide con quello deterministico (~17.300 €/QALY nello scenario intermedio); l’intervallo di credibilità al 95% (~13.000–23.000 €/QALY) resta sotto la soglia convenzionale; la probabilità di costo-efficacia è ~95% alla soglia convenzionale di 30.000 €, e resta elevata a soglie inferiori (~92% a 25.000 €, ~85% a 20.000 €). La probabilità cresce con il dimensionamento. Il risultato probabilistico è il fondamento delle previsioni falsificabili sulla costo-efficacia.</w:t>
      </w:r>
    </w:p>
  </w:footnote>
  <w:footnote w:id="317">
    <w:p>
      <w:pPr>
        <w:pStyle w:val="FootnoteText"/>
      </w:pPr>
      <w:r>
        <w:rPr>
          <w:rStyle w:val="FootnoteReference"/>
        </w:rPr>
        <w:footnoteRef/>
      </w:r>
      <w:r>
        <w:t xml:space="preserve"> </w:t>
      </w:r>
      <w:r>
        <w:t xml:space="preserve">La logica dell’analisi probabilistica è solida; la scelta delle distribuzioni e degli intervalli è ragionevole ma comporta un grado di assunzione, sicché i risultati sono robusti nell’ordine di grandezza ma soggetti alla scelta delle distribuzioni. L’analisi propaga l’incertezza dei parametri, ma non l’incertezza strutturale del modello, da riconoscere separatamente. La probabilità di costo-efficacia è riferita alla dimensione di salute; le altre dimensioni hanno la propria incertezza, riflessa nelle bande delle parti precedenti.</w:t>
      </w:r>
    </w:p>
  </w:footnote>
  <w:footnote w:id="318">
    <w:p>
      <w:pPr>
        <w:pStyle w:val="FootnoteText"/>
      </w:pPr>
      <w:r>
        <w:rPr>
          <w:rStyle w:val="FootnoteReference"/>
        </w:rPr>
        <w:footnoteRef/>
      </w:r>
      <w:r>
        <w:t xml:space="preserve"> </w:t>
      </w:r>
      <w:r>
        <w:t xml:space="preserve">I guadagni di salute cumulati (anni di vita in buona salute, attualizzati) crescono nel tempo per il graduale raggiungimento del regime (ramp-up) e per l’accumulo delle coorti prese in carico: scenario intermedio ~8.500 a cinque anni (banda ~7.000–10.000) e ~17.000 a dieci anni (banda ~14.000–20.000); conservativo ~5.000 e ~10.000; espansivo ~12.000 e ~24.000. La previsione è smentita se i guadagni a cinque anni si collocano sotto 7.000 (scenario intermedio). I guadagni sono la traduzione in anni di vita in buona salute della modificazione delle transizioni.</w:t>
      </w:r>
    </w:p>
  </w:footnote>
  <w:footnote w:id="319">
    <w:p>
      <w:pPr>
        <w:pStyle w:val="FootnoteText"/>
      </w:pPr>
      <w:r>
        <w:rPr>
          <w:rStyle w:val="FootnoteReference"/>
        </w:rPr>
        <w:footnoteRef/>
      </w:r>
      <w:r>
        <w:t xml:space="preserve"> </w:t>
      </w:r>
      <w:r>
        <w:t xml:space="preserve">I metodi di verifica delle previsioni sulla qualità della vita: i guadagni di salute, attraverso la stima ex-post dei guadagni di utilità sulla popolazione presa in carico (misure di esito clinico convertite in pesi di utilità); la riduzione del disagio non intercettato e il restringimento del divario, attraverso le indagini di prevalenza e i dati dei servizi prima e dopo; l’aumento dell’utilità media, attraverso la misurazione della qualità della vita della coorte presa in carico. La quindicesima parte condurrà il riscontro.</w:t>
      </w:r>
    </w:p>
  </w:footnote>
  <w:footnote w:id="320">
    <w:p>
      <w:pPr>
        <w:pStyle w:val="FootnoteText"/>
      </w:pPr>
      <w:r>
        <w:rPr>
          <w:rStyle w:val="FootnoteReference"/>
        </w:rPr>
        <w:footnoteRef/>
      </w:r>
      <w:r>
        <w:t xml:space="preserve"> </w:t>
      </w:r>
      <w:r>
        <w:t xml:space="preserve">La direzione delle previsioni sulla qualità della vita è solida, discendendo dalla modificazione delle transizioni fondata sull’efficacia del trattamento (graduata da moderata ad alta, sesta parte). L’entità è graduata moderata, dipendendo dai parametri del modello soggetti a incertezza, riflessa nelle bande e propagata dall’analisi di sensibilità. Le previsioni sono formulate come bande, con soglie di confutazione collocate sotto le bande, sì che la previsione sia smentita solo da un esito sensibilmente inferiore.</w:t>
      </w:r>
    </w:p>
  </w:footnote>
  <w:footnote w:id="321">
    <w:p>
      <w:pPr>
        <w:pStyle w:val="FootnoteText"/>
      </w:pPr>
      <w:r>
        <w:rPr>
          <w:rStyle w:val="FootnoteReference"/>
        </w:rPr>
        <w:footnoteRef/>
      </w:r>
      <w:r>
        <w:t xml:space="preserve"> </w:t>
      </w:r>
      <w:r>
        <w:t xml:space="preserve">Il caveat dell’IMPACT trial (Unützer et al. 2008) avverte che i risparmi sui costi sanitari diretti, ancorché presenti, non raggiungono la significatività statistica. Per ossequio al caveat, le previsioni sui bilanci sono formulate in due varianti: centrale (con risparmi, impatto cumulato ~78 milioni) e prudenziale (senza risparmi, impatto cumulato ~168 milioni pari al costo lordo). La verifica ex-post determinerà quale variante si avveri. La duplice formulazione espone l’incertezza dei risparmi anziché nasconderla.</w:t>
      </w:r>
    </w:p>
  </w:footnote>
  <w:footnote w:id="322">
    <w:p>
      <w:pPr>
        <w:pStyle w:val="FootnoteText"/>
      </w:pPr>
      <w:r>
        <w:rPr>
          <w:rStyle w:val="FootnoteReference"/>
        </w:rPr>
        <w:footnoteRef/>
      </w:r>
      <w:r>
        <w:t xml:space="preserve"> </w:t>
      </w:r>
      <w:r>
        <w:t xml:space="preserve">I metodi di verifica delle previsioni sui bilanci: i risparmi diretti, attraverso l’analisi ex-post della spesa sanitaria sulle voci incise (spesa farmaceutica, accessi al pronto soccorso, ricoveri, mobilità passiva, invii inappropriati); l’impatto netto e cumulato, attraverso la riconciliazione dei costi e dei risparmi effettivi sul bilancio sanitario; l’incidenza sul Fondo, attraverso il rapporto tra impatto netto effettivo e dimensione effettiva del Fondo. La verifica nelle due varianti determinerà la realtà dei risparmi diretti.</w:t>
      </w:r>
    </w:p>
  </w:footnote>
  <w:footnote w:id="323">
    <w:p>
      <w:pPr>
        <w:pStyle w:val="FootnoteText"/>
      </w:pPr>
      <w:r>
        <w:rPr>
          <w:rStyle w:val="FootnoteReference"/>
        </w:rPr>
        <w:footnoteRef/>
      </w:r>
      <w:r>
        <w:t xml:space="preserve"> </w:t>
      </w:r>
      <w:r>
        <w:t xml:space="preserve">La componente di costo delle previsioni sui bilanci è robusta (i costi sono stabiliti dalla settima parte con la maggiore precisione tra le grandezze dello studio); la componente di risparmio è incerta, in ragione del caveat dell’IMPACT trial, riflessa nella variante prudenziale. L’incidenza sul Fondo è robusta nell’ordine di grandezza (contenuta entro frazioni dell’uno per cento in entrambe le varianti). Le previsioni sui bilanci attengono al solo bilancio sanitario, distinto dagli altri comparti (previdenza, assistenza), in coerenza con la separazione delle dimensioni.</w:t>
      </w:r>
    </w:p>
  </w:footnote>
  <w:footnote w:id="324">
    <w:p>
      <w:pPr>
        <w:pStyle w:val="FootnoteText"/>
      </w:pPr>
      <w:r>
        <w:rPr>
          <w:rStyle w:val="FootnoteReference"/>
        </w:rPr>
        <w:footnoteRef/>
      </w:r>
      <w:r>
        <w:t xml:space="preserve"> </w:t>
      </w:r>
      <w:r>
        <w:t xml:space="preserve">Le previsioni sulla burocrazia misurano l’effetto della funzione di filtro del primo livello psicologico: riduzione degli invii inappropriati ai servizi specialistici ~30% (banda 20–40%) e alleggerimento del carico amministrativo per caso ~20% (banda 12–28%) a cinque anni, scenario intermedio. Le previsioni sono smentite se le riduzioni si collocano sotto le soglie di confutazione (20% e 12%). Il primo livello, trattenendo il disagio comune al livello appropriato, elimina i percorsi inappropriati che gravano l’amministrazione.</w:t>
      </w:r>
    </w:p>
  </w:footnote>
  <w:footnote w:id="325">
    <w:p>
      <w:pPr>
        <w:pStyle w:val="FootnoteText"/>
      </w:pPr>
      <w:r>
        <w:rPr>
          <w:rStyle w:val="FootnoteReference"/>
        </w:rPr>
        <w:footnoteRef/>
      </w:r>
      <w:r>
        <w:t xml:space="preserve"> </w:t>
      </w:r>
      <w:r>
        <w:t xml:space="preserve">I metodi di verifica delle previsioni sulla burocrazia: gli invii inappropriati, attraverso l’analisi dei flussi degli invii ai servizi specialistici; il carico per caso, attraverso le prestazioni e gli adempimenti generati da ciascun caso; i tempi di attesa, attraverso i dati gestionali; la quota al livello appropriato, attraverso la distribuzione dei casi tra i livelli di cura. La verifica si fonda sui dati gestionali del sistema, che consentono il riscontro diretto.</w:t>
      </w:r>
    </w:p>
  </w:footnote>
  <w:footnote w:id="326">
    <w:p>
      <w:pPr>
        <w:pStyle w:val="FootnoteText"/>
      </w:pPr>
      <w:r>
        <w:rPr>
          <w:rStyle w:val="FootnoteReference"/>
        </w:rPr>
        <w:footnoteRef/>
      </w:r>
      <w:r>
        <w:t xml:space="preserve"> </w:t>
      </w:r>
      <w:r>
        <w:t xml:space="preserve">La direzione delle previsioni sulla burocrazia è solida (l’introduzione di un livello mancante riduce i percorsi inappropriati); l’entità è graduata moderata, dipendendo dall’efficacia della funzione di filtro e dalle modalità attuative dei percorsi (delineate dalla quarta parte). Le previsioni sulla burocrazia misurano l’effetto organizzativo, distinto dal suo eventuale valore economico, già computato nei risparmi diretti o nei benefici indiretti, senza duplicazione.</w:t>
      </w:r>
    </w:p>
  </w:footnote>
  <w:footnote w:id="327">
    <w:p>
      <w:pPr>
        <w:pStyle w:val="FootnoteText"/>
      </w:pPr>
      <w:r>
        <w:rPr>
          <w:rStyle w:val="FootnoteReference"/>
        </w:rPr>
        <w:footnoteRef/>
      </w:r>
      <w:r>
        <w:t xml:space="preserve"> </w:t>
      </w:r>
      <w:r>
        <w:t xml:space="preserve">Le previsioni sui sistemi sanitari misurano, sul piano fisico, gli stessi fenomeni che generano i risparmi diretti (ottava parte): riduzione degli accessi impropri al pronto soccorso ~20% (banda 12–28%), dei ricoveri ~15% (banda 8–22%), della mobilità passiva ~10% (banda 5–18%) a cinque anni, scenario intermedio. Sono il riscontro fisico dei risparmi, espressi in accessi e ricoveri anziché in euro. Le previsioni sono smentite se le riduzioni si collocano sotto le soglie di confutazione.</w:t>
      </w:r>
    </w:p>
  </w:footnote>
  <w:footnote w:id="328">
    <w:p>
      <w:pPr>
        <w:pStyle w:val="FootnoteText"/>
      </w:pPr>
      <w:r>
        <w:rPr>
          <w:rStyle w:val="FootnoteReference"/>
        </w:rPr>
        <w:footnoteRef/>
      </w:r>
      <w:r>
        <w:t xml:space="preserve"> </w:t>
      </w:r>
      <w:r>
        <w:t xml:space="preserve">I metodi di verifica delle previsioni sui sistemi sanitari: gli accessi, i ricoveri e la mobilità, attraverso i flussi del sistema (accessi al pronto soccorso, schede di dimissione ospedaliera, flussi della mobilità interregionale); la spesa farmaceutica, attraverso i flussi della spesa per psicofarmaci; il carico delle cure primarie, attraverso le consultazioni al medico di medicina generale. La verifica fisica delle previsioni sui sistemi e quella economica delle previsioni sui bilanci convergono sui medesimi fenomeni.</w:t>
      </w:r>
    </w:p>
  </w:footnote>
  <w:footnote w:id="329">
    <w:p>
      <w:pPr>
        <w:pStyle w:val="FootnoteText"/>
      </w:pPr>
      <w:r>
        <w:rPr>
          <w:rStyle w:val="FootnoteReference"/>
        </w:rPr>
        <w:footnoteRef/>
      </w:r>
      <w:r>
        <w:t xml:space="preserve"> </w:t>
      </w:r>
      <w:r>
        <w:t xml:space="preserve">La direzione delle previsioni sui sistemi sanitari è solida (l’intercettazione precoce riduce il ricorso ai livelli onerosi); l’entità è graduata moderata e soggetta, per la componente che si traduce in risparmi diretti, al caveat dell’IMPACT trial. Le previsioni sui sistemi misurano gli stessi fenomeni dei risparmi diretti sul piano fisico; il loro valore economico è già computato nei risparmi, senza duplicazione. La loro verifica concorrerà a determinare la realtà dei risparmi diretti.</w:t>
      </w:r>
    </w:p>
  </w:footnote>
  <w:footnote w:id="330">
    <w:p>
      <w:pPr>
        <w:pStyle w:val="FootnoteText"/>
      </w:pPr>
      <w:r>
        <w:rPr>
          <w:rStyle w:val="FootnoteReference"/>
        </w:rPr>
        <w:footnoteRef/>
      </w:r>
      <w:r>
        <w:t xml:space="preserve"> </w:t>
      </w:r>
      <w:r>
        <w:t xml:space="preserve">Le soglie che modificano la raccomandazione sono i valori dei parametri al di là dei quali la riforma cesserebbe di essere favorevole su una dimensione. Esse rendono falsificabile la raccomandazione complessiva, indicando le condizioni della sua revisione: se i parametri osservati superassero le soglie, la raccomandazione andrebbe rivista. Il margine — la distanza tra valore atteso e punto di ribaltamento — misura la robustezza: ampio per una raccomandazione robusta, ristretto per una fragile. Cfr. Briggs et al. 2006 per l’analisi di soglia.</w:t>
      </w:r>
    </w:p>
  </w:footnote>
  <w:footnote w:id="331">
    <w:p>
      <w:pPr>
        <w:pStyle w:val="FootnoteText"/>
      </w:pPr>
      <w:r>
        <w:rPr>
          <w:rStyle w:val="FootnoteReference"/>
        </w:rPr>
        <w:footnoteRef/>
      </w:r>
      <w:r>
        <w:t xml:space="preserve"> </w:t>
      </w:r>
      <w:r>
        <w:t xml:space="preserve">I margini sulla costo-efficacia sono ampi: poiché il rapporto atteso è ~17.300 €/QALY e la soglia convenzionale ~30.000 €, i guadagni di salute dovrebbero ridursi di ~40% (margine sull’efficacia), o il costo crescere di ~70% (margine sul costo), perché il rapporto raggiungesse la soglia. Alla soglia inferiore dell’intervallo convenzionale (~25.000 €) il margine sull’efficacia è ~30%. I margini ampi sono la traduzione deterministica dell’elevata probabilità di costo-efficacia (~95%).</w:t>
      </w:r>
    </w:p>
  </w:footnote>
  <w:footnote w:id="332">
    <w:p>
      <w:pPr>
        <w:pStyle w:val="FootnoteText"/>
      </w:pPr>
      <w:r>
        <w:rPr>
          <w:rStyle w:val="FootnoteReference"/>
        </w:rPr>
        <w:footnoteRef/>
      </w:r>
      <w:r>
        <w:t xml:space="preserve"> </w:t>
      </w:r>
      <w:r>
        <w:t xml:space="preserve">Robustezza della raccomandazione per dimensione: molto robusta sulla costo-efficacia (margini ~40% sull’efficacia, ~70% sul costo); robusta sulla sostenibilità (~100%, raddoppio del costo per raggiungere l’1% del Fondo); robusta sulla copertura (soglia sotto l’intera gamma degli scenari); meno robusta sul rendimento sociale (margine ~12%, poiché il rapporto atteso ~2,6 a 1 è prossimo al margine inferiore della fascia di Chisholm ~2,3 a 1). Anche sotto la fascia, il rendimento resterebbe positivo. Il rendimento sociale è la dimensione su cui la verifica ex-post va condotta con maggiore attenzione.</w:t>
      </w:r>
    </w:p>
  </w:footnote>
  <w:footnote w:id="333">
    <w:p>
      <w:pPr>
        <w:pStyle w:val="FootnoteText"/>
      </w:pPr>
      <w:r>
        <w:rPr>
          <w:rStyle w:val="FootnoteReference"/>
        </w:rPr>
        <w:footnoteRef/>
      </w:r>
      <w:r>
        <w:t xml:space="preserve"> </w:t>
      </w:r>
      <w:r>
        <w:t xml:space="preserve">Il metodo dell’analisi di soglia è solido; i valori delle soglie e dei margini dipendono dalla scelta delle soglie di riferimento (soglia convenzionale di costo-efficacia, fascia di Chisholm, soglia di rilevanza sul Fondo), sicché sono robusti nell’ordine di grandezza e nella graduazione relativa, ma soggetti alla scelta delle soglie di riferimento. La graduazione relativa — margini ampi sulla costo-efficacia e sulla sostenibilità, più ristretto sul rendimento sociale — è solida per ragionevoli variazioni delle soglie.</w:t>
      </w:r>
    </w:p>
  </w:footnote>
  <w:footnote w:id="334">
    <w:p>
      <w:pPr>
        <w:pStyle w:val="FootnoteText"/>
      </w:pPr>
      <w:r>
        <w:rPr>
          <w:rStyle w:val="FootnoteReference"/>
        </w:rPr>
        <w:footnoteRef/>
      </w:r>
      <w:r>
        <w:t xml:space="preserve"> </w:t>
      </w:r>
      <w:r>
        <w:t xml:space="preserve">L’undicesima parte ha proiettato il saldo economico consolidato della decima parte lungo l’orizzonte decennale, attraverso il modello di Markov e la microsimulazione, e ne ha tratto previsioni falsificabili: i guadagni di salute cumulati a dieci anni sono circa il doppio di quelli a cinque anni, per il ramp-up e l’accumulo delle coorti. Le previsioni sono formulate come bande corredate di soglie di confutazione e di metodi di verifica, non come asserzioni di esiti certi. La forma falsificabile espone la riforma alla verifica dei fatti (cfr. Popper 2002).</w:t>
      </w:r>
    </w:p>
  </w:footnote>
  <w:footnote w:id="335">
    <w:p>
      <w:pPr>
        <w:pStyle w:val="FootnoteText"/>
      </w:pPr>
      <w:r>
        <w:rPr>
          <w:rStyle w:val="FootnoteReference"/>
        </w:rPr>
        <w:footnoteRef/>
      </w:r>
      <w:r>
        <w:t xml:space="preserve"> </w:t>
      </w:r>
      <w:r>
        <w:t xml:space="preserve">I quattro ambiti delle previsioni riflettono la struttura causale del valore: la qualità della vita è l’ambito primo (il miglioramento clinico è l’origine di ogni altro effetto); i bilanci, la burocrazia e i sistemi sanitari sono ambiti derivati. Le previsioni mantengono la distinzione tra le dimensioni: salute (qualità della vita), fiscale (bilanci), riscontro fisico dei risparmi (sistemi sanitari, senza duplicazione), effetto organizzativo (burocrazia, distinto dal valore economico già computato altrove).</w:t>
      </w:r>
    </w:p>
  </w:footnote>
  <w:footnote w:id="336">
    <w:p>
      <w:pPr>
        <w:pStyle w:val="FootnoteText"/>
      </w:pPr>
      <w:r>
        <w:rPr>
          <w:rStyle w:val="FootnoteReference"/>
        </w:rPr>
        <w:footnoteRef/>
      </w:r>
      <w:r>
        <w:t xml:space="preserve"> </w:t>
      </w:r>
      <w:r>
        <w:t xml:space="preserve">La proiezione mantiene il caveat dell’IMPACT trial (riflesso nelle distribuzioni dell’analisi di sensibilità e nella duplice formulazione delle previsioni sui bilanci) e la separazione delle tre dimensioni del valore (qualità della vita, bilanci, riscontro fisico dei risparmi), senza somma in un’unica cifra né duplicazione. La separazione delle dimensioni, il caveat e la forma falsificabile fanno della proiezione una proiezione rigorosa, fedele ai principi dello studio.</w:t>
      </w:r>
    </w:p>
  </w:footnote>
  <w:footnote w:id="337">
    <w:p>
      <w:pPr>
        <w:pStyle w:val="FootnoteText"/>
      </w:pPr>
      <w:r>
        <w:rPr>
          <w:rStyle w:val="FootnoteReference"/>
        </w:rPr>
        <w:footnoteRef/>
      </w:r>
      <w:r>
        <w:t xml:space="preserve"> </w:t>
      </w:r>
      <w:r>
        <w:t xml:space="preserve">Le previsioni falsificabili sui quattro ambiti: qualità della vita (guadagni di salute cumulati ~8.500 a cinque anni e ~17.000 a dieci anni nello scenario intermedio, riduzione del disagio non intercettato, restringimento del divario di trattamento); bilanci (traiettoria verso il pareggio, due varianti per il caveat IMPACT, incidenza contenuta sul Fondo); burocrazia (riduzione degli invii inappropriati, dei tempi di attesa); sistemi sanitari (riduzione di accessi, ricoveri, mobilità, spesa farmaceutica). Ciascuna con banda, soglia di confutazione e metodo di verifica, affidato alla quindicesima parte.</w:t>
      </w:r>
    </w:p>
  </w:footnote>
  <w:footnote w:id="338">
    <w:p>
      <w:pPr>
        <w:pStyle w:val="FootnoteText"/>
      </w:pPr>
      <w:r>
        <w:rPr>
          <w:rStyle w:val="FootnoteReference"/>
        </w:rPr>
        <w:footnoteRef/>
      </w:r>
      <w:r>
        <w:t xml:space="preserve"> </w:t>
      </w:r>
      <w:r>
        <w:t xml:space="preserve">La distinzione tra efficienza ed equità governa la parte: l’efficienza attiene all’entità complessiva del valore (oggetto delle parti precedenti), l’equità alla sua distribuzione tra i soggetti (oggetto della presente parte). Le due proprietà sono autonome e non si implicano. L’analisi distributiva non modifica le grandezze stabilite, ma ne studia la ripartizione tra le aree e i gruppi, mantenendo la distinzione tra le tre dimensioni del valore (fiscale, sociale, salute) e preservando il duplice intervallo di Chisholm e il caveat dell’IMPACT trial ove le grandezze economiche sono richiamate.</w:t>
      </w:r>
    </w:p>
  </w:footnote>
  <w:footnote w:id="339">
    <w:p>
      <w:pPr>
        <w:pStyle w:val="FootnoteText"/>
      </w:pPr>
      <w:r>
        <w:rPr>
          <w:rStyle w:val="FootnoteReference"/>
        </w:rPr>
        <w:footnoteRef/>
      </w:r>
      <w:r>
        <w:t xml:space="preserve"> </w:t>
      </w:r>
      <w:r>
        <w:t xml:space="preserve">La Puglia conta una popolazione dell’ordine di 3.877.395 residenti, sei aziende sanitarie locali (Bari, Barletta-Andria-Trani, Brindisi, Foggia, Lecce, Taranto) e quarantacinque distretti sociosanitari. Le aree urbane concentrano popolazione e servizi; le aree interne (Subappennino dauno, Alta Murgia, territori distanti dai centri maggiori) presentano popolazione più rada, più anziana e più distante dai presìdi, con minore densità di servizi specialistici e di medicina generale. Il fabbisogno stimato di psicologi di base è dell’ordine di 800-880 unità (cfr. seconda e quarta parte).</w:t>
      </w:r>
    </w:p>
  </w:footnote>
  <w:footnote w:id="340">
    <w:p>
      <w:pPr>
        <w:pStyle w:val="FootnoteText"/>
      </w:pPr>
      <w:r>
        <w:rPr>
          <w:rStyle w:val="FootnoteReference"/>
        </w:rPr>
        <w:footnoteRef/>
      </w:r>
      <w:r>
        <w:t xml:space="preserve"> </w:t>
      </w:r>
      <w:r>
        <w:t xml:space="preserve">Le cifre della tabella sono approssimative e illustrative del criterio di distribuzione proporzionale alla popolazione, nello scenario centrale di circa 840 unità (punto medio della forbice 800-880). Le quote di popolazione delle sei aziende sono arrotondate; la ripartizione di dettaglio tra i quarantacinque distretti è determinata in sede di attuazione. La distribuzione proporzionale alla popolazione garantisce un rapporto uniforme tra gli psicologi e la popolazione; una distribuzione proporzionale al bisogno (corretta per struttura demografica, svantaggio socio-economico e dotazione preesistente) ridurrebbe i divari in misura maggiore.</w:t>
      </w:r>
    </w:p>
  </w:footnote>
  <w:footnote w:id="341">
    <w:p>
      <w:pPr>
        <w:pStyle w:val="FootnoteText"/>
      </w:pPr>
      <w:r>
        <w:rPr>
          <w:rStyle w:val="FootnoteReference"/>
        </w:rPr>
        <w:footnoteRef/>
      </w:r>
      <w:r>
        <w:t xml:space="preserve"> </w:t>
      </w:r>
      <w:r>
        <w:t xml:space="preserve">Le aree interne sono l’oggetto, sul piano nazionale, della Strategia Nazionale per le Aree Interne, che ne riconosce lo svantaggio (distanza dai servizi essenziali, popolazione rada e anziana, accessibilità ridotta, deprivazione) e ne persegue il riequilibrio attraverso il rafforzamento dei servizi essenziali, tra cui la salute. In tali aree la distanza tra il bisogno e l’offerta è massima, e il rischio di concentrazione urbana — derivante dalla tendenza dei professionisti a collocarsi nelle aree urbane — è più insidioso.</w:t>
      </w:r>
    </w:p>
  </w:footnote>
  <w:footnote w:id="342">
    <w:p>
      <w:pPr>
        <w:pStyle w:val="FootnoteText"/>
      </w:pPr>
      <w:r>
        <w:rPr>
          <w:rStyle w:val="FootnoteReference"/>
        </w:rPr>
        <w:footnoteRef/>
      </w:r>
      <w:r>
        <w:t xml:space="preserve"> </w:t>
      </w:r>
      <w:r>
        <w:t xml:space="preserve">La gradazione GRADE moderata riflette la solidità del criterio distributivo (la distribuzione proporzionale al bisogno riduce i divari per necessità logica, ove realizzata) e l’incertezza della sua realizzazione (dipendente dal contrasto al rischio di concentrazione urbana e dalla disponibilità dei professionisti a collocarsi nelle aree interne). La soglia di confutazione è l’osservazione che la distribuzione effettiva abbia seguito la geografia esistente dei servizi; il metodo di verifica è il monitoraggio della distribuzione effettiva (quindicesima parte).</w:t>
      </w:r>
    </w:p>
  </w:footnote>
  <w:footnote w:id="343">
    <w:p>
      <w:pPr>
        <w:pStyle w:val="FootnoteText"/>
      </w:pPr>
      <w:r>
        <w:rPr>
          <w:rStyle w:val="FootnoteReference"/>
        </w:rPr>
        <w:footnoteRef/>
      </w:r>
      <w:r>
        <w:t xml:space="preserve"> </w:t>
      </w:r>
      <w:r>
        <w:t xml:space="preserve">Il primo principio richiamato è la legge per cui la disponibilità di assistenza tende a variare in ragione inversa al bisogno della popolazione servita (Tudor Hart, 1971): l’assistenza si distribuisce secondo fattori associati al minore bisogno (condizione socio-economica favorevole, prossimità ai servizi, capacità di esprimere la domanda), sì che i gruppi più bisognosi ricevono un’assistenza inferiore. Il secondo è l’ipotesi per cui le nuove politiche sanitarie beneficiano dapprima i gruppi avvantaggiati, sì che le diseguaglianze possono dapprima ampliarsi (Victora et al., 2000).</w:t>
      </w:r>
    </w:p>
  </w:footnote>
  <w:footnote w:id="344">
    <w:p>
      <w:pPr>
        <w:pStyle w:val="FootnoteText"/>
      </w:pPr>
      <w:r>
        <w:rPr>
          <w:rStyle w:val="FootnoteReference"/>
        </w:rPr>
        <w:footnoteRef/>
      </w:r>
      <w:r>
        <w:t xml:space="preserve"> </w:t>
      </w:r>
      <w:r>
        <w:t xml:space="preserve">La prevalenza dei disturbi mentali comuni varia secondo il genere (maggiore nelle donne per i disturbi depressivi e d’ansia), l’età (esordio nella giovinezza e prima età adulta; ripresa nell’età anziana), la condizione socio-economica (gradiente sociale, prevalenza maggiore nei gruppi svantaggiati per deprivazione, insicurezza e condizioni avverse) e la fragilità (associazione con patologia cronica, disabilità, ruolo di cura). Si vedano gli studi sui determinanti sociali della salute mentale e i rapporti dell’Organizzazione Mondiale della Sanità.</w:t>
      </w:r>
    </w:p>
  </w:footnote>
  <w:footnote w:id="345">
    <w:p>
      <w:pPr>
        <w:pStyle w:val="FootnoteText"/>
      </w:pPr>
      <w:r>
        <w:rPr>
          <w:rStyle w:val="FootnoteReference"/>
        </w:rPr>
        <w:footnoteRef/>
      </w:r>
      <w:r>
        <w:t xml:space="preserve"> </w:t>
      </w:r>
      <w:r>
        <w:t xml:space="preserve">La riforma abbatte talune barriere all’accesso: l’economica (gratuità del servizio), l’informativa (integrazione con le cure primarie, che colloca l’accesso entro un percorso noto), dello stigma (collocazione in un contesto non specialistico). L’abbattimento delle barriere è condizione necessaria ma non sufficiente: perché la riforma raggiunga i gruppi svantaggiati occorre un orientamento attivo, che ne intercetti il bisogno nei contesti che li servono (medicina generale, servizi sociali, contesti scolastici, contesti domiciliari) e ne sollecitino l’accesso.</w:t>
      </w:r>
    </w:p>
  </w:footnote>
  <w:footnote w:id="346">
    <w:p>
      <w:pPr>
        <w:pStyle w:val="FootnoteText"/>
      </w:pPr>
      <w:r>
        <w:rPr>
          <w:rStyle w:val="FootnoteReference"/>
        </w:rPr>
        <w:footnoteRef/>
      </w:r>
      <w:r>
        <w:t xml:space="preserve"> </w:t>
      </w:r>
      <w:r>
        <w:t xml:space="preserve">Il rischio dell’iniquità inversa (Victora et al., 2000) descrive un percorso temporale della diseguaglianza: l’introduzione di una nuova politica può, nella fase iniziale, ampliare la diseguaglianza, perché i gruppi avvantaggiati ne beneficiano per primi; la diseguaglianza si restringe poi, quando la politica raggiunge anche i gruppi svantaggiati. La valutazione deve considerare il percorso temporale, sì da non interpretare l’eventuale ampliamento iniziale come esito definitivo, e orientare la riforma ad accelerare il raggiungimento dei gruppi svantaggiati.</w:t>
      </w:r>
    </w:p>
  </w:footnote>
  <w:footnote w:id="347">
    <w:p>
      <w:pPr>
        <w:pStyle w:val="FootnoteText"/>
      </w:pPr>
      <w:r>
        <w:rPr>
          <w:rStyle w:val="FootnoteReference"/>
        </w:rPr>
        <w:footnoteRef/>
      </w:r>
      <w:r>
        <w:t xml:space="preserve"> </w:t>
      </w:r>
      <w:r>
        <w:t xml:space="preserve">La gradazione GRADE moderata riflette la solidità dell’evidenza sul bisogno differenziale e sulla potenzialità della riforma di abbattere le barriere, e l’incertezza sull’effetto sulla diseguaglianza (dipendente dall’orientamento attivo e dal percorso temporale). La soglia di confutazione è l’osservazione che l’accesso sia stato fruito prevalentemente dai gruppi avvantaggiati; il metodo di verifica è il monitoraggio dell’accesso effettivo dei gruppi di particolare attenzione (quindicesima parte), considerando anche il percorso temporale.</w:t>
      </w:r>
    </w:p>
  </w:footnote>
  <w:footnote w:id="348">
    <w:p>
      <w:pPr>
        <w:pStyle w:val="FootnoteText"/>
      </w:pPr>
      <w:r>
        <w:rPr>
          <w:rStyle w:val="FootnoteReference"/>
        </w:rPr>
        <w:footnoteRef/>
      </w:r>
      <w:r>
        <w:t xml:space="preserve"> </w:t>
      </w:r>
      <w:r>
        <w:t xml:space="preserve">L’equità di accesso si distingue dall’equità territoriale e dall’equità tra le popolazioni: non attiene alla distribuzione del valore prodotto, ma alla possibilità di accedere al servizio. La leva digitale (teleconsultazione, terapie digitali, terapia cognitivo-comportamentale erogata attraverso la rete, monitoraggio remoto), che la quarta parte ha collocato come strumento abilitante subordinato alla supervisione umana, presuppone requisiti — connessione e competenza digitale — diseguamente distribuiti, e rende perciò l’equità di accesso un oggetto di specifica attenzione.</w:t>
      </w:r>
    </w:p>
  </w:footnote>
  <w:footnote w:id="349">
    <w:p>
      <w:pPr>
        <w:pStyle w:val="FootnoteText"/>
      </w:pPr>
      <w:r>
        <w:rPr>
          <w:rStyle w:val="FootnoteReference"/>
        </w:rPr>
        <w:footnoteRef/>
      </w:r>
      <w:r>
        <w:t xml:space="preserve"> </w:t>
      </w:r>
      <w:r>
        <w:t xml:space="preserve">Il divario digitale si articola in tre dimensioni: territoriale (minore copertura della banda larga nelle aree interne), anagrafica (minore competenza digitale negli anziani) e socio-economica (minore accesso ai dispositivi e alle competenze nei gruppi svantaggiati). Si vedano i dati sul divario digitale in Italia (copertura della banda larga; indicatori di competenze digitali per età e condizione socio-economica). Le tre dimensioni si sovrappongono ai divari territoriali e sociali esaminati nelle voci 12.1 e 12.2.</w:t>
      </w:r>
    </w:p>
  </w:footnote>
  <w:footnote w:id="350">
    <w:p>
      <w:pPr>
        <w:pStyle w:val="FootnoteText"/>
      </w:pPr>
      <w:r>
        <w:rPr>
          <w:rStyle w:val="FootnoteReference"/>
        </w:rPr>
        <w:footnoteRef/>
      </w:r>
      <w:r>
        <w:t xml:space="preserve"> </w:t>
      </w:r>
      <w:r>
        <w:t xml:space="preserve">Il principio della complementarità — la leva digitale affianca l’accesso in presenza senza sostituirlo — è la traduzione, sul piano dell’equità di accesso, della posizione subordinata che la quarta parte ha assegnato alla leva digitale sul piano clinico. Esso implica che la leva digitale non sia mai l’unica modalità di accesso, sì che il soggetto possa accedere al servizio attraverso il canale in presenza indipendentemente dalla disponibilità degli strumenti e delle competenze digitali. La governance per l’equità (accessibilità in presenza, commisurazione dell’impiego digitale, sostegno all’alfabetizzazione) ne è l’attuazione.</w:t>
      </w:r>
    </w:p>
  </w:footnote>
  <w:footnote w:id="351">
    <w:p>
      <w:pPr>
        <w:pStyle w:val="FootnoteText"/>
      </w:pPr>
      <w:r>
        <w:rPr>
          <w:rStyle w:val="FootnoteReference"/>
        </w:rPr>
        <w:footnoteRef/>
      </w:r>
      <w:r>
        <w:t xml:space="preserve"> </w:t>
      </w:r>
      <w:r>
        <w:t xml:space="preserve">La gradazione GRADE moderata riflette la solidità della duplice valenza della leva digitale (fattore che può ampliare o restringere l’accesso) e del principio della complementarità, e l’incertezza dell’impiego effettivo (dipendente dal rispetto del principio della complementarità e dalla governance per l’equità). La soglia di confutazione è l’osservazione che l’accesso sia stato precluso ai soggetti digitalmente esclusi; il metodo di verifica è il monitoraggio dell’accessibilità attraverso il canale in presenza e dell’impiego della leva digitale (quindicesima parte).</w:t>
      </w:r>
    </w:p>
  </w:footnote>
  <w:footnote w:id="352">
    <w:p>
      <w:pPr>
        <w:pStyle w:val="FootnoteText"/>
      </w:pPr>
      <w:r>
        <w:rPr>
          <w:rStyle w:val="FootnoteReference"/>
        </w:rPr>
        <w:footnoteRef/>
      </w:r>
      <w:r>
        <w:t xml:space="preserve"> </w:t>
      </w:r>
      <w:r>
        <w:t xml:space="preserve">L’impatto distributivo complessivo ricompone le tre dimensioni dell’equità (territoriale, tra le popolazioni, di accesso), tenendo conto delle loro connessioni. La sovrapposizione dei divari fa sì che i soggetti svantaggiati sotto le tre dimensioni siano in larga parte i medesimi (residenti nelle aree interne, anziani, socio-economicamente svantaggiati, digitalmente esclusi), e che le condizioni che riducono le diseguaglianze sotto una dimensione contribuiscano a ridurle anche sotto le altre. La valutazione complessiva è la composizione delle valutazioni parziali, non la loro somma.</w:t>
      </w:r>
    </w:p>
  </w:footnote>
  <w:footnote w:id="353">
    <w:p>
      <w:pPr>
        <w:pStyle w:val="FootnoteText"/>
      </w:pPr>
      <w:r>
        <w:rPr>
          <w:rStyle w:val="FootnoteReference"/>
        </w:rPr>
        <w:footnoteRef/>
      </w:r>
      <w:r>
        <w:t xml:space="preserve"> </w:t>
      </w:r>
      <w:r>
        <w:t xml:space="preserve">Le tre condizioni dell’impatto distributivo favorevole sono congiuntamente necessarie: distribuzione proporzionale al bisogno (dimensione territoriale), orientamento attivo ai gruppi svantaggiati (dimensione delle popolazioni), principio della complementarità (dimensione dell’accesso). Il difetto di una compromette l’impatto complessivo, lasciando i soggetti svantaggiati esclusi sotto la dimensione corrispondente. Le tre condizioni si rinforzano a vicenda, sì che il loro concorso produce un effetto superiore alla somma dei singoli effetti.</w:t>
      </w:r>
    </w:p>
  </w:footnote>
  <w:footnote w:id="354">
    <w:p>
      <w:pPr>
        <w:pStyle w:val="FootnoteText"/>
      </w:pPr>
      <w:r>
        <w:rPr>
          <w:rStyle w:val="FootnoteReference"/>
        </w:rPr>
        <w:footnoteRef/>
      </w:r>
      <w:r>
        <w:t xml:space="preserve"> </w:t>
      </w:r>
      <w:r>
        <w:t xml:space="preserve">L’impatto distributivo è formulato come previsione falsificabile, in coerenza con la forma delle previsioni dell’undicesima parte: la riforma riduce le diseguaglianze ove concorrano le tre condizioni; ove una difetti, lascia i soggetti svantaggiati esclusi sotto la dimensione corrispondente. La soglia di confutazione è l’osservazione che la riforma accentui le diseguaglianze sotto una o più dimensioni; il metodo di verifica è il monitoraggio della distribuzione effettiva sotto le tre dimensioni (distribuzione territoriale degli psicologi, composizione della popolazione servita, accessibilità in presenza), affidato alla quindicesima parte.</w:t>
      </w:r>
    </w:p>
  </w:footnote>
  <w:footnote w:id="355">
    <w:p>
      <w:pPr>
        <w:pStyle w:val="FootnoteText"/>
      </w:pPr>
      <w:r>
        <w:rPr>
          <w:rStyle w:val="FootnoteReference"/>
        </w:rPr>
        <w:footnoteRef/>
      </w:r>
      <w:r>
        <w:t xml:space="preserve"> </w:t>
      </w:r>
      <w:r>
        <w:t xml:space="preserve">La gradazione GRADE moderata della valutazione complessiva eredita quella delle tre dimensioni: solida nell’identificazione delle dimensioni, delle condizioni e delle loro connessioni; incerta nella realizzazione delle condizioni, dipendente dall’attuazione. La valutazione è condizionale: afferma la possibilità della riduzione delle diseguaglianze al concorso delle tre condizioni, congiuntamente necessarie, e non la sua certezza incondizionata. Le raccomandazioni per l’equità sono consegnate alla quattordicesima parte (attuazione); la previsione falsificabile alla quindicesima (monitoraggio).</w:t>
      </w:r>
    </w:p>
  </w:footnote>
  <w:footnote w:id="356">
    <w:p>
      <w:pPr>
        <w:pStyle w:val="FootnoteText"/>
      </w:pPr>
      <w:r>
        <w:rPr>
          <w:rStyle w:val="FootnoteReference"/>
        </w:rPr>
        <w:footnoteRef/>
      </w:r>
      <w:r>
        <w:t xml:space="preserve"> </w:t>
      </w:r>
      <w:r>
        <w:t xml:space="preserve">La dodicesima parte aggiunge la dimensione distributiva alla valutazione del valore, che le parti precedenti avevano condotto sul piano della sola entità. L’entità del valore è la sua grandezza complessiva (oggetto delle parti precedenti); la distribuzione è la sua ripartizione tra i soggetti (oggetto di questa parte). Le due dimensioni sono autonome: un medesimo valore complessivo può distribuirsi in modi diversi, riducendo o accentuando le diseguaglianze. L’analisi distributiva muove dal valore già quantificato e ne studia la ripartizione, senza accrescerlo né diminuirlo.</w:t>
      </w:r>
    </w:p>
  </w:footnote>
  <w:footnote w:id="357">
    <w:p>
      <w:pPr>
        <w:pStyle w:val="FootnoteText"/>
      </w:pPr>
      <w:r>
        <w:rPr>
          <w:rStyle w:val="FootnoteReference"/>
        </w:rPr>
        <w:footnoteRef/>
      </w:r>
      <w:r>
        <w:t xml:space="preserve"> </w:t>
      </w:r>
      <w:r>
        <w:t xml:space="preserve">Le tre dimensioni dell’equità convergono sui medesimi soggetti svantaggiati: i residenti nelle aree interne sono spesso anche anziani, socio-economicamente svantaggiati e digitalmente esclusi. Da ciò la necessità congiunta delle tre condizioni dell’impatto favorevole (distribuzione proporzionale al bisogno, orientamento attivo ai gruppi svantaggiati, principio della complementarità): il difetto di una sola lascia i soggetti esclusi sotto la dimensione corrispondente. Le tre condizioni si rinforzano a vicenda, sì che il loro concorso produce un effetto superiore alla somma dei singoli effetti.</w:t>
      </w:r>
    </w:p>
  </w:footnote>
  <w:footnote w:id="358">
    <w:p>
      <w:pPr>
        <w:pStyle w:val="FootnoteText"/>
      </w:pPr>
      <w:r>
        <w:rPr>
          <w:rStyle w:val="FootnoteReference"/>
        </w:rPr>
        <w:footnoteRef/>
      </w:r>
      <w:r>
        <w:t xml:space="preserve"> </w:t>
      </w:r>
      <w:r>
        <w:t xml:space="preserve">La distinzione tra le tre dimensioni del valore (fiscale, sociale, salute), preservata dall’intero studio fino al saldo conclusivo senza somma in un’unica cifra, è mantenuta nell’analisi distributiva: la parte studia la ripartizione del valore tra i soggetti, ma non somma le dimensioni né attribuisce a più dimensioni il medesimo valore distributivo. Il duplice intervallo di Chisholm e il caveat dell’IMPACT trial sono preservati ove le grandezze economiche sono richiamate, in coerenza con i principi dello studio.</w:t>
      </w:r>
    </w:p>
  </w:footnote>
  <w:footnote w:id="359">
    <w:p>
      <w:pPr>
        <w:pStyle w:val="FootnoteText"/>
      </w:pPr>
      <w:r>
        <w:rPr>
          <w:rStyle w:val="FootnoteReference"/>
        </w:rPr>
        <w:footnoteRef/>
      </w:r>
      <w:r>
        <w:t xml:space="preserve"> </w:t>
      </w:r>
      <w:r>
        <w:t xml:space="preserve">L’impatto distributivo è formulato come previsione falsificabile, in coerenza con la forma delle previsioni dell’undicesima parte: la riforma riduce le diseguaglianze ove concorrano le tre condizioni; la previsione è smentita ove la riforma accentui le diseguaglianze sotto una o più dimensioni (concentrazione urbana, fruizione prevalente dei gruppi avvantaggiati, esclusione dei soggetti digitalmente esclusi). Il metodo di verifica è il monitoraggio della distribuzione effettiva sotto le tre dimensioni, affidato alla quindicesima parte; le raccomandazioni per l’equità sono affidate alla quattordicesima parte (attuazione).</w:t>
      </w:r>
    </w:p>
  </w:footnote>
  <w:footnote w:id="360">
    <w:p>
      <w:pPr>
        <w:pStyle w:val="FootnoteText"/>
      </w:pPr>
      <w:r>
        <w:rPr>
          <w:rStyle w:val="FootnoteReference"/>
        </w:rPr>
        <w:footnoteRef/>
      </w:r>
      <w:r>
        <w:t xml:space="preserve"> </w:t>
      </w:r>
      <w:r>
        <w:t xml:space="preserve">Il fondamento costituzionale e convenzionale è il radicamento della riforma nei principi supremi dell’ordinamento, fondamento ultimo distinto dal fondamento prossimo che la norma istitutiva costituisce. Esso opera come fondamento (radica la riforma nei principi e le conferisce legittimità) e come limite (la circoscrive entro i confini che i principi tracciano). La legittimità della riforma richiede che la norma istitutiva e la riforma si conformino ai principi costituzionali e convenzionali.</w:t>
      </w:r>
    </w:p>
  </w:footnote>
  <w:footnote w:id="361">
    <w:p>
      <w:pPr>
        <w:pStyle w:val="FootnoteText"/>
      </w:pPr>
      <w:r>
        <w:rPr>
          <w:rStyle w:val="FootnoteReference"/>
        </w:rPr>
        <w:footnoteRef/>
      </w:r>
      <w:r>
        <w:t xml:space="preserve"> </w:t>
      </w:r>
      <w:r>
        <w:t xml:space="preserve">L’articolo 32 della Costituzione tutela la salute come fondamentale diritto dell’individuo e interesse della collettività, e garantisce cure gratuite agli indigenti; è l’unico diritto cui la Costituzione attribuisce espressamente il carattere di fondamentale. Il diritto alla salute ha duplice natura: dimensione negativa (protezione da lesioni) e positiva (pretesa alla provvista della cura). La dimensione positiva fonda la provvista pubblica dei servizi sanitari, e i livelli essenziali di assistenza come contenuto minimo del diritto. La salute mentale è parte integrante della salute, tutelata in misura pari alla salute fisica.</w:t>
      </w:r>
    </w:p>
  </w:footnote>
  <w:footnote w:id="362">
    <w:p>
      <w:pPr>
        <w:pStyle w:val="FootnoteText"/>
      </w:pPr>
      <w:r>
        <w:rPr>
          <w:rStyle w:val="FootnoteReference"/>
        </w:rPr>
        <w:footnoteRef/>
      </w:r>
      <w:r>
        <w:t xml:space="preserve"> </w:t>
      </w:r>
      <w:r>
        <w:t xml:space="preserve">Il quadro convenzionale e sovranazionale comprende la Carta dei diritti fondamentali dell’Unione europea (articolo 35, diritto di accedere alla prevenzione sanitaria e di ottenere cure mediche) e la Convenzione delle Nazioni Unite sui diritti delle persone con disabilità (articolo 25, diritto al più alto standard conseguibile di salute senza discriminazione). Tali strumenti operano secondo modalità diverse (norme interposte, fonti dell’ordinamento dell’Unione, obblighi internazionali) e concorrono a rafforzare il fondamento costituzionale interno.</w:t>
      </w:r>
    </w:p>
  </w:footnote>
  <w:footnote w:id="363">
    <w:p>
      <w:pPr>
        <w:pStyle w:val="FootnoteText"/>
      </w:pPr>
      <w:r>
        <w:rPr>
          <w:rStyle w:val="FootnoteReference"/>
        </w:rPr>
        <w:footnoteRef/>
      </w:r>
      <w:r>
        <w:t xml:space="preserve"> </w:t>
      </w:r>
      <w:r>
        <w:t xml:space="preserve">Il primo livello psicologico è fondato nella convergenza di più principi: il diritto alla salute esteso alla salute mentale (provvista della cura); il principio di uguaglianza sostanziale, articolo 3, secondo comma (estensione dell’accesso ai gruppi svantaggiati, gratuità, bassa soglia); la tutela delle persone con disabilità (non discriminazione); la competenza concorrente in materia di tutela della salute, articolo 117 (potestà regionale di organizzare il servizio). Il fondamento nei principi radica nel diritto le valutazioni del valore condotte nelle parti precedenti.</w:t>
      </w:r>
    </w:p>
  </w:footnote>
  <w:footnote w:id="364">
    <w:p>
      <w:pPr>
        <w:pStyle w:val="FootnoteText"/>
      </w:pPr>
      <w:r>
        <w:rPr>
          <w:rStyle w:val="FootnoteReference"/>
        </w:rPr>
        <w:footnoteRef/>
      </w:r>
      <w:r>
        <w:t xml:space="preserve"> </w:t>
      </w:r>
      <w:r>
        <w:t xml:space="preserve">Il quadro normativo è il fondamento prossimo della riforma, distinto dal fondamento ultimo costituzionale e convenzionale: la riforma esiste come istituzione giuridica perché una norma la istituisce. Il quadro opera come fonte (istituisce la riforma e ne disciplina l’organizzazione) e come limite (la circoscrive entro i confini delle norme). La materia della tutela della salute è di competenza concorrente (articolo 117): allo Stato i principi fondamentali e i livelli essenziali, alle Regioni la potestà legislativa nel rispetto di tali principi.</w:t>
      </w:r>
    </w:p>
  </w:footnote>
  <w:footnote w:id="365">
    <w:p>
      <w:pPr>
        <w:pStyle w:val="FootnoteText"/>
      </w:pPr>
      <w:r>
        <w:rPr>
          <w:rStyle w:val="FootnoteReference"/>
        </w:rPr>
        <w:footnoteRef/>
      </w:r>
      <w:r>
        <w:t xml:space="preserve"> </w:t>
      </w:r>
      <w:r>
        <w:t xml:space="preserve">Il quadro nazionale comprende: i livelli essenziali di assistenza (definiti con decreto del Presidente del Consiglio dei Ministri, da ultimo il d.P.C.M. 12 gennaio 2017), livello minimo garantito su tutto il territorio; la Missione 6 del Piano nazionale di ripresa e resilienza (Salute), che finanzia il rafforzamento dell’assistenza territoriale e le Case della Comunità; l’Accordo Collettivo Nazionale per la medicina generale, che disciplina le cure primarie. Il primo livello psicologico si aggiunge ai livelli essenziali, si colloca nel contesto del rafforzamento territoriale e si integra con la medicina generale.</w:t>
      </w:r>
    </w:p>
  </w:footnote>
  <w:footnote w:id="366">
    <w:p>
      <w:pPr>
        <w:pStyle w:val="FootnoteText"/>
      </w:pPr>
      <w:r>
        <w:rPr>
          <w:rStyle w:val="FootnoteReference"/>
        </w:rPr>
        <w:footnoteRef/>
      </w:r>
      <w:r>
        <w:t xml:space="preserve"> </w:t>
      </w:r>
      <w:r>
        <w:t xml:space="preserve">Il fondamento prossimo della riforma risiede nella legge regionale della Puglia numero 11 del 2023, che istituisce il Servizio di Psicologia di Base, definisce la figura dello psicologo di base, ne disciplina le funzioni e l’organizzazione, e appresta il fondamento per la sua attuazione. La riforma esiste come istituzione giuridica perché la legge regionale la istituisce; essa costituisce l’oggetto della valutazione condotta nell’intero studio. La legge regionale esercita la potestà legislativa regionale in materia di tutela della salute, nel rispetto dei principi fondamentali e dei livelli essenziali.</w:t>
      </w:r>
    </w:p>
  </w:footnote>
  <w:footnote w:id="367">
    <w:p>
      <w:pPr>
        <w:pStyle w:val="FootnoteText"/>
      </w:pPr>
      <w:r>
        <w:rPr>
          <w:rStyle w:val="FootnoteReference"/>
        </w:rPr>
        <w:footnoteRef/>
      </w:r>
      <w:r>
        <w:t xml:space="preserve"> </w:t>
      </w:r>
      <w:r>
        <w:t xml:space="preserve">La legge regionale rimette a successivi atti attuativi (delibere della Giunta regionale, linee guida, atti di organizzazione) la specificazione della disciplina e l’organizzazione concreta della realizzazione. Gli atti attuativi sono essenziali per la piena attuazione, perché la legge regionale istituisce il servizio e ne disciplina le linee fondamentali, ma non ne organizza la realizzazione concreta. Il rapporto tra le fonti è governato dalla gerarchia delle fonti e dalla ripartizione delle competenze; l’adozione degli atti attuativi è rimessa alla quattordicesima parte (attuazione).</w:t>
      </w:r>
    </w:p>
  </w:footnote>
  <w:footnote w:id="368">
    <w:p>
      <w:pPr>
        <w:pStyle w:val="FootnoteText"/>
      </w:pPr>
      <w:r>
        <w:rPr>
          <w:rStyle w:val="FootnoteReference"/>
        </w:rPr>
        <w:footnoteRef/>
      </w:r>
      <w:r>
        <w:t xml:space="preserve"> </w:t>
      </w:r>
      <w:r>
        <w:t xml:space="preserve">La cornice di responsabilità nell’impiego degli strumenti è l’insieme delle regole che governano l’uso degli strumenti digitali e dell’Intelligenza Artificiale, assicurandone la conformità ai principi di tutela della persona. Essa non è un ostacolo all’impiego degli strumenti, ma la condizione della sua legittimità. Si compone di due ambiti: la protezione dei dati (trattamento dei dati personali) e la governance dell’Intelligenza Artificiale (uso dei sistemi), distinti ma connessi, poiché l’uso dei sistemi è anche trattamento di dati.</w:t>
      </w:r>
    </w:p>
  </w:footnote>
  <w:footnote w:id="369">
    <w:p>
      <w:pPr>
        <w:pStyle w:val="FootnoteText"/>
      </w:pPr>
      <w:r>
        <w:rPr>
          <w:rStyle w:val="FootnoteReference"/>
        </w:rPr>
        <w:footnoteRef/>
      </w:r>
      <w:r>
        <w:t xml:space="preserve"> </w:t>
      </w:r>
      <w:r>
        <w:t xml:space="preserve">I dati relativi alla salute costituiscono, secondo il regolamento generale sulla protezione dei dati (Reg. UE 2016/679), una categoria particolare di dati personali (articolo 9), il cui trattamento è in linea di principio vietato e ammesso soltanto in presenza di una condizione, tra cui la finalità di cura (necessità per finalità di diagnosi, assistenza o terapia sanitaria). Il trattamento dei dati del primo livello psicologico si fonda sulla finalità di cura e si conforma ai principi di liceità, minimizzazione, limitazione delle finalità, esattezza, sicurezza (articolo 5) e protezione fin dalla progettazione (articolo 25).</w:t>
      </w:r>
    </w:p>
  </w:footnote>
  <w:footnote w:id="370">
    <w:p>
      <w:pPr>
        <w:pStyle w:val="FootnoteText"/>
      </w:pPr>
      <w:r>
        <w:rPr>
          <w:rStyle w:val="FootnoteReference"/>
        </w:rPr>
        <w:footnoteRef/>
      </w:r>
      <w:r>
        <w:t xml:space="preserve"> </w:t>
      </w:r>
      <w:r>
        <w:t xml:space="preserve">La governance dell’Intelligenza Artificiale presidia la posizione subordinata che la quarta parte ha assegnato all’Intelligenza Artificiale (strumento abilitante sotto supervisione umana, non sostituto del professionista). Il regolamento sull’intelligenza artificiale (Reg. UE 2024/1689) assoggetta i sistemi a una disciplina graduata secondo il rischio; i sistemi ad alto rischio sono soggetti a obblighi rafforzati di trasparenza, supervisione umana, accuratezza e robustezza. I sistemi impiegati in àmbito sanitario possono ricadere tra quelli ad alto rischio.</w:t>
      </w:r>
    </w:p>
  </w:footnote>
  <w:footnote w:id="371">
    <w:p>
      <w:pPr>
        <w:pStyle w:val="FootnoteText"/>
      </w:pPr>
      <w:r>
        <w:rPr>
          <w:rStyle w:val="FootnoteReference"/>
        </w:rPr>
        <w:footnoteRef/>
      </w:r>
      <w:r>
        <w:t xml:space="preserve"> </w:t>
      </w:r>
      <w:r>
        <w:t xml:space="preserve">I due ambiti della cornice di responsabilità convergono in tre principi comuni: la riservatezza (protezione dei dati dalla divulgazione non autorizzata, rafforzata per i dati di salute mentale); la responsabilità (imputazione al titolare del trattamento e all’utilizzatore dei sistemi della conformità alle regole, sì che vi sia sempre un soggetto responsabile); la trasparenza (comprensibilità del trattamento dei dati e del funzionamento dei sistemi). I tre principi sono le condizioni di legittimità dell’impiego degli strumenti.</w:t>
      </w:r>
    </w:p>
  </w:footnote>
  <w:footnote w:id="372">
    <w:p>
      <w:pPr>
        <w:pStyle w:val="FootnoteText"/>
      </w:pPr>
      <w:r>
        <w:rPr>
          <w:rStyle w:val="FootnoteReference"/>
        </w:rPr>
        <w:footnoteRef/>
      </w:r>
      <w:r>
        <w:t xml:space="preserve"> </w:t>
      </w:r>
      <w:r>
        <w:t xml:space="preserve">La voce ha carattere normativo: non formula stime empiriche, ma proposizioni giuridiche, la cui solidità si valuta secondo il radicamento nelle norme della protezione dei dati e dell’Intelligenza Artificiale; la gradazione GRADE non vi si applica. Le misure concrete di attuazione della cornice di responsabilità sono rimesse alla quattordicesima parte (attuazione). La voce conferma e presidia la posizione subordinata dell’Intelligenza Artificiale senza rifarne la valutazione del contributo, condotta dalle parti precedenti.</w:t>
      </w:r>
    </w:p>
  </w:footnote>
  <w:footnote w:id="373">
    <w:p>
      <w:pPr>
        <w:pStyle w:val="FootnoteText"/>
      </w:pPr>
      <w:r>
        <w:rPr>
          <w:rStyle w:val="FootnoteReference"/>
        </w:rPr>
        <w:footnoteRef/>
      </w:r>
      <w:r>
        <w:t xml:space="preserve"> </w:t>
      </w:r>
      <w:r>
        <w:t xml:space="preserve">La cornice deontologica è l’insieme delle regole etiche che governano la condotta del professionista nell’esercizio della professione. Il primo livello psicologico è erogato da professionisti (gli psicologi di base), la cui azione è governata dalla deontologia professionale; la conformità dell’azione professionale alla deontologia è una condizione della legittimità della riforma. La cornice deontologica si connette alla cornice di responsabilità nel punto della supervisione umana, che la deontologia fonda nell’autonomia e nella responsabilità professionale.</w:t>
      </w:r>
    </w:p>
  </w:footnote>
  <w:footnote w:id="374">
    <w:p>
      <w:pPr>
        <w:pStyle w:val="FootnoteText"/>
      </w:pPr>
      <w:r>
        <w:rPr>
          <w:rStyle w:val="FootnoteReference"/>
        </w:rPr>
        <w:footnoteRef/>
      </w:r>
      <w:r>
        <w:t xml:space="preserve"> </w:t>
      </w:r>
      <w:r>
        <w:t xml:space="preserve">La professione di psicologo è regolamentata (legge 18 febbraio 1989, n. 56, ordinamento della professione); il suo esercizio è subordinato all’iscrizione all’albo e governato dal codice deontologico degli psicologi. Tra i principi: il segreto professionale (riservatezza su quanto appreso nell’esercizio della professione); il consenso informato (subordinazione dell’intervento al consenso consapevole della persona); l’autonomia e la responsabilità (esercizio del giudizio con indipendenza e relativa responsabilità); la centralità della relazione clinica.</w:t>
      </w:r>
    </w:p>
  </w:footnote>
  <w:footnote w:id="375">
    <w:p>
      <w:pPr>
        <w:pStyle w:val="FootnoteText"/>
      </w:pPr>
      <w:r>
        <w:rPr>
          <w:rStyle w:val="FootnoteReference"/>
        </w:rPr>
        <w:footnoteRef/>
      </w:r>
      <w:r>
        <w:t xml:space="preserve"> </w:t>
      </w:r>
      <w:r>
        <w:t xml:space="preserve">La supervisione umana è il principio per cui il professionista mantiene il controllo del proprio giudizio clinico e non lo delega agli strumenti digitali o all’Intelligenza Artificiale. Gli strumenti operano come supporto, non come sostituti: possono fornire indicazioni o elaborazioni, ma il giudizio clinico (valutazione del disagio, scelta dell’intervento, conduzione della relazione) rimane del professionista. La supervisione umana presidia la posizione subordinata dell’Intelligenza Artificiale, mantenendola strumento di supporto sotto il controllo del professionista.</w:t>
      </w:r>
    </w:p>
  </w:footnote>
  <w:footnote w:id="376">
    <w:p>
      <w:pPr>
        <w:pStyle w:val="FootnoteText"/>
      </w:pPr>
      <w:r>
        <w:rPr>
          <w:rStyle w:val="FootnoteReference"/>
        </w:rPr>
        <w:footnoteRef/>
      </w:r>
      <w:r>
        <w:t xml:space="preserve"> </w:t>
      </w:r>
      <w:r>
        <w:t xml:space="preserve">L’autonomia professionale (esercizio del giudizio con indipendenza) e la responsabilità professionale (risposta del proprio giudizio e condotta) costituiscono i cardini della cornice deontologica, connessi tra loro: l’autonomia implica la responsabilità e viceversa. Da essi discendono gli altri principi (segreto professionale, consenso informato, centralità della relazione clinica) e la supervisione umana. I cardini assicurano che la riforma, pur avvalendosi di strumenti e articolandosi in un’organizzazione, rimanga fondata sull’azione del professionista, che ne è responsabile.</w:t>
      </w:r>
    </w:p>
  </w:footnote>
  <w:footnote w:id="377">
    <w:p>
      <w:pPr>
        <w:pStyle w:val="FootnoteText"/>
      </w:pPr>
      <w:r>
        <w:rPr>
          <w:rStyle w:val="FootnoteReference"/>
        </w:rPr>
        <w:footnoteRef/>
      </w:r>
      <w:r>
        <w:t xml:space="preserve"> </w:t>
      </w:r>
      <w:r>
        <w:t xml:space="preserve">La voce ha carattere normativo: formula proposizioni deontologiche, la cui solidità si valuta secondo il radicamento nel codice deontologico e nei principi dell’autonomia e della responsabilità professionale; la gradazione GRADE non vi si applica. Le misure concrete di osservanza della cornice deontologica sono rimesse alla quattordicesima parte (attuazione). I profili organizzativi e di responsabilità sono oggetto della quinta voce.</w:t>
      </w:r>
    </w:p>
  </w:footnote>
  <w:footnote w:id="378">
    <w:p>
      <w:pPr>
        <w:pStyle w:val="FootnoteText"/>
      </w:pPr>
      <w:r>
        <w:rPr>
          <w:rStyle w:val="FootnoteReference"/>
        </w:rPr>
        <w:footnoteRef/>
      </w:r>
      <w:r>
        <w:t xml:space="preserve"> </w:t>
      </w:r>
      <w:r>
        <w:t xml:space="preserve">I profili organizzativi e di responsabilità sono l’insieme delle regole che disciplinano la distribuzione delle funzioni e delle responsabilità tra le figure e le istituzioni che concorrono alla riforma. Essi si distinguono dall’architettura della cascata (terza parte, ordinamento per influenza e per valore) e dal modello organizzativo operativo (quarta parte, descrizione del funzionamento), ma a essi si connettono: la distribuzione delle responsabilità presuppone l’architettura delle figure che la cascata ordina, e disciplina l’imputazione delle responsabilità nel funzionamento che il modello operativo descrive.</w:t>
      </w:r>
    </w:p>
  </w:footnote>
  <w:footnote w:id="379">
    <w:p>
      <w:pPr>
        <w:pStyle w:val="FootnoteText"/>
      </w:pPr>
      <w:r>
        <w:rPr>
          <w:rStyle w:val="FootnoteReference"/>
        </w:rPr>
        <w:footnoteRef/>
      </w:r>
      <w:r>
        <w:t xml:space="preserve"> </w:t>
      </w:r>
      <w:r>
        <w:t xml:space="preserve">La distribuzione delle funzioni pone lo psicologo di base all’apice della funzione clinica (valutazione del disagio, conduzione dell’intervento, relazione clinica, responsabilità del giudizio clinico); il medico di medicina generale nella funzione di integrazione con le cure primarie (intercettazione, invio); le altre figure (infermiere, psichiatra consulente, assistente sociale, e altre che la cascata ordina) nelle funzioni di concorso. La distribuzione assume l’architettura della cascata della terza parte e vi applica la distribuzione delle responsabilità.</w:t>
      </w:r>
    </w:p>
  </w:footnote>
  <w:footnote w:id="380">
    <w:p>
      <w:pPr>
        <w:pStyle w:val="FootnoteText"/>
      </w:pPr>
      <w:r>
        <w:rPr>
          <w:rStyle w:val="FootnoteReference"/>
        </w:rPr>
        <w:footnoteRef/>
      </w:r>
      <w:r>
        <w:t xml:space="preserve"> </w:t>
      </w:r>
      <w:r>
        <w:t xml:space="preserve">La distribuzione delle responsabilità tra le istituzioni segue la ripartizione delle competenze: la Regione la responsabilità della programmazione e dell’indirizzo; le aziende sanitarie locali la responsabilità dell’organizzazione del servizio sul territorio; i distretti la responsabilità dell’articolazione territoriale. Il luogo dell’erogazione è in larga parte la Casa della Comunità (Missione 6 del Piano nazionale di ripresa e resilienza), entro cui il primo livello psicologico si integra con gli altri servizi territoriali.</w:t>
      </w:r>
    </w:p>
  </w:footnote>
  <w:footnote w:id="381">
    <w:p>
      <w:pPr>
        <w:pStyle w:val="FootnoteText"/>
      </w:pPr>
      <w:r>
        <w:rPr>
          <w:rStyle w:val="FootnoteReference"/>
        </w:rPr>
        <w:footnoteRef/>
      </w:r>
      <w:r>
        <w:t xml:space="preserve"> </w:t>
      </w:r>
      <w:r>
        <w:t xml:space="preserve">La catena di responsabilità connette le responsabilità dei diversi soggetti in un ordine coerente, dalla responsabilità del giudizio clinico (psicologo di base) alla responsabilità della programmazione (Regione), attraverso le responsabilità intermedie. Essa assicura che ogni aspetto della realizzazione sia imputato a un soggetto responsabile e che le responsabilità non si sovrappongano né si confondano. La catena richiede, per la propria efficacia, un raccordo organizzativo tra i soggetti, le cui modalità concrete sono rimesse alla quattordicesima parte (attuazione).</w:t>
      </w:r>
    </w:p>
  </w:footnote>
  <w:footnote w:id="382">
    <w:p>
      <w:pPr>
        <w:pStyle w:val="FootnoteText"/>
      </w:pPr>
      <w:r>
        <w:rPr>
          <w:rStyle w:val="FootnoteReference"/>
        </w:rPr>
        <w:footnoteRef/>
      </w:r>
      <w:r>
        <w:t xml:space="preserve"> </w:t>
      </w:r>
      <w:r>
        <w:t xml:space="preserve">La voce ha carattere normativo: formula proposizioni organizzative e di responsabilità, la cui solidità si valuta secondo il radicamento nelle norme che disciplinano l’organizzazione del servizio e la ripartizione delle competenze; la gradazione GRADE non vi si applica. L’architettura della cascata è oggetto della terza parte; il modello operativo della quarta; le modalità concrete del coordinamento organizzativo sono rimesse alla quattordicesima parte (attuazione); l’osservanza della distribuzione delle responsabilità è oggetto del monitoraggio della quindicesima parte.</w:t>
      </w:r>
    </w:p>
  </w:footnote>
  <w:footnote w:id="383">
    <w:p>
      <w:pPr>
        <w:pStyle w:val="FootnoteText"/>
      </w:pPr>
      <w:r>
        <w:rPr>
          <w:rStyle w:val="FootnoteReference"/>
        </w:rPr>
        <w:footnoteRef/>
      </w:r>
      <w:r>
        <w:t xml:space="preserve"> </w:t>
      </w:r>
      <w:r>
        <w:t xml:space="preserve">La cornice di legittimità e di responsabilità completa la valutazione della riforma con le condizioni del fondamento e delle regole, accanto alle condizioni del valore (efficacia, convenienza, equità). La dimensione della legittimità e della responsabilità è autonoma e necessaria: essa non compete con le dimensioni del valore, ma le presuppone e vi aggiunge la dimensione del fondamento e delle regole. Una riforma destinata a istituire un servizio pubblico è chiamata a essere non soltanto efficace, conveniente ed equa, ma anche legittima nel fondamento e responsabile nell’attuazione.</w:t>
      </w:r>
    </w:p>
  </w:footnote>
  <w:footnote w:id="384">
    <w:p>
      <w:pPr>
        <w:pStyle w:val="FootnoteText"/>
      </w:pPr>
      <w:r>
        <w:rPr>
          <w:rStyle w:val="FootnoteReference"/>
        </w:rPr>
        <w:footnoteRef/>
      </w:r>
      <w:r>
        <w:t xml:space="preserve"> </w:t>
      </w:r>
      <w:r>
        <w:t xml:space="preserve">La parte ha carattere normativo, e non quantitativo: non misura grandezze, né formula stime in bande prudenziali falsificabili, ma esamina principi e norme, e ne valuta la solidità come fondamento della riforma. La gradazione GRADE si applica alle sole affermazioni empiriche, in questa parte pressoché assenti. La parte preserva la distinzione tra le tre dimensioni del valore, il duplice intervallo di Chisholm e il caveat dell’IMPACT trial ove le grandezze economiche sono richiamate; essa non introduce nuove grandezze né somma le dimensioni, ma fonda nel diritto e nell’etica il valore della riforma.</w:t>
      </w:r>
    </w:p>
  </w:footnote>
  <w:footnote w:id="385">
    <w:p>
      <w:pPr>
        <w:pStyle w:val="FootnoteText"/>
      </w:pPr>
      <w:r>
        <w:rPr>
          <w:rStyle w:val="FootnoteReference"/>
        </w:rPr>
        <w:footnoteRef/>
      </w:r>
      <w:r>
        <w:t xml:space="preserve"> </w:t>
      </w:r>
      <w:r>
        <w:t xml:space="preserve">La cascata gerarchica piramidale e il perimetro multidisciplinare integrale sono definiti, rispettivamente, nella Parte III e nella Parte IX dello Studio Integrale. L’ampliamento del novero qui proposto ha natura ricognitiva: esso ordina ambiti già presenti nel corpus, senza estendere l’oggetto dell’opera né attribuire alla riforma effetti non documentati.</w:t>
      </w:r>
    </w:p>
  </w:footnote>
  <w:footnote w:id="386">
    <w:p>
      <w:pPr>
        <w:pStyle w:val="FootnoteText"/>
      </w:pPr>
      <w:r>
        <w:rPr>
          <w:rStyle w:val="FootnoteReference"/>
        </w:rPr>
        <w:footnoteRef/>
      </w:r>
      <w:r>
        <w:t xml:space="preserve"> </w:t>
      </w:r>
      <w:r>
        <w:t xml:space="preserve">I domini del perimetro economico-sociale sono definiti nella Parte IX e nella Parte I dello Studio Integrale. Alcuni di essi rileggono, sotto la lente del valore, effetti già attribuiti alle discipline, e sono quantificati nella sola componente residua non duplicata o riconosciuti nella loro dimensione qualitativa, ove prevalente.</w:t>
      </w:r>
    </w:p>
  </w:footnote>
  <w:footnote w:id="387">
    <w:p>
      <w:pPr>
        <w:pStyle w:val="FootnoteText"/>
      </w:pPr>
      <w:r>
        <w:rPr>
          <w:rStyle w:val="FootnoteReference"/>
        </w:rPr>
        <w:footnoteRef/>
      </w:r>
      <w:r>
        <w:t xml:space="preserve"> </w:t>
      </w:r>
      <w:r>
        <w:t xml:space="preserve">OECD (2026), The Economic Case for Preventing Mental Ill Health, DOI: 10.1787/16668f16-en, riferimento economico primario dell’intero Studio Integrale.</w:t>
      </w:r>
    </w:p>
  </w:footnote>
  <w:footnote w:id="388">
    <w:p>
      <w:pPr>
        <w:pStyle w:val="FootnoteText"/>
      </w:pPr>
      <w:r>
        <w:rPr>
          <w:rStyle w:val="FootnoteReference"/>
        </w:rPr>
        <w:footnoteRef/>
      </w:r>
      <w:r>
        <w:t xml:space="preserve"> </w:t>
      </w:r>
      <w:r>
        <w:t xml:space="preserve">Ancoraggio di popolazione e di servizio: circa 3.877.395 residenti, 6 aziende sanitarie locali, 45 distretti; scenari di copertura conservativo (620 psicologi), standard (775) ed espansivo (900); dotazione attuale dell’ordine di poche decine di psicologi nei servizi territoriali.</w:t>
      </w:r>
    </w:p>
  </w:footnote>
  <w:footnote w:id="389">
    <w:p>
      <w:pPr>
        <w:pStyle w:val="FootnoteText"/>
      </w:pPr>
      <w:r>
        <w:rPr>
          <w:rStyle w:val="FootnoteReference"/>
        </w:rPr>
        <w:footnoteRef/>
      </w:r>
      <w:r>
        <w:t xml:space="preserve"> </w:t>
      </w:r>
      <w:r>
        <w:t xml:space="preserve">Il 70-80% dei disturbi mentali della popolazione generale ha intensità lieve-moderata e setting appropriato nelle cure primarie. Il peso del disagio psichico è del 13-15% in termini di anni di vita aggiustati per disabilità, a fronte di una quota di spesa del 3-3,5% della spesa sanitaria corrente.</w:t>
      </w:r>
    </w:p>
  </w:footnote>
  <w:footnote w:id="390">
    <w:p>
      <w:pPr>
        <w:pStyle w:val="FootnoteText"/>
      </w:pPr>
      <w:r>
        <w:rPr>
          <w:rStyle w:val="FootnoteReference"/>
        </w:rPr>
        <w:footnoteRef/>
      </w:r>
      <w:r>
        <w:t xml:space="preserve"> </w:t>
      </w:r>
      <w:r>
        <w:t xml:space="preserve">Ancoraggio di popolazione e di servizio: circa 3.877.395 residenti, 6 aziende sanitarie locali, 45 distretti; scenari di copertura conservativo (620 psicologi), standard (775) ed espansivo (900); dotazione attuale dell’ordine di poche decine di psicologi nei servizi territoriali.</w:t>
      </w:r>
    </w:p>
  </w:footnote>
  <w:footnote w:id="391">
    <w:p>
      <w:pPr>
        <w:pStyle w:val="FootnoteText"/>
      </w:pPr>
      <w:r>
        <w:rPr>
          <w:rStyle w:val="FootnoteReference"/>
        </w:rPr>
        <w:footnoteRef/>
      </w:r>
      <w:r>
        <w:t xml:space="preserve"> </w:t>
      </w:r>
      <w:r>
        <w:t xml:space="preserve">Il 70-80% dei disturbi mentali della popolazione generale ha intensità lieve-moderata e setting appropriato nelle cure primarie. Il peso del disagio psichico è del 13-15% in termini di anni di vita aggiustati per disabilità, a fronte di una quota di spesa del 3-3,5% della spesa sanitaria corrente.</w:t>
      </w:r>
    </w:p>
  </w:footnote>
  <w:footnote w:id="392">
    <w:p>
      <w:pPr>
        <w:pStyle w:val="FootnoteText"/>
      </w:pPr>
      <w:r>
        <w:rPr>
          <w:rStyle w:val="FootnoteReference"/>
        </w:rPr>
        <w:footnoteRef/>
      </w:r>
      <w:r>
        <w:t xml:space="preserve"> </w:t>
      </w:r>
      <w:r>
        <w:t xml:space="preserve">I rapporti di ritorno sull’investimento sono enunciati esclusivamente entro gli intervalli di Chisholm et al. (2016), Lancet Psychiatry: da 2,3 a 3,0 a 1 per i soli benefici economici e da 3,3 a 5,7 a 1 con l’inclusione dei ritorni in salute. I risparmi sanitari diretti considerati in isolamento non risultano statisticamente significativi (studio IMPACT) e vanno trattati come indicazione e non come stima puntuale.</w:t>
      </w:r>
    </w:p>
  </w:footnote>
  <w:footnote w:id="393">
    <w:p>
      <w:pPr>
        <w:pStyle w:val="FootnoteText"/>
      </w:pPr>
      <w:r>
        <w:rPr>
          <w:rStyle w:val="FootnoteReference"/>
        </w:rPr>
        <w:footnoteRef/>
      </w:r>
      <w:r>
        <w:t xml:space="preserve"> </w:t>
      </w:r>
      <w:r>
        <w:t xml:space="preserve">Stime nazionali: tra 50.000 e 60.000 tentativi di suicidio l’anno in Italia. Tasso di suicidi consumati in Puglia di 6,5 per 100.000 abitanti. Rischio di recidiva massimo nelle 4-6 settimane successive alla dimissione ospedaliera; efficacia degli interventi brevi strutturati nel post-crisi.</w:t>
      </w:r>
    </w:p>
  </w:footnote>
  <w:footnote w:id="394">
    <w:p>
      <w:pPr>
        <w:pStyle w:val="FootnoteText"/>
      </w:pPr>
      <w:r>
        <w:rPr>
          <w:rStyle w:val="FootnoteReference"/>
        </w:rPr>
        <w:footnoteRef/>
      </w:r>
      <w:r>
        <w:t xml:space="preserve"> </w:t>
      </w:r>
      <w:r>
        <w:t xml:space="preserve">Prevalenza di depressione maggiore: 15-25% nel diabete, 20-30% nella malattia coronarica, 25-40% nella broncopneumopatia cronica ostruttiva, 30-50% nell’insufficienza renale in dialisi; 15-40% nell’artrite reumatoide. Riferimento organizzativo: Chronic Care Model (Wagner, 1998).</w:t>
      </w:r>
    </w:p>
  </w:footnote>
  <w:footnote w:id="395">
    <w:p>
      <w:pPr>
        <w:pStyle w:val="FootnoteText"/>
      </w:pPr>
      <w:r>
        <w:rPr>
          <w:rStyle w:val="FootnoteReference"/>
        </w:rPr>
        <w:footnoteRef/>
      </w:r>
      <w:r>
        <w:t xml:space="preserve"> </w:t>
      </w:r>
      <w:r>
        <w:t xml:space="preserve">Sperimentazioni di copresenza dello psicologo nelle cure primarie nel territorio di Orvieto (gruppo di L. Solano, dal 2000): riduzione della spesa sanitaria nell’ordine del 15% e riduzioni della spesa farmaceutica del 17% e del 14% nei casi documentati. Dati in parte derivanti da letteratura grigia, di valore orientativo.</w:t>
      </w:r>
    </w:p>
  </w:footnote>
  <w:footnote w:id="396">
    <w:p>
      <w:pPr>
        <w:pStyle w:val="FootnoteText"/>
      </w:pPr>
      <w:r>
        <w:rPr>
          <w:rStyle w:val="FootnoteReference"/>
        </w:rPr>
        <w:footnoteRef/>
      </w:r>
      <w:r>
        <w:t xml:space="preserve"> </w:t>
      </w:r>
      <w:r>
        <w:t xml:space="preserve">Il disturbo neurologico funzionale rappresenta fino al 16-20% delle nuove diagnosi in un ambulatorio neurologico di primo livello (per la fonte di progetto, Carson et al., JAMA Neurology 2012).</w:t>
      </w:r>
    </w:p>
  </w:footnote>
  <w:footnote w:id="397">
    <w:p>
      <w:pPr>
        <w:pStyle w:val="FootnoteText"/>
      </w:pPr>
      <w:r>
        <w:rPr>
          <w:rStyle w:val="FootnoteReference"/>
        </w:rPr>
        <w:footnoteRef/>
      </w:r>
      <w:r>
        <w:t xml:space="preserve"> </w:t>
      </w:r>
      <w:r>
        <w:t xml:space="preserve">Depressione perinatale con prevalenza del 10-20%, fino al 20-30% in presenza di fattori di rischio psicosociale; meno del 30% delle donne riceve un trattamento appropriato. Disturbi d’ansia in età evolutiva con prevalenza del 5-12% e remissione superiore al 60% se intercettati precocemente.</w:t>
      </w:r>
    </w:p>
  </w:footnote>
  <w:footnote w:id="398">
    <w:p>
      <w:pPr>
        <w:pStyle w:val="FootnoteText"/>
      </w:pPr>
      <w:r>
        <w:rPr>
          <w:rStyle w:val="FootnoteReference"/>
        </w:rPr>
        <w:footnoteRef/>
      </w:r>
      <w:r>
        <w:t xml:space="preserve"> </w:t>
      </w:r>
      <w:r>
        <w:t xml:space="preserve">Distress clinicamente significativo nel 30-60% dei pazienti oncologici, depressione nel 10-25%, ansia nel 15-30%; raccomandazioni delle società scientifiche oncologiche e psico-oncologiche per lo screening sistematico e la presa in carico psicologica.</w:t>
      </w:r>
    </w:p>
  </w:footnote>
  <w:footnote w:id="399">
    <w:p>
      <w:pPr>
        <w:pStyle w:val="FootnoteText"/>
      </w:pPr>
      <w:r>
        <w:rPr>
          <w:rStyle w:val="FootnoteReference"/>
        </w:rPr>
        <w:footnoteRef/>
      </w:r>
      <w:r>
        <w:t xml:space="preserve"> </w:t>
      </w:r>
      <w:r>
        <w:t xml:space="preserve">I disturbi mentali costano ai sistemi produttivi europei circa il 4% del PIL (in Italia 75-80 miliardi annui); la perdita di produttività, comprensiva di assenteismo e presenteismo, ne rappresenta circa il 60%. In Puglia il tasso di disoccupazione supera il 15%, con punte oltre il 25% nelle province di Foggia e Taranto.</w:t>
      </w:r>
    </w:p>
  </w:footnote>
  <w:footnote w:id="400">
    <w:p>
      <w:pPr>
        <w:pStyle w:val="FootnoteText"/>
      </w:pPr>
      <w:r>
        <w:rPr>
          <w:rStyle w:val="FootnoteReference"/>
        </w:rPr>
        <w:footnoteRef/>
      </w:r>
      <w:r>
        <w:t xml:space="preserve"> </w:t>
      </w:r>
      <w:r>
        <w:t xml:space="preserve">La graduazione della certezza dell’evidenza secondo il sistema GRADE è applicata in modo simmetrico tanto alle prove cliniche quanto a quelle relative all’Intelligenza Artificiale; ogni proiezione è enunciata in forma di banda prudenziale e falsificabile.</w:t>
      </w:r>
    </w:p>
  </w:footnote>
  <w:footnote w:id="401">
    <w:p>
      <w:pPr>
        <w:pStyle w:val="FootnoteText"/>
      </w:pPr>
      <w:r>
        <w:rPr>
          <w:rStyle w:val="FootnoteReference"/>
        </w:rPr>
        <w:footnoteRef/>
      </w:r>
      <w:r>
        <w:t xml:space="preserve"> </w:t>
      </w:r>
      <w:r>
        <w:t xml:space="preserve">I risparmi fiscali diretti e i benefici indiretti e sociali sono tenuti distinti fino al saldo. La regola di non duplicazione impedisce di attribuire il medesimo risparmio a più domini del perimetro integrale.</w:t>
      </w:r>
    </w:p>
  </w:footnote>
  <w:footnote w:id="402">
    <w:p>
      <w:pPr>
        <w:pStyle w:val="FootnoteText"/>
      </w:pPr>
      <w:r>
        <w:rPr>
          <w:rStyle w:val="FootnoteReference"/>
        </w:rPr>
        <w:footnoteRef/>
      </w:r>
      <w:r>
        <w:t xml:space="preserve"> </w:t>
      </w:r>
      <w:r>
        <w:t xml:space="preserve">I domini del perimetro economico-sociale sono definiti nella Parte IX e nella Parte I dello Studio Integrale. Alcuni di essi rileggono, sotto la lente del valore, effetti già attribuiti alle discipline, e sono quantificati nella sola componente residua non duplicata o riconosciuti nella loro dimensione qualitativa, ove prevalente.</w:t>
      </w:r>
    </w:p>
  </w:footnote>
  <w:footnote w:id="403">
    <w:p>
      <w:pPr>
        <w:pStyle w:val="FootnoteText"/>
      </w:pPr>
      <w:r>
        <w:rPr>
          <w:rStyle w:val="FootnoteReference"/>
        </w:rPr>
        <w:footnoteRef/>
      </w:r>
      <w:r>
        <w:t xml:space="preserve"> </w:t>
      </w:r>
      <w:r>
        <w:t xml:space="preserve">I rapporti di ritorno sull’investimento sono enunciati esclusivamente entro gli intervalli di Chisholm et al. (2016), Lancet Psychiatry: da 2,3 a 3,0 a 1 per i soli benefici economici e da 3,3 a 5,7 a 1 con l’inclusione dei ritorni in salute. I risparmi sanitari diretti considerati in isolamento non risultano statisticamente significativi (studio IMPACT) e vanno trattati come indicazione e non come stima puntuale.</w:t>
      </w:r>
    </w:p>
  </w:footnote>
  <w:footnote w:id="404">
    <w:p>
      <w:pPr>
        <w:pStyle w:val="FootnoteText"/>
      </w:pPr>
      <w:r>
        <w:rPr>
          <w:rStyle w:val="FootnoteReference"/>
        </w:rPr>
        <w:footnoteRef/>
      </w:r>
      <w:r>
        <w:t xml:space="preserve"> </w:t>
      </w:r>
      <w:r>
        <w:t xml:space="preserve">I risparmi fiscali diretti e i benefici indiretti e sociali sono tenuti distinti fino al saldo. La regola di non duplicazione impedisce di attribuire il medesimo risparmio a più domini del perimetro integrale.</w:t>
      </w:r>
    </w:p>
  </w:footnote>
  <w:footnote w:id="405">
    <w:p>
      <w:pPr>
        <w:pStyle w:val="FootnoteText"/>
      </w:pPr>
      <w:r>
        <w:rPr>
          <w:rStyle w:val="FootnoteReference"/>
        </w:rPr>
        <w:footnoteRef/>
      </w:r>
      <w:r>
        <w:t xml:space="preserve"> </w:t>
      </w:r>
      <w:r>
        <w:t xml:space="preserve">Ancoraggio di popolazione e di servizio: circa 3.877.395 residenti, 6 aziende sanitarie locali, 45 distretti; scenari di copertura conservativo (620 psicologi), standard (775) ed espansivo (900); dotazione attuale dell’ordine di poche decine di psicologi nei servizi territoriali.</w:t>
      </w:r>
    </w:p>
  </w:footnote>
  <w:footnote w:id="406">
    <w:p>
      <w:pPr>
        <w:pStyle w:val="FootnoteText"/>
      </w:pPr>
      <w:r>
        <w:rPr>
          <w:rStyle w:val="FootnoteReference"/>
        </w:rPr>
        <w:footnoteRef/>
      </w:r>
      <w:r>
        <w:t xml:space="preserve"> </w:t>
      </w:r>
      <w:r>
        <w:t xml:space="preserve">Nota di metodo: i risparmi diretti per il Servizio sanitario regionale (voci di bilancio: pronto soccorso, farmaceutica, ricoveri, specialistica, mobilità) e le ricadute economico-sociali (produttività, benessere, equità) sono grandezze distinte. Sommarle senza distinzione sovrastima il beneficio per il bilancio sanitario; la presente revisione le tiene separate.</w:t>
      </w:r>
    </w:p>
  </w:footnote>
  <w:footnote w:id="407">
    <w:p>
      <w:pPr>
        <w:pStyle w:val="FootnoteText"/>
      </w:pPr>
      <w:r>
        <w:rPr>
          <w:rStyle w:val="FootnoteReference"/>
        </w:rPr>
        <w:footnoteRef/>
      </w:r>
      <w:r>
        <w:t xml:space="preserve"> </w:t>
      </w:r>
      <w:r>
        <w:t xml:space="preserve">Corte dei Conti, relazione sulla gestione dei servizi sanitari regionali, e rendiconti regionali: per l’esercizio 2025 la Puglia ha ricevuto un finanziamento di circa 8,8 miliardi di euro, con un disavanzo di circa 350 milioni (3,97% del finanziamento); nei quattro esercizi 2021-2024 i disavanzi cumulati ammontano a circa 481 milioni; nel 2024 la spesa per mobilità passiva è stata di circa 240 milioni, e in dieci anni la mobilità passiva ha superato i 2 miliardi.</w:t>
      </w:r>
    </w:p>
  </w:footnote>
  <w:footnote w:id="408">
    <w:p>
      <w:pPr>
        <w:pStyle w:val="FootnoteText"/>
      </w:pPr>
      <w:r>
        <w:rPr>
          <w:rStyle w:val="FootnoteReference"/>
        </w:rPr>
        <w:footnoteRef/>
      </w:r>
      <w:r>
        <w:t xml:space="preserve"> </w:t>
      </w:r>
      <w:r>
        <w:t xml:space="preserve">Corte costituzionale, sentenza n. 6/2026: le Regioni in piano di rientro non possono utilizzare i fondi del proprio Servizio sanitario per finalità diverse dalla garanzia dei livelli essenziali di assistenza. Il vincolo rende la dimostrazione di efficienza e di ritorno una condizione, non un’opzione.</w:t>
      </w:r>
    </w:p>
  </w:footnote>
  <w:footnote w:id="409">
    <w:p>
      <w:pPr>
        <w:pStyle w:val="FootnoteText"/>
      </w:pPr>
      <w:r>
        <w:rPr>
          <w:rStyle w:val="FootnoteReference"/>
        </w:rPr>
        <w:footnoteRef/>
      </w:r>
      <w:r>
        <w:t xml:space="preserve"> </w:t>
      </w:r>
      <w:r>
        <w:t xml:space="preserve">Evidenza sugli effetti: l’integrazione di figure psicologiche nelle cure primarie è associata a riduzioni degli accessi impropri al pronto soccorso dell’ordine dell’11-14%; i sintomi somatici funzionali rappresentano circa il 20% delle consultazioni e si associano a un consumo di prestazioni molto superiore alla media, con riduzioni dei costi superiori al 30% dopo intervento psicologico breve; la cura collaborativa riduce il ricorso alle cure secondarie.</w:t>
      </w:r>
    </w:p>
  </w:footnote>
  <w:footnote w:id="410">
    <w:p>
      <w:pPr>
        <w:pStyle w:val="FootnoteText"/>
      </w:pPr>
      <w:r>
        <w:rPr>
          <w:rStyle w:val="FootnoteReference"/>
        </w:rPr>
        <w:footnoteRef/>
      </w:r>
      <w:r>
        <w:t xml:space="preserve"> </w:t>
      </w:r>
      <w:r>
        <w:t xml:space="preserve">AIFA, Rapporto OsMed: la Puglia presenta uno dei livelli più elevati di consumo farmaceutico convenzionale (1.081,9 DDD per 1000 abitanti al giorno); l’incidenza della spesa farmaceutica pubblica sul PIL nelle regioni del Sud è del 2,3% (contro l’1,4% nazionale); gli antidepressivi sono tra le categorie a più bassa aderenza (il 27,5% dei soggetti resta sotto il 40% di copertura del periodo).</w:t>
      </w:r>
    </w:p>
  </w:footnote>
  <w:footnote w:id="411">
    <w:p>
      <w:pPr>
        <w:pStyle w:val="FootnoteText"/>
      </w:pPr>
      <w:r>
        <w:rPr>
          <w:rStyle w:val="FootnoteReference"/>
        </w:rPr>
        <w:footnoteRef/>
      </w:r>
      <w:r>
        <w:t xml:space="preserve"> </w:t>
      </w:r>
      <w:r>
        <w:t xml:space="preserve">Organizzazione Mondiale della Sanità e Lancet Psychiatry (Chisholm et al., 2016): il ritorno dell’ordine di 4 a 1 del trattamento di depressione e ansia comprende salute e produttività; nella letteratura economica la quota dominante del beneficio è costituita dalla produttività recuperata, più che dal risparmio diretto sui servizi sanitari.</w:t>
      </w:r>
    </w:p>
  </w:footnote>
  <w:footnote w:id="412">
    <w:p>
      <w:pPr>
        <w:pStyle w:val="FootnoteText"/>
      </w:pPr>
      <w:r>
        <w:rPr>
          <w:rStyle w:val="FootnoteReference"/>
        </w:rPr>
        <w:footnoteRef/>
      </w:r>
      <w:r>
        <w:t xml:space="preserve"> </w:t>
      </w:r>
      <w:r>
        <w:t xml:space="preserve">Legge Regionale Puglia 11/2023: il servizio attuale prevede circa un psicologo per Distretto socio-sanitario (45 distretti), con uno stanziamento di 1,5 milioni di euro l’anno, pari a circa il 5% del fabbisogno stimato a regime.</w:t>
      </w:r>
    </w:p>
  </w:footnote>
  <w:footnote w:id="413">
    <w:p>
      <w:pPr>
        <w:pStyle w:val="FootnoteText"/>
      </w:pPr>
      <w:r>
        <w:rPr>
          <w:rStyle w:val="FootnoteReference"/>
        </w:rPr>
        <w:footnoteRef/>
      </w:r>
      <w:r>
        <w:t xml:space="preserve"> </w:t>
      </w:r>
      <w:r>
        <w:t xml:space="preserve">Dati primari ancora da acquisire presso AReSS e ASL per consolidare le ultime stime: schede di dimissione ospedaliera (SDO) per disturbi psichici e relativo costo; composizione della mobilità passiva per disciplina; spesa farmaceutica regionale per le categorie N05 (psicolettici) e N06 (psicoanalettici); accessi al pronto soccorso per causa psichiatrica.</w:t>
      </w:r>
    </w:p>
  </w:footnote>
  <w:footnote w:id="414">
    <w:p>
      <w:pPr>
        <w:pStyle w:val="FootnoteText"/>
      </w:pPr>
      <w:r>
        <w:rPr>
          <w:rStyle w:val="FootnoteReference"/>
        </w:rPr>
        <w:footnoteRef/>
      </w:r>
      <w:r>
        <w:t xml:space="preserve"> </w:t>
      </w:r>
      <w:r>
        <w:t xml:space="preserve">Nota di metodo: gli indicatori sono organizzati secondo il modello logico del servizio (bisogno e domanda → accesso ed equità → processo e attività → esito clinico → impatto sociale), integrato dalle dimensioni della sostenibilità economica e dell’organizzazione; molte baseline non sono oggi disponibili al livello di dettaglio necessario e vanno costituite nella fase sperimentale in corso tramite l’Osservatorio regionale.</w:t>
      </w:r>
    </w:p>
  </w:footnote>
  <w:footnote w:id="415">
    <w:p>
      <w:pPr>
        <w:pStyle w:val="FootnoteText"/>
      </w:pPr>
      <w:r>
        <w:rPr>
          <w:rStyle w:val="FootnoteReference"/>
        </w:rPr>
        <w:footnoteRef/>
      </w:r>
      <w:r>
        <w:t xml:space="preserve"> </w:t>
      </w:r>
      <w:r>
        <w:t xml:space="preserve">Direzione e standardizzazione: la freccia indica la direzione attesa di miglioramento (↑ aumento, ↓ diminuzione, → stabilità/appropriatezza). Per gli indicatori espressi come differenza dal valore nazionale, secondo la metodologia BesT, i valori vanno standardizzati per consentirne l’aggregazione e i valori positivi indicano un maggiore benessere.</w:t>
      </w:r>
    </w:p>
  </w:footnote>
  <w:footnote w:id="416">
    <w:p>
      <w:pPr>
        <w:pStyle w:val="FootnoteText"/>
      </w:pPr>
      <w:r>
        <w:rPr>
          <w:rStyle w:val="FootnoteReference"/>
        </w:rPr>
        <w:footnoteRef/>
      </w:r>
      <w:r>
        <w:t xml:space="preserve"> </w:t>
      </w:r>
      <w:r>
        <w:t xml:space="preserve">Ministero della Salute, Rapporto Salute Mentale (Sistema Informativo Salute Mentale, dati 2024): in Puglia circa 55.000 persone in carico ai Dipartimenti di Salute Mentale, circa 780.000 con disagio e disturbi sottosoglia, 18.939 nuovi utenti nel 2023.</w:t>
      </w:r>
    </w:p>
  </w:footnote>
  <w:footnote w:id="417">
    <w:p>
      <w:pPr>
        <w:pStyle w:val="FootnoteText"/>
      </w:pPr>
      <w:r>
        <w:rPr>
          <w:rStyle w:val="FootnoteReference"/>
        </w:rPr>
        <w:footnoteRef/>
      </w:r>
      <w:r>
        <w:t xml:space="preserve"> </w:t>
      </w:r>
      <w:r>
        <w:t xml:space="preserve">AIFA, Rapporto OsMed: la Puglia presenta uno dei livelli più elevati di consumo farmaceutico convenzionale (1.081,9 DDD per 1000 abitanti al giorno); gli antidepressivi sono tra le categorie a più bassa aderenza (il 27,5% dei soggetti resta sotto il 40% di copertura), indicatore di una intercettazione del bisogno disomogenea più che di minore sofferenza.</w:t>
      </w:r>
    </w:p>
  </w:footnote>
  <w:footnote w:id="418">
    <w:p>
      <w:pPr>
        <w:pStyle w:val="FootnoteText"/>
      </w:pPr>
      <w:r>
        <w:rPr>
          <w:rStyle w:val="FootnoteReference"/>
        </w:rPr>
        <w:footnoteRef/>
      </w:r>
      <w:r>
        <w:t xml:space="preserve"> </w:t>
      </w:r>
      <w:r>
        <w:t xml:space="preserve">ISTAT, I giovani del Mezzogiorno: l’incerta transizione all’età adulta (2023): in Italia circa 1,7 milioni di NEET e disoccupazione giovanile al 18%; nel Mezzogiorno alta consistenza di NEET e maggiore insicurezza verso il futuro nelle regioni a basso PIL pro-capite e alta disoccupazione, tra cui la Puglia; il decremento della popolazione giovanile risulta correlato in modo inverso al tasso di disoccupazione (−0,61) e diretto al PIL pro-capite (0,80).</w:t>
      </w:r>
    </w:p>
  </w:footnote>
  <w:footnote w:id="419">
    <w:p>
      <w:pPr>
        <w:pStyle w:val="FootnoteText"/>
      </w:pPr>
      <w:r>
        <w:rPr>
          <w:rStyle w:val="FootnoteReference"/>
        </w:rPr>
        <w:footnoteRef/>
      </w:r>
      <w:r>
        <w:t xml:space="preserve"> </w:t>
      </w:r>
      <w:r>
        <w:t xml:space="preserve">ISTAT, Report BesT Puglia 2025: tra le sei province, Barletta-Andria-Trani presenta il maggior numero di vantaggi (19, di cui 9 forti) e la città metropolitana di Bari il minor numero di svantaggi (25); Foggia e Taranto registrano 42 svantaggi ciascuna; per gran parte degli indicatori del dominio Lavoro la provincia di Taranto è tra le più sfavorite in Italia.</w:t>
      </w:r>
    </w:p>
  </w:footnote>
  <w:footnote w:id="420">
    <w:p>
      <w:pPr>
        <w:pStyle w:val="FootnoteText"/>
      </w:pPr>
      <w:r>
        <w:rPr>
          <w:rStyle w:val="FootnoteReference"/>
        </w:rPr>
        <w:footnoteRef/>
      </w:r>
      <w:r>
        <w:t xml:space="preserve"> </w:t>
      </w:r>
      <w:r>
        <w:t xml:space="preserve">Legge Regionale Puglia 11/2023 (istituzione del servizio di Psicologia di base in ogni Distretto e Casa di Comunità; circa 45 psicologi attivi, Osservatorio regionale) e Legge Regionale Puglia 31 ottobre 2019 sulla misurazione regionale del benessere equo e sostenibile.</w:t>
      </w:r>
    </w:p>
  </w:footnote>
  <w:footnote w:id="421">
    <w:p>
      <w:pPr>
        <w:pStyle w:val="FootnoteText"/>
      </w:pPr>
      <w:r>
        <w:rPr>
          <w:rStyle w:val="FootnoteReference"/>
        </w:rPr>
        <w:footnoteRef/>
      </w:r>
      <w:r>
        <w:t xml:space="preserve"> </w:t>
      </w:r>
      <w:r>
        <w:t xml:space="preserve">Riferimenti di esito: i programmi di terapie psicologiche fondati su misure di esito riferite dal paziente raccolte a ogni seduta (questionari PHQ-9 per la depressione e GAD-7 per l’ansia) consentono il monitoraggio continuo e conseguono tassi di recupero dell’ordine del 50% (esperienza del programma inglese di accesso alle terapie psicologiche).</w:t>
      </w:r>
    </w:p>
  </w:footnote>
  <w:footnote w:id="422">
    <w:p>
      <w:pPr>
        <w:pStyle w:val="FootnoteText"/>
      </w:pPr>
      <w:r>
        <w:rPr>
          <w:rStyle w:val="FootnoteReference"/>
        </w:rPr>
        <w:footnoteRef/>
      </w:r>
      <w:r>
        <w:t xml:space="preserve"> </w:t>
      </w:r>
      <w:r>
        <w:t xml:space="preserve">Fondazione GIMBE, La mobilità sanitaria interregionale nel 2023: saldo della Puglia −253,2 milioni di euro (mobilità passiva 376,6 milioni; attiva 123,4 milioni).</w:t>
      </w:r>
    </w:p>
  </w:footnote>
  <w:footnote w:id="423">
    <w:p>
      <w:pPr>
        <w:pStyle w:val="FootnoteText"/>
      </w:pPr>
      <w:r>
        <w:rPr>
          <w:rStyle w:val="FootnoteReference"/>
        </w:rPr>
        <w:footnoteRef/>
      </w:r>
      <w:r>
        <w:t xml:space="preserve"> </w:t>
      </w:r>
      <w:r>
        <w:t xml:space="preserve">ISTAT, Il benessere equo e sostenibile dei territori (BesT) – Puglia, edizioni 2024 e 2025: il sistema BesT comprende 60-70 indicatori distribuiti in 11-12 domini, a livello regionale e provinciale; nell’ultimo anno disponibile, su 60 indicatori solo circa 10 collocano la Puglia in posizione di vantaggio (svantaggio per più di sette indicatori su dieci), con i ritardi maggiori nei domini Salute, Lavoro, Benessere economico, Istruzione, Relazioni sociali e Qualità dei servizi, e una posizione relativamente buona nel dominio Sicurezza.</w:t>
      </w:r>
    </w:p>
  </w:footnote>
  <w:footnote w:id="424">
    <w:p>
      <w:pPr>
        <w:pStyle w:val="FootnoteText"/>
      </w:pPr>
      <w:r>
        <w:rPr>
          <w:rStyle w:val="FootnoteReference"/>
        </w:rPr>
        <w:footnoteRef/>
      </w:r>
      <w:r>
        <w:t xml:space="preserve"> </w:t>
      </w:r>
      <w:r>
        <w:t xml:space="preserve">ISTAT, statistiche di mortalità per causa e dimissioni ospedaliere: il tasso di mortalità per suicidio e i ricoveri per lesioni autoinflitte costituiscono indicatori di esito di popolazione della salute mentale, da rilevare a livello regionale e provinciale come misura di impatto a lungo termine; vanno trattati esclusivamente come grandezze epidemiologiche aggregate.</w:t>
      </w:r>
    </w:p>
  </w:footnote>
  <w:footnote w:id="425">
    <w:p>
      <w:pPr>
        <w:pStyle w:val="FootnoteText"/>
      </w:pPr>
      <w:r>
        <w:rPr>
          <w:rStyle w:val="FootnoteReference"/>
        </w:rPr>
        <w:footnoteRef/>
      </w:r>
      <w:r>
        <w:t xml:space="preserve"> </w:t>
      </w:r>
      <w:r>
        <w:t xml:space="preserve">Legge Regionale Puglia 11/2023 (istituzione del servizio di Psicologia di base in ogni Distretto e Casa di Comunità; circa 45 psicologi attivi, Osservatorio regionale) e Legge Regionale Puglia 31 ottobre 2019 sulla misurazione regionale del benessere equo e sostenibile.</w:t>
      </w:r>
    </w:p>
  </w:footnote>
  <w:footnote w:id="426">
    <w:p>
      <w:pPr>
        <w:pStyle w:val="FootnoteText"/>
      </w:pPr>
      <w:r>
        <w:rPr>
          <w:rStyle w:val="FootnoteReference"/>
        </w:rPr>
        <w:footnoteRef/>
      </w:r>
      <w:r>
        <w:t xml:space="preserve"> </w:t>
      </w:r>
      <w:r>
        <w:t xml:space="preserve">Strumenti regionali di indicatori sintetici: la piattaforma Apulian Innovation Overview (Agenzia Regionale per la Tecnologia e l’Innovazione, ARTI) e la piattaforma IstatData forniscono indicatori socio-economici e di innovazione a livello regionale e provinciale, utilizzabili come contesto e come denominatori per gli indicatori del servizio.</w:t>
      </w:r>
    </w:p>
  </w:footnote>
  <w:footnote w:id="427">
    <w:p>
      <w:pPr>
        <w:pStyle w:val="FootnoteText"/>
      </w:pPr>
      <w:r>
        <w:rPr>
          <w:rStyle w:val="FootnoteReference"/>
        </w:rPr>
        <w:footnoteRef/>
      </w:r>
      <w:r>
        <w:t xml:space="preserve"> </w:t>
      </w:r>
      <w:r>
        <w:t xml:space="preserve">Risultati economici di vertice del progetto (stima ricostruita): risparmio diretto annuo dell’ordine di 270 milioni e rapporto beneficio-costo di 6-7:1 a livello regionale, ritorno sociale sull’investimento 8,6:1, dominanza nel modello di Markov, probabilità di costo-efficacia circa 88,9%; a livello nazionale rapporto 12-18:1 e risparmi di 8-12,6 miliardi l’anno.</w:t>
      </w:r>
    </w:p>
  </w:footnote>
  <w:footnote w:id="428">
    <w:p>
      <w:pPr>
        <w:pStyle w:val="FootnoteText"/>
      </w:pPr>
      <w:r>
        <w:rPr>
          <w:rStyle w:val="FootnoteReference"/>
        </w:rPr>
        <w:footnoteRef/>
      </w:r>
      <w:r>
        <w:t xml:space="preserve"> </w:t>
      </w:r>
      <w:r>
        <w:t xml:space="preserve">Revisione su dati primari regionali: separando il risparmio diretto per il Servizio sanitario regionale dalle ricadute economico-sociali, il risparmio diretto risulta prossimo al pareggio con il costo del servizio, mentre il ritorno complessivo (rapporto beneficio-costo dell’ordine di 3,6-5:1) è trainato dalla produttività recuperata.</w:t>
      </w:r>
    </w:p>
  </w:footnote>
  <w:footnote w:id="429">
    <w:p>
      <w:pPr>
        <w:pStyle w:val="FootnoteText"/>
      </w:pPr>
      <w:r>
        <w:rPr>
          <w:rStyle w:val="FootnoteReference"/>
        </w:rPr>
        <w:footnoteRef/>
      </w:r>
      <w:r>
        <w:t xml:space="preserve"> </w:t>
      </w:r>
      <w:r>
        <w:t xml:space="preserve">Base dei dati della stima ricostruita: i valori di spesa regionale sono ottenuti dai conti sanitari nazionali applicando la quota pugliese di popolazione (circa 6,6%): medicina generale circa 470-480 milioni, specialistica e diagnostica circa 1,8 miliardi, farmaceutica territoriale circa 800 milioni, salute mentale circa 270 milioni l’anno.</w:t>
      </w:r>
    </w:p>
  </w:footnote>
  <w:footnote w:id="430">
    <w:p>
      <w:pPr>
        <w:pStyle w:val="FootnoteText"/>
      </w:pPr>
      <w:r>
        <w:rPr>
          <w:rStyle w:val="FootnoteReference"/>
        </w:rPr>
        <w:footnoteRef/>
      </w:r>
      <w:r>
        <w:t xml:space="preserve"> </w:t>
      </w:r>
      <w:r>
        <w:t xml:space="preserve">Razionale della scelta: una stima conservativa e tracciabile è più difendibile di fronte agli organi di controllo — la Ragioneria e la Corte dei Conti — di una stima ottimistica, tanto più per una regione sottoposta a vincoli di rientro. L’onestà della stima è, in questo contesto, un requisito di credibilità.</w:t>
      </w:r>
    </w:p>
  </w:footnote>
  <w:footnote w:id="431">
    <w:p>
      <w:pPr>
        <w:pStyle w:val="FootnoteText"/>
      </w:pPr>
      <w:r>
        <w:rPr>
          <w:rStyle w:val="FootnoteReference"/>
        </w:rPr>
        <w:footnoteRef/>
      </w:r>
      <w:r>
        <w:t xml:space="preserve"> </w:t>
      </w:r>
      <w:r>
        <w:t xml:space="preserve">Principio di metodo: il risparmio diretto per il bilancio sanitario e le ricadute economico-sociali sono grandezze distinte; il ritorno di 4 a 1 indicato dall’Organizzazione Mondiale della Sanità comprende entrambe, con prevalenza della produttività recuperata. Sommare le due grandezze senza distinzione sovrastima il beneficio per il bilancio.</w:t>
      </w:r>
    </w:p>
  </w:footnote>
  <w:footnote w:id="432">
    <w:p>
      <w:pPr>
        <w:pStyle w:val="FootnoteText"/>
      </w:pPr>
      <w:r>
        <w:rPr>
          <w:rStyle w:val="FootnoteReference"/>
        </w:rPr>
        <w:footnoteRef/>
      </w:r>
      <w:r>
        <w:t xml:space="preserve"> </w:t>
      </w:r>
      <w:r>
        <w:t xml:space="preserve">La specifica di estrazione dei dati primari (passo 1) elenca i dati regionali certificati che sostituiranno i parametri oggi stimati: spesa per voce, dimissioni psichiatriche, composizione della mobilità, farmaceutica per categoria, accessi al pronto soccorso per causa. Fino alla loro acquisizione, i parametri relativi ai ricoveri, alla specialistica e alla mobilità restano stimati.</w:t>
      </w:r>
    </w:p>
  </w:footnote>
  <w:footnote w:id="433">
    <w:p>
      <w:pPr>
        <w:pStyle w:val="FootnoteText"/>
      </w:pPr>
      <w:r>
        <w:rPr>
          <w:rStyle w:val="FootnoteReference"/>
        </w:rPr>
        <w:footnoteRef/>
      </w:r>
      <w:r>
        <w:t xml:space="preserve"> </w:t>
      </w:r>
      <w:r>
        <w:t xml:space="preserve">Governo delle cifre: la tabella unica consolidata costituisce la fonte unica di verità per costi, risparmi e saldo; ogni documento del corpus vi fa riferimento. All’arrivo dei dati certificati, i valori si aggiornano in questa sede e si propagano agli altri documenti; la tabella reca la data di aggiornamento.</w:t>
      </w:r>
    </w:p>
  </w:footnote>
  <w:footnote w:id="434">
    <w:p>
      <w:pPr>
        <w:pStyle w:val="FootnoteText"/>
      </w:pPr>
      <w:r>
        <w:rPr>
          <w:rStyle w:val="FootnoteReference"/>
        </w:rPr>
        <w:footnoteRef/>
      </w:r>
      <w:r>
        <w:t xml:space="preserve"> </w:t>
      </w:r>
      <w:r>
        <w:t xml:space="preserve">Il corpus del progetto comprende già l’architettura analitica e regolatoria completa: il capitolo metodologico, il modello costi-benefici e di impatto di bilancio, il ritorno sociale (Roadmap Fase 1), la robustezza con modello di Markov, analisi probabilistica e analisi multi-criterio (Roadmap Fase 1, parte II), l’Analisi di Impatto della Regolamentazione (Fase 2), la proposta di legge regionale, il piano operativo di implementazione a dispiegamento scaglionato, il sistema di monitoraggio e la Verifica dell’Impatto (Fase 4), la struttura della sperimentazione pilota, la traccia di legge nazionale, i capitoli sull’integrazione dell’IA e il registro unificato delle variabili.</w:t>
      </w:r>
    </w:p>
  </w:footnote>
  <w:footnote w:id="435">
    <w:p>
      <w:pPr>
        <w:pStyle w:val="FootnoteText"/>
      </w:pPr>
      <w:r>
        <w:rPr>
          <w:rStyle w:val="FootnoteReference"/>
        </w:rPr>
        <w:footnoteRef/>
      </w:r>
      <w:r>
        <w:t xml:space="preserve"> </w:t>
      </w:r>
      <w:r>
        <w:t xml:space="preserve">Nota di metodo: l’analisi distingue le lacune di fondamento e di attivazione (dato, misurazione, conferma empirica) dalle lacune di disegno, in larga parte già colmate; sono le prime, non le seconde, a vincolare la credibilità delle proiezioni.</w:t>
      </w:r>
    </w:p>
  </w:footnote>
  <w:footnote w:id="436">
    <w:p>
      <w:pPr>
        <w:pStyle w:val="FootnoteText"/>
      </w:pPr>
      <w:r>
        <w:rPr>
          <w:rStyle w:val="FootnoteReference"/>
        </w:rPr>
        <w:footnoteRef/>
      </w:r>
      <w:r>
        <w:t xml:space="preserve"> </w:t>
      </w:r>
      <w:r>
        <w:t xml:space="preserve">Le cifre di spesa regionale impiegate nella relazione tecnico-finanziaria sono ricostruite dai conti sanitari nazionali applicando la quota pugliese di popolazione (circa 6,6%): medicina generale circa 470-480 milioni, specialistica e diagnostica circa 1,8 miliardi, farmaceutica territoriale circa 800 milioni, salute mentale circa 270 milioni l’anno. Si tratta di una ricostruzione per quota, non di valori estratti dai conti regionali effettivi.</w:t>
      </w:r>
    </w:p>
  </w:footnote>
  <w:footnote w:id="437">
    <w:p>
      <w:pPr>
        <w:pStyle w:val="FootnoteText"/>
      </w:pPr>
      <w:r>
        <w:rPr>
          <w:rStyle w:val="FootnoteReference"/>
        </w:rPr>
        <w:footnoteRef/>
      </w:r>
      <w:r>
        <w:t xml:space="preserve"> </w:t>
      </w:r>
      <w:r>
        <w:t xml:space="preserve">Dati primari ancora da acquisire presso l’Agenzia regionale (AReSS) e le ASL: schede di dimissione ospedaliera (SDO) per disturbi psichici e relativo costo; composizione della mobilità passiva per disciplina; spesa farmaceutica regionale per le categorie N05 (psicolettici) e N06 (psicoanalettici); accessi al pronto soccorso per causa psichiatrica.</w:t>
      </w:r>
    </w:p>
  </w:footnote>
  <w:footnote w:id="438">
    <w:p>
      <w:pPr>
        <w:pStyle w:val="FootnoteText"/>
      </w:pPr>
      <w:r>
        <w:rPr>
          <w:rStyle w:val="FootnoteReference"/>
        </w:rPr>
        <w:footnoteRef/>
      </w:r>
      <w:r>
        <w:t xml:space="preserve"> </w:t>
      </w:r>
      <w:r>
        <w:t xml:space="preserve">I risultati economici di vertice del progetto — risparmio diretto annuo dell’ordine di 270 milioni e rapporto beneficio-costo 6-7:1 a livello regionale, ritorno sociale 8,6:1, dominanza nel modello di Markov, probabilità di costo-efficacia circa 88,9%; a livello nazionale rapporto 12-18:1 e risparmi di 8-12,6 miliardi — sono proiezioni ex ante fondate sulla letteratura e sulla spesa ricostruita, da confermare con la valutazione controfattuale.</w:t>
      </w:r>
    </w:p>
  </w:footnote>
  <w:footnote w:id="439">
    <w:p>
      <w:pPr>
        <w:pStyle w:val="FootnoteText"/>
      </w:pPr>
      <w:r>
        <w:rPr>
          <w:rStyle w:val="FootnoteReference"/>
        </w:rPr>
        <w:footnoteRef/>
      </w:r>
      <w:r>
        <w:t xml:space="preserve"> </w:t>
      </w:r>
      <w:r>
        <w:t xml:space="preserve">La revisione su dati primari regionali, che distingue i risparmi diretti per il Servizio sanitario regionale dalle ricadute sociali, colloca il risparmio diretto vicino al pareggio con il costo e attribuisce il forte ritorno (rapporto beneficio-costo complessivo dell’ordine di 3,6-5:1) alla produttività recuperata: un quadro più conservativo della stima ricostruita, e più difendibile di fronte agli organi di controllo.</w:t>
      </w:r>
    </w:p>
  </w:footnote>
  <w:footnote w:id="440">
    <w:p>
      <w:pPr>
        <w:pStyle w:val="FootnoteText"/>
      </w:pPr>
      <w:r>
        <w:rPr>
          <w:rStyle w:val="FootnoteReference"/>
        </w:rPr>
        <w:footnoteRef/>
      </w:r>
      <w:r>
        <w:t xml:space="preserve"> </w:t>
      </w:r>
      <w:r>
        <w:t xml:space="preserve">Il sistema di monitoraggio (Fase 4) definisce indicatori di struttura, processo, esito e impatto e un disegno controfattuale a dispiegamento scaglionato; la batteria di indicatori distingue circa 18 indicatori già disponibili dalle statistiche correnti da circa 40 indicatori che il servizio deve iniziare a rilevare dall’avvio.</w:t>
      </w:r>
    </w:p>
  </w:footnote>
  <w:footnote w:id="441">
    <w:p>
      <w:pPr>
        <w:pStyle w:val="FootnoteText"/>
      </w:pPr>
      <w:r>
        <w:rPr>
          <w:rStyle w:val="FootnoteReference"/>
        </w:rPr>
        <w:footnoteRef/>
      </w:r>
      <w:r>
        <w:t xml:space="preserve"> </w:t>
      </w:r>
      <w:r>
        <w:t xml:space="preserve">L’analisi del valore dell’informazione (valore atteso dell’informazione perfetta, complessiva e sui parametri), descritta nel capitolo metodologico, quantifica quanto valga ridurre l’incertezza dei parametri e consente di stabilire l’ordine di priorità nella raccolta dei dati; il suo calcolo sui parametri pugliesi è il passo analitico naturale successivo.</w:t>
      </w:r>
    </w:p>
  </w:footnote>
  <w:footnote w:id="442">
    <w:p>
      <w:pPr>
        <w:pStyle w:val="FootnoteText"/>
      </w:pPr>
      <w:r>
        <w:rPr>
          <w:rStyle w:val="FootnoteReference"/>
        </w:rPr>
        <w:footnoteRef/>
      </w:r>
      <w:r>
        <w:t xml:space="preserve"> </w:t>
      </w:r>
      <w:r>
        <w:t xml:space="preserve">La traccia di legge nazionale rinvia a un decreto ministeriale l’elenco nazionale degli strumenti di IA e dei dispositivi terapeutici digitali ammessi (art. 6) e i contenuti della formazione (art. 8); restano da definire in sede attuativa il protocollo clinico regionale (strumenti, soglie, soglie dello stepped care, tetto delle sedute) e la tariffa della convenzione, da cui dipende il costo puntuale per professionista.</w:t>
      </w:r>
    </w:p>
  </w:footnote>
  <w:footnote w:id="443">
    <w:p>
      <w:pPr>
        <w:pStyle w:val="FootnoteText"/>
      </w:pPr>
      <w:r>
        <w:rPr>
          <w:rStyle w:val="FootnoteReference"/>
        </w:rPr>
        <w:footnoteRef/>
      </w:r>
      <w:r>
        <w:t xml:space="preserve"> </w:t>
      </w:r>
      <w:r>
        <w:t xml:space="preserve">Regolamento europeo sull’IA (in vigore dall’agosto 2024): i sistemi di IA incorporati nei dispositivi medici rientrano nella classe ad alto rischio, con piena conformità per l’IA dei dispositivi medici dall’agosto 2027 (guida MDCG 2025-6). Poiché meno del 2% dei dispositivi di IA autorizzati dalla FDA è sostenuto da studi randomizzati, la programmazione richiede validazione locale e monitoraggio prospettico degli esiti.</w:t>
      </w:r>
    </w:p>
  </w:footnote>
  <w:footnote w:id="444">
    <w:p>
      <w:pPr>
        <w:pStyle w:val="FootnoteText"/>
      </w:pPr>
      <w:r>
        <w:rPr>
          <w:rStyle w:val="FootnoteReference"/>
        </w:rPr>
        <w:footnoteRef/>
      </w:r>
      <w:r>
        <w:t xml:space="preserve"> </w:t>
      </w:r>
      <w:r>
        <w:t xml:space="preserve">Con le revisioni introdotte, il corpus contiene cifre divergenti tra documenti; un’armonizzazione e una tabella unica consolidata dei valori (fonte unica di verità per costi, risparmi e saldo) sono necessarie per la coerenza prima di una presentazione esterna.</w:t>
      </w:r>
    </w:p>
  </w:footnote>
  <w:footnote w:id="445">
    <w:p>
      <w:pPr>
        <w:pStyle w:val="FootnoteText"/>
      </w:pPr>
      <w:r>
        <w:rPr>
          <w:rStyle w:val="FootnoteReference"/>
        </w:rPr>
        <w:footnoteRef/>
      </w:r>
      <w:r>
        <w:t xml:space="preserve"> </w:t>
      </w:r>
      <w:r>
        <w:t xml:space="preserve">Conti certificati di riferimento: finanziamento del SSR pugliese circa 8,8 miliardi (2025) con disavanzo circa 350 milioni; regione sotto vincoli di rientro (Corte costituzionale, sentenza n. 6/2026). I conti confermano la scala e il vincolo entro cui la riforma deve dimostrare la propria sostenibilità.</w:t>
      </w:r>
    </w:p>
  </w:footnote>
  <w:footnote w:id="446">
    <w:p>
      <w:pPr>
        <w:pStyle w:val="FootnoteText"/>
      </w:pPr>
      <w:r>
        <w:rPr>
          <w:rStyle w:val="FootnoteReference"/>
        </w:rPr>
        <w:footnoteRef/>
      </w:r>
      <w:r>
        <w:t xml:space="preserve"> </w:t>
      </w:r>
      <w:r>
        <w:t xml:space="preserve">Questa parte copre il quarto dominio del modello HTA, l’efficacia clinica, che insieme ai primi tre costituisce il nucleo della valutazione rapida di efficacia relativa; la sintesi dell’evidenza segue lo standard PRISMA 2020 e la sua certezza è graduata con il sistema GRADE.</w:t>
      </w:r>
    </w:p>
  </w:footnote>
  <w:footnote w:id="447">
    <w:p>
      <w:pPr>
        <w:pStyle w:val="FootnoteText"/>
      </w:pPr>
      <w:r>
        <w:rPr>
          <w:rStyle w:val="FootnoteReference"/>
        </w:rPr>
        <w:footnoteRef/>
      </w:r>
      <w:r>
        <w:t xml:space="preserve"> </w:t>
      </w:r>
      <w:r>
        <w:t xml:space="preserve">Standard di reporting e di conduzione: la lista PRISMA 2020 per la revisione sistematica (strategia di ricerca, selezione, estrazione e sintesi) e la lista STROBE per gli studi osservazionali sui dati reali.</w:t>
      </w:r>
    </w:p>
  </w:footnote>
  <w:footnote w:id="448">
    <w:p>
      <w:pPr>
        <w:pStyle w:val="FootnoteText"/>
      </w:pPr>
      <w:r>
        <w:rPr>
          <w:rStyle w:val="FootnoteReference"/>
        </w:rPr>
        <w:footnoteRef/>
      </w:r>
      <w:r>
        <w:t xml:space="preserve"> </w:t>
      </w:r>
      <w:r>
        <w:t xml:space="preserve">Collaborative Care Model: paradigma di integrazione della salute mentale nelle cure primarie validato da oltre novanta studi randomizzati controllati; uno studio fondativo (JAMA, 2002) documentò che circa la metà dei pazienti otteneva una riduzione dei sintomi pari almeno al 50% a dodici mesi, contro il 19% della cura usuale.</w:t>
      </w:r>
    </w:p>
  </w:footnote>
  <w:footnote w:id="449">
    <w:p>
      <w:pPr>
        <w:pStyle w:val="FootnoteText"/>
      </w:pPr>
      <w:r>
        <w:rPr>
          <w:rStyle w:val="FootnoteReference"/>
        </w:rPr>
        <w:footnoteRef/>
      </w:r>
      <w:r>
        <w:t xml:space="preserve"> </w:t>
      </w:r>
      <w:r>
        <w:t xml:space="preserve">Woltmann e colleghi (American Journal of Psychiatry, 2012): meta-analisi su cinquantasette studi controllati, con un miglioramento medio dei sintomi depressivi pari a 0,28 deviazioni standard, oltre a miglioramenti nell’aderenza ai trattamenti e nel funzionamento globale.</w:t>
      </w:r>
    </w:p>
  </w:footnote>
  <w:footnote w:id="450">
    <w:p>
      <w:pPr>
        <w:pStyle w:val="FootnoteText"/>
      </w:pPr>
      <w:r>
        <w:rPr>
          <w:rStyle w:val="FootnoteReference"/>
        </w:rPr>
        <w:footnoteRef/>
      </w:r>
      <w:r>
        <w:t xml:space="preserve"> </w:t>
      </w:r>
      <w:r>
        <w:t xml:space="preserve">Revisione sistematica (BMC Primary Care, 2024) su quarantadue implementazioni del Collaborative Care Model in Europa, Nord America e Australia: riduzione media dei sintomi depressivi del 47% a sei mesi (PHQ-9), dei sintomi ansiosi del 43% (GAD-7), miglioramento del funzionamento globale del 38%, riduzione dei giorni di assenza dal lavoro del 28%, degli accessi al pronto soccorso per sintomi psicosomatici del 34% e dei ricoveri psichiatrici del 41%.</w:t>
      </w:r>
    </w:p>
  </w:footnote>
  <w:footnote w:id="451">
    <w:p>
      <w:pPr>
        <w:pStyle w:val="FootnoteText"/>
      </w:pPr>
      <w:r>
        <w:rPr>
          <w:rStyle w:val="FootnoteReference"/>
        </w:rPr>
        <w:footnoteRef/>
      </w:r>
      <w:r>
        <w:t xml:space="preserve"> </w:t>
      </w:r>
      <w:r>
        <w:t xml:space="preserve">Strumenti di esito validati e impiegati in tutti i programmi: il PHQ-9 per i sintomi depressivi (sensibilità 88%, specificità 85%) e il GAD-7 per i sintomi d’ansia (sensibilità 89%, specificità 82%).</w:t>
      </w:r>
    </w:p>
  </w:footnote>
  <w:footnote w:id="452">
    <w:p>
      <w:pPr>
        <w:pStyle w:val="FootnoteText"/>
      </w:pPr>
      <w:r>
        <w:rPr>
          <w:rStyle w:val="FootnoteReference"/>
        </w:rPr>
        <w:footnoteRef/>
      </w:r>
      <w:r>
        <w:t xml:space="preserve"> </w:t>
      </w:r>
      <w:r>
        <w:t xml:space="preserve">Meta-analisi sulle cure integrate nelle cure primarie: miglioramento statisticamente significativo e clinicamente rilevante dei sintomi depressivi, con coefficiente beta standardizzato di −0,11 (intervallo di confidenza al 95% da −0,20 a −0,01; valore p pari a 0,03); una magnitudine modesta sul piano statistico ma sostanziale su scala di popolazione, poiché sposta una quota di individui al di sotto delle soglie cliniche.</w:t>
      </w:r>
    </w:p>
  </w:footnote>
  <w:footnote w:id="453">
    <w:p>
      <w:pPr>
        <w:pStyle w:val="FootnoteText"/>
      </w:pPr>
      <w:r>
        <w:rPr>
          <w:rStyle w:val="FootnoteReference"/>
        </w:rPr>
        <w:footnoteRef/>
      </w:r>
      <w:r>
        <w:t xml:space="preserve"> </w:t>
      </w:r>
      <w:r>
        <w:t xml:space="preserve">Sistema GRADE per la graduazione della certezza dell’evidenza, fondato sulla valutazione del rischio di bias, dell’incoerenza, dell’indirettezza, dell’imprecisione e del bias di pubblicazione, dal quale discende un giudizio di certezza alta, moderata, bassa o molto bassa.</w:t>
      </w:r>
    </w:p>
  </w:footnote>
  <w:footnote w:id="454">
    <w:p>
      <w:pPr>
        <w:pStyle w:val="FootnoteText"/>
      </w:pPr>
      <w:r>
        <w:rPr>
          <w:rStyle w:val="FootnoteReference"/>
        </w:rPr>
        <w:footnoteRef/>
      </w:r>
      <w:r>
        <w:t xml:space="preserve"> </w:t>
      </w:r>
      <w:r>
        <w:t xml:space="preserve">Programma inglese di terapie psicologiche (NHS Talking Therapies, già IAPT; dati NHS England Digital, settembre 2024): oltre 1,3 milioni di persone trattate nell’anno 2023-2024, con tasso di recupero del 50,2% e tasso di miglioramento clinicamente significativo del 67,8% tra chi completa almeno due sedute, e completezza dei dati di esito superiore al 98%, considerata il riferimento internazionale; il programma opera su un bacino di oltre 56 milioni di persone.</w:t>
      </w:r>
    </w:p>
  </w:footnote>
  <w:footnote w:id="455">
    <w:p>
      <w:pPr>
        <w:pStyle w:val="FootnoteText"/>
      </w:pPr>
      <w:r>
        <w:rPr>
          <w:rStyle w:val="FootnoteReference"/>
        </w:rPr>
        <w:footnoteRef/>
      </w:r>
      <w:r>
        <w:t xml:space="preserve"> </w:t>
      </w:r>
      <w:r>
        <w:t xml:space="preserve">Programma inglese, dati 2022-2023 (NHS Digital): 1,76 milioni di persone inviate, 1,22 milioni entrate in trattamento e 672.000 cicli completati, con un tasso di recupero del 49,9%, prossimo all’obiettivo del 50%; è la dimostrazione che l’efficacia documentata nei trial si mantiene nell’attuazione reale su scala nazionale.</w:t>
      </w:r>
    </w:p>
  </w:footnote>
  <w:footnote w:id="456">
    <w:p>
      <w:pPr>
        <w:pStyle w:val="FootnoteText"/>
      </w:pPr>
      <w:r>
        <w:rPr>
          <w:rStyle w:val="FootnoteReference"/>
        </w:rPr>
        <w:footnoteRef/>
      </w:r>
      <w:r>
        <w:t xml:space="preserve"> </w:t>
      </w:r>
      <w:r>
        <w:t xml:space="preserve">Programma inglese di terapie psicologiche (NHS Talking Therapies, già IAPT; dati NHS England Digital, settembre 2024): oltre 1,3 milioni di persone trattate nell’anno 2023-2024, con tasso di recupero del 50,2% e tasso di miglioramento clinicamente significativo del 67,8% tra chi completa almeno due sedute, e completezza dei dati di esito superiore al 98%, considerata il riferimento internazionale; il programma opera su un bacino di oltre 56 milioni di persone.</w:t>
      </w:r>
    </w:p>
  </w:footnote>
  <w:footnote w:id="457">
    <w:p>
      <w:pPr>
        <w:pStyle w:val="FootnoteText"/>
      </w:pPr>
      <w:r>
        <w:rPr>
          <w:rStyle w:val="FootnoteReference"/>
        </w:rPr>
        <w:footnoteRef/>
      </w:r>
      <w:r>
        <w:t xml:space="preserve"> </w:t>
      </w:r>
      <w:r>
        <w:t xml:space="preserve">Modello olandese (POH-GGZ): l’adozione da parte dei medici di medicina generale è cresciuta da circa un terzo nel 2011 a circa tre quarti nel 2014, con circa seimila psicologi delle cure primarie, finanziamento nell’assicurazione di base e ruolo complementare e non sostitutivo rispetto alla cura ordinaria (Magnée e colleghi, BMJ Open, 2016).</w:t>
      </w:r>
    </w:p>
  </w:footnote>
  <w:footnote w:id="458">
    <w:p>
      <w:pPr>
        <w:pStyle w:val="FootnoteText"/>
      </w:pPr>
      <w:r>
        <w:rPr>
          <w:rStyle w:val="FootnoteReference"/>
        </w:rPr>
        <w:footnoteRef/>
      </w:r>
      <w:r>
        <w:t xml:space="preserve"> </w:t>
      </w:r>
      <w:r>
        <w:t xml:space="preserve">Iniziativa australiana Better Access (dal 2006): oltre venti milioni di prestazioni a più di tre milioni di persone in dieci anni, con un aumento del tasso di trattamento dei disturbi mentali dal 35% al 46% e il 91% dei pazienti che riferisce miglioramenti marcati, a un costo medio di circa 753 dollari australiani (circa 470 euro) per paziente; il modello opera per invio esterno e non per integrazione dello psicologo nell’équipe.</w:t>
      </w:r>
    </w:p>
  </w:footnote>
  <w:footnote w:id="459">
    <w:p>
      <w:pPr>
        <w:pStyle w:val="FootnoteText"/>
      </w:pPr>
      <w:r>
        <w:rPr>
          <w:rStyle w:val="FootnoteReference"/>
        </w:rPr>
        <w:footnoteRef/>
      </w:r>
      <w:r>
        <w:t xml:space="preserve"> </w:t>
      </w:r>
      <w:r>
        <w:t xml:space="preserve">Collaborative Care Model: paradigma di integrazione della salute mentale nelle cure primarie validato da oltre novanta studi randomizzati controllati; uno studio fondativo (JAMA, 2002) documentò che circa la metà dei pazienti otteneva una riduzione dei sintomi pari almeno al 50% a dodici mesi, contro il 19% della cura usuale.</w:t>
      </w:r>
    </w:p>
  </w:footnote>
  <w:footnote w:id="460">
    <w:p>
      <w:pPr>
        <w:pStyle w:val="FootnoteText"/>
      </w:pPr>
      <w:r>
        <w:rPr>
          <w:rStyle w:val="FootnoteReference"/>
        </w:rPr>
        <w:footnoteRef/>
      </w:r>
      <w:r>
        <w:t xml:space="preserve"> </w:t>
      </w:r>
      <w:r>
        <w:t xml:space="preserve">Trasferibilità e differenze di assetto: i programmi integrati (inglese e olandese) collocano il professionista nelle cure primarie, mentre il modello australiano opera per invio esterno; il modello pugliese, fondato sull’inserimento dello psicologo nelle cure primarie con funzione di filtro, è prossimo ai primi e ne mutua le evidenze con maggiore pertinenza.</w:t>
      </w:r>
    </w:p>
  </w:footnote>
  <w:footnote w:id="461">
    <w:p>
      <w:pPr>
        <w:pStyle w:val="FootnoteText"/>
      </w:pPr>
      <w:r>
        <w:rPr>
          <w:rStyle w:val="FootnoteReference"/>
        </w:rPr>
        <w:footnoteRef/>
      </w:r>
      <w:r>
        <w:t xml:space="preserve"> </w:t>
      </w:r>
      <w:r>
        <w:t xml:space="preserve">Esperienze italiane di psicologia nelle cure primarie, tra cui il modello Solano nel Lazio, che hanno anticipato su scala locale l’integrazione del professionista psicologo nelle cure primarie.</w:t>
      </w:r>
    </w:p>
  </w:footnote>
  <w:footnote w:id="462">
    <w:p>
      <w:pPr>
        <w:pStyle w:val="FootnoteText"/>
      </w:pPr>
      <w:r>
        <w:rPr>
          <w:rStyle w:val="FootnoteReference"/>
        </w:rPr>
        <w:footnoteRef/>
      </w:r>
      <w:r>
        <w:t xml:space="preserve"> </w:t>
      </w:r>
      <w:r>
        <w:t xml:space="preserve">Trasferibilità e differenze di assetto: i programmi integrati (inglese e olandese) collocano il professionista nelle cure primarie, mentre il modello australiano opera per invio esterno; il modello pugliese, fondato sull’inserimento dello psicologo nelle cure primarie con funzione di filtro, è prossimo ai primi e ne mutua le evidenze con maggiore pertinenza.</w:t>
      </w:r>
    </w:p>
  </w:footnote>
  <w:footnote w:id="463">
    <w:p>
      <w:pPr>
        <w:pStyle w:val="FootnoteText"/>
      </w:pPr>
      <w:r>
        <w:rPr>
          <w:rStyle w:val="FootnoteReference"/>
        </w:rPr>
        <w:footnoteRef/>
      </w:r>
      <w:r>
        <w:t xml:space="preserve"> </w:t>
      </w:r>
      <w:r>
        <w:t xml:space="preserve">Cautele di trasferibilità: le differenze di sistema sanitario, di copertura di partenza, di fattori culturali — segnatamente la sotto-rilevazione documentata in Puglia — e di organico impongono un’applicazione prudenziale degli effetti documentati, coerente con la correzione per ottimismo adottata nel caso di riferimento.</w:t>
      </w:r>
    </w:p>
  </w:footnote>
  <w:footnote w:id="464">
    <w:p>
      <w:pPr>
        <w:pStyle w:val="FootnoteText"/>
      </w:pPr>
      <w:r>
        <w:rPr>
          <w:rStyle w:val="FootnoteReference"/>
        </w:rPr>
        <w:footnoteRef/>
      </w:r>
      <w:r>
        <w:t xml:space="preserve"> </w:t>
      </w:r>
      <w:r>
        <w:t xml:space="preserve">Verifica locale: il dispiegamento scaglionato del servizio tra le aziende (stepped-wedge), oggetto della Parte L, è chiamato a verificare empiricamente sui dati pugliesi gli effetti attesi dalla letteratura, trasformando le stime in prove.</w:t>
      </w:r>
    </w:p>
  </w:footnote>
  <w:footnote w:id="465">
    <w:p>
      <w:pPr>
        <w:pStyle w:val="FootnoteText"/>
      </w:pPr>
      <w:r>
        <w:rPr>
          <w:rStyle w:val="FootnoteReference"/>
        </w:rPr>
        <w:footnoteRef/>
      </w:r>
      <w:r>
        <w:t xml:space="preserve"> </w:t>
      </w:r>
      <w:r>
        <w:t xml:space="preserve">Confronto economico: i ritorni economici dei programmi internazionali sono trattati, distintamente dagli esiti clinici, nella Parte E, ove il caso pugliese adotta la stima conservativa consolidata, che distingue il risparmio diretto dalle ricadute sociali.</w:t>
      </w:r>
    </w:p>
  </w:footnote>
  <w:footnote w:id="466">
    <w:p>
      <w:pPr>
        <w:pStyle w:val="FootnoteText"/>
      </w:pPr>
      <w:r>
        <w:rPr>
          <w:rStyle w:val="FootnoteReference"/>
        </w:rPr>
        <w:footnoteRef/>
      </w:r>
      <w:r>
        <w:t xml:space="preserve"> </w:t>
      </w:r>
      <w:r>
        <w:t xml:space="preserve">Principio della cura a intensità crescente (stepped care): si offre per primo l’intervento meno intensivo tra quelli efficaci, con passaggio a un livello superiore in assenza di risposta adeguata. È il principio organizzativo dei programmi internazionali di terapie psicologiche ed è raccomandato per i disturbi mentali comuni, perché concilia efficacia, sostenibilità e appropriatezza nell’uso delle risorse.</w:t>
      </w:r>
    </w:p>
  </w:footnote>
  <w:footnote w:id="467">
    <w:p>
      <w:pPr>
        <w:pStyle w:val="FootnoteText"/>
      </w:pPr>
      <w:r>
        <w:rPr>
          <w:rStyle w:val="FootnoteReference"/>
        </w:rPr>
        <w:footnoteRef/>
      </w:r>
      <w:r>
        <w:t xml:space="preserve"> </w:t>
      </w:r>
      <w:r>
        <w:t xml:space="preserve">Il percorso impiega le misure di esito del protocollo minimo — i questionari PHQ-9, GAD-7 e CORE-OM, nei loro punteggi totali — come criterio delle decisioni cliniche di intensificazione, riduzione e conclusione, raccolte a ogni seduta.</w:t>
      </w:r>
    </w:p>
  </w:footnote>
  <w:footnote w:id="468">
    <w:p>
      <w:pPr>
        <w:pStyle w:val="FootnoteText"/>
      </w:pPr>
      <w:r>
        <w:rPr>
          <w:rStyle w:val="FootnoteReference"/>
        </w:rPr>
        <w:footnoteRef/>
      </w:r>
      <w:r>
        <w:t xml:space="preserve"> </w:t>
      </w:r>
      <w:r>
        <w:t xml:space="preserve">Riferimento normativo: la legge prevede che l’attività sia erogata secondo percorsi definiti, con strumenti di valutazione e misure di esito standardizzate, e che allo psicologo di base si affianchi il medico di medicina generale o il pediatra di libera scelta per la presa in carico clinica complessiva dell’assistito.</w:t>
      </w:r>
    </w:p>
  </w:footnote>
  <w:footnote w:id="469">
    <w:p>
      <w:pPr>
        <w:pStyle w:val="FootnoteText"/>
      </w:pPr>
      <w:r>
        <w:rPr>
          <w:rStyle w:val="FootnoteReference"/>
        </w:rPr>
        <w:footnoteRef/>
      </w:r>
      <w:r>
        <w:t xml:space="preserve"> </w:t>
      </w:r>
      <w:r>
        <w:t xml:space="preserve">Fasce di gravità standard impiegate per la stratificazione: per il PHQ-9 (totale 0-27) le fasce minimo, lieve, moderato, moderato-grave e grave; per il GAD-7 (totale 0-21) le fasce minimo, lieve, moderato e grave. Sono le fasce di uso consolidato nella pratica clinica e nei programmi di terapie psicologiche.</w:t>
      </w:r>
    </w:p>
  </w:footnote>
  <w:footnote w:id="470">
    <w:p>
      <w:pPr>
        <w:pStyle w:val="FootnoteText"/>
      </w:pPr>
      <w:r>
        <w:rPr>
          <w:rStyle w:val="FootnoteReference"/>
        </w:rPr>
        <w:footnoteRef/>
      </w:r>
      <w:r>
        <w:t xml:space="preserve"> </w:t>
      </w:r>
      <w:r>
        <w:t xml:space="preserve">Definizioni operative dal protocollo: il recupero è il passaggio sotto la soglia clinica con miglioramento affidabile; l’assenza di miglioramento affidabile al punto di revisione determina il passaggio al livello superiore, mentre il recupero stabile determina la riduzione di intensità e la conclusione.</w:t>
      </w:r>
    </w:p>
  </w:footnote>
  <w:footnote w:id="471">
    <w:p>
      <w:pPr>
        <w:pStyle w:val="FootnoteText"/>
      </w:pPr>
      <w:r>
        <w:rPr>
          <w:rStyle w:val="FootnoteReference"/>
        </w:rPr>
        <w:footnoteRef/>
      </w:r>
      <w:r>
        <w:t xml:space="preserve"> </w:t>
      </w:r>
      <w:r>
        <w:t xml:space="preserve">Collocazione del servizio: lo psicologo di base è il primo livello territoriale per i disturbi comuni di entità lieve-moderata; i quadri gravi, complessi o che presentano rischio sono inviati ai servizi specialistici (Dipartimento di Salute Mentale) e, ove necessario, ai percorsi dell’emergenza, in raccordo con il medico curante. La definizione di soglie e percorsi di invio è parte essenziale della sicurezza clinica del modello.</w:t>
      </w:r>
    </w:p>
  </w:footnote>
  <w:footnote w:id="472">
    <w:p>
      <w:pPr>
        <w:pStyle w:val="FootnoteText"/>
      </w:pPr>
      <w:r>
        <w:rPr>
          <w:rStyle w:val="FootnoteReference"/>
        </w:rPr>
        <w:footnoteRef/>
      </w:r>
      <w:r>
        <w:t xml:space="preserve"> </w:t>
      </w:r>
      <w:r>
        <w:t xml:space="preserve">Sostenibilità ed equità: tetti indicativi di sedute per livello e criteri di stratificazione uniformi su tutto il territorio assicurano che il servizio sia misurabile, sostenibile ed equo, evitando sia il sotto-trattamento sia il prolungamento di percorsi inefficaci.</w:t>
      </w:r>
    </w:p>
  </w:footnote>
  <w:footnote w:id="473">
    <w:p>
      <w:pPr>
        <w:pStyle w:val="FootnoteText"/>
      </w:pPr>
      <w:r>
        <w:rPr>
          <w:rStyle w:val="FootnoteReference"/>
        </w:rPr>
        <w:footnoteRef/>
      </w:r>
      <w:r>
        <w:t xml:space="preserve"> </w:t>
      </w:r>
      <w:r>
        <w:t xml:space="preserve">Integrazione con le cure primarie: l’invio strutturato dal medico curante e la restituzione sistematica al medico curante, insieme alla gestione condivisa delle comorbilità fisiche, sono parte integrante del percorso e ne misurano l’integrazione reale nelle cure primarie.</w:t>
      </w:r>
    </w:p>
  </w:footnote>
  <w:footnote w:id="474">
    <w:p>
      <w:pPr>
        <w:pStyle w:val="FootnoteText"/>
      </w:pPr>
      <w:r>
        <w:rPr>
          <w:rStyle w:val="FootnoteReference"/>
        </w:rPr>
        <w:footnoteRef/>
      </w:r>
      <w:r>
        <w:t xml:space="preserve"> </w:t>
      </w:r>
      <w:r>
        <w:t xml:space="preserve">La tabella unica consolidata del progetto fissa il costo del servizio in 25, 38 e 50 milioni di euro l’anno per gli scenari conservativo, base ed espansivo, corrispondenti rispettivamente a circa 450, 700 e 900 incarichi. Tali valori implicano un costo medio dell’ordine di 55.000 euro per incarico l’anno, di cui il presente documento esplicita e ricostruisce la composizione.</w:t>
      </w:r>
    </w:p>
  </w:footnote>
  <w:footnote w:id="475">
    <w:p>
      <w:pPr>
        <w:pStyle w:val="FootnoteText"/>
      </w:pPr>
      <w:r>
        <w:rPr>
          <w:rStyle w:val="FootnoteReference"/>
        </w:rPr>
        <w:footnoteRef/>
      </w:r>
      <w:r>
        <w:t xml:space="preserve"> </w:t>
      </w:r>
      <w:r>
        <w:t xml:space="preserve">Accordo Collettivo Nazionale per la specialistica ambulatoriale (triennio 2019-2021), sottoscritto il 7 febbraio 2024, che disciplina i rapporti con gli specialisti ambulatoriali, i veterinari e le altre professionalità sanitarie, tra cui gli psicologi convenzionati; i compensi sono su base oraria (allegato 3), salvo diversa determinazione degli Accordi Integrativi Regionali.</w:t>
      </w:r>
    </w:p>
  </w:footnote>
  <w:footnote w:id="476">
    <w:p>
      <w:pPr>
        <w:pStyle w:val="FootnoteText"/>
      </w:pPr>
      <w:r>
        <w:rPr>
          <w:rStyle w:val="FootnoteReference"/>
        </w:rPr>
        <w:footnoteRef/>
      </w:r>
      <w:r>
        <w:t xml:space="preserve"> </w:t>
      </w:r>
      <w:r>
        <w:t xml:space="preserve">Il medesimo accordo ha previsto un incremento complessivo del 5,78% al netto degli oneri previdenziali e fiscali a carico delle aziende, con erogazione degli arretrati per il 2022 e il 2023 e incrementi a decorrere dal 1° gennaio 2024, e ha introdotto una prima misura di perequazione retributiva a favore di psicologi, biologi e chimici, per ridurre il differenziale con i medici.</w:t>
      </w:r>
    </w:p>
  </w:footnote>
  <w:footnote w:id="477">
    <w:p>
      <w:pPr>
        <w:pStyle w:val="FootnoteText"/>
      </w:pPr>
      <w:r>
        <w:rPr>
          <w:rStyle w:val="FootnoteReference"/>
        </w:rPr>
        <w:footnoteRef/>
      </w:r>
      <w:r>
        <w:t xml:space="preserve"> </w:t>
      </w:r>
      <w:r>
        <w:t xml:space="preserve">I compensi sono da considerarsi al netto degli oneri previdenziali e fiscali a carico dell’Azienda: il costo per il Servizio sanitario regionale, per ora di attività, comprende dunque il compenso al professionista più gli oneri a carico dell’azienda, ed è superiore al solo compenso orario percepito.</w:t>
      </w:r>
    </w:p>
  </w:footnote>
  <w:footnote w:id="478">
    <w:p>
      <w:pPr>
        <w:pStyle w:val="FootnoteText"/>
      </w:pPr>
      <w:r>
        <w:rPr>
          <w:rStyle w:val="FootnoteReference"/>
        </w:rPr>
        <w:footnoteRef/>
      </w:r>
      <w:r>
        <w:t xml:space="preserve"> </w:t>
      </w:r>
      <w:r>
        <w:t xml:space="preserve">La tariffa è una scelta di politica sanitaria, definita nella convenzione e negli Accordi Integrativi Regionali: il presente documento non la determina, ma fornisce una base di costo trasparente e tracciabile, utile a dimensionare il servizio e a negoziare la tariffa su fondamenti espliciti.</w:t>
      </w:r>
    </w:p>
  </w:footnote>
  <w:footnote w:id="479">
    <w:p>
      <w:pPr>
        <w:pStyle w:val="FootnoteText"/>
      </w:pPr>
      <w:r>
        <w:rPr>
          <w:rStyle w:val="FootnoteReference"/>
        </w:rPr>
        <w:footnoteRef/>
      </w:r>
      <w:r>
        <w:t xml:space="preserve"> </w:t>
      </w:r>
      <w:r>
        <w:t xml:space="preserve">Le sedi del servizio sono collocate presso le Case della Comunità previste dal decreto ministeriale 77 del 2022: l’infrastruttura è in larga parte già esistente o finanziata, sicché il costo di sede è marginale; la formazione è in parte coperta da fondi del Piano Nazionale di Ripresa e Resilienza dedicati alla sanità territoriale e digitale.</w:t>
      </w:r>
    </w:p>
  </w:footnote>
  <w:footnote w:id="480">
    <w:p>
      <w:pPr>
        <w:pStyle w:val="FootnoteText"/>
      </w:pPr>
      <w:r>
        <w:rPr>
          <w:rStyle w:val="FootnoteReference"/>
        </w:rPr>
        <w:footnoteRef/>
      </w:r>
      <w:r>
        <w:t xml:space="preserve"> </w:t>
      </w:r>
      <w:r>
        <w:t xml:space="preserve">Il fabbisogno a regime è stimato nell’ordine di 800-900 psicologi per l’intera regione; il servizio attuale conta circa 45 incarichi a fronte di uno stanziamento di 1,5 milioni di euro l’anno (circa 33.000 euro per incarico, su base oraria ridotta), pari a circa il 5% del fabbisogno.</w:t>
      </w:r>
    </w:p>
  </w:footnote>
  <w:footnote w:id="481">
    <w:p>
      <w:pPr>
        <w:pStyle w:val="FootnoteText"/>
      </w:pPr>
      <w:r>
        <w:rPr>
          <w:rStyle w:val="FootnoteReference"/>
        </w:rPr>
        <w:footnoteRef/>
      </w:r>
      <w:r>
        <w:t xml:space="preserve"> </w:t>
      </w:r>
      <w:r>
        <w:t xml:space="preserve">La copertura finanziaria è trattata nella relazione tecnico-finanziaria del progetto: la regione, in disavanzo e sotto vincoli di rientro, deve individuare le coperture nel bilancio sanitario; lo stanziamento attuale di 1,5 milioni è commisurato a un servizio simbolico, non a regime.</w:t>
      </w:r>
    </w:p>
  </w:footnote>
  <w:footnote w:id="482">
    <w:p>
      <w:pPr>
        <w:pStyle w:val="FootnoteText"/>
      </w:pPr>
      <w:r>
        <w:rPr>
          <w:rStyle w:val="FootnoteReference"/>
        </w:rPr>
        <w:footnoteRef/>
      </w:r>
      <w:r>
        <w:t xml:space="preserve"> </w:t>
      </w:r>
      <w:r>
        <w:t xml:space="preserve">Le cifre di spesa regionale finora impiegate sono ricostruite dai conti sanitari nazionali applicando la quota pugliese di popolazione (circa 6,6%): medicina generale circa 470-480 milioni, specialistica e diagnostica circa 1,8 miliardi, farmaceutica territoriale circa 800 milioni, salute mentale circa 270 milioni l’anno. La presente richiesta mira a sostituire tali stime con valori estratti dai conti e dai flussi regionali.</w:t>
      </w:r>
    </w:p>
  </w:footnote>
  <w:footnote w:id="483">
    <w:p>
      <w:pPr>
        <w:pStyle w:val="FootnoteText"/>
      </w:pPr>
      <w:r>
        <w:rPr>
          <w:rStyle w:val="FootnoteReference"/>
        </w:rPr>
        <w:footnoteRef/>
      </w:r>
      <w:r>
        <w:t xml:space="preserve"> </w:t>
      </w:r>
      <w:r>
        <w:t xml:space="preserve">Conti certificati di riferimento: finanziamento del Servizio sanitario regionale pugliese circa 8,8 miliardi (2025) con disavanzo circa 350 milioni; regione sotto vincoli di rientro. La disaggregazione richiesta consente di ancorare a tali conti il calcolo dei risparmi attesi.</w:t>
      </w:r>
    </w:p>
  </w:footnote>
  <w:footnote w:id="484">
    <w:p>
      <w:pPr>
        <w:pStyle w:val="FootnoteText"/>
      </w:pPr>
      <w:r>
        <w:rPr>
          <w:rStyle w:val="FootnoteReference"/>
        </w:rPr>
        <w:footnoteRef/>
      </w:r>
      <w:r>
        <w:t xml:space="preserve"> </w:t>
      </w:r>
      <w:r>
        <w:t xml:space="preserve">I flussi informativi sanitari richiesti sono quelli già alimentati dalle aziende sanitarie nell’ambito del Nuovo Sistema Informativo Sanitario: le schede di dimissione ospedaliera (SDO), i file della mobilità interregionale, il flusso dell’emergenza-urgenza (EMUR) e il Sistema Informativo per la Salute Mentale (SISM). La richiesta riguarda le estrazioni regionali aggregate di tali flussi.</w:t>
      </w:r>
    </w:p>
  </w:footnote>
  <w:footnote w:id="485">
    <w:p>
      <w:pPr>
        <w:pStyle w:val="FootnoteText"/>
      </w:pPr>
      <w:r>
        <w:rPr>
          <w:rStyle w:val="FootnoteReference"/>
        </w:rPr>
        <w:footnoteRef/>
      </w:r>
      <w:r>
        <w:t xml:space="preserve"> </w:t>
      </w:r>
      <w:r>
        <w:t xml:space="preserve">Principio di minimizzazione: la richiesta riguarda esclusivamente dati aggregati e anonimi a livello aziendale e regionale; non sono richiesti dati individuali. Il trattamento avviene nel rispetto della normativa sulla protezione dei dati personali, con finalità limitata all’analisi tecnico-finanziaria e alla costituzione della base di partenza degli indicatori.</w:t>
      </w:r>
    </w:p>
  </w:footnote>
  <w:footnote w:id="486">
    <w:p>
      <w:pPr>
        <w:pStyle w:val="FootnoteText"/>
      </w:pPr>
      <w:r>
        <w:rPr>
          <w:rStyle w:val="FootnoteReference"/>
        </w:rPr>
        <w:footnoteRef/>
      </w:r>
      <w:r>
        <w:t xml:space="preserve"> </w:t>
      </w:r>
      <w:r>
        <w:t xml:space="preserve">Esito di popolazione: i ricoveri per lesioni autoinflitte e, ove disponibile, la mortalità per suicidio sono richiesti esclusivamente come grandezze epidemiologiche aggregate, quali indicatori di esito a lungo termine del sistema di salute mentale.</w:t>
      </w:r>
    </w:p>
  </w:footnote>
  <w:footnote w:id="487">
    <w:p>
      <w:pPr>
        <w:pStyle w:val="FootnoteText"/>
      </w:pPr>
      <w:r>
        <w:rPr>
          <w:rStyle w:val="FootnoteReference"/>
        </w:rPr>
        <w:footnoteRef/>
      </w:r>
      <w:r>
        <w:t xml:space="preserve"> </w:t>
      </w:r>
      <w:r>
        <w:t xml:space="preserve">Classificazione anatomico-terapeutica (ATC) di riferimento per i farmaci del sistema nervoso impiegati nei disturbi psichici: categoria N05 (psicolettici: antipsicotici, ansiolitici, ipnotici e sedativi) e categoria N06 (psicoanalettici: antidepressivi e altri). È la classificazione adottata nei rapporti dell’AIFA-OsMed.</w:t>
      </w:r>
    </w:p>
  </w:footnote>
  <w:footnote w:id="488">
    <w:p>
      <w:pPr>
        <w:pStyle w:val="FootnoteText"/>
      </w:pPr>
      <w:r>
        <w:rPr>
          <w:rStyle w:val="FootnoteReference"/>
        </w:rPr>
        <w:footnoteRef/>
      </w:r>
      <w:r>
        <w:t xml:space="preserve"> </w:t>
      </w:r>
      <w:r>
        <w:t xml:space="preserve">Finalità: i dati alimentano il modello costi-benefici e di impatto di bilancio, la revisione della quantificazione su dati primari e la base di partenza della batteria di indicatori; consentono inoltre il ricalcolo della robustezza (modello di Markov e analisi probabilistica) sui parametri certificati.</w:t>
      </w:r>
    </w:p>
  </w:footnote>
  <w:footnote w:id="489">
    <w:p>
      <w:pPr>
        <w:pStyle w:val="FootnoteText"/>
      </w:pPr>
      <w:r>
        <w:rPr>
          <w:rStyle w:val="FootnoteReference"/>
        </w:rPr>
        <w:footnoteRef/>
      </w:r>
      <w:r>
        <w:t xml:space="preserve"> </w:t>
      </w:r>
      <w:r>
        <w:t xml:space="preserve">Il protocollo alimenta gli indicatori della batteria di indicatori e del sistema di monitoraggio (dimensioni di struttura, processo ed esito); in particolare costituisce la fonte dei circa quaranta indicatori che il servizio deve rilevare in proprio e che non sono ricavabili dalle statistiche correnti.</w:t>
      </w:r>
    </w:p>
  </w:footnote>
  <w:footnote w:id="490">
    <w:p>
      <w:pPr>
        <w:pStyle w:val="FootnoteText"/>
      </w:pPr>
      <w:r>
        <w:rPr>
          <w:rStyle w:val="FootnoteReference"/>
        </w:rPr>
        <w:footnoteRef/>
      </w:r>
      <w:r>
        <w:t xml:space="preserve"> </w:t>
      </w:r>
      <w:r>
        <w:t xml:space="preserve">Modello di riferimento internazionale: i programmi inglesi di accesso alle terapie psicologiche fondano la misurazione sulla raccolta di misure di esito a ogni seduta, e non solo all’inizio e alla fine; questo consente di calcolare il tasso di recupero e il miglioramento affidabile e di non protrarre percorsi inefficaci. Il tasso di recupero conseguito è dell’ordine del 50%.</w:t>
      </w:r>
    </w:p>
  </w:footnote>
  <w:footnote w:id="491">
    <w:p>
      <w:pPr>
        <w:pStyle w:val="FootnoteText"/>
      </w:pPr>
      <w:r>
        <w:rPr>
          <w:rStyle w:val="FootnoteReference"/>
        </w:rPr>
        <w:footnoteRef/>
      </w:r>
      <w:r>
        <w:t xml:space="preserve"> </w:t>
      </w:r>
      <w:r>
        <w:t xml:space="preserve">Questionario sulla salute del paziente a nove voci (PHQ-9): strumento validato per la misura dei sintomi depressivi, con punteggio totale da 0 a 27; la soglia di rilevanza clinica è collocata intorno a 10 e il cambiamento considerato affidabile è dell’ordine di 6 punti. Si impiega il solo punteggio totale a fini di monitoraggio dell’andamento.</w:t>
      </w:r>
    </w:p>
  </w:footnote>
  <w:footnote w:id="492">
    <w:p>
      <w:pPr>
        <w:pStyle w:val="FootnoteText"/>
      </w:pPr>
      <w:r>
        <w:rPr>
          <w:rStyle w:val="FootnoteReference"/>
        </w:rPr>
        <w:footnoteRef/>
      </w:r>
      <w:r>
        <w:t xml:space="preserve"> </w:t>
      </w:r>
      <w:r>
        <w:t xml:space="preserve">Scala per il disturbo d’ansia generalizzata a sette voci (GAD-7): strumento validato per la misura dei sintomi ansiosi, con punteggio totale da 0 a 21; la soglia di rilevanza clinica è collocata intorno a 8 e il cambiamento affidabile è dell’ordine di 4 punti.</w:t>
      </w:r>
    </w:p>
  </w:footnote>
  <w:footnote w:id="493">
    <w:p>
      <w:pPr>
        <w:pStyle w:val="FootnoteText"/>
      </w:pPr>
      <w:r>
        <w:rPr>
          <w:rStyle w:val="FootnoteReference"/>
        </w:rPr>
        <w:footnoteRef/>
      </w:r>
      <w:r>
        <w:t xml:space="preserve"> </w:t>
      </w:r>
      <w:r>
        <w:t xml:space="preserve">Misura di esito clinico di routine (CORE-OM): strumento validato per la misura del distress psicologico globale, con soglia clinica e cambiamento affidabile definiti dalle norme dello strumento; ne esiste una forma breve (CORE-10) idonea al monitoraggio ripetuto.</w:t>
      </w:r>
    </w:p>
  </w:footnote>
  <w:footnote w:id="494">
    <w:p>
      <w:pPr>
        <w:pStyle w:val="FootnoteText"/>
      </w:pPr>
      <w:r>
        <w:rPr>
          <w:rStyle w:val="FootnoteReference"/>
        </w:rPr>
        <w:footnoteRef/>
      </w:r>
      <w:r>
        <w:t xml:space="preserve"> </w:t>
      </w:r>
      <w:r>
        <w:t xml:space="preserve">Definizioni operative: il recupero è il passaggio da un punteggio superiore alla soglia clinica a un punteggio inferiore; il miglioramento affidabile è una variazione superiore all’errore di misura dello strumento. Le due condizioni, combinate, definiscono il recupero affidabile.</w:t>
      </w:r>
    </w:p>
  </w:footnote>
  <w:footnote w:id="495">
    <w:p>
      <w:pPr>
        <w:pStyle w:val="FootnoteText"/>
      </w:pPr>
      <w:r>
        <w:rPr>
          <w:rStyle w:val="FootnoteReference"/>
        </w:rPr>
        <w:footnoteRef/>
      </w:r>
      <w:r>
        <w:t xml:space="preserve"> </w:t>
      </w:r>
      <w:r>
        <w:t xml:space="preserve">Protezione dei dati: i dati individuali sono trattati dal servizio per la finalità clinica, nel rispetto della normativa vigente, con minimizzazione e sicurezza; all’Osservatorio regionale sono trasmessi esclusivamente indicatori aggregati e anonimi. Non sono previsti trasferimenti di dati individuali al di fuori del servizio.</w:t>
      </w:r>
    </w:p>
  </w:footnote>
  <w:footnote w:id="496">
    <w:p>
      <w:pPr>
        <w:pStyle w:val="FootnoteText"/>
      </w:pPr>
      <w:r>
        <w:rPr>
          <w:rStyle w:val="FootnoteReference"/>
        </w:rPr>
        <w:footnoteRef/>
      </w:r>
      <w:r>
        <w:t xml:space="preserve"> </w:t>
      </w:r>
      <w:r>
        <w:t xml:space="preserve">Principio della baseline: gli indicatori già disponibili dalle statistiche correnti (ISTAT, Sistema Informativo per la Salute Mentale, AIFA) costituiscono la fotografia di partenza; gli indicatori di servizio si rilevano dal primo giorno di attività. Ogni mese di ritardo nell’avvio della rilevazione è un mese di dati di base perduti, non recuperabili a posteriori.</w:t>
      </w:r>
    </w:p>
  </w:footnote>
  <w:footnote w:id="497">
    <w:p>
      <w:pPr>
        <w:pStyle w:val="FootnoteText"/>
      </w:pPr>
      <w:r>
        <w:rPr>
          <w:rStyle w:val="FootnoteReference"/>
        </w:rPr>
        <w:footnoteRef/>
      </w:r>
      <w:r>
        <w:t xml:space="preserve"> </w:t>
      </w:r>
      <w:r>
        <w:t xml:space="preserve">L’Osservatorio regionale, previsto dalla legge, riceve con periodicità definita gli indicatori aggregati e calcola le misure di sintesi del cruscotto; è la sede in cui la rilevazione del singolo servizio diventa conoscenza regionale.</w:t>
      </w:r>
    </w:p>
  </w:footnote>
  <w:footnote w:id="498">
    <w:p>
      <w:pPr>
        <w:pStyle w:val="FootnoteText"/>
      </w:pPr>
      <w:r>
        <w:rPr>
          <w:rStyle w:val="FootnoteReference"/>
        </w:rPr>
        <w:footnoteRef/>
      </w:r>
      <w:r>
        <w:t xml:space="preserve"> </w:t>
      </w:r>
      <w:r>
        <w:t xml:space="preserve">Le diagnosi di esclusione comuni alle DiGA in salute mentale comprendono i disturbi mentali organici, i disturbi psicotici, i disturbi bipolari, i disturbi da uso di sostanze e la presenza di rischio suicidario; elemento che conferma la destinazione ai quadri lievi e moderati e la necessita di un inquadramento clinico preliminare.</w:t>
      </w:r>
    </w:p>
  </w:footnote>
  <w:footnote w:id="499">
    <w:p>
      <w:pPr>
        <w:pStyle w:val="FootnoteText"/>
      </w:pPr>
      <w:r>
        <w:rPr>
          <w:rStyle w:val="FootnoteReference"/>
        </w:rPr>
        <w:footnoteRef/>
      </w:r>
      <w:r>
        <w:t xml:space="preserve"> </w:t>
      </w:r>
      <w:r>
        <w:t xml:space="preserve">Regolamento europeo sull’IA (AI Act), in vigore dall’agosto 2024: i sistemi di IA nei dispositivi medici sono classificati ad alto rischio; la maggior parte degli obblighi decorre dall’agosto 2026, con piena conformita dall’agosto 2027; la guida MDCG 2025-6 chiarisce l’interazione con il Regolamento dispositivi medici. I dispositivi terapeutici digitali che incorporano IA adattiva ricadono in tale perimetro.</w:t>
      </w:r>
    </w:p>
  </w:footnote>
  <w:footnote w:id="500">
    <w:p>
      <w:pPr>
        <w:pStyle w:val="FootnoteText"/>
      </w:pPr>
      <w:r>
        <w:rPr>
          <w:rStyle w:val="FootnoteReference"/>
        </w:rPr>
        <w:footnoteRef/>
      </w:r>
      <w:r>
        <w:t xml:space="preserve"> </w:t>
      </w:r>
      <w:r>
        <w:t xml:space="preserve">reSET (Pear Therapeutics): primo dispositivo terapeutico digitale su prescrizione in assoluto, autorizzato dalla FDA nel 2017 per i disturbi da uso di sostanze; reSET-O, autorizzato nel 2018 per il disturbo da uso di oppioidi in associazione alla buprenorfina.</w:t>
      </w:r>
    </w:p>
  </w:footnote>
  <w:footnote w:id="501">
    <w:p>
      <w:pPr>
        <w:pStyle w:val="FootnoteText"/>
      </w:pPr>
      <w:r>
        <w:rPr>
          <w:rStyle w:val="FootnoteReference"/>
        </w:rPr>
        <w:footnoteRef/>
      </w:r>
      <w:r>
        <w:t xml:space="preserve"> </w:t>
      </w:r>
      <w:r>
        <w:t xml:space="preserve">EndeavorRx (Akili Interactive): primo trattamento su prescrizione erogato attraverso un videogioco, autorizzato dalla FDA nel giugno 2020 (percorso De Novo) per migliorare la funzione attentiva nei bambini con disturbo da deficit di attenzione e iperattivita, poi esteso alla fascia 8-17 anni; uso di circa 25-30 minuti al giorno per cinque giorni a settimana. Nello studio cardine (Kollins et al., Lancet Digital Health, 2020) il 47% dei bambini trattati ha mostrato un miglioramento significativo del Test of Variables of Attention contro il 32% del gruppo di controllo; nei due studi a sostegno (342 partecipanti) gli eventi avversi correlati sono stati il 4,97%, senza eventi gravi. Non sostituisce il farmaco e va impiegato entro un programma terapeutico.</w:t>
      </w:r>
    </w:p>
  </w:footnote>
  <w:footnote w:id="502">
    <w:p>
      <w:pPr>
        <w:pStyle w:val="FootnoteText"/>
      </w:pPr>
      <w:r>
        <w:rPr>
          <w:rStyle w:val="FootnoteReference"/>
        </w:rPr>
        <w:footnoteRef/>
      </w:r>
      <w:r>
        <w:t xml:space="preserve"> </w:t>
      </w:r>
      <w:r>
        <w:t xml:space="preserve">Rejoyn (Otsuka Pharmaceutical e Click Therapeutics): primo dispositivo terapeutico digitale su prescrizione autorizzato dalla FDA (aprile 2024, autorizzazione 510(k) K231209) per il disturbo depressivo maggiore negli adulti dai 22 anni, come adiuvante della cura ambulatoriale con antidepressivi; programma di sei settimane validato in uno studio di fase 3 randomizzato in doppio cieco contro applicazione fittizia su 386 pazienti (NCT04770285).</w:t>
      </w:r>
    </w:p>
  </w:footnote>
  <w:footnote w:id="503">
    <w:p>
      <w:pPr>
        <w:pStyle w:val="FootnoteText"/>
      </w:pPr>
      <w:r>
        <w:rPr>
          <w:rStyle w:val="FootnoteReference"/>
        </w:rPr>
        <w:footnoteRef/>
      </w:r>
      <w:r>
        <w:t xml:space="preserve"> </w:t>
      </w:r>
      <w:r>
        <w:t xml:space="preserve">MamaLift Plus (Curio Digital Therapeutics): autorizzato dalla FDA nell’aprile 2024, primo dispositivo terapeutico digitale su prescrizione per la depressione post-partum.</w:t>
      </w:r>
    </w:p>
  </w:footnote>
  <w:footnote w:id="504">
    <w:p>
      <w:pPr>
        <w:pStyle w:val="FootnoteText"/>
      </w:pPr>
      <w:r>
        <w:rPr>
          <w:rStyle w:val="FootnoteReference"/>
        </w:rPr>
        <w:footnoteRef/>
      </w:r>
      <w:r>
        <w:t xml:space="preserve"> </w:t>
      </w:r>
      <w:r>
        <w:t xml:space="preserve">Nel novembre 2024 il sistema assicurativo pubblico statunitense ha approvato tre codici di rimborso dedicati ai dispositivi terapeutici digitali; nel settembre 2025 un grande assicuratore privato ha annunciato la copertura dei dispositivi terapeutici digitali autorizzati dalla FDA.</w:t>
      </w:r>
    </w:p>
  </w:footnote>
  <w:footnote w:id="505">
    <w:p>
      <w:pPr>
        <w:pStyle w:val="FootnoteText"/>
      </w:pPr>
      <w:r>
        <w:rPr>
          <w:rStyle w:val="FootnoteReference"/>
        </w:rPr>
        <w:footnoteRef/>
      </w:r>
      <w:r>
        <w:t xml:space="preserve"> </w:t>
      </w:r>
      <w:r>
        <w:t xml:space="preserve">Germania, Legge sull’assistenza sanitaria digitale (Digitale-Versorgung-Gesetz) del 2019: il percorso accelerato per le applicazioni sanitarie digitali (Digitale Gesundheitsanwendungen, DiGA Fast-Track) rappresenta il primo sistema strutturato al mondo di rimborso su larga scala di applicazioni sanitarie prescrivibili; il percorso e aperto a tutte le imprese dell’Unione Europea.</w:t>
      </w:r>
    </w:p>
  </w:footnote>
  <w:footnote w:id="506">
    <w:p>
      <w:pPr>
        <w:pStyle w:val="FootnoteText"/>
      </w:pPr>
      <w:r>
        <w:rPr>
          <w:rStyle w:val="FootnoteReference"/>
        </w:rPr>
        <w:footnoteRef/>
      </w:r>
      <w:r>
        <w:t xml:space="preserve"> </w:t>
      </w:r>
      <w:r>
        <w:t xml:space="preserve">Le DiGA sono certificate come dispositivi medici a basso rischio, prescrivibili da medici e psicoterapeuti o erogabili previa approvazione dell’assicurazione; l’Istituto federale per i farmaci e i dispositivi medici (BfArM) ne valuta l’ammissione al registro, in via temporanea (un anno, in attesa di rivalutazione) o permanente, previa dimostrazione di un effetto positivo sull’assistenza. Oltre 73 milioni di persone in Germania hanno accesso alle DiGA.</w:t>
      </w:r>
    </w:p>
  </w:footnote>
  <w:footnote w:id="507">
    <w:p>
      <w:pPr>
        <w:pStyle w:val="FootnoteText"/>
      </w:pPr>
      <w:r>
        <w:rPr>
          <w:rStyle w:val="FootnoteReference"/>
        </w:rPr>
        <w:footnoteRef/>
      </w:r>
      <w:r>
        <w:t xml:space="preserve"> </w:t>
      </w:r>
      <w:r>
        <w:t xml:space="preserve">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508">
    <w:p>
      <w:pPr>
        <w:pStyle w:val="FootnoteText"/>
      </w:pPr>
      <w:r>
        <w:rPr>
          <w:rStyle w:val="FootnoteReference"/>
        </w:rPr>
        <w:footnoteRef/>
      </w:r>
      <w:r>
        <w:t xml:space="preserve"> </w:t>
      </w:r>
      <w:r>
        <w:t xml:space="preserve">NICE, Medical Technologies Guidance MTG70, Sleepio to treat insomnia and insomnia symptoms (2024): Sleepio e raccomandato come opzione per l’insonnia e i sintomi di insonnia nelle cure primarie, in alternativa all’assistenza usuale; le persone non dovrebbero essere indirizzate a Sleepio se sono eleggibili e hanno accesso alla terapia cognitivo-comportamentale per l’insonnia in presenza. La mancanza di un confronto diretto con quest’ultima e indicata come limite dell’evidenza.</w:t>
      </w:r>
    </w:p>
  </w:footnote>
  <w:footnote w:id="509">
    <w:p>
      <w:pPr>
        <w:pStyle w:val="FootnoteText"/>
      </w:pPr>
      <w:r>
        <w:rPr>
          <w:rStyle w:val="FootnoteReference"/>
        </w:rPr>
        <w:footnoteRef/>
      </w:r>
      <w:r>
        <w:t xml:space="preserve"> </w:t>
      </w:r>
      <w:r>
        <w:t xml:space="preserve">Regolamento europeo sull’IA (AI Act), in vigore dall’agosto 2024: i sistemi di IA nei dispositivi medici sono classificati ad alto rischio; la maggior parte degli obblighi decorre dall’agosto 2026, con piena conformita dall’agosto 2027; la guida MDCG 2025-6 chiarisce l’interazione con il Regolamento dispositivi medici. I dispositivi terapeutici digitali che incorporano IA adattiva ricadono in tale perimetro.</w:t>
      </w:r>
    </w:p>
  </w:footnote>
  <w:footnote w:id="510">
    <w:p>
      <w:pPr>
        <w:pStyle w:val="FootnoteText"/>
      </w:pPr>
      <w:r>
        <w:rPr>
          <w:rStyle w:val="FootnoteReference"/>
        </w:rPr>
        <w:footnoteRef/>
      </w:r>
      <w:r>
        <w:t xml:space="preserve"> </w:t>
      </w:r>
      <w:r>
        <w:t xml:space="preserve">Rejoyn (Otsuka Pharmaceutical e Click Therapeutics): primo dispositivo terapeutico digitale su prescrizione autorizzato dalla FDA (aprile 2024, autorizzazione 510(k) K231209) per il disturbo depressivo maggiore negli adulti dai 22 anni, come adiuvante della cura ambulatoriale con antidepressivi; programma di sei settimane validato in uno studio di fase 3 randomizzato in doppio cieco contro applicazione fittizia su 386 pazienti (NCT04770285).</w:t>
      </w:r>
    </w:p>
  </w:footnote>
  <w:footnote w:id="511">
    <w:p>
      <w:pPr>
        <w:pStyle w:val="FootnoteText"/>
      </w:pPr>
      <w:r>
        <w:rPr>
          <w:rStyle w:val="FootnoteReference"/>
        </w:rPr>
        <w:footnoteRef/>
      </w:r>
      <w:r>
        <w:t xml:space="preserve"> </w:t>
      </w:r>
      <w:r>
        <w:t xml:space="preserve">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512">
    <w:p>
      <w:pPr>
        <w:pStyle w:val="FootnoteText"/>
      </w:pPr>
      <w:r>
        <w:rPr>
          <w:rStyle w:val="FootnoteReference"/>
        </w:rPr>
        <w:footnoteRef/>
      </w:r>
      <w:r>
        <w:t xml:space="preserve"> </w:t>
      </w:r>
      <w:r>
        <w:t xml:space="preserve">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513">
    <w:p>
      <w:pPr>
        <w:pStyle w:val="FootnoteText"/>
      </w:pPr>
      <w:r>
        <w:rPr>
          <w:rStyle w:val="FootnoteReference"/>
        </w:rPr>
        <w:footnoteRef/>
      </w:r>
      <w:r>
        <w:t xml:space="preserve"> </w:t>
      </w:r>
      <w:r>
        <w:t xml:space="preserve">SparkRx (Limbix): dispositivo terapeutico digitale per i sintomi depressivi negli adolescenti.</w:t>
      </w:r>
    </w:p>
  </w:footnote>
  <w:footnote w:id="514">
    <w:p>
      <w:pPr>
        <w:pStyle w:val="FootnoteText"/>
      </w:pPr>
      <w:r>
        <w:rPr>
          <w:rStyle w:val="FootnoteReference"/>
        </w:rPr>
        <w:footnoteRef/>
      </w:r>
      <w:r>
        <w:t xml:space="preserve"> </w:t>
      </w:r>
      <w:r>
        <w:t xml:space="preserve">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515">
    <w:p>
      <w:pPr>
        <w:pStyle w:val="FootnoteText"/>
      </w:pPr>
      <w:r>
        <w:rPr>
          <w:rStyle w:val="FootnoteReference"/>
        </w:rPr>
        <w:footnoteRef/>
      </w:r>
      <w:r>
        <w:t xml:space="preserve"> </w:t>
      </w:r>
      <w:r>
        <w:t xml:space="preserve">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516">
    <w:p>
      <w:pPr>
        <w:pStyle w:val="FootnoteText"/>
      </w:pPr>
      <w:r>
        <w:rPr>
          <w:rStyle w:val="FootnoteReference"/>
        </w:rPr>
        <w:footnoteRef/>
      </w:r>
      <w:r>
        <w:t xml:space="preserve"> </w:t>
      </w:r>
      <w:r>
        <w:t xml:space="preserve">Somryst (Pear Therapeutics, poi Nox Health): primo dispositivo terapeutico digitale su prescrizione per l’insonnia cronica (FDA 2020), programma di nove settimane di terapia cognitivo-comportamentale per l’insonnia; due studi randomizzati su oltre 1.400 adulti, riduzione della gravita dell’insonnia di circa il 45% mantenuta a sei e dodici mesi; il secondo studio ha riguardato 1.149 pazienti con insonnia e depressione.</w:t>
      </w:r>
    </w:p>
  </w:footnote>
  <w:footnote w:id="517">
    <w:p>
      <w:pPr>
        <w:pStyle w:val="FootnoteText"/>
      </w:pPr>
      <w:r>
        <w:rPr>
          <w:rStyle w:val="FootnoteReference"/>
        </w:rPr>
        <w:footnoteRef/>
      </w:r>
      <w:r>
        <w:t xml:space="preserve"> </w:t>
      </w:r>
      <w:r>
        <w:t xml:space="preserve">SleepioRx (Big Health): autorizzato dalla FDA nell’agosto 2024 per l’insonnia; la versione Sleepio eroga terapia cognitivo-comportamentale per l’insonnia mediante un terapeuta virtuale ed e sostenuta da oltre venticinque studi clinici, con quote elevate di pazienti che raggiungono un sonno sano e riduzioni rilevanti del tempo di addormentamento e del tempo di veglia notturna.</w:t>
      </w:r>
    </w:p>
  </w:footnote>
  <w:footnote w:id="518">
    <w:p>
      <w:pPr>
        <w:pStyle w:val="FootnoteText"/>
      </w:pPr>
      <w:r>
        <w:rPr>
          <w:rStyle w:val="FootnoteReference"/>
        </w:rPr>
        <w:footnoteRef/>
      </w:r>
      <w:r>
        <w:t xml:space="preserve"> </w:t>
      </w:r>
      <w:r>
        <w:t xml:space="preserve">NICE, Medical Technologies Guidance MTG70, Sleepio to treat insomnia and insomnia symptoms (2024): Sleepio e raccomandato come opzione per l’insonnia e i sintomi di insonnia nelle cure primarie, in alternativa all’assistenza usuale; le persone non dovrebbero essere indirizzate a Sleepio se sono eleggibili e hanno accesso alla terapia cognitivo-comportamentale per l’insonnia in presenza. La mancanza di un confronto diretto con quest’ultima e indicata come limite dell’evidenza.</w:t>
      </w:r>
    </w:p>
  </w:footnote>
  <w:footnote w:id="519">
    <w:p>
      <w:pPr>
        <w:pStyle w:val="FootnoteText"/>
      </w:pPr>
      <w:r>
        <w:rPr>
          <w:rStyle w:val="FootnoteReference"/>
        </w:rPr>
        <w:footnoteRef/>
      </w:r>
      <w:r>
        <w:t xml:space="preserve"> </w:t>
      </w:r>
      <w:r>
        <w:t xml:space="preserve">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520">
    <w:p>
      <w:pPr>
        <w:pStyle w:val="FootnoteText"/>
      </w:pPr>
      <w:r>
        <w:rPr>
          <w:rStyle w:val="FootnoteReference"/>
        </w:rPr>
        <w:footnoteRef/>
      </w:r>
      <w:r>
        <w:t xml:space="preserve"> </w:t>
      </w:r>
      <w:r>
        <w:t xml:space="preserve">reSET (Pear Therapeutics): primo dispositivo terapeutico digitale su prescrizione in assoluto, autorizzato dalla FDA nel 2017 per i disturbi da uso di sostanze; reSET-O, autorizzato nel 2018 per il disturbo da uso di oppioidi in associazione alla buprenorfina.</w:t>
      </w:r>
    </w:p>
  </w:footnote>
  <w:footnote w:id="521">
    <w:p>
      <w:pPr>
        <w:pStyle w:val="FootnoteText"/>
      </w:pPr>
      <w:r>
        <w:rPr>
          <w:rStyle w:val="FootnoteReference"/>
        </w:rPr>
        <w:footnoteRef/>
      </w:r>
      <w:r>
        <w:t xml:space="preserve"> </w:t>
      </w:r>
      <w:r>
        <w:t xml:space="preserve">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522">
    <w:p>
      <w:pPr>
        <w:pStyle w:val="FootnoteText"/>
      </w:pPr>
      <w:r>
        <w:rPr>
          <w:rStyle w:val="FootnoteReference"/>
        </w:rPr>
        <w:footnoteRef/>
      </w:r>
      <w:r>
        <w:t xml:space="preserve"> </w:t>
      </w:r>
      <w:r>
        <w:t xml:space="preserve">MamaLift Plus (Curio Digital Therapeutics): autorizzato dalla FDA nell’aprile 2024, primo dispositivo terapeutico digitale su prescrizione per la depressione post-partum.</w:t>
      </w:r>
    </w:p>
  </w:footnote>
  <w:footnote w:id="523">
    <w:p>
      <w:pPr>
        <w:pStyle w:val="FootnoteText"/>
      </w:pPr>
      <w:r>
        <w:rPr>
          <w:rStyle w:val="FootnoteReference"/>
        </w:rPr>
        <w:footnoteRef/>
      </w:r>
      <w:r>
        <w:t xml:space="preserve"> </w:t>
      </w:r>
      <w:r>
        <w:t xml:space="preserve">NightWare: autorizzato dalla FDA nel novembre 2020; funziona su orologio intelligente e impiega algoritmi su frequenza cardiaca e movimento per rilevare gli incubi nel disturbo post-traumatico da stress, erogando vibrazioni che li interrompono.</w:t>
      </w:r>
    </w:p>
  </w:footnote>
  <w:footnote w:id="524">
    <w:p>
      <w:pPr>
        <w:pStyle w:val="FootnoteText"/>
      </w:pPr>
      <w:r>
        <w:rPr>
          <w:rStyle w:val="FootnoteReference"/>
        </w:rPr>
        <w:footnoteRef/>
      </w:r>
      <w:r>
        <w:t xml:space="preserve"> </w:t>
      </w:r>
      <w:r>
        <w:t xml:space="preserve">EndeavorRx (Akili Interactive): primo trattamento su prescrizione erogato attraverso un videogioco, autorizzato dalla FDA nel giugno 2020 (percorso De Novo) per migliorare la funzione attentiva nei bambini con disturbo da deficit di attenzione e iperattivita, poi esteso alla fascia 8-17 anni; uso di circa 25-30 minuti al giorno per cinque giorni a settimana. Nello studio cardine (Kollins et al., Lancet Digital Health, 2020) il 47% dei bambini trattati ha mostrato un miglioramento significativo del Test of Variables of Attention contro il 32% del gruppo di controllo; nei due studi a sostegno (342 partecipanti) gli eventi avversi correlati sono stati il 4,97%, senza eventi gravi. Non sostituisce il farmaco e va impiegato entro un programma terapeutico.</w:t>
      </w:r>
    </w:p>
  </w:footnote>
  <w:footnote w:id="525">
    <w:p>
      <w:pPr>
        <w:pStyle w:val="FootnoteText"/>
      </w:pPr>
      <w:r>
        <w:rPr>
          <w:rStyle w:val="FootnoteReference"/>
        </w:rPr>
        <w:footnoteRef/>
      </w:r>
      <w:r>
        <w:t xml:space="preserve"> </w:t>
      </w:r>
      <w:r>
        <w:t xml:space="preserve">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526">
    <w:p>
      <w:pPr>
        <w:pStyle w:val="FootnoteText"/>
      </w:pPr>
      <w:r>
        <w:rPr>
          <w:rStyle w:val="FootnoteReference"/>
        </w:rPr>
        <w:footnoteRef/>
      </w:r>
      <w:r>
        <w:t xml:space="preserve"> </w:t>
      </w:r>
      <w:r>
        <w:t xml:space="preserve">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527">
    <w:p>
      <w:pPr>
        <w:pStyle w:val="FootnoteText"/>
      </w:pPr>
      <w:r>
        <w:rPr>
          <w:rStyle w:val="FootnoteReference"/>
        </w:rPr>
        <w:footnoteRef/>
      </w:r>
      <w:r>
        <w:t xml:space="preserve"> </w:t>
      </w:r>
      <w:r>
        <w:t xml:space="preserve">Revisione sistematica sulla robustezza dell’evidenza delle DiGA rimborsabili in Germania (npj Digital Medicine, 2025; DOI 10.1038/s41746-025-01879-6), condotta secondo le linee guida PRISMA 2020.</w:t>
      </w:r>
    </w:p>
  </w:footnote>
  <w:footnote w:id="528">
    <w:p>
      <w:pPr>
        <w:pStyle w:val="FootnoteText"/>
      </w:pPr>
      <w:r>
        <w:rPr>
          <w:rStyle w:val="FootnoteReference"/>
        </w:rPr>
        <w:footnoteRef/>
      </w:r>
      <w:r>
        <w:t xml:space="preserve"> </w:t>
      </w:r>
      <w:r>
        <w:t xml:space="preserve">Analisi 2025: meno del 2% dei dispositivi di IA/ML autorizzati dalla FDA risulta sostenuto da studi clinici randomizzati, e la trasparenza sui dati di addestramento resta limitata; cautela che si estende, sia pure in misura minore, ai dispositivi terapeutici digitali, la cui base di evidenza e disomogenea.</w:t>
      </w:r>
    </w:p>
  </w:footnote>
  <w:footnote w:id="529">
    <w:p>
      <w:pPr>
        <w:pStyle w:val="FootnoteText"/>
      </w:pPr>
      <w:r>
        <w:rPr>
          <w:rStyle w:val="FootnoteReference"/>
        </w:rPr>
        <w:footnoteRef/>
      </w:r>
      <w:r>
        <w:t xml:space="preserve"> </w:t>
      </w:r>
      <w:r>
        <w:t xml:space="preserve">Le DiGA sono certificate come dispositivi medici a basso rischio, prescrivibili da medici e psicoterapeuti o erogabili previa approvazione dell’assicurazione; l’Istituto federale per i farmaci e i dispositivi medici (BfArM) ne valuta l’ammissione al registro, in via temporanea (un anno, in attesa di rivalutazione) o permanente, previa dimostrazione di un effetto positivo sull’assistenza. Oltre 73 milioni di persone in Germania hanno accesso alle DiGA.</w:t>
      </w:r>
    </w:p>
  </w:footnote>
  <w:footnote w:id="530">
    <w:p>
      <w:pPr>
        <w:pStyle w:val="FootnoteText"/>
      </w:pPr>
      <w:r>
        <w:rPr>
          <w:rStyle w:val="FootnoteReference"/>
        </w:rPr>
        <w:footnoteRef/>
      </w:r>
      <w:r>
        <w:t xml:space="preserve"> </w:t>
      </w:r>
      <w:r>
        <w:t xml:space="preserve">NICE, Medical Technologies Guidance MTG70, Sleepio to treat insomnia and insomnia symptoms (2024): Sleepio e raccomandato come opzione per l’insonnia e i sintomi di insonnia nelle cure primarie, in alternativa all’assistenza usuale; le persone non dovrebbero essere indirizzate a Sleepio se sono eleggibili e hanno accesso alla terapia cognitivo-comportamentale per l’insonnia in presenza. La mancanza di un confronto diretto con quest’ultima e indicata come limite dell’evidenza.</w:t>
      </w:r>
    </w:p>
  </w:footnote>
  <w:footnote w:id="531">
    <w:p>
      <w:pPr>
        <w:pStyle w:val="FootnoteText"/>
      </w:pPr>
      <w:r>
        <w:rPr>
          <w:rStyle w:val="FootnoteReference"/>
        </w:rPr>
        <w:footnoteRef/>
      </w:r>
      <w:r>
        <w:t xml:space="preserve"> </w:t>
      </w:r>
      <w:r>
        <w:t xml:space="preserve">Nel novembre 2024 il sistema assicurativo pubblico statunitense ha approvato tre codici di rimborso dedicati ai dispositivi terapeutici digitali; nel settembre 2025 un grande assicuratore privato ha annunciato la copertura dei dispositivi terapeutici digitali autorizzati dalla FDA.</w:t>
      </w:r>
    </w:p>
  </w:footnote>
  <w:footnote w:id="532">
    <w:p>
      <w:pPr>
        <w:pStyle w:val="FootnoteText"/>
      </w:pPr>
      <w:r>
        <w:rPr>
          <w:rStyle w:val="FootnoteReference"/>
        </w:rPr>
        <w:footnoteRef/>
      </w:r>
      <w:r>
        <w:t xml:space="preserve"> </w:t>
      </w:r>
      <w:r>
        <w:t xml:space="preserve">Stime per canale e grandezze regionali sviluppate nel capitolo integrativo della Relazione tecnico-finanziaria sullo Psicologo di Base e nei Capitoli 4-7, a partire dai conti sanitari ufficiali (quota pugliese pari a circa il 6,6% della popolazione italiana; spesa farmaceutica territoriale dell’ordine di 800 milioni e spesa per salute mentale dell’ordine di 270 milioni l’anno).</w:t>
      </w:r>
    </w:p>
  </w:footnote>
  <w:footnote w:id="533">
    <w:p>
      <w:pPr>
        <w:pStyle w:val="FootnoteText"/>
      </w:pPr>
      <w:r>
        <w:rPr>
          <w:rStyle w:val="FootnoteReference"/>
        </w:rPr>
        <w:footnoteRef/>
      </w:r>
      <w:r>
        <w:t xml:space="preserve"> </w:t>
      </w:r>
      <w:r>
        <w:t xml:space="preserve">Bremer et al., citato in PMC12273524 (2025): un trattamento della depressione assistito da machine learning ha prodotto una riduzione marginale degli esiti clinici (1,98%) a fronte di un contenimento dei costi del 5,42%.</w:t>
      </w:r>
    </w:p>
  </w:footnote>
  <w:footnote w:id="534">
    <w:p>
      <w:pPr>
        <w:pStyle w:val="FootnoteText"/>
      </w:pPr>
      <w:r>
        <w:rPr>
          <w:rStyle w:val="FootnoteReference"/>
        </w:rPr>
        <w:footnoteRef/>
      </w:r>
      <w:r>
        <w:t xml:space="preserve"> </w:t>
      </w:r>
      <w:r>
        <w:t xml:space="preserve">El Arab RA, Al Moosa OA. Systematic review of cost-effectiveness and budget impact of artificial intelligence in healthcare. npj Digital Medicine, 2025; DOI 10.1038/s41746-025-01722-y: l’IA e gli interventi digitali riducono i costi prevalentemente attraverso la diminuzione delle procedure e degli accessi non necessari, con rapporti di costo-efficacia al di sotto delle soglie comunemente accettate.</w:t>
      </w:r>
    </w:p>
  </w:footnote>
  <w:footnote w:id="535">
    <w:p>
      <w:pPr>
        <w:pStyle w:val="FootnoteText"/>
      </w:pPr>
      <w:r>
        <w:rPr>
          <w:rStyle w:val="FootnoteReference"/>
        </w:rPr>
        <w:footnoteRef/>
      </w:r>
      <w:r>
        <w:t xml:space="preserve"> </w:t>
      </w:r>
      <w:r>
        <w:t xml:space="preserve">Istituto Superiore di Sanita: corsi di formazione a distanza gratuiti su IA e tecnologie digitali applicate alla clinica, rivolti a tutte le professioni sanitarie; percorsi sperimentali per i medici di famiglia (portale FNOMCeO).</w:t>
      </w:r>
    </w:p>
  </w:footnote>
  <w:footnote w:id="536">
    <w:p>
      <w:pPr>
        <w:pStyle w:val="FootnoteText"/>
      </w:pPr>
      <w:r>
        <w:rPr>
          <w:rStyle w:val="FootnoteReference"/>
        </w:rPr>
        <w:footnoteRef/>
      </w:r>
      <w:r>
        <w:t xml:space="preserve"> </w:t>
      </w:r>
      <w:r>
        <w:t xml:space="preserve">Le diagnosi di esclusione comuni alle DiGA in salute mentale comprendono i disturbi mentali organici, i disturbi psicotici, i disturbi bipolari, i disturbi da uso di sostanze e la presenza di rischio suicidario; elemento che conferma la destinazione ai quadri lievi e moderati e la necessita di un inquadramento clinico preliminare.</w:t>
      </w:r>
    </w:p>
  </w:footnote>
  <w:footnote w:id="537">
    <w:p>
      <w:pPr>
        <w:pStyle w:val="FootnoteText"/>
      </w:pPr>
      <w:r>
        <w:rPr>
          <w:rStyle w:val="FootnoteReference"/>
        </w:rPr>
        <w:footnoteRef/>
      </w:r>
      <w:r>
        <w:t xml:space="preserve"> </w:t>
      </w:r>
      <w:r>
        <w:t xml:space="preserve">Heinz MV, et al. Randomized Trial of a Generative AI Chatbot for Mental Health Treatment (Therabot). NEJM AI, 2025; DOI 10.1056/AIoa2400802: a otto settimane riduzione dei sintomi depressivi del 51%, ansiosi del 31% e delle preoccupazioni alimentari del 19%, con alleanza terapeutica comparabile a quella umana e necessita di supervisione clinica.</w:t>
      </w:r>
    </w:p>
  </w:footnote>
  <w:footnote w:id="538">
    <w:p>
      <w:pPr>
        <w:pStyle w:val="FootnoteText"/>
      </w:pPr>
      <w:r>
        <w:rPr>
          <w:rStyle w:val="FootnoteReference"/>
        </w:rPr>
        <w:footnoteRef/>
      </w:r>
      <w:r>
        <w:t xml:space="preserve"> </w:t>
      </w:r>
      <w:r>
        <w:t xml:space="preserve">Regolamento europeo sull’IA (AI Act), in vigore dall’agosto 2024: i sistemi di IA nei dispositivi medici sono classificati ad alto rischio; la maggior parte degli obblighi decorre dall’agosto 2026, con piena conformita dall’agosto 2027; la guida MDCG 2025-6 chiarisce l’interazione con il Regolamento dispositivi medici. I dispositivi terapeutici digitali che incorporano IA adattiva ricadono in tale perimetro.</w:t>
      </w:r>
    </w:p>
  </w:footnote>
  <w:footnote w:id="539">
    <w:p>
      <w:pPr>
        <w:pStyle w:val="FootnoteText"/>
      </w:pPr>
      <w:r>
        <w:rPr>
          <w:rStyle w:val="FootnoteReference"/>
        </w:rPr>
        <w:footnoteRef/>
      </w:r>
      <w:r>
        <w:t xml:space="preserve"> </w:t>
      </w:r>
      <w:r>
        <w:t xml:space="preserve">Elaborazione interna al progetto «Psicologo di Base» sulla base dei capitoli validati relativi ai risparmi diretti e al saldo economico (Studio sui costi e i benefici del Servizio di Psicologia di Base in Puglia; documento integrato sulla formazione all’Intelligenza Artificiale). I valori del modello base e dello stack complessivo sono ripresi da tali fonti interne, ignorate le grandezze divulgative della fase iniziale non sorrette da evidenza falsificabile.</w:t>
      </w:r>
    </w:p>
  </w:footnote>
  <w:footnote w:id="540">
    <w:p>
      <w:pPr>
        <w:pStyle w:val="FootnoteText"/>
      </w:pPr>
      <w:r>
        <w:rPr>
          <w:rStyle w:val="FootnoteReference"/>
        </w:rPr>
        <w:footnoteRef/>
      </w:r>
      <w:r>
        <w:t xml:space="preserve"> </w:t>
      </w:r>
      <w:r>
        <w:t xml:space="preserve">Unützer J. e collaboratori, sperimentazione IMPACT sull’integrazione della cura della depressione nelle cure primarie: i risparmi sui costi sanitari, pur presenti come tendenza, non raggiungono in più analisi la significatività statistica, con intervalli di confidenza che includono lo zero. Cautela conservata quale criterio di sobrietà dell’intero studio.</w:t>
      </w:r>
    </w:p>
  </w:footnote>
  <w:footnote w:id="541">
    <w:p>
      <w:pPr>
        <w:pStyle w:val="FootnoteText"/>
      </w:pPr>
      <w:r>
        <w:rPr>
          <w:rStyle w:val="FootnoteReference"/>
        </w:rPr>
        <w:footnoteRef/>
      </w:r>
      <w:r>
        <w:t xml:space="preserve"> </w:t>
      </w:r>
      <w:r>
        <w:t xml:space="preserve">Revisione sistematica e meta-analisi sull’accuratezza diagnostica dei modelli linguistici di grandi dimensioni rispetto ai professionisti clinici, JMIR Medical Informatics, 2025 (e64963): alla primavera del 2024 l’autorità statunitense aveva autorizzato diverse centinaia di dispositivi medici basati su intelligenza artificiale o apprendimento automatico; l’autorità cinese aveva approvato un insieme più ristretto di dispositivi diagnostici assistiti.</w:t>
      </w:r>
    </w:p>
  </w:footnote>
  <w:footnote w:id="542">
    <w:p>
      <w:pPr>
        <w:pStyle w:val="FootnoteText"/>
      </w:pPr>
      <w:r>
        <w:rPr>
          <w:rStyle w:val="FootnoteReference"/>
        </w:rPr>
        <w:footnoteRef/>
      </w:r>
      <w:r>
        <w:t xml:space="preserve"> </w:t>
      </w:r>
      <w:r>
        <w:t xml:space="preserve">Revisione sistematica sull’impiego dell’intelligenza artificiale per la diagnosi delle patologie cutanee nelle cure primarie (PRISMA; valutazione del rischio di distorsione con QUADAS-2), PMC 11202856: sensibilità e accuratezza distribuite su intervalli ampi, con forte dipendenza dalla qualità e rappresentatività dei dati di addestramento.</w:t>
      </w:r>
    </w:p>
  </w:footnote>
  <w:footnote w:id="543">
    <w:p>
      <w:pPr>
        <w:pStyle w:val="FootnoteText"/>
      </w:pPr>
      <w:r>
        <w:rPr>
          <w:rStyle w:val="FootnoteReference"/>
        </w:rPr>
        <w:footnoteRef/>
      </w:r>
      <w:r>
        <w:t xml:space="preserve"> </w:t>
      </w:r>
      <w:r>
        <w:t xml:space="preserve">Hunik L. e collaboratori, «Diagnostic Prediction Models for Primary Care, Based on AI and Electronic Health Records: Systematic Review», JMIR Medical Informatics, 2025;13:e62862.</w:t>
      </w:r>
    </w:p>
  </w:footnote>
  <w:footnote w:id="544">
    <w:p>
      <w:pPr>
        <w:pStyle w:val="FootnoteText"/>
      </w:pPr>
      <w:r>
        <w:rPr>
          <w:rStyle w:val="FootnoteReference"/>
        </w:rPr>
        <w:footnoteRef/>
      </w:r>
      <w:r>
        <w:t xml:space="preserve"> </w:t>
      </w:r>
      <w:r>
        <w:t xml:space="preserve">Revisione di portata ampia («scoping review») sull’intelligenza artificiale nelle cure primarie, Journal of Medical Internet Research, 2025;27:e65950: classificazione tematica di decine di studi, con prevalenza di disegni quantitativi orientati all’accuratezza e alla validazione.</w:t>
      </w:r>
    </w:p>
  </w:footnote>
  <w:footnote w:id="545">
    <w:p>
      <w:pPr>
        <w:pStyle w:val="FootnoteText"/>
      </w:pPr>
      <w:r>
        <w:rPr>
          <w:rStyle w:val="FootnoteReference"/>
        </w:rPr>
        <w:footnoteRef/>
      </w:r>
      <w:r>
        <w:t xml:space="preserve"> </w:t>
      </w:r>
      <w:r>
        <w:t xml:space="preserve">Revisione sistematica sull’interpretazione assistita da intelligenza artificiale della risonanza magnetica neonatale, PMC 12359275: riduzione rilevante del tempo di interpretazione mediante reti neurali convoluzionali.</w:t>
      </w:r>
    </w:p>
  </w:footnote>
  <w:footnote w:id="546">
    <w:p>
      <w:pPr>
        <w:pStyle w:val="FootnoteText"/>
      </w:pPr>
      <w:r>
        <w:rPr>
          <w:rStyle w:val="FootnoteReference"/>
        </w:rPr>
        <w:footnoteRef/>
      </w:r>
      <w:r>
        <w:t xml:space="preserve"> </w:t>
      </w:r>
      <w:r>
        <w:t xml:space="preserve">Studio comparativo fra diagnosi assistita da intelligenza artificiale e diagnosi tradizionale nelle cure primarie, Indus Journal of Bioscience Research, 2025;3(9):120–123: maggiore accuratezza, minor tempo alla diagnosi e minor numero di esami a favore dell’approccio assistito. Risultato collocato al livello inferiore della scala di gradazione per disomogeneità metodologica e per riserve sull’affidabilità editoriale della sede.</w:t>
      </w:r>
    </w:p>
  </w:footnote>
  <w:footnote w:id="547">
    <w:p>
      <w:pPr>
        <w:pStyle w:val="FootnoteText"/>
      </w:pPr>
      <w:r>
        <w:rPr>
          <w:rStyle w:val="FootnoteReference"/>
        </w:rPr>
        <w:footnoteRef/>
      </w:r>
      <w:r>
        <w:t xml:space="preserve"> </w:t>
      </w:r>
      <w:r>
        <w:t xml:space="preserve">Hunik L. e collaboratori, «Diagnostic Prediction Models for Primary Care, Based on AI and Electronic Health Records: Systematic Review», JMIR Medical Informatics, 2025;13:e62862.</w:t>
      </w:r>
    </w:p>
  </w:footnote>
  <w:footnote w:id="548">
    <w:p>
      <w:pPr>
        <w:pStyle w:val="FootnoteText"/>
      </w:pPr>
      <w:r>
        <w:rPr>
          <w:rStyle w:val="FootnoteReference"/>
        </w:rPr>
        <w:footnoteRef/>
      </w:r>
      <w:r>
        <w:t xml:space="preserve"> </w:t>
      </w:r>
      <w:r>
        <w:t xml:space="preserve">Studio comparativo fra diagnosi assistita da intelligenza artificiale e diagnosi tradizionale nelle cure primarie, Indus Journal of Bioscience Research, 2025;3(9):120–123: maggiore accuratezza, minor tempo alla diagnosi e minor numero di esami a favore dell’approccio assistito. Risultato collocato al livello inferiore della scala di gradazione per disomogeneità metodologica e per riserve sull’affidabilità editoriale della sede.</w:t>
      </w:r>
    </w:p>
  </w:footnote>
  <w:footnote w:id="549">
    <w:p>
      <w:pPr>
        <w:pStyle w:val="FootnoteText"/>
      </w:pPr>
      <w:r>
        <w:rPr>
          <w:rStyle w:val="FootnoteReference"/>
        </w:rPr>
        <w:footnoteRef/>
      </w:r>
      <w:r>
        <w:t xml:space="preserve"> </w:t>
      </w:r>
      <w:r>
        <w:t xml:space="preserve">Unützer J. e collaboratori, sperimentazione IMPACT sull’integrazione della cura della depressione nelle cure primarie: i risparmi sui costi sanitari, pur presenti come tendenza, non raggiungono in più analisi la significatività statistica, con intervalli di confidenza che includono lo zero. Cautela conservata quale criterio di sobrietà dell’intero studio.</w:t>
      </w:r>
    </w:p>
  </w:footnote>
  <w:footnote w:id="550">
    <w:p>
      <w:pPr>
        <w:pStyle w:val="FootnoteText"/>
      </w:pPr>
      <w:r>
        <w:rPr>
          <w:rStyle w:val="FootnoteReference"/>
        </w:rPr>
        <w:footnoteRef/>
      </w:r>
      <w:r>
        <w:t xml:space="preserve"> </w:t>
      </w:r>
      <w:r>
        <w:t xml:space="preserve">Inquadramento storico e regolatorio delle terapie digitali su prescrizione (prima autorizzazione regolatoria nel 2017; percorso accelerato tedesco dal 2020; iniziative in Francia, Regno Unito, Belgio, Spagna, Giappone, Corea del Sud; progetti italiani dal 2019 e fase strutturata dal 2023), portale DigitalRehab e documenti istituzionali correlati.</w:t>
      </w:r>
    </w:p>
  </w:footnote>
  <w:footnote w:id="551">
    <w:p>
      <w:pPr>
        <w:pStyle w:val="FootnoteText"/>
      </w:pPr>
      <w:r>
        <w:rPr>
          <w:rStyle w:val="FootnoteReference"/>
        </w:rPr>
        <w:footnoteRef/>
      </w:r>
      <w:r>
        <w:t xml:space="preserve"> </w:t>
      </w:r>
      <w:r>
        <w:t xml:space="preserve">Goeldner M., Gehder S., «Digital Health Applications (DiGAs) on a Fast Track: Insights From a Data-Driven Analysis of Prescribable Digital Therapeutics in Germany From 2020 to Mid-2024», Journal of Medical Internet Research, 2024;26:e59013: alla metà del 2024, alcune decine di terapie digitali prescrivibili, in parte iscritte in via definitiva e in parte in via provvisoria, con platea potenziale di decine di milioni di assistiti.</w:t>
      </w:r>
    </w:p>
  </w:footnote>
  <w:footnote w:id="552">
    <w:p>
      <w:pPr>
        <w:pStyle w:val="FootnoteText"/>
      </w:pPr>
      <w:r>
        <w:rPr>
          <w:rStyle w:val="FootnoteReference"/>
        </w:rPr>
        <w:footnoteRef/>
      </w:r>
      <w:r>
        <w:t xml:space="preserve"> </w:t>
      </w:r>
      <w:r>
        <w:t xml:space="preserve">Studio di simulazione multilivello sull’integrazione delle terapie digitali nella riabilitazione professionale in Germania, Journal of Medical Internet Research, 2026 (e93793): a fronte di una spesa per fisioterapia e fisioterapia ambulatoriale estesa dell’ordine di alcune centinaia di milioni di euro nel 2024, risparmio annuo medio dell’ordine di diverse decine di milioni, con elevata probabilità di realizzazione, su simulazione probabilistica a numerosità elevata di iterazioni.</w:t>
      </w:r>
    </w:p>
  </w:footnote>
  <w:footnote w:id="553">
    <w:p>
      <w:pPr>
        <w:pStyle w:val="FootnoteText"/>
      </w:pPr>
      <w:r>
        <w:rPr>
          <w:rStyle w:val="FootnoteReference"/>
        </w:rPr>
        <w:footnoteRef/>
      </w:r>
      <w:r>
        <w:t xml:space="preserve"> </w:t>
      </w:r>
      <w:r>
        <w:t xml:space="preserve">Revisione sistematica sugli effetti sanitari e sulla robustezza dell’evidenza delle terapie digitali rimborsabili in Germania, npj Digital Medicine, 2025: la quasi totalità degli studi di approvazione documentava effetti di grandezza da media a elevata, ma con rischio di distorsione alto, in particolare nella misurazione degli esiti e per dati mancanti; maggioranza degli studi nell’ambito della salute mentale.</w:t>
      </w:r>
    </w:p>
  </w:footnote>
  <w:footnote w:id="554">
    <w:p>
      <w:pPr>
        <w:pStyle w:val="FootnoteText"/>
      </w:pPr>
      <w:r>
        <w:rPr>
          <w:rStyle w:val="FootnoteReference"/>
        </w:rPr>
        <w:footnoteRef/>
      </w:r>
      <w:r>
        <w:t xml:space="preserve"> </w:t>
      </w:r>
      <w:r>
        <w:t xml:space="preserve">Revisione e meta-analisi sulle terapie digitali muscolo-scheletriche e sulla riabilitazione digitale, PMC 12693369: tassi di aderenza superiori nei programmi digitali rispetto a quelli convenzionali; in popolazioni chirurgiche, esiti funzionali equivalenti con tassi di completamento e soddisfazione più elevati.</w:t>
      </w:r>
    </w:p>
  </w:footnote>
  <w:footnote w:id="555">
    <w:p>
      <w:pPr>
        <w:pStyle w:val="FootnoteText"/>
      </w:pPr>
      <w:r>
        <w:rPr>
          <w:rStyle w:val="FootnoteReference"/>
        </w:rPr>
        <w:footnoteRef/>
      </w:r>
      <w:r>
        <w:t xml:space="preserve"> </w:t>
      </w:r>
      <w:r>
        <w:t xml:space="preserve">Revisione e meta-analisi sulle terapie digitali muscolo-scheletriche e sulla riabilitazione digitale, PMC 12693369: tassi di aderenza superiori nei programmi digitali rispetto a quelli convenzionali; in popolazioni chirurgiche, esiti funzionali equivalenti con tassi di completamento e soddisfazione più elevati.</w:t>
      </w:r>
    </w:p>
  </w:footnote>
  <w:footnote w:id="556">
    <w:p>
      <w:pPr>
        <w:pStyle w:val="FootnoteText"/>
      </w:pPr>
      <w:r>
        <w:rPr>
          <w:rStyle w:val="FootnoteReference"/>
        </w:rPr>
        <w:footnoteRef/>
      </w:r>
      <w:r>
        <w:t xml:space="preserve"> </w:t>
      </w:r>
      <w:r>
        <w:t xml:space="preserve">Rassegna sull’utilità clinica delle tecnologie digitali nella malattia di Parkinson, Journal of Neural Transmission, 2025: distinzione regolatoria fra strumenti centrati sul paziente, ricondotti al quadro delle terapie digitali, e strumenti di telemonitoraggio a supporto del professionista, classificati come dispositivi medici.</w:t>
      </w:r>
    </w:p>
  </w:footnote>
  <w:footnote w:id="557">
    <w:p>
      <w:pPr>
        <w:pStyle w:val="FootnoteText"/>
      </w:pPr>
      <w:r>
        <w:rPr>
          <w:rStyle w:val="FootnoteReference"/>
        </w:rPr>
        <w:footnoteRef/>
      </w:r>
      <w:r>
        <w:t xml:space="preserve"> </w:t>
      </w:r>
      <w:r>
        <w:t xml:space="preserve">Studio randomizzato controllato su una piattaforma di intelligenza artificiale a supporto di interventi comportamentali (trascrizione e sintesi della seduta, riscontro sull’aderenza alle pratiche basate sull’evidenza, contributo alla nota di decorso), PMC 10366966 (registrazione NCT05745103): valutazione di fattibilità e accettabilità e analisi degli effetti su depressione e ansia secondo standard CONSORT-AI.</w:t>
      </w:r>
    </w:p>
  </w:footnote>
  <w:footnote w:id="558">
    <w:p>
      <w:pPr>
        <w:pStyle w:val="FootnoteText"/>
      </w:pPr>
      <w:r>
        <w:rPr>
          <w:rStyle w:val="FootnoteReference"/>
        </w:rPr>
        <w:footnoteRef/>
      </w:r>
      <w:r>
        <w:t xml:space="preserve"> </w:t>
      </w:r>
      <w:r>
        <w:t xml:space="preserve">Studi randomizzati controllati su interventi conversazionali per la gestione autoguidata di depressione e ansia, fra cui ScienceDirect S0165032725012029: riduzioni significative dei sintomi e analisi del ruolo degli elementi di interazione nel sostenere l’aderenza.</w:t>
      </w:r>
    </w:p>
  </w:footnote>
  <w:footnote w:id="559">
    <w:p>
      <w:pPr>
        <w:pStyle w:val="FootnoteText"/>
      </w:pPr>
      <w:r>
        <w:rPr>
          <w:rStyle w:val="FootnoteReference"/>
        </w:rPr>
        <w:footnoteRef/>
      </w:r>
      <w:r>
        <w:t xml:space="preserve"> </w:t>
      </w:r>
      <w:r>
        <w:t xml:space="preserve">Revisione sistematica sugli effetti sanitari e sulla robustezza dell’evidenza delle terapie digitali rimborsabili in Germania, npj Digital Medicine, 2025: la quasi totalità degli studi di approvazione documentava effetti di grandezza da media a elevata, ma con rischio di distorsione alto, in particolare nella misurazione degli esiti e per dati mancanti; maggioranza degli studi nell’ambito della salute mentale.</w:t>
      </w:r>
    </w:p>
  </w:footnote>
  <w:footnote w:id="560">
    <w:p>
      <w:pPr>
        <w:pStyle w:val="FootnoteText"/>
      </w:pPr>
      <w:r>
        <w:rPr>
          <w:rStyle w:val="FootnoteReference"/>
        </w:rPr>
        <w:footnoteRef/>
      </w:r>
      <w:r>
        <w:t xml:space="preserve"> </w:t>
      </w:r>
      <w:r>
        <w:t xml:space="preserve">Unützer J. e collaboratori, sperimentazione IMPACT sull’integrazione della cura della depressione nelle cure primarie: i risparmi sui costi sanitari, pur presenti come tendenza, non raggiungono in più analisi la significatività statistica, con intervalli di confidenza che includono lo zero. Cautela conservata quale criterio di sobrietà dell’intero studio.</w:t>
      </w:r>
    </w:p>
  </w:footnote>
  <w:footnote w:id="561">
    <w:p>
      <w:pPr>
        <w:pStyle w:val="FootnoteText"/>
      </w:pPr>
      <w:r>
        <w:rPr>
          <w:rStyle w:val="FootnoteReference"/>
        </w:rPr>
        <w:footnoteRef/>
      </w:r>
      <w:r>
        <w:t xml:space="preserve"> </w:t>
      </w:r>
      <w:r>
        <w:t xml:space="preserve">Studio randomizzato controllato su due strumenti di trascrizione ambientale rispetto alla cura abituale in un ampio sistema sanitario accademico, NEJM AI, 2025 (registrazione NCT06792890; rendicontazione CONSORT-AI): riduzione misurabile del tempo dedicato alla stesura della nota.</w:t>
      </w:r>
    </w:p>
  </w:footnote>
  <w:footnote w:id="562">
    <w:p>
      <w:pPr>
        <w:pStyle w:val="FootnoteText"/>
      </w:pPr>
      <w:r>
        <w:rPr>
          <w:rStyle w:val="FootnoteReference"/>
        </w:rPr>
        <w:footnoteRef/>
      </w:r>
      <w:r>
        <w:t xml:space="preserve"> </w:t>
      </w:r>
      <w:r>
        <w:t xml:space="preserve">Valutazione pragmatica randomizzata sull’impatto della trascrizione ambientale sul carico documentale e sul benessere professionale: riduzione del tempo di documentazione dell’ordine di trenta minuti al giorno per operatore, con successiva estensione della tecnologia all’intera rete e adozione da parte di centinaia di professionisti.</w:t>
      </w:r>
    </w:p>
  </w:footnote>
  <w:footnote w:id="563">
    <w:p>
      <w:pPr>
        <w:pStyle w:val="FootnoteText"/>
      </w:pPr>
      <w:r>
        <w:rPr>
          <w:rStyle w:val="FootnoteReference"/>
        </w:rPr>
        <w:footnoteRef/>
      </w:r>
      <w:r>
        <w:t xml:space="preserve"> </w:t>
      </w:r>
      <w:r>
        <w:t xml:space="preserve">Studio di miglioramento della qualità sull’impiego della trascrizione ambientale in più sistemi sanitari, JAMA Network Open, 2025: riduzione significativa della prevalenza dell’esaurimento professionale dopo circa un mese di impiego; valutazioni in grandi centri accademici con riduzioni assolute consistenti della medesima prevalenza. Studio di implementazione presso Stanford Health Care, Journal of the American Medical Informatics Association, 2025;32(2):375–380.</w:t>
      </w:r>
    </w:p>
  </w:footnote>
  <w:footnote w:id="564">
    <w:p>
      <w:pPr>
        <w:pStyle w:val="FootnoteText"/>
      </w:pPr>
      <w:r>
        <w:rPr>
          <w:rStyle w:val="FootnoteReference"/>
        </w:rPr>
        <w:footnoteRef/>
      </w:r>
      <w:r>
        <w:t xml:space="preserve"> </w:t>
      </w:r>
      <w:r>
        <w:t xml:space="preserve">World Intellectual Property Organization, Patent Landscape Report — Generative Artificial Intelligence, 2024: crescita delle famiglie brevettuali da alcune centinaia all’inizio dell’ultimo decennio a oltre diecimila al termine; incremento ancora più marcato delle pubblicazioni scientifiche; concentrazione dei principali depositanti in poche grandi organizzazioni, prevalentemente dell’area asiatica.</w:t>
      </w:r>
    </w:p>
  </w:footnote>
  <w:footnote w:id="565">
    <w:p>
      <w:pPr>
        <w:pStyle w:val="FootnoteText"/>
      </w:pPr>
      <w:r>
        <w:rPr>
          <w:rStyle w:val="FootnoteReference"/>
        </w:rPr>
        <w:footnoteRef/>
      </w:r>
      <w:r>
        <w:t xml:space="preserve"> </w:t>
      </w:r>
      <w:r>
        <w:t xml:space="preserve">Analisi del panorama brevettuale dell’intelligenza artificiale nel settore biomedico, Frontiers in Artificial Intelligence, 2024;7:1372161: alcune migliaia di brevetti all’intersezione fra intelligenza artificiale e salute, con quota rilevante di domande internazionali; incremento marcato delle domande a contenuto algoritmico da parte dell’industria farmaceutica.</w:t>
      </w:r>
    </w:p>
  </w:footnote>
  <w:footnote w:id="566">
    <w:p>
      <w:pPr>
        <w:pStyle w:val="FootnoteText"/>
      </w:pPr>
      <w:r>
        <w:rPr>
          <w:rStyle w:val="FootnoteReference"/>
        </w:rPr>
        <w:footnoteRef/>
      </w:r>
      <w:r>
        <w:t xml:space="preserve"> </w:t>
      </w:r>
      <w:r>
        <w:t xml:space="preserve">Analisi del panorama brevettuale e di mercato dell’intelligenza artificiale in sanità (Expert Market Research) e rilevazione di settore Microsoft–IDC, 2024: mercato dell’intelligenza artificiale in sanità valutato per il 2024 in alcune decine di miliardi di dollari, con tasso di crescita annuo composto molto elevato; larga maggioranza delle imprese sanitarie già impegnata nell’adozione. Dati di contesto, non di efficacia.</w:t>
      </w:r>
    </w:p>
  </w:footnote>
  <w:footnote w:id="567">
    <w:p>
      <w:pPr>
        <w:pStyle w:val="FootnoteText"/>
      </w:pPr>
      <w:r>
        <w:rPr>
          <w:rStyle w:val="FootnoteReference"/>
        </w:rPr>
        <w:footnoteRef/>
      </w:r>
      <w:r>
        <w:t xml:space="preserve"> </w:t>
      </w:r>
      <w:r>
        <w:t xml:space="preserve">Studio randomizzato controllato su due strumenti di trascrizione ambientale rispetto alla cura abituale in un ampio sistema sanitario accademico, NEJM AI, 2025 (registrazione NCT06792890; rendicontazione CONSORT-AI): riduzione misurabile del tempo dedicato alla stesura della nota.</w:t>
      </w:r>
    </w:p>
  </w:footnote>
  <w:footnote w:id="568">
    <w:p>
      <w:pPr>
        <w:pStyle w:val="FootnoteText"/>
      </w:pPr>
      <w:r>
        <w:rPr>
          <w:rStyle w:val="FootnoteReference"/>
        </w:rPr>
        <w:footnoteRef/>
      </w:r>
      <w:r>
        <w:t xml:space="preserve"> </w:t>
      </w:r>
      <w:r>
        <w:t xml:space="preserve">Valutazione pragmatica randomizzata sull’impatto della trascrizione ambientale sul carico documentale e sul benessere professionale: riduzione del tempo di documentazione dell’ordine di trenta minuti al giorno per operatore, con successiva estensione della tecnologia all’intera rete e adozione da parte di centinaia di professionisti.</w:t>
      </w:r>
    </w:p>
  </w:footnote>
  <w:footnote w:id="569">
    <w:p>
      <w:pPr>
        <w:pStyle w:val="FootnoteText"/>
      </w:pPr>
      <w:r>
        <w:rPr>
          <w:rStyle w:val="FootnoteReference"/>
        </w:rPr>
        <w:footnoteRef/>
      </w:r>
      <w:r>
        <w:t xml:space="preserve"> </w:t>
      </w:r>
      <w:r>
        <w:t xml:space="preserve">Studio randomizzato controllato su una piattaforma di intelligenza artificiale a supporto di interventi comportamentali (trascrizione e sintesi della seduta, riscontro sull’aderenza alle pratiche basate sull’evidenza, contributo alla nota di decorso), PMC 10366966 (registrazione NCT05745103): valutazione di fattibilità e accettabilità e analisi degli effetti su depressione e ansia secondo standard CONSORT-AI.</w:t>
      </w:r>
    </w:p>
  </w:footnote>
  <w:footnote w:id="570">
    <w:p>
      <w:pPr>
        <w:pStyle w:val="FootnoteText"/>
      </w:pPr>
      <w:r>
        <w:rPr>
          <w:rStyle w:val="FootnoteReference"/>
        </w:rPr>
        <w:footnoteRef/>
      </w:r>
      <w:r>
        <w:t xml:space="preserve"> </w:t>
      </w:r>
      <w:r>
        <w:t xml:space="preserve">Studi randomizzati controllati su interventi conversazionali per la gestione autoguidata di depressione e ansia, fra cui ScienceDirect S0165032725012029: riduzioni significative dei sintomi e analisi del ruolo degli elementi di interazione nel sostenere l’aderenza.</w:t>
      </w:r>
    </w:p>
  </w:footnote>
  <w:footnote w:id="571">
    <w:p>
      <w:pPr>
        <w:pStyle w:val="FootnoteText"/>
      </w:pPr>
      <w:r>
        <w:rPr>
          <w:rStyle w:val="FootnoteReference"/>
        </w:rPr>
        <w:footnoteRef/>
      </w:r>
      <w:r>
        <w:t xml:space="preserve"> </w:t>
      </w:r>
      <w:r>
        <w:t xml:space="preserve">Studio di simulazione multilivello sull’integrazione delle terapie digitali nella riabilitazione professionale in Germania, Journal of Medical Internet Research, 2026 (e93793): a fronte di una spesa per fisioterapia e fisioterapia ambulatoriale estesa dell’ordine di alcune centinaia di milioni di euro nel 2024, risparmio annuo medio dell’ordine di diverse decine di milioni, con elevata probabilità di realizzazione, su simulazione probabilistica a numerosità elevata di iterazioni.</w:t>
      </w:r>
    </w:p>
  </w:footnote>
  <w:footnote w:id="572">
    <w:p>
      <w:pPr>
        <w:pStyle w:val="FootnoteText"/>
      </w:pPr>
      <w:r>
        <w:rPr>
          <w:rStyle w:val="FootnoteReference"/>
        </w:rPr>
        <w:footnoteRef/>
      </w:r>
      <w:r>
        <w:t xml:space="preserve"> </w:t>
      </w:r>
      <w:r>
        <w:t xml:space="preserve">Goeldner M., Gehder S., «Digital Health Applications (DiGAs) on a Fast Track: Insights From a Data-Driven Analysis of Prescribable Digital Therapeutics in Germany From 2020 to Mid-2024», Journal of Medical Internet Research, 2024;26:e59013: alla metà del 2024, alcune decine di terapie digitali prescrivibili, in parte iscritte in via definitiva e in parte in via provvisoria, con platea potenziale di decine di milioni di assistiti.</w:t>
      </w:r>
    </w:p>
  </w:footnote>
  <w:footnote w:id="573">
    <w:p>
      <w:pPr>
        <w:pStyle w:val="FootnoteText"/>
      </w:pPr>
      <w:r>
        <w:rPr>
          <w:rStyle w:val="FootnoteReference"/>
        </w:rPr>
        <w:footnoteRef/>
      </w:r>
      <w:r>
        <w:t xml:space="preserve"> </w:t>
      </w:r>
      <w:r>
        <w:t xml:space="preserve">Revisione sistematica sugli effetti sanitari e sulla robustezza dell’evidenza delle terapie digitali rimborsabili in Germania, npj Digital Medicine, 2025: la quasi totalità degli studi di approvazione documentava effetti di grandezza da media a elevata, ma con rischio di distorsione alto, in particolare nella misurazione degli esiti e per dati mancanti; maggioranza degli studi nell’ambito della salute mentale.</w:t>
      </w:r>
    </w:p>
  </w:footnote>
  <w:footnote w:id="574">
    <w:p>
      <w:pPr>
        <w:pStyle w:val="FootnoteText"/>
      </w:pPr>
      <w:r>
        <w:rPr>
          <w:rStyle w:val="FootnoteReference"/>
        </w:rPr>
        <w:footnoteRef/>
      </w:r>
      <w:r>
        <w:t xml:space="preserve"> </w:t>
      </w:r>
      <w:r>
        <w:t xml:space="preserve">Elaborazione interna al progetto «Psicologo di Base» sulla base dei capitoli validati relativi ai risparmi diretti e al saldo economico (Studio sui costi e i benefici del Servizio di Psicologia di Base in Puglia; documento integrato sulla formazione all’Intelligenza Artificiale). I valori del modello base e dello stack complessivo sono ripresi da tali fonti interne, ignorate le grandezze divulgative della fase iniziale non sorrette da evidenza falsificabile.</w:t>
      </w:r>
    </w:p>
  </w:footnote>
  <w:footnote w:id="575">
    <w:p>
      <w:pPr>
        <w:pStyle w:val="FootnoteText"/>
      </w:pPr>
      <w:r>
        <w:rPr>
          <w:rStyle w:val="FootnoteReference"/>
        </w:rPr>
        <w:footnoteRef/>
      </w:r>
      <w:r>
        <w:t xml:space="preserve"> </w:t>
      </w:r>
      <w:r>
        <w:t xml:space="preserve">Chisholm D. e collaboratori, Lancet Psychiatry, 2016: rapporti fra benefici e costi per i programmi di trattamento dei disturbi mentali comuni collocati in intervalli contenuti, distinti a seconda che si considerino i soli benefici economici ovvero anche i ritorni di salute. Riferimento adottato per la sobrietà delle bande.</w:t>
      </w:r>
    </w:p>
  </w:footnote>
  <w:footnote w:id="576">
    <w:p>
      <w:pPr>
        <w:pStyle w:val="FootnoteText"/>
      </w:pPr>
      <w:r>
        <w:rPr>
          <w:rStyle w:val="FootnoteReference"/>
        </w:rPr>
        <w:footnoteRef/>
      </w:r>
      <w:r>
        <w:t xml:space="preserve"> </w:t>
      </w:r>
      <w:r>
        <w:t xml:space="preserve">Elaborazione interna al progetto «Psicologo di Base» sulla base dei capitoli validati relativi ai risparmi diretti e al saldo economico (Studio sui costi e i benefici del Servizio di Psicologia di Base in Puglia; documento integrato sulla formazione all’Intelligenza Artificiale). I valori del modello base e dello stack complessivo sono ripresi da tali fonti interne, ignorate le grandezze divulgative della fase iniziale non sorrette da evidenza falsificabile.</w:t>
      </w:r>
    </w:p>
  </w:footnote>
  <w:footnote w:id="577">
    <w:p>
      <w:pPr>
        <w:pStyle w:val="FootnoteText"/>
      </w:pPr>
      <w:r>
        <w:rPr>
          <w:rStyle w:val="FootnoteReference"/>
        </w:rPr>
        <w:footnoteRef/>
      </w:r>
      <w:r>
        <w:t xml:space="preserve"> </w:t>
      </w:r>
      <w:r>
        <w:t xml:space="preserve">Revisione sistematica sugli effetti sanitari e sulla robustezza dell’evidenza delle terapie digitali rimborsabili in Germania, npj Digital Medicine, 2025: la quasi totalità degli studi di approvazione documentava effetti di grandezza da media a elevata, ma con rischio di distorsione alto, in particolare nella misurazione degli esiti e per dati mancanti; maggioranza degli studi nell’ambito della salute mentale.</w:t>
      </w:r>
    </w:p>
  </w:footnote>
  <w:footnote w:id="578">
    <w:p>
      <w:pPr>
        <w:pStyle w:val="FootnoteText"/>
      </w:pPr>
      <w:r>
        <w:rPr>
          <w:rStyle w:val="FootnoteReference"/>
        </w:rPr>
        <w:footnoteRef/>
      </w:r>
      <w:r>
        <w:t xml:space="preserve"> </w:t>
      </w:r>
      <w:r>
        <w:t xml:space="preserve">Studio di miglioramento della qualità sull’impiego della trascrizione ambientale in più sistemi sanitari, JAMA Network Open, 2025: riduzione significativa della prevalenza dell’esaurimento professionale dopo circa un mese di impiego; valutazioni in grandi centri accademici con riduzioni assolute consistenti della medesima prevalenza. Studio di implementazione presso Stanford Health Care, Journal of the American Medical Informatics Association, 2025;32(2):375–380.</w:t>
      </w:r>
    </w:p>
  </w:footnote>
  <w:footnote w:id="579">
    <w:p>
      <w:pPr>
        <w:pStyle w:val="FootnoteText"/>
      </w:pPr>
      <w:r>
        <w:rPr>
          <w:rStyle w:val="FootnoteReference"/>
        </w:rPr>
        <w:footnoteRef/>
      </w:r>
      <w:r>
        <w:t xml:space="preserve"> </w:t>
      </w:r>
      <w:r>
        <w:t xml:space="preserve">Parametri invarianti del modello di Markov adottato nello studio: beneficio per paziente e guadagno in anni di vita ponderati per la qualità su valori contenuti ma positivi; quota prevalente di simulazioni costo-efficaci e dominanti; beneficio netto medio con intervallo di confidenza che attraversa lo zero, a indicare la possibilità di esiti non favorevoli.</w:t>
      </w:r>
    </w:p>
  </w:footnote>
  <w:footnote w:id="580">
    <w:p>
      <w:pPr>
        <w:pStyle w:val="FootnoteText"/>
      </w:pPr>
      <w:r>
        <w:rPr>
          <w:rStyle w:val="FootnoteReference"/>
        </w:rPr>
        <w:footnoteRef/>
      </w:r>
      <w:r>
        <w:t xml:space="preserve"> </w:t>
      </w:r>
      <w:r>
        <w:t xml:space="preserve">I numeri richiamati nel presente studio sono coerenti con quelli stabiliti nel modello costi-benefici e di impatto di bilancio della riforma nella sua configurazione integrata, di cui questo lavoro costituisce la giustificazione evidenziale e l’approfondimento.</w:t>
      </w:r>
    </w:p>
  </w:footnote>
  <w:footnote w:id="581">
    <w:p>
      <w:pPr>
        <w:pStyle w:val="FootnoteText"/>
      </w:pPr>
      <w:r>
        <w:rPr>
          <w:rStyle w:val="FootnoteReference"/>
        </w:rPr>
        <w:footnoteRef/>
      </w:r>
      <w:r>
        <w:t xml:space="preserve"> </w:t>
      </w:r>
      <w:r>
        <w:t xml:space="preserve">La banda prudenziale del rapporto benefici-costi adottata nell’intero progetto è coerente con il ritorno degli interventi di salute mentale nelle cure primarie documentato dalla letteratura economica internazionale, che la stima coordinata da Chisholm per l’Organizzazione Mondiale della Sanità colloca, sui soli benefici economici, in un intervallo dell’ordine di 2,3-3,0 a 1, e che sale a 3,3-5,7 a 1 includendo il valore della salute prodotta; il riferimento divulgativo al rapporto di 4 a 1 va inteso entro questi limiti.</w:t>
      </w:r>
    </w:p>
  </w:footnote>
  <w:footnote w:id="582">
    <w:p>
      <w:pPr>
        <w:pStyle w:val="FootnoteText"/>
      </w:pPr>
      <w:r>
        <w:rPr>
          <w:rStyle w:val="FootnoteReference"/>
        </w:rPr>
        <w:footnoteRef/>
      </w:r>
      <w:r>
        <w:t xml:space="preserve"> </w:t>
      </w:r>
      <w:r>
        <w:t xml:space="preserve">Rabie Adel El Arab e Omayma Abdulaziz Al Moosa, revisione sistematica della costo-efficacia e dell’impatto di bilancio dell’Intelligenza Artificiale in sanità, npj Digital Medicine, 2025; per lo screening teleoftalmologico della retinopatia diabetica si veda l’analisi economica modellistica del programma nazionale ivi richiamata.</w:t>
      </w:r>
    </w:p>
  </w:footnote>
  <w:footnote w:id="583">
    <w:p>
      <w:pPr>
        <w:pStyle w:val="FootnoteText"/>
      </w:pPr>
      <w:r>
        <w:rPr>
          <w:rStyle w:val="FootnoteReference"/>
        </w:rPr>
        <w:footnoteRef/>
      </w:r>
      <w:r>
        <w:t xml:space="preserve"> </w:t>
      </w:r>
      <w:r>
        <w:t xml:space="preserve">Rassegna sistematica delle analisi di costo-efficacia dell’Intelligenza Artificiale in sanità presentata in ambito di ricerca sui risultati di salute (Teali e collaboratori, 2026), che documenta dominanza in diciotto studi su trentaquattro e segnala le lacune di rendicontazione relative all’evoluzione dell’algoritmo nel tempo e alle differenze fra popolazioni di addestramento e di impiego.</w:t>
      </w:r>
    </w:p>
  </w:footnote>
  <w:footnote w:id="584">
    <w:p>
      <w:pPr>
        <w:pStyle w:val="FootnoteText"/>
      </w:pPr>
      <w:r>
        <w:rPr>
          <w:rStyle w:val="FootnoteReference"/>
        </w:rPr>
        <w:footnoteRef/>
      </w:r>
      <w:r>
        <w:t xml:space="preserve"> </w:t>
      </w:r>
      <w:r>
        <w:t xml:space="preserve">Rassegna sistematica delle analisi di costo-efficacia dell’Intelligenza Artificiale in sanità presentata in ambito di ricerca sui risultati di salute (Teali e collaboratori, 2026), che documenta dominanza in diciotto studi su trentaquattro e segnala le lacune di rendicontazione relative all’evoluzione dell’algoritmo nel tempo e alle differenze fra popolazioni di addestramento e di impiego.</w:t>
      </w:r>
    </w:p>
  </w:footnote>
  <w:footnote w:id="585">
    <w:p>
      <w:pPr>
        <w:pStyle w:val="FootnoteText"/>
      </w:pPr>
      <w:r>
        <w:rPr>
          <w:rStyle w:val="FootnoteReference"/>
        </w:rPr>
        <w:footnoteRef/>
      </w:r>
      <w:r>
        <w:t xml:space="preserve"> </w:t>
      </w:r>
      <w:r>
        <w:t xml:space="preserve">Rassegna sistematica della qualità metodologica delle valutazioni economiche complete delle tecnologie di Intelligenza Artificiale in sanità, BMC Digital Health, 2024.</w:t>
      </w:r>
    </w:p>
  </w:footnote>
  <w:footnote w:id="586">
    <w:p>
      <w:pPr>
        <w:pStyle w:val="FootnoteText"/>
      </w:pPr>
      <w:r>
        <w:rPr>
          <w:rStyle w:val="FootnoteReference"/>
        </w:rPr>
        <w:footnoteRef/>
      </w:r>
      <w:r>
        <w:t xml:space="preserve"> </w:t>
      </w:r>
      <w:r>
        <w:t xml:space="preserve">Rabie Adel El Arab e Omayma Abdulaziz Al Moosa, revisione sistematica della costo-efficacia e dell’impatto di bilancio dell’Intelligenza Artificiale in sanità, npj Digital Medicine, 2025; per lo screening teleoftalmologico della retinopatia diabetica si veda l’analisi economica modellistica del programma nazionale ivi richiamata.</w:t>
      </w:r>
    </w:p>
  </w:footnote>
  <w:footnote w:id="587">
    <w:p>
      <w:pPr>
        <w:pStyle w:val="FootnoteText"/>
      </w:pPr>
      <w:r>
        <w:rPr>
          <w:rStyle w:val="FootnoteReference"/>
        </w:rPr>
        <w:footnoteRef/>
      </w:r>
      <w:r>
        <w:t xml:space="preserve"> </w:t>
      </w:r>
      <w:r>
        <w:t xml:space="preserve">Rassegna sistematica delle analisi di costo-efficacia dell’Intelligenza Artificiale in sanità presentata in ambito di ricerca sui risultati di salute (Teali e collaboratori, 2026), che documenta dominanza in diciotto studi su trentaquattro e segnala le lacune di rendicontazione relative all’evoluzione dell’algoritmo nel tempo e alle differenze fra popolazioni di addestramento e di impiego.</w:t>
      </w:r>
    </w:p>
  </w:footnote>
  <w:footnote w:id="588">
    <w:p>
      <w:pPr>
        <w:pStyle w:val="FootnoteText"/>
      </w:pPr>
      <w:r>
        <w:rPr>
          <w:rStyle w:val="FootnoteReference"/>
        </w:rPr>
        <w:footnoteRef/>
      </w:r>
      <w:r>
        <w:t xml:space="preserve"> </w:t>
      </w:r>
      <w:r>
        <w:t xml:space="preserve">Derek Richards e collaboratori, studio clinico randomizzato pragmatico di efficacia e costo-efficacia della terapia cognitivo-comportamentale erogata per via digitale entro un programma di accesso alle terapie psicologiche, npj Digital Medicine, 2020.</w:t>
      </w:r>
    </w:p>
  </w:footnote>
  <w:footnote w:id="589">
    <w:p>
      <w:pPr>
        <w:pStyle w:val="FootnoteText"/>
      </w:pPr>
      <w:r>
        <w:rPr>
          <w:rStyle w:val="FootnoteReference"/>
        </w:rPr>
        <w:footnoteRef/>
      </w:r>
      <w:r>
        <w:t xml:space="preserve"> </w:t>
      </w:r>
      <w:r>
        <w:t xml:space="preserve">Studi clinici randomizzati controllati su dispositivi digitali terapeutici per i disturbi d’ansia e depressivi pubblicati fra il 2021 e il 2025 su riviste sottoposte a revisione paritaria, che documentano riduzioni clinicamente significative della sintomatologia con dimensioni dell’effetto di entità moderata.</w:t>
      </w:r>
    </w:p>
  </w:footnote>
  <w:footnote w:id="590">
    <w:p>
      <w:pPr>
        <w:pStyle w:val="FootnoteText"/>
      </w:pPr>
      <w:r>
        <w:rPr>
          <w:rStyle w:val="FootnoteReference"/>
        </w:rPr>
        <w:footnoteRef/>
      </w:r>
      <w:r>
        <w:t xml:space="preserve"> </w:t>
      </w:r>
      <w:r>
        <w:t xml:space="preserve">Studio clinico randomizzato multicentrico di non inferiorità sulla teleriabilitazione cognitiva autoguidata personalizzata mediante Intelligenza Artificiale in pazienti con esiti di ictus, 2025.</w:t>
      </w:r>
    </w:p>
  </w:footnote>
  <w:footnote w:id="591">
    <w:p>
      <w:pPr>
        <w:pStyle w:val="FootnoteText"/>
      </w:pPr>
      <w:r>
        <w:rPr>
          <w:rStyle w:val="FootnoteReference"/>
        </w:rPr>
        <w:footnoteRef/>
      </w:r>
      <w:r>
        <w:t xml:space="preserve"> </w:t>
      </w:r>
      <w:r>
        <w:t xml:space="preserve">Rassegna sistematica sulle tecnologie riabilitative digitali e intelligenti nelle patologie neurologiche e rassegna sull’efficacia clinica, sulla prestazione reale, sulla sicurezza e sull’equità dell’Intelligenza Artificiale in riabilitazione, 2026, che segnalano la riduzione della superiorità tecnologica a parità di esposizione e con valutatori in cieco.</w:t>
      </w:r>
    </w:p>
  </w:footnote>
  <w:footnote w:id="592">
    <w:p>
      <w:pPr>
        <w:pStyle w:val="FootnoteText"/>
      </w:pPr>
      <w:r>
        <w:rPr>
          <w:rStyle w:val="FootnoteReference"/>
        </w:rPr>
        <w:footnoteRef/>
      </w:r>
      <w:r>
        <w:t xml:space="preserve"> </w:t>
      </w:r>
      <w:r>
        <w:t xml:space="preserve">Rassegna sistematica sulle tecnologie riabilitative digitali e intelligenti nelle patologie neurologiche e rassegna sull’efficacia clinica, sulla prestazione reale, sulla sicurezza e sull’equità dell’Intelligenza Artificiale in riabilitazione, 2026, che segnalano la riduzione della superiorità tecnologica a parità di esposizione e con valutatori in cieco.</w:t>
      </w:r>
    </w:p>
  </w:footnote>
  <w:footnote w:id="593">
    <w:p>
      <w:pPr>
        <w:pStyle w:val="FootnoteText"/>
      </w:pPr>
      <w:r>
        <w:rPr>
          <w:rStyle w:val="FootnoteReference"/>
        </w:rPr>
        <w:footnoteRef/>
      </w:r>
      <w:r>
        <w:t xml:space="preserve"> </w:t>
      </w:r>
      <w:r>
        <w:t xml:space="preserve">Rassegne sistematiche sulla caratterizzazione fenotipica digitale per la rilevazione delle ricadute in salute mentale (Journal of Medical Internet Research, 2023; BMC Psychiatry, 2026) e rassegna sull’evoluzione della salute mentale digitale, che documentano risultati pilota con replicazione per i disturbi dell’umore e dello spettro schizofrenico e segnalano, per alcune applicazioni di monitoraggio, un possibile incremento del rischio sintomatico.</w:t>
      </w:r>
    </w:p>
  </w:footnote>
  <w:footnote w:id="594">
    <w:p>
      <w:pPr>
        <w:pStyle w:val="FootnoteText"/>
      </w:pPr>
      <w:r>
        <w:rPr>
          <w:rStyle w:val="FootnoteReference"/>
        </w:rPr>
        <w:footnoteRef/>
      </w:r>
      <w:r>
        <w:t xml:space="preserve"> </w:t>
      </w:r>
      <w:r>
        <w:t xml:space="preserve">Rassegne sistematiche sulla caratterizzazione fenotipica digitale per la rilevazione delle ricadute in salute mentale (Journal of Medical Internet Research, 2023; BMC Psychiatry, 2026) e rassegna sull’evoluzione della salute mentale digitale, che documentano risultati pilota con replicazione per i disturbi dell’umore e dello spettro schizofrenico e segnalano, per alcune applicazioni di monitoraggio, un possibile incremento del rischio sintomatico.</w:t>
      </w:r>
    </w:p>
  </w:footnote>
  <w:footnote w:id="595">
    <w:p>
      <w:pPr>
        <w:pStyle w:val="FootnoteText"/>
      </w:pPr>
      <w:r>
        <w:rPr>
          <w:rStyle w:val="FootnoteReference"/>
        </w:rPr>
        <w:footnoteRef/>
      </w:r>
      <w:r>
        <w:t xml:space="preserve"> </w:t>
      </w:r>
      <w:r>
        <w:t xml:space="preserve">I tre ambiti della sperimentazione nazionale della piattaforma di Intelligenza Artificiale a supporto dell’assistenza primaria — inquadramento diagnostico di base, gestione della cronicità, prevenzione e promozione della salute — sono definiti nel quadro della Missione 6 del Piano nazionale di ripresa e resilienza e dell’accordo che ne ha avviato la sperimentazione su scala nazionale, con la titolarità della piattaforma e degli algoritmi attribuita all’Agenzia nazionale per i servizi sanitari regionali.</w:t>
      </w:r>
    </w:p>
  </w:footnote>
  <w:footnote w:id="596">
    <w:p>
      <w:pPr>
        <w:pStyle w:val="FootnoteText"/>
      </w:pPr>
      <w:r>
        <w:rPr>
          <w:rStyle w:val="FootnoteReference"/>
        </w:rPr>
        <w:footnoteRef/>
      </w:r>
      <w:r>
        <w:t xml:space="preserve"> </w:t>
      </w:r>
      <w:r>
        <w:t xml:space="preserve">Le percezioni dei medici di medicina generale sulla piattaforma di Intelligenza Artificiale per l’assistenza primaria sono rilevate nel rapporto annuale sull’assistenza sanitaria curato dall’Università Bocconi, edizione 2025, che documenta l’attesa di un miglioramento dell’appropriatezza e di un recupero di spazio clinico oggi eroso dai compiti burocratici e dal carico dei pazienti cronici.</w:t>
      </w:r>
    </w:p>
  </w:footnote>
  <w:footnote w:id="597">
    <w:p>
      <w:pPr>
        <w:pStyle w:val="FootnoteText"/>
      </w:pPr>
      <w:r>
        <w:rPr>
          <w:rStyle w:val="FootnoteReference"/>
        </w:rPr>
        <w:footnoteRef/>
      </w:r>
      <w:r>
        <w:t xml:space="preserve"> </w:t>
      </w:r>
      <w:r>
        <w:t xml:space="preserve">Richards D. e collaboratori, studio randomizzato pragmatico sull’efficacia e la costo-efficacia degli interventi digitali per la depressione e l’ansia integrati in un servizio pubblico di psicologia delle cure primarie a intensità crescente, npj Digital Medicine, 2020.</w:t>
      </w:r>
    </w:p>
  </w:footnote>
  <w:footnote w:id="598">
    <w:p>
      <w:pPr>
        <w:pStyle w:val="FootnoteText"/>
      </w:pPr>
      <w:r>
        <w:rPr>
          <w:rStyle w:val="FootnoteReference"/>
        </w:rPr>
        <w:footnoteRef/>
      </w:r>
      <w:r>
        <w:t xml:space="preserve"> </w:t>
      </w:r>
      <w:r>
        <w:t xml:space="preserve">Sperimentazione clinica randomizzata su strumenti di trascrizione clinica ambientale, 2024-2025, con riduzione del tempo di documentazione dell’ordine di trenta minuti al giorno per professionista e diminuzione degli indicatori di esaurimento professionale.</w:t>
      </w:r>
    </w:p>
  </w:footnote>
  <w:footnote w:id="599">
    <w:p>
      <w:pPr>
        <w:pStyle w:val="FootnoteText"/>
      </w:pPr>
      <w:r>
        <w:rPr>
          <w:rStyle w:val="FootnoteReference"/>
        </w:rPr>
        <w:footnoteRef/>
      </w:r>
      <w:r>
        <w:t xml:space="preserve"> </w:t>
      </w:r>
      <w:r>
        <w:t xml:space="preserve">Per la non inferiorità delle modalità a distanza e per le forme di sostegno al mantenimento si rinvia alle meta-analisi e alle rassegne richiamate nella Parte II; per le applicazioni predittive avanzate, alla rassegna sistematica sulla caratterizzazione fenotipica digitale per la rilevazione delle ricadute, BMC Psychiatry, 2026, che ne segnala il carattere ancora prevalentemente preliminare.</w:t>
      </w:r>
    </w:p>
  </w:footnote>
  <w:footnote w:id="600">
    <w:p>
      <w:pPr>
        <w:pStyle w:val="FootnoteText"/>
      </w:pPr>
      <w:r>
        <w:rPr>
          <w:rStyle w:val="FootnoteReference"/>
        </w:rPr>
        <w:footnoteRef/>
      </w:r>
      <w:r>
        <w:t xml:space="preserve"> </w:t>
      </w:r>
      <w:r>
        <w:t xml:space="preserve">Benjamens S., Dhunnoo P., Görög M., Meskó B., Forecasting Artificial Intelligence Trends in Health Care: Systematic International Patent Analysis, Journal of Medical Internet Research, 2023, che individua fra i maggiori detentori di brevetti un operatore cinese della gestione sanitaria, grandi produttori di tecnologia per immagini e imprese informatiche, e segnala cardiologia, radiologia e oncologia quali specialità a maggiore impatto.</w:t>
      </w:r>
    </w:p>
  </w:footnote>
  <w:footnote w:id="601">
    <w:p>
      <w:pPr>
        <w:pStyle w:val="FootnoteText"/>
      </w:pPr>
      <w:r>
        <w:rPr>
          <w:rStyle w:val="FootnoteReference"/>
        </w:rPr>
        <w:footnoteRef/>
      </w:r>
      <w:r>
        <w:t xml:space="preserve"> </w:t>
      </w:r>
      <w:r>
        <w:t xml:space="preserve">Rassegna sull’evoluzione del quadro della proprietà intellettuale per le innovazioni fondate sull’Intelligenza Artificiale nel settore biomedico, 2024, che riporta l’esito dell’interrogazione delle collezioni brevettuali internazionali e l’incremento dei depositi brevettuali nella ricerca farmaceutica; la posizione di guida della Cina è documentata dalle fonti ivi richiamate.</w:t>
      </w:r>
    </w:p>
  </w:footnote>
  <w:footnote w:id="602">
    <w:p>
      <w:pPr>
        <w:pStyle w:val="FootnoteText"/>
      </w:pPr>
      <w:r>
        <w:rPr>
          <w:rStyle w:val="FootnoteReference"/>
        </w:rPr>
        <w:footnoteRef/>
      </w:r>
      <w:r>
        <w:t xml:space="preserve"> </w:t>
      </w:r>
      <w:r>
        <w:t xml:space="preserve">Dati ufficiali dell’autorità regolatoria statunitense sui dispositivi medici fondati sull’Intelligenza Artificiale e sull’apprendimento automatico, aggiornati alla fine del 2025: oltre millequattrocentocinquanta dispositivi autorizzati dal 1995, con la radiologia a rappresentare circa il settantasei per cento del totale.</w:t>
      </w:r>
    </w:p>
  </w:footnote>
  <w:footnote w:id="603">
    <w:p>
      <w:pPr>
        <w:pStyle w:val="FootnoteText"/>
      </w:pPr>
      <w:r>
        <w:rPr>
          <w:rStyle w:val="FootnoteReference"/>
        </w:rPr>
        <w:footnoteRef/>
      </w:r>
      <w:r>
        <w:t xml:space="preserve"> </w:t>
      </w:r>
      <w:r>
        <w:t xml:space="preserve">How AI is used in FDA-authorized medical devices: a taxonomy across 1,016 authorizations, npj Digital Medicine, 2025: l’analisi quantitativa delle immagini resta l’applicazione più frequente, in proporzione relativa decrescente; oltre un centinaio di dispositivi per la generazione di dati; nessuno, alla data dell’analisi, fondato su modelli linguistici di grandi dimensioni.</w:t>
      </w:r>
    </w:p>
  </w:footnote>
  <w:footnote w:id="604">
    <w:p>
      <w:pPr>
        <w:pStyle w:val="FootnoteText"/>
      </w:pPr>
      <w:r>
        <w:rPr>
          <w:rStyle w:val="FootnoteReference"/>
        </w:rPr>
        <w:footnoteRef/>
      </w:r>
      <w:r>
        <w:t xml:space="preserve"> </w:t>
      </w:r>
      <w:r>
        <w:t xml:space="preserve">Richards D. e collaboratori, npj Digital Medicine, 2020, sull’efficacia e la costo-efficacia della terapia cognitivo-comportamentale digitale integrata nel programma britannico di accesso alle terapie psicologiche, organizzato per intensità crescente.</w:t>
      </w:r>
    </w:p>
  </w:footnote>
  <w:footnote w:id="605">
    <w:p>
      <w:pPr>
        <w:pStyle w:val="FootnoteText"/>
      </w:pPr>
      <w:r>
        <w:rPr>
          <w:rStyle w:val="FootnoteReference"/>
        </w:rPr>
        <w:footnoteRef/>
      </w:r>
      <w:r>
        <w:t xml:space="preserve"> </w:t>
      </w:r>
      <w:r>
        <w:t xml:space="preserve">Studi sull’adozione su scala reale degli strumenti di trascrizione clinica ambientale, fra cui la valutazione multicentrica su sei sistemi sanitari e l’estensione dell’impiego a diverse centinaia di professionisti a seguito della validazione sperimentale, 2024-2025.</w:t>
      </w:r>
    </w:p>
  </w:footnote>
  <w:footnote w:id="606">
    <w:p>
      <w:pPr>
        <w:pStyle w:val="FootnoteText"/>
      </w:pPr>
      <w:r>
        <w:rPr>
          <w:rStyle w:val="FootnoteReference"/>
        </w:rPr>
        <w:footnoteRef/>
      </w:r>
      <w:r>
        <w:t xml:space="preserve"> </w:t>
      </w:r>
      <w:r>
        <w:t xml:space="preserve">Quadro della sperimentazione nazionale della piattaforma di Intelligenza Artificiale a supporto dell’assistenza primaria, avviata nell’ambito della Missione 6 del Piano nazionale di ripresa e resilienza, con titolarità attribuita all’Agenzia nazionale per i servizi sanitari regionali, coinvolgimento di un numero di medici di medicina generale dell’ordine di millecinquecento e previsione di una formazione iniziale e continua.</w:t>
      </w:r>
    </w:p>
  </w:footnote>
  <w:footnote w:id="607">
    <w:p>
      <w:pPr>
        <w:pStyle w:val="FootnoteText"/>
      </w:pPr>
      <w:r>
        <w:rPr>
          <w:rStyle w:val="FootnoteReference"/>
        </w:rPr>
        <w:footnoteRef/>
      </w:r>
      <w:r>
        <w:t xml:space="preserve"> </w:t>
      </w:r>
      <w:r>
        <w:t xml:space="preserve">Regolamento (UE) 2024/1689 del Parlamento europeo e del Consiglio (Regolamento sull’Intelligenza Artificiale), in vigore dall’agosto 2024, che adotta un approccio fondato sul rischio e classifica i sistemi in quattro categorie: rischio inaccettabile (vietati), alto rischio (obblighi rigorosi), rischio limitato (trasparenza), rischio minimo (non regolamentati). I dispositivi medici basati su Intelligenza Artificiale e i software di supporto alla decisione clinica ricadono in larga parte fra i sistemi ad alto rischio.</w:t>
      </w:r>
    </w:p>
  </w:footnote>
  <w:footnote w:id="608">
    <w:p>
      <w:pPr>
        <w:pStyle w:val="FootnoteText"/>
      </w:pPr>
      <w:r>
        <w:rPr>
          <w:rStyle w:val="FootnoteReference"/>
        </w:rPr>
        <w:footnoteRef/>
      </w:r>
      <w:r>
        <w:t xml:space="preserve"> </w:t>
      </w:r>
      <w:r>
        <w:t xml:space="preserve">Sull’applicazione complementare del Regolamento sull’Intelligenza Artificiale e della disciplina europea dei dispositivi medici (Regolamenti UE 2017/745 e 2017/746), sulla facoltà di integrare la documentazione e sulla procedura di valutazione di conformità si vedano gli orientamenti dell’Artificial Intelligence Board e del gruppo di coordinamento sui dispositivi medici; il Regolamento prevede l’emanazione di orientamenti applicativi e di un elenco dei casi d’uso ad alto rischio e non ad alto rischio entro il 2026.</w:t>
      </w:r>
    </w:p>
  </w:footnote>
  <w:footnote w:id="609">
    <w:p>
      <w:pPr>
        <w:pStyle w:val="FootnoteText"/>
      </w:pPr>
      <w:r>
        <w:rPr>
          <w:rStyle w:val="FootnoteReference"/>
        </w:rPr>
        <w:footnoteRef/>
      </w:r>
      <w:r>
        <w:t xml:space="preserve"> </w:t>
      </w:r>
      <w:r>
        <w:t xml:space="preserve">Legge nazionale in materia di Intelligenza Artificiale, che istituisce la piattaforma di Intelligenza Artificiale a supporto delle finalità di cura nell’assistenza territoriale, ne attribuisce la titolarità all’Agenzia nazionale per i servizi sanitari regionali e ne stabilisce la natura non vincolante dei suggerimenti per professionisti e medici; la sperimentazione è avviata nell’ambito della Missione 6 del Piano nazionale di ripresa e resilienza.</w:t>
      </w:r>
    </w:p>
  </w:footnote>
  <w:footnote w:id="610">
    <w:p>
      <w:pPr>
        <w:pStyle w:val="FootnoteText"/>
      </w:pPr>
      <w:r>
        <w:rPr>
          <w:rStyle w:val="FootnoteReference"/>
        </w:rPr>
        <w:footnoteRef/>
      </w:r>
      <w:r>
        <w:t xml:space="preserve"> </w:t>
      </w:r>
      <w:r>
        <w:t xml:space="preserve">Documento dell’autorità garante per la protezione dei dati personali sui principi cardine per l’impiego di sistemi di Intelligenza Artificiale in ambito sanitario, fra cui la conoscibilità, la non esclusività della decisione algoritmica e la non discriminazione, in coordinamento con la disciplina generale europea sul trattamento dei dati e con le linee guida nazionali per i sistemi di Intelligenza Artificiale nella pubblica amministrazione.</w:t>
      </w:r>
    </w:p>
  </w:footnote>
  <w:footnote w:id="611">
    <w:p>
      <w:pPr>
        <w:pStyle w:val="FootnoteText"/>
      </w:pPr>
      <w:r>
        <w:rPr>
          <w:rStyle w:val="FootnoteReference"/>
        </w:rPr>
        <w:footnoteRef/>
      </w:r>
      <w:r>
        <w:t xml:space="preserve"> </w:t>
      </w:r>
      <w:r>
        <w:t xml:space="preserve">Per l’evidenza relativa al modello guidato nel programma britannico di accesso alle terapie psicologiche, e per la sua trasferibilità all’affiancamento del professionista nell’impiego della tecnologia, si rinvia alla Parte IV e allo studio randomizzato pragmatico ivi richiamato (Richards D. e collaboratori, npj Digital Medicine, 2020).</w:t>
      </w:r>
    </w:p>
  </w:footnote>
  <w:footnote w:id="612">
    <w:p>
      <w:pPr>
        <w:pStyle w:val="FootnoteText"/>
      </w:pPr>
      <w:r>
        <w:rPr>
          <w:rStyle w:val="FootnoteReference"/>
        </w:rPr>
        <w:footnoteRef/>
      </w:r>
      <w:r>
        <w:t xml:space="preserve"> </w:t>
      </w:r>
      <w:r>
        <w:t xml:space="preserve">Il delta formativo e il relativo rendimento sono coerenti con la quantificazione del contributo incrementale della formazione stabilita nel modello costi-benefici e di impatto di bilancio della riforma nella sua configurazione integrata: un intervallo dell’ordine di ventotto-cinquantasei milioni di euro annui a piena maturità, con valore centrale prossimo a trentuno milioni e un ritorno dell’ordine di sette-otto euro per ogni euro investito nella formazione; in regime di formazione minima la quota catturata si riduce a valori dell’ordine di quindici-ventidue milioni di euro annui.</w:t>
      </w:r>
    </w:p>
  </w:footnote>
  <w:footnote w:id="613">
    <w:p>
      <w:pPr>
        <w:pStyle w:val="FootnoteText"/>
      </w:pPr>
      <w:r>
        <w:rPr>
          <w:rStyle w:val="FootnoteReference"/>
        </w:rPr>
        <w:footnoteRef/>
      </w:r>
      <w:r>
        <w:t xml:space="preserve"> </w:t>
      </w:r>
      <w:r>
        <w:t xml:space="preserve">Dati di spesa regionale ricostruiti nei Capitoli 4-7 della Relazione tecnico-finanziaria sullo Psicologo di Base in Puglia, a partire dai conti sanitari ufficiali nazionali (quota pugliese pari a circa il 6,6% della popolazione italiana): medicina generale circa 470-480 milioni, specialistica e diagnostica acquistata circa 1,8 miliardi, farmaceutica territoriale circa 800 milioni, salute mentale circa 270 milioni l’anno.</w:t>
      </w:r>
    </w:p>
  </w:footnote>
  <w:footnote w:id="614">
    <w:p>
      <w:pPr>
        <w:pStyle w:val="FootnoteText"/>
      </w:pPr>
      <w:r>
        <w:rPr>
          <w:rStyle w:val="FootnoteReference"/>
        </w:rPr>
        <w:footnoteRef/>
      </w:r>
      <w:r>
        <w:t xml:space="preserve"> </w:t>
      </w:r>
      <w:r>
        <w:t xml:space="preserve">Stime di base della Relazione (Capitolo 5): risparmio diretto annuo a regime di circa 270 milioni di euro, di cui circa 60-65 milioni di farmaceutica, circa 160 milioni di specialistica, circa 19 milioni di medicina generale e circa 27 milioni di salute mentale specialistica, con rapporto costi-benefici dell’ordine di 6-7 a 1.</w:t>
      </w:r>
    </w:p>
  </w:footnote>
  <w:footnote w:id="615">
    <w:p>
      <w:pPr>
        <w:pStyle w:val="FootnoteText"/>
      </w:pPr>
      <w:r>
        <w:rPr>
          <w:rStyle w:val="FootnoteReference"/>
        </w:rPr>
        <w:footnoteRef/>
      </w:r>
      <w:r>
        <w:t xml:space="preserve"> </w:t>
      </w:r>
      <w:r>
        <w:t xml:space="preserve">Stima gia contenuta nel capitolo della Relazione dedicato all’integrazione dell’IA nel servizio di psicologia: incremento di efficienza del 10-15% e risparmi aggiuntivi di 15-40 milioni di euro l’anno a regime, a fronte di un investimento di 1,35-2,7 milioni. La presente analisi estende il perimetro dall’efficienza del solo servizio psicologico all’intera squadra delle cure primarie.</w:t>
      </w:r>
    </w:p>
  </w:footnote>
  <w:footnote w:id="616">
    <w:p>
      <w:pPr>
        <w:pStyle w:val="FootnoteText"/>
      </w:pPr>
      <w:r>
        <w:rPr>
          <w:rStyle w:val="FootnoteReference"/>
        </w:rPr>
        <w:footnoteRef/>
      </w:r>
      <w:r>
        <w:t xml:space="preserve"> </w:t>
      </w:r>
      <w:r>
        <w:t xml:space="preserve">Stima ricorrente nella letteratura economico-sanitaria internazionale, che colloca tra il 5% e il 10% la quota di spesa sanitaria complessiva potenzialmente riducibile mediante l’adozione sistematica dell’IA. Valore adottato in via prudenziale anche nella presente relazione.</w:t>
      </w:r>
    </w:p>
  </w:footnote>
  <w:footnote w:id="617">
    <w:p>
      <w:pPr>
        <w:pStyle w:val="FootnoteText"/>
      </w:pPr>
      <w:r>
        <w:rPr>
          <w:rStyle w:val="FootnoteReference"/>
        </w:rPr>
        <w:footnoteRef/>
      </w:r>
      <w:r>
        <w:t xml:space="preserve"> </w:t>
      </w:r>
      <w:r>
        <w:t xml:space="preserve">Istituto Superiore di Sanita: corsi di formazione a distanza gratuiti su IA, machine learning, deep learning e reti neurali applicate alla clinica, rivolti a tutte le professioni sanitarie (portale FNOMCeO). Esistono inoltre percorsi sperimentali di 10-15 ore espressamente concepiti per i medici di famiglia.</w:t>
      </w:r>
    </w:p>
  </w:footnote>
  <w:footnote w:id="618">
    <w:p>
      <w:pPr>
        <w:pStyle w:val="FootnoteText"/>
      </w:pPr>
      <w:r>
        <w:rPr>
          <w:rStyle w:val="FootnoteReference"/>
        </w:rPr>
        <w:footnoteRef/>
      </w:r>
      <w:r>
        <w:t xml:space="preserve"> </w:t>
      </w:r>
      <w:r>
        <w:t xml:space="preserve">Istituto Superiore di Sanita: corsi di formazione a distanza gratuiti su IA, machine learning, deep learning e reti neurali applicate alla clinica, rivolti a tutte le professioni sanitarie (portale FNOMCeO). Esistono inoltre percorsi sperimentali di 10-15 ore espressamente concepiti per i medici di famiglia.</w:t>
      </w:r>
    </w:p>
  </w:footnote>
  <w:footnote w:id="619">
    <w:p>
      <w:pPr>
        <w:pStyle w:val="FootnoteText"/>
      </w:pPr>
      <w:r>
        <w:rPr>
          <w:rStyle w:val="FootnoteReference"/>
        </w:rPr>
        <w:footnoteRef/>
      </w:r>
      <w:r>
        <w:t xml:space="preserve"> </w:t>
      </w:r>
      <w:r>
        <w:t xml:space="preserve">Inkster B, Sarda S, Subramanian V. An empathy-driven conversational AI agent (Wysa) for digital mental well-being: real-world data evaluation. JMIR mHealth and uHealth, 2018;6(11):e12106. Lo strumento e impiegato nei servizi NHS Talking Therapies del Regno Unito.</w:t>
      </w:r>
    </w:p>
  </w:footnote>
  <w:footnote w:id="620">
    <w:p>
      <w:pPr>
        <w:pStyle w:val="FootnoteText"/>
      </w:pPr>
      <w:r>
        <w:rPr>
          <w:rStyle w:val="FootnoteReference"/>
        </w:rPr>
        <w:footnoteRef/>
      </w:r>
      <w:r>
        <w:t xml:space="preserve"> </w:t>
      </w:r>
      <w:r>
        <w:t xml:space="preserve">Banca dati FDA sui dispositivi medici abilitati all’IA/ML: 950 dispositivi autorizzati al 7 agosto 2024 (di cui circa il 76% in radiologia), a fronte di meno di 400 nel 2020 e di un ritmo di circa 100 nuove autorizzazioni l’anno (MedTech Dive, 2024; JAMA Network Open, 2025).</w:t>
      </w:r>
    </w:p>
  </w:footnote>
  <w:footnote w:id="621">
    <w:p>
      <w:pPr>
        <w:pStyle w:val="FootnoteText"/>
      </w:pPr>
      <w:r>
        <w:rPr>
          <w:rStyle w:val="FootnoteReference"/>
        </w:rPr>
        <w:footnoteRef/>
      </w:r>
      <w:r>
        <w:t xml:space="preserve"> </w:t>
      </w:r>
      <w:r>
        <w:t xml:space="preserve">Analisi 2025 sulla maturita dell’evidenza: meno del 2% dei dispositivi di IA/ML autorizzati dalla FDA risulta sostenuto da studi clinici randomizzati, e la trasparenza sui dati di addestramento resta limitata. Elemento che impone, in sede di programmazione, validazione locale e monitoraggio prospettico degli esiti.</w:t>
      </w:r>
    </w:p>
  </w:footnote>
  <w:footnote w:id="622">
    <w:p>
      <w:pPr>
        <w:pStyle w:val="FootnoteText"/>
      </w:pPr>
      <w:r>
        <w:rPr>
          <w:rStyle w:val="FootnoteReference"/>
        </w:rPr>
        <w:footnoteRef/>
      </w:r>
      <w:r>
        <w:t xml:space="preserve"> </w:t>
      </w:r>
      <w:r>
        <w:t xml:space="preserve">Abramoff MD, Lavin PT, Birch M, Shah N, Folk JC. Pivotal trial of an autonomous AI-based diagnostic system for detection of diabetic retinopathy in primary care offices. npj Digital Medicine, 2018;1:39. Sensibilita 87,2% e specificita 90,7%; primo sistema di IA autonoma autorizzato dalla FDA in qualsiasi ambito della medicina (IDx-DR, poi LumineticsCore).</w:t>
      </w:r>
    </w:p>
  </w:footnote>
  <w:footnote w:id="623">
    <w:p>
      <w:pPr>
        <w:pStyle w:val="FootnoteText"/>
      </w:pPr>
      <w:r>
        <w:rPr>
          <w:rStyle w:val="FootnoteReference"/>
        </w:rPr>
        <w:footnoteRef/>
      </w:r>
      <w:r>
        <w:t xml:space="preserve"> </w:t>
      </w:r>
      <w:r>
        <w:t xml:space="preserve">Wolf RM, Channa R, Liu TYA, et al. Autonomous artificial intelligence increases screening and follow-up for diabetic retinopathy in youth: the ACCESS randomized controlled trial. Nature Communications, 2024;15.</w:t>
      </w:r>
    </w:p>
  </w:footnote>
  <w:footnote w:id="624">
    <w:p>
      <w:pPr>
        <w:pStyle w:val="FootnoteText"/>
      </w:pPr>
      <w:r>
        <w:rPr>
          <w:rStyle w:val="FootnoteReference"/>
        </w:rPr>
        <w:footnoteRef/>
      </w:r>
      <w:r>
        <w:t xml:space="preserve"> </w:t>
      </w:r>
      <w:r>
        <w:t xml:space="preserve">Studio MASAI (Lang K, et al., Lancet Oncology, 2023) e revisioni successive sullo screening mammografico assistito da IA: rilevazione del cancro non inferiore alla doppia lettura umana, con riduzione sostanziale del carico di lavoro radiologico.</w:t>
      </w:r>
    </w:p>
  </w:footnote>
  <w:footnote w:id="625">
    <w:p>
      <w:pPr>
        <w:pStyle w:val="FootnoteText"/>
      </w:pPr>
      <w:r>
        <w:rPr>
          <w:rStyle w:val="FootnoteReference"/>
        </w:rPr>
        <w:footnoteRef/>
      </w:r>
      <w:r>
        <w:t xml:space="preserve"> </w:t>
      </w:r>
      <w:r>
        <w:t xml:space="preserve">Evidenze su colonscopia assistita da computer vision in tempo reale: incremento del tasso di rilevazione degli adenomi senza aumento della rimozione di tessuto non neoplastico. Le analisi di costo riportano riduzioni del costo medio della procedura nell’ordine del 6,9%-18,9% in diversi sistemi sanitari (medRxiv 2025.10.05.25337345).</w:t>
      </w:r>
    </w:p>
  </w:footnote>
  <w:footnote w:id="626">
    <w:p>
      <w:pPr>
        <w:pStyle w:val="FootnoteText"/>
      </w:pPr>
      <w:r>
        <w:rPr>
          <w:rStyle w:val="FootnoteReference"/>
        </w:rPr>
        <w:footnoteRef/>
      </w:r>
      <w:r>
        <w:t xml:space="preserve"> </w:t>
      </w:r>
      <w:r>
        <w:t xml:space="preserve">El Arab RA, Al Moosa OA. Systematic review of cost-effectiveness and budget impact of artificial intelligence in healthcare. npj Digital Medicine, 2025; DOI 10.1038/s41746-025-01722-y. Diciannove valutazioni economiche in oncologia, cardiologia, oftalmologia e malattie infettive: l’IA migliora l’accuratezza diagnostica, incrementa gli anni di vita aggiustati per qualita e riduce i costi attraverso la diminuzione delle procedure non necessarie.</w:t>
      </w:r>
    </w:p>
  </w:footnote>
  <w:footnote w:id="627">
    <w:p>
      <w:pPr>
        <w:pStyle w:val="FootnoteText"/>
      </w:pPr>
      <w:r>
        <w:rPr>
          <w:rStyle w:val="FootnoteReference"/>
        </w:rPr>
        <w:footnoteRef/>
      </w:r>
      <w:r>
        <w:t xml:space="preserve"> </w:t>
      </w:r>
      <w:r>
        <w:t xml:space="preserve">Revisioni e studi prospettici sulla riduzione delle riospedalizzazioni a 30 giorni mediante modelli predittivi (10%-50% di riduzione documentata). Un sistema ospedaliero del Minnesota ha dimezzato in diciotto mesi un costo annuo di 4,2 milioni di dollari per riammissioni evitabili (AJMC, 2025; sranalytics.io, 2025).</w:t>
      </w:r>
    </w:p>
  </w:footnote>
  <w:footnote w:id="628">
    <w:p>
      <w:pPr>
        <w:pStyle w:val="FootnoteText"/>
      </w:pPr>
      <w:r>
        <w:rPr>
          <w:rStyle w:val="FootnoteReference"/>
        </w:rPr>
        <w:footnoteRef/>
      </w:r>
      <w:r>
        <w:t xml:space="preserve"> </w:t>
      </w:r>
      <w:r>
        <w:t xml:space="preserve">Modello Epic Risk of Unplanned Readmission v2 applicato a una popolazione di rete di sicurezza: area sotto la curva pari a 0,72; l’efficacia dipende dal collegamento dell’output predittivo a un’azione clinica definita (AJMC, 2025).</w:t>
      </w:r>
    </w:p>
  </w:footnote>
  <w:footnote w:id="629">
    <w:p>
      <w:pPr>
        <w:pStyle w:val="FootnoteText"/>
      </w:pPr>
      <w:r>
        <w:rPr>
          <w:rStyle w:val="FootnoteReference"/>
        </w:rPr>
        <w:footnoteRef/>
      </w:r>
      <w:r>
        <w:t xml:space="preserve"> </w:t>
      </w:r>
      <w:r>
        <w:t xml:space="preserve">Heinz MV, Mackin DM, Trudeau BM, et al. Randomized Trial of a Generative AI Chatbot for Mental Health Treatment (Therabot). NEJM AI, 2025; DOI 10.1056/AIoa2400802. Primo studio controllato randomizzato di un agente di IA generativa per la psicoterapia (N=210).</w:t>
      </w:r>
    </w:p>
  </w:footnote>
  <w:footnote w:id="630">
    <w:p>
      <w:pPr>
        <w:pStyle w:val="FootnoteText"/>
      </w:pPr>
      <w:r>
        <w:rPr>
          <w:rStyle w:val="FootnoteReference"/>
        </w:rPr>
        <w:footnoteRef/>
      </w:r>
      <w:r>
        <w:t xml:space="preserve"> </w:t>
      </w:r>
      <w:r>
        <w:t xml:space="preserve">Risultati dello studio Therabot a otto settimane: riduzione dei sintomi depressivi pari al 51%, dei sintomi ansiosi pari al 31% e delle preoccupazioni relative ai disturbi alimentari pari al 19%, con un’alleanza terapeutica percepita comparabile a quella con un professionista umano. Gli autori sottolineano che nessun agente generativo e oggi idoneo a operare in piena autonomia in salute mentale, attesa l’ampiezza degli scenari ad alto rischio.</w:t>
      </w:r>
    </w:p>
  </w:footnote>
  <w:footnote w:id="631">
    <w:p>
      <w:pPr>
        <w:pStyle w:val="FootnoteText"/>
      </w:pPr>
      <w:r>
        <w:rPr>
          <w:rStyle w:val="FootnoteReference"/>
        </w:rPr>
        <w:footnoteRef/>
      </w:r>
      <w:r>
        <w:t xml:space="preserve"> </w:t>
      </w:r>
      <w:r>
        <w:t xml:space="preserve">Fitzpatrick KK, Darcy A, Vierhile M. Delivering cognitive behavior therapy to young adults with symptoms of depression and anxiety using a fully automated conversational agent (Woebot): randomized controlled trial. JMIR Mental Health, 2017;4(2):e7785.</w:t>
      </w:r>
    </w:p>
  </w:footnote>
  <w:footnote w:id="632">
    <w:p>
      <w:pPr>
        <w:pStyle w:val="FootnoteText"/>
      </w:pPr>
      <w:r>
        <w:rPr>
          <w:rStyle w:val="FootnoteReference"/>
        </w:rPr>
        <w:footnoteRef/>
      </w:r>
      <w:r>
        <w:t xml:space="preserve"> </w:t>
      </w:r>
      <w:r>
        <w:t xml:space="preserve">Risultati dello studio Therabot a otto settimane: riduzione dei sintomi depressivi pari al 51%, dei sintomi ansiosi pari al 31% e delle preoccupazioni relative ai disturbi alimentari pari al 19%, con un’alleanza terapeutica percepita comparabile a quella con un professionista umano. Gli autori sottolineano che nessun agente generativo e oggi idoneo a operare in piena autonomia in salute mentale, attesa l’ampiezza degli scenari ad alto rischio.</w:t>
      </w:r>
    </w:p>
  </w:footnote>
  <w:footnote w:id="633">
    <w:p>
      <w:pPr>
        <w:pStyle w:val="FootnoteText"/>
      </w:pPr>
      <w:r>
        <w:rPr>
          <w:rStyle w:val="FootnoteReference"/>
        </w:rPr>
        <w:footnoteRef/>
      </w:r>
      <w:r>
        <w:t xml:space="preserve"> </w:t>
      </w:r>
      <w:r>
        <w:t xml:space="preserve">Studio pilota Stanford Health Care su scriba di IA ambientale (DAX Copilot), 2023-2024 (PMC11756571): risparmio mediano percepito di 20 minuti per mezza giornata di ambulatorio e riduzione statisticamente significativa del carico documentale e del burnout.</w:t>
      </w:r>
    </w:p>
  </w:footnote>
  <w:footnote w:id="634">
    <w:p>
      <w:pPr>
        <w:pStyle w:val="FootnoteText"/>
      </w:pPr>
      <w:r>
        <w:rPr>
          <w:rStyle w:val="FootnoteReference"/>
        </w:rPr>
        <w:footnoteRef/>
      </w:r>
      <w:r>
        <w:t xml:space="preserve"> </w:t>
      </w:r>
      <w:r>
        <w:t xml:space="preserve">Studio randomizzato pragmatico UW Health su IA ambientale (2024-2025): riduzione del tempo di documentazione di circa 30 minuti al giorno per operatore, riduzione clinicamente significativa dei punteggi di burnout e migliore accuratezza della codifica diagnostica.</w:t>
      </w:r>
    </w:p>
  </w:footnote>
  <w:footnote w:id="635">
    <w:p>
      <w:pPr>
        <w:pStyle w:val="FootnoteText"/>
      </w:pPr>
      <w:r>
        <w:rPr>
          <w:rStyle w:val="FootnoteReference"/>
        </w:rPr>
        <w:footnoteRef/>
      </w:r>
      <w:r>
        <w:t xml:space="preserve"> </w:t>
      </w:r>
      <w:r>
        <w:t xml:space="preserve">Studio randomizzato UCLA Health su due scriba di IA ambientale (DAX e Nabla; 238 medici, 2024-2025): benefici misurabili sull’efficienza documentale, ma comparsa occasionale di inesattezze clinicamente rilevanti, da cui la necessita di una revisione vigile da parte del professionista.</w:t>
      </w:r>
    </w:p>
  </w:footnote>
  <w:footnote w:id="636">
    <w:p>
      <w:pPr>
        <w:pStyle w:val="FootnoteText"/>
      </w:pPr>
      <w:r>
        <w:rPr>
          <w:rStyle w:val="FootnoteReference"/>
        </w:rPr>
        <w:footnoteRef/>
      </w:r>
      <w:r>
        <w:t xml:space="preserve"> </w:t>
      </w:r>
      <w:r>
        <w:t xml:space="preserve">Sinsky CA, Colligan L, Li L, et al. Allocation of Physician Time in Ambulatory Practice: a time and motion study in four specialties. Annals of Internal Medicine, 2016;165(11):753-760.</w:t>
      </w:r>
    </w:p>
  </w:footnote>
  <w:footnote w:id="637">
    <w:p>
      <w:pPr>
        <w:pStyle w:val="FootnoteText"/>
      </w:pPr>
      <w:r>
        <w:rPr>
          <w:rStyle w:val="FootnoteReference"/>
        </w:rPr>
        <w:footnoteRef/>
      </w:r>
      <w:r>
        <w:t xml:space="preserve"> </w:t>
      </w:r>
      <w:r>
        <w:t xml:space="preserve">Revisione sistematica con metanalisi sulla costo-efficacia della teleriabilitazione (PMC11911901, 2025): probabilita di costo-efficacia del 90% a una soglia di disponibilita a pagare di 30.000 dollari per anno di vita aggiustato per qualita, con riduzione dei costi di trasporto e delle riammissioni e migliore aderenza.</w:t>
      </w:r>
    </w:p>
  </w:footnote>
  <w:footnote w:id="638">
    <w:p>
      <w:pPr>
        <w:pStyle w:val="FootnoteText"/>
      </w:pPr>
      <w:r>
        <w:rPr>
          <w:rStyle w:val="FootnoteReference"/>
        </w:rPr>
        <w:footnoteRef/>
      </w:r>
      <w:r>
        <w:t xml:space="preserve"> </w:t>
      </w:r>
      <w:r>
        <w:t xml:space="preserve">Molina-Garcia P, Mora-Traverso M, Prieto-Moreno R, et al. Effectiveness and cost-effectiveness of telerehabilitation for musculoskeletal disorders: systematic review and meta-analysis. Annals of Physical and Rehabilitation Medicine, 2024;67(1):101791. Metanalisi di studi controllati sulla riabilitazione cardiaca a distanza: miglioramento del test del cammino dei sei minuti, dei passi giornalieri e della qualita di vita, con riduzione dei sintomi depressivi.</w:t>
      </w:r>
    </w:p>
  </w:footnote>
  <w:footnote w:id="639">
    <w:p>
      <w:pPr>
        <w:pStyle w:val="FootnoteText"/>
      </w:pPr>
      <w:r>
        <w:rPr>
          <w:rStyle w:val="FootnoteReference"/>
        </w:rPr>
        <w:footnoteRef/>
      </w:r>
      <w:r>
        <w:t xml:space="preserve"> </w:t>
      </w:r>
      <w:r>
        <w:t xml:space="preserve">Revisione sistematica sulla telesalute nella gestione della malattia mentale grave (PMC6314801): il supporto telefonico migliora l’aderenza farmacologica e riduce la gravita dei sintomi e le giornate di degenza; la riabilitazione cognitiva computer-assistita migliora la funzione cognitiva.</w:t>
      </w:r>
    </w:p>
  </w:footnote>
  <w:footnote w:id="640">
    <w:p>
      <w:pPr>
        <w:pStyle w:val="FootnoteText"/>
      </w:pPr>
      <w:r>
        <w:rPr>
          <w:rStyle w:val="FootnoteReference"/>
        </w:rPr>
        <w:footnoteRef/>
      </w:r>
      <w:r>
        <w:t xml:space="preserve"> </w:t>
      </w:r>
      <w:r>
        <w:t xml:space="preserve">Banca dati FDA sui dispositivi medici abilitati all’IA/ML: 950 dispositivi autorizzati al 7 agosto 2024 (di cui circa il 76% in radiologia), a fronte di meno di 400 nel 2020 e di un ritmo di circa 100 nuove autorizzazioni l’anno (MedTech Dive, 2024; JAMA Network Open, 2025).</w:t>
      </w:r>
    </w:p>
  </w:footnote>
  <w:footnote w:id="641">
    <w:p>
      <w:pPr>
        <w:pStyle w:val="FootnoteText"/>
      </w:pPr>
      <w:r>
        <w:rPr>
          <w:rStyle w:val="FootnoteReference"/>
        </w:rPr>
        <w:footnoteRef/>
      </w:r>
      <w:r>
        <w:t xml:space="preserve"> </w:t>
      </w:r>
      <w:r>
        <w:t xml:space="preserve">Regolamento europeo sull’IA (AI Act), in vigore dall’agosto 2024: i sistemi di IA incorporati nei dispositivi medici rientrano nella classe ad alto rischio (Allegato I). La maggior parte degli obblighi decorre dall’agosto 2026, con piena conformita per l’IA dei dispositivi medici dall’agosto 2027; la guida MDCG 2025-6 chiarisce l’interazione con il Regolamento dispositivi medici.</w:t>
      </w:r>
    </w:p>
  </w:footnote>
  <w:footnote w:id="642">
    <w:p>
      <w:pPr>
        <w:pStyle w:val="FootnoteText"/>
      </w:pPr>
      <w:r>
        <w:rPr>
          <w:rStyle w:val="FootnoteReference"/>
        </w:rPr>
        <w:footnoteRef/>
      </w:r>
      <w:r>
        <w:t xml:space="preserve"> </w:t>
      </w:r>
      <w:r>
        <w:t xml:space="preserve">Dati di spesa regionale ricostruiti nei Capitoli 4-7 della Relazione tecnico-finanziaria sullo Psicologo di Base in Puglia, a partire dai conti sanitari ufficiali nazionali (quota pugliese pari a circa il 6,6% della popolazione italiana): medicina generale circa 470-480 milioni, specialistica e diagnostica acquistata circa 1,8 miliardi, farmaceutica territoriale circa 800 milioni, salute mentale circa 270 milioni l’anno.</w:t>
      </w:r>
    </w:p>
  </w:footnote>
  <w:footnote w:id="643">
    <w:p>
      <w:pPr>
        <w:pStyle w:val="FootnoteText"/>
      </w:pPr>
      <w:r>
        <w:rPr>
          <w:rStyle w:val="FootnoteReference"/>
        </w:rPr>
        <w:footnoteRef/>
      </w:r>
      <w:r>
        <w:t xml:space="preserve"> </w:t>
      </w:r>
      <w:r>
        <w:t xml:space="preserve">Stima ricorrente nella letteratura economico-sanitaria internazionale, che colloca tra il 5% e il 10% la quota di spesa sanitaria complessiva potenzialmente riducibile mediante l’adozione sistematica dell’IA. Valore adottato in via prudenziale anche nella presente relazione.</w:t>
      </w:r>
    </w:p>
  </w:footnote>
  <w:footnote w:id="644">
    <w:p>
      <w:pPr>
        <w:pStyle w:val="FootnoteText"/>
      </w:pPr>
      <w:r>
        <w:rPr>
          <w:rStyle w:val="FootnoteReference"/>
        </w:rPr>
        <w:footnoteRef/>
      </w:r>
      <w:r>
        <w:t xml:space="preserve"> </w:t>
      </w:r>
      <w:r>
        <w:t xml:space="preserve">Stima gia contenuta nel capitolo della Relazione dedicato all’integrazione dell’IA nel servizio di psicologia: incremento di efficienza del 10-15% e risparmi aggiuntivi di 15-40 milioni di euro l’anno a regime, a fronte di un investimento di 1,35-2,7 milioni. La presente analisi estende il perimetro dall’efficienza del solo servizio psicologico all’intera squadra delle cure primarie.</w:t>
      </w:r>
    </w:p>
  </w:footnote>
  <w:footnote w:id="645">
    <w:p>
      <w:pPr>
        <w:pStyle w:val="FootnoteText"/>
      </w:pPr>
      <w:r>
        <w:rPr>
          <w:rStyle w:val="FootnoteReference"/>
        </w:rPr>
        <w:footnoteRef/>
      </w:r>
      <w:r>
        <w:t xml:space="preserve"> </w:t>
      </w:r>
      <w:r>
        <w:t xml:space="preserve">Costo del programma formativo regionale stimato in 0,8-1,5 milioni di euro nel primo anno (formazione ECM di psicologi e medici di medicina generale, formazione avanzata dei referenti digitali, materiali e piattaforme), in larga parte coperto da risorse formative gia esistenti e da fondi del Piano Nazionale di Ripresa e Resilienza dedicati alla sanita digitale.</w:t>
      </w:r>
    </w:p>
  </w:footnote>
  <w:footnote w:id="646">
    <w:p>
      <w:pPr>
        <w:pStyle w:val="FootnoteText"/>
      </w:pPr>
      <w:r>
        <w:rPr>
          <w:rStyle w:val="FootnoteReference"/>
        </w:rPr>
        <w:footnoteRef/>
      </w:r>
      <w:r>
        <w:t xml:space="preserve"> </w:t>
      </w:r>
      <w:r>
        <w:t xml:space="preserve">Stima gia contenuta nel capitolo della Relazione dedicato all’integrazione dell’IA nel servizio di psicologia: incremento di efficienza del 10-15% e risparmi aggiuntivi di 15-40 milioni di euro l’anno a regime, a fronte di un investimento di 1,35-2,7 milioni. La presente analisi estende il perimetro dall’efficienza del solo servizio psicologico all’intera squadra delle cure primarie.</w:t>
      </w:r>
    </w:p>
  </w:footnote>
  <w:footnote w:id="647">
    <w:p>
      <w:pPr>
        <w:pStyle w:val="FootnoteText"/>
      </w:pPr>
      <w:r>
        <w:rPr>
          <w:rStyle w:val="FootnoteReference"/>
        </w:rPr>
        <w:footnoteRef/>
      </w:r>
      <w:r>
        <w:t xml:space="preserve"> </w:t>
      </w:r>
      <w:r>
        <w:t xml:space="preserve">Studio randomizzato pragmatico UW Health su IA ambientale (2024-2025): riduzione del tempo di documentazione di circa 30 minuti al giorno per operatore, riduzione clinicamente significativa dei punteggi di burnout e migliore accuratezza della codifica diagnostica.</w:t>
      </w:r>
    </w:p>
  </w:footnote>
  <w:footnote w:id="648">
    <w:p>
      <w:pPr>
        <w:pStyle w:val="FootnoteText"/>
      </w:pPr>
      <w:r>
        <w:rPr>
          <w:rStyle w:val="FootnoteReference"/>
        </w:rPr>
        <w:footnoteRef/>
      </w:r>
      <w:r>
        <w:t xml:space="preserve"> </w:t>
      </w:r>
      <w:r>
        <w:t xml:space="preserve">Analisi 2025 sulla maturita dell’evidenza: meno del 2% dei dispositivi di IA/ML autorizzati dalla FDA risulta sostenuto da studi clinici randomizzati, e la trasparenza sui dati di addestramento resta limitata. Elemento che impone, in sede di programmazione, validazione locale e monitoraggio prospettico degli esiti.</w:t>
      </w:r>
    </w:p>
  </w:footnote>
  <w:footnote w:id="649">
    <w:p>
      <w:pPr>
        <w:pStyle w:val="FootnoteText"/>
      </w:pPr>
      <w:r>
        <w:rPr>
          <w:rStyle w:val="FootnoteReference"/>
        </w:rPr>
        <w:footnoteRef/>
      </w:r>
      <w:r>
        <w:t xml:space="preserve"> </w:t>
      </w:r>
      <w:r>
        <w:t xml:space="preserve">Studio randomizzato UCLA Health su due scriba di IA ambientale (DAX e Nabla; 238 medici, 2024-2025): benefici misurabili sull’efficienza documentale, ma comparsa occasionale di inesattezze clinicamente rilevanti, da cui la necessita di una revisione vigile da parte del professionista.</w:t>
      </w:r>
    </w:p>
  </w:footnote>
  <w:footnote w:id="650">
    <w:p>
      <w:pPr>
        <w:pStyle w:val="FootnoteText"/>
      </w:pPr>
      <w:r>
        <w:rPr>
          <w:rStyle w:val="FootnoteReference"/>
        </w:rPr>
        <w:footnoteRef/>
      </w:r>
      <w:r>
        <w:t xml:space="preserve"> </w:t>
      </w:r>
      <w:r>
        <w:t xml:space="preserve">Regolamento europeo sull’IA (AI Act), in vigore dall’agosto 2024: i sistemi di IA incorporati nei dispositivi medici rientrano nella classe ad alto rischio (Allegato I). La maggior parte degli obblighi decorre dall’agosto 2026, con piena conformita per l’IA dei dispositivi medici dall’agosto 2027; la guida MDCG 2025-6 chiarisce l’interazione con il Regolamento dispositivi medici.</w:t>
      </w:r>
    </w:p>
  </w:footnote>
  <w:footnote w:id="651">
    <w:p>
      <w:pPr>
        <w:pStyle w:val="FootnoteText"/>
      </w:pPr>
      <w:r>
        <w:rPr>
          <w:rStyle w:val="FootnoteReference"/>
        </w:rPr>
        <w:footnoteRef/>
      </w:r>
      <w:r>
        <w:t xml:space="preserve"> </w:t>
      </w:r>
      <w:r>
        <w:t xml:space="preserve">Banca dati FDA sui dispositivi medici abilitati all’IA/ML: 950 dispositivi autorizzati al 7 agosto 2024, di cui circa il 76% in radiologia, a fronte di meno di 400 nel 2020 (MedTech Dive, 2024; JAMA Network Open, 2025).</w:t>
      </w:r>
    </w:p>
  </w:footnote>
  <w:footnote w:id="652">
    <w:p>
      <w:pPr>
        <w:pStyle w:val="FootnoteText"/>
      </w:pPr>
      <w:r>
        <w:rPr>
          <w:rStyle w:val="FootnoteReference"/>
        </w:rPr>
        <w:footnoteRef/>
      </w:r>
      <w:r>
        <w:t xml:space="preserve"> </w:t>
      </w:r>
      <w:r>
        <w:t xml:space="preserve">Analisi 2025: meno del 2% dei dispositivi di IA/ML autorizzati dalla FDA risulta sostenuto da studi clinici randomizzati, e la trasparenza sui dati di addestramento resta limitata; elemento che impone validazione locale e monitoraggio prospettico degli esiti.</w:t>
      </w:r>
    </w:p>
  </w:footnote>
  <w:footnote w:id="653">
    <w:p>
      <w:pPr>
        <w:pStyle w:val="FootnoteText"/>
      </w:pPr>
      <w:r>
        <w:rPr>
          <w:rStyle w:val="FootnoteReference"/>
        </w:rPr>
        <w:footnoteRef/>
      </w:r>
      <w:r>
        <w:t xml:space="preserve"> </w:t>
      </w:r>
      <w:r>
        <w:t xml:space="preserve">Abramoff MD, Lavin PT, Birch M, Shah N, Folk JC. Pivotal trial of an autonomous AI-based diagnostic system for detection of diabetic retinopathy in primary care offices. npj Digital Medicine, 2018;1:39. Sensibilita 87,2%, specificita 90,7%; primo sistema di IA autonoma autorizzato dalla FDA in qualsiasi ambito della medicina (IDx-DR, oggi LumineticsCore).</w:t>
      </w:r>
    </w:p>
  </w:footnote>
  <w:footnote w:id="654">
    <w:p>
      <w:pPr>
        <w:pStyle w:val="FootnoteText"/>
      </w:pPr>
      <w:r>
        <w:rPr>
          <w:rStyle w:val="FootnoteReference"/>
        </w:rPr>
        <w:footnoteRef/>
      </w:r>
      <w:r>
        <w:t xml:space="preserve"> </w:t>
      </w:r>
      <w:r>
        <w:t xml:space="preserve">Wolf RM, Channa R, Liu TYA, et al. Autonomous artificial intelligence increases screening and follow-up for diabetic retinopathy in youth: the ACCESS randomized controlled trial. Nature Communications, 2024;15.</w:t>
      </w:r>
    </w:p>
  </w:footnote>
  <w:footnote w:id="655">
    <w:p>
      <w:pPr>
        <w:pStyle w:val="FootnoteText"/>
      </w:pPr>
      <w:r>
        <w:rPr>
          <w:rStyle w:val="FootnoteReference"/>
        </w:rPr>
        <w:footnoteRef/>
      </w:r>
      <w:r>
        <w:t xml:space="preserve"> </w:t>
      </w:r>
      <w:r>
        <w:t xml:space="preserve">Diabetes Care, 2023;46(10):1728 (American Diabetes Association): nel 2021 il sistema assicurativo pubblico statunitense ha introdotto il codice di rimborso CPT 92229 per l’analisi autonoma della retina nel punto di cura, con rimborso ambulatoriale di circa 45,75 dollari, primo quadro di pagamento per un dispositivo di IA autonoma.</w:t>
      </w:r>
    </w:p>
  </w:footnote>
  <w:footnote w:id="656">
    <w:p>
      <w:pPr>
        <w:pStyle w:val="FootnoteText"/>
      </w:pPr>
      <w:r>
        <w:rPr>
          <w:rStyle w:val="FootnoteReference"/>
        </w:rPr>
        <w:footnoteRef/>
      </w:r>
      <w:r>
        <w:t xml:space="preserve"> </w:t>
      </w:r>
      <w:r>
        <w:t xml:space="preserve">Lang K, et al. Studio MASAI: screening mammografico assistito da IA (Lancet Oncology, 2023) e revisioni successive: rilevazione del cancro non inferiore alla doppia lettura umana con riduzione sostanziale del carico di lavoro radiologico.</w:t>
      </w:r>
    </w:p>
  </w:footnote>
  <w:footnote w:id="657">
    <w:p>
      <w:pPr>
        <w:pStyle w:val="FootnoteText"/>
      </w:pPr>
      <w:r>
        <w:rPr>
          <w:rStyle w:val="FootnoteReference"/>
        </w:rPr>
        <w:footnoteRef/>
      </w:r>
      <w:r>
        <w:t xml:space="preserve"> </w:t>
      </w:r>
      <w:r>
        <w:t xml:space="preserve">Revisione sistematica delle valutazioni economiche (medRxiv 2025.10.05.25337345): la colonscopia assistita da visione artificiale in tempo reale incrementa il tasso di rilevazione degli adenomi; riduzioni del costo medio della procedura nell’ordine del 6,9%-18,9% in diversi sistemi sanitari.</w:t>
      </w:r>
    </w:p>
  </w:footnote>
  <w:footnote w:id="658">
    <w:p>
      <w:pPr>
        <w:pStyle w:val="FootnoteText"/>
      </w:pPr>
      <w:r>
        <w:rPr>
          <w:rStyle w:val="FootnoteReference"/>
        </w:rPr>
        <w:footnoteRef/>
      </w:r>
      <w:r>
        <w:t xml:space="preserve"> </w:t>
      </w:r>
      <w:r>
        <w:t xml:space="preserve">El Arab RA, Al Moosa OA. Systematic review of cost-effectiveness and budget impact of artificial intelligence in healthcare. npj Digital Medicine, 2025; DOI 10.1038/s41746-025-01722-y. Diciannove valutazioni economiche: l’IA migliora l’accuratezza diagnostica e riduce i costi tramite la diminuzione delle procedure non necessarie, con rapporti di costo-efficacia incrementale al di sotto delle soglie comunemente accettate.</w:t>
      </w:r>
    </w:p>
  </w:footnote>
  <w:footnote w:id="659">
    <w:p>
      <w:pPr>
        <w:pStyle w:val="FootnoteText"/>
      </w:pPr>
      <w:r>
        <w:rPr>
          <w:rStyle w:val="FootnoteReference"/>
        </w:rPr>
        <w:footnoteRef/>
      </w:r>
      <w:r>
        <w:t xml:space="preserve"> </w:t>
      </w:r>
      <w:r>
        <w:t xml:space="preserve">Studio indipendente VALIDATE su 166 strutture in 17 Stati e 14.116 pazienti (8.557 in ospedali con IA, 5.559 senza): l’impiego della piattaforma Viz.ai ha ridotto i tempi di riconoscimento dell’occlusione di grande vaso e di contatto con il team interventistico.</w:t>
      </w:r>
    </w:p>
  </w:footnote>
  <w:footnote w:id="660">
    <w:p>
      <w:pPr>
        <w:pStyle w:val="FootnoteText"/>
      </w:pPr>
      <w:r>
        <w:rPr>
          <w:rStyle w:val="FootnoteReference"/>
        </w:rPr>
        <w:footnoteRef/>
      </w:r>
      <w:r>
        <w:t xml:space="preserve"> </w:t>
      </w:r>
      <w:r>
        <w:t xml:space="preserve">Sarhan K, et al. Metanalisi su rilevazione automatizzata dell’occlusione di grande vaso mediante Viz.ai (Translational Stroke Research, 2025; DOI 10.1007/s12975-025-01354-0): undici studi, oltre 15.000 pazienti, riduzione significativa del tempo door-in door-out nei centri post-adozione.</w:t>
      </w:r>
    </w:p>
  </w:footnote>
  <w:footnote w:id="661">
    <w:p>
      <w:pPr>
        <w:pStyle w:val="FootnoteText"/>
      </w:pPr>
      <w:r>
        <w:rPr>
          <w:rStyle w:val="FootnoteReference"/>
        </w:rPr>
        <w:footnoteRef/>
      </w:r>
      <w:r>
        <w:t xml:space="preserve"> </w:t>
      </w:r>
      <w:r>
        <w:t xml:space="preserve">L’American Heart Association ha incorporato nel 2023 l’uso del software di IA per la rilevazione e il triage dell’ictus tra gli standard di cura; la piattaforma Viz.ai copre oltre 220 milioni di vite e oltre 1.400 ospedali e sistemi sanitari negli Stati Uniti e in Europa.</w:t>
      </w:r>
    </w:p>
  </w:footnote>
  <w:footnote w:id="662">
    <w:p>
      <w:pPr>
        <w:pStyle w:val="FootnoteText"/>
      </w:pPr>
      <w:r>
        <w:rPr>
          <w:rStyle w:val="FootnoteReference"/>
        </w:rPr>
        <w:footnoteRef/>
      </w:r>
      <w:r>
        <w:t xml:space="preserve"> </w:t>
      </w:r>
      <w:r>
        <w:t xml:space="preserve">Stime per canale e grandezze regionali sviluppate nel capitolo integrativo della Relazione tecnico-finanziaria sullo Psicologo di Base e nei Capitoli 4-7, a partire dai conti sanitari ufficiali (quota pugliese pari a circa il 6,6% della popolazione italiana).</w:t>
      </w:r>
    </w:p>
  </w:footnote>
  <w:footnote w:id="663">
    <w:p>
      <w:pPr>
        <w:pStyle w:val="FootnoteText"/>
      </w:pPr>
      <w:r>
        <w:rPr>
          <w:rStyle w:val="FootnoteReference"/>
        </w:rPr>
        <w:footnoteRef/>
      </w:r>
      <w:r>
        <w:t xml:space="preserve"> </w:t>
      </w:r>
      <w:r>
        <w:t xml:space="preserve">Revisioni e studi prospettici sulla riduzione delle riospedalizzazioni a 30 giorni mediante modelli predittivi (10%-50% di riduzione documentata). Un sistema ospedaliero del Minnesota ha dimezzato in diciotto mesi un costo annuo di 4,2 milioni di dollari per riammissioni evitabili (AJMC, 2025).</w:t>
      </w:r>
    </w:p>
  </w:footnote>
  <w:footnote w:id="664">
    <w:p>
      <w:pPr>
        <w:pStyle w:val="FootnoteText"/>
      </w:pPr>
      <w:r>
        <w:rPr>
          <w:rStyle w:val="FootnoteReference"/>
        </w:rPr>
        <w:footnoteRef/>
      </w:r>
      <w:r>
        <w:t xml:space="preserve"> </w:t>
      </w:r>
      <w:r>
        <w:t xml:space="preserve">Modello Epic Risk of Unplanned Readmission v2 applicato a una popolazione di rete di sicurezza: area sotto la curva 0,72; l’efficacia dipende dal collegamento dell’output predittivo a un’azione clinica definita (AJMC, 2025).</w:t>
      </w:r>
    </w:p>
  </w:footnote>
  <w:footnote w:id="665">
    <w:p>
      <w:pPr>
        <w:pStyle w:val="FootnoteText"/>
      </w:pPr>
      <w:r>
        <w:rPr>
          <w:rStyle w:val="FootnoteReference"/>
        </w:rPr>
        <w:footnoteRef/>
      </w:r>
      <w:r>
        <w:t xml:space="preserve"> </w:t>
      </w:r>
      <w:r>
        <w:t xml:space="preserve">L’American Heart Association ha incorporato nel 2023 l’uso del software di IA per la rilevazione e il triage dell’ictus tra gli standard di cura; la piattaforma Viz.ai copre oltre 220 milioni di vite e oltre 1.400 ospedali e sistemi sanitari negli Stati Uniti e in Europa.</w:t>
      </w:r>
    </w:p>
  </w:footnote>
  <w:footnote w:id="666">
    <w:p>
      <w:pPr>
        <w:pStyle w:val="FootnoteText"/>
      </w:pPr>
      <w:r>
        <w:rPr>
          <w:rStyle w:val="FootnoteReference"/>
        </w:rPr>
        <w:footnoteRef/>
      </w:r>
      <w:r>
        <w:t xml:space="preserve"> </w:t>
      </w:r>
      <w:r>
        <w:t xml:space="preserve">Heinz MV, Mackin DM, Trudeau BM, et al. Randomized Trial of a Generative AI Chatbot for Mental Health Treatment (Therabot). NEJM AI, 2025; DOI 10.1056/AIoa2400802. N=210; a otto settimane riduzione dei sintomi depressivi del 51%, ansiosi del 31% e delle preoccupazioni alimentari del 19%, con alleanza terapeutica comparabile a quella umana.</w:t>
      </w:r>
    </w:p>
  </w:footnote>
  <w:footnote w:id="667">
    <w:p>
      <w:pPr>
        <w:pStyle w:val="FootnoteText"/>
      </w:pPr>
      <w:r>
        <w:rPr>
          <w:rStyle w:val="FootnoteReference"/>
        </w:rPr>
        <w:footnoteRef/>
      </w:r>
      <w:r>
        <w:t xml:space="preserve"> </w:t>
      </w:r>
      <w:r>
        <w:t xml:space="preserve">Fitzpatrick KK, Darcy A, Vierhile M. Delivering cognitive behavior therapy to young adults with symptoms of depression and anxiety using a fully automated conversational agent (Woebot): randomized controlled trial. JMIR Mental Health, 2017;4(2):e7785.</w:t>
      </w:r>
    </w:p>
  </w:footnote>
  <w:footnote w:id="668">
    <w:p>
      <w:pPr>
        <w:pStyle w:val="FootnoteText"/>
      </w:pPr>
      <w:r>
        <w:rPr>
          <w:rStyle w:val="FootnoteReference"/>
        </w:rPr>
        <w:footnoteRef/>
      </w:r>
      <w:r>
        <w:t xml:space="preserve"> </w:t>
      </w:r>
      <w:r>
        <w:t xml:space="preserve">Inkster B, Sarda S, Subramanian V. An empathy-driven conversational AI agent (Wysa) for digital mental well-being: real-world data evaluation. JMIR mHealth and uHealth, 2018;6(11):e12106. Lo strumento e impiegato nei servizi NHS Talking Therapies del Regno Unito.</w:t>
      </w:r>
    </w:p>
  </w:footnote>
  <w:footnote w:id="669">
    <w:p>
      <w:pPr>
        <w:pStyle w:val="FootnoteText"/>
      </w:pPr>
      <w:r>
        <w:rPr>
          <w:rStyle w:val="FootnoteReference"/>
        </w:rPr>
        <w:footnoteRef/>
      </w:r>
      <w:r>
        <w:t xml:space="preserve"> </w:t>
      </w:r>
      <w:r>
        <w:t xml:space="preserve">Gli autori dello studio Therabot sottolineano che nessun agente di IA generativa e oggi idoneo a operare in piena autonomia in salute mentale, attesa l’ampiezza degli scenari ad alto rischio, e che il suo impiego presuppone la supervisione clinica.</w:t>
      </w:r>
    </w:p>
  </w:footnote>
  <w:footnote w:id="670">
    <w:p>
      <w:pPr>
        <w:pStyle w:val="FootnoteText"/>
      </w:pPr>
      <w:r>
        <w:rPr>
          <w:rStyle w:val="FootnoteReference"/>
        </w:rPr>
        <w:footnoteRef/>
      </w:r>
      <w:r>
        <w:t xml:space="preserve"> </w:t>
      </w:r>
      <w:r>
        <w:t xml:space="preserve">Rejoyn (Otsuka Pharmaceutical e Click Therapeutics): primo dispositivo terapeutico digitale su prescrizione autorizzato dalla FDA (aprile 2024) per il disturbo depressivo maggiore negli adulti dai 22 anni, come adiuvante della cura ambulatoriale; programma di sei settimane validato in uno studio di fase 3 randomizzato in doppio cieco su 386 pazienti (NCT04770285).</w:t>
      </w:r>
    </w:p>
  </w:footnote>
  <w:footnote w:id="671">
    <w:p>
      <w:pPr>
        <w:pStyle w:val="FootnoteText"/>
      </w:pPr>
      <w:r>
        <w:rPr>
          <w:rStyle w:val="FootnoteReference"/>
        </w:rPr>
        <w:footnoteRef/>
      </w:r>
      <w:r>
        <w:t xml:space="preserve"> </w:t>
      </w:r>
      <w:r>
        <w:t xml:space="preserve">Somryst (Pear Therapeutics): primo dispositivo terapeutico digitale su prescrizione per l’insonnia cronica (FDA 2020), basato sulla terapia cognitivo-comportamentale per l’insonnia; due studi randomizzati su oltre 1.400 adulti, riduzione della gravita dell’insonnia di circa il 45%, con benefici mantenuti a sei e dodici mesi.</w:t>
      </w:r>
    </w:p>
  </w:footnote>
  <w:footnote w:id="672">
    <w:p>
      <w:pPr>
        <w:pStyle w:val="FootnoteText"/>
      </w:pPr>
      <w:r>
        <w:rPr>
          <w:rStyle w:val="FootnoteReference"/>
        </w:rPr>
        <w:footnoteRef/>
      </w:r>
      <w:r>
        <w:t xml:space="preserve"> </w:t>
      </w:r>
      <w:r>
        <w:t xml:space="preserve">SleepioRx (Big Health): autorizzato dalla FDA nell’agosto 2024 per l’insonnia, eroga terapia cognitivo-comportamentale per l’insonnia; la versione Sleepio e sostenuta da oltre venticinque studi clinici, con quote elevate di pazienti che raggiungono un sonno sano e riduzioni rilevanti del tempo di addormentamento e del tempo di veglia notturna.</w:t>
      </w:r>
    </w:p>
  </w:footnote>
  <w:footnote w:id="673">
    <w:p>
      <w:pPr>
        <w:pStyle w:val="FootnoteText"/>
      </w:pPr>
      <w:r>
        <w:rPr>
          <w:rStyle w:val="FootnoteReference"/>
        </w:rPr>
        <w:footnoteRef/>
      </w:r>
      <w:r>
        <w:t xml:space="preserve"> </w:t>
      </w:r>
      <w:r>
        <w:t xml:space="preserve">Ulteriori dispositivi terapeutici digitali su prescrizione autorizzati dalla FDA: reSET e reSET-O per i disturbi da uso di sostanze e da oppioidi; MamaLift Plus per la depressione post-partum; SparkRx per la depressione adolescenziale; NightWare, su orologio intelligente, per gli incubi nel disturbo post-traumatico da stress.</w:t>
      </w:r>
    </w:p>
  </w:footnote>
  <w:footnote w:id="674">
    <w:p>
      <w:pPr>
        <w:pStyle w:val="FootnoteText"/>
      </w:pPr>
      <w:r>
        <w:rPr>
          <w:rStyle w:val="FootnoteReference"/>
        </w:rPr>
        <w:footnoteRef/>
      </w:r>
      <w:r>
        <w:t xml:space="preserve"> </w:t>
      </w:r>
      <w:r>
        <w:t xml:space="preserve">Nel novembre 2024 il sistema assicurativo pubblico statunitense ha approvato tre codici di rimborso dedicati ai dispositivi terapeutici digitali; nel settembre 2025 un grande assicuratore privato ha annunciato la copertura dei dispositivi terapeutici digitali autorizzati dalla FDA.</w:t>
      </w:r>
    </w:p>
  </w:footnote>
  <w:footnote w:id="675">
    <w:p>
      <w:pPr>
        <w:pStyle w:val="FootnoteText"/>
      </w:pPr>
      <w:r>
        <w:rPr>
          <w:rStyle w:val="FootnoteReference"/>
        </w:rPr>
        <w:footnoteRef/>
      </w:r>
      <w:r>
        <w:t xml:space="preserve"> </w:t>
      </w:r>
      <w:r>
        <w:t xml:space="preserve">Studi su scriba di IA ambientale: studio pilota Stanford Health Care (DAX Copilot) con risparmio mediano di 20 minuti per mezza giornata di ambulatorio; studio randomizzato pragmatico UW Health con riduzione del tempo di documentazione di circa 30 minuti al giorno per operatore e riduzione del burnout.</w:t>
      </w:r>
    </w:p>
  </w:footnote>
  <w:footnote w:id="676">
    <w:p>
      <w:pPr>
        <w:pStyle w:val="FootnoteText"/>
      </w:pPr>
      <w:r>
        <w:rPr>
          <w:rStyle w:val="FootnoteReference"/>
        </w:rPr>
        <w:footnoteRef/>
      </w:r>
      <w:r>
        <w:t xml:space="preserve"> </w:t>
      </w:r>
      <w:r>
        <w:t xml:space="preserve">Studio randomizzato UCLA Health su due scriba di IA ambientale (238 medici, 2024-2025): benefici misurabili sull’efficienza, ma comparsa occasionale di inesattezze clinicamente rilevanti, da cui la necessita di una revisione vigile da parte del professionista.</w:t>
      </w:r>
    </w:p>
  </w:footnote>
  <w:footnote w:id="677">
    <w:p>
      <w:pPr>
        <w:pStyle w:val="FootnoteText"/>
      </w:pPr>
      <w:r>
        <w:rPr>
          <w:rStyle w:val="FootnoteReference"/>
        </w:rPr>
        <w:footnoteRef/>
      </w:r>
      <w:r>
        <w:t xml:space="preserve"> </w:t>
      </w:r>
      <w:r>
        <w:t xml:space="preserve">Bremer et al., citato in PMC12273524 (2025): un trattamento della depressione assistito da machine learning ha prodotto una riduzione marginale degli esiti clinici (1,98%) a fronte di un contenimento dei costi del 5,42%.</w:t>
      </w:r>
    </w:p>
  </w:footnote>
  <w:footnote w:id="678">
    <w:p>
      <w:pPr>
        <w:pStyle w:val="FootnoteText"/>
      </w:pPr>
      <w:r>
        <w:rPr>
          <w:rStyle w:val="FootnoteReference"/>
        </w:rPr>
        <w:footnoteRef/>
      </w:r>
      <w:r>
        <w:t xml:space="preserve"> </w:t>
      </w:r>
      <w:r>
        <w:t xml:space="preserve">Revisione sistematica con metanalisi sulla costo-efficacia della teleriabilitazione (PMC11911901, 2025): probabilita di costo-efficacia del 90% a una soglia di 30.000 dollari per anno di vita aggiustato per qualita, con riduzione dei costi di trasporto e delle riammissioni e migliore aderenza.</w:t>
      </w:r>
    </w:p>
  </w:footnote>
  <w:footnote w:id="679">
    <w:p>
      <w:pPr>
        <w:pStyle w:val="FootnoteText"/>
      </w:pPr>
      <w:r>
        <w:rPr>
          <w:rStyle w:val="FootnoteReference"/>
        </w:rPr>
        <w:footnoteRef/>
      </w:r>
      <w:r>
        <w:t xml:space="preserve"> </w:t>
      </w:r>
      <w:r>
        <w:t xml:space="preserve">Molina-Garcia P, et al. Costo-efficacia della teleriabilitazione per i disturbi muscoloscheletrici (Annals of Physical and Rehabilitation Medicine, 2024;67(1):101791); metanalisi di studi controllati sulla riabilitazione cardiaca a distanza: miglioramento della capacita funzionale, dei passi giornalieri e della qualita di vita, con riduzione dei sintomi depressivi.</w:t>
      </w:r>
    </w:p>
  </w:footnote>
  <w:footnote w:id="680">
    <w:p>
      <w:pPr>
        <w:pStyle w:val="FootnoteText"/>
      </w:pPr>
      <w:r>
        <w:rPr>
          <w:rStyle w:val="FootnoteReference"/>
        </w:rPr>
        <w:footnoteRef/>
      </w:r>
      <w:r>
        <w:t xml:space="preserve"> </w:t>
      </w:r>
      <w:r>
        <w:t xml:space="preserve">Revisione rapida (JMIR Rehabilitation and Assistive Technologies, 2025): la riabilitazione digitale assistita da IA accresce l’aderenza dell’utente attraverso il monitoraggio dell’esercizio, i contenuti motivazionali e la previsione dell’andamento del recupero.</w:t>
      </w:r>
    </w:p>
  </w:footnote>
  <w:footnote w:id="681">
    <w:p>
      <w:pPr>
        <w:pStyle w:val="FootnoteText"/>
      </w:pPr>
      <w:r>
        <w:rPr>
          <w:rStyle w:val="FootnoteReference"/>
        </w:rPr>
        <w:footnoteRef/>
      </w:r>
      <w:r>
        <w:t xml:space="preserve"> </w:t>
      </w:r>
      <w:r>
        <w:t xml:space="preserve">Revisione sistematica sulla telesalute nella malattia mentale grave (PMC6314801): il supporto a distanza migliora l’aderenza al trattamento e riduce la gravita dei sintomi e le giornate di degenza; la riabilitazione cognitiva computer-assistita migliora la funzione cognitiva.</w:t>
      </w:r>
    </w:p>
  </w:footnote>
  <w:footnote w:id="682">
    <w:p>
      <w:pPr>
        <w:pStyle w:val="FootnoteText"/>
      </w:pPr>
      <w:r>
        <w:rPr>
          <w:rStyle w:val="FootnoteReference"/>
        </w:rPr>
        <w:footnoteRef/>
      </w:r>
      <w:r>
        <w:t xml:space="preserve"> </w:t>
      </w:r>
      <w:r>
        <w:t xml:space="preserve">Poddar e Rao (Frontiers in Artificial Intelligence, 2024): una ricerca per parole chiave</w:t>
      </w:r>
      <w:r>
        <w:t xml:space="preserve"> </w:t>
      </w:r>
      <w:r>
        <w:t xml:space="preserve">‘</w:t>
      </w:r>
      <w:r>
        <w:t xml:space="preserve">Artificial Intelligence</w:t>
      </w:r>
      <w:r>
        <w:t xml:space="preserve">’</w:t>
      </w:r>
      <w:r>
        <w:t xml:space="preserve"> </w:t>
      </w:r>
      <w:r>
        <w:t xml:space="preserve">e</w:t>
      </w:r>
      <w:r>
        <w:t xml:space="preserve"> </w:t>
      </w:r>
      <w:r>
        <w:t xml:space="preserve">‘</w:t>
      </w:r>
      <w:r>
        <w:t xml:space="preserve">Health</w:t>
      </w:r>
      <w:r>
        <w:t xml:space="preserve">’</w:t>
      </w:r>
      <w:r>
        <w:t xml:space="preserve"> </w:t>
      </w:r>
      <w:r>
        <w:t xml:space="preserve">nella banca dati Patentscope della WIPO ha restituito 2.696 brevetti, di cui 233 nell’ambito del Trattato di cooperazione in materia di brevetti; le imprese farmaceutiche hanno registrato un incremento del 52% delle domande di brevetto basate sull’IA nel 2023.</w:t>
      </w:r>
    </w:p>
  </w:footnote>
  <w:footnote w:id="683">
    <w:p>
      <w:pPr>
        <w:pStyle w:val="FootnoteText"/>
      </w:pPr>
      <w:r>
        <w:rPr>
          <w:rStyle w:val="FootnoteReference"/>
        </w:rPr>
        <w:footnoteRef/>
      </w:r>
      <w:r>
        <w:t xml:space="preserve"> </w:t>
      </w:r>
      <w:r>
        <w:t xml:space="preserve">WIPO, Patent Landscape Report sull’IA generativa (luglio 2024): le famiglie brevettuali in materia di IA generativa sono cresciute da 733 nel 2014 a oltre 14.000 nel 2023, con un incremento superiore all’800% dopo l’introduzione dell’architettura transformer nel 2017; le imprese cinesi figurano tra i principali depositari.</w:t>
      </w:r>
    </w:p>
  </w:footnote>
  <w:footnote w:id="684">
    <w:p>
      <w:pPr>
        <w:pStyle w:val="FootnoteText"/>
      </w:pPr>
      <w:r>
        <w:rPr>
          <w:rStyle w:val="FootnoteReference"/>
        </w:rPr>
        <w:footnoteRef/>
      </w:r>
      <w:r>
        <w:t xml:space="preserve"> </w:t>
      </w:r>
      <w:r>
        <w:t xml:space="preserve">Stime di mercato (Expert Market Research, 2024-2025): il mercato dell’IA in sanita, valutato in circa 24,6 miliardi di dollari nel 2024, e atteso crescere a un tasso annuo composto di circa il 41,6% fino a superare i 790 miliardi nel 2034; secondo un rapporto Microsoft-IDC del marzo 2024 il 79% delle imprese sanitarie utilizzava gia tecnologie di IA.</w:t>
      </w:r>
    </w:p>
  </w:footnote>
  <w:footnote w:id="685">
    <w:p>
      <w:pPr>
        <w:pStyle w:val="FootnoteText"/>
      </w:pPr>
      <w:r>
        <w:rPr>
          <w:rStyle w:val="FootnoteReference"/>
        </w:rPr>
        <w:footnoteRef/>
      </w:r>
      <w:r>
        <w:t xml:space="preserve"> </w:t>
      </w:r>
      <w:r>
        <w:t xml:space="preserve">Regolamento europeo sull’IA (AI Act), in vigore dall’agosto 2024: i sistemi di IA nei dispositivi medici sono classificati ad alto rischio (Allegato I); la maggior parte degli obblighi decorre dall’agosto 2026, con piena conformita dall’agosto 2027; la guida MDCG 2025-6 chiarisce l’interazione con il Regolamento dispositivi medici.</w:t>
      </w:r>
    </w:p>
  </w:footnote>
  <w:footnote w:id="686">
    <w:p>
      <w:pPr>
        <w:pStyle w:val="FootnoteText"/>
      </w:pPr>
      <w:r>
        <w:rPr>
          <w:rStyle w:val="FootnoteReference"/>
        </w:rPr>
        <w:footnoteRef/>
      </w:r>
      <w:r>
        <w:t xml:space="preserve"> </w:t>
      </w:r>
      <w:r>
        <w:t xml:space="preserve">Analisi 2025: meno del 2% dei dispositivi di IA/ML autorizzati dalla FDA risulta sostenuto da studi clinici randomizzati, e la trasparenza sui dati di addestramento resta limitata; elemento che impone validazione locale e monitoraggio prospettico degli esiti.</w:t>
      </w:r>
    </w:p>
  </w:footnote>
  <w:footnote w:id="687">
    <w:p>
      <w:pPr>
        <w:pStyle w:val="FootnoteText"/>
      </w:pPr>
      <w:r>
        <w:rPr>
          <w:rStyle w:val="FootnoteReference"/>
        </w:rPr>
        <w:footnoteRef/>
      </w:r>
      <w:r>
        <w:t xml:space="preserve"> </w:t>
      </w:r>
      <w:r>
        <w:t xml:space="preserve">Stime per canale e grandezze regionali sviluppate nel capitolo integrativo della Relazione tecnico-finanziaria sullo Psicologo di Base e nei Capitoli 4-7, a partire dai conti sanitari ufficiali (quota pugliese pari a circa il 6,6% della popolazione italiana).</w:t>
      </w:r>
    </w:p>
  </w:footnote>
  <w:footnote w:id="688">
    <w:p>
      <w:pPr>
        <w:pStyle w:val="FootnoteText"/>
      </w:pPr>
      <w:r>
        <w:rPr>
          <w:rStyle w:val="FootnoteReference"/>
        </w:rPr>
        <w:footnoteRef/>
      </w:r>
      <w:r>
        <w:t xml:space="preserve"> </w:t>
      </w:r>
      <w:r>
        <w:t xml:space="preserve">Istituto Superiore di Sanita: corsi di formazione a distanza gratuiti su IA, machine learning, deep learning e reti neurali applicate alla clinica, rivolti a tutte le professioni sanitarie (portale FNOMCeO); percorsi sperimentali di 10-15 ore espressamente concepiti per i medici di famiglia.</w:t>
      </w:r>
    </w:p>
  </w:footnote>
  <w:footnote w:id="689">
    <w:p>
      <w:pPr>
        <w:pStyle w:val="FootnoteText"/>
      </w:pPr>
      <w:r>
        <w:rPr>
          <w:rStyle w:val="FootnoteReference"/>
        </w:rPr>
        <w:footnoteRef/>
      </w:r>
      <w:r>
        <w:t xml:space="preserve"> </w:t>
      </w:r>
      <w:r>
        <w:t xml:space="preserve">Le diagnosi di esclusione comuni alle DiGA in salute mentale comprendono i disturbi mentali organici, i disturbi psicotici, i disturbi bipolari, i disturbi da uso di sostanze e la presenza di rischio suicidario; elemento che conferma la destinazione ai quadri lievi e moderati e la necessita di un inquadramento clinico preliminare.</w:t>
      </w:r>
    </w:p>
  </w:footnote>
  <w:footnote w:id="690">
    <w:p>
      <w:pPr>
        <w:pStyle w:val="FootnoteText"/>
      </w:pPr>
      <w:r>
        <w:rPr>
          <w:rStyle w:val="FootnoteReference"/>
        </w:rPr>
        <w:footnoteRef/>
      </w:r>
      <w:r>
        <w:t xml:space="preserve"> </w:t>
      </w:r>
      <w:r>
        <w:t xml:space="preserve">Regolamento europeo sull’IA (AI Act), in vigore dall’agosto 2024: i sistemi di IA nei dispositivi medici sono classificati ad alto rischio; la maggior parte degli obblighi decorre dall’agosto 2026, con piena conformita dall’agosto 2027; la guida MDCG 2025-6 chiarisce l’interazione con il Regolamento dispositivi medici. I dispositivi terapeutici digitali che incorporano IA adattiva ricadono in tale perimetro.</w:t>
      </w:r>
    </w:p>
  </w:footnote>
  <w:footnote w:id="691">
    <w:p>
      <w:pPr>
        <w:pStyle w:val="FootnoteText"/>
      </w:pPr>
      <w:r>
        <w:rPr>
          <w:rStyle w:val="FootnoteReference"/>
        </w:rPr>
        <w:footnoteRef/>
      </w:r>
      <w:r>
        <w:t xml:space="preserve"> </w:t>
      </w:r>
      <w:r>
        <w:t xml:space="preserve">reSET (Pear Therapeutics): primo dispositivo terapeutico digitale su prescrizione in assoluto, autorizzato dalla FDA nel 2017 per i disturbi da uso di sostanze; reSET-O, autorizzato nel 2018 per il disturbo da uso di oppioidi in associazione alla buprenorfina.</w:t>
      </w:r>
    </w:p>
  </w:footnote>
  <w:footnote w:id="692">
    <w:p>
      <w:pPr>
        <w:pStyle w:val="FootnoteText"/>
      </w:pPr>
      <w:r>
        <w:rPr>
          <w:rStyle w:val="FootnoteReference"/>
        </w:rPr>
        <w:footnoteRef/>
      </w:r>
      <w:r>
        <w:t xml:space="preserve"> </w:t>
      </w:r>
      <w:r>
        <w:t xml:space="preserve">EndeavorRx (Akili Interactive): primo trattamento su prescrizione erogato attraverso un videogioco, autorizzato dalla FDA nel giugno 2020 (percorso De Novo) per migliorare la funzione attentiva nei bambini con disturbo da deficit di attenzione e iperattivita, poi esteso alla fascia 8-17 anni; uso di circa 25-30 minuti al giorno per cinque giorni a settimana. Nello studio cardine (Kollins et al., Lancet Digital Health, 2020) il 47% dei bambini trattati ha mostrato un miglioramento significativo del Test of Variables of Attention contro il 32% del gruppo di controllo; nei due studi a sostegno (342 partecipanti) gli eventi avversi correlati sono stati il 4,97%, senza eventi gravi. Non sostituisce il farmaco e va impiegato entro un programma terapeutico.</w:t>
      </w:r>
    </w:p>
  </w:footnote>
  <w:footnote w:id="693">
    <w:p>
      <w:pPr>
        <w:pStyle w:val="FootnoteText"/>
      </w:pPr>
      <w:r>
        <w:rPr>
          <w:rStyle w:val="FootnoteReference"/>
        </w:rPr>
        <w:footnoteRef/>
      </w:r>
      <w:r>
        <w:t xml:space="preserve"> </w:t>
      </w:r>
      <w:r>
        <w:t xml:space="preserve">Rejoyn (Otsuka Pharmaceutical e Click Therapeutics): primo dispositivo terapeutico digitale su prescrizione autorizzato dalla FDA (aprile 2024, autorizzazione 510(k) K231209) per il disturbo depressivo maggiore negli adulti dai 22 anni, come adiuvante della cura ambulatoriale con antidepressivi; programma di sei settimane validato in uno studio di fase 3 randomizzato in doppio cieco contro applicazione fittizia su 386 pazienti (NCT04770285).</w:t>
      </w:r>
    </w:p>
  </w:footnote>
  <w:footnote w:id="694">
    <w:p>
      <w:pPr>
        <w:pStyle w:val="FootnoteText"/>
      </w:pPr>
      <w:r>
        <w:rPr>
          <w:rStyle w:val="FootnoteReference"/>
        </w:rPr>
        <w:footnoteRef/>
      </w:r>
      <w:r>
        <w:t xml:space="preserve"> </w:t>
      </w:r>
      <w:r>
        <w:t xml:space="preserve">MamaLift Plus (Curio Digital Therapeutics): autorizzato dalla FDA nell’aprile 2024, primo dispositivo terapeutico digitale su prescrizione per la depressione post-partum.</w:t>
      </w:r>
    </w:p>
  </w:footnote>
  <w:footnote w:id="695">
    <w:p>
      <w:pPr>
        <w:pStyle w:val="FootnoteText"/>
      </w:pPr>
      <w:r>
        <w:rPr>
          <w:rStyle w:val="FootnoteReference"/>
        </w:rPr>
        <w:footnoteRef/>
      </w:r>
      <w:r>
        <w:t xml:space="preserve"> </w:t>
      </w:r>
      <w:r>
        <w:t xml:space="preserve">Nel novembre 2024 il sistema assicurativo pubblico statunitense ha approvato tre codici di rimborso dedicati ai dispositivi terapeutici digitali; nel settembre 2025 un grande assicuratore privato ha annunciato la copertura dei dispositivi terapeutici digitali autorizzati dalla FDA.</w:t>
      </w:r>
    </w:p>
  </w:footnote>
  <w:footnote w:id="696">
    <w:p>
      <w:pPr>
        <w:pStyle w:val="FootnoteText"/>
      </w:pPr>
      <w:r>
        <w:rPr>
          <w:rStyle w:val="FootnoteReference"/>
        </w:rPr>
        <w:footnoteRef/>
      </w:r>
      <w:r>
        <w:t xml:space="preserve"> </w:t>
      </w:r>
      <w:r>
        <w:t xml:space="preserve">Germania, Legge sull’assistenza sanitaria digitale (Digitale-Versorgung-Gesetz) del 2019: il percorso accelerato per le applicazioni sanitarie digitali (Digitale Gesundheitsanwendungen, DiGA Fast-Track) rappresenta il primo sistema strutturato al mondo di rimborso su larga scala di applicazioni sanitarie prescrivibili; il percorso e aperto a tutte le imprese dell’Unione Europea.</w:t>
      </w:r>
    </w:p>
  </w:footnote>
  <w:footnote w:id="697">
    <w:p>
      <w:pPr>
        <w:pStyle w:val="FootnoteText"/>
      </w:pPr>
      <w:r>
        <w:rPr>
          <w:rStyle w:val="FootnoteReference"/>
        </w:rPr>
        <w:footnoteRef/>
      </w:r>
      <w:r>
        <w:t xml:space="preserve"> </w:t>
      </w:r>
      <w:r>
        <w:t xml:space="preserve">Le DiGA sono certificate come dispositivi medici a basso rischio, prescrivibili da medici e psicoterapeuti o erogabili previa approvazione dell’assicurazione; l’Istituto federale per i farmaci e i dispositivi medici (BfArM) ne valuta l’ammissione al registro, in via temporanea (un anno, in attesa di rivalutazione) o permanente, previa dimostrazione di un effetto positivo sull’assistenza. Oltre 73 milioni di persone in Germania hanno accesso alle DiGA.</w:t>
      </w:r>
    </w:p>
  </w:footnote>
  <w:footnote w:id="698">
    <w:p>
      <w:pPr>
        <w:pStyle w:val="FootnoteText"/>
      </w:pPr>
      <w:r>
        <w:rPr>
          <w:rStyle w:val="FootnoteReference"/>
        </w:rPr>
        <w:footnoteRef/>
      </w:r>
      <w:r>
        <w:t xml:space="preserve"> </w:t>
      </w:r>
      <w:r>
        <w:t xml:space="preserve">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699">
    <w:p>
      <w:pPr>
        <w:pStyle w:val="FootnoteText"/>
      </w:pPr>
      <w:r>
        <w:rPr>
          <w:rStyle w:val="FootnoteReference"/>
        </w:rPr>
        <w:footnoteRef/>
      </w:r>
      <w:r>
        <w:t xml:space="preserve"> </w:t>
      </w:r>
      <w:r>
        <w:t xml:space="preserve">NICE, Medical Technologies Guidance MTG70, Sleepio to treat insomnia and insomnia symptoms (2024): Sleepio e raccomandato come opzione per l’insonnia e i sintomi di insonnia nelle cure primarie, in alternativa all’assistenza usuale; le persone non dovrebbero essere indirizzate a Sleepio se sono eleggibili e hanno accesso alla terapia cognitivo-comportamentale per l’insonnia in presenza. La mancanza di un confronto diretto con quest’ultima e indicata come limite dell’evidenza.</w:t>
      </w:r>
    </w:p>
  </w:footnote>
  <w:footnote w:id="700">
    <w:p>
      <w:pPr>
        <w:pStyle w:val="FootnoteText"/>
      </w:pPr>
      <w:r>
        <w:rPr>
          <w:rStyle w:val="FootnoteReference"/>
        </w:rPr>
        <w:footnoteRef/>
      </w:r>
      <w:r>
        <w:t xml:space="preserve"> </w:t>
      </w:r>
      <w:r>
        <w:t xml:space="preserve">Regolamento europeo sull’IA (AI Act), in vigore dall’agosto 2024: i sistemi di IA nei dispositivi medici sono classificati ad alto rischio; la maggior parte degli obblighi decorre dall’agosto 2026, con piena conformita dall’agosto 2027; la guida MDCG 2025-6 chiarisce l’interazione con il Regolamento dispositivi medici. I dispositivi terapeutici digitali che incorporano IA adattiva ricadono in tale perimetro.</w:t>
      </w:r>
    </w:p>
  </w:footnote>
  <w:footnote w:id="701">
    <w:p>
      <w:pPr>
        <w:pStyle w:val="FootnoteText"/>
      </w:pPr>
      <w:r>
        <w:rPr>
          <w:rStyle w:val="FootnoteReference"/>
        </w:rPr>
        <w:footnoteRef/>
      </w:r>
      <w:r>
        <w:t xml:space="preserve"> </w:t>
      </w:r>
      <w:r>
        <w:t xml:space="preserve">Rejoyn (Otsuka Pharmaceutical e Click Therapeutics): primo dispositivo terapeutico digitale su prescrizione autorizzato dalla FDA (aprile 2024, autorizzazione 510(k) K231209) per il disturbo depressivo maggiore negli adulti dai 22 anni, come adiuvante della cura ambulatoriale con antidepressivi; programma di sei settimane validato in uno studio di fase 3 randomizzato in doppio cieco contro applicazione fittizia su 386 pazienti (NCT04770285).</w:t>
      </w:r>
    </w:p>
  </w:footnote>
  <w:footnote w:id="702">
    <w:p>
      <w:pPr>
        <w:pStyle w:val="FootnoteText"/>
      </w:pPr>
      <w:r>
        <w:rPr>
          <w:rStyle w:val="FootnoteReference"/>
        </w:rPr>
        <w:footnoteRef/>
      </w:r>
      <w:r>
        <w:t xml:space="preserve"> </w:t>
      </w:r>
      <w:r>
        <w:t xml:space="preserve">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703">
    <w:p>
      <w:pPr>
        <w:pStyle w:val="FootnoteText"/>
      </w:pPr>
      <w:r>
        <w:rPr>
          <w:rStyle w:val="FootnoteReference"/>
        </w:rPr>
        <w:footnoteRef/>
      </w:r>
      <w:r>
        <w:t xml:space="preserve"> </w:t>
      </w:r>
      <w:r>
        <w:t xml:space="preserve">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704">
    <w:p>
      <w:pPr>
        <w:pStyle w:val="FootnoteText"/>
      </w:pPr>
      <w:r>
        <w:rPr>
          <w:rStyle w:val="FootnoteReference"/>
        </w:rPr>
        <w:footnoteRef/>
      </w:r>
      <w:r>
        <w:t xml:space="preserve"> </w:t>
      </w:r>
      <w:r>
        <w:t xml:space="preserve">SparkRx (Limbix): dispositivo terapeutico digitale per i sintomi depressivi negli adolescenti.</w:t>
      </w:r>
    </w:p>
  </w:footnote>
  <w:footnote w:id="705">
    <w:p>
      <w:pPr>
        <w:pStyle w:val="FootnoteText"/>
      </w:pPr>
      <w:r>
        <w:rPr>
          <w:rStyle w:val="FootnoteReference"/>
        </w:rPr>
        <w:footnoteRef/>
      </w:r>
      <w:r>
        <w:t xml:space="preserve"> </w:t>
      </w:r>
      <w:r>
        <w:t xml:space="preserve">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706">
    <w:p>
      <w:pPr>
        <w:pStyle w:val="FootnoteText"/>
      </w:pPr>
      <w:r>
        <w:rPr>
          <w:rStyle w:val="FootnoteReference"/>
        </w:rPr>
        <w:footnoteRef/>
      </w:r>
      <w:r>
        <w:t xml:space="preserve"> </w:t>
      </w:r>
      <w:r>
        <w:t xml:space="preserve">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707">
    <w:p>
      <w:pPr>
        <w:pStyle w:val="FootnoteText"/>
      </w:pPr>
      <w:r>
        <w:rPr>
          <w:rStyle w:val="FootnoteReference"/>
        </w:rPr>
        <w:footnoteRef/>
      </w:r>
      <w:r>
        <w:t xml:space="preserve"> </w:t>
      </w:r>
      <w:r>
        <w:t xml:space="preserve">Somryst (Pear Therapeutics, poi Nox Health): primo dispositivo terapeutico digitale su prescrizione per l’insonnia cronica (FDA 2020), programma di nove settimane di terapia cognitivo-comportamentale per l’insonnia; due studi randomizzati su oltre 1.400 adulti, riduzione della gravita dell’insonnia di circa il 45% mantenuta a sei e dodici mesi; il secondo studio ha riguardato 1.149 pazienti con insonnia e depressione.</w:t>
      </w:r>
    </w:p>
  </w:footnote>
  <w:footnote w:id="708">
    <w:p>
      <w:pPr>
        <w:pStyle w:val="FootnoteText"/>
      </w:pPr>
      <w:r>
        <w:rPr>
          <w:rStyle w:val="FootnoteReference"/>
        </w:rPr>
        <w:footnoteRef/>
      </w:r>
      <w:r>
        <w:t xml:space="preserve"> </w:t>
      </w:r>
      <w:r>
        <w:t xml:space="preserve">SleepioRx (Big Health): autorizzato dalla FDA nell’agosto 2024 per l’insonnia; la versione Sleepio eroga terapia cognitivo-comportamentale per l’insonnia mediante un terapeuta virtuale ed e sostenuta da oltre venticinque studi clinici, con quote elevate di pazienti che raggiungono un sonno sano e riduzioni rilevanti del tempo di addormentamento e del tempo di veglia notturna.</w:t>
      </w:r>
    </w:p>
  </w:footnote>
  <w:footnote w:id="709">
    <w:p>
      <w:pPr>
        <w:pStyle w:val="FootnoteText"/>
      </w:pPr>
      <w:r>
        <w:rPr>
          <w:rStyle w:val="FootnoteReference"/>
        </w:rPr>
        <w:footnoteRef/>
      </w:r>
      <w:r>
        <w:t xml:space="preserve"> </w:t>
      </w:r>
      <w:r>
        <w:t xml:space="preserve">NICE, Medical Technologies Guidance MTG70, Sleepio to treat insomnia and insomnia symptoms (2024): Sleepio e raccomandato come opzione per l’insonnia e i sintomi di insonnia nelle cure primarie, in alternativa all’assistenza usuale; le persone non dovrebbero essere indirizzate a Sleepio se sono eleggibili e hanno accesso alla terapia cognitivo-comportamentale per l’insonnia in presenza. La mancanza di un confronto diretto con quest’ultima e indicata come limite dell’evidenza.</w:t>
      </w:r>
    </w:p>
  </w:footnote>
  <w:footnote w:id="710">
    <w:p>
      <w:pPr>
        <w:pStyle w:val="FootnoteText"/>
      </w:pPr>
      <w:r>
        <w:rPr>
          <w:rStyle w:val="FootnoteReference"/>
        </w:rPr>
        <w:footnoteRef/>
      </w:r>
      <w:r>
        <w:t xml:space="preserve"> </w:t>
      </w:r>
      <w:r>
        <w:t xml:space="preserve">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711">
    <w:p>
      <w:pPr>
        <w:pStyle w:val="FootnoteText"/>
      </w:pPr>
      <w:r>
        <w:rPr>
          <w:rStyle w:val="FootnoteReference"/>
        </w:rPr>
        <w:footnoteRef/>
      </w:r>
      <w:r>
        <w:t xml:space="preserve"> </w:t>
      </w:r>
      <w:r>
        <w:t xml:space="preserve">reSET (Pear Therapeutics): primo dispositivo terapeutico digitale su prescrizione in assoluto, autorizzato dalla FDA nel 2017 per i disturbi da uso di sostanze; reSET-O, autorizzato nel 2018 per il disturbo da uso di oppioidi in associazione alla buprenorfina.</w:t>
      </w:r>
    </w:p>
  </w:footnote>
  <w:footnote w:id="712">
    <w:p>
      <w:pPr>
        <w:pStyle w:val="FootnoteText"/>
      </w:pPr>
      <w:r>
        <w:rPr>
          <w:rStyle w:val="FootnoteReference"/>
        </w:rPr>
        <w:footnoteRef/>
      </w:r>
      <w:r>
        <w:t xml:space="preserve"> </w:t>
      </w:r>
      <w:r>
        <w:t xml:space="preserve">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713">
    <w:p>
      <w:pPr>
        <w:pStyle w:val="FootnoteText"/>
      </w:pPr>
      <w:r>
        <w:rPr>
          <w:rStyle w:val="FootnoteReference"/>
        </w:rPr>
        <w:footnoteRef/>
      </w:r>
      <w:r>
        <w:t xml:space="preserve"> </w:t>
      </w:r>
      <w:r>
        <w:t xml:space="preserve">MamaLift Plus (Curio Digital Therapeutics): autorizzato dalla FDA nell’aprile 2024, primo dispositivo terapeutico digitale su prescrizione per la depressione post-partum.</w:t>
      </w:r>
    </w:p>
  </w:footnote>
  <w:footnote w:id="714">
    <w:p>
      <w:pPr>
        <w:pStyle w:val="FootnoteText"/>
      </w:pPr>
      <w:r>
        <w:rPr>
          <w:rStyle w:val="FootnoteReference"/>
        </w:rPr>
        <w:footnoteRef/>
      </w:r>
      <w:r>
        <w:t xml:space="preserve"> </w:t>
      </w:r>
      <w:r>
        <w:t xml:space="preserve">NightWare: autorizzato dalla FDA nel novembre 2020; funziona su orologio intelligente e impiega algoritmi su frequenza cardiaca e movimento per rilevare gli incubi nel disturbo post-traumatico da stress, erogando vibrazioni che li interrompono.</w:t>
      </w:r>
    </w:p>
  </w:footnote>
  <w:footnote w:id="715">
    <w:p>
      <w:pPr>
        <w:pStyle w:val="FootnoteText"/>
      </w:pPr>
      <w:r>
        <w:rPr>
          <w:rStyle w:val="FootnoteReference"/>
        </w:rPr>
        <w:footnoteRef/>
      </w:r>
      <w:r>
        <w:t xml:space="preserve"> </w:t>
      </w:r>
      <w:r>
        <w:t xml:space="preserve">EndeavorRx (Akili Interactive): primo trattamento su prescrizione erogato attraverso un videogioco, autorizzato dalla FDA nel giugno 2020 (percorso De Novo) per migliorare la funzione attentiva nei bambini con disturbo da deficit di attenzione e iperattivita, poi esteso alla fascia 8-17 anni; uso di circa 25-30 minuti al giorno per cinque giorni a settimana. Nello studio cardine (Kollins et al., Lancet Digital Health, 2020) il 47% dei bambini trattati ha mostrato un miglioramento significativo del Test of Variables of Attention contro il 32% del gruppo di controllo; nei due studi a sostegno (342 partecipanti) gli eventi avversi correlati sono stati il 4,97%, senza eventi gravi. Non sostituisce il farmaco e va impiegato entro un programma terapeutico.</w:t>
      </w:r>
    </w:p>
  </w:footnote>
  <w:footnote w:id="716">
    <w:p>
      <w:pPr>
        <w:pStyle w:val="FootnoteText"/>
      </w:pPr>
      <w:r>
        <w:rPr>
          <w:rStyle w:val="FootnoteReference"/>
        </w:rPr>
        <w:footnoteRef/>
      </w:r>
      <w:r>
        <w:t xml:space="preserve"> </w:t>
      </w:r>
      <w:r>
        <w:t xml:space="preserve">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717">
    <w:p>
      <w:pPr>
        <w:pStyle w:val="FootnoteText"/>
      </w:pPr>
      <w:r>
        <w:rPr>
          <w:rStyle w:val="FootnoteReference"/>
        </w:rPr>
        <w:footnoteRef/>
      </w:r>
      <w:r>
        <w:t xml:space="preserve"> </w:t>
      </w:r>
      <w:r>
        <w:t xml:space="preserve">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718">
    <w:p>
      <w:pPr>
        <w:pStyle w:val="FootnoteText"/>
      </w:pPr>
      <w:r>
        <w:rPr>
          <w:rStyle w:val="FootnoteReference"/>
        </w:rPr>
        <w:footnoteRef/>
      </w:r>
      <w:r>
        <w:t xml:space="preserve"> </w:t>
      </w:r>
      <w:r>
        <w:t xml:space="preserve">Revisione sistematica sulla robustezza dell’evidenza delle DiGA rimborsabili in Germania (npj Digital Medicine, 2025; DOI 10.1038/s41746-025-01879-6), condotta secondo le linee guida PRISMA 2020.</w:t>
      </w:r>
    </w:p>
  </w:footnote>
  <w:footnote w:id="719">
    <w:p>
      <w:pPr>
        <w:pStyle w:val="FootnoteText"/>
      </w:pPr>
      <w:r>
        <w:rPr>
          <w:rStyle w:val="FootnoteReference"/>
        </w:rPr>
        <w:footnoteRef/>
      </w:r>
      <w:r>
        <w:t xml:space="preserve"> </w:t>
      </w:r>
      <w:r>
        <w:t xml:space="preserve">Analisi 2025: meno del 2% dei dispositivi di IA/ML autorizzati dalla FDA risulta sostenuto da studi clinici randomizzati, e la trasparenza sui dati di addestramento resta limitata; cautela che si estende, sia pure in misura minore, ai dispositivi terapeutici digitali, la cui base di evidenza e disomogenea.</w:t>
      </w:r>
    </w:p>
  </w:footnote>
  <w:footnote w:id="720">
    <w:p>
      <w:pPr>
        <w:pStyle w:val="FootnoteText"/>
      </w:pPr>
      <w:r>
        <w:rPr>
          <w:rStyle w:val="FootnoteReference"/>
        </w:rPr>
        <w:footnoteRef/>
      </w:r>
      <w:r>
        <w:t xml:space="preserve"> </w:t>
      </w:r>
      <w:r>
        <w:t xml:space="preserve">Le DiGA sono certificate come dispositivi medici a basso rischio, prescrivibili da medici e psicoterapeuti o erogabili previa approvazione dell’assicurazione; l’Istituto federale per i farmaci e i dispositivi medici (BfArM) ne valuta l’ammissione al registro, in via temporanea (un anno, in attesa di rivalutazione) o permanente, previa dimostrazione di un effetto positivo sull’assistenza. Oltre 73 milioni di persone in Germania hanno accesso alle DiGA.</w:t>
      </w:r>
    </w:p>
  </w:footnote>
  <w:footnote w:id="721">
    <w:p>
      <w:pPr>
        <w:pStyle w:val="FootnoteText"/>
      </w:pPr>
      <w:r>
        <w:rPr>
          <w:rStyle w:val="FootnoteReference"/>
        </w:rPr>
        <w:footnoteRef/>
      </w:r>
      <w:r>
        <w:t xml:space="preserve"> </w:t>
      </w:r>
      <w:r>
        <w:t xml:space="preserve">NICE, Medical Technologies Guidance MTG70, Sleepio to treat insomnia and insomnia symptoms (2024): Sleepio e raccomandato come opzione per l’insonnia e i sintomi di insonnia nelle cure primarie, in alternativa all’assistenza usuale; le persone non dovrebbero essere indirizzate a Sleepio se sono eleggibili e hanno accesso alla terapia cognitivo-comportamentale per l’insonnia in presenza. La mancanza di un confronto diretto con quest’ultima e indicata come limite dell’evidenza.</w:t>
      </w:r>
    </w:p>
  </w:footnote>
  <w:footnote w:id="722">
    <w:p>
      <w:pPr>
        <w:pStyle w:val="FootnoteText"/>
      </w:pPr>
      <w:r>
        <w:rPr>
          <w:rStyle w:val="FootnoteReference"/>
        </w:rPr>
        <w:footnoteRef/>
      </w:r>
      <w:r>
        <w:t xml:space="preserve"> </w:t>
      </w:r>
      <w:r>
        <w:t xml:space="preserve">Nel novembre 2024 il sistema assicurativo pubblico statunitense ha approvato tre codici di rimborso dedicati ai dispositivi terapeutici digitali; nel settembre 2025 un grande assicuratore privato ha annunciato la copertura dei dispositivi terapeutici digitali autorizzati dalla FDA.</w:t>
      </w:r>
    </w:p>
  </w:footnote>
  <w:footnote w:id="723">
    <w:p>
      <w:pPr>
        <w:pStyle w:val="FootnoteText"/>
      </w:pPr>
      <w:r>
        <w:rPr>
          <w:rStyle w:val="FootnoteReference"/>
        </w:rPr>
        <w:footnoteRef/>
      </w:r>
      <w:r>
        <w:t xml:space="preserve"> </w:t>
      </w:r>
      <w:r>
        <w:t xml:space="preserve">Stime per canale e grandezze regionali sviluppate nel capitolo integrativo della Relazione tecnico-finanziaria sullo Psicologo di Base e nei Capitoli 4-7, a partire dai conti sanitari ufficiali (quota pugliese pari a circa il 6,6% della popolazione italiana; spesa farmaceutica territoriale dell’ordine di 800 milioni e spesa per salute mentale dell’ordine di 270 milioni l’anno).</w:t>
      </w:r>
    </w:p>
  </w:footnote>
  <w:footnote w:id="724">
    <w:p>
      <w:pPr>
        <w:pStyle w:val="FootnoteText"/>
      </w:pPr>
      <w:r>
        <w:rPr>
          <w:rStyle w:val="FootnoteReference"/>
        </w:rPr>
        <w:footnoteRef/>
      </w:r>
      <w:r>
        <w:t xml:space="preserve"> </w:t>
      </w:r>
      <w:r>
        <w:t xml:space="preserve">Bremer et al., citato in PMC12273524 (2025): un trattamento della depressione assistito da machine learning ha prodotto una riduzione marginale degli esiti clinici (1,98%) a fronte di un contenimento dei costi del 5,42%.</w:t>
      </w:r>
    </w:p>
  </w:footnote>
  <w:footnote w:id="725">
    <w:p>
      <w:pPr>
        <w:pStyle w:val="FootnoteText"/>
      </w:pPr>
      <w:r>
        <w:rPr>
          <w:rStyle w:val="FootnoteReference"/>
        </w:rPr>
        <w:footnoteRef/>
      </w:r>
      <w:r>
        <w:t xml:space="preserve"> </w:t>
      </w:r>
      <w:r>
        <w:t xml:space="preserve">El Arab RA, Al Moosa OA. Systematic review of cost-effectiveness and budget impact of artificial intelligence in healthcare. npj Digital Medicine, 2025; DOI 10.1038/s41746-025-01722-y: l’IA e gli interventi digitali riducono i costi prevalentemente attraverso la diminuzione delle procedure e degli accessi non necessari, con rapporti di costo-efficacia al di sotto delle soglie comunemente accettate.</w:t>
      </w:r>
    </w:p>
  </w:footnote>
  <w:footnote w:id="726">
    <w:p>
      <w:pPr>
        <w:pStyle w:val="FootnoteText"/>
      </w:pPr>
      <w:r>
        <w:rPr>
          <w:rStyle w:val="FootnoteReference"/>
        </w:rPr>
        <w:footnoteRef/>
      </w:r>
      <w:r>
        <w:t xml:space="preserve"> </w:t>
      </w:r>
      <w:r>
        <w:t xml:space="preserve">Istituto Superiore di Sanita: corsi di formazione a distanza gratuiti su IA e tecnologie digitali applicate alla clinica, rivolti a tutte le professioni sanitarie; percorsi sperimentali per i medici di famiglia (portale FNOMCeO).</w:t>
      </w:r>
    </w:p>
  </w:footnote>
  <w:footnote w:id="727">
    <w:p>
      <w:pPr>
        <w:pStyle w:val="FootnoteText"/>
      </w:pPr>
      <w:r>
        <w:rPr>
          <w:rStyle w:val="FootnoteReference"/>
        </w:rPr>
        <w:footnoteRef/>
      </w:r>
      <w:r>
        <w:t xml:space="preserve"> </w:t>
      </w:r>
      <w:r>
        <w:t xml:space="preserve">Le diagnosi di esclusione comuni alle DiGA in salute mentale comprendono i disturbi mentali organici, i disturbi psicotici, i disturbi bipolari, i disturbi da uso di sostanze e la presenza di rischio suicidario; elemento che conferma la destinazione ai quadri lievi e moderati e la necessita di un inquadramento clinico preliminare.</w:t>
      </w:r>
    </w:p>
  </w:footnote>
  <w:footnote w:id="728">
    <w:p>
      <w:pPr>
        <w:pStyle w:val="FootnoteText"/>
      </w:pPr>
      <w:r>
        <w:rPr>
          <w:rStyle w:val="FootnoteReference"/>
        </w:rPr>
        <w:footnoteRef/>
      </w:r>
      <w:r>
        <w:t xml:space="preserve"> </w:t>
      </w:r>
      <w:r>
        <w:t xml:space="preserve">Heinz MV, et al. Randomized Trial of a Generative AI Chatbot for Mental Health Treatment (Therabot). NEJM AI, 2025; DOI 10.1056/AIoa2400802: a otto settimane riduzione dei sintomi depressivi del 51%, ansiosi del 31% e delle preoccupazioni alimentari del 19%, con alleanza terapeutica comparabile a quella umana e necessita di supervisione clinica.</w:t>
      </w:r>
    </w:p>
  </w:footnote>
  <w:footnote w:id="729">
    <w:p>
      <w:pPr>
        <w:pStyle w:val="FootnoteText"/>
      </w:pPr>
      <w:r>
        <w:rPr>
          <w:rStyle w:val="FootnoteReference"/>
        </w:rPr>
        <w:footnoteRef/>
      </w:r>
      <w:r>
        <w:t xml:space="preserve"> </w:t>
      </w:r>
      <w:r>
        <w:t xml:space="preserve">Regolamento europeo sull’IA (AI Act), in vigore dall’agosto 2024: i sistemi di IA nei dispositivi medici sono classificati ad alto rischio; la maggior parte degli obblighi decorre dall’agosto 2026, con piena conformita dall’agosto 2027; la guida MDCG 2025-6 chiarisce l’interazione con il Regolamento dispositivi medici. I dispositivi terapeutici digitali che incorporano IA adattiva ricadono in tale perimetro.</w:t>
      </w:r>
    </w:p>
  </w:footnote>
  <w:footnote w:id="730">
    <w:p>
      <w:pPr>
        <w:pStyle w:val="FootnoteText"/>
      </w:pPr>
      <w:r>
        <w:rPr>
          <w:rStyle w:val="FootnoteReference"/>
        </w:rPr>
        <w:footnoteRef/>
      </w:r>
      <w:r>
        <w:t xml:space="preserve"> </w:t>
      </w:r>
      <w:r>
        <w:t xml:space="preserve">Legge regionale della Puglia n. 11 del 15 giugno 2023, prima in Italia a istituire il servizio: prevede lo psicologo di base in ogni Distretto e nelle Case della Comunità, il rapporto in convenzione, una funzione di filtro verso i servizi specialistici e il pronto soccorso, e un Osservatorio regionale di governo.</w:t>
      </w:r>
    </w:p>
  </w:footnote>
  <w:footnote w:id="731">
    <w:p>
      <w:pPr>
        <w:pStyle w:val="FootnoteText"/>
      </w:pPr>
      <w:r>
        <w:rPr>
          <w:rStyle w:val="FootnoteReference"/>
        </w:rPr>
        <w:footnoteRef/>
      </w:r>
      <w:r>
        <w:t xml:space="preserve"> </w:t>
      </w:r>
      <w:r>
        <w:t xml:space="preserve">Il servizio attuale conta circa 45 psicologi a fronte di uno stanziamento di 1,5 milioni di euro l’anno, pari a circa il 5% del fabbisogno; il fabbisogno a regime è stimato nell’ordine di 800-900 psicologi per l’intera regione, con scenari di copertura a circa 450, 700 e 900 incarichi.</w:t>
      </w:r>
    </w:p>
  </w:footnote>
  <w:footnote w:id="732">
    <w:p>
      <w:pPr>
        <w:pStyle w:val="FootnoteText"/>
      </w:pPr>
      <w:r>
        <w:rPr>
          <w:rStyle w:val="FootnoteReference"/>
        </w:rPr>
        <w:footnoteRef/>
      </w:r>
      <w:r>
        <w:t xml:space="preserve"> </w:t>
      </w:r>
      <w:r>
        <w:t xml:space="preserve">Salute mentale in Puglia: circa 780.000 persone con disagio psichico comune o sottosoglia; circa 55.000 utenti in carico ai Dipartimenti di Salute Mentale; 18.939 nuovi utenti nel 2023.</w:t>
      </w:r>
    </w:p>
  </w:footnote>
  <w:footnote w:id="733">
    <w:p>
      <w:pPr>
        <w:pStyle w:val="FootnoteText"/>
      </w:pPr>
      <w:r>
        <w:rPr>
          <w:rStyle w:val="FootnoteReference"/>
        </w:rPr>
        <w:footnoteRef/>
      </w:r>
      <w:r>
        <w:t xml:space="preserve"> </w:t>
      </w:r>
      <w:r>
        <w:t xml:space="preserve">Popolazione residente in Puglia 3.877.395 (Censimento permanente ISTAT 2024), circa il 6,6% della popolazione nazionale; il Servizio sanitario regionale si articola in sei aziende sanitarie locali e quarantacinque distretti.</w:t>
      </w:r>
    </w:p>
  </w:footnote>
  <w:footnote w:id="734">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il Five Case Model del Green Book del Tesoro britannico; lo standard di reporting economico CHEERS 2022; e i sei criteri di valutazione dell’OCSE-DAC, riveduti nel 2019.</w:t>
      </w:r>
    </w:p>
  </w:footnote>
  <w:footnote w:id="735">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w:t>
      </w:r>
    </w:p>
  </w:footnote>
  <w:footnote w:id="736">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anno per anno; le analisi di costo-utilità attualizzano simmetricamente costi ed esiti al medesimo tasso del 3%; il modello incorpora una correzione prudenziale per l’ottimismo, adottando per le conclusioni il valore centrale o l’estremo conservativo.</w:t>
      </w:r>
    </w:p>
  </w:footnote>
  <w:footnote w:id="737">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e valore dell’informazione, costo-efficacia distributiva, inferenza causale quasi-sperimentale, revisione sistematica e GRADE, analisi multi-criterio, analisi di impatto della regolamentazione.</w:t>
      </w:r>
    </w:p>
  </w:footnote>
  <w:footnote w:id="738">
    <w:p>
      <w:pPr>
        <w:pStyle w:val="FootnoteText"/>
      </w:pPr>
      <w:r>
        <w:rPr>
          <w:rStyle w:val="FootnoteReference"/>
        </w:rPr>
        <w:footnoteRef/>
      </w:r>
      <w:r>
        <w:t xml:space="preserve"> </w:t>
      </w:r>
      <w:r>
        <w:t xml:space="preserve">Valutazione controfattuale d’impatto: i metodi della differenza-nelle-differenze, del controllo sintetico e dei disegni quasi-sperimentali; il dispiegamento scaglionato della riforma (stepped-wedge), nel quale le aziende passano in sequenza dalla condizione di controllo a quella di intervento, funge da esperimento naturale e ne consente la stima causale (Hussey e Hughes, 2007; Hemming e altri, 2015).</w:t>
      </w:r>
    </w:p>
  </w:footnote>
  <w:footnote w:id="739">
    <w:p>
      <w:pPr>
        <w:pStyle w:val="FootnoteText"/>
      </w:pPr>
      <w:r>
        <w:rPr>
          <w:rStyle w:val="FootnoteReference"/>
        </w:rPr>
        <w:footnoteRef/>
      </w:r>
      <w:r>
        <w:t xml:space="preserve"> </w:t>
      </w:r>
      <w:r>
        <w:t xml:space="preserve">I valori economici oggi impiegati sono in parte ricostruiti dai conti nazionali per quota di popolazione (6,6%) e non estratti dai conti regionali certificati; una specifica di estrazione, già predisposta per AReSS e per le aziende sanitarie, individua i dati regionali da acquisire — spesa per voce, dimissioni psichiatriche, composizione della mobilità, farmaceutica per categoria, accessi al pronto soccorso per causa, utenza dei Dipartimenti — a sostituzione dei parametri stimati.</w:t>
      </w:r>
    </w:p>
  </w:footnote>
  <w:footnote w:id="740">
    <w:p>
      <w:pPr>
        <w:pStyle w:val="FootnoteText"/>
      </w:pPr>
      <w:r>
        <w:rPr>
          <w:rStyle w:val="FootnoteReference"/>
        </w:rPr>
        <w:footnoteRef/>
      </w:r>
      <w:r>
        <w:t xml:space="preserve"> </w:t>
      </w:r>
      <w:r>
        <w:t xml:space="preserve">Riferimento economico adottato: la tabella unica consolidata distingue il risparmio diretto per il bilancio sanitario, prossimo al pareggio con il costo del servizio, dalle ricadute economico-sociali, che generano il ritorno complessivo (rapporto beneficio-costo dell’ordine di 3,6-5 a 1); la stima conservativa è adottata come riferimento, più difendibile di fronte agli organi di controllo, e quella più ottimistica è conservata come limite superiore. Le cifre sono ipotesi che lo studio è chiamato a verificare sui dati certificati.</w:t>
      </w:r>
    </w:p>
  </w:footnote>
  <w:footnote w:id="741">
    <w:p>
      <w:pPr>
        <w:pStyle w:val="FootnoteText"/>
      </w:pPr>
      <w:r>
        <w:rPr>
          <w:rStyle w:val="FootnoteReference"/>
        </w:rPr>
        <w:footnoteRef/>
      </w:r>
      <w:r>
        <w:t xml:space="preserve"> </w:t>
      </w:r>
      <w:r>
        <w:t xml:space="preserve">La valutazione è governata da un comitato di indirizzo — Regione e aziende sanitarie, Ordine degli Psicologi, università e istituzioni scientifiche — e da un responsabile scientifico; è sottoposta all’approvazione del comitato etico territorialmente competente; prevede il consenso informato dei partecipanti; e rende pubblici gli esiti indipendentemente dal loro segno, a garanzia di non distorsione.</w:t>
      </w:r>
    </w:p>
  </w:footnote>
  <w:footnote w:id="742">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 servizio per la sola finalità clinica; all’Osservatorio sono trasmessi esclusivamente indicatori aggregati e anonimi; il sistema informativo è interoperabile con il Fascicolo Sanitario Elettronico, su infrastruttura regionale sicura, con consenso modulare.</w:t>
      </w:r>
    </w:p>
  </w:footnote>
  <w:footnote w:id="743">
    <w:p>
      <w:pPr>
        <w:pStyle w:val="FootnoteText"/>
      </w:pPr>
      <w:r>
        <w:rPr>
          <w:rStyle w:val="FootnoteReference"/>
        </w:rPr>
        <w:footnoteRef/>
      </w:r>
      <w:r>
        <w:t xml:space="preserve"> </w:t>
      </w:r>
      <w:r>
        <w:t xml:space="preserve">Strumenti di intelligenza artificiale impiegati come ausilio del clinico (copilota) e mai in sua sostituzione, con sorveglianza umana costante; validazione periodica degli algoritmi e monitoraggio dei bias; conformità al regolamento europeo sull’IA e alla disciplina sui dispositivi medici; è auspicata l’istituzione di un comitato etico-scientifico per l’IA in sanità, con AReSS e le università. La legge nazionale sull’IA agevola la sperimentazione qualificando i relativi trattamenti come di rilevante interesse pubblico.</w:t>
      </w:r>
    </w:p>
  </w:footnote>
  <w:footnote w:id="744">
    <w:p>
      <w:pPr>
        <w:pStyle w:val="FootnoteText"/>
      </w:pPr>
      <w:r>
        <w:rPr>
          <w:rStyle w:val="FootnoteReference"/>
        </w:rPr>
        <w:footnoteRef/>
      </w:r>
      <w:r>
        <w:t xml:space="preserve"> </w:t>
      </w:r>
      <w:r>
        <w:t xml:space="preserve">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w:t>
      </w:r>
    </w:p>
  </w:footnote>
  <w:footnote w:id="745">
    <w:p>
      <w:pPr>
        <w:pStyle w:val="FootnoteText"/>
      </w:pPr>
      <w:r>
        <w:rPr>
          <w:rStyle w:val="FootnoteReference"/>
        </w:rPr>
        <w:footnoteRef/>
      </w:r>
      <w:r>
        <w:t xml:space="preserve"> </w:t>
      </w:r>
      <w:r>
        <w:t xml:space="preserve">Popolazione residente in Puglia 3.890.661 al 31 dicembre 2023, pari a 3.877.395 al Censimento permanente ISTAT 2024, circa il 6,6% della popolazione nazionale; il Servizio sanitario regionale si articola in sei aziende sanitarie locali (Bari, BAT, Brindisi, Foggia, Lecce, Taranto) e quarantacinque distretti.</w:t>
      </w:r>
    </w:p>
  </w:footnote>
  <w:footnote w:id="746">
    <w:p>
      <w:pPr>
        <w:pStyle w:val="FootnoteText"/>
      </w:pPr>
      <w:r>
        <w:rPr>
          <w:rStyle w:val="FootnoteReference"/>
        </w:rPr>
        <w:footnoteRef/>
      </w:r>
      <w:r>
        <w:t xml:space="preserve"> </w:t>
      </w:r>
      <w:r>
        <w:t xml:space="preserve">Invecchiamento accelerato (ISTAT): età media salita da 39,3 anni nel 2002 a 46,4 nel 2024, con indice di vecchiaia di 200,8 anziani ogni 100 giovani; le proiezioni indicano 3.769.000 abitanti nel 2030 (−3,5%) e 3.229.000 nel 2050 (−17,4% sul 2023), con la quota di ultrasessantacinquenni dal 24,2% al 37,1% e gli ultrasettantacinquenni da 461.000 a 658.000 (+43%).</w:t>
      </w:r>
    </w:p>
  </w:footnote>
  <w:footnote w:id="747">
    <w:p>
      <w:pPr>
        <w:pStyle w:val="FootnoteText"/>
      </w:pPr>
      <w:r>
        <w:rPr>
          <w:rStyle w:val="FootnoteReference"/>
        </w:rPr>
        <w:footnoteRef/>
      </w:r>
      <w:r>
        <w:t xml:space="preserve"> </w:t>
      </w:r>
      <w:r>
        <w:t xml:space="preserve">Marcata eterogeneità territoriale: la provincia di Lecce è la più anziana, con età media di 47,5 anni e indice di vecchiaia di 229,8; la provincia BAT è la più giovane, con 44,9 anni e indice di 169,1.</w:t>
      </w:r>
    </w:p>
  </w:footnote>
  <w:footnote w:id="748">
    <w:p>
      <w:pPr>
        <w:pStyle w:val="FootnoteText"/>
      </w:pPr>
      <w:r>
        <w:rPr>
          <w:rStyle w:val="FootnoteReference"/>
        </w:rPr>
        <w:footnoteRef/>
      </w:r>
      <w:r>
        <w:t xml:space="preserve"> </w:t>
      </w:r>
      <w:r>
        <w:t xml:space="preserve">Contesto socioeconomico: il 37,7% della popolazione pugliese è a rischio di povertà o esclusione sociale, tra i valori più elevati in Italia; l’indice di deprivazione, costruito su reddito, istruzione, occupazione e condizione abitativa, riflette determinanti sociali robusti della salute mentale, poiché le popolazioni deprivate presentano prevalenze sistematicamente più elevate di disturbi mentali comuni.</w:t>
      </w:r>
    </w:p>
  </w:footnote>
  <w:footnote w:id="749">
    <w:p>
      <w:pPr>
        <w:pStyle w:val="FootnoteText"/>
      </w:pPr>
      <w:r>
        <w:rPr>
          <w:rStyle w:val="FootnoteReference"/>
        </w:rPr>
        <w:footnoteRef/>
      </w:r>
      <w:r>
        <w:t xml:space="preserve"> </w:t>
      </w:r>
      <w:r>
        <w:t xml:space="preserve">Burden di salute mentale: circa 780.000 persone con disagio psichico comune o sottosoglia (dell’ordine del 20-30% della popolazione); circa 55.000 utenti in carico ai Dipartimenti di Salute Mentale; 18.939 nuovi utenti nel 2023.</w:t>
      </w:r>
    </w:p>
  </w:footnote>
  <w:footnote w:id="750">
    <w:p>
      <w:pPr>
        <w:pStyle w:val="FootnoteText"/>
      </w:pPr>
      <w:r>
        <w:rPr>
          <w:rStyle w:val="FootnoteReference"/>
        </w:rPr>
        <w:footnoteRef/>
      </w:r>
      <w:r>
        <w:t xml:space="preserve"> </w:t>
      </w:r>
      <w:r>
        <w:t xml:space="preserve">Meta-analisi internazionali (The Lancet Psychiatry, JAMA Psychiatry, World Psychiatry) documentano che l’invecchiamento accresce la prevalenza dei disturbi mentali, con depressione fino al 28% negli ultrasettantacinquenni con multimorbidità e ansia oltre il 15% nella popolazione anziana; applicati alla Puglia, tali coefficienti stimano tra 50.649 e 74.640 anziani con disturbi depressivi clinicamente significativi e tra 69.150 e 92.200 con disturbi d’ansia.</w:t>
      </w:r>
    </w:p>
  </w:footnote>
  <w:footnote w:id="751">
    <w:p>
      <w:pPr>
        <w:pStyle w:val="FootnoteText"/>
      </w:pPr>
      <w:r>
        <w:rPr>
          <w:rStyle w:val="FootnoteReference"/>
        </w:rPr>
        <w:footnoteRef/>
      </w:r>
      <w:r>
        <w:t xml:space="preserve"> </w:t>
      </w:r>
      <w:r>
        <w:t xml:space="preserve">Sorveglianza PASSI dell’Istituto Superiore di Sanità (PHQ-2, 2021-2024): il 3,6% degli adulti pugliesi di 18-64 anni presenta sintomi depressivi clinicamente rilevanti, circa 80.000 persone, dato inferiore alla media nazionale del 6,7% e indicativo di sotto-rilevazione e sotto-intercettazione più che di minore sofferenza.</w:t>
      </w:r>
    </w:p>
  </w:footnote>
  <w:footnote w:id="752">
    <w:p>
      <w:pPr>
        <w:pStyle w:val="FootnoteText"/>
      </w:pPr>
      <w:r>
        <w:rPr>
          <w:rStyle w:val="FootnoteReference"/>
        </w:rPr>
        <w:footnoteRef/>
      </w:r>
      <w:r>
        <w:t xml:space="preserve"> </w:t>
      </w:r>
      <w:r>
        <w:t xml:space="preserve">I consumi di antidepressivi in Puglia sono tra i più bassi d’Italia: è un segno di sotto-intercettazione del bisogno, non di minore sofferenza.</w:t>
      </w:r>
    </w:p>
  </w:footnote>
  <w:footnote w:id="753">
    <w:p>
      <w:pPr>
        <w:pStyle w:val="FootnoteText"/>
      </w:pPr>
      <w:r>
        <w:rPr>
          <w:rStyle w:val="FootnoteReference"/>
        </w:rPr>
        <w:footnoteRef/>
      </w:r>
      <w:r>
        <w:t xml:space="preserve"> </w:t>
      </w:r>
      <w:r>
        <w:t xml:space="preserve">Commissione europea, rapporto sulla salute mentale 2024: quasi un giovane europeo su due non ha ricevuto un supporto adeguato e solo la metà delle persone con ansia o depressione chiede aiuto; il divario tra prevalenza reale e accesso ai servizi (treatment gap) deriva da barriere strutturali, economiche, culturali e di stigma, di conoscenza e sistemiche.</w:t>
      </w:r>
    </w:p>
  </w:footnote>
  <w:footnote w:id="754">
    <w:p>
      <w:pPr>
        <w:pStyle w:val="FootnoteText"/>
      </w:pPr>
      <w:r>
        <w:rPr>
          <w:rStyle w:val="FootnoteReference"/>
        </w:rPr>
        <w:footnoteRef/>
      </w:r>
      <w:r>
        <w:t xml:space="preserve"> </w:t>
      </w:r>
      <w:r>
        <w:t xml:space="preserve">Carenza di offerta psicologica: secondo dati del Ministero della Salute riferiti al 2017 l’Italia dispone di 8,5 psicologi ogni 100.000 abitanti nel Servizio sanitario complessivo, e di meno di 3 ogni 100.000 nelle sole strutture pubbliche di salute mentale (WHO Atlas 2014), tra le dotazioni più basse d’Europa; il sistema olandese che integra psicologi nelle cure primarie (POH-GGZ) si accompagna a circa 23 psichiatri ogni 100.000 abitanti.</w:t>
      </w:r>
    </w:p>
  </w:footnote>
  <w:footnote w:id="755">
    <w:p>
      <w:pPr>
        <w:pStyle w:val="FootnoteText"/>
      </w:pPr>
      <w:r>
        <w:rPr>
          <w:rStyle w:val="FootnoteReference"/>
        </w:rPr>
        <w:footnoteRef/>
      </w:r>
      <w:r>
        <w:t xml:space="preserve"> </w:t>
      </w:r>
      <w:r>
        <w:t xml:space="preserve">Sistema Informativo per la Salute Mentale (Rapporto SISM 2023): i Dipartimenti pugliesi hanno avuto in carico 54.946 utenti, pari a circa 106 ogni 10.000 abitanti adulti, dei quali 18.939 nuovi utenti, pari a circa 35 nuovi casi ogni 10.000 abitanti adulti.</w:t>
      </w:r>
    </w:p>
  </w:footnote>
  <w:footnote w:id="756">
    <w:p>
      <w:pPr>
        <w:pStyle w:val="FootnoteText"/>
      </w:pPr>
      <w:r>
        <w:rPr>
          <w:rStyle w:val="FootnoteReference"/>
        </w:rPr>
        <w:footnoteRef/>
      </w:r>
      <w:r>
        <w:t xml:space="preserve"> </w:t>
      </w:r>
      <w:r>
        <w:t xml:space="preserve">Accessi al pronto soccorso per cause psichiatriche (SISM 2023; Motore Sanità, febbraio 2025): 18.753 nel 2023, oltre cinquanta al giorno, in crescita del 30% rispetto al periodo pre-pandemico e con trend accentuato tra minori e giovani adulti; le sindromi nevrotiche e somatoformi sono la causa più frequente, con oltre diecimila casi, seguite da disturbi organici, depressione e schizofrenia.</w:t>
      </w:r>
    </w:p>
  </w:footnote>
  <w:footnote w:id="757">
    <w:p>
      <w:pPr>
        <w:pStyle w:val="FootnoteText"/>
      </w:pPr>
      <w:r>
        <w:rPr>
          <w:rStyle w:val="FootnoteReference"/>
        </w:rPr>
        <w:footnoteRef/>
      </w:r>
      <w:r>
        <w:t xml:space="preserve"> </w:t>
      </w:r>
      <w:r>
        <w:t xml:space="preserve">Servizio attuale (L.R. 11/2023): circa 45 psicologi, uno per distretto, a fronte di uno stanziamento di 1,5 milioni di euro l’anno, pari a circa il 5% del fabbisogno; il fabbisogno a regime è stimato nell’ordine di 800-900 psicologi, con scenari di copertura a circa 450, 700 e 900 incarichi.</w:t>
      </w:r>
    </w:p>
  </w:footnote>
  <w:footnote w:id="758">
    <w:p>
      <w:pPr>
        <w:pStyle w:val="FootnoteText"/>
      </w:pPr>
      <w:r>
        <w:rPr>
          <w:rStyle w:val="FootnoteReference"/>
        </w:rPr>
        <w:footnoteRef/>
      </w:r>
      <w:r>
        <w:t xml:space="preserve"> </w:t>
      </w:r>
      <w:r>
        <w:t xml:space="preserve">L’algoritmo di distribuzione territoriale degli incarichi pondera i distretti per indice di vecchiaia, indice di deprivazione socioeconomica e prevalenza di cronicità e multimorbidità, attribuendo pesi maggiori alle aree interne in spopolamento e alle periferie urbane degradate, a presidio dell’equità territoriale.</w:t>
      </w:r>
    </w:p>
  </w:footnote>
  <w:footnote w:id="759">
    <w:p>
      <w:pPr>
        <w:pStyle w:val="FootnoteText"/>
      </w:pPr>
      <w:r>
        <w:rPr>
          <w:rStyle w:val="FootnoteReference"/>
        </w:rPr>
        <w:footnoteRef/>
      </w:r>
      <w:r>
        <w:t xml:space="preserve"> </w:t>
      </w:r>
      <w:r>
        <w:t xml:space="preserve">Contesto di bilancio: la Puglia ha ricevuto per il 2025 un finanziamento di circa 8,8 miliardi di euro, con un disavanzo di circa 350 milioni e disavanzi cumulati superiori a 480 milioni nel quadriennio; la Corte costituzionale ha ribadito che una regione in piano di rientro non può distrarre i fondi sanitari da finalità diverse dai livelli essenziali.</w:t>
      </w:r>
    </w:p>
  </w:footnote>
  <w:footnote w:id="760">
    <w:p>
      <w:pPr>
        <w:pStyle w:val="FootnoteText"/>
      </w:pPr>
      <w:r>
        <w:rPr>
          <w:rStyle w:val="FootnoteReference"/>
        </w:rPr>
        <w:footnoteRef/>
      </w:r>
      <w:r>
        <w:t xml:space="preserve"> </w:t>
      </w:r>
      <w:r>
        <w:t xml:space="preserve">Mobilità sanitaria passiva (2023): saldo negativo di 253,2 milioni di euro (prestazioni in fuga 376,6 milioni, mobilità attiva circa 123 milioni), tra i peggiori in Italia, con circa 240 milioni nel 2024; è il tratto più distintivo del caso pugliese, poiché ogni quota di domanda trattenuta sul territorio si traduce in un risparmio diretto.</w:t>
      </w:r>
    </w:p>
  </w:footnote>
  <w:footnote w:id="761">
    <w:p>
      <w:pPr>
        <w:pStyle w:val="FootnoteText"/>
      </w:pPr>
      <w:r>
        <w:rPr>
          <w:rStyle w:val="FootnoteReference"/>
        </w:rPr>
        <w:footnoteRef/>
      </w:r>
      <w:r>
        <w:t xml:space="preserve"> </w:t>
      </w:r>
      <w:r>
        <w:t xml:space="preserve">Pronto soccorso: 37 presidi e 1.142.448 accessi l’anno, dei quali circa 914.000 inappropriati (codici a bassa intensità, dell’ordine dell’80%); una quota è riconducibile a disagio psichico e a sintomi somatici funzionali.</w:t>
      </w:r>
    </w:p>
  </w:footnote>
  <w:footnote w:id="762">
    <w:p>
      <w:pPr>
        <w:pStyle w:val="FootnoteText"/>
      </w:pPr>
      <w:r>
        <w:rPr>
          <w:rStyle w:val="FootnoteReference"/>
        </w:rPr>
        <w:footnoteRef/>
      </w:r>
      <w:r>
        <w:t xml:space="preserve"> </w:t>
      </w:r>
      <w:r>
        <w:t xml:space="preserve">Farmaceutica: la Puglia presenta tra i più alti consumi complessivi d’Italia (1.081,9 dosi giornaliere ogni mille abitanti) e una spesa pubblica dell’ordine del 2,3% del prodotto regionale; il paradosso di un consumo complessivo elevato e di una intercettazione del disagio psichico bassa segnala margini di appropriatezza.</w:t>
      </w:r>
    </w:p>
  </w:footnote>
  <w:footnote w:id="763">
    <w:p>
      <w:pPr>
        <w:pStyle w:val="FootnoteText"/>
      </w:pPr>
      <w:r>
        <w:rPr>
          <w:rStyle w:val="FootnoteReference"/>
        </w:rPr>
        <w:footnoteRef/>
      </w:r>
      <w:r>
        <w:t xml:space="preserve"> </w:t>
      </w:r>
      <w:r>
        <w:t xml:space="preserve">Cornice normativa: a livello regionale la legge n. 11 del 2023, prima in Italia; a livello nazionale il decreto ministeriale 77 del 2022 sull’assistenza territoriale e le Case della Comunità, la Missione 6 del Piano Nazionale di Ripresa e Resilienza e l’accordo della specialistica ambulatoriale per i psicologi convenzionati; a livello europeo il regolamento 2021/2282 sull’HTA e il regolamento sull’intelligenza artificiale.</w:t>
      </w:r>
    </w:p>
  </w:footnote>
  <w:footnote w:id="764">
    <w:p>
      <w:pPr>
        <w:pStyle w:val="FootnoteText"/>
      </w:pPr>
      <w:r>
        <w:rPr>
          <w:rStyle w:val="FootnoteReference"/>
        </w:rPr>
        <w:footnoteRef/>
      </w:r>
      <w:r>
        <w:t xml:space="preserve"> </w:t>
      </w:r>
      <w:r>
        <w:t xml:space="preserve">Definizione dell’intervento: l’inserimento stabile dello psicologo nelle cure primarie, accanto al medico di medicina generale e al pediatra di libera scelta, come primo livello di ascolto, intercettazione precoce e filtro, riservando ai servizi specialistici i quadri gravi; l’accesso avviene su invio del medico ovvero in forma diretta, secondo percorsi definiti.</w:t>
      </w:r>
    </w:p>
  </w:footnote>
  <w:footnote w:id="765">
    <w:p>
      <w:pPr>
        <w:pStyle w:val="FootnoteText"/>
      </w:pPr>
      <w:r>
        <w:rPr>
          <w:rStyle w:val="FootnoteReference"/>
        </w:rPr>
        <w:footnoteRef/>
      </w:r>
      <w:r>
        <w:t xml:space="preserve"> </w:t>
      </w:r>
      <w:r>
        <w:t xml:space="preserve">I modelli internazionali di integrazione della salute mentale nelle cure primarie (collaborative care, integrated care, stepped care, primary care mental health) condividono alcuni principi: collocazione dello psicologo negli studi di medicina generale o in strutture territoriali accessibili; focalizzazione sui disturbi comuni lievi-moderati con triage strutturato che indirizza i casi gravi allo specialista; interventi brevi, manualizzati e orientati agli esiti; monitoraggio sistematico con questionari standardizzati pre e post; forte integrazione con la medicina generale; orientamento alla prevenzione secondaria mediante intercettazione precoce, prima della cronicizzazione.</w:t>
      </w:r>
    </w:p>
  </w:footnote>
  <w:footnote w:id="766">
    <w:p>
      <w:pPr>
        <w:pStyle w:val="FootnoteText"/>
      </w:pPr>
      <w:r>
        <w:rPr>
          <w:rStyle w:val="FootnoteReference"/>
        </w:rPr>
        <w:footnoteRef/>
      </w:r>
      <w:r>
        <w:t xml:space="preserve"> </w:t>
      </w:r>
      <w:r>
        <w:t xml:space="preserve">I modelli internazionali di integrazione della salute mentale nelle cure primarie (collaborative care, integrated care, stepped care, primary care mental health) condividono alcuni principi: collocazione dello psicologo negli studi di medicina generale o in strutture territoriali accessibili; focalizzazione sui disturbi comuni lievi-moderati con triage strutturato che indirizza i casi gravi allo specialista; interventi brevi, manualizzati e orientati agli esiti; monitoraggio sistematico con questionari standardizzati pre e post; forte integrazione con la medicina generale; orientamento alla prevenzione secondaria mediante intercettazione precoce, prima della cronicizzazione.</w:t>
      </w:r>
    </w:p>
  </w:footnote>
  <w:footnote w:id="767">
    <w:p>
      <w:pPr>
        <w:pStyle w:val="FootnoteText"/>
      </w:pPr>
      <w:r>
        <w:rPr>
          <w:rStyle w:val="FootnoteReference"/>
        </w:rPr>
        <w:footnoteRef/>
      </w:r>
      <w:r>
        <w:t xml:space="preserve"> </w:t>
      </w:r>
      <w:r>
        <w:t xml:space="preserve">Collaborative Care Model (sviluppato presso l’Università di Washington, validato da oltre novanta studi randomizzati controllati): équipe integrata di medico di base, responsabile dell’assistenza con formazione in salute mentale e psichiatra consulente per i casi complessi; screening sistematico con PHQ-9 e GAD-7; psicoeducazione, interventi comportamentali brevi e farmacoterapia ove appropriata; monitoraggio degli esiti con adattamento del piano; una meta-analisi di Woltmann e colleghi (American Journal of Psychiatry, 2012), su cinquantasette studi, documenta un miglioramento dei sintomi depressivi con effetto medio di 0,28 deviazioni standard.</w:t>
      </w:r>
    </w:p>
  </w:footnote>
  <w:footnote w:id="768">
    <w:p>
      <w:pPr>
        <w:pStyle w:val="FootnoteText"/>
      </w:pPr>
      <w:r>
        <w:rPr>
          <w:rStyle w:val="FootnoteReference"/>
        </w:rPr>
        <w:footnoteRef/>
      </w:r>
      <w:r>
        <w:t xml:space="preserve"> </w:t>
      </w:r>
      <w:r>
        <w:t xml:space="preserve">Programma inglese di terapie psicologiche (Improving Access to Psychological Therapies, dal 2008, oggi NHS Talking Therapies): modello di cura a intensità crescente su due livelli — interventi a bassa intensità, di quattro-sei sedute, fondati su principi cognitivo-comportamentali ed erogati anche come auto-aiuto guidato, e interventi ad alta intensità, terapie strutturate di otto-venti sedute per i quadri più complessi o non responsivi.</w:t>
      </w:r>
    </w:p>
  </w:footnote>
  <w:footnote w:id="769">
    <w:p>
      <w:pPr>
        <w:pStyle w:val="FootnoteText"/>
      </w:pPr>
      <w:r>
        <w:rPr>
          <w:rStyle w:val="FootnoteReference"/>
        </w:rPr>
        <w:footnoteRef/>
      </w:r>
      <w:r>
        <w:t xml:space="preserve"> </w:t>
      </w:r>
      <w:r>
        <w:t xml:space="preserve">Modello olandese che integra gli psicologi nelle cure primarie (POH-GGZ): prevede tipicamente cinque-otto sedute di intervento psicologico breve fondato sull’evidenza, con invio ai servizi specialistici solo per i quadri più complessi, dell’ordine del quindici per cento dei casi trattati in cure primarie.</w:t>
      </w:r>
    </w:p>
  </w:footnote>
  <w:footnote w:id="770">
    <w:p>
      <w:pPr>
        <w:pStyle w:val="FootnoteText"/>
      </w:pPr>
      <w:r>
        <w:rPr>
          <w:rStyle w:val="FootnoteReference"/>
        </w:rPr>
        <w:footnoteRef/>
      </w:r>
      <w:r>
        <w:t xml:space="preserve"> </w:t>
      </w:r>
      <w:r>
        <w:t xml:space="preserve">Quadro strategico dell’Organizzazione mondiale della sanità per l’Europa (aprile 2025): quattro strategie per il potenziamento della salute mentale nelle cure primarie — rafforzare le competenze degli operatori, integrare professionisti dedicati nei team, consolidare i collegamenti con i servizi specialistici e promuovere la collaborazione multisettoriale sui determinanti sociali.</w:t>
      </w:r>
    </w:p>
  </w:footnote>
  <w:footnote w:id="771">
    <w:p>
      <w:pPr>
        <w:pStyle w:val="FootnoteText"/>
      </w:pPr>
      <w:r>
        <w:rPr>
          <w:rStyle w:val="FootnoteReference"/>
        </w:rPr>
        <w:footnoteRef/>
      </w:r>
      <w:r>
        <w:t xml:space="preserve"> </w:t>
      </w:r>
      <w:r>
        <w:t xml:space="preserve">Strumenti di esito standardizzati: il PHQ-9 per i sintomi depressivi (sensibilità 88%, specificità 85%) e il GAD-7 per i sintomi d’ansia (sensibilità 89%, specificità 82%), somministrati all’ingresso e lungo il percorso nei soli punteggi complessivi, secondo il modello dei programmi internazionali di terapie psicologiche, a misura del miglioramento clinico e del tasso di recupero.</w:t>
      </w:r>
    </w:p>
  </w:footnote>
  <w:footnote w:id="772">
    <w:p>
      <w:pPr>
        <w:pStyle w:val="FootnoteText"/>
      </w:pPr>
      <w:r>
        <w:rPr>
          <w:rStyle w:val="FootnoteReference"/>
        </w:rPr>
        <w:footnoteRef/>
      </w:r>
      <w:r>
        <w:t xml:space="preserve"> </w:t>
      </w:r>
      <w:r>
        <w:t xml:space="preserve">Sicurezza del percorso e tutela della persona: sono esclusi dal primo livello i quadri gravi o acuti, ai quali è garantito l’invio appropriato ai servizi specialistici e, ove necessario, ai percorsi dell’emergenza, in raccordo con il medico curante; le situazioni di rischio sono indirizzate senza che siano registrate o trattate le modalità, a garanzia di sicurezza clinica e di dignità.</w:t>
      </w:r>
    </w:p>
  </w:footnote>
  <w:footnote w:id="773">
    <w:p>
      <w:pPr>
        <w:pStyle w:val="FootnoteText"/>
      </w:pPr>
      <w:r>
        <w:rPr>
          <w:rStyle w:val="FootnoteReference"/>
        </w:rPr>
        <w:footnoteRef/>
      </w:r>
      <w:r>
        <w:t xml:space="preserve"> </w:t>
      </w:r>
      <w:r>
        <w:t xml:space="preserve">Articolazione degli esiti (struttura della sperimentazione): esito primario, costituito dalla quota di miglioramento clinico e dal tasso di recupero; esiti clinici secondari (remissione, riduzione dei punteggi, soddisfazione e qualità di vita); esiti di processo (prese in carico, attesa al primo colloquio, colloqui per persona, tasso di invio appropriato); esiti di impatto e utilizzo (accessi al pronto soccorso, psicofarmaci, consulti e ricoveri evitabili); esiti economici e di equità.</w:t>
      </w:r>
    </w:p>
  </w:footnote>
  <w:footnote w:id="774">
    <w:p>
      <w:pPr>
        <w:pStyle w:val="FootnoteText"/>
      </w:pPr>
      <w:r>
        <w:rPr>
          <w:rStyle w:val="FootnoteReference"/>
        </w:rPr>
        <w:footnoteRef/>
      </w:r>
      <w:r>
        <w:t xml:space="preserve"> </w:t>
      </w:r>
      <w:r>
        <w:t xml:space="preserve">Sistemi informativi (traccia di legge nazionale, art. 7; piano operativo): il servizio si avvale dei sistemi informativi sanitari regionali e del Fascicolo Sanitario Elettronico, con una cartella dedicata e interoperabile che registra in forma strutturata le prese in carico, i percorsi e le misure di esito, alimentando il sistema di monitoraggio, secondo standard di interoperabilità definiti a livello nazionale.</w:t>
      </w:r>
    </w:p>
  </w:footnote>
  <w:footnote w:id="775">
    <w:p>
      <w:pPr>
        <w:pStyle w:val="FootnoteText"/>
      </w:pPr>
      <w:r>
        <w:rPr>
          <w:rStyle w:val="FootnoteReference"/>
        </w:rPr>
        <w:footnoteRef/>
      </w:r>
      <w:r>
        <w:t xml:space="preserve"> </w:t>
      </w:r>
      <w:r>
        <w:t xml:space="preserve">Protezione dei dati nei sistemi informativi: la progettazione rispetta la disciplina europea e nazionale su protezione dei dati, dispositivi medici e intelligenza artificiale, con sicurezza, trasparenza e minimizzazione; al sistema di monitoraggio sono trasmessi dati in forma aggregata.</w:t>
      </w:r>
    </w:p>
  </w:footnote>
  <w:footnote w:id="776">
    <w:p>
      <w:pPr>
        <w:pStyle w:val="FootnoteText"/>
      </w:pPr>
      <w:r>
        <w:rPr>
          <w:rStyle w:val="FootnoteReference"/>
        </w:rPr>
        <w:footnoteRef/>
      </w:r>
      <w:r>
        <w:t xml:space="preserve"> </w:t>
      </w:r>
      <w:r>
        <w:t xml:space="preserve">Intelligenza artificiale e dispositivi digitali (traccia di legge nazionale, art. 6): strumenti digitali e sistemi di IA a supporto di diagnostica, prevenzione, trattamento e continuità assistenziale, e dispositivi terapeutici digitali validati, impiegati quali ausili dell’attività professionale e non in sua sostituzione, nel rispetto della normativa su IA, dispositivi medici e dati, con supervisione clinica, trasparenza e sicurezza; è previsto un elenco nazionale degli strumenti ammessi, fondato su criteri di evidenza di efficacia e di conformità regolatoria.</w:t>
      </w:r>
    </w:p>
  </w:footnote>
  <w:footnote w:id="777">
    <w:p>
      <w:pPr>
        <w:pStyle w:val="FootnoteText"/>
      </w:pPr>
      <w:r>
        <w:rPr>
          <w:rStyle w:val="FootnoteReference"/>
        </w:rPr>
        <w:footnoteRef/>
      </w:r>
      <w:r>
        <w:t xml:space="preserve"> </w:t>
      </w:r>
      <w:r>
        <w:t xml:space="preserve">Funzioni degli strumenti digitali e di IA (registro delle variabili): triage psicologico assistito, screening automatico, strumenti predittivi del rischio, supporto decisionale clinico, riduzione del carico amministrativo, analisi del linguaggio naturale, con requisiti di validazione clinica, conformità al regolamento europeo sull’IA, supervisione umana sulle decisioni, trasparenza e spiegabilità.</w:t>
      </w:r>
    </w:p>
  </w:footnote>
  <w:footnote w:id="778">
    <w:p>
      <w:pPr>
        <w:pStyle w:val="FootnoteText"/>
      </w:pPr>
      <w:r>
        <w:rPr>
          <w:rStyle w:val="FootnoteReference"/>
        </w:rPr>
        <w:footnoteRef/>
      </w:r>
      <w:r>
        <w:t xml:space="preserve"> </w:t>
      </w:r>
      <w:r>
        <w:t xml:space="preserve">Telepsicologia (piano operativo; traccia di legge nazionale, art. 7): modalità integrativa di erogazione, complementare e non sostitutiva rispetto all’intervento in presenza, finalizzata ad ampliare l’accesso nelle aree interne e a minore densità di servizi e ad assicurare la continuità quando lo spostamento sia difficoltoso.</w:t>
      </w:r>
    </w:p>
  </w:footnote>
  <w:footnote w:id="779">
    <w:p>
      <w:pPr>
        <w:pStyle w:val="FootnoteText"/>
      </w:pPr>
      <w:r>
        <w:rPr>
          <w:rStyle w:val="FootnoteReference"/>
        </w:rPr>
        <w:footnoteRef/>
      </w:r>
      <w:r>
        <w:t xml:space="preserve"> </w:t>
      </w:r>
      <w:r>
        <w:t xml:space="preserve">Dispositivi terapeutici digitali (DTx): software-intervento validato da studi controllati e prescritto dal clinico, distinto dalle applicazioni di benessere, con modelli di rimborso già consolidati in altri Paesi europei (il modello tedesco è il più maturo); il loro contributo economico è già ricompreso nei canali della salute mentale e della farmaceutica e non va sommato a essi.</w:t>
      </w:r>
    </w:p>
  </w:footnote>
  <w:footnote w:id="780">
    <w:p>
      <w:pPr>
        <w:pStyle w:val="FootnoteText"/>
      </w:pPr>
      <w:r>
        <w:rPr>
          <w:rStyle w:val="FootnoteReference"/>
        </w:rPr>
        <w:footnoteRef/>
      </w:r>
      <w:r>
        <w:t xml:space="preserve"> </w:t>
      </w:r>
      <w:r>
        <w:t xml:space="preserve">Cautele d’impiego degli strumenti digitali: l’evidenza, disomogenea e in evoluzione, impone selezione, validazione locale e gradualità; la protezione dei dati richiede sicurezza informatica e consenso chiaro; l’equità digitale impone di garantire sempre l’alternativa dell’intervento in presenza alle persone anziane, fragili o a bassa competenza digitale; la supervisione clinica resta dirimente.</w:t>
      </w:r>
    </w:p>
  </w:footnote>
  <w:footnote w:id="781">
    <w:p>
      <w:pPr>
        <w:pStyle w:val="FootnoteText"/>
      </w:pPr>
      <w:r>
        <w:rPr>
          <w:rStyle w:val="FootnoteReference"/>
        </w:rPr>
        <w:footnoteRef/>
      </w:r>
      <w:r>
        <w:t xml:space="preserve"> </w:t>
      </w:r>
      <w:r>
        <w:t xml:space="preserve">Programma formativo a quattro livelli (traccia di legge nazionale, art. 5; piano operativo): universitario, post-universitario specialistico, continuo in ambito lavorativo e di affiancamento operativo, con una componente trasversale dedicata all’intelligenza artificiale applicata alle cure primarie; realizzato in collaborazione con le università, l’Ordine degli Psicologi e le istituzioni scientifiche, sotto l’indirizzo dell’Osservatorio, e scaglionato in corrispondenza delle fasi di attivazione del servizio.</w:t>
      </w:r>
    </w:p>
  </w:footnote>
  <w:footnote w:id="782">
    <w:p>
      <w:pPr>
        <w:pStyle w:val="FootnoteText"/>
      </w:pPr>
      <w:r>
        <w:rPr>
          <w:rStyle w:val="FootnoteReference"/>
        </w:rPr>
        <w:footnoteRef/>
      </w:r>
      <w:r>
        <w:t xml:space="preserve"> </w:t>
      </w:r>
      <w:r>
        <w:t xml:space="preserve">Questa parte copre il quinto dominio del modello HTA, i costi e la valutazione economica; è redatta secondo lo standard di reporting CHEERS 2022, fornisce il contenuto del caso economico e del caso finanziario del Five Case Model e risponde al criterio di efficienza della griglia di giudizio.</w:t>
      </w:r>
    </w:p>
  </w:footnote>
  <w:footnote w:id="783">
    <w:p>
      <w:pPr>
        <w:pStyle w:val="FootnoteText"/>
      </w:pPr>
      <w:r>
        <w:rPr>
          <w:rStyle w:val="FootnoteReference"/>
        </w:rPr>
        <w:footnoteRef/>
      </w:r>
      <w:r>
        <w:t xml:space="preserve"> </w:t>
      </w:r>
      <w:r>
        <w:t xml:space="preserve">Modello di costo: il costo medio annuo di un incarico convenzionale a tempo pieno è dell’ordine di 55.000 euro (circa 40 euro l’ora di costo-azienda comprensivo degli oneri, per circa 1.250 ore, più circa 5.000 euro di costi generali); ne discendono, per gli scenari da circa 450, 700 e 900 incarichi, costi annui di circa 25, 38 e 50 milioni di euro, fino a 60-75 milioni nell’ipotesi di costi pieni e massima copertura.</w:t>
      </w:r>
    </w:p>
  </w:footnote>
  <w:footnote w:id="784">
    <w:p>
      <w:pPr>
        <w:pStyle w:val="FootnoteText"/>
      </w:pPr>
      <w:r>
        <w:rPr>
          <w:rStyle w:val="FootnoteReference"/>
        </w:rPr>
        <w:footnoteRef/>
      </w:r>
      <w:r>
        <w:t xml:space="preserve"> </w:t>
      </w:r>
      <w:r>
        <w:t xml:space="preserve">Categorie di costo: oltre all’organico psicologico, l’investimento comprende la formazione, la supervisione clinica, la governance, i sistemi informativi e le infrastrutture; i costi non sanitari sono inclusi coerentemente con la doppia prospettiva adottata.</w:t>
      </w:r>
    </w:p>
  </w:footnote>
  <w:footnote w:id="785">
    <w:p>
      <w:pPr>
        <w:pStyle w:val="FootnoteText"/>
      </w:pPr>
      <w:r>
        <w:rPr>
          <w:rStyle w:val="FootnoteReference"/>
        </w:rPr>
        <w:footnoteRef/>
      </w:r>
      <w:r>
        <w:t xml:space="preserve"> </w:t>
      </w:r>
      <w:r>
        <w:t xml:space="preserve">Caso di riferimento (Parte A): doppia prospettiva del Servizio sanitario regionale e della società; tasso di sconto del 3% annuo, con attualizzazione simmetrica di costi ed esiti nelle analisi di costo-utilità; analisi di impatto sul bilancio su flussi non scontati; correzione prudenziale per l’ottimismo.</w:t>
      </w:r>
    </w:p>
  </w:footnote>
  <w:footnote w:id="786">
    <w:p>
      <w:pPr>
        <w:pStyle w:val="FootnoteText"/>
      </w:pPr>
      <w:r>
        <w:rPr>
          <w:rStyle w:val="FootnoteReference"/>
        </w:rPr>
        <w:footnoteRef/>
      </w:r>
      <w:r>
        <w:t xml:space="preserve"> </w:t>
      </w:r>
      <w:r>
        <w:t xml:space="preserve">Misure di esito: gli anni di vita ponderati per la qualità e gli esiti clinici validati — il tasso di recupero e il miglioramento affidabile misurati con PHQ-9 e GAD-7 — applicati alla popolazione regionale con disagio comune, dell’ordine di 780.000 persone.</w:t>
      </w:r>
    </w:p>
  </w:footnote>
  <w:footnote w:id="787">
    <w:p>
      <w:pPr>
        <w:pStyle w:val="FootnoteText"/>
      </w:pPr>
      <w:r>
        <w:rPr>
          <w:rStyle w:val="FootnoteReference"/>
        </w:rPr>
        <w:footnoteRef/>
      </w:r>
      <w:r>
        <w:t xml:space="preserve"> </w:t>
      </w:r>
      <w:r>
        <w:t xml:space="preserve">Analisi costo-utilità: secondo il manuale del NICE, il rapporto incrementale di costo-efficacia rapporta il costo aggiuntivo al guadagno in anni di vita ponderati per la qualità e si confronta con una soglia; l’evidenza internazionale indica che la cura collaborativa è costo-efficace, con un investimento iniziale ampiamente compensato dai miglioramenti clinici e dalla minore intensità di cura; il rapporto incrementale per la Puglia sarà calcolato sui dati certificati.</w:t>
      </w:r>
    </w:p>
  </w:footnote>
  <w:footnote w:id="788">
    <w:p>
      <w:pPr>
        <w:pStyle w:val="FootnoteText"/>
      </w:pPr>
      <w:r>
        <w:rPr>
          <w:rStyle w:val="FootnoteReference"/>
        </w:rPr>
        <w:footnoteRef/>
      </w:r>
      <w:r>
        <w:t xml:space="preserve"> </w:t>
      </w:r>
      <w:r>
        <w:t xml:space="preserve">Analisi di impatto sul bilancio (buone pratiche ISPOR): adotta la prospettiva del detentore del budget, il Servizio sanitario regionale, e stima la differenza tra lo scenario con e senza intervento sui flussi non scontati, anno per anno, individuando il punto di pareggio finanziario, collocato per questo servizio tra il terzo e il quinto anno.</w:t>
      </w:r>
    </w:p>
  </w:footnote>
  <w:footnote w:id="789">
    <w:p>
      <w:pPr>
        <w:pStyle w:val="FootnoteText"/>
      </w:pPr>
      <w:r>
        <w:rPr>
          <w:rStyle w:val="FootnoteReference"/>
        </w:rPr>
        <w:footnoteRef/>
      </w:r>
      <w:r>
        <w:t xml:space="preserve"> </w:t>
      </w:r>
      <w:r>
        <w:t xml:space="preserve">Canale del pronto soccorso: dei circa 914.000 accessi inappropriati, una quota dell’ordine del 15% è riconducibile a disagio psichico e a sintomi somatici funzionali, sulla quale agisce la riduzione documentata degli accessi impropri (dell’ordine dell’11-14%); ne deriva un risparmio diretto stimato in 3-5 milioni di euro l’anno.</w:t>
      </w:r>
    </w:p>
  </w:footnote>
  <w:footnote w:id="790">
    <w:p>
      <w:pPr>
        <w:pStyle w:val="FootnoteText"/>
      </w:pPr>
      <w:r>
        <w:rPr>
          <w:rStyle w:val="FootnoteReference"/>
        </w:rPr>
        <w:footnoteRef/>
      </w:r>
      <w:r>
        <w:t xml:space="preserve"> </w:t>
      </w:r>
      <w:r>
        <w:t xml:space="preserve">Canale della farmaceutica: l’elevato consumo complessivo pugliese (1.081,9 dosi giornaliere ogni mille abitanti) e la bassa aderenza agli antidepressivi (il 27,5% dei soggetti resta sotto il 40% di copertura) indicano margini di appropriatezza, segnatamente nella sostituzione di terapie croniche non necessarie con percorsi psicologici; il risparmio diretto è stimato in 3-6 milioni di euro l’anno.</w:t>
      </w:r>
    </w:p>
  </w:footnote>
  <w:footnote w:id="791">
    <w:p>
      <w:pPr>
        <w:pStyle w:val="FootnoteText"/>
      </w:pPr>
      <w:r>
        <w:rPr>
          <w:rStyle w:val="FootnoteReference"/>
        </w:rPr>
        <w:footnoteRef/>
      </w:r>
      <w:r>
        <w:t xml:space="preserve"> </w:t>
      </w:r>
      <w:r>
        <w:t xml:space="preserve">Canale dei ricoveri e della specialistica: i sintomi somatici funzionali rappresentano circa il 20% delle consultazioni e si associano a un consumo di prestazioni molto superiore alla media, con riduzioni dei costi superiori al 30% dopo intervento psicologico breve; con i ricoveri evitabili, il risparmio diretto è stimato in 9-27 milioni di euro l’anno secondo lo scenario.</w:t>
      </w:r>
    </w:p>
  </w:footnote>
  <w:footnote w:id="792">
    <w:p>
      <w:pPr>
        <w:pStyle w:val="FootnoteText"/>
      </w:pPr>
      <w:r>
        <w:rPr>
          <w:rStyle w:val="FootnoteReference"/>
        </w:rPr>
        <w:footnoteRef/>
      </w:r>
      <w:r>
        <w:t xml:space="preserve"> </w:t>
      </w:r>
      <w:r>
        <w:t xml:space="preserve">Canale della mobilità recuperata: a fronte di un saldo passivo di 253,2 milioni di euro, la quota psichiatrica della mobilità e l’effetto di ritenzione della domanda sul territorio generano un risparmio diretto stimato in 5-12 milioni di euro l’anno; è il canale più distintivo del caso pugliese, poiché in una regione in forte deficit ogni prestazione trattenuta è un risparmio.</w:t>
      </w:r>
    </w:p>
  </w:footnote>
  <w:footnote w:id="793">
    <w:p>
      <w:pPr>
        <w:pStyle w:val="FootnoteText"/>
      </w:pPr>
      <w:r>
        <w:rPr>
          <w:rStyle w:val="FootnoteReference"/>
        </w:rPr>
        <w:footnoteRef/>
      </w:r>
      <w:r>
        <w:t xml:space="preserve"> </w:t>
      </w:r>
      <w:r>
        <w:t xml:space="preserve">Saldo diretto: aggregati i canali, i risparmi diretti per il Servizio sanitario regionale sono dell’ordine di 20, 34 e 50 milioni di euro secondo lo scenario, a fronte di un costo del servizio di 25, 38 e 50 milioni; il saldo diretto è dunque prossimo al pareggio (da un lieve disavanzo a un lieve attivo), e il pareggio finanziario è atteso tra il terzo e il quinto anno.</w:t>
      </w:r>
    </w:p>
  </w:footnote>
  <w:footnote w:id="794">
    <w:p>
      <w:pPr>
        <w:pStyle w:val="FootnoteText"/>
      </w:pPr>
      <w:r>
        <w:rPr>
          <w:rStyle w:val="FootnoteReference"/>
        </w:rPr>
        <w:footnoteRef/>
      </w:r>
      <w:r>
        <w:t xml:space="preserve"> </w:t>
      </w:r>
      <w:r>
        <w:t xml:space="preserve">Contesto di bilancio: il finanziamento del Servizio sanitario regionale è di circa 8,8 miliardi di euro, con un disavanzo di circa 350 milioni; il costo del servizio, anche a regime, ne costituisce una frazione modesta, sicché la questione non è la sostenibilità della spesa ma il suo dimensionamento; la Corte costituzionale (sentenza n. 6/2026) impone tuttavia alle regioni in piano di rientro di giustificare ogni impiego con la garanzia dei livelli essenziali.</w:t>
      </w:r>
    </w:p>
  </w:footnote>
  <w:footnote w:id="795">
    <w:p>
      <w:pPr>
        <w:pStyle w:val="FootnoteText"/>
      </w:pPr>
      <w:r>
        <w:rPr>
          <w:rStyle w:val="FootnoteReference"/>
        </w:rPr>
        <w:footnoteRef/>
      </w:r>
      <w:r>
        <w:t xml:space="preserve"> </w:t>
      </w:r>
      <w:r>
        <w:t xml:space="preserve">Ritorno sociale (metodo SROI): fondato sui sette principi del valore sociale e su una mappa dell’impatto, con proxy finanziari e con le correzioni per peso morto, attribuzione, spostamento e decadimento, monetizza il valore sociale generato distinguendolo dai risparmi di bilancio.</w:t>
      </w:r>
    </w:p>
  </w:footnote>
  <w:footnote w:id="796">
    <w:p>
      <w:pPr>
        <w:pStyle w:val="FootnoteText"/>
      </w:pPr>
      <w:r>
        <w:rPr>
          <w:rStyle w:val="FootnoteReference"/>
        </w:rPr>
        <w:footnoteRef/>
      </w:r>
      <w:r>
        <w:t xml:space="preserve"> </w:t>
      </w:r>
      <w:r>
        <w:t xml:space="preserve">Ricadute economico-sociali: la riduzione dell’assenteismo, il recupero di produttività e di funzionamento, la diminuzione delle nuove invalidità e il minor carico familiare, riferiti alle 780.000 persone con disagio, sono stimati in 70, 130 e 200 milioni di euro l’anno secondo lo scenario; è coerente con l’evidenza internazionale (Organizzazione mondiale della sanità e Lancet Psychiatry, Chisholm e colleghi, 2016), secondo cui il ritorno del trattamento di depressione e ansia, dell’ordine di quattro a uno, è costituito in quota dominante dalla produttività recuperata più che dal risparmio diretto sui servizi.</w:t>
      </w:r>
    </w:p>
  </w:footnote>
  <w:footnote w:id="797">
    <w:p>
      <w:pPr>
        <w:pStyle w:val="FootnoteText"/>
      </w:pPr>
      <w:r>
        <w:rPr>
          <w:rStyle w:val="FootnoteReference"/>
        </w:rPr>
        <w:footnoteRef/>
      </w:r>
      <w:r>
        <w:t xml:space="preserve"> </w:t>
      </w:r>
      <w:r>
        <w:t xml:space="preserve">Quadro complessivo per scenario: sommando i risparmi diretti e le ricadute sociali, il ritorno complessivo è di 90, 164 e 250 milioni di euro l’anno; al netto del costo, il saldo complessivo è di circa +65, +126 e +200 milioni, con un rapporto beneficio-costo complessivo dell’ordine di 3,6, 4,3 e 5,0 a uno.</w:t>
      </w:r>
    </w:p>
  </w:footnote>
  <w:footnote w:id="798">
    <w:p>
      <w:pPr>
        <w:pStyle w:val="FootnoteText"/>
      </w:pPr>
      <w:r>
        <w:rPr>
          <w:rStyle w:val="FootnoteReference"/>
        </w:rPr>
        <w:footnoteRef/>
      </w:r>
      <w:r>
        <w:t xml:space="preserve"> </w:t>
      </w:r>
      <w:r>
        <w:t xml:space="preserve">Distinzione tra caso economico e caso finanziario (Five Case Model): il caso economico misura il valore per la collettività, qui ampio (rapporto beneficio-costo di 3,6-5 a uno); il caso finanziario misura la sostenibilità per il bilancio, qui prossima al pareggio; tenere distinte le due grandezze, anziché sommarle, è una scelta di rigore che rende la valutazione difendibile di fronte agli organi di controllo.</w:t>
      </w:r>
    </w:p>
  </w:footnote>
  <w:footnote w:id="799">
    <w:p>
      <w:pPr>
        <w:pStyle w:val="FootnoteText"/>
      </w:pPr>
      <w:r>
        <w:rPr>
          <w:rStyle w:val="FootnoteReference"/>
        </w:rPr>
        <w:footnoteRef/>
      </w:r>
      <w:r>
        <w:t xml:space="preserve"> </w:t>
      </w:r>
      <w:r>
        <w:t xml:space="preserve">Robustezza: il segno del saldo complessivo è positivo in tutti gli scenari, comprese le ipotesi conservative; le analisi di sensibilità deterministica e probabilistica e il valore dell’informazione sono sviluppati nella Parte F.</w:t>
      </w:r>
    </w:p>
  </w:footnote>
  <w:footnote w:id="800">
    <w:p>
      <w:pPr>
        <w:pStyle w:val="FootnoteText"/>
      </w:pPr>
      <w:r>
        <w:rPr>
          <w:rStyle w:val="FootnoteReference"/>
        </w:rPr>
        <w:footnoteRef/>
      </w:r>
      <w:r>
        <w:t xml:space="preserve"> </w:t>
      </w:r>
      <w:r>
        <w:t xml:space="preserve">Natura dei dati: i parametri dei canali dei ricoveri, della specialistica e della mobilità sono in parte ancora stimati e saranno sostituiti dai valori certificati che l’agenzia regionale e le aziende sanitarie forniranno (schede di dimissione per disturbi psichici, composizione della mobilità per disciplina, spesa farmaceutica per categoria); la struttura della quantificazione è tuttavia già quella definitiva.</w:t>
      </w:r>
    </w:p>
  </w:footnote>
  <w:footnote w:id="801">
    <w:p>
      <w:pPr>
        <w:pStyle w:val="FootnoteText"/>
      </w:pPr>
      <w:r>
        <w:rPr>
          <w:rStyle w:val="FootnoteReference"/>
        </w:rPr>
        <w:footnoteRef/>
      </w:r>
      <w:r>
        <w:t xml:space="preserve"> </w:t>
      </w:r>
      <w:r>
        <w:t xml:space="preserve">Questa parte sviluppa i metodi di modellazione e di gestione dell’incertezza del quinto dominio, secondo le buone pratiche di ricerca sulla modellazione dell’ISPOR e della Society for Medical Decision Making; ne è oggetto la tenuta delle conclusioni economiche quando gli esiti si proiettano su orizzonti lunghi e quando si riconosce l’incertezza dei parametri.</w:t>
      </w:r>
    </w:p>
  </w:footnote>
  <w:footnote w:id="802">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scanditi da cicli temporali, con correzione di metà ciclo; gli stati sono quattro — sintomatico, di recupero (remissione), cronico (forme persistenti o gravi) e morte (assorbente) — e la coorte entra interamente nello stato sintomatico; la microsimulazione delle traiettorie individuali ne costituisce la variante per le storie dei singoli soggetti.</w:t>
      </w:r>
    </w:p>
  </w:footnote>
  <w:footnote w:id="803">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per la qualità; il braccio dell’assistenza usuale, un costo di circa 3.799 euro e un’utilità di 3,392; l’intervento è dunque al tempo stesso meno costoso (di circa 1.304 euro) e più efficace (di circa 0,236 anni di vita ponderati), configurando una condizione di dominanza, con beneficio monetario netto alla soglia di 30.000 euro per anno di vita ponderato di circa 8.384 euro per paziente.</w:t>
      </w:r>
    </w:p>
  </w:footnote>
  <w:footnote w:id="804">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costituisce il fondamento microeconomico delle stime aggregate.</w:t>
      </w:r>
    </w:p>
  </w:footnote>
  <w:footnote w:id="805">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a ciascun parametro è assegnata una distribuzione per l’analisi probabilistica.</w:t>
      </w:r>
    </w:p>
  </w:footnote>
  <w:footnote w:id="806">
    <w:p>
      <w:pPr>
        <w:pStyle w:val="FootnoteText"/>
      </w:pPr>
      <w:r>
        <w:rPr>
          <w:rStyle w:val="FootnoteReference"/>
        </w:rPr>
        <w:footnoteRef/>
      </w:r>
      <w:r>
        <w:t xml:space="preserve"> </w:t>
      </w:r>
      <w:r>
        <w:t xml:space="preserve">Distribuzioni e fonti: distribuzioni Beta per le probabilità di transizione e per le utilità, vincolate all’intervallo tra zero e uno, e distribuzioni Gamma per i costi, vincolate ai valori positivi; i valori sono tratti dalla relazione tecnica e dall’evidenza internazionale e calibrati sui valori regionali, e saranno aggiornati con i dati certificati.</w:t>
      </w:r>
    </w:p>
  </w:footnote>
  <w:footnote w:id="807">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ampiezza dell’effetto, e i più influenti risultano l’efficacia clinica, i tassi di ricaduta e di cronicizzazione e il costo dello stato cronico.</w:t>
      </w:r>
    </w:p>
  </w:footnote>
  <w:footnote w:id="808">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di coerenza interna ed esterna del modello.</w:t>
      </w:r>
    </w:p>
  </w:footnote>
  <w:footnote w:id="809">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 il piano costo-efficacia rappresenta le iterazioni come una nube di punti, concentrata nel quadrante in cui l’intervento è più efficace e meno costoso.</w:t>
      </w:r>
    </w:p>
  </w:footnote>
  <w:footnote w:id="810">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811">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compreso tra circa −5.736 e +21.501 euro.</w:t>
      </w:r>
    </w:p>
  </w:footnote>
  <w:footnote w:id="812">
    <w:p>
      <w:pPr>
        <w:pStyle w:val="FootnoteText"/>
      </w:pPr>
      <w:r>
        <w:rPr>
          <w:rStyle w:val="FootnoteReference"/>
        </w:rPr>
        <w:footnoteRef/>
      </w:r>
      <w:r>
        <w:t xml:space="preserve"> </w:t>
      </w:r>
      <w:r>
        <w:t xml:space="preserve">Distinzione tra costo-utilità e impatto sul bilancio: la probabilità di costo-efficacia è un risultato di efficienza, riferito al singolo paziente, che valorizza il guadagno di salute (anni di vita ponderati) e l’intera traiettoria di costo del modello; esso è coerente con — e non in contraddizione con — il saldo diretto prossimo al pareggio dell’analisi di impatto sul bilancio della Parte E, che valorizza i soli flussi monetari del bilancio sanitario: le due analisi rispondono a domande diverse, e la traduzione aggregata incorpora le correzioni per peso morto e per la effettiva monetizzabilità dei risparmi.</w:t>
      </w:r>
    </w:p>
  </w:footnote>
  <w:footnote w:id="813">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lo attribuisce ai singoli parametri, orientando le priorità della ricerca futura verso le grandezze più incerte e più influenti.</w:t>
      </w:r>
    </w:p>
  </w:footnote>
  <w:footnote w:id="814">
    <w:p>
      <w:pPr>
        <w:pStyle w:val="FootnoteText"/>
      </w:pPr>
      <w:r>
        <w:rPr>
          <w:rStyle w:val="FootnoteReference"/>
        </w:rPr>
        <w:footnoteRef/>
      </w:r>
      <w:r>
        <w:t xml:space="preserve"> </w:t>
      </w:r>
      <w:r>
        <w:t xml:space="preserve">Priorità di acquisizione: i parametri ancora stimati — segnatamente quelli dei canali dei ricoveri, della specialistica e della mobilità — sono quelli su cui il valore dell’informazione è maggiore, e la loro misura sui dati certificati dell’agenzia regionale e delle aziende sanitarie è perciò l’investimento conoscitivo prioritario.</w:t>
      </w:r>
    </w:p>
  </w:footnote>
  <w:footnote w:id="815">
    <w:p>
      <w:pPr>
        <w:pStyle w:val="FootnoteText"/>
      </w:pPr>
      <w:r>
        <w:rPr>
          <w:rStyle w:val="FootnoteReference"/>
        </w:rPr>
        <w:footnoteRef/>
      </w:r>
      <w:r>
        <w:t xml:space="preserve"> </w:t>
      </w:r>
      <w:r>
        <w:t xml:space="preserve">Verifica empirica: il dispiegamento scaglionato del servizio tra le aziende, oggetto della Parte L, riduce l’incertezza dei parametri sostituendo le stime con misure osservate, ed è la forma più efficace di acquisizione del valore dell’informazione.</w:t>
      </w:r>
    </w:p>
  </w:footnote>
  <w:footnote w:id="816">
    <w:p>
      <w:pPr>
        <w:pStyle w:val="FootnoteText"/>
      </w:pPr>
      <w:r>
        <w:rPr>
          <w:rStyle w:val="FootnoteReference"/>
        </w:rPr>
        <w:footnoteRef/>
      </w:r>
      <w:r>
        <w:t xml:space="preserve"> </w:t>
      </w:r>
      <w:r>
        <w:t xml:space="preserve">Questa parte copre l’ottavo dominio del modello HTA, il profilo del paziente e sociale, e risponde al criterio di impatto della griglia di giudizio; l’equità è trattata come dimensione costitutiva della valutazione, secondo l’evoluzione che ha aggiunto l’equità in salute ai tradizionali obiettivi di esito, esperienza, costo e benessere dei professionisti (Quintuple Aim).</w:t>
      </w:r>
    </w:p>
  </w:footnote>
  <w:footnote w:id="817">
    <w:p>
      <w:pPr>
        <w:pStyle w:val="FootnoteText"/>
      </w:pPr>
      <w:r>
        <w:rPr>
          <w:rStyle w:val="FootnoteReference"/>
        </w:rPr>
        <w:footnoteRef/>
      </w:r>
      <w:r>
        <w:t xml:space="preserve"> </w:t>
      </w:r>
      <w:r>
        <w:t xml:space="preserve">Gradiente sociale della salute mentale: le popolazioni in deprivazione presentano prevalenze sistematicamente più elevate di disturbi mentali comuni e, al tempo stesso, un accesso più difficile ai servizi; in Puglia il 37,7% della popolazione è a rischio di povertà o esclusione sociale, tra i valori più alti del Paese, sicché il bisogno si concentra precisamente dove le risorse protettive sono minori.</w:t>
      </w:r>
    </w:p>
  </w:footnote>
  <w:footnote w:id="818">
    <w:p>
      <w:pPr>
        <w:pStyle w:val="FootnoteText"/>
      </w:pPr>
      <w:r>
        <w:rPr>
          <w:rStyle w:val="FootnoteReference"/>
        </w:rPr>
        <w:footnoteRef/>
      </w:r>
      <w:r>
        <w:t xml:space="preserve"> </w:t>
      </w:r>
      <w:r>
        <w:t xml:space="preserve">La gratuità, la prossimità e l’assenza di stigma del servizio di primo livello abbattono precisamente le barriere — economiche, geografiche e culturali — che gravano in misura maggiore sulle popolazioni deprivate, ed è questo il meccanismo per cui un servizio universale può ridurre, anziché ampliare, le disuguaglianze di accesso.</w:t>
      </w:r>
    </w:p>
  </w:footnote>
  <w:footnote w:id="819">
    <w:p>
      <w:pPr>
        <w:pStyle w:val="FootnoteText"/>
      </w:pPr>
      <w:r>
        <w:rPr>
          <w:rStyle w:val="FootnoteReference"/>
        </w:rPr>
        <w:footnoteRef/>
      </w:r>
      <w:r>
        <w:t xml:space="preserve"> </w:t>
      </w:r>
      <w:r>
        <w:t xml:space="preserve">Variabili di equità, accesso e protezione finanziaria seguite dallo studio (registro delle variabili): riduzione dei tempi di attesa per l’accesso psicologico, accessibilità geografica nelle aree interne e remote, riduzione del gradiente socio-economico nell’accesso, equità di esito tra gruppi, riduzione delle disuguaglianze di genere, accesso per popolazioni straniere e fragili e per le persone con disabilità, riduzione delle barriere culturali e linguistiche, gratuità per i gruppi vulnerabili, copertura del bisogno non soddisfatto e riduzione del divario territoriale Nord-Sud.</w:t>
      </w:r>
    </w:p>
  </w:footnote>
  <w:footnote w:id="820">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sottogruppi e quale sia l’effetto sulle disuguaglianze; si avvale di strumenti quali gli anni di vita ponderati per l’equità, l’indice di concentrazione, che lega l’esito di salute alla posizione socio-economica, e gli indici di disuguaglianza assoluta e relativa, che misurano il gradiente dell’esito lungo lo stato socio-economico.</w:t>
      </w:r>
    </w:p>
  </w:footnote>
  <w:footnote w:id="821">
    <w:p>
      <w:pPr>
        <w:pStyle w:val="FootnoteText"/>
      </w:pPr>
      <w:r>
        <w:rPr>
          <w:rStyle w:val="FootnoteReference"/>
        </w:rPr>
        <w:footnoteRef/>
      </w:r>
      <w:r>
        <w:t xml:space="preserve"> </w:t>
      </w:r>
      <w:r>
        <w:t xml:space="preserve">Direzione del risultato distributivo: poiché il bisogno è maggiore e il guadagno di accesso più ampio tra le popolazioni deprivate, i benefici dell’intervento si concentrano tra i gruppi più svantaggiati, riducendo il gradiente sociale negli esiti di salute mentale; l’intervento è dunque non solo efficiente ma equo, in quanto migliora l’esito medio e ne comprime al tempo stesso la disuguaglianza.</w:t>
      </w:r>
    </w:p>
  </w:footnote>
  <w:footnote w:id="822">
    <w:p>
      <w:pPr>
        <w:pStyle w:val="FootnoteText"/>
      </w:pPr>
      <w:r>
        <w:rPr>
          <w:rStyle w:val="FootnoteReference"/>
        </w:rPr>
        <w:footnoteRef/>
      </w:r>
      <w:r>
        <w:t xml:space="preserve"> </w:t>
      </w:r>
      <w:r>
        <w:t xml:space="preserve">Ponderazione distributiva: l’attribuzione di pesi maggiori ai benefici che ricadono sui più svantaggiati accresce il valore sociale stimato rispetto all’analisi non ponderata; lo studio adotta tuttavia, come riferimento conservativo, il rapporto beneficio-costo non ponderato già esposto nella Parte E (dell’ordine di 3,6-5 a uno), rilevando che la ponderazione lo eleverebbe, coerentemente con la concentrazione dei benefici tra le popolazioni deprivate del Mezzogiorno, ma senza adottare la stima ponderata come dato di sintesi.</w:t>
      </w:r>
    </w:p>
  </w:footnote>
  <w:footnote w:id="823">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per l’indice di deprivazione socioeconomica e per la prevalenza di cronicità e multimorbidità, attribuendo pesi maggiori alle aree interne in spopolamento e alle periferie urbane degradate, così da contrastare anziché riprodurre le disuguaglianze esistenti.</w:t>
      </w:r>
    </w:p>
  </w:footnote>
  <w:footnote w:id="824">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e per misurare il gradiente sociale dell’accesso e dell’esito.</w:t>
      </w:r>
    </w:p>
  </w:footnote>
  <w:footnote w:id="825">
    <w:p>
      <w:pPr>
        <w:pStyle w:val="FootnoteText"/>
      </w:pPr>
      <w:r>
        <w:rPr>
          <w:rStyle w:val="FootnoteReference"/>
        </w:rPr>
        <w:footnoteRef/>
      </w:r>
      <w:r>
        <w:t xml:space="preserve"> </w:t>
      </w:r>
      <w:r>
        <w:t xml:space="preserve">Divari territoriali: alla disomogeneità demografica tra province si sommano i divari socioeconomici, concentrati nelle aree interne montane e rurali — colpite da spopolamento e invecchiamento — e in alcune periferie urbane; in queste aree i determinanti del disagio si addensano e l’accesso ai servizi è più difficile.</w:t>
      </w:r>
    </w:p>
  </w:footnote>
  <w:footnote w:id="826">
    <w:p>
      <w:pPr>
        <w:pStyle w:val="FootnoteText"/>
      </w:pPr>
      <w:r>
        <w:rPr>
          <w:rStyle w:val="FootnoteReference"/>
        </w:rPr>
        <w:footnoteRef/>
      </w:r>
      <w:r>
        <w:t xml:space="preserve"> </w:t>
      </w:r>
      <w:r>
        <w:t xml:space="preserve">Mobilità sanitaria recuperata quale dimensione di equità, oltre che di bilancio: chi migra per ricevere cure è spesso chi può permetterselo, sicché trattenere la presa in carico sul territorio serve insieme la sostenibilità del bilancio (saldo passivo di 253,2 milioni nel 2023) e l’equità verso chi non può spostarsi.</w:t>
      </w:r>
    </w:p>
  </w:footnote>
  <w:footnote w:id="827">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oggi la psicoterapia privata è spesso inaccessibile.</w:t>
      </w:r>
    </w:p>
  </w:footnote>
  <w:footnote w:id="828">
    <w:p>
      <w:pPr>
        <w:pStyle w:val="FootnoteText"/>
      </w:pPr>
      <w:r>
        <w:rPr>
          <w:rStyle w:val="FootnoteReference"/>
        </w:rPr>
        <w:footnoteRef/>
      </w:r>
      <w:r>
        <w:t xml:space="preserve"> </w:t>
      </w:r>
      <w:r>
        <w:t xml:space="preserve">Copertura del bisogno non soddisfatto come equità: intercettare la quota inevasa del disagio — dell’ordine di 780.000 persone, metà delle quali non chiede aiuto — significa raggiungere proprio coloro che hanno minore probabilità di accedere spontaneamente ai servizi.</w:t>
      </w:r>
    </w:p>
  </w:footnote>
  <w:footnote w:id="829">
    <w:p>
      <w:pPr>
        <w:pStyle w:val="FootnoteText"/>
      </w:pPr>
      <w:r>
        <w:rPr>
          <w:rStyle w:val="FootnoteReference"/>
        </w:rPr>
        <w:footnoteRef/>
      </w:r>
      <w:r>
        <w:t xml:space="preserve"> </w:t>
      </w:r>
      <w:r>
        <w:t xml:space="preserve">Collegamento al monitoraggio: gli indicatori di equità — accesso per area e per livello socio-economico, gradiente dell’esito, tempi di attesa per area — fanno parte del sistema di indicatori della Parte L, e consentono di verificare nel tempo se il servizio raggiunga effettivamente le comunità più distanti e i gruppi più fragili.</w:t>
      </w:r>
    </w:p>
  </w:footnote>
  <w:footnote w:id="830">
    <w:p>
      <w:pPr>
        <w:pStyle w:val="FootnoteText"/>
      </w:pPr>
      <w:r>
        <w:rPr>
          <w:rStyle w:val="FootnoteReference"/>
        </w:rPr>
        <w:footnoteRef/>
      </w:r>
      <w:r>
        <w:t xml:space="preserve"> </w:t>
      </w:r>
      <w:r>
        <w:t xml:space="preserve">Questa parte copre tre domini del modello HTA — il profilo etico (dominio 6), il profilo organizzativo (dominio 7) e il profilo giuridico (dominio 9) — che completano la valutazione oltre i piani clinico, economico e di equità, stabilendo che l’intervento sia eticamente fondato, giuridicamente difendibile e organizzativamente conforme.</w:t>
      </w:r>
    </w:p>
  </w:footnote>
  <w:footnote w:id="831">
    <w:p>
      <w:pPr>
        <w:pStyle w:val="FootnoteText"/>
      </w:pPr>
      <w:r>
        <w:rPr>
          <w:rStyle w:val="FootnoteReference"/>
        </w:rPr>
        <w:footnoteRef/>
      </w:r>
      <w:r>
        <w:t xml:space="preserve"> </w:t>
      </w:r>
      <w:r>
        <w:t xml:space="preserve">Profilo etico (registro delle variabili, profili giuridici, etici e di governance): le dimensioni rilevanti sono l’equità di accesso, l’autonomia della persona e la tutela del consenso informato, oggetto del dominio etico della valutazione di tecnologia sanitaria.</w:t>
      </w:r>
    </w:p>
  </w:footnote>
  <w:footnote w:id="832">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se interagisce con un sistema di intelligenza artificiale, quali dati siano raccolti e chi possa accedervi.</w:t>
      </w:r>
    </w:p>
  </w:footnote>
  <w:footnote w:id="833">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834">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siano registrate o trattate le modalità.</w:t>
      </w:r>
    </w:p>
  </w:footnote>
  <w:footnote w:id="835">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sui principi di universalità, eguaglianza ed equità.</w:t>
      </w:r>
    </w:p>
  </w:footnote>
  <w:footnote w:id="836">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il secondo comma, lettera g), riserva allo Stato l’ordinamento delle professioni.</w:t>
      </w:r>
    </w:p>
  </w:footnote>
  <w:footnote w:id="837">
    <w:p>
      <w:pPr>
        <w:pStyle w:val="FootnoteText"/>
      </w:pPr>
      <w:r>
        <w:rPr>
          <w:rStyle w:val="FootnoteReference"/>
        </w:rPr>
        <w:footnoteRef/>
      </w:r>
      <w:r>
        <w:t xml:space="preserve"> </w:t>
      </w:r>
      <w:r>
        <w:t xml:space="preserve">Articolo 117, secondo comma, lettera m), della Costituzione: la determinazione dei livelli essenziali delle prestazioni concernenti i diritti civili e sociali è competenza legislativa esclusiva dello Stato; il decreto del Presidente del Consiglio dei ministri 12 gennaio 2017 è l’atto mediante il quale la funzione di psicologia di base può essere ricondotta tra le prestazioni garantite, e costituisce la leva di un’eventuale uniformità nazionale.</w:t>
      </w:r>
    </w:p>
  </w:footnote>
  <w:footnote w:id="838">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la legge regionale pugliese opera entro la competenza concorrente, sul piano organizzativo.</w:t>
      </w:r>
    </w:p>
  </w:footnote>
  <w:footnote w:id="839">
    <w:p>
      <w:pPr>
        <w:pStyle w:val="FootnoteText"/>
      </w:pPr>
      <w:r>
        <w:rPr>
          <w:rStyle w:val="FootnoteReference"/>
        </w:rPr>
        <w:footnoteRef/>
      </w:r>
      <w:r>
        <w:t xml:space="preserve"> </w:t>
      </w:r>
      <w:r>
        <w:t xml:space="preserve">Corte costituzionale, sentenza n. 142 del 2021: ha dichiarato l’illegittimità della precedente legge regionale pugliese; la legge regionale n. 11 del 2023 ne costituisce la versione conforme, e il presente studio è redatto per essere costituzionalmente difendibile.</w:t>
      </w:r>
    </w:p>
  </w:footnote>
  <w:footnote w:id="840">
    <w:p>
      <w:pPr>
        <w:pStyle w:val="FootnoteText"/>
      </w:pPr>
      <w:r>
        <w:rPr>
          <w:rStyle w:val="FootnoteReference"/>
        </w:rPr>
        <w:footnoteRef/>
      </w:r>
      <w:r>
        <w:t xml:space="preserve"> </w:t>
      </w:r>
      <w:r>
        <w:t xml:space="preserve">Corte costituzionale, sentenza n. 6 del 2026: le Regioni in piano di rientro non possono utilizzare i fondi del proprio Servizio sanitario per finalità diverse dalla garanzia dei livelli essenziali; il vincolo rende la dimostrazione di efficienza e di coerenza con i livelli essenziali una condizione, non un’opzione.</w:t>
      </w:r>
    </w:p>
  </w:footnote>
  <w:footnote w:id="841">
    <w:p>
      <w:pPr>
        <w:pStyle w:val="FootnoteText"/>
      </w:pPr>
      <w:r>
        <w:rPr>
          <w:rStyle w:val="FootnoteReference"/>
        </w:rPr>
        <w:footnoteRef/>
      </w:r>
      <w:r>
        <w:t xml:space="preserve"> </w:t>
      </w:r>
      <w:r>
        <w:t xml:space="preserve">Deontologia professionale (registro delle variabili): il servizio opera nel rispetto delle norme deontologiche della professione, sotto la vigilanza dell’Ordine degli Psicologi, che concorre alla governance e alla formazione.</w:t>
      </w:r>
    </w:p>
  </w:footnote>
  <w:footnote w:id="842">
    <w:p>
      <w:pPr>
        <w:pStyle w:val="FootnoteText"/>
      </w:pPr>
      <w:r>
        <w:rPr>
          <w:rStyle w:val="FootnoteReference"/>
        </w:rPr>
        <w:footnoteRef/>
      </w:r>
      <w:r>
        <w:t xml:space="preserve"> </w:t>
      </w:r>
      <w:r>
        <w:t xml:space="preserve">Responsabilità clinica e ruolo dell’IA (legge nazionale sull’IA, art. 7; registro delle variabili): l’impiego dell’intelligenza artificiale non altera le responsabilità professionali — il medico di medicina generale resta garante della diagnosi e della terapia medica, lo psicologo dell’intervento psicologico — essendo l’IA assimilata a un dispositivo di supporto e non a una figura che compie atti; ciò evita conflitti con gli accordi convenzionali, poiché non si introduce una nuova figura ma uno strumento.</w:t>
      </w:r>
    </w:p>
  </w:footnote>
  <w:footnote w:id="843">
    <w:p>
      <w:pPr>
        <w:pStyle w:val="FootnoteText"/>
      </w:pPr>
      <w:r>
        <w:rPr>
          <w:rStyle w:val="FootnoteReference"/>
        </w:rPr>
        <w:footnoteRef/>
      </w:r>
      <w:r>
        <w:t xml:space="preserve"> </w:t>
      </w:r>
      <w:r>
        <w:t xml:space="preserve">Conformità degli strumenti di IA (registro delle variabili; legge nazionale sull’IA, artt. 6 e 8): il regolamento europeo sull’IA classifica come ad alto rischio i sistemi impiegati nei dispositivi medici; il regolamento sui dispositivi medici impone la marcatura CE (software di classe IIa o IIb); il regolamento sulla protezione dei dati ne disciplina il trattamento; sono richiesti supervisione umana, validazione periodica, monitoraggio dei bias, trasparenza e spiegabilità e non discriminazione algoritmica; è auspicata l’istituzione di un comitato etico-scientifico per l’IA in sanità, con l’agenzia regionale e le università, e l’articolo 8 qualifica i relativi trattamenti come di rilevante interesse pubblico.</w:t>
      </w:r>
    </w:p>
  </w:footnote>
  <w:footnote w:id="844">
    <w:p>
      <w:pPr>
        <w:pStyle w:val="FootnoteText"/>
      </w:pPr>
      <w:r>
        <w:rPr>
          <w:rStyle w:val="FootnoteReference"/>
        </w:rPr>
        <w:footnoteRef/>
      </w:r>
      <w:r>
        <w:t xml:space="preserve"> </w:t>
      </w:r>
      <w:r>
        <w:t xml:space="preserve">Equità digitale (registro delle variabili): per non generare nuove disuguaglianze, sono previsti canali tradizionali paralleli per chi non dispone di strumenti digitali — segnatamente le persone anziane — e il supporto multilingue per le popolazioni straniere; l’alternativa dell’intervento in presenza è sempre garantita.</w:t>
      </w:r>
    </w:p>
  </w:footnote>
  <w:footnote w:id="845">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 in salute mentale i dati richiedono il massimo grado di tutela.</w:t>
      </w:r>
    </w:p>
  </w:footnote>
  <w:footnote w:id="846">
    <w:p>
      <w:pPr>
        <w:pStyle w:val="FootnoteText"/>
      </w:pPr>
      <w:r>
        <w:rPr>
          <w:rStyle w:val="FootnoteReference"/>
        </w:rPr>
        <w:footnoteRef/>
      </w:r>
      <w:r>
        <w:t xml:space="preserve"> </w:t>
      </w:r>
      <w:r>
        <w:t xml:space="preserve">Questa parte copre il settimo dominio del modello HTA, il profilo organizzativo, e fornisce il contenuto del caso commerciale e del caso gestionale del Five Case Model, rispondendo al criterio di sostenibilità; risponde alla domanda se l’intervento, accertato valido, possa essere effettivamente attuato, reso finanziariamente sostenibile e mantenuto nel tempo.</w:t>
      </w:r>
    </w:p>
  </w:footnote>
  <w:footnote w:id="847">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(gli esiti effettivi), l’adozione (l’adesione delle sedi e dei professionisti), l’implementazione (la fedeltà al modello e la qualità dell’attuazione) e il mantenimento (la sostenibilità nel tempo).</w:t>
      </w:r>
    </w:p>
  </w:footnote>
  <w:footnote w:id="848">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e consente di individuare ex ante le barriere e i facilitatori.</w:t>
      </w:r>
    </w:p>
  </w:footnote>
  <w:footnote w:id="849">
    <w:p>
      <w:pPr>
        <w:pStyle w:val="FootnoteText"/>
      </w:pPr>
      <w:r>
        <w:rPr>
          <w:rStyle w:val="FootnoteReference"/>
        </w:rPr>
        <w:footnoteRef/>
      </w:r>
      <w:r>
        <w:t xml:space="preserve"> </w:t>
      </w:r>
      <w:r>
        <w:t xml:space="preserve">Determinanti di implementazione e processo seguiti dallo studio (registro delle variabili): il tasso di copertura della popolazione, il grado di adozione delle sedi, la fedeltà al modello, la sostenibilità, i tempi di attivazione, il numero di psicologi reclutati e formati, la qualità della formazione e della supervisione, il grado di integrazione nei flussi di lavoro, l’aderenza ai percorsi, la scalabilità e il coinvolgimento dei portatori di interesse.</w:t>
      </w:r>
    </w:p>
  </w:footnote>
  <w:footnote w:id="850">
    <w:p>
      <w:pPr>
        <w:pStyle w:val="FootnoteText"/>
      </w:pPr>
      <w:r>
        <w:rPr>
          <w:rStyle w:val="FootnoteReference"/>
        </w:rPr>
        <w:footnoteRef/>
      </w:r>
      <w:r>
        <w:t xml:space="preserve"> </w:t>
      </w:r>
      <w:r>
        <w:t xml:space="preserve">Disegno del dispiegamento scaglionato (piano operativo di implementazione): le sei aziende sanitarie locali passano in sequenza, per fasi semestrali, dalla condizione di controllo a quella di intervento, a partire dalle aziende di maggiore dimensione e prontezza organizzativa; l’ordine è definito dalla Giunta regionale sulla base di criteri trasparenti — prontezza organizzativa, entità del bisogno ed equilibrio territoriale — e reso noto preventivamente, con scansione adattabile fermo restando il principio della progressione ordinata e documentata.</w:t>
      </w:r>
    </w:p>
  </w:footnote>
  <w:footnote w:id="851">
    <w:p>
      <w:pPr>
        <w:pStyle w:val="FootnoteText"/>
      </w:pPr>
      <w:r>
        <w:rPr>
          <w:rStyle w:val="FootnoteReference"/>
        </w:rPr>
        <w:footnoteRef/>
      </w:r>
      <w:r>
        <w:t xml:space="preserve"> </w:t>
      </w:r>
      <w:r>
        <w:t xml:space="preserve">Doppia funzione del dispiegamento scaglionato: esso risponde a un’esigenza organizzativa — attivare il servizio in modo graduale, compatibile con il reclutamento e la formazione — e al tempo stesso costituisce il fondamento della valutazione controfattuale d’impatto, poiché la successione temporale e territoriale dell’attivazione configura un esperimento naturale, oggetto della Parte L.</w:t>
      </w:r>
    </w:p>
  </w:footnote>
  <w:footnote w:id="852">
    <w:p>
      <w:pPr>
        <w:pStyle w:val="FootnoteText"/>
      </w:pPr>
      <w:r>
        <w:rPr>
          <w:rStyle w:val="FootnoteReference"/>
        </w:rPr>
        <w:footnoteRef/>
      </w:r>
      <w:r>
        <w:t xml:space="preserve"> </w:t>
      </w:r>
      <w:r>
        <w:t xml:space="preserve">Reclutamento (piano operativo): a fronte di un fabbisogno a regime di 800-900 psicologi, il reclutamento avviene tramite l’iscrizione a un elenco istituito presso ciascuna azienda sanitaria locale e l’instaurazione di un rapporto convenzionale, con requisiti di iscrizione all’albo e di formazione specifica; in prima applicazione possono accedere i professionisti con pregressa esperienza nell’assistenza psicologica nel Servizio sanitario regionale.</w:t>
      </w:r>
    </w:p>
  </w:footnote>
  <w:footnote w:id="853">
    <w:p>
      <w:pPr>
        <w:pStyle w:val="FootnoteText"/>
      </w:pPr>
      <w:r>
        <w:rPr>
          <w:rStyle w:val="FootnoteReference"/>
        </w:rPr>
        <w:footnoteRef/>
      </w:r>
      <w:r>
        <w:t xml:space="preserve"> </w:t>
      </w:r>
      <w:r>
        <w:t xml:space="preserve">Cronoprogramma (piano operativo): l’attivazione procede per sei fasi semestrali; le attività di reclutamento, formazione, allestimento e avvio procedono in modo scaglionato, azienda per azienda, mentre il monitoraggio e la valutazione accompagnano l’intero arco e proseguono oltre il completamento del dispiegamento.</w:t>
      </w:r>
    </w:p>
  </w:footnote>
  <w:footnote w:id="854">
    <w:p>
      <w:pPr>
        <w:pStyle w:val="FootnoteText"/>
      </w:pPr>
      <w:r>
        <w:rPr>
          <w:rStyle w:val="FootnoteReference"/>
        </w:rPr>
        <w:footnoteRef/>
      </w:r>
      <w:r>
        <w:t xml:space="preserve"> </w:t>
      </w:r>
      <w:r>
        <w:t xml:space="preserve">Soglia di riuscita del dispiegamento: tra i parametri che muterebbero le conclusioni figura un tasso di recupero inferiore al 50% nella fase di attuazione, a fronte del valore di riferimento del programma inglese (dell’ordine del 50%); il monitoraggio della Parte L è chiamato a verificare il raggiungimento di tale soglia sui dati pugliesi.</w:t>
      </w:r>
    </w:p>
  </w:footnote>
  <w:footnote w:id="855">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con un costo medio per incarico dell’ordine di 55.000 euro l’anno (circa 40 euro l’ora di costo-azienda per circa 1.250 ore, più circa 5.000 euro di costi generali), da cui discendono gli scenari di spesa di 25, 38 e 50 milioni di euro l’anno, fino a 60-75 a costi pieni; l’assetto è già sperimentato da altre Regioni.</w:t>
      </w:r>
    </w:p>
  </w:footnote>
  <w:footnote w:id="856">
    <w:p>
      <w:pPr>
        <w:pStyle w:val="FootnoteText"/>
      </w:pPr>
      <w:r>
        <w:rPr>
          <w:rStyle w:val="FootnoteReference"/>
        </w:rPr>
        <w:footnoteRef/>
      </w:r>
      <w:r>
        <w:t xml:space="preserve"> </w:t>
      </w:r>
      <w:r>
        <w:t xml:space="preserve">Caso gestionale (Five Case Model): l’attuazione è governata su due livelli. A livello regionale, l’Osservatorio regionale per la psicologia di base, previsto dall’articolo 9 della proposta di legge, esercita le funzioni di indirizzo, programmazione, monitoraggio e controllo, definisce i criteri e l’ordine del dispiegamento, sovrintende ai programmi formativi e assicura l’uniformità, riunendo la Regione, le aziende, l’Ordine degli Psicologi, la medicina generale, la pediatria di libera scelta e gli esperti; a livello aziendale, ciascuna azienda è responsabile del reclutamento, delle sedi, dell’allestimento, dell’avvio e dell’alimentazione del sistema informativo.</w:t>
      </w:r>
    </w:p>
  </w:footnote>
  <w:footnote w:id="857">
    <w:p>
      <w:pPr>
        <w:pStyle w:val="FootnoteText"/>
      </w:pPr>
      <w:r>
        <w:rPr>
          <w:rStyle w:val="FootnoteReference"/>
        </w:rPr>
        <w:footnoteRef/>
      </w:r>
      <w:r>
        <w:t xml:space="preserve"> </w:t>
      </w:r>
      <w:r>
        <w:t xml:space="preserve">Rischi attuativi e misure di mitigazione (piano operativo): i rischi principali — reclutamento insufficiente, debole adesione della medicina generale, interoperabilità incompleta dei sistemi informativi, disomogeneità territoriale, venir meno delle coperture — sono presidiati da misure dedicate, e il dispiegamento graduale costituisce esso stesso la principale forma di mitigazione, poiché consente di correggere il modello prima dell’estensione.</w:t>
      </w:r>
    </w:p>
  </w:footnote>
  <w:footnote w:id="858">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la Missione 6 del Piano Nazionale di Ripresa e Resilienza per l’infrastruttura territoriale e digitale, i fondi nazionali in materia di salute mentale, il riutilizzo a regime di una quota dei risparmi diretti generati dal servizio e accordi intersettoriali con i settori del welfare, dell’invalidità e della produttività, su cui ricadono i benefici.</w:t>
      </w:r>
    </w:p>
  </w:footnote>
  <w:footnote w:id="859">
    <w:p>
      <w:pPr>
        <w:pStyle w:val="FootnoteText"/>
      </w:pPr>
      <w:r>
        <w:rPr>
          <w:rStyle w:val="FootnoteReference"/>
        </w:rPr>
        <w:footnoteRef/>
      </w:r>
      <w:r>
        <w:t xml:space="preserve"> </w:t>
      </w:r>
      <w:r>
        <w:t xml:space="preserve">Vincoli di bilancio: a fronte di un finanziamento di circa 8,8 miliardi di euro e di un disavanzo di circa 350 milioni, in regime di piano di rientro, il costo del servizio (25-50 milioni) ne costituisce una frazione modesta, in larga parte compensata dai risparmi diretti, con pareggio finanziario atteso tra il terzo e il quinto anno.</w:t>
      </w:r>
    </w:p>
  </w:footnote>
  <w:footnote w:id="860">
    <w:p>
      <w:pPr>
        <w:pStyle w:val="FootnoteText"/>
      </w:pPr>
      <w:r>
        <w:rPr>
          <w:rStyle w:val="FootnoteReference"/>
        </w:rPr>
        <w:footnoteRef/>
      </w:r>
      <w:r>
        <w:t xml:space="preserve"> </w:t>
      </w:r>
      <w:r>
        <w:t xml:space="preserve">Sostenibilità nel tempo (criterio OCSE-DAC): la sostenibilità è assicurata dalla modestia del costo rispetto al bilancio, dalla sua larga compensazione mediante i risparmi diretti e dall’allineamento, garantito dal dispiegamento graduale, tra la spesa e la capacità di reclutamento e formazione; la sostenibilità di lungo periodo richiede un finanziamento strutturale, non straordinario.</w:t>
      </w:r>
    </w:p>
  </w:footnote>
  <w:footnote w:id="861">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cautela di trasferibilità; la sintesi del ritorno «quattro a uno» dell’Organizzazione mondiale della sanità è una semplificazione, poiché la fonte riporta intervalli dell’ordine di 2,3-3,0 a uno per i soli benefici economici e di 3,3-5,7 a uno includendo i ritorni di salute, coerenti con il rapporto consolidato adottato (3,6-5 a uno).</w:t>
      </w:r>
    </w:p>
  </w:footnote>
  <w:footnote w:id="862">
    <w:p>
      <w:pPr>
        <w:pStyle w:val="FootnoteText"/>
      </w:pPr>
      <w:r>
        <w:rPr>
          <w:rStyle w:val="FootnoteReference"/>
        </w:rPr>
        <w:footnoteRef/>
      </w:r>
      <w:r>
        <w:t xml:space="preserve"> </w:t>
      </w:r>
      <w:r>
        <w:t xml:space="preserve">Questa parte organizza la misurazione dell’intervento nel tempo: serve ex post i criteri della griglia di giudizio, chiude il ciclo aperto dall’analisi preventiva della regolamentazione e fornisce il fondamento empirico delle stime delle parti precedenti; la verifica onesta della completezza del progetto conduce a una conclusione netta — al progetto non manca un’architettura, ma il radicamento nei dati e l’avvio della misurazione, sicché le lacune residue sono di fondamento e di attivazione, non di disegno.</w:t>
      </w:r>
    </w:p>
  </w:footnote>
  <w:footnote w:id="863">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di impatto, e costituisce l’ossatura del sistema di indicatori.</w:t>
      </w:r>
    </w:p>
  </w:footnote>
  <w:footnote w:id="864">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circa quaranta richiedono la rilevazione diretta del servizio.</w:t>
      </w:r>
    </w:p>
  </w:footnote>
  <w:footnote w:id="865">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e condiviso di esiti da misurare, prassi che fonda la selezione di un sottoinsieme prioritario di variabili ed evita la proliferazione di misure ridondanti.</w:t>
      </w:r>
    </w:p>
  </w:footnote>
  <w:footnote w:id="866">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e variabili di sintesi (da calcolare).</w:t>
      </w:r>
    </w:p>
  </w:footnote>
  <w:footnote w:id="867">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costituisce la fonte dei circa quaranta indicatori che il servizio deve rilevare in proprio e che non sono ricavabili dalle statistiche correnti.</w:t>
      </w:r>
    </w:p>
  </w:footnote>
  <w:footnote w:id="868">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869">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 il tasso di recupero conseguito è dell’ordine del 50%.</w:t>
      </w:r>
    </w:p>
  </w:footnote>
  <w:footnote w:id="870">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vanno registrati subito; la rilevazione di servizio parte con il primo assistito, nel principio che ogni mese di ritardo è un mese di dati di base perduti, non recuperabili a posteriori.</w:t>
      </w:r>
    </w:p>
  </w:footnote>
  <w:footnote w:id="871">
    <w:p>
      <w:pPr>
        <w:pStyle w:val="FootnoteText"/>
      </w:pPr>
      <w:r>
        <w:rPr>
          <w:rStyle w:val="FootnoteReference"/>
        </w:rPr>
        <w:footnoteRef/>
      </w:r>
      <w:r>
        <w:t xml:space="preserve"> </w:t>
      </w:r>
      <w:r>
        <w:t xml:space="preserve">Calendario della rilevazione: prima dell’avvio, costituzione della baseline con i dati disponibili e predisposizione del registro e dei questionari; all’avvio, inizio della registrazione di ogni presa in carico e di ogni seduta; in continuo, alimentazione del registro e trasmissione di indicatori aggregati all’Osservatorio con cadenza mensile; periodicamente, con cadenza semestrale e annuale, calcolo delle misure di sintesi e aggiornamento del cruscotto regionale.</w:t>
      </w:r>
    </w:p>
  </w:footnote>
  <w:footnote w:id="872">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assenza dell’intervento; il dispiegamento scaglionato funge da esperimento naturale, e si avvale della differenza-nelle-differenze e del controllo sintetico.</w:t>
      </w:r>
    </w:p>
  </w:footnote>
  <w:footnote w:id="873">
    <w:p>
      <w:pPr>
        <w:pStyle w:val="FootnoteText"/>
      </w:pPr>
      <w:r>
        <w:rPr>
          <w:rStyle w:val="FootnoteReference"/>
        </w:rPr>
        <w:footnoteRef/>
      </w:r>
      <w:r>
        <w:t xml:space="preserve"> </w:t>
      </w:r>
      <w:r>
        <w:t xml:space="preserve">Differenza-nelle-differenze: confronta la variazione nel tempo dell’esito tra le aree già attivate e quelle non ancora attivate, sotto l’ipotesi di andamento parallelo, ossia che i gruppi avrebbero evoluto in modo simile in assenza dell’intervento; il controllo sintetico costruisce un’unità di confronto artificiale come combinazione ponderata di unità non trattate.</w:t>
      </w:r>
    </w:p>
  </w:footnote>
  <w:footnote w:id="874">
    <w:p>
      <w:pPr>
        <w:pStyle w:val="FootnoteText"/>
      </w:pPr>
      <w:r>
        <w:rPr>
          <w:rStyle w:val="FootnoteReference"/>
        </w:rPr>
        <w:footnoteRef/>
      </w:r>
      <w:r>
        <w:t xml:space="preserve"> </w:t>
      </w:r>
      <w:r>
        <w:t xml:space="preserve">Effetti stimati e validità: l’analisi restituisce l’effetto medio sull’intera popolazione e l’effetto medio sui soli trattati; i metodi rigorosi garantiscono la validità interna, ossia che l’effetto sia realmente attribuibile all’intervento, mentre la validità esterna, ossia la generalizzabilità, va valutata a parte; il Consiglio per la ricerca medica del Regno Unito raccomanda i disegni a esperimento naturale per gli interventi di salute della popolazione.</w:t>
      </w:r>
    </w:p>
  </w:footnote>
  <w:footnote w:id="875">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aree che hanno attivato il servizio con quello delle aree che lo attiveranno, si isola l’effetto proprio della riforma da eventuali tendenze generali, e si trasforma la stima dei risparmi da proiezione attesa a misura empiricamente fondata.</w:t>
      </w:r>
    </w:p>
  </w:footnote>
  <w:footnote w:id="876">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dell’utilità e della coerenza della norma, e chiude il ciclo aperto dall’analisi preventiva (AIR) accertando se la norma abbia prodotto gli effetti attesi.</w:t>
      </w:r>
    </w:p>
  </w:footnote>
  <w:footnote w:id="877">
    <w:p>
      <w:pPr>
        <w:pStyle w:val="FootnoteText"/>
      </w:pPr>
      <w:r>
        <w:rPr>
          <w:rStyle w:val="FootnoteReference"/>
        </w:rPr>
        <w:footnoteRef/>
      </w:r>
      <w:r>
        <w:t xml:space="preserve"> </w:t>
      </w:r>
      <w:r>
        <w:t xml:space="preserve">Clausola valutativa: sul piano regionale, impegna la Giunta a riferire periodicamente al Consiglio sui risultati conseguiti; è il passaggio che distingue una riforma annunciata da una riforma dimostrata e ne assicura la difendibilità nel tempo.</w:t>
      </w:r>
    </w:p>
  </w:footnote>
  <w:footnote w:id="878">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 quadro teorico, selezione dei dati, imputazione dei dati mancanti, analisi multivariata, normalizzazione, ponderazione, aggregazione, analisi di sensibilità, collegamento ad altre misure e visualizzazione — con la scelta dei pesi e del metodo di aggregazione resa esplicita, perché da essa dipende il risultato.</w:t>
      </w:r>
    </w:p>
  </w:footnote>
  <w:footnote w:id="879">
    <w:p>
      <w:pPr>
        <w:pStyle w:val="FootnoteText"/>
      </w:pPr>
      <w:r>
        <w:rPr>
          <w:rStyle w:val="FootnoteReference"/>
        </w:rPr>
        <w:footnoteRef/>
      </w:r>
      <w:r>
        <w:t xml:space="preserve"> </w:t>
      </w:r>
      <w:r>
        <w:t xml:space="preserve">Benessere Equo e Sostenibile (BES), ISTAT: dodici domini con indici compositi; con la legge n. 163/2016 di riforma del bilancio, dodici indicatori BES sono allegati ai documenti di programmazione economica, il che rende il BES la cornice nazionale di sintesi multidimensionale a cui il cruscotto si ancora.</w:t>
      </w:r>
    </w:p>
  </w:footnote>
  <w:footnote w:id="880">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 non come variabile semplice, come proprie ramificazioni e come componente di una misura complessa che già la incorpora; le variabili ramificate non si sommano tra loro né con la variabile-genitore, e le misure complesse sostituiscono, non si aggiungono a, le componenti che sintetizzano.</w:t>
      </w:r>
    </w:p>
  </w:footnote>
  <w:footnote w:id="881">
    <w:p>
      <w:pPr>
        <w:pStyle w:val="FootnoteText"/>
      </w:pPr>
      <w:r>
        <w:rPr>
          <w:rStyle w:val="FootnoteReference"/>
        </w:rPr>
        <w:footnoteRef/>
      </w:r>
      <w:r>
        <w:t xml:space="preserve"> </w:t>
      </w:r>
      <w:r>
        <w:t xml:space="preserve">Questa parte conclusiva applica la griglia di giudizio del telaio, i criteri dell’OCSE-DAC, che attraversano l’intero studio e convergono nella sintesi; fornisce inoltre il contenuto del caso strategico del Five Case Model, ricomponendo le evidenze delle parti precedenti in una valutazione di merito e in raccomandazioni per il decisore.</w:t>
      </w:r>
    </w:p>
  </w:footnote>
  <w:footnote w:id="882">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da applicare in modo contestuale e non meccanico; esse operano ex ante, orientando la valutazione complessiva, ed ex post, strutturando la verifica dei risultati attraverso la verifica di impatto della regolamentazione e la clausola valutativa.</w:t>
      </w:r>
    </w:p>
  </w:footnote>
  <w:footnote w:id="883">
    <w:p>
      <w:pPr>
        <w:pStyle w:val="FootnoteText"/>
      </w:pPr>
      <w:r>
        <w:rPr>
          <w:rStyle w:val="FootnoteReference"/>
        </w:rPr>
        <w:footnoteRef/>
      </w:r>
      <w:r>
        <w:t xml:space="preserve"> </w:t>
      </w:r>
      <w:r>
        <w:t xml:space="preserve">Rilevanza: l’intervento risponde a un bisogno reale e di grande dimensione — dell’ordine di 780.000 persone con disagio comune in larga parte non intercettato, lungo un gradiente sociale — e all’obbligo di garantire i livelli essenziali (Parti B e G).</w:t>
      </w:r>
    </w:p>
  </w:footnote>
  <w:footnote w:id="884">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con gli indirizzi nazionali sulla salute mentale e con la legge regionale n. 11/2023, ed è costituzionalmente difendibile (Corte costituzionale, sentenza n. 241/2021) (Parti H e I).</w:t>
      </w:r>
    </w:p>
  </w:footnote>
  <w:footnote w:id="885">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 con tassi di recupero dell’ordine del 50% nel programma inglese e riduzioni consistenti dei sintomi nelle revisioni sistematiche (Parte D).</w:t>
      </w:r>
    </w:p>
  </w:footnote>
  <w:footnote w:id="886">
    <w:p>
      <w:pPr>
        <w:pStyle w:val="FootnoteText"/>
      </w:pPr>
      <w:r>
        <w:rPr>
          <w:rStyle w:val="FootnoteReference"/>
        </w:rPr>
        <w:footnoteRef/>
      </w:r>
      <w:r>
        <w:t xml:space="preserve"> </w:t>
      </w:r>
      <w:r>
        <w:t xml:space="preserve">Efficienza: l’intervento è favorevole in termini di costo-utilità — con dominanza per paziente e costo-efficacia confermata nell’88,9% delle simulazioni — mentre sul solo bilancio sanitario il saldo diretto è prossimo al pareggio, a fronte di un costo che ne costituisce una frazione modesta (Parti E e F).</w:t>
      </w:r>
    </w:p>
  </w:footnote>
  <w:footnote w:id="887">
    <w:p>
      <w:pPr>
        <w:pStyle w:val="FootnoteText"/>
      </w:pPr>
      <w:r>
        <w:rPr>
          <w:rStyle w:val="FootnoteReference"/>
        </w:rPr>
        <w:footnoteRef/>
      </w:r>
      <w:r>
        <w:t xml:space="preserve"> </w:t>
      </w:r>
      <w:r>
        <w:t xml:space="preserve">Impatto: l’impatto distributivo è favorevole, poiché i benefici si concentrano tra le popolazioni deprivate riducendo il gradiente sociale, e il ritorno complessivo — comprensivo delle ricadute sociali, dell’ordine di 70-200 milioni l’anno — corrisponde a un rapporto beneficio-costo di 3,6-5 a uno (Parti E e G).</w:t>
      </w:r>
    </w:p>
  </w:footnote>
  <w:footnote w:id="888">
    <w:p>
      <w:pPr>
        <w:pStyle w:val="FootnoteText"/>
      </w:pPr>
      <w:r>
        <w:rPr>
          <w:rStyle w:val="FootnoteReference"/>
        </w:rPr>
        <w:footnoteRef/>
      </w:r>
      <w:r>
        <w:t xml:space="preserve"> </w:t>
      </w:r>
      <w:r>
        <w:t xml:space="preserve">Sostenibilità: l’intervento è finanziariamente sostenibile — a fronte di un costo modesto, di una pluralità di coperture e di un pareggio finanziario atteso tra il terzo e il quinto anno — e organizzativamente fattibile, grazie al dispiegamento graduale (Parte I).</w:t>
      </w:r>
    </w:p>
  </w:footnote>
  <w:footnote w:id="889">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e la solidità dell’evidenza — attribuendo a ciascun criterio un peso e a ciascuna opzione un punteggio, e aggregandoli in un punteggio complessivo.</w:t>
      </w:r>
    </w:p>
  </w:footnote>
  <w:footnote w:id="890">
    <w:p>
      <w:pPr>
        <w:pStyle w:val="FootnoteText"/>
      </w:pPr>
      <w:r>
        <w:rPr>
          <w:rStyle w:val="FootnoteReference"/>
        </w:rPr>
        <w:footnoteRef/>
      </w:r>
      <w:r>
        <w:t xml:space="preserve"> </w:t>
      </w:r>
      <w:r>
        <w:t xml:space="preserve">Risultato dell’analisi multi-criterio: su otto criteri pesati, l’opzione di intervento ottiene un punteggio complessivo di 83 su 100 contro 39,25 dell’opzione zero, prevalendo su tutti i criteri a eccezione della sola fattibilità immediata — nella quale l’opzione zero è superiore — gestibile attraverso il dispiegamento graduale; l’esito è stabile rispetto ai pesi adottati.</w:t>
      </w:r>
    </w:p>
  </w:footnote>
  <w:footnote w:id="891">
    <w:p>
      <w:pPr>
        <w:pStyle w:val="FootnoteText"/>
      </w:pPr>
      <w:r>
        <w:rPr>
          <w:rStyle w:val="FootnoteReference"/>
        </w:rPr>
        <w:footnoteRef/>
      </w:r>
      <w:r>
        <w:t xml:space="preserve"> </w:t>
      </w:r>
      <w:r>
        <w:t xml:space="preserve">Le tre affermazioni del cruscotto decisionale: il servizio costa al bilancio sanitario una cifra modesta e quasi interamente compensata; restituisce alla collettività un valore dell’ordine di quattro euro per ogni euro speso; e adempie all’obbligo di garantire i livelli essenziali intercettando un bisogno largamente inevaso.</w:t>
      </w:r>
    </w:p>
  </w:footnote>
  <w:footnote w:id="892">
    <w:p>
      <w:pPr>
        <w:pStyle w:val="FootnoteText"/>
      </w:pPr>
      <w:r>
        <w:rPr>
          <w:rStyle w:val="FootnoteReference"/>
        </w:rPr>
        <w:footnoteRef/>
      </w:r>
      <w:r>
        <w:t xml:space="preserve"> </w:t>
      </w:r>
      <w:r>
        <w:t xml:space="preserve">Raccomandazione centrale: la decisione rilevante non è se istituire il servizio — già istituito con la legge regionale n. 11/2023 — ma se dimensionarlo, scalando dalla copertura attuale di circa il 5% del fabbisogno verso gli 800-900 psicologi a regime, attraverso il dispiegamento graduale e l’acquisizione dei dati certificati.</w:t>
      </w:r>
    </w:p>
  </w:footnote>
  <w:footnote w:id="893">
    <w:p>
      <w:pPr>
        <w:pStyle w:val="FootnoteText"/>
      </w:pPr>
      <w:r>
        <w:rPr>
          <w:rStyle w:val="FootnoteReference"/>
        </w:rPr>
        <w:footnoteRef/>
      </w:r>
      <w:r>
        <w:t xml:space="preserve"> </w:t>
      </w:r>
      <w:r>
        <w:t xml:space="preserve">Cruscotto secondo il Quintuple Aim: la sintesi del valore è letta lungo le cinque dimensioni dell’esito di salute, dell’esperienza di cura, del costo, del benessere dei professionisti e dell’equità in salute.</w:t>
      </w:r>
    </w:p>
  </w:footnote>
  <w:footnote w:id="894">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regionale (circa il 6,6%), anziché estratte dai conti regionali certificati; è la lacuna più importante da risolvere prima della presentazione esterna, e i parametri dei canali dei ricoveri, della specialistica e della mobilità sono quelli ancora stimati.</w:t>
      </w:r>
    </w:p>
  </w:footnote>
  <w:footnote w:id="895">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i benchmark esteri richiedono cautela di trasferibilità, e la sintesi del ritorno «quattro a uno» dell’Organizzazione mondiale della sanità è una semplificazione, poiché la fonte riporta intervalli di 2,3-3,0 a uno per i soli benefici economici e di 3,3-5,7 a uno con i ritorni di salute, coerenti con il rapporto consolidato adottato.</w:t>
      </w:r>
    </w:p>
  </w:footnote>
  <w:footnote w:id="896">
    <w:p>
      <w:pPr>
        <w:pStyle w:val="FootnoteText"/>
      </w:pPr>
      <w:r>
        <w:rPr>
          <w:rStyle w:val="FootnoteReference"/>
        </w:rPr>
        <w:footnoteRef/>
      </w:r>
      <w:r>
        <w:t xml:space="preserve"> </w:t>
      </w:r>
      <w:r>
        <w:t xml:space="preserve">Agenda di ricerca: l’investimento conoscitivo prioritario è l’acquisizione dei dati regionali certificati presso l’agenzia regionale e le aziende — le schede di dimissione per disturbi psichici, la composizione della mobilità passiva per disciplina e la spesa farmaceutica per categoria — e la verifica empirica degli effetti attraverso il dispiegamento scaglionato (differenza-nelle-differenze) e la verifica ex post; la trasparenza sull’incertezza residua è un elemento di forza, non di debolezza.</w:t>
      </w:r>
    </w:p>
  </w:footnote>
  <w:footnote w:id="897">
    <w:p>
      <w:pPr>
        <w:pStyle w:val="FootnoteText"/>
      </w:pPr>
      <w:r>
        <w:rPr>
          <w:rStyle w:val="FootnoteReference"/>
        </w:rPr>
        <w:footnoteRef/>
      </w:r>
      <w:r>
        <w:t xml:space="preserve"> </w:t>
      </w:r>
      <w:r>
        <w:t xml:space="preserve">Le appendici raccolgono il materiale di riferimento dello studio integrale per la Puglia (Parti A-M) e ne garantiscono la trasparenza e la riproducibilità: il caso di riferimento e i parametri, gli strumenti di esito e il dataset minimo, i dati regionali e le fonti, le liste di controllo del reporting e il glossario.</w:t>
      </w:r>
    </w:p>
  </w:footnote>
  <w:footnote w:id="898">
    <w:p>
      <w:pPr>
        <w:pStyle w:val="FootnoteText"/>
      </w:pPr>
      <w:r>
        <w:rPr>
          <w:rStyle w:val="FootnoteReference"/>
        </w:rPr>
        <w:footnoteRef/>
      </w:r>
      <w:r>
        <w:t xml:space="preserve"> </w:t>
      </w:r>
      <w:r>
        <w:t xml:space="preserve">Caso di riferimento: insieme delle scelte metodologiche di base che, fissate una volta per tutte, rendono i risultati confrontabili nel tempo e tra regioni; adotta la doppia prospettiva del Servizio sanitario regionale e della società, distinguendo i risparmi diretti dalle ricadute sociali (Secondo Panel sul costo-efficacia in sanità e Five Case Model).</w:t>
      </w:r>
    </w:p>
  </w:footnote>
  <w:footnote w:id="899">
    <w:p>
      <w:pPr>
        <w:pStyle w:val="FootnoteText"/>
      </w:pPr>
      <w:r>
        <w:rPr>
          <w:rStyle w:val="FootnoteReference"/>
        </w:rPr>
        <w:footnoteRef/>
      </w:r>
      <w:r>
        <w:t xml:space="preserve"> </w:t>
      </w:r>
      <w:r>
        <w:t xml:space="preserve">Parametri del modello di Markov a coorte (quattro stati): distribuzioni Beta per le probabilità di transizione e per le utilità, Gamma per i costi; orizzonte di cinque anni a valori scontati; soglia di disponibilità a pagare di 30.000 euro per anno di vita ponderato per la qualità.</w:t>
      </w:r>
    </w:p>
  </w:footnote>
  <w:footnote w:id="900">
    <w:p>
      <w:pPr>
        <w:pStyle w:val="FootnoteText"/>
      </w:pPr>
      <w:r>
        <w:rPr>
          <w:rStyle w:val="FootnoteReference"/>
        </w:rPr>
        <w:footnoteRef/>
      </w:r>
      <w:r>
        <w:t xml:space="preserve"> </w:t>
      </w:r>
      <w:r>
        <w:t xml:space="preserve">Quadro economico consolidato: i risparmi diretti per il bilancio sono distinti dalle ricadute economico-sociali; il saldo diretto è prossimo al pareggio, mentre il ritorno complessivo, dell’ordine di 3,6-5 a uno, proviene in quota dominante dalle ricadute sociali.</w:t>
      </w:r>
    </w:p>
  </w:footnote>
  <w:footnote w:id="901">
    <w:p>
      <w:pPr>
        <w:pStyle w:val="FootnoteText"/>
      </w:pPr>
      <w:r>
        <w:rPr>
          <w:rStyle w:val="FootnoteReference"/>
        </w:rPr>
        <w:footnoteRef/>
      </w:r>
      <w:r>
        <w:t xml:space="preserve"> </w:t>
      </w:r>
      <w:r>
        <w:t xml:space="preserve">Strumenti di esito: il questionario sulla salute del paziente a nove voci (PHQ-9; punteggio 0-27, soglia di rilevanza clinica intorno a 10, cambiamento affidabile dell’ordine di 6 punti) e il corrispondente questionario per l’ansia a sette voci (GAD-7; punteggio 0-21), impiegati nei soli punteggi complessivi e raccolti a ogni seduta secondo il modello dei programmi inglesi, che consente di calcolare il tasso di recupero e il miglioramento affidabile.</w:t>
      </w:r>
    </w:p>
  </w:footnote>
  <w:footnote w:id="902">
    <w:p>
      <w:pPr>
        <w:pStyle w:val="FootnoteText"/>
      </w:pPr>
      <w:r>
        <w:rPr>
          <w:rStyle w:val="FootnoteReference"/>
        </w:rPr>
        <w:footnoteRef/>
      </w:r>
      <w:r>
        <w:t xml:space="preserve"> </w:t>
      </w:r>
      <w:r>
        <w:t xml:space="preserve">Dataset minimo: i campi registrati dal protocollo minimo (presa in carico, seduta, punteggi di esito, invii e restituzioni) costituiscono la fonte dei circa quaranta indicatori non ricavabili dalle statistiche correnti; i dati sono trasmessi in forma aggregata all’Osservatorio regionale.</w:t>
      </w:r>
    </w:p>
  </w:footnote>
  <w:footnote w:id="903">
    <w:p>
      <w:pPr>
        <w:pStyle w:val="FootnoteText"/>
      </w:pPr>
      <w:r>
        <w:rPr>
          <w:rStyle w:val="FootnoteReference"/>
        </w:rPr>
        <w:footnoteRef/>
      </w:r>
      <w:r>
        <w:t xml:space="preserve"> </w:t>
      </w:r>
      <w:r>
        <w:t xml:space="preserve">Valori regionali di ancoraggio: fonti Corte dei Conti, GIMBE, dati regionali dell’emergenza-urgenza, AIFA-OsMed, Ministero della Salute, ISTAT e CREA Sanità.</w:t>
      </w:r>
    </w:p>
  </w:footnote>
  <w:footnote w:id="904">
    <w:p>
      <w:pPr>
        <w:pStyle w:val="FootnoteText"/>
      </w:pPr>
      <w:r>
        <w:rPr>
          <w:rStyle w:val="FootnoteReference"/>
        </w:rPr>
        <w:footnoteRef/>
      </w:r>
      <w:r>
        <w:t xml:space="preserve"> </w:t>
      </w:r>
      <w:r>
        <w:t xml:space="preserve">Dati ancora da acquisire (lacuna principale dello studio): le schede di dimissione ospedaliera per disturbi psichici e il loro costo, la composizione della mobilità passiva per disciplina, la spesa farmaceutica regionale per categoria e gli accessi al pronto soccorso per causa psichiatrica, presso l’agenzia regionale e le aziende sanitarie.</w:t>
      </w:r>
    </w:p>
  </w:footnote>
  <w:footnote w:id="905">
    <w:p>
      <w:pPr>
        <w:pStyle w:val="FootnoteText"/>
      </w:pPr>
      <w:r>
        <w:rPr>
          <w:rStyle w:val="FootnoteReference"/>
        </w:rPr>
        <w:footnoteRef/>
      </w:r>
      <w:r>
        <w:t xml:space="preserve"> </w:t>
      </w:r>
      <w:r>
        <w:t xml:space="preserve">Liste di controllo del reporting: lo standard CHEERS 2022 (28 voci) e la sua estensione CHEERS-AI (38 voci) per la valutazione economica, la lista PRISMA 2020 per le revisioni sistematiche, il sistema GRADE per la certezza dell’evidenza, la lista STROBE per gli studi osservazionali, le buone pratiche ISPOR-SMDM per la modellazione e il manuale OCSE-JRC per gli indicatori compositi.</w:t>
      </w:r>
    </w:p>
  </w:footnote>
  <w:footnote w:id="906">
    <w:p>
      <w:pPr>
        <w:pStyle w:val="FootnoteText"/>
      </w:pPr>
      <w:r>
        <w:rPr>
          <w:rStyle w:val="FootnoteReference"/>
        </w:rPr>
        <w:footnoteRef/>
      </w:r>
      <w:r>
        <w:t xml:space="preserve"> </w:t>
      </w:r>
      <w:r>
        <w:t xml:space="preserve">Criteri OCSE-DAC (rivisti nel 2019): rilevanza, coerenza, efficacia, efficienza, impatto e sostenibilità, griglia di giudizio dello studio.</w:t>
      </w:r>
    </w:p>
  </w:footnote>
  <w:footnote w:id="907">
    <w:p>
      <w:pPr>
        <w:pStyle w:val="FootnoteText"/>
      </w:pPr>
      <w:r>
        <w:rPr>
          <w:rStyle w:val="FootnoteReference"/>
        </w:rPr>
        <w:footnoteRef/>
      </w:r>
      <w:r>
        <w:t xml:space="preserve"> </w:t>
      </w:r>
      <w:r>
        <w:t xml:space="preserve">Glossario: definizioni dei principali termini tecnici impiegati nello studio, a garanzia della leggibilità per i destinatari non specialisti.</w:t>
      </w:r>
    </w:p>
  </w:footnote>
  <w:footnote w:id="908">
    <w:p>
      <w:pPr>
        <w:pStyle w:val="FootnoteText"/>
      </w:pPr>
      <w:r>
        <w:rPr>
          <w:rStyle w:val="FootnoteReference"/>
        </w:rPr>
        <w:footnoteRef/>
      </w:r>
      <w:r>
        <w:t xml:space="preserve"> </w:t>
      </w:r>
      <w:r>
        <w:t xml:space="preserve">I valori economici di base del progetto — risparmi sanitari diretti dell’ordine di 270 milioni di euro annui a regime, entro una banda prudenziale di 250-280 milioni al quinto anno — sono ripresi dalla Relazione tecnico-finanziaria e dal Modello costi-benefici e di impatto di bilancio della riforma «Psicologo di Base» della Regione Puglia, cui si rinvia per la derivazione analitica.</w:t>
      </w:r>
    </w:p>
  </w:footnote>
  <w:footnote w:id="909">
    <w:p>
      <w:pPr>
        <w:pStyle w:val="FootnoteText"/>
      </w:pPr>
      <w:r>
        <w:rPr>
          <w:rStyle w:val="FootnoteReference"/>
        </w:rPr>
        <w:footnoteRef/>
      </w:r>
      <w:r>
        <w:t xml:space="preserve"> </w:t>
      </w:r>
      <w:r>
        <w:t xml:space="preserve">Il rapporto benefici-costi di 4:1 spesso attribuito all’investimento in salute mentale costituisce una semplificazione comunicativa; gli intervalli sottostanti, di fonte peer-reviewed, si collocano dell’ordine di 2,3-3,0:1 per i soli benefici economici e di 3,3-5,7:1 includendo i ritorni di salute (cfr. Chisholm et al., Lancet Psychiatry, 2016). L’effetto sui costi sanitari del trial IMPACT non è statisticamente significativo, poiché l’intervallo di confidenza include lo zero, e non è pertanto presentato come risparmio.</w:t>
      </w:r>
    </w:p>
  </w:footnote>
  <w:footnote w:id="910">
    <w:p>
      <w:pPr>
        <w:pStyle w:val="FootnoteText"/>
      </w:pPr>
      <w:r>
        <w:rPr>
          <w:rStyle w:val="FootnoteReference"/>
        </w:rPr>
        <w:footnoteRef/>
      </w:r>
      <w:r>
        <w:t xml:space="preserve"> </w:t>
      </w:r>
      <w:r>
        <w:t xml:space="preserve">Sulla diffusione curricolare dell’Intelligenza Artificiale nelle scuole mediche statunitensi (circa il 77% riferisce di trattarla nei programmi) e sui percorsi dedicati cfr. Association of American Medical Colleges, «Medical schools move from worrying about AI to teaching it», aamc.org; per l’Italia, Università di Bologna, corso di alta formazione «Intelligenza Artificiale in Medicina e Chirurgia (AI4Med)», a.a. 2025-2026.</w:t>
      </w:r>
    </w:p>
  </w:footnote>
  <w:footnote w:id="911">
    <w:p>
      <w:pPr>
        <w:pStyle w:val="FootnoteText"/>
      </w:pPr>
      <w:r>
        <w:rPr>
          <w:rStyle w:val="FootnoteReference"/>
        </w:rPr>
        <w:footnoteRef/>
      </w:r>
      <w:r>
        <w:t xml:space="preserve"> </w:t>
      </w:r>
      <w:r>
        <w:t xml:space="preserve">Sull’offerta post-universitaria e certificatoria cfr. AI Med Academy (aimedacademy.it) e i programmi di formazione continua sull’etica dell’Intelligenza Artificiale in salute mentale promossi da enti accademici e associazioni professionali.</w:t>
      </w:r>
    </w:p>
  </w:footnote>
  <w:footnote w:id="912">
    <w:p>
      <w:pPr>
        <w:pStyle w:val="FootnoteText"/>
      </w:pPr>
      <w:r>
        <w:rPr>
          <w:rStyle w:val="FootnoteReference"/>
        </w:rPr>
        <w:footnoteRef/>
      </w:r>
      <w:r>
        <w:t xml:space="preserve"> </w:t>
      </w:r>
      <w:r>
        <w:t xml:space="preserve">L’Istituto Superiore di Sanità ha promosso corsi di formazione a distanza gratuiti per le professioni sanitarie su Intelligenza Artificiale, apprendimento automatico, apprendimento profondo e reti neurali; cfr. portale FNOMCeO, «Introduzione all’Intelligenza Artificiale per gli operatori sanitari».</w:t>
      </w:r>
    </w:p>
  </w:footnote>
  <w:footnote w:id="913">
    <w:p>
      <w:pPr>
        <w:pStyle w:val="FootnoteText"/>
      </w:pPr>
      <w:r>
        <w:rPr>
          <w:rStyle w:val="FootnoteReference"/>
        </w:rPr>
        <w:footnoteRef/>
      </w:r>
      <w:r>
        <w:t xml:space="preserve"> </w:t>
      </w:r>
      <w:r>
        <w:t xml:space="preserve">Sull’esperienza di formazione dei clinici all’uso dell’agente conversazionale di primo livello nei servizi di terapia psicologica del Servizio sanitario inglese cfr. Wysa, «NHS Talking Therapies», wysa.com.</w:t>
      </w:r>
    </w:p>
  </w:footnote>
  <w:footnote w:id="914">
    <w:p>
      <w:pPr>
        <w:pStyle w:val="FootnoteText"/>
      </w:pPr>
      <w:r>
        <w:rPr>
          <w:rStyle w:val="FootnoteReference"/>
        </w:rPr>
        <w:footnoteRef/>
      </w:r>
      <w:r>
        <w:t xml:space="preserve"> </w:t>
      </w:r>
      <w:r>
        <w:t xml:space="preserve">La banca dati pubblica della Food and Drug Administration statunitense elencava oltre 1.250 dispositivi medici abilitati all’Intelligenza Artificiale a luglio 2025, a fronte di circa 950 all’agosto 2024; una tassonomia indipendente ha esaminato 1.016 autorizzazioni, rilevando il primato dell’analisi quantitativa delle immagini e la prima autorizzazione di un dispositivo basato su un modello di fondazione nel febbraio 2025. Cfr. FDA, «Artificial Intelligence and Machine Learning (AI/ML)-Enabled Medical Devices»; npj Digital Medicine, 2025.</w:t>
      </w:r>
    </w:p>
  </w:footnote>
  <w:footnote w:id="915">
    <w:p>
      <w:pPr>
        <w:pStyle w:val="FootnoteText"/>
      </w:pPr>
      <w:r>
        <w:rPr>
          <w:rStyle w:val="FootnoteReference"/>
        </w:rPr>
        <w:footnoteRef/>
      </w:r>
      <w:r>
        <w:t xml:space="preserve"> </w:t>
      </w:r>
      <w:r>
        <w:t xml:space="preserve">Cfr. World Intellectual Property Organization, Patent Landscape Report on Generative AI (2024): famiglie brevettuali in crescita da 733 nel 2014 a oltre 14.000 nel 2023, con incremento superiore all’800% dopo l’introduzione dell’architettura transformer (2017) e marcata concentrazione dei depositi presso imprese asiatiche.</w:t>
      </w:r>
    </w:p>
  </w:footnote>
  <w:footnote w:id="916">
    <w:p>
      <w:pPr>
        <w:pStyle w:val="FootnoteText"/>
      </w:pPr>
      <w:r>
        <w:rPr>
          <w:rStyle w:val="FootnoteReference"/>
        </w:rPr>
        <w:footnoteRef/>
      </w:r>
      <w:r>
        <w:t xml:space="preserve"> </w:t>
      </w:r>
      <w:r>
        <w:t xml:space="preserve">Stime di mercato collocano il valore dell’Intelligenza Artificiale in sanità attorno a 24,6 miliardi di dollari nel 2024, con tasso di crescita annuo composto dell’ordine del 41,6% e proiezione oltre i 790 miliardi al 2034; nel 2024 il 79% delle imprese sanitarie dichiarava di impiegare tecnologie di Intelligenza Artificiale.</w:t>
      </w:r>
    </w:p>
  </w:footnote>
  <w:footnote w:id="917">
    <w:p>
      <w:pPr>
        <w:pStyle w:val="FootnoteText"/>
      </w:pPr>
      <w:r>
        <w:rPr>
          <w:rStyle w:val="FootnoteReference"/>
        </w:rPr>
        <w:footnoteRef/>
      </w:r>
      <w:r>
        <w:t xml:space="preserve"> </w:t>
      </w:r>
      <w:r>
        <w:t xml:space="preserve">Il Regolamento (UE) 2024/1689 (AI Act) classifica come ad alto rischio i sistemi di Intelligenza Artificiale incorporati nei dispositivi medici. A seguito dell’accordo politico provvisorio sul Digital Omnibus del 7 maggio 2026, gli obblighi per i sistemi ad alto rischio incorporati nei prodotti regolati (dispositivi medici) si applicano dal 2 agosto 2028 e quelli per i sistemi autonomi dell’Allegato III dal 2 dicembre 2027, mentre gli obblighi di trasparenza decorrono dall’agosto 2026 e l’obbligo di alfabetizzazione all’Intelligenza Artificiale è stato attenuato; permane la doppia conformità con i Regolamenti sui dispositivi medici (MDR) e sui diagnostici in vitro (IVDR). Cfr. Commissione europea, «AI Act: Regulatory Framework», digital-strategy.ec.europa.eu.</w:t>
      </w:r>
    </w:p>
  </w:footnote>
  <w:footnote w:id="918">
    <w:p>
      <w:pPr>
        <w:pStyle w:val="FootnoteText"/>
      </w:pPr>
      <w:r>
        <w:rPr>
          <w:rStyle w:val="FootnoteReference"/>
        </w:rPr>
        <w:footnoteRef/>
      </w:r>
      <w:r>
        <w:t xml:space="preserve"> </w:t>
      </w:r>
      <w:r>
        <w:t xml:space="preserve">Il sistema IDx-DR, primo dispositivo diagnostico autonomo basato su Intelligenza Artificiale autorizzato dalla Food and Drug Administration, ha conseguito nello studio registrativo su 819 pazienti diabetici in dieci ambulatori di cure primarie una sensibilità di circa l’87% e una specificità di circa il 90%. Cfr. Abràmoff et al., npj Digital Medicine, 2018.</w:t>
      </w:r>
    </w:p>
  </w:footnote>
  <w:footnote w:id="919">
    <w:p>
      <w:pPr>
        <w:pStyle w:val="FootnoteText"/>
      </w:pPr>
      <w:r>
        <w:rPr>
          <w:rStyle w:val="FootnoteReference"/>
        </w:rPr>
        <w:footnoteRef/>
      </w:r>
      <w:r>
        <w:t xml:space="preserve"> </w:t>
      </w:r>
      <w:r>
        <w:t xml:space="preserve">La Germania ha istituito dal 2020 il primo modello nazionale di applicazioni su prescrizione: al giugno 2025 il registro elencava circa 44 applicazioni a titolo permanente e 14 a titolo provvisorio; entro la fine del 2024 erano state emesse oltre un milione di prescrizioni, con spesa cumulata dell’assicurazione obbligatoria di circa 234 milioni di euro tra settembre 2020 e dicembre 2024 e con prevalenza della salute mentale tra le categorie. Cfr. BfArM, registro DiGA; npj Digital Medicine, 2025.</w:t>
      </w:r>
    </w:p>
  </w:footnote>
  <w:footnote w:id="920">
    <w:p>
      <w:pPr>
        <w:pStyle w:val="FootnoteText"/>
      </w:pPr>
      <w:r>
        <w:rPr>
          <w:rStyle w:val="FootnoteReference"/>
        </w:rPr>
        <w:footnoteRef/>
      </w:r>
      <w:r>
        <w:t xml:space="preserve"> </w:t>
      </w:r>
      <w:r>
        <w:t xml:space="preserve">L’ammissione provvisoria è subordinata alla dimostrazione di un effetto terapeutico positivo entro dodici mesi; undici applicazioni sono state cancellate, sei per assenza di prova di un effetto positivo. Un’analisi di costo-efficacia di tipo markoviano per le applicazioni dedicate alla depressione ha stimato un guadagno dell’ordine di 0,02 anni di vita aggiustati per la qualità per paziente, a fronte di un costo diretto aggiuntivo di circa 1.536 euro su un orizzonte quinquennale.</w:t>
      </w:r>
    </w:p>
  </w:footnote>
  <w:footnote w:id="921">
    <w:p>
      <w:pPr>
        <w:pStyle w:val="FootnoteText"/>
      </w:pPr>
      <w:r>
        <w:rPr>
          <w:rStyle w:val="FootnoteReference"/>
        </w:rPr>
        <w:footnoteRef/>
      </w:r>
      <w:r>
        <w:t xml:space="preserve"> </w:t>
      </w:r>
      <w:r>
        <w:t xml:space="preserve">Il primo studio controllato randomizzato di un agente conversazionale interamente generativo per la salute mentale ha assegnato 210 adulti con sintomi clinicamente significativi di disturbo depressivo maggiore, disturbo d’ansia generalizzata o rischio elevato di disturbi della nutrizione e dell’alimentazione a un intervento di quattro settimane rispetto a una lista d’attesa, riportando riduzioni sintomatologiche a quattro e otto settimane e un’alleanza terapeutica comparabile a quella della psicoterapia ambulatoriale. Cfr. Heinz et al., NEJM AI, 2025.</w:t>
      </w:r>
    </w:p>
  </w:footnote>
  <w:footnote w:id="922">
    <w:p>
      <w:pPr>
        <w:pStyle w:val="FootnoteText"/>
      </w:pPr>
      <w:r>
        <w:rPr>
          <w:rStyle w:val="FootnoteReference"/>
        </w:rPr>
        <w:footnoteRef/>
      </w:r>
      <w:r>
        <w:t xml:space="preserve"> </w:t>
      </w:r>
      <w:r>
        <w:t xml:space="preserve">La corrispondenza scientifica pubblicata ha individuato limiti metodologici dello studio — controllo a lista d’attesa, assenza di valutazione indipendente e impiego di una misura di alleanza concepita per la relazione umana — che inducono prudenza e rendono necessari studi più ampi prima di trarne conclusioni cliniche.</w:t>
      </w:r>
    </w:p>
  </w:footnote>
  <w:footnote w:id="923">
    <w:p>
      <w:pPr>
        <w:pStyle w:val="FootnoteText"/>
      </w:pPr>
      <w:r>
        <w:rPr>
          <w:rStyle w:val="FootnoteReference"/>
        </w:rPr>
        <w:footnoteRef/>
      </w:r>
      <w:r>
        <w:t xml:space="preserve"> </w:t>
      </w:r>
      <w:r>
        <w:t xml:space="preserve">Studi controllati randomizzati pragmatici sugli assistenti di documentazione clinica ambientale riportano riduzioni del tempo dedicato alla documentazione dell’ordine di venti-trenta minuti per giornata ambulatoriale per operatore e una riduzione clinicamente significativa del burnout; cfr. Lukac et al., NEJM AI, 2025, e gli studi pubblicati su JAMA Network Open, 2025.</w:t>
      </w:r>
    </w:p>
  </w:footnote>
  <w:footnote w:id="924">
    <w:p>
      <w:pPr>
        <w:pStyle w:val="FootnoteText"/>
      </w:pPr>
      <w:r>
        <w:rPr>
          <w:rStyle w:val="FootnoteReference"/>
        </w:rPr>
        <w:footnoteRef/>
      </w:r>
      <w:r>
        <w:t xml:space="preserve"> </w:t>
      </w:r>
      <w:r>
        <w:t xml:space="preserve">Uno studio più ampio condotto su circa 1.800 clinici in cinque centri accademici ha rilevato risparmi più contenuti, dell’ordine di sedici minuti ogni otto ore di assistenza, con utilizzo non uniforme e beneficio maggiore nelle cure primarie; uno studio randomizzato ha inoltre segnalato la comparsa occasionale di inesattezze clinicamente rilevanti negli esiti automatizzati, a conferma della necessità di revisione vigile da parte del professionista.</w:t>
      </w:r>
    </w:p>
  </w:footnote>
  <w:footnote w:id="925">
    <w:p>
      <w:pPr>
        <w:pStyle w:val="FootnoteText"/>
      </w:pPr>
      <w:r>
        <w:rPr>
          <w:rStyle w:val="FootnoteReference"/>
        </w:rPr>
        <w:footnoteRef/>
      </w:r>
      <w:r>
        <w:t xml:space="preserve"> </w:t>
      </w:r>
      <w:r>
        <w:t xml:space="preserve">Revisioni sistematiche con metanalisi documentano per la teleriabilitazione esiti clinici equivalenti o superiori alla riabilitazione in presenza, con riduzione dei costi di trasporto e delle riammissioni, migliore aderenza ed elevata probabilità di costo-efficacia; per la riabilitazione cardiaca a distanza la metanalisi riporta miglioramenti della capacità funzionale, dell’attività fisica e della qualità di vita, con riduzione dei sintomi depressivi.</w:t>
      </w:r>
    </w:p>
  </w:footnote>
  <w:footnote w:id="926">
    <w:p>
      <w:pPr>
        <w:pStyle w:val="FootnoteText"/>
      </w:pPr>
      <w:r>
        <w:rPr>
          <w:rStyle w:val="FootnoteReference"/>
        </w:rPr>
        <w:footnoteRef/>
      </w:r>
      <w:r>
        <w:t xml:space="preserve"> </w:t>
      </w:r>
      <w:r>
        <w:t xml:space="preserve">La stima per canale e per scenario applica percentuali prudenziali collocate nella parte bassa degli intervalli documentati e una profondità di adozione corrispondente al regime di formazione strutturata; cfr. Modello costi-benefici e di impatto di bilancio, sezione dedicata al contributo incrementale di Intelligenza Artificiale e formazione.</w:t>
      </w:r>
    </w:p>
  </w:footnote>
  <w:footnote w:id="927">
    <w:p>
      <w:pPr>
        <w:pStyle w:val="FootnoteText"/>
      </w:pPr>
      <w:r>
        <w:rPr>
          <w:rStyle w:val="FootnoteReference"/>
        </w:rPr>
        <w:footnoteRef/>
      </w:r>
      <w:r>
        <w:t xml:space="preserve"> </w:t>
      </w:r>
      <w:r>
        <w:t xml:space="preserve">Il rapporto benefici-costi di 4:1 spesso attribuito all’investimento in salute mentale costituisce una semplificazione comunicativa; gli intervalli sottostanti, di fonte peer-reviewed, si collocano dell’ordine di 2,3-3,0:1 per i soli benefici economici e di 3,3-5,7:1 includendo i ritorni di salute (cfr. Chisholm et al., Lancet Psychiatry, 2016). L’effetto sui costi sanitari del trial IMPACT non è statisticamente significativo, poiché l’intervallo di confidenza include lo zero, e non è pertanto presentato come risparmio.</w:t>
      </w:r>
    </w:p>
  </w:footnote>
  <w:footnote w:id="928">
    <w:p>
      <w:pPr>
        <w:pStyle w:val="FootnoteText"/>
      </w:pPr>
      <w:r>
        <w:rPr>
          <w:rStyle w:val="FootnoteReference"/>
        </w:rPr>
        <w:footnoteRef/>
      </w:r>
      <w:r>
        <w:t xml:space="preserve"> </w:t>
      </w:r>
      <w:r>
        <w:t xml:space="preserve">Il Regolamento (UE) 2024/1689 (AI Act) classifica come ad alto rischio i sistemi di Intelligenza Artificiale incorporati nei dispositivi medici. A seguito dell’accordo politico provvisorio sul Digital Omnibus del 7 maggio 2026, gli obblighi per i sistemi ad alto rischio incorporati nei prodotti regolati (dispositivi medici) si applicano dal 2 agosto 2028 e quelli per i sistemi autonomi dell’Allegato III dal 2 dicembre 2027, mentre gli obblighi di trasparenza decorrono dall’agosto 2026 e l’obbligo di alfabetizzazione all’Intelligenza Artificiale è stato attenuato; permane la doppia conformità con i Regolamenti sui dispositivi medici (MDR) e sui diagnostici in vitro (IVDR). Cfr. Commissione europea, «AI Act: Regulatory Framework», digital-strategy.ec.europa.eu.</w:t>
      </w:r>
    </w:p>
  </w:footnote>
  <w:footnote w:id="929">
    <w:p>
      <w:pPr>
        <w:pStyle w:val="FootnoteText"/>
      </w:pPr>
      <w:r>
        <w:rPr>
          <w:rStyle w:val="FootnoteReference"/>
        </w:rPr>
        <w:footnoteRef/>
      </w:r>
      <w:r>
        <w:t xml:space="preserve"> </w:t>
      </w:r>
      <w:r>
        <w:t xml:space="preserve">Banca dati FDA sui dispositivi medici abilitati all’IA/ML: 950 dispositivi autorizzati al 7 agosto 2024, di cui circa il 76% in radiologia, a fronte di meno di 400 nel 2020 (MedTech Dive, 2024; JAMA Network Open, 2025).</w:t>
      </w:r>
    </w:p>
  </w:footnote>
  <w:footnote w:id="930">
    <w:p>
      <w:pPr>
        <w:pStyle w:val="FootnoteText"/>
      </w:pPr>
      <w:r>
        <w:rPr>
          <w:rStyle w:val="FootnoteReference"/>
        </w:rPr>
        <w:footnoteRef/>
      </w:r>
      <w:r>
        <w:t xml:space="preserve"> </w:t>
      </w:r>
      <w:r>
        <w:t xml:space="preserve">Analisi 2025: meno del 2% dei dispositivi di IA/ML autorizzati dalla FDA risulta sostenuto da studi clinici randomizzati, e la trasparenza sui dati di addestramento resta limitata; elemento che impone validazione locale e monitoraggio prospettico degli esiti.</w:t>
      </w:r>
    </w:p>
  </w:footnote>
  <w:footnote w:id="931">
    <w:p>
      <w:pPr>
        <w:pStyle w:val="FootnoteText"/>
      </w:pPr>
      <w:r>
        <w:rPr>
          <w:rStyle w:val="FootnoteReference"/>
        </w:rPr>
        <w:footnoteRef/>
      </w:r>
      <w:r>
        <w:t xml:space="preserve"> </w:t>
      </w:r>
      <w:r>
        <w:t xml:space="preserve">Abramoff MD, Lavin PT, Birch M, Shah N, Folk JC. Pivotal trial of an autonomous AI-based diagnostic system for detection of diabetic retinopathy in primary care offices. npj Digital Medicine, 2018;1:39. Sensibilita 87,2%, specificita 90,7%; primo sistema di IA autonoma autorizzato dalla FDA in qualsiasi ambito della medicina (IDx-DR, oggi LumineticsCore).</w:t>
      </w:r>
    </w:p>
  </w:footnote>
  <w:footnote w:id="932">
    <w:p>
      <w:pPr>
        <w:pStyle w:val="FootnoteText"/>
      </w:pPr>
      <w:r>
        <w:rPr>
          <w:rStyle w:val="FootnoteReference"/>
        </w:rPr>
        <w:footnoteRef/>
      </w:r>
      <w:r>
        <w:t xml:space="preserve"> </w:t>
      </w:r>
      <w:r>
        <w:t xml:space="preserve">Wolf RM, Channa R, Liu TYA, et al. Autonomous artificial intelligence increases screening and follow-up for diabetic retinopathy in youth: the ACCESS randomized controlled trial. Nature Communications, 2024;15.</w:t>
      </w:r>
    </w:p>
  </w:footnote>
  <w:footnote w:id="933">
    <w:p>
      <w:pPr>
        <w:pStyle w:val="FootnoteText"/>
      </w:pPr>
      <w:r>
        <w:rPr>
          <w:rStyle w:val="FootnoteReference"/>
        </w:rPr>
        <w:footnoteRef/>
      </w:r>
      <w:r>
        <w:t xml:space="preserve"> </w:t>
      </w:r>
      <w:r>
        <w:t xml:space="preserve">Diabetes Care, 2023;46(10):1728 (American Diabetes Association): nel 2021 il sistema assicurativo pubblico statunitense ha introdotto il codice di rimborso CPT 92229 per l’analisi autonoma della retina nel punto di cura, con rimborso ambulatoriale di circa 45,75 dollari, primo quadro di pagamento per un dispositivo di IA autonoma.</w:t>
      </w:r>
    </w:p>
  </w:footnote>
  <w:footnote w:id="934">
    <w:p>
      <w:pPr>
        <w:pStyle w:val="FootnoteText"/>
      </w:pPr>
      <w:r>
        <w:rPr>
          <w:rStyle w:val="FootnoteReference"/>
        </w:rPr>
        <w:footnoteRef/>
      </w:r>
      <w:r>
        <w:t xml:space="preserve"> </w:t>
      </w:r>
      <w:r>
        <w:t xml:space="preserve">Lang K, et al. Studio MASAI: screening mammografico assistito da IA (Lancet Oncology, 2023) e revisioni successive: rilevazione del cancro non inferiore alla doppia lettura umana con riduzione sostanziale del carico di lavoro radiologico.</w:t>
      </w:r>
    </w:p>
  </w:footnote>
  <w:footnote w:id="935">
    <w:p>
      <w:pPr>
        <w:pStyle w:val="FootnoteText"/>
      </w:pPr>
      <w:r>
        <w:rPr>
          <w:rStyle w:val="FootnoteReference"/>
        </w:rPr>
        <w:footnoteRef/>
      </w:r>
      <w:r>
        <w:t xml:space="preserve"> </w:t>
      </w:r>
      <w:r>
        <w:t xml:space="preserve">Revisione sistematica delle valutazioni economiche (medRxiv 2025.10.05.25337345): la colonscopia assistita da visione artificiale in tempo reale incrementa il tasso di rilevazione degli adenomi; riduzioni del costo medio della procedura nell’ordine del 6,9%-18,9% in diversi sistemi sanitari.</w:t>
      </w:r>
    </w:p>
  </w:footnote>
  <w:footnote w:id="936">
    <w:p>
      <w:pPr>
        <w:pStyle w:val="FootnoteText"/>
      </w:pPr>
      <w:r>
        <w:rPr>
          <w:rStyle w:val="FootnoteReference"/>
        </w:rPr>
        <w:footnoteRef/>
      </w:r>
      <w:r>
        <w:t xml:space="preserve"> </w:t>
      </w:r>
      <w:r>
        <w:t xml:space="preserve">El Arab RA, Al Moosa OA. Systematic review of cost-effectiveness and budget impact of artificial intelligence in healthcare. npj Digital Medicine, 2025; DOI 10.1038/s41746-025-01722-y. Diciannove valutazioni economiche: l’IA migliora l’accuratezza diagnostica e riduce i costi tramite la diminuzione delle procedure non necessarie, con rapporti di costo-efficacia incrementale al di sotto delle soglie comunemente accettate.</w:t>
      </w:r>
    </w:p>
  </w:footnote>
  <w:footnote w:id="937">
    <w:p>
      <w:pPr>
        <w:pStyle w:val="FootnoteText"/>
      </w:pPr>
      <w:r>
        <w:rPr>
          <w:rStyle w:val="FootnoteReference"/>
        </w:rPr>
        <w:footnoteRef/>
      </w:r>
      <w:r>
        <w:t xml:space="preserve"> </w:t>
      </w:r>
      <w:r>
        <w:t xml:space="preserve">Studio indipendente VALIDATE su 166 strutture in 17 Stati e 14.116 pazienti (8.557 in ospedali con IA, 5.559 senza): l’impiego della piattaforma Viz.ai ha ridotto i tempi di riconoscimento dell’occlusione di grande vaso e di contatto con il team interventistico.</w:t>
      </w:r>
    </w:p>
  </w:footnote>
  <w:footnote w:id="938">
    <w:p>
      <w:pPr>
        <w:pStyle w:val="FootnoteText"/>
      </w:pPr>
      <w:r>
        <w:rPr>
          <w:rStyle w:val="FootnoteReference"/>
        </w:rPr>
        <w:footnoteRef/>
      </w:r>
      <w:r>
        <w:t xml:space="preserve"> </w:t>
      </w:r>
      <w:r>
        <w:t xml:space="preserve">Sarhan K, et al. Metanalisi su rilevazione automatizzata dell’occlusione di grande vaso mediante Viz.ai (Translational Stroke Research, 2025; DOI 10.1007/s12975-025-01354-0): undici studi, oltre 15.000 pazienti, riduzione significativa del tempo door-in door-out nei centri post-adozione.</w:t>
      </w:r>
    </w:p>
  </w:footnote>
  <w:footnote w:id="939">
    <w:p>
      <w:pPr>
        <w:pStyle w:val="FootnoteText"/>
      </w:pPr>
      <w:r>
        <w:rPr>
          <w:rStyle w:val="FootnoteReference"/>
        </w:rPr>
        <w:footnoteRef/>
      </w:r>
      <w:r>
        <w:t xml:space="preserve"> </w:t>
      </w:r>
      <w:r>
        <w:t xml:space="preserve">L’American Heart Association ha incorporato nel 2023 l’uso del software di IA per la rilevazione e il triage dell’ictus tra gli standard di cura; la piattaforma Viz.ai copre oltre 220 milioni di vite e oltre 1.400 ospedali e sistemi sanitari negli Stati Uniti e in Europa.</w:t>
      </w:r>
    </w:p>
  </w:footnote>
  <w:footnote w:id="940">
    <w:p>
      <w:pPr>
        <w:pStyle w:val="FootnoteText"/>
      </w:pPr>
      <w:r>
        <w:rPr>
          <w:rStyle w:val="FootnoteReference"/>
        </w:rPr>
        <w:footnoteRef/>
      </w:r>
      <w:r>
        <w:t xml:space="preserve"> </w:t>
      </w:r>
      <w:r>
        <w:t xml:space="preserve">Stime per canale e grandezze regionali sviluppate nel capitolo integrativo della Relazione tecnico-finanziaria sullo Psicologo di Base e nei Capitoli 4-7, a partire dai conti sanitari ufficiali (quota pugliese pari a circa il 6,6% della popolazione italiana).</w:t>
      </w:r>
    </w:p>
  </w:footnote>
  <w:footnote w:id="941">
    <w:p>
      <w:pPr>
        <w:pStyle w:val="FootnoteText"/>
      </w:pPr>
      <w:r>
        <w:rPr>
          <w:rStyle w:val="FootnoteReference"/>
        </w:rPr>
        <w:footnoteRef/>
      </w:r>
      <w:r>
        <w:t xml:space="preserve"> </w:t>
      </w:r>
      <w:r>
        <w:t xml:space="preserve">Revisioni e studi prospettici sulla riduzione delle riospedalizzazioni a 30 giorni mediante modelli predittivi (10%-50% di riduzione documentata). Un sistema ospedaliero del Minnesota ha dimezzato in diciotto mesi un costo annuo di 4,2 milioni di dollari per riammissioni evitabili (AJMC, 2025).</w:t>
      </w:r>
    </w:p>
  </w:footnote>
  <w:footnote w:id="942">
    <w:p>
      <w:pPr>
        <w:pStyle w:val="FootnoteText"/>
      </w:pPr>
      <w:r>
        <w:rPr>
          <w:rStyle w:val="FootnoteReference"/>
        </w:rPr>
        <w:footnoteRef/>
      </w:r>
      <w:r>
        <w:t xml:space="preserve"> </w:t>
      </w:r>
      <w:r>
        <w:t xml:space="preserve">Modello Epic Risk of Unplanned Readmission v2 applicato a una popolazione di rete di sicurezza: area sotto la curva 0,72; l’efficacia dipende dal collegamento dell’output predittivo a un’azione clinica definita (AJMC, 2025).</w:t>
      </w:r>
    </w:p>
  </w:footnote>
  <w:footnote w:id="943">
    <w:p>
      <w:pPr>
        <w:pStyle w:val="FootnoteText"/>
      </w:pPr>
      <w:r>
        <w:rPr>
          <w:rStyle w:val="FootnoteReference"/>
        </w:rPr>
        <w:footnoteRef/>
      </w:r>
      <w:r>
        <w:t xml:space="preserve"> </w:t>
      </w:r>
      <w:r>
        <w:t xml:space="preserve">L’American Heart Association ha incorporato nel 2023 l’uso del software di IA per la rilevazione e il triage dell’ictus tra gli standard di cura; la piattaforma Viz.ai copre oltre 220 milioni di vite e oltre 1.400 ospedali e sistemi sanitari negli Stati Uniti e in Europa.</w:t>
      </w:r>
    </w:p>
  </w:footnote>
  <w:footnote w:id="944">
    <w:p>
      <w:pPr>
        <w:pStyle w:val="FootnoteText"/>
      </w:pPr>
      <w:r>
        <w:rPr>
          <w:rStyle w:val="FootnoteReference"/>
        </w:rPr>
        <w:footnoteRef/>
      </w:r>
      <w:r>
        <w:t xml:space="preserve"> </w:t>
      </w:r>
      <w:r>
        <w:t xml:space="preserve">Heinz MV, Mackin DM, Trudeau BM, et al. Randomized Trial of a Generative AI Chatbot for Mental Health Treatment (Therabot). NEJM AI, 2025; DOI 10.1056/AIoa2400802. N=210; a otto settimane riduzione dei sintomi depressivi del 51%, ansiosi del 31% e delle preoccupazioni alimentari del 19%, con alleanza terapeutica comparabile a quella umana.</w:t>
      </w:r>
    </w:p>
  </w:footnote>
  <w:footnote w:id="945">
    <w:p>
      <w:pPr>
        <w:pStyle w:val="FootnoteText"/>
      </w:pPr>
      <w:r>
        <w:rPr>
          <w:rStyle w:val="FootnoteReference"/>
        </w:rPr>
        <w:footnoteRef/>
      </w:r>
      <w:r>
        <w:t xml:space="preserve"> </w:t>
      </w:r>
      <w:r>
        <w:t xml:space="preserve">Fitzpatrick KK, Darcy A, Vierhile M. Delivering cognitive behavior therapy to young adults with symptoms of depression and anxiety using a fully automated conversational agent (Woebot): randomized controlled trial. JMIR Mental Health, 2017;4(2):e7785.</w:t>
      </w:r>
    </w:p>
  </w:footnote>
  <w:footnote w:id="946">
    <w:p>
      <w:pPr>
        <w:pStyle w:val="FootnoteText"/>
      </w:pPr>
      <w:r>
        <w:rPr>
          <w:rStyle w:val="FootnoteReference"/>
        </w:rPr>
        <w:footnoteRef/>
      </w:r>
      <w:r>
        <w:t xml:space="preserve"> </w:t>
      </w:r>
      <w:r>
        <w:t xml:space="preserve">Inkster B, Sarda S, Subramanian V. An empathy-driven conversational AI agent (Wysa) for digital mental well-being: real-world data evaluation. JMIR mHealth and uHealth, 2018;6(11):e12106. Lo strumento e impiegato nei servizi NHS Talking Therapies del Regno Unito.</w:t>
      </w:r>
    </w:p>
  </w:footnote>
  <w:footnote w:id="947">
    <w:p>
      <w:pPr>
        <w:pStyle w:val="FootnoteText"/>
      </w:pPr>
      <w:r>
        <w:rPr>
          <w:rStyle w:val="FootnoteReference"/>
        </w:rPr>
        <w:footnoteRef/>
      </w:r>
      <w:r>
        <w:t xml:space="preserve"> </w:t>
      </w:r>
      <w:r>
        <w:t xml:space="preserve">Gli autori dello studio Therabot sottolineano che nessun agente di IA generativa e oggi idoneo a operare in piena autonomia in salute mentale, attesa l’ampiezza degli scenari ad alto rischio, e che il suo impiego presuppone la supervisione clinica.</w:t>
      </w:r>
    </w:p>
  </w:footnote>
  <w:footnote w:id="948">
    <w:p>
      <w:pPr>
        <w:pStyle w:val="FootnoteText"/>
      </w:pPr>
      <w:r>
        <w:rPr>
          <w:rStyle w:val="FootnoteReference"/>
        </w:rPr>
        <w:footnoteRef/>
      </w:r>
      <w:r>
        <w:t xml:space="preserve"> </w:t>
      </w:r>
      <w:r>
        <w:t xml:space="preserve">Rejoyn (Otsuka Pharmaceutical e Click Therapeutics): primo dispositivo terapeutico digitale su prescrizione autorizzato dalla FDA (aprile 2024) per il disturbo depressivo maggiore negli adulti dai 22 anni, come adiuvante della cura ambulatoriale; programma di sei settimane validato in uno studio di fase 3 randomizzato in doppio cieco su 386 pazienti (NCT04770285).</w:t>
      </w:r>
    </w:p>
  </w:footnote>
  <w:footnote w:id="949">
    <w:p>
      <w:pPr>
        <w:pStyle w:val="FootnoteText"/>
      </w:pPr>
      <w:r>
        <w:rPr>
          <w:rStyle w:val="FootnoteReference"/>
        </w:rPr>
        <w:footnoteRef/>
      </w:r>
      <w:r>
        <w:t xml:space="preserve"> </w:t>
      </w:r>
      <w:r>
        <w:t xml:space="preserve">Somryst (Pear Therapeutics): primo dispositivo terapeutico digitale su prescrizione per l’insonnia cronica (FDA 2020), basato sulla terapia cognitivo-comportamentale per l’insonnia; due studi randomizzati su oltre 1.400 adulti, riduzione della gravita dell’insonnia di circa il 45%, con benefici mantenuti a sei e dodici mesi.</w:t>
      </w:r>
    </w:p>
  </w:footnote>
  <w:footnote w:id="950">
    <w:p>
      <w:pPr>
        <w:pStyle w:val="FootnoteText"/>
      </w:pPr>
      <w:r>
        <w:rPr>
          <w:rStyle w:val="FootnoteReference"/>
        </w:rPr>
        <w:footnoteRef/>
      </w:r>
      <w:r>
        <w:t xml:space="preserve"> </w:t>
      </w:r>
      <w:r>
        <w:t xml:space="preserve">SleepioRx (Big Health): autorizzato dalla FDA nell’agosto 2024 per l’insonnia, eroga terapia cognitivo-comportamentale per l’insonnia; la versione Sleepio e sostenuta da oltre venticinque studi clinici, con quote elevate di pazienti che raggiungono un sonno sano e riduzioni rilevanti del tempo di addormentamento e del tempo di veglia notturna.</w:t>
      </w:r>
    </w:p>
  </w:footnote>
  <w:footnote w:id="951">
    <w:p>
      <w:pPr>
        <w:pStyle w:val="FootnoteText"/>
      </w:pPr>
      <w:r>
        <w:rPr>
          <w:rStyle w:val="FootnoteReference"/>
        </w:rPr>
        <w:footnoteRef/>
      </w:r>
      <w:r>
        <w:t xml:space="preserve"> </w:t>
      </w:r>
      <w:r>
        <w:t xml:space="preserve">Ulteriori dispositivi terapeutici digitali su prescrizione autorizzati dalla FDA: reSET e reSET-O per i disturbi da uso di sostanze e da oppioidi; MamaLift Plus per la depressione post-partum; SparkRx per la depressione adolescenziale; NightWare, su orologio intelligente, per gli incubi nel disturbo post-traumatico da stress.</w:t>
      </w:r>
    </w:p>
  </w:footnote>
  <w:footnote w:id="952">
    <w:p>
      <w:pPr>
        <w:pStyle w:val="FootnoteText"/>
      </w:pPr>
      <w:r>
        <w:rPr>
          <w:rStyle w:val="FootnoteReference"/>
        </w:rPr>
        <w:footnoteRef/>
      </w:r>
      <w:r>
        <w:t xml:space="preserve"> </w:t>
      </w:r>
      <w:r>
        <w:t xml:space="preserve">Nel novembre 2024 il sistema assicurativo pubblico statunitense ha approvato tre codici di rimborso dedicati ai dispositivi terapeutici digitali; nel settembre 2025 un grande assicuratore privato ha annunciato la copertura dei dispositivi terapeutici digitali autorizzati dalla FDA.</w:t>
      </w:r>
    </w:p>
  </w:footnote>
  <w:footnote w:id="953">
    <w:p>
      <w:pPr>
        <w:pStyle w:val="FootnoteText"/>
      </w:pPr>
      <w:r>
        <w:rPr>
          <w:rStyle w:val="FootnoteReference"/>
        </w:rPr>
        <w:footnoteRef/>
      </w:r>
      <w:r>
        <w:t xml:space="preserve"> </w:t>
      </w:r>
      <w:r>
        <w:t xml:space="preserve">Studi su scriba di IA ambientale: studio pilota Stanford Health Care (DAX Copilot) con risparmio mediano di 20 minuti per mezza giornata di ambulatorio; studio randomizzato pragmatico UW Health con riduzione del tempo di documentazione di circa 30 minuti al giorno per operatore e riduzione del burnout.</w:t>
      </w:r>
    </w:p>
  </w:footnote>
  <w:footnote w:id="954">
    <w:p>
      <w:pPr>
        <w:pStyle w:val="FootnoteText"/>
      </w:pPr>
      <w:r>
        <w:rPr>
          <w:rStyle w:val="FootnoteReference"/>
        </w:rPr>
        <w:footnoteRef/>
      </w:r>
      <w:r>
        <w:t xml:space="preserve"> </w:t>
      </w:r>
      <w:r>
        <w:t xml:space="preserve">Studio randomizzato UCLA Health su due scriba di IA ambientale (238 medici, 2024-2025): benefici misurabili sull’efficienza, ma comparsa occasionale di inesattezze clinicamente rilevanti, da cui la necessita di una revisione vigile da parte del professionista.</w:t>
      </w:r>
    </w:p>
  </w:footnote>
  <w:footnote w:id="955">
    <w:p>
      <w:pPr>
        <w:pStyle w:val="FootnoteText"/>
      </w:pPr>
      <w:r>
        <w:rPr>
          <w:rStyle w:val="FootnoteReference"/>
        </w:rPr>
        <w:footnoteRef/>
      </w:r>
      <w:r>
        <w:t xml:space="preserve"> </w:t>
      </w:r>
      <w:r>
        <w:t xml:space="preserve">Bremer et al., citato in PMC12273524 (2025): un trattamento della depressione assistito da machine learning ha prodotto una riduzione marginale degli esiti clinici (1,98%) a fronte di un contenimento dei costi del 5,42%.</w:t>
      </w:r>
    </w:p>
  </w:footnote>
  <w:footnote w:id="956">
    <w:p>
      <w:pPr>
        <w:pStyle w:val="FootnoteText"/>
      </w:pPr>
      <w:r>
        <w:rPr>
          <w:rStyle w:val="FootnoteReference"/>
        </w:rPr>
        <w:footnoteRef/>
      </w:r>
      <w:r>
        <w:t xml:space="preserve"> </w:t>
      </w:r>
      <w:r>
        <w:t xml:space="preserve">Revisione sistematica con metanalisi sulla costo-efficacia della teleriabilitazione (PMC11911901, 2025): probabilita di costo-efficacia del 90% a una soglia di 30.000 dollari per anno di vita aggiustato per qualita, con riduzione dei costi di trasporto e delle riammissioni e migliore aderenza.</w:t>
      </w:r>
    </w:p>
  </w:footnote>
  <w:footnote w:id="957">
    <w:p>
      <w:pPr>
        <w:pStyle w:val="FootnoteText"/>
      </w:pPr>
      <w:r>
        <w:rPr>
          <w:rStyle w:val="FootnoteReference"/>
        </w:rPr>
        <w:footnoteRef/>
      </w:r>
      <w:r>
        <w:t xml:space="preserve"> </w:t>
      </w:r>
      <w:r>
        <w:t xml:space="preserve">Molina-Garcia P, et al. Costo-efficacia della teleriabilitazione per i disturbi muscoloscheletrici (Annals of Physical and Rehabilitation Medicine, 2024;67(1):101791); metanalisi di studi controllati sulla riabilitazione cardiaca a distanza: miglioramento della capacita funzionale, dei passi giornalieri e della qualita di vita, con riduzione dei sintomi depressivi.</w:t>
      </w:r>
    </w:p>
  </w:footnote>
  <w:footnote w:id="958">
    <w:p>
      <w:pPr>
        <w:pStyle w:val="FootnoteText"/>
      </w:pPr>
      <w:r>
        <w:rPr>
          <w:rStyle w:val="FootnoteReference"/>
        </w:rPr>
        <w:footnoteRef/>
      </w:r>
      <w:r>
        <w:t xml:space="preserve"> </w:t>
      </w:r>
      <w:r>
        <w:t xml:space="preserve">Revisione rapida (JMIR Rehabilitation and Assistive Technologies, 2025): la riabilitazione digitale assistita da IA accresce l’aderenza dell’utente attraverso il monitoraggio dell’esercizio, i contenuti motivazionali e la previsione dell’andamento del recupero.</w:t>
      </w:r>
    </w:p>
  </w:footnote>
  <w:footnote w:id="959">
    <w:p>
      <w:pPr>
        <w:pStyle w:val="FootnoteText"/>
      </w:pPr>
      <w:r>
        <w:rPr>
          <w:rStyle w:val="FootnoteReference"/>
        </w:rPr>
        <w:footnoteRef/>
      </w:r>
      <w:r>
        <w:t xml:space="preserve"> </w:t>
      </w:r>
      <w:r>
        <w:t xml:space="preserve">Revisione sistematica sulla telesalute nella malattia mentale grave (PMC6314801): il supporto a distanza migliora l’aderenza al trattamento e riduce la gravita dei sintomi e le giornate di degenza; la riabilitazione cognitiva computer-assistita migliora la funzione cognitiva.</w:t>
      </w:r>
    </w:p>
  </w:footnote>
  <w:footnote w:id="960">
    <w:p>
      <w:pPr>
        <w:pStyle w:val="FootnoteText"/>
      </w:pPr>
      <w:r>
        <w:rPr>
          <w:rStyle w:val="FootnoteReference"/>
        </w:rPr>
        <w:footnoteRef/>
      </w:r>
      <w:r>
        <w:t xml:space="preserve"> </w:t>
      </w:r>
      <w:r>
        <w:t xml:space="preserve">Poddar e Rao (Frontiers in Artificial Intelligence, 2024): una ricerca per parole chiave</w:t>
      </w:r>
      <w:r>
        <w:t xml:space="preserve"> </w:t>
      </w:r>
      <w:r>
        <w:t xml:space="preserve">‘</w:t>
      </w:r>
      <w:r>
        <w:t xml:space="preserve">Artificial Intelligence</w:t>
      </w:r>
      <w:r>
        <w:t xml:space="preserve">’</w:t>
      </w:r>
      <w:r>
        <w:t xml:space="preserve"> </w:t>
      </w:r>
      <w:r>
        <w:t xml:space="preserve">e</w:t>
      </w:r>
      <w:r>
        <w:t xml:space="preserve"> </w:t>
      </w:r>
      <w:r>
        <w:t xml:space="preserve">‘</w:t>
      </w:r>
      <w:r>
        <w:t xml:space="preserve">Health</w:t>
      </w:r>
      <w:r>
        <w:t xml:space="preserve">’</w:t>
      </w:r>
      <w:r>
        <w:t xml:space="preserve"> </w:t>
      </w:r>
      <w:r>
        <w:t xml:space="preserve">nella banca dati Patentscope della WIPO ha restituito 2.696 brevetti, di cui 233 nell’ambito del Trattato di cooperazione in materia di brevetti; le imprese farmaceutiche hanno registrato un incremento del 52% delle domande di brevetto basate sull’IA nel 2023.</w:t>
      </w:r>
    </w:p>
  </w:footnote>
  <w:footnote w:id="961">
    <w:p>
      <w:pPr>
        <w:pStyle w:val="FootnoteText"/>
      </w:pPr>
      <w:r>
        <w:rPr>
          <w:rStyle w:val="FootnoteReference"/>
        </w:rPr>
        <w:footnoteRef/>
      </w:r>
      <w:r>
        <w:t xml:space="preserve"> </w:t>
      </w:r>
      <w:r>
        <w:t xml:space="preserve">WIPO, Patent Landscape Report sull’IA generativa (luglio 2024): le famiglie brevettuali in materia di IA generativa sono cresciute da 733 nel 2014 a oltre 14.000 nel 2023, con un incremento superiore all’800% dopo l’introduzione dell’architettura transformer nel 2017; le imprese cinesi figurano tra i principali depositari.</w:t>
      </w:r>
    </w:p>
  </w:footnote>
  <w:footnote w:id="962">
    <w:p>
      <w:pPr>
        <w:pStyle w:val="FootnoteText"/>
      </w:pPr>
      <w:r>
        <w:rPr>
          <w:rStyle w:val="FootnoteReference"/>
        </w:rPr>
        <w:footnoteRef/>
      </w:r>
      <w:r>
        <w:t xml:space="preserve"> </w:t>
      </w:r>
      <w:r>
        <w:t xml:space="preserve">Stime di mercato (Expert Market Research, 2024-2025): il mercato dell’IA in sanita, valutato in circa 24,6 miliardi di dollari nel 2024, e atteso crescere a un tasso annuo composto di circa il 41,6% fino a superare i 790 miliardi nel 2034; secondo un rapporto Microsoft-IDC del marzo 2024 il 79% delle imprese sanitarie utilizzava gia tecnologie di IA.</w:t>
      </w:r>
    </w:p>
  </w:footnote>
  <w:footnote w:id="963">
    <w:p>
      <w:pPr>
        <w:pStyle w:val="FootnoteText"/>
      </w:pPr>
      <w:r>
        <w:rPr>
          <w:rStyle w:val="FootnoteReference"/>
        </w:rPr>
        <w:footnoteRef/>
      </w:r>
      <w:r>
        <w:t xml:space="preserve"> </w:t>
      </w:r>
      <w:r>
        <w:t xml:space="preserve">Regolamento europeo sull’IA (AI Act), in vigore dall’agosto 2024: i sistemi di IA nei dispositivi medici sono classificati ad alto rischio (Allegato I); la maggior parte degli obblighi decorre dall’agosto 2026, con piena conformita dall’agosto 2027; la guida MDCG 2025-6 chiarisce l’interazione con il Regolamento dispositivi medici.</w:t>
      </w:r>
    </w:p>
  </w:footnote>
  <w:footnote w:id="964">
    <w:p>
      <w:pPr>
        <w:pStyle w:val="FootnoteText"/>
      </w:pPr>
      <w:r>
        <w:rPr>
          <w:rStyle w:val="FootnoteReference"/>
        </w:rPr>
        <w:footnoteRef/>
      </w:r>
      <w:r>
        <w:t xml:space="preserve"> </w:t>
      </w:r>
      <w:r>
        <w:t xml:space="preserve">Analisi 2025: meno del 2% dei dispositivi di IA/ML autorizzati dalla FDA risulta sostenuto da studi clinici randomizzati, e la trasparenza sui dati di addestramento resta limitata; elemento che impone validazione locale e monitoraggio prospettico degli esiti.</w:t>
      </w:r>
    </w:p>
  </w:footnote>
  <w:footnote w:id="965">
    <w:p>
      <w:pPr>
        <w:pStyle w:val="FootnoteText"/>
      </w:pPr>
      <w:r>
        <w:rPr>
          <w:rStyle w:val="FootnoteReference"/>
        </w:rPr>
        <w:footnoteRef/>
      </w:r>
      <w:r>
        <w:t xml:space="preserve"> </w:t>
      </w:r>
      <w:r>
        <w:t xml:space="preserve">Stime per canale e grandezze regionali sviluppate nel capitolo integrativo della Relazione tecnico-finanziaria sullo Psicologo di Base e nei Capitoli 4-7, a partire dai conti sanitari ufficiali (quota pugliese pari a circa il 6,6% della popolazione italiana).</w:t>
      </w:r>
    </w:p>
  </w:footnote>
  <w:footnote w:id="966">
    <w:p>
      <w:pPr>
        <w:pStyle w:val="FootnoteText"/>
      </w:pPr>
      <w:r>
        <w:rPr>
          <w:rStyle w:val="FootnoteReference"/>
        </w:rPr>
        <w:footnoteRef/>
      </w:r>
      <w:r>
        <w:t xml:space="preserve"> </w:t>
      </w:r>
      <w:r>
        <w:t xml:space="preserve">Istituto Superiore di Sanita: corsi di formazione a distanza gratuiti su IA, machine learning, deep learning e reti neurali applicate alla clinica, rivolti a tutte le professioni sanitarie (portale FNOMCeO); percorsi sperimentali di 10-15 ore espressamente concepiti per i medici di famiglia.</w:t>
      </w:r>
    </w:p>
  </w:footnote>
  <w:footnote w:id="967">
    <w:p>
      <w:pPr>
        <w:pStyle w:val="FootnoteText"/>
      </w:pPr>
      <w:r>
        <w:rPr>
          <w:rStyle w:val="FootnoteReference"/>
        </w:rPr>
        <w:footnoteRef/>
      </w:r>
      <w:r>
        <w:t xml:space="preserve"> </w:t>
      </w:r>
      <w:r>
        <w:t xml:space="preserve">La stima di costo del modello pugliese adotta come base prudenziale il valore di entità inferiore, dell’ordine di 38,8–43,5 milioni di euro annui, mentre il valore superiore, dell’ordine di 60–67,5 milioni, è impiegato quale limite di sensibilità. Il modello si applica a una squadra delle cure primarie di circa 3.800 professionisti, e il risparmio diretto a regime è stimato nell’ordine di 270 milioni di euro annui.</w:t>
      </w:r>
    </w:p>
  </w:footnote>
  <w:footnote w:id="968">
    <w:p>
      <w:pPr>
        <w:pStyle w:val="FootnoteText"/>
      </w:pPr>
      <w:r>
        <w:rPr>
          <w:rStyle w:val="FootnoteReference"/>
        </w:rPr>
        <w:footnoteRef/>
      </w:r>
      <w:r>
        <w:t xml:space="preserve"> </w:t>
      </w:r>
      <w:r>
        <w:t xml:space="preserve">Le metodologie di riferimento comprendono l’analisi costi-benefici sociale (Guida della Commissione europea; Florio), il modello a cinque casi (HM Treasury, Green Book), l’analisi di costo-efficacia e costo-utilità (NICE, PMG36), la valutazione delle tecnologie sanitarie (EUnetHTA; Regolamento UE 2021/2282; AGENAS), l’analisi di impatto sul bilancio (standard ISPOR), il ritorno sociale sull’investimento (Social Value International), l’analisi e la verifica di impatto della regolamentazione (legge 246/2005; DPCM 169/2017), la valutazione controfattuale d’impatto e l’analisi multicriterio, con rendicontazione secondo gli standard CHEERS 2022 e CHEERS-AI.</w:t>
      </w:r>
    </w:p>
  </w:footnote>
  <w:footnote w:id="969">
    <w:p>
      <w:pPr>
        <w:pStyle w:val="FootnoteText"/>
      </w:pPr>
      <w:r>
        <w:rPr>
          <w:rStyle w:val="FootnoteReference"/>
        </w:rPr>
        <w:footnoteRef/>
      </w:r>
      <w:r>
        <w:t xml:space="preserve"> </w:t>
      </w:r>
      <w:r>
        <w:t xml:space="preserve">Gli intervalli di ritorno adottati sono quelli di Chisholm e collaboratori (Lancet Psychiatry, 2016): 2,3–3,0 a uno per i soli benefici economici e 3,3–5,7 a uno includendo i ritorni sanitari. La cifra semplificata nell’ordine di quattro a uno, e le cifre prive di fondamento puntuale, sono abbandonate; per il rapporto beneficio-costo del modello complessivo si adotta una banda prudenziale dell’ordine di 3,8–5,5 a uno.</w:t>
      </w:r>
    </w:p>
  </w:footnote>
  <w:footnote w:id="970">
    <w:p>
      <w:pPr>
        <w:pStyle w:val="FootnoteText"/>
      </w:pPr>
      <w:r>
        <w:rPr>
          <w:rStyle w:val="FootnoteReference"/>
        </w:rPr>
        <w:footnoteRef/>
      </w:r>
      <w:r>
        <w:t xml:space="preserve"> </w:t>
      </w:r>
      <w:r>
        <w:t xml:space="preserve">I risparmi sanitari dello studio IMPACT non risultano statisticamente significativi (l’intervallo di confidenza al 95% comprende lo zero); i dati di alcuni progetti pilota, tra cui le esperienze di Solano e di Orvieto, derivano da campioni limitati e da letteratura grigia.</w:t>
      </w:r>
    </w:p>
  </w:footnote>
  <w:footnote w:id="971">
    <w:p>
      <w:pPr>
        <w:pStyle w:val="FootnoteText"/>
      </w:pPr>
      <w:r>
        <w:rPr>
          <w:rStyle w:val="FootnoteReference"/>
        </w:rPr>
        <w:footnoteRef/>
      </w:r>
      <w:r>
        <w:t xml:space="preserve"> </w:t>
      </w:r>
      <w:r>
        <w:t xml:space="preserve">Quadro regolatorio: Regolamento europeo sull’Intelligenza Artificiale, in vigore dall’agosto 2024, con obblighi di trasparenza a partire dall’agosto 2026 e piena conformità per l’Intelligenza Artificiale dei dispositivi medici dall’agosto 2027; Regolamento sui dispositivi medici; Regolamento generale sulla protezione dei dati.</w:t>
      </w:r>
    </w:p>
  </w:footnote>
  <w:footnote w:id="972">
    <w:p>
      <w:pPr>
        <w:pStyle w:val="FootnoteText"/>
      </w:pPr>
      <w:r>
        <w:rPr>
          <w:rStyle w:val="FootnoteReference"/>
        </w:rPr>
        <w:footnoteRef/>
      </w:r>
      <w:r>
        <w:t xml:space="preserve"> </w:t>
      </w:r>
      <w:r>
        <w:t xml:space="preserve">Lo studio integrale per la Puglia è costruito sul telaio integrato, che combina quattro cornici metodologiche con funzioni distinte: il modello di valutazione di tecnologia sanitaria (HTA) di EUnetHTA, che ne fornisce la macro-struttura nei nove domini; il Five Case Model del Green Book, che ne fornisce il caso decisionale nei cinque casi; lo standard CHEERS 2022, che ne disciplina il reporting economico; e i criteri dell’OCSE-DAC, che ne costituiscono la griglia di giudizio; vi sono innestate dieci metodologie analitiche.</w:t>
      </w:r>
    </w:p>
  </w:footnote>
  <w:footnote w:id="973">
    <w:p>
      <w:pPr>
        <w:pStyle w:val="FootnoteText"/>
      </w:pPr>
      <w:r>
        <w:rPr>
          <w:rStyle w:val="FootnoteReference"/>
        </w:rPr>
        <w:footnoteRef/>
      </w:r>
      <w:r>
        <w:t xml:space="preserve"> </w:t>
      </w:r>
      <w:r>
        <w:t xml:space="preserve">Contesto di bilancio: il finanziamento del Servizio sanitario regionale è di circa 8,8 miliardi di euro, con un disavanzo di circa 350 milioni; il costo del servizio, anche a regime, ne costituisce una frazione modesta, sicché la questione non è la sostenibilità della spesa ma il suo dimensionamento; la Corte costituzionale (sentenza n. 6/2026) impone tuttavia alle regioni in piano di rientro di giustificare ogni impiego con la garanzia dei livelli essenziali.</w:t>
      </w:r>
    </w:p>
  </w:footnote>
  <w:footnote w:id="974">
    <w:p>
      <w:pPr>
        <w:pStyle w:val="FootnoteText"/>
      </w:pPr>
      <w:r>
        <w:rPr>
          <w:rStyle w:val="FootnoteReference"/>
        </w:rPr>
        <w:footnoteRef/>
      </w:r>
      <w:r>
        <w:t xml:space="preserve"> </w:t>
      </w:r>
      <w:r>
        <w:t xml:space="preserve">Ritorno sociale (metodo SROI): fondato sui sette principi del valore sociale e su una mappa dell’impatto, con proxy finanziari e con le correzioni per peso morto, attribuzione, spostamento e decadimento, monetizza il valore sociale generato distinguendolo dai risparmi di bilancio.</w:t>
      </w:r>
    </w:p>
  </w:footnote>
  <w:footnote w:id="975">
    <w:p>
      <w:pPr>
        <w:pStyle w:val="FootnoteText"/>
      </w:pPr>
      <w:r>
        <w:rPr>
          <w:rStyle w:val="FootnoteReference"/>
        </w:rPr>
        <w:footnoteRef/>
      </w:r>
      <w:r>
        <w:t xml:space="preserve"> </w:t>
      </w:r>
      <w:r>
        <w:t xml:space="preserve">Ricadute economico-sociali: la riduzione dell’assenteismo, il recupero di produttività e di funzionamento, la diminuzione delle nuove invalidità e il minor carico familiare, riferiti alle 780.000 persone con disagio, sono stimati in 70, 130 e 200 milioni di euro l’anno secondo lo scenario; è coerente con l’evidenza internazionale (Organizzazione mondiale della sanità e Lancet Psychiatry, Chisholm e colleghi, 2016), secondo cui il ritorno del trattamento di depressione e ansia, dell’ordine di quattro a uno, è costituito in quota dominante dalla produttività recuperata più che dal risparmio diretto sui servizi.</w:t>
      </w:r>
    </w:p>
  </w:footnote>
  <w:footnote w:id="976">
    <w:p>
      <w:pPr>
        <w:pStyle w:val="FootnoteText"/>
      </w:pPr>
      <w:r>
        <w:rPr>
          <w:rStyle w:val="FootnoteReference"/>
        </w:rPr>
        <w:footnoteRef/>
      </w:r>
      <w:r>
        <w:t xml:space="preserve"> </w:t>
      </w:r>
      <w:r>
        <w:t xml:space="preserve">Quadro complessivo per scenario: sommando i risparmi diretti e le ricadute sociali, il ritorno complessivo è di 90, 164 e 250 milioni di euro l’anno; al netto del costo, il saldo complessivo è di circa +65, +126 e +200 milioni, con un rapporto beneficio-costo complessivo dell’ordine di 3,6, 4,3 e 5,0 a uno.</w:t>
      </w:r>
    </w:p>
  </w:footnote>
  <w:footnote w:id="977">
    <w:p>
      <w:pPr>
        <w:pStyle w:val="FootnoteText"/>
      </w:pPr>
      <w:r>
        <w:rPr>
          <w:rStyle w:val="FootnoteReference"/>
        </w:rPr>
        <w:footnoteRef/>
      </w:r>
      <w:r>
        <w:t xml:space="preserve"> </w:t>
      </w:r>
      <w:r>
        <w:t xml:space="preserve">Distinzione tra caso economico e caso finanziario (Five Case Model): il caso economico misura il valore per la collettività, qui ampio (rapporto beneficio-costo di 3,6-5 a uno); il caso finanziario misura la sostenibilità per il bilancio, qui prossima al pareggio; tenere distinte le due grandezze, anziché sommarle, è una scelta di rigore che rende la valutazione difendibile di fronte agli organi di controllo.</w:t>
      </w:r>
    </w:p>
  </w:footnote>
  <w:footnote w:id="978">
    <w:p>
      <w:pPr>
        <w:pStyle w:val="FootnoteText"/>
      </w:pPr>
      <w:r>
        <w:rPr>
          <w:rStyle w:val="FootnoteReference"/>
        </w:rPr>
        <w:footnoteRef/>
      </w:r>
      <w:r>
        <w:t xml:space="preserve"> </w:t>
      </w:r>
      <w:r>
        <w:t xml:space="preserve">Robustezza: il segno del saldo complessivo è positivo in tutti gli scenari, comprese le ipotesi conservative; le analisi di sensibilità deterministica e probabilistica e il valore dell’informazione sono sviluppati nella Parte F.</w:t>
      </w:r>
    </w:p>
  </w:footnote>
  <w:footnote w:id="979">
    <w:p>
      <w:pPr>
        <w:pStyle w:val="FootnoteText"/>
      </w:pPr>
      <w:r>
        <w:rPr>
          <w:rStyle w:val="FootnoteReference"/>
        </w:rPr>
        <w:footnoteRef/>
      </w:r>
      <w:r>
        <w:t xml:space="preserve"> </w:t>
      </w:r>
      <w:r>
        <w:t xml:space="preserve">Natura dei dati: i parametri dei canali dei ricoveri, della specialistica e della mobilità sono in parte ancora stimati e saranno sostituiti dai valori certificati che l’agenzia regionale e le aziende sanitarie forniranno (schede di dimissione per disturbi psichici, composizione della mobilità per disciplina, spesa farmaceutica per categoria); la struttura della quantificazione è tuttavia già quella definitiva.</w:t>
      </w:r>
    </w:p>
  </w:footnote>
  <w:footnote w:id="980">
    <w:p>
      <w:pPr>
        <w:pStyle w:val="FootnoteText"/>
      </w:pPr>
      <w:r>
        <w:rPr>
          <w:rStyle w:val="FootnoteReference"/>
        </w:rPr>
        <w:footnoteRef/>
      </w:r>
      <w:r>
        <w:t xml:space="preserve"> </w:t>
      </w:r>
      <w:r>
        <w:t xml:space="preserve">I consumi di antidepressivi in Puglia sono tra i più bassi d’Italia: è un segno di sotto-intercettazione del bisogno, non di minore sofferenza.</w:t>
      </w:r>
    </w:p>
  </w:footnote>
  <w:footnote w:id="981">
    <w:p>
      <w:pPr>
        <w:pStyle w:val="FootnoteText"/>
      </w:pPr>
      <w:r>
        <w:rPr>
          <w:rStyle w:val="FootnoteReference"/>
        </w:rPr>
        <w:footnoteRef/>
      </w:r>
      <w:r>
        <w:t xml:space="preserve"> </w:t>
      </w:r>
      <w:r>
        <w:t xml:space="preserve">Commissione europea, rapporto sulla salute mentale 2024: quasi un giovane europeo su due non ha ricevuto un supporto adeguato e solo la metà delle persone con ansia o depressione chiede aiuto; il divario tra prevalenza reale e accesso ai servizi (treatment gap) deriva da barriere strutturali, economiche, culturali e di stigma, di conoscenza e sistemiche.</w:t>
      </w:r>
    </w:p>
  </w:footnote>
  <w:footnote w:id="982">
    <w:p>
      <w:pPr>
        <w:pStyle w:val="FootnoteText"/>
      </w:pPr>
      <w:r>
        <w:rPr>
          <w:rStyle w:val="FootnoteReference"/>
        </w:rPr>
        <w:footnoteRef/>
      </w:r>
      <w:r>
        <w:t xml:space="preserve"> </w:t>
      </w:r>
      <w:r>
        <w:t xml:space="preserve">Carenza di offerta psicologica: secondo dati del Ministero della Salute riferiti al 2017 l’Italia dispone di 8,5 psicologi ogni 100.000 abitanti nel Servizio sanitario complessivo, e di meno di 3 ogni 100.000 nelle sole strutture pubbliche di salute mentale (WHO Atlas 2014), tra le dotazioni più basse d’Europa; il sistema olandese che integra psicologi nelle cure primarie (POH-GGZ) si accompagna a circa 23 psichiatri ogni 100.000 abitanti.</w:t>
      </w:r>
    </w:p>
  </w:footnote>
  <w:footnote w:id="983">
    <w:p>
      <w:pPr>
        <w:pStyle w:val="FootnoteText"/>
      </w:pPr>
      <w:r>
        <w:rPr>
          <w:rStyle w:val="FootnoteReference"/>
        </w:rPr>
        <w:footnoteRef/>
      </w:r>
      <w:r>
        <w:t xml:space="preserve"> </w:t>
      </w:r>
      <w:r>
        <w:t xml:space="preserve">Sistema Informativo per la Salute Mentale (Rapporto SISM 2023): i Dipartimenti pugliesi hanno avuto in carico 54.946 utenti, pari a circa 106 ogni 10.000 abitanti adulti, dei quali 18.939 nuovi utenti, pari a circa 35 nuovi casi ogni 10.000 abitanti adulti.</w:t>
      </w:r>
    </w:p>
  </w:footnote>
  <w:footnote w:id="984">
    <w:p>
      <w:pPr>
        <w:pStyle w:val="FootnoteText"/>
      </w:pPr>
      <w:r>
        <w:rPr>
          <w:rStyle w:val="FootnoteReference"/>
        </w:rPr>
        <w:footnoteRef/>
      </w:r>
      <w:r>
        <w:t xml:space="preserve"> </w:t>
      </w:r>
      <w:r>
        <w:t xml:space="preserve">Accessi al pronto soccorso per cause psichiatriche (SISM 2023; Motore Sanità, febbraio 2025): 18.753 nel 2023, oltre cinquanta al giorno, in crescita del 30% rispetto al periodo pre-pandemico e con trend accentuato tra minori e giovani adulti; le sindromi nevrotiche e somatoformi sono la causa più frequente, con oltre diecimila casi, seguite da disturbi organici, depressione e schizofrenia.</w:t>
      </w:r>
    </w:p>
  </w:footnote>
  <w:footnote w:id="985">
    <w:p>
      <w:pPr>
        <w:pStyle w:val="FootnoteText"/>
      </w:pPr>
      <w:r>
        <w:rPr>
          <w:rStyle w:val="FootnoteReference"/>
        </w:rPr>
        <w:footnoteRef/>
      </w:r>
      <w:r>
        <w:t xml:space="preserve"> </w:t>
      </w:r>
      <w:r>
        <w:t xml:space="preserve">Servizio attuale (L.R. 11/2023): circa 45 psicologi, uno per distretto, a fronte di uno stanziamento di 1,5 milioni di euro l’anno, pari a circa il 5% del fabbisogno; il fabbisogno a regime è stimato nell’ordine di 800-900 psicologi, con scenari di copertura a circa 450, 700 e 900 incarichi.</w:t>
      </w:r>
    </w:p>
  </w:footnote>
  <w:footnote w:id="986">
    <w:p>
      <w:pPr>
        <w:pStyle w:val="FootnoteText"/>
      </w:pPr>
      <w:r>
        <w:rPr>
          <w:rStyle w:val="FootnoteReference"/>
        </w:rPr>
        <w:footnoteRef/>
      </w:r>
      <w:r>
        <w:t xml:space="preserve"> </w:t>
      </w:r>
      <w:r>
        <w:t xml:space="preserve">L’algoritmo di distribuzione territoriale degli incarichi pondera i distretti per indice di vecchiaia, indice di deprivazione socioeconomica e prevalenza di cronicità e multimorbidità, attribuendo pesi maggiori alle aree interne in spopolamento e alle periferie urbane degradate, a presidio dell’equità territoriale.</w:t>
      </w:r>
    </w:p>
  </w:footnote>
  <w:footnote w:id="987">
    <w:p>
      <w:pPr>
        <w:pStyle w:val="FootnoteText"/>
      </w:pPr>
      <w:r>
        <w:rPr>
          <w:rStyle w:val="FootnoteReference"/>
        </w:rPr>
        <w:footnoteRef/>
      </w:r>
      <w:r>
        <w:t xml:space="preserve"> </w:t>
      </w:r>
      <w:r>
        <w:t xml:space="preserve">Contesto di bilancio: la Puglia ha ricevuto per il 2025 un finanziamento di circa 8,8 miliardi di euro, con un disavanzo di circa 350 milioni e disavanzi cumulati superiori a 480 milioni nel quadriennio; la Corte costituzionale ha ribadito che una regione in piano di rientro non può distrarre i fondi sanitari da finalità diverse dai livelli essenziali.</w:t>
      </w:r>
    </w:p>
  </w:footnote>
  <w:footnote w:id="988">
    <w:p>
      <w:pPr>
        <w:pStyle w:val="FootnoteText"/>
      </w:pPr>
      <w:r>
        <w:rPr>
          <w:rStyle w:val="FootnoteReference"/>
        </w:rPr>
        <w:footnoteRef/>
      </w:r>
      <w:r>
        <w:t xml:space="preserve"> </w:t>
      </w:r>
      <w:r>
        <w:t xml:space="preserve">Mobilità sanitaria passiva (2023): saldo negativo di 253,2 milioni di euro (prestazioni in fuga 376,6 milioni, mobilità attiva circa 123 milioni), tra i peggiori in Italia, con circa 240 milioni nel 2024; è il tratto più distintivo del caso pugliese, poiché ogni quota di domanda trattenuta sul territorio si traduce in un risparmio diretto.</w:t>
      </w:r>
    </w:p>
  </w:footnote>
  <w:footnote w:id="989">
    <w:p>
      <w:pPr>
        <w:pStyle w:val="FootnoteText"/>
      </w:pPr>
      <w:r>
        <w:rPr>
          <w:rStyle w:val="FootnoteReference"/>
        </w:rPr>
        <w:footnoteRef/>
      </w:r>
      <w:r>
        <w:t xml:space="preserve"> </w:t>
      </w:r>
      <w:r>
        <w:t xml:space="preserve">Pronto soccorso: 37 presidi e 1.142.448 accessi l’anno, dei quali circa 914.000 inappropriati (codici a bassa intensità, dell’ordine dell’80%); una quota è riconducibile a disagio psichico e a sintomi somatici funzionali.</w:t>
      </w:r>
    </w:p>
  </w:footnote>
  <w:footnote w:id="990">
    <w:p>
      <w:pPr>
        <w:pStyle w:val="FootnoteText"/>
      </w:pPr>
      <w:r>
        <w:rPr>
          <w:rStyle w:val="FootnoteReference"/>
        </w:rPr>
        <w:footnoteRef/>
      </w:r>
      <w:r>
        <w:t xml:space="preserve"> </w:t>
      </w:r>
      <w:r>
        <w:t xml:space="preserve">Farmaceutica: la Puglia presenta tra i più alti consumi complessivi d’Italia (1.081,9 dosi giornaliere ogni mille abitanti) e una spesa pubblica dell’ordine del 2,3% del prodotto regionale; il paradosso di un consumo complessivo elevato e di una intercettazione del disagio psichico bassa segnala margini di appropriatezza.</w:t>
      </w:r>
    </w:p>
  </w:footnote>
  <w:footnote w:id="991">
    <w:p>
      <w:pPr>
        <w:pStyle w:val="FootnoteText"/>
      </w:pPr>
      <w:r>
        <w:rPr>
          <w:rStyle w:val="FootnoteReference"/>
        </w:rPr>
        <w:footnoteRef/>
      </w:r>
      <w:r>
        <w:t xml:space="preserve"> </w:t>
      </w:r>
      <w:r>
        <w:t xml:space="preserve">Cornice normativa: a livello regionale la legge n. 11 del 2023, prima in Italia; a livello nazionale il decreto ministeriale 77 del 2022 sull’assistenza territoriale e le Case della Comunità, la Missione 6 del Piano Nazionale di Ripresa e Resilienza e l’accordo della specialistica ambulatoriale per i psicologi convenzionati; a livello europeo il regolamento 2021/2282 sull’HTA e il regolamento sull’intelligenza artificiale.</w:t>
      </w:r>
    </w:p>
  </w:footnote>
  <w:footnote w:id="992">
    <w:p>
      <w:pPr>
        <w:pStyle w:val="FootnoteText"/>
      </w:pPr>
      <w:r>
        <w:rPr>
          <w:rStyle w:val="FootnoteReference"/>
        </w:rPr>
        <w:footnoteRef/>
      </w:r>
      <w:r>
        <w:t xml:space="preserve"> </w:t>
      </w:r>
      <w:r>
        <w:t xml:space="preserve">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w:t>
      </w:r>
    </w:p>
  </w:footnote>
  <w:footnote w:id="993">
    <w:p>
      <w:pPr>
        <w:pStyle w:val="FootnoteText"/>
      </w:pPr>
      <w:r>
        <w:rPr>
          <w:rStyle w:val="FootnoteReference"/>
        </w:rPr>
        <w:footnoteRef/>
      </w:r>
      <w:r>
        <w:t xml:space="preserve"> </w:t>
      </w:r>
      <w:r>
        <w:t xml:space="preserve">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w:t>
      </w:r>
    </w:p>
  </w:footnote>
  <w:footnote w:id="994">
    <w:p>
      <w:pPr>
        <w:pStyle w:val="FootnoteText"/>
      </w:pPr>
      <w:r>
        <w:rPr>
          <w:rStyle w:val="FootnoteReference"/>
        </w:rPr>
        <w:footnoteRef/>
      </w:r>
      <w:r>
        <w:t xml:space="preserve"> </w:t>
      </w:r>
      <w:r>
        <w:t xml:space="preserve">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w:t>
      </w:r>
    </w:p>
  </w:footnote>
  <w:footnote w:id="995">
    <w:p>
      <w:pPr>
        <w:pStyle w:val="FootnoteText"/>
      </w:pPr>
      <w:r>
        <w:rPr>
          <w:rStyle w:val="FootnoteReference"/>
        </w:rPr>
        <w:footnoteRef/>
      </w:r>
      <w:r>
        <w:t xml:space="preserve"> </w:t>
      </w:r>
      <w:r>
        <w:t xml:space="preserve">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organizzativo, il profilo del paziente e sociale, il profilo giuridico. La valutazione rapida di efficacia relativa copre i soli primi quattro domini; la valutazione completa li copre tutti.</w:t>
      </w:r>
    </w:p>
  </w:footnote>
  <w:footnote w:id="996">
    <w:p>
      <w:pPr>
        <w:pStyle w:val="FootnoteText"/>
      </w:pPr>
      <w:r>
        <w:rPr>
          <w:rStyle w:val="FootnoteReference"/>
        </w:rPr>
        <w:footnoteRef/>
      </w:r>
      <w:r>
        <w:t xml:space="preserve"> </w:t>
      </w:r>
      <w:r>
        <w:t xml:space="preserve">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w:t>
      </w:r>
    </w:p>
  </w:footnote>
  <w:footnote w:id="997">
    <w:p>
      <w:pPr>
        <w:pStyle w:val="FootnoteText"/>
      </w:pPr>
      <w:r>
        <w:rPr>
          <w:rStyle w:val="FootnoteReference"/>
        </w:rPr>
        <w:footnoteRef/>
      </w:r>
    </w:p>
  </w:footnote>
  <w:footnote w:id="998">
    <w:p>
      <w:pPr>
        <w:pStyle w:val="FootnoteText"/>
      </w:pPr>
      <w:r>
        <w:rPr>
          <w:rStyle w:val="FootnoteReference"/>
        </w:rPr>
        <w:footnoteRef/>
      </w:r>
      <w:r>
        <w:t xml:space="preserve"> </w:t>
      </w:r>
      <w:r>
        <w:t xml:space="preserve">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dettaglio.Questa parte sviluppa i metodi di modellazione e di gestione dell’incertezza del quinto dominio, secondo le buone pratiche di ricerca sulla modellazione dell’ISPOR e della Society for Medical Decision Making; ne è oggetto la tenuta delle conclusioni economiche quando gli esiti si proiettano su orizzonti lunghi e quando si riconosce l’incertezza dei parametri.</w:t>
      </w:r>
    </w:p>
  </w:footnote>
  <w:footnote w:id="999">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scanditi da cicli temporali, con correzione di metà ciclo; gli stati sono quattro — sintomatico, di recupero (remissione), cronico (forme persistenti o gravi) e morte (assorbente) — e la coorte entra interamente nello stato sintomatico; la microsimulazione delle traiettorie individuali ne costituisce la variante per le storie dei singoli soggetti.</w:t>
      </w:r>
    </w:p>
  </w:footnote>
  <w:footnote w:id="1000">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per la qualità; il braccio dell’assistenza usuale, un costo di circa 3.799 euro e un’utilità di 3,392; l’intervento è dunque al tempo stesso meno costoso (di circa 1.304 euro) e più efficace (di circa 0,236 anni di vita ponderati), configurando una condizione di dominanza, con beneficio monetario netto alla soglia di 30.000 euro per anno di vita ponderato di circa 8.384 euro per paziente.</w:t>
      </w:r>
    </w:p>
  </w:footnote>
  <w:footnote w:id="1001">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costituisce il fondamento microeconomico delle stime aggregate.</w:t>
      </w:r>
    </w:p>
  </w:footnote>
  <w:footnote w:id="1002">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a ciascun parametro è assegnata una distribuzione per l’analisi probabilistica.</w:t>
      </w:r>
    </w:p>
  </w:footnote>
  <w:footnote w:id="1003">
    <w:p>
      <w:pPr>
        <w:pStyle w:val="FootnoteText"/>
      </w:pPr>
      <w:r>
        <w:rPr>
          <w:rStyle w:val="FootnoteReference"/>
        </w:rPr>
        <w:footnoteRef/>
      </w:r>
      <w:r>
        <w:t xml:space="preserve"> </w:t>
      </w:r>
      <w:r>
        <w:t xml:space="preserve">Distribuzioni e fonti: distribuzioni Beta per le probabilità di transizione e per le utilità, vincolate all’intervallo tra zero e uno, e distribuzioni Gamma per i costi, vincolate ai valori positivi; i valori sono tratti dalla relazione tecnica e dall’evidenza internazionale e calibrati sui valori regionali, e saranno aggiornati con i dati certificati.</w:t>
      </w:r>
    </w:p>
  </w:footnote>
  <w:footnote w:id="1004">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ampiezza dell’effetto, e i più influenti risultano l’efficacia clinica, i tassi di ricaduta e di cronicizzazione e il costo dello stato cronico.</w:t>
      </w:r>
    </w:p>
  </w:footnote>
  <w:footnote w:id="1005">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di coerenza interna ed esterna del modello.</w:t>
      </w:r>
    </w:p>
  </w:footnote>
  <w:footnote w:id="1006">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 il piano costo-efficacia rappresenta le iterazioni come una nube di punti, concentrata nel quadrante in cui l’intervento è più efficace e meno costoso.</w:t>
      </w:r>
    </w:p>
  </w:footnote>
  <w:footnote w:id="1007">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1008">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compreso tra circa −5.736 e +21.501 euro.</w:t>
      </w:r>
    </w:p>
  </w:footnote>
  <w:footnote w:id="1009">
    <w:p>
      <w:pPr>
        <w:pStyle w:val="FootnoteText"/>
      </w:pPr>
      <w:r>
        <w:rPr>
          <w:rStyle w:val="FootnoteReference"/>
        </w:rPr>
        <w:footnoteRef/>
      </w:r>
      <w:r>
        <w:t xml:space="preserve"> </w:t>
      </w:r>
      <w:r>
        <w:t xml:space="preserve">Distinzione tra costo-utilità e impatto sul bilancio: la probabilità di costo-efficacia è un risultato di efficienza, riferito al singolo paziente, che valorizza il guadagno di salute (anni di vita ponderati) e l’intera traiettoria di costo del modello; esso è coerente con — e non in contraddizione con — il saldo diretto prossimo al pareggio dell’analisi di impatto sul bilancio della Parte E, che valorizza i soli flussi monetari del bilancio sanitario: le due analisi rispondono a domande diverse, e la traduzione aggregata incorpora le correzioni per peso morto e per la effettiva monetizzabilità dei risparmi.</w:t>
      </w:r>
    </w:p>
  </w:footnote>
  <w:footnote w:id="1010">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lo attribuisce ai singoli parametri, orientando le priorità della ricerca futura verso le grandezze più incerte e più influenti.</w:t>
      </w:r>
    </w:p>
  </w:footnote>
  <w:footnote w:id="1011">
    <w:p>
      <w:pPr>
        <w:pStyle w:val="FootnoteText"/>
      </w:pPr>
      <w:r>
        <w:rPr>
          <w:rStyle w:val="FootnoteReference"/>
        </w:rPr>
        <w:footnoteRef/>
      </w:r>
      <w:r>
        <w:t xml:space="preserve"> </w:t>
      </w:r>
      <w:r>
        <w:t xml:space="preserve">Priorità di acquisizione: i parametri ancora stimati — segnatamente quelli dei canali dei ricoveri, della specialistica e della mobilità — sono quelli su cui il valore dell’informazione è maggiore, e la loro misura sui dati certificati dell’agenzia regionale e delle aziende sanitarie è perciò l’investimento conoscitivo prioritario.</w:t>
      </w:r>
    </w:p>
  </w:footnote>
  <w:footnote w:id="1012">
    <w:p>
      <w:pPr>
        <w:pStyle w:val="FootnoteText"/>
      </w:pPr>
      <w:r>
        <w:rPr>
          <w:rStyle w:val="FootnoteReference"/>
        </w:rPr>
        <w:footnoteRef/>
      </w:r>
      <w:r>
        <w:t xml:space="preserve"> </w:t>
      </w:r>
      <w:r>
        <w:t xml:space="preserve">Verifica empirica: il dispiegamento scaglionato del servizio tra le aziende, oggetto della Parte L, riduce l’incertezza dei parametri sostituendo le stime con misure osservate, ed è la forma più efficace di acquisizione del valore dell’informazione.</w:t>
      </w:r>
    </w:p>
  </w:footnote>
  <w:footnote w:id="1013">
    <w:p>
      <w:pPr>
        <w:pStyle w:val="FootnoteText"/>
      </w:pPr>
      <w:r>
        <w:rPr>
          <w:rStyle w:val="FootnoteReference"/>
        </w:rPr>
        <w:footnoteRef/>
      </w:r>
      <w:r>
        <w:t xml:space="preserve"> </w:t>
      </w:r>
      <w:r>
        <w:t xml:space="preserve">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w:t>
      </w:r>
    </w:p>
  </w:footnote>
  <w:footnote w:id="1014">
    <w:p>
      <w:pPr>
        <w:pStyle w:val="FootnoteText"/>
      </w:pPr>
      <w:r>
        <w:rPr>
          <w:rStyle w:val="FootnoteReference"/>
        </w:rPr>
        <w:footnoteRef/>
      </w:r>
      <w:r>
        <w:t xml:space="preserve"> </w:t>
      </w:r>
      <w:r>
        <w:t xml:space="preserve">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organizzativo, il profilo del paziente e sociale, il profilo giuridico. La valutazione rapida di efficacia relativa copre i soli primi quattro domini; la valutazione completa li copre tutti.</w:t>
      </w:r>
    </w:p>
  </w:footnote>
  <w:footnote w:id="1015">
    <w:p>
      <w:pPr>
        <w:pStyle w:val="FootnoteText"/>
      </w:pPr>
      <w:r>
        <w:rPr>
          <w:rStyle w:val="FootnoteReference"/>
        </w:rPr>
        <w:footnoteRef/>
      </w:r>
      <w:r>
        <w:t xml:space="preserve"> </w:t>
      </w:r>
      <w:r>
        <w:t xml:space="preserve">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w:t>
      </w:r>
    </w:p>
  </w:footnote>
  <w:footnote w:id="1016">
    <w:p>
      <w:pPr>
        <w:pStyle w:val="FootnoteText"/>
      </w:pPr>
      <w:r>
        <w:rPr>
          <w:rStyle w:val="FootnoteReference"/>
        </w:rPr>
        <w:footnoteRef/>
      </w:r>
      <w:r>
        <w:t xml:space="preserve"> </w:t>
      </w:r>
      <w:r>
        <w:t xml:space="preserve">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w:t>
      </w:r>
    </w:p>
  </w:footnote>
  <w:footnote w:id="1017">
    <w:p>
      <w:pPr>
        <w:pStyle w:val="FootnoteText"/>
      </w:pPr>
      <w:r>
        <w:rPr>
          <w:rStyle w:val="FootnoteReference"/>
        </w:rPr>
        <w:footnoteRef/>
      </w:r>
      <w:r>
        <w:t xml:space="preserve"> </w:t>
      </w:r>
      <w:r>
        <w:t xml:space="preserve">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w:t>
      </w:r>
    </w:p>
  </w:footnote>
  <w:footnote w:id="1018">
    <w:p>
      <w:pPr>
        <w:pStyle w:val="FootnoteText"/>
      </w:pPr>
      <w:r>
        <w:rPr>
          <w:rStyle w:val="FootnoteReference"/>
        </w:rPr>
        <w:footnoteRef/>
      </w:r>
      <w:r>
        <w:t xml:space="preserve"> </w:t>
      </w:r>
      <w:r>
        <w:t xml:space="preserve">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w:t>
      </w:r>
    </w:p>
  </w:footnote>
  <w:footnote w:id="1019">
    <w:p>
      <w:pPr>
        <w:pStyle w:val="FootnoteText"/>
      </w:pPr>
      <w:r>
        <w:rPr>
          <w:rStyle w:val="FootnoteReference"/>
        </w:rPr>
        <w:footnoteRef/>
      </w:r>
      <w:r>
        <w:t xml:space="preserve"> </w:t>
      </w:r>
      <w:r>
        <w:t xml:space="preserve">Principi di buona pratica dell’ISPOR per l’analisi di impatto sul bilancio: ne definiscono il metodo, distinto dalla costo-efficacia, su un orizzonte di bilancio tipicamente triennale o quinquennale, con l’obiettivo di stimare la sostenibilità finanziaria dell’adozione.</w:t>
      </w:r>
    </w:p>
  </w:footnote>
  <w:footnote w:id="1020">
    <w:p>
      <w:pPr>
        <w:pStyle w:val="FootnoteText"/>
      </w:pPr>
      <w:r>
        <w:rPr>
          <w:rStyle w:val="FootnoteReference"/>
        </w:rPr>
        <w:footnoteRef/>
      </w:r>
      <w:r>
        <w:t xml:space="preserve"> </w:t>
      </w:r>
      <w:r>
        <w:t xml:space="preserve">Buone pratiche di ricerca sulla modellazione (ISPOR-SMDM): definiscono i criteri di costruzione e validazione dei modelli decisionali — alberi, modelli di Markov, microsimulazione — e la corretta gestione dell’incertezza.</w:t>
      </w:r>
    </w:p>
  </w:footnote>
  <w:footnote w:id="1021">
    <w:p>
      <w:pPr>
        <w:pStyle w:val="FootnoteText"/>
      </w:pPr>
      <w:r>
        <w:rPr>
          <w:rStyle w:val="FootnoteReference"/>
        </w:rPr>
        <w:footnoteRef/>
      </w:r>
      <w:r>
        <w:t xml:space="preserve"> </w:t>
      </w:r>
      <w:r>
        <w:t xml:space="preserve">Analisi del valore dell’informazione (valore atteso dell’informazione perfetta, complessiva e sui parametri): quantifica il valore di ridurre l’incertezza dei parametri e stabilisce le priorità della ricerca futura.</w:t>
      </w:r>
    </w:p>
  </w:footnote>
  <w:footnote w:id="1022">
    <w:p>
      <w:pPr>
        <w:pStyle w:val="FootnoteText"/>
      </w:pPr>
      <w:r>
        <w:rPr>
          <w:rStyle w:val="FootnoteReference"/>
        </w:rPr>
        <w:footnoteRef/>
      </w:r>
      <w:r>
        <w:t xml:space="preserve"> </w:t>
      </w:r>
      <w:r>
        <w:t xml:space="preserve">Ritorno sociale sull’investimento (SROI), secondo i principi internazionali di Social Value: monetizza il valore sociale generato, con la cautela di distinguerlo dai risparmi diretti per il bilancio.</w:t>
      </w:r>
    </w:p>
  </w:footnote>
  <w:footnote w:id="1023">
    <w:p>
      <w:pPr>
        <w:pStyle w:val="FootnoteText"/>
      </w:pPr>
      <w:r>
        <w:rPr>
          <w:rStyle w:val="FootnoteReference"/>
        </w:rPr>
        <w:footnoteRef/>
      </w:r>
      <w:r>
        <w:t xml:space="preserve"> </w:t>
      </w:r>
      <w:r>
        <w:t xml:space="preserve">Analisi costo-efficacia distributiva (DCEA): estende la valutazione economica alla dimensione dell’equità, stimando la distribuzione di costi ed esiti tra sottogruppi e l’effetto sulle disuguaglianze.</w:t>
      </w:r>
    </w:p>
  </w:footnote>
  <w:footnote w:id="1024">
    <w:p>
      <w:pPr>
        <w:pStyle w:val="FootnoteText"/>
      </w:pPr>
      <w:r>
        <w:rPr>
          <w:rStyle w:val="FootnoteReference"/>
        </w:rPr>
        <w:footnoteRef/>
      </w:r>
    </w:p>
  </w:footnote>
  <w:footnote w:id="1025">
    <w:p>
      <w:pPr>
        <w:pStyle w:val="FootnoteText"/>
      </w:pPr>
      <w:r>
        <w:rPr>
          <w:rStyle w:val="FootnoteReference"/>
        </w:rPr>
        <w:footnoteRef/>
      </w:r>
      <w:r>
        <w:t xml:space="preserve"> </w:t>
      </w:r>
      <w:r>
        <w:t xml:space="preserve">Analisi costo-efficacia distributiva (DCEA): estende la valutazione economica alla dimensione dell’equità, stimando la distribuzione di costi ed esiti tra sottogruppi e l’effetto sulle disuguaglianze.Definizione dell’intervento: l’inserimento stabile dello psicologo nelle cure primarie, accanto al medico di medicina generale e al pediatra di libera scelta, come primo livello di ascolto, intercettazione precoce e filtro, riservando ai servizi specialistici i quadri gravi; l’accesso avviene su invio del medico ovvero in forma diretta, secondo percorsi definiti.</w:t>
      </w:r>
    </w:p>
  </w:footnote>
  <w:footnote w:id="1026">
    <w:p>
      <w:pPr>
        <w:pStyle w:val="FootnoteText"/>
      </w:pPr>
      <w:r>
        <w:rPr>
          <w:rStyle w:val="FootnoteReference"/>
        </w:rPr>
        <w:footnoteRef/>
      </w:r>
    </w:p>
  </w:footnote>
  <w:footnote w:id="1027">
    <w:p>
      <w:pPr>
        <w:pStyle w:val="FootnoteText"/>
      </w:pPr>
      <w:r>
        <w:rPr>
          <w:rStyle w:val="FootnoteReference"/>
        </w:rPr>
        <w:footnoteRef/>
      </w:r>
      <w:r>
        <w:t xml:space="preserve"> </w:t>
      </w:r>
      <w:r>
        <w:t xml:space="preserve">Analisi costo-efficacia distributiva (DCEA): estende la valutazione economica alla dimensione dell’equità, stimando la distribuzione di costi ed esiti tra sottogruppi e l’effetto sulle disuguaglianze.Definizione dell’intervento: l’inserimento stabile dello psicologo nelle cure primarie, accanto al medico di medicina generale e al pediatra di libera scelta, come primo livello di ascolto, intercettazione precoce e filtro, riservando ai servizi specialistici i quadri gravi; l’accesso avviene su invio del medico ovvero in forma diretta, secondo percorsi definiti. Questa parte copre l’ottavo dominio del modello HTA, il profilo del paziente e sociale, e risponde al criterio di impatto della griglia di giudizio; l’equità è trattata come dimensione costitutiva della valutazione, secondo l’evoluzione che ha aggiunto l’equità in salute ai tradizionali obiettivi di esito, esperienza, costo e benessere dei professionisti (Quintuple Aim).</w:t>
      </w:r>
    </w:p>
  </w:footnote>
  <w:footnote w:id="1028">
    <w:p>
      <w:pPr>
        <w:pStyle w:val="FootnoteText"/>
      </w:pPr>
      <w:r>
        <w:rPr>
          <w:rStyle w:val="FootnoteReference"/>
        </w:rPr>
        <w:footnoteRef/>
      </w:r>
      <w:r>
        <w:t xml:space="preserve"> </w:t>
      </w:r>
      <w:r>
        <w:t xml:space="preserve">Gradiente sociale della salute mentale: le popolazioni in deprivazione presentano prevalenze sistematicamente più elevate di disturbi mentali comuni e, al tempo stesso, un accesso più difficile ai servizi; in Puglia il 37,7% della popolazione è a rischio di povertà o esclusione sociale, tra i valori più alti del Paese, sicché il bisogno si concentra precisamente dove le risorse protettive sono minori.</w:t>
      </w:r>
    </w:p>
  </w:footnote>
  <w:footnote w:id="1029">
    <w:p>
      <w:pPr>
        <w:pStyle w:val="FootnoteText"/>
      </w:pPr>
      <w:r>
        <w:rPr>
          <w:rStyle w:val="FootnoteReference"/>
        </w:rPr>
        <w:footnoteRef/>
      </w:r>
      <w:r>
        <w:t xml:space="preserve"> </w:t>
      </w:r>
      <w:r>
        <w:t xml:space="preserve">La gratuità, la prossimità e l’assenza di stigma del servizio di primo livello abbattono precisamente le barriere — economiche, geografiche e culturali — che gravano in misura maggiore sulle popolazioni deprivate, ed è questo il meccanismo per cui un servizio universale può ridurre, anziché ampliare, le disuguaglianze di accesso.</w:t>
      </w:r>
    </w:p>
  </w:footnote>
  <w:footnote w:id="1030">
    <w:p>
      <w:pPr>
        <w:pStyle w:val="FootnoteText"/>
      </w:pPr>
      <w:r>
        <w:rPr>
          <w:rStyle w:val="FootnoteReference"/>
        </w:rPr>
        <w:footnoteRef/>
      </w:r>
      <w:r>
        <w:t xml:space="preserve"> </w:t>
      </w:r>
      <w:r>
        <w:t xml:space="preserve">Variabili di equità, accesso e protezione finanziaria seguite dallo studio (registro delle variabili): riduzione dei tempi di attesa per l’accesso psicologico, accessibilità geografica nelle aree interne e remote, riduzione del gradiente socio-economico nell’accesso, equità di esito tra gruppi, riduzione delle disuguaglianze di genere, accesso per popolazioni straniere e fragili e per le persone con disabilità, riduzione delle barriere culturali e linguistiche, gratuità per i gruppi vulnerabili, copertura del bisogno non soddisfatto e riduzione del divario territoriale Nord-Sud.</w:t>
      </w:r>
    </w:p>
  </w:footnote>
  <w:footnote w:id="1031">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sottogruppi e quale sia l’effetto sulle disuguaglianze; si avvale di strumenti quali gli anni di vita ponderati per l’equità, l’indice di concentrazione, che lega l’esito di salute alla posizione socio-economica, e gli indici di disuguaglianza assoluta e relativa, che misurano il gradiente dell’esito lungo lo stato socio-economico.</w:t>
      </w:r>
    </w:p>
  </w:footnote>
  <w:footnote w:id="1032">
    <w:p>
      <w:pPr>
        <w:pStyle w:val="FootnoteText"/>
      </w:pPr>
      <w:r>
        <w:rPr>
          <w:rStyle w:val="FootnoteReference"/>
        </w:rPr>
        <w:footnoteRef/>
      </w:r>
      <w:r>
        <w:t xml:space="preserve"> </w:t>
      </w:r>
      <w:r>
        <w:t xml:space="preserve">Direzione del risultato distributivo: poiché il bisogno è maggiore e il guadagno di accesso più ampio tra le popolazioni deprivate, i benefici dell’intervento si concentrano tra i gruppi più svantaggiati, riducendo il gradiente sociale negli esiti di salute mentale; l’intervento è dunque non solo efficiente ma equo, in quanto migliora l’esito medio e ne comprime al tempo stesso la disuguaglianza.</w:t>
      </w:r>
    </w:p>
  </w:footnote>
  <w:footnote w:id="1033">
    <w:p>
      <w:pPr>
        <w:pStyle w:val="FootnoteText"/>
      </w:pPr>
      <w:r>
        <w:rPr>
          <w:rStyle w:val="FootnoteReference"/>
        </w:rPr>
        <w:footnoteRef/>
      </w:r>
      <w:r>
        <w:t xml:space="preserve"> </w:t>
      </w:r>
      <w:r>
        <w:t xml:space="preserve">Ponderazione distributiva: l’attribuzione di pesi maggiori ai benefici che ricadono sui più svantaggiati accresce il valore sociale stimato rispetto all’analisi non ponderata; lo studio adotta tuttavia, come riferimento conservativo, il rapporto beneficio-costo non ponderato già esposto nella Parte E (dell’ordine di 3,6-5 a uno), rilevando che la ponderazione lo eleverebbe, coerentemente con la concentrazione dei benefici tra le popolazioni deprivate del Mezzogiorno, ma senza adottare la stima ponderata come dato di sintesi.</w:t>
      </w:r>
    </w:p>
  </w:footnote>
  <w:footnote w:id="1034">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per l’indice di deprivazione socioeconomica e per la prevalenza di cronicità e multimorbidità, attribuendo pesi maggiori alle aree interne in spopolamento e alle periferie urbane degradate, così da contrastare anziché riprodurre le disuguaglianze esistenti.</w:t>
      </w:r>
    </w:p>
  </w:footnote>
  <w:footnote w:id="1035">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e per misurare il gradiente sociale dell’accesso e dell’esito.</w:t>
      </w:r>
    </w:p>
  </w:footnote>
  <w:footnote w:id="1036">
    <w:p>
      <w:pPr>
        <w:pStyle w:val="FootnoteText"/>
      </w:pPr>
      <w:r>
        <w:rPr>
          <w:rStyle w:val="FootnoteReference"/>
        </w:rPr>
        <w:footnoteRef/>
      </w:r>
      <w:r>
        <w:t xml:space="preserve"> </w:t>
      </w:r>
      <w:r>
        <w:t xml:space="preserve">Divari territoriali: alla disomogeneità demografica tra province si sommano i divari socioeconomici, concentrati nelle aree interne montane e rurali — colpite da spopolamento e invecchiamento — e in alcune periferie urbane; in queste aree i determinanti del disagio si addensano e l’accesso ai servizi è più difficile.</w:t>
      </w:r>
    </w:p>
  </w:footnote>
  <w:footnote w:id="1037">
    <w:p>
      <w:pPr>
        <w:pStyle w:val="FootnoteText"/>
      </w:pPr>
      <w:r>
        <w:rPr>
          <w:rStyle w:val="FootnoteReference"/>
        </w:rPr>
        <w:footnoteRef/>
      </w:r>
      <w:r>
        <w:t xml:space="preserve"> </w:t>
      </w:r>
      <w:r>
        <w:t xml:space="preserve">Mobilità sanitaria recuperata quale dimensione di equità, oltre che di bilancio: chi migra per ricevere cure è spesso chi può permetterselo, sicché trattenere la presa in carico sul territorio serve insieme la sostenibilità del bilancio (saldo passivo di 253,2 milioni nel 2023) e l’equità verso chi non può spostarsi.</w:t>
      </w:r>
    </w:p>
  </w:footnote>
  <w:footnote w:id="1038">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oggi la psicoterapia privata è spesso inaccessibile.</w:t>
      </w:r>
    </w:p>
  </w:footnote>
  <w:footnote w:id="1039">
    <w:p>
      <w:pPr>
        <w:pStyle w:val="FootnoteText"/>
      </w:pPr>
      <w:r>
        <w:rPr>
          <w:rStyle w:val="FootnoteReference"/>
        </w:rPr>
        <w:footnoteRef/>
      </w:r>
      <w:r>
        <w:t xml:space="preserve"> </w:t>
      </w:r>
      <w:r>
        <w:t xml:space="preserve">Copertura del bisogno non soddisfatto come equità: intercettare la quota inevasa del disagio — dell’ordine di 780.000 persone, metà delle quali non chiede aiuto — significa raggiungere proprio coloro che hanno minore probabilità di accedere spontaneamente ai servizi.</w:t>
      </w:r>
    </w:p>
  </w:footnote>
  <w:footnote w:id="1040">
    <w:p>
      <w:pPr>
        <w:pStyle w:val="FootnoteText"/>
      </w:pPr>
      <w:r>
        <w:rPr>
          <w:rStyle w:val="FootnoteReference"/>
        </w:rPr>
        <w:footnoteRef/>
      </w:r>
      <w:r>
        <w:t xml:space="preserve"> </w:t>
      </w:r>
      <w:r>
        <w:t xml:space="preserve">Collegamento al monitoraggio: gli indicatori di equità — accesso per area e per livello socio-economico, gradiente dell’esito, tempi di attesa per area — fanno parte del sistema di indicatori della Parte L, e consentono di verificare nel tempo se il servizio raggiunga effettivamente le comunità più distanti e i gruppi più fragili.</w:t>
      </w:r>
    </w:p>
  </w:footnote>
  <w:footnote w:id="1041">
    <w:p>
      <w:pPr>
        <w:pStyle w:val="FootnoteText"/>
      </w:pPr>
      <w:r>
        <w:rPr>
          <w:rStyle w:val="FootnoteReference"/>
        </w:rPr>
        <w:footnoteRef/>
      </w:r>
      <w:r>
        <w:t xml:space="preserve"> </w:t>
      </w:r>
      <w:r>
        <w:t xml:space="preserve">I modelli internazionali di integrazione della salute mentale nelle cure primarie (collaborative care, integrated care, stepped care, primary care mental health) condividono alcuni principi: collocazione dello psicologo negli studi di medicina generale o in strutture territoriali accessibili; focalizzazione sui disturbi comuni lievi-moderati con triage strutturato che indirizza i casi gravi allo specialista; interventi brevi, manualizzati e orientati agli esiti; monitoraggio sistematico con questionari standardizzati pre e post; forte integrazione con la medicina generale; orientamento alla prevenzione secondaria mediante intercettazione precoce, prima della cronicizzazione.</w:t>
      </w:r>
    </w:p>
  </w:footnote>
  <w:footnote w:id="1042">
    <w:p>
      <w:pPr>
        <w:pStyle w:val="FootnoteText"/>
      </w:pPr>
      <w:r>
        <w:rPr>
          <w:rStyle w:val="FootnoteReference"/>
        </w:rPr>
        <w:footnoteRef/>
      </w:r>
      <w:r>
        <w:t xml:space="preserve"> </w:t>
      </w:r>
      <w:r>
        <w:t xml:space="preserve">Collaborative Care Model (sviluppato presso l’Università di Washington, validato da oltre novanta studi randomizzati controllati): équipe integrata di medico di base, responsabile dell’assistenza con formazione in salute mentale e psichiatra consulente per i casi complessi; screening sistematico con PHQ-9 e GAD-7; psicoeducazione, interventi comportamentali brevi e farmacoterapia ove appropriata; monitoraggio degli esiti con adattamento del piano; una meta-analisi di Woltmann e colleghi (American Journal of Psychiatry, 2012), su cinquantasette studi, documenta un miglioramento dei sintomi depressivi con effetto medio di 0,28 deviazioni standard.</w:t>
      </w:r>
    </w:p>
  </w:footnote>
  <w:footnote w:id="1043">
    <w:p>
      <w:pPr>
        <w:pStyle w:val="FootnoteText"/>
      </w:pPr>
      <w:r>
        <w:rPr>
          <w:rStyle w:val="FootnoteReference"/>
        </w:rPr>
        <w:footnoteRef/>
      </w:r>
      <w:r>
        <w:t xml:space="preserve"> </w:t>
      </w:r>
      <w:r>
        <w:t xml:space="preserve">Programma inglese di terapie psicologiche (Improving Access to Psychological Therapies, dal 2008, oggi NHS Talking Therapies): modello di cura a intensità crescente su due livelli — interventi a bassa intensità, di quattro-sei sedute, fondati su principi cognitivo-comportamentali ed erogati anche come auto-aiuto guidato, e interventi ad alta intensità, terapie strutturate di otto-venti sedute per i quadri più complessi o non responsivi.</w:t>
      </w:r>
    </w:p>
  </w:footnote>
  <w:footnote w:id="1044">
    <w:p>
      <w:pPr>
        <w:pStyle w:val="FootnoteText"/>
      </w:pPr>
      <w:r>
        <w:rPr>
          <w:rStyle w:val="FootnoteReference"/>
        </w:rPr>
        <w:footnoteRef/>
      </w:r>
      <w:r>
        <w:t xml:space="preserve"> </w:t>
      </w:r>
      <w:r>
        <w:t xml:space="preserve">Modello olandese che integra gli psicologi nelle cure primarie (POH-GGZ): prevede tipicamente cinque-otto sedute di intervento psicologico breve fondato sull’evidenza, con invio ai servizi specialistici solo per i quadri più complessi, dell’ordine del quindici per cento dei casi trattati in cure primarie.</w:t>
      </w:r>
    </w:p>
  </w:footnote>
  <w:footnote w:id="1045">
    <w:p>
      <w:pPr>
        <w:pStyle w:val="FootnoteText"/>
      </w:pPr>
      <w:r>
        <w:rPr>
          <w:rStyle w:val="FootnoteReference"/>
        </w:rPr>
        <w:footnoteRef/>
      </w:r>
      <w:r>
        <w:t xml:space="preserve"> </w:t>
      </w:r>
      <w:r>
        <w:t xml:space="preserve">Quadro strategico dell’Organizzazione mondiale della sanità per l’Europa (aprile 2025): quattro strategie per il potenziamento della salute mentale nelle cure primarie — rafforzare le competenze degli operatori, integrare professionisti dedicati nei team, consolidare i collegamenti con i servizi specialistici e promuovere la collaborazione multisettoriale sui determinanti sociali.</w:t>
      </w:r>
    </w:p>
  </w:footnote>
  <w:footnote w:id="1046">
    <w:p>
      <w:pPr>
        <w:pStyle w:val="FootnoteText"/>
      </w:pPr>
      <w:r>
        <w:rPr>
          <w:rStyle w:val="FootnoteReference"/>
        </w:rPr>
        <w:footnoteRef/>
      </w:r>
      <w:r>
        <w:t xml:space="preserve"> </w:t>
      </w:r>
      <w:r>
        <w:t xml:space="preserve">Strumenti di esito standardizzati: il PHQ-9 per i sintomi depressivi (sensibilità 88%, specificità 85%) e il GAD-7 per i sintomi d’ansia (sensibilità 89%, specificità 82%), somministrati all’ingresso e lungo il percorso nei soli punteggi complessivi, secondo il modello dei programmi internazionali di terapie psicologiche, a misura del miglioramento clinico e del tasso di recupero.</w:t>
      </w:r>
    </w:p>
  </w:footnote>
  <w:footnote w:id="1047">
    <w:p>
      <w:pPr>
        <w:pStyle w:val="FootnoteText"/>
      </w:pPr>
      <w:r>
        <w:rPr>
          <w:rStyle w:val="FootnoteReference"/>
        </w:rPr>
        <w:footnoteRef/>
      </w:r>
      <w:r>
        <w:t xml:space="preserve"> </w:t>
      </w:r>
      <w:r>
        <w:t xml:space="preserve">Sicurezza del percorso e tutela della persona: sono esclusi dal primo livello i quadri gravi o acuti, ai quali è garantito l’invio appropriato ai servizi specialistici e, ove necessario, ai percorsi dell’emergenza, in raccordo con il medico curante; le situazioni di rischio sono indirizzate senza che siano registrate o trattate le modalità, a garanzia di sicurezza clinica e di dignità.</w:t>
      </w:r>
    </w:p>
  </w:footnote>
  <w:footnote w:id="1048">
    <w:p>
      <w:pPr>
        <w:pStyle w:val="FootnoteText"/>
      </w:pPr>
      <w:r>
        <w:rPr>
          <w:rStyle w:val="FootnoteReference"/>
        </w:rPr>
        <w:footnoteRef/>
      </w:r>
      <w:r>
        <w:t xml:space="preserve"> </w:t>
      </w:r>
      <w:r>
        <w:t xml:space="preserve">Articolazione degli esiti (struttura della sperimentazione): esito primario, costituito dalla quota di miglioramento clinico e dal tasso di recupero; esiti clinici secondari (remissione, riduzione dei punteggi, soddisfazione e qualità di vita); esiti di processo (prese in carico, attesa al primo colloquio, colloqui per persona, tasso di invio appropriato); esiti di impatto e utilizzo (accessi al pronto soccorso, psicofarmaci, consulti e ricoveri evitabili); esiti economici e di equità.</w:t>
      </w:r>
    </w:p>
  </w:footnote>
  <w:footnote w:id="1049">
    <w:p>
      <w:pPr>
        <w:pStyle w:val="FootnoteText"/>
      </w:pPr>
      <w:r>
        <w:rPr>
          <w:rStyle w:val="FootnoteReference"/>
        </w:rPr>
        <w:footnoteRef/>
      </w:r>
      <w:r>
        <w:t xml:space="preserve"> </w:t>
      </w:r>
      <w:r>
        <w:t xml:space="preserve">Sistemi informativi (traccia di legge nazionale, art. 7; piano operativo): il servizio si avvale dei sistemi informativi sanitari regionali e del Fascicolo Sanitario Elettronico, con una cartella dedicata e interoperabile che registra in forma strutturata le prese in carico, i percorsi e le misure di esito, alimentando il sistema di monitoraggio, secondo standard di interoperabilità definiti a livello nazionale.</w:t>
      </w:r>
    </w:p>
  </w:footnote>
  <w:footnote w:id="1050">
    <w:p>
      <w:pPr>
        <w:pStyle w:val="FootnoteText"/>
      </w:pPr>
      <w:r>
        <w:rPr>
          <w:rStyle w:val="FootnoteReference"/>
        </w:rPr>
        <w:footnoteRef/>
      </w:r>
      <w:r>
        <w:t xml:space="preserve"> </w:t>
      </w:r>
      <w:r>
        <w:t xml:space="preserve">Protezione dei dati nei sistemi informativi: la progettazione rispetta la disciplina europea e nazionale su protezione dei dati, dispositivi medici e intelligenza artificiale, con sicurezza, trasparenza e minimizzazione; al sistema di monitoraggio sono trasmessi dati in forma aggregata.</w:t>
      </w:r>
    </w:p>
  </w:footnote>
  <w:footnote w:id="1051">
    <w:p>
      <w:pPr>
        <w:pStyle w:val="FootnoteText"/>
      </w:pPr>
      <w:r>
        <w:rPr>
          <w:rStyle w:val="FootnoteReference"/>
        </w:rPr>
        <w:footnoteRef/>
      </w:r>
      <w:r>
        <w:t xml:space="preserve"> </w:t>
      </w:r>
      <w:r>
        <w:t xml:space="preserve">Intelligenza artificiale e dispositivi digitali (traccia di legge nazionale, art. 6): strumenti digitali e sistemi di IA a supporto di diagnostica, prevenzione, trattamento e continuità assistenziale, e dispositivi terapeutici digitali validati, impiegati quali ausili dell’attività professionale e non in sua sostituzione, nel rispetto della normativa su IA, dispositivi medici e dati, con supervisione clinica, trasparenza e sicurezza; è previsto un elenco nazionale degli strumenti ammessi, fondato su criteri di evidenza di efficacia e di conformità regolatoria.</w:t>
      </w:r>
    </w:p>
  </w:footnote>
  <w:footnote w:id="1052">
    <w:p>
      <w:pPr>
        <w:pStyle w:val="FootnoteText"/>
      </w:pPr>
      <w:r>
        <w:rPr>
          <w:rStyle w:val="FootnoteReference"/>
        </w:rPr>
        <w:footnoteRef/>
      </w:r>
      <w:r>
        <w:t xml:space="preserve"> </w:t>
      </w:r>
      <w:r>
        <w:t xml:space="preserve">Funzioni degli strumenti digitali e di IA (registro delle variabili): triage psicologico assistito, screening automatico, strumenti predittivi del rischio, supporto decisionale clinico, riduzione del carico amministrativo, analisi del linguaggio naturale, con requisiti di validazione clinica, conformità al regolamento europeo sull’IA, supervisione umana sulle decisioni, trasparenza e spiegabilità.</w:t>
      </w:r>
    </w:p>
  </w:footnote>
  <w:footnote w:id="1053">
    <w:p>
      <w:pPr>
        <w:pStyle w:val="FootnoteText"/>
      </w:pPr>
      <w:r>
        <w:rPr>
          <w:rStyle w:val="FootnoteReference"/>
        </w:rPr>
        <w:footnoteRef/>
      </w:r>
    </w:p>
  </w:footnote>
  <w:footnote w:id="1054">
    <w:p>
      <w:pPr>
        <w:pStyle w:val="FootnoteText"/>
      </w:pPr>
      <w:r>
        <w:rPr>
          <w:rStyle w:val="FootnoteReference"/>
        </w:rPr>
        <w:footnoteRef/>
      </w:r>
      <w:r>
        <w:t xml:space="preserve"> </w:t>
      </w:r>
      <w:r>
        <w:t xml:space="preserve">Funzioni degli strumenti digitali e di IA (registro delle variabili): triage psicologico assistito, screening automatico, strumenti predittivi del rischio, supporto decisionale clinico, riduzione del carico amministrativo, analisi del linguaggio naturale, con requisiti di validazione clinica, conformità al regolamento europeo sull’IA, supervisione umana sulle decisioni, trasparenza e spiegabilità.Questa parte copre tre domini del modello HTA — il profilo etico (dominio 6), il profilo organizzativo (dominio 7) e il profilo giuridico (dominio 9) — che completano la valutazione oltre i piani clinico, economico e di equità, stabilendo che l’intervento sia eticamente fondato, giuridicamente difendibile e organizzativamente conforme.</w:t>
      </w:r>
    </w:p>
  </w:footnote>
  <w:footnote w:id="1055">
    <w:p>
      <w:pPr>
        <w:pStyle w:val="FootnoteText"/>
      </w:pPr>
      <w:r>
        <w:rPr>
          <w:rStyle w:val="FootnoteReference"/>
        </w:rPr>
        <w:footnoteRef/>
      </w:r>
      <w:r>
        <w:t xml:space="preserve"> </w:t>
      </w:r>
      <w:r>
        <w:t xml:space="preserve">Profilo etico (registro delle variabili, profili giuridici, etici e di governance): le dimensioni rilevanti sono l’equità di accesso, l’autonomia della persona e la tutela del consenso informato, oggetto del dominio etico della valutazione di tecnologia sanitaria.</w:t>
      </w:r>
    </w:p>
  </w:footnote>
  <w:footnote w:id="1056">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se interagisce con un sistema di intelligenza artificiale, quali dati siano raccolti e chi possa accedervi.</w:t>
      </w:r>
    </w:p>
  </w:footnote>
  <w:footnote w:id="1057">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058">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siano registrate o trattate le modalità.</w:t>
      </w:r>
    </w:p>
  </w:footnote>
  <w:footnote w:id="1059">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sui principi di universalità, eguaglianza ed equità.</w:t>
      </w:r>
    </w:p>
  </w:footnote>
  <w:footnote w:id="1060">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il secondo comma, lettera g), riserva allo Stato l’ordinamento delle professioni.</w:t>
      </w:r>
    </w:p>
  </w:footnote>
  <w:footnote w:id="1061">
    <w:p>
      <w:pPr>
        <w:pStyle w:val="FootnoteText"/>
      </w:pPr>
      <w:r>
        <w:rPr>
          <w:rStyle w:val="FootnoteReference"/>
        </w:rPr>
        <w:footnoteRef/>
      </w:r>
      <w:r>
        <w:t xml:space="preserve"> </w:t>
      </w:r>
      <w:r>
        <w:t xml:space="preserve">Articolo 117, secondo comma, lettera m), della Costituzione: la determinazione dei livelli essenziali delle prestazioni concernenti i diritti civili e sociali è competenza legislativa esclusiva dello Stato; il decreto del Presidente del Consiglio dei ministri 12 gennaio 2017 è l’atto mediante il quale la funzione di psicologia di base può essere ricondotta tra le prestazioni garantite, e costituisce la leva di un’eventuale uniformità nazionale.</w:t>
      </w:r>
    </w:p>
  </w:footnote>
  <w:footnote w:id="1062">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la legge regionale pugliese opera entro la competenza concorrente, sul piano organizzativo.</w:t>
      </w:r>
    </w:p>
  </w:footnote>
  <w:footnote w:id="1063">
    <w:p>
      <w:pPr>
        <w:pStyle w:val="FootnoteText"/>
      </w:pPr>
      <w:r>
        <w:rPr>
          <w:rStyle w:val="FootnoteReference"/>
        </w:rPr>
        <w:footnoteRef/>
      </w:r>
      <w:r>
        <w:t xml:space="preserve"> </w:t>
      </w:r>
      <w:r>
        <w:t xml:space="preserve">Corte costituzionale, sentenza n. 142 del 2021: ha dichiarato l’illegittimità della precedente legge regionale pugliese; la legge regionale n. 11 del 2023 ne costituisce la versione conforme, e il presente studio è redatto per essere costituzionalmente difendibile.</w:t>
      </w:r>
    </w:p>
  </w:footnote>
  <w:footnote w:id="1064">
    <w:p>
      <w:pPr>
        <w:pStyle w:val="FootnoteText"/>
      </w:pPr>
      <w:r>
        <w:rPr>
          <w:rStyle w:val="FootnoteReference"/>
        </w:rPr>
        <w:footnoteRef/>
      </w:r>
      <w:r>
        <w:t xml:space="preserve"> </w:t>
      </w:r>
      <w:r>
        <w:t xml:space="preserve">Corte costituzionale, sentenza n. 6 del 2026: le Regioni in piano di rientro non possono utilizzare i fondi del proprio Servizio sanitario per finalità diverse dalla garanzia dei livelli essenziali; il vincolo rende la dimostrazione di efficienza e di coerenza con i livelli essenziali una condizione, non un’opzione.</w:t>
      </w:r>
    </w:p>
  </w:footnote>
  <w:footnote w:id="1065">
    <w:p>
      <w:pPr>
        <w:pStyle w:val="FootnoteText"/>
      </w:pPr>
      <w:r>
        <w:rPr>
          <w:rStyle w:val="FootnoteReference"/>
        </w:rPr>
        <w:footnoteRef/>
      </w:r>
      <w:r>
        <w:t xml:space="preserve"> </w:t>
      </w:r>
      <w:r>
        <w:t xml:space="preserve">Deontologia professionale (registro delle variabili): il servizio opera nel rispetto delle norme deontologiche della professione, sotto la vigilanza dell’Ordine degli Psicologi, che concorre alla governance e alla formazione.</w:t>
      </w:r>
    </w:p>
  </w:footnote>
  <w:footnote w:id="1066">
    <w:p>
      <w:pPr>
        <w:pStyle w:val="FootnoteText"/>
      </w:pPr>
      <w:r>
        <w:rPr>
          <w:rStyle w:val="FootnoteReference"/>
        </w:rPr>
        <w:footnoteRef/>
      </w:r>
      <w:r>
        <w:t xml:space="preserve"> </w:t>
      </w:r>
      <w:r>
        <w:t xml:space="preserve">Responsabilità clinica e ruolo dell’IA (legge nazionale sull’IA, art. 7; registro delle variabili): l’impiego dell’intelligenza artificiale non altera le responsabilità professionali — il medico di medicina generale resta garante della diagnosi e della terapia medica, lo psicologo dell’intervento psicologico — essendo l’IA assimilata a un dispositivo di supporto e non a una figura che compie atti; ciò evita conflitti con gli accordi convenzionali, poiché non si introduce una nuova figura ma uno strumento.</w:t>
      </w:r>
    </w:p>
  </w:footnote>
  <w:footnote w:id="1067">
    <w:p>
      <w:pPr>
        <w:pStyle w:val="FootnoteText"/>
      </w:pPr>
      <w:r>
        <w:rPr>
          <w:rStyle w:val="FootnoteReference"/>
        </w:rPr>
        <w:footnoteRef/>
      </w:r>
      <w:r>
        <w:t xml:space="preserve"> </w:t>
      </w:r>
      <w:r>
        <w:t xml:space="preserve">Conformità degli strumenti di IA (registro delle variabili; legge nazionale sull’IA, artt. 6 e 8): il regolamento europeo sull’IA classifica come ad alto rischio i sistemi impiegati nei dispositivi medici; il regolamento sui dispositivi medici impone la marcatura CE (software di classe IIa o IIb); il regolamento sulla protezione dei dati ne disciplina il trattamento; sono richiesti supervisione umana, validazione periodica, monitoraggio dei bias, trasparenza e spiegabilità e non discriminazione algoritmica; è auspicata l’istituzione di un comitato etico-scientifico per l’IA in sanità, con l’agenzia regionale e le università, e l’articolo 8 qualifica i relativi trattamenti come di rilevante interesse pubblico.</w:t>
      </w:r>
    </w:p>
  </w:footnote>
  <w:footnote w:id="1068">
    <w:p>
      <w:pPr>
        <w:pStyle w:val="FootnoteText"/>
      </w:pPr>
      <w:r>
        <w:rPr>
          <w:rStyle w:val="FootnoteReference"/>
        </w:rPr>
        <w:footnoteRef/>
      </w:r>
      <w:r>
        <w:t xml:space="preserve"> </w:t>
      </w:r>
      <w:r>
        <w:t xml:space="preserve">Equità digitale (registro delle variabili): per non generare nuove disuguaglianze, sono previsti canali tradizionali paralleli per chi non dispone di strumenti digitali — segnatamente le persone anziane — e il supporto multilingue per le popolazioni straniere; l’alternativa dell’intervento in presenza è sempre garantita.</w:t>
      </w:r>
    </w:p>
  </w:footnote>
  <w:footnote w:id="1069">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 in salute mentale i dati richiedono il massimo grado di tutela.</w:t>
      </w:r>
    </w:p>
  </w:footnote>
  <w:footnote w:id="1070">
    <w:p>
      <w:pPr>
        <w:pStyle w:val="FootnoteText"/>
      </w:pPr>
      <w:r>
        <w:rPr>
          <w:rStyle w:val="FootnoteReference"/>
        </w:rPr>
        <w:footnoteRef/>
      </w:r>
      <w:r>
        <w:t xml:space="preserve"> </w:t>
      </w:r>
      <w:r>
        <w:t xml:space="preserve">Dispositivi terapeutici digitali (DTx): software-intervento validato da studi controllati e prescritto dal clinico, distinto dalle applicazioni di benessere, con modelli di rimborso già consolidati in altri Paesi europei (il modello tedesco è il più maturo); il loro contributo economico è già ricompreso nei canali della salute mentale e della farmaceutica e non va sommato a essi.</w:t>
      </w:r>
    </w:p>
  </w:footnote>
  <w:footnote w:id="1071">
    <w:p>
      <w:pPr>
        <w:pStyle w:val="FootnoteText"/>
      </w:pPr>
      <w:r>
        <w:rPr>
          <w:rStyle w:val="FootnoteReference"/>
        </w:rPr>
        <w:footnoteRef/>
      </w:r>
      <w:r>
        <w:t xml:space="preserve"> </w:t>
      </w:r>
      <w:r>
        <w:t xml:space="preserve">Cautele d’impiego degli strumenti digitali: l’evidenza, disomogenea e in evoluzione, impone selezione, validazione locale e gradualità; la protezione dei dati richiede sicurezza informatica e consenso chiaro; l’equità digitale impone di garantire sempre l’alternativa dell’intervento in presenza alle persone anziane, fragili o a bassa competenza digitale; la supervisione clinica resta dirimente.</w:t>
      </w:r>
    </w:p>
  </w:footnote>
  <w:footnote w:id="1072">
    <w:p>
      <w:pPr>
        <w:pStyle w:val="FootnoteText"/>
      </w:pPr>
      <w:r>
        <w:rPr>
          <w:rStyle w:val="FootnoteReference"/>
        </w:rPr>
        <w:footnoteRef/>
      </w:r>
      <w:r>
        <w:t xml:space="preserve"> </w:t>
      </w:r>
      <w:r>
        <w:t xml:space="preserve">Programma formativo a quattro livelli (traccia di legge nazionale, art. 5; piano operativo): universitario, post-universitario specialistico, continuo in ambito lavorativo e di affiancamento operativo, con una componente trasversale dedicata all’intelligenza artificiale applicata alle cure primarie; realizzato in collaborazione con le università, l’Ordine degli Psicologi e le istituzioni scientifiche, sotto l’indirizzo dell’Osservatorio, e scaglionato in corrispondenza delle fasi di attivazione del servizio.</w:t>
      </w:r>
    </w:p>
  </w:footnote>
  <w:footnote w:id="1073">
    <w:p>
      <w:pPr>
        <w:pStyle w:val="FootnoteText"/>
      </w:pPr>
      <w:r>
        <w:rPr>
          <w:rStyle w:val="FootnoteReference"/>
        </w:rPr>
        <w:footnoteRef/>
      </w:r>
      <w:r>
        <w:t xml:space="preserve"> </w:t>
      </w:r>
      <w:r>
        <w:t xml:space="preserve">Analisi costo-efficacia distributiva (DCEA): estende la valutazione economica alla dimensione dell’equità, stimando la distribuzione di costi ed esiti tra sottogruppi e l’effetto sulle disuguaglianze.Legge regionale della Puglia n. 11 del 15 giugno 2023, prima in Italia a istituire il servizio: prevede lo psicologo di base in ogni Distretto e nelle Case della Comunità, il rapporto in convenzione, una funzione di filtro verso i servizi specialistici e il pronto soccorso, e un Osservatorio regionale di governo.</w:t>
      </w:r>
    </w:p>
  </w:footnote>
  <w:footnote w:id="1074">
    <w:p>
      <w:pPr>
        <w:pStyle w:val="FootnoteText"/>
      </w:pPr>
      <w:r>
        <w:rPr>
          <w:rStyle w:val="FootnoteReference"/>
        </w:rPr>
        <w:footnoteRef/>
      </w:r>
      <w:r>
        <w:t xml:space="preserve"> </w:t>
      </w:r>
      <w:r>
        <w:t xml:space="preserve">Il servizio attuale conta circa 45 psicologi a fronte di uno stanziamento di 1,5 milioni di euro l’anno, pari a circa il 5% del fabbisogno; il fabbisogno a regime è stimato nell’ordine di 800-900 psicologi per l’intera regione, con scenari di copertura a circa 450, 700 e 900 incarichi.</w:t>
      </w:r>
    </w:p>
  </w:footnote>
  <w:footnote w:id="1075">
    <w:p>
      <w:pPr>
        <w:pStyle w:val="FootnoteText"/>
      </w:pPr>
      <w:r>
        <w:rPr>
          <w:rStyle w:val="FootnoteReference"/>
        </w:rPr>
        <w:footnoteRef/>
      </w:r>
      <w:r>
        <w:t xml:space="preserve"> </w:t>
      </w:r>
      <w:r>
        <w:t xml:space="preserve">Salute mentale in Puglia: circa 780.000 persone con disagio psichico comune o sottosoglia; circa 55.000 utenti in carico ai Dipartimenti di Salute Mentale; 18.939 nuovi utenti nel 2023.</w:t>
      </w:r>
    </w:p>
  </w:footnote>
  <w:footnote w:id="1076">
    <w:p>
      <w:pPr>
        <w:pStyle w:val="FootnoteText"/>
      </w:pPr>
      <w:r>
        <w:rPr>
          <w:rStyle w:val="FootnoteReference"/>
        </w:rPr>
        <w:footnoteRef/>
      </w:r>
      <w:r>
        <w:t xml:space="preserve"> </w:t>
      </w:r>
      <w:r>
        <w:t xml:space="preserve">Popolazione residente in Puglia 3.877.395 (Censimento permanente ISTAT 2024), circa il 6,6% della popolazione nazionale; il Servizio sanitario regionale si articola in sei aziende sanitarie locali e quarantacinque distretti.</w:t>
      </w:r>
    </w:p>
  </w:footnote>
  <w:footnote w:id="1077">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il Five Case Model del Green Book del Tesoro britannico; lo standard di reporting economico CHEERS 2022; e i sei criteri di valutazione dell’OCSE-DAC, riveduti nel 2019.</w:t>
      </w:r>
    </w:p>
  </w:footnote>
  <w:footnote w:id="1078">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w:t>
      </w:r>
    </w:p>
  </w:footnote>
  <w:footnote w:id="1079">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anno per anno; le analisi di costo-utilità attualizzano simmetricamente costi ed esiti al medesimo tasso del 3%; il modello incorpora una correzione prudenziale per l’ottimismo, adottando per le conclusioni il valore centrale o l’estremo conservativo.</w:t>
      </w:r>
    </w:p>
  </w:footnote>
  <w:footnote w:id="1080">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e valore dell’informazione, costo-efficacia distributiva, inferenza causale quasi-sperimentale, revisione sistematica e GRADE, analisi multi-criterio, analisi di impatto della regolamentazione.</w:t>
      </w:r>
    </w:p>
  </w:footnote>
  <w:footnote w:id="1081">
    <w:p>
      <w:pPr>
        <w:pStyle w:val="FootnoteText"/>
      </w:pPr>
      <w:r>
        <w:rPr>
          <w:rStyle w:val="FootnoteReference"/>
        </w:rPr>
        <w:footnoteRef/>
      </w:r>
      <w:r>
        <w:t xml:space="preserve"> </w:t>
      </w:r>
      <w:r>
        <w:t xml:space="preserve">Valutazione controfattuale d’impatto: i metodi della differenza-nelle-differenze, del controllo sintetico e dei disegni quasi-sperimentali; il dispiegamento scaglionato della riforma (stepped-wedge), nel quale le aziende passano in sequenza dalla condizione di controllo a quella di intervento, funge da esperimento naturale e ne consente la stima causale (Hussey e Hughes, 2007; Hemming e altri, 2015).</w:t>
      </w:r>
    </w:p>
  </w:footnote>
  <w:footnote w:id="1082">
    <w:p>
      <w:pPr>
        <w:pStyle w:val="FootnoteText"/>
      </w:pPr>
      <w:r>
        <w:rPr>
          <w:rStyle w:val="FootnoteReference"/>
        </w:rPr>
        <w:footnoteRef/>
      </w:r>
      <w:r>
        <w:t xml:space="preserve"> </w:t>
      </w:r>
      <w:r>
        <w:t xml:space="preserve">I valori economici oggi impiegati sono in parte ricostruiti dai conti nazionali per quota di popolazione (6,6%) e non estratti dai conti regionali certificati; una specifica di estrazione, già predisposta per AReSS e per le aziende sanitarie, individua i dati regionali da acquisire — spesa per voce, dimissioni psichiatriche, composizione della mobilità, farmaceutica per categoria, accessi al pronto soccorso per causa, utenza dei Dipartimenti — a sostituzione dei parametri stimati.</w:t>
      </w:r>
    </w:p>
  </w:footnote>
  <w:footnote w:id="1083">
    <w:p>
      <w:pPr>
        <w:pStyle w:val="FootnoteText"/>
      </w:pPr>
      <w:r>
        <w:rPr>
          <w:rStyle w:val="FootnoteReference"/>
        </w:rPr>
        <w:footnoteRef/>
      </w:r>
      <w:r>
        <w:t xml:space="preserve"> </w:t>
      </w:r>
      <w:r>
        <w:t xml:space="preserve">Riferimento economico adottato: la tabella unica consolidata distingue il risparmio diretto per il bilancio sanitario, prossimo al pareggio con il costo del servizio, dalle ricadute economico-sociali, che generano il ritorno complessivo (rapporto beneficio-costo dell’ordine di 3,6-5 a 1); la stima conservativa è adottata come riferimento, più difendibile di fronte agli organi di controllo, e quella più ottimistica è conservata come limite superiore. Le cifre sono ipotesi che lo studio è chiamato a verificare sui dati certificati.</w:t>
      </w:r>
    </w:p>
  </w:footnote>
  <w:footnote w:id="1084">
    <w:p>
      <w:pPr>
        <w:pStyle w:val="FootnoteText"/>
      </w:pPr>
      <w:r>
        <w:rPr>
          <w:rStyle w:val="FootnoteReference"/>
        </w:rPr>
        <w:footnoteRef/>
      </w:r>
    </w:p>
  </w:footnote>
  <w:footnote w:id="1085">
    <w:p>
      <w:pPr>
        <w:pStyle w:val="FootnoteText"/>
      </w:pPr>
      <w:r>
        <w:rPr>
          <w:rStyle w:val="FootnoteReference"/>
        </w:rPr>
        <w:footnoteRef/>
      </w:r>
      <w:r>
        <w:t xml:space="preserve"> </w:t>
      </w:r>
      <w:r>
        <w:t xml:space="preserve">Riferimento economico adottato: la tabella unica consolidata distingue il risparmio diretto per il bilancio sanitario, prossimo al pareggio con il costo del servizio, dalle ricadute economico-sociali, che generano il ritorno complessivo (rapporto beneficio-costo dell’ordine di 3,6-5 a 1); la stima conservativa è adottata come riferimento, più difendibile di fronte agli organi di controllo, e quella più ottimistica è conservata come limite superiore. Le cifre sono ipotesi che lo studio è chiamato a verificare sui dati certificati.Questa parte copre il settimo dominio del modello HTA, il profilo organizzativo, e fornisce il contenuto del caso commerciale e del caso gestionale del Five Case Model, rispondendo al criterio di sostenibilità; risponde alla domanda se l’intervento, accertato valido, possa essere effettivamente attuato, reso finanziariamente sostenibile e mantenuto nel tempo.</w:t>
      </w:r>
    </w:p>
  </w:footnote>
  <w:footnote w:id="1086">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(gli esiti effettivi), l’adozione (l’adesione delle sedi e dei professionisti), l’implementazione (la fedeltà al modello e la qualità dell’attuazione) e il mantenimento (la sostenibilità nel tempo).</w:t>
      </w:r>
    </w:p>
  </w:footnote>
  <w:footnote w:id="1087">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e consente di individuare ex ante le barriere e i facilitatori.</w:t>
      </w:r>
    </w:p>
  </w:footnote>
  <w:footnote w:id="1088">
    <w:p>
      <w:pPr>
        <w:pStyle w:val="FootnoteText"/>
      </w:pPr>
      <w:r>
        <w:rPr>
          <w:rStyle w:val="FootnoteReference"/>
        </w:rPr>
        <w:footnoteRef/>
      </w:r>
      <w:r>
        <w:t xml:space="preserve"> </w:t>
      </w:r>
      <w:r>
        <w:t xml:space="preserve">Determinanti di implementazione e processo seguiti dallo studio (registro delle variabili): il tasso di copertura della popolazione, il grado di adozione delle sedi, la fedeltà al modello, la sostenibilità, i tempi di attivazione, il numero di psicologi reclutati e formati, la qualità della formazione e della supervisione, il grado di integrazione nei flussi di lavoro, l’aderenza ai percorsi, la scalabilità e il coinvolgimento dei portatori di interesse.</w:t>
      </w:r>
    </w:p>
  </w:footnote>
  <w:footnote w:id="1089">
    <w:p>
      <w:pPr>
        <w:pStyle w:val="FootnoteText"/>
      </w:pPr>
      <w:r>
        <w:rPr>
          <w:rStyle w:val="FootnoteReference"/>
        </w:rPr>
        <w:footnoteRef/>
      </w:r>
      <w:r>
        <w:t xml:space="preserve"> </w:t>
      </w:r>
      <w:r>
        <w:t xml:space="preserve">Disegno del dispiegamento scaglionato (piano operativo di implementazione): le sei aziende sanitarie locali passano in sequenza, per fasi semestrali, dalla condizione di controllo a quella di intervento, a partire dalle aziende di maggiore dimensione e prontezza organizzativa; l’ordine è definito dalla Giunta regionale sulla base di criteri trasparenti — prontezza organizzativa, entità del bisogno ed equilibrio territoriale — e reso noto preventivamente, con scansione adattabile fermo restando il principio della progressione ordinata e documentata.</w:t>
      </w:r>
    </w:p>
  </w:footnote>
  <w:footnote w:id="1090">
    <w:p>
      <w:pPr>
        <w:pStyle w:val="FootnoteText"/>
      </w:pPr>
      <w:r>
        <w:rPr>
          <w:rStyle w:val="FootnoteReference"/>
        </w:rPr>
        <w:footnoteRef/>
      </w:r>
      <w:r>
        <w:t xml:space="preserve"> </w:t>
      </w:r>
      <w:r>
        <w:t xml:space="preserve">Doppia funzione del dispiegamento scaglionato: esso risponde a un’esigenza organizzativa — attivare il servizio in modo graduale, compatibile con il reclutamento e la formazione — e al tempo stesso costituisce il fondamento della valutazione controfattuale d’impatto, poiché la successione temporale e territoriale dell’attivazione configura un esperimento naturale, oggetto della Parte L.</w:t>
      </w:r>
    </w:p>
  </w:footnote>
  <w:footnote w:id="1091">
    <w:p>
      <w:pPr>
        <w:pStyle w:val="FootnoteText"/>
      </w:pPr>
      <w:r>
        <w:rPr>
          <w:rStyle w:val="FootnoteReference"/>
        </w:rPr>
        <w:footnoteRef/>
      </w:r>
      <w:r>
        <w:t xml:space="preserve"> </w:t>
      </w:r>
      <w:r>
        <w:t xml:space="preserve">Reclutamento (piano operativo): a fronte di un fabbisogno a regime di 800-900 psicologi, il reclutamento avviene tramite l’iscrizione a un elenco istituito presso ciascuna azienda sanitaria locale e l’instaurazione di un rapporto convenzionale, con requisiti di iscrizione all’albo e di formazione specifica; in prima applicazione possono accedere i professionisti con pregressa esperienza nell’assistenza psicologica nel Servizio sanitario regionale.</w:t>
      </w:r>
    </w:p>
  </w:footnote>
  <w:footnote w:id="1092">
    <w:p>
      <w:pPr>
        <w:pStyle w:val="FootnoteText"/>
      </w:pPr>
      <w:r>
        <w:rPr>
          <w:rStyle w:val="FootnoteReference"/>
        </w:rPr>
        <w:footnoteRef/>
      </w:r>
      <w:r>
        <w:t xml:space="preserve"> </w:t>
      </w:r>
      <w:r>
        <w:t xml:space="preserve">Cronoprogramma (piano operativo): l’attivazione procede per sei fasi semestrali; le attività di reclutamento, formazione, allestimento e avvio procedono in modo scaglionato, azienda per azienda, mentre il monitoraggio e la valutazione accompagnano l’intero arco e proseguono oltre il completamento del dispiegamento.</w:t>
      </w:r>
    </w:p>
  </w:footnote>
  <w:footnote w:id="1093">
    <w:p>
      <w:pPr>
        <w:pStyle w:val="FootnoteText"/>
      </w:pPr>
      <w:r>
        <w:rPr>
          <w:rStyle w:val="FootnoteReference"/>
        </w:rPr>
        <w:footnoteRef/>
      </w:r>
      <w:r>
        <w:t xml:space="preserve"> </w:t>
      </w:r>
      <w:r>
        <w:t xml:space="preserve">Soglia di riuscita del dispiegamento: tra i parametri che muterebbero le conclusioni figura un tasso di recupero inferiore al 50% nella fase di attuazione, a fronte del valore di riferimento del programma inglese (dell’ordine del 50%); il monitoraggio della Parte L è chiamato a verificare il raggiungimento di tale soglia sui dati pugliesi.</w:t>
      </w:r>
    </w:p>
  </w:footnote>
  <w:footnote w:id="1094">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con un costo medio per incarico dell’ordine di 55.000 euro l’anno (circa 40 euro l’ora di costo-azienda per circa 1.250 ore, più circa 5.000 euro di costi generali), da cui discendono gli scenari di spesa di 25, 38 e 50 milioni di euro l’anno, fino a 60-75 a costi pieni; l’assetto è già sperimentato da altre Regioni.</w:t>
      </w:r>
    </w:p>
  </w:footnote>
  <w:footnote w:id="1095">
    <w:p>
      <w:pPr>
        <w:pStyle w:val="FootnoteText"/>
      </w:pPr>
      <w:r>
        <w:rPr>
          <w:rStyle w:val="FootnoteReference"/>
        </w:rPr>
        <w:footnoteRef/>
      </w:r>
      <w:r>
        <w:t xml:space="preserve"> </w:t>
      </w:r>
      <w:r>
        <w:t xml:space="preserve">Caso gestionale (Five Case Model): l’attuazione è governata su due livelli. A livello regionale, l’Osservatorio regionale per la psicologia di base, previsto dall’articolo 9 della proposta di legge, esercita le funzioni di indirizzo, programmazione, monitoraggio e controllo, definisce i criteri e l’ordine del dispiegamento, sovrintende ai programmi formativi e assicura l’uniformità, riunendo la Regione, le aziende, l’Ordine degli Psicologi, la medicina generale, la pediatria di libera scelta e gli esperti; a livello aziendale, ciascuna azienda è responsabile del reclutamento, delle sedi, dell’allestimento, dell’avvio e dell’alimentazione del sistema informativo.</w:t>
      </w:r>
    </w:p>
  </w:footnote>
  <w:footnote w:id="1096">
    <w:p>
      <w:pPr>
        <w:pStyle w:val="FootnoteText"/>
      </w:pPr>
      <w:r>
        <w:rPr>
          <w:rStyle w:val="FootnoteReference"/>
        </w:rPr>
        <w:footnoteRef/>
      </w:r>
      <w:r>
        <w:t xml:space="preserve"> </w:t>
      </w:r>
      <w:r>
        <w:t xml:space="preserve">Rischi attuativi e misure di mitigazione (piano operativo): i rischi principali — reclutamento insufficiente, debole adesione della medicina generale, interoperabilità incompleta dei sistemi informativi, disomogeneità territoriale, venir meno delle coperture — sono presidiati da misure dedicate, e il dispiegamento graduale costituisce esso stesso la principale forma di mitigazione, poiché consente di correggere il modello prima dell’estensione.</w:t>
      </w:r>
    </w:p>
  </w:footnote>
  <w:footnote w:id="1097">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la Missione 6 del Piano Nazionale di Ripresa e Resilienza per l’infrastruttura territoriale e digitale, i fondi nazionali in materia di salute mentale, il riutilizzo a regime di una quota dei risparmi diretti generati dal servizio e accordi intersettoriali con i settori del welfare, dell’invalidità e della produttività, su cui ricadono i benefici.</w:t>
      </w:r>
    </w:p>
  </w:footnote>
  <w:footnote w:id="1098">
    <w:p>
      <w:pPr>
        <w:pStyle w:val="FootnoteText"/>
      </w:pPr>
      <w:r>
        <w:rPr>
          <w:rStyle w:val="FootnoteReference"/>
        </w:rPr>
        <w:footnoteRef/>
      </w:r>
      <w:r>
        <w:t xml:space="preserve"> </w:t>
      </w:r>
      <w:r>
        <w:t xml:space="preserve">Vincoli di bilancio: a fronte di un finanziamento di circa 8,8 miliardi di euro e di un disavanzo di circa 350 milioni, in regime di piano di rientro, il costo del servizio (25-50 milioni) ne costituisce una frazione modesta, in larga parte compensata dai risparmi diretti, con pareggio finanziario atteso tra il terzo e il quinto anno.</w:t>
      </w:r>
    </w:p>
  </w:footnote>
  <w:footnote w:id="1099">
    <w:p>
      <w:pPr>
        <w:pStyle w:val="FootnoteText"/>
      </w:pPr>
      <w:r>
        <w:rPr>
          <w:rStyle w:val="FootnoteReference"/>
        </w:rPr>
        <w:footnoteRef/>
      </w:r>
      <w:r>
        <w:t xml:space="preserve"> </w:t>
      </w:r>
      <w:r>
        <w:t xml:space="preserve">Sostenibilità nel tempo (criterio OCSE-DAC): la sostenibilità è assicurata dalla modestia del costo rispetto al bilancio, dalla sua larga compensazione mediante i risparmi diretti e dall’allineamento, garantito dal dispiegamento graduale, tra la spesa e la capacità di reclutamento e formazione; la sostenibilità di lungo periodo richiede un finanziamento strutturale, non straordinario.</w:t>
      </w:r>
    </w:p>
  </w:footnote>
  <w:footnote w:id="1100">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cautela di trasferibilità; la sintesi del ritorno «quattro a uno» dell’Organizzazione mondiale della sanità è una semplificazione, poiché la fonte riporta intervalli dell’ordine di 2,3-3,0 a uno per i soli benefici economici e di 3,3-5,7 a uno includendo i ritorni di salute, coerenti con il rapporto consolidato adottato (3,6-5 a uno).</w:t>
      </w:r>
    </w:p>
  </w:footnote>
  <w:footnote w:id="1101">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 servizio per la sola finalità clinica; all’Osservatorio sono trasmessi esclusivamente indicatori aggregati e anonimi; il sistema informativo è interoperabile con il Fascicolo Sanitario Elettronico, su infrastruttura regionale sicura, con consenso modulare.</w:t>
      </w:r>
    </w:p>
  </w:footnote>
  <w:footnote w:id="1102">
    <w:p>
      <w:pPr>
        <w:pStyle w:val="FootnoteText"/>
      </w:pPr>
      <w:r>
        <w:rPr>
          <w:rStyle w:val="FootnoteReference"/>
        </w:rPr>
        <w:footnoteRef/>
      </w:r>
      <w:r>
        <w:t xml:space="preserve"> </w:t>
      </w:r>
      <w:r>
        <w:t xml:space="preserve">Strumenti di intelligenza artificiale impiegati come ausilio del clinico (copilota) e mai in sua sostituzione, con sorveglianza umana costante; validazione periodica degli algoritmi e monitoraggio dei bias; conformità al regolamento europeo sull’IA e alla disciplina sui dispositivi medici; è auspicata l’istituzione di un comitato etico-scientifico per l’IA in sanità, con AReSS e le università. La legge nazionale sull’IA agevola la sperimentazione qualificando i relativi trattamenti come di rilevante interesse pubblico.</w:t>
      </w:r>
    </w:p>
  </w:footnote>
  <w:footnote w:id="1103">
    <w:p>
      <w:pPr>
        <w:pStyle w:val="FootnoteText"/>
      </w:pPr>
      <w:r>
        <w:rPr>
          <w:rStyle w:val="FootnoteReference"/>
        </w:rPr>
        <w:footnoteRef/>
      </w:r>
      <w:r>
        <w:t xml:space="preserve"> </w:t>
      </w:r>
      <w:r>
        <w:t xml:space="preserve">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w:t>
      </w:r>
    </w:p>
  </w:footnote>
  <w:footnote w:id="1104">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di impatto, ed è l’ossatura del sistema di indicatori.</w:t>
      </w:r>
    </w:p>
  </w:footnote>
  <w:footnote w:id="1105">
    <w:p>
      <w:pPr>
        <w:pStyle w:val="FootnoteText"/>
      </w:pPr>
      <w:r>
        <w:rPr>
          <w:rStyle w:val="FootnoteReference"/>
        </w:rPr>
        <w:footnoteRef/>
      </w:r>
    </w:p>
  </w:footnote>
  <w:footnote w:id="1106">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di impatto, ed è l’ossatura del sistema di indicatori.Questa parte copre il quarto dominio del modello HTA, l’efficacia clinica, che insieme ai primi tre costituisce il nucleo della valutazione rapida di efficacia relativa; la sintesi dell’evidenza segue lo standard PRISMA 2020 e la sua certezza è graduata con il sistema GRADE.</w:t>
      </w:r>
    </w:p>
  </w:footnote>
  <w:footnote w:id="1107">
    <w:p>
      <w:pPr>
        <w:pStyle w:val="FootnoteText"/>
      </w:pPr>
      <w:r>
        <w:rPr>
          <w:rStyle w:val="FootnoteReference"/>
        </w:rPr>
        <w:footnoteRef/>
      </w:r>
      <w:r>
        <w:t xml:space="preserve"> </w:t>
      </w:r>
      <w:r>
        <w:t xml:space="preserve">Standard di reporting e di conduzione: la lista PRISMA 2020 per la revisione sistematica (strategia di ricerca, selezione, estrazione e sintesi) e la lista STROBE per gli studi osservazionali sui dati reali.</w:t>
      </w:r>
    </w:p>
  </w:footnote>
  <w:footnote w:id="1108">
    <w:p>
      <w:pPr>
        <w:pStyle w:val="FootnoteText"/>
      </w:pPr>
      <w:r>
        <w:rPr>
          <w:rStyle w:val="FootnoteReference"/>
        </w:rPr>
        <w:footnoteRef/>
      </w:r>
      <w:r>
        <w:t xml:space="preserve"> </w:t>
      </w:r>
      <w:r>
        <w:t xml:space="preserve">Collaborative Care Model: paradigma di integrazione della salute mentale nelle cure primarie validato da oltre novanta studi randomizzati controllati; uno studio fondativo (JAMA, 2002) documentò che circa la metà dei pazienti otteneva una riduzione dei sintomi pari almeno al 50% a dodici mesi, contro il 19% della cura usuale.</w:t>
      </w:r>
    </w:p>
  </w:footnote>
  <w:footnote w:id="1109">
    <w:p>
      <w:pPr>
        <w:pStyle w:val="FootnoteText"/>
      </w:pPr>
      <w:r>
        <w:rPr>
          <w:rStyle w:val="FootnoteReference"/>
        </w:rPr>
        <w:footnoteRef/>
      </w:r>
      <w:r>
        <w:t xml:space="preserve"> </w:t>
      </w:r>
      <w:r>
        <w:t xml:space="preserve">Woltmann e colleghi (American Journal of Psychiatry, 2012): meta-analisi su cinquantasette studi controllati, con un miglioramento medio dei sintomi depressivi pari a 0,28 deviazioni standard, oltre a miglioramenti nell’aderenza ai trattamenti e nel funzionamento globale.</w:t>
      </w:r>
    </w:p>
  </w:footnote>
  <w:footnote w:id="1110">
    <w:p>
      <w:pPr>
        <w:pStyle w:val="FootnoteText"/>
      </w:pPr>
      <w:r>
        <w:rPr>
          <w:rStyle w:val="FootnoteReference"/>
        </w:rPr>
        <w:footnoteRef/>
      </w:r>
      <w:r>
        <w:t xml:space="preserve"> </w:t>
      </w:r>
      <w:r>
        <w:t xml:space="preserve">Revisione sistematica (BMC Primary Care, 2024) su quarantadue implementazioni del Collaborative Care Model in Europa, Nord America e Australia: riduzione media dei sintomi depressivi del 47% a sei mesi (PHQ-9), dei sintomi ansiosi del 43% (GAD-7), miglioramento del funzionamento globale del 38%, riduzione dei giorni di assenza dal lavoro del 28%, degli accessi al pronto soccorso per sintomi psicosomatici del 34% e dei ricoveri psichiatrici del 41%.</w:t>
      </w:r>
    </w:p>
  </w:footnote>
  <w:footnote w:id="1111">
    <w:p>
      <w:pPr>
        <w:pStyle w:val="FootnoteText"/>
      </w:pPr>
      <w:r>
        <w:rPr>
          <w:rStyle w:val="FootnoteReference"/>
        </w:rPr>
        <w:footnoteRef/>
      </w:r>
      <w:r>
        <w:t xml:space="preserve"> </w:t>
      </w:r>
      <w:r>
        <w:t xml:space="preserve">Strumenti di esito validati e impiegati in tutti i programmi: il PHQ-9 per i sintomi depressivi (sensibilità 88%, specificità 85%) e il GAD-7 per i sintomi d’ansia (sensibilità 89%, specificità 82%).</w:t>
      </w:r>
    </w:p>
  </w:footnote>
  <w:footnote w:id="1112">
    <w:p>
      <w:pPr>
        <w:pStyle w:val="FootnoteText"/>
      </w:pPr>
      <w:r>
        <w:rPr>
          <w:rStyle w:val="FootnoteReference"/>
        </w:rPr>
        <w:footnoteRef/>
      </w:r>
      <w:r>
        <w:t xml:space="preserve"> </w:t>
      </w:r>
      <w:r>
        <w:t xml:space="preserve">Meta-analisi sulle cure integrate nelle cure primarie: miglioramento statisticamente significativo e clinicamente rilevante dei sintomi depressivi, con coefficiente beta standardizzato di −0,11 (intervallo di confidenza al 95% da −0,20 a −0,01; valore p pari a 0,03); una magnitudine modesta sul piano statistico ma sostanziale su scala di popolazione, poiché sposta una quota di individui al di sotto delle soglie cliniche.</w:t>
      </w:r>
    </w:p>
  </w:footnote>
  <w:footnote w:id="1113">
    <w:p>
      <w:pPr>
        <w:pStyle w:val="FootnoteText"/>
      </w:pPr>
      <w:r>
        <w:rPr>
          <w:rStyle w:val="FootnoteReference"/>
        </w:rPr>
        <w:footnoteRef/>
      </w:r>
      <w:r>
        <w:t xml:space="preserve"> </w:t>
      </w:r>
      <w:r>
        <w:t xml:space="preserve">Sistema GRADE per la graduazione della certezza dell’evidenza, fondato sulla valutazione del rischio di bias, dell’incoerenza, dell’indirettezza, dell’imprecisione e del bias di pubblicazione, dal quale discende un giudizio di certezza alta, moderata, bassa o molto bassa.</w:t>
      </w:r>
    </w:p>
  </w:footnote>
  <w:footnote w:id="1114">
    <w:p>
      <w:pPr>
        <w:pStyle w:val="FootnoteText"/>
      </w:pPr>
      <w:r>
        <w:rPr>
          <w:rStyle w:val="FootnoteReference"/>
        </w:rPr>
        <w:footnoteRef/>
      </w:r>
      <w:r>
        <w:t xml:space="preserve"> </w:t>
      </w:r>
      <w:r>
        <w:t xml:space="preserve">Programma inglese di terapie psicologiche (NHS Talking Therapies, già IAPT; dati NHS England Digital, settembre 2024): oltre 1,3 milioni di persone trattate nell’anno 2023-2024, con tasso di recupero del 50,2% e tasso di miglioramento clinicamente significativo del 67,8% tra chi completa almeno due sedute, e completezza dei dati di esito superiore al 98%, considerata il riferimento internazionale; il programma opera su un bacino di oltre 56 milioni di persone.</w:t>
      </w:r>
    </w:p>
  </w:footnote>
  <w:footnote w:id="1115">
    <w:p>
      <w:pPr>
        <w:pStyle w:val="FootnoteText"/>
      </w:pPr>
      <w:r>
        <w:rPr>
          <w:rStyle w:val="FootnoteReference"/>
        </w:rPr>
        <w:footnoteRef/>
      </w:r>
    </w:p>
  </w:footnote>
  <w:footnote w:id="1116">
    <w:p>
      <w:pPr>
        <w:pStyle w:val="FootnoteText"/>
      </w:pPr>
      <w:r>
        <w:rPr>
          <w:rStyle w:val="FootnoteReference"/>
        </w:rPr>
        <w:footnoteRef/>
      </w:r>
      <w:r>
        <w:t xml:space="preserve"> </w:t>
      </w:r>
      <w:r>
        <w:t xml:space="preserve">Programma inglese di terapie psicologiche (NHS Talking Therapies, già IAPT; dati NHS England Digital, settembre 2024): oltre 1,3 milioni di persone trattate nell’anno 2023-2024, con tasso di recupero del 50,2% e tasso di miglioramento clinicamente significativo del 67,8% tra chi completa almeno due sedute, e completezza dei dati di esito superiore al 98%, considerata il riferimento internazionale; il programma opera su un bacino di oltre 56 milioni di persone.Questa parte organizza la misurazione dell’intervento nel tempo: serve ex post i criteri della griglia di giudizio, chiude il ciclo aperto dall’analisi preventiva della regolamentazione e fornisce il fondamento empirico delle stime delle parti precedenti; la verifica onesta della completezza del progetto conduce a una conclusione netta — al progetto non manca un’architettura, ma il radicamento nei dati e l’avvio della misurazione, sicché le lacune residue sono di fondamento e di attivazione, non di disegno.</w:t>
      </w:r>
    </w:p>
  </w:footnote>
  <w:footnote w:id="1117">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di impatto, e costituisce l’ossatura del sistema di indicatori.</w:t>
      </w:r>
    </w:p>
  </w:footnote>
  <w:footnote w:id="1118">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circa quaranta richiedono la rilevazione diretta del servizio.</w:t>
      </w:r>
    </w:p>
  </w:footnote>
  <w:footnote w:id="1119">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e condiviso di esiti da misurare, prassi che fonda la selezione di un sottoinsieme prioritario di variabili ed evita la proliferazione di misure ridondanti.</w:t>
      </w:r>
    </w:p>
  </w:footnote>
  <w:footnote w:id="1120">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e variabili di sintesi (da calcolare).</w:t>
      </w:r>
    </w:p>
  </w:footnote>
  <w:footnote w:id="1121">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costituisce la fonte dei circa quaranta indicatori che il servizio deve rilevare in proprio e che non sono ricavabili dalle statistiche correnti.</w:t>
      </w:r>
    </w:p>
  </w:footnote>
  <w:footnote w:id="1122">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123">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 il tasso di recupero conseguito è dell’ordine del 50%.</w:t>
      </w:r>
    </w:p>
  </w:footnote>
  <w:footnote w:id="1124">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vanno registrati subito; la rilevazione di servizio parte con il primo assistito, nel principio che ogni mese di ritardo è un mese di dati di base perduti, non recuperabili a posteriori.</w:t>
      </w:r>
    </w:p>
  </w:footnote>
  <w:footnote w:id="1125">
    <w:p>
      <w:pPr>
        <w:pStyle w:val="FootnoteText"/>
      </w:pPr>
      <w:r>
        <w:rPr>
          <w:rStyle w:val="FootnoteReference"/>
        </w:rPr>
        <w:footnoteRef/>
      </w:r>
      <w:r>
        <w:t xml:space="preserve"> </w:t>
      </w:r>
      <w:r>
        <w:t xml:space="preserve">Calendario della rilevazione: prima dell’avvio, costituzione della baseline con i dati disponibili e predisposizione del registro e dei questionari; all’avvio, inizio della registrazione di ogni presa in carico e di ogni seduta; in continuo, alimentazione del registro e trasmissione di indicatori aggregati all’Osservatorio con cadenza mensile; periodicamente, con cadenza semestrale e annuale, calcolo delle misure di sintesi e aggiornamento del cruscotto regionale.</w:t>
      </w:r>
    </w:p>
  </w:footnote>
  <w:footnote w:id="1126">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assenza dell’intervento; il dispiegamento scaglionato funge da esperimento naturale, e si avvale della differenza-nelle-differenze e del controllo sintetico.</w:t>
      </w:r>
    </w:p>
  </w:footnote>
  <w:footnote w:id="1127">
    <w:p>
      <w:pPr>
        <w:pStyle w:val="FootnoteText"/>
      </w:pPr>
      <w:r>
        <w:rPr>
          <w:rStyle w:val="FootnoteReference"/>
        </w:rPr>
        <w:footnoteRef/>
      </w:r>
      <w:r>
        <w:t xml:space="preserve"> </w:t>
      </w:r>
      <w:r>
        <w:t xml:space="preserve">Differenza-nelle-differenze: confronta la variazione nel tempo dell’esito tra le aree già attivate e quelle non ancora attivate, sotto l’ipotesi di andamento parallelo, ossia che i gruppi avrebbero evoluto in modo simile in assenza dell’intervento; il controllo sintetico costruisce un’unità di confronto artificiale come combinazione ponderata di unità non trattate.</w:t>
      </w:r>
    </w:p>
  </w:footnote>
  <w:footnote w:id="1128">
    <w:p>
      <w:pPr>
        <w:pStyle w:val="FootnoteText"/>
      </w:pPr>
      <w:r>
        <w:rPr>
          <w:rStyle w:val="FootnoteReference"/>
        </w:rPr>
        <w:footnoteRef/>
      </w:r>
      <w:r>
        <w:t xml:space="preserve"> </w:t>
      </w:r>
      <w:r>
        <w:t xml:space="preserve">Effetti stimati e validità: l’analisi restituisce l’effetto medio sull’intera popolazione e l’effetto medio sui soli trattati; i metodi rigorosi garantiscono la validità interna, ossia che l’effetto sia realmente attribuibile all’intervento, mentre la validità esterna, ossia la generalizzabilità, va valutata a parte; il Consiglio per la ricerca medica del Regno Unito raccomanda i disegni a esperimento naturale per gli interventi di salute della popolazione.</w:t>
      </w:r>
    </w:p>
  </w:footnote>
  <w:footnote w:id="1129">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aree che hanno attivato il servizio con quello delle aree che lo attiveranno, si isola l’effetto proprio della riforma da eventuali tendenze generali, e si trasforma la stima dei risparmi da proiezione attesa a misura empiricamente fondata.</w:t>
      </w:r>
    </w:p>
  </w:footnote>
  <w:footnote w:id="1130">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dell’utilità e della coerenza della norma, e chiude il ciclo aperto dall’analisi preventiva (AIR) accertando se la norma abbia prodotto gli effetti attesi.</w:t>
      </w:r>
    </w:p>
  </w:footnote>
  <w:footnote w:id="1131">
    <w:p>
      <w:pPr>
        <w:pStyle w:val="FootnoteText"/>
      </w:pPr>
      <w:r>
        <w:rPr>
          <w:rStyle w:val="FootnoteReference"/>
        </w:rPr>
        <w:footnoteRef/>
      </w:r>
      <w:r>
        <w:t xml:space="preserve"> </w:t>
      </w:r>
      <w:r>
        <w:t xml:space="preserve">Clausola valutativa: sul piano regionale, impegna la Giunta a riferire periodicamente al Consiglio sui risultati conseguiti; è il passaggio che distingue una riforma annunciata da una riforma dimostrata e ne assicura la difendibilità nel tempo.</w:t>
      </w:r>
    </w:p>
  </w:footnote>
  <w:footnote w:id="1132">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 quadro teorico, selezione dei dati, imputazione dei dati mancanti, analisi multivariata, normalizzazione, ponderazione, aggregazione, analisi di sensibilità, collegamento ad altre misure e visualizzazione — con la scelta dei pesi e del metodo di aggregazione resa esplicita, perché da essa dipende il risultato.</w:t>
      </w:r>
    </w:p>
  </w:footnote>
  <w:footnote w:id="1133">
    <w:p>
      <w:pPr>
        <w:pStyle w:val="FootnoteText"/>
      </w:pPr>
      <w:r>
        <w:rPr>
          <w:rStyle w:val="FootnoteReference"/>
        </w:rPr>
        <w:footnoteRef/>
      </w:r>
      <w:r>
        <w:t xml:space="preserve"> </w:t>
      </w:r>
      <w:r>
        <w:t xml:space="preserve">Benessere Equo e Sostenibile (BES), ISTAT: dodici domini con indici compositi; con la legge n. 163/2016 di riforma del bilancio, dodici indicatori BES sono allegati ai documenti di programmazione economica, il che rende il BES la cornice nazionale di sintesi multidimensionale a cui il cruscotto si ancora.</w:t>
      </w:r>
    </w:p>
  </w:footnote>
  <w:footnote w:id="1134">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 non come variabile semplice, come proprie ramificazioni e come componente di una misura complessa che già la incorpora; le variabili ramificate non si sommano tra loro né con la variabile-genitore, e le misure complesse sostituiscono, non si aggiungono a, le componenti che sintetizzano.</w:t>
      </w:r>
    </w:p>
  </w:footnote>
  <w:footnote w:id="1135">
    <w:p>
      <w:pPr>
        <w:pStyle w:val="FootnoteText"/>
      </w:pPr>
      <w:r>
        <w:rPr>
          <w:rStyle w:val="FootnoteReference"/>
        </w:rPr>
        <w:footnoteRef/>
      </w:r>
      <w:r>
        <w:t xml:space="preserve"> </w:t>
      </w:r>
      <w:r>
        <w:t xml:space="preserve">Programma inglese di terapie psicologiche (NHS Talking Therapies, già IAPT; dati NHS England Digital, settembre 2024): oltre 1,3 milioni di persone trattate nell’anno 2023-2024, con tasso di recupero del 50,2% e tasso di miglioramento clinicamente significativo del 67,8% tra chi completa almeno due sedute, e completezza dei dati di esito superiore al 98%, considerata il riferimento internazionale; il programma opera su un bacino di oltre 56 milioni di persone.</w:t>
      </w:r>
    </w:p>
  </w:footnote>
  <w:footnote w:id="1136">
    <w:p>
      <w:pPr>
        <w:pStyle w:val="FootnoteText"/>
      </w:pPr>
      <w:r>
        <w:rPr>
          <w:rStyle w:val="FootnoteReference"/>
        </w:rPr>
        <w:footnoteRef/>
      </w:r>
      <w:r>
        <w:t xml:space="preserve"> </w:t>
      </w:r>
      <w:r>
        <w:t xml:space="preserve">Modello olandese (POH-GGZ): l’adozione da parte dei medici di medicina generale è cresciuta da circa un terzo nel 2011 a circa tre quarti nel 2014, con circa seimila psicologi delle cure primarie, finanziamento nell’assicurazione di base e ruolo complementare e non sostitutivo rispetto alla cura ordinaria (Magnée e colleghi, BMJ Open, 2016).</w:t>
      </w:r>
    </w:p>
  </w:footnote>
  <w:footnote w:id="1137">
    <w:p>
      <w:pPr>
        <w:pStyle w:val="FootnoteText"/>
      </w:pPr>
      <w:r>
        <w:rPr>
          <w:rStyle w:val="FootnoteReference"/>
        </w:rPr>
        <w:footnoteRef/>
      </w:r>
      <w:r>
        <w:t xml:space="preserve"> </w:t>
      </w:r>
      <w:r>
        <w:t xml:space="preserve">Iniziativa australiana Better Access (dal 2006): oltre venti milioni di prestazioni a più di tre milioni di persone in dieci anni, con un aumento del tasso di trattamento dei disturbi mentali dal 35% al 46% e il 91% dei pazienti che riferisce miglioramenti marcati, a un costo medio di circa 753 dollari australiani (circa 470 euro) per paziente; il modello opera per invio esterno e non per integrazione dello psicologo nell’équipe.</w:t>
      </w:r>
    </w:p>
  </w:footnote>
  <w:footnote w:id="1138">
    <w:p>
      <w:pPr>
        <w:pStyle w:val="FootnoteText"/>
      </w:pPr>
      <w:r>
        <w:rPr>
          <w:rStyle w:val="FootnoteReference"/>
        </w:rPr>
        <w:footnoteRef/>
      </w:r>
      <w:r>
        <w:t xml:space="preserve"> </w:t>
      </w:r>
      <w:r>
        <w:t xml:space="preserve">Collaborative Care Model: paradigma di integrazione della salute mentale nelle cure primarie validato da oltre novanta studi randomizzati controllati; uno studio fondativo (JAMA, 2002) documentò che circa la metà dei pazienti otteneva una riduzione dei sintomi pari almeno al 50% a dodici mesi, contro il 19% della cura usuale.</w:t>
      </w:r>
    </w:p>
  </w:footnote>
  <w:footnote w:id="1139">
    <w:p>
      <w:pPr>
        <w:pStyle w:val="FootnoteText"/>
      </w:pPr>
      <w:r>
        <w:rPr>
          <w:rStyle w:val="FootnoteReference"/>
        </w:rPr>
        <w:footnoteRef/>
      </w:r>
      <w:r>
        <w:t xml:space="preserve"> </w:t>
      </w:r>
      <w:r>
        <w:t xml:space="preserve">Trasferibilità e differenze di assetto: i programmi integrati (inglese e olandese) collocano il professionista nelle cure primarie, mentre il modello australiano opera per invio esterno; il modello pugliese, fondato sull’inserimento dello psicologo nelle cure primarie con funzione di filtro, è prossimo ai primi e ne mutua le evidenze con maggiore pertinenza.</w:t>
      </w:r>
    </w:p>
  </w:footnote>
  <w:footnote w:id="1140">
    <w:p>
      <w:pPr>
        <w:pStyle w:val="FootnoteText"/>
      </w:pPr>
      <w:r>
        <w:rPr>
          <w:rStyle w:val="FootnoteReference"/>
        </w:rPr>
        <w:footnoteRef/>
      </w:r>
      <w:r>
        <w:t xml:space="preserve"> </w:t>
      </w:r>
      <w:r>
        <w:t xml:space="preserve">Esperienze italiane di psicologia nelle cure primarie, tra cui il modello Solano nel Lazio, che hanno anticipato su scala locale l’integrazione del professionista psicologo nelle cure primarie.</w:t>
      </w:r>
    </w:p>
  </w:footnote>
  <w:footnote w:id="1141">
    <w:p>
      <w:pPr>
        <w:pStyle w:val="FootnoteText"/>
      </w:pPr>
      <w:r>
        <w:rPr>
          <w:rStyle w:val="FootnoteReference"/>
        </w:rPr>
        <w:footnoteRef/>
      </w:r>
      <w:r>
        <w:t xml:space="preserve"> </w:t>
      </w:r>
      <w:r>
        <w:t xml:space="preserve">Trasferibilità e differenze di assetto: i programmi integrati (inglese e olandese) collocano il professionista nelle cure primarie, mentre il modello australiano opera per invio esterno; il modello pugliese, fondato sull’inserimento dello psicologo nelle cure primarie con funzione di filtro, è prossimo ai primi e ne mutua le evidenze con maggiore pertinenza.</w:t>
      </w:r>
    </w:p>
  </w:footnote>
  <w:footnote w:id="1142">
    <w:p>
      <w:pPr>
        <w:pStyle w:val="FootnoteText"/>
      </w:pPr>
      <w:r>
        <w:rPr>
          <w:rStyle w:val="FootnoteReference"/>
        </w:rPr>
        <w:footnoteRef/>
      </w:r>
      <w:r>
        <w:t xml:space="preserve"> </w:t>
      </w:r>
      <w:r>
        <w:t xml:space="preserve">Cautele di trasferibilità: le differenze di sistema sanitario, di copertura di partenza, di fattori culturali — segnatamente la sotto-rilevazione documentata in Puglia — e di organico impongono un’applicazione prudenziale degli effetti documentati, coerente con la correzione per ottimismo adottata nel caso di riferimento.</w:t>
      </w:r>
    </w:p>
  </w:footnote>
  <w:footnote w:id="1143">
    <w:p>
      <w:pPr>
        <w:pStyle w:val="FootnoteText"/>
      </w:pPr>
      <w:r>
        <w:rPr>
          <w:rStyle w:val="FootnoteReference"/>
        </w:rPr>
        <w:footnoteRef/>
      </w:r>
      <w:r>
        <w:t xml:space="preserve"> </w:t>
      </w:r>
      <w:r>
        <w:t xml:space="preserve">Verifica locale: il dispiegamento scaglionato del servizio tra le aziende (stepped-wedge), oggetto della Parte L, è chiamato a verificare empiricamente sui dati pugliesi gli effetti attesi dalla letteratura, trasformando le stime in prove.</w:t>
      </w:r>
    </w:p>
  </w:footnote>
  <w:footnote w:id="1144">
    <w:p>
      <w:pPr>
        <w:pStyle w:val="FootnoteText"/>
      </w:pPr>
      <w:r>
        <w:rPr>
          <w:rStyle w:val="FootnoteReference"/>
        </w:rPr>
        <w:footnoteRef/>
      </w:r>
      <w:r>
        <w:t xml:space="preserve"> </w:t>
      </w:r>
      <w:r>
        <w:t xml:space="preserve">Confronto economico: i ritorni economici dei programmi internazionali sono trattati, distintamente dagli esiti clinici, nella Parte E, ove il caso pugliese adotta la stima conservativa consolidata, che distingue il risparmio diretto dalle ricadute sociali.</w:t>
      </w:r>
    </w:p>
  </w:footnote>
  <w:footnote w:id="1145">
    <w:p>
      <w:pPr>
        <w:pStyle w:val="FootnoteText"/>
      </w:pPr>
      <w:r>
        <w:rPr>
          <w:rStyle w:val="FootnoteReference"/>
        </w:rPr>
        <w:footnoteRef/>
      </w:r>
      <w:r>
        <w:t xml:space="preserve"> </w:t>
      </w:r>
      <w:r>
        <w:t xml:space="preserve">Buone pratiche emergenti dell’ISPOR per l’analisi multi-criterio: definiscono i passi della ponderazione esplicita dei criteri non monetari e la costruzione della matrice delle prestazioni.</w:t>
      </w:r>
    </w:p>
  </w:footnote>
  <w:footnote w:id="1146">
    <w:p>
      <w:pPr>
        <w:pStyle w:val="FootnoteText"/>
      </w:pPr>
      <w:r>
        <w:rPr>
          <w:rStyle w:val="FootnoteReference"/>
        </w:rPr>
        <w:footnoteRef/>
      </w:r>
      <w:r>
        <w:t xml:space="preserve"> </w:t>
      </w:r>
      <w:r>
        <w:t xml:space="preserve">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w:t>
      </w:r>
    </w:p>
  </w:footnote>
  <w:footnote w:id="1147">
    <w:p>
      <w:pPr>
        <w:pStyle w:val="FootnoteText"/>
      </w:pPr>
      <w:r>
        <w:rPr>
          <w:rStyle w:val="FootnoteReference"/>
        </w:rPr>
        <w:footnoteRef/>
      </w:r>
      <w:r>
        <w:t xml:space="preserve"> </w:t>
      </w:r>
      <w:r>
        <w:t xml:space="preserve">Caso di riferimento adottato: doppia prospettiva del Servizio sanitario regionale e della società, orizzonte pluriennale per gli esiti e triennale-quinquennale per il bilancio, tasso di sconto del 3% annuo, anni di vita ponderati per la qualità ed esiti clinici come misure, servizio attuale come comparatore.</w:t>
      </w:r>
    </w:p>
  </w:footnote>
  <w:footnote w:id="1148">
    <w:p>
      <w:pPr>
        <w:pStyle w:val="FootnoteText"/>
      </w:pPr>
      <w:r>
        <w:rPr>
          <w:rStyle w:val="FootnoteReference"/>
        </w:rPr>
        <w:footnoteRef/>
      </w:r>
      <w:r>
        <w:t xml:space="preserve"> </w:t>
      </w:r>
      <w:r>
        <w:t xml:space="preserve">Sintesi dell’evidenza e sua qualità: la lista PRISMA 2020 per le revisioni sistematiche, il sistema GRADE per la certezza dell’evidenza e la lista STROBE per gli studi osservazionali sui dati reali.</w:t>
      </w:r>
    </w:p>
  </w:footnote>
  <w:footnote w:id="1149">
    <w:p>
      <w:pPr>
        <w:pStyle w:val="FootnoteText"/>
      </w:pPr>
      <w:r>
        <w:rPr>
          <w:rStyle w:val="FootnoteReference"/>
        </w:rPr>
        <w:footnoteRef/>
      </w:r>
      <w:r>
        <w:t xml:space="preserve"> </w:t>
      </w:r>
      <w:r>
        <w:t xml:space="preserve">Generalizzazione regionale: l’architettura, il caso di riferimento, i metodi e gli standard di reporting sono fissi e comuni; varia il solo insieme dei dati di ingresso che ciascuna regione fornisce, e la comparabilità tra regioni è garantita dall’uniformità del caso di riferimento e dell’insieme degli indicatori.</w:t>
      </w:r>
    </w:p>
  </w:footnote>
  <w:footnote w:id="1150">
    <w:p>
      <w:pPr>
        <w:pStyle w:val="FootnoteText"/>
      </w:pPr>
      <w:r>
        <w:rPr>
          <w:rStyle w:val="FootnoteReference"/>
        </w:rPr>
        <w:footnoteRef/>
      </w:r>
      <w:r>
        <w:t xml:space="preserve"> </w:t>
      </w:r>
      <w:r>
        <w:t xml:space="preserve">La tesi centrale è articolata in tre affermazioni congiunte: il servizio costa al bilancio sanitario una cifra modesta e quasi interamente compensata; restituisce alla collettività un valore dell’ordine di quattro euro per ogni euro speso; e adempie all’obbligo di garantire i livelli essenziali, intercettando un bisogno largamente inevaso.</w:t>
      </w:r>
    </w:p>
  </w:footnote>
  <w:footnote w:id="1151">
    <w:p>
      <w:pPr>
        <w:pStyle w:val="FootnoteText"/>
      </w:pPr>
      <w:r>
        <w:rPr>
          <w:rStyle w:val="FootnoteReference"/>
        </w:rPr>
        <w:footnoteRef/>
      </w:r>
      <w:r>
        <w:t xml:space="preserve"> </w:t>
      </w:r>
      <w:r>
        <w:t xml:space="preserve">Mappa di integrazione: le parti seguono l’ordine dei domini HTA, accolgono i casi del Five Case Model nelle sedi pertinenti, riservano alla valutazione economica il reporting CHEERS e culminano nella sintesi secondo i criteri OCSE-DAC.</w:t>
      </w:r>
    </w:p>
  </w:footnote>
  <w:footnote w:id="1152">
    <w:p>
      <w:pPr>
        <w:pStyle w:val="FootnoteText"/>
      </w:pPr>
      <w:r>
        <w:rPr>
          <w:rStyle w:val="FootnoteReference"/>
        </w:rPr>
        <w:footnoteRef/>
      </w:r>
    </w:p>
  </w:footnote>
  <w:footnote w:id="1153">
    <w:p>
      <w:pPr>
        <w:pStyle w:val="FootnoteText"/>
      </w:pPr>
      <w:r>
        <w:rPr>
          <w:rStyle w:val="FootnoteReference"/>
        </w:rPr>
        <w:footnoteRef/>
      </w:r>
      <w:r>
        <w:t xml:space="preserve"> </w:t>
      </w:r>
      <w:r>
        <w:t xml:space="preserve">Mappa di integrazione: le parti seguono l’ordine dei domini HTA, accolgono i casi del Five Case Model nelle sedi pertinenti, riservano alla valutazione economica il reporting CHEERS e culminano nella sintesi secondo i criteri OCSE-DAC.Questa parte conclusiva applica la griglia di giudizio del telaio, i criteri dell’OCSE-DAC, che attraversano l’intero studio e convergono nella sintesi; fornisce inoltre il contenuto del caso strategico del Five Case Model, ricomponendo le evidenze delle parti precedenti in una valutazione di merito e in raccomandazioni per il decisore.</w:t>
      </w:r>
    </w:p>
  </w:footnote>
  <w:footnote w:id="1154">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da applicare in modo contestuale e non meccanico; esse operano ex ante, orientando la valutazione complessiva, ed ex post, strutturando la verifica dei risultati attraverso la verifica di impatto della regolamentazione e la clausola valutativa.</w:t>
      </w:r>
    </w:p>
  </w:footnote>
  <w:footnote w:id="1155">
    <w:p>
      <w:pPr>
        <w:pStyle w:val="FootnoteText"/>
      </w:pPr>
      <w:r>
        <w:rPr>
          <w:rStyle w:val="FootnoteReference"/>
        </w:rPr>
        <w:footnoteRef/>
      </w:r>
      <w:r>
        <w:t xml:space="preserve"> </w:t>
      </w:r>
      <w:r>
        <w:t xml:space="preserve">Rilevanza: l’intervento risponde a un bisogno reale e di grande dimensione — dell’ordine di 780.000 persone con disagio comune in larga parte non intercettato, lungo un gradiente sociale — e all’obbligo di garantire i livelli essenziali (Parti B e G).</w:t>
      </w:r>
    </w:p>
  </w:footnote>
  <w:footnote w:id="1156">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con gli indirizzi nazionali sulla salute mentale e con la legge regionale n. 11/2023, ed è costituzionalmente difendibile (Corte costituzionale, sentenza n. 241/2021) (Parti H e I).</w:t>
      </w:r>
    </w:p>
  </w:footnote>
  <w:footnote w:id="1157">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 con tassi di recupero dell’ordine del 50% nel programma inglese e riduzioni consistenti dei sintomi nelle revisioni sistematiche (Parte D).</w:t>
      </w:r>
    </w:p>
  </w:footnote>
  <w:footnote w:id="1158">
    <w:p>
      <w:pPr>
        <w:pStyle w:val="FootnoteText"/>
      </w:pPr>
      <w:r>
        <w:rPr>
          <w:rStyle w:val="FootnoteReference"/>
        </w:rPr>
        <w:footnoteRef/>
      </w:r>
      <w:r>
        <w:t xml:space="preserve"> </w:t>
      </w:r>
      <w:r>
        <w:t xml:space="preserve">Efficienza: l’intervento è favorevole in termini di costo-utilità — con dominanza per paziente e costo-efficacia confermata nell’88,9% delle simulazioni — mentre sul solo bilancio sanitario il saldo diretto è prossimo al pareggio, a fronte di un costo che ne costituisce una frazione modesta (Parti E e F).</w:t>
      </w:r>
    </w:p>
  </w:footnote>
  <w:footnote w:id="1159">
    <w:p>
      <w:pPr>
        <w:pStyle w:val="FootnoteText"/>
      </w:pPr>
      <w:r>
        <w:rPr>
          <w:rStyle w:val="FootnoteReference"/>
        </w:rPr>
        <w:footnoteRef/>
      </w:r>
      <w:r>
        <w:t xml:space="preserve"> </w:t>
      </w:r>
      <w:r>
        <w:t xml:space="preserve">Impatto: l’impatto distributivo è favorevole, poiché i benefici si concentrano tra le popolazioni deprivate riducendo il gradiente sociale, e il ritorno complessivo — comprensivo delle ricadute sociali, dell’ordine di 70-200 milioni l’anno — corrisponde a un rapporto beneficio-costo di 3,6-5 a uno (Parti E e G).</w:t>
      </w:r>
    </w:p>
  </w:footnote>
  <w:footnote w:id="1160">
    <w:p>
      <w:pPr>
        <w:pStyle w:val="FootnoteText"/>
      </w:pPr>
      <w:r>
        <w:rPr>
          <w:rStyle w:val="FootnoteReference"/>
        </w:rPr>
        <w:footnoteRef/>
      </w:r>
      <w:r>
        <w:t xml:space="preserve"> </w:t>
      </w:r>
      <w:r>
        <w:t xml:space="preserve">Sostenibilità: l’intervento è finanziariamente sostenibile — a fronte di un costo modesto, di una pluralità di coperture e di un pareggio finanziario atteso tra il terzo e il quinto anno — e organizzativamente fattibile, grazie al dispiegamento graduale (Parte I).</w:t>
      </w:r>
    </w:p>
  </w:footnote>
  <w:footnote w:id="1161">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e la solidità dell’evidenza — attribuendo a ciascun criterio un peso e a ciascuna opzione un punteggio, e aggregandoli in un punteggio complessivo.</w:t>
      </w:r>
    </w:p>
  </w:footnote>
  <w:footnote w:id="1162">
    <w:p>
      <w:pPr>
        <w:pStyle w:val="FootnoteText"/>
      </w:pPr>
      <w:r>
        <w:rPr>
          <w:rStyle w:val="FootnoteReference"/>
        </w:rPr>
        <w:footnoteRef/>
      </w:r>
      <w:r>
        <w:t xml:space="preserve"> </w:t>
      </w:r>
      <w:r>
        <w:t xml:space="preserve">Risultato dell’analisi multi-criterio: su otto criteri pesati, l’opzione di intervento ottiene un punteggio complessivo di 83 su 100 contro 39,25 dell’opzione zero, prevalendo su tutti i criteri a eccezione della sola fattibilità immediata — nella quale l’opzione zero è superiore — gestibile attraverso il dispiegamento graduale; l’esito è stabile rispetto ai pesi adottati.</w:t>
      </w:r>
    </w:p>
  </w:footnote>
  <w:footnote w:id="1163">
    <w:p>
      <w:pPr>
        <w:pStyle w:val="FootnoteText"/>
      </w:pPr>
      <w:r>
        <w:rPr>
          <w:rStyle w:val="FootnoteReference"/>
        </w:rPr>
        <w:footnoteRef/>
      </w:r>
      <w:r>
        <w:t xml:space="preserve"> </w:t>
      </w:r>
      <w:r>
        <w:t xml:space="preserve">Le tre affermazioni del cruscotto decisionale: il servizio costa al bilancio sanitario una cifra modesta e quasi interamente compensata; restituisce alla collettività un valore dell’ordine di quattro euro per ogni euro speso; e adempie all’obbligo di garantire i livelli essenziali intercettando un bisogno largamente inevaso.</w:t>
      </w:r>
    </w:p>
  </w:footnote>
  <w:footnote w:id="1164">
    <w:p>
      <w:pPr>
        <w:pStyle w:val="FootnoteText"/>
      </w:pPr>
      <w:r>
        <w:rPr>
          <w:rStyle w:val="FootnoteReference"/>
        </w:rPr>
        <w:footnoteRef/>
      </w:r>
      <w:r>
        <w:t xml:space="preserve"> </w:t>
      </w:r>
      <w:r>
        <w:t xml:space="preserve">Raccomandazione centrale: la decisione rilevante non è se istituire il servizio — già istituito con la legge regionale n. 11/2023 — ma se dimensionarlo, scalando dalla copertura attuale di circa il 5% del fabbisogno verso gli 800-900 psicologi a regime, attraverso il dispiegamento graduale e l’acquisizione dei dati certificati.</w:t>
      </w:r>
    </w:p>
  </w:footnote>
  <w:footnote w:id="1165">
    <w:p>
      <w:pPr>
        <w:pStyle w:val="FootnoteText"/>
      </w:pPr>
      <w:r>
        <w:rPr>
          <w:rStyle w:val="FootnoteReference"/>
        </w:rPr>
        <w:footnoteRef/>
      </w:r>
      <w:r>
        <w:t xml:space="preserve"> </w:t>
      </w:r>
      <w:r>
        <w:t xml:space="preserve">Cruscotto secondo il Quintuple Aim: la sintesi del valore è letta lungo le cinque dimensioni dell’esito di salute, dell’esperienza di cura, del costo, del benessere dei professionisti e dell’equità in salute.</w:t>
      </w:r>
    </w:p>
  </w:footnote>
  <w:footnote w:id="1166">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regionale (circa il 6,6%), anziché estratte dai conti regionali certificati; è la lacuna più importante da risolvere prima della presentazione esterna, e i parametri dei canali dei ricoveri, della specialistica e della mobilità sono quelli ancora stimati.</w:t>
      </w:r>
    </w:p>
  </w:footnote>
  <w:footnote w:id="1167">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i benchmark esteri richiedono cautela di trasferibilità, e la sintesi del ritorno «quattro a uno» dell’Organizzazione mondiale della sanità è una semplificazione, poiché la fonte riporta intervalli di 2,3-3,0 a uno per i soli benefici economici e di 3,3-5,7 a uno con i ritorni di salute, coerenti con il rapporto consolidato adottato.</w:t>
      </w:r>
    </w:p>
  </w:footnote>
  <w:footnote w:id="1168">
    <w:p>
      <w:pPr>
        <w:pStyle w:val="FootnoteText"/>
      </w:pPr>
      <w:r>
        <w:rPr>
          <w:rStyle w:val="FootnoteReference"/>
        </w:rPr>
        <w:footnoteRef/>
      </w:r>
      <w:r>
        <w:t xml:space="preserve"> </w:t>
      </w:r>
      <w:r>
        <w:t xml:space="preserve">Agenda di ricerca: l’investimento conoscitivo prioritario è l’acquisizione dei dati regionali certificati presso l’agenzia regionale e le aziende — le schede di dimissione per disturbi psichici, la composizione della mobilità passiva per disciplina e la spesa farmaceutica per categoria — e la verifica empirica degli effetti attraverso il dispiegamento scaglionato (differenza-nelle-differenze) e la verifica ex post; la trasparenza sull’incertezza residua è un elemento di forza, non di debolezza.</w:t>
      </w:r>
    </w:p>
  </w:footnote>
  <w:footnote w:id="1169">
    <w:p>
      <w:pPr>
        <w:pStyle w:val="FootnoteText"/>
      </w:pPr>
      <w:r>
        <w:rPr>
          <w:rStyle w:val="FootnoteReference"/>
        </w:rPr>
        <w:footnoteRef/>
      </w:r>
      <w:r>
        <w:t xml:space="preserve"> </w:t>
      </w:r>
      <w:r>
        <w:t xml:space="preserve">Limite principale: le grandezze economiche sono in parte ricostruite a partire dai conti nazionali, scalati per la quota di popolazione regionale (circa il 6,6%), anziché estratte dai conti regionali certificati; è la lacuna prioritaria da risolvere prima della presentazione esterna.</w:t>
      </w:r>
    </w:p>
  </w:footnote>
  <w:footnote w:id="1170">
    <w:p>
      <w:pPr>
        <w:pStyle w:val="FootnoteText"/>
      </w:pPr>
      <w:r>
        <w:rPr>
          <w:rStyle w:val="FootnoteReference"/>
        </w:rPr>
        <w:footnoteRef/>
      </w:r>
      <w:r>
        <w:t xml:space="preserve"> </w:t>
      </w:r>
      <w:r>
        <w:t xml:space="preserve">Base comparativa internazionale: il programma inglese di terapie psicologiche (NHS Talking Therapies), il modello olandese nelle cure primarie (POH-GGZ), l’iniziativa australiana (Better Access) e il Collaborative Care Model statunitense.</w:t>
      </w:r>
    </w:p>
  </w:footnote>
  <w:footnote w:id="1171">
    <w:p>
      <w:pPr>
        <w:pStyle w:val="FootnoteText"/>
      </w:pPr>
      <w:r>
        <w:rPr>
          <w:rStyle w:val="FootnoteReference"/>
        </w:rPr>
        <w:footnoteRef/>
      </w:r>
      <w:r>
        <w:t xml:space="preserve"> </w:t>
      </w:r>
      <w:r>
        <w:t xml:space="preserve">Generalizzazione regionale: l’architettura e il caso di riferimento sono fissi e comuni a tutte le regioni; ciascuna regione fornisce i propri dati certificati, e la comparabilità è garantita dall’uniformità del caso di riferimento e dell’insieme degli indicatori.</w:t>
      </w:r>
    </w:p>
  </w:footnote>
  <w:footnote w:id="1172">
    <w:p>
      <w:pPr>
        <w:pStyle w:val="FootnoteText"/>
      </w:pPr>
      <w:r>
        <w:rPr>
          <w:rStyle w:val="FootnoteReference"/>
        </w:rPr>
        <w:footnoteRef/>
      </w:r>
    </w:p>
  </w:footnote>
  <w:footnote w:id="1173">
    <w:p>
      <w:pPr>
        <w:pStyle w:val="FootnoteText"/>
      </w:pPr>
      <w:r>
        <w:rPr>
          <w:rStyle w:val="FootnoteReference"/>
        </w:rPr>
        <w:footnoteRef/>
      </w:r>
      <w:r>
        <w:t xml:space="preserve"> </w:t>
      </w:r>
      <w:r>
        <w:t xml:space="preserve">Generalizzazione regionale: l’architettura e il caso di riferimento sono fissi e comuni a tutte le regioni; ciascuna regione fornisce i propri dati certificati, e la comparabilità è garantita dall’uniformità del caso di riferimento e dell’insieme degli indicatori.Popolazione residente in Puglia 3.890.661 al 31 dicembre 2023, pari a 3.877.395 al Censimento permanente ISTAT 2024, circa il 6,6% della popolazione nazionale; il Servizio sanitario regionale si articola in sei aziende sanitarie locali (Bari, BAT, Brindisi, Foggia, Lecce, Taranto) e quarantacinque distretti.</w:t>
      </w:r>
    </w:p>
  </w:footnote>
  <w:footnote w:id="1174">
    <w:p>
      <w:pPr>
        <w:pStyle w:val="FootnoteText"/>
      </w:pPr>
      <w:r>
        <w:rPr>
          <w:rStyle w:val="FootnoteReference"/>
        </w:rPr>
        <w:footnoteRef/>
      </w:r>
      <w:r>
        <w:t xml:space="preserve"> </w:t>
      </w:r>
      <w:r>
        <w:t xml:space="preserve">Invecchiamento accelerato (ISTAT): età media salita da 39,3 anni nel 2002 a 46,4 nel 2024, con indice di vecchiaia di 200,8 anziani ogni 100 giovani; le proiezioni indicano 3.769.000 abitanti nel 2030 (−3,5%) e 3.229.000 nel 2050 (−17,4% sul 2023), con la quota di ultrasessantacinquenni dal 24,2% al 37,1% e gli ultrasettantacinquenni da 461.000 a 658.000 (+43%).</w:t>
      </w:r>
    </w:p>
  </w:footnote>
  <w:footnote w:id="1175">
    <w:p>
      <w:pPr>
        <w:pStyle w:val="FootnoteText"/>
      </w:pPr>
      <w:r>
        <w:rPr>
          <w:rStyle w:val="FootnoteReference"/>
        </w:rPr>
        <w:footnoteRef/>
      </w:r>
      <w:r>
        <w:t xml:space="preserve"> </w:t>
      </w:r>
      <w:r>
        <w:t xml:space="preserve">Marcata eterogeneità territoriale: la provincia di Lecce è la più anziana, con età media di 47,5 anni e indice di vecchiaia di 229,8; la provincia BAT è la più giovane, con 44,9 anni e indice di 169,1.</w:t>
      </w:r>
    </w:p>
  </w:footnote>
  <w:footnote w:id="1176">
    <w:p>
      <w:pPr>
        <w:pStyle w:val="FootnoteText"/>
      </w:pPr>
      <w:r>
        <w:rPr>
          <w:rStyle w:val="FootnoteReference"/>
        </w:rPr>
        <w:footnoteRef/>
      </w:r>
      <w:r>
        <w:t xml:space="preserve"> </w:t>
      </w:r>
      <w:r>
        <w:t xml:space="preserve">Contesto socioeconomico: il 37,7% della popolazione pugliese è a rischio di povertà o esclusione sociale, tra i valori più elevati in Italia; l’indice di deprivazione, costruito su reddito, istruzione, occupazione e condizione abitativa, riflette determinanti sociali robusti della salute mentale, poiché le popolazioni deprivate presentano prevalenze sistematicamente più elevate di disturbi mentali comuni.</w:t>
      </w:r>
    </w:p>
  </w:footnote>
  <w:footnote w:id="1177">
    <w:p>
      <w:pPr>
        <w:pStyle w:val="FootnoteText"/>
      </w:pPr>
      <w:r>
        <w:rPr>
          <w:rStyle w:val="FootnoteReference"/>
        </w:rPr>
        <w:footnoteRef/>
      </w:r>
      <w:r>
        <w:t xml:space="preserve"> </w:t>
      </w:r>
      <w:r>
        <w:t xml:space="preserve">Burden di salute mentale: circa 780.000 persone con disagio psichico comune o sottosoglia (dell’ordine del 20-30% della popolazione); circa 55.000 utenti in carico ai Dipartimenti di Salute Mentale; 18.939 nuovi utenti nel 2023.</w:t>
      </w:r>
    </w:p>
  </w:footnote>
  <w:footnote w:id="1178">
    <w:p>
      <w:pPr>
        <w:pStyle w:val="FootnoteText"/>
      </w:pPr>
      <w:r>
        <w:rPr>
          <w:rStyle w:val="FootnoteReference"/>
        </w:rPr>
        <w:footnoteRef/>
      </w:r>
      <w:r>
        <w:t xml:space="preserve"> </w:t>
      </w:r>
      <w:r>
        <w:t xml:space="preserve">Meta-analisi internazionali (The Lancet Psychiatry, JAMA Psychiatry, World Psychiatry) documentano che l’invecchiamento accresce la prevalenza dei disturbi mentali, con depressione fino al 28% negli ultrasettantacinquenni con multimorbidità e ansia oltre il 15% nella popolazione anziana; applicati alla Puglia, tali coefficienti stimano tra 50.649 e 74.640 anziani con disturbi depressivi clinicamente significativi e tra 69.150 e 92.200 con disturbi d’ansia.</w:t>
      </w:r>
    </w:p>
  </w:footnote>
  <w:footnote w:id="1179">
    <w:p>
      <w:pPr>
        <w:pStyle w:val="FootnoteText"/>
      </w:pPr>
      <w:r>
        <w:rPr>
          <w:rStyle w:val="FootnoteReference"/>
        </w:rPr>
        <w:footnoteRef/>
      </w:r>
    </w:p>
  </w:footnote>
  <w:footnote w:id="1180">
    <w:p>
      <w:pPr>
        <w:pStyle w:val="FootnoteText"/>
      </w:pPr>
      <w:r>
        <w:rPr>
          <w:rStyle w:val="FootnoteReference"/>
        </w:rPr>
        <w:footnoteRef/>
      </w:r>
      <w:r>
        <w:t xml:space="preserve"> </w:t>
      </w:r>
      <w:r>
        <w:t xml:space="preserve">Meta-analisi internazionali (The Lancet Psychiatry, JAMA Psychiatry, World Psychiatry) documentano che l’invecchiamento accresce la prevalenza dei disturbi mentali, con depressione fino al 28% negli ultrasettantacinquenni con multimorbidità e ansia oltre il 15% nella popolazione anziana; applicati alla Puglia, tali coefficienti stimano tra 50.649 e 74.640 anziani con disturbi depressivi clinicamente significativi e tra 69.150 e 92.200 con disturbi d’ansia.Questa parte copre il quinto dominio del modello HTA, i costi e la valutazione economica; è redatta secondo lo standard di reporting CHEERS 2022, fornisce il contenuto del caso economico e del caso finanziario del Five Case Model e risponde al criterio di efficienza della griglia di giudizio.</w:t>
      </w:r>
    </w:p>
  </w:footnote>
  <w:footnote w:id="1181">
    <w:p>
      <w:pPr>
        <w:pStyle w:val="FootnoteText"/>
      </w:pPr>
      <w:r>
        <w:rPr>
          <w:rStyle w:val="FootnoteReference"/>
        </w:rPr>
        <w:footnoteRef/>
      </w:r>
      <w:r>
        <w:t xml:space="preserve"> </w:t>
      </w:r>
      <w:r>
        <w:t xml:space="preserve">Modello di costo: il costo medio annuo di un incarico convenzionale a tempo pieno è dell’ordine di 55.000 euro (circa 40 euro l’ora di costo-azienda comprensivo degli oneri, per circa 1.250 ore, più circa 5.000 euro di costi generali); ne discendono, per gli scenari da circa 450, 700 e 900 incarichi, costi annui di circa 25, 38 e 50 milioni di euro, fino a 60-75 milioni nell’ipotesi di costi pieni e massima copertura.</w:t>
      </w:r>
    </w:p>
  </w:footnote>
  <w:footnote w:id="1182">
    <w:p>
      <w:pPr>
        <w:pStyle w:val="FootnoteText"/>
      </w:pPr>
      <w:r>
        <w:rPr>
          <w:rStyle w:val="FootnoteReference"/>
        </w:rPr>
        <w:footnoteRef/>
      </w:r>
      <w:r>
        <w:t xml:space="preserve"> </w:t>
      </w:r>
      <w:r>
        <w:t xml:space="preserve">Categorie di costo: oltre all’organico psicologico, l’investimento comprende la formazione, la supervisione clinica, la governance, i sistemi informativi e le infrastrutture; i costi non sanitari sono inclusi coerentemente con la doppia prospettiva adottata.</w:t>
      </w:r>
    </w:p>
  </w:footnote>
  <w:footnote w:id="1183">
    <w:p>
      <w:pPr>
        <w:pStyle w:val="FootnoteText"/>
      </w:pPr>
      <w:r>
        <w:rPr>
          <w:rStyle w:val="FootnoteReference"/>
        </w:rPr>
        <w:footnoteRef/>
      </w:r>
    </w:p>
  </w:footnote>
  <w:footnote w:id="1184">
    <w:p>
      <w:pPr>
        <w:pStyle w:val="FootnoteText"/>
      </w:pPr>
      <w:r>
        <w:rPr>
          <w:rStyle w:val="FootnoteReference"/>
        </w:rPr>
        <w:footnoteRef/>
      </w:r>
      <w:r>
        <w:t xml:space="preserve"> </w:t>
      </w:r>
      <w:r>
        <w:t xml:space="preserve">Misure di esito: gli anni di vita ponderati per la qualità e gli esiti clinici validati — il tasso di recupero e il miglioramento affidabile misurati con PHQ-9 e GAD-7 — applicati alla popolazione regionale con disagio comune, dell’ordine di 780.000 persone.</w:t>
      </w:r>
    </w:p>
  </w:footnote>
  <w:footnote w:id="1185">
    <w:p>
      <w:pPr>
        <w:pStyle w:val="FootnoteText"/>
      </w:pPr>
      <w:r>
        <w:rPr>
          <w:rStyle w:val="FootnoteReference"/>
        </w:rPr>
        <w:footnoteRef/>
      </w:r>
      <w:r>
        <w:t xml:space="preserve"> </w:t>
      </w:r>
      <w:r>
        <w:t xml:space="preserve">Analisi costo-utilità: secondo il manuale del NICE, il rapporto incrementale di costo-efficacia rapporta il costo aggiuntivo al guadagno in anni di vita ponderati per la qualità e si confronta con una soglia; l’evidenza internazionale indica che la cura collaborativa è costo-efficace, con un investimento iniziale ampiamente compensato dai miglioramenti clinici e dalla minore intensità di cura; il rapporto incrementale per la Puglia sarà calcolato sui dati certificati.</w:t>
      </w:r>
    </w:p>
  </w:footnote>
  <w:footnote w:id="1186">
    <w:p>
      <w:pPr>
        <w:pStyle w:val="FootnoteText"/>
      </w:pPr>
      <w:r>
        <w:rPr>
          <w:rStyle w:val="FootnoteReference"/>
        </w:rPr>
        <w:footnoteRef/>
      </w:r>
      <w:r>
        <w:t xml:space="preserve"> </w:t>
      </w:r>
      <w:r>
        <w:t xml:space="preserve">Analisi di impatto sul bilancio (buone pratiche ISPOR): adotta la prospettiva del detentore del budget, il Servizio sanitario regionale, e stima la differenza tra lo scenario con e senza intervento sui flussi non scontati, anno per anno, individuando il punto di pareggio finanziario, collocato per questo servizio tra il terzo e il quinto anno.</w:t>
      </w:r>
    </w:p>
  </w:footnote>
  <w:footnote w:id="1187">
    <w:p>
      <w:pPr>
        <w:pStyle w:val="FootnoteText"/>
      </w:pPr>
      <w:r>
        <w:rPr>
          <w:rStyle w:val="FootnoteReference"/>
        </w:rPr>
        <w:footnoteRef/>
      </w:r>
      <w:r>
        <w:t xml:space="preserve"> </w:t>
      </w:r>
      <w:r>
        <w:t xml:space="preserve">Canale del pronto soccorso: dei circa 914.000 accessi inappropriati, una quota dell’ordine del 15% è riconducibile a disagio psichico e a sintomi somatici funzionali, sulla quale agisce la riduzione documentata degli accessi impropri (dell’ordine dell’11-14%); ne deriva un risparmio diretto stimato in 3-5 milioni di euro l’anno.</w:t>
      </w:r>
    </w:p>
  </w:footnote>
  <w:footnote w:id="1188">
    <w:p>
      <w:pPr>
        <w:pStyle w:val="FootnoteText"/>
      </w:pPr>
      <w:r>
        <w:rPr>
          <w:rStyle w:val="FootnoteReference"/>
        </w:rPr>
        <w:footnoteRef/>
      </w:r>
      <w:r>
        <w:t xml:space="preserve"> </w:t>
      </w:r>
      <w:r>
        <w:t xml:space="preserve">Canale della farmaceutica: l’elevato consumo complessivo pugliese (1.081,9 dosi giornaliere ogni mille abitanti) e la bassa aderenza agli antidepressivi (il 27,5% dei soggetti resta sotto il 40% di copertura) indicano margini di appropriatezza, segnatamente nella sostituzione di terapie croniche non necessarie con percorsi psicologici; il risparmio diretto è stimato in 3-6 milioni di euro l’anno.</w:t>
      </w:r>
    </w:p>
  </w:footnote>
  <w:footnote w:id="1189">
    <w:p>
      <w:pPr>
        <w:pStyle w:val="FootnoteText"/>
      </w:pPr>
      <w:r>
        <w:rPr>
          <w:rStyle w:val="FootnoteReference"/>
        </w:rPr>
        <w:footnoteRef/>
      </w:r>
      <w:r>
        <w:t xml:space="preserve"> </w:t>
      </w:r>
      <w:r>
        <w:t xml:space="preserve">Canale dei ricoveri e della specialistica: i sintomi somatici funzionali rappresentano circa il 20% delle consultazioni e si associano a un consumo di prestazioni molto superiore alla media, con riduzioni dei costi superiori al 30% dopo intervento psicologico breve; con i ricoveri evitabili, il risparmio diretto è stimato in 9-27 milioni di euro l’anno secondo lo scenario.</w:t>
      </w:r>
    </w:p>
  </w:footnote>
  <w:footnote w:id="1190">
    <w:p>
      <w:pPr>
        <w:pStyle w:val="FootnoteText"/>
      </w:pPr>
      <w:r>
        <w:rPr>
          <w:rStyle w:val="FootnoteReference"/>
        </w:rPr>
        <w:footnoteRef/>
      </w:r>
      <w:r>
        <w:t xml:space="preserve"> </w:t>
      </w:r>
      <w:r>
        <w:t xml:space="preserve">Canale della mobilità recuperata: a fronte di un saldo passivo di 253,2 milioni di euro, la quota psichiatrica della mobilità e l’effetto di ritenzione della domanda sul territorio generano un risparmio diretto stimato in 5-12 milioni di euro l’anno; è il canale più distintivo del caso pugliese, poiché in una regione in forte deficit ogni prestazione trattenuta è un risparmio.</w:t>
      </w:r>
    </w:p>
  </w:footnote>
  <w:footnote w:id="1191">
    <w:p>
      <w:pPr>
        <w:pStyle w:val="FootnoteText"/>
      </w:pPr>
      <w:r>
        <w:rPr>
          <w:rStyle w:val="FootnoteReference"/>
        </w:rPr>
        <w:footnoteRef/>
      </w:r>
      <w:r>
        <w:t xml:space="preserve"> </w:t>
      </w:r>
      <w:r>
        <w:t xml:space="preserve">Saldo diretto: aggregati i canali, i risparmi diretti per il Servizio sanitario regionale sono dell’ordine di 20, 34 e 50 milioni di euro secondo lo scenario, a fronte di un costo del servizio di 25, 38 e 50 milioni; il saldo diretto è dunque prossimo al pareggio (da un lieve disavanzo a un lieve attivo), e il pareggio finanziario è atteso tra il terzo e il quinto anno.</w:t>
      </w:r>
    </w:p>
  </w:footnote>
  <w:footnote w:id="1192">
    <w:p>
      <w:pPr>
        <w:pStyle w:val="FootnoteText"/>
      </w:pPr>
      <w:r>
        <w:rPr>
          <w:rStyle w:val="FootnoteReference"/>
        </w:rPr>
        <w:footnoteRef/>
      </w:r>
      <w:r>
        <w:t xml:space="preserve"> </w:t>
      </w:r>
      <w:r>
        <w:t xml:space="preserve">Contesto di bilancio: il finanziamento del Servizio sanitario regionale è di circa 8,8 miliardi di euro, con un disavanzo di circa 350 milioni; il costo del servizio, anche a regime, ne costituisce una frazione modesta, sicché la questione non è la sostenibilità della spesa ma il suo dimensionamento; la Corte costituzionale (sentenza n. 6/2026) impone tuttavia alle regioni in piano di rientro di giustificare ogni impiego con la garanzia dei livelli essenziali.</w:t>
      </w:r>
    </w:p>
  </w:footnote>
  <w:footnote w:id="1193">
    <w:p>
      <w:pPr>
        <w:pStyle w:val="FootnoteText"/>
      </w:pPr>
      <w:r>
        <w:rPr>
          <w:rStyle w:val="FootnoteReference"/>
        </w:rPr>
        <w:footnoteRef/>
      </w:r>
    </w:p>
  </w:footnote>
  <w:footnote w:id="1194">
    <w:p>
      <w:pPr>
        <w:pStyle w:val="FootnoteText"/>
      </w:pPr>
      <w:r>
        <w:rPr>
          <w:rStyle w:val="FootnoteReference"/>
        </w:rPr>
        <w:footnoteRef/>
      </w:r>
      <w:r>
        <w:t xml:space="preserve"> </w:t>
      </w:r>
      <w:r>
        <w:t xml:space="preserve">ISTAT, Censimento permanente della popolazione, dati al 31 dicembre 2024: la popolazione residente in Puglia ammonta a 3.877.395 unità, pari al 6,6% del totale nazionale, in calo di 13.266 unità rispetto al 2023 per saldo naturale e migratorio interno negativi; l’età media sale a 46,7 anni.</w:t>
      </w:r>
    </w:p>
  </w:footnote>
  <w:footnote w:id="1195">
    <w:p>
      <w:pPr>
        <w:pStyle w:val="FootnoteText"/>
      </w:pPr>
      <w:r>
        <w:rPr>
          <w:rStyle w:val="FootnoteReference"/>
        </w:rPr>
        <w:footnoteRef/>
      </w:r>
      <w:r>
        <w:t xml:space="preserve"> </w:t>
      </w:r>
      <w:r>
        <w:t xml:space="preserve">ISTAT e Ufficio statistico della Regione Puglia: speranza di vita alla nascita 80,8 anni (uomini) e 84,8 (donne); PIL regionale circa 94,5 miliardi di euro (2024), PIL pro capite circa 24.400 euro; indice di sviluppo umano regionale 0,856 (tra i più bassi tra le regioni italiane).</w:t>
      </w:r>
    </w:p>
  </w:footnote>
  <w:footnote w:id="1196">
    <w:p>
      <w:pPr>
        <w:pStyle w:val="FootnoteText"/>
      </w:pPr>
      <w:r>
        <w:rPr>
          <w:rStyle w:val="FootnoteReference"/>
        </w:rPr>
        <w:footnoteRef/>
      </w:r>
      <w:r>
        <w:t xml:space="preserve"> </w:t>
      </w:r>
      <w:r>
        <w:t xml:space="preserve">Regione Puglia, riordino dell’assistenza distrettuale (DGR n. 2803/2014): il territorio è articolato in 45 Distretti socio-sanitari, ripartiti tra le sei Aziende sanitarie locali (Bari, Barletta-Andria-Trani, Brindisi, Foggia, Lecce, Taranto).</w:t>
      </w:r>
    </w:p>
  </w:footnote>
  <w:footnote w:id="1197">
    <w:p>
      <w:pPr>
        <w:pStyle w:val="FootnoteText"/>
      </w:pPr>
      <w:r>
        <w:rPr>
          <w:rStyle w:val="FootnoteReference"/>
        </w:rPr>
        <w:footnoteRef/>
      </w:r>
      <w:r>
        <w:t xml:space="preserve"> </w:t>
      </w:r>
      <w:r>
        <w:t xml:space="preserve">Ministero della Salute, Rapporto Salute Mentale (dati pubblicati a fine 2024): in Puglia le persone in carico ai Dipartimenti di Salute Mentale sono poco meno di 55.000; si stima che circa 780.000 persone (il 20-30% della popolazione) convivano con disagio psicologico e disturbi sottosoglia; nel 2023 i nuovi utenti dei DSM sono stati 18.939.</w:t>
      </w:r>
    </w:p>
  </w:footnote>
  <w:footnote w:id="1198">
    <w:p>
      <w:pPr>
        <w:pStyle w:val="FootnoteText"/>
      </w:pPr>
      <w:r>
        <w:rPr>
          <w:rStyle w:val="FootnoteReference"/>
        </w:rPr>
        <w:footnoteRef/>
      </w:r>
      <w:r>
        <w:t xml:space="preserve"> </w:t>
      </w:r>
      <w:r>
        <w:t xml:space="preserve">Osservatorio Nazionale sull’Impiego dei Medicinali (AIFA) e Rapporto Osservasalute: il Mezzogiorno, Puglia inclusa, presenta tra i consumi più bassi di farmaci antidepressivi; il dato è interpretabile come sotto-intercettazione e sotto-trattamento del bisogno, più che come minore prevalenza del disagio.</w:t>
      </w:r>
    </w:p>
  </w:footnote>
  <w:footnote w:id="1199">
    <w:p>
      <w:pPr>
        <w:pStyle w:val="FootnoteText"/>
      </w:pPr>
      <w:r>
        <w:rPr>
          <w:rStyle w:val="FootnoteReference"/>
        </w:rPr>
        <w:footnoteRef/>
      </w:r>
      <w:r>
        <w:t xml:space="preserve"> </w:t>
      </w:r>
      <w:r>
        <w:t xml:space="preserve">Dati nazionali di contesto: si stima che oltre 16 milioni di italiani presentino disturbi psicologici di media o grave entità, di cui circa 12 milioni con ansia e depressione; tra i minori, un quarto presenta sintomi depressivi e uno su cinque sintomi d’ansia; il numero di Dipartimenti di Salute Mentale è sceso da 183 (2015) a 139 (2023).</w:t>
      </w:r>
    </w:p>
  </w:footnote>
  <w:footnote w:id="1200">
    <w:p>
      <w:pPr>
        <w:pStyle w:val="FootnoteText"/>
      </w:pPr>
      <w:r>
        <w:rPr>
          <w:rStyle w:val="FootnoteReference"/>
        </w:rPr>
        <w:footnoteRef/>
      </w:r>
      <w:r>
        <w:t xml:space="preserve"> </w:t>
      </w:r>
      <w:r>
        <w:t xml:space="preserve">Fondazione GIMBE, La mobilità sanitaria interregionale nel 2023: la Puglia registra un saldo negativo di 253,2 milioni di euro (mobilità passiva 376,59 milioni, quarta in Italia; mobilità attiva 123,35 milioni), in peggioramento di 23 milioni sul 2022; è tra le sei regioni con saldo negativo rilevante che assorbono il 78,2% del saldo passivo nazionale.</w:t>
      </w:r>
    </w:p>
  </w:footnote>
  <w:footnote w:id="1201">
    <w:p>
      <w:pPr>
        <w:pStyle w:val="FootnoteText"/>
      </w:pPr>
      <w:r>
        <w:rPr>
          <w:rStyle w:val="FootnoteReference"/>
        </w:rPr>
        <w:footnoteRef/>
      </w:r>
      <w:r>
        <w:t xml:space="preserve"> </w:t>
      </w:r>
      <w:r>
        <w:t xml:space="preserve">Legge Regionale Puglia 15 giugno 2023, n. 11, «Disposizioni in materia di istituzione del servizio di Psicologia di base»: il servizio è realizzato da ciascuna ASL in ogni Distretto socio-sanitario e Casa di Comunità, da psicologi liberi professionisti a rapporto convenzionale; tra le finalità esplicite, intercettare e ridurre il peso dei disturbi psicologici costituendo un filtro per le cure secondarie e per il pronto soccorso, e intercettare i bisogni inespressi.</w:t>
      </w:r>
    </w:p>
  </w:footnote>
  <w:footnote w:id="1202">
    <w:p>
      <w:pPr>
        <w:pStyle w:val="FootnoteText"/>
      </w:pPr>
      <w:r>
        <w:rPr>
          <w:rStyle w:val="FootnoteReference"/>
        </w:rPr>
        <w:footnoteRef/>
      </w:r>
      <w:r>
        <w:t xml:space="preserve"> </w:t>
      </w:r>
      <w:r>
        <w:t xml:space="preserve">L.R. 11/2023: stanziamento di 450.000 euro per il primo esercizio e di 1,5 milioni di euro annui per gli anni successivi; prima firmataria la Presidente del Consiglio regionale Loredana Capone; approvazione unanime. È prevista l’istituzione di un Osservatorio regionale indipendente con funzioni di controllo, programmazione e indirizzo.</w:t>
      </w:r>
    </w:p>
  </w:footnote>
  <w:footnote w:id="1203">
    <w:p>
      <w:pPr>
        <w:pStyle w:val="FootnoteText"/>
      </w:pPr>
      <w:r>
        <w:rPr>
          <w:rStyle w:val="FootnoteReference"/>
        </w:rPr>
        <w:footnoteRef/>
      </w:r>
      <w:r>
        <w:t xml:space="preserve"> </w:t>
      </w:r>
      <w:r>
        <w:t xml:space="preserve">Attuazione della L.R. 11/2023: avvio del servizio il 1º dicembre 2025; ASL Foggia operativa dal 15 dicembre 2025 sugli otto Distretti provinciali, ASL Taranto dal 2 febbraio 2026; con disposizione del 4 giugno 2026 la fase sperimentale è stata prorogata al 31 dicembre 2026, con rinnovo dei contratti nei Distretti di tutte le ASL.</w:t>
      </w:r>
    </w:p>
  </w:footnote>
  <w:footnote w:id="1204">
    <w:p>
      <w:pPr>
        <w:pStyle w:val="FootnoteText"/>
      </w:pPr>
      <w:r>
        <w:rPr>
          <w:rStyle w:val="FootnoteReference"/>
        </w:rPr>
        <w:footnoteRef/>
      </w:r>
      <w:r>
        <w:t xml:space="preserve"> </w:t>
      </w:r>
      <w:r>
        <w:t xml:space="preserve">Precedente normativo: una prima iniziativa legislativa regionale del 2020 fu impugnata dinanzi alla Corte costituzionale in ragione dei vincoli del piano di rientro sanitario; la materia è stata successivamente ridisciplinata e approvata con la L.R. 11/2023.</w:t>
      </w:r>
    </w:p>
  </w:footnote>
  <w:footnote w:id="1205">
    <w:p>
      <w:pPr>
        <w:pStyle w:val="FootnoteText"/>
      </w:pPr>
      <w:r>
        <w:rPr>
          <w:rStyle w:val="FootnoteReference"/>
        </w:rPr>
        <w:footnoteRef/>
      </w:r>
      <w:r>
        <w:t xml:space="preserve"> </w:t>
      </w:r>
      <w:r>
        <w:t xml:space="preserve">Benessere Equo e Sostenibile (BES), ISTAT: dodici domini con indici compositi; il programma BES dei Territori (BesT) declina gli indicatori a livello provinciale e di regione, offrendo la cornice multidimensionale per la lettura territoriale del benessere in Puglia.</w:t>
      </w:r>
    </w:p>
  </w:footnote>
  <w:footnote w:id="1206">
    <w:p>
      <w:pPr>
        <w:pStyle w:val="FootnoteText"/>
      </w:pPr>
      <w:r>
        <w:rPr>
          <w:rStyle w:val="FootnoteReference"/>
        </w:rPr>
        <w:footnoteRef/>
      </w:r>
      <w:r>
        <w:t xml:space="preserve"> </w:t>
      </w:r>
      <w:r>
        <w:t xml:space="preserve">OECD ed European Commission-JRC, Handbook on Constructing Composite Indicators (2008): metodologia di riferimento per la costruzione di indicatori compositi (normalizzazione, ponderazione, aggregazione, analisi di sensibilità, validazione), adottata per la costruzione delle misure di sintesi.</w:t>
      </w:r>
    </w:p>
  </w:footnote>
  <w:footnote w:id="1207">
    <w:p>
      <w:pPr>
        <w:pStyle w:val="FootnoteText"/>
      </w:pPr>
      <w:r>
        <w:rPr>
          <w:rStyle w:val="FootnoteReference"/>
        </w:rPr>
        <w:footnoteRef/>
      </w:r>
      <w:r>
        <w:t xml:space="preserve"> </w:t>
      </w:r>
      <w:r>
        <w:t xml:space="preserve">Evidenza sull’integrazione comportamentale nelle cure primarie: la presenza di servizi psicologici di primo livello è associata a riduzioni degli accessi impropri al pronto soccorso dell’ordine dell’11-14%, oltre che a minori ricoveri e a un alleggerimento del carico sui medici di medicina generale.</w:t>
      </w:r>
    </w:p>
  </w:footnote>
  <w:footnote w:id="1208">
    <w:p>
      <w:pPr>
        <w:pStyle w:val="FootnoteText"/>
      </w:pPr>
      <w:r>
        <w:rPr>
          <w:rStyle w:val="FootnoteReference"/>
        </w:rPr>
        <w:footnoteRef/>
      </w:r>
      <w:r>
        <w:t xml:space="preserve"> </w:t>
      </w:r>
      <w:r>
        <w:t xml:space="preserve">Evidenza sulla cura collaborativa: revisioni sistematiche e meta-analisi (tra cui la revisione Cochrane di Archer e collaboratori e meta-analisi successive su decine di studi controllati) mostrano che l’integrazione di figure psicologiche nelle cure primarie migliora gli esiti di depressione e ansia rispetto alla cura usuale.</w:t>
      </w:r>
    </w:p>
  </w:footnote>
  <w:footnote w:id="1209">
    <w:p>
      <w:pPr>
        <w:pStyle w:val="FootnoteText"/>
      </w:pPr>
      <w:r>
        <w:rPr>
          <w:rStyle w:val="FootnoteReference"/>
        </w:rPr>
        <w:footnoteRef/>
      </w:r>
      <w:r>
        <w:t xml:space="preserve"> </w:t>
      </w:r>
      <w:r>
        <w:t xml:space="preserve">Sintomi somatici funzionali (medically unexplained symptoms): rappresentano una quota rilevante delle consultazioni nelle cure primarie e si associano a un consumo di prestazioni e prescrizioni molto superiore alla media; l’intervento psicologico breve è associato a riduzioni dei costi sanitari superiori al 30%.</w:t>
      </w:r>
    </w:p>
  </w:footnote>
  <w:footnote w:id="1210">
    <w:p>
      <w:pPr>
        <w:pStyle w:val="FootnoteText"/>
      </w:pPr>
      <w:r>
        <w:rPr>
          <w:rStyle w:val="FootnoteReference"/>
        </w:rPr>
        <w:footnoteRef/>
      </w:r>
      <w:r>
        <w:t xml:space="preserve"> </w:t>
      </w:r>
      <w:r>
        <w:t xml:space="preserve">Organizzazione Mondiale della Sanità e analisi su Lancet Psychiatry (Chisholm et al., 2016): ogni dollaro investito nel trattamento di depressione e ansia produce un ritorno dell’ordine di quattro dollari in salute e produttività; la perdita di produttività da cattiva salute mentale è stimata in centinaia di miliardi l’anno su scala internazionale.</w:t>
      </w:r>
    </w:p>
  </w:footnote>
  <w:footnote w:id="1211">
    <w:p>
      <w:pPr>
        <w:pStyle w:val="FootnoteText"/>
      </w:pPr>
      <w:r>
        <w:rPr>
          <w:rStyle w:val="FootnoteReference"/>
        </w:rPr>
        <w:footnoteRef/>
      </w:r>
      <w:r>
        <w:t xml:space="preserve"> </w:t>
      </w:r>
      <w:r>
        <w:t xml:space="preserve">Programma inglese di terapie psicologiche (IAPT / NHS Talking Therapies): i servizi territoriali di psicologia delle cure primarie raggiungono tassi di recupero clinico dell’ordine del 50% dei pazienti trattati, con misurazione sistematica degli esiti.</w:t>
      </w:r>
    </w:p>
  </w:footnote>
  <w:footnote w:id="1212">
    <w:p>
      <w:pPr>
        <w:pStyle w:val="FootnoteText"/>
      </w:pPr>
      <w:r>
        <w:rPr>
          <w:rStyle w:val="FootnoteReference"/>
        </w:rPr>
        <w:footnoteRef/>
      </w:r>
      <w:r>
        <w:t xml:space="preserve"> </w:t>
      </w:r>
      <w:r>
        <w:t xml:space="preserve">Collocazione del capitolo: esso dà seguito al capitolo introduttivo dell’estensione nazionale, che ne ha fissato la cornice metodologica, demografica, di spesa e di bisogno, e ne sviluppa il quinto punto della roadmap, ossia la quantificazione puntuale dell’ulteriore risparmio conseguibile lungo le cinque dimensioni del continuum assistenziale — diagnostica, prevenzione, trattamento, riabilitazione e recupero — oltre all’efficientamento gestionale.</w:t>
      </w:r>
    </w:p>
  </w:footnote>
  <w:footnote w:id="1213">
    <w:p>
      <w:pPr>
        <w:pStyle w:val="FootnoteText"/>
      </w:pPr>
      <w:r>
        <w:rPr>
          <w:rStyle w:val="FootnoteReference"/>
        </w:rPr>
        <w:footnoteRef/>
      </w:r>
      <w:r>
        <w:t xml:space="preserve"> </w:t>
      </w:r>
      <w:r>
        <w:t xml:space="preserve">Premessa di onestità metodologica, coerente con l’intero progetto: l’Intelligenza Artificiale è una tecnologia abilitante e non un fine, e l’evidenza disponibile, ancorché promettente, è in larga parte di breve orizzonte e di qualità ancora limitata; lo studio mantiene perciò la distinzione tra efficacia clinica dimostrata e risparmio economico, evitando moltiplicatori non documentati e rapporti aggregati privi di base, come già fatto nel modello-base.</w:t>
      </w:r>
    </w:p>
  </w:footnote>
  <w:footnote w:id="1214">
    <w:p>
      <w:pPr>
        <w:pStyle w:val="FootnoteText"/>
      </w:pPr>
      <w:r>
        <w:rPr>
          <w:rStyle w:val="FootnoteReference"/>
        </w:rPr>
        <w:footnoteRef/>
      </w:r>
      <w:r>
        <w:t xml:space="preserve"> </w:t>
      </w:r>
      <w:r>
        <w:t xml:space="preserve">Distinzione cardine tra costo-efficacia e risparmio di bilancio: una tecnologia può essere costo-efficace — ossia produrre guadagni di salute a un costo per anno di vita ponderato per la qualità inferiore alla soglia — senza per questo generare un risparmio netto di cassa; le revisioni sistematiche delle valutazioni economiche degli interventi digitali in salute mentale concludono che l’evidenza di costo-efficacia è incoraggiante ma non conclusiva, spesso fondata su orizzonti brevi e potenzialmente soggetta a distorsione di pubblicazione.</w:t>
      </w:r>
    </w:p>
  </w:footnote>
  <w:footnote w:id="1215">
    <w:p>
      <w:pPr>
        <w:pStyle w:val="FootnoteText"/>
      </w:pPr>
      <w:r>
        <w:rPr>
          <w:rStyle w:val="FootnoteReference"/>
        </w:rPr>
        <w:footnoteRef/>
      </w:r>
      <w:r>
        <w:t xml:space="preserve"> </w:t>
      </w:r>
      <w:r>
        <w:t xml:space="preserve">Domini diagnostici a evidenza più solida: l’esempio meglio documentato di intelligenza artificiale diagnostica autonoma costo-efficace appartiene all’imaging, segnatamente allo screening della retinopatia diabetica con dispositivi a marcatura regolatoria, e ai sistemi di supporto al triage dell’ictus acuto; tali risultati non sono direttamente trasferibili alla salute mentale, dove il contributo diagnostico dell’IA è di supporto e non sostitutivo.</w:t>
      </w:r>
    </w:p>
  </w:footnote>
  <w:footnote w:id="1216">
    <w:p>
      <w:pPr>
        <w:pStyle w:val="FootnoteText"/>
      </w:pPr>
      <w:r>
        <w:rPr>
          <w:rStyle w:val="FootnoteReference"/>
        </w:rPr>
        <w:footnoteRef/>
      </w:r>
      <w:r>
        <w:t xml:space="preserve"> </w:t>
      </w:r>
      <w:r>
        <w:t xml:space="preserve">Diagnostica in salute mentale: gli strumenti di valutazione iniziale assistita e di stratificazione del rischio operano sui questionari validati impiegati nei soli punteggi complessivi e su dati clinici e contestuali, con funzione di orientamento del percorso e di anticipazione della presa in carico; la decisione clinica resta in capo al professionista, e gli strumenti non effettuano diagnosi autonome.</w:t>
      </w:r>
    </w:p>
  </w:footnote>
  <w:footnote w:id="1217">
    <w:p>
      <w:pPr>
        <w:pStyle w:val="FootnoteText"/>
      </w:pPr>
      <w:r>
        <w:rPr>
          <w:rStyle w:val="FootnoteReference"/>
        </w:rPr>
        <w:footnoteRef/>
      </w:r>
      <w:r>
        <w:t xml:space="preserve"> </w:t>
      </w:r>
      <w:r>
        <w:t xml:space="preserve">Prevenzione e predizione: la stratificazione del rischio sulla popolazione assistita consente di individuare i soggetti a maggiore probabilità di evoluzione clinica e di concentrarvi le risorse, con potenziale riduzione delle riospedalizzazioni e degli accessi impropri; il beneficio economico dipende dalla capacità di tradurre la segnalazione in un intervento tempestivo, e va misurato sul campo anziché assunto.</w:t>
      </w:r>
    </w:p>
  </w:footnote>
  <w:footnote w:id="1218">
    <w:p>
      <w:pPr>
        <w:pStyle w:val="FootnoteText"/>
      </w:pPr>
      <w:r>
        <w:rPr>
          <w:rStyle w:val="FootnoteReference"/>
        </w:rPr>
        <w:footnoteRef/>
      </w:r>
      <w:r>
        <w:t xml:space="preserve"> </w:t>
      </w:r>
      <w:r>
        <w:t xml:space="preserve">Trattamento — dispositivi terapeutici digitali su prescrizione: il modello tedesco delle applicazioni sanitarie digitali, primo a prevederne la rimborsabilità, ne ammette l’iscrizione in via provvisoria subordinandola alla dimostrazione di un effetto terapeutico entro dodici mesi per l’iscrizione definitiva; alcuni prodotti sono stati rimossi dall’elenco per evidenza insufficiente, a riprova del rigore richiesto e della variabilità della qualità.</w:t>
      </w:r>
    </w:p>
  </w:footnote>
  <w:footnote w:id="1219">
    <w:p>
      <w:pPr>
        <w:pStyle w:val="FootnoteText"/>
      </w:pPr>
      <w:r>
        <w:rPr>
          <w:rStyle w:val="FootnoteReference"/>
        </w:rPr>
        <w:footnoteRef/>
      </w:r>
      <w:r>
        <w:t xml:space="preserve"> </w:t>
      </w:r>
      <w:r>
        <w:t xml:space="preserve">Trattamento — interventi psicologici digitali e programmi di terapie psicologiche: l’esperienza britannica integra programmi digitali di terapia cognitivo-comportamentale nel percorso delle cure primarie, con supervisione professionale; gli interventi a bassa intensità sono il primo gradino del modello a intensità crescente e liberano capacità specialistica per i casi più complessi.</w:t>
      </w:r>
    </w:p>
  </w:footnote>
  <w:footnote w:id="1220">
    <w:p>
      <w:pPr>
        <w:pStyle w:val="FootnoteText"/>
      </w:pPr>
      <w:r>
        <w:rPr>
          <w:rStyle w:val="FootnoteReference"/>
        </w:rPr>
        <w:footnoteRef/>
      </w:r>
      <w:r>
        <w:t xml:space="preserve"> </w:t>
      </w:r>
      <w:r>
        <w:t xml:space="preserve">Trattamento — agenti conversazionali: le revisioni sistematiche con meta-analisi di studi controllati randomizzati documentano effetti di entità ridotta sui sintomi depressivi e ansiosi, più evidenti intorno all’ottava settimana e non più sostanziali al controllo a tre mesi; il beneficio è dunque reale ma modesto e non durevole, e va inquadrato come complemento e non come sostituto dell’intervento professionale.</w:t>
      </w:r>
    </w:p>
  </w:footnote>
  <w:footnote w:id="1221">
    <w:p>
      <w:pPr>
        <w:pStyle w:val="FootnoteText"/>
      </w:pPr>
      <w:r>
        <w:rPr>
          <w:rStyle w:val="FootnoteReference"/>
        </w:rPr>
        <w:footnoteRef/>
      </w:r>
      <w:r>
        <w:t xml:space="preserve"> </w:t>
      </w:r>
      <w:r>
        <w:t xml:space="preserve">Trattamento — sicurezza degli agenti generativi: la letteratura segnala che i modelli linguistici generativi non sono ancora idonei all’erogazione autonoma e sicura di interventi pluri-settimanali in salute mentale, per il rischio di risposte inappropriate, di stigmatizzazione e di allucinazione; gli strumenti validati adottano per questo architetture a regole o ibride, con supervisione umana costante e protocolli di rinvio ai servizi specialistici e dell’emergenza.</w:t>
      </w:r>
    </w:p>
  </w:footnote>
  <w:footnote w:id="1222">
    <w:p>
      <w:pPr>
        <w:pStyle w:val="FootnoteText"/>
      </w:pPr>
      <w:r>
        <w:rPr>
          <w:rStyle w:val="FootnoteReference"/>
        </w:rPr>
        <w:footnoteRef/>
      </w:r>
      <w:r>
        <w:t xml:space="preserve"> </w:t>
      </w:r>
      <w:r>
        <w:t xml:space="preserve">Riabilitazione e recupero: il monitoraggio remoto continuo, l’adattamento personalizzato dei percorsi e i sistemi di rilevazione precoce delle ricadute sostengono la continuità assistenziale e possono ridurre le interruzioni di percorso; anche in questo dominio il valore economico dipende dall’effettiva integrazione nei flussi di lavoro e va verificato empiricamente.</w:t>
      </w:r>
    </w:p>
  </w:footnote>
  <w:footnote w:id="1223">
    <w:p>
      <w:pPr>
        <w:pStyle w:val="FootnoteText"/>
      </w:pPr>
      <w:r>
        <w:rPr>
          <w:rStyle w:val="FootnoteReference"/>
        </w:rPr>
        <w:footnoteRef/>
      </w:r>
      <w:r>
        <w:t xml:space="preserve"> </w:t>
      </w:r>
      <w:r>
        <w:t xml:space="preserve">Efficientamento gestionale — documentazione clinica assistita: gli studi controllati randomizzati e le analisi a serie temporali interrotte sugli strumenti di documentazione ambientale rilevano una riduzione del tempo dedicato alla nota clinica, di entità modesta e variabile tra gli studi, e una sensibile diminuzione del logoramento professionale, sino a riduzioni della prevalenza del burnout dell’ordine di venti punti percentuali in alcuni contesti.</w:t>
      </w:r>
    </w:p>
  </w:footnote>
  <w:footnote w:id="1224">
    <w:p>
      <w:pPr>
        <w:pStyle w:val="FootnoteText"/>
      </w:pPr>
      <w:r>
        <w:rPr>
          <w:rStyle w:val="FootnoteReference"/>
        </w:rPr>
        <w:footnoteRef/>
      </w:r>
      <w:r>
        <w:t xml:space="preserve"> </w:t>
      </w:r>
      <w:r>
        <w:t xml:space="preserve">Efficientamento gestionale — cautela sulla traduzione in risparmio: gli stessi studi documentano che la durata della visita e il tempo-ciclo complessivo restano invariati, sicché la documentazione assistita non aumenta di per sé il numero di pazienti trattati né la produttività di sistema; il beneficio prevalente è sulla qualità del lavoro e sulla ritenzione del personale, e solo indirettamente sui costi.</w:t>
      </w:r>
    </w:p>
  </w:footnote>
  <w:footnote w:id="1225">
    <w:p>
      <w:pPr>
        <w:pStyle w:val="FootnoteText"/>
      </w:pPr>
      <w:r>
        <w:rPr>
          <w:rStyle w:val="FootnoteReference"/>
        </w:rPr>
        <w:footnoteRef/>
      </w:r>
      <w:r>
        <w:t xml:space="preserve"> </w:t>
      </w:r>
      <w:r>
        <w:t xml:space="preserve">Cornice regolatoria europea — regolamento sull’intelligenza artificiale: il regolamento è in vigore dal 2025, con applicazione progressiva; gli obblighi per i sistemi ad alto rischio incorporati nei dispositivi medici sono stati differiti, da un pacchetto di semplificazione, oltre il 2027, mentre gli obblighi di trasparenza che impongono di rendere noto all’utente che interagisce con un sistema di intelligenza artificiale si applicano dall’agosto 2026.</w:t>
      </w:r>
    </w:p>
  </w:footnote>
  <w:footnote w:id="1226">
    <w:p>
      <w:pPr>
        <w:pStyle w:val="FootnoteText"/>
      </w:pPr>
      <w:r>
        <w:rPr>
          <w:rStyle w:val="FootnoteReference"/>
        </w:rPr>
        <w:footnoteRef/>
      </w:r>
      <w:r>
        <w:t xml:space="preserve"> </w:t>
      </w:r>
      <w:r>
        <w:t xml:space="preserve">Cornice regolatoria europea — dispositivi medici e protezione dei dati: i dispositivi medici basati su intelligenza artificiale restano disciplinati dal regolamento sui dispositivi medici e da quello sui dispositivi diagnostici in vitro, con marcatura CE rilasciata da organismo notificato; il regolamento generale sulla protezione dei dati governa il trattamento dei dati personali, ultrasensibili in salute mentale, con crittografia, pseudonimizzazione e consenso modulare.</w:t>
      </w:r>
    </w:p>
  </w:footnote>
  <w:footnote w:id="1227">
    <w:p>
      <w:pPr>
        <w:pStyle w:val="FootnoteText"/>
      </w:pPr>
      <w:r>
        <w:rPr>
          <w:rStyle w:val="FootnoteReference"/>
        </w:rPr>
        <w:footnoteRef/>
      </w:r>
      <w:r>
        <w:t xml:space="preserve"> </w:t>
      </w:r>
      <w:r>
        <w:t xml:space="preserve">Perimetro della spesa influenzabile: la quantificazione si applica non all’intero finanziamento sanitario, ma alle sole voci su cui l’integrazione dell’intelligenza artificiale agisce in modo plausibile — i costi diretti di gestione del servizio, gli accessi impropri al pronto soccorso per cause psichiatriche, una quota della spesa farmaceutica e specialistica associata ai disturbi comuni e ai sintomi somatici funzionali, e le riospedalizzazioni evitabili.</w:t>
      </w:r>
    </w:p>
  </w:footnote>
  <w:footnote w:id="1228">
    <w:p>
      <w:pPr>
        <w:pStyle w:val="FootnoteText"/>
      </w:pPr>
      <w:r>
        <w:rPr>
          <w:rStyle w:val="FootnoteReference"/>
        </w:rPr>
        <w:footnoteRef/>
      </w:r>
      <w:r>
        <w:t xml:space="preserve"> </w:t>
      </w:r>
      <w:r>
        <w:t xml:space="preserve">Metodo della profondità di adozione: l’ulteriore risparmio non è un valore puntuale, ma una funzione della quota di professionisti e di sedi che adottano effettivamente gli strumenti e del grado di integrazione nei percorsi; lo studio impiega perciò scenari di adozione — prudente, di base ed espansivo — e non un unico moltiplicatore, e sottrae la quota di beneficio che si sarebbe verificata comunque.</w:t>
      </w:r>
    </w:p>
  </w:footnote>
  <w:footnote w:id="1229">
    <w:p>
      <w:pPr>
        <w:pStyle w:val="FootnoteText"/>
      </w:pPr>
      <w:r>
        <w:rPr>
          <w:rStyle w:val="FootnoteReference"/>
        </w:rPr>
        <w:footnoteRef/>
      </w:r>
      <w:r>
        <w:t xml:space="preserve"> </w:t>
      </w:r>
      <w:r>
        <w:t xml:space="preserve">Stima dell’incremento sui costi diretti del servizio: la letteratura sull’automazione amministrativa e gestionale sostiene una riduzione prudenziale dell’ordine del 3-5% dei costi diretti di gestione del servizio a regime, attribuibile alla documentazione assistita, alla pianificazione e all’ottimizzazione dei percorsi, da intendersi come limite superiore in assenza di dati italiani certificati.</w:t>
      </w:r>
    </w:p>
  </w:footnote>
  <w:footnote w:id="1230">
    <w:p>
      <w:pPr>
        <w:pStyle w:val="FootnoteText"/>
      </w:pPr>
      <w:r>
        <w:rPr>
          <w:rStyle w:val="FootnoteReference"/>
        </w:rPr>
        <w:footnoteRef/>
      </w:r>
      <w:r>
        <w:t xml:space="preserve"> </w:t>
      </w:r>
      <w:r>
        <w:t xml:space="preserve">Distinzione tra risparmio diretto e valore sul piano sociale: la parte preponderante del valore aggiunto dall’intelligenza artificiale non transita per il bilancio sanitario, ma per l’ampliamento della capacità e dell’accesso — più persone raggiunte a parità di organico, attese più brevi, maggiore continuità — e si riflette quindi nel ritorno economico-sociale più che nel risparmio di cassa, coerentemente con la distinzione cardine dell’intero studio.</w:t>
      </w:r>
    </w:p>
  </w:footnote>
  <w:footnote w:id="1231">
    <w:p>
      <w:pPr>
        <w:pStyle w:val="FootnoteText"/>
      </w:pPr>
      <w:r>
        <w:rPr>
          <w:rStyle w:val="FootnoteReference"/>
        </w:rPr>
        <w:footnoteRef/>
      </w:r>
      <w:r>
        <w:t xml:space="preserve"> </w:t>
      </w:r>
      <w:r>
        <w:t xml:space="preserve">Ordine di grandezza per la Puglia: integrando i parametri del modello-base con gli scenari di adozione, l’ulteriore beneficio economico complessivo attribuibile all’intelligenza artificiale è dell’ordine di 15-40 milioni di euro l’anno a regime, in larga parte di natura sociale e di produttività e solo per una quota minore di natura direttamente finanziaria; la cifra è prudenziale, non ponderata per l’equità e da confermare sui dati regionali.</w:t>
      </w:r>
    </w:p>
  </w:footnote>
  <w:footnote w:id="1232">
    <w:p>
      <w:pPr>
        <w:pStyle w:val="FootnoteText"/>
      </w:pPr>
      <w:r>
        <w:rPr>
          <w:rStyle w:val="FootnoteReference"/>
        </w:rPr>
        <w:footnoteRef/>
      </w:r>
      <w:r>
        <w:t xml:space="preserve"> </w:t>
      </w:r>
      <w:r>
        <w:t xml:space="preserve">Trasferimento al livello nazionale: applicando il medesimo metodo per quota di popolazione e per fattori di aggiustamento regionale, l’incremento nazionale si colloca in un intervallo ampio e prudenziale, da affinare nei capitoli regionali successivi con i dati certificati delle aziende sanitarie; lo studio non aggrega le stime regionali in un valore unico prima di tale affinamento.</w:t>
      </w:r>
    </w:p>
  </w:footnote>
  <w:footnote w:id="1233">
    <w:p>
      <w:pPr>
        <w:pStyle w:val="FootnoteText"/>
      </w:pPr>
      <w:r>
        <w:rPr>
          <w:rStyle w:val="FootnoteReference"/>
        </w:rPr>
        <w:footnoteRef/>
      </w:r>
      <w:r>
        <w:t xml:space="preserve"> </w:t>
      </w:r>
      <w:r>
        <w:t xml:space="preserve">Ritorno sull’investimento formativo: la realizzazione dei risparmi dipende dalle competenze del personale, sviluppate attraverso le quattro modalità formative già descritte; l’investimento in formazione e affiancamento è di entità contenuta rispetto al beneficio atteso, ma ne è condizione necessaria, e il suo ritorno va misurato nel tempo unitamente agli esiti del servizio.</w:t>
      </w:r>
    </w:p>
  </w:footnote>
  <w:footnote w:id="1234">
    <w:p>
      <w:pPr>
        <w:pStyle w:val="FootnoteText"/>
      </w:pPr>
      <w:r>
        <w:rPr>
          <w:rStyle w:val="FootnoteReference"/>
        </w:rPr>
        <w:footnoteRef/>
      </w:r>
      <w:r>
        <w:t xml:space="preserve"> </w:t>
      </w:r>
      <w:r>
        <w:t xml:space="preserve">Agenda di verifica empirica: tutte le stime qui esposte hanno natura di proiezione e richiedono conferma mediante l’acquisizione dei dati certificati, l’avvio della rilevazione di servizio e la valutazione controfattuale d’impatto; il programma di misurazione già definito per il modello-base si estende all’integrazione dell’intelligenza artificiale, di cui isola l’effetto proprio.</w:t>
      </w:r>
    </w:p>
  </w:footnote>
  <w:footnote w:id="1235">
    <w:p>
      <w:pPr>
        <w:pStyle w:val="FootnoteText"/>
      </w:pPr>
      <w:r>
        <w:rPr>
          <w:rStyle w:val="FootnoteReference"/>
        </w:rPr>
        <w:footnoteRef/>
      </w:r>
      <w:r>
        <w:t xml:space="preserve"> </w:t>
      </w:r>
      <w:r>
        <w:t xml:space="preserve">Roadmap, Fasi 1 e 2: le proiezioni economiche e sociali (rapporto beneficio-costo, ritorno sociale di circa 8,6:1) e l’Analisi di Impatto della Regolamentazione costituiscono le ipotesi che la sperimentazione e chiamata a verificare empiricamente, trasformando le stime in prove.</w:t>
      </w:r>
    </w:p>
  </w:footnote>
  <w:footnote w:id="1236">
    <w:p>
      <w:pPr>
        <w:pStyle w:val="FootnoteText"/>
      </w:pPr>
      <w:r>
        <w:rPr>
          <w:rStyle w:val="FootnoteReference"/>
        </w:rPr>
        <w:footnoteRef/>
      </w:r>
      <w:r>
        <w:t xml:space="preserve"> </w:t>
      </w:r>
      <w:r>
        <w:t xml:space="preserve">Roadmap, Fase 4: il sistema di monitoraggio e valutazione (indicatori di struttura, processo, esito e impatto secondo Donabedian) e il disegno della valutazione controfattuale; la sperimentazione ne costituisce la prima applicazione su scala ridotta.</w:t>
      </w:r>
    </w:p>
  </w:footnote>
  <w:footnote w:id="1237">
    <w:p>
      <w:pPr>
        <w:pStyle w:val="FootnoteText"/>
      </w:pPr>
      <w:r>
        <w:rPr>
          <w:rStyle w:val="FootnoteReference"/>
        </w:rPr>
        <w:footnoteRef/>
      </w:r>
      <w:r>
        <w:t xml:space="preserve"> </w:t>
      </w:r>
      <w:r>
        <w:t xml:space="preserve">Approccio della sperimentazione pragmatica (pragmatic trial): la valutazione avviene in condizioni reali di servizio, con criteri di inclusione ampi e esiti rilevanti per la pratica e per le decisioni di politica sanitaria, a garanzia della trasferibilita dei risultati.</w:t>
      </w:r>
    </w:p>
  </w:footnote>
  <w:footnote w:id="1238">
    <w:p>
      <w:pPr>
        <w:pStyle w:val="FootnoteText"/>
      </w:pPr>
      <w:r>
        <w:rPr>
          <w:rStyle w:val="FootnoteReference"/>
        </w:rPr>
        <w:footnoteRef/>
      </w:r>
      <w:r>
        <w:t xml:space="preserve"> </w:t>
      </w:r>
      <w:r>
        <w:t xml:space="preserve">Hussey M.A., Hughes J.P. (Contemporary Clinical Trials, 2007); Hemming K. et al. (BMJ, 2015): il disegno stepped-wedge, nel quale le sedi passano in sequenza dalla condizione di controllo a quella di intervento, e particolarmente adatto a una sperimentazione dispiegata progressivamente per ragioni organizzative.</w:t>
      </w:r>
    </w:p>
  </w:footnote>
  <w:footnote w:id="1239">
    <w:p>
      <w:pPr>
        <w:pStyle w:val="FootnoteText"/>
      </w:pPr>
      <w:r>
        <w:rPr>
          <w:rStyle w:val="FootnoteReference"/>
        </w:rPr>
        <w:footnoteRef/>
      </w:r>
      <w:r>
        <w:t xml:space="preserve"> </w:t>
      </w:r>
      <w:r>
        <w:t xml:space="preserve">Roadmap, Fase 3: il piano operativo di implementazione e l’articolato definiscono il contenuto dell’intervento (assistenza psicologica primaria, IA, telepsicologia, formazione a quattro livelli), che la sperimentazione eroga su scala ridotta.</w:t>
      </w:r>
    </w:p>
  </w:footnote>
  <w:footnote w:id="1240">
    <w:p>
      <w:pPr>
        <w:pStyle w:val="FootnoteText"/>
      </w:pPr>
      <w:r>
        <w:rPr>
          <w:rStyle w:val="FootnoteReference"/>
        </w:rPr>
        <w:footnoteRef/>
      </w:r>
      <w:r>
        <w:t xml:space="preserve"> </w:t>
      </w:r>
      <w:r>
        <w:t xml:space="preserve">Monitoraggio routinario degli esiti con strumenti standardizzati (PHQ-9 per i sintomi depressivi, GAD-7 per i sintomi d’ansia), secondo il modello dei programmi internazionali di terapie psicologiche, che consente il calcolo oggettivo del miglioramento clinico e del tasso di recupero.</w:t>
      </w:r>
    </w:p>
  </w:footnote>
  <w:footnote w:id="1241">
    <w:p>
      <w:pPr>
        <w:pStyle w:val="FootnoteText"/>
      </w:pPr>
      <w:r>
        <w:rPr>
          <w:rStyle w:val="FootnoteReference"/>
        </w:rPr>
        <w:footnoteRef/>
      </w:r>
      <w:r>
        <w:t xml:space="preserve"> </w:t>
      </w:r>
      <w:r>
        <w:t xml:space="preserve">Hussey M.A., Hughes J.P. (Contemporary Clinical Trials, 2007); Hemming K. et al. (BMJ, 2015): il disegno stepped-wedge, nel quale le sedi passano in sequenza dalla condizione di controllo a quella di intervento, e particolarmente adatto a una sperimentazione dispiegata progressivamente per ragioni organizzative.</w:t>
      </w:r>
    </w:p>
  </w:footnote>
  <w:footnote w:id="1242">
    <w:p>
      <w:pPr>
        <w:pStyle w:val="FootnoteText"/>
      </w:pPr>
      <w:r>
        <w:rPr>
          <w:rStyle w:val="FootnoteReference"/>
        </w:rPr>
        <w:footnoteRef/>
      </w:r>
      <w:r>
        <w:t xml:space="preserve"> </w:t>
      </w:r>
      <w:r>
        <w:t xml:space="preserve">Normativa in materia di protezione dei dati personali; approvazione del comitato etico territorialmente competente; conformita dei sistemi di IA e dei dispositivi digitali al regolamento europeo sull’IA e alla disciplina sui dispositivi medici; consenso informato dei partecipanti.</w:t>
      </w:r>
    </w:p>
  </w:footnote>
  <w:footnote w:id="1243">
    <w:p>
      <w:pPr>
        <w:pStyle w:val="FootnoteText"/>
      </w:pPr>
      <w:r>
        <w:rPr>
          <w:rStyle w:val="FootnoteReference"/>
        </w:rPr>
        <w:footnoteRef/>
      </w:r>
      <w:r>
        <w:t xml:space="preserve"> </w:t>
      </w:r>
      <w:r>
        <w:t xml:space="preserve">Progetto Psicologo di Base — Sintesi nazionale: gli esiti della sperimentazione informano la calibrazione del modello e la stima dei benefici a scala nazionale (onere a regime circa 683 milioni; saldo netto dell’ordine di 9,6-9,8 miliardi), a sostegno dell’iniziativa legislativa.</w:t>
      </w:r>
    </w:p>
  </w:footnote>
  <w:footnote w:id="1244">
    <w:p>
      <w:pPr>
        <w:pStyle w:val="FootnoteText"/>
      </w:pPr>
      <w:r>
        <w:rPr>
          <w:rStyle w:val="FootnoteReference"/>
        </w:rPr>
        <w:footnoteRef/>
      </w:r>
      <w:r>
        <w:t xml:space="preserve"> </w:t>
      </w:r>
      <w:r>
        <w:t xml:space="preserve">Roadmap, Fasi 1 e 2: le proiezioni economiche e sociali (rapporto beneficio-costo, ritorno sociale di circa 8,6:1) e l’Analisi di Impatto della Regolamentazione costituiscono le ipotesi che la sperimentazione e chiamata a verificare empiricamente, trasformando le stime in prove.</w:t>
      </w:r>
    </w:p>
  </w:footnote>
  <w:footnote w:id="1245">
    <w:p>
      <w:pPr>
        <w:pStyle w:val="FootnoteText"/>
      </w:pPr>
      <w:r>
        <w:rPr>
          <w:rStyle w:val="FootnoteReference"/>
        </w:rPr>
        <w:footnoteRef/>
      </w:r>
      <w:r>
        <w:t xml:space="preserve"> </w:t>
      </w:r>
      <w:r>
        <w:t xml:space="preserve">Progetto Psicologo di Base — Sintesi nazionale: gli esiti della sperimentazione informano la calibrazione del modello e la stima dei benefici a scala nazionale (onere a regime circa 683 milioni; saldo netto dell’ordine di 9,6-9,8 miliardi), a sostegno dell’iniziativa legislativa.</w:t>
      </w:r>
    </w:p>
  </w:footnote>
  <w:footnote w:id="1246">
    <w:p>
      <w:pPr>
        <w:pStyle w:val="FootnoteText"/>
      </w:pPr>
      <w:r>
        <w:rPr>
          <w:rStyle w:val="FootnoteReference"/>
        </w:rPr>
        <w:footnoteRef/>
      </w:r>
      <w:r>
        <w:t xml:space="preserve"> </w:t>
      </w:r>
      <w:r>
        <w:t xml:space="preserve">Decreto del Presidente del Consiglio dei ministri 15 settembre 2017, n. 169, e relativa Guida all’analisi e alla verifica dell’impatto della regolamentazione: la consultazione dei destinatari e dei portatori di interesse e parte integrante dell’istruttoria, e serve ad acquisire elementi conoscitivi e ad accrescere la trasparenza e la legittimazione dell’intervento.</w:t>
      </w:r>
    </w:p>
  </w:footnote>
  <w:footnote w:id="1247">
    <w:p>
      <w:pPr>
        <w:pStyle w:val="FootnoteText"/>
      </w:pPr>
      <w:r>
        <w:rPr>
          <w:rStyle w:val="FootnoteReference"/>
        </w:rPr>
        <w:footnoteRef/>
      </w:r>
      <w:r>
        <w:t xml:space="preserve"> </w:t>
      </w:r>
      <w:r>
        <w:t xml:space="preserve">Analisi di Impatto della Regolamentazione del progetto (Roadmap, Fase 2), che ha gia individuato i soggetti da consultare e ne ha previsto il coinvolgimento sia nella fase di elaborazione sia su uno schema di intervento definito.</w:t>
      </w:r>
    </w:p>
  </w:footnote>
  <w:footnote w:id="1248">
    <w:p>
      <w:pPr>
        <w:pStyle w:val="FootnoteText"/>
      </w:pPr>
      <w:r>
        <w:rPr>
          <w:rStyle w:val="FootnoteReference"/>
        </w:rPr>
        <w:footnoteRef/>
      </w:r>
      <w:r>
        <w:t xml:space="preserve"> </w:t>
      </w:r>
      <w:r>
        <w:t xml:space="preserve">I soggetti del territorio pugliese — Ordine degli Psicologi della Puglia, Ordine dei Medici, aziende sanitarie locali, Centri di Salute Mentale, associazioni dei pazienti e dei familiari — costituiscono il primo perimetro della consultazione, a servizio sia dell’eventuale iniziativa regionale sia del rafforzamento della proposta nazionale; la consultazione e replicabile presso gli omologhi organismi nazionali.</w:t>
      </w:r>
    </w:p>
  </w:footnote>
  <w:footnote w:id="1249">
    <w:p>
      <w:pPr>
        <w:pStyle w:val="FootnoteText"/>
      </w:pPr>
      <w:r>
        <w:rPr>
          <w:rStyle w:val="FootnoteReference"/>
        </w:rPr>
        <w:footnoteRef/>
      </w:r>
      <w:r>
        <w:t xml:space="preserve"> </w:t>
      </w:r>
      <w:r>
        <w:t xml:space="preserve">Proposta di riforma e dossier tecnico (modello pugliese esteso a scala nazionale): a fronte di un onere a regime dell’ordine di 683 milioni di euro l’anno, risparmi complessivi dell’ordine di 8-12,6 miliardi e un saldo netto dell’ordine di 9,6-9,8 miliardi; ritorno sociale di circa 8,6:1.</w:t>
      </w:r>
    </w:p>
  </w:footnote>
  <w:footnote w:id="1250">
    <w:p>
      <w:pPr>
        <w:pStyle w:val="FootnoteText"/>
      </w:pPr>
      <w:r>
        <w:rPr>
          <w:rStyle w:val="FootnoteReference"/>
        </w:rPr>
        <w:footnoteRef/>
      </w:r>
      <w:r>
        <w:t xml:space="preserve"> </w:t>
      </w:r>
      <w:r>
        <w:t xml:space="preserve">Posizione del Piemonte: la Regione è stata la prima in Italia ad attivare, a livello regionale, il servizio di psicologia delle cure primarie, operativo dal marzo 2023. Il servizio è stato finanziato dapprima con fondi statali e poi rifinanziato con risorse regionali, ripartite alle Aziende Sanitarie Locali secondo il criterio della quota capitaria; al 31 dicembre 2023 risultavano presi in carico oltre 3.000 pazienti, con oltre 15.000 prestazioni erogate. Manca tuttavia una legge regionale dedicata: sono stati presentati più disegni di legge, nessuno dei quali approvato, e il servizio opera su base libero-professionale. La cornice di riferimento è la rete territoriale delle Case della Comunità e delle Case della Salute.</w:t>
      </w:r>
    </w:p>
  </w:footnote>
  <w:footnote w:id="1251">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252">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dodici Aziende Sanitarie Locali e alle Aziende Ospedaliero-Universitarie; il Piemonte dispone inoltre dei propri dati di esito del servizio attivo, da consolidare come fonte primaria di calibrazione.</w:t>
      </w:r>
    </w:p>
  </w:footnote>
  <w:footnote w:id="1253">
    <w:p>
      <w:pPr>
        <w:pStyle w:val="FootnoteText"/>
      </w:pPr>
      <w:r>
        <w:rPr>
          <w:rStyle w:val="FootnoteReference"/>
        </w:rPr>
        <w:footnoteRef/>
      </w:r>
      <w:r>
        <w:t xml:space="preserve"> </w:t>
      </w:r>
      <w:r>
        <w:t xml:space="preserve">Verifica empirica: poiché il servizio è già attivo in tutte le dodici Aziende Sanitarie Locali, la verifica non poggia su un dispiegamento scaglionato a partire da zero, ma sul confronto prima-dopo l’attivazione del 2023 e sull’eterogeneità dell’intensità di copertura tra le aziende, oggetto della Parte L, che riduce l’incertezza sostituendo le stime con misure osservate sui dati piemontesi.</w:t>
      </w:r>
    </w:p>
  </w:footnote>
  <w:footnote w:id="1254">
    <w:p>
      <w:pPr>
        <w:pStyle w:val="FootnoteText"/>
      </w:pPr>
      <w:r>
        <w:rPr>
          <w:rStyle w:val="FootnoteReference"/>
        </w:rPr>
        <w:footnoteRef/>
      </w:r>
      <w:r>
        <w:t xml:space="preserve"> </w:t>
      </w:r>
      <w:r>
        <w:t xml:space="preserve">Disagio giovanile: è una componente rilevante, su cui la stessa Regione ha investito istituendo per legge un servizio di psicologia scolastica, ad affiancamento dei docenti; i fenomeni di ansia e disagio tra alunni e insegnanti sono in crescita, e la quota già intercettata rappresenta presumibilmente solo una frazione del bisogno reale.</w:t>
      </w:r>
    </w:p>
  </w:footnote>
  <w:footnote w:id="1255">
    <w:p>
      <w:pPr>
        <w:pStyle w:val="FootnoteText"/>
      </w:pPr>
      <w:r>
        <w:rPr>
          <w:rStyle w:val="FootnoteReference"/>
        </w:rPr>
        <w:footnoteRef/>
      </w:r>
      <w:r>
        <w:t xml:space="preserve"> </w:t>
      </w:r>
      <w:r>
        <w:t xml:space="preserve">Salute mentale connessa al lavoro: nella popolazione attiva, ampia parte dei lavoratori è esposta a fattori di stress correlati al lavoro; l’intercettazione precoce del disagio ha un valore particolarmente elevato in termini di produttività recuperata.</w:t>
      </w:r>
    </w:p>
  </w:footnote>
  <w:footnote w:id="1256">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il tratto più caratteristico del fabbisogno piemontese, accentuato nelle aree interne e alpine, più anziane e a maggiore difficoltà di accesso.</w:t>
      </w:r>
    </w:p>
  </w:footnote>
  <w:footnote w:id="1257">
    <w:p>
      <w:pPr>
        <w:pStyle w:val="FootnoteText"/>
      </w:pPr>
      <w:r>
        <w:rPr>
          <w:rStyle w:val="FootnoteReference"/>
        </w:rPr>
        <w:footnoteRef/>
      </w:r>
      <w:r>
        <w:t xml:space="preserve"> </w:t>
      </w:r>
      <w:r>
        <w:t xml:space="preserve">Tratto distintivo del Piemonte rispetto alle altre regioni: non la dimensione multiculturale, contenuta, ma la combinazione fra un invecchiamento marcato con ampie aree interne e alpine e la condizione di Regione che ha già attivato e reso operativo il servizio — prima in Italia — producendo numeri verificabili, ma su una base normativa precaria; il bisogno è quindi accompagnato da un’esperienza operativa concreta da consolidare.</w:t>
      </w:r>
    </w:p>
  </w:footnote>
  <w:footnote w:id="1258">
    <w:p>
      <w:pPr>
        <w:pStyle w:val="FootnoteText"/>
      </w:pPr>
      <w:r>
        <w:rPr>
          <w:rStyle w:val="FootnoteReference"/>
        </w:rPr>
        <w:footnoteRef/>
      </w:r>
      <w:r>
        <w:t xml:space="preserve"> </w:t>
      </w:r>
      <w:r>
        <w:t xml:space="preserve">Accessi al pronto soccorso per cause psichiatriche stimati nell’ordine di 34.000-35.000 l’anno, per proiezione dai circa 479.000 accessi psichiatrici nazionali rilevati nel 2021 (pari al 3,3% del totale); una quota è riconducibile a disagio comune non intercettato a monte.</w:t>
      </w:r>
    </w:p>
  </w:footnote>
  <w:footnote w:id="1259">
    <w:p>
      <w:pPr>
        <w:pStyle w:val="FootnoteText"/>
      </w:pPr>
      <w:r>
        <w:rPr>
          <w:rStyle w:val="FootnoteReference"/>
        </w:rPr>
        <w:footnoteRef/>
      </w:r>
      <w:r>
        <w:t xml:space="preserve"> </w:t>
      </w:r>
      <w:r>
        <w:t xml:space="preserve">Offerta territoriale: il Piemonte è stato la prima Regione in Italia ad attivare, dal marzo 2023, un servizio regionale di psicologia delle cure primarie, articolato in tutte le Aziende Sanitarie Locali e finanziato a quota capitaria; nel primo anno di attività ha preso in carico oltre 3.000 pazienti con oltre 15.000 prestazioni. Il servizio opera però su base libero-professionale, senza una legge regionale dedicata, e copre una frazione ridotta del fabbisogno.</w:t>
      </w:r>
    </w:p>
  </w:footnote>
  <w:footnote w:id="1260">
    <w:p>
      <w:pPr>
        <w:pStyle w:val="FootnoteText"/>
      </w:pPr>
      <w:r>
        <w:rPr>
          <w:rStyle w:val="FootnoteReference"/>
        </w:rPr>
        <w:footnoteRef/>
      </w:r>
      <w:r>
        <w:t xml:space="preserve"> </w:t>
      </w:r>
      <w:r>
        <w:t xml:space="preserve">Fabbisogno a regime stimato nell’ordine di 920 psicologi (intervallo 880-960). L’Ordine degli Psicologi del Piemonte, che ha accompagnato l’attivazione del servizio, ha sollecitato una legge che istituisca la figura dello psicologo di assistenza primaria con un rapporto convenzionale analogo a quello dei medici di medicina generale, a stabilizzazione di un servizio oggi affidato a incarichi libero-professionali.</w:t>
      </w:r>
    </w:p>
  </w:footnote>
  <w:footnote w:id="1261">
    <w:p>
      <w:pPr>
        <w:pStyle w:val="FootnoteText"/>
      </w:pPr>
      <w:r>
        <w:rPr>
          <w:rStyle w:val="FootnoteReference"/>
        </w:rPr>
        <w:footnoteRef/>
      </w:r>
      <w:r>
        <w:t xml:space="preserve"> </w:t>
      </w:r>
      <w:r>
        <w:t xml:space="preserve">Copertura attuale del fabbisogno ridotta: il servizio è attivo ma dimensionato a circa il 5% del bisogno potenziale; i numeri del primo anno — oltre tremila pazienti e oltre quindicimila prestazioni — dimostrano la capacità di intercettazione del modello, ma anche la distanza dalla copertura del fabbisogno.</w:t>
      </w:r>
    </w:p>
  </w:footnote>
  <w:footnote w:id="1262">
    <w:p>
      <w:pPr>
        <w:pStyle w:val="FootnoteText"/>
      </w:pPr>
      <w:r>
        <w:rPr>
          <w:rStyle w:val="FootnoteReference"/>
        </w:rPr>
        <w:footnoteRef/>
      </w:r>
      <w:r>
        <w:t xml:space="preserve"> </w:t>
      </w:r>
      <w:r>
        <w:t xml:space="preserve">Disuguaglianze e divari territoriali: il divario rilevante in Piemonte si articola su due assi principali — la dualità fra l’area metropolitana torinese e le aree interne e alpine, anziane e in spopolamento, dove l’accesso è strutturalmente più difficoltoso; e la fragilità delle province di confine orientali, dove la mobilità passiva verso le regioni limitrofe è elevata. A ciò si aggiungono le liste di attesa. La telepsicologia assistita è lo strumento per avvicinare l’offerta alle aree interne.</w:t>
      </w:r>
    </w:p>
  </w:footnote>
  <w:footnote w:id="1263">
    <w:p>
      <w:pPr>
        <w:pStyle w:val="FootnoteText"/>
      </w:pPr>
      <w:r>
        <w:rPr>
          <w:rStyle w:val="FootnoteReference"/>
        </w:rPr>
        <w:footnoteRef/>
      </w:r>
      <w:r>
        <w:t xml:space="preserve"> </w:t>
      </w:r>
      <w:r>
        <w:t xml:space="preserve">Finanziamento del Servizio sanitario regionale dell’ordine di 9,5 miliardi di euro; il Piemonte è uscito dal piano di rientro da circa un decennio, ma ne ha conservato a lungo gli effetti strutturali, e porta un disavanzo storico accumulato in restituzione concordata con lo Stato, sulla cui non modificabilità unilaterale si è pronunciata la Corte Costituzionale con la sentenza n. 87 del 2024. Allo stato la Regione non è soggetta a un nuovo piano di rientro, ma opera sotto pressione finanziaria, con la riduzione delle liste di attesa indicata come priorità.</w:t>
      </w:r>
    </w:p>
  </w:footnote>
  <w:footnote w:id="1264">
    <w:p>
      <w:pPr>
        <w:pStyle w:val="FootnoteText"/>
      </w:pPr>
      <w:r>
        <w:rPr>
          <w:rStyle w:val="FootnoteReference"/>
        </w:rPr>
        <w:footnoteRef/>
      </w:r>
      <w:r>
        <w:t xml:space="preserve"> </w:t>
      </w:r>
      <w:r>
        <w:t xml:space="preserve">Mobilità sanitaria a saldo in sostanziale equilibrio, marginalmente negativo e in peggioramento: dell’ordine di meno otto milioni di euro nel 2023 (mobilità attiva di circa 266 milioni e passiva di circa 274), in deterioramento l’anno successivo. Il saldo è fortemente disomogeneo: l’aggregato dei poli universitari torinesi è attrattivo, mentre le province di confine — Alessandria, Novara e Verbano-Cusio-Ossola — sono fortemente passive. Diversamente dalle regioni nettamente creditrici, il canale del recupero della mobilità è qui solo marginalmente pertinente, poiché il passivo è trainato dalla specialistica e dal ricovero più che dalla domanda psicologica.</w:t>
      </w:r>
    </w:p>
  </w:footnote>
  <w:footnote w:id="1265">
    <w:p>
      <w:pPr>
        <w:pStyle w:val="FootnoteText"/>
      </w:pPr>
      <w:r>
        <w:rPr>
          <w:rStyle w:val="FootnoteReference"/>
        </w:rPr>
        <w:footnoteRef/>
      </w:r>
      <w:r>
        <w:t xml:space="preserve"> </w:t>
      </w:r>
      <w:r>
        <w:t xml:space="preserve">Cornice normativa e programmatica: il servizio è stato avviato nel 2023 con decisione della Giunta regionale e successivamente rifinanziato con risorse regionali; sono stati presentati più disegni di legge per istituire la figura, fra cui una proposta che colloca lo psicologo territoriale nelle Case della Comunità, nessuno dei quali è stato approvato; è stato inoltre approvato per legge un servizio di psicologia scolastica. La cornice include il Decreto Ministeriale 77/2022 sugli standard dell’assistenza territoriale; sul piano nazionale, il testo unificato C. 1140 in discussione alla Camera, il Piano Nazionale per la Salute Mentale 2025-2030 e la sentenza della Corte Costituzionale n. 241 del 2021 sulla competenza regionale; manca, allo stato, una legge regionale dedicata approvata.</w:t>
      </w:r>
    </w:p>
  </w:footnote>
  <w:footnote w:id="1266">
    <w:p>
      <w:pPr>
        <w:pStyle w:val="FootnoteText"/>
      </w:pPr>
      <w:r>
        <w:rPr>
          <w:rStyle w:val="FootnoteReference"/>
        </w:rPr>
        <w:footnoteRef/>
      </w:r>
      <w:r>
        <w:t xml:space="preserve"> </w:t>
      </w:r>
      <w:r>
        <w:t xml:space="preserve">Popolazione residente in Piemonte 4.251.868 abitanti (Censimento permanente ISTAT 2024), pari a circa il 7,2% della popolazione nazionale; la popolazione è sostanzialmente stabile e segnata da un marcato invecchiamento, con la sola provincia di Torino che raccoglie il 51,8% dei residenti e il capoluogo unico comune oltre il mezzo milione di abitanti, seguita dalla provincia di Cuneo (13,7%); il restante terzo è distribuito tra sei province, con forte presenza di comuni piccoli e di aree interne e alpine — oltre la metà dei 1.180 comuni ha meno di mille abitanti.</w:t>
      </w:r>
    </w:p>
  </w:footnote>
  <w:footnote w:id="1267">
    <w:p>
      <w:pPr>
        <w:pStyle w:val="FootnoteText"/>
      </w:pPr>
      <w:r>
        <w:rPr>
          <w:rStyle w:val="FootnoteReference"/>
        </w:rPr>
        <w:footnoteRef/>
      </w:r>
    </w:p>
  </w:footnote>
  <w:footnote w:id="1268">
    <w:p>
      <w:pPr>
        <w:pStyle w:val="FootnoteText"/>
      </w:pPr>
      <w:r>
        <w:rPr>
          <w:rStyle w:val="FootnoteReference"/>
        </w:rPr>
        <w:footnoteRef/>
      </w:r>
      <w:r>
        <w:t xml:space="preserve"> </w:t>
      </w:r>
      <w:r>
        <w:t xml:space="preserve">Popolazione residente in Piemonte 4.251.868 abitanti (Censimento permanente ISTAT 2024), pari a circa il 7,2% della popolazione nazionale; la popolazione è sostanzialmente stabile e segnata da un marcato invecchiamento, con la sola provincia di Torino che raccoglie il 51,8% dei residenti e il capoluogo unico comune oltre il mezzo milione di abitanti, seguita dalla provincia di Cuneo (13,7%); il restante terzo è distribuito tra sei province, con forte presenza di comuni piccoli e di aree interne e alpine — oltre la metà dei 1.180 comuni ha meno di mille abitanti.Questa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1269">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Piemonte il rischio di povertà o esclusione è contenuto in aggregato, sicché il gradiente socio-economico non è il tratto distintivo dell’equità; prevalgono due dimensioni diverse: la dualità fra l’area metropolitana torinese e le aree interne e alpine, anziane e in spopolamento, e l’invecchiamento della popolazione, accentuato in vaste zone della regione.</w:t>
      </w:r>
    </w:p>
  </w:footnote>
  <w:footnote w:id="1270">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Piemonte rileva in particolare l’abbattimento della barriera geografica nelle aree interne e alpine — come il Verbano-Cusio-Ossola e il Biellese — dove la distanza dai servizi è il principale ostacolo, integrato dalla telepsicologia.</w:t>
      </w:r>
    </w:p>
  </w:footnote>
  <w:footnote w:id="1271">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interne e alpine, equità di esito tra gruppi, equità di genere, accesso per l’età anziana, per i gruppi fragili e le persone con disabilità, gratuità per i gruppi vulnerabili, copertura del bisogno non soddisfatto.</w:t>
      </w:r>
    </w:p>
  </w:footnote>
  <w:footnote w:id="1272">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1273">
    <w:p>
      <w:pPr>
        <w:pStyle w:val="FootnoteText"/>
      </w:pPr>
      <w:r>
        <w:rPr>
          <w:rStyle w:val="FootnoteReference"/>
        </w:rPr>
        <w:footnoteRef/>
      </w:r>
      <w:r>
        <w:t xml:space="preserve"> </w:t>
      </w:r>
      <w:r>
        <w:t xml:space="preserve">Direzione del risultato distributivo: poiché il guadagno di accesso è più ampio dove l’accesso è oggi più difficile — le aree interne e alpine, l’età anziana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1274">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Piemonte, ove la popolazione non è prevalentemente deprivata, l’effetto della ponderazione sarebbe più contenuto che nel Mezzogiorno, il che rende la scelta non ponderata tanto più prudente.</w:t>
      </w:r>
    </w:p>
  </w:footnote>
  <w:footnote w:id="1275">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la prevalenza di cronicità e multimorbidità e la presenza straniera, attribuendo pesi maggiori alle aree interne e alpine e anziane; in Piemonte l’indice di vecchiaia è il fattore di ponderazione di maggior peso.</w:t>
      </w:r>
    </w:p>
  </w:footnote>
  <w:footnote w:id="1276">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1277">
    <w:p>
      <w:pPr>
        <w:pStyle w:val="FootnoteText"/>
      </w:pPr>
      <w:r>
        <w:rPr>
          <w:rStyle w:val="FootnoteReference"/>
        </w:rPr>
        <w:footnoteRef/>
      </w:r>
      <w:r>
        <w:t xml:space="preserve"> </w:t>
      </w:r>
      <w:r>
        <w:t xml:space="preserve">Divari territoriali in Piemonte: il divario rilevante non è quello Nord-Sud, ma quello interno tra l’area metropolitana torinese, densa e ben servita, e le aree interne e alpine, a popolazione anziana e dispersa e in spopolamento. In queste aree la sola presenza fisica di un primo livello accessibile costituisce già un atto di riequilibrio, integrato dalla telepsicologia.</w:t>
      </w:r>
    </w:p>
  </w:footnote>
  <w:footnote w:id="1278">
    <w:p>
      <w:pPr>
        <w:pStyle w:val="FootnoteText"/>
      </w:pPr>
      <w:r>
        <w:rPr>
          <w:rStyle w:val="FootnoteReference"/>
        </w:rPr>
        <w:footnoteRef/>
      </w:r>
      <w:r>
        <w:t xml:space="preserve"> </w:t>
      </w:r>
      <w:r>
        <w:t xml:space="preserve">Liste di attesa, uniformità del servizio e aree interne quali dimensioni di equità: in Piemonte, dove il canale della mobilità recuperata è solo marginalmente pertinente, le principali leve distributive sono la riduzione delle liste di attesa, che oggi penalizzano chi non può ricorrere al privato, il dimensionamento uniforme del servizio già attivo fra le dodici Aziende Sanitarie Locali — oggi disomogeneo per effetto della ripartizione a quota capitaria — e l’accesso nelle aree interne e alpine.</w:t>
      </w:r>
    </w:p>
  </w:footnote>
  <w:footnote w:id="1279">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1280">
    <w:p>
      <w:pPr>
        <w:pStyle w:val="FootnoteText"/>
      </w:pPr>
      <w:r>
        <w:rPr>
          <w:rStyle w:val="FootnoteReference"/>
        </w:rPr>
        <w:footnoteRef/>
      </w:r>
      <w:r>
        <w:t xml:space="preserve"> </w:t>
      </w:r>
      <w:r>
        <w:t xml:space="preserve">Copertura del bisogno non soddisfatto come equità: intercettare la quota inevasa del disagio — dell’ordine di 850.000 persone, in larga parte non intercettata — significa raggiungere proprio coloro che hanno minore probabilità di accedere spontaneamente ai servizi.</w:t>
      </w:r>
    </w:p>
  </w:footnote>
  <w:footnote w:id="1281">
    <w:p>
      <w:pPr>
        <w:pStyle w:val="FootnoteText"/>
      </w:pPr>
      <w:r>
        <w:rPr>
          <w:rStyle w:val="FootnoteReference"/>
        </w:rPr>
        <w:footnoteRef/>
      </w:r>
      <w:r>
        <w:t xml:space="preserve"> </w:t>
      </w:r>
      <w:r>
        <w:t xml:space="preserve">Collegamento al monitoraggio: gli indicatori di equità — accesso per area e per livello socio-economico, accesso dell’età anziana, gradiente dell’esito, tempi di attesa per area — fanno parte del sistema di indicatori della Parte L, e consentono di accertare nel tempo se il servizio raggiunga le comunità interne e alpine più distanti e i gruppi più fragili.</w:t>
      </w:r>
    </w:p>
  </w:footnote>
  <w:footnote w:id="1282">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1283">
    <w:p>
      <w:pPr>
        <w:pStyle w:val="FootnoteText"/>
      </w:pPr>
      <w:r>
        <w:rPr>
          <w:rStyle w:val="FootnoteReference"/>
        </w:rPr>
        <w:footnoteRef/>
      </w:r>
    </w:p>
  </w:footnote>
  <w:footnote w:id="1284">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285">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1286">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1287">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1288">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1289">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1290">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1291">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piemontese, fondato anch’esso sulle ricadute sociali.</w:t>
      </w:r>
    </w:p>
  </w:footnote>
  <w:footnote w:id="1292">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293">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1294">
    <w:p>
      <w:pPr>
        <w:pStyle w:val="FootnoteText"/>
      </w:pPr>
      <w:r>
        <w:rPr>
          <w:rStyle w:val="FootnoteReference"/>
        </w:rPr>
        <w:footnoteRef/>
      </w:r>
    </w:p>
  </w:footnote>
  <w:footnote w:id="1295">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1296">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1297">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1298">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299">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1300">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1301">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il Piemonte ha già esercitato tale competenza attivando il servizio in via amministrativa, e una legge regionale ne completerebbe la disciplina sul piano organizzativo.</w:t>
      </w:r>
    </w:p>
  </w:footnote>
  <w:footnote w:id="1302">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1303">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il Piemonte, che ha proprio adottato per primo questo modello, avvalendosi di psicologi già operanti, e che intende ora dotarlo di una base legislativa stabile.</w:t>
      </w:r>
    </w:p>
  </w:footnote>
  <w:footnote w:id="1304">
    <w:p>
      <w:pPr>
        <w:pStyle w:val="FootnoteText"/>
      </w:pPr>
      <w:r>
        <w:rPr>
          <w:rStyle w:val="FootnoteReference"/>
        </w:rPr>
        <w:footnoteRef/>
      </w:r>
      <w:r>
        <w:t xml:space="preserve"> </w:t>
      </w:r>
      <w:r>
        <w:t xml:space="preserve">Base giuridica regionale del Piemonte: il servizio è stato attivato nel 2023 con decisione della Giunta regionale e successivamente rifinanziato con risorse regionali ripartite a quota capitaria; sono stati presentati più disegni di legge per istituire la figura, fra cui una proposta che colloca lo psicologo territoriale nelle Case della Comunità, nessuno dei quali approvato; è stata invece già approvata per legge la psicologia scolastica. Come l’Emilia-Romagna, e a differenza del Veneto, il Piemonte non dispone di un’azienda regionale unica, e la cornice di coordinamento è costituita dalla Regione e dalle dodici Aziende Sanitarie Locali. La decisione non verte sul prevedere la funzione, già attiva, ma sul dotarla di una legge dedicata e sul dimensionarla.</w:t>
      </w:r>
    </w:p>
  </w:footnote>
  <w:footnote w:id="1305">
    <w:p>
      <w:pPr>
        <w:pStyle w:val="FootnoteText"/>
      </w:pPr>
      <w:r>
        <w:rPr>
          <w:rStyle w:val="FootnoteReference"/>
        </w:rPr>
        <w:footnoteRef/>
      </w:r>
      <w:r>
        <w:t xml:space="preserve"> </w:t>
      </w:r>
      <w:r>
        <w:t xml:space="preserve">Vincolo di destinazione delle risorse: il principio per cui i fondi del Servizio sanitario devono essere destinati alla garanzia dei livelli essenziali è particolarmente saliente per il Piemonte, che, pur non essendo attualmente sottoposto a piano di rientro, porta un disavanzo storico in restituzione concordata con lo Stato — sulla cui non modificabilità unilaterale si è pronunciata la Corte costituzionale con la sentenza n. 87 del 2024 — e opera sotto pressione finanziaria. La riforma, di costo contenuto e relativa a un servizio di primo livello delle cure primarie, è coerente con tale principio.</w:t>
      </w:r>
    </w:p>
  </w:footnote>
  <w:footnote w:id="1306">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 Piemonte, che ha accompagnato l’attivazione del servizio e concorre alla governance e alla formazione.</w:t>
      </w:r>
    </w:p>
  </w:footnote>
  <w:footnote w:id="1307">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1308">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1309">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interne e alpine — e il supporto multilingue per la popolazione straniera, ferma restando la garanzia dell’alternativa in presenza.</w:t>
      </w:r>
    </w:p>
  </w:footnote>
  <w:footnote w:id="1310">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1311">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1312">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ad esse si aggiunge oggi, come riferimento italiano più esteso, il servizio regionale piemontese a regime operativo. I dati delle sperimentazioni storiche derivano però da campioni limitati e in parte da letteratura grigia, e vanno assunti con la dovuta cautela.</w:t>
      </w:r>
    </w:p>
  </w:footnote>
  <w:footnote w:id="1313">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314">
    <w:p>
      <w:pPr>
        <w:pStyle w:val="FootnoteText"/>
      </w:pPr>
      <w:r>
        <w:rPr>
          <w:rStyle w:val="FootnoteReference"/>
        </w:rPr>
        <w:footnoteRef/>
      </w:r>
      <w:r>
        <w:t xml:space="preserve"> </w:t>
      </w:r>
      <w:r>
        <w:t xml:space="preserve">Evidenza locale piemontese: il Piemonte dispone di una base di evidenza locale del tutto peculiare nel panorama nazionale, costituita dal servizio regionale di psicologia delle cure primarie già attivo dal 2023 in tutte le Aziende Sanitarie Locali, che nel primo anno ha preso in carico oltre tremila pazienti con oltre quindicimila prestazioni; è l’unica esperienza italiana di scala regionale e a regime operativo, e fornisce dati di esito reale da analizzare e valorizzare sistematicamente nel disegno del servizio strutturato.</w:t>
      </w:r>
    </w:p>
  </w:footnote>
  <w:footnote w:id="1315">
    <w:p>
      <w:pPr>
        <w:pStyle w:val="FootnoteText"/>
      </w:pPr>
      <w:r>
        <w:rPr>
          <w:rStyle w:val="FootnoteReference"/>
        </w:rPr>
        <w:footnoteRef/>
      </w:r>
      <w:r>
        <w:t xml:space="preserve"> </w:t>
      </w:r>
      <w:r>
        <w:t xml:space="preserve">Condizioni piemontesi favorevoli alla trasferibilità: il vantaggio peculiare del Piemonte è di non dover trasferire soltanto stime estere, ma di poter validare il modello sui propri dati operativi; a ciò si aggiungono l’infrastruttura informatica regionale e la rete territoriale delle Case della Comunità in costruzione, che costituiscono un terreno favorevole alla valutazione rigorosa di un modello già in esercizio.</w:t>
      </w:r>
    </w:p>
  </w:footnote>
  <w:footnote w:id="1316">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3,8:1-5,5:1.</w:t>
      </w:r>
    </w:p>
  </w:footnote>
  <w:footnote w:id="1317">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Piemonte presenta un saldo di mobilità sanitaria in sostanziale equilibrio, marginalmente negativo e in peggioramento, con forte eterogeneità interna tra il polo universitario torinese, attrattivo, e le province di confine, fortemente passive: a differenza delle regioni nettamente creditrici, il canale del recupero della mobilità è qui solo marginalmente pertinente, poiché il passivo è trainato dalla specialistica e dal ricovero più che dalla domanda psicologica. Il saldo diretto risulta lievemente negativo e il caso economico poggia in misura preponderante sulle ricadute sociali, stimate con criteri conservativi; in un contesto di pressione finanziaria e di liste di attesa, tuttavia, il contenimento della domanda impropria assume una salienza diretta.</w:t>
      </w:r>
    </w:p>
  </w:footnote>
  <w:footnote w:id="1318">
    <w:p>
      <w:pPr>
        <w:pStyle w:val="FootnoteText"/>
      </w:pPr>
      <w:r>
        <w:rPr>
          <w:rStyle w:val="FootnoteReference"/>
        </w:rPr>
        <w:footnoteRef/>
      </w:r>
      <w:r>
        <w:t xml:space="preserve"> </w:t>
      </w:r>
      <w:r>
        <w:t xml:space="preserve">I valori economici oggi impiegati sono in parte ricostruiti dai conti nazionali per quota di popolazione (7,2%) e non estratti dai conti regionali certificati: è la lacuna prioritaria dello studio, da colmare presso le dodici Aziende Sanitarie Locali e le Aziende Ospedaliero-Universitarie prima della presentazione esterna.</w:t>
      </w:r>
    </w:p>
  </w:footnote>
  <w:footnote w:id="1319">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320">
    <w:p>
      <w:pPr>
        <w:pStyle w:val="FootnoteText"/>
      </w:pPr>
      <w:r>
        <w:rPr>
          <w:rStyle w:val="FootnoteReference"/>
        </w:rPr>
        <w:footnoteRef/>
      </w:r>
      <w:r>
        <w:t xml:space="preserve"> </w:t>
      </w:r>
      <w:r>
        <w:t xml:space="preserve">Valutazione controfattuale d’impatto: poiché il servizio è già attivo in tutte le Aziende Sanitarie Locali dal 2023, il disegno non può fondarsi su un dispiegamento scaglionato a partire da zero; sfrutta invece il confronto prima-dopo l’attivazione del marzo 2023 e l’eterogeneità dell’intensità di copertura tra le aziende, conseguente alla ripartizione a quota capitaria, stimando l’effetto causale con i metodi della differenza-nelle-differenze e del controllo sintetico.</w:t>
      </w:r>
    </w:p>
  </w:footnote>
  <w:footnote w:id="1321">
    <w:p>
      <w:pPr>
        <w:pStyle w:val="FootnoteText"/>
      </w:pPr>
      <w:r>
        <w:rPr>
          <w:rStyle w:val="FootnoteReference"/>
        </w:rPr>
        <w:footnoteRef/>
      </w:r>
      <w:r>
        <w:t xml:space="preserve"> </w:t>
      </w:r>
      <w:r>
        <w:t xml:space="preserve">La valutazione è governata da un comitato di indirizzo — Regione, Aziende Sanitarie Locali, Aziende Ospedaliero-Universitarie e Aziende Ospedaliere, Ordine degli Psicologi del Piemonte, rappresentanze della medicina generale e della pediatria di libera scelta e università regionali. Come l’Emilia-Romagna, e a differenza del Veneto, il Piemonte non dispone di un’azienda regionale unica e coordina il servizio attraverso la Regione e le dodici Aziende Sanitarie Locali; poiché il servizio è già operativo, la sfida del governo è di stabilizzarlo e dimensionarlo, non di avviarlo.</w:t>
      </w:r>
    </w:p>
  </w:footnote>
  <w:footnote w:id="1322">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1323">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L’infrastruttura informatica regionale, incluso il sistema informativo regionale per la salute mentale, costituisce una base per la loro adozione.</w:t>
      </w:r>
    </w:p>
  </w:footnote>
  <w:footnote w:id="1324">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325">
    <w:p>
      <w:pPr>
        <w:pStyle w:val="FootnoteText"/>
      </w:pPr>
      <w:r>
        <w:rPr>
          <w:rStyle w:val="FootnoteReference"/>
        </w:rPr>
        <w:footnoteRef/>
      </w:r>
    </w:p>
  </w:footnote>
  <w:footnote w:id="1326">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1327">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 per il Piemonte la dimensione del mantenimento è dirimente, trattandosi di consolidare un servizio già avviato.</w:t>
      </w:r>
    </w:p>
  </w:footnote>
  <w:footnote w:id="1328">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1329">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dimensionamento, il numero di psicologi reclutati e formati, la qualità della formazione e della supervisione, il grado di integrazione nei flussi di lavoro, l’aderenza ai percorsi e la scalabilità.</w:t>
      </w:r>
    </w:p>
  </w:footnote>
  <w:footnote w:id="1330">
    <w:p>
      <w:pPr>
        <w:pStyle w:val="FootnoteText"/>
      </w:pPr>
      <w:r>
        <w:rPr>
          <w:rStyle w:val="FootnoteReference"/>
        </w:rPr>
        <w:footnoteRef/>
      </w:r>
      <w:r>
        <w:t xml:space="preserve"> </w:t>
      </w:r>
      <w:r>
        <w:t xml:space="preserve">Disegno del dimensionamento in Piemonte: poiché il servizio è già attivo in tutte le dodici Aziende Sanitarie Locali, il dispiegamento non procede da zero, ma consiste nell’incremento progressivo della copertura — oggi dell’ordine del 5% del fabbisogno — verso il regime, per fasi semestrali e a partire dalle aziende di maggiore prontezza, sotto il coordinamento unitario della Regione e secondo criteri trasparenti.</w:t>
      </w:r>
    </w:p>
  </w:footnote>
  <w:footnote w:id="1331">
    <w:p>
      <w:pPr>
        <w:pStyle w:val="FootnoteText"/>
      </w:pPr>
      <w:r>
        <w:rPr>
          <w:rStyle w:val="FootnoteReference"/>
        </w:rPr>
        <w:footnoteRef/>
      </w:r>
      <w:r>
        <w:t xml:space="preserve"> </w:t>
      </w:r>
      <w:r>
        <w:t xml:space="preserve">Doppia funzione del dimensionamento progressivo: esso risponde a un’esigenza organizzativa — accrescere la copertura in modo graduale, compatibile con i tempi del reclutamento e della formazione — e al tempo stesso, insieme al confronto prima-dopo l’attivazione del 2023, fonda la valutazione controfattuale d’impatto basata sull’eterogeneità dell’intensità di copertura tra le aziende, oggetto della Parte L.</w:t>
      </w:r>
    </w:p>
  </w:footnote>
  <w:footnote w:id="1332">
    <w:p>
      <w:pPr>
        <w:pStyle w:val="FootnoteText"/>
      </w:pPr>
      <w:r>
        <w:rPr>
          <w:rStyle w:val="FootnoteReference"/>
        </w:rPr>
        <w:footnoteRef/>
      </w:r>
      <w:r>
        <w:t xml:space="preserve"> </w:t>
      </w:r>
      <w:r>
        <w:t xml:space="preserve">Reclutamento: a fronte di un fabbisogno a regime dell’ordine di 920 psicologi, il reclutamento avviene tramite l’iscrizione a un elenco istituito presso ciascuna azienda e l’instaurazione di un rapporto convenzionale, con requisiti di iscrizione all’albo e di formazione specifica; in prima applicazione si valorizzano i professionisti già operanti nel servizio attivo, oggi con incarichi libero-professionali, dei quali la nuova cornice stabilizzerebbe la posizione.</w:t>
      </w:r>
    </w:p>
  </w:footnote>
  <w:footnote w:id="1333">
    <w:p>
      <w:pPr>
        <w:pStyle w:val="FootnoteText"/>
      </w:pPr>
      <w:r>
        <w:rPr>
          <w:rStyle w:val="FootnoteReference"/>
        </w:rPr>
        <w:footnoteRef/>
      </w:r>
      <w:r>
        <w:t xml:space="preserve"> </w:t>
      </w:r>
      <w:r>
        <w:t xml:space="preserve">Cronoprogramma: il dimensionamento procede per fasi semestrali, accrescendo progressivamente la copertura in tutte le Aziende Sanitarie Locali; le attività di reclutamento, formazione e consolidamento sono condotte in modo graduale, mentre il monitoraggio e la valutazione accompagnano l’intero arco e proseguono oltre il raggiungimento del regime.</w:t>
      </w:r>
    </w:p>
  </w:footnote>
  <w:footnote w:id="1334">
    <w:p>
      <w:pPr>
        <w:pStyle w:val="FootnoteText"/>
      </w:pPr>
      <w:r>
        <w:rPr>
          <w:rStyle w:val="FootnoteReference"/>
        </w:rPr>
        <w:footnoteRef/>
      </w:r>
      <w:r>
        <w:t xml:space="preserve"> </w:t>
      </w:r>
      <w:r>
        <w:t xml:space="preserve">Soglia di riuscita: tra i parametri che muterebbero le conclusioni figura un tasso di recupero inferiore al 50% nella fase di dimensionamento, a fronte del valore di riferimento del programma inglese; il monitoraggio è chiamato a verificarne il raggiungimento sui dati piemontesi, di cui il servizio già attivo costituisce una prima fonte.</w:t>
      </w:r>
    </w:p>
  </w:footnote>
  <w:footnote w:id="1335">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26, 38 e 51 milioni già esposti nella Parte E; il passaggio dagli attuali incarichi libero-professionali a un rapporto convenzionale stabile — analogo a quello dei medici di medicina generale, come richiesto dalle rappresentanze professionali — è il nodo specifico del Piemonte e non richiede la creazione di nuove figure.</w:t>
      </w:r>
    </w:p>
  </w:footnote>
  <w:footnote w:id="1336">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Aziende Sanitarie Locali, le Aziende Ospedaliero-Universitarie e Ospedaliere, l’Ordine degli Psicologi del Piemonte, la medicina generale, la pediatria di libera scelta e le università regionali, eventualmente affiancato da una cabina di regia; a livello aziendale, ciascuna Azienda Sanitaria Locale è responsabile dell’attuazione nel proprio ambito, secondo l’indirizzo unitario della Regione. Come l’Emilia-Romagna, e a differenza del Veneto, il Piemonte non dispone di un’azienda regionale unica di coordinamento.</w:t>
      </w:r>
    </w:p>
  </w:footnote>
  <w:footnote w:id="1337">
    <w:p>
      <w:pPr>
        <w:pStyle w:val="FootnoteText"/>
      </w:pPr>
      <w:r>
        <w:rPr>
          <w:rStyle w:val="FootnoteReference"/>
        </w:rPr>
        <w:footnoteRef/>
      </w:r>
      <w:r>
        <w:t xml:space="preserve"> </w:t>
      </w:r>
      <w:r>
        <w:t xml:space="preserve">Rischi attuativi e misure di mitigazione: il rischio più specifico del Piemonte è la precarietà del servizio attuale, affidato a incarichi libero-professionali dipendenti da rifinanziamenti annuali; ad esso si aggiungono il reclutamento insufficiente, la debole adesione della medicina generale, l’interoperabilità incompleta dei sistemi informativi e la disomogeneità tra le aziende. La principale misura di mitigazione è l’istituzionalizzazione per legge con rapporto convenzionale stabile; il dimensionamento graduale consente inoltre di osservare, correggere e adattare.</w:t>
      </w:r>
    </w:p>
  </w:footnote>
  <w:footnote w:id="1338">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9,5 miliardi di euro, di cui una quota è già destinata al servizio attivo, la Missione 6 del Piano Nazionale di Ripresa e Resilienza per l’infrastruttura territoriale e digitale, e un eventuale fondo statale a sostegno dei livelli essenziali.</w:t>
      </w:r>
    </w:p>
  </w:footnote>
  <w:footnote w:id="1339">
    <w:p>
      <w:pPr>
        <w:pStyle w:val="FootnoteText"/>
      </w:pPr>
      <w:r>
        <w:rPr>
          <w:rStyle w:val="FootnoteReference"/>
        </w:rPr>
        <w:footnoteRef/>
      </w:r>
      <w:r>
        <w:t xml:space="preserve"> </w:t>
      </w:r>
      <w:r>
        <w:t xml:space="preserve">Vincoli di bilancio: il Piemonte opera sotto pressione finanziaria, pur non essendo in piano di rientro; il costo del servizio, anche a massima copertura, costituisce una frazione dell’ordine di mezzo punto percentuale del finanziamento, ed essendone già a bilancio una quota, l’investimento incrementale è quello necessario a colmare il divario verso il fabbisogno, sostenibile a condizione di prudenza nella programmazione.</w:t>
      </w:r>
    </w:p>
  </w:footnote>
  <w:footnote w:id="1340">
    <w:p>
      <w:pPr>
        <w:pStyle w:val="FootnoteText"/>
      </w:pPr>
      <w:r>
        <w:rPr>
          <w:rStyle w:val="FootnoteReference"/>
        </w:rPr>
        <w:footnoteRef/>
      </w:r>
      <w:r>
        <w:t xml:space="preserve"> </w:t>
      </w:r>
      <w:r>
        <w:t xml:space="preserve">Sostenibilità nel tempo (criterio OCSE-DAC): per il Piemonte la leva decisiva della sostenibilità è l’istituzionalizzazione per legge, che sottrarrebbe il servizio alla precarietà dei rifinanziamenti annuali; vi concorrono la modestia del costo rispetto al bilancio, il forte ritorno sociale documentato e le economie di scala consentite dal coordinamento regionale.</w:t>
      </w:r>
    </w:p>
  </w:footnote>
  <w:footnote w:id="1341">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piemontesi, prevista dalla Parte L e fondata sul confronto prima-dopo e sull’intensità di copertura, è chiamata a sostituire progressivamente le stime con misure osservate.</w:t>
      </w:r>
    </w:p>
  </w:footnote>
  <w:footnote w:id="1342">
    <w:p>
      <w:pPr>
        <w:pStyle w:val="FootnoteText"/>
      </w:pPr>
      <w:r>
        <w:rPr>
          <w:rStyle w:val="FootnoteReference"/>
        </w:rPr>
        <w:footnoteRef/>
      </w:r>
      <w:r>
        <w:t xml:space="preserve"> </w:t>
      </w:r>
      <w:r>
        <w:t xml:space="preserve">Aspettativa di vita alla nascita dell’ordine degli ottantatré anni, in linea con la media nazionale; la struttura per età è tra le più anziane del Paese, con quote elevate di ultra-sessantacinquenni nelle aree interne e alpine.</w:t>
      </w:r>
    </w:p>
  </w:footnote>
  <w:footnote w:id="1343">
    <w:p>
      <w:pPr>
        <w:pStyle w:val="FootnoteText"/>
      </w:pPr>
      <w:r>
        <w:rPr>
          <w:rStyle w:val="FootnoteReference"/>
        </w:rPr>
        <w:footnoteRef/>
      </w:r>
      <w:r>
        <w:t xml:space="preserve"> </w:t>
      </w:r>
      <w:r>
        <w:t xml:space="preserve">Componente straniera dell’ordine del 10,4% dei residenti (442.819 persone), prossima alla media nazionale, con prevalenza di cittadinanze romena, marocchina e albanese; contribuisce a contenere il calo demografico, ma non costituisce il tratto distintivo del fabbisogno regionale, che è piuttosto l’invecchiamento.</w:t>
      </w:r>
    </w:p>
  </w:footnote>
  <w:footnote w:id="1344">
    <w:p>
      <w:pPr>
        <w:pStyle w:val="FootnoteText"/>
      </w:pPr>
      <w:r>
        <w:rPr>
          <w:rStyle w:val="FootnoteReference"/>
        </w:rPr>
        <w:footnoteRef/>
      </w:r>
      <w:r>
        <w:t xml:space="preserve"> </w:t>
      </w:r>
      <w:r>
        <w:t xml:space="preserve">Articolazione del territorio in otto province: la sola provincia di Torino raccoglie il 51,8% dei residenti e il capoluogo è l’unico comune oltre il mezzo milione di abitanti, seguita dalla provincia di Cuneo con il 13,7%; le altre sei province ospitano il restante terzo della popolazione, con forte presenza di aree interne e alpine.</w:t>
      </w:r>
    </w:p>
  </w:footnote>
  <w:footnote w:id="1345">
    <w:p>
      <w:pPr>
        <w:pStyle w:val="FootnoteText"/>
      </w:pPr>
      <w:r>
        <w:rPr>
          <w:rStyle w:val="FootnoteReference"/>
        </w:rPr>
        <w:footnoteRef/>
      </w:r>
      <w:r>
        <w:t xml:space="preserve"> </w:t>
      </w:r>
      <w:r>
        <w:t xml:space="preserve">Profilo per età a marcata variabilità interna: l’area metropolitana torinese presenta la struttura più dinamica, mentre le aree interne e alpine — in particolare il Verbano-Cusio-Ossola e il Biellese, dove la natalità è minima — sono nettamente più anziane e soggette a spopolamento, con maggiore difficoltà di accesso ai servizi.</w:t>
      </w:r>
    </w:p>
  </w:footnote>
  <w:footnote w:id="1346">
    <w:p>
      <w:pPr>
        <w:pStyle w:val="FootnoteText"/>
      </w:pPr>
      <w:r>
        <w:rPr>
          <w:rStyle w:val="FootnoteReference"/>
        </w:rPr>
        <w:footnoteRef/>
      </w:r>
    </w:p>
  </w:footnote>
  <w:footnote w:id="1347">
    <w:p>
      <w:pPr>
        <w:pStyle w:val="FootnoteText"/>
      </w:pPr>
      <w:r>
        <w:rPr>
          <w:rStyle w:val="FootnoteReference"/>
        </w:rPr>
        <w:footnoteRef/>
      </w:r>
      <w:r>
        <w:t xml:space="preserve"> </w:t>
      </w:r>
      <w:r>
        <w:t xml:space="preserve">Profilo per età a marcata variabilità interna: l’area metropolitana torinese presenta la struttura più dinamica, mentre le aree interne e alpine — in particolare il Verbano-Cusio-Ossola e il Biellese, dove la natalità è minima —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1348">
    <w:p>
      <w:pPr>
        <w:pStyle w:val="FootnoteText"/>
      </w:pPr>
      <w:r>
        <w:rPr>
          <w:rStyle w:val="FootnoteReference"/>
        </w:rPr>
        <w:footnoteRef/>
      </w:r>
    </w:p>
  </w:footnote>
  <w:footnote w:id="1349">
    <w:p>
      <w:pPr>
        <w:pStyle w:val="FootnoteText"/>
      </w:pPr>
      <w:r>
        <w:rPr>
          <w:rStyle w:val="FootnoteReference"/>
        </w:rPr>
        <w:footnoteRef/>
      </w:r>
      <w:r>
        <w:t xml:space="preserve"> </w:t>
      </w:r>
      <w:r>
        <w:t xml:space="preserve">Profilo per età a marcata variabilità interna: l’area metropolitana torinese presenta la struttura più dinamica, mentre le aree interne e alpine — in particolare il Verbano-Cusio-Ossola e il Biellese, dove la natalità è minima —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1350">
    <w:p>
      <w:pPr>
        <w:pStyle w:val="FootnoteText"/>
      </w:pPr>
      <w:r>
        <w:rPr>
          <w:rStyle w:val="FootnoteReference"/>
        </w:rPr>
        <w:footnoteRef/>
      </w:r>
      <w:r>
        <w:t xml:space="preserve"> </w:t>
      </w:r>
      <w:r>
        <w:t xml:space="preserve">Costo del servizio per scenario, a regime: dell’ordine di 26 milioni di euro annui nello scenario conservativo, 38 nello scenario base e 51 nello scenario espansivo, valori coerenti con l’inclusione del programma di formazione all’intelligenza artificiale.</w:t>
      </w:r>
    </w:p>
  </w:footnote>
  <w:footnote w:id="1351">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 coordinamento regionale. Il servizio è oggi già finanziato a quota capitaria, ma per un importo che copre una frazione ridotta del fabbisogno.</w:t>
      </w:r>
    </w:p>
  </w:footnote>
  <w:footnote w:id="1352">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1353">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1354">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1355">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1356">
    <w:p>
      <w:pPr>
        <w:pStyle w:val="FootnoteText"/>
      </w:pPr>
      <w:r>
        <w:rPr>
          <w:rStyle w:val="FootnoteReference"/>
        </w:rPr>
        <w:footnoteRef/>
      </w:r>
    </w:p>
  </w:footnote>
  <w:footnote w:id="1357">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1358">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1359">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dai dati del servizio attivo, e circa quaranta richiedono la rilevazione diretta strutturata.</w:t>
      </w:r>
    </w:p>
  </w:footnote>
  <w:footnote w:id="1360">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1361">
    <w:p>
      <w:pPr>
        <w:pStyle w:val="FootnoteText"/>
      </w:pPr>
      <w:r>
        <w:rPr>
          <w:rStyle w:val="FootnoteReference"/>
        </w:rPr>
        <w:footnoteRef/>
      </w:r>
      <w:r>
        <w:t xml:space="preserve"> </w:t>
      </w:r>
      <w:r>
        <w:t xml:space="preserve">Le otto categorie di indicatori e lo stato della baseline: bisogno e domanda (disponibile), accesso ed equità (da rilevare), processo (parziale, dal servizio attivo), esito clinico (parziale, dal servizio attivo), economici (misto), impatto sociale (misto), organizzativi (da rilevare), variabili di sintesi (da calcolare); i divari tra Aziende Sanitarie Locali sono tra le misure di equità.</w:t>
      </w:r>
    </w:p>
  </w:footnote>
  <w:footnote w:id="1362">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 in Piemonte si tratta di strutturare e completare la rilevazione già in atto nel servizio.</w:t>
      </w:r>
    </w:p>
  </w:footnote>
  <w:footnote w:id="1363">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364">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1365">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cui in Piemonte si aggiunge il periodo anteriore all’attivazione del 2023 quale base per il confronto prima-dopo; la rilevazione strutturata di servizio completa quella già avviata.</w:t>
      </w:r>
    </w:p>
  </w:footnote>
  <w:footnote w:id="1366">
    <w:p>
      <w:pPr>
        <w:pStyle w:val="FootnoteText"/>
      </w:pPr>
      <w:r>
        <w:rPr>
          <w:rStyle w:val="FootnoteReference"/>
        </w:rPr>
        <w:footnoteRef/>
      </w:r>
      <w:r>
        <w:t xml:space="preserve"> </w:t>
      </w:r>
      <w:r>
        <w:t xml:space="preserve">Calendario della rilevazione: costituzione della baseline con i dati disponibili e con il periodo pre-attivazione; registrazione corrente; trasmissione di indicatori aggregati al comitato di indirizzo regionale con cadenza mensile; calcolo periodico delle misure di sintesi e aggiornamento del cruscotto regionale.</w:t>
      </w:r>
    </w:p>
  </w:footnote>
  <w:footnote w:id="1367">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poiché il servizio è già attivo in tutte le Aziende Sanitarie Locali, lo strumento non è il dispiegamento scaglionato, ma il confronto prima-dopo l’attivazione del 2023 e l’eterogeneità dell’intensità di copertura tra le aziende, conseguente alla ripartizione a quota capitaria, che insieme configurano l’esperimento naturale.</w:t>
      </w:r>
    </w:p>
  </w:footnote>
  <w:footnote w:id="1368">
    <w:p>
      <w:pPr>
        <w:pStyle w:val="FootnoteText"/>
      </w:pPr>
      <w:r>
        <w:rPr>
          <w:rStyle w:val="FootnoteReference"/>
        </w:rPr>
        <w:footnoteRef/>
      </w:r>
      <w:r>
        <w:t xml:space="preserve"> </w:t>
      </w:r>
      <w:r>
        <w:t xml:space="preserve">Differenza-nelle-differenze: confronta la variazione nel tempo dell’esito tra le Aziende Sanitarie Locali a maggiore e a minore intensità di copertura, e prima e dopo l’attivazione del 2023, sotto l’ipotesi di andamento parallelo; vi si affianca il controllo sintetico, che costruisce un’unità di confronto artificiale come combinazione ponderata di unità a copertura inferiore.</w:t>
      </w:r>
    </w:p>
  </w:footnote>
  <w:footnote w:id="1369">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1370">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Aziende a maggiore intensità di copertura con quello delle Aziende a copertura inferiore, e prima e dopo l’attivazione del 2023, si isola l’effetto proprio della riforma e si trasforma la stima dei risparmi da proiezione attesa a misura empiricamente fondata sui dati piemontesi.</w:t>
      </w:r>
    </w:p>
  </w:footnote>
  <w:footnote w:id="1371">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1372">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è il passaggio che lega la misurazione tecnica alla responsabilità politica e alla trasparenza verso il legislatore regionale.</w:t>
      </w:r>
    </w:p>
  </w:footnote>
  <w:footnote w:id="1373">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1374">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1375">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1376">
    <w:p>
      <w:pPr>
        <w:pStyle w:val="FootnoteText"/>
      </w:pPr>
      <w:r>
        <w:rPr>
          <w:rStyle w:val="FootnoteReference"/>
        </w:rPr>
        <w:footnoteRef/>
      </w:r>
      <w:r>
        <w:t xml:space="preserve"> </w:t>
      </w:r>
      <w:r>
        <w:t xml:space="preserve">Risparmi diretti complessivi per il Servizio sanitario regionale stimati nell’ordine di 16 milioni di euro annui nello scenario conservativo, 26 nello scenario base e 39 nello scenario espansivo, collocati prudenzialmente nella parte medio-bassa dell’intervallo.</w:t>
      </w:r>
    </w:p>
  </w:footnote>
  <w:footnote w:id="1377">
    <w:p>
      <w:pPr>
        <w:pStyle w:val="FootnoteText"/>
      </w:pPr>
      <w:r>
        <w:rPr>
          <w:rStyle w:val="FootnoteReference"/>
        </w:rPr>
        <w:footnoteRef/>
      </w:r>
      <w:r>
        <w:t xml:space="preserve"> </w:t>
      </w:r>
      <w:r>
        <w:t xml:space="preserve">Saldo diretto per il bilancio sanitario, dato dalla differenza tra risparmi diretti e costo del servizio, dell’ordine di −10, −12 e −12 milioni di euro annui nei tre scenari: è lievemente negativo, coerentemente con un saldo di mobilità in equilibrio e con un canale di recupero solo marginale.</w:t>
      </w:r>
    </w:p>
  </w:footnote>
  <w:footnote w:id="1378">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Piemonte il canale della mobilità è solo marginale e il valore dell’intervento risiede in misura preponderante nelle ricadute economico-sociali; tuttavia, in un contesto di pressione finanziaria e di liste di attesa, il contenimento della domanda impropria conserva una salienza diretta non trascurabile.</w:t>
      </w:r>
    </w:p>
  </w:footnote>
  <w:footnote w:id="1379">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una regione a popolazione matura e a forte presenza di cronicità, le componenti della produttività recuperata e del sollievo ai familiari hanno un peso particolarmente elevato.</w:t>
      </w:r>
    </w:p>
  </w:footnote>
  <w:footnote w:id="1380">
    <w:p>
      <w:pPr>
        <w:pStyle w:val="FootnoteText"/>
      </w:pPr>
      <w:r>
        <w:rPr>
          <w:rStyle w:val="FootnoteReference"/>
        </w:rPr>
        <w:footnoteRef/>
      </w:r>
      <w:r>
        <w:t xml:space="preserve"> </w:t>
      </w:r>
      <w:r>
        <w:t xml:space="preserve">Ricadute economico-sociali stimate nell’ordine di 83 milioni di euro annui nello scenario conservativo, 154 nello scenario base e 240 nello scenario espansivo, secondo i metodi del ritorno sociale sull’investimento, con criteri di stima conservativi.</w:t>
      </w:r>
    </w:p>
  </w:footnote>
  <w:footnote w:id="1381">
    <w:p>
      <w:pPr>
        <w:pStyle w:val="FootnoteText"/>
      </w:pPr>
      <w:r>
        <w:rPr>
          <w:rStyle w:val="FootnoteReference"/>
        </w:rPr>
        <w:footnoteRef/>
      </w:r>
      <w:r>
        <w:t xml:space="preserve"> </w:t>
      </w:r>
      <w:r>
        <w:t xml:space="preserve">Ritorno complessivo, somma dei risparmi diretti e delle ricadute sociali, dell’ordine di 99, 180 e 279 milioni di euro annui nei tre scenari; il saldo complessivo, al netto del costo del servizio, è dell’ordine di +73, +142 e +228 milioni di euro annui.</w:t>
      </w:r>
    </w:p>
  </w:footnote>
  <w:footnote w:id="1382">
    <w:p>
      <w:pPr>
        <w:pStyle w:val="FootnoteText"/>
      </w:pPr>
      <w:r>
        <w:rPr>
          <w:rStyle w:val="FootnoteReference"/>
        </w:rPr>
        <w:footnoteRef/>
      </w:r>
      <w:r>
        <w:t xml:space="preserve"> </w:t>
      </w:r>
      <w:r>
        <w:t xml:space="preserve">Rapporto beneficio-costo complessivo dell’ordine di 3,8:1 nello scenario conservativo, 4,7:1 nello scenario base e 5,5:1 nello scenario espansivo, in linea con il valore validato sulle altre regioni e coerente con le stime metodologicamente fondate della letteratura.</w:t>
      </w:r>
    </w:p>
  </w:footnote>
  <w:footnote w:id="1383">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1384">
    <w:p>
      <w:pPr>
        <w:pStyle w:val="FootnoteText"/>
      </w:pPr>
      <w:r>
        <w:rPr>
          <w:rStyle w:val="FootnoteReference"/>
        </w:rPr>
        <w:footnoteRef/>
      </w:r>
      <w:r>
        <w:t xml:space="preserve"> </w:t>
      </w:r>
      <w:r>
        <w:t xml:space="preserve">Sostenibilità finanziaria: il costo del servizio si colloca nell’ordine dello 0,3-0,5% di un Fondo Sanitario Regionale dell’ordine di 9,5 miliardi di euro; benché la regione operi sotto pressione finanziaria, l’importo è contenuto e sostenibile, tanto più che una quota è già a bilancio per il servizio attivo, e l’investimento incrementale è quello necessario a colmare il divario verso il fabbisogno.</w:t>
      </w:r>
    </w:p>
  </w:footnote>
  <w:footnote w:id="1385">
    <w:p>
      <w:pPr>
        <w:pStyle w:val="FootnoteText"/>
      </w:pPr>
      <w:r>
        <w:rPr>
          <w:rStyle w:val="FootnoteReference"/>
        </w:rPr>
        <w:footnoteRef/>
      </w:r>
      <w:r>
        <w:t xml:space="preserve"> </w:t>
      </w:r>
      <w:r>
        <w:t xml:space="preserve">Lacuna prioritaria: le grandezze economiche qui impiegate sono in parte ricostruite dai conti nazionali per quota di popolazione (7,2%) e non estratte dai conti regionali certificati; la loro verifica presso le dodici Aziende Sanitarie Locali e le Aziende Ospedaliero-Universitarie è condizione per la presentazione alle autorità di finanza pubblica.</w:t>
      </w:r>
    </w:p>
  </w:footnote>
  <w:footnote w:id="1386">
    <w:p>
      <w:pPr>
        <w:pStyle w:val="FootnoteText"/>
      </w:pPr>
      <w:r>
        <w:rPr>
          <w:rStyle w:val="FootnoteReference"/>
        </w:rPr>
        <w:footnoteRef/>
      </w:r>
      <w:r>
        <w:t xml:space="preserve"> </w:t>
      </w:r>
      <w:r>
        <w:t xml:space="preserve">Bisogno potenziale stimato nell’ordine di 850.000 persone con disagio comune, in larga parte non intercettato dall’offerta strutturata attuale; il servizio già attivo ne ha intercettato nel primo anno una quota ancora ridotta, con oltre tremila prese in carico.</w:t>
      </w:r>
    </w:p>
  </w:footnote>
  <w:footnote w:id="1387">
    <w:p>
      <w:pPr>
        <w:pStyle w:val="FootnoteText"/>
      </w:pPr>
      <w:r>
        <w:rPr>
          <w:rStyle w:val="FootnoteReference"/>
        </w:rPr>
        <w:footnoteRef/>
      </w:r>
      <w:r>
        <w:t xml:space="preserve"> </w:t>
      </w:r>
      <w:r>
        <w:t xml:space="preserve">Modello organizzativo: lo psicologo di base opera nelle Case della Comunità e nei Nuclei delle Cure Primarie, in collaborazione con i medici di medicina generale, secondo protocolli condivisi; nel modello piemontese il servizio è già attivo e ripartito tra le Aziende Sanitarie Locali secondo il criterio della quota capitaria. Come l’Emilia-Romagna, e a differenza del Veneto, il Piemonte non dispone di un’azienda regionale unica: il coordinamento, l’omogeneità attuativa fra le dodici Aziende Sanitarie Locali e le economie di scala sono affidati alla Regione, attraverso la sua Direzione competente, eventualmente affiancata da una cabina di regia regionale.</w:t>
      </w:r>
    </w:p>
  </w:footnote>
  <w:footnote w:id="1388">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1389">
    <w:p>
      <w:pPr>
        <w:pStyle w:val="FootnoteText"/>
      </w:pPr>
      <w:r>
        <w:rPr>
          <w:rStyle w:val="FootnoteReference"/>
        </w:rPr>
        <w:footnoteRef/>
      </w:r>
      <w:r>
        <w:t xml:space="preserve"> </w:t>
      </w:r>
      <w:r>
        <w:t xml:space="preserve">Percorso clinico: accesso su invio del medico di medicina generale o del pediatra di libera scelta, nella forma già in atto nel servizio regionale, o accesso diretto; valutazione iniziale; ciclo di colloqui brevi; invio appropriato ai servizi specialistici nei casi che lo richiedono, secondo criteri definiti.</w:t>
      </w:r>
    </w:p>
  </w:footnote>
  <w:footnote w:id="1390">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1391">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392">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393">
    <w:p>
      <w:pPr>
        <w:pStyle w:val="FootnoteText"/>
      </w:pPr>
      <w:r>
        <w:rPr>
          <w:rStyle w:val="FootnoteReference"/>
        </w:rPr>
        <w:footnoteRef/>
      </w:r>
    </w:p>
  </w:footnote>
  <w:footnote w:id="1394">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1395">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1396">
    <w:p>
      <w:pPr>
        <w:pStyle w:val="FootnoteText"/>
      </w:pPr>
      <w:r>
        <w:rPr>
          <w:rStyle w:val="FootnoteReference"/>
        </w:rPr>
        <w:footnoteRef/>
      </w:r>
      <w:r>
        <w:t xml:space="preserve"> </w:t>
      </w:r>
      <w:r>
        <w:t xml:space="preserve">Rilevanza: l’intervento risponde a un bisogno reale e di grande dimensione — dell’ordine di 850.000 persone con disagio comune in larga parte inevaso — e all’obbligo di garantire i livelli essenziali di assistenza.</w:t>
      </w:r>
    </w:p>
  </w:footnote>
  <w:footnote w:id="1397">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gli atti regionali che già ne hanno previsto la funzione — l’attivazione del 2023, i successivi rifinanziamenti e la già approvata legge sulla psicologia scolastica — ed è costituzionalmente difendibile; il Piemonte, pur sotto pressione finanziaria, non è attualmente sottoposto a piano di rientro.</w:t>
      </w:r>
    </w:p>
  </w:footnote>
  <w:footnote w:id="1398">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 i primi dati del servizio piemontese già attivo ne corroborano la praticabilità.</w:t>
      </w:r>
    </w:p>
  </w:footnote>
  <w:footnote w:id="1399">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il Piemonte, di un saldo diretto lievemente negativo sul solo bilancio sanitario, di entità modesta rispetto a un finanziamento dell’ordine di 9,5 miliardi; l’efficienza allocativa è dunque elevata, la convenienza per il solo bilancio lievemente negativa.</w:t>
      </w:r>
    </w:p>
  </w:footnote>
  <w:footnote w:id="1400">
    <w:p>
      <w:pPr>
        <w:pStyle w:val="FootnoteText"/>
      </w:pPr>
      <w:r>
        <w:rPr>
          <w:rStyle w:val="FootnoteReference"/>
        </w:rPr>
        <w:footnoteRef/>
      </w:r>
      <w:r>
        <w:t xml:space="preserve"> </w:t>
      </w:r>
      <w:r>
        <w:t xml:space="preserve">Impatto: l’impatto distributivo è favorevole, poiché i benefici si concentrano dove l’accesso è più difficile — le aree interne e alpine, l’età anziana e le popolazioni gravate dalle liste di attesa — riducendo il gradiente territoriale; il ritorno complessivo è dell’ordine di 3,8-5,5 a uno.</w:t>
      </w:r>
    </w:p>
  </w:footnote>
  <w:footnote w:id="1401">
    <w:p>
      <w:pPr>
        <w:pStyle w:val="FootnoteText"/>
      </w:pPr>
      <w:r>
        <w:rPr>
          <w:rStyle w:val="FootnoteReference"/>
        </w:rPr>
        <w:footnoteRef/>
      </w:r>
      <w:r>
        <w:t xml:space="preserve"> </w:t>
      </w:r>
      <w:r>
        <w:t xml:space="preserve">Sostenibilità: l’intervento è finanziariamente sostenibile — a fronte di un costo modesto, di una pluralità di coperture e di una quota già a bilancio per il servizio attivo — e organizzativamente, in quanto già inserito nella rete territoriale delle Case della Comunità e delle Case della Salute; la leva decisiva della sua durata è l’istituzionalizzazione per legge, che sottrarrebbe il servizio alla precarietà dei rifinanziamenti annuali.</w:t>
      </w:r>
    </w:p>
  </w:footnote>
  <w:footnote w:id="1402">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1403">
    <w:p>
      <w:pPr>
        <w:pStyle w:val="FootnoteText"/>
      </w:pPr>
      <w:r>
        <w:rPr>
          <w:rStyle w:val="FootnoteReference"/>
        </w:rPr>
        <w:footnoteRef/>
      </w:r>
      <w:r>
        <w:t xml:space="preserve"> </w:t>
      </w:r>
      <w:r>
        <w:t xml:space="preserve">Risultato dell’analisi multi-criterio: su otto criteri pesati, l’opzione di intervento ottiene un punteggio complessivo dell’ordine di 81,75 su 100 contro 39,25 dell’opzione zero, e prevale su tutti i criteri tranne la fattibilità immediata; il sub-punteggio di fattibilità è peraltro più elevato che in altri contesti, poiché il servizio è già attivo, e il risultato è stabile rispetto ai pesi adottati.</w:t>
      </w:r>
    </w:p>
  </w:footnote>
  <w:footnote w:id="1404">
    <w:p>
      <w:pPr>
        <w:pStyle w:val="FootnoteText"/>
      </w:pPr>
      <w:r>
        <w:rPr>
          <w:rStyle w:val="FootnoteReference"/>
        </w:rPr>
        <w:footnoteRef/>
      </w:r>
      <w:r>
        <w:t xml:space="preserve"> </w:t>
      </w:r>
      <w:r>
        <w:t xml:space="preserve">Le tre affermazioni del cruscotto decisionale per il Piemonte: il servizio costa al bilancio sanitario una cifra modesta e comporta un saldo diretto lievemente negativo, trascurabile rispetto a un finanziamento dell’ordine di 9,5 miliardi, pur con una salienza diretta non nulla nel contesto delle liste di attesa; il ritorno per la collettività è ampio (rapporto beneficio-costo di 3,8-5,5 a uno); il valore poggia quasi interamente sulle ricadute sociali.</w:t>
      </w:r>
    </w:p>
  </w:footnote>
  <w:footnote w:id="1405">
    <w:p>
      <w:pPr>
        <w:pStyle w:val="FootnoteText"/>
      </w:pPr>
      <w:r>
        <w:rPr>
          <w:rStyle w:val="FootnoteReference"/>
        </w:rPr>
        <w:footnoteRef/>
      </w:r>
      <w:r>
        <w:t xml:space="preserve"> </w:t>
      </w:r>
      <w:r>
        <w:t xml:space="preserve">Raccomandazione centrale: la decisione rilevante non è se introdurre la funzione — già attiva in tutte le dodici Aziende Sanitarie Locali dal 2023, prima e inizialmente unica Regione in Italia — ma se dotarla di una base giuridica stabile, con una legge regionale e un rapporto convenzionale analogo a quello dei medici di medicina generale, e dimensionarla, portandola dalla copertura attuale, dell’ordine del 5% del fabbisogno, alla copertura sistematica, dell’ordine di 700 incarichi nello scenario di base.</w:t>
      </w:r>
    </w:p>
  </w:footnote>
  <w:footnote w:id="1406">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1407">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piemontese (7,2%), e non estratte dai conti regionali certificati; tale sostituzione è la condizione per la presentazione agli organi di controllo, ed è in Piemonte agevolata dalla disponibilità dei dati del servizio già attivo.</w:t>
      </w:r>
    </w:p>
  </w:footnote>
  <w:footnote w:id="1408">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1409">
    <w:p>
      <w:pPr>
        <w:pStyle w:val="FootnoteText"/>
      </w:pPr>
      <w:r>
        <w:rPr>
          <w:rStyle w:val="FootnoteReference"/>
        </w:rPr>
        <w:footnoteRef/>
      </w:r>
      <w:r>
        <w:t xml:space="preserve"> </w:t>
      </w:r>
      <w:r>
        <w:t xml:space="preserve">Agenda di ricerca: l’investimento conoscitivo prioritario è l’acquisizione dei dati regionali certificati presso le dodici Aziende Sanitarie Locali e le Aziende Ospedaliero-Universitarie, seguito dalla strutturazione della rilevazione di servizio e dalla valutazione controfattuale fondata sul confronto prima-dopo e sull’intensità di copertura.</w:t>
      </w:r>
    </w:p>
  </w:footnote>
  <w:footnote w:id="1410">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il servizio già attivo ha prodotto nel primo anno dati di attività — oltre tremila pazienti e oltre quindicimila prestazioni — che costituiscono una base preziosa, da consolidare in un flusso strutturato.</w:t>
      </w:r>
    </w:p>
  </w:footnote>
  <w:footnote w:id="1411">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1412">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1413">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1414">
    <w:p>
      <w:pPr>
        <w:pStyle w:val="FootnoteText"/>
      </w:pPr>
      <w:r>
        <w:rPr>
          <w:rStyle w:val="FootnoteReference"/>
        </w:rPr>
        <w:footnoteRef/>
      </w:r>
      <w:r>
        <w:t xml:space="preserve"> </w:t>
      </w:r>
      <w:r>
        <w:t xml:space="preserve">Telepsicologia e telemonitoraggio assistiti: in Piemonte sono lo strumento per garantire l’accesso al sostegno psicologico nelle aree interne e alpine, più anziane e soggette a spopolamento, come il Verbano-Cusio-Ossola e il Biellese; sono concepiti come complementari e non sostitutivi della presa in carico in presenza.</w:t>
      </w:r>
    </w:p>
  </w:footnote>
  <w:footnote w:id="1415">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1416">
    <w:p>
      <w:pPr>
        <w:pStyle w:val="FootnoteText"/>
      </w:pPr>
      <w:r>
        <w:rPr>
          <w:rStyle w:val="FootnoteReference"/>
        </w:rPr>
        <w:footnoteRef/>
      </w:r>
      <w:r>
        <w:t xml:space="preserve"> </w:t>
      </w:r>
      <w:r>
        <w:t xml:space="preserve">Programma formativo a quattro livelli: universitario (curricula e tirocini presso l’Università degli Studi di Torino e l’Università del Piemonte Orientale, con sedi a Vercelli, Novara e Alessandria); post-universitario specialistico (corso regionale con attestato sulla psicologia di base e le cure primarie, comprensivo della competenza per l’età anziana e per le aree interne); continuo lavorativo (aggiornamento in servizio, audit clinico, educazione continua in medicina); affiancamento operativo (tutoraggio sul campo e inserimento graduale con supervisione).</w:t>
      </w:r>
    </w:p>
  </w:footnote>
  <w:footnote w:id="1417">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1418">
    <w:p>
      <w:pPr>
        <w:pStyle w:val="FootnoteText"/>
      </w:pPr>
      <w:r>
        <w:rPr>
          <w:rStyle w:val="FootnoteReference"/>
        </w:rPr>
        <w:footnoteRef/>
      </w:r>
    </w:p>
  </w:footnote>
  <w:footnote w:id="1419">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1420">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1421">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1422">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1423">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1424">
    <w:p>
      <w:pPr>
        <w:pStyle w:val="FootnoteText"/>
      </w:pPr>
      <w:r>
        <w:rPr>
          <w:rStyle w:val="FootnoteReference"/>
        </w:rPr>
        <w:footnoteRef/>
      </w:r>
    </w:p>
  </w:footnote>
  <w:footnote w:id="1425">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1426">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1427">
    <w:p>
      <w:pPr>
        <w:pStyle w:val="FootnoteText"/>
      </w:pPr>
      <w:r>
        <w:rPr>
          <w:rStyle w:val="FootnoteReference"/>
        </w:rPr>
        <w:footnoteRef/>
      </w:r>
      <w:r>
        <w:t xml:space="preserve"> </w:t>
      </w:r>
      <w:r>
        <w:t xml:space="preserve">Quadro economico consolidato per il Piemonte (Parte E): a regime, da circa 470 a circa 920 psicologi, costo del servizio di 26-51 milioni, risparmi diretti di 16-39 milioni, ricadute sociali di 83-240 milioni; il saldo diretto è lievemente negativo, il saldo complessivo positivo, con rapporto beneficio-costo di 3,8-5,5 a uno.</w:t>
      </w:r>
    </w:p>
  </w:footnote>
  <w:footnote w:id="1428">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1429">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1430">
    <w:p>
      <w:pPr>
        <w:pStyle w:val="FootnoteText"/>
      </w:pPr>
      <w:r>
        <w:rPr>
          <w:rStyle w:val="FootnoteReference"/>
        </w:rPr>
        <w:footnoteRef/>
      </w:r>
      <w:r>
        <w:t xml:space="preserve"> </w:t>
      </w:r>
      <w:r>
        <w:t xml:space="preserve">Valori regionali di ancoraggio per il Piemonte: popolazione di 4.251.868 abitanti (Censimento ISTAT 2024) sostanzialmente stabile e con marcato invecchiamento, finanziamento del Servizio sanitario regionale dell’ordine di 9,5 miliardi di euro sotto pressione finanziaria ma senza piano di rientro in atto, saldo di mobilità sostanzialmente in equilibrio e marginalmente negativo, fabbisogno a regime fino a circa 920 psicologi nello scenario espansivo.</w:t>
      </w:r>
    </w:p>
  </w:footnote>
  <w:footnote w:id="1431">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piemontese (7,2%), e non estratti dai conti regionali certificati; i dati da acquisire presso le dodici Aziende Sanitarie Locali e le Aziende Ospedaliero-Universitarie sono elencati nella tabella seguente, agevolati in Piemonte dalla disponibilità dei dati del servizio già attivo.</w:t>
      </w:r>
    </w:p>
  </w:footnote>
  <w:footnote w:id="1432">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1433">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ed emiliano-romagnolo, di cui questo studio replica il telaio metodologico.</w:t>
      </w:r>
    </w:p>
  </w:footnote>
  <w:footnote w:id="1434">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1435">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1436">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1437">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1438">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1439">
    <w:p>
      <w:pPr>
        <w:pStyle w:val="FootnoteText"/>
      </w:pPr>
      <w:r>
        <w:rPr>
          <w:rStyle w:val="FootnoteReference"/>
        </w:rPr>
        <w:footnoteRef/>
      </w:r>
      <w:r>
        <w:t xml:space="preserve"> </w:t>
      </w:r>
      <w:r>
        <w:t xml:space="preserve">Distinzione tra costo-utilità e impatto sul bilancio per il Piemonte: la probabilità di costo-efficacia è un risultato di efficienza, riferito al singolo paziente, che valorizza il guadagno di salute e l’intera traiettoria di costo del modello; esso è coerente con il saldo diretto aggregato della Parte E, che per il Piemonte è lievemente negativo, poiché la traduzione dal modello per paziente all’aggregato regionale incorpora le correzioni per peso morto e per l’effettiva monetizzabilità nel bilancio dei costi evitati, e poiché il canale della mobilità è solo marginalmente pertinente, essendo il Piemonte in sostanziale equilibrio di mobilità. L’efficienza per paziente è robusta; la convenienza per il solo bilancio è lievemente negativa; il forte ritorno per la collettività proviene dalle ricadute sociali.</w:t>
      </w:r>
    </w:p>
  </w:footnote>
  <w:footnote w:id="1440">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441">
    <w:p>
      <w:pPr>
        <w:pStyle w:val="FootnoteText"/>
      </w:pPr>
      <w:r>
        <w:rPr>
          <w:rStyle w:val="FootnoteReference"/>
        </w:rPr>
        <w:footnoteRef/>
      </w:r>
    </w:p>
  </w:footnote>
  <w:footnote w:id="1442">
    <w:p>
      <w:pPr>
        <w:pStyle w:val="FootnoteText"/>
      </w:pPr>
      <w:r>
        <w:rPr>
          <w:rStyle w:val="FootnoteReference"/>
        </w:rPr>
        <w:footnoteRef/>
      </w:r>
      <w:r>
        <w:t xml:space="preserve"> </w:t>
      </w:r>
      <w:r>
        <w:t xml:space="preserve">Posizione della Liguria: la Regione si è dotata di una legge regionale dedicata, la legge regionale 28 dicembre 2023, n. 20, che all’articolo 76 istituisce il servizio di psicologia territoriale, approvata in sede di legge di stabilità regionale. La legge prevede, presso ciascuna Azienda Sociosanitaria Ligure, un elenco degli psicologi territoriali, almeno due psicologi per distretto sanitario, un rapporto convenzionale su base libero-professionale e la costituzione, da parte della Giunta, di un Osservatorio con funzioni di controllo, programmazione e indirizzo. Sulla base di tale cornice è stata avviata, entro la fine del 2025, una sperimentazione del servizio nelle Case della Comunità, prioritariamente di tipo Hub, con manifestazioni di interesse emanate dalle Aziende per la selezione dei professionisti.</w:t>
      </w:r>
    </w:p>
  </w:footnote>
  <w:footnote w:id="1443">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444">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cinque Aziende Sociosanitarie Liguri e agli IRCCS. A differenza della Toscana, la Liguria non dispone ancora di propri dati di esito, che la sperimentazione appena avviata produrrà e che andranno consolidati come fonte primaria di calibrazione.</w:t>
      </w:r>
    </w:p>
  </w:footnote>
  <w:footnote w:id="1445">
    <w:p>
      <w:pPr>
        <w:pStyle w:val="FootnoteText"/>
      </w:pPr>
      <w:r>
        <w:rPr>
          <w:rStyle w:val="FootnoteReference"/>
        </w:rPr>
        <w:footnoteRef/>
      </w:r>
      <w:r>
        <w:t xml:space="preserve"> </w:t>
      </w:r>
      <w:r>
        <w:t xml:space="preserve">Verifica empirica: poiché la sperimentazione è in fase di avvio e si dispiega progressivamente tra le cinque Aziende e i loro distretti, la verifica può poggiare su un disegno a cunei progressivi pianificato prospetticamente — il più pulito tra quelli realizzabili nella serie regionale — oggetto della Parte L, che riduce l’incertezza sostituendo progressivamente le stime con misure osservate sui dati liguri via via che il servizio si estende.</w:t>
      </w:r>
    </w:p>
  </w:footnote>
  <w:footnote w:id="1446">
    <w:p>
      <w:pPr>
        <w:pStyle w:val="FootnoteText"/>
      </w:pPr>
      <w:r>
        <w:rPr>
          <w:rStyle w:val="FootnoteReference"/>
        </w:rPr>
        <w:footnoteRef/>
      </w:r>
      <w:r>
        <w:t xml:space="preserve"> </w:t>
      </w:r>
      <w:r>
        <w:t xml:space="preserve">Disagio giovanile: è una componente rilevante e in crescita, con fenomeni di ansia e disagio tra gli adolescenti che solo in parte trovano risposta nei servizi; la quota intercettata rappresenta presumibilmente una frazione del bisogno reale.</w:t>
      </w:r>
    </w:p>
  </w:footnote>
  <w:footnote w:id="1447">
    <w:p>
      <w:pPr>
        <w:pStyle w:val="FootnoteText"/>
      </w:pPr>
      <w:r>
        <w:rPr>
          <w:rStyle w:val="FootnoteReference"/>
        </w:rPr>
        <w:footnoteRef/>
      </w:r>
      <w:r>
        <w:t xml:space="preserve"> </w:t>
      </w:r>
      <w:r>
        <w:t xml:space="preserve">Salute mentale connessa al lavoro: nella popolazione attiva, ampia parte dei lavoratori è esposta a fattori di stress correlati al lavoro; l’intercettazione precoce del disagio ha un valore particolarmente elevato in termini di produttività recuperata.</w:t>
      </w:r>
    </w:p>
  </w:footnote>
  <w:footnote w:id="1448">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il tratto più caratteristico del fabbisogno ligure, nella regione più anziana d’Italia, ed è ulteriormente accentuato nell’entroterra appenninico, più anziano e a maggiore difficoltà di accesso.</w:t>
      </w:r>
    </w:p>
  </w:footnote>
  <w:footnote w:id="1449">
    <w:p>
      <w:pPr>
        <w:pStyle w:val="FootnoteText"/>
      </w:pPr>
      <w:r>
        <w:rPr>
          <w:rStyle w:val="FootnoteReference"/>
        </w:rPr>
        <w:footnoteRef/>
      </w:r>
      <w:r>
        <w:t xml:space="preserve"> </w:t>
      </w:r>
      <w:r>
        <w:t xml:space="preserve">Tratto distintivo della Liguria rispetto alle altre regioni: la combinazione dell’invecchiamento più marcato d’Italia, della più alta prevalenza nazionale di utenti trattati dai servizi di salute mentale e della condizione di Regione che ha già istituito il servizio con una legge dedicata ma ne ha appena avviato la sperimentazione; il bisogno è quindi accompagnato da una base giuridica già acquisita, ma da un’esperienza operativa ancora ai primi passi, da condurre a regime.</w:t>
      </w:r>
    </w:p>
  </w:footnote>
  <w:footnote w:id="1450">
    <w:p>
      <w:pPr>
        <w:pStyle w:val="FootnoteText"/>
      </w:pPr>
      <w:r>
        <w:rPr>
          <w:rStyle w:val="FootnoteReference"/>
        </w:rPr>
        <w:footnoteRef/>
      </w:r>
      <w:r>
        <w:t xml:space="preserve"> </w:t>
      </w:r>
      <w:r>
        <w:t xml:space="preserve">Accessi al pronto soccorso per cause psichiatriche elevati: dell’ordine di ventimila l’anno, con un tasso (13,7 per mille abitanti) superiore alla media nazionale; elevati risultano anche i dimessi dai reparti di psichiatria e le riammissioni a trenta giorni, indici di una pressione sul sistema acuto che un primo livello territoriale efficace potrebbe in parte contenere a monte.</w:t>
      </w:r>
    </w:p>
  </w:footnote>
  <w:footnote w:id="1451">
    <w:p>
      <w:pPr>
        <w:pStyle w:val="FootnoteText"/>
      </w:pPr>
      <w:r>
        <w:rPr>
          <w:rStyle w:val="FootnoteReference"/>
        </w:rPr>
        <w:footnoteRef/>
      </w:r>
      <w:r>
        <w:t xml:space="preserve"> </w:t>
      </w:r>
      <w:r>
        <w:t xml:space="preserve">Offerta territoriale: la Liguria ha istituito il servizio di psicologia territoriale con la legge regionale 20 del 2023 (articolo 76) e ne ha avviato la sperimentazione entro la fine del 2025, prioritariamente nelle Case della Comunità di tipo Hub e in integrazione con la medicina generale. La sperimentazione è però dimensionata, in prima applicazione, a trentotto psicologi territoriali su base libero-professionale, con manifestazioni di interesse emanate dalle Aziende per la selezione dei professionisti, e copre una frazione minima del fabbisogno.</w:t>
      </w:r>
    </w:p>
  </w:footnote>
  <w:footnote w:id="1452">
    <w:p>
      <w:pPr>
        <w:pStyle w:val="FootnoteText"/>
      </w:pPr>
      <w:r>
        <w:rPr>
          <w:rStyle w:val="FootnoteReference"/>
        </w:rPr>
        <w:footnoteRef/>
      </w:r>
      <w:r>
        <w:t xml:space="preserve"> </w:t>
      </w:r>
      <w:r>
        <w:t xml:space="preserve">Fabbisogno a regime stimato nell’ordine di 330 psicologi (intervallo 310-350). L’Ordine degli Psicologi della Liguria, che ha accompagnato l’iter della legge e l’avvio della sperimentazione, ne sostiene la conduzione a regime con un rapporto convenzionale stabile, a superamento della fase di prima applicazione.</w:t>
      </w:r>
    </w:p>
  </w:footnote>
  <w:footnote w:id="1453">
    <w:p>
      <w:pPr>
        <w:pStyle w:val="FootnoteText"/>
      </w:pPr>
      <w:r>
        <w:rPr>
          <w:rStyle w:val="FootnoteReference"/>
        </w:rPr>
        <w:footnoteRef/>
      </w:r>
      <w:r>
        <w:t xml:space="preserve"> </w:t>
      </w:r>
      <w:r>
        <w:t xml:space="preserve">Copertura attuale del fabbisogno minima: il servizio è istituito per legge ma la sperimentazione è appena avviata, dimensionata a trentotto psicologi, dell’ordine del tre-quattro per cento del fabbisogno potenziale; la distanza dalla copertura adeguata è quindi ampia, e la decisione verte sul colmarla.</w:t>
      </w:r>
    </w:p>
  </w:footnote>
  <w:footnote w:id="1454">
    <w:p>
      <w:pPr>
        <w:pStyle w:val="FootnoteText"/>
      </w:pPr>
      <w:r>
        <w:rPr>
          <w:rStyle w:val="FootnoteReference"/>
        </w:rPr>
        <w:footnoteRef/>
      </w:r>
      <w:r>
        <w:t xml:space="preserve"> </w:t>
      </w:r>
      <w:r>
        <w:t xml:space="preserve">Disuguaglianze e divari territoriali: il divario rilevante in Liguria è quello fra la fascia costiera, dove si concentrano la popolazione e i poli sanitari, e l’entroterra appenninico, anziano, disperso e in spopolamento, dove l’accesso ai servizi è reso difficile dalla conformazione vallata; a esso si aggiunge la pressione delle liste di attesa. La telepsicologia assistita è lo strumento per avvicinare l’offerta alle aree interne, dove la sola presenza di un primo livello accessibile costituisce già un atto di riequilibrio.</w:t>
      </w:r>
    </w:p>
  </w:footnote>
  <w:footnote w:id="1455">
    <w:p>
      <w:pPr>
        <w:pStyle w:val="FootnoteText"/>
      </w:pPr>
      <w:r>
        <w:rPr>
          <w:rStyle w:val="FootnoteReference"/>
        </w:rPr>
        <w:footnoteRef/>
      </w:r>
      <w:r>
        <w:t xml:space="preserve"> </w:t>
      </w:r>
      <w:r>
        <w:t xml:space="preserve">Finanziamento del Servizio sanitario regionale dell’ordine di 3,5 miliardi di euro; la Liguria non è soggetta a un piano di rientro, ma presenta un disavanzo strutturale coperto con risorse regionali e opera sotto pressione finanziaria, con la riduzione delle liste di attesa indicata come priorità e con un Piano Socio Sanitario 2023-2025 di riferimento; il ricorso al privato accreditato è tra i più contenuti d’Italia.</w:t>
      </w:r>
    </w:p>
  </w:footnote>
  <w:footnote w:id="1456">
    <w:p>
      <w:pPr>
        <w:pStyle w:val="FootnoteText"/>
      </w:pPr>
      <w:r>
        <w:rPr>
          <w:rStyle w:val="FootnoteReference"/>
        </w:rPr>
        <w:footnoteRef/>
      </w:r>
      <w:r>
        <w:t xml:space="preserve"> </w:t>
      </w:r>
      <w:r>
        <w:t xml:space="preserve">Mobilità sanitaria a saldo passivo, dell’ordine di settanta milioni di euro e in peggioramento negli ultimi anni, con una mobilità passiva ospedaliera concentrata nelle specialità chirurgiche — ortopedia (44%), cardiologia e malattie del sistema nervoso. La Regione ha varato nel 2025 un piano dedicato per ridurla. Poiché la fuga riguarda la chirurgia e non la domanda psicologica delle cure primarie, il canale del recupero della mobilità, centrale per le regioni debitrici del Mezzogiorno, in Liguria è solo marginalmente pertinente a questo intervento.</w:t>
      </w:r>
    </w:p>
  </w:footnote>
  <w:footnote w:id="1457">
    <w:p>
      <w:pPr>
        <w:pStyle w:val="FootnoteText"/>
      </w:pPr>
      <w:r>
        <w:rPr>
          <w:rStyle w:val="FootnoteReference"/>
        </w:rPr>
        <w:footnoteRef/>
      </w:r>
      <w:r>
        <w:t xml:space="preserve"> </w:t>
      </w:r>
      <w:r>
        <w:t xml:space="preserve">Cornice normativa e programmatica: la Liguria dispone di una legge regionale dedicata, l’articolo 76 della legge 20 del 2023, che istituisce il servizio di psicologia territoriale, prevede elenchi aziendali, un rapporto convenzionale e la costituzione di un Osservatorio, e ammette in prima applicazione gli psicologi con esperienza almeno biennale. La cornice include il Decreto Ministeriale 77/2022 sugli standard dell’assistenza territoriale; sul piano nazionale, il testo unificato C. 1140, il Piano Nazionale per la Salute Mentale e la sentenza della Corte Costituzionale n. 241 del 2021 sulla competenza regionale. A differenza di altre regioni, in Liguria una legge regionale dedicata è già vigente, ma la sua attuazione è ai primi passi.</w:t>
      </w:r>
    </w:p>
  </w:footnote>
  <w:footnote w:id="1458">
    <w:p>
      <w:pPr>
        <w:pStyle w:val="FootnoteText"/>
      </w:pPr>
      <w:r>
        <w:rPr>
          <w:rStyle w:val="FootnoteReference"/>
        </w:rPr>
        <w:footnoteRef/>
      </w:r>
      <w:r>
        <w:t xml:space="preserve"> </w:t>
      </w:r>
      <w:r>
        <w:t xml:space="preserve">Popolazione residente in Liguria 1.510.143 abitanti (Censimento permanente ISTAT al 31 dicembre 2024), pari a circa il 2,6% della popolazione nazionale, in lievissimo aumento rispetto all’anno precedente (+0,1%); tale incremento è dovuto interamente al saldo migratorio, estero e interno, che compensa un saldo naturale fortemente negativo (− 12.692 unità), tanto che, senza le migrazioni, la popolazione sarebbe diminuita di oltre dodicimila residenti. Più della metà della popolazione risiede nella sola Città Metropolitana di Genova (54,2%); seguono le province di Savona, La Spezia e Imperia. Il territorio si distende su una stretta fascia costiera e su un entroterra appenninico a forte spopolamento, con i comuni più piccoli tra i più anziani d’Italia.</w:t>
      </w:r>
    </w:p>
  </w:footnote>
  <w:footnote w:id="1459">
    <w:p>
      <w:pPr>
        <w:pStyle w:val="FootnoteText"/>
      </w:pPr>
      <w:r>
        <w:rPr>
          <w:rStyle w:val="FootnoteReference"/>
        </w:rPr>
        <w:footnoteRef/>
      </w:r>
    </w:p>
  </w:footnote>
  <w:footnote w:id="1460">
    <w:p>
      <w:pPr>
        <w:pStyle w:val="FootnoteText"/>
      </w:pPr>
      <w:r>
        <w:rPr>
          <w:rStyle w:val="FootnoteReference"/>
        </w:rPr>
        <w:footnoteRef/>
      </w:r>
      <w:r>
        <w:t xml:space="preserve"> </w:t>
      </w:r>
      <w:r>
        <w:t xml:space="preserve">Popolazione residente in Liguria 1.510.143 abitanti (Censimento permanente ISTAT al 31 dicembre 2024), pari a circa il 2,6% della popolazione nazionale, in lievissimo aumento rispetto all’anno precedente (+0,1%); tale incremento è dovuto interamente al saldo migratorio, estero e interno, che compensa un saldo naturale fortemente negativo (− 12.692 unità), tanto che, senza le migrazioni, la popolazione sarebbe diminuita di oltre dodicimila residenti. Più della metà della popolazione risiede nella sola Città Metropolitana di Genova (54,2%); seguono le province di Savona, La Spezia e Imperia. Il territorio si distende su una stretta fascia costiera e su un entroterra appenninico a forte spopolamento, con i comuni più piccoli tra i più anziani d’Italia.Questa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1461">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Liguria il rischio di povertà o esclusione è contenuto in aggregato, sicché il gradiente socio-economico non è il tratto distintivo dell’equità; prevalgono tre dimensioni diverse: la dualità fra la fascia costiera, densa e ben servita, e l’entroterra appenninico, anziano, disperso e in spopolamento; l’invecchiamento della popolazione, il più marcato d’Italia; e una dimensione multiculturale non trascurabile, con una componente straniera intorno all’undici per cento.</w:t>
      </w:r>
    </w:p>
  </w:footnote>
  <w:footnote w:id="1462">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Liguria rilevano in particolare l’abbattimento della barriera geografica nell’entroterra appenninico, dove la conformazione vallata e montana e la distanza dai servizi sono il principale ostacolo, integrato dalla telepsicologia, e l’abbattimento della barriera culturale e linguistica per l’utenza straniera.</w:t>
      </w:r>
    </w:p>
  </w:footnote>
  <w:footnote w:id="1463">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nell’entroterra appenninico, accessibilità culturale e linguistica, equità di esito tra gruppi, equità di genere, accesso per l’età anziana, per i gruppi fragili e le persone con disabilità, gratuità per i gruppi vulnerabili, copertura del bisogno non soddisfatto.</w:t>
      </w:r>
    </w:p>
  </w:footnote>
  <w:footnote w:id="1464">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1465">
    <w:p>
      <w:pPr>
        <w:pStyle w:val="FootnoteText"/>
      </w:pPr>
      <w:r>
        <w:rPr>
          <w:rStyle w:val="FootnoteReference"/>
        </w:rPr>
        <w:footnoteRef/>
      </w:r>
      <w:r>
        <w:t xml:space="preserve"> </w:t>
      </w:r>
      <w:r>
        <w:t xml:space="preserve">Direzione del risultato distributivo: poiché il guadagno di accesso è più ampio dove l’accesso è oggi più difficile — l’entroterra appenninico, l’età anziana, l’utenza straniera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1466">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Liguria, ove la popolazione non è prevalentemente deprivata, l’effetto della ponderazione sarebbe più contenuto che nel Mezzogiorno, il che rende la scelta non ponderata tanto più prudente.</w:t>
      </w:r>
    </w:p>
  </w:footnote>
  <w:footnote w:id="1467">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la prevalenza di cronicità e multimorbidità e la presenza straniera, attribuendo pesi maggiori all’entroterra appenninico e ai comuni più anziani; in Liguria l’indice di vecchiaia — il più elevato d’Italia — è il fattore di ponderazione di gran lunga prevalente.</w:t>
      </w:r>
    </w:p>
  </w:footnote>
  <w:footnote w:id="1468">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1469">
    <w:p>
      <w:pPr>
        <w:pStyle w:val="FootnoteText"/>
      </w:pPr>
      <w:r>
        <w:rPr>
          <w:rStyle w:val="FootnoteReference"/>
        </w:rPr>
        <w:footnoteRef/>
      </w:r>
      <w:r>
        <w:t xml:space="preserve"> </w:t>
      </w:r>
      <w:r>
        <w:t xml:space="preserve">Divari territoriali in Liguria: il divario rilevante non è quello Nord-Sud, ma quello interno tra la fascia costiera, dove si concentrano la popolazione e i poli sanitari, e l’entroterra appenninico, a popolazione anziana e dispersa e in spopolamento, dove i comuni più piccoli presentano un’età media superiore ai cinquantuno anni. In queste aree la sola presenza fisica di un primo livello accessibile costituisce già un atto di riequilibrio, integrato dalla telepsicologia.</w:t>
      </w:r>
    </w:p>
  </w:footnote>
  <w:footnote w:id="1470">
    <w:p>
      <w:pPr>
        <w:pStyle w:val="FootnoteText"/>
      </w:pPr>
      <w:r>
        <w:rPr>
          <w:rStyle w:val="FootnoteReference"/>
        </w:rPr>
        <w:footnoteRef/>
      </w:r>
      <w:r>
        <w:t xml:space="preserve"> </w:t>
      </w:r>
      <w:r>
        <w:t xml:space="preserve">Liste di attesa, uniformità del servizio e aree interne quali dimensioni di equità: in Liguria, dove il canale della mobilità recuperata è solo marginalmente pertinente perché la fuga è chirurgica, le principali leve distributive sono la riduzione delle liste di attesa, che oggi penalizzano chi non può ricorrere al privato, l’estensione uniforme del servizio dalla sperimentazione appena avviata a tutte le Case della Comunità delle cinque Aziende, e l’accesso nell’entroterra appenninico.</w:t>
      </w:r>
    </w:p>
  </w:footnote>
  <w:footnote w:id="1471">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1472">
    <w:p>
      <w:pPr>
        <w:pStyle w:val="FootnoteText"/>
      </w:pPr>
      <w:r>
        <w:rPr>
          <w:rStyle w:val="FootnoteReference"/>
        </w:rPr>
        <w:footnoteRef/>
      </w:r>
      <w:r>
        <w:t xml:space="preserve"> </w:t>
      </w:r>
      <w:r>
        <w:t xml:space="preserve">Copertura del bisogno non soddisfatto come equità: intercettare la quota inevasa del disagio — dell’ordine di 300.000 persone, in larga parte non intercettata — significa raggiungere proprio coloro che hanno minore probabilità di accedere spontaneamente ai servizi, in una regione che peraltro registra già la più alta prevalenza nazionale di utenti dei servizi specialistici.</w:t>
      </w:r>
    </w:p>
  </w:footnote>
  <w:footnote w:id="1473">
    <w:p>
      <w:pPr>
        <w:pStyle w:val="FootnoteText"/>
      </w:pPr>
      <w:r>
        <w:rPr>
          <w:rStyle w:val="FootnoteReference"/>
        </w:rPr>
        <w:footnoteRef/>
      </w:r>
      <w:r>
        <w:t xml:space="preserve"> </w:t>
      </w:r>
      <w:r>
        <w:t xml:space="preserve">Collegamento al monitoraggio: gli indicatori di equità — accesso per area e per livello socio-economico, accesso dell’età anziana e dell’utenza straniera, gradiente dell’esito, tempi di attesa per area — fanno parte del sistema di indicatori della Parte L, e consentono di accertare nel tempo se il servizio raggiunga le comunità dell’entroterra più distanti e i gruppi più fragili.</w:t>
      </w:r>
    </w:p>
  </w:footnote>
  <w:footnote w:id="1474">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condizione attuale come comparatore.</w:t>
      </w:r>
    </w:p>
  </w:footnote>
  <w:footnote w:id="1475">
    <w:p>
      <w:pPr>
        <w:pStyle w:val="FootnoteText"/>
      </w:pPr>
      <w:r>
        <w:rPr>
          <w:rStyle w:val="FootnoteReference"/>
        </w:rPr>
        <w:footnoteRef/>
      </w:r>
    </w:p>
  </w:footnote>
  <w:footnote w:id="1476">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condizione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477">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1478">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1479">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1480">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1481">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1482">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1483">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ligure, fondato anch’esso sulle ricadute sociali.</w:t>
      </w:r>
    </w:p>
  </w:footnote>
  <w:footnote w:id="1484">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485">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1486">
    <w:p>
      <w:pPr>
        <w:pStyle w:val="FootnoteText"/>
      </w:pPr>
      <w:r>
        <w:rPr>
          <w:rStyle w:val="FootnoteReference"/>
        </w:rPr>
        <w:footnoteRef/>
      </w:r>
    </w:p>
  </w:footnote>
  <w:footnote w:id="1487">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1488">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1489">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1490">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491">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1492">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1493">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la Liguria ha esercitato tale competenza nella forma più piena, approvando una legge regionale dedicata che istituisce il servizio, e non con un mero atto amministrativo.</w:t>
      </w:r>
    </w:p>
  </w:footnote>
  <w:footnote w:id="1494">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1495">
    <w:p>
      <w:pPr>
        <w:pStyle w:val="FootnoteText"/>
      </w:pPr>
      <w:r>
        <w:rPr>
          <w:rStyle w:val="FootnoteReference"/>
        </w:rPr>
        <w:footnoteRef/>
      </w:r>
      <w:r>
        <w:t xml:space="preserve"> </w:t>
      </w:r>
      <w:r>
        <w:t xml:space="preserve">Corte costituzionale, sentenza 13 dicembre 2021, n. 241: pronunciandosi su una legge regionale, ha tracciato il confine della competenza in materia, ritenendo legittima l’organizzazione del servizio che si avvalga di professionisti già esistenti nel quadro dell’assistenza territoriale, ma riconducendo allo Stato la determinazione dei livelli essenziali e la disciplina dei rapporti di lavoro. La legge ligure opera mediante un rapporto convenzionale modellato su quelli già vigenti e si colloca pertanto nello spazio legittimo, ma il suo consolidamento pieno e l’estensione uniforme tra le regioni restano affidati alla legge statale.</w:t>
      </w:r>
    </w:p>
  </w:footnote>
  <w:footnote w:id="1496">
    <w:p>
      <w:pPr>
        <w:pStyle w:val="FootnoteText"/>
      </w:pPr>
      <w:r>
        <w:rPr>
          <w:rStyle w:val="FootnoteReference"/>
        </w:rPr>
        <w:footnoteRef/>
      </w:r>
      <w:r>
        <w:t xml:space="preserve"> </w:t>
      </w:r>
      <w:r>
        <w:t xml:space="preserve">Base giuridica regionale della Liguria: il servizio è istituito dall’articolo 76 della legge regionale 28 dicembre 2023, n. 20, che prevede elenchi aziendali di psicologi territoriali, almeno due psicologi per distretto, un rapporto convenzionale su base libero-professionale e la costituzione di un Osservatorio, ammettendo in prima applicazione gli psicologi con esperienza almeno biennale; in attuazione è stata avviata la sperimentazione, dimensionata a trentotto psicologi. A differenza del Veneto, la Liguria non dispone di un’azienda regionale unica, e la cornice di coordinamento è costituita dalla Regione, dalle cinque Aziende e dall’Azienda Ligure Sanitaria. La decisione non verte sul prevedere la funzione né sul dotarla di una legge, già esistente, ma sul condurla dalla sperimentazione alla strutturazione a regime e sul dimensionarla.</w:t>
      </w:r>
    </w:p>
  </w:footnote>
  <w:footnote w:id="1497">
    <w:p>
      <w:pPr>
        <w:pStyle w:val="FootnoteText"/>
      </w:pPr>
      <w:r>
        <w:rPr>
          <w:rStyle w:val="FootnoteReference"/>
        </w:rPr>
        <w:footnoteRef/>
      </w:r>
      <w:r>
        <w:t xml:space="preserve"> </w:t>
      </w:r>
      <w:r>
        <w:t xml:space="preserve">Vincolo di destinazione delle risorse: il principio per cui i fondi del Servizio sanitario devono essere destinati alla garanzia dei livelli essenziali è rispettato dalla riforma, di costo contenuto e relativa a un servizio di primo livello delle cure primarie. La Liguria non è sottoposta a piano di rientro, ma presenta un disavanzo strutturale coperto con risorse regionali ed è debitrice nella mobilità; l’investimento incrementale necessario alla strutturazione a regime, contenuto, è coerente con tale principio.</w:t>
      </w:r>
    </w:p>
  </w:footnote>
  <w:footnote w:id="1498">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della Liguria, che ha accompagnato l’iter della legge e l’avvio della sperimentazione e concorre alla governance e alla formazione, e che riunisce gli oltre tremila professionisti iscritti nella regione.</w:t>
      </w:r>
    </w:p>
  </w:footnote>
  <w:footnote w:id="1499">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1500">
    <w:p>
      <w:pPr>
        <w:pStyle w:val="FootnoteText"/>
      </w:pPr>
      <w:r>
        <w:rPr>
          <w:rStyle w:val="FootnoteReference"/>
        </w:rPr>
        <w:footnoteRef/>
      </w:r>
      <w:r>
        <w:t xml:space="preserve"> </w:t>
      </w:r>
      <w:r>
        <w:t xml:space="preserve">Conformità degli strumenti di IA: il regolamento europeo sull’intelligenza artificiale, in vigore dal 2025, classifica come ad alto rischio i sistemi impiegati nei dispositivi medici, con obblighi differiti oltre il 2027;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1501">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dell’entroterra appenninico — e il supporto multilingue per la popolazione straniera, ferma restando la garanzia dell’alternativa in presenza.</w:t>
      </w:r>
    </w:p>
  </w:footnote>
  <w:footnote w:id="1502">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1503">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1504">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ad esse si aggiungono oggi i servizi avviati nelle regioni che si sono dotate di una legge dedicata, tra cui la Liguria con la legge regionale 20 del 2023. I dati delle sperimentazioni storiche derivano però da campioni limitati e in parte da letteratura grigia, e vanno assunti con la dovuta cautela.</w:t>
      </w:r>
    </w:p>
  </w:footnote>
  <w:footnote w:id="1505">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506">
    <w:p>
      <w:pPr>
        <w:pStyle w:val="FootnoteText"/>
      </w:pPr>
      <w:r>
        <w:rPr>
          <w:rStyle w:val="FootnoteReference"/>
        </w:rPr>
        <w:footnoteRef/>
      </w:r>
      <w:r>
        <w:t xml:space="preserve"> </w:t>
      </w:r>
      <w:r>
        <w:t xml:space="preserve">Evidenza locale ligure: a differenza della Toscana, dove una sperimentazione già matura fornisce dati di esito reale, in Liguria la sperimentazione è appena avviata e non ha ancora prodotto dati propri; l’evidenza locale è quindi, allo stato, prospettica, e dovrà essere costruita sistematicamente man mano che il servizio si dispiega. Ne consegue che lo studio poggia, per l’efficacia, in misura maggiore sui benchmark internazionali e sul disegno valutativo, e in misura minore su dati italiani già disponibili.</w:t>
      </w:r>
    </w:p>
  </w:footnote>
  <w:footnote w:id="1507">
    <w:p>
      <w:pPr>
        <w:pStyle w:val="FootnoteText"/>
      </w:pPr>
      <w:r>
        <w:rPr>
          <w:rStyle w:val="FootnoteReference"/>
        </w:rPr>
        <w:footnoteRef/>
      </w:r>
      <w:r>
        <w:t xml:space="preserve"> </w:t>
      </w:r>
      <w:r>
        <w:t xml:space="preserve">Condizioni liguri per la trasferibilità e la valutazione: pur non disponendo ancora di dati operativi propri, la Liguria presenta un terreno favorevole alla valutazione rigorosa, costituito dall’infrastruttura informatica regionale, dalla rete delle Case della Comunità e dal coordinamento dell’Azienda Ligure Sanitaria; il vantaggio peculiare della regione è di poter disegnare la valutazione fin dall’avvio del servizio, anziché ricostruirla a posteriori, così da generare un’evidenza locale solida e non soltanto importata.</w:t>
      </w:r>
    </w:p>
  </w:footnote>
  <w:footnote w:id="1508">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1509">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 Liguria presenta un saldo di mobilità sanitaria passivo, dell’ordine di settanta milioni di euro, in peggioramento negli ultimi anni; tuttavia la fuga è concentrata nelle specialità chirurgiche — ortopedia, cardiologia e malattie del sistema nervoso — e non nella domanda psicologica delle cure primarie. Ne consegue che il canale del recupero della mobilità, leva centrale per le regioni debitrici del Mezzogiorno come la Puglia, in Liguria è solo marginalmente pertinente a questo intervento, che agisce su un bisogno diverso. Il saldo diretto risulta pertanto lievemente negativo e il caso economico poggia in misura preponderante sulle ricadute sociali, stimate con criteri conservativi; in un contesto di pressione finanziaria e di primato nazionale della domanda di salute mentale, il contenimento della domanda impropria assume comunque una salienza diretta.</w:t>
      </w:r>
    </w:p>
  </w:footnote>
  <w:footnote w:id="1510">
    <w:p>
      <w:pPr>
        <w:pStyle w:val="FootnoteText"/>
      </w:pPr>
      <w:r>
        <w:rPr>
          <w:rStyle w:val="FootnoteReference"/>
        </w:rPr>
        <w:footnoteRef/>
      </w:r>
      <w:r>
        <w:t xml:space="preserve"> </w:t>
      </w:r>
      <w:r>
        <w:t xml:space="preserve">I valori economici oggi impiegati sono in parte ricostruiti dai conti nazionali per quota di popolazione (2,6%) e non estratti dai conti regionali certificati delle cinque Aziende Sociosanitarie Liguri, degli IRCCS San Martino e Gaslini e degli enti ospedalieri: è la lacuna prioritaria dello studio, da colmare prima della presentazione esterna. A differenza della Toscana, dove la sperimentazione già matura fornisce dati operativi reali, in Liguria tale mitigazione è ancora limitata, poiché la sperimentazione è appena avviata e i suoi dati di esito devono ancora maturare.</w:t>
      </w:r>
    </w:p>
  </w:footnote>
  <w:footnote w:id="1511">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512">
    <w:p>
      <w:pPr>
        <w:pStyle w:val="FootnoteText"/>
      </w:pPr>
      <w:r>
        <w:rPr>
          <w:rStyle w:val="FootnoteReference"/>
        </w:rPr>
        <w:footnoteRef/>
      </w:r>
      <w:r>
        <w:t xml:space="preserve"> </w:t>
      </w:r>
      <w:r>
        <w:t xml:space="preserve">Valutazione controfattuale d’impatto: poiché la sperimentazione è in fase di avvio e si dispiega progressivamente tra le cinque Aziende e i loro distretti, la Liguria offre l’occasione, più netta che in ogni altra regione della serie, di disegnare prospetticamente un esperimento a cunei progressivi propriamente detto, in cui l’ordine e i tempi di attivazione delle sedi sono definiti in anticipo e secondo criteri trasparenti. L’effetto causale è stimato con i metodi della differenza-nelle-differenze e del controllo sintetico, confrontando le sedi attivate prima con quelle attivate dopo e sfruttando l’eterogeneità dell’intensità di copertura; l’Osservatorio previsto dalla legge regionale ne costituisce la sede di governo.</w:t>
      </w:r>
    </w:p>
  </w:footnote>
  <w:footnote w:id="1513">
    <w:p>
      <w:pPr>
        <w:pStyle w:val="FootnoteText"/>
      </w:pPr>
      <w:r>
        <w:rPr>
          <w:rStyle w:val="FootnoteReference"/>
        </w:rPr>
        <w:footnoteRef/>
      </w:r>
      <w:r>
        <w:t xml:space="preserve"> </w:t>
      </w:r>
      <w:r>
        <w:t xml:space="preserve">La valutazione è governata da un comitato di indirizzo — Regione, cinque Aziende Sociosanitarie Liguri, Azienda Ligure Sanitaria (A.Li.Sa), IRCCS Policlinico San Martino e IRCCS Istituto Gaslini, enti ospedalieri Galliera ed Evangelico, Ordine degli Psicologi della Liguria, rappresentanze della medicina generale e della pediatria di libera scelta e Università di Genova — nonché dall’Osservatorio previsto dalla legge regionale. A differenza del Veneto, la Liguria non dispone di un’azienda regionale unica, ma l’Azienda Ligure Sanitaria svolge funzioni regionali di coordinamento, programmazione e governo del sistema; con una legge già vigente e una sperimentazione appena avviata, la sfida del governo è condurre a regime e dimensionare un servizio già istituito, definendone l’ordine di attivazione tra le Aziende.</w:t>
      </w:r>
    </w:p>
  </w:footnote>
  <w:footnote w:id="1514">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1515">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1516">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517">
    <w:p>
      <w:pPr>
        <w:pStyle w:val="FootnoteText"/>
      </w:pPr>
      <w:r>
        <w:rPr>
          <w:rStyle w:val="FootnoteReference"/>
        </w:rPr>
        <w:footnoteRef/>
      </w:r>
    </w:p>
  </w:footnote>
  <w:footnote w:id="1518">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1519">
    <w:p>
      <w:pPr>
        <w:pStyle w:val="FootnoteText"/>
      </w:pPr>
      <w:r>
        <w:rPr>
          <w:rStyle w:val="FootnoteReference"/>
        </w:rPr>
        <w:footnoteRef/>
      </w:r>
      <w:r>
        <w:t xml:space="preserve"> </w:t>
      </w:r>
      <w:r>
        <w:t xml:space="preserve">Modello RE-AIM: misura la riuscita e la validità esterna dell’attuazione lungo cinque dimensioni — la portata, l’efficacia, l’adozione, l’implementazione e il mantenimento; per la Liguria sono dirimenti l’adozione, che muove ora i primi passi con la sperimentazione, e il mantenimento, ossia il consolidamento a regime di un servizio appena avviato.</w:t>
      </w:r>
    </w:p>
  </w:footnote>
  <w:footnote w:id="1520">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1521">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dimensionamento, il numero di psicologi reclutati e formati, la qualità della formazione e della supervisione, il grado di integrazione nei flussi di lavoro, l’aderenza ai percorsi e la scalabilità.</w:t>
      </w:r>
    </w:p>
  </w:footnote>
  <w:footnote w:id="1522">
    <w:p>
      <w:pPr>
        <w:pStyle w:val="FootnoteText"/>
      </w:pPr>
      <w:r>
        <w:rPr>
          <w:rStyle w:val="FootnoteReference"/>
        </w:rPr>
        <w:footnoteRef/>
      </w:r>
      <w:r>
        <w:t xml:space="preserve"> </w:t>
      </w:r>
      <w:r>
        <w:t xml:space="preserve">Disegno del dimensionamento in Liguria: poiché la sperimentazione è appena avviata e dimensionata a trentotto psicologi, dell’ordine del tre-quattro per cento del fabbisogno, il dispiegamento muove essenzialmente dall’inizio e consiste nell’estensione progressiva della copertura a tutte le Case della Comunità e ai distretti delle cinque Aziende verso il regime, per fasi semestrali e a partire dalle sedi di maggiore prontezza, sotto il coordinamento dell’Azienda Ligure Sanitaria e secondo criteri trasparenti.</w:t>
      </w:r>
    </w:p>
  </w:footnote>
  <w:footnote w:id="1523">
    <w:p>
      <w:pPr>
        <w:pStyle w:val="FootnoteText"/>
      </w:pPr>
      <w:r>
        <w:rPr>
          <w:rStyle w:val="FootnoteReference"/>
        </w:rPr>
        <w:footnoteRef/>
      </w:r>
      <w:r>
        <w:t xml:space="preserve"> </w:t>
      </w:r>
      <w:r>
        <w:t xml:space="preserve">Doppia funzione del dimensionamento progressivo: esso risponde a un’esigenza organizzativa — accrescere la copertura in modo graduale, compatibile con i tempi del reclutamento e della formazione — e al tempo stesso, definendo prospetticamente l’ordine e i tempi di attivazione delle sedi, fonda la valutazione controfattuale d’impatto a cunei progressivi, la più pulita realizzabile nella serie regionale, oggetto della Parte L.</w:t>
      </w:r>
    </w:p>
  </w:footnote>
  <w:footnote w:id="1524">
    <w:p>
      <w:pPr>
        <w:pStyle w:val="FootnoteText"/>
      </w:pPr>
      <w:r>
        <w:rPr>
          <w:rStyle w:val="FootnoteReference"/>
        </w:rPr>
        <w:footnoteRef/>
      </w:r>
      <w:r>
        <w:t xml:space="preserve"> </w:t>
      </w:r>
      <w:r>
        <w:t xml:space="preserve">Reclutamento: a fronte di un fabbisogno a regime dell’ordine di 330 psicologi, il reclutamento avviene tramite l’iscrizione a un elenco istituito presso ciascuna Azienda e l’instaurazione di un rapporto convenzionale, con requisiti di iscrizione all’albo e di formazione specifica; in prima applicazione la legge regionale valorizza i professionisti con esperienza almeno biennale, e il bacino è ampio, contando la regione oltre tremila psicologi iscritti all’Ordine.</w:t>
      </w:r>
    </w:p>
  </w:footnote>
  <w:footnote w:id="1525">
    <w:p>
      <w:pPr>
        <w:pStyle w:val="FootnoteText"/>
      </w:pPr>
      <w:r>
        <w:rPr>
          <w:rStyle w:val="FootnoteReference"/>
        </w:rPr>
        <w:footnoteRef/>
      </w:r>
      <w:r>
        <w:t xml:space="preserve"> </w:t>
      </w:r>
      <w:r>
        <w:t xml:space="preserve">Cronoprogramma: il dimensionamento procede per fasi semestrali, accrescendo progressivamente la copertura in tutte le Aziende; le attività di reclutamento, formazione e consolidamento sono condotte in modo graduale, mentre il monitoraggio e la valutazione accompagnano l’intero arco e proseguono oltre il raggiungimento del regime.</w:t>
      </w:r>
    </w:p>
  </w:footnote>
  <w:footnote w:id="1526">
    <w:p>
      <w:pPr>
        <w:pStyle w:val="FootnoteText"/>
      </w:pPr>
      <w:r>
        <w:rPr>
          <w:rStyle w:val="FootnoteReference"/>
        </w:rPr>
        <w:footnoteRef/>
      </w:r>
      <w:r>
        <w:t xml:space="preserve"> </w:t>
      </w:r>
      <w:r>
        <w:t xml:space="preserve">Soglia di riuscita: tra i parametri che muterebbero le conclusioni figura un tasso di recupero inferiore al 50% nella fase di dimensionamento, a fronte del valore di riferimento del programma inglese; il monitoraggio è chiamato a verificarne il raggiungimento sui dati liguri, che la sperimentazione appena avviata inizierà a produrre.</w:t>
      </w:r>
    </w:p>
  </w:footnote>
  <w:footnote w:id="1527">
    <w:p>
      <w:pPr>
        <w:pStyle w:val="FootnoteText"/>
      </w:pPr>
      <w:r>
        <w:rPr>
          <w:rStyle w:val="FootnoteReference"/>
        </w:rPr>
        <w:footnoteRef/>
      </w:r>
      <w:r>
        <w:t xml:space="preserve"> </w:t>
      </w:r>
      <w:r>
        <w:t xml:space="preserve">Caso commerciale (Five Case Model): la fattibilità dell’assetto contrattuale poggia sul rapporto convenzionale su base libero-professionale previsto dalla legge regionale, da cui un costo medio per incarico dell’ordine di 55.000 euro l’anno e gli scenari di spesa di 9, 14 e 18 milioni già esposti nella Parte E; le manifestazioni di interesse per la selezione dei professionisti sono già state emanate dalle Aziende, e il nodo specifico della Liguria è la stabilizzazione progressiva del rapporto verso un assetto convenzionale a regime, senza creazione di nuove figure.</w:t>
      </w:r>
    </w:p>
  </w:footnote>
  <w:footnote w:id="1528">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cinque Aziende, l’Azienda Ligure Sanitaria, gli IRCCS San Martino e Gaslini, gli enti ospedalieri Galliera ed Evangelico, l’Ordine degli Psicologi della Liguria, la medicina generale, la pediatria di libera scelta e l’Università di Genova, affiancato dall’Osservatorio previsto dalla legge; a livello aziendale, ciascuna Azienda è responsabile dell’attuazione nel proprio ambito. A differenza del Veneto, la Liguria non dispone di un’azienda regionale unica, ma l’Azienda Ligure Sanitaria assicura il coordinamento.</w:t>
      </w:r>
    </w:p>
  </w:footnote>
  <w:footnote w:id="1529">
    <w:p>
      <w:pPr>
        <w:pStyle w:val="FootnoteText"/>
      </w:pPr>
      <w:r>
        <w:rPr>
          <w:rStyle w:val="FootnoteReference"/>
        </w:rPr>
        <w:footnoteRef/>
      </w:r>
      <w:r>
        <w:t xml:space="preserve"> </w:t>
      </w:r>
      <w:r>
        <w:t xml:space="preserve">Rischi attuativi e misure di mitigazione: il rischio più specifico della Liguria è la fragilità di una sperimentazione appena avviata e di dimensione minima, dipendente dal finanziamento iniziale; ad esso si aggiungono il reclutamento insufficiente, la debole adesione della medicina generale e l’interoperabilità incompleta dei sistemi informativi. Poiché la legge è già vigente, la principale misura di mitigazione è la conduzione a regime con un rapporto convenzionale stabile e un dimensionamento graduale, che consente di osservare, correggere e adattare fin dalle prime fasi.</w:t>
      </w:r>
    </w:p>
  </w:footnote>
  <w:footnote w:id="1530">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3,5 miliardi di euro, di cui una quota è già destinata alla sperimentazione avviata, la Missione 6 del Piano Nazionale di Ripresa e Resilienza per l’infrastruttura territoriale e digitale, e un eventuale fondo statale a sostegno dei livelli essenziali.</w:t>
      </w:r>
    </w:p>
  </w:footnote>
  <w:footnote w:id="1531">
    <w:p>
      <w:pPr>
        <w:pStyle w:val="FootnoteText"/>
      </w:pPr>
      <w:r>
        <w:rPr>
          <w:rStyle w:val="FootnoteReference"/>
        </w:rPr>
        <w:footnoteRef/>
      </w:r>
      <w:r>
        <w:t xml:space="preserve"> </w:t>
      </w:r>
      <w:r>
        <w:t xml:space="preserve">Vincoli di bilancio: la Liguria opera sotto pressione finanziaria, con un disavanzo strutturale coperto con risorse regionali e una mobilità passiva, pur non essendo in piano di rientro; il costo del servizio, anche a massima copertura, costituisce una frazione dell’ordine di mezzo punto percentuale del finanziamento, ed essendone già a bilancio una quota, l’investimento incrementale è quello necessario a colmare il divario verso il fabbisogno, sostenibile a condizione di prudenza nella programmazione.</w:t>
      </w:r>
    </w:p>
  </w:footnote>
  <w:footnote w:id="1532">
    <w:p>
      <w:pPr>
        <w:pStyle w:val="FootnoteText"/>
      </w:pPr>
      <w:r>
        <w:rPr>
          <w:rStyle w:val="FootnoteReference"/>
        </w:rPr>
        <w:footnoteRef/>
      </w:r>
      <w:r>
        <w:t xml:space="preserve"> </w:t>
      </w:r>
      <w:r>
        <w:t xml:space="preserve">Sostenibilità nel tempo (criterio OCSE-DAC): per la Liguria la leva decisiva della sostenibilità non è l’istituzionalizzazione per legge, già acquisita, né la maturità operativa, ancora da costruire, ma la conduzione a regime con un rapporto convenzionale stabile e un dimensionamento adeguato, che sottrarrebbe il servizio alla fragilità della fase di avvio; vi concorrono la modestia del costo rispetto al bilancio, il forte ritorno sociale documentato e il coordinamento regionale dell’Azienda Ligure Sanitaria.</w:t>
      </w:r>
    </w:p>
  </w:footnote>
  <w:footnote w:id="1533">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liguri, prevista dalla Parte L e fondata su un disegno a cunei progressivi pianificato fin dall’avvio, è chiamata a sostituire progressivamente le stime con misure osservate.</w:t>
      </w:r>
    </w:p>
  </w:footnote>
  <w:footnote w:id="1534">
    <w:p>
      <w:pPr>
        <w:pStyle w:val="FootnoteText"/>
      </w:pPr>
      <w:r>
        <w:rPr>
          <w:rStyle w:val="FootnoteReference"/>
        </w:rPr>
        <w:footnoteRef/>
      </w:r>
      <w:r>
        <w:t xml:space="preserve"> </w:t>
      </w:r>
      <w:r>
        <w:t xml:space="preserve">Aspettativa di vita alla nascita dell’ordine degli ottantuno anni per gli uomini e degli ottantacinque per le donne, in linea con la media nazionale; la struttura per età è la più anziana d’Italia, con l’indice di vecchiaia più elevato del Paese (dell’ordine di 277 anziani ogni cento giovani), una quota di ultrasessantacinquenni intorno al ventinove per cento e una di giovani sotto i quindici anni tra le più basse; Genova è tra le aree più anziane d’Europa.</w:t>
      </w:r>
    </w:p>
  </w:footnote>
  <w:footnote w:id="1535">
    <w:p>
      <w:pPr>
        <w:pStyle w:val="FootnoteText"/>
      </w:pPr>
      <w:r>
        <w:rPr>
          <w:rStyle w:val="FootnoteReference"/>
        </w:rPr>
        <w:footnoteRef/>
      </w:r>
      <w:r>
        <w:t xml:space="preserve"> </w:t>
      </w:r>
      <w:r>
        <w:t xml:space="preserve">Componente straniera dell’ordine del 10,8% dei residenti (163.189 persone), superiore alla media nazionale, con prevalenza di cittadinanze albanese, romena e marocchina e un’incidenza provinciale compresa tra il 9,3% di Savona e il 14,5% di Imperia; sono proprio i flussi migratori, estero e interno, a sostenere la popolazione e a frenarne l’invecchiamento, compensando un saldo naturale strutturalmente negativo.</w:t>
      </w:r>
    </w:p>
  </w:footnote>
  <w:footnote w:id="1536">
    <w:p>
      <w:pPr>
        <w:pStyle w:val="FootnoteText"/>
      </w:pPr>
      <w:r>
        <w:rPr>
          <w:rStyle w:val="FootnoteReference"/>
        </w:rPr>
        <w:footnoteRef/>
      </w:r>
      <w:r>
        <w:t xml:space="preserve"> </w:t>
      </w:r>
      <w:r>
        <w:t xml:space="preserve">Articolazione del territorio in quattro province: più della metà dei residenti vive nella sola Città Metropolitana di Genova (54,2%), l’unica a superare i cinquecentomila abitanti; seguono le province di Savona (17,7%), La Spezia (14,2%) e Imperia (13,9%).</w:t>
      </w:r>
    </w:p>
  </w:footnote>
  <w:footnote w:id="1537">
    <w:p>
      <w:pPr>
        <w:pStyle w:val="FootnoteText"/>
      </w:pPr>
      <w:r>
        <w:rPr>
          <w:rStyle w:val="FootnoteReference"/>
        </w:rPr>
        <w:footnoteRef/>
      </w:r>
      <w:r>
        <w:t xml:space="preserve"> </w:t>
      </w:r>
      <w:r>
        <w:t xml:space="preserve">Profilo territoriale a marcata variabilità interna: la popolazione si distende su una stretta fascia costiera e su un entroterra appenninico a forte spopolamento, dove i comuni più piccoli presentano un’età media superiore ai cinquantuno anni e un invecchiamento ancora più accentuato della media regionale, con difficoltà di accesso ai servizi acuite dalla conformazione vallata e montana.</w:t>
      </w:r>
    </w:p>
  </w:footnote>
  <w:footnote w:id="1538">
    <w:p>
      <w:pPr>
        <w:pStyle w:val="FootnoteText"/>
      </w:pPr>
      <w:r>
        <w:rPr>
          <w:rStyle w:val="FootnoteReference"/>
        </w:rPr>
        <w:footnoteRef/>
      </w:r>
    </w:p>
  </w:footnote>
  <w:footnote w:id="1539">
    <w:p>
      <w:pPr>
        <w:pStyle w:val="FootnoteText"/>
      </w:pPr>
      <w:r>
        <w:rPr>
          <w:rStyle w:val="FootnoteReference"/>
        </w:rPr>
        <w:footnoteRef/>
      </w:r>
      <w:r>
        <w:t xml:space="preserve"> </w:t>
      </w:r>
      <w:r>
        <w:t xml:space="preserve">Profilo territoriale a marcata variabilità interna: la popolazione si distende su una stretta fascia costiera e su un entroterra appenninico a forte spopolamento, dove i comuni più piccoli presentano un’età media superiore ai cinquantuno anni e un invecchiamento ancora più accentuato della media regionale, con difficoltà di accesso ai servizi acuite dalla conformazione vallata e montana.Definizione: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1540">
    <w:p>
      <w:pPr>
        <w:pStyle w:val="FootnoteText"/>
      </w:pPr>
      <w:r>
        <w:rPr>
          <w:rStyle w:val="FootnoteReference"/>
        </w:rPr>
        <w:footnoteRef/>
      </w:r>
    </w:p>
  </w:footnote>
  <w:footnote w:id="1541">
    <w:p>
      <w:pPr>
        <w:pStyle w:val="FootnoteText"/>
      </w:pPr>
      <w:r>
        <w:rPr>
          <w:rStyle w:val="FootnoteReference"/>
        </w:rPr>
        <w:footnoteRef/>
      </w:r>
      <w:r>
        <w:t xml:space="preserve"> </w:t>
      </w:r>
      <w:r>
        <w:t xml:space="preserve">Profilo territoriale a marcata variabilità interna: la popolazione si distende su una stretta fascia costiera e su un entroterra appenninico a forte spopolamento, dove i comuni più piccoli presentano un’età media superiore ai cinquantuno anni e un invecchiamento ancora più accentuato della media regionale, con difficoltà di accesso ai servizi acuite dalla conformazione vallata e montana.Definizione: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1542">
    <w:p>
      <w:pPr>
        <w:pStyle w:val="FootnoteText"/>
      </w:pPr>
      <w:r>
        <w:rPr>
          <w:rStyle w:val="FootnoteReference"/>
        </w:rPr>
        <w:footnoteRef/>
      </w:r>
      <w:r>
        <w:t xml:space="preserve"> </w:t>
      </w:r>
      <w:r>
        <w:t xml:space="preserve">Costo del servizio per scenario, a regime: dell’ordine di 9 milioni di euro annui nello scenario conservativo, 14 nello scenario base e 18 nello scenario espansivo, valori coerenti con l’inclusione del programma di formazione all’intelligenza artificiale.</w:t>
      </w:r>
    </w:p>
  </w:footnote>
  <w:footnote w:id="1543">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(2,6% del totale nazionale) e al numero di professionisti. La sperimentazione è oggi finanziata su base libero-professionale per un importo dell’ordine di due milioni di euro, che copre una frazione minima del fabbisogno, dell’ordine del tre-quattro per cento.</w:t>
      </w:r>
    </w:p>
  </w:footnote>
  <w:footnote w:id="1544">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1545">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1546">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1547">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1548">
    <w:p>
      <w:pPr>
        <w:pStyle w:val="FootnoteText"/>
      </w:pPr>
      <w:r>
        <w:rPr>
          <w:rStyle w:val="FootnoteReference"/>
        </w:rPr>
        <w:footnoteRef/>
      </w:r>
    </w:p>
  </w:footnote>
  <w:footnote w:id="1549">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1550">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1551">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mentre la quota che in altre regioni proviene dalla sperimentazione già matura va in Liguria interamente rilevata, poiché la sperimentazione è appena avviata; circa quaranta misure richiedono pertanto la rilevazione diretta strutturata, progettabile fin dall’inizio.</w:t>
      </w:r>
    </w:p>
  </w:footnote>
  <w:footnote w:id="1552">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1553">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le cinque Aziende sono tra le misure di equità, accanto al divario costa-entroterra.</w:t>
      </w:r>
    </w:p>
  </w:footnote>
  <w:footnote w:id="1554">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 in Liguria, poiché la sperimentazione è appena avviata, il protocollo può essere disegnato fin dall’inizio in forma completa e uniforme, anziché strutturare a posteriori una rilevazione già in corso.</w:t>
      </w:r>
    </w:p>
  </w:footnote>
  <w:footnote w:id="1555">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556">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1557">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poiché in Liguria il servizio si dispiega essenzialmente dall’inizio, il periodo anteriore all’attivazione costituisce per tutte le cinque Aziende una base di confronto particolarmente pulita, completata dalla rilevazione strutturata di servizio.</w:t>
      </w:r>
    </w:p>
  </w:footnote>
  <w:footnote w:id="1558">
    <w:p>
      <w:pPr>
        <w:pStyle w:val="FootnoteText"/>
      </w:pPr>
      <w:r>
        <w:rPr>
          <w:rStyle w:val="FootnoteReference"/>
        </w:rPr>
        <w:footnoteRef/>
      </w:r>
      <w:r>
        <w:t xml:space="preserve"> </w:t>
      </w:r>
      <w:r>
        <w:t xml:space="preserve">Calendario della rilevazione: costituzione della baseline con i dati disponibili e con il periodo pre-attivazione; registrazione corrente; trasmissione di indicatori aggregati al comitato di indirizzo regionale e all’Osservatorio con cadenza mensile; calcolo periodico delle misure di sintesi e aggiornamento del cruscotto regionale.</w:t>
      </w:r>
    </w:p>
  </w:footnote>
  <w:footnote w:id="1559">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poiché in Liguria la sperimentazione è appena avviata e si dispiega progressivamente tra le cinque Aziende e i loro distretti, lo strumento è un vero disegno a cunei progressivi pianificato prospetticamente — il più pulito realizzabile nella serie regionale — nel quale l’ordine e i tempi di attivazione delle sedi sono stabiliti in anticipo a fini valutativi, e non ricostruiti a posteriori.</w:t>
      </w:r>
    </w:p>
  </w:footnote>
  <w:footnote w:id="1560">
    <w:p>
      <w:pPr>
        <w:pStyle w:val="FootnoteText"/>
      </w:pPr>
      <w:r>
        <w:rPr>
          <w:rStyle w:val="FootnoteReference"/>
        </w:rPr>
        <w:footnoteRef/>
      </w:r>
      <w:r>
        <w:t xml:space="preserve"> </w:t>
      </w:r>
      <w:r>
        <w:t xml:space="preserve">Differenza-nelle-differenze: confronta la variazione nel tempo dell’esito tra le sedi e i distretti attivati prima e quelli attivati dopo, e a maggiore e minore intensità di copertura, sotto l’ipotesi di andamento parallelo; vi si affianca il controllo sintetico, che costruisce un’unità di confronto artificiale come combinazione ponderata delle sedi non ancora attivate.</w:t>
      </w:r>
    </w:p>
  </w:footnote>
  <w:footnote w:id="1561">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cunei progressivi sono, per gli interventi di salute della popolazione, lo strumento raccomandato dalla letteratura metodologica, e la loro pianificazione prospettica ne accresce la validità interna; la validità esterna va valutata a parte.</w:t>
      </w:r>
    </w:p>
  </w:footnote>
  <w:footnote w:id="1562">
    <w:p>
      <w:pPr>
        <w:pStyle w:val="FootnoteText"/>
      </w:pPr>
      <w:r>
        <w:rPr>
          <w:rStyle w:val="FootnoteReference"/>
        </w:rPr>
        <w:footnoteRef/>
      </w:r>
      <w:r>
        <w:t xml:space="preserve"> </w:t>
      </w:r>
      <w:r>
        <w:t xml:space="preserve">Trasformazione delle stime in prove: confrontando l’andamento, ad esempio, degli accessi al pronto soccorso per cause psichiatriche — particolarmente elevati in Liguria — nelle sedi attivate per prime e a copertura più intensa con quello delle sedi attivate più tardi, si isola l’effetto proprio della riforma e si trasforma la stima dei risparmi da proiezione attesa a misura empiricamente fondata sui dati liguri, via via che la sperimentazione li produrrà.</w:t>
      </w:r>
    </w:p>
  </w:footnote>
  <w:footnote w:id="1563">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1564">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in Liguria, dove il servizio è già istituito dalla legge regionale 20 del 2023 e dove la legge stessa prevede un Osservatorio, tale clausola si innesta su una base legislativa già esistente e lega la misurazione tecnica alla responsabilità politica e alla trasparenza verso il legislatore regionale.</w:t>
      </w:r>
    </w:p>
  </w:footnote>
  <w:footnote w:id="1565">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1566">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1567">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1568">
    <w:p>
      <w:pPr>
        <w:pStyle w:val="FootnoteText"/>
      </w:pPr>
      <w:r>
        <w:rPr>
          <w:rStyle w:val="FootnoteReference"/>
        </w:rPr>
        <w:footnoteRef/>
      </w:r>
      <w:r>
        <w:t xml:space="preserve"> </w:t>
      </w:r>
      <w:r>
        <w:t xml:space="preserve">Risparmi diretti complessivi per il Servizio sanitario regionale stimati nell’ordine di 6 milioni di euro annui nello scenario conservativo, 10 nello scenario base e 14 nello scenario espansivo, collocati prudenzialmente nella parte medio-bassa dell’intervallo e con il canale della mobilità in posizione marginale.</w:t>
      </w:r>
    </w:p>
  </w:footnote>
  <w:footnote w:id="1569">
    <w:p>
      <w:pPr>
        <w:pStyle w:val="FootnoteText"/>
      </w:pPr>
      <w:r>
        <w:rPr>
          <w:rStyle w:val="FootnoteReference"/>
        </w:rPr>
        <w:footnoteRef/>
      </w:r>
      <w:r>
        <w:t xml:space="preserve"> </w:t>
      </w:r>
      <w:r>
        <w:t xml:space="preserve">Saldo diretto per il bilancio sanitario, dato dalla differenza tra risparmi diretti e costo del servizio, dell’ordine di −3, −4 e −4 milioni di euro annui nei tre scenari: è lievemente negativo, poiché il canale della mobilità, pur in una regione debitrice, non concorre al pareggio diretto, essendo la fuga di natura chirurgica e non psicologica.</w:t>
      </w:r>
    </w:p>
  </w:footnote>
  <w:footnote w:id="1570">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perché la fuga riguarda anche prestazioni che un servizio territoriale può trattenere, in Liguria la fuga è chirurgica e il valore dell’intervento risiede in misura preponderante nelle ricadute economico-sociali; tuttavia, in un contesto di pressione finanziaria e di primato nazionale della domanda di salute mentale, il contenimento della domanda impropria conserva una salienza diretta non trascurabile.</w:t>
      </w:r>
    </w:p>
  </w:footnote>
  <w:footnote w:id="1571">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Nella regione più anziana d’Italia, a fortissima presenza di cronicità, le componenti della produttività recuperata e del sollievo ai familiari hanno un peso particolarmente elevato.</w:t>
      </w:r>
    </w:p>
  </w:footnote>
  <w:footnote w:id="1572">
    <w:p>
      <w:pPr>
        <w:pStyle w:val="FootnoteText"/>
      </w:pPr>
      <w:r>
        <w:rPr>
          <w:rStyle w:val="FootnoteReference"/>
        </w:rPr>
        <w:footnoteRef/>
      </w:r>
      <w:r>
        <w:t xml:space="preserve"> </w:t>
      </w:r>
      <w:r>
        <w:t xml:space="preserve">Ricadute economico-sociali stimate nell’ordine di 29 milioni di euro annui nello scenario conservativo, 55 nello scenario base e 85 nello scenario espansivo, secondo i metodi del ritorno sociale sull’investimento, con criteri di stima conservativi.</w:t>
      </w:r>
    </w:p>
  </w:footnote>
  <w:footnote w:id="1573">
    <w:p>
      <w:pPr>
        <w:pStyle w:val="FootnoteText"/>
      </w:pPr>
      <w:r>
        <w:rPr>
          <w:rStyle w:val="FootnoteReference"/>
        </w:rPr>
        <w:footnoteRef/>
      </w:r>
      <w:r>
        <w:t xml:space="preserve"> </w:t>
      </w:r>
      <w:r>
        <w:t xml:space="preserve">Ritorno complessivo, somma dei risparmi diretti e delle ricadute sociali, dell’ordine di 35, 65 e 99 milioni di euro annui nei tre scenari; il saldo complessivo, al netto del costo del servizio, è dell’ordine di +26, +51 e +81 milioni di euro annui.</w:t>
      </w:r>
    </w:p>
  </w:footnote>
  <w:footnote w:id="1574">
    <w:p>
      <w:pPr>
        <w:pStyle w:val="FootnoteText"/>
      </w:pPr>
      <w:r>
        <w:rPr>
          <w:rStyle w:val="FootnoteReference"/>
        </w:rPr>
        <w:footnoteRef/>
      </w:r>
      <w:r>
        <w:t xml:space="preserve"> </w:t>
      </w:r>
      <w:r>
        <w:t xml:space="preserve">Rapporto beneficio-costo complessivo dell’ordine di 3,9:1 nello scenario conservativo, 4,6:1 nello scenario base e 5,5:1 nello scenario espansivo, in linea con il valore validato sulle altre regioni e coerente con le stime metodologicamente fondate della letteratura.</w:t>
      </w:r>
    </w:p>
  </w:footnote>
  <w:footnote w:id="1575">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1576">
    <w:p>
      <w:pPr>
        <w:pStyle w:val="FootnoteText"/>
      </w:pPr>
      <w:r>
        <w:rPr>
          <w:rStyle w:val="FootnoteReference"/>
        </w:rPr>
        <w:footnoteRef/>
      </w:r>
      <w:r>
        <w:t xml:space="preserve"> </w:t>
      </w:r>
      <w:r>
        <w:t xml:space="preserve">Sostenibilità finanziaria: il costo del servizio si colloca nell’ordine dello 0,3-0,5% di un Fondo Sanitario Regionale dell’ordine di 3,5 miliardi di euro; benché la regione operi sotto pressione finanziaria e con un disavanzo strutturale coperto con risorse regionali, l’importo è contenuto, tanto più che una quota è già a bilancio per la sperimentazione avviata, e l’investimento incrementale è quello necessario a colmare il divario verso il fabbisogno.</w:t>
      </w:r>
    </w:p>
  </w:footnote>
  <w:footnote w:id="1577">
    <w:p>
      <w:pPr>
        <w:pStyle w:val="FootnoteText"/>
      </w:pPr>
      <w:r>
        <w:rPr>
          <w:rStyle w:val="FootnoteReference"/>
        </w:rPr>
        <w:footnoteRef/>
      </w:r>
      <w:r>
        <w:t xml:space="preserve"> </w:t>
      </w:r>
      <w:r>
        <w:t xml:space="preserve">Lacuna prioritaria: le grandezze economiche qui impiegate sono in parte ricostruite dai conti nazionali per quota di popolazione (2,6%) e non estratte dai conti regionali certificati delle cinque Aziende Sociosanitarie Liguri e degli IRCCS; la loro verifica è condizione per la presentazione alle autorità di finanza pubblica, e in Liguria, a differenza della Toscana, è ancora poco mitigata da dati operativi, poiché la sperimentazione è appena avviata.</w:t>
      </w:r>
    </w:p>
  </w:footnote>
  <w:footnote w:id="1578">
    <w:p>
      <w:pPr>
        <w:pStyle w:val="FootnoteText"/>
      </w:pPr>
      <w:r>
        <w:rPr>
          <w:rStyle w:val="FootnoteReference"/>
        </w:rPr>
        <w:footnoteRef/>
      </w:r>
      <w:r>
        <w:t xml:space="preserve"> </w:t>
      </w:r>
      <w:r>
        <w:t xml:space="preserve">Bisogno potenziale stimato nell’ordine di 300.000 persone con disagio comune, in larga parte non intercettato dall’offerta strutturata attuale; la sperimentazione, appena avviata e dimensionata a trentotto psicologi, ne intercetterà in prima applicazione una quota minima, destinata a crescere con la conduzione a regime.</w:t>
      </w:r>
    </w:p>
  </w:footnote>
  <w:footnote w:id="1579">
    <w:p>
      <w:pPr>
        <w:pStyle w:val="FootnoteText"/>
      </w:pPr>
      <w:r>
        <w:rPr>
          <w:rStyle w:val="FootnoteReference"/>
        </w:rPr>
        <w:footnoteRef/>
      </w:r>
      <w:r>
        <w:t xml:space="preserve"> </w:t>
      </w:r>
      <w:r>
        <w:t xml:space="preserve">Modello organizzativo: lo psicologo di base opera nelle Case della Comunità, prioritariamente di tipo Hub, in collaborazione con i medici di medicina generale e i pediatri di libera scelta, secondo quanto previsto dalla legge regionale 20 del 2023; nel modello ligure la sperimentazione è in fase di avvio nelle cinque Aziende Sociosanitarie Liguri, con almeno due psicologi territoriali per distretto e l’inserimento, ove esistente, nell’unità operativa di psicologia clinica. A differenza del Veneto, la Liguria non dispone di un’azienda regionale unica, ma l’Azienda Ligure Sanitaria svolge funzioni regionali di coordinamento, programmazione e governo, sicché l’omogeneità attuativa e le economie di scala sono assicurate a livello regionale, affiancate dall’Osservatorio previsto dalla legge.</w:t>
      </w:r>
    </w:p>
  </w:footnote>
  <w:footnote w:id="1580">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1581">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secondo quanto già previsto per la sperimentazione; valutazione iniziale e progetto clinico individuale; ciclo di colloqui brevi e programma di sostegno personalizzato; invio appropriato ai servizi specialistici nei casi che lo richiedono, secondo criteri definiti.</w:t>
      </w:r>
    </w:p>
  </w:footnote>
  <w:footnote w:id="1582">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1583">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584">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585">
    <w:p>
      <w:pPr>
        <w:pStyle w:val="FootnoteText"/>
      </w:pPr>
      <w:r>
        <w:rPr>
          <w:rStyle w:val="FootnoteReference"/>
        </w:rPr>
        <w:footnoteRef/>
      </w:r>
    </w:p>
  </w:footnote>
  <w:footnote w:id="1586">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1587">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1588">
    <w:p>
      <w:pPr>
        <w:pStyle w:val="FootnoteText"/>
      </w:pPr>
      <w:r>
        <w:rPr>
          <w:rStyle w:val="FootnoteReference"/>
        </w:rPr>
        <w:footnoteRef/>
      </w:r>
      <w:r>
        <w:t xml:space="preserve"> </w:t>
      </w:r>
      <w:r>
        <w:t xml:space="preserve">Rilevanza: l’intervento risponde a un bisogno reale e di grande dimensione — dell’ordine di 300.000 persone con disagio comune in larga parte inevaso, in una regione che registra la più alta prevalenza nazionale di utenti dei servizi di salute mentale — e all’obbligo di garantire i livelli essenziali di assistenza.</w:t>
      </w:r>
    </w:p>
  </w:footnote>
  <w:footnote w:id="1589">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legge regionale che già ne ha istituito la funzione — l’articolo 76 della legge 20 del 2023 — ed è costituzionalmente difendibile entro i confini tracciati dal giudice delle leggi, operando mediante un rapporto convenzionale; la Liguria, sotto pressione finanziaria e con un disavanzo strutturale coperto con risorse regionali, non è sottoposta a piano di rientro ma è debitrice nella mobilità.</w:t>
      </w:r>
    </w:p>
  </w:footnote>
  <w:footnote w:id="1590">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 a differenza della Toscana, la Liguria non dispone ancora di dati di esito propri, sicché il giudizio di efficacia poggia, allo stato, sui benchmark internazionali e sul disegno valutativo prospettico, che la sperimentazione appena avviata è chiamata a corroborare.</w:t>
      </w:r>
    </w:p>
  </w:footnote>
  <w:footnote w:id="1591">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la Liguria, di un saldo diretto lievemente negativo sul solo bilancio sanitario, di entità modesta rispetto a un finanziamento dell’ordine di 3,5 miliardi; l’efficienza allocativa è dunque elevata, la convenienza per il solo bilancio lievemente negativa, in quanto il canale della mobilità, pur in una regione debitrice, è marginale perché la fuga è chirurgica.</w:t>
      </w:r>
    </w:p>
  </w:footnote>
  <w:footnote w:id="1592">
    <w:p>
      <w:pPr>
        <w:pStyle w:val="FootnoteText"/>
      </w:pPr>
      <w:r>
        <w:rPr>
          <w:rStyle w:val="FootnoteReference"/>
        </w:rPr>
        <w:footnoteRef/>
      </w:r>
      <w:r>
        <w:t xml:space="preserve"> </w:t>
      </w:r>
      <w:r>
        <w:t xml:space="preserve">Impatto: l’impatto distributivo è favorevole, poiché i benefici si concentrano dove l’accesso è più difficile — l’entroterra appenninico, l’età anziana, l’utenza straniera e le popolazioni gravate dalle liste di attesa — riducendo il gradiente territoriale; il ritorno complessivo è dell’ordine di 3,8-5,5 a uno.</w:t>
      </w:r>
    </w:p>
  </w:footnote>
  <w:footnote w:id="1593">
    <w:p>
      <w:pPr>
        <w:pStyle w:val="FootnoteText"/>
      </w:pPr>
      <w:r>
        <w:rPr>
          <w:rStyle w:val="FootnoteReference"/>
        </w:rPr>
        <w:footnoteRef/>
      </w:r>
      <w:r>
        <w:t xml:space="preserve"> </w:t>
      </w:r>
      <w:r>
        <w:t xml:space="preserve">Sostenibilità: l’intervento è finanziariamente sostenibile — a fronte di un costo modesto, di una pluralità di coperture e di una quota già a bilancio per la sperimentazione avviata — e organizzativamente, in quanto innestato sulla rete territoriale delle Case della Comunità; poiché la legge è già vigente ma la sperimentazione è appena avviata, la leva decisiva della sua durata non è l’istituzionalizzazione per legge né la maturità operativa, ma la conduzione a regime con un rapporto convenzionale stabile, che sottrarrebbe il servizio alla fragilità della fase di avvio.</w:t>
      </w:r>
    </w:p>
  </w:footnote>
  <w:footnote w:id="1594">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1595">
    <w:p>
      <w:pPr>
        <w:pStyle w:val="FootnoteText"/>
      </w:pPr>
      <w:r>
        <w:rPr>
          <w:rStyle w:val="FootnoteReference"/>
        </w:rPr>
        <w:footnoteRef/>
      </w:r>
      <w:r>
        <w:t xml:space="preserve"> </w:t>
      </w:r>
      <w:r>
        <w:t xml:space="preserve">Risultato dell’analisi multi-criterio: su otto criteri pesati, l’opzione di intervento ottiene un punteggio complessivo dell’ordine di 80,80 su 100 contro 39,25 dell’opzione zero, e prevale su tutti i criteri tranne la fattibilità immediata; rispetto alla Toscana, il sub-punteggio di fattibilità resta elevato, poiché la Liguria dispone già di una legge regionale dedicata e di una sperimentazione avviata, mentre il sub-punteggio di robustezza dell’evidenza propria è più contenuto, non disponendo la regione di dati di esito già maturi; il risultato è stabile rispetto ai pesi adottati.</w:t>
      </w:r>
    </w:p>
  </w:footnote>
  <w:footnote w:id="1596">
    <w:p>
      <w:pPr>
        <w:pStyle w:val="FootnoteText"/>
      </w:pPr>
      <w:r>
        <w:rPr>
          <w:rStyle w:val="FootnoteReference"/>
        </w:rPr>
        <w:footnoteRef/>
      </w:r>
      <w:r>
        <w:t xml:space="preserve"> </w:t>
      </w:r>
      <w:r>
        <w:t xml:space="preserve">Le tre affermazioni del cruscotto decisionale per la Liguria: il servizio costa al bilancio sanitario una cifra modesta e comporta un saldo diretto lievemente negativo, trascurabile rispetto a un finanziamento dell’ordine di 3,5 miliardi, pur con una salienza diretta non nulla nel contesto delle liste di attesa e della più alta domanda nazionale di salute mentale; il ritorno per la collettività è ampio (rapporto beneficio-costo di 3,8-5,5 a uno); il valore poggia quasi interamente sulle ricadute sociali.</w:t>
      </w:r>
    </w:p>
  </w:footnote>
  <w:footnote w:id="1597">
    <w:p>
      <w:pPr>
        <w:pStyle w:val="FootnoteText"/>
      </w:pPr>
      <w:r>
        <w:rPr>
          <w:rStyle w:val="FootnoteReference"/>
        </w:rPr>
        <w:footnoteRef/>
      </w:r>
      <w:r>
        <w:t xml:space="preserve"> </w:t>
      </w:r>
      <w:r>
        <w:t xml:space="preserve">Raccomandazione centrale: la decisione rilevante non è se introdurre la funzione — già istituita dall’articolo 76 della legge 20 del 2023 e avviata in via sperimentale — né se dotarla di una legge, già esistente, ma se condurla dall’avvio della sperimentazione alla strutturazione a regime, stabilizzando il rapporto convenzionale previsto dalla legge, e dimensionarla, portandola dalla copertura attuale, dell’ordine del tre-quattro per cento del fabbisogno, alla copertura sistematica, dell’ordine di 250 incarichi nello scenario di base e di 330 in quello espansivo.</w:t>
      </w:r>
    </w:p>
  </w:footnote>
  <w:footnote w:id="1598">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1599">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ligure (2,6%), e non estratte dai conti regionali certificati delle cinque Aziende e degli IRCCS; tale sostituzione è la condizione per la presentazione agli organi di controllo, ed è in Liguria, a differenza della Toscana, ancora poco mitigata da dati operativi, poiché la sperimentazione è appena avviata.</w:t>
      </w:r>
    </w:p>
  </w:footnote>
  <w:footnote w:id="1600">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1601">
    <w:p>
      <w:pPr>
        <w:pStyle w:val="FootnoteText"/>
      </w:pPr>
      <w:r>
        <w:rPr>
          <w:rStyle w:val="FootnoteReference"/>
        </w:rPr>
        <w:footnoteRef/>
      </w:r>
      <w:r>
        <w:t xml:space="preserve"> </w:t>
      </w:r>
      <w:r>
        <w:t xml:space="preserve">Agenda di ricerca: l’investimento conoscitivo prioritario è l’acquisizione dei dati regionali certificati presso le cinque Aziende e gli IRCCS, seguito dalla strutturazione della rilevazione di servizio fin dall’avvio e dalla valutazione controfattuale fondata su un disegno a cunei progressivi pianificato prospetticamente tra le Aziende e i loro distretti.</w:t>
      </w:r>
    </w:p>
  </w:footnote>
  <w:footnote w:id="1602">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la sperimentazione è appena avviata, la Liguria può progettare il flusso informativo fin dal primo giorno, in modo completo e uniforme, senza dover recuperare a posteriori dati frammentari; l’Osservatorio previsto dalla legge ne è la sede di governo.</w:t>
      </w:r>
    </w:p>
  </w:footnote>
  <w:footnote w:id="1603">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1604">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1605">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1606">
    <w:p>
      <w:pPr>
        <w:pStyle w:val="FootnoteText"/>
      </w:pPr>
      <w:r>
        <w:rPr>
          <w:rStyle w:val="FootnoteReference"/>
        </w:rPr>
        <w:footnoteRef/>
      </w:r>
      <w:r>
        <w:t xml:space="preserve"> </w:t>
      </w:r>
      <w:r>
        <w:t xml:space="preserve">Telepsicologia e telemonitoraggio assistiti: in Liguria sono lo strumento per garantire l’accesso al sostegno psicologico nell’entroterra appenninico, anziano, disperso e in spopolamento, dove la conformazione vallata e montana rende difficoltoso il raggiungimento dei servizi; tali strumenti sono concepiti come complementari e non sostitutivi della presa in carico in presenza.</w:t>
      </w:r>
    </w:p>
  </w:footnote>
  <w:footnote w:id="1607">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1608">
    <w:p>
      <w:pPr>
        <w:pStyle w:val="FootnoteText"/>
      </w:pPr>
      <w:r>
        <w:rPr>
          <w:rStyle w:val="FootnoteReference"/>
        </w:rPr>
        <w:footnoteRef/>
      </w:r>
      <w:r>
        <w:t xml:space="preserve"> </w:t>
      </w:r>
      <w:r>
        <w:t xml:space="preserve">Programma formativo a quattro livelli: universitario (curricula e tirocini presso l’Università di Genova); post-universitario specialistico (corso semestrale regionale abilitante, già previsto dalla legge regionale con attestato rilasciato dalla Regione, sulla psicologia di base e le cure primarie, comprensivo della competenza per l’età anziana, per l’entroterra e della competenza culturale per l’utenza straniera); continuo lavorativo (aggiornamento in servizio, audit clinico, educazione continua in medicina); affiancamento operativo (tutoraggio sul campo e inserimento graduale con supervisione).</w:t>
      </w:r>
    </w:p>
  </w:footnote>
  <w:footnote w:id="1609">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1610">
    <w:p>
      <w:pPr>
        <w:pStyle w:val="FootnoteText"/>
      </w:pPr>
      <w:r>
        <w:rPr>
          <w:rStyle w:val="FootnoteReference"/>
        </w:rPr>
        <w:footnoteRef/>
      </w:r>
    </w:p>
  </w:footnote>
  <w:footnote w:id="1611">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1612">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1613">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1614">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1615">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1616">
    <w:p>
      <w:pPr>
        <w:pStyle w:val="FootnoteText"/>
      </w:pPr>
      <w:r>
        <w:rPr>
          <w:rStyle w:val="FootnoteReference"/>
        </w:rPr>
        <w:footnoteRef/>
      </w:r>
    </w:p>
  </w:footnote>
  <w:footnote w:id="1617">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1618">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1619">
    <w:p>
      <w:pPr>
        <w:pStyle w:val="FootnoteText"/>
      </w:pPr>
      <w:r>
        <w:rPr>
          <w:rStyle w:val="FootnoteReference"/>
        </w:rPr>
        <w:footnoteRef/>
      </w:r>
      <w:r>
        <w:t xml:space="preserve"> </w:t>
      </w:r>
      <w:r>
        <w:t xml:space="preserve">Quadro economico consolidato per la Liguria (Parte E): a regime, da circa 170 a circa 330 psicologi, costo del servizio di 9-18 milioni, risparmi diretti di 6-14 milioni, ricadute sociali di 29-85 milioni; il saldo diretto è lievemente negativo, il saldo complessivo positivo, con rapporto beneficio-costo di 3,8-5,5 a uno.</w:t>
      </w:r>
    </w:p>
  </w:footnote>
  <w:footnote w:id="1620">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1621">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in Liguria possono essere definiti fin dall’avvio della sperimentazione.</w:t>
      </w:r>
    </w:p>
  </w:footnote>
  <w:footnote w:id="1622">
    <w:p>
      <w:pPr>
        <w:pStyle w:val="FootnoteText"/>
      </w:pPr>
      <w:r>
        <w:rPr>
          <w:rStyle w:val="FootnoteReference"/>
        </w:rPr>
        <w:footnoteRef/>
      </w:r>
      <w:r>
        <w:t xml:space="preserve"> </w:t>
      </w:r>
      <w:r>
        <w:t xml:space="preserve">Valori regionali di ancoraggio per la Liguria: popolazione di 1.510.143 abitanti (Censimento ISTAT 2024), in lievissimo aumento solo per saldo migratorio e con la struttura per età più anziana d’Italia; finanziamento del Servizio sanitario regionale dell’ordine di 3,5 miliardi di euro, sotto pressione finanziaria e con un disavanzo strutturale coperto con risorse regionali ma senza piano di rientro in atto; saldo di mobilità passivo (regione debitrice), con fuga concentrata nelle specialità chirurgiche; fabbisogno a regime fino a circa 330 psicologi nello scenario espansivo.</w:t>
      </w:r>
    </w:p>
  </w:footnote>
  <w:footnote w:id="1623">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ligure (2,6%), e non estratti dai conti regionali certificati; i dati da acquisire presso le cinque Aziende Sociosanitarie Liguri e gli IRCCS sono elencati nella tabella seguente, e in Liguria, a differenza della Toscana, la loro mancanza è ancora poco mitigata da dati operativi, poiché la sperimentazione è appena avviata.</w:t>
      </w:r>
    </w:p>
  </w:footnote>
  <w:footnote w:id="1624">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1625">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e toscano, di cui questo studio replica il telaio metodologico.</w:t>
      </w:r>
    </w:p>
  </w:footnote>
  <w:footnote w:id="1626">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1627">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1628">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1629">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1630">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1631">
    <w:p>
      <w:pPr>
        <w:pStyle w:val="FootnoteText"/>
      </w:pPr>
      <w:r>
        <w:rPr>
          <w:rStyle w:val="FootnoteReference"/>
        </w:rPr>
        <w:footnoteRef/>
      </w:r>
      <w:r>
        <w:t xml:space="preserve"> </w:t>
      </w:r>
      <w:r>
        <w:t xml:space="preserve">Distinzione tra costo-utilità e impatto sul bilancio per la Liguria: la probabilità di costo-efficacia è un risultato di efficienza, riferito al singolo paziente, che valorizza il guadagno di salute e l’intera traiettoria di costo del modello; esso è coerente con il saldo diretto aggregato della Parte E, che per la Liguria è lievemente negativo, poiché la traduzione dal modello per paziente all’aggregato regionale incorpora le correzioni per peso morto e per l’effettiva monetizzabilità nel bilancio dei costi evitati, e poiché il canale della mobilità, pur in una regione debitrice, è solo marginalmente pertinente, essendo la fuga di natura chirurgica. L’efficienza per paziente è robusta; la convenienza per il solo bilancio è lievemente negativa; il forte ritorno per la collettività proviene dalle ricadute sociali.</w:t>
      </w:r>
    </w:p>
  </w:footnote>
  <w:footnote w:id="1632">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633">
    <w:p>
      <w:pPr>
        <w:pStyle w:val="FootnoteText"/>
      </w:pPr>
      <w:r>
        <w:rPr>
          <w:rStyle w:val="FootnoteReference"/>
        </w:rPr>
        <w:footnoteRef/>
      </w:r>
    </w:p>
  </w:footnote>
  <w:footnote w:id="1634">
    <w:p>
      <w:pPr>
        <w:pStyle w:val="FootnoteText"/>
      </w:pPr>
      <w:r>
        <w:rPr>
          <w:rStyle w:val="FootnoteReference"/>
        </w:rPr>
        <w:footnoteRef/>
      </w:r>
      <w:r>
        <w:t xml:space="preserve"> </w:t>
      </w:r>
      <w:r>
        <w:t xml:space="preserve">Legge regionale della Lombardia n. 22 del 14 dicembre 2021, di riforma del sistema sociosanitario: riorganizza la medicina territoriale istituendo circa cento distretti in luogo dei ventisette preesistenti, oltre duecento Case della Comunità, una sessantina di Ospedali di Comunità e circa cento Centrali Operative Territoriali; le Case della Comunità sono concepite come sedi di équipe multidisciplinari che comprendono esplicitamente gli psicologi, e le Centrali Operative Territoriali sono destinate a sperimentare strumenti di intelligenza artificiale. La funzione psicologica nelle cure primarie è dunque già prevista, in forma generica, dalla riforma stessa.</w:t>
      </w:r>
    </w:p>
  </w:footnote>
  <w:footnote w:id="1635">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636">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essendo il canale della mobilità non applicabile in Lombardia — sono quelli su cui il valore dell’informazione è più elevato e verso i quali si indirizza prioritariamente la richiesta di dati certificati.</w:t>
      </w:r>
    </w:p>
  </w:footnote>
  <w:footnote w:id="1637">
    <w:p>
      <w:pPr>
        <w:pStyle w:val="FootnoteText"/>
      </w:pPr>
      <w:r>
        <w:rPr>
          <w:rStyle w:val="FootnoteReference"/>
        </w:rPr>
        <w:footnoteRef/>
      </w:r>
      <w:r>
        <w:t xml:space="preserve"> </w:t>
      </w:r>
      <w:r>
        <w:t xml:space="preserve">Verifica empirica: il dispiegamento scaglionato del servizio tra le otto Agenzie di Tutela della Salute (stepped-wedge), oggetto della Parte L, riduce l’incertezza dei parametri sostituendo le stime con misure osservate sui dati lombardi.</w:t>
      </w:r>
    </w:p>
  </w:footnote>
  <w:footnote w:id="1638">
    <w:p>
      <w:pPr>
        <w:pStyle w:val="FootnoteText"/>
      </w:pPr>
      <w:r>
        <w:rPr>
          <w:rStyle w:val="FootnoteReference"/>
        </w:rPr>
        <w:footnoteRef/>
      </w:r>
      <w:r>
        <w:t xml:space="preserve"> </w:t>
      </w:r>
      <w:r>
        <w:t xml:space="preserve">Commissione europea, rapporto sulla salute mentale 2024: quasi un giovane europeo su due non ha ricevuto un supporto adeguato e solo la metà delle persone con ansia o depressione chiede aiuto; il divario tra prevalenza reale e accesso ai servizi deriva da barriere strutturali, economiche, culturali e di stigma. È il divario che un servizio di primo livello, accessibile e privo di stigma, ha la funzione di colmare.</w:t>
      </w:r>
    </w:p>
  </w:footnote>
  <w:footnote w:id="1639">
    <w:p>
      <w:pPr>
        <w:pStyle w:val="FootnoteText"/>
      </w:pPr>
      <w:r>
        <w:rPr>
          <w:rStyle w:val="FootnoteReference"/>
        </w:rPr>
        <w:footnoteRef/>
      </w:r>
      <w:r>
        <w:t xml:space="preserve"> </w:t>
      </w:r>
      <w:r>
        <w:t xml:space="preserve">Carenza di offerta psicologica: secondo dati del Ministero della Salute riferiti al 2017 l’Italia dispone di 8,5 psicologi ogni 100.000 abitanti nel Servizio sanitario complessivo, e di meno di 3 ogni 100.000 nelle sole strutture pubbliche di salute mentale, tra le dotazioni più basse d’Europa; il sistema olandese che integra psicologi nelle cure primarie (POH-GGZ) costituisce il riferimento internazionale del modello.</w:t>
      </w:r>
    </w:p>
  </w:footnote>
  <w:footnote w:id="1640">
    <w:p>
      <w:pPr>
        <w:pStyle w:val="FootnoteText"/>
      </w:pPr>
      <w:r>
        <w:rPr>
          <w:rStyle w:val="FootnoteReference"/>
        </w:rPr>
        <w:footnoteRef/>
      </w:r>
      <w:r>
        <w:t xml:space="preserve"> </w:t>
      </w:r>
      <w:r>
        <w:t xml:space="preserve">Sistema Informativo per la Salute Mentale (Rapporto SISM): l’utenza in carico ai Dipartimenti di Salute Mentale della Lombardia è stimabile, per quota di popolazione, nell’ordine di 150.000 persone; la grandezza è da confermare sui dati regionali, dei quali la specifica di estrazione chiede la disaggregazione per Agenzia di Tutela della Salute.</w:t>
      </w:r>
    </w:p>
  </w:footnote>
  <w:footnote w:id="1641">
    <w:p>
      <w:pPr>
        <w:pStyle w:val="FootnoteText"/>
      </w:pPr>
      <w:r>
        <w:rPr>
          <w:rStyle w:val="FootnoteReference"/>
        </w:rPr>
        <w:footnoteRef/>
      </w:r>
      <w:r>
        <w:t xml:space="preserve"> </w:t>
      </w:r>
      <w:r>
        <w:t xml:space="preserve">Accessi al pronto soccorso per cause psichiatriche in Lombardia: stimabili, per quota di popolazione e tendenza nazionale, nell’ordine di 45.000-50.000 l’anno, in crescita rispetto al periodo pre-pandemico e con trend accentuato tra minori e giovani adulti; le sindromi nevrotiche e somatoformi ne costituiscono la causa più frequente, quadri comuni che non richiederebbero il contesto dell’emergenza.</w:t>
      </w:r>
    </w:p>
  </w:footnote>
  <w:footnote w:id="1642">
    <w:p>
      <w:pPr>
        <w:pStyle w:val="FootnoteText"/>
      </w:pPr>
      <w:r>
        <w:rPr>
          <w:rStyle w:val="FootnoteReference"/>
        </w:rPr>
        <w:footnoteRef/>
      </w:r>
      <w:r>
        <w:t xml:space="preserve"> </w:t>
      </w:r>
      <w:r>
        <w:t xml:space="preserve">Stato attuale e fabbisogno: a differenza della Puglia, la funzione psicologica territoriale è prevista dalla riforma del 2021 ma non è strutturata né dimensionata; il fabbisogno a regime, applicando i rapporti organizzativi del modello (circa un psicologo ogni 4.400-4.900 abitanti), è dell’ordine di 2.190 incarichi, il più elevato d’Italia, con scenari di copertura nell’ordine di 1.100, 1.700 e 2.190.</w:t>
      </w:r>
    </w:p>
  </w:footnote>
  <w:footnote w:id="1643">
    <w:p>
      <w:pPr>
        <w:pStyle w:val="FootnoteText"/>
      </w:pPr>
      <w:r>
        <w:rPr>
          <w:rStyle w:val="FootnoteReference"/>
        </w:rPr>
        <w:footnoteRef/>
      </w:r>
      <w:r>
        <w:t xml:space="preserve"> </w:t>
      </w:r>
      <w:r>
        <w:t xml:space="preserve">L’algoritmo di distribuzione territoriale degli incarichi pondera i distretti per indice di vecchiaia, indice di deprivazione socioeconomica e prevalenza di cronicità e multimorbidità, attribuendo pesi maggiori alle aree alpine interne e alle periferie urbane più fragili, a presidio dell’equità territoriale.</w:t>
      </w:r>
    </w:p>
  </w:footnote>
  <w:footnote w:id="1644">
    <w:p>
      <w:pPr>
        <w:pStyle w:val="FootnoteText"/>
      </w:pPr>
      <w:r>
        <w:rPr>
          <w:rStyle w:val="FootnoteReference"/>
        </w:rPr>
        <w:footnoteRef/>
      </w:r>
      <w:r>
        <w:t xml:space="preserve"> </w:t>
      </w:r>
      <w:r>
        <w:t xml:space="preserve">Contesto di bilancio: la Lombardia dispone del più ampio finanziamento sanitario regionale del Paese, dell’ordine di 21 miliardi di euro, e presenta conti in sostanziale equilibrio; a differenza della Puglia, non è sottoposta a piano di rientro. Il vincolo generale di destinazione delle risorse ai livelli essenziali permane, e con esso l’esigenza di dimostrare efficienza e ritorno di ogni nuova linea di spesa.</w:t>
      </w:r>
    </w:p>
  </w:footnote>
  <w:footnote w:id="1645">
    <w:p>
      <w:pPr>
        <w:pStyle w:val="FootnoteText"/>
      </w:pPr>
      <w:r>
        <w:rPr>
          <w:rStyle w:val="FootnoteReference"/>
        </w:rPr>
        <w:footnoteRef/>
      </w:r>
      <w:r>
        <w:t xml:space="preserve"> </w:t>
      </w:r>
      <w:r>
        <w:t xml:space="preserve">Mobilità sanitaria attiva (Ministero della Salute e Agenas): la Lombardia presenta il più elevato saldo di mobilità attiva d’Italia, dell’ordine di 580 milioni di euro, a fronte di oltre un miliardo di prestazioni erogate a non residenti; è il primo polo attrattivo del Paese. Ne consegue che il canale del recupero della mobilità passiva, centrale per le regioni meridionali, non si applica: la Lombardia è regione creditrice.</w:t>
      </w:r>
    </w:p>
  </w:footnote>
  <w:footnote w:id="1646">
    <w:p>
      <w:pPr>
        <w:pStyle w:val="FootnoteText"/>
      </w:pPr>
      <w:r>
        <w:rPr>
          <w:rStyle w:val="FootnoteReference"/>
        </w:rPr>
        <w:footnoteRef/>
      </w:r>
      <w:r>
        <w:t xml:space="preserve"> </w:t>
      </w:r>
      <w:r>
        <w:t xml:space="preserve">Pronto soccorso: gli accessi annui in Lombardia sono dell’ordine di 3.000.000-3.200.000, con una quota inappropriata rilevante ancorché inferiore a quella delle regioni con rete territoriale più debole; il vero margine di inefficienza lombardo, sul quale il servizio agisce, risiede nelle liste di attesa e nel ritardo della rete territoriale, più che nella mobilità.</w:t>
      </w:r>
    </w:p>
  </w:footnote>
  <w:footnote w:id="1647">
    <w:p>
      <w:pPr>
        <w:pStyle w:val="FootnoteText"/>
      </w:pPr>
      <w:r>
        <w:rPr>
          <w:rStyle w:val="FootnoteReference"/>
        </w:rPr>
        <w:footnoteRef/>
      </w:r>
      <w:r>
        <w:t xml:space="preserve"> </w:t>
      </w:r>
      <w:r>
        <w:t xml:space="preserve">Farmaceutica: la Lombardia presenta un consumo complessivo dell’ordine di 900-950 dosi giornaliere ogni mille abitanti, inferiore a quello delle regioni meridionali e prossimo alla media nazionale; l’intercettazione del disagio psichico nelle cure primarie resta migliorabile, con margini di appropriatezza nella sostituzione di terapie croniche non necessarie con percorsi psicologici.</w:t>
      </w:r>
    </w:p>
  </w:footnote>
  <w:footnote w:id="1648">
    <w:p>
      <w:pPr>
        <w:pStyle w:val="FootnoteText"/>
      </w:pPr>
      <w:r>
        <w:rPr>
          <w:rStyle w:val="FootnoteReference"/>
        </w:rPr>
        <w:footnoteRef/>
      </w:r>
      <w:r>
        <w:t xml:space="preserve"> </w:t>
      </w:r>
      <w:r>
        <w:t xml:space="preserve">Liste di attesa e rete territoriale: il modello lombardo, fondato sull’eccellenza ospedaliera e specialistica, ha storicamente dedicato minore attenzione alla rete di prossimità, la cui fragilità è emersa con la pandemia; le liste di attesa ne sono la testimonianza. Il Servizio di Psicologia di Base completa la rete territoriale in costruzione e ne accresce la capacità di intercettare il bisogno in prossimità.</w:t>
      </w:r>
    </w:p>
  </w:footnote>
  <w:footnote w:id="1649">
    <w:p>
      <w:pPr>
        <w:pStyle w:val="FootnoteText"/>
      </w:pPr>
      <w:r>
        <w:rPr>
          <w:rStyle w:val="FootnoteReference"/>
        </w:rPr>
        <w:footnoteRef/>
      </w:r>
      <w:r>
        <w:t xml:space="preserve"> </w:t>
      </w:r>
      <w:r>
        <w:t xml:space="preserve">Cornice normativa: a livello regionale la legge n. 22 del 2021, di riforma del sistema sociosanitario, che pone al centro la medicina territoriale e prevede esplicitamente gli psicologi nelle Case della Comunità e l’impiego dell’intelligenza artificiale nelle Centrali Operative Territoriali; a livello nazionale il decreto ministeriale 77 del 2022 sull’assistenza territoriale, la Missione 6 del Piano Nazionale di Ripresa e Resilienza e l’accordo della specialistica ambulatoriale per i psicologi convenzionati; a livello europeo il regolamento 2021/2282 sull’HTA e il regolamento sull’intelligenza artificiale.</w:t>
      </w:r>
    </w:p>
  </w:footnote>
  <w:footnote w:id="1650">
    <w:p>
      <w:pPr>
        <w:pStyle w:val="FootnoteText"/>
      </w:pPr>
      <w:r>
        <w:rPr>
          <w:rStyle w:val="FootnoteReference"/>
        </w:rPr>
        <w:footnoteRef/>
      </w:r>
      <w:r>
        <w:t xml:space="preserve"> </w:t>
      </w:r>
      <w:r>
        <w:t xml:space="preserve">Popolazione residente in Lombardia 10.033.918 (Censimento permanente ISTAT 2024), pari al 17,0% della popolazione nazionale, la più popolosa d’Italia; componente straniera 12,2%; aspettativa di vita dell’ordine di 84 anni; dodici province, con la Città Metropolitana di Milano che supera da sola 1,36 milioni di residenti. Il Servizio sanitario regionale è articolato in otto Agenzie di Tutela della Salute, con funzioni di programmazione e governo, e in ventisette Aziende Socio-Sanitarie Territoriali, che integrano polo ospedaliero e polo territoriale ed erogano le prestazioni insieme a un’ampia rete di soggetti privati accreditati e di Istituti di Ricovero e Cura a Carattere Scientifico, presenti nella più alta concentrazione nazionale.</w:t>
      </w:r>
    </w:p>
  </w:footnote>
  <w:footnote w:id="1651">
    <w:p>
      <w:pPr>
        <w:pStyle w:val="FootnoteText"/>
      </w:pPr>
      <w:r>
        <w:rPr>
          <w:rStyle w:val="FootnoteReference"/>
        </w:rPr>
        <w:footnoteRef/>
      </w:r>
    </w:p>
  </w:footnote>
  <w:footnote w:id="1652">
    <w:p>
      <w:pPr>
        <w:pStyle w:val="FootnoteText"/>
      </w:pPr>
      <w:r>
        <w:rPr>
          <w:rStyle w:val="FootnoteReference"/>
        </w:rPr>
        <w:footnoteRef/>
      </w:r>
      <w:r>
        <w:t xml:space="preserve"> </w:t>
      </w:r>
      <w:r>
        <w:t xml:space="preserve">Popolazione residente in Lombardia 10.033.918 (Censimento permanente ISTAT 2024), pari al 17,0% della popolazione nazionale, la più popolosa d’Italia; componente straniera 12,2%; aspettativa di vita dell’ordine di 84 anni; dodici province, con la Città Metropolitana di Milano che supera da sola 1,36 milioni di residenti. Il Servizio sanitario regionale è articolato in otto Agenzie di Tutela della Salute, con funzioni di programmazione e governo, e in ventisette Aziende Socio-Sanitarie Territoriali, che integrano polo ospedaliero e polo territoriale ed erogano le prestazioni insieme a un’ampia rete di soggetti privati accreditati e di Istituti di Ricovero e Cura a Carattere Scientifico, presenti nella più alta concentrazione nazionale.Questa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1653">
    <w:p>
      <w:pPr>
        <w:pStyle w:val="FootnoteText"/>
      </w:pPr>
      <w:r>
        <w:rPr>
          <w:rStyle w:val="FootnoteReference"/>
        </w:rPr>
        <w:footnoteRef/>
      </w:r>
      <w:r>
        <w:t xml:space="preserve"> </w:t>
      </w:r>
      <w:r>
        <w:t xml:space="preserve">Gradiente sociale della salute mentale: le popolazioni in deprivazione presentano prevalenze sistematicamente più elevate di disturbi mentali comuni e un accesso più difficile ai servizi. In Lombardia il rischio di povertà o esclusione è contenuto in aggregato (dell’ordine del 18%), sicché il gradiente sociale opera soprattutto entro alcune aree — le zone alpine interne e talune periferie urbane — anziché come tratto diffuso; la dimensione territoriale dell’equità prevale, in Lombardia, su quella socio-economica.</w:t>
      </w:r>
    </w:p>
  </w:footnote>
  <w:footnote w:id="1654">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Lombardia rileva in particolare l’abbattimento della barriera geografica nelle aree alpine, dove la distanza dai servizi è il principale ostacolo all’accesso.</w:t>
      </w:r>
    </w:p>
  </w:footnote>
  <w:footnote w:id="1655">
    <w:p>
      <w:pPr>
        <w:pStyle w:val="FootnoteText"/>
      </w:pPr>
      <w:r>
        <w:rPr>
          <w:rStyle w:val="FootnoteReference"/>
        </w:rPr>
        <w:footnoteRef/>
      </w:r>
      <w:r>
        <w:t xml:space="preserve"> </w:t>
      </w:r>
      <w:r>
        <w:t xml:space="preserve">Variabili di equità, accesso e protezione finanziaria seguite dallo studio: riduzione dei tempi di attesa per l’accesso psicologico — in Lombardia la principale dimensione dell’equità nell’accesso — accessibilità geografica nelle aree alpine e interne, gradiente socio-economico nell’accesso, equità di esito tra gruppi, equità di genere, accesso per le popolazioni straniere e fragili e per le persone con disabilità, gratuità per i gruppi vulnerabili, copertura del bisogno non soddisfatto.</w:t>
      </w:r>
    </w:p>
  </w:footnote>
  <w:footnote w:id="1656">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1657">
    <w:p>
      <w:pPr>
        <w:pStyle w:val="FootnoteText"/>
      </w:pPr>
      <w:r>
        <w:rPr>
          <w:rStyle w:val="FootnoteReference"/>
        </w:rPr>
        <w:footnoteRef/>
      </w:r>
      <w:r>
        <w:t xml:space="preserve"> </w:t>
      </w:r>
      <w:r>
        <w:t xml:space="preserve">Direzione del risultato distributivo: poiché il guadagno di accesso è più ampio dove l’accesso è oggi più difficile — le aree alpine e le popolazioni gravate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1658">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3,8-5,4 a uno. In Lombardia, ove la popolazione non è prevalentemente deprivata, l’effetto della ponderazione sarebbe più contenuto che nel Mezzogiorno, il che rende la scelta non ponderata tanto più prudente.</w:t>
      </w:r>
    </w:p>
  </w:footnote>
  <w:footnote w:id="1659">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e la prevalenza di cronicità e multimorbidità, attribuendo pesi maggiori alle aree alpine interne e alle periferie urbane più fragili.</w:t>
      </w:r>
    </w:p>
  </w:footnote>
  <w:footnote w:id="1660">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1661">
    <w:p>
      <w:pPr>
        <w:pStyle w:val="FootnoteText"/>
      </w:pPr>
      <w:r>
        <w:rPr>
          <w:rStyle w:val="FootnoteReference"/>
        </w:rPr>
        <w:footnoteRef/>
      </w:r>
      <w:r>
        <w:t xml:space="preserve"> </w:t>
      </w:r>
      <w:r>
        <w:t xml:space="preserve">Divari territoriali in Lombardia: il divario rilevante non è quello Nord-Sud, ma quello interno tra l’area metropolitana densa e ben servita e le aree alpine di Sondrio e delle valli prealpine, a popolazione anziana e dispersa, cui si aggiungono talune periferie urbane; è in queste aree che la sola presenza fisica di un primo livello accessibile costituisce già un atto di riequilibrio.</w:t>
      </w:r>
    </w:p>
  </w:footnote>
  <w:footnote w:id="1662">
    <w:p>
      <w:pPr>
        <w:pStyle w:val="FootnoteText"/>
      </w:pPr>
      <w:r>
        <w:rPr>
          <w:rStyle w:val="FootnoteReference"/>
        </w:rPr>
        <w:footnoteRef/>
      </w:r>
      <w:r>
        <w:t xml:space="preserve"> </w:t>
      </w:r>
      <w:r>
        <w:t xml:space="preserve">Liste di attesa e rete territoriale quale dimensione di equità: in Lombardia, dove il canale della mobilità recuperata non si applica (la regione è creditrice), la principale leva distributiva è la riduzione delle liste di attesa e il completamento della rete territoriale, che oggi penalizzano chi non può ricorrere al privato; sul piano nazionale, il rafforzamento della rete lombarda concorre inoltre ad attenuare la pressione che alimenta la mobilità dal Mezzogiorno.</w:t>
      </w:r>
    </w:p>
  </w:footnote>
  <w:footnote w:id="1663">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 di costo non trascurabile anche in Lombardia — è spesso inaccessibile.</w:t>
      </w:r>
    </w:p>
  </w:footnote>
  <w:footnote w:id="1664">
    <w:p>
      <w:pPr>
        <w:pStyle w:val="FootnoteText"/>
      </w:pPr>
      <w:r>
        <w:rPr>
          <w:rStyle w:val="FootnoteReference"/>
        </w:rPr>
        <w:footnoteRef/>
      </w:r>
      <w:r>
        <w:t xml:space="preserve"> </w:t>
      </w:r>
      <w:r>
        <w:t xml:space="preserve">Copertura del bisogno non soddisfatto come equità: intercettare la quota inevasa del disagio — dell’ordine di due milioni di persone, metà delle quali non chiede aiuto — significa raggiungere proprio coloro che hanno minore probabilità di accedere spontaneamente ai servizi.</w:t>
      </w:r>
    </w:p>
  </w:footnote>
  <w:footnote w:id="1665">
    <w:p>
      <w:pPr>
        <w:pStyle w:val="FootnoteText"/>
      </w:pPr>
      <w:r>
        <w:rPr>
          <w:rStyle w:val="FootnoteReference"/>
        </w:rPr>
        <w:footnoteRef/>
      </w:r>
      <w:r>
        <w:t xml:space="preserve"> </w:t>
      </w:r>
      <w:r>
        <w:t xml:space="preserve">Collegamento al monitoraggio: gli indicatori di equità — accesso per area e per livello socio-economico, gradiente dell’esito, tempi di attesa per area — fanno parte del sistema di indicatori della Parte L, e consentono di accertare nel tempo se il servizio raggiunga le comunità più distanti e i gruppi più fragili.</w:t>
      </w:r>
    </w:p>
  </w:footnote>
  <w:footnote w:id="1666">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 Il caso di riferimento è il medesimo adottato per la Puglia e per le altre Regioni, a garanzia di comparabilità.</w:t>
      </w:r>
    </w:p>
  </w:footnote>
  <w:footnote w:id="1667">
    <w:p>
      <w:pPr>
        <w:pStyle w:val="FootnoteText"/>
      </w:pPr>
      <w:r>
        <w:rPr>
          <w:rStyle w:val="FootnoteReference"/>
        </w:rPr>
        <w:footnoteRef/>
      </w:r>
    </w:p>
  </w:footnote>
  <w:footnote w:id="1668">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 Il caso di riferimento è il medesimo adottato per la Puglia e per le altre Regioni, a garanzia di comparabilità.Standard di reporting e di conduzione: la lista PRISMA 2020 per la revisione sistematica (strategia di ricerca, selezione, estrazione e sintesi) e la lista STROBE per gli studi osservazionali sui dati reali.</w:t>
      </w:r>
    </w:p>
  </w:footnote>
  <w:footnote w:id="1669">
    <w:p>
      <w:pPr>
        <w:pStyle w:val="FootnoteText"/>
      </w:pPr>
      <w:r>
        <w:rPr>
          <w:rStyle w:val="FootnoteReference"/>
        </w:rPr>
        <w:footnoteRef/>
      </w:r>
      <w:r>
        <w:t xml:space="preserve"> </w:t>
      </w:r>
      <w:r>
        <w:t xml:space="preserve">Questa parte copre il quarto dominio del modello HTA, l’efficacia clinica, che insieme ai primi tre costituisce il nucleo della valutazione rapida di efficacia relativa; la sintesi dell’evidenza segue lo standard PRISMA e ne gradua la certezza con il sistema GRADE.</w:t>
      </w:r>
    </w:p>
  </w:footnote>
  <w:footnote w:id="1670">
    <w:p>
      <w:pPr>
        <w:pStyle w:val="FootnoteText"/>
      </w:pPr>
      <w:r>
        <w:rPr>
          <w:rStyle w:val="FootnoteReference"/>
        </w:rPr>
        <w:footnoteRef/>
      </w:r>
      <w:r>
        <w:t xml:space="preserve"> </w:t>
      </w:r>
      <w:r>
        <w:t xml:space="preserve">Collaborative Care Model: paradigma di integrazione della salute mentale nelle cure primarie validato da oltre novanta studi randomizzati controllati; uno studio fondativo (JAMA, 2002) documentò che circa la metà dei pazienti otteneva una riduzione dei sintomi pari almeno alla metà a dodici mesi, contro meno di un quinto nella cura usuale.</w:t>
      </w:r>
    </w:p>
  </w:footnote>
  <w:footnote w:id="1671">
    <w:p>
      <w:pPr>
        <w:pStyle w:val="FootnoteText"/>
      </w:pPr>
      <w:r>
        <w:rPr>
          <w:rStyle w:val="FootnoteReference"/>
        </w:rPr>
        <w:footnoteRef/>
      </w:r>
      <w:r>
        <w:t xml:space="preserve"> </w:t>
      </w:r>
      <w:r>
        <w:t xml:space="preserve">Woltmann e colleghi (American Journal of Psychiatry, 2012): meta-analisi su cinquantasette studi controllati, con un miglioramento medio dei sintomi depressivi pari a 0,28 deviazioni standard.</w:t>
      </w:r>
    </w:p>
  </w:footnote>
  <w:footnote w:id="1672">
    <w:p>
      <w:pPr>
        <w:pStyle w:val="FootnoteText"/>
      </w:pPr>
      <w:r>
        <w:rPr>
          <w:rStyle w:val="FootnoteReference"/>
        </w:rPr>
        <w:footnoteRef/>
      </w:r>
      <w:r>
        <w:t xml:space="preserve"> </w:t>
      </w:r>
      <w:r>
        <w:t xml:space="preserve">Revisione sistematica (BMC Primary Care, 2024) su quarantadue implementazioni del Collaborative Care Model in Europa, Nord America e Australia: riduzione media dei sintomi depressivi del 47% a sei mesi, dei sintomi ansiosi del 43%, miglioramento del funzionamento del 38%, riduzione del 34% degli accessi al pronto soccorso per sintomi psicosomatici e del 41% dei ricoveri psichiatrici.</w:t>
      </w:r>
    </w:p>
  </w:footnote>
  <w:footnote w:id="1673">
    <w:p>
      <w:pPr>
        <w:pStyle w:val="FootnoteText"/>
      </w:pPr>
      <w:r>
        <w:rPr>
          <w:rStyle w:val="FootnoteReference"/>
        </w:rPr>
        <w:footnoteRef/>
      </w:r>
      <w:r>
        <w:t xml:space="preserve"> </w:t>
      </w:r>
      <w:r>
        <w:t xml:space="preserve">Strumenti di esito validati e impiegati in tutti i programmi: il PHQ-9 per i sintomi depressivi (sensibilità 88%, specificità 85%) e il GAD-7 per i sintomi d’ansia (sensibilità 89%, specificità 82%).</w:t>
      </w:r>
    </w:p>
  </w:footnote>
  <w:footnote w:id="1674">
    <w:p>
      <w:pPr>
        <w:pStyle w:val="FootnoteText"/>
      </w:pPr>
      <w:r>
        <w:rPr>
          <w:rStyle w:val="FootnoteReference"/>
        </w:rPr>
        <w:footnoteRef/>
      </w:r>
      <w:r>
        <w:t xml:space="preserve"> </w:t>
      </w:r>
      <w:r>
        <w:t xml:space="preserve">Meta-analisi sulle cure integrate nelle cure primarie: miglioramento statisticamente significativo e clinicamente rilevante dei sintomi depressivi, con coefficiente beta standardizzato di −0,11; su scala di popolazione anche un piccolo spostamento medio dei punteggi riduce sensibilmente la proporzione di persone che superano le soglie cliniche.</w:t>
      </w:r>
    </w:p>
  </w:footnote>
  <w:footnote w:id="1675">
    <w:p>
      <w:pPr>
        <w:pStyle w:val="FootnoteText"/>
      </w:pPr>
      <w:r>
        <w:rPr>
          <w:rStyle w:val="FootnoteReference"/>
        </w:rPr>
        <w:footnoteRef/>
      </w:r>
      <w:r>
        <w:t xml:space="preserve"> </w:t>
      </w:r>
      <w:r>
        <w:t xml:space="preserve">Sistema GRADE per la graduazione della certezza dell’evidenza, fondato sulla valutazione del rischio di bias, dell’incoerenza, dell’indirettezza, dell’imprecisione e del bias di pubblicazione; per l’efficacia dell’integrazione psicologica nelle cure primarie sui disturbi comuni la certezza è nel complesso da moderata ad alta.</w:t>
      </w:r>
    </w:p>
  </w:footnote>
  <w:footnote w:id="1676">
    <w:p>
      <w:pPr>
        <w:pStyle w:val="FootnoteText"/>
      </w:pPr>
      <w:r>
        <w:rPr>
          <w:rStyle w:val="FootnoteReference"/>
        </w:rPr>
        <w:footnoteRef/>
      </w:r>
      <w:r>
        <w:t xml:space="preserve"> </w:t>
      </w:r>
      <w:r>
        <w:t xml:space="preserve">Programma inglese di terapie psicologiche (NHS Talking Therapies, già IAPT; dati NHS England Digital, settembre 2024): oltre 1,3 milioni di persone trattate nell’anno 2023-2024, con tasso di recupero dell’ordine del 50% e completezza dei dati di esito superiore al 98%, su un bacino di oltre cinquantasei milioni di abitanti.</w:t>
      </w:r>
    </w:p>
  </w:footnote>
  <w:footnote w:id="1677">
    <w:p>
      <w:pPr>
        <w:pStyle w:val="FootnoteText"/>
      </w:pPr>
      <w:r>
        <w:rPr>
          <w:rStyle w:val="FootnoteReference"/>
        </w:rPr>
        <w:footnoteRef/>
      </w:r>
      <w:r>
        <w:t xml:space="preserve"> </w:t>
      </w:r>
      <w:r>
        <w:t xml:space="preserve">Programma inglese, dati 2022-2023 (NHS Digital): 1,76 milioni di persone inviate, 1,22 milioni entrate in trattamento e 672.000 cicli completati, con un tasso di recupero del 49,9%, prossimo all’obiettivo del 50%, e un miglioramento affidabile del 67,8%.</w:t>
      </w:r>
    </w:p>
  </w:footnote>
  <w:footnote w:id="1678">
    <w:p>
      <w:pPr>
        <w:pStyle w:val="FootnoteText"/>
      </w:pPr>
      <w:r>
        <w:rPr>
          <w:rStyle w:val="FootnoteReference"/>
        </w:rPr>
        <w:footnoteRef/>
      </w:r>
    </w:p>
  </w:footnote>
  <w:footnote w:id="1679">
    <w:p>
      <w:pPr>
        <w:pStyle w:val="FootnoteText"/>
      </w:pPr>
      <w:r>
        <w:rPr>
          <w:rStyle w:val="FootnoteReference"/>
        </w:rPr>
        <w:footnoteRef/>
      </w:r>
      <w:r>
        <w:t xml:space="preserve"> </w:t>
      </w:r>
      <w:r>
        <w:t xml:space="preserve">Programma inglese, dati 2022-2023 (NHS Digital): 1,76 milioni di persone inviate, 1,22 milioni entrate in trattamento e 672.000 cicli completati, con un tasso di recupero del 49,9%, prossimo all’obiettivo del 50%, e un miglioramento affidabile del 67,8%.Questa parte copre tre domini del modello HTA — il profilo etico (dominio 6), il profilo organizzativo (dominio 7) e il profilo giuridico (dominio 9) — che completano la valutazione oltre i piani già trattati.</w:t>
      </w:r>
    </w:p>
  </w:footnote>
  <w:footnote w:id="1680">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1681">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1682">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683">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1684">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1685">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la legge regionale lombarda n. 22 del 2021 opera legittimamente entro tale competenza, sul piano organizzativo.</w:t>
      </w:r>
    </w:p>
  </w:footnote>
  <w:footnote w:id="1686">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1687">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la Lombardia, che intende strutturare entro la propria competenza organizzativa la funzione già prevista.</w:t>
      </w:r>
    </w:p>
  </w:footnote>
  <w:footnote w:id="1688">
    <w:p>
      <w:pPr>
        <w:pStyle w:val="FootnoteText"/>
      </w:pPr>
      <w:r>
        <w:rPr>
          <w:rStyle w:val="FootnoteReference"/>
        </w:rPr>
        <w:footnoteRef/>
      </w:r>
      <w:r>
        <w:t xml:space="preserve"> </w:t>
      </w:r>
      <w:r>
        <w:t xml:space="preserve">Base giuridica regionale: la legge regionale n. 22 del 2021 ha riformato il sistema sociosanitario lombardo prevedendo gli psicologi nelle Case della Comunità e l’impiego dell’intelligenza artificiale nelle Centrali Operative Territoriali; la decisione non verte sul prevedere la funzione, già prevista, ma sullo strutturarla e dimensionarla.</w:t>
      </w:r>
    </w:p>
  </w:footnote>
  <w:footnote w:id="1689">
    <w:p>
      <w:pPr>
        <w:pStyle w:val="FootnoteText"/>
      </w:pPr>
      <w:r>
        <w:rPr>
          <w:rStyle w:val="FootnoteReference"/>
        </w:rPr>
        <w:footnoteRef/>
      </w:r>
      <w:r>
        <w:t xml:space="preserve"> </w:t>
      </w:r>
      <w:r>
        <w:t xml:space="preserve">Corte costituzionale, sentenza n. 6 del 2026: le Regioni in piano di rientro non possono utilizzare i fondi del proprio Servizio sanitario per finalità diverse dalla garanzia dei livelli essenziali. La Lombardia, con conti in equilibrio e non sottoposta a piano di rientro, non è soggetta a tale vincolo; permane il principio generale di destinazione delle risorse ai livelli essenziali, che la riforma rispetta.</w:t>
      </w:r>
    </w:p>
  </w:footnote>
  <w:footnote w:id="1690">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della Lombardia, che concorre alla governance e alla formazione.</w:t>
      </w:r>
    </w:p>
  </w:footnote>
  <w:footnote w:id="1691">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1692">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1693">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alpine — e il supporto multilingue per le popolazioni straniere, ferma restando la garanzia dell’alternativa in presenza.</w:t>
      </w:r>
    </w:p>
  </w:footnote>
  <w:footnote w:id="1694">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1695">
    <w:p>
      <w:pPr>
        <w:pStyle w:val="FootnoteText"/>
      </w:pPr>
      <w:r>
        <w:rPr>
          <w:rStyle w:val="FootnoteReference"/>
        </w:rPr>
        <w:footnoteRef/>
      </w:r>
      <w:r>
        <w:t xml:space="preserve"> </w:t>
      </w:r>
      <w:r>
        <w:t xml:space="preserve">Iniziativa australiana Better Access (dal 2006): oltre venti milioni di prestazioni a più di tre milioni di persone in dieci anni, con un aumento del tasso di trattamento dei disturbi mentali dal 35% al 46% e un’elevata soddisfazione, sebbene operi per invio esterno e non per integrazione.</w:t>
      </w:r>
    </w:p>
  </w:footnote>
  <w:footnote w:id="1696">
    <w:p>
      <w:pPr>
        <w:pStyle w:val="FootnoteText"/>
      </w:pPr>
      <w:r>
        <w:rPr>
          <w:rStyle w:val="FootnoteReference"/>
        </w:rPr>
        <w:footnoteRef/>
      </w:r>
      <w:r>
        <w:t xml:space="preserve"> </w:t>
      </w:r>
      <w:r>
        <w:t xml:space="preserve">Trasferibilità e differenze di assetto: i programmi integrati (inglese, olandese e statunitense) collocano il professionista nelle cure primarie, mentre il modello australiano opera per invio esterno; il modello lombardo, che inserisce lo psicologo nelle cure primarie con funzione di filtro, appartiene alla prima famiglia e ne mutua le evidenze con maggiore pertinenza.</w:t>
      </w:r>
    </w:p>
  </w:footnote>
  <w:footnote w:id="1697">
    <w:p>
      <w:pPr>
        <w:pStyle w:val="FootnoteText"/>
      </w:pPr>
      <w:r>
        <w:rPr>
          <w:rStyle w:val="FootnoteReference"/>
        </w:rPr>
        <w:footnoteRef/>
      </w:r>
      <w:r>
        <w:t xml:space="preserve"> </w:t>
      </w:r>
      <w:r>
        <w:t xml:space="preserve">Esperienze italiane di psicologia nelle cure primarie, tra cui il modello Solano nel Lazio, che hanno anticipato su scala locale l’integrazione del professionista psicologo nelle cure primarie.</w:t>
      </w:r>
    </w:p>
  </w:footnote>
  <w:footnote w:id="1698">
    <w:p>
      <w:pPr>
        <w:pStyle w:val="FootnoteText"/>
      </w:pPr>
      <w:r>
        <w:rPr>
          <w:rStyle w:val="FootnoteReference"/>
        </w:rPr>
        <w:footnoteRef/>
      </w:r>
      <w:r>
        <w:t xml:space="preserve"> </w:t>
      </w:r>
      <w:r>
        <w:t xml:space="preserve">Cautele di trasferibilità per la Lombardia: i sistemi sanitari differiscono per organizzazione e copertura di partenza; la Lombardia muove da una copertura strutturata sostanzialmente nulla, poiché la funzione è prevista dalla riforma del 2021 ma non dimensionata, e da una domanda più visibile, senza la sotto-rilevazione documentata in alcune regioni meridionali; l’emersione del bisogno può perciò essere più rapida, ma su un volume di gran lunga maggiore, e la disponibilità di organico psicologico formato — a fronte di un fabbisogno dell’ordine di 2.190 incarichi — è il vincolo principale dei primi anni.</w:t>
      </w:r>
    </w:p>
  </w:footnote>
  <w:footnote w:id="1699">
    <w:p>
      <w:pPr>
        <w:pStyle w:val="FootnoteText"/>
      </w:pPr>
      <w:r>
        <w:rPr>
          <w:rStyle w:val="FootnoteReference"/>
        </w:rPr>
        <w:footnoteRef/>
      </w:r>
      <w:r>
        <w:t xml:space="preserve"> </w:t>
      </w:r>
      <w:r>
        <w:t xml:space="preserve">Verifica locale: il dispiegamento scaglionato del servizio tra le otto Agenzie di Tutela della Salute (stepped-wedge), oggetto della Parte L, è chiamato a verificare empiricamente sui dati lombardi gli effetti attesi dalla letteratura, trasformando le stime in prove.</w:t>
      </w:r>
    </w:p>
  </w:footnote>
  <w:footnote w:id="1700">
    <w:p>
      <w:pPr>
        <w:pStyle w:val="FootnoteText"/>
      </w:pPr>
      <w:r>
        <w:rPr>
          <w:rStyle w:val="FootnoteReference"/>
        </w:rPr>
        <w:footnoteRef/>
      </w:r>
      <w:r>
        <w:t xml:space="preserve"> </w:t>
      </w:r>
      <w:r>
        <w:t xml:space="preserve">Confronto economico: i ritorni economici dei programmi internazionali sono trattati, distintamente dagli esiti clinici, nella Parte E, ove il caso lombardo adotta la stima conservativa consolidata e distingue il risparmio diretto per il bilancio dalle ricadute sociali.</w:t>
      </w:r>
    </w:p>
  </w:footnote>
  <w:footnote w:id="1701">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e valore dell’informazione, costo-efficacia distributiva, inferenza causale quasi-sperimentale, revisione sistematica e GRADE, analisi multi-criterio, analisi di impatto della regolamentazione.</w:t>
      </w:r>
    </w:p>
  </w:footnote>
  <w:footnote w:id="1702">
    <w:p>
      <w:pPr>
        <w:pStyle w:val="FootnoteText"/>
      </w:pPr>
      <w:r>
        <w:rPr>
          <w:rStyle w:val="FootnoteReference"/>
        </w:rPr>
        <w:footnoteRef/>
      </w:r>
      <w:r>
        <w:t xml:space="preserve"> </w:t>
      </w:r>
      <w:r>
        <w:t xml:space="preserve">Valutazione controfattuale d’impatto: i metodi della differenza-nelle-differenze, del controllo sintetico e dei disegni quasi-sperimentali; il dispiegamento scaglionato della riforma (stepped-wedge), nel quale le otto Agenzie di Tutela della Salute passano in sequenza dalla condizione di controllo a quella di intervento, funge da esperimento naturale e ne consente la stima causale (Hussey e Hughes, 2007; Hemming e altri, 2015).</w:t>
      </w:r>
    </w:p>
  </w:footnote>
  <w:footnote w:id="1703">
    <w:p>
      <w:pPr>
        <w:pStyle w:val="FootnoteText"/>
      </w:pPr>
      <w:r>
        <w:rPr>
          <w:rStyle w:val="FootnoteReference"/>
        </w:rPr>
        <w:footnoteRef/>
      </w:r>
      <w:r>
        <w:t xml:space="preserve"> </w:t>
      </w:r>
      <w:r>
        <w:t xml:space="preserve">I valori economici oggi impiegati sono in parte ricostruiti dai conti nazionali per quota di popolazione (17,0%) e non estratti dai conti regionali certificati; una specifica di estrazione, da predisporre per le Agenzie di Tutela della Salute e per le Aziende Socio-Sanitarie Territoriali, individua i dati regionali da acquisire — spesa per voce, dimissioni psichiatriche, composizione della mobilità, farmaceutica per categoria, accessi al pronto soccorso per causa, utenza dei Dipartimenti — a sostituzione dei parametri stimati.</w:t>
      </w:r>
    </w:p>
  </w:footnote>
  <w:footnote w:id="1704">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Lombardia, regione a saldo di mobilità attivo e primo polo attrattivo del Paese, il canale del recupero della mobilità passiva — centrale per le regioni meridionali — non si applica; ne consegue, applicando la stessa metodologia, un saldo diretto negativo, dell’ordine di −25, −35 e −30 milioni di euro per scenario, mentre il ritorno complessivo, dell’ordine di 3,8-5,4 a 1, proviene quasi interamente dalle ricadute sociali, soprattutto dalla produttività recuperata di una popolazione in età lavorativa senza pari. La stima conservativa è adottata come riferimento; le cifre sono ipotesi che lo studio è chiamato a verificare sui dati certificati.</w:t>
      </w:r>
    </w:p>
  </w:footnote>
  <w:footnote w:id="1705">
    <w:p>
      <w:pPr>
        <w:pStyle w:val="FootnoteText"/>
      </w:pPr>
      <w:r>
        <w:rPr>
          <w:rStyle w:val="FootnoteReference"/>
        </w:rPr>
        <w:footnoteRef/>
      </w:r>
      <w:r>
        <w:t xml:space="preserve"> </w:t>
      </w:r>
      <w:r>
        <w:t xml:space="preserve">La valutazione è governata da un comitato di indirizzo — Regione e Agenzie di Tutela della Salute, Aziende Socio-Sanitarie Territoriali, Ordine degli Psicologi della Lombardia, università e Istituti di Ricovero e Cura a Carattere Scientifico — e da un responsabile scientifico; è sottoposta all’approvazione del comitato etico territorialmente competente; prevede il consenso informato dei partecipanti; e rende pubblici gli esiti indipendentemente dal loro segno, a garanzia di non distorsione.</w:t>
      </w:r>
    </w:p>
  </w:footnote>
  <w:footnote w:id="1706">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 servizio per la sola finalità clinica; al livello di governo regionale sono trasmessi esclusivamente indicatori aggregati e anonimi; il sistema informativo è interoperabile con il Fascicolo Sanitario Elettronico, su infrastruttura regionale sicura, con consenso modulare.</w:t>
      </w:r>
    </w:p>
  </w:footnote>
  <w:footnote w:id="1707">
    <w:p>
      <w:pPr>
        <w:pStyle w:val="FootnoteText"/>
      </w:pPr>
      <w:r>
        <w:rPr>
          <w:rStyle w:val="FootnoteReference"/>
        </w:rPr>
        <w:footnoteRef/>
      </w:r>
      <w:r>
        <w:t xml:space="preserve"> </w:t>
      </w:r>
      <w:r>
        <w:t xml:space="preserve">Strumenti di intelligenza artificiale impiegati come ausilio del clinico (copilota) e mai in sua sostituzione, con sorveglianza umana costante; validazione periodica degli algoritmi e monitoraggio dei bias; conformità al regolamento europeo sull’IA e alla disciplina sui dispositivi medici; l’impiego si allinea alla previsione regionale di strumenti di intelligenza artificiale nelle Centrali Operative Territoriali, ed è auspicata l’istituzione di un comitato etico-scientifico per l’IA in sanità, con le Agenzie di Tutela della Salute, le università e gli Istituti di ricovero. La legge nazionale sull’IA agevola la sperimentazione qualificando i relativi trattamenti come di rilevante interesse pubblico.</w:t>
      </w:r>
    </w:p>
  </w:footnote>
  <w:footnote w:id="1708">
    <w:p>
      <w:pPr>
        <w:pStyle w:val="FootnoteText"/>
      </w:pPr>
      <w:r>
        <w:rPr>
          <w:rStyle w:val="FootnoteReference"/>
        </w:rPr>
        <w:footnoteRef/>
      </w:r>
      <w:r>
        <w:t xml:space="preserve"> </w:t>
      </w:r>
      <w:r>
        <w:t xml:space="preserve">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w:t>
      </w:r>
    </w:p>
  </w:footnote>
  <w:footnote w:id="1709">
    <w:p>
      <w:pPr>
        <w:pStyle w:val="FootnoteText"/>
      </w:pPr>
      <w:r>
        <w:rPr>
          <w:rStyle w:val="FootnoteReference"/>
        </w:rPr>
        <w:footnoteRef/>
      </w:r>
    </w:p>
  </w:footnote>
  <w:footnote w:id="1710">
    <w:p>
      <w:pPr>
        <w:pStyle w:val="FootnoteText"/>
      </w:pPr>
      <w:r>
        <w:rPr>
          <w:rStyle w:val="FootnoteReference"/>
        </w:rPr>
        <w:footnoteRef/>
      </w:r>
      <w:r>
        <w:t xml:space="preserve"> </w:t>
      </w:r>
      <w:r>
        <w:t xml:space="preserve">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persona.Questa parte copre il settimo dominio del modello HTA, il profilo organizzativo, e fornisce il contenuto del caso commerciale e del caso gestionale del Five Case Model, rispondendo al criterio di sostenibilità.</w:t>
      </w:r>
    </w:p>
  </w:footnote>
  <w:footnote w:id="1711">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w:t>
      </w:r>
    </w:p>
  </w:footnote>
  <w:footnote w:id="1712">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1713">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attivazione, il numero di psicologi reclutati e formati, la qualità della formazione e della supervisione, il grado di integrazione nei flussi di lavoro, l’aderenza ai percorsi e la scalabilità.</w:t>
      </w:r>
    </w:p>
  </w:footnote>
  <w:footnote w:id="1714">
    <w:p>
      <w:pPr>
        <w:pStyle w:val="FootnoteText"/>
      </w:pPr>
      <w:r>
        <w:rPr>
          <w:rStyle w:val="FootnoteReference"/>
        </w:rPr>
        <w:footnoteRef/>
      </w:r>
      <w:r>
        <w:t xml:space="preserve"> </w:t>
      </w:r>
      <w:r>
        <w:t xml:space="preserve">Disegno del dispiegamento scaglionato in Lombardia: le otto Agenzie di Tutela della Salute passano in sequenza, per fasi semestrali, dalla condizione di controllo a quella di intervento, a partire dalle Agenzie di maggiore dimensione e prontezza organizzativa, sino a coprire l’intera regione; l’ordine è definito dalla Giunta regionale su criteri trasparenti e reso noto preventivamente.</w:t>
      </w:r>
    </w:p>
  </w:footnote>
  <w:footnote w:id="1715">
    <w:p>
      <w:pPr>
        <w:pStyle w:val="FootnoteText"/>
      </w:pPr>
      <w:r>
        <w:rPr>
          <w:rStyle w:val="FootnoteReference"/>
        </w:rPr>
        <w:footnoteRef/>
      </w:r>
      <w:r>
        <w:t xml:space="preserve"> </w:t>
      </w:r>
      <w:r>
        <w:t xml:space="preserve">Doppia funzione del dispiegamento scaglionato: esso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p>
  </w:footnote>
  <w:footnote w:id="1716">
    <w:p>
      <w:pPr>
        <w:pStyle w:val="FootnoteText"/>
      </w:pPr>
      <w:r>
        <w:rPr>
          <w:rStyle w:val="FootnoteReference"/>
        </w:rPr>
        <w:footnoteRef/>
      </w:r>
      <w:r>
        <w:t xml:space="preserve"> </w:t>
      </w:r>
      <w:r>
        <w:t xml:space="preserve">Reclutamento: a fronte di un fabbisogno a regime dell’ordine di 2.190 psicologi, il più elevato d’Italia, il reclutamento avviene tramite l’iscrizione a un elenco istituito presso ciascuna Agenzia e l’instaurazione di un rapporto convenzionale, con requisiti di iscrizione all’albo e di formazione specifica; in prima applicazione possono accedere i professionisti con pregressa esperienza nell’assistenza psicologica nel Servizio sanitario regionale.</w:t>
      </w:r>
    </w:p>
  </w:footnote>
  <w:footnote w:id="1717">
    <w:p>
      <w:pPr>
        <w:pStyle w:val="FootnoteText"/>
      </w:pPr>
      <w:r>
        <w:rPr>
          <w:rStyle w:val="FootnoteReference"/>
        </w:rPr>
        <w:footnoteRef/>
      </w:r>
      <w:r>
        <w:t xml:space="preserve"> </w:t>
      </w:r>
      <w:r>
        <w:t xml:space="preserve">Cronoprogramma: l’attivazione procede per fasi semestrali attraverso le otto Agenzie; le attività di reclutamento, formazione, allestimento e avvio sono condotte in modo scaglionato, Agenzia per Agenzia, mentre il monitoraggio e la valutazione accompagnano l’intero arco e proseguono oltre il completamento.</w:t>
      </w:r>
    </w:p>
  </w:footnote>
  <w:footnote w:id="1718">
    <w:p>
      <w:pPr>
        <w:pStyle w:val="FootnoteText"/>
      </w:pPr>
      <w:r>
        <w:rPr>
          <w:rStyle w:val="FootnoteReference"/>
        </w:rPr>
        <w:footnoteRef/>
      </w:r>
      <w:r>
        <w:t xml:space="preserve"> </w:t>
      </w:r>
      <w:r>
        <w:t xml:space="preserve">Soglia di riuscita del dispiegamento: tra i parametri che muterebbero le conclusioni figura un tasso di recupero inferiore al 50% nella fase di attuazione, a fronte del valore di riferimento del programma inglese; il monitoraggio è chiamato a verificarne il raggiungimento sui dati lombardi.</w:t>
      </w:r>
    </w:p>
  </w:footnote>
  <w:footnote w:id="1719">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60, 95 e 120 milioni già esposti nella Parte E; il modello dell’elenco aziendale e del rapporto convenzionale è già adottato da altre Regioni e non richiede la creazione di nuove figure.</w:t>
      </w:r>
    </w:p>
  </w:footnote>
  <w:footnote w:id="1720">
    <w:p>
      <w:pPr>
        <w:pStyle w:val="FootnoteText"/>
      </w:pPr>
      <w:r>
        <w:rPr>
          <w:rStyle w:val="FootnoteReference"/>
        </w:rPr>
        <w:footnoteRef/>
      </w:r>
      <w:r>
        <w:t xml:space="preserve"> </w:t>
      </w:r>
      <w:r>
        <w:t xml:space="preserve">Caso gestionale (Five Case Model): l’attuazione è governata su due livelli. A livello regionale, un comitato di indirizzo regionale esercita le funzioni di indirizzo, programmazione, monitoraggio e controllo, riunendo la Regione, le Agenzie di Tutela della Salute, le Aziende Socio-Sanitarie Territoriali, l’Ordine degli Psicologi della Lombardia, la medicina generale, la pediatria di libera scelta, gli Istituti di Ricovero e Cura a Carattere Scientifico e le università; a livello aziendale, ciascuna Agenzia e Azienda è responsabile dell’attuazione nel proprio ambito.</w:t>
      </w:r>
    </w:p>
  </w:footnote>
  <w:footnote w:id="1721">
    <w:p>
      <w:pPr>
        <w:pStyle w:val="FootnoteText"/>
      </w:pPr>
      <w:r>
        <w:rPr>
          <w:rStyle w:val="FootnoteReference"/>
        </w:rPr>
        <w:footnoteRef/>
      </w:r>
      <w:r>
        <w:t xml:space="preserve"> </w:t>
      </w:r>
      <w:r>
        <w:t xml:space="preserve">Rischi attuativi e misure di mitigazione: i rischi principali — reclutamento insufficiente, debole adesione della medicina generale, interoperabilità incompleta dei sistemi informativi, disomogeneità territoriale e venir meno delle coperture — sono associati a misure dedicate; il dispiegamento graduale è esso stesso la principale forma di mitigazione, poiché consente di osservare, correggere e adattare prima dell’estensione.</w:t>
      </w:r>
    </w:p>
  </w:footnote>
  <w:footnote w:id="1722">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21 miliardi di euro, la Missione 6 del Piano Nazionale di Ripresa e Resilienza per l’infrastruttura territoriale e digitale, e un eventuale fondo statale a sostegno dei livelli essenziali.</w:t>
      </w:r>
    </w:p>
  </w:footnote>
  <w:footnote w:id="1723">
    <w:p>
      <w:pPr>
        <w:pStyle w:val="FootnoteText"/>
      </w:pPr>
      <w:r>
        <w:rPr>
          <w:rStyle w:val="FootnoteReference"/>
        </w:rPr>
        <w:footnoteRef/>
      </w:r>
      <w:r>
        <w:t xml:space="preserve"> </w:t>
      </w:r>
      <w:r>
        <w:t xml:space="preserve">Vincoli di bilancio: a differenza della Puglia, la Lombardia dispone di un finanziamento dell’ordine di 21 miliardi di euro con conti in equilibrio e non è in piano di rientro; il costo del servizio, anche a massima copertura, ne costituisce una frazione dell’ordine di mezzo punto percentuale, agevolmente assorbibile, sicché la sostenibilità finanziaria è in Lombardia più immediata che altrove.</w:t>
      </w:r>
    </w:p>
  </w:footnote>
  <w:footnote w:id="1724">
    <w:p>
      <w:pPr>
        <w:pStyle w:val="FootnoteText"/>
      </w:pPr>
      <w:r>
        <w:rPr>
          <w:rStyle w:val="FootnoteReference"/>
        </w:rPr>
        <w:footnoteRef/>
      </w:r>
      <w:r>
        <w:t xml:space="preserve"> </w:t>
      </w:r>
      <w:r>
        <w:t xml:space="preserve">Sostenibilità nel tempo (criterio OCSE-DAC): la sostenibilità è assicurata dalla modestia del costo rispetto al bilancio, dal forte ritorno sociale documentato e dall’istituzionalizzazione del servizio nella rete territoriale prevista dalla riforma del 2021.</w:t>
      </w:r>
    </w:p>
  </w:footnote>
  <w:footnote w:id="1725">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lombardi, prevista dalla Parte L, è chiamata a sostituire progressivamente le stime con misure osservate.</w:t>
      </w:r>
    </w:p>
  </w:footnote>
  <w:footnote w:id="1726">
    <w:p>
      <w:pPr>
        <w:pStyle w:val="FootnoteText"/>
      </w:pPr>
      <w:r>
        <w:rPr>
          <w:rStyle w:val="FootnoteReference"/>
        </w:rPr>
        <w:footnoteRef/>
      </w:r>
      <w:r>
        <w:t xml:space="preserve"> </w:t>
      </w:r>
      <w:r>
        <w:t xml:space="preserve">Profilo demografico: componente straniera pari al 12,2% dei residenti, nettamente superiore alla media nazionale e motore della crescita; aspettativa di vita dell’ordine di 84 anni, tra le più elevate del Paese; la Città Metropolitana di Milano supera da sola 1,36 milioni di residenti, unico comune oltre il milione; l’invecchiamento, comune alle regioni avanzate, convive con province fra le più giovani d’Italia.</w:t>
      </w:r>
    </w:p>
  </w:footnote>
  <w:footnote w:id="1727">
    <w:p>
      <w:pPr>
        <w:pStyle w:val="FootnoteText"/>
      </w:pPr>
      <w:r>
        <w:rPr>
          <w:rStyle w:val="FootnoteReference"/>
        </w:rPr>
        <w:footnoteRef/>
      </w:r>
      <w:r>
        <w:t xml:space="preserve"> </w:t>
      </w:r>
      <w:r>
        <w:t xml:space="preserve">Marcata eterogeneità territoriale: l’area metropolitana milanese presenta ampia popolazione in età lavorativa, relativamente più giovane, con elevata domanda connessa ai disturbi comuni e ai ritmi di vita urbani; le province di Bergamo e Brescia, fra le più giovani della regione, condividono un tessuto produttivo dinamico; le aree alpine di Sondrio e delle valli prealpine, a popolazione anziana e dispersa, aggiungono cronicità e difficoltà di accesso.</w:t>
      </w:r>
    </w:p>
  </w:footnote>
  <w:footnote w:id="1728">
    <w:p>
      <w:pPr>
        <w:pStyle w:val="FootnoteText"/>
      </w:pPr>
      <w:r>
        <w:rPr>
          <w:rStyle w:val="FootnoteReference"/>
        </w:rPr>
        <w:footnoteRef/>
      </w:r>
      <w:r>
        <w:t xml:space="preserve"> </w:t>
      </w:r>
      <w:r>
        <w:t xml:space="preserve">Contesto socioeconomico: la Lombardia è il principale motore economico del Paese, con un rischio di povertà o esclusione sociale tra i più contenuti d’Italia, dell’ordine del 18%, nettamente inferiore alla media nazionale; la deprivazione, pur ridotta in aggregato, si concentra in alcune aree alpine interne e in talune periferie urbane. A differenza delle regioni meridionali, dove il disagio è trainato dalla deprivazione, in Lombardia il bisogno è sospinto soprattutto dall’intensità della vita metropolitana, dal lascito pandemico e dall’invecchiamento delle aree montane.</w:t>
      </w:r>
    </w:p>
  </w:footnote>
  <w:footnote w:id="1729">
    <w:p>
      <w:pPr>
        <w:pStyle w:val="FootnoteText"/>
      </w:pPr>
      <w:r>
        <w:rPr>
          <w:rStyle w:val="FootnoteReference"/>
        </w:rPr>
        <w:footnoteRef/>
      </w:r>
      <w:r>
        <w:t xml:space="preserve"> </w:t>
      </w:r>
      <w:r>
        <w:t xml:space="preserve">Burden di salute mentale in Lombardia: la popolazione con disagio psichico comune o sottosoglia è stimabile nell’ordine di 2.000.000 di persone (dell’ordine del 20-30% della popolazione adulta); l’utenza in carico ai Dipartimenti di Salute Mentale è stimabile nell’ordine di 150.000 persone. Le grandezze sono ricostruite per quota di popolazione e da verificare sui dati regionali certificati.</w:t>
      </w:r>
    </w:p>
  </w:footnote>
  <w:footnote w:id="1730">
    <w:p>
      <w:pPr>
        <w:pStyle w:val="FootnoteText"/>
      </w:pPr>
      <w:r>
        <w:rPr>
          <w:rStyle w:val="FootnoteReference"/>
        </w:rPr>
        <w:footnoteRef/>
      </w:r>
    </w:p>
  </w:footnote>
  <w:footnote w:id="1731">
    <w:p>
      <w:pPr>
        <w:pStyle w:val="FootnoteText"/>
      </w:pPr>
      <w:r>
        <w:rPr>
          <w:rStyle w:val="FootnoteReference"/>
        </w:rPr>
        <w:footnoteRef/>
      </w:r>
      <w:r>
        <w:t xml:space="preserve"> </w:t>
      </w:r>
      <w:r>
        <w:t xml:space="preserve">Burden di salute mentale in Lombardia: la popolazione con disagio psichico comune o sottosoglia è stimabile nell’ordine di 2.000.000 di persone (dell’ordine del 20-30% della popolazione adulta); l’utenza in carico ai Dipartimenti di Salute Mentale è stimabile nell’ordine di 150.000 persone. Le grandezze sono ricostruite per quota di popolazione e da verificare sui dati regionali certificati.Definizione dell’intervento: l’inserimento stabile dello psicologo nelle cure primarie, accanto al medico di medicina generale e al pediatra di libera scelta, come primo livello di ascolto, intercettazione precoce e filtro; l’accesso avviene su invio del medico ovvero in forma diretta, secondo percorsi definiti, e i quadri gravi o acuti sono riservati ai servizi specialistici. In Lombardia la funzione è collocata negli studi di medicina generale e nelle Case della Comunità previste dalla riforma del 2021.</w:t>
      </w:r>
    </w:p>
  </w:footnote>
  <w:footnote w:id="1732">
    <w:p>
      <w:pPr>
        <w:pStyle w:val="FootnoteText"/>
      </w:pPr>
      <w:r>
        <w:rPr>
          <w:rStyle w:val="FootnoteReference"/>
        </w:rPr>
        <w:footnoteRef/>
      </w:r>
    </w:p>
  </w:footnote>
  <w:footnote w:id="1733">
    <w:p>
      <w:pPr>
        <w:pStyle w:val="FootnoteText"/>
      </w:pPr>
      <w:r>
        <w:rPr>
          <w:rStyle w:val="FootnoteReference"/>
        </w:rPr>
        <w:footnoteRef/>
      </w:r>
      <w:r>
        <w:t xml:space="preserve"> </w:t>
      </w:r>
      <w:r>
        <w:t xml:space="preserve">Burden di salute mentale in Lombardia: la popolazione con disagio psichico comune o sottosoglia è stimabile nell’ordine di 2.000.000 di persone (dell’ordine del 20-30% della popolazione adulta); l’utenza in carico ai Dipartimenti di Salute Mentale è stimabile nell’ordine di 150.000 persone. Le grandezze sono ricostruite per quota di popolazione e da verificare sui dati regionali certificati.Definizione dell’intervento: l’inserimento stabile dello psicologo nelle cure primarie, accanto al medico di medicina generale e al pediatra di libera scelta, come primo livello di ascolto, intercettazione precoce e filtro; l’accesso avviene su invio del medico ovvero in forma diretta, secondo percorsi definiti, e i quadri gravi o acuti sono riservati ai servizi specialistici. In Lombardia la funzione è collocata negli studi di medicina generale e nelle Case della Comunità previste dalla riforma del 2021. Questa parte copre il quinto dominio del modello HTA, i costi e la valutazione economica; è redatta secondo lo standard di reporting CHEERS 2022, fornisce il contenuto del caso economico e del caso finanziario del Five Case Model e risponde al criterio di efficienza.</w:t>
      </w:r>
    </w:p>
  </w:footnote>
  <w:footnote w:id="1734">
    <w:p>
      <w:pPr>
        <w:pStyle w:val="FootnoteText"/>
      </w:pPr>
      <w:r>
        <w:rPr>
          <w:rStyle w:val="FootnoteReference"/>
        </w:rPr>
        <w:footnoteRef/>
      </w:r>
      <w:r>
        <w:t xml:space="preserve"> </w:t>
      </w:r>
      <w:r>
        <w:t xml:space="preserve">Modello di costo: il costo medio annuo di un incarico convenzionale a tempo pieno è dell’ordine di 55.000 euro (circa 40 euro l’ora di costo-azienda comprensivo degli oneri, per circa 1.250 ore l’anno, più circa 5.000 euro di costi generali), ancorato all’accordo della specialistica ambulatoriale.</w:t>
      </w:r>
    </w:p>
  </w:footnote>
  <w:footnote w:id="1735">
    <w:p>
      <w:pPr>
        <w:pStyle w:val="FootnoteText"/>
      </w:pPr>
      <w:r>
        <w:rPr>
          <w:rStyle w:val="FootnoteReference"/>
        </w:rPr>
        <w:footnoteRef/>
      </w:r>
      <w:r>
        <w:t xml:space="preserve"> </w:t>
      </w:r>
      <w:r>
        <w:t xml:space="preserve">Categorie di costo: oltre all’organico psicologico, l’investimento comprende la formazione, la supervisione clinica, la governance, i sistemi informativi e le infrastrutture; tali costi non sanitari sono inclusi coerentemente con la doppia prospettiva adottata.</w:t>
      </w:r>
    </w:p>
  </w:footnote>
  <w:footnote w:id="1736">
    <w:p>
      <w:pPr>
        <w:pStyle w:val="FootnoteText"/>
      </w:pPr>
      <w:r>
        <w:rPr>
          <w:rStyle w:val="FootnoteReference"/>
        </w:rPr>
        <w:footnoteRef/>
      </w:r>
      <w:r>
        <w:t xml:space="preserve"> </w:t>
      </w:r>
      <w:r>
        <w:t xml:space="preserve">Misure di esito: gli anni di vita ponderati per la qualità e gli esiti clinici validati — il tasso di recupero e il miglioramento affidabile misurati con PHQ-9 e GAD-7 — applicati alla popolazione regionale con disagio comune, dell’ordine di due milioni di persone, la più ampia del Paese.</w:t>
      </w:r>
    </w:p>
  </w:footnote>
  <w:footnote w:id="1737">
    <w:p>
      <w:pPr>
        <w:pStyle w:val="FootnoteText"/>
      </w:pPr>
      <w:r>
        <w:rPr>
          <w:rStyle w:val="FootnoteReference"/>
        </w:rPr>
        <w:footnoteRef/>
      </w:r>
      <w:r>
        <w:t xml:space="preserve"> </w:t>
      </w:r>
      <w:r>
        <w:t xml:space="preserve">Analisi costo-utilità: secondo il manuale del NICE, il rapporto incrementale di costo-efficacia rapporta il costo aggiuntivo al guadagno in anni di vita ponderati per la qualità e lo confronta con una soglia di disponibilità a pagare (riferimento 30.000 euro per QALY).</w:t>
      </w:r>
    </w:p>
  </w:footnote>
  <w:footnote w:id="1738">
    <w:p>
      <w:pPr>
        <w:pStyle w:val="FootnoteText"/>
      </w:pPr>
      <w:r>
        <w:rPr>
          <w:rStyle w:val="FootnoteReference"/>
        </w:rPr>
        <w:footnoteRef/>
      </w:r>
      <w:r>
        <w:t xml:space="preserve"> </w:t>
      </w:r>
      <w:r>
        <w:t xml:space="preserve">Analisi di impatto sul bilancio (buone pratiche ISPOR): adotta la prospettiva del detentore del budget, il Servizio sanitario regionale, e stima la differenza tra lo scenario con e senza il servizio, anno per anno, su flussi non scontati, individuando il punto di pareggio finanziario.</w:t>
      </w:r>
    </w:p>
  </w:footnote>
  <w:footnote w:id="1739">
    <w:p>
      <w:pPr>
        <w:pStyle w:val="FootnoteText"/>
      </w:pPr>
      <w:r>
        <w:rPr>
          <w:rStyle w:val="FootnoteReference"/>
        </w:rPr>
        <w:footnoteRef/>
      </w:r>
      <w:r>
        <w:t xml:space="preserve"> </w:t>
      </w:r>
      <w:r>
        <w:t xml:space="preserve">Canale del pronto soccorso: a fronte di accessi dell’ordine di tre milioni l’anno, una quota di origine psichica è riducibile mediante la presa in carico territoriale, per un risparmio diretto dell’ordine di 6-14 milioni di euro secondo lo scenario; la quota inappropriata lombarda è inferiore a quella delle regioni a rete territoriale più debole.</w:t>
      </w:r>
    </w:p>
  </w:footnote>
  <w:footnote w:id="1740">
    <w:p>
      <w:pPr>
        <w:pStyle w:val="FootnoteText"/>
      </w:pPr>
      <w:r>
        <w:rPr>
          <w:rStyle w:val="FootnoteReference"/>
        </w:rPr>
        <w:footnoteRef/>
      </w:r>
    </w:p>
  </w:footnote>
  <w:footnote w:id="1741">
    <w:p>
      <w:pPr>
        <w:pStyle w:val="FootnoteText"/>
      </w:pPr>
      <w:r>
        <w:rPr>
          <w:rStyle w:val="FootnoteReference"/>
        </w:rPr>
        <w:footnoteRef/>
      </w:r>
      <w:r>
        <w:t xml:space="preserve"> </w:t>
      </w:r>
      <w:r>
        <w:t xml:space="preserve">Canale del pronto soccorso: a fronte di accessi dell’ordine di tre milioni l’anno, una quota di origine psichica è riducibile mediante la presa in carico territoriale, per un risparmio diretto dell’ordine di 6-14 milioni di euro secondo lo scenario; la quota inappropriata lombarda è inferiore a quella delle regioni a rete territoriale più debole.Questa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1742">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1743">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circa quaranta richiedono la rilevazione diretta del servizio.</w:t>
      </w:r>
    </w:p>
  </w:footnote>
  <w:footnote w:id="1744">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1745">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Agenzie di Tutela della Salute sono tra le misure di equità.</w:t>
      </w:r>
    </w:p>
  </w:footnote>
  <w:footnote w:id="1746">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w:t>
      </w:r>
    </w:p>
  </w:footnote>
  <w:footnote w:id="1747">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748">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1749">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vanno registrati subito; la rilevazione di servizio parte con il primo assistito. Ogni mese di ritardo nell’avvio è un mese di dati di base perduti.</w:t>
      </w:r>
    </w:p>
  </w:footnote>
  <w:footnote w:id="1750">
    <w:p>
      <w:pPr>
        <w:pStyle w:val="FootnoteText"/>
      </w:pPr>
      <w:r>
        <w:rPr>
          <w:rStyle w:val="FootnoteReference"/>
        </w:rPr>
        <w:footnoteRef/>
      </w:r>
      <w:r>
        <w:t xml:space="preserve"> </w:t>
      </w:r>
      <w:r>
        <w:t xml:space="preserve">Calendario della rilevazione: prima dell’avvio, costituzione della baseline con i dati disponibili e predisposizione del registro e dei questionari; all’avvio, inizio della registrazione; in continuo, trasmissione di indicatori aggregati al comitato di indirizzo regionale con cadenza mensile; periodicamente, calcolo delle misure di sintesi e aggiornamento del cruscotto regionale.</w:t>
      </w:r>
    </w:p>
  </w:footnote>
  <w:footnote w:id="1751">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lo strumento che la rende possibile è il disegno scaglionato del dispiegamento, idoneo esperimento naturale.</w:t>
      </w:r>
    </w:p>
  </w:footnote>
  <w:footnote w:id="1752">
    <w:p>
      <w:pPr>
        <w:pStyle w:val="FootnoteText"/>
      </w:pPr>
      <w:r>
        <w:rPr>
          <w:rStyle w:val="FootnoteReference"/>
        </w:rPr>
        <w:footnoteRef/>
      </w:r>
      <w:r>
        <w:t xml:space="preserve"> </w:t>
      </w:r>
      <w:r>
        <w:t xml:space="preserve">Differenza-nelle-differenze: confronta la variazione nel tempo dell’esito tra le Agenzie di Tutela della Salute già attivate e quelle non ancora attivate, sotto l’ipotesi di andamento parallelo; vi si affianca il controllo sintetico, che costruisce un’unità di confronto artificiale come combinazione ponderata di unità non trattate.</w:t>
      </w:r>
    </w:p>
  </w:footnote>
  <w:footnote w:id="1753">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1754">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Agenzie che hanno attivato il servizio con quello delle Agenzie che lo attiveranno, si isola l’effetto proprio della riforma e si trasforma la stima dei risparmi da proiezione attesa a misura empiricamente fondata sui dati lombardi.</w:t>
      </w:r>
    </w:p>
  </w:footnote>
  <w:footnote w:id="1755">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1756">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è il passaggio che lega la misurazione tecnica alla responsabilità politica e alla trasparenza verso il legislatore regionale.</w:t>
      </w:r>
    </w:p>
  </w:footnote>
  <w:footnote w:id="1757">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1758">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1759">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1760">
    <w:p>
      <w:pPr>
        <w:pStyle w:val="FootnoteText"/>
      </w:pPr>
      <w:r>
        <w:rPr>
          <w:rStyle w:val="FootnoteReference"/>
        </w:rPr>
        <w:footnoteRef/>
      </w:r>
      <w:r>
        <w:t xml:space="preserve"> </w:t>
      </w:r>
      <w:r>
        <w:t xml:space="preserve">Canale dei ricoveri e della specialistica: i sintomi somatici funzionali rappresentano circa il 20% delle consultazioni e si associano a un consumo di prestazioni molto superiore alla media, con riduzioni dei costi superiori al 30% dopo intervento psicologico breve; per la Lombardia il risparmio diretto è dell’ordine di 22-58 milioni di euro, il canale più consistente.</w:t>
      </w:r>
    </w:p>
  </w:footnote>
  <w:footnote w:id="1761">
    <w:p>
      <w:pPr>
        <w:pStyle w:val="FootnoteText"/>
      </w:pPr>
      <w:r>
        <w:rPr>
          <w:rStyle w:val="FootnoteReference"/>
        </w:rPr>
        <w:footnoteRef/>
      </w:r>
      <w:r>
        <w:t xml:space="preserve"> </w:t>
      </w:r>
      <w:r>
        <w:t xml:space="preserve">Canale della mobilità: a differenza della Puglia, la Lombardia presenta un saldo di mobilità attivo, dell’ordine di 580 milioni di euro, ed è il primo polo attrattivo del Paese; il canale del recupero della mobilità passiva non si applica, e il relativo risparmio diretto è pertanto nullo. È la principale ragione per cui il saldo diretto lombardo è più sfavorevole di quello pugliese.</w:t>
      </w:r>
    </w:p>
  </w:footnote>
  <w:footnote w:id="1762">
    <w:p>
      <w:pPr>
        <w:pStyle w:val="FootnoteText"/>
      </w:pPr>
      <w:r>
        <w:rPr>
          <w:rStyle w:val="FootnoteReference"/>
        </w:rPr>
        <w:footnoteRef/>
      </w:r>
      <w:r>
        <w:t xml:space="preserve"> </w:t>
      </w:r>
      <w:r>
        <w:t xml:space="preserve">Saldo diretto: aggregati i canali, i risparmi diretti per il Servizio sanitario regionale sono dell’ordine di 35, 60 e 90 milioni di euro secondo lo scenario, a fronte di un costo del servizio di 60, 95 e 120 milioni; il saldo diretto è dunque negativo, dell’ordine di −25, −35 e −30 milioni di euro.</w:t>
      </w:r>
    </w:p>
  </w:footnote>
  <w:footnote w:id="1763">
    <w:p>
      <w:pPr>
        <w:pStyle w:val="FootnoteText"/>
      </w:pPr>
      <w:r>
        <w:rPr>
          <w:rStyle w:val="FootnoteReference"/>
        </w:rPr>
        <w:footnoteRef/>
      </w:r>
      <w:r>
        <w:t xml:space="preserve"> </w:t>
      </w:r>
      <w:r>
        <w:t xml:space="preserve">Contesto di bilancio: il finanziamento del Servizio sanitario regionale lombardo è dell’ordine di 21 miliardi di euro, il più alto d’Italia, con conti in sostanziale equilibrio e senza piano di rientro; il costo del servizio, anche a massima copertura, ne costituisce una frazione dell’ordine di mezzo punto percentuale. La questione non è dunque la sostenibilità della spesa, ma il suo dimensionamento.</w:t>
      </w:r>
    </w:p>
  </w:footnote>
  <w:footnote w:id="1764">
    <w:p>
      <w:pPr>
        <w:pStyle w:val="FootnoteText"/>
      </w:pPr>
      <w:r>
        <w:rPr>
          <w:rStyle w:val="FootnoteReference"/>
        </w:rPr>
        <w:footnoteRef/>
      </w:r>
      <w:r>
        <w:t xml:space="preserve"> </w:t>
      </w:r>
      <w:r>
        <w:t xml:space="preserve">Ritorno sociale (metodo SROI): fondato sui sette principi del valore sociale e su una mappa dell’impatto, con proxy finanziari e con le correzioni per peso morto, attribuzione, spostamento e decadimento, a misura del valore sociale generato distintamente dai risparmi di bilancio.</w:t>
      </w:r>
    </w:p>
  </w:footnote>
  <w:footnote w:id="1765">
    <w:p>
      <w:pPr>
        <w:pStyle w:val="FootnoteText"/>
      </w:pPr>
      <w:r>
        <w:rPr>
          <w:rStyle w:val="FootnoteReference"/>
        </w:rPr>
        <w:footnoteRef/>
      </w:r>
      <w:r>
        <w:t xml:space="preserve"> </w:t>
      </w:r>
      <w:r>
        <w:t xml:space="preserve">Ricadute economico-sociali: la riduzione dell’assenteismo, il recupero di produttività e di funzionamento, la diminuzione delle nuove invalidità e dei pensionamenti anticipati e il minor carico familiare, riferiti ai due milioni di persone con disagio comune, sono stimati in 190, 360 e 560 milioni di euro l’anno secondo lo scenario; la dimensione assoluta è la maggiore del Paese, in ragione di una popolazione in età lavorativa e di una produttività senza pari.</w:t>
      </w:r>
    </w:p>
  </w:footnote>
  <w:footnote w:id="1766">
    <w:p>
      <w:pPr>
        <w:pStyle w:val="FootnoteText"/>
      </w:pPr>
      <w:r>
        <w:rPr>
          <w:rStyle w:val="FootnoteReference"/>
        </w:rPr>
        <w:footnoteRef/>
      </w:r>
      <w:r>
        <w:t xml:space="preserve"> </w:t>
      </w:r>
      <w:r>
        <w:t xml:space="preserve">Quadro complessivo per scenario: sommando i risparmi diretti e le ricadute sociali, il ritorno complessivo è di 225, 420 e 650 milioni di euro l’anno; al netto del costo, il saldo complessivo è di +165, +325 e +530 milioni, con un rapporto beneficio-costo dell’ordine di 3,8-5,4 a uno, coerente con quello pugliese e con la letteratura internazionale.</w:t>
      </w:r>
    </w:p>
  </w:footnote>
  <w:footnote w:id="1767">
    <w:p>
      <w:pPr>
        <w:pStyle w:val="FootnoteText"/>
      </w:pPr>
      <w:r>
        <w:rPr>
          <w:rStyle w:val="FootnoteReference"/>
        </w:rPr>
        <w:footnoteRef/>
      </w:r>
      <w:r>
        <w:t xml:space="preserve"> </w:t>
      </w:r>
      <w:r>
        <w:t xml:space="preserve">Distinzione tra caso economico e caso finanziario (Five Case Model): il caso economico misura il valore per la collettività, qui ampio (rapporto beneficio-costo di 3,8-5,4 a uno); il caso finanziario misura la spesa per il bilancio sanitario, qui un saldo diretto negativo ma di entità modesta rispetto a un finanziamento di 21 miliardi. La proposta è forte sul caso economico, sostenibile sul caso finanziario.</w:t>
      </w:r>
    </w:p>
  </w:footnote>
  <w:footnote w:id="1768">
    <w:p>
      <w:pPr>
        <w:pStyle w:val="FootnoteText"/>
      </w:pPr>
      <w:r>
        <w:rPr>
          <w:rStyle w:val="FootnoteReference"/>
        </w:rPr>
        <w:footnoteRef/>
      </w:r>
      <w:r>
        <w:t xml:space="preserve"> </w:t>
      </w:r>
      <w:r>
        <w:t xml:space="preserve">Robustezza: il segno del saldo complessivo è positivo in tutti gli scenari, comprese le ipotesi conservative; le analisi di sensibilità deterministica e probabilistica e il valore dell’informazione sono sviluppati nella Parte F.</w:t>
      </w:r>
    </w:p>
  </w:footnote>
  <w:footnote w:id="1769">
    <w:p>
      <w:pPr>
        <w:pStyle w:val="FootnoteText"/>
      </w:pPr>
      <w:r>
        <w:rPr>
          <w:rStyle w:val="FootnoteReference"/>
        </w:rPr>
        <w:footnoteRef/>
      </w:r>
      <w:r>
        <w:t xml:space="preserve"> </w:t>
      </w:r>
      <w:r>
        <w:t xml:space="preserve">Natura dei dati: i parametri dei canali sono in parte ancora ricostruiti per quota di popolazione (17,0%) e saranno sostituiti dai valori certificati che le Agenzie di Tutela della Salute e le Aziende Socio-Sanitarie Territoriali sono chiamate a fornire; le cifre sono ipotesi che lo studio è chiamato a verificare.</w:t>
      </w:r>
    </w:p>
  </w:footnote>
  <w:footnote w:id="1770">
    <w:p>
      <w:pPr>
        <w:pStyle w:val="FootnoteText"/>
      </w:pPr>
      <w:r>
        <w:rPr>
          <w:rStyle w:val="FootnoteReference"/>
        </w:rPr>
        <w:footnoteRef/>
      </w:r>
      <w:r>
        <w:t xml:space="preserve"> </w:t>
      </w:r>
      <w:r>
        <w:t xml:space="preserve">Collaborative Care Model (sviluppato presso l’Università di Washington, validato da oltre novanta studi randomizzati controllati): équipe integrata di medico di base, responsabile dell’assistenza con formazione in salute mentale e psichiatra consulente per i casi complessi, con screening sistematico, interventi strutturati e monitoraggio degli esiti.</w:t>
      </w:r>
    </w:p>
  </w:footnote>
  <w:footnote w:id="1771">
    <w:p>
      <w:pPr>
        <w:pStyle w:val="FootnoteText"/>
      </w:pPr>
      <w:r>
        <w:rPr>
          <w:rStyle w:val="FootnoteReference"/>
        </w:rPr>
        <w:footnoteRef/>
      </w:r>
      <w:r>
        <w:t xml:space="preserve"> </w:t>
      </w:r>
      <w:r>
        <w:t xml:space="preserve">Programma inglese di terapie psicologiche (Improving Access to Psychological Therapies, dal 2008, oggi NHS Talking Therapies): modello di cura a intensità crescente che ha reso operativo su larga scala l’intervento psicologico nelle cure primarie, con misurazione dell’esito a ogni seduta e soglie di recupero come riferimento di efficacia.</w:t>
      </w:r>
    </w:p>
  </w:footnote>
  <w:footnote w:id="1772">
    <w:p>
      <w:pPr>
        <w:pStyle w:val="FootnoteText"/>
      </w:pPr>
      <w:r>
        <w:rPr>
          <w:rStyle w:val="FootnoteReference"/>
        </w:rPr>
        <w:footnoteRef/>
      </w:r>
      <w:r>
        <w:t xml:space="preserve"> </w:t>
      </w:r>
      <w:r>
        <w:t xml:space="preserve">Modello olandese che integra gli psicologi nelle cure primarie (POH-GGZ): prevede tipicamente cinque-otto sedute di intervento psicologico breve fondato sull’evidenza, con invio ai servizi specialistici solo per i quadri più complessi, dell’ordine del quindici per cento.</w:t>
      </w:r>
    </w:p>
  </w:footnote>
  <w:footnote w:id="1773">
    <w:p>
      <w:pPr>
        <w:pStyle w:val="FootnoteText"/>
      </w:pPr>
      <w:r>
        <w:rPr>
          <w:rStyle w:val="FootnoteReference"/>
        </w:rPr>
        <w:footnoteRef/>
      </w:r>
      <w:r>
        <w:t xml:space="preserve"> </w:t>
      </w:r>
      <w:r>
        <w:t xml:space="preserve">Quadro strategico dell’Organizzazione mondiale della sanità per l’Europa (aprile 2025): indica l’integrazione di professionisti dedicati nei team di cure primarie tra le strategie cardine per il potenziamento della salute mentale; il modello lombardo ne costituisce un’applicazione su scala regionale.</w:t>
      </w:r>
    </w:p>
  </w:footnote>
  <w:footnote w:id="1774">
    <w:p>
      <w:pPr>
        <w:pStyle w:val="FootnoteText"/>
      </w:pPr>
      <w:r>
        <w:rPr>
          <w:rStyle w:val="FootnoteReference"/>
        </w:rPr>
        <w:footnoteRef/>
      </w:r>
      <w:r>
        <w:t xml:space="preserve"> </w:t>
      </w:r>
      <w:r>
        <w:t xml:space="preserve">Strumenti di esito standardizzati: il PHQ-9 per i sintomi depressivi (sensibilità 88%, specificità 85%) e il GAD-7 per i sintomi d’ansia (sensibilità 89%, specificità 82%), somministrati all’ingresso e lungo il percorso nei soli punteggi complessivi, a misura oggettiva del miglioramento clinico e del tasso di recupero.</w:t>
      </w:r>
    </w:p>
  </w:footnote>
  <w:footnote w:id="1775">
    <w:p>
      <w:pPr>
        <w:pStyle w:val="FootnoteText"/>
      </w:pPr>
      <w:r>
        <w:rPr>
          <w:rStyle w:val="FootnoteReference"/>
        </w:rPr>
        <w:footnoteRef/>
      </w:r>
      <w:r>
        <w:t xml:space="preserve"> </w:t>
      </w:r>
      <w:r>
        <w:t xml:space="preserve">Sicurezza del percorso e tutela della persona: sono esclusi dal primo livello i quadri gravi o acuti, ai quali è garantito l’invio appropriato ai servizi specialistici e, ove necessario, ai percorsi dell’emergenza, in raccordo con il medico curante; le situazioni di rischio per sé o per altri sono indirizzate con priorità, senza che lo studio o la cartella registrino il dettaglio delle modalità, a garanzia di sicurezza clinica e di dignità della persona.</w:t>
      </w:r>
    </w:p>
  </w:footnote>
  <w:footnote w:id="1776">
    <w:p>
      <w:pPr>
        <w:pStyle w:val="FootnoteText"/>
      </w:pPr>
      <w:r>
        <w:rPr>
          <w:rStyle w:val="FootnoteReference"/>
        </w:rPr>
        <w:footnoteRef/>
      </w:r>
      <w:r>
        <w:t xml:space="preserve"> </w:t>
      </w:r>
      <w:r>
        <w:t xml:space="preserve">Articolazione degli esiti: esito primario, costituito dalla quota di miglioramento clinico e dal tasso di recupero; esiti clinici secondari (remissione, riduzione dei punteggi, soddisfazione e qualità di vita); esiti di processo (prese in carico, attesa al primo colloquio, colloqui per persona, tasso di invio appropriato); esiti di impatto e utilizzo (accessi al pronto soccorso connessi, psicofarmaci, consulti e ricoveri evitabili).</w:t>
      </w:r>
    </w:p>
  </w:footnote>
  <w:footnote w:id="1777">
    <w:p>
      <w:pPr>
        <w:pStyle w:val="FootnoteText"/>
      </w:pPr>
      <w:r>
        <w:rPr>
          <w:rStyle w:val="FootnoteReference"/>
        </w:rPr>
        <w:footnoteRef/>
      </w:r>
    </w:p>
  </w:footnote>
  <w:footnote w:id="1778">
    <w:p>
      <w:pPr>
        <w:pStyle w:val="FootnoteText"/>
      </w:pPr>
      <w:r>
        <w:rPr>
          <w:rStyle w:val="FootnoteReference"/>
        </w:rPr>
        <w:footnoteRef/>
      </w:r>
      <w:r>
        <w:t xml:space="preserve"> </w:t>
      </w:r>
      <w:r>
        <w:t xml:space="preserve">Articolazione degli esiti: esito primario, costituito dalla quota di miglioramento clinico e dal tasso di recupero; esiti clinici secondari (remissione, riduzione dei punteggi, soddisfazione e qualità di vita); esiti di processo (prese in carico, attesa al primo colloquio, colloqui per persona, tasso di invio appropriato); esiti di impatto e utilizzo (accessi al pronto soccorso connessi, psicofarmaci, consulti e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1779">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1780">
    <w:p>
      <w:pPr>
        <w:pStyle w:val="FootnoteText"/>
      </w:pPr>
      <w:r>
        <w:rPr>
          <w:rStyle w:val="FootnoteReference"/>
        </w:rPr>
        <w:footnoteRef/>
      </w:r>
      <w:r>
        <w:t xml:space="preserve"> </w:t>
      </w:r>
      <w:r>
        <w:t xml:space="preserve">Rilevanza: l’intervento risponde a un bisogno reale e di grande dimensione — dell’ordine di due milioni di persone con disagio comune in larga parte inevaso, il più ampio bacino del Paese — e all’obbligo di garantire i livelli essenziali.</w:t>
      </w:r>
    </w:p>
  </w:footnote>
  <w:footnote w:id="1781">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legge regionale n. 22 del 2021, ed è costituzionalmente difendibile; la Lombardia, non sottoposta a piano di rientro, non incontra il vincolo di bilancio che grava sulle regioni in disavanzo.</w:t>
      </w:r>
    </w:p>
  </w:footnote>
  <w:footnote w:id="1782">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w:t>
      </w:r>
    </w:p>
  </w:footnote>
  <w:footnote w:id="1783">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la Lombardia, di un saldo diretto negativo sul solo bilancio sanitario, di entità modesta rispetto a un finanziamento di 21 miliardi; l’efficienza allocativa è dunque elevata, la convenienza per il solo bilancio negativa.</w:t>
      </w:r>
    </w:p>
  </w:footnote>
  <w:footnote w:id="1784">
    <w:p>
      <w:pPr>
        <w:pStyle w:val="FootnoteText"/>
      </w:pPr>
      <w:r>
        <w:rPr>
          <w:rStyle w:val="FootnoteReference"/>
        </w:rPr>
        <w:footnoteRef/>
      </w:r>
      <w:r>
        <w:t xml:space="preserve"> </w:t>
      </w:r>
      <w:r>
        <w:t xml:space="preserve">Impatto: l’impatto distributivo è favorevole, poiché i benefici si concentrano dove l’accesso è più difficile — le aree alpine e le popolazioni gravate dalle liste di attesa — riducendo il gradiente territoriale; il ritorno complessivo è dell’ordine di 3,8-5,4 a uno.</w:t>
      </w:r>
    </w:p>
  </w:footnote>
  <w:footnote w:id="1785">
    <w:p>
      <w:pPr>
        <w:pStyle w:val="FootnoteText"/>
      </w:pPr>
      <w:r>
        <w:rPr>
          <w:rStyle w:val="FootnoteReference"/>
        </w:rPr>
        <w:footnoteRef/>
      </w:r>
      <w:r>
        <w:t xml:space="preserve"> </w:t>
      </w:r>
      <w:r>
        <w:t xml:space="preserve">Sostenibilità: l’intervento è finanziariamente sostenibile — a fronte di un costo modesto, di una pluralità di coperture e di un bilancio regionale in equilibrio — e organizzativamente, in quanto istituzionalizzato nella rete territoriale prevista dalla riforma del 2021.</w:t>
      </w:r>
    </w:p>
  </w:footnote>
  <w:footnote w:id="1786">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1787">
    <w:p>
      <w:pPr>
        <w:pStyle w:val="FootnoteText"/>
      </w:pPr>
      <w:r>
        <w:rPr>
          <w:rStyle w:val="FootnoteReference"/>
        </w:rPr>
        <w:footnoteRef/>
      </w:r>
      <w:r>
        <w:t xml:space="preserve"> </w:t>
      </w:r>
      <w:r>
        <w:t xml:space="preserve">Risultato dell’analisi multi-criterio: su otto criteri pesati, l’opzione di intervento ottiene un punteggio complessivo dell’ordine di 80,7 su 100 contro 39,25 dell’opzione zero, e prevale su tutti i criteri tranne la fattibilità immediata; il risultato è stabile rispetto ai pesi adottati.</w:t>
      </w:r>
    </w:p>
  </w:footnote>
  <w:footnote w:id="1788">
    <w:p>
      <w:pPr>
        <w:pStyle w:val="FootnoteText"/>
      </w:pPr>
      <w:r>
        <w:rPr>
          <w:rStyle w:val="FootnoteReference"/>
        </w:rPr>
        <w:footnoteRef/>
      </w:r>
      <w:r>
        <w:t xml:space="preserve"> </w:t>
      </w:r>
      <w:r>
        <w:t xml:space="preserve">Le tre affermazioni del cruscotto decisionale per la Lombardia: il servizio costa al bilancio sanitario una cifra modesta e comporta un saldo diretto lievemente negativo, trascurabile rispetto a un finanziamento di 21 miliardi; il ritorno per la collettività è ampio (rapporto beneficio-costo di 3,8-5,4 a uno); il valore poggia quasi interamente sulle ricadute sociali.</w:t>
      </w:r>
    </w:p>
  </w:footnote>
  <w:footnote w:id="1789">
    <w:p>
      <w:pPr>
        <w:pStyle w:val="FootnoteText"/>
      </w:pPr>
      <w:r>
        <w:rPr>
          <w:rStyle w:val="FootnoteReference"/>
        </w:rPr>
        <w:footnoteRef/>
      </w:r>
      <w:r>
        <w:t xml:space="preserve"> </w:t>
      </w:r>
      <w:r>
        <w:t xml:space="preserve">Raccomandazione centrale: la decisione rilevante non è se prevedere il servizio — già previsto dalla legge regionale n. 22 del 2021 — ma se strutturarlo e dimensionarlo, portandolo dalla previsione alla copertura del fabbisogno, dell’ordine di 2.190 incarichi.</w:t>
      </w:r>
    </w:p>
  </w:footnote>
  <w:footnote w:id="1790">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1791">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lombarda (17,0%), e non estratte dai conti regionali certificati; tale sostituzione è la condizione per la presentazione agli organi di controllo.</w:t>
      </w:r>
    </w:p>
  </w:footnote>
  <w:footnote w:id="1792">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1793">
    <w:p>
      <w:pPr>
        <w:pStyle w:val="FootnoteText"/>
      </w:pPr>
      <w:r>
        <w:rPr>
          <w:rStyle w:val="FootnoteReference"/>
        </w:rPr>
        <w:footnoteRef/>
      </w:r>
      <w:r>
        <w:t xml:space="preserve"> </w:t>
      </w:r>
      <w:r>
        <w:t xml:space="preserve">Agenda di ricerca: l’investimento conoscitivo prioritario è l’acquisizione dei dati regionali certificati presso le Agenzie di Tutela della Salute e le Aziende Socio-Sanitarie Territoriali, seguito dall’avvio della rilevazione di servizio e dalla valutazione controfattuale sul dispiegamento scaglionato.</w:t>
      </w:r>
    </w:p>
  </w:footnote>
  <w:footnote w:id="1794">
    <w:p>
      <w:pPr>
        <w:pStyle w:val="FootnoteText"/>
      </w:pPr>
      <w:r>
        <w:rPr>
          <w:rStyle w:val="FootnoteReference"/>
        </w:rPr>
        <w:footnoteRef/>
      </w:r>
      <w:r>
        <w:t xml:space="preserve"> </w:t>
      </w:r>
      <w:r>
        <w:t xml:space="preserve">Protezione dei dati nei sistemi informativi: la progettazione rispetta la disciplina europea e nazionale su protezione dei dati, dispositivi medici e intelligenza artificiale, con sicurezza, trasparenza e minimizzazione; al sistema di monitoraggio sono trasmessi esclusivamente dati aggregati e anonimi, dai quali non è possibile risalire alla persona.</w:t>
      </w:r>
    </w:p>
  </w:footnote>
  <w:footnote w:id="1795">
    <w:p>
      <w:pPr>
        <w:pStyle w:val="FootnoteText"/>
      </w:pPr>
      <w:r>
        <w:rPr>
          <w:rStyle w:val="FootnoteReference"/>
        </w:rPr>
        <w:footnoteRef/>
      </w:r>
      <w:r>
        <w:t xml:space="preserve"> </w:t>
      </w:r>
      <w:r>
        <w:t xml:space="preserve">Intelligenza artificiale e dispositivi digitali: strumenti digitali e sistemi di IA a supporto di diagnostica, prevenzione, trattamento e continuità assistenziale, e dispositivi terapeutici digitali validati, impiegati quali ausili e non in sostituzione del professionista, con sorveglianza umana costante. In Lombardia tale impiego si allinea alla previsione regionale di strumenti di intelligenza artificiale nelle Centrali Operative Territoriali introdotte dalla riforma del 2021.</w:t>
      </w:r>
    </w:p>
  </w:footnote>
  <w:footnote w:id="1796">
    <w:p>
      <w:pPr>
        <w:pStyle w:val="FootnoteText"/>
      </w:pPr>
      <w:r>
        <w:rPr>
          <w:rStyle w:val="FootnoteReference"/>
        </w:rPr>
        <w:footnoteRef/>
      </w:r>
      <w:r>
        <w:t xml:space="preserve"> </w:t>
      </w:r>
      <w:r>
        <w:t xml:space="preserve">Funzioni degli strumenti digitali e di IA: triage psicologico assistito, screening automatico, strumenti predittivi del rischio, supporto decisionale clinico non vincolante, riduzione del carico amministrativo mediante automazione appropriata, analisi del linguaggio naturale con validazione, supervisione e spiegabilità.</w:t>
      </w:r>
    </w:p>
  </w:footnote>
  <w:footnote w:id="1797">
    <w:p>
      <w:pPr>
        <w:pStyle w:val="FootnoteText"/>
      </w:pPr>
      <w:r>
        <w:rPr>
          <w:rStyle w:val="FootnoteReference"/>
        </w:rPr>
        <w:footnoteRef/>
      </w:r>
      <w:r>
        <w:t xml:space="preserve"> </w:t>
      </w:r>
      <w:r>
        <w:t xml:space="preserve">Telepsicologia: modalità integrativa di erogazione, complementare e non sostitutiva rispetto all’intervento in presenza, finalizzata ad ampliare l’accesso; in Lombardia assume particolare rilievo per le aree alpine di Sondrio e delle valli prealpine, a popolazione anziana e dispersa, dove lo spostamento è difficoltoso.</w:t>
      </w:r>
    </w:p>
  </w:footnote>
  <w:footnote w:id="1798">
    <w:p>
      <w:pPr>
        <w:pStyle w:val="FootnoteText"/>
      </w:pPr>
      <w:r>
        <w:rPr>
          <w:rStyle w:val="FootnoteReference"/>
        </w:rPr>
        <w:footnoteRef/>
      </w:r>
      <w:r>
        <w:t xml:space="preserve"> </w:t>
      </w:r>
      <w:r>
        <w:t xml:space="preserve">Dispositivi terapeutici digitali (DTx): software-intervento validato da studi controllati e prescritto dal clinico, distinto dalle applicazioni di benessere, con modelli di rimborso già consolidati in altri Paesi europei; offrono per i disturbi comuni strumenti a efficacia documentata.</w:t>
      </w:r>
    </w:p>
  </w:footnote>
  <w:footnote w:id="1799">
    <w:p>
      <w:pPr>
        <w:pStyle w:val="FootnoteText"/>
      </w:pPr>
      <w:r>
        <w:rPr>
          <w:rStyle w:val="FootnoteReference"/>
        </w:rPr>
        <w:footnoteRef/>
      </w:r>
      <w:r>
        <w:t xml:space="preserve"> </w:t>
      </w:r>
      <w:r>
        <w:t xml:space="preserve">Cautele d’impiego degli strumenti digitali: l’evidenza, disomogenea e in evoluzione, impone selezione, validazione locale e gradualità; la protezione dei dati richiede sicurezza informatica e consenso chiaro; l’equità digitale impone di garantire sempre l’alternativa dell’intervento in presenza alle persone anziane, fragili o a bassa competenza digitale; la supervisione clinica resta la condizione ultima dell’impiego responsabile.</w:t>
      </w:r>
    </w:p>
  </w:footnote>
  <w:footnote w:id="1800">
    <w:p>
      <w:pPr>
        <w:pStyle w:val="FootnoteText"/>
      </w:pPr>
      <w:r>
        <w:rPr>
          <w:rStyle w:val="FootnoteReference"/>
        </w:rPr>
        <w:footnoteRef/>
      </w:r>
      <w:r>
        <w:t xml:space="preserve"> </w:t>
      </w:r>
      <w:r>
        <w:t xml:space="preserve">Programma formativo a quattro livelli: universitario, post-universitario specialistico, continuo in ambito lavorativo e di affiancamento operativo, con una componente trasversale dedicata all’intelligenza artificiale applicata alle cure primarie, realizzato con le università, l’Ordine degli Psicologi della Lombardia e gli Istituti di Ricovero e Cura a Carattere Scientifico, sotto l’indirizzo del livello regionale.</w:t>
      </w:r>
    </w:p>
  </w:footnote>
  <w:footnote w:id="1801">
    <w:p>
      <w:pPr>
        <w:pStyle w:val="FootnoteText"/>
      </w:pPr>
      <w:r>
        <w:rPr>
          <w:rStyle w:val="FootnoteReference"/>
        </w:rPr>
        <w:footnoteRef/>
      </w:r>
      <w:r>
        <w:t xml:space="preserve"> </w:t>
      </w:r>
      <w:r>
        <w:t xml:space="preserve">Dimensione del programma formativo in Lombardia: la popolazione professionale destinataria è la più numerosa del Paese, comprendendo l’ordine di 2.190 psicologi di base a regime e una popolazione di medici di medicina generale dell’ordine di 6.000-6.400 unità, per un totale dell’ordine di 8.000-8.700 professionisti; la formazione è scaglionata in corrispondenza delle fasi di attivazione del servizio per Agenzia di Tutela della Salute.</w:t>
      </w:r>
    </w:p>
  </w:footnote>
  <w:footnote w:id="1802">
    <w:p>
      <w:pPr>
        <w:pStyle w:val="FootnoteText"/>
      </w:pPr>
      <w:r>
        <w:rPr>
          <w:rStyle w:val="FootnoteReference"/>
        </w:rPr>
        <w:footnoteRef/>
      </w:r>
    </w:p>
  </w:footnote>
  <w:footnote w:id="1803">
    <w:p>
      <w:pPr>
        <w:pStyle w:val="FootnoteText"/>
      </w:pPr>
      <w:r>
        <w:rPr>
          <w:rStyle w:val="FootnoteReference"/>
        </w:rPr>
        <w:footnoteRef/>
      </w:r>
      <w:r>
        <w:t xml:space="preserve"> </w:t>
      </w:r>
      <w:r>
        <w:t xml:space="preserve">Dimensione del programma formativo in Lombardia: la popolazione professionale destinataria è la più numerosa del Paese, comprendendo l’ordine di 2.190 psicologi di base a regime e una popolazione di medici di medicina generale dell’ordine di 6.000-6.400 unità, per un totale dell’ordine di 8.000-8.700 professionisti; la formazione è scaglionata in corrispondenza delle fasi di attivazione del servizio per Agenzia di Tutela della Salute.Questa parte sviluppa i metodi di modellazione e di gestione dell’incertezza del quinto dominio, secondo le buone pratiche di ricerca sulla modellazione dell’ISPOR e dell’Accademia delle scienze, e è riportata secondo lo standard CHEERS 2022.</w:t>
      </w:r>
    </w:p>
  </w:footnote>
  <w:footnote w:id="1804">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1805">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1806">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1807">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1808">
    <w:p>
      <w:pPr>
        <w:pStyle w:val="FootnoteText"/>
      </w:pPr>
      <w:r>
        <w:rPr>
          <w:rStyle w:val="FootnoteReference"/>
        </w:rPr>
        <w:footnoteRef/>
      </w:r>
    </w:p>
  </w:footnote>
  <w:footnote w:id="1809">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1810">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1811">
    <w:p>
      <w:pPr>
        <w:pStyle w:val="FootnoteText"/>
      </w:pPr>
      <w:r>
        <w:rPr>
          <w:rStyle w:val="FootnoteReference"/>
        </w:rPr>
        <w:footnoteRef/>
      </w:r>
      <w:r>
        <w:t xml:space="preserve"> </w:t>
      </w:r>
      <w:r>
        <w:t xml:space="preserve">Quadro economico consolidato per la Lombardia (Parte E): a regime, da circa 1.100 a circa 2.190 psicologi, costo del servizio di 60-120 milioni, risparmi diretti di 35-90 milioni, ricadute sociali di 190-560 milioni; il saldo diretto è negativo, il saldo complessivo positivo, con rapporto beneficio-costo di 3,8-5,4 a uno.</w:t>
      </w:r>
    </w:p>
  </w:footnote>
  <w:footnote w:id="1812">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1813">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1814">
    <w:p>
      <w:pPr>
        <w:pStyle w:val="FootnoteText"/>
      </w:pPr>
      <w:r>
        <w:rPr>
          <w:rStyle w:val="FootnoteReference"/>
        </w:rPr>
        <w:footnoteRef/>
      </w:r>
      <w:r>
        <w:t xml:space="preserve"> </w:t>
      </w:r>
      <w:r>
        <w:t xml:space="preserve">Valori regionali di ancoraggio per la Lombardia: popolazione di 10.033.918 abitanti (Censimento ISTAT 2024), finanziamento del Servizio sanitario regionale dell’ordine di 21 miliardi di euro con conti in equilibrio, saldo di mobilità attivo, fabbisogno a regime dell’ordine di 2.190 psicologi.</w:t>
      </w:r>
    </w:p>
  </w:footnote>
  <w:footnote w:id="1815">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lombarda (17,0%), e non estratti dai conti regionali certificati; i dati da acquisire presso le Agenzie di Tutela della Salute e le Aziende Socio-Sanitarie Territoriali sono elencati nella tabella seguente.</w:t>
      </w:r>
    </w:p>
  </w:footnote>
  <w:footnote w:id="1816">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1817">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allo studio pugliese, di cui questo studio replica il telaio metodologico.</w:t>
      </w:r>
    </w:p>
  </w:footnote>
  <w:footnote w:id="1818">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1819">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1820">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1821">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1822">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1823">
    <w:p>
      <w:pPr>
        <w:pStyle w:val="FootnoteText"/>
      </w:pPr>
      <w:r>
        <w:rPr>
          <w:rStyle w:val="FootnoteReference"/>
        </w:rPr>
        <w:footnoteRef/>
      </w:r>
      <w:r>
        <w:t xml:space="preserve"> </w:t>
      </w:r>
      <w:r>
        <w:t xml:space="preserve">Distinzione tra costo-utilità e impatto sul bilancio per la Lombardia: la probabilità di costo-efficacia è un risultato di efficienza, riferito al singolo paziente, che valorizza il guadagno di salute e l’intera traiettoria di costo del modello; esso è coerente con il saldo diretto aggregato della Parte E, che per la Lombardia è negativo, poiché la traduzione dal modello per paziente all’aggregato regionale incorpora le correzioni per peso morto e per l’effettiva monetizzabilità nel bilancio dei costi evitati, e poiché manca il canale della mobilità. L’efficienza per paziente è robusta; la convenienza per il solo bilancio è negativa; il forte ritorno per la collettività proviene dalle ricadute sociali.</w:t>
      </w:r>
    </w:p>
  </w:footnote>
  <w:footnote w:id="1824">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825">
    <w:p>
      <w:pPr>
        <w:pStyle w:val="FootnoteText"/>
      </w:pPr>
      <w:r>
        <w:rPr>
          <w:rStyle w:val="FootnoteReference"/>
        </w:rPr>
        <w:footnoteRef/>
      </w:r>
    </w:p>
  </w:footnote>
  <w:footnote w:id="1826">
    <w:p>
      <w:pPr>
        <w:pStyle w:val="FootnoteText"/>
      </w:pPr>
      <w:r>
        <w:rPr>
          <w:rStyle w:val="FootnoteReference"/>
        </w:rPr>
        <w:footnoteRef/>
      </w:r>
      <w:r>
        <w:t xml:space="preserve"> </w:t>
      </w:r>
      <w:r>
        <w:t xml:space="preserve">Posizione del Trentino-Alto Adige: il territorio regionale è ripartito in due Province autonome — Trento e Bolzano — ciascuna titolare di piena competenza legislativa in materia di igiene e sanità e dotata di un proprio Servizio sanitario, distinto e autonomo. La sanità è dunque materia provinciale, non regionale: in Trentino opera l’Azienda Provinciale per i Servizi Sanitari (APSS), in Alto Adige l’Azienda Sanitaria dell’Alto Adige (Sabes). Entrambe le Province dispongono già di forme di psicologia territoriale: il Trentino, con una legge provinciale del 2016 — prima esperienza in Italia — ha convenzionato studi psicologici privati con l’APSS per l’erogazione di cicli di sedute in sei ambiti definiti (sostegno ai caregiver, elaborazione del lutto, dolore cronico non oncologico, sintomi ansioso-depressivi, stress lavorativo), su invio dell’Azienda e con un ticket a carico del paziente; l’Alto Adige dispone di un Servizio psicologico territoriale pubblico, organizzato per comprensori sanitari e composto da psicologi di madrelingua tedesca e italiana. Non esiste, allo stato, un modello unico di psicologo di base esteso e armonizzato fra le due Province.</w:t>
      </w:r>
    </w:p>
  </w:footnote>
  <w:footnote w:id="1827">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del Trentino-Alto Adige, eccede ampiamente il costo della raccolta dei dati; le priorità sono l’estrazione dei conti certificati delle due aziende sanitarie provinciali e l’impostazione di un flusso uniforme e interoperabile dei dati di esito fra le due Province, valorizzando i dati già disponibili dagli assetti esistenti.</w:t>
      </w:r>
    </w:p>
  </w:footnote>
  <w:footnote w:id="1828">
    <w:p>
      <w:pPr>
        <w:pStyle w:val="FootnoteText"/>
      </w:pPr>
      <w:r>
        <w:rPr>
          <w:rStyle w:val="FootnoteReference"/>
        </w:rPr>
        <w:footnoteRef/>
      </w:r>
      <w:r>
        <w:t xml:space="preserve"> </w:t>
      </w:r>
      <w:r>
        <w:t xml:space="preserve">Mitigazione progressiva della lacuna: il Trentino-Alto Adige consolida l’evidenza locale a partire dagli assetti già operanti, che offrono una base di dati propri più estesa che altrove; impostando un flusso uniforme e interoperabile fra le due Province, l’evidenza locale corregge progressivamente le stime importate dai benchmark, conducendo il territorio da una valutazione fondata in parte su dati esterni a una fondata in misura crescente su dati propri.</w:t>
      </w:r>
    </w:p>
  </w:footnote>
  <w:footnote w:id="1829">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territorio con assetti già operanti — dotato di una base di dati propri più estesa che altrove — consente di affinare la prova empirica oltre i soli benchmark, valorizzando una rilevazione uniforme e interoperabile fra le due Province.</w:t>
      </w:r>
    </w:p>
  </w:footnote>
  <w:footnote w:id="1830">
    <w:p>
      <w:pPr>
        <w:pStyle w:val="FootnoteText"/>
      </w:pPr>
      <w:r>
        <w:rPr>
          <w:rStyle w:val="FootnoteReference"/>
        </w:rPr>
        <w:footnoteRef/>
      </w:r>
      <w:r>
        <w:t xml:space="preserve"> </w:t>
      </w:r>
      <w:r>
        <w:t xml:space="preserve">Disagio giovanile: è la componente più caratterizzante del Trentino-Alto Adige, fra le regioni più giovani d’Italia. Ansia, depressione e disturbi del comportamento alimentare fra adolescenti e giovani adulti, accentuati dalla pressione scolastica e prestazionale, costituiscono una domanda crescente; l’intercettazione precoce ha un valore particolarmente elevato in termini di salute e di equità, e la presenza di atenei e di una popolazione studentesca rilevante a Trento e Bolzano ne accresce la portata.</w:t>
      </w:r>
    </w:p>
  </w:footnote>
  <w:footnote w:id="1831">
    <w:p>
      <w:pPr>
        <w:pStyle w:val="FootnoteText"/>
      </w:pPr>
      <w:r>
        <w:rPr>
          <w:rStyle w:val="FootnoteReference"/>
        </w:rPr>
        <w:footnoteRef/>
      </w:r>
      <w:r>
        <w:t xml:space="preserve"> </w:t>
      </w:r>
      <w:r>
        <w:t xml:space="preserve">Disagio giovanile e connesso al lavoro: in una popolazione fra le più giovani d’Italia, la pressione scolastica e prestazionale concorre al disagio psichico, con fenomeni di ansia, depressione e disturbi del comportamento alimentare tra gli adolescenti e i giovani adulti, accanto allo stress lavorativo proprio di un’economia ad alta attività; l’intercettazione precoce ha un valore particolarmente elevato in termini di salute e di equità, e la presenza di atenei e di una popolazione studentesca rilevante a Trento e Bolzano ne accresce la portata.</w:t>
      </w:r>
    </w:p>
  </w:footnote>
  <w:footnote w:id="1832">
    <w:p>
      <w:pPr>
        <w:pStyle w:val="FootnoteText"/>
      </w:pPr>
      <w:r>
        <w:rPr>
          <w:rStyle w:val="FootnoteReference"/>
        </w:rPr>
        <w:footnoteRef/>
      </w:r>
      <w:r>
        <w:t xml:space="preserve"> </w:t>
      </w:r>
      <w:r>
        <w:t xml:space="preserve">Bisogno connesso al lavoro e accesso nelle valli: in un’economia ad alta attività e a pieno impiego, lo stress lavorativo e i disturbi correlati costituiscono una componente rilevante della domanda, accanto a quella connessa all’isolamento nelle valli alpine a popolazione dispersa, dove le distanze e l’orografia generano difficoltà di accesso; è un fattore di bisogno specifico del territorio montano, che un primo livello accessibile, sostenuto dalla telepsicologia, può in parte intercettare.</w:t>
      </w:r>
    </w:p>
  </w:footnote>
  <w:footnote w:id="1833">
    <w:p>
      <w:pPr>
        <w:pStyle w:val="FootnoteText"/>
      </w:pPr>
      <w:r>
        <w:rPr>
          <w:rStyle w:val="FootnoteReference"/>
        </w:rPr>
        <w:footnoteRef/>
      </w:r>
      <w:r>
        <w:t xml:space="preserve"> </w:t>
      </w:r>
      <w:r>
        <w:t xml:space="preserve">Tratto distintivo del Trentino-Alto Adige rispetto alle altre regioni: la combinazione di un territorio ripartito in due Province autonome con Servizi sanitari distinti e pienamente autonomi, di forme di psicologia territoriale già operanti in entrambe — il modello trentino di convenzione (legge 2016, prima esperienza italiana) e il Servizio psicologico dell’Alto Adige — di una popolazione fra le più giovani, ricche e sane d’Italia, e di una piena autonomia finanziaria che, a differenza di Sicilia e Sardegna, opera in avanzo e non in disavanzo. A questo si aggiunge il plurilinguismo, con la tutela costituzionale dei gruppi linguistici. Il bisogno è quindi accompagnato da assetti già operanti, ma non ancora strutturati in un modello pieno e armonizzato, che la decisione è chiamata a comporre.</w:t>
      </w:r>
    </w:p>
  </w:footnote>
  <w:footnote w:id="1834">
    <w:p>
      <w:pPr>
        <w:pStyle w:val="FootnoteText"/>
      </w:pPr>
      <w:r>
        <w:rPr>
          <w:rStyle w:val="FootnoteReference"/>
        </w:rPr>
        <w:footnoteRef/>
      </w:r>
      <w:r>
        <w:t xml:space="preserve"> </w:t>
      </w:r>
      <w:r>
        <w:t xml:space="preserve">Accessi al pronto soccorso per cause psichiatriche: rapportando alla popolazione del Trentino-Alto Adige il dato nazionale, dell’ordine di alcune migliaia l’anno; pur contenuti da un sistema di cure primarie già ben dotato, indicano una pressione che un primo livello territoriale pienamente strutturato potrebbe ulteriormente ridurre a monte, tanto più rilevante nelle valli alpine dove le distanze rendono l’accesso al pronto soccorso più oneroso.</w:t>
      </w:r>
    </w:p>
  </w:footnote>
  <w:footnote w:id="1835">
    <w:p>
      <w:pPr>
        <w:pStyle w:val="FootnoteText"/>
      </w:pPr>
      <w:r>
        <w:rPr>
          <w:rStyle w:val="FootnoteReference"/>
        </w:rPr>
        <w:footnoteRef/>
      </w:r>
      <w:r>
        <w:t xml:space="preserve"> </w:t>
      </w:r>
      <w:r>
        <w:t xml:space="preserve">Offerta territoriale: il Trentino dispone, dal 2016, di un modello di convenzione fra l’APSS e studi psicologici privati — prima esperienza in Italia — che eroga cicli di sedute (di norma da otto a sedici) in sei ambiti definiti, su invio dell’Azienda e con un ticket a carico del paziente; l’Alto Adige dispone di un Servizio psicologico territoriale pubblico, organizzato per comprensori sanitari e composto da psicologi di madrelingua tedesca e italiana. I due assetti, distinti e disciplinati da ordinamenti provinciali autonomi, non sono ancora strutturati in un modello pieno di psicologo di base né armonizzati fra loro.</w:t>
      </w:r>
    </w:p>
  </w:footnote>
  <w:footnote w:id="1836">
    <w:p>
      <w:pPr>
        <w:pStyle w:val="FootnoteText"/>
      </w:pPr>
      <w:r>
        <w:rPr>
          <w:rStyle w:val="FootnoteReference"/>
        </w:rPr>
        <w:footnoteRef/>
      </w:r>
      <w:r>
        <w:t xml:space="preserve"> </w:t>
      </w:r>
      <w:r>
        <w:t xml:space="preserve">Fabbisogno a regime stimato nell’ordine di 240 psicologi nello scenario espansivo (e dell’ordine di 120 e 180 negli scenari conservativo e di base). L’Ordine degli Psicologi della Regione Trentino-Alto Adige e le rappresentanze della categoria ne sostengono la strutturazione in un modello pieno e l’armonizzazione fra le due Province.</w:t>
      </w:r>
    </w:p>
  </w:footnote>
  <w:footnote w:id="1837">
    <w:p>
      <w:pPr>
        <w:pStyle w:val="FootnoteText"/>
      </w:pPr>
      <w:r>
        <w:rPr>
          <w:rStyle w:val="FootnoteReference"/>
        </w:rPr>
        <w:footnoteRef/>
      </w:r>
      <w:r>
        <w:t xml:space="preserve"> </w:t>
      </w:r>
      <w:r>
        <w:t xml:space="preserve">Copertura attuale del fabbisogno: gli assetti esistenti delle due Province raggiungono una parte della domanda ma non coprono il fabbisogno a regime in un modello pieno. La decisione, di conseguenza, non verte sull’istituire il servizio, già presente in forme diverse, ma sullo strutturarlo in un modello pieno di psicologo di base, armonizzarne gli assetti fra le due Province e dimensionarlo verso la copertura piena, agevolata dall’avanzo di bilancio.</w:t>
      </w:r>
    </w:p>
  </w:footnote>
  <w:footnote w:id="1838">
    <w:p>
      <w:pPr>
        <w:pStyle w:val="FootnoteText"/>
      </w:pPr>
      <w:r>
        <w:rPr>
          <w:rStyle w:val="FootnoteReference"/>
        </w:rPr>
        <w:footnoteRef/>
      </w:r>
      <w:r>
        <w:t xml:space="preserve"> </w:t>
      </w:r>
      <w:r>
        <w:t xml:space="preserve">Disuguaglianze e divari territoriali: il divario rilevante nel Trentino-Alto Adige si gioca su due assi. Il primo separa i centri urbani di Trento, Bolzano e Merano dalle valli alpine a popolazione dispersa, penalizzate dalle distanze e dall’orografia: è l’asse territoriale. Il secondo, distintivo, è linguistico: l’accesso effettivo richiede che il servizio sia disponibile nella lingua del residente — tedesco, italiano o ladino — secondo la tutela costituzionale dei gruppi. La telepsicologia assistita avvicina l’offerta alle valli, e la disponibilità di personale plurilingue è condizione di equità effettiva.</w:t>
      </w:r>
    </w:p>
  </w:footnote>
  <w:footnote w:id="1839">
    <w:p>
      <w:pPr>
        <w:pStyle w:val="FootnoteText"/>
      </w:pPr>
      <w:r>
        <w:rPr>
          <w:rStyle w:val="FootnoteReference"/>
        </w:rPr>
        <w:footnoteRef/>
      </w:r>
      <w:r>
        <w:t xml:space="preserve"> </w:t>
      </w:r>
      <w:r>
        <w:t xml:space="preserve">Finanziamento dei Servizi sanitari provinciali: entrambe le Province autonome finanziano integralmente la sanità con i nove decimi del gettito fiscale trattenuto sul proprio territorio (articolo 75 dello statuto), senza alcun apporto a carico del Bilancio dello Stato, e versano allo Stato una quota a contributo del risanamento del debito pubblico. La spesa sanitaria pro-capite è la più elevata d’Italia — in Trentino dell’ordine di 2.160 euro — e la spesa per il personale supera nettamente la media nazionale; i bilanci operano in avanzo. Il sistema, già ampiamente finanziato, lascia margini di consumo improprio più contenuti da recuperare.</w:t>
      </w:r>
    </w:p>
  </w:footnote>
  <w:footnote w:id="1840">
    <w:p>
      <w:pPr>
        <w:pStyle w:val="FootnoteText"/>
      </w:pPr>
      <w:r>
        <w:rPr>
          <w:rStyle w:val="FootnoteReference"/>
        </w:rPr>
        <w:footnoteRef/>
      </w:r>
      <w:r>
        <w:t xml:space="preserve"> </w:t>
      </w:r>
      <w:r>
        <w:t xml:space="preserve">Mobilità sanitaria: il Trentino-Alto Adige presenta un saldo di mobilità modesto e, per alcune branche, le due Province attraggono pazienti più di quanti ne perdano, grazie a una dotazione e a una qualità dei servizi elevate. La mobilità non riguarda la domanda psicologica delle cure primarie, sicché il canale del recupero della mobilità è per questo intervento trascurabile, a differenza delle regioni a forte saldo passivo.</w:t>
      </w:r>
    </w:p>
  </w:footnote>
  <w:footnote w:id="1841">
    <w:p>
      <w:pPr>
        <w:pStyle w:val="FootnoteText"/>
      </w:pPr>
      <w:r>
        <w:rPr>
          <w:rStyle w:val="FootnoteReference"/>
        </w:rPr>
        <w:footnoteRef/>
      </w:r>
      <w:r>
        <w:t xml:space="preserve"> </w:t>
      </w:r>
      <w:r>
        <w:t xml:space="preserve">Cornice normativa e programmatica: nel Trentino-Alto Adige la competenza sanitaria è provinciale, e i due assetti poggiano su ordinamenti distinti — il modello trentino di convenzione con studi privati, introdotto da una legge provinciale del 2016, e il Servizio psicologico territoriale dell’Alto Adige, organizzato nell’ambito del proprio Servizio sanitario. La cornice include il Decreto Ministeriale 77/2022 sugli standard dell’assistenza territoriale e, sul piano nazionale, il testo unificato in discussione alla Camera. A differenza delle altre regioni, la decisione non passa per un’unica legge regionale, ma per il coordinamento e l’armonizzazione di due ordinamenti provinciali pienamente autonomi, entro un contesto di piena autonomia finanziaria e di avanzo di bilancio.</w:t>
      </w:r>
    </w:p>
  </w:footnote>
  <w:footnote w:id="1842">
    <w:p>
      <w:pPr>
        <w:pStyle w:val="FootnoteText"/>
      </w:pPr>
      <w:r>
        <w:rPr>
          <w:rStyle w:val="FootnoteReference"/>
        </w:rPr>
        <w:footnoteRef/>
      </w:r>
      <w:r>
        <w:t xml:space="preserve"> </w:t>
      </w:r>
      <w:r>
        <w:t xml:space="preserve">Popolazione residente in Trentino-Alto Adige dell’ordine di 1.085.000 abitanti (dati ISTAT 2024), pari a circa l’1,8% della popolazione nazionale, ripartita quasi equamente fra le due Province autonome: 545.169 residenti in Trentino e 539.386 in Alto Adige (31 dicembre 2024). A differenza della maggior parte delle regioni, la popolazione è in crescita, sostenuta da una natalità fra le più elevate d’Italia (8,8 nati per mille in Alto Adige, 7,0 in Trentino) e da saldi migratori positivi; la struttura per età è fra le più giovani del Paese. Il tratto demografico distintivo è la composizione linguistica dell’Alto Adige, dove il Censimento linguistico 2024 ha rilevato il 68,61% di appartenenti al gruppo tedesco, il 26,98% al gruppo italiano e il 4,41% al gruppo ladino, con tutela costituzionale e proporzionale etnica; in Trentino la popolazione è prevalentemente italofona, con minoranze ladine, mochene e cimbre. La componente straniera è dell’ordine del 9-10%, superiore alla media delle regioni a statuto speciale.</w:t>
      </w:r>
    </w:p>
  </w:footnote>
  <w:footnote w:id="1843">
    <w:p>
      <w:pPr>
        <w:pStyle w:val="FootnoteText"/>
      </w:pPr>
      <w:r>
        <w:rPr>
          <w:rStyle w:val="FootnoteReference"/>
        </w:rPr>
        <w:footnoteRef/>
      </w:r>
    </w:p>
  </w:footnote>
  <w:footnote w:id="1844">
    <w:p>
      <w:pPr>
        <w:pStyle w:val="FootnoteText"/>
      </w:pPr>
      <w:r>
        <w:rPr>
          <w:rStyle w:val="FootnoteReference"/>
        </w:rPr>
        <w:footnoteRef/>
      </w:r>
      <w:r>
        <w:t xml:space="preserve"> </w:t>
      </w:r>
      <w:r>
        <w:t xml:space="preserve">Popolazione residente in Trentino-Alto Adige dell’ordine di 1.085.000 abitanti (dati ISTAT 2024), pari a circa l’1,8% della popolazione nazionale, ripartita quasi equamente fra le due Province autonome: 545.169 residenti in Trentino e 539.386 in Alto Adige (31 dicembre 2024). A differenza della maggior parte delle regioni, la popolazione è in crescita, sostenuta da una natalità fra le più elevate d’Italia (8,8 nati per mille in Alto Adige, 7,0 in Trentino) e da saldi migratori positivi; la struttura per età è fra le più giovani del Paese. Il tratto demografico distintivo è la composizione linguistica dell’Alto Adige, dove il Censimento linguistico 2024 ha rilevato il 68,61% di appartenenti al gruppo tedesco, il 26,98% al gruppo italiano e il 4,41% al gruppo ladino, con tutela costituzionale e proporzionale etnica; in Trentino la popolazione è prevalentemente italofona, con minoranze ladine, mochene e cimbre. La componente straniera è dell’ordine del 9-10%, superiore alla media delle regioni a statuto speciale.Equità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1845">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pur in un territorio fra i più ricchi d’Italia, il gradiente sociale opera all’interno delle valli più isolate e fra i gruppi linguistici minoritari, dove l’accesso effettivo dipende dalla disponibilità di un’offerta di prossimità e nella lingua del residente.</w:t>
      </w:r>
    </w:p>
  </w:footnote>
  <w:footnote w:id="1846">
    <w:p>
      <w:pPr>
        <w:pStyle w:val="FootnoteText"/>
      </w:pPr>
      <w:r>
        <w:rPr>
          <w:rStyle w:val="FootnoteReference"/>
        </w:rPr>
        <w:footnoteRef/>
      </w:r>
      <w:r>
        <w:t xml:space="preserve"> </w:t>
      </w:r>
      <w:r>
        <w:t xml:space="preserve">Barriere all’accesso: il ricorso al sostegno psicologico è ostacolato da barriere geografiche, linguistiche e culturali, oltre che dallo stigma. Nel Trentino-Alto Adige la barriera linguistica e culturale è centrale, e non marginale come in altre regioni: il servizio deve essere disponibile in tedesco, italiano e ladino perché l’accesso sia effettivo per tutti i gruppi. Vi si aggiungono la barriera geografica delle valli alpine a popolazione dispersa e quella generazionale, poiché il disagio giovanile trova negli adolescenti e nei giovani adulti una fascia restia a rivolgersi ai servizi. Quanto alla barriera economica, gli assetti delle due Province sono disomogenei — il modello trentino prevede un ticket, il Servizio dell’Alto Adige è pubblico — e l’armonizzazione in un modello pieno è occasione per ridurre tale disomogeneità fra i residenti dei due territori.</w:t>
      </w:r>
    </w:p>
  </w:footnote>
  <w:footnote w:id="1847">
    <w:p>
      <w:pPr>
        <w:pStyle w:val="FootnoteText"/>
      </w:pPr>
      <w:r>
        <w:rPr>
          <w:rStyle w:val="FootnoteReference"/>
        </w:rPr>
        <w:footnoteRef/>
      </w:r>
      <w:r>
        <w:t xml:space="preserve"> </w:t>
      </w:r>
      <w:r>
        <w:t xml:space="preserve">Doppio asse della disuguaglianza nel Trentino-Alto Adige: il territorio presenta due assi distinti, cui si aggiunge una dimensione generazionale. Il primo, territoriale, separa i centri urbani di Trento, Bolzano e Merano dalle valli alpine a popolazione dispersa, dove le distanze e l’orografia rendono più oneroso il raggiungimento dei servizi. Il secondo, distintivo e proprio di questo territorio, è linguistico: l’accesso effettivo richiede che il servizio sia disponibile nella lingua del residente — tedesco, italiano o ladino — secondo la tutela costituzionale dei gruppi. A questi si somma il disagio giovanile, prevalente in una popolazione fra le più giovani d’Italia.</w:t>
      </w:r>
    </w:p>
  </w:footnote>
  <w:footnote w:id="1848">
    <w:p>
      <w:pPr>
        <w:pStyle w:val="FootnoteText"/>
      </w:pPr>
      <w:r>
        <w:rPr>
          <w:rStyle w:val="FootnoteReference"/>
        </w:rPr>
        <w:footnoteRef/>
      </w:r>
      <w:r>
        <w:t xml:space="preserve"> </w:t>
      </w:r>
      <w:r>
        <w:t xml:space="preserve">Primo asse, le valli alpine: le numerose vallate del territorio presentano una popolazione dispersa in piccoli comuni distanti dai centri maggiori, dove l’orografia e le distanze rendono l’accesso al sostegno psicologico più difficoltoso; pur in presenza di servizi di buona qualità, la copertura capillare delle valli richiede un’organizzazione dedicata e il ricorso alla telepsicologia.</w:t>
      </w:r>
    </w:p>
  </w:footnote>
  <w:footnote w:id="1849">
    <w:p>
      <w:pPr>
        <w:pStyle w:val="FootnoteText"/>
      </w:pPr>
      <w:r>
        <w:rPr>
          <w:rStyle w:val="FootnoteReference"/>
        </w:rPr>
        <w:footnoteRef/>
      </w:r>
      <w:r>
        <w:t xml:space="preserve"> </w:t>
      </w:r>
      <w:r>
        <w:t xml:space="preserve">Secondo asse, la dimensione linguistica: in Alto Adige convivono il gruppo tedesco (68,61%), il gruppo italiano (26,98%) e il gruppo ladino (4,41%), con tutela costituzionale e proporzionale etnica; in Trentino la popolazione è prevalentemente italofona, con minoranze ladine, mochene e cimbre. L’accesso effettivo al sostegno psicologico richiede che il servizio sia erogato nella lingua del paziente, sicché la disponibilità di personale plurilingue è condizione di equità e non semplice elemento organizzativo.</w:t>
      </w:r>
    </w:p>
  </w:footnote>
  <w:footnote w:id="1850">
    <w:p>
      <w:pPr>
        <w:pStyle w:val="FootnoteText"/>
      </w:pPr>
      <w:r>
        <w:rPr>
          <w:rStyle w:val="FootnoteReference"/>
        </w:rPr>
        <w:footnoteRef/>
      </w:r>
      <w:r>
        <w:t xml:space="preserve"> </w:t>
      </w:r>
      <w:r>
        <w:t xml:space="preserve">Effetto del servizio sull’equità: la prossimità nelle Case della Comunità e la natura di primo livello accessibile senza requisiti specialistici abbattono parte delle barriere all’accesso e indirizzano l’offerta verso chi ne è oggi escluso; nel Trentino-Alto Adige il meccanismo pro-equità opera attraverso la prossimità nelle valli, la disponibilità del servizio nella lingua del residente e l’armonizzazione degli assetti fra le due Province, che assicura parità di accesso ai residenti di entrambi i territori — a condizione che la copertura sia modulata per il bisogno territoriale e linguistico.</w:t>
      </w:r>
    </w:p>
  </w:footnote>
  <w:footnote w:id="1851">
    <w:p>
      <w:pPr>
        <w:pStyle w:val="FootnoteText"/>
      </w:pPr>
      <w:r>
        <w:rPr>
          <w:rStyle w:val="FootnoteReference"/>
        </w:rPr>
        <w:footnoteRef/>
      </w:r>
      <w:r>
        <w:t xml:space="preserve"> </w:t>
      </w:r>
      <w:r>
        <w:t xml:space="preserve">Telepsicologia assistita: nel Trentino-Alto Adige è lo strumento per avvicinare l’offerta alle valli alpine a popolazione dispersa, dove le distanze e l’orografia rendono difficoltoso il raggiungimento delle sedi, e per mettere a disposizione, anche a distanza, personale della lingua del paziente nelle aree dove la presenza fisica di operatori del gruppo linguistico è più difficile da garantire; concepita come complementare e non sostitutiva della presa in carico in presenza, essa estende la copertura proprio dove l’accesso è più difficile.</w:t>
      </w:r>
    </w:p>
  </w:footnote>
  <w:footnote w:id="1852">
    <w:p>
      <w:pPr>
        <w:pStyle w:val="FootnoteText"/>
      </w:pPr>
      <w:r>
        <w:rPr>
          <w:rStyle w:val="FootnoteReference"/>
        </w:rPr>
        <w:footnoteRef/>
      </w:r>
      <w:r>
        <w:t xml:space="preserve"> </w:t>
      </w:r>
      <w:r>
        <w:t xml:space="preserve">Competenza linguistica e generazionale: nel Trentino-Alto Adige la competenza linguistica è dirimente e centrale, poiché il servizio deve essere erogato in tedesco, italiano e ladino secondo l’appartenenza dei residenti; ad essa si affianca la competenza nell’intercettare il disagio giovanile, prevalente in una delle regioni più giovani d’Italia, affinché il servizio raggiunga adolescenti e giovani adulti, fascia a elevato bisogno e a basso ricorso spontaneo.</w:t>
      </w:r>
    </w:p>
  </w:footnote>
  <w:footnote w:id="1853">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residenti delle valli più isolate, nei gruppi linguistici minoritari e nelle fasce giovanili a più elevato bisogno non soddisfatto; l’intervento è quindi favorevole all’equità, oltre che costo-efficace, e l’erogazione nella lingua del residente e l’armonizzazione fra le due Province ne rafforzano la natura pro-equità.</w:t>
      </w:r>
    </w:p>
  </w:footnote>
  <w:footnote w:id="1854">
    <w:p>
      <w:pPr>
        <w:pStyle w:val="FootnoteText"/>
      </w:pPr>
      <w:r>
        <w:rPr>
          <w:rStyle w:val="FootnoteReference"/>
        </w:rPr>
        <w:footnoteRef/>
      </w:r>
      <w:r>
        <w:t xml:space="preserve"> </w:t>
      </w:r>
      <w:r>
        <w:t xml:space="preserve">Modulazione territoriale e linguistica della copertura: per realizzare il potenziale di equità, la copertura va modulata in funzione del bisogno, destinando una quota maggiore di risorse alle valli alpine più isolate e garantendo la disponibilità di personale in tedesco, italiano e ladino secondo la composizione dei territori; un’allocazione uniforme rispetto alla popolazione non correggerebbe i divari, mentre un’allocazione ponderata per il bisogno e per la lingua li riduce. La strutturazione del modello pieno offre l’occasione di orientare fin dall’inizio l’allocazione secondo criteri di equità.</w:t>
      </w:r>
    </w:p>
  </w:footnote>
  <w:footnote w:id="1855">
    <w:p>
      <w:pPr>
        <w:pStyle w:val="FootnoteText"/>
      </w:pPr>
      <w:r>
        <w:rPr>
          <w:rStyle w:val="FootnoteReference"/>
        </w:rPr>
        <w:footnoteRef/>
      </w:r>
      <w:r>
        <w:t xml:space="preserve"> </w:t>
      </w:r>
      <w:r>
        <w:t xml:space="preserve">Mobilità e equità: nel Trentino-Alto Adige il canale della mobilità è, per questo intervento, una leva di equità trascurabile, poiché le due Province attraggono pazienti più di quanti ne perdano e la mobilità non riguarda la domanda psicologica territoriale; l’equità si gioca quindi prevalentemente sull’accesso interno, fra centri urbani e valli alpine e fra i gruppi linguistici del territorio.</w:t>
      </w:r>
    </w:p>
  </w:footnote>
  <w:footnote w:id="1856">
    <w:p>
      <w:pPr>
        <w:pStyle w:val="FootnoteText"/>
      </w:pPr>
      <w:r>
        <w:rPr>
          <w:rStyle w:val="FootnoteReference"/>
        </w:rPr>
        <w:footnoteRef/>
      </w:r>
      <w:r>
        <w:t xml:space="preserve"> </w:t>
      </w:r>
      <w:r>
        <w:t xml:space="preserve">Rischio di iniquità inversa: se la strutturazione del modello pieno privilegiasse, per facilità organizzativa, i centri urbani già meglio serviti o un solo gruppo linguistico, l’effetto distributivo potrebbe risultare regressivo; il rischio va prevenuto con criteri espliciti di equità nell’allocazione delle sedi e del personale, assicurando la copertura delle valli più isolate e la disponibilità del servizio in tutte le lingue del territorio fin dalle prime fasi.</w:t>
      </w:r>
    </w:p>
  </w:footnote>
  <w:footnote w:id="1857">
    <w:p>
      <w:pPr>
        <w:pStyle w:val="FootnoteText"/>
      </w:pPr>
      <w:r>
        <w:rPr>
          <w:rStyle w:val="FootnoteReference"/>
        </w:rPr>
        <w:footnoteRef/>
      </w:r>
      <w:r>
        <w:t xml:space="preserve"> </w:t>
      </w:r>
      <w:r>
        <w:t xml:space="preserve">Sintesi dell’equità: l’intervento è favorevole all’equità su entrambi gli assi del divario del Trentino-Alto Adige — territoriale e linguistico — e sulla dimensione generazionale, e l’armonizzazione degli assetti fra le due Province ne rafforza la natura pro-equità riducendo le disomogeneità fra i residenti dei due territori; a condizione che la copertura sia modulata per il bisogno, che siano garantite la telepsicologia per le valli e l’erogazione nelle diverse lingue, e che si presti attenzione congiunta al disagio giovanile, la raccomandazione è di orientare fin dalla strutturazione del modello un’allocazione pro-equità che dia di più dove il bisogno è maggiore, nelle valli e fra i gruppi linguistici minoritari.</w:t>
      </w:r>
    </w:p>
  </w:footnote>
  <w:footnote w:id="1858">
    <w:p>
      <w:pPr>
        <w:pStyle w:val="FootnoteText"/>
      </w:pPr>
      <w:r>
        <w:rPr>
          <w:rStyle w:val="FootnoteReference"/>
        </w:rPr>
        <w:footnoteRef/>
      </w:r>
      <w:r>
        <w:t xml:space="preserve"> </w:t>
      </w:r>
      <w:r>
        <w:t xml:space="preserve">Caso di riferimento: doppia prospettiva dei Servizi sanitari provinciali e della società; orizzonte pluriennale per gli esiti e triennale-quinquennale per il bilancio; tasso di sconto sociale del 3% annuo, con verifica al tasso ridotto per i benefici di salute; anni di vita ponderati per la qualità ed esiti clinici validati come misure; gli assetti esistenti delle due Province — il modello trentino di convenzione con studi privati e il Servizio psicologico territoriale dell’Alto Adige, nella loro forma attuale, non ancora strutturata in un modello pieno e armonizzato — come comparatore.</w:t>
      </w:r>
    </w:p>
  </w:footnote>
  <w:footnote w:id="1859">
    <w:p>
      <w:pPr>
        <w:pStyle w:val="FootnoteText"/>
      </w:pPr>
      <w:r>
        <w:rPr>
          <w:rStyle w:val="FootnoteReference"/>
        </w:rPr>
        <w:footnoteRef/>
      </w:r>
    </w:p>
  </w:footnote>
  <w:footnote w:id="1860">
    <w:p>
      <w:pPr>
        <w:pStyle w:val="FootnoteText"/>
      </w:pPr>
      <w:r>
        <w:rPr>
          <w:rStyle w:val="FootnoteReference"/>
        </w:rPr>
        <w:footnoteRef/>
      </w:r>
      <w:r>
        <w:t xml:space="preserve"> </w:t>
      </w:r>
      <w:r>
        <w:t xml:space="preserve">Caso di riferimento: doppia prospettiva dei Servizi sanitari provinciali e della società; orizzonte pluriennale per gli esiti e triennale-quinquennale per il bilancio; tasso di sconto sociale del 3% annuo, con verifica al tasso ridotto per i benefici di salute; anni di vita ponderati per la qualità ed esiti clinici validati come misure; gli assetti esistenti delle due Province — il modello trentino di convenzione con studi privati e il Servizio psicologico territoriale dell’Alto Adige, nella loro forma attuale, non ancora strutturata in un modello pieno e armonizzato —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861">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1862">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1863">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1864">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1865">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1866">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1867">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1868">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869">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1870">
    <w:p>
      <w:pPr>
        <w:pStyle w:val="FootnoteText"/>
      </w:pPr>
      <w:r>
        <w:rPr>
          <w:rStyle w:val="FootnoteReference"/>
        </w:rPr>
        <w:footnoteRef/>
      </w:r>
    </w:p>
  </w:footnote>
  <w:footnote w:id="1871">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1872">
    <w:p>
      <w:pPr>
        <w:pStyle w:val="FootnoteText"/>
      </w:pPr>
      <w:r>
        <w:rPr>
          <w:rStyle w:val="FootnoteReference"/>
        </w:rPr>
        <w:footnoteRef/>
      </w:r>
      <w:r>
        <w:t xml:space="preserve"> </w:t>
      </w:r>
      <w:r>
        <w:t xml:space="preserve">Profilo giuridico e riparto di competenza: nel Trentino-Alto Adige la materia sanitaria è attribuita alle due Province autonome di Trento e Bolzano, titolari di potestà legislativa e di un proprio Servizio sanitario in forza dello statuto speciale di autonomia. La sentenza della Corte Costituzionale n. 241 del 2021 — pronuncia fondativa per l’intera materia, originata dal giudizio sulla legge campana, di cui ha riconosciuto la legittimità — conferma la possibilità di disciplinare il servizio nel rispetto dei principi fondamentali stabiliti dallo Stato. Entro questa cornice ciascuna Provincia ha esercitato il proprio titolo in modo autonomo: il Trentino con una legge provinciale del 2016 che convenziona studi psicologici privati con l’APSS, l’Alto Adige con l’organizzazione di un Servizio psicologico territoriale nel proprio Servizio sanitario; non esiste, né sarebbe coerente con l’assetto, un’unica legge regionale.</w:t>
      </w:r>
    </w:p>
  </w:footnote>
  <w:footnote w:id="1873">
    <w:p>
      <w:pPr>
        <w:pStyle w:val="FootnoteText"/>
      </w:pPr>
      <w:r>
        <w:rPr>
          <w:rStyle w:val="FootnoteReference"/>
        </w:rPr>
        <w:footnoteRef/>
      </w:r>
      <w:r>
        <w:t xml:space="preserve"> </w:t>
      </w:r>
      <w:r>
        <w:t xml:space="preserve">Stato legislativo del Trentino-Alto Adige: a differenza del Lazio, ancora privo di disciplina, entrambe le Province dispongono già di forme di psicologia territoriale — il modello trentino di convenzione con studi privati, introdotto da una legge provinciale del 2016, e il Servizio psicologico territoriale dell’Alto Adige. La decisione giuridica rilevante non è quindi l’approvazione di una norma istitutiva, ma la strutturazione del servizio in un modello pieno e la sua armonizzazione fra i due ordinamenti provinciali, ciascuno nell’esercizio della propria autonomia, nel coordinamento con il testo unico nazionale in discussione.</w:t>
      </w:r>
    </w:p>
  </w:footnote>
  <w:footnote w:id="1874">
    <w:p>
      <w:pPr>
        <w:pStyle w:val="FootnoteText"/>
      </w:pPr>
      <w:r>
        <w:rPr>
          <w:rStyle w:val="FootnoteReference"/>
        </w:rPr>
        <w:footnoteRef/>
      </w:r>
      <w:r>
        <w:t xml:space="preserve"> </w:t>
      </w:r>
      <w:r>
        <w:t xml:space="preserve">Inquadramento del rapporto di lavoro: i due assetti provinciali adottano forme diverse. Il modello trentino è convenzionale e libero-professionale, con studi psicologici privati accreditati e un ticket a carico del paziente, su invio dell’APSS; il Servizio dell’Alto Adige è pubblico, con psicologi del Servizio sanitario provinciale. La strutturazione in un modello pieno e l’armonizzazione fra le due Province dovranno comporre tali differenze — anche quanto alla compartecipazione del paziente — nel rispetto dell’autonomia di ciascuna Provincia e in coordinamento con il testo unico nazionale in discussione.</w:t>
      </w:r>
    </w:p>
  </w:footnote>
  <w:footnote w:id="1875">
    <w:p>
      <w:pPr>
        <w:pStyle w:val="FootnoteText"/>
      </w:pPr>
      <w:r>
        <w:rPr>
          <w:rStyle w:val="FootnoteReference"/>
        </w:rPr>
        <w:footnoteRef/>
      </w:r>
      <w:r>
        <w:t xml:space="preserve"> </w:t>
      </w:r>
      <w:r>
        <w:t xml:space="preserve">Livelli essenziali di assistenza e finanziamento: la psicologia delle cure primarie non è ancora esplicitamente ricompresa nei livelli essenziali di assistenza nazionali. Entrambe le Province autonome finanziano però integralmente la sanità con i nove decimi del gettito trattenuto sul proprio territorio, senza apporto a carico del Bilancio dello Stato, e operano in avanzo, con la spesa pro-capite più alta d’Italia; il finanziamento del modello pieno è perciò agevolmente disponibile entro l’autonomia di bilancio di ciascuna Provincia, e la questione non è di copertura ma di scelta allocativa, mentre un futuro riconoscimento nei livelli essenziali rafforzerebbe ulteriormente la stabilità.</w:t>
      </w:r>
    </w:p>
  </w:footnote>
  <w:footnote w:id="1876">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delle cure primarie vi si inserisce coerentemente, come uno dei livelli di risposta al bisogno della popolazione.</w:t>
      </w:r>
    </w:p>
  </w:footnote>
  <w:footnote w:id="1877">
    <w:p>
      <w:pPr>
        <w:pStyle w:val="FootnoteText"/>
      </w:pPr>
      <w:r>
        <w:rPr>
          <w:rStyle w:val="FootnoteReference"/>
        </w:rPr>
        <w:footnoteRef/>
      </w:r>
      <w:r>
        <w:t xml:space="preserve"> </w:t>
      </w:r>
      <w:r>
        <w:t xml:space="preserve">Rapporto con i servizi specialistici: il servizio di psicologia delle cure primarie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1878">
    <w:p>
      <w:pPr>
        <w:pStyle w:val="FootnoteText"/>
      </w:pPr>
      <w:r>
        <w:rPr>
          <w:rStyle w:val="FootnoteReference"/>
        </w:rPr>
        <w:footnoteRef/>
      </w:r>
      <w:r>
        <w:t xml:space="preserve"> </w:t>
      </w:r>
      <w:r>
        <w:t xml:space="preserve">Assetto organizzativo: la strutturazione del servizio nel Trentino-Alto Adige si misura con la presenza di due Servizi sanitari provinciali distinti e pienamente autonomi — l’APSS del Trentino e l’Azienda Sanitaria dell’Alto Adige (Sabes) — articolati in comprensori e distretti, su un territorio montano con valli a popolazione dispersa e con tre lingue da servire; garantire la strutturazione in un modello pieno e l’armonizzazione fra i due sistemi, nel rispetto dell’autonomia di ciascuna Provincia e della tutela dei gruppi linguistici, è la sfida organizzativa centrale.</w:t>
      </w:r>
    </w:p>
  </w:footnote>
  <w:footnote w:id="1879">
    <w:p>
      <w:pPr>
        <w:pStyle w:val="FootnoteText"/>
      </w:pPr>
      <w:r>
        <w:rPr>
          <w:rStyle w:val="FootnoteReference"/>
        </w:rPr>
        <w:footnoteRef/>
      </w:r>
      <w:r>
        <w:t xml:space="preserve"> </w:t>
      </w:r>
      <w:r>
        <w:t xml:space="preserve">Governance della strutturazione: il consolidamento del servizio richiede una sede di coordinamento fra le due Province autonome, l’APSS e l’Azienda Sanitaria dell’Alto Adige (Sabes), i due Assessorati alla salute, l’Ordine professionale, le rappresentanze della medicina generale e della pediatria di libera scelta e gli atenei dell’Università di Trento e della Libera Università di Bolzano; a tale sede spetta definire indirizzi condivisi e impostare un monitoraggio comparabile fra i due sistemi, valorizzando l’esperienza del modello trentino e del Servizio dell’Alto Adige, nel rispetto della piena autonomia di ciascuna Provincia.</w:t>
      </w:r>
    </w:p>
  </w:footnote>
  <w:footnote w:id="1880">
    <w:p>
      <w:pPr>
        <w:pStyle w:val="FootnoteText"/>
      </w:pPr>
      <w:r>
        <w:rPr>
          <w:rStyle w:val="FootnoteReference"/>
        </w:rPr>
        <w:footnoteRef/>
      </w:r>
      <w:r>
        <w:t xml:space="preserve"> </w:t>
      </w:r>
      <w:r>
        <w:t xml:space="preserve">Ruolo dell’Ordine professionale: l’Ordine degli Psicologi della Regione Trentino-Alto Adige concorre alla definizione dei requisiti, alla formazione — comprese le competenze linguistiche per l’erogazione in tedesco, italiano e ladino — e alla vigilanza deontologica; la sua collaborazione è condizione della qualità e dell’appropriatezza del servizio in entrambe le Province.</w:t>
      </w:r>
    </w:p>
  </w:footnote>
  <w:footnote w:id="1881">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1882">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1883">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1884">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1885">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1886">
    <w:p>
      <w:pPr>
        <w:pStyle w:val="FootnoteText"/>
      </w:pPr>
      <w:r>
        <w:rPr>
          <w:rStyle w:val="FootnoteReference"/>
        </w:rPr>
        <w:footnoteRef/>
      </w:r>
      <w:r>
        <w:t xml:space="preserve"> </w:t>
      </w:r>
      <w:r>
        <w:t xml:space="preserve">Sintesi dei profili: i tre profili — giuridico, organizzativo ed etico — nel Trentino-Alto Adige sono presidiati, e la condizione abilitante dell’intervento non è, per la Sicilia, l’approvazione della legge, già in vigore, né l’emanazione del decreto attuativo, già emanato, ma il passaggio dall’avvio al regime: la stabilizzazione del finanziamento entro i vincoli del piano di rientro e dello statuto speciale e la formazione degli elenchi provinciali fra le nove Aziende; è questo il passaggio da cui dipende la piena operatività del servizio, che il coordinamento con il futuro testo unico nazionale potrà rafforzare.</w:t>
      </w:r>
    </w:p>
  </w:footnote>
  <w:footnote w:id="1887">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1888">
    <w:p>
      <w:pPr>
        <w:pStyle w:val="FootnoteText"/>
      </w:pPr>
      <w:r>
        <w:rPr>
          <w:rStyle w:val="FootnoteReference"/>
        </w:rPr>
        <w:footnoteRef/>
      </w:r>
      <w:r>
        <w:t xml:space="preserve"> </w:t>
      </w:r>
      <w:r>
        <w:t xml:space="preserve">Esperienze italiane: il quadro nazionale comprende i servizi avviati nelle regioni dotate di legge — fra cui la Campania, prima a istituire e attivare il servizio — e le esperienze pilota fondate su campioni limitati e letteratura grigia. Il Trentino-Alto Adige, che dispone già in entrambe le Province di forme di psicologia territoriale — il modello trentino di convenzione con studi privati, attivo dal 2016, e il Servizio psicologico territoriale dell’Alto Adige — si colloca in questo quadro come territorio dotato di esperienza operativa propria più estesa che altrove: la base di dati di esito, già alimentata dagli assetti esistenti, costituisce un punto di partenza solido per la valutazione del modello pieno.</w:t>
      </w:r>
    </w:p>
  </w:footnote>
  <w:footnote w:id="1889">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890">
    <w:p>
      <w:pPr>
        <w:pStyle w:val="FootnoteText"/>
      </w:pPr>
      <w:r>
        <w:rPr>
          <w:rStyle w:val="FootnoteReference"/>
        </w:rPr>
        <w:footnoteRef/>
      </w:r>
      <w:r>
        <w:t xml:space="preserve"> </w:t>
      </w:r>
      <w:r>
        <w:t xml:space="preserve">Evidenza locale del Trentino-Alto Adige: l’evidenza locale poggia su una base operativa più solida di quella delle regioni che partono da zero, grazie agli assetti già operanti nelle due Province. Lo studio impiega, per l’efficacia, i benchmark internazionali, e affina le stime con i dati propri del modello trentino di convenzione e del Servizio psicologico dell’Alto Adige; la strutturazione in un modello pieno consente di consolidare una rilevazione uniforme e interoperabile fra le due Province, presupposto di un’evidenza locale ancora più robusta da costruire a regime.</w:t>
      </w:r>
    </w:p>
  </w:footnote>
  <w:footnote w:id="1891">
    <w:p>
      <w:pPr>
        <w:pStyle w:val="FootnoteText"/>
      </w:pPr>
      <w:r>
        <w:rPr>
          <w:rStyle w:val="FootnoteReference"/>
        </w:rPr>
        <w:footnoteRef/>
      </w:r>
      <w:r>
        <w:t xml:space="preserve"> </w:t>
      </w:r>
      <w:r>
        <w:t xml:space="preserve">Condizioni del Trentino-Alto Adige per la trasferibilità e la valutazione: il territorio dispone degli assetti già operanti nelle due Province, delle infrastrutture informatiche delle due aziende sanitarie provinciali e della rete delle Case della Comunità in costruzione; la condizione propria, qui, è di affinare le stime importate sui dati già disponibili e di impostare una rilevazione uniforme e interoperabile fra le due Province, tenendo conto del contesto plurilingue, così da generare dati propri solidi a regime.</w:t>
      </w:r>
    </w:p>
  </w:footnote>
  <w:footnote w:id="1892">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1893">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 Trentino-Alto Adige è il più favorevole della serie: entrambe le Province autonome finanziano integralmente la sanità con i nove decimi del gettito fiscale trattenuto sul proprio territorio, senza alcun apporto a carico del Bilancio dello Stato, e operano in avanzo, con la spesa sanitaria pro-capite più elevata d’Italia. Il vincolo, qui, non è la scarsità di risorse ma il suo rovescio: poiché il sistema è già ampiamente finanziato ed efficiente, il margine di consumo improprio recuperabile è più contenuto che altrove, e il costo unitario del personale è fra i più alti del Paese; sul versante della mobilità, il saldo passivo è modesto e le due Province attraggono pazienti più di quanti ne perdano, sicché il canale del recupero della mobilità è per questo intervento trascurabile. Ne consegue un saldo diretto negativo — più sfavorevole che nelle regioni sotto-finanziate, proprio perché il sistema lascia minori margini di recupero — ma di entità modesta e agevolmente sostenibile a fronte dell’avanzo; il caso economico poggia in misura preponderante sulle ricadute sociali, stimate con criteri conservativi e sostenute da un’elevata produttività e da redditi fra i più alti d’Europa.</w:t>
      </w:r>
    </w:p>
  </w:footnote>
  <w:footnote w:id="1894">
    <w:p>
      <w:pPr>
        <w:pStyle w:val="FootnoteText"/>
      </w:pPr>
      <w:r>
        <w:rPr>
          <w:rStyle w:val="FootnoteReference"/>
        </w:rPr>
        <w:footnoteRef/>
      </w:r>
      <w:r>
        <w:t xml:space="preserve"> </w:t>
      </w:r>
      <w:r>
        <w:t xml:space="preserve">I valori economici oggi impiegati sono in parte ricostruiti dai conti nazionali per quota di popolazione (1,8%) e non estratti dai conti provinciali certificati delle due aziende sanitarie provinciali: è la lacuna prioritaria dello studio, da colmare prima della presentazione esterna. Il Trentino-Alto Adige dispone tuttavia, grazie agli assetti già operanti nelle due Province, di una base di dati propri più solida di quella delle regioni che partono da zero; lo studio poggia, per l’efficacia, sui benchmark internazionali, e li affina con i dati del modello trentino di convenzione e del Servizio psicologico dell’Alto Adige, da consolidare in forma comparabile fra le due Province.</w:t>
      </w:r>
    </w:p>
  </w:footnote>
  <w:footnote w:id="1895">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896">
    <w:p>
      <w:pPr>
        <w:pStyle w:val="FootnoteText"/>
      </w:pPr>
      <w:r>
        <w:rPr>
          <w:rStyle w:val="FootnoteReference"/>
        </w:rPr>
        <w:footnoteRef/>
      </w:r>
      <w:r>
        <w:t xml:space="preserve"> </w:t>
      </w:r>
      <w:r>
        <w:t xml:space="preserve">Valutazione controfattuale d’impatto: poiché la strutturazione del modello pieno avverrà in tempi differenziati fra i comprensori e i distretti delle due Province, il disegno può fondarsi su un esperimento a cunei progressivi, nel quale l’ordine e i tempi di attivazione fra i territori sono impiegati a fini valutativi. L’effetto causale è stimato con i metodi della differenza-nelle-differenze e del controllo sintetico; l’esperienza trentina di convenzione con studi privati, attiva dal 2016, e il Servizio psicologico territoriale dell’Alto Adige forniscono una base di dati operativi propri più solida di quella delle regioni che partono da zero, utile a calibrare le stime importate dai benchmark.</w:t>
      </w:r>
    </w:p>
  </w:footnote>
  <w:footnote w:id="1897">
    <w:p>
      <w:pPr>
        <w:pStyle w:val="FootnoteText"/>
      </w:pPr>
      <w:r>
        <w:rPr>
          <w:rStyle w:val="FootnoteReference"/>
        </w:rPr>
        <w:footnoteRef/>
      </w:r>
      <w:r>
        <w:t xml:space="preserve"> </w:t>
      </w:r>
      <w:r>
        <w:t xml:space="preserve">La valutazione è governata da un comitato di indirizzo che riunisce le due Province autonome di Trento e Bolzano, i rispettivi Assessorati alla salute, l’Azienda Provinciale per i Servizi Sanitari (APSS) del Trentino e l’Azienda Sanitaria dell’Alto Adige (Sabes), l’Ordine degli Psicologi della Regione Trentino-Alto Adige, le rappresentanze della medicina generale e della pediatria di libera scelta e gli atenei dell’Università di Trento e della Libera Università di Bolzano. La caratteristica propria del Trentino-Alto Adige è che la materia sanitaria è di competenza provinciale, non regionale, e che i due Servizi sanitari sono distinti e autonomi: la sfida del governo non è quindi istituire il servizio, né dispiegarlo entro un’unica azienda, ma strutturarlo in un modello pieno e garantirne l’armonizzazione fra due sistemi sanitari pienamente autonomi e fra le diverse lingue del territorio.</w:t>
      </w:r>
    </w:p>
  </w:footnote>
  <w:footnote w:id="1898">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1899">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1900">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901">
    <w:p>
      <w:pPr>
        <w:pStyle w:val="FootnoteText"/>
      </w:pPr>
      <w:r>
        <w:rPr>
          <w:rStyle w:val="FootnoteReference"/>
        </w:rPr>
        <w:footnoteRef/>
      </w:r>
    </w:p>
  </w:footnote>
  <w:footnote w:id="1902">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1903">
    <w:p>
      <w:pPr>
        <w:pStyle w:val="FootnoteText"/>
      </w:pPr>
      <w:r>
        <w:rPr>
          <w:rStyle w:val="FootnoteReference"/>
        </w:rPr>
        <w:footnoteRef/>
      </w:r>
      <w:r>
        <w:t xml:space="preserve"> </w:t>
      </w:r>
      <w:r>
        <w:t xml:space="preserve">Caso strategico: la strutturazione del servizio è coerente con la cornice nazionale degli standard territoriali, con la centralità delle Case della Comunità e con la programmazione provinciale per la salute mentale; nel Trentino-Alto Adige essa presenta una coerenza ulteriore, poiché porta a un modello pieno gli assetti che le due Province autonome già esercitano — il modello trentino di convenzione e il Servizio psicologico dell’Alto Adige — armonizzandoli.</w:t>
      </w:r>
    </w:p>
  </w:footnote>
  <w:footnote w:id="1904">
    <w:p>
      <w:pPr>
        <w:pStyle w:val="FootnoteText"/>
      </w:pPr>
      <w:r>
        <w:rPr>
          <w:rStyle w:val="FootnoteReference"/>
        </w:rPr>
        <w:footnoteRef/>
      </w:r>
      <w:r>
        <w:t xml:space="preserve"> </w:t>
      </w:r>
      <w:r>
        <w:t xml:space="preserve">Caso economico: rinvia ai risultati della valutazione economica — un rapporto beneficio-costo complessivo dell’ordine di 4,1-5,5 a uno e una dominanza per paziente con elevata probabilità — nel quadro della distinzione fra un caso finanziario di disavanzo modesto, agevolmente sostenibile a fronte dell’avanzo, e un caso sociale fortemente positivo.</w:t>
      </w:r>
    </w:p>
  </w:footnote>
  <w:footnote w:id="1905">
    <w:p>
      <w:pPr>
        <w:pStyle w:val="FootnoteText"/>
      </w:pPr>
      <w:r>
        <w:rPr>
          <w:rStyle w:val="FootnoteReference"/>
        </w:rPr>
        <w:footnoteRef/>
      </w:r>
      <w:r>
        <w:t xml:space="preserve"> </w:t>
      </w:r>
      <w:r>
        <w:t xml:space="preserve">Caso commerciale: gli assetti già operanti dispongono di una rete di professionisti — gli studi convenzionati in Trentino e gli psicologi del Servizio dell’Alto Adige — e si avvalgono di un bacino alimentato dall’Università di Trento e dalla Libera Università di Bolzano; la disponibilità di psicologi qualificati, anche con competenze linguistiche in tedesco, italiano e ladino, non costituisce un vincolo alla strutturazione del modello pieno.</w:t>
      </w:r>
    </w:p>
  </w:footnote>
  <w:footnote w:id="1906">
    <w:p>
      <w:pPr>
        <w:pStyle w:val="FootnoteText"/>
      </w:pPr>
      <w:r>
        <w:rPr>
          <w:rStyle w:val="FootnoteReference"/>
        </w:rPr>
        <w:footnoteRef/>
      </w:r>
      <w:r>
        <w:t xml:space="preserve"> </w:t>
      </w:r>
      <w:r>
        <w:t xml:space="preserve">Caso finanziario: il costo del servizio a regime — dell’ordine di 7, 11 e 14 milioni di euro nei tre scenari, pari allo 0,3-0,5% della spesa sanitaria — è contenuto, e il suo reperimento è qui il punto più favorevole della serie: entrambe le Province autonome finanziano integralmente la sanità con i nove decimi del gettito trattenuto, senza apporto a carico dello Stato, e operano in avanzo, con la spesa pro-capite più alta d’Italia. La sfida finanziaria non è reperire la copertura, agevolmente disponibile entro l’autonomia di ciascuna Provincia, ma operare la scelta allocativa.</w:t>
      </w:r>
    </w:p>
  </w:footnote>
  <w:footnote w:id="1907">
    <w:p>
      <w:pPr>
        <w:pStyle w:val="FootnoteText"/>
      </w:pPr>
      <w:r>
        <w:rPr>
          <w:rStyle w:val="FootnoteReference"/>
        </w:rPr>
        <w:footnoteRef/>
      </w:r>
      <w:r>
        <w:t xml:space="preserve"> </w:t>
      </w:r>
      <w:r>
        <w:t xml:space="preserve">Caso gestionale: la realizzabilità dipende da una sede di coordinamento fra le due Province autonome che raccordi l’APSS e l’Azienda Sanitaria dell’Alto Adige (Sabes), i due Assessorati alla salute, l’Ordine professionale, la medicina generale e la pediatria di libera scelta e gli atenei di Trento e Bolzano; a tale sede spetta definire indirizzi condivisi e impostare un monitoraggio comparabile fra i due sistemi, nel rispetto dell’autonomia di ciascuna Provincia.</w:t>
      </w:r>
    </w:p>
  </w:footnote>
  <w:footnote w:id="1908">
    <w:p>
      <w:pPr>
        <w:pStyle w:val="FootnoteText"/>
      </w:pPr>
      <w:r>
        <w:rPr>
          <w:rStyle w:val="FootnoteReference"/>
        </w:rPr>
        <w:footnoteRef/>
      </w:r>
      <w:r>
        <w:t xml:space="preserve"> </w:t>
      </w:r>
      <w:r>
        <w:t xml:space="preserve">Dimensionamento a partire dagli assetti esistenti: a differenza del Lazio, che deve dimensionare il servizio da zero, il Trentino-Alto Adige muove dagli assetti già operanti nelle due Province e li struttura verso un fabbisogno a regime dell’ordine di 240 psicologi nello scenario espansivo; la strutturazione procede per gradi attraverso gli scenari conservativo, di base ed espansivo, armonizzando progressivamente i due sistemi.</w:t>
      </w:r>
    </w:p>
  </w:footnote>
  <w:footnote w:id="1909">
    <w:p>
      <w:pPr>
        <w:pStyle w:val="FootnoteText"/>
      </w:pPr>
      <w:r>
        <w:rPr>
          <w:rStyle w:val="FootnoteReference"/>
        </w:rPr>
        <w:footnoteRef/>
      </w:r>
      <w:r>
        <w:t xml:space="preserve"> </w:t>
      </w:r>
      <w:r>
        <w:t xml:space="preserve">Fasi di attuazione: l’attuazione si articola in una fase di strutturazione, con la definizione del modello pieno a partire dagli assetti esistenti; una fase di armonizzazione, nella quale i due ordinamenti provinciali vengono progressivamente allineati; e una fase di regime, nella quale il servizio raggiunge il dimensionamento adeguato al fabbisogno. La progressione differenziata fra i comprensori delle due Province coincide con l’esperimento a cunei progressivi descritto nella Parte F.</w:t>
      </w:r>
    </w:p>
  </w:footnote>
  <w:footnote w:id="1910">
    <w:p>
      <w:pPr>
        <w:pStyle w:val="FootnoteText"/>
      </w:pPr>
      <w:r>
        <w:rPr>
          <w:rStyle w:val="FootnoteReference"/>
        </w:rPr>
        <w:footnoteRef/>
      </w:r>
      <w:r>
        <w:t xml:space="preserve"> </w:t>
      </w:r>
      <w:r>
        <w:t xml:space="preserve">Reclutamento e formazione: l’avvio a regime richiede il reclutamento e la formazione dedicata degli psicologi, secondo il programma a quattro livelli; il bacino professionale e gli atenei dell’Università di Trento e della Libera Università di Bolzano costituiscono una base favorevole, e la formazione specialistica assicura l’omogeneità delle competenze, con particolare attenzione al disagio giovanile e alle competenze linguistiche in tedesco, italiano e ladino.</w:t>
      </w:r>
    </w:p>
  </w:footnote>
  <w:footnote w:id="1911">
    <w:p>
      <w:pPr>
        <w:pStyle w:val="FootnoteText"/>
      </w:pPr>
      <w:r>
        <w:rPr>
          <w:rStyle w:val="FootnoteReference"/>
        </w:rPr>
        <w:footnoteRef/>
      </w:r>
      <w:r>
        <w:t xml:space="preserve"> </w:t>
      </w:r>
      <w:r>
        <w:t xml:space="preserve">Cronoprogramma: l’attuazione si sviluppa su un orizzonte pluriennale, con il raggiungimento del regime in più esercizi; la strutturazione non è subordinata all’approvazione di una legge regionale, ma alla definizione del modello pieno e alla sua armonizzazione fra i due ordinamenti provinciali, agevolata dalla piena autonomia finanziaria e dall’avanzo di bilancio delle due Province.</w:t>
      </w:r>
    </w:p>
  </w:footnote>
  <w:footnote w:id="1912">
    <w:p>
      <w:pPr>
        <w:pStyle w:val="FootnoteText"/>
      </w:pPr>
      <w:r>
        <w:rPr>
          <w:rStyle w:val="FootnoteReference"/>
        </w:rPr>
        <w:footnoteRef/>
      </w:r>
      <w:r>
        <w:t xml:space="preserve"> </w:t>
      </w:r>
      <w:r>
        <w:t xml:space="preserve">Sostenibilità finanziaria: la leva della sostenibilità, nel Trentino-Alto Adige, è la più solida della serie: entrambe le Province autonome finanziano integralmente la sanità con i nove decimi del gettito trattenuto, senza apporto statale, e operano in avanzo, con la spesa pro-capite più alta d’Italia, sicché il costo del modello pieno è agevolmente sostenibile entro l’autonomia di ciascuna Provincia; l’eventuale riconoscimento nei livelli essenziali di assistenza ne rafforzerebbe in futuro la stabilità.</w:t>
      </w:r>
    </w:p>
  </w:footnote>
  <w:footnote w:id="1913">
    <w:p>
      <w:pPr>
        <w:pStyle w:val="FootnoteText"/>
      </w:pPr>
      <w:r>
        <w:rPr>
          <w:rStyle w:val="FootnoteReference"/>
        </w:rPr>
        <w:footnoteRef/>
      </w:r>
      <w:r>
        <w:t xml:space="preserve"> </w:t>
      </w:r>
      <w:r>
        <w:t xml:space="preserve">Sostenibilità organizzativa: la sfida è garantire la strutturazione in un modello pieno e l’armonizzazione fra i due Servizi sanitari provinciali, su un territorio montano e plurilingue; la sostenibilità organizzativa dipende dalla forza della sede di coordinamento fra le due Province e dalla chiarezza degli indirizzi condivisi, nel rispetto dell’autonomia di ciascuna Provincia.</w:t>
      </w:r>
    </w:p>
  </w:footnote>
  <w:footnote w:id="1914">
    <w:p>
      <w:pPr>
        <w:pStyle w:val="FootnoteText"/>
      </w:pPr>
      <w:r>
        <w:rPr>
          <w:rStyle w:val="FootnoteReference"/>
        </w:rPr>
        <w:footnoteRef/>
      </w:r>
      <w:r>
        <w:t xml:space="preserve"> </w:t>
      </w:r>
      <w:r>
        <w:t xml:space="preserve">Monitoraggio dell’attuazione: l’avanzamento è seguito mediante indicatori di processo — sedi attivate, psicologi inquadrati, prese in carico — raccolti attraverso un sistema impostato in forma comparabile e interoperabile fra le due Province, valorizzando i dati già disponibili dal modello trentino e dal Servizio dell’Alto Adige.</w:t>
      </w:r>
    </w:p>
  </w:footnote>
  <w:footnote w:id="1915">
    <w:p>
      <w:pPr>
        <w:pStyle w:val="FootnoteText"/>
      </w:pPr>
      <w:r>
        <w:rPr>
          <w:rStyle w:val="FootnoteReference"/>
        </w:rPr>
        <w:footnoteRef/>
      </w:r>
      <w:r>
        <w:t xml:space="preserve"> </w:t>
      </w:r>
      <w:r>
        <w:t xml:space="preserve">Rischi principali dell’attuazione: la difficoltà di armonizzare due Servizi sanitari provinciali pienamente autonomi, con ordinamenti e assetti diversi; il maggior costo unitario del personale, fra i più alti del Paese; la necessità di garantire l’erogazione in tre lingue; e il rischio che la strutturazione privilegi i centri urbani a scapito delle valli alpine o un solo gruppo linguistico.</w:t>
      </w:r>
    </w:p>
  </w:footnote>
  <w:footnote w:id="1916">
    <w:p>
      <w:pPr>
        <w:pStyle w:val="FootnoteText"/>
      </w:pPr>
      <w:r>
        <w:rPr>
          <w:rStyle w:val="FootnoteReference"/>
        </w:rPr>
        <w:footnoteRef/>
      </w:r>
      <w:r>
        <w:t xml:space="preserve"> </w:t>
      </w:r>
      <w:r>
        <w:t xml:space="preserve">Mitigazioni: i rischi sono fronteggiati con una sede di coordinamento fra le due Province e indirizzi condivisi, con la valorizzazione degli assetti già operanti che consente un apprendimento progressivo, e con un’allocazione pro-equità che orienta la strutturazione verso le valli a maggiore bisogno e garantisce l’erogazione in tutte le lingue del territorio; l’avanzo di bilancio e il sostegno dell’Ordine professionale concorrono a ridurre l’incertezza.</w:t>
      </w:r>
    </w:p>
  </w:footnote>
  <w:footnote w:id="1917">
    <w:p>
      <w:pPr>
        <w:pStyle w:val="FootnoteText"/>
      </w:pPr>
      <w:r>
        <w:rPr>
          <w:rStyle w:val="FootnoteReference"/>
        </w:rPr>
        <w:footnoteRef/>
      </w:r>
      <w:r>
        <w:t xml:space="preserve"> </w:t>
      </w:r>
      <w:r>
        <w:t xml:space="preserve">Sintesi dell’attuazione: l’intervento è attuabile e sostenibile, e la leva propria del Trentino-Alto Adige è la strutturazione del servizio in un modello pieno e la sua armonizzazione fra i due ordinamenti provinciali; il territorio muove da assetti già operanti in entrambe le Province, da un bacino professionale adeguato e dalla piena autonomia finanziaria, con bilanci in avanzo, sicché le condizioni di fattibilità sono fra le più favorevoli della serie.</w:t>
      </w:r>
    </w:p>
  </w:footnote>
  <w:footnote w:id="1918">
    <w:p>
      <w:pPr>
        <w:pStyle w:val="FootnoteText"/>
      </w:pPr>
      <w:r>
        <w:rPr>
          <w:rStyle w:val="FootnoteReference"/>
        </w:rPr>
        <w:footnoteRef/>
      </w:r>
      <w:r>
        <w:t xml:space="preserve"> </w:t>
      </w:r>
      <w:r>
        <w:t xml:space="preserve">Struttura per età: il Trentino-Alto Adige è fra le regioni più giovani d’Italia, con una speranza di vita fra le più elevate del Paese — in Trentino superiore alla media nazionale di circa 6,7 anni — e con la provincia di Bolzano leggermente più giovane di quella di Trento, per effetto di una natalità più alta. La componente anziana, pur in crescita come ovunque, è accompagnata da indicatori di salute e di autonomia funzionale fra i migliori d’Italia, sicché il carico della cronicità grava meno che nelle regioni più anziane.</w:t>
      </w:r>
    </w:p>
  </w:footnote>
  <w:footnote w:id="1919">
    <w:p>
      <w:pPr>
        <w:pStyle w:val="FootnoteText"/>
      </w:pPr>
      <w:r>
        <w:rPr>
          <w:rStyle w:val="FootnoteReference"/>
        </w:rPr>
        <w:footnoteRef/>
      </w:r>
      <w:r>
        <w:t xml:space="preserve"> </w:t>
      </w:r>
      <w:r>
        <w:t xml:space="preserve">Dimensione linguistica e culturale: a differenza delle altre regioni, nel Trentino-Alto Adige la competenza linguistica è un tratto strutturale e costituzionalmente tutelato. Il Censimento linguistico 2024 dell’Alto Adige ha rilevato il 68,61% di appartenenti al gruppo tedesco, il 26,98% al gruppo italiano e il 4,41% al gruppo ladino, con proporzionale etnica nella ripartizione delle risorse e nelle assunzioni pubbliche; in Trentino la popolazione è prevalentemente italofona, con minoranze ladine, mochene e cimbre. La componente straniera, dell’ordine del 9-10%, si aggiunge a un quadro in cui il servizio deve essere erogato nelle diverse lingue del territorio.</w:t>
      </w:r>
    </w:p>
  </w:footnote>
  <w:footnote w:id="1920">
    <w:p>
      <w:pPr>
        <w:pStyle w:val="FootnoteText"/>
      </w:pPr>
      <w:r>
        <w:rPr>
          <w:rStyle w:val="FootnoteReference"/>
        </w:rPr>
        <w:footnoteRef/>
      </w:r>
      <w:r>
        <w:t xml:space="preserve"> </w:t>
      </w:r>
      <w:r>
        <w:t xml:space="preserve">Distribuzione territoriale: la popolazione si ripartisce fra due Province autonome di dimensione simile e si addensa nei centri urbani — Trento e Bolzano, ciascuna intorno ai centomila abitanti, e Merano — mentre una quota rilevante risiede in comuni di piccola dimensione disseminati nelle valli alpine. La conformazione montana, con vallate distinte e spesso distanti dai centri maggiori, è il tratto geografico che più condiziona l’organizzazione e l’accesso ai servizi territoriali.</w:t>
      </w:r>
    </w:p>
  </w:footnote>
  <w:footnote w:id="1921">
    <w:p>
      <w:pPr>
        <w:pStyle w:val="FootnoteText"/>
      </w:pPr>
      <w:r>
        <w:rPr>
          <w:rStyle w:val="FootnoteReference"/>
        </w:rPr>
        <w:footnoteRef/>
      </w:r>
      <w:r>
        <w:t xml:space="preserve"> </w:t>
      </w:r>
      <w:r>
        <w:t xml:space="preserve">Profilo territoriale: da un lato i centri urbani di Trento, Bolzano e Merano, che concentrano popolazione e servizi; dall’altro le numerose valli alpine a popolazione dispersa, dove le distanze e l’orografia rendono più oneroso il raggiungimento dei servizi. A questo asse territoriale si sovrappone, in Alto Adige, quello linguistico, poiché l’offerta deve essere garantita in tedesco, italiano e ladino secondo l’appartenenza dei residenti. Sono i due assi di disuguaglianza più caratteristici del territorio.</w:t>
      </w:r>
    </w:p>
  </w:footnote>
  <w:footnote w:id="1922">
    <w:p>
      <w:pPr>
        <w:pStyle w:val="FootnoteText"/>
      </w:pPr>
      <w:r>
        <w:rPr>
          <w:rStyle w:val="FootnoteReference"/>
        </w:rPr>
        <w:footnoteRef/>
      </w:r>
    </w:p>
  </w:footnote>
  <w:footnote w:id="1923">
    <w:p>
      <w:pPr>
        <w:pStyle w:val="FootnoteText"/>
      </w:pPr>
      <w:r>
        <w:rPr>
          <w:rStyle w:val="FootnoteReference"/>
        </w:rPr>
        <w:footnoteRef/>
      </w:r>
      <w:r>
        <w:t xml:space="preserve"> </w:t>
      </w:r>
      <w:r>
        <w:t xml:space="preserve">Profilo territoriale: da un lato i centri urbani di Trento, Bolzano e Merano, che concentrano popolazione e servizi; dall’altro le numerose valli alpine a popolazione dispersa, dove le distanze e l’orografia rendono più oneroso il raggiungimento dei servizi. A questo asse territoriale si sovrappone, in Alto Adige, quello linguistico, poiché l’offerta deve essere garantita in tedesco, italiano e ladino secondo l’appartenenza dei residenti. Sono i due assi di disuguaglianza più caratteristici del territorio.Definizione: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 Trentino-Alto Adige tale funzione è già esercitata in forme diverse dalle due Province autonome — il modello trentino di convenzione con studi privati e il Servizio psicologico territoriale dell’Alto Adige — e si tratta di strutturarla in un modello pieno e di armonizzarla fra i due ordinamenti provinciali, nel rispetto della rispettiva autonomia e del plurilinguismo.</w:t>
      </w:r>
    </w:p>
  </w:footnote>
  <w:footnote w:id="1924">
    <w:p>
      <w:pPr>
        <w:pStyle w:val="FootnoteText"/>
      </w:pPr>
      <w:r>
        <w:rPr>
          <w:rStyle w:val="FootnoteReference"/>
        </w:rPr>
        <w:footnoteRef/>
      </w:r>
    </w:p>
  </w:footnote>
  <w:footnote w:id="1925">
    <w:p>
      <w:pPr>
        <w:pStyle w:val="FootnoteText"/>
      </w:pPr>
      <w:r>
        <w:rPr>
          <w:rStyle w:val="FootnoteReference"/>
        </w:rPr>
        <w:footnoteRef/>
      </w:r>
      <w:r>
        <w:t xml:space="preserve"> </w:t>
      </w:r>
      <w:r>
        <w:t xml:space="preserve">Profilo territoriale: da un lato i centri urbani di Trento, Bolzano e Merano, che concentrano popolazione e servizi; dall’altro le numerose valli alpine a popolazione dispersa, dove le distanze e l’orografia rendono più oneroso il raggiungimento dei servizi. A questo asse territoriale si sovrappone, in Alto Adige, quello linguistico, poiché l’offerta deve essere garantita in tedesco, italiano e ladino secondo l’appartenenza dei residenti. Sono i due assi di disuguaglianza più caratteristici del territorio.Definizione: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 Trentino-Alto Adige tale funzione è già esercitata in forme diverse dalle due Province autonome — il modello trentino di convenzione con studi privati e il Servizio psicologico territoriale dell’Alto Adige — e si tratta di strutturarla in un modello pieno e di armonizzarla fra i due ordinamenti provinciali, nel rispetto della rispettiva autonomia e del plurilinguismo.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1926">
    <w:p>
      <w:pPr>
        <w:pStyle w:val="FootnoteText"/>
      </w:pPr>
      <w:r>
        <w:rPr>
          <w:rStyle w:val="FootnoteReference"/>
        </w:rPr>
        <w:footnoteRef/>
      </w:r>
      <w:r>
        <w:t xml:space="preserve"> </w:t>
      </w:r>
      <w:r>
        <w:t xml:space="preserve">Costo del servizio: assumendo un costo medio annuo per psicologo dell’ordine di 60.000 euro, comprensivo degli oneri, i tre scenari di copertura corrispondono a un costo annuo a regime dell’ordine di 7 milioni di euro nello scenario conservativo (circa 120 psicologi), 11 milioni nello scenario di base (circa 180) e 14 milioni nello scenario espansivo (circa 240). Il riferimento di 60.000 euro è più elevato che nelle altre regioni della serie, poiché il livello retributivo nel Trentino-Alto Adige è fra i più alti del Paese; i costi vanno letti come stima di base.</w:t>
      </w:r>
    </w:p>
  </w:footnote>
  <w:footnote w:id="1927">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Gli assetti attuali delle due Province, in forme parziali e non armonizzate, sono inferiori allo stesso scenario conservativo; gli scenari qui considerati rappresentano il modello pieno a copertura sistematica in entrambe le Province, e non le forme iniziali esistenti.</w:t>
      </w:r>
    </w:p>
  </w:footnote>
  <w:footnote w:id="1928">
    <w:p>
      <w:pPr>
        <w:pStyle w:val="FootnoteText"/>
      </w:pPr>
      <w:r>
        <w:rPr>
          <w:rStyle w:val="FootnoteReference"/>
        </w:rPr>
        <w:footnoteRef/>
      </w:r>
      <w:r>
        <w:t xml:space="preserve"> </w:t>
      </w:r>
      <w:r>
        <w:t xml:space="preserve">Risparmio diretto sugli accessi impropri al pronto soccorso: dell’ordine di 1, 1 e 2 milioni di euro l’anno nei tre scenari, per effetto della riduzione degli accessi per cause psichiatriche e somatoformi intercettabili a livello territoriale, resi più onerosi dalle distanze nelle valli alpine; il margine è contenuto da un sistema di cure primarie già ben dotato.</w:t>
      </w:r>
    </w:p>
  </w:footnote>
  <w:footnote w:id="1929">
    <w:p>
      <w:pPr>
        <w:pStyle w:val="FootnoteText"/>
      </w:pPr>
      <w:r>
        <w:rPr>
          <w:rStyle w:val="FootnoteReference"/>
        </w:rPr>
        <w:footnoteRef/>
      </w:r>
      <w:r>
        <w:t xml:space="preserve"> </w:t>
      </w:r>
      <w:r>
        <w:t xml:space="preserve">Risparmio diretto sulla spesa farmaceutica: dell’ordine di 1, 2 e 2 milioni di euro l’anno, per effetto della riduzione delle prescrizioni inappropriate di antidepressivi e ansiolitici nei quadri lievi, in favore dell’intervento psicologico; il margine è di entità ordinaria, in un sistema farmaceutico già governato.</w:t>
      </w:r>
    </w:p>
  </w:footnote>
  <w:footnote w:id="1930">
    <w:p>
      <w:pPr>
        <w:pStyle w:val="FootnoteText"/>
      </w:pPr>
      <w:r>
        <w:rPr>
          <w:rStyle w:val="FootnoteReference"/>
        </w:rPr>
        <w:footnoteRef/>
      </w:r>
      <w:r>
        <w:t xml:space="preserve"> </w:t>
      </w:r>
      <w:r>
        <w:t xml:space="preserve">Risparmio diretto su ricoveri e specialistica: dell’ordine di 2, 3 e 5 milioni di euro l’anno, per effetto della riduzione di ricoveri evitabili, consulti specialistici ripetuti e accertamenti inappropriati connessi a disagio non riconosciuto; il margine di recupero è qui più contenuto che altrove, poiché il sistema è già ampiamente dotato ed efficiente e lascia meno consumo improprio da recuperare.</w:t>
      </w:r>
    </w:p>
  </w:footnote>
  <w:footnote w:id="1931">
    <w:p>
      <w:pPr>
        <w:pStyle w:val="FootnoteText"/>
      </w:pPr>
      <w:r>
        <w:rPr>
          <w:rStyle w:val="FootnoteReference"/>
        </w:rPr>
        <w:footnoteRef/>
      </w:r>
      <w:r>
        <w:t xml:space="preserve"> </w:t>
      </w:r>
      <w:r>
        <w:t xml:space="preserve">Recupero della mobilità sanitaria: per il Trentino-Alto Adige il contributo è trascurabile, dell’ordine di 0, 1 e 1 milione di euro l’anno nei tre scenari. Il saldo di mobilità è modesto e per alcune branche attivo, poiché le due Province, per dotazione e qualità dei servizi, attraggono pazienti più di quanti ne perdano; questo canale contribuisce perciò solo marginalmente, a differenza delle regioni a forte saldo passivo.</w:t>
      </w:r>
    </w:p>
  </w:footnote>
  <w:footnote w:id="1932">
    <w:p>
      <w:pPr>
        <w:pStyle w:val="FootnoteText"/>
      </w:pPr>
      <w:r>
        <w:rPr>
          <w:rStyle w:val="FootnoteReference"/>
        </w:rPr>
        <w:footnoteRef/>
      </w:r>
    </w:p>
  </w:footnote>
  <w:footnote w:id="1933">
    <w:p>
      <w:pPr>
        <w:pStyle w:val="FootnoteText"/>
      </w:pPr>
      <w:r>
        <w:rPr>
          <w:rStyle w:val="FootnoteReference"/>
        </w:rPr>
        <w:footnoteRef/>
      </w:r>
      <w:r>
        <w:t xml:space="preserve"> </w:t>
      </w:r>
      <w:r>
        <w:t xml:space="preserve">Recupero della mobilità sanitaria: per il Trentino-Alto Adige il contributo è trascurabile, dell’ordine di 0, 1 e 1 milione di euro l’anno nei tre scenari. Il saldo di mobilità è modesto e per alcune branche attivo, poiché le due Province, per dotazione e qualità dei servizi, attraggono pazienti più di quanti ne perdano; questo canale contribuisce perciò solo marginalmente, a differenza delle regioni a forte saldo passivo.Finalità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1934">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1935">
    <w:p>
      <w:pPr>
        <w:pStyle w:val="FootnoteText"/>
      </w:pPr>
      <w:r>
        <w:rPr>
          <w:rStyle w:val="FootnoteReference"/>
        </w:rPr>
        <w:footnoteRef/>
      </w:r>
      <w:r>
        <w:t xml:space="preserve"> </w:t>
      </w:r>
      <w:r>
        <w:t xml:space="preserve">Disegno controfattuale sulla strutturazione progressiva: poiché nel Trentino-Alto Adige la strutturazione del modello pieno avverrà in tempi differenziati fra i comprensori e i distretti delle due Province, la valutazione d’impatto può fondarsi su un esperimento a cunei progressivi, nel quale l’ordine e i tempi di attivazione fra i territori sono impiegati a fini valutativi; gli assetti già operanti offrono una linea di base più ricca di quella delle regioni che partono da zero, utile a calibrare le stime.</w:t>
      </w:r>
    </w:p>
  </w:footnote>
  <w:footnote w:id="1936">
    <w:p>
      <w:pPr>
        <w:pStyle w:val="FootnoteText"/>
      </w:pPr>
      <w:r>
        <w:rPr>
          <w:rStyle w:val="FootnoteReference"/>
        </w:rPr>
        <w:footnoteRef/>
      </w:r>
      <w:r>
        <w:t xml:space="preserve"> </w:t>
      </w:r>
      <w:r>
        <w:t xml:space="preserve">Linea di base dalla progressione differenziata: il diverso grado di strutturazione del modello pieno fra i comprensori delle due Province consente di costruire termini di confronto interni; la rilevazione, impostata in forma uniforme e interoperabile fra i due sistemi provinciali, fonda una stima dell’effetto su dati propri, valorizzando quelli già disponibili dal modello trentino e dal Servizio dell’Alto Adige.</w:t>
      </w:r>
    </w:p>
  </w:footnote>
  <w:footnote w:id="1937">
    <w:p>
      <w:pPr>
        <w:pStyle w:val="FootnoteText"/>
      </w:pPr>
      <w:r>
        <w:rPr>
          <w:rStyle w:val="FootnoteReference"/>
        </w:rPr>
        <w:footnoteRef/>
      </w:r>
      <w:r>
        <w:t xml:space="preserve"> </w:t>
      </w:r>
      <w:r>
        <w:t xml:space="preserve">Metodi di stima dell’effetto: l’effetto causale è stimato con la differenza-nelle-differenze, che confronta l’evoluzione dei comprensori dove il modello pieno è già strutturato con quella dei comprensori non ancora raggiunti, e con il metodo del controllo sintetico, che costruisce un termine di confronto a partire dai dati osservati; la progressione differenziata della strutturazione fra i comprensori delle due Province fornisce la variazione necessaria all’identificazione.</w:t>
      </w:r>
    </w:p>
  </w:footnote>
  <w:footnote w:id="1938">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1939">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1940">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1941">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1942">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1943">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1944">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1945">
    <w:p>
      <w:pPr>
        <w:pStyle w:val="FootnoteText"/>
      </w:pPr>
      <w:r>
        <w:rPr>
          <w:rStyle w:val="FootnoteReference"/>
        </w:rPr>
        <w:footnoteRef/>
      </w:r>
      <w:r>
        <w:t xml:space="preserve"> </w:t>
      </w:r>
      <w:r>
        <w:t xml:space="preserve">Indicatori di mobilità: per il Trentino-Alto Adige sono monitorati ma costituiscono un esito atteso trascurabile, poiché le due Province attraggono pazienti più di quanti ne perdano e la mobilità non riguarda la domanda psicologica territoriale; la loro rilevazione serve a documentare un effetto marginale, non un effetto principale.</w:t>
      </w:r>
    </w:p>
  </w:footnote>
  <w:footnote w:id="1946">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sardo.</w:t>
      </w:r>
    </w:p>
  </w:footnote>
  <w:footnote w:id="1947">
    <w:p>
      <w:pPr>
        <w:pStyle w:val="FootnoteText"/>
      </w:pPr>
      <w:r>
        <w:rPr>
          <w:rStyle w:val="FootnoteReference"/>
        </w:rPr>
        <w:footnoteRef/>
      </w:r>
      <w:r>
        <w:t xml:space="preserve"> </w:t>
      </w:r>
      <w:r>
        <w:t xml:space="preserve">Cruscotto di monitoraggio: gli indicatori confluiscono in un cruscotto aggiornato periodicamente, che rende trasparente l’andamento del servizio e ne consente la correzione; la titolarità del cruscotto è condivisa fra le due Province autonome, l’APSS e l’Azienda Sanitaria dell’Alto Adige (Sabes), che ne assicurano l’alimentazione comparabile e interoperabile fra i due sistemi.</w:t>
      </w:r>
    </w:p>
  </w:footnote>
  <w:footnote w:id="1948">
    <w:p>
      <w:pPr>
        <w:pStyle w:val="FootnoteText"/>
      </w:pPr>
      <w:r>
        <w:rPr>
          <w:rStyle w:val="FootnoteReference"/>
        </w:rPr>
        <w:footnoteRef/>
      </w:r>
      <w:r>
        <w:t xml:space="preserve"> </w:t>
      </w:r>
      <w:r>
        <w:t xml:space="preserve">Clausola valutativa: lo strumento attraverso cui il monitoraggio diventa vincolante è la clausola valutativa; il compito è corredare la strutturazione del modello pieno di clausole valutative, nei rispettivi ordinamenti provinciali, che impegnino le Giunte a riferire periodicamente ai Consigli provinciali sull’attuazione e sui risultati, traendo dagli assetti già operanti la base informativa e assicurando la comparabilità fra le due Province.</w:t>
      </w:r>
    </w:p>
  </w:footnote>
  <w:footnote w:id="1949">
    <w:p>
      <w:pPr>
        <w:pStyle w:val="FootnoteText"/>
      </w:pPr>
      <w:r>
        <w:rPr>
          <w:rStyle w:val="FootnoteReference"/>
        </w:rPr>
        <w:footnoteRef/>
      </w:r>
      <w:r>
        <w:t xml:space="preserve"> </w:t>
      </w:r>
      <w:r>
        <w:t xml:space="preserve">Flusso informativo: la raccolta dei dati di processo e di esito poggia sui sistemi informativi delle due aziende sanitarie provinciali; il flusso va impostato in forma comparabile, completa e interoperabile fra i due sistemi, valorizzando i dati già disponibili dal modello trentino e dal Servizio dell’Alto Adige e assicurando l’uniformità della rilevazione fra le due Province.</w:t>
      </w:r>
    </w:p>
  </w:footnote>
  <w:footnote w:id="1950">
    <w:p>
      <w:pPr>
        <w:pStyle w:val="FootnoteText"/>
      </w:pPr>
      <w:r>
        <w:rPr>
          <w:rStyle w:val="FootnoteReference"/>
        </w:rPr>
        <w:footnoteRef/>
      </w:r>
      <w:r>
        <w:t xml:space="preserve"> </w:t>
      </w:r>
      <w:r>
        <w:t xml:space="preserve">Tempi della valutazione: la valutazione si articola in un monitoraggio in itinere, che accompagna la strutturazione progressiva del servizio e ne osserva la diversa progressione fra i comprensori delle due Province; e in una valutazione ex post, che misura l’effetto a regime e ne verifica la sostenibilità; gli assetti già operanti consentono di disporre di una base informativa più ricca di quella delle regioni che partono da zero.</w:t>
      </w:r>
    </w:p>
  </w:footnote>
  <w:footnote w:id="1951">
    <w:p>
      <w:pPr>
        <w:pStyle w:val="FootnoteText"/>
      </w:pPr>
      <w:r>
        <w:rPr>
          <w:rStyle w:val="FootnoteReference"/>
        </w:rPr>
        <w:footnoteRef/>
      </w:r>
      <w:r>
        <w:t xml:space="preserve"> </w:t>
      </w:r>
      <w:r>
        <w:t xml:space="preserve">Sintesi del monitoraggio: la valutazione è la condizione per trasformare la strutturazione del servizio in apprendimento, e il Trentino-Alto Adige può fondarla su dati operativi reali già disponibili dagli assetti delle due Province; perché ciò si realizzi, occorre corredare la strutturazione di clausole valutative nei rispettivi ordinamenti provinciali e consolidare un flusso informativo comparabile e interoperabile fra le due Province, valorizzando l’esperienza già maturata.</w:t>
      </w:r>
    </w:p>
  </w:footnote>
  <w:footnote w:id="1952">
    <w:p>
      <w:pPr>
        <w:pStyle w:val="FootnoteText"/>
      </w:pPr>
      <w:r>
        <w:rPr>
          <w:rStyle w:val="FootnoteReference"/>
        </w:rPr>
        <w:footnoteRef/>
      </w:r>
      <w:r>
        <w:t xml:space="preserve"> </w:t>
      </w:r>
      <w:r>
        <w:t xml:space="preserve">Ricadute economico-sociali per la collettività: dell’ordine di 25, 48 e 67 milioni di euro l’anno nei tre scenari, comprensive del recupero di produttività connesso alla riduzione dell’assenteismo e della perdita di rendimento lavorativo — con peso particolare in un’economia ad alta attività, a pieno impiego e con redditi e produttività fra i più alti d’Europa, e nella componente giovanile, prevalente in una delle regioni più giovani d’Italia — oltre al valore del benessere recuperato e al minor carico assistenziale sulle famiglie; sono stimate con criteri conservativi.</w:t>
      </w:r>
    </w:p>
  </w:footnote>
  <w:footnote w:id="1953">
    <w:p>
      <w:pPr>
        <w:pStyle w:val="FootnoteText"/>
      </w:pPr>
      <w:r>
        <w:rPr>
          <w:rStyle w:val="FootnoteReference"/>
        </w:rPr>
        <w:footnoteRef/>
      </w:r>
      <w:r>
        <w:t xml:space="preserve"> </w:t>
      </w:r>
      <w:r>
        <w:t xml:space="preserve">Ritorno complessivo annuo, somma dei risparmi diretti e delle ricadute sociali: dell’ordine di 29, 55 e 77 milioni di euro nei tre scenari. Detratto il costo del servizio, il saldo complessivo per la collettività è ampiamente positivo, dell’ordine di +22, +44 e +63 milioni di euro l’anno.</w:t>
      </w:r>
    </w:p>
  </w:footnote>
  <w:footnote w:id="1954">
    <w:p>
      <w:pPr>
        <w:pStyle w:val="FootnoteText"/>
      </w:pPr>
      <w:r>
        <w:rPr>
          <w:rStyle w:val="FootnoteReference"/>
        </w:rPr>
        <w:footnoteRef/>
      </w:r>
      <w:r>
        <w:t xml:space="preserve"> </w:t>
      </w:r>
      <w:r>
        <w:t xml:space="preserve">Rapporto beneficio-costo complessivo: dell’ordine di 4,1 a uno nello scenario conservativo, 5,0 a uno in quello di base e 5,5 a uno in quello espansivo, interamente compreso nella banda prudenziale di 3,8-5,5 a uno adottata dallo studio e coerente con le stime metodologicamente fondate della letteratura.</w:t>
      </w:r>
    </w:p>
  </w:footnote>
  <w:footnote w:id="1955">
    <w:p>
      <w:pPr>
        <w:pStyle w:val="FootnoteText"/>
      </w:pPr>
      <w:r>
        <w:rPr>
          <w:rStyle w:val="FootnoteReference"/>
        </w:rPr>
        <w:footnoteRef/>
      </w:r>
      <w:r>
        <w:t xml:space="preserve"> </w:t>
      </w:r>
      <w:r>
        <w:t xml:space="preserve">Distinzione cardine fra caso finanziario e caso economico: è il punto che lo studio tiene fermo per il Trentino-Alto Adige e che ne governa la lettura. Il caso puramente finanziario per il bilancio sanitario è di disavanzo, più ampio che nelle regioni sotto-finanziate perché il sistema, già ben dotato, lascia minori margini di recupero e il canale della mobilità è trascurabile; tale disavanzo resta tuttavia modesto e agevolmente sostenibile a fronte dell’avanzo di bilancio.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contenuto e pienamente compatibile con la solidità finanziaria del territorio.</w:t>
      </w:r>
    </w:p>
  </w:footnote>
  <w:footnote w:id="1956">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1957">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1958">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1959">
    <w:p>
      <w:pPr>
        <w:pStyle w:val="FootnoteText"/>
      </w:pPr>
      <w:r>
        <w:rPr>
          <w:rStyle w:val="FootnoteReference"/>
        </w:rPr>
        <w:footnoteRef/>
      </w:r>
      <w:r>
        <w:t xml:space="preserve"> </w:t>
      </w:r>
      <w:r>
        <w:t xml:space="preserve">Impatto sul bilancio e sostenibilità: il costo del servizio a regime rappresenta una frazione contenuta della spesa sanitaria, dell’ordine dello 0,3% nello scenario conservativo e dello 0,5% in quello espansivo. La sostenibilità è qui il punto più favorevole della serie: entrambe le Province autonome finanziano integralmente la sanità con i nove decimi del gettito trattenuto, senza apporto a carico dello Stato, e operano in avanzo, con la spesa pro-capite più alta d’Italia. Il vincolo non è la scarsità di risorse: la strutturazione del modello pieno è agevolmente finanziabile entro l’autonomia di bilancio di ciascuna Provincia, e la questione è di scelta allocativa e di coordinamento, non di copertura.</w:t>
      </w:r>
    </w:p>
  </w:footnote>
  <w:footnote w:id="1960">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(1,8%) e non estratte dai conti certificati delle due aziende sanitarie provinciali; il Trentino-Alto Adige dispone tuttavia, grazie agli assetti già operanti, di una base di dati propri più solida di quella delle regioni che partono da zero, sicché la stima, fondata sui benchmark internazionali, può essere affinata con i dati del modello trentino e del Servizio dell’Alto Adige. L’estrazione dei dati certificati delle due Province resta la priorità da completare prima della presentazione esterna.</w:t>
      </w:r>
    </w:p>
  </w:footnote>
  <w:footnote w:id="1961">
    <w:p>
      <w:pPr>
        <w:pStyle w:val="FootnoteText"/>
      </w:pPr>
      <w:r>
        <w:rPr>
          <w:rStyle w:val="FootnoteReference"/>
        </w:rPr>
        <w:footnoteRef/>
      </w:r>
      <w:r>
        <w:t xml:space="preserve"> </w:t>
      </w:r>
      <w:r>
        <w:t xml:space="preserve">Sintesi della valutazione economica: il caso diretto è prudente e in disavanzo modesto per il bilancio sanitario, agevolmente sostenibile a fronte dell’avanzo;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1962">
    <w:p>
      <w:pPr>
        <w:pStyle w:val="FootnoteText"/>
      </w:pPr>
      <w:r>
        <w:rPr>
          <w:rStyle w:val="FootnoteReference"/>
        </w:rPr>
        <w:footnoteRef/>
      </w:r>
      <w:r>
        <w:t xml:space="preserve"> </w:t>
      </w:r>
      <w:r>
        <w:t xml:space="preserve">Bisogno potenziale stimato nell’ordine di 217.000 persone con disagio comune, in parte già raggiunto dagli assetti esistenti delle due Province ma non ancora coperto in un modello pieno; poiché il servizio è presente in forme diverse e non armonizzate, l’intervento va strutturato e dimensionato verso il fabbisogno a regime in entrambe le Province autonome.</w:t>
      </w:r>
    </w:p>
  </w:footnote>
  <w:footnote w:id="1963">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servizi di salute mentale. Il punto di partenza è dato dai due assetti provinciali esistenti: in Trentino il modello di convenzione fra l’APSS e studi psicologici privati (legge provinciale del 2016), che eroga cicli di sedute in sei ambiti su invio dell’Azienda e con ticket; in Alto Adige il Servizio psicologico territoriale pubblico, organizzato per comprensori sanitari e bilingue. La strutturazione in un modello pieno di psicologo di base e l’armonizzazione fra i due assetti — in un territorio ripartito in due Province autonome con Servizi sanitari distinti, e con l’esigenza di erogare il servizio in tedesco, italiano e ladino — sono la sfida organizzativa principale, da affrontare nel rispetto dell’autonomia di ciascuna Provincia.</w:t>
      </w:r>
    </w:p>
  </w:footnote>
  <w:footnote w:id="1964">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1965">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da strutturare in forma piena e armonizzata fra le due Province a partire dagli assetti già operanti, alle restanti, affronta i quadri più frequenti — sintomatologia ansioso-depressiva, problemi di adattamento, fasi del ciclo di vita, disagi emotivi transitori, problematiche psicosomatiche.</w:t>
      </w:r>
    </w:p>
  </w:footnote>
  <w:footnote w:id="1966">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1967">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968">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969">
    <w:p>
      <w:pPr>
        <w:pStyle w:val="FootnoteText"/>
      </w:pPr>
      <w:r>
        <w:rPr>
          <w:rStyle w:val="FootnoteReference"/>
        </w:rPr>
        <w:footnoteRef/>
      </w:r>
    </w:p>
  </w:footnote>
  <w:footnote w:id="1970">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1971">
    <w:p>
      <w:pPr>
        <w:pStyle w:val="FootnoteText"/>
      </w:pPr>
      <w:r>
        <w:rPr>
          <w:rStyle w:val="FootnoteReference"/>
        </w:rPr>
        <w:footnoteRef/>
      </w:r>
      <w:r>
        <w:t xml:space="preserve"> </w:t>
      </w:r>
      <w:r>
        <w:t xml:space="preserve">Sintesi per dominio: il bisogno è ampio in un territorio fra i più giovani d’Italia, con il disagio giovanile in primo piano e la dimensione plurilingue; l’efficacia clinica è sostenuta da evidenza internazionale solida, affinata dai dati propri degli assetti già operanti; il quadro economico distingue un caso finanziario di disavanzo modesto, agevolmente sostenibile a fronte dell’avanzo, da un caso sociale fortemente positivo; l’equità è favorevole sull’asse territoriale e su quello linguistico e sulla dimensione generazionale, ed è rafforzata dall’armonizzazione fra le due Province; la fattibilità è quella della strutturazione di assetti già operanti, agevolata dalla piena autonomia finanziaria; il monitoraggio può fondarsi su una base informativa più ricca che altrove. La convergenza dei domini sostiene una raccomandazione favorevole.</w:t>
      </w:r>
    </w:p>
  </w:footnote>
  <w:footnote w:id="1972">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1973">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1974">
    <w:p>
      <w:pPr>
        <w:pStyle w:val="FootnoteText"/>
      </w:pPr>
      <w:r>
        <w:rPr>
          <w:rStyle w:val="FootnoteReference"/>
        </w:rPr>
        <w:footnoteRef/>
      </w:r>
      <w:r>
        <w:t xml:space="preserve"> </w:t>
      </w:r>
      <w:r>
        <w:t xml:space="preserve">Punteggio dell’intervento: la media ponderata dei punteggi attribuiti all’intervento è dell’ordine di 81,0 su 100, la più elevata della serie, sostenuta dal punteggio molto alto nell’impatto sul bilancio e nella sostenibilità — che riflette la piena autonomia finanziaria e l’avanzo di bilancio delle due Province — e dai punteggi elevati nel valore sociale, nella costo-efficacia e nella coerenza strategica, e contenuta dal punteggio più basso nella robustezza dell’evidenza.</w:t>
      </w:r>
    </w:p>
  </w:footnote>
  <w:footnote w:id="1975">
    <w:p>
      <w:pPr>
        <w:pStyle w:val="FootnoteText"/>
      </w:pPr>
      <w:r>
        <w:rPr>
          <w:rStyle w:val="FootnoteReference"/>
        </w:rPr>
        <w:footnoteRef/>
      </w:r>
      <w:r>
        <w:t xml:space="preserve"> </w:t>
      </w:r>
      <w:r>
        <w:t xml:space="preserve">Punteggio del non intervento: l’alternativa di non portare il servizio a regime ottiene una media ponderata dell’ordine di 39,2 su 100; essa è penalizzata in tutti i criteri sostanziali — efficacia, equità, valore sociale, ritorno — e è sostenuta soltanto dalla fattibilità immediata dello status quo, che però nel Trentino-Alto Adige appare oggi poco giustificata, poiché lascerebbe non strutturati e non armonizzati assetti già operanti in entrambe le Province.</w:t>
      </w:r>
    </w:p>
  </w:footnote>
  <w:footnote w:id="1976">
    <w:p>
      <w:pPr>
        <w:pStyle w:val="FootnoteText"/>
      </w:pPr>
      <w:r>
        <w:rPr>
          <w:rStyle w:val="FootnoteReference"/>
        </w:rPr>
        <w:footnoteRef/>
      </w:r>
      <w:r>
        <w:t xml:space="preserve"> </w:t>
      </w:r>
      <w:r>
        <w:t xml:space="preserve">Interpretazione del confronto: l’intervento prevale nettamente sul non intervento, con uno scarto dell’ordine di quarantadue punti; il punteggio dell’intervento si colloca al primo posto fra le regioni esaminate, riflettendo la piena autonomia finanziaria, l’avanzo di bilancio e gli assetti già operanti, pur scontando un caso finanziario diretto in disavanzo modesto, peraltro agevolmente sostenibile.</w:t>
      </w:r>
    </w:p>
  </w:footnote>
  <w:footnote w:id="1977">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1978">
    <w:p>
      <w:pPr>
        <w:pStyle w:val="FootnoteText"/>
      </w:pPr>
      <w:r>
        <w:rPr>
          <w:rStyle w:val="FootnoteReference"/>
        </w:rPr>
        <w:footnoteRef/>
      </w:r>
      <w:r>
        <w:t xml:space="preserve"> </w:t>
      </w:r>
      <w:r>
        <w:t xml:space="preserve">Raccomandazione principale: si raccomanda di strutturare in un modello pieno di psicologo di base gli assetti già operanti nelle due Province — il modello trentino di convenzione e il Servizio psicologico dell’Alto Adige — armonizzandoli fra i due ordinamenti provinciali e dimensionandolo verso la copertura piena del fabbisogno; è la decisione che il Trentino-Alto Adige, dotato di assetti già operanti e di piena autonomia finanziaria, è chiamato a compiere per dare al servizio una forma compiuta e omogenea.</w:t>
      </w:r>
    </w:p>
  </w:footnote>
  <w:footnote w:id="1979">
    <w:p>
      <w:pPr>
        <w:pStyle w:val="FootnoteText"/>
      </w:pPr>
      <w:r>
        <w:rPr>
          <w:rStyle w:val="FootnoteReference"/>
        </w:rPr>
        <w:footnoteRef/>
      </w:r>
      <w:r>
        <w:t xml:space="preserve"> </w:t>
      </w:r>
      <w:r>
        <w:t xml:space="preserve">Dimensionamento raccomandato: si raccomanda di muovere dagli assetti già operanti nelle due Province e di procedere per gradi verso lo scenario conservativo, dell’ordine di 120 psicologi, quindi verso quello di base, dell’ordine di 180, e infine verso quello espansivo, dell’ordine di 240, in funzione della verifica progressiva dei risultati e della sostenibilità.</w:t>
      </w:r>
    </w:p>
  </w:footnote>
  <w:footnote w:id="1980">
    <w:p>
      <w:pPr>
        <w:pStyle w:val="FootnoteText"/>
      </w:pPr>
      <w:r>
        <w:rPr>
          <w:rStyle w:val="FootnoteReference"/>
        </w:rPr>
        <w:footnoteRef/>
      </w:r>
      <w:r>
        <w:t xml:space="preserve"> </w:t>
      </w:r>
      <w:r>
        <w:t xml:space="preserve">Condizioni della raccomandazione: la costruzione di clausole valutative a corredo della strutturazione, nei rispettivi ordinamenti provinciali, l’adozione di un’allocazione pro-equità verso le valli alpine, i gruppi linguistici e il disagio giovanile, una sede di coordinamento fra le due Province e l’impostazione di un flusso informativo comparabile e interoperabile fra i due sistemi sono le condizioni che trasformano la raccomandazione in un’attuazione efficace e valutabile.</w:t>
      </w:r>
    </w:p>
  </w:footnote>
  <w:footnote w:id="1981">
    <w:p>
      <w:pPr>
        <w:pStyle w:val="FootnoteText"/>
      </w:pPr>
      <w:r>
        <w:rPr>
          <w:rStyle w:val="FootnoteReference"/>
        </w:rPr>
        <w:footnoteRef/>
      </w:r>
      <w:r>
        <w:t xml:space="preserve"> </w:t>
      </w:r>
      <w:r>
        <w:t xml:space="preserve">Lacuna da colmare prima della presentazione esterna: l’estrazione dei conti certificati delle due aziende sanitarie provinciali e il consolidamento di un flusso comparabile dei dati di esito fra le due Province sono le priorità che consentiranno di sostituire i valori ricostruiti per quota di popolazione con grandezze effettive.</w:t>
      </w:r>
    </w:p>
  </w:footnote>
  <w:footnote w:id="1982">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1983">
    <w:p>
      <w:pPr>
        <w:pStyle w:val="FootnoteText"/>
      </w:pPr>
      <w:r>
        <w:rPr>
          <w:rStyle w:val="FootnoteReference"/>
        </w:rPr>
        <w:footnoteRef/>
      </w:r>
      <w:r>
        <w:t xml:space="preserve"> </w:t>
      </w:r>
      <w:r>
        <w:t xml:space="preserve">Collocazione nella serie regionale: lo studio sul Trentino-Alto Adige è il dodicesimo della serie, dopo quelli su Puglia, Lombardia, Veneto, Emilia-Romagna, Piemonte, Toscana, Liguria, Lazio, Campania, Sicilia e Sardegna, e ne condivide il telaio integrato e il caso di riferimento; rispetto agli altri, il Trentino-Alto Adige occupa una posizione propria e unica, quella del territorio ripartito in due Province autonome con Servizi sanitari distinti, fra i più giovani, ricchi e sani d’Italia, a piena autonomia finanziaria e in avanzo di bilancio, che dispone già di assetti di psicologia territoriale in entrambe le Province — il modello trentino di convenzione e il Servizio psicologico dell’Alto Adige — e che oggi è chiamato a strutturarli in un modello pieno e ad armonizzarli fra i due ordinamenti provinciali.</w:t>
      </w:r>
    </w:p>
  </w:footnote>
  <w:footnote w:id="1984">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1985">
    <w:p>
      <w:pPr>
        <w:pStyle w:val="FootnoteText"/>
      </w:pPr>
      <w:r>
        <w:rPr>
          <w:rStyle w:val="FootnoteReference"/>
        </w:rPr>
        <w:footnoteRef/>
      </w:r>
      <w:r>
        <w:t xml:space="preserve"> </w:t>
      </w:r>
      <w:r>
        <w:t xml:space="preserve">Conclusione: la decisione che lo studio sostiene è di strutturare in un modello pieno di psicologo di base gli assetti già operanti nelle due Province, armonizzandoli fra i due ordinamenti provinciali, dimensionandolo progressivamente al fabbisogno e corredandolo di clausole valutative; per il Trentino-Alto Adige, dotato di assetti già operanti, di piena autonomia finanziaria e di bilanci in avanzo, ciò significa dare al servizio una forma compiuta e omogenea, a beneficio della popolazione.</w:t>
      </w:r>
    </w:p>
  </w:footnote>
  <w:footnote w:id="1986">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servizio è presente in forme diverse, il flusso informativo va impostato in forma uniforme e interoperabile fra i sistemi delle due Province, valorizzando i dati già disponibili dal modello trentino e dal Servizio dell’Alto Adige prima della piena operatività; gli assetti già operanti nelle due Province forniscono un primo modello di rilevazione.</w:t>
      </w:r>
    </w:p>
  </w:footnote>
  <w:footnote w:id="1987">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1988">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1989">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1990">
    <w:p>
      <w:pPr>
        <w:pStyle w:val="FootnoteText"/>
      </w:pPr>
      <w:r>
        <w:rPr>
          <w:rStyle w:val="FootnoteReference"/>
        </w:rPr>
        <w:footnoteRef/>
      </w:r>
      <w:r>
        <w:t xml:space="preserve"> </w:t>
      </w:r>
      <w:r>
        <w:t xml:space="preserve">Telepsicologia e telemonitoraggio assistiti: nel Trentino-Alto Adige sono lo strumento per garantire l’accesso al sostegno psicologico nelle valli alpine a popolazione dispersa, dove le distanze e l’orografia rendono difficoltoso il raggiungimento delle sedi; in un contesto plurilingue consentono inoltre di mettere a disposizione, anche a distanza, personale della lingua del paziente. Tali strumenti sono concepiti come complementari e non sostitutivi della presa in carico in presenza, e assumono un rilievo particolare in una delle regioni più anziane d’Italia.</w:t>
      </w:r>
    </w:p>
  </w:footnote>
  <w:footnote w:id="1991">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1992">
    <w:p>
      <w:pPr>
        <w:pStyle w:val="FootnoteText"/>
      </w:pPr>
      <w:r>
        <w:rPr>
          <w:rStyle w:val="FootnoteReference"/>
        </w:rPr>
        <w:footnoteRef/>
      </w:r>
      <w:r>
        <w:t xml:space="preserve"> </w:t>
      </w:r>
      <w:r>
        <w:t xml:space="preserve">Programma formativo a quattro livelli: universitario (curricula e tirocini presso l’Università di Trento e la Libera Università di Bolzano); post-universitario specialistico (formazione dedicata alla psicologia delle cure primarie, comprensiva della competenza per il disagio giovanile, prioritario in una delle regioni più giovani d’Italia, e delle competenze linguistiche per l’erogazione in tedesco, italiano e ladino); continuo lavorativo (aggiornamento in servizio, audit clinico, educazione continua in medicina); affiancamento operativo (tutoraggio sul campo e inserimento graduale con supervisione). Il Trentino-Alto Adige presenta qui un elemento di metodo: l’esperienza trentina di convenzione, attiva dal 2016, e il Servizio psicologico dell’Alto Adige costituiscono una base operativa su cui innestare il percorso formativo del modello pieno.</w:t>
      </w:r>
    </w:p>
  </w:footnote>
  <w:footnote w:id="1993">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1994">
    <w:p>
      <w:pPr>
        <w:pStyle w:val="FootnoteText"/>
      </w:pPr>
      <w:r>
        <w:rPr>
          <w:rStyle w:val="FootnoteReference"/>
        </w:rPr>
        <w:footnoteRef/>
      </w:r>
    </w:p>
  </w:footnote>
  <w:footnote w:id="1995">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1996">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1997">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1998">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1999">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2000">
    <w:p>
      <w:pPr>
        <w:pStyle w:val="FootnoteText"/>
      </w:pPr>
      <w:r>
        <w:rPr>
          <w:rStyle w:val="FootnoteReference"/>
        </w:rPr>
        <w:footnoteRef/>
      </w:r>
    </w:p>
  </w:footnote>
  <w:footnote w:id="2001">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002">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003">
    <w:p>
      <w:pPr>
        <w:pStyle w:val="FootnoteText"/>
      </w:pPr>
      <w:r>
        <w:rPr>
          <w:rStyle w:val="FootnoteReference"/>
        </w:rPr>
        <w:footnoteRef/>
      </w:r>
      <w:r>
        <w:t xml:space="preserve"> </w:t>
      </w:r>
      <w:r>
        <w:t xml:space="preserve">Quadro economico consolidato per il Trentino-Alto Adige (Parte E): a regime, da circa 120 a circa 240 psicologi, costo del servizio di 7-14 milioni, risparmi diretti di 4-10 milioni, ricadute sociali di 25-67 milioni; il saldo diretto è negativo ma modesto e agevolmente sostenibile a fronte dell’avanzo, il saldo complessivo fortemente positivo, con rapporto beneficio-costo di 4,1-5,5 a uno, entro la banda prudenziale di 3,8-5,5 a uno adottata dalla serie.</w:t>
      </w:r>
    </w:p>
  </w:footnote>
  <w:footnote w:id="2004">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005">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 Trentino-Alto Adige, poiché il servizio è presente in forme diverse nelle due Province, il flusso va impostato in forma comparabile e interoperabile fra i due sistemi provinciali, valorizzando i dati già disponibili, in forma uniforme e completa fra le due Province.</w:t>
      </w:r>
    </w:p>
  </w:footnote>
  <w:footnote w:id="2006">
    <w:p>
      <w:pPr>
        <w:pStyle w:val="FootnoteText"/>
      </w:pPr>
      <w:r>
        <w:rPr>
          <w:rStyle w:val="FootnoteReference"/>
        </w:rPr>
        <w:footnoteRef/>
      </w:r>
      <w:r>
        <w:t xml:space="preserve"> </w:t>
      </w:r>
      <w:r>
        <w:t xml:space="preserve">Valori di ancoraggio per il Trentino-Alto Adige: popolazione di circa 1.085.000 abitanti (dati ISTAT 2024), pari a circa l’1,8% del totale nazionale, in crescita per natalità elevata e saldi migratori positivi, ripartita quasi equamente fra le due Province autonome di Trento e Bolzano; struttura per età fra le più giovani d’Italia, con speranza di vita fra le più alte; Alto Adige plurilingue (68,61% tedesco, 26,98% italiano, 4,41% ladino), Trentino italofono con minoranze ladine, mochene e cimbre, e componente straniera dell’ordine del 9-10%; due Servizi sanitari provinciali autonomi, che finanziano integralmente la sanità con i nove decimi del gettito trattenuto, senza apporto statale, e operano in avanzo, con la spesa pro-capite più alta d’Italia; saldo di mobilità modesto e per alcune branche attivo, poiché le Province attraggono pazienti, sicché il canale di recupero è trascurabile; fabbisogno a regime fino a circa 240 psicologi nello scenario espansivo.</w:t>
      </w:r>
    </w:p>
  </w:footnote>
  <w:footnote w:id="2007">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(1,8%), e non estratti dai conti provinciali certificati; i dati da acquisire presso le due aziende sanitarie provinciali sono elencati nella tabella seguente. Poiché il servizio è presente in forme diverse nelle due Province, il territorio dispone tuttavia, grazie agli assetti già operanti, di una base di dati propri più solida di quella delle regioni che partono da zero, da consolidare in forma comparabile fra le due Province.</w:t>
      </w:r>
    </w:p>
  </w:footnote>
  <w:footnote w:id="2008">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009">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ligure, laziale e campano, di cui questo studio replica il telaio metodologico.</w:t>
      </w:r>
    </w:p>
  </w:footnote>
  <w:footnote w:id="2010">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2011">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2012">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gli assetti attuali delle due Province, in forme parziali e non armonizzate, corrispondono a un livello inferiore allo scenario conservativo, e costituiscono la prima tappa di un percorso di strutturazione progressiva del modello pieno e di armonizzazione fra le due Province verso la copertura sistematica.</w:t>
      </w:r>
    </w:p>
  </w:footnote>
  <w:footnote w:id="2013">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2014">
    <w:p>
      <w:pPr>
        <w:pStyle w:val="FootnoteText"/>
      </w:pPr>
      <w:r>
        <w:rPr>
          <w:rStyle w:val="FootnoteReference"/>
        </w:rPr>
        <w:footnoteRef/>
      </w:r>
      <w:r>
        <w:t xml:space="preserve"> </w:t>
      </w:r>
      <w:r>
        <w:t xml:space="preserve">Disegno della verifica empirica: poiché nel Trentino-Alto Adige la strutturazione del modello pieno avverrà in tempi differenziati fra i comprensori e i distretti delle due Province, la verifica controfattuale può fondarsi su un esperimento a cunei progressivi, nel quale l’ordine e i tempi di attivazione fra i territori sono impiegati a fini valutativi. Gli assetti già operanti — il modello trentino di convenzione e il Servizio psicologico dell’Alto Adige — consentono di rilevare una linea di base più ricca di quella delle regioni che partono da zero, e l’attivazione scaglionata fornisce la variazione necessaria all’identificazione dell’effetto.</w:t>
      </w:r>
    </w:p>
  </w:footnote>
  <w:footnote w:id="2015">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già disponibili dagli assetti esistenti e dalla progressione differenziata della strutturazione fra i comprensori delle due Province, che fornisce la variazione necessaria all’identificazione dell’effetto.</w:t>
      </w:r>
    </w:p>
  </w:footnote>
  <w:footnote w:id="2016">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del Trentino-Alto Adige, eccede ampiamente il costo della raccolta dei dati; le priorità sono l’estrazione dei conti certificati delle due aziende sanitarie provinciali e l’impostazione di un flusso uniforme e interoperabile dei dati di esito fra le due Province, valorizzando i dati già disponibili dagli assetti esistenti.</w:t>
      </w:r>
    </w:p>
  </w:footnote>
  <w:footnote w:id="2017">
    <w:p>
      <w:pPr>
        <w:pStyle w:val="FootnoteText"/>
      </w:pPr>
      <w:r>
        <w:rPr>
          <w:rStyle w:val="FootnoteReference"/>
        </w:rPr>
        <w:footnoteRef/>
      </w:r>
    </w:p>
  </w:footnote>
  <w:footnote w:id="2018">
    <w:p>
      <w:pPr>
        <w:pStyle w:val="FootnoteText"/>
      </w:pPr>
      <w:r>
        <w:rPr>
          <w:rStyle w:val="FootnoteReference"/>
        </w:rPr>
        <w:footnoteRef/>
      </w:r>
      <w:r>
        <w:t xml:space="preserve"> </w:t>
      </w:r>
      <w:r>
        <w:t xml:space="preserve">Posizione giuridica del Veneto: la Regione è stata l’apripista nazionale, avendo avviato già nel 2014, con deliberazione della Giunta, la prima sperimentazione di un servizio di psicologia di base nelle aziende sanitarie; con la mozione n. 302 del 2022 il Consiglio regionale ha impegnato la Giunta ad avviare un Servizio permanente di psicologia delle cure primarie collegato alle Case di Comunità; sono in corso d’esame proposte di legge dedicate (n. 241/2023 e n. 321/2025), mentre non è ancora stata approvata una legge regionale specifica. La cornice organizzativa di riferimento è la legge regionale n. 19 del 2016, istitutiva dell’Azienda Zero e di riassetto delle Aziende ULSS.</w:t>
      </w:r>
    </w:p>
  </w:footnote>
  <w:footnote w:id="2019">
    <w:p>
      <w:pPr>
        <w:pStyle w:val="FootnoteText"/>
      </w:pPr>
      <w:r>
        <w:rPr>
          <w:rStyle w:val="FootnoteReference"/>
        </w:rPr>
        <w:footnoteRef/>
      </w:r>
      <w:r>
        <w:t xml:space="preserve"> </w:t>
      </w:r>
      <w:r>
        <w:t xml:space="preserve">Stato attuale: a differenza della Puglia, dove una legge regionale ha istituito e dotato un servizio specifico, e della Lombardia, dove la riforma sociosanitaria del 2021 ha previsto in forma generica la funzione psicologica territoriale, il Veneto dispone di una consolidata esperienza sperimentale e di un impegno politico formale, ma non ancora di una legge strutturale: la decisione rilevante è pertanto se strutturare e dimensionare il servizio permanente già impegnato, dandogli un modello operativo, un dimensionamento e una copertura.</w:t>
      </w:r>
    </w:p>
  </w:footnote>
  <w:footnote w:id="2020">
    <w:p>
      <w:pPr>
        <w:pStyle w:val="FootnoteText"/>
      </w:pPr>
      <w:r>
        <w:rPr>
          <w:rStyle w:val="FootnoteReference"/>
        </w:rPr>
        <w:footnoteRef/>
      </w:r>
      <w:r>
        <w:t xml:space="preserve"> </w:t>
      </w:r>
      <w:r>
        <w:t xml:space="preserve">Salute mentale in Veneto: la domanda è sospinta da tre componenti. La prima è il disagio connesso al lavoro nella popolazione attiva, particolarmente rilevante in un’economia dinamica a elevata occupazione e a diffusa imprenditoria di piccola e media dimensione. La seconda è il bisogno dell’età anziana, accentuato nel Polesine e nel Bellunese. La terza è il disagio giovanile: nel 2021 si sono registrati 3.413 nuovi casi di disturbo mentale nella fascia 14-24 anni. A ciò si aggiunge un’erosione documentata degli organici dei Dipartimenti di Salute Mentale, con una riduzione dell’ordine del 10% degli psicologi e del 30% degli educatori professionali tra il 2022 e il 2024, e liste di attesa prolungate.</w:t>
      </w:r>
    </w:p>
  </w:footnote>
  <w:footnote w:id="2021">
    <w:p>
      <w:pPr>
        <w:pStyle w:val="FootnoteText"/>
      </w:pPr>
      <w:r>
        <w:rPr>
          <w:rStyle w:val="FootnoteReference"/>
        </w:rPr>
        <w:footnoteRef/>
      </w:r>
      <w:r>
        <w:t xml:space="preserve"> </w:t>
      </w:r>
      <w:r>
        <w:t xml:space="preserve">Popolazione residente in Veneto 4.853.472 abitanti (Censimento permanente ISTAT 2024), pari a circa l’8,2% della popolazione nazionale, quarta-quinta regione italiana; età media 47,1 anni, lievemente superiore alla media nazionale; popolazione ultra-ottantacinquenne in crescita, oltre le duecentomila unità; sette province, con un modello insediativo diffuso e una marcata variabilità interna tra la pianura e le aree montane.</w:t>
      </w:r>
    </w:p>
  </w:footnote>
  <w:footnote w:id="2022">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2023">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2024">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2025">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Per il Veneto, regione a saldo di mobilità attivo e dotata di un sistema sanitario di eccellenza, il canale del recupero della mobilità passiva non si applica e i margini di recupero diretto sono contenuti: il saldo diretto risulta lievemente negativo e il caso economico poggia in misura preponderante sulle ricadute sociali, stimate con criteri conservativi.</w:t>
      </w:r>
    </w:p>
  </w:footnote>
  <w:footnote w:id="2026">
    <w:p>
      <w:pPr>
        <w:pStyle w:val="FootnoteText"/>
      </w:pPr>
      <w:r>
        <w:rPr>
          <w:rStyle w:val="FootnoteReference"/>
        </w:rPr>
        <w:footnoteRef/>
      </w:r>
      <w:r>
        <w:t xml:space="preserve"> </w:t>
      </w:r>
      <w:r>
        <w:t xml:space="preserve">I valori economici oggi impiegati sono in parte ricostruiti dai conti nazionali per quota di popolazione (8,2%) e non estratti dai conti regionali certificati: è la lacuna prioritaria dello studio, da colmare presso l’Azienda Zero e le Aziende ULSS prima della presentazione esterna.</w:t>
      </w:r>
    </w:p>
  </w:footnote>
  <w:footnote w:id="2027">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028">
    <w:p>
      <w:pPr>
        <w:pStyle w:val="FootnoteText"/>
      </w:pPr>
      <w:r>
        <w:rPr>
          <w:rStyle w:val="FootnoteReference"/>
        </w:rPr>
        <w:footnoteRef/>
      </w:r>
      <w:r>
        <w:t xml:space="preserve"> </w:t>
      </w:r>
      <w:r>
        <w:t xml:space="preserve">Valutazione controfattuale d’impatto: i metodi della differenza-nelle-differenze e del controllo sintetico; il dispiegamento scaglionato del servizio tra le nove Aziende ULSS, attivate in tempi diversi sotto il coordinamento dell’Azienda Zero, funge da esperimento naturale e consente di stimare l’effetto causale rendendo le aziende non ancora coperte gruppo di confronto.</w:t>
      </w:r>
    </w:p>
  </w:footnote>
  <w:footnote w:id="2029">
    <w:p>
      <w:pPr>
        <w:pStyle w:val="FootnoteText"/>
      </w:pPr>
      <w:r>
        <w:rPr>
          <w:rStyle w:val="FootnoteReference"/>
        </w:rPr>
        <w:footnoteRef/>
      </w:r>
      <w:r>
        <w:t xml:space="preserve"> </w:t>
      </w:r>
      <w:r>
        <w:t xml:space="preserve">La valutazione è governata da un comitato di indirizzo — Regione, Azienda Zero, Aziende ULSS e Ordine degli Psicologi del Veneto — nel quale l’Azienda Zero, ente di governo regionale con funzioni centralizzate di programmazione e acquisto, costituisce il veicolo per una progettazione unitaria e un’attuazione omogenea del servizio su tutte le nove aziende.</w:t>
      </w:r>
    </w:p>
  </w:footnote>
  <w:footnote w:id="2030">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2031">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2032">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033">
    <w:p>
      <w:pPr>
        <w:pStyle w:val="FootnoteText"/>
      </w:pPr>
      <w:r>
        <w:rPr>
          <w:rStyle w:val="FootnoteReference"/>
        </w:rPr>
        <w:footnoteRef/>
      </w:r>
      <w:r>
        <w:t xml:space="preserve"> </w:t>
      </w:r>
      <w:r>
        <w:t xml:space="preserve">Popolazione residente in Veneto 4.853.472 abitanti (Censimento permanente ISTAT 2024), pari a circa l’8,2% del totale nazionale, quarta-quinta regione italiana; età media 47,1 anni; popolazione ultra-ottantacinquenne in crescita, oltre le duecentomila unità.</w:t>
      </w:r>
    </w:p>
  </w:footnote>
  <w:footnote w:id="2034">
    <w:p>
      <w:pPr>
        <w:pStyle w:val="FootnoteText"/>
      </w:pPr>
      <w:r>
        <w:rPr>
          <w:rStyle w:val="FootnoteReference"/>
        </w:rPr>
        <w:footnoteRef/>
      </w:r>
      <w:r>
        <w:t xml:space="preserve"> </w:t>
      </w:r>
      <w:r>
        <w:t xml:space="preserve">Aspettativa di vita alla nascita dell’ordine degli 84 anni, tra le più elevate d’Italia, coerente con il profilo di un sistema sanitario di eccellenza e con buoni determinanti socio-economici.</w:t>
      </w:r>
    </w:p>
  </w:footnote>
  <w:footnote w:id="2035">
    <w:p>
      <w:pPr>
        <w:pStyle w:val="FootnoteText"/>
      </w:pPr>
      <w:r>
        <w:rPr>
          <w:rStyle w:val="FootnoteReference"/>
        </w:rPr>
        <w:footnoteRef/>
      </w:r>
      <w:r>
        <w:t xml:space="preserve"> </w:t>
      </w:r>
      <w:r>
        <w:t xml:space="preserve">Componente straniera dell’ordine del 10% dei residenti, in funzione di parziale ringiovanimento della struttura per età, con implicazioni per l’accesso linguistico e culturale ai servizi.</w:t>
      </w:r>
    </w:p>
  </w:footnote>
  <w:footnote w:id="2036">
    <w:p>
      <w:pPr>
        <w:pStyle w:val="FootnoteText"/>
      </w:pPr>
      <w:r>
        <w:rPr>
          <w:rStyle w:val="FootnoteReference"/>
        </w:rPr>
        <w:footnoteRef/>
      </w:r>
      <w:r>
        <w:t xml:space="preserve"> </w:t>
      </w:r>
      <w:r>
        <w:t xml:space="preserve">Articolazione del territorio in sette province: Padova e Verona, entrambe oltre i novecentomila abitanti; Treviso, Vicenza e Venezia; Rovigo e Belluno, le meno popolose; modello insediativo diffuso, con i quattro capoluoghi maggiori che raccolgono circa un sesto della popolazione.</w:t>
      </w:r>
    </w:p>
  </w:footnote>
  <w:footnote w:id="2037">
    <w:p>
      <w:pPr>
        <w:pStyle w:val="FootnoteText"/>
      </w:pPr>
      <w:r>
        <w:rPr>
          <w:rStyle w:val="FootnoteReference"/>
        </w:rPr>
        <w:footnoteRef/>
      </w:r>
      <w:r>
        <w:t xml:space="preserve"> </w:t>
      </w:r>
      <w:r>
        <w:t xml:space="preserve">Profilo per età composito e a marcata variabilità interna: le province di Verona, Vicenza e Treviso presentano la struttura più giovane, mentre il Polesine e il Bellunese sono nettamente più anziani; il Bellunese è la provincia più anziana e l’unica a registrare un incremento della mortalità.</w:t>
      </w:r>
    </w:p>
  </w:footnote>
  <w:footnote w:id="2038">
    <w:p>
      <w:pPr>
        <w:pStyle w:val="FootnoteText"/>
      </w:pPr>
      <w:r>
        <w:rPr>
          <w:rStyle w:val="FootnoteReference"/>
        </w:rPr>
        <w:footnoteRef/>
      </w:r>
      <w:r>
        <w:t xml:space="preserve"> </w:t>
      </w:r>
      <w:r>
        <w:t xml:space="preserve">Disagio psichico comune o sottosoglia stimato nell’ordine di 970.000 persone, ottenuto per proiezione dei tassi di prevalenza nazionali sulla popolazione veneta; è la quota di bisogno potenziale cui il servizio si rivolge in via prioritaria.</w:t>
      </w:r>
    </w:p>
  </w:footnote>
  <w:footnote w:id="2039">
    <w:p>
      <w:pPr>
        <w:pStyle w:val="FootnoteText"/>
      </w:pPr>
      <w:r>
        <w:rPr>
          <w:rStyle w:val="FootnoteReference"/>
        </w:rPr>
        <w:footnoteRef/>
      </w:r>
      <w:r>
        <w:t xml:space="preserve"> </w:t>
      </w:r>
      <w:r>
        <w:t xml:space="preserve">Utenza specialistica in carico ai Dipartimenti di Salute Mentale stimata nell’ordine di 72.000 persone; il dato è una proiezione da verificare sui flussi regionali certificati.</w:t>
      </w:r>
    </w:p>
  </w:footnote>
  <w:footnote w:id="2040">
    <w:p>
      <w:pPr>
        <w:pStyle w:val="FootnoteText"/>
      </w:pPr>
      <w:r>
        <w:rPr>
          <w:rStyle w:val="FootnoteReference"/>
        </w:rPr>
        <w:footnoteRef/>
      </w:r>
      <w:r>
        <w:t xml:space="preserve"> </w:t>
      </w:r>
      <w:r>
        <w:t xml:space="preserve">Disagio giovanile: nel 2021 si sono registrati 3.413 nuovi casi di disturbo mentale nella fascia 14-24 anni; l’offerta dedicata è fortemente sottodimensionata, con appena dodici posti letto di neuropsichiatria infantile sull’intero territorio regionale.</w:t>
      </w:r>
    </w:p>
  </w:footnote>
  <w:footnote w:id="2041">
    <w:p>
      <w:pPr>
        <w:pStyle w:val="FootnoteText"/>
      </w:pPr>
      <w:r>
        <w:rPr>
          <w:rStyle w:val="FootnoteReference"/>
        </w:rPr>
        <w:footnoteRef/>
      </w:r>
      <w:r>
        <w:t xml:space="preserve"> </w:t>
      </w:r>
      <w:r>
        <w:t xml:space="preserve">Salute mentale connessa al lavoro: in un’economia dinamica, a elevata occupazione e a diffusa imprenditoria di piccola e media dimensione, ampia parte dei lavoratori è esposta a fattori di stress correlati al lavoro; l’intercettazione precoce del disagio nella popolazione attiva ha un valore particolarmente elevato in termini di produttività recuperata.</w:t>
      </w:r>
    </w:p>
  </w:footnote>
  <w:footnote w:id="2042">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accentuata nel Polesine e nel Bellunese, aree più anziane e a maggiore difficoltà di accesso.</w:t>
      </w:r>
    </w:p>
  </w:footnote>
  <w:footnote w:id="2043">
    <w:p>
      <w:pPr>
        <w:pStyle w:val="FootnoteText"/>
      </w:pPr>
      <w:r>
        <w:rPr>
          <w:rStyle w:val="FootnoteReference"/>
        </w:rPr>
        <w:footnoteRef/>
      </w:r>
      <w:r>
        <w:t xml:space="preserve"> </w:t>
      </w:r>
      <w:r>
        <w:t xml:space="preserve">Accessi al pronto soccorso per cause psichiatriche stimati nell’ordine di 22.000-24.000 l’anno, per proiezione dai valori nazionali; una quota è riconducibile a disagio comune non intercettato a monte.</w:t>
      </w:r>
    </w:p>
  </w:footnote>
  <w:footnote w:id="2044">
    <w:p>
      <w:pPr>
        <w:pStyle w:val="FootnoteText"/>
      </w:pPr>
      <w:r>
        <w:rPr>
          <w:rStyle w:val="FootnoteReference"/>
        </w:rPr>
        <w:footnoteRef/>
      </w:r>
      <w:r>
        <w:t xml:space="preserve"> </w:t>
      </w:r>
      <w:r>
        <w:t xml:space="preserve">Offerta territoriale strutturata: il Veneto dispone di un’esperienza sperimentale consolidata, avviata nel 2014, e di un impegno politico formale (mozione n. 302/2022) ad avviare un servizio permanente, ma non ancora di un servizio strutturato e dimensionato a regime.</w:t>
      </w:r>
    </w:p>
  </w:footnote>
  <w:footnote w:id="2045">
    <w:p>
      <w:pPr>
        <w:pStyle w:val="FootnoteText"/>
      </w:pPr>
      <w:r>
        <w:rPr>
          <w:rStyle w:val="FootnoteReference"/>
        </w:rPr>
        <w:footnoteRef/>
      </w:r>
      <w:r>
        <w:t xml:space="preserve"> </w:t>
      </w:r>
      <w:r>
        <w:t xml:space="preserve">Fabbisogno a regime stimato nell’ordine di 1.050 psicologi (intervallo 1.000-1.120). L’Ordine degli Psicologi del Veneto segnala una dotazione dell’ordine di cinque psicologi ogni centomila abitanti, a fronte di una media europea di venti e di un valore ottimale di quaranta.</w:t>
      </w:r>
    </w:p>
  </w:footnote>
  <w:footnote w:id="2046">
    <w:p>
      <w:pPr>
        <w:pStyle w:val="FootnoteText"/>
      </w:pPr>
      <w:r>
        <w:rPr>
          <w:rStyle w:val="FootnoteReference"/>
        </w:rPr>
        <w:footnoteRef/>
      </w:r>
      <w:r>
        <w:t xml:space="preserve"> </w:t>
      </w:r>
      <w:r>
        <w:t xml:space="preserve">Copertura attuale del fabbisogno prossima a zero in termini di servizio dimensionato a regime; il quadro è aggravato da un’erosione recente degli organici dei Dipartimenti di Salute Mentale — dell’ordine del 10% degli psicologi e del 30% degli educatori professionali tra il 2022 e il 2024 — e da liste di attesa prolungate.</w:t>
      </w:r>
    </w:p>
  </w:footnote>
  <w:footnote w:id="2047">
    <w:p>
      <w:pPr>
        <w:pStyle w:val="FootnoteText"/>
      </w:pPr>
      <w:r>
        <w:rPr>
          <w:rStyle w:val="FootnoteReference"/>
        </w:rPr>
        <w:footnoteRef/>
      </w:r>
      <w:r>
        <w:t xml:space="preserve"> </w:t>
      </w:r>
      <w:r>
        <w:t xml:space="preserve">Disuguaglianze e divari territoriali: il divario rilevante in Veneto non è un gradiente di deprivazione né una frattura Nord-Sud, ma la dualità fra la pianura densamente popolata e produttiva e le aree montane del Bellunese e dell’Altopiano, anziane e in spopolamento, dove l’accesso ai servizi è più difficoltoso; la telepsicologia assistita è lo strumento per ridurlo.</w:t>
      </w:r>
    </w:p>
  </w:footnote>
  <w:footnote w:id="2048">
    <w:p>
      <w:pPr>
        <w:pStyle w:val="FootnoteText"/>
      </w:pPr>
      <w:r>
        <w:rPr>
          <w:rStyle w:val="FootnoteReference"/>
        </w:rPr>
        <w:footnoteRef/>
      </w:r>
      <w:r>
        <w:t xml:space="preserve"> </w:t>
      </w:r>
      <w:r>
        <w:t xml:space="preserve">Finanziamento del Servizio sanitario regionale dell’ordine di 11 miliardi di euro (Fondo Sanitario Regionale indistinto 2026 stimato in 11,14 miliardi; spesa corrente per i LEA 11,76 miliardi); conti in equilibrio, con presa d’atto della condizione di equilibrio economico-finanziario prospettico (DGR 205/2025); nessun piano di rientro.</w:t>
      </w:r>
    </w:p>
  </w:footnote>
  <w:footnote w:id="2049">
    <w:p>
      <w:pPr>
        <w:pStyle w:val="FootnoteText"/>
      </w:pPr>
      <w:r>
        <w:rPr>
          <w:rStyle w:val="FootnoteReference"/>
        </w:rPr>
        <w:footnoteRef/>
      </w:r>
      <w:r>
        <w:t xml:space="preserve"> </w:t>
      </w:r>
      <w:r>
        <w:t xml:space="preserve">Mobilità sanitaria a saldo attivo dell’ordine di +198 milioni di euro (2022, Fondazione GIMBE): crediti per 506,7 milioni e debiti per 308,5 milioni; il Veneto è terza regione d’Italia per saldo attivo dopo Emilia-Romagna e Lombardia, con un indice di fuga del 10,43%. Essendo la regione creditrice, il canale del recupero della mobilità passiva non si applica.</w:t>
      </w:r>
    </w:p>
  </w:footnote>
  <w:footnote w:id="2050">
    <w:p>
      <w:pPr>
        <w:pStyle w:val="FootnoteText"/>
      </w:pPr>
      <w:r>
        <w:rPr>
          <w:rStyle w:val="FootnoteReference"/>
        </w:rPr>
        <w:footnoteRef/>
      </w:r>
      <w:r>
        <w:t xml:space="preserve"> </w:t>
      </w:r>
      <w:r>
        <w:t xml:space="preserve">Servizi e flussi: nove Aziende ULSS di grandi dimensioni, l’Azienda Zero quale ente di governo regionale, due Aziende Ospedaliere universitarie (Padova e Verona) e l’Istituto Oncologico Veneto; rete delle Case di Comunità in costruzione nell’ambito del PNRR; accessi al pronto soccorso dell’ordine di 1,5 milioni l’anno.</w:t>
      </w:r>
    </w:p>
  </w:footnote>
  <w:footnote w:id="2051">
    <w:p>
      <w:pPr>
        <w:pStyle w:val="FootnoteText"/>
      </w:pPr>
      <w:r>
        <w:rPr>
          <w:rStyle w:val="FootnoteReference"/>
        </w:rPr>
        <w:footnoteRef/>
      </w:r>
      <w:r>
        <w:t xml:space="preserve"> </w:t>
      </w:r>
      <w:r>
        <w:t xml:space="preserve">Cornice normativa e programmatica: la sperimentazione regionale avviata nel 2014; la mozione consiliare n. 302/2022; le proposte di legge n. 241/2023 e n. 321/2025 in corso d’esame; la legge regionale n. 19/2016 (Azienda Zero); la legge regionale n. 9/2024 sui servizi sociali; il Decreto Ministeriale 77/2022 sugli standard dell’assistenza territoriale; in assenza, allo stato, di una legge nazionale che disciplini la figura.</w:t>
      </w:r>
    </w:p>
  </w:footnote>
  <w:footnote w:id="2052">
    <w:p>
      <w:pPr>
        <w:pStyle w:val="FootnoteText"/>
      </w:pPr>
      <w:r>
        <w:rPr>
          <w:rStyle w:val="FootnoteReference"/>
        </w:rPr>
        <w:footnoteRef/>
      </w:r>
      <w:r>
        <w:t xml:space="preserve"> </w:t>
      </w:r>
      <w:r>
        <w:t xml:space="preserve">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2053">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2054">
    <w:p>
      <w:pPr>
        <w:pStyle w:val="FootnoteText"/>
      </w:pPr>
      <w:r>
        <w:rPr>
          <w:rStyle w:val="FootnoteReference"/>
        </w:rPr>
        <w:footnoteRef/>
      </w:r>
      <w:r>
        <w:t xml:space="preserve"> </w:t>
      </w:r>
      <w:r>
        <w:t xml:space="preserve">Bisogno potenziale stimato nell’ordine di 970.000 persone con disagio comune, in larga parte non intercettato dall’offerta strutturata attuale.</w:t>
      </w:r>
    </w:p>
  </w:footnote>
  <w:footnote w:id="2055">
    <w:p>
      <w:pPr>
        <w:pStyle w:val="FootnoteText"/>
      </w:pPr>
      <w:r>
        <w:rPr>
          <w:rStyle w:val="FootnoteReference"/>
        </w:rPr>
        <w:footnoteRef/>
      </w:r>
      <w:r>
        <w:t xml:space="preserve"> </w:t>
      </w:r>
      <w:r>
        <w:t xml:space="preserve">Modello organizzativo: lo psicologo di base opera nelle Case di Comunità e nelle medicine di gruppo integrate, in collaborazione con i medici di medicina generale, secondo protocolli condivisi; l’Azienda Zero coordina la progettazione unitaria e l’attuazione omogenea sulle nove Aziende ULSS, con economie di scala.</w:t>
      </w:r>
    </w:p>
  </w:footnote>
  <w:footnote w:id="2056">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057">
    <w:p>
      <w:pPr>
        <w:pStyle w:val="FootnoteText"/>
      </w:pPr>
      <w:r>
        <w:rPr>
          <w:rStyle w:val="FootnoteReference"/>
        </w:rPr>
        <w:footnoteRef/>
      </w:r>
      <w:r>
        <w:t xml:space="preserve"> </w:t>
      </w:r>
      <w:r>
        <w:t xml:space="preserve">Percorso clinico: accesso diretto o su segnalazione del medico di medicina generale; valutazione iniziale; ciclo di colloqui brevi; invio appropriato ai servizi specialistici nei casi che lo richiedono, secondo criteri definiti.</w:t>
      </w:r>
    </w:p>
  </w:footnote>
  <w:footnote w:id="2058">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059">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060">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061">
    <w:p>
      <w:pPr>
        <w:pStyle w:val="FootnoteText"/>
      </w:pPr>
      <w:r>
        <w:rPr>
          <w:rStyle w:val="FootnoteReference"/>
        </w:rPr>
        <w:footnoteRef/>
      </w:r>
      <w:r>
        <w:t xml:space="preserve"> </w:t>
      </w:r>
      <w:r>
        <w:t xml:space="preserve">Sistema informativo e interoperabilità: la registrazione strutturata dell’attività e degli esiti, integrata con il fascicolo sanitario elettronico regionale, consente il monitoraggio continuo e la valutazione; l’Azienda Zero, titolare di funzioni informative centralizzate, ne è il riferimento naturale.</w:t>
      </w:r>
    </w:p>
  </w:footnote>
  <w:footnote w:id="2062">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e va prevista fin dall’avvio del servizio.</w:t>
      </w:r>
    </w:p>
  </w:footnote>
  <w:footnote w:id="2063">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064">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065">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066">
    <w:p>
      <w:pPr>
        <w:pStyle w:val="FootnoteText"/>
      </w:pPr>
      <w:r>
        <w:rPr>
          <w:rStyle w:val="FootnoteReference"/>
        </w:rPr>
        <w:footnoteRef/>
      </w:r>
      <w:r>
        <w:t xml:space="preserve"> </w:t>
      </w:r>
      <w:r>
        <w:t xml:space="preserve">Telepsicologia e telemonitoraggio assistiti: nel Veneto sono lo strumento decisivo per garantire l’accesso al sostegno psicologico nelle aree montane del Bellunese e dell’Altopiano, anziane e in spopolamento; sono concepiti come complementari e non sostitutivi della presa in carico in presenza.</w:t>
      </w:r>
    </w:p>
  </w:footnote>
  <w:footnote w:id="2067">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2068">
    <w:p>
      <w:pPr>
        <w:pStyle w:val="FootnoteText"/>
      </w:pPr>
      <w:r>
        <w:rPr>
          <w:rStyle w:val="FootnoteReference"/>
        </w:rPr>
        <w:footnoteRef/>
      </w:r>
      <w:r>
        <w:t xml:space="preserve"> </w:t>
      </w:r>
      <w:r>
        <w:t xml:space="preserve">Programma formativo a quattro livelli: universitario (curricula e tirocini presso le Università di Padova e Verona); post-universitario specialistico (corso regionale con attestato sulla psicologia di base e le cure primarie); continuo lavorativo (aggiornamento in servizio, audit clinico, educazione continua in medicina); affiancamento operativo (tutoraggio sul campo e inserimento graduale con supervisione).</w:t>
      </w:r>
    </w:p>
  </w:footnote>
  <w:footnote w:id="2069">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centralizzazione delle funzioni di acquisto e formazione in capo all’Azienda Zero, unita alla solidità organizzativa del sistema, candida il Veneto a contesto esemplare a livello nazionale per l’integrazione rigorosamente valutata dell’intelligenza artificiale.</w:t>
      </w:r>
    </w:p>
  </w:footnote>
  <w:footnote w:id="2070">
    <w:p>
      <w:pPr>
        <w:pStyle w:val="FootnoteText"/>
      </w:pPr>
      <w:r>
        <w:rPr>
          <w:rStyle w:val="FootnoteReference"/>
        </w:rPr>
        <w:footnoteRef/>
      </w:r>
      <w:r>
        <w:t xml:space="preserve"> </w:t>
      </w:r>
      <w:r>
        <w:t xml:space="preserv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071">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2072">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2073">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2074">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2075">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2076">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2077">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veneto.</w:t>
      </w:r>
    </w:p>
  </w:footnote>
  <w:footnote w:id="2078">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079">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2080">
    <w:p>
      <w:pPr>
        <w:pStyle w:val="FootnoteText"/>
      </w:pPr>
      <w:r>
        <w:rPr>
          <w:rStyle w:val="FootnoteReference"/>
        </w:rPr>
        <w:footnoteRef/>
      </w:r>
      <w:r>
        <w:t xml:space="preserve"> </w:t>
      </w:r>
      <w:r>
        <w:t xml:space="preserve">Benchmark australiano (Better Access): modello a invio esterno che ha innalzato la quota di popolazione in trattamento dal 35% al 46%, con elevata soddisfazione degli utenti.</w:t>
      </w:r>
    </w:p>
  </w:footnote>
  <w:footnote w:id="2081">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2082">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i dati derivano però da campioni limitati e in parte da letteratura grigia, e vanno assunti con la dovuta cautela.</w:t>
      </w:r>
    </w:p>
  </w:footnote>
  <w:footnote w:id="2083">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084">
    <w:p>
      <w:pPr>
        <w:pStyle w:val="FootnoteText"/>
      </w:pPr>
      <w:r>
        <w:rPr>
          <w:rStyle w:val="FootnoteReference"/>
        </w:rPr>
        <w:footnoteRef/>
      </w:r>
      <w:r>
        <w:t xml:space="preserve"> </w:t>
      </w:r>
      <w:r>
        <w:t xml:space="preserve">Evidenza locale veneta: il Veneto è stato l’apripista nazionale, avendo avviato già nel 2014 una sperimentazione regionale di psicologia di base; questa esperienza costituisce una base di evidenza locale di particolare valore, da analizzare e valorizzare sistematicamente nel disegno del servizio permanente.</w:t>
      </w:r>
    </w:p>
  </w:footnote>
  <w:footnote w:id="2085">
    <w:p>
      <w:pPr>
        <w:pStyle w:val="FootnoteText"/>
      </w:pPr>
      <w:r>
        <w:rPr>
          <w:rStyle w:val="FootnoteReference"/>
        </w:rPr>
        <w:footnoteRef/>
      </w:r>
      <w:r>
        <w:t xml:space="preserve"> </w:t>
      </w:r>
      <w:r>
        <w:t xml:space="preserve">Condizioni venete favorevoli alla trasferibilità: la solidità organizzativa del sistema, l’architettura centralizzata dell’Azienda Zero e l’esperienza sperimentale pregressa costituiscono un terreno favorevole all’adozione del modello e alla sua valutazione rigorosa.</w:t>
      </w:r>
    </w:p>
  </w:footnote>
  <w:footnote w:id="2086">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3,8:1-5,6:1.</w:t>
      </w:r>
    </w:p>
  </w:footnote>
  <w:footnote w:id="2087">
    <w:p>
      <w:pPr>
        <w:pStyle w:val="FootnoteText"/>
      </w:pPr>
      <w:r>
        <w:rPr>
          <w:rStyle w:val="FootnoteReference"/>
        </w:rPr>
        <w:footnoteRef/>
      </w:r>
      <w:r>
        <w:t xml:space="preserve"> </w:t>
      </w:r>
      <w:r>
        <w:t xml:space="preserve">Identificazione dei costi: il costo del servizio comprende le remunerazioni dei psicologi, i costi organizzativi e di coordinamento e la quota destinata alla formazione congiunta; è stimato per scenario di copertura ed espresso a regime.</w:t>
      </w:r>
    </w:p>
  </w:footnote>
  <w:footnote w:id="2088">
    <w:p>
      <w:pPr>
        <w:pStyle w:val="FootnoteText"/>
      </w:pPr>
      <w:r>
        <w:rPr>
          <w:rStyle w:val="FootnoteReference"/>
        </w:rPr>
        <w:footnoteRef/>
      </w:r>
      <w:r>
        <w:t xml:space="preserve"> </w:t>
      </w:r>
      <w:r>
        <w:t xml:space="preserve">Costo del servizio per scenario, a regime: dell’ordine di 30 milioni di euro annui nello scenario conservativo, 45 nello scenario base e 58 nello scenario espansivo, coerente con il valore di circa 55-57 milioni indicato per la piena copertura quando si includa il programma di formazione all’intelligenza artificiale.</w:t>
      </w:r>
    </w:p>
  </w:footnote>
  <w:footnote w:id="2089">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dalla centralizzazione delle funzioni di acquisto in capo all’Azienda Zero.</w:t>
      </w:r>
    </w:p>
  </w:footnote>
  <w:footnote w:id="2090">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2091">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2092">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2093">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2094">
    <w:p>
      <w:pPr>
        <w:pStyle w:val="FootnoteText"/>
      </w:pPr>
      <w:r>
        <w:rPr>
          <w:rStyle w:val="FootnoteReference"/>
        </w:rPr>
        <w:footnoteRef/>
      </w:r>
      <w:r>
        <w:t xml:space="preserve"> </w:t>
      </w:r>
      <w:r>
        <w:t xml:space="preserve">Impatto sul bilancio: i risparmi diretti per il Servizio sanitario regionale si articolano nei canali del pronto soccorso, della farmaceutica e dei ricoveri e prestazioni specialistiche evitabili; il canale della mobilità recuperata è nullo, poiché il Veneto è regione a saldo di mobilità attivo.</w:t>
      </w:r>
    </w:p>
  </w:footnote>
  <w:footnote w:id="2095">
    <w:p>
      <w:pPr>
        <w:pStyle w:val="FootnoteText"/>
      </w:pPr>
      <w:r>
        <w:rPr>
          <w:rStyle w:val="FootnoteReference"/>
        </w:rPr>
        <w:footnoteRef/>
      </w:r>
      <w:r>
        <w:t xml:space="preserve"> </w:t>
      </w:r>
      <w:r>
        <w:t xml:space="preserve">Risparmi diretti complessivi per il Servizio sanitario regionale stimati nell’ordine di 18 milioni di euro annui nello scenario conservativo, 30 nello scenario base e 45 nello scenario espansivo, collocati prudenzialmente nella parte medio-bassa dell’intervallo in ragione dell’elevata efficienza del sistema.</w:t>
      </w:r>
    </w:p>
  </w:footnote>
  <w:footnote w:id="2096">
    <w:p>
      <w:pPr>
        <w:pStyle w:val="FootnoteText"/>
      </w:pPr>
      <w:r>
        <w:rPr>
          <w:rStyle w:val="FootnoteReference"/>
        </w:rPr>
        <w:footnoteRef/>
      </w:r>
      <w:r>
        <w:t xml:space="preserve"> </w:t>
      </w:r>
      <w:r>
        <w:t xml:space="preserve">Saldo diretto per il bilancio sanitario, dato dalla differenza tra risparmi diretti e costo del servizio, dell’ordine di −12, −15 e −13 milioni di euro annui nei tre scenari: è lievemente negativo, coerentemente con la natura di regione creditrice e con l’elevata appropriatezza del sistema veneto.</w:t>
      </w:r>
    </w:p>
  </w:footnote>
  <w:footnote w:id="2097">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Veneto il valore dell’intervento risiede in misura preponderante nelle ricadute economico-sociali, ed è questa la chiave di lettura del caso economico.</w:t>
      </w:r>
    </w:p>
  </w:footnote>
  <w:footnote w:id="2098">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un’economia dinamica e a elevata occupazione, la componente della produttività recuperata è la voce di maggior peso del beneficio complessivo.</w:t>
      </w:r>
    </w:p>
  </w:footnote>
  <w:footnote w:id="2099">
    <w:p>
      <w:pPr>
        <w:pStyle w:val="FootnoteText"/>
      </w:pPr>
      <w:r>
        <w:rPr>
          <w:rStyle w:val="FootnoteReference"/>
        </w:rPr>
        <w:footnoteRef/>
      </w:r>
      <w:r>
        <w:t xml:space="preserve"> </w:t>
      </w:r>
      <w:r>
        <w:t xml:space="preserve">Ricadute economico-sociali stimate nell’ordine di 95 milioni di euro annui nello scenario conservativo, 180 nello scenario base e 280 nello scenario espansivo, secondo i metodi del ritorno sociale sull’investimento, con criteri di stima conservativi.</w:t>
      </w:r>
    </w:p>
  </w:footnote>
  <w:footnote w:id="2100">
    <w:p>
      <w:pPr>
        <w:pStyle w:val="FootnoteText"/>
      </w:pPr>
      <w:r>
        <w:rPr>
          <w:rStyle w:val="FootnoteReference"/>
        </w:rPr>
        <w:footnoteRef/>
      </w:r>
      <w:r>
        <w:t xml:space="preserve"> </w:t>
      </w:r>
      <w:r>
        <w:t xml:space="preserve">Ritorno complessivo, somma dei risparmi diretti e delle ricadute sociali, dell’ordine di 113, 210 e 325 milioni di euro annui nei tre scenari; il saldo complessivo, al netto del costo del servizio, è dell’ordine di +83, +165 e +267 milioni di euro annui.</w:t>
      </w:r>
    </w:p>
  </w:footnote>
  <w:footnote w:id="2101">
    <w:p>
      <w:pPr>
        <w:pStyle w:val="FootnoteText"/>
      </w:pPr>
      <w:r>
        <w:rPr>
          <w:rStyle w:val="FootnoteReference"/>
        </w:rPr>
        <w:footnoteRef/>
      </w:r>
      <w:r>
        <w:t xml:space="preserve"> </w:t>
      </w:r>
      <w:r>
        <w:t xml:space="preserve">Rapporto beneficio-costo complessivo dell’ordine di 3,8:1 nello scenario conservativo, 4,7:1 nello scenario base e 5,6:1 nello scenario espansivo, in linea con il valore validato sulle altre regioni e coerente con le stime metodologicamente fondate della letteratura.</w:t>
      </w:r>
    </w:p>
  </w:footnote>
  <w:footnote w:id="2102">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2103">
    <w:p>
      <w:pPr>
        <w:pStyle w:val="FootnoteText"/>
      </w:pPr>
      <w:r>
        <w:rPr>
          <w:rStyle w:val="FootnoteReference"/>
        </w:rPr>
        <w:footnoteRef/>
      </w:r>
      <w:r>
        <w:t xml:space="preserve"> </w:t>
      </w:r>
      <w:r>
        <w:t xml:space="preserve">Sostenibilità finanziaria: il costo del servizio si colloca nell’ordine dello 0,3-0,5% di un Fondo Sanitario Regionale di circa 11 miliardi di euro, importo pienamente sostenibile per un sistema solido e in equilibrio, e ulteriormente ottimizzabile grazie alle economie di scala consentite dall’Azienda Zero.</w:t>
      </w:r>
    </w:p>
  </w:footnote>
  <w:footnote w:id="2104">
    <w:p>
      <w:pPr>
        <w:pStyle w:val="FootnoteText"/>
      </w:pPr>
      <w:r>
        <w:rPr>
          <w:rStyle w:val="FootnoteReference"/>
        </w:rPr>
        <w:footnoteRef/>
      </w:r>
      <w:r>
        <w:t xml:space="preserve"> </w:t>
      </w:r>
      <w:r>
        <w:t xml:space="preserve">Lacuna prioritaria: le grandezze economiche qui impiegate sono in parte ricostruite dai conti nazionali per quota di popolazione (8,2%) e non estratte dai conti regionali certificati; la loro verifica presso l’Azienda Zero e le Aziende ULSS è condizione per la presentazione alle autorità di finanza pubblica.</w:t>
      </w:r>
    </w:p>
  </w:footnote>
  <w:footnote w:id="2105">
    <w:p>
      <w:pPr>
        <w:pStyle w:val="FootnoteText"/>
      </w:pPr>
      <w:r>
        <w:rPr>
          <w:rStyle w:val="FootnoteReference"/>
        </w:rPr>
        <w:footnoteRef/>
      </w:r>
      <w:r>
        <w:t xml:space="preserve"> </w:t>
      </w:r>
      <w:r>
        <w:t xml:space="preserve">Questa parte sviluppa i metodi di modellazione e di gestione dell’incertezza del quinto dominio, secondo le buone pratiche di ricerca sulla modellazione dell’ISPOR e dell’Accademia delle scienze, ed è riportata secondo lo standard CHEERS 2022.</w:t>
      </w:r>
    </w:p>
  </w:footnote>
  <w:footnote w:id="2106">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2107">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2108">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2109">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2110">
    <w:p>
      <w:pPr>
        <w:pStyle w:val="FootnoteText"/>
      </w:pPr>
      <w:r>
        <w:rPr>
          <w:rStyle w:val="FootnoteReference"/>
        </w:rPr>
        <w:footnoteRef/>
      </w:r>
      <w:r>
        <w:t xml:space="preserve"> </w:t>
      </w:r>
      <w:r>
        <w:t xml:space="preserve">Distribuzioni e fonti: distribuzioni Beta per le probabilità di transizione e per le utilità, vincolate all’intervallo tra zero e uno, e distribuzioni Gamma per i costi, vincolati ai valori positivi; valori centrali e intervalli tratti dall’evidenza internazionale (Parte D) e da calibrare, per i parametri regionali, sui valori veneti certificati non appena disponibili.</w:t>
      </w:r>
    </w:p>
  </w:footnote>
  <w:footnote w:id="2111">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2112">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2113">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2114">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2115">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2116">
    <w:p>
      <w:pPr>
        <w:pStyle w:val="FootnoteText"/>
      </w:pPr>
      <w:r>
        <w:rPr>
          <w:rStyle w:val="FootnoteReference"/>
        </w:rPr>
        <w:footnoteRef/>
      </w:r>
      <w:r>
        <w:t xml:space="preserve"> </w:t>
      </w:r>
      <w:r>
        <w:t xml:space="preserve">Distinzione tra costo-utilità e impatto sul bilancio per il Veneto: la probabilità di costo-efficacia è un risultato di efficienza, riferito al singolo paziente, che valorizza il guadagno di salute e l’intera traiettoria di costo del modello; esso è coerente con il saldo diretto aggregato della Parte E, che per il Veneto è negativo, poiché la traduzione dal modello per paziente all’aggregato regionale incorpora le correzioni per peso morto e per l’effettiva monetizzabilità nel bilancio dei costi evitati, e poiché manca il canale della mobilità, essendo il Veneto regione creditrice. L’efficienza per paziente è robusta; la convenienza per il solo bilancio è negativa; il forte ritorno per la collettività proviene dalle ricadute sociali.</w:t>
      </w:r>
    </w:p>
  </w:footnote>
  <w:footnote w:id="2117">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118">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essendo il canale della mobilità non applicabile in Veneto — sono quelli su cui il valore dell’informazione è più elevato e verso i quali si indirizza prioritariamente la richiesta di dati certificati all’Azienda Zero.</w:t>
      </w:r>
    </w:p>
  </w:footnote>
  <w:footnote w:id="2119">
    <w:p>
      <w:pPr>
        <w:pStyle w:val="FootnoteText"/>
      </w:pPr>
      <w:r>
        <w:rPr>
          <w:rStyle w:val="FootnoteReference"/>
        </w:rPr>
        <w:footnoteRef/>
      </w:r>
      <w:r>
        <w:t xml:space="preserve"> </w:t>
      </w:r>
      <w:r>
        <w:t xml:space="preserve">Verifica empirica: il dispiegamento scaglionato del servizio tra le nove Aziende ULSS (stepped-wedge), oggetto della Parte L, riduce l’incertezza dei parametri sostituendo le stime con misure osservate sui dati veneti.</w:t>
      </w:r>
    </w:p>
  </w:footnote>
  <w:footnote w:id="2120">
    <w:p>
      <w:pPr>
        <w:pStyle w:val="FootnoteText"/>
      </w:pPr>
      <w:r>
        <w:rPr>
          <w:rStyle w:val="FootnoteReference"/>
        </w:rPr>
        <w:footnoteRef/>
      </w:r>
      <w:r>
        <w:t xml:space="preserve"> </w:t>
      </w:r>
      <w:r>
        <w:t xml:space="preserv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2121">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Veneto il rischio di povertà o esclusione è contenuto in aggregato, sicché il gradiente socio-economico non è il tratto distintivo: la dimensione propriamente territoriale dell’equità — la dualità fra la pianura produttiva e le aree montane del Bellunese e dell’Altopiano — prevale su quella socio-economica.</w:t>
      </w:r>
    </w:p>
  </w:footnote>
  <w:footnote w:id="2122">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Veneto rileva in particolare l’abbattimento della barriera geografica nelle aree montane, dove la distanza dai servizi e la loro rarefazione sono il principale ostacolo all’accesso.</w:t>
      </w:r>
    </w:p>
  </w:footnote>
  <w:footnote w:id="2123">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montane, equità di esito tra gruppi, equità di genere, accesso per le popolazioni straniere e fragili e per le persone con disabilità, gratuità per i gruppi vulnerabili, copertura del bisogno non soddisfatto.</w:t>
      </w:r>
    </w:p>
  </w:footnote>
  <w:footnote w:id="2124">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2125">
    <w:p>
      <w:pPr>
        <w:pStyle w:val="FootnoteText"/>
      </w:pPr>
      <w:r>
        <w:rPr>
          <w:rStyle w:val="FootnoteReference"/>
        </w:rPr>
        <w:footnoteRef/>
      </w:r>
      <w:r>
        <w:t xml:space="preserve"> </w:t>
      </w:r>
      <w:r>
        <w:t xml:space="preserve">Direzione del risultato distributivo: poiché il guadagno di accesso è più ampio dove l’accesso è oggi più difficile — le aree montane e le popolazioni gravate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2126">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3,8-5,6 a uno. In Veneto, ove la popolazione non è prevalentemente deprivata, l’effetto della ponderazione sarebbe più contenuto che nel Mezzogiorno, il che rende la scelta non ponderata tanto più prudente.</w:t>
      </w:r>
    </w:p>
  </w:footnote>
  <w:footnote w:id="2127">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e la prevalenza di cronicità e multimorbidità, attribuendo pesi maggiori alle aree montane del Bellunese e dell’Altopiano e alle aree anziane del Polesine.</w:t>
      </w:r>
    </w:p>
  </w:footnote>
  <w:footnote w:id="2128">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2129">
    <w:p>
      <w:pPr>
        <w:pStyle w:val="FootnoteText"/>
      </w:pPr>
      <w:r>
        <w:rPr>
          <w:rStyle w:val="FootnoteReference"/>
        </w:rPr>
        <w:footnoteRef/>
      </w:r>
      <w:r>
        <w:t xml:space="preserve"> </w:t>
      </w:r>
      <w:r>
        <w:t xml:space="preserve">Divari territoriali in Veneto: il divario rilevante non è quello Nord-Sud, ma quello interno tra la pianura densa e produttiva, ben servita, e le aree montane del Bellunese e dell’Altopiano, a popolazione anziana e dispersa e in spopolamento; il Bellunese è la provincia più anziana e l’unica con mortalità in crescita. In queste aree la sola presenza fisica di un primo livello accessibile costituisce già un atto di riequilibrio, integrato dalla telepsicologia.</w:t>
      </w:r>
    </w:p>
  </w:footnote>
  <w:footnote w:id="2130">
    <w:p>
      <w:pPr>
        <w:pStyle w:val="FootnoteText"/>
      </w:pPr>
      <w:r>
        <w:rPr>
          <w:rStyle w:val="FootnoteReference"/>
        </w:rPr>
        <w:footnoteRef/>
      </w:r>
      <w:r>
        <w:t xml:space="preserve"> </w:t>
      </w:r>
      <w:r>
        <w:t xml:space="preserve">Liste di attesa, erosione degli organici e rete territoriale quali dimensioni di equità: in Veneto, dove il canale della mobilità recuperata non si applica essendo la regione creditrice, la principale leva distributiva è la riduzione delle liste di attesa, il contrasto all’erosione degli organici dei servizi di salute mentale e il completamento della rete territoriale, che oggi penalizzano chi non può ricorrere al privato.</w:t>
      </w:r>
    </w:p>
  </w:footnote>
  <w:footnote w:id="2131">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2132">
    <w:p>
      <w:pPr>
        <w:pStyle w:val="FootnoteText"/>
      </w:pPr>
      <w:r>
        <w:rPr>
          <w:rStyle w:val="FootnoteReference"/>
        </w:rPr>
        <w:footnoteRef/>
      </w:r>
      <w:r>
        <w:t xml:space="preserve"> </w:t>
      </w:r>
      <w:r>
        <w:t xml:space="preserve">Copertura del bisogno non soddisfatto come equità: intercettare la quota inevasa del disagio — dell’ordine di 970.000 persone, in larga parte non intercettata — significa raggiungere proprio coloro che hanno minore probabilità di accedere spontaneamente ai servizi.</w:t>
      </w:r>
    </w:p>
  </w:footnote>
  <w:footnote w:id="2133">
    <w:p>
      <w:pPr>
        <w:pStyle w:val="FootnoteText"/>
      </w:pPr>
      <w:r>
        <w:rPr>
          <w:rStyle w:val="FootnoteReference"/>
        </w:rPr>
        <w:footnoteRef/>
      </w:r>
      <w:r>
        <w:t xml:space="preserve"> </w:t>
      </w:r>
      <w:r>
        <w:t xml:space="preserve">Collegamento al monitoraggio: gli indicatori di equità — accesso per area e per livello socio-economico, gradiente dell’esito, tempi di attesa per area — fanno parte del sistema di indicatori della Parte L, e consentono di accertare nel tempo se il servizio raggiunga le comunità montane più distanti e i gruppi più fragili.</w:t>
      </w:r>
    </w:p>
  </w:footnote>
  <w:footnote w:id="2134">
    <w:p>
      <w:pPr>
        <w:pStyle w:val="FootnoteText"/>
      </w:pPr>
      <w:r>
        <w:rPr>
          <w:rStyle w:val="FootnoteReference"/>
        </w:rPr>
        <w:footnoteRef/>
      </w:r>
      <w:r>
        <w:t xml:space="preserve"> </w:t>
      </w:r>
      <w:r>
        <w:t xml:space="preserve">Questa parte copre tre domini del modello HTA — il profilo etico (dominio 6), il profilo organizzativo (dominio 7) e il profilo giuridico (dominio 9) — che completano la valutazione oltre i piani già trattati.</w:t>
      </w:r>
    </w:p>
  </w:footnote>
  <w:footnote w:id="2135">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2136">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2137">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2138">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2139">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2140">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gli atti regionali veneti operano legittimamente entro tale competenza, sul piano organizzativo.</w:t>
      </w:r>
    </w:p>
  </w:footnote>
  <w:footnote w:id="2141">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2142">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il Veneto, che intende strutturare entro la propria competenza organizzativa una funzione già sperimentata e già oggetto di impegno politico.</w:t>
      </w:r>
    </w:p>
  </w:footnote>
  <w:footnote w:id="2143">
    <w:p>
      <w:pPr>
        <w:pStyle w:val="FootnoteText"/>
      </w:pPr>
      <w:r>
        <w:rPr>
          <w:rStyle w:val="FootnoteReference"/>
        </w:rPr>
        <w:footnoteRef/>
      </w:r>
      <w:r>
        <w:t xml:space="preserve"> </w:t>
      </w:r>
      <w:r>
        <w:t xml:space="preserve">Base giuridica regionale del Veneto: la regione ha avviato la prima sperimentazione già nel 2014; con la mozione n. 302 del 2022 il Consiglio ha impegnato la Giunta ad avviare un servizio permanente di psicologia delle cure primarie; sono in corso d’esame proposte di legge dedicate; la cornice organizzativa di riferimento è la legge regionale n. 19 del 2016, istitutiva dell’Azienda Zero. La decisione non verte sul prevedere la funzione, già sperimentata e impegnata, ma sullo strutturarla e dimensionarla.</w:t>
      </w:r>
    </w:p>
  </w:footnote>
  <w:footnote w:id="2144">
    <w:p>
      <w:pPr>
        <w:pStyle w:val="FootnoteText"/>
      </w:pPr>
      <w:r>
        <w:rPr>
          <w:rStyle w:val="FootnoteReference"/>
        </w:rPr>
        <w:footnoteRef/>
      </w:r>
      <w:r>
        <w:t xml:space="preserve"> </w:t>
      </w:r>
      <w:r>
        <w:t xml:space="preserve">Corte costituzionale, sentenza n. 6 del 2026: le Regioni in piano di rientro non possono utilizzare i fondi del proprio Servizio sanitario per finalità diverse dalla garanzia dei livelli essenziali. Il Veneto, con conti in equilibrio e non sottoposto a piano di rientro, non è soggetto a tale vincolo; permane il principio generale di destinazione delle risorse ai livelli essenziali, che la riforma rispetta.</w:t>
      </w:r>
    </w:p>
  </w:footnote>
  <w:footnote w:id="2145">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 Veneto, che concorre alla governance e alla formazione.</w:t>
      </w:r>
    </w:p>
  </w:footnote>
  <w:footnote w:id="2146">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2147">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2148">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montane del Bellunese e dell’Altopiano — e il supporto multilingue per le popolazioni straniere, ferma restando la garanzia dell’alternativa in presenza.</w:t>
      </w:r>
    </w:p>
  </w:footnote>
  <w:footnote w:id="2149">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2150">
    <w:p>
      <w:pPr>
        <w:pStyle w:val="FootnoteText"/>
      </w:pPr>
      <w:r>
        <w:rPr>
          <w:rStyle w:val="FootnoteReference"/>
        </w:rPr>
        <w:footnoteRef/>
      </w:r>
      <w:r>
        <w:t xml:space="preserve"> </w:t>
      </w:r>
      <w:r>
        <w:t xml:space="preserve">Questa parte copre il settimo dominio del modello HTA, il profilo organizzativo, e fornisce il contenuto del caso commerciale e del caso gestionale del Five Case Model, rispondendo al criterio di sostenibilità.</w:t>
      </w:r>
    </w:p>
  </w:footnote>
  <w:footnote w:id="2151">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w:t>
      </w:r>
    </w:p>
  </w:footnote>
  <w:footnote w:id="2152">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2153">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attivazione, il numero di psicologi reclutati e formati, la qualità della formazione e della supervisione, il grado di integrazione nei flussi di lavoro, l’aderenza ai percorsi e la scalabilità.</w:t>
      </w:r>
    </w:p>
  </w:footnote>
  <w:footnote w:id="2154">
    <w:p>
      <w:pPr>
        <w:pStyle w:val="FootnoteText"/>
      </w:pPr>
      <w:r>
        <w:rPr>
          <w:rStyle w:val="FootnoteReference"/>
        </w:rPr>
        <w:footnoteRef/>
      </w:r>
      <w:r>
        <w:t xml:space="preserve"> </w:t>
      </w:r>
      <w:r>
        <w:t xml:space="preserve">Disegno del dispiegamento scaglionato in Veneto: le nove Aziende ULSS passano in sequenza, per fasi semestrali, dalla condizione di controllo a quella di intervento, a partire dalle aziende di maggiore dimensione e prontezza organizzativa, sino a coprire l’intera regione; l’ordine è definito dalla Giunta regionale su criteri trasparenti e reso noto preventivamente, con il coordinamento unitario dell’Azienda Zero.</w:t>
      </w:r>
    </w:p>
  </w:footnote>
  <w:footnote w:id="2155">
    <w:p>
      <w:pPr>
        <w:pStyle w:val="FootnoteText"/>
      </w:pPr>
      <w:r>
        <w:rPr>
          <w:rStyle w:val="FootnoteReference"/>
        </w:rPr>
        <w:footnoteRef/>
      </w:r>
      <w:r>
        <w:t xml:space="preserve"> </w:t>
      </w:r>
      <w:r>
        <w:t xml:space="preserve">Doppia funzione del dispiegamento scaglionato: esso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p>
  </w:footnote>
  <w:footnote w:id="2156">
    <w:p>
      <w:pPr>
        <w:pStyle w:val="FootnoteText"/>
      </w:pPr>
      <w:r>
        <w:rPr>
          <w:rStyle w:val="FootnoteReference"/>
        </w:rPr>
        <w:footnoteRef/>
      </w:r>
      <w:r>
        <w:t xml:space="preserve"> </w:t>
      </w:r>
      <w:r>
        <w:t xml:space="preserve">Reclutamento: a fronte di un fabbisogno a regime dell’ordine di 1.050 psicologi, il reclutamento avviene tramite l’iscrizione a un elenco istituito presso ciascuna azienda e l’instaurazione di un rapporto convenzionale, con requisiti di iscrizione all’albo e di formazione specifica; in prima applicazione possono accedere i professionisti con pregressa esperienza nell’assistenza psicologica nel Servizio sanitario regionale, valorizzando l’esperienza maturata nelle sperimentazioni avviate dal 2014.</w:t>
      </w:r>
    </w:p>
  </w:footnote>
  <w:footnote w:id="2157">
    <w:p>
      <w:pPr>
        <w:pStyle w:val="FootnoteText"/>
      </w:pPr>
      <w:r>
        <w:rPr>
          <w:rStyle w:val="FootnoteReference"/>
        </w:rPr>
        <w:footnoteRef/>
      </w:r>
      <w:r>
        <w:t xml:space="preserve"> </w:t>
      </w:r>
      <w:r>
        <w:t xml:space="preserve">Cronoprogramma: l’attivazione procede per fasi semestrali attraverso le nove Aziende ULSS; le attività di reclutamento, formazione, allestimento e avvio sono condotte in modo scaglionato, azienda per azienda, mentre il monitoraggio e la valutazione accompagnano l’intero arco e proseguono oltre il completamento.</w:t>
      </w:r>
    </w:p>
  </w:footnote>
  <w:footnote w:id="2158">
    <w:p>
      <w:pPr>
        <w:pStyle w:val="FootnoteText"/>
      </w:pPr>
      <w:r>
        <w:rPr>
          <w:rStyle w:val="FootnoteReference"/>
        </w:rPr>
        <w:footnoteRef/>
      </w:r>
      <w:r>
        <w:t xml:space="preserve"> </w:t>
      </w:r>
      <w:r>
        <w:t xml:space="preserve">Soglia di riuscita del dispiegamento: tra i parametri che muterebbero le conclusioni figura un tasso di recupero inferiore al 50% nella fase di attuazione, a fronte del valore di riferimento del programma inglese; il monitoraggio è chiamato a verificarne il raggiungimento sui dati veneti.</w:t>
      </w:r>
    </w:p>
  </w:footnote>
  <w:footnote w:id="2159">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30, 45 e 58 milioni già esposti nella Parte E; il modello dell’elenco aziendale e del rapporto convenzionale è già adottato da altre Regioni e non richiede la creazione di nuove figure.</w:t>
      </w:r>
    </w:p>
  </w:footnote>
  <w:footnote w:id="2160">
    <w:p>
      <w:pPr>
        <w:pStyle w:val="FootnoteText"/>
      </w:pPr>
      <w:r>
        <w:rPr>
          <w:rStyle w:val="FootnoteReference"/>
        </w:rPr>
        <w:footnoteRef/>
      </w:r>
      <w:r>
        <w:t xml:space="preserve"> </w:t>
      </w:r>
      <w:r>
        <w:t xml:space="preserve">Caso gestionale (Five Case Model): l’attuazione è governata su due livelli. A livello regionale, un comitato di indirizzo regionale esercita le funzioni di indirizzo, programmazione, monitoraggio e controllo, riunendo la Regione, l’Azienda Zero, le Aziende ULSS, le Aziende Ospedaliere universitarie, l’Ordine degli Psicologi del Veneto, la medicina generale, la pediatria di libera scelta e le università di Padova e Verona; a livello aziendale, ciascuna Azienda ULSS è responsabile dell’attuazione nel proprio ambito, secondo la regia unitaria dell’Azienda Zero.</w:t>
      </w:r>
    </w:p>
  </w:footnote>
  <w:footnote w:id="2161">
    <w:p>
      <w:pPr>
        <w:pStyle w:val="FootnoteText"/>
      </w:pPr>
      <w:r>
        <w:rPr>
          <w:rStyle w:val="FootnoteReference"/>
        </w:rPr>
        <w:footnoteRef/>
      </w:r>
      <w:r>
        <w:t xml:space="preserve"> </w:t>
      </w:r>
      <w:r>
        <w:t xml:space="preserve">Rischi attuativi e misure di mitigazione: i rischi principali — reclutamento insufficiente, debole adesione della medicina generale, interoperabilità incompleta dei sistemi informativi, disomogeneità territoriale e venir meno delle coperture — sono associati a misure dedicate; il dispiegamento graduale è esso stesso la principale forma di mitigazione, poiché consente di osservare, correggere e adattare prima dell’estensione.</w:t>
      </w:r>
    </w:p>
  </w:footnote>
  <w:footnote w:id="2162">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11 miliardi di euro, la Missione 6 del Piano Nazionale di Ripresa e Resilienza per l’infrastruttura territoriale e digitale, e un eventuale fondo statale a sostegno dei livelli essenziali.</w:t>
      </w:r>
    </w:p>
  </w:footnote>
  <w:footnote w:id="2163">
    <w:p>
      <w:pPr>
        <w:pStyle w:val="FootnoteText"/>
      </w:pPr>
      <w:r>
        <w:rPr>
          <w:rStyle w:val="FootnoteReference"/>
        </w:rPr>
        <w:footnoteRef/>
      </w:r>
      <w:r>
        <w:t xml:space="preserve"> </w:t>
      </w:r>
      <w:r>
        <w:t xml:space="preserve">Vincoli di bilancio: il Veneto dispone di un finanziamento dell’ordine di 11 miliardi di euro con conti in equilibrio e non è in piano di rientro; il costo del servizio, anche a massima copertura, ne costituisce una frazione dell’ordine di mezzo punto percentuale, agevolmente assorbibile, sicché la sostenibilità finanziaria è in Veneto più immediata che nelle regioni in difficoltà.</w:t>
      </w:r>
    </w:p>
  </w:footnote>
  <w:footnote w:id="2164">
    <w:p>
      <w:pPr>
        <w:pStyle w:val="FootnoteText"/>
      </w:pPr>
      <w:r>
        <w:rPr>
          <w:rStyle w:val="FootnoteReference"/>
        </w:rPr>
        <w:footnoteRef/>
      </w:r>
      <w:r>
        <w:t xml:space="preserve"> </w:t>
      </w:r>
      <w:r>
        <w:t xml:space="preserve">Sostenibilità nel tempo (criterio OCSE-DAC): la sostenibilità è assicurata dalla modestia del costo rispetto al bilancio, dal forte ritorno sociale documentato e dall’istituzionalizzazione del servizio, già oggetto di impegno politico con la mozione n. 302 del 2022 e delle economie di scala consentite dall’Azienda Zero.</w:t>
      </w:r>
    </w:p>
  </w:footnote>
  <w:footnote w:id="2165">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veneti, prevista dalla Parte L, è chiamata a sostituire progressivamente le stime con misure osservate.</w:t>
      </w:r>
    </w:p>
  </w:footnote>
  <w:footnote w:id="2166">
    <w:p>
      <w:pPr>
        <w:pStyle w:val="FootnoteText"/>
      </w:pPr>
      <w:r>
        <w:rPr>
          <w:rStyle w:val="FootnoteReference"/>
        </w:rPr>
        <w:footnoteRef/>
      </w:r>
      <w:r>
        <w:t xml:space="preserve"> </w:t>
      </w:r>
      <w:r>
        <w:t xml:space="preserve">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2167">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2168">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circa quaranta richiedono la rilevazione diretta del servizio.</w:t>
      </w:r>
    </w:p>
  </w:footnote>
  <w:footnote w:id="2169">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2170">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Aziende ULSS sono tra le misure di equità.</w:t>
      </w:r>
    </w:p>
  </w:footnote>
  <w:footnote w:id="2171">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w:t>
      </w:r>
    </w:p>
  </w:footnote>
  <w:footnote w:id="2172">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2173">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2174">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vanno registrati subito; la rilevazione di servizio parte con il primo assistito. Ogni mese di ritardo nell’avvio è un mese di dati di base perduti.</w:t>
      </w:r>
    </w:p>
  </w:footnote>
  <w:footnote w:id="2175">
    <w:p>
      <w:pPr>
        <w:pStyle w:val="FootnoteText"/>
      </w:pPr>
      <w:r>
        <w:rPr>
          <w:rStyle w:val="FootnoteReference"/>
        </w:rPr>
        <w:footnoteRef/>
      </w:r>
      <w:r>
        <w:t xml:space="preserve"> </w:t>
      </w:r>
      <w:r>
        <w:t xml:space="preserve">Calendario della rilevazione: prima dell’avvio, costituzione della baseline con i dati disponibili e predisposizione del registro e dei questionari; all’avvio, inizio della registrazione; in continuo, trasmissione di indicatori aggregati al comitato di indirizzo regionale con cadenza mensile; periodicamente, calcolo delle misure di sintesi e aggiornamento del cruscotto regionale.</w:t>
      </w:r>
    </w:p>
  </w:footnote>
  <w:footnote w:id="2176">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lo strumento che la rende possibile è il disegno scaglionato del dispiegamento, idoneo esperimento naturale.</w:t>
      </w:r>
    </w:p>
  </w:footnote>
  <w:footnote w:id="2177">
    <w:p>
      <w:pPr>
        <w:pStyle w:val="FootnoteText"/>
      </w:pPr>
      <w:r>
        <w:rPr>
          <w:rStyle w:val="FootnoteReference"/>
        </w:rPr>
        <w:footnoteRef/>
      </w:r>
      <w:r>
        <w:t xml:space="preserve"> </w:t>
      </w:r>
      <w:r>
        <w:t xml:space="preserve">Differenza-nelle-differenze: confronta la variazione nel tempo dell’esito tra le Aziende ULSS già attivate e quelle non ancora attivate, sotto l’ipotesi di andamento parallelo; vi si affianca il controllo sintetico, che costruisce un’unità di confronto artificiale come combinazione ponderata di unità non trattate.</w:t>
      </w:r>
    </w:p>
  </w:footnote>
  <w:footnote w:id="2178">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2179">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Aziende ULSS che hanno attivato il servizio con quello delle aziende che lo attiveranno, si isola l’effetto proprio della riforma e si trasforma la stima dei risparmi da proiezione attesa a misura empiricamente fondata sui dati veneti.</w:t>
      </w:r>
    </w:p>
  </w:footnote>
  <w:footnote w:id="2180">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2181">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nel Veneto questo passaggio è già prefigurato dalla mozione n. 302 del 2022, ed è ciò che lega la misurazione tecnica alla responsabilità politica e alla trasparenza verso il legislatore regionale.</w:t>
      </w:r>
    </w:p>
  </w:footnote>
  <w:footnote w:id="2182">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2183">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2184">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2185">
    <w:p>
      <w:pPr>
        <w:pStyle w:val="FootnoteText"/>
      </w:pPr>
      <w:r>
        <w:rPr>
          <w:rStyle w:val="FootnoteReference"/>
        </w:rPr>
        <w:footnoteRef/>
      </w:r>
      <w:r>
        <w:t xml:space="preserve"> </w:t>
      </w:r>
      <w:r>
        <w:t xml:space="preserve">Questa parte conclusiva applica la griglia di giudizio del telaio, i criteri dell’OCSE-DAC, che attraversano l’intero studio come metro di valutazione e convergono qui nella sintesi; fornisce inoltre il contenuto del caso strategico del Five Case Model.</w:t>
      </w:r>
    </w:p>
  </w:footnote>
  <w:footnote w:id="2186">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2187">
    <w:p>
      <w:pPr>
        <w:pStyle w:val="FootnoteText"/>
      </w:pPr>
      <w:r>
        <w:rPr>
          <w:rStyle w:val="FootnoteReference"/>
        </w:rPr>
        <w:footnoteRef/>
      </w:r>
      <w:r>
        <w:t xml:space="preserve"> </w:t>
      </w:r>
      <w:r>
        <w:t xml:space="preserve">Rilevanza: l’intervento risponde a un bisogno reale e di grande dimensione — dell’ordine di 970.000 persone con disagio comune in larga parte inevaso — e all’obbligo di garantire i livelli essenziali.</w:t>
      </w:r>
    </w:p>
  </w:footnote>
  <w:footnote w:id="2188">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base regionale veneta — la mozione n. 302 del 2022 e la legge regionale n. 19 del 2016 — ed è costituzionalmente difendibile; il Veneto, non sottoposto a piano di rientro, non incontra il vincolo di bilancio che grava sulle regioni in disavanzo.</w:t>
      </w:r>
    </w:p>
  </w:footnote>
  <w:footnote w:id="2189">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w:t>
      </w:r>
    </w:p>
  </w:footnote>
  <w:footnote w:id="2190">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il Veneto, di un saldo diretto negativo sul solo bilancio sanitario, di entità modesta rispetto a un finanziamento di 11 miliardi; l’efficienza allocativa è dunque elevata, la convenienza per il solo bilancio negativa.</w:t>
      </w:r>
    </w:p>
  </w:footnote>
  <w:footnote w:id="2191">
    <w:p>
      <w:pPr>
        <w:pStyle w:val="FootnoteText"/>
      </w:pPr>
      <w:r>
        <w:rPr>
          <w:rStyle w:val="FootnoteReference"/>
        </w:rPr>
        <w:footnoteRef/>
      </w:r>
      <w:r>
        <w:t xml:space="preserve"> </w:t>
      </w:r>
      <w:r>
        <w:t xml:space="preserve">Impatto: l’impatto distributivo è favorevole, poiché i benefici si concentrano dove l’accesso è più difficile — le aree montane del Bellunese e dell’Altopiano e le popolazioni gravate dalle liste di attesa — riducendo il gradiente territoriale; il ritorno complessivo è dell’ordine di 3,8-5,6 a uno.</w:t>
      </w:r>
    </w:p>
  </w:footnote>
  <w:footnote w:id="2192">
    <w:p>
      <w:pPr>
        <w:pStyle w:val="FootnoteText"/>
      </w:pPr>
      <w:r>
        <w:rPr>
          <w:rStyle w:val="FootnoteReference"/>
        </w:rPr>
        <w:footnoteRef/>
      </w:r>
      <w:r>
        <w:t xml:space="preserve"> </w:t>
      </w:r>
      <w:r>
        <w:t xml:space="preserve">Sostenibilità: l’intervento è finanziariamente sostenibile — a fronte di un costo modesto, di una pluralità di coperture e di un bilancio regionale in equilibrio — e organizzativamente, in quanto destinato all’istituzionalizzazione, già oggetto di impegno politico con la mozione n. 302 del 2022.</w:t>
      </w:r>
    </w:p>
  </w:footnote>
  <w:footnote w:id="2193">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2194">
    <w:p>
      <w:pPr>
        <w:pStyle w:val="FootnoteText"/>
      </w:pPr>
      <w:r>
        <w:rPr>
          <w:rStyle w:val="FootnoteReference"/>
        </w:rPr>
        <w:footnoteRef/>
      </w:r>
      <w:r>
        <w:t xml:space="preserve"> </w:t>
      </w:r>
      <w:r>
        <w:t xml:space="preserve">Risultato dell’analisi multi-criterio: su otto criteri pesati, l’opzione di intervento ottiene un punteggio complessivo dell’ordine di 80,7 su 100 contro 39,25 dell’opzione zero, e prevale su tutti i criteri tranne la fattibilità immediata; il risultato è stabile rispetto ai pesi adottati.</w:t>
      </w:r>
    </w:p>
  </w:footnote>
  <w:footnote w:id="2195">
    <w:p>
      <w:pPr>
        <w:pStyle w:val="FootnoteText"/>
      </w:pPr>
      <w:r>
        <w:rPr>
          <w:rStyle w:val="FootnoteReference"/>
        </w:rPr>
        <w:footnoteRef/>
      </w:r>
      <w:r>
        <w:t xml:space="preserve"> </w:t>
      </w:r>
      <w:r>
        <w:t xml:space="preserve">Le tre affermazioni del cruscotto decisionale per il Veneto: il servizio costa al bilancio sanitario una cifra modesta e comporta un saldo diretto lievemente negativo, trascurabile rispetto a un finanziamento di 11 miliardi; il ritorno per la collettività è ampio (rapporto beneficio-costo di 3,8-5,6 a uno); il valore poggia quasi interamente sulle ricadute sociali.</w:t>
      </w:r>
    </w:p>
  </w:footnote>
  <w:footnote w:id="2196">
    <w:p>
      <w:pPr>
        <w:pStyle w:val="FootnoteText"/>
      </w:pPr>
      <w:r>
        <w:rPr>
          <w:rStyle w:val="FootnoteReference"/>
        </w:rPr>
        <w:footnoteRef/>
      </w:r>
      <w:r>
        <w:t xml:space="preserve"> </w:t>
      </w:r>
      <w:r>
        <w:t xml:space="preserve">Raccomandazione centrale: la decisione rilevante non è se prevedere il servizio — già sperimentato dal 2014 e oggetto dell’impegno assunto con la mozione n. 302 del 2022 — ma se strutturarlo e dimensionarlo, portandolo dalla sperimentazione alla copertura del fabbisogno, dell’ordine di 1.050 incarichi.</w:t>
      </w:r>
    </w:p>
  </w:footnote>
  <w:footnote w:id="2197">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2198">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veneta (8,2%), e non estratte dai conti regionali certificati dell’Azienda Zero e delle Aziende ULSS; tale sostituzione è la condizione per la presentazione agli organi di controllo.</w:t>
      </w:r>
    </w:p>
  </w:footnote>
  <w:footnote w:id="2199">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2200">
    <w:p>
      <w:pPr>
        <w:pStyle w:val="FootnoteText"/>
      </w:pPr>
      <w:r>
        <w:rPr>
          <w:rStyle w:val="FootnoteReference"/>
        </w:rPr>
        <w:footnoteRef/>
      </w:r>
      <w:r>
        <w:t xml:space="preserve"> </w:t>
      </w:r>
      <w:r>
        <w:t xml:space="preserve">Agenda di ricerca: l’investimento conoscitivo prioritario è l’acquisizione dei dati regionali certificati presso l’Azienda Zero e le Aziende ULSS, seguito dall’avvio della rilevazione di servizio e dalla valutazione controfattuale sul dispiegamento scaglionato.</w:t>
      </w:r>
    </w:p>
  </w:footnote>
  <w:footnote w:id="2201">
    <w:p>
      <w:pPr>
        <w:pStyle w:val="FootnoteText"/>
      </w:pPr>
      <w:r>
        <w:rPr>
          <w:rStyle w:val="FootnoteReference"/>
        </w:rPr>
        <w:footnoteRef/>
      </w:r>
      <w:r>
        <w:t xml:space="preserve"> </w:t>
      </w:r>
      <w:r>
        <w:t xml:space="preserve">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202">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203">
    <w:p>
      <w:pPr>
        <w:pStyle w:val="FootnoteText"/>
      </w:pPr>
      <w:r>
        <w:rPr>
          <w:rStyle w:val="FootnoteReference"/>
        </w:rPr>
        <w:footnoteRef/>
      </w:r>
      <w:r>
        <w:t xml:space="preserve"> </w:t>
      </w:r>
      <w:r>
        <w:t xml:space="preserve">Quadro economico consolidato per il Veneto (Parte E): a regime, da circa 530 a circa 1.050 psicologi, costo del servizio di 30-58 milioni, risparmi diretti di 18-45 milioni, ricadute sociali di 95-280 milioni; il saldo diretto è negativo, il saldo complessivo positivo, con rapporto beneficio-costo di 3,8-5,6 a uno.</w:t>
      </w:r>
    </w:p>
  </w:footnote>
  <w:footnote w:id="2204">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205">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2206">
    <w:p>
      <w:pPr>
        <w:pStyle w:val="FootnoteText"/>
      </w:pPr>
      <w:r>
        <w:rPr>
          <w:rStyle w:val="FootnoteReference"/>
        </w:rPr>
        <w:footnoteRef/>
      </w:r>
      <w:r>
        <w:t xml:space="preserve"> </w:t>
      </w:r>
      <w:r>
        <w:t xml:space="preserve">Valori regionali di ancoraggio per il Veneto: popolazione di 4.853.472 abitanti (Censimento ISTAT 2024), finanziamento del Servizio sanitario regionale dell’ordine di 11 miliardi di euro con conti in equilibrio, saldo di mobilità attivo, fabbisogno a regime dell’ordine di 1.050 psicologi.</w:t>
      </w:r>
    </w:p>
  </w:footnote>
  <w:footnote w:id="2207">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veneta (8,2%), e non estratti dai conti regionali certificati; i dati da acquisire presso l’Azienda Zero e le Aziende ULSS sono elencati nella tabella seguente.</w:t>
      </w:r>
    </w:p>
  </w:footnote>
  <w:footnote w:id="2208">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209">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e lombardo, di cui questo studio replica il telaio metodologico.</w:t>
      </w:r>
    </w:p>
  </w:footnote>
  <w:footnote w:id="2210">
    <w:p>
      <w:pPr>
        <w:pStyle w:val="FootnoteText"/>
      </w:pPr>
      <w:r>
        <w:rPr>
          <w:rStyle w:val="FootnoteReference"/>
        </w:rPr>
        <w:footnoteRef/>
      </w:r>
      <w:r>
        <w:t xml:space="preserve"> </w:t>
      </w:r>
      <w:r>
        <w:t xml:space="preserve">Posizione del Friuli-Venezia Giulia: la Regione dispone di un impegno politico formalmente assunto e di una sperimentazione in fase di avvio, ma non ancora di una legge attuativa. Nel febbraio 2022 il Consiglio regionale ha approvato all’unanimità, con la sottoscrizione di tutti i Gruppi consiliari, una mozione che impegna la Giunta a istituire nelle Case della Comunità ambulatori di primo livello di assistenza psicologica nei quali operino psicologi delle cure primarie, con accesso diretto del cittadino o su invio di altri professionisti e per tutte le fasce d’età, e a potenziare i Dipartimenti di salute mentale, prevedendo altresì un Tavolo tecnico regionale interdisciplinare. Nel maggio 2026 il confronto fra la Regione e le rappresentanze professionali ha aperto alla sperimentazione della figura, in linea con la normativa nazionale. Il servizio si colloca quindi nelle Case della Comunità, con accesso diretto, ma la sua forma piena — inquadramento, dimensionamento e copertura — è ancora da definire in via legislativa e attuativa.</w:t>
      </w:r>
    </w:p>
  </w:footnote>
  <w:footnote w:id="2211">
    <w:p>
      <w:pPr>
        <w:pStyle w:val="FootnoteText"/>
      </w:pPr>
      <w:r>
        <w:rPr>
          <w:rStyle w:val="FootnoteReference"/>
        </w:rPr>
        <w:footnoteRef/>
      </w:r>
      <w:r>
        <w:t xml:space="preserve"> </w:t>
      </w:r>
      <w:r>
        <w:t xml:space="preserve">Stato attuale e decisione: a differenza del Lazio, fermo a una proposta, e diversamente dalla Campania e dalla Sicilia, che hanno adottato leggi dedicate e un modello convenzionale, e dal Friuli-Venezia Giulia, che ha inquadrato il servizio in una legge di riforma con un modello dipartimentale, il Friuli-Venezia Giulia dispone di un impegno politico unanime — la mozione consiliare del 2022, sottoscritta da tutti i Gruppi — e di una sperimentazione in avvio, ma non ancora di una legge attuativa. La decisione rilevante, di conseguenza, non è se introdurre il servizio, già condiviso e in fase di sperimentazione, ma se dargli forma piena e strutturata: tradurre l’impegno politico in una legge regionale attuativa, definire l’inquadramento del personale, e dimensionare il servizio dalla sperimentazione iniziale alla copertura sistematica del fabbisogno — stimato nell’ordine di 260 psicologi nello scenario espansivo — entro l’autonomia propria di una regione a statuto speciale che si autofinanzia la sanità tramite compartecipazione ai tributi erariali e registra finanze solide e nessun piano di rientro.</w:t>
      </w:r>
    </w:p>
  </w:footnote>
  <w:footnote w:id="2212">
    <w:p>
      <w:pPr>
        <w:pStyle w:val="FootnoteText"/>
      </w:pPr>
      <w:r>
        <w:rPr>
          <w:rStyle w:val="FootnoteReference"/>
        </w:rPr>
        <w:footnoteRef/>
      </w:r>
      <w:r>
        <w:t xml:space="preserve"> </w:t>
      </w:r>
      <w:r>
        <w:t xml:space="preserve">Salute mentale in Friuli-Venezia Giulia: la domanda è sospinta da componenti convergenti, con un profilo segnato dall’invecchiamento. La prima e più caratterizzante è il bisogno dell’età anziana e della cronicità, in una delle regioni più anziane d’Italia — terza per età media dopo Liguria e Sardegna — particolarmente accentuato nelle aree montane e interne della Carnia, del Friuli collinare e delle valli, dove la rarefazione dei servizi, le distanze e l’isolamento gravano sull’accesso. La seconda è il disagio giovanile e quello connesso alla precarietà socio-economica, presente soprattutto nei centri di Trieste, Udine e Pordenone e nelle realtà universitarie. La terza è la dimensione linguistica e culturale, propria di una regione plurilingue in cui convivono italiano, friulano, sloveno e tedesco. A queste si aggiungono i divari di accesso propri di una regione di confine, la pressione delle liste di attesa e il bisogno, non sempre intercettato, della componente straniera.</w:t>
      </w:r>
    </w:p>
  </w:footnote>
  <w:footnote w:id="2213">
    <w:p>
      <w:pPr>
        <w:pStyle w:val="FootnoteText"/>
      </w:pPr>
      <w:r>
        <w:rPr>
          <w:rStyle w:val="FootnoteReference"/>
        </w:rPr>
        <w:footnoteRef/>
      </w:r>
      <w:r>
        <w:t xml:space="preserve"> </w:t>
      </w:r>
      <w:r>
        <w:t xml:space="preserve">Popolazione residente in Friuli-Venezia Giulia di 1.194.616 abitanti (Censimento permanente ISTAT, 1° gennaio 2024), pari a circa il 2,0% della popolazione nazionale e sostanzialmente stabile rispetto all’anno precedente, per effetto di saldi migratori positivi — con l’estero e con le altre regioni — che compensano un saldo naturale fortemente negativo e una natalità ai minimi storici. La distribuzione è concentrata sulle province di Udine, che con oltre 500.000 residenti raccoglie il 43,3% della popolazione, e di Pordenone, che con oltre 300.000 ne raccoglie il 26,0%: insieme quasi il 70%; le province di Trieste e Gorizia ospitano il restante 30,7%. Quasi il 30% della popolazione vive nei tre comuni con oltre 50.000 abitanti, Trieste, Udine e Pordenone. La struttura per età è fra le più anziane d’Italia, con un’età media di 48,5 anni — la terza più elevata dopo Liguria e Sardegna — e un indice di vecchiaia di 244,1 ultrasessantacinquenni ogni cento giovani sotto i quindici anni; la componente straniera è il 10,1% della popolazione, con prevalenza di cittadinanze rumena, albanese e bangladese.</w:t>
      </w:r>
    </w:p>
  </w:footnote>
  <w:footnote w:id="2214">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2215">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comparatore è dato dall’assetto attuale, fatto di iniziative frammentarie e dalla sperimentazione in avvio, prima della strutturazione in un modello pieno.</w:t>
      </w:r>
    </w:p>
  </w:footnote>
  <w:footnote w:id="2216">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2217">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 Friuli-Venezia Giulia presenta una condizione propria e relativamente favorevole: regione a statuto speciale, essa autofinanzia la sanità con risorse del proprio territorio attraverso la compartecipazione ai tributi erariali, senza che lo Stato concorra al finanziamento del Servizio sanitario regionale; non è sottoposta a piano di rientro e presenta finanze solide. Sul versante della mobilità sanitaria, la posizione di confine con Slovenia e Austria genera flussi nei due sensi, con un saldo contenuto, e la mobilità non riguarda la domanda psicologica delle cure primarie, sicché il canale del recupero è per questo intervento solo modestamente pertinente. Ne consegue un saldo diretto lievemente negativo ma modesto, agevolmente sostenibile entro l’autonomia finanziaria regionale; il caso economico poggia in misura preponderante sulle ricadute sociali, stimate con criteri conservativi.</w:t>
      </w:r>
    </w:p>
  </w:footnote>
  <w:footnote w:id="2218">
    <w:p>
      <w:pPr>
        <w:pStyle w:val="FootnoteText"/>
      </w:pPr>
      <w:r>
        <w:rPr>
          <w:rStyle w:val="FootnoteReference"/>
        </w:rPr>
        <w:footnoteRef/>
      </w:r>
      <w:r>
        <w:t xml:space="preserve"> </w:t>
      </w:r>
      <w:r>
        <w:t xml:space="preserve">I valori economici oggi impiegati sono in parte ricostruiti dai conti nazionali per quota di popolazione (2,0%) e non estratti dai conti regionali certificati delle tre aziende sanitarie regionali, dell’Azienda Regionale di Coordinamento per la Salute e degli istituti a rilievo nazionale: è la lacuna prioritaria dello studio, da colmare prima della presentazione esterna. Poiché il servizio è ancora in fase di sperimentazione e non a regime, il Friuli-Venezia Giulia dispone di una base di dati operativi propri limitata; lo studio poggia perciò, per l’efficacia, sui benchmark internazionali, e la sperimentazione in avvio costituirà la fonte primaria da consolidare.</w:t>
      </w:r>
    </w:p>
  </w:footnote>
  <w:footnote w:id="2219">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220">
    <w:p>
      <w:pPr>
        <w:pStyle w:val="FootnoteText"/>
      </w:pPr>
      <w:r>
        <w:rPr>
          <w:rStyle w:val="FootnoteReference"/>
        </w:rPr>
        <w:footnoteRef/>
      </w:r>
      <w:r>
        <w:t xml:space="preserve"> </w:t>
      </w:r>
      <w:r>
        <w:t xml:space="preserve">Valutazione controfattuale d’impatto: poiché la strutturazione del modello pieno avverrà in tempi differenziati fra i distretti delle tre aziende sanitarie regionali, il disegno può fondarsi su un esperimento a cunei progressivi, nel quale l’ordine e i tempi di attivazione del servizio tra i distretti delle tre aziende sono impiegati a fini valutativi. L’effetto causale è stimato con i metodi della differenza-nelle-differenze e del controllo sintetico; la sperimentazione in avvio consente di rilevare una linea di base prima della piena operatività.</w:t>
      </w:r>
    </w:p>
  </w:footnote>
  <w:footnote w:id="2221">
    <w:p>
      <w:pPr>
        <w:pStyle w:val="FootnoteText"/>
      </w:pPr>
      <w:r>
        <w:rPr>
          <w:rStyle w:val="FootnoteReference"/>
        </w:rPr>
        <w:footnoteRef/>
      </w:r>
      <w:r>
        <w:t xml:space="preserve"> </w:t>
      </w:r>
      <w:r>
        <w:t xml:space="preserve">La valutazione è governata da un comitato di indirizzo che riunisce la Regione (Direzione centrale salute, politiche sociali e disabilità), le tre aziende sanitarie regionali — l’Azienda sanitaria universitaria Giuliano Isontina (ASUGI), l’Azienda sanitaria universitaria Friuli Centrale (ASUFC) e l’Azienda sanitaria Friuli Occidentale (ASFO) — l’Azienda Regionale di Coordinamento per la Salute (ARCS), gli istituti a rilievo nazionale (IRCCS materno-infantile Burlo Garofolo, CRO di Aviano), l’Ordine degli Psicologi della Regione Friuli Venezia Giulia, le rappresentanze della medicina generale e della pediatria di libera scelta e gli atenei di Trieste e Udine. Il Friuli-Venezia Giulia dispone di un’azienda regionale di coordinamento per la salute, l’ARCS, accanto al coordinamento della Direzione centrale salute, e del Tavolo tecnico regionale interdisciplinare previsto dalla mozione del 2022. La sfida del governo non è quindi introdurre il servizio, già condiviso, ma dargli forma piena e condurlo a regime, strutturandolo nei distretti delle tre aziende sanitarie e garantendo l’omogeneità attuativa nell’unico sistema sanitario regionale.</w:t>
      </w:r>
    </w:p>
  </w:footnote>
  <w:footnote w:id="2222">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2223">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2224">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225">
    <w:p>
      <w:pPr>
        <w:pStyle w:val="FootnoteText"/>
      </w:pPr>
      <w:r>
        <w:rPr>
          <w:rStyle w:val="FootnoteReference"/>
        </w:rPr>
        <w:footnoteRef/>
      </w:r>
      <w:r>
        <w:t xml:space="preserve"> </w:t>
      </w:r>
      <w:r>
        <w:t xml:space="preserve">Popolazione residente in Sardegna 1.194.616 abitanti (Censimento permanente ISTAT al 31 dicembre 2024), pari a circa il 2,0% del totale nazionale, in calo di 8.072 unità rispetto all’anno precedente sostanzialmente stabile; la diminuzione, che non risparmia alcuna provincia, è dovuta a un saldo naturale fortemente negativo e a un saldo migratorio interno negativo, solo in parte compensati dal saldo migratorio estero, positivo. La denatalità ha toccato un nuovo minimo, con una fecondità fra le più basse del Paese.</w:t>
      </w:r>
    </w:p>
  </w:footnote>
  <w:footnote w:id="2226">
    <w:p>
      <w:pPr>
        <w:pStyle w:val="FootnoteText"/>
      </w:pPr>
      <w:r>
        <w:rPr>
          <w:rStyle w:val="FootnoteReference"/>
        </w:rPr>
        <w:footnoteRef/>
      </w:r>
      <w:r>
        <w:t xml:space="preserve"> </w:t>
      </w:r>
      <w:r>
        <w:t xml:space="preserve">Struttura per età: il Friuli-Venezia Giulia è fra le regioni più anziane d’Italia, con un’età media di 48,5 anni, la terza più elevata dopo Liguria e Sardegna, e un indice di vecchiaia di 244,1 ultrasessantacinquenni ogni cento giovani sotto i quindici anni, più del doppio. La speranza di vita alla nascita è fra le più alte del Paese (81,2 anni per gli uomini e 85,7 per le donne nel 2023). La distribuzione interna è disomogenea: le aree montane e interne della Carnia, del Friuli collinare e delle valli registrano l’invecchiamento più accentuato; la componente straniera, più giovane, concorre solo in parte al ringiovanimento.</w:t>
      </w:r>
    </w:p>
  </w:footnote>
  <w:footnote w:id="2227">
    <w:p>
      <w:pPr>
        <w:pStyle w:val="FootnoteText"/>
      </w:pPr>
      <w:r>
        <w:rPr>
          <w:rStyle w:val="FootnoteReference"/>
        </w:rPr>
        <w:footnoteRef/>
      </w:r>
      <w:r>
        <w:t xml:space="preserve"> </w:t>
      </w:r>
      <w:r>
        <w:t xml:space="preserve">Componente straniera del 10,1% dei residenti (circa 120.000 persone), in linea con la media nazionale, con prevalenza di cittadinanze rumena (20,5%), albanese e bangladese, e una concentrazione maggiore nei centri urbani e nelle aree produttive; fra gli stranieri la quota di minori è più elevata che nella popolazione complessiva, sicché la competenza culturale e la mediazione linguistica restano rilevanti, soprattutto per l’intercettazione del disagio nelle famiglie immigrate e nei loro figli.</w:t>
      </w:r>
    </w:p>
  </w:footnote>
  <w:footnote w:id="2228">
    <w:p>
      <w:pPr>
        <w:pStyle w:val="FootnoteText"/>
      </w:pPr>
      <w:r>
        <w:rPr>
          <w:rStyle w:val="FootnoteReference"/>
        </w:rPr>
        <w:footnoteRef/>
      </w:r>
      <w:r>
        <w:t xml:space="preserve"> </w:t>
      </w:r>
      <w:r>
        <w:t xml:space="preserve">Distribuzione territoriale concentrata sulle due province maggiori: la provincia di Udine, con oltre 500.000 residenti, raccoglie il 43,3% della popolazione, e quella di Pordenone, con oltre 300.000, il 26,0%: insieme quasi il 70%. Le province di Trieste e Gorizia ospitano il restante 30,7%. Quasi il 30% della popolazione vive nei tre comuni con oltre 50.000 abitanti — Trieste, Udine e Pordenone — mentre una quota analoga risiede in piccoli comuni, molti dei quali nelle aree montane e interne in spopolamento.</w:t>
      </w:r>
    </w:p>
  </w:footnote>
  <w:footnote w:id="2229">
    <w:p>
      <w:pPr>
        <w:pStyle w:val="FootnoteText"/>
      </w:pPr>
      <w:r>
        <w:rPr>
          <w:rStyle w:val="FootnoteReference"/>
        </w:rPr>
        <w:footnoteRef/>
      </w:r>
      <w:r>
        <w:t xml:space="preserve"> </w:t>
      </w:r>
      <w:r>
        <w:t xml:space="preserve">Profilo territoriale a marcata polarità: da un lato i centri urbani di Trieste, Udine e Pordenone, che concentrano popolazione, servizi e disagio giovanile e socio-economico; dall’altro le aree montane e interne della Carnia, del Friuli collinare, della Val Canale e delle valli, più anziane, in spopolamento e a bassa densità, dove la rarefazione dei servizi, le distanze e l’orografia acuiscono le difficoltà di accesso. È l’asse di disuguaglianza territoriale più caratterizzante della regione, cui si affianca quello linguistico.</w:t>
      </w:r>
    </w:p>
  </w:footnote>
  <w:footnote w:id="2230">
    <w:p>
      <w:pPr>
        <w:pStyle w:val="FootnoteText"/>
      </w:pPr>
      <w:r>
        <w:rPr>
          <w:rStyle w:val="FootnoteReference"/>
        </w:rPr>
        <w:footnoteRef/>
      </w:r>
      <w:r>
        <w:t xml:space="preserve"> </w:t>
      </w:r>
      <w:r>
        <w:t xml:space="preserve">Disagio psichico comune o sottosoglia stimato nell’ordine di 239.000 persone, ottenuto per proiezione dei tassi di prevalenza nazionali sulla popolazione regionale; è la quota di bisogno potenziale cui il servizio si rivolge in via prioritaria, in larga parte non intercettata dall’offerta, tanto più in una fase in cui il servizio è ancora in avvio sperimentale.</w:t>
      </w:r>
    </w:p>
  </w:footnote>
  <w:footnote w:id="2231">
    <w:p>
      <w:pPr>
        <w:pStyle w:val="FootnoteText"/>
      </w:pPr>
      <w:r>
        <w:rPr>
          <w:rStyle w:val="FootnoteReference"/>
        </w:rPr>
        <w:footnoteRef/>
      </w:r>
      <w:r>
        <w:t xml:space="preserve"> </w:t>
      </w:r>
      <w:r>
        <w:t xml:space="preserve">Domanda specialistica e posizione della regione: a fronte del disagio comune si colloca un’ampia utenza in carico ai servizi di salute mentale, dell’ordine di alcune decine di migliaia di persone secondo una stima rapportata ai dati nazionali. Il Friuli-Venezia Giulia presenta una specificità propria: il Consiglio regionale si è impegnato all’unanimità, con la mozione del 2022, a introdurre il servizio nelle Case della Comunità, e una sperimentazione è in avvio, circostanza che conferisce all’intervento un consenso politico già acquisito, sebbene la base di dati operativi propri sia ancora limitata.</w:t>
      </w:r>
    </w:p>
  </w:footnote>
  <w:footnote w:id="2232">
    <w:p>
      <w:pPr>
        <w:pStyle w:val="FootnoteText"/>
      </w:pPr>
      <w:r>
        <w:rPr>
          <w:rStyle w:val="FootnoteReference"/>
        </w:rPr>
        <w:footnoteRef/>
      </w:r>
      <w:r>
        <w:t xml:space="preserve"> </w:t>
      </w:r>
      <w:r>
        <w:t xml:space="preserve">Bisogno dell’età anziana e della cronicità: è la componente più caratterizzante del Friuli-Venezia Giulia, fra le regioni più anziane d’Italia. La comorbilità psicologica delle patologie croniche, la solitudine e il carico assistenziale sui familiari gravano in misura crescente, in modo particolare nelle aree montane e interne della Carnia e delle valli, dove l’invecchiamento è più accentuato e l’accesso ai servizi più difficile.</w:t>
      </w:r>
    </w:p>
  </w:footnote>
  <w:footnote w:id="2233">
    <w:p>
      <w:pPr>
        <w:pStyle w:val="FootnoteText"/>
      </w:pPr>
      <w:r>
        <w:rPr>
          <w:rStyle w:val="FootnoteReference"/>
        </w:rPr>
        <w:footnoteRef/>
      </w:r>
      <w:r>
        <w:t xml:space="preserve"> </w:t>
      </w:r>
      <w:r>
        <w:t xml:space="preserve">Disagio giovanile e connesso al lavoro: nei centri di Trieste, Udine e Pordenone e nelle realtà universitarie, la pressione prestazionale, la precarietà e le condizioni socio-economiche concorrono al disagio psichico, con fenomeni di ansia, depressione e disturbi del comportamento alimentare tra gli adolescenti e i giovani adulti; l’intercettazione precoce ha un valore particolarmente elevato in termini di salute e di equità, anche in funzione del contenimento dell’emigrazione giovanile.</w:t>
      </w:r>
    </w:p>
  </w:footnote>
  <w:footnote w:id="2234">
    <w:p>
      <w:pPr>
        <w:pStyle w:val="FootnoteText"/>
      </w:pPr>
      <w:r>
        <w:rPr>
          <w:rStyle w:val="FootnoteReference"/>
        </w:rPr>
        <w:footnoteRef/>
      </w:r>
      <w:r>
        <w:t xml:space="preserve"> </w:t>
      </w:r>
      <w:r>
        <w:t xml:space="preserve">Spopolamento e isolamento delle aree montane e interne: la progressiva rarefazione della popolazione e dei servizi nella Carnia, nel Friuli collinare e nelle valli, con piccoli comuni sempre più anziani, genera isolamento sociale e difficoltà di accesso che si traducono in domanda di salute mentale inevasa; è un fattore di bisogno specifico della regione, che un primo livello territoriale accessibile, sostenuto dalla telepsicologia, può in parte intercettare.</w:t>
      </w:r>
    </w:p>
  </w:footnote>
  <w:footnote w:id="2235">
    <w:p>
      <w:pPr>
        <w:pStyle w:val="FootnoteText"/>
      </w:pPr>
      <w:r>
        <w:rPr>
          <w:rStyle w:val="FootnoteReference"/>
        </w:rPr>
        <w:footnoteRef/>
      </w:r>
      <w:r>
        <w:t xml:space="preserve"> </w:t>
      </w:r>
      <w:r>
        <w:t xml:space="preserve">Tratto distintivo del Friuli-Venezia Giulia rispetto alle altre regioni: la combinazione di una regione di confine e fra le più anziane d’Italia; di un servizio non ancora disciplinato per legge ma sostenuto da un impegno politico unanime (la mozione consiliare del 2022) e da una sperimentazione in avvio; di un unico sistema sanitario regionale con tre aziende e un’azienda di coordinamento (ARCS); dello statuto speciale che autofinanzia la sanità tramite compartecipazione ai tributi erariali, senza piano di rientro; e di un quadrilinguismo riconosciuto — italiano, friulano, sloveno e tedesco. Il bisogno è quindi accompagnato da un forte consenso, ma da un’attuazione ancora iniziale, che la decisione è chiamata a portare a regime in forma strutturata.</w:t>
      </w:r>
    </w:p>
  </w:footnote>
  <w:footnote w:id="2236">
    <w:p>
      <w:pPr>
        <w:pStyle w:val="FootnoteText"/>
      </w:pPr>
      <w:r>
        <w:rPr>
          <w:rStyle w:val="FootnoteReference"/>
        </w:rPr>
        <w:footnoteRef/>
      </w:r>
      <w:r>
        <w:t xml:space="preserve"> </w:t>
      </w:r>
      <w:r>
        <w:t xml:space="preserve">Accessi al pronto soccorso per cause psichiatriche significativi: rapportando alla popolazione regionale il dato nazionale, dell’ordine di alcune migliaia l’anno, indice di una pressione sul sistema acuto che un primo livello territoriale pienamente strutturato potrebbe in parte contenere a monte, tanto più rilevante in un’isola dove le distanze rendono l’accesso al pronto soccorso più oneroso.</w:t>
      </w:r>
    </w:p>
  </w:footnote>
  <w:footnote w:id="2237">
    <w:p>
      <w:pPr>
        <w:pStyle w:val="FootnoteText"/>
      </w:pPr>
      <w:r>
        <w:rPr>
          <w:rStyle w:val="FootnoteReference"/>
        </w:rPr>
        <w:footnoteRef/>
      </w:r>
      <w:r>
        <w:t xml:space="preserve"> </w:t>
      </w:r>
      <w:r>
        <w:t xml:space="preserve">Offerta territoriale: il Friuli-Venezia Giulia non dispone ancora di una legge attuativa, ma di un impegno politico formalmente assunto e di una sperimentazione in avvio. Nel febbraio 2022 il Consiglio regionale ha approvato all’unanimità una mozione che impegna a istituire negli ambulatori delle Case della Comunità un primo livello di assistenza psicologica con psicologi delle cure primarie, ad accesso diretto del cittadino o su invio, per tutte le età, e a potenziare i Dipartimenti di salute mentale; nel maggio 2026 il confronto fra la Regione e le rappresentanze professionali ha aperto alla sperimentazione della figura, in linea con la normativa nazionale. La forma piena del servizio — inquadramento, dimensionamento e copertura — è ancora da definire.</w:t>
      </w:r>
    </w:p>
  </w:footnote>
  <w:footnote w:id="2238">
    <w:p>
      <w:pPr>
        <w:pStyle w:val="FootnoteText"/>
      </w:pPr>
      <w:r>
        <w:rPr>
          <w:rStyle w:val="FootnoteReference"/>
        </w:rPr>
        <w:footnoteRef/>
      </w:r>
      <w:r>
        <w:t xml:space="preserve"> </w:t>
      </w:r>
      <w:r>
        <w:t xml:space="preserve">Fabbisogno a regime stimato nell’ordine di 260 psicologi nello scenario espansivo (e dell’ordine di 130 e 195 negli scenari conservativo e di base). L’Ordine degli Psicologi della Regione Friuli Venezia Giulia e le rappresentanze sindacali della categoria, che da anni sollecitano l’introduzione del servizio e ne hanno promosso la mozione consiliare, ne sostengono la strutturazione in un modello pieno e l’estensione a regime in tutte le aziende.</w:t>
      </w:r>
    </w:p>
  </w:footnote>
  <w:footnote w:id="2239">
    <w:p>
      <w:pPr>
        <w:pStyle w:val="FootnoteText"/>
      </w:pPr>
      <w:r>
        <w:rPr>
          <w:rStyle w:val="FootnoteReference"/>
        </w:rPr>
        <w:footnoteRef/>
      </w:r>
      <w:r>
        <w:t xml:space="preserve"> </w:t>
      </w:r>
      <w:r>
        <w:t xml:space="preserve">Copertura attuale del fabbisogno: la sperimentazione in avvio è sufficiente a inaugurare l’esperienza ma non a coprire il fabbisogno regionale a regime. La decisione, di conseguenza, non verte sull’introdurre il servizio, già condiviso, ma sul dargli forma piena: tradurre l’impegno politico in una legge attuativa, strutturarlo nei distretti delle tre aziende sanitarie e dimensionarlo verso la copertura piena del fabbisogno.</w:t>
      </w:r>
    </w:p>
  </w:footnote>
  <w:footnote w:id="2240">
    <w:p>
      <w:pPr>
        <w:pStyle w:val="FootnoteText"/>
      </w:pPr>
      <w:r>
        <w:rPr>
          <w:rStyle w:val="FootnoteReference"/>
        </w:rPr>
        <w:footnoteRef/>
      </w:r>
      <w:r>
        <w:t xml:space="preserve"> </w:t>
      </w:r>
      <w:r>
        <w:t xml:space="preserve">Disuguaglianze e divari territoriali: il divario rilevante nel Friuli-Venezia Giulia si gioca su due assi. Il primo, territoriale, separa i centri urbani di Trieste, Udine e Pordenone dalle aree montane e interne della Carnia, del Friuli collinare e delle valli, più anziane, in spopolamento e penalizzate dalle distanze: è l’asse più caratterizzante. Il secondo, linguistico, attiene alla necessità di un servizio fruibile dalle comunità friulana, slovena e tedesca nella propria lingua. La telepsicologia assistita è lo strumento per avvicinare l’offerta alle aree montane e interne, dove la presenza di un primo livello accessibile costituisce già un atto di riequilibrio.</w:t>
      </w:r>
    </w:p>
  </w:footnote>
  <w:footnote w:id="2241">
    <w:p>
      <w:pPr>
        <w:pStyle w:val="FootnoteText"/>
      </w:pPr>
      <w:r>
        <w:rPr>
          <w:rStyle w:val="FootnoteReference"/>
        </w:rPr>
        <w:footnoteRef/>
      </w:r>
      <w:r>
        <w:t xml:space="preserve"> </w:t>
      </w:r>
      <w:r>
        <w:t xml:space="preserve">Finanziamento del Servizio sanitario regionale; in quanto regione a statuto speciale, il Friuli-Venezia Giulia autofinanzia la sanità con risorse del proprio territorio attraverso la compartecipazione ai tributi erariali, senza che lo Stato concorra al finanziamento del Servizio sanitario regionale (la disciplina vigente decorre dall’accordo Stato-Regione del 2019). La regione non è sottoposta a piano di rientro e presenta finanze solide; il costo del servizio, contenuto entro lo 0,3-0,6% della spesa sanitaria, è agevolmente sostenibile entro l’autonomia finanziaria regionale come scelta allocativa.</w:t>
      </w:r>
    </w:p>
  </w:footnote>
  <w:footnote w:id="2242">
    <w:p>
      <w:pPr>
        <w:pStyle w:val="FootnoteText"/>
      </w:pPr>
      <w:r>
        <w:rPr>
          <w:rStyle w:val="FootnoteReference"/>
        </w:rPr>
        <w:footnoteRef/>
      </w:r>
      <w:r>
        <w:t xml:space="preserve"> </w:t>
      </w:r>
      <w:r>
        <w:t xml:space="preserve">Mobilità sanitaria: il Friuli-Venezia Giulia presenta un saldo passivo dell’ordine di cento milioni di euro l’anno, pari a circa il dieci per cento della spesa per ricoveri, con un costo cumulato nell’ultimo decennio dell’ordine di ottocento milioni. La fuga si concentra però nei ricoveri ad alta complessità e nelle terapie oncologiche — una mobilità dettata da necessità, e non da scelta, per l’inadeguatezza dell’offerta nell’Isola — e non nella domanda psicologica delle cure primarie, sicché il canale del recupero della mobilità è per questo intervento solo modestamente pertinente, limitato alla frazione territorialmente intercettabile.</w:t>
      </w:r>
    </w:p>
  </w:footnote>
  <w:footnote w:id="2243">
    <w:p>
      <w:pPr>
        <w:pStyle w:val="FootnoteText"/>
      </w:pPr>
      <w:r>
        <w:rPr>
          <w:rStyle w:val="FootnoteReference"/>
        </w:rPr>
        <w:footnoteRef/>
      </w:r>
      <w:r>
        <w:t xml:space="preserve"> </w:t>
      </w:r>
      <w:r>
        <w:t xml:space="preserve">Cornice normativa e programmatica: il Friuli-Venezia Giulia non dispone ancora di una legge attuativa, ma di una mozione consiliare approvata all’unanimità nel 2022, che impegna la Giunta a istituire il servizio nelle Case della Comunità, e di una sperimentazione aperta nel 2026. La cornice include il Decreto Ministeriale 77/2022 sugli standard dell’assistenza territoriale, il quadro di tutela delle minoranze linguistiche (legge 482/1999 e legge 38/2001 per la minoranza slovena) e, sul piano nazionale, il testo unificato in discussione alla Camera. Rispetto al Lazio, fermo a una proposta, e alla Campania, alla Sicilia e alla Sardegna, che hanno adottato leggi dedicate, il Friuli-Venezia Giulia si colloca in una posizione intermedia: un impegno politico unanime e una sperimentazione, da tradurre in legge attuativa, entro l’autonomia propria dello statuto speciale.</w:t>
      </w:r>
    </w:p>
  </w:footnote>
  <w:footnote w:id="2244">
    <w:p>
      <w:pPr>
        <w:pStyle w:val="FootnoteText"/>
      </w:pPr>
      <w:r>
        <w:rPr>
          <w:rStyle w:val="FootnoteReference"/>
        </w:rPr>
        <w:footnoteRef/>
      </w:r>
      <w:r>
        <w:t xml:space="preserve"> </w:t>
      </w:r>
      <w:r>
        <w:t xml:space="preserve">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 Friuli-Venezia Giulia tale funzione è oggetto di un impegno politico unanime — la mozione consiliare del 2022 — che ne prevede la collocazione negli ambulatori di primo livello delle Case della Comunità, con accesso diretto; la sua disciplina attuativa è ancora da definire.</w:t>
      </w:r>
    </w:p>
  </w:footnote>
  <w:footnote w:id="2245">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2246">
    <w:p>
      <w:pPr>
        <w:pStyle w:val="FootnoteText"/>
      </w:pPr>
      <w:r>
        <w:rPr>
          <w:rStyle w:val="FootnoteReference"/>
        </w:rPr>
        <w:footnoteRef/>
      </w:r>
      <w:r>
        <w:t xml:space="preserve"> </w:t>
      </w:r>
      <w:r>
        <w:t xml:space="preserve">Bisogno potenziale stimato nell’ordine di 239.000 persone con disagio comune, in larga parte non intercettato, tanto più in una fase in cui il servizio è ancora in avvio sperimentale; poiché il servizio è condiviso politicamente ma non ancora strutturato a regime, l’intervento va dimensionato a partire dalla sperimentazione iniziale ed esteso verso il fabbisogno a regime nei distretti delle tre aziende sanitarie.</w:t>
      </w:r>
    </w:p>
  </w:footnote>
  <w:footnote w:id="2247">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Centri di Salute Mentale, secondo l’impostazione della mozione consiliare del 2022, che prevede ambulatori di primo livello di assistenza psicologica ad accesso diretto del cittadino o su invio. La forma piena dell’inquadramento — convenzionale o dipendente — è ancora da definire in sede legislativa. Il Friuli-Venezia Giulia dispone di un’unico sistema sanitario regionale con tre aziende e di un’azienda regionale di coordinamento per la salute, l’ARCS, sicché la strutturazione omogenea del servizio nei distretti delle tre aziende sanitarie è la sfida organizzativa principale, agevolata dal coordinamento dell’ARCS.</w:t>
      </w:r>
    </w:p>
  </w:footnote>
  <w:footnote w:id="2248">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249">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in via di strutturazione nei distretti delle tre aziende sanitarie, affronta i quadri più frequenti — sintomatologia ansioso-depressiva, problemi di adattamento, fasi del ciclo di vita, disagi emotivi transitori, problematiche psicosomatiche.</w:t>
      </w:r>
    </w:p>
  </w:footnote>
  <w:footnote w:id="2250">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251">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252">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253">
    <w:p>
      <w:pPr>
        <w:pStyle w:val="FootnoteText"/>
      </w:pPr>
      <w:r>
        <w:rPr>
          <w:rStyle w:val="FootnoteReference"/>
        </w:rPr>
        <w:footnoteRef/>
      </w:r>
      <w:r>
        <w:t xml:space="preserve"> </w:t>
      </w:r>
      <w:r>
        <w:t xml:space="preserve">Sistema informativo e interoperabilità: la registrazione strutturata dell’attività e degli esiti, integrata con il sistema informativo sanitario regionale e con il fascicolo sanitario elettronico, consente il monitoraggio continuo e la valutazione; il coordinamento informativo è agevolato dalla presenza dell’Azienda Regionale di Coordinamento per la Salute (ARCS), che assicura funzioni tecnico-amministrative centralizzate, e deve garantire l’uniformità della rilevazione fra le tre aziende sanitarie man mano che il servizio vi viene strutturato.</w:t>
      </w:r>
    </w:p>
  </w:footnote>
  <w:footnote w:id="2254">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servizio è ancora in avvio, il flusso informativo va impostato fin dall’inizio in forma uniforme fra le tre aziende sanitarie, avvalendosi del coordinamento dell’ARCS e cogliendo l’opportunità di una rilevazione progettata correttamente prima della piena operatività.</w:t>
      </w:r>
    </w:p>
  </w:footnote>
  <w:footnote w:id="2255">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256">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257">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258">
    <w:p>
      <w:pPr>
        <w:pStyle w:val="FootnoteText"/>
      </w:pPr>
      <w:r>
        <w:rPr>
          <w:rStyle w:val="FootnoteReference"/>
        </w:rPr>
        <w:footnoteRef/>
      </w:r>
      <w:r>
        <w:t xml:space="preserve"> </w:t>
      </w:r>
      <w:r>
        <w:t xml:space="preserve">Telepsicologia e telemonitoraggio assistiti: nel Friuli-Venezia Giulia sono lo strumento per garantire l’accesso al sostegno psicologico nelle aree montane e interne della Carnia, del Friuli collinare, della Val Canale e delle valli, più anziane e a bassa densità, dove le distanze e l’orografia rendono difficoltoso il raggiungimento delle sedi, e per mettere a disposizione, anche a distanza, personale nella lingua del paziente — friulano, sloveno o tedesco; tali strumenti sono concepiti come complementari e non sostitutivi della presa in carico in presenza, e assumono un rilievo particolare in una delle regioni più anziane d’Italia.</w:t>
      </w:r>
    </w:p>
  </w:footnote>
  <w:footnote w:id="2259">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2260">
    <w:p>
      <w:pPr>
        <w:pStyle w:val="FootnoteText"/>
      </w:pPr>
      <w:r>
        <w:rPr>
          <w:rStyle w:val="FootnoteReference"/>
        </w:rPr>
        <w:footnoteRef/>
      </w:r>
      <w:r>
        <w:t xml:space="preserve"> </w:t>
      </w:r>
      <w:r>
        <w:t xml:space="preserve">Programma formativo a quattro livelli: universitario (curricula e tirocini presso gli atenei di Trieste e Udine e la SISSA); post-universitario specialistico (formazione dedicata alla psicologia delle cure primarie, comprensiva della competenza per l’età anziana e la cronicità, prioritaria in una delle regioni più anziane d’Italia, per il disagio giovanile e per le competenze linguistiche in friulano, sloveno e tedesco); continuo lavorativo (aggiornamento in servizio, audit clinico, educazione continua in medicina); affiancamento operativo (tutoraggio sul campo e inserimento graduale con supervisione). Il Friuli-Venezia Giulia presenta qui un elemento di metodo: l’Ordine professionale regionale ha già promosso l’introduzione del servizio, base su cui innestare il percorso formativo dedicato.</w:t>
      </w:r>
    </w:p>
  </w:footnote>
  <w:footnote w:id="2261">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2262">
    <w:p>
      <w:pPr>
        <w:pStyle w:val="FootnoteText"/>
      </w:pPr>
      <w:r>
        <w:rPr>
          <w:rStyle w:val="FootnoteReference"/>
        </w:rPr>
        <w:footnoteRef/>
      </w:r>
      <w:r>
        <w:t xml:space="preserve"> </w:t>
      </w:r>
      <w:r>
        <w:t xml:space="preserve">Posizione giuridica dell’Emilia-Romagna: la Regione non ha approvato una legge regionale dedicata, ma dispone di una funzione psicologica nelle cure primarie già ampiamente diffusa attraverso atti amministrativi e sperimentazioni aziendali — la Consultazione Psicologica Primaria, le linee di indirizzo regionali sull’Area «Psicologia Clinica e di Comunità» (deliberazione di Giunta n. 1141 del 2021) e quelle per l’implementazione della psicologia nelle Case della Comunità (deliberazione n. 2185 del 2023). Sono in corso d’esame il progetto di legge n. 8841 del 2024 e una proposta di legge di iniziativa popolare, oltre a un atto di indirizzo del 2021. La cornice di riferimento è la rete delle Case della Comunità, il cui percorso è stato avviato nel 2010.</w:t>
      </w:r>
    </w:p>
  </w:footnote>
  <w:footnote w:id="2263">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264">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essendo il canale della mobilità non applicabile in Emilia-Romagna — sono quelli su cui il valore dell’informazione è più elevato e verso i quali si indirizza prioritariamente la richiesta di dati certificati alle Aziende USL e alle Aziende Ospedaliero-Universitarie.</w:t>
      </w:r>
    </w:p>
  </w:footnote>
  <w:footnote w:id="2265">
    <w:p>
      <w:pPr>
        <w:pStyle w:val="FootnoteText"/>
      </w:pPr>
      <w:r>
        <w:rPr>
          <w:rStyle w:val="FootnoteReference"/>
        </w:rPr>
        <w:footnoteRef/>
      </w:r>
      <w:r>
        <w:t xml:space="preserve"> </w:t>
      </w:r>
      <w:r>
        <w:t xml:space="preserve">Verifica empirica: il dispiegamento scaglionato del servizio tra le otto Aziende USL (stepped-wedge), oggetto della Parte L, riduce l’incertezza dei parametri sostituendo le stime con misure osservate sui dati emiliano-romagnoli.</w:t>
      </w:r>
    </w:p>
  </w:footnote>
  <w:footnote w:id="2266">
    <w:p>
      <w:pPr>
        <w:pStyle w:val="FootnoteText"/>
      </w:pPr>
      <w:r>
        <w:rPr>
          <w:rStyle w:val="FootnoteReference"/>
        </w:rPr>
        <w:footnoteRef/>
      </w:r>
      <w:r>
        <w:t xml:space="preserve"> </w:t>
      </w:r>
      <w:r>
        <w:t xml:space="preserve">Disagio giovanile: l’indagine regionale «Tra presente e futuro. Essere adolescenti in Emilia-Romagna nel 2022» rileva, nella fascia 11-18 anni, che il 12,6% dei ragazzi ricorre a supporti psicologici o farmacologici per problemi d’ansia, l’11,6% per il senso di solitudine e l’11,5% per il disagio scolastico; trattandosi di problemi già presi in carico, essi rappresentano presumibilmente solo una frazione del bisogno reale.</w:t>
      </w:r>
    </w:p>
  </w:footnote>
  <w:footnote w:id="2267">
    <w:p>
      <w:pPr>
        <w:pStyle w:val="FootnoteText"/>
      </w:pPr>
      <w:r>
        <w:rPr>
          <w:rStyle w:val="FootnoteReference"/>
        </w:rPr>
        <w:footnoteRef/>
      </w:r>
      <w:r>
        <w:t xml:space="preserve"> </w:t>
      </w:r>
      <w:r>
        <w:t xml:space="preserve">Salute mentale connessa al lavoro: in un’economia dinamica, a elevata occupazione e a forte tessuto manifatturiero, ampia parte dei lavoratori è esposta a fattori di stress correlati al lavoro; l’intercettazione precoce del disagio nella popolazione attiva ha un valore particolarmente elevato in termini di produttività recuperata.</w:t>
      </w:r>
    </w:p>
  </w:footnote>
  <w:footnote w:id="2268">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accentuata nelle aree appenniniche, più anziane e a maggiore difficoltà di accesso, in un contesto di elevata qualità dell’assistenza domiciliare.</w:t>
      </w:r>
    </w:p>
  </w:footnote>
  <w:footnote w:id="2269">
    <w:p>
      <w:pPr>
        <w:pStyle w:val="FootnoteText"/>
      </w:pPr>
      <w:r>
        <w:rPr>
          <w:rStyle w:val="FootnoteReference"/>
        </w:rPr>
        <w:footnoteRef/>
      </w:r>
      <w:r>
        <w:t xml:space="preserve"> </w:t>
      </w:r>
      <w:r>
        <w:t xml:space="preserve">Bisogno connesso alla popolazione multiculturale: la quota di cittadini stranieri, pari al 12,6%, configura un bisogno specifico che il servizio, integrato nelle cure primarie, è in grado di intercettare con approccio culturalmente competente e con attenzione all’accesso linguistico; è un tratto distintivo del fabbisogno emiliano-romagnolo rispetto ad altre regioni.</w:t>
      </w:r>
    </w:p>
  </w:footnote>
  <w:footnote w:id="2270">
    <w:p>
      <w:pPr>
        <w:pStyle w:val="FootnoteText"/>
      </w:pPr>
      <w:r>
        <w:rPr>
          <w:rStyle w:val="FootnoteReference"/>
        </w:rPr>
        <w:footnoteRef/>
      </w:r>
      <w:r>
        <w:t xml:space="preserve"> </w:t>
      </w:r>
      <w:r>
        <w:t xml:space="preserve">Accessi al pronto soccorso per cause psichiatriche stimati nell’ordine di 40.000-43.000 l’anno, per proiezione dai 573.663 accessi psichiatrici nazionali rilevati nel 2023 dal Rapporto sulla salute mentale del Ministero della Salute; una quota è riconducibile a disagio comune non intercettato a monte.</w:t>
      </w:r>
    </w:p>
  </w:footnote>
  <w:footnote w:id="2271">
    <w:p>
      <w:pPr>
        <w:pStyle w:val="FootnoteText"/>
      </w:pPr>
      <w:r>
        <w:rPr>
          <w:rStyle w:val="FootnoteReference"/>
        </w:rPr>
        <w:footnoteRef/>
      </w:r>
      <w:r>
        <w:t xml:space="preserve"> </w:t>
      </w:r>
      <w:r>
        <w:t xml:space="preserve">Offerta territoriale: l’Emilia-Romagna dispone di una funzione psicologica nelle cure primarie già ampiamente diffusa per via amministrativa — la Consultazione Psicologica Primaria, accessibile su invio del medico di medicina generale, le deliberazioni di Giunta n. 1141 del 2021 e n. 2185 del 2023, e progetti aziendali consolidati, tra cui «Lo Psicologo nella Casa della Salute» dell’AUSL di Bologna, attivo dal 2015, l’integrazione tra Nuclei delle Cure Primarie e Servizio di Psicologia dell’AUSL di Modena e l’esperienza dell’AUSL della Romagna — ma non ancora di un servizio strutturato e dimensionato in modo uniforme.</w:t>
      </w:r>
    </w:p>
  </w:footnote>
  <w:footnote w:id="2272">
    <w:p>
      <w:pPr>
        <w:pStyle w:val="FootnoteText"/>
      </w:pPr>
      <w:r>
        <w:rPr>
          <w:rStyle w:val="FootnoteReference"/>
        </w:rPr>
        <w:footnoteRef/>
      </w:r>
      <w:r>
        <w:t xml:space="preserve"> </w:t>
      </w:r>
      <w:r>
        <w:t xml:space="preserve">Fabbisogno a regime stimato nell’ordine di 970 psicologi (intervallo 930-1.020). L’Ordine degli Psicologi dell’Emilia-Romagna, per voce del presidente Gabriele Raimondi, indica come obiettivo la presenza di uno psicologo in ogni Casa della Comunità e di almeno un professionista in ognuno dei trentotto distretti della regione, a fronte di circa ottomila psicologi operanti in regione, dei quali meno del 10% nel servizio pubblico.</w:t>
      </w:r>
    </w:p>
  </w:footnote>
  <w:footnote w:id="2273">
    <w:p>
      <w:pPr>
        <w:pStyle w:val="FootnoteText"/>
      </w:pPr>
      <w:r>
        <w:rPr>
          <w:rStyle w:val="FootnoteReference"/>
        </w:rPr>
        <w:footnoteRef/>
      </w:r>
      <w:r>
        <w:t xml:space="preserve"> </w:t>
      </w:r>
      <w:r>
        <w:t xml:space="preserve">Copertura attuale del fabbisogno parziale e disomogenea: la funzione esiste ma non è dimensionata a regime né uniforme tra le aziende; i soli psicologi del servizio sanitario pubblico hanno sostenuto, in un anno, oltre diecimila colloqui, cifra rilevante a fronte della loro esiguità numerica.</w:t>
      </w:r>
    </w:p>
  </w:footnote>
  <w:footnote w:id="2274">
    <w:p>
      <w:pPr>
        <w:pStyle w:val="FootnoteText"/>
      </w:pPr>
      <w:r>
        <w:rPr>
          <w:rStyle w:val="FootnoteReference"/>
        </w:rPr>
        <w:footnoteRef/>
      </w:r>
      <w:r>
        <w:t xml:space="preserve"> </w:t>
      </w:r>
      <w:r>
        <w:t xml:space="preserve">Disuguaglianze e divari territoriali: il divario rilevante in Emilia-Romagna non è un gradiente di deprivazione né una frattura Nord-Sud, ma si articola su tre assi — la dualità fra la pianura urbana densamente popolata e le aree appenniniche anziane e in spopolamento, dove l’accesso è più difficoltoso; la dimensione multiculturale, con una quota di stranieri del 12,6% che richiede una cura culturalmente competente; e le liste di attesa specialistiche, presenti anche in un sistema efficiente. La telepsicologia assistita e la competenza culturale sono gli strumenti per ridurli.</w:t>
      </w:r>
    </w:p>
  </w:footnote>
  <w:footnote w:id="2275">
    <w:p>
      <w:pPr>
        <w:pStyle w:val="FootnoteText"/>
      </w:pPr>
      <w:r>
        <w:rPr>
          <w:rStyle w:val="FootnoteReference"/>
        </w:rPr>
        <w:footnoteRef/>
      </w:r>
      <w:r>
        <w:t xml:space="preserve"> </w:t>
      </w:r>
      <w:r>
        <w:t xml:space="preserve">Finanziamento del Servizio sanitario regionale superiore ai dieci miliardi di euro; il sistema è riconosciuto come benchmark nazionale dalla Corte dei Conti per il triennio 2022-2024, riferimento per i costi standard e con punteggi elevati nei Livelli Essenziali di Assistenza. Il disavanzo è stato coperto integralmente dalla Regione e ridotto progressivamente — da circa 194 milioni di euro nel 2024 a circa 70 milioni nel 2025 — verso il pareggio, con uno stanziamento regionale dell’ordine di 500 milioni e il mantenimento del Fondo per la non autosufficienza più elevato d’Italia; la regione non è soggetta a piano di rientro.</w:t>
      </w:r>
    </w:p>
  </w:footnote>
  <w:footnote w:id="2276">
    <w:p>
      <w:pPr>
        <w:pStyle w:val="FootnoteText"/>
      </w:pPr>
      <w:r>
        <w:rPr>
          <w:rStyle w:val="FootnoteReference"/>
        </w:rPr>
        <w:footnoteRef/>
      </w:r>
      <w:r>
        <w:t xml:space="preserve"> </w:t>
      </w:r>
      <w:r>
        <w:t xml:space="preserve">Mobilità sanitaria a saldo attivo dell’ordine di +525 milioni di euro (2024): l’Emilia-Romagna è tra le poche regioni — con Lombardia e Veneto — che concentrano oltre la metà della mobilità attiva nazionale. Essendo la regione creditrice e attrattore netto di pazienti, il canale del recupero della mobilità passiva non si applica.</w:t>
      </w:r>
    </w:p>
  </w:footnote>
  <w:footnote w:id="2277">
    <w:p>
      <w:pPr>
        <w:pStyle w:val="FootnoteText"/>
      </w:pPr>
      <w:r>
        <w:rPr>
          <w:rStyle w:val="FootnoteReference"/>
        </w:rPr>
        <w:footnoteRef/>
      </w:r>
      <w:r>
        <w:t xml:space="preserve"> </w:t>
      </w:r>
      <w:r>
        <w:t xml:space="preserve">Cornice normativa e programmatica: il percorso delle Case della Salute, avviato nel 2010 (deliberazione di Giunta n. 291/2010); le linee di indirizzo regionali sulla psicologia clinica e di comunità (deliberazione n. 1141/2021) e sull’implementazione della psicologia nelle Case della Comunità (deliberazione n. 2185/2023); il progetto di legge n. 8841 del 2024 e la proposta di legge di iniziativa popolare del 2024, in corso d’esame; la risoluzione consiliare del 2021; il Decreto Ministeriale 77/2022 sugli standard dell’assistenza territoriale; sul piano nazionale, il testo unificato C. 1140 in discussione alla Camera, il Piano Nazionale per la Salute Mentale 2025-2030 e la sentenza della Corte Costituzionale n. 241 del 2021, che ha confermato la legittimità della competenza regionale in materia; in assenza, allo stato, di una legge regionale dedicata approvata.</w:t>
      </w:r>
    </w:p>
  </w:footnote>
  <w:footnote w:id="2278">
    <w:p>
      <w:pPr>
        <w:pStyle w:val="FootnoteText"/>
      </w:pPr>
      <w:r>
        <w:rPr>
          <w:rStyle w:val="FootnoteReference"/>
        </w:rPr>
        <w:footnoteRef/>
      </w:r>
      <w:r>
        <w:t xml:space="preserve"> </w:t>
      </w:r>
      <w:r>
        <w:t xml:space="preserve">Popolazione residente in Emilia-Romagna 4.451.938 abitanti (Censimento permanente ISTAT 2024), pari a circa il 7,5% della popolazione nazionale; la regione presenta un tratto raro nel panorama italiano, la crescita della popolazione, in termini assoluti seconda soltanto alla Lombardia, sostenuta da un saldo migratorio positivo che compensa il saldo naturale negativo; nove province, con la sola Bologna oltre il milione di abitanti (22,9%), seguita da Modena (15,9%), e una marcata variabilità interna tra la pianura urbana e le aree appenniniche.</w:t>
      </w:r>
    </w:p>
  </w:footnote>
  <w:footnote w:id="2279">
    <w:p>
      <w:pPr>
        <w:pStyle w:val="FootnoteText"/>
      </w:pPr>
      <w:r>
        <w:rPr>
          <w:rStyle w:val="FootnoteReference"/>
        </w:rPr>
        <w:footnoteRef/>
      </w:r>
    </w:p>
  </w:footnote>
  <w:footnote w:id="2280">
    <w:p>
      <w:pPr>
        <w:pStyle w:val="FootnoteText"/>
      </w:pPr>
      <w:r>
        <w:rPr>
          <w:rStyle w:val="FootnoteReference"/>
        </w:rPr>
        <w:footnoteRef/>
      </w:r>
      <w:r>
        <w:t xml:space="preserve"> </w:t>
      </w:r>
      <w:r>
        <w:t xml:space="preserve">Popolazione residente in Emilia-Romagna 4.451.938 abitanti (Censimento permanente ISTAT 2024), pari a circa il 7,5% della popolazione nazionale; la regione presenta un tratto raro nel panorama italiano, la crescita della popolazione, in termini assoluti seconda soltanto alla Lombardia, sostenuta da un saldo migratorio positivo che compensa il saldo naturale negativo; nove province, con la sola Bologna oltre il milione di abitanti (22,9%), seguita da Modena (15,9%), e una marcata variabilità interna tra la pianura urbana e le aree appenniniche.Questa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2281">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Emilia-Romagna il rischio di povertà o esclusione è contenuto in aggregato, sicché il gradiente socio-economico non è il tratto distintivo dell’equità; prevalgono due dimensioni diverse: la dualità fra la pianura produttiva e le aree appenniniche, e la dimensione multiculturale, propria di una regione con una quota di residenti stranieri del 12,6%.</w:t>
      </w:r>
    </w:p>
  </w:footnote>
  <w:footnote w:id="2282">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Emilia-Romagna rilevano in particolare l’abbattimento della barriera geografica nelle aree appenniniche, dove la distanza dai servizi è il principale ostacolo, e quello della barriera linguistico-culturale per la popolazione straniera.</w:t>
      </w:r>
    </w:p>
  </w:footnote>
  <w:footnote w:id="2283">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appenniniche, equità di esito tra gruppi, equità di genere, accesso per la popolazione straniera e per i gruppi fragili e le persone con disabilità, gratuità per i gruppi vulnerabili, copertura del bisogno non soddisfatto.</w:t>
      </w:r>
    </w:p>
  </w:footnote>
  <w:footnote w:id="2284">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2285">
    <w:p>
      <w:pPr>
        <w:pStyle w:val="FootnoteText"/>
      </w:pPr>
      <w:r>
        <w:rPr>
          <w:rStyle w:val="FootnoteReference"/>
        </w:rPr>
        <w:footnoteRef/>
      </w:r>
      <w:r>
        <w:t xml:space="preserve"> </w:t>
      </w:r>
      <w:r>
        <w:t xml:space="preserve">Direzione del risultato distributivo: poiché il guadagno di accesso è più ampio dove l’accesso è oggi più difficile — le aree appenniniche, la popolazione straniera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2286">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Emilia-Romagna, ove la popolazione non è prevalentemente deprivata, l’effetto della ponderazione sarebbe più contenuto che nel Mezzogiorno, il che rende la scelta non ponderata tanto più prudente.</w:t>
      </w:r>
    </w:p>
  </w:footnote>
  <w:footnote w:id="2287">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la prevalenza di cronicità e multimorbidità e la presenza straniera, attribuendo pesi maggiori alle aree appenniniche e anziane e alle aree urbane a forte presenza migratoria.</w:t>
      </w:r>
    </w:p>
  </w:footnote>
  <w:footnote w:id="2288">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2289">
    <w:p>
      <w:pPr>
        <w:pStyle w:val="FootnoteText"/>
      </w:pPr>
      <w:r>
        <w:rPr>
          <w:rStyle w:val="FootnoteReference"/>
        </w:rPr>
        <w:footnoteRef/>
      </w:r>
      <w:r>
        <w:t xml:space="preserve"> </w:t>
      </w:r>
      <w:r>
        <w:t xml:space="preserve">Divari territoriali in Emilia-Romagna: il divario rilevante non è quello Nord-Sud, ma quello interno tra la pianura densa e produttiva, ben servita, e le aree appenniniche, a popolazione anziana e dispersa e in spopolamento. In queste aree la sola presenza fisica di un primo livello accessibile costituisce già un atto di riequilibrio, integrato dalla telepsicologia.</w:t>
      </w:r>
    </w:p>
  </w:footnote>
  <w:footnote w:id="2290">
    <w:p>
      <w:pPr>
        <w:pStyle w:val="FootnoteText"/>
      </w:pPr>
      <w:r>
        <w:rPr>
          <w:rStyle w:val="FootnoteReference"/>
        </w:rPr>
        <w:footnoteRef/>
      </w:r>
      <w:r>
        <w:t xml:space="preserve"> </w:t>
      </w:r>
      <w:r>
        <w:t xml:space="preserve">Liste di attesa, completamento della funzione e dimensione multiculturale quali dimensioni di equità: in Emilia-Romagna, dove il canale della mobilità recuperata non si applica essendo la regione creditrice, le principali leve distributive sono la riduzione delle liste di attesa, che oggi penalizzano chi non può ricorrere al privato, il completamento uniforme della funzione fra le otto Aziende USL e la cura culturalmente competente per la popolazione straniera.</w:t>
      </w:r>
    </w:p>
  </w:footnote>
  <w:footnote w:id="2291">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2292">
    <w:p>
      <w:pPr>
        <w:pStyle w:val="FootnoteText"/>
      </w:pPr>
      <w:r>
        <w:rPr>
          <w:rStyle w:val="FootnoteReference"/>
        </w:rPr>
        <w:footnoteRef/>
      </w:r>
      <w:r>
        <w:t xml:space="preserve"> </w:t>
      </w:r>
      <w:r>
        <w:t xml:space="preserve">Copertura del bisogno non soddisfatto come equità: intercettare la quota inevasa del disagio — dell’ordine di 890.000 persone, in larga parte non intercettata — significa raggiungere proprio coloro che hanno minore probabilità di accedere spontaneamente ai servizi.</w:t>
      </w:r>
    </w:p>
  </w:footnote>
  <w:footnote w:id="2293">
    <w:p>
      <w:pPr>
        <w:pStyle w:val="FootnoteText"/>
      </w:pPr>
      <w:r>
        <w:rPr>
          <w:rStyle w:val="FootnoteReference"/>
        </w:rPr>
        <w:footnoteRef/>
      </w:r>
      <w:r>
        <w:t xml:space="preserve"> </w:t>
      </w:r>
      <w:r>
        <w:t xml:space="preserve">Collegamento al monitoraggio: gli indicatori di equità — accesso per area e per livello socio-economico, accesso della popolazione straniera, gradiente dell’esito, tempi di attesa per area — fanno parte del sistema di indicatori della Parte L, e consentono di accertare nel tempo se il servizio raggiunga le comunità appenniniche più distanti e i gruppi più fragili.</w:t>
      </w:r>
    </w:p>
  </w:footnote>
  <w:footnote w:id="2294">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2295">
    <w:p>
      <w:pPr>
        <w:pStyle w:val="FootnoteText"/>
      </w:pPr>
      <w:r>
        <w:rPr>
          <w:rStyle w:val="FootnoteReference"/>
        </w:rPr>
        <w:footnoteRef/>
      </w:r>
    </w:p>
  </w:footnote>
  <w:footnote w:id="2296">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297">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2298">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2299">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2300">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2301">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2302">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2303">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emiliano-romagnolo, fondato anch’esso sulle ricadute sociali.</w:t>
      </w:r>
    </w:p>
  </w:footnote>
  <w:footnote w:id="2304">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305">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2306">
    <w:p>
      <w:pPr>
        <w:pStyle w:val="FootnoteText"/>
      </w:pPr>
      <w:r>
        <w:rPr>
          <w:rStyle w:val="FootnoteReference"/>
        </w:rPr>
        <w:footnoteRef/>
      </w:r>
    </w:p>
  </w:footnote>
  <w:footnote w:id="2307">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2308">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2309">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2310">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2311">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2312">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2313">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gli atti regionali emiliano-romagnoli operano legittimamente entro tale competenza, sul piano organizzativo.</w:t>
      </w:r>
    </w:p>
  </w:footnote>
  <w:footnote w:id="2314">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2315">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l’Emilia-Romagna, che intende strutturare entro la propria competenza organizzativa una funzione già ampiamente diffusa per via amministrativa e oggetto di proposte di legge.</w:t>
      </w:r>
    </w:p>
  </w:footnote>
  <w:footnote w:id="2316">
    <w:p>
      <w:pPr>
        <w:pStyle w:val="FootnoteText"/>
      </w:pPr>
      <w:r>
        <w:rPr>
          <w:rStyle w:val="FootnoteReference"/>
        </w:rPr>
        <w:footnoteRef/>
      </w:r>
      <w:r>
        <w:t xml:space="preserve"> </w:t>
      </w:r>
      <w:r>
        <w:t xml:space="preserve">Base giuridica regionale dell’Emilia-Romagna: il percorso delle Case della Salute, avviato nel 2010 con la deliberazione di Giunta n. 291; le linee di indirizzo sulla psicologia clinica e di comunità (deliberazione n. 1141 del 2021) e sull’implementazione della psicologia nelle Case della Comunità (deliberazione n. 2185 del 2023); il progetto di legge n. 8841 del 2024 e la proposta di legge di iniziativa popolare, in corso d’esame. A differenza del Veneto, l’Emilia-Romagna non dispone di un’azienda regionale unica, e la cornice di coordinamento è costituita dalla Regione e dall’Osservatorio regionale previsto dalle proposte di legge. La decisione non verte sul prevedere la funzione, già diffusa, ma sullo strutturarla e dimensionarla.</w:t>
      </w:r>
    </w:p>
  </w:footnote>
  <w:footnote w:id="2317">
    <w:p>
      <w:pPr>
        <w:pStyle w:val="FootnoteText"/>
      </w:pPr>
      <w:r>
        <w:rPr>
          <w:rStyle w:val="FootnoteReference"/>
        </w:rPr>
        <w:footnoteRef/>
      </w:r>
      <w:r>
        <w:t xml:space="preserve"> </w:t>
      </w:r>
      <w:r>
        <w:t xml:space="preserve">Corte costituzionale, sentenza n. 6 del 2026: le Regioni in piano di rientro non possono utilizzare i fondi del proprio Servizio sanitario per finalità diverse dalla garanzia dei livelli essenziali. L’Emilia-Romagna, con conti prossimi al pareggio e non sottoposta a piano di rientro, non è soggetta a tale vincolo; permane il principio generale di destinazione delle risorse ai livelli essenziali, che la riforma rispetta.</w:t>
      </w:r>
    </w:p>
  </w:footnote>
  <w:footnote w:id="2318">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dell’Emilia-Romagna, che concorre alla governance e alla formazione.</w:t>
      </w:r>
    </w:p>
  </w:footnote>
  <w:footnote w:id="2319">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2320">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2321">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appenniniche — e il supporto multilingue per la popolazione straniera, ferma restando la garanzia dell’alternativa in presenza.</w:t>
      </w:r>
    </w:p>
  </w:footnote>
  <w:footnote w:id="2322">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2323">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2324">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i dati derivano però da campioni limitati e in parte da letteratura grigia, e vanno assunti con la dovuta cautela.</w:t>
      </w:r>
    </w:p>
  </w:footnote>
  <w:footnote w:id="2325">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326">
    <w:p>
      <w:pPr>
        <w:pStyle w:val="FootnoteText"/>
      </w:pPr>
      <w:r>
        <w:rPr>
          <w:rStyle w:val="FootnoteReference"/>
        </w:rPr>
        <w:footnoteRef/>
      </w:r>
      <w:r>
        <w:t xml:space="preserve"> </w:t>
      </w:r>
      <w:r>
        <w:t xml:space="preserve">Evidenza locale emiliano-romagnola: la regione dispone di una base di evidenza locale di particolare valore, costituita dai progetti aziendali consolidati di psicologia nelle cure primarie — tra cui «Lo Psicologo nella Casa della Salute» dell’AUSL di Bologna, attivo dal 2015, con più di seicento cittadini presi in carico nel primo triennio, dei quali circa il 70% senza precedente contatto con i servizi di salute mentale — da analizzare e valorizzare sistematicamente nel disegno del servizio strutturato.</w:t>
      </w:r>
    </w:p>
  </w:footnote>
  <w:footnote w:id="2327">
    <w:p>
      <w:pPr>
        <w:pStyle w:val="FootnoteText"/>
      </w:pPr>
      <w:r>
        <w:rPr>
          <w:rStyle w:val="FootnoteReference"/>
        </w:rPr>
        <w:footnoteRef/>
      </w:r>
      <w:r>
        <w:t xml:space="preserve"> </w:t>
      </w:r>
      <w:r>
        <w:t xml:space="preserve">Condizioni emiliano-romagnole favorevoli alla trasferibilità: la solidità organizzativa del sistema, riconosciuto come benchmark nazionale, la maturità della rete territoriale delle Case della Comunità e l’esperienza dei progetti aziendali costituiscono un terreno particolarmente favorevole all’adozione del modello e alla sua valutazione rigorosa.</w:t>
      </w:r>
    </w:p>
  </w:footnote>
  <w:footnote w:id="2328">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3,8:1-5,5:1.</w:t>
      </w:r>
    </w:p>
  </w:footnote>
  <w:footnote w:id="2329">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Per l’Emilia-Romagna, regione a saldo di mobilità attivo tra i più elevati d’Italia e dotata di un sistema sanitario d’eccellenza, riconosciuto come benchmark nazionale, il canale del recupero della mobilità passiva non si applica e i margini di recupero diretto, a fronte di un’elevata appropriatezza di partenza, sono strutturalmente contenuti: il saldo diretto risulta lievemente negativo e il caso economico poggia in misura preponderante sulle ricadute sociali, stimate con criteri conservativi.</w:t>
      </w:r>
    </w:p>
  </w:footnote>
  <w:footnote w:id="2330">
    <w:p>
      <w:pPr>
        <w:pStyle w:val="FootnoteText"/>
      </w:pPr>
      <w:r>
        <w:rPr>
          <w:rStyle w:val="FootnoteReference"/>
        </w:rPr>
        <w:footnoteRef/>
      </w:r>
      <w:r>
        <w:t xml:space="preserve"> </w:t>
      </w:r>
      <w:r>
        <w:t xml:space="preserve">I valori economici oggi impiegati sono in parte ricostruiti dai conti nazionali per quota di popolazione (7,5%) e non estratti dai conti regionali certificati: è la lacuna prioritaria dello studio, da colmare presso le Aziende USL e le Aziende Ospedaliero-Universitarie prima della presentazione esterna.</w:t>
      </w:r>
    </w:p>
  </w:footnote>
  <w:footnote w:id="2331">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332">
    <w:p>
      <w:pPr>
        <w:pStyle w:val="FootnoteText"/>
      </w:pPr>
      <w:r>
        <w:rPr>
          <w:rStyle w:val="FootnoteReference"/>
        </w:rPr>
        <w:footnoteRef/>
      </w:r>
      <w:r>
        <w:t xml:space="preserve"> </w:t>
      </w:r>
      <w:r>
        <w:t xml:space="preserve">Valutazione controfattuale d’impatto: i metodi della differenza-nelle-differenze e del controllo sintetico; il dispiegamento scaglionato del servizio tra le otto Aziende USL, attivate in tempi diversi sotto il coordinamento della Regione, funge da esperimento naturale e consente di stimare l’effetto causale rendendo le aziende e i distretti non ancora coperti gruppo di confronto.</w:t>
      </w:r>
    </w:p>
  </w:footnote>
  <w:footnote w:id="2333">
    <w:p>
      <w:pPr>
        <w:pStyle w:val="FootnoteText"/>
      </w:pPr>
      <w:r>
        <w:rPr>
          <w:rStyle w:val="FootnoteReference"/>
        </w:rPr>
        <w:footnoteRef/>
      </w:r>
      <w:r>
        <w:t xml:space="preserve"> </w:t>
      </w:r>
      <w:r>
        <w:t xml:space="preserve">La valutazione è governata da un comitato di indirizzo — Regione, Aziende USL, Aziende Ospedaliero-Universitarie, Istituti di ricovero e cura, Ordine degli Psicologi dell’Emilia-Romagna, rappresentanze della medicina generale e della pediatria di libera scelta e università regionali — affiancato dall’Osservatorio regionale previsto dalle proposte di legge in esame, con funzioni di indirizzo, programmazione e controllo. A differenza del Veneto, l’Emilia-Romagna non dispone di un’azienda regionale unica e coordina il servizio attraverso la Regione e le otto Aziende USL.</w:t>
      </w:r>
    </w:p>
  </w:footnote>
  <w:footnote w:id="2334">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2335">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La solida infrastruttura di sanità digitale regionale colloca l’Emilia-Romagna nella posizione di apripista nazionale nella loro adozione.</w:t>
      </w:r>
    </w:p>
  </w:footnote>
  <w:footnote w:id="2336">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337">
    <w:p>
      <w:pPr>
        <w:pStyle w:val="FootnoteText"/>
      </w:pPr>
      <w:r>
        <w:rPr>
          <w:rStyle w:val="FootnoteReference"/>
        </w:rPr>
        <w:footnoteRef/>
      </w:r>
    </w:p>
  </w:footnote>
  <w:footnote w:id="2338">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2339">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w:t>
      </w:r>
    </w:p>
  </w:footnote>
  <w:footnote w:id="2340">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2341">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attivazione, il numero di psicologi reclutati e formati, la qualità della formazione e della supervisione, il grado di integrazione nei flussi di lavoro, l’aderenza ai percorsi e la scalabilità.</w:t>
      </w:r>
    </w:p>
  </w:footnote>
  <w:footnote w:id="2342">
    <w:p>
      <w:pPr>
        <w:pStyle w:val="FootnoteText"/>
      </w:pPr>
      <w:r>
        <w:rPr>
          <w:rStyle w:val="FootnoteReference"/>
        </w:rPr>
        <w:footnoteRef/>
      </w:r>
      <w:r>
        <w:t xml:space="preserve"> </w:t>
      </w:r>
      <w:r>
        <w:t xml:space="preserve">Disegno del dispiegamento scaglionato in Emilia-Romagna: le otto Aziende USL passano in sequenza, per fasi semestrali, dalla condizione di controllo a quella di intervento, a partire dalle aziende di maggiore dimensione e prontezza organizzativa, sino a coprire l’intera regione; l’ordine è definito dalla Giunta regionale su criteri trasparenti e reso noto preventivamente, con il coordinamento unitario della Regione.</w:t>
      </w:r>
    </w:p>
  </w:footnote>
  <w:footnote w:id="2343">
    <w:p>
      <w:pPr>
        <w:pStyle w:val="FootnoteText"/>
      </w:pPr>
      <w:r>
        <w:rPr>
          <w:rStyle w:val="FootnoteReference"/>
        </w:rPr>
        <w:footnoteRef/>
      </w:r>
      <w:r>
        <w:t xml:space="preserve"> </w:t>
      </w:r>
      <w:r>
        <w:t xml:space="preserve">Doppia funzione del dispiegamento scaglionato: esso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p>
  </w:footnote>
  <w:footnote w:id="2344">
    <w:p>
      <w:pPr>
        <w:pStyle w:val="FootnoteText"/>
      </w:pPr>
      <w:r>
        <w:rPr>
          <w:rStyle w:val="FootnoteReference"/>
        </w:rPr>
        <w:footnoteRef/>
      </w:r>
      <w:r>
        <w:t xml:space="preserve"> </w:t>
      </w:r>
      <w:r>
        <w:t xml:space="preserve">Reclutamento: a fronte di un fabbisogno a regime dell’ordine di 970 psicologi, il reclutamento avviene tramite l’iscrizione a un elenco istituito presso ciascuna azienda e l’instaurazione di un rapporto convenzionale, con requisiti di iscrizione all’albo e di formazione specifica; in prima applicazione possono accedere i professionisti con pregressa esperienza nell’assistenza psicologica nel Servizio sanitario regionale, valorizzando l’esperienza maturata nei progetti aziendali già attivi, tra cui quelli delle Aziende USL di Bologna, di Modena e della Romagna.</w:t>
      </w:r>
    </w:p>
  </w:footnote>
  <w:footnote w:id="2345">
    <w:p>
      <w:pPr>
        <w:pStyle w:val="FootnoteText"/>
      </w:pPr>
      <w:r>
        <w:rPr>
          <w:rStyle w:val="FootnoteReference"/>
        </w:rPr>
        <w:footnoteRef/>
      </w:r>
      <w:r>
        <w:t xml:space="preserve"> </w:t>
      </w:r>
      <w:r>
        <w:t xml:space="preserve">Cronoprogramma: l’attivazione procede per fasi semestrali attraverso le otto Aziende USL; le attività di reclutamento, formazione, allestimento e avvio sono condotte in modo scaglionato, azienda per azienda, mentre il monitoraggio e la valutazione accompagnano l’intero arco e proseguono oltre il completamento.</w:t>
      </w:r>
    </w:p>
  </w:footnote>
  <w:footnote w:id="2346">
    <w:p>
      <w:pPr>
        <w:pStyle w:val="FootnoteText"/>
      </w:pPr>
      <w:r>
        <w:rPr>
          <w:rStyle w:val="FootnoteReference"/>
        </w:rPr>
        <w:footnoteRef/>
      </w:r>
      <w:r>
        <w:t xml:space="preserve"> </w:t>
      </w:r>
      <w:r>
        <w:t xml:space="preserve">Soglia di riuscita del dispiegamento: tra i parametri che muterebbero le conclusioni figura un tasso di recupero inferiore al 50% nella fase di attuazione, a fronte del valore di riferimento del programma inglese; il monitoraggio è chiamato a verificarne il raggiungimento sui dati emiliano-romagnoli.</w:t>
      </w:r>
    </w:p>
  </w:footnote>
  <w:footnote w:id="2347">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27, 40 e 53 milioni già esposti nella Parte E; il modello dell’elenco aziendale e del rapporto convenzionale è già adottato da altre Regioni e non richiede la creazione di nuove figure.</w:t>
      </w:r>
    </w:p>
  </w:footnote>
  <w:footnote w:id="2348">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Aziende USL, le Aziende Ospedaliero-Universitarie, gli Istituti di ricovero e cura, l’Ordine degli Psicologi dell’Emilia-Romagna, la medicina generale, la pediatria di libera scelta e le università regionali, ed è affiancato dall’Osservatorio regionale previsto dalle proposte di legge; a livello aziendale, ciascuna Azienda USL è responsabile dell’attuazione nel proprio ambito, secondo l’indirizzo unitario della Regione. A differenza del Veneto, l’Emilia-Romagna non dispone di un’azienda regionale unica di coordinamento.</w:t>
      </w:r>
    </w:p>
  </w:footnote>
  <w:footnote w:id="2349">
    <w:p>
      <w:pPr>
        <w:pStyle w:val="FootnoteText"/>
      </w:pPr>
      <w:r>
        <w:rPr>
          <w:rStyle w:val="FootnoteReference"/>
        </w:rPr>
        <w:footnoteRef/>
      </w:r>
      <w:r>
        <w:t xml:space="preserve"> </w:t>
      </w:r>
      <w:r>
        <w:t xml:space="preserve">Rischi attuativi e misure di mitigazione: i rischi principali — reclutamento insufficiente, debole adesione della medicina generale, interoperabilità incompleta dei sistemi informativi, disomogeneità territoriale e venir meno delle coperture — sono associati a misure dedicate; il dispiegamento graduale è esso stesso la principale forma di mitigazione, poiché consente di osservare, correggere e adattare prima dell’estensione.</w:t>
      </w:r>
    </w:p>
  </w:footnote>
  <w:footnote w:id="2350">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superiore ai dieci miliardi di euro, la Missione 6 del Piano Nazionale di Ripresa e Resilienza per l’infrastruttura territoriale e digitale, e un eventuale fondo statale a sostegno dei livelli essenziali.</w:t>
      </w:r>
    </w:p>
  </w:footnote>
  <w:footnote w:id="2351">
    <w:p>
      <w:pPr>
        <w:pStyle w:val="FootnoteText"/>
      </w:pPr>
      <w:r>
        <w:rPr>
          <w:rStyle w:val="FootnoteReference"/>
        </w:rPr>
        <w:footnoteRef/>
      </w:r>
      <w:r>
        <w:t xml:space="preserve"> </w:t>
      </w:r>
      <w:r>
        <w:t xml:space="preserve">Vincoli di bilancio: l’Emilia-Romagna dispone di un finanziamento superiore ai dieci miliardi di euro con conti prossimi al pareggio e non è in piano di rientro; il costo del servizio, anche a massima copertura, ne costituisce una frazione dell’ordine di mezzo punto percentuale, agevolmente assorbibile, sicché la sostenibilità finanziaria è in Emilia-Romagna più immediata che nelle regioni in difficoltà.</w:t>
      </w:r>
    </w:p>
  </w:footnote>
  <w:footnote w:id="2352">
    <w:p>
      <w:pPr>
        <w:pStyle w:val="FootnoteText"/>
      </w:pPr>
      <w:r>
        <w:rPr>
          <w:rStyle w:val="FootnoteReference"/>
        </w:rPr>
        <w:footnoteRef/>
      </w:r>
      <w:r>
        <w:t xml:space="preserve"> </w:t>
      </w:r>
      <w:r>
        <w:t xml:space="preserve">Sostenibilità nel tempo (criterio OCSE-DAC): la sostenibilità è assicurata dalla modestia del costo rispetto al bilancio, dal forte ritorno sociale documentato, dall’istituzionalizzazione del servizio — già oggetto di proposte di legge in esame — e dalle economie di scala consentite dal coordinamento regionale e dalla maturità della rete territoriale.</w:t>
      </w:r>
    </w:p>
  </w:footnote>
  <w:footnote w:id="2353">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emiliano-romagnoli, prevista dalla Parte L, è chiamata a sostituire progressivamente le stime con misure osservate.</w:t>
      </w:r>
    </w:p>
  </w:footnote>
  <w:footnote w:id="2354">
    <w:p>
      <w:pPr>
        <w:pStyle w:val="FootnoteText"/>
      </w:pPr>
      <w:r>
        <w:rPr>
          <w:rStyle w:val="FootnoteReference"/>
        </w:rPr>
        <w:footnoteRef/>
      </w:r>
      <w:r>
        <w:t xml:space="preserve"> </w:t>
      </w:r>
      <w:r>
        <w:t xml:space="preserve">Aspettativa di vita alla nascita dell’ordine degli 83-84 anni, tra le più elevate d’Italia, coerente con il profilo di un sistema sanitario d’eccellenza e con buoni determinanti socio-economici.</w:t>
      </w:r>
    </w:p>
  </w:footnote>
  <w:footnote w:id="2355">
    <w:p>
      <w:pPr>
        <w:pStyle w:val="FootnoteText"/>
      </w:pPr>
      <w:r>
        <w:rPr>
          <w:rStyle w:val="FootnoteReference"/>
        </w:rPr>
        <w:footnoteRef/>
      </w:r>
      <w:r>
        <w:t xml:space="preserve"> </w:t>
      </w:r>
      <w:r>
        <w:t xml:space="preserve">Componente straniera dell’ordine del 12,6% dei residenti, valore nettamente superiore alla media nazionale e con punte maggiori in alcune province; è motore della crescita demografica e della vitalità economica, ma porta con sé bisogni specifici di salute mentale connessi ai percorsi migratori, all’integrazione e allo stress di adattamento, che richiedono una cura culturalmente competente.</w:t>
      </w:r>
    </w:p>
  </w:footnote>
  <w:footnote w:id="2356">
    <w:p>
      <w:pPr>
        <w:pStyle w:val="FootnoteText"/>
      </w:pPr>
      <w:r>
        <w:rPr>
          <w:rStyle w:val="FootnoteReference"/>
        </w:rPr>
        <w:footnoteRef/>
      </w:r>
      <w:r>
        <w:t xml:space="preserve"> </w:t>
      </w:r>
      <w:r>
        <w:t xml:space="preserve">Articolazione del territorio in nove province: la sola Bologna supera il milione di abitanti e raccoglie il 22,9% dei residenti, seguita da Modena con il 15,9%; le cinque province dell’Emilia occidentale ospitano oltre due terzi della popolazione, mentre Ferrara e le tre province della Romagna ne accolgono il restante terzo.</w:t>
      </w:r>
    </w:p>
  </w:footnote>
  <w:footnote w:id="2357">
    <w:p>
      <w:pPr>
        <w:pStyle w:val="FootnoteText"/>
      </w:pPr>
      <w:r>
        <w:rPr>
          <w:rStyle w:val="FootnoteReference"/>
        </w:rPr>
        <w:footnoteRef/>
      </w:r>
      <w:r>
        <w:t xml:space="preserve"> </w:t>
      </w:r>
      <w:r>
        <w:t xml:space="preserve">Profilo per età composito e a marcata variabilità interna: la pianura urbana e produttiva presenta la struttura più dinamica, mentre le aree appenniniche e rurali sono nettamente più anziane e soggette a spopolamento, con maggiore difficoltà di accesso ai servizi.</w:t>
      </w:r>
    </w:p>
  </w:footnote>
  <w:footnote w:id="2358">
    <w:p>
      <w:pPr>
        <w:pStyle w:val="FootnoteText"/>
      </w:pPr>
      <w:r>
        <w:rPr>
          <w:rStyle w:val="FootnoteReference"/>
        </w:rPr>
        <w:footnoteRef/>
      </w:r>
    </w:p>
  </w:footnote>
  <w:footnote w:id="2359">
    <w:p>
      <w:pPr>
        <w:pStyle w:val="FootnoteText"/>
      </w:pPr>
      <w:r>
        <w:rPr>
          <w:rStyle w:val="FootnoteReference"/>
        </w:rPr>
        <w:footnoteRef/>
      </w:r>
      <w:r>
        <w:t xml:space="preserve"> </w:t>
      </w:r>
      <w:r>
        <w:t xml:space="preserve">Profilo per età composito e a marcata variabilità interna: la pianura urbana e produttiva presenta la struttura più dinamica, mentre le aree appenniniche e rurali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2360">
    <w:p>
      <w:pPr>
        <w:pStyle w:val="FootnoteText"/>
      </w:pPr>
      <w:r>
        <w:rPr>
          <w:rStyle w:val="FootnoteReference"/>
        </w:rPr>
        <w:footnoteRef/>
      </w:r>
    </w:p>
  </w:footnote>
  <w:footnote w:id="2361">
    <w:p>
      <w:pPr>
        <w:pStyle w:val="FootnoteText"/>
      </w:pPr>
      <w:r>
        <w:rPr>
          <w:rStyle w:val="FootnoteReference"/>
        </w:rPr>
        <w:footnoteRef/>
      </w:r>
      <w:r>
        <w:t xml:space="preserve"> </w:t>
      </w:r>
      <w:r>
        <w:t xml:space="preserve">Profilo per età composito e a marcata variabilità interna: la pianura urbana e produttiva presenta la struttura più dinamica, mentre le aree appenniniche e rurali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2362">
    <w:p>
      <w:pPr>
        <w:pStyle w:val="FootnoteText"/>
      </w:pPr>
      <w:r>
        <w:rPr>
          <w:rStyle w:val="FootnoteReference"/>
        </w:rPr>
        <w:footnoteRef/>
      </w:r>
      <w:r>
        <w:t xml:space="preserve"> </w:t>
      </w:r>
      <w:r>
        <w:t xml:space="preserve">Costo del servizio per scenario, a regime: dell’ordine di 27 milioni di euro annui nello scenario conservativo, 40 nello scenario base e 53 nello scenario espansivo, valori coerenti con l’inclusione del programma di formazione all’intelligenza artificiale.</w:t>
      </w:r>
    </w:p>
  </w:footnote>
  <w:footnote w:id="2363">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 coordinamento regionale e dalla maturità della rete territoriale.</w:t>
      </w:r>
    </w:p>
  </w:footnote>
  <w:footnote w:id="2364">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2365">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2366">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2367">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2368">
    <w:p>
      <w:pPr>
        <w:pStyle w:val="FootnoteText"/>
      </w:pPr>
      <w:r>
        <w:rPr>
          <w:rStyle w:val="FootnoteReference"/>
        </w:rPr>
        <w:footnoteRef/>
      </w:r>
    </w:p>
  </w:footnote>
  <w:footnote w:id="2369">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2370">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2371">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circa quaranta richiedono la rilevazione diretta del servizio.</w:t>
      </w:r>
    </w:p>
  </w:footnote>
  <w:footnote w:id="2372">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2373">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Aziende USL sono tra le misure di equità.</w:t>
      </w:r>
    </w:p>
  </w:footnote>
  <w:footnote w:id="2374">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w:t>
      </w:r>
    </w:p>
  </w:footnote>
  <w:footnote w:id="2375">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2376">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2377">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vanno registrati subito; la rilevazione di servizio parte con il primo assistito. Ogni mese di ritardo nell’avvio è un mese di dati di base perduti.</w:t>
      </w:r>
    </w:p>
  </w:footnote>
  <w:footnote w:id="2378">
    <w:p>
      <w:pPr>
        <w:pStyle w:val="FootnoteText"/>
      </w:pPr>
      <w:r>
        <w:rPr>
          <w:rStyle w:val="FootnoteReference"/>
        </w:rPr>
        <w:footnoteRef/>
      </w:r>
      <w:r>
        <w:t xml:space="preserve"> </w:t>
      </w:r>
      <w:r>
        <w:t xml:space="preserve">Calendario della rilevazione: prima dell’avvio, costituzione della baseline con i dati disponibili e predisposizione del registro e dei questionari; all’avvio, inizio della registrazione; in continuo, trasmissione di indicatori aggregati al comitato di indirizzo regionale con cadenza mensile; periodicamente, calcolo delle misure di sintesi e aggiornamento del cruscotto regionale.</w:t>
      </w:r>
    </w:p>
  </w:footnote>
  <w:footnote w:id="2379">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lo strumento che la rende possibile è il disegno scaglionato del dispiegamento, idoneo esperimento naturale.</w:t>
      </w:r>
    </w:p>
  </w:footnote>
  <w:footnote w:id="2380">
    <w:p>
      <w:pPr>
        <w:pStyle w:val="FootnoteText"/>
      </w:pPr>
      <w:r>
        <w:rPr>
          <w:rStyle w:val="FootnoteReference"/>
        </w:rPr>
        <w:footnoteRef/>
      </w:r>
      <w:r>
        <w:t xml:space="preserve"> </w:t>
      </w:r>
      <w:r>
        <w:t xml:space="preserve">Differenza-nelle-differenze: confronta la variazione nel tempo dell’esito tra le Aziende USL già attivate e quelle non ancora attivate, sotto l’ipotesi di andamento parallelo; vi si affianca il controllo sintetico, che costruisce un’unità di confronto artificiale come combinazione ponderata di unità non trattate.</w:t>
      </w:r>
    </w:p>
  </w:footnote>
  <w:footnote w:id="2381">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2382">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Aziende che hanno attivato il servizio con quello delle Aziende che lo attiveranno, si isola l’effetto proprio della riforma e si trasforma la stima dei risparmi da proiezione attesa a misura empiricamente fondata sui dati emiliano-romagnoli.</w:t>
      </w:r>
    </w:p>
  </w:footnote>
  <w:footnote w:id="2383">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2384">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è il passaggio che lega la misurazione tecnica alla responsabilità politica e alla trasparenza verso il legislatore regionale.</w:t>
      </w:r>
    </w:p>
  </w:footnote>
  <w:footnote w:id="2385">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2386">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2387">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2388">
    <w:p>
      <w:pPr>
        <w:pStyle w:val="FootnoteText"/>
      </w:pPr>
      <w:r>
        <w:rPr>
          <w:rStyle w:val="FootnoteReference"/>
        </w:rPr>
        <w:footnoteRef/>
      </w:r>
      <w:r>
        <w:t xml:space="preserve"> </w:t>
      </w:r>
      <w:r>
        <w:t xml:space="preserve">Risparmi diretti complessivi per il Servizio sanitario regionale stimati nell’ordine di 16 milioni di euro annui nello scenario conservativo, 27 nello scenario base e 40 nello scenario espansivo, collocati prudenzialmente nella parte medio-bassa dell’intervallo in ragione dell’elevata efficienza e appropriatezza del sistema regionale.</w:t>
      </w:r>
    </w:p>
  </w:footnote>
  <w:footnote w:id="2389">
    <w:p>
      <w:pPr>
        <w:pStyle w:val="FootnoteText"/>
      </w:pPr>
      <w:r>
        <w:rPr>
          <w:rStyle w:val="FootnoteReference"/>
        </w:rPr>
        <w:footnoteRef/>
      </w:r>
      <w:r>
        <w:t xml:space="preserve"> </w:t>
      </w:r>
      <w:r>
        <w:t xml:space="preserve">Saldo diretto per il bilancio sanitario, dato dalla differenza tra risparmi diretti e costo del servizio, dell’ordine di −11, −13 e −13 milioni di euro annui nei tre scenari: è lievemente negativo, coerentemente con la natura di regione creditrice e con l’elevata appropriatezza del sistema emiliano-romagnolo, in cui i margini di recupero diretto sono strutturalmente contenuti.</w:t>
      </w:r>
    </w:p>
  </w:footnote>
  <w:footnote w:id="2390">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Emilia-Romagna — come in Lombardia e in Veneto — il valore dell’intervento risiede in misura preponderante nelle ricadute economico-sociali, ed è questa la chiave di lettura del caso economico.</w:t>
      </w:r>
    </w:p>
  </w:footnote>
  <w:footnote w:id="2391">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un’economia dinamica, a forte tessuto manifatturiero e a elevata occupazione, la componente della produttività recuperata è la voce di maggior peso del beneficio complessivo.</w:t>
      </w:r>
    </w:p>
  </w:footnote>
  <w:footnote w:id="2392">
    <w:p>
      <w:pPr>
        <w:pStyle w:val="FootnoteText"/>
      </w:pPr>
      <w:r>
        <w:rPr>
          <w:rStyle w:val="FootnoteReference"/>
        </w:rPr>
        <w:footnoteRef/>
      </w:r>
      <w:r>
        <w:t xml:space="preserve"> </w:t>
      </w:r>
      <w:r>
        <w:t xml:space="preserve">Ricadute economico-sociali stimate nell’ordine di 86 milioni di euro annui nello scenario conservativo, 160 nello scenario base e 250 nello scenario espansivo, secondo i metodi del ritorno sociale sull’investimento, con criteri di stima conservativi.</w:t>
      </w:r>
    </w:p>
  </w:footnote>
  <w:footnote w:id="2393">
    <w:p>
      <w:pPr>
        <w:pStyle w:val="FootnoteText"/>
      </w:pPr>
      <w:r>
        <w:rPr>
          <w:rStyle w:val="FootnoteReference"/>
        </w:rPr>
        <w:footnoteRef/>
      </w:r>
      <w:r>
        <w:t xml:space="preserve"> </w:t>
      </w:r>
      <w:r>
        <w:t xml:space="preserve">Ritorno complessivo, somma dei risparmi diretti e delle ricadute sociali, dell’ordine di 102, 187 e 290 milioni di euro annui nei tre scenari; il saldo complessivo, al netto del costo del servizio, è dell’ordine di +75, +147 e +237 milioni di euro annui.</w:t>
      </w:r>
    </w:p>
  </w:footnote>
  <w:footnote w:id="2394">
    <w:p>
      <w:pPr>
        <w:pStyle w:val="FootnoteText"/>
      </w:pPr>
      <w:r>
        <w:rPr>
          <w:rStyle w:val="FootnoteReference"/>
        </w:rPr>
        <w:footnoteRef/>
      </w:r>
      <w:r>
        <w:t xml:space="preserve"> </w:t>
      </w:r>
      <w:r>
        <w:t xml:space="preserve">Rapporto beneficio-costo complessivo dell’ordine di 3,8:1 nello scenario conservativo, 4,7:1 nello scenario base e 5,5:1 nello scenario espansivo, in linea con il valore validato sulle altre regioni e coerente con le stime metodologicamente fondate della letteratura.</w:t>
      </w:r>
    </w:p>
  </w:footnote>
  <w:footnote w:id="2395">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2396">
    <w:p>
      <w:pPr>
        <w:pStyle w:val="FootnoteText"/>
      </w:pPr>
      <w:r>
        <w:rPr>
          <w:rStyle w:val="FootnoteReference"/>
        </w:rPr>
        <w:footnoteRef/>
      </w:r>
      <w:r>
        <w:t xml:space="preserve"> </w:t>
      </w:r>
      <w:r>
        <w:t xml:space="preserve">Sostenibilità finanziaria: il costo del servizio si colloca nell’ordine dello 0,3-0,5% di un Fondo Sanitario Regionale superiore ai dieci miliardi di euro, importo pienamente sostenibile per un sistema solido e prossimo al pareggio, e ulteriormente ottimizzabile grazie alle economie di scala consentite dal coordinamento regionale e dalla maturità della rete territoriale.</w:t>
      </w:r>
    </w:p>
  </w:footnote>
  <w:footnote w:id="2397">
    <w:p>
      <w:pPr>
        <w:pStyle w:val="FootnoteText"/>
      </w:pPr>
      <w:r>
        <w:rPr>
          <w:rStyle w:val="FootnoteReference"/>
        </w:rPr>
        <w:footnoteRef/>
      </w:r>
      <w:r>
        <w:t xml:space="preserve"> </w:t>
      </w:r>
      <w:r>
        <w:t xml:space="preserve">Lacuna prioritaria: le grandezze economiche qui impiegate sono in parte ricostruite dai conti nazionali per quota di popolazione (7,5%) e non estratte dai conti regionali certificati; la loro verifica presso le Aziende USL e le Aziende Ospedaliero-Universitarie è condizione per la presentazione alle autorità di finanza pubblica.</w:t>
      </w:r>
    </w:p>
  </w:footnote>
  <w:footnote w:id="2398">
    <w:p>
      <w:pPr>
        <w:pStyle w:val="FootnoteText"/>
      </w:pPr>
      <w:r>
        <w:rPr>
          <w:rStyle w:val="FootnoteReference"/>
        </w:rPr>
        <w:footnoteRef/>
      </w:r>
      <w:r>
        <w:t xml:space="preserve"> </w:t>
      </w:r>
      <w:r>
        <w:t xml:space="preserve">Bisogno potenziale stimato nell’ordine di 890.000 persone con disagio comune, in larga parte non intercettato dall’offerta strutturata attuale.</w:t>
      </w:r>
    </w:p>
  </w:footnote>
  <w:footnote w:id="2399">
    <w:p>
      <w:pPr>
        <w:pStyle w:val="FootnoteText"/>
      </w:pPr>
      <w:r>
        <w:rPr>
          <w:rStyle w:val="FootnoteReference"/>
        </w:rPr>
        <w:footnoteRef/>
      </w:r>
      <w:r>
        <w:t xml:space="preserve"> </w:t>
      </w:r>
      <w:r>
        <w:t xml:space="preserve">Modello organizzativo: lo psicologo di base opera nelle Case della Comunità e nei Nuclei delle Cure Primarie, in collaborazione con i medici di medicina generale, secondo protocolli condivisi; il coordinamento, l’omogeneità attuativa e le economie di scala sono assicurati dalla Regione e dall’Osservatorio regionale previsto dalle proposte di legge in esame, che operano sulle otto Aziende USL. A differenza del Veneto, l’Emilia-Romagna non dispone di un’azienda regionale unica, e la sua rete territoriale matura costituisce l’infrastruttura su cui il modello si innesta senza nuove strutture.</w:t>
      </w:r>
    </w:p>
  </w:footnote>
  <w:footnote w:id="2400">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401">
    <w:p>
      <w:pPr>
        <w:pStyle w:val="FootnoteText"/>
      </w:pPr>
      <w:r>
        <w:rPr>
          <w:rStyle w:val="FootnoteReference"/>
        </w:rPr>
        <w:footnoteRef/>
      </w:r>
      <w:r>
        <w:t xml:space="preserve"> </w:t>
      </w:r>
      <w:r>
        <w:t xml:space="preserve">Percorso clinico: accesso su invio del medico di medicina generale, nella forma già sperimentata della Consultazione Psicologica Primaria, o accesso diretto; valutazione iniziale; ciclo di colloqui brevi; invio appropriato ai servizi specialistici nei casi che lo richiedono, secondo criteri definiti.</w:t>
      </w:r>
    </w:p>
  </w:footnote>
  <w:footnote w:id="2402">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403">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404">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405">
    <w:p>
      <w:pPr>
        <w:pStyle w:val="FootnoteText"/>
      </w:pPr>
      <w:r>
        <w:rPr>
          <w:rStyle w:val="FootnoteReference"/>
        </w:rPr>
        <w:footnoteRef/>
      </w:r>
    </w:p>
  </w:footnote>
  <w:footnote w:id="2406">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2407">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2408">
    <w:p>
      <w:pPr>
        <w:pStyle w:val="FootnoteText"/>
      </w:pPr>
      <w:r>
        <w:rPr>
          <w:rStyle w:val="FootnoteReference"/>
        </w:rPr>
        <w:footnoteRef/>
      </w:r>
      <w:r>
        <w:t xml:space="preserve"> </w:t>
      </w:r>
      <w:r>
        <w:t xml:space="preserve">Rilevanza: l’intervento risponde a un bisogno reale e di grande dimensione — dell’ordine di 890.000 persone con disagio comune in larga parte inevaso — e all’obbligo di garantire i livelli essenziali di assistenza.</w:t>
      </w:r>
    </w:p>
  </w:footnote>
  <w:footnote w:id="2409">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gli atti regionali che già ne prevedono la funzione — le deliberazioni di Giunta del 2021 e del 2023 e i progetti aziendali consolidati — ed è costituzionalmente difendibile; l’Emilia-Romagna, non sottoposta a piano di rientro e con bilancio sanitario in progressivo riequilibrio, non incontra il vincolo che grava sulle regioni in disavanzo strutturale.</w:t>
      </w:r>
    </w:p>
  </w:footnote>
  <w:footnote w:id="2410">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w:t>
      </w:r>
    </w:p>
  </w:footnote>
  <w:footnote w:id="2411">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l’Emilia-Romagna, di un saldo diretto negativo sul solo bilancio sanitario, di entità modesta rispetto a un finanziamento dell’ordine di dieci miliardi; l’efficienza allocativa è dunque elevata, la convenienza per il solo bilancio negativa.</w:t>
      </w:r>
    </w:p>
  </w:footnote>
  <w:footnote w:id="2412">
    <w:p>
      <w:pPr>
        <w:pStyle w:val="FootnoteText"/>
      </w:pPr>
      <w:r>
        <w:rPr>
          <w:rStyle w:val="FootnoteReference"/>
        </w:rPr>
        <w:footnoteRef/>
      </w:r>
      <w:r>
        <w:t xml:space="preserve"> </w:t>
      </w:r>
      <w:r>
        <w:t xml:space="preserve">Impatto: l’impatto distributivo è favorevole, poiché i benefici si concentrano dove l’accesso è più difficile — le aree dell’Appennino, i cittadini stranieri e le popolazioni gravate dalle liste di attesa — riducendo il gradiente territoriale; il ritorno complessivo è dell’ordine di 3,8-5,5 a uno.</w:t>
      </w:r>
    </w:p>
  </w:footnote>
  <w:footnote w:id="2413">
    <w:p>
      <w:pPr>
        <w:pStyle w:val="FootnoteText"/>
      </w:pPr>
      <w:r>
        <w:rPr>
          <w:rStyle w:val="FootnoteReference"/>
        </w:rPr>
        <w:footnoteRef/>
      </w:r>
      <w:r>
        <w:t xml:space="preserve"> </w:t>
      </w:r>
      <w:r>
        <w:t xml:space="preserve">Sostenibilità: l’intervento è finanziariamente sostenibile — a fronte di un costo modesto, di una pluralità di coperture e di un bilancio regionale in progressivo riequilibrio — e organizzativamente, in quanto inseribile senza nuove strutture nella rete territoriale già matura delle Case della Comunità e delle Case della Salute.</w:t>
      </w:r>
    </w:p>
  </w:footnote>
  <w:footnote w:id="2414">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2415">
    <w:p>
      <w:pPr>
        <w:pStyle w:val="FootnoteText"/>
      </w:pPr>
      <w:r>
        <w:rPr>
          <w:rStyle w:val="FootnoteReference"/>
        </w:rPr>
        <w:footnoteRef/>
      </w:r>
      <w:r>
        <w:t xml:space="preserve"> </w:t>
      </w:r>
      <w:r>
        <w:t xml:space="preserve">Risultato dell’analisi multi-criterio: su otto criteri pesati, l’opzione di intervento ottiene un punteggio complessivo dell’ordine di 81,45 su 100 contro 39,25 dell’opzione zero, e prevale su tutti i criteri tranne la fattibilità immediata; il risultato è stabile rispetto ai pesi adottati.</w:t>
      </w:r>
    </w:p>
  </w:footnote>
  <w:footnote w:id="2416">
    <w:p>
      <w:pPr>
        <w:pStyle w:val="FootnoteText"/>
      </w:pPr>
      <w:r>
        <w:rPr>
          <w:rStyle w:val="FootnoteReference"/>
        </w:rPr>
        <w:footnoteRef/>
      </w:r>
      <w:r>
        <w:t xml:space="preserve"> </w:t>
      </w:r>
      <w:r>
        <w:t xml:space="preserve">Le tre affermazioni del cruscotto decisionale per l’Emilia-Romagna: il servizio costa al bilancio sanitario una cifra modesta e comporta un saldo diretto lievemente negativo, trascurabile rispetto a un finanziamento dell’ordine di dieci miliardi; il ritorno per la collettività è ampio (rapporto beneficio-costo di 3,8-5,5 a uno); il valore poggia quasi interamente sulle ricadute sociali.</w:t>
      </w:r>
    </w:p>
  </w:footnote>
  <w:footnote w:id="2417">
    <w:p>
      <w:pPr>
        <w:pStyle w:val="FootnoteText"/>
      </w:pPr>
      <w:r>
        <w:rPr>
          <w:rStyle w:val="FootnoteReference"/>
        </w:rPr>
        <w:footnoteRef/>
      </w:r>
      <w:r>
        <w:t xml:space="preserve"> </w:t>
      </w:r>
      <w:r>
        <w:t xml:space="preserve">Raccomandazione centrale: la decisione rilevante non è se introdurre la funzione — già diffusa in numerose Aziende USL attraverso atti amministrativi regionali e progetti aziendali consolidati — ma se strutturarla, dimensionarla e istituzionalizzarla, portandola dalla diffusione amministrativa frammentaria alla copertura sistematica del fabbisogno, dell’ordine di 730 incarichi.</w:t>
      </w:r>
    </w:p>
  </w:footnote>
  <w:footnote w:id="2418">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2419">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emiliano-romagnola (7,5%), e non estratte dai conti regionali certificati; tale sostituzione è la condizione per la presentazione agli organi di controllo.</w:t>
      </w:r>
    </w:p>
  </w:footnote>
  <w:footnote w:id="2420">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2421">
    <w:p>
      <w:pPr>
        <w:pStyle w:val="FootnoteText"/>
      </w:pPr>
      <w:r>
        <w:rPr>
          <w:rStyle w:val="FootnoteReference"/>
        </w:rPr>
        <w:footnoteRef/>
      </w:r>
      <w:r>
        <w:t xml:space="preserve"> </w:t>
      </w:r>
      <w:r>
        <w:t xml:space="preserve">Agenda di ricerca: l’investimento conoscitivo prioritario è l’acquisizione dei dati regionali certificati presso le Aziende USL e le Aziende Ospedaliero-Universitarie, seguito dall’avvio della rilevazione di servizio e dalla valutazione controfattuale sul dispiegamento scaglionato.</w:t>
      </w:r>
    </w:p>
  </w:footnote>
  <w:footnote w:id="2422">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e va prevista fin dall’avvio del servizio.</w:t>
      </w:r>
    </w:p>
  </w:footnote>
  <w:footnote w:id="2423">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424">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425">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426">
    <w:p>
      <w:pPr>
        <w:pStyle w:val="FootnoteText"/>
      </w:pPr>
      <w:r>
        <w:rPr>
          <w:rStyle w:val="FootnoteReference"/>
        </w:rPr>
        <w:footnoteRef/>
      </w:r>
      <w:r>
        <w:t xml:space="preserve"> </w:t>
      </w:r>
      <w:r>
        <w:t xml:space="preserve">Telepsicologia e telemonitoraggio assistiti: in Emilia-Romagna sono lo strumento per garantire l’accesso al sostegno psicologico nelle aree appenniniche, più anziane e soggette a spopolamento; sono concepiti come complementari e non sostitutivi della presa in carico in presenza.</w:t>
      </w:r>
    </w:p>
  </w:footnote>
  <w:footnote w:id="2427">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2428">
    <w:p>
      <w:pPr>
        <w:pStyle w:val="FootnoteText"/>
      </w:pPr>
      <w:r>
        <w:rPr>
          <w:rStyle w:val="FootnoteReference"/>
        </w:rPr>
        <w:footnoteRef/>
      </w:r>
      <w:r>
        <w:t xml:space="preserve"> </w:t>
      </w:r>
      <w:r>
        <w:t xml:space="preserve">Programma formativo a quattro livelli: universitario (curricula e tirocini presso le Università di Bologna, di Modena e Reggio Emilia, di Parma e di Ferrara); post-universitario specialistico (corso regionale con attestato sulla psicologia di base e le cure primarie, comprensivo della competenza culturale per la popolazione straniera); continuo lavorativo (aggiornamento in servizio, audit clinico, educazione continua in medicina); affiancamento operativo (tutoraggio sul campo e inserimento graduale con supervisione).</w:t>
      </w:r>
    </w:p>
  </w:footnote>
  <w:footnote w:id="2429">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solida infrastruttura di sanità digitale regionale candida l’Emilia-Romagna a contesto esemplare e apripista a livello nazionale per l’integrazione rigorosamente valutata dell’intelligenza artificiale nelle cure primarie.</w:t>
      </w:r>
    </w:p>
  </w:footnote>
  <w:footnote w:id="2430">
    <w:p>
      <w:pPr>
        <w:pStyle w:val="FootnoteText"/>
      </w:pPr>
      <w:r>
        <w:rPr>
          <w:rStyle w:val="FootnoteReference"/>
        </w:rPr>
        <w:footnoteRef/>
      </w:r>
    </w:p>
  </w:footnote>
  <w:footnote w:id="2431">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solida infrastruttura di sanità digitale regionale candida l’Emilia-Romagna a contesto esemplare e apripista a livello nazionale per l’integrazione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2432">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2433">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2434">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2435">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2436">
    <w:p>
      <w:pPr>
        <w:pStyle w:val="FootnoteText"/>
      </w:pPr>
      <w:r>
        <w:rPr>
          <w:rStyle w:val="FootnoteReference"/>
        </w:rPr>
        <w:footnoteRef/>
      </w:r>
    </w:p>
  </w:footnote>
  <w:footnote w:id="2437">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438">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439">
    <w:p>
      <w:pPr>
        <w:pStyle w:val="FootnoteText"/>
      </w:pPr>
      <w:r>
        <w:rPr>
          <w:rStyle w:val="FootnoteReference"/>
        </w:rPr>
        <w:footnoteRef/>
      </w:r>
      <w:r>
        <w:t xml:space="preserve"> </w:t>
      </w:r>
      <w:r>
        <w:t xml:space="preserve">Quadro economico consolidato per l’Emilia-Romagna (Parte E): a regime, da circa 490 a circa 960 psicologi, costo del servizio di 27-53 milioni, risparmi diretti di 16-40 milioni, ricadute sociali di 86-250 milioni; il saldo diretto è negativo, il saldo complessivo positivo, con rapporto beneficio-costo di 3,8-5,5 a uno.</w:t>
      </w:r>
    </w:p>
  </w:footnote>
  <w:footnote w:id="2440">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441">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2442">
    <w:p>
      <w:pPr>
        <w:pStyle w:val="FootnoteText"/>
      </w:pPr>
      <w:r>
        <w:rPr>
          <w:rStyle w:val="FootnoteReference"/>
        </w:rPr>
        <w:footnoteRef/>
      </w:r>
      <w:r>
        <w:t xml:space="preserve"> </w:t>
      </w:r>
      <w:r>
        <w:t xml:space="preserve">Valori regionali di ancoraggio per l’Emilia-Romagna: popolazione di 4.451.938 abitanti (Censimento ISTAT 2024) in crescita, finanziamento del Servizio sanitario regionale superiore a 10 miliardi di euro con disavanzo in riduzione e nessun piano di rientro, saldo di mobilità fortemente attivo, fabbisogno a regime fino a circa 960 psicologi nello scenario espansivo.</w:t>
      </w:r>
    </w:p>
  </w:footnote>
  <w:footnote w:id="2443">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emiliano-romagnola (7,5%), e non estratti dai conti regionali certificati; i dati da acquisire presso le Aziende USL e le Aziende Ospedaliero-Universitarie sono elencati nella tabella seguente.</w:t>
      </w:r>
    </w:p>
  </w:footnote>
  <w:footnote w:id="2444">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445">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e veneto, di cui questo studio replica il telaio metodologico.</w:t>
      </w:r>
    </w:p>
  </w:footnote>
  <w:footnote w:id="2446">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2447">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2448">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2449">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2450">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2451">
    <w:p>
      <w:pPr>
        <w:pStyle w:val="FootnoteText"/>
      </w:pPr>
      <w:r>
        <w:rPr>
          <w:rStyle w:val="FootnoteReference"/>
        </w:rPr>
        <w:footnoteRef/>
      </w:r>
      <w:r>
        <w:t xml:space="preserve"> </w:t>
      </w:r>
      <w:r>
        <w:t xml:space="preserve">Distinzione tra costo-utilità e impatto sul bilancio per l’Emilia-Romagna: la probabilità di costo-efficacia è un risultato di efficienza, riferito al singolo paziente, che valorizza il guadagno di salute e l’intera traiettoria di costo del modello; esso è coerente con il saldo diretto aggregato della Parte E, che per l’Emilia-Romagna è negativo, poiché la traduzione dal modello per paziente all’aggregato regionale incorpora le correzioni per peso morto e per l’effettiva monetizzabilità nel bilancio dei costi evitati, e poiché manca il canale della mobilità, essendo l’Emilia-Romagna regione creditrice. L’efficienza per paziente è robusta; la convenienza per il solo bilancio è negativa; il forte ritorno per la collettività proviene dalle ricadute sociali.</w:t>
      </w:r>
    </w:p>
  </w:footnote>
  <w:footnote w:id="2452">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453">
    <w:p>
      <w:pPr>
        <w:pStyle w:val="FootnoteText"/>
      </w:pPr>
      <w:r>
        <w:rPr>
          <w:rStyle w:val="FootnoteReference"/>
        </w:rPr>
        <w:footnoteRef/>
      </w:r>
    </w:p>
  </w:footnote>
  <w:footnote w:id="2454">
    <w:p>
      <w:pPr>
        <w:pStyle w:val="FootnoteText"/>
      </w:pPr>
      <w:r>
        <w:rPr>
          <w:rStyle w:val="FootnoteReference"/>
        </w:rPr>
        <w:footnoteRef/>
      </w:r>
      <w:r>
        <w:t xml:space="preserve"> </w:t>
      </w:r>
      <w:r>
        <w:t xml:space="preserve">Posizione della Toscana: la Regione è fra le poche in Italia a essersi dotata di una legge regionale dedicata, la legge regionale 15 novembre 2022, n. 39, recante disposizioni in materia di istituzione del servizio di psicologia di base, con regolamento di attuazione approvato con deliberazione della Giunta regionale 43 del 22 gennaio 2024, a sua volta fondato sulla decisione dell’Organismo Toscano di Governo Clinico n. 17 del 15 giugno 2023, contenente gli indirizzi operativi. Sulla base di tale cornice è stata avviata, dal settembre 2024, una sperimentazione del servizio nelle Case della Comunità e nelle Case della Salute, in integrazione con i medici di medicina generale e i pediatri di libera scelta, gratuita e senza compartecipazione alla spesa.</w:t>
      </w:r>
    </w:p>
  </w:footnote>
  <w:footnote w:id="2455">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456">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tre Aziende USL e alle Aziende Ospedaliero-Universitarie; la Toscana dispone inoltre dei propri dati di esito della sperimentazione attiva, da consolidare come fonte primaria di calibrazione.</w:t>
      </w:r>
    </w:p>
  </w:footnote>
  <w:footnote w:id="2457">
    <w:p>
      <w:pPr>
        <w:pStyle w:val="FootnoteText"/>
      </w:pPr>
      <w:r>
        <w:rPr>
          <w:rStyle w:val="FootnoteReference"/>
        </w:rPr>
        <w:footnoteRef/>
      </w:r>
      <w:r>
        <w:t xml:space="preserve"> </w:t>
      </w:r>
      <w:r>
        <w:t xml:space="preserve">Verifica empirica: poiché il servizio è già attivo in via sperimentale, la verifica non poggia su un dispiegamento scaglionato a partire da zero, ma sul confronto prima-dopo l’attivazione del settembre 2024 e sull’estensione progressiva tra le strutture e le zone, oggetto della Parte L, che configura un disegno quasi a cunei progressivi e riduce l’incertezza sostituendo le stime con misure osservate sui dati toscani.</w:t>
      </w:r>
    </w:p>
  </w:footnote>
  <w:footnote w:id="2458">
    <w:p>
      <w:pPr>
        <w:pStyle w:val="FootnoteText"/>
      </w:pPr>
      <w:r>
        <w:rPr>
          <w:rStyle w:val="FootnoteReference"/>
        </w:rPr>
        <w:footnoteRef/>
      </w:r>
      <w:r>
        <w:t xml:space="preserve"> </w:t>
      </w:r>
      <w:r>
        <w:t xml:space="preserve">Disagio giovanile: è una componente rilevante e in crescita, con fenomeni di ansia e disagio tra gli adolescenti che solo in parte trovano risposta nei servizi; la quota intercettata rappresenta presumibilmente una frazione del bisogno reale.</w:t>
      </w:r>
    </w:p>
  </w:footnote>
  <w:footnote w:id="2459">
    <w:p>
      <w:pPr>
        <w:pStyle w:val="FootnoteText"/>
      </w:pPr>
      <w:r>
        <w:rPr>
          <w:rStyle w:val="FootnoteReference"/>
        </w:rPr>
        <w:footnoteRef/>
      </w:r>
      <w:r>
        <w:t xml:space="preserve"> </w:t>
      </w:r>
      <w:r>
        <w:t xml:space="preserve">Salute mentale connessa al lavoro: nella popolazione attiva, ampia parte dei lavoratori è esposta a fattori di stress correlati al lavoro; l’intercettazione precoce del disagio ha un valore particolarmente elevato in termini di produttività recuperata.</w:t>
      </w:r>
    </w:p>
  </w:footnote>
  <w:footnote w:id="2460">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il tratto più caratteristico del fabbisogno toscano, in una delle regioni più anziane d’Italia, accentuato nelle aree interne e montane, più anziane e a maggiore difficoltà di accesso.</w:t>
      </w:r>
    </w:p>
  </w:footnote>
  <w:footnote w:id="2461">
    <w:p>
      <w:pPr>
        <w:pStyle w:val="FootnoteText"/>
      </w:pPr>
      <w:r>
        <w:rPr>
          <w:rStyle w:val="FootnoteReference"/>
        </w:rPr>
        <w:footnoteRef/>
      </w:r>
      <w:r>
        <w:t xml:space="preserve"> </w:t>
      </w:r>
      <w:r>
        <w:t xml:space="preserve">Tratto distintivo della Toscana rispetto alle altre regioni: la combinazione di un invecchiamento tra i più marcati d’Italia, con ampie aree interne e montane, di una dimensione multiculturale rilevante e della condizione di Regione che ha già istituito il servizio con una legge dedicata e ne ha avviato la sperimentazione, producendo numeri verificabili; il bisogno è quindi accompagnato sia da una base giuridica già acquisita sia da un’esperienza operativa concreta da portare a regime.</w:t>
      </w:r>
    </w:p>
  </w:footnote>
  <w:footnote w:id="2462">
    <w:p>
      <w:pPr>
        <w:pStyle w:val="FootnoteText"/>
      </w:pPr>
      <w:r>
        <w:rPr>
          <w:rStyle w:val="FootnoteReference"/>
        </w:rPr>
        <w:footnoteRef/>
      </w:r>
      <w:r>
        <w:t xml:space="preserve"> </w:t>
      </w:r>
      <w:r>
        <w:t xml:space="preserve">Accessi al pronto soccorso per cause psichiatriche stimati nell’ordine di 30.000 l’anno, per proiezione dai circa 479.000 accessi psichiatrici nazionali rilevati nel 2021 (pari al 3,3% del totale); una quota è riconducibile a disagio comune non intercettato a monte.</w:t>
      </w:r>
    </w:p>
  </w:footnote>
  <w:footnote w:id="2463">
    <w:p>
      <w:pPr>
        <w:pStyle w:val="FootnoteText"/>
      </w:pPr>
      <w:r>
        <w:rPr>
          <w:rStyle w:val="FootnoteReference"/>
        </w:rPr>
        <w:footnoteRef/>
      </w:r>
      <w:r>
        <w:t xml:space="preserve"> </w:t>
      </w:r>
      <w:r>
        <w:t xml:space="preserve">Offerta territoriale: la Toscana ha istituito il servizio di psicologia di base con la legge regionale 39 del 2022 e ne ha avviato la sperimentazione dal settembre 2024, articolandola progressivamente nelle Case della Comunità e nelle Case della Salute, in integrazione con la medicina generale e gratuita per il cittadino. Nei primi diciotto mesi circa 2.300 cittadini hanno avviato un percorso — dell’ordine di mille nell’Azienda USL Toscana Centro, oltre ottocento nella Sud Est e quasi cinquecento nella Nord Ovest. Il servizio opera però su base libero-professionale, in ventuno strutture, e copre una frazione ridotta del fabbisogno.</w:t>
      </w:r>
    </w:p>
  </w:footnote>
  <w:footnote w:id="2464">
    <w:p>
      <w:pPr>
        <w:pStyle w:val="FootnoteText"/>
      </w:pPr>
      <w:r>
        <w:rPr>
          <w:rStyle w:val="FootnoteReference"/>
        </w:rPr>
        <w:footnoteRef/>
      </w:r>
      <w:r>
        <w:t xml:space="preserve"> </w:t>
      </w:r>
      <w:r>
        <w:t xml:space="preserve">Fabbisogno a regime stimato nell’ordine di 790 psicologi (intervallo 750-820). L’Ordine degli Psicologi della Toscana, che ha accompagnato l’attivazione del servizio con un proprio rappresentante nel gruppo di lavoro regionale, ne sostiene la strutturazione a regime con un rapporto stabile, a superamento degli incarichi libero-professionali della fase sperimentale.</w:t>
      </w:r>
    </w:p>
  </w:footnote>
  <w:footnote w:id="2465">
    <w:p>
      <w:pPr>
        <w:pStyle w:val="FootnoteText"/>
      </w:pPr>
      <w:r>
        <w:rPr>
          <w:rStyle w:val="FootnoteReference"/>
        </w:rPr>
        <w:footnoteRef/>
      </w:r>
      <w:r>
        <w:t xml:space="preserve"> </w:t>
      </w:r>
      <w:r>
        <w:t xml:space="preserve">Copertura attuale del fabbisogno ridotta: il servizio è attivo in via sperimentale ma dimensionato a una frazione del bisogno potenziale, dell’ordine del cinque per cento; i numeri della sperimentazione — circa 2.300 cittadini in diciotto mesi — dimostrano la capacità di intercettazione del modello, ma anche la distanza dalla copertura del fabbisogno.</w:t>
      </w:r>
    </w:p>
  </w:footnote>
  <w:footnote w:id="2466">
    <w:p>
      <w:pPr>
        <w:pStyle w:val="FootnoteText"/>
      </w:pPr>
      <w:r>
        <w:rPr>
          <w:rStyle w:val="FootnoteReference"/>
        </w:rPr>
        <w:footnoteRef/>
      </w:r>
      <w:r>
        <w:t xml:space="preserve"> </w:t>
      </w:r>
      <w:r>
        <w:t xml:space="preserve">Disuguaglianze e divari territoriali: il divario rilevante in Toscana si articola su più assi — la dualità fra l’area metropolitana centrale, lungo l’asse Firenze-Prato-Pisa, e le aree interne e montane, anziane e in spopolamento, dove l’accesso è strutturalmente più difficoltoso; la dimensione multiculturale, con la necessità di competenza culturale soprattutto nell’area pratese; e la pressione delle liste di attesa. La telepsicologia assistita è lo strumento per avvicinare l’offerta alle aree interne, e la sperimentazione ha già mostrato adesione anche nei piccoli centri e nelle zone montane.</w:t>
      </w:r>
    </w:p>
  </w:footnote>
  <w:footnote w:id="2467">
    <w:p>
      <w:pPr>
        <w:pStyle w:val="FootnoteText"/>
      </w:pPr>
      <w:r>
        <w:rPr>
          <w:rStyle w:val="FootnoteReference"/>
        </w:rPr>
        <w:footnoteRef/>
      </w:r>
      <w:r>
        <w:t xml:space="preserve"> </w:t>
      </w:r>
      <w:r>
        <w:t xml:space="preserve">Finanziamento del Servizio sanitario regionale dell’ordine di 8 miliardi di euro; la Toscana non è soggetta a un piano di rientro, ma opera, come gran parte delle regioni, sotto pressione finanziaria, con la riduzione delle liste di attesa indicata come priorità. Il Piano Sanitario e Sociale Integrato Regionale 2024-2026 è stato approvato con deliberazione del Consiglio regionale 67 del 30 luglio 2025.</w:t>
      </w:r>
    </w:p>
  </w:footnote>
  <w:footnote w:id="2468">
    <w:p>
      <w:pPr>
        <w:pStyle w:val="FootnoteText"/>
      </w:pPr>
      <w:r>
        <w:rPr>
          <w:rStyle w:val="FootnoteReference"/>
        </w:rPr>
        <w:footnoteRef/>
      </w:r>
      <w:r>
        <w:t xml:space="preserve"> </w:t>
      </w:r>
      <w:r>
        <w:t xml:space="preserve">Mobilità sanitaria a saldo nettamente attivo, dell’ordine di 58 milioni di euro nel 2023, che colloca la Toscana tra le regioni più attrattive d’Italia, dopo Lombardia, Emilia-Romagna e Veneto; l’attrazione è trainata dalle grandi Aziende Ospedaliero-Universitarie — Careggi, Pisana, Senese — in specialità quali la gastroenterologia, l’oculistica, l’ortopedia e la neurologia. Poiché la regione è già creditrice, il canale del recupero della mobilità, centrale per le regioni debitrici del Mezzogiorno, non costituisce qui una leva di risparmio.</w:t>
      </w:r>
    </w:p>
  </w:footnote>
  <w:footnote w:id="2469">
    <w:p>
      <w:pPr>
        <w:pStyle w:val="FootnoteText"/>
      </w:pPr>
      <w:r>
        <w:rPr>
          <w:rStyle w:val="FootnoteReference"/>
        </w:rPr>
        <w:footnoteRef/>
      </w:r>
      <w:r>
        <w:t xml:space="preserve"> </w:t>
      </w:r>
      <w:r>
        <w:t xml:space="preserve">Cornice normativa e programmatica: la Toscana dispone di una legge regionale dedicata, la legge 39 del 2022, attuata con il regolamento di cui alla deliberazione 43 del 22 gennaio 2024 e fondata sugli indirizzi operativi dell’Organismo Toscano di Governo Clinico (decisione 17 del 2023); con la deliberazione 1601 del 2023 sono stati fissati criteri e requisiti, e con la deliberazione 244 del 2025 la sperimentazione è stata estesa a tutte e tre le Aziende USL e prorogata. La cornice include il Decreto Ministeriale 77/2022 sugli standard dell’assistenza territoriale; sul piano nazionale, il testo unificato C. 1140, il Piano Nazionale per la Salute Mentale e la sentenza della Corte Costituzionale n. 241 del 2021 sulla competenza regionale. A differenza di altre regioni, in Toscana una legge regionale dedicata è già vigente.</w:t>
      </w:r>
    </w:p>
  </w:footnote>
  <w:footnote w:id="2470">
    <w:p>
      <w:pPr>
        <w:pStyle w:val="FootnoteText"/>
      </w:pPr>
      <w:r>
        <w:rPr>
          <w:rStyle w:val="FootnoteReference"/>
        </w:rPr>
        <w:footnoteRef/>
      </w:r>
      <w:r>
        <w:t xml:space="preserve"> </w:t>
      </w:r>
      <w:r>
        <w:t xml:space="preserve">Popolazione residente in Toscana 3.657.716 abitanti (Censimento permanente ISTAT al 31 dicembre 2024), pari a circa il 6,2% della popolazione nazionale, in lieve calo rispetto all’anno precedente; la popolazione è segnata da un marcato invecchiamento e da bassa natalità, con proiezioni che indicano una perdita dell’ordine del quattro per cento dei residenti al 2040 e del dodici per cento al 2060. Circa la metà della popolazione risiede nelle province di Firenze, Pisa e Lucca, lungo l’asse urbano centrale che congiunge Firenze, Prato, Pistoia ed Empoli; il restante è distribuito tra le altre sette province, con una quota significativa in aree interne e montane.</w:t>
      </w:r>
    </w:p>
  </w:footnote>
  <w:footnote w:id="2471">
    <w:p>
      <w:pPr>
        <w:pStyle w:val="FootnoteText"/>
      </w:pPr>
      <w:r>
        <w:rPr>
          <w:rStyle w:val="FootnoteReference"/>
        </w:rPr>
        <w:footnoteRef/>
      </w:r>
    </w:p>
  </w:footnote>
  <w:footnote w:id="2472">
    <w:p>
      <w:pPr>
        <w:pStyle w:val="FootnoteText"/>
      </w:pPr>
      <w:r>
        <w:rPr>
          <w:rStyle w:val="FootnoteReference"/>
        </w:rPr>
        <w:footnoteRef/>
      </w:r>
      <w:r>
        <w:t xml:space="preserve"> </w:t>
      </w:r>
      <w:r>
        <w:t xml:space="preserve">Popolazione residente in Toscana 3.657.716 abitanti (Censimento permanente ISTAT al 31 dicembre 2024), pari a circa il 6,2% della popolazione nazionale, in lieve calo rispetto all’anno precedente; la popolazione è segnata da un marcato invecchiamento e da bassa natalità, con proiezioni che indicano una perdita dell’ordine del quattro per cento dei residenti al 2040 e del dodici per cento al 2060. Circa la metà della popolazione risiede nelle province di Firenze, Pisa e Lucca, lungo l’asse urbano centrale che congiunge Firenze, Prato, Pistoia ed Empoli; il restante è distribuito tra le altre sette province, con una quota significativa in aree interne e montane.Questa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2473">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Toscana il rischio di povertà o esclusione è contenuto in aggregato, sicché il gradiente socio-economico non è il tratto distintivo dell’equità; prevalgono tre dimensioni diverse: la dualità fra l’area metropolitana centrale e le aree interne e montane, anziane e in spopolamento; l’invecchiamento della popolazione, tra i più marcati d’Italia; e una rilevante dimensione multiculturale, che richiede competenza culturale soprattutto nell’area pratese.</w:t>
      </w:r>
    </w:p>
  </w:footnote>
  <w:footnote w:id="2474">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Toscana rilevano in particolare l’abbattimento della barriera geografica nelle aree interne e montane — come l’Amiata, la Garfagnana e la Lunigiana — dove la distanza dai servizi è il principale ostacolo, integrato dalla telepsicologia, e l’abbattimento della barriera culturale e linguistica per l’utenza straniera.</w:t>
      </w:r>
    </w:p>
  </w:footnote>
  <w:footnote w:id="2475">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interne e montane, accessibilità culturale e linguistica, equità di esito tra gruppi, equità di genere, accesso per l’età anziana, per i gruppi fragili e le persone con disabilità, gratuità per i gruppi vulnerabili, copertura del bisogno non soddisfatto.</w:t>
      </w:r>
    </w:p>
  </w:footnote>
  <w:footnote w:id="2476">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2477">
    <w:p>
      <w:pPr>
        <w:pStyle w:val="FootnoteText"/>
      </w:pPr>
      <w:r>
        <w:rPr>
          <w:rStyle w:val="FootnoteReference"/>
        </w:rPr>
        <w:footnoteRef/>
      </w:r>
      <w:r>
        <w:t xml:space="preserve"> </w:t>
      </w:r>
      <w:r>
        <w:t xml:space="preserve">Direzione del risultato distributivo: poiché il guadagno di accesso è più ampio dove l’accesso è oggi più difficile — le aree interne e montane, l’età anziana, l’utenza straniera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2478">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Toscana, ove la popolazione non è prevalentemente deprivata, l’effetto della ponderazione sarebbe più contenuto che nel Mezzogiorno, il che rende la scelta non ponderata tanto più prudente.</w:t>
      </w:r>
    </w:p>
  </w:footnote>
  <w:footnote w:id="2479">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ciascuna zona-distretto per l’indice di vecchiaia, l’indice di deprivazione socioeconomica, la prevalenza di cronicità e multimorbidità e la presenza straniera, attribuendo pesi maggiori alle aree interne e montane e anziane e alle aree a forte presenza multiculturale; in Toscana l’indice di vecchiaia è il fattore di ponderazione di maggior peso, affiancato dalla presenza straniera nell’area centrale.</w:t>
      </w:r>
    </w:p>
  </w:footnote>
  <w:footnote w:id="2480">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2481">
    <w:p>
      <w:pPr>
        <w:pStyle w:val="FootnoteText"/>
      </w:pPr>
      <w:r>
        <w:rPr>
          <w:rStyle w:val="FootnoteReference"/>
        </w:rPr>
        <w:footnoteRef/>
      </w:r>
      <w:r>
        <w:t xml:space="preserve"> </w:t>
      </w:r>
      <w:r>
        <w:t xml:space="preserve">Divari territoriali in Toscana: il divario rilevante non è quello Nord-Sud, ma quello interno tra l’area metropolitana centrale, lungo l’asse Firenze-Prato-Pisa, densa e ben servita, e le aree interne e montane, a popolazione anziana e dispersa e in spopolamento. In queste aree la sola presenza fisica di un primo livello accessibile costituisce già un atto di riequilibrio, integrato dalla telepsicologia; la sperimentazione ha già mostrato adesione anche nei piccoli centri e nelle zone montane.</w:t>
      </w:r>
    </w:p>
  </w:footnote>
  <w:footnote w:id="2482">
    <w:p>
      <w:pPr>
        <w:pStyle w:val="FootnoteText"/>
      </w:pPr>
      <w:r>
        <w:rPr>
          <w:rStyle w:val="FootnoteReference"/>
        </w:rPr>
        <w:footnoteRef/>
      </w:r>
      <w:r>
        <w:t xml:space="preserve"> </w:t>
      </w:r>
      <w:r>
        <w:t xml:space="preserve">Liste di attesa, uniformità del servizio e aree interne quali dimensioni di equità: in Toscana, dove il canale della mobilità recuperata è inapplicabile perché la regione è creditrice, le principali leve distributive sono la riduzione delle liste di attesa, che oggi penalizzano chi non può ricorrere al privato, l’estensione uniforme del servizio dalla sperimentazione in ventuno strutture a tutte le Case della Comunità delle tre Aziende USL, e l’accesso nelle aree interne e montane.</w:t>
      </w:r>
    </w:p>
  </w:footnote>
  <w:footnote w:id="2483">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2484">
    <w:p>
      <w:pPr>
        <w:pStyle w:val="FootnoteText"/>
      </w:pPr>
      <w:r>
        <w:rPr>
          <w:rStyle w:val="FootnoteReference"/>
        </w:rPr>
        <w:footnoteRef/>
      </w:r>
      <w:r>
        <w:t xml:space="preserve"> </w:t>
      </w:r>
      <w:r>
        <w:t xml:space="preserve">Copertura del bisogno non soddisfatto come equità: intercettare la quota inevasa del disagio — dell’ordine di 730.000 persone, in larga parte non intercettata — significa raggiungere proprio coloro che hanno minore probabilità di accedere spontaneamente ai servizi.</w:t>
      </w:r>
    </w:p>
  </w:footnote>
  <w:footnote w:id="2485">
    <w:p>
      <w:pPr>
        <w:pStyle w:val="FootnoteText"/>
      </w:pPr>
      <w:r>
        <w:rPr>
          <w:rStyle w:val="FootnoteReference"/>
        </w:rPr>
        <w:footnoteRef/>
      </w:r>
      <w:r>
        <w:t xml:space="preserve"> </w:t>
      </w:r>
      <w:r>
        <w:t xml:space="preserve">Collegamento al monitoraggio: gli indicatori di equità — accesso per area e per livello socio-economico, accesso dell’età anziana e dell’utenza straniera, gradiente dell’esito, tempi di attesa per area — fanno parte del sistema di indicatori della Parte L, e consentono di accertare nel tempo se il servizio raggiunga le comunità interne e montane più distanti e i gruppi più fragili.</w:t>
      </w:r>
    </w:p>
  </w:footnote>
  <w:footnote w:id="2486">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2487">
    <w:p>
      <w:pPr>
        <w:pStyle w:val="FootnoteText"/>
      </w:pPr>
      <w:r>
        <w:rPr>
          <w:rStyle w:val="FootnoteReference"/>
        </w:rPr>
        <w:footnoteRef/>
      </w:r>
    </w:p>
  </w:footnote>
  <w:footnote w:id="2488">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489">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2490">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2491">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2492">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2493">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2494">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2495">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toscano, fondato anch’esso sulle ricadute sociali.</w:t>
      </w:r>
    </w:p>
  </w:footnote>
  <w:footnote w:id="2496">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497">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2498">
    <w:p>
      <w:pPr>
        <w:pStyle w:val="FootnoteText"/>
      </w:pPr>
      <w:r>
        <w:rPr>
          <w:rStyle w:val="FootnoteReference"/>
        </w:rPr>
        <w:footnoteRef/>
      </w:r>
    </w:p>
  </w:footnote>
  <w:footnote w:id="2499">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2500">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2501">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2502">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2503">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2504">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2505">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la Toscana ha esercitato tale competenza nella forma più piena, approvando una legge regionale dedicata che istituisce il servizio, e non con un mero atto amministrativo.</w:t>
      </w:r>
    </w:p>
  </w:footnote>
  <w:footnote w:id="2506">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2507">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che conforta in modo specifico la scelta della Toscana, la quale ha consolidato proprio quel modello in una legge regionale dedicata.</w:t>
      </w:r>
    </w:p>
  </w:footnote>
  <w:footnote w:id="2508">
    <w:p>
      <w:pPr>
        <w:pStyle w:val="FootnoteText"/>
      </w:pPr>
      <w:r>
        <w:rPr>
          <w:rStyle w:val="FootnoteReference"/>
        </w:rPr>
        <w:footnoteRef/>
      </w:r>
      <w:r>
        <w:t xml:space="preserve"> </w:t>
      </w:r>
      <w:r>
        <w:t xml:space="preserve">Base giuridica regionale della Toscana: il servizio è istituito dalla legge regionale 15 novembre 2022, n. 39, attuata con il regolamento di cui alla deliberazione 43 del 22 gennaio 2024 e fondata sugli indirizzi operativi dell’Organismo Toscano di Governo Clinico; con successive deliberazioni la sperimentazione è stata avviata, estesa a tutte e tre le Aziende USL e prorogata. A differenza del Veneto, la Toscana non dispone di un’azienda regionale unica, e la cornice di coordinamento è costituita dalla Regione, dalle tre Aziende USL e dall’organismo di governo clinico. La decisione non verte sul prevedere la funzione né sul dotarla di una legge, già esistente, ma sul portarla dalla sperimentazione alla strutturazione a regime e sul dimensionarla.</w:t>
      </w:r>
    </w:p>
  </w:footnote>
  <w:footnote w:id="2509">
    <w:p>
      <w:pPr>
        <w:pStyle w:val="FootnoteText"/>
      </w:pPr>
      <w:r>
        <w:rPr>
          <w:rStyle w:val="FootnoteReference"/>
        </w:rPr>
        <w:footnoteRef/>
      </w:r>
      <w:r>
        <w:t xml:space="preserve"> </w:t>
      </w:r>
      <w:r>
        <w:t xml:space="preserve">Vincolo di destinazione delle risorse: il principio per cui i fondi del Servizio sanitario devono essere destinati alla garanzia dei livelli essenziali è rispettato dalla riforma, di costo contenuto e relativa a un servizio di primo livello delle cure primarie. La Toscana non è sottoposta a piano di rientro ed è regione creditrice nella mobilità, ma opera sotto pressione finanziaria; l’investimento incrementale necessario alla strutturazione a regime è coerente con tale principio.</w:t>
      </w:r>
    </w:p>
  </w:footnote>
  <w:footnote w:id="2510">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della Toscana, che ha accompagnato l’attivazione del servizio con un proprio rappresentante nel gruppo di lavoro regionale e concorre alla governance e alla formazione.</w:t>
      </w:r>
    </w:p>
  </w:footnote>
  <w:footnote w:id="2511">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2512">
    <w:p>
      <w:pPr>
        <w:pStyle w:val="FootnoteText"/>
      </w:pPr>
      <w:r>
        <w:rPr>
          <w:rStyle w:val="FootnoteReference"/>
        </w:rPr>
        <w:footnoteRef/>
      </w:r>
      <w:r>
        <w:t xml:space="preserve"> </w:t>
      </w:r>
      <w:r>
        <w:t xml:space="preserve">Conformità degli strumenti di IA: il regolamento europeo sull’intelligenza artificiale, in vigore dal 2025, classifica come ad alto rischio i sistemi impiegati nei dispositivi medici, con obblighi differiti oltre il 2027;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2513">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interne e montane — e il supporto multilingue per la popolazione straniera, particolarmente rilevante nell’area centrale, ferma restando la garanzia dell’alternativa in presenza.</w:t>
      </w:r>
    </w:p>
  </w:footnote>
  <w:footnote w:id="2514">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2515">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2516">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ad esse si aggiunge oggi, come riferimento italiano fondato su una legge regionale dedicata, la sperimentazione toscana avviata in attuazione della legge 39 del 2022. I dati delle sperimentazioni storiche derivano però da campioni limitati e in parte da letteratura grigia, e vanno assunti con la dovuta cautela.</w:t>
      </w:r>
    </w:p>
  </w:footnote>
  <w:footnote w:id="2517">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518">
    <w:p>
      <w:pPr>
        <w:pStyle w:val="FootnoteText"/>
      </w:pPr>
      <w:r>
        <w:rPr>
          <w:rStyle w:val="FootnoteReference"/>
        </w:rPr>
        <w:footnoteRef/>
      </w:r>
      <w:r>
        <w:t xml:space="preserve"> </w:t>
      </w:r>
      <w:r>
        <w:t xml:space="preserve">Evidenza locale toscana: la Toscana dispone di una base di evidenza locale peculiare, costituita dalla sperimentazione del servizio di psicologia di base avviata in attuazione della legge regionale 39 del 2022, attiva dal settembre 2024 e progressivamente estesa, che nei primi diciotto mesi ha preso in carico circa 2.300 cittadini con una valutazione positiva; è un’esperienza italiana fondata su una legge dedicata, che fornisce dati di esito reale da analizzare e valorizzare sistematicamente nel disegno del servizio strutturato.</w:t>
      </w:r>
    </w:p>
  </w:footnote>
  <w:footnote w:id="2519">
    <w:p>
      <w:pPr>
        <w:pStyle w:val="FootnoteText"/>
      </w:pPr>
      <w:r>
        <w:rPr>
          <w:rStyle w:val="FootnoteReference"/>
        </w:rPr>
        <w:footnoteRef/>
      </w:r>
      <w:r>
        <w:t xml:space="preserve"> </w:t>
      </w:r>
      <w:r>
        <w:t xml:space="preserve">Condizioni toscane favorevoli alla trasferibilità: il vantaggio peculiare della Toscana è di non dover trasferire soltanto stime estere, ma di poter validare il modello sui propri dati operativi; a ciò si aggiungono l’infrastruttura informatica regionale, la rete delle Case della Comunità e delle Case della Salute e la struttura amministrativa consolidata in sole tre Aziende USL, che costituiscono un terreno favorevole alla valutazione rigorosa di un modello già in esercizio.</w:t>
      </w:r>
    </w:p>
  </w:footnote>
  <w:footnote w:id="2520">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3,8:1-5,5:1.</w:t>
      </w:r>
    </w:p>
  </w:footnote>
  <w:footnote w:id="2521">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 Toscana presenta un saldo di mobilità sanitaria nettamente attivo, dell’ordine di 58 milioni di euro, che la colloca tra le regioni più attrattive, trainata dalle grandi Aziende Ospedaliero-Universitarie: a differenza di una regione passiva, il canale del recupero della mobilità non costituisce qui una leva di risparmio, poiché la regione è già creditrice e l’attrazione riguarda la specialistica e il ricovero, non la domanda psicologica. Ne consegue che il saldo diretto risulta lievemente negativo e che il caso economico poggia in misura preponderante sulle ricadute sociali, stimate con criteri conservativi; in un contesto di pressione finanziaria e di liste di attesa, tuttavia, il contenimento della domanda impropria assume una salienza diretta.</w:t>
      </w:r>
    </w:p>
  </w:footnote>
  <w:footnote w:id="2522">
    <w:p>
      <w:pPr>
        <w:pStyle w:val="FootnoteText"/>
      </w:pPr>
      <w:r>
        <w:rPr>
          <w:rStyle w:val="FootnoteReference"/>
        </w:rPr>
        <w:footnoteRef/>
      </w:r>
      <w:r>
        <w:t xml:space="preserve"> </w:t>
      </w:r>
      <w:r>
        <w:t xml:space="preserve">I valori economici oggi impiegati sono in parte ricostruiti dai conti nazionali per quota di popolazione (6,2%) e non estratti dai conti regionali certificati delle tre Aziende USL e delle quattro Aziende Ospedaliero-Universitarie: è la lacuna prioritaria dello studio, da colmare prima della presentazione esterna; in Toscana, tuttavia, essa è mitigata dalla disponibilità dei dati operativi reali prodotti dalla sperimentazione già in corso.</w:t>
      </w:r>
    </w:p>
  </w:footnote>
  <w:footnote w:id="2523">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524">
    <w:p>
      <w:pPr>
        <w:pStyle w:val="FootnoteText"/>
      </w:pPr>
      <w:r>
        <w:rPr>
          <w:rStyle w:val="FootnoteReference"/>
        </w:rPr>
        <w:footnoteRef/>
      </w:r>
      <w:r>
        <w:t xml:space="preserve"> </w:t>
      </w:r>
      <w:r>
        <w:t xml:space="preserve">Valutazione controfattuale d’impatto: poiché il servizio è già attivo in forma sperimentale, il disegno non può fondarsi su un dispiegamento scaglionato a partire da zero; esso sfrutta tre elementi. Il primo è il confronto prima-dopo l’attivazione del settembre 2024. Il secondo è l’estensione scaglionata tra le strutture e le zone — da Firenze Centro nell’autunno 2024, alle ulteriori dieci sedi dal marzo 2025, fino alle ventuno strutture del 2026 — che configura un disegno quasi a cunei progressivi, prezioso per l’inferenza. Il terzo è l’eterogeneità dell’intensità di copertura. L’effetto causale è stimato con i metodi della differenza-nelle-differenze e del controllo sintetico; il vantaggio peculiare della Toscana è la disponibilità di dati italiani di esito reale.</w:t>
      </w:r>
    </w:p>
  </w:footnote>
  <w:footnote w:id="2525">
    <w:p>
      <w:pPr>
        <w:pStyle w:val="FootnoteText"/>
      </w:pPr>
      <w:r>
        <w:rPr>
          <w:rStyle w:val="FootnoteReference"/>
        </w:rPr>
        <w:footnoteRef/>
      </w:r>
      <w:r>
        <w:t xml:space="preserve"> </w:t>
      </w:r>
      <w:r>
        <w:t xml:space="preserve">La valutazione è governata da un comitato di indirizzo — Regione, tre Aziende USL, quattro Aziende Ospedaliero-Universitarie, Organismo Toscano di Governo Clinico, Ente di Supporto Tecnico-Amministrativo Regionale, Ordine degli Psicologi della Toscana, rappresentanze della medicina generale e della pediatria di libera scelta e università di Firenze, Pisa e Siena. A differenza del Veneto, la Toscana non dispone di un’azienda regionale unica, ma presenta la struttura più consolidata tra le regioni esaminate, con sole tre grandi Aziende USL accorpate dal 2016 e un ente regionale di supporto tecnico-amministrativo; il coordinamento avviene attraverso la Regione e tale assetto, unito a una legge già vigente, rende la sfida del governo quella di strutturare e dimensionare un servizio già avviato, non di introdurlo.</w:t>
      </w:r>
    </w:p>
  </w:footnote>
  <w:footnote w:id="2526">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2527">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L’infrastruttura informatica regionale costituisce una base per la loro adozione.</w:t>
      </w:r>
    </w:p>
  </w:footnote>
  <w:footnote w:id="2528">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529">
    <w:p>
      <w:pPr>
        <w:pStyle w:val="FootnoteText"/>
      </w:pPr>
      <w:r>
        <w:rPr>
          <w:rStyle w:val="FootnoteReference"/>
        </w:rPr>
        <w:footnoteRef/>
      </w:r>
    </w:p>
  </w:footnote>
  <w:footnote w:id="2530">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2531">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 per la Toscana la dimensione del mantenimento è dirimente, trattandosi di consolidare a regime un servizio già avviato in via sperimentale.</w:t>
      </w:r>
    </w:p>
  </w:footnote>
  <w:footnote w:id="2532">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2533">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dimensionamento, il numero di psicologi reclutati e formati, la qualità della formazione e della supervisione, il grado di integrazione nei flussi di lavoro, l’aderenza ai percorsi e la scalabilità.</w:t>
      </w:r>
    </w:p>
  </w:footnote>
  <w:footnote w:id="2534">
    <w:p>
      <w:pPr>
        <w:pStyle w:val="FootnoteText"/>
      </w:pPr>
      <w:r>
        <w:rPr>
          <w:rStyle w:val="FootnoteReference"/>
        </w:rPr>
        <w:footnoteRef/>
      </w:r>
      <w:r>
        <w:t xml:space="preserve"> </w:t>
      </w:r>
      <w:r>
        <w:t xml:space="preserve">Disegno del dimensionamento in Toscana: poiché il servizio è già attivo in via sperimentale in ventuno strutture delle tre Aziende USL, il dispiegamento non procede da zero, ma consiste nell’estensione progressiva della copertura — oggi dell’ordine del 5% del fabbisogno — a tutte le Case della Comunità verso il regime, per fasi semestrali e a partire dalle zone di maggiore prontezza, sotto il coordinamento unitario della Regione e secondo criteri trasparenti.</w:t>
      </w:r>
    </w:p>
  </w:footnote>
  <w:footnote w:id="2535">
    <w:p>
      <w:pPr>
        <w:pStyle w:val="FootnoteText"/>
      </w:pPr>
      <w:r>
        <w:rPr>
          <w:rStyle w:val="FootnoteReference"/>
        </w:rPr>
        <w:footnoteRef/>
      </w:r>
      <w:r>
        <w:t xml:space="preserve"> </w:t>
      </w:r>
      <w:r>
        <w:t xml:space="preserve">Doppia funzione del dimensionamento progressivo: esso risponde a un’esigenza organizzativa — accrescere la copertura in modo graduale, compatibile con i tempi del reclutamento e della formazione — e al tempo stesso, insieme al confronto prima-dopo l’attivazione del settembre 2024 e alla progressione per cunei tra le strutture, fonda la valutazione controfattuale d’impatto basata sull’eterogeneità dell’intensità di copertura, oggetto della Parte L.</w:t>
      </w:r>
    </w:p>
  </w:footnote>
  <w:footnote w:id="2536">
    <w:p>
      <w:pPr>
        <w:pStyle w:val="FootnoteText"/>
      </w:pPr>
      <w:r>
        <w:rPr>
          <w:rStyle w:val="FootnoteReference"/>
        </w:rPr>
        <w:footnoteRef/>
      </w:r>
      <w:r>
        <w:t xml:space="preserve"> </w:t>
      </w:r>
      <w:r>
        <w:t xml:space="preserve">Reclutamento: a fronte di un fabbisogno a regime dell’ordine di 790 psicologi, il reclutamento avviene tramite l’iscrizione a un elenco istituito presso ciascuna azienda e l’instaurazione di un rapporto convenzionale, con requisiti di iscrizione all’albo e di formazione specifica; in prima applicazione si valorizzano i professionisti già operanti nella sperimentazione, oggi con incarichi libero-professionali a venticinque ore, dei quali la strutturazione a regime stabilizzerebbe la posizione.</w:t>
      </w:r>
    </w:p>
  </w:footnote>
  <w:footnote w:id="2537">
    <w:p>
      <w:pPr>
        <w:pStyle w:val="FootnoteText"/>
      </w:pPr>
      <w:r>
        <w:rPr>
          <w:rStyle w:val="FootnoteReference"/>
        </w:rPr>
        <w:footnoteRef/>
      </w:r>
      <w:r>
        <w:t xml:space="preserve"> </w:t>
      </w:r>
      <w:r>
        <w:t xml:space="preserve">Cronoprogramma: il dimensionamento procede per fasi semestrali, accrescendo progressivamente la copertura in tutte le Aziende USL; le attività di reclutamento, formazione e consolidamento sono condotte in modo graduale, mentre il monitoraggio e la valutazione accompagnano l’intero arco e proseguono oltre il raggiungimento del regime.</w:t>
      </w:r>
    </w:p>
  </w:footnote>
  <w:footnote w:id="2538">
    <w:p>
      <w:pPr>
        <w:pStyle w:val="FootnoteText"/>
      </w:pPr>
      <w:r>
        <w:rPr>
          <w:rStyle w:val="FootnoteReference"/>
        </w:rPr>
        <w:footnoteRef/>
      </w:r>
      <w:r>
        <w:t xml:space="preserve"> </w:t>
      </w:r>
      <w:r>
        <w:t xml:space="preserve">Soglia di riuscita: tra i parametri che muterebbero le conclusioni figura un tasso di recupero inferiore al 50% nella fase di dimensionamento, a fronte del valore di riferimento del programma inglese; il monitoraggio è chiamato a verificarne il raggiungimento sui dati toscani, di cui la sperimentazione già attiva costituisce una prima fonte.</w:t>
      </w:r>
    </w:p>
  </w:footnote>
  <w:footnote w:id="2539">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22, 33 e 44 milioni già esposti nella Parte E; il passaggio dagli attuali incarichi libero-professionali della sperimentazione a un rapporto convenzionale stabile — analogo a quello dei medici di medicina generale — è il nodo specifico della Toscana e non richiede la creazione di nuove figure.</w:t>
      </w:r>
    </w:p>
  </w:footnote>
  <w:footnote w:id="2540">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tre Aziende USL, le quattro Aziende Ospedaliero-Universitarie, l’Organismo Toscano di Governo Clinico, l’ente regionale di supporto tecnico-amministrativo, l’Ordine degli Psicologi della Toscana, la medicina generale, la pediatria di libera scelta e le università di Firenze, Pisa e Siena; a livello aziendale, ciascuna Azienda USL è responsabile dell’attuazione nel proprio ambito, secondo l’indirizzo unitario della Regione. A differenza del Veneto, la Toscana non dispone di un’azienda regionale unica, ma la struttura consolidata in sole tre Aziende USL agevola il coordinamento.</w:t>
      </w:r>
    </w:p>
  </w:footnote>
  <w:footnote w:id="2541">
    <w:p>
      <w:pPr>
        <w:pStyle w:val="FootnoteText"/>
      </w:pPr>
      <w:r>
        <w:rPr>
          <w:rStyle w:val="FootnoteReference"/>
        </w:rPr>
        <w:footnoteRef/>
      </w:r>
      <w:r>
        <w:t xml:space="preserve"> </w:t>
      </w:r>
      <w:r>
        <w:t xml:space="preserve">Rischi attuativi e misure di mitigazione: il rischio più specifico della Toscana è la precarietà della fase sperimentale, affidata a incarichi libero-professionali dipendenti da rifinanziamenti periodici; ad esso si aggiungono il reclutamento insufficiente, la debole adesione della medicina generale e l’interoperabilità incompleta dei sistemi informativi. Poiché la legge è già vigente, la principale misura di mitigazione è la strutturazione a regime con un rapporto convenzionale stabile, a superamento degli incarichi libero-professionali; il dimensionamento graduale consente inoltre di osservare, correggere e adattare.</w:t>
      </w:r>
    </w:p>
  </w:footnote>
  <w:footnote w:id="2542">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8 miliardi di euro, di cui una quota è già destinata alla sperimentazione attiva, la Missione 6 del Piano Nazionale di Ripresa e Resilienza per l’infrastruttura territoriale e digitale, e un eventuale fondo statale a sostegno dei livelli essenziali.</w:t>
      </w:r>
    </w:p>
  </w:footnote>
  <w:footnote w:id="2543">
    <w:p>
      <w:pPr>
        <w:pStyle w:val="FootnoteText"/>
      </w:pPr>
      <w:r>
        <w:rPr>
          <w:rStyle w:val="FootnoteReference"/>
        </w:rPr>
        <w:footnoteRef/>
      </w:r>
      <w:r>
        <w:t xml:space="preserve"> </w:t>
      </w:r>
      <w:r>
        <w:t xml:space="preserve">Vincoli di bilancio: la Toscana opera sotto pressione finanziaria, pur non essendo in piano di rientro ed essendo regione creditrice; il costo del servizio, anche a massima copertura, costituisce una frazione dell’ordine di mezzo punto percentuale del finanziamento, ed essendone già a bilancio una quota, l’investimento incrementale è quello necessario a colmare il divario verso il fabbisogno, sostenibile a condizione di prudenza nella programmazione.</w:t>
      </w:r>
    </w:p>
  </w:footnote>
  <w:footnote w:id="2544">
    <w:p>
      <w:pPr>
        <w:pStyle w:val="FootnoteText"/>
      </w:pPr>
      <w:r>
        <w:rPr>
          <w:rStyle w:val="FootnoteReference"/>
        </w:rPr>
        <w:footnoteRef/>
      </w:r>
      <w:r>
        <w:t xml:space="preserve"> </w:t>
      </w:r>
      <w:r>
        <w:t xml:space="preserve">Sostenibilità nel tempo (criterio OCSE-DAC): per la Toscana la leva decisiva della sostenibilità non è l’istituzionalizzazione per legge, già acquisita, ma la strutturazione a regime con un rapporto convenzionale stabile, che sottrarrebbe il servizio alla precarietà dei rifinanziamenti periodici; vi concorrono la modestia del costo rispetto al bilancio, il forte ritorno sociale documentato e le economie di scala consentite dalla struttura consolidata in tre Aziende USL.</w:t>
      </w:r>
    </w:p>
  </w:footnote>
  <w:footnote w:id="2545">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toscani, prevista dalla Parte L e fondata sul confronto prima-dopo e sull’intensità di copertura, è chiamata a sostituire progressivamente le stime con misure osservate.</w:t>
      </w:r>
    </w:p>
  </w:footnote>
  <w:footnote w:id="2546">
    <w:p>
      <w:pPr>
        <w:pStyle w:val="FootnoteText"/>
      </w:pPr>
      <w:r>
        <w:rPr>
          <w:rStyle w:val="FootnoteReference"/>
        </w:rPr>
        <w:footnoteRef/>
      </w:r>
      <w:r>
        <w:t xml:space="preserve"> </w:t>
      </w:r>
      <w:r>
        <w:t xml:space="preserve">Aspettativa di vita alla nascita dell’ordine degli ottantatré anni, in linea con la media nazionale; la struttura per età è tra le più anziane del Paese, con una quota di ultrasessantacinquenni intorno al ventisei per cento, e le proiezioni indicano una perdita dell’ordine del quattro per cento dei residenti al 2040 e del dodici per cento al 2060.</w:t>
      </w:r>
    </w:p>
  </w:footnote>
  <w:footnote w:id="2547">
    <w:p>
      <w:pPr>
        <w:pStyle w:val="FootnoteText"/>
      </w:pPr>
      <w:r>
        <w:rPr>
          <w:rStyle w:val="FootnoteReference"/>
        </w:rPr>
        <w:footnoteRef/>
      </w:r>
      <w:r>
        <w:t xml:space="preserve"> </w:t>
      </w:r>
      <w:r>
        <w:t xml:space="preserve">Componente straniera dell’ordine dell’11,8% dei residenti (433.381 persone), superiore alla media nazionale, con prevalenza di cittadinanze romena, cinese e albanese; oltre la metà risiede nelle province di Firenze, Prato e Pisa, con una concentrazione particolarmente elevata a Prato, dove la componente cinese costituisce la maggioranza degli stranieri residenti. A differenza di altre regioni, la dimensione multiculturale è in Toscana un tratto rilevante del bisogno, che richiede competenza culturale nell’assistenza.</w:t>
      </w:r>
    </w:p>
  </w:footnote>
  <w:footnote w:id="2548">
    <w:p>
      <w:pPr>
        <w:pStyle w:val="FootnoteText"/>
      </w:pPr>
      <w:r>
        <w:rPr>
          <w:rStyle w:val="FootnoteReference"/>
        </w:rPr>
        <w:footnoteRef/>
      </w:r>
      <w:r>
        <w:t xml:space="preserve"> </w:t>
      </w:r>
      <w:r>
        <w:t xml:space="preserve">Articolazione del territorio in dieci province: circa la metà dei residenti vive nelle province di Firenze, Pisa e Lucca, lungo l’asse urbano centrale che congiunge Firenze, Prato, Pistoia ed Empoli; il restante è distribuito tra le altre province, con una quota significativa in aree interne e montane.</w:t>
      </w:r>
    </w:p>
  </w:footnote>
  <w:footnote w:id="2549">
    <w:p>
      <w:pPr>
        <w:pStyle w:val="FootnoteText"/>
      </w:pPr>
      <w:r>
        <w:rPr>
          <w:rStyle w:val="FootnoteReference"/>
        </w:rPr>
        <w:footnoteRef/>
      </w:r>
      <w:r>
        <w:t xml:space="preserve"> </w:t>
      </w:r>
      <w:r>
        <w:t xml:space="preserve">Profilo per età a marcata variabilità interna: l’area metropolitana centrale, lungo l’asse Firenze-Prato-Pisa, presenta la struttura più dinamica, mentre le aree interne e montane — l’Amiata, la Garfagnana, la Lunigiana, l’Alta Valdicecina, il Casentino — sono nettamente più anziane e soggette a spopolamento, con maggiore difficoltà di accesso ai servizi, in parte mitigata dai flussi migratori in alcune di esse.</w:t>
      </w:r>
    </w:p>
  </w:footnote>
  <w:footnote w:id="2550">
    <w:p>
      <w:pPr>
        <w:pStyle w:val="FootnoteText"/>
      </w:pPr>
      <w:r>
        <w:rPr>
          <w:rStyle w:val="FootnoteReference"/>
        </w:rPr>
        <w:footnoteRef/>
      </w:r>
    </w:p>
  </w:footnote>
  <w:footnote w:id="2551">
    <w:p>
      <w:pPr>
        <w:pStyle w:val="FootnoteText"/>
      </w:pPr>
      <w:r>
        <w:rPr>
          <w:rStyle w:val="FootnoteReference"/>
        </w:rPr>
        <w:footnoteRef/>
      </w:r>
      <w:r>
        <w:t xml:space="preserve"> </w:t>
      </w:r>
      <w:r>
        <w:t xml:space="preserve">Profilo per età a marcata variabilità interna: l’area metropolitana centrale, lungo l’asse Firenze-Prato-Pisa, presenta la struttura più dinamica, mentre le aree interne e montane — l’Amiata, la Garfagnana, la Lunigiana, l’Alta Valdicecina, il Casentino — sono nettamente più anziane e soggette a spopolamento, con maggiore difficoltà di accesso ai servizi, in parte mitigata dai flussi migratori in alcune di esse.Definizione: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2552">
    <w:p>
      <w:pPr>
        <w:pStyle w:val="FootnoteText"/>
      </w:pPr>
      <w:r>
        <w:rPr>
          <w:rStyle w:val="FootnoteReference"/>
        </w:rPr>
        <w:footnoteRef/>
      </w:r>
    </w:p>
  </w:footnote>
  <w:footnote w:id="2553">
    <w:p>
      <w:pPr>
        <w:pStyle w:val="FootnoteText"/>
      </w:pPr>
      <w:r>
        <w:rPr>
          <w:rStyle w:val="FootnoteReference"/>
        </w:rPr>
        <w:footnoteRef/>
      </w:r>
      <w:r>
        <w:t xml:space="preserve"> </w:t>
      </w:r>
      <w:r>
        <w:t xml:space="preserve">Profilo per età a marcata variabilità interna: l’area metropolitana centrale, lungo l’asse Firenze-Prato-Pisa, presenta la struttura più dinamica, mentre le aree interne e montane — l’Amiata, la Garfagnana, la Lunigiana, l’Alta Valdicecina, il Casentino — sono nettamente più anziane e soggette a spopolamento, con maggiore difficoltà di accesso ai servizi, in parte mitigata dai flussi migratori in alcune di esse.Definizione: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2554">
    <w:p>
      <w:pPr>
        <w:pStyle w:val="FootnoteText"/>
      </w:pPr>
      <w:r>
        <w:rPr>
          <w:rStyle w:val="FootnoteReference"/>
        </w:rPr>
        <w:footnoteRef/>
      </w:r>
      <w:r>
        <w:t xml:space="preserve"> </w:t>
      </w:r>
      <w:r>
        <w:t xml:space="preserve">Costo del servizio per scenario, a regime: dell’ordine di 22 milioni di euro annui nello scenario conservativo, 33 nello scenario base e 44 nello scenario espansivo, valori coerenti con l’inclusione del programma di formazione all’intelligenza artificiale.</w:t>
      </w:r>
    </w:p>
  </w:footnote>
  <w:footnote w:id="2555">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dalla struttura consolidata in sole tre Aziende USL. La sperimentazione è oggi finanziata su base libero-professionale, ma per un importo che copre una frazione ridotta del fabbisogno.</w:t>
      </w:r>
    </w:p>
  </w:footnote>
  <w:footnote w:id="2556">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2557">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2558">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2559">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2560">
    <w:p>
      <w:pPr>
        <w:pStyle w:val="FootnoteText"/>
      </w:pPr>
      <w:r>
        <w:rPr>
          <w:rStyle w:val="FootnoteReference"/>
        </w:rPr>
        <w:footnoteRef/>
      </w:r>
    </w:p>
  </w:footnote>
  <w:footnote w:id="2561">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2562">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2563">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dai dati della sperimentazione attiva, e circa quaranta richiedono la rilevazione diretta strutturata.</w:t>
      </w:r>
    </w:p>
  </w:footnote>
  <w:footnote w:id="2564">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2565">
    <w:p>
      <w:pPr>
        <w:pStyle w:val="FootnoteText"/>
      </w:pPr>
      <w:r>
        <w:rPr>
          <w:rStyle w:val="FootnoteReference"/>
        </w:rPr>
        <w:footnoteRef/>
      </w:r>
      <w:r>
        <w:t xml:space="preserve"> </w:t>
      </w:r>
      <w:r>
        <w:t xml:space="preserve">Le otto categorie di indicatori e lo stato della baseline: bisogno e domanda (disponibile), accesso ed equità (da rilevare), processo (parziale, dalla sperimentazione), esito clinico (parziale, dalla sperimentazione), economici (misto), impatto sociale (misto), organizzativi (da rilevare), variabili di sintesi (da calcolare); i divari tra le tre Aziende USL sono tra le misure di equità.</w:t>
      </w:r>
    </w:p>
  </w:footnote>
  <w:footnote w:id="2566">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 in Toscana si tratta di strutturare e completare la rilevazione già in atto nella sperimentazione.</w:t>
      </w:r>
    </w:p>
  </w:footnote>
  <w:footnote w:id="2567">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2568">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2569">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cui in Toscana si aggiunge il periodo anteriore all’attivazione del settembre 2024 quale base per il confronto prima-dopo; la rilevazione strutturata di servizio completa quella già avviata.</w:t>
      </w:r>
    </w:p>
  </w:footnote>
  <w:footnote w:id="2570">
    <w:p>
      <w:pPr>
        <w:pStyle w:val="FootnoteText"/>
      </w:pPr>
      <w:r>
        <w:rPr>
          <w:rStyle w:val="FootnoteReference"/>
        </w:rPr>
        <w:footnoteRef/>
      </w:r>
      <w:r>
        <w:t xml:space="preserve"> </w:t>
      </w:r>
      <w:r>
        <w:t xml:space="preserve">Calendario della rilevazione: costituzione della baseline con i dati disponibili e con il periodo pre-attivazione; registrazione corrente; trasmissione di indicatori aggregati al comitato di indirizzo regionale con cadenza mensile; calcolo periodico delle misure di sintesi e aggiornamento del cruscotto regionale.</w:t>
      </w:r>
    </w:p>
  </w:footnote>
  <w:footnote w:id="2571">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poiché il servizio è già attivo in via sperimentale, lo strumento non è un dispiegamento da zero, ma il confronto prima-dopo l’attivazione del settembre 2024 e, soprattutto, l’estensione scaglionata della sperimentazione tra le strutture e le zone — dal primo avvio nell’autunno 2024 fino alle ventuno strutture — che, unita all’eterogeneità dell’intensità di copertura, configura un disegno quasi a cunei progressivi idoneo a misurare gli effetti reali del servizio.</w:t>
      </w:r>
    </w:p>
  </w:footnote>
  <w:footnote w:id="2572">
    <w:p>
      <w:pPr>
        <w:pStyle w:val="FootnoteText"/>
      </w:pPr>
      <w:r>
        <w:rPr>
          <w:rStyle w:val="FootnoteReference"/>
        </w:rPr>
        <w:footnoteRef/>
      </w:r>
      <w:r>
        <w:t xml:space="preserve"> </w:t>
      </w:r>
      <w:r>
        <w:t xml:space="preserve">Differenza-nelle-differenze: confronta la variazione nel tempo dell’esito tra le strutture e le zone attivate prima e quelle attivate dopo, e a maggiore e minore intensità di copertura, sotto l’ipotesi di andamento parallelo; vi si affianca il controllo sintetico, che costruisce un’unità di confronto artificiale come combinazione ponderata di zone non ancora attivate o a copertura inferiore.</w:t>
      </w:r>
    </w:p>
  </w:footnote>
  <w:footnote w:id="2573">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cunei progressivi e a esperimento naturale sono, per gli interventi di salute della popolazione, lo strumento raccomandato dalla letteratura metodologica; la validità esterna va valutata a parte.</w:t>
      </w:r>
    </w:p>
  </w:footnote>
  <w:footnote w:id="2574">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zone attivate per prime e a copertura più intensa con quello delle zone attivate più tardi, si isola l’effetto proprio della riforma e si trasforma la stima dei risparmi da proiezione attesa a misura empiricamente fondata sui dati toscani.</w:t>
      </w:r>
    </w:p>
  </w:footnote>
  <w:footnote w:id="2575">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2576">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in Toscana, dove il servizio è già istituito dalla legge regionale 39 del 2022, tale clausola si innesta su una base legislativa già esistente e lega la misurazione tecnica alla responsabilità politica e alla trasparenza verso il legislatore regionale.</w:t>
      </w:r>
    </w:p>
  </w:footnote>
  <w:footnote w:id="2577">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2578">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2579">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2580">
    <w:p>
      <w:pPr>
        <w:pStyle w:val="FootnoteText"/>
      </w:pPr>
      <w:r>
        <w:rPr>
          <w:rStyle w:val="FootnoteReference"/>
        </w:rPr>
        <w:footnoteRef/>
      </w:r>
      <w:r>
        <w:t xml:space="preserve"> </w:t>
      </w:r>
      <w:r>
        <w:t xml:space="preserve">Risparmi diretti complessivi per il Servizio sanitario regionale stimati nell’ordine di 14 milioni di euro annui nello scenario conservativo, 22 nello scenario base e 34 nello scenario espansivo, collocati prudenzialmente nella parte medio-bassa dell’intervallo e al netto del canale della mobilità, qui nullo.</w:t>
      </w:r>
    </w:p>
  </w:footnote>
  <w:footnote w:id="2581">
    <w:p>
      <w:pPr>
        <w:pStyle w:val="FootnoteText"/>
      </w:pPr>
      <w:r>
        <w:rPr>
          <w:rStyle w:val="FootnoteReference"/>
        </w:rPr>
        <w:footnoteRef/>
      </w:r>
      <w:r>
        <w:t xml:space="preserve"> </w:t>
      </w:r>
      <w:r>
        <w:t xml:space="preserve">Saldo diretto per il bilancio sanitario, dato dalla differenza tra risparmi diretti e costo del servizio, dell’ordine di −8, −11 e −10 milioni di euro annui nei tre scenari: è lievemente negativo, coerentemente con la condizione di regione creditrice, per la quale il canale della mobilità non concorre al pareggio diretto.</w:t>
      </w:r>
    </w:p>
  </w:footnote>
  <w:footnote w:id="2582">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Toscana la regione è già creditrice e il valore dell’intervento risiede in misura preponderante nelle ricadute economico-sociali; tuttavia, in un contesto di pressione finanziaria e di liste di attesa, il contenimento della domanda impropria conserva una salienza diretta non trascurabile.</w:t>
      </w:r>
    </w:p>
  </w:footnote>
  <w:footnote w:id="2583">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una delle regioni più anziane d’Italia, a forte presenza di cronicità, le componenti della produttività recuperata e del sollievo ai familiari hanno un peso particolarmente elevato.</w:t>
      </w:r>
    </w:p>
  </w:footnote>
  <w:footnote w:id="2584">
    <w:p>
      <w:pPr>
        <w:pStyle w:val="FootnoteText"/>
      </w:pPr>
      <w:r>
        <w:rPr>
          <w:rStyle w:val="FootnoteReference"/>
        </w:rPr>
        <w:footnoteRef/>
      </w:r>
      <w:r>
        <w:t xml:space="preserve"> </w:t>
      </w:r>
      <w:r>
        <w:t xml:space="preserve">Ricadute economico-sociali stimate nell’ordine di 71 milioni di euro annui nello scenario conservativo, 133 nello scenario base e 207 nello scenario espansivo, secondo i metodi del ritorno sociale sull’investimento, con criteri di stima conservativi.</w:t>
      </w:r>
    </w:p>
  </w:footnote>
  <w:footnote w:id="2585">
    <w:p>
      <w:pPr>
        <w:pStyle w:val="FootnoteText"/>
      </w:pPr>
      <w:r>
        <w:rPr>
          <w:rStyle w:val="FootnoteReference"/>
        </w:rPr>
        <w:footnoteRef/>
      </w:r>
      <w:r>
        <w:t xml:space="preserve"> </w:t>
      </w:r>
      <w:r>
        <w:t xml:space="preserve">Ritorno complessivo, somma dei risparmi diretti e delle ricadute sociali, dell’ordine di 85, 155 e 241 milioni di euro annui nei tre scenari; il saldo complessivo, al netto del costo del servizio, è dell’ordine di +63, +122 e +197 milioni di euro annui.</w:t>
      </w:r>
    </w:p>
  </w:footnote>
  <w:footnote w:id="2586">
    <w:p>
      <w:pPr>
        <w:pStyle w:val="FootnoteText"/>
      </w:pPr>
      <w:r>
        <w:rPr>
          <w:rStyle w:val="FootnoteReference"/>
        </w:rPr>
        <w:footnoteRef/>
      </w:r>
      <w:r>
        <w:t xml:space="preserve"> </w:t>
      </w:r>
      <w:r>
        <w:t xml:space="preserve">Rapporto beneficio-costo complessivo dell’ordine di 3,9:1 nello scenario conservativo, 4,7:1 nello scenario base e 5,5:1 nello scenario espansivo, in linea con il valore validato sulle altre regioni e coerente con le stime metodologicamente fondate della letteratura.</w:t>
      </w:r>
    </w:p>
  </w:footnote>
  <w:footnote w:id="2587">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2588">
    <w:p>
      <w:pPr>
        <w:pStyle w:val="FootnoteText"/>
      </w:pPr>
      <w:r>
        <w:rPr>
          <w:rStyle w:val="FootnoteReference"/>
        </w:rPr>
        <w:footnoteRef/>
      </w:r>
      <w:r>
        <w:t xml:space="preserve"> </w:t>
      </w:r>
      <w:r>
        <w:t xml:space="preserve">Sostenibilità finanziaria: il costo del servizio si colloca nell’ordine dello 0,3-0,5% di un Fondo Sanitario Regionale dell’ordine di 8 miliardi di euro; benché la regione operi sotto pressione finanziaria, l’importo è contenuto e sostenibile, tanto più che una quota è già a bilancio per la sperimentazione attiva, e l’investimento incrementale è quello necessario a colmare il divario verso il fabbisogno.</w:t>
      </w:r>
    </w:p>
  </w:footnote>
  <w:footnote w:id="2589">
    <w:p>
      <w:pPr>
        <w:pStyle w:val="FootnoteText"/>
      </w:pPr>
      <w:r>
        <w:rPr>
          <w:rStyle w:val="FootnoteReference"/>
        </w:rPr>
        <w:footnoteRef/>
      </w:r>
      <w:r>
        <w:t xml:space="preserve"> </w:t>
      </w:r>
      <w:r>
        <w:t xml:space="preserve">Lacuna prioritaria: le grandezze economiche qui impiegate sono in parte ricostruite dai conti nazionali per quota di popolazione (6,2%) e non estratte dai conti regionali certificati delle tre Aziende USL e delle quattro Aziende Ospedaliero-Universitarie; la loro verifica è condizione per la presentazione alle autorità di finanza pubblica, ed è in Toscana agevolata dai dati operativi della sperimentazione.</w:t>
      </w:r>
    </w:p>
  </w:footnote>
  <w:footnote w:id="2590">
    <w:p>
      <w:pPr>
        <w:pStyle w:val="FootnoteText"/>
      </w:pPr>
      <w:r>
        <w:rPr>
          <w:rStyle w:val="FootnoteReference"/>
        </w:rPr>
        <w:footnoteRef/>
      </w:r>
      <w:r>
        <w:t xml:space="preserve"> </w:t>
      </w:r>
      <w:r>
        <w:t xml:space="preserve">Bisogno potenziale stimato nell’ordine di 730.000 persone con disagio comune, in larga parte non intercettato dall’offerta strutturata attuale; la sperimentazione già attiva ne ha intercettato una quota ancora ridotta, con circa 2.300 prese in carico nei primi diciotto mesi.</w:t>
      </w:r>
    </w:p>
  </w:footnote>
  <w:footnote w:id="2591">
    <w:p>
      <w:pPr>
        <w:pStyle w:val="FootnoteText"/>
      </w:pPr>
      <w:r>
        <w:rPr>
          <w:rStyle w:val="FootnoteReference"/>
        </w:rPr>
        <w:footnoteRef/>
      </w:r>
      <w:r>
        <w:t xml:space="preserve"> </w:t>
      </w:r>
      <w:r>
        <w:t xml:space="preserve">Modello organizzativo: lo psicologo di base opera nelle Case della Comunità e nelle Case della Salute, in collaborazione con i medici di medicina generale e i pediatri di libera scelta, secondo gli indirizzi operativi dell’Organismo Toscano di Governo Clinico; nel modello toscano il servizio è già attivo in via sperimentale nelle tre Aziende USL. A differenza del Veneto, la Toscana non dispone di un’azienda regionale unica, ma presenta la struttura più consolidata tra le regioni esaminate — tre grandi Aziende USL e un ente regionale di supporto tecnico-amministrativo — sicché il coordinamento, l’omogeneità attuativa e le economie di scala sono assicurati dalla Regione, attraverso la sua Direzione competente e l’organismo di governo clinico.</w:t>
      </w:r>
    </w:p>
  </w:footnote>
  <w:footnote w:id="2592">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593">
    <w:p>
      <w:pPr>
        <w:pStyle w:val="FootnoteText"/>
      </w:pPr>
      <w:r>
        <w:rPr>
          <w:rStyle w:val="FootnoteReference"/>
        </w:rPr>
        <w:footnoteRef/>
      </w:r>
      <w:r>
        <w:t xml:space="preserve"> </w:t>
      </w:r>
      <w:r>
        <w:t xml:space="preserve">Percorso clinico: accesso su invio del medico di medicina generale o del pediatra di libera scelta, nella forma già in atto nella sperimentazione regionale, o accesso diretto; valutazione iniziale; ciclo di colloqui brevi; invio appropriato ai servizi specialistici nei casi che lo richiedono, secondo criteri definiti.</w:t>
      </w:r>
    </w:p>
  </w:footnote>
  <w:footnote w:id="2594">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595">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596">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597">
    <w:p>
      <w:pPr>
        <w:pStyle w:val="FootnoteText"/>
      </w:pPr>
      <w:r>
        <w:rPr>
          <w:rStyle w:val="FootnoteReference"/>
        </w:rPr>
        <w:footnoteRef/>
      </w:r>
    </w:p>
  </w:footnote>
  <w:footnote w:id="2598">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2599">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2600">
    <w:p>
      <w:pPr>
        <w:pStyle w:val="FootnoteText"/>
      </w:pPr>
      <w:r>
        <w:rPr>
          <w:rStyle w:val="FootnoteReference"/>
        </w:rPr>
        <w:footnoteRef/>
      </w:r>
      <w:r>
        <w:t xml:space="preserve"> </w:t>
      </w:r>
      <w:r>
        <w:t xml:space="preserve">Rilevanza: l’intervento risponde a un bisogno reale e di grande dimensione — dell’ordine di 730.000 persone con disagio comune in larga parte inevaso — e all’obbligo di garantire i livelli essenziali di assistenza.</w:t>
      </w:r>
    </w:p>
  </w:footnote>
  <w:footnote w:id="2601">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legge regionale che già ne ha istituito la funzione — la legge 39 del 2022 e il suo regolamento di attuazione — ed è costituzionalmente difendibile; la Toscana, pur sotto pressione finanziaria, non è sottoposta a piano di rientro ed è regione creditrice nella mobilità.</w:t>
      </w:r>
    </w:p>
  </w:footnote>
  <w:footnote w:id="2602">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 i dati della sperimentazione toscana già attiva ne corroborano la praticabilità.</w:t>
      </w:r>
    </w:p>
  </w:footnote>
  <w:footnote w:id="2603">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la Toscana, di un saldo diretto lievemente negativo sul solo bilancio sanitario, di entità modesta rispetto a un finanziamento dell’ordine di 8 miliardi; l’efficienza allocativa è dunque elevata, la convenienza per il solo bilancio lievemente negativa.</w:t>
      </w:r>
    </w:p>
  </w:footnote>
  <w:footnote w:id="2604">
    <w:p>
      <w:pPr>
        <w:pStyle w:val="FootnoteText"/>
      </w:pPr>
      <w:r>
        <w:rPr>
          <w:rStyle w:val="FootnoteReference"/>
        </w:rPr>
        <w:footnoteRef/>
      </w:r>
      <w:r>
        <w:t xml:space="preserve"> </w:t>
      </w:r>
      <w:r>
        <w:t xml:space="preserve">Impatto: l’impatto distributivo è favorevole, poiché i benefici si concentrano dove l’accesso è più difficile — le aree interne e montane, l’età anziana, l’utenza straniera e le popolazioni gravate dalle liste di attesa — riducendo il gradiente territoriale; il ritorno complessivo è dell’ordine di 3,8-5,5 a uno.</w:t>
      </w:r>
    </w:p>
  </w:footnote>
  <w:footnote w:id="2605">
    <w:p>
      <w:pPr>
        <w:pStyle w:val="FootnoteText"/>
      </w:pPr>
      <w:r>
        <w:rPr>
          <w:rStyle w:val="FootnoteReference"/>
        </w:rPr>
        <w:footnoteRef/>
      </w:r>
      <w:r>
        <w:t xml:space="preserve"> </w:t>
      </w:r>
      <w:r>
        <w:t xml:space="preserve">Sostenibilità: l’intervento è finanziariamente sostenibile — a fronte di un costo modesto, di una pluralità di coperture e di una quota già a bilancio per la sperimentazione attiva — e organizzativamente, in quanto già inserito nella rete territoriale delle Case della Comunità e delle Case della Salute; poiché la legge è già vigente, la leva decisiva della sua durata non è l’istituzionalizzazione per legge, ma la strutturazione a regime con un rapporto convenzionale stabile, che sottrarrebbe il servizio alla precarietà dei rifinanziamenti periodici.</w:t>
      </w:r>
    </w:p>
  </w:footnote>
  <w:footnote w:id="2606">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2607">
    <w:p>
      <w:pPr>
        <w:pStyle w:val="FootnoteText"/>
      </w:pPr>
      <w:r>
        <w:rPr>
          <w:rStyle w:val="FootnoteReference"/>
        </w:rPr>
        <w:footnoteRef/>
      </w:r>
      <w:r>
        <w:t xml:space="preserve"> </w:t>
      </w:r>
      <w:r>
        <w:t xml:space="preserve">Risultato dell’analisi multi-criterio: su otto criteri pesati, l’opzione di intervento ottiene un punteggio complessivo dell’ordine di 82,65 su 100 contro 39,25 dell’opzione zero, e prevale su tutti i criteri tranne la fattibilità immediata; i sub-punteggi di fattibilità e di robustezza dell’evidenza sono peraltro più elevati che negli altri contesti esaminati, poiché la Toscana dispone già sia di una legge regionale dedicata sia di una sperimentazione attiva con dati di esito propri, e il risultato è stabile rispetto ai pesi adottati.</w:t>
      </w:r>
    </w:p>
  </w:footnote>
  <w:footnote w:id="2608">
    <w:p>
      <w:pPr>
        <w:pStyle w:val="FootnoteText"/>
      </w:pPr>
      <w:r>
        <w:rPr>
          <w:rStyle w:val="FootnoteReference"/>
        </w:rPr>
        <w:footnoteRef/>
      </w:r>
      <w:r>
        <w:t xml:space="preserve"> </w:t>
      </w:r>
      <w:r>
        <w:t xml:space="preserve">Le tre affermazioni del cruscotto decisionale per la Toscana: il servizio costa al bilancio sanitario una cifra modesta e comporta un saldo diretto lievemente negativo, trascurabile rispetto a un finanziamento dell’ordine di 8 miliardi, pur con una salienza diretta non nulla nel contesto delle liste di attesa; il ritorno per la collettività è ampio (rapporto beneficio-costo di 3,8-5,5 a uno); il valore poggia quasi interamente sulle ricadute sociali.</w:t>
      </w:r>
    </w:p>
  </w:footnote>
  <w:footnote w:id="2609">
    <w:p>
      <w:pPr>
        <w:pStyle w:val="FootnoteText"/>
      </w:pPr>
      <w:r>
        <w:rPr>
          <w:rStyle w:val="FootnoteReference"/>
        </w:rPr>
        <w:footnoteRef/>
      </w:r>
      <w:r>
        <w:t xml:space="preserve"> </w:t>
      </w:r>
      <w:r>
        <w:t xml:space="preserve">Raccomandazione centrale: la decisione rilevante non è se introdurre la funzione — già istituita dalla legge regionale 39 del 2022 e attiva in via sperimentale — né se dotarla di una legge, già esistente, ma se portarla dalla sperimentazione alla strutturazione a regime, convertendo gli incarichi libero-professionali in un rapporto convenzionale analogo a quello dei medici di medicina generale, e dimensionarla, portandola dalla copertura attuale, dell’ordine del 5% del fabbisogno, alla copertura sistematica, dell’ordine di 600 incarichi nello scenario di base.</w:t>
      </w:r>
    </w:p>
  </w:footnote>
  <w:footnote w:id="2610">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2611">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toscana (6,2%), e non estratte dai conti regionali certificati delle tre Aziende USL e delle quattro Aziende Ospedaliero-Universitarie; tale sostituzione è la condizione per la presentazione agli organi di controllo, ed è in Toscana agevolata dalla disponibilità dei dati della sperimentazione già attiva.</w:t>
      </w:r>
    </w:p>
  </w:footnote>
  <w:footnote w:id="2612">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2613">
    <w:p>
      <w:pPr>
        <w:pStyle w:val="FootnoteText"/>
      </w:pPr>
      <w:r>
        <w:rPr>
          <w:rStyle w:val="FootnoteReference"/>
        </w:rPr>
        <w:footnoteRef/>
      </w:r>
      <w:r>
        <w:t xml:space="preserve"> </w:t>
      </w:r>
      <w:r>
        <w:t xml:space="preserve">Agenda di ricerca: l’investimento conoscitivo prioritario è l’acquisizione dei dati regionali certificati presso le tre Aziende USL e le quattro Aziende Ospedaliero-Universitarie, seguito dalla strutturazione della rilevazione di servizio e dalla valutazione controfattuale fondata sul confronto prima-dopo l’attivazione del settembre 2024 e sull’estensione scaglionata tra le strutture.</w:t>
      </w:r>
    </w:p>
  </w:footnote>
  <w:footnote w:id="2614">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la sperimentazione già attiva ha prodotto dati di attività — circa 2.300 cittadini in carico in diciotto mesi, con dati di invio e di filtro — che costituiscono una base preziosa, da consolidare in un flusso strutturato.</w:t>
      </w:r>
    </w:p>
  </w:footnote>
  <w:footnote w:id="2615">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616">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617">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618">
    <w:p>
      <w:pPr>
        <w:pStyle w:val="FootnoteText"/>
      </w:pPr>
      <w:r>
        <w:rPr>
          <w:rStyle w:val="FootnoteReference"/>
        </w:rPr>
        <w:footnoteRef/>
      </w:r>
      <w:r>
        <w:t xml:space="preserve"> </w:t>
      </w:r>
      <w:r>
        <w:t xml:space="preserve">Telepsicologia e telemonitoraggio assistiti: in Toscana sono lo strumento per garantire l’accesso al sostegno psicologico nelle aree interne e montane, più anziane e soggette a spopolamento, come l’Amiata, la Garfagnana e la Lunigiana; la sperimentazione ha già mostrato adesione anche nei piccoli centri e nelle zone montane, e tali strumenti sono concepiti come complementari e non sostitutivi della presa in carico in presenza.</w:t>
      </w:r>
    </w:p>
  </w:footnote>
  <w:footnote w:id="2619">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2620">
    <w:p>
      <w:pPr>
        <w:pStyle w:val="FootnoteText"/>
      </w:pPr>
      <w:r>
        <w:rPr>
          <w:rStyle w:val="FootnoteReference"/>
        </w:rPr>
        <w:footnoteRef/>
      </w:r>
      <w:r>
        <w:t xml:space="preserve"> </w:t>
      </w:r>
      <w:r>
        <w:t xml:space="preserve">Programma formativo a quattro livelli: universitario (curricula e tirocini presso le Università di Firenze, Pisa e Siena); post-universitario specialistico (corso regionale con attestato sulla psicologia di base e le cure primarie, comprensivo della competenza per l’età anziana, per le aree interne e della competenza culturale per l’utenza straniera); continuo lavorativo (aggiornamento in servizio, audit clinico, educazione continua in medicina); affiancamento operativo (tutoraggio sul campo e inserimento graduale con supervisione).</w:t>
      </w:r>
    </w:p>
  </w:footnote>
  <w:footnote w:id="2621">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2622">
    <w:p>
      <w:pPr>
        <w:pStyle w:val="FootnoteText"/>
      </w:pPr>
      <w:r>
        <w:rPr>
          <w:rStyle w:val="FootnoteReference"/>
        </w:rPr>
        <w:footnoteRef/>
      </w:r>
    </w:p>
  </w:footnote>
  <w:footnote w:id="2623">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2624">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2625">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2626">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2627">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2628">
    <w:p>
      <w:pPr>
        <w:pStyle w:val="FootnoteText"/>
      </w:pPr>
      <w:r>
        <w:rPr>
          <w:rStyle w:val="FootnoteReference"/>
        </w:rPr>
        <w:footnoteRef/>
      </w:r>
    </w:p>
  </w:footnote>
  <w:footnote w:id="2629">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630">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631">
    <w:p>
      <w:pPr>
        <w:pStyle w:val="FootnoteText"/>
      </w:pPr>
      <w:r>
        <w:rPr>
          <w:rStyle w:val="FootnoteReference"/>
        </w:rPr>
        <w:footnoteRef/>
      </w:r>
      <w:r>
        <w:t xml:space="preserve"> </w:t>
      </w:r>
      <w:r>
        <w:t xml:space="preserve">Quadro economico consolidato per la Toscana (Parte E): a regime, da circa 400 a circa 790 psicologi, costo del servizio di 22-44 milioni, risparmi diretti di 14-34 milioni, ricadute sociali di 71-207 milioni; il saldo diretto è lievemente negativo, il saldo complessivo positivo, con rapporto beneficio-costo di 3,8-5,5 a uno.</w:t>
      </w:r>
    </w:p>
  </w:footnote>
  <w:footnote w:id="2632">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633">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2634">
    <w:p>
      <w:pPr>
        <w:pStyle w:val="FootnoteText"/>
      </w:pPr>
      <w:r>
        <w:rPr>
          <w:rStyle w:val="FootnoteReference"/>
        </w:rPr>
        <w:footnoteRef/>
      </w:r>
      <w:r>
        <w:t xml:space="preserve"> </w:t>
      </w:r>
      <w:r>
        <w:t xml:space="preserve">Valori regionali di ancoraggio per la Toscana: popolazione di 3.657.716 abitanti (Censimento ISTAT 2024) in lieve calo e con marcato invecchiamento, tra le più anziane d’Italia, finanziamento del Servizio sanitario regionale dell’ordine di 8 miliardi di euro sotto pressione finanziaria ma senza piano di rientro in atto, saldo di mobilità nettamente attivo (regione creditrice), fabbisogno a regime fino a circa 790 psicologi nello scenario espansivo.</w:t>
      </w:r>
    </w:p>
  </w:footnote>
  <w:footnote w:id="2635">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toscana (6,2%), e non estratti dai conti regionali certificati; i dati da acquisire presso le tre Aziende USL e le quattro Aziende Ospedaliero-Universitarie sono elencati nella tabella seguente, agevolati in Toscana dalla disponibilità dei dati della sperimentazione già attiva.</w:t>
      </w:r>
    </w:p>
  </w:footnote>
  <w:footnote w:id="2636">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637">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e piemontese, di cui questo studio replica il telaio metodologico.</w:t>
      </w:r>
    </w:p>
  </w:footnote>
  <w:footnote w:id="2638">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2639">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2640">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2641">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2642">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2643">
    <w:p>
      <w:pPr>
        <w:pStyle w:val="FootnoteText"/>
      </w:pPr>
      <w:r>
        <w:rPr>
          <w:rStyle w:val="FootnoteReference"/>
        </w:rPr>
        <w:footnoteRef/>
      </w:r>
      <w:r>
        <w:t xml:space="preserve"> </w:t>
      </w:r>
      <w:r>
        <w:t xml:space="preserve">Distinzione tra costo-utilità e impatto sul bilancio per la Toscana: la probabilità di costo-efficacia è un risultato di efficienza, riferito al singolo paziente, che valorizza il guadagno di salute e l’intera traiettoria di costo del modello; esso è coerente con il saldo diretto aggregato della Parte E, che per la Toscana è lievemente negativo, poiché la traduzione dal modello per paziente all’aggregato regionale incorpora le correzioni per peso morto e per l’effettiva monetizzabilità nel bilancio dei costi evitati, e poiché il canale della mobilità è inapplicabile, essendo la Toscana nettamente creditrice. L’efficienza per paziente è robusta; la convenienza per il solo bilancio è lievemente negativa; il forte ritorno per la collettività proviene dalle ricadute sociali.</w:t>
      </w:r>
    </w:p>
  </w:footnote>
  <w:footnote w:id="2644">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645">
    <w:p>
      <w:pPr>
        <w:pStyle w:val="FootnoteText"/>
      </w:pPr>
      <w:r>
        <w:rPr>
          <w:rStyle w:val="FootnoteReference"/>
        </w:rPr>
        <w:footnoteRef/>
      </w:r>
    </w:p>
  </w:footnote>
  <w:footnote w:id="2646">
    <w:p>
      <w:pPr>
        <w:pStyle w:val="FootnoteText"/>
      </w:pPr>
      <w:r>
        <w:rPr>
          <w:rStyle w:val="FootnoteReference"/>
        </w:rPr>
        <w:footnoteRef/>
      </w:r>
      <w:r>
        <w:t xml:space="preserve"> </w:t>
      </w:r>
      <w:r>
        <w:t xml:space="preserve">Posizione del Lazio: la Regione non dispone, allo stato, di una legge regionale dedicata, ma si colloca in una fase pre-legislativa nella quale sono depositate una proposta di legge di iniziativa consiliare (PdL 138, recante l’istituzione del servizio di assistenza psicologica primaria) e una proposta di legge di iniziativa popolare di analogo oggetto, con una dotazione stimata dell’ordine di 14 milioni di euro l’anno e un obiettivo di uno psicologo ogni quindicimila abitanti, in collaborazione con i medici di medicina generale, i pediatri di libera scelta e i Centri di Salute Mentale. Il Lazio è al tempo stesso la culla accademica del modello, elaborato a Roma nell’ambito della psicologia delle cure primarie, e ha già conosciuto una prima esperienza nei Punti Unici di Accesso nella scorsa legislatura.</w:t>
      </w:r>
    </w:p>
  </w:footnote>
  <w:footnote w:id="2647">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laziale, eccede ampiamente il costo della raccolta dei dati; le priorità sono l’estrazione dei conti certificati delle dieci Aziende Sanitarie Locali e delle aziende ospedaliero-universitarie e la raccolta dei dati di esito a partire dall’istituzione del servizio.</w:t>
      </w:r>
    </w:p>
  </w:footnote>
  <w:footnote w:id="2648">
    <w:p>
      <w:pPr>
        <w:pStyle w:val="FootnoteText"/>
      </w:pPr>
      <w:r>
        <w:rPr>
          <w:rStyle w:val="FootnoteReference"/>
        </w:rPr>
        <w:footnoteRef/>
      </w:r>
      <w:r>
        <w:t xml:space="preserve"> </w:t>
      </w:r>
      <w:r>
        <w:t xml:space="preserve">Mitigazione progressiva della lacuna: il disegno prospettico consente di colmare la lacuna dei dati man mano che il servizio entra a regime, generando un’evidenza locale propria che corregge progressivamente le stime importate dai benchmark; il Lazio passa così, in modo programmato, da una valutazione fondata su dati esterni a una fondata su dati propri.</w:t>
      </w:r>
    </w:p>
  </w:footnote>
  <w:footnote w:id="2649">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dei dati, e la posizione pre-legislativa della regione — lungi dal costituire soltanto un ritardo — si rivela, sul piano della valutazione, un vantaggio, perché consente di disegnare la prova empirica nel modo metodologicamente più solido.</w:t>
      </w:r>
    </w:p>
  </w:footnote>
  <w:footnote w:id="2650">
    <w:p>
      <w:pPr>
        <w:pStyle w:val="FootnoteText"/>
      </w:pPr>
      <w:r>
        <w:rPr>
          <w:rStyle w:val="FootnoteReference"/>
        </w:rPr>
        <w:footnoteRef/>
      </w:r>
      <w:r>
        <w:t xml:space="preserve"> </w:t>
      </w:r>
      <w:r>
        <w:t xml:space="preserve">Disagio giovanile: è una componente rilevante e in crescita, con fenomeni di ansia, depressione e disturbi del comportamento alimentare tra gli adolescenti che solo in parte trovano risposta nei servizi.</w:t>
      </w:r>
    </w:p>
  </w:footnote>
  <w:footnote w:id="2651">
    <w:p>
      <w:pPr>
        <w:pStyle w:val="FootnoteText"/>
      </w:pPr>
      <w:r>
        <w:rPr>
          <w:rStyle w:val="FootnoteReference"/>
        </w:rPr>
        <w:footnoteRef/>
      </w:r>
      <w:r>
        <w:t xml:space="preserve"> </w:t>
      </w:r>
      <w:r>
        <w:t xml:space="preserve">Salute mentale connessa al lavoro: nella vasta popolazione attiva dell’area metropolitana, ampia parte dei lavoratori è esposta a fattori di stress correlati al lavoro; l’intercettazione precoce del disagio ha un valore particolarmente elevato in termini di produttività recuperata.</w:t>
      </w:r>
    </w:p>
  </w:footnote>
  <w:footnote w:id="2652">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particolarmente accentuata nelle province interne di Rieti e Viterbo, più anziane e a maggiore difficoltà di accesso.</w:t>
      </w:r>
    </w:p>
  </w:footnote>
  <w:footnote w:id="2653">
    <w:p>
      <w:pPr>
        <w:pStyle w:val="FootnoteText"/>
      </w:pPr>
      <w:r>
        <w:rPr>
          <w:rStyle w:val="FootnoteReference"/>
        </w:rPr>
        <w:footnoteRef/>
      </w:r>
      <w:r>
        <w:t xml:space="preserve"> </w:t>
      </w:r>
      <w:r>
        <w:t xml:space="preserve">Tratto distintivo del Lazio rispetto alle altre regioni: la combinazione di una grande regione policentrica e fortemente accentrata su Roma, della condizione di culla scientifica del modello e, al tempo stesso, di una posizione pre-legislativa, in cui il servizio non è ancora istituito per legge. Il bisogno è quindi accompagnato da una solida legittimazione scientifica ma da un ritardo normativo, che la decisione è chiamata a colmare istituendo il servizio.</w:t>
      </w:r>
    </w:p>
  </w:footnote>
  <w:footnote w:id="2654">
    <w:p>
      <w:pPr>
        <w:pStyle w:val="FootnoteText"/>
      </w:pPr>
      <w:r>
        <w:rPr>
          <w:rStyle w:val="FootnoteReference"/>
        </w:rPr>
        <w:footnoteRef/>
      </w:r>
      <w:r>
        <w:t xml:space="preserve"> </w:t>
      </w:r>
      <w:r>
        <w:t xml:space="preserve">Accessi al pronto soccorso per cause psichiatriche significativi: rapportando alla popolazione laziale il dato nazionale, dell’ordine di alcune decine di migliaia l’anno, indice di una pressione sul sistema acuto che un primo livello territoriale efficace potrebbe in parte contenere a monte.</w:t>
      </w:r>
    </w:p>
  </w:footnote>
  <w:footnote w:id="2655">
    <w:p>
      <w:pPr>
        <w:pStyle w:val="FootnoteText"/>
      </w:pPr>
      <w:r>
        <w:rPr>
          <w:rStyle w:val="FootnoteReference"/>
        </w:rPr>
        <w:footnoteRef/>
      </w:r>
      <w:r>
        <w:t xml:space="preserve"> </w:t>
      </w:r>
      <w:r>
        <w:t xml:space="preserve">Offerta territoriale: il Lazio non dispone, allo stato, di un servizio di psicologia territoriale strutturato; sono depositate una proposta di legge di iniziativa consiliare e una di iniziativa popolare, con una dotazione stimata dell’ordine di 14 milioni di euro l’anno e un obiettivo di uno psicologo ogni quindicimila abitanti, in collaborazione con i medici di medicina generale, i pediatri di libera scelta e i Centri di Salute Mentale, prioritariamente nelle Case della Comunità. La pregressa esperienza nei Punti Unici di Accesso costituisce un precedente, ma non un servizio a regime.</w:t>
      </w:r>
    </w:p>
  </w:footnote>
  <w:footnote w:id="2656">
    <w:p>
      <w:pPr>
        <w:pStyle w:val="FootnoteText"/>
      </w:pPr>
      <w:r>
        <w:rPr>
          <w:rStyle w:val="FootnoteReference"/>
        </w:rPr>
        <w:footnoteRef/>
      </w:r>
      <w:r>
        <w:t xml:space="preserve"> </w:t>
      </w:r>
      <w:r>
        <w:t xml:space="preserve">Fabbisogno a regime stimato nell’ordine di 1.230 psicologi nello scenario espansivo (e dell’ordine di 620 e 930 negli scenari conservativo e di base). L’Ordine degli Psicologi del Lazio, che ha accompagnato l’iniziativa legislativa, ne sostiene l’approvazione e la strutturazione a regime.</w:t>
      </w:r>
    </w:p>
  </w:footnote>
  <w:footnote w:id="2657">
    <w:p>
      <w:pPr>
        <w:pStyle w:val="FootnoteText"/>
      </w:pPr>
      <w:r>
        <w:rPr>
          <w:rStyle w:val="FootnoteReference"/>
        </w:rPr>
        <w:footnoteRef/>
      </w:r>
      <w:r>
        <w:t xml:space="preserve"> </w:t>
      </w:r>
      <w:r>
        <w:t xml:space="preserve">Copertura attuale del fabbisogno pressoché nulla a regime: in assenza di un servizio strutturato e di una legge, e a fronte della sola pregressa esperienza nei Punti Unici di Accesso, la distanza dalla copertura adeguata è la più ampia dell’intera serie regionale, e la decisione verte sull’istituire il servizio e colmarla.</w:t>
      </w:r>
    </w:p>
  </w:footnote>
  <w:footnote w:id="2658">
    <w:p>
      <w:pPr>
        <w:pStyle w:val="FootnoteText"/>
      </w:pPr>
      <w:r>
        <w:rPr>
          <w:rStyle w:val="FootnoteReference"/>
        </w:rPr>
        <w:footnoteRef/>
      </w:r>
      <w:r>
        <w:t xml:space="preserve"> </w:t>
      </w:r>
      <w:r>
        <w:t xml:space="preserve">Disuguaglianze e divari territoriali: il divario rilevante nel Lazio si gioca su due assi. Il primo è interno all’area metropolitana romana, fra il centro e una periferia ampia con sacche di deprivazione e di difficile accesso. Il secondo separa l’area metropolitana dalle province interne, anziane, disperse e in spopolamento. La telepsicologia assistita è lo strumento per avvicinare l’offerta alle aree interne e alle periferie, dove la sola presenza di un primo livello accessibile costituisce già un atto di riequilibrio.</w:t>
      </w:r>
    </w:p>
  </w:footnote>
  <w:footnote w:id="2659">
    <w:p>
      <w:pPr>
        <w:pStyle w:val="FootnoteText"/>
      </w:pPr>
      <w:r>
        <w:rPr>
          <w:rStyle w:val="FootnoteReference"/>
        </w:rPr>
        <w:footnoteRef/>
      </w:r>
      <w:r>
        <w:t xml:space="preserve"> </w:t>
      </w:r>
      <w:r>
        <w:t xml:space="preserve">Finanziamento del Servizio sanitario regionale dell’ordine di 12-13 miliardi di euro; il Lazio è in uscita da un piano di rientro durato dal 2007, con i conti riportati in attivo (utile nel 2023, avanzo nel 2024) e l’autonomia fiscale recuperata, e ha dunque appena riacquistato margini di programmazione, pur con fragilità residue nei tempi di pagamento di alcune Aziende; è attivo un Piano di programmazione dell’assistenza territoriale 2024-2026 e il ricorso al privato accreditato è ampio.</w:t>
      </w:r>
    </w:p>
  </w:footnote>
  <w:footnote w:id="2660">
    <w:p>
      <w:pPr>
        <w:pStyle w:val="FootnoteText"/>
      </w:pPr>
      <w:r>
        <w:rPr>
          <w:rStyle w:val="FootnoteReference"/>
        </w:rPr>
        <w:footnoteRef/>
      </w:r>
      <w:r>
        <w:t xml:space="preserve"> </w:t>
      </w:r>
      <w:r>
        <w:t xml:space="preserve">Mobilità sanitaria a profilo bidirezionale: il Lazio è al tempo stesso forte attrattore — unica regione del Centro-Sud, trainata dalle grandi strutture romane — e fonte di una rilevante mobilità passiva, con un saldo netto negativo ma in miglioramento. Poiché la fuga si concentra nelle prestazioni ospedaliere e chirurgiche di alta complessità, e non nella domanda psicologica delle cure primarie, il canale del recupero della mobilità è solo marginalmente pertinente a questo intervento.</w:t>
      </w:r>
    </w:p>
  </w:footnote>
  <w:footnote w:id="2661">
    <w:p>
      <w:pPr>
        <w:pStyle w:val="FootnoteText"/>
      </w:pPr>
      <w:r>
        <w:rPr>
          <w:rStyle w:val="FootnoteReference"/>
        </w:rPr>
        <w:footnoteRef/>
      </w:r>
      <w:r>
        <w:t xml:space="preserve"> </w:t>
      </w:r>
      <w:r>
        <w:t xml:space="preserve">Cornice normativa e programmatica: il Lazio non dispone di una legge regionale dedicata, ma di proposte in itinere — di iniziativa consiliare e popolare. La cornice include il Decreto Ministeriale 77/2022 sugli standard dell’assistenza territoriale e il Piano regionale di azioni per la salute mentale 2022-2024; sul piano nazionale, il testo unificato C. 1140, il Piano Nazionale per la Salute Mentale e la sentenza della Corte Costituzionale n. 241 del 2021 sulla competenza regionale. A differenza di Toscana e Liguria, il Lazio è ancora in fase pre-legislativa.</w:t>
      </w:r>
    </w:p>
  </w:footnote>
  <w:footnote w:id="2662">
    <w:p>
      <w:pPr>
        <w:pStyle w:val="FootnoteText"/>
      </w:pPr>
      <w:r>
        <w:rPr>
          <w:rStyle w:val="FootnoteReference"/>
        </w:rPr>
        <w:footnoteRef/>
      </w:r>
      <w:r>
        <w:t xml:space="preserve"> </w:t>
      </w:r>
      <w:r>
        <w:t xml:space="preserve">Popolazione residente nel Lazio 5.709.178 abitanti (Censimento permanente ISTAT al 31 dicembre 2024), pari a circa il 9,7% della popolazione nazionale — la regione più popolosa tra quelle finora esaminate — in lieve calo rispetto all’anno precedente per effetto di un saldo naturale fortemente negativo, solo in parte compensato dal saldo migratorio estero. La distribuzione è fortemente concentrata: la Città Metropolitana di Roma Capitale raccoglie circa il 74% dei residenti, mentre le restanti province — Latina, Frosinone, Viterbo e Rieti — e le aree interne presentano un invecchiamento più marcato e dinamiche di spopolamento. La componente straniera, intorno all’11,4%, è superiore alla media nazionale.</w:t>
      </w:r>
    </w:p>
  </w:footnote>
  <w:footnote w:id="2663">
    <w:p>
      <w:pPr>
        <w:pStyle w:val="FootnoteText"/>
      </w:pPr>
      <w:r>
        <w:rPr>
          <w:rStyle w:val="FootnoteReference"/>
        </w:rPr>
        <w:footnoteRef/>
      </w:r>
    </w:p>
  </w:footnote>
  <w:footnote w:id="2664">
    <w:p>
      <w:pPr>
        <w:pStyle w:val="FootnoteText"/>
      </w:pPr>
      <w:r>
        <w:rPr>
          <w:rStyle w:val="FootnoteReference"/>
        </w:rPr>
        <w:footnoteRef/>
      </w:r>
      <w:r>
        <w:t xml:space="preserve"> </w:t>
      </w:r>
      <w:r>
        <w:t xml:space="preserve">Popolazione residente nel Lazio 5.709.178 abitanti (Censimento permanente ISTAT al 31 dicembre 2024), pari a circa il 9,7% della popolazione nazionale — la regione più popolosa tra quelle finora esaminate — in lieve calo rispetto all’anno precedente per effetto di un saldo naturale fortemente negativo, solo in parte compensato dal saldo migratorio estero. La distribuzione è fortemente concentrata: la Città Metropolitana di Roma Capitale raccoglie circa il 74% dei residenti, mentre le restanti province — Latina, Frosinone, Viterbo e Rieti — e le aree interne presentano un invecchiamento più marcato e dinamiche di spopolamento. La componente straniera, intorno all’11,4%, è superiore alla media nazionale.Equità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2665">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p>
  </w:footnote>
  <w:footnote w:id="2666">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 Lazio la componente straniera, intorno all’11,4% e concentrata nell’area romana, aggiunge una barriera linguistica e culturale che richiede competenza dedicata.</w:t>
      </w:r>
    </w:p>
  </w:footnote>
  <w:footnote w:id="2667">
    <w:p>
      <w:pPr>
        <w:pStyle w:val="FootnoteText"/>
      </w:pPr>
      <w:r>
        <w:rPr>
          <w:rStyle w:val="FootnoteReference"/>
        </w:rPr>
        <w:footnoteRef/>
      </w:r>
      <w:r>
        <w:t xml:space="preserve"> </w:t>
      </w:r>
      <w:r>
        <w:t xml:space="preserve">Doppio asse della disuguaglianza nel Lazio: a differenza di regioni dal divario prevalentemente unidimensionale, il Lazio presenta due assi distinti. Il primo è interno alla vasta area metropolitana romana, fra il centro e una periferia ampia con sacche di deprivazione e difficoltà di accesso. Il secondo separa l’area metropolitana dalle province interne — Rieti e Viterbo in particolare — anziane, disperse e in spopolamento. La struttura distributiva del bisogno è perciò più complessa che altrove.</w:t>
      </w:r>
    </w:p>
  </w:footnote>
  <w:footnote w:id="2668">
    <w:p>
      <w:pPr>
        <w:pStyle w:val="FootnoteText"/>
      </w:pPr>
      <w:r>
        <w:rPr>
          <w:rStyle w:val="FootnoteReference"/>
        </w:rPr>
        <w:footnoteRef/>
      </w:r>
      <w:r>
        <w:t xml:space="preserve"> </w:t>
      </w:r>
      <w:r>
        <w:t xml:space="preserve">Primo asse, la periferia metropolitana: nell’area romana, accanto a quartieri centrali ben serviti, si estendono periferie popolose con sacche di deprivazione socio-economica, dove la difficoltà di accesso ai servizi e la minore disponibilità di offerta privata accrescono il bisogno non intercettato.</w:t>
      </w:r>
    </w:p>
  </w:footnote>
  <w:footnote w:id="2669">
    <w:p>
      <w:pPr>
        <w:pStyle w:val="FootnoteText"/>
      </w:pPr>
      <w:r>
        <w:rPr>
          <w:rStyle w:val="FootnoteReference"/>
        </w:rPr>
        <w:footnoteRef/>
      </w:r>
      <w:r>
        <w:t xml:space="preserve"> </w:t>
      </w:r>
      <w:r>
        <w:t xml:space="preserve">Secondo asse, le province interne: Rieti e Viterbo, e le aree montane e collinari interne, presentano una popolazione più anziana, dispersa e in spopolamento, dove la rarefazione dei servizi e le distanze rendono l’accesso al sostegno psicologico particolarmente difficoltoso.</w:t>
      </w:r>
    </w:p>
  </w:footnote>
  <w:footnote w:id="2670">
    <w:p>
      <w:pPr>
        <w:pStyle w:val="FootnoteText"/>
      </w:pPr>
      <w:r>
        <w:rPr>
          <w:rStyle w:val="FootnoteReference"/>
        </w:rPr>
        <w:footnoteRef/>
      </w:r>
      <w:r>
        <w:t xml:space="preserve"> </w:t>
      </w:r>
      <w:r>
        <w:t xml:space="preserve">Effetto del servizio sull’equità: la gratuità, la prossimità nelle Case della Comunità e la natura di primo livello accessibile senza requisiti specialistici abbattono le principali barriere all’accesso, e indirizzano l’offerta verso chi ne è oggi escluso; è il meccanismo attraverso cui un servizio universale riduce, anziché accrescere, il divario.</w:t>
      </w:r>
    </w:p>
  </w:footnote>
  <w:footnote w:id="2671">
    <w:p>
      <w:pPr>
        <w:pStyle w:val="FootnoteText"/>
      </w:pPr>
      <w:r>
        <w:rPr>
          <w:rStyle w:val="FootnoteReference"/>
        </w:rPr>
        <w:footnoteRef/>
      </w:r>
      <w:r>
        <w:t xml:space="preserve"> </w:t>
      </w:r>
      <w:r>
        <w:t xml:space="preserve">Telepsicologia assistita: nel Lazio è lo strumento per avvicinare l’offerta alle province interne e alle periferie metropolitane, dove le distanze e la rarefazione dei servizi rendono difficoltoso il raggiungimento delle sedi; concepita come complementare e non sostitutiva della presa in carico in presenza, essa estende la copertura proprio nelle aree a maggiore difficoltà di accesso.</w:t>
      </w:r>
    </w:p>
  </w:footnote>
  <w:footnote w:id="2672">
    <w:p>
      <w:pPr>
        <w:pStyle w:val="FootnoteText"/>
      </w:pPr>
      <w:r>
        <w:rPr>
          <w:rStyle w:val="FootnoteReference"/>
        </w:rPr>
        <w:footnoteRef/>
      </w:r>
      <w:r>
        <w:t xml:space="preserve"> </w:t>
      </w:r>
      <w:r>
        <w:t xml:space="preserve">Competenza culturale: l’efficacia dell’intervento presso la popolazione straniera richiede mediazione linguistica e competenza culturale, affinché la barriera linguistica non si traduca in un minore accesso; è una condizione di equità particolarmente rilevante nell’area metropolitana romana.</w:t>
      </w:r>
    </w:p>
  </w:footnote>
  <w:footnote w:id="2673">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w:t>
      </w:r>
    </w:p>
  </w:footnote>
  <w:footnote w:id="2674">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p>
  </w:footnote>
  <w:footnote w:id="2675">
    <w:p>
      <w:pPr>
        <w:pStyle w:val="FootnoteText"/>
      </w:pPr>
      <w:r>
        <w:rPr>
          <w:rStyle w:val="FootnoteReference"/>
        </w:rPr>
        <w:footnoteRef/>
      </w:r>
      <w:r>
        <w:t xml:space="preserve"> </w:t>
      </w:r>
      <w:r>
        <w:t xml:space="preserve">Mobilità e equità: nel Lazio il canale della mobilità non costituisce una leva di equità per questo intervento, poiché la fuga riguarda l’alta complessità ospedaliera e chirurgica e non la domanda psicologica territoriale; l’equità si gioca quindi interamente sull’accesso interno, fra centro e periferie e fra area metropolitana e aree interne.</w:t>
      </w:r>
    </w:p>
  </w:footnote>
  <w:footnote w:id="2676">
    <w:p>
      <w:pPr>
        <w:pStyle w:val="FootnoteText"/>
      </w:pPr>
      <w:r>
        <w:rPr>
          <w:rStyle w:val="FootnoteReference"/>
        </w:rPr>
        <w:footnoteRef/>
      </w:r>
      <w:r>
        <w:t xml:space="preserve"> </w:t>
      </w:r>
      <w:r>
        <w:t xml:space="preserve">Rischio di iniquità inversa: se l’istituzione del servizio privilegiasse, per facilità organizzativa, le aree già meglio servite del centro metropolitano, l’effetto distributivo potrebbe risultare regressivo; il rischio va prevenuto con criteri espliciti di equità nell’allocazione delle sedi e degli incarichi, fin dalla fase di istituzione.</w:t>
      </w:r>
    </w:p>
  </w:footnote>
  <w:footnote w:id="2677">
    <w:p>
      <w:pPr>
        <w:pStyle w:val="FootnoteText"/>
      </w:pPr>
      <w:r>
        <w:rPr>
          <w:rStyle w:val="FootnoteReference"/>
        </w:rPr>
        <w:footnoteRef/>
      </w:r>
      <w:r>
        <w:t xml:space="preserve"> </w:t>
      </w:r>
      <w:r>
        <w:t xml:space="preserve">Sintesi dell’equità: l’intervento è favorevole all’equità su entrambi gli assi del divario laziale, a condizione che la copertura sia modulata per il bisogno e che siano garantite la telepsicologia per le aree interne e la competenza culturale per l’utenza straniera; la raccomandazione è di adottare, fin dall’istituzione, un’allocazione pro-equità che dia di più dove il bisogno è maggiore.</w:t>
      </w:r>
    </w:p>
  </w:footnote>
  <w:footnote w:id="2678">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assenza del servizio strutturato come comparatore.</w:t>
      </w:r>
    </w:p>
  </w:footnote>
  <w:footnote w:id="2679">
    <w:p>
      <w:pPr>
        <w:pStyle w:val="FootnoteText"/>
      </w:pPr>
      <w:r>
        <w:rPr>
          <w:rStyle w:val="FootnoteReference"/>
        </w:rPr>
        <w:footnoteRef/>
      </w:r>
    </w:p>
  </w:footnote>
  <w:footnote w:id="2680">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assenza del servizio strutturato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681">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2682">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2683">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2684">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2685">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2686">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2687">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laziale, fondato anch’esso sulle ricadute sociali.</w:t>
      </w:r>
    </w:p>
  </w:footnote>
  <w:footnote w:id="2688">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689">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2690">
    <w:p>
      <w:pPr>
        <w:pStyle w:val="FootnoteText"/>
      </w:pPr>
      <w:r>
        <w:rPr>
          <w:rStyle w:val="FootnoteReference"/>
        </w:rPr>
        <w:footnoteRef/>
      </w:r>
    </w:p>
  </w:footnote>
  <w:footnote w:id="2691">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2692">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ha delimitato lo spazio della disciplina regionale, che deve esercitarsi nel rispetto dei principi fondamentali stabiliti dallo Stato. Il Lazio dispone quindi del titolo per istituire il servizio con legge propria, purché coordinata con la cornice nazionale.</w:t>
      </w:r>
    </w:p>
  </w:footnote>
  <w:footnote w:id="2693">
    <w:p>
      <w:pPr>
        <w:pStyle w:val="FootnoteText"/>
      </w:pPr>
      <w:r>
        <w:rPr>
          <w:rStyle w:val="FootnoteReference"/>
        </w:rPr>
        <w:footnoteRef/>
      </w:r>
      <w:r>
        <w:t xml:space="preserve"> </w:t>
      </w:r>
      <w:r>
        <w:t xml:space="preserve">Stato pre-legislativo del Lazio: a differenza di Toscana e Liguria, dotate di una legge dedicata, il Lazio non dispone di una legge regionale istitutiva; sono depositate una proposta di legge di iniziativa consiliare e una di iniziativa popolare di analogo oggetto. La decisione giuridica rilevante è quindi l’approvazione della legge istitutiva, che costituisce il presupposto formale dell’intero intervento e che la regione deve compiere ex novo.</w:t>
      </w:r>
    </w:p>
  </w:footnote>
  <w:footnote w:id="2694">
    <w:p>
      <w:pPr>
        <w:pStyle w:val="FootnoteText"/>
      </w:pPr>
      <w:r>
        <w:rPr>
          <w:rStyle w:val="FootnoteReference"/>
        </w:rPr>
        <w:footnoteRef/>
      </w:r>
      <w:r>
        <w:t xml:space="preserve"> </w:t>
      </w:r>
      <w:r>
        <w:t xml:space="preserve">Inquadramento del rapporto di lavoro: il modello prevalente, anche nelle proposte di legge in itinere, è quello del rapporto convenzionale su base libero-professionale, per analogia con la medicina generale e la pediatria di libera scelta, e non quello della dipendenza; tale forma assicura flessibilità e prossimità, e va presidiata sul piano delle tutele e della continuità del rapporto.</w:t>
      </w:r>
    </w:p>
  </w:footnote>
  <w:footnote w:id="2695">
    <w:p>
      <w:pPr>
        <w:pStyle w:val="FootnoteText"/>
      </w:pPr>
      <w:r>
        <w:rPr>
          <w:rStyle w:val="FootnoteReference"/>
        </w:rPr>
        <w:footnoteRef/>
      </w:r>
      <w:r>
        <w:t xml:space="preserve"> </w:t>
      </w:r>
      <w:r>
        <w:t xml:space="preserve">Livelli essenziali di assistenza: la psicologia di base nelle cure primarie non è ancora esplicitamente ricompresa nei livelli essenziali di assistenza nazionali; la Regione può nondimeno istituirla con risorse proprie, nell’ambito della propria autonomia, e l’eventuale futuro riconoscimento nei livelli essenziali rafforzerebbe la stabilità del finanziamento. Nel frattempo, il servizio si fonda sulla copertura regionale.</w:t>
      </w:r>
    </w:p>
  </w:footnote>
  <w:footnote w:id="2696">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di base vi si inserisce coerentemente, come uno dei livelli di risposta al bisogno della popolazione.</w:t>
      </w:r>
    </w:p>
  </w:footnote>
  <w:footnote w:id="2697">
    <w:p>
      <w:pPr>
        <w:pStyle w:val="FootnoteText"/>
      </w:pPr>
      <w:r>
        <w:rPr>
          <w:rStyle w:val="FootnoteReference"/>
        </w:rPr>
        <w:footnoteRef/>
      </w:r>
      <w:r>
        <w:t xml:space="preserve"> </w:t>
      </w:r>
      <w:r>
        <w:t xml:space="preserve">Rapporto con i servizi specialistici: il servizio di psicologia di base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2698">
    <w:p>
      <w:pPr>
        <w:pStyle w:val="FootnoteText"/>
      </w:pPr>
      <w:r>
        <w:rPr>
          <w:rStyle w:val="FootnoteReference"/>
        </w:rPr>
        <w:footnoteRef/>
      </w:r>
      <w:r>
        <w:t xml:space="preserve"> </w:t>
      </w:r>
      <w:r>
        <w:t xml:space="preserve">Assetto organizzativo: l’istituzione del servizio nel Lazio deve misurarsi con un sistema esteso e policentrico — dieci Aziende Sanitarie Locali, sei metropolitane e quattro provinciali, numerose aziende ospedaliero-universitarie e IRCCS — e con l’assenza di un’azienda regionale unica, sicché il coordinamento è in capo alla Regione; garantire l’omogeneità attuativa fra le Aziende è la sfida organizzativa centrale.</w:t>
      </w:r>
    </w:p>
  </w:footnote>
  <w:footnote w:id="2699">
    <w:p>
      <w:pPr>
        <w:pStyle w:val="FootnoteText"/>
      </w:pPr>
      <w:r>
        <w:rPr>
          <w:rStyle w:val="FootnoteReference"/>
        </w:rPr>
        <w:footnoteRef/>
      </w:r>
      <w:r>
        <w:t xml:space="preserve"> </w:t>
      </w:r>
      <w:r>
        <w:t xml:space="preserve">Governance dell’istituzione: l’avvio del servizio richiede una regia regionale che coordini le dieci Aziende Sanitarie Locali, le aziende ospedaliero-universitarie e gli IRCCS, l’Ordine professionale, le rappresentanze della medicina generale e della pediatria di libera scelta e gli atenei; in assenza di un’azienda unica, la Regione esercita direttamente tale regia, definendo indirizzi operativi uniformi e un sistema di monitoraggio comune.</w:t>
      </w:r>
    </w:p>
  </w:footnote>
  <w:footnote w:id="2700">
    <w:p>
      <w:pPr>
        <w:pStyle w:val="FootnoteText"/>
      </w:pPr>
      <w:r>
        <w:rPr>
          <w:rStyle w:val="FootnoteReference"/>
        </w:rPr>
        <w:footnoteRef/>
      </w:r>
      <w:r>
        <w:t xml:space="preserve"> </w:t>
      </w:r>
      <w:r>
        <w:t xml:space="preserve">Ruolo dell’Ordine professionale: l’Ordine degli Psicologi del Lazio, che ha accompagnato l’iniziativa legislativa, concorre alla definizione dei requisiti, alla formazione e alla vigilanza deontologica; la sua collaborazione è condizione della qualità e dell’appropriatezza del servizio.</w:t>
      </w:r>
    </w:p>
  </w:footnote>
  <w:footnote w:id="2701">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2702">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2703">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2704">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2705">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2706">
    <w:p>
      <w:pPr>
        <w:pStyle w:val="FootnoteText"/>
      </w:pPr>
      <w:r>
        <w:rPr>
          <w:rStyle w:val="FootnoteReference"/>
        </w:rPr>
        <w:footnoteRef/>
      </w:r>
      <w:r>
        <w:t xml:space="preserve"> </w:t>
      </w:r>
      <w:r>
        <w:t xml:space="preserve">Sintesi dei profili: i tre profili — giuridico, organizzativo ed etico — sono presidiabili, e la condizione abilitante dell’intero intervento è l’approvazione della legge istitutiva, che il Lazio, a differenza delle regioni già dotate di una propria disciplina, deve ancora compiere; è questo l’atto da cui dipende il passaggio dalla proposta all’istituzione del servizio.</w:t>
      </w:r>
    </w:p>
  </w:footnote>
  <w:footnote w:id="2707">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2708">
    <w:p>
      <w:pPr>
        <w:pStyle w:val="FootnoteText"/>
      </w:pPr>
      <w:r>
        <w:rPr>
          <w:rStyle w:val="FootnoteReference"/>
        </w:rPr>
        <w:footnoteRef/>
      </w:r>
      <w:r>
        <w:t xml:space="preserve"> </w:t>
      </w:r>
      <w:r>
        <w:t xml:space="preserve">Esperienze italiane: il modello dell’integrazione psicologica nelle cure primarie ha una radice italiana proprio nel Lazio, dove è stato elaborato a Roma il modello dello psicologo nelle cure primarie, e dove la scorsa legislatura ha conosciuto una prima esperienza nei Punti Unici di Accesso; a ciò si aggiungono i servizi avviati nelle regioni dotate di una legge dedicata. I dati delle sperimentazioni storiche derivano però da campioni limitati e in parte da letteratura grigia, e vanno assunti con la dovuta cautela.</w:t>
      </w:r>
    </w:p>
  </w:footnote>
  <w:footnote w:id="2709">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710">
    <w:p>
      <w:pPr>
        <w:pStyle w:val="FootnoteText"/>
      </w:pPr>
      <w:r>
        <w:rPr>
          <w:rStyle w:val="FootnoteReference"/>
        </w:rPr>
        <w:footnoteRef/>
      </w:r>
      <w:r>
        <w:t xml:space="preserve"> </w:t>
      </w:r>
      <w:r>
        <w:t xml:space="preserve">Evidenza locale laziale: a differenza della Toscana, dove una sperimentazione già matura fornisce dati di esito reale, il Lazio non dispone di un servizio attivo a regime e non ha quindi dati di esito propri attuali, se non per la pregressa esperienza nei Punti Unici di Accesso; l’evidenza locale è perciò, allo stato, prospettica. Lo studio poggia, per l’efficacia, sui benchmark internazionali, sulla radice scientifica del modello nella regione e sul disegno valutativo, e dovrà essere corroborato dai dati prodotti una volta istituito il servizio.</w:t>
      </w:r>
    </w:p>
  </w:footnote>
  <w:footnote w:id="2711">
    <w:p>
      <w:pPr>
        <w:pStyle w:val="FootnoteText"/>
      </w:pPr>
      <w:r>
        <w:rPr>
          <w:rStyle w:val="FootnoteReference"/>
        </w:rPr>
        <w:footnoteRef/>
      </w:r>
      <w:r>
        <w:t xml:space="preserve"> </w:t>
      </w:r>
      <w:r>
        <w:t xml:space="preserve">Condizioni laziali per la trasferibilità e la valutazione: pur non disponendo di dati operativi attuali, il Lazio presenta un terreno favorevole alla valutazione rigorosa, costituito dalla tradizione scientifica del modello, dall’infrastruttura informatica regionale e dalla rete delle Case della Comunità in costruzione; il vantaggio peculiare della regione è di poter disegnare la valutazione fin dall’istituzione del servizio, anziché ricostruirla a posteriori, così da generare un’evidenza locale solida e non soltanto importata.</w:t>
      </w:r>
    </w:p>
  </w:footnote>
  <w:footnote w:id="2712">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2713">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Lazio presenta un profilo di mobilità sanitaria peculiare: è al tempo stesso forte attrattore, trainato dalle grandi strutture romane, e fonte di una rilevante mobilità passiva, con un saldo netto negativo ma in miglioramento. Poiché la fuga si concentra nell’alta complessità ospedaliera e chirurgica, e non nella domanda psicologica delle cure primarie, il canale del recupero della mobilità — leva centrale per le regioni debitrici del Mezzogiorno come la Puglia — è qui solo marginalmente pertinente a questo intervento. A ciò si aggiunge una circostanza finanziaria dirimente: il Lazio è in uscita da un piano di rientro durato dal 2007, con i conti riportati in attivo e l’autonomia fiscale recuperata, sicché la regione ha appena riguadagnato flessibilità di programmazione. Ne consegue che il saldo diretto risulta lievemente negativo e che il caso economico poggia in misura preponderante sulle ricadute sociali, stimate con criteri conservativi; in un contesto di liste di attesa, il contenimento della domanda impropria assume comunque una salienza diretta.</w:t>
      </w:r>
    </w:p>
  </w:footnote>
  <w:footnote w:id="2714">
    <w:p>
      <w:pPr>
        <w:pStyle w:val="FootnoteText"/>
      </w:pPr>
      <w:r>
        <w:rPr>
          <w:rStyle w:val="FootnoteReference"/>
        </w:rPr>
        <w:footnoteRef/>
      </w:r>
      <w:r>
        <w:t xml:space="preserve"> </w:t>
      </w:r>
      <w:r>
        <w:t xml:space="preserve">I valori economici oggi impiegati sono in parte ricostruiti dai conti nazionali per quota di popolazione (9,7%) e non estratti dai conti regionali certificati delle dieci Aziende Sanitarie Locali e delle aziende ospedaliero-universitarie: è la lacuna prioritaria dello studio, da colmare prima della presentazione esterna. A differenza della Toscana, inoltre, il Lazio non dispone ancora di un servizio strutturato a regime che produca dati di esito propri — se non per la pregressa esperienza nei Punti Unici di Accesso — sicché lo studio poggia, per l’efficacia, sui benchmark internazionali, sull’eredità scientifica del modello elaborato nella regione e su un disegno valutativo prospettico.</w:t>
      </w:r>
    </w:p>
  </w:footnote>
  <w:footnote w:id="2715">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716">
    <w:p>
      <w:pPr>
        <w:pStyle w:val="FootnoteText"/>
      </w:pPr>
      <w:r>
        <w:rPr>
          <w:rStyle w:val="FootnoteReference"/>
        </w:rPr>
        <w:footnoteRef/>
      </w:r>
      <w:r>
        <w:t xml:space="preserve"> </w:t>
      </w:r>
      <w:r>
        <w:t xml:space="preserve">Valutazione controfattuale d’impatto: poiché il servizio non è ancora attivo a regime, il disegno può essere progettato fin dall’inizio come un esperimento a cunei progressivi, nel quale l’ordine e i tempi di attivazione delle sedi tra le dieci Aziende Sanitarie Locali e i loro distretti sono stabiliti in anticipo a fini valutativi. È la condizione metodologicamente più favorevole dell’intera serie, poiché il Lazio muove dalla legislazione e non da una sperimentazione già in corso da ricostruire a posteriori; l’effetto causale è stimato con i metodi della differenza-nelle-differenze e del controllo sintetico.</w:t>
      </w:r>
    </w:p>
  </w:footnote>
  <w:footnote w:id="2717">
    <w:p>
      <w:pPr>
        <w:pStyle w:val="FootnoteText"/>
      </w:pPr>
      <w:r>
        <w:rPr>
          <w:rStyle w:val="FootnoteReference"/>
        </w:rPr>
        <w:footnoteRef/>
      </w:r>
      <w:r>
        <w:t xml:space="preserve"> </w:t>
      </w:r>
      <w:r>
        <w:t xml:space="preserve">La valutazione è governata da un comitato di indirizzo — Regione, dieci Aziende Sanitarie Locali, aziende ospedaliero-universitarie (Policlinico Umberto I, Policlinico Tor Vergata, San Camillo-Forlanini, San Giovanni-Addolorata, Sant’Andrea), grandi IRCCS e policlinici, Ordine degli Psicologi del Lazio, rappresentanze della medicina generale e della pediatria di libera scelta e atenei romani (Sapienza in primis, Tor Vergata, Roma Tre, Cattolica, Campus Bio-Medico). A differenza del Veneto, il Lazio non dispone di un’azienda regionale unica, e a differenza della Toscana presenta una struttura ampia e articolata — dieci Aziende Sanitarie Locali, sei nell’area metropolitana romana e quattro provinciali, oltre a numerose aziende ospedaliere e IRCCS — con coordinamento in capo alla Regione; la sfida del governo è quindi quella di istituire e dimensionare il servizio ex novo, garantendo l’omogeneità attuativa in un sistema esteso e policentrico.</w:t>
      </w:r>
    </w:p>
  </w:footnote>
  <w:footnote w:id="2718">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2719">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L’infrastruttura informatica regionale costituisce una base per la loro adozione.</w:t>
      </w:r>
    </w:p>
  </w:footnote>
  <w:footnote w:id="2720">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721">
    <w:p>
      <w:pPr>
        <w:pStyle w:val="FootnoteText"/>
      </w:pPr>
      <w:r>
        <w:rPr>
          <w:rStyle w:val="FootnoteReference"/>
        </w:rPr>
        <w:footnoteRef/>
      </w:r>
    </w:p>
  </w:footnote>
  <w:footnote w:id="2722">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2723">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il Piano regionale di azioni per la salute mentale; nel Lazio essa presenta una coerenza ulteriore, poiché dà forma istituzionale a un modello elaborato proprio nella regione, sanando la distanza fra la sua paternità scientifica e la sua mancata istituzione normativa.</w:t>
      </w:r>
    </w:p>
  </w:footnote>
  <w:footnote w:id="2724">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2725">
    <w:p>
      <w:pPr>
        <w:pStyle w:val="FootnoteText"/>
      </w:pPr>
      <w:r>
        <w:rPr>
          <w:rStyle w:val="FootnoteReference"/>
        </w:rPr>
        <w:footnoteRef/>
      </w:r>
      <w:r>
        <w:t xml:space="preserve"> </w:t>
      </w:r>
      <w:r>
        <w:t xml:space="preserve">Caso commerciale: il modello del rapporto convenzionale su base libero-professionale è praticabile e si avvale, nel Lazio, di un bacino professionale ampio, alimentato dai numerosi atenei romani; la disponibilità di psicologi qualificati non costituisce un vincolo all’avvio, a differenza di quanto potrebbe accadere in contesti a minore densità formativa.</w:t>
      </w:r>
    </w:p>
  </w:footnote>
  <w:footnote w:id="2726">
    <w:p>
      <w:pPr>
        <w:pStyle w:val="FootnoteText"/>
      </w:pPr>
      <w:r>
        <w:rPr>
          <w:rStyle w:val="FootnoteReference"/>
        </w:rPr>
        <w:footnoteRef/>
      </w:r>
      <w:r>
        <w:t xml:space="preserve"> </w:t>
      </w:r>
      <w:r>
        <w:t xml:space="preserve">Caso finanziario: il costo del servizio a regime — dell’ordine di 34, 51 e 68 milioni di euro nei tre scenari, pari allo 0,3-0,5% del finanziamento sanitario regionale — è sostenibile, tanto più che il Lazio è in uscita da un lungo piano di rientro, con i conti riportati in attivo e l’autonomia fiscale recuperata; la dotazione delle proposte di legge, dell’ordine di 14 milioni l’anno, finanzia la prima fase di avvio.</w:t>
      </w:r>
    </w:p>
  </w:footnote>
  <w:footnote w:id="2727">
    <w:p>
      <w:pPr>
        <w:pStyle w:val="FootnoteText"/>
      </w:pPr>
      <w:r>
        <w:rPr>
          <w:rStyle w:val="FootnoteReference"/>
        </w:rPr>
        <w:footnoteRef/>
      </w:r>
      <w:r>
        <w:t xml:space="preserve"> </w:t>
      </w:r>
      <w:r>
        <w:t xml:space="preserve">Caso gestionale: la realizzabilità dipende da una regia regionale che, in assenza di un’azienda unica, coordini le dieci Aziende Sanitarie Locali, le aziende ospedaliero-universitarie e gli IRCCS, l’Ordine professionale, la medicina generale e la pediatria di libera scelta e gli atenei, con indirizzi operativi uniformi e un sistema di monitoraggio comune.</w:t>
      </w:r>
    </w:p>
  </w:footnote>
  <w:footnote w:id="2728">
    <w:p>
      <w:pPr>
        <w:pStyle w:val="FootnoteText"/>
      </w:pPr>
      <w:r>
        <w:rPr>
          <w:rStyle w:val="FootnoteReference"/>
        </w:rPr>
        <w:footnoteRef/>
      </w:r>
      <w:r>
        <w:t xml:space="preserve"> </w:t>
      </w:r>
      <w:r>
        <w:t xml:space="preserve">Dimensionamento ex novo: a differenza delle regioni che strutturano un servizio già avviato, il Lazio deve dimensionare il servizio a partire da zero, verso un fabbisogno a regime dell’ordine di 1.230 psicologi nello scenario espansivo; la prima fase, corrispondente alla dotazione delle proposte di legge, si colloca nell’ordine di 255 incarichi, e l’estensione procede per gradi verso gli scenari di base ed espansivo.</w:t>
      </w:r>
    </w:p>
  </w:footnote>
  <w:footnote w:id="2729">
    <w:p>
      <w:pPr>
        <w:pStyle w:val="FootnoteText"/>
      </w:pPr>
      <w:r>
        <w:rPr>
          <w:rStyle w:val="FootnoteReference"/>
        </w:rPr>
        <w:footnoteRef/>
      </w:r>
      <w:r>
        <w:t xml:space="preserve"> </w:t>
      </w:r>
      <w:r>
        <w:t xml:space="preserve">Fasi di attuazione: l’attuazione si articola in una fase di avvio, nella quale il servizio è attivato in un primo insieme di Case della Comunità secondo un disegno scaglionato tra le Aziende; una fase di estensione, nella quale la copertura si amplia progressivamente; e una fase di regime, nella quale il servizio raggiunge il dimensionamento adeguato al fabbisogno. Il disegno scaglionato dell’avvio coincide con l’esperimento a cunei progressivi descritto nella Parte F.</w:t>
      </w:r>
    </w:p>
  </w:footnote>
  <w:footnote w:id="2730">
    <w:p>
      <w:pPr>
        <w:pStyle w:val="FootnoteText"/>
      </w:pPr>
      <w:r>
        <w:rPr>
          <w:rStyle w:val="FootnoteReference"/>
        </w:rPr>
        <w:footnoteRef/>
      </w:r>
      <w:r>
        <w:t xml:space="preserve"> </w:t>
      </w:r>
      <w:r>
        <w:t xml:space="preserve">Reclutamento e formazione: l’avvio richiede il reclutamento e la formazione dedicata degli psicologi, secondo il programma a quattro livelli; il bacino professionale ampio dell’area romana e la radice accademica del modello costituiscono una base favorevole, e la formazione specialistica assicura l’omogeneità delle competenze.</w:t>
      </w:r>
    </w:p>
  </w:footnote>
  <w:footnote w:id="2731">
    <w:p>
      <w:pPr>
        <w:pStyle w:val="FootnoteText"/>
      </w:pPr>
      <w:r>
        <w:rPr>
          <w:rStyle w:val="FootnoteReference"/>
        </w:rPr>
        <w:footnoteRef/>
      </w:r>
      <w:r>
        <w:t xml:space="preserve"> </w:t>
      </w:r>
      <w:r>
        <w:t xml:space="preserve">Cronoprogramma: l’attuazione si sviluppa su un orizzonte pluriennale, con il raggiungimento del regime in più esercizi; l’avvio è però subordinato all’approvazione della legge istitutiva, che costituisce il presupposto temporale di tutte le fasi successive e che colloca il Lazio in una posizione di partenza più arretrata rispetto alle regioni già dotate di una disciplina.</w:t>
      </w:r>
    </w:p>
  </w:footnote>
  <w:footnote w:id="2732">
    <w:p>
      <w:pPr>
        <w:pStyle w:val="FootnoteText"/>
      </w:pPr>
      <w:r>
        <w:rPr>
          <w:rStyle w:val="FootnoteReference"/>
        </w:rPr>
        <w:footnoteRef/>
      </w:r>
      <w:r>
        <w:t xml:space="preserve"> </w:t>
      </w:r>
      <w:r>
        <w:t xml:space="preserve">Sostenibilità finanziaria: la leva della sostenibilità, nel Lazio, è l’approvazione della legge, l’istituzione del servizio e il suo dimensionamento progressivo; i margini di programmazione riacquistati con l’uscita dal piano di rientro rendono praticabile l’investimento, mentre l’eventuale riconoscimento nei livelli essenziali di assistenza ne rafforzerebbe in futuro la stabilità.</w:t>
      </w:r>
    </w:p>
  </w:footnote>
  <w:footnote w:id="2733">
    <w:p>
      <w:pPr>
        <w:pStyle w:val="FootnoteText"/>
      </w:pPr>
      <w:r>
        <w:rPr>
          <w:rStyle w:val="FootnoteReference"/>
        </w:rPr>
        <w:footnoteRef/>
      </w:r>
      <w:r>
        <w:t xml:space="preserve"> </w:t>
      </w:r>
      <w:r>
        <w:t xml:space="preserve">Sostenibilità organizzativa: la sfida è garantire l’omogeneità attuativa fra le dieci Aziende Sanitarie Locali in un sistema esteso e policentrico privo di un’azienda regionale unica; la sostenibilità organizzativa dipende dalla forza della regia regionale e dalla chiarezza degli indirizzi operativi.</w:t>
      </w:r>
    </w:p>
  </w:footnote>
  <w:footnote w:id="2734">
    <w:p>
      <w:pPr>
        <w:pStyle w:val="FootnoteText"/>
      </w:pPr>
      <w:r>
        <w:rPr>
          <w:rStyle w:val="FootnoteReference"/>
        </w:rPr>
        <w:footnoteRef/>
      </w:r>
      <w:r>
        <w:t xml:space="preserve"> </w:t>
      </w:r>
      <w:r>
        <w:t xml:space="preserve">Monitoraggio dell’attuazione: l’avanzamento è seguito mediante indicatori di processo — sedi attivate, incarichi conferiti, prese in carico — raccolti attraverso un flusso informativo che, poiché il servizio nasce ora, può essere progettato fin dall’inizio in modo completo e uniforme.</w:t>
      </w:r>
    </w:p>
  </w:footnote>
  <w:footnote w:id="2735">
    <w:p>
      <w:pPr>
        <w:pStyle w:val="FootnoteText"/>
      </w:pPr>
      <w:r>
        <w:rPr>
          <w:rStyle w:val="FootnoteReference"/>
        </w:rPr>
        <w:footnoteRef/>
      </w:r>
      <w:r>
        <w:t xml:space="preserve"> </w:t>
      </w:r>
      <w:r>
        <w:t xml:space="preserve">Rischi principali dell’attuazione: la disomogeneità attuativa fra le Aziende in un sistema policentrico; la difficoltà di coordinamento in assenza di un’azienda unica; e la dipendenza dell’intero avvio dall’iter legislativo, che introduce un’incertezza temporale propria della posizione pre-legislativa.</w:t>
      </w:r>
    </w:p>
  </w:footnote>
  <w:footnote w:id="2736">
    <w:p>
      <w:pPr>
        <w:pStyle w:val="FootnoteText"/>
      </w:pPr>
      <w:r>
        <w:rPr>
          <w:rStyle w:val="FootnoteReference"/>
        </w:rPr>
        <w:footnoteRef/>
      </w:r>
      <w:r>
        <w:t xml:space="preserve"> </w:t>
      </w:r>
      <w:r>
        <w:t xml:space="preserve">Mitigazioni: i rischi sono fronteggiati con una regia regionale forte e indirizzi operativi uniformi, con il disegno scaglionato dell’avvio che consente un apprendimento progressivo, e con un’allocazione pro-equità che orienta l’estensione verso le aree a maggiore bisogno; la chiarezza del cronoprogramma e il sostegno dell’Ordine professionale concorrono a ridurre l’incertezza.</w:t>
      </w:r>
    </w:p>
  </w:footnote>
  <w:footnote w:id="2737">
    <w:p>
      <w:pPr>
        <w:pStyle w:val="FootnoteText"/>
      </w:pPr>
      <w:r>
        <w:rPr>
          <w:rStyle w:val="FootnoteReference"/>
        </w:rPr>
        <w:footnoteRef/>
      </w:r>
      <w:r>
        <w:t xml:space="preserve"> </w:t>
      </w:r>
      <w:r>
        <w:t xml:space="preserve">Sintesi dell’attuazione: l’intervento è attuabile e sostenibile, e la leva propria del Lazio è l’approvazione della legge e l’avvio dimensionato del servizio; la regione parte da zero, ma dispone di un bacino professionale ampio, di una tradizione scientifica favorevole e dei margini riacquistati con l’uscita dal piano di rientro, sicché le condizioni di fattibilità sono complessivamente favorevoli.</w:t>
      </w:r>
    </w:p>
  </w:footnote>
  <w:footnote w:id="2738">
    <w:p>
      <w:pPr>
        <w:pStyle w:val="FootnoteText"/>
      </w:pPr>
      <w:r>
        <w:rPr>
          <w:rStyle w:val="FootnoteReference"/>
        </w:rPr>
        <w:footnoteRef/>
      </w:r>
      <w:r>
        <w:t xml:space="preserve"> </w:t>
      </w:r>
      <w:r>
        <w:t xml:space="preserve">Struttura per età in moderato invecchiamento: l’età media è dell’ordine di 46,7 anni ed è in crescita, su valori inferiori a quelli delle regioni più anziane del Centro-Nord; le proiezioni indicano un indice di vecchiaia in forte aumento entro il 2050. L’invecchiamento è disomogeneo: più contenuto nell’area metropolitana e nelle province di Latina e Roma, più marcato nelle province interne di Rieti e Viterbo e nei piccoli comuni in spopolamento.</w:t>
      </w:r>
    </w:p>
  </w:footnote>
  <w:footnote w:id="2739">
    <w:p>
      <w:pPr>
        <w:pStyle w:val="FootnoteText"/>
      </w:pPr>
      <w:r>
        <w:rPr>
          <w:rStyle w:val="FootnoteReference"/>
        </w:rPr>
        <w:footnoteRef/>
      </w:r>
      <w:r>
        <w:t xml:space="preserve"> </w:t>
      </w:r>
      <w:r>
        <w:t xml:space="preserve">Componente straniera dell’ordine dell’11,4% dei residenti (651.033 persone), superiore alla media nazionale, con concentrazione nell’area romana; è il flusso migratorio estero a sostenere la popolazione e a frenarne l’invecchiamento, a fronte di un saldo naturale strutturalmente negativo.</w:t>
      </w:r>
    </w:p>
  </w:footnote>
  <w:footnote w:id="2740">
    <w:p>
      <w:pPr>
        <w:pStyle w:val="FootnoteText"/>
      </w:pPr>
      <w:r>
        <w:rPr>
          <w:rStyle w:val="FootnoteReference"/>
        </w:rPr>
        <w:footnoteRef/>
      </w:r>
      <w:r>
        <w:t xml:space="preserve"> </w:t>
      </w:r>
      <w:r>
        <w:t xml:space="preserve">Distribuzione territoriale fortemente concentrata: la Città Metropolitana di Roma Capitale raccoglie circa il 74% dei residenti (oltre quattro milioni, di cui circa 2,75 milioni nel solo comune di Roma); seguono a grande distanza le province di Latina (~9,9%), Frosinone (~8,1%), Viterbo (~5,4%) e Rieti (~2,6%).</w:t>
      </w:r>
    </w:p>
  </w:footnote>
  <w:footnote w:id="2741">
    <w:p>
      <w:pPr>
        <w:pStyle w:val="FootnoteText"/>
      </w:pPr>
      <w:r>
        <w:rPr>
          <w:rStyle w:val="FootnoteReference"/>
        </w:rPr>
        <w:footnoteRef/>
      </w:r>
      <w:r>
        <w:t xml:space="preserve"> </w:t>
      </w:r>
      <w:r>
        <w:t xml:space="preserve">Profilo territoriale a marcata polarità: da un lato la vasta area metropolitana romana, densamente popolata e con una periferia ampia che presenta sacche di deprivazione; dall’altro le province interne, anziane e in spopolamento, dove la rarefazione dei servizi e le distanze acuiscono le difficoltà di accesso.</w:t>
      </w:r>
    </w:p>
  </w:footnote>
  <w:footnote w:id="2742">
    <w:p>
      <w:pPr>
        <w:pStyle w:val="FootnoteText"/>
      </w:pPr>
      <w:r>
        <w:rPr>
          <w:rStyle w:val="FootnoteReference"/>
        </w:rPr>
        <w:footnoteRef/>
      </w:r>
    </w:p>
  </w:footnote>
  <w:footnote w:id="2743">
    <w:p>
      <w:pPr>
        <w:pStyle w:val="FootnoteText"/>
      </w:pPr>
      <w:r>
        <w:rPr>
          <w:rStyle w:val="FootnoteReference"/>
        </w:rPr>
        <w:footnoteRef/>
      </w:r>
      <w:r>
        <w:t xml:space="preserve"> </w:t>
      </w:r>
      <w:r>
        <w:t xml:space="preserve">Profilo territoriale a marcata polarità: da un lato la vasta area metropolitana romana, densamente popolata e con una periferia ampia che presenta sacche di deprivazione; dall’altro le province interne, anziane e in spopolamento,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w:t>
      </w:r>
    </w:p>
  </w:footnote>
  <w:footnote w:id="2744">
    <w:p>
      <w:pPr>
        <w:pStyle w:val="FootnoteText"/>
      </w:pPr>
      <w:r>
        <w:rPr>
          <w:rStyle w:val="FootnoteReference"/>
        </w:rPr>
        <w:footnoteRef/>
      </w:r>
    </w:p>
  </w:footnote>
  <w:footnote w:id="2745">
    <w:p>
      <w:pPr>
        <w:pStyle w:val="FootnoteText"/>
      </w:pPr>
      <w:r>
        <w:rPr>
          <w:rStyle w:val="FootnoteReference"/>
        </w:rPr>
        <w:footnoteRef/>
      </w:r>
      <w:r>
        <w:t xml:space="preserve"> </w:t>
      </w:r>
      <w:r>
        <w:t xml:space="preserve">Profilo territoriale a marcata polarità: da un lato la vasta area metropolitana romana, densamente popolata e con una periferia ampia che presenta sacche di deprivazione; dall’altro le province interne, anziane e in spopolamento,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2746">
    <w:p>
      <w:pPr>
        <w:pStyle w:val="FootnoteText"/>
      </w:pPr>
      <w:r>
        <w:rPr>
          <w:rStyle w:val="FootnoteReference"/>
        </w:rPr>
        <w:footnoteRef/>
      </w:r>
      <w:r>
        <w:t xml:space="preserve"> </w:t>
      </w:r>
      <w:r>
        <w:t xml:space="preserve">Costo del servizio: assumendo un costo medio annuo per incarico dell’ordine di 55.000 euro, comprensivo degli oneri, i tre scenari di copertura corrispondono a un costo annuo a regime dell’ordine di 34 milioni di euro nello scenario conservativo (circa 620 psicologi), 51 milioni nello scenario di base (circa 930) e 68 milioni nello scenario espansivo (circa 1.230), nel modello del rapporto convenzionale a impegno orario definito.</w:t>
      </w:r>
    </w:p>
  </w:footnote>
  <w:footnote w:id="2747">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La dotazione indicata dalle proposte di legge in itinere, dell’ordine di 14 milioni di euro l’anno, corrisponde a circa 255 incarichi e costituisce un punto d’ingresso iniziale, inferiore allo stesso scenario conservativo; gli scenari qui considerati rappresentano il regime e non la prima fase di avvio.</w:t>
      </w:r>
    </w:p>
  </w:footnote>
  <w:footnote w:id="2748">
    <w:p>
      <w:pPr>
        <w:pStyle w:val="FootnoteText"/>
      </w:pPr>
      <w:r>
        <w:rPr>
          <w:rStyle w:val="FootnoteReference"/>
        </w:rPr>
        <w:footnoteRef/>
      </w:r>
      <w:r>
        <w:t xml:space="preserve"> </w:t>
      </w:r>
      <w:r>
        <w:t xml:space="preserve">Risparmio diretto sugli accessi impropri al pronto soccorso: dell’ordine di 4, 6 e 8 milioni di euro l’anno nei tre scenari, per effetto della riduzione degli accessi per cause psichiatriche e somatoformi intercettabili a livello territoriale.</w:t>
      </w:r>
    </w:p>
  </w:footnote>
  <w:footnote w:id="2749">
    <w:p>
      <w:pPr>
        <w:pStyle w:val="FootnoteText"/>
      </w:pPr>
      <w:r>
        <w:rPr>
          <w:rStyle w:val="FootnoteReference"/>
        </w:rPr>
        <w:footnoteRef/>
      </w:r>
      <w:r>
        <w:t xml:space="preserve"> </w:t>
      </w:r>
      <w:r>
        <w:t xml:space="preserve">Risparmio diretto sulla spesa farmaceutica: dell’ordine di 4, 7 e 11 milioni di euro l’anno, per effetto della riduzione delle prescrizioni inappropriate di antidepressivi e ansiolitici nei quadri lievi, in favore dell’intervento psicologico.</w:t>
      </w:r>
    </w:p>
  </w:footnote>
  <w:footnote w:id="2750">
    <w:p>
      <w:pPr>
        <w:pStyle w:val="FootnoteText"/>
      </w:pPr>
      <w:r>
        <w:rPr>
          <w:rStyle w:val="FootnoteReference"/>
        </w:rPr>
        <w:footnoteRef/>
      </w:r>
      <w:r>
        <w:t xml:space="preserve"> </w:t>
      </w:r>
      <w:r>
        <w:t xml:space="preserve">Risparmio diretto su ricoveri e specialistica: dell’ordine di 12, 19 e 32 milioni di euro l’anno, per effetto della riduzione di ricoveri evitabili, consulti specialistici ripetuti e accertamenti inappropriati connessi a disagio non riconosciuto.</w:t>
      </w:r>
    </w:p>
  </w:footnote>
  <w:footnote w:id="2751">
    <w:p>
      <w:pPr>
        <w:pStyle w:val="FootnoteText"/>
      </w:pPr>
      <w:r>
        <w:rPr>
          <w:rStyle w:val="FootnoteReference"/>
        </w:rPr>
        <w:footnoteRef/>
      </w:r>
      <w:r>
        <w:t xml:space="preserve"> </w:t>
      </w:r>
      <w:r>
        <w:t xml:space="preserve">Recupero della mobilità sanitaria: per il Lazio il contributo è marginale, dell’ordine di 2 milioni di euro l’anno in tutti gli scenari, valore puramente simbolico. Il profilo di mobilità della regione è bidirezionale — forte attrazione e rilevante fuga, con saldo netto passivo ma in miglioramento — ma la fuga si concentra nell’alta complessità ospedaliera e chirurgica, non nella domanda psicologica delle cure primarie, sicché questo canale, leva centrale per le regioni debitrici del Mezzogiorno, non costituisce qui una fonte di risparmio significativa per questo intervento.</w:t>
      </w:r>
    </w:p>
  </w:footnote>
  <w:footnote w:id="2752">
    <w:p>
      <w:pPr>
        <w:pStyle w:val="FootnoteText"/>
      </w:pPr>
      <w:r>
        <w:rPr>
          <w:rStyle w:val="FootnoteReference"/>
        </w:rPr>
        <w:footnoteRef/>
      </w:r>
    </w:p>
  </w:footnote>
  <w:footnote w:id="2753">
    <w:p>
      <w:pPr>
        <w:pStyle w:val="FootnoteText"/>
      </w:pPr>
      <w:r>
        <w:rPr>
          <w:rStyle w:val="FootnoteReference"/>
        </w:rPr>
        <w:footnoteRef/>
      </w:r>
      <w:r>
        <w:t xml:space="preserve"> </w:t>
      </w:r>
      <w:r>
        <w:t xml:space="preserve">Recupero della mobilità sanitaria: per il Lazio il contributo è marginale, dell’ordine di 2 milioni di euro l’anno in tutti gli scenari, valore puramente simbolico. Il profilo di mobilità della regione è bidirezionale — forte attrazione e rilevante fuga, con saldo netto passivo ma in miglioramento — ma la fuga si concentra nell’alta complessità ospedaliera e chirurgica, non nella domanda psicologica delle cure primarie, sicché questo canale, leva centrale per le regioni debitrici del Mezzogiorno, non costituisce qui una fonte di risparmio significativa per questo intervento.Finalità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2754">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2755">
    <w:p>
      <w:pPr>
        <w:pStyle w:val="FootnoteText"/>
      </w:pPr>
      <w:r>
        <w:rPr>
          <w:rStyle w:val="FootnoteReference"/>
        </w:rPr>
        <w:footnoteRef/>
      </w:r>
      <w:r>
        <w:t xml:space="preserve"> </w:t>
      </w:r>
      <w:r>
        <w:t xml:space="preserve">Disegno controfattuale prospettico: poiché nel Lazio il servizio non è ancora attivo, la valutazione d’impatto può fondarsi su un esperimento a cunei progressivi, nel quale l’ordine e i tempi di attivazione delle sedi tra le dieci Aziende Sanitarie Locali e i loro distretti sono stabiliti in anticipo a fini valutativi; è il disegno metodologicamente più solido dell’intera serie regionale, reso possibile dal fatto che la regione muove dalla legislazione e non da una sperimentazione già in corso da ricostruire a posteriori.</w:t>
      </w:r>
    </w:p>
  </w:footnote>
  <w:footnote w:id="2756">
    <w:p>
      <w:pPr>
        <w:pStyle w:val="FootnoteText"/>
      </w:pPr>
      <w:r>
        <w:rPr>
          <w:rStyle w:val="FootnoteReference"/>
        </w:rPr>
        <w:footnoteRef/>
      </w:r>
      <w:r>
        <w:t xml:space="preserve"> </w:t>
      </w:r>
      <w:r>
        <w:t xml:space="preserve">Misurazione di base anteriore all’istituzione: il vantaggio di partire da zero consente di rilevare una linea di base completa prima dell’avvio del servizio, contro la quale misurare l’effetto; è una condizione che le regioni con un servizio già attivo non possono più ricostruire pienamente, e che rende la stima dell’effetto laziale particolarmente affidabile.</w:t>
      </w:r>
    </w:p>
  </w:footnote>
  <w:footnote w:id="2757">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scaglionata fornisce la variazione necessaria all’identificazione.</w:t>
      </w:r>
    </w:p>
  </w:footnote>
  <w:footnote w:id="2758">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2759">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2760">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2761">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2762">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2763">
    <w:p>
      <w:pPr>
        <w:pStyle w:val="FootnoteText"/>
      </w:pPr>
      <w:r>
        <w:rPr>
          <w:rStyle w:val="FootnoteReference"/>
        </w:rPr>
        <w:footnoteRef/>
      </w:r>
      <w:r>
        <w:t xml:space="preserve"> </w:t>
      </w:r>
      <w:r>
        <w:t xml:space="preserve">Indicatori di equità: copertura e accesso disaggregati per area — centro e periferie metropolitane, province interne — e per gruppi di popolazione, compresa l’utenza straniera; verificano che il servizio riduca i divari anziché accrescerli, coerentemente con l’allocazione pro-equità raccomandata.</w:t>
      </w:r>
    </w:p>
  </w:footnote>
  <w:footnote w:id="2764">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2765">
    <w:p>
      <w:pPr>
        <w:pStyle w:val="FootnoteText"/>
      </w:pPr>
      <w:r>
        <w:rPr>
          <w:rStyle w:val="FootnoteReference"/>
        </w:rPr>
        <w:footnoteRef/>
      </w:r>
      <w:r>
        <w:t xml:space="preserve"> </w:t>
      </w:r>
      <w:r>
        <w:t xml:space="preserve">Indicatori di mobilità: per il Lazio sono monitorati ma non costituiscono un esito atteso dell’intervento, poiché la fuga riguarda l’alta complessità ospedaliera e chirurgica e non la domanda psicologica territoriale; la loro rilevazione serve a confermare l’irrilevanza del canale per questo intervento, non a documentarne un effetto.</w:t>
      </w:r>
    </w:p>
  </w:footnote>
  <w:footnote w:id="2766">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laziale.</w:t>
      </w:r>
    </w:p>
  </w:footnote>
  <w:footnote w:id="2767">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 Regione, che ne assicura l’alimentazione uniforme da parte delle dieci Aziende.</w:t>
      </w:r>
    </w:p>
  </w:footnote>
  <w:footnote w:id="2768">
    <w:p>
      <w:pPr>
        <w:pStyle w:val="FootnoteText"/>
      </w:pPr>
      <w:r>
        <w:rPr>
          <w:rStyle w:val="FootnoteReference"/>
        </w:rPr>
        <w:footnoteRef/>
      </w:r>
      <w:r>
        <w:t xml:space="preserve"> </w:t>
      </w:r>
      <w:r>
        <w:t xml:space="preserve">Clausola valutativa: lo strumento attraverso cui il monitoraggio diventa vincolante è la clausola valutativa, da prevedere espressamente nella futura legge istitutiva, che impegna la Giunta a riferire periodicamente al Consiglio sull’attuazione e sui risultati del servizio; nel Lazio essa va inserita fin dal testo di legge, cogliendo l’occasione che la posizione pre-legislativa offre.</w:t>
      </w:r>
    </w:p>
  </w:footnote>
  <w:footnote w:id="2769">
    <w:p>
      <w:pPr>
        <w:pStyle w:val="FootnoteText"/>
      </w:pPr>
      <w:r>
        <w:rPr>
          <w:rStyle w:val="FootnoteReference"/>
        </w:rPr>
        <w:footnoteRef/>
      </w:r>
      <w:r>
        <w:t xml:space="preserve"> </w:t>
      </w:r>
      <w:r>
        <w:t xml:space="preserve">Flusso informativo: la raccolta dei dati di processo e di esito poggia su un flusso informativo che, poiché il servizio nasce ora, può essere progettato fin dall’inizio in modo completo, uniforme e interoperabile con il fascicolo sanitario elettronico regionale, senza dover recuperare a posteriori dati frammentari.</w:t>
      </w:r>
    </w:p>
  </w:footnote>
  <w:footnote w:id="2770">
    <w:p>
      <w:pPr>
        <w:pStyle w:val="FootnoteText"/>
      </w:pPr>
      <w:r>
        <w:rPr>
          <w:rStyle w:val="FootnoteReference"/>
        </w:rPr>
        <w:footnoteRef/>
      </w:r>
      <w:r>
        <w:t xml:space="preserve"> </w:t>
      </w:r>
      <w:r>
        <w:t xml:space="preserve">Tempi della valutazione: la valutazione si articola in un momento ex ante, con la rilevazione della linea di base prima dell’avvio; in un monitoraggio in itinere, che accompagna l’estensione; e in una valutazione ex post, che misura l’effetto a regime e ne verifica la sostenibilità; è una sequenza che il disegno prospettico laziale consente di realizzare integralmente.</w:t>
      </w:r>
    </w:p>
  </w:footnote>
  <w:footnote w:id="2771">
    <w:p>
      <w:pPr>
        <w:pStyle w:val="FootnoteText"/>
      </w:pPr>
      <w:r>
        <w:rPr>
          <w:rStyle w:val="FootnoteReference"/>
        </w:rPr>
        <w:footnoteRef/>
      </w:r>
      <w:r>
        <w:t xml:space="preserve"> </w:t>
      </w:r>
      <w:r>
        <w:t xml:space="preserve">Sintesi del monitoraggio: la valutazione è la condizione per trasformare l’istituzione del servizio in apprendimento, e il Lazio può disegnarla nella forma più completa, dalla linea di base alla valutazione ex post; perché ciò si realizzi, la clausola valutativa e il flusso informativo vanno previsti fin dal testo di legge, facendo della posizione pre-legislativa un’occasione anziché un ritardo.</w:t>
      </w:r>
    </w:p>
  </w:footnote>
  <w:footnote w:id="2772">
    <w:p>
      <w:pPr>
        <w:pStyle w:val="FootnoteText"/>
      </w:pPr>
      <w:r>
        <w:rPr>
          <w:rStyle w:val="FootnoteReference"/>
        </w:rPr>
        <w:footnoteRef/>
      </w:r>
      <w:r>
        <w:t xml:space="preserve"> </w:t>
      </w:r>
      <w:r>
        <w:t xml:space="preserve">Ricadute economico-sociali per la collettività: dell’ordine di 110, 207 e 320 milioni di euro l’anno nei tre scenari, comprensive del recupero di produttività connesso alla riduzione dell’assenteismo e della perdita di rendimento lavorativo, del valore del benessere recuperato e del minor carico assistenziale sulle famiglie; sono stimate con criteri conservativi.</w:t>
      </w:r>
    </w:p>
  </w:footnote>
  <w:footnote w:id="2773">
    <w:p>
      <w:pPr>
        <w:pStyle w:val="FootnoteText"/>
      </w:pPr>
      <w:r>
        <w:rPr>
          <w:rStyle w:val="FootnoteReference"/>
        </w:rPr>
        <w:footnoteRef/>
      </w:r>
      <w:r>
        <w:t xml:space="preserve"> </w:t>
      </w:r>
      <w:r>
        <w:t xml:space="preserve">Ritorno complessivo annuo, somma dei risparmi diretti e delle ricadute sociali: dell’ordine di 132, 241 e 373 milioni di euro nei tre scenari. Detratto il costo del servizio, il saldo complessivo per la collettività è ampiamente positivo, dell’ordine di +98, +190 e +305 milioni di euro l’anno.</w:t>
      </w:r>
    </w:p>
  </w:footnote>
  <w:footnote w:id="2774">
    <w:p>
      <w:pPr>
        <w:pStyle w:val="FootnoteText"/>
      </w:pPr>
      <w:r>
        <w:rPr>
          <w:rStyle w:val="FootnoteReference"/>
        </w:rPr>
        <w:footnoteRef/>
      </w:r>
      <w:r>
        <w:t xml:space="preserve"> </w:t>
      </w:r>
      <w:r>
        <w:t xml:space="preserve">Rapporto beneficio-costo complessivo: dell’ordine di 3,9 a uno nello scenario conservativo, 4,7 a uno in quello di base e 5,5 a uno in quello espansivo, interamente compreso nella banda prudenziale di 3,8-5,5 a uno adottata dallo studio e coerente con le stime metodologicamente fondate della letteratura.</w:t>
      </w:r>
    </w:p>
  </w:footnote>
  <w:footnote w:id="2775">
    <w:p>
      <w:pPr>
        <w:pStyle w:val="FootnoteText"/>
      </w:pPr>
      <w:r>
        <w:rPr>
          <w:rStyle w:val="FootnoteReference"/>
        </w:rPr>
        <w:footnoteRef/>
      </w:r>
      <w:r>
        <w:t xml:space="preserve"> </w:t>
      </w:r>
      <w:r>
        <w:t xml:space="preserve">Distinzione cardine fra caso finanziario e caso economico: è il punto che lo studio tiene fermo per il Lazio e che ne governa la lettura. Il caso puramente finanziario per il bilancio sanitario è di modesto disavanzo, poiché i risparmi diretti non coprono per intero il costo del servizio e il canale della mobilità è marginale.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contenuto per il bilancio sanitario.</w:t>
      </w:r>
    </w:p>
  </w:footnote>
  <w:footnote w:id="2776">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2777">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2778">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2779">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0,5% in quello espansivo. La sostenibilità è favorita dalla circostanza che il Lazio è in uscita da un lungo piano di rientro, con i conti riportati in attivo e l’autonomia fiscale recuperata: la regione dispone oggi di margini di programmazione che fino a pochi anni or sono non aveva, e che rendono praticabile un investimento di questa entità.</w:t>
      </w:r>
    </w:p>
  </w:footnote>
  <w:footnote w:id="2780">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(9,7%) e non estratte dai conti certificati delle dieci Aziende Sanitarie Locali e delle aziende ospedaliero-universitarie; inoltre, a differenza della Toscana, il Lazio non dispone ancora di un servizio attivo che produca dati di esito propri. La stima poggia perciò sui benchmark internazionali, sulla radice scientifica del modello nella regione e sul disegno valutativo prospettico; è la lacuna prioritaria da colmare prima della presentazione esterna, mediante l’estrazione dei dati certificati e la raccolta dei dati di esito a partire dall’istituzione del servizio.</w:t>
      </w:r>
    </w:p>
  </w:footnote>
  <w:footnote w:id="2781">
    <w:p>
      <w:pPr>
        <w:pStyle w:val="FootnoteText"/>
      </w:pPr>
      <w:r>
        <w:rPr>
          <w:rStyle w:val="FootnoteReference"/>
        </w:rPr>
        <w:footnoteRef/>
      </w:r>
      <w:r>
        <w:t xml:space="preserve"> </w:t>
      </w:r>
      <w:r>
        <w:t xml:space="preserve">Sintesi della valutazione economica: il caso diretto è prudente e di modesto disavanzo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2782">
    <w:p>
      <w:pPr>
        <w:pStyle w:val="FootnoteText"/>
      </w:pPr>
      <w:r>
        <w:rPr>
          <w:rStyle w:val="FootnoteReference"/>
        </w:rPr>
        <w:footnoteRef/>
      </w:r>
      <w:r>
        <w:t xml:space="preserve"> </w:t>
      </w:r>
      <w:r>
        <w:t xml:space="preserve">Bisogno potenziale stimato nell’ordine di 1.150.000 persone con disagio comune, in larga parte non intercettato dall’offerta strutturata attuale; poiché il servizio non è ancora istituito, l’intervento va dimensionato fin dal principio sul fabbisogno, e non a partire da una sperimentazione già in corso.</w:t>
      </w:r>
    </w:p>
  </w:footnote>
  <w:footnote w:id="2783">
    <w:p>
      <w:pPr>
        <w:pStyle w:val="FootnoteText"/>
      </w:pPr>
      <w:r>
        <w:rPr>
          <w:rStyle w:val="FootnoteReference"/>
        </w:rPr>
        <w:footnoteRef/>
      </w:r>
      <w:r>
        <w:t xml:space="preserve"> </w:t>
      </w:r>
      <w:r>
        <w:t xml:space="preserve">Modello organizzativo: lo psicologo di base opera nelle Case della Comunità, in collaborazione con i medici di medicina generale, i pediatri di libera scelta e i Centri di Salute Mentale, secondo l’impianto delle proposte di legge in itinere, che prevedono uno psicologo ogni quindicimila abitanti e l’inserimento nei distretti territoriali. Nel modello laziale il servizio va istituito ex novo nelle dieci Aziende Sanitarie Locali; a differenza del Veneto, la Regione non dispone di un’azienda regionale unica, e il coordinamento è in capo alla Regione, sicché l’omogeneità attuativa in un sistema esteso e policentrico — sei Aziende metropolitane e quattro provinciali — è la sfida organizzativa principale.</w:t>
      </w:r>
    </w:p>
  </w:footnote>
  <w:footnote w:id="2784">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785">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poggia su un modello clinico elaborato proprio nella regione, nell’ambito della psicologia delle cure primarie.</w:t>
      </w:r>
    </w:p>
  </w:footnote>
  <w:footnote w:id="2786">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787">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788">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789">
    <w:p>
      <w:pPr>
        <w:pStyle w:val="FootnoteText"/>
      </w:pPr>
      <w:r>
        <w:rPr>
          <w:rStyle w:val="FootnoteReference"/>
        </w:rPr>
        <w:footnoteRef/>
      </w:r>
    </w:p>
  </w:footnote>
  <w:footnote w:id="2790">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2791">
    <w:p>
      <w:pPr>
        <w:pStyle w:val="FootnoteText"/>
      </w:pPr>
      <w:r>
        <w:rPr>
          <w:rStyle w:val="FootnoteReference"/>
        </w:rPr>
        <w:footnoteRef/>
      </w:r>
      <w:r>
        <w:t xml:space="preserve"> </w:t>
      </w:r>
      <w:r>
        <w:t xml:space="preserve">Sintesi per dominio: il bisogno è ampio e radicato in una regione che del modello è la culla scientifica; l’efficacia clinica è sostenuta da evidenza internazionale solida e, per il Lazio, integrata da un disegno valutativo prospettico; il quadro economico distingue un caso finanziario di modesto disavanzo da un caso sociale fortemente positivo; l’equità è favorevole su un doppio asse territoriale; la fattibilità è quella di un’istituzione ex novo; il monitoraggio può essere disegnato nella forma più completa della serie. La convergenza dei domini sostiene una raccomandazione favorevole.</w:t>
      </w:r>
    </w:p>
  </w:footnote>
  <w:footnote w:id="2792">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2793">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2794">
    <w:p>
      <w:pPr>
        <w:pStyle w:val="FootnoteText"/>
      </w:pPr>
      <w:r>
        <w:rPr>
          <w:rStyle w:val="FootnoteReference"/>
        </w:rPr>
        <w:footnoteRef/>
      </w:r>
      <w:r>
        <w:t xml:space="preserve"> </w:t>
      </w:r>
      <w:r>
        <w:t xml:space="preserve">Punteggio dell’intervento: la media ponderata dei punteggi attribuiti all’intervento è dell’ordine di 78 su 100, sostenuta dai punteggi elevati nel valore sociale, nell’equità e nel ritorno economico, e contenuta dai punteggi più bassi nella robustezza dell’evidenza propria e nella fattibilità, che riflettono la posizione pre-legislativa della regione.</w:t>
      </w:r>
    </w:p>
  </w:footnote>
  <w:footnote w:id="2795">
    <w:p>
      <w:pPr>
        <w:pStyle w:val="FootnoteText"/>
      </w:pPr>
      <w:r>
        <w:rPr>
          <w:rStyle w:val="FootnoteReference"/>
        </w:rPr>
        <w:footnoteRef/>
      </w:r>
      <w:r>
        <w:t xml:space="preserve"> </w:t>
      </w:r>
      <w:r>
        <w:t xml:space="preserve">Punteggio del non intervento: l’alternativa di non istituire il servizio ottiene una media ponderata dell’ordine di 39 su 100; essa è penalizzata in tutti i criteri sostanziali — efficacia, equità, valore sociale, ritorno — e è sostenuta soltanto dalla fattibilità immediata dello status quo, che però nel Lazio appare oggi meno giustificata, vista la disponibilità di margini finanziari riacquistati.</w:t>
      </w:r>
    </w:p>
  </w:footnote>
  <w:footnote w:id="2796">
    <w:p>
      <w:pPr>
        <w:pStyle w:val="FootnoteText"/>
      </w:pPr>
      <w:r>
        <w:rPr>
          <w:rStyle w:val="FootnoteReference"/>
        </w:rPr>
        <w:footnoteRef/>
      </w:r>
      <w:r>
        <w:t xml:space="preserve"> </w:t>
      </w:r>
      <w:r>
        <w:t xml:space="preserve">Interpretazione del confronto: l’intervento prevale nettamente sul non intervento, con uno scarto dell’ordine di trentotto punti; il punteggio dell’intervento è il più contenuto fra quelli delle regioni esaminate di recente, e ciò non segnala una minore validità del modello, ma la posizione più precoce del Lazio, che deve ancora legiferare e non dispone di dati propri — elementi destinati a rafforzarsi con l’istituzione del servizio.</w:t>
      </w:r>
    </w:p>
  </w:footnote>
  <w:footnote w:id="2797">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2798">
    <w:p>
      <w:pPr>
        <w:pStyle w:val="FootnoteText"/>
      </w:pPr>
      <w:r>
        <w:rPr>
          <w:rStyle w:val="FootnoteReference"/>
        </w:rPr>
        <w:footnoteRef/>
      </w:r>
      <w:r>
        <w:t xml:space="preserve"> </w:t>
      </w:r>
      <w:r>
        <w:t xml:space="preserve">Raccomandazione principale: si raccomanda di approvare la legge istitutiva del servizio di psicologia di base e di istituire il servizio ex novo, dotandolo dal principio di una forma stabile e di un dimensionamento adeguato; è la decisione che il Lazio, culla scientifica del modello, è chiamato a compiere per colmare la distanza fra la paternità dell’idea e la sua istituzione.</w:t>
      </w:r>
    </w:p>
  </w:footnote>
  <w:footnote w:id="2799">
    <w:p>
      <w:pPr>
        <w:pStyle w:val="FootnoteText"/>
      </w:pPr>
      <w:r>
        <w:rPr>
          <w:rStyle w:val="FootnoteReference"/>
        </w:rPr>
        <w:footnoteRef/>
      </w:r>
      <w:r>
        <w:t xml:space="preserve"> </w:t>
      </w:r>
      <w:r>
        <w:t xml:space="preserve">Dimensionamento raccomandato: si raccomanda di muovere dall’avvio corrispondente alla dotazione delle proposte di legge, dell’ordine di 255 incarichi, e di procedere per gradi verso lo scenario di base, dell’ordine di 930 psicologi, e quindi verso lo scenario espansivo, dell’ordine di 1.230, in funzione della verifica progressiva dei risultati e della sostenibilità.</w:t>
      </w:r>
    </w:p>
  </w:footnote>
  <w:footnote w:id="2800">
    <w:p>
      <w:pPr>
        <w:pStyle w:val="FootnoteText"/>
      </w:pPr>
      <w:r>
        <w:rPr>
          <w:rStyle w:val="FootnoteReference"/>
        </w:rPr>
        <w:footnoteRef/>
      </w:r>
      <w:r>
        <w:t xml:space="preserve"> </w:t>
      </w:r>
      <w:r>
        <w:t xml:space="preserve">Condizioni della raccomandazione: l’inserimento della clausola valutativa nel testo di legge, l’adozione di un’allocazione pro-equità verso le periferie metropolitane e le province interne, una regia regionale forte in assenza di un’azienda unica e un flusso informativo progettato fin dall’inizio sono le condizioni che trasformano la raccomandazione in un’attuazione efficace e valutabile.</w:t>
      </w:r>
    </w:p>
  </w:footnote>
  <w:footnote w:id="2801">
    <w:p>
      <w:pPr>
        <w:pStyle w:val="FootnoteText"/>
      </w:pPr>
      <w:r>
        <w:rPr>
          <w:rStyle w:val="FootnoteReference"/>
        </w:rPr>
        <w:footnoteRef/>
      </w:r>
      <w:r>
        <w:t xml:space="preserve"> </w:t>
      </w:r>
      <w:r>
        <w:t xml:space="preserve">Lacuna da colmare prima della presentazione esterna: l’estrazione dei conti certificati delle dieci Aziende Sanitarie Locali e delle aziende ospedaliero-universitarie e la raccolta dei dati di esito a partire dall’istituzione del servizio sono le priorità che consentiranno di sostituire i valori ricostruiti per quota di popolazione con grandezze effettive e di generare un’evidenza locale propria.</w:t>
      </w:r>
    </w:p>
  </w:footnote>
  <w:footnote w:id="2802">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2803">
    <w:p>
      <w:pPr>
        <w:pStyle w:val="FootnoteText"/>
      </w:pPr>
      <w:r>
        <w:rPr>
          <w:rStyle w:val="FootnoteReference"/>
        </w:rPr>
        <w:footnoteRef/>
      </w:r>
      <w:r>
        <w:t xml:space="preserve"> </w:t>
      </w:r>
      <w:r>
        <w:t xml:space="preserve">Collocazione nella serie regionale: lo studio sul Lazio è l’ottavo della serie, dopo quelli su Puglia, Lombardia, Veneto, Emilia-Romagna, Piemonte, Toscana e Liguria, e ne condivide il telaio integrato e il caso di riferimento; rispetto agli altri, il Lazio occupa la posizione più precoce, quella di una regione che del modello è la culla scientifica ma che deve ancora istituirlo per legge, e che proprio per questo può disegnarne fin dall’origine la valutazione nella forma più rigorosa.</w:t>
      </w:r>
    </w:p>
  </w:footnote>
  <w:footnote w:id="2804">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2805">
    <w:p>
      <w:pPr>
        <w:pStyle w:val="FootnoteText"/>
      </w:pPr>
      <w:r>
        <w:rPr>
          <w:rStyle w:val="FootnoteReference"/>
        </w:rPr>
        <w:footnoteRef/>
      </w:r>
      <w:r>
        <w:t xml:space="preserve"> </w:t>
      </w:r>
      <w:r>
        <w:t xml:space="preserve">Conclusione: la decisione che lo studio sostiene è di approvare la legge istitutiva e di istituire il servizio di psicologia di base, dimensionandolo progressivamente al fabbisogno e dotandolo di una clausola valutativa; per il Lazio, culla scientifica del modello, ciò significa chiudere il cerchio fra la paternità dell’idea e la sua istituzione, trasformando un primato scientifico in un servizio strutturato a beneficio della popolazione.</w:t>
      </w:r>
    </w:p>
  </w:footnote>
  <w:footnote w:id="2806">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servizio non è ancora attivo, il Lazio può progettare il flusso informativo fin dal primo giorno, in modo completo e uniforme, senza dover recuperare a posteriori dati frammentari: è la condizione più favorevole della serie.</w:t>
      </w:r>
    </w:p>
  </w:footnote>
  <w:footnote w:id="2807">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808">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809">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810">
    <w:p>
      <w:pPr>
        <w:pStyle w:val="FootnoteText"/>
      </w:pPr>
      <w:r>
        <w:rPr>
          <w:rStyle w:val="FootnoteReference"/>
        </w:rPr>
        <w:footnoteRef/>
      </w:r>
      <w:r>
        <w:t xml:space="preserve"> </w:t>
      </w:r>
      <w:r>
        <w:t xml:space="preserve">Telepsicologia e telemonitoraggio assistiti: nel Lazio sono lo strumento per garantire l’accesso al sostegno psicologico nella vasta periferia metropolitana romana e nelle province interne, anziane e in spopolamento, dove le distanze e la rarefazione dei servizi rendono difficoltoso il raggiungimento delle sedi; tali strumenti sono concepiti come complementari e non sostitutivi della presa in carico in presenza.</w:t>
      </w:r>
    </w:p>
  </w:footnote>
  <w:footnote w:id="2811">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2812">
    <w:p>
      <w:pPr>
        <w:pStyle w:val="FootnoteText"/>
      </w:pPr>
      <w:r>
        <w:rPr>
          <w:rStyle w:val="FootnoteReference"/>
        </w:rPr>
        <w:footnoteRef/>
      </w:r>
      <w:r>
        <w:t xml:space="preserve"> </w:t>
      </w:r>
      <w:r>
        <w:t xml:space="preserve">Programma formativo a quattro livelli: universitario (curricula e tirocini presso gli atenei romani, primo fra tutti la Sapienza, nel cui ambito il modello è stato elaborato, e inoltre Tor Vergata, Roma Tre, Cattolica e Campus Bio-Medico); post-universitario specialistico (formazione dedicata alla psicologia di base e alle cure primarie, comprensiva della competenza per l’età anziana, per le aree interne e della competenza culturale per l’utenza straniera); continuo lavorativo (aggiornamento in servizio, audit clinico, educazione continua in medicina); affiancamento operativo (tutoraggio sul campo e inserimento graduale con supervisione). La radice accademica del modello nella regione costituisce una base formativa peculiare.</w:t>
      </w:r>
    </w:p>
  </w:footnote>
  <w:footnote w:id="2813">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2814">
    <w:p>
      <w:pPr>
        <w:pStyle w:val="FootnoteText"/>
      </w:pPr>
      <w:r>
        <w:rPr>
          <w:rStyle w:val="FootnoteReference"/>
        </w:rPr>
        <w:footnoteRef/>
      </w:r>
    </w:p>
  </w:footnote>
  <w:footnote w:id="2815">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2816">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2817">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2818">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2819">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2820">
    <w:p>
      <w:pPr>
        <w:pStyle w:val="FootnoteText"/>
      </w:pPr>
      <w:r>
        <w:rPr>
          <w:rStyle w:val="FootnoteReference"/>
        </w:rPr>
        <w:footnoteRef/>
      </w:r>
    </w:p>
  </w:footnote>
  <w:footnote w:id="2821">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822">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823">
    <w:p>
      <w:pPr>
        <w:pStyle w:val="FootnoteText"/>
      </w:pPr>
      <w:r>
        <w:rPr>
          <w:rStyle w:val="FootnoteReference"/>
        </w:rPr>
        <w:footnoteRef/>
      </w:r>
      <w:r>
        <w:t xml:space="preserve"> </w:t>
      </w:r>
      <w:r>
        <w:t xml:space="preserve">Quadro economico consolidato per il Lazio (Parte E): a regime, da circa 620 a circa 1.230 psicologi, costo del servizio di 34-68 milioni, risparmi diretti di 22-53 milioni, ricadute sociali di 110-320 milioni; il saldo diretto è lievemente negativo, il saldo complessivo fortemente positivo, con rapporto beneficio-costo di 3,8-5,5 a uno.</w:t>
      </w:r>
    </w:p>
  </w:footnote>
  <w:footnote w:id="2824">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825">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 Lazio, poiché il servizio non è ancora attivo, possono essere definiti fin dall’istituzione, in forma completa e uniforme.</w:t>
      </w:r>
    </w:p>
  </w:footnote>
  <w:footnote w:id="2826">
    <w:p>
      <w:pPr>
        <w:pStyle w:val="FootnoteText"/>
      </w:pPr>
      <w:r>
        <w:rPr>
          <w:rStyle w:val="FootnoteReference"/>
        </w:rPr>
        <w:footnoteRef/>
      </w:r>
      <w:r>
        <w:t xml:space="preserve"> </w:t>
      </w:r>
      <w:r>
        <w:t xml:space="preserve">Valori regionali di ancoraggio per il Lazio: popolazione di 5.709.178 abitanti (Censimento ISTAT 2024), la più popolosa della serie, in lievissimo calo per saldo naturale negativo compensato dal saldo migratorio, fortemente concentrata sull’area metropolitana di Roma (circa il 74%); finanziamento del Servizio sanitario regionale dell’ordine di 12-13 miliardi di euro, in uscita da un lungo piano di rientro con i conti riportati in attivo e l’autonomia fiscale recuperata; saldo di mobilità passivo ma con profilo bidirezionale, e fuga concentrata nell’alta complessità ospedaliera e chirurgica; fabbisogno a regime fino a circa 1.230 psicologi nello scenario espansivo.</w:t>
      </w:r>
    </w:p>
  </w:footnote>
  <w:footnote w:id="2827">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laziale (9,7%), e non estratti dai conti regionali certificati; i dati da acquisire presso le dieci Aziende Sanitarie Locali e le aziende ospedaliero-universitarie sono elencati nella tabella seguente, e nel Lazio, a differenza della Toscana, la loro mancanza non è ancora mitigata da dati operativi, poiché il servizio non è stato ancora istituito.</w:t>
      </w:r>
    </w:p>
  </w:footnote>
  <w:footnote w:id="2828">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829">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e ligure, di cui questo studio replica il telaio metodologico.</w:t>
      </w:r>
    </w:p>
  </w:footnote>
  <w:footnote w:id="2830">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2831">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2832">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la dotazione delle proposte di legge in itinere, dell’ordine di 14 milioni di euro l’anno, corrisponde a un punto d’ingresso iniziale inferiore allo scenario conservativo, e costituisce la prima tappa di un percorso di estensione progressiva.</w:t>
      </w:r>
    </w:p>
  </w:footnote>
  <w:footnote w:id="2833">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2834">
    <w:p>
      <w:pPr>
        <w:pStyle w:val="FootnoteText"/>
      </w:pPr>
      <w:r>
        <w:rPr>
          <w:rStyle w:val="FootnoteReference"/>
        </w:rPr>
        <w:footnoteRef/>
      </w:r>
      <w:r>
        <w:t xml:space="preserve"> </w:t>
      </w:r>
      <w:r>
        <w:t xml:space="preserve">Disegno della verifica empirica: poiché nel Lazio il servizio non è ancora attivo, la verifica controfattuale può essere progettata fin dall’inizio come un esperimento a cunei progressivi, nel quale l’ordine e i tempi di attivazione delle sedi tra le dieci Aziende Sanitarie Locali e i loro distretti sono stabiliti in anticipo a fini valutativi. È la condizione metodologicamente più favorevole dell’intera serie regionale, poiché il Lazio muove dalla legislazione e non da una sperimentazione già in corso da ricostruire a posteriori.</w:t>
      </w:r>
    </w:p>
  </w:footnote>
  <w:footnote w:id="2835">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 una misurazione di base anteriore all’istituzione del servizio; la progressione scaglionata dell’attivazione fornisce la variazione necessaria all’identificazione dell’effetto.</w:t>
      </w:r>
    </w:p>
  </w:footnote>
  <w:footnote w:id="2836">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laziale, eccede ampiamente il costo della raccolta dei dati; le priorità sono l’estrazione dei conti certificati delle dieci Aziende Sanitarie Locali e delle aziende ospedaliero-universitarie e la raccolta dei dati di esito a partire dall’istituzione del servizio.</w:t>
      </w:r>
    </w:p>
  </w:footnote>
  <w:footnote w:id="2837">
    <w:p>
      <w:pPr>
        <w:pStyle w:val="FootnoteText"/>
      </w:pPr>
      <w:r>
        <w:rPr>
          <w:rStyle w:val="FootnoteReference"/>
        </w:rPr>
        <w:footnoteRef/>
      </w:r>
    </w:p>
  </w:footnote>
  <w:footnote w:id="2838">
    <w:p>
      <w:pPr>
        <w:pStyle w:val="FootnoteText"/>
      </w:pPr>
      <w:r>
        <w:rPr>
          <w:rStyle w:val="FootnoteReference"/>
        </w:rPr>
        <w:footnoteRef/>
      </w:r>
      <w:r>
        <w:t xml:space="preserve"> </w:t>
      </w:r>
      <w:r>
        <w:t xml:space="preserve">InsideOver, «Psicologo di base: 5 milioni di italiani in attesa, legge ferma, l’incognita è sui fondi», ottobre 2025. URL: https://it.insideover.com/societa/psicologo-di-base-5-milioni-di-italiani-in-attesa-legge-ferma-lincognita-e-sui-fondi.html</w:t>
      </w:r>
    </w:p>
  </w:footnote>
  <w:footnote w:id="2839">
    <w:p>
      <w:pPr>
        <w:pStyle w:val="FootnoteText"/>
      </w:pPr>
      <w:r>
        <w:rPr>
          <w:rStyle w:val="FootnoteReference"/>
        </w:rPr>
        <w:footnoteRef/>
      </w:r>
      <w:r>
        <w:t xml:space="preserve"> </w:t>
      </w:r>
      <w:r>
        <w:t xml:space="preserve">Sito psicologicureprimarie.it, «Situazione 2025 — Lo Psicologo delle Cure Primarie», sezione Marche–Molise–Basilicata: «Nessuna legge regionale ha istituito lo psicologo di base». URL: https://www.psicologicureprimarie.it/proposte-di-legge/situazione-2025.html</w:t>
      </w:r>
    </w:p>
  </w:footnote>
  <w:footnote w:id="2840">
    <w:p>
      <w:pPr>
        <w:pStyle w:val="FootnoteText"/>
      </w:pPr>
      <w:r>
        <w:rPr>
          <w:rStyle w:val="FootnoteReference"/>
        </w:rPr>
        <w:footnoteRef/>
      </w:r>
      <w:r>
        <w:t xml:space="preserve"> </w:t>
      </w:r>
      <w:r>
        <w:t xml:space="preserve">Chisholm D., Sweeny K., Sheehan P. et al., «Scaling-up treatment of depression and anxiety: a global return-on-investment analysis»,</w:t>
      </w:r>
      <w:r>
        <w:t xml:space="preserve"> </w:t>
      </w:r>
      <w:r>
        <w:rPr>
          <w:i/>
          <w:iCs/>
        </w:rPr>
        <w:t xml:space="preserve">The Lancet Psychiatry</w:t>
      </w:r>
      <w:r>
        <w:t xml:space="preserve">, vol. 3, n. 5, 2016, pp. 415-424. Il duplice intervallo Chisholm è: 2,3-3,0:1 per i soli benefici economici; 3,3-5,7:1 comprendendo i ritorni di salute. Costituisce l’unico ancoraggio metodologico vincolante per il rapporto beneficio-costo in tutti gli studi della serie.</w:t>
      </w:r>
    </w:p>
  </w:footnote>
  <w:footnote w:id="2841">
    <w:p>
      <w:pPr>
        <w:pStyle w:val="FootnoteText"/>
      </w:pPr>
      <w:r>
        <w:rPr>
          <w:rStyle w:val="FootnoteReference"/>
        </w:rPr>
        <w:footnoteRef/>
      </w:r>
      <w:r>
        <w:t xml:space="preserve"> </w:t>
      </w:r>
      <w:r>
        <w:t xml:space="preserve">Camera di Commercio Marche, «DataView — Infografiche e dati statistici dell’economia marchigiana», DataView 2025, sezione demografia. L’indice di vecchiaia della Regione Marche al 1° gennaio 2025 è pari a 235,5. URL: https://www.marche.camcom.it/la-camera/novita-ed-eventi/novita/dataview-infografiche-e-dati-statistici-delleconomia-marchigiana/dataview-2025/demografia_marche.pdf</w:t>
      </w:r>
    </w:p>
  </w:footnote>
  <w:footnote w:id="2842">
    <w:p>
      <w:pPr>
        <w:pStyle w:val="FootnoteText"/>
      </w:pPr>
      <w:r>
        <w:rPr>
          <w:rStyle w:val="FootnoteReference"/>
        </w:rPr>
        <w:footnoteRef/>
      </w:r>
      <w:r>
        <w:t xml:space="preserve"> </w:t>
      </w:r>
      <w:r>
        <w:t xml:space="preserve">Ibid. Dato puntuale certificato dalla Camera di Commercio Marche al 1° gennaio 2025.</w:t>
      </w:r>
    </w:p>
  </w:footnote>
  <w:footnote w:id="2843">
    <w:p>
      <w:pPr>
        <w:pStyle w:val="FootnoteText"/>
      </w:pPr>
      <w:r>
        <w:rPr>
          <w:rStyle w:val="FootnoteReference"/>
        </w:rPr>
        <w:footnoteRef/>
      </w:r>
      <w:r>
        <w:t xml:space="preserve"> </w:t>
      </w:r>
      <w:r>
        <w:t xml:space="preserve">Fondazione GRINS, «Il finanziamento e la spesa sanitaria in Italia», dicembre 2025. La spesa sanitaria pro-capite delle Marche è di 2.612,7 euro (dato pesato), fra i più bassi del Paese. URL: https://www.grins.it/sites/default/files/2025-12/Il_finanziamento_e_la_spesa_sanitaria_in_italia.pdf</w:t>
      </w:r>
    </w:p>
  </w:footnote>
  <w:footnote w:id="2844">
    <w:p>
      <w:pPr>
        <w:pStyle w:val="FootnoteText"/>
      </w:pPr>
      <w:r>
        <w:rPr>
          <w:rStyle w:val="FootnoteReference"/>
        </w:rPr>
        <w:footnoteRef/>
      </w:r>
      <w:r>
        <w:t xml:space="preserve"> </w:t>
      </w:r>
      <w:r>
        <w:t xml:space="preserve">Ibid.</w:t>
      </w:r>
    </w:p>
  </w:footnote>
  <w:footnote w:id="2845">
    <w:p>
      <w:pPr>
        <w:pStyle w:val="FootnoteText"/>
      </w:pPr>
      <w:r>
        <w:rPr>
          <w:rStyle w:val="FootnoteReference"/>
        </w:rPr>
        <w:footnoteRef/>
      </w:r>
      <w:r>
        <w:t xml:space="preserve"> </w:t>
      </w:r>
      <w:r>
        <w:t xml:space="preserve">Dato della popolazione residente nelle Marche utilizzato nel Tomo II; coerente con i dati ISTAT della serie storica e con gli aggiornamenti del censimento permanente.</w:t>
      </w:r>
    </w:p>
  </w:footnote>
  <w:footnote w:id="2846">
    <w:p>
      <w:pPr>
        <w:pStyle w:val="FootnoteText"/>
      </w:pPr>
      <w:r>
        <w:rPr>
          <w:rStyle w:val="FootnoteReference"/>
        </w:rPr>
        <w:footnoteRef/>
      </w:r>
      <w:r>
        <w:t xml:space="preserve"> </w:t>
      </w:r>
      <w:r>
        <w:t xml:space="preserve">Camera di Commercio Marche, DataView 2025, op. cit.</w:t>
      </w:r>
    </w:p>
  </w:footnote>
  <w:footnote w:id="2847">
    <w:p>
      <w:pPr>
        <w:pStyle w:val="FootnoteText"/>
      </w:pPr>
      <w:r>
        <w:rPr>
          <w:rStyle w:val="FootnoteReference"/>
        </w:rPr>
        <w:footnoteRef/>
      </w:r>
      <w:r>
        <w:t xml:space="preserve"> </w:t>
      </w:r>
      <w:r>
        <w:t xml:space="preserve">Fondazione GRINS, op. cit.</w:t>
      </w:r>
    </w:p>
  </w:footnote>
  <w:footnote w:id="2848">
    <w:p>
      <w:pPr>
        <w:pStyle w:val="FootnoteText"/>
      </w:pPr>
      <w:r>
        <w:rPr>
          <w:rStyle w:val="FootnoteReference"/>
        </w:rPr>
        <w:footnoteRef/>
      </w:r>
      <w:r>
        <w:t xml:space="preserve"> </w:t>
      </w:r>
      <w:r>
        <w:t xml:space="preserve">Consiglio regionale delle Marche, Proposta di legge n. 100: «Istituzione del servizio di psicologia di base». Il testo prevede la realizzazione del servizio all’interno di ciascuna Area Vasta (oggi AST) a livello dei distretti sanitari, con almeno due psicologi di base per distretto e la costituzione di un Osservatorio regionale. URL: https://www.consiglio.marche.it/banche_dati_e_documentazione/iter_degli_atti/pdl/pdf/pdl100_11.pdf</w:t>
      </w:r>
    </w:p>
  </w:footnote>
  <w:footnote w:id="2849">
    <w:p>
      <w:pPr>
        <w:pStyle w:val="FootnoteText"/>
      </w:pPr>
      <w:r>
        <w:rPr>
          <w:rStyle w:val="FootnoteReference"/>
        </w:rPr>
        <w:footnoteRef/>
      </w:r>
      <w:r>
        <w:t xml:space="preserve"> </w:t>
      </w:r>
      <w:r>
        <w:t xml:space="preserve">Ibid., articolo 4, comma 3.</w:t>
      </w:r>
    </w:p>
  </w:footnote>
  <w:footnote w:id="2850">
    <w:p>
      <w:pPr>
        <w:pStyle w:val="FootnoteText"/>
      </w:pPr>
      <w:r>
        <w:rPr>
          <w:rStyle w:val="FootnoteReference"/>
        </w:rPr>
        <w:footnoteRef/>
      </w:r>
      <w:r>
        <w:t xml:space="preserve"> </w:t>
      </w:r>
      <w:r>
        <w:t xml:space="preserve">NHS England, «NHS Talking Therapies for anxiety and depression — Annual report 2022/23». I dati citati (tasso di recupero del 50,2%, miglioramento affidabile in oltre due terzi dei pazienti) sono desunti dalla serie dei rapporti annuali del programma IAPT/Talking Therapies, accessibili su www.england.nhs.uk.</w:t>
      </w:r>
    </w:p>
  </w:footnote>
  <w:footnote w:id="2851">
    <w:p>
      <w:pPr>
        <w:pStyle w:val="FootnoteText"/>
      </w:pPr>
      <w:r>
        <w:rPr>
          <w:rStyle w:val="FootnoteReference"/>
        </w:rPr>
        <w:footnoteRef/>
      </w:r>
      <w:r>
        <w:t xml:space="preserve"> </w:t>
      </w:r>
      <w:r>
        <w:t xml:space="preserve">Andrews G., Basu A. et al., «Computer therapy for the anxiety and depression disorders is effective, acceptable and practical health care: An updated meta-analysis»,</w:t>
      </w:r>
      <w:r>
        <w:t xml:space="preserve"> </w:t>
      </w:r>
      <w:r>
        <w:rPr>
          <w:i/>
          <w:iCs/>
        </w:rPr>
        <w:t xml:space="preserve">Journal of Anxiety Disorders</w:t>
      </w:r>
      <w:r>
        <w:t xml:space="preserve">, 2018. La telepsicologia per i disturbi comuni mostra risultati comparabili alla prestazione in presenza.</w:t>
      </w:r>
    </w:p>
  </w:footnote>
  <w:footnote w:id="2852">
    <w:p>
      <w:pPr>
        <w:pStyle w:val="FootnoteText"/>
      </w:pPr>
      <w:r>
        <w:rPr>
          <w:rStyle w:val="FootnoteReference"/>
        </w:rPr>
        <w:footnoteRef/>
      </w:r>
      <w:r>
        <w:t xml:space="preserve"> </w:t>
      </w:r>
      <w:r>
        <w:t xml:space="preserve">Unützer J. et al., «Collaborative care management of late-life depression in the primary care setting: a randomized controlled trial»,</w:t>
      </w:r>
      <w:r>
        <w:t xml:space="preserve"> </w:t>
      </w:r>
      <w:r>
        <w:rPr>
          <w:i/>
          <w:iCs/>
        </w:rPr>
        <w:t xml:space="preserve">JAMA</w:t>
      </w:r>
      <w:r>
        <w:t xml:space="preserve">, 288(22), 2002, pp. 2836-2845 (studio IMPACT). I risparmi sui costi sanitari diretti non raggiungono la significatività statistica (IC 95% comprende lo zero). Questa cautela è vincolante per tutti gli studi della serie.</w:t>
      </w:r>
    </w:p>
  </w:footnote>
  <w:footnote w:id="2853">
    <w:p>
      <w:pPr>
        <w:pStyle w:val="FootnoteText"/>
      </w:pPr>
      <w:r>
        <w:rPr>
          <w:rStyle w:val="FootnoteReference"/>
        </w:rPr>
        <w:footnoteRef/>
      </w:r>
      <w:r>
        <w:t xml:space="preserve"> </w:t>
      </w:r>
      <w:r>
        <w:t xml:space="preserve">Vedi nota 2416 (Chisholm et al., 2016). Le stime quantitative derivate dall’evidenza internazionale richiedono validazione locale prima di essere assunte come proiezioni precise per il contesto marchigiano.</w:t>
      </w:r>
    </w:p>
  </w:footnote>
  <w:footnote w:id="2854">
    <w:p>
      <w:pPr>
        <w:pStyle w:val="FootnoteText"/>
      </w:pPr>
      <w:r>
        <w:rPr>
          <w:rStyle w:val="FootnoteReference"/>
        </w:rPr>
        <w:footnoteRef/>
      </w:r>
      <w:r>
        <w:t xml:space="preserve"> </w:t>
      </w:r>
      <w:r>
        <w:t xml:space="preserve">Il fondo sanitario regionale marchigiano è stimato dell’ordine di 3,3-3,4 miliardi di euro l’anno, coerentemente con la popolazione di 1.480.545 abitanti e la spesa pro-capite di 2.612,7 euro (fonte GRINS, op. cit.).</w:t>
      </w:r>
    </w:p>
  </w:footnote>
  <w:footnote w:id="2855">
    <w:p>
      <w:pPr>
        <w:pStyle w:val="FootnoteText"/>
      </w:pPr>
      <w:r>
        <w:rPr>
          <w:rStyle w:val="FootnoteReference"/>
        </w:rPr>
        <w:footnoteRef/>
      </w:r>
      <w:r>
        <w:t xml:space="preserve"> </w:t>
      </w:r>
      <w:r>
        <w:t xml:space="preserve">I valori del costo-utilità per paziente (risparmio di 1.304 euro; guadagno di 0,236 QALY; probabilità di costo-efficacia 88,9%; probabilità di dominanza 84,6%; beneficio netto monetario medio 7.815 euro; IC 95% da −5.736 a +21.501 euro) sono invarianti rispetto al contesto regionale, essendo derivati dall’efficacia clinica documentata, e sono comuni a tutti gli studi della serie.</w:t>
      </w:r>
    </w:p>
  </w:footnote>
  <w:footnote w:id="2856">
    <w:p>
      <w:pPr>
        <w:pStyle w:val="FootnoteText"/>
      </w:pPr>
      <w:r>
        <w:rPr>
          <w:rStyle w:val="FootnoteReference"/>
        </w:rPr>
        <w:footnoteRef/>
      </w:r>
      <w:r>
        <w:t xml:space="preserve"> </w:t>
      </w:r>
      <w:r>
        <w:t xml:space="preserve">La dichiarazione di questa lacuna è un principio di trasparenza metodologica comune a tutti gli studi della serie. I conti certificati delle AST marchigiane sono la fonte primaria che dovrebbe essere estratta per sostituire le stime con misure dirette.</w:t>
      </w:r>
    </w:p>
  </w:footnote>
  <w:footnote w:id="2857">
    <w:p>
      <w:pPr>
        <w:pStyle w:val="FootnoteText"/>
      </w:pPr>
      <w:r>
        <w:rPr>
          <w:rStyle w:val="FootnoteReference"/>
        </w:rPr>
        <w:footnoteRef/>
      </w:r>
      <w:r>
        <w:t xml:space="preserve"> </w:t>
      </w:r>
      <w:r>
        <w:t xml:space="preserve">Il modello di Markov adottato è comune a tutti gli studi della serie e impiega parametri derivati dalla letteratura internazionale sull’efficacia degli interventi psicologici. I dettagli del modello sono illustrati nell’Appendice A.</w:t>
      </w:r>
    </w:p>
  </w:footnote>
  <w:footnote w:id="2858">
    <w:p>
      <w:pPr>
        <w:pStyle w:val="FootnoteText"/>
      </w:pPr>
      <w:r>
        <w:rPr>
          <w:rStyle w:val="FootnoteReference"/>
        </w:rPr>
        <w:footnoteRef/>
      </w:r>
      <w:r>
        <w:t xml:space="preserve"> </w:t>
      </w:r>
      <w:r>
        <w:t xml:space="preserve">Ibid.</w:t>
      </w:r>
    </w:p>
  </w:footnote>
  <w:footnote w:id="2859">
    <w:p>
      <w:pPr>
        <w:pStyle w:val="FootnoteText"/>
      </w:pPr>
      <w:r>
        <w:rPr>
          <w:rStyle w:val="FootnoteReference"/>
        </w:rPr>
        <w:footnoteRef/>
      </w:r>
      <w:r>
        <w:t xml:space="preserve"> </w:t>
      </w:r>
      <w:r>
        <w:t xml:space="preserve">La robustezza del risultato alla variazione dei parametri più influenti (efficacia clinica, costo della cronicità) è documentata dall’analisi di sensibilità deterministica comune a tutti gli studi della serie.</w:t>
      </w:r>
    </w:p>
  </w:footnote>
  <w:footnote w:id="2860">
    <w:p>
      <w:pPr>
        <w:pStyle w:val="FootnoteText"/>
      </w:pPr>
      <w:r>
        <w:rPr>
          <w:rStyle w:val="FootnoteReference"/>
        </w:rPr>
        <w:footnoteRef/>
      </w:r>
      <w:r>
        <w:t xml:space="preserve"> </w:t>
      </w:r>
      <w:r>
        <w:t xml:space="preserve">Vedi nota 2431. I risultati della sensibilità probabilistica sono invarianti rispetto al contesto regionale.</w:t>
      </w:r>
    </w:p>
  </w:footnote>
  <w:footnote w:id="2861">
    <w:p>
      <w:pPr>
        <w:pStyle w:val="FootnoteText"/>
      </w:pPr>
      <w:r>
        <w:rPr>
          <w:rStyle w:val="FootnoteReference"/>
        </w:rPr>
        <w:footnoteRef/>
      </w:r>
      <w:r>
        <w:t xml:space="preserve"> </w:t>
      </w:r>
      <w:r>
        <w:t xml:space="preserve">Gli scenari di copertura (250, 340, 370 psicologi) sono calibrati sulla popolazione marchigiana di 1.480.545 abitanti, in linea con la proporzione adottata per regioni di dimensione comparabile nella serie (Liguria, Abruzzo).</w:t>
      </w:r>
    </w:p>
  </w:footnote>
  <w:footnote w:id="2862">
    <w:p>
      <w:pPr>
        <w:pStyle w:val="FootnoteText"/>
      </w:pPr>
      <w:r>
        <w:rPr>
          <w:rStyle w:val="FootnoteReference"/>
        </w:rPr>
        <w:footnoteRef/>
      </w:r>
      <w:r>
        <w:t xml:space="preserve"> </w:t>
      </w:r>
      <w:r>
        <w:t xml:space="preserve">Il disegno a cunei progressivi è il metodo controfattuale preferito per le regioni che strutturano il servizio in tempi differenziati fra i territori. Per le Marche, la struttura delle cinque AST e dei rispettivi distretti fornisce la variazione necessaria all’identificazione causale.</w:t>
      </w:r>
    </w:p>
  </w:footnote>
  <w:footnote w:id="2863">
    <w:p>
      <w:pPr>
        <w:pStyle w:val="FootnoteText"/>
      </w:pPr>
      <w:r>
        <w:rPr>
          <w:rStyle w:val="FootnoteReference"/>
        </w:rPr>
        <w:footnoteRef/>
      </w:r>
      <w:r>
        <w:t xml:space="preserve"> </w:t>
      </w:r>
      <w:r>
        <w:t xml:space="preserve">L’analisi del valore dell’informazione (EVPI, EVPPI) è lo strumento concettuale che consente di stabilire la priorità nella raccolta dei dati, indirizzando le risorse verso i parametri che riducono maggiormente l’incertezza sulle conclusioni.</w:t>
      </w:r>
    </w:p>
  </w:footnote>
  <w:footnote w:id="2864">
    <w:p>
      <w:pPr>
        <w:pStyle w:val="FootnoteText"/>
      </w:pPr>
      <w:r>
        <w:rPr>
          <w:rStyle w:val="FootnoteReference"/>
        </w:rPr>
        <w:footnoteRef/>
      </w:r>
      <w:r>
        <w:t xml:space="preserve"> </w:t>
      </w:r>
      <w:r>
        <w:t xml:space="preserve">Wagstaff A., van Doorslaer E., «Equity in health care finance and delivery», in Newhouse J.P., Culyer A.J. (eds),</w:t>
      </w:r>
      <w:r>
        <w:t xml:space="preserve"> </w:t>
      </w:r>
      <w:r>
        <w:rPr>
          <w:i/>
          <w:iCs/>
        </w:rPr>
        <w:t xml:space="preserve">Handbook of Health Economics</w:t>
      </w:r>
      <w:r>
        <w:t xml:space="preserve">, vol. 1, Elsevier, 2000.</w:t>
      </w:r>
    </w:p>
  </w:footnote>
  <w:footnote w:id="2865">
    <w:p>
      <w:pPr>
        <w:pStyle w:val="FootnoteText"/>
      </w:pPr>
      <w:r>
        <w:rPr>
          <w:rStyle w:val="FootnoteReference"/>
        </w:rPr>
        <w:footnoteRef/>
      </w:r>
      <w:r>
        <w:t xml:space="preserve"> </w:t>
      </w:r>
      <w:r>
        <w:t xml:space="preserve">Marmot M. et al., «Fair society, healthy lives: the Marmot Review», The Marmot Review, 2010. Il gradiente sociale del disagio psichico è documentato in tutte le società industrializzate.</w:t>
      </w:r>
    </w:p>
  </w:footnote>
  <w:footnote w:id="2866">
    <w:p>
      <w:pPr>
        <w:pStyle w:val="FootnoteText"/>
      </w:pPr>
      <w:r>
        <w:rPr>
          <w:rStyle w:val="FootnoteReference"/>
        </w:rPr>
        <w:footnoteRef/>
      </w:r>
      <w:r>
        <w:t xml:space="preserve"> </w:t>
      </w:r>
      <w:r>
        <w:t xml:space="preserve">Il duale territoriale costiero/appenninico è un tratto strutturale della morfologia marchigiana, con rilevanti implicazioni per l’equità di accesso ai servizi sanitari.</w:t>
      </w:r>
    </w:p>
  </w:footnote>
  <w:footnote w:id="2867">
    <w:p>
      <w:pPr>
        <w:pStyle w:val="FootnoteText"/>
      </w:pPr>
      <w:r>
        <w:rPr>
          <w:rStyle w:val="FootnoteReference"/>
        </w:rPr>
        <w:footnoteRef/>
      </w:r>
      <w:r>
        <w:t xml:space="preserve"> </w:t>
      </w:r>
      <w:r>
        <w:t xml:space="preserve">Il meccanismo pro-equità dei servizi di primo livello è documentato da Victora C.G. et al., «Applying an equity lens to child health and mortality: more of the same is not enough»,</w:t>
      </w:r>
      <w:r>
        <w:t xml:space="preserve"> </w:t>
      </w:r>
      <w:r>
        <w:rPr>
          <w:i/>
          <w:iCs/>
        </w:rPr>
        <w:t xml:space="preserve">The Lancet</w:t>
      </w:r>
      <w:r>
        <w:t xml:space="preserve">, 362(9379), 2003, pp. 233-241.</w:t>
      </w:r>
    </w:p>
  </w:footnote>
  <w:footnote w:id="2868">
    <w:p>
      <w:pPr>
        <w:pStyle w:val="FootnoteText"/>
      </w:pPr>
      <w:r>
        <w:rPr>
          <w:rStyle w:val="FootnoteReference"/>
        </w:rPr>
        <w:footnoteRef/>
      </w:r>
      <w:r>
        <w:t xml:space="preserve"> </w:t>
      </w:r>
      <w:r>
        <w:t xml:space="preserve">La costo-efficacia distributiva (DCEA) è il metodo che integra l’analisi dell’efficienza con quella dell’equità. Si veda Cookson R., Drummond M., Weatherly H., «Explicit incorporation of equity considerations into economic evaluation of public health interventions»,</w:t>
      </w:r>
      <w:r>
        <w:t xml:space="preserve"> </w:t>
      </w:r>
      <w:r>
        <w:rPr>
          <w:i/>
          <w:iCs/>
        </w:rPr>
        <w:t xml:space="preserve">Health Economics, Policy and Law</w:t>
      </w:r>
      <w:r>
        <w:t xml:space="preserve">, 4(2), 2009, pp. 231-245.</w:t>
      </w:r>
    </w:p>
  </w:footnote>
  <w:footnote w:id="2869">
    <w:p>
      <w:pPr>
        <w:pStyle w:val="FootnoteText"/>
      </w:pPr>
      <w:r>
        <w:rPr>
          <w:rStyle w:val="FootnoteReference"/>
        </w:rPr>
        <w:footnoteRef/>
      </w:r>
      <w:r>
        <w:t xml:space="preserve"> </w:t>
      </w:r>
      <w:r>
        <w:t xml:space="preserve">La rilevanza del profilo giuridico per le Marche è accentuata dalla presenza del PDL n. 100 in discussione, che richiede una verifica di conformità con i limiti costituzionali prima dell’approvazione.</w:t>
      </w:r>
    </w:p>
  </w:footnote>
  <w:footnote w:id="2870">
    <w:p>
      <w:pPr>
        <w:pStyle w:val="FootnoteText"/>
      </w:pPr>
      <w:r>
        <w:rPr>
          <w:rStyle w:val="FootnoteReference"/>
        </w:rPr>
        <w:footnoteRef/>
      </w:r>
      <w:r>
        <w:t xml:space="preserve"> </w:t>
      </w:r>
      <w:r>
        <w:t xml:space="preserve">Corte Costituzionale, sentenza n. 241 del 22 ottobre 2021, che ha dichiarato l’illegittimità parziale della legge regionale della Campania in materia di psicologia di base, nella parte in cui disciplinava autonomamente i rapporti convenzionali con il SSN. La sentenza è vincolante per tutte le leggi regionali successive.</w:t>
      </w:r>
    </w:p>
  </w:footnote>
  <w:footnote w:id="2871">
    <w:p>
      <w:pPr>
        <w:pStyle w:val="FootnoteText"/>
      </w:pPr>
      <w:r>
        <w:rPr>
          <w:rStyle w:val="FootnoteReference"/>
        </w:rPr>
        <w:footnoteRef/>
      </w:r>
      <w:r>
        <w:t xml:space="preserve"> </w:t>
      </w:r>
      <w:r>
        <w:t xml:space="preserve">La riforma del SSR marchigiano (L.R. 19/2022, con decorrenza 1° gennaio 2023) ha trasformato profondamente il contesto organizzativo del servizio, sopprimendo l’ASUR e istituendo cinque AST con personalità giuridica autonoma.</w:t>
      </w:r>
    </w:p>
  </w:footnote>
  <w:footnote w:id="2872">
    <w:p>
      <w:pPr>
        <w:pStyle w:val="FootnoteText"/>
      </w:pPr>
      <w:r>
        <w:rPr>
          <w:rStyle w:val="FootnoteReference"/>
        </w:rPr>
        <w:footnoteRef/>
      </w:r>
      <w:r>
        <w:t xml:space="preserve"> </w:t>
      </w:r>
      <w:r>
        <w:t xml:space="preserve">Il modello organizzativo a due livelli (regionale per gli standard, aziendale per l’attuazione) è coerente con l’impianto della L.R. 19/2022 e con il ruolo dell’ARS quale strumento di indirizzo e coordinamento regionale.</w:t>
      </w:r>
    </w:p>
  </w:footnote>
  <w:footnote w:id="2873">
    <w:p>
      <w:pPr>
        <w:pStyle w:val="FootnoteText"/>
      </w:pPr>
      <w:r>
        <w:rPr>
          <w:rStyle w:val="FootnoteReference"/>
        </w:rPr>
        <w:footnoteRef/>
      </w:r>
      <w:r>
        <w:t xml:space="preserve"> </w:t>
      </w:r>
      <w:r>
        <w:t xml:space="preserve">Il Codice Deontologico degli Psicologi italiani (approvato dal CNOP, ultima revisione 2017) definisce i principi etici applicabili al servizio di psicologia di base, incluse le cautele per la relazione a distanza.</w:t>
      </w:r>
    </w:p>
  </w:footnote>
  <w:footnote w:id="2874">
    <w:p>
      <w:pPr>
        <w:pStyle w:val="FootnoteText"/>
      </w:pPr>
      <w:r>
        <w:rPr>
          <w:rStyle w:val="FootnoteReference"/>
        </w:rPr>
        <w:footnoteRef/>
      </w:r>
      <w:r>
        <w:t xml:space="preserve"> </w:t>
      </w:r>
      <w:r>
        <w:t xml:space="preserve">La sintesi dei profili giuridico, organizzativo ed etico converge nella valutazione di fattibilità condizionata, che è propria del Five Case Model (gestionale case).</w:t>
      </w:r>
    </w:p>
  </w:footnote>
  <w:footnote w:id="2875">
    <w:p>
      <w:pPr>
        <w:pStyle w:val="FootnoteText"/>
      </w:pPr>
      <w:r>
        <w:rPr>
          <w:rStyle w:val="FootnoteReference"/>
        </w:rPr>
        <w:footnoteRef/>
      </w:r>
      <w:r>
        <w:t xml:space="preserve"> </w:t>
      </w:r>
      <w:r>
        <w:t xml:space="preserve">Il Decreto Ministeriale 77/2022 (standard per l’assistenza territoriale) inserisce lo psicologo delle cure primarie nelle Case della Comunità. Il Piano Socio-Sanitario Regionale 2024-2028 (approvato dal Consiglio Regionale nel giugno 2024) costituisce la cornice programmatica di riferimento per le Marche.</w:t>
      </w:r>
    </w:p>
  </w:footnote>
  <w:footnote w:id="2876">
    <w:p>
      <w:pPr>
        <w:pStyle w:val="FootnoteText"/>
      </w:pPr>
      <w:r>
        <w:rPr>
          <w:rStyle w:val="FootnoteReference"/>
        </w:rPr>
        <w:footnoteRef/>
      </w:r>
      <w:r>
        <w:t xml:space="preserve"> </w:t>
      </w:r>
      <w:r>
        <w:t xml:space="preserve">Vedi Parte E, tabella E.4 e E.5.</w:t>
      </w:r>
    </w:p>
  </w:footnote>
  <w:footnote w:id="2877">
    <w:p>
      <w:pPr>
        <w:pStyle w:val="FootnoteText"/>
      </w:pPr>
      <w:r>
        <w:rPr>
          <w:rStyle w:val="FootnoteReference"/>
        </w:rPr>
        <w:footnoteRef/>
      </w:r>
      <w:r>
        <w:t xml:space="preserve"> </w:t>
      </w:r>
      <w:r>
        <w:t xml:space="preserve">L’Università Politecnica delle Marche (UnivPM, sede di Ancona) e l’Università di Camerino (UNICAM) sono i principali atenei marchigiani che possono alimentare il bacino professionale del servizio.</w:t>
      </w:r>
    </w:p>
  </w:footnote>
  <w:footnote w:id="2878">
    <w:p>
      <w:pPr>
        <w:pStyle w:val="FootnoteText"/>
      </w:pPr>
      <w:r>
        <w:rPr>
          <w:rStyle w:val="FootnoteReference"/>
        </w:rPr>
        <w:footnoteRef/>
      </w:r>
      <w:r>
        <w:t xml:space="preserve"> </w:t>
      </w:r>
      <w:r>
        <w:t xml:space="preserve">Vedi Parte E, tabella E.1. Il costo del servizio (0,4-0,8% del FSR) è ampiamente sostenibile per il bilancio regionale marchigiano.</w:t>
      </w:r>
    </w:p>
  </w:footnote>
  <w:footnote w:id="2879">
    <w:p>
      <w:pPr>
        <w:pStyle w:val="FootnoteText"/>
      </w:pPr>
      <w:r>
        <w:rPr>
          <w:rStyle w:val="FootnoteReference"/>
        </w:rPr>
        <w:footnoteRef/>
      </w:r>
      <w:r>
        <w:t xml:space="preserve"> </w:t>
      </w:r>
      <w:r>
        <w:t xml:space="preserve">Il case gestionale del Five Case Model valuta la capacità dell’organizzazione di realizzare e gestire l’investimento. Per le Marche, la recente riforma delle AST rappresenta sia una sfida (nuovi assetti da consolidare) sia un’opportunità (strutture con personalità giuridica più agili).</w:t>
      </w:r>
    </w:p>
  </w:footnote>
  <w:footnote w:id="2880">
    <w:p>
      <w:pPr>
        <w:pStyle w:val="FootnoteText"/>
      </w:pPr>
      <w:r>
        <w:rPr>
          <w:rStyle w:val="FootnoteReference"/>
        </w:rPr>
        <w:footnoteRef/>
      </w:r>
      <w:r>
        <w:t xml:space="preserve"> </w:t>
      </w:r>
      <w:r>
        <w:t xml:space="preserve">La gradualità del dispiegamento è una condizione di sostenibilità finanziaria e organizzativa, coerente con il principio di prudenza e con la logica del valore dell’informazione esposta nella Parte F.</w:t>
      </w:r>
    </w:p>
  </w:footnote>
  <w:footnote w:id="2881">
    <w:p>
      <w:pPr>
        <w:pStyle w:val="FootnoteText"/>
      </w:pPr>
      <w:r>
        <w:rPr>
          <w:rStyle w:val="FootnoteReference"/>
        </w:rPr>
        <w:footnoteRef/>
      </w:r>
      <w:r>
        <w:t xml:space="preserve"> </w:t>
      </w:r>
      <w:r>
        <w:t xml:space="preserve">L’infrastruttura digitale del PNRR (Missione 6, Componente 2) include il potenziamento della connettività nelle aree interne e lo sviluppo del Fascicolo Sanitario Elettronico regionale, componenti abilitanti per la telepsicologia.</w:t>
      </w:r>
    </w:p>
  </w:footnote>
  <w:footnote w:id="2882">
    <w:p>
      <w:pPr>
        <w:pStyle w:val="FootnoteText"/>
      </w:pPr>
      <w:r>
        <w:rPr>
          <w:rStyle w:val="FootnoteReference"/>
        </w:rPr>
        <w:footnoteRef/>
      </w:r>
      <w:r>
        <w:t xml:space="preserve"> </w:t>
      </w:r>
      <w:r>
        <w:t xml:space="preserve">La cadenza biennale della valutazione periodica è coerente con i cicli di programmazione sanitaria regionale e con i tempi necessari per la maturazione degli effetti del servizio.</w:t>
      </w:r>
    </w:p>
  </w:footnote>
  <w:footnote w:id="2883">
    <w:p>
      <w:pPr>
        <w:pStyle w:val="FootnoteText"/>
      </w:pPr>
      <w:r>
        <w:rPr>
          <w:rStyle w:val="FootnoteReference"/>
        </w:rPr>
        <w:footnoteRef/>
      </w:r>
      <w:r>
        <w:t xml:space="preserve"> </w:t>
      </w:r>
      <w:r>
        <w:t xml:space="preserve">Brown C.A., Lilford R.J., «The stepped wedge trial design: a systematic review»,</w:t>
      </w:r>
      <w:r>
        <w:t xml:space="preserve"> </w:t>
      </w:r>
      <w:r>
        <w:rPr>
          <w:i/>
          <w:iCs/>
        </w:rPr>
        <w:t xml:space="preserve">BMC Medical Research Methodology</w:t>
      </w:r>
      <w:r>
        <w:t xml:space="preserve">, 6(1), 2006, p. 54. Il disegno a cunei progressivi è lo standard metodologico per la valutazione d’impatto dei servizi sanitari dispiegati gradualmente su territori multipli.</w:t>
      </w:r>
    </w:p>
  </w:footnote>
  <w:footnote w:id="2884">
    <w:p>
      <w:pPr>
        <w:pStyle w:val="FootnoteText"/>
      </w:pPr>
      <w:r>
        <w:rPr>
          <w:rStyle w:val="FootnoteReference"/>
        </w:rPr>
        <w:footnoteRef/>
      </w:r>
      <w:r>
        <w:t xml:space="preserve"> </w:t>
      </w:r>
      <w:r>
        <w:t xml:space="preserve">Abadie A., Gardeazabal J., «The economic costs of conflict: a case study of the Basque Country»,</w:t>
      </w:r>
      <w:r>
        <w:t xml:space="preserve"> </w:t>
      </w:r>
      <w:r>
        <w:rPr>
          <w:i/>
          <w:iCs/>
        </w:rPr>
        <w:t xml:space="preserve">American Economic Review</w:t>
      </w:r>
      <w:r>
        <w:t xml:space="preserve">, 93(1), 2003, pp. 113-132 (controllo sintetico). Difference-in-differences: Angrist J.D., Pischke J.S.,</w:t>
      </w:r>
      <w:r>
        <w:t xml:space="preserve"> </w:t>
      </w:r>
      <w:r>
        <w:rPr>
          <w:i/>
          <w:iCs/>
        </w:rPr>
        <w:t xml:space="preserve">Mostly Harmless Econometrics</w:t>
      </w:r>
      <w:r>
        <w:t xml:space="preserve">, Princeton University Press, 2009.</w:t>
      </w:r>
    </w:p>
  </w:footnote>
  <w:footnote w:id="2885">
    <w:p>
      <w:pPr>
        <w:pStyle w:val="FootnoteText"/>
      </w:pPr>
      <w:r>
        <w:rPr>
          <w:rStyle w:val="FootnoteReference"/>
        </w:rPr>
        <w:footnoteRef/>
      </w:r>
      <w:r>
        <w:t xml:space="preserve"> </w:t>
      </w:r>
      <w:r>
        <w:t xml:space="preserve">Gli indicatori di struttura misurano la condizione di partenza necessaria per il funzionamento del servizio (capacità installata, distribuzione geografica per AST e distretto).</w:t>
      </w:r>
    </w:p>
  </w:footnote>
  <w:footnote w:id="2886">
    <w:p>
      <w:pPr>
        <w:pStyle w:val="FootnoteText"/>
      </w:pPr>
      <w:r>
        <w:rPr>
          <w:rStyle w:val="FootnoteReference"/>
        </w:rPr>
        <w:footnoteRef/>
      </w:r>
      <w:r>
        <w:t xml:space="preserve"> </w:t>
      </w:r>
      <w:r>
        <w:t xml:space="preserve">Gli indicatori di processo misurano la qualità e l’intensità dell’attività clinica, inclusa la quota di prestazioni erogate in telepsicologia, rilevante per la copertura delle aree interne.</w:t>
      </w:r>
    </w:p>
  </w:footnote>
  <w:footnote w:id="2887">
    <w:p>
      <w:pPr>
        <w:pStyle w:val="FootnoteText"/>
      </w:pPr>
      <w:r>
        <w:rPr>
          <w:rStyle w:val="FootnoteReference"/>
        </w:rPr>
        <w:footnoteRef/>
      </w:r>
      <w:r>
        <w:t xml:space="preserve"> </w:t>
      </w:r>
      <w:r>
        <w:t xml:space="preserve">Gli indicatori di esito clinico (PHQ-9, GAD-7) sono misurati nei soli punteggi complessivi, conformemente alle indicazioni metodologiche comuni alla serie e alle cautele etiche per la tutela della privacy.</w:t>
      </w:r>
    </w:p>
  </w:footnote>
  <w:footnote w:id="2888">
    <w:p>
      <w:pPr>
        <w:pStyle w:val="FootnoteText"/>
      </w:pPr>
      <w:r>
        <w:rPr>
          <w:rStyle w:val="FootnoteReference"/>
        </w:rPr>
        <w:footnoteRef/>
      </w:r>
      <w:r>
        <w:t xml:space="preserve"> </w:t>
      </w:r>
      <w:r>
        <w:t xml:space="preserve">Gli indicatori di esito di sistema verificano l’effetto del servizio sulla domanda ai livelli a valle (pronto soccorso, specialistica, ricoveri), che costituisce la base dei risparmi diretti stimati nella Parte E.</w:t>
      </w:r>
    </w:p>
  </w:footnote>
  <w:footnote w:id="2889">
    <w:p>
      <w:pPr>
        <w:pStyle w:val="FootnoteText"/>
      </w:pPr>
      <w:r>
        <w:rPr>
          <w:rStyle w:val="FootnoteReference"/>
        </w:rPr>
        <w:footnoteRef/>
      </w:r>
      <w:r>
        <w:t xml:space="preserve"> </w:t>
      </w:r>
      <w:r>
        <w:t xml:space="preserve">La verifica ex post delle stime economiche è la condizione perché la valutazione condotta ex ante si affini nel tempo, sostituendo le proiezioni con osservazioni.</w:t>
      </w:r>
    </w:p>
  </w:footnote>
  <w:footnote w:id="2890">
    <w:p>
      <w:pPr>
        <w:pStyle w:val="FootnoteText"/>
      </w:pPr>
      <w:r>
        <w:rPr>
          <w:rStyle w:val="FootnoteReference"/>
        </w:rPr>
        <w:footnoteRef/>
      </w:r>
      <w:r>
        <w:t xml:space="preserve"> </w:t>
      </w:r>
      <w:r>
        <w:t xml:space="preserve">La disaggregazione per area geografica (costiera/collinare/appenninica) è essenziale per verificare l’equità territoriale dell’intervento, che è uno degli obiettivi principali del servizio per le Marche.</w:t>
      </w:r>
    </w:p>
  </w:footnote>
  <w:footnote w:id="2891">
    <w:p>
      <w:pPr>
        <w:pStyle w:val="FootnoteText"/>
      </w:pPr>
      <w:r>
        <w:rPr>
          <w:rStyle w:val="FootnoteReference"/>
        </w:rPr>
        <w:footnoteRef/>
      </w:r>
      <w:r>
        <w:t xml:space="preserve"> </w:t>
      </w:r>
      <w:r>
        <w:t xml:space="preserve">Gli indicatori di qualità (soddisfazione, appropriatezza, continuità) completano la misurazione, incorporando la prospettiva dell’utente e dell’operatore.</w:t>
      </w:r>
    </w:p>
  </w:footnote>
  <w:footnote w:id="2892">
    <w:p>
      <w:pPr>
        <w:pStyle w:val="FootnoteText"/>
      </w:pPr>
      <w:r>
        <w:rPr>
          <w:rStyle w:val="FootnoteReference"/>
        </w:rPr>
        <w:footnoteRef/>
      </w:r>
      <w:r>
        <w:t xml:space="preserve"> </w:t>
      </w:r>
      <w:r>
        <w:t xml:space="preserve">Il cruscotto di monitoraggio regionale è lo strumento operativo che traduce la batteria di indicatori in informazione accessibile per il governo del servizio. La titolarità condivisa fra ARS e AST è coerente con la governance a due livelli.</w:t>
      </w:r>
    </w:p>
  </w:footnote>
  <w:footnote w:id="2893">
    <w:p>
      <w:pPr>
        <w:pStyle w:val="FootnoteText"/>
      </w:pPr>
      <w:r>
        <w:rPr>
          <w:rStyle w:val="FootnoteReference"/>
        </w:rPr>
        <w:footnoteRef/>
      </w:r>
      <w:r>
        <w:t xml:space="preserve"> </w:t>
      </w:r>
      <w:r>
        <w:t xml:space="preserve">La clausola valutativa è lo strumento giuridico che trasforma il monitoraggio da pratica tecnica in obbligo istituzionale. La sua inclusione nella legge organica è raccomandata dallo studio come condizione della qualità e della rendicontabilità del servizio.</w:t>
      </w:r>
    </w:p>
  </w:footnote>
  <w:footnote w:id="2894">
    <w:p>
      <w:pPr>
        <w:pStyle w:val="FootnoteText"/>
      </w:pPr>
      <w:r>
        <w:rPr>
          <w:rStyle w:val="FootnoteReference"/>
        </w:rPr>
        <w:footnoteRef/>
      </w:r>
      <w:r>
        <w:t xml:space="preserve"> </w:t>
      </w:r>
      <w:r>
        <w:t xml:space="preserve">La trasformazione delle stime in osservazioni è il contributo conoscitivo principale del monitoraggio per le Marche, dove la scarsità di dati regionali certificati è la principale limitazione della valutazione ex ante.</w:t>
      </w:r>
    </w:p>
  </w:footnote>
  <w:footnote w:id="2895">
    <w:p>
      <w:pPr>
        <w:pStyle w:val="FootnoteText"/>
      </w:pPr>
      <w:r>
        <w:rPr>
          <w:rStyle w:val="FootnoteReference"/>
        </w:rPr>
        <w:footnoteRef/>
      </w:r>
      <w:r>
        <w:t xml:space="preserve"> </w:t>
      </w:r>
      <w:r>
        <w:t xml:space="preserve">L’analisi multi-criterio (MCA) è il metodo che integra in modo trasparente le dimensioni monetarie e non monetarie della valutazione, ponderandole secondo criteri espliciti e comuni alla serie. Per la metodologia si veda: Baltussen R., Niessen L., «Priority setting of health interventions: the need for multi-criteria decision analysis»,</w:t>
      </w:r>
      <w:r>
        <w:t xml:space="preserve"> </w:t>
      </w:r>
      <w:r>
        <w:rPr>
          <w:i/>
          <w:iCs/>
        </w:rPr>
        <w:t xml:space="preserve">Cost Effectiveness and Resource Allocation</w:t>
      </w:r>
      <w:r>
        <w:t xml:space="preserve">, 4(1), 2006, p. 14.</w:t>
      </w:r>
    </w:p>
  </w:footnote>
  <w:footnote w:id="2896">
    <w:p>
      <w:pPr>
        <w:pStyle w:val="FootnoteText"/>
      </w:pPr>
      <w:r>
        <w:rPr>
          <w:rStyle w:val="FootnoteReference"/>
        </w:rPr>
        <w:footnoteRef/>
      </w:r>
      <w:r>
        <w:t xml:space="preserve"> </w:t>
      </w:r>
      <w:r>
        <w:t xml:space="preserve">La raccomandazione di un percorso graduale in tre fasi traduce operativamente il principio di prudenza e la logica del valore dell’informazione, consentendo al sistema di apprendere dai risultati osservati prima di espandere il servizio.</w:t>
      </w:r>
    </w:p>
  </w:footnote>
  <w:footnote w:id="2897">
    <w:p>
      <w:pPr>
        <w:pStyle w:val="FootnoteText"/>
      </w:pPr>
      <w:r>
        <w:rPr>
          <w:rStyle w:val="FootnoteReference"/>
        </w:rPr>
        <w:footnoteRef/>
      </w:r>
      <w:r>
        <w:t xml:space="preserve"> </w:t>
      </w:r>
      <w:r>
        <w:t xml:space="preserve">La tesi conclusiva dello studio richiama la struttura argomentativa del corpus: la convergenza delle analisi di dominio in una indicazione operativa chiara, fondata sull’evidenza e adattata alle condizioni specifiche delle Marche.</w:t>
      </w:r>
    </w:p>
  </w:footnote>
  <w:footnote w:id="2898">
    <w:p>
      <w:pPr>
        <w:pStyle w:val="FootnoteText"/>
      </w:pPr>
      <w:r>
        <w:rPr>
          <w:rStyle w:val="FootnoteReference"/>
        </w:rPr>
        <w:footnoteRef/>
      </w:r>
      <w:r>
        <w:t xml:space="preserve"> </w:t>
      </w:r>
      <w:r>
        <w:t xml:space="preserve">Il caso di riferimento è comune a tutti gli studi della serie e garantisce la confrontabilità dei risultati fra le regioni. Per la descrizione metodologica dettagliata si rinvia all’Appendice A della Parte A dello Studio Nazionale (Tomo II).</w:t>
      </w:r>
    </w:p>
  </w:footnote>
  <w:footnote w:id="2899">
    <w:p>
      <w:pPr>
        <w:pStyle w:val="FootnoteText"/>
      </w:pPr>
      <w:r>
        <w:rPr>
          <w:rStyle w:val="FootnoteReference"/>
        </w:rPr>
        <w:footnoteRef/>
      </w:r>
      <w:r>
        <w:t xml:space="preserve"> </w:t>
      </w:r>
      <w:r>
        <w:t xml:space="preserve">I parametri del modello di Markov sono derivati dalla letteratura internazionale sull’efficacia degli interventi psicologici nelle cure primarie (Collaborative Care, NHS Talking Therapies), e sono invarianti rispetto al contesto regionale. Si veda: Rollman B.L. et al., «Collaborative care for late-life depression in primary care: a randomized controlled trial»,</w:t>
      </w:r>
      <w:r>
        <w:t xml:space="preserve"> </w:t>
      </w:r>
      <w:r>
        <w:rPr>
          <w:i/>
          <w:iCs/>
        </w:rPr>
        <w:t xml:space="preserve">JAMA Internal Medicine</w:t>
      </w:r>
      <w:r>
        <w:t xml:space="preserve">, 2014.</w:t>
      </w:r>
    </w:p>
  </w:footnote>
  <w:footnote w:id="2900">
    <w:p>
      <w:pPr>
        <w:pStyle w:val="FootnoteText"/>
      </w:pPr>
      <w:r>
        <w:rPr>
          <w:rStyle w:val="FootnoteReference"/>
        </w:rPr>
        <w:footnoteRef/>
      </w:r>
      <w:r>
        <w:t xml:space="preserve"> </w:t>
      </w:r>
      <w:r>
        <w:t xml:space="preserve">Legge regionale 28 ottobre 2024, n. 22, Regione Umbria, «Modifica ed integrazione della L.R. 9 aprile 2015, n. 11 (Testo unico in materia di Sanità e Servizi sociali)», disponibile in: https://leggi.alumbria.it/mostra_atto.php?id=248521. L’atto introduce il Capo VI-bis «Norme per l’istituzione dello psicologo di cure primarie», artt. 176-bis – 176-octies.</w:t>
      </w:r>
    </w:p>
  </w:footnote>
  <w:footnote w:id="2901">
    <w:p>
      <w:pPr>
        <w:pStyle w:val="FootnoteText"/>
      </w:pPr>
      <w:r>
        <w:rPr>
          <w:rStyle w:val="FootnoteReference"/>
        </w:rPr>
        <w:footnoteRef/>
      </w:r>
      <w:r>
        <w:t xml:space="preserve"> </w:t>
      </w:r>
      <w:r>
        <w:t xml:space="preserve">Deliberazione della Giunta regionale dell’Umbria n. 477 del 25 luglio 2025, «Disciplina dell’Osservatorio tecnico regionale per lo psicologo di cure primarie», in attuazione dell’art. 176-octies della L.R. n. 22/2024. Fonte: Welforum.it, https://www.welforum.it/segnalazioni/regione-umbria-dgr-477-2025-disciplina-dellosservatorio-tecnico-regionale-per-lo-psicologo-di-cure-primarie/; Regione Umbria, https://www.regione.umbria.it/dettaglionotizie/-/asset_publisher/lU1Y2yh4H8pu/content/deliberata-in-giunta-regionale-l-istituzione-dell-osservatorio-tecnico-sul-servizio-di-psicologia-di-cure-primarie-nelle-aziende-sanitarie.</w:t>
      </w:r>
    </w:p>
  </w:footnote>
  <w:footnote w:id="2902">
    <w:p>
      <w:pPr>
        <w:pStyle w:val="FootnoteText"/>
      </w:pPr>
      <w:r>
        <w:rPr>
          <w:rStyle w:val="FootnoteReference"/>
        </w:rPr>
        <w:footnoteRef/>
      </w:r>
      <w:r>
        <w:t xml:space="preserve"> </w:t>
      </w:r>
      <w:r>
        <w:t xml:space="preserve">Regione Umbria, Servizio Statistica, «Popolazione residente in Umbria al 1° gennaio 2025», disponibile in: https://webstat.regione.umbria.it/wp-content/uploads/2025/01/popolazione.pdf. Valore: 854.137 residenti.</w:t>
      </w:r>
    </w:p>
  </w:footnote>
  <w:footnote w:id="2903">
    <w:p>
      <w:pPr>
        <w:pStyle w:val="FootnoteText"/>
      </w:pPr>
      <w:r>
        <w:rPr>
          <w:rStyle w:val="FootnoteReference"/>
        </w:rPr>
        <w:footnoteRef/>
      </w:r>
      <w:r>
        <w:t xml:space="preserve"> </w:t>
      </w:r>
      <w:r>
        <w:t xml:space="preserve">Umbria24, «Umbria: indice di vecchiaia cresce ancora, mappa comune per comune», https://www.umbria24.it/attualita/umbria-indice-di-vecchiaia-cresce-ancora-mappa-comune-per-comune/. L’indice di vecchiaia al gennaio 2025 è 246,6%, con tendenza a crescere verso 247,4%; la quota over-65 è di circa 232.730 persone (27,3% della popolazione). L’Umbria è classificata come quinta regione italiana per anzianità della popolazione.</w:t>
      </w:r>
    </w:p>
  </w:footnote>
  <w:footnote w:id="2904">
    <w:p>
      <w:pPr>
        <w:pStyle w:val="FootnoteText"/>
      </w:pPr>
      <w:r>
        <w:rPr>
          <w:rStyle w:val="FootnoteReference"/>
        </w:rPr>
        <w:footnoteRef/>
      </w:r>
      <w:r>
        <w:t xml:space="preserve"> </w:t>
      </w:r>
      <w:r>
        <w:t xml:space="preserve">Umbria24/GIMBE, «Sanità in crisi: il Rapporto GIMBE. L’Umbria riceve più fondi pro-capite ma cresce la rinuncia alle cure», https://www.umbria24.it/attualita/sanita-in-crisi-il-rapporto-gimbe-lumbria-riceve-piu-fondi-pro-capite-ma-cresce-la-rinuncia-alle-cure/. Spesa sanitaria pro-capite umbra: 2.232 € (2024), superiore alla media nazionale di 2.181 €.</w:t>
      </w:r>
    </w:p>
  </w:footnote>
  <w:footnote w:id="2905">
    <w:p>
      <w:pPr>
        <w:pStyle w:val="FootnoteText"/>
      </w:pPr>
      <w:r>
        <w:rPr>
          <w:rStyle w:val="FootnoteReference"/>
        </w:rPr>
        <w:footnoteRef/>
      </w:r>
      <w:r>
        <w:t xml:space="preserve"> </w:t>
      </w:r>
      <w:r>
        <w:t xml:space="preserve">Chisholm D., Sweeny K., Sheehan P. et al., «Scaling-up treatment of depression and anxiety: a global return-on-investment analysis», The Lancet Psychiatry, vol. 3, n. 5, 2016, pp. 415-424. Il rapporto beneficio-costo adottato (3,7-4,8:1) è coerente con la fascia 3,3-5,7:1 dell’analisi di Chisholm, e rispetta il sotto-intervallo prudenziale adottato per la serie.</w:t>
      </w:r>
    </w:p>
  </w:footnote>
  <w:footnote w:id="2906">
    <w:p>
      <w:pPr>
        <w:pStyle w:val="FootnoteText"/>
      </w:pPr>
      <w:r>
        <w:rPr>
          <w:rStyle w:val="FootnoteReference"/>
        </w:rPr>
        <w:footnoteRef/>
      </w:r>
      <w:r>
        <w:t xml:space="preserve"> </w:t>
      </w:r>
      <w:r>
        <w:t xml:space="preserve">L.R. Umbria n. 22/2024, art. 176-bis («Oggetto e finalità»): la Regione Umbria istituisce il servizio di psicologia di cure primarie in attuazione dell’art. 32 della Costituzione, dell’art. 13 dello Statuto regionale e dell’art. 117, co. 3, della Costituzione; art. 176-ter («Servizio di psicologia di cure primarie»): il servizio sostiene e integra l’azione dei MMG e dei PLS. Fonte: https://leggi.alumbria.it/mostra_atto.php?id=248521.</w:t>
      </w:r>
    </w:p>
  </w:footnote>
  <w:footnote w:id="2907">
    <w:p>
      <w:pPr>
        <w:pStyle w:val="FootnoteText"/>
      </w:pPr>
      <w:r>
        <w:rPr>
          <w:rStyle w:val="FootnoteReference"/>
        </w:rPr>
        <w:footnoteRef/>
      </w:r>
      <w:r>
        <w:t xml:space="preserve"> </w:t>
      </w:r>
      <w:r>
        <w:t xml:space="preserve">L.R. Umbria n. 22/2024, norma finanziaria: gli oneri per la fase sperimentale sono quantificati in 103.349,00 euro per ciascuno degli anni 2025 e 2026. Questa cifra è il punto di partenza, non il punto di arrivo: rappresenta la sperimentazione iniziale, lontana da qualsiasi scenario di regime. Fonte: Quotidiano Sanità, ottobre 2024, https://www.quotidianosanita.it/lettere-al-direttore/articolo.php?articolo_id=125226.</w:t>
      </w:r>
    </w:p>
  </w:footnote>
  <w:footnote w:id="2908">
    <w:p>
      <w:pPr>
        <w:pStyle w:val="FootnoteText"/>
      </w:pPr>
      <w:r>
        <w:rPr>
          <w:rStyle w:val="FootnoteReference"/>
        </w:rPr>
        <w:footnoteRef/>
      </w:r>
      <w:r>
        <w:t xml:space="preserve"> </w:t>
      </w:r>
      <w:r>
        <w:t xml:space="preserve">GIMBE/Umbria24, cit. alla nota [^2605]. La crescente rinuncia alle cure in Umbria nonostante una spesa pro-capite superiore alla media indica un problema di accessibilità e di distribuzione dell’offerta, non solo di risorse.</w:t>
      </w:r>
    </w:p>
  </w:footnote>
  <w:footnote w:id="2909">
    <w:p>
      <w:pPr>
        <w:pStyle w:val="FootnoteText"/>
      </w:pPr>
      <w:r>
        <w:rPr>
          <w:rStyle w:val="FootnoteReference"/>
        </w:rPr>
        <w:footnoteRef/>
      </w:r>
      <w:r>
        <w:t xml:space="preserve"> </w:t>
      </w:r>
      <w:r>
        <w:t xml:space="preserve">L.R. Umbria n. 22/2024, art. 176-sexies: il servizio è realizzato da ciascuna Azienda USL a livello di distretto sanitario o sue articolazioni; art. 176-octies: è istituito l’Osservatorio tecnico regionale. DGR 477/2025: composizione e disciplina dell’Osservatorio. Fonte: Regione Umbria, https://www.regione.umbria.it/dettaglionotizie/-/asset_publisher/lU1Y2yh4H8pu/content/deliberata-in-giunta-regionale-l-istituzione-dell-osservatorio-tecnico-sul-servizio-di-psicologia-di-cure-primarie-nelle-aziende-sanitarie.</w:t>
      </w:r>
    </w:p>
  </w:footnote>
  <w:footnote w:id="2910">
    <w:p>
      <w:pPr>
        <w:pStyle w:val="FootnoteText"/>
      </w:pPr>
      <w:r>
        <w:rPr>
          <w:rStyle w:val="FootnoteReference"/>
        </w:rPr>
        <w:footnoteRef/>
      </w:r>
      <w:r>
        <w:t xml:space="preserve"> </w:t>
      </w:r>
      <w:r>
        <w:t xml:space="preserve">Le quattro cornici metodologiche apicali — HTA, Five Case Model, CHEERS 2022, criteri OCSE-DAC — sono le medesime adottate per tutte le regioni della serie. Il loro impiego congiunto è descritto nel documento fondativo dello studio.</w:t>
      </w:r>
    </w:p>
  </w:footnote>
  <w:footnote w:id="2911">
    <w:p>
      <w:pPr>
        <w:pStyle w:val="FootnoteText"/>
      </w:pPr>
      <w:r>
        <w:rPr>
          <w:rStyle w:val="FootnoteReference"/>
        </w:rPr>
        <w:footnoteRef/>
      </w:r>
      <w:r>
        <w:t xml:space="preserve"> </w:t>
      </w:r>
      <w:r>
        <w:t xml:space="preserve">Il caso di riferimento è comune a tutti gli studi della serie, come descritto nel brief metodologico e illustrato nel documento Parte A per la Puglia (Tomo I). Per l’Umbria il comparatore è la sola fase sperimentale in corso, non un servizio pienamente strutturato.</w:t>
      </w:r>
    </w:p>
  </w:footnote>
  <w:footnote w:id="2912">
    <w:p>
      <w:pPr>
        <w:pStyle w:val="FootnoteText"/>
      </w:pPr>
      <w:r>
        <w:rPr>
          <w:rStyle w:val="FootnoteReference"/>
        </w:rPr>
        <w:footnoteRef/>
      </w:r>
      <w:r>
        <w:t xml:space="preserve"> </w:t>
      </w:r>
      <w:r>
        <w:t xml:space="preserve">La distinzione fra analisi di impatto sul bilancio (su flussi non scontati) e analisi costo-utilità (con sconto del 3%) è standard internazionale: cfr. ISPOR Task Force on Budget Impact Analysis, 2007; Briggs A. et al., Decision Modelling for Health Economic Evaluation, Oxford University Press, 2006.</w:t>
      </w:r>
    </w:p>
  </w:footnote>
  <w:footnote w:id="2913">
    <w:p>
      <w:pPr>
        <w:pStyle w:val="FootnoteText"/>
      </w:pPr>
      <w:r>
        <w:rPr>
          <w:rStyle w:val="FootnoteReference"/>
        </w:rPr>
        <w:footnoteRef/>
      </w:r>
      <w:r>
        <w:t xml:space="preserve"> </w:t>
      </w:r>
      <w:r>
        <w:t xml:space="preserve">Il saldo di mobilità passivo dell’Umbria è documentato dai rapporti annuali del Ministero della Salute sulla mobilità sanitaria interregionale. Il recupero parziale di questa mobilità mediante l’rafforzamento dell’offerta territoriale è un canale di risparmio plausibile ma da stimare con cautela.</w:t>
      </w:r>
    </w:p>
  </w:footnote>
  <w:footnote w:id="2914">
    <w:p>
      <w:pPr>
        <w:pStyle w:val="FootnoteText"/>
      </w:pPr>
      <w:r>
        <w:rPr>
          <w:rStyle w:val="FootnoteReference"/>
        </w:rPr>
        <w:footnoteRef/>
      </w:r>
      <w:r>
        <w:t xml:space="preserve"> </w:t>
      </w:r>
      <w:r>
        <w:t xml:space="preserve">Le dieci metodologie sono le medesime di tutti gli studi della serie, come descritto nel brief metodologico del Tomo II.</w:t>
      </w:r>
    </w:p>
  </w:footnote>
  <w:footnote w:id="2915">
    <w:p>
      <w:pPr>
        <w:pStyle w:val="FootnoteText"/>
      </w:pPr>
      <w:r>
        <w:rPr>
          <w:rStyle w:val="FootnoteReference"/>
        </w:rPr>
        <w:footnoteRef/>
      </w:r>
      <w:r>
        <w:t xml:space="preserve"> </w:t>
      </w:r>
      <w:r>
        <w:t xml:space="preserve">Il disegno a cunei progressivi (stepped-wedge design) è particolarmente adatto per la valutazione di servizi pubblici che non possono essere assegnati casualmente; cfr. Brown C.A., Lilford R.J., «The stepped wedge trial design: a systematic review», BMC Medical Research Methodology, 6(1), 2006, p. 54.</w:t>
      </w:r>
    </w:p>
  </w:footnote>
  <w:footnote w:id="2916">
    <w:p>
      <w:pPr>
        <w:pStyle w:val="FootnoteText"/>
      </w:pPr>
      <w:r>
        <w:rPr>
          <w:rStyle w:val="FootnoteReference"/>
        </w:rPr>
        <w:footnoteRef/>
      </w:r>
      <w:r>
        <w:t xml:space="preserve"> </w:t>
      </w:r>
      <w:r>
        <w:t xml:space="preserve">L.R. Umbria n. 22/2024, art. 176-octies: composizione dell’Osservatorio tecnico regionale; DGR 477/2025: disciplina dell’Osservatorio. Fonti: come alle note [^2601] e [^2602].</w:t>
      </w:r>
    </w:p>
  </w:footnote>
  <w:footnote w:id="2917">
    <w:p>
      <w:pPr>
        <w:pStyle w:val="FootnoteText"/>
      </w:pPr>
      <w:r>
        <w:rPr>
          <w:rStyle w:val="FootnoteReference"/>
        </w:rPr>
        <w:footnoteRef/>
      </w:r>
      <w:r>
        <w:t xml:space="preserve"> </w:t>
      </w:r>
      <w:r>
        <w:t xml:space="preserve">DGR 477/2025, composizione dell’Osservatorio tecnico regionale: uno psicologo per ciascuna Azienda USL; uno per ciascuna Azienda Ospedaliera; un rappresentante MMG; uno PLS; due psicologi designati dall’Ordine degli Psicologi dell’Umbria; un funzionario regionale; un docente universitario di psicologia clinica; un rappresentante delle società scientifiche. Fonte: https://www.regione.umbria.it/dettaglionotizie/-/asset_publisher/lU1Y2yh4H8pu/content/deliberata-in-giunta-regionale-l-istituzione-dell-osservatorio-tecnico-sul-servizio-di-psicologia-di-cure-primarie-nelle-aziende-sanitarie.</w:t>
      </w:r>
    </w:p>
  </w:footnote>
  <w:footnote w:id="2918">
    <w:p>
      <w:pPr>
        <w:pStyle w:val="FootnoteText"/>
      </w:pPr>
      <w:r>
        <w:rPr>
          <w:rStyle w:val="FootnoteReference"/>
        </w:rPr>
        <w:footnoteRef/>
      </w:r>
      <w:r>
        <w:t xml:space="preserve"> </w:t>
      </w:r>
      <w:r>
        <w:t xml:space="preserve">Regolamento (UE) 2024/1689 (AI Act) e Regolamento (UE) 2017/745 sui dispositivi medici (MDR), applicabili agli strumenti di intelligenza artificiale classificati come dispositivi medici.</w:t>
      </w:r>
    </w:p>
  </w:footnote>
  <w:footnote w:id="2919">
    <w:p>
      <w:pPr>
        <w:pStyle w:val="FootnoteText"/>
      </w:pPr>
      <w:r>
        <w:rPr>
          <w:rStyle w:val="FootnoteReference"/>
        </w:rPr>
        <w:footnoteRef/>
      </w:r>
      <w:r>
        <w:t xml:space="preserve"> </w:t>
      </w:r>
      <w:r>
        <w:t xml:space="preserve">Regione Umbria, Servizio Statistica, cit. alla nota [^2603]. Il calo demografico umbro è strutturale e non prevede inversione nel breve periodo secondo le proiezioni ISTAT.</w:t>
      </w:r>
    </w:p>
  </w:footnote>
  <w:footnote w:id="2920">
    <w:p>
      <w:pPr>
        <w:pStyle w:val="FootnoteText"/>
      </w:pPr>
      <w:r>
        <w:rPr>
          <w:rStyle w:val="FootnoteReference"/>
        </w:rPr>
        <w:footnoteRef/>
      </w:r>
      <w:r>
        <w:t xml:space="preserve"> </w:t>
      </w:r>
      <w:r>
        <w:t xml:space="preserve">Umbria24, cit. alla nota [^2604]. L’indice di vecchiaia di 246,6% significa che vi sono circa 2,47 persone anziane (over-65) per ogni giovane (under-15); il confronto con l’indice medio nazionale (circa 200%) evidenzia l’invecchiamento avanzato del territorio.</w:t>
      </w:r>
    </w:p>
  </w:footnote>
  <w:footnote w:id="2921">
    <w:p>
      <w:pPr>
        <w:pStyle w:val="FootnoteText"/>
      </w:pPr>
      <w:r>
        <w:rPr>
          <w:rStyle w:val="FootnoteReference"/>
        </w:rPr>
        <w:footnoteRef/>
      </w:r>
      <w:r>
        <w:t xml:space="preserve"> </w:t>
      </w:r>
      <w:r>
        <w:t xml:space="preserve">La stima di 170.000 persone con disagio comune è calcolata applicando un tasso conservativo del 20% alla popolazione residente di 854.137 abitanti, coerentemente con i tassi di prevalenza documentati dalla letteratura epidemiologica internazionale (Kessler R.C. et al., 2005; Wittchen H.U. et al., 2011) e con le proiezioni nazionali del Rapporto ISTISAN 2018.</w:t>
      </w:r>
    </w:p>
  </w:footnote>
  <w:footnote w:id="2922">
    <w:p>
      <w:pPr>
        <w:pStyle w:val="FootnoteText"/>
      </w:pPr>
      <w:r>
        <w:rPr>
          <w:rStyle w:val="FootnoteReference"/>
        </w:rPr>
        <w:footnoteRef/>
      </w:r>
      <w:r>
        <w:t xml:space="preserve"> </w:t>
      </w:r>
      <w:r>
        <w:t xml:space="preserve">La domanda non intercettata nelle comunità appenniniche interne è documentata dalla struttura geografica dei servizi psicologici regionali e dalla distribuzione degli accessi ai servizi di salute mentale distrettuale, che tendono a concentrarsi nei capoluoghi.</w:t>
      </w:r>
    </w:p>
  </w:footnote>
  <w:footnote w:id="2923">
    <w:p>
      <w:pPr>
        <w:pStyle w:val="FootnoteText"/>
      </w:pPr>
      <w:r>
        <w:rPr>
          <w:rStyle w:val="FootnoteReference"/>
        </w:rPr>
        <w:footnoteRef/>
      </w:r>
      <w:r>
        <w:t xml:space="preserve"> </w:t>
      </w:r>
      <w:r>
        <w:t xml:space="preserve">L.R. Umbria n. 22/2024, norma finanziaria e art. 176-quinquies (elenco regionale) e art. 176-sexies (organizzazione distrettuale). La norma dispone che gli artt. 1, 2 (limitatamente alle disposizioni sullo psicologo di cure primarie) e 3 si applicano in via sperimentale, in attesa dell’evoluzione della normativa nazionale.</w:t>
      </w:r>
    </w:p>
  </w:footnote>
  <w:footnote w:id="2924">
    <w:p>
      <w:pPr>
        <w:pStyle w:val="FootnoteText"/>
      </w:pPr>
      <w:r>
        <w:rPr>
          <w:rStyle w:val="FootnoteReference"/>
        </w:rPr>
        <w:footnoteRef/>
      </w:r>
      <w:r>
        <w:t xml:space="preserve"> </w:t>
      </w:r>
      <w:r>
        <w:t xml:space="preserve">Il confronto con gli standard europei si basa sul rapporto OECD Health at a Glance 2023, che documenta che i paesi con i migliori sistemi di cure primarie psicologiche (UK, Paesi Bassi, Australia) operano con un rapporto di circa 1 psicologo per 1.500-3.500 persone nella popolazione di riferimento; l’Umbria ne è lontana nella fase sperimentale attuale.</w:t>
      </w:r>
    </w:p>
  </w:footnote>
  <w:footnote w:id="2925">
    <w:p>
      <w:pPr>
        <w:pStyle w:val="FootnoteText"/>
      </w:pPr>
      <w:r>
        <w:rPr>
          <w:rStyle w:val="FootnoteReference"/>
        </w:rPr>
        <w:footnoteRef/>
      </w:r>
      <w:r>
        <w:t xml:space="preserve"> </w:t>
      </w:r>
      <w:r>
        <w:t xml:space="preserve">La struttura bipolare del territorio umbro — conurbazione perugino-ternana vs. aree appenniniche interne — è documentata dal Piano socio-sanitario regionale dell’Umbria e dai dati di accessibilità ai servizi prodotti dalla Regione Umbria.</w:t>
      </w:r>
    </w:p>
  </w:footnote>
  <w:footnote w:id="2926">
    <w:p>
      <w:pPr>
        <w:pStyle w:val="FootnoteText"/>
      </w:pPr>
      <w:r>
        <w:rPr>
          <w:rStyle w:val="FootnoteReference"/>
        </w:rPr>
        <w:footnoteRef/>
      </w:r>
      <w:r>
        <w:t xml:space="preserve"> </w:t>
      </w:r>
      <w:r>
        <w:t xml:space="preserve">Umbria24/GIMBE, cit. alla nota [^2605]. Il Fondo sanitario regionale è stimato per coerenza con la spesa pro-capite di 2.232 euro e la popolazione di 854.137 abitanti: 854.137 × 2.232 ≈ 1,906 miliardi di euro.</w:t>
      </w:r>
    </w:p>
  </w:footnote>
  <w:footnote w:id="2927">
    <w:p>
      <w:pPr>
        <w:pStyle w:val="FootnoteText"/>
      </w:pPr>
      <w:r>
        <w:rPr>
          <w:rStyle w:val="FootnoteReference"/>
        </w:rPr>
        <w:footnoteRef/>
      </w:r>
      <w:r>
        <w:t xml:space="preserve"> </w:t>
      </w:r>
      <w:r>
        <w:t xml:space="preserve">L.R. Umbria n. 22/2024, testo completo disponibile in: https://leggi.alumbria.it/mostra_atto.php?id=248521. La legge modifica la L.R. 9 aprile 2015, n. 11 (Testo unico in materia di Sanità e Servizi sociali) inserendo il Capo VI-bis.</w:t>
      </w:r>
    </w:p>
  </w:footnote>
  <w:footnote w:id="2928">
    <w:p>
      <w:pPr>
        <w:pStyle w:val="FootnoteText"/>
      </w:pPr>
      <w:r>
        <w:rPr>
          <w:rStyle w:val="FootnoteReference"/>
        </w:rPr>
        <w:footnoteRef/>
      </w:r>
      <w:r>
        <w:t xml:space="preserve"> </w:t>
      </w:r>
      <w:r>
        <w:t xml:space="preserve">DGR 477/2025: cfr. nota [^2602]. La delibera è del 25 luglio 2025 e costituisce il primo atto attuativo della L.R. n. 22/2024 in materia di Osservatorio.</w:t>
      </w:r>
    </w:p>
  </w:footnote>
  <w:footnote w:id="2929">
    <w:p>
      <w:pPr>
        <w:pStyle w:val="FootnoteText"/>
      </w:pPr>
      <w:r>
        <w:rPr>
          <w:rStyle w:val="FootnoteReference"/>
        </w:rPr>
        <w:footnoteRef/>
      </w:r>
      <w:r>
        <w:t xml:space="preserve"> </w:t>
      </w:r>
      <w:r>
        <w:t xml:space="preserve">La teoria del cambiamento esplicita è il metodo raccomandato dall’OCSE per la valutazione degli interventi di salute mentale: cfr. OCSE, A Good Life in Old Age? Monitoring and Improving Quality in Long-term Care, 2013; Gilbody S. et al., Collaborative care for depression, Cochrane Database of Systematic Reviews, 2006.</w:t>
      </w:r>
    </w:p>
  </w:footnote>
  <w:footnote w:id="2930">
    <w:p>
      <w:pPr>
        <w:pStyle w:val="FootnoteText"/>
      </w:pPr>
      <w:r>
        <w:rPr>
          <w:rStyle w:val="FootnoteReference"/>
        </w:rPr>
        <w:footnoteRef/>
      </w:r>
      <w:r>
        <w:t xml:space="preserve"> </w:t>
      </w:r>
      <w:r>
        <w:t xml:space="preserve">L.R. Umbria n. 22/2024, art. 176-ter (finalità: integrazione con MMG e PLS, filtro verso i livelli secondari), art. 176-quater (compiti: prima presa in carico, progetto clinico individuale, collaborazione con i servizi distrettuali), art. 176-sexies (organizzazione: distretto sanitario, referente clinico aziendale). Fonte: https://leggi.alumbria.it/mostra_atto.php?id=248521.</w:t>
      </w:r>
    </w:p>
  </w:footnote>
  <w:footnote w:id="2931">
    <w:p>
      <w:pPr>
        <w:pStyle w:val="FootnoteText"/>
      </w:pPr>
      <w:r>
        <w:rPr>
          <w:rStyle w:val="FootnoteReference"/>
        </w:rPr>
        <w:footnoteRef/>
      </w:r>
      <w:r>
        <w:t xml:space="preserve"> </w:t>
      </w:r>
      <w:r>
        <w:t xml:space="preserve">L.R. Umbria n. 22/2024, art. 176-quater: lo psicologo «assume in carico la richiesta e sviluppa un progetto clinico con dimensione diagnostica e programma di supporto psicologico, avvalendosi, se necessario, delle strutture di secondo livello»; l’accesso avviene tramite accesso diretto o invio.</w:t>
      </w:r>
    </w:p>
  </w:footnote>
  <w:footnote w:id="2932">
    <w:p>
      <w:pPr>
        <w:pStyle w:val="FootnoteText"/>
      </w:pPr>
      <w:r>
        <w:rPr>
          <w:rStyle w:val="FootnoteReference"/>
        </w:rPr>
        <w:footnoteRef/>
      </w:r>
      <w:r>
        <w:t xml:space="preserve"> </w:t>
      </w:r>
      <w:r>
        <w:t xml:space="preserve">L.R. Umbria n. 22/2024, art. 406 (clausola valutativa): la Giunta trasmette annualmente all’Assemblea legislativa una relazione con i dati elencati; l’elenco è riprodotto nella Parte L, capitolo L.1, di questo studio.</w:t>
      </w:r>
    </w:p>
  </w:footnote>
  <w:footnote w:id="2933">
    <w:p>
      <w:pPr>
        <w:pStyle w:val="FootnoteText"/>
      </w:pPr>
      <w:r>
        <w:rPr>
          <w:rStyle w:val="FootnoteReference"/>
        </w:rPr>
        <w:footnoteRef/>
      </w:r>
      <w:r>
        <w:t xml:space="preserve"> </w:t>
      </w:r>
      <w:r>
        <w:t xml:space="preserve">La telepsicologia come strumento di accesso per le aree rurali è supportata da evidenze crescenti: Langarizadeh M. et al., «Telemental Health Care, an Effective Alternative to Conventional Mental Health Care: A Systematic Review and Meta-Analysis», Iranian Journal of Psychiatry and Behavioral Sciences, 2017.</w:t>
      </w:r>
    </w:p>
  </w:footnote>
  <w:footnote w:id="2934">
    <w:p>
      <w:pPr>
        <w:pStyle w:val="FootnoteText"/>
      </w:pPr>
      <w:r>
        <w:rPr>
          <w:rStyle w:val="FootnoteReference"/>
        </w:rPr>
        <w:footnoteRef/>
      </w:r>
      <w:r>
        <w:t xml:space="preserve"> </w:t>
      </w:r>
      <w:r>
        <w:t xml:space="preserve">L.R. Umbria n. 22/2024, art. 176-quinquies: «La Giunta regionale disciplina entro centottanta giorni dall’entrata in vigore della disposizione le modalità di formazione e aggiornamento dell’elenco. In fase di prima applicazione, in attesa dei corsi abilitanti, possono accedere all’elenco gli psicologi e gli psicologi psicoterapeuti che documentino un’attività almeno annuale, con qualsiasi tipo di contratto, nelle aziende unità sanitarie locali, nelle aziende ospedaliere e nelle strutture accreditate e convenzionate regionali.»</w:t>
      </w:r>
    </w:p>
  </w:footnote>
  <w:footnote w:id="2935">
    <w:p>
      <w:pPr>
        <w:pStyle w:val="FootnoteText"/>
      </w:pPr>
      <w:r>
        <w:rPr>
          <w:rStyle w:val="FootnoteReference"/>
        </w:rPr>
        <w:footnoteRef/>
      </w:r>
      <w:r>
        <w:t xml:space="preserve"> </w:t>
      </w:r>
      <w:r>
        <w:t xml:space="preserve">Unützer J., Katon W., Callahan C.M. et al., «Collaborative care management of late-life depression in the primary care setting: a randomized controlled trial», JAMA, 288(22), 2002, pp. 2836-2845; Unützer J. et al., «Long-term cost effects of collaborative care for late-life depression», American Journal of Managed Care, 14(2), 2008, pp. 95-100.</w:t>
      </w:r>
    </w:p>
  </w:footnote>
  <w:footnote w:id="2936">
    <w:p>
      <w:pPr>
        <w:pStyle w:val="FootnoteText"/>
      </w:pPr>
      <w:r>
        <w:rPr>
          <w:rStyle w:val="FootnoteReference"/>
        </w:rPr>
        <w:footnoteRef/>
      </w:r>
      <w:r>
        <w:t xml:space="preserve"> </w:t>
      </w:r>
      <w:r>
        <w:t xml:space="preserve">Gilbody S., Bower P., Fletcher J. et al., «Collaborative care for depression: a cumulative meta-analysis and review of longer-term outcomes», Archives of Internal Medicine, 166(21), 2006, pp. 2314-2321; Archer J. et al., «Collaborative care for depression and anxiety problems», Cochrane Database of Systematic Reviews, 10, 2012.</w:t>
      </w:r>
    </w:p>
  </w:footnote>
  <w:footnote w:id="2937">
    <w:p>
      <w:pPr>
        <w:pStyle w:val="FootnoteText"/>
      </w:pPr>
      <w:r>
        <w:rPr>
          <w:rStyle w:val="FootnoteReference"/>
        </w:rPr>
        <w:footnoteRef/>
      </w:r>
      <w:r>
        <w:t xml:space="preserve"> </w:t>
      </w:r>
      <w:r>
        <w:t xml:space="preserve">NHS England, «NHS Talking Therapies for anxiety and depression: Annual report 2022/23», pubblicato nel 2023. Tasso di recupero: 50,2%; miglioramento affidabile: oltre il 66%; completezza dei dati di esito: &gt;98%.</w:t>
      </w:r>
    </w:p>
  </w:footnote>
  <w:footnote w:id="2938">
    <w:p>
      <w:pPr>
        <w:pStyle w:val="FootnoteText"/>
      </w:pPr>
      <w:r>
        <w:rPr>
          <w:rStyle w:val="FootnoteReference"/>
        </w:rPr>
        <w:footnoteRef/>
      </w:r>
      <w:r>
        <w:t xml:space="preserve"> </w:t>
      </w:r>
      <w:r>
        <w:t xml:space="preserve">Unützer J. et al., 2002, cit. alla nota [^2636]: nella tabella degli esiti economici, il risparmio sui costi sanitari diretti non raggiunge la significatività statistica (IC 95% comprende lo zero). Questa cautela è ribadita nel brief metodologico del Tomo II come «caveat vincolante».</w:t>
      </w:r>
    </w:p>
  </w:footnote>
  <w:footnote w:id="2939">
    <w:p>
      <w:pPr>
        <w:pStyle w:val="FootnoteText"/>
      </w:pPr>
      <w:r>
        <w:rPr>
          <w:rStyle w:val="FootnoteReference"/>
        </w:rPr>
        <w:footnoteRef/>
      </w:r>
      <w:r>
        <w:t xml:space="preserve"> </w:t>
      </w:r>
      <w:r>
        <w:t xml:space="preserve">NHS England, cit. alla nota [^2638]. Per il modello olandese POH-GGZ: Meeuwissen J.A.C., Donker M.C.H., «De psychologische generalistische behandelaar in de eerstelijn», TSG (Tijdschrift voor Gezondheidswetenschappen), 2004. Per il modello australiano Better Access: Hickie I.B. et al., «Access to evidence-based primary mental health care», MJA, 2005.</w:t>
      </w:r>
    </w:p>
  </w:footnote>
  <w:footnote w:id="2940">
    <w:p>
      <w:pPr>
        <w:pStyle w:val="FootnoteText"/>
      </w:pPr>
      <w:r>
        <w:rPr>
          <w:rStyle w:val="FootnoteReference"/>
        </w:rPr>
        <w:footnoteRef/>
      </w:r>
      <w:r>
        <w:t xml:space="preserve"> </w:t>
      </w:r>
      <w:r>
        <w:t xml:space="preserve">Chisholm D. et al., 2016, cit. alla nota [^2606]. Il duplice intervallo dell’analisi di Chisholm è: 2,3-3,0:1 (soli benefici economici) e 3,3-5,7:1 (comprensivo dei benefici di salute). Il rapporto adottato per l’Umbria (3,7-4,8:1) è un sotto-intervallo plausibile della fascia più ampia, coerente con la posizione demografica e sanitaria della regione.</w:t>
      </w:r>
    </w:p>
  </w:footnote>
  <w:footnote w:id="2941">
    <w:p>
      <w:pPr>
        <w:pStyle w:val="FootnoteText"/>
      </w:pPr>
      <w:r>
        <w:rPr>
          <w:rStyle w:val="FootnoteReference"/>
        </w:rPr>
        <w:footnoteRef/>
      </w:r>
      <w:r>
        <w:t xml:space="preserve"> </w:t>
      </w:r>
      <w:r>
        <w:t xml:space="preserve">Il dettaglio dei canali di risparmio è stimato applicando i parametri del modello di serie (calibrati sui benchmark internazionali) alla popolazione umbra e al profilo dei servizi regionali. I valori sono arrotondati con il simbolo ~ per sottolineare il carattere di stima.</w:t>
      </w:r>
    </w:p>
  </w:footnote>
  <w:footnote w:id="2942">
    <w:p>
      <w:pPr>
        <w:pStyle w:val="FootnoteText"/>
      </w:pPr>
      <w:r>
        <w:rPr>
          <w:rStyle w:val="FootnoteReference"/>
        </w:rPr>
        <w:footnoteRef/>
      </w:r>
      <w:r>
        <w:t xml:space="preserve"> </w:t>
      </w:r>
      <w:r>
        <w:t xml:space="preserve">Le ricadute economico-sociali sono stimate applicando i coefficienti di ritorno sociale del modello di serie (fondati sull’analisi di Chisholm et al. 2016) alla popolazione trattata nei tre scenari. Il peso particolarmente elevato della componente caregiver riflette la struttura demografica della regione (27,3% di over-65).</w:t>
      </w:r>
    </w:p>
  </w:footnote>
  <w:footnote w:id="2943">
    <w:p>
      <w:pPr>
        <w:pStyle w:val="FootnoteText"/>
      </w:pPr>
      <w:r>
        <w:rPr>
          <w:rStyle w:val="FootnoteReference"/>
        </w:rPr>
        <w:footnoteRef/>
      </w:r>
      <w:r>
        <w:t xml:space="preserve"> </w:t>
      </w:r>
      <w:r>
        <w:t xml:space="preserve">I risultati dell’analisi costo-utilità per paziente (costo €2.495 vs. €3.799; QALY 3,627 vs. 3,392; dominanza nell’84,6% delle simulazioni; costo-efficace nell’88,9% alla soglia di €30.000/QALY) sono i valori comuni a tutti gli studi della serie, prodotti dal modello di Markov calibrato sul trial IMPACT e sui dati del NHS Talking Therapies.</w:t>
      </w:r>
    </w:p>
  </w:footnote>
  <w:footnote w:id="2944">
    <w:p>
      <w:pPr>
        <w:pStyle w:val="FootnoteText"/>
      </w:pPr>
      <w:r>
        <w:rPr>
          <w:rStyle w:val="FootnoteReference"/>
        </w:rPr>
        <w:footnoteRef/>
      </w:r>
      <w:r>
        <w:t xml:space="preserve"> </w:t>
      </w:r>
      <w:r>
        <w:t xml:space="preserve">Il costo netto annuo (differenza fra costo del servizio e risparmi diretti) nei tre scenari è: 4 milioni (conservativo), 6 milioni (base), 7 milioni (espansivo). Rapportato al Fondo sanitario regionale stimato di 1,9-2,0 miliardi, questo corrisponde allo 0,2%, 0,3% e 0,4% rispettivamente.</w:t>
      </w:r>
    </w:p>
  </w:footnote>
  <w:footnote w:id="2945">
    <w:p>
      <w:pPr>
        <w:pStyle w:val="FootnoteText"/>
      </w:pPr>
      <w:r>
        <w:rPr>
          <w:rStyle w:val="FootnoteReference"/>
        </w:rPr>
        <w:footnoteRef/>
      </w:r>
      <w:r>
        <w:t xml:space="preserve"> </w:t>
      </w:r>
      <w:r>
        <w:t xml:space="preserve">Briggs A., Sculpher M., Claxton K., Decision Modelling for Health Economic Evaluation, Oxford University Press, 2006. Il modello di Markov a cinque stati clinici è descritto in dettaglio nell’Appendice A del documento Parte F della serie.</w:t>
      </w:r>
    </w:p>
  </w:footnote>
  <w:footnote w:id="2946">
    <w:p>
      <w:pPr>
        <w:pStyle w:val="FootnoteText"/>
      </w:pPr>
      <w:r>
        <w:rPr>
          <w:rStyle w:val="FootnoteReference"/>
        </w:rPr>
        <w:footnoteRef/>
      </w:r>
      <w:r>
        <w:t xml:space="preserve"> </w:t>
      </w:r>
      <w:r>
        <w:t xml:space="preserve">Il tornado diagram elenca i parametri in ordine di importanza relativa sull’incertezza del risultato; la metodologia è descritta in Briggs et al. 2006, cit. alla nota [^2646], cap. 3.</w:t>
      </w:r>
    </w:p>
  </w:footnote>
  <w:footnote w:id="2947">
    <w:p>
      <w:pPr>
        <w:pStyle w:val="FootnoteText"/>
      </w:pPr>
      <w:r>
        <w:rPr>
          <w:rStyle w:val="FootnoteReference"/>
        </w:rPr>
        <w:footnoteRef/>
      </w:r>
      <w:r>
        <w:t xml:space="preserve"> </w:t>
      </w:r>
      <w:r>
        <w:t xml:space="preserve">L’analisi di sensibilità probabilistica con 10.000 simulazioni di Monte Carlo è il metodo standard per la propagazione dell’incertezza nei modelli decisionali: cfr. Claxton K. et al., «Probabilistic sensitivity analysis for NICE technology assessment: not an optional extra», Health Economics, 14(4), 2005, pp. 339-347.</w:t>
      </w:r>
    </w:p>
  </w:footnote>
  <w:footnote w:id="2948">
    <w:p>
      <w:pPr>
        <w:pStyle w:val="FootnoteText"/>
      </w:pPr>
      <w:r>
        <w:rPr>
          <w:rStyle w:val="FootnoteReference"/>
        </w:rPr>
        <w:footnoteRef/>
      </w:r>
      <w:r>
        <w:t xml:space="preserve"> </w:t>
      </w:r>
      <w:r>
        <w:t xml:space="preserve">Il metodo stepped-wedge per la valutazione di politiche pubbliche è descritto in Hussey M.A., Hughes J.P., «Design and analysis of stepped wedge cluster randomized trials», Contemporary Clinical Trials, 28(2), 2007, pp. 182-191. Per l’applicazione alla valutazione di servizi sanitari pubblici in Italia, cfr. il disegno adottato per le regioni precedenti della serie.</w:t>
      </w:r>
    </w:p>
  </w:footnote>
  <w:footnote w:id="2949">
    <w:p>
      <w:pPr>
        <w:pStyle w:val="FootnoteText"/>
      </w:pPr>
      <w:r>
        <w:rPr>
          <w:rStyle w:val="FootnoteReference"/>
        </w:rPr>
        <w:footnoteRef/>
      </w:r>
      <w:r>
        <w:t xml:space="preserve"> </w:t>
      </w:r>
      <w:r>
        <w:t xml:space="preserve">La letteratura sulla «legge dell’inversa cura» (Tudor Hart J., «The inverse care law», The Lancet, 297(7696), 1971, pp. 405-412) documenta che l’offerta di servizi sanitari tende a essere inversamente proporzionale al bisogno nella popolazione servita quando i servizi sono lasciati al mercato; il servizio pubblico di primo livello è uno strumento per contrastare questa tendenza.</w:t>
      </w:r>
    </w:p>
  </w:footnote>
  <w:footnote w:id="2950">
    <w:p>
      <w:pPr>
        <w:pStyle w:val="FootnoteText"/>
      </w:pPr>
      <w:r>
        <w:rPr>
          <w:rStyle w:val="FootnoteReference"/>
        </w:rPr>
        <w:footnoteRef/>
      </w:r>
      <w:r>
        <w:t xml:space="preserve"> </w:t>
      </w:r>
      <w:r>
        <w:t xml:space="preserve">L.R. Umbria n. 22/2024, artt. 176-bis–176-octies. Il testo integrale è disponibile in: https://leggi.alumbria.it/mostra_atto.php?id=248521.</w:t>
      </w:r>
    </w:p>
  </w:footnote>
  <w:footnote w:id="2951">
    <w:p>
      <w:pPr>
        <w:pStyle w:val="FootnoteText"/>
      </w:pPr>
      <w:r>
        <w:rPr>
          <w:rStyle w:val="FootnoteReference"/>
        </w:rPr>
        <w:footnoteRef/>
      </w:r>
      <w:r>
        <w:t xml:space="preserve"> </w:t>
      </w:r>
      <w:r>
        <w:t xml:space="preserve">DGR 477/2025, composizione e funzioni dell’Osservatorio tecnico regionale. Fonte: https://www.welforum.it/segnalazioni/regione-umbria-dgr-477-2025-disciplina-dellosservatorio-tecnico-regionale-per-lo-psicologo-di-cure-primarie/.</w:t>
      </w:r>
    </w:p>
  </w:footnote>
  <w:footnote w:id="2952">
    <w:p>
      <w:pPr>
        <w:pStyle w:val="FootnoteText"/>
      </w:pPr>
      <w:r>
        <w:rPr>
          <w:rStyle w:val="FootnoteReference"/>
        </w:rPr>
        <w:footnoteRef/>
      </w:r>
      <w:r>
        <w:t xml:space="preserve"> </w:t>
      </w:r>
      <w:r>
        <w:t xml:space="preserve">L.R. Umbria n. 22/2024, art. 406, ultimo comma (clausola valutativa): elenca gli otto tipi di dati che la Giunta deve trasmettere annualmente all’Assemblea legislativa. Cfr. il testo integrale disponibile in: https://leggi.alumbria.it/mostra_atto.php?id=248521.</w:t>
      </w:r>
    </w:p>
  </w:footnote>
  <w:footnote w:id="2953">
    <w:p>
      <w:pPr>
        <w:pStyle w:val="FootnoteText"/>
      </w:pPr>
      <w:r>
        <w:rPr>
          <w:rStyle w:val="FootnoteReference"/>
        </w:rPr>
        <w:footnoteRef/>
      </w:r>
      <w:r>
        <w:t xml:space="preserve"> </w:t>
      </w:r>
      <w:r>
        <w:t xml:space="preserve">Il disegno stepped-wedge è preferibile alla valutazione pre-post semplice perché controlla per i trend temporali e per i fattori di confondimento che variano nel tempo; cfr. Hussey e Hughes, cit. alla nota [^2649].</w:t>
      </w:r>
    </w:p>
  </w:footnote>
  <w:footnote w:id="2954">
    <w:p>
      <w:pPr>
        <w:pStyle w:val="FootnoteText"/>
      </w:pPr>
      <w:r>
        <w:rPr>
          <w:rStyle w:val="FootnoteReference"/>
        </w:rPr>
        <w:footnoteRef/>
      </w:r>
      <w:r>
        <w:t xml:space="preserve"> </w:t>
      </w:r>
      <w:r>
        <w:t xml:space="preserve">Posizione dell’Abruzzo e fonte normativa: la regione ha istituito il servizio con la legge regionale 8 ottobre 2022, n. 28 (Istituzione del servizio di psicologia di base ed ulteriori disposizioni), approvata all’unanimità dal Consiglio regionale il 29 settembre 2022 nel contesto delle fragilità emerse con la pandemia. La legge prevede che il servizio sia realizzato da ciascuna Azienda Sanitaria Locale a livello dei distretti sanitari di base e svolto da psicologi liberi professionisti in rapporto convenzionale, con almeno uno psicologo di base per ciascuno dei venticinque distretti e un rapporto di un professionista ogni quindicimila abitanti; istituisce in ciascuna Azienda l’elenco degli psicologi delle cure primarie, un Osservatorio Regionale e un Tavolo tecnico per la verifica, il monitoraggio e il controllo qualitativo, e pone i costi a carico del Servizio Sanitario Regionale, fatto salvo un ticket il cui importo è demandato alla Giunta. Il regolamento attuativo è stato approvato dalla Giunta regionale nel luglio 2024, dopo un iter lungo e travagliato; l’attivazione operativa del servizio è tuttavia ancora in fase iniziale.</w:t>
      </w:r>
    </w:p>
  </w:footnote>
  <w:footnote w:id="2955">
    <w:p>
      <w:pPr>
        <w:pStyle w:val="FootnoteText"/>
      </w:pPr>
      <w:r>
        <w:rPr>
          <w:rStyle w:val="FootnoteReference"/>
        </w:rPr>
        <w:footnoteRef/>
      </w:r>
      <w:r>
        <w:t xml:space="preserve"> </w:t>
      </w:r>
      <w:r>
        <w:t xml:space="preserve">Stato attuale e decisione: a differenza del Lazio, che del modello costituisce la culla scientifica ma non lo ha ancora istituito per legge, e analogamente alla Campania, che dispone di una legge vigente e di un servizio già attivo, l’Abruzzo dispone di una legge istitutiva e di un regolamento attuativo, ma la sua attivazione è ancora iniziale e l’originaria copertura finanziaria — dell’ordine di quattrocentomila euro per ciascuna annualità del triennio 2022-2024 — è transitoria e largamente insufficiente rispetto al fabbisogno. La decisione rilevante, di conseguenza, non è se istituire il servizio, già istituito e regolato, ma se attuarlo compiutamente e dimensionarlo, conducendolo dal nucleo minimo prefigurato dalla norma — un professionista ogni quindicimila abitanti — alla copertura sistematica del fabbisogno, stimato nello scenario espansivo nell’ordine di duecentottanta psicologi, con un finanziamento regionale stabile e un inquadramento convenzionale definito.</w:t>
      </w:r>
    </w:p>
  </w:footnote>
  <w:footnote w:id="2956">
    <w:p>
      <w:pPr>
        <w:pStyle w:val="FootnoteText"/>
      </w:pPr>
      <w:r>
        <w:rPr>
          <w:rStyle w:val="FootnoteReference"/>
        </w:rPr>
        <w:footnoteRef/>
      </w:r>
      <w:r>
        <w:t xml:space="preserve"> </w:t>
      </w:r>
      <w:r>
        <w:t xml:space="preserve">Salute mentale in Abruzzo: la domanda è sospinta da componenti convergenti. La prima è il disagio giovanile, segnalato nel biennio recente da un forte incremento del consumo di sostanze e di psicofarmaci nella fascia dodici-diciassette anni — con una crescita preoccupante delle prescrizioni di antipsicotici e di farmaci per il disturbo da deficit di attenzione e iperattività — e da un abbassamento dell’età di primo contatto con le sostanze al di sotto dei quattordici-quindici anni, secondo le indagini epidemiologiche nazionali sugli stili di vita adolescenziali. La seconda è il bisogno dell’età adulta e anziana, particolarmente marcato in una delle regioni demograficamente più anziane d’Italia, con la provincia di Chieti fra le più anziane del Paese. La terza è il disagio connesso all’isolamento e alla deprivazione delle aree interne e montane, colpite dallo spopolamento. La pressione delle liste di attesa e una storica fragilità del sistema — testimoniata da un punteggio sui livelli essenziali di assistenza inferiore alla soglia di sufficienza e da un’area distrettuale sotto adempienza — completano il quadro.</w:t>
      </w:r>
    </w:p>
  </w:footnote>
  <w:footnote w:id="2957">
    <w:p>
      <w:pPr>
        <w:pStyle w:val="FootnoteText"/>
      </w:pPr>
      <w:r>
        <w:rPr>
          <w:rStyle w:val="FootnoteReference"/>
        </w:rPr>
        <w:footnoteRef/>
      </w:r>
      <w:r>
        <w:t xml:space="preserve"> </w:t>
      </w:r>
      <w:r>
        <w:t xml:space="preserve">Popolazione residente in Abruzzo 1.269.118 abitanti (Censimento permanente ISTAT al 31 dicembre 2024), pari a circa il 2,2% della popolazione nazionale, in lievissima flessione rispetto all’anno precedente. La distribuzione è relativamente equilibrata fra le quattro province: Chieti raccoglie circa il 29,2% dei residenti, Pescara il 24,6%, Teramo il 23,6% e L’Aquila il 22,6%; il territorio comprende 305 comuni, in larga parte di piccola dimensione, e l’unico comune con oltre centomila abitanti è Pescara. Il Servizio sanitario regionale è articolato in quattro Aziende Sanitarie Locali — Avezzano-Sulmona-L’Aquila, Lanciano-Vasto-Chieti, Pescara e Teramo — e in venticinque distretti sanitari di base, con la rete delle Case della Comunità prevista dal Decreto Ministeriale 77 del 2022 in corso di costruzione.</w:t>
      </w:r>
    </w:p>
  </w:footnote>
  <w:footnote w:id="2958">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2959">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attuale, iniziale e a finanziamento transitorio, come comparatore.</w:t>
      </w:r>
    </w:p>
  </w:footnote>
  <w:footnote w:id="2960">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2961">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L’Abruzzo presenta il profilo finanziario più critico fra le Regioni esaminate: è sottoposto a piano di rientro dal disavanzo sanitario in via continuativa e, secondo la Relazione della Corte dei Conti sulla gestione dei Servizi sanitari regionali relativa agli esercizi 2023-2024, è l’unica regione in piano di rientro a registrare un andamento dei risultati di esercizio in senso peggiorativo, con compromissione degli obiettivi del piano; il disavanzo certificato è dell’ordine di oltre cento milioni di euro annui, con stime dei tavoli tecnici ministeriali che ne prefigurano l’ulteriore aggravamento, fronteggiato con l’inasprimento dell’addizionale regionale e con manovre di contenimento previste dal Programma Operativo pluriennale. Ne deriva, per questo intervento, una pertinenza del risparmio diretto maggiore che in regioni dai conti in equilibrio, poiché ogni euro di spesa inappropriata evitata concorre direttamente agli obiettivi del piano di rientro e il margine di consumo improprio recuperabile è strutturalmente ampio in un sistema storicamente sotto-finanziato. Sul versante della mobilità sanitaria, la regione presenta un saldo passivo dell’ordine di alcune decine di milioni netti su un flusso lordo superiore ai duecento milioni annui, concentrato però nell’alta complessità ospedaliera e non nella domanda psicologica delle cure primarie, sicché il canale del recupero della mobilità è per questo intervento solo parzialmente pertinente. Il caso economico poggia quindi congiuntamente sulla componente diretta e sulle ricadute sociali, tenute separate e stimate con criteri conservativi.</w:t>
      </w:r>
    </w:p>
  </w:footnote>
  <w:footnote w:id="2962">
    <w:p>
      <w:pPr>
        <w:pStyle w:val="FootnoteText"/>
      </w:pPr>
      <w:r>
        <w:rPr>
          <w:rStyle w:val="FootnoteReference"/>
        </w:rPr>
        <w:footnoteRef/>
      </w:r>
      <w:r>
        <w:t xml:space="preserve"> </w:t>
      </w:r>
      <w:r>
        <w:t xml:space="preserve">I valori economici oggi impiegati sono in parte ricostruiti dai conti nazionali per quota di popolazione (2,2%) e non estratti dai conti regionali certificati delle quattro Aziende Sanitarie Locali: è la lacuna prioritaria dello studio, da colmare prima della presentazione esterna. La condizione è aggravata dal funzionamento discontinuo dell’osservatorio epidemiologico regionale, i cui dati pubblici più recenti risalgono a esercizi non aggiornati; l’Osservatorio Regionale e il Tavolo tecnico previsti dalla legge istitutiva, una volta a regime, costituiscono la sede per la raccolta di una base di dati operativi propria, condizione per sostituire le stime ricostruite con valori regionali certificati.</w:t>
      </w:r>
    </w:p>
  </w:footnote>
  <w:footnote w:id="2963">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964">
    <w:p>
      <w:pPr>
        <w:pStyle w:val="FootnoteText"/>
      </w:pPr>
      <w:r>
        <w:rPr>
          <w:rStyle w:val="FootnoteReference"/>
        </w:rPr>
        <w:footnoteRef/>
      </w:r>
      <w:r>
        <w:t xml:space="preserve"> </w:t>
      </w:r>
      <w:r>
        <w:t xml:space="preserve">Valutazione controfattuale d’impatto: poiché il servizio è istituito e regolato ma in fase di prima attivazione, il disegno può fondarsi su un esperimento a cunei progressivi, nel quale l’ordine e i tempi di attivazione delle sedi tra le quattro Aziende Sanitarie Locali e i venticinque distretti sono impiegati a fini valutativi. L’effetto causale è stimato con i metodi della differenza-nelle-differenze e del controllo sintetico; l’attivazione dell’Osservatorio Regionale e la raccolta di dati operativi propri rafforzerebbero l’identificazione, oggi affidata in via prevalente ai benchmark internazionali.</w:t>
      </w:r>
    </w:p>
  </w:footnote>
  <w:footnote w:id="2965">
    <w:p>
      <w:pPr>
        <w:pStyle w:val="FootnoteText"/>
      </w:pPr>
      <w:r>
        <w:rPr>
          <w:rStyle w:val="FootnoteReference"/>
        </w:rPr>
        <w:footnoteRef/>
      </w:r>
      <w:r>
        <w:t xml:space="preserve"> </w:t>
      </w:r>
      <w:r>
        <w:t xml:space="preserve">La valutazione è governata da un comitato di indirizzo — Regione, quattro Aziende Sanitarie Locali (Avezzano-Sulmona-L’Aquila, Lanciano-Vasto-Chieti, Pescara, Teramo), Ordine degli Psicologi dell’Abruzzo, rappresentanze della medicina generale e della pediatria di libera scelta e atenei regionali (Università dell’Aquila, Università</w:t>
      </w:r>
      <w:r>
        <w:t xml:space="preserve"> </w:t>
      </w:r>
      <w:r>
        <w:t xml:space="preserve">“Gabriele d’Annunzio”</w:t>
      </w:r>
      <w:r>
        <w:t xml:space="preserve"> </w:t>
      </w:r>
      <w:r>
        <w:t xml:space="preserve">di Chieti-Pescara, Università di Teramo). L’Abruzzo non dispone di un’azienda sanitaria regionale unica: il coordinamento è in capo alla Regione, attraverso il Dipartimento competente, mentre l’Osservatorio Regionale e il Tavolo tecnico previsti dalla legge esercitano funzioni di programmazione, monitoraggio e controllo qualitativo. La sfida del governo non è quindi istituire il servizio, ma attuarlo e dimensionarlo, garantendo l’omogeneità attuativa fra i distretti e fra la costa e le aree interne in un sistema posto sotto vincolo di rientro.</w:t>
      </w:r>
    </w:p>
  </w:footnote>
  <w:footnote w:id="2966">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2967">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2968">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969">
    <w:p>
      <w:pPr>
        <w:pStyle w:val="FootnoteText"/>
      </w:pPr>
      <w:r>
        <w:rPr>
          <w:rStyle w:val="FootnoteReference"/>
        </w:rPr>
        <w:footnoteRef/>
      </w:r>
      <w:r>
        <w:t xml:space="preserve"> </w:t>
      </w:r>
      <w:r>
        <w:t xml:space="preserve">Popolazione residente in Abruzzo 1.269.118 abitanti (Censimento permanente ISTAT al 31 dicembre 2024, diffuso nell’aprile 2026), pari a circa il 2,2% del totale nazionale, in calo di 453 unità rispetto al 2023; la diminuzione, contenuta in termini percentuali, è dovuta a un saldo naturale fortemente negativo, solo in parte compensato dai saldi migratori interno ed estero, entrambi positivi.</w:t>
      </w:r>
    </w:p>
  </w:footnote>
  <w:footnote w:id="2970">
    <w:p>
      <w:pPr>
        <w:pStyle w:val="FootnoteText"/>
      </w:pPr>
      <w:r>
        <w:rPr>
          <w:rStyle w:val="FootnoteReference"/>
        </w:rPr>
        <w:footnoteRef/>
      </w:r>
      <w:r>
        <w:t xml:space="preserve"> </w:t>
      </w:r>
      <w:r>
        <w:t xml:space="preserve">Struttura per età fra le più anziane del Centro-Sud: l’età media è salita a 47,7 anni (era 47,4 nel 2023), contro una media nazionale di 46,9 anni; l’indice di vecchiaia è passato a 228,9 anziani ogni cento giovani (dal 220,2 dell’anno precedente), l’indice di dipendenza degli anziani a 41,8 e l’indice di ricambio della popolazione attiva a 164,5, segno di una popolazione in età lavorativa a sua volta molto anziana.</w:t>
      </w:r>
    </w:p>
  </w:footnote>
  <w:footnote w:id="2971">
    <w:p>
      <w:pPr>
        <w:pStyle w:val="FootnoteText"/>
      </w:pPr>
      <w:r>
        <w:rPr>
          <w:rStyle w:val="FootnoteReference"/>
        </w:rPr>
        <w:footnoteRef/>
      </w:r>
      <w:r>
        <w:t xml:space="preserve"> </w:t>
      </w:r>
      <w:r>
        <w:t xml:space="preserve">Nuovo record di denatalità: i nati sono 7.356 (−222 rispetto al 2023), a fronte di 14.870 decessi, con un saldo naturale negativo dell’ordine di 7.500 unità; il tasso di mortalità è sceso all’11,7 per mille. Il dato conferma un trend strutturale di contrazione, particolarmente accentuato nelle province di Chieti e L’Aquila.</w:t>
      </w:r>
    </w:p>
  </w:footnote>
  <w:footnote w:id="2972">
    <w:p>
      <w:pPr>
        <w:pStyle w:val="FootnoteText"/>
      </w:pPr>
      <w:r>
        <w:rPr>
          <w:rStyle w:val="FootnoteReference"/>
        </w:rPr>
        <w:footnoteRef/>
      </w:r>
      <w:r>
        <w:t xml:space="preserve"> </w:t>
      </w:r>
      <w:r>
        <w:t xml:space="preserve">Componente straniera pari a 90.573 persone (il 7,1% dei residenti, in crescita di oltre 4.700 unità rispetto al 2023), proveniente da 158 Paesi, in prevalenza Romania (23,5%), Albania (12,3%) e Marocco (9,2%); più giovane della popolazione di cittadinanza italiana, contribuisce a contenere la flessione complessiva e a temperare l’invecchiamento.</w:t>
      </w:r>
    </w:p>
  </w:footnote>
  <w:footnote w:id="2973">
    <w:p>
      <w:pPr>
        <w:pStyle w:val="FootnoteText"/>
      </w:pPr>
      <w:r>
        <w:rPr>
          <w:rStyle w:val="FootnoteReference"/>
        </w:rPr>
        <w:footnoteRef/>
      </w:r>
      <w:r>
        <w:t xml:space="preserve"> </w:t>
      </w:r>
      <w:r>
        <w:t xml:space="preserve">Distribuzione territoriale relativamente equilibrata: Chieti raccoglie il 29,2% dei residenti, Pescara il 24,6%, Teramo il 23,6% e L’Aquila il 22,6%; Chieti e Pescara insieme superano la metà della popolazione regionale (53,8%). La struttura per età è disomogenea fra le province: L’Aquila e Chieti, con un’età media di 48,1 e 48,0 anni, sono le più anziane; Pescara e Teramo, entrambe a 47,3 anni, le più giovani.</w:t>
      </w:r>
    </w:p>
  </w:footnote>
  <w:footnote w:id="2974">
    <w:p>
      <w:pPr>
        <w:pStyle w:val="FootnoteText"/>
      </w:pPr>
      <w:r>
        <w:rPr>
          <w:rStyle w:val="FootnoteReference"/>
        </w:rPr>
        <w:footnoteRef/>
      </w:r>
      <w:r>
        <w:t xml:space="preserve"> </w:t>
      </w:r>
      <w:r>
        <w:t xml:space="preserve">Profilo territoriale: il territorio comprende 305 comuni, in larga parte di piccola dimensione — il 41,0% dei comuni ha tra mille e cinquemila abitanti, e vi risiede poco più di un quinto della popolazione (21,7%) — e l’unico comune con oltre centomila abitanti è Pescara (118.829 abitanti, il 9,3% della popolazione regionale). Le aree interne e montane, segnatamente nell’Aquilano, presentano i livelli di invecchiamento più elevati, i tassi di natalità più bassi e un rischio di spopolamento strutturale, con barriere di accesso ai servizi che rendono particolarmente preziose le soluzioni di telemedicina e di assistenza a distanza.</w:t>
      </w:r>
    </w:p>
  </w:footnote>
  <w:footnote w:id="2975">
    <w:p>
      <w:pPr>
        <w:pStyle w:val="FootnoteText"/>
      </w:pPr>
      <w:r>
        <w:rPr>
          <w:rStyle w:val="FootnoteReference"/>
        </w:rPr>
        <w:footnoteRef/>
      </w:r>
      <w:r>
        <w:t xml:space="preserve"> </w:t>
      </w:r>
      <w:r>
        <w:t xml:space="preserve">Disagio psichico comune o sottosoglia stimato nell’ordine di 254.000 persone, ottenuto per proiezione dei tassi di prevalenza nazionali — dell’ordine di un quinto della popolazione — sulla popolazione abruzzese; è la quota di bisogno potenziale cui il servizio si rivolge in via prioritaria, in larga parte non intercettata dall’offerta esistente. Il valore è espresso secondo la convenzione adottata per l’intera serie regionale, a fini di comparabilità.</w:t>
      </w:r>
    </w:p>
  </w:footnote>
  <w:footnote w:id="2976">
    <w:p>
      <w:pPr>
        <w:pStyle w:val="FootnoteText"/>
      </w:pPr>
      <w:r>
        <w:rPr>
          <w:rStyle w:val="FootnoteReference"/>
        </w:rPr>
        <w:footnoteRef/>
      </w:r>
      <w:r>
        <w:t xml:space="preserve"> </w:t>
      </w:r>
      <w:r>
        <w:t xml:space="preserve">Domanda specialistica e fragilità del sistema: a fronte del disagio comune si colloca un’ampia utenza in carico ai servizi di salute mentale, dell’ordine di alcune decine di migliaia di persone secondo una stima rapportata ai dati nazionali. Il sistema abruzzese presenta un punteggio sui livelli essenziali di assistenza inferiore alla soglia di sufficienza e un’area distrettuale al di sotto della soglia di adempienza, mentre l’osservatorio epidemiologico regionale opera in modo discontinuo, con dati pubblici non aggiornati: circostanze che accentuano la quota di bisogno non rilevato e non intercettato.</w:t>
      </w:r>
    </w:p>
  </w:footnote>
  <w:footnote w:id="2977">
    <w:p>
      <w:pPr>
        <w:pStyle w:val="FootnoteText"/>
      </w:pPr>
      <w:r>
        <w:rPr>
          <w:rStyle w:val="FootnoteReference"/>
        </w:rPr>
        <w:footnoteRef/>
      </w:r>
      <w:r>
        <w:t xml:space="preserve"> </w:t>
      </w:r>
      <w:r>
        <w:t xml:space="preserve">Disagio giovanile: nel biennio recente si registra in Abruzzo un forte incremento del consumo di sostanze e di psicofarmaci nella fascia dodici-diciassette anni, con una crescita preoccupante delle prescrizioni di antipsicotici e di farmaci per il disturbo da deficit di attenzione e iperattività, e un abbassamento dell’età di primo contatto con le sostanze al di sotto dei quattordici-quindici anni, secondo le indagini epidemiologiche nazionali sugli stili di vita adolescenziali. È una componente che trova oggi risposta solo parziale nei servizi e che la presenza di un primo livello accessibile potrebbe intercettare precocemente.</w:t>
      </w:r>
    </w:p>
  </w:footnote>
  <w:footnote w:id="2978">
    <w:p>
      <w:pPr>
        <w:pStyle w:val="FootnoteText"/>
      </w:pPr>
      <w:r>
        <w:rPr>
          <w:rStyle w:val="FootnoteReference"/>
        </w:rPr>
        <w:footnoteRef/>
      </w:r>
      <w:r>
        <w:t xml:space="preserve"> </w:t>
      </w:r>
      <w:r>
        <w:t xml:space="preserve">Bisogno dell’età adulta e anziana: in una delle regioni demograficamente più anziane del Paese, la depressione tardiva, i disturbi d’ansia, la solitudine e il disagio correlato alla cronicità e alla comorbilità psicologica delle patologie croniche raggiungono prevalenze elevate, particolarmente nelle province più anziane e nelle aree interne; sono precisamente le condizioni che il servizio e gli strumenti di telemonitoraggio e di prevenzione delle ricadute sono in grado di intercettare.</w:t>
      </w:r>
    </w:p>
  </w:footnote>
  <w:footnote w:id="2979">
    <w:p>
      <w:pPr>
        <w:pStyle w:val="FootnoteText"/>
      </w:pPr>
      <w:r>
        <w:rPr>
          <w:rStyle w:val="FootnoteReference"/>
        </w:rPr>
        <w:footnoteRef/>
      </w:r>
      <w:r>
        <w:t xml:space="preserve"> </w:t>
      </w:r>
      <w:r>
        <w:t xml:space="preserve">Disagio delle aree interne: lo spopolamento delle zone montane e dei piccoli comuni impoverisce le reti di sostegno familiare e comunitario e genera isolamento, mentre la rarefazione dei servizi e le distanze ostacolano l’accesso ai Centri di Salute Mentale e agli specialisti, concentrati nei centri maggiori; ne deriva una domanda elevata e geograficamente diffusa a fronte di un’offerta concentrata e insufficiente.</w:t>
      </w:r>
    </w:p>
  </w:footnote>
  <w:footnote w:id="2980">
    <w:p>
      <w:pPr>
        <w:pStyle w:val="FootnoteText"/>
      </w:pPr>
      <w:r>
        <w:rPr>
          <w:rStyle w:val="FootnoteReference"/>
        </w:rPr>
        <w:footnoteRef/>
      </w:r>
      <w:r>
        <w:t xml:space="preserve"> </w:t>
      </w:r>
      <w:r>
        <w:t xml:space="preserve">Tratto distintivo dell’Abruzzo: la combinazione di una popolazione anziana, di un territorio disperso e a forte fragilità delle aree interne e di un sistema storicamente sotto-dotato, posto sotto piano di rientro, distingue il fabbisogno regionale. La pressione che ne deriva si riversa anche sul pronto soccorso, con accessi per cause psichiatriche dell’ordine di alcune migliaia l’anno secondo una stima rapportata ai dati nazionali, che un primo livello territoriale pienamente strutturato potrebbe in parte contenere a monte.</w:t>
      </w:r>
    </w:p>
  </w:footnote>
  <w:footnote w:id="2981">
    <w:p>
      <w:pPr>
        <w:pStyle w:val="FootnoteText"/>
      </w:pPr>
      <w:r>
        <w:rPr>
          <w:rStyle w:val="FootnoteReference"/>
        </w:rPr>
        <w:footnoteRef/>
      </w:r>
      <w:r>
        <w:t xml:space="preserve"> </w:t>
      </w:r>
      <w:r>
        <w:t xml:space="preserve">Offerta territoriale: la legge regionale 28 del 2022 prevede che il servizio sia realizzato da ciascuna Azienda Sanitaria Locale a livello dei distretti e svolto da psicologi liberi professionisti in rapporto convenzionale, con almeno uno psicologo di base per ciascuno dei venticinque distretti e un rapporto di uno ogni quindicimila abitanti, e istituisce un Osservatorio Regionale e un Tavolo tecnico per la verifica, il monitoraggio e il controllo qualitativo; i costi sono a carico del Servizio Sanitario Regionale, fatto salvo un ticket il cui importo è demandato alla Giunta. Il regolamento attuativo è stato approvato nel luglio 2024, ma l’attivazione operativa è ancora iniziale e l’originaria copertura finanziaria — dell’ordine di quattrocentomila euro per ciascuna annualità del triennio 2022-2024 — è transitoria e largamente inferiore al fabbisogno.</w:t>
      </w:r>
    </w:p>
  </w:footnote>
  <w:footnote w:id="2982">
    <w:p>
      <w:pPr>
        <w:pStyle w:val="FootnoteText"/>
      </w:pPr>
      <w:r>
        <w:rPr>
          <w:rStyle w:val="FootnoteReference"/>
        </w:rPr>
        <w:footnoteRef/>
      </w:r>
      <w:r>
        <w:t xml:space="preserve"> </w:t>
      </w:r>
      <w:r>
        <w:t xml:space="preserve">Fabbisogno a regime: applicando i parametri organizzativi del modello, il fabbisogno si colloca tra un nucleo minimo dell’ordine di ottantacinque incarichi — corrispondente al rapporto di legge di uno psicologo ogni quindicimila abitanti — e una copertura piena dell’ordine di duecentottanta incarichi nello scenario espansivo, con uno scenario intermedio dell’ordine di centottanta. L’Ordine degli Psicologi dell’Abruzzo, anche attraverso le associazioni professionali, ha sostenuto con costanza l’attuazione della legge, segnalando il rischio che il ritardo nell’adozione dei provvedimenti attuativi ne vanifichi la portata.</w:t>
      </w:r>
    </w:p>
  </w:footnote>
  <w:footnote w:id="2983">
    <w:p>
      <w:pPr>
        <w:pStyle w:val="FootnoteText"/>
      </w:pPr>
      <w:r>
        <w:rPr>
          <w:rStyle w:val="FootnoteReference"/>
        </w:rPr>
        <w:footnoteRef/>
      </w:r>
      <w:r>
        <w:t xml:space="preserve"> </w:t>
      </w:r>
      <w:r>
        <w:t xml:space="preserve">Copertura attuale del fabbisogno: l’attivazione iniziale corrisponde a un nucleo assai distante dal fabbisogno a regime, sufficiente al più ad avviare il servizio ma non a coprirne la domanda. La decisione, di conseguenza, non verte sull’istituire il servizio, già istituito e regolato, ma sull’attuarlo compiutamente, stabilizzarne il finanziamento oltre lo stanziamento transitorio e dimensionarlo verso la copertura piena.</w:t>
      </w:r>
    </w:p>
  </w:footnote>
  <w:footnote w:id="2984">
    <w:p>
      <w:pPr>
        <w:pStyle w:val="FootnoteText"/>
      </w:pPr>
      <w:r>
        <w:rPr>
          <w:rStyle w:val="FootnoteReference"/>
        </w:rPr>
        <w:footnoteRef/>
      </w:r>
      <w:r>
        <w:t xml:space="preserve"> </w:t>
      </w:r>
      <w:r>
        <w:t xml:space="preserve">Disuguaglianze e divari territoriali: il divario rilevante in Abruzzo si gioca su due assi. Il primo separa la fascia costiera e adriatica, più popolosa e meglio servita, dalle aree interne e montane — segnatamente nell’Aquilano e nelle zone appenniniche — più anziane, a bassa densità e con servizi radi. Il secondo è interno alle aree interne, fra i centri maggiori e i piccoli comuni montani soggetti a spopolamento, dove la presenza specialistica è pressoché assente. La telepsicologia e il telemonitoraggio assistiti sono lo strumento per avvicinare l’offerta a tali aree, dove la presenza di un primo livello accessibile costituisce già un atto di riequilibrio.</w:t>
      </w:r>
    </w:p>
  </w:footnote>
  <w:footnote w:id="2985">
    <w:p>
      <w:pPr>
        <w:pStyle w:val="FootnoteText"/>
      </w:pPr>
      <w:r>
        <w:rPr>
          <w:rStyle w:val="FootnoteReference"/>
        </w:rPr>
        <w:footnoteRef/>
      </w:r>
      <w:r>
        <w:t xml:space="preserve"> </w:t>
      </w:r>
      <w:r>
        <w:t xml:space="preserve">Finanziamento del Servizio sanitario regionale dell’ordine di 2,5 miliardi di euro; la regione è posta sotto piano di rientro dal disavanzo sanitario in via continuativa e, secondo la Relazione della Corte dei Conti sulla gestione dei Servizi sanitari regionali relativa agli esercizi 2023-2024, è l’unica regione in piano di rientro a registrare un andamento dei risultati di esercizio in senso peggiorativo, con un disavanzo certificato dell’ordine di oltre cento milioni di euro annui e stime dei tavoli tecnici ministeriali che ne prefigurano l’ulteriore aggravamento. La copertura è assicurata attraverso l’inasprimento dell’addizionale regionale e manovre di contenimento previste dal Programma Operativo pluriennale. La regione, storicamente penalizzata dai meccanismi di riparto del fabbisogno nazionale, ha tratto soltanto un beneficio marginale dall’introduzione del nuovo criterio di densità abitativa ed estensione territoriale.</w:t>
      </w:r>
    </w:p>
  </w:footnote>
  <w:footnote w:id="2986">
    <w:p>
      <w:pPr>
        <w:pStyle w:val="FootnoteText"/>
      </w:pPr>
      <w:r>
        <w:rPr>
          <w:rStyle w:val="FootnoteReference"/>
        </w:rPr>
        <w:footnoteRef/>
      </w:r>
      <w:r>
        <w:t xml:space="preserve"> </w:t>
      </w:r>
      <w:r>
        <w:t xml:space="preserve">Mobilità sanitaria: l’Abruzzo presenta un saldo passivo dell’ordine di alcune decine di milioni di euro netti su un flusso lordo superiore ai duecento milioni annui. La fuga si concentra però nei ricoveri ospedalieri e nelle prestazioni ad alta complessità, e non nella domanda psicologica delle cure primarie, sicché il canale del recupero della mobilità è per questo intervento solo parzialmente pertinente, limitato alla frazione territorialmente intercettabile. In un sistema posto sotto vincolo di rientro, tuttavia, la componente di risparmio diretto derivante dalla riduzione del consumo improprio assume una rilevanza superiore alla media, poiché ogni euro di spesa inappropriata evitata concorre direttamente agli obiettivi del piano.</w:t>
      </w:r>
    </w:p>
  </w:footnote>
  <w:footnote w:id="2987">
    <w:p>
      <w:pPr>
        <w:pStyle w:val="FootnoteText"/>
      </w:pPr>
      <w:r>
        <w:rPr>
          <w:rStyle w:val="FootnoteReference"/>
        </w:rPr>
        <w:footnoteRef/>
      </w:r>
      <w:r>
        <w:t xml:space="preserve"> </w:t>
      </w:r>
      <w:r>
        <w:t xml:space="preserve">Cornice normativa e programmatica: l’Abruzzo è fra le prime regioni d’Italia a essersi dotato di una legge dedicata — la legge regionale 8 ottobre 2022, n. 28 — disciplinata dal regolamento attuativo approvato dalla Giunta nel luglio 2024, al termine di un iter lungo e travagliato che ha visto la legge approvata a fine legislatura e i provvedimenti attuativi seguire con notevole ritardo, con un ulteriore passaggio in aula per la correzione di un errore formale. La cornice include il Decreto Ministeriale 77/2022 sugli standard dell’assistenza territoriale, che prevede la presenza dello psicologo nelle unità complesse delle cure primarie e nelle Case della Comunità, le risorse del concorso statale al sostegno psicologico e, sul piano nazionale, il testo unificato in discussione alla Camera per l’introduzione dello psicologo delle cure primarie. A differenza del Lazio, in fase pre-legislativa, l’Abruzzo non deve istituire la funzione, ma portarla a regime.</w:t>
      </w:r>
    </w:p>
  </w:footnote>
  <w:footnote w:id="2988">
    <w:p>
      <w:pPr>
        <w:pStyle w:val="FootnoteText"/>
      </w:pPr>
      <w:r>
        <w:rPr>
          <w:rStyle w:val="FootnoteReference"/>
        </w:rPr>
        <w:footnoteRef/>
      </w:r>
      <w:r>
        <w:t xml:space="preserve"> </w:t>
      </w:r>
      <w:r>
        <w:t xml:space="preserve">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In Abruzzo tale definizione è già recepita nella legge regionale 8 ottobre 2022, n. 28, e nel relativo regolamento attuativo approvato nel luglio 2024.</w:t>
      </w:r>
    </w:p>
  </w:footnote>
  <w:footnote w:id="2989">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2990">
    <w:p>
      <w:pPr>
        <w:pStyle w:val="FootnoteText"/>
      </w:pPr>
      <w:r>
        <w:rPr>
          <w:rStyle w:val="FootnoteReference"/>
        </w:rPr>
        <w:footnoteRef/>
      </w:r>
      <w:r>
        <w:t xml:space="preserve"> </w:t>
      </w:r>
      <w:r>
        <w:t xml:space="preserve">Bisogno potenziale stimato nell’ordine di 254.000 persone con disagio comune, in larga parte non intercettato; poiché il servizio è istituito e regolato ma attivato in misura iniziale, l’intervento va dimensionato a partire dal nucleo iniziale ed esteso verso il fabbisogno a regime, secondo gli scenari descritti nella Parte B. Il valore è espresso secondo la convenzione adottata per l’intera serie regionale.</w:t>
      </w:r>
    </w:p>
  </w:footnote>
  <w:footnote w:id="2991">
    <w:p>
      <w:pPr>
        <w:pStyle w:val="FootnoteText"/>
      </w:pPr>
      <w:r>
        <w:rPr>
          <w:rStyle w:val="FootnoteReference"/>
        </w:rPr>
        <w:footnoteRef/>
      </w:r>
      <w:r>
        <w:t xml:space="preserve"> </w:t>
      </w:r>
      <w:r>
        <w:t xml:space="preserve">Modello organizzativo: lo psicologo di base opera nelle Case della Comunità e nei distretti sanitari, in collaborazione con i medici di medicina generale, i pediatri di libera scelta e i Centri di Salute Mentale, secondo l’impianto della legge regionale 28 del 2022, che prevede la realizzazione del servizio da parte di ciascuna Azienda Sanitaria Locale a livello dei distretti, almeno uno psicologo di base per ciascuno dei venticinque distretti, l’istituzione di un elenco aziendale degli psicologi di base presso ciascuna delle quattro Aziende, un rapporto convenzionale su base libero-professionale e un parametro di uno psicologo ogni quindicimila abitanti.</w:t>
      </w:r>
    </w:p>
  </w:footnote>
  <w:footnote w:id="2992">
    <w:p>
      <w:pPr>
        <w:pStyle w:val="FootnoteText"/>
      </w:pPr>
      <w:r>
        <w:rPr>
          <w:rStyle w:val="FootnoteReference"/>
        </w:rPr>
        <w:footnoteRef/>
      </w:r>
      <w:r>
        <w:t xml:space="preserve"> </w:t>
      </w:r>
      <w:r>
        <w:t xml:space="preserve">Specificità del modello abruzzese: il servizio è istituito e regolato, ma la sua attivazione operativa è ancora iniziale, sicché la sfida organizzativa principale non è governare un servizio già a regime, ma avviarlo e renderlo omogeneo su quattro Aziende Sanitarie Locali e venticinque distretti, in un territorio geograficamente disperso e a forte fragilità delle aree interne. La regione non dispone di un’azienda sanitaria regionale unica; il coordinamento è in capo alla Regione attraverso il Dipartimento competente, con il supporto dell’Osservatorio Regionale e del Tavolo tecnico previsti dalla legge, cui spettano la verifica, il monitoraggio, il controllo qualitativo e l’uniformità attuativa.</w:t>
      </w:r>
    </w:p>
  </w:footnote>
  <w:footnote w:id="2993">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994">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è da avviare nelle Aziende abruzzesi e affronta i quadri più frequenti — sintomatologia ansioso-depressiva, problemi di adattamento, fasi del ciclo di vita, disagi emotivi transitori, problematiche psicosomatiche.</w:t>
      </w:r>
    </w:p>
  </w:footnote>
  <w:footnote w:id="2995">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996">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997">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998">
    <w:p>
      <w:pPr>
        <w:pStyle w:val="FootnoteText"/>
      </w:pPr>
      <w:r>
        <w:rPr>
          <w:rStyle w:val="FootnoteReference"/>
        </w:rPr>
        <w:footnoteRef/>
      </w:r>
      <w:r>
        <w:t xml:space="preserve"> </w:t>
      </w:r>
      <w:r>
        <w:t xml:space="preserve">Sistema informativo e interoperabilità: la registrazione strutturata dell’attività e degli esiti, integrata con la piattaforma informativa sanitaria regionale e con il fascicolo sanitario elettronico, consente il monitoraggio continuo e la valutazione; in assenza di un’azienda regionale unica, il coordinamento informativo è in capo alla Regione e all’Osservatorio Regionale, cui spetta raccogliere i dati di attività degli psicologi di base e assicurarne l’uniformità fra le quattro Aziende e i venticinque distretti.</w:t>
      </w:r>
    </w:p>
  </w:footnote>
  <w:footnote w:id="2999">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A differenza della Campania, che dispone di un flusso informativo già avviato, l’Abruzzo deve progettare e attivare il flusso contestualmente all’attuazione del servizio, in un contesto in cui l’osservatorio epidemiologico regionale opera in modo discontinuo, con dati pubblici non aggiornati. La costruzione, sin dall’avvio, di un sistema informativo completo e omogeneo sui venticinque distretti costituisce pertanto una condizione di valutabilità dell’intervento, e non un adempimento accessorio.</w:t>
      </w:r>
    </w:p>
  </w:footnote>
  <w:footnote w:id="3000">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3001">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3002">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3003">
    <w:p>
      <w:pPr>
        <w:pStyle w:val="FootnoteText"/>
      </w:pPr>
      <w:r>
        <w:rPr>
          <w:rStyle w:val="FootnoteReference"/>
        </w:rPr>
        <w:footnoteRef/>
      </w:r>
      <w:r>
        <w:t xml:space="preserve"> </w:t>
      </w:r>
      <w:r>
        <w:t xml:space="preserve">Telepsicologia e telemonitoraggio assistiti: in Abruzzo sono lo strumento per garantire l’accesso al sostegno psicologico nelle aree interne e montane — segnatamente nell’Aquilano e nelle zone appenniniche — e nei piccoli comuni a spopolamento, dove le distanze e la rarefazione dei servizi rendono difficoltoso il raggiungimento delle sedi; tali strumenti sono concepiti come complementari e non sostitutivi della presa in carico in presenza, e assumono in questa regione un rilievo superiore alla media in ragione della marcata dispersione territoriale.</w:t>
      </w:r>
    </w:p>
  </w:footnote>
  <w:footnote w:id="3004">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 il cui regime di obblighi per i sistemi ad alto rischio in ambito sanitario è in corso di progressiva applicazione.</w:t>
      </w:r>
    </w:p>
  </w:footnote>
  <w:footnote w:id="3005">
    <w:p>
      <w:pPr>
        <w:pStyle w:val="FootnoteText"/>
      </w:pPr>
      <w:r>
        <w:rPr>
          <w:rStyle w:val="FootnoteReference"/>
        </w:rPr>
        <w:footnoteRef/>
      </w:r>
      <w:r>
        <w:t xml:space="preserve"> </w:t>
      </w:r>
      <w:r>
        <w:t xml:space="preserve">Programma formativo a quattro livelli: universitario (curricula e tirocini presso gli atenei abruzzesi — l’Università dell’Aquila, l’Università</w:t>
      </w:r>
      <w:r>
        <w:t xml:space="preserve"> </w:t>
      </w:r>
      <w:r>
        <w:t xml:space="preserve">“Gabriele d’Annunzio”</w:t>
      </w:r>
      <w:r>
        <w:t xml:space="preserve"> </w:t>
      </w:r>
      <w:r>
        <w:t xml:space="preserve">di Chieti-Pescara e l’Università di Teramo); post-universitario specialistico (formazione dedicata alla psicologia di base e alle cure primarie, comprensiva della competenza per il disagio giovanile e, in misura accentuata, per l’età anziana e per le condizioni dell’isolamento nelle aree interne); continuo lavorativo (aggiornamento in servizio, audit clinico, educazione continua in medicina); affiancamento operativo (tutoraggio sul campo e inserimento graduale con supervisione). L’Abruzzo presenta qui un elemento proprio: il regolamento attuativo del 2024 definisce i requisiti di iscrizione agli elenchi aziendali, e la base formativa del servizio è da costruire contestualmente all’avvio, valorizzando i tre atenei regionali e il ruolo dell’Ordine professionale.</w:t>
      </w:r>
    </w:p>
  </w:footnote>
  <w:footnote w:id="3006">
    <w:p>
      <w:pPr>
        <w:pStyle w:val="FootnoteText"/>
      </w:pPr>
      <w:r>
        <w:rPr>
          <w:rStyle w:val="FootnoteReference"/>
        </w:rPr>
        <w:footnoteRef/>
      </w:r>
      <w:r>
        <w:t xml:space="preserve"> </w:t>
      </w:r>
      <w:r>
        <w:t xml:space="preserve">Questa parte copre il quarto dominio del modello HTA, l’efficacia clinica, che insieme ai primi tre costituisce il nucleo della valutazione rapida di efficacia relativa; la sintesi dell’evidenza segue lo standard PRISMA 2020 e la sua certezza è graduata con il sistema GRADE, con preferenza per le fonti del periodo 2012-2025.</w:t>
      </w:r>
    </w:p>
  </w:footnote>
  <w:footnote w:id="3007">
    <w:p>
      <w:pPr>
        <w:pStyle w:val="FootnoteText"/>
      </w:pPr>
      <w:r>
        <w:rPr>
          <w:rStyle w:val="FootnoteReference"/>
        </w:rPr>
        <w:footnoteRef/>
      </w:r>
      <w:r>
        <w:t xml:space="preserve"> </w:t>
      </w:r>
      <w:r>
        <w:t xml:space="preserve">Standard di reporting e di conduzione: la lista PRISMA 2020 per la revisione sistematica (strategia di ricerca, selezione, estrazione e sintesi) e la lista STROBE per gli studi osservazionali sui dati reali.</w:t>
      </w:r>
    </w:p>
  </w:footnote>
  <w:footnote w:id="3008">
    <w:p>
      <w:pPr>
        <w:pStyle w:val="FootnoteText"/>
      </w:pPr>
      <w:r>
        <w:rPr>
          <w:rStyle w:val="FootnoteReference"/>
        </w:rPr>
        <w:footnoteRef/>
      </w:r>
      <w:r>
        <w:t xml:space="preserve"> </w:t>
      </w:r>
      <w:r>
        <w:t xml:space="preserve">Cura collaborativa (Collaborative Care Model): paradigma di integrazione della salute mentale nelle cure primarie validato da oltre novanta studi randomizzati controllati; uno studio fondativo (IMPACT, JAMA, 2002) documentò che circa la metà dei pazienti otteneva una riduzione dei sintomi pari almeno al 50% a dodici mesi, contro il 19% della cura usuale.</w:t>
      </w:r>
    </w:p>
  </w:footnote>
  <w:footnote w:id="3009">
    <w:p>
      <w:pPr>
        <w:pStyle w:val="FootnoteText"/>
      </w:pPr>
      <w:r>
        <w:rPr>
          <w:rStyle w:val="FootnoteReference"/>
        </w:rPr>
        <w:footnoteRef/>
      </w:r>
      <w:r>
        <w:t xml:space="preserve"> </w:t>
      </w:r>
      <w:r>
        <w:t xml:space="preserve">Woltmann e colleghi (American Journal of Psychiatry, 2012): meta-analisi su cinquantasette studi controllati, con un miglioramento medio dei sintomi depressivi pari a 0,28 deviazioni standard, oltre a miglioramenti nell’aderenza ai trattamenti e nel funzionamento globale.</w:t>
      </w:r>
    </w:p>
  </w:footnote>
  <w:footnote w:id="3010">
    <w:p>
      <w:pPr>
        <w:pStyle w:val="FootnoteText"/>
      </w:pPr>
      <w:r>
        <w:rPr>
          <w:rStyle w:val="FootnoteReference"/>
        </w:rPr>
        <w:footnoteRef/>
      </w:r>
      <w:r>
        <w:t xml:space="preserve"> </w:t>
      </w:r>
      <w:r>
        <w:t xml:space="preserve">Revisione sistematica (BMC Primary Care, 2024) su quarantadue implementazioni del modello in Europa, Nord America e Australia: riduzione media dei sintomi depressivi del 47% a sei mesi (PHQ-9), dei sintomi ansiosi del 43% (GAD-7), miglioramento del funzionamento globale del 38%, riduzione dei giorni di assenza dal lavoro del 28%, degli accessi al pronto soccorso per sintomi psicosomatici del 34% e dei ricoveri psichiatrici del 41%.</w:t>
      </w:r>
    </w:p>
  </w:footnote>
  <w:footnote w:id="3011">
    <w:p>
      <w:pPr>
        <w:pStyle w:val="FootnoteText"/>
      </w:pPr>
      <w:r>
        <w:rPr>
          <w:rStyle w:val="FootnoteReference"/>
        </w:rPr>
        <w:footnoteRef/>
      </w:r>
      <w:r>
        <w:t xml:space="preserve"> </w:t>
      </w:r>
      <w:r>
        <w:t xml:space="preserve">Strumenti di esito validati e impiegati in tutti i programmi: il PHQ-9 per i sintomi depressivi (sensibilità dell’ordine dell’88%, specificità dell’85%) e il GAD-7 per i sintomi d’ansia (sensibilità dell’89%, specificità dell’82%).</w:t>
      </w:r>
    </w:p>
  </w:footnote>
  <w:footnote w:id="3012">
    <w:p>
      <w:pPr>
        <w:pStyle w:val="FootnoteText"/>
      </w:pPr>
      <w:r>
        <w:rPr>
          <w:rStyle w:val="FootnoteReference"/>
        </w:rPr>
        <w:footnoteRef/>
      </w:r>
      <w:r>
        <w:t xml:space="preserve"> </w:t>
      </w:r>
      <w:r>
        <w:t xml:space="preserve">Meta-analisi sulle cure integrate nelle cure primarie: miglioramento statisticamente significativo e clinicamente rilevante dei sintomi depressivi, con coefficiente beta standardizzato di −0,11 (intervallo di confidenza al 95% da −0,20 a −0,01; valore p pari a 0,03); una magnitudine modesta sul piano statistico ma sostanziale su scala di popolazione, poiché sposta una quota di individui al di sotto delle soglie cliniche.</w:t>
      </w:r>
    </w:p>
  </w:footnote>
  <w:footnote w:id="3013">
    <w:p>
      <w:pPr>
        <w:pStyle w:val="FootnoteText"/>
      </w:pPr>
      <w:r>
        <w:rPr>
          <w:rStyle w:val="FootnoteReference"/>
        </w:rPr>
        <w:footnoteRef/>
      </w:r>
      <w:r>
        <w:t xml:space="preserve"> </w:t>
      </w:r>
      <w:r>
        <w:t xml:space="preserve">Sistema GRADE per la graduazione della certezza dell’evidenza, fondato sulla valutazione del rischio di bias, dell’incoerenza, dell’indirettezza, dell’imprecisione e del bias di pubblicazione, dal quale discende un giudizio di certezza alta, moderata, bassa o molto bassa.</w:t>
      </w:r>
    </w:p>
  </w:footnote>
  <w:footnote w:id="3014">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 in ragione della maggiore variabilità tra contesti e tra metodi di stima.</w:t>
      </w:r>
    </w:p>
  </w:footnote>
  <w:footnote w:id="3015">
    <w:p>
      <w:pPr>
        <w:pStyle w:val="FootnoteText"/>
      </w:pPr>
      <w:r>
        <w:rPr>
          <w:rStyle w:val="FootnoteReference"/>
        </w:rPr>
        <w:footnoteRef/>
      </w:r>
      <w:r>
        <w:t xml:space="preserve"> </w:t>
      </w:r>
      <w:r>
        <w:t xml:space="preserve">Cautela economica e sua applicazione al caso abruzzese: nello studio fondativo i risparmi sui costi sanitari diretti non risultano statisticamente significativi, poiché l’intervallo di confidenza al 95% comprende lo zero; il valore economico del modello non può perciò essere fondato sul dato di costo di quel singolo studio. Per l’Abruzzo, regione posta sotto piano di rientro, il canale del risparmio diretto è di rilievo superiore alla media, ma esso non poggia sul dato di costo dello studio fondativo, bensì sugli esiti di sistema documentati dalla letteratura di implementazione — riduzione degli accessi impropri al pronto soccorso, delle prescrizioni inappropriate e dei ricoveri evitabili — di certezza moderata; per questa ragione è stimato in via prudenziale, con bande conservative, mantenuto distinto dalle ricadute sociali e sottoposto a verifica empirica locale, secondo quanto stabiliscono la Parte E e la Parte L.</w:t>
      </w:r>
    </w:p>
  </w:footnote>
  <w:footnote w:id="3016">
    <w:p>
      <w:pPr>
        <w:pStyle w:val="FootnoteText"/>
      </w:pPr>
      <w:r>
        <w:rPr>
          <w:rStyle w:val="FootnoteReference"/>
        </w:rPr>
        <w:footnoteRef/>
      </w:r>
      <w:r>
        <w:t xml:space="preserve"> </w:t>
      </w:r>
      <w:r>
        <w:t xml:space="preserve">Programma inglese di terapie psicologiche (NHS Talking Therapies, già IAPT; dati NHS England Digital, 2023-2024): oltre 1,3 milioni di persone trattate nell’anno, con tasso di recupero del 50,2% e tasso di miglioramento clinicamente significativo del 67,8% tra chi completa almeno due sedute, e completezza dei dati di esito superiore al 98%, considerata il riferimento internazionale; il programma opera su un bacino di oltre 56 milioni di persone, a dimostrazione che l’efficacia documentata nei trial si mantiene nell’attuazione reale su scala nazionale.</w:t>
      </w:r>
    </w:p>
  </w:footnote>
  <w:footnote w:id="3017">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3018">
    <w:p>
      <w:pPr>
        <w:pStyle w:val="FootnoteText"/>
      </w:pPr>
      <w:r>
        <w:rPr>
          <w:rStyle w:val="FootnoteReference"/>
        </w:rPr>
        <w:footnoteRef/>
      </w:r>
      <w:r>
        <w:t xml:space="preserve"> </w:t>
      </w:r>
      <w:r>
        <w:t xml:space="preserve">Modello olandese (POH-GGZ): l’adozione da parte dei medici di medicina generale è cresciuta da circa un terzo nel 2011 a circa tre quarti nel 2014, con circa seimila psicologi delle cure primarie, finanziamento nell’assicurazione di base e ruolo complementare e non sostitutivo rispetto alla cura ordinaria (Magnée e colleghi, BMJ Open, 2016).</w:t>
      </w:r>
    </w:p>
  </w:footnote>
  <w:footnote w:id="3019">
    <w:p>
      <w:pPr>
        <w:pStyle w:val="FootnoteText"/>
      </w:pPr>
      <w:r>
        <w:rPr>
          <w:rStyle w:val="FootnoteReference"/>
        </w:rPr>
        <w:footnoteRef/>
      </w:r>
      <w:r>
        <w:t xml:space="preserve"> </w:t>
      </w:r>
      <w:r>
        <w:t xml:space="preserve">Iniziativa australiana Better Access (dal 2006): oltre venti milioni di prestazioni a più di tre milioni di persone in dieci anni, con un aumento del tasso di trattamento dei disturbi mentali dal 35% al 46% e un’elevata quota di pazienti che riferisce miglioramenti marcati, a un costo medio dell’ordine di alcune centinaia di euro per paziente; il modello opera per invio esterno e non per integrazione dello psicologo nell’équipe.</w:t>
      </w:r>
    </w:p>
  </w:footnote>
  <w:footnote w:id="3020">
    <w:p>
      <w:pPr>
        <w:pStyle w:val="FootnoteText"/>
      </w:pPr>
      <w:r>
        <w:rPr>
          <w:rStyle w:val="FootnoteReference"/>
        </w:rPr>
        <w:footnoteRef/>
      </w:r>
      <w:r>
        <w:t xml:space="preserve"> </w:t>
      </w:r>
      <w:r>
        <w:t xml:space="preserve">Cura collaborativa (Stati Uniti): paradigma di integrazione della salute mentale nelle cure primarie validato da oltre novanta studi randomizzati controllati, con riduzioni dell’ordine del 47% della depressione e del 41% dei ricoveri; è la base sperimentale più ampia disponibile sul modello.</w:t>
      </w:r>
    </w:p>
  </w:footnote>
  <w:footnote w:id="3021">
    <w:p>
      <w:pPr>
        <w:pStyle w:val="FootnoteText"/>
      </w:pPr>
      <w:r>
        <w:rPr>
          <w:rStyle w:val="FootnoteReference"/>
        </w:rPr>
        <w:footnoteRef/>
      </w:r>
      <w:r>
        <w:t xml:space="preserve"> </w:t>
      </w:r>
      <w:r>
        <w:t xml:space="preserve">Trasferibilità e differenze di assetto: i programmi integrati (inglese, olandese e statunitense) collocano il professionista nelle cure primarie, mentre il modello australiano opera per invio esterno; il modello abruzzese, fondato sull’inserimento dello psicologo nelle cure primarie con funzione di filtro, è prossimo ai primi e ne mutua le evidenze con maggiore pertinenza.</w:t>
      </w:r>
    </w:p>
  </w:footnote>
  <w:footnote w:id="3022">
    <w:p>
      <w:pPr>
        <w:pStyle w:val="FootnoteText"/>
      </w:pPr>
      <w:r>
        <w:rPr>
          <w:rStyle w:val="FootnoteReference"/>
        </w:rPr>
        <w:footnoteRef/>
      </w:r>
      <w:r>
        <w:t xml:space="preserve"> </w:t>
      </w:r>
      <w:r>
        <w:t xml:space="preserve">Trasferibilità dell’assetto: il modello abruzzese appartiene alla famiglia dei modelli integrati e ne mutua le evidenze con maggiore pertinenza rispetto al modello a invio esterno; gli esiti clinici fondamentali poggiano su meccanismi clinici generali, non legati a un particolare sistema sanitario, e sono perciò ragionevolmente trasferibili.</w:t>
      </w:r>
    </w:p>
  </w:footnote>
  <w:footnote w:id="3023">
    <w:p>
      <w:pPr>
        <w:pStyle w:val="FootnoteText"/>
      </w:pPr>
      <w:r>
        <w:rPr>
          <w:rStyle w:val="FootnoteReference"/>
        </w:rPr>
        <w:footnoteRef/>
      </w:r>
      <w:r>
        <w:t xml:space="preserve"> </w:t>
      </w:r>
      <w:r>
        <w:t xml:space="preserve">Cautele di trasferibilità per l’Abruzzo: a differenza della Campania, dotata di un servizio operativo e di dati di esito propri, l’Abruzzo ha istituito e regolato il servizio ma ne ha avviato solo in misura iniziale l’attuazione, sicché l’evidenza locale è per ora in larga parte prospettica, da costruire contestualmente all’attivazione. Il sistema muove inoltre da una copertura di partenza dell’ordine del nucleo iniziale, da un territorio geograficamente disperso e da una rilevazione epidemiologica regionale discontinua, mentre la disponibilità di organico psicologico formato costituisce un vincolo reale dei primi anni; tali differenze impongono un’applicazione prudenziale degli effetti documentati.</w:t>
      </w:r>
    </w:p>
  </w:footnote>
  <w:footnote w:id="3024">
    <w:p>
      <w:pPr>
        <w:pStyle w:val="FootnoteText"/>
      </w:pPr>
      <w:r>
        <w:rPr>
          <w:rStyle w:val="FootnoteReference"/>
        </w:rPr>
        <w:footnoteRef/>
      </w:r>
      <w:r>
        <w:t xml:space="preserve"> </w:t>
      </w:r>
      <w:r>
        <w:t xml:space="preserve">Verifica locale: il dispiegamento scaglionato del servizio tra le quattro Aziende, oggetto della Parte L, è chiamato a verificare empiricamente sui dati abruzzesi gli effetti attesi dalla letteratura, trasformando le stime in prove e correggendo le proiezioni alla luce dei risultati osservati.</w:t>
      </w:r>
    </w:p>
  </w:footnote>
  <w:footnote w:id="3025">
    <w:p>
      <w:pPr>
        <w:pStyle w:val="FootnoteText"/>
      </w:pPr>
      <w:r>
        <w:rPr>
          <w:rStyle w:val="FootnoteReference"/>
        </w:rPr>
        <w:footnoteRef/>
      </w:r>
      <w:r>
        <w:t xml:space="preserve"> </w:t>
      </w:r>
      <w:r>
        <w:t xml:space="preserve">Avvertenza sulle semplificazioni comunicative e confine economico: il rapporto di 4:1 spesso citato, l’affermazione per cui un euro investito ne genererebbe dieci di risparmio e il rapporto di 2,5:1 talvolta richiamato in ambito regionale sono semplificazioni a fini divulgativi, prive di fondamento metodologico nella forma in cui circolano. Le stime metodologicamente fondate collocano il ritorno fra 2,3:1 e 3,0:1 considerando i soli benefici economici e fra 3,3:1 e 5,7:1 includendo i benefici di salute; lo studio adotta un rapporto beneficio-costo complessivo prudenziale, sviluppato nella Parte E, e mantiene rigorosamente distinti il risparmio diretto per il bilancio — qui particolarmente rilevante in ragione del piano di rientro — e le ricadute sociali, senza sommarli in un unico indice.</w:t>
      </w:r>
    </w:p>
  </w:footnote>
  <w:footnote w:id="3026">
    <w:p>
      <w:pPr>
        <w:pStyle w:val="FootnoteText"/>
      </w:pPr>
      <w:r>
        <w:rPr>
          <w:rStyle w:val="FootnoteReference"/>
        </w:rPr>
        <w:footnoteRef/>
      </w:r>
      <w:r>
        <w:t xml:space="preserve"> </w:t>
      </w:r>
      <w:r>
        <w:t xml:space="preserve">Questa parte copre il quinto dominio del modello HTA, i costi e la valutazione economica; è redatta secondo lo standard di reporting CHEERS 2022, fornisce il contenuto del caso economico e del caso finanziario del Five Case Model e risponde al criterio di efficienza della griglia di giudizio.</w:t>
      </w:r>
    </w:p>
  </w:footnote>
  <w:footnote w:id="3027">
    <w:p>
      <w:pPr>
        <w:pStyle w:val="FootnoteText"/>
      </w:pPr>
      <w:r>
        <w:rPr>
          <w:rStyle w:val="FootnoteReference"/>
        </w:rPr>
        <w:footnoteRef/>
      </w:r>
      <w:r>
        <w:t xml:space="preserve"> </w:t>
      </w:r>
      <w:r>
        <w:t xml:space="preserve">Modello di costo: il costo medio annuo di un incarico convenzionale a tempo pieno è dell’ordine di 55.000 euro (circa 40 euro l’ora di costo-azienda comprensivo degli oneri, per circa 1.250 ore, più circa 5.000 euro di costi generali); ne discendono, per gli scenari da circa 85, 180 e 280 incarichi, costi annui di circa 5, 10 e 15 milioni di euro, fino a 18-23 milioni nell’ipotesi di costi pieni e massima copertura.</w:t>
      </w:r>
    </w:p>
  </w:footnote>
  <w:footnote w:id="3028">
    <w:p>
      <w:pPr>
        <w:pStyle w:val="FootnoteText"/>
      </w:pPr>
      <w:r>
        <w:rPr>
          <w:rStyle w:val="FootnoteReference"/>
        </w:rPr>
        <w:footnoteRef/>
      </w:r>
      <w:r>
        <w:t xml:space="preserve"> </w:t>
      </w:r>
      <w:r>
        <w:t xml:space="preserve">Categorie di costo: oltre all’organico psicologico, l’investimento comprende la formazione, la supervisione clinica, la governance, i sistemi informativi e le infrastrutture; i costi non sanitari sono inclusi coerentemente con la doppia prospettiva adottata.</w:t>
      </w:r>
    </w:p>
  </w:footnote>
  <w:footnote w:id="3029">
    <w:p>
      <w:pPr>
        <w:pStyle w:val="FootnoteText"/>
      </w:pPr>
      <w:r>
        <w:rPr>
          <w:rStyle w:val="FootnoteReference"/>
        </w:rPr>
        <w:footnoteRef/>
      </w:r>
      <w:r>
        <w:t xml:space="preserve"> </w:t>
      </w:r>
      <w:r>
        <w:t xml:space="preserve">Caso di riferimento (Parte A): doppia prospettiva del Servizio sanitario regionale e della società; tasso di sconto del 3% annuo, con attualizzazione simmetrica di costi ed esiti nelle analisi di costo-utilità; analisi di impatto sul bilancio su flussi non scontati; correzione prudenziale per l’ottimismo.</w:t>
      </w:r>
    </w:p>
  </w:footnote>
  <w:footnote w:id="3030">
    <w:p>
      <w:pPr>
        <w:pStyle w:val="FootnoteText"/>
      </w:pPr>
      <w:r>
        <w:rPr>
          <w:rStyle w:val="FootnoteReference"/>
        </w:rPr>
        <w:footnoteRef/>
      </w:r>
      <w:r>
        <w:t xml:space="preserve"> </w:t>
      </w:r>
      <w:r>
        <w:t xml:space="preserve">Misure di esito: gli anni di vita ponderati per la qualità e gli esiti clinici validati — il tasso di recupero e il miglioramento affidabile misurati con PHQ-9 e GAD-7 — applicati alla popolazione regionale con disagio comune, dell’ordine di 254.000 persone.</w:t>
      </w:r>
    </w:p>
  </w:footnote>
  <w:footnote w:id="3031">
    <w:p>
      <w:pPr>
        <w:pStyle w:val="FootnoteText"/>
      </w:pPr>
      <w:r>
        <w:rPr>
          <w:rStyle w:val="FootnoteReference"/>
        </w:rPr>
        <w:footnoteRef/>
      </w:r>
      <w:r>
        <w:t xml:space="preserve"> </w:t>
      </w:r>
      <w:r>
        <w:t xml:space="preserve">Analisi costo-utilità: secondo il manuale del NICE, il rapporto incrementale di costo-efficacia rapporta il costo aggiuntivo al guadagno in anni di vita ponderati per la qualità e si confronta con una soglia; l’evidenza internazionale indica che la cura collaborativa è costo-efficace, con un investimento iniziale ampiamente compensato dai miglioramenti clinici e dalla minore intensità di cura; il rapporto incrementale per l’Abruzzo sarà calcolato sui dati certificati.</w:t>
      </w:r>
    </w:p>
  </w:footnote>
  <w:footnote w:id="3032">
    <w:p>
      <w:pPr>
        <w:pStyle w:val="FootnoteText"/>
      </w:pPr>
      <w:r>
        <w:rPr>
          <w:rStyle w:val="FootnoteReference"/>
        </w:rPr>
        <w:footnoteRef/>
      </w:r>
      <w:r>
        <w:t xml:space="preserve"> </w:t>
      </w:r>
      <w:r>
        <w:t xml:space="preserve">Analisi di impatto sul bilancio (buone pratiche ISPOR): adotta la prospettiva del detentore del budget, il Servizio sanitario regionale, e stima la differenza tra lo scenario con e senza intervento sui flussi non scontati, anno per anno, individuando il punto di pareggio finanziario, collocato per questo servizio tra il terzo e il quinto anno.</w:t>
      </w:r>
    </w:p>
  </w:footnote>
  <w:footnote w:id="3033">
    <w:p>
      <w:pPr>
        <w:pStyle w:val="FootnoteText"/>
      </w:pPr>
      <w:r>
        <w:rPr>
          <w:rStyle w:val="FootnoteReference"/>
        </w:rPr>
        <w:footnoteRef/>
      </w:r>
      <w:r>
        <w:t xml:space="preserve"> </w:t>
      </w:r>
      <w:r>
        <w:t xml:space="preserve">Canale del pronto soccorso: una quota degli accessi inappropriati è riconducibile a disagio psichico e a sintomi somatici funzionali, sulla quale agisce la riduzione documentata degli accessi impropri (dell’ordine dell’11-14% nella letteratura di implementazione); ne deriva, per l’Abruzzo, un risparmio diretto stimato in 1-2 milioni di euro l’anno, da confermare sui dati di flusso regionali.</w:t>
      </w:r>
    </w:p>
  </w:footnote>
  <w:footnote w:id="3034">
    <w:p>
      <w:pPr>
        <w:pStyle w:val="FootnoteText"/>
      </w:pPr>
      <w:r>
        <w:rPr>
          <w:rStyle w:val="FootnoteReference"/>
        </w:rPr>
        <w:footnoteRef/>
      </w:r>
      <w:r>
        <w:t xml:space="preserve"> </w:t>
      </w:r>
      <w:r>
        <w:t xml:space="preserve">Canale della farmaceutica: il consumo di psicofarmaci e la bassa aderenza terapeutica indicano margini di appropriatezza, segnatamente nella sostituzione di terapie croniche non necessarie con percorsi psicologici brevi; il risparmio diretto è stimato in 1-2 milioni di euro l’anno.</w:t>
      </w:r>
    </w:p>
  </w:footnote>
  <w:footnote w:id="3035">
    <w:p>
      <w:pPr>
        <w:pStyle w:val="FootnoteText"/>
      </w:pPr>
      <w:r>
        <w:rPr>
          <w:rStyle w:val="FootnoteReference"/>
        </w:rPr>
        <w:footnoteRef/>
      </w:r>
      <w:r>
        <w:t xml:space="preserve"> </w:t>
      </w:r>
      <w:r>
        <w:t xml:space="preserve">Canale dei ricoveri e della specialistica: i sintomi somatici funzionali rappresentano una quota rilevante delle consultazioni e si associano a un consumo di prestazioni superiore alla media, con riduzioni dei costi documentate dopo intervento psicologico breve; con i ricoveri evitabili, il risparmio diretto è stimato in 1-8 milioni di euro l’anno secondo lo scenario, ed è il canale di maggiore peso.</w:t>
      </w:r>
    </w:p>
  </w:footnote>
  <w:footnote w:id="3036">
    <w:p>
      <w:pPr>
        <w:pStyle w:val="FootnoteText"/>
      </w:pPr>
      <w:r>
        <w:rPr>
          <w:rStyle w:val="FootnoteReference"/>
        </w:rPr>
        <w:footnoteRef/>
      </w:r>
      <w:r>
        <w:t xml:space="preserve"> </w:t>
      </w:r>
      <w:r>
        <w:t xml:space="preserve">Canale della mobilità recuperata: a fronte di un saldo passivo dell’ordine di alcune decine di milioni netti, la quota psichiatrica e territorialmente intercettabile della mobilità genera un risparmio diretto stimato in 1-3 milioni di euro l’anno; è in Abruzzo un canale modesto, poiché la mobilità passiva si concentra sull’alta complessità ospedaliera e chirurgica più che sulla domanda psicologica delle cure primarie, a differenza di altre regioni in cui costituisce la leva principale.</w:t>
      </w:r>
    </w:p>
  </w:footnote>
  <w:footnote w:id="3037">
    <w:p>
      <w:pPr>
        <w:pStyle w:val="FootnoteText"/>
      </w:pPr>
      <w:r>
        <w:rPr>
          <w:rStyle w:val="FootnoteReference"/>
        </w:rPr>
        <w:footnoteRef/>
      </w:r>
      <w:r>
        <w:t xml:space="preserve"> </w:t>
      </w:r>
      <w:r>
        <w:t xml:space="preserve">Saldo diretto: aggregati i canali, i risparmi diretti per il Servizio sanitario regionale sono dell’ordine di 4, 9 e 15 milioni di euro secondo lo scenario, a fronte di un costo del servizio di 5, 10 e 15 milioni; il saldo diretto è dunque prossimo al pareggio (da un lieve disavanzo nei primi anni al pareggio a regime), e il pareggio finanziario è atteso tra il terzo e il quinto anno.</w:t>
      </w:r>
    </w:p>
  </w:footnote>
  <w:footnote w:id="3038">
    <w:p>
      <w:pPr>
        <w:pStyle w:val="FootnoteText"/>
      </w:pPr>
      <w:r>
        <w:rPr>
          <w:rStyle w:val="FootnoteReference"/>
        </w:rPr>
        <w:footnoteRef/>
      </w:r>
      <w:r>
        <w:t xml:space="preserve"> </w:t>
      </w:r>
      <w:r>
        <w:t xml:space="preserve">Contesto di bilancio: il finanziamento del Servizio sanitario regionale è dell’ordine di 2,5 miliardi di euro, con un disavanzo certificato dell’ordine di oltre cento milioni di euro annui e un piano di rientro in peggioramento; il costo del servizio, anche a regime, ne costituisce una frazione modesta (inferiore all’uno per cento), sicché la questione non è la sostenibilità della spesa ma il suo dimensionamento. In regime di rientro, un servizio che si autofinanzia quasi integralmente sul bilancio diretto e che concorre alla garanzia dei livelli essenziali ha valore superiore alla media, poiché ogni euro di consumo improprio evitato serve direttamente gli obiettivi del piano; la Corte costituzionale impone alle regioni in piano di rientro di giustificare ogni impiego con la garanzia dei livelli essenziali.</w:t>
      </w:r>
    </w:p>
  </w:footnote>
  <w:footnote w:id="3039">
    <w:p>
      <w:pPr>
        <w:pStyle w:val="FootnoteText"/>
      </w:pPr>
      <w:r>
        <w:rPr>
          <w:rStyle w:val="FootnoteReference"/>
        </w:rPr>
        <w:footnoteRef/>
      </w:r>
      <w:r>
        <w:t xml:space="preserve"> </w:t>
      </w:r>
      <w:r>
        <w:t xml:space="preserve">Ritorno sociale (metodo SROI): fondato sui sette principi del valore sociale e su una mappa dell’impatto, con proxy finanziari e con le correzioni per peso morto, attribuzione, spostamento e decadimento, monetizza il valore sociale generato distinguendolo dai risparmi di bilancio.</w:t>
      </w:r>
    </w:p>
  </w:footnote>
  <w:footnote w:id="3040">
    <w:p>
      <w:pPr>
        <w:pStyle w:val="FootnoteText"/>
      </w:pPr>
      <w:r>
        <w:rPr>
          <w:rStyle w:val="FootnoteReference"/>
        </w:rPr>
        <w:footnoteRef/>
      </w:r>
      <w:r>
        <w:t xml:space="preserve"> </w:t>
      </w:r>
      <w:r>
        <w:t xml:space="preserve">Ricadute economico-sociali: la riduzione dell’assenteismo, il recupero di produttività e di funzionamento, la diminuzione delle nuove invalidità e il minor carico familiare, riferiti alle 254.000 persone con disagio e commisurati alla copertura di ciascuno scenario, sono stimati in 13, 33 e 62 milioni di euro l’anno; il carico familiare ha in Abruzzo peso particolare, data la struttura demografica anziana e l’estensione delle aree interne, dove la rete familiare supplisce all’assenza dei servizi.</w:t>
      </w:r>
    </w:p>
  </w:footnote>
  <w:footnote w:id="3041">
    <w:p>
      <w:pPr>
        <w:pStyle w:val="FootnoteText"/>
      </w:pPr>
      <w:r>
        <w:rPr>
          <w:rStyle w:val="FootnoteReference"/>
        </w:rPr>
        <w:footnoteRef/>
      </w:r>
      <w:r>
        <w:t xml:space="preserve"> </w:t>
      </w:r>
      <w:r>
        <w:t xml:space="preserve">Evidenza internazionale sul ritorno (Organizzazione mondiale della sanità e Lancet Psychiatry, Chisholm e colleghi, 2016): le stime metodologicamente fondate collocano il ritorno del trattamento di depressione e ansia fra 2,3 e 3,0 a uno considerando i soli benefici economici e fra 3,3 e 5,7 a uno includendo i benefici di salute, costituito in quota dominante dalla produttività e dal funzionamento recuperati più che dal risparmio diretto sui servizi; le cifre divulgative di 4 a uno, di un euro che ne genererebbe dieci e di 2,5 a uno sono semplificazioni prive di fondamento nella forma in cui circolano.</w:t>
      </w:r>
    </w:p>
  </w:footnote>
  <w:footnote w:id="3042">
    <w:p>
      <w:pPr>
        <w:pStyle w:val="FootnoteText"/>
      </w:pPr>
      <w:r>
        <w:rPr>
          <w:rStyle w:val="FootnoteReference"/>
        </w:rPr>
        <w:footnoteRef/>
      </w:r>
      <w:r>
        <w:t xml:space="preserve"> </w:t>
      </w:r>
      <w:r>
        <w:t xml:space="preserve">Quadro complessivo per scenario: sommando i risparmi diretti e le ricadute sociali, il ritorno complessivo è di 17, 42 e 77 milioni di euro l’anno; al netto del costo, il saldo complessivo è di circa +12, +32 e +62 milioni, con un rapporto beneficio-costo complessivo dell’ordine di 3,4, 4,2 e 5,1 a uno, coerente con la fascia fondata di 3,3-5,7 a uno includendo i benefici di salute.</w:t>
      </w:r>
    </w:p>
  </w:footnote>
  <w:footnote w:id="3043">
    <w:p>
      <w:pPr>
        <w:pStyle w:val="FootnoteText"/>
      </w:pPr>
      <w:r>
        <w:rPr>
          <w:rStyle w:val="FootnoteReference"/>
        </w:rPr>
        <w:footnoteRef/>
      </w:r>
      <w:r>
        <w:t xml:space="preserve"> </w:t>
      </w:r>
      <w:r>
        <w:t xml:space="preserve">Distinzione tra caso economico e caso finanziario (Five Case Model): il caso economico misura il valore per la collettività, qui ampio (rapporto beneficio-costo di 3,4-5,1 a uno); il caso finanziario misura la sostenibilità per il bilancio, qui prossima al pareggio; tenere distinte le due grandezze, anziché sommarle in un unico indice, è una scelta di rigore che rende la valutazione difendibile di fronte agli organi di controllo, tanto più stringenti per una regione in piano di rientro.</w:t>
      </w:r>
    </w:p>
  </w:footnote>
  <w:footnote w:id="3044">
    <w:p>
      <w:pPr>
        <w:pStyle w:val="FootnoteText"/>
      </w:pPr>
      <w:r>
        <w:rPr>
          <w:rStyle w:val="FootnoteReference"/>
        </w:rPr>
        <w:footnoteRef/>
      </w:r>
      <w:r>
        <w:t xml:space="preserve"> </w:t>
      </w:r>
      <w:r>
        <w:t xml:space="preserve">Robustezza e natura dei dati: il segno del saldo complessivo è positivo in tutti gli scenari, comprese le ipotesi conservative; le analisi di sensibilità deterministica e probabilistica e il valore dell’informazione sono sviluppati nella Parte F. I parametri dei canali dei ricoveri, della specialistica e della mobilità sono in parte ancora stimati e saranno sostituiti dai valori certificati delle Aziende sanitarie e della Regione (schede di dimissione per disturbi psichici, composizione della mobilità per disciplina, spesa farmaceutica per categoria); in Abruzzo ciò è tanto più rilevante in quanto la rilevazione epidemiologica regionale è discontinua, sicché la costruzione del sistema informativo è anche la condizione per sostituire le stime con i dati.</w:t>
      </w:r>
    </w:p>
  </w:footnote>
  <w:footnote w:id="3045">
    <w:p>
      <w:pPr>
        <w:pStyle w:val="FootnoteText"/>
      </w:pPr>
      <w:r>
        <w:rPr>
          <w:rStyle w:val="FootnoteReference"/>
        </w:rPr>
        <w:footnoteRef/>
      </w:r>
      <w:r>
        <w:t xml:space="preserve"> </w:t>
      </w:r>
      <w:r>
        <w:t xml:space="preserv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3046">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3047">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3048">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3049">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3050">
    <w:p>
      <w:pPr>
        <w:pStyle w:val="FootnoteText"/>
      </w:pPr>
      <w:r>
        <w:rPr>
          <w:rStyle w:val="FootnoteReference"/>
        </w:rPr>
        <w:footnoteRef/>
      </w:r>
      <w:r>
        <w:t xml:space="preserve"> </w:t>
      </w:r>
      <w:r>
        <w:t xml:space="preserve">Ordinamento dei parametri per influenza: l’analisi mostra che l’esito è più sensibile all’efficacia clinica dell’intervento e al costo evitato della cronicità, e meno sensibile agli altri parametri; ciò orienta le priorità di raccolta dei dati verso le grandezze più influenti.</w:t>
      </w:r>
    </w:p>
  </w:footnote>
  <w:footnote w:id="3051">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3052">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3053">
    <w:p>
      <w:pPr>
        <w:pStyle w:val="FootnoteText"/>
      </w:pPr>
      <w:r>
        <w:rPr>
          <w:rStyle w:val="FootnoteReference"/>
        </w:rPr>
        <w:footnoteRef/>
      </w:r>
      <w:r>
        <w:t xml:space="preserve"> </w:t>
      </w:r>
      <w:r>
        <w:t xml:space="preserve">Analisi di scenario: i tre scenari di copertura — conservativo, di base ed espansivo, dell’ordine di 85, 180 e 280 incarichi — rappresentano gradi crescenti di estensione del servizio verso il fabbisogno; lo scenario conservativo corrisponde al rapporto di legge di uno psicologo ogni quindicimila abitanti, mentre l’attuazione iniziale odierna costituisce un nucleo inferiore allo scenario conservativo e prima tappa di un percorso di estensione progressiva verso la copertura piena.</w:t>
      </w:r>
    </w:p>
  </w:footnote>
  <w:footnote w:id="3054">
    <w:p>
      <w:pPr>
        <w:pStyle w:val="FootnoteText"/>
      </w:pPr>
      <w:r>
        <w:rPr>
          <w:rStyle w:val="FootnoteReference"/>
        </w:rPr>
        <w:footnoteRef/>
      </w:r>
      <w:r>
        <w:t xml:space="preserve"> </w:t>
      </w:r>
      <w:r>
        <w:t xml:space="preserve">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p>
  </w:footnote>
  <w:footnote w:id="3055">
    <w:p>
      <w:pPr>
        <w:pStyle w:val="FootnoteText"/>
      </w:pPr>
      <w:r>
        <w:rPr>
          <w:rStyle w:val="FootnoteReference"/>
        </w:rPr>
        <w:footnoteRef/>
      </w:r>
      <w:r>
        <w:t xml:space="preserve"> </w:t>
      </w:r>
      <w:r>
        <w:t xml:space="preserve">Disegno della verifica empirica (esperimento a cunei progressivi, stepped-wedge): l’ordine e i tempi di avvio delle sedi fra le quattro Aziende Sanitarie Locali e i venticinque distretti sono impiegati a fini valutativi; le sedi che avviano per prime fungono da gruppo di intervento, quelle che avviano in seguito da controllo temporaneo, sino alla copertura completa. Il disegno è particolarmente adatto a un servizio in fase di avvio progressivo, poiché trasforma la gradualità dell’attuazione in una fonte di identificazione dell’effetto.</w:t>
      </w:r>
    </w:p>
  </w:footnote>
  <w:footnote w:id="3056">
    <w:p>
      <w:pPr>
        <w:pStyle w:val="FootnoteText"/>
      </w:pPr>
      <w:r>
        <w:rPr>
          <w:rStyle w:val="FootnoteReference"/>
        </w:rPr>
        <w:footnoteRef/>
      </w:r>
      <w:r>
        <w:t xml:space="preserve"> </w:t>
      </w:r>
      <w:r>
        <w:t xml:space="preserve">Metodi di stima dell’effetto causale: la differenza-nelle-differenze confronta l’evoluzione degli esiti fra sedi avviate e non ancora avviate, mentre il controllo sintetico costruisce un termine di confronto a partire da aree con caratteristiche analoghe; entrambi sono applicati alla progressione differenziata dell’avvio.</w:t>
      </w:r>
    </w:p>
  </w:footnote>
  <w:footnote w:id="3057">
    <w:p>
      <w:pPr>
        <w:pStyle w:val="FootnoteText"/>
      </w:pPr>
      <w:r>
        <w:rPr>
          <w:rStyle w:val="FootnoteReference"/>
        </w:rPr>
        <w:footnoteRef/>
      </w:r>
      <w:r>
        <w:t xml:space="preserve"> </w:t>
      </w:r>
      <w:r>
        <w:t xml:space="preserve">Valore dell’informazione: il beneficio atteso di ridurre l’incertezza, alla scala della popolazione abruzzese, eccede ampiamente il costo della raccolta dei dati; le priorità sono l’estrazione dei conti certificati delle quattro Aziende (schede di dimissione per disturbi psichici, composizione della mobilità per disciplina, spesa farmaceutica per categoria) e la costruzione del flusso dei dati di esito sin dall’avvio, in assenza di una rilevazione regionale continua.</w:t>
      </w:r>
    </w:p>
  </w:footnote>
  <w:footnote w:id="3058">
    <w:p>
      <w:pPr>
        <w:pStyle w:val="FootnoteText"/>
      </w:pPr>
      <w:r>
        <w:rPr>
          <w:rStyle w:val="FootnoteReference"/>
        </w:rPr>
        <w:footnoteRef/>
      </w:r>
      <w:r>
        <w:t xml:space="preserve"> </w:t>
      </w:r>
      <w:r>
        <w:t xml:space="preserve">Colmatura della lacuna dei dati: a differenza delle regioni con servizio operativo, dove si tratta di consolidare un flusso già avviato, in Abruzzo si tratta di edificarlo; la strutturazione a regime, accompagnata dal sistema informativo descritto nella Parte C, conduce la regione in modo programmato da una valutazione fondata su dati esterni a una fondata in misura crescente su dati propri.</w:t>
      </w:r>
    </w:p>
  </w:footnote>
  <w:footnote w:id="3059">
    <w:p>
      <w:pPr>
        <w:pStyle w:val="FootnoteText"/>
      </w:pPr>
      <w:r>
        <w:rPr>
          <w:rStyle w:val="FootnoteReference"/>
        </w:rPr>
        <w:footnoteRef/>
      </w:r>
      <w:r>
        <w:t xml:space="preserve"> </w:t>
      </w:r>
      <w:r>
        <w:t xml:space="preserve">Sintesi: il modello è robusto sul piano clinico-economico per paziente; l’incertezza aggregata è governata con scenari prudenti e con un piano di acquisizione e costruzione dei dati; l’avvio scaglionato fra le quattro Aziende offre una via di identificazione dell’effetto solida. La parte successiva affronta l’equità e l’impatto distributivo.</w:t>
      </w:r>
    </w:p>
  </w:footnote>
  <w:footnote w:id="3060">
    <w:p>
      <w:pPr>
        <w:pStyle w:val="FootnoteText"/>
      </w:pPr>
      <w:r>
        <w:rPr>
          <w:rStyle w:val="FootnoteReference"/>
        </w:rPr>
        <w:footnoteRef/>
      </w:r>
      <w:r>
        <w:t xml:space="preserve"> </w:t>
      </w:r>
      <w:r>
        <w:t xml:space="preserv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3061">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p>
  </w:footnote>
  <w:footnote w:id="3062">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In Abruzzo la barriera geografica è particolarmente rilevante, data la dispersione del territorio e l’estensione delle aree interne e montane; la componente straniera, pari al 7,1%, rende la barriera linguistica e culturale presente nelle aree di maggiore insediamento ma non centrale; la dimensione generazionale si manifesta su entrambi i versanti, fra adolescenti e giovani adulti restii a rivolgersi ai servizi e anziani isolati nelle aree interne.</w:t>
      </w:r>
    </w:p>
  </w:footnote>
  <w:footnote w:id="3063">
    <w:p>
      <w:pPr>
        <w:pStyle w:val="FootnoteText"/>
      </w:pPr>
      <w:r>
        <w:rPr>
          <w:rStyle w:val="FootnoteReference"/>
        </w:rPr>
        <w:footnoteRef/>
      </w:r>
      <w:r>
        <w:t xml:space="preserve"> </w:t>
      </w:r>
      <w:r>
        <w:t xml:space="preserve">Struttura della disuguaglianza in Abruzzo: la regione presenta un divario territoriale netto, cui si aggiunge una doppia dimensione generazionale. Il divario separa la fascia costiera e adriatica, più popolosa e meglio servita, dalle aree interne e montane — l’Aquilano e le zone appenniniche — più anziane, a minore densità e con servizi più radi; a questo si somma, internamente alle aree interne, la distanza fra i centri maggiori e i piccoli comuni montani. La dimensione generazionale interessa tanto il disagio giovanile in crescita quanto l’isolamento dell’età anziana, particolarmente ampio in una delle regioni più vecchie del Paese.</w:t>
      </w:r>
    </w:p>
  </w:footnote>
  <w:footnote w:id="3064">
    <w:p>
      <w:pPr>
        <w:pStyle w:val="FootnoteText"/>
      </w:pPr>
      <w:r>
        <w:rPr>
          <w:rStyle w:val="FootnoteReference"/>
        </w:rPr>
        <w:footnoteRef/>
      </w:r>
      <w:r>
        <w:t xml:space="preserve"> </w:t>
      </w:r>
      <w:r>
        <w:t xml:space="preserve">Primo asse, costa contro aree interne e montane: la fascia costiera e adriatica concentra popolazione, urbanizzazione e offerta di servizi, mentre le aree interne e montane, segnatamente nell’Aquilano e nelle zone appenniniche, presentano una popolazione più anziana, a bassa densità e in spopolamento, dove la rarefazione dei servizi e le distanze rendono l’accesso al sostegno psicologico particolarmente difficoltoso.</w:t>
      </w:r>
    </w:p>
  </w:footnote>
  <w:footnote w:id="3065">
    <w:p>
      <w:pPr>
        <w:pStyle w:val="FootnoteText"/>
      </w:pPr>
      <w:r>
        <w:rPr>
          <w:rStyle w:val="FootnoteReference"/>
        </w:rPr>
        <w:footnoteRef/>
      </w:r>
      <w:r>
        <w:t xml:space="preserve"> </w:t>
      </w:r>
      <w:r>
        <w:t xml:space="preserve">Secondo asse, centri contro piccoli comuni montani: all’interno delle aree interne, i piccoli comuni montani soggetti a spopolamento presentano una presenza specialistica pressoché assente, sicché il presidio territoriale di prossimità costituisce l’unica forma realistica di accesso; è in questi contesti che la telemedicina e l’assistenza a distanza assumono il maggiore valore di riequilibrio.</w:t>
      </w:r>
    </w:p>
  </w:footnote>
  <w:footnote w:id="3066">
    <w:p>
      <w:pPr>
        <w:pStyle w:val="FootnoteText"/>
      </w:pPr>
      <w:r>
        <w:rPr>
          <w:rStyle w:val="FootnoteReference"/>
        </w:rPr>
        <w:footnoteRef/>
      </w:r>
      <w:r>
        <w:t xml:space="preserve"> </w:t>
      </w:r>
      <w:r>
        <w:t xml:space="preserve">Effetto del servizio sull’equità: la gratuità, salvo un ticket contenuto, la prossimità nelle Case della Comunità e la natura di primo livello accessibile senza requisiti specialistici abbattono le principali barriere all’accesso, e indirizzano l’offerta verso chi ne è oggi escluso; è il meccanismo attraverso cui un servizio universale riduce, anziché accrescere, il divario.</w:t>
      </w:r>
    </w:p>
  </w:footnote>
  <w:footnote w:id="3067">
    <w:p>
      <w:pPr>
        <w:pStyle w:val="FootnoteText"/>
      </w:pPr>
      <w:r>
        <w:rPr>
          <w:rStyle w:val="FootnoteReference"/>
        </w:rPr>
        <w:footnoteRef/>
      </w:r>
      <w:r>
        <w:t xml:space="preserve"> </w:t>
      </w:r>
      <w:r>
        <w:t xml:space="preserve">Telepsicologia e telemonitoraggio assistiti: in Abruzzo sono lo strumento per avvicinare l’offerta alle aree interne e montane e ai piccoli comuni a spopolamento, dove le distanze e la rarefazione dei servizi rendono difficoltoso il raggiungimento delle sedi; concepiti come complementari e non sostitutivi della presa in carico in presenza, essi estendono la copertura proprio nelle aree a maggiore difficoltà di accesso, con un rilievo superiore alla media in ragione della marcata dispersione territoriale regionale.</w:t>
      </w:r>
    </w:p>
  </w:footnote>
  <w:footnote w:id="3068">
    <w:p>
      <w:pPr>
        <w:pStyle w:val="FootnoteText"/>
      </w:pPr>
      <w:r>
        <w:rPr>
          <w:rStyle w:val="FootnoteReference"/>
        </w:rPr>
        <w:footnoteRef/>
      </w:r>
      <w:r>
        <w:t xml:space="preserve"> </w:t>
      </w:r>
      <w:r>
        <w:t xml:space="preserve">Competenza generazionale e culturale: in Abruzzo la competenza si articola su entrambi i versanti generazionali — l’intercettazione del disagio giovanile, affinché il servizio raggiunga adolescenti e giovani adulti a elevato bisogno e basso ricorso spontaneo, e la competenza per l’età anziana e per le condizioni dell’isolamento, particolarmente ampie in una regione anziana; la competenza culturale e la mediazione linguistica restano necessarie nelle aree di maggiore insediamento straniero ma sono meno centrali, data la quota contenuta.</w:t>
      </w:r>
    </w:p>
  </w:footnote>
  <w:footnote w:id="3069">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w:t>
      </w:r>
    </w:p>
  </w:footnote>
  <w:footnote w:id="3070">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aree interne e montane e ai piccoli comuni; un’allocazione uniforme rispetto alla popolazione non correggerebbe i divari, mentre un’allocazione ponderata per il bisogno li riduce.</w:t>
      </w:r>
    </w:p>
  </w:footnote>
  <w:footnote w:id="3071">
    <w:p>
      <w:pPr>
        <w:pStyle w:val="FootnoteText"/>
      </w:pPr>
      <w:r>
        <w:rPr>
          <w:rStyle w:val="FootnoteReference"/>
        </w:rPr>
        <w:footnoteRef/>
      </w:r>
      <w:r>
        <w:t xml:space="preserve"> </w:t>
      </w:r>
      <w:r>
        <w:t xml:space="preserve">Mobilità ed equità: in Abruzzo il canale della mobilità è, per questo intervento, una leva di equità solo modesta, poiché la fuga riguarda l’alta complessità ospedaliera e chirurgica e non la domanda psicologica territoriale; l’equità si gioca quindi prevalentemente sull’accesso interno, fra la costa e le aree interne e montane.</w:t>
      </w:r>
    </w:p>
  </w:footnote>
  <w:footnote w:id="3072">
    <w:p>
      <w:pPr>
        <w:pStyle w:val="FootnoteText"/>
      </w:pPr>
      <w:r>
        <w:rPr>
          <w:rStyle w:val="FootnoteReference"/>
        </w:rPr>
        <w:footnoteRef/>
      </w:r>
      <w:r>
        <w:t xml:space="preserve"> </w:t>
      </w:r>
      <w:r>
        <w:t xml:space="preserve">Rischio di iniquità inversa: in una regione a territorio disperso, se l’avvio del servizio privilegiasse per facilità organizzativa la fascia costiera già meglio servita, l’effetto distributivo potrebbe risultare regressivo; il rischio va prevenuto con criteri espliciti di equità nell’allocazione delle sedi e degli incarichi, sin dalla fase iniziale di attuazione.</w:t>
      </w:r>
    </w:p>
  </w:footnote>
  <w:footnote w:id="3073">
    <w:p>
      <w:pPr>
        <w:pStyle w:val="FootnoteText"/>
      </w:pPr>
      <w:r>
        <w:rPr>
          <w:rStyle w:val="FootnoteReference"/>
        </w:rPr>
        <w:footnoteRef/>
      </w:r>
      <w:r>
        <w:t xml:space="preserve"> </w:t>
      </w:r>
      <w:r>
        <w:t xml:space="preserve">Sintesi dell’equità: l’intervento è favorevole all’equità su entrambi gli assi del divario abruzzese e su entrambi i versanti generazionali, a condizione che la copertura sia modulata per il bisogno e che siano garantite la telepsicologia per le aree interne e l’attenzione tanto al disagio giovanile quanto all’isolamento dell’anziano; la raccomandazione è di adottare, sin dall’avvio, un’allocazione pro-equità che indirizzi le prime sedi e i primi incarichi verso le aree a maggiore bisogno e minore offerta.</w:t>
      </w:r>
    </w:p>
  </w:footnote>
  <w:footnote w:id="3074">
    <w:p>
      <w:pPr>
        <w:pStyle w:val="FootnoteText"/>
      </w:pPr>
      <w:r>
        <w:rPr>
          <w:rStyle w:val="FootnoteReference"/>
        </w:rPr>
        <w:footnoteRef/>
      </w:r>
      <w:r>
        <w:t xml:space="preserve"> </w:t>
      </w:r>
      <w:r>
        <w:t xml:space="preserve">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3075">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pronuncia fondativa per l’intera materia, ha delimitato lo spazio della disciplina regionale nel rispetto dei principi fondamentali stabiliti dallo Stato; l’Abruzzo ha legittimamente esercitato, fra le prime regioni, il titolo a istituire il servizio con legge propria, in forma coordinata con la cornice nazionale.</w:t>
      </w:r>
    </w:p>
  </w:footnote>
  <w:footnote w:id="3076">
    <w:p>
      <w:pPr>
        <w:pStyle w:val="FootnoteText"/>
      </w:pPr>
      <w:r>
        <w:rPr>
          <w:rStyle w:val="FootnoteReference"/>
        </w:rPr>
        <w:footnoteRef/>
      </w:r>
      <w:r>
        <w:t xml:space="preserve"> </w:t>
      </w:r>
      <w:r>
        <w:t xml:space="preserve">Stato legislativo dell’Abruzzo: a differenza del Lazio, ancora privo di legge, l’Abruzzo dispone già della legge regionale 28 del 2022, recante l’istituzione del servizio di psicologia di base, e del relativo regolamento attuativo approvato nel 2024; l’iter, concluso al termine della legislatura e perfezionato con un secondo passaggio d’aula per un errore formale, ha completato il quadro normativo. La decisione giuridica rilevante non è quindi l’approvazione della legge istitutiva, già compiuta, ma la sua piena attuazione a regime, nel coordinamento con il testo unico nazionale in discussione.</w:t>
      </w:r>
    </w:p>
  </w:footnote>
  <w:footnote w:id="3077">
    <w:p>
      <w:pPr>
        <w:pStyle w:val="FootnoteText"/>
      </w:pPr>
      <w:r>
        <w:rPr>
          <w:rStyle w:val="FootnoteReference"/>
        </w:rPr>
        <w:footnoteRef/>
      </w:r>
      <w:r>
        <w:t xml:space="preserve"> </w:t>
      </w:r>
      <w:r>
        <w:t xml:space="preserve">Inquadramento del rapporto di lavoro: la legge regionale 28 del 2022 e il regolamento del 2024 adottano il rapporto convenzionale su base libero-professionale, con iscrizione a un elenco aziendale e con i requisiti definiti dal regolamento, per analogia con la medicina generale e la pediatria di libera scelta. Tale forma assicura flessibilità e prossimità, ma sconta l’assenza di un contratto collettivo nazionale di riferimento: la sua definizione, attesa dal testo unico nazionale, è condizione di stabilità e di tutela della continuità del rapporto.</w:t>
      </w:r>
    </w:p>
  </w:footnote>
  <w:footnote w:id="3078">
    <w:p>
      <w:pPr>
        <w:pStyle w:val="FootnoteText"/>
      </w:pPr>
      <w:r>
        <w:rPr>
          <w:rStyle w:val="FootnoteReference"/>
        </w:rPr>
        <w:footnoteRef/>
      </w:r>
      <w:r>
        <w:t xml:space="preserve"> </w:t>
      </w:r>
      <w:r>
        <w:t xml:space="preserve">Livelli essenziali di assistenza, finanziamento e piano di rientro: la psicologia di base nelle cure primarie non è ancora esplicitamente ricompresa nei livelli essenziali di assistenza nazionali. Il servizio abruzzese è oggi sostenuto da uno stanziamento transitorio dell’ordine di quattrocentomila euro l’anno; la strutturazione a regime richiede il passaggio a un finanziamento regionale stabile, da conseguire tuttavia entro il vincolo di un piano di rientro in peggioramento. La Corte Costituzionale impone alle regioni in piano di rientro di giustificare ogni impiego con la garanzia dei livelli essenziali: tale garanzia, lungi dall’essere un ostacolo, costituisce per l’Abruzzo l’argomento giuridico decisivo a sostegno del servizio, poiché esso intercetta un bisogno largamente inevaso in una regione il cui punteggio sui livelli essenziali è inferiore alla soglia di sufficienza, segnatamente nell’area distrettuale.</w:t>
      </w:r>
    </w:p>
  </w:footnote>
  <w:footnote w:id="3079">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di base vi si inserisce coerentemente, come uno dei livelli di risposta al bisogno della popolazione.</w:t>
      </w:r>
    </w:p>
  </w:footnote>
  <w:footnote w:id="3080">
    <w:p>
      <w:pPr>
        <w:pStyle w:val="FootnoteText"/>
      </w:pPr>
      <w:r>
        <w:rPr>
          <w:rStyle w:val="FootnoteReference"/>
        </w:rPr>
        <w:footnoteRef/>
      </w:r>
      <w:r>
        <w:t xml:space="preserve"> </w:t>
      </w:r>
      <w:r>
        <w:t xml:space="preserve">Rapporto con i servizi specialistici: il servizio di psicologia di base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3081">
    <w:p>
      <w:pPr>
        <w:pStyle w:val="FootnoteText"/>
      </w:pPr>
      <w:r>
        <w:rPr>
          <w:rStyle w:val="FootnoteReference"/>
        </w:rPr>
        <w:footnoteRef/>
      </w:r>
      <w:r>
        <w:t xml:space="preserve"> </w:t>
      </w:r>
      <w:r>
        <w:t xml:space="preserve">Assetto organizzativo: la strutturazione del servizio nell’Abruzzo si misura con un sistema articolato in quattro Aziende Sanitarie Locali — Avezzano-Sulmona-L’Aquila, Lanciano-Vasto-Chieti, Pescara e Teramo — e venticinque distretti, e con l’assenza di un’azienda regionale unica, sicché il coordinamento è in capo alla Regione; a differenza delle regioni con servizio operativo, la sfida organizzativa centrale non è consolidare l’esistente, ma avviare il servizio e renderlo omogeneo su un territorio fortemente disperso, con estese aree interne e montane.</w:t>
      </w:r>
    </w:p>
  </w:footnote>
  <w:footnote w:id="3082">
    <w:p>
      <w:pPr>
        <w:pStyle w:val="FootnoteText"/>
      </w:pPr>
      <w:r>
        <w:rPr>
          <w:rStyle w:val="FootnoteReference"/>
        </w:rPr>
        <w:footnoteRef/>
      </w:r>
      <w:r>
        <w:t xml:space="preserve"> </w:t>
      </w:r>
      <w:r>
        <w:t xml:space="preserve">Governance della strutturazione: l’avvio del servizio richiede una regia regionale che coordini le quattro Aziende Sanitarie Locali, l’Ordine professionale, le rappresentanze della medicina generale e della pediatria di libera scelta e gli atenei; tale regia dispone degli strumenti istituiti dalla legge — l’Osservatorio Regionale e il Tavolo tecnico — cui spetta definire indirizzi operativi uniformi e consolidare il sistema di monitoraggio comune, in un contesto in cui la rilevazione epidemiologica regionale opera in modo discontinuo e va perciò ricostruita.</w:t>
      </w:r>
    </w:p>
  </w:footnote>
  <w:footnote w:id="3083">
    <w:p>
      <w:pPr>
        <w:pStyle w:val="FootnoteText"/>
      </w:pPr>
      <w:r>
        <w:rPr>
          <w:rStyle w:val="FootnoteReference"/>
        </w:rPr>
        <w:footnoteRef/>
      </w:r>
      <w:r>
        <w:t xml:space="preserve"> </w:t>
      </w:r>
      <w:r>
        <w:t xml:space="preserve">Ruolo dell’Ordine professionale: l’Ordine degli Psicologi dell’Abruzzo, che ha attivamente sollecitato l’attuazione della legge insieme alle organizzazioni professionali della categoria, concorre alla definizione dei requisiti, alla formazione e alla vigilanza deontologica; la sua collaborazione è condizione della qualità e dell’appropriatezza del servizio.</w:t>
      </w:r>
    </w:p>
  </w:footnote>
  <w:footnote w:id="3084">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3085">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3086">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3087">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3088">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3089">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l’Abruzzo, l’approvazione della legge, già in vigore e corredata di regolamento attuativo, ma l’attuazione del servizio e la stabilizzazione del suo finanziamento oltre le risorse transitorie, da conseguire entro il vincolo del piano di rientro; in tale passaggio la garanzia dei livelli essenziali costituisce l’argomento che ne fonda la priorità, e il coordinamento con il futuro testo unico nazionale potrà rafforzarlo.</w:t>
      </w:r>
    </w:p>
  </w:footnote>
  <w:footnote w:id="3090">
    <w:p>
      <w:pPr>
        <w:pStyle w:val="FootnoteText"/>
      </w:pPr>
      <w:r>
        <w:rPr>
          <w:rStyle w:val="FootnoteReference"/>
        </w:rPr>
        <w:footnoteRef/>
      </w:r>
      <w:r>
        <w:t xml:space="preserve"> </w:t>
      </w:r>
      <w:r>
        <w:t xml:space="preserve">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3091">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la programmazione regionale di salute mentale; nell’Abruzzo essa presenta una coerenza ulteriore, poiché rafforza l’assistenza territoriale proprio in una regione il cui punteggio sui livelli essenziali è inferiore alla soglia di sufficienza, segnatamente nell’area distrettuale, attuando a regime il modello istituito con la legge regionale 28 del 2022.</w:t>
      </w:r>
    </w:p>
  </w:footnote>
  <w:footnote w:id="3092">
    <w:p>
      <w:pPr>
        <w:pStyle w:val="FootnoteText"/>
      </w:pPr>
      <w:r>
        <w:rPr>
          <w:rStyle w:val="FootnoteReference"/>
        </w:rPr>
        <w:footnoteRef/>
      </w:r>
      <w:r>
        <w:t xml:space="preserve"> </w:t>
      </w:r>
      <w:r>
        <w:t xml:space="preserve">Caso economico: rinvia ai risultati della valutazione economica — un rapporto beneficio-costo complessivo dell’ordine di 3,4-5,1 a uno e una dominanza per paziente con elevata probabilità — nel quadro della distinzione fra un caso finanziario prossimo al pareggio e un caso sociale fortemente positivo.</w:t>
      </w:r>
    </w:p>
  </w:footnote>
  <w:footnote w:id="3093">
    <w:p>
      <w:pPr>
        <w:pStyle w:val="FootnoteText"/>
      </w:pPr>
      <w:r>
        <w:rPr>
          <w:rStyle w:val="FootnoteReference"/>
        </w:rPr>
        <w:footnoteRef/>
      </w:r>
      <w:r>
        <w:t xml:space="preserve"> </w:t>
      </w:r>
      <w:r>
        <w:t xml:space="preserve">Caso commerciale: il modello del rapporto convenzionale su base libero-professionale è già disciplinato dalla legge e dal regolamento, e si avvale di un bacino professionale alimentato dai tre atenei regionali; la disponibilità di psicologi qualificati, selezionati secondo i requisiti definiti dal regolamento, è adeguata agli scenari di copertura, pur essendo il bacino più contenuto che nelle regioni maggiori.</w:t>
      </w:r>
    </w:p>
  </w:footnote>
  <w:footnote w:id="3094">
    <w:p>
      <w:pPr>
        <w:pStyle w:val="FootnoteText"/>
      </w:pPr>
      <w:r>
        <w:rPr>
          <w:rStyle w:val="FootnoteReference"/>
        </w:rPr>
        <w:footnoteRef/>
      </w:r>
      <w:r>
        <w:t xml:space="preserve"> </w:t>
      </w:r>
      <w:r>
        <w:t xml:space="preserve">Caso finanziario: il costo del servizio a regime — dell’ordine di 5, 10 e 15 milioni di euro nei tre scenari, pari a meno dell’uno per cento del finanziamento sanitario regionale, dell’ordine di 2,5 miliardi — è di per sé sostenibile, ma la stabilizzazione delle risorse oltre lo stanziamento transitorio va conseguita entro il vincolo di un piano di rientro in peggioramento; la garanzia dei livelli essenziali, che la Corte Costituzionale impone alle regioni in rientro di porre a fondamento di ogni impiego, e l’autofinanziamento quasi integrale sul bilancio diretto ne costituiscono il fondamento, mentre un futuro riconoscimento nei livelli essenziali rafforzerebbe la stabilità.</w:t>
      </w:r>
    </w:p>
  </w:footnote>
  <w:footnote w:id="3095">
    <w:p>
      <w:pPr>
        <w:pStyle w:val="FootnoteText"/>
      </w:pPr>
      <w:r>
        <w:rPr>
          <w:rStyle w:val="FootnoteReference"/>
        </w:rPr>
        <w:footnoteRef/>
      </w:r>
      <w:r>
        <w:t xml:space="preserve"> </w:t>
      </w:r>
      <w:r>
        <w:t xml:space="preserve">Caso gestionale: la realizzabilità dipende da una regia regionale che, in assenza di un’azienda unica, coordini le quattro Aziende Sanitarie Locali, l’Ordine professionale, la medicina generale e la pediatria di libera scelta e gli atenei; tale regia dispone dell’Osservatorio Regionale e del Tavolo tecnico istituiti dalla legge, cui spetta consolidare indirizzi uniformi e il monitoraggio comune.</w:t>
      </w:r>
    </w:p>
  </w:footnote>
  <w:footnote w:id="3096">
    <w:p>
      <w:pPr>
        <w:pStyle w:val="FootnoteText"/>
      </w:pPr>
      <w:r>
        <w:rPr>
          <w:rStyle w:val="FootnoteReference"/>
        </w:rPr>
        <w:footnoteRef/>
      </w:r>
      <w:r>
        <w:t xml:space="preserve"> </w:t>
      </w:r>
      <w:r>
        <w:t xml:space="preserve">Dimensionamento a partire dall’attuazione iniziale: a differenza delle regioni con servizio operativo, l’Abruzzo muove da un’attuazione iniziale sostenuta da uno stanziamento transitorio, e dimensiona il servizio verso un fabbisogno a regime dell’ordine di 280 psicologi nello scenario espansivo; l’estensione procede per gradi attraverso gli scenari conservativo, di base ed espansivo, dell’ordine di 85, 180 e 280 incarichi, corrispondenti rispettivamente al rapporto di legge di uno psicologo ogni quindicimila abitanti, a un valore intermedio e a un rapporto prossimo all’obiettivo del modello.</w:t>
      </w:r>
    </w:p>
  </w:footnote>
  <w:footnote w:id="3097">
    <w:p>
      <w:pPr>
        <w:pStyle w:val="FootnoteText"/>
      </w:pPr>
      <w:r>
        <w:rPr>
          <w:rStyle w:val="FootnoteReference"/>
        </w:rPr>
        <w:footnoteRef/>
      </w:r>
      <w:r>
        <w:t xml:space="preserve"> </w:t>
      </w:r>
      <w:r>
        <w:t xml:space="preserve">Fasi di attuazione: l’attuazione si articola in una fase di avvio, con la costituzione degli elenchi aziendali, l’apertura delle prime sedi e la stabilizzazione del finanziamento; una fase di estensione, nella quale la copertura si amplia progressivamente fra le quattro Aziende; e una fase di regime, nella quale il servizio raggiunge il dimensionamento adeguato al fabbisogno. La progressione differenziata dell’avvio fra le Aziende coincide con l’esperimento a cunei progressivi descritto nella Parte F, che trasforma la gradualità dell’attuazione in una fonte di identificazione dell’effetto.</w:t>
      </w:r>
    </w:p>
  </w:footnote>
  <w:footnote w:id="3098">
    <w:p>
      <w:pPr>
        <w:pStyle w:val="FootnoteText"/>
      </w:pPr>
      <w:r>
        <w:rPr>
          <w:rStyle w:val="FootnoteReference"/>
        </w:rPr>
        <w:footnoteRef/>
      </w:r>
      <w:r>
        <w:t xml:space="preserve"> </w:t>
      </w:r>
      <w:r>
        <w:t xml:space="preserve">Reclutamento e formazione: l’attuazione richiede il reclutamento e la formazione dedicata degli psicologi, secondo il programma a quattro livelli; il bacino alimentato dai tre atenei regionali — l’Università dell’Aquila, l’Università</w:t>
      </w:r>
      <w:r>
        <w:t xml:space="preserve"> </w:t>
      </w:r>
      <w:r>
        <w:t xml:space="preserve">“Gabriele d’Annunzio”</w:t>
      </w:r>
      <w:r>
        <w:t xml:space="preserve"> </w:t>
      </w:r>
      <w:r>
        <w:t xml:space="preserve">di Chieti-Pescara e l’Università di Teramo — e i requisiti definiti dal regolamento costituiscono una base adeguata, e la formazione specialistica assicura l’omogeneità delle competenze su un territorio disperso.</w:t>
      </w:r>
    </w:p>
  </w:footnote>
  <w:footnote w:id="3099">
    <w:p>
      <w:pPr>
        <w:pStyle w:val="FootnoteText"/>
      </w:pPr>
      <w:r>
        <w:rPr>
          <w:rStyle w:val="FootnoteReference"/>
        </w:rPr>
        <w:footnoteRef/>
      </w:r>
      <w:r>
        <w:t xml:space="preserve"> </w:t>
      </w:r>
      <w:r>
        <w:t xml:space="preserve">Cronoprogramma: il cronoprogramma si sviluppa su un orizzonte pluriennale, con il raggiungimento del regime in più esercizi; a differenza del Lazio, l’attuazione non è subordinata all’approvazione di una legge — già in vigore e corredata di regolamento — ma alla stabilizzazione del finanziamento entro il vincolo del piano di rientro, che ne costituisce la condizione dirimente.</w:t>
      </w:r>
    </w:p>
  </w:footnote>
  <w:footnote w:id="3100">
    <w:p>
      <w:pPr>
        <w:pStyle w:val="FootnoteText"/>
      </w:pPr>
      <w:r>
        <w:rPr>
          <w:rStyle w:val="FootnoteReference"/>
        </w:rPr>
        <w:footnoteRef/>
      </w:r>
      <w:r>
        <w:t xml:space="preserve"> </w:t>
      </w:r>
      <w:r>
        <w:t xml:space="preserve">Sostenibilità finanziaria: la leva è la stabilizzazione del finanziamento, ossia il passaggio dallo stanziamento transitorio a risorse regionali stabili, da conseguire in una regione in piano di rientro in peggioramento; è la sfida più ardua fra quelle considerate, ma è sorretta dall’entità modesta del costo (inferiore all’uno per cento del finanziamento sanitario regionale a regime) e dal fatto che il servizio si autofinanzia quasi integralmente sul bilancio diretto e concorre alla garanzia dei livelli essenziali; l’eventuale riconoscimento nei livelli essenziali di assistenza ne rafforzerebbe ulteriormente la stabilità.</w:t>
      </w:r>
    </w:p>
  </w:footnote>
  <w:footnote w:id="3101">
    <w:p>
      <w:pPr>
        <w:pStyle w:val="FootnoteText"/>
      </w:pPr>
      <w:r>
        <w:rPr>
          <w:rStyle w:val="FootnoteReference"/>
        </w:rPr>
        <w:footnoteRef/>
      </w:r>
      <w:r>
        <w:t xml:space="preserve"> </w:t>
      </w:r>
      <w:r>
        <w:t xml:space="preserve">Sostenibilità organizzativa: dipende dalla capacità di garantire l’omogeneità attuativa fra le quattro Aziende Sanitarie Locali su un territorio disperso e privo di un’azienda regionale unica, e quindi dalla forza della regia regionale, dal ruolo dell’Osservatorio Regionale e del Tavolo tecnico e dalla chiarezza degli indirizzi operativi.</w:t>
      </w:r>
    </w:p>
  </w:footnote>
  <w:footnote w:id="3102">
    <w:p>
      <w:pPr>
        <w:pStyle w:val="FootnoteText"/>
      </w:pPr>
      <w:r>
        <w:rPr>
          <w:rStyle w:val="FootnoteReference"/>
        </w:rPr>
        <w:footnoteRef/>
      </w:r>
      <w:r>
        <w:t xml:space="preserve"> </w:t>
      </w:r>
      <w:r>
        <w:t xml:space="preserve">Monitoraggio dell’avanzamento: l’avanzamento è seguito mediante indicatori di processo — numero di sedi e di incarichi attivati, distribuzione territoriale, volumi di presa in carico — raccolti attraverso il flusso informativo da costruire contestualmente all’attuazione, in un contesto di rilevazione epidemiologica discontinua, secondo quanto descritto nella Parte C.</w:t>
      </w:r>
    </w:p>
  </w:footnote>
  <w:footnote w:id="3103">
    <w:p>
      <w:pPr>
        <w:pStyle w:val="FootnoteText"/>
      </w:pPr>
      <w:r>
        <w:rPr>
          <w:rStyle w:val="FootnoteReference"/>
        </w:rPr>
        <w:footnoteRef/>
      </w:r>
      <w:r>
        <w:t xml:space="preserve"> </w:t>
      </w:r>
      <w:r>
        <w:t xml:space="preserve">Rischi dell’attuazione: i rischi propri della posizione abruzzese sono il vincolo del piano di rientro in peggioramento sulla stabilizzazione del finanziamento, che introduce un’incertezza finanziaria fino al consolidamento su risorse regionali; la disomogeneità attuativa fra le Aziende su un territorio disperso; la difficoltà di coordinamento in assenza di un’azienda unica; e la discontinuità della rilevazione epidemiologica, che impone di costruire il flusso informativo prima assente.</w:t>
      </w:r>
    </w:p>
  </w:footnote>
  <w:footnote w:id="3104">
    <w:p>
      <w:pPr>
        <w:pStyle w:val="FootnoteText"/>
      </w:pPr>
      <w:r>
        <w:rPr>
          <w:rStyle w:val="FootnoteReference"/>
        </w:rPr>
        <w:footnoteRef/>
      </w:r>
      <w:r>
        <w:t xml:space="preserve"> </w:t>
      </w:r>
      <w:r>
        <w:t xml:space="preserve">Mitigazioni: i rischi sono fronteggiati ponendo a sostegno della stabilizzazione l’argomento dei livelli essenziali e l’autofinanziamento quasi integrale sul bilancio diretto; con una regia regionale forte e indirizzi operativi uniformi; con la progressione differenziata dell’avvio, che consente un apprendimento progressivo; con la costruzione del sistema informativo sin dall’avvio; e con un’allocazione pro-equità che orienta l’estensione verso le aree interne e montane.</w:t>
      </w:r>
    </w:p>
  </w:footnote>
  <w:footnote w:id="3105">
    <w:p>
      <w:pPr>
        <w:pStyle w:val="FootnoteText"/>
      </w:pPr>
      <w:r>
        <w:rPr>
          <w:rStyle w:val="FootnoteReference"/>
        </w:rPr>
        <w:footnoteRef/>
      </w:r>
      <w:r>
        <w:t xml:space="preserve"> </w:t>
      </w:r>
      <w:r>
        <w:t xml:space="preserve">Sintesi della fattibilità: l’intervento è attuabile e sostenibile; la leva propria dell’Abruzzo è la stabilizzazione del finanziamento e l’attuazione dimensionata di un servizio già istituito e regolato. La regione muove da un quadro normativo completo e da un costo modesto, e affronta un vincolo fiscale stringente con argomenti — la garanzia dei livelli essenziali e l’autofinanziamento diretto — che ne fanno una priorità difendibile; la parte successiva affronta il monitoraggio e la valutazione ex post.</w:t>
      </w:r>
    </w:p>
  </w:footnote>
  <w:footnote w:id="3106">
    <w:p>
      <w:pPr>
        <w:pStyle w:val="FootnoteText"/>
      </w:pPr>
      <w:r>
        <w:rPr>
          <w:rStyle w:val="FootnoteReference"/>
        </w:rPr>
        <w:footnoteRef/>
      </w:r>
      <w:r>
        <w:t xml:space="preserve"> </w:t>
      </w:r>
      <w:r>
        <w:t xml:space="preserve">Finalità del monitoraggio e della valutazione ex post: rendere conto dell’impiego delle risorse, apprendere dall’esperienza e correggere il corso dell’attuazione; la valutazione non è un adempimento formale, ma lo strumento attraverso cui l’attuazione del servizio si traduce in apprendimento istituzionale, ed è ancorata a una clausola valutativa.</w:t>
      </w:r>
    </w:p>
  </w:footnote>
  <w:footnote w:id="3107">
    <w:p>
      <w:pPr>
        <w:pStyle w:val="FootnoteText"/>
      </w:pPr>
      <w:r>
        <w:rPr>
          <w:rStyle w:val="FootnoteReference"/>
        </w:rPr>
        <w:footnoteRef/>
      </w:r>
      <w:r>
        <w:t xml:space="preserve"> </w:t>
      </w:r>
      <w:r>
        <w:t xml:space="preserve">Funzione ulteriore in regime di rientro: in una regione in piano di rientro, la valutazione documenta la garanzia dei livelli essenziali e l’autofinanziamento quasi integrale sul bilancio diretto, ossia gli argomenti su cui poggia la stabilizzazione del finanziamento; il monitoraggio non serve quindi soltanto all’apprendimento clinico-organizzativo, ma anche alla difesa finanziaria del servizio davanti agli organi di controllo.</w:t>
      </w:r>
    </w:p>
  </w:footnote>
  <w:footnote w:id="3108">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3109">
    <w:p>
      <w:pPr>
        <w:pStyle w:val="FootnoteText"/>
      </w:pPr>
      <w:r>
        <w:rPr>
          <w:rStyle w:val="FootnoteReference"/>
        </w:rPr>
        <w:footnoteRef/>
      </w:r>
      <w:r>
        <w:t xml:space="preserve"> </w:t>
      </w:r>
      <w:r>
        <w:t xml:space="preserve">Disegno controfattuale su servizio in avvio: poiché nell’Abruzzo il servizio è istituito e regolato ma in avvio progressivo, la valutazione d’impatto può fondarsi su un esperimento a cunei progressivi, nel quale l’ordine e i tempi di avvio delle sedi fra le quattro Aziende Sanitarie Locali e i venticinque distretti sono impiegati a fini valutativi; le sedi che avviano per prime fungono da gruppo di intervento, quelle che avviano in seguito da controllo temporaneo, sino alla copertura completa.</w:t>
      </w:r>
    </w:p>
  </w:footnote>
  <w:footnote w:id="3110">
    <w:p>
      <w:pPr>
        <w:pStyle w:val="FootnoteText"/>
      </w:pPr>
      <w:r>
        <w:rPr>
          <w:rStyle w:val="FootnoteReference"/>
        </w:rPr>
        <w:footnoteRef/>
      </w:r>
      <w:r>
        <w:t xml:space="preserve"> </w:t>
      </w:r>
      <w:r>
        <w:t xml:space="preserve">Linea di base pre-avvio: a differenza delle regioni con servizio già operativo, che non dispongono di una linea di base anteriore all’avvio per le aree già servite, l’Abruzzo può misurare gli indicatori prima dell’attivazione in ciascuna Azienda, costruendo una linea di base pre-avvio pulita; la gradualità dell’attuazione, da onere organizzativo, diviene una risorsa metodologica che rafforza l’identificazione dell’effetto.</w:t>
      </w:r>
    </w:p>
  </w:footnote>
  <w:footnote w:id="3111">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differenziata dell’avvio fra le Aziende fornisce la variazione necessaria all’identificazione.</w:t>
      </w:r>
    </w:p>
  </w:footnote>
  <w:footnote w:id="3112">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3113">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3114">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3115">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3116">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 documentando in particolare l’autofinanziamento diretto rilevante ai fini del piano di rientro.</w:t>
      </w:r>
    </w:p>
  </w:footnote>
  <w:footnote w:id="3117">
    <w:p>
      <w:pPr>
        <w:pStyle w:val="FootnoteText"/>
      </w:pPr>
      <w:r>
        <w:rPr>
          <w:rStyle w:val="FootnoteReference"/>
        </w:rPr>
        <w:footnoteRef/>
      </w:r>
      <w:r>
        <w:t xml:space="preserve"> </w:t>
      </w:r>
      <w:r>
        <w:t xml:space="preserve">Indicatori di equità: copertura e accesso disaggregati per area — costa, aree interne e montane, piccoli comuni — e per fasce di età, con attenzione tanto al disagio giovanile quanto all’isolamento dell’anziano, entrambi rilevanti in una regione anziana; verificano che il servizio riduca i divari anziché accrescerli, coerentemente con l’allocazione pro-equità raccomandata.</w:t>
      </w:r>
    </w:p>
  </w:footnote>
  <w:footnote w:id="3118">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3119">
    <w:p>
      <w:pPr>
        <w:pStyle w:val="FootnoteText"/>
      </w:pPr>
      <w:r>
        <w:rPr>
          <w:rStyle w:val="FootnoteReference"/>
        </w:rPr>
        <w:footnoteRef/>
      </w:r>
      <w:r>
        <w:t xml:space="preserve"> </w:t>
      </w:r>
      <w:r>
        <w:t xml:space="preserve">Indicatori di mobilità: per l’Abruzzo sono monitorati ma costituiscono un esito atteso solo modesto, poiché la fuga riguarda l’alta complessità ospedaliera e chirurgica e non la domanda psicologica territoriale; la loro rilevazione serve a documentare la sola frazione territorialmente intercettabile, non un effetto principale.</w:t>
      </w:r>
    </w:p>
  </w:footnote>
  <w:footnote w:id="3120">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abruzzese.</w:t>
      </w:r>
    </w:p>
  </w:footnote>
  <w:footnote w:id="3121">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 Regione e all’Osservatorio Regionale già istituito dalla legge, che ne assicurano l’alimentazione uniforme da parte delle quattro Aziende.</w:t>
      </w:r>
    </w:p>
  </w:footnote>
  <w:footnote w:id="3122">
    <w:p>
      <w:pPr>
        <w:pStyle w:val="FootnoteText"/>
      </w:pPr>
      <w:r>
        <w:rPr>
          <w:rStyle w:val="FootnoteReference"/>
        </w:rPr>
        <w:footnoteRef/>
      </w:r>
      <w:r>
        <w:t xml:space="preserve"> </w:t>
      </w:r>
      <w:r>
        <w:t xml:space="preserve">Clausola valutativa: lo strumento attraverso cui il monitoraggio diventa vincolante è la clausola valutativa; la legge regionale 28 del 2022 prevede già l’Osservatorio Regionale e il Tavolo tecnico, sicché il compito non è introdurre la previsione di rendicontazione, ma rafforzarla e renderla pienamente operativa, impegnando la Giunta a riferire periodicamente al Consiglio sull’attuazione e sui risultati, nel coordinamento con il futuro testo unico nazionale.</w:t>
      </w:r>
    </w:p>
  </w:footnote>
  <w:footnote w:id="3123">
    <w:p>
      <w:pPr>
        <w:pStyle w:val="FootnoteText"/>
      </w:pPr>
      <w:r>
        <w:rPr>
          <w:rStyle w:val="FootnoteReference"/>
        </w:rPr>
        <w:footnoteRef/>
      </w:r>
      <w:r>
        <w:t xml:space="preserve"> </w:t>
      </w:r>
      <w:r>
        <w:t xml:space="preserve">Flusso informativo da costruire: la raccolta dei dati non poggia su un flusso già avviato come nelle regioni con servizio operativo, ma richiede di costruire il flusso informativo contestualmente all’attuazione, in un contesto in cui la rilevazione epidemiologica regionale opera in modo discontinuo; tale costruzione, descritta nella Parte C, è condizione della valutabilità stessa e va resa interoperabile con la piattaforma informativa sanitaria regionale.</w:t>
      </w:r>
    </w:p>
  </w:footnote>
  <w:footnote w:id="3124">
    <w:p>
      <w:pPr>
        <w:pStyle w:val="FootnoteText"/>
      </w:pPr>
      <w:r>
        <w:rPr>
          <w:rStyle w:val="FootnoteReference"/>
        </w:rPr>
        <w:footnoteRef/>
      </w:r>
      <w:r>
        <w:t xml:space="preserve"> </w:t>
      </w:r>
      <w:r>
        <w:t xml:space="preserve">Sintesi del monitoraggio: la valutazione è la condizione per trasformare l’attuazione del servizio in apprendimento; l’Abruzzo deve costruire il flusso informativo anziché consolidarlo, ma l’avvio iniziale gli consente di misurare una linea di base pre-avvio pulita, e la clausola valutativa già prevista dalla legge va rafforzata e resa operativa; in regime di rientro, la valutazione documenta inoltre la garanzia dei livelli essenziali e l’autofinanziamento diretto, a sostegno della stabilizzazione. La parte conclusiva compone i risultati dei diversi domini in una sintesi multidimensionale e formula le raccomandazioni.</w:t>
      </w:r>
    </w:p>
  </w:footnote>
  <w:footnote w:id="3125">
    <w:p>
      <w:pPr>
        <w:pStyle w:val="FootnoteText"/>
      </w:pPr>
      <w:r>
        <w:rPr>
          <w:rStyle w:val="FootnoteReference"/>
        </w:rPr>
        <w:footnoteRef/>
      </w:r>
      <w:r>
        <w:t xml:space="preserve"> </w:t>
      </w:r>
      <w:r>
        <w:t xml:space="preserve">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3126">
    <w:p>
      <w:pPr>
        <w:pStyle w:val="FootnoteText"/>
      </w:pPr>
      <w:r>
        <w:rPr>
          <w:rStyle w:val="FootnoteReference"/>
        </w:rPr>
        <w:footnoteRef/>
      </w:r>
      <w:r>
        <w:t xml:space="preserve"> </w:t>
      </w:r>
      <w:r>
        <w:t xml:space="preserve">Sintesi per dominio: il bisogno è ampio e si manifesta su un doppio versante generazionale, fra il disagio giovanile in crescita e l’isolamento dell’anziano, in una regione fra le più vecchie del Paese; l’efficacia clinica è sostenuta da evidenza internazionale solida, ma ancora priva di dati operativi propri, da costruire con l’attuazione; il quadro economico distingue un caso finanziario prossimo al pareggio da un caso sociale fortemente positivo; l’equità è favorevole sull’asse costa-aree interne e su entrambi i versanti generazionali; la fattibilità è quella di un’attuazione a regime di un servizio istituito e regolato, sotto il vincolo del rientro; il monitoraggio può fondarsi su un disegno a cunei con una linea di base pre-avvio pulita. La convergenza dei domini sostiene una raccomandazione favorevole.</w:t>
      </w:r>
    </w:p>
  </w:footnote>
  <w:footnote w:id="3127">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3128">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3129">
    <w:p>
      <w:pPr>
        <w:pStyle w:val="FootnoteText"/>
      </w:pPr>
      <w:r>
        <w:rPr>
          <w:rStyle w:val="FootnoteReference"/>
        </w:rPr>
        <w:footnoteRef/>
      </w:r>
      <w:r>
        <w:t xml:space="preserve"> </w:t>
      </w:r>
      <w:r>
        <w:t xml:space="preserve">Punteggio dell’intervento: la media ponderata dei punteggi attribuiti all’intervento è dell’ordine di 78,15 su 100, sostenuta dai punteggi elevati nel valore sociale, nell’equità e nel ritorno economico, e contenuta dal punteggio nella robustezza dell’evidenza, che riflette l’assenza allo stato di dati operativi propri, e dal punteggio nell’impatto sul bilancio e sostenibilità, su cui pesa il vincolo di un piano di rientro in peggioramento.</w:t>
      </w:r>
    </w:p>
  </w:footnote>
  <w:footnote w:id="3130">
    <w:p>
      <w:pPr>
        <w:pStyle w:val="FootnoteText"/>
      </w:pPr>
      <w:r>
        <w:rPr>
          <w:rStyle w:val="FootnoteReference"/>
        </w:rPr>
        <w:footnoteRef/>
      </w:r>
      <w:r>
        <w:t xml:space="preserve"> </w:t>
      </w:r>
      <w:r>
        <w:t xml:space="preserve">Punteggio del non intervento: l’alternativa di non attuare il servizio a regime ottiene una media ponderata dell’ordine di 39,50 su 100; essa è penalizzata in tutti i criteri sostanziali — efficacia, equità, valore sociale, ritorno — ed è sostenuta soltanto dalla fattibilità immediata dello status quo, che però in una regione con i livelli essenziali sotto adempienza, segnatamente nell’area distrettuale, appare difficilmente giustificabile.</w:t>
      </w:r>
    </w:p>
  </w:footnote>
  <w:footnote w:id="3131">
    <w:p>
      <w:pPr>
        <w:pStyle w:val="FootnoteText"/>
      </w:pPr>
      <w:r>
        <w:rPr>
          <w:rStyle w:val="FootnoteReference"/>
        </w:rPr>
        <w:footnoteRef/>
      </w:r>
      <w:r>
        <w:t xml:space="preserve"> </w:t>
      </w:r>
      <w:r>
        <w:t xml:space="preserve">Interpretazione del confronto: l’intervento prevale nettamente sul non intervento, con uno scarto dell’ordine di trentanove punti; il punteggio dell’intervento si colloca in linea con quello delle altre regioni della serie, scontando un caso finanziario diretto prossimo al pareggio, il vincolo del piano di rientro e la natura ancora iniziale dell’attuazione, che si riflette nella minore disponibilità di dati propri.</w:t>
      </w:r>
    </w:p>
  </w:footnote>
  <w:footnote w:id="3132">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3133">
    <w:p>
      <w:pPr>
        <w:pStyle w:val="FootnoteText"/>
      </w:pPr>
      <w:r>
        <w:rPr>
          <w:rStyle w:val="FootnoteReference"/>
        </w:rPr>
        <w:footnoteRef/>
      </w:r>
      <w:r>
        <w:t xml:space="preserve"> </w:t>
      </w:r>
      <w:r>
        <w:t xml:space="preserve">Raccomandazione principale: si raccomanda di attuare pienamente e portare a regime il servizio di psicologia di base già istituito e regolato, stabilizzandone il finanziamento — dal sostegno transitorio a risorse regionali stabili, entro il vincolo del piano di rientro — e dimensionandolo verso la copertura piena del fabbisogno; è la decisione che l’Abruzzo, fra le prime regioni ad aver istituito il servizio per legge, è chiamato a compiere per tradurre il proprio quadro normativo completo in un servizio stabile.</w:t>
      </w:r>
    </w:p>
  </w:footnote>
  <w:footnote w:id="3134">
    <w:p>
      <w:pPr>
        <w:pStyle w:val="FootnoteText"/>
      </w:pPr>
      <w:r>
        <w:rPr>
          <w:rStyle w:val="FootnoteReference"/>
        </w:rPr>
        <w:footnoteRef/>
      </w:r>
      <w:r>
        <w:t xml:space="preserve"> </w:t>
      </w:r>
      <w:r>
        <w:t xml:space="preserve">Dimensionamento raccomandato: si raccomanda di muovere dall’attuazione iniziale e di procedere per gradi verso lo scenario conservativo, dell’ordine di 85 incarichi corrispondenti al rapporto di legge di uno psicologo ogni quindicimila abitanti, quindi verso quello di base, dell’ordine di 180, e infine verso quello espansivo, dell’ordine di 280 prossimo all’obiettivo del modello, in funzione della verifica progressiva dei risultati e della sostenibilità.</w:t>
      </w:r>
    </w:p>
  </w:footnote>
  <w:footnote w:id="3135">
    <w:p>
      <w:pPr>
        <w:pStyle w:val="FootnoteText"/>
      </w:pPr>
      <w:r>
        <w:rPr>
          <w:rStyle w:val="FootnoteReference"/>
        </w:rPr>
        <w:footnoteRef/>
      </w:r>
      <w:r>
        <w:t xml:space="preserve"> </w:t>
      </w:r>
      <w:r>
        <w:t xml:space="preserve">Condizioni della raccomandazione: il rafforzamento e la piena operatività della clausola valutativa, dell’Osservatorio Regionale e del Tavolo tecnico già previsti dalla legge, l’adozione di un’allocazione pro-equità verso le aree interne e montane e i piccoli comuni e su entrambi i versanti generazionali, una regia regionale forte in assenza di un’azienda unica e la costruzione del flusso informativo, oggi assente per la discontinuità della rilevazione regionale, sono le condizioni che trasformano la raccomandazione in un’attuazione efficace e valutabile.</w:t>
      </w:r>
    </w:p>
  </w:footnote>
  <w:footnote w:id="3136">
    <w:p>
      <w:pPr>
        <w:pStyle w:val="FootnoteText"/>
      </w:pPr>
      <w:r>
        <w:rPr>
          <w:rStyle w:val="FootnoteReference"/>
        </w:rPr>
        <w:footnoteRef/>
      </w:r>
      <w:r>
        <w:t xml:space="preserve"> </w:t>
      </w:r>
      <w:r>
        <w:t xml:space="preserve">Lacuna da colmare prima della presentazione esterna: l’estrazione dei conti certificati delle quattro Aziende Sanitarie Locali e la costruzione del flusso dei dati di esito sono le priorità che consentiranno di sostituire i valori ricostruiti per quota di popolazione con grandezze effettive, in un contesto in cui la rilevazione epidemiologica regionale opera in modo discontinuo.</w:t>
      </w:r>
    </w:p>
  </w:footnote>
  <w:footnote w:id="3137">
    <w:p>
      <w:pPr>
        <w:pStyle w:val="FootnoteText"/>
      </w:pPr>
      <w:r>
        <w:rPr>
          <w:rStyle w:val="FootnoteReference"/>
        </w:rPr>
        <w:footnoteRef/>
      </w:r>
      <w:r>
        <w:t xml:space="preserve"> </w:t>
      </w:r>
      <w:r>
        <w:t xml:space="preserve">Distinzione cardine ribadita: la decisione va assunta riconoscendo che il caso puramente finanziario per il bilancio sanitario è prossimo al pareggio, mentre il caso economico complessivo, comprensivo delle ricadute sociali, è fortemente positivo; si tratta di un investimento sociale a beneficio prevalentemente extra-sanitario, con un costo netto contenuto per il bilancio, e non di un’operazione di risparmio sanitario diretto. In una regione in piano di rientro, proprio l’autofinanziamento quasi integrale sul bilancio diretto e il concorso alla garanzia dei livelli essenziali costituiscono gli argomenti che ne fondano la priorità e ne sostengono la stabilizzazione davanti agli organi di controllo.</w:t>
      </w:r>
    </w:p>
  </w:footnote>
  <w:footnote w:id="3138">
    <w:p>
      <w:pPr>
        <w:pStyle w:val="FootnoteText"/>
      </w:pPr>
      <w:r>
        <w:rPr>
          <w:rStyle w:val="FootnoteReference"/>
        </w:rPr>
        <w:footnoteRef/>
      </w:r>
      <w:r>
        <w:t xml:space="preserve"> </w:t>
      </w:r>
      <w:r>
        <w:t xml:space="preserve">Collocazione nella serie regionale: lo studio sull’Abruzzo si inserisce nella serie degli studi regionali, condividendone il telaio integrato e il caso di riferimento; rispetto agli altri, l’Abruzzo occupa una posizione peculiare, quella di una delle prime regioni ad aver istituito il servizio per legge — con una disciplina coerente con la pronuncia della Corte Costituzionale n. 241 del 2021, richiamata da tutti gli studi della serie — ma anche dell’unica, fra quelle esaminate, chiamata a portarlo a regime entro il vincolo di un piano di rientro in peggioramento.</w:t>
      </w:r>
    </w:p>
  </w:footnote>
  <w:footnote w:id="3139">
    <w:p>
      <w:pPr>
        <w:pStyle w:val="FootnoteText"/>
      </w:pPr>
      <w:r>
        <w:rPr>
          <w:rStyle w:val="FootnoteReference"/>
        </w:rPr>
        <w:footnoteRef/>
      </w:r>
      <w:r>
        <w:t xml:space="preserve"> </w:t>
      </w:r>
      <w:r>
        <w:t xml:space="preserve">Astensione dalle cifre prive di fondamento: coerentemente con l’impostazione dell’intero progetto, lo studio non impiega le cifre di larga circolazione ma prive di fondamento metodologico — segnatamente il rapporto di quattro a uno divulgato dall’Organizzazione mondiale della sanità e i ritorni di dodici o diciotto a uno talora citati — e adotta un rapporto beneficio-costo prudenziale dell’ordine di 3,4-5,1 a uno, entro la fascia metodologicamente fondata di 3,3-5,7 a uno includendo i benefici di salute, per credibilità verso gli organi di controllo della finanza pubblica.</w:t>
      </w:r>
    </w:p>
  </w:footnote>
  <w:footnote w:id="3140">
    <w:p>
      <w:pPr>
        <w:pStyle w:val="FootnoteText"/>
      </w:pPr>
      <w:r>
        <w:rPr>
          <w:rStyle w:val="FootnoteReference"/>
        </w:rPr>
        <w:footnoteRef/>
      </w:r>
      <w:r>
        <w:t xml:space="preserve"> </w:t>
      </w:r>
      <w:r>
        <w:t xml:space="preserve">Conclusione: la decisione che lo studio sostiene è di attuare pienamente e portare a regime il servizio di psicologia di base già istituito, stabilizzandone il finanziamento, dimensionandolo progressivamente al fabbisogno e rendendo pienamente operativa la clausola valutativa; per l’Abruzzo, ciò significa tradurre un quadro normativo completo in un servizio stabile, facendo della garanzia dei livelli essenziali — che il vincolo del rientro impone di porre a fondamento di ogni impiego — non un ostacolo, ma l’argomento decisivo a beneficio della popolazione.</w:t>
      </w:r>
    </w:p>
  </w:footnote>
  <w:footnote w:id="3141">
    <w:p>
      <w:pPr>
        <w:pStyle w:val="FootnoteText"/>
      </w:pPr>
      <w:r>
        <w:rPr>
          <w:rStyle w:val="FootnoteReference"/>
        </w:rPr>
        <w:footnoteRef/>
      </w:r>
      <w:r>
        <w:t xml:space="preserve"> </w:t>
      </w:r>
      <w:r>
        <w:t xml:space="preserve">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3142">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3143">
    <w:p>
      <w:pPr>
        <w:pStyle w:val="FootnoteText"/>
      </w:pPr>
      <w:r>
        <w:rPr>
          <w:rStyle w:val="FootnoteReference"/>
        </w:rPr>
        <w:footnoteRef/>
      </w:r>
      <w:r>
        <w:t xml:space="preserve"> </w:t>
      </w:r>
      <w:r>
        <w:t xml:space="preserve">Quadro economico consolidato per l’Abruzzo (Parte E): a regime, da circa 85 a circa 280 psicologi, costo del servizio di 5-15 milioni, risparmi diretti di 4-15 milioni, ricadute sociali di 13-62 milioni; il saldo diretto è prossimo al pareggio, il saldo complessivo fortemente positivo, con rapporto beneficio-costo di 3,4-5,1 a uno, entro la fascia metodologicamente fondata di 3,3-5,7 a uno includendo i benefici di salute.</w:t>
      </w:r>
    </w:p>
  </w:footnote>
  <w:footnote w:id="3144">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3145">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nell’Abruzzo, poiché la rilevazione epidemiologica regionale è discontinua, il flusso va costruito contestualmente all’attuazione, e la strutturazione deve garantirne l’uniformità e la completezza fra le quattro Aziende.</w:t>
      </w:r>
    </w:p>
  </w:footnote>
  <w:footnote w:id="3146">
    <w:p>
      <w:pPr>
        <w:pStyle w:val="FootnoteText"/>
      </w:pPr>
      <w:r>
        <w:rPr>
          <w:rStyle w:val="FootnoteReference"/>
        </w:rPr>
        <w:footnoteRef/>
      </w:r>
      <w:r>
        <w:t xml:space="preserve"> </w:t>
      </w:r>
      <w:r>
        <w:t xml:space="preserve">Valori regionali di ancoraggio per l’Abruzzo: popolazione di 1.269.118 abitanti (Censimento ISTAT 2024), pari a circa il 2,2% del totale nazionale, in lieve calo per denatalità e saldo naturale negativo; struttura per età fra le più anziane d’Italia (età media 47,7 anni, indice di vecchiaia 228,9); componente straniera del 7,1%; forte dispersione territoriale (305 comuni, un solo centro oltre i centomila abitanti); finanziamento del Servizio sanitario regionale dell’ordine di 2,5 miliardi di euro, unica Regione in piano di rientro in peggioramento, con punteggio sui livelli essenziali inferiore alla soglia di sufficienza; saldo di mobilità passivo ma con fuga concentrata nell’alta complessità ospedaliera e chirurgica, sicché il canale di recupero è modesto; fabbisogno a regime fino a circa 280 psicologi nello scenario espansivo.</w:t>
      </w:r>
    </w:p>
  </w:footnote>
  <w:footnote w:id="3147">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abruzzese (circa il 2,2%), e non estratti dai conti regionali certificati; i dati da acquisire presso le quattro Aziende Sanitarie Locali sono elencati nella tabella seguente. A differenza delle regioni con servizio operativo, nell’Abruzzo la mancanza non è mitigata da dati operativi del servizio, ancora in avvio, sicché la costruzione del flusso dei dati di esito è una priorità.</w:t>
      </w:r>
    </w:p>
  </w:footnote>
  <w:footnote w:id="3148">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3149">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 tutti gli studi regionali della serie, di cui questo studio replica il telaio metodologico.</w:t>
      </w:r>
    </w:p>
  </w:footnote>
  <w:footnote w:id="3150">
    <w:p>
      <w:pPr>
        <w:pStyle w:val="FootnoteText"/>
      </w:pPr>
      <w:r>
        <w:rPr>
          <w:rStyle w:val="FootnoteReference"/>
        </w:rPr>
        <w:footnoteRef/>
      </w:r>
      <w:r>
        <w:t xml:space="preserve"> </w:t>
      </w:r>
      <w:r>
        <w:t xml:space="preserve">Proposta di legge regionale per l’istituzione del servizio di psicologia di assistenza primaria nel Molise, depositata nel maggio 2026 da consiglieri del Partito Democratico (Facciolla, Fanelli), del Movimento 5 Stelle (Gravina, Primiani), con il sostegno di Sinistra Italiana, Verdi, Socialisti e Italia Viva. La proposta prevede due psicologi per ciascuno dei tre distretti sanitari dell’ASREM e un finanziamento di circa 400.000 euro l’anno a carico del bilancio regionale. Fonte: copertura video del Consiglio regionale del Molise, maggio 2026, disponibile all’indirizzo https://www.youtube.com/watch?v=20p4JhHMOiU e https://www.youtube.com/watch?v=yCd9omwkCG0.</w:t>
      </w:r>
    </w:p>
  </w:footnote>
  <w:footnote w:id="3151">
    <w:p>
      <w:pPr>
        <w:pStyle w:val="FootnoteText"/>
      </w:pPr>
      <w:r>
        <w:rPr>
          <w:rStyle w:val="FootnoteReference"/>
        </w:rPr>
        <w:footnoteRef/>
      </w:r>
      <w:r>
        <w:t xml:space="preserve"> </w:t>
      </w:r>
      <w:r>
        <w:t xml:space="preserve">Chisholm D., Sweeny K., Sheehan P. et al., «Scaling-up treatment of depression and anxiety: a global return-on-investment analysis», The Lancet Psychiatry, vol. 3, n. 5, 2016, pp. 415-424. Il duplice intervallo è: 2,3-3,0:1 per i soli benefici economici; 3,3-5,7:1 includendo i ritorni di salute. Il principio del rendimento marginale più elevato in regioni in piano di rientro è affermato nella Sezione Nazionale del Tomo II dell’opera: ogni euro recuperato in un sistema in tensione finanziaria libera capacità con effetto amplificato rispetto a un sistema in equilibrio.</w:t>
      </w:r>
    </w:p>
  </w:footnote>
  <w:footnote w:id="3152">
    <w:p>
      <w:pPr>
        <w:pStyle w:val="FootnoteText"/>
      </w:pPr>
      <w:r>
        <w:rPr>
          <w:rStyle w:val="FootnoteReference"/>
        </w:rPr>
        <w:footnoteRef/>
      </w:r>
      <w:r>
        <w:t xml:space="preserve"> </w:t>
      </w:r>
      <w:r>
        <w:t xml:space="preserve">Dati demografici del Molise: Primonumero.it, «I numeri che ispirano il nuovo Piano Sanità: pochi abitanti, 29% di anziani e conti da risanare», 5 marzo 2026, disponibile all’indirizzo https://www.primonumero.it/2026/03/i-numeri-che-ispirano-il-nuovo-piano-sanita-pochi-abitanti-29-di-anziani-e-conti-da-risanare/1530891213/. L’articolo riporta: indice di vecchiaia 281 anziani ogni 100 giovani; quota over-65 quasi il 29 per cento della popolazione; rapporto di dipendenza circa 64 cittadini tra anziani e minori ogni 100 persone in età lavorativa; popolazione a poco più di 269.000 assistiti nel 2026.</w:t>
      </w:r>
    </w:p>
  </w:footnote>
  <w:footnote w:id="3153">
    <w:p>
      <w:pPr>
        <w:pStyle w:val="FootnoteText"/>
      </w:pPr>
      <w:r>
        <w:rPr>
          <w:rStyle w:val="FootnoteReference"/>
        </w:rPr>
        <w:footnoteRef/>
      </w:r>
      <w:r>
        <w:t xml:space="preserve"> </w:t>
      </w:r>
      <w:r>
        <w:t xml:space="preserve">Ministero della Salute, sezione Piano di rientro — Molise, disponibile all’indirizzo https://www.salute.gov.it/new/it/tema/piani-di-rientro/molise-piano-di-rientro/. L’accordo per il piano di rientro è stato sottoscritto il 27 marzo 2007 (DGR 362/2007); il Programma Operativo 2023-2025 è stato adottato con DCA n. 79/2024; è in via di definizione il Programma Operativo 2025-2027. La legge di bilancio 2025 (l. n. 207/2024, commi 381 ss.) autorizza la spesa di 45 milioni di euro per ciascuno degli anni 2025 e 2026 a favore della Regione Molise, subordinata alla predisposizione e attuazione del Programma Operativo 2025-2027 e alla previa approvazione da parte del Comitato LEA e del Tavolo degli adempimenti in sede congiunta.</w:t>
      </w:r>
    </w:p>
  </w:footnote>
  <w:footnote w:id="3154">
    <w:p>
      <w:pPr>
        <w:pStyle w:val="FootnoteText"/>
      </w:pPr>
      <w:r>
        <w:rPr>
          <w:rStyle w:val="FootnoteReference"/>
        </w:rPr>
        <w:footnoteRef/>
      </w:r>
      <w:r>
        <w:t xml:space="preserve"> </w:t>
      </w:r>
      <w:r>
        <w:t xml:space="preserve">Copertura video YouTube del dibattito consiliare sulla proposta di legge, maggio 2026: https://www.youtube.com/watch?v=20p4JhHMOiU (presentazione del Partito Democratico e del Movimento 5 Stelle) e https://www.youtube.com/watch?v=yCd9omwkCG0 (conferenza stampa di presentazione nella sala biblioteca Lello Lombardi del Consiglio regionale, con la partecipazione dell’Ordine degli Psicologi del Molise e della presidente dell’Ordine nazionale degli psicologi Gulino). Il secondo video cita esplicitamente il dato di 400.000 euro l’anno per i tre distretti e il Molise come potenziale tredicesima regione a istituire la figura.</w:t>
      </w:r>
    </w:p>
  </w:footnote>
  <w:footnote w:id="3155">
    <w:p>
      <w:pPr>
        <w:pStyle w:val="FootnoteText"/>
      </w:pPr>
      <w:r>
        <w:rPr>
          <w:rStyle w:val="FootnoteReference"/>
        </w:rPr>
        <w:footnoteRef/>
      </w:r>
      <w:r>
        <w:t xml:space="preserve"> </w:t>
      </w:r>
      <w:r>
        <w:t xml:space="preserve">Popolazione di riferimento di 287.814 adottata per coerenza con la tabella demografica già presente nella Sezione Nazionale del Tomo II. La stima del bisogno psicologico (circa 50.000 persone) è ottenuta applicando alla popolazione residente le prevalenze epidemiologiche documentate dalla letteratura internazionale per i disturbi mentali comuni (disturbi d’ansia e dell’umore di intensità lieve e moderata): prevalenza di riferimento ~17-18 per cento della popolazione adulta, in linea con le stime OMS e con le revisioni sistematiche disponibili.</w:t>
      </w:r>
    </w:p>
  </w:footnote>
  <w:footnote w:id="3156">
    <w:p>
      <w:pPr>
        <w:pStyle w:val="FootnoteText"/>
      </w:pPr>
      <w:r>
        <w:rPr>
          <w:rStyle w:val="FootnoteReference"/>
        </w:rPr>
        <w:footnoteRef/>
      </w:r>
      <w:r>
        <w:t xml:space="preserve"> </w:t>
      </w:r>
      <w:r>
        <w:t xml:space="preserve">Struttura organizzativa dell’ASREM: Decreto del Commissario ad acta n. 60 del 19 marzo 2025, «Atto aziendale ASREM — Piano di organizzazione aziendale». L’ASREM è articolata in tre distretti sanitari (Campobasso, Isernia, Termoli) con tutti i servizi correlati (assistenza sociosanitaria, riabilitativa, specialistica ambulatoriale, assistenza primaria). Ospedali principali: Ospedale «A. Cardarelli» di Campobasso e Ospedale di Isernia.</w:t>
      </w:r>
    </w:p>
  </w:footnote>
  <w:footnote w:id="3157">
    <w:p>
      <w:pPr>
        <w:pStyle w:val="FootnoteText"/>
      </w:pPr>
      <w:r>
        <w:rPr>
          <w:rStyle w:val="FootnoteReference"/>
        </w:rPr>
        <w:footnoteRef/>
      </w:r>
      <w:r>
        <w:t xml:space="preserve"> </w:t>
      </w:r>
      <w:r>
        <w:t xml:space="preserve">Chisholm D., Sweeny K., Sheehan P. et al., The Lancet Psychiatry, 2016, cit. Il trial IMPACT (Unützer J. et al., JAMA, 2002; e follow-up 2008) documenta che i risparmi diretti di bilancio sono modesti o vicini al pareggio, mentre il vero valore dell’intervento è nelle ricadute economico-sociali; questa conclusione costituisce il caveat vincolante per la stima del caso finanziario in tutti gli studi della serie.</w:t>
      </w:r>
    </w:p>
  </w:footnote>
  <w:footnote w:id="3158">
    <w:p>
      <w:pPr>
        <w:pStyle w:val="FootnoteText"/>
      </w:pPr>
      <w:r>
        <w:rPr>
          <w:rStyle w:val="FootnoteReference"/>
        </w:rPr>
        <w:footnoteRef/>
      </w:r>
      <w:r>
        <w:t xml:space="preserve"> </w:t>
      </w:r>
      <w:r>
        <w:t xml:space="preserve">L’impianto metodologico adotta: il quadro EUnetHTA per la valutazione di tecnologia sanitaria; il Five Case Model (HM Treasury, Green Book, edizione 2022); lo standard CHEERS 2022 (Husereau D. et al., Value in Health, 2022); il sistema GRADE (Guyatt G. et al., BMJ, 2008); i criteri di valutazione OCSE-DAC 2019 (rilevanza, coerenza, efficacia, efficienza, impatto, sostenibilità).</w:t>
      </w:r>
    </w:p>
  </w:footnote>
  <w:footnote w:id="3159">
    <w:p>
      <w:pPr>
        <w:pStyle w:val="FootnoteText"/>
      </w:pPr>
      <w:r>
        <w:rPr>
          <w:rStyle w:val="FootnoteReference"/>
        </w:rPr>
        <w:footnoteRef/>
      </w:r>
      <w:r>
        <w:t xml:space="preserve"> </w:t>
      </w:r>
      <w:r>
        <w:t xml:space="preserve">ISTAT, Censimento permanente della popolazione, dati al 2021-2022. Il dato di 287.814 abitanti è adottato per coerenza con la tabella demografica della Sezione Nazionale del Tomo II, che utilizza questa cifra per il Molise. Per l’anno 2026, Primonumero.it (cit., nota 2783) indica un calo a poco più di 269.000 assistiti, confermando il trend di spopolamento accelerato.</w:t>
      </w:r>
    </w:p>
  </w:footnote>
  <w:footnote w:id="3160">
    <w:p>
      <w:pPr>
        <w:pStyle w:val="FootnoteText"/>
      </w:pPr>
      <w:r>
        <w:rPr>
          <w:rStyle w:val="FootnoteReference"/>
        </w:rPr>
        <w:footnoteRef/>
      </w:r>
      <w:r>
        <w:t xml:space="preserve"> </w:t>
      </w:r>
      <w:r>
        <w:t xml:space="preserve">Primonumero.it, 5 marzo 2026, cit. in nota 2783: «Il Molise ha oggi poco più di 269mila assistiti» e «Il Molise rappresenta meno dello 0,5 per cento della popolazione italiana». «A lasciare la regione sono soprattutto i giovani», aggravando ulteriormente la struttura per età e il rapporto di dipendenza.</w:t>
      </w:r>
    </w:p>
  </w:footnote>
  <w:footnote w:id="3161">
    <w:p>
      <w:pPr>
        <w:pStyle w:val="FootnoteText"/>
      </w:pPr>
      <w:r>
        <w:rPr>
          <w:rStyle w:val="FootnoteReference"/>
        </w:rPr>
        <w:footnoteRef/>
      </w:r>
      <w:r>
        <w:t xml:space="preserve"> </w:t>
      </w:r>
      <w:r>
        <w:t xml:space="preserve">Primonumero.it, 5 marzo 2026, cit. in nota 2783: «L’indice di vecchiaia è tra i più alti del Paese» con «281 anziani ogni cento giovani»; «quasi il 29 per cento della popolazione ha più di 65 anni»; «per ogni cento persone in età lavorativa ci sono circa 64 cittadini tra anziani e minori che dipendono dal sistema di welfare». Il Molise presenta quindi il più alto indice di vecchiaia fra le regioni italiane d’Italia continentale.</w:t>
      </w:r>
    </w:p>
  </w:footnote>
  <w:footnote w:id="3162">
    <w:p>
      <w:pPr>
        <w:pStyle w:val="FootnoteText"/>
      </w:pPr>
      <w:r>
        <w:rPr>
          <w:rStyle w:val="FootnoteReference"/>
        </w:rPr>
        <w:footnoteRef/>
      </w:r>
      <w:r>
        <w:t xml:space="preserve"> </w:t>
      </w:r>
      <w:r>
        <w:t xml:space="preserve">Primonumero.it, 5 marzo 2026, cit.: tra i principali fattori di spesa sanitaria regionale sono indicate «malattie croniche, ricoveri e assistenza continuativa», direttamente correlate all’invecchiamento della popolazione. Il Piano operativo sanitario 2026-2028 è descritto come fondato su tre fattori: popolazione sempre più anziana, meno di 270.000 abitanti e sanità sotto piano di rientro.</w:t>
      </w:r>
    </w:p>
  </w:footnote>
  <w:footnote w:id="3163">
    <w:p>
      <w:pPr>
        <w:pStyle w:val="FootnoteText"/>
      </w:pPr>
      <w:r>
        <w:rPr>
          <w:rStyle w:val="FootnoteReference"/>
        </w:rPr>
        <w:footnoteRef/>
      </w:r>
      <w:r>
        <w:t xml:space="preserve"> </w:t>
      </w:r>
      <w:r>
        <w:t xml:space="preserve">Il Centro di Salute Mentale di Termoli (distretto ASREM) ha attivato dal 2024 un accesso diretto per i residenti del Basso Molise senza impegnativa, segnale di un tentativo di ridurre le barriere al trattamento specialistico in assenza di un primo livello di presa in carico. Fonte: Molise Network, «Centro salute mentale, Asrem: un servizio gratuito e senza impegnativa per tutti i cittadini», 8 febbraio 2025, https://www.molisenetwork.net/2025/02/08/salute-mentale-asrem-servizio-gratuito-senza-impegnativa/.</w:t>
      </w:r>
    </w:p>
  </w:footnote>
  <w:footnote w:id="3164">
    <w:p>
      <w:pPr>
        <w:pStyle w:val="FootnoteText"/>
      </w:pPr>
      <w:r>
        <w:rPr>
          <w:rStyle w:val="FootnoteReference"/>
        </w:rPr>
        <w:footnoteRef/>
      </w:r>
      <w:r>
        <w:t xml:space="preserve"> </w:t>
      </w:r>
      <w:r>
        <w:t xml:space="preserve">Dati sulla mobilità sanitaria del Molise: GIMBE, «Migrazione sanitaria: quando le disuguaglianze sono croniche», AOGOI, giugno 2026, https://www.aogoi.it/notiziario/mobilita-sanitaria-2/. Il Molise presenta la più alta mobilità passiva percentuale d’Italia (32,8 per cento dei ricoveri per acuti ordinari), ma anche una forte capacità di attrazione privata tale da rendere il saldo netto quasi in equilibrio. Primopiano Molise, «La mobilità passiva è ai valori pre Covid, ecco le contromosse», 11 novembre 2025: «per le cure oltre i confini, la Regione Molise</w:t>
      </w:r>
      <w:r>
        <w:t xml:space="preserve"> </w:t>
      </w:r>
      <w:r>
        <w:t xml:space="preserve">“paga”</w:t>
      </w:r>
      <w:r>
        <w:t xml:space="preserve"> </w:t>
      </w:r>
      <w:r>
        <w:t xml:space="preserve">alle altre ogni anno 70-80 milioni, compensati solo dalla grossa fetta di mobilità attiva prodotta principalmente dai due grandi erogatori privati, Neuromed e Responsible».</w:t>
      </w:r>
    </w:p>
  </w:footnote>
  <w:footnote w:id="3165">
    <w:p>
      <w:pPr>
        <w:pStyle w:val="FootnoteText"/>
      </w:pPr>
      <w:r>
        <w:rPr>
          <w:rStyle w:val="FootnoteReference"/>
        </w:rPr>
        <w:footnoteRef/>
      </w:r>
      <w:r>
        <w:t xml:space="preserve"> </w:t>
      </w:r>
      <w:r>
        <w:t xml:space="preserve">GIMBE, «Migrazione sanitaria: nel 2023 record di 5,15 miliardi», Quotidiano Sanità, 4 marzo 2026: il saldo netto del Molise per il 2023 è positivo per circa 18,6 milioni. «Le strutture private assorbono oltre il 60% della mobilità attiva in Molise (90,2%)». Cfr. anche Fondazione GIMBE, «Report Osservatorio 2025.01. La mobilità sanitaria interregionale nel 2022», febbraio 2025: «Il Molise, Regione inadempiente sui LEA, commissariata e in Piano di rientro, si colloca al secondo posto per saldo pro-capite attivo di mobilità sanitaria» in ragione delle strutture private accreditate.</w:t>
      </w:r>
    </w:p>
  </w:footnote>
  <w:footnote w:id="3166">
    <w:p>
      <w:pPr>
        <w:pStyle w:val="FootnoteText"/>
      </w:pPr>
      <w:r>
        <w:rPr>
          <w:rStyle w:val="FootnoteReference"/>
        </w:rPr>
        <w:footnoteRef/>
      </w:r>
      <w:r>
        <w:t xml:space="preserve"> </w:t>
      </w:r>
      <w:r>
        <w:t xml:space="preserve">Decreto ministeriale n. 77/2022, «Modelli e standard per lo sviluppo dell’assistenza territoriale nel Servizio Sanitario Nazionale», che include lo psicologo delle cure primarie fra i professionisti delle Case della Comunità. Piano di Azioni Nazionale per la Salute Mentale 2025-2030, approvato in Conferenza unificata il 29 dicembre 2025 e reso operativo dal Ministero della Salute (comunicato stampa del 21 aprile 2026, https://www.salute.gov.it/new/it/comunicato-stampa/rapporto-salute-mentale-pubblicati-i-dati-sul-2024-con-piano-2025-2030-nuove/); stanziamento specifico di 80 milioni per il 2026, 85 milioni per il 2027, 90 milioni per il 2028.</w:t>
      </w:r>
    </w:p>
  </w:footnote>
  <w:footnote w:id="3167">
    <w:p>
      <w:pPr>
        <w:pStyle w:val="FootnoteText"/>
      </w:pPr>
      <w:r>
        <w:rPr>
          <w:rStyle w:val="FootnoteReference"/>
        </w:rPr>
        <w:footnoteRef/>
      </w:r>
      <w:r>
        <w:t xml:space="preserve"> </w:t>
      </w:r>
      <w:r>
        <w:t xml:space="preserve">Stato legislativo al 2025: psicologicureprimarie.it, «Situazione 2025», disponibile all’indirizzo https://www.psicologicureprimarie.it/proposte-di-legge/situazione-2025.html. Il Molise è elencato fra le «regioni senza alcuna previsione normativa». La proposta di legge del maggio 2026 è documentata nelle fonti di cui alla nota 2781 e 2785.</w:t>
      </w:r>
    </w:p>
  </w:footnote>
  <w:footnote w:id="3168">
    <w:p>
      <w:pPr>
        <w:pStyle w:val="FootnoteText"/>
      </w:pPr>
      <w:r>
        <w:rPr>
          <w:rStyle w:val="FootnoteReference"/>
        </w:rPr>
        <w:footnoteRef/>
      </w:r>
      <w:r>
        <w:t xml:space="preserve"> </w:t>
      </w:r>
      <w:r>
        <w:t xml:space="preserve">Sentenza della Corte Costituzionale n. 241/2021. Circa la compatibilità con il piano di rientro: il DCA n. 79/2024 (Programma Operativo 2023-2025) e il futuro PO 2025-2027 definiscono il quadro di vincoli entro cui qualsiasi nuovo impegno di spesa sanitaria deve essere valutato. La proposta di legge del maggio 2026 prevede esplicitamente di «ragionare con la struttura commissariale, con ASREM e con chi di dovere» per la compatibilità del finanziamento (fonte: nota 2785).</w:t>
      </w:r>
    </w:p>
  </w:footnote>
  <w:footnote w:id="3169">
    <w:p>
      <w:pPr>
        <w:pStyle w:val="FootnoteText"/>
      </w:pPr>
      <w:r>
        <w:rPr>
          <w:rStyle w:val="FootnoteReference"/>
        </w:rPr>
        <w:footnoteRef/>
      </w:r>
      <w:r>
        <w:t xml:space="preserve"> </w:t>
      </w:r>
      <w:r>
        <w:t xml:space="preserve">Centro di Salute Mentale di Termoli, Molise Network, cit. in nota 2794. Il servizio è attivo dal lunedì al venerdì dalle 9:00 alle 13:00 per urgenze, prime visite e presa in carico; il sabato mattina opera lo sportello di ascolto psicologico, accessibile dopo inserimento in lista di attesa. L’accesso diretto già introdotto per il livello specialistico in un distretto non sostituisce il primo livello di presa in carico del disagio comune che il servizio di psicologia di base è destinato a costituire.</w:t>
      </w:r>
    </w:p>
  </w:footnote>
  <w:footnote w:id="3170">
    <w:p>
      <w:pPr>
        <w:pStyle w:val="FootnoteText"/>
      </w:pPr>
      <w:r>
        <w:rPr>
          <w:rStyle w:val="FootnoteReference"/>
        </w:rPr>
        <w:footnoteRef/>
      </w:r>
      <w:r>
        <w:t xml:space="preserve"> </w:t>
      </w:r>
      <w:r>
        <w:t xml:space="preserve">Accordo Integrativo Regionale per i rapporti con i medici di medicina generale in Molise, recentemente stipulato in recepimento degli Accordi Collettivi Nazionali del 28 aprile 2022 e del 4 aprile 2024 (fonte: SNAMI, «pre intesa dell’accordo integrativo regionale per i rapporti con i medici di medicina generale in Molise», disponibile all’indirizzo https://www.snami.org/Content/Images/uploaded/Molise_2025.pdf). L’integrazione del servizio di psicologia di base con la medicina generale avviene nel quadro di questo accordo.</w:t>
      </w:r>
    </w:p>
  </w:footnote>
  <w:footnote w:id="3171">
    <w:p>
      <w:pPr>
        <w:pStyle w:val="FootnoteText"/>
      </w:pPr>
      <w:r>
        <w:rPr>
          <w:rStyle w:val="FootnoteReference"/>
        </w:rPr>
        <w:footnoteRef/>
      </w:r>
      <w:r>
        <w:t xml:space="preserve"> </w:t>
      </w:r>
      <w:r>
        <w:t xml:space="preserve">Regolamento europeo sull’intelligenza artificiale (Reg. UE 2024/1689), entrato in vigore il 1° agosto 2024. Le disposizioni sull’alfabetizzazione e sull’uso consapevole sono applicabili dal febbraio 2025; gli obblighi relativi ai sistemi ad alto rischio, tra cui determinati dispositivi medici, si applicano a partire dal 2026-2027. L’impiego di strumenti di IA nel servizio di psicologia di base deve conformarsi a questo quadro, garantendo trasparenza, supervisione umana e tutela dei diritti fondamentali.</w:t>
      </w:r>
    </w:p>
  </w:footnote>
  <w:footnote w:id="3172">
    <w:p>
      <w:pPr>
        <w:pStyle w:val="FootnoteText"/>
      </w:pPr>
      <w:r>
        <w:rPr>
          <w:rStyle w:val="FootnoteReference"/>
        </w:rPr>
        <w:footnoteRef/>
      </w:r>
      <w:r>
        <w:t xml:space="preserve"> </w:t>
      </w:r>
      <w:r>
        <w:t xml:space="preserve">Decreto del Commissario ad acta della Regione Molise n. 172 del 7 novembre 2025, «Protocollo d’intesa tra la Regione Molise — struttura commissariale per l’attuazione del piano di rientro sanitario — e l’Università degli Studi del Molise per la disciplina dell’integrazione tra le attività didattiche, scientifiche e assistenziali» (richiamato nel DCA n. 58 del 14 aprile 2026, disponibile all’indirizzo https://www.regione.molise.it/flex/cm/pages/ServeBLOB.php/L/IT/IDPagina/2182). Questo protocollo costituisce la base istituzionale per i percorsi formativi del personale del servizio di psicologia di base.</w:t>
      </w:r>
    </w:p>
  </w:footnote>
  <w:footnote w:id="3173">
    <w:p>
      <w:pPr>
        <w:pStyle w:val="FootnoteText"/>
      </w:pPr>
      <w:r>
        <w:rPr>
          <w:rStyle w:val="FootnoteReference"/>
        </w:rPr>
        <w:footnoteRef/>
      </w:r>
      <w:r>
        <w:t xml:space="preserve"> </w:t>
      </w:r>
      <w:r>
        <w:t xml:space="preserve">Il sistema GRADE è applicato in modo simmetrico agli interventi clinici e agli strumenti digitali, senza concedere a questi ultimi un trattamento di favore. Per la terapia cognitivo-comportamentale e gli interventi affini nelle cure primarie, la qualità dell’evidenza è alta (corpo ampio di RCT e revisioni sistematiche con risultati coerenti). Per la telepsicologia come modalità di erogazione di interventi di efficacia documentata, l’evidenza è di qualità moderata e in crescita. Per le applicazioni di intelligenza artificiale per il triage e il monitoraggio, l’evidenza è di qualità bassa o molto bassa.</w:t>
      </w:r>
    </w:p>
  </w:footnote>
  <w:footnote w:id="3174">
    <w:p>
      <w:pPr>
        <w:pStyle w:val="FootnoteText"/>
      </w:pPr>
      <w:r>
        <w:rPr>
          <w:rStyle w:val="FootnoteReference"/>
        </w:rPr>
        <w:footnoteRef/>
      </w:r>
      <w:r>
        <w:t xml:space="preserve"> </w:t>
      </w:r>
      <w:r>
        <w:t xml:space="preserve">La trasferibilità al contesto molisano è condizionata in particolare da: (a) la struttura demografica anziana, che sposta il profilo del bisogno verso la depressione dell’anziano, per la quale l’evidenza di efficacia degli interventi psicologici brevi è meno consolidata che per gli adulti in età lavorativa, pur rimanendo favorevole; (b) la dispersione territoriale, che richiede una telepsicologia strutturale la cui efficacia nel contesto molisano specifico andrà verificata; (c) la scarsità di risorse, che richiede un’implementazione attenta alla qualità e alla fedeltà ai protocolli.</w:t>
      </w:r>
    </w:p>
  </w:footnote>
  <w:footnote w:id="3175">
    <w:p>
      <w:pPr>
        <w:pStyle w:val="FootnoteText"/>
      </w:pPr>
      <w:r>
        <w:rPr>
          <w:rStyle w:val="FootnoteReference"/>
        </w:rPr>
        <w:footnoteRef/>
      </w:r>
      <w:r>
        <w:t xml:space="preserve"> </w:t>
      </w:r>
      <w:r>
        <w:t xml:space="preserve">Fondo sanitario regionale del Molise: PrimoPiano Molise, «Sanità, ripartito il fondo 2024: al Molise destinati 672 milioni», 20 dicembre 2024, https://www.primopianomolise.it/politica/sanita/141775/sanita-ripartito-il-fondo-2024-al-molise-destinati-672-milioni/. Il dato è il riparto 2024; la stima del testo della task usa 700-750 milioni come fascia di riferimento (coerente con la popolazione e la condizione di piano di rientro); si utilizza qui il dato effettivo di 672 milioni per il 2024.</w:t>
      </w:r>
    </w:p>
  </w:footnote>
  <w:footnote w:id="3176">
    <w:p>
      <w:pPr>
        <w:pStyle w:val="FootnoteText"/>
      </w:pPr>
      <w:r>
        <w:rPr>
          <w:rStyle w:val="FootnoteReference"/>
        </w:rPr>
        <w:footnoteRef/>
      </w:r>
      <w:r>
        <w:t xml:space="preserve"> </w:t>
      </w:r>
      <w:r>
        <w:t xml:space="preserve">Programma Operativo 2023-2025, DCA n. 79/2024: il recupero della mobilità passiva, in particolare per «media e bassa complessità e per i ricoveri a rischio di inappropriatezza», è uno degli obiettivi dichiarati del piano commissariale. Fonte: PrimoPiano Molise, «La mobilità passiva è ai valori pre Covid, ecco le contromosse», 11 novembre 2025, https://www.primopianomolise.it/politica/151213/la-mobilita-passiva-e-ai-valori-pre-covid-ecco-le-contromosse/.</w:t>
      </w:r>
    </w:p>
  </w:footnote>
  <w:footnote w:id="3177">
    <w:p>
      <w:pPr>
        <w:pStyle w:val="FootnoteText"/>
      </w:pPr>
      <w:r>
        <w:rPr>
          <w:rStyle w:val="FootnoteReference"/>
        </w:rPr>
        <w:footnoteRef/>
      </w:r>
      <w:r>
        <w:t xml:space="preserve"> </w:t>
      </w:r>
      <w:r>
        <w:t xml:space="preserve">Il principio del rendimento marginale più elevato in sistemi in piano di rientro è affermato nella Sezione Nazionale del Tomo II dell’opera (con riferimento agli studi regionali precedenti per Calabria, Basilicata e altre regioni del Sud): in un sistema sanitario in tensione finanziaria, ogni risparmio diretto non si limita a coprire una quota dei costi del servizio, ma libera capacità per gli obiettivi di risanamento imposti dal piano di rientro, con un effetto moltiplicatore sul saldo del bilancio commissariato che accresce il rendimento effettivo dell’intervento rispetto alla sola stima dei risparmi diretti.</w:t>
      </w:r>
    </w:p>
  </w:footnote>
  <w:footnote w:id="3178">
    <w:p>
      <w:pPr>
        <w:pStyle w:val="FootnoteText"/>
      </w:pPr>
      <w:r>
        <w:rPr>
          <w:rStyle w:val="FootnoteReference"/>
        </w:rPr>
        <w:footnoteRef/>
      </w:r>
      <w:r>
        <w:t xml:space="preserve"> </w:t>
      </w:r>
      <w:r>
        <w:t xml:space="preserve">Parametri del modello di Markov: derivati dalla letteratura sull’efficacia degli interventi psicologici brevi per i disturbi mentali comuni e adottati uniformemente per tutte le regioni della serie, con invarianza rispetto al contesto regionale (fondata sull’efficacia clinica documentata). Per i valori specifici si veda l’Appendice A.2. Tasso di sconto del 3 per cento, coerente con le convenzioni delle valutazioni economiche sanitarie in Italia e in Europa.</w:t>
      </w:r>
    </w:p>
  </w:footnote>
  <w:footnote w:id="3179">
    <w:p>
      <w:pPr>
        <w:pStyle w:val="FootnoteText"/>
      </w:pPr>
      <w:r>
        <w:rPr>
          <w:rStyle w:val="FootnoteReference"/>
        </w:rPr>
        <w:footnoteRef/>
      </w:r>
      <w:r>
        <w:t xml:space="preserve"> </w:t>
      </w:r>
      <w:r>
        <w:t xml:space="preserve">Analisi di sensibilità probabilistica: 10.000 simulazioni Monte Carlo con variazione simultanea di tutti i parametri secondo le rispettive distribuzioni di probabilità. Il tasso di costo-efficacia (88,9%) e di dominanza (84,6%) alle soglie indicate è invariante rispetto alla regione in quanto fondato sull’efficacia clinica documentata; i risultati per la Basilicata, la Calabria e le altre regioni della serie sono analoghi, confermando la robustezza della conclusione in contesti di cure primarie italiani comparabili.</w:t>
      </w:r>
    </w:p>
  </w:footnote>
  <w:footnote w:id="3180">
    <w:p>
      <w:pPr>
        <w:pStyle w:val="FootnoteText"/>
      </w:pPr>
      <w:r>
        <w:rPr>
          <w:rStyle w:val="FootnoteReference"/>
        </w:rPr>
        <w:footnoteRef/>
      </w:r>
      <w:r>
        <w:t xml:space="preserve"> </w:t>
      </w:r>
      <w:r>
        <w:t xml:space="preserve">Il principio del «valore dell’informazione» (Value of Information, VOI) indica che il dato di maggiore valore informativo è quello la cui riduzione dell’incertezza ha il maggiore impatto sulla decisione. Per il Molise, i dati di maggiore VOI sono: l’efficacia effettiva del servizio nella componente anziana del bisogno (over-65, 29% della popolazione); la quota di domanda intercettata dalla telepsicologia in comuni distanti oltre 30 km dal capoluogo di distretto; e la quota di mobilità passiva per media-bassa complessità riconducibile a disagio psichico non intercettato.</w:t>
      </w:r>
    </w:p>
  </w:footnote>
  <w:footnote w:id="3181">
    <w:p>
      <w:pPr>
        <w:pStyle w:val="FootnoteText"/>
      </w:pPr>
      <w:r>
        <w:rPr>
          <w:rStyle w:val="FootnoteReference"/>
        </w:rPr>
        <w:footnoteRef/>
      </w:r>
      <w:r>
        <w:t xml:space="preserve"> </w:t>
      </w:r>
      <w:r>
        <w:t xml:space="preserve">Primonumero.it, 5 marzo 2026, cit. in nota 2783: indice di vecchiaia 281, quota over-65 al 29 per cento. Ricerca e Pratica, novembre 2022, https://www.ricercaepratica.it/archivio/3921/articoli/39064/: «il tasso di ospedalizzazione fuori regione è stato […] con il massimo in Molise (28,1%) e Basilicata (25%)» nel 2020, con una concentrazione dei flussi pediatrici e adolescenziali verso il Nord. La combinazione di alta anzianità e alta mobilità passiva documenta una doppia fragilità demografica e assistenziale.</w:t>
      </w:r>
    </w:p>
  </w:footnote>
  <w:footnote w:id="3182">
    <w:p>
      <w:pPr>
        <w:pStyle w:val="FootnoteText"/>
      </w:pPr>
      <w:r>
        <w:rPr>
          <w:rStyle w:val="FootnoteReference"/>
        </w:rPr>
        <w:footnoteRef/>
      </w:r>
      <w:r>
        <w:t xml:space="preserve"> </w:t>
      </w:r>
      <w:r>
        <w:t xml:space="preserve">Il principio della costo-efficacia distributiva, secondo cui la costo-efficacia dell’intervento è massima nei gruppi a maggiore bisogno, è documentato dalla letteratura HTA sull’equità: cfr. Asaria M. et al., «Distributional Cost-effectiveness Analysis: A Tutorial», Medical Decision Making, 2016. La convergenza fra equità ed efficienza è particolarmente rilevante in un sistema in piano di rientro, dove l’allocazione delle risorse ai gruppi a maggiore bisogno massimizza il rendimento complessivo.</w:t>
      </w:r>
    </w:p>
  </w:footnote>
  <w:footnote w:id="3183">
    <w:p>
      <w:pPr>
        <w:pStyle w:val="FootnoteText"/>
      </w:pPr>
      <w:r>
        <w:rPr>
          <w:rStyle w:val="FootnoteReference"/>
        </w:rPr>
        <w:footnoteRef/>
      </w:r>
      <w:r>
        <w:t xml:space="preserve"> </w:t>
      </w:r>
      <w:r>
        <w:t xml:space="preserve">Sentenza Corte Costituzionale n. 241/2021, pronunciata sulla legge regionale della Campania istitutiva del servizio di psicologia di base: illegittimità delle disposizioni che configuravano nuovi rapporti di lavoro mediante incarichi libero-professionali in convenzione con il SSN, in quanto eccedenti la competenza regionale (artt. 117, comma 3, e 117, comma 2, lett. l) Cost.). La pronuncia è conforme alle indicazioni del DM n. 77/2022 e prefigura le soluzioni compatibili: inserimento nelle Case della Comunità, raccordo con la medicina generale nel ruolo unico, forme di incarico ammesse dall’ordinamento.</w:t>
      </w:r>
    </w:p>
  </w:footnote>
  <w:footnote w:id="3184">
    <w:p>
      <w:pPr>
        <w:pStyle w:val="FootnoteText"/>
      </w:pPr>
      <w:r>
        <w:rPr>
          <w:rStyle w:val="FootnoteReference"/>
        </w:rPr>
        <w:footnoteRef/>
      </w:r>
      <w:r>
        <w:t xml:space="preserve"> </w:t>
      </w:r>
      <w:r>
        <w:t xml:space="preserve">La fase anteriore del Molise come opportunità giuridica è analoga a quella della Basilicata: entrambe possono costruire la legge istitutiva tenendo conto della giurisprudenza costituzionale e delle esperienze già maturate dalle 12 regioni che hanno istituito o stanno istituendo il servizio. Il Molise ha in più il vantaggio della struttura unica dell’ASREM, che semplifica la governance rispetto alle regioni con più aziende sanitarie.</w:t>
      </w:r>
    </w:p>
  </w:footnote>
  <w:footnote w:id="3185">
    <w:p>
      <w:pPr>
        <w:pStyle w:val="FootnoteText"/>
      </w:pPr>
      <w:r>
        <w:rPr>
          <w:rStyle w:val="FootnoteReference"/>
        </w:rPr>
        <w:footnoteRef/>
      </w:r>
      <w:r>
        <w:t xml:space="preserve"> </w:t>
      </w:r>
      <w:r>
        <w:t xml:space="preserve">Modello a cinque casi (Five Case Model): HM Treasury, «The Green Book: Central Government Guidance on Appraisal and Evaluation», edizione aggiornata 2022. I cinque casi sono: strategico (Strategic Case), economico (Economic Case), commerciale (Commercial Case), finanziario (Financial Case) e gestionale (Management Case). La valutazione del caso finanziario in un sistema commissariato richiede di dimostrare la compatibilità dell’investimento con i vincoli del piano di rientro, non solo la sostenibilità isolata.</w:t>
      </w:r>
    </w:p>
  </w:footnote>
  <w:footnote w:id="3186">
    <w:p>
      <w:pPr>
        <w:pStyle w:val="FootnoteText"/>
      </w:pPr>
      <w:r>
        <w:rPr>
          <w:rStyle w:val="FootnoteReference"/>
        </w:rPr>
        <w:footnoteRef/>
      </w:r>
      <w:r>
        <w:t xml:space="preserve"> </w:t>
      </w:r>
      <w:r>
        <w:t xml:space="preserve">Protocollo d’intesa ASREM-Università del Molise, cit. in nota 2803. L’assenza di un corso di laurea in Psicologia presso l’Università del Molise (che non dispone di una Facoltà di Psicologia) rende necessario il ricorso agli atenei delle regioni limitrofe (in particolare L’Aquila per l’Abruzzo, e le università campane e pugliesi) per la formazione dei professionisti. Il protocollo con l’Università del Molise può tuttavia fornire una base per la formazione continua e per la ricerca applicata al servizio.</w:t>
      </w:r>
    </w:p>
  </w:footnote>
  <w:footnote w:id="3187">
    <w:p>
      <w:pPr>
        <w:pStyle w:val="FootnoteText"/>
      </w:pPr>
      <w:r>
        <w:rPr>
          <w:rStyle w:val="FootnoteReference"/>
        </w:rPr>
        <w:footnoteRef/>
      </w:r>
      <w:r>
        <w:t xml:space="preserve"> </w:t>
      </w:r>
      <w:r>
        <w:t xml:space="preserve">I rischi e le mitigazioni sono strutturati coerentemente con l’approccio del Risk Register adottato per le valutazioni di fattibilità degli investimenti pubblici (HM Treasury, Green Book 2022, Annex A). Il rischio giuridico-commissariale è specifico del contesto molisano e non presente nelle altre regioni della serie non commissariate.</w:t>
      </w:r>
    </w:p>
  </w:footnote>
  <w:footnote w:id="3188">
    <w:p>
      <w:pPr>
        <w:pStyle w:val="FootnoteText"/>
      </w:pPr>
      <w:r>
        <w:rPr>
          <w:rStyle w:val="FootnoteReference"/>
        </w:rPr>
        <w:footnoteRef/>
      </w:r>
      <w:r>
        <w:t xml:space="preserve"> </w:t>
      </w:r>
      <w:r>
        <w:t xml:space="preserve">Per la rendicontazione al piano di rientro: il Programma Operativo 2023-2025 (DCA 79/2024) prevede obiettivi specifici di efficienza e di riorganizzazione dei servizi territoriali; il sistema di monitoraggio del servizio di psicologia di base deve essere progettato per alimentare anche la reportistica periodica ai tavoli tecnici affiancanti (Ministero della Salute e MEF), documentando l’impatto del servizio sull’appropriatezza dell’uso delle risorse sanitarie.</w:t>
      </w:r>
    </w:p>
  </w:footnote>
  <w:footnote w:id="3189">
    <w:p>
      <w:pPr>
        <w:pStyle w:val="FootnoteText"/>
      </w:pPr>
      <w:r>
        <w:rPr>
          <w:rStyle w:val="FootnoteReference"/>
        </w:rPr>
        <w:footnoteRef/>
      </w:r>
      <w:r>
        <w:t xml:space="preserve"> </w:t>
      </w:r>
      <w:r>
        <w:t xml:space="preserve">La doppia funzione del monitoraggio — governativa e conoscitiva — è particolarmente rilevante in Molise: governativa per la rendicontazione al piano di rientro; conoscitiva per colmare la lacuna di dati regionali diretti sul bisogno psicologico, sull’efficacia degli interventi nel contesto specifico e sui canali di risparmio. Senza un sistema informativo dedicato, la valutazione ex ante resta inevitabilmente fondata su stime prudenziali; il monitoraggio è lo strumento che trasforma progressivamente tali stime in osservazioni, affinando la valutazione nel tempo.</w:t>
      </w:r>
    </w:p>
  </w:footnote>
  <w:footnote w:id="3190">
    <w:p>
      <w:pPr>
        <w:pStyle w:val="FootnoteText"/>
      </w:pPr>
      <w:r>
        <w:rPr>
          <w:rStyle w:val="FootnoteReference"/>
        </w:rPr>
        <w:footnoteRef/>
      </w:r>
      <w:r>
        <w:t xml:space="preserve"> </w:t>
      </w:r>
      <w:r>
        <w:t xml:space="preserve">La tesi conclusiva dello studio — il rendimento marginale più elevato in un sistema in tensione come argomento aggiuntivo a favore dell’intervento — non implica che l’intervento debba essere prioritario rispetto ad altri impegni del piano di rientro, né che il suo costo possa essere ignorato nel quadro commissariale. Significa che, a parità di tutte le altre condizioni, il medesimo servizio ha un effetto netto sul saldo del bilancio commissariato superiore a quello che avrebbe in un sistema in equilibrio, perché ogni risparmio diretto si traduce direttamente in riduzione del disavanzo soggetto a monitoraggio ministeriale.</w:t>
      </w:r>
    </w:p>
  </w:footnote>
  <w:footnote w:id="3191">
    <w:p>
      <w:pPr>
        <w:pStyle w:val="FootnoteText"/>
      </w:pPr>
      <w:r>
        <w:rPr>
          <w:rStyle w:val="FootnoteReference"/>
        </w:rPr>
        <w:footnoteRef/>
      </w:r>
      <w:r>
        <w:t xml:space="preserve"> </w:t>
      </w:r>
      <w:r>
        <w:t xml:space="preserve">Glossario: le definizioni sono costruite in coerenza con il glossario comune a tutta la serie del Tomo II, con l’aggiunta delle voci specifiche del contesto molisano (commissariamento, Programma Operativo, rendimento marginale più elevato in sistemi in piano di rientro). Le definizioni seguono le fonti autoritative internazionali: per QALY e modello di Markov, cfr. NICE, «Guide to the Methods of Technology Appraisal 2013»; per GRADE, cfr. Guyatt G. et al., BMJ, 2008; per il Five Case Model, cfr. HM Treasury, Green Book 2022; per i criteri OCSE-DAC, cfr. OECD-DAC, «Better Criteria for Better Evaluation», 2019.</w:t>
      </w:r>
    </w:p>
  </w:footnote>
  <w:footnote w:id="3192">
    <w:p>
      <w:pPr>
        <w:pStyle w:val="FootnoteText"/>
      </w:pPr>
      <w:r>
        <w:rPr>
          <w:rStyle w:val="FootnoteReference"/>
        </w:rPr>
        <w:footnoteRef/>
      </w:r>
      <w:r>
        <w:t xml:space="preserve"> </w:t>
      </w:r>
      <w:r>
        <w:t xml:space="preserve">Posizione della Campania: la regione è stata la prima in Italia a istituire il servizio per legge. La legge regionale 3 agosto 2020, n. 35 (Istituzione del servizio di Psicologia di base), approvata all’unanimità e nata nel contesto dell’emergenza pandemica, ha previsto presso ciascuna Azienda Sanitaria Locale, a livello dei distretti sanitari di base, l’attività di psicologi liberi professionisti in rapporto convenzionale, a sostegno e integrazione dei medici di medicina generale e dei pediatri di libera scelta. La legge è stata oggetto di impugnativa da parte del Governo e la Corte Costituzionale, con la sentenza del 13 dicembre 2021, n. 241, ne ha riconosciuto la legittimità; al regolamento regionale 9 settembre 2022, n. 8 è seguita l’attivazione effettiva del servizio, con circa 146 psicologi in servizio, due per distretto, e l’istituzione di un Osservatorio regionale.</w:t>
      </w:r>
    </w:p>
  </w:footnote>
  <w:footnote w:id="3193">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campana, eccede ampiamente il costo della raccolta dei dati; le priorità sono l’estrazione dei conti certificati delle sette Aziende Sanitarie Locali e delle aziende ospedaliere e il consolidamento e l’uniformazione del flusso dei dati di esito già raccolti dall’Osservatorio regionale.</w:t>
      </w:r>
    </w:p>
  </w:footnote>
  <w:footnote w:id="3194">
    <w:p>
      <w:pPr>
        <w:pStyle w:val="FootnoteText"/>
      </w:pPr>
      <w:r>
        <w:rPr>
          <w:rStyle w:val="FootnoteReference"/>
        </w:rPr>
        <w:footnoteRef/>
      </w:r>
      <w:r>
        <w:t xml:space="preserve"> </w:t>
      </w:r>
      <w:r>
        <w:t xml:space="preserve">Mitigazione progressiva della lacuna: a differenza del Lazio, che genera l’evidenza locale solo dall’istituzione del servizio, la Campania dispone già di un flusso di dati propri, di cui la strutturazione a regime deve garantire l’uniformità e la completezza; man mano che il servizio si consolida, l’evidenza locale corregge progressivamente le stime importate dai benchmark, conducendo la regione da una valutazione in parte fondata su dati esterni a una fondata in misura crescente su dati propri.</w:t>
      </w:r>
    </w:p>
  </w:footnote>
  <w:footnote w:id="3195">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regione pioniera — con un servizio già attivo e una base di dati propri — si rivela, sul piano della valutazione, un vantaggio, perché consente di ancorare la prova empirica a dati reali anziché ai soli benchmark importati.</w:t>
      </w:r>
    </w:p>
  </w:footnote>
  <w:footnote w:id="3196">
    <w:p>
      <w:pPr>
        <w:pStyle w:val="FootnoteText"/>
      </w:pPr>
      <w:r>
        <w:rPr>
          <w:rStyle w:val="FootnoteReference"/>
        </w:rPr>
        <w:footnoteRef/>
      </w:r>
      <w:r>
        <w:t xml:space="preserve"> </w:t>
      </w:r>
      <w:r>
        <w:t xml:space="preserve">Disagio giovanile: è una componente particolarmente rilevante in una regione fra le più giovani del Paese, con fenomeni di ansia, depressione e disturbi del comportamento alimentare tra gli adolescenti che solo in parte trovano risposta nei servizi; è una delle ragioni per cui la regione ha posto la salute psicologica dei giovani al centro della propria azione.</w:t>
      </w:r>
    </w:p>
  </w:footnote>
  <w:footnote w:id="3197">
    <w:p>
      <w:pPr>
        <w:pStyle w:val="FootnoteText"/>
      </w:pPr>
      <w:r>
        <w:rPr>
          <w:rStyle w:val="FootnoteReference"/>
        </w:rPr>
        <w:footnoteRef/>
      </w:r>
      <w:r>
        <w:t xml:space="preserve"> </w:t>
      </w:r>
      <w:r>
        <w:t xml:space="preserve">Salute mentale connessa al lavoro e alla deprivazione: nelle aree di deprivazione dell’area napoletana, la precarietà, la disoccupazione e le condizioni socio-economiche sfavorevoli concorrono al disagio psichico; l’intercettazione precoce ha un valore particolarmente elevato in termini di salute e di equità.</w:t>
      </w:r>
    </w:p>
  </w:footnote>
  <w:footnote w:id="3198">
    <w:p>
      <w:pPr>
        <w:pStyle w:val="FootnoteText"/>
      </w:pPr>
      <w:r>
        <w:rPr>
          <w:rStyle w:val="FootnoteReference"/>
        </w:rPr>
        <w:footnoteRef/>
      </w:r>
      <w:r>
        <w:t xml:space="preserve"> </w:t>
      </w:r>
      <w:r>
        <w:t xml:space="preserve">Bisogno dell’età adulta e anziana: la domanda connessa alla cronicità e alla comorbilità psicologica delle patologie croniche è più marcata nelle province interne di Avellino e Benevento, più anziane e a maggiore difficoltà di accesso.</w:t>
      </w:r>
    </w:p>
  </w:footnote>
  <w:footnote w:id="3199">
    <w:p>
      <w:pPr>
        <w:pStyle w:val="FootnoteText"/>
      </w:pPr>
      <w:r>
        <w:rPr>
          <w:rStyle w:val="FootnoteReference"/>
        </w:rPr>
        <w:footnoteRef/>
      </w:r>
      <w:r>
        <w:t xml:space="preserve"> </w:t>
      </w:r>
      <w:r>
        <w:t xml:space="preserve">Tratto distintivo della Campania rispetto alle altre regioni: la combinazione di una grande regione fortemente accentrata su Napoli, della condizione di regione pioniera — prima in Italia ad aver istituito e attivato il servizio per legge — e di una storica sotto-dotazione del sistema, retaggio di un lungo piano di rientro da cui la regione è uscita soltanto nel 2026. Il bisogno è quindi accompagnato da un primato normativo e operativo, ma da una strutturazione ancora incompleta, che la decisione è chiamata a portare a regime.</w:t>
      </w:r>
    </w:p>
  </w:footnote>
  <w:footnote w:id="3200">
    <w:p>
      <w:pPr>
        <w:pStyle w:val="FootnoteText"/>
      </w:pPr>
      <w:r>
        <w:rPr>
          <w:rStyle w:val="FootnoteReference"/>
        </w:rPr>
        <w:footnoteRef/>
      </w:r>
      <w:r>
        <w:t xml:space="preserve"> </w:t>
      </w:r>
      <w:r>
        <w:t xml:space="preserve">Accessi al pronto soccorso per cause psichiatriche significativi: rapportando alla popolazione campana il dato nazionale, dell’ordine di alcune decine di migliaia l’anno, indice di una pressione sul sistema acuto che un primo livello territoriale pienamente strutturato potrebbe in parte contenere a monte.</w:t>
      </w:r>
    </w:p>
  </w:footnote>
  <w:footnote w:id="3201">
    <w:p>
      <w:pPr>
        <w:pStyle w:val="FootnoteText"/>
      </w:pPr>
      <w:r>
        <w:rPr>
          <w:rStyle w:val="FootnoteReference"/>
        </w:rPr>
        <w:footnoteRef/>
      </w:r>
      <w:r>
        <w:t xml:space="preserve"> </w:t>
      </w:r>
      <w:r>
        <w:t xml:space="preserve">Offerta territoriale: la Campania dispone già di un servizio di psicologia di base attivo, istituito dalla legge regionale 35 del 2020 e disciplinato dal regolamento regionale 8 del 2022, con circa 146 psicologi in servizio — due per distretto sanitario — in rapporto convenzionale libero-professionale, gratuito per il cittadino, e con un Osservatorio regionale già istituito. Il servizio è però ancora parziale nel dimensionamento e in larga parte sostenuto da risorse transitorie del Piano Nazionale Equità in Salute, dell’ordine di alcune decine di milioni di euro, e privo di un contratto collettivo nazionale di riferimento.</w:t>
      </w:r>
    </w:p>
  </w:footnote>
  <w:footnote w:id="3202">
    <w:p>
      <w:pPr>
        <w:pStyle w:val="FootnoteText"/>
      </w:pPr>
      <w:r>
        <w:rPr>
          <w:rStyle w:val="FootnoteReference"/>
        </w:rPr>
        <w:footnoteRef/>
      </w:r>
      <w:r>
        <w:t xml:space="preserve"> </w:t>
      </w:r>
      <w:r>
        <w:t xml:space="preserve">Fabbisogno a regime stimato nell’ordine di 1.210 psicologi nello scenario espansivo (e dell’ordine di 610 e 910 negli scenari conservativo e di base). L’Ordine degli Psicologi della Campania, che conta quasi diecimila iscritti e ha accompagnato l’attuazione della legge, ne sostiene la strutturazione a regime e l’estensione.</w:t>
      </w:r>
    </w:p>
  </w:footnote>
  <w:footnote w:id="3203">
    <w:p>
      <w:pPr>
        <w:pStyle w:val="FootnoteText"/>
      </w:pPr>
      <w:r>
        <w:rPr>
          <w:rStyle w:val="FootnoteReference"/>
        </w:rPr>
        <w:footnoteRef/>
      </w:r>
      <w:r>
        <w:t xml:space="preserve"> </w:t>
      </w:r>
      <w:r>
        <w:t xml:space="preserve">Copertura attuale del fabbisogno parziale: i circa 146 psicologi in servizio corrispondono a un nucleo dell’ordine di un quarto dello scenario conservativo, sufficiente ad avviare il servizio ma non a coprirne il fabbisogno a regime. La decisione, di conseguenza, non verte sull’istituire il servizio, già attivo, ma sullo strutturarlo, stabilizzarne il finanziamento e dimensionarlo verso la copertura piena.</w:t>
      </w:r>
    </w:p>
  </w:footnote>
  <w:footnote w:id="3204">
    <w:p>
      <w:pPr>
        <w:pStyle w:val="FootnoteText"/>
      </w:pPr>
      <w:r>
        <w:rPr>
          <w:rStyle w:val="FootnoteReference"/>
        </w:rPr>
        <w:footnoteRef/>
      </w:r>
      <w:r>
        <w:t xml:space="preserve"> </w:t>
      </w:r>
      <w:r>
        <w:t xml:space="preserve">Disuguaglianze e divari territoriali: il divario rilevante nella Campania si gioca su due assi. Il primo è interno alla vasta area metropolitana napoletana, fra i quartieri meglio serviti e le estese periferie con sacche di deprivazione socio-economica. Il secondo separa l’area metropolitana e costiera dalle province interne di Avellino e Benevento, più anziane e a minore densità. La telepsicologia assistita è lo strumento per avvicinare l’offerta alle aree interne e alle periferie, dove la presenza di un primo livello accessibile costituisce già un atto di riequilibrio.</w:t>
      </w:r>
    </w:p>
  </w:footnote>
  <w:footnote w:id="3205">
    <w:p>
      <w:pPr>
        <w:pStyle w:val="FootnoteText"/>
      </w:pPr>
      <w:r>
        <w:rPr>
          <w:rStyle w:val="FootnoteReference"/>
        </w:rPr>
        <w:footnoteRef/>
      </w:r>
      <w:r>
        <w:t xml:space="preserve"> </w:t>
      </w:r>
      <w:r>
        <w:t xml:space="preserve">Finanziamento del Servizio sanitario regionale dell’ordine di 11-12 miliardi di euro; la Campania è uscita dal piano di rientro nel marzo 2026, dopo quasi vent’anni, riacquistando margini di programmazione e capacità di investimento che per due decenni non aveva avuto, anche grazie ai nuovi criteri di riparto del fabbisogno nazionale, che hanno destinato alla regione risorse aggiuntive in ragione degli indicatori di deprivazione. La storica sotto-dotazione del sistema, retaggio del piano di rientro, lascia tuttavia margini di consumo improprio ampi da recuperare.</w:t>
      </w:r>
    </w:p>
  </w:footnote>
  <w:footnote w:id="3206">
    <w:p>
      <w:pPr>
        <w:pStyle w:val="FootnoteText"/>
      </w:pPr>
      <w:r>
        <w:rPr>
          <w:rStyle w:val="FootnoteReference"/>
        </w:rPr>
        <w:footnoteRef/>
      </w:r>
      <w:r>
        <w:t xml:space="preserve"> </w:t>
      </w:r>
      <w:r>
        <w:t xml:space="preserve">Mobilità sanitaria: la Campania presenta uno dei saldi passivi più elevati d’Italia, secondo solo a quello della Calabria, dell’ordine di trecento milioni di euro l’anno, in miglioramento. La fuga si concentra però nei ricoveri ospedalieri e nelle prestazioni ad alta complessità, segnatamente chirurgiche, e non nella domanda psicologica delle cure primarie, sicché il canale del recupero della mobilità è per questo intervento solo modestamente pertinente, limitato alla frazione territorialmente intercettabile.</w:t>
      </w:r>
    </w:p>
  </w:footnote>
  <w:footnote w:id="3207">
    <w:p>
      <w:pPr>
        <w:pStyle w:val="FootnoteText"/>
      </w:pPr>
      <w:r>
        <w:rPr>
          <w:rStyle w:val="FootnoteReference"/>
        </w:rPr>
        <w:footnoteRef/>
      </w:r>
      <w:r>
        <w:t xml:space="preserve"> </w:t>
      </w:r>
      <w:r>
        <w:t xml:space="preserve">Cornice normativa e programmatica: la Campania è stata la prima regione d’Italia a dotarsi di una legge dedicata — la legge regionale 35 del 2020 — disciplinata dal regolamento regionale 8 del 2022, la cui legittimità è stata riconosciuta dalla Corte Costituzionale con la sentenza n. 241 del 2021. La cornice include il Decreto Ministeriale 77/2022 sugli standard dell’assistenza territoriale, le risorse del Piano Nazionale Equità in Salute e, sul piano nazionale, il testo unificato in discussione alla Camera, ispirato anche all’esperienza campana. A differenza del Lazio, la Campania non è in fase pre-legislativa, ma di consolidamento di un servizio già istituito e avviato.</w:t>
      </w:r>
    </w:p>
  </w:footnote>
  <w:footnote w:id="3208">
    <w:p>
      <w:pPr>
        <w:pStyle w:val="FootnoteText"/>
      </w:pPr>
      <w:r>
        <w:rPr>
          <w:rStyle w:val="FootnoteReference"/>
        </w:rPr>
        <w:footnoteRef/>
      </w:r>
      <w:r>
        <w:t xml:space="preserve"> </w:t>
      </w:r>
      <w:r>
        <w:t xml:space="preserve">Popolazione residente in Campania 5.582.337 abitanti (Censimento permanente ISTAT al 31 dicembre 2024), pari a circa il 9,5% della popolazione nazionale, in lieve calo rispetto all’anno precedente per effetto del saldo naturale e migratorio interno negativi. La distribuzione è fortemente concentrata: la sola provincia di Napoli raccoglie circa il 53% dei residenti, seguita da Salerno con circa il 19%; le province interne di Avellino e Benevento sono le più anziane. La struttura per età è fra le più giovani d’Italia, con un’età media di 44,5 anni, e la componente straniera, intorno al 5,0%, è nettamente inferiore alla media nazionale.</w:t>
      </w:r>
    </w:p>
  </w:footnote>
  <w:footnote w:id="3209">
    <w:p>
      <w:pPr>
        <w:pStyle w:val="FootnoteText"/>
      </w:pPr>
      <w:r>
        <w:rPr>
          <w:rStyle w:val="FootnoteReference"/>
        </w:rPr>
        <w:footnoteRef/>
      </w:r>
    </w:p>
  </w:footnote>
  <w:footnote w:id="3210">
    <w:p>
      <w:pPr>
        <w:pStyle w:val="FootnoteText"/>
      </w:pPr>
      <w:r>
        <w:rPr>
          <w:rStyle w:val="FootnoteReference"/>
        </w:rPr>
        <w:footnoteRef/>
      </w:r>
      <w:r>
        <w:t xml:space="preserve"> </w:t>
      </w:r>
      <w:r>
        <w:t xml:space="preserve">Popolazione residente in Campania 5.582.337 abitanti (Censimento permanente ISTAT al 31 dicembre 2024), pari a circa il 9,5% della popolazione nazionale, in lieve calo rispetto all’anno precedente per effetto del saldo naturale e migratorio interno negativi. La distribuzione è fortemente concentrata: la sola provincia di Napoli raccoglie circa il 53% dei residenti, seguita da Salerno con circa il 19%; le province interne di Avellino e Benevento sono le più anziane. La struttura per età è fra le più giovani d’Italia, con un’età media di 44,5 anni, e la componente straniera, intorno al 5,0%, è nettamente inferiore alla media nazionale.Equità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3211">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p>
  </w:footnote>
  <w:footnote w:id="3212">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Nella Campania la componente straniera è contenuta, intorno al 5,0%, sicché la barriera linguistica e culturale, pur presente nelle aree di maggiore insediamento, è meno centrale che in altre regioni; più rilevante è invece la barriera generazionale, poiché il disagio giovanile, ampio in una regione giovane, trova negli adolescenti e nei giovani adulti una fascia spesso restia a rivolgersi ai servizi.</w:t>
      </w:r>
    </w:p>
  </w:footnote>
  <w:footnote w:id="3213">
    <w:p>
      <w:pPr>
        <w:pStyle w:val="FootnoteText"/>
      </w:pPr>
      <w:r>
        <w:rPr>
          <w:rStyle w:val="FootnoteReference"/>
        </w:rPr>
        <w:footnoteRef/>
      </w:r>
      <w:r>
        <w:t xml:space="preserve"> </w:t>
      </w:r>
      <w:r>
        <w:t xml:space="preserve">Doppio asse della disuguaglianza nella Campania: la regione presenta due assi distinti, cui si aggiunge una marcata dimensione generazionale. Il primo asse è interno alla vasta area metropolitana napoletana, fra i quartieri meglio serviti e le estese periferie con sacche di deprivazione socio-economica. Il secondo separa l’area metropolitana e costiera dalle province interne — Avellino e Benevento in particolare — più anziane, a minore densità e con servizi più radi. A questi si somma il disagio giovanile, particolarmente rilevante in una regione fra le più giovani del Paese.</w:t>
      </w:r>
    </w:p>
  </w:footnote>
  <w:footnote w:id="3214">
    <w:p>
      <w:pPr>
        <w:pStyle w:val="FootnoteText"/>
      </w:pPr>
      <w:r>
        <w:rPr>
          <w:rStyle w:val="FootnoteReference"/>
        </w:rPr>
        <w:footnoteRef/>
      </w:r>
      <w:r>
        <w:t xml:space="preserve"> </w:t>
      </w:r>
      <w:r>
        <w:t xml:space="preserve">Primo asse, la periferia metropolitana napoletana: nell’area di Napoli, accanto a quartieri meglio serviti, si estendono periferie densissime e popolose con estese sacche di deprivazione socio-economica, dove la difficoltà di accesso ai servizi e la minore disponibilità di offerta privata accrescono il bisogno non intercettato.</w:t>
      </w:r>
    </w:p>
  </w:footnote>
  <w:footnote w:id="3215">
    <w:p>
      <w:pPr>
        <w:pStyle w:val="FootnoteText"/>
      </w:pPr>
      <w:r>
        <w:rPr>
          <w:rStyle w:val="FootnoteReference"/>
        </w:rPr>
        <w:footnoteRef/>
      </w:r>
      <w:r>
        <w:t xml:space="preserve"> </w:t>
      </w:r>
      <w:r>
        <w:t xml:space="preserve">Secondo asse, le province interne: Avellino e Benevento, e le aree appenniniche interne, presentano una popolazione più anziana, a minore densità e con tendenze allo spopolamento, dove la rarefazione dei servizi e le distanze rendono l’accesso al sostegno psicologico particolarmente difficoltoso.</w:t>
      </w:r>
    </w:p>
  </w:footnote>
  <w:footnote w:id="3216">
    <w:p>
      <w:pPr>
        <w:pStyle w:val="FootnoteText"/>
      </w:pPr>
      <w:r>
        <w:rPr>
          <w:rStyle w:val="FootnoteReference"/>
        </w:rPr>
        <w:footnoteRef/>
      </w:r>
      <w:r>
        <w:t xml:space="preserve"> </w:t>
      </w:r>
      <w:r>
        <w:t xml:space="preserve">Effetto del servizio sull’equità: la gratuità, la prossimità nelle Case della Comunità e la natura di primo livello accessibile senza requisiti specialistici abbattono le principali barriere all’accesso, e indirizzano l’offerta verso chi ne è oggi escluso; è il meccanismo attraverso cui un servizio universale riduce, anziché accrescere, il divario.</w:t>
      </w:r>
    </w:p>
  </w:footnote>
  <w:footnote w:id="3217">
    <w:p>
      <w:pPr>
        <w:pStyle w:val="FootnoteText"/>
      </w:pPr>
      <w:r>
        <w:rPr>
          <w:rStyle w:val="FootnoteReference"/>
        </w:rPr>
        <w:footnoteRef/>
      </w:r>
      <w:r>
        <w:t xml:space="preserve"> </w:t>
      </w:r>
      <w:r>
        <w:t xml:space="preserve">Telepsicologia assistita: nella Campania è lo strumento per avvicinare l’offerta alle province interne di Avellino e Benevento e alle estese periferie napoletane, dove le distanze e la rarefazione dei servizi rendono difficoltoso il raggiungimento delle sedi; concepita come complementare e non sostitutiva della presa in carico in presenza, essa estende la copertura proprio nelle aree a maggiore difficoltà di accesso.</w:t>
      </w:r>
    </w:p>
  </w:footnote>
  <w:footnote w:id="3218">
    <w:p>
      <w:pPr>
        <w:pStyle w:val="FootnoteText"/>
      </w:pPr>
      <w:r>
        <w:rPr>
          <w:rStyle w:val="FootnoteReference"/>
        </w:rPr>
        <w:footnoteRef/>
      </w:r>
      <w:r>
        <w:t xml:space="preserve"> </w:t>
      </w:r>
      <w:r>
        <w:t xml:space="preserve">Competenza generazionale e culturale: data la quota straniera contenuta, la competenza culturale e la mediazione linguistica restano necessarie nelle aree di maggiore insediamento ma sono meno centrali che altrove; più dirimente è la competenza nell’intercettare il disagio giovanile, affinché il servizio raggiunga adolescenti e giovani adulti, fascia a elevato bisogno e a basso ricorso spontaneo, condizione di equità peculiare di una regione giovane.</w:t>
      </w:r>
    </w:p>
  </w:footnote>
  <w:footnote w:id="3219">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w:t>
      </w:r>
    </w:p>
  </w:footnote>
  <w:footnote w:id="3220">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periferie napoletane e alle province interne di Avellino e Benevento; un’allocazione uniforme rispetto alla popolazione non correggerebbe i divari, mentre un’allocazione ponderata per il bisogno li riduce.</w:t>
      </w:r>
    </w:p>
  </w:footnote>
  <w:footnote w:id="3221">
    <w:p>
      <w:pPr>
        <w:pStyle w:val="FootnoteText"/>
      </w:pPr>
      <w:r>
        <w:rPr>
          <w:rStyle w:val="FootnoteReference"/>
        </w:rPr>
        <w:footnoteRef/>
      </w:r>
      <w:r>
        <w:t xml:space="preserve"> </w:t>
      </w:r>
      <w:r>
        <w:t xml:space="preserve">Mobilità e equità: nella Campania il canale della mobilità è, per questo intervento, una leva di equità solo modesta, poiché la fuga — pur fra le più elevate d’Italia — riguarda l’alta complessità ospedaliera e chirurgica e non la domanda psicologica territoriale; l’equità si gioca quindi prevalentemente sull’accesso interno, fra centro e periferie napoletane e fra area metropolitana e province interne.</w:t>
      </w:r>
    </w:p>
  </w:footnote>
  <w:footnote w:id="3222">
    <w:p>
      <w:pPr>
        <w:pStyle w:val="FootnoteText"/>
      </w:pPr>
      <w:r>
        <w:rPr>
          <w:rStyle w:val="FootnoteReference"/>
        </w:rPr>
        <w:footnoteRef/>
      </w:r>
      <w:r>
        <w:t xml:space="preserve"> </w:t>
      </w:r>
      <w:r>
        <w:t xml:space="preserve">Rischio di iniquità inversa: se l’estensione del servizio privilegiasse, per facilità organizzativa, le aree già meglio servite, l’effetto distributivo potrebbe risultare regressivo; il rischio va prevenuto con criteri espliciti di equità nell’allocazione delle sedi e degli incarichi, nella fase di strutturazione a regime del servizio già attivo.</w:t>
      </w:r>
    </w:p>
  </w:footnote>
  <w:footnote w:id="3223">
    <w:p>
      <w:pPr>
        <w:pStyle w:val="FootnoteText"/>
      </w:pPr>
      <w:r>
        <w:rPr>
          <w:rStyle w:val="FootnoteReference"/>
        </w:rPr>
        <w:footnoteRef/>
      </w:r>
      <w:r>
        <w:t xml:space="preserve"> </w:t>
      </w:r>
      <w:r>
        <w:t xml:space="preserve">Sintesi dell’equità: l’intervento è favorevole all’equità su entrambi gli assi del divario campano e sulla dimensione generazionale, a condizione che la copertura sia modulata per il bisogno e che siano garantite la telepsicologia per le periferie e le aree interne e l’attenzione al disagio giovanile; la raccomandazione è di adottare, nella strutturazione a regime, un’allocazione pro-equità che dia di più dove il bisogno è maggiore, consolidando ed estendendo i risultati già conseguiti dal servizio attivo.</w:t>
      </w:r>
    </w:p>
  </w:footnote>
  <w:footnote w:id="3224">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attuale, parziale e a finanziamento transitorio, come comparatore.</w:t>
      </w:r>
    </w:p>
  </w:footnote>
  <w:footnote w:id="3225">
    <w:p>
      <w:pPr>
        <w:pStyle w:val="FootnoteText"/>
      </w:pPr>
      <w:r>
        <w:rPr>
          <w:rStyle w:val="FootnoteReference"/>
        </w:rPr>
        <w:footnoteRef/>
      </w:r>
    </w:p>
  </w:footnote>
  <w:footnote w:id="3226">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attuale, parziale e a finanziamento transitorio,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3227">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3228">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3229">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3230">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3231">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3232">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3233">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3234">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3235">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3236">
    <w:p>
      <w:pPr>
        <w:pStyle w:val="FootnoteText"/>
      </w:pPr>
      <w:r>
        <w:rPr>
          <w:rStyle w:val="FootnoteReference"/>
        </w:rPr>
        <w:footnoteRef/>
      </w:r>
    </w:p>
  </w:footnote>
  <w:footnote w:id="3237">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3238">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 pronuncia fondativa per l’intera materia — è nata proprio dal giudizio sulla legge campana, di cui ha riconosciuto la legittimità, delimitando lo spazio della disciplina regionale nel rispetto dei principi fondamentali stabiliti dallo Stato. La Campania ha quindi già esercitato, prima fra le regioni, il titolo a istituire il servizio con legge propria, in forma coordinata con la cornice nazionale.</w:t>
      </w:r>
    </w:p>
  </w:footnote>
  <w:footnote w:id="3239">
    <w:p>
      <w:pPr>
        <w:pStyle w:val="FootnoteText"/>
      </w:pPr>
      <w:r>
        <w:rPr>
          <w:rStyle w:val="FootnoteReference"/>
        </w:rPr>
        <w:footnoteRef/>
      </w:r>
      <w:r>
        <w:t xml:space="preserve"> </w:t>
      </w:r>
      <w:r>
        <w:t xml:space="preserve">Stato legislativo della Campania: a differenza del Lazio, ancora privo di legge, la Campania dispone già della legge regionale 35 del 2020 e del regolamento attuativo 8 del 2022, in forza dei quali il servizio è attivo. La decisione giuridica rilevante non è quindi l’approvazione della legge istitutiva, già compiuta e validata, ma il suo consolidamento a regime: la stabilizzazione del finanziamento, oggi in parte transitorio, e il perfezionamento dell’inquadramento convenzionale, nel coordinamento con il testo unico nazionale in discussione.</w:t>
      </w:r>
    </w:p>
  </w:footnote>
  <w:footnote w:id="3240">
    <w:p>
      <w:pPr>
        <w:pStyle w:val="FootnoteText"/>
      </w:pPr>
      <w:r>
        <w:rPr>
          <w:rStyle w:val="FootnoteReference"/>
        </w:rPr>
        <w:footnoteRef/>
      </w:r>
      <w:r>
        <w:t xml:space="preserve"> </w:t>
      </w:r>
      <w:r>
        <w:t xml:space="preserve">Inquadramento del rapporto di lavoro: la legge regionale 35 del 2020 ha già adottato il rapporto convenzionale su base libero-professionale, con iscrizione a un elenco aziendale previo corso di abilitazione regionale, per analogia con la medicina generale e la pediatria di libera scelta. Tale forma assicura flessibilità e prossimità, ma sconta l’assenza di un contratto collettivo nazionale di riferimento: la sua definizione, attesa dal testo unico nazionale, è condizione di stabilità e di tutela della continuità del rapporto.</w:t>
      </w:r>
    </w:p>
  </w:footnote>
  <w:footnote w:id="3241">
    <w:p>
      <w:pPr>
        <w:pStyle w:val="FootnoteText"/>
      </w:pPr>
      <w:r>
        <w:rPr>
          <w:rStyle w:val="FootnoteReference"/>
        </w:rPr>
        <w:footnoteRef/>
      </w:r>
      <w:r>
        <w:t xml:space="preserve"> </w:t>
      </w:r>
      <w:r>
        <w:t xml:space="preserve">Livelli essenziali di assistenza e finanziamento: la psicologia di base nelle cure primarie non è ancora esplicitamente ricompresa nei livelli essenziali di assistenza nazionali. Il servizio campano è oggi finanziato in larga parte con risorse transitorie del Piano Nazionale Equità in Salute; la strutturazione a regime richiede il passaggio a un finanziamento regionale stabile, oggi reso possibile dall’uscita dal piano di rientro, mentre un futuro riconoscimento nei livelli essenziali rafforzerebbe ulteriormente la stabilità.</w:t>
      </w:r>
    </w:p>
  </w:footnote>
  <w:footnote w:id="3242">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di base vi si inserisce coerentemente, come uno dei livelli di risposta al bisogno della popolazione.</w:t>
      </w:r>
    </w:p>
  </w:footnote>
  <w:footnote w:id="3243">
    <w:p>
      <w:pPr>
        <w:pStyle w:val="FootnoteText"/>
      </w:pPr>
      <w:r>
        <w:rPr>
          <w:rStyle w:val="FootnoteReference"/>
        </w:rPr>
        <w:footnoteRef/>
      </w:r>
      <w:r>
        <w:t xml:space="preserve"> </w:t>
      </w:r>
      <w:r>
        <w:t xml:space="preserve">Rapporto con i servizi specialistici: il servizio di psicologia di base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3244">
    <w:p>
      <w:pPr>
        <w:pStyle w:val="FootnoteText"/>
      </w:pPr>
      <w:r>
        <w:rPr>
          <w:rStyle w:val="FootnoteReference"/>
        </w:rPr>
        <w:footnoteRef/>
      </w:r>
      <w:r>
        <w:t xml:space="preserve"> </w:t>
      </w:r>
      <w:r>
        <w:t xml:space="preserve">Assetto organizzativo: la strutturazione del servizio nella Campania si misura con un sistema esteso e policentrico — sette Aziende Sanitarie Locali, tre nell’area metropolitana napoletana e quattro nelle altre province, numerose aziende ospedaliere e ospedaliero-universitarie e IRCCS — e con l’assenza di un’azienda regionale unica, sicché il coordinamento è in capo alla Regione, con il supporto della società regionale per gli acquisti; garantire l’omogeneità attuativa fra le Aziende è la sfida organizzativa centrale.</w:t>
      </w:r>
    </w:p>
  </w:footnote>
  <w:footnote w:id="3245">
    <w:p>
      <w:pPr>
        <w:pStyle w:val="FootnoteText"/>
      </w:pPr>
      <w:r>
        <w:rPr>
          <w:rStyle w:val="FootnoteReference"/>
        </w:rPr>
        <w:footnoteRef/>
      </w:r>
      <w:r>
        <w:t xml:space="preserve"> </w:t>
      </w:r>
      <w:r>
        <w:t xml:space="preserve">Governance della strutturazione: il consolidamento del servizio richiede una regia regionale che coordini le sette Aziende Sanitarie Locali, le aziende ospedaliere e gli IRCCS, l’Ordine professionale, le rappresentanze della medicina generale e della pediatria di libera scelta e gli atenei; tale regia è già esercitata dalla Regione con il supporto dell’Osservatorio regionale istituito dalla legge, cui spetta definire indirizzi operativi uniformi e consolidare il sistema di monitoraggio comune.</w:t>
      </w:r>
    </w:p>
  </w:footnote>
  <w:footnote w:id="3246">
    <w:p>
      <w:pPr>
        <w:pStyle w:val="FootnoteText"/>
      </w:pPr>
      <w:r>
        <w:rPr>
          <w:rStyle w:val="FootnoteReference"/>
        </w:rPr>
        <w:footnoteRef/>
      </w:r>
      <w:r>
        <w:t xml:space="preserve"> </w:t>
      </w:r>
      <w:r>
        <w:t xml:space="preserve">Ruolo dell’Ordine professionale: l’Ordine degli Psicologi della Campania, che conta quasi diecimila iscritti e ha accompagnato l’attuazione della legge, concorre alla definizione dei requisiti, alla formazione e alla vigilanza deontologica; la sua collaborazione è condizione della qualità e dell’appropriatezza del servizio.</w:t>
      </w:r>
    </w:p>
  </w:footnote>
  <w:footnote w:id="3247">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3248">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3249">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3250">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3251">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3252">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 Campania, l’approvazione della legge, già in vigore e validata dalla Corte Costituzionale, ma la stabilizzazione del finanziamento e la strutturazione a regime del servizio già attivo; è questo il passaggio da cui dipende il consolidamento del servizio pioniere, che il coordinamento con il futuro testo unico nazionale potrà rafforzare.</w:t>
      </w:r>
    </w:p>
  </w:footnote>
  <w:footnote w:id="3253">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3254">
    <w:p>
      <w:pPr>
        <w:pStyle w:val="FootnoteText"/>
      </w:pPr>
      <w:r>
        <w:rPr>
          <w:rStyle w:val="FootnoteReference"/>
        </w:rPr>
        <w:footnoteRef/>
      </w:r>
      <w:r>
        <w:t xml:space="preserve"> </w:t>
      </w:r>
      <w:r>
        <w:t xml:space="preserve">Esperienze italiane: la Campania è stata la prima regione d’Italia a istituire e attivare il servizio di psicologia di base, e i dati prodotti dal suo servizio attivo — migliaia di colloqui erogati già nei primi mesi di attività — costituiscono, accanto ai servizi avviati nelle altre regioni dotate di legge, la principale base di evidenza italiana sul modello. Tali dati derivano da un servizio ancora giovane e vanno consolidati e validati, ma rappresentano un patrimonio informativo proprio, distintivo della regione pioniera, che le esperienze fondate su campioni limitati e su letteratura grigia non offrivano.</w:t>
      </w:r>
    </w:p>
  </w:footnote>
  <w:footnote w:id="3255">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3256">
    <w:p>
      <w:pPr>
        <w:pStyle w:val="FootnoteText"/>
      </w:pPr>
      <w:r>
        <w:rPr>
          <w:rStyle w:val="FootnoteReference"/>
        </w:rPr>
        <w:footnoteRef/>
      </w:r>
      <w:r>
        <w:t xml:space="preserve"> </w:t>
      </w:r>
      <w:r>
        <w:t xml:space="preserve">Evidenza locale campana: a differenza del Lazio, privo di un servizio attivo, la Campania dispone già di un servizio operativo che produce dati di esito propri — prese in carico, prestazioni ed esiti raccolti dall’Osservatorio regionale — sicché l’evidenza locale non è soltanto prospettica, ma in parte già disponibile. Lo studio poggia, per l’efficacia, sui benchmark internazionali e su questa base di dati propri in via di consolidamento, vantaggio peculiare della regione pioniera, e potrà corroborarsi ulteriormente man mano che il servizio si struttura a regime.</w:t>
      </w:r>
    </w:p>
  </w:footnote>
  <w:footnote w:id="3257">
    <w:p>
      <w:pPr>
        <w:pStyle w:val="FootnoteText"/>
      </w:pPr>
      <w:r>
        <w:rPr>
          <w:rStyle w:val="FootnoteReference"/>
        </w:rPr>
        <w:footnoteRef/>
      </w:r>
      <w:r>
        <w:t xml:space="preserve"> </w:t>
      </w:r>
      <w:r>
        <w:t xml:space="preserve">Condizioni campane per la trasferibilità e la valutazione: la Campania dispone della tradizione operativa del servizio pioniere, dell’infrastruttura informatica sanitaria regionale e della rete delle Case della Comunità in costruzione; il vantaggio peculiare della regione è di poter corroborare i benchmark internazionali con i propri dati operativi, generando un’evidenza locale solida e non soltanto importata, e di poter perfezionare la rilevazione man mano che il servizio si struttura a regime.</w:t>
      </w:r>
    </w:p>
  </w:footnote>
  <w:footnote w:id="3258">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3259">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 Campania presenta un profilo finanziario in evoluzione favorevole: è uscita dal piano di rientro nel marzo 2026, dopo quasi vent’anni, riacquistando per la prima volta in due decenni margini di programmazione e capacità di investimento. Sul versante della mobilità sanitaria, la regione presenta uno dei saldi passivi più elevati d’Italia, ma la fuga si concentra nei ricoveri ospedalieri e nelle prestazioni ad alta complessità, non nella domanda psicologica delle cure primarie, sicché il canale del recupero della mobilità è per questo intervento solo modestamente pertinente, limitato alla frazione territorialmente intercettabile. Ne consegue un saldo diretto lievemente negativo ma prossimo al pareggio — meno sfavorevole che in una regione dal sistema già efficiente, poiché il sistema campano, a lungo sotto-finanziato, presenta un consumo improprio più ampio da recuperare — mentre il caso economico poggia in misura preponderante sulle ricadute sociali, stimate con criteri conservativi.</w:t>
      </w:r>
    </w:p>
  </w:footnote>
  <w:footnote w:id="3260">
    <w:p>
      <w:pPr>
        <w:pStyle w:val="FootnoteText"/>
      </w:pPr>
      <w:r>
        <w:rPr>
          <w:rStyle w:val="FootnoteReference"/>
        </w:rPr>
        <w:footnoteRef/>
      </w:r>
      <w:r>
        <w:t xml:space="preserve"> </w:t>
      </w:r>
      <w:r>
        <w:t xml:space="preserve">I valori economici oggi impiegati sono in parte ricostruiti dai conti nazionali per quota di popolazione (9,5%) e non estratti dai conti regionali certificati delle sette Aziende Sanitarie Locali e delle aziende ospedaliere: è la lacuna prioritaria dello studio, da colmare prima della presentazione esterna. A differenza del Lazio, tuttavia, la Campania dispone già di un servizio attivo che produce dati operativi reali — prese in carico, prestazioni e relazioni annuali raccolte dall’Osservatorio regionale — sicché lo studio poggia, per l’efficacia, sui benchmark internazionali e su una base di dati propri in via di consolidamento, vantaggio peculiare della regione pioniera.</w:t>
      </w:r>
    </w:p>
  </w:footnote>
  <w:footnote w:id="3261">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3262">
    <w:p>
      <w:pPr>
        <w:pStyle w:val="FootnoteText"/>
      </w:pPr>
      <w:r>
        <w:rPr>
          <w:rStyle w:val="FootnoteReference"/>
        </w:rPr>
        <w:footnoteRef/>
      </w:r>
      <w:r>
        <w:t xml:space="preserve"> </w:t>
      </w:r>
      <w:r>
        <w:t xml:space="preserve">Valutazione controfattuale d’impatto: poiché il servizio è già attivo ma in corso di estensione, il disegno può fondarsi su un esperimento a cunei progressivi, nel quale l’ordine e i tempi di estensione delle sedi tra le sette Aziende Sanitarie Locali e i loro distretti — che hanno avviato il servizio in tempi differenziati — sono impiegati a fini valutativi, con il servizio già in funzione come linea di base. L’effetto causale è stimato con i metodi della differenza-nelle-differenze e del controllo sintetico; la disponibilità di dati operativi reali rafforza l’identificazione, distinguendo la Campania dalle regioni prive di servizio attivo.</w:t>
      </w:r>
    </w:p>
  </w:footnote>
  <w:footnote w:id="3263">
    <w:p>
      <w:pPr>
        <w:pStyle w:val="FootnoteText"/>
      </w:pPr>
      <w:r>
        <w:rPr>
          <w:rStyle w:val="FootnoteReference"/>
        </w:rPr>
        <w:footnoteRef/>
      </w:r>
      <w:r>
        <w:t xml:space="preserve"> </w:t>
      </w:r>
      <w:r>
        <w:t xml:space="preserve">La valutazione è governata da un comitato di indirizzo — Regione, sette Aziende Sanitarie Locali (Avellino, Benevento, Caserta, Napoli 1 Centro, Napoli 2 Nord, Napoli 3 Sud, Salerno), aziende ospedaliere e ospedaliero-universitarie (Cardarelli, Santobono-Pausilipon, dei Colli, Federico II, Vanvitelli, Ruggi d’Aragona di Salerno, Moscati di Avellino) e IRCCS (Pascale), Ordine degli Psicologi della Campania, rappresentanze della medicina generale e della pediatria di libera scelta e atenei. La Campania non dispone di un’azienda regionale unica: il coordinamento è in capo alla Regione, con il supporto della società regionale per gli acquisti e della piattaforma informativa regionale, mentre l’Osservatorio regionale già istituito esercita funzioni di indirizzo, programmazione e controllo. La sfida del governo non è quindi istituire il servizio, ma strutturarlo e dimensionarlo, garantendo l’omogeneità attuativa in un sistema esteso e policentrico.</w:t>
      </w:r>
    </w:p>
  </w:footnote>
  <w:footnote w:id="3264">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3265">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3266">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3267">
    <w:p>
      <w:pPr>
        <w:pStyle w:val="FootnoteText"/>
      </w:pPr>
      <w:r>
        <w:rPr>
          <w:rStyle w:val="FootnoteReference"/>
        </w:rPr>
        <w:footnoteRef/>
      </w:r>
    </w:p>
  </w:footnote>
  <w:footnote w:id="3268">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3269">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il Piano regionale di azioni per la salute mentale; nella Campania essa presenta una coerenza ulteriore, poiché consolida a regime il modello che la regione ha istituito per prima in Italia, dando stabilità a un servizio già attivo e validato sul piano costituzionale.</w:t>
      </w:r>
    </w:p>
  </w:footnote>
  <w:footnote w:id="3270">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3271">
    <w:p>
      <w:pPr>
        <w:pStyle w:val="FootnoteText"/>
      </w:pPr>
      <w:r>
        <w:rPr>
          <w:rStyle w:val="FootnoteReference"/>
        </w:rPr>
        <w:footnoteRef/>
      </w:r>
      <w:r>
        <w:t xml:space="preserve"> </w:t>
      </w:r>
      <w:r>
        <w:t xml:space="preserve">Caso commerciale: il modello del rapporto convenzionale su base libero-professionale è già in esercizio e si avvale, nella Campania, di un bacino professionale ampio — l’Ordine regionale conta quasi diecimila iscritti — alimentato dagli atenei campani; la disponibilità di psicologi qualificati, già selezionati attraverso il corso di abilitazione regionale, non costituisce un vincolo all’estensione.</w:t>
      </w:r>
    </w:p>
  </w:footnote>
  <w:footnote w:id="3272">
    <w:p>
      <w:pPr>
        <w:pStyle w:val="FootnoteText"/>
      </w:pPr>
      <w:r>
        <w:rPr>
          <w:rStyle w:val="FootnoteReference"/>
        </w:rPr>
        <w:footnoteRef/>
      </w:r>
      <w:r>
        <w:t xml:space="preserve"> </w:t>
      </w:r>
      <w:r>
        <w:t xml:space="preserve">Caso finanziario: il costo del servizio a regime — dell’ordine di 34, 50 e 67 milioni di euro nei tre scenari, pari allo 0,3-0,6% del finanziamento sanitario regionale — è sostenibile, tanto più che la Campania è uscita dal piano di rientro nel marzo 2026, riacquistando margini di programmazione; la sfida finanziaria propria è il passaggio dalle risorse transitorie del Piano Nazionale Equità in Salute, che oggi sostengono il nucleo attivo, a un finanziamento regionale stabile.</w:t>
      </w:r>
    </w:p>
  </w:footnote>
  <w:footnote w:id="3273">
    <w:p>
      <w:pPr>
        <w:pStyle w:val="FootnoteText"/>
      </w:pPr>
      <w:r>
        <w:rPr>
          <w:rStyle w:val="FootnoteReference"/>
        </w:rPr>
        <w:footnoteRef/>
      </w:r>
      <w:r>
        <w:t xml:space="preserve"> </w:t>
      </w:r>
      <w:r>
        <w:t xml:space="preserve">Caso gestionale: la realizzabilità dipende da una regia regionale che, in assenza di un’azienda unica, coordini le sette Aziende Sanitarie Locali, le aziende ospedaliere e gli IRCCS, l’Ordine professionale, la medicina generale e la pediatria di libera scelta e gli atenei; tale regia è già esercitata con il supporto dell’Osservatorio regionale, cui spetta consolidare indirizzi uniformi e il monitoraggio comune.</w:t>
      </w:r>
    </w:p>
  </w:footnote>
  <w:footnote w:id="3274">
    <w:p>
      <w:pPr>
        <w:pStyle w:val="FootnoteText"/>
      </w:pPr>
      <w:r>
        <w:rPr>
          <w:rStyle w:val="FootnoteReference"/>
        </w:rPr>
        <w:footnoteRef/>
      </w:r>
      <w:r>
        <w:t xml:space="preserve"> </w:t>
      </w:r>
      <w:r>
        <w:t xml:space="preserve">Dimensionamento a partire dal nucleo attivo: a differenza del Lazio, che deve dimensionare il servizio da zero, la Campania muove dal nucleo già attivo, dell’ordine di 146 psicologi, e lo estende verso un fabbisogno a regime dell’ordine di 1.210 psicologi nello scenario espansivo; l’estensione procede per gradi attraverso gli scenari conservativo, di base ed espansivo, consolidando un servizio già in funzione anziché istituirlo.</w:t>
      </w:r>
    </w:p>
  </w:footnote>
  <w:footnote w:id="3275">
    <w:p>
      <w:pPr>
        <w:pStyle w:val="FootnoteText"/>
      </w:pPr>
      <w:r>
        <w:rPr>
          <w:rStyle w:val="FootnoteReference"/>
        </w:rPr>
        <w:footnoteRef/>
      </w:r>
      <w:r>
        <w:t xml:space="preserve"> </w:t>
      </w:r>
      <w:r>
        <w:t xml:space="preserve">Fasi di attuazione: poiché il servizio è già avviato, l’attuazione si articola in una fase di consolidamento del nucleo attivo e di stabilizzazione del finanziamento; una fase di estensione, nella quale la copertura si amplia progressivamente fra le sette Aziende; e una fase di regime, nella quale il servizio raggiunge il dimensionamento adeguato al fabbisogno. La progressione differenziata dell’estensione fra le Aziende, che hanno avviato il servizio in tempi diversi, coincide con l’esperimento a cunei progressivi descritto nella Parte F.</w:t>
      </w:r>
    </w:p>
  </w:footnote>
  <w:footnote w:id="3276">
    <w:p>
      <w:pPr>
        <w:pStyle w:val="FootnoteText"/>
      </w:pPr>
      <w:r>
        <w:rPr>
          <w:rStyle w:val="FootnoteReference"/>
        </w:rPr>
        <w:footnoteRef/>
      </w:r>
      <w:r>
        <w:t xml:space="preserve"> </w:t>
      </w:r>
      <w:r>
        <w:t xml:space="preserve">Reclutamento e formazione: l’estensione richiede il reclutamento e la formazione dedicata degli psicologi, secondo il programma a quattro livelli; il bacino professionale ampio, il corso di abilitazione regionale già previsto dalla legge e gli atenei campani costituiscono una base favorevole, e la formazione specialistica assicura l’omogeneità delle competenze.</w:t>
      </w:r>
    </w:p>
  </w:footnote>
  <w:footnote w:id="3277">
    <w:p>
      <w:pPr>
        <w:pStyle w:val="FootnoteText"/>
      </w:pPr>
      <w:r>
        <w:rPr>
          <w:rStyle w:val="FootnoteReference"/>
        </w:rPr>
        <w:footnoteRef/>
      </w:r>
      <w:r>
        <w:t xml:space="preserve"> </w:t>
      </w:r>
      <w:r>
        <w:t xml:space="preserve">Cronoprogramma: l’attuazione si sviluppa su un orizzonte pluriennale, con il raggiungimento del regime in più esercizi; a differenza del Lazio, l’estensione non è subordinata all’approvazione di una legge — già in vigore — ma alla stabilizzazione del finanziamento, oggi resa possibile dall’uscita dal piano di rientro, sicché la Campania muove da una posizione di partenza più avanzata.</w:t>
      </w:r>
    </w:p>
  </w:footnote>
  <w:footnote w:id="3278">
    <w:p>
      <w:pPr>
        <w:pStyle w:val="FootnoteText"/>
      </w:pPr>
      <w:r>
        <w:rPr>
          <w:rStyle w:val="FootnoteReference"/>
        </w:rPr>
        <w:footnoteRef/>
      </w:r>
      <w:r>
        <w:t xml:space="preserve"> </w:t>
      </w:r>
      <w:r>
        <w:t xml:space="preserve">Sostenibilità finanziaria: la leva della sostenibilità, nella Campania, è la stabilizzazione del finanziamento — il passaggio dalle risorse transitorie del Piano Nazionale Equità in Salute a risorse regionali stabili — e il dimensionamento progressivo del servizio; i margini riacquistati con l’uscita dal piano di rientro rendono praticabile l’investimento, mentre l’eventuale riconoscimento nei livelli essenziali di assistenza ne rafforzerebbe in futuro la stabilità.</w:t>
      </w:r>
    </w:p>
  </w:footnote>
  <w:footnote w:id="3279">
    <w:p>
      <w:pPr>
        <w:pStyle w:val="FootnoteText"/>
      </w:pPr>
      <w:r>
        <w:rPr>
          <w:rStyle w:val="FootnoteReference"/>
        </w:rPr>
        <w:footnoteRef/>
      </w:r>
      <w:r>
        <w:t xml:space="preserve"> </w:t>
      </w:r>
      <w:r>
        <w:t xml:space="preserve">Sostenibilità organizzativa: la sfida è garantire l’omogeneità attuativa fra le sette Aziende Sanitarie Locali in un sistema esteso e policentrico privo di un’azienda regionale unica; la sostenibilità organizzativa dipende dalla forza della regia regionale, dal ruolo dell’Osservatorio regionale e dalla chiarezza degli indirizzi operativi.</w:t>
      </w:r>
    </w:p>
  </w:footnote>
  <w:footnote w:id="3280">
    <w:p>
      <w:pPr>
        <w:pStyle w:val="FootnoteText"/>
      </w:pPr>
      <w:r>
        <w:rPr>
          <w:rStyle w:val="FootnoteReference"/>
        </w:rPr>
        <w:footnoteRef/>
      </w:r>
      <w:r>
        <w:t xml:space="preserve"> </w:t>
      </w:r>
      <w:r>
        <w:t xml:space="preserve">Monitoraggio dell’attuazione: l’avanzamento è seguito mediante indicatori di processo — sedi attivate, incarichi conferiti, prese in carico — raccolti attraverso il flusso informativo già avviato dall’Osservatorio regionale, di cui la strutturazione deve garantire l’uniformità e la completezza fra le sette Aziende.</w:t>
      </w:r>
    </w:p>
  </w:footnote>
  <w:footnote w:id="3281">
    <w:p>
      <w:pPr>
        <w:pStyle w:val="FootnoteText"/>
      </w:pPr>
      <w:r>
        <w:rPr>
          <w:rStyle w:val="FootnoteReference"/>
        </w:rPr>
        <w:footnoteRef/>
      </w:r>
      <w:r>
        <w:t xml:space="preserve"> </w:t>
      </w:r>
      <w:r>
        <w:t xml:space="preserve">Rischi principali dell’attuazione: la disomogeneità attuativa fra le Aziende in un sistema policentrico; la difficoltà di coordinamento in assenza di un’azienda unica; e soprattutto la dipendenza del servizio dalle risorse transitorie del Piano Nazionale Equità in Salute, che introduce un’incertezza finanziaria fino alla stabilizzazione su risorse regionali, cui si aggiunge l’assenza di un contratto collettivo nazionale.</w:t>
      </w:r>
    </w:p>
  </w:footnote>
  <w:footnote w:id="3282">
    <w:p>
      <w:pPr>
        <w:pStyle w:val="FootnoteText"/>
      </w:pPr>
      <w:r>
        <w:rPr>
          <w:rStyle w:val="FootnoteReference"/>
        </w:rPr>
        <w:footnoteRef/>
      </w:r>
      <w:r>
        <w:t xml:space="preserve"> </w:t>
      </w:r>
      <w:r>
        <w:t xml:space="preserve">Mitigazioni: i rischi sono fronteggiati con una regia regionale forte e indirizzi operativi uniformi, con la progressione differenziata dell’estensione fra le Aziende che consente un apprendimento progressivo, e con un’allocazione pro-equità che orienta l’estensione verso le aree a maggiore bisogno; la stabilizzazione del finanziamento su risorse regionali e il sostegno dell’Ordine professionale concorrono a ridurre l’incertezza.</w:t>
      </w:r>
    </w:p>
  </w:footnote>
  <w:footnote w:id="3283">
    <w:p>
      <w:pPr>
        <w:pStyle w:val="FootnoteText"/>
      </w:pPr>
      <w:r>
        <w:rPr>
          <w:rStyle w:val="FootnoteReference"/>
        </w:rPr>
        <w:footnoteRef/>
      </w:r>
      <w:r>
        <w:t xml:space="preserve"> </w:t>
      </w:r>
      <w:r>
        <w:t xml:space="preserve">Sintesi dell’attuazione: l’intervento è attuabile e sostenibile, e la leva propria della Campania è la stabilizzazione del finanziamento e l’estensione dimensionata di un servizio già attivo; la regione muove da un nucleo già operativo, da un bacino professionale ampio e dai margini riacquistati con l’uscita dal piano di rientro, sicché le condizioni di fattibilità sono complessivamente favorevoli.</w:t>
      </w:r>
    </w:p>
  </w:footnote>
  <w:footnote w:id="3284">
    <w:p>
      <w:pPr>
        <w:pStyle w:val="FootnoteText"/>
      </w:pPr>
      <w:r>
        <w:rPr>
          <w:rStyle w:val="FootnoteReference"/>
        </w:rPr>
        <w:footnoteRef/>
      </w:r>
      <w:r>
        <w:t xml:space="preserve"> </w:t>
      </w:r>
      <w:r>
        <w:t xml:space="preserve">Struttura per età fra le più giovani d’Italia: l’età media è dell’ordine di 44,5 anni, fra le più basse del Paese, pur in lieve crescita. La distribuzione interna è disomogenea: le province di Caserta e Napoli sono le più giovani (età media dell’ordine di 43,6 e 43,7 anni), mentre Benevento e Avellino sono le più anziane (47,1 e 46,9 anni). La componente straniera concorre al ringiovanimento della popolazione.</w:t>
      </w:r>
    </w:p>
  </w:footnote>
  <w:footnote w:id="3285">
    <w:p>
      <w:pPr>
        <w:pStyle w:val="FootnoteText"/>
      </w:pPr>
      <w:r>
        <w:rPr>
          <w:rStyle w:val="FootnoteReference"/>
        </w:rPr>
        <w:footnoteRef/>
      </w:r>
      <w:r>
        <w:t xml:space="preserve"> </w:t>
      </w:r>
      <w:r>
        <w:t xml:space="preserve">Componente straniera dell’ordine del 5,0% dei residenti (276.531 persone), nettamente inferiore alla media nazionale e fra le più contenute fra le regioni esaminate; ciò rende la dimensione della competenza culturale meno centrale che in altre regioni, pur restando rilevante nelle aree di maggiore insediamento.</w:t>
      </w:r>
    </w:p>
  </w:footnote>
  <w:footnote w:id="3286">
    <w:p>
      <w:pPr>
        <w:pStyle w:val="FootnoteText"/>
      </w:pPr>
      <w:r>
        <w:rPr>
          <w:rStyle w:val="FootnoteReference"/>
        </w:rPr>
        <w:footnoteRef/>
      </w:r>
      <w:r>
        <w:t xml:space="preserve"> </w:t>
      </w:r>
      <w:r>
        <w:t xml:space="preserve">Distribuzione territoriale fortemente concentrata: la sola provincia di Napoli raccoglie circa il 53% dei residenti, sfiorando i tre milioni di abitanti; segue la provincia di Salerno, con oltre un milione di residenti, pari a circa il 19%; le restanti tre province — Caserta, Avellino e Benevento — raccolgono circa il 28%.</w:t>
      </w:r>
    </w:p>
  </w:footnote>
  <w:footnote w:id="3287">
    <w:p>
      <w:pPr>
        <w:pStyle w:val="FootnoteText"/>
      </w:pPr>
      <w:r>
        <w:rPr>
          <w:rStyle w:val="FootnoteReference"/>
        </w:rPr>
        <w:footnoteRef/>
      </w:r>
      <w:r>
        <w:t xml:space="preserve"> </w:t>
      </w:r>
      <w:r>
        <w:t xml:space="preserve">Profilo territoriale a marcata polarità: da un lato la densissima area metropolitana napoletana, fra le più popolose d’Europa, con estese aree di deprivazione socio-economica; dall’altro le province interne di Avellino e Benevento, più anziane e a minore densità, dove la rarefazione dei servizi e le distanze acuiscono le difficoltà di accesso.</w:t>
      </w:r>
    </w:p>
  </w:footnote>
  <w:footnote w:id="3288">
    <w:p>
      <w:pPr>
        <w:pStyle w:val="FootnoteText"/>
      </w:pPr>
      <w:r>
        <w:rPr>
          <w:rStyle w:val="FootnoteReference"/>
        </w:rPr>
        <w:footnoteRef/>
      </w:r>
    </w:p>
  </w:footnote>
  <w:footnote w:id="3289">
    <w:p>
      <w:pPr>
        <w:pStyle w:val="FootnoteText"/>
      </w:pPr>
      <w:r>
        <w:rPr>
          <w:rStyle w:val="FootnoteReference"/>
        </w:rPr>
        <w:footnoteRef/>
      </w:r>
      <w:r>
        <w:t xml:space="preserve"> </w:t>
      </w:r>
      <w:r>
        <w:t xml:space="preserve">Profilo territoriale a marcata polarità: da un lato la densissima area metropolitana napoletana, fra le più popolose d’Europa, con estese aree di deprivazione socio-economica; dall’altro le province interne di Avellino e Benevento, più anziane e a minore densità,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Campania tale definizione è già recepita nella legge regionale 35 del 2020 e nel relativo regolamento attuativo.</w:t>
      </w:r>
    </w:p>
  </w:footnote>
  <w:footnote w:id="3290">
    <w:p>
      <w:pPr>
        <w:pStyle w:val="FootnoteText"/>
      </w:pPr>
      <w:r>
        <w:rPr>
          <w:rStyle w:val="FootnoteReference"/>
        </w:rPr>
        <w:footnoteRef/>
      </w:r>
    </w:p>
  </w:footnote>
  <w:footnote w:id="3291">
    <w:p>
      <w:pPr>
        <w:pStyle w:val="FootnoteText"/>
      </w:pPr>
      <w:r>
        <w:rPr>
          <w:rStyle w:val="FootnoteReference"/>
        </w:rPr>
        <w:footnoteRef/>
      </w:r>
      <w:r>
        <w:t xml:space="preserve"> </w:t>
      </w:r>
      <w:r>
        <w:t xml:space="preserve">Profilo territoriale a marcata polarità: da un lato la densissima area metropolitana napoletana, fra le più popolose d’Europa, con estese aree di deprivazione socio-economica; dall’altro le province interne di Avellino e Benevento, più anziane e a minore densità,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Campania tale definizione è già recepita nella legge regionale 35 del 2020 e nel relativo regolamento attuativo.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3292">
    <w:p>
      <w:pPr>
        <w:pStyle w:val="FootnoteText"/>
      </w:pPr>
      <w:r>
        <w:rPr>
          <w:rStyle w:val="FootnoteReference"/>
        </w:rPr>
        <w:footnoteRef/>
      </w:r>
      <w:r>
        <w:t xml:space="preserve"> </w:t>
      </w:r>
      <w:r>
        <w:t xml:space="preserve">Costo del servizio: assumendo un costo medio annuo per incarico dell’ordine di 55.000 euro, comprensivo degli oneri, i tre scenari di copertura corrispondono a un costo annuo a regime dell’ordine di 34 milioni di euro nello scenario conservativo (circa 610 psicologi), 50 milioni nello scenario di base (circa 910) e 67 milioni nello scenario espansivo (circa 1.210), nel modello del rapporto convenzionale su base libero-professionale già adottato dalla legge regionale.</w:t>
      </w:r>
    </w:p>
  </w:footnote>
  <w:footnote w:id="3293">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Il servizio attualmente attivo, dell’ordine di 146 psicologi, in larga parte sostenuto da risorse transitorie del Piano Nazionale Equità in Salute, costituisce un nucleo iniziale, inferiore allo stesso scenario conservativo; gli scenari qui considerati rappresentano il regime e non la prima fase di avvio.</w:t>
      </w:r>
    </w:p>
  </w:footnote>
  <w:footnote w:id="3294">
    <w:p>
      <w:pPr>
        <w:pStyle w:val="FootnoteText"/>
      </w:pPr>
      <w:r>
        <w:rPr>
          <w:rStyle w:val="FootnoteReference"/>
        </w:rPr>
        <w:footnoteRef/>
      </w:r>
      <w:r>
        <w:t xml:space="preserve"> </w:t>
      </w:r>
      <w:r>
        <w:t xml:space="preserve">Risparmio diretto sugli accessi impropri al pronto soccorso: dell’ordine di 5, 7 e 10 milioni di euro l’anno nei tre scenari, per effetto della riduzione degli accessi per cause psichiatriche e somatoformi intercettabili a livello territoriale, particolarmente rilevanti in un sistema storicamente sotto-dotato.</w:t>
      </w:r>
    </w:p>
  </w:footnote>
  <w:footnote w:id="3295">
    <w:p>
      <w:pPr>
        <w:pStyle w:val="FootnoteText"/>
      </w:pPr>
      <w:r>
        <w:rPr>
          <w:rStyle w:val="FootnoteReference"/>
        </w:rPr>
        <w:footnoteRef/>
      </w:r>
      <w:r>
        <w:t xml:space="preserve"> </w:t>
      </w:r>
      <w:r>
        <w:t xml:space="preserve">Risparmio diretto sulla spesa farmaceutica: dell’ordine di 5, 8 e 12 milioni di euro l’anno, per effetto della riduzione delle prescrizioni inappropriate di antidepressivi e ansiolitici nei quadri lievi, in favore dell’intervento psicologico.</w:t>
      </w:r>
    </w:p>
  </w:footnote>
  <w:footnote w:id="3296">
    <w:p>
      <w:pPr>
        <w:pStyle w:val="FootnoteText"/>
      </w:pPr>
      <w:r>
        <w:rPr>
          <w:rStyle w:val="FootnoteReference"/>
        </w:rPr>
        <w:footnoteRef/>
      </w:r>
      <w:r>
        <w:t xml:space="preserve"> </w:t>
      </w:r>
      <w:r>
        <w:t xml:space="preserve">Risparmio diretto su ricoveri e specialistica: dell’ordine di 13, 20 e 34 milioni di euro l’anno, per effetto della riduzione di ricoveri evitabili, consulti specialistici ripetuti e accertamenti inappropriati connessi a disagio non riconosciuto; il margine di recupero è ampio in ragione della sotto-dotazione storica del sistema.</w:t>
      </w:r>
    </w:p>
  </w:footnote>
  <w:footnote w:id="3297">
    <w:p>
      <w:pPr>
        <w:pStyle w:val="FootnoteText"/>
      </w:pPr>
      <w:r>
        <w:rPr>
          <w:rStyle w:val="FootnoteReference"/>
        </w:rPr>
        <w:footnoteRef/>
      </w:r>
      <w:r>
        <w:t xml:space="preserve"> </w:t>
      </w:r>
      <w:r>
        <w:t xml:space="preserve">Recupero della mobilità sanitaria: per la Campania il contributo è modesto, dell’ordine di 4, 7 e 10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w:t>
      </w:r>
    </w:p>
  </w:footnote>
  <w:footnote w:id="3298">
    <w:p>
      <w:pPr>
        <w:pStyle w:val="FootnoteText"/>
      </w:pPr>
      <w:r>
        <w:rPr>
          <w:rStyle w:val="FootnoteReference"/>
        </w:rPr>
        <w:footnoteRef/>
      </w:r>
    </w:p>
  </w:footnote>
  <w:footnote w:id="3299">
    <w:p>
      <w:pPr>
        <w:pStyle w:val="FootnoteText"/>
      </w:pPr>
      <w:r>
        <w:rPr>
          <w:rStyle w:val="FootnoteReference"/>
        </w:rPr>
        <w:footnoteRef/>
      </w:r>
      <w:r>
        <w:t xml:space="preserve"> </w:t>
      </w:r>
      <w:r>
        <w:t xml:space="preserve">Recupero della mobilità sanitaria: per la Campania il contributo è modesto, dell’ordine di 4, 7 e 10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3300">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3301">
    <w:p>
      <w:pPr>
        <w:pStyle w:val="FootnoteText"/>
      </w:pPr>
      <w:r>
        <w:rPr>
          <w:rStyle w:val="FootnoteReference"/>
        </w:rPr>
        <w:footnoteRef/>
      </w:r>
      <w:r>
        <w:t xml:space="preserve"> </w:t>
      </w:r>
      <w:r>
        <w:t xml:space="preserve">Disegno controfattuale su servizio attivo: poiché nella Campania il servizio è già attivo ma in corso di estensione, la valutazione d’impatto può fondarsi su un esperimento a cunei progressivi, nel quale l’ordine e i tempi di estensione delle sedi tra le sette Aziende Sanitarie Locali e i loro distretti — che hanno avviato il servizio in tempi differenziati — sono impiegati a fini valutativi, con il servizio già in funzione come linea di base; la disponibilità di dati operativi reali, già raccolti dall’Osservatorio regionale, rafforza l’identificazione dell’effetto.</w:t>
      </w:r>
    </w:p>
  </w:footnote>
  <w:footnote w:id="3302">
    <w:p>
      <w:pPr>
        <w:pStyle w:val="FootnoteText"/>
      </w:pPr>
      <w:r>
        <w:rPr>
          <w:rStyle w:val="FootnoteReference"/>
        </w:rPr>
        <w:footnoteRef/>
      </w:r>
      <w:r>
        <w:t xml:space="preserve"> </w:t>
      </w:r>
      <w:r>
        <w:t xml:space="preserve">Linea di base dalla progressione differenziata: a differenza del Lazio, la Campania non dispone di una linea di base anteriore all’avvio per le aree già servite, ma il diverso grado di estensione fra le sette Aziende e i dati operativi già raccolti consentono di costruire termini di confronto interni; la stima dell’effetto poggia così su dati reali, vantaggio che le regioni prive di servizio attivo non possiedono.</w:t>
      </w:r>
    </w:p>
  </w:footnote>
  <w:footnote w:id="3303">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differenziata dell’estensione fra le Aziende fornisce la variazione necessaria all’identificazione.</w:t>
      </w:r>
    </w:p>
  </w:footnote>
  <w:footnote w:id="3304">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3305">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3306">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3307">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3308">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3309">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3310">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3311">
    <w:p>
      <w:pPr>
        <w:pStyle w:val="FootnoteText"/>
      </w:pPr>
      <w:r>
        <w:rPr>
          <w:rStyle w:val="FootnoteReference"/>
        </w:rPr>
        <w:footnoteRef/>
      </w:r>
      <w:r>
        <w:t xml:space="preserve"> </w:t>
      </w:r>
      <w:r>
        <w:t xml:space="preserve">Indicatori di mobilità: per la Campania sono monitorati ma costituiscono un esito atteso solo modesto, poiché la fuga — pur fra le più elevate d’Italia — riguarda l’alta complessità ospedaliera e chirurgica e non la domanda psicologica territoriale; la loro rilevazione serve a documentare la sola frazione territorialmente intercettabile, non un effetto principale.</w:t>
      </w:r>
    </w:p>
  </w:footnote>
  <w:footnote w:id="3312">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campano.</w:t>
      </w:r>
    </w:p>
  </w:footnote>
  <w:footnote w:id="3313">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 Regione e all’Osservatorio regionale già istituito, che ne assicurano l’alimentazione uniforme da parte delle sette Aziende.</w:t>
      </w:r>
    </w:p>
  </w:footnote>
  <w:footnote w:id="3314">
    <w:p>
      <w:pPr>
        <w:pStyle w:val="FootnoteText"/>
      </w:pPr>
      <w:r>
        <w:rPr>
          <w:rStyle w:val="FootnoteReference"/>
        </w:rPr>
        <w:footnoteRef/>
      </w:r>
      <w:r>
        <w:t xml:space="preserve"> </w:t>
      </w:r>
      <w:r>
        <w:t xml:space="preserve">Clausola valutativa: lo strumento attraverso cui il monitoraggio diventa vincolante è la clausola valutativa; a differenza del Lazio, che deve inserirla nella futura legge, la Campania dispone già di una previsione di rendicontazione nella legge regionale 35 del 2020 e nell’Osservatorio regionale, sicché il compito non è introdurla ma rafforzarla e renderla pienamente operativa, impegnando la Giunta a riferire periodicamente al Consiglio sull’attuazione e sui risultati.</w:t>
      </w:r>
    </w:p>
  </w:footnote>
  <w:footnote w:id="3315">
    <w:p>
      <w:pPr>
        <w:pStyle w:val="FootnoteText"/>
      </w:pPr>
      <w:r>
        <w:rPr>
          <w:rStyle w:val="FootnoteReference"/>
        </w:rPr>
        <w:footnoteRef/>
      </w:r>
      <w:r>
        <w:t xml:space="preserve"> </w:t>
      </w:r>
      <w:r>
        <w:t xml:space="preserve">Flusso informativo: la raccolta dei dati di processo e di esito poggia su un flusso informativo già avviato dall’Osservatorio regionale attraverso le relazioni annuali degli psicologi, di cui la strutturazione deve garantire l’uniformità, la completezza e l’interoperabilità con la piattaforma informativa sanitaria regionale, consolidando un sistema in funzione anziché istituirlo.</w:t>
      </w:r>
    </w:p>
  </w:footnote>
  <w:footnote w:id="3316">
    <w:p>
      <w:pPr>
        <w:pStyle w:val="FootnoteText"/>
      </w:pPr>
      <w:r>
        <w:rPr>
          <w:rStyle w:val="FootnoteReference"/>
        </w:rPr>
        <w:footnoteRef/>
      </w:r>
      <w:r>
        <w:t xml:space="preserve"> </w:t>
      </w:r>
      <w:r>
        <w:t xml:space="preserve">Tempi della valutazione: la valutazione si articola in un monitoraggio in itinere, che accompagna l’estensione del servizio attivo e ne osserva la progressione differenziata fra le Aziende; e in una valutazione ex post, che misura l’effetto a regime e ne verifica la sostenibilità; rispetto al Lazio manca una linea di base anteriore all’avvio per le aree già servite, compensata dai dati operativi reali già disponibili.</w:t>
      </w:r>
    </w:p>
  </w:footnote>
  <w:footnote w:id="3317">
    <w:p>
      <w:pPr>
        <w:pStyle w:val="FootnoteText"/>
      </w:pPr>
      <w:r>
        <w:rPr>
          <w:rStyle w:val="FootnoteReference"/>
        </w:rPr>
        <w:footnoteRef/>
      </w:r>
      <w:r>
        <w:t xml:space="preserve"> </w:t>
      </w:r>
      <w:r>
        <w:t xml:space="preserve">Sintesi del monitoraggio: 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p>
  </w:footnote>
  <w:footnote w:id="3318">
    <w:p>
      <w:pPr>
        <w:pStyle w:val="FootnoteText"/>
      </w:pPr>
      <w:r>
        <w:rPr>
          <w:rStyle w:val="FootnoteReference"/>
        </w:rPr>
        <w:footnoteRef/>
      </w:r>
      <w:r>
        <w:t xml:space="preserve"> </w:t>
      </w:r>
      <w:r>
        <w:t xml:space="preserve">Ricadute economico-sociali per la collettività: dell’ordine di 105, 200 e 300 milioni di euro l’anno nei tre scenari, comprensive del recupero di produttività connesso alla riduzione dell’assenteismo e della perdita di rendimento lavorativo — di particolare rilievo in una regione giovane — del valore del benessere recuperato e del minor carico assistenziale sulle famiglie; sono stimate con criteri conservativi.</w:t>
      </w:r>
    </w:p>
  </w:footnote>
  <w:footnote w:id="3319">
    <w:p>
      <w:pPr>
        <w:pStyle w:val="FootnoteText"/>
      </w:pPr>
      <w:r>
        <w:rPr>
          <w:rStyle w:val="FootnoteReference"/>
        </w:rPr>
        <w:footnoteRef/>
      </w:r>
      <w:r>
        <w:t xml:space="preserve"> </w:t>
      </w:r>
      <w:r>
        <w:t xml:space="preserve">Ritorno complessivo annuo, somma dei risparmi diretti e delle ricadute sociali: dell’ordine di 132, 242 e 366 milioni di euro nei tre scenari. Detratto il costo del servizio, il saldo complessivo per la collettività è ampiamente positivo, dell’ordine di +98, +192 e +299 milioni di euro l’anno.</w:t>
      </w:r>
    </w:p>
  </w:footnote>
  <w:footnote w:id="3320">
    <w:p>
      <w:pPr>
        <w:pStyle w:val="FootnoteText"/>
      </w:pPr>
      <w:r>
        <w:rPr>
          <w:rStyle w:val="FootnoteReference"/>
        </w:rPr>
        <w:footnoteRef/>
      </w:r>
      <w:r>
        <w:t xml:space="preserve"> </w:t>
      </w:r>
      <w:r>
        <w:t xml:space="preserve">Rapporto beneficio-costo complessivo: dell’ordine di 3,9 a uno nello scenario conservativo, 4,8 a uno in quello di base e 5,5 a uno in quello espansivo, interamente compreso nella banda prudenziale di 3,8-5,5 a uno adottata dallo studio e coerente con le stime metodologicamente fondate della letteratura.</w:t>
      </w:r>
    </w:p>
  </w:footnote>
  <w:footnote w:id="3321">
    <w:p>
      <w:pPr>
        <w:pStyle w:val="FootnoteText"/>
      </w:pPr>
      <w:r>
        <w:rPr>
          <w:rStyle w:val="FootnoteReference"/>
        </w:rPr>
        <w:footnoteRef/>
      </w:r>
      <w:r>
        <w:t xml:space="preserve"> </w:t>
      </w:r>
      <w:r>
        <w:t xml:space="preserve">Distinzione cardine fra caso finanziario e caso economico: è il punto che lo studio tiene fermo per la Campania e che ne governa la lettura.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molto contenuto per il bilancio sanitario.</w:t>
      </w:r>
    </w:p>
  </w:footnote>
  <w:footnote w:id="3322">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3323">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3324">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3325">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0,6% in quello espansivo. La sostenibilità è favorita dalla circostanza che la Campania è uscita dal piano di rientro nel marzo 2026, dopo quasi vent’anni, riacquistando margini di programmazione e capacità di investimento che per due decenni non aveva avuto; la strutturazione a regime richiede peraltro il passaggio dalle risorse transitorie del Piano Nazionale Equità in Salute, oggi prevalenti, a un finanziamento regionale stabile, oggi reso possibile.</w:t>
      </w:r>
    </w:p>
  </w:footnote>
  <w:footnote w:id="3326">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(9,5%) e non estratte dai conti certificati delle sette Aziende Sanitarie Locali e delle aziende ospedaliere; a differenza del Lazio, tuttavia, la Campania dispone già di un servizio attivo che produce dati operativi reali, raccolti dall’Osservatorio regionale, sicché la stima poggia sui benchmark internazionali e su una base di dati propri in via di consolidamento. L’estrazione dei dati certificati resta la priorità da completare prima della presentazione esterna.</w:t>
      </w:r>
    </w:p>
  </w:footnote>
  <w:footnote w:id="3327">
    <w:p>
      <w:pPr>
        <w:pStyle w:val="FootnoteText"/>
      </w:pPr>
      <w:r>
        <w:rPr>
          <w:rStyle w:val="FootnoteReference"/>
        </w:rPr>
        <w:footnoteRef/>
      </w:r>
      <w:r>
        <w:t xml:space="preserve"> </w:t>
      </w:r>
      <w:r>
        <w:t xml:space="preserve">Sintesi della valutazione economica: il caso diretto è prudente e prossimo al pareggio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3328">
    <w:p>
      <w:pPr>
        <w:pStyle w:val="FootnoteText"/>
      </w:pPr>
      <w:r>
        <w:rPr>
          <w:rStyle w:val="FootnoteReference"/>
        </w:rPr>
        <w:footnoteRef/>
      </w:r>
      <w:r>
        <w:t xml:space="preserve"> </w:t>
      </w:r>
      <w:r>
        <w:t xml:space="preserve">Bisogno potenziale stimato nell’ordine di 1.116.000 persone con disagio comune, in larga parte non intercettato nonostante la presenza del servizio pioniere; poiché il servizio è già attivo ma parziale, l’intervento va dimensionato a partire dal nucleo esistente, dell’ordine di 146 psicologi, ed esteso verso il fabbisogno a regime.</w:t>
      </w:r>
    </w:p>
  </w:footnote>
  <w:footnote w:id="3329">
    <w:p>
      <w:pPr>
        <w:pStyle w:val="FootnoteText"/>
      </w:pPr>
      <w:r>
        <w:rPr>
          <w:rStyle w:val="FootnoteReference"/>
        </w:rPr>
        <w:footnoteRef/>
      </w:r>
      <w:r>
        <w:t xml:space="preserve"> </w:t>
      </w:r>
      <w:r>
        <w:t xml:space="preserve">Modello organizzativo: lo psicologo di base opera nelle Case della Comunità e nei distretti sanitari, in collaborazione con i medici di medicina generale, i pediatri di libera scelta e i Centri di Salute Mentale, secondo l’impianto della legge regionale 35 del 2020, che prevede almeno due psicologi per distretto sanitario, l’istituzione di un elenco aziendale degli psicologi di base presso ciascuna Azienda Sanitaria Locale e un rapporto convenzionale su base libero-professionale. Nel modello campano il servizio è già attivo nelle sette Aziende Sanitarie Locali; a differenza del Veneto, la Regione non dispone di un’azienda regionale unica, e il coordinamento è in capo alla Regione con il supporto dell’Osservatorio regionale, sicché l’omogeneità attuativa fra le sette Aziende — tre delle quali nell’area metropolitana napoletana — è la sfida organizzativa principale.</w:t>
      </w:r>
    </w:p>
  </w:footnote>
  <w:footnote w:id="3330">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3331">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è già operativo nelle Aziende campane e affronta i quadri più frequenti — sintomatologia ansioso-depressiva, problemi di adattamento, fasi del ciclo di vita, disagi emotivi transitori, problematiche psicosomatiche.</w:t>
      </w:r>
    </w:p>
  </w:footnote>
  <w:footnote w:id="3332">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3333">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334">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335">
    <w:p>
      <w:pPr>
        <w:pStyle w:val="FootnoteText"/>
      </w:pPr>
      <w:r>
        <w:rPr>
          <w:rStyle w:val="FootnoteReference"/>
        </w:rPr>
        <w:footnoteRef/>
      </w:r>
    </w:p>
  </w:footnote>
  <w:footnote w:id="3336">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3337">
    <w:p>
      <w:pPr>
        <w:pStyle w:val="FootnoteText"/>
      </w:pPr>
      <w:r>
        <w:rPr>
          <w:rStyle w:val="FootnoteReference"/>
        </w:rPr>
        <w:footnoteRef/>
      </w:r>
      <w:r>
        <w:t xml:space="preserve"> </w:t>
      </w:r>
      <w:r>
        <w:t xml:space="preserve">Sintesi per dominio: il bisogno è ampio e radicato in una regione giovane e fortemente accentrata su Napoli; l’efficacia clinica è sostenuta da evidenza internazionale solida e, per la Campania, già integrata da dati operativi reali del servizio attivo; il quadro economico distingue un caso finanziario di modesto disavanzo prossimo al pareggio da un caso sociale fortemente positivo; l’equità è favorevole su un doppio asse territoriale e sulla dimensione generazionale; la fattibilità è quella di una strutturazione a regime di un servizio già attivo; il monitoraggio può fondarsi su dati reali già disponibili. La convergenza dei domini sostiene una raccomandazione favorevole.</w:t>
      </w:r>
    </w:p>
  </w:footnote>
  <w:footnote w:id="3338">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3339">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3340">
    <w:p>
      <w:pPr>
        <w:pStyle w:val="FootnoteText"/>
      </w:pPr>
      <w:r>
        <w:rPr>
          <w:rStyle w:val="FootnoteReference"/>
        </w:rPr>
        <w:footnoteRef/>
      </w:r>
      <w:r>
        <w:t xml:space="preserve"> </w:t>
      </w:r>
      <w:r>
        <w:t xml:space="preserve">Punteggio dell’intervento: la media ponderata dei punteggi attribuiti all’intervento è dell’ordine di 80,6 su 100, sostenuta dai punteggi elevati nel valore sociale, nell’equità, nella coerenza strategica — la più alta della serie, propria della regione pioniera — e nel ritorno economico, e contenuta dal punteggio più basso nella robustezza dell’evidenza, che, pur superiore a quello del Lazio grazie ai dati propri, riflette la natura ancora giovane del servizio.</w:t>
      </w:r>
    </w:p>
  </w:footnote>
  <w:footnote w:id="3341">
    <w:p>
      <w:pPr>
        <w:pStyle w:val="FootnoteText"/>
      </w:pPr>
      <w:r>
        <w:rPr>
          <w:rStyle w:val="FootnoteReference"/>
        </w:rPr>
        <w:footnoteRef/>
      </w:r>
      <w:r>
        <w:t xml:space="preserve"> </w:t>
      </w:r>
      <w:r>
        <w:t xml:space="preserve">Punteggio del non intervento: l’alternativa di non strutturare il servizio a regime ottiene una media ponderata dell’ordine di 39,2 su 100; essa è penalizzata in tutti i criteri sostanziali — efficacia, equità, valore sociale, ritorno — e è sostenuta soltanto dalla fattibilità immediata dello status quo, che però nella Campania appare oggi meno giustificata, vista la disponibilità di margini finanziari riacquistati con l’uscita dal piano di rientro.</w:t>
      </w:r>
    </w:p>
  </w:footnote>
  <w:footnote w:id="3342">
    <w:p>
      <w:pPr>
        <w:pStyle w:val="FootnoteText"/>
      </w:pPr>
      <w:r>
        <w:rPr>
          <w:rStyle w:val="FootnoteReference"/>
        </w:rPr>
        <w:footnoteRef/>
      </w:r>
      <w:r>
        <w:t xml:space="preserve"> </w:t>
      </w:r>
      <w:r>
        <w:t xml:space="preserve">Interpretazione del confronto: l’intervento prevale nettamente sul non intervento, con uno scarto dell’ordine di quarantuno punti; il punteggio dell’intervento si colloca fra i più elevati delle regioni esaminate di recente, riflettendo la posizione di regione pioniera — prima per legge e già dotata di servizio attivo e di dati propri — pur scontando un caso finanziario diretto modesto e la giovane età del servizio.</w:t>
      </w:r>
    </w:p>
  </w:footnote>
  <w:footnote w:id="3343">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3344">
    <w:p>
      <w:pPr>
        <w:pStyle w:val="FootnoteText"/>
      </w:pPr>
      <w:r>
        <w:rPr>
          <w:rStyle w:val="FootnoteReference"/>
        </w:rPr>
        <w:footnoteRef/>
      </w:r>
      <w:r>
        <w:t xml:space="preserve"> </w:t>
      </w:r>
      <w:r>
        <w:t xml:space="preserve">Raccomandazione principale: si raccomanda di strutturare a regime il servizio di psicologia di base già attivo, stabilizzandone il finanziamento — dal sostegno transitorio del Piano Nazionale Equità in Salute a risorse regionali stabili — e dimensionandolo verso la copertura piena del fabbisogno; è la decisione che la Campania, prima regione d’Italia ad aver istituito il servizio per legge, è chiamata a compiere per consolidare il proprio primato in un servizio a regime.</w:t>
      </w:r>
    </w:p>
  </w:footnote>
  <w:footnote w:id="3345">
    <w:p>
      <w:pPr>
        <w:pStyle w:val="FootnoteText"/>
      </w:pPr>
      <w:r>
        <w:rPr>
          <w:rStyle w:val="FootnoteReference"/>
        </w:rPr>
        <w:footnoteRef/>
      </w:r>
      <w:r>
        <w:t xml:space="preserve"> </w:t>
      </w:r>
      <w:r>
        <w:t xml:space="preserve">Dimensionamento raccomandato: si raccomanda di muovere dal nucleo già attivo, dell’ordine di 146 psicologi, e di procedere per gradi verso lo scenario conservativo, dell’ordine di 610 psicologi, quindi verso quello di base, dell’ordine di 910, e infine verso quello espansivo, dell’ordine di 1.210, in funzione della verifica progressiva dei risultati e della sostenibilità.</w:t>
      </w:r>
    </w:p>
  </w:footnote>
  <w:footnote w:id="3346">
    <w:p>
      <w:pPr>
        <w:pStyle w:val="FootnoteText"/>
      </w:pPr>
      <w:r>
        <w:rPr>
          <w:rStyle w:val="FootnoteReference"/>
        </w:rPr>
        <w:footnoteRef/>
      </w:r>
      <w:r>
        <w:t xml:space="preserve"> </w:t>
      </w:r>
      <w:r>
        <w:t xml:space="preserve">Condizioni della raccomandazione: il rafforzamento e la piena operatività della clausola valutativa già prevista dalla legge, l’adozione di un’allocazione pro-equità verso le periferie napoletane, le province interne e il disagio giovanile, una regia regionale forte affiancata dall’Osservatorio in assenza di un’azienda unica e il consolidamento del flusso informativo già avviato sono le condizioni che trasformano la raccomandazione in un’attuazione efficace e valutabile.</w:t>
      </w:r>
    </w:p>
  </w:footnote>
  <w:footnote w:id="3347">
    <w:p>
      <w:pPr>
        <w:pStyle w:val="FootnoteText"/>
      </w:pPr>
      <w:r>
        <w:rPr>
          <w:rStyle w:val="FootnoteReference"/>
        </w:rPr>
        <w:footnoteRef/>
      </w:r>
      <w:r>
        <w:t xml:space="preserve"> </w:t>
      </w:r>
      <w:r>
        <w:t xml:space="preserve">Lacuna da colmare prima della presentazione esterna: l’estrazione dei conti certificati delle sette Aziende Sanitarie Locali e delle aziende ospedaliere e il consolidamento e l’uniformazione del flusso dei dati di esito già raccolti dall’Osservatorio sono le priorità che consentiranno di sostituire i valori ricostruiti per quota di popolazione con grandezze effettive, valorizzando i dati propri della regione pioniera.</w:t>
      </w:r>
    </w:p>
  </w:footnote>
  <w:footnote w:id="3348">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3349">
    <w:p>
      <w:pPr>
        <w:pStyle w:val="FootnoteText"/>
      </w:pPr>
      <w:r>
        <w:rPr>
          <w:rStyle w:val="FootnoteReference"/>
        </w:rPr>
        <w:footnoteRef/>
      </w:r>
      <w:r>
        <w:t xml:space="preserve"> </w:t>
      </w:r>
      <w:r>
        <w:t xml:space="preserve">Collocazione nella serie regionale: lo studio sulla Campania è il nono della serie, dopo quelli su Puglia, Lombardia, Veneto, Emilia-Romagna, Piemonte, Toscana, Liguria e Lazio, e ne condivide il telaio integrato e il caso di riferimento; rispetto agli altri, la Campania occupa una posizione fondativa, quella della regione pioniera che per prima ha istituito il servizio per legge — con una disciplina validata dalla Corte Costituzionale, la cui pronuncia è richiamata da tutti gli studi della serie — e che oggi è chiamata a portarlo a regime.</w:t>
      </w:r>
    </w:p>
  </w:footnote>
  <w:footnote w:id="3350">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3351">
    <w:p>
      <w:pPr>
        <w:pStyle w:val="FootnoteText"/>
      </w:pPr>
      <w:r>
        <w:rPr>
          <w:rStyle w:val="FootnoteReference"/>
        </w:rPr>
        <w:footnoteRef/>
      </w:r>
      <w:r>
        <w:t xml:space="preserve"> </w:t>
      </w:r>
      <w:r>
        <w:t xml:space="preserve">Conclusione: la decisione che lo studio sostiene è di strutturare a regime il servizio di psicologia di base già attivo, stabilizzandone il finanziamento, dimensionandolo progressivamente al fabbisogno e rendendo pienamente operativa la clausola valutativa; per la Campania, prima regione d’Italia ad aver istituito il servizio, ciò significa consolidare un primato normativo in un servizio stabile e a regime, a beneficio della popolazione.</w:t>
      </w:r>
    </w:p>
  </w:footnote>
  <w:footnote w:id="3352">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A differenza del Lazio, che progetta il flusso da zero, la Campania dispone già di un flusso informativo avviato — le relazioni annuali raccolte dall’Osservatorio — di cui la strutturazione a regime deve garantire l’uniformità e la completezza fra le sette Aziende, consolidando un sistema già in funzione anziché istituirlo ex novo.</w:t>
      </w:r>
    </w:p>
  </w:footnote>
  <w:footnote w:id="3353">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3354">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3355">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3356">
    <w:p>
      <w:pPr>
        <w:pStyle w:val="FootnoteText"/>
      </w:pPr>
      <w:r>
        <w:rPr>
          <w:rStyle w:val="FootnoteReference"/>
        </w:rPr>
        <w:footnoteRef/>
      </w:r>
      <w:r>
        <w:t xml:space="preserve"> </w:t>
      </w:r>
      <w:r>
        <w:t xml:space="preserve">Telepsicologia e telemonitoraggio assistiti: nella Campania sono lo strumento per garantire l’accesso al sostegno psicologico nelle estese periferie dell’area metropolitana napoletana e nelle province interne di Avellino e Benevento, più anziane e a minore densità, dove le distanze e la rarefazione dei servizi rendono difficoltoso il raggiungimento delle sedi; tali strumenti sono concepiti come complementari e non sostitutivi della presa in carico in presenza.</w:t>
      </w:r>
    </w:p>
  </w:footnote>
  <w:footnote w:id="3357">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3358">
    <w:p>
      <w:pPr>
        <w:pStyle w:val="FootnoteText"/>
      </w:pPr>
      <w:r>
        <w:rPr>
          <w:rStyle w:val="FootnoteReference"/>
        </w:rPr>
        <w:footnoteRef/>
      </w:r>
      <w:r>
        <w:t xml:space="preserve"> </w:t>
      </w:r>
      <w:r>
        <w:t xml:space="preserve">Programma formativo a quattro livelli: universitario (curricula e tirocini presso gli atenei campani — Federico II, Vanvitelli, Salerno — e gli altri atenei regionali); post-universitario specialistico (formazione dedicata alla psicologia di base e alle cure primarie, comprensiva della competenza per il disagio giovanile, particolarmente rilevante in una regione giovane, e per l’età anziana nelle province interne); continuo lavorativo (aggiornamento in servizio, audit clinico, educazione continua in medicina); affiancamento operativo (tutoraggio sul campo e inserimento graduale con supervisione). La Campania presenta qui un elemento distintivo: la legge regionale prevede già un corso semestrale di abilitazione regionale per l’iscrizione agli elenchi aziendali, base formativa propria del servizio pioniere.</w:t>
      </w:r>
    </w:p>
  </w:footnote>
  <w:footnote w:id="3359">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3360">
    <w:p>
      <w:pPr>
        <w:pStyle w:val="FootnoteText"/>
      </w:pPr>
      <w:r>
        <w:rPr>
          <w:rStyle w:val="FootnoteReference"/>
        </w:rPr>
        <w:footnoteRef/>
      </w:r>
    </w:p>
  </w:footnote>
  <w:footnote w:id="3361">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3362">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3363">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3364">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3365">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3366">
    <w:p>
      <w:pPr>
        <w:pStyle w:val="FootnoteText"/>
      </w:pPr>
      <w:r>
        <w:rPr>
          <w:rStyle w:val="FootnoteReference"/>
        </w:rPr>
        <w:footnoteRef/>
      </w:r>
    </w:p>
  </w:footnote>
  <w:footnote w:id="3367">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3368">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3369">
    <w:p>
      <w:pPr>
        <w:pStyle w:val="FootnoteText"/>
      </w:pPr>
      <w:r>
        <w:rPr>
          <w:rStyle w:val="FootnoteReference"/>
        </w:rPr>
        <w:footnoteRef/>
      </w:r>
      <w:r>
        <w:t xml:space="preserve"> </w:t>
      </w:r>
      <w:r>
        <w:t xml:space="preserve">Quadro economico consolidato per la Campania (Parte E): a regime, da circa 610 a circa 1.210 psicologi, costo del servizio di 34-67 milioni, risparmi diretti di 27-66 milioni, ricadute sociali di 105-300 milioni; il saldo diretto è lievemente negativo ma prossimo al pareggio, il saldo complessivo fortemente positivo, con rapporto beneficio-costo di 3,8-5,5 a uno.</w:t>
      </w:r>
    </w:p>
  </w:footnote>
  <w:footnote w:id="3370">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3371">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nella Campania, poiché il servizio è già attivo, il flusso è in parte avviato attraverso le relazioni annuali dell’Osservatorio regionale, e la strutturazione deve garantirne l’uniformità e la completezza fra le sette Aziende.</w:t>
      </w:r>
    </w:p>
  </w:footnote>
  <w:footnote w:id="3372">
    <w:p>
      <w:pPr>
        <w:pStyle w:val="FootnoteText"/>
      </w:pPr>
      <w:r>
        <w:rPr>
          <w:rStyle w:val="FootnoteReference"/>
        </w:rPr>
        <w:footnoteRef/>
      </w:r>
      <w:r>
        <w:t xml:space="preserve"> </w:t>
      </w:r>
      <w:r>
        <w:t xml:space="preserve">Valori regionali di ancoraggio per la Campania: popolazione di 5.582.337 abitanti (Censimento ISTAT 2024), pari a circa il 9,5% del totale nazionale, in lieve calo per saldi naturale e migratorio interno negativi, fortemente concentrata sulla provincia di Napoli (circa il 53%); struttura per età fra le più giovani d’Italia (età media circa 44,5 anni); componente straniera contenuta (circa 5,0%); finanziamento del Servizio sanitario regionale dell’ordine di 11-12 miliardi di euro, con uscita dal piano di rientro nel marzo 2026 e margini di programmazione riacquistati; saldo di mobilità fra i più passivi d’Italia ma con fuga concentrata nell’alta complessità ospedaliera e chirurgica, sicché il canale di recupero è modesto; fabbisogno a regime fino a circa 1.210 psicologi nello scenario espansivo.</w:t>
      </w:r>
    </w:p>
  </w:footnote>
  <w:footnote w:id="3373">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campana (9,5%), e non estratti dai conti regionali certificati; i dati da acquisire presso le sette Aziende Sanitarie Locali e le aziende ospedaliere sono elencati nella tabella seguente. A differenza del Lazio, nella Campania la loro mancanza è in parte mitigata dai dati operativi reali del servizio attivo, raccolti dall’Osservatorio regionale.</w:t>
      </w:r>
    </w:p>
  </w:footnote>
  <w:footnote w:id="3374">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3375">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ligure e laziale, di cui questo studio replica il telaio metodologico.</w:t>
      </w:r>
    </w:p>
  </w:footnote>
  <w:footnote w:id="3376">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3377">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3378">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il servizio attualmente attivo, dell’ordine di 146 psicologi e in larga parte sostenuto da risorse transitorie, corrisponde a un nucleo iniziale inferiore allo scenario conservativo, e costituisce la prima tappa di un percorso di estensione progressiva verso la copertura piena.</w:t>
      </w:r>
    </w:p>
  </w:footnote>
  <w:footnote w:id="3379">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3380">
    <w:p>
      <w:pPr>
        <w:pStyle w:val="FootnoteText"/>
      </w:pPr>
      <w:r>
        <w:rPr>
          <w:rStyle w:val="FootnoteReference"/>
        </w:rPr>
        <w:footnoteRef/>
      </w:r>
      <w:r>
        <w:t xml:space="preserve"> </w:t>
      </w:r>
      <w:r>
        <w:t xml:space="preserve">Disegno della verifica empirica: poiché nella Campania il servizio è già attivo ma in corso di estensione, la verifica controfattuale può fondarsi su un esperimento a cunei progressivi, nel quale l’ordine e i tempi di estensione delle sedi tra le sette Aziende Sanitarie Locali e i loro distretti — che hanno avviato il servizio in tempi differenziati — sono impiegati a fini valutativi, con il servizio già in funzione come linea di base. La disponibilità di dati operativi reali, già raccolti dall’Osservatorio regionale, rafforza l’identificazione dell’effetto, distinguendo la Campania dalle regioni prive di servizio attivo.</w:t>
      </w:r>
    </w:p>
  </w:footnote>
  <w:footnote w:id="3381">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già disponibili del servizio attivo e dalla progressione differenziata dell’estensione fra le sette Aziende, che fornisce la variazione necessaria all’identificazione dell’effetto.</w:t>
      </w:r>
    </w:p>
  </w:footnote>
  <w:footnote w:id="3382">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campana, eccede ampiamente il costo della raccolta dei dati; le priorità sono l’estrazione dei conti certificati delle sette Aziende Sanitarie Locali e delle aziende ospedaliere e il consolidamento e l’uniformazione del flusso dei dati di esito già raccolti dall’Osservatorio regionale.</w:t>
      </w:r>
    </w:p>
  </w:footnote>
  <w:footnote w:id="3383">
    <w:p>
      <w:pPr>
        <w:pStyle w:val="FootnoteText"/>
      </w:pPr>
      <w:r>
        <w:rPr>
          <w:rStyle w:val="FootnoteReference"/>
        </w:rPr>
        <w:footnoteRef/>
      </w:r>
    </w:p>
  </w:footnote>
  <w:footnote w:id="3384">
    <w:p>
      <w:pPr>
        <w:pStyle w:val="FootnoteText"/>
      </w:pPr>
      <w:r>
        <w:rPr>
          <w:rStyle w:val="FootnoteReference"/>
        </w:rPr>
        <w:footnoteRef/>
      </w:r>
      <w:r>
        <w:t xml:space="preserve"> </w:t>
      </w:r>
      <w:r>
        <w:t xml:space="preserve">La struttura del corpus replica quella adottata per le altre regioni della serie, così da consentire il confronto sistematico fra i contesti regionali. Le differenze di contenuto fra le versioni regionali riflettono le condizioni specifiche di ciascuna regione — in Basilicata, la fase anteriore all’istituzione del servizio, l’equilibrio finanziario fragile non sottoposto a piano di rientro, il peso dell’emigrazione sanitaria, la struttura demografica anziana e la dispersione insediativa — e non modificano l’impianto metodologico, che è invariante.</w:t>
      </w:r>
    </w:p>
  </w:footnote>
  <w:footnote w:id="3385">
    <w:p>
      <w:pPr>
        <w:pStyle w:val="FootnoteText"/>
      </w:pPr>
      <w:r>
        <w:rPr>
          <w:rStyle w:val="FootnoteReference"/>
        </w:rPr>
        <w:footnoteRef/>
      </w:r>
      <w:r>
        <w:t xml:space="preserve"> </w:t>
      </w:r>
      <w:r>
        <w:t xml:space="preserve">La compresenza di due proposte di legge regionali, depositate da forze politiche diverse e convergenti nell’obiettivo, costituisce un elemento favorevole alla costruzione di un consenso ampio attorno all’istituzione del servizio. Lo studio non prende posizione sul merito politico delle proposte, ma offre la base analitica perché la scelta legislativa, qualunque ne sia la forma, sia informata dall’evidenza sul bisogno, sull’efficacia e sulla sostenibilità.</w:t>
      </w:r>
    </w:p>
  </w:footnote>
  <w:footnote w:id="3386">
    <w:p>
      <w:pPr>
        <w:pStyle w:val="FootnoteText"/>
      </w:pPr>
      <w:r>
        <w:rPr>
          <w:rStyle w:val="FootnoteReference"/>
        </w:rPr>
        <w:footnoteRef/>
      </w:r>
      <w:r>
        <w:t xml:space="preserve"> </w:t>
      </w:r>
      <w:r>
        <w:t xml:space="preserve">La formazione del personale e l’integrazione delle tecnologie costituiscono, nel progetto complessivo, un asse di lavoro autonomo, oggetto di uno studio dedicato. In questa sede essi sono trattati come componenti del modello organizzativo del servizio, nella misura in cui ne condizionano la qualità, l’efficacia e la sostenibilità. Il dimensionamento economico della formazione è considerato nella Parte E fra i costi del servizio, e il suo rendimento è valutato fra i fattori di efficienza.</w:t>
      </w:r>
    </w:p>
  </w:footnote>
  <w:footnote w:id="3387">
    <w:p>
      <w:pPr>
        <w:pStyle w:val="FootnoteText"/>
      </w:pPr>
      <w:r>
        <w:rPr>
          <w:rStyle w:val="FootnoteReference"/>
        </w:rPr>
        <w:footnoteRef/>
      </w:r>
      <w:r>
        <w:t xml:space="preserve"> </w:t>
      </w:r>
      <w:r>
        <w:t xml:space="preserve">La graduazione dell’evidenza secondo il metodo GRADE e la distinzione fra uso qualitativo dei benchmark e modellazione quantitativa costituiscono le due principali garanzie di prudenza della valutazione clinica. Esse implicano che le stime quantitative di efficacia utilizzate nelle parti economiche siano da intendersi come stime centrali entro bande di incertezza, e non come valori certi, e che le conclusioni dello studio siano formulate con una forza proporzionata alla qualità dell’evidenza disponibile.</w:t>
      </w:r>
    </w:p>
  </w:footnote>
  <w:footnote w:id="3388">
    <w:p>
      <w:pPr>
        <w:pStyle w:val="FootnoteText"/>
      </w:pPr>
      <w:r>
        <w:rPr>
          <w:rStyle w:val="FootnoteReference"/>
        </w:rPr>
        <w:footnoteRef/>
      </w:r>
      <w:r>
        <w:t xml:space="preserve"> </w:t>
      </w:r>
      <w:r>
        <w:t xml:space="preserve">Le stime economiche sono espresse mediante bande prudenziali e sono calibrate sulla popolazione regionale e sul fondo sanitario regionale. Esse sono sottoposte ad analisi di sensibilità nella Parte F, che ne verifica la robustezza rispetto alla variazione dei parametri. La distinzione fra caso finanziario e caso economico, e fra risparmi diretti e ricadute sociali, è mantenuta rigorosamente in ogni tabella, coerentemente con il principio metodologico dichiarato nella Parte A.</w:t>
      </w:r>
    </w:p>
  </w:footnote>
  <w:footnote w:id="3389">
    <w:p>
      <w:pPr>
        <w:pStyle w:val="FootnoteText"/>
      </w:pPr>
      <w:r>
        <w:rPr>
          <w:rStyle w:val="FootnoteReference"/>
        </w:rPr>
        <w:footnoteRef/>
      </w:r>
      <w:r>
        <w:t xml:space="preserve"> </w:t>
      </w:r>
      <w:r>
        <w:t xml:space="preserve">I parametri quantitativi del modello — il risparmio per paziente di 1.304 euro, il guadagno di 0,236 anni di vita ponderati per la qualità, la probabilità di costo-efficacia dell’88,9 per cento e di dominanza dell’84,6 per cento alla soglia di 30.000 euro, il beneficio netto medio di 7.815 euro con intervallo di confidenza fra −5.736 e +21.501 euro — sono fondati sull’efficacia clinica documentata e sono invarianti rispetto al contesto regionale. La loro applicazione alla Basilicata è mediata dagli scenari di copertura, che ne traducono l’effetto sulla popolazione regionale in modo prudenziale.</w:t>
      </w:r>
    </w:p>
  </w:footnote>
  <w:footnote w:id="3390">
    <w:p>
      <w:pPr>
        <w:pStyle w:val="FootnoteText"/>
      </w:pPr>
      <w:r>
        <w:rPr>
          <w:rStyle w:val="FootnoteReference"/>
        </w:rPr>
        <w:footnoteRef/>
      </w:r>
      <w:r>
        <w:t xml:space="preserve"> </w:t>
      </w:r>
      <w:r>
        <w:t xml:space="preserve">La valutazione dell’impatto distributivo richiede che il monitoraggio del servizio, descritto nella Parte L, rilevi indicatori disaggregati per condizione sociale e per collocazione territoriale, così da verificare che il servizio raggiunga effettivamente i gruppi a maggiore bisogno e da correggerne la progettazione ove ciò non avvenga. In assenza di tale disaggregazione, l’obiettivo di equità resterebbe un’enunciazione non verificabile.</w:t>
      </w:r>
    </w:p>
  </w:footnote>
  <w:footnote w:id="3391">
    <w:p>
      <w:pPr>
        <w:pStyle w:val="FootnoteText"/>
      </w:pPr>
      <w:r>
        <w:rPr>
          <w:rStyle w:val="FootnoteReference"/>
        </w:rPr>
        <w:footnoteRef/>
      </w:r>
      <w:r>
        <w:t xml:space="preserve"> </w:t>
      </w:r>
      <w:r>
        <w:t xml:space="preserve">Il rispetto dei limiti posti dalla sentenza della Corte Costituzionale numero 241 del 2021 è la condizione di legittimità più stringente per la legge regionale istitutiva del servizio. La fase anteriore all’istituzione in cui si trova la Basilicata consente di costruire il servizio in conformità a tali limiti fin dall’origine, evitando il rischio di una successiva censura e valorizzando le soluzioni giuridiche già sperimentate dalle regioni che hanno affrontato il medesimo vincolo.</w:t>
      </w:r>
    </w:p>
  </w:footnote>
  <w:footnote w:id="3392">
    <w:p>
      <w:pPr>
        <w:pStyle w:val="FootnoteText"/>
      </w:pPr>
      <w:r>
        <w:rPr>
          <w:rStyle w:val="FootnoteReference"/>
        </w:rPr>
        <w:footnoteRef/>
      </w:r>
      <w:r>
        <w:t xml:space="preserve"> </w:t>
      </w:r>
      <w:r>
        <w:t xml:space="preserve">Il percorso attuativo per fasi, calibrato sulla capacità finanziaria e organizzativa della regione e sull’evidenza progressivamente prodotta, è la traduzione operativa della logica di gradualità che attraversa lo studio. Esso consente di avviare il servizio con un impegno contenuto e sostenibile, di verificarne gli esiti sul campo e di accrescerne la portata in modo governato, riducendo i rischi connessi a un dispiegamento immediato su larga scala in un contesto di risorse limitate.</w:t>
      </w:r>
    </w:p>
  </w:footnote>
  <w:footnote w:id="3393">
    <w:p>
      <w:pPr>
        <w:pStyle w:val="FootnoteText"/>
      </w:pPr>
      <w:r>
        <w:rPr>
          <w:rStyle w:val="FootnoteReference"/>
        </w:rPr>
        <w:footnoteRef/>
      </w:r>
      <w:r>
        <w:t xml:space="preserve"> </w:t>
      </w:r>
      <w:r>
        <w:t xml:space="preserve">L’inclusione di una clausola valutativa nella legge regionale istitutiva del servizio è la garanzia che la valutazione ex post sia effettivamente condotta e utilizzata. La fase anteriore all’istituzione in cui si trova la Basilicata consente di incorporare gli strumenti della valutazione — gli obiettivi misurabili, gli indicatori, i tempi, la restituzione — direttamente nel testo istitutivo, costruendo un servizio valutabile per disegno e allineato all’impianto adottato dalle altre regioni della serie, così da consentire il confronto interregionale.</w:t>
      </w:r>
    </w:p>
  </w:footnote>
  <w:footnote w:id="3394">
    <w:p>
      <w:pPr>
        <w:pStyle w:val="FootnoteText"/>
      </w:pPr>
      <w:r>
        <w:rPr>
          <w:rStyle w:val="FootnoteReference"/>
        </w:rPr>
        <w:footnoteRef/>
      </w:r>
      <w:r>
        <w:t xml:space="preserve"> </w:t>
      </w:r>
      <w:r>
        <w:t xml:space="preserve">Il punteggio dell’analisi multi-criterio e le quantificazioni economiche sono strumenti di sintesi che non sostituiscono la valutazione complessiva, ma la rappresentano in forma sintetica. La raccomandazione finale si fonda sulla convergenza di tutte le analisi di dominio, e la sua forza è proporzionata alla qualità dell’evidenza disponibile, graduata secondo il metodo dichiarato nella Parte A. La collocazione dello studio nella serie regionale consente di inscrivere la valutazione della Basilicata in un quadro nazionale, nel quale le specificità regionali si compongono in una valutazione complessiva della riforma.</w:t>
      </w:r>
    </w:p>
  </w:footnote>
  <w:footnote w:id="3395">
    <w:p>
      <w:pPr>
        <w:pStyle w:val="FootnoteText"/>
      </w:pPr>
      <w:r>
        <w:rPr>
          <w:rStyle w:val="FootnoteReference"/>
        </w:rPr>
        <w:footnoteRef/>
      </w:r>
      <w:r>
        <w:t xml:space="preserve"> </w:t>
      </w:r>
      <w:r>
        <w:t xml:space="preserve">Il glossario è uniforme fra gli studi regionali della serie, così da garantire la coerenza terminologica e da agevolare il confronto fra i contesti regionali. Le definizioni hanno finalità divulgativa e non sostituiscono le trattazioni tecniche contenute nelle parti corrispondenti dello studio.</w:t>
      </w:r>
    </w:p>
  </w:footnote>
  <w:footnote w:id="3396">
    <w:p>
      <w:pPr>
        <w:pStyle w:val="FootnoteText"/>
      </w:pPr>
      <w:r>
        <w:rPr>
          <w:rStyle w:val="FootnoteReference"/>
        </w:rPr>
        <w:footnoteRef/>
      </w:r>
      <w:r>
        <w:t xml:space="preserve"> </w:t>
      </w:r>
      <w:r>
        <w:t xml:space="preserve">Lo studio sulla Calabria appartiene a una serie di studi regionali costruiti secondo un telaio metodologico comune, che ne garantisce la confrontabilità. Le specificità della Calabria — l’avvio sperimentale del servizio per via amministrativa con risorse europee, la fase di uscita dal commissariamento e dal piano di rientro, il valore più elevato d’Italia della mobilità sanitaria passiva, l’inadempienza nei livelli essenziali di assistenza — sono trattate all’interno di tale telaio comune, così da coniugare la confrontabilità fra i contesti regionali con l’aderenza alla situazione particolare della regione.</w:t>
      </w:r>
    </w:p>
  </w:footnote>
  <w:footnote w:id="3397">
    <w:p>
      <w:pPr>
        <w:pStyle w:val="FootnoteText"/>
      </w:pPr>
      <w:r>
        <w:rPr>
          <w:rStyle w:val="FootnoteReference"/>
        </w:rPr>
        <w:footnoteRef/>
      </w:r>
      <w:r>
        <w:t xml:space="preserve"> </w:t>
      </w:r>
      <w:r>
        <w:t xml:space="preserve">I dati riportati in questa parte provengono dal censimento permanente della popolazione dell’Istituto Nazionale di Statistica aggiornato al 2024, dal report sulla mobilità sanitaria della Fondazione Gimbe riferito al 2023, dalle rilevazioni del Ministero della Salute sulla salute mentale e dalla documentazione della programmazione sanitaria regionale, fra cui il programma operativo del piano di rientro. Le stime del disagio comune adottano una base prudenziale, riferita a circa il venti per cento della popolazione, inferiore alla quota del venti-venticinque per cento indicata dalle rilevazioni ministeriali, così da mantenere le successive proiezioni economiche su un fondamento conservativo.</w:t>
      </w:r>
    </w:p>
  </w:footnote>
  <w:footnote w:id="3398">
    <w:p>
      <w:pPr>
        <w:pStyle w:val="FootnoteText"/>
      </w:pPr>
      <w:r>
        <w:rPr>
          <w:rStyle w:val="FootnoteReference"/>
        </w:rPr>
        <w:footnoteRef/>
      </w:r>
      <w:r>
        <w:t xml:space="preserve"> </w:t>
      </w:r>
      <w:r>
        <w:t xml:space="preserve">Il modello descritto in questa parte assume come punto di partenza la sperimentazione avviata dalla Giunta regionale nell’aprile 2026 e ne descrive la generalizzazione in servizio strutturale, calandola nelle condizioni organizzative reali del sistema sanitario calabrese. Le sezioni relative all’intelligenza artificiale e alla formazione richiamano, senza esaurirli, temi che costituiscono oggetto di trattazioni dedicate, in coerenza con il criterio di graduazione dell’evidenza che lo studio applica in egual misura alle affermazioni cliniche e a quelle relative all’innovazione tecnologica.</w:t>
      </w:r>
    </w:p>
  </w:footnote>
  <w:footnote w:id="3399">
    <w:p>
      <w:pPr>
        <w:pStyle w:val="FootnoteText"/>
      </w:pPr>
      <w:r>
        <w:rPr>
          <w:rStyle w:val="FootnoteReference"/>
        </w:rPr>
        <w:footnoteRef/>
      </w:r>
      <w:r>
        <w:t xml:space="preserve"> </w:t>
      </w:r>
      <w:r>
        <w:t xml:space="preserve">La presente parte fonda la valutazione economica sviluppata nelle parti successive sull’efficacia clinica documentata dalla letteratura. I chiarimenti metodologici relativi al ritorno economico degli investimenti nella salute mentale e ai risparmi sanitari diretti — la corretta riconduzione delle stime alle fonti analitiche originali, entro le fasce comprese fra 2,3 e 3,0 a uno per i soli benefici economici e fra 3,3 e 5,7 a uno includendo i benefici di salute, e la natura non statisticamente significativa di alcune stime di risparmio diretto — costituiscono vincoli metodologici che lo studio applica in modo costante, così da evitare le semplificazioni divulgative e da mantenere le proiezioni su un fondamento conservativo e falsificabile.</w:t>
      </w:r>
    </w:p>
  </w:footnote>
  <w:footnote w:id="3400">
    <w:p>
      <w:pPr>
        <w:pStyle w:val="FootnoteText"/>
      </w:pPr>
      <w:r>
        <w:rPr>
          <w:rStyle w:val="FootnoteReference"/>
        </w:rPr>
        <w:footnoteRef/>
      </w:r>
      <w:r>
        <w:t xml:space="preserve"> </w:t>
      </w:r>
      <w:r>
        <w:t xml:space="preserve">Tutte le stime economiche di questa parte sono espresse in bande prudenziali e articolate sui tre scenari di dimensionamento. I risparmi diretti per il bilancio sanitario regionale e le ricadute economico-sociali per la collettività sono mantenuti rigorosamente distinti e non sono mai sommati in un unico saldo di bilancio; il ritorno complessivo per la collettività, presentato nel caso economico, è dato dalla loro somma ed è espressamente qualificato come valore per la collettività e non come risparmio per il bilancio. Il rapporto beneficio-costo è contenuto entro la fascia compresa fra 3,3 e 5,7 a uno, riferita alle fonti analitiche che includono i benefici di salute; non si fa uso di rapporti superiori né di semplificazioni divulgative.</w:t>
      </w:r>
    </w:p>
  </w:footnote>
  <w:footnote w:id="3401">
    <w:p>
      <w:pPr>
        <w:pStyle w:val="FootnoteText"/>
      </w:pPr>
      <w:r>
        <w:rPr>
          <w:rStyle w:val="FootnoteReference"/>
        </w:rPr>
        <w:footnoteRef/>
      </w:r>
      <w:r>
        <w:t xml:space="preserve"> </w:t>
      </w:r>
      <w:r>
        <w:t xml:space="preserve">I parametri clinici del modello — le probabilità di transizione, il guadagno di salute e il risparmio per paziente — sono invarianti rispetto al contesto regionale, in quanto riflettono l’efficacia clinica documentata degli interventi; ciò che varia fra le regioni è il numero di pazienti trattati e la composizione dei risparmi e delle ricadute, che dipendono dai consumi sanitari e dalla mobilità del contesto. I risultati dell’analisi di sensibilità probabilistica — la costo-efficacia nell’88,9 per cento delle simulazioni, la dominanza nell’84,6 per cento e il beneficio netto medio di 7.815 euro per paziente, con intervallo di confidenza al 95 per cento compreso fra circa meno 5.736 e più 21.501 euro — esprimono l’incertezza complessiva delle stime e ne attestano la robustezza, riconoscendo al tempo stesso la frazione minoritaria di simulazioni in cui l’intervento non risulta dominante né costo-efficace.</w:t>
      </w:r>
    </w:p>
  </w:footnote>
  <w:footnote w:id="3402">
    <w:p>
      <w:pPr>
        <w:pStyle w:val="FootnoteText"/>
      </w:pPr>
      <w:r>
        <w:rPr>
          <w:rStyle w:val="FootnoteReference"/>
        </w:rPr>
        <w:footnoteRef/>
      </w:r>
      <w:r>
        <w:t xml:space="preserve"> </w:t>
      </w:r>
      <w:r>
        <w:t xml:space="preserve">L’analisi dell’equità assume in Calabria un rilievo preminente in ragione della combinazione di un’inadempienza nei livelli essenziali di assistenza, di una spesa per la salute mentale fra le più basse del Paese e del valore più elevato d’Italia di mobilità sanitaria passiva. La verifica che l’intervento riduca effettivamente le disuguaglianze, anziché riprodurle, richiede la misurazione disaggregata degli esiti per condizione sociale e collocazione territoriale, secondo quanto previsto dal sistema informativo e dal piano di monitoraggio; in assenza di tale verifica, l’obiettivo dell’equità rischierebbe di rimanere privo di riscontro.</w:t>
      </w:r>
    </w:p>
  </w:footnote>
  <w:footnote w:id="3403">
    <w:p>
      <w:pPr>
        <w:pStyle w:val="FootnoteText"/>
      </w:pPr>
      <w:r>
        <w:rPr>
          <w:rStyle w:val="FootnoteReference"/>
        </w:rPr>
        <w:footnoteRef/>
      </w:r>
      <w:r>
        <w:t xml:space="preserve"> </w:t>
      </w:r>
      <w:r>
        <w:t xml:space="preserve">I profili giuridico, organizzativo ed etico dell’intervento presentano, nel contesto calabrese, connotati specifici derivanti dalla fase di uscita dal commissariamento e dai vincoli del piano di rientro. Il profilo giuridico è dominato dalla duplice via, amministrativa e legislativa, di istituzione del servizio e dai limiti definiti dalla sentenza costituzionale numero 241 del 2021; il profilo organizzativo dalla fase di transizione del sistema e dalle leve della centralizzazione del reclutamento e dell’orientamento digitale; il profilo etico dal dovere di non abbandono delle persone e dei territori, particolarmente pregnante in una regione segnata dalla mobilità sanitaria e dallo spopolamento delle aree interne.</w:t>
      </w:r>
    </w:p>
  </w:footnote>
  <w:footnote w:id="3404">
    <w:p>
      <w:pPr>
        <w:pStyle w:val="FootnoteText"/>
      </w:pPr>
      <w:r>
        <w:rPr>
          <w:rStyle w:val="FootnoteReference"/>
        </w:rPr>
        <w:footnoteRef/>
      </w:r>
      <w:r>
        <w:t xml:space="preserve"> </w:t>
      </w:r>
      <w:r>
        <w:t xml:space="preserve">La fattibilità e la sostenibilità dell’intervento presentano, in Calabria, una difficoltà maggiore che in altre regioni, derivante dalla fase di transizione del sistema sanitario regionale e dalla natura temporanea della copertura finanziaria attuale, fondata su fondi europei. La sostenibilità del consolidamento è nondimeno conseguibile, in ragione dell’entità modesta dell’onere — inferiore allo 0,6 per cento del fondo per il costo lordo e allo 0,1 per cento per il saldo diretto — della sua compensazione attraverso i risparmi, in particolare sulla mobilità sanitaria passiva, e della gradualità dell’attuazione, a condizione che la copertura ordinaria sia programmata in sostituzione di quella europea.</w:t>
      </w:r>
    </w:p>
  </w:footnote>
  <w:footnote w:id="3405">
    <w:p>
      <w:pPr>
        <w:pStyle w:val="FootnoteText"/>
      </w:pPr>
      <w:r>
        <w:rPr>
          <w:rStyle w:val="FootnoteReference"/>
        </w:rPr>
        <w:footnoteRef/>
      </w:r>
      <w:r>
        <w:t xml:space="preserve"> </w:t>
      </w:r>
      <w:r>
        <w:t xml:space="preserve">Il sistema di monitoraggio descritto in questa parte comprende una batteria dell’ordine di sessanta indicatori, articolata in otto categorie e costruita in modo da essere uniforme con quella adottata nelle altre regioni della serie. La rilevazione di una linea di base prima dell’avvio del servizio è la condizione metodologica per la valutazione controfattuale degli effetti; in Calabria, dove il sistema di rilevazione dei dati sanitari ha conosciuto una fragilità storica, la costruzione del sistema di monitoraggio assume un valore che eccede il singolo servizio, contribuendo al rafforzamento complessivo della capacità del sistema. La clausola valutativa, già prevista dalla proposta di legge regionale, costituisce il fondamento istituzionale del monitoraggio.</w:t>
      </w:r>
    </w:p>
  </w:footnote>
  <w:footnote w:id="3406">
    <w:p>
      <w:pPr>
        <w:pStyle w:val="FootnoteText"/>
      </w:pPr>
      <w:r>
        <w:rPr>
          <w:rStyle w:val="FootnoteReference"/>
        </w:rPr>
        <w:footnoteRef/>
      </w:r>
      <w:r>
        <w:t xml:space="preserve"> </w:t>
      </w:r>
      <w:r>
        <w:t xml:space="preserve">L’analisi multi-criterio attribuisce all’intervento un punteggio complessivo di 78,30 e all’alternativa del non intervento un punteggio di 35,05, con un differenziale di 43,25 punti; i pesi dei criteri sono uniformi per l’intera serie regionale. Il punteggio dell’equità, il più elevato fra quelli attribuiti all’intervento, riflette la preminenza che tale dimensione assume in Calabria; il punteggio della fattibilità, il solo rispetto al quale il non intervento prevale, riflette la maggiore difficoltà attuativa del consolidamento in un sistema in fase di transizione. La raccomandazione di un percorso graduale verso lo scenario intermedio nel medio periodo e verso quello pieno a regime è condizionata al consolidamento normativo, alla sostenibilità finanziaria, alla verifica empirica e all’attenzione all’equità.</w:t>
      </w:r>
    </w:p>
  </w:footnote>
  <w:footnote w:id="3407">
    <w:p>
      <w:pPr>
        <w:pStyle w:val="FootnoteText"/>
      </w:pPr>
      <w:r>
        <w:rPr>
          <w:rStyle w:val="FootnoteReference"/>
        </w:rPr>
        <w:footnoteRef/>
      </w:r>
      <w:r>
        <w:t xml:space="preserve"> </w:t>
      </w:r>
      <w:r>
        <w:t xml:space="preserve">Il glossario è uniforme fra gli studi regionali della serie, così da garantire la coerenza terminologica e da agevolare il confronto fra i contesti regionali, ed è integrato dalle voci specifiche al contesto calabrese — il commissariamento, il Fondo Sociale Europeo Plus, l’Azienda Zero, i livelli essenziali di assistenza. Le definizioni hanno finalità divulgativa e non sostituiscono le trattazioni tecniche contenute nelle parti corrispondenti dello studio.</w:t>
      </w:r>
    </w:p>
  </w:footnote>
  <w:footnote w:id="3408">
    <w:p>
      <w:pPr>
        <w:pStyle w:val="FootnoteText"/>
      </w:pPr>
      <w:r>
        <w:rPr>
          <w:rStyle w:val="FootnoteReference"/>
        </w:rPr>
        <w:footnoteRef/>
      </w:r>
      <w:r>
        <w:t xml:space="preserve"> </w:t>
      </w:r>
      <w:r>
        <w:t xml:space="preserve">Posizione della Sicilia: la regione dispone di una legge dedicata e del relativo decreto attuativo, e il servizio è in fase di avvio. La legge regionale 20 ottobre 2023, n. 18 (Istituzione del Servizio di psicologia delle cure primarie e della figura dello psicologo delle cure primarie), approvata all’unanimità dall’Assemblea regionale siciliana e nata nel contesto dell’emergenza pandemica, prevede che il servizio sia realizzato all’interno di ciascuna Azienda Sanitaria Provinciale, a livello dei distretti sanitari di base, da psicologi delle cure primarie, liberi professionisti in rapporto convenzionale, a sostegno e integrazione dei medici di medicina generale e dei pediatri di libera scelta. Alla deliberazione di Giunta n. 253 del 23 luglio 2024 e al decreto del Presidente della Regione del novembre 2024 — che disciplina la formazione degli elenchi provinciali in ciascuna Azienda, la gestione degli incarichi convenzionali, le competenze, i titoli e i criteri di valutazione — è seguito l’avvio operativo, con gli elenchi provinciali in corso di formazione. Il modello prevede due psicologi per ciascuno dei 55 distretti, con un impegno iniziale dell’ordine di 7,4 milioni di euro, e pone i costi a carico del Servizio sanitario regionale fatto salvo un ticket a carico del paziente.</w:t>
      </w:r>
    </w:p>
  </w:footnote>
  <w:footnote w:id="3409">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siciliana, eccede ampiamente il costo della raccolta dei dati; le priorità sono l’estrazione dei conti certificati delle nove Aziende Sanitarie Provinciali e delle aziende ospedaliere e l’impostazione, fin dall’avvio, di un flusso uniforme dei dati di esito attraverso la relazione annuale prevista dalla legge.</w:t>
      </w:r>
    </w:p>
  </w:footnote>
  <w:footnote w:id="3410">
    <w:p>
      <w:pPr>
        <w:pStyle w:val="FootnoteText"/>
      </w:pPr>
      <w:r>
        <w:rPr>
          <w:rStyle w:val="FootnoteReference"/>
        </w:rPr>
        <w:footnoteRef/>
      </w:r>
      <w:r>
        <w:t xml:space="preserve"> </w:t>
      </w:r>
      <w:r>
        <w:t xml:space="preserve">Mitigazione progressiva della lacuna: poiché il servizio è in fase di avvio, la Sicilia costruisce l’evidenza locale a partire dall’attivazione degli elenchi; impostando fin dall’inizio un flusso uniforme fra le nove Aziende, man mano che il servizio si consolida l’evidenza locale corregge progressivamente le stime importate dai benchmark, conducendo la regione da una valutazione fondata su dati esterni a una fondata in misura crescente su dati propri.</w:t>
      </w:r>
    </w:p>
  </w:footnote>
  <w:footnote w:id="3411">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regione in avvio — con una cornice normativa completa ma una base di dati ancora in formazione — impone di ancorare inizialmente la prova empirica ai benchmark, valorizzando l’opportunità di una rilevazione progettata correttamente fin dall’attivazione del servizio.</w:t>
      </w:r>
    </w:p>
  </w:footnote>
  <w:footnote w:id="3412">
    <w:p>
      <w:pPr>
        <w:pStyle w:val="FootnoteText"/>
      </w:pPr>
      <w:r>
        <w:rPr>
          <w:rStyle w:val="FootnoteReference"/>
        </w:rPr>
        <w:footnoteRef/>
      </w:r>
      <w:r>
        <w:t xml:space="preserve"> </w:t>
      </w:r>
      <w:r>
        <w:t xml:space="preserve">Disagio giovanile: è una componente particolarmente rilevante, indicata come priorità dallo stesso governo regionale, con fenomeni di ansia, depressione e disturbi del comportamento alimentare tra gli adolescenti che solo in parte trovano risposta nei servizi; è più marcata nelle province più giovani, segnatamente Ragusa e Catania.</w:t>
      </w:r>
    </w:p>
  </w:footnote>
  <w:footnote w:id="3413">
    <w:p>
      <w:pPr>
        <w:pStyle w:val="FootnoteText"/>
      </w:pPr>
      <w:r>
        <w:rPr>
          <w:rStyle w:val="FootnoteReference"/>
        </w:rPr>
        <w:footnoteRef/>
      </w:r>
      <w:r>
        <w:t xml:space="preserve"> </w:t>
      </w:r>
      <w:r>
        <w:t xml:space="preserve">Salute mentale connessa al lavoro e alla deprivazione: nelle aree di deprivazione urbana di Palermo e Catania, la precarietà, la disoccupazione e le condizioni socio-economiche sfavorevoli concorrono al disagio psichico; l’intercettazione precoce ha un valore particolarmente elevato in termini di salute e di equità.</w:t>
      </w:r>
    </w:p>
  </w:footnote>
  <w:footnote w:id="3414">
    <w:p>
      <w:pPr>
        <w:pStyle w:val="FootnoteText"/>
      </w:pPr>
      <w:r>
        <w:rPr>
          <w:rStyle w:val="FootnoteReference"/>
        </w:rPr>
        <w:footnoteRef/>
      </w:r>
      <w:r>
        <w:t xml:space="preserve"> </w:t>
      </w:r>
      <w:r>
        <w:t xml:space="preserve">Bisogno dell’età adulta e anziana: la domanda connessa alla cronicità e alla comorbilità psicologica delle patologie croniche è più marcata nelle province interne e più anziane di Enna e Messina, a maggiore difficoltà di accesso.</w:t>
      </w:r>
    </w:p>
  </w:footnote>
  <w:footnote w:id="3415">
    <w:p>
      <w:pPr>
        <w:pStyle w:val="FootnoteText"/>
      </w:pPr>
      <w:r>
        <w:rPr>
          <w:rStyle w:val="FootnoteReference"/>
        </w:rPr>
        <w:footnoteRef/>
      </w:r>
      <w:r>
        <w:t xml:space="preserve"> </w:t>
      </w:r>
      <w:r>
        <w:t xml:space="preserve">Tratto distintivo della Sicilia rispetto alle altre regioni: la combinazione di una grande regione insulare ed estesa, della condizione di regione post-legislativa in avvio — dotata di legge e decreto attuativo ma con il servizio ancora in fase di partenza — dello statuto speciale, con compartecipazione regionale al 49,11% del fabbisogno sanitario, e di una storica sotto-dotazione del sistema, aggravata dal protrarsi di un piano di rientro tuttora in corso. Il bisogno è quindi accompagnato da una cornice normativa già completa, ma da un’attuazione ancora iniziale, che la decisione è chiamata a portare a regime.</w:t>
      </w:r>
    </w:p>
  </w:footnote>
  <w:footnote w:id="3416">
    <w:p>
      <w:pPr>
        <w:pStyle w:val="FootnoteText"/>
      </w:pPr>
      <w:r>
        <w:rPr>
          <w:rStyle w:val="FootnoteReference"/>
        </w:rPr>
        <w:footnoteRef/>
      </w:r>
      <w:r>
        <w:t xml:space="preserve"> </w:t>
      </w:r>
      <w:r>
        <w:t xml:space="preserve">Accessi al pronto soccorso per cause psichiatriche significativi: rapportando alla popolazione siciliana il dato nazionale, dell’ordine di alcune decine di migliaia l’anno, indice di una pressione sul sistema acuto che un primo livello territoriale pienamente strutturato potrebbe in parte contenere a monte.</w:t>
      </w:r>
    </w:p>
  </w:footnote>
  <w:footnote w:id="3417">
    <w:p>
      <w:pPr>
        <w:pStyle w:val="FootnoteText"/>
      </w:pPr>
      <w:r>
        <w:rPr>
          <w:rStyle w:val="FootnoteReference"/>
        </w:rPr>
        <w:footnoteRef/>
      </w:r>
      <w:r>
        <w:t xml:space="preserve"> </w:t>
      </w:r>
      <w:r>
        <w:t xml:space="preserve">Offerta territoriale: la Sicilia ha istituito il servizio di psicologia delle cure primarie con la legge regionale 18 del 2023 e ne ha disciplinato l’attuazione con la deliberazione di Giunta n. 253 del 2024 e con il decreto del Presidente della Regione del novembre 2024, che regola la formazione degli elenchi provinciali in ciascuna Azienda Sanitaria Provinciale. Il servizio è in fase di avvio, con gli elenchi in formazione; il modello prevede due psicologi per ciascuno dei 55 distretti — liberi professionisti in rapporto convenzionale — con costi a carico del Servizio sanitario regionale fatto salvo un ticket a carico del paziente, un impegno iniziale dell’ordine di 7,4 milioni di euro e l’assenza, allo stato, di un contratto collettivo nazionale di riferimento.</w:t>
      </w:r>
    </w:p>
  </w:footnote>
  <w:footnote w:id="3418">
    <w:p>
      <w:pPr>
        <w:pStyle w:val="FootnoteText"/>
      </w:pPr>
      <w:r>
        <w:rPr>
          <w:rStyle w:val="FootnoteReference"/>
        </w:rPr>
        <w:footnoteRef/>
      </w:r>
      <w:r>
        <w:t xml:space="preserve"> </w:t>
      </w:r>
      <w:r>
        <w:t xml:space="preserve">Fabbisogno a regime stimato nell’ordine di 1.030 psicologi nello scenario espansivo (e dell’ordine di 520 e 780 negli scenari conservativo e di base). L’Ordine degli Psicologi della Regione Siciliana, che ha accompagnato l’elaborazione e l’attuazione della legge, ne sostiene la piena operatività e l’estensione a regime.</w:t>
      </w:r>
    </w:p>
  </w:footnote>
  <w:footnote w:id="3419">
    <w:p>
      <w:pPr>
        <w:pStyle w:val="FootnoteText"/>
      </w:pPr>
      <w:r>
        <w:rPr>
          <w:rStyle w:val="FootnoteReference"/>
        </w:rPr>
        <w:footnoteRef/>
      </w:r>
      <w:r>
        <w:t xml:space="preserve"> </w:t>
      </w:r>
      <w:r>
        <w:t xml:space="preserve">Copertura attuale del fabbisogno iniziale: la dotazione prevista, dell’ordine di 110 psicologi corrispondente ai due per ciascuno dei 55 distretti, costituisce il nucleo di avvio, sufficiente ad avviare il servizio ma non a coprirne il fabbisogno a regime. La decisione, di conseguenza, non verte sull’istituire il servizio, già istituito per legge, né sull’emanarne il decreto, già emanato, ma sul condurlo dall’avvio al regime, stabilizzarne il finanziamento e dimensionarlo verso la copertura piena.</w:t>
      </w:r>
    </w:p>
  </w:footnote>
  <w:footnote w:id="3420">
    <w:p>
      <w:pPr>
        <w:pStyle w:val="FootnoteText"/>
      </w:pPr>
      <w:r>
        <w:rPr>
          <w:rStyle w:val="FootnoteReference"/>
        </w:rPr>
        <w:footnoteRef/>
      </w:r>
      <w:r>
        <w:t xml:space="preserve"> </w:t>
      </w:r>
      <w:r>
        <w:t xml:space="preserve">Disuguaglianze e divari territoriali: il divario rilevante nella Sicilia si gioca su due assi. Il primo è interno alle aree metropolitane di Palermo e Catania, fra i quartieri meglio serviti e le periferie con sacche di deprivazione socio-economica. Il secondo separa le aree metropolitane e costiere dalle province interne di Enna e Caltanissetta, più anziane, a minore densità e penalizzate dalla condizione insulare. La telepsicologia assistita è lo strumento per avvicinare l’offerta alle aree interne e insulari, dove la presenza di un primo livello accessibile costituisce già un atto di riequilibrio.</w:t>
      </w:r>
    </w:p>
  </w:footnote>
  <w:footnote w:id="3421">
    <w:p>
      <w:pPr>
        <w:pStyle w:val="FootnoteText"/>
      </w:pPr>
      <w:r>
        <w:rPr>
          <w:rStyle w:val="FootnoteReference"/>
        </w:rPr>
        <w:footnoteRef/>
      </w:r>
      <w:r>
        <w:t xml:space="preserve"> </w:t>
      </w:r>
      <w:r>
        <w:t xml:space="preserve">Finanziamento del Servizio sanitario regionale dell’ordine di 10-11 miliardi di euro; in quanto regione a statuto speciale, la Sicilia compartecipa al finanziamento sanitario nella misura del 49,11% del proprio fabbisogno, e riceve dallo Stato risorse inferiori alla spesa effettivamente sostenuta. La regione resta sottoposta a piano di rientro e presenta una spesa pro-capite fra le più basse del Paese; tale storica sotto-dotazione lascia tuttavia margini di consumo improprio ampi da recuperare.</w:t>
      </w:r>
    </w:p>
  </w:footnote>
  <w:footnote w:id="3422">
    <w:p>
      <w:pPr>
        <w:pStyle w:val="FootnoteText"/>
      </w:pPr>
      <w:r>
        <w:rPr>
          <w:rStyle w:val="FootnoteReference"/>
        </w:rPr>
        <w:footnoteRef/>
      </w:r>
      <w:r>
        <w:t xml:space="preserve"> </w:t>
      </w:r>
      <w:r>
        <w:t xml:space="preserve">Mobilità sanitaria: la Sicilia presenta uno dei saldi passivi più elevati d’Italia, dell’ordine di duecentocinquanta milioni di euro l’anno (terzo-quarto valore negativo del Paese). La fuga si concentra però nei ricoveri ospedalieri e nelle prestazioni ad alta complessità, segnatamente chirurgiche, e non nella domanda psicologica delle cure primarie, sicché il canale del recupero della mobilità è per questo intervento solo modestamente pertinente, limitato alla frazione territorialmente intercettabile.</w:t>
      </w:r>
    </w:p>
  </w:footnote>
  <w:footnote w:id="3423">
    <w:p>
      <w:pPr>
        <w:pStyle w:val="FootnoteText"/>
      </w:pPr>
      <w:r>
        <w:rPr>
          <w:rStyle w:val="FootnoteReference"/>
        </w:rPr>
        <w:footnoteRef/>
      </w:r>
      <w:r>
        <w:t xml:space="preserve"> </w:t>
      </w:r>
      <w:r>
        <w:t xml:space="preserve">Cornice normativa e programmatica: la Sicilia ha istituito il servizio con la legge regionale 18 del 2023, attuata dalla deliberazione di Giunta n. 253 del 2024 e dal decreto del Presidente della Regione del novembre 2024. La cornice include il Decreto Ministeriale 77/2022 sugli standard dell’assistenza territoriale e, sul piano nazionale, il testo unificato in discussione alla Camera. A differenza del Lazio, la Sicilia non è in fase pre-legislativa, ma di avvio di un servizio già istituito e di cui è già stato emanato il decreto attuativo; rispetto alla Campania, prima in Italia con la legge 35 del 2020, la Sicilia si colloca nell’onda successiva delle regioni che hanno legiferato in materia, entro i vincoli propri dello statuto speciale e del piano di rientro.</w:t>
      </w:r>
    </w:p>
  </w:footnote>
  <w:footnote w:id="3424">
    <w:p>
      <w:pPr>
        <w:pStyle w:val="FootnoteText"/>
      </w:pPr>
      <w:r>
        <w:rPr>
          <w:rStyle w:val="FootnoteReference"/>
        </w:rPr>
        <w:footnoteRef/>
      </w:r>
      <w:r>
        <w:t xml:space="preserve"> </w:t>
      </w:r>
      <w:r>
        <w:t xml:space="preserve">Popolazione residente in Sicilia 4.787.390 abitanti (Censimento permanente ISTAT al 31 dicembre 2024), pari a circa l’8,1% della popolazione nazionale, in lieve calo rispetto all’anno precedente per effetto del saldo naturale e migratorio interno negativi. Le province di Palermo e Catania raccolgono insieme circa il 47,4% dei residenti — Palermo è l’unico comune a superare il mezzo milione di abitanti, con 630.427 residenti — seguite da Messina con circa il 12,5%. La struttura per età presenta un’età media di 45,7 anni, con le province di Ragusa e Catania più giovani (44,5 e 44,8 anni) e quelle di Messina ed Enna più anziane (47,2 e 47,0 anni); la componente straniera, intorno al 4,3%, è nettamente inferiore alla media nazionale.</w:t>
      </w:r>
    </w:p>
  </w:footnote>
  <w:footnote w:id="3425">
    <w:p>
      <w:pPr>
        <w:pStyle w:val="FootnoteText"/>
      </w:pPr>
      <w:r>
        <w:rPr>
          <w:rStyle w:val="FootnoteReference"/>
        </w:rPr>
        <w:footnoteRef/>
      </w:r>
    </w:p>
  </w:footnote>
  <w:footnote w:id="3426">
    <w:p>
      <w:pPr>
        <w:pStyle w:val="FootnoteText"/>
      </w:pPr>
      <w:r>
        <w:rPr>
          <w:rStyle w:val="FootnoteReference"/>
        </w:rPr>
        <w:footnoteRef/>
      </w:r>
      <w:r>
        <w:t xml:space="preserve"> </w:t>
      </w:r>
      <w:r>
        <w:t xml:space="preserve">Popolazione residente in Sicilia 4.787.390 abitanti (Censimento permanente ISTAT al 31 dicembre 2024), pari a circa l’8,1% della popolazione nazionale, in lieve calo rispetto all’anno precedente per effetto del saldo naturale e migratorio interno negativi. Le province di Palermo e Catania raccolgono insieme circa il 47,4% dei residenti — Palermo è l’unico comune a superare il mezzo milione di abitanti, con 630.427 residenti — seguite da Messina con circa il 12,5%. La struttura per età presenta un’età media di 45,7 anni, con le province di Ragusa e Catania più giovani (44,5 e 44,8 anni) e quelle di Messina ed Enna più anziane (47,2 e 47,0 anni); la componente straniera, intorno al 4,3%, è nettamente inferiore alla media nazionale.Equità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3427">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 la circostanza assume particolare rilievo in una regione con una spesa pro-capite fra le più basse del Paese.</w:t>
      </w:r>
    </w:p>
  </w:footnote>
  <w:footnote w:id="3428">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Nella Sicilia la componente straniera è contenuta, intorno al 4,3%, sicché la barriera linguistica e culturale, pur presente nelle aree di maggiore insediamento, è meno centrale che in altre regioni; più rilevante è la barriera generazionale, poiché il disagio giovanile trova negli adolescenti e nei giovani adulti una fascia spesso restia a rivolgersi ai servizi. Un elemento proprio del modello siciliano va segnalato con franchezza: la previsione di un ticket a carico del paziente reintroduce una barriera economica, che le esenzioni per le fasce protette attenuano ma non eliminano, e che va calibrata con attenzione perché non vanifichi la funzione di equità del servizio.</w:t>
      </w:r>
    </w:p>
  </w:footnote>
  <w:footnote w:id="3429">
    <w:p>
      <w:pPr>
        <w:pStyle w:val="FootnoteText"/>
      </w:pPr>
      <w:r>
        <w:rPr>
          <w:rStyle w:val="FootnoteReference"/>
        </w:rPr>
        <w:footnoteRef/>
      </w:r>
      <w:r>
        <w:t xml:space="preserve"> </w:t>
      </w:r>
      <w:r>
        <w:t xml:space="preserve">Doppio asse della disuguaglianza nella Sicilia: la regione presenta due assi distinti, cui si aggiunge una dimensione generazionale. Il primo asse è interno alle aree metropolitane di Palermo e Catania, fra i quartieri meglio serviti e le periferie con sacche di deprivazione socio-economica. Il secondo separa le aree metropolitane e costiere dalle province interne — Enna e Caltanissetta in particolare — più anziane, a minore densità, penalizzate dalla condizione insulare e con servizi più radi. A questi si somma il disagio giovanile, indicato come priorità dal governo regionale e più marcato nelle province più giovani.</w:t>
      </w:r>
    </w:p>
  </w:footnote>
  <w:footnote w:id="3430">
    <w:p>
      <w:pPr>
        <w:pStyle w:val="FootnoteText"/>
      </w:pPr>
      <w:r>
        <w:rPr>
          <w:rStyle w:val="FootnoteReference"/>
        </w:rPr>
        <w:footnoteRef/>
      </w:r>
      <w:r>
        <w:t xml:space="preserve"> </w:t>
      </w:r>
      <w:r>
        <w:t xml:space="preserve">Primo asse, la periferia metropolitana di Palermo e Catania: nelle due aree urbane maggiori, accanto a quartieri meglio serviti, si estendono periferie popolose con sacche di deprivazione socio-economica, dove la difficoltà di accesso ai servizi e la minore disponibilità di offerta privata accrescono il bisogno non intercettato.</w:t>
      </w:r>
    </w:p>
  </w:footnote>
  <w:footnote w:id="3431">
    <w:p>
      <w:pPr>
        <w:pStyle w:val="FootnoteText"/>
      </w:pPr>
      <w:r>
        <w:rPr>
          <w:rStyle w:val="FootnoteReference"/>
        </w:rPr>
        <w:footnoteRef/>
      </w:r>
      <w:r>
        <w:t xml:space="preserve"> </w:t>
      </w:r>
      <w:r>
        <w:t xml:space="preserve">Secondo asse, le province interne e insulari: Enna e Caltanissetta, e le aree interne dell’isola, presentano una popolazione più anziana, a minore densità e con tendenze allo spopolamento, dove la rarefazione dei servizi, le distanze e la condizione insulare rendono l’accesso al sostegno psicologico particolarmente difficoltoso.</w:t>
      </w:r>
    </w:p>
  </w:footnote>
  <w:footnote w:id="3432">
    <w:p>
      <w:pPr>
        <w:pStyle w:val="FootnoteText"/>
      </w:pPr>
      <w:r>
        <w:rPr>
          <w:rStyle w:val="FootnoteReference"/>
        </w:rPr>
        <w:footnoteRef/>
      </w:r>
      <w:r>
        <w:t xml:space="preserve"> </w:t>
      </w:r>
      <w:r>
        <w:t xml:space="preserve">Effetto del servizio sull’equità: la prossimità nelle Case della Comunità e la natura di primo livello accessibile senza requisiti specialistici abbattono parte delle barriere all’accesso e indirizzano l’offerta verso chi ne è oggi escluso; nel modello siciliano, tuttavia, il servizio non è integralmente gratuito ma soggetto a ticket, sicché il meccanismo pro-equità opera pienamente solo se la compartecipazione è contenuta e le esenzioni efficaci, condizione affinché un servizio universale riduca, anziché accrescere, il divario.</w:t>
      </w:r>
    </w:p>
  </w:footnote>
  <w:footnote w:id="3433">
    <w:p>
      <w:pPr>
        <w:pStyle w:val="FootnoteText"/>
      </w:pPr>
      <w:r>
        <w:rPr>
          <w:rStyle w:val="FootnoteReference"/>
        </w:rPr>
        <w:footnoteRef/>
      </w:r>
      <w:r>
        <w:t xml:space="preserve"> </w:t>
      </w:r>
      <w:r>
        <w:t xml:space="preserve">Telepsicologia assistita: nella Sicilia è lo strumento per avvicinare l’offerta alle province interne di Enna e Caltanissetta e alle periferie di Palermo e Catania, dove le distanze, la condizione insulare e la rarefazione dei servizi rendono difficoltoso il raggiungimento delle sedi; concepita come complementare e non sostitutiva della presa in carico in presenza, essa estende la copertura proprio nelle aree a maggiore difficoltà di accesso.</w:t>
      </w:r>
    </w:p>
  </w:footnote>
  <w:footnote w:id="3434">
    <w:p>
      <w:pPr>
        <w:pStyle w:val="FootnoteText"/>
      </w:pPr>
      <w:r>
        <w:rPr>
          <w:rStyle w:val="FootnoteReference"/>
        </w:rPr>
        <w:footnoteRef/>
      </w:r>
      <w:r>
        <w:t xml:space="preserve"> </w:t>
      </w:r>
      <w:r>
        <w:t xml:space="preserve">Competenza generazionale e culturale: data la quota straniera contenuta, la competenza culturale e la mediazione linguistica restano necessarie nelle aree di maggiore insediamento ma sono meno centrali che altrove; più dirimente è la competenza nell’intercettare il disagio giovanile, affinché il servizio raggiunga adolescenti e giovani adulti, fascia a elevato bisogno e a basso ricorso spontaneo, in coerenza con la priorità che il governo regionale ha assegnato alla salute psicologica dei giovani.</w:t>
      </w:r>
    </w:p>
  </w:footnote>
  <w:footnote w:id="3435">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 a condizione che il ticket sia calibrato in modo da non escludere le fasce a minore capacità di spesa.</w:t>
      </w:r>
    </w:p>
  </w:footnote>
  <w:footnote w:id="3436">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periferie di Palermo e Catania e alle province interne di Enna e Caltanissetta; un’allocazione uniforme rispetto alla popolazione non correggerebbe i divari, mentre un’allocazione ponderata per il bisogno li riduce. La fase di avvio, con gli elenchi provinciali ancora in formazione, offre l’occasione di orientare fin dall’inizio l’allocazione secondo criteri di equità.</w:t>
      </w:r>
    </w:p>
  </w:footnote>
  <w:footnote w:id="3437">
    <w:p>
      <w:pPr>
        <w:pStyle w:val="FootnoteText"/>
      </w:pPr>
      <w:r>
        <w:rPr>
          <w:rStyle w:val="FootnoteReference"/>
        </w:rPr>
        <w:footnoteRef/>
      </w:r>
      <w:r>
        <w:t xml:space="preserve"> </w:t>
      </w:r>
      <w:r>
        <w:t xml:space="preserve">Mobilità e equità: nella Sicilia il canale della mobilità è, per questo intervento, una leva di equità solo modesta, poiché la fuga — pur fra le più elevate d’Italia — riguarda l’alta complessità ospedaliera e chirurgica e non la domanda psicologica territoriale; l’equità si gioca quindi prevalentemente sull’accesso interno, fra centro e periferie delle aree urbane e fra aree metropolitane e province interne e insulari.</w:t>
      </w:r>
    </w:p>
  </w:footnote>
  <w:footnote w:id="3438">
    <w:p>
      <w:pPr>
        <w:pStyle w:val="FootnoteText"/>
      </w:pPr>
      <w:r>
        <w:rPr>
          <w:rStyle w:val="FootnoteReference"/>
        </w:rPr>
        <w:footnoteRef/>
      </w:r>
      <w:r>
        <w:t xml:space="preserve"> </w:t>
      </w:r>
      <w:r>
        <w:t xml:space="preserve">Rischio di iniquità inversa: se l’attivazione del servizio privilegiasse, per facilità organizzativa, le aree già meglio servite, l’effetto distributivo potrebbe risultare regressivo; il rischio va prevenuto con criteri espliciti di equità nell’allocazione delle sedi e degli incarichi, fin dalla formazione degli elenchi provinciali, e con una calibrazione del ticket che non penalizzi le aree e le fasce a minore capacità di spesa.</w:t>
      </w:r>
    </w:p>
  </w:footnote>
  <w:footnote w:id="3439">
    <w:p>
      <w:pPr>
        <w:pStyle w:val="FootnoteText"/>
      </w:pPr>
      <w:r>
        <w:rPr>
          <w:rStyle w:val="FootnoteReference"/>
        </w:rPr>
        <w:footnoteRef/>
      </w:r>
      <w:r>
        <w:t xml:space="preserve"> </w:t>
      </w:r>
      <w:r>
        <w:t xml:space="preserve">Sintesi dell’equità: l’intervento è favorevole all’equità su entrambi gli assi del divario siciliano e sulla dimensione generazionale, a condizione che la copertura sia modulata per il bisogno, che siano garantite la telepsicologia per le periferie e le aree interne e insulari e l’attenzione al disagio giovanile, e che il ticket sia calibrato con esenzioni efficaci; la raccomandazione è di orientare fin dall’avvio, nella formazione degli elenchi provinciali, un’allocazione pro-equità che dia di più dove il bisogno è maggiore.</w:t>
      </w:r>
    </w:p>
  </w:footnote>
  <w:footnote w:id="3440">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in fase di avvio, con dimensionamento iniziale, come comparatore.</w:t>
      </w:r>
    </w:p>
  </w:footnote>
  <w:footnote w:id="3441">
    <w:p>
      <w:pPr>
        <w:pStyle w:val="FootnoteText"/>
      </w:pPr>
      <w:r>
        <w:rPr>
          <w:rStyle w:val="FootnoteReference"/>
        </w:rPr>
        <w:footnoteRef/>
      </w:r>
    </w:p>
  </w:footnote>
  <w:footnote w:id="3442">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in fase di avvio, con dimensionamento iniziale,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3443">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3444">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3445">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3446">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3447">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3448">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3449">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3450">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3451">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3452">
    <w:p>
      <w:pPr>
        <w:pStyle w:val="FootnoteText"/>
      </w:pPr>
      <w:r>
        <w:rPr>
          <w:rStyle w:val="FootnoteReference"/>
        </w:rPr>
        <w:footnoteRef/>
      </w:r>
    </w:p>
  </w:footnote>
  <w:footnote w:id="3453">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3454">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 pronuncia fondativa per l’intera materia, originata dal giudizio sulla legge campana, di cui ha riconosciuto la legittimità — ha delimitato lo spazio della disciplina regionale nel rispetto dei principi fondamentali stabiliti dallo Stato. Entro questa cornice la Sicilia, regione a statuto speciale, ha esercitato il titolo a istituire il servizio con la legge regionale 18 del 2023, in forma coordinata con la cornice nazionale.</w:t>
      </w:r>
    </w:p>
  </w:footnote>
  <w:footnote w:id="3455">
    <w:p>
      <w:pPr>
        <w:pStyle w:val="FootnoteText"/>
      </w:pPr>
      <w:r>
        <w:rPr>
          <w:rStyle w:val="FootnoteReference"/>
        </w:rPr>
        <w:footnoteRef/>
      </w:r>
      <w:r>
        <w:t xml:space="preserve"> </w:t>
      </w:r>
      <w:r>
        <w:t xml:space="preserve">Stato legislativo della Sicilia: a differenza del Lazio, ancora privo di legge, la Sicilia dispone già della legge regionale 18 del 2023, della deliberazione di Giunta n. 253 del 2024 e del decreto attuativo del novembre 2024, in forza dei quali il servizio è in fase di avvio. La decisione giuridica rilevante non è quindi l’approvazione della legge istitutiva, già compiuta, né l’emanazione del decreto, già emanato, ma il passaggio dall’avvio al regime: la stabilizzazione del finanziamento entro i vincoli del piano di rientro e il perfezionamento dell’inquadramento convenzionale, nel coordinamento con il testo unico nazionale in discussione.</w:t>
      </w:r>
    </w:p>
  </w:footnote>
  <w:footnote w:id="3456">
    <w:p>
      <w:pPr>
        <w:pStyle w:val="FootnoteText"/>
      </w:pPr>
      <w:r>
        <w:rPr>
          <w:rStyle w:val="FootnoteReference"/>
        </w:rPr>
        <w:footnoteRef/>
      </w:r>
      <w:r>
        <w:t xml:space="preserve"> </w:t>
      </w:r>
      <w:r>
        <w:t xml:space="preserve">Inquadramento del rapporto di lavoro: la legge regionale 18 del 2023 e il decreto attuativo hanno adottato il rapporto convenzionale su base libero-professionale, con iscrizione a un elenco provinciale presso ciascuna Azienda secondo titoli e criteri di valutazione definiti, per analogia con la medicina generale e la pediatria di libera scelta, e con un ticket a carico del paziente. Tale forma assicura flessibilità e prossimità, ma sconta l’assenza di un contratto collettivo nazionale di riferimento: la sua definizione, attesa dal testo unico nazionale, è condizione di stabilità e di tutela della continuità del rapporto.</w:t>
      </w:r>
    </w:p>
  </w:footnote>
  <w:footnote w:id="3457">
    <w:p>
      <w:pPr>
        <w:pStyle w:val="FootnoteText"/>
      </w:pPr>
      <w:r>
        <w:rPr>
          <w:rStyle w:val="FootnoteReference"/>
        </w:rPr>
        <w:footnoteRef/>
      </w:r>
      <w:r>
        <w:t xml:space="preserve"> </w:t>
      </w:r>
      <w:r>
        <w:t xml:space="preserve">Livelli essenziali di assistenza e finanziamento: la psicologia delle cure primarie non è ancora esplicitamente ricompresa nei livelli essenziali di assistenza nazionali. In quanto regione a statuto speciale, la Sicilia compartecipa al finanziamento sanitario nella misura del 49,11% del proprio fabbisogno e resta sottoposta a piano di rientro; la legge ha disposto un impegno iniziale dell’ordine di 7,4 milioni di euro, e la strutturazione a regime richiede di reperire un finanziamento regionale stabile entro tali vincoli, mentre un futuro riconoscimento nei livelli essenziali rafforzerebbe ulteriormente la stabilità.</w:t>
      </w:r>
    </w:p>
  </w:footnote>
  <w:footnote w:id="3458">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delle cure primarie vi si inserisce coerentemente, come uno dei livelli di risposta al bisogno della popolazione.</w:t>
      </w:r>
    </w:p>
  </w:footnote>
  <w:footnote w:id="3459">
    <w:p>
      <w:pPr>
        <w:pStyle w:val="FootnoteText"/>
      </w:pPr>
      <w:r>
        <w:rPr>
          <w:rStyle w:val="FootnoteReference"/>
        </w:rPr>
        <w:footnoteRef/>
      </w:r>
      <w:r>
        <w:t xml:space="preserve"> </w:t>
      </w:r>
      <w:r>
        <w:t xml:space="preserve">Rapporto con i servizi specialistici: il servizio di psicologia delle cure primarie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3460">
    <w:p>
      <w:pPr>
        <w:pStyle w:val="FootnoteText"/>
      </w:pPr>
      <w:r>
        <w:rPr>
          <w:rStyle w:val="FootnoteReference"/>
        </w:rPr>
        <w:footnoteRef/>
      </w:r>
      <w:r>
        <w:t xml:space="preserve"> </w:t>
      </w:r>
      <w:r>
        <w:t xml:space="preserve">Assetto organizzativo: la strutturazione del servizio nella Sicilia si misura con un sistema esteso e insulare — nove Aziende Sanitarie Provinciali, numerose aziende ospedaliere, ospedaliero-universitarie e ad alta specializzazione — e con l’assenza di un’azienda regionale unica, sicché il coordinamento è in capo all’Assessorato regionale della Salute; garantire l’omogeneità attuativa fra le nove Aziende, su un territorio ampio e frammentato, è la sfida organizzativa centrale.</w:t>
      </w:r>
    </w:p>
  </w:footnote>
  <w:footnote w:id="3461">
    <w:p>
      <w:pPr>
        <w:pStyle w:val="FootnoteText"/>
      </w:pPr>
      <w:r>
        <w:rPr>
          <w:rStyle w:val="FootnoteReference"/>
        </w:rPr>
        <w:footnoteRef/>
      </w:r>
      <w:r>
        <w:t xml:space="preserve"> </w:t>
      </w:r>
      <w:r>
        <w:t xml:space="preserve">Governance della strutturazione: il consolidamento del servizio richiede una regia regionale che coordini le nove Aziende Sanitarie Provinciali, le aziende ospedaliere, l’Ordine professionale, le rappresentanze della medicina generale e della pediatria di libera scelta e gli atenei; tale regia è in capo all’Assessorato regionale della Salute, attraverso il Dipartimento per la pianificazione strategica e il Dipartimento per le attività sanitarie e osservatorio epidemiologico, cui spetta definire indirizzi operativi uniformi e impostare il sistema di monitoraggio comune, fondato sulla relazione annuale prevista dalla legge.</w:t>
      </w:r>
    </w:p>
  </w:footnote>
  <w:footnote w:id="3462">
    <w:p>
      <w:pPr>
        <w:pStyle w:val="FootnoteText"/>
      </w:pPr>
      <w:r>
        <w:rPr>
          <w:rStyle w:val="FootnoteReference"/>
        </w:rPr>
        <w:footnoteRef/>
      </w:r>
      <w:r>
        <w:t xml:space="preserve"> </w:t>
      </w:r>
      <w:r>
        <w:t xml:space="preserve">Ruolo dell’Ordine professionale: l’Ordine degli Psicologi della Regione Siciliana, che ha accompagnato l’elaborazione e l’attuazione della legge, concorre alla definizione dei requisiti, alla formazione e alla vigilanza deontologica; la sua collaborazione è condizione della qualità e dell’appropriatezza del servizio.</w:t>
      </w:r>
    </w:p>
  </w:footnote>
  <w:footnote w:id="3463">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3464">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3465">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3466">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3467">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3468">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 Sicilia, l’approvazione della legge, già in vigore, né l’emanazione del decreto attuativo, già emanato, ma il passaggio dall’avvio al regime: la stabilizzazione del finanziamento entro i vincoli del piano di rientro e dello statuto speciale e la formazione degli elenchi provinciali fra le nove Aziende; è questo il passaggio da cui dipende la piena operatività del servizio, che il coordinamento con il futuro testo unico nazionale potrà rafforzare.</w:t>
      </w:r>
    </w:p>
  </w:footnote>
  <w:footnote w:id="3469">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3470">
    <w:p>
      <w:pPr>
        <w:pStyle w:val="FootnoteText"/>
      </w:pPr>
      <w:r>
        <w:rPr>
          <w:rStyle w:val="FootnoteReference"/>
        </w:rPr>
        <w:footnoteRef/>
      </w:r>
      <w:r>
        <w:t xml:space="preserve"> </w:t>
      </w:r>
      <w:r>
        <w:t xml:space="preserve">Esperienze italiane: il quadro nazionale comprende i servizi avviati nelle regioni dotate di legge — fra cui la Campania, prima a istituire e attivare il servizio — e le esperienze pilota fondate su campioni limitati e letteratura grigia. La Sicilia, che ha istituito il servizio con la legge regionale 18 del 2023 e ne ha emanato il decreto attuativo, si colloca in questo quadro come regione in fase di avvio: non dispone ancora di una base di dati di esito propri, che si formerà man mano che gli elenchi provinciali si completano e affluiscono le relazioni annuali previste dalla legge.</w:t>
      </w:r>
    </w:p>
  </w:footnote>
  <w:footnote w:id="3471">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3472">
    <w:p>
      <w:pPr>
        <w:pStyle w:val="FootnoteText"/>
      </w:pPr>
      <w:r>
        <w:rPr>
          <w:rStyle w:val="FootnoteReference"/>
        </w:rPr>
        <w:footnoteRef/>
      </w:r>
      <w:r>
        <w:t xml:space="preserve"> </w:t>
      </w:r>
      <w:r>
        <w:t xml:space="preserve">Evidenza locale siciliana: poiché il servizio è in fase di avvio, l’evidenza locale è allo stato prevalentemente prospettica. Lo studio poggia, per l’efficacia, sui benchmark internazionali, e la base di dati propri si costituirà progressivamente attraverso la relazione annuale che la legge pone a carico degli psicologi delle cure primarie: la fase di avvio consente di progettare fin dall’inizio una rilevazione uniforme fra le nove Aziende, presupposto di un’evidenza locale solida da consolidare man mano che il servizio raggiunge il regime.</w:t>
      </w:r>
    </w:p>
  </w:footnote>
  <w:footnote w:id="3473">
    <w:p>
      <w:pPr>
        <w:pStyle w:val="FootnoteText"/>
      </w:pPr>
      <w:r>
        <w:rPr>
          <w:rStyle w:val="FootnoteReference"/>
        </w:rPr>
        <w:footnoteRef/>
      </w:r>
      <w:r>
        <w:t xml:space="preserve"> </w:t>
      </w:r>
      <w:r>
        <w:t xml:space="preserve">Condizioni siciliane per la trasferibilità e la valutazione: la Sicilia dispone della cornice normativa completa, dell’infrastruttura informatica sanitaria regionale e della rete delle Case della Comunità in costruzione; la condizione propria della regione, in fase di avvio, è di dover costruire l’evidenza locale a partire dai benchmark internazionali, impostando la rilevazione in forma uniforme fra le nove Aziende fin dalla formazione degli elenchi, così da generare dati propri solidi man mano che il servizio raggiunge il regime.</w:t>
      </w:r>
    </w:p>
  </w:footnote>
  <w:footnote w:id="3474">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3475">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della Sicilia presenta un vincolo proprio: regione a statuto speciale, essa compartecipa al finanziamento sanitario nella misura del 49,11% del proprio fabbisogno, e resta tuttora sottoposta a piano di rientro, con una spesa pro-capite fra le più basse del Paese. Sul versante della mobilità sanitaria, presenta uno dei saldi passivi più elevati d’Italia, ma la fuga si concentra nei ricoveri ospedalieri e nelle prestazioni ad alta complessità, non nella domanda psicologica delle cure primarie, sicché il canale del recupero della mobilità è per questo intervento solo modestamente pertinente, limitato alla frazione territorialmente intercettabile. Ne consegue un saldo diretto lievemente negativo ma prossimo al pareggio — meno sfavorevole di quanto il vincolo di bilancio lascerebbe temere, poiché il sistema siciliano, a lungo sotto-finanziato, presenta un consumo improprio più ampio da recuperare — cui il ticket a carico del paziente apporta un’ulteriore, lieve attenuazione, mentre il caso economico poggia in misura preponderante sulle ricadute sociali, stimate con criteri conservativi.</w:t>
      </w:r>
    </w:p>
  </w:footnote>
  <w:footnote w:id="3476">
    <w:p>
      <w:pPr>
        <w:pStyle w:val="FootnoteText"/>
      </w:pPr>
      <w:r>
        <w:rPr>
          <w:rStyle w:val="FootnoteReference"/>
        </w:rPr>
        <w:footnoteRef/>
      </w:r>
      <w:r>
        <w:t xml:space="preserve"> </w:t>
      </w:r>
      <w:r>
        <w:t xml:space="preserve">I valori economici oggi impiegati sono in parte ricostruiti dai conti nazionali per quota di popolazione (8,1%) e non estratti dai conti regionali certificati delle nove Aziende Sanitarie Provinciali e delle aziende ospedaliere: è la lacuna prioritaria dello studio, da colmare prima della presentazione esterna. Poiché il servizio è in fase di avvio, la Sicilia non dispone ancora della base di dati operativi propri di cui gode una regione a servizio pienamente attivo; lo studio poggia perciò, per l’efficacia, sui benchmark internazionali, e la relazione annuale che la legge già prevede a carico degli psicologi delle cure primarie costituirà la fonte primaria da consolidare man mano che gli elenchi si completano.</w:t>
      </w:r>
    </w:p>
  </w:footnote>
  <w:footnote w:id="3477">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3478">
    <w:p>
      <w:pPr>
        <w:pStyle w:val="FootnoteText"/>
      </w:pPr>
      <w:r>
        <w:rPr>
          <w:rStyle w:val="FootnoteReference"/>
        </w:rPr>
        <w:footnoteRef/>
      </w:r>
      <w:r>
        <w:t xml:space="preserve"> </w:t>
      </w:r>
      <w:r>
        <w:t xml:space="preserve">Valutazione controfattuale d’impatto: poiché il servizio è in avvio e gli elenchi provinciali si completano in tempi differenziati tra le nove Aziende Sanitarie Provinciali, il disegno può fondarsi su un esperimento a cunei progressivi, nel quale l’ordine e i tempi di attivazione delle sedi tra le Aziende e i loro distretti sono impiegati a fini valutativi. L’effetto causale è stimato con i metodi della differenza-nelle-differenze e del controllo sintetico; la fase di avvio consente di rilevare una linea di base prima della piena operatività, sebbene la Sicilia non disponga ancora dei dati operativi propri di una regione a servizio già consolidato.</w:t>
      </w:r>
    </w:p>
  </w:footnote>
  <w:footnote w:id="3479">
    <w:p>
      <w:pPr>
        <w:pStyle w:val="FootnoteText"/>
      </w:pPr>
      <w:r>
        <w:rPr>
          <w:rStyle w:val="FootnoteReference"/>
        </w:rPr>
        <w:footnoteRef/>
      </w:r>
      <w:r>
        <w:t xml:space="preserve"> </w:t>
      </w:r>
      <w:r>
        <w:t xml:space="preserve">La valutazione è governata da un comitato di indirizzo — Regione, nove Aziende Sanitarie Provinciali (Palermo, Catania, Messina, Siracusa, Ragusa, Agrigento, Caltanissetta, Enna, Trapani), aziende ospedaliere, ospedaliero-universitarie e ad alta specializzazione, Ordine degli Psicologi della Regione Siciliana, rappresentanze della medicina generale e della pediatria di libera scelta e atenei. La Sicilia non dispone di un’azienda regionale unica né di un’agenzia di coordinamento: il coordinamento è in capo all’Assessorato regionale della Salute, attraverso il Dipartimento per la pianificazione strategica e il Dipartimento per le attività sanitarie e osservatorio epidemiologico. La sfida del governo non è quindi istituire il servizio, né emanarne il decreto attuativo, ma condurlo dall’avvio al regime e dimensionarlo, garantendo l’omogeneità attuativa fra le nove Aziende in un sistema esteso e insulare.</w:t>
      </w:r>
    </w:p>
  </w:footnote>
  <w:footnote w:id="3480">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3481">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3482">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3483">
    <w:p>
      <w:pPr>
        <w:pStyle w:val="FootnoteText"/>
      </w:pPr>
      <w:r>
        <w:rPr>
          <w:rStyle w:val="FootnoteReference"/>
        </w:rPr>
        <w:footnoteRef/>
      </w:r>
    </w:p>
  </w:footnote>
  <w:footnote w:id="3484">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3485">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la programmazione regionale per la salute mentale; nella Sicilia essa presenta una coerenza ulteriore, poiché porta a regime il modello che la regione ha già istituito per legge e di cui ha già emanato il decreto attuativo, dando piena operatività a un servizio in fase di avvio.</w:t>
      </w:r>
    </w:p>
  </w:footnote>
  <w:footnote w:id="3486">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3487">
    <w:p>
      <w:pPr>
        <w:pStyle w:val="FootnoteText"/>
      </w:pPr>
      <w:r>
        <w:rPr>
          <w:rStyle w:val="FootnoteReference"/>
        </w:rPr>
        <w:footnoteRef/>
      </w:r>
      <w:r>
        <w:t xml:space="preserve"> </w:t>
      </w:r>
      <w:r>
        <w:t xml:space="preserve">Caso commerciale: il modello del rapporto convenzionale su base libero-professionale è già disciplinato e si avvale, nella Sicilia, di un ampio bacino professionale alimentato dagli atenei siciliani — Palermo, Catania, Messina e Kore di Enna; la disponibilità di psicologi qualificati, selezionati attraverso gli elenchi provinciali secondo titoli e criteri definiti dal decreto, non costituisce un vincolo all’estensione.</w:t>
      </w:r>
    </w:p>
  </w:footnote>
  <w:footnote w:id="3488">
    <w:p>
      <w:pPr>
        <w:pStyle w:val="FootnoteText"/>
      </w:pPr>
      <w:r>
        <w:rPr>
          <w:rStyle w:val="FootnoteReference"/>
        </w:rPr>
        <w:footnoteRef/>
      </w:r>
      <w:r>
        <w:t xml:space="preserve"> </w:t>
      </w:r>
      <w:r>
        <w:t xml:space="preserve">Caso finanziario: il costo del servizio a regime — dell’ordine di 29, 43 e 57 milioni di euro nei tre scenari, pari allo 0,3-0,5% del finanziamento sanitario regionale — è contenuto, ma va reperito entro un vincolo proprio: la Sicilia, regione a statuto speciale, compartecipa al finanziamento nella misura del 49,11% del fabbisogno e resta sottoposta a piano di rientro. La legge ha disposto un impegno iniziale dell’ordine di 7,4 milioni di euro, e la sfida finanziaria è reperire un finanziamento regionale stabile entro tali vincoli.</w:t>
      </w:r>
    </w:p>
  </w:footnote>
  <w:footnote w:id="3489">
    <w:p>
      <w:pPr>
        <w:pStyle w:val="FootnoteText"/>
      </w:pPr>
      <w:r>
        <w:rPr>
          <w:rStyle w:val="FootnoteReference"/>
        </w:rPr>
        <w:footnoteRef/>
      </w:r>
      <w:r>
        <w:t xml:space="preserve"> </w:t>
      </w:r>
      <w:r>
        <w:t xml:space="preserve">Caso gestionale: la realizzabilità dipende da una regia regionale che, in assenza di un’azienda unica, coordini le nove Aziende Sanitarie Provinciali, le aziende ospedaliere e ad alta specializzazione, l’Ordine professionale, la medicina generale e la pediatria di libera scelta e gli atenei; tale regia è in capo all’Assessorato regionale della Salute, attraverso i suoi Dipartimenti, cui spetta definire indirizzi uniformi e impostare il monitoraggio comune.</w:t>
      </w:r>
    </w:p>
  </w:footnote>
  <w:footnote w:id="3490">
    <w:p>
      <w:pPr>
        <w:pStyle w:val="FootnoteText"/>
      </w:pPr>
      <w:r>
        <w:rPr>
          <w:rStyle w:val="FootnoteReference"/>
        </w:rPr>
        <w:footnoteRef/>
      </w:r>
      <w:r>
        <w:t xml:space="preserve"> </w:t>
      </w:r>
      <w:r>
        <w:t xml:space="preserve">Dimensionamento a partire dal nucleo di avvio: a differenza del Lazio, che deve dimensionare il servizio da zero, la Sicilia muove dal nucleo di avvio previsto dalla legge, dell’ordine di 110 psicologi corrispondente ai due per ciascuno dei 55 distretti, e lo estende verso un fabbisogno a regime dell’ordine di 1.030 psicologi nello scenario espansivo; l’estensione procede per gradi attraverso gli scenari conservativo, di base ed espansivo, man mano che gli elenchi provinciali si completano.</w:t>
      </w:r>
    </w:p>
  </w:footnote>
  <w:footnote w:id="3491">
    <w:p>
      <w:pPr>
        <w:pStyle w:val="FootnoteText"/>
      </w:pPr>
      <w:r>
        <w:rPr>
          <w:rStyle w:val="FootnoteReference"/>
        </w:rPr>
        <w:footnoteRef/>
      </w:r>
      <w:r>
        <w:t xml:space="preserve"> </w:t>
      </w:r>
      <w:r>
        <w:t xml:space="preserve">Fasi di attuazione: poiché il servizio è in fase di avvio, l’attuazione si articola in una fase di formazione degli elenchi provinciali e di avvio operativo; una fase di estensione, nella quale la copertura si amplia progressivamente fra le nove Aziende; e una fase di regime, nella quale il servizio raggiunge il dimensionamento adeguato al fabbisogno. La progressione differenziata della formazione degli elenchi fra le Aziende coincide con l’esperimento a cunei progressivi descritto nella Parte F.</w:t>
      </w:r>
    </w:p>
  </w:footnote>
  <w:footnote w:id="3492">
    <w:p>
      <w:pPr>
        <w:pStyle w:val="FootnoteText"/>
      </w:pPr>
      <w:r>
        <w:rPr>
          <w:rStyle w:val="FootnoteReference"/>
        </w:rPr>
        <w:footnoteRef/>
      </w:r>
      <w:r>
        <w:t xml:space="preserve"> </w:t>
      </w:r>
      <w:r>
        <w:t xml:space="preserve">Reclutamento e formazione: l’avvio a regime richiede il reclutamento e la formazione dedicata degli psicologi, secondo il programma a quattro livelli; il bacino professionale, i titoli e i criteri di valutazione già definiti dal decreto e gli atenei siciliani costituiscono una base favorevole, e la formazione specialistica assicura l’omogeneità delle competenze.</w:t>
      </w:r>
    </w:p>
  </w:footnote>
  <w:footnote w:id="3493">
    <w:p>
      <w:pPr>
        <w:pStyle w:val="FootnoteText"/>
      </w:pPr>
      <w:r>
        <w:rPr>
          <w:rStyle w:val="FootnoteReference"/>
        </w:rPr>
        <w:footnoteRef/>
      </w:r>
      <w:r>
        <w:t xml:space="preserve"> </w:t>
      </w:r>
      <w:r>
        <w:t xml:space="preserve">Cronoprogramma: l’attuazione si sviluppa su un orizzonte pluriennale, con il raggiungimento del regime in più esercizi; a differenza del Lazio, l’estensione non è subordinata all’approvazione di una legge — già in vigore — né all’emanazione del decreto — già emanato — ma alla formazione degli elenchi provinciali e alla stabilizzazione del finanziamento entro i vincoli del piano di rientro.</w:t>
      </w:r>
    </w:p>
  </w:footnote>
  <w:footnote w:id="3494">
    <w:p>
      <w:pPr>
        <w:pStyle w:val="FootnoteText"/>
      </w:pPr>
      <w:r>
        <w:rPr>
          <w:rStyle w:val="FootnoteReference"/>
        </w:rPr>
        <w:footnoteRef/>
      </w:r>
      <w:r>
        <w:t xml:space="preserve"> </w:t>
      </w:r>
      <w:r>
        <w:t xml:space="preserve">Sostenibilità finanziaria: la leva della sostenibilità, nella Sicilia, è la stabilizzazione del finanziamento entro i vincoli dello statuto speciale e del piano di rientro, a valere sull’impegno iniziale già disposto dalla legge, e il dimensionamento progressivo del servizio; il sistema, storicamente sotto-finanziato, presenta margini di consumo improprio ampi da recuperare, mentre l’eventuale riconoscimento nei livelli essenziali di assistenza ne rafforzerebbe in futuro la stabilità.</w:t>
      </w:r>
    </w:p>
  </w:footnote>
  <w:footnote w:id="3495">
    <w:p>
      <w:pPr>
        <w:pStyle w:val="FootnoteText"/>
      </w:pPr>
      <w:r>
        <w:rPr>
          <w:rStyle w:val="FootnoteReference"/>
        </w:rPr>
        <w:footnoteRef/>
      </w:r>
      <w:r>
        <w:t xml:space="preserve"> </w:t>
      </w:r>
      <w:r>
        <w:t xml:space="preserve">Sostenibilità organizzativa: la sfida è garantire l’omogeneità attuativa fra le nove Aziende Sanitarie Provinciali in un sistema esteso e insulare privo di un’azienda regionale unica; la sostenibilità organizzativa dipende dalla forza della regia dell’Assessorato regionale, dal ruolo dei suoi Dipartimenti e dalla chiarezza degli indirizzi operativi.</w:t>
      </w:r>
    </w:p>
  </w:footnote>
  <w:footnote w:id="3496">
    <w:p>
      <w:pPr>
        <w:pStyle w:val="FootnoteText"/>
      </w:pPr>
      <w:r>
        <w:rPr>
          <w:rStyle w:val="FootnoteReference"/>
        </w:rPr>
        <w:footnoteRef/>
      </w:r>
      <w:r>
        <w:t xml:space="preserve"> </w:t>
      </w:r>
      <w:r>
        <w:t xml:space="preserve">Monitoraggio dell’attuazione: l’avanzamento è seguito mediante indicatori di processo — sedi attivate, incarichi conferiti, prese in carico — raccolti attraverso la relazione annuale prevista dalla legge, che la fase di avvio consente di impostare fin dall’inizio in forma uniforme fra le nove Aziende.</w:t>
      </w:r>
    </w:p>
  </w:footnote>
  <w:footnote w:id="3497">
    <w:p>
      <w:pPr>
        <w:pStyle w:val="FootnoteText"/>
      </w:pPr>
      <w:r>
        <w:rPr>
          <w:rStyle w:val="FootnoteReference"/>
        </w:rPr>
        <w:footnoteRef/>
      </w:r>
      <w:r>
        <w:t xml:space="preserve"> </w:t>
      </w:r>
      <w:r>
        <w:t xml:space="preserve">Rischi principali dell’attuazione: la disomogeneità attuativa fra le nove Aziende in un sistema insulare; la difficoltà di coordinamento in assenza di un’azienda unica; il vincolo del piano di rientro e dello statuto speciale sulla disponibilità di un finanziamento stabile; e l’esigenza di calibrare il ticket perché non ostacoli l’accesso, cui si aggiunge l’assenza di un contratto collettivo nazionale.</w:t>
      </w:r>
    </w:p>
  </w:footnote>
  <w:footnote w:id="3498">
    <w:p>
      <w:pPr>
        <w:pStyle w:val="FootnoteText"/>
      </w:pPr>
      <w:r>
        <w:rPr>
          <w:rStyle w:val="FootnoteReference"/>
        </w:rPr>
        <w:footnoteRef/>
      </w:r>
      <w:r>
        <w:t xml:space="preserve"> </w:t>
      </w:r>
      <w:r>
        <w:t xml:space="preserve">Mitigazioni: i rischi sono fronteggiati con una regia regionale forte e indirizzi operativi uniformi, con la progressione differenziata della formazione degli elenchi fra le Aziende che consente un apprendimento progressivo, e con un’allocazione pro-equità che orienta l’estensione verso le aree a maggiore bisogno e con un ticket calibrato; la stabilizzazione del finanziamento e il sostegno dell’Ordine professionale concorrono a ridurre l’incertezza.</w:t>
      </w:r>
    </w:p>
  </w:footnote>
  <w:footnote w:id="3499">
    <w:p>
      <w:pPr>
        <w:pStyle w:val="FootnoteText"/>
      </w:pPr>
      <w:r>
        <w:rPr>
          <w:rStyle w:val="FootnoteReference"/>
        </w:rPr>
        <w:footnoteRef/>
      </w:r>
      <w:r>
        <w:t xml:space="preserve"> </w:t>
      </w:r>
      <w:r>
        <w:t xml:space="preserve">Sintesi dell’attuazione: l’intervento è attuabile e sostenibile, e la leva propria della Sicilia è la formazione degli elenchi provinciali e la stabilizzazione del finanziamento entro i vincoli del piano di rientro; la regione muove da un nucleo di avvio già previsto, da un bacino professionale ampio e da una cornice normativa completa, sicché le condizioni di fattibilità sono complessivamente favorevoli, pur entro un vincolo di bilancio più stretto che altrove.</w:t>
      </w:r>
    </w:p>
  </w:footnote>
  <w:footnote w:id="3500">
    <w:p>
      <w:pPr>
        <w:pStyle w:val="FootnoteText"/>
      </w:pPr>
      <w:r>
        <w:rPr>
          <w:rStyle w:val="FootnoteReference"/>
        </w:rPr>
        <w:footnoteRef/>
      </w:r>
      <w:r>
        <w:t xml:space="preserve"> </w:t>
      </w:r>
      <w:r>
        <w:t xml:space="preserve">Struttura per età: l’età media è dell’ordine di 45,7 anni, in lieve crescita. La distribuzione interna è disomogenea: le province di Ragusa e Catania sono le più giovani (età media dell’ordine di 44,5 e 44,8 anni), mentre Messina ed Enna sono le più anziane (47,2 e 47,0 anni). La componente straniera concorre al ringiovanimento della popolazione.</w:t>
      </w:r>
    </w:p>
  </w:footnote>
  <w:footnote w:id="3501">
    <w:p>
      <w:pPr>
        <w:pStyle w:val="FootnoteText"/>
      </w:pPr>
      <w:r>
        <w:rPr>
          <w:rStyle w:val="FootnoteReference"/>
        </w:rPr>
        <w:footnoteRef/>
      </w:r>
      <w:r>
        <w:t xml:space="preserve"> </w:t>
      </w:r>
      <w:r>
        <w:t xml:space="preserve">Componente straniera dell’ordine del 4,3% dei residenti (206.753 persone), nettamente inferiore alla media nazionale e fra le più contenute fra le regioni esaminate; ciò rende la dimensione della competenza culturale meno centrale che in altre regioni, pur restando rilevante nelle aree di maggiore insediamento.</w:t>
      </w:r>
    </w:p>
  </w:footnote>
  <w:footnote w:id="3502">
    <w:p>
      <w:pPr>
        <w:pStyle w:val="FootnoteText"/>
      </w:pPr>
      <w:r>
        <w:rPr>
          <w:rStyle w:val="FootnoteReference"/>
        </w:rPr>
        <w:footnoteRef/>
      </w:r>
      <w:r>
        <w:t xml:space="preserve"> </w:t>
      </w:r>
      <w:r>
        <w:t xml:space="preserve">Distribuzione territoriale concentrata sui due poli maggiori: le province di Palermo e Catania raccolgono insieme circa il 47,4% dei residenti; Palermo è l’unico comune a superare il mezzo milione di abitanti, con 630.427 residenti, più del doppio di Catania (298.680). Segue la provincia di Messina, con circa il 12,5%; le restanti sei province raccolgono circa il 40,2%.</w:t>
      </w:r>
    </w:p>
  </w:footnote>
  <w:footnote w:id="3503">
    <w:p>
      <w:pPr>
        <w:pStyle w:val="FootnoteText"/>
      </w:pPr>
      <w:r>
        <w:rPr>
          <w:rStyle w:val="FootnoteReference"/>
        </w:rPr>
        <w:footnoteRef/>
      </w:r>
      <w:r>
        <w:t xml:space="preserve"> </w:t>
      </w:r>
      <w:r>
        <w:t xml:space="preserve">Profilo territoriale a marcata polarità: da un lato le aree metropolitane di Palermo e Catania, densamente popolate e con estese aree di deprivazione socio-economica; dall’altro le province interne e meno popolose di Enna e Caltanissetta, più anziane e a minore densità, dove la rarefazione dei servizi, le distanze e la condizione insulare acuiscono le difficoltà di accesso.</w:t>
      </w:r>
    </w:p>
  </w:footnote>
  <w:footnote w:id="3504">
    <w:p>
      <w:pPr>
        <w:pStyle w:val="FootnoteText"/>
      </w:pPr>
      <w:r>
        <w:rPr>
          <w:rStyle w:val="FootnoteReference"/>
        </w:rPr>
        <w:footnoteRef/>
      </w:r>
    </w:p>
  </w:footnote>
  <w:footnote w:id="3505">
    <w:p>
      <w:pPr>
        <w:pStyle w:val="FootnoteText"/>
      </w:pPr>
      <w:r>
        <w:rPr>
          <w:rStyle w:val="FootnoteReference"/>
        </w:rPr>
        <w:footnoteRef/>
      </w:r>
      <w:r>
        <w:t xml:space="preserve"> </w:t>
      </w:r>
      <w:r>
        <w:t xml:space="preserve">Profilo territoriale a marcata polarità: da un lato le aree metropolitane di Palermo e Catania, densamente popolate e con estese aree di deprivazione socio-economica; dall’altro le province interne e meno popolose di Enna e Caltanissetta, più anziane e a minore densità, dove la rarefazione dei servizi, le distanze e la condizione insulare acuiscono le difficoltà di accesso.Definizione: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Sicilia tale definizione è già recepita nella legge regionale 18 del 2023 e nel relativo decreto attuativo.</w:t>
      </w:r>
    </w:p>
  </w:footnote>
  <w:footnote w:id="3506">
    <w:p>
      <w:pPr>
        <w:pStyle w:val="FootnoteText"/>
      </w:pPr>
      <w:r>
        <w:rPr>
          <w:rStyle w:val="FootnoteReference"/>
        </w:rPr>
        <w:footnoteRef/>
      </w:r>
    </w:p>
  </w:footnote>
  <w:footnote w:id="3507">
    <w:p>
      <w:pPr>
        <w:pStyle w:val="FootnoteText"/>
      </w:pPr>
      <w:r>
        <w:rPr>
          <w:rStyle w:val="FootnoteReference"/>
        </w:rPr>
        <w:footnoteRef/>
      </w:r>
      <w:r>
        <w:t xml:space="preserve"> </w:t>
      </w:r>
      <w:r>
        <w:t xml:space="preserve">Profilo territoriale a marcata polarità: da un lato le aree metropolitane di Palermo e Catania, densamente popolate e con estese aree di deprivazione socio-economica; dall’altro le province interne e meno popolose di Enna e Caltanissetta, più anziane e a minore densità, dove la rarefazione dei servizi, le distanze e la condizione insulare acuiscono le difficoltà di accesso.Definizione: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Sicilia tale definizione è già recepita nella legge regionale 18 del 2023 e nel relativo decreto attuativo.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3508">
    <w:p>
      <w:pPr>
        <w:pStyle w:val="FootnoteText"/>
      </w:pPr>
      <w:r>
        <w:rPr>
          <w:rStyle w:val="FootnoteReference"/>
        </w:rPr>
        <w:footnoteRef/>
      </w:r>
      <w:r>
        <w:t xml:space="preserve"> </w:t>
      </w:r>
      <w:r>
        <w:t xml:space="preserve">Costo del servizio: assumendo un costo medio annuo per incarico dell’ordine di 55.000 euro, comprensivo degli oneri, i tre scenari di copertura corrispondono a un costo annuo a regime dell’ordine di 29 milioni di euro nello scenario conservativo (circa 520 psicologi), 43 milioni nello scenario di base (circa 780) e 57 milioni nello scenario espansivo (circa 1.030), nel modello del rapporto convenzionale su base libero-professionale già adottato dalla legge regionale.</w:t>
      </w:r>
    </w:p>
  </w:footnote>
  <w:footnote w:id="3509">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La dotazione iniziale prevista, dell’ordine di 110 psicologi corrispondente ai due per ciascuno dei 55 distretti, costituisce il nucleo di avvio, inferiore allo stesso scenario conservativo; gli scenari qui considerati rappresentano il regime e non la prima fase di avvio.</w:t>
      </w:r>
    </w:p>
  </w:footnote>
  <w:footnote w:id="3510">
    <w:p>
      <w:pPr>
        <w:pStyle w:val="FootnoteText"/>
      </w:pPr>
      <w:r>
        <w:rPr>
          <w:rStyle w:val="FootnoteReference"/>
        </w:rPr>
        <w:footnoteRef/>
      </w:r>
      <w:r>
        <w:t xml:space="preserve"> </w:t>
      </w:r>
      <w:r>
        <w:t xml:space="preserve">Risparmio diretto sugli accessi impropri al pronto soccorso: dell’ordine di 4, 6 e 9 milioni di euro l’anno nei tre scenari, per effetto della riduzione degli accessi per cause psichiatriche e somatoformi intercettabili a livello territoriale, particolarmente rilevanti in un sistema storicamente sotto-dotato.</w:t>
      </w:r>
    </w:p>
  </w:footnote>
  <w:footnote w:id="3511">
    <w:p>
      <w:pPr>
        <w:pStyle w:val="FootnoteText"/>
      </w:pPr>
      <w:r>
        <w:rPr>
          <w:rStyle w:val="FootnoteReference"/>
        </w:rPr>
        <w:footnoteRef/>
      </w:r>
      <w:r>
        <w:t xml:space="preserve"> </w:t>
      </w:r>
      <w:r>
        <w:t xml:space="preserve">Risparmio diretto sulla spesa farmaceutica: dell’ordine di 4, 7 e 10 milioni di euro l’anno, per effetto della riduzione delle prescrizioni inappropriate di antidepressivi e ansiolitici nei quadri lievi, in favore dell’intervento psicologico.</w:t>
      </w:r>
    </w:p>
  </w:footnote>
  <w:footnote w:id="3512">
    <w:p>
      <w:pPr>
        <w:pStyle w:val="FootnoteText"/>
      </w:pPr>
      <w:r>
        <w:rPr>
          <w:rStyle w:val="FootnoteReference"/>
        </w:rPr>
        <w:footnoteRef/>
      </w:r>
      <w:r>
        <w:t xml:space="preserve"> </w:t>
      </w:r>
      <w:r>
        <w:t xml:space="preserve">Risparmio diretto su ricoveri e specialistica: dell’ordine di 11, 17 e 29 milioni di euro l’anno, per effetto della riduzione di ricoveri evitabili, consulti specialistici ripetuti e accertamenti inappropriati connessi a disagio non riconosciuto; il margine di recupero è ampio in ragione della sotto-dotazione storica del sistema.</w:t>
      </w:r>
    </w:p>
  </w:footnote>
  <w:footnote w:id="3513">
    <w:p>
      <w:pPr>
        <w:pStyle w:val="FootnoteText"/>
      </w:pPr>
      <w:r>
        <w:rPr>
          <w:rStyle w:val="FootnoteReference"/>
        </w:rPr>
        <w:footnoteRef/>
      </w:r>
      <w:r>
        <w:t xml:space="preserve"> </w:t>
      </w:r>
      <w:r>
        <w:t xml:space="preserve">Recupero della mobilità sanitaria: per la Sicilia il contributo è modesto, dell’ordine di 4, 6 e 8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w:t>
      </w:r>
    </w:p>
  </w:footnote>
  <w:footnote w:id="3514">
    <w:p>
      <w:pPr>
        <w:pStyle w:val="FootnoteText"/>
      </w:pPr>
      <w:r>
        <w:rPr>
          <w:rStyle w:val="FootnoteReference"/>
        </w:rPr>
        <w:footnoteRef/>
      </w:r>
    </w:p>
  </w:footnote>
  <w:footnote w:id="3515">
    <w:p>
      <w:pPr>
        <w:pStyle w:val="FootnoteText"/>
      </w:pPr>
      <w:r>
        <w:rPr>
          <w:rStyle w:val="FootnoteReference"/>
        </w:rPr>
        <w:footnoteRef/>
      </w:r>
      <w:r>
        <w:t xml:space="preserve"> </w:t>
      </w:r>
      <w:r>
        <w:t xml:space="preserve">Recupero della mobilità sanitaria: per la Sicilia il contributo è modesto, dell’ordine di 4, 6 e 8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3516">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3517">
    <w:p>
      <w:pPr>
        <w:pStyle w:val="FootnoteText"/>
      </w:pPr>
      <w:r>
        <w:rPr>
          <w:rStyle w:val="FootnoteReference"/>
        </w:rPr>
        <w:footnoteRef/>
      </w:r>
      <w:r>
        <w:t xml:space="preserve"> </w:t>
      </w:r>
      <w:r>
        <w:t xml:space="preserve">Disegno controfattuale su servizio in avvio: poiché nella Sicilia il servizio è in fase di avvio e gli elenchi provinciali si completano in tempi differenziati, la valutazione d’impatto può fondarsi su un esperimento a cunei progressivi, nel quale l’ordine e i tempi di attivazione delle sedi tra le nove Aziende Sanitarie Provinciali e i loro distretti sono impiegati a fini valutativi; la fase di avvio offre il vantaggio peculiare di poter rilevare una linea di base anteriore alla piena operatività, condizione che le regioni a servizio già consolidato non possiedono.</w:t>
      </w:r>
    </w:p>
  </w:footnote>
  <w:footnote w:id="3518">
    <w:p>
      <w:pPr>
        <w:pStyle w:val="FootnoteText"/>
      </w:pPr>
      <w:r>
        <w:rPr>
          <w:rStyle w:val="FootnoteReference"/>
        </w:rPr>
        <w:footnoteRef/>
      </w:r>
      <w:r>
        <w:t xml:space="preserve"> </w:t>
      </w:r>
      <w:r>
        <w:t xml:space="preserve">Linea di base dalla progressione differenziata: poiché il servizio è in avvio, la Sicilia può rilevare una linea di base prima dell’attivazione, e il diverso grado di formazione degli elenchi fra le nove Aziende consente di costruire termini di confronto interni; la rilevazione, progettata fin dall’inizio in forma uniforme, fonda una stima dell’effetto su dati propri man mano che il servizio si attiva.</w:t>
      </w:r>
    </w:p>
  </w:footnote>
  <w:footnote w:id="3519">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differenziata della formazione degli elenchi fra le nove Aziende fornisce la variazione necessaria all’identificazione.</w:t>
      </w:r>
    </w:p>
  </w:footnote>
  <w:footnote w:id="3520">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3521">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3522">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3523">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3524">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3525">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3526">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3527">
    <w:p>
      <w:pPr>
        <w:pStyle w:val="FootnoteText"/>
      </w:pPr>
      <w:r>
        <w:rPr>
          <w:rStyle w:val="FootnoteReference"/>
        </w:rPr>
        <w:footnoteRef/>
      </w:r>
      <w:r>
        <w:t xml:space="preserve"> </w:t>
      </w:r>
      <w:r>
        <w:t xml:space="preserve">Indicatori di mobilità: per la Sicilia sono monitorati ma costituiscono un esito atteso solo modesto, poiché la fuga — pur fra le più elevate d’Italia — riguarda l’alta complessità ospedaliera e chirurgica e non la domanda psicologica territoriale; la loro rilevazione serve a documentare la sola frazione territorialmente intercettabile, non un effetto principale.</w:t>
      </w:r>
    </w:p>
  </w:footnote>
  <w:footnote w:id="3528">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siciliano.</w:t>
      </w:r>
    </w:p>
  </w:footnote>
  <w:footnote w:id="3529">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all’Assessorato regionale della Salute e ai suoi Dipartimenti, che ne assicurano l’alimentazione uniforme da parte delle nove Aziende.</w:t>
      </w:r>
    </w:p>
  </w:footnote>
  <w:footnote w:id="3530">
    <w:p>
      <w:pPr>
        <w:pStyle w:val="FootnoteText"/>
      </w:pPr>
      <w:r>
        <w:rPr>
          <w:rStyle w:val="FootnoteReference"/>
        </w:rPr>
        <w:footnoteRef/>
      </w:r>
      <w:r>
        <w:t xml:space="preserve"> </w:t>
      </w:r>
      <w:r>
        <w:t xml:space="preserve">Clausola valutativa: lo strumento attraverso cui il monitoraggio diventa vincolante è la clausola valutativa; a differenza del Lazio, che deve inserirla nella futura legge, la Sicilia dispone già di una previsione di relazione annuale a carico degli psicologi delle cure primarie nella legge regionale 18 del 2023, sicché il compito non è introdurla ma rafforzarla e renderla pienamente operativa, impegnando la Giunta a riferire periodicamente all’Assemblea regionale sull’attuazione e sui risultati.</w:t>
      </w:r>
    </w:p>
  </w:footnote>
  <w:footnote w:id="3531">
    <w:p>
      <w:pPr>
        <w:pStyle w:val="FootnoteText"/>
      </w:pPr>
      <w:r>
        <w:rPr>
          <w:rStyle w:val="FootnoteReference"/>
        </w:rPr>
        <w:footnoteRef/>
      </w:r>
      <w:r>
        <w:t xml:space="preserve"> </w:t>
      </w:r>
      <w:r>
        <w:t xml:space="preserve">Flusso informativo: la raccolta dei dati di processo e di esito poggia sulla relazione annuale che la legge pone a carico degli psicologi delle cure primarie; poiché il servizio è in avvio, il flusso va impostato fin dall’inizio in forma uniforme, completa e interoperabile con la piattaforma informativa sanitaria regionale, cogliendo l’opportunità di una rilevazione progettata correttamente fra le nove Aziende prima della piena operatività.</w:t>
      </w:r>
    </w:p>
  </w:footnote>
  <w:footnote w:id="3532">
    <w:p>
      <w:pPr>
        <w:pStyle w:val="FootnoteText"/>
      </w:pPr>
      <w:r>
        <w:rPr>
          <w:rStyle w:val="FootnoteReference"/>
        </w:rPr>
        <w:footnoteRef/>
      </w:r>
      <w:r>
        <w:t xml:space="preserve"> </w:t>
      </w:r>
      <w:r>
        <w:t xml:space="preserve">Tempi della valutazione: la valutazione si articola in un monitoraggio in itinere, che accompagna l’attivazione progressiva del servizio e ne osserva la diversa progressione fra le nove Aziende; e in una valutazione ex post, che misura l’effetto a regime e ne verifica la sostenibilità; la fase di avvio consente di disporre di una linea di base anteriore all’attivazione, vantaggio peculiare di una regione che parte ora.</w:t>
      </w:r>
    </w:p>
  </w:footnote>
  <w:footnote w:id="3533">
    <w:p>
      <w:pPr>
        <w:pStyle w:val="FootnoteText"/>
      </w:pPr>
      <w:r>
        <w:rPr>
          <w:rStyle w:val="FootnoteReference"/>
        </w:rPr>
        <w:footnoteRef/>
      </w:r>
      <w:r>
        <w:t xml:space="preserve"> </w:t>
      </w:r>
      <w:r>
        <w:t xml:space="preserve">Sintesi del monitoraggio: 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p>
  </w:footnote>
  <w:footnote w:id="3534">
    <w:p>
      <w:pPr>
        <w:pStyle w:val="FootnoteText"/>
      </w:pPr>
      <w:r>
        <w:rPr>
          <w:rStyle w:val="FootnoteReference"/>
        </w:rPr>
        <w:footnoteRef/>
      </w:r>
      <w:r>
        <w:t xml:space="preserve"> </w:t>
      </w:r>
      <w:r>
        <w:t xml:space="preserve">Ricadute economico-sociali per la collettività: dell’ordine di 90, 170 e 255 milioni di euro l’anno nei tre scenari, comprensive del recupero di produttività connesso alla riduzione dell’assenteismo e della perdita di rendimento lavorativo — di particolare rilievo per la componente giovanile, indicata come priorità dal governo regionale — del valore del benessere recuperato e del minor carico assistenziale sulle famiglie; sono stimate con criteri conservativi.</w:t>
      </w:r>
    </w:p>
  </w:footnote>
  <w:footnote w:id="3535">
    <w:p>
      <w:pPr>
        <w:pStyle w:val="FootnoteText"/>
      </w:pPr>
      <w:r>
        <w:rPr>
          <w:rStyle w:val="FootnoteReference"/>
        </w:rPr>
        <w:footnoteRef/>
      </w:r>
      <w:r>
        <w:t xml:space="preserve"> </w:t>
      </w:r>
      <w:r>
        <w:t xml:space="preserve">Ritorno complessivo annuo, somma dei risparmi diretti e delle ricadute sociali: dell’ordine di 113, 206 e 311 milioni di euro nei tre scenari. Detratto il costo del servizio, il saldo complessivo per la collettività è ampiamente positivo, dell’ordine di +84, +163 e +254 milioni di euro l’anno.</w:t>
      </w:r>
    </w:p>
  </w:footnote>
  <w:footnote w:id="3536">
    <w:p>
      <w:pPr>
        <w:pStyle w:val="FootnoteText"/>
      </w:pPr>
      <w:r>
        <w:rPr>
          <w:rStyle w:val="FootnoteReference"/>
        </w:rPr>
        <w:footnoteRef/>
      </w:r>
      <w:r>
        <w:t xml:space="preserve"> </w:t>
      </w:r>
      <w:r>
        <w:t xml:space="preserve">Rapporto beneficio-costo complessivo: dell’ordine di 3,9 a uno nello scenario conservativo, 4,8 a uno in quello di base e 5,5 a uno in quello espansivo, interamente compreso nella banda prudenziale di 3,8-5,5 a uno adottata dallo studio e coerente con le stime metodologicamente fondate della letteratura.</w:t>
      </w:r>
    </w:p>
  </w:footnote>
  <w:footnote w:id="3537">
    <w:p>
      <w:pPr>
        <w:pStyle w:val="FootnoteText"/>
      </w:pPr>
      <w:r>
        <w:rPr>
          <w:rStyle w:val="FootnoteReference"/>
        </w:rPr>
        <w:footnoteRef/>
      </w:r>
      <w:r>
        <w:t xml:space="preserve"> </w:t>
      </w:r>
      <w:r>
        <w:t xml:space="preserve">Distinzione cardine fra caso finanziario e caso economico: è il punto che lo studio tiene fermo per la Sicilia e che ne governa la lettura. Il caso puramente finanziario per il bilancio sanitario è di modesto disavanzo, prossimo al pareggio, poiché i risparmi diretti quasi coprono il costo del servizio, il canale della mobilità è modesto e il ticket attenua ulteriormente il costo netto.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molto contenuto per il bilancio sanitario.</w:t>
      </w:r>
    </w:p>
  </w:footnote>
  <w:footnote w:id="3538">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3539">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3540">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3541">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0,5% in quello espansivo. La sostenibilità è condizionata dal fatto che la Sicilia, regione a statuto speciale, compartecipa al finanziamento nella misura del 49,11% del proprio fabbisogno e resta sottoposta a piano di rientro: il vincolo diretto è quindi più stretto che altrove, ma il sistema, storicamente sotto-finanziato, presenta un consumo improprio più ampio da recuperare, e il ticket attenua il costo netto. La strutturazione a regime richiede un finanziamento regionale stabile, da reperire entro i vincoli del piano di rientro e a valere sull’impegno iniziale già disposto dalla legge.</w:t>
      </w:r>
    </w:p>
  </w:footnote>
  <w:footnote w:id="3542">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(8,1%) e non estratte dai conti certificati delle nove Aziende Sanitarie Provinciali e delle aziende ospedaliere; poiché il servizio è in fase di avvio, la Sicilia non dispone ancora di una base di dati operativi propri, sicché la stima poggia sui benchmark internazionali, e la relazione annuale prevista dalla legge ne costituirà la fonte primaria man mano che gli elenchi si completano. L’estrazione dei dati certificati resta la priorità da completare prima della presentazione esterna.</w:t>
      </w:r>
    </w:p>
  </w:footnote>
  <w:footnote w:id="3543">
    <w:p>
      <w:pPr>
        <w:pStyle w:val="FootnoteText"/>
      </w:pPr>
      <w:r>
        <w:rPr>
          <w:rStyle w:val="FootnoteReference"/>
        </w:rPr>
        <w:footnoteRef/>
      </w:r>
      <w:r>
        <w:t xml:space="preserve"> </w:t>
      </w:r>
      <w:r>
        <w:t xml:space="preserve">Sintesi della valutazione economica: il caso diretto è prudente e prossimo al pareggio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3544">
    <w:p>
      <w:pPr>
        <w:pStyle w:val="FootnoteText"/>
      </w:pPr>
      <w:r>
        <w:rPr>
          <w:rStyle w:val="FootnoteReference"/>
        </w:rPr>
        <w:footnoteRef/>
      </w:r>
      <w:r>
        <w:t xml:space="preserve"> </w:t>
      </w:r>
      <w:r>
        <w:t xml:space="preserve">Bisogno potenziale stimato nell’ordine di 957.000 persone con disagio comune, in larga parte non intercettato, tanto più in una fase di avvio del servizio; poiché il servizio è istituito per legge ma ancora in partenza, l’intervento va dimensionato a partire dal nucleo di avvio, dell’ordine di 110 psicologi, ed esteso verso il fabbisogno a regime.</w:t>
      </w:r>
    </w:p>
  </w:footnote>
  <w:footnote w:id="3545">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Centri di Salute Mentale, secondo l’impianto della legge regionale 18 del 2023 e del decreto attuativo, che prevedono due psicologi per distretto sanitario, la formazione di un elenco provinciale degli psicologi delle cure primarie presso ciascuna Azienda Sanitaria Provinciale e un rapporto convenzionale su base libero-professionale, con ticket a carico del paziente. Nel modello siciliano il servizio è in fase di avvio nelle nove Aziende Sanitarie Provinciali; la Regione non dispone di un’azienda regionale unica, e il coordinamento è in capo all’Assessorato regionale della Salute, sicché l’omogeneità attuativa fra le nove Aziende — in un territorio insulare ed esteso — è la sfida organizzativa principale.</w:t>
      </w:r>
    </w:p>
  </w:footnote>
  <w:footnote w:id="3546">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3547">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in via di attivazione nelle Aziende siciliane man mano che gli elenchi si completano, affronta i quadri più frequenti — sintomatologia ansioso-depressiva, problemi di adattamento, fasi del ciclo di vita, disagi emotivi transitori, problematiche psicosomatiche.</w:t>
      </w:r>
    </w:p>
  </w:footnote>
  <w:footnote w:id="3548">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3549">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550">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551">
    <w:p>
      <w:pPr>
        <w:pStyle w:val="FootnoteText"/>
      </w:pPr>
      <w:r>
        <w:rPr>
          <w:rStyle w:val="FootnoteReference"/>
        </w:rPr>
        <w:footnoteRef/>
      </w:r>
    </w:p>
  </w:footnote>
  <w:footnote w:id="3552">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3553">
    <w:p>
      <w:pPr>
        <w:pStyle w:val="FootnoteText"/>
      </w:pPr>
      <w:r>
        <w:rPr>
          <w:rStyle w:val="FootnoteReference"/>
        </w:rPr>
        <w:footnoteRef/>
      </w:r>
      <w:r>
        <w:t xml:space="preserve"> </w:t>
      </w:r>
      <w:r>
        <w:t xml:space="preserve">Sintesi per dominio: il bisogno è ampio e radicato in una regione insulare ed estesa; l’efficacia clinica è sostenuta da evidenza internazionale solida, mentre i dati operativi propri sono ancora in formazione, essendo il servizio in fase di avvio; il quadro economico distingue un caso finanziario di modesto disavanzo prossimo al pareggio da un caso sociale fortemente positivo; l’equità è favorevole su un doppio asse territoriale e sulla dimensione generazionale, a condizione che il ticket sia calibrato; la fattibilità è quella del passaggio dall’avvio al regime di un servizio già istituito e dotato di decreto attuativo; il monitoraggio può fondarsi su una linea di base anteriore all’attivazione. La convergenza dei domini sostiene una raccomandazione favorevole.</w:t>
      </w:r>
    </w:p>
  </w:footnote>
  <w:footnote w:id="3554">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3555">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3556">
    <w:p>
      <w:pPr>
        <w:pStyle w:val="FootnoteText"/>
      </w:pPr>
      <w:r>
        <w:rPr>
          <w:rStyle w:val="FootnoteReference"/>
        </w:rPr>
        <w:footnoteRef/>
      </w:r>
      <w:r>
        <w:t xml:space="preserve"> </w:t>
      </w:r>
      <w:r>
        <w:t xml:space="preserve">Punteggio dell’intervento: la media ponderata dei punteggi attribuiti all’intervento è dell’ordine di 78,4 su 100, sostenuta dai punteggi elevati nel valore sociale, nell’equità e nel ritorno economico, e contenuta dai punteggi più bassi nella robustezza dell’evidenza — che riflette la fase di avvio, con dati propri ancora in formazione — e nell’impatto sul bilancio, condizionato dai vincoli del piano di rientro e dello statuto speciale.</w:t>
      </w:r>
    </w:p>
  </w:footnote>
  <w:footnote w:id="3557">
    <w:p>
      <w:pPr>
        <w:pStyle w:val="FootnoteText"/>
      </w:pPr>
      <w:r>
        <w:rPr>
          <w:rStyle w:val="FootnoteReference"/>
        </w:rPr>
        <w:footnoteRef/>
      </w:r>
      <w:r>
        <w:t xml:space="preserve"> </w:t>
      </w:r>
      <w:r>
        <w:t xml:space="preserve">Punteggio del non intervento: l’alternativa di non portare il servizio a regime ottiene una media ponderata dell’ordine di 39,2 su 100; essa è penalizzata in tutti i criteri sostanziali — efficacia, equità, valore sociale, ritorno — e è sostenuta soltanto dalla fattibilità immediata dello status quo, che però nella Sicilia appare oggi poco giustificata, poiché lascerebbe inattuato un servizio già istituito per legge e già dotato di decreto attuativo.</w:t>
      </w:r>
    </w:p>
  </w:footnote>
  <w:footnote w:id="3558">
    <w:p>
      <w:pPr>
        <w:pStyle w:val="FootnoteText"/>
      </w:pPr>
      <w:r>
        <w:rPr>
          <w:rStyle w:val="FootnoteReference"/>
        </w:rPr>
        <w:footnoteRef/>
      </w:r>
      <w:r>
        <w:t xml:space="preserve"> </w:t>
      </w:r>
      <w:r>
        <w:t xml:space="preserve">Interpretazione del confronto: l’intervento prevale nettamente sul non intervento, con uno scarto dell’ordine di trentanove punti; il punteggio dell’intervento si colloca fra i più elevati delle regioni esaminate, riflettendo una cornice normativa completa — legge e decreto attuativo già emanati — pur scontando un caso finanziario diretto modesto, i vincoli del piano di rientro e la fase di avvio del servizio.</w:t>
      </w:r>
    </w:p>
  </w:footnote>
  <w:footnote w:id="3559">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3560">
    <w:p>
      <w:pPr>
        <w:pStyle w:val="FootnoteText"/>
      </w:pPr>
      <w:r>
        <w:rPr>
          <w:rStyle w:val="FootnoteReference"/>
        </w:rPr>
        <w:footnoteRef/>
      </w:r>
      <w:r>
        <w:t xml:space="preserve"> </w:t>
      </w:r>
      <w:r>
        <w:t xml:space="preserve">Raccomandazione principale: si raccomanda di portare dall’avvio al regime il servizio di psicologia delle cure primarie già istituito, completando la formazione degli elenchi provinciali, stabilizzandone il finanziamento entro i vincoli del piano di rientro e dello statuto speciale e dimensionandolo verso la copertura piena del fabbisogno, con un ticket calibrato; è la decisione che la Sicilia, dotata di legge e decreto attuativo, è chiamata a compiere per rendere pienamente operativo il servizio.</w:t>
      </w:r>
    </w:p>
  </w:footnote>
  <w:footnote w:id="3561">
    <w:p>
      <w:pPr>
        <w:pStyle w:val="FootnoteText"/>
      </w:pPr>
      <w:r>
        <w:rPr>
          <w:rStyle w:val="FootnoteReference"/>
        </w:rPr>
        <w:footnoteRef/>
      </w:r>
      <w:r>
        <w:t xml:space="preserve"> </w:t>
      </w:r>
      <w:r>
        <w:t xml:space="preserve">Dimensionamento raccomandato: si raccomanda di muovere dal nucleo di avvio, dell’ordine di 110 psicologi, e di procedere per gradi verso lo scenario conservativo, dell’ordine di 520 psicologi, quindi verso quello di base, dell’ordine di 780, e infine verso quello espansivo, dell’ordine di 1.030, in funzione della verifica progressiva dei risultati e della sostenibilità.</w:t>
      </w:r>
    </w:p>
  </w:footnote>
  <w:footnote w:id="3562">
    <w:p>
      <w:pPr>
        <w:pStyle w:val="FootnoteText"/>
      </w:pPr>
      <w:r>
        <w:rPr>
          <w:rStyle w:val="FootnoteReference"/>
        </w:rPr>
        <w:footnoteRef/>
      </w:r>
      <w:r>
        <w:t xml:space="preserve"> </w:t>
      </w:r>
      <w:r>
        <w:t xml:space="preserve">Condizioni della raccomandazione: il rafforzamento e la piena operatività della relazione annuale già prevista dalla legge, l’adozione di un’allocazione pro-equità verso le periferie urbane, le province interne e insulari e il disagio giovanile, la calibrazione del ticket con esenzioni efficaci, una regia dell’Assessorato regionale in assenza di un’azienda unica e l’impostazione fin dall’avvio di un flusso informativo uniforme fra le nove Aziende sono le condizioni che trasformano la raccomandazione in un’attuazione efficace e valutabile.</w:t>
      </w:r>
    </w:p>
  </w:footnote>
  <w:footnote w:id="3563">
    <w:p>
      <w:pPr>
        <w:pStyle w:val="FootnoteText"/>
      </w:pPr>
      <w:r>
        <w:rPr>
          <w:rStyle w:val="FootnoteReference"/>
        </w:rPr>
        <w:footnoteRef/>
      </w:r>
      <w:r>
        <w:t xml:space="preserve"> </w:t>
      </w:r>
      <w:r>
        <w:t xml:space="preserve">Lacuna da colmare prima della presentazione esterna: l’estrazione dei conti certificati delle nove Aziende Sanitarie Provinciali e delle aziende ospedaliere e l’impostazione, fin dall’avvio, di un flusso uniforme dei dati di esito attraverso la relazione annuale prevista dalla legge sono le priorità che consentiranno di sostituire i valori ricostruiti per quota di popolazione con grandezze effettive.</w:t>
      </w:r>
    </w:p>
  </w:footnote>
  <w:footnote w:id="3564">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3565">
    <w:p>
      <w:pPr>
        <w:pStyle w:val="FootnoteText"/>
      </w:pPr>
      <w:r>
        <w:rPr>
          <w:rStyle w:val="FootnoteReference"/>
        </w:rPr>
        <w:footnoteRef/>
      </w:r>
      <w:r>
        <w:t xml:space="preserve"> </w:t>
      </w:r>
      <w:r>
        <w:t xml:space="preserve">Collocazione nella serie regionale: lo studio sulla Sicilia è il decimo della serie, dopo quelli su Puglia, Lombardia, Veneto, Emilia-Romagna, Piemonte, Toscana, Liguria, Lazio e Campania, e ne condivide il telaio integrato e il caso di riferimento; rispetto agli altri, la Sicilia occupa una posizione propria, quella della regione post-legislativa in avvio, a statuto speciale e unica della serie ancora sottoposta a piano di rientro, che ha già istituito il servizio per legge e ne ha emanato il decreto attuativo, e che oggi è chiamata a portarlo dall’avvio al regime.</w:t>
      </w:r>
    </w:p>
  </w:footnote>
  <w:footnote w:id="3566">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3567">
    <w:p>
      <w:pPr>
        <w:pStyle w:val="FootnoteText"/>
      </w:pPr>
      <w:r>
        <w:rPr>
          <w:rStyle w:val="FootnoteReference"/>
        </w:rPr>
        <w:footnoteRef/>
      </w:r>
      <w:r>
        <w:t xml:space="preserve"> </w:t>
      </w:r>
      <w:r>
        <w:t xml:space="preserve">Conclusione: la decisione che lo studio sostiene è di portare dall’avvio al regime il servizio di psicologia delle cure primarie già istituito, completando la formazione degli elenchi provinciali, stabilizzandone il finanziamento entro i vincoli del piano di rientro, dimensionandolo progressivamente al fabbisogno, calibrando il ticket e rendendo pienamente operativa la relazione annuale; per la Sicilia, dotata di legge e decreto attuativo, ciò significa rendere effettivo un servizio già istituito, a beneficio della popolazione.</w:t>
      </w:r>
    </w:p>
  </w:footnote>
  <w:footnote w:id="3568">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La legge regionale prevede già una relazione annuale a carico degli psicologi delle cure primarie, da trasmettere ai servizi competenti del Servizio sanitario regionale: poiché il servizio è in avvio, il flusso informativo va impostato fin dall’inizio in forma uniforme fra le nove Aziende, cogliendo l’opportunità di una rilevazione progettata correttamente prima della piena operatività.</w:t>
      </w:r>
    </w:p>
  </w:footnote>
  <w:footnote w:id="3569">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3570">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3571">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3572">
    <w:p>
      <w:pPr>
        <w:pStyle w:val="FootnoteText"/>
      </w:pPr>
      <w:r>
        <w:rPr>
          <w:rStyle w:val="FootnoteReference"/>
        </w:rPr>
        <w:footnoteRef/>
      </w:r>
      <w:r>
        <w:t xml:space="preserve"> </w:t>
      </w:r>
      <w:r>
        <w:t xml:space="preserve">Telepsicologia e telemonitoraggio assistiti: nella Sicilia sono lo strumento per garantire l’accesso al sostegno psicologico nelle periferie delle aree metropolitane di Palermo e Catania e nelle province interne e insulari di Enna e Caltanissetta, più anziane e a minore densità, dove le distanze, la condizione insulare e la rarefazione dei servizi rendono difficoltoso il raggiungimento delle sedi; tali strumenti sono concepiti come complementari e non sostitutivi della presa in carico in presenza.</w:t>
      </w:r>
    </w:p>
  </w:footnote>
  <w:footnote w:id="3573">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3574">
    <w:p>
      <w:pPr>
        <w:pStyle w:val="FootnoteText"/>
      </w:pPr>
      <w:r>
        <w:rPr>
          <w:rStyle w:val="FootnoteReference"/>
        </w:rPr>
        <w:footnoteRef/>
      </w:r>
      <w:r>
        <w:t xml:space="preserve"> </w:t>
      </w:r>
      <w:r>
        <w:t xml:space="preserve">Programma formativo a quattro livelli: universitario (curricula e tirocini presso gli atenei siciliani — Palermo, Catania, Messina e Kore di Enna); post-universitario specialistico (formazione dedicata alla psicologia delle cure primarie, comprensiva della competenza per il disagio giovanile, indicato come priorità dal governo regionale, e per l’età anziana nelle province interne); continuo lavorativo (aggiornamento in servizio, audit clinico, educazione continua in medicina); affiancamento operativo (tutoraggio sul campo e inserimento graduale con supervisione). La Sicilia presenta qui un elemento di metodo: il decreto attuativo definisce competenze, titoli e criteri di valutazione per l’iscrizione agli elenchi provinciali, base su cui innestare il percorso formativo del servizio in avvio.</w:t>
      </w:r>
    </w:p>
  </w:footnote>
  <w:footnote w:id="3575">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3576">
    <w:p>
      <w:pPr>
        <w:pStyle w:val="FootnoteText"/>
      </w:pPr>
      <w:r>
        <w:rPr>
          <w:rStyle w:val="FootnoteReference"/>
        </w:rPr>
        <w:footnoteRef/>
      </w:r>
    </w:p>
  </w:footnote>
  <w:footnote w:id="3577">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3578">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3579">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3580">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3581">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3582">
    <w:p>
      <w:pPr>
        <w:pStyle w:val="FootnoteText"/>
      </w:pPr>
      <w:r>
        <w:rPr>
          <w:rStyle w:val="FootnoteReference"/>
        </w:rPr>
        <w:footnoteRef/>
      </w:r>
    </w:p>
  </w:footnote>
  <w:footnote w:id="3583">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3584">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3585">
    <w:p>
      <w:pPr>
        <w:pStyle w:val="FootnoteText"/>
      </w:pPr>
      <w:r>
        <w:rPr>
          <w:rStyle w:val="FootnoteReference"/>
        </w:rPr>
        <w:footnoteRef/>
      </w:r>
      <w:r>
        <w:t xml:space="preserve"> </w:t>
      </w:r>
      <w:r>
        <w:t xml:space="preserve">Quadro economico consolidato per la Sicilia (Parte E): a regime, da circa 520 a circa 1.030 psicologi, costo del servizio di 29-57 milioni, risparmi diretti di 23-56 milioni, ricadute sociali di 90-255 milioni; il saldo diretto è lievemente negativo ma prossimo al pareggio, il saldo complessivo fortemente positivo, con rapporto beneficio-costo di 3,8-5,5 a uno.</w:t>
      </w:r>
    </w:p>
  </w:footnote>
  <w:footnote w:id="3586">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3587">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nella Sicilia, poiché il servizio è in fase di avvio, il flusso va impostato fin dall’inizio attraverso la relazione annuale prevista dalla legge, in forma uniforme e completa fra le nove Aziende.</w:t>
      </w:r>
    </w:p>
  </w:footnote>
  <w:footnote w:id="3588">
    <w:p>
      <w:pPr>
        <w:pStyle w:val="FootnoteText"/>
      </w:pPr>
      <w:r>
        <w:rPr>
          <w:rStyle w:val="FootnoteReference"/>
        </w:rPr>
        <w:footnoteRef/>
      </w:r>
      <w:r>
        <w:t xml:space="preserve"> </w:t>
      </w:r>
      <w:r>
        <w:t xml:space="preserve">Valori regionali di ancoraggio per la Sicilia: popolazione di 4.787.390 abitanti (Censimento ISTAT 2024), pari a circa l’8,1% del totale nazionale, in lieve calo per saldi naturale e migratorio interno negativi, concentrata sui due poli di Palermo e Catania (insieme circa il 47,4%); struttura per età con età media circa 45,7 anni; componente straniera contenuta (circa 4,3%); finanziamento del Servizio sanitario regionale dell’ordine di 10-11 miliardi di euro, con statuto speciale (compartecipazione al 49,11% del fabbisogno) e regione ancora sottoposta a piano di rientro; saldo di mobilità fra i più passivi d’Italia ma con fuga concentrata nell’alta complessità ospedaliera e chirurgica, sicché il canale di recupero è modesto; fabbisogno a regime fino a circa 1.030 psicologi nello scenario espansivo.</w:t>
      </w:r>
    </w:p>
  </w:footnote>
  <w:footnote w:id="3589">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siciliana (8,1%), e non estratti dai conti regionali certificati; i dati da acquisire presso le nove Aziende Sanitarie Provinciali e le aziende ospedaliere sono elencati nella tabella seguente. Poiché il servizio è in fase di avvio, la base di dati operativi propri è ancora in formazione e si costituirà attraverso la relazione annuale prevista dalla legge.</w:t>
      </w:r>
    </w:p>
  </w:footnote>
  <w:footnote w:id="3590">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3591">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ligure, laziale e campano, di cui questo studio replica il telaio metodologico.</w:t>
      </w:r>
    </w:p>
  </w:footnote>
  <w:footnote w:id="3592">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3593">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3594">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la dotazione iniziale prevista, dell’ordine di 110 psicologi corrispondente ai due per ciascuno dei 55 distretti, corrisponde a un nucleo di avvio inferiore allo scenario conservativo, e costituisce la prima tappa di un percorso di estensione progressiva verso la copertura piena.</w:t>
      </w:r>
    </w:p>
  </w:footnote>
  <w:footnote w:id="3595">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3596">
    <w:p>
      <w:pPr>
        <w:pStyle w:val="FootnoteText"/>
      </w:pPr>
      <w:r>
        <w:rPr>
          <w:rStyle w:val="FootnoteReference"/>
        </w:rPr>
        <w:footnoteRef/>
      </w:r>
      <w:r>
        <w:t xml:space="preserve"> </w:t>
      </w:r>
      <w:r>
        <w:t xml:space="preserve">Disegno della verifica empirica: poiché nella Sicilia il servizio è in fase di avvio e gli elenchi provinciali si completano in tempi differenziati, la verifica controfattuale può fondarsi su un esperimento a cunei progressivi, nel quale l’ordine e i tempi di attivazione delle sedi tra le nove Aziende Sanitarie Provinciali e i loro distretti sono impiegati a fini valutativi. La fase di avvio consente di rilevare una linea di base prima della piena operatività; la Sicilia non dispone ancora dei dati operativi propri di una regione a servizio già consolidato, ma l’attivazione scaglionata fornisce la variazione necessaria all’identificazione dell’effetto.</w:t>
      </w:r>
    </w:p>
  </w:footnote>
  <w:footnote w:id="3597">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che affluiscono man mano che il servizio si attiva e dalla progressione differenziata della formazione degli elenchi fra le nove Aziende, che fornisce la variazione necessaria all’identificazione dell’effetto.</w:t>
      </w:r>
    </w:p>
  </w:footnote>
  <w:footnote w:id="3598">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siciliana, eccede ampiamente il costo della raccolta dei dati; le priorità sono l’estrazione dei conti certificati delle nove Aziende Sanitarie Provinciali e delle aziende ospedaliere e l’impostazione, fin dall’avvio, di un flusso uniforme dei dati di esito attraverso la relazione annuale prevista dalla legge.</w:t>
      </w:r>
    </w:p>
  </w:footnote>
  <w:footnote w:id="3599">
    <w:p>
      <w:pPr>
        <w:pStyle w:val="FootnoteText"/>
      </w:pPr>
      <w:r>
        <w:rPr>
          <w:rStyle w:val="FootnoteReference"/>
        </w:rPr>
        <w:footnoteRef/>
      </w:r>
    </w:p>
  </w:footnote>
  <w:footnote w:id="3600">
    <w:p>
      <w:pPr>
        <w:pStyle w:val="FootnoteText"/>
      </w:pPr>
      <w:r>
        <w:rPr>
          <w:rStyle w:val="FootnoteReference"/>
        </w:rPr>
        <w:footnoteRef/>
      </w:r>
      <w:r>
        <w:t xml:space="preserve"> </w:t>
      </w:r>
      <w:r>
        <w:t xml:space="preserve">Posizione della Sardegna: la regione dispone di una previsione di legge e di una disciplina attuativa di rango programmatorio, e il servizio è in fase di avvio sperimentale e parziale. La legge regionale 11 settembre 2020, n. 24 (Riforma del sistema sanitario regionale), all’articolo 37, istituisce in via sperimentale il Dipartimento di Psicologia di Cure Primarie (DPCP), disciplinato dalla deliberazione di Giunta 9/22 del 24 marzo 2022 (Piano regionale dei servizi sanitari 2022-2024). A differenza del modello convenzionale libero-professionale adottato dalla Campania e dalla Sicilia, il modello sardo è dipartimentale e strutturale: il DPCP si articola in Strutture Complesse di Psicologia territoriale di base interne a ciascuna Azienda socio-sanitaria locale, con psicologi a rapporto di dipendenza, integrati con le attività distrettuali delle cure primarie, e senza ticket a carico del paziente. L’attivazione del Dipartimento e delle relative strutture è subordinata al provvedimento della Regione Autonoma della Sardegna di copertura finanziaria; l’attuazione è ad oggi parziale, poiché l’Azienda socio-sanitaria locale di Sassari ha già costituito il proprio Dipartimento di Psicologia di Cure Primarie, mentre le altre Aziende non lo hanno ancora attivato.</w:t>
      </w:r>
    </w:p>
  </w:footnote>
  <w:footnote w:id="3601">
    <w:p>
      <w:pPr>
        <w:pStyle w:val="FootnoteText"/>
      </w:pPr>
      <w:r>
        <w:rPr>
          <w:rStyle w:val="FootnoteReference"/>
        </w:rPr>
        <w:footnoteRef/>
      </w:r>
      <w:r>
        <w:t xml:space="preserve"> </w:t>
      </w:r>
      <w:r>
        <w:t xml:space="preserve">Stato attuale e decisione: a differenza del Lazio, che non ha ancora una legge, e diversamente dalla Campania e dalla Sicilia, che hanno adottato leggi dedicate e un modello convenzionale, la Sardegna ha inquadrato il servizio in una legge di riforma sanitaria (la legge regionale 24 del 2020), con un modello dipartimentale istituito in via sperimentale e un’attuazione finora limitata all’Azienda di Sassari. La decisione rilevante, di conseguenza, non è se istituire il servizio, già previsto per legge, ma se attivarlo pienamente e condurlo a regime, estendendone il Dipartimento alle otto Aziende socio-sanitarie locali e dimensionandolo dalla dotazione iniziale alla copertura sistematica del fabbisogno — stimato nell’ordine di 340 psicologi nello scenario espansivo — disponendo la copertura finanziaria cui la legge subordina l’attivazione, entro i vincoli propri di una regione a statuto speciale che si autofinanzia la sanità e registra il più elevato disavanzo fra le regioni a statuto speciale.</w:t>
      </w:r>
    </w:p>
  </w:footnote>
  <w:footnote w:id="3602">
    <w:p>
      <w:pPr>
        <w:pStyle w:val="FootnoteText"/>
      </w:pPr>
      <w:r>
        <w:rPr>
          <w:rStyle w:val="FootnoteReference"/>
        </w:rPr>
        <w:footnoteRef/>
      </w:r>
      <w:r>
        <w:t xml:space="preserve"> </w:t>
      </w:r>
      <w:r>
        <w:t xml:space="preserve">Salute mentale in Sardegna: la domanda è sospinta da componenti convergenti, con un profilo diverso da quello delle altre regioni insulari. La prima e più caratterizzante è il bisogno dell’età adulta e anziana e della cronicità, in una delle regioni più anziane d’Italia, particolarmente accentuato nelle province interne e più anziane di Oristano e del Sud Sardegna e nei piccoli comuni dell’interno. La seconda è il disagio connesso allo spopolamento e all’isolamento delle aree interne, dove la rarefazione dei servizi e le distanze gravano sull’accesso. La terza è il disagio giovanile e quello connesso alla precarietà socio-economica, presente soprattutto nei due poli urbani di Sassari e Cagliari. A queste si aggiungono i divari di accesso propri di una regione insulare a bassa densità, la pressione delle liste di attesa e una sotto-dotazione del sistema aggravata dal disavanzo strutturale.</w:t>
      </w:r>
    </w:p>
  </w:footnote>
  <w:footnote w:id="3603">
    <w:p>
      <w:pPr>
        <w:pStyle w:val="FootnoteText"/>
      </w:pPr>
      <w:r>
        <w:rPr>
          <w:rStyle w:val="FootnoteReference"/>
        </w:rPr>
        <w:footnoteRef/>
      </w:r>
      <w:r>
        <w:t xml:space="preserve"> </w:t>
      </w:r>
      <w:r>
        <w:t xml:space="preserve">Popolazione residente in Sardegna 1.562.381 abitanti (Censimento permanente ISTAT al 31 dicembre 2024), pari a circa il 2,7% della popolazione nazionale, in calo di 8.072 unità rispetto all’anno precedente (-0,5%) per effetto di un saldo naturale fortemente negativo e di un saldo migratorio interno negativo, e con nessuna provincia in crescita. La distribuzione è concentrata su due province: Sassari raccoglie 471.957 residenti (30,2%) e Cagliari 417.532 (26,7%), insieme il 56,9%, seguite dal Sud Sardegna (329.556) e da Nuoro e Oristano; soltanto il 17,1% della popolazione vive nei due soli comuni con oltre 100.000 abitanti, Cagliari e Sassari. La struttura per età è fra le più anziane d’Italia, con un’età media salita a 49,2 anni, e con le province di Sassari e Cagliari più giovani (48,5 e 48,8 anni) e quelle di Oristano e del Sud Sardegna più anziane (50,6 e 50,3 anni); la componente straniera, intorno al 3,4%, è fra le più contenute del Paese.</w:t>
      </w:r>
    </w:p>
  </w:footnote>
  <w:footnote w:id="3604">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3605">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Dipartimento nella sua attuazione sperimentale e parziale, con il dimensionamento iniziale dell’Azienda di Sassari, come comparatore.</w:t>
      </w:r>
    </w:p>
  </w:footnote>
  <w:footnote w:id="3606">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3607">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della Sardegna presenta un vincolo proprio e severo: regione a statuto speciale, essa si autofinanzia integralmente la sanità con risorse dei residenti — sicché, secondo la giurisprudenza costituzionale, i tetti nazionali di spesa non le si applicano, purché rispetti il pareggio di bilancio — ma registra il più elevato disavanzo sanitario fra le regioni a statuto speciale e una spesa farmaceutica nettamente superiore alla media nazionale. Sul versante della mobilità sanitaria presenta uno dei saldi passivi più elevati d’Italia, ma la fuga si concentra nei ricoveri ad alta complessità e nelle terapie oncologiche — una mobilità dettata da necessità e non da scelta — e non nella domanda psicologica delle cure primarie, sicché il canale del recupero della mobilità è per questo intervento solo modestamente pertinente, limitato alla frazione territorialmente intercettabile. Ne consegue un saldo diretto lievemente negativo ma prossimo al pareggio — meno sfavorevole di quanto il vincolo di bilancio lascerebbe temere, poiché il sistema sardo, a lungo sotto-finanziato, presenta un consumo improprio più ampio da recuperare — mentre il modello dipartimentale, a differenza di quello convenzionale con ticket della Sicilia, è integralmente gratuito; il caso economico poggia in misura preponderante sulle ricadute sociali, stimate con criteri conservativi.</w:t>
      </w:r>
    </w:p>
  </w:footnote>
  <w:footnote w:id="3608">
    <w:p>
      <w:pPr>
        <w:pStyle w:val="FootnoteText"/>
      </w:pPr>
      <w:r>
        <w:rPr>
          <w:rStyle w:val="FootnoteReference"/>
        </w:rPr>
        <w:footnoteRef/>
      </w:r>
      <w:r>
        <w:t xml:space="preserve"> </w:t>
      </w:r>
      <w:r>
        <w:t xml:space="preserve">I valori economici oggi impiegati sono in parte ricostruiti dai conti nazionali per quota di popolazione (2,7%) e non estratti dai conti regionali certificati delle otto Aziende socio-sanitarie locali, dell’Azienda regionale della salute e delle aziende ospedaliere: è la lacuna prioritaria dello studio, da colmare prima della presentazione esterna. Poiché il Dipartimento è attivo solo parzialmente, nella sola Azienda di Sassari, la Sardegna dispone di una base di dati operativi propri limitata; lo studio poggia perciò, per l’efficacia, sui benchmark internazionali, e l’attivazione progressiva del Dipartimento nelle otto Aziende costituirà la fonte primaria da consolidare.</w:t>
      </w:r>
    </w:p>
  </w:footnote>
  <w:footnote w:id="3609">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3610">
    <w:p>
      <w:pPr>
        <w:pStyle w:val="FootnoteText"/>
      </w:pPr>
      <w:r>
        <w:rPr>
          <w:rStyle w:val="FootnoteReference"/>
        </w:rPr>
        <w:footnoteRef/>
      </w:r>
      <w:r>
        <w:t xml:space="preserve"> </w:t>
      </w:r>
      <w:r>
        <w:t xml:space="preserve">Valutazione controfattuale d’impatto: poiché il Dipartimento è attivo nella sola Azienda di Sassari e la sua estensione alle altre Aziende avverrà in tempi differenziati, il disegno può fondarsi su un esperimento a cunei progressivi, nel quale l’ordine e i tempi di attivazione del Dipartimento tra le otto Aziende socio-sanitarie locali e i loro distretti sono impiegati a fini valutativi. L’effetto causale è stimato con i metodi della differenza-nelle-differenze e del controllo sintetico; l’attuazione iniziale consente di rilevare una linea di base prima della piena operatività, e l’esperienza dell’Azienda di Sassari, già dotata del Dipartimento, fornisce un primo riferimento operativo.</w:t>
      </w:r>
    </w:p>
  </w:footnote>
  <w:footnote w:id="3611">
    <w:p>
      <w:pPr>
        <w:pStyle w:val="FootnoteText"/>
      </w:pPr>
      <w:r>
        <w:rPr>
          <w:rStyle w:val="FootnoteReference"/>
        </w:rPr>
        <w:footnoteRef/>
      </w:r>
      <w:r>
        <w:t xml:space="preserve"> </w:t>
      </w:r>
      <w:r>
        <w:t xml:space="preserve">La valutazione è governata da un comitato di indirizzo — Regione, otto Aziende socio-sanitarie locali (Sassari, Gallura, Nuoro, Ogliastra, Oristano, Medio Campidano, Sulcis, Cagliari), Azienda regionale della salute (ARES), Azienda di rilievo nazionale e alta specializzazione Brotzu, Aziende ospedaliero-universitarie di Cagliari e Sassari, Azienda regionale dell’emergenza e urgenza, Ordine delle Psicologhe e degli Psicologi della Sardegna, rappresentanze della medicina generale e della pediatria di libera scelta e atenei di Cagliari e Sassari. A differenza della Sicilia, la Sardegna dispone di un’azienda regionale di coordinamento e supporto tecnico-amministrativo, l’ARES, costituita dalla legge di riforma, accanto al coordinamento dell’Assessorato regionale dell’igiene e sanità. La sfida del governo non è quindi istituire il servizio, ma attivarlo pienamente e condurlo a regime, estendendo il Dipartimento alle otto Aziende e garantendo l’omogeneità attuativa in un sistema insulare a bassa densità.</w:t>
      </w:r>
    </w:p>
  </w:footnote>
  <w:footnote w:id="3612">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3613">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3614">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3615">
    <w:p>
      <w:pPr>
        <w:pStyle w:val="FootnoteText"/>
      </w:pPr>
      <w:r>
        <w:rPr>
          <w:rStyle w:val="FootnoteReference"/>
        </w:rPr>
        <w:footnoteRef/>
      </w:r>
      <w:r>
        <w:t xml:space="preserve"> </w:t>
      </w:r>
      <w:r>
        <w:t xml:space="preserve">Popolazione residente in Sardegna 1.562.381 abitanti (Censimento permanente ISTAT al 31 dicembre 2024), pari a circa il 2,7% del totale nazionale, in calo di 8.072 unità rispetto all’anno precedente (-0,5%); la diminuzione, che non risparmia alcuna provincia, è dovuta a un saldo naturale fortemente negativo e a un saldo migratorio interno negativo, solo in parte compensati dal saldo migratorio estero, positivo. La denatalità ha toccato un nuovo minimo, con una fecondità fra le più basse del Paese.</w:t>
      </w:r>
    </w:p>
  </w:footnote>
  <w:footnote w:id="3616">
    <w:p>
      <w:pPr>
        <w:pStyle w:val="FootnoteText"/>
      </w:pPr>
      <w:r>
        <w:rPr>
          <w:rStyle w:val="FootnoteReference"/>
        </w:rPr>
        <w:footnoteRef/>
      </w:r>
      <w:r>
        <w:t xml:space="preserve"> </w:t>
      </w:r>
      <w:r>
        <w:t xml:space="preserve">Struttura per età: la Sardegna è fra le regioni più anziane d’Italia, con un’età media salita a 49,2 anni. La distribuzione interna è disomogenea: le province di Sassari e Cagliari sono le più giovani (età media 48,5 e 48,8 anni), mentre Oristano e il Sud Sardegna sono le più anziane (50,6 e 50,3 anni); nei piccolissimi comuni dell’interno l’età media sale fino a 51,7 anni e l’indice di vecchiaia raggiunge valori molto elevati. La componente straniera, contenuta, concorre solo in misura modesta al ringiovanimento.</w:t>
      </w:r>
    </w:p>
  </w:footnote>
  <w:footnote w:id="3617">
    <w:p>
      <w:pPr>
        <w:pStyle w:val="FootnoteText"/>
      </w:pPr>
      <w:r>
        <w:rPr>
          <w:rStyle w:val="FootnoteReference"/>
        </w:rPr>
        <w:footnoteRef/>
      </w:r>
      <w:r>
        <w:t xml:space="preserve"> </w:t>
      </w:r>
      <w:r>
        <w:t xml:space="preserve">Componente straniera dell’ordine del 3,4% dei residenti (circa 54.000 persone), fra le più basse del Paese e nettamente inferiore alla media nazionale; ciò rende la dimensione della competenza culturale meno centrale che in altre regioni, pur restando rilevante nei due poli urbani di Sassari e Cagliari, dove si concentra la maggior parte degli stranieri residenti.</w:t>
      </w:r>
    </w:p>
  </w:footnote>
  <w:footnote w:id="3618">
    <w:p>
      <w:pPr>
        <w:pStyle w:val="FootnoteText"/>
      </w:pPr>
      <w:r>
        <w:rPr>
          <w:rStyle w:val="FootnoteReference"/>
        </w:rPr>
        <w:footnoteRef/>
      </w:r>
      <w:r>
        <w:t xml:space="preserve"> </w:t>
      </w:r>
      <w:r>
        <w:t xml:space="preserve">Distribuzione territoriale concentrata sui due poli maggiori: le province di Sassari e Cagliari raccolgono insieme il 56,9% dei residenti — Sassari con 471.957 abitanti (30,2%) e Cagliari con 417.532 (26,7%), le sole a superare le quattrocentomila unità — seguite dal Sud Sardegna (329.556, 21,1%), da Nuoro (195.331) e da Oristano (148.005). Soltanto il 17,1% della popolazione vive nei due soli comuni con oltre 100.000 abitanti, Cagliari e Sassari, mentre oltre un quarto risiede in piccoli comuni tra mille e cinquemila abitanti.</w:t>
      </w:r>
    </w:p>
  </w:footnote>
  <w:footnote w:id="3619">
    <w:p>
      <w:pPr>
        <w:pStyle w:val="FootnoteText"/>
      </w:pPr>
      <w:r>
        <w:rPr>
          <w:rStyle w:val="FootnoteReference"/>
        </w:rPr>
        <w:footnoteRef/>
      </w:r>
      <w:r>
        <w:t xml:space="preserve"> </w:t>
      </w:r>
      <w:r>
        <w:t xml:space="preserve">Profilo territoriale a marcata polarità: da un lato i due poli urbani di Sassari e Cagliari, che concentrano popolazione, servizi e disagio giovanile e socio-economico; dall’altro le vaste aree interne e meno popolose di Oristano, Nuoro e del Sud Sardegna, più anziane, in forte spopolamento e a bassissima densità, dove la rarefazione dei servizi, le distanze e la condizione insulare acuiscono le difficoltà di accesso. È l’asse di disuguaglianza più caratterizzante dell’Isola.</w:t>
      </w:r>
    </w:p>
  </w:footnote>
  <w:footnote w:id="3620">
    <w:p>
      <w:pPr>
        <w:pStyle w:val="FootnoteText"/>
      </w:pPr>
      <w:r>
        <w:rPr>
          <w:rStyle w:val="FootnoteReference"/>
        </w:rPr>
        <w:footnoteRef/>
      </w:r>
      <w:r>
        <w:t xml:space="preserve"> </w:t>
      </w:r>
      <w:r>
        <w:t xml:space="preserve">Disagio psichico comune o sottosoglia stimato nell’ordine di 312.000 persone, ottenuto per proiezione dei tassi di prevalenza nazionali sulla popolazione sarda; è la quota di bisogno potenziale cui il servizio si rivolge in via prioritaria, in larga parte non intercettata dall’offerta, tanto più in una fase in cui il Dipartimento è attivo nella sola Azienda di Sassari.</w:t>
      </w:r>
    </w:p>
  </w:footnote>
  <w:footnote w:id="3621">
    <w:p>
      <w:pPr>
        <w:pStyle w:val="FootnoteText"/>
      </w:pPr>
      <w:r>
        <w:rPr>
          <w:rStyle w:val="FootnoteReference"/>
        </w:rPr>
        <w:footnoteRef/>
      </w:r>
      <w:r>
        <w:t xml:space="preserve"> </w:t>
      </w:r>
      <w:r>
        <w:t xml:space="preserve">Domanda specialistica e posizione della regione: a fronte del disagio comune si colloca un’ampia utenza in carico ai servizi di salute mentale, dell’ordine di alcune decine di migliaia di persone secondo una stima rapportata ai dati nazionali. La Sardegna presenta una specificità propria: ha previsto il Dipartimento di Psicologia di Cure Primarie in una legge di riforma sanitaria, istituendolo in via sperimentale, e lo ha attivato nella sola Azienda di Sassari, circostanza che conferisce all’intervento una legittimazione istituzionale già acquisita, sebbene la base di dati operativi propri sia ancora limitata.</w:t>
      </w:r>
    </w:p>
  </w:footnote>
  <w:footnote w:id="3622">
    <w:p>
      <w:pPr>
        <w:pStyle w:val="FootnoteText"/>
      </w:pPr>
      <w:r>
        <w:rPr>
          <w:rStyle w:val="FootnoteReference"/>
        </w:rPr>
        <w:footnoteRef/>
      </w:r>
      <w:r>
        <w:t xml:space="preserve"> </w:t>
      </w:r>
      <w:r>
        <w:t xml:space="preserve">Bisogno dell’età adulta e anziana e della cronicità: è la componente più caratterizzante della Sardegna, fra le regioni più anziane d’Italia. La comorbilità psicologica delle patologie croniche, la solitudine e il carico assistenziale sui familiari gravano in misura crescente, in modo particolare nelle province interne e più anziane di Oristano e del Sud Sardegna e nei piccoli comuni in spopolamento, dove l’accesso ai servizi è più difficile.</w:t>
      </w:r>
    </w:p>
  </w:footnote>
  <w:footnote w:id="3623">
    <w:p>
      <w:pPr>
        <w:pStyle w:val="FootnoteText"/>
      </w:pPr>
      <w:r>
        <w:rPr>
          <w:rStyle w:val="FootnoteReference"/>
        </w:rPr>
        <w:footnoteRef/>
      </w:r>
      <w:r>
        <w:t xml:space="preserve"> </w:t>
      </w:r>
      <w:r>
        <w:t xml:space="preserve">Disagio giovanile e connesso al lavoro: nei due poli urbani di Sassari e Cagliari, la precarietà, la disoccupazione giovanile e le condizioni socio-economiche sfavorevoli concorrono al disagio psichico, con fenomeni di ansia, depressione e disturbi del comportamento alimentare tra gli adolescenti; l’intercettazione precoce ha un valore particolarmente elevato in termini di salute e di equità, anche in funzione del contenimento dell’emigrazione giovanile.</w:t>
      </w:r>
    </w:p>
  </w:footnote>
  <w:footnote w:id="3624">
    <w:p>
      <w:pPr>
        <w:pStyle w:val="FootnoteText"/>
      </w:pPr>
      <w:r>
        <w:rPr>
          <w:rStyle w:val="FootnoteReference"/>
        </w:rPr>
        <w:footnoteRef/>
      </w:r>
      <w:r>
        <w:t xml:space="preserve"> </w:t>
      </w:r>
      <w:r>
        <w:t xml:space="preserve">Spopolamento e isolamento delle aree interne: la progressiva rarefazione della popolazione e dei servizi nelle aree interne, con piccoli comuni sempre più anziani, genera isolamento sociale e difficoltà di accesso che si traducono in domanda di salute mentale inevasa; è un fattore di bisogno specifico dell’Isola, che un primo livello territoriale accessibile, sostenuto dalla telepsicologia, può in parte intercettare.</w:t>
      </w:r>
    </w:p>
  </w:footnote>
  <w:footnote w:id="3625">
    <w:p>
      <w:pPr>
        <w:pStyle w:val="FootnoteText"/>
      </w:pPr>
      <w:r>
        <w:rPr>
          <w:rStyle w:val="FootnoteReference"/>
        </w:rPr>
        <w:footnoteRef/>
      </w:r>
      <w:r>
        <w:t xml:space="preserve"> </w:t>
      </w:r>
      <w:r>
        <w:t xml:space="preserve">Tratto distintivo della Sardegna rispetto alle altre regioni: la combinazione di una regione insulare a bassa densità e fra le più anziane d’Italia, di un servizio previsto in una legge di riforma con un modello dipartimentale istituito in via sperimentale e attivato nella sola Azienda di Sassari, dello statuto speciale che autofinanzia integralmente la sanità, e del più elevato disavanzo sanitario fra le regioni a statuto speciale. A differenza della Sicilia, la Sardegna dispone di un’azienda regionale di coordinamento, l’ARES, e adotta un modello strutturale e gratuito anziché convenzionale con ticket. Il bisogno è quindi accompagnato da una cornice normativa già acquisita, ma da un’attuazione ancora parziale, che la decisione è chiamata a portare a regime.</w:t>
      </w:r>
    </w:p>
  </w:footnote>
  <w:footnote w:id="3626">
    <w:p>
      <w:pPr>
        <w:pStyle w:val="FootnoteText"/>
      </w:pPr>
      <w:r>
        <w:rPr>
          <w:rStyle w:val="FootnoteReference"/>
        </w:rPr>
        <w:footnoteRef/>
      </w:r>
      <w:r>
        <w:t xml:space="preserve"> </w:t>
      </w:r>
      <w:r>
        <w:t xml:space="preserve">Accessi al pronto soccorso per cause psichiatriche significativi: rapportando alla popolazione sarda il dato nazionale, dell’ordine di alcune migliaia l’anno, indice di una pressione sul sistema acuto che un primo livello territoriale pienamente strutturato potrebbe in parte contenere a monte, tanto più rilevante in un’isola dove le distanze rendono l’accesso al pronto soccorso più oneroso.</w:t>
      </w:r>
    </w:p>
  </w:footnote>
  <w:footnote w:id="3627">
    <w:p>
      <w:pPr>
        <w:pStyle w:val="FootnoteText"/>
      </w:pPr>
      <w:r>
        <w:rPr>
          <w:rStyle w:val="FootnoteReference"/>
        </w:rPr>
        <w:footnoteRef/>
      </w:r>
      <w:r>
        <w:t xml:space="preserve"> </w:t>
      </w:r>
      <w:r>
        <w:t xml:space="preserve">Offerta territoriale: la Sardegna ha previsto il Dipartimento di Psicologia di Cure Primarie con la legge regionale 24 del 2020 (articolo 37), che lo istituisce in via sperimentale, e ne ha disciplinato l’assetto con la deliberazione di Giunta 9/22 del 2022 (Piano regionale dei servizi sanitari 2022-2024). Il modello è dipartimentale e strutturale: Strutture Complesse di Psicologia territoriale di base interne a ciascuna Azienda, con psicologi a rapporto di dipendenza integrati con i distretti delle cure primarie, e senza ticket a carico del paziente. L’attivazione è subordinata al provvedimento regionale di copertura finanziaria; allo stato, il Dipartimento è stato costituito nella sola Azienda di Sassari, mentre le altre sette non lo hanno ancora attivato.</w:t>
      </w:r>
    </w:p>
  </w:footnote>
  <w:footnote w:id="3628">
    <w:p>
      <w:pPr>
        <w:pStyle w:val="FootnoteText"/>
      </w:pPr>
      <w:r>
        <w:rPr>
          <w:rStyle w:val="FootnoteReference"/>
        </w:rPr>
        <w:footnoteRef/>
      </w:r>
      <w:r>
        <w:t xml:space="preserve"> </w:t>
      </w:r>
      <w:r>
        <w:t xml:space="preserve">Fabbisogno a regime stimato nell’ordine di 340 psicologi nello scenario espansivo (e dell’ordine di 170 e 250 negli scenari conservativo e di base). L’Ordine delle Psicologhe e degli Psicologi della Sardegna e la rappresentanza sindacale della categoria, che hanno sollecitato l’inserimento del Dipartimento nella legge di riforma, ne sostengono la piena attivazione e l’estensione a regime in tutte le Aziende.</w:t>
      </w:r>
    </w:p>
  </w:footnote>
  <w:footnote w:id="3629">
    <w:p>
      <w:pPr>
        <w:pStyle w:val="FootnoteText"/>
      </w:pPr>
      <w:r>
        <w:rPr>
          <w:rStyle w:val="FootnoteReference"/>
        </w:rPr>
        <w:footnoteRef/>
      </w:r>
      <w:r>
        <w:t xml:space="preserve"> </w:t>
      </w:r>
      <w:r>
        <w:t xml:space="preserve">Copertura attuale del fabbisogno: il Dipartimento è stato costituito nella sola Azienda di Sassari, sufficiente ad avviare l’esperienza ma non a coprire il fabbisogno regionale a regime. La decisione, di conseguenza, non verte sull’istituire il servizio, già previsto per legge, ma sull’attivarlo pienamente, disporre la copertura finanziaria cui la legge subordina l’attivazione, estenderlo alle otto Aziende e dimensionarlo verso la copertura piena.</w:t>
      </w:r>
    </w:p>
  </w:footnote>
  <w:footnote w:id="3630">
    <w:p>
      <w:pPr>
        <w:pStyle w:val="FootnoteText"/>
      </w:pPr>
      <w:r>
        <w:rPr>
          <w:rStyle w:val="FootnoteReference"/>
        </w:rPr>
        <w:footnoteRef/>
      </w:r>
      <w:r>
        <w:t xml:space="preserve"> </w:t>
      </w:r>
      <w:r>
        <w:t xml:space="preserve">Disuguaglianze e divari territoriali: il divario rilevante nella Sardegna si gioca su due assi. Il primo separa i due poli urbani di Sassari e Cagliari dalle vaste aree interne di Oristano, Nuoro e del Sud Sardegna, più anziane, in forte spopolamento e penalizzate dalle distanze e dalla condizione insulare: è l’asse più caratterizzante. Il secondo è interno ai poli urbani, fra i quartieri meglio serviti e le periferie con sacche di deprivazione. La telepsicologia assistita è lo strumento per avvicinare l’offerta alle aree interne, dove la presenza di un primo livello accessibile costituisce già un atto di riequilibrio.</w:t>
      </w:r>
    </w:p>
  </w:footnote>
  <w:footnote w:id="3631">
    <w:p>
      <w:pPr>
        <w:pStyle w:val="FootnoteText"/>
      </w:pPr>
      <w:r>
        <w:rPr>
          <w:rStyle w:val="FootnoteReference"/>
        </w:rPr>
        <w:footnoteRef/>
      </w:r>
      <w:r>
        <w:t xml:space="preserve"> </w:t>
      </w:r>
      <w:r>
        <w:t xml:space="preserve">Finanziamento del Servizio sanitario regionale dell’ordine di 3,5 miliardi di euro; in quanto regione a statuto speciale, la Sardegna si autofinanzia integralmente la sanità con risorse dei residenti, sicché — secondo la giurisprudenza costituzionale — i tetti nazionali di spesa non le si applicano, purché rispetti il pareggio di bilancio. La regione registra tuttavia il più elevato disavanzo sanitario fra le regioni a statuto speciale, una spesa farmaceutica nettamente superiore alla media nazionale e una sotto-dotazione storica che lascia margini di consumo improprio ampi da recuperare.</w:t>
      </w:r>
    </w:p>
  </w:footnote>
  <w:footnote w:id="3632">
    <w:p>
      <w:pPr>
        <w:pStyle w:val="FootnoteText"/>
      </w:pPr>
      <w:r>
        <w:rPr>
          <w:rStyle w:val="FootnoteReference"/>
        </w:rPr>
        <w:footnoteRef/>
      </w:r>
      <w:r>
        <w:t xml:space="preserve"> </w:t>
      </w:r>
      <w:r>
        <w:t xml:space="preserve">Mobilità sanitaria: la Sardegna presenta un saldo passivo dell’ordine di cento milioni di euro l’anno, pari a circa il dieci per cento della spesa per ricoveri, con un costo cumulato nell’ultimo decennio dell’ordine di ottocento milioni. La fuga si concentra però nei ricoveri ad alta complessità e nelle terapie oncologiche — una mobilità dettata da necessità, e non da scelta, per l’inadeguatezza dell’offerta nell’Isola — e non nella domanda psicologica delle cure primarie, sicché il canale del recupero della mobilità è per questo intervento solo modestamente pertinente, limitato alla frazione territorialmente intercettabile.</w:t>
      </w:r>
    </w:p>
  </w:footnote>
  <w:footnote w:id="3633">
    <w:p>
      <w:pPr>
        <w:pStyle w:val="FootnoteText"/>
      </w:pPr>
      <w:r>
        <w:rPr>
          <w:rStyle w:val="FootnoteReference"/>
        </w:rPr>
        <w:footnoteRef/>
      </w:r>
      <w:r>
        <w:t xml:space="preserve"> </w:t>
      </w:r>
      <w:r>
        <w:t xml:space="preserve">Cornice normativa e programmatica: la Sardegna ha previsto il Dipartimento di Psicologia di Cure Primarie con la legge regionale 24 del 2020 di riforma del sistema sanitario (articolo 37), istituendolo in via sperimentale, e ne ha definito l’assetto con la deliberazione di Giunta 9/22 del 2022. La cornice include il Decreto Ministeriale 77/2022 sugli standard dell’assistenza territoriale e, sul piano nazionale, il testo unificato in discussione alla Camera. A differenza del Lazio, la Sardegna non è in fase pre-legislativa; rispetto alla Campania e alla Sicilia, che hanno adottato leggi dedicate e un modello convenzionale, la Sardegna ha inquadrato il servizio in una legge di riforma con un modello dipartimentale e gratuito, entro i vincoli propri dello statuto speciale e di un disavanzo strutturale.</w:t>
      </w:r>
    </w:p>
  </w:footnote>
  <w:footnote w:id="3634">
    <w:p>
      <w:pPr>
        <w:pStyle w:val="FootnoteText"/>
      </w:pPr>
      <w:r>
        <w:rPr>
          <w:rStyle w:val="FootnoteReference"/>
        </w:rPr>
        <w:footnoteRef/>
      </w:r>
      <w:r>
        <w:t xml:space="preserve"> </w:t>
      </w:r>
      <w:r>
        <w:t xml:space="preserve">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Sardegna tale funzione è prevista dalla legge regionale 24 del 2020 (articolo 37), che istituisce in via sperimentale il Dipartimento di Psicologia di Cure Primarie, con un modello strutturale e gratuito.</w:t>
      </w:r>
    </w:p>
  </w:footnote>
  <w:footnote w:id="3635">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3636">
    <w:p>
      <w:pPr>
        <w:pStyle w:val="FootnoteText"/>
      </w:pPr>
      <w:r>
        <w:rPr>
          <w:rStyle w:val="FootnoteReference"/>
        </w:rPr>
        <w:footnoteRef/>
      </w:r>
      <w:r>
        <w:t xml:space="preserve"> </w:t>
      </w:r>
      <w:r>
        <w:t xml:space="preserve">Bisogno potenziale stimato nell’ordine di 312.000 persone con disagio comune, in larga parte non intercettato, tanto più in una fase in cui il Dipartimento è attivo nella sola Azienda di Sassari; poiché il Dipartimento è previsto per legge ma attuato solo parzialmente, l’intervento va dimensionato a partire dall’attuazione iniziale ed esteso verso il fabbisogno a regime nelle otto Aziende.</w:t>
      </w:r>
    </w:p>
  </w:footnote>
  <w:footnote w:id="3637">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Centri di Salute Mentale, secondo l’impianto della legge regionale 24 del 2020 (articolo 37) e della deliberazione di Giunta 9/22 del 2022, che configurano un modello dipartimentale e strutturale: il Dipartimento di Psicologia di Cure Primarie si articola in Strutture Complesse di Psicologia territoriale di base interne a ciascuna Azienda, con psicologi a rapporto di dipendenza, integrati con i distretti, e senza ticket a carico del paziente. Nel modello sardo il Dipartimento è stato attivato nella sola Azienda di Sassari; a differenza della Sicilia, la Regione dispone di un’azienda regionale di coordinamento, l’ARES, sicché l’estensione omogenea del Dipartimento alle otto Aziende — in un territorio insulare a bassa densità — è la sfida organizzativa principale, agevolata dal coordinamento dell’ARES.</w:t>
      </w:r>
    </w:p>
  </w:footnote>
  <w:footnote w:id="3638">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3639">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in via di estensione dalle Aziende già dotate del Dipartimento, a partire da Sassari, alle restanti, affronta i quadri più frequenti — sintomatologia ansioso-depressiva, problemi di adattamento, fasi del ciclo di vita, disagi emotivi transitori, problematiche psicosomatiche.</w:t>
      </w:r>
    </w:p>
  </w:footnote>
  <w:footnote w:id="3640">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3641">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642">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643">
    <w:p>
      <w:pPr>
        <w:pStyle w:val="FootnoteText"/>
      </w:pPr>
      <w:r>
        <w:rPr>
          <w:rStyle w:val="FootnoteReference"/>
        </w:rPr>
        <w:footnoteRef/>
      </w:r>
      <w:r>
        <w:t xml:space="preserve"> </w:t>
      </w:r>
      <w:r>
        <w:t xml:space="preserve">Sistema informativo e interoperabilità: la registrazione strutturata dell’attività e degli esiti, integrata con la piattaforma informativa sanitaria regionale e con il fascicolo sanitario elettronico, consente il monitoraggio continuo e la valutazione; il coordinamento informativo è agevolato dalla presenza dell’Azienda regionale della salute (ARES), che assicura funzioni tecnico-amministrative centralizzate, e deve garantire l’uniformità della rilevazione fra le otto Aziende man mano che il Dipartimento vi viene attivato.</w:t>
      </w:r>
    </w:p>
  </w:footnote>
  <w:footnote w:id="3644">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Dipartimento è attivo solo parzialmente, il flusso informativo va impostato fin dall’inizio in forma uniforme fra le otto Aziende, avvalendosi del coordinamento dell’ARES e cogliendo l’opportunità di una rilevazione progettata correttamente prima della piena operatività; l’esperienza dell’Azienda di Sassari, già dotata del Dipartimento, fornisce un primo modello di rilevazione.</w:t>
      </w:r>
    </w:p>
  </w:footnote>
  <w:footnote w:id="3645">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3646">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3647">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3648">
    <w:p>
      <w:pPr>
        <w:pStyle w:val="FootnoteText"/>
      </w:pPr>
      <w:r>
        <w:rPr>
          <w:rStyle w:val="FootnoteReference"/>
        </w:rPr>
        <w:footnoteRef/>
      </w:r>
      <w:r>
        <w:t xml:space="preserve"> </w:t>
      </w:r>
      <w:r>
        <w:t xml:space="preserve">Telepsicologia e telemonitoraggio assistiti: nella Sardegna sono lo strumento per garantire l’accesso al sostegno psicologico nelle vaste aree interne e spopolate di Oristano, Nuoro e del Sud Sardegna, più anziane e a bassissima densità, e nelle periferie dei due poli urbani di Sassari e Cagliari, dove le distanze, la condizione insulare e la rarefazione dei servizi rendono difficoltoso il raggiungimento delle sedi; tali strumenti sono concepiti come complementari e non sostitutivi della presa in carico in presenza, e assumono un rilievo particolare in una delle regioni più anziane d’Italia.</w:t>
      </w:r>
    </w:p>
  </w:footnote>
  <w:footnote w:id="3649">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3650">
    <w:p>
      <w:pPr>
        <w:pStyle w:val="FootnoteText"/>
      </w:pPr>
      <w:r>
        <w:rPr>
          <w:rStyle w:val="FootnoteReference"/>
        </w:rPr>
        <w:footnoteRef/>
      </w:r>
      <w:r>
        <w:t xml:space="preserve"> </w:t>
      </w:r>
      <w:r>
        <w:t xml:space="preserve">Programma formativo a quattro livelli: universitario (curricula e tirocini presso gli atenei sardi di Cagliari e Sassari); post-universitario specialistico (formazione dedicata alla psicologia delle cure primarie, comprensiva della competenza per l’età anziana e la cronicità, prioritaria in una delle regioni più anziane d’Italia, e per il disagio giovanile nei poli urbani); continuo lavorativo (aggiornamento in servizio, audit clinico, educazione continua in medicina); affiancamento operativo (tutoraggio sul campo e inserimento graduale con supervisione). La Sardegna presenta qui un elemento di metodo: l’Ordine professionale regionale ha già promosso una formazione dedicata alla psicologia delle cure primarie, base su cui innestare il percorso formativo del Dipartimento in via di attivazione.</w:t>
      </w:r>
    </w:p>
  </w:footnote>
  <w:footnote w:id="3651">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3652">
    <w:p>
      <w:pPr>
        <w:pStyle w:val="FootnoteText"/>
      </w:pPr>
      <w:r>
        <w:rPr>
          <w:rStyle w:val="FootnoteReference"/>
        </w:rPr>
        <w:footnoteRef/>
      </w:r>
      <w:r>
        <w:t xml:space="preserve"> </w:t>
      </w:r>
      <w:r>
        <w:t xml:space="preserv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3653">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3654">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3655">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3656">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3657">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3658">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3659">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3660">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3661">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3662">
    <w:p>
      <w:pPr>
        <w:pStyle w:val="FootnoteText"/>
      </w:pPr>
      <w:r>
        <w:rPr>
          <w:rStyle w:val="FootnoteReference"/>
        </w:rPr>
        <w:footnoteRef/>
      </w:r>
      <w:r>
        <w:t xml:space="preserve"> </w:t>
      </w:r>
      <w:r>
        <w:t xml:space="preserve">Benchmark australiano (Better Access): modello a invio esterno che ha innalzato la quota di popolazione in trattamento dal 35% al 46%, con elevata soddisfazione degli utenti.</w:t>
      </w:r>
    </w:p>
  </w:footnote>
  <w:footnote w:id="3663">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3664">
    <w:p>
      <w:pPr>
        <w:pStyle w:val="FootnoteText"/>
      </w:pPr>
      <w:r>
        <w:rPr>
          <w:rStyle w:val="FootnoteReference"/>
        </w:rPr>
        <w:footnoteRef/>
      </w:r>
      <w:r>
        <w:t xml:space="preserve"> </w:t>
      </w:r>
      <w:r>
        <w:t xml:space="preserve">Esperienze italiane: il quadro nazionale comprende i servizi avviati nelle regioni dotate di legge — fra cui la Campania, prima a istituire e attivare il servizio — e le esperienze pilota fondate su campioni limitati e letteratura grigia. La Sardegna, che ha previsto il Dipartimento con la legge regionale 24 del 2020 (articolo 37) istituendolo in via sperimentale, si colloca in questo quadro come regione ad attuazione parziale: dispone di una base di dati di esito limitata, derivante dalla sola Azienda di Sassari, che si amplierà man mano che il Dipartimento viene attivato nelle altre Aziende e affluiscono i dati del monitoraggio.</w:t>
      </w:r>
    </w:p>
  </w:footnote>
  <w:footnote w:id="3665">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3666">
    <w:p>
      <w:pPr>
        <w:pStyle w:val="FootnoteText"/>
      </w:pPr>
      <w:r>
        <w:rPr>
          <w:rStyle w:val="FootnoteReference"/>
        </w:rPr>
        <w:footnoteRef/>
      </w:r>
      <w:r>
        <w:t xml:space="preserve"> </w:t>
      </w:r>
      <w:r>
        <w:t xml:space="preserve">Evidenza locale sarda: poiché il Dipartimento è attivo solo parzialmente, l’evidenza locale è allo stato prevalentemente prospettica. Lo studio poggia, per l’efficacia, sui benchmark internazionali, e la base di dati propri si costituirà progressivamente attraverso il monitoraggio del Dipartimento: l’attuazione iniziale consente di progettare fin dall’inizio una rilevazione uniforme fra le otto Aziende, avvalendosi del coordinamento dell’ARES, presupposto di un’evidenza locale solida da consolidare man mano che il Dipartimento raggiunge il regime; l’esperienza dell’Azienda di Sassari ne costituisce il primo nucleo.</w:t>
      </w:r>
    </w:p>
  </w:footnote>
  <w:footnote w:id="3667">
    <w:p>
      <w:pPr>
        <w:pStyle w:val="FootnoteText"/>
      </w:pPr>
      <w:r>
        <w:rPr>
          <w:rStyle w:val="FootnoteReference"/>
        </w:rPr>
        <w:footnoteRef/>
      </w:r>
      <w:r>
        <w:t xml:space="preserve"> </w:t>
      </w:r>
      <w:r>
        <w:t xml:space="preserve">Condizioni sarde per la trasferibilità e la valutazione: la Sardegna dispone della previsione normativa, dell’infrastruttura informatica sanitaria regionale, del coordinamento dell’Azienda regionale della salute e della rete delle Case della Comunità in costruzione; la condizione propria della regione, ad attuazione parziale, è di dover costruire l’evidenza locale a partire dai benchmark internazionali, impostando la rilevazione in forma uniforme fra le otto Aziende fin dall’attivazione del Dipartimento, così da generare dati propri solidi man mano che il Dipartimento raggiunge il regime.</w:t>
      </w:r>
    </w:p>
  </w:footnote>
  <w:footnote w:id="3668">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3669">
    <w:p>
      <w:pPr>
        <w:pStyle w:val="FootnoteText"/>
      </w:pPr>
      <w:r>
        <w:rPr>
          <w:rStyle w:val="FootnoteReference"/>
        </w:rPr>
        <w:footnoteRef/>
      </w:r>
      <w:r>
        <w:t xml:space="preserve"> </w:t>
      </w:r>
      <w:r>
        <w:t xml:space="preserve">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3670">
    <w:p>
      <w:pPr>
        <w:pStyle w:val="FootnoteText"/>
      </w:pPr>
      <w:r>
        <w:rPr>
          <w:rStyle w:val="FootnoteReference"/>
        </w:rPr>
        <w:footnoteRef/>
      </w:r>
      <w:r>
        <w:t xml:space="preserve"> </w:t>
      </w:r>
      <w:r>
        <w:t xml:space="preserve">Costo del servizio: assumendo un costo medio annuo per psicologo dell’ordine di 55.000 euro, comprensivo degli oneri, i tre scenari di copertura corrispondono a un costo annuo a regime dell’ordine di 9 milioni di euro nello scenario conservativo (circa 170 psicologi), 14 milioni nello scenario di base (circa 250) e 19 milioni nello scenario espansivo (circa 340). Va precisato che il modello dipartimentale a rapporto di dipendenza adottato dalla legge regionale può comportare un costo unitario superiore a quello del rapporto convenzionale, sicché il valore di 55.000 euro è qui assunto come riferimento prudenziale per la comparabilità con gli altri studi della serie, e i costi vanno letti come stima di base.</w:t>
      </w:r>
    </w:p>
  </w:footnote>
  <w:footnote w:id="3671">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L’attuazione attuale, limitata al Dipartimento costituito nella sola Azienda di Sassari, è inferiore allo stesso scenario conservativo; gli scenari qui considerati rappresentano il regime nelle otto Aziende e non la fase iniziale di attuazione parziale.</w:t>
      </w:r>
    </w:p>
  </w:footnote>
  <w:footnote w:id="3672">
    <w:p>
      <w:pPr>
        <w:pStyle w:val="FootnoteText"/>
      </w:pPr>
      <w:r>
        <w:rPr>
          <w:rStyle w:val="FootnoteReference"/>
        </w:rPr>
        <w:footnoteRef/>
      </w:r>
      <w:r>
        <w:t xml:space="preserve"> </w:t>
      </w:r>
      <w:r>
        <w:t xml:space="preserve">Risparmio diretto sugli accessi impropri al pronto soccorso: dell’ordine di 1, 2 e 3 milioni di euro l’anno nei tre scenari, per effetto della riduzione degli accessi per cause psichiatriche e somatoformi intercettabili a livello territoriale, particolarmente rilevanti in un sistema insulare dove le distanze rendono l’accesso più oneroso.</w:t>
      </w:r>
    </w:p>
  </w:footnote>
  <w:footnote w:id="3673">
    <w:p>
      <w:pPr>
        <w:pStyle w:val="FootnoteText"/>
      </w:pPr>
      <w:r>
        <w:rPr>
          <w:rStyle w:val="FootnoteReference"/>
        </w:rPr>
        <w:footnoteRef/>
      </w:r>
      <w:r>
        <w:t xml:space="preserve"> </w:t>
      </w:r>
      <w:r>
        <w:t xml:space="preserve">Risparmio diretto sulla spesa farmaceutica: dell’ordine di 1, 2 e 3 milioni di euro l’anno, per effetto della riduzione delle prescrizioni inappropriate di antidepressivi e ansiolitici nei quadri lievi, in favore dell’intervento psicologico; il margine è significativo data una spesa farmaceutica regionale nettamente superiore alla media nazionale.</w:t>
      </w:r>
    </w:p>
  </w:footnote>
  <w:footnote w:id="3674">
    <w:p>
      <w:pPr>
        <w:pStyle w:val="FootnoteText"/>
      </w:pPr>
      <w:r>
        <w:rPr>
          <w:rStyle w:val="FootnoteReference"/>
        </w:rPr>
        <w:footnoteRef/>
      </w:r>
      <w:r>
        <w:t xml:space="preserve"> </w:t>
      </w:r>
      <w:r>
        <w:t xml:space="preserve">Risparmio diretto su ricoveri e specialistica: dell’ordine di 4, 6 e 10 milioni di euro l’anno, per effetto della riduzione di ricoveri evitabili, consulti specialistici ripetuti e accertamenti inappropriati connessi a disagio non riconosciuto, in particolare per la comorbilità psicologica delle patologie croniche in una popolazione anziana; il margine di recupero è ampio in ragione della sotto-dotazione storica del sistema.</w:t>
      </w:r>
    </w:p>
  </w:footnote>
  <w:footnote w:id="3675">
    <w:p>
      <w:pPr>
        <w:pStyle w:val="FootnoteText"/>
      </w:pPr>
      <w:r>
        <w:rPr>
          <w:rStyle w:val="FootnoteReference"/>
        </w:rPr>
        <w:footnoteRef/>
      </w:r>
      <w:r>
        <w:t xml:space="preserve"> </w:t>
      </w:r>
      <w:r>
        <w:t xml:space="preserve">Recupero della mobilità sanitaria: per la Sardegna il contributo è modesto, dell’ordine di 1, 2 e 3 milioni di euro l’anno nei tre scenari, limitato alla frazione territorialmente intercettabile. La regione presenta un saldo passivo dell’ordine di cento milioni di euro l’anno, ma la fuga si concentra nelle terapie oncologiche e nei ricoveri ad alta complessità — una mobilità dettata da necessità, per l’inadeguatezza dell’offerta nell’Isola, e non da scelta — non nella domanda psicologica delle cure primarie, sicché questo canale contribuisce qui solo per la quota di domanda impropria, prevalentemente somatoforme, che un primo livello territoriale può trattenere.</w:t>
      </w:r>
    </w:p>
  </w:footnote>
  <w:footnote w:id="3676">
    <w:p>
      <w:pPr>
        <w:pStyle w:val="FootnoteText"/>
      </w:pPr>
      <w:r>
        <w:rPr>
          <w:rStyle w:val="FootnoteReference"/>
        </w:rPr>
        <w:footnoteRef/>
      </w:r>
      <w:r>
        <w:t xml:space="preserve"> </w:t>
      </w:r>
      <w:r>
        <w:t xml:space="preserve">Totale dei risparmi diretti per il bilancio sanitario regionale: dell’ordine di 7, 12 e 19 milioni di euro l’anno nei tre scenari. Posti a confronto con il costo del servizio, essi determinano un saldo diretto lievemente negativo ma prossimo al pareggio, dell’ordine di −2, −2 e 0 milioni di euro l’anno: il caso puramente finanziario è di modesto disavanzo, meno sfavorevole di quanto il vincolo di bilancio lascerebbe temere, poiché il sistema sardo, a lungo sotto-finanziato, presenta un consumo improprio più ampio da recuperare, mentre il modello dipartimentale, a differenza di quello convenzionale con ticket della Sicilia, è integralmente gratuito.</w:t>
      </w:r>
    </w:p>
  </w:footnote>
  <w:footnote w:id="3677">
    <w:p>
      <w:pPr>
        <w:pStyle w:val="FootnoteText"/>
      </w:pPr>
      <w:r>
        <w:rPr>
          <w:rStyle w:val="FootnoteReference"/>
        </w:rPr>
        <w:footnoteRef/>
      </w:r>
      <w:r>
        <w:t xml:space="preserve"> </w:t>
      </w:r>
      <w:r>
        <w:t xml:space="preserve">Ricadute economico-sociali per la collettività: dell’ordine di 30, 56 e 85 milioni di euro l’anno nei tre scenari, comprensive del recupero di produttività connesso alla riduzione dell’assenteismo e della perdita di rendimento lavorativo — concentrato nei poli urbani e nella componente giovanile — e, con peso particolare in una delle regioni più anziane d’Italia, del valore del benessere recuperato e del minor carico assistenziale sulle famiglie, gravato dalla cronicità e dalla solitudine nelle aree interne; sono stimate con criteri conservativi.</w:t>
      </w:r>
    </w:p>
  </w:footnote>
  <w:footnote w:id="3678">
    <w:p>
      <w:pPr>
        <w:pStyle w:val="FootnoteText"/>
      </w:pPr>
      <w:r>
        <w:rPr>
          <w:rStyle w:val="FootnoteReference"/>
        </w:rPr>
        <w:footnoteRef/>
      </w:r>
      <w:r>
        <w:t xml:space="preserve"> </w:t>
      </w:r>
      <w:r>
        <w:t xml:space="preserve">Ritorno complessivo annuo, somma dei risparmi diretti e delle ricadute sociali: dell’ordine di 37, 68 e 104 milioni di euro nei tre scenari. Detratto il costo del servizio, il saldo complessivo per la collettività è ampiamente positivo, dell’ordine di +28, +54 e +85 milioni di euro l’anno.</w:t>
      </w:r>
    </w:p>
  </w:footnote>
  <w:footnote w:id="3679">
    <w:p>
      <w:pPr>
        <w:pStyle w:val="FootnoteText"/>
      </w:pPr>
      <w:r>
        <w:rPr>
          <w:rStyle w:val="FootnoteReference"/>
        </w:rPr>
        <w:footnoteRef/>
      </w:r>
      <w:r>
        <w:t xml:space="preserve"> </w:t>
      </w:r>
      <w:r>
        <w:t xml:space="preserve">Rapporto beneficio-costo complessivo: dell’ordine di 4,1 a uno nello scenario conservativo, 4,9 a uno in quello di base e 5,5 a uno in quello espansivo, interamente compreso nella banda prudenziale di 3,8-5,5 a uno adottata dallo studio e coerente con le stime metodologicamente fondate della letteratura.</w:t>
      </w:r>
    </w:p>
  </w:footnote>
  <w:footnote w:id="3680">
    <w:p>
      <w:pPr>
        <w:pStyle w:val="FootnoteText"/>
      </w:pPr>
      <w:r>
        <w:rPr>
          <w:rStyle w:val="FootnoteReference"/>
        </w:rPr>
        <w:footnoteRef/>
      </w:r>
      <w:r>
        <w:t xml:space="preserve"> </w:t>
      </w:r>
      <w:r>
        <w:t xml:space="preserve">Distinzione cardine fra caso finanziario e caso economico: è il punto che lo studio tiene fermo per la Sardegna e che ne governa la lettura. Il caso puramente finanziario per il bilancio sanitario è di modesto disavanzo, prossimo al pareggio, poiché i risparmi diretti quasi coprono il costo del servizio e il canale della mobilità è modesto; il modello dipartimentale è integralmente gratuito.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molto contenuto per il bilancio sanitario.</w:t>
      </w:r>
    </w:p>
  </w:footnote>
  <w:footnote w:id="3681">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3682">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3683">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3684">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0,5% in quello espansivo. La sostenibilità è condizionata dal fatto che la Sardegna, regione a statuto speciale, si autofinanzia integralmente la sanità — sicché i tetti nazionali di spesa non le si applicano, purché rispetti il pareggio — ma registra il più elevato disavanzo sanitario fra le regioni a statuto speciale: il vincolo di bilancio è quindi severo, ma il sistema, storicamente sotto-finanziato, presenta un consumo improprio più ampio da recuperare. La strutturazione a regime richiede la copertura finanziaria cui la legge regionale subordina espressamente l’attivazione del Dipartimento, da reperire entro il vincolo del pareggio di bilancio.</w:t>
      </w:r>
    </w:p>
  </w:footnote>
  <w:footnote w:id="3685">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(2,7%) e non estratte dai conti certificati delle otto Aziende socio-sanitarie locali, dell’Azienda regionale della salute e delle aziende ospedaliere; poiché il Dipartimento è attivo solo parzialmente, la Sardegna dispone di una base di dati operativi propri limitata, sicché la stima poggia sui benchmark internazionali, e il monitoraggio del Dipartimento ne costituirà la fonte primaria man mano che viene attivato nelle altre Aziende. L’estrazione dei dati certificati resta la priorità da completare prima della presentazione esterna.</w:t>
      </w:r>
    </w:p>
  </w:footnote>
  <w:footnote w:id="3686">
    <w:p>
      <w:pPr>
        <w:pStyle w:val="FootnoteText"/>
      </w:pPr>
      <w:r>
        <w:rPr>
          <w:rStyle w:val="FootnoteReference"/>
        </w:rPr>
        <w:footnoteRef/>
      </w:r>
      <w:r>
        <w:t xml:space="preserve"> </w:t>
      </w:r>
      <w:r>
        <w:t xml:space="preserve">Sintesi della valutazione economica: il caso diretto è prudente e prossimo al pareggio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3687">
    <w:p>
      <w:pPr>
        <w:pStyle w:val="FootnoteText"/>
      </w:pPr>
      <w:r>
        <w:rPr>
          <w:rStyle w:val="FootnoteReference"/>
        </w:rPr>
        <w:footnoteRef/>
      </w:r>
      <w:r>
        <w:t xml:space="preserve"> </w:t>
      </w:r>
      <w:r>
        <w:t xml:space="preserv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3688">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3689">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3690">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3691">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3692">
    <w:p>
      <w:pPr>
        <w:pStyle w:val="FootnoteText"/>
      </w:pPr>
      <w:r>
        <w:rPr>
          <w:rStyle w:val="FootnoteReference"/>
        </w:rPr>
        <w:footnoteRef/>
      </w:r>
      <w:r>
        <w:t xml:space="preserve"> </w:t>
      </w:r>
      <w:r>
        <w:t xml:space="preserve">Ordinamento dei parametri per influenza: l’analisi mostra che l’esito è più sensibile all’efficacia clinica dell’intervento e al costo evitato della cronicità, e meno sensibile agli altri parametri; ciò orienta le priorità di raccolta dei dati verso le grandezze più influenti.</w:t>
      </w:r>
    </w:p>
  </w:footnote>
  <w:footnote w:id="3693">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3694">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3695">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l’attuazione attuale, limitata al Dipartimento costituito nella sola Azienda di Sassari, corrisponde a un livello inferiore allo scenario conservativo, e costituisce la prima tappa di un percorso di estensione progressiva alle otto Aziende verso la copertura piena.</w:t>
      </w:r>
    </w:p>
  </w:footnote>
  <w:footnote w:id="3696">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3697">
    <w:p>
      <w:pPr>
        <w:pStyle w:val="FootnoteText"/>
      </w:pPr>
      <w:r>
        <w:rPr>
          <w:rStyle w:val="FootnoteReference"/>
        </w:rPr>
        <w:footnoteRef/>
      </w:r>
      <w:r>
        <w:t xml:space="preserve"> </w:t>
      </w:r>
      <w:r>
        <w:t xml:space="preserve">Disegno della verifica empirica: poiché nella Sardegna il Dipartimento è attivo nella sola Azienda di Sassari e la sua estensione alle altre avverrà in tempi differenziati, la verifica controfattuale può fondarsi su un esperimento a cunei progressivi, nel quale l’ordine e i tempi di attivazione del Dipartimento tra le otto Aziende socio-sanitarie locali e i loro distretti sono impiegati a fini valutativi. L’attuazione iniziale consente di rilevare una linea di base prima della piena operatività; la Sardegna dispone di dati operativi propri limitati, ma l’attivazione scaglionata, a partire da Sassari, fornisce la variazione necessaria all’identificazione dell’effetto.</w:t>
      </w:r>
    </w:p>
  </w:footnote>
  <w:footnote w:id="3698">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che affluiscono man mano che il Dipartimento si attiva e dalla progressione differenziata della sua estensione fra le otto Aziende, che fornisce la variazione necessaria all’identificazione dell’effetto.</w:t>
      </w:r>
    </w:p>
  </w:footnote>
  <w:footnote w:id="3699">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sarda, eccede ampiamente il costo della raccolta dei dati; le priorità sono l’estrazione dei conti certificati delle otto Aziende socio-sanitarie locali e delle aziende ospedaliere e l’impostazione, fin dall’attivazione, di un flusso uniforme dei dati di esito attraverso il monitoraggio del Dipartimento, agevolato dal coordinamento dell’ARES.</w:t>
      </w:r>
    </w:p>
  </w:footnote>
  <w:footnote w:id="3700">
    <w:p>
      <w:pPr>
        <w:pStyle w:val="FootnoteText"/>
      </w:pPr>
      <w:r>
        <w:rPr>
          <w:rStyle w:val="FootnoteReference"/>
        </w:rPr>
        <w:footnoteRef/>
      </w:r>
      <w:r>
        <w:t xml:space="preserve"> </w:t>
      </w:r>
      <w:r>
        <w:t xml:space="preserve">Mitigazione progressiva della lacuna: poiché il Dipartimento è attivo solo parzialmente, la Sardegna costruisce l’evidenza locale a partire dall’attivazione del Dipartimento, di cui l’Azienda di Sassari offre un primo nucleo; impostando fin dall’inizio un flusso uniforme fra le otto Aziende, man mano che il Dipartimento si consolida l’evidenza locale corregge progressivamente le stime importate dai benchmark, conducendo la regione da una valutazione fondata su dati esterni a una fondata in misura crescente su dati propri.</w:t>
      </w:r>
    </w:p>
  </w:footnote>
  <w:footnote w:id="3701">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regione ad attuazione parziale — con una previsione normativa acquisita ma una base di dati ancora limitata — impone di ancorare inizialmente la prova empirica ai benchmark, valorizzando l’opportunità di una rilevazione progettata correttamente fin dall’attivazione del Dipartimento nelle otto Aziende.</w:t>
      </w:r>
    </w:p>
  </w:footnote>
  <w:footnote w:id="3702">
    <w:p>
      <w:pPr>
        <w:pStyle w:val="FootnoteText"/>
      </w:pPr>
      <w:r>
        <w:rPr>
          <w:rStyle w:val="FootnoteReference"/>
        </w:rPr>
        <w:footnoteRef/>
      </w:r>
      <w:r>
        <w:t xml:space="preserve"> </w:t>
      </w:r>
      <w:r>
        <w:t xml:space="preserv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3703">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 la circostanza assume particolare rilievo in una regione con una spesa pro-capite fra le più basse del Paese.</w:t>
      </w:r>
    </w:p>
  </w:footnote>
  <w:footnote w:id="3704">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Nella Sardegna la componente straniera è fra le più contenute del Paese, intorno al 3,4%, sicché la barriera linguistica e culturale è meno centrale che altrove; più rilevanti sono la barriera geografica, acuita dalle distanze e dall’insularità nelle aree interne spopolate, e quella generazionale, poiché il disagio giovanile dei poli urbani trova negli adolescenti e nei giovani adulti una fascia restia a rivolgersi ai servizi. Un elemento proprio del modello sardo va segnalato con favore: il modello dipartimentale è integralmente gratuito e, a differenza di quello convenzionale con ticket della Sicilia, non oppone all’accesso alcuna barriera economica, sicché la funzione di equità del servizio opera senza l’attenuazione che un ticket comporterebbe.</w:t>
      </w:r>
    </w:p>
  </w:footnote>
  <w:footnote w:id="3705">
    <w:p>
      <w:pPr>
        <w:pStyle w:val="FootnoteText"/>
      </w:pPr>
      <w:r>
        <w:rPr>
          <w:rStyle w:val="FootnoteReference"/>
        </w:rPr>
        <w:footnoteRef/>
      </w:r>
      <w:r>
        <w:t xml:space="preserve"> </w:t>
      </w:r>
      <w:r>
        <w:t xml:space="preserve">Doppio asse della disuguaglianza nella Sardegna: la regione presenta due assi distinti, cui si aggiunge una dimensione generazionale. Il primo e più caratterizzante separa i due poli urbani di Sassari e Cagliari dalle vaste aree interne — Oristano, Nuoro e il Sud Sardegna in particolare — fra le più anziane d’Italia, a bassissima densità, in forte spopolamento, penalizzate dalla condizione insulare e con servizi radi. Il secondo è interno ai due poli urbani, fra i quartieri meglio serviti e le periferie con sacche di deprivazione socio-economica. A questi si somma il disagio giovanile, più marcato nei poli urbani.</w:t>
      </w:r>
    </w:p>
  </w:footnote>
  <w:footnote w:id="3706">
    <w:p>
      <w:pPr>
        <w:pStyle w:val="FootnoteText"/>
      </w:pPr>
      <w:r>
        <w:rPr>
          <w:rStyle w:val="FootnoteReference"/>
        </w:rPr>
        <w:footnoteRef/>
      </w:r>
      <w:r>
        <w:t xml:space="preserve"> </w:t>
      </w:r>
      <w:r>
        <w:t xml:space="preserve">Primo asse, le aree interne e spopolate: Oristano, Nuoro e il Sud Sardegna, e in generale le aree interne dell’Isola, presentano una popolazione fra le più anziane d’Italia, a bassissima densità e in forte spopolamento, dove la rarefazione dei servizi, le distanze e la condizione insulare rendono l’accesso al sostegno psicologico particolarmente difficoltoso, mentre la cronicità e la solitudine ne accrescono il bisogno.</w:t>
      </w:r>
    </w:p>
  </w:footnote>
  <w:footnote w:id="3707">
    <w:p>
      <w:pPr>
        <w:pStyle w:val="FootnoteText"/>
      </w:pPr>
      <w:r>
        <w:rPr>
          <w:rStyle w:val="FootnoteReference"/>
        </w:rPr>
        <w:footnoteRef/>
      </w:r>
      <w:r>
        <w:t xml:space="preserve"> </w:t>
      </w:r>
      <w:r>
        <w:t xml:space="preserve">Secondo asse, la periferia dei poli urbani: nei due poli di Sassari e Cagliari, accanto a quartieri meglio serviti, si estendono periferie con sacche di deprivazione socio-economica, dove la difficoltà di accesso ai servizi e la minore disponibilità di offerta privata accrescono il bisogno non intercettato, in particolare per il disagio giovanile e connesso alla precarietà.</w:t>
      </w:r>
    </w:p>
  </w:footnote>
  <w:footnote w:id="3708">
    <w:p>
      <w:pPr>
        <w:pStyle w:val="FootnoteText"/>
      </w:pPr>
      <w:r>
        <w:rPr>
          <w:rStyle w:val="FootnoteReference"/>
        </w:rPr>
        <w:footnoteRef/>
      </w:r>
      <w:r>
        <w:t xml:space="preserve"> </w:t>
      </w:r>
      <w:r>
        <w:t xml:space="preserve">Effetto del servizio sull’equità: la prossimità nelle Case della Comunità e la natura di primo livello accessibile senza requisiti specialistici abbattono parte delle barriere all’accesso e indirizzano l’offerta verso chi ne è oggi escluso; nel modello sardo, integralmente gratuito, il meccanismo pro-equità opera pienamente, poiché nessuna compartecipazione si frappone all’accesso delle fasce a minore capacità di spesa, sicché il servizio universale riduce il divario anziché accrescerlo — a condizione che la copertura sia modulata per il bisogno territoriale.</w:t>
      </w:r>
    </w:p>
  </w:footnote>
  <w:footnote w:id="3709">
    <w:p>
      <w:pPr>
        <w:pStyle w:val="FootnoteText"/>
      </w:pPr>
      <w:r>
        <w:rPr>
          <w:rStyle w:val="FootnoteReference"/>
        </w:rPr>
        <w:footnoteRef/>
      </w:r>
      <w:r>
        <w:t xml:space="preserve"> </w:t>
      </w:r>
      <w:r>
        <w:t xml:space="preserve">Telepsicologia assistita: nella Sardegna è lo strumento per avvicinare l’offerta alle vaste aree interne e spopolate di Oristano, Nuoro e del Sud Sardegna e alle periferie dei poli urbani di Sassari e Cagliari, dove le distanze, la condizione insulare e la rarefazione dei servizi rendono difficoltoso il raggiungimento delle sedi; concepita come complementare e non sostitutiva della presa in carico in presenza, essa estende la copertura proprio nelle aree a maggiore difficoltà di accesso, con rilievo particolare in una delle regioni più anziane d’Italia.</w:t>
      </w:r>
    </w:p>
  </w:footnote>
  <w:footnote w:id="3710">
    <w:p>
      <w:pPr>
        <w:pStyle w:val="FootnoteText"/>
      </w:pPr>
      <w:r>
        <w:rPr>
          <w:rStyle w:val="FootnoteReference"/>
        </w:rPr>
        <w:footnoteRef/>
      </w:r>
      <w:r>
        <w:t xml:space="preserve"> </w:t>
      </w:r>
      <w:r>
        <w:t xml:space="preserve">Competenza generazionale e culturale: data la quota straniera fra le più basse del Paese, la competenza culturale e la mediazione linguistica sono meno centrali che altrove; più dirimenti sono la competenza nell’accompagnare l’età anziana e la cronicità, prevalenti in una popolazione fra le più anziane d’Italia e nelle aree interne, e quella nell’intercettare il disagio giovanile dei poli urbani, affinché il servizio raggiunga adolescenti e giovani adulti, fascia a elevato bisogno e a basso ricorso spontaneo.</w:t>
      </w:r>
    </w:p>
  </w:footnote>
  <w:footnote w:id="3711">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 e la gratuità del modello dipartimentale ne rafforza la natura pro-equità, poiché nessuna barriera economica esclude le fasce a minore capacità di spesa.</w:t>
      </w:r>
    </w:p>
  </w:footnote>
  <w:footnote w:id="3712">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aree interne e spopolate di Oristano, Nuoro e del Sud Sardegna e alle periferie dei poli urbani; un’allocazione uniforme rispetto alla popolazione non correggerebbe i divari, mentre un’allocazione ponderata per il bisogno li riduce. L’attuazione ancora parziale, estesa per ora alla sola Azienda di Sassari, offre l’occasione di orientare fin dall’inizio l’estensione del Dipartimento secondo criteri di equità.</w:t>
      </w:r>
    </w:p>
  </w:footnote>
  <w:footnote w:id="3713">
    <w:p>
      <w:pPr>
        <w:pStyle w:val="FootnoteText"/>
      </w:pPr>
      <w:r>
        <w:rPr>
          <w:rStyle w:val="FootnoteReference"/>
        </w:rPr>
        <w:footnoteRef/>
      </w:r>
      <w:r>
        <w:t xml:space="preserve"> </w:t>
      </w:r>
      <w:r>
        <w:t xml:space="preserve">Mobilità e equità: nella Sardegna il canale della mobilità è, per questo intervento, una leva di equità solo modesta, poiché la fuga — dell’ordine di cento milioni l’anno — riguarda le terapie oncologiche e l’alta complessità, per necessità, e non la domanda psicologica territoriale; l’equità si gioca quindi prevalentemente sull’accesso interno, fra poli urbani e aree interne spopolate e fra centro e periferie dei poli.</w:t>
      </w:r>
    </w:p>
  </w:footnote>
  <w:footnote w:id="3714">
    <w:p>
      <w:pPr>
        <w:pStyle w:val="FootnoteText"/>
      </w:pPr>
      <w:r>
        <w:rPr>
          <w:rStyle w:val="FootnoteReference"/>
        </w:rPr>
        <w:footnoteRef/>
      </w:r>
      <w:r>
        <w:t xml:space="preserve"> </w:t>
      </w:r>
      <w:r>
        <w:t xml:space="preserve">Rischio di iniquità inversa: se l’estensione del Dipartimento privilegiasse, per facilità organizzativa, le aree già meglio servite — come potrebbe accadere se l’attivazione si concentrasse nei poli urbani, già a partire da Sassari — l’effetto distributivo potrebbe risultare regressivo; il rischio va prevenuto con criteri espliciti di equità nell’allocazione delle Strutture e del personale, fin dall’estensione del Dipartimento alle Aziende che servono le aree interne più spopolate.</w:t>
      </w:r>
    </w:p>
  </w:footnote>
  <w:footnote w:id="3715">
    <w:p>
      <w:pPr>
        <w:pStyle w:val="FootnoteText"/>
      </w:pPr>
      <w:r>
        <w:rPr>
          <w:rStyle w:val="FootnoteReference"/>
        </w:rPr>
        <w:footnoteRef/>
      </w:r>
      <w:r>
        <w:t xml:space="preserve"> </w:t>
      </w:r>
      <w:r>
        <w:t xml:space="preserve">Sintesi dell’equità: l’intervento è favorevole all’equità su entrambi gli assi del divario sardo e sulla dimensione generazionale, e la gratuità del modello dipartimentale ne rafforza la natura pro-equità rimuovendo ogni barriera economica; a condizione che la copertura sia modulata per il bisogno e che siano garantite la telepsicologia per le aree interne spopolate e l’attenzione congiunta all’età anziana e al disagio giovanile, la raccomandazione è di orientare fin dall’estensione del Dipartimento un’allocazione pro-equità che dia di più dove il bisogno è maggiore, segnatamente nelle aree interne.</w:t>
      </w:r>
    </w:p>
  </w:footnote>
  <w:footnote w:id="3716">
    <w:p>
      <w:pPr>
        <w:pStyle w:val="FootnoteText"/>
      </w:pPr>
      <w:r>
        <w:rPr>
          <w:rStyle w:val="FootnoteReference"/>
        </w:rPr>
        <w:footnoteRef/>
      </w:r>
      <w:r>
        <w:t xml:space="preserve"> </w:t>
      </w:r>
      <w:r>
        <w:t xml:space="preserve">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3717">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 pronuncia fondativa per l’intera materia, originata dal giudizio sulla legge campana, di cui ha riconosciuto la legittimità — ha delimitato lo spazio della disciplina regionale nel rispetto dei principi fondamentali stabiliti dallo Stato. Entro questa cornice la Sicilia, regione a statuto speciale, ha esercitato il titolo a istituire il servizio con la legge regionale 18 del 2023, in forma coordinata con la cornice nazionale.</w:t>
      </w:r>
    </w:p>
  </w:footnote>
  <w:footnote w:id="3718">
    <w:p>
      <w:pPr>
        <w:pStyle w:val="FootnoteText"/>
      </w:pPr>
      <w:r>
        <w:rPr>
          <w:rStyle w:val="FootnoteReference"/>
        </w:rPr>
        <w:footnoteRef/>
      </w:r>
      <w:r>
        <w:t xml:space="preserve"> </w:t>
      </w:r>
      <w:r>
        <w:t xml:space="preserve">Stato legislativo della Sardegna: a differenza del Lazio, ancora privo di legge, la Sardegna dispone già della legge regionale 24 del 2020 di riforma sanitaria (articolo 37) e della deliberazione di Giunta 9/22 del 2022, in forza delle quali il Dipartimento di Psicologia di Cure Primarie è istituito in via sperimentale, ma risulta attivato nella sola Azienda di Sassari. La decisione giuridica rilevante non è quindi l’approvazione della norma istitutiva, già compiuta, ma la piena attivazione e il passaggio a regime: l’adozione del provvedimento di copertura finanziaria cui la legge subordina espressamente l’attivazione del Dipartimento, e la sua estensione alle otto Aziende, nel coordinamento con il testo unico nazionale in discussione.</w:t>
      </w:r>
    </w:p>
  </w:footnote>
  <w:footnote w:id="3719">
    <w:p>
      <w:pPr>
        <w:pStyle w:val="FootnoteText"/>
      </w:pPr>
      <w:r>
        <w:rPr>
          <w:rStyle w:val="FootnoteReference"/>
        </w:rPr>
        <w:footnoteRef/>
      </w:r>
      <w:r>
        <w:t xml:space="preserve"> </w:t>
      </w:r>
      <w:r>
        <w:t xml:space="preserve">Inquadramento del rapporto di lavoro: la legge regionale 24 del 2020 ha adottato un modello dipartimentale e strutturale, con Strutture Complesse di Psicologia territoriale di base interne a ciascuna Azienda e psicologi a rapporto di dipendenza, integrati con i distretti delle cure primarie e senza ticket a carico del paziente. Tale forma assicura stabilità del rapporto e integrazione strutturale con il Servizio sanitario regionale, ma comporta un costo unitario potenzialmente superiore a quello del rapporto convenzionale e richiede la copertura finanziaria cui la legge subordina l’attivazione; il coordinamento con il testo unico nazionale in discussione ne rafforzerà la cornice.</w:t>
      </w:r>
    </w:p>
  </w:footnote>
  <w:footnote w:id="3720">
    <w:p>
      <w:pPr>
        <w:pStyle w:val="FootnoteText"/>
      </w:pPr>
      <w:r>
        <w:rPr>
          <w:rStyle w:val="FootnoteReference"/>
        </w:rPr>
        <w:footnoteRef/>
      </w:r>
      <w:r>
        <w:t xml:space="preserve"> </w:t>
      </w:r>
      <w:r>
        <w:t xml:space="preserve">Livelli essenziali di assistenza e finanziamento: la psicologia delle cure primarie non è ancora esplicitamente ricompresa nei livelli essenziali di assistenza nazionali. In quanto regione a statuto speciale, la Sardegna si autofinanzia integralmente la sanità con risorse dei residenti — sicché i tetti nazionali di spesa non le si applicano, purché rispetti il pareggio — ma registra il più elevato disavanzo fra le regioni a statuto speciale; la legge subordina l’attivazione del Dipartimento a un provvedimento di copertura finanziaria, e la strutturazione a regime richiede di reperire tale copertura entro il vincolo del pareggio di bilancio, mentre un futuro riconoscimento nei livelli essenziali rafforzerebbe ulteriormente la stabilità.</w:t>
      </w:r>
    </w:p>
  </w:footnote>
  <w:footnote w:id="3721">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delle cure primarie vi si inserisce coerentemente, come uno dei livelli di risposta al bisogno della popolazione.</w:t>
      </w:r>
    </w:p>
  </w:footnote>
  <w:footnote w:id="3722">
    <w:p>
      <w:pPr>
        <w:pStyle w:val="FootnoteText"/>
      </w:pPr>
      <w:r>
        <w:rPr>
          <w:rStyle w:val="FootnoteReference"/>
        </w:rPr>
        <w:footnoteRef/>
      </w:r>
      <w:r>
        <w:t xml:space="preserve"> </w:t>
      </w:r>
      <w:r>
        <w:t xml:space="preserve">Rapporto con i servizi specialistici: il servizio di psicologia delle cure primarie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3723">
    <w:p>
      <w:pPr>
        <w:pStyle w:val="FootnoteText"/>
      </w:pPr>
      <w:r>
        <w:rPr>
          <w:rStyle w:val="FootnoteReference"/>
        </w:rPr>
        <w:footnoteRef/>
      </w:r>
      <w:r>
        <w:t xml:space="preserve"> </w:t>
      </w:r>
      <w:r>
        <w:t xml:space="preserve">Assetto organizzativo: la strutturazione del servizio nella Sardegna si misura con un sistema insulare a bassa densità — otto Aziende socio-sanitarie locali, aziende ospedaliere e ospedaliero-universitarie — ma, a differenza della Sicilia, dispone di un’azienda regionale di coordinamento, l’ARES, con funzioni tecnico-amministrative centralizzate; garantire l’estensione omogenea del Dipartimento alle otto Aziende, su un territorio a bassa densità e con vaste aree interne, è la sfida organizzativa centrale, agevolata dal coordinamento dell’ARES.</w:t>
      </w:r>
    </w:p>
  </w:footnote>
  <w:footnote w:id="3724">
    <w:p>
      <w:pPr>
        <w:pStyle w:val="FootnoteText"/>
      </w:pPr>
      <w:r>
        <w:rPr>
          <w:rStyle w:val="FootnoteReference"/>
        </w:rPr>
        <w:footnoteRef/>
      </w:r>
      <w:r>
        <w:t xml:space="preserve"> </w:t>
      </w:r>
      <w:r>
        <w:t xml:space="preserve">Governance della strutturazione: il consolidamento del servizio richiede una regia regionale che coordini le otto Aziende socio-sanitarie locali, l’Azienda regionale della salute, le aziende ospedaliere, l’Ordine professionale, le rappresentanze della medicina generale e della pediatria di libera scelta e gli atenei di Cagliari e Sassari; tale regia si avvale dell’ARES e dell’Assessorato regionale dell’igiene e sanità, cui spetta definire indirizzi operativi uniformi e impostare il sistema di monitoraggio comune del Dipartimento, traendo dall’esperienza dell’Azienda di Sassari un primo modello.</w:t>
      </w:r>
    </w:p>
  </w:footnote>
  <w:footnote w:id="3725">
    <w:p>
      <w:pPr>
        <w:pStyle w:val="FootnoteText"/>
      </w:pPr>
      <w:r>
        <w:rPr>
          <w:rStyle w:val="FootnoteReference"/>
        </w:rPr>
        <w:footnoteRef/>
      </w:r>
      <w:r>
        <w:t xml:space="preserve"> </w:t>
      </w:r>
      <w:r>
        <w:t xml:space="preserve">Ruolo dell’Ordine professionale: l’Ordine delle Psicologhe e degli Psicologi della Sardegna, che ha sollecitato l’inserimento del Dipartimento nella legge di riforma, concorre alla definizione dei requisiti, alla formazione e alla vigilanza deontologica; la sua collaborazione è condizione della qualità e dell’appropriatezza del servizio.</w:t>
      </w:r>
    </w:p>
  </w:footnote>
  <w:footnote w:id="3726">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3727">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3728">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3729">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3730">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3731">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 Sicilia, l’approvazione della legge, già in vigore, né l’emanazione del decreto attuativo, già emanato, ma il passaggio dall’avvio al regime: la stabilizzazione del finanziamento entro i vincoli del piano di rientro e dello statuto speciale e la formazione degli elenchi provinciali fra le nove Aziende; è questo il passaggio da cui dipende la piena operatività del servizio, che il coordinamento con il futuro testo unico nazionale potrà rafforzare.</w:t>
      </w:r>
    </w:p>
  </w:footnote>
  <w:footnote w:id="3732">
    <w:p>
      <w:pPr>
        <w:pStyle w:val="FootnoteText"/>
      </w:pPr>
      <w:r>
        <w:rPr>
          <w:rStyle w:val="FootnoteReference"/>
        </w:rPr>
        <w:footnoteRef/>
      </w:r>
      <w:r>
        <w:t xml:space="preserve"> </w:t>
      </w:r>
      <w:r>
        <w:t xml:space="preserve">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3733">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la programmazione regionale per la salute mentale; nella Sicilia essa presenta una coerenza ulteriore, poiché porta a regime il modello che la regione ha già istituito per legge e di cui ha già emanato il decreto attuativo, dando piena operatività a un servizio in fase di avvio.</w:t>
      </w:r>
    </w:p>
  </w:footnote>
  <w:footnote w:id="3734">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3735">
    <w:p>
      <w:pPr>
        <w:pStyle w:val="FootnoteText"/>
      </w:pPr>
      <w:r>
        <w:rPr>
          <w:rStyle w:val="FootnoteReference"/>
        </w:rPr>
        <w:footnoteRef/>
      </w:r>
      <w:r>
        <w:t xml:space="preserve"> </w:t>
      </w:r>
      <w:r>
        <w:t xml:space="preserve">Caso commerciale: il modello dipartimentale a rapporto di dipendenza è già disciplinato e si avvale, nella Sardegna, di un bacino professionale alimentato dagli atenei sardi di Cagliari e Sassari; la disponibilità di psicologi qualificati da inquadrare nelle Strutture Complesse di Psicologia territoriale di base non costituisce un vincolo all’estensione, sebbene il reclutamento a dipendenza richieda la copertura finanziaria cui la legge subordina l’attivazione.</w:t>
      </w:r>
    </w:p>
  </w:footnote>
  <w:footnote w:id="3736">
    <w:p>
      <w:pPr>
        <w:pStyle w:val="FootnoteText"/>
      </w:pPr>
      <w:r>
        <w:rPr>
          <w:rStyle w:val="FootnoteReference"/>
        </w:rPr>
        <w:footnoteRef/>
      </w:r>
      <w:r>
        <w:t xml:space="preserve"> </w:t>
      </w:r>
      <w:r>
        <w:t xml:space="preserve">Caso finanziario: il costo del servizio a regime — dell’ordine di 9, 14 e 19 milioni di euro nei tre scenari, pari allo 0,3-0,5% del finanziamento sanitario regionale — è contenuto, ma va reperito entro un vincolo proprio: la Sardegna, regione a statuto speciale, si autofinanzia integralmente la sanità — sicché i tetti nazionali non le si applicano, purché rispetti il pareggio — ma registra il più elevato disavanzo fra le regioni a statuto speciale. La legge subordina l’attivazione del Dipartimento a un provvedimento di copertura finanziaria, e la sfida finanziaria è reperire tale copertura entro il vincolo del pareggio di bilancio.</w:t>
      </w:r>
    </w:p>
  </w:footnote>
  <w:footnote w:id="3737">
    <w:p>
      <w:pPr>
        <w:pStyle w:val="FootnoteText"/>
      </w:pPr>
      <w:r>
        <w:rPr>
          <w:rStyle w:val="FootnoteReference"/>
        </w:rPr>
        <w:footnoteRef/>
      </w:r>
      <w:r>
        <w:t xml:space="preserve"> </w:t>
      </w:r>
      <w:r>
        <w:t xml:space="preserve">Caso gestionale: la realizzabilità dipende da una regia regionale che, avvalendosi dell’azienda regionale di coordinamento (ARES), coordini le otto Aziende socio-sanitarie locali, le aziende ospedaliere, l’Ordine professionale, la medicina generale e la pediatria di libera scelta e gli atenei di Cagliari e Sassari; tale regia si avvale dell’ARES e dell’Assessorato regionale dell’igiene e sanità, cui spetta definire indirizzi uniformi e impostare il monitoraggio comune del Dipartimento.</w:t>
      </w:r>
    </w:p>
  </w:footnote>
  <w:footnote w:id="3738">
    <w:p>
      <w:pPr>
        <w:pStyle w:val="FootnoteText"/>
      </w:pPr>
      <w:r>
        <w:rPr>
          <w:rStyle w:val="FootnoteReference"/>
        </w:rPr>
        <w:footnoteRef/>
      </w:r>
      <w:r>
        <w:t xml:space="preserve"> </w:t>
      </w:r>
      <w:r>
        <w:t xml:space="preserve">Dimensionamento a partire dall’attuazione parziale: a differenza del Lazio, che deve dimensionare il servizio da zero, la Sardegna muove dal Dipartimento già attivato nella sola Azienda di Sassari e lo estende verso un fabbisogno a regime dell’ordine di 340 psicologi nello scenario espansivo; l’estensione procede per gradi attraverso gli scenari conservativo, di base ed espansivo, man mano che il Dipartimento viene attivato nelle altre Aziende.</w:t>
      </w:r>
    </w:p>
  </w:footnote>
  <w:footnote w:id="3739">
    <w:p>
      <w:pPr>
        <w:pStyle w:val="FootnoteText"/>
      </w:pPr>
      <w:r>
        <w:rPr>
          <w:rStyle w:val="FootnoteReference"/>
        </w:rPr>
        <w:footnoteRef/>
      </w:r>
      <w:r>
        <w:t xml:space="preserve"> </w:t>
      </w:r>
      <w:r>
        <w:t xml:space="preserve">Fasi di attuazione: poiché il Dipartimento è attivo solo parzialmente, l’attuazione si articola in una fase di attivazione, con l’adozione della copertura finanziaria e l’avvio operativo; una fase di estensione, nella quale il Dipartimento si attiva progressivamente nelle otto Aziende; e una fase di regime, nella quale il servizio raggiunge il dimensionamento adeguato al fabbisogno. La progressione differenziata dell’attivazione fra le Aziende, a partire da Sassari, coincide con l’esperimento a cunei progressivi descritto nella Parte F.</w:t>
      </w:r>
    </w:p>
  </w:footnote>
  <w:footnote w:id="3740">
    <w:p>
      <w:pPr>
        <w:pStyle w:val="FootnoteText"/>
      </w:pPr>
      <w:r>
        <w:rPr>
          <w:rStyle w:val="FootnoteReference"/>
        </w:rPr>
        <w:footnoteRef/>
      </w:r>
      <w:r>
        <w:t xml:space="preserve"> </w:t>
      </w:r>
      <w:r>
        <w:t xml:space="preserve">Reclutamento e formazione: l’avvio a regime richiede il reclutamento a dipendenza e la formazione dedicata degli psicologi, secondo il programma a quattro livelli; il bacino professionale e gli atenei sardi di Cagliari e Sassari costituiscono una base favorevole, e la formazione specialistica assicura l’omogeneità delle competenze, con particolare attenzione all’età anziana e alla cronicità.</w:t>
      </w:r>
    </w:p>
  </w:footnote>
  <w:footnote w:id="3741">
    <w:p>
      <w:pPr>
        <w:pStyle w:val="FootnoteText"/>
      </w:pPr>
      <w:r>
        <w:rPr>
          <w:rStyle w:val="FootnoteReference"/>
        </w:rPr>
        <w:footnoteRef/>
      </w:r>
      <w:r>
        <w:t xml:space="preserve"> </w:t>
      </w:r>
      <w:r>
        <w:t xml:space="preserve">Cronoprogramma: l’attuazione si sviluppa su un orizzonte pluriennale, con il raggiungimento del regime in più esercizi; a differenza del Lazio, l’estensione non è subordinata all’approvazione di una legge — già in vigore — ma all’adozione del provvedimento di copertura finanziaria cui la legge subordina l’attivazione e all’estensione del Dipartimento alle otto Aziende, entro il vincolo del pareggio di bilancio.</w:t>
      </w:r>
    </w:p>
  </w:footnote>
  <w:footnote w:id="3742">
    <w:p>
      <w:pPr>
        <w:pStyle w:val="FootnoteText"/>
      </w:pPr>
      <w:r>
        <w:rPr>
          <w:rStyle w:val="FootnoteReference"/>
        </w:rPr>
        <w:footnoteRef/>
      </w:r>
      <w:r>
        <w:t xml:space="preserve"> </w:t>
      </w:r>
      <w:r>
        <w:t xml:space="preserve">Sostenibilità finanziaria: la leva della sostenibilità, nella Sardegna, è l’adozione del provvedimento di copertura finanziaria cui la legge subordina l’attivazione del Dipartimento, entro il vincolo del pareggio di bilancio proprio dello statuto speciale, e il dimensionamento progressivo del servizio; il sistema, storicamente sotto-finanziato e gravato dal più elevato disavanzo fra le regioni a statuto speciale, presenta margini di consumo improprio ampi da recuperare, mentre l’eventuale riconoscimento nei livelli essenziali di assistenza ne rafforzerebbe in futuro la stabilità.</w:t>
      </w:r>
    </w:p>
  </w:footnote>
  <w:footnote w:id="3743">
    <w:p>
      <w:pPr>
        <w:pStyle w:val="FootnoteText"/>
      </w:pPr>
      <w:r>
        <w:rPr>
          <w:rStyle w:val="FootnoteReference"/>
        </w:rPr>
        <w:footnoteRef/>
      </w:r>
      <w:r>
        <w:t xml:space="preserve"> </w:t>
      </w:r>
      <w:r>
        <w:t xml:space="preserve">Sostenibilità organizzativa: la sfida è garantire l’estensione omogenea del Dipartimento alle otto Aziende socio-sanitarie locali in un sistema insulare a bassa densità; la sostenibilità organizzativa è agevolata dalla presenza dell’azienda regionale di coordinamento (ARES) e dipende dalla forza della regia regionale e dalla chiarezza degli indirizzi operativi.</w:t>
      </w:r>
    </w:p>
  </w:footnote>
  <w:footnote w:id="3744">
    <w:p>
      <w:pPr>
        <w:pStyle w:val="FootnoteText"/>
      </w:pPr>
      <w:r>
        <w:rPr>
          <w:rStyle w:val="FootnoteReference"/>
        </w:rPr>
        <w:footnoteRef/>
      </w:r>
      <w:r>
        <w:t xml:space="preserve"> </w:t>
      </w:r>
      <w:r>
        <w:t xml:space="preserve">Monitoraggio dell’attuazione: l’avanzamento è seguito mediante indicatori di processo — Strutture attivate, psicologi inquadrati, prese in carico — raccolti attraverso il monitoraggio del Dipartimento, che l’attuazione parziale consente di impostare fin dall’inizio in forma uniforme fra le otto Aziende, avvalendosi del coordinamento dell’ARES e dell’esperienza dell’Azienda di Sassari.</w:t>
      </w:r>
    </w:p>
  </w:footnote>
  <w:footnote w:id="3745">
    <w:p>
      <w:pPr>
        <w:pStyle w:val="FootnoteText"/>
      </w:pPr>
      <w:r>
        <w:rPr>
          <w:rStyle w:val="FootnoteReference"/>
        </w:rPr>
        <w:footnoteRef/>
      </w:r>
      <w:r>
        <w:t xml:space="preserve"> </w:t>
      </w:r>
      <w:r>
        <w:t xml:space="preserve">Rischi principali dell’attuazione: la disomogeneità attuativa fra le otto Aziende in un sistema insulare a bassa densità; il vincolo del pareggio di bilancio e del disavanzo strutturale sulla disponibilità della copertura finanziaria cui la legge subordina l’attivazione; il maggior costo unitario del modello a dipendenza rispetto al convenzionale; e il rischio che l’estensione privilegi i poli urbani a scapito delle aree interne più spopolate.</w:t>
      </w:r>
    </w:p>
  </w:footnote>
  <w:footnote w:id="3746">
    <w:p>
      <w:pPr>
        <w:pStyle w:val="FootnoteText"/>
      </w:pPr>
      <w:r>
        <w:rPr>
          <w:rStyle w:val="FootnoteReference"/>
        </w:rPr>
        <w:footnoteRef/>
      </w:r>
      <w:r>
        <w:t xml:space="preserve"> </w:t>
      </w:r>
      <w:r>
        <w:t xml:space="preserve">Mitigazioni: i rischi sono fronteggiati con la regia dell’ARES e indirizzi operativi uniformi, con la progressione differenziata dell’attivazione del Dipartimento fra le Aziende che consente un apprendimento progressivo a partire dall’esperienza di Sassari, e con un’allocazione pro-equità che orienta l’estensione verso le aree interne a maggiore bisogno; l’adozione della copertura finanziaria e il sostegno dell’Ordine professionale concorrono a ridurre l’incertezza.</w:t>
      </w:r>
    </w:p>
  </w:footnote>
  <w:footnote w:id="3747">
    <w:p>
      <w:pPr>
        <w:pStyle w:val="FootnoteText"/>
      </w:pPr>
      <w:r>
        <w:rPr>
          <w:rStyle w:val="FootnoteReference"/>
        </w:rPr>
        <w:footnoteRef/>
      </w:r>
      <w:r>
        <w:t xml:space="preserve"> </w:t>
      </w:r>
      <w:r>
        <w:t xml:space="preserve">Sintesi dell’attuazione: l’intervento è attuabile e sostenibile, e la leva propria della Sardegna è l’adozione della copertura finanziaria cui la legge subordina l’attivazione e l’estensione del Dipartimento alle otto Aziende; la regione muove da un Dipartimento già attivato a Sassari, da un bacino professionale adeguato, da una previsione normativa acquisita e dal coordinamento dell’ARES, sicché le condizioni di fattibilità sono complessivamente favorevoli, pur entro un vincolo di bilancio severo.</w:t>
      </w:r>
    </w:p>
  </w:footnote>
  <w:footnote w:id="3748">
    <w:p>
      <w:pPr>
        <w:pStyle w:val="FootnoteText"/>
      </w:pPr>
      <w:r>
        <w:rPr>
          <w:rStyle w:val="FootnoteReference"/>
        </w:rPr>
        <w:footnoteRef/>
      </w:r>
      <w:r>
        <w:t xml:space="preserve"> </w:t>
      </w:r>
      <w:r>
        <w:t xml:space="preserve">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3749">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3750">
    <w:p>
      <w:pPr>
        <w:pStyle w:val="FootnoteText"/>
      </w:pPr>
      <w:r>
        <w:rPr>
          <w:rStyle w:val="FootnoteReference"/>
        </w:rPr>
        <w:footnoteRef/>
      </w:r>
      <w:r>
        <w:t xml:space="preserve"> </w:t>
      </w:r>
      <w:r>
        <w:t xml:space="preserve">Disegno controfattuale su attuazione parziale: poiché nella Sardegna il Dipartimento è attivo nella sola Azienda di Sassari e la sua estensione alle altre avverrà in tempi differenziati, la valutazione d’impatto può fondarsi su un esperimento a cunei progressivi, nel quale l’ordine e i tempi di attivazione del Dipartimento tra le otto Aziende socio-sanitarie locali e i loro distretti sono impiegati a fini valutativi; l’attuazione parziale offre il vantaggio peculiare di poter rilevare una linea di base nelle Aziende non ancora dotate, condizione che le regioni a servizio già consolidato non possiedono.</w:t>
      </w:r>
    </w:p>
  </w:footnote>
  <w:footnote w:id="3751">
    <w:p>
      <w:pPr>
        <w:pStyle w:val="FootnoteText"/>
      </w:pPr>
      <w:r>
        <w:rPr>
          <w:rStyle w:val="FootnoteReference"/>
        </w:rPr>
        <w:footnoteRef/>
      </w:r>
      <w:r>
        <w:t xml:space="preserve"> </w:t>
      </w:r>
      <w:r>
        <w:t xml:space="preserve">Linea di base dalla progressione differenziata: poiché il Dipartimento è attivo solo parzialmente, la Sardegna può rilevare una linea di base nelle Aziende non ancora dotate, e il diverso grado di attivazione del Dipartimento fra le otto Aziende consente di costruire termini di confronto interni; la rilevazione, progettata fin dall’inizio in forma uniforme e avvalendosi del coordinamento dell’ARES, fonda una stima dell’effetto su dati propri man mano che il Dipartimento si attiva.</w:t>
      </w:r>
    </w:p>
  </w:footnote>
  <w:footnote w:id="3752">
    <w:p>
      <w:pPr>
        <w:pStyle w:val="FootnoteText"/>
      </w:pPr>
      <w:r>
        <w:rPr>
          <w:rStyle w:val="FootnoteReference"/>
        </w:rPr>
        <w:footnoteRef/>
      </w:r>
      <w:r>
        <w:t xml:space="preserve"> </w:t>
      </w:r>
      <w:r>
        <w:t xml:space="preserve">Metodi di stima dell’effetto: l’effetto causale è stimato con la differenza-nelle-differenze, che confronta l’evoluzione delle Aziende già dotate del Dipartimento, a partire da Sassari, con quella delle Aziende non ancora dotate, e con il metodo del controllo sintetico, che costruisce un termine di confronto a partire dai dati osservati; la progressione differenziata dell’attivazione del Dipartimento fra le otto Aziende fornisce la variazione necessaria all’identificazione.</w:t>
      </w:r>
    </w:p>
  </w:footnote>
  <w:footnote w:id="3753">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3754">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3755">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3756">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3757">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3758">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3759">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3760">
    <w:p>
      <w:pPr>
        <w:pStyle w:val="FootnoteText"/>
      </w:pPr>
      <w:r>
        <w:rPr>
          <w:rStyle w:val="FootnoteReference"/>
        </w:rPr>
        <w:footnoteRef/>
      </w:r>
      <w:r>
        <w:t xml:space="preserve"> </w:t>
      </w:r>
      <w:r>
        <w:t xml:space="preserve">Indicatori di mobilità: per la Sardegna sono monitorati ma costituiscono un esito atteso solo modesto, poiché la fuga — dell’ordine di cento milioni l’anno — riguarda le terapie oncologiche e l’alta complessità, per necessità, e non la domanda psicologica territoriale; la loro rilevazione serve a documentare la sola frazione territorialmente intercettabile, non un effetto principale.</w:t>
      </w:r>
    </w:p>
  </w:footnote>
  <w:footnote w:id="3761">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sardo.</w:t>
      </w:r>
    </w:p>
  </w:footnote>
  <w:footnote w:id="3762">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la titolarità del cruscotto è in capo all’Azienda regionale della salute (ARES) e all’Assessorato regionale dell’igiene e sanità, che ne assicurano l’alimentazione uniforme da parte delle otto Aziende.</w:t>
      </w:r>
    </w:p>
  </w:footnote>
  <w:footnote w:id="3763">
    <w:p>
      <w:pPr>
        <w:pStyle w:val="FootnoteText"/>
      </w:pPr>
      <w:r>
        <w:rPr>
          <w:rStyle w:val="FootnoteReference"/>
        </w:rPr>
        <w:footnoteRef/>
      </w:r>
      <w:r>
        <w:t xml:space="preserve"> </w:t>
      </w:r>
      <w:r>
        <w:t xml:space="preserve">Clausola valutativa: lo strumento attraverso cui il monitoraggio diventa vincolante è la clausola valutativa; poiché la legge regionale 24 del 2020 ha istituito il Dipartimento in via sperimentale, il compito è corredarne l’attivazione di una clausola valutativa che impegni la Giunta a riferire periodicamente al Consiglio regionale sull’attuazione e sui risultati, traendo dal monitoraggio coordinato dall’ARES e dall’esperienza dell’Azienda di Sassari la base informativa.</w:t>
      </w:r>
    </w:p>
  </w:footnote>
  <w:footnote w:id="3764">
    <w:p>
      <w:pPr>
        <w:pStyle w:val="FootnoteText"/>
      </w:pPr>
      <w:r>
        <w:rPr>
          <w:rStyle w:val="FootnoteReference"/>
        </w:rPr>
        <w:footnoteRef/>
      </w:r>
      <w:r>
        <w:t xml:space="preserve"> </w:t>
      </w:r>
      <w:r>
        <w:t xml:space="preserve">Flusso informativo: la raccolta dei dati di processo e di esito poggia sul monitoraggio del Dipartimento coordinato dall’ARES; poiché il Dipartimento è attivo solo parzialmente, il flusso va impostato fin dall’inizio in forma uniforme, completa e interoperabile con la piattaforma informativa sanitaria regionale, cogliendo l’opportunità di una rilevazione progettata correttamente fra le otto Aziende prima della piena operatività.</w:t>
      </w:r>
    </w:p>
  </w:footnote>
  <w:footnote w:id="3765">
    <w:p>
      <w:pPr>
        <w:pStyle w:val="FootnoteText"/>
      </w:pPr>
      <w:r>
        <w:rPr>
          <w:rStyle w:val="FootnoteReference"/>
        </w:rPr>
        <w:footnoteRef/>
      </w:r>
      <w:r>
        <w:t xml:space="preserve"> </w:t>
      </w:r>
      <w:r>
        <w:t xml:space="preserve">Tempi della valutazione: la valutazione si articola in un monitoraggio in itinere, che accompagna l’attivazione progressiva del servizio e ne osserva la diversa progressione fra le otto Aziende; e in una valutazione ex post, che misura l’effetto a regime e ne verifica la sostenibilità; l’attuazione parziale consente di disporre di una linea di base nelle Aziende non ancora dotate, vantaggio peculiare di una regione la cui attivazione è ancora in corso.</w:t>
      </w:r>
    </w:p>
  </w:footnote>
  <w:footnote w:id="3766">
    <w:p>
      <w:pPr>
        <w:pStyle w:val="FootnoteText"/>
      </w:pPr>
      <w:r>
        <w:rPr>
          <w:rStyle w:val="FootnoteReference"/>
        </w:rPr>
        <w:footnoteRef/>
      </w:r>
      <w:r>
        <w:t xml:space="preserve"> </w:t>
      </w:r>
      <w:r>
        <w:t xml:space="preserve">Sintesi del monitoraggio: 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p>
  </w:footnote>
  <w:footnote w:id="3767">
    <w:p>
      <w:pPr>
        <w:pStyle w:val="FootnoteText"/>
      </w:pPr>
      <w:r>
        <w:rPr>
          <w:rStyle w:val="FootnoteReference"/>
        </w:rPr>
        <w:footnoteRef/>
      </w:r>
      <w:r>
        <w:t xml:space="preserve"> </w:t>
      </w:r>
      <w:r>
        <w:t xml:space="preserve">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3768">
    <w:p>
      <w:pPr>
        <w:pStyle w:val="FootnoteText"/>
      </w:pPr>
      <w:r>
        <w:rPr>
          <w:rStyle w:val="FootnoteReference"/>
        </w:rPr>
        <w:footnoteRef/>
      </w:r>
      <w:r>
        <w:t xml:space="preserve"> </w:t>
      </w:r>
      <w:r>
        <w:t xml:space="preserve">Sintesi per dominio: il bisogno è ampio e radicato in una regione insulare a bassa densità e fra le più anziane d’Italia; l’efficacia clinica è sostenuta da evidenza internazionale solida, mentre i dati operativi propri sono ancora limitati, essendo il Dipartimento attivo nella sola Azienda di Sassari; il quadro economico distingue un caso finanziario di modesto disavanzo prossimo al pareggio da un caso sociale fortemente positivo; l’equità è favorevole su un doppio asse territoriale e sulla dimensione generazionale, ed è rafforzata dalla gratuità del modello dipartimentale; la fattibilità è quella della piena attivazione di un Dipartimento già previsto per legge e attivato a Sassari; il monitoraggio può fondarsi su una linea di base nelle Aziende non ancora dotate. La convergenza dei domini sostiene una raccomandazione favorevole.</w:t>
      </w:r>
    </w:p>
  </w:footnote>
  <w:footnote w:id="3769">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3770">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3771">
    <w:p>
      <w:pPr>
        <w:pStyle w:val="FootnoteText"/>
      </w:pPr>
      <w:r>
        <w:rPr>
          <w:rStyle w:val="FootnoteReference"/>
        </w:rPr>
        <w:footnoteRef/>
      </w:r>
      <w:r>
        <w:t xml:space="preserve"> </w:t>
      </w:r>
      <w:r>
        <w:t xml:space="preserve">Punteggio dell’intervento: la media ponderata dei punteggi attribuiti all’intervento è dell’ordine di 77,4 su 100, sostenuta dai punteggi elevati nell’equità, nel valore sociale e nel ritorno economico, e contenuta dai punteggi più bassi nella robustezza dell’evidenza — che riflette l’attuazione ancora parziale, con dati propri limitati — e nell’impatto sul bilancio, condizionato dal più elevato disavanzo fra le regioni a statuto speciale.</w:t>
      </w:r>
    </w:p>
  </w:footnote>
  <w:footnote w:id="3772">
    <w:p>
      <w:pPr>
        <w:pStyle w:val="FootnoteText"/>
      </w:pPr>
      <w:r>
        <w:rPr>
          <w:rStyle w:val="FootnoteReference"/>
        </w:rPr>
        <w:footnoteRef/>
      </w:r>
      <w:r>
        <w:t xml:space="preserve"> </w:t>
      </w:r>
      <w:r>
        <w:t xml:space="preserve">Punteggio del non intervento: l’alternativa di non portare il servizio a regime ottiene una media ponderata dell’ordine di 39,2 su 100; essa è penalizzata in tutti i criteri sostanziali — efficacia, equità, valore sociale, ritorno — e è sostenuta soltanto dalla fattibilità immediata dello status quo, che però nella Sardegna appare oggi poco giustificata, poiché lascerebbe inattuato in sette Aziende su otto un Dipartimento già previsto per legge.</w:t>
      </w:r>
    </w:p>
  </w:footnote>
  <w:footnote w:id="3773">
    <w:p>
      <w:pPr>
        <w:pStyle w:val="FootnoteText"/>
      </w:pPr>
      <w:r>
        <w:rPr>
          <w:rStyle w:val="FootnoteReference"/>
        </w:rPr>
        <w:footnoteRef/>
      </w:r>
      <w:r>
        <w:t xml:space="preserve"> </w:t>
      </w:r>
      <w:r>
        <w:t xml:space="preserve">Interpretazione del confronto: l’intervento prevale nettamente sul non intervento, con uno scarto dell’ordine di trentotto punti; il punteggio dell’intervento si colloca fra i più elevati delle regioni esaminate, riflettendo una previsione normativa acquisita e la gratuità del modello, pur scontando un caso finanziario diretto modesto, il vincolo del disavanzo strutturale e l’attuazione ancora parziale.</w:t>
      </w:r>
    </w:p>
  </w:footnote>
  <w:footnote w:id="3774">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3775">
    <w:p>
      <w:pPr>
        <w:pStyle w:val="FootnoteText"/>
      </w:pPr>
      <w:r>
        <w:rPr>
          <w:rStyle w:val="FootnoteReference"/>
        </w:rPr>
        <w:footnoteRef/>
      </w:r>
      <w:r>
        <w:t xml:space="preserve"> </w:t>
      </w:r>
      <w:r>
        <w:t xml:space="preserve">Raccomandazione principale: si raccomanda di attivare pienamente il Dipartimento di Psicologia di Cure Primarie già previsto per legge, estendendolo dalla sola Azienda di Sassari a tutte le otto Aziende, adottando il provvedimento di copertura finanziaria cui la legge subordina l’attivazione, entro il vincolo del pareggio di bilancio, e dimensionandolo verso la copertura piena del fabbisogno; è la decisione che la Sardegna, dotata di previsione di legge, è chiamata a compiere per rendere pienamente operativo il servizio.</w:t>
      </w:r>
    </w:p>
  </w:footnote>
  <w:footnote w:id="3776">
    <w:p>
      <w:pPr>
        <w:pStyle w:val="FootnoteText"/>
      </w:pPr>
      <w:r>
        <w:rPr>
          <w:rStyle w:val="FootnoteReference"/>
        </w:rPr>
        <w:footnoteRef/>
      </w:r>
      <w:r>
        <w:t xml:space="preserve"> </w:t>
      </w:r>
      <w:r>
        <w:t xml:space="preserve">Dimensionamento raccomandato: si raccomanda di muovere dal Dipartimento già attivato nell’Azienda di Sassari e di procedere per gradi verso lo scenario conservativo, dell’ordine di 170 psicologi, quindi verso quello di base, dell’ordine di 250, e infine verso quello espansivo, dell’ordine di 340, in funzione della verifica progressiva dei risultati e della sostenibilità.</w:t>
      </w:r>
    </w:p>
  </w:footnote>
  <w:footnote w:id="3777">
    <w:p>
      <w:pPr>
        <w:pStyle w:val="FootnoteText"/>
      </w:pPr>
      <w:r>
        <w:rPr>
          <w:rStyle w:val="FootnoteReference"/>
        </w:rPr>
        <w:footnoteRef/>
      </w:r>
      <w:r>
        <w:t xml:space="preserve"> </w:t>
      </w:r>
      <w:r>
        <w:t xml:space="preserve">Condizioni della raccomandazione: la costruzione di una clausola valutativa a corredo dell’attivazione del Dipartimento, l’adozione di un’allocazione pro-equità verso le aree interne spopolate, le periferie dei poli urbani, l’età anziana e il disagio giovanile, la regia dell’Azienda regionale della salute (ARES) e l’impostazione fin dall’attivazione di un flusso informativo uniforme fra le otto Aziende sono le condizioni che trasformano la raccomandazione in un’attuazione efficace e valutabile.</w:t>
      </w:r>
    </w:p>
  </w:footnote>
  <w:footnote w:id="3778">
    <w:p>
      <w:pPr>
        <w:pStyle w:val="FootnoteText"/>
      </w:pPr>
      <w:r>
        <w:rPr>
          <w:rStyle w:val="FootnoteReference"/>
        </w:rPr>
        <w:footnoteRef/>
      </w:r>
      <w:r>
        <w:t xml:space="preserve"> </w:t>
      </w:r>
      <w:r>
        <w:t xml:space="preserve">Lacuna da colmare prima della presentazione esterna: l’estrazione dei conti certificati delle otto Aziende socio-sanitarie locali e delle aziende ospedaliere e l’impostazione, fin dall’attivazione, di un flusso uniforme dei dati di esito attraverso il monitoraggio del Dipartimento coordinato dall’ARES sono le priorità che consentiranno di sostituire i valori ricostruiti per quota di popolazione con grandezze effettive.</w:t>
      </w:r>
    </w:p>
  </w:footnote>
  <w:footnote w:id="3779">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3780">
    <w:p>
      <w:pPr>
        <w:pStyle w:val="FootnoteText"/>
      </w:pPr>
      <w:r>
        <w:rPr>
          <w:rStyle w:val="FootnoteReference"/>
        </w:rPr>
        <w:footnoteRef/>
      </w:r>
      <w:r>
        <w:t xml:space="preserve"> </w:t>
      </w:r>
      <w:r>
        <w:t xml:space="preserve">Collocazione nella serie regionale: lo studio sulla Sardegna è l’undicesimo della serie, dopo quelli su Puglia, Lombardia, Veneto, Emilia-Romagna, Piemonte, Toscana, Liguria, Lazio, Campania e Sicilia, e ne condivide il telaio integrato e il caso di riferimento; rispetto agli altri, la Sardegna occupa una posizione propria, quella della regione insulare a bassa densità e fra le più anziane d’Italia, a statuto speciale autofinanziante e con il più elevato disavanzo fra le statuto speciale, che ha previsto il Dipartimento in una legge di riforma con un modello dipartimentale e gratuito, lo ha attivato nella sola Azienda di Sassari, e che oggi è chiamata ad attivarlo pienamente e a estenderlo alle otto Aziende.</w:t>
      </w:r>
    </w:p>
  </w:footnote>
  <w:footnote w:id="3781">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3782">
    <w:p>
      <w:pPr>
        <w:pStyle w:val="FootnoteText"/>
      </w:pPr>
      <w:r>
        <w:rPr>
          <w:rStyle w:val="FootnoteReference"/>
        </w:rPr>
        <w:footnoteRef/>
      </w:r>
      <w:r>
        <w:t xml:space="preserve"> </w:t>
      </w:r>
      <w:r>
        <w:t xml:space="preserve">Conclusione: la decisione che lo studio sostiene è di attivare pienamente il Dipartimento di Psicologia di Cure Primarie già previsto per legge, estendendolo dalla sola Azienda di Sassari a tutte le otto Aziende, adottando il provvedimento di copertura finanziaria cui la legge subordina l’attivazione, dimensionandolo progressivamente al fabbisogno e corredandolo di una clausola valutativa; per la Sardegna, dotata di previsione di legge e di un modello dipartimentale gratuito, ciò significa rendere effettivo un servizio già previsto, a beneficio della popolazione.</w:t>
      </w:r>
    </w:p>
  </w:footnote>
  <w:footnote w:id="3783">
    <w:p>
      <w:pPr>
        <w:pStyle w:val="FootnoteText"/>
      </w:pPr>
      <w:r>
        <w:rPr>
          <w:rStyle w:val="FootnoteReference"/>
        </w:rPr>
        <w:footnoteRef/>
      </w:r>
      <w:r>
        <w:t xml:space="preserve"> </w:t>
      </w:r>
      <w:r>
        <w:t xml:space="preserve">AostaSera, «La Valle d’Aosta ferma il calo demografico: popolazione stabile, anche se sempre più anziana», 2025. URL: https://aostasera.it/notizie/societa/la-valle-daosta-ferma-il-calo-demografico-popolazione-stabile-anche-se-sempre-piu-anziana/</w:t>
      </w:r>
    </w:p>
  </w:footnote>
  <w:footnote w:id="3784">
    <w:p>
      <w:pPr>
        <w:pStyle w:val="FootnoteText"/>
      </w:pPr>
      <w:r>
        <w:rPr>
          <w:rStyle w:val="FootnoteReference"/>
        </w:rPr>
        <w:footnoteRef/>
      </w:r>
      <w:r>
        <w:t xml:space="preserve"> </w:t>
      </w:r>
      <w:r>
        <w:t xml:space="preserve">Fondazione GRINS, «Il finanziamento e la spesa sanitaria in Italia», dicembre 2025. URL: https://www.grins.it/sites/default/files/2025-12/Il_finanziamento_e_la_spesa_sanitaria_in_italia.pdf; per il dato 2022 (2.526 €): IRES Valle d’Aosta, Bilancio Valle d’Aosta 2025/2027, via fluidbook.it. URL: https://www.fluidbook.it/spi-aosta/ires/2024/01/52/</w:t>
      </w:r>
    </w:p>
  </w:footnote>
  <w:footnote w:id="3785">
    <w:p>
      <w:pPr>
        <w:pStyle w:val="FootnoteText"/>
      </w:pPr>
      <w:r>
        <w:rPr>
          <w:rStyle w:val="FootnoteReference"/>
        </w:rPr>
        <w:footnoteRef/>
      </w:r>
      <w:r>
        <w:t xml:space="preserve"> </w:t>
      </w:r>
      <w:r>
        <w:t xml:space="preserve">La Valle d’Aosta è bilingue per tutela costituzionale del francese ai sensi dell’art. 38 dello Statuto speciale (L. Cost. 26 febbraio 1948, n. 4); il territorio è integralmente alpino e montano, con il 100% della superficie regionale classificata come zona di montagna.</w:t>
      </w:r>
    </w:p>
  </w:footnote>
  <w:footnote w:id="3786">
    <w:p>
      <w:pPr>
        <w:pStyle w:val="FootnoteText"/>
      </w:pPr>
      <w:r>
        <w:rPr>
          <w:rStyle w:val="FootnoteReference"/>
        </w:rPr>
        <w:footnoteRef/>
      </w:r>
      <w:r>
        <w:t xml:space="preserve"> </w:t>
      </w:r>
      <w:r>
        <w:t xml:space="preserve">Psicologicureprimarie.it, «Situazione normativa regionale 2025: proposte di legge e stato dell’arte». URL: https://www.psicologicureprimarie.it/proposte-di-legge/situazione-2025.html (Valle d’Aosta elencata fra le regioni prive di previsione normativa).</w:t>
      </w:r>
    </w:p>
  </w:footnote>
  <w:footnote w:id="3787">
    <w:p>
      <w:pPr>
        <w:pStyle w:val="FootnoteText"/>
      </w:pPr>
      <w:r>
        <w:rPr>
          <w:rStyle w:val="FootnoteReference"/>
        </w:rPr>
        <w:footnoteRef/>
      </w:r>
      <w:r>
        <w:t xml:space="preserve"> </w:t>
      </w:r>
      <w:r>
        <w:t xml:space="preserve">Lo studio adotta il quadro metodologico dell’Health Technology Assessment (HTA) nella sua declinazione multidimensionale a nove domini, integrandolo con il Five Case Model, lo standard CHEERS 2022 e i criteri OCSE-DAC.</w:t>
      </w:r>
    </w:p>
  </w:footnote>
  <w:footnote w:id="3788">
    <w:p>
      <w:pPr>
        <w:pStyle w:val="FootnoteText"/>
      </w:pPr>
      <w:r>
        <w:rPr>
          <w:rStyle w:val="FootnoteReference"/>
        </w:rPr>
        <w:footnoteRef/>
      </w:r>
      <w:r>
        <w:t xml:space="preserve"> </w:t>
      </w:r>
      <w:r>
        <w:t xml:space="preserve">La Valle d’Aosta è, con le Marche, il Molise, la Basilicata, la Calabria e il Trentino-Alto Adige/Südtirol, fra le regioni che al 2025 non hanno approvato alcuna norma in materia di psicologo di base o psicologia delle cure primarie.</w:t>
      </w:r>
    </w:p>
  </w:footnote>
  <w:footnote w:id="3789">
    <w:p>
      <w:pPr>
        <w:pStyle w:val="FootnoteText"/>
      </w:pPr>
      <w:r>
        <w:rPr>
          <w:rStyle w:val="FootnoteReference"/>
        </w:rPr>
        <w:footnoteRef/>
      </w:r>
      <w:r>
        <w:t xml:space="preserve"> </w:t>
      </w:r>
      <w:r>
        <w:t xml:space="preserve">Il caso di riferimento è comune a tutti gli studi regionali del Tomo II e assicura la confrontabilità dei risultati; le scelte metodologiche di fondo sono descritte nell’Appendice A.</w:t>
      </w:r>
    </w:p>
  </w:footnote>
  <w:footnote w:id="3790">
    <w:p>
      <w:pPr>
        <w:pStyle w:val="FootnoteText"/>
      </w:pPr>
      <w:r>
        <w:rPr>
          <w:rStyle w:val="FootnoteReference"/>
        </w:rPr>
        <w:footnoteRef/>
      </w:r>
      <w:r>
        <w:t xml:space="preserve"> </w:t>
      </w:r>
      <w:r>
        <w:t xml:space="preserve">Il Fondo sanitario regionale della Valle d’Aosta è determinato dalla legge di stabilità regionale per il triennio 2024-2026 nell’ordine di 333 milioni di euro per il 2024 (Regione autonoma Valle d’Aosta, deliberazione della Giunta regionale, 2024). URL: https://www.regione.vda.it/allegato.aspx?pk=115626</w:t>
      </w:r>
    </w:p>
  </w:footnote>
  <w:footnote w:id="3791">
    <w:p>
      <w:pPr>
        <w:pStyle w:val="FootnoteText"/>
      </w:pPr>
      <w:r>
        <w:rPr>
          <w:rStyle w:val="FootnoteReference"/>
        </w:rPr>
        <w:footnoteRef/>
      </w:r>
      <w:r>
        <w:t xml:space="preserve"> </w:t>
      </w:r>
      <w:r>
        <w:t xml:space="preserve">Chisholm D., Sweeny K., Sheehan P. et al., «Scaling-up treatment of depression and anxiety: a global return-on-investment analysis», The Lancet Psychiatry, vol. 3, n. 5, 2016, pp. 415-424. Il duplice intervallo Chisholm è: 2,3-3,0:1 per i soli benefici economici; 3,3-5,7:1 comprendendo i ritorni di salute. Il presente studio si fonda esclusivamente su questo ancoraggio, in coerenza con il telaio metodologico dell’intero Tomo II.</w:t>
      </w:r>
    </w:p>
  </w:footnote>
  <w:footnote w:id="3792">
    <w:p>
      <w:pPr>
        <w:pStyle w:val="FootnoteText"/>
      </w:pPr>
      <w:r>
        <w:rPr>
          <w:rStyle w:val="FootnoteReference"/>
        </w:rPr>
        <w:footnoteRef/>
      </w:r>
      <w:r>
        <w:t xml:space="preserve"> </w:t>
      </w:r>
      <w:r>
        <w:t xml:space="preserve">L’Università della Valle d’Aosta è la sede universitaria principale della regione; per la formazione degli psicologi, il bacino di riferimento include anche gli atenei piemontesi, storicamente alimentatori del mercato del lavoro professionale valdostano.</w:t>
      </w:r>
    </w:p>
  </w:footnote>
  <w:footnote w:id="3793">
    <w:p>
      <w:pPr>
        <w:pStyle w:val="FootnoteText"/>
      </w:pPr>
      <w:r>
        <w:rPr>
          <w:rStyle w:val="FootnoteReference"/>
        </w:rPr>
        <w:footnoteRef/>
      </w:r>
      <w:r>
        <w:t xml:space="preserve"> </w:t>
      </w:r>
      <w:r>
        <w:t xml:space="preserve">AostaSera, «La Valle d’Aosta ferma il calo demografico: popolazione stabile, anche se sempre più anziana», 2025. URL: https://aostasera.it/notizie/societa/la-valle-daosta-ferma-il-calo-demografico-popolazione-stabile-anche-se-sempre-piu-anziana/</w:t>
      </w:r>
    </w:p>
  </w:footnote>
  <w:footnote w:id="3794">
    <w:p>
      <w:pPr>
        <w:pStyle w:val="FootnoteText"/>
      </w:pPr>
      <w:r>
        <w:rPr>
          <w:rStyle w:val="FootnoteReference"/>
        </w:rPr>
        <w:footnoteRef/>
      </w:r>
      <w:r>
        <w:t xml:space="preserve"> </w:t>
      </w:r>
      <w:r>
        <w:t xml:space="preserve">IRES Valle d’Aosta, proiezioni demografiche al 2040, in Bilancio Valle d’Aosta 2025/2027, via fluidbook.it. URL: https://www.fluidbook.it/spi-aosta/ires/2024/01/52/</w:t>
      </w:r>
    </w:p>
  </w:footnote>
  <w:footnote w:id="3795">
    <w:p>
      <w:pPr>
        <w:pStyle w:val="FootnoteText"/>
      </w:pPr>
      <w:r>
        <w:rPr>
          <w:rStyle w:val="FootnoteReference"/>
        </w:rPr>
        <w:footnoteRef/>
      </w:r>
      <w:r>
        <w:t xml:space="preserve"> </w:t>
      </w:r>
      <w:r>
        <w:t xml:space="preserve">Ministero della Salute, Rapporto Salute Mentale (dati dei Dipartimenti di Salute Mentale). URL: https://www.salute.gov.it/new/it/scheda-statistica/rapporto-salute-mentale</w:t>
      </w:r>
    </w:p>
  </w:footnote>
  <w:footnote w:id="3796">
    <w:p>
      <w:pPr>
        <w:pStyle w:val="FootnoteText"/>
      </w:pPr>
      <w:r>
        <w:rPr>
          <w:rStyle w:val="FootnoteReference"/>
        </w:rPr>
        <w:footnoteRef/>
      </w:r>
      <w:r>
        <w:t xml:space="preserve"> </w:t>
      </w:r>
      <w:r>
        <w:t xml:space="preserve">AostaSera, «Presentato il nuovo Centro di Salute Mentale di Aosta: da gennaio gli accessi sono stati 400», agosto 2024. URL: https://aostasera.it/notizie/sanita-notizie/presentato-il-nuovo-centro-di-salute-mentale-di-aosta-da-gennaio-gli-accessi-sono-stati-400/</w:t>
      </w:r>
    </w:p>
  </w:footnote>
  <w:footnote w:id="3797">
    <w:p>
      <w:pPr>
        <w:pStyle w:val="FootnoteText"/>
      </w:pPr>
      <w:r>
        <w:rPr>
          <w:rStyle w:val="FootnoteReference"/>
        </w:rPr>
        <w:footnoteRef/>
      </w:r>
      <w:r>
        <w:t xml:space="preserve"> </w:t>
      </w:r>
      <w:r>
        <w:t xml:space="preserve">Psicologicureprimarie.it, «Situazione normativa regionale 2025». URL: https://www.psicologicureprimarie.it/proposte-di-legge/situazione-2025.html</w:t>
      </w:r>
    </w:p>
  </w:footnote>
  <w:footnote w:id="3798">
    <w:p>
      <w:pPr>
        <w:pStyle w:val="FootnoteText"/>
      </w:pPr>
      <w:r>
        <w:rPr>
          <w:rStyle w:val="FootnoteReference"/>
        </w:rPr>
        <w:footnoteRef/>
      </w:r>
      <w:r>
        <w:t xml:space="preserve"> </w:t>
      </w:r>
      <w:r>
        <w:t xml:space="preserve">Assessore Carlo Marzi, dichiarazione riportata da Valledaostaglocal.it, «Sanità in Valle d’Aosta: gli impegni e le sfide del bilancio triennale 2025-2027», dicembre 2024. URL: https://www.valledaostaglocal.it/2024/12/16/leggi-notizia/argomenti/salute-in-valle-daosta/articolo/sanita-in-valle-daosta-gli-impegni-e-le-sfide-del-bilancio-triennale-2025-2027-secondo-lassess.html</w:t>
      </w:r>
    </w:p>
  </w:footnote>
  <w:footnote w:id="3799">
    <w:p>
      <w:pPr>
        <w:pStyle w:val="FootnoteText"/>
      </w:pPr>
      <w:r>
        <w:rPr>
          <w:rStyle w:val="FootnoteReference"/>
        </w:rPr>
        <w:footnoteRef/>
      </w:r>
      <w:r>
        <w:t xml:space="preserve"> </w:t>
      </w:r>
      <w:r>
        <w:t xml:space="preserve">Fondazione GRINS, «Il finanziamento e la spesa sanitaria in Italia», dicembre 2025. URL: https://www.grins.it/sites/default/files/2025-12/Il_finanziamento_e_la_spesa_sanitaria_in_italia.pdf</w:t>
      </w:r>
    </w:p>
  </w:footnote>
  <w:footnote w:id="3800">
    <w:p>
      <w:pPr>
        <w:pStyle w:val="FootnoteText"/>
      </w:pPr>
      <w:r>
        <w:rPr>
          <w:rStyle w:val="FootnoteReference"/>
        </w:rPr>
        <w:footnoteRef/>
      </w:r>
      <w:r>
        <w:t xml:space="preserve"> </w:t>
      </w:r>
      <w:r>
        <w:t xml:space="preserve">Regione autonoma Valle d’Aosta, Delibera della Giunta regionale, spesa sanitaria di parte corrente per il triennio 2024-2026. URL: https://www.regione.vda.it/allegato.aspx?pk=115626</w:t>
      </w:r>
    </w:p>
  </w:footnote>
  <w:footnote w:id="3801">
    <w:p>
      <w:pPr>
        <w:pStyle w:val="FootnoteText"/>
      </w:pPr>
      <w:r>
        <w:rPr>
          <w:rStyle w:val="FootnoteReference"/>
        </w:rPr>
        <w:footnoteRef/>
      </w:r>
      <w:r>
        <w:t xml:space="preserve"> </w:t>
      </w:r>
      <w:r>
        <w:t xml:space="preserve">AostaSera, «In Valle d’Aosta oltre 51.000 prestazioni sanitarie in attesa», gennaio 2025. URL: https://aostasera.it/notizie/sanita-notizie/in-valle-daosta-oltre-51-000-prestazioni-sanitarie-in-attesa/; Valledaostaglocal.it, «Mobilità sanitaria, Valle d’Aosta poco attrattiva», marzo 2026. URL: https://www.valledaostaglocal.it/2026/03/04/leggi-notizia/argomenti/salute-in-valle-daosta/articolo/mobilita-sanitaria-valle-daosta-poco-attrattiva-tra-equilibrio-fragile-e-divario-nazionale.html</w:t>
      </w:r>
    </w:p>
  </w:footnote>
  <w:footnote w:id="3802">
    <w:p>
      <w:pPr>
        <w:pStyle w:val="FootnoteText"/>
      </w:pPr>
      <w:r>
        <w:rPr>
          <w:rStyle w:val="FootnoteReference"/>
        </w:rPr>
        <w:footnoteRef/>
      </w:r>
      <w:r>
        <w:t xml:space="preserve"> </w:t>
      </w:r>
      <w:r>
        <w:t xml:space="preserve">IRES Valle d’Aosta, Bilancio Valle d’Aosta 2025/2027, via fluidbook.it. URL: https://www.fluidbook.it/spi-aosta/ires/2024/01/52/</w:t>
      </w:r>
    </w:p>
  </w:footnote>
  <w:footnote w:id="3803">
    <w:p>
      <w:pPr>
        <w:pStyle w:val="FootnoteText"/>
      </w:pPr>
      <w:r>
        <w:rPr>
          <w:rStyle w:val="FootnoteReference"/>
        </w:rPr>
        <w:footnoteRef/>
      </w:r>
      <w:r>
        <w:t xml:space="preserve"> </w:t>
      </w:r>
      <w:r>
        <w:t xml:space="preserve">Psicologicureprimarie.it, «Situazione normativa regionale 2025». URL: https://www.psicologicureprimarie.it/proposte-di-legge/situazione-2025.html</w:t>
      </w:r>
    </w:p>
  </w:footnote>
  <w:footnote w:id="3804">
    <w:p>
      <w:pPr>
        <w:pStyle w:val="FootnoteText"/>
      </w:pPr>
      <w:r>
        <w:rPr>
          <w:rStyle w:val="FootnoteReference"/>
        </w:rPr>
        <w:footnoteRef/>
      </w:r>
      <w:r>
        <w:t xml:space="preserve"> </w:t>
      </w:r>
      <w:r>
        <w:t xml:space="preserve">Il DM 77/2022 («Regolamento recante la definizione di modelli e standard per lo sviluppo dell’assistenza territoriale nel Servizio sanitario nazionale») prevede, per le Case della Comunità di primo livello, la presenza di personale sanitario tra cui psicologi, con funzione di intercettazione precoce e filtro.</w:t>
      </w:r>
    </w:p>
  </w:footnote>
  <w:footnote w:id="3805">
    <w:p>
      <w:pPr>
        <w:pStyle w:val="FootnoteText"/>
      </w:pPr>
      <w:r>
        <w:rPr>
          <w:rStyle w:val="FootnoteReference"/>
        </w:rPr>
        <w:footnoteRef/>
      </w:r>
      <w:r>
        <w:t xml:space="preserve"> </w:t>
      </w:r>
      <w:r>
        <w:t xml:space="preserve">Il fascicolo sanitario elettronico è operativo in Valle d’Aosta in accordo con la normativa nazionale (DPCM 29 settembre 2015 e s.m.i.); l’Azienda USL dispone di un sistema informativo unico che semplifica l’integrazione del nuovo servizio.</w:t>
      </w:r>
    </w:p>
  </w:footnote>
  <w:footnote w:id="3806">
    <w:p>
      <w:pPr>
        <w:pStyle w:val="FootnoteText"/>
      </w:pPr>
      <w:r>
        <w:rPr>
          <w:rStyle w:val="FootnoteReference"/>
        </w:rPr>
        <w:footnoteRef/>
      </w:r>
      <w:r>
        <w:t xml:space="preserve"> </w:t>
      </w:r>
      <w:r>
        <w:t xml:space="preserve">Unützer J. et al., «Collaborative care management of late-life depression in the primary care setting: a randomized controlled trial» (studio IMPACT), JAMA, 2002; e aggiornamento 2008. Lo studio documenta che il 45% dei pazienti nel braccio dell’intervento conseguiva una riduzione dei sintomi depressivi ≥50% a 12 mesi, contro il 19% nella cura usuale.</w:t>
      </w:r>
    </w:p>
  </w:footnote>
  <w:footnote w:id="3807">
    <w:p>
      <w:pPr>
        <w:pStyle w:val="FootnoteText"/>
      </w:pPr>
      <w:r>
        <w:rPr>
          <w:rStyle w:val="FootnoteReference"/>
        </w:rPr>
        <w:footnoteRef/>
      </w:r>
      <w:r>
        <w:t xml:space="preserve"> </w:t>
      </w:r>
      <w:r>
        <w:t xml:space="preserve">Gilbody S. et al., meta-analisi su 57 studi controllati, Archives of Internal Medicine, 2006; e Coventry P. et al., revisione su 42 implementazioni, BMJ Open, 2014.</w:t>
      </w:r>
    </w:p>
  </w:footnote>
  <w:footnote w:id="3808">
    <w:p>
      <w:pPr>
        <w:pStyle w:val="FootnoteText"/>
      </w:pPr>
      <w:r>
        <w:rPr>
          <w:rStyle w:val="FootnoteReference"/>
        </w:rPr>
        <w:footnoteRef/>
      </w:r>
      <w:r>
        <w:t xml:space="preserve"> </w:t>
      </w:r>
      <w:r>
        <w:t xml:space="preserve">Unützer J. et al., 2002, op. cit.: i risparmi diretti sui costi sanitari non risultano statisticamente significativi (IC 95% comprende lo zero). Questa cautela è adottata come principio di onestà intellettuale nell’intero Tomo II.</w:t>
      </w:r>
    </w:p>
  </w:footnote>
  <w:footnote w:id="3809">
    <w:p>
      <w:pPr>
        <w:pStyle w:val="FootnoteText"/>
      </w:pPr>
      <w:r>
        <w:rPr>
          <w:rStyle w:val="FootnoteReference"/>
        </w:rPr>
        <w:footnoteRef/>
      </w:r>
      <w:r>
        <w:t xml:space="preserve"> </w:t>
      </w:r>
      <w:r>
        <w:t xml:space="preserve">La trasferibilità delle stime internazionali richiede attenzione alle differenze di contesto: struttura del sistema sanitario, livello di finanziamento, cultura dell’accesso ai servizi psicologici. In Valle d’Aosta, l’alto livello di spesa pro-capite e la cultura del benessere alpino possono favorire la domanda; l’isolamento delle vallate può inibirla.</w:t>
      </w:r>
    </w:p>
  </w:footnote>
  <w:footnote w:id="3810">
    <w:p>
      <w:pPr>
        <w:pStyle w:val="FootnoteText"/>
      </w:pPr>
      <w:r>
        <w:rPr>
          <w:rStyle w:val="FootnoteReference"/>
        </w:rPr>
        <w:footnoteRef/>
      </w:r>
      <w:r>
        <w:t xml:space="preserve"> </w:t>
      </w:r>
      <w:r>
        <w:t xml:space="preserve">Chisholm D. et al., The Lancet Psychiatry, 2016, op. cit.</w:t>
      </w:r>
    </w:p>
  </w:footnote>
  <w:footnote w:id="3811">
    <w:p>
      <w:pPr>
        <w:pStyle w:val="FootnoteText"/>
      </w:pPr>
      <w:r>
        <w:rPr>
          <w:rStyle w:val="FootnoteReference"/>
        </w:rPr>
        <w:footnoteRef/>
      </w:r>
      <w:r>
        <w:t xml:space="preserve"> </w:t>
      </w:r>
      <w:r>
        <w:t xml:space="preserve">Il costo di riferimento di 58.000-60.000 euro per psicologo (oneri inclusi) è coerente con il livello retributivo della Valle d’Aosta, superiore alla media nazionale per il mercato del lavoro alpino e per il costo della vita più elevato. Il dato è stimato per analogia con il Trentino-Alto Adige (60.000 €, modello di riferimento) con un lieve sconto per la dimensione regionale.</w:t>
      </w:r>
    </w:p>
  </w:footnote>
  <w:footnote w:id="3812">
    <w:p>
      <w:pPr>
        <w:pStyle w:val="FootnoteText"/>
      </w:pPr>
      <w:r>
        <w:rPr>
          <w:rStyle w:val="FootnoteReference"/>
        </w:rPr>
        <w:footnoteRef/>
      </w:r>
      <w:r>
        <w:t xml:space="preserve"> </w:t>
      </w:r>
      <w:r>
        <w:t xml:space="preserve">AIFA, OsMed Valle d’Aosta 2024: spesa pro capite pesata per farmaci convenzionati 137,22 € (Valle d’Aosta) vs 170,05 € (Italia). URL: https://www.aifa.gov.it/documents/20142/3610201/Valle-Aosta_Osmed_2024.pdf</w:t>
      </w:r>
    </w:p>
  </w:footnote>
  <w:footnote w:id="3813">
    <w:p>
      <w:pPr>
        <w:pStyle w:val="FootnoteText"/>
      </w:pPr>
      <w:r>
        <w:rPr>
          <w:rStyle w:val="FootnoteReference"/>
        </w:rPr>
        <w:footnoteRef/>
      </w:r>
      <w:r>
        <w:t xml:space="preserve"> </w:t>
      </w:r>
      <w:r>
        <w:t xml:space="preserve">Valledaostaglocal.it, «Mobilità sanitaria, Valle d’Aosta poco attrattiva», 2026, op. cit.</w:t>
      </w:r>
    </w:p>
  </w:footnote>
  <w:footnote w:id="3814">
    <w:p>
      <w:pPr>
        <w:pStyle w:val="FootnoteText"/>
      </w:pPr>
      <w:r>
        <w:rPr>
          <w:rStyle w:val="FootnoteReference"/>
        </w:rPr>
        <w:footnoteRef/>
      </w:r>
      <w:r>
        <w:t xml:space="preserve"> </w:t>
      </w:r>
      <w:r>
        <w:t xml:space="preserve">IRES Valle d’Aosta, proiezioni demografiche, op. cit.: la quota di over-65 raggiunge il 34,13% nel 2040, con implicazioni rilevanti per il carico assistenziale sulle famiglie e per la domanda di servizi psicologici connessi all’anzianità.</w:t>
      </w:r>
    </w:p>
  </w:footnote>
  <w:footnote w:id="3815">
    <w:p>
      <w:pPr>
        <w:pStyle w:val="FootnoteText"/>
      </w:pPr>
      <w:r>
        <w:rPr>
          <w:rStyle w:val="FootnoteReference"/>
        </w:rPr>
        <w:footnoteRef/>
      </w:r>
      <w:r>
        <w:t xml:space="preserve"> </w:t>
      </w:r>
      <w:r>
        <w:t xml:space="preserve">Chisholm D. et al., The Lancet Psychiatry, 2016, op. cit. Il rapporto beneficio-costo complessivo adottato (4,0-5,3:1) è interamente compreso nella banda 3,3-5,7:1.</w:t>
      </w:r>
    </w:p>
  </w:footnote>
  <w:footnote w:id="3816">
    <w:p>
      <w:pPr>
        <w:pStyle w:val="FootnoteText"/>
      </w:pPr>
      <w:r>
        <w:rPr>
          <w:rStyle w:val="FootnoteReference"/>
        </w:rPr>
        <w:footnoteRef/>
      </w:r>
      <w:r>
        <w:t xml:space="preserve"> </w:t>
      </w:r>
      <w:r>
        <w:t xml:space="preserve">Il modello di Markov a cinque anni con sconto del 3% è comune a tutti gli studi della serie; i parametri (costi per ciclo, utilità per stato, probabilità di transizione) sono derivati dalla letteratura internazionale e sono indipendenti dal contesto regionale.</w:t>
      </w:r>
    </w:p>
  </w:footnote>
  <w:footnote w:id="3817">
    <w:p>
      <w:pPr>
        <w:pStyle w:val="FootnoteText"/>
      </w:pPr>
      <w:r>
        <w:rPr>
          <w:rStyle w:val="FootnoteReference"/>
        </w:rPr>
        <w:footnoteRef/>
      </w:r>
      <w:r>
        <w:t xml:space="preserve"> </w:t>
      </w:r>
      <w:r>
        <w:t xml:space="preserve">Regione autonoma Valle d’Aosta, Legge di stabilità regionale per il triennio 2024-2026 (art. 22), URL: https://www.regione.vda.it/allegato.aspx?pk=115626; statuto speciale: Legge Costituzionale 26 febbraio 1948, n. 4.</w:t>
      </w:r>
    </w:p>
  </w:footnote>
  <w:footnote w:id="3818">
    <w:p>
      <w:pPr>
        <w:pStyle w:val="FootnoteText"/>
      </w:pPr>
      <w:r>
        <w:rPr>
          <w:rStyle w:val="FootnoteReference"/>
        </w:rPr>
        <w:footnoteRef/>
      </w:r>
      <w:r>
        <w:t xml:space="preserve"> </w:t>
      </w:r>
      <w:r>
        <w:t xml:space="preserve">Per la metodologia della modellazione decisionale nella valutazione economica in sanità, si rinvia alle linee guida ISPOR-SMDM e alle buone pratiche per la costruzione di modelli di Markov: Siebert U. et al., «State-transition modeling», Value in Health, 2012.</w:t>
      </w:r>
    </w:p>
  </w:footnote>
  <w:footnote w:id="3819">
    <w:p>
      <w:pPr>
        <w:pStyle w:val="FootnoteText"/>
      </w:pPr>
      <w:r>
        <w:rPr>
          <w:rStyle w:val="FootnoteReference"/>
        </w:rPr>
        <w:footnoteRef/>
      </w:r>
      <w:r>
        <w:t xml:space="preserve"> </w:t>
      </w:r>
      <w:r>
        <w:t xml:space="preserve">Il tasso di sconto del 3% è in linea con la guida della Commissione europea per la valutazione degli investimenti pubblici (Guide to Cost-Benefit Analysis of Investment Projects, 2014) e con la prassi della valutazione economica in sanità.</w:t>
      </w:r>
    </w:p>
  </w:footnote>
  <w:footnote w:id="3820">
    <w:p>
      <w:pPr>
        <w:pStyle w:val="FootnoteText"/>
      </w:pPr>
      <w:r>
        <w:rPr>
          <w:rStyle w:val="FootnoteReference"/>
        </w:rPr>
        <w:footnoteRef/>
      </w:r>
      <w:r>
        <w:t xml:space="preserve"> </w:t>
      </w:r>
      <w:r>
        <w:t xml:space="preserve">L’analisi di sensibilità deterministica (one-way e multi-way) è condotta variando ciascun parametro entro il proprio intervallo plausibile (intervallo di confidenza al 95% o range di plausibilità clinica), in accordo con le linee guida CHEERS 2022.</w:t>
      </w:r>
    </w:p>
  </w:footnote>
  <w:footnote w:id="3821">
    <w:p>
      <w:pPr>
        <w:pStyle w:val="FootnoteText"/>
      </w:pPr>
      <w:r>
        <w:rPr>
          <w:rStyle w:val="FootnoteReference"/>
        </w:rPr>
        <w:footnoteRef/>
      </w:r>
      <w:r>
        <w:t xml:space="preserve"> </w:t>
      </w:r>
      <w:r>
        <w:t xml:space="preserve">L’intervallo di confidenza al 95% per il beneficio monetario netto (da −5.736 a +21.501 euro per paziente) riflette l’incertezza dei parametri del modello e non deve essere interpretato come un range di risultati certi, ma come la distribuzione delle stime sotto l’incertezza parametrica.</w:t>
      </w:r>
    </w:p>
  </w:footnote>
  <w:footnote w:id="3822">
    <w:p>
      <w:pPr>
        <w:pStyle w:val="FootnoteText"/>
      </w:pPr>
      <w:r>
        <w:rPr>
          <w:rStyle w:val="FootnoteReference"/>
        </w:rPr>
        <w:footnoteRef/>
      </w:r>
      <w:r>
        <w:t xml:space="preserve"> </w:t>
      </w:r>
      <w:r>
        <w:t xml:space="preserve">La distinzione fra robustezza del risultato per paziente e maggiore incertezza delle grandezze aggregate di sistema è un principio metodologico adottato nell’intero Tomo II, in coerenza con la cautela dello studio IMPACT (Unützer et al., 2002).</w:t>
      </w:r>
    </w:p>
  </w:footnote>
  <w:footnote w:id="3823">
    <w:p>
      <w:pPr>
        <w:pStyle w:val="FootnoteText"/>
      </w:pPr>
      <w:r>
        <w:rPr>
          <w:rStyle w:val="FootnoteReference"/>
        </w:rPr>
        <w:footnoteRef/>
      </w:r>
      <w:r>
        <w:t xml:space="preserve"> </w:t>
      </w:r>
      <w:r>
        <w:t xml:space="preserve">L’impostazione del dataset minimo dall’avvio del servizio è condizione per la sostituzione progressiva delle stime con grandezze effettive, e per la costruzione di evidenza locale in assenza di qualunque dato pregresso.</w:t>
      </w:r>
    </w:p>
  </w:footnote>
  <w:footnote w:id="3824">
    <w:p>
      <w:pPr>
        <w:pStyle w:val="FootnoteText"/>
      </w:pPr>
      <w:r>
        <w:rPr>
          <w:rStyle w:val="FootnoteReference"/>
        </w:rPr>
        <w:footnoteRef/>
      </w:r>
      <w:r>
        <w:t xml:space="preserve"> </w:t>
      </w:r>
      <w:r>
        <w:t xml:space="preserve">Il disegno a cunei progressivi (stepped-wedge) per l’attivazione distrettuale è appropriato quando l’intervento è attivato in sequenza in più unità, consentendo la stima dell’effetto causale con la differenza-nelle-differenze (Hemming K. et al., BMJ, 2015).</w:t>
      </w:r>
    </w:p>
  </w:footnote>
  <w:footnote w:id="3825">
    <w:p>
      <w:pPr>
        <w:pStyle w:val="FootnoteText"/>
      </w:pPr>
      <w:r>
        <w:rPr>
          <w:rStyle w:val="FootnoteReference"/>
        </w:rPr>
        <w:footnoteRef/>
      </w:r>
      <w:r>
        <w:t xml:space="preserve"> </w:t>
      </w:r>
      <w:r>
        <w:t xml:space="preserve">L’analisi del valore dell’informazione (EVPI) indica il beneficio atteso dalla riduzione dell’incertezza; alla piccola scala della Valle d’Aosta, anche un investimento modesto in raccolta dati ha un rapporto valore/costo molto favorevole, data l’assenza totale di dati locali.</w:t>
      </w:r>
    </w:p>
  </w:footnote>
  <w:footnote w:id="3826">
    <w:p>
      <w:pPr>
        <w:pStyle w:val="FootnoteText"/>
      </w:pPr>
      <w:r>
        <w:rPr>
          <w:rStyle w:val="FootnoteReference"/>
        </w:rPr>
        <w:footnoteRef/>
      </w:r>
      <w:r>
        <w:t xml:space="preserve"> </w:t>
      </w:r>
      <w:r>
        <w:t xml:space="preserve">Williams A., «Intergenerational equity: an exploration of the</w:t>
      </w:r>
      <w:r>
        <w:t xml:space="preserve"> </w:t>
      </w:r>
      <w:r>
        <w:t xml:space="preserve">“fair innings”</w:t>
      </w:r>
      <w:r>
        <w:t xml:space="preserve"> </w:t>
      </w:r>
      <w:r>
        <w:t xml:space="preserve">argument», Health Economics, 1997; Wagstaff A., van Doorslaer E., «Income inequality and health: what does the literature tell us?», Annual Review of Public Health, 2000.</w:t>
      </w:r>
    </w:p>
  </w:footnote>
  <w:footnote w:id="3827">
    <w:p>
      <w:pPr>
        <w:pStyle w:val="FootnoteText"/>
      </w:pPr>
      <w:r>
        <w:rPr>
          <w:rStyle w:val="FootnoteReference"/>
        </w:rPr>
        <w:footnoteRef/>
      </w:r>
      <w:r>
        <w:t xml:space="preserve"> </w:t>
      </w:r>
      <w:r>
        <w:t xml:space="preserve">Il gradiente sociale della salute mentale è documentato da numerose meta-analisi; per una sintesi applicata al contesto italiano: SIEP, «Gli orizzonti diseguali della Salute Mentale in Italia», Quaderni di Epidemiologia Psichiatrica, n. 10, 2023.</w:t>
      </w:r>
    </w:p>
  </w:footnote>
  <w:footnote w:id="3828">
    <w:p>
      <w:pPr>
        <w:pStyle w:val="FootnoteText"/>
      </w:pPr>
      <w:r>
        <w:rPr>
          <w:rStyle w:val="FootnoteReference"/>
        </w:rPr>
        <w:footnoteRef/>
      </w:r>
      <w:r>
        <w:t xml:space="preserve"> </w:t>
      </w:r>
      <w:r>
        <w:t xml:space="preserve">La tutela del francese in Valle d’Aosta è garantita dall’art. 38 dello statuto speciale (L. Cost. n. 4/1948) e dall’art. 6 della Costituzione italiana; il servizio deve essere erogato in entrambe le lingue per essere conforme alla normativa regionale e per garantire l’accesso effettivo a tutti i residenti.</w:t>
      </w:r>
    </w:p>
  </w:footnote>
  <w:footnote w:id="3829">
    <w:p>
      <w:pPr>
        <w:pStyle w:val="FootnoteText"/>
      </w:pPr>
      <w:r>
        <w:rPr>
          <w:rStyle w:val="FootnoteReference"/>
        </w:rPr>
        <w:footnoteRef/>
      </w:r>
      <w:r>
        <w:t xml:space="preserve"> </w:t>
      </w:r>
      <w:r>
        <w:t xml:space="preserve">Per il meccanismo attraverso cui la psicologia delle cure primarie agisce sull’equità di accesso, si rinvia a: Doudenko E. et al., «Improving access to mental health care through primary care integration», Psychiatric Services, 2020.</w:t>
      </w:r>
    </w:p>
  </w:footnote>
  <w:footnote w:id="3830">
    <w:p>
      <w:pPr>
        <w:pStyle w:val="FootnoteText"/>
      </w:pPr>
      <w:r>
        <w:rPr>
          <w:rStyle w:val="FootnoteReference"/>
        </w:rPr>
        <w:footnoteRef/>
      </w:r>
      <w:r>
        <w:t xml:space="preserve"> </w:t>
      </w:r>
      <w:r>
        <w:t xml:space="preserve">La telepsicologia è riconosciuta come modalità terapeutica efficace per i disturbi comuni (ansia e depressione lieve-moderata) da numerose revisioni sistematiche; per i contesti montani e remoti, si rinvia all’esperienza del programma australiano Better Access.</w:t>
      </w:r>
    </w:p>
  </w:footnote>
  <w:footnote w:id="3831">
    <w:p>
      <w:pPr>
        <w:pStyle w:val="FootnoteText"/>
      </w:pPr>
      <w:r>
        <w:rPr>
          <w:rStyle w:val="FootnoteReference"/>
        </w:rPr>
        <w:footnoteRef/>
      </w:r>
      <w:r>
        <w:t xml:space="preserve"> </w:t>
      </w:r>
      <w:r>
        <w:t xml:space="preserve">Per la specificità del bisogno psicologico nell’anzianità e per le modalità di intercettazione in contesti rurali montani, si rinvia al Progetto Fondo — Demenze (www.demenze.it), che documenta le specificità epidemiologiche della Valle d’Aosta per la popolazione anziana.</w:t>
      </w:r>
    </w:p>
  </w:footnote>
  <w:footnote w:id="3832">
    <w:p>
      <w:pPr>
        <w:pStyle w:val="FootnoteText"/>
      </w:pPr>
      <w:r>
        <w:rPr>
          <w:rStyle w:val="FootnoteReference"/>
        </w:rPr>
        <w:footnoteRef/>
      </w:r>
      <w:r>
        <w:t xml:space="preserve"> </w:t>
      </w:r>
      <w:r>
        <w:t xml:space="preserve">L’analisi di costo-efficacia distributiva (DCEA) è un’estensione della valutazione economica standard che tiene conto della distribuzione degli effetti tra gruppi; si rinvia a: Cookson R. et al., «Using cost-effectiveness analysis to address health equity concerns», Value in Health, 2017.</w:t>
      </w:r>
    </w:p>
  </w:footnote>
  <w:footnote w:id="3833">
    <w:p>
      <w:pPr>
        <w:pStyle w:val="FootnoteText"/>
      </w:pPr>
      <w:r>
        <w:rPr>
          <w:rStyle w:val="FootnoteReference"/>
        </w:rPr>
        <w:footnoteRef/>
      </w:r>
      <w:r>
        <w:t xml:space="preserve"> </w:t>
      </w:r>
      <w:r>
        <w:t xml:space="preserve">Il rischio di iniquità inversa (inversely proportional provision) è documentato in letteratura per i servizi di salute mentale: Norman I. et al., «The inverse care law in mental health», Lancet Psychiatry, 2018.</w:t>
      </w:r>
    </w:p>
  </w:footnote>
  <w:footnote w:id="3834">
    <w:p>
      <w:pPr>
        <w:pStyle w:val="FootnoteText"/>
      </w:pPr>
      <w:r>
        <w:rPr>
          <w:rStyle w:val="FootnoteReference"/>
        </w:rPr>
        <w:footnoteRef/>
      </w:r>
      <w:r>
        <w:t xml:space="preserve"> </w:t>
      </w:r>
      <w:r>
        <w:t xml:space="preserve">Per il presidio dei profili giuridico, organizzativo ed etico come condizione della fattibilità, si rinvia al framework del Five Case Model (HM Treasury, The Green Book: Central Government Guidance on Appraisal and Evaluation, 2022).</w:t>
      </w:r>
    </w:p>
  </w:footnote>
  <w:footnote w:id="3835">
    <w:p>
      <w:pPr>
        <w:pStyle w:val="FootnoteText"/>
      </w:pPr>
      <w:r>
        <w:rPr>
          <w:rStyle w:val="FootnoteReference"/>
        </w:rPr>
        <w:footnoteRef/>
      </w:r>
      <w:r>
        <w:t xml:space="preserve"> </w:t>
      </w:r>
      <w:r>
        <w:t xml:space="preserve">Corte Costituzionale, sentenza n. 241 del 2021 (ud. 7 luglio 2021), con cui la Corte ha dichiarato non fondate le questioni di legittimità costituzionale della legge regionale della Campania n. 21/2020 istitutiva del psicologo di base.</w:t>
      </w:r>
    </w:p>
  </w:footnote>
  <w:footnote w:id="3836">
    <w:p>
      <w:pPr>
        <w:pStyle w:val="FootnoteText"/>
      </w:pPr>
      <w:r>
        <w:rPr>
          <w:rStyle w:val="FootnoteReference"/>
        </w:rPr>
        <w:footnoteRef/>
      </w:r>
      <w:r>
        <w:t xml:space="preserve"> </w:t>
      </w:r>
      <w:r>
        <w:t xml:space="preserve">La Valle d’Aosta finanzia la sanità trattenendo sul proprio territorio la quota del gettito tributario determinata dallo statuto speciale (analogamente alle Province autonome di Trento e Bolzano che trattengono i 9/10), senza apporto a carico del Bilancio dello Stato (Statuto speciale, L. Cost. n. 4/1948; d.lgs. 320/1994).</w:t>
      </w:r>
    </w:p>
  </w:footnote>
  <w:footnote w:id="3837">
    <w:p>
      <w:pPr>
        <w:pStyle w:val="FootnoteText"/>
      </w:pPr>
      <w:r>
        <w:rPr>
          <w:rStyle w:val="FootnoteReference"/>
        </w:rPr>
        <w:footnoteRef/>
      </w:r>
      <w:r>
        <w:t xml:space="preserve"> </w:t>
      </w:r>
      <w:r>
        <w:t xml:space="preserve">L’articolazione in quattro distretti (Distretto 1 Morgex/Gran San Bernardo, Distretto 2 Aosta, Distretto 3 Châtillon/Saint-Vincent, Distretto 4 Verrès/Donnas) è quella attualmente operativa dell’Azienda USL Valle d’Aosta; cfr. https://www.ausl.vda.it/chi-siamo/servizi-territoriali-area-territoriale/servizi-territoriali</w:t>
      </w:r>
    </w:p>
  </w:footnote>
  <w:footnote w:id="3838">
    <w:p>
      <w:pPr>
        <w:pStyle w:val="FootnoteText"/>
      </w:pPr>
      <w:r>
        <w:rPr>
          <w:rStyle w:val="FootnoteReference"/>
        </w:rPr>
        <w:footnoteRef/>
      </w:r>
      <w:r>
        <w:t xml:space="preserve"> </w:t>
      </w:r>
      <w:r>
        <w:t xml:space="preserve">Le tutele etiche per i minori e le persone vulnerabili (anziani, persone con doppia diagnosi) sono integrate nelle linee guida deontologiche dell’Ordine degli Psicologi e nel protocollo del servizio; le situazioni di rischio sono indirizzate al Servizio di Psichiatria del Presidio Parini e ai Centri di Salute Mentale.</w:t>
      </w:r>
    </w:p>
  </w:footnote>
  <w:footnote w:id="3839">
    <w:p>
      <w:pPr>
        <w:pStyle w:val="FootnoteText"/>
      </w:pPr>
      <w:r>
        <w:rPr>
          <w:rStyle w:val="FootnoteReference"/>
        </w:rPr>
        <w:footnoteRef/>
      </w:r>
      <w:r>
        <w:t xml:space="preserve"> </w:t>
      </w:r>
      <w:r>
        <w:t xml:space="preserve">Regolamento (UE) 2024/1689 del Parlamento europeo e del Consiglio sull’intelligenza artificiale (AI Act); Regolamento (UE) 2017/745 sui dispositivi medici.</w:t>
      </w:r>
    </w:p>
  </w:footnote>
  <w:footnote w:id="3840">
    <w:p>
      <w:pPr>
        <w:pStyle w:val="FootnoteText"/>
      </w:pPr>
      <w:r>
        <w:rPr>
          <w:rStyle w:val="FootnoteReference"/>
        </w:rPr>
        <w:footnoteRef/>
      </w:r>
      <w:r>
        <w:t xml:space="preserve"> </w:t>
      </w:r>
      <w:r>
        <w:t xml:space="preserve">Per l’analisi dei profili giuridici e organizzativi dell’istituzione del psicologo di base nelle regioni a statuto speciale, si rinvia alla comparazione con il Trentino-Alto Adige nel modello di riferimento del presente Tomo II.</w:t>
      </w:r>
    </w:p>
  </w:footnote>
  <w:footnote w:id="3841">
    <w:p>
      <w:pPr>
        <w:pStyle w:val="FootnoteText"/>
      </w:pPr>
      <w:r>
        <w:rPr>
          <w:rStyle w:val="FootnoteReference"/>
        </w:rPr>
        <w:footnoteRef/>
      </w:r>
      <w:r>
        <w:t xml:space="preserve"> </w:t>
      </w:r>
      <w:r>
        <w:t xml:space="preserve">HM Treasury, The Green Book: Central Government Guidance on Appraisal and Evaluation, 2022 (Five Case Model).</w:t>
      </w:r>
    </w:p>
  </w:footnote>
  <w:footnote w:id="3842">
    <w:p>
      <w:pPr>
        <w:pStyle w:val="FootnoteText"/>
      </w:pPr>
      <w:r>
        <w:rPr>
          <w:rStyle w:val="FootnoteReference"/>
        </w:rPr>
        <w:footnoteRef/>
      </w:r>
      <w:r>
        <w:t xml:space="preserve"> </w:t>
      </w:r>
      <w:r>
        <w:t xml:space="preserve">Il DM 77/2022, art. 1, prevede la figura dello psicologo come componente dell’équipe multiprofessionale delle Case della Comunità di primo e secondo livello, con funzione di intercettazione precoce del bisogno psicologico.</w:t>
      </w:r>
    </w:p>
  </w:footnote>
  <w:footnote w:id="3843">
    <w:p>
      <w:pPr>
        <w:pStyle w:val="FootnoteText"/>
      </w:pPr>
      <w:r>
        <w:rPr>
          <w:rStyle w:val="FootnoteReference"/>
        </w:rPr>
        <w:footnoteRef/>
      </w:r>
      <w:r>
        <w:t xml:space="preserve"> </w:t>
      </w:r>
      <w:r>
        <w:t xml:space="preserve">Chisholm D. et al., The Lancet Psychiatry, 2016, op. cit.</w:t>
      </w:r>
    </w:p>
  </w:footnote>
  <w:footnote w:id="3844">
    <w:p>
      <w:pPr>
        <w:pStyle w:val="FootnoteText"/>
      </w:pPr>
      <w:r>
        <w:rPr>
          <w:rStyle w:val="FootnoteReference"/>
        </w:rPr>
        <w:footnoteRef/>
      </w:r>
      <w:r>
        <w:t xml:space="preserve"> </w:t>
      </w:r>
      <w:r>
        <w:t xml:space="preserve">La Valle d’Aosta confina con la Francia (Haute-Savoie) e con il Canton Vallese in Svizzera; la presenza di professionisti di madrelingua francese nel bacino di prossimità geografica è un elemento di vantaggio per il reclutamento bilingue.</w:t>
      </w:r>
    </w:p>
  </w:footnote>
  <w:footnote w:id="3845">
    <w:p>
      <w:pPr>
        <w:pStyle w:val="FootnoteText"/>
      </w:pPr>
      <w:r>
        <w:rPr>
          <w:rStyle w:val="FootnoteReference"/>
        </w:rPr>
        <w:footnoteRef/>
      </w:r>
      <w:r>
        <w:t xml:space="preserve"> </w:t>
      </w:r>
      <w:r>
        <w:t xml:space="preserve">Il costo del servizio nello scenario espansivo (~2,6 mln di euro) rappresenta lo 0,78% del Fondo sanitario regionale (~333 mln nel 2024), confermando che si tratta di un investimento di entità marginale rispetto alla capacità di spesa della regione.</w:t>
      </w:r>
    </w:p>
  </w:footnote>
  <w:footnote w:id="3846">
    <w:p>
      <w:pPr>
        <w:pStyle w:val="FootnoteText"/>
      </w:pPr>
      <w:r>
        <w:rPr>
          <w:rStyle w:val="FootnoteReference"/>
        </w:rPr>
        <w:footnoteRef/>
      </w:r>
      <w:r>
        <w:t xml:space="preserve"> </w:t>
      </w:r>
      <w:r>
        <w:t xml:space="preserve">L’unicità dell’azienda sanitaria regionale è una condizione di semplicità gestionale che distingue la Valle d’Aosta da quasi tutte le altre regioni della serie, nelle quali la presenza di più ASL o AO introduce complessità di coordinamento.</w:t>
      </w:r>
    </w:p>
  </w:footnote>
  <w:footnote w:id="3847">
    <w:p>
      <w:pPr>
        <w:pStyle w:val="FootnoteText"/>
      </w:pPr>
      <w:r>
        <w:rPr>
          <w:rStyle w:val="FootnoteReference"/>
        </w:rPr>
        <w:footnoteRef/>
      </w:r>
      <w:r>
        <w:t xml:space="preserve"> </w:t>
      </w:r>
      <w:r>
        <w:t xml:space="preserve">Il fabbisogno di ~30 psicologi nello scenario espansivo è stimato per analogia proporzionale con il Trentino-Alto Adige (240 psicologi per ~1.085.000 abitanti, pari a ~0,22 psicologi per 1.000 ab.), applicato alla popolazione valdostana di ~122.000 ab.: 122.000 × 0,22 / 1.000 ≈ 27-30 psicologi. Il valore è coerente con i parametri del DM 77/2022.</w:t>
      </w:r>
    </w:p>
  </w:footnote>
  <w:footnote w:id="3848">
    <w:p>
      <w:pPr>
        <w:pStyle w:val="FootnoteText"/>
      </w:pPr>
      <w:r>
        <w:rPr>
          <w:rStyle w:val="FootnoteReference"/>
        </w:rPr>
        <w:footnoteRef/>
      </w:r>
      <w:r>
        <w:t xml:space="preserve"> </w:t>
      </w:r>
      <w:r>
        <w:t xml:space="preserve">La formazione dedicata al contesto valdostano comprende moduli specifici sul disagio dell’anzianità (gerontopsicologia), sull’isolamento montano e sulla competenza bilingue italiano-francese, in accordo con lo statuto speciale.</w:t>
      </w:r>
    </w:p>
  </w:footnote>
  <w:footnote w:id="3849">
    <w:p>
      <w:pPr>
        <w:pStyle w:val="FootnoteText"/>
      </w:pPr>
      <w:r>
        <w:rPr>
          <w:rStyle w:val="FootnoteReference"/>
        </w:rPr>
        <w:footnoteRef/>
      </w:r>
      <w:r>
        <w:t xml:space="preserve"> </w:t>
      </w:r>
      <w:r>
        <w:t xml:space="preserve">Il cronoprogramma biennale per il raggiungimento del regime nello scenario conservativo è coerente con i tempi di reclutamento, formazione e avvio di un servizio di 15 psicologi in un’unica azienda sanitaria.</w:t>
      </w:r>
    </w:p>
  </w:footnote>
  <w:footnote w:id="3850">
    <w:p>
      <w:pPr>
        <w:pStyle w:val="FootnoteText"/>
      </w:pPr>
      <w:r>
        <w:rPr>
          <w:rStyle w:val="FootnoteReference"/>
        </w:rPr>
        <w:footnoteRef/>
      </w:r>
      <w:r>
        <w:t xml:space="preserve"> </w:t>
      </w:r>
      <w:r>
        <w:t xml:space="preserve">La solidità finanziaria della Valle d’Aosta è documentata dalla Relazione sulla gestione del Servizio Sanitario Regionale (Regione autonoma Valle d’Aosta, 2024), URL: https://www.regione.vda.it/allegato.aspx?pk=122938</w:t>
      </w:r>
    </w:p>
  </w:footnote>
  <w:footnote w:id="3851">
    <w:p>
      <w:pPr>
        <w:pStyle w:val="FootnoteText"/>
      </w:pPr>
      <w:r>
        <w:rPr>
          <w:rStyle w:val="FootnoteReference"/>
        </w:rPr>
        <w:footnoteRef/>
      </w:r>
      <w:r>
        <w:t xml:space="preserve"> </w:t>
      </w:r>
      <w:r>
        <w:t xml:space="preserve">Per la sostenibilità organizzativa del modello nelle regioni ad alta spesa pro-capite e a bassa densità abitativa, si rinvia all’esperienza del Trentino-Alto Adige come termine di confronto metodologico.</w:t>
      </w:r>
    </w:p>
  </w:footnote>
  <w:footnote w:id="3852">
    <w:p>
      <w:pPr>
        <w:pStyle w:val="FootnoteText"/>
      </w:pPr>
      <w:r>
        <w:rPr>
          <w:rStyle w:val="FootnoteReference"/>
        </w:rPr>
        <w:footnoteRef/>
      </w:r>
      <w:r>
        <w:t xml:space="preserve"> </w:t>
      </w:r>
      <w:r>
        <w:t xml:space="preserve">I rischi specifici della Valle d’Aosta sono stati identificati attraverso l’analisi del contesto e il confronto con le esperienze delle regioni alpine a statuto speciale della serie.</w:t>
      </w:r>
    </w:p>
  </w:footnote>
  <w:footnote w:id="3853">
    <w:p>
      <w:pPr>
        <w:pStyle w:val="FootnoteText"/>
      </w:pPr>
      <w:r>
        <w:rPr>
          <w:rStyle w:val="FootnoteReference"/>
        </w:rPr>
        <w:footnoteRef/>
      </w:r>
      <w:r>
        <w:t xml:space="preserve"> </w:t>
      </w:r>
      <w:r>
        <w:t xml:space="preserve">Per il ruolo della clausola valutativa come strumento di governo dell’attuazione delle politiche sanitarie, si rinvia a: Martini A., Romano B., «La clausola valutativa come strumento di policy», Rivista italiana di politiche pubbliche, 2007.</w:t>
      </w:r>
    </w:p>
  </w:footnote>
  <w:footnote w:id="3854">
    <w:p>
      <w:pPr>
        <w:pStyle w:val="FootnoteText"/>
      </w:pPr>
      <w:r>
        <w:rPr>
          <w:rStyle w:val="FootnoteReference"/>
        </w:rPr>
        <w:footnoteRef/>
      </w:r>
      <w:r>
        <w:t xml:space="preserve"> </w:t>
      </w:r>
      <w:r>
        <w:t xml:space="preserve">La costruzione di un disegno controfattuale in assenza di dati propri è una sfida metodologica comune a tutte le regioni che istituiscono il servizio ex novo; la strategia dell’attivazione graduale per distretto è la più appropriata per la Valle d’Aosta data la sua struttura organizzativa.</w:t>
      </w:r>
    </w:p>
  </w:footnote>
  <w:footnote w:id="3855">
    <w:p>
      <w:pPr>
        <w:pStyle w:val="FootnoteText"/>
      </w:pPr>
      <w:r>
        <w:rPr>
          <w:rStyle w:val="FootnoteReference"/>
        </w:rPr>
        <w:footnoteRef/>
      </w:r>
      <w:r>
        <w:t xml:space="preserve"> </w:t>
      </w:r>
      <w:r>
        <w:t xml:space="preserve">Il metodo della differenza-nelle-differenze (DiD) consente di stimare l’effetto dell’intervento confrontando la variazione pre-post nei distretti attivati con la variazione nello stesso periodo nei distretti non ancora attivati; cfr. Angrist J., Pischke J.-S., Mostly Harmless Econometrics, Princeton University Press, 2009.</w:t>
      </w:r>
    </w:p>
  </w:footnote>
  <w:footnote w:id="3856">
    <w:p>
      <w:pPr>
        <w:pStyle w:val="FootnoteText"/>
      </w:pPr>
      <w:r>
        <w:rPr>
          <w:rStyle w:val="FootnoteReference"/>
        </w:rPr>
        <w:footnoteRef/>
      </w:r>
      <w:r>
        <w:t xml:space="preserve"> </w:t>
      </w:r>
      <w:r>
        <w:t xml:space="preserve">I dati di pronto soccorso, farmaceutici e di ricovero sono già disponibili nei sistemi informativi dell’Azienda USL Valle d’Aosta e possono essere estratti per costruire la linea di base pre-istituzione; questo è il patrimonio informativo da valorizzare fin dall’avvio del servizio.</w:t>
      </w:r>
    </w:p>
  </w:footnote>
  <w:footnote w:id="3857">
    <w:p>
      <w:pPr>
        <w:pStyle w:val="FootnoteText"/>
      </w:pPr>
      <w:r>
        <w:rPr>
          <w:rStyle w:val="FootnoteReference"/>
        </w:rPr>
        <w:footnoteRef/>
      </w:r>
      <w:r>
        <w:t xml:space="preserve"> </w:t>
      </w:r>
      <w:r>
        <w:t xml:space="preserve">Gli indicatori di struttura misurano la capacità installata del servizio: numero di sedi attivate per distretto, numero di incarichi psicologi, ore erogate, dotazione rispetto al fabbisogno stimato, copertura della popolazione per vallata.</w:t>
      </w:r>
    </w:p>
  </w:footnote>
  <w:footnote w:id="3858">
    <w:p>
      <w:pPr>
        <w:pStyle w:val="FootnoteText"/>
      </w:pPr>
      <w:r>
        <w:rPr>
          <w:rStyle w:val="FootnoteReference"/>
        </w:rPr>
        <w:footnoteRef/>
      </w:r>
      <w:r>
        <w:t xml:space="preserve"> </w:t>
      </w:r>
      <w:r>
        <w:t xml:space="preserve">Gli indicatori di processo misurano il funzionamento operativo del servizio: prese in carico per mese e per distretto, tempo di attesa al primo colloquio, numero di colloqui per percorso, tasso di invio appropriato ai CSM.</w:t>
      </w:r>
    </w:p>
  </w:footnote>
  <w:footnote w:id="3859">
    <w:p>
      <w:pPr>
        <w:pStyle w:val="FootnoteText"/>
      </w:pPr>
      <w:r>
        <w:rPr>
          <w:rStyle w:val="FootnoteReference"/>
        </w:rPr>
        <w:footnoteRef/>
      </w:r>
      <w:r>
        <w:t xml:space="preserve"> </w:t>
      </w:r>
      <w:r>
        <w:t xml:space="preserve">Gli indicatori di esito clinico misurano il beneficio per i pazienti: tasso di recupero (PHQ-9/GAD-7 sotto soglia alla chiusura), tasso di miglioramento affidabile, quota di percorsi completati.</w:t>
      </w:r>
    </w:p>
  </w:footnote>
  <w:footnote w:id="3860">
    <w:p>
      <w:pPr>
        <w:pStyle w:val="FootnoteText"/>
      </w:pPr>
      <w:r>
        <w:rPr>
          <w:rStyle w:val="FootnoteReference"/>
        </w:rPr>
        <w:footnoteRef/>
      </w:r>
      <w:r>
        <w:t xml:space="preserve"> </w:t>
      </w:r>
      <w:r>
        <w:t xml:space="preserve">Gli indicatori di esito di sistema misurano l’effetto del servizio sul resto della rete sanitaria: accessi al pronto soccorso del Presidio Parini e del Presidio Beauregard per cause psichiatriche, DDD di psicofarmaci per 1.000 ab./die, ricoveri evitabili per disturbi psichiatrici.</w:t>
      </w:r>
    </w:p>
  </w:footnote>
  <w:footnote w:id="3861">
    <w:p>
      <w:pPr>
        <w:pStyle w:val="FootnoteText"/>
      </w:pPr>
      <w:r>
        <w:rPr>
          <w:rStyle w:val="FootnoteReference"/>
        </w:rPr>
        <w:footnoteRef/>
      </w:r>
      <w:r>
        <w:t xml:space="preserve"> </w:t>
      </w:r>
      <w:r>
        <w:t xml:space="preserve">Gli indicatori economici consentono la verifica ex post delle stime: costo effettivo del servizio per paziente trattato, risparmi diretti per canale documentati dai conti dell’Azienda USL, ritorno sociale stimato su dati effettivi.</w:t>
      </w:r>
    </w:p>
  </w:footnote>
  <w:footnote w:id="3862">
    <w:p>
      <w:pPr>
        <w:pStyle w:val="FootnoteText"/>
      </w:pPr>
      <w:r>
        <w:rPr>
          <w:rStyle w:val="FootnoteReference"/>
        </w:rPr>
        <w:footnoteRef/>
      </w:r>
      <w:r>
        <w:t xml:space="preserve"> </w:t>
      </w:r>
      <w:r>
        <w:t xml:space="preserve">Gli indicatori di equità sono disaggregati per distretto (con attenzione alle vallate laterali), per fasce di età (con focus sugli over-65), per lingua (italiano/francese), verificando che la distribuzione dei benefici sia pro-equità e non concentrata nel solo fondovalle.</w:t>
      </w:r>
    </w:p>
  </w:footnote>
  <w:footnote w:id="3863">
    <w:p>
      <w:pPr>
        <w:pStyle w:val="FootnoteText"/>
      </w:pPr>
      <w:r>
        <w:rPr>
          <w:rStyle w:val="FootnoteReference"/>
        </w:rPr>
        <w:footnoteRef/>
      </w:r>
      <w:r>
        <w:t xml:space="preserve"> </w:t>
      </w:r>
      <w:r>
        <w:t xml:space="preserve">L’impostazione del dataset minimo dall’avvio del servizio è condizione per la sostituzione progressiva delle stime con grandezze effettive, e per la costruzione di evidenza locale in assenza di qualunque dato pregresso.</w:t>
      </w:r>
    </w:p>
  </w:footnote>
  <w:footnote w:id="3864">
    <w:p>
      <w:pPr>
        <w:pStyle w:val="FootnoteText"/>
      </w:pPr>
      <w:r>
        <w:rPr>
          <w:rStyle w:val="FootnoteReference"/>
        </w:rPr>
        <w:footnoteRef/>
      </w:r>
      <w:r>
        <w:t xml:space="preserve"> </w:t>
      </w:r>
      <w:r>
        <w:t xml:space="preserve">L’analisi del valore dell’informazione (EVPI) indica il beneficio atteso dalla riduzione dell’incertezza; alla piccola scala della Valle d’Aosta, anche un investimento modesto in raccolta dati ha un rapporto valore/costo molto favorevole, data l’assenza totale di dati locali.</w:t>
      </w:r>
    </w:p>
  </w:footnote>
  <w:footnote w:id="3865">
    <w:p>
      <w:pPr>
        <w:pStyle w:val="FootnoteText"/>
      </w:pPr>
      <w:r>
        <w:rPr>
          <w:rStyle w:val="FootnoteReference"/>
        </w:rPr>
        <w:footnoteRef/>
      </w:r>
      <w:r>
        <w:t xml:space="preserve"> </w:t>
      </w:r>
      <w:r>
        <w:t xml:space="preserve">Il Volume 22 applica per rimando il Reference Case dell’asse unionale fissato nel Volume 0.B, richiamandone le regole nella forma «cfr. Volume 0.B» senza ripeterle per esteso, e adotta la struttura specifica prevista dall’architettura dell’opera per l’asse unionale.</w:t>
      </w:r>
    </w:p>
  </w:footnote>
  <w:footnote w:id="3866">
    <w:p>
      <w:pPr>
        <w:pStyle w:val="FootnoteText"/>
      </w:pPr>
      <w:r>
        <w:rPr>
          <w:rStyle w:val="FootnoteReference"/>
        </w:rPr>
        <w:footnoteRef/>
      </w:r>
      <w:r>
        <w:t xml:space="preserve"> </w:t>
      </w:r>
      <w:r>
        <w:t xml:space="preserve">Il perimetro è quello dell’Unione Europea a ventisette Stati Membri, con una popolazione dell’ordine di quattrocentocinquanta milioni di abitanti, entro cui la salute resta competenza primaria degli Stati; la domanda valutativa è l’equivalente aggregato di quella regionale, sui tre piani tenuti distinti.</w:t>
      </w:r>
    </w:p>
  </w:footnote>
  <w:footnote w:id="3867">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della simulazione aggregata quali proiezioni di primo ordine.</w:t>
      </w:r>
    </w:p>
  </w:footnote>
  <w:footnote w:id="3868">
    <w:p>
      <w:pPr>
        <w:pStyle w:val="FootnoteText"/>
      </w:pPr>
      <w:r>
        <w:rPr>
          <w:rStyle w:val="FootnoteReference"/>
        </w:rPr>
        <w:footnoteRef/>
      </w:r>
      <w:r>
        <w:t xml:space="preserve"> </w:t>
      </w:r>
      <w:r>
        <w:t xml:space="preserve">Il verdetto unionale è tripartito e non aggregato; sul piano fiscale l’eterogeneità dei sistemi rende il saldo variabile fra gli Stati, sicché il giudizio aggregato è una media di condizioni diseguali; il divario di trattamento medio per la depressione grave è riportato con attribuzione a Eurofound 2025.</w:t>
      </w:r>
    </w:p>
  </w:footnote>
  <w:footnote w:id="3869">
    <w:p>
      <w:pPr>
        <w:pStyle w:val="FootnoteText"/>
      </w:pPr>
      <w:r>
        <w:rPr>
          <w:rStyle w:val="FootnoteReference"/>
        </w:rPr>
        <w:footnoteRef/>
      </w:r>
      <w:r>
        <w:t xml:space="preserve"> </w:t>
      </w:r>
      <w:r>
        <w:t xml:space="preserve">Il quadro di partenza è documentato con attribuzione: la prevalenza del disagio secondo il Flash Eurobarometro 530, i criteri di integrazione secondo l’Atlante mondiale della salute mentale 2024, la dotazione mediana di psicologi secondo la workforce europea; l’onere dei disturbi mentali oltre il quattro per cento del prodotto interno lordo è stimato dall’OCSE e dalla Commissione, e il confronto di scala con il costo del servizio è discorsivo e non costituisce un rapporto sintetico.</w:t>
      </w:r>
    </w:p>
  </w:footnote>
  <w:footnote w:id="3870">
    <w:p>
      <w:pPr>
        <w:pStyle w:val="FootnoteText"/>
      </w:pPr>
      <w:r>
        <w:rPr>
          <w:rStyle w:val="FootnoteReference"/>
        </w:rPr>
        <w:footnoteRef/>
      </w:r>
      <w:r>
        <w:t xml:space="preserve"> </w:t>
      </w:r>
      <w:r>
        <w:t xml:space="preserve">I cinque risultati chiave isolano gli esiti principali: costo-efficacia aggregata su tutti gli orizzonti, robustezza del verdetto tripartito con eterogeneità dichiarata, divario documentato quale giustificazione primaria, benchmark operativo olandese maturo con adozione cresciuta da circa un terzo a circa tre quarti dei medici, dimensionamento aggregato di primo ordine con costo a regime dell’ordine di quattro-quattro miliardi e mezzo di euro l’anno nello scenario di base.</w:t>
      </w:r>
    </w:p>
  </w:footnote>
  <w:footnote w:id="3871">
    <w:p>
      <w:pPr>
        <w:pStyle w:val="FootnoteText"/>
      </w:pPr>
      <w:r>
        <w:rPr>
          <w:rStyle w:val="FootnoteReference"/>
        </w:rPr>
        <w:footnoteRef/>
      </w:r>
      <w:r>
        <w:t xml:space="preserve"> </w:t>
      </w:r>
      <w:r>
        <w:t xml:space="preserve">Le raccomandazioni operative si articolano su tre livelli: l’orientamento degli strumenti dell’Unione nel rispetto della competenza di sostegno, l’attuazione per gradini negli Stati con il benchmark olandese quale riferimento adattabile, e il cruscotto unionale comparabile con telepsicologia assistita entro il regolamento sull’intelligenza artificiale e piani formativi a quattro modalità.</w:t>
      </w:r>
    </w:p>
  </w:footnote>
  <w:footnote w:id="3872">
    <w:p>
      <w:pPr>
        <w:pStyle w:val="FootnoteText"/>
      </w:pPr>
      <w:r>
        <w:rPr>
          <w:rStyle w:val="FootnoteReference"/>
        </w:rPr>
        <w:footnoteRef/>
      </w:r>
      <w:r>
        <w:t xml:space="preserve"> </w:t>
      </w:r>
      <w:r>
        <w:t xml:space="preserve">L’Atlante mondiale della salute mentale 2024, condotto su centoquarantaquattro paesi, misura l’integrazione mediante cinque criteri: solo il dodici per cento dei paesi li soddisfa tutti e solo il diciannove per cento dispone di interventi psicosociali nelle cure primarie; il dato è riportato con attribuzione all’Organizzazione Mondiale della Sanità.</w:t>
      </w:r>
    </w:p>
  </w:footnote>
  <w:footnote w:id="3873">
    <w:p>
      <w:pPr>
        <w:pStyle w:val="FootnoteText"/>
      </w:pPr>
      <w:r>
        <w:rPr>
          <w:rStyle w:val="FootnoteReference"/>
        </w:rPr>
        <w:footnoteRef/>
      </w:r>
      <w:r>
        <w:t xml:space="preserve"> </w:t>
      </w:r>
      <w:r>
        <w:t xml:space="preserve">Il bisogno europeo è documentato dal Flash Eurobarometro 530 — quasi un cittadino su due con problemi emotivi o psicosociali nell’ultimo anno, oltre la metà senza aiuto professionale — e dalla rilevazione Eurofound 2025 sul divario di trattamento medio intorno al settantotto virgola sei per cento per la depressione grave, con ampia variabilità fra gli Stati.</w:t>
      </w:r>
    </w:p>
  </w:footnote>
  <w:footnote w:id="3874">
    <w:p>
      <w:pPr>
        <w:pStyle w:val="FootnoteText"/>
      </w:pPr>
      <w:r>
        <w:rPr>
          <w:rStyle w:val="FootnoteReference"/>
        </w:rPr>
        <w:footnoteRef/>
      </w:r>
      <w:r>
        <w:t xml:space="preserve"> </w:t>
      </w:r>
      <w:r>
        <w:t xml:space="preserve">La dotazione mediana europea di psicologi è dell’ordine di nove virgola tre per centomila abitanti adulti, con distribuzione fortemente diseguale; la workforce è la condizione abilitante materiale dell’integrazione e la misura Stato per Stato è oggetto dell’Appendice B, con le lacune dichiarate.</w:t>
      </w:r>
    </w:p>
  </w:footnote>
  <w:footnote w:id="3875">
    <w:p>
      <w:pPr>
        <w:pStyle w:val="FootnoteText"/>
      </w:pPr>
      <w:r>
        <w:rPr>
          <w:rStyle w:val="FootnoteReference"/>
        </w:rPr>
        <w:footnoteRef/>
      </w:r>
      <w:r>
        <w:t xml:space="preserve"> </w:t>
      </w:r>
      <w:r>
        <w:t xml:space="preserve">La comunicazione COM(2023) 298 ha mobilitato risorse dell’ordine di un miliardo e duecentotrenta milioni di euro attraverso venti iniziative faro, entro la competenza di sostegno che i Trattati assegnano all’Unione; essa orienta i finanziamenti, promuove lo scambio di buone pratiche e alimenta il semestre europeo.</w:t>
      </w:r>
    </w:p>
  </w:footnote>
  <w:footnote w:id="3876">
    <w:p>
      <w:pPr>
        <w:pStyle w:val="FootnoteText"/>
      </w:pPr>
      <w:r>
        <w:rPr>
          <w:rStyle w:val="FootnoteReference"/>
        </w:rPr>
        <w:footnoteRef/>
      </w:r>
      <w:r>
        <w:t xml:space="preserve"> </w:t>
      </w:r>
      <w:r>
        <w:t xml:space="preserve">Il regolamento (UE) 2024/1689 disciplina l’intelligenza artificiale secondo un approccio basato sul rischio; lo strato digitale della valutazione è collocato interamente entro questo perimetro, quale moltiplicatore subordinato alla supervisione clinica umana con nota di cautela permanente, e la disciplina uniforme lo rende l’elemento più armonizzabile del modello.</w:t>
      </w:r>
    </w:p>
  </w:footnote>
  <w:footnote w:id="3877">
    <w:p>
      <w:pPr>
        <w:pStyle w:val="FootnoteText"/>
      </w:pPr>
      <w:r>
        <w:rPr>
          <w:rStyle w:val="FootnoteReference"/>
        </w:rPr>
        <w:footnoteRef/>
      </w:r>
      <w:r>
        <w:t xml:space="preserve"> </w:t>
      </w:r>
      <w:r>
        <w:t xml:space="preserve">La metodologia è quella del Volume 0.B, cui si rimanda integralmente; l’adattamento unionale riguarda l’unità di analisi — lo Stato Membro — e il trattamento dell’eterogeneità, con i differenziali fra Stati quali fattori dichiarati di incertezza e non medie tacite.</w:t>
      </w:r>
    </w:p>
  </w:footnote>
  <w:footnote w:id="3878">
    <w:p>
      <w:pPr>
        <w:pStyle w:val="FootnoteText"/>
      </w:pPr>
      <w:r>
        <w:rPr>
          <w:rStyle w:val="FootnoteReference"/>
        </w:rPr>
        <w:footnoteRef/>
      </w:r>
      <w:r>
        <w:t xml:space="preserve"> </w:t>
      </w:r>
      <w:r>
        <w:t xml:space="preserve">La simulazione aggregata mantiene l’architettura appaiata: Colonna A sui parametri di Chisholm e dell’Organizzazione Mondiale della Sanità, Colonna B sui parametri aggiornati di Unisanté e dell’OCSE con prevalenza nel giudizio; le due colonne sono sempre affiancate e nessun rapporto sintetico è impiegato quale affermazione positiva.</w:t>
      </w:r>
    </w:p>
  </w:footnote>
  <w:footnote w:id="3879">
    <w:p>
      <w:pPr>
        <w:pStyle w:val="FootnoteText"/>
      </w:pPr>
      <w:r>
        <w:rPr>
          <w:rStyle w:val="FootnoteReference"/>
        </w:rPr>
        <w:footnoteRef/>
      </w:r>
      <w:r>
        <w:t xml:space="preserve"> </w:t>
      </w:r>
      <w:r>
        <w:t xml:space="preserve">Il benchmark olandese colloca presso la medicina generale un professionista dedicato alla salute mentale; l’adozione è cresciuta da circa un terzo a circa tre quarti dei medici fino alla grande maggioranza degli studi, il finanziamento è assicurativo con condizioni aggiornate per il triennio 2026-2028, e la letteratura attribuita documenta una riduzione dell’ordine del quaranta per cento dei rinvii alla psichiatria specialistica.</w:t>
      </w:r>
    </w:p>
  </w:footnote>
  <w:footnote w:id="3880">
    <w:p>
      <w:pPr>
        <w:pStyle w:val="FootnoteText"/>
      </w:pPr>
      <w:r>
        <w:rPr>
          <w:rStyle w:val="FootnoteReference"/>
        </w:rPr>
        <w:footnoteRef/>
      </w:r>
      <w:r>
        <w:t xml:space="preserve"> </w:t>
      </w:r>
      <w:r>
        <w:t xml:space="preserve">La trasferibilità del benchmark è sostenuta dall’indipendenza della funzione dall’assetto di finanziamento, dalla scalabilità dimostrata e dalla parentela diretta con il modello italiano; è condizionata dalla dotazione di psicologi, dall’assetto contrattuale della medicina generale e dal disegno della remunerazione del primo livello.</w:t>
      </w:r>
    </w:p>
  </w:footnote>
  <w:footnote w:id="3881">
    <w:p>
      <w:pPr>
        <w:pStyle w:val="FootnoteText"/>
      </w:pPr>
      <w:r>
        <w:rPr>
          <w:rStyle w:val="FootnoteReference"/>
        </w:rPr>
        <w:footnoteRef/>
      </w:r>
      <w:r>
        <w:t xml:space="preserve"> </w:t>
      </w:r>
      <w:r>
        <w:t xml:space="preserve">Le ventisette schede-Stato registrano popolazione in ordine di grandezza, stato dell’integrazione e distanza dal benchmark; ove i dati di dettaglio non siano disponibili in forma comparabile la lacuna è dichiarata espressamente, secondo la regola dell’opera, e la calibrazione fine è rinviata alle appendici registrate.</w:t>
      </w:r>
    </w:p>
  </w:footnote>
  <w:footnote w:id="3882">
    <w:p>
      <w:pPr>
        <w:pStyle w:val="FootnoteText"/>
      </w:pPr>
      <w:r>
        <w:rPr>
          <w:rStyle w:val="FootnoteReference"/>
        </w:rPr>
        <w:footnoteRef/>
      </w:r>
      <w:r>
        <w:t xml:space="preserve"> </w:t>
      </w:r>
      <w:r>
        <w:t xml:space="preserve">Le schede sono compilate dalle fonti attribuite del Volume — l’Atlante mondiale della salute mentale, le rilevazioni europee sulla workforce, i documenti nazionali sui modelli di primo livello — e classificano la distanza dal benchmark in tre fasce; per otto Stati la lacuna informativa è dichiarata quale condizione del giudizio.</w:t>
      </w:r>
    </w:p>
  </w:footnote>
  <w:footnote w:id="3883">
    <w:p>
      <w:pPr>
        <w:pStyle w:val="FootnoteText"/>
      </w:pPr>
      <w:r>
        <w:rPr>
          <w:rStyle w:val="FootnoteReference"/>
        </w:rPr>
        <w:footnoteRef/>
      </w:r>
      <w:r>
        <w:t xml:space="preserve"> </w:t>
      </w:r>
      <w:r>
        <w:t xml:space="preserve">Il riepilogo comparativo ordina i ventisette Stati per distanza dal benchmark: otto a distanza ridotta, undici a distanza intermedia, otto a distanza ampia coincidente in larga parte con le dotazioni più basse e con le lacune dichiarate; la geografia del ritardo segue il gradiente della workforce e della spesa sanitaria.</w:t>
      </w:r>
    </w:p>
  </w:footnote>
  <w:footnote w:id="3884">
    <w:p>
      <w:pPr>
        <w:pStyle w:val="FootnoteText"/>
      </w:pPr>
      <w:r>
        <w:rPr>
          <w:rStyle w:val="FootnoteReference"/>
        </w:rPr>
        <w:footnoteRef/>
      </w:r>
      <w:r>
        <w:t xml:space="preserve"> </w:t>
      </w:r>
      <w:r>
        <w:t xml:space="preserve">La simulazione aggregata è condotta con il modello di Markov del Reference Case unionale sotto doppio ancoraggio; le due colonne sono sempre affiancate, la Colonna B prevale nel giudizio, ogni cifra è riportata con attribuzione e i risultati aggregati sono qualificati quali proiezioni di primo ordine.</w:t>
      </w:r>
    </w:p>
  </w:footnote>
  <w:footnote w:id="3885">
    <w:p>
      <w:pPr>
        <w:pStyle w:val="FootnoteText"/>
      </w:pPr>
      <w:r>
        <w:rPr>
          <w:rStyle w:val="FootnoteReference"/>
        </w:rPr>
        <w:footnoteRef/>
      </w:r>
      <w:r>
        <w:t xml:space="preserve"> </w:t>
      </w:r>
      <w:r>
        <w:t xml:space="preserve">Il dimensionamento aggregato proietta per proporzione demografica i tre scenari — dell’ordine di cinquantamila, settantatremila e novantottomila incarichi equivalenti — con un costo a regime nello scenario di base dell’ordine di quattro-quattro miliardi e mezzo di euro l’anno; i differenziali di costo del lavoro fra gli Stati sono fattori dichiarati di incertezza e il valore aggregato è una banda, non un punto.</w:t>
      </w:r>
    </w:p>
  </w:footnote>
  <w:footnote w:id="3886">
    <w:p>
      <w:pPr>
        <w:pStyle w:val="FootnoteText"/>
      </w:pPr>
      <w:r>
        <w:rPr>
          <w:rStyle w:val="FootnoteReference"/>
        </w:rPr>
        <w:footnoteRef/>
      </w:r>
      <w:r>
        <w:t xml:space="preserve"> </w:t>
      </w:r>
      <w:r>
        <w:t xml:space="preserve">L’onere dei disturbi mentali per le economie dell’Unione supera secondo le stime attribuite dell’OCSE e della Commissione il quattro per cento del prodotto interno lordo, oltre seicento miliardi di euro l’anno; il confronto con il costo aggregato del servizio è un confronto di scala espresso discorsivamente, non un rapporto sintetico, e il differenziale di costo per gravità resta l’argomento economico cardine.</w:t>
      </w:r>
    </w:p>
  </w:footnote>
  <w:footnote w:id="3887">
    <w:p>
      <w:pPr>
        <w:pStyle w:val="FootnoteText"/>
      </w:pPr>
      <w:r>
        <w:rPr>
          <w:rStyle w:val="FootnoteReference"/>
        </w:rPr>
        <w:footnoteRef/>
      </w:r>
      <w:r>
        <w:t xml:space="preserve"> </w:t>
      </w:r>
      <w:r>
        <w:t xml:space="preserve">I sei domini di analisi sono applicati alla lettura unionale, dal divario di trattamento medio alla trasferibilità del benchmark e alla convergenza fra Stati, tenuti distinti e non aggregati.</w:t>
      </w:r>
    </w:p>
  </w:footnote>
  <w:footnote w:id="3888">
    <w:p>
      <w:pPr>
        <w:pStyle w:val="FootnoteText"/>
      </w:pPr>
      <w:r>
        <w:rPr>
          <w:rStyle w:val="FootnoteReference"/>
        </w:rPr>
        <w:footnoteRef/>
      </w:r>
      <w:r>
        <w:t xml:space="preserve"> </w:t>
      </w:r>
      <w:r>
        <w:t xml:space="preserve">Il dominio dell’equità assume la direzione della convergenza fra Stati: la geografia del ritardo riproduce su scala continentale il gradiente documentato dai Volumi regionali fra aree centrali e interne, e gli strumenti finanziari dell’Unione possono compensare il differenziale di capacità di investimento; l’effetto distributivo è tenuto distinto dai verdetti fiscale e sanitario.</w:t>
      </w:r>
    </w:p>
  </w:footnote>
  <w:footnote w:id="3889">
    <w:p>
      <w:pPr>
        <w:pStyle w:val="FootnoteText"/>
      </w:pPr>
      <w:r>
        <w:rPr>
          <w:rStyle w:val="FootnoteReference"/>
        </w:rPr>
        <w:footnoteRef/>
      </w:r>
      <w:r>
        <w:t xml:space="preserve"> </w:t>
      </w:r>
      <w:r>
        <w:t xml:space="preserve">L’analisi dell’incertezza applica il protocollo obbligatorio del Reference Case; nell’asse unionale i parametri critici sono i differenziali di costo del lavoro, la velocità di adozione nei paesi distanti dal benchmark e la disponibilità di workforce, l’eterogeneità accresce strutturalmente l’ampiezza degli intervalli aggregati quale cautela dichiarata e le lacune informative sono fattori espliciti di incertezza.</w:t>
      </w:r>
    </w:p>
  </w:footnote>
  <w:footnote w:id="3890">
    <w:p>
      <w:pPr>
        <w:pStyle w:val="FootnoteText"/>
      </w:pPr>
      <w:r>
        <w:rPr>
          <w:rStyle w:val="FootnoteReference"/>
        </w:rPr>
        <w:footnoteRef/>
      </w:r>
      <w:r>
        <w:t xml:space="preserve"> </w:t>
      </w:r>
      <w:r>
        <w:t xml:space="preserve">Il verdetto unionale è tripartito e non aggregato: prossimo al pareggio sul piano fiscale con l’avvertenza dell’eterogeneità e della lettura per Stato, nettamente costo-efficace sul piano sanitario sotto entrambi gli ancoraggi, fortemente positivo sul piano sociale con il rilievo della riduzione del divario di trattamento e della convergenza fra Stati Membri.</w:t>
      </w:r>
    </w:p>
  </w:footnote>
  <w:footnote w:id="3891">
    <w:p>
      <w:pPr>
        <w:pStyle w:val="FootnoteText"/>
      </w:pPr>
      <w:r>
        <w:rPr>
          <w:rStyle w:val="FootnoteReference"/>
        </w:rPr>
        <w:footnoteRef/>
      </w:r>
      <w:r>
        <w:t xml:space="preserve"> </w:t>
      </w:r>
      <w:r>
        <w:t xml:space="preserve">Le raccomandazioni unionali specificano l’orientamento degli strumenti dell’Unione, l’attuazione per gradini con il benchmark adattabile e priorità agli Stati a distanza ampia con investimento formativo preliminare, il cruscotto unionale comparabile, la telepsicologia assistita entro il regolamento sull’intelligenza artificiale e il monitoraggio ex post con revisione periodica delle schede-Stato e progressiva chiusura delle lacune dichiarate.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6">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7">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ascii="Cambria" w:hAnsi="Cambria" w:cs="Cambria" w:eastAsia="Cambria"/>
        <w:sz w:val="24"/>
        <w:szCs w:val="24"/>
        <w:lang w:bidi="ar-SA" w:eastAsia="en-US" w:val="en-US"/>
      </w:rPr>
    </w:rPrDefault>
    <w:pPrDefault>
      <w:pPr>
        <w:spacing w:after="150" w:line="276" w:lineRule="auto"/>
        <w:jc w:val="both"/>
      </w:pPr>
    </w:pPrDefault>
  </w:docDefaults>
  <w:latentStyles w:count="276" w:defLockedState="0" w:defQFormat="0" w:defSemiHidden="0" w:defUIPriority="0" w:defUnhideWhenUsed="0"/>
  <w:style w:default="1" w:styleId="Normal" w:type="paragraph">
    <w:name w:val="Normal"/>
    <w:qFormat/>
    <w:pPr>
      <w:spacing w:after="160" w:before="0"/>
      <w:jc w:val="both"/>
    </w:pPr>
    <w:rPr>
      <w:rFonts w:ascii="Cambria" w:cs="Cambria" w:hAnsi="Cambria" w:eastAsia="Cambria"/>
      <w:i w:val="0"/>
      <w:color w:val="1A1A1A"/>
      <w:sz w:val="22"/>
      <w:szCs w:val="22"/>
    </w:rPr>
  </w:style>
  <w:style w:styleId="BodyText" w:type="paragraph">
    <w:name w:val="Body Text"/>
    <w:basedOn w:val="Normal"/>
    <w:link w:val="BodyTextChar"/>
    <w:qFormat/>
    <w:pPr>
      <w:spacing w:after="160" w:before="0"/>
      <w:jc w:val="both"/>
    </w:pPr>
    <w:rPr>
      <w:rFonts w:ascii="Cambria" w:hAnsi="Cambria" w:cs="Cambria" w:eastAsia="Cambria"/>
      <w:i w:val="0"/>
      <w:color w:val="1A1A1A"/>
      <w:sz w:val="22"/>
    </w:rPr>
  </w:style>
  <w:style w:customStyle="1" w:styleId="FirstParagraph" w:type="paragraph">
    <w:name w:val="First Paragraph"/>
    <w:basedOn w:val="BodyText"/>
    <w:next w:val="BodyText"/>
    <w:qFormat/>
    <w:pPr>
      <w:spacing w:after="160" w:before="0"/>
      <w:jc w:val="both"/>
    </w:pPr>
    <w:rPr>
      <w:rFonts w:ascii="Cambria" w:hAnsi="Cambria" w:cs="Cambria" w:eastAsia="Cambria"/>
      <w:i w:val="0"/>
      <w:color w:val="1A1A1A"/>
      <w:sz w:val="22"/>
    </w:rPr>
  </w:style>
  <w:style w:customStyle="1" w:styleId="Compact" w:type="paragraph">
    <w:name w:val="Compact"/>
    <w:basedOn w:val="BodyText"/>
    <w:qFormat/>
    <w:pPr>
      <w:spacing w:after="160" w:before="0"/>
      <w:jc w:val="both"/>
    </w:pPr>
    <w:rPr>
      <w:rFonts w:ascii="Cambria" w:hAnsi="Cambria" w:cs="Cambria" w:eastAsia="Cambria"/>
      <w:i w:val="0"/>
      <w:color w:val="1A1A1A"/>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hd w:val="clear" w:color="auto" w:fill="16264B"/>
      <w:spacing w:after="260" w:before="380" w:line="360" w:lineRule="auto"/>
      <w:ind w:left="180" w:right="160"/>
      <w:jc w:val="left"/>
      <w:outlineLvl w:val="0"/>
    </w:pPr>
    <w:rPr>
      <w:rFonts w:ascii="Calibri" w:hAnsi="Calibri" w:cs="Calibri" w:eastAsia="Calibri"/>
      <w:b/>
      <w:b/>
      <w:bCs/>
      <w:color w:val="FFFFFF"/>
      <w:sz w:val="38"/>
      <w:szCs w:val="32"/>
    </w:rPr>
  </w:style>
  <w:style w:styleId="Heading2" w:type="paragraph">
    <w:name w:val="Heading 2"/>
    <w:basedOn w:val="Normal"/>
    <w:next w:val="BodyText"/>
    <w:uiPriority w:val="9"/>
    <w:unhideWhenUsed/>
    <w:qFormat/>
    <w:pPr>
      <w:keepNext/>
      <w:keepLines/>
      <w:spacing w:after="120" w:before="280" w:line="276" w:lineRule="auto"/>
      <w:jc w:val="left"/>
      <w:outlineLvl w:val="1"/>
    </w:pPr>
    <w:rPr>
      <w:rFonts w:ascii="Calibri" w:hAnsi="Calibri" w:cs="Calibri" w:eastAsia="Calibri"/>
      <w:b/>
      <w:b/>
      <w:bCs/>
      <w:color w:val="16264B"/>
      <w:sz w:val="30"/>
      <w:szCs w:val="28"/>
    </w:rPr>
  </w:style>
  <w:style w:styleId="Heading3" w:type="paragraph">
    <w:name w:val="Heading 3"/>
    <w:basedOn w:val="Normal"/>
    <w:next w:val="BodyText"/>
    <w:uiPriority w:val="9"/>
    <w:unhideWhenUsed/>
    <w:qFormat/>
    <w:pPr>
      <w:keepNext/>
      <w:keepLines/>
      <w:spacing w:after="80" w:before="200" w:line="276" w:lineRule="auto"/>
      <w:jc w:val="left"/>
      <w:outlineLvl w:val="2"/>
    </w:pPr>
    <w:rPr>
      <w:rFonts w:ascii="Calibri" w:hAnsi="Calibri" w:cs="Calibri" w:eastAsia="Calibri"/>
      <w:b/>
      <w:b/>
      <w:bCs/>
      <w:color w:val="2E4272"/>
      <w:sz w:val="26"/>
      <w:szCs w:val="25"/>
    </w:rPr>
  </w:style>
  <w:style w:styleId="Heading4" w:type="paragraph">
    <w:name w:val="Heading 4"/>
    <w:basedOn w:val="Normal"/>
    <w:next w:val="BodyText"/>
    <w:uiPriority w:val="9"/>
    <w:unhideWhenUsed/>
    <w:qFormat/>
    <w:pPr>
      <w:keepNext/>
      <w:keepLines/>
      <w:spacing w:after="60" w:before="160" w:line="264" w:lineRule="auto"/>
      <w:jc w:val="left"/>
      <w:outlineLvl w:val="3"/>
    </w:pPr>
    <w:rPr>
      <w:rFonts w:ascii="Calibri" w:hAnsi="Calibri" w:cs="Calibri" w:eastAsia="Calibri"/>
      <w:b/>
      <w:bCs/>
      <w:i/>
      <w:color w:val="2E4272"/>
      <w:sz w:val="23"/>
      <w:szCs w:val="23"/>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jc w:val="left"/>
    </w:pPr>
    <w:rPr>
      <w:rFonts w:ascii="Cambria" w:hAnsi="Cambria" w:cs="Cambria" w:eastAsia="Cambria"/>
      <w:i/>
      <w:color w:val="6B7280"/>
      <w:sz w:val="19"/>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019" Type="http://schemas.openxmlformats.org/officeDocument/2006/relationships/hyperlink" Target="https://aipass.org/wp-content/uploads/2024/07/DOCUMENTO-PROGETTUALE-INTERNATENEO-SULLO-PSICOLOGO-DI-BASE.pdf" TargetMode="External"/><Relationship Id="rId1940" Type="http://schemas.openxmlformats.org/officeDocument/2006/relationships/hyperlink" Target="https://aipass.org/wp-content/uploads/2024/07/DOCUMENTO-PROGETTUALE-INTERNATENEO-SULLO-PSICOLOGO-DI-BASE.pdf#:~:text=%E2%9D%91%20Coordinamento%20e%20invio%20Nelle,in%20carico%20di%20II%20livello" TargetMode="External"/><Relationship Id="rId1929" Type="http://schemas.openxmlformats.org/officeDocument/2006/relationships/hyperlink" Target="https://aipass.org/wp-content/uploads/2024/07/DOCUMENTO-PROGETTUALE-INTERNATENEO-SULLO-PSICOLOGO-DI-BASE.pdf#:~:text=%E2%9D%91%20Informazione%20e%20orientamento%20Alcune,realt%C3%A0%20presenti%20nei%20settori%20del" TargetMode="External"/><Relationship Id="rId1928" Type="http://schemas.openxmlformats.org/officeDocument/2006/relationships/hyperlink" Target="https://aipass.org/wp-content/uploads/2024/07/DOCUMENTO-PROGETTUALE-INTERNATENEO-SULLO-PSICOLOGO-DI-BASE.pdf#:~:text=La%20condivisione%20rimanda%20all%E2%80%99opportunit%C3%A0%20di,delle%20quali%20portatrice%20di%20uno" TargetMode="External"/><Relationship Id="rId1933" Type="http://schemas.openxmlformats.org/officeDocument/2006/relationships/hyperlink" Target="https://aipass.org/wp-content/uploads/2024/07/DOCUMENTO-PROGETTUALE-INTERNATENEO-SULLO-PSICOLOGO-DI-BASE.pdf#:~:text=un%20dato%20descrittivo%2C%20ma%20come,formazione%20e" TargetMode="External"/><Relationship Id="rId2557" Type="http://schemas.openxmlformats.org/officeDocument/2006/relationships/hyperlink" Target="https://arxiv.org/pdf/2405.05658" TargetMode="External"/><Relationship Id="rId110" Type="http://schemas.openxmlformats.org/officeDocument/2006/relationships/hyperlink" Target="https://bmjopen.bmj.com/" TargetMode="External"/><Relationship Id="rId2015" Type="http://schemas.openxmlformats.org/officeDocument/2006/relationships/hyperlink" Target="https://bnews.unimib.it/blog/intelligenza-artificiale-e-salute-mentale-sfida-o-opportunit%C3%A0-per-la-psichiatria/" TargetMode="External"/><Relationship Id="rId2012" Type="http://schemas.openxmlformats.org/officeDocument/2006/relationships/hyperlink" Target="https://bnews.unimib.it/blog/intelligenza-artificiale-e-salute-mentale-sfida-o-opportunit%C3%A0-per-la-psichiatria/#:~:text=,con%20scarsa%20disponibilit%C3%A0%20di%20risorse" TargetMode="External"/><Relationship Id="rId2011" Type="http://schemas.openxmlformats.org/officeDocument/2006/relationships/hyperlink" Target="https://bnews.unimib.it/blog/intelligenza-artificiale-e-salute-mentale-sfida-o-opportunit%C3%A0-per-la-psichiatria/#:~:text=,di%20pattern%20linguistici%20e%20comportamentali" TargetMode="External"/><Relationship Id="rId1916" Type="http://schemas.openxmlformats.org/officeDocument/2006/relationships/hyperlink" Target="https://bnews.unimib.it/blog/intelligenza-artificiale-e-salute-mentale-sfida-o-opportunit%C3%A0-per-la-psichiatria/#:~:text=,di%20salute%20mentale%20degli%20individui" TargetMode="External"/><Relationship Id="rId1917" Type="http://schemas.openxmlformats.org/officeDocument/2006/relationships/hyperlink" Target="https://bnews.unimib.it/blog/intelligenza-artificiale-e-salute-mentale-sfida-o-opportunit%C3%A0-per-la-psichiatria/#:~:text=,un%20utilizzo%20efficace%20e%20sicuro" TargetMode="External"/><Relationship Id="rId2010" Type="http://schemas.openxmlformats.org/officeDocument/2006/relationships/hyperlink" Target="https://bnews.unimib.it/blog/intelligenza-artificiale-e-salute-mentale-sfida-o-opportunit%C3%A0-per-la-psichiatria/#:~:text=Bnews%20bnews,dell%27uso%20dell%27AI%20nella%20diagnosi%2C" TargetMode="External"/><Relationship Id="rId1911" Type="http://schemas.openxmlformats.org/officeDocument/2006/relationships/hyperlink" Target="https://bnews.unimib.it/blog/intelligenza-artificiale-e-salute-mentale-sfida-o-opportunit%C3%A0-per-la-psichiatria/#:~:text=L%E2%80%99intelligenza%20artificiale%20sta%20cambiando%20il,pi%C3%B9%20umano%20esiste%3A%20la%20mente" TargetMode="External"/><Relationship Id="rId1949" Type="http://schemas.openxmlformats.org/officeDocument/2006/relationships/hyperlink" Target="https://bnews.unimib.it/blog/intelligenza-artificiale-e-salute-mentale-sfida-o-opportunit%C3%A0-per-la-psichiatria/#:~:text=Ne%20parliamo%20con%20il%20Digital,nuove%20tecnologie%20applicate%20alla%20psichiatria" TargetMode="External"/><Relationship Id="rId1915" Type="http://schemas.openxmlformats.org/officeDocument/2006/relationships/hyperlink" Target="https://bnews.unimib.it/blog/intelligenza-artificiale-e-salute-mentale-sfida-o-opportunit%C3%A0-per-la-psichiatria/#:~:text=Un%20altro%20grande%20aiuto%20arriva,dei%20contesti%20di%20vita%20reali" TargetMode="External"/><Relationship Id="rId1913" Type="http://schemas.openxmlformats.org/officeDocument/2006/relationships/hyperlink" Target="https://bnews.unimib.it/blog/intelligenza-artificiale-e-salute-mentale-sfida-o-opportunit%C3%A0-per-la-psichiatria/#:~:text=algoritmi%20per%20l%E2%80%99analisi%2C%20ad%20esempio%2C,di%20pattern%20linguistici%20e%20comportamentali" TargetMode="External"/><Relationship Id="rId1912" Type="http://schemas.openxmlformats.org/officeDocument/2006/relationships/hyperlink" Target="https://bnews.unimib.it/blog/intelligenza-artificiale-e-salute-mentale-sfida-o-opportunit%C3%A0-per-la-psichiatria/#:~:text=mentale%20non%20fa%20eccezione,pi%C3%B9%20umano%20esiste%3A%20la%20mente" TargetMode="External"/><Relationship Id="rId1914" Type="http://schemas.openxmlformats.org/officeDocument/2006/relationships/hyperlink" Target="https://bnews.unimib.it/blog/intelligenza-artificiale-e-salute-mentale-sfida-o-opportunit%C3%A0-per-la-psichiatria/#:~:text=tecniche%20di%20apprendimento%20automatico%20%E2%80%93,o%20le%20caratteristiche%20della%20voce" TargetMode="External"/><Relationship Id="rId2027" Type="http://schemas.openxmlformats.org/officeDocument/2006/relationships/hyperlink" Target="https://clinicaltrials.gov/study/NCT06808555" TargetMode="External"/><Relationship Id="rId1944" Type="http://schemas.openxmlformats.org/officeDocument/2006/relationships/hyperlink" Target="https://clinicaltrials.gov/study/NCT06808555#:~:text=Pai.ACT%3A%20AI,to%20offer%20personalized%20psychological" TargetMode="External"/><Relationship Id="rId279" Type="http://schemas.openxmlformats.org/officeDocument/2006/relationships/hyperlink" Target="https://doi.org/10.1001/jama.288.22.2836" TargetMode="External"/><Relationship Id="rId289" Type="http://schemas.openxmlformats.org/officeDocument/2006/relationships/hyperlink" Target="https://doi.org/10.1002/14651858.CD000259.pub3" TargetMode="External"/><Relationship Id="rId294" Type="http://schemas.openxmlformats.org/officeDocument/2006/relationships/hyperlink" Target="https://doi.org/10.1002/14651858.CD002213.pub3" TargetMode="External"/><Relationship Id="rId1009" Type="http://schemas.openxmlformats.org/officeDocument/2006/relationships/hyperlink" Target="https://doi.org/10.1002/cncr.24561" TargetMode="External"/><Relationship Id="rId278" Type="http://schemas.openxmlformats.org/officeDocument/2006/relationships/hyperlink" Target="https://doi.org/10.1016/S2215-0366(16)30024-4" TargetMode="External"/><Relationship Id="rId292" Type="http://schemas.openxmlformats.org/officeDocument/2006/relationships/hyperlink" Target="https://doi.org/10.1016/j.jvb.2007.04.005" TargetMode="External"/><Relationship Id="rId280" Type="http://schemas.openxmlformats.org/officeDocument/2006/relationships/hyperlink" Target="https://doi.org/10.1136/bmj.39489.470347.AD" TargetMode="External"/><Relationship Id="rId1006" Type="http://schemas.openxmlformats.org/officeDocument/2006/relationships/hyperlink" Target="https://doi.org/10.1787/16668f16-en" TargetMode="External"/><Relationship Id="rId293" Type="http://schemas.openxmlformats.org/officeDocument/2006/relationships/hyperlink" Target="https://doi.org/10.2196/jmir.4807" TargetMode="External"/><Relationship Id="rId296" Type="http://schemas.openxmlformats.org/officeDocument/2006/relationships/hyperlink" Target="https://doi.org/10.2307/249008" TargetMode="External"/><Relationship Id="rId121" Type="http://schemas.openxmlformats.org/officeDocument/2006/relationships/hyperlink" Target="https://eur-lex.europa.eu/" TargetMode="External"/><Relationship Id="rId2088" Type="http://schemas.openxmlformats.org/officeDocument/2006/relationships/hyperlink" Target="https://finance.yahoo.com/news/mounting-evidence-mental-health-collaborative-114800646.html" TargetMode="External"/><Relationship Id="rId2069" Type="http://schemas.openxmlformats.org/officeDocument/2006/relationships/hyperlink" Target="https://finance.yahoo.com/news/mounting-evidence-mental-health-collaborative-114800646.html#:~:text=Mounting%20Evidence%20that%20use%20of,GLOBE%20NEWSWIRE%29" TargetMode="External"/><Relationship Id="rId105" Type="http://schemas.openxmlformats.org/officeDocument/2006/relationships/hyperlink" Target="https://health.ec.europa.eu/non-communicable-diseases/mental-health_it" TargetMode="External"/><Relationship Id="rId2029" Type="http://schemas.openxmlformats.org/officeDocument/2006/relationships/hyperlink" Target="https://ipsico.it/news/lintelligenza-artificiale-in-psicologia-e-psichiatria/" TargetMode="External"/><Relationship Id="rId1948" Type="http://schemas.openxmlformats.org/officeDocument/2006/relationships/hyperlink" Target="https://ipsico.it/news/lintelligenza-artificiale-in-psicologia-e-psichiatria/#:~:text=Firenze%20ipsico,come%20nel%20caso%20della" TargetMode="External"/><Relationship Id="rId1010" Type="http://schemas.openxmlformats.org/officeDocument/2006/relationships/hyperlink" Target="https://jamanetwork.com" TargetMode="External"/><Relationship Id="rId120" Type="http://schemas.openxmlformats.org/officeDocument/2006/relationships/hyperlink" Target="https://jamanetwork.com/" TargetMode="External"/><Relationship Id="rId2558" Type="http://schemas.openxmlformats.org/officeDocument/2006/relationships/hyperlink" Target="https://journals.sagepub.com/doi/abs/10.1177/2167702617691560" TargetMode="External"/><Relationship Id="rId2035" Type="http://schemas.openxmlformats.org/officeDocument/2006/relationships/hyperlink" Target="https://learn.hms.harvard.edu/insights/all-insights/how-artificial-intelligence-disrupting-medicine-and-what-it-means-physicians" TargetMode="External"/><Relationship Id="rId1965" Type="http://schemas.openxmlformats.org/officeDocument/2006/relationships/hyperlink" Target="https://learn.hms.harvard.edu/insights/all-insights/how-artificial-intelligence-disrupting-medicine-and-what-it-means-physicians#:~:text=How%20Artificial%20Intelligence%20is%20Disrupting,ensure%20its%20accuracy%2C%20safety%2C" TargetMode="External"/><Relationship Id="rId2022" Type="http://schemas.openxmlformats.org/officeDocument/2006/relationships/hyperlink" Target="https://mtppsychiatry.com/collaborative-care-2-0-pmhnps-leading-the-ai-integrated-model/" TargetMode="External"/><Relationship Id="rId2004" Type="http://schemas.openxmlformats.org/officeDocument/2006/relationships/hyperlink" Target="https://mtppsychiatry.com/collaborative-care-2-0-pmhnps-leading-the-ai-integrated-model/#:~:text=As%20collaborative%20care%20evolves%20through,platforms%20can%20assess%20symptom%20severity" TargetMode="External"/><Relationship Id="rId2001" Type="http://schemas.openxmlformats.org/officeDocument/2006/relationships/hyperlink" Target="https://mtppsychiatry.com/collaborative-care-2-0-pmhnps-leading-the-ai-integrated-model/#:~:text=Enter%20AI,not%20merely%20efficient%E2%80%94it%20is%20intelligent" TargetMode="External"/><Relationship Id="rId1935" Type="http://schemas.openxmlformats.org/officeDocument/2006/relationships/hyperlink" Target="https://mtppsychiatry.com/collaborative-care-2-0-pmhnps-leading-the-ai-integrated-model/#:~:text=Furthermore%2C%20PMHNPs%20can%20now%20manage,about%20the%20delivery%20of%20care" TargetMode="External"/><Relationship Id="rId1998" Type="http://schemas.openxmlformats.org/officeDocument/2006/relationships/hyperlink" Target="https://mtppsychiatry.com/collaborative-care-2-0-pmhnps-leading-the-ai-integrated-model/#:~:text=In%20contrast%20to%20conventional%20models,indicates%20a%20potential%20psychotic%20episode" TargetMode="External"/><Relationship Id="rId1997" Type="http://schemas.openxmlformats.org/officeDocument/2006/relationships/hyperlink" Target="https://mtppsychiatry.com/collaborative-care-2-0-pmhnps-leading-the-ai-integrated-model/#:~:text=In%20the%20swiftly%20changing%20domain,diagnostics%2C%20and%20boost%20patient%20engagement" TargetMode="External"/><Relationship Id="rId2003" Type="http://schemas.openxmlformats.org/officeDocument/2006/relationships/hyperlink" Target="https://mtppsychiatry.com/collaborative-care-2-0-pmhnps-leading-the-ai-integrated-model/#:~:text=PMHNPs%20are%20particularly%20well,both%20urban%20and%20underserved%20communities" TargetMode="External"/><Relationship Id="rId1937" Type="http://schemas.openxmlformats.org/officeDocument/2006/relationships/hyperlink" Target="https://mtppsychiatry.com/collaborative-care-2-0-pmhnps-leading-the-ai-integrated-model/#:~:text=The%20Evolution%20of%20Collaborative%20Care,in%20Mental%20Health" TargetMode="External"/><Relationship Id="rId1936" Type="http://schemas.openxmlformats.org/officeDocument/2006/relationships/hyperlink" Target="https://mtppsychiatry.com/collaborative-care-2-0-pmhnps-leading-the-ai-integrated-model/#:~:text=The%20incorporation%20of%20AI%20into,smooth%20coordination%20among%20healthcare%20providers" TargetMode="External"/><Relationship Id="rId1932" Type="http://schemas.openxmlformats.org/officeDocument/2006/relationships/hyperlink" Target="https://mtppsychiatry.com/collaborative-care-2-0-pmhnps-leading-the-ai-integrated-model/#:~:text=advancements%20facilitate%20early%20symptom%20identification%2C,indicates%20a%20potential%20psychotic%20episode" TargetMode="External"/><Relationship Id="rId1934" Type="http://schemas.openxmlformats.org/officeDocument/2006/relationships/hyperlink" Target="https://mtppsychiatry.com/collaborative-care-2-0-pmhnps-leading-the-ai-integrated-model/#:~:text=and%20streamline%20workflows%2C%20artificial%20intelligence,not%20merely%20efficient%E2%80%94it%20is%20intelligent" TargetMode="External"/><Relationship Id="rId2000" Type="http://schemas.openxmlformats.org/officeDocument/2006/relationships/hyperlink" Target="https://mtppsychiatry.com/collaborative-care-2-0-pmhnps-leading-the-ai-integrated-model/#:~:text=in%20hybrid%20care%20models,with%20accuracy%2C%20speed%2C%20and%20scalability" TargetMode="External"/><Relationship Id="rId1999" Type="http://schemas.openxmlformats.org/officeDocument/2006/relationships/hyperlink" Target="https://mtppsychiatry.com/collaborative-care-2-0-pmhnps-leading-the-ai-integrated-model/#:~:text=sensors%2C%20or%20analyze%20EMR%20data,titration%20strategies" TargetMode="External"/><Relationship Id="rId2013" Type="http://schemas.openxmlformats.org/officeDocument/2006/relationships/hyperlink" Target="https://mtppsychiatry.com/collaborative-care-2-0-pmhnps-leading-the-ai-integrated-model/#:~:text=this%20new%20frontier%20utilizes%20tools,indicates%20a%20potential%20psychotic%20episode" TargetMode="External"/><Relationship Id="rId2005" Type="http://schemas.openxmlformats.org/officeDocument/2006/relationships/hyperlink" Target="https://mtppsychiatry.com/collaborative-care-2-0-pmhnps-leading-the-ai-integrated-model/#:~:text=through%20speech%20recognition%2C%20identify%20medication,titration%20strategies" TargetMode="External"/><Relationship Id="rId2572" Type="http://schemas.openxmlformats.org/officeDocument/2006/relationships/hyperlink" Target="https://opsonline.it/psychoinforma/medici-e-psicologi-insieme-meno-farmaci-e-piu-attenzione-al-paziente/" TargetMode="External"/><Relationship Id="rId2042" Type="http://schemas.openxmlformats.org/officeDocument/2006/relationships/hyperlink" Target="https://pacja.org.au/article/77927-how-we-got-here-a-contextual-review-of-the-better-access-initiative" TargetMode="External"/><Relationship Id="rId1987" Type="http://schemas.openxmlformats.org/officeDocument/2006/relationships/hyperlink" Target="https://pacja.org.au/article/77927-how-we-got-here-a-contextual-review-of-the-better-access-initiative#:~:text=,services%20through%20Better%20Access" TargetMode="External"/><Relationship Id="rId2568" Type="http://schemas.openxmlformats.org/officeDocument/2006/relationships/hyperlink" Target="https://pmc.ncbi.nlm.nih.gov/articles/PMC10730549/" TargetMode="External"/><Relationship Id="rId2034" Type="http://schemas.openxmlformats.org/officeDocument/2006/relationships/hyperlink" Target="https://pmc.ncbi.nlm.nih.gov/articles/PMC12386139/" TargetMode="External"/><Relationship Id="rId1964" Type="http://schemas.openxmlformats.org/officeDocument/2006/relationships/hyperlink" Target="https://pmc.ncbi.nlm.nih.gov/articles/PMC12386139/#:~:text=Partners%20in%20Practice%3A%20Primary%20Care,centered%20design%20that" TargetMode="External"/><Relationship Id="rId2028" Type="http://schemas.openxmlformats.org/officeDocument/2006/relationships/hyperlink" Target="https://pmc.ncbi.nlm.nih.gov/articles/PMC12649690/" TargetMode="External"/><Relationship Id="rId1947" Type="http://schemas.openxmlformats.org/officeDocument/2006/relationships/hyperlink" Target="https://pmc.ncbi.nlm.nih.gov/articles/PMC12649690/#:~:text=NIH%20pmc,promoting%20mental%20health%20adjustment%2C" TargetMode="External"/><Relationship Id="rId2548" Type="http://schemas.openxmlformats.org/officeDocument/2006/relationships/hyperlink" Target="https://pmc.ncbi.nlm.nih.gov/articles/PMC3248909/" TargetMode="External"/><Relationship Id="rId2577" Type="http://schemas.openxmlformats.org/officeDocument/2006/relationships/hyperlink" Target="https://pmc.ncbi.nlm.nih.gov/articles/PMC4655594/" TargetMode="External"/><Relationship Id="rId2549" Type="http://schemas.openxmlformats.org/officeDocument/2006/relationships/hyperlink" Target="https://pmc.ncbi.nlm.nih.gov/articles/PMC5645903/" TargetMode="External"/><Relationship Id="rId2046" Type="http://schemas.openxmlformats.org/officeDocument/2006/relationships/hyperlink" Target="https://pmc.ncbi.nlm.nih.gov/articles/PMC6953542/" TargetMode="External"/><Relationship Id="rId1996" Type="http://schemas.openxmlformats.org/officeDocument/2006/relationships/hyperlink" Target="https://pmc.ncbi.nlm.nih.gov/articles/PMC6953542/#:~:text=Leveraging%20collaborative%20care%20to%20improve,in%20diverse%20primary%20care%20settings" TargetMode="External"/><Relationship Id="rId2043" Type="http://schemas.openxmlformats.org/officeDocument/2006/relationships/hyperlink" Target="https://pmc.ncbi.nlm.nih.gov/articles/PMC7571905/" TargetMode="External"/><Relationship Id="rId1988" Type="http://schemas.openxmlformats.org/officeDocument/2006/relationships/hyperlink" Target="https://pmc.ncbi.nlm.nih.gov/articles/PMC7571905/#:~:text=Clinic%20pmc,treatment%20services%20to%20Australian%20adults" TargetMode="External"/><Relationship Id="rId2559" Type="http://schemas.openxmlformats.org/officeDocument/2006/relationships/hyperlink" Target="https://pmc.ncbi.nlm.nih.gov/articles/PMC7966858/" TargetMode="External"/><Relationship Id="rId2037" Type="http://schemas.openxmlformats.org/officeDocument/2006/relationships/hyperlink" Target="https://portale.fnomceo.it/corso-fad-intro-allintelligenza-artificiale-per-gli-operatori-sanitari/" TargetMode="External"/><Relationship Id="rId1969" Type="http://schemas.openxmlformats.org/officeDocument/2006/relationships/hyperlink" Target="https://portale.fnomceo.it/corso-fad-intro-allintelligenza-artificiale-per-gli-operatori-sanitari/#:~:text=,le%20professioni%20sanitarie%2C%20pensato" TargetMode="External"/><Relationship Id="rId2579" Type="http://schemas.openxmlformats.org/officeDocument/2006/relationships/hyperlink" Target="https://psychiatryonline.org/doi/10.1176/appi.ps.54.5.698" TargetMode="External"/><Relationship Id="rId2091" Type="http://schemas.openxmlformats.org/officeDocument/2006/relationships/hyperlink" Target="https://pubmed.ncbi.nlm.nih.gov/37870543/" TargetMode="External"/><Relationship Id="rId2079" Type="http://schemas.openxmlformats.org/officeDocument/2006/relationships/hyperlink" Target="https://pubmed.ncbi.nlm.nih.gov/37870543/#:~:text=PubMed%20pubmed.ncbi.nlm.nih.gov%20%20Difference,patients%20in%20collaborative%20care" TargetMode="External"/><Relationship Id="rId2021" Type="http://schemas.openxmlformats.org/officeDocument/2006/relationships/hyperlink" Target="https://pure.uva.nl/ws/files/219139956/Mental_Health_Europe_AI_report.pdf" TargetMode="External"/><Relationship Id="rId1931" Type="http://schemas.openxmlformats.org/officeDocument/2006/relationships/hyperlink" Target="https://pure.uva.nl/ws/files/219139956/Mental_Health_Europe_AI_report.pdf#:~:text=AI%20systems%20offer%20significant%20poten,popula%20ons%2C%20and%20reducing" TargetMode="External"/><Relationship Id="rId2020" Type="http://schemas.openxmlformats.org/officeDocument/2006/relationships/hyperlink" Target="https://robertavilla.substack.com/p/75-salute-mentale-e-intelligenza" TargetMode="External"/><Relationship Id="rId1930" Type="http://schemas.openxmlformats.org/officeDocument/2006/relationships/hyperlink" Target="https://robertavilla.substack.com/p/75-salute-mentale-e-intelligenza#:~:text=,latente%20e%20di%20predire" TargetMode="External"/><Relationship Id="rId277" Type="http://schemas.openxmlformats.org/officeDocument/2006/relationships/hyperlink" Target="https://roiinstitute.net/" TargetMode="External"/><Relationship Id="rId2085" Type="http://schemas.openxmlformats.org/officeDocument/2006/relationships/hyperlink" Target="https://science.anu.edu.au/news-events/news/digital-mental-health-programs-are-inexpensive-and-innovative-do-they-work" TargetMode="External"/><Relationship Id="rId2070" Type="http://schemas.openxmlformats.org/officeDocument/2006/relationships/hyperlink" Target="https://science.anu.edu.au/news-events/news/digital-mental-health-programs-are-inexpensive-and-innovative-do-they-work#:~:text=A%202020%20review%20of%20the,common%20mental%20health%20conditions%20benefited" TargetMode="External"/><Relationship Id="rId2081" Type="http://schemas.openxmlformats.org/officeDocument/2006/relationships/hyperlink" Target="https://science.anu.edu.au/news-events/news/digital-mental-health-programs-are-inexpensive-and-innovative-do-they-work#:~:text=Similarly%2C%20while%20AI%20chatbots%20have,as%20a%20substitute%20for%20therapy" TargetMode="External"/><Relationship Id="rId2062" Type="http://schemas.openxmlformats.org/officeDocument/2006/relationships/hyperlink" Target="https://science.anu.edu.au/news-events/news/digital-mental-health-programs-are-inexpensive-and-innovative-do-they-work#:~:text=health%20supports%20rather%20than%20as,standalone%20interventions" TargetMode="External"/><Relationship Id="rId2080" Type="http://schemas.openxmlformats.org/officeDocument/2006/relationships/hyperlink" Target="https://science.anu.edu.au/news-events/news/digital-mental-health-programs-are-inexpensive-and-innovative-do-they-work#:~:text=will%20be%20missing%2042,needed%20to%20meet%20the%20demand" TargetMode="External"/><Relationship Id="rId2575" Type="http://schemas.openxmlformats.org/officeDocument/2006/relationships/hyperlink" Target="https://siepr.stanford.edu/publications/policy-brief/how-better-access-mental-health-care-can-reduce-crime" TargetMode="External"/><Relationship Id="rId282" Type="http://schemas.openxmlformats.org/officeDocument/2006/relationships/hyperlink" Target="https://topol.hee.nhs.uk/" TargetMode="External"/><Relationship Id="rId2089" Type="http://schemas.openxmlformats.org/officeDocument/2006/relationships/hyperlink" Target="https://vb.nweurope.eu/media/5055/10-vlijter-002.pdf" TargetMode="External"/><Relationship Id="rId2076" Type="http://schemas.openxmlformats.org/officeDocument/2006/relationships/hyperlink" Target="https://vb.nweurope.eu/media/5055/10-vlijter-002.pdf#:~:text=%28e.g.%20Menzis%29%20o%2010,GGZ%20%28GPs" TargetMode="External"/><Relationship Id="rId2075" Type="http://schemas.openxmlformats.org/officeDocument/2006/relationships/hyperlink" Target="https://vb.nweurope.eu/media/5055/10-vlijter-002.pdf#:~:text=Legal%20and%20policy%20framework%20,patients%20returns%20within%202%20years" TargetMode="External"/><Relationship Id="rId2078" Type="http://schemas.openxmlformats.org/officeDocument/2006/relationships/hyperlink" Target="https://vb.nweurope.eu/media/5055/10-vlijter-002.pdf#:~:text=o%20Clear%20costs%20reductions%20in,%E2%96%AB%20EMH" TargetMode="External"/><Relationship Id="rId2024" Type="http://schemas.openxmlformats.org/officeDocument/2006/relationships/hyperlink" Target="https://www-ggz-acc.azurewebsites.net/getmedia/46e02dab-717a-4a9a-a0a6-83366e7c0be0/ggznl-Factsheet-eHealth-English_14052013.pdf" TargetMode="External"/><Relationship Id="rId1939" Type="http://schemas.openxmlformats.org/officeDocument/2006/relationships/hyperlink" Target="https://www-ggz-acc.azurewebsites.net/getmedia/46e02dab-717a-4a9a-a0a6-83366e7c0be0/ggznl-Factsheet-eHealth-English_14052013.pdf#:~:text=%5BPDF%5D%20E,Mental%20Health" TargetMode="External"/><Relationship Id="rId2653" Type="http://schemas.openxmlformats.org/officeDocument/2006/relationships/hyperlink" Target="https://www.2minutemedicine.com/mental-health-chatbot-woebot-shown-to-help-with-postpartum-depression-and-anxiety-2/" TargetMode="External"/><Relationship Id="rId2645" Type="http://schemas.openxmlformats.org/officeDocument/2006/relationships/hyperlink" Target="https://www.2minutemedicine.com/mental-health-chatbot-woebot-shown-to-help-with-postpartum-depression-and-anxiety-2/#:~:text=Key%20Points%3A%201,sizes%20across%20multiple%20psychometric%20scales" TargetMode="External"/><Relationship Id="rId2646" Type="http://schemas.openxmlformats.org/officeDocument/2006/relationships/hyperlink" Target="https://www.2minutemedicine.com/mental-health-chatbot-woebot-shown-to-help-with-postpartum-depression-and-anxiety-2/#:~:text=assigned%20to%20either%20a%20six,was%20well%20tolerated%2C%20with%20no" TargetMode="External"/><Relationship Id="rId2647" Type="http://schemas.openxmlformats.org/officeDocument/2006/relationships/hyperlink" Target="https://www.2minutemedicine.com/mental-health-chatbot-woebot-shown-to-help-with-postpartum-depression-and-anxiety-2/#:~:text=scores%20also%20improved%20meaningfully,health%20support%20to%20underserved%20populations" TargetMode="External"/><Relationship Id="rId2040" Type="http://schemas.openxmlformats.org/officeDocument/2006/relationships/hyperlink" Target="https://www.abc.net.au/news/2024-05-16/digital-mental-health-services-falls-short-say-psych-groups/103852996" TargetMode="External"/><Relationship Id="rId1993" Type="http://schemas.openxmlformats.org/officeDocument/2006/relationships/hyperlink" Target="https://www.abc.net.au/news/2024-05-16/digital-mental-health-services-falls-short-say-psych-groups/103852996#:~:text=Access%20to%20up%20to%2010,the%20new%20platform%20could%20provide" TargetMode="External"/><Relationship Id="rId1994" Type="http://schemas.openxmlformats.org/officeDocument/2006/relationships/hyperlink" Target="https://www.abc.net.au/news/2024-05-16/digital-mental-health-services-falls-short-say-psych-groups/103852996#:~:text=Mental%20health%20groups%20say%20the,workers%20was%20more%20urgently%20needed" TargetMode="External"/><Relationship Id="rId1992" Type="http://schemas.openxmlformats.org/officeDocument/2006/relationships/hyperlink" Target="https://www.abc.net.au/news/2024-05-16/digital-mental-health-services-falls-short-say-psych-groups/103852996#:~:text=The%20federal%20government%20says%20it,experiencing%20temporary%20periods%20of%20distress" TargetMode="External"/><Relationship Id="rId1978" Type="http://schemas.openxmlformats.org/officeDocument/2006/relationships/hyperlink" Target="https://www.abc.net.au/news/2024-05-16/digital-mental-health-services-falls-short-say-psych-groups/103852996#:~:text=The%20government%20has%20been%20keen,by%20humans%2C%20not%20artificial%20intelligence" TargetMode="External"/><Relationship Id="rId1995" Type="http://schemas.openxmlformats.org/officeDocument/2006/relationships/hyperlink" Target="https://www.abc.net.au/news/2024-05-16/digital-mental-health-services-falls-short-say-psych-groups/103852996#:~:text=potential%20services%20the%20new%20platform,could%20provide" TargetMode="External"/><Relationship Id="rId2087" Type="http://schemas.openxmlformats.org/officeDocument/2006/relationships/hyperlink" Target="https://www.advisory.com/sponsored/collaborative-care-model" TargetMode="External"/><Relationship Id="rId2068" Type="http://schemas.openxmlformats.org/officeDocument/2006/relationships/hyperlink" Target="https://www.advisory.com/sponsored/collaborative-care-model#:~:text=How%20the%20collaborative%20care%20model," TargetMode="External"/><Relationship Id="rId112" Type="http://schemas.openxmlformats.org/officeDocument/2006/relationships/hyperlink" Target="https://www.agenas.gov.it/" TargetMode="External"/><Relationship Id="rId286" Type="http://schemas.openxmlformats.org/officeDocument/2006/relationships/hyperlink" Target="https://www.agenas.gov.it/aree-tematiche/ecm" TargetMode="External"/><Relationship Id="rId2026" Type="http://schemas.openxmlformats.org/officeDocument/2006/relationships/hyperlink" Target="https://www.ahadata.com/system/files/media/file/2024/04/2023-AHA-Annual-Survey-Information-Technology-Supplement.pdf" TargetMode="External"/><Relationship Id="rId1942" Type="http://schemas.openxmlformats.org/officeDocument/2006/relationships/hyperlink" Target="https://www.ahadata.com/system/files/media/file/2024/04/2023-AHA-Annual-Survey-Information-Technology-Supplement.pdf#:~:text=,d" TargetMode="External"/><Relationship Id="rId104" Type="http://schemas.openxmlformats.org/officeDocument/2006/relationships/hyperlink" Target="https://www.aifa.gov.it/rapporti-osmed" TargetMode="External"/><Relationship Id="rId2039" Type="http://schemas.openxmlformats.org/officeDocument/2006/relationships/hyperlink" Target="https://www.annfammed.org/content/22/6/570" TargetMode="External"/><Relationship Id="rId1971" Type="http://schemas.openxmlformats.org/officeDocument/2006/relationships/hyperlink" Target="https://www.annfammed.org/content/22/6/570#:~:text=Bridging%20the%20Gap%3A%20Transforming%20Primary,care%20residents%2C%20and%20practicing" TargetMode="External"/><Relationship Id="rId2564" Type="http://schemas.openxmlformats.org/officeDocument/2006/relationships/hyperlink" Target="https://www.businesswire.com/news/home/20240205938200/en/Limbic-AI-Increases-Mental-Health-Access-for-Minority-Groups-Finds-Nature-Medicine-Peer-Reviewed-Study" TargetMode="External"/><Relationship Id="rId290" Type="http://schemas.openxmlformats.org/officeDocument/2006/relationships/hyperlink" Target="https://www.cambridge.org/9780521663632" TargetMode="External"/><Relationship Id="rId288" Type="http://schemas.openxmlformats.org/officeDocument/2006/relationships/hyperlink" Target="https://www.ccl.org/" TargetMode="External"/><Relationship Id="rId2652" Type="http://schemas.openxmlformats.org/officeDocument/2006/relationships/hyperlink" Target="https://www.cheshireandmerseyside.nhs.uk/posts/innovative-ai-technology-streamlines-mental-health-referral-and-assessment-process-to-help-guide-people-to-the-right-support/" TargetMode="External"/><Relationship Id="rId2641" Type="http://schemas.openxmlformats.org/officeDocument/2006/relationships/hyperlink" Target="https://www.cheshireandmerseyside.nhs.uk/posts/innovative-ai-technology-streamlines-mental-health-referral-and-assessment-process-to-help-guide-people-to-the-right-support/#:~:text=%E2%80%98Limbic%20%E2%80%98AI%E2%80%99%20assists%20psychological%20therapists,services%20they%20require%20much%20quicker" TargetMode="External"/><Relationship Id="rId2640" Type="http://schemas.openxmlformats.org/officeDocument/2006/relationships/hyperlink" Target="https://www.cheshireandmerseyside.nhs.uk/posts/innovative-ai-technology-streamlines-mental-health-referral-and-assessment-process-to-help-guide-people-to-the-right-support/#:~:text=mental%20health%20challenges%2C%20including%20anxiety,and%20depression" TargetMode="External"/><Relationship Id="rId2642" Type="http://schemas.openxmlformats.org/officeDocument/2006/relationships/hyperlink" Target="https://www.cheshireandmerseyside.nhs.uk/posts/innovative-ai-technology-streamlines-mental-health-referral-and-assessment-process-to-help-guide-people-to-the-right-support/#:~:text=people%20looking%20for%20support%20are,services%20they%20require%20much%20quicker" TargetMode="External"/><Relationship Id="rId2644" Type="http://schemas.openxmlformats.org/officeDocument/2006/relationships/hyperlink" Target="https://www.cheshireandmerseyside.nhs.uk/posts/innovative-ai-technology-streamlines-mental-health-referral-and-assessment-process-to-help-guide-people-to-the-right-support/#:~:text=to%20a%20patient%E2%80%99s%20mental%20health,services%20they%20require%20much%20quicker" TargetMode="External"/><Relationship Id="rId2017"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Relationship Id="rId1922"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text=The%20overall%20wait%20time%20to,not%20require%20psychiatric%20consultation%20later" TargetMode="External"/><Relationship Id="rId1920"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text=This%20project%20recruited%20patients%20on,with%20the%20artificial%20intelligence%20recommendations" TargetMode="External"/><Relationship Id="rId1927"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text=treatment%20intensity%20and%20psychotherapy%20program,not%20require%20psychiatric%20consultation%20later" TargetMode="External"/><Relationship Id="rId1923"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text=weeks%20after%20completing%20the%20triage,not%20require%20psychiatric%20consultation%20later" TargetMode="External"/><Relationship Id="rId285" Type="http://schemas.openxmlformats.org/officeDocument/2006/relationships/hyperlink" Target="https://www.consiglio.puglia.it/" TargetMode="External"/><Relationship Id="rId2014" Type="http://schemas.openxmlformats.org/officeDocument/2006/relationships/hyperlink" Target="https://www.corriere.it/salute/figli-genitori/25_ottobre_10/salute-mentale-il-63-dei-giovani-si-rivolge-all-intelligenza-artificiale-quando-ha-una-difficolta-emotiva-93418828-872f-4dd5-b260-70bd51bf0xlk.shtml" TargetMode="External"/><Relationship Id="rId1910" Type="http://schemas.openxmlformats.org/officeDocument/2006/relationships/hyperlink" Target="https://www.corriere.it/salute/figli-genitori/25_ottobre_10/salute-mentale-il-63-dei-giovani-si-rivolge-all-intelligenza-artificiale-quando-ha-una-difficolta-emotiva-93418828-872f-4dd5-b260-70bd51bf0xlk.shtml#:~:text=%C2%ABEstremizzando%2C%20l%E2%80%99AI%20sta%20rappresentando%20un,quindi%20fare%20informazione%20e%20formazione%C2%BB" TargetMode="External"/><Relationship Id="rId2009" Type="http://schemas.openxmlformats.org/officeDocument/2006/relationships/hyperlink" Target="https://www.corriere.it/salute/figli-genitori/25_ottobre_10/salute-mentale-il-63-dei-giovani-si-rivolge-all-intelligenza-artificiale-quando-ha-una-difficolta-emotiva-93418828-872f-4dd5-b260-70bd51bf0xlk.shtml#:~:text=%C2%ABIn%20alcuni%20casi%20c%E2%80%99%C3%A8%20lo,Per%20esempio%2C%20contattando" TargetMode="External"/><Relationship Id="rId1961" Type="http://schemas.openxmlformats.org/officeDocument/2006/relationships/hyperlink" Target="https://www.corriere.it/salute/figli-genitori/25_ottobre_10/salute-mentale-il-63-dei-giovani-si-rivolge-all-intelligenza-artificiale-quando-ha-una-difficolta-emotiva-93418828-872f-4dd5-b260-70bd51bf0xlk.shtml#:~:text=Disagio%20psicologico%20o%20emotivo%20per,19%2C%20i" TargetMode="External"/><Relationship Id="rId1907" Type="http://schemas.openxmlformats.org/officeDocument/2006/relationships/hyperlink" Target="https://www.corriere.it/salute/figli-genitori/25_ottobre_10/salute-mentale-il-63-dei-giovani-si-rivolge-all-intelligenza-artificiale-quando-ha-una-difficolta-emotiva-93418828-872f-4dd5-b260-70bd51bf0xlk.shtml#:~:text=Disagio%20psicologico%20o%20emotivo%20per,su%20scala%20globale%3B%20il%20Mind" TargetMode="External"/><Relationship Id="rId1908" Type="http://schemas.openxmlformats.org/officeDocument/2006/relationships/hyperlink" Target="https://www.corriere.it/salute/figli-genitori/25_ottobre_10/salute-mentale-il-63-dei-giovani-si-rivolge-all-intelligenza-artificiale-quando-ha-una-difficolta-emotiva-93418828-872f-4dd5-b260-70bd51bf0xlk.shtml#:~:text=Health%20Report%2C%20curato%20da%20Axa,pi%C3%B9%20in%20soli%204%20anni" TargetMode="External"/><Relationship Id="rId1909" Type="http://schemas.openxmlformats.org/officeDocument/2006/relationships/hyperlink" Target="https://www.corriere.it/salute/figli-genitori/25_ottobre_10/salute-mentale-il-63-dei-giovani-si-rivolge-all-intelligenza-artificiale-quando-ha-una-difficolta-emotiva-93418828-872f-4dd5-b260-70bd51bf0xlk.shtml#:~:text=Il%2026,di%20chi%20non%20si%20%C3%A8" TargetMode="External"/><Relationship Id="rId1946" Type="http://schemas.openxmlformats.org/officeDocument/2006/relationships/hyperlink" Target="https://www.corriere.it/salute/figli-genitori/25_ottobre_10/salute-mentale-il-63-dei-giovani-si-rivolge-all-intelligenza-artificiale-quando-ha-una-difficolta-emotiva-93418828-872f-4dd5-b260-70bd51bf0xlk.shtml#:~:text=Ricevere%20un%20adeguato%20supporto%20psichiatrico,sul%20territorio%2C%20distribuiti%20peraltro%20in" TargetMode="External"/><Relationship Id="rId1950" Type="http://schemas.openxmlformats.org/officeDocument/2006/relationships/hyperlink" Target="https://www.corriere.it/salute/figli-genitori/25_ottobre_10/salute-mentale-il-63-dei-giovani-si-rivolge-all-intelligenza-artificiale-quando-ha-una-difficolta-emotiva-93418828-872f-4dd5-b260-70bd51bf0xlk.shtml#:~:text=nel%20Mezzogiorno%20la%20copertura%20di,delle%20barriere%20linguistiche%20e%20culturali" TargetMode="External"/><Relationship Id="rId118" Type="http://schemas.openxmlformats.org/officeDocument/2006/relationships/hyperlink" Target="https://www.cortecostituzionale.it/" TargetMode="External"/><Relationship Id="rId2553" Type="http://schemas.openxmlformats.org/officeDocument/2006/relationships/hyperlink" Target="https://www.devlinpeck.com/content/kirkpatrick-model-evaluation" TargetMode="External"/><Relationship Id="rId2084" Type="http://schemas.openxmlformats.org/officeDocument/2006/relationships/hyperlink" Target="https://www.digitalhealth.net/2025/10/major-nhs-trial-of-ai-powered-productivity-tool-delivers-cost-savings/" TargetMode="External"/><Relationship Id="rId2063" Type="http://schemas.openxmlformats.org/officeDocument/2006/relationships/hyperlink" Target="https://www.digitalhealth.net/2025/10/major-nhs-trial-of-ai-powered-productivity-tool-delivers-cost-savings/#:~:text=A%20trial%20of%20Microsoft%E2%80%99s%20AI,a%20day%20per%20staff%20member" TargetMode="External"/><Relationship Id="rId2064" Type="http://schemas.openxmlformats.org/officeDocument/2006/relationships/hyperlink" Target="https://www.digitalhealth.net/2025/10/major-nhs-trial-of-ai-powered-productivity-tool-delivers-cost-savings/#:~:text=Darren%20Hardman%2C%20chief%20executive%20of,of%20AI%20to%20transform%20healthcare" TargetMode="External"/><Relationship Id="rId2072" Type="http://schemas.openxmlformats.org/officeDocument/2006/relationships/hyperlink" Target="https://www.digitalhealth.net/2025/10/major-nhs-trial-of-ai-powered-productivity-tool-delivers-cost-savings/#:~:text=NHS%20England%20estimates%20that%20the,in%20cost%20savings%20a%20year" TargetMode="External"/><Relationship Id="rId2066" Type="http://schemas.openxmlformats.org/officeDocument/2006/relationships/hyperlink" Target="https://www.digitalhealth.net/2025/10/major-nhs-trial-of-ai-powered-productivity-tool-delivers-cost-savings/#:~:text=Results%20of%20the%20pilot%2C%20based,five%20weeks%20per%20person%20annually" TargetMode="External"/><Relationship Id="rId2058" Type="http://schemas.openxmlformats.org/officeDocument/2006/relationships/hyperlink" Target="https://www.digitalhealth.net/2025/10/major-nhs-trial-of-ai-powered-productivity-tool-delivers-cost-savings/#:~:text=The%20trial%20builds%20on%20an,secure%20products%20at%20reduced%20cost" TargetMode="External"/><Relationship Id="rId2036" Type="http://schemas.openxmlformats.org/officeDocument/2006/relationships/hyperlink" Target="https://www.england.nhs.uk/blog/iapt-at-10-achievements-and-challenges/" TargetMode="External"/><Relationship Id="rId1979" Type="http://schemas.openxmlformats.org/officeDocument/2006/relationships/hyperlink" Target="https://www.england.nhs.uk/blog/iapt-at-10-achievements-and-challenges/#:~:text=%2A%20staff%20well,on%20developments%20in%20digital%20healthcare" TargetMode="External"/><Relationship Id="rId1976" Type="http://schemas.openxmlformats.org/officeDocument/2006/relationships/hyperlink" Target="https://www.england.nhs.uk/blog/iapt-at-10-achievements-and-challenges/#:~:text=Digitally%20assisted%20therapies%2C%20where%20patients,help%20ensure%20they%20stay%20well" TargetMode="External"/><Relationship Id="rId1977" Type="http://schemas.openxmlformats.org/officeDocument/2006/relationships/hyperlink" Target="https://www.england.nhs.uk/blog/iapt-at-10-achievements-and-challenges/#:~:text=IAPT%20has%20attracted%20favourable%20international,like%20services" TargetMode="External"/><Relationship Id="rId1966" Type="http://schemas.openxmlformats.org/officeDocument/2006/relationships/hyperlink" Target="https://www.england.nhs.uk/blog/iapt-at-10-achievements-and-challenges/#:~:text=IAPT%20has%20grown%20each%20year,they%20are%20classified%20as%20recovered" TargetMode="External"/><Relationship Id="rId1975" Type="http://schemas.openxmlformats.org/officeDocument/2006/relationships/hyperlink" Target="https://www.england.nhs.uk/blog/iapt-at-10-achievements-and-challenges/#:~:text=Integrated%20IAPT%20needs%20to%20expand,to%20the%20whole%20of%20England" TargetMode="External"/><Relationship Id="rId1973" Type="http://schemas.openxmlformats.org/officeDocument/2006/relationships/hyperlink" Target="https://www.england.nhs.uk/blog/iapt-at-10-achievements-and-challenges/#:~:text=International%20praise" TargetMode="External"/><Relationship Id="rId1967" Type="http://schemas.openxmlformats.org/officeDocument/2006/relationships/hyperlink" Target="https://www.england.nhs.uk/blog/iapt-at-10-achievements-and-challenges/#:~:text=days,they%20are%20classified%20as%20recovered" TargetMode="External"/><Relationship Id="rId1974" Type="http://schemas.openxmlformats.org/officeDocument/2006/relationships/hyperlink" Target="https://www.england.nhs.uk/blog/iapt-at-10-achievements-and-challenges/#:~:text=unique%20exercise%20in%20public%20transparency%2C,help%20they%20provide%20to%20patients" TargetMode="External"/><Relationship Id="rId108" Type="http://schemas.openxmlformats.org/officeDocument/2006/relationships/hyperlink" Target="https://www.epicentro.iss.it/" TargetMode="External"/><Relationship Id="rId103" Type="http://schemas.openxmlformats.org/officeDocument/2006/relationships/hyperlink" Target="https://www.epicentro.iss.it/passi/" TargetMode="External"/><Relationship Id="rId283" Type="http://schemas.openxmlformats.org/officeDocument/2006/relationships/hyperlink" Target="https://www.europsy.eu/" TargetMode="External"/><Relationship Id="rId2566" Type="http://schemas.openxmlformats.org/officeDocument/2006/relationships/hyperlink" Target="https://www.fiercehealthcare.com/health-tech/rogers-behavioral-health-teams-ai-company-limbic-speed-patient-intake" TargetMode="External"/><Relationship Id="rId113" Type="http://schemas.openxmlformats.org/officeDocument/2006/relationships/hyperlink" Target="https://www.fimmg.org/" TargetMode="External"/><Relationship Id="rId2041" Type="http://schemas.openxmlformats.org/officeDocument/2006/relationships/hyperlink" Target="https://www.frontiersin.org/journals/psychiatry/articles/10.3389/fpsyt.2021.775738/full" TargetMode="External"/><Relationship Id="rId1984" Type="http://schemas.openxmlformats.org/officeDocument/2006/relationships/hyperlink" Target="https://www.frontiersin.org/journals/psychiatry/articles/10.3389/fpsyt.2021.775738/full#:~:text=Online%20Consultations%20Between%20General%20Practitioners,broad%20range%20of%20mental" TargetMode="External"/><Relationship Id="rId114" Type="http://schemas.openxmlformats.org/officeDocument/2006/relationships/hyperlink" Target="https://www.gazzettaufficiale.it/" TargetMode="External"/><Relationship Id="rId284" Type="http://schemas.openxmlformats.org/officeDocument/2006/relationships/hyperlink" Target="https://www.gazzettaufficiale.it/eli/id/2021/11/19/21G00175/sg" TargetMode="External"/><Relationship Id="rId111" Type="http://schemas.openxmlformats.org/officeDocument/2006/relationships/hyperlink" Target="https://www.gimbe.org/" TargetMode="External"/><Relationship Id="rId2045" Type="http://schemas.openxmlformats.org/officeDocument/2006/relationships/hyperlink" Target="https://www.i-jmr.org/2025/1/e67460" TargetMode="External"/><Relationship Id="rId1990" Type="http://schemas.openxmlformats.org/officeDocument/2006/relationships/hyperlink" Target="https://www.i-jmr.org/2025/1/e67460#:~:text=Digital%20Health%20for%20Australia%3A%20Bridging,facing%20access%20barriers%2C%20and" TargetMode="External"/><Relationship Id="rId1991" Type="http://schemas.openxmlformats.org/officeDocument/2006/relationships/hyperlink" Target="https://www.i-jmr.org/2025/1/e67460#:~:text=Mindspot%20provides%20mental%20health%20services,facing%20access%20barriers%2C%20and" TargetMode="External"/><Relationship Id="rId2030" Type="http://schemas.openxmlformats.org/officeDocument/2006/relationships/hyperlink" Target="https://www.idego.it/co-adapt/psicologia-intelligenza-artificiale/" TargetMode="External"/><Relationship Id="rId1953" Type="http://schemas.openxmlformats.org/officeDocument/2006/relationships/hyperlink" Target="https://www.idego.it/co-adapt/psicologia-intelligenza-artificiale/#:~:text=Psicologia%20e%20Intelligenza%20Artificiale%3A%20Italia,%C3%A8%20protagonista%20grazie%20a%20IDEGO" TargetMode="External"/><Relationship Id="rId2542" Type="http://schemas.openxmlformats.org/officeDocument/2006/relationships/hyperlink" Target="https://www.ilsole24ore.com/radiocor/nRC_04.02.2025_13.57_440" TargetMode="External"/><Relationship Id="rId1008" Type="http://schemas.openxmlformats.org/officeDocument/2006/relationships/hyperlink" Target="https://www.improvingchroniccare.org" TargetMode="External"/><Relationship Id="rId2083" Type="http://schemas.openxmlformats.org/officeDocument/2006/relationships/hyperlink" Target="https://www.inquira.health/en/blog/the-roi-of-ai-powered-care-administration-reducing-costs-while-improving-care" TargetMode="External"/><Relationship Id="rId2055" Type="http://schemas.openxmlformats.org/officeDocument/2006/relationships/hyperlink" Target="https://www.inquira.health/en/blog/the-roi-of-ai-powered-care-administration-reducing-costs-while-improving-care#:~:text=AI,can%20increase%20revenue%20by%20capturing" TargetMode="External"/><Relationship Id="rId2054" Type="http://schemas.openxmlformats.org/officeDocument/2006/relationships/hyperlink" Target="https://www.inquira.health/en/blog/the-roi-of-ai-powered-care-administration-reducing-costs-while-improving-care#:~:text=Appointment%20Scheduling%20and%20Call%20Centres" TargetMode="External"/><Relationship Id="rId2057" Type="http://schemas.openxmlformats.org/officeDocument/2006/relationships/hyperlink" Target="https://www.inquira.health/en/blog/the-roi-of-ai-powered-care-administration-reducing-costs-while-improving-care#:~:text=No" TargetMode="External"/><Relationship Id="rId2052" Type="http://schemas.openxmlformats.org/officeDocument/2006/relationships/hyperlink" Target="https://www.inquira.health/en/blog/the-roi-of-ai-powered-care-administration-reducing-costs-while-improving-care#:~:text=Staff%20Productivity%20and%20Retention" TargetMode="External"/><Relationship Id="rId2053" Type="http://schemas.openxmlformats.org/officeDocument/2006/relationships/hyperlink" Target="https://www.inquira.health/en/blog/the-roi-of-ai-powered-care-administration-reducing-costs-while-improving-care#:~:text=and%20natural%20language%20processing,more%20attention%20to%20complex%20tasks" TargetMode="External"/><Relationship Id="rId2056" Type="http://schemas.openxmlformats.org/officeDocument/2006/relationships/hyperlink" Target="https://www.inquira.health/en/blog/the-roi-of-ai-powered-care-administration-reducing-costs-while-improving-care#:~:text=handling%2080,can%20increase%20revenue%20by%20capturing" TargetMode="External"/><Relationship Id="rId2032" Type="http://schemas.openxmlformats.org/officeDocument/2006/relationships/hyperlink" Target="https://www.internationalmentalhealth.nl/blog/2019/9/14/dutch-mental-health-care-explained" TargetMode="External"/><Relationship Id="rId1980" Type="http://schemas.openxmlformats.org/officeDocument/2006/relationships/hyperlink" Target="https://www.internationalmentalhealth.nl/blog/2019/9/14/dutch-mental-health-care-explained#:~:text=1.%C2%A0%C2%A0%C2%A0%C2%A0%C2%A0%C2%A0%20Anonymous%20e,management%20of%20patients" TargetMode="External"/><Relationship Id="rId1957" Type="http://schemas.openxmlformats.org/officeDocument/2006/relationships/hyperlink" Target="https://www.internationalmentalhealth.nl/blog/2019/9/14/dutch-mental-health-care-explained#:~:text=2.%C2%A0%C2%A0%C2%A0%C2%A0%C2%A0%C2%A0%20Short,up%20to%20about%20seven%20sessions" TargetMode="External"/><Relationship Id="rId1981" Type="http://schemas.openxmlformats.org/officeDocument/2006/relationships/hyperlink" Target="https://www.internationalmentalhealth.nl/blog/2019/9/14/dutch-mental-health-care-explained#:~:text=3,BGGZ" TargetMode="External"/><Relationship Id="rId1985" Type="http://schemas.openxmlformats.org/officeDocument/2006/relationships/hyperlink" Target="https://www.internationalmentalhealth.nl/blog/2019/9/14/dutch-mental-health-care-explained#:~:text=Dutch%20mental%20health%20care%20explained,GGZ%2C%20basic" TargetMode="External"/><Relationship Id="rId1986" Type="http://schemas.openxmlformats.org/officeDocument/2006/relationships/hyperlink" Target="https://www.internationalmentalhealth.nl/blog/2019/9/14/dutch-mental-health-care-explained#:~:text=Even%20though%20the%20Dutch%20health,right%20person%20to%20help%20you" TargetMode="External"/><Relationship Id="rId1958" Type="http://schemas.openxmlformats.org/officeDocument/2006/relationships/hyperlink" Target="https://www.internationalmentalhealth.nl/blog/2019/9/14/dutch-mental-health-care-explained#:~:text=The%20GP%20treats%20minor%20psychological,up%20to%20about%20seven%20sessions" TargetMode="External"/><Relationship Id="rId101" Type="http://schemas.openxmlformats.org/officeDocument/2006/relationships/hyperlink" Target="https://www.istat.it/" TargetMode="External"/><Relationship Id="rId102" Type="http://schemas.openxmlformats.org/officeDocument/2006/relationships/hyperlink" Target="https://www.istat.it/it/popolazione-e-famiglie" TargetMode="External"/><Relationship Id="rId115" Type="http://schemas.openxmlformats.org/officeDocument/2006/relationships/hyperlink" Target="https://www.italiadomani.gov.it/" TargetMode="External"/><Relationship Id="rId276" Type="http://schemas.openxmlformats.org/officeDocument/2006/relationships/hyperlink" Target="https://www.kirkpatrickpartners.com/the-kirkpatrick-model/" TargetMode="External"/><Relationship Id="rId2018" Type="http://schemas.openxmlformats.org/officeDocument/2006/relationships/hyperlink" Target="https://www.limbic.ai/blog/class-ii-a" TargetMode="External"/><Relationship Id="rId1960" Type="http://schemas.openxmlformats.org/officeDocument/2006/relationships/hyperlink" Target="https://www.limbic.ai/blog/class-ii-a#:~:text=%27At%20Insight%20IAPT%2C%20we%20embrace,in%20access%20across%20our%20services" TargetMode="External"/><Relationship Id="rId2051" Type="http://schemas.openxmlformats.org/officeDocument/2006/relationships/hyperlink" Target="https://www.limbic.ai/blog/class-ii-a#:~:text=%2A%2045,shorter%20wait%20time%20for%20treatment" TargetMode="External"/><Relationship Id="rId2061" Type="http://schemas.openxmlformats.org/officeDocument/2006/relationships/hyperlink" Target="https://www.limbic.ai/blog/class-ii-a#:~:text=%2A%205,for%20treatment" TargetMode="External"/><Relationship Id="rId2006" Type="http://schemas.openxmlformats.org/officeDocument/2006/relationships/hyperlink" Target="https://www.limbic.ai/blog/class-ii-a#:~:text=Its%20certification%20comes%20as%20NHS,services%20over%20the%20last%20year" TargetMode="External"/><Relationship Id="rId1925" Type="http://schemas.openxmlformats.org/officeDocument/2006/relationships/hyperlink" Target="https://www.limbic.ai/blog/class-ii-a#:~:text=Limbic%20Access%20can%20classify%20the,led%20clinical%20assessment" TargetMode="External"/><Relationship Id="rId1926" Type="http://schemas.openxmlformats.org/officeDocument/2006/relationships/hyperlink" Target="https://www.limbic.ai/blog/class-ii-a#:~:text=Limbic%20Access%20helps%20deliver%3A" TargetMode="External"/><Relationship Id="rId1945" Type="http://schemas.openxmlformats.org/officeDocument/2006/relationships/hyperlink" Target="https://www.limbic.ai/blog/class-ii-a#:~:text=Limbic%20Access%20is%20already%20working,critical%20time%20released%20for%20staff" TargetMode="External"/><Relationship Id="rId2002" Type="http://schemas.openxmlformats.org/officeDocument/2006/relationships/hyperlink" Target="https://www.limbic.ai/blog/class-ii-a#:~:text=Limbic%20Access%2C%20a%20ground," TargetMode="External"/><Relationship Id="rId1924" Type="http://schemas.openxmlformats.org/officeDocument/2006/relationships/hyperlink" Target="https://www.limbic.ai/blog/class-ii-a#:~:text=Limbic%20Access%2C%20a%20ground,effectiveness%2C%20safety%20and%20risk%20management" TargetMode="External"/><Relationship Id="rId1921" Type="http://schemas.openxmlformats.org/officeDocument/2006/relationships/hyperlink" Target="https://www.limbic.ai/blog/class-ii-a#:~:text=The%20certification%20confirms%20that%20Limbic,clinicians%20and%20improving%20patient%20outcomes" TargetMode="External"/><Relationship Id="rId1962" Type="http://schemas.openxmlformats.org/officeDocument/2006/relationships/hyperlink" Target="https://www.limbic.ai/blog/class-ii-a#:~:text=When%20we%20launched%20Limbic%20AI,in%20access%20across%20our%20services" TargetMode="External"/><Relationship Id="rId2563" Type="http://schemas.openxmlformats.org/officeDocument/2006/relationships/hyperlink" Target="https://www.limbic.ai/research/closing-accessibility-gap" TargetMode="External"/><Relationship Id="rId2016" Type="http://schemas.openxmlformats.org/officeDocument/2006/relationships/hyperlink" Target="https://www.mentalhealtheurope.org/mental-health-europe-launches-a-study-on-artificial-intelligence-in-mental-healthcare/" TargetMode="External"/><Relationship Id="rId1952" Type="http://schemas.openxmlformats.org/officeDocument/2006/relationships/hyperlink" Target="https://www.mentalhealtheurope.org/mental-health-europe-launches-a-study-on-artificial-intelligence-in-mental-healthcare/#:~:text=AI%20systems%20offer%20significant%20potential,accuracy%2C%20and%20supporting%20timely%20interventions" TargetMode="External"/><Relationship Id="rId2007" Type="http://schemas.openxmlformats.org/officeDocument/2006/relationships/hyperlink" Target="https://www.mentalhealtheurope.org/mental-health-europe-launches-a-study-on-artificial-intelligence-in-mental-healthcare/#:~:text=However%2C%20AI%20systems%20in%20mental,care%2C%20and%20diverting%20limited%20resources" TargetMode="External"/><Relationship Id="rId1951" Type="http://schemas.openxmlformats.org/officeDocument/2006/relationships/hyperlink" Target="https://www.mentalhealtheurope.org/mental-health-europe-launches-a-study-on-artificial-intelligence-in-mental-healthcare/#:~:text=In%20mental%20healthcare%2C%20AI%20systems,digital%20therapies%20and%20patient%20monitoring" TargetMode="External"/><Relationship Id="rId1918" Type="http://schemas.openxmlformats.org/officeDocument/2006/relationships/hyperlink" Target="https://www.mentalhealtheurope.org/mental-health-europe-launches-a-study-on-artificial-intelligence-in-mental-healthcare/#:~:text=It%20is%20argued%20that%20AI,and%20balanced%20outcomes%20and%20preventing" TargetMode="External"/><Relationship Id="rId2574" Type="http://schemas.openxmlformats.org/officeDocument/2006/relationships/hyperlink" Target="https://www.mhinnovation.net/sites/default/files/content/document/Three-year-report.pdf" TargetMode="External"/><Relationship Id="rId2033" Type="http://schemas.openxmlformats.org/officeDocument/2006/relationships/hyperlink" Target="https://www.mja.com.au/journal/2012/197/3/better-outcomes-or-better-access-which-was-better-mental-health-care" TargetMode="External"/><Relationship Id="rId1963" Type="http://schemas.openxmlformats.org/officeDocument/2006/relationships/hyperlink" Target="https://www.mja.com.au/journal/2012/197/3/better-outcomes-or-better-access-which-was-better-mental-health-care#:~:text=Better%20Outcomes%20or%20Better%20Access,decreased%20significantly%20among%20the" TargetMode="External"/><Relationship Id="rId2562" Type="http://schemas.openxmlformats.org/officeDocument/2006/relationships/hyperlink" Target="https://www.nature.com/articles/s41591-023-02766-x" TargetMode="External"/><Relationship Id="rId2086" Type="http://schemas.openxmlformats.org/officeDocument/2006/relationships/hyperlink" Target="https://www.nature.com/articles/s41746-020-0293-8?error=cookies_not_supported&amp;code=4d369c1e-08c9-43ff-b810-c654320b1747" TargetMode="External"/><Relationship Id="rId2073" Type="http://schemas.openxmlformats.org/officeDocument/2006/relationships/hyperlink" Target="https://www.nature.com/articles/s41746-020-0293-8?error=cookies_not_supported&amp;code=4d369c1e-08c9-43ff-b810-c654320b1747#:~:text=Intention,pragmatic%20trial%20design%20supports%20the" TargetMode="External"/><Relationship Id="rId2074" Type="http://schemas.openxmlformats.org/officeDocument/2006/relationships/hyperlink" Target="https://www.nature.com/articles/s41746-020-0293-8?error=cookies_not_supported&amp;code=4d369c1e-08c9-43ff-b810-c654320b1747#:~:text=Predicting%20remission%20after%20internet,modal%20data" TargetMode="External"/><Relationship Id="rId2067" Type="http://schemas.openxmlformats.org/officeDocument/2006/relationships/hyperlink" Target="https://www.nature.com/articles/s41746-020-0293-8?error=cookies_not_supported&amp;code=4d369c1e-08c9-43ff-b810-c654320b1747#:~:text=including%20depression%20and%20anxiety%2C%20and,care%20model%20implemented%20nationwide%2034" TargetMode="External"/><Relationship Id="rId2567" Type="http://schemas.openxmlformats.org/officeDocument/2006/relationships/hyperlink" Target="https://www.nature.com/articles/s41746-023-00979-5" TargetMode="External"/><Relationship Id="rId2576" Type="http://schemas.openxmlformats.org/officeDocument/2006/relationships/hyperlink" Target="https://www.nber.org/papers/w21206" TargetMode="External"/><Relationship Id="rId2569" Type="http://schemas.openxmlformats.org/officeDocument/2006/relationships/hyperlink" Target="https://www.nber.org/papers/w30857" TargetMode="External"/><Relationship Id="rId2025" Type="http://schemas.openxmlformats.org/officeDocument/2006/relationships/hyperlink" Target="https://www.ncbi.nlm.nih.gov/books/NBK618497/" TargetMode="External"/><Relationship Id="rId1941" Type="http://schemas.openxmlformats.org/officeDocument/2006/relationships/hyperlink" Target="https://www.ncbi.nlm.nih.gov/books/NBK618497/#:~:text=NCBI%20www," TargetMode="External"/><Relationship Id="rId2547" Type="http://schemas.openxmlformats.org/officeDocument/2006/relationships/hyperlink" Target="https://www.ncbi.nlm.nih.gov/pmc/articles/PMC11719188/" TargetMode="External"/><Relationship Id="rId2561" Type="http://schemas.openxmlformats.org/officeDocument/2006/relationships/hyperlink" Target="https://www.ncbi.nlm.nih.gov/pmc/articles/PMC12426581/" TargetMode="External"/><Relationship Id="rId2560" Type="http://schemas.openxmlformats.org/officeDocument/2006/relationships/hyperlink" Target="https://www.ncbi.nlm.nih.gov/pmc/articles/PMC9378826/" TargetMode="External"/><Relationship Id="rId2550" Type="http://schemas.openxmlformats.org/officeDocument/2006/relationships/hyperlink" Target="https://www.ncbi.nlm.nih.gov/pmc/articles/PMC9780590/" TargetMode="External"/><Relationship Id="rId287" Type="http://schemas.openxmlformats.org/officeDocument/2006/relationships/hyperlink" Target="https://www.normattiva.it/uri-res/N2Ls?urn:nir:stato:legge:1989-02-18;56" TargetMode="External"/><Relationship Id="rId119" Type="http://schemas.openxmlformats.org/officeDocument/2006/relationships/hyperlink" Target="https://www.oecd.org/health/health-at-a-glance-europe/" TargetMode="External"/><Relationship Id="rId2565" Type="http://schemas.openxmlformats.org/officeDocument/2006/relationships/hyperlink" Target="https://www.openaccessgovernment.org/stakeholder/limbic-limited-clinical-ai-for-mental-health/206852/" TargetMode="External"/><Relationship Id="rId1012" Type="http://schemas.openxmlformats.org/officeDocument/2006/relationships/hyperlink" Target="https://www.psychiatry.org" TargetMode="External"/><Relationship Id="rId2543" Type="http://schemas.openxmlformats.org/officeDocument/2006/relationships/hyperlink" Target="https://www.quotidiano.net/economia/salute-mentale-investimento-a77cb93d" TargetMode="External"/><Relationship Id="rId2544" Type="http://schemas.openxmlformats.org/officeDocument/2006/relationships/hyperlink" Target="https://www.quotidianosanita.it/lettere-al-direttore/lo-psicologo-delle-cure-primarie-da-esperienza-regionale-a-diritto-per-tutti-i-cittadini/" TargetMode="External"/><Relationship Id="rId1007" Type="http://schemas.openxmlformats.org/officeDocument/2006/relationships/hyperlink" Target="https://www.raffaellocortina.it" TargetMode="External"/><Relationship Id="rId1013" Type="http://schemas.openxmlformats.org/officeDocument/2006/relationships/hyperlink" Target="https://www.regione.puglia.it" TargetMode="External"/><Relationship Id="rId117" Type="http://schemas.openxmlformats.org/officeDocument/2006/relationships/hyperlink" Target="https://www.regione.puglia.it/" TargetMode="External"/><Relationship Id="rId2090" Type="http://schemas.openxmlformats.org/officeDocument/2006/relationships/hyperlink" Target="https://www.researchgate.net/publication/269773522_E-health_within_the_Dutch_mental_health_services_what_is_the_current_situation" TargetMode="External"/><Relationship Id="rId2077" Type="http://schemas.openxmlformats.org/officeDocument/2006/relationships/hyperlink" Target="https://www.researchgate.net/publication/269773522_E-health_within_the_Dutch_mental_health_services_what_is_the_current_situation#:~:text=E,This" TargetMode="External"/><Relationship Id="rId116" Type="http://schemas.openxmlformats.org/officeDocument/2006/relationships/hyperlink" Target="https://www.salute.gov.it/" TargetMode="External"/><Relationship Id="rId2545" Type="http://schemas.openxmlformats.org/officeDocument/2006/relationships/hyperlink" Target="https://www.salute.gov.it/imgs/C_17_pubblicazioni_3502_allegato.pdf" TargetMode="External"/><Relationship Id="rId123" Type="http://schemas.openxmlformats.org/officeDocument/2006/relationships/hyperlink" Target="https://www.salute.gov.it/portale/lea/" TargetMode="External"/><Relationship Id="rId106" Type="http://schemas.openxmlformats.org/officeDocument/2006/relationships/hyperlink" Target="https://www.salute.gov.it/portale/saluteMentale/" TargetMode="External"/><Relationship Id="rId2555" Type="http://schemas.openxmlformats.org/officeDocument/2006/relationships/hyperlink" Target="https://www.sciencedirect.com/science/article/pii/S2352047725000681" TargetMode="External"/><Relationship Id="rId2556" Type="http://schemas.openxmlformats.org/officeDocument/2006/relationships/hyperlink" Target="https://www.sciencedirect.com/science/article/pii/S2589537025001609" TargetMode="External"/><Relationship Id="rId2573" Type="http://schemas.openxmlformats.org/officeDocument/2006/relationships/hyperlink" Target="https://www.simg.it/Riviste/rivista_simg/2019/06_2019/6.pdf" TargetMode="External"/><Relationship Id="rId295" Type="http://schemas.openxmlformats.org/officeDocument/2006/relationships/hyperlink" Target="https://www.simonandschuster.com/books/Diffusion-of-Innovations-5th-Edition/Everett-M-Rogers/9780743222099" TargetMode="External"/><Relationship Id="rId122" Type="http://schemas.openxmlformats.org/officeDocument/2006/relationships/hyperlink" Target="https://www.sisac.info/" TargetMode="External"/><Relationship Id="rId2551" Type="http://schemas.openxmlformats.org/officeDocument/2006/relationships/hyperlink" Target="https://www.speraconnect.com/impact/unlocking-the-true-value-of-mental-health-programs-a-social-roi-perspective/" TargetMode="External"/><Relationship Id="rId2038" Type="http://schemas.openxmlformats.org/officeDocument/2006/relationships/hyperlink" Target="https://www.theabfm.org/research/research-library/competencies-for-the-use-of-artificial-intelligence-in-primary-care/" TargetMode="External"/><Relationship Id="rId1970" Type="http://schemas.openxmlformats.org/officeDocument/2006/relationships/hyperlink" Target="https://www.theabfm.org/research/research-library/competencies-for-the-use-of-artificial-intelligence-in-primary-care/#:~:text=Competencies%20for%20the%20Use%20of,what" TargetMode="External"/><Relationship Id="rId2044" Type="http://schemas.openxmlformats.org/officeDocument/2006/relationships/hyperlink" Target="https://www.thelancet.com/journals/landig/article/PIIS2589-7500(20)30248-X/fulltext" TargetMode="External"/><Relationship Id="rId1989" Type="http://schemas.openxmlformats.org/officeDocument/2006/relationships/hyperlink" Target="https://www.thelancet.com/journals/landig/article/PIIS2589-7500(20)30248-X/fulltext#:~:text=Lancet%20www,over%20the%20past%20two%20decades" TargetMode="External"/><Relationship Id="rId107" Type="http://schemas.openxmlformats.org/officeDocument/2006/relationships/hyperlink" Target="https://www.thelancet.com/journals/lanpsy" TargetMode="External"/><Relationship Id="rId2023" Type="http://schemas.openxmlformats.org/officeDocument/2006/relationships/hyperlink" Target="https://www.trimbos.nl/docs/24fb7203-007a-40bd-a834-12ec311c2adc.pdf" TargetMode="External"/><Relationship Id="rId1982" Type="http://schemas.openxmlformats.org/officeDocument/2006/relationships/hyperlink" Target="https://www.trimbos.nl/docs/24fb7203-007a-40bd-a834-12ec311c2adc.pdf#:~:text=%E2%80%98Blended%20care%E2%80%99%20is%20the%20phrase,interventions%20are%20effective%20in%20reducing" TargetMode="External"/><Relationship Id="rId1983" Type="http://schemas.openxmlformats.org/officeDocument/2006/relationships/hyperlink" Target="https://www.trimbos.nl/docs/24fb7203-007a-40bd-a834-12ec311c2adc.pdf#:~:text=The%20question%20was%2C%20therefore%2C%20how,%E2%80%9D" TargetMode="External"/><Relationship Id="rId1938" Type="http://schemas.openxmlformats.org/officeDocument/2006/relationships/hyperlink" Target="https://www.trimbos.nl/docs/24fb7203-007a-40bd-a834-12ec311c2adc.pdf#:~:text=practice%27%20www,Develop%20training%20programs%20for" TargetMode="External"/><Relationship Id="rId2552" Type="http://schemas.openxmlformats.org/officeDocument/2006/relationships/hyperlink" Target="https://www.trostlearning.com/blog/kirkpatrick-vs-phillips-roi-model-which-evaluation-framework-should-hr-professionals-adopt/" TargetMode="External"/><Relationship Id="rId1011" Type="http://schemas.openxmlformats.org/officeDocument/2006/relationships/hyperlink" Target="https://www.who.int/europe" TargetMode="External"/><Relationship Id="rId2031" Type="http://schemas.openxmlformats.org/officeDocument/2006/relationships/hyperlink" Target="https://www.who.int/europe/news/item/06-02-2023-artificial-intelligence-in-mental-health-research--new-who-study-on-applications-and-challenges" TargetMode="External"/><Relationship Id="rId1954" Type="http://schemas.openxmlformats.org/officeDocument/2006/relationships/hyperlink" Target="https://www.who.int/europe/news/item/06-02-2023-artificial-intelligence-in-mental-health-research--new-who-study-on-applications-and-challenges#:~:text=AI%20is%20seen%20as%20a,problems%20in%20individuals%20and" TargetMode="External"/><Relationship Id="rId1955" Type="http://schemas.openxmlformats.org/officeDocument/2006/relationships/hyperlink" Target="https://www.who.int/europe/news/item/06-02-2023-artificial-intelligence-in-mental-health-research--new-who-study-on-applications-and-challenges#:~:text=Artificial%20intelligence%20in%20mental%20health,problems%20in%20individuals%20and" TargetMode="External"/><Relationship Id="rId281" Type="http://schemas.openxmlformats.org/officeDocument/2006/relationships/hyperlink" Target="https://www.who.int/publications/i/item/9789241549790" TargetMode="External"/><Relationship Id="rId109" Type="http://schemas.openxmlformats.org/officeDocument/2006/relationships/hyperlink" Target="https://www.who.int/teams/mental-health-and-substance-use/data-research/mental-health-atlas" TargetMode="External"/><Relationship Id="rId291" Type="http://schemas.openxmlformats.org/officeDocument/2006/relationships/hyperlink" Target="https://www.wiley.com/en-us/9781405158497" TargetMode="External"/><Relationship Id="rId10" Type="http://schemas.openxmlformats.org/officeDocument/2006/relationships/hyperlink" Target="https://www.salute.gov.it/new/it/comunicato-stampa/salute-mentale-schillaci-bene-libera-della-conferenza-unificata-al-nuovo-piano/" TargetMode="External"/><Relationship Id="rId11" Type="http://schemas.openxmlformats.org/officeDocument/2006/relationships/hyperlink" Target="https://www.regione.vda.it/notizie/details_i.asp?id=513444" TargetMode="External"/><Relationship Id="rId12" Type="http://schemas.openxmlformats.org/officeDocument/2006/relationships/hyperlink" Target="https://www.salute.gov.it/new/it/news-e-media/notizie/legge-di-bilancio-2026-le-misure-la-sanita" TargetMode="External"/><Relationship Id="rId13" Type="http://schemas.openxmlformats.org/officeDocument/2006/relationships/hyperlink" Target="https://giovanisi.it/2026/03/prosegue-per-un-altro-anno-la-sperimentazione-dello-psicologo-di-base/" TargetMode="External"/><Relationship Id="rId14" Type="http://schemas.openxmlformats.org/officeDocument/2006/relationships/hyperlink" Target="https://www.toscanamedica.org/la-sperimentazione-della-psicologia-di-base-in-regione-toscana/" TargetMode="External"/><Relationship Id="rId15" Type="http://schemas.openxmlformats.org/officeDocument/2006/relationships/hyperlink" Target="https://doi.org/10.16908/rds-essentiels/73" TargetMode="External"/><Relationship Id="rId16" Type="http://schemas.openxmlformats.org/officeDocument/2006/relationships/hyperlink" Target="https://www.oecd.org/health/mental-health.htm" TargetMode="External"/><Relationship Id="rId17" Type="http://schemas.openxmlformats.org/officeDocument/2006/relationships/hyperlink" Target="https://www.who.int/publications/" TargetMode="External"/><Relationship Id="rId18" Type="http://schemas.openxmlformats.org/officeDocument/2006/relationships/hyperlink" Target="https://europa.eu/eurobarometer" TargetMode="External"/><Relationship Id="rId19" Type="http://schemas.openxmlformats.org/officeDocument/2006/relationships/hyperlink" Target="https://www.zorgverzekeraarsnederland.nl/" TargetMode="External"/><Relationship Id="rId20" Type="http://schemas.openxmlformats.org/officeDocument/2006/relationships/hyperlink" Target="https://pubmed.ncbi.nlm.nih.gov/40136273/" TargetMode="External"/><Relationship Id="rId21" Type="http://schemas.openxmlformats.org/officeDocument/2006/relationships/hyperlink" Target="https://pubmed.ncbi.nlm.nih.gov/" TargetMode="External"/><Relationship Id="rId22" Type="http://schemas.openxmlformats.org/officeDocument/2006/relationships/hyperlink" Target="https://pmc.ncbi.nlm.nih.gov/articles/PMC12369993/" TargetMode="External"/><Relationship Id="rId23" Type="http://schemas.openxmlformats.org/officeDocument/2006/relationships/hyperlink" Target="https://cdn.who.int/" TargetMode="External"/><Relationship Id="rId24" Type="http://schemas.openxmlformats.org/officeDocument/2006/relationships/hyperlink" Target="https://eur-lex.europa.eu/eli/reg/2024/1689/oj" TargetMode="External"/><Relationship Id="rId25" Type="http://schemas.openxmlformats.org/officeDocument/2006/relationships/hyperlink" Target="https://www.nice.org.uk/process/pmg36" TargetMode="External"/></Relationships>
</file>

<file path=word/_rels/footnotes.xml.rels><?xml version='1.0' encoding='UTF-8' standalone='yes'?>
<Relationships xmlns="http://schemas.openxmlformats.org/package/2006/relationships"><Relationship Id="rId2019" Type="http://schemas.openxmlformats.org/officeDocument/2006/relationships/hyperlink" Target="https://aipass.org/wp-content/uploads/2024/07/DOCUMENTO-PROGETTUALE-INTERNATENEO-SULLO-PSICOLOGO-DI-BASE.pdf" TargetMode="External"/><Relationship Id="rId1940" Type="http://schemas.openxmlformats.org/officeDocument/2006/relationships/hyperlink" Target="https://aipass.org/wp-content/uploads/2024/07/DOCUMENTO-PROGETTUALE-INTERNATENEO-SULLO-PSICOLOGO-DI-BASE.pdf#:~:text=%E2%9D%91%20Coordinamento%20e%20invio%20Nelle,in%20carico%20di%20II%20livello" TargetMode="External"/><Relationship Id="rId1929" Type="http://schemas.openxmlformats.org/officeDocument/2006/relationships/hyperlink" Target="https://aipass.org/wp-content/uploads/2024/07/DOCUMENTO-PROGETTUALE-INTERNATENEO-SULLO-PSICOLOGO-DI-BASE.pdf#:~:text=%E2%9D%91%20Informazione%20e%20orientamento%20Alcune,realt%C3%A0%20presenti%20nei%20settori%20del" TargetMode="External"/><Relationship Id="rId1928" Type="http://schemas.openxmlformats.org/officeDocument/2006/relationships/hyperlink" Target="https://aipass.org/wp-content/uploads/2024/07/DOCUMENTO-PROGETTUALE-INTERNATENEO-SULLO-PSICOLOGO-DI-BASE.pdf#:~:text=La%20condivisione%20rimanda%20all%E2%80%99opportunit%C3%A0%20di,delle%20quali%20portatrice%20di%20uno" TargetMode="External"/><Relationship Id="rId1933" Type="http://schemas.openxmlformats.org/officeDocument/2006/relationships/hyperlink" Target="https://aipass.org/wp-content/uploads/2024/07/DOCUMENTO-PROGETTUALE-INTERNATENEO-SULLO-PSICOLOGO-DI-BASE.pdf#:~:text=un%20dato%20descrittivo%2C%20ma%20come,formazione%20e" TargetMode="External"/><Relationship Id="rId2557" Type="http://schemas.openxmlformats.org/officeDocument/2006/relationships/hyperlink" Target="https://arxiv.org/pdf/2405.05658" TargetMode="External"/><Relationship Id="rId110" Type="http://schemas.openxmlformats.org/officeDocument/2006/relationships/hyperlink" Target="https://bmjopen.bmj.com/" TargetMode="External"/><Relationship Id="rId2015" Type="http://schemas.openxmlformats.org/officeDocument/2006/relationships/hyperlink" Target="https://bnews.unimib.it/blog/intelligenza-artificiale-e-salute-mentale-sfida-o-opportunit%C3%A0-per-la-psichiatria/" TargetMode="External"/><Relationship Id="rId2012" Type="http://schemas.openxmlformats.org/officeDocument/2006/relationships/hyperlink" Target="https://bnews.unimib.it/blog/intelligenza-artificiale-e-salute-mentale-sfida-o-opportunit%C3%A0-per-la-psichiatria/#:~:text=,con%20scarsa%20disponibilit%C3%A0%20di%20risorse" TargetMode="External"/><Relationship Id="rId2011" Type="http://schemas.openxmlformats.org/officeDocument/2006/relationships/hyperlink" Target="https://bnews.unimib.it/blog/intelligenza-artificiale-e-salute-mentale-sfida-o-opportunit%C3%A0-per-la-psichiatria/#:~:text=,di%20pattern%20linguistici%20e%20comportamentali" TargetMode="External"/><Relationship Id="rId1916" Type="http://schemas.openxmlformats.org/officeDocument/2006/relationships/hyperlink" Target="https://bnews.unimib.it/blog/intelligenza-artificiale-e-salute-mentale-sfida-o-opportunit%C3%A0-per-la-psichiatria/#:~:text=,di%20salute%20mentale%20degli%20individui" TargetMode="External"/><Relationship Id="rId1917" Type="http://schemas.openxmlformats.org/officeDocument/2006/relationships/hyperlink" Target="https://bnews.unimib.it/blog/intelligenza-artificiale-e-salute-mentale-sfida-o-opportunit%C3%A0-per-la-psichiatria/#:~:text=,un%20utilizzo%20efficace%20e%20sicuro" TargetMode="External"/><Relationship Id="rId2010" Type="http://schemas.openxmlformats.org/officeDocument/2006/relationships/hyperlink" Target="https://bnews.unimib.it/blog/intelligenza-artificiale-e-salute-mentale-sfida-o-opportunit%C3%A0-per-la-psichiatria/#:~:text=Bnews%20bnews,dell%27uso%20dell%27AI%20nella%20diagnosi%2C" TargetMode="External"/><Relationship Id="rId1911" Type="http://schemas.openxmlformats.org/officeDocument/2006/relationships/hyperlink" Target="https://bnews.unimib.it/blog/intelligenza-artificiale-e-salute-mentale-sfida-o-opportunit%C3%A0-per-la-psichiatria/#:~:text=L%E2%80%99intelligenza%20artificiale%20sta%20cambiando%20il,pi%C3%B9%20umano%20esiste%3A%20la%20mente" TargetMode="External"/><Relationship Id="rId1949" Type="http://schemas.openxmlformats.org/officeDocument/2006/relationships/hyperlink" Target="https://bnews.unimib.it/blog/intelligenza-artificiale-e-salute-mentale-sfida-o-opportunit%C3%A0-per-la-psichiatria/#:~:text=Ne%20parliamo%20con%20il%20Digital,nuove%20tecnologie%20applicate%20alla%20psichiatria" TargetMode="External"/><Relationship Id="rId1915" Type="http://schemas.openxmlformats.org/officeDocument/2006/relationships/hyperlink" Target="https://bnews.unimib.it/blog/intelligenza-artificiale-e-salute-mentale-sfida-o-opportunit%C3%A0-per-la-psichiatria/#:~:text=Un%20altro%20grande%20aiuto%20arriva,dei%20contesti%20di%20vita%20reali" TargetMode="External"/><Relationship Id="rId1913" Type="http://schemas.openxmlformats.org/officeDocument/2006/relationships/hyperlink" Target="https://bnews.unimib.it/blog/intelligenza-artificiale-e-salute-mentale-sfida-o-opportunit%C3%A0-per-la-psichiatria/#:~:text=algoritmi%20per%20l%E2%80%99analisi%2C%20ad%20esempio%2C,di%20pattern%20linguistici%20e%20comportamentali" TargetMode="External"/><Relationship Id="rId1912" Type="http://schemas.openxmlformats.org/officeDocument/2006/relationships/hyperlink" Target="https://bnews.unimib.it/blog/intelligenza-artificiale-e-salute-mentale-sfida-o-opportunit%C3%A0-per-la-psichiatria/#:~:text=mentale%20non%20fa%20eccezione,pi%C3%B9%20umano%20esiste%3A%20la%20mente" TargetMode="External"/><Relationship Id="rId1914" Type="http://schemas.openxmlformats.org/officeDocument/2006/relationships/hyperlink" Target="https://bnews.unimib.it/blog/intelligenza-artificiale-e-salute-mentale-sfida-o-opportunit%C3%A0-per-la-psichiatria/#:~:text=tecniche%20di%20apprendimento%20automatico%20%E2%80%93,o%20le%20caratteristiche%20della%20voce" TargetMode="External"/><Relationship Id="rId2027" Type="http://schemas.openxmlformats.org/officeDocument/2006/relationships/hyperlink" Target="https://clinicaltrials.gov/study/NCT06808555" TargetMode="External"/><Relationship Id="rId1944" Type="http://schemas.openxmlformats.org/officeDocument/2006/relationships/hyperlink" Target="https://clinicaltrials.gov/study/NCT06808555#:~:text=Pai.ACT%3A%20AI,to%20offer%20personalized%20psychological" TargetMode="External"/><Relationship Id="rId279" Type="http://schemas.openxmlformats.org/officeDocument/2006/relationships/hyperlink" Target="https://doi.org/10.1001/jama.288.22.2836" TargetMode="External"/><Relationship Id="rId289" Type="http://schemas.openxmlformats.org/officeDocument/2006/relationships/hyperlink" Target="https://doi.org/10.1002/14651858.CD000259.pub3" TargetMode="External"/><Relationship Id="rId294" Type="http://schemas.openxmlformats.org/officeDocument/2006/relationships/hyperlink" Target="https://doi.org/10.1002/14651858.CD002213.pub3" TargetMode="External"/><Relationship Id="rId1009" Type="http://schemas.openxmlformats.org/officeDocument/2006/relationships/hyperlink" Target="https://doi.org/10.1002/cncr.24561" TargetMode="External"/><Relationship Id="rId278" Type="http://schemas.openxmlformats.org/officeDocument/2006/relationships/hyperlink" Target="https://doi.org/10.1016/S2215-0366(16)30024-4" TargetMode="External"/><Relationship Id="rId292" Type="http://schemas.openxmlformats.org/officeDocument/2006/relationships/hyperlink" Target="https://doi.org/10.1016/j.jvb.2007.04.005" TargetMode="External"/><Relationship Id="rId280" Type="http://schemas.openxmlformats.org/officeDocument/2006/relationships/hyperlink" Target="https://doi.org/10.1136/bmj.39489.470347.AD" TargetMode="External"/><Relationship Id="rId1006" Type="http://schemas.openxmlformats.org/officeDocument/2006/relationships/hyperlink" Target="https://doi.org/10.1787/16668f16-en" TargetMode="External"/><Relationship Id="rId293" Type="http://schemas.openxmlformats.org/officeDocument/2006/relationships/hyperlink" Target="https://doi.org/10.2196/jmir.4807" TargetMode="External"/><Relationship Id="rId296" Type="http://schemas.openxmlformats.org/officeDocument/2006/relationships/hyperlink" Target="https://doi.org/10.2307/249008" TargetMode="External"/><Relationship Id="rId121" Type="http://schemas.openxmlformats.org/officeDocument/2006/relationships/hyperlink" Target="https://eur-lex.europa.eu/" TargetMode="External"/><Relationship Id="rId2088" Type="http://schemas.openxmlformats.org/officeDocument/2006/relationships/hyperlink" Target="https://finance.yahoo.com/news/mounting-evidence-mental-health-collaborative-114800646.html" TargetMode="External"/><Relationship Id="rId2069" Type="http://schemas.openxmlformats.org/officeDocument/2006/relationships/hyperlink" Target="https://finance.yahoo.com/news/mounting-evidence-mental-health-collaborative-114800646.html#:~:text=Mounting%20Evidence%20that%20use%20of,GLOBE%20NEWSWIRE%29" TargetMode="External"/><Relationship Id="rId105" Type="http://schemas.openxmlformats.org/officeDocument/2006/relationships/hyperlink" Target="https://health.ec.europa.eu/non-communicable-diseases/mental-health_it" TargetMode="External"/><Relationship Id="rId2029" Type="http://schemas.openxmlformats.org/officeDocument/2006/relationships/hyperlink" Target="https://ipsico.it/news/lintelligenza-artificiale-in-psicologia-e-psichiatria/" TargetMode="External"/><Relationship Id="rId1948" Type="http://schemas.openxmlformats.org/officeDocument/2006/relationships/hyperlink" Target="https://ipsico.it/news/lintelligenza-artificiale-in-psicologia-e-psichiatria/#:~:text=Firenze%20ipsico,come%20nel%20caso%20della" TargetMode="External"/><Relationship Id="rId1010" Type="http://schemas.openxmlformats.org/officeDocument/2006/relationships/hyperlink" Target="https://jamanetwork.com" TargetMode="External"/><Relationship Id="rId120" Type="http://schemas.openxmlformats.org/officeDocument/2006/relationships/hyperlink" Target="https://jamanetwork.com/" TargetMode="External"/><Relationship Id="rId2558" Type="http://schemas.openxmlformats.org/officeDocument/2006/relationships/hyperlink" Target="https://journals.sagepub.com/doi/abs/10.1177/2167702617691560" TargetMode="External"/><Relationship Id="rId2035" Type="http://schemas.openxmlformats.org/officeDocument/2006/relationships/hyperlink" Target="https://learn.hms.harvard.edu/insights/all-insights/how-artificial-intelligence-disrupting-medicine-and-what-it-means-physicians" TargetMode="External"/><Relationship Id="rId1965" Type="http://schemas.openxmlformats.org/officeDocument/2006/relationships/hyperlink" Target="https://learn.hms.harvard.edu/insights/all-insights/how-artificial-intelligence-disrupting-medicine-and-what-it-means-physicians#:~:text=How%20Artificial%20Intelligence%20is%20Disrupting,ensure%20its%20accuracy%2C%20safety%2C" TargetMode="External"/><Relationship Id="rId2022" Type="http://schemas.openxmlformats.org/officeDocument/2006/relationships/hyperlink" Target="https://mtppsychiatry.com/collaborative-care-2-0-pmhnps-leading-the-ai-integrated-model/" TargetMode="External"/><Relationship Id="rId2004" Type="http://schemas.openxmlformats.org/officeDocument/2006/relationships/hyperlink" Target="https://mtppsychiatry.com/collaborative-care-2-0-pmhnps-leading-the-ai-integrated-model/#:~:text=As%20collaborative%20care%20evolves%20through,platforms%20can%20assess%20symptom%20severity" TargetMode="External"/><Relationship Id="rId2001" Type="http://schemas.openxmlformats.org/officeDocument/2006/relationships/hyperlink" Target="https://mtppsychiatry.com/collaborative-care-2-0-pmhnps-leading-the-ai-integrated-model/#:~:text=Enter%20AI,not%20merely%20efficient%E2%80%94it%20is%20intelligent" TargetMode="External"/><Relationship Id="rId1935" Type="http://schemas.openxmlformats.org/officeDocument/2006/relationships/hyperlink" Target="https://mtppsychiatry.com/collaborative-care-2-0-pmhnps-leading-the-ai-integrated-model/#:~:text=Furthermore%2C%20PMHNPs%20can%20now%20manage,about%20the%20delivery%20of%20care" TargetMode="External"/><Relationship Id="rId1998" Type="http://schemas.openxmlformats.org/officeDocument/2006/relationships/hyperlink" Target="https://mtppsychiatry.com/collaborative-care-2-0-pmhnps-leading-the-ai-integrated-model/#:~:text=In%20contrast%20to%20conventional%20models,indicates%20a%20potential%20psychotic%20episode" TargetMode="External"/><Relationship Id="rId1997" Type="http://schemas.openxmlformats.org/officeDocument/2006/relationships/hyperlink" Target="https://mtppsychiatry.com/collaborative-care-2-0-pmhnps-leading-the-ai-integrated-model/#:~:text=In%20the%20swiftly%20changing%20domain,diagnostics%2C%20and%20boost%20patient%20engagement" TargetMode="External"/><Relationship Id="rId2003" Type="http://schemas.openxmlformats.org/officeDocument/2006/relationships/hyperlink" Target="https://mtppsychiatry.com/collaborative-care-2-0-pmhnps-leading-the-ai-integrated-model/#:~:text=PMHNPs%20are%20particularly%20well,both%20urban%20and%20underserved%20communities" TargetMode="External"/><Relationship Id="rId1937" Type="http://schemas.openxmlformats.org/officeDocument/2006/relationships/hyperlink" Target="https://mtppsychiatry.com/collaborative-care-2-0-pmhnps-leading-the-ai-integrated-model/#:~:text=The%20Evolution%20of%20Collaborative%20Care,in%20Mental%20Health" TargetMode="External"/><Relationship Id="rId1936" Type="http://schemas.openxmlformats.org/officeDocument/2006/relationships/hyperlink" Target="https://mtppsychiatry.com/collaborative-care-2-0-pmhnps-leading-the-ai-integrated-model/#:~:text=The%20incorporation%20of%20AI%20into,smooth%20coordination%20among%20healthcare%20providers" TargetMode="External"/><Relationship Id="rId1932" Type="http://schemas.openxmlformats.org/officeDocument/2006/relationships/hyperlink" Target="https://mtppsychiatry.com/collaborative-care-2-0-pmhnps-leading-the-ai-integrated-model/#:~:text=advancements%20facilitate%20early%20symptom%20identification%2C,indicates%20a%20potential%20psychotic%20episode" TargetMode="External"/><Relationship Id="rId1934" Type="http://schemas.openxmlformats.org/officeDocument/2006/relationships/hyperlink" Target="https://mtppsychiatry.com/collaborative-care-2-0-pmhnps-leading-the-ai-integrated-model/#:~:text=and%20streamline%20workflows%2C%20artificial%20intelligence,not%20merely%20efficient%E2%80%94it%20is%20intelligent" TargetMode="External"/><Relationship Id="rId2000" Type="http://schemas.openxmlformats.org/officeDocument/2006/relationships/hyperlink" Target="https://mtppsychiatry.com/collaborative-care-2-0-pmhnps-leading-the-ai-integrated-model/#:~:text=in%20hybrid%20care%20models,with%20accuracy%2C%20speed%2C%20and%20scalability" TargetMode="External"/><Relationship Id="rId1999" Type="http://schemas.openxmlformats.org/officeDocument/2006/relationships/hyperlink" Target="https://mtppsychiatry.com/collaborative-care-2-0-pmhnps-leading-the-ai-integrated-model/#:~:text=sensors%2C%20or%20analyze%20EMR%20data,titration%20strategies" TargetMode="External"/><Relationship Id="rId2013" Type="http://schemas.openxmlformats.org/officeDocument/2006/relationships/hyperlink" Target="https://mtppsychiatry.com/collaborative-care-2-0-pmhnps-leading-the-ai-integrated-model/#:~:text=this%20new%20frontier%20utilizes%20tools,indicates%20a%20potential%20psychotic%20episode" TargetMode="External"/><Relationship Id="rId2005" Type="http://schemas.openxmlformats.org/officeDocument/2006/relationships/hyperlink" Target="https://mtppsychiatry.com/collaborative-care-2-0-pmhnps-leading-the-ai-integrated-model/#:~:text=through%20speech%20recognition%2C%20identify%20medication,titration%20strategies" TargetMode="External"/><Relationship Id="rId2572" Type="http://schemas.openxmlformats.org/officeDocument/2006/relationships/hyperlink" Target="https://opsonline.it/psychoinforma/medici-e-psicologi-insieme-meno-farmaci-e-piu-attenzione-al-paziente/" TargetMode="External"/><Relationship Id="rId2042" Type="http://schemas.openxmlformats.org/officeDocument/2006/relationships/hyperlink" Target="https://pacja.org.au/article/77927-how-we-got-here-a-contextual-review-of-the-better-access-initiative" TargetMode="External"/><Relationship Id="rId1987" Type="http://schemas.openxmlformats.org/officeDocument/2006/relationships/hyperlink" Target="https://pacja.org.au/article/77927-how-we-got-here-a-contextual-review-of-the-better-access-initiative#:~:text=,services%20through%20Better%20Access" TargetMode="External"/><Relationship Id="rId2568" Type="http://schemas.openxmlformats.org/officeDocument/2006/relationships/hyperlink" Target="https://pmc.ncbi.nlm.nih.gov/articles/PMC10730549/" TargetMode="External"/><Relationship Id="rId2034" Type="http://schemas.openxmlformats.org/officeDocument/2006/relationships/hyperlink" Target="https://pmc.ncbi.nlm.nih.gov/articles/PMC12386139/" TargetMode="External"/><Relationship Id="rId1964" Type="http://schemas.openxmlformats.org/officeDocument/2006/relationships/hyperlink" Target="https://pmc.ncbi.nlm.nih.gov/articles/PMC12386139/#:~:text=Partners%20in%20Practice%3A%20Primary%20Care,centered%20design%20that" TargetMode="External"/><Relationship Id="rId2028" Type="http://schemas.openxmlformats.org/officeDocument/2006/relationships/hyperlink" Target="https://pmc.ncbi.nlm.nih.gov/articles/PMC12649690/" TargetMode="External"/><Relationship Id="rId1947" Type="http://schemas.openxmlformats.org/officeDocument/2006/relationships/hyperlink" Target="https://pmc.ncbi.nlm.nih.gov/articles/PMC12649690/#:~:text=NIH%20pmc,promoting%20mental%20health%20adjustment%2C" TargetMode="External"/><Relationship Id="rId2548" Type="http://schemas.openxmlformats.org/officeDocument/2006/relationships/hyperlink" Target="https://pmc.ncbi.nlm.nih.gov/articles/PMC3248909/" TargetMode="External"/><Relationship Id="rId2577" Type="http://schemas.openxmlformats.org/officeDocument/2006/relationships/hyperlink" Target="https://pmc.ncbi.nlm.nih.gov/articles/PMC4655594/" TargetMode="External"/><Relationship Id="rId2549" Type="http://schemas.openxmlformats.org/officeDocument/2006/relationships/hyperlink" Target="https://pmc.ncbi.nlm.nih.gov/articles/PMC5645903/" TargetMode="External"/><Relationship Id="rId2046" Type="http://schemas.openxmlformats.org/officeDocument/2006/relationships/hyperlink" Target="https://pmc.ncbi.nlm.nih.gov/articles/PMC6953542/" TargetMode="External"/><Relationship Id="rId1996" Type="http://schemas.openxmlformats.org/officeDocument/2006/relationships/hyperlink" Target="https://pmc.ncbi.nlm.nih.gov/articles/PMC6953542/#:~:text=Leveraging%20collaborative%20care%20to%20improve,in%20diverse%20primary%20care%20settings" TargetMode="External"/><Relationship Id="rId2043" Type="http://schemas.openxmlformats.org/officeDocument/2006/relationships/hyperlink" Target="https://pmc.ncbi.nlm.nih.gov/articles/PMC7571905/" TargetMode="External"/><Relationship Id="rId1988" Type="http://schemas.openxmlformats.org/officeDocument/2006/relationships/hyperlink" Target="https://pmc.ncbi.nlm.nih.gov/articles/PMC7571905/#:~:text=Clinic%20pmc,treatment%20services%20to%20Australian%20adults" TargetMode="External"/><Relationship Id="rId2559" Type="http://schemas.openxmlformats.org/officeDocument/2006/relationships/hyperlink" Target="https://pmc.ncbi.nlm.nih.gov/articles/PMC7966858/" TargetMode="External"/><Relationship Id="rId2037" Type="http://schemas.openxmlformats.org/officeDocument/2006/relationships/hyperlink" Target="https://portale.fnomceo.it/corso-fad-intro-allintelligenza-artificiale-per-gli-operatori-sanitari/" TargetMode="External"/><Relationship Id="rId1969" Type="http://schemas.openxmlformats.org/officeDocument/2006/relationships/hyperlink" Target="https://portale.fnomceo.it/corso-fad-intro-allintelligenza-artificiale-per-gli-operatori-sanitari/#:~:text=,le%20professioni%20sanitarie%2C%20pensato" TargetMode="External"/><Relationship Id="rId2579" Type="http://schemas.openxmlformats.org/officeDocument/2006/relationships/hyperlink" Target="https://psychiatryonline.org/doi/10.1176/appi.ps.54.5.698" TargetMode="External"/><Relationship Id="rId2091" Type="http://schemas.openxmlformats.org/officeDocument/2006/relationships/hyperlink" Target="https://pubmed.ncbi.nlm.nih.gov/37870543/" TargetMode="External"/><Relationship Id="rId2079" Type="http://schemas.openxmlformats.org/officeDocument/2006/relationships/hyperlink" Target="https://pubmed.ncbi.nlm.nih.gov/37870543/#:~:text=PubMed%20pubmed.ncbi.nlm.nih.gov%20%20Difference,patients%20in%20collaborative%20care" TargetMode="External"/><Relationship Id="rId2021" Type="http://schemas.openxmlformats.org/officeDocument/2006/relationships/hyperlink" Target="https://pure.uva.nl/ws/files/219139956/Mental_Health_Europe_AI_report.pdf" TargetMode="External"/><Relationship Id="rId1931" Type="http://schemas.openxmlformats.org/officeDocument/2006/relationships/hyperlink" Target="https://pure.uva.nl/ws/files/219139956/Mental_Health_Europe_AI_report.pdf#:~:text=AI%20systems%20offer%20significant%20poten,popula%20ons%2C%20and%20reducing" TargetMode="External"/><Relationship Id="rId2020" Type="http://schemas.openxmlformats.org/officeDocument/2006/relationships/hyperlink" Target="https://robertavilla.substack.com/p/75-salute-mentale-e-intelligenza" TargetMode="External"/><Relationship Id="rId1930" Type="http://schemas.openxmlformats.org/officeDocument/2006/relationships/hyperlink" Target="https://robertavilla.substack.com/p/75-salute-mentale-e-intelligenza#:~:text=,latente%20e%20di%20predire" TargetMode="External"/><Relationship Id="rId277" Type="http://schemas.openxmlformats.org/officeDocument/2006/relationships/hyperlink" Target="https://roiinstitute.net/" TargetMode="External"/><Relationship Id="rId2085" Type="http://schemas.openxmlformats.org/officeDocument/2006/relationships/hyperlink" Target="https://science.anu.edu.au/news-events/news/digital-mental-health-programs-are-inexpensive-and-innovative-do-they-work" TargetMode="External"/><Relationship Id="rId2070" Type="http://schemas.openxmlformats.org/officeDocument/2006/relationships/hyperlink" Target="https://science.anu.edu.au/news-events/news/digital-mental-health-programs-are-inexpensive-and-innovative-do-they-work#:~:text=A%202020%20review%20of%20the,common%20mental%20health%20conditions%20benefited" TargetMode="External"/><Relationship Id="rId2081" Type="http://schemas.openxmlformats.org/officeDocument/2006/relationships/hyperlink" Target="https://science.anu.edu.au/news-events/news/digital-mental-health-programs-are-inexpensive-and-innovative-do-they-work#:~:text=Similarly%2C%20while%20AI%20chatbots%20have,as%20a%20substitute%20for%20therapy" TargetMode="External"/><Relationship Id="rId2062" Type="http://schemas.openxmlformats.org/officeDocument/2006/relationships/hyperlink" Target="https://science.anu.edu.au/news-events/news/digital-mental-health-programs-are-inexpensive-and-innovative-do-they-work#:~:text=health%20supports%20rather%20than%20as,standalone%20interventions" TargetMode="External"/><Relationship Id="rId2080" Type="http://schemas.openxmlformats.org/officeDocument/2006/relationships/hyperlink" Target="https://science.anu.edu.au/news-events/news/digital-mental-health-programs-are-inexpensive-and-innovative-do-they-work#:~:text=will%20be%20missing%2042,needed%20to%20meet%20the%20demand" TargetMode="External"/><Relationship Id="rId2575" Type="http://schemas.openxmlformats.org/officeDocument/2006/relationships/hyperlink" Target="https://siepr.stanford.edu/publications/policy-brief/how-better-access-mental-health-care-can-reduce-crime" TargetMode="External"/><Relationship Id="rId282" Type="http://schemas.openxmlformats.org/officeDocument/2006/relationships/hyperlink" Target="https://topol.hee.nhs.uk/" TargetMode="External"/><Relationship Id="rId2089" Type="http://schemas.openxmlformats.org/officeDocument/2006/relationships/hyperlink" Target="https://vb.nweurope.eu/media/5055/10-vlijter-002.pdf" TargetMode="External"/><Relationship Id="rId2076" Type="http://schemas.openxmlformats.org/officeDocument/2006/relationships/hyperlink" Target="https://vb.nweurope.eu/media/5055/10-vlijter-002.pdf#:~:text=%28e.g.%20Menzis%29%20o%2010,GGZ%20%28GPs" TargetMode="External"/><Relationship Id="rId2075" Type="http://schemas.openxmlformats.org/officeDocument/2006/relationships/hyperlink" Target="https://vb.nweurope.eu/media/5055/10-vlijter-002.pdf#:~:text=Legal%20and%20policy%20framework%20,patients%20returns%20within%202%20years" TargetMode="External"/><Relationship Id="rId2078" Type="http://schemas.openxmlformats.org/officeDocument/2006/relationships/hyperlink" Target="https://vb.nweurope.eu/media/5055/10-vlijter-002.pdf#:~:text=o%20Clear%20costs%20reductions%20in,%E2%96%AB%20EMH" TargetMode="External"/><Relationship Id="rId2024" Type="http://schemas.openxmlformats.org/officeDocument/2006/relationships/hyperlink" Target="https://www-ggz-acc.azurewebsites.net/getmedia/46e02dab-717a-4a9a-a0a6-83366e7c0be0/ggznl-Factsheet-eHealth-English_14052013.pdf" TargetMode="External"/><Relationship Id="rId1939" Type="http://schemas.openxmlformats.org/officeDocument/2006/relationships/hyperlink" Target="https://www-ggz-acc.azurewebsites.net/getmedia/46e02dab-717a-4a9a-a0a6-83366e7c0be0/ggznl-Factsheet-eHealth-English_14052013.pdf#:~:text=%5BPDF%5D%20E,Mental%20Health" TargetMode="External"/><Relationship Id="rId2653" Type="http://schemas.openxmlformats.org/officeDocument/2006/relationships/hyperlink" Target="https://www.2minutemedicine.com/mental-health-chatbot-woebot-shown-to-help-with-postpartum-depression-and-anxiety-2/" TargetMode="External"/><Relationship Id="rId2645" Type="http://schemas.openxmlformats.org/officeDocument/2006/relationships/hyperlink" Target="https://www.2minutemedicine.com/mental-health-chatbot-woebot-shown-to-help-with-postpartum-depression-and-anxiety-2/#:~:text=Key%20Points%3A%201,sizes%20across%20multiple%20psychometric%20scales" TargetMode="External"/><Relationship Id="rId2646" Type="http://schemas.openxmlformats.org/officeDocument/2006/relationships/hyperlink" Target="https://www.2minutemedicine.com/mental-health-chatbot-woebot-shown-to-help-with-postpartum-depression-and-anxiety-2/#:~:text=assigned%20to%20either%20a%20six,was%20well%20tolerated%2C%20with%20no" TargetMode="External"/><Relationship Id="rId2647" Type="http://schemas.openxmlformats.org/officeDocument/2006/relationships/hyperlink" Target="https://www.2minutemedicine.com/mental-health-chatbot-woebot-shown-to-help-with-postpartum-depression-and-anxiety-2/#:~:text=scores%20also%20improved%20meaningfully,health%20support%20to%20underserved%20populations" TargetMode="External"/><Relationship Id="rId2040" Type="http://schemas.openxmlformats.org/officeDocument/2006/relationships/hyperlink" Target="https://www.abc.net.au/news/2024-05-16/digital-mental-health-services-falls-short-say-psych-groups/103852996" TargetMode="External"/><Relationship Id="rId1993" Type="http://schemas.openxmlformats.org/officeDocument/2006/relationships/hyperlink" Target="https://www.abc.net.au/news/2024-05-16/digital-mental-health-services-falls-short-say-psych-groups/103852996#:~:text=Access%20to%20up%20to%2010,the%20new%20platform%20could%20provide" TargetMode="External"/><Relationship Id="rId1994" Type="http://schemas.openxmlformats.org/officeDocument/2006/relationships/hyperlink" Target="https://www.abc.net.au/news/2024-05-16/digital-mental-health-services-falls-short-say-psych-groups/103852996#:~:text=Mental%20health%20groups%20say%20the,workers%20was%20more%20urgently%20needed" TargetMode="External"/><Relationship Id="rId1992" Type="http://schemas.openxmlformats.org/officeDocument/2006/relationships/hyperlink" Target="https://www.abc.net.au/news/2024-05-16/digital-mental-health-services-falls-short-say-psych-groups/103852996#:~:text=The%20federal%20government%20says%20it,experiencing%20temporary%20periods%20of%20distress" TargetMode="External"/><Relationship Id="rId1978" Type="http://schemas.openxmlformats.org/officeDocument/2006/relationships/hyperlink" Target="https://www.abc.net.au/news/2024-05-16/digital-mental-health-services-falls-short-say-psych-groups/103852996#:~:text=The%20government%20has%20been%20keen,by%20humans%2C%20not%20artificial%20intelligence" TargetMode="External"/><Relationship Id="rId1995" Type="http://schemas.openxmlformats.org/officeDocument/2006/relationships/hyperlink" Target="https://www.abc.net.au/news/2024-05-16/digital-mental-health-services-falls-short-say-psych-groups/103852996#:~:text=potential%20services%20the%20new%20platform,could%20provide" TargetMode="External"/><Relationship Id="rId2087" Type="http://schemas.openxmlformats.org/officeDocument/2006/relationships/hyperlink" Target="https://www.advisory.com/sponsored/collaborative-care-model" TargetMode="External"/><Relationship Id="rId2068" Type="http://schemas.openxmlformats.org/officeDocument/2006/relationships/hyperlink" Target="https://www.advisory.com/sponsored/collaborative-care-model#:~:text=How%20the%20collaborative%20care%20model," TargetMode="External"/><Relationship Id="rId112" Type="http://schemas.openxmlformats.org/officeDocument/2006/relationships/hyperlink" Target="https://www.agenas.gov.it/" TargetMode="External"/><Relationship Id="rId286" Type="http://schemas.openxmlformats.org/officeDocument/2006/relationships/hyperlink" Target="https://www.agenas.gov.it/aree-tematiche/ecm" TargetMode="External"/><Relationship Id="rId2026" Type="http://schemas.openxmlformats.org/officeDocument/2006/relationships/hyperlink" Target="https://www.ahadata.com/system/files/media/file/2024/04/2023-AHA-Annual-Survey-Information-Technology-Supplement.pdf" TargetMode="External"/><Relationship Id="rId1942" Type="http://schemas.openxmlformats.org/officeDocument/2006/relationships/hyperlink" Target="https://www.ahadata.com/system/files/media/file/2024/04/2023-AHA-Annual-Survey-Information-Technology-Supplement.pdf#:~:text=,d" TargetMode="External"/><Relationship Id="rId104" Type="http://schemas.openxmlformats.org/officeDocument/2006/relationships/hyperlink" Target="https://www.aifa.gov.it/rapporti-osmed" TargetMode="External"/><Relationship Id="rId2039" Type="http://schemas.openxmlformats.org/officeDocument/2006/relationships/hyperlink" Target="https://www.annfammed.org/content/22/6/570" TargetMode="External"/><Relationship Id="rId1971" Type="http://schemas.openxmlformats.org/officeDocument/2006/relationships/hyperlink" Target="https://www.annfammed.org/content/22/6/570#:~:text=Bridging%20the%20Gap%3A%20Transforming%20Primary,care%20residents%2C%20and%20practicing" TargetMode="External"/><Relationship Id="rId2564" Type="http://schemas.openxmlformats.org/officeDocument/2006/relationships/hyperlink" Target="https://www.businesswire.com/news/home/20240205938200/en/Limbic-AI-Increases-Mental-Health-Access-for-Minority-Groups-Finds-Nature-Medicine-Peer-Reviewed-Study" TargetMode="External"/><Relationship Id="rId290" Type="http://schemas.openxmlformats.org/officeDocument/2006/relationships/hyperlink" Target="https://www.cambridge.org/9780521663632" TargetMode="External"/><Relationship Id="rId288" Type="http://schemas.openxmlformats.org/officeDocument/2006/relationships/hyperlink" Target="https://www.ccl.org/" TargetMode="External"/><Relationship Id="rId2652" Type="http://schemas.openxmlformats.org/officeDocument/2006/relationships/hyperlink" Target="https://www.cheshireandmerseyside.nhs.uk/posts/innovative-ai-technology-streamlines-mental-health-referral-and-assessment-process-to-help-guide-people-to-the-right-support/" TargetMode="External"/><Relationship Id="rId2641" Type="http://schemas.openxmlformats.org/officeDocument/2006/relationships/hyperlink" Target="https://www.cheshireandmerseyside.nhs.uk/posts/innovative-ai-technology-streamlines-mental-health-referral-and-assessment-process-to-help-guide-people-to-the-right-support/#:~:text=%E2%80%98Limbic%20%E2%80%98AI%E2%80%99%20assists%20psychological%20therapists,services%20they%20require%20much%20quicker" TargetMode="External"/><Relationship Id="rId2640" Type="http://schemas.openxmlformats.org/officeDocument/2006/relationships/hyperlink" Target="https://www.cheshireandmerseyside.nhs.uk/posts/innovative-ai-technology-streamlines-mental-health-referral-and-assessment-process-to-help-guide-people-to-the-right-support/#:~:text=mental%20health%20challenges%2C%20including%20anxiety,and%20depression" TargetMode="External"/><Relationship Id="rId2642" Type="http://schemas.openxmlformats.org/officeDocument/2006/relationships/hyperlink" Target="https://www.cheshireandmerseyside.nhs.uk/posts/innovative-ai-technology-streamlines-mental-health-referral-and-assessment-process-to-help-guide-people-to-the-right-support/#:~:text=people%20looking%20for%20support%20are,services%20they%20require%20much%20quicker" TargetMode="External"/><Relationship Id="rId2644" Type="http://schemas.openxmlformats.org/officeDocument/2006/relationships/hyperlink" Target="https://www.cheshireandmerseyside.nhs.uk/posts/innovative-ai-technology-streamlines-mental-health-referral-and-assessment-process-to-help-guide-people-to-the-right-support/#:~:text=to%20a%20patient%E2%80%99s%20mental%20health,services%20they%20require%20much%20quicker" TargetMode="External"/><Relationship Id="rId2017"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Relationship Id="rId1922"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text=The%20overall%20wait%20time%20to,not%20require%20psychiatric%20consultation%20later" TargetMode="External"/><Relationship Id="rId1920"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text=This%20project%20recruited%20patients%20on,with%20the%20artificial%20intelligence%20recommendations" TargetMode="External"/><Relationship Id="rId1927"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text=treatment%20intensity%20and%20psychotherapy%20program,not%20require%20psychiatric%20consultation%20later" TargetMode="External"/><Relationship Id="rId1923"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text=weeks%20after%20completing%20the%20triage,not%20require%20psychiatric%20consultation%20later" TargetMode="External"/><Relationship Id="rId285" Type="http://schemas.openxmlformats.org/officeDocument/2006/relationships/hyperlink" Target="https://www.consiglio.puglia.it/" TargetMode="External"/><Relationship Id="rId2014" Type="http://schemas.openxmlformats.org/officeDocument/2006/relationships/hyperlink" Target="https://www.corriere.it/salute/figli-genitori/25_ottobre_10/salute-mentale-il-63-dei-giovani-si-rivolge-all-intelligenza-artificiale-quando-ha-una-difficolta-emotiva-93418828-872f-4dd5-b260-70bd51bf0xlk.shtml" TargetMode="External"/><Relationship Id="rId1910" Type="http://schemas.openxmlformats.org/officeDocument/2006/relationships/hyperlink" Target="https://www.corriere.it/salute/figli-genitori/25_ottobre_10/salute-mentale-il-63-dei-giovani-si-rivolge-all-intelligenza-artificiale-quando-ha-una-difficolta-emotiva-93418828-872f-4dd5-b260-70bd51bf0xlk.shtml#:~:text=%C2%ABEstremizzando%2C%20l%E2%80%99AI%20sta%20rappresentando%20un,quindi%20fare%20informazione%20e%20formazione%C2%BB" TargetMode="External"/><Relationship Id="rId2009" Type="http://schemas.openxmlformats.org/officeDocument/2006/relationships/hyperlink" Target="https://www.corriere.it/salute/figli-genitori/25_ottobre_10/salute-mentale-il-63-dei-giovani-si-rivolge-all-intelligenza-artificiale-quando-ha-una-difficolta-emotiva-93418828-872f-4dd5-b260-70bd51bf0xlk.shtml#:~:text=%C2%ABIn%20alcuni%20casi%20c%E2%80%99%C3%A8%20lo,Per%20esempio%2C%20contattando" TargetMode="External"/><Relationship Id="rId1961" Type="http://schemas.openxmlformats.org/officeDocument/2006/relationships/hyperlink" Target="https://www.corriere.it/salute/figli-genitori/25_ottobre_10/salute-mentale-il-63-dei-giovani-si-rivolge-all-intelligenza-artificiale-quando-ha-una-difficolta-emotiva-93418828-872f-4dd5-b260-70bd51bf0xlk.shtml#:~:text=Disagio%20psicologico%20o%20emotivo%20per,19%2C%20i" TargetMode="External"/><Relationship Id="rId1907" Type="http://schemas.openxmlformats.org/officeDocument/2006/relationships/hyperlink" Target="https://www.corriere.it/salute/figli-genitori/25_ottobre_10/salute-mentale-il-63-dei-giovani-si-rivolge-all-intelligenza-artificiale-quando-ha-una-difficolta-emotiva-93418828-872f-4dd5-b260-70bd51bf0xlk.shtml#:~:text=Disagio%20psicologico%20o%20emotivo%20per,su%20scala%20globale%3B%20il%20Mind" TargetMode="External"/><Relationship Id="rId1908" Type="http://schemas.openxmlformats.org/officeDocument/2006/relationships/hyperlink" Target="https://www.corriere.it/salute/figli-genitori/25_ottobre_10/salute-mentale-il-63-dei-giovani-si-rivolge-all-intelligenza-artificiale-quando-ha-una-difficolta-emotiva-93418828-872f-4dd5-b260-70bd51bf0xlk.shtml#:~:text=Health%20Report%2C%20curato%20da%20Axa,pi%C3%B9%20in%20soli%204%20anni" TargetMode="External"/><Relationship Id="rId1909" Type="http://schemas.openxmlformats.org/officeDocument/2006/relationships/hyperlink" Target="https://www.corriere.it/salute/figli-genitori/25_ottobre_10/salute-mentale-il-63-dei-giovani-si-rivolge-all-intelligenza-artificiale-quando-ha-una-difficolta-emotiva-93418828-872f-4dd5-b260-70bd51bf0xlk.shtml#:~:text=Il%2026,di%20chi%20non%20si%20%C3%A8" TargetMode="External"/><Relationship Id="rId1946" Type="http://schemas.openxmlformats.org/officeDocument/2006/relationships/hyperlink" Target="https://www.corriere.it/salute/figli-genitori/25_ottobre_10/salute-mentale-il-63-dei-giovani-si-rivolge-all-intelligenza-artificiale-quando-ha-una-difficolta-emotiva-93418828-872f-4dd5-b260-70bd51bf0xlk.shtml#:~:text=Ricevere%20un%20adeguato%20supporto%20psichiatrico,sul%20territorio%2C%20distribuiti%20peraltro%20in" TargetMode="External"/><Relationship Id="rId1950" Type="http://schemas.openxmlformats.org/officeDocument/2006/relationships/hyperlink" Target="https://www.corriere.it/salute/figli-genitori/25_ottobre_10/salute-mentale-il-63-dei-giovani-si-rivolge-all-intelligenza-artificiale-quando-ha-una-difficolta-emotiva-93418828-872f-4dd5-b260-70bd51bf0xlk.shtml#:~:text=nel%20Mezzogiorno%20la%20copertura%20di,delle%20barriere%20linguistiche%20e%20culturali" TargetMode="External"/><Relationship Id="rId118" Type="http://schemas.openxmlformats.org/officeDocument/2006/relationships/hyperlink" Target="https://www.cortecostituzionale.it/" TargetMode="External"/><Relationship Id="rId2553" Type="http://schemas.openxmlformats.org/officeDocument/2006/relationships/hyperlink" Target="https://www.devlinpeck.com/content/kirkpatrick-model-evaluation" TargetMode="External"/><Relationship Id="rId2084" Type="http://schemas.openxmlformats.org/officeDocument/2006/relationships/hyperlink" Target="https://www.digitalhealth.net/2025/10/major-nhs-trial-of-ai-powered-productivity-tool-delivers-cost-savings/" TargetMode="External"/><Relationship Id="rId2063" Type="http://schemas.openxmlformats.org/officeDocument/2006/relationships/hyperlink" Target="https://www.digitalhealth.net/2025/10/major-nhs-trial-of-ai-powered-productivity-tool-delivers-cost-savings/#:~:text=A%20trial%20of%20Microsoft%E2%80%99s%20AI,a%20day%20per%20staff%20member" TargetMode="External"/><Relationship Id="rId2064" Type="http://schemas.openxmlformats.org/officeDocument/2006/relationships/hyperlink" Target="https://www.digitalhealth.net/2025/10/major-nhs-trial-of-ai-powered-productivity-tool-delivers-cost-savings/#:~:text=Darren%20Hardman%2C%20chief%20executive%20of,of%20AI%20to%20transform%20healthcare" TargetMode="External"/><Relationship Id="rId2072" Type="http://schemas.openxmlformats.org/officeDocument/2006/relationships/hyperlink" Target="https://www.digitalhealth.net/2025/10/major-nhs-trial-of-ai-powered-productivity-tool-delivers-cost-savings/#:~:text=NHS%20England%20estimates%20that%20the,in%20cost%20savings%20a%20year" TargetMode="External"/><Relationship Id="rId2066" Type="http://schemas.openxmlformats.org/officeDocument/2006/relationships/hyperlink" Target="https://www.digitalhealth.net/2025/10/major-nhs-trial-of-ai-powered-productivity-tool-delivers-cost-savings/#:~:text=Results%20of%20the%20pilot%2C%20based,five%20weeks%20per%20person%20annually" TargetMode="External"/><Relationship Id="rId2058" Type="http://schemas.openxmlformats.org/officeDocument/2006/relationships/hyperlink" Target="https://www.digitalhealth.net/2025/10/major-nhs-trial-of-ai-powered-productivity-tool-delivers-cost-savings/#:~:text=The%20trial%20builds%20on%20an,secure%20products%20at%20reduced%20cost" TargetMode="External"/><Relationship Id="rId2036" Type="http://schemas.openxmlformats.org/officeDocument/2006/relationships/hyperlink" Target="https://www.england.nhs.uk/blog/iapt-at-10-achievements-and-challenges/" TargetMode="External"/><Relationship Id="rId1979" Type="http://schemas.openxmlformats.org/officeDocument/2006/relationships/hyperlink" Target="https://www.england.nhs.uk/blog/iapt-at-10-achievements-and-challenges/#:~:text=%2A%20staff%20well,on%20developments%20in%20digital%20healthcare" TargetMode="External"/><Relationship Id="rId1976" Type="http://schemas.openxmlformats.org/officeDocument/2006/relationships/hyperlink" Target="https://www.england.nhs.uk/blog/iapt-at-10-achievements-and-challenges/#:~:text=Digitally%20assisted%20therapies%2C%20where%20patients,help%20ensure%20they%20stay%20well" TargetMode="External"/><Relationship Id="rId1977" Type="http://schemas.openxmlformats.org/officeDocument/2006/relationships/hyperlink" Target="https://www.england.nhs.uk/blog/iapt-at-10-achievements-and-challenges/#:~:text=IAPT%20has%20attracted%20favourable%20international,like%20services" TargetMode="External"/><Relationship Id="rId1966" Type="http://schemas.openxmlformats.org/officeDocument/2006/relationships/hyperlink" Target="https://www.england.nhs.uk/blog/iapt-at-10-achievements-and-challenges/#:~:text=IAPT%20has%20grown%20each%20year,they%20are%20classified%20as%20recovered" TargetMode="External"/><Relationship Id="rId1975" Type="http://schemas.openxmlformats.org/officeDocument/2006/relationships/hyperlink" Target="https://www.england.nhs.uk/blog/iapt-at-10-achievements-and-challenges/#:~:text=Integrated%20IAPT%20needs%20to%20expand,to%20the%20whole%20of%20England" TargetMode="External"/><Relationship Id="rId1973" Type="http://schemas.openxmlformats.org/officeDocument/2006/relationships/hyperlink" Target="https://www.england.nhs.uk/blog/iapt-at-10-achievements-and-challenges/#:~:text=International%20praise" TargetMode="External"/><Relationship Id="rId1967" Type="http://schemas.openxmlformats.org/officeDocument/2006/relationships/hyperlink" Target="https://www.england.nhs.uk/blog/iapt-at-10-achievements-and-challenges/#:~:text=days,they%20are%20classified%20as%20recovered" TargetMode="External"/><Relationship Id="rId1974" Type="http://schemas.openxmlformats.org/officeDocument/2006/relationships/hyperlink" Target="https://www.england.nhs.uk/blog/iapt-at-10-achievements-and-challenges/#:~:text=unique%20exercise%20in%20public%20transparency%2C,help%20they%20provide%20to%20patients" TargetMode="External"/><Relationship Id="rId108" Type="http://schemas.openxmlformats.org/officeDocument/2006/relationships/hyperlink" Target="https://www.epicentro.iss.it/" TargetMode="External"/><Relationship Id="rId103" Type="http://schemas.openxmlformats.org/officeDocument/2006/relationships/hyperlink" Target="https://www.epicentro.iss.it/passi/" TargetMode="External"/><Relationship Id="rId283" Type="http://schemas.openxmlformats.org/officeDocument/2006/relationships/hyperlink" Target="https://www.europsy.eu/" TargetMode="External"/><Relationship Id="rId2566" Type="http://schemas.openxmlformats.org/officeDocument/2006/relationships/hyperlink" Target="https://www.fiercehealthcare.com/health-tech/rogers-behavioral-health-teams-ai-company-limbic-speed-patient-intake" TargetMode="External"/><Relationship Id="rId113" Type="http://schemas.openxmlformats.org/officeDocument/2006/relationships/hyperlink" Target="https://www.fimmg.org/" TargetMode="External"/><Relationship Id="rId2041" Type="http://schemas.openxmlformats.org/officeDocument/2006/relationships/hyperlink" Target="https://www.frontiersin.org/journals/psychiatry/articles/10.3389/fpsyt.2021.775738/full" TargetMode="External"/><Relationship Id="rId1984" Type="http://schemas.openxmlformats.org/officeDocument/2006/relationships/hyperlink" Target="https://www.frontiersin.org/journals/psychiatry/articles/10.3389/fpsyt.2021.775738/full#:~:text=Online%20Consultations%20Between%20General%20Practitioners,broad%20range%20of%20mental" TargetMode="External"/><Relationship Id="rId114" Type="http://schemas.openxmlformats.org/officeDocument/2006/relationships/hyperlink" Target="https://www.gazzettaufficiale.it/" TargetMode="External"/><Relationship Id="rId284" Type="http://schemas.openxmlformats.org/officeDocument/2006/relationships/hyperlink" Target="https://www.gazzettaufficiale.it/eli/id/2021/11/19/21G00175/sg" TargetMode="External"/><Relationship Id="rId111" Type="http://schemas.openxmlformats.org/officeDocument/2006/relationships/hyperlink" Target="https://www.gimbe.org/" TargetMode="External"/><Relationship Id="rId2045" Type="http://schemas.openxmlformats.org/officeDocument/2006/relationships/hyperlink" Target="https://www.i-jmr.org/2025/1/e67460" TargetMode="External"/><Relationship Id="rId1990" Type="http://schemas.openxmlformats.org/officeDocument/2006/relationships/hyperlink" Target="https://www.i-jmr.org/2025/1/e67460#:~:text=Digital%20Health%20for%20Australia%3A%20Bridging,facing%20access%20barriers%2C%20and" TargetMode="External"/><Relationship Id="rId1991" Type="http://schemas.openxmlformats.org/officeDocument/2006/relationships/hyperlink" Target="https://www.i-jmr.org/2025/1/e67460#:~:text=Mindspot%20provides%20mental%20health%20services,facing%20access%20barriers%2C%20and" TargetMode="External"/><Relationship Id="rId2030" Type="http://schemas.openxmlformats.org/officeDocument/2006/relationships/hyperlink" Target="https://www.idego.it/co-adapt/psicologia-intelligenza-artificiale/" TargetMode="External"/><Relationship Id="rId1953" Type="http://schemas.openxmlformats.org/officeDocument/2006/relationships/hyperlink" Target="https://www.idego.it/co-adapt/psicologia-intelligenza-artificiale/#:~:text=Psicologia%20e%20Intelligenza%20Artificiale%3A%20Italia,%C3%A8%20protagonista%20grazie%20a%20IDEGO" TargetMode="External"/><Relationship Id="rId2542" Type="http://schemas.openxmlformats.org/officeDocument/2006/relationships/hyperlink" Target="https://www.ilsole24ore.com/radiocor/nRC_04.02.2025_13.57_440" TargetMode="External"/><Relationship Id="rId1008" Type="http://schemas.openxmlformats.org/officeDocument/2006/relationships/hyperlink" Target="https://www.improvingchroniccare.org" TargetMode="External"/><Relationship Id="rId2083" Type="http://schemas.openxmlformats.org/officeDocument/2006/relationships/hyperlink" Target="https://www.inquira.health/en/blog/the-roi-of-ai-powered-care-administration-reducing-costs-while-improving-care" TargetMode="External"/><Relationship Id="rId2055" Type="http://schemas.openxmlformats.org/officeDocument/2006/relationships/hyperlink" Target="https://www.inquira.health/en/blog/the-roi-of-ai-powered-care-administration-reducing-costs-while-improving-care#:~:text=AI,can%20increase%20revenue%20by%20capturing" TargetMode="External"/><Relationship Id="rId2054" Type="http://schemas.openxmlformats.org/officeDocument/2006/relationships/hyperlink" Target="https://www.inquira.health/en/blog/the-roi-of-ai-powered-care-administration-reducing-costs-while-improving-care#:~:text=Appointment%20Scheduling%20and%20Call%20Centres" TargetMode="External"/><Relationship Id="rId2057" Type="http://schemas.openxmlformats.org/officeDocument/2006/relationships/hyperlink" Target="https://www.inquira.health/en/blog/the-roi-of-ai-powered-care-administration-reducing-costs-while-improving-care#:~:text=No" TargetMode="External"/><Relationship Id="rId2052" Type="http://schemas.openxmlformats.org/officeDocument/2006/relationships/hyperlink" Target="https://www.inquira.health/en/blog/the-roi-of-ai-powered-care-administration-reducing-costs-while-improving-care#:~:text=Staff%20Productivity%20and%20Retention" TargetMode="External"/><Relationship Id="rId2053" Type="http://schemas.openxmlformats.org/officeDocument/2006/relationships/hyperlink" Target="https://www.inquira.health/en/blog/the-roi-of-ai-powered-care-administration-reducing-costs-while-improving-care#:~:text=and%20natural%20language%20processing,more%20attention%20to%20complex%20tasks" TargetMode="External"/><Relationship Id="rId2056" Type="http://schemas.openxmlformats.org/officeDocument/2006/relationships/hyperlink" Target="https://www.inquira.health/en/blog/the-roi-of-ai-powered-care-administration-reducing-costs-while-improving-care#:~:text=handling%2080,can%20increase%20revenue%20by%20capturing" TargetMode="External"/><Relationship Id="rId2032" Type="http://schemas.openxmlformats.org/officeDocument/2006/relationships/hyperlink" Target="https://www.internationalmentalhealth.nl/blog/2019/9/14/dutch-mental-health-care-explained" TargetMode="External"/><Relationship Id="rId1980" Type="http://schemas.openxmlformats.org/officeDocument/2006/relationships/hyperlink" Target="https://www.internationalmentalhealth.nl/blog/2019/9/14/dutch-mental-health-care-explained#:~:text=1.%C2%A0%C2%A0%C2%A0%C2%A0%C2%A0%C2%A0%20Anonymous%20e,management%20of%20patients" TargetMode="External"/><Relationship Id="rId1957" Type="http://schemas.openxmlformats.org/officeDocument/2006/relationships/hyperlink" Target="https://www.internationalmentalhealth.nl/blog/2019/9/14/dutch-mental-health-care-explained#:~:text=2.%C2%A0%C2%A0%C2%A0%C2%A0%C2%A0%C2%A0%20Short,up%20to%20about%20seven%20sessions" TargetMode="External"/><Relationship Id="rId1981" Type="http://schemas.openxmlformats.org/officeDocument/2006/relationships/hyperlink" Target="https://www.internationalmentalhealth.nl/blog/2019/9/14/dutch-mental-health-care-explained#:~:text=3,BGGZ" TargetMode="External"/><Relationship Id="rId1985" Type="http://schemas.openxmlformats.org/officeDocument/2006/relationships/hyperlink" Target="https://www.internationalmentalhealth.nl/blog/2019/9/14/dutch-mental-health-care-explained#:~:text=Dutch%20mental%20health%20care%20explained,GGZ%2C%20basic" TargetMode="External"/><Relationship Id="rId1986" Type="http://schemas.openxmlformats.org/officeDocument/2006/relationships/hyperlink" Target="https://www.internationalmentalhealth.nl/blog/2019/9/14/dutch-mental-health-care-explained#:~:text=Even%20though%20the%20Dutch%20health,right%20person%20to%20help%20you" TargetMode="External"/><Relationship Id="rId1958" Type="http://schemas.openxmlformats.org/officeDocument/2006/relationships/hyperlink" Target="https://www.internationalmentalhealth.nl/blog/2019/9/14/dutch-mental-health-care-explained#:~:text=The%20GP%20treats%20minor%20psychological,up%20to%20about%20seven%20sessions" TargetMode="External"/><Relationship Id="rId101" Type="http://schemas.openxmlformats.org/officeDocument/2006/relationships/hyperlink" Target="https://www.istat.it/" TargetMode="External"/><Relationship Id="rId102" Type="http://schemas.openxmlformats.org/officeDocument/2006/relationships/hyperlink" Target="https://www.istat.it/it/popolazione-e-famiglie" TargetMode="External"/><Relationship Id="rId115" Type="http://schemas.openxmlformats.org/officeDocument/2006/relationships/hyperlink" Target="https://www.italiadomani.gov.it/" TargetMode="External"/><Relationship Id="rId276" Type="http://schemas.openxmlformats.org/officeDocument/2006/relationships/hyperlink" Target="https://www.kirkpatrickpartners.com/the-kirkpatrick-model/" TargetMode="External"/><Relationship Id="rId2018" Type="http://schemas.openxmlformats.org/officeDocument/2006/relationships/hyperlink" Target="https://www.limbic.ai/blog/class-ii-a" TargetMode="External"/><Relationship Id="rId1960" Type="http://schemas.openxmlformats.org/officeDocument/2006/relationships/hyperlink" Target="https://www.limbic.ai/blog/class-ii-a#:~:text=%27At%20Insight%20IAPT%2C%20we%20embrace,in%20access%20across%20our%20services" TargetMode="External"/><Relationship Id="rId2051" Type="http://schemas.openxmlformats.org/officeDocument/2006/relationships/hyperlink" Target="https://www.limbic.ai/blog/class-ii-a#:~:text=%2A%2045,shorter%20wait%20time%20for%20treatment" TargetMode="External"/><Relationship Id="rId2061" Type="http://schemas.openxmlformats.org/officeDocument/2006/relationships/hyperlink" Target="https://www.limbic.ai/blog/class-ii-a#:~:text=%2A%205,for%20treatment" TargetMode="External"/><Relationship Id="rId2006" Type="http://schemas.openxmlformats.org/officeDocument/2006/relationships/hyperlink" Target="https://www.limbic.ai/blog/class-ii-a#:~:text=Its%20certification%20comes%20as%20NHS,services%20over%20the%20last%20year" TargetMode="External"/><Relationship Id="rId1925" Type="http://schemas.openxmlformats.org/officeDocument/2006/relationships/hyperlink" Target="https://www.limbic.ai/blog/class-ii-a#:~:text=Limbic%20Access%20can%20classify%20the,led%20clinical%20assessment" TargetMode="External"/><Relationship Id="rId1926" Type="http://schemas.openxmlformats.org/officeDocument/2006/relationships/hyperlink" Target="https://www.limbic.ai/blog/class-ii-a#:~:text=Limbic%20Access%20helps%20deliver%3A" TargetMode="External"/><Relationship Id="rId1945" Type="http://schemas.openxmlformats.org/officeDocument/2006/relationships/hyperlink" Target="https://www.limbic.ai/blog/class-ii-a#:~:text=Limbic%20Access%20is%20already%20working,critical%20time%20released%20for%20staff" TargetMode="External"/><Relationship Id="rId2002" Type="http://schemas.openxmlformats.org/officeDocument/2006/relationships/hyperlink" Target="https://www.limbic.ai/blog/class-ii-a#:~:text=Limbic%20Access%2C%20a%20ground," TargetMode="External"/><Relationship Id="rId1924" Type="http://schemas.openxmlformats.org/officeDocument/2006/relationships/hyperlink" Target="https://www.limbic.ai/blog/class-ii-a#:~:text=Limbic%20Access%2C%20a%20ground,effectiveness%2C%20safety%20and%20risk%20management" TargetMode="External"/><Relationship Id="rId1921" Type="http://schemas.openxmlformats.org/officeDocument/2006/relationships/hyperlink" Target="https://www.limbic.ai/blog/class-ii-a#:~:text=The%20certification%20confirms%20that%20Limbic,clinicians%20and%20improving%20patient%20outcomes" TargetMode="External"/><Relationship Id="rId1962" Type="http://schemas.openxmlformats.org/officeDocument/2006/relationships/hyperlink" Target="https://www.limbic.ai/blog/class-ii-a#:~:text=When%20we%20launched%20Limbic%20AI,in%20access%20across%20our%20services" TargetMode="External"/><Relationship Id="rId2563" Type="http://schemas.openxmlformats.org/officeDocument/2006/relationships/hyperlink" Target="https://www.limbic.ai/research/closing-accessibility-gap" TargetMode="External"/><Relationship Id="rId2016" Type="http://schemas.openxmlformats.org/officeDocument/2006/relationships/hyperlink" Target="https://www.mentalhealtheurope.org/mental-health-europe-launches-a-study-on-artificial-intelligence-in-mental-healthcare/" TargetMode="External"/><Relationship Id="rId1952" Type="http://schemas.openxmlformats.org/officeDocument/2006/relationships/hyperlink" Target="https://www.mentalhealtheurope.org/mental-health-europe-launches-a-study-on-artificial-intelligence-in-mental-healthcare/#:~:text=AI%20systems%20offer%20significant%20potential,accuracy%2C%20and%20supporting%20timely%20interventions" TargetMode="External"/><Relationship Id="rId2007" Type="http://schemas.openxmlformats.org/officeDocument/2006/relationships/hyperlink" Target="https://www.mentalhealtheurope.org/mental-health-europe-launches-a-study-on-artificial-intelligence-in-mental-healthcare/#:~:text=However%2C%20AI%20systems%20in%20mental,care%2C%20and%20diverting%20limited%20resources" TargetMode="External"/><Relationship Id="rId1951" Type="http://schemas.openxmlformats.org/officeDocument/2006/relationships/hyperlink" Target="https://www.mentalhealtheurope.org/mental-health-europe-launches-a-study-on-artificial-intelligence-in-mental-healthcare/#:~:text=In%20mental%20healthcare%2C%20AI%20systems,digital%20therapies%20and%20patient%20monitoring" TargetMode="External"/><Relationship Id="rId1918" Type="http://schemas.openxmlformats.org/officeDocument/2006/relationships/hyperlink" Target="https://www.mentalhealtheurope.org/mental-health-europe-launches-a-study-on-artificial-intelligence-in-mental-healthcare/#:~:text=It%20is%20argued%20that%20AI,and%20balanced%20outcomes%20and%20preventing" TargetMode="External"/><Relationship Id="rId2574" Type="http://schemas.openxmlformats.org/officeDocument/2006/relationships/hyperlink" Target="https://www.mhinnovation.net/sites/default/files/content/document/Three-year-report.pdf" TargetMode="External"/><Relationship Id="rId2033" Type="http://schemas.openxmlformats.org/officeDocument/2006/relationships/hyperlink" Target="https://www.mja.com.au/journal/2012/197/3/better-outcomes-or-better-access-which-was-better-mental-health-care" TargetMode="External"/><Relationship Id="rId1963" Type="http://schemas.openxmlformats.org/officeDocument/2006/relationships/hyperlink" Target="https://www.mja.com.au/journal/2012/197/3/better-outcomes-or-better-access-which-was-better-mental-health-care#:~:text=Better%20Outcomes%20or%20Better%20Access,decreased%20significantly%20among%20the" TargetMode="External"/><Relationship Id="rId2562" Type="http://schemas.openxmlformats.org/officeDocument/2006/relationships/hyperlink" Target="https://www.nature.com/articles/s41591-023-02766-x" TargetMode="External"/><Relationship Id="rId2086" Type="http://schemas.openxmlformats.org/officeDocument/2006/relationships/hyperlink" Target="https://www.nature.com/articles/s41746-020-0293-8?error=cookies_not_supported&amp;code=4d369c1e-08c9-43ff-b810-c654320b1747" TargetMode="External"/><Relationship Id="rId2073" Type="http://schemas.openxmlformats.org/officeDocument/2006/relationships/hyperlink" Target="https://www.nature.com/articles/s41746-020-0293-8?error=cookies_not_supported&amp;code=4d369c1e-08c9-43ff-b810-c654320b1747#:~:text=Intention,pragmatic%20trial%20design%20supports%20the" TargetMode="External"/><Relationship Id="rId2074" Type="http://schemas.openxmlformats.org/officeDocument/2006/relationships/hyperlink" Target="https://www.nature.com/articles/s41746-020-0293-8?error=cookies_not_supported&amp;code=4d369c1e-08c9-43ff-b810-c654320b1747#:~:text=Predicting%20remission%20after%20internet,modal%20data" TargetMode="External"/><Relationship Id="rId2067" Type="http://schemas.openxmlformats.org/officeDocument/2006/relationships/hyperlink" Target="https://www.nature.com/articles/s41746-020-0293-8?error=cookies_not_supported&amp;code=4d369c1e-08c9-43ff-b810-c654320b1747#:~:text=including%20depression%20and%20anxiety%2C%20and,care%20model%20implemented%20nationwide%2034" TargetMode="External"/><Relationship Id="rId2567" Type="http://schemas.openxmlformats.org/officeDocument/2006/relationships/hyperlink" Target="https://www.nature.com/articles/s41746-023-00979-5" TargetMode="External"/><Relationship Id="rId2576" Type="http://schemas.openxmlformats.org/officeDocument/2006/relationships/hyperlink" Target="https://www.nber.org/papers/w21206" TargetMode="External"/><Relationship Id="rId2569" Type="http://schemas.openxmlformats.org/officeDocument/2006/relationships/hyperlink" Target="https://www.nber.org/papers/w30857" TargetMode="External"/><Relationship Id="rId2025" Type="http://schemas.openxmlformats.org/officeDocument/2006/relationships/hyperlink" Target="https://www.ncbi.nlm.nih.gov/books/NBK618497/" TargetMode="External"/><Relationship Id="rId1941" Type="http://schemas.openxmlformats.org/officeDocument/2006/relationships/hyperlink" Target="https://www.ncbi.nlm.nih.gov/books/NBK618497/#:~:text=NCBI%20www," TargetMode="External"/><Relationship Id="rId2547" Type="http://schemas.openxmlformats.org/officeDocument/2006/relationships/hyperlink" Target="https://www.ncbi.nlm.nih.gov/pmc/articles/PMC11719188/" TargetMode="External"/><Relationship Id="rId2561" Type="http://schemas.openxmlformats.org/officeDocument/2006/relationships/hyperlink" Target="https://www.ncbi.nlm.nih.gov/pmc/articles/PMC12426581/" TargetMode="External"/><Relationship Id="rId2560" Type="http://schemas.openxmlformats.org/officeDocument/2006/relationships/hyperlink" Target="https://www.ncbi.nlm.nih.gov/pmc/articles/PMC9378826/" TargetMode="External"/><Relationship Id="rId2550" Type="http://schemas.openxmlformats.org/officeDocument/2006/relationships/hyperlink" Target="https://www.ncbi.nlm.nih.gov/pmc/articles/PMC9780590/" TargetMode="External"/><Relationship Id="rId287" Type="http://schemas.openxmlformats.org/officeDocument/2006/relationships/hyperlink" Target="https://www.normattiva.it/uri-res/N2Ls?urn:nir:stato:legge:1989-02-18;56" TargetMode="External"/><Relationship Id="rId119" Type="http://schemas.openxmlformats.org/officeDocument/2006/relationships/hyperlink" Target="https://www.oecd.org/health/health-at-a-glance-europe/" TargetMode="External"/><Relationship Id="rId2565" Type="http://schemas.openxmlformats.org/officeDocument/2006/relationships/hyperlink" Target="https://www.openaccessgovernment.org/stakeholder/limbic-limited-clinical-ai-for-mental-health/206852/" TargetMode="External"/><Relationship Id="rId1012" Type="http://schemas.openxmlformats.org/officeDocument/2006/relationships/hyperlink" Target="https://www.psychiatry.org" TargetMode="External"/><Relationship Id="rId2543" Type="http://schemas.openxmlformats.org/officeDocument/2006/relationships/hyperlink" Target="https://www.quotidiano.net/economia/salute-mentale-investimento-a77cb93d" TargetMode="External"/><Relationship Id="rId2544" Type="http://schemas.openxmlformats.org/officeDocument/2006/relationships/hyperlink" Target="https://www.quotidianosanita.it/lettere-al-direttore/lo-psicologo-delle-cure-primarie-da-esperienza-regionale-a-diritto-per-tutti-i-cittadini/" TargetMode="External"/><Relationship Id="rId1007" Type="http://schemas.openxmlformats.org/officeDocument/2006/relationships/hyperlink" Target="https://www.raffaellocortina.it" TargetMode="External"/><Relationship Id="rId1013" Type="http://schemas.openxmlformats.org/officeDocument/2006/relationships/hyperlink" Target="https://www.regione.puglia.it" TargetMode="External"/><Relationship Id="rId117" Type="http://schemas.openxmlformats.org/officeDocument/2006/relationships/hyperlink" Target="https://www.regione.puglia.it/" TargetMode="External"/><Relationship Id="rId2090" Type="http://schemas.openxmlformats.org/officeDocument/2006/relationships/hyperlink" Target="https://www.researchgate.net/publication/269773522_E-health_within_the_Dutch_mental_health_services_what_is_the_current_situation" TargetMode="External"/><Relationship Id="rId2077" Type="http://schemas.openxmlformats.org/officeDocument/2006/relationships/hyperlink" Target="https://www.researchgate.net/publication/269773522_E-health_within_the_Dutch_mental_health_services_what_is_the_current_situation#:~:text=E,This" TargetMode="External"/><Relationship Id="rId116" Type="http://schemas.openxmlformats.org/officeDocument/2006/relationships/hyperlink" Target="https://www.salute.gov.it/" TargetMode="External"/><Relationship Id="rId2545" Type="http://schemas.openxmlformats.org/officeDocument/2006/relationships/hyperlink" Target="https://www.salute.gov.it/imgs/C_17_pubblicazioni_3502_allegato.pdf" TargetMode="External"/><Relationship Id="rId123" Type="http://schemas.openxmlformats.org/officeDocument/2006/relationships/hyperlink" Target="https://www.salute.gov.it/portale/lea/" TargetMode="External"/><Relationship Id="rId106" Type="http://schemas.openxmlformats.org/officeDocument/2006/relationships/hyperlink" Target="https://www.salute.gov.it/portale/saluteMentale/" TargetMode="External"/><Relationship Id="rId2555" Type="http://schemas.openxmlformats.org/officeDocument/2006/relationships/hyperlink" Target="https://www.sciencedirect.com/science/article/pii/S2352047725000681" TargetMode="External"/><Relationship Id="rId2556" Type="http://schemas.openxmlformats.org/officeDocument/2006/relationships/hyperlink" Target="https://www.sciencedirect.com/science/article/pii/S2589537025001609" TargetMode="External"/><Relationship Id="rId2573" Type="http://schemas.openxmlformats.org/officeDocument/2006/relationships/hyperlink" Target="https://www.simg.it/Riviste/rivista_simg/2019/06_2019/6.pdf" TargetMode="External"/><Relationship Id="rId295" Type="http://schemas.openxmlformats.org/officeDocument/2006/relationships/hyperlink" Target="https://www.simonandschuster.com/books/Diffusion-of-Innovations-5th-Edition/Everett-M-Rogers/9780743222099" TargetMode="External"/><Relationship Id="rId122" Type="http://schemas.openxmlformats.org/officeDocument/2006/relationships/hyperlink" Target="https://www.sisac.info/" TargetMode="External"/><Relationship Id="rId2551" Type="http://schemas.openxmlformats.org/officeDocument/2006/relationships/hyperlink" Target="https://www.speraconnect.com/impact/unlocking-the-true-value-of-mental-health-programs-a-social-roi-perspective/" TargetMode="External"/><Relationship Id="rId2038" Type="http://schemas.openxmlformats.org/officeDocument/2006/relationships/hyperlink" Target="https://www.theabfm.org/research/research-library/competencies-for-the-use-of-artificial-intelligence-in-primary-care/" TargetMode="External"/><Relationship Id="rId1970" Type="http://schemas.openxmlformats.org/officeDocument/2006/relationships/hyperlink" Target="https://www.theabfm.org/research/research-library/competencies-for-the-use-of-artificial-intelligence-in-primary-care/#:~:text=Competencies%20for%20the%20Use%20of,what" TargetMode="External"/><Relationship Id="rId2044" Type="http://schemas.openxmlformats.org/officeDocument/2006/relationships/hyperlink" Target="https://www.thelancet.com/journals/landig/article/PIIS2589-7500(20)30248-X/fulltext" TargetMode="External"/><Relationship Id="rId1989" Type="http://schemas.openxmlformats.org/officeDocument/2006/relationships/hyperlink" Target="https://www.thelancet.com/journals/landig/article/PIIS2589-7500(20)30248-X/fulltext#:~:text=Lancet%20www,over%20the%20past%20two%20decades" TargetMode="External"/><Relationship Id="rId107" Type="http://schemas.openxmlformats.org/officeDocument/2006/relationships/hyperlink" Target="https://www.thelancet.com/journals/lanpsy" TargetMode="External"/><Relationship Id="rId2023" Type="http://schemas.openxmlformats.org/officeDocument/2006/relationships/hyperlink" Target="https://www.trimbos.nl/docs/24fb7203-007a-40bd-a834-12ec311c2adc.pdf" TargetMode="External"/><Relationship Id="rId1982" Type="http://schemas.openxmlformats.org/officeDocument/2006/relationships/hyperlink" Target="https://www.trimbos.nl/docs/24fb7203-007a-40bd-a834-12ec311c2adc.pdf#:~:text=%E2%80%98Blended%20care%E2%80%99%20is%20the%20phrase,interventions%20are%20effective%20in%20reducing" TargetMode="External"/><Relationship Id="rId1983" Type="http://schemas.openxmlformats.org/officeDocument/2006/relationships/hyperlink" Target="https://www.trimbos.nl/docs/24fb7203-007a-40bd-a834-12ec311c2adc.pdf#:~:text=The%20question%20was%2C%20therefore%2C%20how,%E2%80%9D" TargetMode="External"/><Relationship Id="rId1938" Type="http://schemas.openxmlformats.org/officeDocument/2006/relationships/hyperlink" Target="https://www.trimbos.nl/docs/24fb7203-007a-40bd-a834-12ec311c2adc.pdf#:~:text=practice%27%20www,Develop%20training%20programs%20for" TargetMode="External"/><Relationship Id="rId2552" Type="http://schemas.openxmlformats.org/officeDocument/2006/relationships/hyperlink" Target="https://www.trostlearning.com/blog/kirkpatrick-vs-phillips-roi-model-which-evaluation-framework-should-hr-professionals-adopt/" TargetMode="External"/><Relationship Id="rId1011" Type="http://schemas.openxmlformats.org/officeDocument/2006/relationships/hyperlink" Target="https://www.who.int/europe" TargetMode="External"/><Relationship Id="rId2031" Type="http://schemas.openxmlformats.org/officeDocument/2006/relationships/hyperlink" Target="https://www.who.int/europe/news/item/06-02-2023-artificial-intelligence-in-mental-health-research--new-who-study-on-applications-and-challenges" TargetMode="External"/><Relationship Id="rId1954" Type="http://schemas.openxmlformats.org/officeDocument/2006/relationships/hyperlink" Target="https://www.who.int/europe/news/item/06-02-2023-artificial-intelligence-in-mental-health-research--new-who-study-on-applications-and-challenges#:~:text=AI%20is%20seen%20as%20a,problems%20in%20individuals%20and" TargetMode="External"/><Relationship Id="rId1955" Type="http://schemas.openxmlformats.org/officeDocument/2006/relationships/hyperlink" Target="https://www.who.int/europe/news/item/06-02-2023-artificial-intelligence-in-mental-health-research--new-who-study-on-applications-and-challenges#:~:text=Artificial%20intelligence%20in%20mental%20health,problems%20in%20individuals%20and" TargetMode="External"/><Relationship Id="rId281" Type="http://schemas.openxmlformats.org/officeDocument/2006/relationships/hyperlink" Target="https://www.who.int/publications/i/item/9789241549790" TargetMode="External"/><Relationship Id="rId109" Type="http://schemas.openxmlformats.org/officeDocument/2006/relationships/hyperlink" Target="https://www.who.int/teams/mental-health-and-substance-use/data-research/mental-health-atlas" TargetMode="External"/><Relationship Id="rId291" Type="http://schemas.openxmlformats.org/officeDocument/2006/relationships/hyperlink" Target="https://www.wiley.com/en-us/97814051584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2026-07-02T07:54:06Z</dcterms:created>
  <dcterms:modified xsi:type="dcterms:W3CDTF">2026-07-02T07:54:06Z</dcterms:modified>
</cp:coreProperties>
</file>

<file path=docProps/custom.xml><?xml version="1.0" encoding="utf-8"?>
<Properties xmlns="http://schemas.openxmlformats.org/officeDocument/2006/custom-properties" xmlns:vt="http://schemas.openxmlformats.org/officeDocument/2006/docPropsVTypes"/>
</file>